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66DA3" w14:textId="77777777" w:rsidR="00E57DAA" w:rsidRDefault="00AC4185">
      <w:pPr>
        <w:spacing w:beforeLines="50" w:before="120" w:afterLines="50" w:after="120"/>
        <w:ind w:firstLineChars="200" w:firstLine="420"/>
        <w:rPr>
          <w:bCs/>
          <w:szCs w:val="21"/>
        </w:rPr>
      </w:pPr>
      <w:bookmarkStart w:id="0" w:name="_Hlk10548739"/>
      <w:bookmarkStart w:id="1" w:name="OLE_LINK16"/>
      <w:bookmarkStart w:id="2" w:name="_Toc342565904"/>
      <w:bookmarkStart w:id="3" w:name="_Toc342559756"/>
      <w:bookmarkStart w:id="4" w:name="OLE_LINK18"/>
      <w:bookmarkStart w:id="5" w:name="_Toc340829716"/>
      <w:bookmarkStart w:id="6" w:name="OLE_LINK6"/>
      <w:bookmarkStart w:id="7" w:name="_Toc215903151"/>
      <w:bookmarkEnd w:id="0"/>
      <w:bookmarkEnd w:id="1"/>
      <w:bookmarkEnd w:id="2"/>
      <w:bookmarkEnd w:id="3"/>
      <w:bookmarkEnd w:id="4"/>
      <w:bookmarkEnd w:id="5"/>
      <w:bookmarkEnd w:id="6"/>
      <w:bookmarkEnd w:id="7"/>
      <w:r>
        <w:rPr>
          <w:rFonts w:hint="eastAsia"/>
          <w:bCs/>
          <w:szCs w:val="21"/>
        </w:rPr>
        <w:t>公司代码：</w:t>
      </w:r>
      <w:sdt>
        <w:sdtPr>
          <w:rPr>
            <w:rFonts w:hint="eastAsia"/>
            <w:bCs/>
            <w:szCs w:val="21"/>
          </w:rPr>
          <w:alias w:val="公司代码"/>
          <w:tag w:val="_GBC_704b7b03ea3f4a93b8d4655a09b2ff61"/>
          <w:id w:val="149880912"/>
          <w:placeholder>
            <w:docPart w:val="GBC22222222222222222222222222222"/>
          </w:placeholder>
        </w:sdtPr>
        <w:sdtEndPr/>
        <w:sdtContent>
          <w:r>
            <w:rPr>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1134757620"/>
          <w:placeholder>
            <w:docPart w:val="GBC22222222222222222222222222222"/>
          </w:placeholder>
        </w:sdtPr>
        <w:sdtEndPr/>
        <w:sdtContent>
          <w:r>
            <w:rPr>
              <w:rFonts w:hint="eastAsia"/>
              <w:bCs/>
              <w:szCs w:val="21"/>
            </w:rPr>
            <w:t>中材国际</w:t>
          </w:r>
        </w:sdtContent>
      </w:sdt>
    </w:p>
    <w:p w14:paraId="6B68CD52" w14:textId="77777777" w:rsidR="00E57DAA" w:rsidRDefault="00E57DAA" w:rsidP="00C25422">
      <w:pPr>
        <w:pStyle w:val="92"/>
      </w:pPr>
    </w:p>
    <w:p w14:paraId="2E99AB17" w14:textId="77777777" w:rsidR="00E57DAA" w:rsidRDefault="00E57DAA" w:rsidP="00C25422">
      <w:pPr>
        <w:pStyle w:val="92"/>
      </w:pPr>
    </w:p>
    <w:p w14:paraId="58456533" w14:textId="77777777" w:rsidR="00E57DAA" w:rsidRDefault="00E57DAA" w:rsidP="00C25422">
      <w:pPr>
        <w:pStyle w:val="92"/>
      </w:pPr>
    </w:p>
    <w:p w14:paraId="7948392E" w14:textId="77777777" w:rsidR="00E57DAA" w:rsidRDefault="00E57DAA" w:rsidP="00C25422">
      <w:pPr>
        <w:pStyle w:val="92"/>
      </w:pPr>
    </w:p>
    <w:p w14:paraId="62C689E0" w14:textId="77777777" w:rsidR="00E57DAA" w:rsidRDefault="00E57DAA" w:rsidP="00C25422">
      <w:pPr>
        <w:pStyle w:val="92"/>
      </w:pPr>
    </w:p>
    <w:p w14:paraId="75A4536D" w14:textId="77777777" w:rsidR="00E57DAA" w:rsidRDefault="00E57DAA" w:rsidP="00C25422">
      <w:pPr>
        <w:pStyle w:val="92"/>
      </w:pPr>
    </w:p>
    <w:p w14:paraId="3C2182DF" w14:textId="77777777" w:rsidR="00E57DAA" w:rsidRDefault="00A03622">
      <w:pPr>
        <w:rPr>
          <w:b/>
          <w:bCs/>
          <w:szCs w:val="21"/>
        </w:rPr>
      </w:pPr>
      <w:r w:rsidRPr="000A5F9A">
        <w:rPr>
          <w:rFonts w:ascii="仿宋_GB2312" w:eastAsia="仿宋_GB2312"/>
          <w:noProof/>
        </w:rPr>
        <w:drawing>
          <wp:inline distT="0" distB="0" distL="0" distR="0" wp14:anchorId="1EA97C1B" wp14:editId="1E7B84CB">
            <wp:extent cx="5273040" cy="1082040"/>
            <wp:effectExtent l="0" t="0" r="3810" b="381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3040" cy="1082040"/>
                    </a:xfrm>
                    <a:prstGeom prst="rect">
                      <a:avLst/>
                    </a:prstGeom>
                    <a:noFill/>
                    <a:ln>
                      <a:noFill/>
                    </a:ln>
                  </pic:spPr>
                </pic:pic>
              </a:graphicData>
            </a:graphic>
          </wp:inline>
        </w:drawing>
      </w:r>
    </w:p>
    <w:p w14:paraId="6CA66BAB" w14:textId="77777777" w:rsidR="00A03622" w:rsidRDefault="00A03622">
      <w:pPr>
        <w:rPr>
          <w:b/>
          <w:bCs/>
          <w:szCs w:val="21"/>
        </w:rPr>
      </w:pPr>
    </w:p>
    <w:p w14:paraId="477D63F9" w14:textId="77777777" w:rsidR="00A03622" w:rsidRDefault="00A03622">
      <w:pPr>
        <w:rPr>
          <w:b/>
          <w:bCs/>
          <w:szCs w:val="21"/>
        </w:rPr>
      </w:pPr>
    </w:p>
    <w:p w14:paraId="3071342E" w14:textId="77777777" w:rsidR="00A03622" w:rsidRDefault="00A03622">
      <w:pPr>
        <w:rPr>
          <w:b/>
          <w:bCs/>
          <w:szCs w:val="21"/>
        </w:rPr>
      </w:pPr>
    </w:p>
    <w:p w14:paraId="01EB91B2" w14:textId="77777777" w:rsidR="00A03622" w:rsidRDefault="00A03622">
      <w:pPr>
        <w:rPr>
          <w:b/>
          <w:bCs/>
          <w:szCs w:val="21"/>
        </w:rPr>
      </w:pPr>
    </w:p>
    <w:p w14:paraId="454109FE" w14:textId="77777777" w:rsidR="00A03622" w:rsidRDefault="00A03622">
      <w:pPr>
        <w:rPr>
          <w:b/>
          <w:bCs/>
          <w:szCs w:val="21"/>
        </w:rPr>
      </w:pPr>
    </w:p>
    <w:p w14:paraId="6B29352F" w14:textId="77777777" w:rsidR="00A03622" w:rsidRDefault="00A03622">
      <w:pPr>
        <w:rPr>
          <w:b/>
          <w:bCs/>
          <w:szCs w:val="21"/>
        </w:rPr>
      </w:pPr>
    </w:p>
    <w:p w14:paraId="26EA29BD" w14:textId="77777777" w:rsidR="00A03622" w:rsidRDefault="00A03622">
      <w:pPr>
        <w:rPr>
          <w:b/>
          <w:bCs/>
          <w:szCs w:val="21"/>
        </w:rPr>
      </w:pPr>
    </w:p>
    <w:p w14:paraId="004FED3D" w14:textId="77777777" w:rsidR="00E57DAA" w:rsidRDefault="00E57DAA">
      <w:pPr>
        <w:rPr>
          <w:b/>
          <w:bCs/>
          <w:szCs w:val="21"/>
        </w:rPr>
      </w:pPr>
    </w:p>
    <w:p w14:paraId="154CEBC5" w14:textId="77777777" w:rsidR="00E57DAA" w:rsidRDefault="00EB41A1">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219790702"/>
          <w:placeholder>
            <w:docPart w:val="GBC22222222222222222222222222222"/>
          </w:placeholder>
          <w:dataBinding w:prefixMappings="xmlns:clcid-cgi='clcid-cgi'" w:xpath="/*/clcid-cgi:GongSiFaDingZhongWenMingCheng" w:storeItemID="{89EBAB94-44A0-46A2-B712-30D997D04A6D}"/>
          <w:text/>
        </w:sdtPr>
        <w:sdtEndPr/>
        <w:sdtContent>
          <w:r w:rsidR="00AC4185">
            <w:rPr>
              <w:rFonts w:ascii="黑体" w:eastAsia="黑体" w:hAnsi="黑体" w:hint="eastAsia"/>
              <w:b/>
              <w:bCs/>
              <w:color w:val="FF0000"/>
              <w:sz w:val="44"/>
              <w:szCs w:val="44"/>
            </w:rPr>
            <w:t>中国中材国际工程股份有限公司</w:t>
          </w:r>
        </w:sdtContent>
      </w:sdt>
    </w:p>
    <w:p w14:paraId="42FD974B" w14:textId="77777777" w:rsidR="00E57DAA" w:rsidRDefault="00AC4185">
      <w:pPr>
        <w:jc w:val="center"/>
        <w:rPr>
          <w:rFonts w:ascii="黑体" w:eastAsia="黑体" w:hAnsi="黑体"/>
          <w:b/>
          <w:bCs/>
          <w:color w:val="FF0000"/>
          <w:sz w:val="44"/>
          <w:szCs w:val="44"/>
        </w:rPr>
      </w:pPr>
      <w:r>
        <w:rPr>
          <w:rFonts w:ascii="黑体" w:eastAsia="黑体" w:hAnsi="黑体"/>
          <w:b/>
          <w:bCs/>
          <w:color w:val="FF0000"/>
          <w:sz w:val="44"/>
          <w:szCs w:val="44"/>
        </w:rPr>
        <w:t>2023</w:t>
      </w:r>
      <w:r>
        <w:rPr>
          <w:rFonts w:ascii="黑体" w:eastAsia="黑体" w:hAnsi="黑体" w:hint="eastAsia"/>
          <w:b/>
          <w:bCs/>
          <w:color w:val="FF0000"/>
          <w:sz w:val="44"/>
          <w:szCs w:val="44"/>
        </w:rPr>
        <w:t>年年度报告</w:t>
      </w:r>
    </w:p>
    <w:p w14:paraId="15A1FF55" w14:textId="77777777" w:rsidR="00E57DAA" w:rsidRDefault="00E57DAA" w:rsidP="00C25422">
      <w:pPr>
        <w:pStyle w:val="92"/>
      </w:pPr>
    </w:p>
    <w:p w14:paraId="02CD18D4" w14:textId="77777777" w:rsidR="00E57DAA" w:rsidRDefault="00E57DAA" w:rsidP="00C25422">
      <w:pPr>
        <w:pStyle w:val="92"/>
      </w:pPr>
    </w:p>
    <w:p w14:paraId="113E324B" w14:textId="77777777" w:rsidR="00E57DAA" w:rsidRDefault="00E57DAA" w:rsidP="00C25422">
      <w:pPr>
        <w:pStyle w:val="92"/>
      </w:pPr>
    </w:p>
    <w:p w14:paraId="1A1C2059" w14:textId="77777777" w:rsidR="00E57DAA" w:rsidRDefault="00E57DAA" w:rsidP="00C25422">
      <w:pPr>
        <w:pStyle w:val="92"/>
      </w:pPr>
    </w:p>
    <w:p w14:paraId="4411AA2F" w14:textId="77777777" w:rsidR="00E57DAA" w:rsidRDefault="00E57DAA" w:rsidP="00C25422">
      <w:pPr>
        <w:pStyle w:val="92"/>
      </w:pPr>
    </w:p>
    <w:p w14:paraId="74BA9B39" w14:textId="77777777" w:rsidR="00E57DAA" w:rsidRDefault="00E57DAA" w:rsidP="00C25422">
      <w:pPr>
        <w:pStyle w:val="92"/>
      </w:pPr>
    </w:p>
    <w:p w14:paraId="35E1C4DB" w14:textId="77777777" w:rsidR="00E57DAA" w:rsidRDefault="00E57DAA" w:rsidP="00C25422">
      <w:pPr>
        <w:pStyle w:val="92"/>
      </w:pPr>
    </w:p>
    <w:p w14:paraId="3149D5CF" w14:textId="77777777" w:rsidR="00E57DAA" w:rsidRDefault="00E57DAA" w:rsidP="00C25422">
      <w:pPr>
        <w:pStyle w:val="92"/>
      </w:pPr>
    </w:p>
    <w:p w14:paraId="789C2E47" w14:textId="77777777" w:rsidR="00E57DAA" w:rsidRDefault="00E57DAA">
      <w:pPr>
        <w:rPr>
          <w:rFonts w:ascii="黑体" w:eastAsia="黑体" w:hAnsi="黑体"/>
          <w:b/>
          <w:bCs/>
          <w:color w:val="FF0000"/>
          <w:sz w:val="44"/>
          <w:szCs w:val="44"/>
        </w:rPr>
        <w:sectPr w:rsidR="00E57DAA" w:rsidSect="00226547">
          <w:headerReference w:type="default" r:id="rId15"/>
          <w:footerReference w:type="default" r:id="rId16"/>
          <w:pgSz w:w="11906" w:h="16838"/>
          <w:pgMar w:top="1525" w:right="1276" w:bottom="1440" w:left="1797" w:header="855" w:footer="992" w:gutter="0"/>
          <w:cols w:space="425"/>
          <w:docGrid w:linePitch="312"/>
        </w:sectPr>
      </w:pPr>
    </w:p>
    <w:p w14:paraId="1AA84FF5" w14:textId="77777777" w:rsidR="00E57DAA" w:rsidRPr="00AC4185" w:rsidRDefault="00AC4185" w:rsidP="00C25422">
      <w:pPr>
        <w:pStyle w:val="43"/>
      </w:pPr>
      <w:bookmarkStart w:id="8" w:name="_Toc387656034"/>
      <w:r w:rsidRPr="00AC4185">
        <w:rPr>
          <w:rFonts w:hint="eastAsia"/>
        </w:rPr>
        <w:lastRenderedPageBreak/>
        <w:t>重要提示</w:t>
      </w:r>
      <w:bookmarkEnd w:id="8"/>
    </w:p>
    <w:sdt>
      <w:sdtPr>
        <w:rPr>
          <w:rFonts w:ascii="宋体" w:hAnsi="宋体" w:cs="宋体" w:hint="eastAsia"/>
          <w:b w:val="0"/>
          <w:bCs w:val="0"/>
          <w:kern w:val="0"/>
          <w:sz w:val="20"/>
          <w:szCs w:val="24"/>
        </w:rPr>
        <w:alias w:val="选项模块:董事会及董事声明"/>
        <w:tag w:val="_SEC_7d2cef92505949c6b5bd6a9bd88e1b07"/>
        <w:id w:val="808441661"/>
        <w:placeholder>
          <w:docPart w:val="GBC22222222222222222222222222222"/>
        </w:placeholder>
      </w:sdtPr>
      <w:sdtEndPr>
        <w:rPr>
          <w:rFonts w:hint="default"/>
        </w:rPr>
      </w:sdtEndPr>
      <w:sdtContent>
        <w:p w14:paraId="46102EB7" w14:textId="77777777" w:rsidR="00E57DAA" w:rsidRDefault="00EB41A1" w:rsidP="00ED59A2">
          <w:pPr>
            <w:pStyle w:val="2"/>
            <w:numPr>
              <w:ilvl w:val="0"/>
              <w:numId w:val="2"/>
            </w:numPr>
            <w:spacing w:before="0" w:after="0"/>
            <w:ind w:leftChars="200" w:left="840"/>
          </w:pPr>
          <w:sdt>
            <w:sdtPr>
              <w:rPr>
                <w:rFonts w:hint="eastAsia"/>
              </w:rPr>
              <w:alias w:val="董事会及董事声明"/>
              <w:tag w:val="_GBC_7a4abe6548364d7e8583e54b6ff64105"/>
              <w:id w:val="2066299411"/>
              <w:placeholder>
                <w:docPart w:val="GBC22222222222222222222222222222"/>
              </w:placeholder>
            </w:sdtPr>
            <w:sdtEndPr/>
            <w:sdtContent>
              <w:r w:rsidR="00AC4185">
                <w:t>本公司董事会、监事会及董事、监事、高级管理人员保证年度报告内容的真实</w:t>
              </w:r>
              <w:r w:rsidR="00AC4185">
                <w:rPr>
                  <w:rFonts w:hint="eastAsia"/>
                </w:rPr>
                <w:t>性</w:t>
              </w:r>
              <w:r w:rsidR="00AC4185">
                <w:t>、准确</w:t>
              </w:r>
              <w:r w:rsidR="00AC4185">
                <w:rPr>
                  <w:rFonts w:hint="eastAsia"/>
                </w:rPr>
                <w:t>性</w:t>
              </w:r>
              <w:r w:rsidR="00AC4185">
                <w:t>、完整</w:t>
              </w:r>
              <w:r w:rsidR="00AC4185">
                <w:rPr>
                  <w:rFonts w:hint="eastAsia"/>
                </w:rPr>
                <w:t>性</w:t>
              </w:r>
              <w:r w:rsidR="00AC4185">
                <w:t>，不存在虚假记载、误导性陈述或重大遗漏，并承担个别和连带的法律责任。</w:t>
              </w:r>
            </w:sdtContent>
          </w:sdt>
        </w:p>
        <w:p w14:paraId="75DCEB9C" w14:textId="77777777" w:rsidR="00E57DAA" w:rsidRDefault="00EB41A1" w:rsidP="00ED59A2">
          <w:pPr>
            <w:pStyle w:val="92"/>
            <w:ind w:leftChars="200" w:left="420"/>
          </w:pPr>
        </w:p>
      </w:sdtContent>
    </w:sdt>
    <w:sdt>
      <w:sdtPr>
        <w:rPr>
          <w:rFonts w:ascii="Calibri" w:hAnsi="Calibri" w:cs="宋体" w:hint="eastAsia"/>
          <w:b w:val="0"/>
          <w:bCs w:val="0"/>
          <w:kern w:val="0"/>
          <w:sz w:val="24"/>
          <w:szCs w:val="22"/>
        </w:rPr>
        <w:alias w:val="选项模块:公司全体董事出席董事会会议。"/>
        <w:tag w:val="_SEC_22f2821f4b8f443f90d5135b8aaff83a"/>
        <w:id w:val="-1861893947"/>
        <w:placeholder>
          <w:docPart w:val="GBC22222222222222222222222222222"/>
        </w:placeholder>
      </w:sdtPr>
      <w:sdtEndPr>
        <w:rPr>
          <w:rFonts w:ascii="宋体" w:hAnsi="宋体" w:hint="default"/>
          <w:sz w:val="21"/>
          <w:szCs w:val="21"/>
        </w:rPr>
      </w:sdtEndPr>
      <w:sdtContent>
        <w:p w14:paraId="3747A44D" w14:textId="77777777" w:rsidR="00ED59A2" w:rsidRDefault="00ED59A2" w:rsidP="00ED59A2">
          <w:pPr>
            <w:pStyle w:val="2"/>
            <w:numPr>
              <w:ilvl w:val="0"/>
              <w:numId w:val="2"/>
            </w:numPr>
            <w:tabs>
              <w:tab w:val="left" w:pos="448"/>
            </w:tabs>
            <w:spacing w:before="0" w:after="0" w:line="360" w:lineRule="auto"/>
            <w:ind w:leftChars="200" w:left="840" w:hangingChars="175"/>
          </w:pPr>
          <w:r>
            <w:rPr>
              <w:rFonts w:hint="eastAsia"/>
            </w:rPr>
            <w:t>公司</w:t>
          </w:r>
          <w:sdt>
            <w:sdtPr>
              <w:rPr>
                <w:rFonts w:hint="eastAsia"/>
              </w:rPr>
              <w:tag w:val="_PLD_67dfe594d3e24f69b6f9757d86ded61b"/>
              <w:id w:val="1843966674"/>
              <w:placeholder>
                <w:docPart w:val="5D2F762AFB564F9AA2C139542A6CB50C"/>
              </w:placeholder>
            </w:sdtPr>
            <w:sdtEndPr/>
            <w:sdtContent>
              <w:r w:rsidR="0071204D">
                <w:rPr>
                  <w:rFonts w:hint="eastAsia"/>
                </w:rPr>
                <w:t>全体董事出席</w:t>
              </w:r>
            </w:sdtContent>
          </w:sdt>
          <w:r>
            <w:rPr>
              <w:rFonts w:hint="eastAsia"/>
            </w:rPr>
            <w:t>董事会会议。</w:t>
          </w:r>
        </w:p>
        <w:p w14:paraId="5276F5B6" w14:textId="77777777" w:rsidR="00E57DAA" w:rsidRDefault="00EB41A1" w:rsidP="00ED59A2">
          <w:pPr>
            <w:ind w:leftChars="200" w:left="420"/>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548614192"/>
        <w:placeholder>
          <w:docPart w:val="GBC22222222222222222222222222222"/>
        </w:placeholder>
      </w:sdtPr>
      <w:sdtEndPr>
        <w:rPr>
          <w:rFonts w:ascii="宋体" w:hAnsi="宋体" w:hint="default"/>
          <w:sz w:val="21"/>
        </w:rPr>
      </w:sdtEndPr>
      <w:sdtContent>
        <w:p w14:paraId="38BD3BDB" w14:textId="77777777" w:rsidR="00E57DAA" w:rsidRDefault="00EB41A1" w:rsidP="00ED59A2">
          <w:pPr>
            <w:pStyle w:val="2"/>
            <w:numPr>
              <w:ilvl w:val="0"/>
              <w:numId w:val="2"/>
            </w:numPr>
            <w:spacing w:before="0" w:after="0"/>
            <w:ind w:leftChars="200" w:left="840"/>
          </w:pPr>
          <w:sdt>
            <w:sdtPr>
              <w:rPr>
                <w:rFonts w:hint="eastAsia"/>
              </w:rPr>
              <w:alias w:val="公司聘请的境内会计师事务所名称"/>
              <w:tag w:val="_GBC_ad504284986e4ab994733d7125ba1c33"/>
              <w:id w:val="-1501040960"/>
              <w:placeholder>
                <w:docPart w:val="GBC22222222222222222222222222222"/>
              </w:placeholder>
            </w:sdtPr>
            <w:sdtEndPr/>
            <w:sdtContent>
              <w:r w:rsidR="00AC4185">
                <w:rPr>
                  <w:rFonts w:hint="eastAsia"/>
                </w:rPr>
                <w:t>大华会计师事务所（特殊普通合伙）</w:t>
              </w:r>
            </w:sdtContent>
          </w:sdt>
          <w:r w:rsidR="00AC4185">
            <w:rPr>
              <w:rFonts w:hint="eastAsia"/>
            </w:rPr>
            <w:t>为本公司出具了</w:t>
          </w:r>
          <w:sdt>
            <w:sdtPr>
              <w:rPr>
                <w:rFonts w:hint="eastAsia"/>
              </w:rPr>
              <w:alias w:val="会计师事务所审计意见类型"/>
              <w:tag w:val="_GBC_fc66ac35f9514436909a413223854389"/>
              <w:id w:val="-1282334567"/>
              <w:placeholder>
                <w:docPart w:val="GBC22222222222222222222222222222"/>
              </w:placeholder>
            </w:sdtPr>
            <w:sdtEndPr/>
            <w:sdtContent>
              <w:r w:rsidR="00AC4185">
                <w:rPr>
                  <w:rFonts w:hint="eastAsia"/>
                </w:rPr>
                <w:t>标准无保留意见</w:t>
              </w:r>
            </w:sdtContent>
          </w:sdt>
          <w:r w:rsidR="00AC4185">
            <w:rPr>
              <w:rFonts w:hint="eastAsia"/>
            </w:rPr>
            <w:t>的审计报告。</w:t>
          </w:r>
        </w:p>
        <w:p w14:paraId="4EAE1A3F" w14:textId="77777777" w:rsidR="00E57DAA" w:rsidRDefault="00EB41A1" w:rsidP="00ED59A2">
          <w:pPr>
            <w:ind w:leftChars="200" w:left="420"/>
            <w:rPr>
              <w:szCs w:val="21"/>
            </w:rPr>
          </w:pPr>
        </w:p>
      </w:sdtContent>
    </w:sdt>
    <w:p w14:paraId="0831CCFD" w14:textId="77777777" w:rsidR="00E57DAA" w:rsidRDefault="00AC4185" w:rsidP="00ED59A2">
      <w:pPr>
        <w:pStyle w:val="2"/>
        <w:numPr>
          <w:ilvl w:val="0"/>
          <w:numId w:val="2"/>
        </w:numPr>
        <w:tabs>
          <w:tab w:val="left" w:pos="434"/>
        </w:tabs>
        <w:spacing w:before="0" w:after="0" w:line="360" w:lineRule="auto"/>
        <w:ind w:leftChars="200" w:left="789" w:hangingChars="175" w:hanging="369"/>
        <w:rPr>
          <w:rFonts w:ascii="宋体" w:hAnsi="宋体"/>
        </w:rPr>
      </w:pPr>
      <w:r>
        <w:rPr>
          <w:rFonts w:hint="eastAsia"/>
        </w:rPr>
        <w:t>公司</w:t>
      </w:r>
      <w:r w:rsidR="00ED59A2">
        <w:rPr>
          <w:rFonts w:ascii="宋体" w:hAnsi="宋体" w:hint="eastAsia"/>
        </w:rPr>
        <w:t>负责人</w:t>
      </w:r>
      <w:sdt>
        <w:sdtPr>
          <w:rPr>
            <w:rFonts w:ascii="宋体" w:hAnsi="宋体"/>
          </w:rPr>
          <w:alias w:val="公司负责人姓名"/>
          <w:tag w:val="_GBC_ba0728eaa9a342098d20addcde59ed31"/>
          <w:id w:val="10263261"/>
          <w:placeholder>
            <w:docPart w:val="25B4A2036DAA4710BB54B9F22D28C082"/>
          </w:placeholder>
          <w:dataBinding w:prefixMappings="xmlns:clcid-mr='clcid-mr'" w:xpath="/*/clcid-mr:GongSiFuZeRenXingMing[not(@periodRef)]" w:storeItemID="{89EBAB94-44A0-46A2-B712-30D997D04A6D}"/>
          <w:text/>
        </w:sdtPr>
        <w:sdtEndPr/>
        <w:sdtContent>
          <w:r w:rsidR="00ED59A2">
            <w:rPr>
              <w:rFonts w:ascii="宋体" w:hAnsi="宋体"/>
            </w:rPr>
            <w:t>印志松</w:t>
          </w:r>
        </w:sdtContent>
      </w:sdt>
      <w:r w:rsidR="00ED59A2">
        <w:rPr>
          <w:rFonts w:ascii="宋体" w:hAnsi="宋体" w:hint="eastAsia"/>
        </w:rPr>
        <w:t>、主管会计工作负责人</w:t>
      </w:r>
      <w:sdt>
        <w:sdtPr>
          <w:rPr>
            <w:rFonts w:ascii="宋体" w:hAnsi="宋体"/>
          </w:rPr>
          <w:alias w:val="主管会计工作负责人姓名"/>
          <w:tag w:val="_GBC_9ac791ae357946e68402505d2aa6b3b9"/>
          <w:id w:val="10263264"/>
          <w:placeholder>
            <w:docPart w:val="25B4A2036DAA4710BB54B9F22D28C082"/>
          </w:placeholder>
          <w:dataBinding w:prefixMappings="xmlns:clcid-mr='clcid-mr'" w:xpath="/*/clcid-mr:ZhuGuanKuaiJiGongZuoFuZeRenXingMing[not(@periodRef)]" w:storeItemID="{89EBAB94-44A0-46A2-B712-30D997D04A6D}"/>
          <w:text/>
        </w:sdtPr>
        <w:sdtEndPr/>
        <w:sdtContent>
          <w:r w:rsidR="00ED59A2">
            <w:rPr>
              <w:rFonts w:ascii="宋体" w:hAnsi="宋体"/>
            </w:rPr>
            <w:t>汪源</w:t>
          </w:r>
        </w:sdtContent>
      </w:sdt>
      <w:r w:rsidR="00ED59A2">
        <w:rPr>
          <w:rFonts w:ascii="宋体" w:hAnsi="宋体" w:hint="eastAsia"/>
        </w:rPr>
        <w:t>及会计机构负责人（会计主管人员）</w:t>
      </w:r>
      <w:sdt>
        <w:sdtPr>
          <w:rPr>
            <w:rFonts w:ascii="宋体" w:hAnsi="宋体"/>
          </w:rPr>
          <w:alias w:val="会计机构负责人姓名"/>
          <w:tag w:val="_GBC_c6edcd184788428d9dc08d896d5d98a9"/>
          <w:id w:val="10263267"/>
          <w:placeholder>
            <w:docPart w:val="25B4A2036DAA4710BB54B9F22D28C082"/>
          </w:placeholder>
          <w:dataBinding w:prefixMappings="xmlns:clcid-mr='clcid-mr'" w:xpath="/*/clcid-mr:KuaiJiJiGouFuZeRenXingMing[not(@periodRef)]" w:storeItemID="{89EBAB94-44A0-46A2-B712-30D997D04A6D}"/>
          <w:text/>
        </w:sdtPr>
        <w:sdtEndPr/>
        <w:sdtContent>
          <w:r w:rsidR="00ED59A2">
            <w:rPr>
              <w:rFonts w:ascii="宋体" w:hAnsi="宋体"/>
            </w:rPr>
            <w:t>邢万里</w:t>
          </w:r>
        </w:sdtContent>
      </w:sdt>
      <w:r w:rsidR="00ED59A2">
        <w:rPr>
          <w:rFonts w:ascii="宋体" w:hAnsi="宋体" w:hint="eastAsia"/>
        </w:rPr>
        <w:t>声明：保证年度报告中财务报告的真实、准确、完整。</w:t>
      </w:r>
    </w:p>
    <w:p w14:paraId="7991C12D" w14:textId="77777777" w:rsidR="00ED59A2" w:rsidRPr="00ED59A2" w:rsidRDefault="00ED59A2" w:rsidP="00ED59A2">
      <w:pPr>
        <w:ind w:leftChars="200" w:left="420"/>
      </w:pPr>
    </w:p>
    <w:p w14:paraId="67ACCF2F" w14:textId="77777777" w:rsidR="00E57DAA" w:rsidRDefault="00AC4185" w:rsidP="00ED59A2">
      <w:pPr>
        <w:pStyle w:val="2"/>
        <w:numPr>
          <w:ilvl w:val="0"/>
          <w:numId w:val="2"/>
        </w:numPr>
        <w:spacing w:before="0" w:after="0"/>
        <w:ind w:leftChars="200" w:left="840"/>
        <w:rPr>
          <w:rFonts w:ascii="宋体" w:hAnsi="宋体"/>
        </w:rPr>
      </w:pPr>
      <w:r>
        <w:rPr>
          <w:rFonts w:hint="eastAsia"/>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413401094"/>
        <w:placeholder>
          <w:docPart w:val="GBC22222222222222222222222222222"/>
        </w:placeholder>
      </w:sdtPr>
      <w:sdtEndPr>
        <w:rPr>
          <w:rFonts w:asciiTheme="minorEastAsia" w:eastAsiaTheme="minorEastAsia" w:hAnsiTheme="minorEastAsia"/>
          <w:highlight w:val="yellow"/>
          <w:shd w:val="pct10" w:color="auto" w:fill="FFFFFF"/>
        </w:rPr>
      </w:sdtEndPr>
      <w:sdtContent>
        <w:p w14:paraId="6B953761" w14:textId="77777777" w:rsidR="00E57DAA" w:rsidRDefault="00AC4185" w:rsidP="00ED59A2">
          <w:pPr>
            <w:spacing w:line="276" w:lineRule="auto"/>
            <w:ind w:leftChars="200" w:left="420" w:firstLineChars="200" w:firstLine="420"/>
            <w:rPr>
              <w:rFonts w:asciiTheme="minorEastAsia" w:eastAsiaTheme="minorEastAsia" w:hAnsiTheme="minorEastAsia" w:cs="Times New Roman"/>
              <w:szCs w:val="21"/>
            </w:rPr>
          </w:pPr>
          <w:r>
            <w:rPr>
              <w:rFonts w:asciiTheme="minorEastAsia" w:eastAsiaTheme="minorEastAsia" w:hAnsiTheme="minorEastAsia" w:hint="eastAsia"/>
              <w:szCs w:val="21"/>
            </w:rPr>
            <w:t>公司拟向全体股东每10股派发现金红利4.00元（含税）。截至利润分配方案披露日，公司总股本2,642,317,423股，以此计算合计拟派发现金红利1,056,926,969.20元（含税）。</w:t>
          </w:r>
        </w:p>
        <w:p w14:paraId="567A875D" w14:textId="77777777" w:rsidR="00E57DAA" w:rsidRDefault="00AC4185" w:rsidP="00ED59A2">
          <w:pPr>
            <w:spacing w:line="276" w:lineRule="auto"/>
            <w:ind w:leftChars="200" w:left="420" w:firstLineChars="200" w:firstLine="420"/>
            <w:rPr>
              <w:rFonts w:asciiTheme="minorEastAsia" w:eastAsiaTheme="minorEastAsia" w:hAnsiTheme="minorEastAsia"/>
              <w:szCs w:val="21"/>
            </w:rPr>
          </w:pPr>
          <w:r>
            <w:rPr>
              <w:rFonts w:asciiTheme="minorEastAsia" w:eastAsiaTheme="minorEastAsia" w:hAnsiTheme="minorEastAsia" w:hint="eastAsia"/>
              <w:szCs w:val="21"/>
            </w:rPr>
            <w:t>如在利润分配方案披露之日起至实施权益分派股权登记日期间公司总股本发生变动，公司拟维持每股分配比例不变，相应调整分配总额。</w:t>
          </w:r>
        </w:p>
      </w:sdtContent>
    </w:sdt>
    <w:p w14:paraId="35A7CFD4" w14:textId="77777777" w:rsidR="00E57DAA" w:rsidRDefault="00E57DAA" w:rsidP="00ED59A2">
      <w:pPr>
        <w:kinsoku w:val="0"/>
        <w:overflowPunct w:val="0"/>
        <w:autoSpaceDE w:val="0"/>
        <w:autoSpaceDN w:val="0"/>
        <w:adjustRightInd w:val="0"/>
        <w:snapToGrid w:val="0"/>
        <w:spacing w:line="360" w:lineRule="exact"/>
        <w:ind w:leftChars="200" w:left="420"/>
        <w:rPr>
          <w:shd w:val="pct10" w:color="auto" w:fill="FFFFFF"/>
        </w:rPr>
      </w:pPr>
    </w:p>
    <w:p w14:paraId="01DCD814" w14:textId="77777777" w:rsidR="00E57DAA" w:rsidRDefault="00AC4185" w:rsidP="00ED59A2">
      <w:pPr>
        <w:pStyle w:val="2"/>
        <w:numPr>
          <w:ilvl w:val="0"/>
          <w:numId w:val="2"/>
        </w:numPr>
        <w:spacing w:before="0" w:after="0"/>
        <w:ind w:leftChars="200" w:left="840"/>
      </w:pPr>
      <w:r>
        <w:t>前瞻性陈述的风险声明</w:t>
      </w:r>
    </w:p>
    <w:sdt>
      <w:sdtPr>
        <w:alias w:val="是否适用：前瞻性陈述的风险声明[双击切换]"/>
        <w:tag w:val="_GBC_5e5553f9f96e47e8b5eded9c0e6a26c0"/>
        <w:id w:val="-1895032155"/>
        <w:placeholder>
          <w:docPart w:val="GBC22222222222222222222222222222"/>
        </w:placeholder>
      </w:sdtPr>
      <w:sdtEndPr/>
      <w:sdtContent>
        <w:p w14:paraId="105A2580" w14:textId="77777777" w:rsidR="00E57DAA" w:rsidRDefault="00AC4185" w:rsidP="00ED59A2">
          <w:pPr>
            <w:snapToGrid w:val="0"/>
            <w:spacing w:line="360" w:lineRule="auto"/>
            <w:ind w:leftChars="200" w:left="420"/>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946799346"/>
        <w:placeholder>
          <w:docPart w:val="GBC22222222222222222222222222222"/>
        </w:placeholder>
      </w:sdtPr>
      <w:sdtEndPr>
        <w:rPr>
          <w:shd w:val="pct10" w:color="auto" w:fill="FFFFFF"/>
        </w:rPr>
      </w:sdtEndPr>
      <w:sdtContent>
        <w:p w14:paraId="6D5D55BF" w14:textId="77777777" w:rsidR="00E57DAA" w:rsidRDefault="00AC4185" w:rsidP="00ED59A2">
          <w:pPr>
            <w:kinsoku w:val="0"/>
            <w:overflowPunct w:val="0"/>
            <w:autoSpaceDE w:val="0"/>
            <w:autoSpaceDN w:val="0"/>
            <w:adjustRightInd w:val="0"/>
            <w:snapToGrid w:val="0"/>
            <w:spacing w:line="276" w:lineRule="auto"/>
            <w:ind w:leftChars="200" w:left="420" w:firstLineChars="200" w:firstLine="420"/>
            <w:rPr>
              <w:szCs w:val="21"/>
            </w:rPr>
          </w:pPr>
          <w:r>
            <w:rPr>
              <w:rFonts w:hint="eastAsia"/>
              <w:szCs w:val="21"/>
            </w:rPr>
            <w:t>本年度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p w14:paraId="30AF84B6" w14:textId="77777777" w:rsidR="00E57DAA" w:rsidRDefault="00E57DAA" w:rsidP="00ED59A2">
      <w:pPr>
        <w:kinsoku w:val="0"/>
        <w:overflowPunct w:val="0"/>
        <w:autoSpaceDE w:val="0"/>
        <w:autoSpaceDN w:val="0"/>
        <w:adjustRightInd w:val="0"/>
        <w:snapToGrid w:val="0"/>
        <w:spacing w:line="360" w:lineRule="exact"/>
        <w:ind w:leftChars="200" w:left="420"/>
        <w:rPr>
          <w:szCs w:val="21"/>
          <w:shd w:val="pct10" w:color="auto" w:fill="FFFFFF"/>
        </w:rPr>
      </w:pPr>
    </w:p>
    <w:p w14:paraId="58830B90" w14:textId="77777777" w:rsidR="00E57DAA" w:rsidRDefault="00AC4185" w:rsidP="00ED59A2">
      <w:pPr>
        <w:pStyle w:val="2"/>
        <w:numPr>
          <w:ilvl w:val="0"/>
          <w:numId w:val="2"/>
        </w:numPr>
        <w:spacing w:before="0" w:after="0"/>
        <w:ind w:leftChars="200" w:left="840"/>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883177597"/>
        <w:placeholder>
          <w:docPart w:val="GBC22222222222222222222222222222"/>
        </w:placeholder>
        <w:comboBox>
          <w:listItem w:displayText="是" w:value="true"/>
          <w:listItem w:displayText="否" w:value="false"/>
        </w:comboBox>
      </w:sdtPr>
      <w:sdtEndPr/>
      <w:sdtContent>
        <w:p w14:paraId="365F7E29" w14:textId="77777777" w:rsidR="00E57DAA" w:rsidRDefault="00AC4185" w:rsidP="00ED59A2">
          <w:pPr>
            <w:kinsoku w:val="0"/>
            <w:overflowPunct w:val="0"/>
            <w:autoSpaceDE w:val="0"/>
            <w:autoSpaceDN w:val="0"/>
            <w:adjustRightInd w:val="0"/>
            <w:snapToGrid w:val="0"/>
            <w:spacing w:line="360" w:lineRule="exact"/>
            <w:ind w:leftChars="200" w:left="420"/>
            <w:rPr>
              <w:rFonts w:ascii="Arial" w:hAnsi="Arial"/>
              <w:bCs/>
              <w:szCs w:val="21"/>
            </w:rPr>
          </w:pPr>
          <w:r>
            <w:rPr>
              <w:rFonts w:ascii="Arial" w:hAnsi="Arial" w:hint="eastAsia"/>
              <w:bCs/>
              <w:szCs w:val="21"/>
            </w:rPr>
            <w:t>否</w:t>
          </w:r>
        </w:p>
      </w:sdtContent>
    </w:sdt>
    <w:p w14:paraId="0877C57D" w14:textId="77777777" w:rsidR="00E57DAA" w:rsidRDefault="00E57DAA" w:rsidP="00ED59A2">
      <w:pPr>
        <w:kinsoku w:val="0"/>
        <w:overflowPunct w:val="0"/>
        <w:autoSpaceDE w:val="0"/>
        <w:autoSpaceDN w:val="0"/>
        <w:adjustRightInd w:val="0"/>
        <w:snapToGrid w:val="0"/>
        <w:spacing w:line="360" w:lineRule="exact"/>
        <w:ind w:leftChars="200" w:left="420"/>
        <w:rPr>
          <w:rFonts w:ascii="Arial" w:hAnsi="Arial"/>
          <w:bCs/>
          <w:szCs w:val="21"/>
        </w:rPr>
      </w:pPr>
    </w:p>
    <w:p w14:paraId="75DFF0AC" w14:textId="77777777" w:rsidR="00E57DAA" w:rsidRDefault="00AC4185" w:rsidP="00ED59A2">
      <w:pPr>
        <w:pStyle w:val="2"/>
        <w:numPr>
          <w:ilvl w:val="0"/>
          <w:numId w:val="2"/>
        </w:numPr>
        <w:spacing w:before="0" w:after="0"/>
        <w:ind w:leftChars="200" w:left="840"/>
      </w:pPr>
      <w:r>
        <w:t>是否存在违反规定决策程序对外提供担保的情况</w:t>
      </w:r>
    </w:p>
    <w:sdt>
      <w:sdtPr>
        <w:rPr>
          <w:rFonts w:hint="eastAsia"/>
          <w:szCs w:val="21"/>
        </w:rPr>
        <w:alias w:val="本公司是否存在违反规定决策程序对外提供担保的情况"/>
        <w:tag w:val="_GBC_aef7ac6bbdf043bc8051c4f9fb55e5ea"/>
        <w:id w:val="1469631321"/>
        <w:placeholder>
          <w:docPart w:val="GBC22222222222222222222222222222"/>
        </w:placeholder>
        <w:comboBox>
          <w:listItem w:displayText="是" w:value="true"/>
          <w:listItem w:displayText="否" w:value="false"/>
        </w:comboBox>
      </w:sdtPr>
      <w:sdtEndPr/>
      <w:sdtContent>
        <w:p w14:paraId="2B20F364" w14:textId="77777777" w:rsidR="00E57DAA" w:rsidRDefault="00AC4185" w:rsidP="00ED59A2">
          <w:pPr>
            <w:ind w:leftChars="200" w:left="420"/>
            <w:rPr>
              <w:szCs w:val="21"/>
            </w:rPr>
          </w:pPr>
          <w:r>
            <w:rPr>
              <w:rFonts w:hint="eastAsia"/>
              <w:szCs w:val="21"/>
            </w:rPr>
            <w:t>否</w:t>
          </w:r>
        </w:p>
      </w:sdtContent>
    </w:sdt>
    <w:p w14:paraId="2A261560" w14:textId="77777777" w:rsidR="00E57DAA" w:rsidRDefault="00E57DAA" w:rsidP="00ED59A2">
      <w:pPr>
        <w:pStyle w:val="92"/>
        <w:ind w:leftChars="200" w:left="420"/>
      </w:pPr>
    </w:p>
    <w:p w14:paraId="120ED9BF" w14:textId="77777777" w:rsidR="00E57DAA" w:rsidRDefault="00AC4185" w:rsidP="00ED59A2">
      <w:pPr>
        <w:pStyle w:val="2"/>
        <w:numPr>
          <w:ilvl w:val="0"/>
          <w:numId w:val="2"/>
        </w:numPr>
        <w:spacing w:before="0" w:after="0"/>
        <w:ind w:leftChars="200" w:left="840"/>
      </w:pPr>
      <w:r>
        <w:t>是否存在半数</w:t>
      </w:r>
      <w:r>
        <w:rPr>
          <w:rFonts w:hint="eastAsia"/>
        </w:rPr>
        <w:t>以上</w:t>
      </w:r>
      <w:r>
        <w:t>董事无法保证公司所披露年度报告的真实性、准确性和完整性</w:t>
      </w:r>
    </w:p>
    <w:sdt>
      <w:sdtPr>
        <w:rPr>
          <w:rFonts w:hint="eastAsia"/>
        </w:rPr>
        <w:alias w:val="是否存在半数以上董事无法保证公司所披露年度报告的真实性、准确性和完整性"/>
        <w:tag w:val="_GBC_abc43c78fabf487d8ee599f7fe1628a3"/>
        <w:id w:val="1925384709"/>
        <w:placeholder>
          <w:docPart w:val="GBC22222222222222222222222222222"/>
        </w:placeholder>
        <w:comboBox>
          <w:listItem w:displayText="是" w:value="是"/>
          <w:listItem w:displayText="否" w:value="否"/>
        </w:comboBox>
      </w:sdtPr>
      <w:sdtEndPr/>
      <w:sdtContent>
        <w:p w14:paraId="5EC42E01" w14:textId="77777777" w:rsidR="00E57DAA" w:rsidRDefault="00AC4185" w:rsidP="00ED59A2">
          <w:pPr>
            <w:pStyle w:val="92"/>
            <w:ind w:leftChars="200" w:left="420"/>
          </w:pPr>
          <w:r>
            <w:rPr>
              <w:rFonts w:hint="eastAsia"/>
            </w:rPr>
            <w:t>否</w:t>
          </w:r>
        </w:p>
      </w:sdtContent>
    </w:sdt>
    <w:p w14:paraId="2725D05B" w14:textId="77777777" w:rsidR="00E57DAA" w:rsidRDefault="00E57DAA" w:rsidP="00ED59A2">
      <w:pPr>
        <w:ind w:leftChars="200" w:left="420"/>
        <w:rPr>
          <w:szCs w:val="21"/>
        </w:rPr>
      </w:pPr>
    </w:p>
    <w:p w14:paraId="70B6ED6D" w14:textId="77777777" w:rsidR="00E57DAA" w:rsidRDefault="00AC4185" w:rsidP="00ED59A2">
      <w:pPr>
        <w:pStyle w:val="2"/>
        <w:numPr>
          <w:ilvl w:val="0"/>
          <w:numId w:val="2"/>
        </w:numPr>
        <w:spacing w:before="0" w:after="0"/>
        <w:ind w:leftChars="200" w:left="840"/>
      </w:pPr>
      <w:r>
        <w:rPr>
          <w:rFonts w:hint="eastAsia"/>
        </w:rPr>
        <w:t>重大风险提示</w:t>
      </w:r>
    </w:p>
    <w:sdt>
      <w:sdtPr>
        <w:alias w:val="重大风险提示"/>
        <w:tag w:val="_GBC_43a6b8847e0241f1af5326af848c7cec"/>
        <w:id w:val="-1458643855"/>
        <w:placeholder>
          <w:docPart w:val="GBC22222222222222222222222222222"/>
        </w:placeholder>
      </w:sdtPr>
      <w:sdtEndPr/>
      <w:sdtContent>
        <w:p w14:paraId="34BF5B8B" w14:textId="77777777" w:rsidR="00ED59A2" w:rsidRPr="00ED59A2" w:rsidRDefault="00AC4185" w:rsidP="00ED59A2">
          <w:pPr>
            <w:snapToGrid w:val="0"/>
            <w:spacing w:line="276" w:lineRule="auto"/>
            <w:ind w:leftChars="200" w:left="420" w:firstLineChars="200" w:firstLine="420"/>
            <w:rPr>
              <w:szCs w:val="21"/>
            </w:rPr>
          </w:pPr>
          <w:r w:rsidRPr="00ED59A2">
            <w:rPr>
              <w:rFonts w:hint="eastAsia"/>
              <w:szCs w:val="21"/>
            </w:rPr>
            <w:t>公司已在本报告中详细描述存在的宏观经济风险、行业风险、境外经营风险、汇率风险等，敬请查阅第三节管理层讨论与分析中关于公司未来发展的讨论与分析之“可能面对的风险”部分内容。</w:t>
          </w:r>
        </w:p>
      </w:sdtContent>
    </w:sdt>
    <w:p w14:paraId="2C27C188" w14:textId="77777777" w:rsidR="00E57DAA" w:rsidRDefault="00ED59A2" w:rsidP="00ED59A2">
      <w:pPr>
        <w:snapToGrid w:val="0"/>
        <w:spacing w:line="360" w:lineRule="auto"/>
        <w:ind w:leftChars="200" w:left="420" w:firstLineChars="200" w:firstLine="420"/>
      </w:pPr>
      <w:r>
        <w:t xml:space="preserve"> </w:t>
      </w:r>
    </w:p>
    <w:p w14:paraId="0C3856AD" w14:textId="77777777" w:rsidR="00E57DAA" w:rsidRDefault="00AC4185" w:rsidP="00ED59A2">
      <w:pPr>
        <w:pStyle w:val="2"/>
        <w:numPr>
          <w:ilvl w:val="0"/>
          <w:numId w:val="2"/>
        </w:numPr>
        <w:spacing w:before="0" w:after="0"/>
        <w:ind w:leftChars="200" w:left="840"/>
      </w:pPr>
      <w:r>
        <w:rPr>
          <w:rFonts w:hint="eastAsia"/>
        </w:rPr>
        <w:t>其他</w:t>
      </w:r>
    </w:p>
    <w:sdt>
      <w:sdtPr>
        <w:alias w:val="是否适用：其他重要提示[双击切换]"/>
        <w:tag w:val="_GBC_0eafa210a73340628544c13dacbc7643"/>
        <w:id w:val="1396703885"/>
        <w:placeholder>
          <w:docPart w:val="GBC22222222222222222222222222222"/>
        </w:placeholder>
      </w:sdtPr>
      <w:sdtEndPr/>
      <w:sdtContent>
        <w:p w14:paraId="6861DD46" w14:textId="77777777" w:rsidR="00E57DAA" w:rsidRDefault="00AC4185" w:rsidP="00ED59A2">
          <w:pPr>
            <w:ind w:leftChars="200" w:left="420"/>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D72A9A3" w14:textId="77777777" w:rsidR="00E57DAA" w:rsidRDefault="00E57DAA">
      <w:pPr>
        <w:rPr>
          <w:szCs w:val="21"/>
        </w:rPr>
      </w:pPr>
    </w:p>
    <w:p w14:paraId="02E29894" w14:textId="77777777" w:rsidR="00E57DAA" w:rsidRDefault="00AC4185">
      <w:pPr>
        <w:spacing w:line="480" w:lineRule="auto"/>
        <w:jc w:val="center"/>
        <w:rPr>
          <w:b/>
          <w:sz w:val="28"/>
          <w:szCs w:val="28"/>
        </w:rPr>
      </w:pPr>
      <w:r>
        <w:rPr>
          <w:rFonts w:hint="eastAsia"/>
          <w:b/>
          <w:sz w:val="28"/>
          <w:szCs w:val="28"/>
        </w:rPr>
        <w:lastRenderedPageBreak/>
        <w:t>目录</w:t>
      </w:r>
    </w:p>
    <w:p w14:paraId="4A040862" w14:textId="77777777" w:rsidR="00E57DAA" w:rsidRDefault="00AC4185">
      <w:pPr>
        <w:pStyle w:val="TOC1"/>
        <w:rPr>
          <w:rFonts w:asciiTheme="minorHAnsi" w:eastAsiaTheme="minorEastAsia" w:hAnsiTheme="minorHAnsi" w:cstheme="minorBidi"/>
          <w:b/>
          <w:bCs/>
          <w:noProof/>
          <w:szCs w:val="22"/>
        </w:rPr>
      </w:pPr>
      <w:r>
        <w:rPr>
          <w:b/>
          <w:bCs/>
        </w:rPr>
        <w:fldChar w:fldCharType="begin"/>
      </w:r>
      <w:r>
        <w:rPr>
          <w:b/>
          <w:bCs/>
        </w:rPr>
        <w:instrText xml:space="preserve"> TOC \o "1-1" \h \z \u </w:instrText>
      </w:r>
      <w:r>
        <w:rPr>
          <w:b/>
          <w:bCs/>
        </w:rPr>
        <w:fldChar w:fldCharType="separate"/>
      </w:r>
      <w:hyperlink w:anchor="_Toc89790248" w:history="1">
        <w:r>
          <w:rPr>
            <w:rStyle w:val="affa"/>
            <w:b/>
            <w:bCs/>
            <w:noProof/>
          </w:rPr>
          <w:t>第一节</w:t>
        </w:r>
        <w:r>
          <w:rPr>
            <w:rFonts w:asciiTheme="minorHAnsi" w:eastAsiaTheme="minorEastAsia" w:hAnsiTheme="minorHAnsi" w:cstheme="minorBidi"/>
            <w:b/>
            <w:bCs/>
            <w:noProof/>
            <w:szCs w:val="22"/>
          </w:rPr>
          <w:tab/>
        </w:r>
        <w:r>
          <w:rPr>
            <w:rStyle w:val="affa"/>
            <w:b/>
            <w:bCs/>
            <w:noProof/>
          </w:rPr>
          <w:t>释义</w:t>
        </w:r>
        <w:r>
          <w:rPr>
            <w:b/>
            <w:bCs/>
            <w:noProof/>
          </w:rPr>
          <w:tab/>
        </w:r>
        <w:r>
          <w:rPr>
            <w:b/>
            <w:bCs/>
            <w:noProof/>
          </w:rPr>
          <w:fldChar w:fldCharType="begin"/>
        </w:r>
        <w:r>
          <w:rPr>
            <w:b/>
            <w:bCs/>
            <w:noProof/>
          </w:rPr>
          <w:instrText xml:space="preserve"> PAGEREF _Toc89790248 \h </w:instrText>
        </w:r>
        <w:r>
          <w:rPr>
            <w:b/>
            <w:bCs/>
            <w:noProof/>
          </w:rPr>
        </w:r>
        <w:r>
          <w:rPr>
            <w:b/>
            <w:bCs/>
            <w:noProof/>
          </w:rPr>
          <w:fldChar w:fldCharType="separate"/>
        </w:r>
        <w:r w:rsidR="006C2665">
          <w:rPr>
            <w:b/>
            <w:bCs/>
            <w:noProof/>
          </w:rPr>
          <w:t>3</w:t>
        </w:r>
        <w:r>
          <w:rPr>
            <w:b/>
            <w:bCs/>
            <w:noProof/>
          </w:rPr>
          <w:fldChar w:fldCharType="end"/>
        </w:r>
      </w:hyperlink>
    </w:p>
    <w:p w14:paraId="17C26E4C" w14:textId="77777777" w:rsidR="00E57DAA" w:rsidRDefault="00EB41A1">
      <w:pPr>
        <w:pStyle w:val="TOC1"/>
        <w:rPr>
          <w:rFonts w:asciiTheme="minorHAnsi" w:eastAsiaTheme="minorEastAsia" w:hAnsiTheme="minorHAnsi" w:cstheme="minorBidi"/>
          <w:b/>
          <w:bCs/>
          <w:noProof/>
          <w:szCs w:val="22"/>
        </w:rPr>
      </w:pPr>
      <w:hyperlink w:anchor="_Toc89790249" w:history="1">
        <w:r w:rsidR="00AC4185">
          <w:rPr>
            <w:rStyle w:val="affa"/>
            <w:b/>
            <w:bCs/>
            <w:noProof/>
          </w:rPr>
          <w:t>第二节</w:t>
        </w:r>
        <w:r w:rsidR="00AC4185">
          <w:rPr>
            <w:rFonts w:asciiTheme="minorHAnsi" w:eastAsiaTheme="minorEastAsia" w:hAnsiTheme="minorHAnsi" w:cstheme="minorBidi"/>
            <w:b/>
            <w:bCs/>
            <w:noProof/>
            <w:szCs w:val="22"/>
          </w:rPr>
          <w:tab/>
        </w:r>
        <w:r w:rsidR="00AC4185">
          <w:rPr>
            <w:rStyle w:val="affa"/>
            <w:b/>
            <w:bCs/>
            <w:noProof/>
          </w:rPr>
          <w:t>公司简介和主要财务指标</w:t>
        </w:r>
        <w:r w:rsidR="00AC4185">
          <w:rPr>
            <w:b/>
            <w:bCs/>
            <w:noProof/>
          </w:rPr>
          <w:tab/>
        </w:r>
        <w:r w:rsidR="00AC4185">
          <w:rPr>
            <w:b/>
            <w:bCs/>
            <w:noProof/>
          </w:rPr>
          <w:fldChar w:fldCharType="begin"/>
        </w:r>
        <w:r w:rsidR="00AC4185">
          <w:rPr>
            <w:b/>
            <w:bCs/>
            <w:noProof/>
          </w:rPr>
          <w:instrText xml:space="preserve"> PAGEREF _Toc89790249 \h </w:instrText>
        </w:r>
        <w:r w:rsidR="00AC4185">
          <w:rPr>
            <w:b/>
            <w:bCs/>
            <w:noProof/>
          </w:rPr>
        </w:r>
        <w:r w:rsidR="00AC4185">
          <w:rPr>
            <w:b/>
            <w:bCs/>
            <w:noProof/>
          </w:rPr>
          <w:fldChar w:fldCharType="separate"/>
        </w:r>
        <w:r w:rsidR="006C2665">
          <w:rPr>
            <w:b/>
            <w:bCs/>
            <w:noProof/>
          </w:rPr>
          <w:t>4</w:t>
        </w:r>
        <w:r w:rsidR="00AC4185">
          <w:rPr>
            <w:b/>
            <w:bCs/>
            <w:noProof/>
          </w:rPr>
          <w:fldChar w:fldCharType="end"/>
        </w:r>
      </w:hyperlink>
    </w:p>
    <w:p w14:paraId="190E2A29" w14:textId="77777777" w:rsidR="00E57DAA" w:rsidRDefault="00EB41A1">
      <w:pPr>
        <w:pStyle w:val="TOC1"/>
        <w:rPr>
          <w:rFonts w:asciiTheme="minorHAnsi" w:eastAsiaTheme="minorEastAsia" w:hAnsiTheme="minorHAnsi" w:cstheme="minorBidi"/>
          <w:b/>
          <w:bCs/>
          <w:noProof/>
          <w:szCs w:val="22"/>
        </w:rPr>
      </w:pPr>
      <w:hyperlink w:anchor="_Toc89790250" w:history="1">
        <w:r w:rsidR="00AC4185">
          <w:rPr>
            <w:rStyle w:val="affa"/>
            <w:b/>
            <w:bCs/>
            <w:noProof/>
          </w:rPr>
          <w:t>第三节</w:t>
        </w:r>
        <w:r w:rsidR="00AC4185">
          <w:rPr>
            <w:rFonts w:asciiTheme="minorHAnsi" w:eastAsiaTheme="minorEastAsia" w:hAnsiTheme="minorHAnsi" w:cstheme="minorBidi"/>
            <w:b/>
            <w:bCs/>
            <w:noProof/>
            <w:szCs w:val="22"/>
          </w:rPr>
          <w:tab/>
        </w:r>
        <w:r w:rsidR="00AC4185">
          <w:rPr>
            <w:rStyle w:val="affa"/>
            <w:b/>
            <w:bCs/>
            <w:noProof/>
          </w:rPr>
          <w:t>管理层讨论与分析</w:t>
        </w:r>
        <w:r w:rsidR="00AC4185">
          <w:rPr>
            <w:b/>
            <w:bCs/>
            <w:noProof/>
          </w:rPr>
          <w:tab/>
        </w:r>
        <w:r w:rsidR="00AC4185">
          <w:rPr>
            <w:b/>
            <w:bCs/>
            <w:noProof/>
          </w:rPr>
          <w:fldChar w:fldCharType="begin"/>
        </w:r>
        <w:r w:rsidR="00AC4185">
          <w:rPr>
            <w:b/>
            <w:bCs/>
            <w:noProof/>
          </w:rPr>
          <w:instrText xml:space="preserve"> PAGEREF _Toc89790250 \h </w:instrText>
        </w:r>
        <w:r w:rsidR="00AC4185">
          <w:rPr>
            <w:b/>
            <w:bCs/>
            <w:noProof/>
          </w:rPr>
        </w:r>
        <w:r w:rsidR="00AC4185">
          <w:rPr>
            <w:b/>
            <w:bCs/>
            <w:noProof/>
          </w:rPr>
          <w:fldChar w:fldCharType="separate"/>
        </w:r>
        <w:r w:rsidR="006C2665">
          <w:rPr>
            <w:b/>
            <w:bCs/>
            <w:noProof/>
          </w:rPr>
          <w:t>9</w:t>
        </w:r>
        <w:r w:rsidR="00AC4185">
          <w:rPr>
            <w:b/>
            <w:bCs/>
            <w:noProof/>
          </w:rPr>
          <w:fldChar w:fldCharType="end"/>
        </w:r>
      </w:hyperlink>
    </w:p>
    <w:p w14:paraId="4F74247C" w14:textId="77777777" w:rsidR="00E57DAA" w:rsidRDefault="00EB41A1">
      <w:pPr>
        <w:pStyle w:val="TOC1"/>
        <w:rPr>
          <w:rFonts w:asciiTheme="minorHAnsi" w:eastAsiaTheme="minorEastAsia" w:hAnsiTheme="minorHAnsi" w:cstheme="minorBidi"/>
          <w:b/>
          <w:bCs/>
          <w:noProof/>
          <w:szCs w:val="22"/>
        </w:rPr>
      </w:pPr>
      <w:hyperlink w:anchor="_Toc89790251" w:history="1">
        <w:r w:rsidR="00AC4185">
          <w:rPr>
            <w:rStyle w:val="affa"/>
            <w:b/>
            <w:bCs/>
            <w:noProof/>
          </w:rPr>
          <w:t>第四节</w:t>
        </w:r>
        <w:r w:rsidR="00AC4185">
          <w:rPr>
            <w:rFonts w:asciiTheme="minorHAnsi" w:eastAsiaTheme="minorEastAsia" w:hAnsiTheme="minorHAnsi" w:cstheme="minorBidi"/>
            <w:b/>
            <w:bCs/>
            <w:noProof/>
            <w:szCs w:val="22"/>
          </w:rPr>
          <w:tab/>
        </w:r>
        <w:r w:rsidR="00AC4185">
          <w:rPr>
            <w:rStyle w:val="affa"/>
            <w:b/>
            <w:bCs/>
            <w:noProof/>
          </w:rPr>
          <w:t>公司治理</w:t>
        </w:r>
        <w:r w:rsidR="00AC4185">
          <w:rPr>
            <w:b/>
            <w:bCs/>
            <w:noProof/>
          </w:rPr>
          <w:tab/>
        </w:r>
        <w:r w:rsidR="00AC4185">
          <w:rPr>
            <w:b/>
            <w:bCs/>
            <w:noProof/>
          </w:rPr>
          <w:fldChar w:fldCharType="begin"/>
        </w:r>
        <w:r w:rsidR="00AC4185">
          <w:rPr>
            <w:b/>
            <w:bCs/>
            <w:noProof/>
          </w:rPr>
          <w:instrText xml:space="preserve"> PAGEREF _Toc89790251 \h </w:instrText>
        </w:r>
        <w:r w:rsidR="00AC4185">
          <w:rPr>
            <w:b/>
            <w:bCs/>
            <w:noProof/>
          </w:rPr>
        </w:r>
        <w:r w:rsidR="00AC4185">
          <w:rPr>
            <w:b/>
            <w:bCs/>
            <w:noProof/>
          </w:rPr>
          <w:fldChar w:fldCharType="separate"/>
        </w:r>
        <w:r w:rsidR="006C2665">
          <w:rPr>
            <w:b/>
            <w:bCs/>
            <w:noProof/>
          </w:rPr>
          <w:t>34</w:t>
        </w:r>
        <w:r w:rsidR="00AC4185">
          <w:rPr>
            <w:b/>
            <w:bCs/>
            <w:noProof/>
          </w:rPr>
          <w:fldChar w:fldCharType="end"/>
        </w:r>
      </w:hyperlink>
    </w:p>
    <w:p w14:paraId="35A88EBA" w14:textId="77777777" w:rsidR="00E57DAA" w:rsidRDefault="00EB41A1">
      <w:pPr>
        <w:pStyle w:val="TOC1"/>
        <w:rPr>
          <w:rFonts w:asciiTheme="minorHAnsi" w:eastAsiaTheme="minorEastAsia" w:hAnsiTheme="minorHAnsi" w:cstheme="minorBidi"/>
          <w:b/>
          <w:bCs/>
          <w:noProof/>
          <w:szCs w:val="22"/>
        </w:rPr>
      </w:pPr>
      <w:hyperlink w:anchor="_Toc89790252" w:history="1">
        <w:r w:rsidR="00AC4185">
          <w:rPr>
            <w:rStyle w:val="affa"/>
            <w:b/>
            <w:bCs/>
            <w:noProof/>
          </w:rPr>
          <w:t>第五节</w:t>
        </w:r>
        <w:r w:rsidR="00AC4185">
          <w:rPr>
            <w:rFonts w:asciiTheme="minorHAnsi" w:eastAsiaTheme="minorEastAsia" w:hAnsiTheme="minorHAnsi" w:cstheme="minorBidi"/>
            <w:b/>
            <w:bCs/>
            <w:noProof/>
            <w:szCs w:val="22"/>
          </w:rPr>
          <w:tab/>
        </w:r>
        <w:r w:rsidR="00AC4185">
          <w:rPr>
            <w:rStyle w:val="affa"/>
            <w:b/>
            <w:bCs/>
            <w:noProof/>
          </w:rPr>
          <w:t>环境与社会责任</w:t>
        </w:r>
        <w:r w:rsidR="00AC4185">
          <w:rPr>
            <w:b/>
            <w:bCs/>
            <w:noProof/>
          </w:rPr>
          <w:tab/>
        </w:r>
        <w:r w:rsidR="00AC4185">
          <w:rPr>
            <w:b/>
            <w:bCs/>
            <w:noProof/>
          </w:rPr>
          <w:fldChar w:fldCharType="begin"/>
        </w:r>
        <w:r w:rsidR="00AC4185">
          <w:rPr>
            <w:b/>
            <w:bCs/>
            <w:noProof/>
          </w:rPr>
          <w:instrText xml:space="preserve"> PAGEREF _Toc89790252 \h </w:instrText>
        </w:r>
        <w:r w:rsidR="00AC4185">
          <w:rPr>
            <w:b/>
            <w:bCs/>
            <w:noProof/>
          </w:rPr>
        </w:r>
        <w:r w:rsidR="00AC4185">
          <w:rPr>
            <w:b/>
            <w:bCs/>
            <w:noProof/>
          </w:rPr>
          <w:fldChar w:fldCharType="separate"/>
        </w:r>
        <w:r w:rsidR="006C2665">
          <w:rPr>
            <w:b/>
            <w:bCs/>
            <w:noProof/>
          </w:rPr>
          <w:t>54</w:t>
        </w:r>
        <w:r w:rsidR="00AC4185">
          <w:rPr>
            <w:b/>
            <w:bCs/>
            <w:noProof/>
          </w:rPr>
          <w:fldChar w:fldCharType="end"/>
        </w:r>
      </w:hyperlink>
    </w:p>
    <w:p w14:paraId="1E783BB5" w14:textId="77777777" w:rsidR="00E57DAA" w:rsidRDefault="00EB41A1">
      <w:pPr>
        <w:pStyle w:val="TOC1"/>
        <w:rPr>
          <w:rFonts w:asciiTheme="minorHAnsi" w:eastAsiaTheme="minorEastAsia" w:hAnsiTheme="minorHAnsi" w:cstheme="minorBidi"/>
          <w:b/>
          <w:bCs/>
          <w:noProof/>
          <w:szCs w:val="22"/>
        </w:rPr>
      </w:pPr>
      <w:hyperlink w:anchor="_Toc89790253" w:history="1">
        <w:r w:rsidR="00AC4185">
          <w:rPr>
            <w:rStyle w:val="affa"/>
            <w:b/>
            <w:bCs/>
            <w:noProof/>
          </w:rPr>
          <w:t>第六节</w:t>
        </w:r>
        <w:r w:rsidR="00AC4185">
          <w:rPr>
            <w:rFonts w:asciiTheme="minorHAnsi" w:eastAsiaTheme="minorEastAsia" w:hAnsiTheme="minorHAnsi" w:cstheme="minorBidi"/>
            <w:b/>
            <w:bCs/>
            <w:noProof/>
            <w:szCs w:val="22"/>
          </w:rPr>
          <w:tab/>
        </w:r>
        <w:r w:rsidR="00AC4185">
          <w:rPr>
            <w:rStyle w:val="affa"/>
            <w:b/>
            <w:bCs/>
            <w:noProof/>
          </w:rPr>
          <w:t>重要事项</w:t>
        </w:r>
        <w:r w:rsidR="00AC4185">
          <w:rPr>
            <w:b/>
            <w:bCs/>
            <w:noProof/>
          </w:rPr>
          <w:tab/>
        </w:r>
        <w:r w:rsidR="00AC4185">
          <w:rPr>
            <w:b/>
            <w:bCs/>
            <w:noProof/>
          </w:rPr>
          <w:fldChar w:fldCharType="begin"/>
        </w:r>
        <w:r w:rsidR="00AC4185">
          <w:rPr>
            <w:b/>
            <w:bCs/>
            <w:noProof/>
          </w:rPr>
          <w:instrText xml:space="preserve"> PAGEREF _Toc89790253 \h </w:instrText>
        </w:r>
        <w:r w:rsidR="00AC4185">
          <w:rPr>
            <w:b/>
            <w:bCs/>
            <w:noProof/>
          </w:rPr>
        </w:r>
        <w:r w:rsidR="00AC4185">
          <w:rPr>
            <w:b/>
            <w:bCs/>
            <w:noProof/>
          </w:rPr>
          <w:fldChar w:fldCharType="separate"/>
        </w:r>
        <w:r w:rsidR="006C2665">
          <w:rPr>
            <w:b/>
            <w:bCs/>
            <w:noProof/>
          </w:rPr>
          <w:t>57</w:t>
        </w:r>
        <w:r w:rsidR="00AC4185">
          <w:rPr>
            <w:b/>
            <w:bCs/>
            <w:noProof/>
          </w:rPr>
          <w:fldChar w:fldCharType="end"/>
        </w:r>
      </w:hyperlink>
    </w:p>
    <w:p w14:paraId="059742D5" w14:textId="77777777" w:rsidR="00E57DAA" w:rsidRDefault="00EB41A1">
      <w:pPr>
        <w:pStyle w:val="TOC1"/>
        <w:rPr>
          <w:rFonts w:asciiTheme="minorHAnsi" w:eastAsiaTheme="minorEastAsia" w:hAnsiTheme="minorHAnsi" w:cstheme="minorBidi"/>
          <w:b/>
          <w:bCs/>
          <w:noProof/>
          <w:szCs w:val="22"/>
        </w:rPr>
      </w:pPr>
      <w:hyperlink w:anchor="_Toc89790254" w:history="1">
        <w:r w:rsidR="00AC4185">
          <w:rPr>
            <w:rStyle w:val="affa"/>
            <w:b/>
            <w:bCs/>
            <w:noProof/>
          </w:rPr>
          <w:t>第七节</w:t>
        </w:r>
        <w:r w:rsidR="00AC4185">
          <w:rPr>
            <w:rFonts w:asciiTheme="minorHAnsi" w:eastAsiaTheme="minorEastAsia" w:hAnsiTheme="minorHAnsi" w:cstheme="minorBidi"/>
            <w:b/>
            <w:bCs/>
            <w:noProof/>
            <w:szCs w:val="22"/>
          </w:rPr>
          <w:tab/>
        </w:r>
        <w:r w:rsidR="00AC4185">
          <w:rPr>
            <w:rStyle w:val="affa"/>
            <w:b/>
            <w:bCs/>
            <w:noProof/>
          </w:rPr>
          <w:t>股份变动及股东情况</w:t>
        </w:r>
        <w:r w:rsidR="00AC4185">
          <w:rPr>
            <w:b/>
            <w:bCs/>
            <w:noProof/>
          </w:rPr>
          <w:tab/>
        </w:r>
        <w:r w:rsidR="00AC4185">
          <w:rPr>
            <w:b/>
            <w:bCs/>
            <w:noProof/>
          </w:rPr>
          <w:fldChar w:fldCharType="begin"/>
        </w:r>
        <w:r w:rsidR="00AC4185">
          <w:rPr>
            <w:b/>
            <w:bCs/>
            <w:noProof/>
          </w:rPr>
          <w:instrText xml:space="preserve"> PAGEREF _Toc89790254 \h </w:instrText>
        </w:r>
        <w:r w:rsidR="00AC4185">
          <w:rPr>
            <w:b/>
            <w:bCs/>
            <w:noProof/>
          </w:rPr>
        </w:r>
        <w:r w:rsidR="00AC4185">
          <w:rPr>
            <w:b/>
            <w:bCs/>
            <w:noProof/>
          </w:rPr>
          <w:fldChar w:fldCharType="separate"/>
        </w:r>
        <w:r w:rsidR="006C2665">
          <w:rPr>
            <w:b/>
            <w:bCs/>
            <w:noProof/>
          </w:rPr>
          <w:t>90</w:t>
        </w:r>
        <w:r w:rsidR="00AC4185">
          <w:rPr>
            <w:b/>
            <w:bCs/>
            <w:noProof/>
          </w:rPr>
          <w:fldChar w:fldCharType="end"/>
        </w:r>
      </w:hyperlink>
    </w:p>
    <w:p w14:paraId="16EBA213" w14:textId="77777777" w:rsidR="00E57DAA" w:rsidRDefault="00EB41A1">
      <w:pPr>
        <w:pStyle w:val="TOC1"/>
        <w:rPr>
          <w:rFonts w:asciiTheme="minorHAnsi" w:eastAsiaTheme="minorEastAsia" w:hAnsiTheme="minorHAnsi" w:cstheme="minorBidi"/>
          <w:b/>
          <w:bCs/>
          <w:noProof/>
          <w:szCs w:val="22"/>
        </w:rPr>
      </w:pPr>
      <w:hyperlink w:anchor="_Toc89790255" w:history="1">
        <w:r w:rsidR="00AC4185">
          <w:rPr>
            <w:rStyle w:val="affa"/>
            <w:b/>
            <w:bCs/>
            <w:noProof/>
          </w:rPr>
          <w:t>第八节</w:t>
        </w:r>
        <w:r w:rsidR="00AC4185">
          <w:rPr>
            <w:rFonts w:asciiTheme="minorHAnsi" w:eastAsiaTheme="minorEastAsia" w:hAnsiTheme="minorHAnsi" w:cstheme="minorBidi"/>
            <w:b/>
            <w:bCs/>
            <w:noProof/>
            <w:szCs w:val="22"/>
          </w:rPr>
          <w:tab/>
        </w:r>
        <w:r w:rsidR="00AC4185">
          <w:rPr>
            <w:rStyle w:val="affa"/>
            <w:b/>
            <w:bCs/>
            <w:noProof/>
          </w:rPr>
          <w:t>优先股相关情况</w:t>
        </w:r>
        <w:r w:rsidR="00AC4185">
          <w:rPr>
            <w:b/>
            <w:bCs/>
            <w:noProof/>
          </w:rPr>
          <w:tab/>
        </w:r>
        <w:r w:rsidR="00AC4185">
          <w:rPr>
            <w:b/>
            <w:bCs/>
            <w:noProof/>
          </w:rPr>
          <w:fldChar w:fldCharType="begin"/>
        </w:r>
        <w:r w:rsidR="00AC4185">
          <w:rPr>
            <w:b/>
            <w:bCs/>
            <w:noProof/>
          </w:rPr>
          <w:instrText xml:space="preserve"> PAGEREF _Toc89790255 \h </w:instrText>
        </w:r>
        <w:r w:rsidR="00AC4185">
          <w:rPr>
            <w:b/>
            <w:bCs/>
            <w:noProof/>
          </w:rPr>
        </w:r>
        <w:r w:rsidR="00AC4185">
          <w:rPr>
            <w:b/>
            <w:bCs/>
            <w:noProof/>
          </w:rPr>
          <w:fldChar w:fldCharType="separate"/>
        </w:r>
        <w:r w:rsidR="006C2665">
          <w:rPr>
            <w:b/>
            <w:bCs/>
            <w:noProof/>
          </w:rPr>
          <w:t>101</w:t>
        </w:r>
        <w:r w:rsidR="00AC4185">
          <w:rPr>
            <w:b/>
            <w:bCs/>
            <w:noProof/>
          </w:rPr>
          <w:fldChar w:fldCharType="end"/>
        </w:r>
      </w:hyperlink>
    </w:p>
    <w:p w14:paraId="68B56B52" w14:textId="77777777" w:rsidR="00E57DAA" w:rsidRDefault="00EB41A1">
      <w:pPr>
        <w:pStyle w:val="TOC1"/>
        <w:rPr>
          <w:rFonts w:asciiTheme="minorHAnsi" w:eastAsiaTheme="minorEastAsia" w:hAnsiTheme="minorHAnsi" w:cstheme="minorBidi"/>
          <w:b/>
          <w:bCs/>
          <w:noProof/>
          <w:szCs w:val="22"/>
        </w:rPr>
      </w:pPr>
      <w:hyperlink w:anchor="_Toc89790256" w:history="1">
        <w:r w:rsidR="00AC4185">
          <w:rPr>
            <w:rStyle w:val="affa"/>
            <w:b/>
            <w:bCs/>
            <w:noProof/>
          </w:rPr>
          <w:t>第九节</w:t>
        </w:r>
        <w:r w:rsidR="00AC4185">
          <w:rPr>
            <w:rFonts w:asciiTheme="minorHAnsi" w:eastAsiaTheme="minorEastAsia" w:hAnsiTheme="minorHAnsi" w:cstheme="minorBidi"/>
            <w:b/>
            <w:bCs/>
            <w:noProof/>
            <w:szCs w:val="22"/>
          </w:rPr>
          <w:tab/>
        </w:r>
        <w:r w:rsidR="00AC4185">
          <w:rPr>
            <w:rStyle w:val="affa"/>
            <w:b/>
            <w:bCs/>
            <w:noProof/>
          </w:rPr>
          <w:t>债券相关情况</w:t>
        </w:r>
        <w:r w:rsidR="00AC4185">
          <w:rPr>
            <w:b/>
            <w:bCs/>
            <w:noProof/>
          </w:rPr>
          <w:tab/>
        </w:r>
        <w:r w:rsidR="00AC4185">
          <w:rPr>
            <w:b/>
            <w:bCs/>
            <w:noProof/>
          </w:rPr>
          <w:fldChar w:fldCharType="begin"/>
        </w:r>
        <w:r w:rsidR="00AC4185">
          <w:rPr>
            <w:b/>
            <w:bCs/>
            <w:noProof/>
          </w:rPr>
          <w:instrText xml:space="preserve"> PAGEREF _Toc89790256 \h </w:instrText>
        </w:r>
        <w:r w:rsidR="00AC4185">
          <w:rPr>
            <w:b/>
            <w:bCs/>
            <w:noProof/>
          </w:rPr>
        </w:r>
        <w:r w:rsidR="00AC4185">
          <w:rPr>
            <w:b/>
            <w:bCs/>
            <w:noProof/>
          </w:rPr>
          <w:fldChar w:fldCharType="separate"/>
        </w:r>
        <w:r w:rsidR="006C2665">
          <w:rPr>
            <w:b/>
            <w:bCs/>
            <w:noProof/>
          </w:rPr>
          <w:t>102</w:t>
        </w:r>
        <w:r w:rsidR="00AC4185">
          <w:rPr>
            <w:b/>
            <w:bCs/>
            <w:noProof/>
          </w:rPr>
          <w:fldChar w:fldCharType="end"/>
        </w:r>
      </w:hyperlink>
    </w:p>
    <w:p w14:paraId="12E32061" w14:textId="77777777" w:rsidR="00E57DAA" w:rsidRDefault="00EB41A1">
      <w:pPr>
        <w:pStyle w:val="TOC1"/>
        <w:rPr>
          <w:rStyle w:val="affa"/>
          <w:b/>
          <w:bCs/>
          <w:noProof/>
        </w:rPr>
      </w:pPr>
      <w:hyperlink w:anchor="_Toc89790257" w:history="1">
        <w:r w:rsidR="00AC4185">
          <w:rPr>
            <w:rStyle w:val="affa"/>
            <w:rFonts w:ascii="宋体" w:hAnsi="宋体"/>
            <w:b/>
            <w:bCs/>
            <w:noProof/>
          </w:rPr>
          <w:t>第十节</w:t>
        </w:r>
        <w:r w:rsidR="00AC4185">
          <w:rPr>
            <w:rFonts w:asciiTheme="minorHAnsi" w:eastAsiaTheme="minorEastAsia" w:hAnsiTheme="minorHAnsi" w:cstheme="minorBidi"/>
            <w:b/>
            <w:bCs/>
            <w:noProof/>
            <w:szCs w:val="22"/>
          </w:rPr>
          <w:tab/>
        </w:r>
        <w:r w:rsidR="00AC4185">
          <w:rPr>
            <w:rStyle w:val="affa"/>
            <w:rFonts w:ascii="宋体" w:hAnsi="宋体"/>
            <w:b/>
            <w:bCs/>
            <w:noProof/>
          </w:rPr>
          <w:t>财务报告</w:t>
        </w:r>
        <w:r w:rsidR="00AC4185">
          <w:rPr>
            <w:b/>
            <w:bCs/>
            <w:noProof/>
          </w:rPr>
          <w:tab/>
        </w:r>
        <w:r w:rsidR="00AC4185">
          <w:rPr>
            <w:b/>
            <w:bCs/>
            <w:noProof/>
          </w:rPr>
          <w:fldChar w:fldCharType="begin"/>
        </w:r>
        <w:r w:rsidR="00AC4185">
          <w:rPr>
            <w:b/>
            <w:bCs/>
            <w:noProof/>
          </w:rPr>
          <w:instrText xml:space="preserve"> PAGEREF _Toc89790257 \h </w:instrText>
        </w:r>
        <w:r w:rsidR="00AC4185">
          <w:rPr>
            <w:b/>
            <w:bCs/>
            <w:noProof/>
          </w:rPr>
        </w:r>
        <w:r w:rsidR="00AC4185">
          <w:rPr>
            <w:b/>
            <w:bCs/>
            <w:noProof/>
          </w:rPr>
          <w:fldChar w:fldCharType="separate"/>
        </w:r>
        <w:r w:rsidR="006C2665">
          <w:rPr>
            <w:b/>
            <w:bCs/>
            <w:noProof/>
          </w:rPr>
          <w:t>108</w:t>
        </w:r>
        <w:r w:rsidR="00AC4185">
          <w:rPr>
            <w:b/>
            <w:bCs/>
            <w:noProof/>
          </w:rPr>
          <w:fldChar w:fldCharType="end"/>
        </w:r>
      </w:hyperlink>
    </w:p>
    <w:p w14:paraId="2E5DD8D2" w14:textId="77777777" w:rsidR="00E57DAA" w:rsidRDefault="00E57DAA" w:rsidP="00C25422">
      <w:pPr>
        <w:pStyle w:val="92"/>
        <w:rPr>
          <w:noProof/>
        </w:rPr>
      </w:pPr>
    </w:p>
    <w:p w14:paraId="6153B0E0" w14:textId="77777777" w:rsidR="00E57DAA" w:rsidRDefault="00AC4185" w:rsidP="00C25422">
      <w:pPr>
        <w:pStyle w:val="92"/>
      </w:pPr>
      <w:r>
        <w:fldChar w:fldCharType="end"/>
      </w:r>
      <w:bookmarkStart w:id="9" w:name="_Toc437440708"/>
      <w:bookmarkStart w:id="10" w:name="_Toc407111354"/>
      <w:bookmarkStart w:id="11" w:name="_Toc89790248"/>
      <w:bookmarkStart w:id="12" w:name="_Toc436392761"/>
    </w:p>
    <w:p w14:paraId="62B5713E" w14:textId="77777777" w:rsidR="00E57DAA" w:rsidRDefault="00E57DAA">
      <w:pPr>
        <w:spacing w:line="360" w:lineRule="exact"/>
        <w:ind w:right="5"/>
        <w:rPr>
          <w:b/>
          <w:bCs/>
          <w:sz w:val="24"/>
        </w:rPr>
      </w:pPr>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276"/>
        <w:gridCol w:w="6547"/>
      </w:tblGrid>
      <w:bookmarkStart w:id="13" w:name="_Hlk90888086" w:displacedByCustomXml="next"/>
      <w:bookmarkStart w:id="14" w:name="_Hlk90893687" w:displacedByCustomXml="next"/>
      <w:bookmarkStart w:id="15" w:name="_Hlk90891770" w:displacedByCustomXml="next"/>
      <w:sdt>
        <w:sdtPr>
          <w:alias w:val="备查文件情况"/>
          <w:tag w:val="_TUP_bb3c6eba15bb4f89aaabf5b28bea5766"/>
          <w:id w:val="-2096007339"/>
          <w:placeholder>
            <w:docPart w:val="GBC11111111111111111111111111111"/>
          </w:placeholder>
        </w:sdtPr>
        <w:sdtEndPr/>
        <w:sdtContent>
          <w:tr w:rsidR="00E57DAA" w14:paraId="7EF41749" w14:textId="77777777">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786246925"/>
                </w:sdtPr>
                <w:sdtEndPr/>
                <w:sdtContent>
                  <w:p w14:paraId="65C638A1" w14:textId="77777777" w:rsidR="00E57DAA" w:rsidRDefault="00AC4185">
                    <w:pPr>
                      <w:autoSpaceDE w:val="0"/>
                      <w:autoSpaceDN w:val="0"/>
                      <w:adjustRightInd w:val="0"/>
                      <w:jc w:val="center"/>
                    </w:pPr>
                    <w:r>
                      <w:t>备查文件目录</w:t>
                    </w:r>
                  </w:p>
                </w:sdtContent>
              </w:sdt>
            </w:tc>
            <w:sdt>
              <w:sdtPr>
                <w:alias w:val="备查文件目录"/>
                <w:tag w:val="_GBC_0c6e892b0eee4faaa5b2883811d0eed4"/>
                <w:id w:val="-1512218449"/>
              </w:sdtPr>
              <w:sdtEndPr/>
              <w:sdtContent>
                <w:tc>
                  <w:tcPr>
                    <w:tcW w:w="3710" w:type="pct"/>
                    <w:tcBorders>
                      <w:top w:val="single" w:sz="4" w:space="0" w:color="auto"/>
                      <w:left w:val="single" w:sz="4" w:space="0" w:color="auto"/>
                      <w:bottom w:val="single" w:sz="4" w:space="0" w:color="auto"/>
                      <w:right w:val="single" w:sz="4" w:space="0" w:color="auto"/>
                    </w:tcBorders>
                  </w:tcPr>
                  <w:p w14:paraId="007761EB" w14:textId="77777777" w:rsidR="00E57DAA" w:rsidRDefault="00AC4185">
                    <w:pPr>
                      <w:autoSpaceDE w:val="0"/>
                      <w:autoSpaceDN w:val="0"/>
                      <w:adjustRightInd w:val="0"/>
                    </w:pPr>
                    <w:r>
                      <w:rPr>
                        <w:rFonts w:hint="eastAsia"/>
                      </w:rPr>
                      <w:t>载有公司负责人、主管会计工作负责人、会计机构负责人签名并盖章的会计报表</w:t>
                    </w:r>
                  </w:p>
                </w:tc>
              </w:sdtContent>
            </w:sdt>
          </w:tr>
        </w:sdtContent>
      </w:sdt>
      <w:tr w:rsidR="00E57DAA" w14:paraId="3CCADA0F"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752E3E15" w14:textId="77777777" w:rsidR="00E57DAA" w:rsidRDefault="00E57DAA" w:rsidP="00C25422">
            <w:pPr>
              <w:pStyle w:val="92"/>
            </w:pPr>
          </w:p>
        </w:tc>
        <w:tc>
          <w:tcPr>
            <w:tcW w:w="3710" w:type="pct"/>
            <w:tcBorders>
              <w:top w:val="single" w:sz="4" w:space="0" w:color="auto"/>
              <w:left w:val="single" w:sz="4" w:space="0" w:color="auto"/>
              <w:bottom w:val="single" w:sz="4" w:space="0" w:color="auto"/>
              <w:right w:val="single" w:sz="4" w:space="0" w:color="auto"/>
            </w:tcBorders>
          </w:tcPr>
          <w:p w14:paraId="0A10AD09" w14:textId="77777777" w:rsidR="00E57DAA" w:rsidRDefault="00AC4185">
            <w:pPr>
              <w:autoSpaceDE w:val="0"/>
              <w:autoSpaceDN w:val="0"/>
              <w:adjustRightInd w:val="0"/>
            </w:pPr>
            <w:r>
              <w:rPr>
                <w:rFonts w:hint="eastAsia"/>
              </w:rPr>
              <w:t>载有会计师事务所盖章、注册会计师签名并盖章的审计报告正本</w:t>
            </w:r>
          </w:p>
        </w:tc>
      </w:tr>
      <w:tr w:rsidR="00E57DAA" w14:paraId="578D10B3"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4D1C363C" w14:textId="77777777" w:rsidR="00E57DAA" w:rsidRDefault="00E57DAA" w:rsidP="00C25422">
            <w:pPr>
              <w:pStyle w:val="92"/>
            </w:pPr>
          </w:p>
        </w:tc>
        <w:tc>
          <w:tcPr>
            <w:tcW w:w="3710" w:type="pct"/>
            <w:tcBorders>
              <w:top w:val="single" w:sz="4" w:space="0" w:color="auto"/>
              <w:left w:val="single" w:sz="4" w:space="0" w:color="auto"/>
              <w:bottom w:val="single" w:sz="4" w:space="0" w:color="auto"/>
              <w:right w:val="single" w:sz="4" w:space="0" w:color="auto"/>
            </w:tcBorders>
          </w:tcPr>
          <w:p w14:paraId="4E596BE5" w14:textId="77777777" w:rsidR="00E57DAA" w:rsidRDefault="00AC4185">
            <w:pPr>
              <w:autoSpaceDE w:val="0"/>
              <w:autoSpaceDN w:val="0"/>
              <w:adjustRightInd w:val="0"/>
            </w:pPr>
            <w:r>
              <w:rPr>
                <w:rFonts w:hint="eastAsia"/>
              </w:rPr>
              <w:t>报告期内公开披露过的所有公司文件的正本及公告原稿</w:t>
            </w:r>
          </w:p>
        </w:tc>
      </w:tr>
      <w:bookmarkEnd w:id="13"/>
    </w:tbl>
    <w:p w14:paraId="59C67B11" w14:textId="77777777" w:rsidR="00E57DAA" w:rsidRDefault="00E57DAA">
      <w:pPr>
        <w:spacing w:line="360" w:lineRule="exact"/>
        <w:jc w:val="right"/>
      </w:pPr>
    </w:p>
    <w:bookmarkEnd w:id="14"/>
    <w:p w14:paraId="2E6C256D" w14:textId="77777777" w:rsidR="00E57DAA" w:rsidRDefault="00E57DAA" w:rsidP="00C25422">
      <w:pPr>
        <w:pStyle w:val="92"/>
      </w:pPr>
    </w:p>
    <w:p w14:paraId="05E48FCE" w14:textId="77777777" w:rsidR="00E57DAA" w:rsidRDefault="00E57DAA" w:rsidP="00C25422">
      <w:pPr>
        <w:pStyle w:val="92"/>
      </w:pPr>
    </w:p>
    <w:bookmarkEnd w:id="15"/>
    <w:p w14:paraId="2C6D9712" w14:textId="77777777" w:rsidR="00E57DAA" w:rsidRDefault="00E57DAA">
      <w:pPr>
        <w:sectPr w:rsidR="00E57DAA" w:rsidSect="00226547">
          <w:pgSz w:w="11906" w:h="16838"/>
          <w:pgMar w:top="1440" w:right="1797" w:bottom="1525" w:left="1276" w:header="855" w:footer="992" w:gutter="0"/>
          <w:cols w:space="425"/>
          <w:docGrid w:linePitch="312"/>
        </w:sectPr>
      </w:pPr>
    </w:p>
    <w:p w14:paraId="03496117" w14:textId="77777777" w:rsidR="00E57DAA" w:rsidRDefault="00AC4185" w:rsidP="00E76E97">
      <w:pPr>
        <w:pStyle w:val="1"/>
      </w:pPr>
      <w:r>
        <w:rPr>
          <w:rFonts w:hint="eastAsia"/>
        </w:rPr>
        <w:lastRenderedPageBreak/>
        <w:t>释义</w:t>
      </w:r>
      <w:bookmarkEnd w:id="9"/>
      <w:bookmarkEnd w:id="10"/>
      <w:bookmarkEnd w:id="11"/>
      <w:bookmarkEnd w:id="12"/>
    </w:p>
    <w:p w14:paraId="311E50C6" w14:textId="77777777" w:rsidR="00E57DAA" w:rsidRDefault="00AC4185">
      <w:pPr>
        <w:pStyle w:val="2"/>
        <w:numPr>
          <w:ilvl w:val="0"/>
          <w:numId w:val="4"/>
        </w:numPr>
      </w:pPr>
      <w:r>
        <w:t>释义</w:t>
      </w:r>
    </w:p>
    <w:p w14:paraId="730D9638" w14:textId="77777777" w:rsidR="00E57DAA" w:rsidRDefault="00AC4185">
      <w:pPr>
        <w:rPr>
          <w:szCs w:val="21"/>
        </w:rPr>
      </w:pPr>
      <w:r>
        <w:rPr>
          <w:szCs w:val="21"/>
        </w:rPr>
        <w:t>在本报告书中，除非文义另有所指，下列词语具有如下含义：</w:t>
      </w:r>
    </w:p>
    <w:tbl>
      <w:tblPr>
        <w:tblStyle w:val="aff6"/>
        <w:tblW w:w="0" w:type="auto"/>
        <w:tblLook w:val="04A0" w:firstRow="1" w:lastRow="0" w:firstColumn="1" w:lastColumn="0" w:noHBand="0" w:noVBand="1"/>
      </w:tblPr>
      <w:tblGrid>
        <w:gridCol w:w="2122"/>
        <w:gridCol w:w="426"/>
        <w:gridCol w:w="6275"/>
      </w:tblGrid>
      <w:tr w:rsidR="00E57DAA" w14:paraId="63258943" w14:textId="77777777">
        <w:bookmarkStart w:id="16" w:name="_Toc436392762" w:displacedByCustomXml="next"/>
        <w:bookmarkStart w:id="17" w:name="_Toc407111355" w:displacedByCustomXml="next"/>
        <w:bookmarkStart w:id="18" w:name="_Toc437440709" w:displacedByCustomXml="next"/>
        <w:bookmarkStart w:id="19" w:name="_Toc89790249" w:displacedByCustomXml="next"/>
        <w:sdt>
          <w:sdtPr>
            <w:tag w:val="_PLD_bf37a984a1d34209a94aac58652eb6b9"/>
            <w:id w:val="1691107509"/>
          </w:sdtPr>
          <w:sdtEndPr/>
          <w:sdtContent>
            <w:tc>
              <w:tcPr>
                <w:tcW w:w="8823" w:type="dxa"/>
                <w:gridSpan w:val="3"/>
              </w:tcPr>
              <w:p w14:paraId="6B48CE77" w14:textId="77777777" w:rsidR="00E57DAA" w:rsidRDefault="00AC4185" w:rsidP="00C25422">
                <w:pPr>
                  <w:pStyle w:val="92"/>
                </w:pPr>
                <w:r>
                  <w:t>常用词语释义</w:t>
                </w:r>
              </w:p>
            </w:tc>
          </w:sdtContent>
        </w:sdt>
      </w:tr>
      <w:tr w:rsidR="00E57DAA" w14:paraId="7C3B9D42" w14:textId="77777777">
        <w:tc>
          <w:tcPr>
            <w:tcW w:w="2122" w:type="dxa"/>
          </w:tcPr>
          <w:p w14:paraId="320FCE0B" w14:textId="77777777" w:rsidR="00E57DAA" w:rsidRDefault="00AC4185" w:rsidP="00C25422">
            <w:pPr>
              <w:pStyle w:val="92"/>
            </w:pPr>
            <w:r>
              <w:rPr>
                <w:rFonts w:hint="eastAsia"/>
              </w:rPr>
              <w:t>中国证监会</w:t>
            </w:r>
          </w:p>
        </w:tc>
        <w:tc>
          <w:tcPr>
            <w:tcW w:w="425" w:type="dxa"/>
          </w:tcPr>
          <w:p w14:paraId="23605BC2" w14:textId="77777777" w:rsidR="00E57DAA" w:rsidRDefault="00AC4185">
            <w:pPr>
              <w:jc w:val="center"/>
              <w:rPr>
                <w:highlight w:val="lightGray"/>
              </w:rPr>
            </w:pPr>
            <w:r>
              <w:rPr>
                <w:rFonts w:hint="eastAsia"/>
              </w:rPr>
              <w:t>指</w:t>
            </w:r>
          </w:p>
        </w:tc>
        <w:tc>
          <w:tcPr>
            <w:tcW w:w="6276" w:type="dxa"/>
          </w:tcPr>
          <w:p w14:paraId="42ACDA33" w14:textId="77777777" w:rsidR="00E57DAA" w:rsidRDefault="00AC4185" w:rsidP="00C25422">
            <w:pPr>
              <w:pStyle w:val="92"/>
            </w:pPr>
            <w:r>
              <w:rPr>
                <w:rFonts w:hint="eastAsia"/>
              </w:rPr>
              <w:t>中国证券监督管理委员会</w:t>
            </w:r>
          </w:p>
        </w:tc>
      </w:tr>
      <w:tr w:rsidR="00E57DAA" w14:paraId="6FD5003C" w14:textId="77777777">
        <w:tc>
          <w:tcPr>
            <w:tcW w:w="2122" w:type="dxa"/>
          </w:tcPr>
          <w:p w14:paraId="160CD8CD" w14:textId="77777777" w:rsidR="00E57DAA" w:rsidRDefault="00AC4185" w:rsidP="00C25422">
            <w:pPr>
              <w:pStyle w:val="92"/>
            </w:pPr>
            <w:r>
              <w:rPr>
                <w:rFonts w:hint="eastAsia"/>
              </w:rPr>
              <w:t>上交所</w:t>
            </w:r>
          </w:p>
        </w:tc>
        <w:tc>
          <w:tcPr>
            <w:tcW w:w="425" w:type="dxa"/>
          </w:tcPr>
          <w:p w14:paraId="05E5F2A3" w14:textId="77777777" w:rsidR="00E57DAA" w:rsidRDefault="00AC4185">
            <w:pPr>
              <w:jc w:val="center"/>
              <w:rPr>
                <w:highlight w:val="lightGray"/>
              </w:rPr>
            </w:pPr>
            <w:r>
              <w:rPr>
                <w:rFonts w:hint="eastAsia"/>
              </w:rPr>
              <w:t>指</w:t>
            </w:r>
          </w:p>
        </w:tc>
        <w:tc>
          <w:tcPr>
            <w:tcW w:w="6276" w:type="dxa"/>
          </w:tcPr>
          <w:p w14:paraId="619A1999" w14:textId="77777777" w:rsidR="00E57DAA" w:rsidRDefault="00AC4185" w:rsidP="00C25422">
            <w:pPr>
              <w:pStyle w:val="92"/>
            </w:pPr>
            <w:r>
              <w:t>上海证券交易所</w:t>
            </w:r>
          </w:p>
        </w:tc>
      </w:tr>
      <w:tr w:rsidR="00E57DAA" w14:paraId="559DD940" w14:textId="77777777">
        <w:tc>
          <w:tcPr>
            <w:tcW w:w="2122" w:type="dxa"/>
          </w:tcPr>
          <w:p w14:paraId="5976EF16" w14:textId="77777777" w:rsidR="00E57DAA" w:rsidRDefault="00AC4185" w:rsidP="00C25422">
            <w:pPr>
              <w:pStyle w:val="92"/>
            </w:pPr>
            <w:r>
              <w:t>公司、本公司或中材国际</w:t>
            </w:r>
          </w:p>
        </w:tc>
        <w:tc>
          <w:tcPr>
            <w:tcW w:w="425" w:type="dxa"/>
          </w:tcPr>
          <w:p w14:paraId="42BF1168" w14:textId="77777777" w:rsidR="00E57DAA" w:rsidRDefault="00AC4185">
            <w:pPr>
              <w:jc w:val="center"/>
            </w:pPr>
            <w:r>
              <w:t>指</w:t>
            </w:r>
          </w:p>
        </w:tc>
        <w:tc>
          <w:tcPr>
            <w:tcW w:w="6276" w:type="dxa"/>
          </w:tcPr>
          <w:p w14:paraId="370BAAA2" w14:textId="77777777" w:rsidR="00E57DAA" w:rsidRDefault="00AC4185" w:rsidP="00C25422">
            <w:pPr>
              <w:pStyle w:val="92"/>
            </w:pPr>
            <w:r>
              <w:t>中国中材国际工程股份有限公司</w:t>
            </w:r>
          </w:p>
        </w:tc>
      </w:tr>
      <w:tr w:rsidR="00E57DAA" w14:paraId="0FE597DD" w14:textId="77777777">
        <w:tc>
          <w:tcPr>
            <w:tcW w:w="2122" w:type="dxa"/>
          </w:tcPr>
          <w:p w14:paraId="23A44245" w14:textId="77777777" w:rsidR="00E57DAA" w:rsidRDefault="00AC4185" w:rsidP="00C25422">
            <w:pPr>
              <w:pStyle w:val="92"/>
            </w:pPr>
            <w:r>
              <w:t>本集团</w:t>
            </w:r>
          </w:p>
        </w:tc>
        <w:tc>
          <w:tcPr>
            <w:tcW w:w="425" w:type="dxa"/>
          </w:tcPr>
          <w:p w14:paraId="6F8F189F" w14:textId="77777777" w:rsidR="00E57DAA" w:rsidRDefault="00AC4185">
            <w:pPr>
              <w:jc w:val="center"/>
            </w:pPr>
            <w:r>
              <w:t>指</w:t>
            </w:r>
          </w:p>
        </w:tc>
        <w:tc>
          <w:tcPr>
            <w:tcW w:w="6276" w:type="dxa"/>
          </w:tcPr>
          <w:p w14:paraId="5FB07782" w14:textId="77777777" w:rsidR="00E57DAA" w:rsidRDefault="00AC4185" w:rsidP="00C25422">
            <w:pPr>
              <w:pStyle w:val="92"/>
            </w:pPr>
            <w:r>
              <w:t>中国中材国际工程股份有限公司及全资、控股企业</w:t>
            </w:r>
          </w:p>
        </w:tc>
      </w:tr>
      <w:tr w:rsidR="00E57DAA" w14:paraId="4BB021D3" w14:textId="77777777">
        <w:tc>
          <w:tcPr>
            <w:tcW w:w="2122" w:type="dxa"/>
          </w:tcPr>
          <w:p w14:paraId="75FFA065" w14:textId="77777777" w:rsidR="00E57DAA" w:rsidRDefault="00AC4185" w:rsidP="00C25422">
            <w:pPr>
              <w:pStyle w:val="92"/>
            </w:pPr>
            <w:r>
              <w:t>中国建材股份、中国建材</w:t>
            </w:r>
          </w:p>
        </w:tc>
        <w:tc>
          <w:tcPr>
            <w:tcW w:w="425" w:type="dxa"/>
          </w:tcPr>
          <w:p w14:paraId="6AB93BD9" w14:textId="77777777" w:rsidR="00E57DAA" w:rsidRDefault="00AC4185">
            <w:pPr>
              <w:jc w:val="center"/>
            </w:pPr>
            <w:r>
              <w:t>指</w:t>
            </w:r>
          </w:p>
        </w:tc>
        <w:tc>
          <w:tcPr>
            <w:tcW w:w="6276" w:type="dxa"/>
          </w:tcPr>
          <w:p w14:paraId="5F39E918" w14:textId="77777777" w:rsidR="00E57DAA" w:rsidRDefault="00AC4185" w:rsidP="00C25422">
            <w:pPr>
              <w:pStyle w:val="92"/>
            </w:pPr>
            <w:r>
              <w:t>中国建材股份有限公司，系公司控股股东。</w:t>
            </w:r>
          </w:p>
        </w:tc>
      </w:tr>
      <w:tr w:rsidR="00E57DAA" w14:paraId="720554FE" w14:textId="77777777">
        <w:tc>
          <w:tcPr>
            <w:tcW w:w="2122" w:type="dxa"/>
          </w:tcPr>
          <w:p w14:paraId="3F0E68E7" w14:textId="77777777" w:rsidR="00E57DAA" w:rsidRDefault="00AC4185" w:rsidP="00C25422">
            <w:pPr>
              <w:pStyle w:val="92"/>
            </w:pPr>
            <w:r>
              <w:t>中材集团</w:t>
            </w:r>
          </w:p>
        </w:tc>
        <w:tc>
          <w:tcPr>
            <w:tcW w:w="425" w:type="dxa"/>
          </w:tcPr>
          <w:p w14:paraId="26DB4A2D" w14:textId="77777777" w:rsidR="00E57DAA" w:rsidRDefault="00AC4185">
            <w:pPr>
              <w:jc w:val="center"/>
            </w:pPr>
            <w:r>
              <w:t>指</w:t>
            </w:r>
          </w:p>
        </w:tc>
        <w:tc>
          <w:tcPr>
            <w:tcW w:w="6276" w:type="dxa"/>
          </w:tcPr>
          <w:p w14:paraId="45B9552C" w14:textId="77777777" w:rsidR="00E57DAA" w:rsidRDefault="00AC4185" w:rsidP="00C25422">
            <w:pPr>
              <w:pStyle w:val="92"/>
            </w:pPr>
            <w:r>
              <w:t>中国中材集团有限公司</w:t>
            </w:r>
          </w:p>
        </w:tc>
      </w:tr>
      <w:tr w:rsidR="00E57DAA" w14:paraId="155EA18E" w14:textId="77777777">
        <w:tc>
          <w:tcPr>
            <w:tcW w:w="2122" w:type="dxa"/>
          </w:tcPr>
          <w:p w14:paraId="519A9693" w14:textId="77777777" w:rsidR="00E57DAA" w:rsidRDefault="00AC4185" w:rsidP="00C25422">
            <w:pPr>
              <w:pStyle w:val="92"/>
            </w:pPr>
            <w:r>
              <w:t>中国建材集团</w:t>
            </w:r>
          </w:p>
        </w:tc>
        <w:tc>
          <w:tcPr>
            <w:tcW w:w="425" w:type="dxa"/>
          </w:tcPr>
          <w:p w14:paraId="328F5A72" w14:textId="77777777" w:rsidR="00E57DAA" w:rsidRDefault="00AC4185">
            <w:pPr>
              <w:jc w:val="center"/>
            </w:pPr>
            <w:r>
              <w:t>指</w:t>
            </w:r>
          </w:p>
        </w:tc>
        <w:tc>
          <w:tcPr>
            <w:tcW w:w="6276" w:type="dxa"/>
          </w:tcPr>
          <w:p w14:paraId="408DA779" w14:textId="77777777" w:rsidR="00E57DAA" w:rsidRDefault="00AC4185" w:rsidP="00C25422">
            <w:pPr>
              <w:pStyle w:val="92"/>
            </w:pPr>
            <w:r>
              <w:t>中国建材集团有限公司，系公司间接控股股东。</w:t>
            </w:r>
          </w:p>
        </w:tc>
      </w:tr>
      <w:tr w:rsidR="00E57DAA" w14:paraId="373BAB6A" w14:textId="77777777">
        <w:tc>
          <w:tcPr>
            <w:tcW w:w="2122" w:type="dxa"/>
          </w:tcPr>
          <w:p w14:paraId="6A687AD5" w14:textId="77777777" w:rsidR="00E57DAA" w:rsidRDefault="00AC4185" w:rsidP="00C25422">
            <w:pPr>
              <w:pStyle w:val="92"/>
            </w:pPr>
            <w:r>
              <w:t>元、万元、亿元</w:t>
            </w:r>
          </w:p>
        </w:tc>
        <w:tc>
          <w:tcPr>
            <w:tcW w:w="425" w:type="dxa"/>
          </w:tcPr>
          <w:p w14:paraId="453D2AB3" w14:textId="77777777" w:rsidR="00E57DAA" w:rsidRDefault="00AC4185">
            <w:pPr>
              <w:jc w:val="center"/>
            </w:pPr>
            <w:r>
              <w:t>指</w:t>
            </w:r>
          </w:p>
        </w:tc>
        <w:tc>
          <w:tcPr>
            <w:tcW w:w="6276" w:type="dxa"/>
          </w:tcPr>
          <w:p w14:paraId="569BEF64" w14:textId="77777777" w:rsidR="00E57DAA" w:rsidRDefault="00AC4185" w:rsidP="00C25422">
            <w:pPr>
              <w:pStyle w:val="92"/>
            </w:pPr>
            <w:r>
              <w:t>人民币元、人民币万元、人民币亿元</w:t>
            </w:r>
          </w:p>
        </w:tc>
      </w:tr>
      <w:tr w:rsidR="00E57DAA" w14:paraId="42D2F4E0" w14:textId="77777777">
        <w:tc>
          <w:tcPr>
            <w:tcW w:w="2122" w:type="dxa"/>
          </w:tcPr>
          <w:p w14:paraId="072BE46B" w14:textId="77777777" w:rsidR="00E57DAA" w:rsidRDefault="00AC4185" w:rsidP="00C25422">
            <w:pPr>
              <w:pStyle w:val="92"/>
            </w:pPr>
            <w:r>
              <w:t>报告期</w:t>
            </w:r>
          </w:p>
        </w:tc>
        <w:tc>
          <w:tcPr>
            <w:tcW w:w="425" w:type="dxa"/>
          </w:tcPr>
          <w:p w14:paraId="39E6875B" w14:textId="77777777" w:rsidR="00E57DAA" w:rsidRDefault="00AC4185">
            <w:pPr>
              <w:jc w:val="center"/>
            </w:pPr>
            <w:r>
              <w:t>指</w:t>
            </w:r>
          </w:p>
        </w:tc>
        <w:tc>
          <w:tcPr>
            <w:tcW w:w="6276" w:type="dxa"/>
          </w:tcPr>
          <w:p w14:paraId="5BE38786" w14:textId="77777777" w:rsidR="00E57DAA" w:rsidRDefault="00AC4185" w:rsidP="00C25422">
            <w:pPr>
              <w:pStyle w:val="92"/>
            </w:pPr>
            <w:r>
              <w:t>2023年1月1日至2023年12月31日</w:t>
            </w:r>
          </w:p>
        </w:tc>
      </w:tr>
      <w:tr w:rsidR="00E57DAA" w14:paraId="61225E67" w14:textId="77777777">
        <w:tc>
          <w:tcPr>
            <w:tcW w:w="2122" w:type="dxa"/>
          </w:tcPr>
          <w:p w14:paraId="3208FD02" w14:textId="77777777" w:rsidR="00E57DAA" w:rsidRDefault="00AC4185" w:rsidP="00C25422">
            <w:pPr>
              <w:pStyle w:val="92"/>
            </w:pPr>
            <w:r>
              <w:t>建材国际工程</w:t>
            </w:r>
          </w:p>
        </w:tc>
        <w:tc>
          <w:tcPr>
            <w:tcW w:w="425" w:type="dxa"/>
          </w:tcPr>
          <w:p w14:paraId="1DDF0215" w14:textId="77777777" w:rsidR="00E57DAA" w:rsidRDefault="00AC4185">
            <w:pPr>
              <w:jc w:val="center"/>
            </w:pPr>
            <w:r>
              <w:t>指</w:t>
            </w:r>
          </w:p>
        </w:tc>
        <w:tc>
          <w:tcPr>
            <w:tcW w:w="6276" w:type="dxa"/>
          </w:tcPr>
          <w:p w14:paraId="0F5F96A1" w14:textId="77777777" w:rsidR="00E57DAA" w:rsidRDefault="00AC4185" w:rsidP="00C25422">
            <w:pPr>
              <w:pStyle w:val="92"/>
            </w:pPr>
            <w:r>
              <w:t>中国建材国际工程集团有限公司</w:t>
            </w:r>
          </w:p>
        </w:tc>
      </w:tr>
      <w:tr w:rsidR="00E57DAA" w14:paraId="6B02218C" w14:textId="77777777">
        <w:tc>
          <w:tcPr>
            <w:tcW w:w="2122" w:type="dxa"/>
          </w:tcPr>
          <w:p w14:paraId="7E8C6CEE" w14:textId="77777777" w:rsidR="00E57DAA" w:rsidRDefault="00AC4185" w:rsidP="00C25422">
            <w:pPr>
              <w:pStyle w:val="92"/>
            </w:pPr>
            <w:r>
              <w:rPr>
                <w:rFonts w:hint="eastAsia"/>
              </w:rPr>
              <w:t>中国建材总院、</w:t>
            </w:r>
            <w:r>
              <w:t>建材研究总院</w:t>
            </w:r>
          </w:p>
        </w:tc>
        <w:tc>
          <w:tcPr>
            <w:tcW w:w="425" w:type="dxa"/>
          </w:tcPr>
          <w:p w14:paraId="6C3BECA8" w14:textId="77777777" w:rsidR="00E57DAA" w:rsidRDefault="00AC4185">
            <w:pPr>
              <w:jc w:val="center"/>
            </w:pPr>
            <w:r>
              <w:t>指</w:t>
            </w:r>
          </w:p>
        </w:tc>
        <w:tc>
          <w:tcPr>
            <w:tcW w:w="6276" w:type="dxa"/>
          </w:tcPr>
          <w:p w14:paraId="51F2CF28" w14:textId="77777777" w:rsidR="00E57DAA" w:rsidRDefault="00AC4185" w:rsidP="00C25422">
            <w:pPr>
              <w:pStyle w:val="92"/>
            </w:pPr>
            <w:r>
              <w:t>中国建筑材料科学研究总院有限公司</w:t>
            </w:r>
          </w:p>
        </w:tc>
      </w:tr>
      <w:tr w:rsidR="00E57DAA" w14:paraId="5978A942" w14:textId="77777777">
        <w:tc>
          <w:tcPr>
            <w:tcW w:w="2122" w:type="dxa"/>
          </w:tcPr>
          <w:p w14:paraId="4BCDE6E7" w14:textId="77777777" w:rsidR="00E57DAA" w:rsidRDefault="00AC4185" w:rsidP="00C25422">
            <w:pPr>
              <w:pStyle w:val="92"/>
            </w:pPr>
            <w:r>
              <w:t>合肥院</w:t>
            </w:r>
          </w:p>
        </w:tc>
        <w:tc>
          <w:tcPr>
            <w:tcW w:w="425" w:type="dxa"/>
          </w:tcPr>
          <w:p w14:paraId="35200D40" w14:textId="77777777" w:rsidR="00E57DAA" w:rsidRDefault="00AC4185">
            <w:pPr>
              <w:jc w:val="center"/>
            </w:pPr>
            <w:r>
              <w:t>指</w:t>
            </w:r>
          </w:p>
        </w:tc>
        <w:tc>
          <w:tcPr>
            <w:tcW w:w="6276" w:type="dxa"/>
          </w:tcPr>
          <w:p w14:paraId="29A92838" w14:textId="77777777" w:rsidR="00E57DAA" w:rsidRDefault="00AC4185" w:rsidP="00C25422">
            <w:pPr>
              <w:pStyle w:val="92"/>
            </w:pPr>
            <w:r>
              <w:t>合肥水泥研究设计院有限公司</w:t>
            </w:r>
            <w:r>
              <w:rPr>
                <w:rFonts w:hint="eastAsia"/>
              </w:rPr>
              <w:t>，系公司全资子公司。</w:t>
            </w:r>
          </w:p>
        </w:tc>
      </w:tr>
      <w:tr w:rsidR="00E57DAA" w14:paraId="0A8647A4" w14:textId="77777777">
        <w:tc>
          <w:tcPr>
            <w:tcW w:w="2122" w:type="dxa"/>
          </w:tcPr>
          <w:p w14:paraId="05023CAB" w14:textId="77777777" w:rsidR="00E57DAA" w:rsidRDefault="00AC4185" w:rsidP="00C25422">
            <w:pPr>
              <w:pStyle w:val="92"/>
            </w:pPr>
            <w:r>
              <w:t>智慧工业</w:t>
            </w:r>
          </w:p>
        </w:tc>
        <w:tc>
          <w:tcPr>
            <w:tcW w:w="425" w:type="dxa"/>
          </w:tcPr>
          <w:p w14:paraId="41DE30FB" w14:textId="77777777" w:rsidR="00E57DAA" w:rsidRDefault="00AC4185">
            <w:pPr>
              <w:jc w:val="center"/>
            </w:pPr>
            <w:r>
              <w:t>指</w:t>
            </w:r>
          </w:p>
        </w:tc>
        <w:tc>
          <w:tcPr>
            <w:tcW w:w="6276" w:type="dxa"/>
          </w:tcPr>
          <w:p w14:paraId="0409E441" w14:textId="77777777" w:rsidR="00E57DAA" w:rsidRDefault="00AC4185" w:rsidP="00C25422">
            <w:pPr>
              <w:pStyle w:val="92"/>
            </w:pPr>
            <w:r>
              <w:t>中建材智慧工业科技有限公司，系公司全资子公司。</w:t>
            </w:r>
          </w:p>
        </w:tc>
      </w:tr>
      <w:tr w:rsidR="00E57DAA" w14:paraId="757B9205" w14:textId="77777777">
        <w:tc>
          <w:tcPr>
            <w:tcW w:w="2122" w:type="dxa"/>
          </w:tcPr>
          <w:p w14:paraId="5C7710A1" w14:textId="77777777" w:rsidR="00E57DAA" w:rsidRDefault="00AC4185" w:rsidP="00C25422">
            <w:pPr>
              <w:pStyle w:val="92"/>
            </w:pPr>
            <w:r>
              <w:t>博宇机电</w:t>
            </w:r>
          </w:p>
        </w:tc>
        <w:tc>
          <w:tcPr>
            <w:tcW w:w="425" w:type="dxa"/>
          </w:tcPr>
          <w:p w14:paraId="5EC5D737" w14:textId="77777777" w:rsidR="00E57DAA" w:rsidRDefault="00AC4185">
            <w:pPr>
              <w:jc w:val="center"/>
            </w:pPr>
            <w:r>
              <w:t>指</w:t>
            </w:r>
          </w:p>
        </w:tc>
        <w:tc>
          <w:tcPr>
            <w:tcW w:w="6276" w:type="dxa"/>
          </w:tcPr>
          <w:p w14:paraId="66DE33F1" w14:textId="77777777" w:rsidR="00E57DAA" w:rsidRDefault="00AC4185" w:rsidP="00C25422">
            <w:pPr>
              <w:pStyle w:val="92"/>
            </w:pPr>
            <w:r>
              <w:t>浙江博宇机电有限公司，系公司控股子公司。</w:t>
            </w:r>
          </w:p>
        </w:tc>
      </w:tr>
      <w:tr w:rsidR="00E57DAA" w14:paraId="611D2503" w14:textId="77777777">
        <w:tc>
          <w:tcPr>
            <w:tcW w:w="2122" w:type="dxa"/>
          </w:tcPr>
          <w:p w14:paraId="209DB21E" w14:textId="77777777" w:rsidR="00E57DAA" w:rsidRDefault="00AC4185" w:rsidP="00C25422">
            <w:pPr>
              <w:pStyle w:val="92"/>
            </w:pPr>
            <w:r>
              <w:rPr>
                <w:rFonts w:hint="eastAsia"/>
              </w:rPr>
              <w:t>成都智科、安睿智达</w:t>
            </w:r>
          </w:p>
        </w:tc>
        <w:tc>
          <w:tcPr>
            <w:tcW w:w="425" w:type="dxa"/>
          </w:tcPr>
          <w:p w14:paraId="5CC6FCBE" w14:textId="77777777" w:rsidR="00E57DAA" w:rsidRDefault="00AC4185">
            <w:pPr>
              <w:jc w:val="center"/>
            </w:pPr>
            <w:r>
              <w:t>指</w:t>
            </w:r>
          </w:p>
        </w:tc>
        <w:tc>
          <w:tcPr>
            <w:tcW w:w="6276" w:type="dxa"/>
          </w:tcPr>
          <w:p w14:paraId="58DAE8AD" w14:textId="77777777" w:rsidR="00E57DAA" w:rsidRDefault="00AC4185" w:rsidP="00C25422">
            <w:pPr>
              <w:pStyle w:val="92"/>
            </w:pPr>
            <w:r>
              <w:rPr>
                <w:rFonts w:hint="eastAsia"/>
              </w:rPr>
              <w:t>中材智能科技（成都）有限公司，原名为安睿智达（成都）科技有限公司，系公司控股子公司。</w:t>
            </w:r>
          </w:p>
        </w:tc>
      </w:tr>
      <w:tr w:rsidR="00E57DAA" w14:paraId="7F30D058" w14:textId="77777777">
        <w:tc>
          <w:tcPr>
            <w:tcW w:w="2122" w:type="dxa"/>
          </w:tcPr>
          <w:p w14:paraId="3621E112" w14:textId="77777777" w:rsidR="00E57DAA" w:rsidRDefault="00AC4185" w:rsidP="00C25422">
            <w:pPr>
              <w:pStyle w:val="92"/>
            </w:pPr>
            <w:r>
              <w:t>中材矿山</w:t>
            </w:r>
          </w:p>
        </w:tc>
        <w:tc>
          <w:tcPr>
            <w:tcW w:w="425" w:type="dxa"/>
          </w:tcPr>
          <w:p w14:paraId="4CC4487A" w14:textId="77777777" w:rsidR="00E57DAA" w:rsidRDefault="00AC4185">
            <w:pPr>
              <w:jc w:val="center"/>
            </w:pPr>
            <w:r>
              <w:t>指</w:t>
            </w:r>
          </w:p>
        </w:tc>
        <w:tc>
          <w:tcPr>
            <w:tcW w:w="6276" w:type="dxa"/>
          </w:tcPr>
          <w:p w14:paraId="211D6177" w14:textId="77777777" w:rsidR="00E57DAA" w:rsidRDefault="00AC4185" w:rsidP="00C25422">
            <w:pPr>
              <w:pStyle w:val="92"/>
            </w:pPr>
            <w:r>
              <w:t>中材矿山建设有限公司，系公司全资子公司。</w:t>
            </w:r>
          </w:p>
        </w:tc>
      </w:tr>
      <w:tr w:rsidR="00E57DAA" w14:paraId="4D090104" w14:textId="77777777">
        <w:tc>
          <w:tcPr>
            <w:tcW w:w="2122" w:type="dxa"/>
          </w:tcPr>
          <w:p w14:paraId="0EB5B011" w14:textId="77777777" w:rsidR="00E57DAA" w:rsidRDefault="00AC4185" w:rsidP="00C25422">
            <w:pPr>
              <w:pStyle w:val="92"/>
            </w:pPr>
            <w:r>
              <w:t>中材智科</w:t>
            </w:r>
            <w:r>
              <w:rPr>
                <w:rFonts w:hint="eastAsia"/>
              </w:rPr>
              <w:t>、南京凯盛</w:t>
            </w:r>
          </w:p>
        </w:tc>
        <w:tc>
          <w:tcPr>
            <w:tcW w:w="425" w:type="dxa"/>
          </w:tcPr>
          <w:p w14:paraId="6B302575" w14:textId="77777777" w:rsidR="00E57DAA" w:rsidRDefault="00AC4185">
            <w:pPr>
              <w:jc w:val="center"/>
            </w:pPr>
            <w:r>
              <w:t>指</w:t>
            </w:r>
          </w:p>
        </w:tc>
        <w:tc>
          <w:tcPr>
            <w:tcW w:w="6276" w:type="dxa"/>
          </w:tcPr>
          <w:p w14:paraId="3119FCEE" w14:textId="77777777" w:rsidR="00E57DAA" w:rsidRDefault="00AC4185" w:rsidP="00C25422">
            <w:pPr>
              <w:pStyle w:val="92"/>
            </w:pPr>
            <w:r>
              <w:rPr>
                <w:rFonts w:hint="eastAsia"/>
              </w:rPr>
              <w:t>中材国际智能科技有限公司，原名为南京凯盛国际工程有限公司，系公司控股子公司。</w:t>
            </w:r>
          </w:p>
        </w:tc>
      </w:tr>
      <w:tr w:rsidR="00E57DAA" w14:paraId="4A40D928" w14:textId="77777777">
        <w:tc>
          <w:tcPr>
            <w:tcW w:w="2122" w:type="dxa"/>
          </w:tcPr>
          <w:p w14:paraId="6D78C606" w14:textId="77777777" w:rsidR="00E57DAA" w:rsidRDefault="00AC4185" w:rsidP="00C25422">
            <w:pPr>
              <w:pStyle w:val="92"/>
            </w:pPr>
            <w:r>
              <w:t>北京凯盛</w:t>
            </w:r>
          </w:p>
        </w:tc>
        <w:tc>
          <w:tcPr>
            <w:tcW w:w="425" w:type="dxa"/>
          </w:tcPr>
          <w:p w14:paraId="4D51D0A3" w14:textId="77777777" w:rsidR="00E57DAA" w:rsidRDefault="00AC4185">
            <w:pPr>
              <w:jc w:val="center"/>
            </w:pPr>
            <w:r>
              <w:t>指</w:t>
            </w:r>
          </w:p>
        </w:tc>
        <w:tc>
          <w:tcPr>
            <w:tcW w:w="6276" w:type="dxa"/>
          </w:tcPr>
          <w:p w14:paraId="56BDCBD0" w14:textId="77777777" w:rsidR="00E57DAA" w:rsidRDefault="00AC4185" w:rsidP="00C25422">
            <w:pPr>
              <w:pStyle w:val="92"/>
            </w:pPr>
            <w:r>
              <w:t>北京凯盛建材工程有限公司，系公司全资子公司。</w:t>
            </w:r>
          </w:p>
        </w:tc>
      </w:tr>
      <w:tr w:rsidR="00E57DAA" w14:paraId="62A320FF" w14:textId="77777777">
        <w:tc>
          <w:tcPr>
            <w:tcW w:w="2122" w:type="dxa"/>
          </w:tcPr>
          <w:p w14:paraId="34D7B144" w14:textId="77777777" w:rsidR="00E57DAA" w:rsidRDefault="00AC4185" w:rsidP="00C25422">
            <w:pPr>
              <w:pStyle w:val="92"/>
            </w:pPr>
            <w:r>
              <w:t>财务公司</w:t>
            </w:r>
          </w:p>
        </w:tc>
        <w:tc>
          <w:tcPr>
            <w:tcW w:w="425" w:type="dxa"/>
          </w:tcPr>
          <w:p w14:paraId="51B86075" w14:textId="77777777" w:rsidR="00E57DAA" w:rsidRDefault="00AC4185">
            <w:pPr>
              <w:jc w:val="center"/>
            </w:pPr>
            <w:r>
              <w:t>指</w:t>
            </w:r>
          </w:p>
        </w:tc>
        <w:tc>
          <w:tcPr>
            <w:tcW w:w="6276" w:type="dxa"/>
          </w:tcPr>
          <w:p w14:paraId="295951C8" w14:textId="77777777" w:rsidR="00E57DAA" w:rsidRDefault="00AC4185" w:rsidP="00C25422">
            <w:pPr>
              <w:pStyle w:val="92"/>
            </w:pPr>
            <w:r>
              <w:t>中国建材集团财务有限公司</w:t>
            </w:r>
          </w:p>
        </w:tc>
      </w:tr>
      <w:tr w:rsidR="00E57DAA" w14:paraId="63D0D733" w14:textId="77777777">
        <w:tc>
          <w:tcPr>
            <w:tcW w:w="2122" w:type="dxa"/>
          </w:tcPr>
          <w:p w14:paraId="2735D172" w14:textId="77777777" w:rsidR="00E57DAA" w:rsidRDefault="00AC4185" w:rsidP="00C25422">
            <w:pPr>
              <w:pStyle w:val="92"/>
            </w:pPr>
            <w:r>
              <w:t>EPC</w:t>
            </w:r>
          </w:p>
        </w:tc>
        <w:tc>
          <w:tcPr>
            <w:tcW w:w="425" w:type="dxa"/>
          </w:tcPr>
          <w:p w14:paraId="56B0D116" w14:textId="77777777" w:rsidR="00E57DAA" w:rsidRDefault="00AC4185">
            <w:pPr>
              <w:jc w:val="center"/>
            </w:pPr>
            <w:r>
              <w:t>指</w:t>
            </w:r>
          </w:p>
        </w:tc>
        <w:tc>
          <w:tcPr>
            <w:tcW w:w="6276" w:type="dxa"/>
          </w:tcPr>
          <w:p w14:paraId="58522E8E" w14:textId="77777777" w:rsidR="00E57DAA" w:rsidRDefault="00AC4185" w:rsidP="00C25422">
            <w:pPr>
              <w:pStyle w:val="92"/>
            </w:pPr>
            <w:r>
              <w:t>英文Engineering（工程设计）Procurement（采购）Construction（施工）的缩写。即按照合同约定，承担工程项目的设计、采购、施工、试运行服务等工作，并对承包工程的质量、安全、工期、造价全面负责，与工程总承包含义相似。</w:t>
            </w:r>
          </w:p>
        </w:tc>
      </w:tr>
      <w:tr w:rsidR="00E57DAA" w14:paraId="6CBE83A7" w14:textId="77777777">
        <w:tc>
          <w:tcPr>
            <w:tcW w:w="2122" w:type="dxa"/>
          </w:tcPr>
          <w:p w14:paraId="5DDCA2A8" w14:textId="77777777" w:rsidR="00E57DAA" w:rsidRDefault="00AC4185" w:rsidP="00C25422">
            <w:pPr>
              <w:pStyle w:val="92"/>
            </w:pPr>
            <w:r>
              <w:t>EP</w:t>
            </w:r>
          </w:p>
        </w:tc>
        <w:tc>
          <w:tcPr>
            <w:tcW w:w="425" w:type="dxa"/>
          </w:tcPr>
          <w:p w14:paraId="7458ECC8" w14:textId="77777777" w:rsidR="00E57DAA" w:rsidRDefault="00AC4185">
            <w:pPr>
              <w:jc w:val="center"/>
            </w:pPr>
            <w:r>
              <w:t>指</w:t>
            </w:r>
          </w:p>
        </w:tc>
        <w:tc>
          <w:tcPr>
            <w:tcW w:w="6276" w:type="dxa"/>
          </w:tcPr>
          <w:p w14:paraId="1280A820" w14:textId="77777777" w:rsidR="00E57DAA" w:rsidRDefault="00AC4185" w:rsidP="00C25422">
            <w:pPr>
              <w:pStyle w:val="92"/>
            </w:pPr>
            <w:r>
              <w:t>英文Engineering（工程设计）Procurement（采购）的缩写。即按照合同约定，承包商对工程的设计和采购进行总承包。</w:t>
            </w:r>
          </w:p>
        </w:tc>
      </w:tr>
      <w:tr w:rsidR="00E57DAA" w14:paraId="3F955DF3" w14:textId="77777777">
        <w:tc>
          <w:tcPr>
            <w:tcW w:w="2122" w:type="dxa"/>
          </w:tcPr>
          <w:p w14:paraId="63CD8810" w14:textId="77777777" w:rsidR="00E57DAA" w:rsidRDefault="00AC4185" w:rsidP="00C25422">
            <w:pPr>
              <w:pStyle w:val="92"/>
            </w:pPr>
            <w:r>
              <w:t>中材水科</w:t>
            </w:r>
          </w:p>
        </w:tc>
        <w:tc>
          <w:tcPr>
            <w:tcW w:w="425" w:type="dxa"/>
          </w:tcPr>
          <w:p w14:paraId="5EE9CB51" w14:textId="77777777" w:rsidR="00E57DAA" w:rsidRDefault="00AC4185">
            <w:pPr>
              <w:jc w:val="center"/>
            </w:pPr>
            <w:r>
              <w:t>指</w:t>
            </w:r>
          </w:p>
        </w:tc>
        <w:tc>
          <w:tcPr>
            <w:tcW w:w="6276" w:type="dxa"/>
          </w:tcPr>
          <w:p w14:paraId="4A29C5C8" w14:textId="77777777" w:rsidR="00E57DAA" w:rsidRDefault="00AC4185" w:rsidP="00C25422">
            <w:pPr>
              <w:pStyle w:val="92"/>
            </w:pPr>
            <w:r>
              <w:t>中材国际水务科技（合肥）有限公司，</w:t>
            </w:r>
            <w:r>
              <w:rPr>
                <w:rFonts w:hint="eastAsia"/>
              </w:rPr>
              <w:t>原名为安徽节源环保科技有限公司，</w:t>
            </w:r>
            <w:r>
              <w:t>系公司全资子公司。</w:t>
            </w:r>
          </w:p>
        </w:tc>
      </w:tr>
      <w:tr w:rsidR="00E57DAA" w14:paraId="51346113" w14:textId="77777777">
        <w:tc>
          <w:tcPr>
            <w:tcW w:w="2122" w:type="dxa"/>
          </w:tcPr>
          <w:p w14:paraId="60421A61" w14:textId="77777777" w:rsidR="00E57DAA" w:rsidRDefault="00AC4185" w:rsidP="00C25422">
            <w:pPr>
              <w:pStyle w:val="92"/>
            </w:pPr>
            <w:r>
              <w:t>中材环境</w:t>
            </w:r>
          </w:p>
        </w:tc>
        <w:tc>
          <w:tcPr>
            <w:tcW w:w="425" w:type="dxa"/>
          </w:tcPr>
          <w:p w14:paraId="62FAD2AE" w14:textId="77777777" w:rsidR="00E57DAA" w:rsidRDefault="00AC4185">
            <w:pPr>
              <w:jc w:val="center"/>
            </w:pPr>
            <w:r>
              <w:t>指</w:t>
            </w:r>
          </w:p>
        </w:tc>
        <w:tc>
          <w:tcPr>
            <w:tcW w:w="6276" w:type="dxa"/>
          </w:tcPr>
          <w:p w14:paraId="4B713613" w14:textId="77777777" w:rsidR="00E57DAA" w:rsidRDefault="00AC4185" w:rsidP="00C25422">
            <w:pPr>
              <w:pStyle w:val="92"/>
            </w:pPr>
            <w:r>
              <w:t>中材国际环境工程（北京）有限公司</w:t>
            </w:r>
            <w:r>
              <w:rPr>
                <w:rFonts w:hint="eastAsia"/>
              </w:rPr>
              <w:t>，系公司全资子公司。</w:t>
            </w:r>
          </w:p>
        </w:tc>
      </w:tr>
      <w:tr w:rsidR="00E57DAA" w14:paraId="643E1241" w14:textId="77777777">
        <w:tc>
          <w:tcPr>
            <w:tcW w:w="2122" w:type="dxa"/>
          </w:tcPr>
          <w:p w14:paraId="617CFE80" w14:textId="77777777" w:rsidR="00E57DAA" w:rsidRDefault="00AC4185" w:rsidP="00C25422">
            <w:pPr>
              <w:pStyle w:val="92"/>
            </w:pPr>
            <w:r>
              <w:t>中材水泥</w:t>
            </w:r>
          </w:p>
        </w:tc>
        <w:tc>
          <w:tcPr>
            <w:tcW w:w="425" w:type="dxa"/>
          </w:tcPr>
          <w:p w14:paraId="133C6439" w14:textId="77777777" w:rsidR="00E57DAA" w:rsidRDefault="00AC4185">
            <w:pPr>
              <w:jc w:val="center"/>
            </w:pPr>
            <w:r>
              <w:t>指</w:t>
            </w:r>
          </w:p>
        </w:tc>
        <w:tc>
          <w:tcPr>
            <w:tcW w:w="6276" w:type="dxa"/>
          </w:tcPr>
          <w:p w14:paraId="0EDD8B84" w14:textId="77777777" w:rsidR="00E57DAA" w:rsidRDefault="00AC4185" w:rsidP="00C25422">
            <w:pPr>
              <w:pStyle w:val="92"/>
            </w:pPr>
            <w:r>
              <w:t>中材水泥有限责任公司</w:t>
            </w:r>
            <w:r>
              <w:rPr>
                <w:rFonts w:hint="eastAsia"/>
              </w:rPr>
              <w:t>，系公司参股公司。</w:t>
            </w:r>
          </w:p>
        </w:tc>
      </w:tr>
      <w:tr w:rsidR="00E57DAA" w14:paraId="773B8BD7" w14:textId="77777777">
        <w:tc>
          <w:tcPr>
            <w:tcW w:w="2122" w:type="dxa"/>
          </w:tcPr>
          <w:p w14:paraId="3C4F3682" w14:textId="77777777" w:rsidR="00E57DAA" w:rsidRDefault="00AC4185" w:rsidP="00C25422">
            <w:pPr>
              <w:pStyle w:val="92"/>
            </w:pPr>
            <w:r>
              <w:t>EMC</w:t>
            </w:r>
          </w:p>
        </w:tc>
        <w:tc>
          <w:tcPr>
            <w:tcW w:w="425" w:type="dxa"/>
          </w:tcPr>
          <w:p w14:paraId="45EAEC79" w14:textId="77777777" w:rsidR="00E57DAA" w:rsidRDefault="00AC4185">
            <w:pPr>
              <w:jc w:val="center"/>
            </w:pPr>
            <w:r>
              <w:t>指</w:t>
            </w:r>
          </w:p>
        </w:tc>
        <w:tc>
          <w:tcPr>
            <w:tcW w:w="6276" w:type="dxa"/>
          </w:tcPr>
          <w:p w14:paraId="607EB03A" w14:textId="77777777" w:rsidR="00E57DAA" w:rsidRDefault="00AC4185" w:rsidP="00C25422">
            <w:pPr>
              <w:pStyle w:val="92"/>
            </w:pPr>
            <w:r>
              <w:t>英文Energy</w:t>
            </w:r>
            <w:r>
              <w:rPr>
                <w:rFonts w:hint="eastAsia"/>
              </w:rPr>
              <w:t xml:space="preserve"> </w:t>
            </w:r>
            <w:r>
              <w:t>Management</w:t>
            </w:r>
            <w:r>
              <w:rPr>
                <w:rFonts w:hint="eastAsia"/>
              </w:rPr>
              <w:t xml:space="preserve"> </w:t>
            </w:r>
            <w:r>
              <w:t>Contracting的缩写，是以减少的能源费用来支付节能项目全部成本的节能投资方式。</w:t>
            </w:r>
          </w:p>
        </w:tc>
      </w:tr>
      <w:tr w:rsidR="00E57DAA" w14:paraId="69F58776" w14:textId="77777777">
        <w:tc>
          <w:tcPr>
            <w:tcW w:w="2122" w:type="dxa"/>
          </w:tcPr>
          <w:p w14:paraId="4270B117" w14:textId="77777777" w:rsidR="00E57DAA" w:rsidRDefault="00AC4185" w:rsidP="00C25422">
            <w:pPr>
              <w:pStyle w:val="92"/>
            </w:pPr>
            <w:r>
              <w:t>一带一路</w:t>
            </w:r>
          </w:p>
        </w:tc>
        <w:tc>
          <w:tcPr>
            <w:tcW w:w="425" w:type="dxa"/>
          </w:tcPr>
          <w:p w14:paraId="78468E1A" w14:textId="77777777" w:rsidR="00E57DAA" w:rsidRDefault="00AC4185">
            <w:pPr>
              <w:jc w:val="center"/>
            </w:pPr>
            <w:r>
              <w:t>指</w:t>
            </w:r>
          </w:p>
        </w:tc>
        <w:tc>
          <w:tcPr>
            <w:tcW w:w="6276" w:type="dxa"/>
          </w:tcPr>
          <w:p w14:paraId="45C677FA" w14:textId="77777777" w:rsidR="00E57DAA" w:rsidRDefault="00AC4185" w:rsidP="00C25422">
            <w:pPr>
              <w:pStyle w:val="92"/>
            </w:pPr>
            <w:r>
              <w:t>“一带一路”是“丝绸之路经济带和21世纪海上丝绸之路”的简称，“一带一路”简称译为“</w:t>
            </w:r>
            <w:proofErr w:type="spellStart"/>
            <w:r>
              <w:t>theBeltandRoad</w:t>
            </w:r>
            <w:proofErr w:type="spellEnd"/>
            <w:r>
              <w:t>”，英文缩写用“B&amp;R ”。</w:t>
            </w:r>
          </w:p>
        </w:tc>
      </w:tr>
      <w:tr w:rsidR="00E57DAA" w14:paraId="1B6D3602" w14:textId="77777777">
        <w:tc>
          <w:tcPr>
            <w:tcW w:w="2122" w:type="dxa"/>
          </w:tcPr>
          <w:p w14:paraId="0B5AAB50" w14:textId="77777777" w:rsidR="00E57DAA" w:rsidRDefault="00AC4185" w:rsidP="00C25422">
            <w:pPr>
              <w:pStyle w:val="92"/>
            </w:pPr>
            <w:r>
              <w:t>PAC</w:t>
            </w:r>
          </w:p>
        </w:tc>
        <w:tc>
          <w:tcPr>
            <w:tcW w:w="425" w:type="dxa"/>
          </w:tcPr>
          <w:p w14:paraId="306ACFB0" w14:textId="77777777" w:rsidR="00E57DAA" w:rsidRDefault="00AC4185">
            <w:pPr>
              <w:jc w:val="center"/>
            </w:pPr>
            <w:r>
              <w:t>指</w:t>
            </w:r>
          </w:p>
        </w:tc>
        <w:tc>
          <w:tcPr>
            <w:tcW w:w="6276" w:type="dxa"/>
          </w:tcPr>
          <w:p w14:paraId="0CAE728D" w14:textId="77777777" w:rsidR="00E57DAA" w:rsidRDefault="00AC4185" w:rsidP="00C25422">
            <w:pPr>
              <w:pStyle w:val="92"/>
            </w:pPr>
            <w:r>
              <w:t>英文</w:t>
            </w:r>
            <w:proofErr w:type="spellStart"/>
            <w:r>
              <w:t>ProvisionalAcceptanceCertificate</w:t>
            </w:r>
            <w:proofErr w:type="spellEnd"/>
            <w:r>
              <w:t>的缩写，即临时验收证书。</w:t>
            </w:r>
          </w:p>
        </w:tc>
      </w:tr>
      <w:tr w:rsidR="00E57DAA" w14:paraId="6FBCED07" w14:textId="77777777">
        <w:tc>
          <w:tcPr>
            <w:tcW w:w="2122" w:type="dxa"/>
          </w:tcPr>
          <w:p w14:paraId="47BDB9B3" w14:textId="77777777" w:rsidR="00E57DAA" w:rsidRDefault="00AC4185" w:rsidP="00C25422">
            <w:pPr>
              <w:pStyle w:val="92"/>
            </w:pPr>
            <w:r>
              <w:t>FAC</w:t>
            </w:r>
          </w:p>
        </w:tc>
        <w:tc>
          <w:tcPr>
            <w:tcW w:w="425" w:type="dxa"/>
          </w:tcPr>
          <w:p w14:paraId="5489F319" w14:textId="77777777" w:rsidR="00E57DAA" w:rsidRDefault="00AC4185">
            <w:pPr>
              <w:jc w:val="center"/>
            </w:pPr>
            <w:r>
              <w:t>指</w:t>
            </w:r>
          </w:p>
        </w:tc>
        <w:tc>
          <w:tcPr>
            <w:tcW w:w="6276" w:type="dxa"/>
          </w:tcPr>
          <w:p w14:paraId="4B3FF593" w14:textId="77777777" w:rsidR="00E57DAA" w:rsidRDefault="00AC4185" w:rsidP="00C25422">
            <w:pPr>
              <w:pStyle w:val="92"/>
            </w:pPr>
            <w:r>
              <w:t>英文</w:t>
            </w:r>
            <w:proofErr w:type="spellStart"/>
            <w:r>
              <w:t>FinalAcceptanceCertificate</w:t>
            </w:r>
            <w:proofErr w:type="spellEnd"/>
            <w:r>
              <w:t>的缩写，即最终验收证书。</w:t>
            </w:r>
          </w:p>
        </w:tc>
      </w:tr>
      <w:tr w:rsidR="00E57DAA" w14:paraId="2655EE3C" w14:textId="77777777">
        <w:tc>
          <w:tcPr>
            <w:tcW w:w="2122" w:type="dxa"/>
          </w:tcPr>
          <w:p w14:paraId="3DDE2393" w14:textId="77777777" w:rsidR="00E57DAA" w:rsidRDefault="00AC4185" w:rsidP="00C25422">
            <w:pPr>
              <w:pStyle w:val="92"/>
            </w:pPr>
            <w:r>
              <w:t>BIM</w:t>
            </w:r>
          </w:p>
        </w:tc>
        <w:tc>
          <w:tcPr>
            <w:tcW w:w="425" w:type="dxa"/>
          </w:tcPr>
          <w:p w14:paraId="0E0785F6" w14:textId="77777777" w:rsidR="00E57DAA" w:rsidRDefault="00AC4185">
            <w:pPr>
              <w:jc w:val="center"/>
            </w:pPr>
            <w:r>
              <w:t>指</w:t>
            </w:r>
          </w:p>
        </w:tc>
        <w:tc>
          <w:tcPr>
            <w:tcW w:w="6276" w:type="dxa"/>
          </w:tcPr>
          <w:p w14:paraId="51AAF3C0" w14:textId="77777777" w:rsidR="00E57DAA" w:rsidRDefault="00AC4185" w:rsidP="00C25422">
            <w:pPr>
              <w:pStyle w:val="92"/>
            </w:pPr>
            <w:r>
              <w:t>英文</w:t>
            </w:r>
            <w:proofErr w:type="spellStart"/>
            <w:r>
              <w:t>BuildingInformationModeling</w:t>
            </w:r>
            <w:proofErr w:type="spellEnd"/>
            <w:r>
              <w:t>的缩写。该建筑信息模型能够将工程项目在全生命周期中各个不同阶段的工程信息、资源信息集成在一个模型中，方便被工程各参与方使用。</w:t>
            </w:r>
          </w:p>
        </w:tc>
      </w:tr>
    </w:tbl>
    <w:p w14:paraId="49A13356" w14:textId="77777777" w:rsidR="00E57DAA" w:rsidRDefault="00AC4185" w:rsidP="00E76E97">
      <w:pPr>
        <w:pStyle w:val="1"/>
        <w:rPr>
          <w:color w:val="FF0000"/>
          <w:u w:val="single"/>
        </w:rPr>
      </w:pPr>
      <w:r>
        <w:rPr>
          <w:rFonts w:hint="eastAsia"/>
        </w:rPr>
        <w:lastRenderedPageBreak/>
        <w:t>公司简介</w:t>
      </w:r>
      <w:bookmarkEnd w:id="17"/>
      <w:bookmarkEnd w:id="16"/>
      <w:r>
        <w:rPr>
          <w:rFonts w:hint="eastAsia"/>
        </w:rPr>
        <w:t>和主要财务指标</w:t>
      </w:r>
      <w:bookmarkEnd w:id="19"/>
      <w:bookmarkEnd w:id="18"/>
    </w:p>
    <w:p w14:paraId="483B4548" w14:textId="77777777" w:rsidR="00E57DAA" w:rsidRDefault="00AC4185">
      <w:pPr>
        <w:pStyle w:val="2"/>
        <w:numPr>
          <w:ilvl w:val="1"/>
          <w:numId w:val="5"/>
        </w:numPr>
        <w:rPr>
          <w:color w:val="FF0000"/>
          <w:u w:val="single"/>
        </w:rPr>
      </w:pPr>
      <w:r>
        <w:rPr>
          <w:rFonts w:hint="eastAsia"/>
        </w:rPr>
        <w:t>公司信息</w:t>
      </w:r>
    </w:p>
    <w:tbl>
      <w:tblPr>
        <w:tblStyle w:val="g1"/>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3827"/>
        <w:gridCol w:w="4996"/>
      </w:tblGrid>
      <w:tr w:rsidR="00E57DAA" w14:paraId="5A99FB41" w14:textId="77777777">
        <w:trPr>
          <w:trHeight w:val="293"/>
        </w:trPr>
        <w:sdt>
          <w:sdtPr>
            <w:tag w:val="_PLD_76a4e08611bc46959c5497248a51b877"/>
            <w:id w:val="-1174955506"/>
          </w:sdtPr>
          <w:sdtEndPr/>
          <w:sdtContent>
            <w:tc>
              <w:tcPr>
                <w:tcW w:w="2169" w:type="pct"/>
                <w:tcBorders>
                  <w:top w:val="single" w:sz="4" w:space="0" w:color="auto"/>
                  <w:bottom w:val="single" w:sz="4" w:space="0" w:color="auto"/>
                  <w:right w:val="single" w:sz="4" w:space="0" w:color="auto"/>
                </w:tcBorders>
                <w:shd w:val="clear" w:color="auto" w:fill="auto"/>
              </w:tcPr>
              <w:p w14:paraId="24DDA93C" w14:textId="77777777" w:rsidR="00E57DAA" w:rsidRDefault="00AC4185">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692413430"/>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66B2209C" w14:textId="77777777" w:rsidR="00E57DAA" w:rsidRDefault="00AC4185">
                <w:pPr>
                  <w:kinsoku w:val="0"/>
                  <w:overflowPunct w:val="0"/>
                  <w:autoSpaceDE w:val="0"/>
                  <w:autoSpaceDN w:val="0"/>
                  <w:adjustRightInd w:val="0"/>
                  <w:snapToGrid w:val="0"/>
                  <w:rPr>
                    <w:color w:val="FFC000"/>
                    <w:szCs w:val="21"/>
                  </w:rPr>
                </w:pPr>
                <w:r>
                  <w:rPr>
                    <w:rFonts w:hint="eastAsia"/>
                    <w:szCs w:val="21"/>
                  </w:rPr>
                  <w:t>中国中材国际工程股份有限公司</w:t>
                </w:r>
              </w:p>
            </w:tc>
          </w:sdtContent>
        </w:sdt>
      </w:tr>
      <w:tr w:rsidR="00E57DAA" w14:paraId="2D22C0C5"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6048CCBF" w14:textId="77777777" w:rsidR="00E57DAA" w:rsidRDefault="00AC4185">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vAlign w:val="center"/>
          </w:tcPr>
          <w:p w14:paraId="63E396F2" w14:textId="77777777" w:rsidR="00E57DAA" w:rsidRDefault="00AC4185">
            <w:pPr>
              <w:kinsoku w:val="0"/>
              <w:overflowPunct w:val="0"/>
              <w:autoSpaceDE w:val="0"/>
              <w:autoSpaceDN w:val="0"/>
              <w:adjustRightInd w:val="0"/>
              <w:snapToGrid w:val="0"/>
              <w:rPr>
                <w:szCs w:val="21"/>
              </w:rPr>
            </w:pPr>
            <w:r>
              <w:t>中材国际</w:t>
            </w:r>
          </w:p>
        </w:tc>
      </w:tr>
      <w:tr w:rsidR="00E57DAA" w14:paraId="0ADED28A"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294A0CE6" w14:textId="77777777" w:rsidR="00E57DAA" w:rsidRDefault="00AC4185">
            <w:pPr>
              <w:kinsoku w:val="0"/>
              <w:overflowPunct w:val="0"/>
              <w:autoSpaceDE w:val="0"/>
              <w:autoSpaceDN w:val="0"/>
              <w:adjustRightInd w:val="0"/>
              <w:snapToGrid w:val="0"/>
              <w:rPr>
                <w:szCs w:val="21"/>
              </w:rPr>
            </w:pPr>
            <w:r>
              <w:rPr>
                <w:szCs w:val="21"/>
              </w:rPr>
              <w:t>公司的外文名称</w:t>
            </w:r>
          </w:p>
        </w:tc>
        <w:tc>
          <w:tcPr>
            <w:tcW w:w="2831" w:type="pct"/>
            <w:tcBorders>
              <w:top w:val="single" w:sz="4" w:space="0" w:color="auto"/>
              <w:left w:val="single" w:sz="4" w:space="0" w:color="auto"/>
              <w:bottom w:val="single" w:sz="4" w:space="0" w:color="auto"/>
            </w:tcBorders>
            <w:vAlign w:val="center"/>
          </w:tcPr>
          <w:p w14:paraId="18DDAA66" w14:textId="77777777" w:rsidR="00E57DAA" w:rsidRDefault="00AC4185">
            <w:pPr>
              <w:kinsoku w:val="0"/>
              <w:overflowPunct w:val="0"/>
              <w:autoSpaceDE w:val="0"/>
              <w:autoSpaceDN w:val="0"/>
              <w:adjustRightInd w:val="0"/>
              <w:snapToGrid w:val="0"/>
              <w:rPr>
                <w:szCs w:val="21"/>
              </w:rPr>
            </w:pPr>
            <w:proofErr w:type="spellStart"/>
            <w:r>
              <w:t>Sinoma</w:t>
            </w:r>
            <w:proofErr w:type="spellEnd"/>
            <w:r>
              <w:t xml:space="preserve"> International Engineering </w:t>
            </w:r>
            <w:proofErr w:type="spellStart"/>
            <w:r>
              <w:t>Co.,Ltd</w:t>
            </w:r>
            <w:proofErr w:type="spellEnd"/>
          </w:p>
        </w:tc>
      </w:tr>
      <w:tr w:rsidR="00E57DAA" w14:paraId="6C10DA65"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213FB68D" w14:textId="77777777" w:rsidR="00E57DAA" w:rsidRDefault="00AC4185">
            <w:pPr>
              <w:kinsoku w:val="0"/>
              <w:overflowPunct w:val="0"/>
              <w:autoSpaceDE w:val="0"/>
              <w:autoSpaceDN w:val="0"/>
              <w:adjustRightInd w:val="0"/>
              <w:snapToGrid w:val="0"/>
              <w:rPr>
                <w:szCs w:val="21"/>
              </w:rPr>
            </w:pPr>
            <w:r>
              <w:rPr>
                <w:szCs w:val="21"/>
              </w:rPr>
              <w:t>公司的外文名称缩写</w:t>
            </w:r>
          </w:p>
        </w:tc>
        <w:tc>
          <w:tcPr>
            <w:tcW w:w="2831" w:type="pct"/>
            <w:tcBorders>
              <w:top w:val="single" w:sz="4" w:space="0" w:color="auto"/>
              <w:left w:val="single" w:sz="4" w:space="0" w:color="auto"/>
              <w:bottom w:val="single" w:sz="4" w:space="0" w:color="auto"/>
            </w:tcBorders>
            <w:vAlign w:val="center"/>
          </w:tcPr>
          <w:p w14:paraId="244AFE77" w14:textId="77777777" w:rsidR="00E57DAA" w:rsidRDefault="00AC4185">
            <w:pPr>
              <w:kinsoku w:val="0"/>
              <w:overflowPunct w:val="0"/>
              <w:autoSpaceDE w:val="0"/>
              <w:autoSpaceDN w:val="0"/>
              <w:adjustRightInd w:val="0"/>
              <w:snapToGrid w:val="0"/>
              <w:rPr>
                <w:szCs w:val="21"/>
              </w:rPr>
            </w:pPr>
            <w:proofErr w:type="spellStart"/>
            <w:r>
              <w:t>Sinoma</w:t>
            </w:r>
            <w:proofErr w:type="spellEnd"/>
            <w:r>
              <w:t>-int</w:t>
            </w:r>
          </w:p>
        </w:tc>
      </w:tr>
      <w:tr w:rsidR="00E57DAA" w14:paraId="71B44C81"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5D973340" w14:textId="77777777" w:rsidR="00E57DAA" w:rsidRDefault="00AC4185">
            <w:pPr>
              <w:kinsoku w:val="0"/>
              <w:overflowPunct w:val="0"/>
              <w:autoSpaceDE w:val="0"/>
              <w:autoSpaceDN w:val="0"/>
              <w:adjustRightInd w:val="0"/>
              <w:snapToGrid w:val="0"/>
              <w:rPr>
                <w:szCs w:val="21"/>
              </w:rPr>
            </w:pPr>
            <w:r>
              <w:rPr>
                <w:szCs w:val="21"/>
              </w:rPr>
              <w:t>公司的法定代表人</w:t>
            </w:r>
          </w:p>
        </w:tc>
        <w:tc>
          <w:tcPr>
            <w:tcW w:w="2831" w:type="pct"/>
            <w:tcBorders>
              <w:top w:val="single" w:sz="4" w:space="0" w:color="auto"/>
              <w:left w:val="single" w:sz="4" w:space="0" w:color="auto"/>
              <w:bottom w:val="single" w:sz="4" w:space="0" w:color="auto"/>
            </w:tcBorders>
            <w:vAlign w:val="center"/>
          </w:tcPr>
          <w:p w14:paraId="0C960115" w14:textId="77777777" w:rsidR="00E57DAA" w:rsidRDefault="00AC4185">
            <w:pPr>
              <w:kinsoku w:val="0"/>
              <w:overflowPunct w:val="0"/>
              <w:autoSpaceDE w:val="0"/>
              <w:autoSpaceDN w:val="0"/>
              <w:adjustRightInd w:val="0"/>
              <w:snapToGrid w:val="0"/>
              <w:rPr>
                <w:szCs w:val="21"/>
              </w:rPr>
            </w:pPr>
            <w:r>
              <w:t>印志松</w:t>
            </w:r>
          </w:p>
        </w:tc>
      </w:tr>
    </w:tbl>
    <w:p w14:paraId="2CE7F4D0" w14:textId="77777777" w:rsidR="00E57DAA" w:rsidRDefault="00E57DAA" w:rsidP="00C25422">
      <w:pPr>
        <w:pStyle w:val="92"/>
      </w:pPr>
    </w:p>
    <w:p w14:paraId="59A7A474" w14:textId="77777777" w:rsidR="00E57DAA" w:rsidRDefault="00E57DAA" w:rsidP="00C25422">
      <w:pPr>
        <w:pStyle w:val="92"/>
      </w:pPr>
    </w:p>
    <w:p w14:paraId="0F5CEEA1" w14:textId="77777777" w:rsidR="00E57DAA" w:rsidRDefault="00AC4185">
      <w:pPr>
        <w:pStyle w:val="2"/>
        <w:numPr>
          <w:ilvl w:val="1"/>
          <w:numId w:val="5"/>
        </w:numPr>
      </w:pPr>
      <w:r>
        <w:rPr>
          <w:rFonts w:hint="eastAsia"/>
        </w:rPr>
        <w:t>联系人和联系方式</w:t>
      </w:r>
    </w:p>
    <w:tbl>
      <w:tblPr>
        <w:tblStyle w:val="g1"/>
        <w:tblW w:w="5000" w:type="pct"/>
        <w:tblInd w:w="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839"/>
        <w:gridCol w:w="3543"/>
        <w:gridCol w:w="3441"/>
      </w:tblGrid>
      <w:tr w:rsidR="00E57DAA" w14:paraId="1EA5ED47" w14:textId="77777777">
        <w:tc>
          <w:tcPr>
            <w:tcW w:w="1042" w:type="pct"/>
            <w:tcBorders>
              <w:top w:val="single" w:sz="4" w:space="0" w:color="auto"/>
              <w:bottom w:val="single" w:sz="4" w:space="0" w:color="auto"/>
              <w:right w:val="single" w:sz="4" w:space="0" w:color="auto"/>
            </w:tcBorders>
            <w:shd w:val="clear" w:color="auto" w:fill="auto"/>
          </w:tcPr>
          <w:p w14:paraId="7B3B4CF5" w14:textId="77777777" w:rsidR="00E57DAA" w:rsidRDefault="00E57DAA">
            <w:pPr>
              <w:kinsoku w:val="0"/>
              <w:overflowPunct w:val="0"/>
              <w:autoSpaceDE w:val="0"/>
              <w:autoSpaceDN w:val="0"/>
              <w:adjustRightInd w:val="0"/>
              <w:snapToGrid w:val="0"/>
              <w:rPr>
                <w:szCs w:val="21"/>
              </w:rPr>
            </w:pPr>
          </w:p>
        </w:tc>
        <w:tc>
          <w:tcPr>
            <w:tcW w:w="2008" w:type="pct"/>
            <w:tcBorders>
              <w:top w:val="single" w:sz="4" w:space="0" w:color="auto"/>
              <w:left w:val="single" w:sz="4" w:space="0" w:color="auto"/>
              <w:bottom w:val="single" w:sz="4" w:space="0" w:color="auto"/>
              <w:right w:val="single" w:sz="4" w:space="0" w:color="auto"/>
            </w:tcBorders>
            <w:shd w:val="clear" w:color="auto" w:fill="auto"/>
          </w:tcPr>
          <w:p w14:paraId="2D04553B" w14:textId="77777777" w:rsidR="00E57DAA" w:rsidRDefault="00EB41A1">
            <w:pPr>
              <w:pStyle w:val="ad"/>
              <w:kinsoku w:val="0"/>
              <w:overflowPunct w:val="0"/>
              <w:autoSpaceDE w:val="0"/>
              <w:autoSpaceDN w:val="0"/>
              <w:adjustRightInd w:val="0"/>
              <w:snapToGrid w:val="0"/>
              <w:jc w:val="center"/>
              <w:rPr>
                <w:rFonts w:ascii="宋体" w:hAnsi="宋体"/>
                <w:color w:val="008000"/>
              </w:rPr>
            </w:pPr>
            <w:sdt>
              <w:sdtPr>
                <w:tag w:val="_PLD_e3b56ea4d9044947a48312d084d6e0c4"/>
                <w:id w:val="-1863205494"/>
              </w:sdtPr>
              <w:sdtEndPr/>
              <w:sdtContent>
                <w:r w:rsidR="00AC4185">
                  <w:rPr>
                    <w:rFonts w:ascii="宋体" w:hAnsi="宋体" w:cs="宋体" w:hint="eastAsia"/>
                  </w:rPr>
                  <w:t>董事会秘书</w:t>
                </w:r>
              </w:sdtContent>
            </w:sdt>
          </w:p>
        </w:tc>
        <w:sdt>
          <w:sdtPr>
            <w:tag w:val="_PLD_3c890d5ebae5433cbd8a04f8846a0d9c"/>
            <w:id w:val="-1157844514"/>
          </w:sdtPr>
          <w:sdtEndPr/>
          <w:sdtContent>
            <w:tc>
              <w:tcPr>
                <w:tcW w:w="1950" w:type="pct"/>
                <w:tcBorders>
                  <w:top w:val="single" w:sz="4" w:space="0" w:color="auto"/>
                  <w:left w:val="single" w:sz="4" w:space="0" w:color="auto"/>
                  <w:bottom w:val="single" w:sz="4" w:space="0" w:color="auto"/>
                </w:tcBorders>
                <w:shd w:val="clear" w:color="auto" w:fill="auto"/>
              </w:tcPr>
              <w:p w14:paraId="1A468696" w14:textId="77777777" w:rsidR="00E57DAA" w:rsidRDefault="00AC4185">
                <w:pPr>
                  <w:pStyle w:val="ad"/>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E57DAA" w14:paraId="17600268" w14:textId="77777777">
        <w:tc>
          <w:tcPr>
            <w:tcW w:w="1042" w:type="pct"/>
            <w:tcBorders>
              <w:top w:val="single" w:sz="4" w:space="0" w:color="auto"/>
              <w:bottom w:val="single" w:sz="4" w:space="0" w:color="auto"/>
              <w:right w:val="single" w:sz="4" w:space="0" w:color="auto"/>
            </w:tcBorders>
            <w:shd w:val="clear" w:color="auto" w:fill="auto"/>
          </w:tcPr>
          <w:p w14:paraId="5E8C8CE4" w14:textId="77777777" w:rsidR="00E57DAA" w:rsidRDefault="00AC4185">
            <w:pPr>
              <w:kinsoku w:val="0"/>
              <w:overflowPunct w:val="0"/>
              <w:autoSpaceDE w:val="0"/>
              <w:autoSpaceDN w:val="0"/>
              <w:adjustRightInd w:val="0"/>
              <w:snapToGrid w:val="0"/>
              <w:rPr>
                <w:szCs w:val="21"/>
              </w:rPr>
            </w:pPr>
            <w:r>
              <w:rPr>
                <w:rFonts w:hint="eastAsia"/>
                <w:szCs w:val="21"/>
              </w:rPr>
              <w:t>姓名</w:t>
            </w:r>
          </w:p>
        </w:tc>
        <w:tc>
          <w:tcPr>
            <w:tcW w:w="2008" w:type="pct"/>
            <w:tcBorders>
              <w:top w:val="single" w:sz="4" w:space="0" w:color="auto"/>
              <w:left w:val="single" w:sz="4" w:space="0" w:color="auto"/>
              <w:bottom w:val="single" w:sz="4" w:space="0" w:color="auto"/>
              <w:right w:val="single" w:sz="4" w:space="0" w:color="auto"/>
            </w:tcBorders>
            <w:vAlign w:val="center"/>
          </w:tcPr>
          <w:p w14:paraId="5105E756" w14:textId="77777777" w:rsidR="00E57DAA" w:rsidRDefault="00AC4185">
            <w:pPr>
              <w:kinsoku w:val="0"/>
              <w:overflowPunct w:val="0"/>
              <w:autoSpaceDE w:val="0"/>
              <w:autoSpaceDN w:val="0"/>
              <w:adjustRightInd w:val="0"/>
              <w:snapToGrid w:val="0"/>
              <w:rPr>
                <w:szCs w:val="21"/>
              </w:rPr>
            </w:pPr>
            <w:r>
              <w:t>范丽婷</w:t>
            </w:r>
          </w:p>
        </w:tc>
        <w:tc>
          <w:tcPr>
            <w:tcW w:w="1950" w:type="pct"/>
            <w:tcBorders>
              <w:top w:val="single" w:sz="4" w:space="0" w:color="auto"/>
              <w:left w:val="single" w:sz="4" w:space="0" w:color="auto"/>
              <w:bottom w:val="single" w:sz="4" w:space="0" w:color="auto"/>
            </w:tcBorders>
            <w:vAlign w:val="center"/>
          </w:tcPr>
          <w:p w14:paraId="6A88A648" w14:textId="77777777" w:rsidR="00E57DAA" w:rsidRDefault="00AC4185">
            <w:pPr>
              <w:kinsoku w:val="0"/>
              <w:overflowPunct w:val="0"/>
              <w:autoSpaceDE w:val="0"/>
              <w:autoSpaceDN w:val="0"/>
              <w:adjustRightInd w:val="0"/>
              <w:snapToGrid w:val="0"/>
              <w:rPr>
                <w:szCs w:val="21"/>
              </w:rPr>
            </w:pPr>
            <w:r>
              <w:t>吕英花</w:t>
            </w:r>
          </w:p>
        </w:tc>
      </w:tr>
      <w:tr w:rsidR="00E57DAA" w14:paraId="22FEB6B2" w14:textId="77777777">
        <w:tc>
          <w:tcPr>
            <w:tcW w:w="1042" w:type="pct"/>
            <w:tcBorders>
              <w:top w:val="single" w:sz="4" w:space="0" w:color="auto"/>
              <w:bottom w:val="single" w:sz="4" w:space="0" w:color="auto"/>
              <w:right w:val="single" w:sz="4" w:space="0" w:color="auto"/>
            </w:tcBorders>
            <w:shd w:val="clear" w:color="auto" w:fill="auto"/>
          </w:tcPr>
          <w:p w14:paraId="594918FC" w14:textId="77777777" w:rsidR="00E57DAA" w:rsidRDefault="00AC4185">
            <w:pPr>
              <w:kinsoku w:val="0"/>
              <w:overflowPunct w:val="0"/>
              <w:autoSpaceDE w:val="0"/>
              <w:autoSpaceDN w:val="0"/>
              <w:adjustRightInd w:val="0"/>
              <w:snapToGrid w:val="0"/>
              <w:rPr>
                <w:szCs w:val="21"/>
              </w:rPr>
            </w:pPr>
            <w:r>
              <w:rPr>
                <w:rFonts w:hint="eastAsia"/>
                <w:szCs w:val="21"/>
              </w:rPr>
              <w:t>联系地址</w:t>
            </w:r>
          </w:p>
        </w:tc>
        <w:tc>
          <w:tcPr>
            <w:tcW w:w="2008" w:type="pct"/>
            <w:tcBorders>
              <w:top w:val="single" w:sz="4" w:space="0" w:color="auto"/>
              <w:left w:val="single" w:sz="4" w:space="0" w:color="auto"/>
              <w:bottom w:val="single" w:sz="4" w:space="0" w:color="auto"/>
              <w:right w:val="single" w:sz="4" w:space="0" w:color="auto"/>
            </w:tcBorders>
            <w:vAlign w:val="center"/>
          </w:tcPr>
          <w:p w14:paraId="64506724" w14:textId="77777777" w:rsidR="00E57DAA" w:rsidRDefault="00AC4185">
            <w:pPr>
              <w:kinsoku w:val="0"/>
              <w:overflowPunct w:val="0"/>
              <w:autoSpaceDE w:val="0"/>
              <w:autoSpaceDN w:val="0"/>
              <w:adjustRightInd w:val="0"/>
              <w:snapToGrid w:val="0"/>
              <w:rPr>
                <w:szCs w:val="21"/>
              </w:rPr>
            </w:pPr>
            <w:r>
              <w:t>北京市朝阳区望京北路16号中国中材国际工程股份有限公司</w:t>
            </w:r>
          </w:p>
        </w:tc>
        <w:tc>
          <w:tcPr>
            <w:tcW w:w="1950" w:type="pct"/>
            <w:tcBorders>
              <w:top w:val="single" w:sz="4" w:space="0" w:color="auto"/>
              <w:left w:val="single" w:sz="4" w:space="0" w:color="auto"/>
              <w:bottom w:val="single" w:sz="4" w:space="0" w:color="auto"/>
            </w:tcBorders>
            <w:vAlign w:val="center"/>
          </w:tcPr>
          <w:p w14:paraId="7B91C9FC" w14:textId="77777777" w:rsidR="00E57DAA" w:rsidRDefault="00AC4185">
            <w:pPr>
              <w:kinsoku w:val="0"/>
              <w:overflowPunct w:val="0"/>
              <w:autoSpaceDE w:val="0"/>
              <w:autoSpaceDN w:val="0"/>
              <w:adjustRightInd w:val="0"/>
              <w:snapToGrid w:val="0"/>
              <w:rPr>
                <w:szCs w:val="21"/>
              </w:rPr>
            </w:pPr>
            <w:r>
              <w:t>北京市朝阳区望京北路16号中国中材国际工程股份有限公司董事会办公室</w:t>
            </w:r>
          </w:p>
        </w:tc>
      </w:tr>
      <w:tr w:rsidR="00E57DAA" w14:paraId="764953EC" w14:textId="77777777">
        <w:tc>
          <w:tcPr>
            <w:tcW w:w="1042" w:type="pct"/>
            <w:tcBorders>
              <w:top w:val="single" w:sz="4" w:space="0" w:color="auto"/>
              <w:bottom w:val="single" w:sz="4" w:space="0" w:color="auto"/>
              <w:right w:val="single" w:sz="4" w:space="0" w:color="auto"/>
            </w:tcBorders>
            <w:shd w:val="clear" w:color="auto" w:fill="auto"/>
          </w:tcPr>
          <w:p w14:paraId="20B37EBE" w14:textId="77777777" w:rsidR="00E57DAA" w:rsidRDefault="00AC4185">
            <w:pPr>
              <w:kinsoku w:val="0"/>
              <w:overflowPunct w:val="0"/>
              <w:autoSpaceDE w:val="0"/>
              <w:autoSpaceDN w:val="0"/>
              <w:adjustRightInd w:val="0"/>
              <w:snapToGrid w:val="0"/>
              <w:rPr>
                <w:szCs w:val="21"/>
              </w:rPr>
            </w:pPr>
            <w:r>
              <w:rPr>
                <w:szCs w:val="21"/>
              </w:rPr>
              <w:t>电话</w:t>
            </w:r>
          </w:p>
        </w:tc>
        <w:tc>
          <w:tcPr>
            <w:tcW w:w="2008" w:type="pct"/>
            <w:tcBorders>
              <w:top w:val="single" w:sz="4" w:space="0" w:color="auto"/>
              <w:left w:val="single" w:sz="4" w:space="0" w:color="auto"/>
              <w:bottom w:val="single" w:sz="4" w:space="0" w:color="auto"/>
              <w:right w:val="single" w:sz="4" w:space="0" w:color="auto"/>
            </w:tcBorders>
            <w:vAlign w:val="center"/>
          </w:tcPr>
          <w:p w14:paraId="2111FBB8" w14:textId="77777777" w:rsidR="00E57DAA" w:rsidRDefault="00AC4185">
            <w:pPr>
              <w:kinsoku w:val="0"/>
              <w:overflowPunct w:val="0"/>
              <w:autoSpaceDE w:val="0"/>
              <w:autoSpaceDN w:val="0"/>
              <w:adjustRightInd w:val="0"/>
              <w:snapToGrid w:val="0"/>
              <w:rPr>
                <w:szCs w:val="21"/>
              </w:rPr>
            </w:pPr>
            <w:r>
              <w:rPr>
                <w:rFonts w:ascii="Times New Roman" w:hAnsi="Times New Roman"/>
              </w:rPr>
              <w:t>010-64399502</w:t>
            </w:r>
          </w:p>
        </w:tc>
        <w:tc>
          <w:tcPr>
            <w:tcW w:w="1950" w:type="pct"/>
            <w:tcBorders>
              <w:top w:val="single" w:sz="4" w:space="0" w:color="auto"/>
              <w:left w:val="single" w:sz="4" w:space="0" w:color="auto"/>
              <w:bottom w:val="single" w:sz="4" w:space="0" w:color="auto"/>
            </w:tcBorders>
            <w:vAlign w:val="center"/>
          </w:tcPr>
          <w:p w14:paraId="49F27A44" w14:textId="77777777" w:rsidR="00E57DAA" w:rsidRDefault="00AC4185">
            <w:pPr>
              <w:kinsoku w:val="0"/>
              <w:overflowPunct w:val="0"/>
              <w:autoSpaceDE w:val="0"/>
              <w:autoSpaceDN w:val="0"/>
              <w:adjustRightInd w:val="0"/>
              <w:snapToGrid w:val="0"/>
              <w:rPr>
                <w:szCs w:val="21"/>
              </w:rPr>
            </w:pPr>
            <w:r>
              <w:rPr>
                <w:rFonts w:ascii="Times New Roman" w:hAnsi="Times New Roman"/>
              </w:rPr>
              <w:t>010-64399501</w:t>
            </w:r>
          </w:p>
        </w:tc>
      </w:tr>
      <w:tr w:rsidR="00E57DAA" w14:paraId="095D5382" w14:textId="77777777">
        <w:tc>
          <w:tcPr>
            <w:tcW w:w="1042" w:type="pct"/>
            <w:tcBorders>
              <w:top w:val="single" w:sz="4" w:space="0" w:color="auto"/>
              <w:bottom w:val="single" w:sz="4" w:space="0" w:color="auto"/>
              <w:right w:val="single" w:sz="4" w:space="0" w:color="auto"/>
            </w:tcBorders>
            <w:shd w:val="clear" w:color="auto" w:fill="auto"/>
          </w:tcPr>
          <w:p w14:paraId="7625810A" w14:textId="77777777" w:rsidR="00E57DAA" w:rsidRDefault="00AC4185">
            <w:pPr>
              <w:kinsoku w:val="0"/>
              <w:overflowPunct w:val="0"/>
              <w:autoSpaceDE w:val="0"/>
              <w:autoSpaceDN w:val="0"/>
              <w:adjustRightInd w:val="0"/>
              <w:snapToGrid w:val="0"/>
              <w:rPr>
                <w:szCs w:val="21"/>
              </w:rPr>
            </w:pPr>
            <w:r>
              <w:rPr>
                <w:szCs w:val="21"/>
              </w:rPr>
              <w:t>传真</w:t>
            </w:r>
          </w:p>
        </w:tc>
        <w:tc>
          <w:tcPr>
            <w:tcW w:w="2008" w:type="pct"/>
            <w:tcBorders>
              <w:top w:val="single" w:sz="4" w:space="0" w:color="auto"/>
              <w:left w:val="single" w:sz="4" w:space="0" w:color="auto"/>
              <w:bottom w:val="single" w:sz="4" w:space="0" w:color="auto"/>
              <w:right w:val="single" w:sz="4" w:space="0" w:color="auto"/>
            </w:tcBorders>
            <w:vAlign w:val="center"/>
          </w:tcPr>
          <w:p w14:paraId="17D443A9" w14:textId="77777777" w:rsidR="00E57DAA" w:rsidRDefault="00AC4185">
            <w:pPr>
              <w:kinsoku w:val="0"/>
              <w:overflowPunct w:val="0"/>
              <w:autoSpaceDE w:val="0"/>
              <w:autoSpaceDN w:val="0"/>
              <w:adjustRightInd w:val="0"/>
              <w:snapToGrid w:val="0"/>
              <w:rPr>
                <w:szCs w:val="21"/>
              </w:rPr>
            </w:pPr>
            <w:r>
              <w:rPr>
                <w:rFonts w:ascii="Times New Roman" w:hAnsi="Times New Roman"/>
              </w:rPr>
              <w:t>010-64399500</w:t>
            </w:r>
          </w:p>
        </w:tc>
        <w:tc>
          <w:tcPr>
            <w:tcW w:w="1950" w:type="pct"/>
            <w:tcBorders>
              <w:top w:val="single" w:sz="4" w:space="0" w:color="auto"/>
              <w:left w:val="single" w:sz="4" w:space="0" w:color="auto"/>
              <w:bottom w:val="single" w:sz="4" w:space="0" w:color="auto"/>
            </w:tcBorders>
            <w:vAlign w:val="center"/>
          </w:tcPr>
          <w:p w14:paraId="45347AF1" w14:textId="77777777" w:rsidR="00E57DAA" w:rsidRDefault="00AC4185">
            <w:pPr>
              <w:kinsoku w:val="0"/>
              <w:overflowPunct w:val="0"/>
              <w:autoSpaceDE w:val="0"/>
              <w:autoSpaceDN w:val="0"/>
              <w:adjustRightInd w:val="0"/>
              <w:snapToGrid w:val="0"/>
              <w:rPr>
                <w:szCs w:val="21"/>
              </w:rPr>
            </w:pPr>
            <w:r>
              <w:rPr>
                <w:rFonts w:ascii="Times New Roman" w:hAnsi="Times New Roman"/>
              </w:rPr>
              <w:t>010-64399500</w:t>
            </w:r>
          </w:p>
        </w:tc>
      </w:tr>
      <w:tr w:rsidR="00E57DAA" w14:paraId="0B56083B" w14:textId="77777777">
        <w:tc>
          <w:tcPr>
            <w:tcW w:w="1042" w:type="pct"/>
            <w:tcBorders>
              <w:top w:val="single" w:sz="4" w:space="0" w:color="auto"/>
              <w:bottom w:val="single" w:sz="4" w:space="0" w:color="auto"/>
              <w:right w:val="single" w:sz="4" w:space="0" w:color="auto"/>
            </w:tcBorders>
            <w:shd w:val="clear" w:color="auto" w:fill="auto"/>
          </w:tcPr>
          <w:p w14:paraId="5C59618A" w14:textId="77777777" w:rsidR="00E57DAA" w:rsidRDefault="00AC4185">
            <w:pPr>
              <w:kinsoku w:val="0"/>
              <w:overflowPunct w:val="0"/>
              <w:autoSpaceDE w:val="0"/>
              <w:autoSpaceDN w:val="0"/>
              <w:adjustRightInd w:val="0"/>
              <w:snapToGrid w:val="0"/>
              <w:rPr>
                <w:szCs w:val="21"/>
              </w:rPr>
            </w:pPr>
            <w:r>
              <w:rPr>
                <w:szCs w:val="21"/>
              </w:rPr>
              <w:t>电子信箱</w:t>
            </w:r>
          </w:p>
        </w:tc>
        <w:tc>
          <w:tcPr>
            <w:tcW w:w="2008" w:type="pct"/>
            <w:tcBorders>
              <w:top w:val="single" w:sz="4" w:space="0" w:color="auto"/>
              <w:left w:val="single" w:sz="4" w:space="0" w:color="auto"/>
              <w:bottom w:val="single" w:sz="4" w:space="0" w:color="auto"/>
              <w:right w:val="single" w:sz="4" w:space="0" w:color="auto"/>
            </w:tcBorders>
            <w:vAlign w:val="center"/>
          </w:tcPr>
          <w:p w14:paraId="6BFFD7A0" w14:textId="77777777" w:rsidR="00E57DAA" w:rsidRDefault="00AC4185">
            <w:pPr>
              <w:kinsoku w:val="0"/>
              <w:overflowPunct w:val="0"/>
              <w:autoSpaceDE w:val="0"/>
              <w:autoSpaceDN w:val="0"/>
              <w:adjustRightInd w:val="0"/>
              <w:snapToGrid w:val="0"/>
              <w:rPr>
                <w:szCs w:val="21"/>
              </w:rPr>
            </w:pPr>
            <w:r>
              <w:rPr>
                <w:rFonts w:ascii="Times New Roman" w:hAnsi="Times New Roman"/>
              </w:rPr>
              <w:t>600970@sinoma.com.cn</w:t>
            </w:r>
          </w:p>
        </w:tc>
        <w:tc>
          <w:tcPr>
            <w:tcW w:w="1950" w:type="pct"/>
            <w:tcBorders>
              <w:top w:val="single" w:sz="4" w:space="0" w:color="auto"/>
              <w:left w:val="single" w:sz="4" w:space="0" w:color="auto"/>
              <w:bottom w:val="single" w:sz="4" w:space="0" w:color="auto"/>
            </w:tcBorders>
            <w:vAlign w:val="center"/>
          </w:tcPr>
          <w:p w14:paraId="510015ED" w14:textId="77777777" w:rsidR="00E57DAA" w:rsidRDefault="00AC4185">
            <w:pPr>
              <w:kinsoku w:val="0"/>
              <w:overflowPunct w:val="0"/>
              <w:autoSpaceDE w:val="0"/>
              <w:autoSpaceDN w:val="0"/>
              <w:adjustRightInd w:val="0"/>
              <w:snapToGrid w:val="0"/>
              <w:rPr>
                <w:szCs w:val="21"/>
              </w:rPr>
            </w:pPr>
            <w:r>
              <w:rPr>
                <w:rFonts w:ascii="Times New Roman" w:hAnsi="Times New Roman"/>
              </w:rPr>
              <w:t>600970@sinoma.com.cn</w:t>
            </w:r>
          </w:p>
        </w:tc>
      </w:tr>
    </w:tbl>
    <w:p w14:paraId="7E867ED2" w14:textId="77777777" w:rsidR="00E57DAA" w:rsidRDefault="00E57DAA" w:rsidP="00C25422">
      <w:pPr>
        <w:pStyle w:val="92"/>
      </w:pPr>
    </w:p>
    <w:p w14:paraId="08BC31C2" w14:textId="77777777" w:rsidR="00E57DAA" w:rsidRDefault="00E57DAA" w:rsidP="00C25422">
      <w:pPr>
        <w:pStyle w:val="92"/>
      </w:pPr>
    </w:p>
    <w:p w14:paraId="36CD8F82" w14:textId="77777777" w:rsidR="00E57DAA" w:rsidRDefault="00AC4185">
      <w:pPr>
        <w:pStyle w:val="2"/>
        <w:numPr>
          <w:ilvl w:val="1"/>
          <w:numId w:val="5"/>
        </w:numPr>
        <w:rPr>
          <w:rFonts w:ascii="宋体" w:hAnsi="宋体"/>
        </w:rPr>
      </w:pPr>
      <w:r>
        <w:t>基本情况</w:t>
      </w:r>
      <w:r>
        <w:rPr>
          <w:rFonts w:hint="eastAsia"/>
        </w:rPr>
        <w:t>简介</w:t>
      </w:r>
    </w:p>
    <w:tbl>
      <w:tblPr>
        <w:tblStyle w:val="g1"/>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3827"/>
        <w:gridCol w:w="4996"/>
      </w:tblGrid>
      <w:tr w:rsidR="00E57DAA" w14:paraId="7A655109" w14:textId="77777777">
        <w:trPr>
          <w:trHeight w:val="293"/>
        </w:trPr>
        <w:sdt>
          <w:sdtPr>
            <w:tag w:val="_PLD_65800154c9f246eeaabfb6d49f89b105"/>
            <w:id w:val="-365142621"/>
          </w:sdtPr>
          <w:sdtEndPr/>
          <w:sdtContent>
            <w:tc>
              <w:tcPr>
                <w:tcW w:w="2169" w:type="pct"/>
                <w:tcBorders>
                  <w:top w:val="single" w:sz="4" w:space="0" w:color="auto"/>
                  <w:bottom w:val="single" w:sz="4" w:space="0" w:color="auto"/>
                  <w:right w:val="single" w:sz="4" w:space="0" w:color="auto"/>
                </w:tcBorders>
                <w:shd w:val="clear" w:color="auto" w:fill="auto"/>
              </w:tcPr>
              <w:p w14:paraId="07073244" w14:textId="77777777" w:rsidR="00E57DAA" w:rsidRDefault="00AC4185">
                <w:pPr>
                  <w:kinsoku w:val="0"/>
                  <w:overflowPunct w:val="0"/>
                  <w:autoSpaceDE w:val="0"/>
                  <w:autoSpaceDN w:val="0"/>
                  <w:adjustRightInd w:val="0"/>
                  <w:snapToGrid w:val="0"/>
                  <w:rPr>
                    <w:szCs w:val="21"/>
                  </w:rPr>
                </w:pPr>
                <w:r>
                  <w:rPr>
                    <w:szCs w:val="21"/>
                  </w:rPr>
                  <w:t>公司注册地址</w:t>
                </w:r>
              </w:p>
            </w:tc>
          </w:sdtContent>
        </w:sdt>
        <w:tc>
          <w:tcPr>
            <w:tcW w:w="2831" w:type="pct"/>
            <w:tcBorders>
              <w:top w:val="single" w:sz="4" w:space="0" w:color="auto"/>
              <w:left w:val="single" w:sz="4" w:space="0" w:color="auto"/>
              <w:bottom w:val="single" w:sz="4" w:space="0" w:color="auto"/>
            </w:tcBorders>
            <w:vAlign w:val="center"/>
          </w:tcPr>
          <w:p w14:paraId="3A200B7B" w14:textId="77777777" w:rsidR="00E57DAA" w:rsidRDefault="00AC4185">
            <w:pPr>
              <w:kinsoku w:val="0"/>
              <w:overflowPunct w:val="0"/>
              <w:autoSpaceDE w:val="0"/>
              <w:autoSpaceDN w:val="0"/>
              <w:adjustRightInd w:val="0"/>
              <w:snapToGrid w:val="0"/>
              <w:rPr>
                <w:szCs w:val="21"/>
              </w:rPr>
            </w:pPr>
            <w:r>
              <w:t>江苏省南京市江宁开发区临淮街32号</w:t>
            </w:r>
          </w:p>
        </w:tc>
      </w:tr>
      <w:tr w:rsidR="00E57DAA" w14:paraId="3858FAD7"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1BE2C0EE" w14:textId="77777777" w:rsidR="00E57DAA" w:rsidRDefault="00AC4185">
            <w:pPr>
              <w:kinsoku w:val="0"/>
              <w:overflowPunct w:val="0"/>
              <w:autoSpaceDE w:val="0"/>
              <w:autoSpaceDN w:val="0"/>
              <w:adjustRightInd w:val="0"/>
              <w:snapToGrid w:val="0"/>
            </w:pPr>
            <w:r>
              <w:rPr>
                <w:rFonts w:hint="eastAsia"/>
              </w:rPr>
              <w:t>公司注册地址的历史变更情况</w:t>
            </w:r>
          </w:p>
        </w:tc>
        <w:tc>
          <w:tcPr>
            <w:tcW w:w="2831" w:type="pct"/>
            <w:tcBorders>
              <w:top w:val="single" w:sz="4" w:space="0" w:color="auto"/>
              <w:left w:val="single" w:sz="4" w:space="0" w:color="auto"/>
              <w:bottom w:val="single" w:sz="4" w:space="0" w:color="auto"/>
            </w:tcBorders>
            <w:vAlign w:val="center"/>
          </w:tcPr>
          <w:p w14:paraId="65102B46" w14:textId="77777777" w:rsidR="00E57DAA" w:rsidRDefault="00AC4185">
            <w:pPr>
              <w:kinsoku w:val="0"/>
              <w:overflowPunct w:val="0"/>
              <w:autoSpaceDE w:val="0"/>
              <w:autoSpaceDN w:val="0"/>
              <w:adjustRightInd w:val="0"/>
              <w:snapToGrid w:val="0"/>
              <w:rPr>
                <w:szCs w:val="21"/>
              </w:rPr>
            </w:pPr>
            <w:r>
              <w:t>2005年6月23日，公司注册地址由江苏省南京高新技术产业开发区28幢3层变更为现地址。</w:t>
            </w:r>
          </w:p>
        </w:tc>
      </w:tr>
      <w:tr w:rsidR="00E57DAA" w14:paraId="705E0F50"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489BDED9" w14:textId="77777777" w:rsidR="00E57DAA" w:rsidRDefault="00AC4185">
            <w:pPr>
              <w:kinsoku w:val="0"/>
              <w:overflowPunct w:val="0"/>
              <w:autoSpaceDE w:val="0"/>
              <w:autoSpaceDN w:val="0"/>
              <w:adjustRightInd w:val="0"/>
              <w:snapToGrid w:val="0"/>
              <w:rPr>
                <w:szCs w:val="21"/>
              </w:rPr>
            </w:pPr>
            <w:r>
              <w:rPr>
                <w:szCs w:val="21"/>
              </w:rPr>
              <w:t>公司办公地址</w:t>
            </w:r>
          </w:p>
        </w:tc>
        <w:tc>
          <w:tcPr>
            <w:tcW w:w="2831" w:type="pct"/>
            <w:tcBorders>
              <w:top w:val="single" w:sz="4" w:space="0" w:color="auto"/>
              <w:left w:val="single" w:sz="4" w:space="0" w:color="auto"/>
              <w:bottom w:val="single" w:sz="4" w:space="0" w:color="auto"/>
            </w:tcBorders>
            <w:vAlign w:val="center"/>
          </w:tcPr>
          <w:p w14:paraId="1EC11562" w14:textId="77777777" w:rsidR="00E57DAA" w:rsidRDefault="00AC4185">
            <w:pPr>
              <w:kinsoku w:val="0"/>
              <w:overflowPunct w:val="0"/>
              <w:autoSpaceDE w:val="0"/>
              <w:autoSpaceDN w:val="0"/>
              <w:adjustRightInd w:val="0"/>
              <w:snapToGrid w:val="0"/>
              <w:rPr>
                <w:szCs w:val="21"/>
              </w:rPr>
            </w:pPr>
            <w:r>
              <w:t>北京市朝阳区望京北路16号中材国际大厦</w:t>
            </w:r>
          </w:p>
        </w:tc>
      </w:tr>
      <w:tr w:rsidR="00E57DAA" w14:paraId="3665EE68"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637E7189" w14:textId="77777777" w:rsidR="00E57DAA" w:rsidRDefault="00AC4185">
            <w:pPr>
              <w:kinsoku w:val="0"/>
              <w:overflowPunct w:val="0"/>
              <w:autoSpaceDE w:val="0"/>
              <w:autoSpaceDN w:val="0"/>
              <w:adjustRightInd w:val="0"/>
              <w:snapToGrid w:val="0"/>
              <w:rPr>
                <w:szCs w:val="21"/>
              </w:rPr>
            </w:pPr>
            <w:r>
              <w:rPr>
                <w:szCs w:val="21"/>
              </w:rPr>
              <w:t>公司办公地址的邮政编码</w:t>
            </w:r>
          </w:p>
        </w:tc>
        <w:tc>
          <w:tcPr>
            <w:tcW w:w="2831" w:type="pct"/>
            <w:tcBorders>
              <w:top w:val="single" w:sz="4" w:space="0" w:color="auto"/>
              <w:left w:val="single" w:sz="4" w:space="0" w:color="auto"/>
              <w:bottom w:val="single" w:sz="4" w:space="0" w:color="auto"/>
            </w:tcBorders>
            <w:vAlign w:val="center"/>
          </w:tcPr>
          <w:p w14:paraId="04D6902E" w14:textId="77777777" w:rsidR="00E57DAA" w:rsidRDefault="00AC4185">
            <w:pPr>
              <w:kinsoku w:val="0"/>
              <w:overflowPunct w:val="0"/>
              <w:autoSpaceDE w:val="0"/>
              <w:autoSpaceDN w:val="0"/>
              <w:adjustRightInd w:val="0"/>
              <w:snapToGrid w:val="0"/>
              <w:rPr>
                <w:szCs w:val="21"/>
              </w:rPr>
            </w:pPr>
            <w:r>
              <w:t>100102</w:t>
            </w:r>
          </w:p>
        </w:tc>
      </w:tr>
      <w:tr w:rsidR="00E57DAA" w14:paraId="34DE455E"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7F77E05F" w14:textId="77777777" w:rsidR="00E57DAA" w:rsidRDefault="00AC4185">
            <w:pPr>
              <w:kinsoku w:val="0"/>
              <w:overflowPunct w:val="0"/>
              <w:autoSpaceDE w:val="0"/>
              <w:autoSpaceDN w:val="0"/>
              <w:adjustRightInd w:val="0"/>
              <w:snapToGrid w:val="0"/>
              <w:rPr>
                <w:szCs w:val="21"/>
              </w:rPr>
            </w:pPr>
            <w:r>
              <w:rPr>
                <w:szCs w:val="21"/>
              </w:rPr>
              <w:t>公司网址</w:t>
            </w:r>
          </w:p>
        </w:tc>
        <w:tc>
          <w:tcPr>
            <w:tcW w:w="2831" w:type="pct"/>
            <w:tcBorders>
              <w:top w:val="single" w:sz="4" w:space="0" w:color="auto"/>
              <w:left w:val="single" w:sz="4" w:space="0" w:color="auto"/>
              <w:bottom w:val="single" w:sz="4" w:space="0" w:color="auto"/>
            </w:tcBorders>
            <w:vAlign w:val="center"/>
          </w:tcPr>
          <w:p w14:paraId="34E79F7D" w14:textId="77777777" w:rsidR="00E57DAA" w:rsidRDefault="00AC4185">
            <w:pPr>
              <w:kinsoku w:val="0"/>
              <w:overflowPunct w:val="0"/>
              <w:autoSpaceDE w:val="0"/>
              <w:autoSpaceDN w:val="0"/>
              <w:adjustRightInd w:val="0"/>
              <w:snapToGrid w:val="0"/>
              <w:rPr>
                <w:szCs w:val="21"/>
              </w:rPr>
            </w:pPr>
            <w:r>
              <w:t>http://www.sinoma.com.cn</w:t>
            </w:r>
          </w:p>
        </w:tc>
      </w:tr>
      <w:tr w:rsidR="00E57DAA" w14:paraId="111801C2" w14:textId="77777777">
        <w:trPr>
          <w:trHeight w:val="293"/>
        </w:trPr>
        <w:tc>
          <w:tcPr>
            <w:tcW w:w="2169" w:type="pct"/>
            <w:tcBorders>
              <w:top w:val="single" w:sz="4" w:space="0" w:color="auto"/>
              <w:bottom w:val="single" w:sz="4" w:space="0" w:color="auto"/>
              <w:right w:val="single" w:sz="4" w:space="0" w:color="auto"/>
            </w:tcBorders>
            <w:shd w:val="clear" w:color="auto" w:fill="auto"/>
          </w:tcPr>
          <w:p w14:paraId="4E180183" w14:textId="77777777" w:rsidR="00E57DAA" w:rsidRDefault="00AC4185">
            <w:pPr>
              <w:kinsoku w:val="0"/>
              <w:overflowPunct w:val="0"/>
              <w:autoSpaceDE w:val="0"/>
              <w:autoSpaceDN w:val="0"/>
              <w:adjustRightInd w:val="0"/>
              <w:snapToGrid w:val="0"/>
              <w:rPr>
                <w:szCs w:val="21"/>
              </w:rPr>
            </w:pPr>
            <w:r>
              <w:rPr>
                <w:szCs w:val="21"/>
              </w:rPr>
              <w:t>电子信箱</w:t>
            </w:r>
          </w:p>
        </w:tc>
        <w:tc>
          <w:tcPr>
            <w:tcW w:w="2831" w:type="pct"/>
            <w:tcBorders>
              <w:top w:val="single" w:sz="4" w:space="0" w:color="auto"/>
              <w:left w:val="single" w:sz="4" w:space="0" w:color="auto"/>
              <w:bottom w:val="single" w:sz="4" w:space="0" w:color="auto"/>
            </w:tcBorders>
            <w:vAlign w:val="center"/>
          </w:tcPr>
          <w:p w14:paraId="09FEDAAE" w14:textId="77777777" w:rsidR="00E57DAA" w:rsidRDefault="00AC4185">
            <w:pPr>
              <w:kinsoku w:val="0"/>
              <w:overflowPunct w:val="0"/>
              <w:autoSpaceDE w:val="0"/>
              <w:autoSpaceDN w:val="0"/>
              <w:adjustRightInd w:val="0"/>
              <w:snapToGrid w:val="0"/>
              <w:rPr>
                <w:szCs w:val="21"/>
              </w:rPr>
            </w:pPr>
            <w:r>
              <w:t>600970@sinoma.com.cn</w:t>
            </w:r>
          </w:p>
        </w:tc>
      </w:tr>
    </w:tbl>
    <w:p w14:paraId="610819F6" w14:textId="77777777" w:rsidR="00E57DAA" w:rsidRDefault="00E57DAA" w:rsidP="00C25422">
      <w:pPr>
        <w:pStyle w:val="92"/>
      </w:pPr>
    </w:p>
    <w:p w14:paraId="0ED8CBD6" w14:textId="77777777" w:rsidR="00E57DAA" w:rsidRDefault="00AC4185">
      <w:pPr>
        <w:pStyle w:val="2"/>
        <w:numPr>
          <w:ilvl w:val="1"/>
          <w:numId w:val="5"/>
        </w:numPr>
        <w:rPr>
          <w:rFonts w:ascii="宋体" w:hAnsi="宋体"/>
        </w:rPr>
      </w:pPr>
      <w:r>
        <w:t>信息披露及备置地点</w:t>
      </w:r>
    </w:p>
    <w:tbl>
      <w:tblPr>
        <w:tblStyle w:val="g1"/>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4108"/>
        <w:gridCol w:w="4715"/>
      </w:tblGrid>
      <w:tr w:rsidR="00E57DAA" w14:paraId="7178241F" w14:textId="77777777">
        <w:trPr>
          <w:trHeight w:val="293"/>
        </w:trPr>
        <w:sdt>
          <w:sdtPr>
            <w:tag w:val="_PLD_bbba55a3ebda46da946a09caf15c63b6"/>
            <w:id w:val="-1769072272"/>
          </w:sdtPr>
          <w:sdtEndPr/>
          <w:sdtContent>
            <w:tc>
              <w:tcPr>
                <w:tcW w:w="2328" w:type="pct"/>
                <w:tcBorders>
                  <w:top w:val="single" w:sz="4" w:space="0" w:color="auto"/>
                  <w:bottom w:val="single" w:sz="4" w:space="0" w:color="auto"/>
                  <w:right w:val="single" w:sz="4" w:space="0" w:color="auto"/>
                </w:tcBorders>
                <w:shd w:val="clear" w:color="auto" w:fill="auto"/>
              </w:tcPr>
              <w:p w14:paraId="2E107F93" w14:textId="77777777" w:rsidR="00E57DAA" w:rsidRDefault="00AC4185">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tc>
          <w:tcPr>
            <w:tcW w:w="2672" w:type="pct"/>
            <w:tcBorders>
              <w:top w:val="single" w:sz="4" w:space="0" w:color="auto"/>
              <w:left w:val="single" w:sz="4" w:space="0" w:color="auto"/>
              <w:bottom w:val="single" w:sz="4" w:space="0" w:color="auto"/>
            </w:tcBorders>
            <w:vAlign w:val="center"/>
          </w:tcPr>
          <w:p w14:paraId="49FAF209" w14:textId="77777777" w:rsidR="00E57DAA" w:rsidRDefault="00AC4185">
            <w:pPr>
              <w:kinsoku w:val="0"/>
              <w:overflowPunct w:val="0"/>
              <w:autoSpaceDE w:val="0"/>
              <w:autoSpaceDN w:val="0"/>
              <w:adjustRightInd w:val="0"/>
              <w:snapToGrid w:val="0"/>
            </w:pPr>
            <w:r>
              <w:t>中国证券报</w:t>
            </w:r>
            <w:r>
              <w:rPr>
                <w:rFonts w:hint="eastAsia"/>
              </w:rPr>
              <w:t>（</w:t>
            </w:r>
            <w:hyperlink r:id="rId17" w:history="1">
              <w:r>
                <w:rPr>
                  <w:rStyle w:val="affa"/>
                  <w:rFonts w:cs="宋体"/>
                </w:rPr>
                <w:t>https://www.cs.com.cn</w:t>
              </w:r>
            </w:hyperlink>
            <w:r>
              <w:rPr>
                <w:rFonts w:hint="eastAsia"/>
              </w:rPr>
              <w:t>）</w:t>
            </w:r>
          </w:p>
          <w:p w14:paraId="3B240F9F" w14:textId="77777777" w:rsidR="00E57DAA" w:rsidRDefault="00AC4185">
            <w:pPr>
              <w:kinsoku w:val="0"/>
              <w:overflowPunct w:val="0"/>
              <w:autoSpaceDE w:val="0"/>
              <w:autoSpaceDN w:val="0"/>
              <w:adjustRightInd w:val="0"/>
              <w:snapToGrid w:val="0"/>
              <w:rPr>
                <w:szCs w:val="21"/>
              </w:rPr>
            </w:pPr>
            <w:r>
              <w:t>上海证券报</w:t>
            </w:r>
            <w:r>
              <w:rPr>
                <w:rFonts w:hint="eastAsia"/>
              </w:rPr>
              <w:t>（</w:t>
            </w:r>
            <w:hyperlink r:id="rId18" w:history="1">
              <w:r>
                <w:rPr>
                  <w:rStyle w:val="affa"/>
                  <w:rFonts w:cs="宋体"/>
                </w:rPr>
                <w:t>https://www.cnstock.com</w:t>
              </w:r>
            </w:hyperlink>
            <w:r>
              <w:rPr>
                <w:rFonts w:hint="eastAsia"/>
              </w:rPr>
              <w:t>）</w:t>
            </w:r>
          </w:p>
        </w:tc>
      </w:tr>
      <w:tr w:rsidR="00E57DAA" w14:paraId="18F1C803" w14:textId="77777777">
        <w:trPr>
          <w:trHeight w:val="293"/>
        </w:trPr>
        <w:tc>
          <w:tcPr>
            <w:tcW w:w="2328" w:type="pct"/>
            <w:tcBorders>
              <w:top w:val="single" w:sz="4" w:space="0" w:color="auto"/>
              <w:bottom w:val="single" w:sz="4" w:space="0" w:color="auto"/>
              <w:right w:val="single" w:sz="4" w:space="0" w:color="auto"/>
            </w:tcBorders>
            <w:shd w:val="clear" w:color="auto" w:fill="auto"/>
          </w:tcPr>
          <w:p w14:paraId="290E9F8A" w14:textId="77777777" w:rsidR="00E57DAA" w:rsidRDefault="00AC4185">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tc>
          <w:tcPr>
            <w:tcW w:w="2672" w:type="pct"/>
            <w:tcBorders>
              <w:top w:val="single" w:sz="4" w:space="0" w:color="auto"/>
              <w:left w:val="single" w:sz="4" w:space="0" w:color="auto"/>
              <w:bottom w:val="single" w:sz="4" w:space="0" w:color="auto"/>
            </w:tcBorders>
            <w:vAlign w:val="center"/>
          </w:tcPr>
          <w:p w14:paraId="310B48BA" w14:textId="77777777" w:rsidR="00E57DAA" w:rsidRDefault="00AC4185">
            <w:pPr>
              <w:kinsoku w:val="0"/>
              <w:overflowPunct w:val="0"/>
              <w:autoSpaceDE w:val="0"/>
              <w:autoSpaceDN w:val="0"/>
              <w:adjustRightInd w:val="0"/>
              <w:snapToGrid w:val="0"/>
              <w:rPr>
                <w:szCs w:val="21"/>
              </w:rPr>
            </w:pPr>
            <w:r>
              <w:t>http://www.sse.com.cn</w:t>
            </w:r>
          </w:p>
        </w:tc>
      </w:tr>
      <w:tr w:rsidR="00E57DAA" w14:paraId="227D75EA" w14:textId="77777777">
        <w:trPr>
          <w:trHeight w:val="293"/>
        </w:trPr>
        <w:tc>
          <w:tcPr>
            <w:tcW w:w="2328" w:type="pct"/>
            <w:tcBorders>
              <w:top w:val="single" w:sz="4" w:space="0" w:color="auto"/>
              <w:bottom w:val="single" w:sz="4" w:space="0" w:color="auto"/>
              <w:right w:val="single" w:sz="4" w:space="0" w:color="auto"/>
            </w:tcBorders>
            <w:shd w:val="clear" w:color="auto" w:fill="auto"/>
          </w:tcPr>
          <w:p w14:paraId="0E92D6A9" w14:textId="77777777" w:rsidR="00E57DAA" w:rsidRDefault="00AC4185">
            <w:pPr>
              <w:kinsoku w:val="0"/>
              <w:overflowPunct w:val="0"/>
              <w:autoSpaceDE w:val="0"/>
              <w:autoSpaceDN w:val="0"/>
              <w:adjustRightInd w:val="0"/>
              <w:snapToGrid w:val="0"/>
              <w:rPr>
                <w:szCs w:val="21"/>
              </w:rPr>
            </w:pPr>
            <w:r>
              <w:rPr>
                <w:szCs w:val="21"/>
              </w:rPr>
              <w:t>公司年度报告备置地点</w:t>
            </w:r>
          </w:p>
        </w:tc>
        <w:tc>
          <w:tcPr>
            <w:tcW w:w="2672" w:type="pct"/>
            <w:tcBorders>
              <w:top w:val="single" w:sz="4" w:space="0" w:color="auto"/>
              <w:left w:val="single" w:sz="4" w:space="0" w:color="auto"/>
              <w:bottom w:val="single" w:sz="4" w:space="0" w:color="auto"/>
            </w:tcBorders>
            <w:vAlign w:val="center"/>
          </w:tcPr>
          <w:p w14:paraId="3241D462" w14:textId="77777777" w:rsidR="00E57DAA" w:rsidRDefault="00AC4185">
            <w:pPr>
              <w:kinsoku w:val="0"/>
              <w:overflowPunct w:val="0"/>
              <w:autoSpaceDE w:val="0"/>
              <w:autoSpaceDN w:val="0"/>
              <w:adjustRightInd w:val="0"/>
              <w:snapToGrid w:val="0"/>
              <w:rPr>
                <w:szCs w:val="21"/>
              </w:rPr>
            </w:pPr>
            <w:r>
              <w:t>北京市朝阳区望京北路16号公司董事会办公室</w:t>
            </w:r>
          </w:p>
        </w:tc>
      </w:tr>
    </w:tbl>
    <w:p w14:paraId="42216255" w14:textId="77777777" w:rsidR="00E57DAA" w:rsidRDefault="00E57DAA" w:rsidP="00C25422">
      <w:pPr>
        <w:pStyle w:val="92"/>
      </w:pPr>
    </w:p>
    <w:p w14:paraId="15C625EE" w14:textId="77777777" w:rsidR="00E57DAA" w:rsidRDefault="00E57DAA" w:rsidP="00C25422">
      <w:pPr>
        <w:pStyle w:val="92"/>
      </w:pPr>
    </w:p>
    <w:p w14:paraId="6DA9E723" w14:textId="77777777" w:rsidR="00E57DAA" w:rsidRDefault="00AC4185">
      <w:pPr>
        <w:pStyle w:val="2"/>
        <w:numPr>
          <w:ilvl w:val="1"/>
          <w:numId w:val="5"/>
        </w:numPr>
      </w:pPr>
      <w:r>
        <w:rPr>
          <w:rFonts w:hint="eastAsia"/>
        </w:rPr>
        <w:t>公司股票简况</w:t>
      </w:r>
    </w:p>
    <w:tbl>
      <w:tblPr>
        <w:tblStyle w:val="g1"/>
        <w:tblW w:w="5000" w:type="pct"/>
        <w:tblInd w:w="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64"/>
        <w:gridCol w:w="1764"/>
        <w:gridCol w:w="1765"/>
        <w:gridCol w:w="1765"/>
        <w:gridCol w:w="1765"/>
      </w:tblGrid>
      <w:tr w:rsidR="00E57DAA" w14:paraId="05D6D213" w14:textId="77777777">
        <w:trPr>
          <w:trHeight w:val="293"/>
        </w:trPr>
        <w:sdt>
          <w:sdtPr>
            <w:tag w:val="_PLD_71e874b79d5946dfbee802d1ebcf10a8"/>
            <w:id w:val="782392492"/>
          </w:sdtPr>
          <w:sdtEndPr/>
          <w:sdtContent>
            <w:tc>
              <w:tcPr>
                <w:tcW w:w="5000" w:type="pct"/>
                <w:gridSpan w:val="5"/>
                <w:tcBorders>
                  <w:top w:val="single" w:sz="4" w:space="0" w:color="auto"/>
                  <w:bottom w:val="single" w:sz="4" w:space="0" w:color="auto"/>
                </w:tcBorders>
                <w:shd w:val="clear" w:color="auto" w:fill="auto"/>
              </w:tcPr>
              <w:p w14:paraId="2A151517" w14:textId="77777777" w:rsidR="00E57DAA" w:rsidRDefault="00AC4185">
                <w:pPr>
                  <w:kinsoku w:val="0"/>
                  <w:overflowPunct w:val="0"/>
                  <w:autoSpaceDE w:val="0"/>
                  <w:autoSpaceDN w:val="0"/>
                  <w:adjustRightInd w:val="0"/>
                  <w:snapToGrid w:val="0"/>
                  <w:jc w:val="center"/>
                  <w:rPr>
                    <w:szCs w:val="21"/>
                  </w:rPr>
                </w:pPr>
                <w:r>
                  <w:rPr>
                    <w:rFonts w:hint="eastAsia"/>
                    <w:szCs w:val="21"/>
                  </w:rPr>
                  <w:t>公司股票简况</w:t>
                </w:r>
              </w:p>
            </w:tc>
          </w:sdtContent>
        </w:sdt>
      </w:tr>
      <w:tr w:rsidR="00E57DAA" w14:paraId="662B1A37" w14:textId="77777777">
        <w:trPr>
          <w:trHeight w:val="293"/>
        </w:trPr>
        <w:sdt>
          <w:sdtPr>
            <w:tag w:val="_PLD_8c7d8e96d5f4491aa9e7c3c601503603"/>
            <w:id w:val="-2019693423"/>
          </w:sdtPr>
          <w:sdtEndPr/>
          <w:sdtContent>
            <w:tc>
              <w:tcPr>
                <w:tcW w:w="1000" w:type="pct"/>
                <w:tcBorders>
                  <w:top w:val="single" w:sz="4" w:space="0" w:color="auto"/>
                  <w:bottom w:val="single" w:sz="4" w:space="0" w:color="auto"/>
                  <w:right w:val="single" w:sz="4" w:space="0" w:color="auto"/>
                </w:tcBorders>
                <w:shd w:val="clear" w:color="auto" w:fill="auto"/>
              </w:tcPr>
              <w:p w14:paraId="1D45D7A8" w14:textId="77777777" w:rsidR="00E57DAA" w:rsidRDefault="00AC4185">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748891903"/>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B6EF6B7" w14:textId="77777777" w:rsidR="00E57DAA" w:rsidRDefault="00AC4185">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978637337"/>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AFB842E" w14:textId="77777777" w:rsidR="00E57DAA" w:rsidRDefault="00AC4185">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730009391"/>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E0A86F0" w14:textId="77777777" w:rsidR="00E57DAA" w:rsidRDefault="00AC4185">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265147639"/>
          </w:sdtPr>
          <w:sdtEndPr/>
          <w:sdtContent>
            <w:tc>
              <w:tcPr>
                <w:tcW w:w="1000" w:type="pct"/>
                <w:tcBorders>
                  <w:top w:val="single" w:sz="4" w:space="0" w:color="auto"/>
                  <w:left w:val="single" w:sz="4" w:space="0" w:color="auto"/>
                  <w:bottom w:val="single" w:sz="4" w:space="0" w:color="auto"/>
                </w:tcBorders>
                <w:shd w:val="clear" w:color="auto" w:fill="auto"/>
              </w:tcPr>
              <w:p w14:paraId="24E7A82A" w14:textId="77777777" w:rsidR="00E57DAA" w:rsidRDefault="00AC4185">
                <w:pPr>
                  <w:kinsoku w:val="0"/>
                  <w:overflowPunct w:val="0"/>
                  <w:autoSpaceDE w:val="0"/>
                  <w:autoSpaceDN w:val="0"/>
                  <w:adjustRightInd w:val="0"/>
                  <w:snapToGrid w:val="0"/>
                  <w:jc w:val="center"/>
                  <w:rPr>
                    <w:szCs w:val="21"/>
                  </w:rPr>
                </w:pPr>
                <w:r>
                  <w:rPr>
                    <w:rFonts w:hint="eastAsia"/>
                    <w:szCs w:val="21"/>
                  </w:rPr>
                  <w:t>变更前股票简称</w:t>
                </w:r>
              </w:p>
            </w:tc>
          </w:sdtContent>
        </w:sdt>
      </w:tr>
      <w:tr w:rsidR="00E57DAA" w14:paraId="6C3E98C3" w14:textId="77777777">
        <w:trPr>
          <w:trHeight w:val="293"/>
        </w:trPr>
        <w:tc>
          <w:tcPr>
            <w:tcW w:w="1000" w:type="pct"/>
            <w:tcBorders>
              <w:top w:val="single" w:sz="4" w:space="0" w:color="auto"/>
              <w:bottom w:val="single" w:sz="4" w:space="0" w:color="auto"/>
              <w:right w:val="single" w:sz="4" w:space="0" w:color="auto"/>
            </w:tcBorders>
            <w:shd w:val="clear" w:color="auto" w:fill="auto"/>
          </w:tcPr>
          <w:p w14:paraId="1E998A59" w14:textId="77777777" w:rsidR="00E57DAA" w:rsidRDefault="00AC4185">
            <w:pPr>
              <w:kinsoku w:val="0"/>
              <w:overflowPunct w:val="0"/>
              <w:autoSpaceDE w:val="0"/>
              <w:autoSpaceDN w:val="0"/>
              <w:adjustRightInd w:val="0"/>
              <w:snapToGrid w:val="0"/>
              <w:jc w:val="center"/>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35D2E0F" w14:textId="77777777" w:rsidR="00E57DAA" w:rsidRDefault="00AC4185">
            <w:pPr>
              <w:kinsoku w:val="0"/>
              <w:overflowPunct w:val="0"/>
              <w:autoSpaceDE w:val="0"/>
              <w:autoSpaceDN w:val="0"/>
              <w:adjustRightInd w:val="0"/>
              <w:snapToGrid w:val="0"/>
              <w:jc w:val="center"/>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8BCB1FE" w14:textId="77777777" w:rsidR="00E57DAA" w:rsidRDefault="00AC4185">
            <w:pPr>
              <w:kinsoku w:val="0"/>
              <w:overflowPunct w:val="0"/>
              <w:autoSpaceDE w:val="0"/>
              <w:autoSpaceDN w:val="0"/>
              <w:adjustRightInd w:val="0"/>
              <w:snapToGrid w:val="0"/>
              <w:jc w:val="center"/>
              <w:rPr>
                <w:szCs w:val="21"/>
              </w:rPr>
            </w:pPr>
            <w:r>
              <w:t>中材国际</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A052E1E" w14:textId="77777777" w:rsidR="00E57DAA" w:rsidRDefault="00AC4185">
            <w:pPr>
              <w:kinsoku w:val="0"/>
              <w:overflowPunct w:val="0"/>
              <w:autoSpaceDE w:val="0"/>
              <w:autoSpaceDN w:val="0"/>
              <w:adjustRightInd w:val="0"/>
              <w:snapToGrid w:val="0"/>
              <w:jc w:val="center"/>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63C734B9" w14:textId="77777777" w:rsidR="00E57DAA" w:rsidRDefault="00E57DAA">
            <w:pPr>
              <w:kinsoku w:val="0"/>
              <w:overflowPunct w:val="0"/>
              <w:autoSpaceDE w:val="0"/>
              <w:autoSpaceDN w:val="0"/>
              <w:adjustRightInd w:val="0"/>
              <w:snapToGrid w:val="0"/>
              <w:jc w:val="center"/>
              <w:rPr>
                <w:szCs w:val="21"/>
              </w:rPr>
            </w:pPr>
          </w:p>
        </w:tc>
      </w:tr>
    </w:tbl>
    <w:p w14:paraId="38775ED6" w14:textId="77777777" w:rsidR="00E57DAA" w:rsidRDefault="00E57DAA" w:rsidP="00C25422">
      <w:pPr>
        <w:pStyle w:val="92"/>
      </w:pPr>
    </w:p>
    <w:p w14:paraId="567E0418" w14:textId="77777777" w:rsidR="00E57DAA" w:rsidRDefault="00E57DAA" w:rsidP="00C25422">
      <w:pPr>
        <w:pStyle w:val="92"/>
      </w:pPr>
    </w:p>
    <w:p w14:paraId="3B6FEA14" w14:textId="77777777" w:rsidR="00E57DAA" w:rsidRDefault="00AC4185">
      <w:pPr>
        <w:pStyle w:val="2"/>
        <w:numPr>
          <w:ilvl w:val="1"/>
          <w:numId w:val="5"/>
        </w:numPr>
      </w:pPr>
      <w:r>
        <w:lastRenderedPageBreak/>
        <w:t>其他</w:t>
      </w:r>
      <w:r>
        <w:rPr>
          <w:rFonts w:hint="eastAsia"/>
        </w:rPr>
        <w:t>相</w:t>
      </w:r>
      <w:r>
        <w:t>关资料</w:t>
      </w:r>
    </w:p>
    <w:tbl>
      <w:tblPr>
        <w:tblStyle w:val="aff6"/>
        <w:tblW w:w="5000" w:type="pct"/>
        <w:tblLook w:val="04A0" w:firstRow="1" w:lastRow="0" w:firstColumn="1" w:lastColumn="0" w:noHBand="0" w:noVBand="1"/>
      </w:tblPr>
      <w:tblGrid>
        <w:gridCol w:w="2918"/>
        <w:gridCol w:w="1749"/>
        <w:gridCol w:w="4156"/>
      </w:tblGrid>
      <w:tr w:rsidR="00E57DAA" w14:paraId="655A9CC9" w14:textId="77777777">
        <w:trPr>
          <w:trHeight w:val="132"/>
        </w:trPr>
        <w:sdt>
          <w:sdtPr>
            <w:tag w:val="_PLD_e6bf57c678134e2ab9f21f313ee3de3c"/>
            <w:id w:val="1231735248"/>
          </w:sdtPr>
          <w:sdtEndPr/>
          <w:sdtContent>
            <w:tc>
              <w:tcPr>
                <w:tcW w:w="1654" w:type="pct"/>
                <w:vMerge w:val="restart"/>
                <w:vAlign w:val="center"/>
              </w:tcPr>
              <w:p w14:paraId="4F73E78B" w14:textId="77777777" w:rsidR="00E57DAA" w:rsidRDefault="00AC4185">
                <w:pPr>
                  <w:rPr>
                    <w:szCs w:val="21"/>
                  </w:rPr>
                </w:pPr>
                <w:r>
                  <w:rPr>
                    <w:rFonts w:hint="eastAsia"/>
                    <w:szCs w:val="21"/>
                  </w:rPr>
                  <w:t>公司聘请的会计师事务所（境内）</w:t>
                </w:r>
              </w:p>
            </w:tc>
          </w:sdtContent>
        </w:sdt>
        <w:sdt>
          <w:sdtPr>
            <w:tag w:val="_PLD_8ca47cc04c324c599365d04f46dbfb0f"/>
            <w:id w:val="-1818718675"/>
          </w:sdtPr>
          <w:sdtEndPr/>
          <w:sdtContent>
            <w:tc>
              <w:tcPr>
                <w:tcW w:w="991" w:type="pct"/>
              </w:tcPr>
              <w:p w14:paraId="2C869704" w14:textId="77777777" w:rsidR="00E57DAA" w:rsidRDefault="00AC4185">
                <w:pPr>
                  <w:rPr>
                    <w:szCs w:val="21"/>
                  </w:rPr>
                </w:pPr>
                <w:r>
                  <w:rPr>
                    <w:rFonts w:hint="eastAsia"/>
                    <w:szCs w:val="21"/>
                  </w:rPr>
                  <w:t>名称</w:t>
                </w:r>
              </w:p>
            </w:tc>
          </w:sdtContent>
        </w:sdt>
        <w:tc>
          <w:tcPr>
            <w:tcW w:w="2355" w:type="pct"/>
            <w:vAlign w:val="center"/>
          </w:tcPr>
          <w:p w14:paraId="425C2DEC" w14:textId="77777777" w:rsidR="00E57DAA" w:rsidRDefault="00AC4185">
            <w:pPr>
              <w:rPr>
                <w:szCs w:val="21"/>
              </w:rPr>
            </w:pPr>
            <w:r>
              <w:t>大华会计师事务所（特殊普通合伙）</w:t>
            </w:r>
          </w:p>
        </w:tc>
      </w:tr>
      <w:tr w:rsidR="00E57DAA" w14:paraId="2BB89CDB" w14:textId="77777777">
        <w:trPr>
          <w:trHeight w:val="90"/>
        </w:trPr>
        <w:tc>
          <w:tcPr>
            <w:tcW w:w="1654" w:type="pct"/>
            <w:vMerge/>
            <w:vAlign w:val="center"/>
          </w:tcPr>
          <w:p w14:paraId="603DB3FE" w14:textId="77777777" w:rsidR="00E57DAA" w:rsidRDefault="00E57DAA">
            <w:pPr>
              <w:rPr>
                <w:szCs w:val="21"/>
              </w:rPr>
            </w:pPr>
          </w:p>
        </w:tc>
        <w:tc>
          <w:tcPr>
            <w:tcW w:w="991" w:type="pct"/>
          </w:tcPr>
          <w:p w14:paraId="3A2F0378" w14:textId="77777777" w:rsidR="00E57DAA" w:rsidRDefault="00AC4185">
            <w:pPr>
              <w:rPr>
                <w:szCs w:val="21"/>
              </w:rPr>
            </w:pPr>
            <w:r>
              <w:rPr>
                <w:rFonts w:hint="eastAsia"/>
                <w:szCs w:val="21"/>
              </w:rPr>
              <w:t>办公地址</w:t>
            </w:r>
          </w:p>
        </w:tc>
        <w:tc>
          <w:tcPr>
            <w:tcW w:w="2355" w:type="pct"/>
            <w:vAlign w:val="center"/>
          </w:tcPr>
          <w:p w14:paraId="38A4F786" w14:textId="77777777" w:rsidR="00E57DAA" w:rsidRDefault="00AC4185">
            <w:pPr>
              <w:rPr>
                <w:szCs w:val="21"/>
              </w:rPr>
            </w:pPr>
            <w:r>
              <w:t>北京市海淀区西四环中路16号院7号楼1101</w:t>
            </w:r>
          </w:p>
        </w:tc>
      </w:tr>
      <w:tr w:rsidR="00E57DAA" w14:paraId="293D09EC" w14:textId="77777777">
        <w:trPr>
          <w:trHeight w:val="210"/>
        </w:trPr>
        <w:tc>
          <w:tcPr>
            <w:tcW w:w="1654" w:type="pct"/>
            <w:vMerge/>
            <w:vAlign w:val="center"/>
          </w:tcPr>
          <w:p w14:paraId="64665AD8" w14:textId="77777777" w:rsidR="00E57DAA" w:rsidRDefault="00E57DAA">
            <w:pPr>
              <w:rPr>
                <w:szCs w:val="21"/>
              </w:rPr>
            </w:pPr>
          </w:p>
        </w:tc>
        <w:tc>
          <w:tcPr>
            <w:tcW w:w="991" w:type="pct"/>
          </w:tcPr>
          <w:p w14:paraId="45B7EFC7" w14:textId="77777777" w:rsidR="00E57DAA" w:rsidRDefault="00AC4185">
            <w:pPr>
              <w:rPr>
                <w:szCs w:val="21"/>
              </w:rPr>
            </w:pPr>
            <w:r>
              <w:rPr>
                <w:rFonts w:hint="eastAsia"/>
                <w:szCs w:val="21"/>
              </w:rPr>
              <w:t>签字会计师姓名</w:t>
            </w:r>
          </w:p>
        </w:tc>
        <w:tc>
          <w:tcPr>
            <w:tcW w:w="2355" w:type="pct"/>
            <w:vAlign w:val="center"/>
          </w:tcPr>
          <w:p w14:paraId="3C7680EE" w14:textId="77777777" w:rsidR="00E57DAA" w:rsidRDefault="00AC4185">
            <w:pPr>
              <w:rPr>
                <w:szCs w:val="21"/>
              </w:rPr>
            </w:pPr>
            <w:r>
              <w:t>范鹏飞、谭志东</w:t>
            </w:r>
          </w:p>
        </w:tc>
      </w:tr>
      <w:tr w:rsidR="00E57DAA" w14:paraId="311EE53D" w14:textId="77777777">
        <w:trPr>
          <w:trHeight w:val="195"/>
        </w:trPr>
        <w:tc>
          <w:tcPr>
            <w:tcW w:w="1654" w:type="pct"/>
            <w:vMerge w:val="restart"/>
            <w:vAlign w:val="center"/>
          </w:tcPr>
          <w:p w14:paraId="25B265F2" w14:textId="77777777" w:rsidR="00E57DAA" w:rsidRDefault="00AC4185">
            <w:pPr>
              <w:rPr>
                <w:szCs w:val="21"/>
              </w:rPr>
            </w:pPr>
            <w:r>
              <w:rPr>
                <w:rFonts w:hint="eastAsia"/>
                <w:szCs w:val="21"/>
              </w:rPr>
              <w:t>报告期内履行持续督导职责的财务顾问</w:t>
            </w:r>
          </w:p>
        </w:tc>
        <w:tc>
          <w:tcPr>
            <w:tcW w:w="991" w:type="pct"/>
          </w:tcPr>
          <w:p w14:paraId="47FDCC21" w14:textId="77777777" w:rsidR="00E57DAA" w:rsidRDefault="00AC4185">
            <w:pPr>
              <w:rPr>
                <w:szCs w:val="21"/>
              </w:rPr>
            </w:pPr>
            <w:r>
              <w:rPr>
                <w:rFonts w:hint="eastAsia"/>
                <w:szCs w:val="21"/>
              </w:rPr>
              <w:t>名称</w:t>
            </w:r>
          </w:p>
        </w:tc>
        <w:tc>
          <w:tcPr>
            <w:tcW w:w="2355" w:type="pct"/>
            <w:vAlign w:val="center"/>
          </w:tcPr>
          <w:p w14:paraId="6E8CF84F" w14:textId="77777777" w:rsidR="00E57DAA" w:rsidRDefault="00AC4185">
            <w:pPr>
              <w:rPr>
                <w:szCs w:val="21"/>
              </w:rPr>
            </w:pPr>
            <w:r>
              <w:t>华泰联合证券有限责任公司</w:t>
            </w:r>
          </w:p>
        </w:tc>
      </w:tr>
      <w:tr w:rsidR="00E57DAA" w14:paraId="54A0642B" w14:textId="77777777">
        <w:trPr>
          <w:trHeight w:val="105"/>
        </w:trPr>
        <w:tc>
          <w:tcPr>
            <w:tcW w:w="1654" w:type="pct"/>
            <w:vMerge/>
          </w:tcPr>
          <w:p w14:paraId="094D166D" w14:textId="77777777" w:rsidR="00E57DAA" w:rsidRDefault="00E57DAA">
            <w:pPr>
              <w:rPr>
                <w:szCs w:val="21"/>
              </w:rPr>
            </w:pPr>
          </w:p>
        </w:tc>
        <w:tc>
          <w:tcPr>
            <w:tcW w:w="991" w:type="pct"/>
          </w:tcPr>
          <w:p w14:paraId="6D620F17" w14:textId="77777777" w:rsidR="00E57DAA" w:rsidRDefault="00AC4185">
            <w:pPr>
              <w:rPr>
                <w:szCs w:val="21"/>
              </w:rPr>
            </w:pPr>
            <w:r>
              <w:rPr>
                <w:rFonts w:hint="eastAsia"/>
                <w:szCs w:val="21"/>
              </w:rPr>
              <w:t>办公地址</w:t>
            </w:r>
          </w:p>
        </w:tc>
        <w:tc>
          <w:tcPr>
            <w:tcW w:w="2355" w:type="pct"/>
            <w:vAlign w:val="center"/>
          </w:tcPr>
          <w:p w14:paraId="65E9C7BC" w14:textId="77777777" w:rsidR="00E57DAA" w:rsidRDefault="00AC4185">
            <w:pPr>
              <w:rPr>
                <w:szCs w:val="21"/>
              </w:rPr>
            </w:pPr>
            <w:r>
              <w:t>北京市西城区丰盛胡同22号丰铭国际大厦A座6层</w:t>
            </w:r>
          </w:p>
        </w:tc>
      </w:tr>
      <w:tr w:rsidR="00E57DAA" w14:paraId="495150FF" w14:textId="77777777">
        <w:trPr>
          <w:trHeight w:val="180"/>
        </w:trPr>
        <w:tc>
          <w:tcPr>
            <w:tcW w:w="1654" w:type="pct"/>
            <w:vMerge/>
          </w:tcPr>
          <w:p w14:paraId="282F9C8A" w14:textId="77777777" w:rsidR="00E57DAA" w:rsidRDefault="00E57DAA">
            <w:pPr>
              <w:rPr>
                <w:szCs w:val="21"/>
              </w:rPr>
            </w:pPr>
          </w:p>
        </w:tc>
        <w:tc>
          <w:tcPr>
            <w:tcW w:w="991" w:type="pct"/>
          </w:tcPr>
          <w:p w14:paraId="45952895" w14:textId="77777777" w:rsidR="00E57DAA" w:rsidRDefault="00AC4185">
            <w:pPr>
              <w:rPr>
                <w:szCs w:val="21"/>
              </w:rPr>
            </w:pPr>
            <w:r>
              <w:rPr>
                <w:rFonts w:hint="eastAsia"/>
                <w:szCs w:val="21"/>
              </w:rPr>
              <w:t>签字的财务顾问主办人姓名</w:t>
            </w:r>
          </w:p>
        </w:tc>
        <w:tc>
          <w:tcPr>
            <w:tcW w:w="2355" w:type="pct"/>
            <w:vAlign w:val="center"/>
          </w:tcPr>
          <w:p w14:paraId="0642BCCA" w14:textId="77777777" w:rsidR="00E57DAA" w:rsidRDefault="00AC4185">
            <w:pPr>
              <w:rPr>
                <w:szCs w:val="21"/>
              </w:rPr>
            </w:pPr>
            <w:r>
              <w:t>崔力、王聘道、贾睿</w:t>
            </w:r>
          </w:p>
        </w:tc>
      </w:tr>
      <w:tr w:rsidR="00E57DAA" w14:paraId="09AA5417" w14:textId="77777777">
        <w:trPr>
          <w:trHeight w:val="117"/>
        </w:trPr>
        <w:tc>
          <w:tcPr>
            <w:tcW w:w="1654" w:type="pct"/>
            <w:vMerge/>
          </w:tcPr>
          <w:p w14:paraId="4F9D28A4" w14:textId="77777777" w:rsidR="00E57DAA" w:rsidRDefault="00E57DAA">
            <w:pPr>
              <w:rPr>
                <w:szCs w:val="21"/>
              </w:rPr>
            </w:pPr>
          </w:p>
        </w:tc>
        <w:tc>
          <w:tcPr>
            <w:tcW w:w="991" w:type="pct"/>
          </w:tcPr>
          <w:p w14:paraId="5B2D0BE5" w14:textId="77777777" w:rsidR="00E57DAA" w:rsidRDefault="00AC4185">
            <w:pPr>
              <w:rPr>
                <w:szCs w:val="21"/>
              </w:rPr>
            </w:pPr>
            <w:r>
              <w:rPr>
                <w:rFonts w:hint="eastAsia"/>
                <w:szCs w:val="21"/>
              </w:rPr>
              <w:t>持续督导的期间</w:t>
            </w:r>
          </w:p>
        </w:tc>
        <w:tc>
          <w:tcPr>
            <w:tcW w:w="2355" w:type="pct"/>
            <w:vAlign w:val="center"/>
          </w:tcPr>
          <w:p w14:paraId="6A2E34BE" w14:textId="77777777" w:rsidR="00E57DAA" w:rsidRDefault="00AC4185">
            <w:pPr>
              <w:rPr>
                <w:szCs w:val="21"/>
              </w:rPr>
            </w:pPr>
            <w:r>
              <w:t>2023年2月14日至2024年12月31日</w:t>
            </w:r>
          </w:p>
        </w:tc>
      </w:tr>
    </w:tbl>
    <w:p w14:paraId="66689B85" w14:textId="77777777" w:rsidR="00E57DAA" w:rsidRDefault="00E57DAA" w:rsidP="00C25422">
      <w:pPr>
        <w:pStyle w:val="92"/>
      </w:pPr>
    </w:p>
    <w:p w14:paraId="56231AC0" w14:textId="77777777" w:rsidR="00E57DAA" w:rsidRDefault="00E57DAA" w:rsidP="00C25422">
      <w:pPr>
        <w:pStyle w:val="92"/>
      </w:pPr>
    </w:p>
    <w:p w14:paraId="1BC624FF" w14:textId="77777777" w:rsidR="00E57DAA" w:rsidRDefault="00AC4185">
      <w:pPr>
        <w:pStyle w:val="2"/>
        <w:numPr>
          <w:ilvl w:val="1"/>
          <w:numId w:val="5"/>
        </w:numPr>
      </w:pPr>
      <w:bookmarkStart w:id="20" w:name="_Toc342565889"/>
      <w:bookmarkStart w:id="21" w:name="_Toc342056397"/>
      <w:r>
        <w:rPr>
          <w:rFonts w:hint="eastAsia"/>
        </w:rPr>
        <w:t>近三年主要会计数据和财务指标</w:t>
      </w:r>
      <w:bookmarkEnd w:id="20"/>
      <w:bookmarkEnd w:id="21"/>
    </w:p>
    <w:p w14:paraId="1B861E09" w14:textId="77777777" w:rsidR="00E57DAA" w:rsidRDefault="00AC4185">
      <w:pPr>
        <w:pStyle w:val="3"/>
        <w:numPr>
          <w:ilvl w:val="1"/>
          <w:numId w:val="6"/>
        </w:numPr>
      </w:pPr>
      <w:r>
        <w:rPr>
          <w:rFonts w:hint="eastAsia"/>
        </w:rPr>
        <w:t>主要会计数据</w:t>
      </w:r>
    </w:p>
    <w:p w14:paraId="033AF91E" w14:textId="77777777" w:rsidR="00E57DAA" w:rsidRDefault="00AC4185">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10426640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9341297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f6"/>
        <w:tblW w:w="5000" w:type="pct"/>
        <w:tblLook w:val="0000" w:firstRow="0" w:lastRow="0" w:firstColumn="0" w:lastColumn="0" w:noHBand="0" w:noVBand="0"/>
      </w:tblPr>
      <w:tblGrid>
        <w:gridCol w:w="687"/>
        <w:gridCol w:w="1476"/>
        <w:gridCol w:w="1475"/>
        <w:gridCol w:w="1477"/>
        <w:gridCol w:w="756"/>
        <w:gridCol w:w="1475"/>
        <w:gridCol w:w="1477"/>
      </w:tblGrid>
      <w:tr w:rsidR="00D54EAF" w:rsidRPr="00D54EAF" w14:paraId="0BAEF68C" w14:textId="77777777" w:rsidTr="00D54EAF">
        <w:trPr>
          <w:trHeight w:val="409"/>
        </w:trPr>
        <w:tc>
          <w:tcPr>
            <w:tcW w:w="389" w:type="pct"/>
            <w:vMerge w:val="restart"/>
            <w:vAlign w:val="center"/>
          </w:tcPr>
          <w:bookmarkStart w:id="22" w:name="_Hlk161823132"/>
          <w:p w14:paraId="0873B012" w14:textId="77777777" w:rsidR="00D54EAF" w:rsidRPr="00D54EAF" w:rsidRDefault="00EB41A1" w:rsidP="00750F5E">
            <w:pPr>
              <w:kinsoku w:val="0"/>
              <w:overflowPunct w:val="0"/>
              <w:autoSpaceDE w:val="0"/>
              <w:autoSpaceDN w:val="0"/>
              <w:adjustRightInd w:val="0"/>
              <w:snapToGrid w:val="0"/>
              <w:jc w:val="center"/>
              <w:rPr>
                <w:sz w:val="15"/>
                <w:szCs w:val="15"/>
              </w:rPr>
            </w:pPr>
            <w:sdt>
              <w:sdtPr>
                <w:rPr>
                  <w:rFonts w:hint="eastAsia"/>
                  <w:sz w:val="15"/>
                  <w:szCs w:val="15"/>
                </w:rPr>
                <w:tag w:val="_PLD_fff44820de414373a75fb70cbf2af0b0"/>
                <w:id w:val="1272209132"/>
              </w:sdtPr>
              <w:sdtEndPr>
                <w:rPr>
                  <w:rFonts w:hint="default"/>
                </w:rPr>
              </w:sdtEndPr>
              <w:sdtContent>
                <w:r w:rsidR="00D54EAF" w:rsidRPr="00D54EAF">
                  <w:rPr>
                    <w:rFonts w:hint="eastAsia"/>
                    <w:sz w:val="15"/>
                    <w:szCs w:val="15"/>
                  </w:rPr>
                  <w:t>主要会计数据</w:t>
                </w:r>
              </w:sdtContent>
            </w:sdt>
          </w:p>
        </w:tc>
        <w:sdt>
          <w:sdtPr>
            <w:rPr>
              <w:sz w:val="15"/>
              <w:szCs w:val="15"/>
            </w:rPr>
            <w:tag w:val="_PLD_5660e2f873534d9bb6df13aaf36f1007"/>
            <w:id w:val="-583839498"/>
          </w:sdtPr>
          <w:sdtEndPr/>
          <w:sdtContent>
            <w:tc>
              <w:tcPr>
                <w:tcW w:w="836" w:type="pct"/>
                <w:vMerge w:val="restart"/>
                <w:vAlign w:val="center"/>
              </w:tcPr>
              <w:p w14:paraId="5936508C"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2023年</w:t>
                </w:r>
              </w:p>
            </w:tc>
          </w:sdtContent>
        </w:sdt>
        <w:sdt>
          <w:sdtPr>
            <w:rPr>
              <w:sz w:val="15"/>
              <w:szCs w:val="15"/>
            </w:rPr>
            <w:tag w:val="_PLD_35c8944b2ec84dd7a07dfbd2f24dab65"/>
            <w:id w:val="836809289"/>
          </w:sdtPr>
          <w:sdtEndPr/>
          <w:sdtContent>
            <w:tc>
              <w:tcPr>
                <w:tcW w:w="1673" w:type="pct"/>
                <w:gridSpan w:val="2"/>
                <w:vAlign w:val="center"/>
              </w:tcPr>
              <w:p w14:paraId="13BCE990"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2022年</w:t>
                </w:r>
              </w:p>
            </w:tc>
          </w:sdtContent>
        </w:sdt>
        <w:sdt>
          <w:sdtPr>
            <w:rPr>
              <w:sz w:val="15"/>
              <w:szCs w:val="15"/>
            </w:rPr>
            <w:tag w:val="_PLD_583df07a088a4940ae6cf5c51744af19"/>
            <w:id w:val="114963541"/>
          </w:sdtPr>
          <w:sdtEndPr/>
          <w:sdtContent>
            <w:tc>
              <w:tcPr>
                <w:tcW w:w="428" w:type="pct"/>
                <w:vMerge w:val="restart"/>
                <w:vAlign w:val="center"/>
              </w:tcPr>
              <w:p w14:paraId="5158F448"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本期比上年同期增减</w:t>
                </w:r>
                <w:r w:rsidRPr="00D54EAF">
                  <w:rPr>
                    <w:sz w:val="15"/>
                    <w:szCs w:val="15"/>
                  </w:rPr>
                  <w:t>(%)</w:t>
                </w:r>
              </w:p>
            </w:tc>
          </w:sdtContent>
        </w:sdt>
        <w:sdt>
          <w:sdtPr>
            <w:rPr>
              <w:sz w:val="15"/>
              <w:szCs w:val="15"/>
            </w:rPr>
            <w:tag w:val="_PLD_edf90a7d6f3a41d99bbbb81245a79f6d"/>
            <w:id w:val="-1965334"/>
          </w:sdtPr>
          <w:sdtEndPr/>
          <w:sdtContent>
            <w:tc>
              <w:tcPr>
                <w:tcW w:w="1673" w:type="pct"/>
                <w:gridSpan w:val="2"/>
                <w:vAlign w:val="center"/>
              </w:tcPr>
              <w:p w14:paraId="5CA0461F"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2021年</w:t>
                </w:r>
              </w:p>
            </w:tc>
          </w:sdtContent>
        </w:sdt>
      </w:tr>
      <w:tr w:rsidR="00D54EAF" w:rsidRPr="00D54EAF" w14:paraId="6271A665" w14:textId="77777777" w:rsidTr="00D54EAF">
        <w:trPr>
          <w:trHeight w:val="285"/>
        </w:trPr>
        <w:tc>
          <w:tcPr>
            <w:tcW w:w="389" w:type="pct"/>
            <w:vMerge/>
          </w:tcPr>
          <w:p w14:paraId="5234FFD2" w14:textId="77777777" w:rsidR="00D54EAF" w:rsidRPr="00D54EAF" w:rsidRDefault="00D54EAF" w:rsidP="00750F5E">
            <w:pPr>
              <w:kinsoku w:val="0"/>
              <w:overflowPunct w:val="0"/>
              <w:autoSpaceDE w:val="0"/>
              <w:autoSpaceDN w:val="0"/>
              <w:adjustRightInd w:val="0"/>
              <w:snapToGrid w:val="0"/>
              <w:jc w:val="center"/>
              <w:rPr>
                <w:sz w:val="15"/>
                <w:szCs w:val="15"/>
              </w:rPr>
            </w:pPr>
          </w:p>
        </w:tc>
        <w:tc>
          <w:tcPr>
            <w:tcW w:w="836" w:type="pct"/>
            <w:vMerge/>
            <w:vAlign w:val="center"/>
          </w:tcPr>
          <w:p w14:paraId="56470683" w14:textId="77777777" w:rsidR="00D54EAF" w:rsidRPr="00D54EAF" w:rsidRDefault="00D54EAF" w:rsidP="00750F5E">
            <w:pPr>
              <w:kinsoku w:val="0"/>
              <w:overflowPunct w:val="0"/>
              <w:autoSpaceDE w:val="0"/>
              <w:autoSpaceDN w:val="0"/>
              <w:adjustRightInd w:val="0"/>
              <w:snapToGrid w:val="0"/>
              <w:jc w:val="center"/>
              <w:rPr>
                <w:sz w:val="15"/>
                <w:szCs w:val="15"/>
              </w:rPr>
            </w:pPr>
          </w:p>
        </w:tc>
        <w:sdt>
          <w:sdtPr>
            <w:rPr>
              <w:sz w:val="15"/>
              <w:szCs w:val="15"/>
            </w:rPr>
            <w:tag w:val="_PLD_b03487562c5a4780869d0645d00e4bbb"/>
            <w:id w:val="612254854"/>
          </w:sdtPr>
          <w:sdtEndPr/>
          <w:sdtContent>
            <w:tc>
              <w:tcPr>
                <w:tcW w:w="836" w:type="pct"/>
                <w:vAlign w:val="center"/>
              </w:tcPr>
              <w:p w14:paraId="7DD1A6A7"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调整后</w:t>
                </w:r>
              </w:p>
            </w:tc>
          </w:sdtContent>
        </w:sdt>
        <w:sdt>
          <w:sdtPr>
            <w:rPr>
              <w:sz w:val="15"/>
              <w:szCs w:val="15"/>
            </w:rPr>
            <w:tag w:val="_PLD_d0d8cd2f11004c2e9d9e3e62579bd79d"/>
            <w:id w:val="334341226"/>
          </w:sdtPr>
          <w:sdtEndPr/>
          <w:sdtContent>
            <w:tc>
              <w:tcPr>
                <w:tcW w:w="837" w:type="pct"/>
                <w:vAlign w:val="center"/>
              </w:tcPr>
              <w:p w14:paraId="6EF3576A"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调整前</w:t>
                </w:r>
              </w:p>
            </w:tc>
          </w:sdtContent>
        </w:sdt>
        <w:tc>
          <w:tcPr>
            <w:tcW w:w="428" w:type="pct"/>
            <w:vMerge/>
            <w:vAlign w:val="center"/>
          </w:tcPr>
          <w:p w14:paraId="086D7C5D" w14:textId="77777777" w:rsidR="00D54EAF" w:rsidRPr="00D54EAF" w:rsidRDefault="00D54EAF" w:rsidP="00750F5E">
            <w:pPr>
              <w:kinsoku w:val="0"/>
              <w:overflowPunct w:val="0"/>
              <w:autoSpaceDE w:val="0"/>
              <w:autoSpaceDN w:val="0"/>
              <w:adjustRightInd w:val="0"/>
              <w:snapToGrid w:val="0"/>
              <w:jc w:val="center"/>
              <w:rPr>
                <w:sz w:val="15"/>
                <w:szCs w:val="15"/>
              </w:rPr>
            </w:pPr>
          </w:p>
        </w:tc>
        <w:sdt>
          <w:sdtPr>
            <w:rPr>
              <w:sz w:val="15"/>
              <w:szCs w:val="15"/>
            </w:rPr>
            <w:tag w:val="_PLD_dce37bb9485d446f92500166831b0f20"/>
            <w:id w:val="-824125056"/>
          </w:sdtPr>
          <w:sdtEndPr/>
          <w:sdtContent>
            <w:tc>
              <w:tcPr>
                <w:tcW w:w="836" w:type="pct"/>
                <w:vAlign w:val="center"/>
              </w:tcPr>
              <w:p w14:paraId="6B48C331"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调整后</w:t>
                </w:r>
              </w:p>
            </w:tc>
          </w:sdtContent>
        </w:sdt>
        <w:sdt>
          <w:sdtPr>
            <w:rPr>
              <w:sz w:val="15"/>
              <w:szCs w:val="15"/>
            </w:rPr>
            <w:tag w:val="_PLD_ab84bbd7163a4789942bff3e5bb6438a"/>
            <w:id w:val="1751234152"/>
          </w:sdtPr>
          <w:sdtEndPr/>
          <w:sdtContent>
            <w:tc>
              <w:tcPr>
                <w:tcW w:w="837" w:type="pct"/>
                <w:vAlign w:val="center"/>
              </w:tcPr>
              <w:p w14:paraId="61750C9C"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调整前</w:t>
                </w:r>
              </w:p>
            </w:tc>
          </w:sdtContent>
        </w:sdt>
      </w:tr>
      <w:tr w:rsidR="00D54EAF" w:rsidRPr="00D54EAF" w14:paraId="0F4451E6" w14:textId="77777777" w:rsidTr="00D54EAF">
        <w:trPr>
          <w:trHeight w:val="285"/>
        </w:trPr>
        <w:sdt>
          <w:sdtPr>
            <w:rPr>
              <w:sz w:val="15"/>
              <w:szCs w:val="15"/>
            </w:rPr>
            <w:tag w:val="_PLD_cb5b36e27fb148799cd1f2386c0909b3"/>
            <w:id w:val="475108958"/>
          </w:sdtPr>
          <w:sdtEndPr/>
          <w:sdtContent>
            <w:tc>
              <w:tcPr>
                <w:tcW w:w="389" w:type="pct"/>
              </w:tcPr>
              <w:p w14:paraId="3D0955D8" w14:textId="77777777" w:rsidR="00D54EAF" w:rsidRPr="00D54EAF" w:rsidRDefault="00D54EAF" w:rsidP="00750F5E">
                <w:pPr>
                  <w:kinsoku w:val="0"/>
                  <w:overflowPunct w:val="0"/>
                  <w:autoSpaceDE w:val="0"/>
                  <w:autoSpaceDN w:val="0"/>
                  <w:adjustRightInd w:val="0"/>
                  <w:snapToGrid w:val="0"/>
                  <w:rPr>
                    <w:sz w:val="15"/>
                    <w:szCs w:val="15"/>
                  </w:rPr>
                </w:pPr>
                <w:r w:rsidRPr="00D54EAF">
                  <w:rPr>
                    <w:rFonts w:hint="eastAsia"/>
                    <w:sz w:val="15"/>
                    <w:szCs w:val="15"/>
                  </w:rPr>
                  <w:t>营业收入</w:t>
                </w:r>
              </w:p>
            </w:tc>
          </w:sdtContent>
        </w:sdt>
        <w:tc>
          <w:tcPr>
            <w:tcW w:w="836" w:type="pct"/>
            <w:vAlign w:val="center"/>
          </w:tcPr>
          <w:p w14:paraId="2A2F218D"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4,579,884.42</w:t>
            </w:r>
          </w:p>
        </w:tc>
        <w:tc>
          <w:tcPr>
            <w:tcW w:w="836" w:type="pct"/>
            <w:vAlign w:val="center"/>
          </w:tcPr>
          <w:p w14:paraId="6D26EF25"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4,282,575.8</w:t>
            </w:r>
            <w:r w:rsidR="006C2665">
              <w:rPr>
                <w:rFonts w:hint="eastAsia"/>
                <w:sz w:val="18"/>
                <w:szCs w:val="18"/>
              </w:rPr>
              <w:t>0</w:t>
            </w:r>
          </w:p>
        </w:tc>
        <w:tc>
          <w:tcPr>
            <w:tcW w:w="837" w:type="pct"/>
            <w:vAlign w:val="center"/>
          </w:tcPr>
          <w:p w14:paraId="09B13EE1"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3,881,925.37</w:t>
            </w:r>
          </w:p>
        </w:tc>
        <w:tc>
          <w:tcPr>
            <w:tcW w:w="428" w:type="pct"/>
            <w:vAlign w:val="center"/>
          </w:tcPr>
          <w:p w14:paraId="6FC5E885"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6.94</w:t>
            </w:r>
          </w:p>
        </w:tc>
        <w:tc>
          <w:tcPr>
            <w:tcW w:w="836" w:type="pct"/>
            <w:vAlign w:val="center"/>
          </w:tcPr>
          <w:p w14:paraId="16762BA8"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4,026,890.26</w:t>
            </w:r>
          </w:p>
        </w:tc>
        <w:tc>
          <w:tcPr>
            <w:tcW w:w="837" w:type="pct"/>
            <w:vAlign w:val="center"/>
          </w:tcPr>
          <w:p w14:paraId="4E7590E4"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3,653,540.9</w:t>
            </w:r>
            <w:r w:rsidR="006C2665">
              <w:rPr>
                <w:rFonts w:hint="eastAsia"/>
                <w:sz w:val="18"/>
                <w:szCs w:val="18"/>
              </w:rPr>
              <w:t>0</w:t>
            </w:r>
          </w:p>
        </w:tc>
      </w:tr>
      <w:tr w:rsidR="00D54EAF" w:rsidRPr="00D54EAF" w14:paraId="4E7A1572" w14:textId="77777777" w:rsidTr="00D54EAF">
        <w:trPr>
          <w:trHeight w:val="285"/>
        </w:trPr>
        <w:sdt>
          <w:sdtPr>
            <w:rPr>
              <w:sz w:val="15"/>
              <w:szCs w:val="15"/>
            </w:rPr>
            <w:tag w:val="_PLD_47b3c05c712b49f18003b6075ba67dab"/>
            <w:id w:val="-5674953"/>
          </w:sdtPr>
          <w:sdtEndPr/>
          <w:sdtContent>
            <w:tc>
              <w:tcPr>
                <w:tcW w:w="389" w:type="pct"/>
              </w:tcPr>
              <w:p w14:paraId="4B069A94" w14:textId="77777777" w:rsidR="00D54EAF" w:rsidRPr="00D54EAF" w:rsidRDefault="00D54EAF" w:rsidP="00750F5E">
                <w:pPr>
                  <w:kinsoku w:val="0"/>
                  <w:overflowPunct w:val="0"/>
                  <w:autoSpaceDE w:val="0"/>
                  <w:autoSpaceDN w:val="0"/>
                  <w:adjustRightInd w:val="0"/>
                  <w:snapToGrid w:val="0"/>
                  <w:rPr>
                    <w:sz w:val="15"/>
                    <w:szCs w:val="15"/>
                  </w:rPr>
                </w:pPr>
                <w:r w:rsidRPr="00D54EAF">
                  <w:rPr>
                    <w:rFonts w:hint="eastAsia"/>
                    <w:sz w:val="15"/>
                    <w:szCs w:val="15"/>
                  </w:rPr>
                  <w:t>归属于上市公司股东的净利润</w:t>
                </w:r>
              </w:p>
            </w:tc>
          </w:sdtContent>
        </w:sdt>
        <w:tc>
          <w:tcPr>
            <w:tcW w:w="836" w:type="pct"/>
            <w:vAlign w:val="center"/>
          </w:tcPr>
          <w:p w14:paraId="5764F82E"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291,581.16</w:t>
            </w:r>
          </w:p>
        </w:tc>
        <w:tc>
          <w:tcPr>
            <w:tcW w:w="836" w:type="pct"/>
            <w:vAlign w:val="center"/>
          </w:tcPr>
          <w:p w14:paraId="5791E370"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254,121.99</w:t>
            </w:r>
          </w:p>
        </w:tc>
        <w:tc>
          <w:tcPr>
            <w:tcW w:w="837" w:type="pct"/>
            <w:vAlign w:val="center"/>
          </w:tcPr>
          <w:p w14:paraId="12CF1AA7"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219,406.55</w:t>
            </w:r>
          </w:p>
        </w:tc>
        <w:tc>
          <w:tcPr>
            <w:tcW w:w="428" w:type="pct"/>
            <w:vAlign w:val="center"/>
          </w:tcPr>
          <w:p w14:paraId="2E3E3FC7"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14.74</w:t>
            </w:r>
          </w:p>
        </w:tc>
        <w:tc>
          <w:tcPr>
            <w:tcW w:w="836" w:type="pct"/>
            <w:vAlign w:val="center"/>
          </w:tcPr>
          <w:p w14:paraId="2521773B"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211,643.22</w:t>
            </w:r>
          </w:p>
        </w:tc>
        <w:tc>
          <w:tcPr>
            <w:tcW w:w="837" w:type="pct"/>
            <w:vAlign w:val="center"/>
          </w:tcPr>
          <w:p w14:paraId="0FE7E648"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181,236.21</w:t>
            </w:r>
          </w:p>
        </w:tc>
      </w:tr>
      <w:tr w:rsidR="00D54EAF" w:rsidRPr="00D54EAF" w14:paraId="63785CD2" w14:textId="77777777" w:rsidTr="00D54EAF">
        <w:trPr>
          <w:trHeight w:val="285"/>
        </w:trPr>
        <w:sdt>
          <w:sdtPr>
            <w:rPr>
              <w:sz w:val="15"/>
              <w:szCs w:val="15"/>
            </w:rPr>
            <w:tag w:val="_PLD_54034e2e2723446eaa03e5d834d32648"/>
            <w:id w:val="1493839239"/>
          </w:sdtPr>
          <w:sdtEndPr/>
          <w:sdtContent>
            <w:tc>
              <w:tcPr>
                <w:tcW w:w="389" w:type="pct"/>
              </w:tcPr>
              <w:p w14:paraId="3C95A695" w14:textId="77777777" w:rsidR="00D54EAF" w:rsidRPr="00D54EAF" w:rsidRDefault="00D54EAF" w:rsidP="00750F5E">
                <w:pPr>
                  <w:kinsoku w:val="0"/>
                  <w:overflowPunct w:val="0"/>
                  <w:autoSpaceDE w:val="0"/>
                  <w:autoSpaceDN w:val="0"/>
                  <w:adjustRightInd w:val="0"/>
                  <w:snapToGrid w:val="0"/>
                  <w:rPr>
                    <w:sz w:val="15"/>
                    <w:szCs w:val="15"/>
                  </w:rPr>
                </w:pPr>
                <w:r w:rsidRPr="00D54EAF">
                  <w:rPr>
                    <w:rFonts w:hint="eastAsia"/>
                    <w:sz w:val="15"/>
                    <w:szCs w:val="15"/>
                  </w:rPr>
                  <w:t>归属于上市公司股东的扣除非经常性损益的净利润</w:t>
                </w:r>
              </w:p>
            </w:tc>
          </w:sdtContent>
        </w:sdt>
        <w:tc>
          <w:tcPr>
            <w:tcW w:w="836" w:type="pct"/>
            <w:vAlign w:val="center"/>
          </w:tcPr>
          <w:p w14:paraId="542478BF"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267,728.64</w:t>
            </w:r>
          </w:p>
        </w:tc>
        <w:tc>
          <w:tcPr>
            <w:tcW w:w="836" w:type="pct"/>
            <w:vAlign w:val="center"/>
          </w:tcPr>
          <w:p w14:paraId="16391054"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211,082.07</w:t>
            </w:r>
          </w:p>
        </w:tc>
        <w:tc>
          <w:tcPr>
            <w:tcW w:w="837" w:type="pct"/>
            <w:vAlign w:val="center"/>
          </w:tcPr>
          <w:p w14:paraId="2634314C"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210,196.72</w:t>
            </w:r>
          </w:p>
        </w:tc>
        <w:tc>
          <w:tcPr>
            <w:tcW w:w="428" w:type="pct"/>
            <w:vAlign w:val="center"/>
          </w:tcPr>
          <w:p w14:paraId="3B53EEBA"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26.84</w:t>
            </w:r>
          </w:p>
        </w:tc>
        <w:tc>
          <w:tcPr>
            <w:tcW w:w="836" w:type="pct"/>
            <w:vAlign w:val="center"/>
          </w:tcPr>
          <w:p w14:paraId="1DFA1F4D"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129,290.66</w:t>
            </w:r>
          </w:p>
        </w:tc>
        <w:tc>
          <w:tcPr>
            <w:tcW w:w="837" w:type="pct"/>
            <w:vAlign w:val="center"/>
          </w:tcPr>
          <w:p w14:paraId="1F8F9CA0"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129,929.91</w:t>
            </w:r>
          </w:p>
        </w:tc>
      </w:tr>
      <w:tr w:rsidR="00D54EAF" w:rsidRPr="00D54EAF" w14:paraId="731807BA" w14:textId="77777777" w:rsidTr="00D54EAF">
        <w:trPr>
          <w:trHeight w:val="285"/>
        </w:trPr>
        <w:sdt>
          <w:sdtPr>
            <w:rPr>
              <w:sz w:val="15"/>
              <w:szCs w:val="15"/>
            </w:rPr>
            <w:tag w:val="_PLD_41147f1b6707437ca5e2a61d4ce4d6c3"/>
            <w:id w:val="-352032190"/>
          </w:sdtPr>
          <w:sdtEndPr/>
          <w:sdtContent>
            <w:tc>
              <w:tcPr>
                <w:tcW w:w="389" w:type="pct"/>
              </w:tcPr>
              <w:p w14:paraId="1B8DD50F" w14:textId="77777777" w:rsidR="00D54EAF" w:rsidRPr="00D54EAF" w:rsidRDefault="00D54EAF" w:rsidP="00750F5E">
                <w:pPr>
                  <w:kinsoku w:val="0"/>
                  <w:overflowPunct w:val="0"/>
                  <w:autoSpaceDE w:val="0"/>
                  <w:autoSpaceDN w:val="0"/>
                  <w:adjustRightInd w:val="0"/>
                  <w:snapToGrid w:val="0"/>
                  <w:rPr>
                    <w:sz w:val="15"/>
                    <w:szCs w:val="15"/>
                    <w:highlight w:val="magenta"/>
                  </w:rPr>
                </w:pPr>
                <w:r w:rsidRPr="00D54EAF">
                  <w:rPr>
                    <w:rFonts w:hint="eastAsia"/>
                    <w:sz w:val="15"/>
                    <w:szCs w:val="15"/>
                  </w:rPr>
                  <w:t>经营活动产生的现金流量净额</w:t>
                </w:r>
              </w:p>
            </w:tc>
          </w:sdtContent>
        </w:sdt>
        <w:tc>
          <w:tcPr>
            <w:tcW w:w="836" w:type="pct"/>
            <w:vAlign w:val="center"/>
          </w:tcPr>
          <w:p w14:paraId="2B336217"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353,585.81</w:t>
            </w:r>
          </w:p>
        </w:tc>
        <w:tc>
          <w:tcPr>
            <w:tcW w:w="836" w:type="pct"/>
            <w:vAlign w:val="center"/>
          </w:tcPr>
          <w:p w14:paraId="6D46C453"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114,028.26</w:t>
            </w:r>
          </w:p>
        </w:tc>
        <w:tc>
          <w:tcPr>
            <w:tcW w:w="837" w:type="pct"/>
            <w:vAlign w:val="center"/>
          </w:tcPr>
          <w:p w14:paraId="4EE6984A"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91,758.69</w:t>
            </w:r>
          </w:p>
        </w:tc>
        <w:tc>
          <w:tcPr>
            <w:tcW w:w="428" w:type="pct"/>
            <w:vAlign w:val="center"/>
          </w:tcPr>
          <w:p w14:paraId="7F6D3DB3"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210.09</w:t>
            </w:r>
          </w:p>
        </w:tc>
        <w:tc>
          <w:tcPr>
            <w:tcW w:w="836" w:type="pct"/>
            <w:vAlign w:val="center"/>
          </w:tcPr>
          <w:p w14:paraId="1CE4EEAC"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266,742.27</w:t>
            </w:r>
          </w:p>
        </w:tc>
        <w:tc>
          <w:tcPr>
            <w:tcW w:w="837" w:type="pct"/>
            <w:vAlign w:val="center"/>
          </w:tcPr>
          <w:p w14:paraId="15A4ECAB"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216,014.02</w:t>
            </w:r>
          </w:p>
        </w:tc>
      </w:tr>
      <w:tr w:rsidR="00D54EAF" w:rsidRPr="00D54EAF" w14:paraId="0AC0358B" w14:textId="77777777" w:rsidTr="00D54EAF">
        <w:trPr>
          <w:trHeight w:val="481"/>
        </w:trPr>
        <w:tc>
          <w:tcPr>
            <w:tcW w:w="389" w:type="pct"/>
            <w:vMerge w:val="restart"/>
            <w:tcBorders>
              <w:bottom w:val="single" w:sz="4" w:space="0" w:color="auto"/>
            </w:tcBorders>
          </w:tcPr>
          <w:p w14:paraId="7BED5FD4" w14:textId="77777777" w:rsidR="00D54EAF" w:rsidRPr="00D54EAF" w:rsidRDefault="00D54EAF" w:rsidP="00750F5E">
            <w:pPr>
              <w:kinsoku w:val="0"/>
              <w:overflowPunct w:val="0"/>
              <w:autoSpaceDE w:val="0"/>
              <w:autoSpaceDN w:val="0"/>
              <w:adjustRightInd w:val="0"/>
              <w:snapToGrid w:val="0"/>
              <w:rPr>
                <w:sz w:val="15"/>
                <w:szCs w:val="15"/>
              </w:rPr>
            </w:pPr>
          </w:p>
        </w:tc>
        <w:sdt>
          <w:sdtPr>
            <w:rPr>
              <w:sz w:val="15"/>
              <w:szCs w:val="15"/>
            </w:rPr>
            <w:tag w:val="_PLD_0d88b20780884c8f8b0a1f55e5d31f2e"/>
            <w:id w:val="-1168700592"/>
          </w:sdtPr>
          <w:sdtEndPr/>
          <w:sdtContent>
            <w:tc>
              <w:tcPr>
                <w:tcW w:w="836" w:type="pct"/>
                <w:vMerge w:val="restart"/>
                <w:tcBorders>
                  <w:bottom w:val="single" w:sz="4" w:space="0" w:color="auto"/>
                </w:tcBorders>
                <w:vAlign w:val="center"/>
              </w:tcPr>
              <w:p w14:paraId="5C82528E"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2023年</w:t>
                </w:r>
                <w:r w:rsidRPr="00D54EAF">
                  <w:rPr>
                    <w:sz w:val="15"/>
                    <w:szCs w:val="15"/>
                  </w:rPr>
                  <w:t>末</w:t>
                </w:r>
              </w:p>
            </w:tc>
          </w:sdtContent>
        </w:sdt>
        <w:sdt>
          <w:sdtPr>
            <w:rPr>
              <w:sz w:val="15"/>
              <w:szCs w:val="15"/>
            </w:rPr>
            <w:tag w:val="_PLD_1be51f12ae48471fa42c1f0a53451b67"/>
            <w:id w:val="1065764257"/>
          </w:sdtPr>
          <w:sdtEndPr/>
          <w:sdtContent>
            <w:tc>
              <w:tcPr>
                <w:tcW w:w="1673" w:type="pct"/>
                <w:gridSpan w:val="2"/>
                <w:tcBorders>
                  <w:bottom w:val="single" w:sz="4" w:space="0" w:color="auto"/>
                </w:tcBorders>
                <w:shd w:val="clear" w:color="auto" w:fill="auto"/>
                <w:vAlign w:val="center"/>
              </w:tcPr>
              <w:p w14:paraId="0EA60C3F"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2022年末</w:t>
                </w:r>
              </w:p>
            </w:tc>
          </w:sdtContent>
        </w:sdt>
        <w:sdt>
          <w:sdtPr>
            <w:rPr>
              <w:sz w:val="15"/>
              <w:szCs w:val="15"/>
            </w:rPr>
            <w:tag w:val="_PLD_cae4a49474404cfba06bdf34c04fcba6"/>
            <w:id w:val="-2075182681"/>
          </w:sdtPr>
          <w:sdtEndPr/>
          <w:sdtContent>
            <w:tc>
              <w:tcPr>
                <w:tcW w:w="428" w:type="pct"/>
                <w:vMerge w:val="restart"/>
                <w:tcBorders>
                  <w:bottom w:val="single" w:sz="4" w:space="0" w:color="auto"/>
                </w:tcBorders>
                <w:vAlign w:val="center"/>
              </w:tcPr>
              <w:p w14:paraId="13308DA1"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sz w:val="15"/>
                    <w:szCs w:val="15"/>
                  </w:rPr>
                  <w:t>本期末比上年同期末增减（</w:t>
                </w:r>
                <w:r w:rsidRPr="00D54EAF">
                  <w:rPr>
                    <w:rFonts w:hint="eastAsia"/>
                    <w:sz w:val="15"/>
                    <w:szCs w:val="15"/>
                  </w:rPr>
                  <w:t>%</w:t>
                </w:r>
                <w:r w:rsidRPr="00D54EAF">
                  <w:rPr>
                    <w:sz w:val="15"/>
                    <w:szCs w:val="15"/>
                  </w:rPr>
                  <w:t>）</w:t>
                </w:r>
              </w:p>
            </w:tc>
          </w:sdtContent>
        </w:sdt>
        <w:sdt>
          <w:sdtPr>
            <w:rPr>
              <w:sz w:val="15"/>
              <w:szCs w:val="15"/>
            </w:rPr>
            <w:tag w:val="_PLD_4285f5ab2f284667927910bc2a0fd13f"/>
            <w:id w:val="501554662"/>
          </w:sdtPr>
          <w:sdtEndPr/>
          <w:sdtContent>
            <w:tc>
              <w:tcPr>
                <w:tcW w:w="1673" w:type="pct"/>
                <w:gridSpan w:val="2"/>
                <w:tcBorders>
                  <w:bottom w:val="single" w:sz="4" w:space="0" w:color="auto"/>
                </w:tcBorders>
                <w:vAlign w:val="center"/>
              </w:tcPr>
              <w:p w14:paraId="48B60A91"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2021年末</w:t>
                </w:r>
              </w:p>
            </w:tc>
          </w:sdtContent>
        </w:sdt>
      </w:tr>
      <w:tr w:rsidR="00D54EAF" w:rsidRPr="00D54EAF" w14:paraId="1218C212" w14:textId="77777777" w:rsidTr="00D54EAF">
        <w:trPr>
          <w:trHeight w:val="338"/>
        </w:trPr>
        <w:tc>
          <w:tcPr>
            <w:tcW w:w="389" w:type="pct"/>
            <w:vMerge/>
            <w:tcBorders>
              <w:bottom w:val="single" w:sz="4" w:space="0" w:color="auto"/>
            </w:tcBorders>
          </w:tcPr>
          <w:p w14:paraId="0AD2D94F" w14:textId="77777777" w:rsidR="00D54EAF" w:rsidRPr="00D54EAF" w:rsidRDefault="00D54EAF" w:rsidP="00750F5E">
            <w:pPr>
              <w:kinsoku w:val="0"/>
              <w:overflowPunct w:val="0"/>
              <w:autoSpaceDE w:val="0"/>
              <w:autoSpaceDN w:val="0"/>
              <w:adjustRightInd w:val="0"/>
              <w:snapToGrid w:val="0"/>
              <w:rPr>
                <w:sz w:val="15"/>
                <w:szCs w:val="15"/>
              </w:rPr>
            </w:pPr>
          </w:p>
        </w:tc>
        <w:tc>
          <w:tcPr>
            <w:tcW w:w="836" w:type="pct"/>
            <w:vMerge/>
            <w:tcBorders>
              <w:bottom w:val="single" w:sz="4" w:space="0" w:color="auto"/>
            </w:tcBorders>
            <w:vAlign w:val="center"/>
          </w:tcPr>
          <w:p w14:paraId="55E76DEF" w14:textId="77777777" w:rsidR="00D54EAF" w:rsidRPr="00D54EAF" w:rsidRDefault="00D54EAF" w:rsidP="00750F5E">
            <w:pPr>
              <w:kinsoku w:val="0"/>
              <w:overflowPunct w:val="0"/>
              <w:autoSpaceDE w:val="0"/>
              <w:autoSpaceDN w:val="0"/>
              <w:adjustRightInd w:val="0"/>
              <w:snapToGrid w:val="0"/>
              <w:jc w:val="center"/>
              <w:rPr>
                <w:sz w:val="15"/>
                <w:szCs w:val="15"/>
              </w:rPr>
            </w:pPr>
          </w:p>
        </w:tc>
        <w:sdt>
          <w:sdtPr>
            <w:rPr>
              <w:sz w:val="15"/>
              <w:szCs w:val="15"/>
            </w:rPr>
            <w:tag w:val="_PLD_07c2b8b4f1c943ac9e2f1b3bd6866a46"/>
            <w:id w:val="1091053382"/>
          </w:sdtPr>
          <w:sdtEndPr/>
          <w:sdtContent>
            <w:tc>
              <w:tcPr>
                <w:tcW w:w="836" w:type="pct"/>
                <w:tcBorders>
                  <w:bottom w:val="single" w:sz="4" w:space="0" w:color="auto"/>
                </w:tcBorders>
                <w:vAlign w:val="center"/>
              </w:tcPr>
              <w:p w14:paraId="2A71598B"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调整后</w:t>
                </w:r>
              </w:p>
            </w:tc>
          </w:sdtContent>
        </w:sdt>
        <w:sdt>
          <w:sdtPr>
            <w:rPr>
              <w:sz w:val="15"/>
              <w:szCs w:val="15"/>
            </w:rPr>
            <w:tag w:val="_PLD_4dc48658027a438e92392fbe0be3c314"/>
            <w:id w:val="-249052161"/>
          </w:sdtPr>
          <w:sdtEndPr/>
          <w:sdtContent>
            <w:tc>
              <w:tcPr>
                <w:tcW w:w="837" w:type="pct"/>
                <w:tcBorders>
                  <w:bottom w:val="single" w:sz="4" w:space="0" w:color="auto"/>
                </w:tcBorders>
                <w:vAlign w:val="center"/>
              </w:tcPr>
              <w:p w14:paraId="5984FCAA"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调整前</w:t>
                </w:r>
              </w:p>
            </w:tc>
          </w:sdtContent>
        </w:sdt>
        <w:tc>
          <w:tcPr>
            <w:tcW w:w="428" w:type="pct"/>
            <w:vMerge/>
            <w:tcBorders>
              <w:bottom w:val="single" w:sz="4" w:space="0" w:color="auto"/>
            </w:tcBorders>
            <w:vAlign w:val="center"/>
          </w:tcPr>
          <w:p w14:paraId="5DDDF76C" w14:textId="77777777" w:rsidR="00D54EAF" w:rsidRPr="00D54EAF" w:rsidRDefault="00D54EAF" w:rsidP="00750F5E">
            <w:pPr>
              <w:kinsoku w:val="0"/>
              <w:overflowPunct w:val="0"/>
              <w:autoSpaceDE w:val="0"/>
              <w:autoSpaceDN w:val="0"/>
              <w:adjustRightInd w:val="0"/>
              <w:snapToGrid w:val="0"/>
              <w:jc w:val="center"/>
              <w:rPr>
                <w:sz w:val="15"/>
                <w:szCs w:val="15"/>
              </w:rPr>
            </w:pPr>
          </w:p>
        </w:tc>
        <w:sdt>
          <w:sdtPr>
            <w:rPr>
              <w:sz w:val="15"/>
              <w:szCs w:val="15"/>
            </w:rPr>
            <w:tag w:val="_PLD_5b052f7f26054fdab6999b7a61e0be4a"/>
            <w:id w:val="1827467824"/>
          </w:sdtPr>
          <w:sdtEndPr/>
          <w:sdtContent>
            <w:tc>
              <w:tcPr>
                <w:tcW w:w="836" w:type="pct"/>
                <w:tcBorders>
                  <w:bottom w:val="single" w:sz="4" w:space="0" w:color="auto"/>
                </w:tcBorders>
                <w:vAlign w:val="center"/>
              </w:tcPr>
              <w:p w14:paraId="2769D921"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调整后</w:t>
                </w:r>
              </w:p>
            </w:tc>
          </w:sdtContent>
        </w:sdt>
        <w:sdt>
          <w:sdtPr>
            <w:rPr>
              <w:sz w:val="15"/>
              <w:szCs w:val="15"/>
            </w:rPr>
            <w:tag w:val="_PLD_bffd6c17c399445aa2fb60a7726c4774"/>
            <w:id w:val="-1954237126"/>
          </w:sdtPr>
          <w:sdtEndPr/>
          <w:sdtContent>
            <w:tc>
              <w:tcPr>
                <w:tcW w:w="837" w:type="pct"/>
                <w:tcBorders>
                  <w:bottom w:val="single" w:sz="4" w:space="0" w:color="auto"/>
                </w:tcBorders>
                <w:vAlign w:val="center"/>
              </w:tcPr>
              <w:p w14:paraId="22BB9A3C" w14:textId="77777777" w:rsidR="00D54EAF" w:rsidRPr="00D54EAF" w:rsidRDefault="00D54EAF" w:rsidP="00750F5E">
                <w:pPr>
                  <w:kinsoku w:val="0"/>
                  <w:overflowPunct w:val="0"/>
                  <w:autoSpaceDE w:val="0"/>
                  <w:autoSpaceDN w:val="0"/>
                  <w:adjustRightInd w:val="0"/>
                  <w:snapToGrid w:val="0"/>
                  <w:jc w:val="center"/>
                  <w:rPr>
                    <w:sz w:val="15"/>
                    <w:szCs w:val="15"/>
                  </w:rPr>
                </w:pPr>
                <w:r w:rsidRPr="00D54EAF">
                  <w:rPr>
                    <w:rFonts w:hint="eastAsia"/>
                    <w:sz w:val="15"/>
                    <w:szCs w:val="15"/>
                  </w:rPr>
                  <w:t>调整前</w:t>
                </w:r>
              </w:p>
            </w:tc>
          </w:sdtContent>
        </w:sdt>
      </w:tr>
      <w:tr w:rsidR="00D54EAF" w:rsidRPr="00D54EAF" w14:paraId="7A6849B9" w14:textId="77777777" w:rsidTr="00D54EAF">
        <w:trPr>
          <w:trHeight w:val="285"/>
        </w:trPr>
        <w:sdt>
          <w:sdtPr>
            <w:rPr>
              <w:sz w:val="15"/>
              <w:szCs w:val="15"/>
            </w:rPr>
            <w:tag w:val="_PLD_7322491a16904fa2a554cccf9fd6e733"/>
            <w:id w:val="-845021521"/>
          </w:sdtPr>
          <w:sdtEndPr/>
          <w:sdtContent>
            <w:tc>
              <w:tcPr>
                <w:tcW w:w="389" w:type="pct"/>
              </w:tcPr>
              <w:p w14:paraId="5AD9F0F3" w14:textId="77777777" w:rsidR="00D54EAF" w:rsidRPr="00D54EAF" w:rsidRDefault="00D54EAF" w:rsidP="00750F5E">
                <w:pPr>
                  <w:kinsoku w:val="0"/>
                  <w:overflowPunct w:val="0"/>
                  <w:autoSpaceDE w:val="0"/>
                  <w:autoSpaceDN w:val="0"/>
                  <w:adjustRightInd w:val="0"/>
                  <w:snapToGrid w:val="0"/>
                  <w:rPr>
                    <w:sz w:val="15"/>
                    <w:szCs w:val="15"/>
                  </w:rPr>
                </w:pPr>
                <w:r w:rsidRPr="00D54EAF">
                  <w:rPr>
                    <w:rFonts w:hint="eastAsia"/>
                    <w:sz w:val="15"/>
                    <w:szCs w:val="15"/>
                  </w:rPr>
                  <w:t>归属于上市公司股东的净资产</w:t>
                </w:r>
              </w:p>
            </w:tc>
          </w:sdtContent>
        </w:sdt>
        <w:tc>
          <w:tcPr>
            <w:tcW w:w="836" w:type="pct"/>
            <w:vAlign w:val="center"/>
          </w:tcPr>
          <w:p w14:paraId="75FD6DE5"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1,909,536.18</w:t>
            </w:r>
          </w:p>
        </w:tc>
        <w:tc>
          <w:tcPr>
            <w:tcW w:w="836" w:type="pct"/>
            <w:vAlign w:val="center"/>
          </w:tcPr>
          <w:p w14:paraId="166DDF4F"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1,742,840.29</w:t>
            </w:r>
          </w:p>
        </w:tc>
        <w:tc>
          <w:tcPr>
            <w:tcW w:w="837" w:type="pct"/>
            <w:vAlign w:val="center"/>
          </w:tcPr>
          <w:p w14:paraId="101C8995"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1,455,638.93</w:t>
            </w:r>
          </w:p>
        </w:tc>
        <w:tc>
          <w:tcPr>
            <w:tcW w:w="428" w:type="pct"/>
            <w:vAlign w:val="center"/>
          </w:tcPr>
          <w:p w14:paraId="31D6CF3A"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9.56</w:t>
            </w:r>
          </w:p>
        </w:tc>
        <w:tc>
          <w:tcPr>
            <w:tcW w:w="836" w:type="pct"/>
            <w:vAlign w:val="center"/>
          </w:tcPr>
          <w:p w14:paraId="18D8C375"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1,630,674.33</w:t>
            </w:r>
          </w:p>
        </w:tc>
        <w:tc>
          <w:tcPr>
            <w:tcW w:w="837" w:type="pct"/>
            <w:vAlign w:val="center"/>
          </w:tcPr>
          <w:p w14:paraId="4ECF1BBF"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1,326,704.14</w:t>
            </w:r>
          </w:p>
        </w:tc>
      </w:tr>
      <w:tr w:rsidR="00D54EAF" w:rsidRPr="00D54EAF" w14:paraId="6626952A" w14:textId="77777777" w:rsidTr="00D54EAF">
        <w:trPr>
          <w:trHeight w:val="285"/>
        </w:trPr>
        <w:sdt>
          <w:sdtPr>
            <w:rPr>
              <w:sz w:val="15"/>
              <w:szCs w:val="15"/>
            </w:rPr>
            <w:tag w:val="_PLD_40ae5c8a9b614bff94d9bcdd3b86321e"/>
            <w:id w:val="-418248323"/>
          </w:sdtPr>
          <w:sdtEndPr/>
          <w:sdtContent>
            <w:tc>
              <w:tcPr>
                <w:tcW w:w="389" w:type="pct"/>
              </w:tcPr>
              <w:p w14:paraId="0DE12829" w14:textId="77777777" w:rsidR="00D54EAF" w:rsidRPr="00D54EAF" w:rsidRDefault="00D54EAF" w:rsidP="00750F5E">
                <w:pPr>
                  <w:kinsoku w:val="0"/>
                  <w:overflowPunct w:val="0"/>
                  <w:autoSpaceDE w:val="0"/>
                  <w:autoSpaceDN w:val="0"/>
                  <w:adjustRightInd w:val="0"/>
                  <w:snapToGrid w:val="0"/>
                  <w:rPr>
                    <w:sz w:val="15"/>
                    <w:szCs w:val="15"/>
                  </w:rPr>
                </w:pPr>
                <w:r w:rsidRPr="00D54EAF">
                  <w:rPr>
                    <w:rFonts w:hint="eastAsia"/>
                    <w:sz w:val="15"/>
                    <w:szCs w:val="15"/>
                  </w:rPr>
                  <w:t>总资产</w:t>
                </w:r>
              </w:p>
            </w:tc>
          </w:sdtContent>
        </w:sdt>
        <w:tc>
          <w:tcPr>
            <w:tcW w:w="836" w:type="pct"/>
            <w:vAlign w:val="center"/>
          </w:tcPr>
          <w:p w14:paraId="11CE5A61"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5,441,954.41</w:t>
            </w:r>
          </w:p>
        </w:tc>
        <w:tc>
          <w:tcPr>
            <w:tcW w:w="836" w:type="pct"/>
            <w:vAlign w:val="center"/>
          </w:tcPr>
          <w:p w14:paraId="346DF888"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5,006,769.16</w:t>
            </w:r>
          </w:p>
        </w:tc>
        <w:tc>
          <w:tcPr>
            <w:tcW w:w="837" w:type="pct"/>
            <w:vAlign w:val="center"/>
          </w:tcPr>
          <w:p w14:paraId="79E44335" w14:textId="77777777" w:rsidR="00D54EAF" w:rsidRPr="00D54EAF" w:rsidRDefault="00D54EAF" w:rsidP="00750F5E">
            <w:pPr>
              <w:kinsoku w:val="0"/>
              <w:overflowPunct w:val="0"/>
              <w:autoSpaceDE w:val="0"/>
              <w:autoSpaceDN w:val="0"/>
              <w:adjustRightInd w:val="0"/>
              <w:snapToGrid w:val="0"/>
              <w:jc w:val="right"/>
              <w:rPr>
                <w:bCs/>
                <w:sz w:val="18"/>
                <w:szCs w:val="18"/>
              </w:rPr>
            </w:pPr>
            <w:r w:rsidRPr="00D54EAF">
              <w:rPr>
                <w:sz w:val="18"/>
                <w:szCs w:val="18"/>
              </w:rPr>
              <w:t>4,378,575.14</w:t>
            </w:r>
          </w:p>
        </w:tc>
        <w:tc>
          <w:tcPr>
            <w:tcW w:w="428" w:type="pct"/>
            <w:vAlign w:val="center"/>
          </w:tcPr>
          <w:p w14:paraId="44F3453C"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8.69</w:t>
            </w:r>
          </w:p>
        </w:tc>
        <w:tc>
          <w:tcPr>
            <w:tcW w:w="836" w:type="pct"/>
            <w:vAlign w:val="center"/>
          </w:tcPr>
          <w:p w14:paraId="43B3E7BD"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4,770,638.91</w:t>
            </w:r>
          </w:p>
        </w:tc>
        <w:tc>
          <w:tcPr>
            <w:tcW w:w="837" w:type="pct"/>
            <w:vAlign w:val="center"/>
          </w:tcPr>
          <w:p w14:paraId="67CE0870" w14:textId="77777777" w:rsidR="00D54EAF" w:rsidRPr="00D54EAF" w:rsidRDefault="00D54EAF" w:rsidP="00750F5E">
            <w:pPr>
              <w:kinsoku w:val="0"/>
              <w:overflowPunct w:val="0"/>
              <w:autoSpaceDE w:val="0"/>
              <w:autoSpaceDN w:val="0"/>
              <w:adjustRightInd w:val="0"/>
              <w:snapToGrid w:val="0"/>
              <w:jc w:val="right"/>
              <w:rPr>
                <w:sz w:val="18"/>
                <w:szCs w:val="18"/>
              </w:rPr>
            </w:pPr>
            <w:r w:rsidRPr="00D54EAF">
              <w:rPr>
                <w:sz w:val="18"/>
                <w:szCs w:val="18"/>
              </w:rPr>
              <w:t>4,181,405.78</w:t>
            </w:r>
          </w:p>
        </w:tc>
      </w:tr>
    </w:tbl>
    <w:p w14:paraId="71355C59" w14:textId="77777777" w:rsidR="00D54EAF" w:rsidRDefault="00D54EAF"/>
    <w:p w14:paraId="2724B859" w14:textId="77777777" w:rsidR="00E57DAA" w:rsidRDefault="00AC4185" w:rsidP="00C25422">
      <w:pPr>
        <w:pStyle w:val="92"/>
      </w:pPr>
      <w:r>
        <w:rPr>
          <w:rFonts w:hint="eastAsia"/>
        </w:rPr>
        <w:t>注：公司</w:t>
      </w:r>
      <w:r>
        <w:t>2023年2月同一控制下合并合肥水泥研究设计院有限公司，根据企业会计准则规定对上年度末和上年同期数据进行追溯调整。</w:t>
      </w:r>
    </w:p>
    <w:bookmarkEnd w:id="22"/>
    <w:p w14:paraId="46C0E51B" w14:textId="77777777" w:rsidR="00E57DAA" w:rsidRDefault="00E57DAA">
      <w:pPr>
        <w:kinsoku w:val="0"/>
        <w:overflowPunct w:val="0"/>
        <w:autoSpaceDE w:val="0"/>
        <w:autoSpaceDN w:val="0"/>
        <w:adjustRightInd w:val="0"/>
        <w:snapToGrid w:val="0"/>
        <w:rPr>
          <w:szCs w:val="21"/>
        </w:rPr>
      </w:pPr>
    </w:p>
    <w:p w14:paraId="71220E2E" w14:textId="77777777" w:rsidR="00E57DAA" w:rsidRDefault="00AC4185">
      <w:pPr>
        <w:pStyle w:val="3"/>
        <w:numPr>
          <w:ilvl w:val="1"/>
          <w:numId w:val="6"/>
        </w:numPr>
        <w:rPr>
          <w:rFonts w:ascii="宋体" w:hAnsi="宋体"/>
          <w:szCs w:val="21"/>
        </w:rPr>
      </w:pPr>
      <w:r>
        <w:lastRenderedPageBreak/>
        <w:t>主要财务指标</w:t>
      </w:r>
    </w:p>
    <w:tbl>
      <w:tblPr>
        <w:tblStyle w:val="aff6"/>
        <w:tblW w:w="5000" w:type="pct"/>
        <w:tblLook w:val="04A0" w:firstRow="1" w:lastRow="0" w:firstColumn="1" w:lastColumn="0" w:noHBand="0" w:noVBand="1"/>
      </w:tblPr>
      <w:tblGrid>
        <w:gridCol w:w="2689"/>
        <w:gridCol w:w="1032"/>
        <w:gridCol w:w="969"/>
        <w:gridCol w:w="962"/>
        <w:gridCol w:w="1267"/>
        <w:gridCol w:w="969"/>
        <w:gridCol w:w="935"/>
      </w:tblGrid>
      <w:tr w:rsidR="00D54EAF" w14:paraId="29442486" w14:textId="77777777" w:rsidTr="00D54EAF">
        <w:trPr>
          <w:trHeight w:val="446"/>
        </w:trPr>
        <w:tc>
          <w:tcPr>
            <w:tcW w:w="1524" w:type="pct"/>
            <w:vMerge w:val="restart"/>
            <w:vAlign w:val="center"/>
          </w:tcPr>
          <w:p w14:paraId="4286DE97" w14:textId="77777777" w:rsidR="00D54EAF" w:rsidRDefault="00EB41A1" w:rsidP="00245CBD">
            <w:pPr>
              <w:kinsoku w:val="0"/>
              <w:overflowPunct w:val="0"/>
              <w:autoSpaceDE w:val="0"/>
              <w:autoSpaceDN w:val="0"/>
              <w:adjustRightInd w:val="0"/>
              <w:snapToGrid w:val="0"/>
              <w:jc w:val="center"/>
              <w:rPr>
                <w:szCs w:val="21"/>
              </w:rPr>
            </w:pPr>
            <w:sdt>
              <w:sdtPr>
                <w:rPr>
                  <w:szCs w:val="21"/>
                </w:rPr>
                <w:tag w:val="_PLD_93f58c7dfa334f7b9687d4b507301315"/>
                <w:id w:val="-122236054"/>
              </w:sdtPr>
              <w:sdtEndPr>
                <w:rPr>
                  <w:szCs w:val="20"/>
                </w:rPr>
              </w:sdtEndPr>
              <w:sdtContent>
                <w:r w:rsidR="00D54EAF">
                  <w:rPr>
                    <w:szCs w:val="21"/>
                  </w:rPr>
                  <w:t>主要财务指标</w:t>
                </w:r>
              </w:sdtContent>
            </w:sdt>
          </w:p>
        </w:tc>
        <w:sdt>
          <w:sdtPr>
            <w:tag w:val="_PLD_3659f4cd15124b45a2a65613b16939e4"/>
            <w:id w:val="-295760428"/>
          </w:sdtPr>
          <w:sdtEndPr/>
          <w:sdtContent>
            <w:tc>
              <w:tcPr>
                <w:tcW w:w="585" w:type="pct"/>
                <w:vMerge w:val="restart"/>
                <w:vAlign w:val="center"/>
              </w:tcPr>
              <w:p w14:paraId="4B1625A4" w14:textId="77777777" w:rsidR="00D54EAF" w:rsidRDefault="00D54EAF" w:rsidP="00245CBD">
                <w:pPr>
                  <w:kinsoku w:val="0"/>
                  <w:overflowPunct w:val="0"/>
                  <w:autoSpaceDE w:val="0"/>
                  <w:autoSpaceDN w:val="0"/>
                  <w:adjustRightInd w:val="0"/>
                  <w:snapToGrid w:val="0"/>
                  <w:jc w:val="center"/>
                  <w:rPr>
                    <w:szCs w:val="21"/>
                  </w:rPr>
                </w:pPr>
                <w:r>
                  <w:rPr>
                    <w:rFonts w:hint="eastAsia"/>
                    <w:szCs w:val="21"/>
                  </w:rPr>
                  <w:t>2023年</w:t>
                </w:r>
              </w:p>
            </w:tc>
          </w:sdtContent>
        </w:sdt>
        <w:sdt>
          <w:sdtPr>
            <w:tag w:val="_PLD_dae9cb2d710c42bbaa3b9e51a4a464c6"/>
            <w:id w:val="-847476657"/>
          </w:sdtPr>
          <w:sdtEndPr/>
          <w:sdtContent>
            <w:tc>
              <w:tcPr>
                <w:tcW w:w="1094" w:type="pct"/>
                <w:gridSpan w:val="2"/>
                <w:vAlign w:val="center"/>
              </w:tcPr>
              <w:p w14:paraId="2BAED5CD" w14:textId="77777777" w:rsidR="00D54EAF" w:rsidRDefault="00D54EAF" w:rsidP="00245CBD">
                <w:pPr>
                  <w:kinsoku w:val="0"/>
                  <w:overflowPunct w:val="0"/>
                  <w:autoSpaceDE w:val="0"/>
                  <w:autoSpaceDN w:val="0"/>
                  <w:adjustRightInd w:val="0"/>
                  <w:snapToGrid w:val="0"/>
                  <w:jc w:val="center"/>
                  <w:rPr>
                    <w:szCs w:val="21"/>
                  </w:rPr>
                </w:pPr>
                <w:r>
                  <w:rPr>
                    <w:rFonts w:hint="eastAsia"/>
                    <w:szCs w:val="21"/>
                  </w:rPr>
                  <w:t>2022年</w:t>
                </w:r>
              </w:p>
            </w:tc>
          </w:sdtContent>
        </w:sdt>
        <w:sdt>
          <w:sdtPr>
            <w:tag w:val="_PLD_88e29c5ce4054138b5713d7b61f1c304"/>
            <w:id w:val="-1662537450"/>
          </w:sdtPr>
          <w:sdtEndPr/>
          <w:sdtContent>
            <w:tc>
              <w:tcPr>
                <w:tcW w:w="718" w:type="pct"/>
                <w:vMerge w:val="restart"/>
                <w:vAlign w:val="center"/>
              </w:tcPr>
              <w:p w14:paraId="6D4CEF6A" w14:textId="77777777" w:rsidR="00D54EAF" w:rsidRDefault="00D54EAF" w:rsidP="00245CBD">
                <w:pPr>
                  <w:kinsoku w:val="0"/>
                  <w:overflowPunct w:val="0"/>
                  <w:autoSpaceDE w:val="0"/>
                  <w:autoSpaceDN w:val="0"/>
                  <w:adjustRightInd w:val="0"/>
                  <w:snapToGrid w:val="0"/>
                  <w:jc w:val="center"/>
                  <w:rPr>
                    <w:szCs w:val="21"/>
                  </w:rPr>
                </w:pPr>
                <w:r>
                  <w:rPr>
                    <w:szCs w:val="21"/>
                  </w:rPr>
                  <w:t>本期比上年同期增减(%)</w:t>
                </w:r>
              </w:p>
            </w:tc>
          </w:sdtContent>
        </w:sdt>
        <w:sdt>
          <w:sdtPr>
            <w:tag w:val="_PLD_09e97eecc2c848c1ae919afa66c75157"/>
            <w:id w:val="-209032974"/>
          </w:sdtPr>
          <w:sdtEndPr/>
          <w:sdtContent>
            <w:tc>
              <w:tcPr>
                <w:tcW w:w="1079" w:type="pct"/>
                <w:gridSpan w:val="2"/>
                <w:vAlign w:val="center"/>
              </w:tcPr>
              <w:p w14:paraId="3B899C76" w14:textId="77777777" w:rsidR="00D54EAF" w:rsidRDefault="00D54EAF" w:rsidP="00245CBD">
                <w:pPr>
                  <w:kinsoku w:val="0"/>
                  <w:overflowPunct w:val="0"/>
                  <w:autoSpaceDE w:val="0"/>
                  <w:autoSpaceDN w:val="0"/>
                  <w:adjustRightInd w:val="0"/>
                  <w:snapToGrid w:val="0"/>
                  <w:jc w:val="center"/>
                  <w:rPr>
                    <w:szCs w:val="21"/>
                  </w:rPr>
                </w:pPr>
                <w:r>
                  <w:rPr>
                    <w:rFonts w:hint="eastAsia"/>
                    <w:szCs w:val="21"/>
                  </w:rPr>
                  <w:t>2021年</w:t>
                </w:r>
              </w:p>
            </w:tc>
          </w:sdtContent>
        </w:sdt>
      </w:tr>
      <w:tr w:rsidR="00D54EAF" w14:paraId="1DF3BDED" w14:textId="77777777" w:rsidTr="00D54EAF">
        <w:tc>
          <w:tcPr>
            <w:tcW w:w="1524" w:type="pct"/>
            <w:vMerge/>
            <w:vAlign w:val="center"/>
          </w:tcPr>
          <w:p w14:paraId="3639F15C" w14:textId="77777777" w:rsidR="00D54EAF" w:rsidRDefault="00D54EAF" w:rsidP="00245CBD">
            <w:pPr>
              <w:kinsoku w:val="0"/>
              <w:overflowPunct w:val="0"/>
              <w:autoSpaceDE w:val="0"/>
              <w:autoSpaceDN w:val="0"/>
              <w:adjustRightInd w:val="0"/>
              <w:snapToGrid w:val="0"/>
              <w:jc w:val="center"/>
              <w:rPr>
                <w:szCs w:val="21"/>
              </w:rPr>
            </w:pPr>
          </w:p>
        </w:tc>
        <w:tc>
          <w:tcPr>
            <w:tcW w:w="585" w:type="pct"/>
            <w:vMerge/>
            <w:vAlign w:val="center"/>
          </w:tcPr>
          <w:p w14:paraId="67ED379A" w14:textId="77777777" w:rsidR="00D54EAF" w:rsidRDefault="00D54EAF" w:rsidP="00245CBD">
            <w:pPr>
              <w:kinsoku w:val="0"/>
              <w:overflowPunct w:val="0"/>
              <w:autoSpaceDE w:val="0"/>
              <w:autoSpaceDN w:val="0"/>
              <w:adjustRightInd w:val="0"/>
              <w:snapToGrid w:val="0"/>
              <w:jc w:val="center"/>
              <w:rPr>
                <w:szCs w:val="21"/>
              </w:rPr>
            </w:pPr>
          </w:p>
        </w:tc>
        <w:sdt>
          <w:sdtPr>
            <w:tag w:val="_PLD_efc67258aa8b417aaaa22e2605b69561"/>
            <w:id w:val="1373346457"/>
          </w:sdtPr>
          <w:sdtEndPr/>
          <w:sdtContent>
            <w:tc>
              <w:tcPr>
                <w:tcW w:w="549" w:type="pct"/>
                <w:vAlign w:val="center"/>
              </w:tcPr>
              <w:p w14:paraId="127AFF57" w14:textId="77777777" w:rsidR="00D54EAF" w:rsidRDefault="00D54EAF" w:rsidP="00245CBD">
                <w:pPr>
                  <w:kinsoku w:val="0"/>
                  <w:overflowPunct w:val="0"/>
                  <w:autoSpaceDE w:val="0"/>
                  <w:autoSpaceDN w:val="0"/>
                  <w:adjustRightInd w:val="0"/>
                  <w:snapToGrid w:val="0"/>
                  <w:jc w:val="center"/>
                  <w:rPr>
                    <w:szCs w:val="21"/>
                  </w:rPr>
                </w:pPr>
                <w:r>
                  <w:rPr>
                    <w:szCs w:val="21"/>
                  </w:rPr>
                  <w:t>调整后</w:t>
                </w:r>
              </w:p>
            </w:tc>
          </w:sdtContent>
        </w:sdt>
        <w:sdt>
          <w:sdtPr>
            <w:tag w:val="_PLD_ed111ad35c7d40cb9525e1b94ec5fea6"/>
            <w:id w:val="755016854"/>
          </w:sdtPr>
          <w:sdtEndPr/>
          <w:sdtContent>
            <w:tc>
              <w:tcPr>
                <w:tcW w:w="545" w:type="pct"/>
                <w:vAlign w:val="center"/>
              </w:tcPr>
              <w:p w14:paraId="13A271C4" w14:textId="77777777" w:rsidR="00D54EAF" w:rsidRDefault="00D54EAF" w:rsidP="00245CBD">
                <w:pPr>
                  <w:kinsoku w:val="0"/>
                  <w:overflowPunct w:val="0"/>
                  <w:autoSpaceDE w:val="0"/>
                  <w:autoSpaceDN w:val="0"/>
                  <w:adjustRightInd w:val="0"/>
                  <w:snapToGrid w:val="0"/>
                  <w:jc w:val="center"/>
                  <w:rPr>
                    <w:szCs w:val="21"/>
                  </w:rPr>
                </w:pPr>
                <w:r>
                  <w:rPr>
                    <w:szCs w:val="21"/>
                  </w:rPr>
                  <w:t>调整</w:t>
                </w:r>
                <w:r>
                  <w:rPr>
                    <w:rFonts w:hint="eastAsia"/>
                    <w:szCs w:val="21"/>
                  </w:rPr>
                  <w:t>前</w:t>
                </w:r>
              </w:p>
            </w:tc>
          </w:sdtContent>
        </w:sdt>
        <w:tc>
          <w:tcPr>
            <w:tcW w:w="718" w:type="pct"/>
            <w:vMerge/>
            <w:vAlign w:val="center"/>
          </w:tcPr>
          <w:p w14:paraId="59F338C7" w14:textId="77777777" w:rsidR="00D54EAF" w:rsidRDefault="00D54EAF" w:rsidP="00245CBD">
            <w:pPr>
              <w:kinsoku w:val="0"/>
              <w:overflowPunct w:val="0"/>
              <w:autoSpaceDE w:val="0"/>
              <w:autoSpaceDN w:val="0"/>
              <w:adjustRightInd w:val="0"/>
              <w:snapToGrid w:val="0"/>
              <w:jc w:val="center"/>
              <w:rPr>
                <w:szCs w:val="21"/>
              </w:rPr>
            </w:pPr>
          </w:p>
        </w:tc>
        <w:sdt>
          <w:sdtPr>
            <w:tag w:val="_PLD_6c02958175014771a1483688056fd1ed"/>
            <w:id w:val="1982957936"/>
          </w:sdtPr>
          <w:sdtEndPr/>
          <w:sdtContent>
            <w:tc>
              <w:tcPr>
                <w:tcW w:w="549" w:type="pct"/>
                <w:vAlign w:val="center"/>
              </w:tcPr>
              <w:p w14:paraId="62D61C8F" w14:textId="77777777" w:rsidR="00D54EAF" w:rsidRDefault="00D54EAF" w:rsidP="00245CBD">
                <w:pPr>
                  <w:kinsoku w:val="0"/>
                  <w:overflowPunct w:val="0"/>
                  <w:autoSpaceDE w:val="0"/>
                  <w:autoSpaceDN w:val="0"/>
                  <w:adjustRightInd w:val="0"/>
                  <w:snapToGrid w:val="0"/>
                  <w:jc w:val="center"/>
                  <w:rPr>
                    <w:szCs w:val="21"/>
                  </w:rPr>
                </w:pPr>
                <w:r>
                  <w:rPr>
                    <w:szCs w:val="21"/>
                  </w:rPr>
                  <w:t>调整后</w:t>
                </w:r>
              </w:p>
            </w:tc>
          </w:sdtContent>
        </w:sdt>
        <w:sdt>
          <w:sdtPr>
            <w:tag w:val="_PLD_bd6188a801534444addb8f8b1d0607ab"/>
            <w:id w:val="-408921833"/>
          </w:sdtPr>
          <w:sdtEndPr/>
          <w:sdtContent>
            <w:tc>
              <w:tcPr>
                <w:tcW w:w="530" w:type="pct"/>
                <w:vAlign w:val="center"/>
              </w:tcPr>
              <w:p w14:paraId="4B1273DD" w14:textId="77777777" w:rsidR="00D54EAF" w:rsidRDefault="00D54EAF" w:rsidP="00245CBD">
                <w:pPr>
                  <w:kinsoku w:val="0"/>
                  <w:overflowPunct w:val="0"/>
                  <w:autoSpaceDE w:val="0"/>
                  <w:autoSpaceDN w:val="0"/>
                  <w:adjustRightInd w:val="0"/>
                  <w:snapToGrid w:val="0"/>
                  <w:jc w:val="center"/>
                  <w:rPr>
                    <w:szCs w:val="21"/>
                  </w:rPr>
                </w:pPr>
                <w:r>
                  <w:rPr>
                    <w:szCs w:val="21"/>
                  </w:rPr>
                  <w:t>调整</w:t>
                </w:r>
                <w:r>
                  <w:rPr>
                    <w:rFonts w:hint="eastAsia"/>
                    <w:szCs w:val="21"/>
                  </w:rPr>
                  <w:t>前</w:t>
                </w:r>
              </w:p>
            </w:tc>
          </w:sdtContent>
        </w:sdt>
      </w:tr>
      <w:tr w:rsidR="00D54EAF" w14:paraId="39EA9AC9" w14:textId="77777777" w:rsidTr="00D54EAF">
        <w:sdt>
          <w:sdtPr>
            <w:tag w:val="_PLD_faf201fe10ae4a64be129c8b77c1d009"/>
            <w:id w:val="382993042"/>
          </w:sdtPr>
          <w:sdtEndPr/>
          <w:sdtContent>
            <w:tc>
              <w:tcPr>
                <w:tcW w:w="1524" w:type="pct"/>
              </w:tcPr>
              <w:p w14:paraId="2ACA025E" w14:textId="77777777" w:rsidR="00D54EAF" w:rsidRDefault="00D54EAF" w:rsidP="00245CBD">
                <w:pPr>
                  <w:kinsoku w:val="0"/>
                  <w:overflowPunct w:val="0"/>
                  <w:autoSpaceDE w:val="0"/>
                  <w:autoSpaceDN w:val="0"/>
                  <w:adjustRightInd w:val="0"/>
                  <w:snapToGrid w:val="0"/>
                  <w:rPr>
                    <w:szCs w:val="21"/>
                  </w:rPr>
                </w:pPr>
                <w:r>
                  <w:rPr>
                    <w:szCs w:val="21"/>
                  </w:rPr>
                  <w:t>基本每股收益（元／股）</w:t>
                </w:r>
              </w:p>
            </w:tc>
          </w:sdtContent>
        </w:sdt>
        <w:tc>
          <w:tcPr>
            <w:tcW w:w="585" w:type="pct"/>
            <w:vAlign w:val="center"/>
          </w:tcPr>
          <w:p w14:paraId="22C99EC0" w14:textId="77777777" w:rsidR="00D54EAF" w:rsidRDefault="00D54EAF" w:rsidP="00245CBD">
            <w:pPr>
              <w:kinsoku w:val="0"/>
              <w:overflowPunct w:val="0"/>
              <w:autoSpaceDE w:val="0"/>
              <w:autoSpaceDN w:val="0"/>
              <w:adjustRightInd w:val="0"/>
              <w:snapToGrid w:val="0"/>
              <w:jc w:val="right"/>
              <w:rPr>
                <w:szCs w:val="21"/>
              </w:rPr>
            </w:pPr>
            <w:r>
              <w:t>1.12</w:t>
            </w:r>
          </w:p>
        </w:tc>
        <w:tc>
          <w:tcPr>
            <w:tcW w:w="549" w:type="pct"/>
            <w:vAlign w:val="center"/>
          </w:tcPr>
          <w:p w14:paraId="2BDBF3FC" w14:textId="77777777" w:rsidR="00D54EAF" w:rsidRDefault="00D54EAF" w:rsidP="00245CBD">
            <w:pPr>
              <w:kinsoku w:val="0"/>
              <w:overflowPunct w:val="0"/>
              <w:autoSpaceDE w:val="0"/>
              <w:autoSpaceDN w:val="0"/>
              <w:adjustRightInd w:val="0"/>
              <w:snapToGrid w:val="0"/>
              <w:jc w:val="right"/>
              <w:rPr>
                <w:szCs w:val="21"/>
              </w:rPr>
            </w:pPr>
            <w:r>
              <w:t>0.98</w:t>
            </w:r>
          </w:p>
        </w:tc>
        <w:tc>
          <w:tcPr>
            <w:tcW w:w="545" w:type="pct"/>
            <w:vAlign w:val="center"/>
          </w:tcPr>
          <w:p w14:paraId="302BC1EC" w14:textId="77777777" w:rsidR="00D54EAF" w:rsidRDefault="00D54EAF" w:rsidP="00245CBD">
            <w:pPr>
              <w:kinsoku w:val="0"/>
              <w:overflowPunct w:val="0"/>
              <w:autoSpaceDE w:val="0"/>
              <w:autoSpaceDN w:val="0"/>
              <w:adjustRightInd w:val="0"/>
              <w:snapToGrid w:val="0"/>
              <w:jc w:val="right"/>
              <w:rPr>
                <w:szCs w:val="21"/>
              </w:rPr>
            </w:pPr>
            <w:r>
              <w:t>0.98</w:t>
            </w:r>
          </w:p>
        </w:tc>
        <w:tc>
          <w:tcPr>
            <w:tcW w:w="718" w:type="pct"/>
            <w:vAlign w:val="center"/>
          </w:tcPr>
          <w:p w14:paraId="19BB3721" w14:textId="77777777" w:rsidR="00D54EAF" w:rsidRDefault="00D54EAF" w:rsidP="00245CBD">
            <w:pPr>
              <w:kinsoku w:val="0"/>
              <w:overflowPunct w:val="0"/>
              <w:autoSpaceDE w:val="0"/>
              <w:autoSpaceDN w:val="0"/>
              <w:adjustRightInd w:val="0"/>
              <w:snapToGrid w:val="0"/>
              <w:jc w:val="right"/>
              <w:rPr>
                <w:szCs w:val="21"/>
              </w:rPr>
            </w:pPr>
            <w:r>
              <w:t>14.29</w:t>
            </w:r>
          </w:p>
        </w:tc>
        <w:tc>
          <w:tcPr>
            <w:tcW w:w="549" w:type="pct"/>
            <w:vAlign w:val="center"/>
          </w:tcPr>
          <w:p w14:paraId="3E3EAFE6" w14:textId="77777777" w:rsidR="00D54EAF" w:rsidRDefault="00D54EAF" w:rsidP="00245CBD">
            <w:pPr>
              <w:kinsoku w:val="0"/>
              <w:overflowPunct w:val="0"/>
              <w:autoSpaceDE w:val="0"/>
              <w:autoSpaceDN w:val="0"/>
              <w:adjustRightInd w:val="0"/>
              <w:snapToGrid w:val="0"/>
              <w:jc w:val="right"/>
              <w:rPr>
                <w:szCs w:val="21"/>
              </w:rPr>
            </w:pPr>
            <w:r>
              <w:t>0.82</w:t>
            </w:r>
          </w:p>
        </w:tc>
        <w:tc>
          <w:tcPr>
            <w:tcW w:w="530" w:type="pct"/>
            <w:vAlign w:val="center"/>
          </w:tcPr>
          <w:p w14:paraId="05EEEC44" w14:textId="77777777" w:rsidR="00D54EAF" w:rsidRDefault="00D54EAF" w:rsidP="00245CBD">
            <w:pPr>
              <w:kinsoku w:val="0"/>
              <w:overflowPunct w:val="0"/>
              <w:autoSpaceDE w:val="0"/>
              <w:autoSpaceDN w:val="0"/>
              <w:adjustRightInd w:val="0"/>
              <w:snapToGrid w:val="0"/>
              <w:jc w:val="right"/>
              <w:rPr>
                <w:szCs w:val="21"/>
              </w:rPr>
            </w:pPr>
            <w:r>
              <w:t>0.82</w:t>
            </w:r>
          </w:p>
        </w:tc>
      </w:tr>
      <w:tr w:rsidR="00D54EAF" w14:paraId="08A4CA30" w14:textId="77777777" w:rsidTr="00D54EAF">
        <w:sdt>
          <w:sdtPr>
            <w:tag w:val="_PLD_13afb91ee26c465d9901334437a9e8f8"/>
            <w:id w:val="-489635935"/>
          </w:sdtPr>
          <w:sdtEndPr/>
          <w:sdtContent>
            <w:tc>
              <w:tcPr>
                <w:tcW w:w="1524" w:type="pct"/>
              </w:tcPr>
              <w:p w14:paraId="7840DFB1" w14:textId="77777777" w:rsidR="00D54EAF" w:rsidRDefault="00D54EAF" w:rsidP="00245CBD">
                <w:pPr>
                  <w:kinsoku w:val="0"/>
                  <w:overflowPunct w:val="0"/>
                  <w:autoSpaceDE w:val="0"/>
                  <w:autoSpaceDN w:val="0"/>
                  <w:adjustRightInd w:val="0"/>
                  <w:snapToGrid w:val="0"/>
                  <w:rPr>
                    <w:szCs w:val="21"/>
                  </w:rPr>
                </w:pPr>
                <w:r>
                  <w:rPr>
                    <w:szCs w:val="21"/>
                  </w:rPr>
                  <w:t>稀释每股收益（元／股）</w:t>
                </w:r>
              </w:p>
            </w:tc>
          </w:sdtContent>
        </w:sdt>
        <w:tc>
          <w:tcPr>
            <w:tcW w:w="585" w:type="pct"/>
            <w:vAlign w:val="center"/>
          </w:tcPr>
          <w:p w14:paraId="6BD27EDC" w14:textId="77777777" w:rsidR="00D54EAF" w:rsidRDefault="00D54EAF" w:rsidP="00245CBD">
            <w:pPr>
              <w:kinsoku w:val="0"/>
              <w:overflowPunct w:val="0"/>
              <w:autoSpaceDE w:val="0"/>
              <w:autoSpaceDN w:val="0"/>
              <w:adjustRightInd w:val="0"/>
              <w:snapToGrid w:val="0"/>
              <w:jc w:val="right"/>
              <w:rPr>
                <w:szCs w:val="21"/>
              </w:rPr>
            </w:pPr>
            <w:r>
              <w:t>1.12</w:t>
            </w:r>
          </w:p>
        </w:tc>
        <w:tc>
          <w:tcPr>
            <w:tcW w:w="549" w:type="pct"/>
            <w:vAlign w:val="center"/>
          </w:tcPr>
          <w:p w14:paraId="0559BDFA" w14:textId="77777777" w:rsidR="00D54EAF" w:rsidRDefault="00D54EAF" w:rsidP="00245CBD">
            <w:pPr>
              <w:kinsoku w:val="0"/>
              <w:overflowPunct w:val="0"/>
              <w:autoSpaceDE w:val="0"/>
              <w:autoSpaceDN w:val="0"/>
              <w:adjustRightInd w:val="0"/>
              <w:snapToGrid w:val="0"/>
              <w:jc w:val="right"/>
              <w:rPr>
                <w:szCs w:val="21"/>
              </w:rPr>
            </w:pPr>
            <w:r>
              <w:t>0.98</w:t>
            </w:r>
          </w:p>
        </w:tc>
        <w:tc>
          <w:tcPr>
            <w:tcW w:w="545" w:type="pct"/>
            <w:vAlign w:val="center"/>
          </w:tcPr>
          <w:p w14:paraId="5ED9E3A1" w14:textId="77777777" w:rsidR="00D54EAF" w:rsidRDefault="00D54EAF" w:rsidP="00245CBD">
            <w:pPr>
              <w:kinsoku w:val="0"/>
              <w:overflowPunct w:val="0"/>
              <w:autoSpaceDE w:val="0"/>
              <w:autoSpaceDN w:val="0"/>
              <w:adjustRightInd w:val="0"/>
              <w:snapToGrid w:val="0"/>
              <w:jc w:val="right"/>
              <w:rPr>
                <w:szCs w:val="21"/>
              </w:rPr>
            </w:pPr>
            <w:r>
              <w:t>0.98</w:t>
            </w:r>
          </w:p>
        </w:tc>
        <w:tc>
          <w:tcPr>
            <w:tcW w:w="718" w:type="pct"/>
            <w:vAlign w:val="center"/>
          </w:tcPr>
          <w:p w14:paraId="67FE8016" w14:textId="77777777" w:rsidR="00D54EAF" w:rsidRDefault="00D54EAF" w:rsidP="00245CBD">
            <w:pPr>
              <w:kinsoku w:val="0"/>
              <w:overflowPunct w:val="0"/>
              <w:autoSpaceDE w:val="0"/>
              <w:autoSpaceDN w:val="0"/>
              <w:adjustRightInd w:val="0"/>
              <w:snapToGrid w:val="0"/>
              <w:jc w:val="right"/>
              <w:rPr>
                <w:szCs w:val="21"/>
              </w:rPr>
            </w:pPr>
            <w:r>
              <w:t>14.29</w:t>
            </w:r>
          </w:p>
        </w:tc>
        <w:tc>
          <w:tcPr>
            <w:tcW w:w="549" w:type="pct"/>
            <w:vAlign w:val="center"/>
          </w:tcPr>
          <w:p w14:paraId="2984BBB6" w14:textId="77777777" w:rsidR="00D54EAF" w:rsidRDefault="00D54EAF" w:rsidP="00245CBD">
            <w:pPr>
              <w:kinsoku w:val="0"/>
              <w:overflowPunct w:val="0"/>
              <w:autoSpaceDE w:val="0"/>
              <w:autoSpaceDN w:val="0"/>
              <w:adjustRightInd w:val="0"/>
              <w:snapToGrid w:val="0"/>
              <w:jc w:val="right"/>
              <w:rPr>
                <w:szCs w:val="21"/>
              </w:rPr>
            </w:pPr>
            <w:r>
              <w:t>0.82</w:t>
            </w:r>
          </w:p>
        </w:tc>
        <w:tc>
          <w:tcPr>
            <w:tcW w:w="530" w:type="pct"/>
            <w:vAlign w:val="center"/>
          </w:tcPr>
          <w:p w14:paraId="64220849" w14:textId="77777777" w:rsidR="00D54EAF" w:rsidRDefault="00D54EAF" w:rsidP="00245CBD">
            <w:pPr>
              <w:kinsoku w:val="0"/>
              <w:overflowPunct w:val="0"/>
              <w:autoSpaceDE w:val="0"/>
              <w:autoSpaceDN w:val="0"/>
              <w:adjustRightInd w:val="0"/>
              <w:snapToGrid w:val="0"/>
              <w:jc w:val="right"/>
              <w:rPr>
                <w:szCs w:val="21"/>
              </w:rPr>
            </w:pPr>
            <w:r>
              <w:t>0.82</w:t>
            </w:r>
          </w:p>
        </w:tc>
      </w:tr>
      <w:tr w:rsidR="00D54EAF" w14:paraId="3D7E03FE" w14:textId="77777777" w:rsidTr="00D54EAF">
        <w:sdt>
          <w:sdtPr>
            <w:tag w:val="_PLD_a758c33881b644308739dbc603719336"/>
            <w:id w:val="-367148512"/>
          </w:sdtPr>
          <w:sdtEndPr/>
          <w:sdtContent>
            <w:tc>
              <w:tcPr>
                <w:tcW w:w="1524" w:type="pct"/>
              </w:tcPr>
              <w:p w14:paraId="34ED5BF8" w14:textId="77777777" w:rsidR="00D54EAF" w:rsidRDefault="00D54EAF" w:rsidP="00245CBD">
                <w:pPr>
                  <w:kinsoku w:val="0"/>
                  <w:overflowPunct w:val="0"/>
                  <w:autoSpaceDE w:val="0"/>
                  <w:autoSpaceDN w:val="0"/>
                  <w:adjustRightInd w:val="0"/>
                  <w:snapToGrid w:val="0"/>
                  <w:rPr>
                    <w:szCs w:val="21"/>
                  </w:rPr>
                </w:pPr>
                <w:r>
                  <w:rPr>
                    <w:szCs w:val="21"/>
                  </w:rPr>
                  <w:t>扣除非经常性损益后的基本每股收益（元／股）</w:t>
                </w:r>
              </w:p>
            </w:tc>
          </w:sdtContent>
        </w:sdt>
        <w:tc>
          <w:tcPr>
            <w:tcW w:w="585" w:type="pct"/>
            <w:vAlign w:val="center"/>
          </w:tcPr>
          <w:p w14:paraId="10EE0C58" w14:textId="77777777" w:rsidR="00D54EAF" w:rsidRDefault="00D54EAF" w:rsidP="00245CBD">
            <w:pPr>
              <w:kinsoku w:val="0"/>
              <w:overflowPunct w:val="0"/>
              <w:autoSpaceDE w:val="0"/>
              <w:autoSpaceDN w:val="0"/>
              <w:adjustRightInd w:val="0"/>
              <w:snapToGrid w:val="0"/>
              <w:jc w:val="right"/>
              <w:rPr>
                <w:szCs w:val="21"/>
              </w:rPr>
            </w:pPr>
            <w:r>
              <w:t>1.04</w:t>
            </w:r>
          </w:p>
        </w:tc>
        <w:tc>
          <w:tcPr>
            <w:tcW w:w="549" w:type="pct"/>
            <w:vAlign w:val="center"/>
          </w:tcPr>
          <w:p w14:paraId="175C37E1" w14:textId="77777777" w:rsidR="00D54EAF" w:rsidRDefault="00D54EAF" w:rsidP="00245CBD">
            <w:pPr>
              <w:kinsoku w:val="0"/>
              <w:overflowPunct w:val="0"/>
              <w:autoSpaceDE w:val="0"/>
              <w:autoSpaceDN w:val="0"/>
              <w:adjustRightInd w:val="0"/>
              <w:snapToGrid w:val="0"/>
              <w:jc w:val="right"/>
              <w:rPr>
                <w:szCs w:val="21"/>
              </w:rPr>
            </w:pPr>
            <w:r>
              <w:t>0.95</w:t>
            </w:r>
          </w:p>
        </w:tc>
        <w:tc>
          <w:tcPr>
            <w:tcW w:w="545" w:type="pct"/>
            <w:vAlign w:val="center"/>
          </w:tcPr>
          <w:p w14:paraId="47D87726" w14:textId="77777777" w:rsidR="00D54EAF" w:rsidRDefault="00D54EAF" w:rsidP="00245CBD">
            <w:pPr>
              <w:kinsoku w:val="0"/>
              <w:overflowPunct w:val="0"/>
              <w:autoSpaceDE w:val="0"/>
              <w:autoSpaceDN w:val="0"/>
              <w:adjustRightInd w:val="0"/>
              <w:snapToGrid w:val="0"/>
              <w:jc w:val="right"/>
              <w:rPr>
                <w:szCs w:val="21"/>
              </w:rPr>
            </w:pPr>
            <w:r>
              <w:t>0.94</w:t>
            </w:r>
          </w:p>
        </w:tc>
        <w:tc>
          <w:tcPr>
            <w:tcW w:w="718" w:type="pct"/>
            <w:vAlign w:val="center"/>
          </w:tcPr>
          <w:p w14:paraId="565FC06C" w14:textId="77777777" w:rsidR="00D54EAF" w:rsidRDefault="00D54EAF" w:rsidP="00245CBD">
            <w:pPr>
              <w:kinsoku w:val="0"/>
              <w:overflowPunct w:val="0"/>
              <w:autoSpaceDE w:val="0"/>
              <w:autoSpaceDN w:val="0"/>
              <w:adjustRightInd w:val="0"/>
              <w:snapToGrid w:val="0"/>
              <w:jc w:val="right"/>
              <w:rPr>
                <w:szCs w:val="21"/>
              </w:rPr>
            </w:pPr>
            <w:r>
              <w:t>9.47</w:t>
            </w:r>
          </w:p>
        </w:tc>
        <w:tc>
          <w:tcPr>
            <w:tcW w:w="549" w:type="pct"/>
            <w:vAlign w:val="center"/>
          </w:tcPr>
          <w:p w14:paraId="3265E459" w14:textId="77777777" w:rsidR="00D54EAF" w:rsidRDefault="00D54EAF" w:rsidP="00245CBD">
            <w:pPr>
              <w:kinsoku w:val="0"/>
              <w:overflowPunct w:val="0"/>
              <w:autoSpaceDE w:val="0"/>
              <w:autoSpaceDN w:val="0"/>
              <w:adjustRightInd w:val="0"/>
              <w:snapToGrid w:val="0"/>
              <w:jc w:val="right"/>
              <w:rPr>
                <w:szCs w:val="21"/>
              </w:rPr>
            </w:pPr>
            <w:r>
              <w:t>0.70</w:t>
            </w:r>
          </w:p>
        </w:tc>
        <w:tc>
          <w:tcPr>
            <w:tcW w:w="530" w:type="pct"/>
            <w:vAlign w:val="center"/>
          </w:tcPr>
          <w:p w14:paraId="09F60081" w14:textId="77777777" w:rsidR="00D54EAF" w:rsidRDefault="00D54EAF" w:rsidP="00245CBD">
            <w:pPr>
              <w:kinsoku w:val="0"/>
              <w:overflowPunct w:val="0"/>
              <w:autoSpaceDE w:val="0"/>
              <w:autoSpaceDN w:val="0"/>
              <w:adjustRightInd w:val="0"/>
              <w:snapToGrid w:val="0"/>
              <w:jc w:val="right"/>
              <w:rPr>
                <w:szCs w:val="21"/>
              </w:rPr>
            </w:pPr>
            <w:r>
              <w:t>0.70</w:t>
            </w:r>
          </w:p>
        </w:tc>
      </w:tr>
      <w:tr w:rsidR="00D54EAF" w14:paraId="65CCBB95" w14:textId="77777777" w:rsidTr="00D54EAF">
        <w:sdt>
          <w:sdtPr>
            <w:tag w:val="_PLD_39a81627b9934b72a9b1881cb8bbfa79"/>
            <w:id w:val="-1456397160"/>
          </w:sdtPr>
          <w:sdtEndPr/>
          <w:sdtContent>
            <w:tc>
              <w:tcPr>
                <w:tcW w:w="1524" w:type="pct"/>
              </w:tcPr>
              <w:p w14:paraId="266C0AC8" w14:textId="77777777" w:rsidR="00D54EAF" w:rsidRDefault="00D54EAF" w:rsidP="00245CBD">
                <w:pPr>
                  <w:kinsoku w:val="0"/>
                  <w:overflowPunct w:val="0"/>
                  <w:autoSpaceDE w:val="0"/>
                  <w:autoSpaceDN w:val="0"/>
                  <w:adjustRightInd w:val="0"/>
                  <w:snapToGrid w:val="0"/>
                  <w:rPr>
                    <w:szCs w:val="21"/>
                  </w:rPr>
                </w:pPr>
                <w:r>
                  <w:rPr>
                    <w:szCs w:val="21"/>
                  </w:rPr>
                  <w:t>加权平均净资产收益率</w:t>
                </w:r>
              </w:p>
              <w:p w14:paraId="19E65687" w14:textId="77777777" w:rsidR="00D54EAF" w:rsidRDefault="00D54EAF" w:rsidP="00245CBD">
                <w:pPr>
                  <w:kinsoku w:val="0"/>
                  <w:overflowPunct w:val="0"/>
                  <w:autoSpaceDE w:val="0"/>
                  <w:autoSpaceDN w:val="0"/>
                  <w:adjustRightInd w:val="0"/>
                  <w:snapToGrid w:val="0"/>
                  <w:rPr>
                    <w:szCs w:val="21"/>
                  </w:rPr>
                </w:pPr>
                <w:r>
                  <w:rPr>
                    <w:szCs w:val="21"/>
                  </w:rPr>
                  <w:t>（%）</w:t>
                </w:r>
              </w:p>
            </w:tc>
          </w:sdtContent>
        </w:sdt>
        <w:tc>
          <w:tcPr>
            <w:tcW w:w="585" w:type="pct"/>
            <w:vAlign w:val="center"/>
          </w:tcPr>
          <w:p w14:paraId="3492318A" w14:textId="77777777" w:rsidR="00D54EAF" w:rsidRDefault="00D54EAF" w:rsidP="00245CBD">
            <w:pPr>
              <w:kinsoku w:val="0"/>
              <w:overflowPunct w:val="0"/>
              <w:autoSpaceDE w:val="0"/>
              <w:autoSpaceDN w:val="0"/>
              <w:adjustRightInd w:val="0"/>
              <w:snapToGrid w:val="0"/>
              <w:jc w:val="right"/>
              <w:rPr>
                <w:szCs w:val="21"/>
              </w:rPr>
            </w:pPr>
            <w:r>
              <w:t>16.32</w:t>
            </w:r>
          </w:p>
        </w:tc>
        <w:tc>
          <w:tcPr>
            <w:tcW w:w="549" w:type="pct"/>
            <w:vAlign w:val="center"/>
          </w:tcPr>
          <w:p w14:paraId="67835352" w14:textId="77777777" w:rsidR="00D54EAF" w:rsidRDefault="00D54EAF" w:rsidP="00245CBD">
            <w:pPr>
              <w:kinsoku w:val="0"/>
              <w:overflowPunct w:val="0"/>
              <w:autoSpaceDE w:val="0"/>
              <w:autoSpaceDN w:val="0"/>
              <w:adjustRightInd w:val="0"/>
              <w:snapToGrid w:val="0"/>
              <w:jc w:val="right"/>
              <w:rPr>
                <w:szCs w:val="21"/>
              </w:rPr>
            </w:pPr>
            <w:r>
              <w:t>15.19</w:t>
            </w:r>
          </w:p>
        </w:tc>
        <w:tc>
          <w:tcPr>
            <w:tcW w:w="545" w:type="pct"/>
            <w:vAlign w:val="center"/>
          </w:tcPr>
          <w:p w14:paraId="342068FA" w14:textId="77777777" w:rsidR="00D54EAF" w:rsidRDefault="00D54EAF" w:rsidP="00245CBD">
            <w:pPr>
              <w:kinsoku w:val="0"/>
              <w:overflowPunct w:val="0"/>
              <w:autoSpaceDE w:val="0"/>
              <w:autoSpaceDN w:val="0"/>
              <w:adjustRightInd w:val="0"/>
              <w:snapToGrid w:val="0"/>
              <w:jc w:val="right"/>
              <w:rPr>
                <w:szCs w:val="21"/>
              </w:rPr>
            </w:pPr>
            <w:r>
              <w:t>15.81</w:t>
            </w:r>
          </w:p>
        </w:tc>
        <w:tc>
          <w:tcPr>
            <w:tcW w:w="718" w:type="pct"/>
            <w:vAlign w:val="center"/>
          </w:tcPr>
          <w:p w14:paraId="5A67FFC8" w14:textId="77777777" w:rsidR="00D54EAF" w:rsidRDefault="00D54EAF" w:rsidP="00245CBD">
            <w:pPr>
              <w:kinsoku w:val="0"/>
              <w:overflowPunct w:val="0"/>
              <w:autoSpaceDE w:val="0"/>
              <w:autoSpaceDN w:val="0"/>
              <w:adjustRightInd w:val="0"/>
              <w:snapToGrid w:val="0"/>
              <w:jc w:val="right"/>
              <w:rPr>
                <w:szCs w:val="21"/>
              </w:rPr>
            </w:pPr>
            <w:r>
              <w:t>增加1.13个百分点</w:t>
            </w:r>
          </w:p>
        </w:tc>
        <w:tc>
          <w:tcPr>
            <w:tcW w:w="549" w:type="pct"/>
            <w:vAlign w:val="center"/>
          </w:tcPr>
          <w:p w14:paraId="62CC8800" w14:textId="77777777" w:rsidR="00D54EAF" w:rsidRDefault="00D54EAF" w:rsidP="00245CBD">
            <w:pPr>
              <w:kinsoku w:val="0"/>
              <w:overflowPunct w:val="0"/>
              <w:autoSpaceDE w:val="0"/>
              <w:autoSpaceDN w:val="0"/>
              <w:adjustRightInd w:val="0"/>
              <w:snapToGrid w:val="0"/>
              <w:jc w:val="right"/>
              <w:rPr>
                <w:szCs w:val="21"/>
              </w:rPr>
            </w:pPr>
            <w:r>
              <w:t>13.25</w:t>
            </w:r>
          </w:p>
        </w:tc>
        <w:tc>
          <w:tcPr>
            <w:tcW w:w="530" w:type="pct"/>
            <w:vAlign w:val="center"/>
          </w:tcPr>
          <w:p w14:paraId="5B8A5ADD" w14:textId="77777777" w:rsidR="00D54EAF" w:rsidRDefault="00D54EAF" w:rsidP="00245CBD">
            <w:pPr>
              <w:kinsoku w:val="0"/>
              <w:overflowPunct w:val="0"/>
              <w:autoSpaceDE w:val="0"/>
              <w:autoSpaceDN w:val="0"/>
              <w:adjustRightInd w:val="0"/>
              <w:snapToGrid w:val="0"/>
              <w:jc w:val="right"/>
              <w:rPr>
                <w:szCs w:val="21"/>
              </w:rPr>
            </w:pPr>
            <w:r>
              <w:t>13.90</w:t>
            </w:r>
          </w:p>
        </w:tc>
      </w:tr>
      <w:tr w:rsidR="00D54EAF" w14:paraId="5AA8596C" w14:textId="77777777" w:rsidTr="00D54EAF">
        <w:sdt>
          <w:sdtPr>
            <w:tag w:val="_PLD_a4e6deeb8ed1406b80a4b191524af63a"/>
            <w:id w:val="1018128215"/>
          </w:sdtPr>
          <w:sdtEndPr/>
          <w:sdtContent>
            <w:tc>
              <w:tcPr>
                <w:tcW w:w="1524" w:type="pct"/>
              </w:tcPr>
              <w:p w14:paraId="7A452129" w14:textId="77777777" w:rsidR="00D54EAF" w:rsidRDefault="00D54EAF" w:rsidP="00245CBD">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585" w:type="pct"/>
            <w:vAlign w:val="center"/>
          </w:tcPr>
          <w:p w14:paraId="49162086" w14:textId="77777777" w:rsidR="00D54EAF" w:rsidRDefault="00D54EAF" w:rsidP="00245CBD">
            <w:pPr>
              <w:kinsoku w:val="0"/>
              <w:overflowPunct w:val="0"/>
              <w:autoSpaceDE w:val="0"/>
              <w:autoSpaceDN w:val="0"/>
              <w:adjustRightInd w:val="0"/>
              <w:snapToGrid w:val="0"/>
              <w:jc w:val="right"/>
              <w:rPr>
                <w:szCs w:val="21"/>
              </w:rPr>
            </w:pPr>
            <w:r>
              <w:t>15.16</w:t>
            </w:r>
          </w:p>
        </w:tc>
        <w:tc>
          <w:tcPr>
            <w:tcW w:w="549" w:type="pct"/>
            <w:vAlign w:val="center"/>
          </w:tcPr>
          <w:p w14:paraId="70EA8D9E" w14:textId="77777777" w:rsidR="00D54EAF" w:rsidRDefault="00D54EAF" w:rsidP="00245CBD">
            <w:pPr>
              <w:kinsoku w:val="0"/>
              <w:overflowPunct w:val="0"/>
              <w:autoSpaceDE w:val="0"/>
              <w:autoSpaceDN w:val="0"/>
              <w:adjustRightInd w:val="0"/>
              <w:snapToGrid w:val="0"/>
              <w:jc w:val="right"/>
              <w:rPr>
                <w:szCs w:val="21"/>
              </w:rPr>
            </w:pPr>
            <w:r>
              <w:t>15.20</w:t>
            </w:r>
          </w:p>
        </w:tc>
        <w:tc>
          <w:tcPr>
            <w:tcW w:w="545" w:type="pct"/>
            <w:vAlign w:val="center"/>
          </w:tcPr>
          <w:p w14:paraId="7147D78A" w14:textId="77777777" w:rsidR="00D54EAF" w:rsidRDefault="00D54EAF" w:rsidP="00245CBD">
            <w:pPr>
              <w:kinsoku w:val="0"/>
              <w:overflowPunct w:val="0"/>
              <w:autoSpaceDE w:val="0"/>
              <w:autoSpaceDN w:val="0"/>
              <w:adjustRightInd w:val="0"/>
              <w:snapToGrid w:val="0"/>
              <w:jc w:val="right"/>
              <w:rPr>
                <w:szCs w:val="21"/>
              </w:rPr>
            </w:pPr>
            <w:r>
              <w:t>15.20</w:t>
            </w:r>
          </w:p>
        </w:tc>
        <w:tc>
          <w:tcPr>
            <w:tcW w:w="718" w:type="pct"/>
            <w:vAlign w:val="center"/>
          </w:tcPr>
          <w:p w14:paraId="6C24ADC2" w14:textId="77777777" w:rsidR="00D54EAF" w:rsidRDefault="00D54EAF" w:rsidP="00245CBD">
            <w:pPr>
              <w:kinsoku w:val="0"/>
              <w:overflowPunct w:val="0"/>
              <w:autoSpaceDE w:val="0"/>
              <w:autoSpaceDN w:val="0"/>
              <w:adjustRightInd w:val="0"/>
              <w:snapToGrid w:val="0"/>
              <w:jc w:val="right"/>
              <w:rPr>
                <w:szCs w:val="21"/>
              </w:rPr>
            </w:pPr>
            <w:r>
              <w:t>减少0.04个百分点</w:t>
            </w:r>
          </w:p>
        </w:tc>
        <w:tc>
          <w:tcPr>
            <w:tcW w:w="549" w:type="pct"/>
            <w:vAlign w:val="center"/>
          </w:tcPr>
          <w:p w14:paraId="562AE994" w14:textId="77777777" w:rsidR="00D54EAF" w:rsidRDefault="00D54EAF" w:rsidP="00245CBD">
            <w:pPr>
              <w:kinsoku w:val="0"/>
              <w:overflowPunct w:val="0"/>
              <w:autoSpaceDE w:val="0"/>
              <w:autoSpaceDN w:val="0"/>
              <w:adjustRightInd w:val="0"/>
              <w:snapToGrid w:val="0"/>
              <w:jc w:val="right"/>
              <w:rPr>
                <w:szCs w:val="21"/>
              </w:rPr>
            </w:pPr>
            <w:r>
              <w:t>12.16</w:t>
            </w:r>
          </w:p>
        </w:tc>
        <w:tc>
          <w:tcPr>
            <w:tcW w:w="530" w:type="pct"/>
            <w:vAlign w:val="center"/>
          </w:tcPr>
          <w:p w14:paraId="474FC794" w14:textId="77777777" w:rsidR="00D54EAF" w:rsidRDefault="00D54EAF" w:rsidP="00245CBD">
            <w:pPr>
              <w:kinsoku w:val="0"/>
              <w:overflowPunct w:val="0"/>
              <w:autoSpaceDE w:val="0"/>
              <w:autoSpaceDN w:val="0"/>
              <w:adjustRightInd w:val="0"/>
              <w:snapToGrid w:val="0"/>
              <w:jc w:val="right"/>
              <w:rPr>
                <w:szCs w:val="21"/>
              </w:rPr>
            </w:pPr>
            <w:r>
              <w:t>12.16</w:t>
            </w:r>
          </w:p>
        </w:tc>
      </w:tr>
    </w:tbl>
    <w:p w14:paraId="077B6A37" w14:textId="77777777" w:rsidR="00D54EAF" w:rsidRDefault="00D54EAF"/>
    <w:p w14:paraId="24A67BA0" w14:textId="77777777" w:rsidR="00E57DAA" w:rsidRDefault="00AC4185">
      <w:pPr>
        <w:rPr>
          <w:szCs w:val="21"/>
        </w:rPr>
      </w:pPr>
      <w:r>
        <w:rPr>
          <w:rFonts w:hint="eastAsia"/>
          <w:szCs w:val="21"/>
        </w:rPr>
        <w:t>报告期末公司前三年主要会计数据和财务指标的说明</w:t>
      </w:r>
    </w:p>
    <w:sdt>
      <w:sdtPr>
        <w:alias w:val="是否适用：报告期末公司前三年主要会计数据和财务指标的说明[双击切换]"/>
        <w:tag w:val="_GBC_d855ab48af34454bb263a03266267a43"/>
        <w:id w:val="1998227987"/>
        <w:placeholder>
          <w:docPart w:val="GBC22222222222222222222222222222"/>
        </w:placeholder>
      </w:sdtPr>
      <w:sdtEndPr/>
      <w:sdtContent>
        <w:p w14:paraId="21E17315"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末公司前三年主要会计数据和财务指标的说明"/>
        <w:tag w:val="_GBC_3f6a388b622d4cda9ea66de381322aa3"/>
        <w:id w:val="1788544701"/>
        <w:placeholder>
          <w:docPart w:val="B54E27B0B17D4990AA8B9B3129D5D564"/>
        </w:placeholder>
      </w:sdtPr>
      <w:sdtEndPr/>
      <w:sdtContent>
        <w:p w14:paraId="6108AAD1" w14:textId="77777777" w:rsidR="00E57DAA" w:rsidRDefault="00AC4185">
          <w:pPr>
            <w:ind w:firstLineChars="200" w:firstLine="420"/>
          </w:pPr>
          <w:r>
            <w:rPr>
              <w:rFonts w:hint="eastAsia"/>
            </w:rPr>
            <w:t>报告期，公司经营活动产生的现金流量净额变动较大主要是由于公司加强合同结算，积极督促项目回款所致。</w:t>
          </w:r>
        </w:p>
      </w:sdtContent>
    </w:sdt>
    <w:p w14:paraId="248E0AFD" w14:textId="77777777" w:rsidR="00E57DAA" w:rsidRDefault="00E57DAA" w:rsidP="00C25422">
      <w:pPr>
        <w:pStyle w:val="92"/>
      </w:pPr>
    </w:p>
    <w:p w14:paraId="7848576F" w14:textId="77777777" w:rsidR="00E57DAA" w:rsidRDefault="00AC4185">
      <w:pPr>
        <w:pStyle w:val="2"/>
        <w:numPr>
          <w:ilvl w:val="1"/>
          <w:numId w:val="5"/>
        </w:numPr>
      </w:pPr>
      <w:r>
        <w:rPr>
          <w:rFonts w:hint="eastAsia"/>
        </w:rPr>
        <w:t>境内外会计准则下会计数据差异</w:t>
      </w:r>
    </w:p>
    <w:p w14:paraId="0A4F4120" w14:textId="77777777" w:rsidR="00E57DAA" w:rsidRDefault="00AC4185">
      <w:pPr>
        <w:pStyle w:val="3"/>
        <w:numPr>
          <w:ilvl w:val="0"/>
          <w:numId w:val="7"/>
        </w:numPr>
      </w:pPr>
      <w:r>
        <w:rPr>
          <w:rFonts w:hint="eastAsia"/>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884950193"/>
        <w:placeholder>
          <w:docPart w:val="GBC22222222222222222222222222222"/>
        </w:placeholder>
      </w:sdtPr>
      <w:sdtEndPr/>
      <w:sdtContent>
        <w:p w14:paraId="1D822F96"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68417F" w14:textId="77777777" w:rsidR="00E57DAA" w:rsidRDefault="00E57DAA" w:rsidP="00C25422">
      <w:pPr>
        <w:pStyle w:val="92"/>
      </w:pPr>
    </w:p>
    <w:p w14:paraId="08A55ADD" w14:textId="77777777" w:rsidR="00E57DAA" w:rsidRDefault="00AC4185">
      <w:pPr>
        <w:pStyle w:val="3"/>
        <w:numPr>
          <w:ilvl w:val="0"/>
          <w:numId w:val="7"/>
        </w:numPr>
      </w:pPr>
      <w:r>
        <w:t>同时按照境外会计准则与按中国会计准则披露的财务报告中净利润和</w:t>
      </w:r>
      <w:r>
        <w:rPr>
          <w:rFonts w:hint="eastAsia"/>
        </w:rPr>
        <w:t>归</w:t>
      </w:r>
      <w:r>
        <w:t>属于上市公司股东的净资产差异情况</w:t>
      </w:r>
    </w:p>
    <w:sdt>
      <w:sdtPr>
        <w:alias w:val="是否适用：同时按照境外会计准则与按中国会计准则披露的财务报告中净利润和净资产差异情况[双击切换]"/>
        <w:tag w:val="_GBC_a97367c44d2842a1bfb53d78727711bb"/>
        <w:id w:val="906193502"/>
        <w:placeholder>
          <w:docPart w:val="GBC22222222222222222222222222222"/>
        </w:placeholder>
      </w:sdtPr>
      <w:sdtEndPr>
        <w:rPr>
          <w:szCs w:val="21"/>
        </w:rPr>
      </w:sdtEndPr>
      <w:sdtContent>
        <w:p w14:paraId="4A9B8CD4"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7671DD" w14:textId="77777777" w:rsidR="00E57DAA" w:rsidRDefault="00E57DAA" w:rsidP="00C25422">
      <w:pPr>
        <w:pStyle w:val="92"/>
      </w:pPr>
    </w:p>
    <w:p w14:paraId="76FB04BF" w14:textId="77777777" w:rsidR="00E57DAA" w:rsidRDefault="00AC4185">
      <w:pPr>
        <w:pStyle w:val="3"/>
        <w:numPr>
          <w:ilvl w:val="0"/>
          <w:numId w:val="7"/>
        </w:numPr>
      </w:pPr>
      <w:r>
        <w:t>境内外会计准则差异的说明：</w:t>
      </w:r>
    </w:p>
    <w:sdt>
      <w:sdtPr>
        <w:alias w:val="是否适用：境内外会计准则差异的说明[双击切换]"/>
        <w:tag w:val="_GBC_fb9a5edc484f49ab948423fc0bade519"/>
        <w:id w:val="-441534705"/>
        <w:placeholder>
          <w:docPart w:val="GBC22222222222222222222222222222"/>
        </w:placeholder>
      </w:sdtPr>
      <w:sdtEndPr/>
      <w:sdtContent>
        <w:p w14:paraId="16F20EF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34219E" w14:textId="77777777" w:rsidR="00E57DAA" w:rsidRDefault="00E57DAA" w:rsidP="00C25422">
      <w:pPr>
        <w:pStyle w:val="92"/>
      </w:pPr>
    </w:p>
    <w:p w14:paraId="6DFAA414" w14:textId="77777777" w:rsidR="00E57DAA" w:rsidRDefault="00AC4185">
      <w:pPr>
        <w:pStyle w:val="2"/>
        <w:numPr>
          <w:ilvl w:val="1"/>
          <w:numId w:val="5"/>
        </w:numPr>
      </w:pPr>
      <w:r>
        <w:rPr>
          <w:rFonts w:hint="eastAsia"/>
        </w:rPr>
        <w:t>2023</w:t>
      </w:r>
      <w:r>
        <w:rPr>
          <w:rFonts w:hint="eastAsia"/>
        </w:rPr>
        <w:t>年分季度主要财务数据</w:t>
      </w:r>
    </w:p>
    <w:p w14:paraId="437592DE" w14:textId="77777777" w:rsidR="00D54EAF" w:rsidRDefault="00D54EAF">
      <w:pPr>
        <w:jc w:val="right"/>
        <w:rPr>
          <w:szCs w:val="21"/>
        </w:rPr>
      </w:pPr>
      <w:bookmarkStart w:id="23" w:name="_Hlk152579713"/>
      <w:r>
        <w:rPr>
          <w:rFonts w:hint="eastAsia"/>
          <w:szCs w:val="21"/>
        </w:rPr>
        <w:t>单位：</w:t>
      </w:r>
      <w:sdt>
        <w:sdtPr>
          <w:rPr>
            <w:rFonts w:hint="eastAsia"/>
            <w:szCs w:val="21"/>
          </w:rPr>
          <w:alias w:val="单位：分季度主要财务数据"/>
          <w:tag w:val="_GBC_c7bf8a69799342519e2da375e77f8d89"/>
          <w:id w:val="3237852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分季度主要财务数据"/>
          <w:tag w:val="_GBC_e825fbcd15674ffd86165e4ed7dcbbaf"/>
          <w:id w:val="3237854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985"/>
        <w:gridCol w:w="1559"/>
        <w:gridCol w:w="1559"/>
        <w:gridCol w:w="1683"/>
      </w:tblGrid>
      <w:tr w:rsidR="00D54EAF" w14:paraId="573AF9C3" w14:textId="77777777" w:rsidTr="00D54EAF">
        <w:tc>
          <w:tcPr>
            <w:tcW w:w="2263" w:type="dxa"/>
            <w:vAlign w:val="center"/>
          </w:tcPr>
          <w:p w14:paraId="10903561" w14:textId="77777777" w:rsidR="00D54EAF" w:rsidRDefault="00D54EAF">
            <w:pPr>
              <w:widowControl w:val="0"/>
              <w:jc w:val="center"/>
            </w:pPr>
          </w:p>
        </w:tc>
        <w:sdt>
          <w:sdtPr>
            <w:tag w:val="_PLD_2d7ae3b1c4bd43a98e284f10d0bdc51f"/>
            <w:id w:val="-1167089378"/>
          </w:sdtPr>
          <w:sdtEndPr/>
          <w:sdtContent>
            <w:tc>
              <w:tcPr>
                <w:tcW w:w="1985" w:type="dxa"/>
                <w:vAlign w:val="center"/>
              </w:tcPr>
              <w:p w14:paraId="075C7ED7" w14:textId="77777777" w:rsidR="00D54EAF" w:rsidRDefault="00D54EAF">
                <w:pPr>
                  <w:widowControl w:val="0"/>
                  <w:jc w:val="center"/>
                </w:pPr>
                <w:r>
                  <w:rPr>
                    <w:rFonts w:hint="eastAsia"/>
                  </w:rPr>
                  <w:t>第一季度</w:t>
                </w:r>
              </w:p>
              <w:p w14:paraId="027AC537" w14:textId="77777777" w:rsidR="00D54EAF" w:rsidRDefault="00D54EAF">
                <w:pPr>
                  <w:widowControl w:val="0"/>
                  <w:jc w:val="center"/>
                </w:pPr>
                <w:r>
                  <w:rPr>
                    <w:rFonts w:hint="eastAsia"/>
                  </w:rPr>
                  <w:t>（1-3月份）</w:t>
                </w:r>
              </w:p>
            </w:tc>
          </w:sdtContent>
        </w:sdt>
        <w:sdt>
          <w:sdtPr>
            <w:tag w:val="_PLD_07258d0e3e7e4393960c3400b24cda70"/>
            <w:id w:val="1524132882"/>
          </w:sdtPr>
          <w:sdtEndPr/>
          <w:sdtContent>
            <w:tc>
              <w:tcPr>
                <w:tcW w:w="1559" w:type="dxa"/>
                <w:vAlign w:val="center"/>
              </w:tcPr>
              <w:p w14:paraId="3AEC90EB" w14:textId="77777777" w:rsidR="00D54EAF" w:rsidRDefault="00D54EAF">
                <w:pPr>
                  <w:widowControl w:val="0"/>
                  <w:jc w:val="center"/>
                </w:pPr>
                <w:r>
                  <w:rPr>
                    <w:rFonts w:hint="eastAsia"/>
                  </w:rPr>
                  <w:t>第二季度</w:t>
                </w:r>
              </w:p>
              <w:p w14:paraId="20805B38" w14:textId="77777777" w:rsidR="00D54EAF" w:rsidRDefault="00D54EAF">
                <w:pPr>
                  <w:widowControl w:val="0"/>
                  <w:jc w:val="center"/>
                </w:pPr>
                <w:r>
                  <w:rPr>
                    <w:rFonts w:hint="eastAsia"/>
                  </w:rPr>
                  <w:t>（4-6月份）</w:t>
                </w:r>
              </w:p>
            </w:tc>
          </w:sdtContent>
        </w:sdt>
        <w:sdt>
          <w:sdtPr>
            <w:tag w:val="_PLD_f34790307d174eceaa953001c5186096"/>
            <w:id w:val="1278598124"/>
          </w:sdtPr>
          <w:sdtEndPr/>
          <w:sdtContent>
            <w:tc>
              <w:tcPr>
                <w:tcW w:w="1559" w:type="dxa"/>
                <w:vAlign w:val="center"/>
              </w:tcPr>
              <w:p w14:paraId="773847A3" w14:textId="77777777" w:rsidR="00D54EAF" w:rsidRDefault="00D54EAF">
                <w:pPr>
                  <w:widowControl w:val="0"/>
                  <w:jc w:val="center"/>
                </w:pPr>
                <w:r>
                  <w:rPr>
                    <w:rFonts w:hint="eastAsia"/>
                  </w:rPr>
                  <w:t>第三季度</w:t>
                </w:r>
              </w:p>
              <w:p w14:paraId="45211F51" w14:textId="77777777" w:rsidR="00D54EAF" w:rsidRDefault="00D54EAF">
                <w:pPr>
                  <w:widowControl w:val="0"/>
                  <w:jc w:val="center"/>
                </w:pPr>
                <w:r>
                  <w:rPr>
                    <w:rFonts w:hint="eastAsia"/>
                  </w:rPr>
                  <w:t>（7-9月份）</w:t>
                </w:r>
              </w:p>
            </w:tc>
          </w:sdtContent>
        </w:sdt>
        <w:sdt>
          <w:sdtPr>
            <w:tag w:val="_PLD_18cc80c8863d4859a79676f49ef83412"/>
            <w:id w:val="1558669669"/>
          </w:sdtPr>
          <w:sdtEndPr/>
          <w:sdtContent>
            <w:tc>
              <w:tcPr>
                <w:tcW w:w="1683" w:type="dxa"/>
                <w:vAlign w:val="center"/>
              </w:tcPr>
              <w:p w14:paraId="22BB3DDF" w14:textId="77777777" w:rsidR="00D54EAF" w:rsidRDefault="00D54EAF">
                <w:pPr>
                  <w:widowControl w:val="0"/>
                  <w:jc w:val="center"/>
                </w:pPr>
                <w:r>
                  <w:rPr>
                    <w:rFonts w:hint="eastAsia"/>
                  </w:rPr>
                  <w:t>第四季度</w:t>
                </w:r>
              </w:p>
              <w:p w14:paraId="04414684" w14:textId="77777777" w:rsidR="00D54EAF" w:rsidRDefault="00D54EAF">
                <w:pPr>
                  <w:widowControl w:val="0"/>
                  <w:jc w:val="center"/>
                </w:pPr>
                <w:r>
                  <w:rPr>
                    <w:rFonts w:hint="eastAsia"/>
                  </w:rPr>
                  <w:t>（10-12月份）</w:t>
                </w:r>
              </w:p>
            </w:tc>
          </w:sdtContent>
        </w:sdt>
      </w:tr>
      <w:tr w:rsidR="00D54EAF" w14:paraId="4C11B588" w14:textId="77777777" w:rsidTr="00D54EAF">
        <w:sdt>
          <w:sdtPr>
            <w:tag w:val="_PLD_c9672bff3419446c83a97f99d65a2e0b"/>
            <w:id w:val="-1576739463"/>
          </w:sdtPr>
          <w:sdtEndPr/>
          <w:sdtContent>
            <w:tc>
              <w:tcPr>
                <w:tcW w:w="2263" w:type="dxa"/>
              </w:tcPr>
              <w:p w14:paraId="0C8C9671" w14:textId="77777777" w:rsidR="00D54EAF" w:rsidRDefault="00D54EAF">
                <w:pPr>
                  <w:widowControl w:val="0"/>
                  <w:jc w:val="both"/>
                </w:pPr>
                <w:r>
                  <w:rPr>
                    <w:rFonts w:hint="eastAsia"/>
                    <w:szCs w:val="21"/>
                  </w:rPr>
                  <w:t>营业收入</w:t>
                </w:r>
              </w:p>
            </w:tc>
          </w:sdtContent>
        </w:sdt>
        <w:tc>
          <w:tcPr>
            <w:tcW w:w="1985" w:type="dxa"/>
            <w:vAlign w:val="center"/>
          </w:tcPr>
          <w:p w14:paraId="08743669" w14:textId="77777777" w:rsidR="00D54EAF" w:rsidRDefault="00D54EAF">
            <w:pPr>
              <w:widowControl w:val="0"/>
              <w:jc w:val="right"/>
            </w:pPr>
            <w:r>
              <w:rPr>
                <w:rFonts w:hint="eastAsia"/>
              </w:rPr>
              <w:t>1,001,351.53</w:t>
            </w:r>
          </w:p>
        </w:tc>
        <w:tc>
          <w:tcPr>
            <w:tcW w:w="1559" w:type="dxa"/>
            <w:vAlign w:val="center"/>
          </w:tcPr>
          <w:p w14:paraId="6D5806F3" w14:textId="77777777" w:rsidR="00D54EAF" w:rsidRDefault="00D54EAF">
            <w:pPr>
              <w:widowControl w:val="0"/>
              <w:jc w:val="right"/>
            </w:pPr>
            <w:r>
              <w:rPr>
                <w:rFonts w:hint="eastAsia"/>
              </w:rPr>
              <w:t>1,053,579.95</w:t>
            </w:r>
          </w:p>
        </w:tc>
        <w:tc>
          <w:tcPr>
            <w:tcW w:w="1559" w:type="dxa"/>
            <w:vAlign w:val="center"/>
          </w:tcPr>
          <w:p w14:paraId="650F89F1" w14:textId="77777777" w:rsidR="00D54EAF" w:rsidRDefault="00D54EAF">
            <w:pPr>
              <w:widowControl w:val="0"/>
              <w:jc w:val="right"/>
            </w:pPr>
            <w:r>
              <w:rPr>
                <w:rFonts w:hint="eastAsia"/>
              </w:rPr>
              <w:t>1,096,038.03</w:t>
            </w:r>
          </w:p>
        </w:tc>
        <w:tc>
          <w:tcPr>
            <w:tcW w:w="1683" w:type="dxa"/>
            <w:vAlign w:val="center"/>
          </w:tcPr>
          <w:p w14:paraId="202BD186" w14:textId="77777777" w:rsidR="00D54EAF" w:rsidRDefault="00D54EAF">
            <w:pPr>
              <w:widowControl w:val="0"/>
              <w:jc w:val="right"/>
            </w:pPr>
            <w:r>
              <w:rPr>
                <w:rFonts w:hint="eastAsia"/>
              </w:rPr>
              <w:t>1,428,914.91</w:t>
            </w:r>
          </w:p>
        </w:tc>
      </w:tr>
      <w:tr w:rsidR="00D54EAF" w14:paraId="61EDF9FF" w14:textId="77777777" w:rsidTr="00D54EAF">
        <w:sdt>
          <w:sdtPr>
            <w:tag w:val="_PLD_c7fcc70769004239abd5440602d3b505"/>
            <w:id w:val="-637031270"/>
          </w:sdtPr>
          <w:sdtEndPr/>
          <w:sdtContent>
            <w:tc>
              <w:tcPr>
                <w:tcW w:w="2263" w:type="dxa"/>
              </w:tcPr>
              <w:p w14:paraId="5E6DF08E" w14:textId="77777777" w:rsidR="00D54EAF" w:rsidRDefault="00D54EAF">
                <w:pPr>
                  <w:widowControl w:val="0"/>
                  <w:jc w:val="both"/>
                </w:pPr>
                <w:r>
                  <w:rPr>
                    <w:rFonts w:hint="eastAsia"/>
                    <w:szCs w:val="21"/>
                  </w:rPr>
                  <w:t>归属于上市公司股东的净利润</w:t>
                </w:r>
              </w:p>
            </w:tc>
          </w:sdtContent>
        </w:sdt>
        <w:tc>
          <w:tcPr>
            <w:tcW w:w="1985" w:type="dxa"/>
            <w:vAlign w:val="center"/>
          </w:tcPr>
          <w:p w14:paraId="3AB262BC" w14:textId="77777777" w:rsidR="00D54EAF" w:rsidRDefault="00D54EAF">
            <w:pPr>
              <w:widowControl w:val="0"/>
              <w:jc w:val="right"/>
            </w:pPr>
            <w:r>
              <w:rPr>
                <w:rFonts w:hint="eastAsia"/>
              </w:rPr>
              <w:t>61,737.61</w:t>
            </w:r>
          </w:p>
        </w:tc>
        <w:tc>
          <w:tcPr>
            <w:tcW w:w="1559" w:type="dxa"/>
            <w:vAlign w:val="center"/>
          </w:tcPr>
          <w:p w14:paraId="68829665" w14:textId="77777777" w:rsidR="00D54EAF" w:rsidRDefault="00D54EAF">
            <w:pPr>
              <w:widowControl w:val="0"/>
              <w:jc w:val="right"/>
            </w:pPr>
            <w:r>
              <w:rPr>
                <w:rFonts w:hint="eastAsia"/>
              </w:rPr>
              <w:t>75,072.55</w:t>
            </w:r>
          </w:p>
        </w:tc>
        <w:tc>
          <w:tcPr>
            <w:tcW w:w="1559" w:type="dxa"/>
            <w:vAlign w:val="center"/>
          </w:tcPr>
          <w:p w14:paraId="74D08132" w14:textId="77777777" w:rsidR="00D54EAF" w:rsidRDefault="00D54EAF">
            <w:pPr>
              <w:widowControl w:val="0"/>
              <w:jc w:val="right"/>
            </w:pPr>
            <w:r>
              <w:rPr>
                <w:rFonts w:hint="eastAsia"/>
              </w:rPr>
              <w:t>63,373.47</w:t>
            </w:r>
          </w:p>
        </w:tc>
        <w:tc>
          <w:tcPr>
            <w:tcW w:w="1683" w:type="dxa"/>
            <w:vAlign w:val="center"/>
          </w:tcPr>
          <w:p w14:paraId="7DF95991" w14:textId="77777777" w:rsidR="00D54EAF" w:rsidRDefault="00D54EAF">
            <w:pPr>
              <w:widowControl w:val="0"/>
              <w:jc w:val="right"/>
            </w:pPr>
            <w:r>
              <w:rPr>
                <w:rFonts w:hint="eastAsia"/>
              </w:rPr>
              <w:t>91,397.53</w:t>
            </w:r>
          </w:p>
        </w:tc>
      </w:tr>
      <w:tr w:rsidR="00D54EAF" w14:paraId="5E3B9813" w14:textId="77777777" w:rsidTr="00D54EAF">
        <w:sdt>
          <w:sdtPr>
            <w:tag w:val="_PLD_cc4437a1c75a41d994bd913b3c6d8e6d"/>
            <w:id w:val="-301463790"/>
          </w:sdtPr>
          <w:sdtEndPr/>
          <w:sdtContent>
            <w:tc>
              <w:tcPr>
                <w:tcW w:w="2263" w:type="dxa"/>
              </w:tcPr>
              <w:p w14:paraId="019CA241" w14:textId="77777777" w:rsidR="00D54EAF" w:rsidRDefault="00D54EAF">
                <w:pPr>
                  <w:widowControl w:val="0"/>
                  <w:jc w:val="both"/>
                </w:pPr>
                <w:r>
                  <w:rPr>
                    <w:rFonts w:hint="eastAsia"/>
                    <w:szCs w:val="21"/>
                  </w:rPr>
                  <w:t>归属于上市公司股东的扣除非经常性损益后的净利润</w:t>
                </w:r>
              </w:p>
            </w:tc>
          </w:sdtContent>
        </w:sdt>
        <w:tc>
          <w:tcPr>
            <w:tcW w:w="1985" w:type="dxa"/>
            <w:vAlign w:val="center"/>
          </w:tcPr>
          <w:p w14:paraId="71093954" w14:textId="77777777" w:rsidR="00D54EAF" w:rsidRDefault="00D54EAF">
            <w:pPr>
              <w:widowControl w:val="0"/>
              <w:jc w:val="right"/>
            </w:pPr>
            <w:r>
              <w:rPr>
                <w:rFonts w:hint="eastAsia"/>
              </w:rPr>
              <w:t>58,188.35</w:t>
            </w:r>
          </w:p>
        </w:tc>
        <w:tc>
          <w:tcPr>
            <w:tcW w:w="1559" w:type="dxa"/>
            <w:vAlign w:val="center"/>
          </w:tcPr>
          <w:p w14:paraId="09E941AF" w14:textId="77777777" w:rsidR="00D54EAF" w:rsidRDefault="00D54EAF">
            <w:pPr>
              <w:widowControl w:val="0"/>
              <w:jc w:val="right"/>
            </w:pPr>
            <w:r>
              <w:rPr>
                <w:rFonts w:hint="eastAsia"/>
              </w:rPr>
              <w:t>74,070.7</w:t>
            </w:r>
            <w:r w:rsidR="00100FB2">
              <w:rPr>
                <w:rFonts w:hint="eastAsia"/>
              </w:rPr>
              <w:t>0</w:t>
            </w:r>
          </w:p>
        </w:tc>
        <w:tc>
          <w:tcPr>
            <w:tcW w:w="1559" w:type="dxa"/>
            <w:vAlign w:val="center"/>
          </w:tcPr>
          <w:p w14:paraId="54898075" w14:textId="77777777" w:rsidR="00D54EAF" w:rsidRDefault="00D54EAF">
            <w:pPr>
              <w:widowControl w:val="0"/>
              <w:jc w:val="right"/>
            </w:pPr>
            <w:r>
              <w:rPr>
                <w:rFonts w:hint="eastAsia"/>
              </w:rPr>
              <w:t>68,371.73</w:t>
            </w:r>
          </w:p>
        </w:tc>
        <w:tc>
          <w:tcPr>
            <w:tcW w:w="1683" w:type="dxa"/>
            <w:vAlign w:val="center"/>
          </w:tcPr>
          <w:p w14:paraId="3A11F6F3" w14:textId="77777777" w:rsidR="00D54EAF" w:rsidRDefault="00D54EAF">
            <w:pPr>
              <w:widowControl w:val="0"/>
              <w:jc w:val="right"/>
            </w:pPr>
            <w:r>
              <w:rPr>
                <w:rFonts w:hint="eastAsia"/>
              </w:rPr>
              <w:t>67,097.86</w:t>
            </w:r>
          </w:p>
        </w:tc>
      </w:tr>
      <w:tr w:rsidR="00D54EAF" w14:paraId="0817A87B" w14:textId="77777777" w:rsidTr="00D54EAF">
        <w:sdt>
          <w:sdtPr>
            <w:tag w:val="_PLD_1a66e199f32a4408bc762faa192c5ead"/>
            <w:id w:val="-1946066543"/>
          </w:sdtPr>
          <w:sdtEndPr/>
          <w:sdtContent>
            <w:tc>
              <w:tcPr>
                <w:tcW w:w="2263" w:type="dxa"/>
              </w:tcPr>
              <w:p w14:paraId="2F45FBE7" w14:textId="77777777" w:rsidR="00D54EAF" w:rsidRDefault="00D54EAF">
                <w:pPr>
                  <w:widowControl w:val="0"/>
                  <w:jc w:val="both"/>
                </w:pPr>
                <w:r>
                  <w:rPr>
                    <w:rFonts w:hint="eastAsia"/>
                    <w:szCs w:val="21"/>
                  </w:rPr>
                  <w:t>经营活动产生的现金流量净额</w:t>
                </w:r>
              </w:p>
            </w:tc>
          </w:sdtContent>
        </w:sdt>
        <w:tc>
          <w:tcPr>
            <w:tcW w:w="1985" w:type="dxa"/>
            <w:vAlign w:val="center"/>
          </w:tcPr>
          <w:p w14:paraId="2ADD8F15" w14:textId="77777777" w:rsidR="00D54EAF" w:rsidRDefault="00D54EAF">
            <w:pPr>
              <w:widowControl w:val="0"/>
              <w:jc w:val="right"/>
            </w:pPr>
            <w:r>
              <w:rPr>
                <w:rFonts w:hint="eastAsia"/>
              </w:rPr>
              <w:t>-199,124.09</w:t>
            </w:r>
          </w:p>
        </w:tc>
        <w:tc>
          <w:tcPr>
            <w:tcW w:w="1559" w:type="dxa"/>
            <w:vAlign w:val="center"/>
          </w:tcPr>
          <w:p w14:paraId="10C6DB05" w14:textId="77777777" w:rsidR="00D54EAF" w:rsidRDefault="00D54EAF">
            <w:pPr>
              <w:widowControl w:val="0"/>
              <w:jc w:val="right"/>
            </w:pPr>
            <w:r>
              <w:rPr>
                <w:rFonts w:hint="eastAsia"/>
              </w:rPr>
              <w:t>105,135.02</w:t>
            </w:r>
          </w:p>
        </w:tc>
        <w:tc>
          <w:tcPr>
            <w:tcW w:w="1559" w:type="dxa"/>
            <w:vAlign w:val="center"/>
          </w:tcPr>
          <w:p w14:paraId="37CCFFBF" w14:textId="77777777" w:rsidR="00D54EAF" w:rsidRDefault="00D54EAF">
            <w:pPr>
              <w:widowControl w:val="0"/>
              <w:jc w:val="right"/>
            </w:pPr>
            <w:r>
              <w:rPr>
                <w:rFonts w:hint="eastAsia"/>
              </w:rPr>
              <w:t>92,564.08</w:t>
            </w:r>
          </w:p>
        </w:tc>
        <w:tc>
          <w:tcPr>
            <w:tcW w:w="1683" w:type="dxa"/>
            <w:vAlign w:val="center"/>
          </w:tcPr>
          <w:p w14:paraId="4E7C0D51" w14:textId="77777777" w:rsidR="00D54EAF" w:rsidRDefault="00D54EAF">
            <w:pPr>
              <w:widowControl w:val="0"/>
              <w:jc w:val="right"/>
            </w:pPr>
            <w:r>
              <w:rPr>
                <w:rFonts w:hint="eastAsia"/>
              </w:rPr>
              <w:t>355,010.8</w:t>
            </w:r>
            <w:r w:rsidR="00100FB2">
              <w:rPr>
                <w:rFonts w:hint="eastAsia"/>
              </w:rPr>
              <w:t>0</w:t>
            </w:r>
          </w:p>
        </w:tc>
      </w:tr>
    </w:tbl>
    <w:p w14:paraId="0EA7382D" w14:textId="77777777" w:rsidR="0031545E" w:rsidRDefault="0031545E">
      <w:pPr>
        <w:rPr>
          <w:rFonts w:ascii="Calibri" w:hAnsi="Calibri" w:cs="Times New Roman"/>
          <w:bCs/>
          <w:kern w:val="2"/>
          <w:szCs w:val="32"/>
        </w:rPr>
      </w:pPr>
    </w:p>
    <w:p w14:paraId="4022C062" w14:textId="77777777" w:rsidR="00D54EAF" w:rsidRDefault="00D54EAF">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8547531"/>
      </w:sdtPr>
      <w:sdtEndPr/>
      <w:sdtContent>
        <w:p w14:paraId="103B459F" w14:textId="77777777" w:rsidR="00D54EAF" w:rsidRDefault="00D54EAF" w:rsidP="0031545E">
          <w:pPr>
            <w:rPr>
              <w:szCs w:val="21"/>
            </w:rPr>
          </w:pPr>
          <w:r>
            <w:rPr>
              <w:szCs w:val="21"/>
            </w:rPr>
            <w:fldChar w:fldCharType="begin"/>
          </w:r>
          <w:r w:rsidR="0031545E">
            <w:rPr>
              <w:szCs w:val="21"/>
            </w:rPr>
            <w:instrText xml:space="preserve"> MACROBUTTON SnrToggleCheckbox □适用  </w:instrText>
          </w:r>
          <w:r>
            <w:rPr>
              <w:szCs w:val="21"/>
            </w:rPr>
            <w:fldChar w:fldCharType="end"/>
          </w:r>
          <w:r>
            <w:rPr>
              <w:szCs w:val="21"/>
            </w:rPr>
            <w:fldChar w:fldCharType="begin"/>
          </w:r>
          <w:r w:rsidR="0031545E">
            <w:rPr>
              <w:szCs w:val="21"/>
            </w:rPr>
            <w:instrText xml:space="preserve">MACROBUTTON  SnrToggleCheckbox √不适用 </w:instrText>
          </w:r>
          <w:r>
            <w:rPr>
              <w:szCs w:val="21"/>
            </w:rPr>
            <w:fldChar w:fldCharType="end"/>
          </w:r>
        </w:p>
      </w:sdtContent>
    </w:sdt>
    <w:p w14:paraId="4CEAAC51" w14:textId="77777777" w:rsidR="00D54EAF" w:rsidRPr="00D54EAF" w:rsidRDefault="00D54EAF" w:rsidP="00D54EAF"/>
    <w:bookmarkEnd w:id="23"/>
    <w:p w14:paraId="61E18B2C" w14:textId="77777777" w:rsidR="00D54EAF" w:rsidRDefault="00D54EAF" w:rsidP="00D54EAF">
      <w:pPr>
        <w:pStyle w:val="2"/>
        <w:numPr>
          <w:ilvl w:val="1"/>
          <w:numId w:val="5"/>
        </w:numPr>
        <w:ind w:left="498" w:hangingChars="236" w:hanging="498"/>
      </w:pPr>
      <w:r>
        <w:rPr>
          <w:rFonts w:hint="eastAsia"/>
        </w:rPr>
        <w:t>非经常性损益项目和金额</w:t>
      </w:r>
    </w:p>
    <w:sdt>
      <w:sdtPr>
        <w:rPr>
          <w:szCs w:val="21"/>
        </w:rPr>
        <w:alias w:val="是否适用：扣除非经常性损益项目和金额[双击切换]"/>
        <w:tag w:val="_GBC_d311c3479a4945ceb1266734910915b6"/>
        <w:id w:val="-1352873089"/>
      </w:sdtPr>
      <w:sdtEndPr/>
      <w:sdtContent>
        <w:p w14:paraId="24A4F878" w14:textId="77777777" w:rsidR="00D54EAF" w:rsidRDefault="00D54EAF">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p w14:paraId="67DCD321" w14:textId="77777777" w:rsidR="00D54EAF" w:rsidRDefault="00D54EAF">
      <w:pPr>
        <w:jc w:val="right"/>
        <w:rPr>
          <w:szCs w:val="21"/>
        </w:rPr>
      </w:pPr>
      <w:r>
        <w:rPr>
          <w:rFonts w:hint="eastAsia"/>
          <w:szCs w:val="21"/>
        </w:rPr>
        <w:t>单位:</w:t>
      </w:r>
      <w:sdt>
        <w:sdtPr>
          <w:rPr>
            <w:rFonts w:hint="eastAsia"/>
            <w:szCs w:val="21"/>
          </w:rPr>
          <w:alias w:val="单位：扣除非经常性损益项目和金额"/>
          <w:tag w:val="_GBC_120471c8e4434d7bbf8c91141121ab39"/>
          <w:id w:val="1191357"/>
          <w:dataBinding w:prefixMappings="xmlns:clcid-ci-ar='clcid-ci-ar'" w:xpath="/*/clcid-ci-ar:DanWeiKouChuFeiJingChangXingSunYiXiangMuHeJinE[not(@periodRef)]" w:storeItemID="{89EBAB94-44A0-46A2-B712-30D997D04A6D}"/>
          <w:comboBox w:lastValue="10000">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扣除非经常性损益项目和金额"/>
          <w:tag w:val="_GBC_8d756f42e06c4610a2149f35e1d51a62"/>
          <w:id w:val="1191360"/>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f6"/>
        <w:tblW w:w="5000" w:type="pct"/>
        <w:tblLook w:val="04A0" w:firstRow="1" w:lastRow="0" w:firstColumn="1" w:lastColumn="0" w:noHBand="0" w:noVBand="1"/>
      </w:tblPr>
      <w:tblGrid>
        <w:gridCol w:w="3888"/>
        <w:gridCol w:w="1653"/>
        <w:gridCol w:w="1650"/>
        <w:gridCol w:w="1632"/>
      </w:tblGrid>
      <w:tr w:rsidR="00D54EAF" w14:paraId="0F7D8C9C" w14:textId="77777777" w:rsidTr="00580D7D">
        <w:sdt>
          <w:sdtPr>
            <w:tag w:val="_PLD_451a5b1d22614c45b1fbba1d8acc3cbb"/>
            <w:id w:val="1063684174"/>
          </w:sdtPr>
          <w:sdtEndPr/>
          <w:sdtContent>
            <w:tc>
              <w:tcPr>
                <w:tcW w:w="2203" w:type="pct"/>
                <w:vAlign w:val="center"/>
              </w:tcPr>
              <w:p w14:paraId="1D9C9A64" w14:textId="77777777" w:rsidR="00D54EAF" w:rsidRDefault="00D54EAF" w:rsidP="00580D7D">
                <w:pPr>
                  <w:pStyle w:val="affc"/>
                  <w:ind w:firstLineChars="0" w:firstLine="0"/>
                  <w:jc w:val="center"/>
                  <w:rPr>
                    <w:rFonts w:ascii="宋体" w:hAnsi="宋体"/>
                    <w:szCs w:val="21"/>
                  </w:rPr>
                </w:pPr>
                <w:r>
                  <w:rPr>
                    <w:rFonts w:ascii="宋体" w:hAnsi="宋体" w:hint="eastAsia"/>
                    <w:szCs w:val="21"/>
                  </w:rPr>
                  <w:t>非经常性损益项目</w:t>
                </w:r>
              </w:p>
            </w:tc>
          </w:sdtContent>
        </w:sdt>
        <w:sdt>
          <w:sdtPr>
            <w:tag w:val="_PLD_75a853b22038430db055de446a19d683"/>
            <w:id w:val="1772275122"/>
          </w:sdtPr>
          <w:sdtEndPr/>
          <w:sdtContent>
            <w:tc>
              <w:tcPr>
                <w:tcW w:w="937" w:type="pct"/>
                <w:vAlign w:val="center"/>
              </w:tcPr>
              <w:p w14:paraId="1BDBBC68" w14:textId="77777777" w:rsidR="00D54EAF" w:rsidRDefault="00D54EAF" w:rsidP="00580D7D">
                <w:pPr>
                  <w:pStyle w:val="affc"/>
                  <w:ind w:firstLineChars="0" w:firstLine="0"/>
                  <w:jc w:val="center"/>
                  <w:rPr>
                    <w:rFonts w:ascii="宋体" w:hAnsi="宋体"/>
                    <w:szCs w:val="21"/>
                  </w:rPr>
                </w:pPr>
                <w:r>
                  <w:rPr>
                    <w:rFonts w:ascii="宋体" w:hAnsi="宋体" w:hint="eastAsia"/>
                    <w:szCs w:val="21"/>
                  </w:rPr>
                  <w:t>2023年金额</w:t>
                </w:r>
              </w:p>
            </w:tc>
          </w:sdtContent>
        </w:sdt>
        <w:sdt>
          <w:sdtPr>
            <w:tag w:val="_PLD_7178520950424696adfe1eb7e010035c"/>
            <w:id w:val="1189416765"/>
          </w:sdtPr>
          <w:sdtEndPr/>
          <w:sdtContent>
            <w:tc>
              <w:tcPr>
                <w:tcW w:w="935" w:type="pct"/>
                <w:vAlign w:val="center"/>
              </w:tcPr>
              <w:p w14:paraId="57D79F99" w14:textId="77777777" w:rsidR="00D54EAF" w:rsidRDefault="00D54EAF" w:rsidP="00580D7D">
                <w:pPr>
                  <w:pStyle w:val="affc"/>
                  <w:ind w:firstLineChars="0" w:firstLine="0"/>
                  <w:jc w:val="center"/>
                  <w:rPr>
                    <w:rFonts w:ascii="宋体" w:hAnsi="宋体"/>
                    <w:szCs w:val="21"/>
                  </w:rPr>
                </w:pPr>
                <w:r>
                  <w:rPr>
                    <w:rFonts w:ascii="宋体" w:hAnsi="宋体" w:hint="eastAsia"/>
                    <w:szCs w:val="21"/>
                  </w:rPr>
                  <w:t>2022年金额</w:t>
                </w:r>
              </w:p>
            </w:tc>
          </w:sdtContent>
        </w:sdt>
        <w:sdt>
          <w:sdtPr>
            <w:tag w:val="_PLD_870e9453ef9d4928968c60216a29f211"/>
            <w:id w:val="-410158293"/>
          </w:sdtPr>
          <w:sdtEndPr/>
          <w:sdtContent>
            <w:tc>
              <w:tcPr>
                <w:tcW w:w="925" w:type="pct"/>
                <w:vAlign w:val="center"/>
              </w:tcPr>
              <w:p w14:paraId="061284CE" w14:textId="77777777" w:rsidR="00D54EAF" w:rsidRDefault="00D54EAF" w:rsidP="00580D7D">
                <w:pPr>
                  <w:pStyle w:val="affc"/>
                  <w:ind w:firstLineChars="0" w:firstLine="0"/>
                  <w:jc w:val="center"/>
                  <w:rPr>
                    <w:rFonts w:ascii="宋体" w:hAnsi="宋体"/>
                    <w:szCs w:val="21"/>
                  </w:rPr>
                </w:pPr>
                <w:r>
                  <w:rPr>
                    <w:rFonts w:ascii="宋体" w:hAnsi="宋体" w:hint="eastAsia"/>
                    <w:szCs w:val="21"/>
                  </w:rPr>
                  <w:t>2021年金额</w:t>
                </w:r>
              </w:p>
            </w:tc>
          </w:sdtContent>
        </w:sdt>
      </w:tr>
      <w:tr w:rsidR="00D54EAF" w14:paraId="3F220135" w14:textId="77777777" w:rsidTr="00580D7D">
        <w:sdt>
          <w:sdtPr>
            <w:tag w:val="_PLD_c1592f91a0de4659bb3a5620170d91a8"/>
            <w:id w:val="461695653"/>
          </w:sdtPr>
          <w:sdtEndPr/>
          <w:sdtContent>
            <w:tc>
              <w:tcPr>
                <w:tcW w:w="2203" w:type="pct"/>
              </w:tcPr>
              <w:p w14:paraId="5E87F1DF" w14:textId="77777777" w:rsidR="00D54EAF" w:rsidRDefault="00D54EAF" w:rsidP="00580D7D">
                <w:pPr>
                  <w:pStyle w:val="affc"/>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sdtContent>
        </w:sdt>
        <w:sdt>
          <w:sdtPr>
            <w:rPr>
              <w:szCs w:val="21"/>
            </w:rPr>
            <w:alias w:val="非流动性资产处置损益，包括已计提资产减值准备的冲销部分（非经常性损益项目）"/>
            <w:tag w:val="_GBC_c496f3613fd8455da446236944e78ea6"/>
            <w:id w:val="700903283"/>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937" w:type="pct"/>
                <w:vAlign w:val="center"/>
              </w:tcPr>
              <w:p w14:paraId="2056D081" w14:textId="77777777" w:rsidR="00D54EAF" w:rsidRDefault="00D54EAF" w:rsidP="00580D7D">
                <w:pPr>
                  <w:jc w:val="right"/>
                  <w:rPr>
                    <w:szCs w:val="21"/>
                  </w:rPr>
                </w:pPr>
                <w:r>
                  <w:rPr>
                    <w:szCs w:val="21"/>
                  </w:rPr>
                  <w:t>2,737.61</w:t>
                </w:r>
              </w:p>
            </w:tc>
          </w:sdtContent>
        </w:sdt>
        <w:tc>
          <w:tcPr>
            <w:tcW w:w="935" w:type="pct"/>
            <w:vAlign w:val="center"/>
          </w:tcPr>
          <w:p w14:paraId="3D89AC32" w14:textId="77777777" w:rsidR="00D54EAF" w:rsidRDefault="00D54EAF" w:rsidP="00580D7D">
            <w:pPr>
              <w:jc w:val="right"/>
              <w:rPr>
                <w:szCs w:val="21"/>
              </w:rPr>
            </w:pPr>
            <w:r>
              <w:rPr>
                <w:rFonts w:hint="eastAsia"/>
                <w:szCs w:val="21"/>
              </w:rPr>
              <w:t>2,696.23</w:t>
            </w:r>
          </w:p>
        </w:tc>
        <w:tc>
          <w:tcPr>
            <w:tcW w:w="925" w:type="pct"/>
            <w:vAlign w:val="center"/>
          </w:tcPr>
          <w:p w14:paraId="659FD101" w14:textId="77777777" w:rsidR="00D54EAF" w:rsidRDefault="00D54EAF" w:rsidP="00580D7D">
            <w:pPr>
              <w:jc w:val="right"/>
              <w:rPr>
                <w:szCs w:val="21"/>
              </w:rPr>
            </w:pPr>
            <w:r>
              <w:rPr>
                <w:rFonts w:hint="eastAsia"/>
                <w:szCs w:val="21"/>
              </w:rPr>
              <w:t>-375.4</w:t>
            </w:r>
            <w:r w:rsidR="00362D07">
              <w:rPr>
                <w:rFonts w:hint="eastAsia"/>
                <w:szCs w:val="21"/>
              </w:rPr>
              <w:t>0</w:t>
            </w:r>
          </w:p>
        </w:tc>
      </w:tr>
      <w:tr w:rsidR="00D54EAF" w14:paraId="29F9661D" w14:textId="77777777" w:rsidTr="00580D7D">
        <w:sdt>
          <w:sdtPr>
            <w:tag w:val="_PLD_55787d84c6374d54abef27ab1f5bfb44"/>
            <w:id w:val="1579172863"/>
          </w:sdtPr>
          <w:sdtEndPr/>
          <w:sdtContent>
            <w:tc>
              <w:tcPr>
                <w:tcW w:w="2203" w:type="pct"/>
              </w:tcPr>
              <w:p w14:paraId="16953309" w14:textId="77777777" w:rsidR="00D54EAF" w:rsidRDefault="00D54EAF" w:rsidP="00580D7D">
                <w:pPr>
                  <w:pStyle w:val="affc"/>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84dd135702d42389be13fe5b1af7dfd"/>
            <w:id w:val="-255141789"/>
            <w:dataBinding w:prefixMappings="xmlns:clcid-pte='clcid-pte'" w:xpath="/*/clcid-pte:FeiJingChangXingSunYiZhongGeZhongXingShiDeZhengFuBuTie[not(@periodRef)]" w:storeItemID="{89EBAB94-44A0-46A2-B712-30D997D04A6D}"/>
            <w:text/>
          </w:sdtPr>
          <w:sdtEndPr/>
          <w:sdtContent>
            <w:tc>
              <w:tcPr>
                <w:tcW w:w="937" w:type="pct"/>
                <w:vAlign w:val="center"/>
              </w:tcPr>
              <w:p w14:paraId="74D39F82" w14:textId="77777777" w:rsidR="00D54EAF" w:rsidRDefault="00D54EAF" w:rsidP="00580D7D">
                <w:pPr>
                  <w:jc w:val="right"/>
                  <w:rPr>
                    <w:szCs w:val="21"/>
                  </w:rPr>
                </w:pPr>
                <w:r>
                  <w:rPr>
                    <w:szCs w:val="21"/>
                  </w:rPr>
                  <w:t>14,369.46</w:t>
                </w:r>
              </w:p>
            </w:tc>
          </w:sdtContent>
        </w:sdt>
        <w:tc>
          <w:tcPr>
            <w:tcW w:w="935" w:type="pct"/>
            <w:vAlign w:val="center"/>
          </w:tcPr>
          <w:p w14:paraId="759B23C0" w14:textId="77777777" w:rsidR="00D54EAF" w:rsidRDefault="00D54EAF" w:rsidP="00580D7D">
            <w:pPr>
              <w:jc w:val="right"/>
              <w:rPr>
                <w:szCs w:val="21"/>
              </w:rPr>
            </w:pPr>
            <w:r>
              <w:rPr>
                <w:rFonts w:hint="eastAsia"/>
                <w:szCs w:val="21"/>
              </w:rPr>
              <w:t>6,658.51</w:t>
            </w:r>
          </w:p>
        </w:tc>
        <w:tc>
          <w:tcPr>
            <w:tcW w:w="925" w:type="pct"/>
            <w:vAlign w:val="center"/>
          </w:tcPr>
          <w:p w14:paraId="5BB781BF" w14:textId="77777777" w:rsidR="00D54EAF" w:rsidRDefault="00D54EAF" w:rsidP="00580D7D">
            <w:pPr>
              <w:jc w:val="right"/>
              <w:rPr>
                <w:szCs w:val="21"/>
              </w:rPr>
            </w:pPr>
            <w:r>
              <w:rPr>
                <w:rFonts w:hint="eastAsia"/>
                <w:szCs w:val="21"/>
              </w:rPr>
              <w:t>7,627.04</w:t>
            </w:r>
          </w:p>
        </w:tc>
      </w:tr>
      <w:tr w:rsidR="00D54EAF" w14:paraId="1E9EC8F1" w14:textId="77777777" w:rsidTr="00580D7D">
        <w:tc>
          <w:tcPr>
            <w:tcW w:w="2203" w:type="pct"/>
          </w:tcPr>
          <w:sdt>
            <w:sdtPr>
              <w:rPr>
                <w:rFonts w:hint="eastAsia"/>
              </w:rPr>
              <w:tag w:val="_PLD_a7d8134159f24bc0b38248ac1753e634"/>
              <w:id w:val="468016717"/>
            </w:sdtPr>
            <w:sdtEndPr/>
            <w:sdtContent>
              <w:p w14:paraId="5FCF2553" w14:textId="77777777" w:rsidR="00D54EAF" w:rsidRDefault="00D54EAF" w:rsidP="00580D7D">
                <w:pPr>
                  <w:pStyle w:val="affc"/>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sdtContent>
          </w:sdt>
        </w:tc>
        <w:sdt>
          <w:sdtPr>
            <w:rPr>
              <w:szCs w:val="21"/>
            </w:rPr>
            <w:alias w:val="除同公司正常经营业务相关的有效套期保值业务外，持有交易性金融资产、衍生金融资产、交易性金融负债、衍生金融负债产生的公允价值变动损"/>
            <w:tag w:val="_GBC_1b0ec51ade214acf8600e6a3b1aa5521"/>
            <w:id w:val="-132722988"/>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937" w:type="pct"/>
                <w:vAlign w:val="center"/>
              </w:tcPr>
              <w:p w14:paraId="28D7C33C" w14:textId="77777777" w:rsidR="00D54EAF" w:rsidRDefault="00D54EAF" w:rsidP="00580D7D">
                <w:pPr>
                  <w:jc w:val="right"/>
                  <w:rPr>
                    <w:szCs w:val="21"/>
                  </w:rPr>
                </w:pPr>
                <w:r>
                  <w:rPr>
                    <w:szCs w:val="21"/>
                  </w:rPr>
                  <w:t>-12,381.31</w:t>
                </w:r>
              </w:p>
            </w:tc>
          </w:sdtContent>
        </w:sdt>
        <w:tc>
          <w:tcPr>
            <w:tcW w:w="935" w:type="pct"/>
            <w:vAlign w:val="center"/>
          </w:tcPr>
          <w:p w14:paraId="7869A5B7" w14:textId="77777777" w:rsidR="00D54EAF" w:rsidRDefault="00D54EAF" w:rsidP="00580D7D">
            <w:pPr>
              <w:jc w:val="right"/>
              <w:rPr>
                <w:szCs w:val="21"/>
              </w:rPr>
            </w:pPr>
            <w:r>
              <w:rPr>
                <w:rFonts w:hint="eastAsia"/>
              </w:rPr>
              <w:t>-10,626.54</w:t>
            </w:r>
          </w:p>
        </w:tc>
        <w:tc>
          <w:tcPr>
            <w:tcW w:w="925" w:type="pct"/>
            <w:vAlign w:val="center"/>
          </w:tcPr>
          <w:p w14:paraId="08076448" w14:textId="77777777" w:rsidR="00D54EAF" w:rsidRDefault="00D54EAF" w:rsidP="00580D7D">
            <w:pPr>
              <w:jc w:val="right"/>
              <w:rPr>
                <w:szCs w:val="21"/>
              </w:rPr>
            </w:pPr>
            <w:r>
              <w:rPr>
                <w:rFonts w:hint="eastAsia"/>
              </w:rPr>
              <w:t>5,440.62</w:t>
            </w:r>
          </w:p>
        </w:tc>
      </w:tr>
      <w:tr w:rsidR="00D54EAF" w14:paraId="281CAED6" w14:textId="77777777" w:rsidTr="00580D7D">
        <w:tc>
          <w:tcPr>
            <w:tcW w:w="2203" w:type="pct"/>
          </w:tcPr>
          <w:sdt>
            <w:sdtPr>
              <w:rPr>
                <w:rFonts w:hint="eastAsia"/>
              </w:rPr>
              <w:tag w:val="_PLD_80928f4e6aa84654839627a9d42d986f"/>
              <w:id w:val="1385916341"/>
            </w:sdtPr>
            <w:sdtEndPr/>
            <w:sdtContent>
              <w:p w14:paraId="4C8F9486" w14:textId="77777777" w:rsidR="00D54EAF" w:rsidRDefault="00D54EAF" w:rsidP="00580D7D">
                <w:pPr>
                  <w:pStyle w:val="affc"/>
                  <w:ind w:firstLineChars="0" w:firstLine="0"/>
                  <w:jc w:val="left"/>
                </w:pPr>
                <w:r>
                  <w:rPr>
                    <w:rFonts w:hint="eastAsia"/>
                  </w:rPr>
                  <w:t>单独进行减值测试的应收款项减值准备转回</w:t>
                </w:r>
              </w:p>
            </w:sdtContent>
          </w:sdt>
        </w:tc>
        <w:sdt>
          <w:sdtPr>
            <w:rPr>
              <w:szCs w:val="21"/>
            </w:rPr>
            <w:alias w:val="单独进行减值测试的应收款项、合同资产减值准备转回（非经常性损益项目） "/>
            <w:tag w:val="_GBC_3d6d92c666984014b4793fec5e18f7c0"/>
            <w:id w:val="-396365783"/>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937" w:type="pct"/>
                <w:vAlign w:val="center"/>
              </w:tcPr>
              <w:p w14:paraId="3B41C3C1" w14:textId="77777777" w:rsidR="00D54EAF" w:rsidRDefault="00D54EAF" w:rsidP="00580D7D">
                <w:pPr>
                  <w:jc w:val="right"/>
                  <w:rPr>
                    <w:szCs w:val="21"/>
                  </w:rPr>
                </w:pPr>
                <w:r>
                  <w:rPr>
                    <w:szCs w:val="21"/>
                  </w:rPr>
                  <w:t>868.27</w:t>
                </w:r>
              </w:p>
            </w:tc>
          </w:sdtContent>
        </w:sdt>
        <w:tc>
          <w:tcPr>
            <w:tcW w:w="935" w:type="pct"/>
            <w:vAlign w:val="center"/>
          </w:tcPr>
          <w:p w14:paraId="64FF8C3E" w14:textId="77777777" w:rsidR="00D54EAF" w:rsidRDefault="00D54EAF" w:rsidP="00580D7D">
            <w:pPr>
              <w:jc w:val="right"/>
              <w:rPr>
                <w:szCs w:val="21"/>
              </w:rPr>
            </w:pPr>
            <w:r>
              <w:rPr>
                <w:rFonts w:hint="eastAsia"/>
              </w:rPr>
              <w:t>3,751.96</w:t>
            </w:r>
          </w:p>
        </w:tc>
        <w:tc>
          <w:tcPr>
            <w:tcW w:w="925" w:type="pct"/>
            <w:vAlign w:val="center"/>
          </w:tcPr>
          <w:p w14:paraId="3AB40B27" w14:textId="77777777" w:rsidR="00D54EAF" w:rsidRDefault="00D54EAF" w:rsidP="00580D7D">
            <w:pPr>
              <w:jc w:val="right"/>
              <w:rPr>
                <w:szCs w:val="21"/>
              </w:rPr>
            </w:pPr>
            <w:r>
              <w:rPr>
                <w:rFonts w:hint="eastAsia"/>
              </w:rPr>
              <w:t>2,075.85</w:t>
            </w:r>
          </w:p>
        </w:tc>
      </w:tr>
      <w:tr w:rsidR="00D54EAF" w14:paraId="2FAFB792" w14:textId="77777777" w:rsidTr="00580D7D">
        <w:sdt>
          <w:sdtPr>
            <w:tag w:val="_PLD_2d95accc8391490a8d759283985bbe26"/>
            <w:id w:val="-1330059514"/>
          </w:sdtPr>
          <w:sdtEndPr/>
          <w:sdtContent>
            <w:tc>
              <w:tcPr>
                <w:tcW w:w="2203" w:type="pct"/>
              </w:tcPr>
              <w:p w14:paraId="6F6C0F25" w14:textId="77777777" w:rsidR="00D54EAF" w:rsidRDefault="00D54EAF" w:rsidP="00580D7D">
                <w:pPr>
                  <w:pStyle w:val="affc"/>
                  <w:ind w:firstLineChars="0" w:firstLine="0"/>
                  <w:jc w:val="left"/>
                  <w:rPr>
                    <w:szCs w:val="21"/>
                  </w:rPr>
                </w:pPr>
                <w:r>
                  <w:rPr>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923459f1d75c47cda37f504e669c048a"/>
            <w:id w:val="737680221"/>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937" w:type="pct"/>
                <w:vAlign w:val="center"/>
              </w:tcPr>
              <w:p w14:paraId="1F8E029E" w14:textId="77777777" w:rsidR="00D54EAF" w:rsidRDefault="00D54EAF" w:rsidP="00580D7D">
                <w:pPr>
                  <w:jc w:val="right"/>
                  <w:rPr>
                    <w:szCs w:val="21"/>
                  </w:rPr>
                </w:pPr>
                <w:r>
                  <w:rPr>
                    <w:szCs w:val="21"/>
                  </w:rPr>
                  <w:t>23.16</w:t>
                </w:r>
              </w:p>
            </w:tc>
          </w:sdtContent>
        </w:sdt>
        <w:tc>
          <w:tcPr>
            <w:tcW w:w="935" w:type="pct"/>
            <w:vAlign w:val="center"/>
          </w:tcPr>
          <w:p w14:paraId="26072AC3" w14:textId="77777777" w:rsidR="00D54EAF" w:rsidRDefault="00D54EAF" w:rsidP="00580D7D">
            <w:pPr>
              <w:jc w:val="right"/>
              <w:rPr>
                <w:szCs w:val="21"/>
              </w:rPr>
            </w:pPr>
            <w:r>
              <w:rPr>
                <w:rFonts w:hint="eastAsia"/>
                <w:szCs w:val="21"/>
              </w:rPr>
              <w:t>0</w:t>
            </w:r>
          </w:p>
        </w:tc>
        <w:tc>
          <w:tcPr>
            <w:tcW w:w="925" w:type="pct"/>
            <w:vAlign w:val="center"/>
          </w:tcPr>
          <w:p w14:paraId="7C0039A0" w14:textId="77777777" w:rsidR="00D54EAF" w:rsidRDefault="00D54EAF" w:rsidP="00580D7D">
            <w:pPr>
              <w:jc w:val="right"/>
              <w:rPr>
                <w:szCs w:val="21"/>
              </w:rPr>
            </w:pPr>
            <w:r>
              <w:rPr>
                <w:rFonts w:hint="eastAsia"/>
                <w:szCs w:val="21"/>
              </w:rPr>
              <w:t>0</w:t>
            </w:r>
          </w:p>
        </w:tc>
      </w:tr>
      <w:tr w:rsidR="00D54EAF" w14:paraId="2CDF0525" w14:textId="77777777" w:rsidTr="00580D7D">
        <w:sdt>
          <w:sdtPr>
            <w:tag w:val="_PLD_dcffbd5c26d64f63b6f54b856b67ede2"/>
            <w:id w:val="-487475871"/>
          </w:sdtPr>
          <w:sdtEndPr/>
          <w:sdtContent>
            <w:tc>
              <w:tcPr>
                <w:tcW w:w="2203" w:type="pct"/>
              </w:tcPr>
              <w:p w14:paraId="03222D0A" w14:textId="77777777" w:rsidR="00D54EAF" w:rsidRDefault="00D54EAF" w:rsidP="00580D7D">
                <w:pPr>
                  <w:pStyle w:val="affc"/>
                  <w:ind w:firstLineChars="0" w:firstLine="0"/>
                  <w:jc w:val="left"/>
                  <w:rPr>
                    <w:szCs w:val="21"/>
                  </w:rPr>
                </w:pPr>
                <w:r>
                  <w:rPr>
                    <w:szCs w:val="21"/>
                  </w:rPr>
                  <w:t>同一控制下企业合并产生的子公司期初至合并日的当期净损益</w:t>
                </w:r>
              </w:p>
            </w:tc>
          </w:sdtContent>
        </w:sdt>
        <w:sdt>
          <w:sdtPr>
            <w:rPr>
              <w:szCs w:val="21"/>
            </w:rPr>
            <w:alias w:val="同一控制下企业合并产生的子公司期初至合并日的当期净损益（非经常性损益项目）"/>
            <w:tag w:val="_GBC_558ada21214f4fa58c291238eb5d0e53"/>
            <w:id w:val="-1462501974"/>
            <w:dataBinding w:prefixMappings="xmlns:clcid-pte='clcid-pte'" w:xpath="/*/clcid-pte:TongYiKongZhiXiaQiYeHeBingChanShengDeZiGongSiQiChuZhiHeBingRiDeDangQiJingSunYi[not(@periodRef)]" w:storeItemID="{89EBAB94-44A0-46A2-B712-30D997D04A6D}"/>
            <w:text/>
          </w:sdtPr>
          <w:sdtEndPr/>
          <w:sdtContent>
            <w:tc>
              <w:tcPr>
                <w:tcW w:w="937" w:type="pct"/>
                <w:vAlign w:val="center"/>
              </w:tcPr>
              <w:p w14:paraId="512699AB" w14:textId="77777777" w:rsidR="00D54EAF" w:rsidRDefault="00D54EAF" w:rsidP="00580D7D">
                <w:pPr>
                  <w:jc w:val="right"/>
                  <w:rPr>
                    <w:szCs w:val="21"/>
                  </w:rPr>
                </w:pPr>
                <w:r>
                  <w:rPr>
                    <w:szCs w:val="21"/>
                  </w:rPr>
                  <w:t>-1,993.65</w:t>
                </w:r>
              </w:p>
            </w:tc>
          </w:sdtContent>
        </w:sdt>
        <w:tc>
          <w:tcPr>
            <w:tcW w:w="935" w:type="pct"/>
            <w:vAlign w:val="center"/>
          </w:tcPr>
          <w:p w14:paraId="50E22870" w14:textId="77777777" w:rsidR="00D54EAF" w:rsidRDefault="00D54EAF" w:rsidP="00580D7D">
            <w:pPr>
              <w:jc w:val="right"/>
              <w:rPr>
                <w:szCs w:val="21"/>
              </w:rPr>
            </w:pPr>
            <w:r>
              <w:rPr>
                <w:rFonts w:hint="eastAsia"/>
                <w:szCs w:val="21"/>
              </w:rPr>
              <w:t>50,602.88</w:t>
            </w:r>
          </w:p>
        </w:tc>
        <w:tc>
          <w:tcPr>
            <w:tcW w:w="925" w:type="pct"/>
            <w:vAlign w:val="center"/>
          </w:tcPr>
          <w:p w14:paraId="0F363013" w14:textId="77777777" w:rsidR="00D54EAF" w:rsidRDefault="00D54EAF" w:rsidP="00580D7D">
            <w:pPr>
              <w:jc w:val="right"/>
              <w:rPr>
                <w:szCs w:val="21"/>
              </w:rPr>
            </w:pPr>
            <w:r>
              <w:rPr>
                <w:rFonts w:hint="eastAsia"/>
                <w:szCs w:val="21"/>
              </w:rPr>
              <w:t>99,533.41</w:t>
            </w:r>
          </w:p>
        </w:tc>
      </w:tr>
      <w:tr w:rsidR="00D54EAF" w14:paraId="6E3FE33A" w14:textId="77777777" w:rsidTr="00580D7D">
        <w:sdt>
          <w:sdtPr>
            <w:tag w:val="_PLD_4e059ed47c114c52bbd7d83d7a153bbe"/>
            <w:id w:val="711618864"/>
          </w:sdtPr>
          <w:sdtEndPr/>
          <w:sdtContent>
            <w:tc>
              <w:tcPr>
                <w:tcW w:w="2203" w:type="pct"/>
              </w:tcPr>
              <w:p w14:paraId="02D537C8" w14:textId="77777777" w:rsidR="00D54EAF" w:rsidRDefault="00D54EAF" w:rsidP="00580D7D">
                <w:pPr>
                  <w:pStyle w:val="affc"/>
                  <w:ind w:firstLineChars="0" w:firstLine="0"/>
                  <w:jc w:val="left"/>
                  <w:rPr>
                    <w:szCs w:val="21"/>
                  </w:rPr>
                </w:pPr>
                <w:r>
                  <w:rPr>
                    <w:szCs w:val="21"/>
                  </w:rPr>
                  <w:t>债务重组损益</w:t>
                </w:r>
              </w:p>
            </w:tc>
          </w:sdtContent>
        </w:sdt>
        <w:sdt>
          <w:sdtPr>
            <w:rPr>
              <w:szCs w:val="21"/>
            </w:rPr>
            <w:alias w:val="债务重组损益（非经常性损益项目）"/>
            <w:tag w:val="_GBC_bbe9d7c147264bc9b08df780e5650087"/>
            <w:id w:val="-1545678310"/>
            <w:dataBinding w:prefixMappings="xmlns:clcid-pte='clcid-pte'" w:xpath="/*/clcid-pte:FeiJingChangXingSunYiZhongZhaiWuZhongZuSunYi[not(@periodRef)]" w:storeItemID="{89EBAB94-44A0-46A2-B712-30D997D04A6D}"/>
            <w:text/>
          </w:sdtPr>
          <w:sdtEndPr/>
          <w:sdtContent>
            <w:tc>
              <w:tcPr>
                <w:tcW w:w="937" w:type="pct"/>
                <w:vAlign w:val="center"/>
              </w:tcPr>
              <w:p w14:paraId="48C9B73E" w14:textId="77777777" w:rsidR="00D54EAF" w:rsidRDefault="00D54EAF" w:rsidP="00580D7D">
                <w:pPr>
                  <w:jc w:val="right"/>
                  <w:rPr>
                    <w:szCs w:val="21"/>
                  </w:rPr>
                </w:pPr>
                <w:r>
                  <w:rPr>
                    <w:szCs w:val="21"/>
                  </w:rPr>
                  <w:t>5,704.87</w:t>
                </w:r>
              </w:p>
            </w:tc>
          </w:sdtContent>
        </w:sdt>
        <w:tc>
          <w:tcPr>
            <w:tcW w:w="935" w:type="pct"/>
            <w:vAlign w:val="center"/>
          </w:tcPr>
          <w:p w14:paraId="7D879938" w14:textId="77777777" w:rsidR="00D54EAF" w:rsidRDefault="00D54EAF" w:rsidP="00580D7D">
            <w:pPr>
              <w:jc w:val="right"/>
              <w:rPr>
                <w:szCs w:val="21"/>
              </w:rPr>
            </w:pPr>
            <w:r>
              <w:rPr>
                <w:rFonts w:hint="eastAsia"/>
                <w:szCs w:val="21"/>
              </w:rPr>
              <w:t>5,018.37</w:t>
            </w:r>
          </w:p>
        </w:tc>
        <w:tc>
          <w:tcPr>
            <w:tcW w:w="925" w:type="pct"/>
            <w:vAlign w:val="center"/>
          </w:tcPr>
          <w:p w14:paraId="560DE610" w14:textId="77777777" w:rsidR="00D54EAF" w:rsidRDefault="00D54EAF" w:rsidP="00580D7D">
            <w:pPr>
              <w:jc w:val="right"/>
              <w:rPr>
                <w:szCs w:val="21"/>
              </w:rPr>
            </w:pPr>
          </w:p>
        </w:tc>
      </w:tr>
      <w:tr w:rsidR="00D54EAF" w14:paraId="7199E211" w14:textId="77777777" w:rsidTr="00580D7D">
        <w:sdt>
          <w:sdtPr>
            <w:tag w:val="_PLD_e0fdb8eaef5b42529e0d34c8f8fc9068"/>
            <w:id w:val="-1815027800"/>
          </w:sdtPr>
          <w:sdtEndPr/>
          <w:sdtContent>
            <w:tc>
              <w:tcPr>
                <w:tcW w:w="2203" w:type="pct"/>
              </w:tcPr>
              <w:p w14:paraId="23FD2C19" w14:textId="77777777" w:rsidR="00D54EAF" w:rsidRDefault="00D54EAF" w:rsidP="00580D7D">
                <w:pPr>
                  <w:pStyle w:val="affc"/>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db2b03821cd1474fa2cdeef239f8f685"/>
            <w:id w:val="-1757201819"/>
            <w:dataBinding w:prefixMappings="xmlns:clcid-pte='clcid-pte'" w:xpath="/*/clcid-pte:ChuShangShuGeXiangZhiWaiDeQiTaYingYeWaiShouZhiJingE[not(@periodRef)]" w:storeItemID="{89EBAB94-44A0-46A2-B712-30D997D04A6D}"/>
            <w:text/>
          </w:sdtPr>
          <w:sdtEndPr/>
          <w:sdtContent>
            <w:tc>
              <w:tcPr>
                <w:tcW w:w="937" w:type="pct"/>
                <w:vAlign w:val="center"/>
              </w:tcPr>
              <w:p w14:paraId="429170A8" w14:textId="77777777" w:rsidR="00D54EAF" w:rsidRDefault="00D54EAF" w:rsidP="00580D7D">
                <w:pPr>
                  <w:jc w:val="right"/>
                  <w:rPr>
                    <w:szCs w:val="21"/>
                  </w:rPr>
                </w:pPr>
                <w:r>
                  <w:rPr>
                    <w:szCs w:val="21"/>
                  </w:rPr>
                  <w:t>8,607.80</w:t>
                </w:r>
              </w:p>
            </w:tc>
          </w:sdtContent>
        </w:sdt>
        <w:tc>
          <w:tcPr>
            <w:tcW w:w="935" w:type="pct"/>
            <w:vAlign w:val="center"/>
          </w:tcPr>
          <w:p w14:paraId="609BB200" w14:textId="77777777" w:rsidR="00D54EAF" w:rsidRDefault="00D54EAF" w:rsidP="00580D7D">
            <w:pPr>
              <w:jc w:val="right"/>
              <w:rPr>
                <w:szCs w:val="21"/>
              </w:rPr>
            </w:pPr>
            <w:r>
              <w:rPr>
                <w:rFonts w:hint="eastAsia"/>
                <w:szCs w:val="21"/>
              </w:rPr>
              <w:t>1,070.8</w:t>
            </w:r>
            <w:r w:rsidR="00362D07">
              <w:rPr>
                <w:rFonts w:hint="eastAsia"/>
                <w:szCs w:val="21"/>
              </w:rPr>
              <w:t>0</w:t>
            </w:r>
          </w:p>
        </w:tc>
        <w:tc>
          <w:tcPr>
            <w:tcW w:w="925" w:type="pct"/>
            <w:vAlign w:val="center"/>
          </w:tcPr>
          <w:p w14:paraId="50088317" w14:textId="77777777" w:rsidR="00D54EAF" w:rsidRDefault="00D54EAF" w:rsidP="00580D7D">
            <w:pPr>
              <w:jc w:val="right"/>
              <w:rPr>
                <w:szCs w:val="21"/>
              </w:rPr>
            </w:pPr>
            <w:r>
              <w:rPr>
                <w:rFonts w:hint="eastAsia"/>
                <w:szCs w:val="21"/>
              </w:rPr>
              <w:t>1,953.02</w:t>
            </w:r>
          </w:p>
        </w:tc>
      </w:tr>
      <w:tr w:rsidR="00D54EAF" w14:paraId="6EF666E6" w14:textId="77777777" w:rsidTr="00580D7D">
        <w:sdt>
          <w:sdtPr>
            <w:tag w:val="_PLD_f16eae18dc5a4044b5b677ca02ddeab5"/>
            <w:id w:val="-1913686327"/>
          </w:sdtPr>
          <w:sdtEndPr/>
          <w:sdtContent>
            <w:tc>
              <w:tcPr>
                <w:tcW w:w="2203" w:type="pct"/>
              </w:tcPr>
              <w:p w14:paraId="3782A8C7" w14:textId="77777777" w:rsidR="00D54EAF" w:rsidRDefault="00D54EAF" w:rsidP="00580D7D">
                <w:pPr>
                  <w:pStyle w:val="affc"/>
                  <w:ind w:firstLineChars="0" w:firstLine="0"/>
                  <w:jc w:val="left"/>
                  <w:rPr>
                    <w:szCs w:val="21"/>
                  </w:rPr>
                </w:pPr>
                <w:r>
                  <w:rPr>
                    <w:szCs w:val="21"/>
                  </w:rPr>
                  <w:t>其他符合非经常性损益定义的损益项目</w:t>
                </w:r>
              </w:p>
            </w:tc>
          </w:sdtContent>
        </w:sdt>
        <w:sdt>
          <w:sdtPr>
            <w:rPr>
              <w:szCs w:val="21"/>
            </w:rPr>
            <w:alias w:val="其他符合非经常性损益定义的损益项目（非经常性损益项目）"/>
            <w:tag w:val="_GBC_1d59cbb8e1894c4ab0cf65804f09e702"/>
            <w:id w:val="1782223888"/>
            <w:dataBinding w:prefixMappings="xmlns:clcid-pte='clcid-pte'" w:xpath="/*/clcid-pte:QiTaFeiJingChangXingSunYiXiangMu[not(@periodRef)]" w:storeItemID="{89EBAB94-44A0-46A2-B712-30D997D04A6D}"/>
            <w:text/>
          </w:sdtPr>
          <w:sdtEndPr/>
          <w:sdtContent>
            <w:tc>
              <w:tcPr>
                <w:tcW w:w="937" w:type="pct"/>
                <w:vAlign w:val="center"/>
              </w:tcPr>
              <w:p w14:paraId="2A91A4D9" w14:textId="77777777" w:rsidR="00D54EAF" w:rsidRDefault="00D54EAF" w:rsidP="00580D7D">
                <w:pPr>
                  <w:jc w:val="right"/>
                  <w:rPr>
                    <w:szCs w:val="21"/>
                  </w:rPr>
                </w:pPr>
                <w:r>
                  <w:rPr>
                    <w:szCs w:val="21"/>
                  </w:rPr>
                  <w:t>13,095.85</w:t>
                </w:r>
              </w:p>
            </w:tc>
          </w:sdtContent>
        </w:sdt>
        <w:tc>
          <w:tcPr>
            <w:tcW w:w="935" w:type="pct"/>
            <w:vAlign w:val="center"/>
          </w:tcPr>
          <w:p w14:paraId="306DE868" w14:textId="77777777" w:rsidR="00D54EAF" w:rsidRDefault="00D54EAF" w:rsidP="00580D7D">
            <w:pPr>
              <w:jc w:val="right"/>
              <w:rPr>
                <w:szCs w:val="21"/>
              </w:rPr>
            </w:pPr>
          </w:p>
        </w:tc>
        <w:tc>
          <w:tcPr>
            <w:tcW w:w="925" w:type="pct"/>
            <w:vAlign w:val="center"/>
          </w:tcPr>
          <w:p w14:paraId="0379B3E1" w14:textId="77777777" w:rsidR="00D54EAF" w:rsidRDefault="00D54EAF" w:rsidP="00580D7D">
            <w:pPr>
              <w:jc w:val="right"/>
              <w:rPr>
                <w:szCs w:val="21"/>
              </w:rPr>
            </w:pPr>
          </w:p>
        </w:tc>
      </w:tr>
      <w:tr w:rsidR="00D54EAF" w14:paraId="69075924" w14:textId="77777777" w:rsidTr="00580D7D">
        <w:sdt>
          <w:sdtPr>
            <w:tag w:val="_PLD_b2699ece1cea43f4bf68568524fab45b"/>
            <w:id w:val="-1743482962"/>
          </w:sdtPr>
          <w:sdtEndPr/>
          <w:sdtContent>
            <w:tc>
              <w:tcPr>
                <w:tcW w:w="2203" w:type="pct"/>
              </w:tcPr>
              <w:p w14:paraId="7DD66D2D" w14:textId="77777777" w:rsidR="00D54EAF" w:rsidRDefault="00D54EAF" w:rsidP="00580D7D">
                <w:pPr>
                  <w:pStyle w:val="affc"/>
                  <w:ind w:firstLineChars="0" w:firstLine="0"/>
                  <w:jc w:val="left"/>
                  <w:rPr>
                    <w:szCs w:val="21"/>
                  </w:rPr>
                </w:pPr>
                <w:r>
                  <w:rPr>
                    <w:rFonts w:hint="eastAsia"/>
                  </w:rPr>
                  <w:t>减：</w:t>
                </w:r>
                <w:r>
                  <w:rPr>
                    <w:szCs w:val="21"/>
                  </w:rPr>
                  <w:t>所得税影响额</w:t>
                </w:r>
              </w:p>
            </w:tc>
          </w:sdtContent>
        </w:sdt>
        <w:sdt>
          <w:sdtPr>
            <w:rPr>
              <w:szCs w:val="21"/>
            </w:rPr>
            <w:alias w:val="非经常性损益_对所得税的影响"/>
            <w:tag w:val="_GBC_4def74f50ca149eba55d9413762b05db"/>
            <w:id w:val="1549807799"/>
            <w:dataBinding w:prefixMappings="xmlns:clcid-pte='clcid-pte'" w:xpath="/*/clcid-pte:FeiJingChangXingSunYiDeKouChuXiangMuDuiSuoDeShuiDeYingXiang[not(@periodRef)]" w:storeItemID="{89EBAB94-44A0-46A2-B712-30D997D04A6D}"/>
            <w:text/>
          </w:sdtPr>
          <w:sdtEndPr/>
          <w:sdtContent>
            <w:tc>
              <w:tcPr>
                <w:tcW w:w="937" w:type="pct"/>
                <w:vAlign w:val="center"/>
              </w:tcPr>
              <w:p w14:paraId="26275FA5" w14:textId="77777777" w:rsidR="00D54EAF" w:rsidRDefault="00D54EAF" w:rsidP="00580D7D">
                <w:pPr>
                  <w:jc w:val="right"/>
                  <w:rPr>
                    <w:szCs w:val="21"/>
                  </w:rPr>
                </w:pPr>
                <w:r>
                  <w:rPr>
                    <w:szCs w:val="21"/>
                  </w:rPr>
                  <w:t>5,051.20</w:t>
                </w:r>
              </w:p>
            </w:tc>
          </w:sdtContent>
        </w:sdt>
        <w:tc>
          <w:tcPr>
            <w:tcW w:w="935" w:type="pct"/>
            <w:vAlign w:val="center"/>
          </w:tcPr>
          <w:p w14:paraId="4F8D0000" w14:textId="77777777" w:rsidR="00D54EAF" w:rsidRDefault="00D54EAF" w:rsidP="00580D7D">
            <w:pPr>
              <w:jc w:val="right"/>
              <w:rPr>
                <w:szCs w:val="21"/>
              </w:rPr>
            </w:pPr>
            <w:r>
              <w:rPr>
                <w:rFonts w:hint="eastAsia"/>
                <w:szCs w:val="21"/>
              </w:rPr>
              <w:t>1,198.73</w:t>
            </w:r>
          </w:p>
        </w:tc>
        <w:tc>
          <w:tcPr>
            <w:tcW w:w="925" w:type="pct"/>
            <w:vAlign w:val="center"/>
          </w:tcPr>
          <w:p w14:paraId="6F45EFA4" w14:textId="77777777" w:rsidR="00D54EAF" w:rsidRDefault="00D54EAF" w:rsidP="00580D7D">
            <w:pPr>
              <w:jc w:val="right"/>
              <w:rPr>
                <w:szCs w:val="21"/>
              </w:rPr>
            </w:pPr>
            <w:r>
              <w:rPr>
                <w:rFonts w:hint="eastAsia"/>
                <w:szCs w:val="21"/>
              </w:rPr>
              <w:t>2,532.65</w:t>
            </w:r>
          </w:p>
        </w:tc>
      </w:tr>
      <w:tr w:rsidR="00D54EAF" w14:paraId="3A91226E" w14:textId="77777777" w:rsidTr="00580D7D">
        <w:sdt>
          <w:sdtPr>
            <w:tag w:val="_PLD_94e185b6b44f4dd4ab1eef1a78d19692"/>
            <w:id w:val="-65351406"/>
          </w:sdtPr>
          <w:sdtEndPr/>
          <w:sdtContent>
            <w:tc>
              <w:tcPr>
                <w:tcW w:w="2203" w:type="pct"/>
              </w:tcPr>
              <w:p w14:paraId="59F3AFF0" w14:textId="77777777" w:rsidR="00D54EAF" w:rsidRDefault="00D54EAF" w:rsidP="00580D7D">
                <w:pPr>
                  <w:pStyle w:val="affc"/>
                  <w:jc w:val="left"/>
                  <w:rPr>
                    <w:szCs w:val="21"/>
                  </w:rPr>
                </w:pPr>
                <w:r>
                  <w:rPr>
                    <w:szCs w:val="21"/>
                  </w:rPr>
                  <w:t>少数股东权益影响额</w:t>
                </w:r>
                <w:r>
                  <w:rPr>
                    <w:rFonts w:hint="eastAsia"/>
                    <w:szCs w:val="21"/>
                  </w:rPr>
                  <w:t>（税后）</w:t>
                </w:r>
              </w:p>
            </w:tc>
          </w:sdtContent>
        </w:sdt>
        <w:sdt>
          <w:sdtPr>
            <w:rPr>
              <w:szCs w:val="21"/>
            </w:rPr>
            <w:alias w:val="少数股东权益影响额（非经常性损益项目）"/>
            <w:tag w:val="_GBC_3163dc6a2b6f4d2f8c197619d5d0a249"/>
            <w:id w:val="188961278"/>
            <w:dataBinding w:prefixMappings="xmlns:clcid-pte='clcid-pte'" w:xpath="/*/clcid-pte:FeiJingChangXingSunYiXiangMuZhongShaoShuGuDongQuanYiYingXiangE[not(@periodRef)]" w:storeItemID="{89EBAB94-44A0-46A2-B712-30D997D04A6D}"/>
            <w:text/>
          </w:sdtPr>
          <w:sdtEndPr/>
          <w:sdtContent>
            <w:tc>
              <w:tcPr>
                <w:tcW w:w="937" w:type="pct"/>
                <w:vAlign w:val="center"/>
              </w:tcPr>
              <w:p w14:paraId="74B17FAC" w14:textId="77777777" w:rsidR="00D54EAF" w:rsidRDefault="00D54EAF" w:rsidP="00580D7D">
                <w:pPr>
                  <w:jc w:val="right"/>
                  <w:rPr>
                    <w:szCs w:val="21"/>
                  </w:rPr>
                </w:pPr>
                <w:r>
                  <w:rPr>
                    <w:szCs w:val="21"/>
                  </w:rPr>
                  <w:t>2,128.34</w:t>
                </w:r>
              </w:p>
            </w:tc>
          </w:sdtContent>
        </w:sdt>
        <w:tc>
          <w:tcPr>
            <w:tcW w:w="935" w:type="pct"/>
            <w:vAlign w:val="center"/>
          </w:tcPr>
          <w:p w14:paraId="587BE27E" w14:textId="77777777" w:rsidR="00D54EAF" w:rsidRDefault="00D54EAF" w:rsidP="00580D7D">
            <w:pPr>
              <w:jc w:val="right"/>
              <w:rPr>
                <w:szCs w:val="21"/>
              </w:rPr>
            </w:pPr>
            <w:r>
              <w:rPr>
                <w:rFonts w:hint="eastAsia"/>
                <w:szCs w:val="21"/>
              </w:rPr>
              <w:t>14,933.56</w:t>
            </w:r>
          </w:p>
        </w:tc>
        <w:tc>
          <w:tcPr>
            <w:tcW w:w="925" w:type="pct"/>
            <w:vAlign w:val="center"/>
          </w:tcPr>
          <w:p w14:paraId="23ACE31A" w14:textId="77777777" w:rsidR="00D54EAF" w:rsidRDefault="00D54EAF" w:rsidP="00580D7D">
            <w:pPr>
              <w:jc w:val="right"/>
              <w:rPr>
                <w:szCs w:val="21"/>
              </w:rPr>
            </w:pPr>
            <w:r>
              <w:rPr>
                <w:rFonts w:hint="eastAsia"/>
                <w:szCs w:val="21"/>
              </w:rPr>
              <w:t>31,369.33</w:t>
            </w:r>
          </w:p>
        </w:tc>
      </w:tr>
      <w:tr w:rsidR="00D54EAF" w14:paraId="366B9061" w14:textId="77777777" w:rsidTr="00580D7D">
        <w:sdt>
          <w:sdtPr>
            <w:tag w:val="_PLD_ab27c48cd04941d4a1e5b523c0d48a23"/>
            <w:id w:val="-148909953"/>
          </w:sdtPr>
          <w:sdtEndPr/>
          <w:sdtContent>
            <w:tc>
              <w:tcPr>
                <w:tcW w:w="2203" w:type="pct"/>
                <w:vAlign w:val="center"/>
              </w:tcPr>
              <w:p w14:paraId="6CE2A276" w14:textId="77777777" w:rsidR="00D54EAF" w:rsidRDefault="00D54EAF" w:rsidP="00580D7D">
                <w:pPr>
                  <w:pStyle w:val="affc"/>
                  <w:ind w:firstLineChars="0" w:firstLine="0"/>
                  <w:jc w:val="center"/>
                  <w:rPr>
                    <w:szCs w:val="21"/>
                  </w:rPr>
                </w:pPr>
                <w:r>
                  <w:rPr>
                    <w:szCs w:val="21"/>
                  </w:rPr>
                  <w:t>合计</w:t>
                </w:r>
              </w:p>
            </w:tc>
          </w:sdtContent>
        </w:sdt>
        <w:sdt>
          <w:sdtPr>
            <w:rPr>
              <w:szCs w:val="21"/>
            </w:rPr>
            <w:alias w:val="扣除的非经常性损益合计"/>
            <w:tag w:val="_GBC_a8b2254838ab45f19e48811e3509d38c"/>
            <w:id w:val="-226233144"/>
            <w:dataBinding w:prefixMappings="xmlns:clcid-pte='clcid-pte'" w:xpath="/*/clcid-pte:KouChuDeFeiJingChangXingSunYiHeJi[not(@periodRef)]" w:storeItemID="{89EBAB94-44A0-46A2-B712-30D997D04A6D}"/>
            <w:text/>
          </w:sdtPr>
          <w:sdtEndPr/>
          <w:sdtContent>
            <w:tc>
              <w:tcPr>
                <w:tcW w:w="937" w:type="pct"/>
                <w:vAlign w:val="center"/>
              </w:tcPr>
              <w:p w14:paraId="4D7F742A" w14:textId="77777777" w:rsidR="00D54EAF" w:rsidRDefault="00D54EAF" w:rsidP="00580D7D">
                <w:pPr>
                  <w:jc w:val="right"/>
                  <w:rPr>
                    <w:szCs w:val="21"/>
                  </w:rPr>
                </w:pPr>
                <w:r>
                  <w:rPr>
                    <w:szCs w:val="21"/>
                  </w:rPr>
                  <w:t>23,852.52</w:t>
                </w:r>
              </w:p>
            </w:tc>
          </w:sdtContent>
        </w:sdt>
        <w:tc>
          <w:tcPr>
            <w:tcW w:w="935" w:type="pct"/>
            <w:vAlign w:val="center"/>
          </w:tcPr>
          <w:p w14:paraId="2D984D4B" w14:textId="77777777" w:rsidR="00D54EAF" w:rsidRDefault="00D54EAF" w:rsidP="00580D7D">
            <w:pPr>
              <w:jc w:val="right"/>
              <w:rPr>
                <w:szCs w:val="21"/>
              </w:rPr>
            </w:pPr>
            <w:r>
              <w:rPr>
                <w:rFonts w:hint="eastAsia"/>
                <w:szCs w:val="21"/>
              </w:rPr>
              <w:t>43,039.92</w:t>
            </w:r>
          </w:p>
        </w:tc>
        <w:tc>
          <w:tcPr>
            <w:tcW w:w="925" w:type="pct"/>
            <w:vAlign w:val="center"/>
          </w:tcPr>
          <w:p w14:paraId="46DA0E83" w14:textId="77777777" w:rsidR="00D54EAF" w:rsidRDefault="00D54EAF" w:rsidP="00580D7D">
            <w:pPr>
              <w:jc w:val="right"/>
              <w:rPr>
                <w:szCs w:val="21"/>
              </w:rPr>
            </w:pPr>
            <w:r>
              <w:rPr>
                <w:rFonts w:hint="eastAsia"/>
                <w:szCs w:val="21"/>
              </w:rPr>
              <w:t>82,352.56</w:t>
            </w:r>
          </w:p>
        </w:tc>
      </w:tr>
    </w:tbl>
    <w:p w14:paraId="578EBC71" w14:textId="77777777" w:rsidR="00D54EAF" w:rsidRDefault="00D54EAF"/>
    <w:p w14:paraId="19E027C6" w14:textId="77777777" w:rsidR="00D54EAF" w:rsidRDefault="00D54EAF">
      <w:pPr>
        <w:pStyle w:val="af3"/>
        <w:adjustRightInd w:val="0"/>
        <w:snapToGrid w:val="0"/>
        <w:spacing w:line="200" w:lineRule="atLeast"/>
        <w:rPr>
          <w:rFonts w:hAnsi="宋体"/>
          <w:kern w:val="0"/>
          <w:szCs w:val="21"/>
        </w:rPr>
      </w:pPr>
      <w:r>
        <w:rPr>
          <w:rFonts w:hAnsi="宋体" w:cs="宋体" w:hint="eastAsia"/>
          <w:kern w:val="0"/>
          <w:szCs w:val="21"/>
        </w:rPr>
        <w:t>对公司</w:t>
      </w:r>
      <w:r>
        <w:rPr>
          <w:rFonts w:hint="eastAsia"/>
          <w:szCs w:val="21"/>
        </w:rPr>
        <w:t>将《公开发行证券的公司信息披露解释性公告第</w:t>
      </w:r>
      <w:r>
        <w:rPr>
          <w:szCs w:val="21"/>
        </w:rPr>
        <w:t>1号</w:t>
      </w:r>
      <w:r>
        <w:rPr>
          <w:szCs w:val="21"/>
        </w:rPr>
        <w:t>——</w:t>
      </w:r>
      <w:r>
        <w:rPr>
          <w:szCs w:val="21"/>
        </w:rPr>
        <w:t>非经常性损益》未列举的项目认定为的非经常性损益项目且金额重大的，以及将《公开发行证券的公司信息披露解释性公告第1号</w:t>
      </w:r>
      <w:r>
        <w:rPr>
          <w:szCs w:val="21"/>
        </w:rPr>
        <w:t>——</w:t>
      </w:r>
      <w:r>
        <w:rPr>
          <w:szCs w:val="21"/>
        </w:rPr>
        <w:t>非经常性损益》中列举的非经常性损益项目界定为经常性损益的项目，</w:t>
      </w:r>
      <w:r>
        <w:rPr>
          <w:rFonts w:hAnsi="宋体" w:cs="宋体"/>
          <w:kern w:val="0"/>
          <w:szCs w:val="21"/>
        </w:rPr>
        <w:t>应说明原因。</w:t>
      </w:r>
    </w:p>
    <w:sdt>
      <w:sdtPr>
        <w:alias w:val="是否适用：将非经常性损益项目界定为经常性损益项目[双击切换]"/>
        <w:tag w:val="_GBC_a4930715ddcb47d484e7fbd516fb3ac1"/>
        <w:id w:val="-1396112927"/>
      </w:sdtPr>
      <w:sdtEndPr/>
      <w:sdtContent>
        <w:p w14:paraId="47629FE9" w14:textId="77777777" w:rsidR="00D54EAF" w:rsidRDefault="00D54EAF">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2D9D8457" w14:textId="77777777" w:rsidR="00D54EAF" w:rsidRDefault="00D54EAF">
      <w:pPr>
        <w:jc w:val="right"/>
        <w:rPr>
          <w:szCs w:val="21"/>
        </w:rPr>
      </w:pPr>
      <w:r>
        <w:rPr>
          <w:rFonts w:hint="eastAsia"/>
          <w:szCs w:val="21"/>
        </w:rPr>
        <w:t>单位：</w:t>
      </w:r>
      <w:sdt>
        <w:sdtPr>
          <w:rPr>
            <w:rFonts w:hint="eastAsia"/>
            <w:szCs w:val="21"/>
          </w:rPr>
          <w:alias w:val="单位：财务附注：将非经常性损益项目界定为经常性损益项目"/>
          <w:tag w:val="_GBC_8dfd250d782042eb820d8cbafc3ace6f"/>
          <w:id w:val="-120779314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财务附注：将非经常性损益项目界定为经常性损益项目"/>
          <w:tag w:val="_GBC_0b48b6cdee9b42c997d9db3bad4e6fc2"/>
          <w:id w:val="-34918571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2552"/>
        <w:gridCol w:w="4292"/>
      </w:tblGrid>
      <w:tr w:rsidR="00D54EAF" w14:paraId="768F796E" w14:textId="77777777" w:rsidTr="00D54EAF">
        <w:sdt>
          <w:sdtPr>
            <w:tag w:val="_PLD_bbb60fbca07c4c88a916b14f69cfc1a3"/>
            <w:id w:val="573092538"/>
          </w:sdtPr>
          <w:sdtEndPr/>
          <w:sdtContent>
            <w:tc>
              <w:tcPr>
                <w:tcW w:w="1122" w:type="pct"/>
              </w:tcPr>
              <w:p w14:paraId="0EEAB727" w14:textId="77777777" w:rsidR="00D54EAF" w:rsidRDefault="00D54EAF">
                <w:pPr>
                  <w:jc w:val="center"/>
                  <w:rPr>
                    <w:szCs w:val="21"/>
                  </w:rPr>
                </w:pPr>
                <w:r>
                  <w:rPr>
                    <w:rFonts w:hint="eastAsia"/>
                    <w:szCs w:val="21"/>
                  </w:rPr>
                  <w:t>项目</w:t>
                </w:r>
              </w:p>
            </w:tc>
          </w:sdtContent>
        </w:sdt>
        <w:sdt>
          <w:sdtPr>
            <w:tag w:val="_PLD_82e343552aca4d8e95c2416d487f6839"/>
            <w:id w:val="-333685005"/>
          </w:sdtPr>
          <w:sdtEndPr/>
          <w:sdtContent>
            <w:tc>
              <w:tcPr>
                <w:tcW w:w="1446" w:type="pct"/>
              </w:tcPr>
              <w:p w14:paraId="5D8119D3" w14:textId="77777777" w:rsidR="00D54EAF" w:rsidRDefault="00D54EAF">
                <w:pPr>
                  <w:jc w:val="center"/>
                  <w:rPr>
                    <w:szCs w:val="21"/>
                  </w:rPr>
                </w:pPr>
                <w:r>
                  <w:rPr>
                    <w:rFonts w:hint="eastAsia"/>
                    <w:szCs w:val="21"/>
                  </w:rPr>
                  <w:t>涉及金额</w:t>
                </w:r>
              </w:p>
            </w:tc>
          </w:sdtContent>
        </w:sdt>
        <w:sdt>
          <w:sdtPr>
            <w:tag w:val="_PLD_611c973049f54ee3bc558dcd1e930bc5"/>
            <w:id w:val="-700861921"/>
          </w:sdtPr>
          <w:sdtEndPr/>
          <w:sdtContent>
            <w:tc>
              <w:tcPr>
                <w:tcW w:w="2432" w:type="pct"/>
              </w:tcPr>
              <w:p w14:paraId="3CC89882" w14:textId="77777777" w:rsidR="00D54EAF" w:rsidRDefault="00D54EAF">
                <w:pPr>
                  <w:jc w:val="center"/>
                  <w:rPr>
                    <w:szCs w:val="21"/>
                  </w:rPr>
                </w:pPr>
                <w:r>
                  <w:rPr>
                    <w:rFonts w:hint="eastAsia"/>
                    <w:szCs w:val="21"/>
                  </w:rPr>
                  <w:t>原因</w:t>
                </w:r>
              </w:p>
            </w:tc>
          </w:sdtContent>
        </w:sdt>
      </w:tr>
      <w:sdt>
        <w:sdtPr>
          <w:rPr>
            <w:rFonts w:hint="eastAsia"/>
            <w:szCs w:val="21"/>
          </w:rPr>
          <w:alias w:val="将非经常性损益项目界定为经常性损益项目明细"/>
          <w:tag w:val="_TUP_e93678d41c7a446a85d50ef9777f2ac5"/>
          <w:id w:val="-1233764329"/>
          <w:placeholder>
            <w:docPart w:val="CEE42D0B06B24EB681792DB799BB3B0E"/>
          </w:placeholder>
        </w:sdtPr>
        <w:sdtEndPr/>
        <w:sdtContent>
          <w:tr w:rsidR="00D54EAF" w14:paraId="274EC5C6" w14:textId="77777777" w:rsidTr="00D54EAF">
            <w:tc>
              <w:tcPr>
                <w:tcW w:w="1122" w:type="pct"/>
              </w:tcPr>
              <w:p w14:paraId="793278BA" w14:textId="77777777" w:rsidR="00D54EAF" w:rsidRDefault="00D54EAF">
                <w:pPr>
                  <w:rPr>
                    <w:szCs w:val="21"/>
                  </w:rPr>
                </w:pPr>
                <w:r>
                  <w:rPr>
                    <w:rFonts w:hint="eastAsia"/>
                    <w:szCs w:val="21"/>
                  </w:rPr>
                  <w:t>或有对价</w:t>
                </w:r>
              </w:p>
            </w:tc>
            <w:tc>
              <w:tcPr>
                <w:tcW w:w="1446" w:type="pct"/>
              </w:tcPr>
              <w:p w14:paraId="204E7CDF" w14:textId="77777777" w:rsidR="00D54EAF" w:rsidRDefault="00D54EAF">
                <w:pPr>
                  <w:jc w:val="right"/>
                  <w:rPr>
                    <w:szCs w:val="21"/>
                  </w:rPr>
                </w:pPr>
                <w:r>
                  <w:rPr>
                    <w:rFonts w:hint="eastAsia"/>
                    <w:szCs w:val="21"/>
                  </w:rPr>
                  <w:t>13,095.85</w:t>
                </w:r>
              </w:p>
            </w:tc>
            <w:tc>
              <w:tcPr>
                <w:tcW w:w="2432" w:type="pct"/>
              </w:tcPr>
              <w:p w14:paraId="7E192FE1" w14:textId="77777777" w:rsidR="00D54EAF" w:rsidRDefault="00D54EAF" w:rsidP="00D54EAF">
                <w:pPr>
                  <w:jc w:val="right"/>
                  <w:rPr>
                    <w:szCs w:val="21"/>
                  </w:rPr>
                </w:pPr>
                <w:r>
                  <w:rPr>
                    <w:rFonts w:hint="eastAsia"/>
                    <w:szCs w:val="21"/>
                  </w:rPr>
                  <w:t>与投资活动相关的偶发事项</w:t>
                </w:r>
              </w:p>
            </w:tc>
          </w:tr>
        </w:sdtContent>
      </w:sdt>
    </w:tbl>
    <w:p w14:paraId="1405FA4D" w14:textId="77777777" w:rsidR="00D54EAF" w:rsidRDefault="00D54EAF"/>
    <w:p w14:paraId="44600662" w14:textId="77777777" w:rsidR="00E57DAA" w:rsidRDefault="00E57DAA" w:rsidP="00C25422">
      <w:pPr>
        <w:pStyle w:val="92"/>
      </w:pPr>
    </w:p>
    <w:p w14:paraId="32E1B019" w14:textId="77777777" w:rsidR="00D54EAF" w:rsidRDefault="00D54EAF" w:rsidP="00D54EAF">
      <w:pPr>
        <w:pStyle w:val="2"/>
        <w:numPr>
          <w:ilvl w:val="1"/>
          <w:numId w:val="5"/>
        </w:numPr>
        <w:ind w:left="498" w:hangingChars="236" w:hanging="498"/>
      </w:pPr>
      <w:r>
        <w:rPr>
          <w:rFonts w:hint="eastAsia"/>
        </w:rPr>
        <w:t>采用公允价值计量的项目</w:t>
      </w:r>
    </w:p>
    <w:sdt>
      <w:sdtPr>
        <w:alias w:val="是否适用：采用公允价值计量的项目[双击切换]"/>
        <w:tag w:val="_GBC_e89d76d7486246e0ac1d3db15e4df008"/>
        <w:id w:val="-24175043"/>
      </w:sdtPr>
      <w:sdtEndPr/>
      <w:sdtContent>
        <w:p w14:paraId="172D8866" w14:textId="77777777" w:rsidR="00D54EAF" w:rsidRDefault="00D54EAF">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8D67850" w14:textId="77777777" w:rsidR="00D54EAF" w:rsidRDefault="00D54EAF">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1179498332"/>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rPr>
            <w:t>万元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76051347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rPr>
            <w:t>人民币</w:t>
          </w:r>
        </w:sdtContent>
      </w:sdt>
    </w:p>
    <w:tbl>
      <w:tblPr>
        <w:tblStyle w:val="aff6"/>
        <w:tblW w:w="0" w:type="auto"/>
        <w:tblLook w:val="04A0" w:firstRow="1" w:lastRow="0" w:firstColumn="1" w:lastColumn="0" w:noHBand="0" w:noVBand="1"/>
      </w:tblPr>
      <w:tblGrid>
        <w:gridCol w:w="1860"/>
        <w:gridCol w:w="1673"/>
        <w:gridCol w:w="1682"/>
        <w:gridCol w:w="1661"/>
        <w:gridCol w:w="1947"/>
      </w:tblGrid>
      <w:tr w:rsidR="00D54EAF" w14:paraId="027F824F" w14:textId="77777777" w:rsidTr="00187B4D">
        <w:trPr>
          <w:trHeight w:val="165"/>
        </w:trPr>
        <w:sdt>
          <w:sdtPr>
            <w:tag w:val="_PLD_7afb41bb6f11412490d2cf97e6a8af4a"/>
            <w:id w:val="546649202"/>
          </w:sdtPr>
          <w:sdtEndPr/>
          <w:sdtContent>
            <w:tc>
              <w:tcPr>
                <w:tcW w:w="1951" w:type="dxa"/>
                <w:vAlign w:val="center"/>
              </w:tcPr>
              <w:p w14:paraId="66D264EF"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sdtContent>
        </w:sdt>
        <w:sdt>
          <w:sdtPr>
            <w:tag w:val="_PLD_da0df6228e264965b54ebbf01610457e"/>
            <w:id w:val="972253607"/>
          </w:sdtPr>
          <w:sdtEndPr/>
          <w:sdtContent>
            <w:tc>
              <w:tcPr>
                <w:tcW w:w="1699" w:type="dxa"/>
                <w:vAlign w:val="center"/>
              </w:tcPr>
              <w:p w14:paraId="307716CB"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sdtContent>
        </w:sdt>
        <w:sdt>
          <w:sdtPr>
            <w:tag w:val="_PLD_32f24a9a3da24799945b9be672e1778c"/>
            <w:id w:val="2078005416"/>
          </w:sdtPr>
          <w:sdtEndPr/>
          <w:sdtContent>
            <w:tc>
              <w:tcPr>
                <w:tcW w:w="1708" w:type="dxa"/>
                <w:vAlign w:val="center"/>
              </w:tcPr>
              <w:p w14:paraId="63B227C9"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sdtContent>
        </w:sdt>
        <w:sdt>
          <w:sdtPr>
            <w:tag w:val="_PLD_e96c7ea54e9845adafdee1a3e4d1777a"/>
            <w:id w:val="346451848"/>
          </w:sdtPr>
          <w:sdtEndPr/>
          <w:sdtContent>
            <w:tc>
              <w:tcPr>
                <w:tcW w:w="1693" w:type="dxa"/>
                <w:vAlign w:val="center"/>
              </w:tcPr>
              <w:p w14:paraId="44AD3325"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sdtContent>
        </w:sdt>
        <w:sdt>
          <w:sdtPr>
            <w:tag w:val="_PLD_1472a884c9f543dba7a82865e73f1536"/>
            <w:id w:val="425082643"/>
          </w:sdtPr>
          <w:sdtEndPr/>
          <w:sdtContent>
            <w:tc>
              <w:tcPr>
                <w:tcW w:w="1997" w:type="dxa"/>
                <w:vAlign w:val="center"/>
              </w:tcPr>
              <w:p w14:paraId="438FE636"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sdtContent>
        </w:sdt>
      </w:tr>
      <w:sdt>
        <w:sdtPr>
          <w:rPr>
            <w:rFonts w:asciiTheme="minorEastAsia" w:eastAsiaTheme="minorEastAsia" w:hAnsiTheme="minorEastAsia" w:hint="eastAsia"/>
            <w:szCs w:val="21"/>
          </w:rPr>
          <w:alias w:val="采用公允价值计量的项目情况明细"/>
          <w:tag w:val="_TUP_99268db9eb064c0d97aa8abe10bf05f1"/>
          <w:id w:val="894636356"/>
          <w:placeholder>
            <w:docPart w:val="15B6A2EF98FA4452B6D213EE3734EA52"/>
          </w:placeholder>
        </w:sdtPr>
        <w:sdtEndPr/>
        <w:sdtContent>
          <w:tr w:rsidR="00D54EAF" w14:paraId="2F373ECB" w14:textId="77777777" w:rsidTr="00187B4D">
            <w:trPr>
              <w:trHeight w:val="180"/>
            </w:trPr>
            <w:tc>
              <w:tcPr>
                <w:tcW w:w="1951" w:type="dxa"/>
              </w:tcPr>
              <w:p w14:paraId="70B6B842" w14:textId="77777777" w:rsidR="00D54EAF" w:rsidRDefault="00D54EAF">
                <w:pPr>
                  <w:rPr>
                    <w:rFonts w:asciiTheme="minorEastAsia" w:eastAsiaTheme="minorEastAsia" w:hAnsiTheme="minorEastAsia"/>
                    <w:szCs w:val="21"/>
                  </w:rPr>
                </w:pPr>
                <w:r>
                  <w:rPr>
                    <w:rFonts w:hint="eastAsia"/>
                    <w:szCs w:val="21"/>
                  </w:rPr>
                  <w:t>交易性金融资产</w:t>
                </w:r>
              </w:p>
            </w:tc>
            <w:tc>
              <w:tcPr>
                <w:tcW w:w="1699" w:type="dxa"/>
              </w:tcPr>
              <w:p w14:paraId="2CC7B896" w14:textId="77777777" w:rsidR="00D54EAF" w:rsidRDefault="00D54EAF">
                <w:pPr>
                  <w:jc w:val="right"/>
                  <w:rPr>
                    <w:rFonts w:asciiTheme="minorEastAsia" w:eastAsiaTheme="minorEastAsia" w:hAnsiTheme="minorEastAsia"/>
                    <w:szCs w:val="21"/>
                  </w:rPr>
                </w:pPr>
                <w:r>
                  <w:rPr>
                    <w:rFonts w:hint="eastAsia"/>
                    <w:szCs w:val="21"/>
                  </w:rPr>
                  <w:t>60,116.99</w:t>
                </w:r>
              </w:p>
            </w:tc>
            <w:tc>
              <w:tcPr>
                <w:tcW w:w="1708" w:type="dxa"/>
              </w:tcPr>
              <w:p w14:paraId="05011F99" w14:textId="77777777" w:rsidR="00D54EAF" w:rsidRDefault="00D54EAF">
                <w:pPr>
                  <w:jc w:val="right"/>
                  <w:rPr>
                    <w:rFonts w:asciiTheme="minorEastAsia" w:eastAsiaTheme="minorEastAsia" w:hAnsiTheme="minorEastAsia"/>
                    <w:szCs w:val="21"/>
                  </w:rPr>
                </w:pPr>
                <w:r>
                  <w:rPr>
                    <w:rFonts w:hint="eastAsia"/>
                    <w:szCs w:val="21"/>
                  </w:rPr>
                  <w:t>25,147.88</w:t>
                </w:r>
              </w:p>
            </w:tc>
            <w:tc>
              <w:tcPr>
                <w:tcW w:w="1693" w:type="dxa"/>
              </w:tcPr>
              <w:p w14:paraId="1725E08A" w14:textId="77777777" w:rsidR="00D54EAF" w:rsidRDefault="00D54EAF">
                <w:pPr>
                  <w:jc w:val="right"/>
                  <w:rPr>
                    <w:rFonts w:asciiTheme="minorEastAsia" w:eastAsiaTheme="minorEastAsia" w:hAnsiTheme="minorEastAsia"/>
                    <w:szCs w:val="21"/>
                  </w:rPr>
                </w:pPr>
                <w:r>
                  <w:rPr>
                    <w:rFonts w:hint="eastAsia"/>
                    <w:szCs w:val="21"/>
                  </w:rPr>
                  <w:t>-34,969.11</w:t>
                </w:r>
              </w:p>
            </w:tc>
            <w:tc>
              <w:tcPr>
                <w:tcW w:w="1997" w:type="dxa"/>
              </w:tcPr>
              <w:p w14:paraId="2323CB34" w14:textId="77777777" w:rsidR="00D54EAF" w:rsidRDefault="00D54EAF">
                <w:pPr>
                  <w:jc w:val="right"/>
                  <w:rPr>
                    <w:rFonts w:asciiTheme="minorEastAsia" w:eastAsiaTheme="minorEastAsia" w:hAnsiTheme="minorEastAsia"/>
                    <w:szCs w:val="21"/>
                  </w:rPr>
                </w:pPr>
                <w:r>
                  <w:rPr>
                    <w:rFonts w:hint="eastAsia"/>
                    <w:szCs w:val="21"/>
                  </w:rPr>
                  <w:t>11,948.72</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1561209186"/>
          <w:placeholder>
            <w:docPart w:val="15B6A2EF98FA4452B6D213EE3734EA52"/>
          </w:placeholder>
        </w:sdtPr>
        <w:sdtEndPr/>
        <w:sdtContent>
          <w:tr w:rsidR="00D54EAF" w14:paraId="04BB1341" w14:textId="77777777" w:rsidTr="00187B4D">
            <w:trPr>
              <w:trHeight w:val="180"/>
            </w:trPr>
            <w:tc>
              <w:tcPr>
                <w:tcW w:w="1951" w:type="dxa"/>
              </w:tcPr>
              <w:p w14:paraId="7570AE5C" w14:textId="77777777" w:rsidR="00D54EAF" w:rsidRDefault="00D54EAF">
                <w:pPr>
                  <w:rPr>
                    <w:rFonts w:asciiTheme="minorEastAsia" w:eastAsiaTheme="minorEastAsia" w:hAnsiTheme="minorEastAsia"/>
                    <w:szCs w:val="21"/>
                  </w:rPr>
                </w:pPr>
                <w:r>
                  <w:rPr>
                    <w:rFonts w:hint="eastAsia"/>
                    <w:szCs w:val="21"/>
                  </w:rPr>
                  <w:t>衍生金融资产</w:t>
                </w:r>
              </w:p>
            </w:tc>
            <w:tc>
              <w:tcPr>
                <w:tcW w:w="1699" w:type="dxa"/>
              </w:tcPr>
              <w:p w14:paraId="7EDDFD99" w14:textId="77777777" w:rsidR="00D54EAF" w:rsidRDefault="00D54EAF">
                <w:pPr>
                  <w:jc w:val="right"/>
                  <w:rPr>
                    <w:rFonts w:asciiTheme="minorEastAsia" w:eastAsiaTheme="minorEastAsia" w:hAnsiTheme="minorEastAsia"/>
                    <w:szCs w:val="21"/>
                  </w:rPr>
                </w:pPr>
                <w:r>
                  <w:rPr>
                    <w:rFonts w:hint="eastAsia"/>
                    <w:szCs w:val="21"/>
                  </w:rPr>
                  <w:t>1,105.63</w:t>
                </w:r>
              </w:p>
            </w:tc>
            <w:tc>
              <w:tcPr>
                <w:tcW w:w="1708" w:type="dxa"/>
              </w:tcPr>
              <w:p w14:paraId="2556D24A" w14:textId="77777777" w:rsidR="00D54EAF" w:rsidRDefault="00D54EAF">
                <w:pPr>
                  <w:jc w:val="right"/>
                  <w:rPr>
                    <w:rFonts w:asciiTheme="minorEastAsia" w:eastAsiaTheme="minorEastAsia" w:hAnsiTheme="minorEastAsia"/>
                    <w:szCs w:val="21"/>
                  </w:rPr>
                </w:pPr>
                <w:r>
                  <w:rPr>
                    <w:rFonts w:hint="eastAsia"/>
                    <w:szCs w:val="21"/>
                  </w:rPr>
                  <w:t>861.82</w:t>
                </w:r>
              </w:p>
            </w:tc>
            <w:tc>
              <w:tcPr>
                <w:tcW w:w="1693" w:type="dxa"/>
              </w:tcPr>
              <w:p w14:paraId="0ECE3687" w14:textId="77777777" w:rsidR="00D54EAF" w:rsidRDefault="00D54EAF">
                <w:pPr>
                  <w:jc w:val="right"/>
                  <w:rPr>
                    <w:rFonts w:asciiTheme="minorEastAsia" w:eastAsiaTheme="minorEastAsia" w:hAnsiTheme="minorEastAsia"/>
                    <w:szCs w:val="21"/>
                  </w:rPr>
                </w:pPr>
                <w:r>
                  <w:rPr>
                    <w:rFonts w:hint="eastAsia"/>
                    <w:szCs w:val="21"/>
                  </w:rPr>
                  <w:t>-243.81</w:t>
                </w:r>
              </w:p>
            </w:tc>
            <w:tc>
              <w:tcPr>
                <w:tcW w:w="1997" w:type="dxa"/>
              </w:tcPr>
              <w:p w14:paraId="180EA420" w14:textId="77777777" w:rsidR="00D54EAF" w:rsidRDefault="00D54EAF">
                <w:pPr>
                  <w:jc w:val="right"/>
                  <w:rPr>
                    <w:rFonts w:asciiTheme="minorEastAsia" w:eastAsiaTheme="minorEastAsia" w:hAnsiTheme="minorEastAsia"/>
                    <w:szCs w:val="21"/>
                  </w:rPr>
                </w:pPr>
                <w:r>
                  <w:rPr>
                    <w:rFonts w:hint="eastAsia"/>
                    <w:szCs w:val="21"/>
                  </w:rPr>
                  <w:t>0</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1561210116"/>
          <w:placeholder>
            <w:docPart w:val="15B6A2EF98FA4452B6D213EE3734EA52"/>
          </w:placeholder>
        </w:sdtPr>
        <w:sdtEndPr/>
        <w:sdtContent>
          <w:tr w:rsidR="00D54EAF" w14:paraId="3C488618" w14:textId="77777777" w:rsidTr="00187B4D">
            <w:trPr>
              <w:trHeight w:val="180"/>
            </w:trPr>
            <w:tc>
              <w:tcPr>
                <w:tcW w:w="1951" w:type="dxa"/>
              </w:tcPr>
              <w:p w14:paraId="17DE5DDC" w14:textId="77777777" w:rsidR="00D54EAF" w:rsidRDefault="00D54EAF">
                <w:pPr>
                  <w:rPr>
                    <w:rFonts w:asciiTheme="minorEastAsia" w:eastAsiaTheme="minorEastAsia" w:hAnsiTheme="minorEastAsia"/>
                    <w:szCs w:val="21"/>
                  </w:rPr>
                </w:pPr>
                <w:r>
                  <w:rPr>
                    <w:rFonts w:hint="eastAsia"/>
                    <w:szCs w:val="21"/>
                  </w:rPr>
                  <w:t>应收款项融资</w:t>
                </w:r>
              </w:p>
            </w:tc>
            <w:tc>
              <w:tcPr>
                <w:tcW w:w="1699" w:type="dxa"/>
              </w:tcPr>
              <w:p w14:paraId="48C39212" w14:textId="77777777" w:rsidR="00D54EAF" w:rsidRDefault="00D54EAF">
                <w:pPr>
                  <w:jc w:val="right"/>
                  <w:rPr>
                    <w:rFonts w:asciiTheme="minorEastAsia" w:eastAsiaTheme="minorEastAsia" w:hAnsiTheme="minorEastAsia"/>
                    <w:szCs w:val="21"/>
                  </w:rPr>
                </w:pPr>
                <w:r>
                  <w:rPr>
                    <w:rFonts w:hint="eastAsia"/>
                    <w:szCs w:val="21"/>
                  </w:rPr>
                  <w:t>183,714.4</w:t>
                </w:r>
                <w:r w:rsidR="008C0DDE">
                  <w:rPr>
                    <w:rFonts w:hint="eastAsia"/>
                    <w:szCs w:val="21"/>
                  </w:rPr>
                  <w:t>0</w:t>
                </w:r>
              </w:p>
            </w:tc>
            <w:tc>
              <w:tcPr>
                <w:tcW w:w="1708" w:type="dxa"/>
              </w:tcPr>
              <w:p w14:paraId="11C78B84" w14:textId="77777777" w:rsidR="00D54EAF" w:rsidRDefault="00D54EAF">
                <w:pPr>
                  <w:jc w:val="right"/>
                  <w:rPr>
                    <w:rFonts w:asciiTheme="minorEastAsia" w:eastAsiaTheme="minorEastAsia" w:hAnsiTheme="minorEastAsia"/>
                    <w:szCs w:val="21"/>
                  </w:rPr>
                </w:pPr>
                <w:r>
                  <w:rPr>
                    <w:rFonts w:hint="eastAsia"/>
                    <w:szCs w:val="21"/>
                  </w:rPr>
                  <w:t>163,244.21</w:t>
                </w:r>
              </w:p>
            </w:tc>
            <w:tc>
              <w:tcPr>
                <w:tcW w:w="1693" w:type="dxa"/>
              </w:tcPr>
              <w:p w14:paraId="2F400BAA" w14:textId="77777777" w:rsidR="00D54EAF" w:rsidRDefault="00D54EAF">
                <w:pPr>
                  <w:jc w:val="right"/>
                  <w:rPr>
                    <w:rFonts w:asciiTheme="minorEastAsia" w:eastAsiaTheme="minorEastAsia" w:hAnsiTheme="minorEastAsia"/>
                    <w:szCs w:val="21"/>
                  </w:rPr>
                </w:pPr>
                <w:r>
                  <w:rPr>
                    <w:rFonts w:hint="eastAsia"/>
                    <w:szCs w:val="21"/>
                  </w:rPr>
                  <w:t>-20,470.2</w:t>
                </w:r>
                <w:r w:rsidR="008C0DDE">
                  <w:rPr>
                    <w:rFonts w:hint="eastAsia"/>
                    <w:szCs w:val="21"/>
                  </w:rPr>
                  <w:t>0</w:t>
                </w:r>
              </w:p>
            </w:tc>
            <w:tc>
              <w:tcPr>
                <w:tcW w:w="1997" w:type="dxa"/>
              </w:tcPr>
              <w:p w14:paraId="470C41E3" w14:textId="77777777" w:rsidR="00D54EAF" w:rsidRDefault="00D54EAF">
                <w:pPr>
                  <w:jc w:val="right"/>
                  <w:rPr>
                    <w:rFonts w:asciiTheme="minorEastAsia" w:eastAsiaTheme="minorEastAsia" w:hAnsiTheme="minorEastAsia"/>
                    <w:szCs w:val="21"/>
                  </w:rPr>
                </w:pPr>
                <w:r>
                  <w:rPr>
                    <w:rFonts w:hint="eastAsia"/>
                    <w:szCs w:val="21"/>
                  </w:rPr>
                  <w:t>0</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1887326309"/>
          <w:placeholder>
            <w:docPart w:val="15B6A2EF98FA4452B6D213EE3734EA52"/>
          </w:placeholder>
        </w:sdtPr>
        <w:sdtEndPr/>
        <w:sdtContent>
          <w:tr w:rsidR="00D54EAF" w14:paraId="6648891A" w14:textId="77777777" w:rsidTr="00187B4D">
            <w:trPr>
              <w:trHeight w:val="180"/>
            </w:trPr>
            <w:tc>
              <w:tcPr>
                <w:tcW w:w="1951" w:type="dxa"/>
              </w:tcPr>
              <w:p w14:paraId="454D1E63" w14:textId="77777777" w:rsidR="00D54EAF" w:rsidRDefault="00D54EAF">
                <w:pPr>
                  <w:rPr>
                    <w:rFonts w:asciiTheme="minorEastAsia" w:eastAsiaTheme="minorEastAsia" w:hAnsiTheme="minorEastAsia"/>
                    <w:szCs w:val="21"/>
                  </w:rPr>
                </w:pPr>
                <w:r>
                  <w:rPr>
                    <w:rFonts w:hint="eastAsia"/>
                    <w:szCs w:val="21"/>
                  </w:rPr>
                  <w:t>交易性金融负债</w:t>
                </w:r>
              </w:p>
            </w:tc>
            <w:tc>
              <w:tcPr>
                <w:tcW w:w="1699" w:type="dxa"/>
              </w:tcPr>
              <w:p w14:paraId="3A93835F" w14:textId="77777777" w:rsidR="00D54EAF" w:rsidRDefault="00D54EAF">
                <w:pPr>
                  <w:jc w:val="right"/>
                  <w:rPr>
                    <w:rFonts w:asciiTheme="minorEastAsia" w:eastAsiaTheme="minorEastAsia" w:hAnsiTheme="minorEastAsia"/>
                    <w:szCs w:val="21"/>
                  </w:rPr>
                </w:pPr>
                <w:r>
                  <w:rPr>
                    <w:rFonts w:hint="eastAsia"/>
                    <w:szCs w:val="21"/>
                  </w:rPr>
                  <w:t>444.49</w:t>
                </w:r>
              </w:p>
            </w:tc>
            <w:tc>
              <w:tcPr>
                <w:tcW w:w="1708" w:type="dxa"/>
              </w:tcPr>
              <w:p w14:paraId="4823B152" w14:textId="77777777" w:rsidR="00D54EAF" w:rsidRDefault="00D54EAF">
                <w:pPr>
                  <w:jc w:val="right"/>
                  <w:rPr>
                    <w:rFonts w:asciiTheme="minorEastAsia" w:eastAsiaTheme="minorEastAsia" w:hAnsiTheme="minorEastAsia"/>
                    <w:szCs w:val="21"/>
                  </w:rPr>
                </w:pPr>
                <w:r>
                  <w:rPr>
                    <w:rFonts w:hint="eastAsia"/>
                    <w:szCs w:val="21"/>
                  </w:rPr>
                  <w:t>2,611.56</w:t>
                </w:r>
              </w:p>
            </w:tc>
            <w:tc>
              <w:tcPr>
                <w:tcW w:w="1693" w:type="dxa"/>
              </w:tcPr>
              <w:p w14:paraId="1C568084" w14:textId="77777777" w:rsidR="00D54EAF" w:rsidRDefault="00D54EAF">
                <w:pPr>
                  <w:jc w:val="right"/>
                  <w:rPr>
                    <w:rFonts w:asciiTheme="minorEastAsia" w:eastAsiaTheme="minorEastAsia" w:hAnsiTheme="minorEastAsia"/>
                    <w:szCs w:val="21"/>
                  </w:rPr>
                </w:pPr>
                <w:r>
                  <w:rPr>
                    <w:rFonts w:hint="eastAsia"/>
                    <w:szCs w:val="21"/>
                  </w:rPr>
                  <w:t>2,167.08</w:t>
                </w:r>
              </w:p>
            </w:tc>
            <w:tc>
              <w:tcPr>
                <w:tcW w:w="1997" w:type="dxa"/>
              </w:tcPr>
              <w:p w14:paraId="3D8D06BE" w14:textId="77777777" w:rsidR="00D54EAF" w:rsidRDefault="00D54EAF">
                <w:pPr>
                  <w:jc w:val="right"/>
                  <w:rPr>
                    <w:rFonts w:asciiTheme="minorEastAsia" w:eastAsiaTheme="minorEastAsia" w:hAnsiTheme="minorEastAsia"/>
                    <w:szCs w:val="21"/>
                  </w:rPr>
                </w:pPr>
                <w:r>
                  <w:rPr>
                    <w:rFonts w:hint="eastAsia"/>
                    <w:szCs w:val="21"/>
                  </w:rPr>
                  <w:t>-8,652.7</w:t>
                </w:r>
                <w:r w:rsidR="00B41431">
                  <w:rPr>
                    <w:rFonts w:hint="eastAsia"/>
                    <w:szCs w:val="21"/>
                  </w:rPr>
                  <w:t>0</w:t>
                </w:r>
              </w:p>
            </w:tc>
          </w:tr>
        </w:sdtContent>
      </w:sdt>
      <w:sdt>
        <w:sdtPr>
          <w:rPr>
            <w:rFonts w:asciiTheme="minorEastAsia" w:eastAsiaTheme="minorEastAsia" w:hAnsiTheme="minorEastAsia" w:hint="eastAsia"/>
            <w:szCs w:val="21"/>
          </w:rPr>
          <w:alias w:val="采用公允价值计量的项目情况明细"/>
          <w:tag w:val="_TUP_99268db9eb064c0d97aa8abe10bf05f1"/>
          <w:id w:val="610628585"/>
          <w:placeholder>
            <w:docPart w:val="15B6A2EF98FA4452B6D213EE3734EA52"/>
          </w:placeholder>
        </w:sdtPr>
        <w:sdtEndPr/>
        <w:sdtContent>
          <w:tr w:rsidR="00D54EAF" w14:paraId="03599EB1" w14:textId="77777777" w:rsidTr="00187B4D">
            <w:trPr>
              <w:trHeight w:val="180"/>
            </w:trPr>
            <w:tc>
              <w:tcPr>
                <w:tcW w:w="1951" w:type="dxa"/>
              </w:tcPr>
              <w:p w14:paraId="07C0A1BC" w14:textId="77777777" w:rsidR="00D54EAF" w:rsidRDefault="00D54EAF">
                <w:pPr>
                  <w:rPr>
                    <w:rFonts w:asciiTheme="minorEastAsia" w:eastAsiaTheme="minorEastAsia" w:hAnsiTheme="minorEastAsia"/>
                    <w:szCs w:val="21"/>
                  </w:rPr>
                </w:pPr>
                <w:r>
                  <w:rPr>
                    <w:rFonts w:hint="eastAsia"/>
                    <w:szCs w:val="21"/>
                  </w:rPr>
                  <w:t>衍生金融负债</w:t>
                </w:r>
              </w:p>
            </w:tc>
            <w:tc>
              <w:tcPr>
                <w:tcW w:w="1699" w:type="dxa"/>
              </w:tcPr>
              <w:p w14:paraId="0409635F" w14:textId="77777777" w:rsidR="00D54EAF" w:rsidRDefault="00D54EAF">
                <w:pPr>
                  <w:jc w:val="right"/>
                  <w:rPr>
                    <w:rFonts w:asciiTheme="minorEastAsia" w:eastAsiaTheme="minorEastAsia" w:hAnsiTheme="minorEastAsia"/>
                    <w:szCs w:val="21"/>
                  </w:rPr>
                </w:pPr>
              </w:p>
            </w:tc>
            <w:tc>
              <w:tcPr>
                <w:tcW w:w="1708" w:type="dxa"/>
              </w:tcPr>
              <w:p w14:paraId="7735DE38" w14:textId="77777777" w:rsidR="00D54EAF" w:rsidRDefault="00D54EAF">
                <w:pPr>
                  <w:jc w:val="right"/>
                  <w:rPr>
                    <w:rFonts w:asciiTheme="minorEastAsia" w:eastAsiaTheme="minorEastAsia" w:hAnsiTheme="minorEastAsia"/>
                    <w:szCs w:val="21"/>
                  </w:rPr>
                </w:pPr>
                <w:r>
                  <w:rPr>
                    <w:rFonts w:hint="eastAsia"/>
                    <w:szCs w:val="21"/>
                  </w:rPr>
                  <w:t>4,641.8</w:t>
                </w:r>
                <w:r w:rsidR="008C0DDE">
                  <w:rPr>
                    <w:rFonts w:hint="eastAsia"/>
                    <w:szCs w:val="21"/>
                  </w:rPr>
                  <w:t>0</w:t>
                </w:r>
              </w:p>
            </w:tc>
            <w:tc>
              <w:tcPr>
                <w:tcW w:w="1693" w:type="dxa"/>
              </w:tcPr>
              <w:p w14:paraId="689AF8B6" w14:textId="77777777" w:rsidR="00D54EAF" w:rsidRDefault="00D54EAF">
                <w:pPr>
                  <w:jc w:val="right"/>
                  <w:rPr>
                    <w:rFonts w:asciiTheme="minorEastAsia" w:eastAsiaTheme="minorEastAsia" w:hAnsiTheme="minorEastAsia"/>
                    <w:szCs w:val="21"/>
                  </w:rPr>
                </w:pPr>
                <w:r>
                  <w:rPr>
                    <w:rFonts w:hint="eastAsia"/>
                    <w:szCs w:val="21"/>
                  </w:rPr>
                  <w:t>4,641.8</w:t>
                </w:r>
                <w:r w:rsidR="008C0DDE">
                  <w:rPr>
                    <w:rFonts w:hint="eastAsia"/>
                    <w:szCs w:val="21"/>
                  </w:rPr>
                  <w:t>0</w:t>
                </w:r>
              </w:p>
            </w:tc>
            <w:tc>
              <w:tcPr>
                <w:tcW w:w="1997" w:type="dxa"/>
              </w:tcPr>
              <w:p w14:paraId="1C444D63" w14:textId="77777777" w:rsidR="00D54EAF" w:rsidRDefault="00D54EAF">
                <w:pPr>
                  <w:jc w:val="right"/>
                  <w:rPr>
                    <w:rFonts w:asciiTheme="minorEastAsia" w:eastAsiaTheme="minorEastAsia" w:hAnsiTheme="minorEastAsia"/>
                    <w:szCs w:val="21"/>
                  </w:rPr>
                </w:pPr>
                <w:r>
                  <w:rPr>
                    <w:rFonts w:hint="eastAsia"/>
                    <w:szCs w:val="21"/>
                  </w:rPr>
                  <w:t>-2,533.81</w:t>
                </w:r>
              </w:p>
            </w:tc>
          </w:tr>
        </w:sdtContent>
      </w:sdt>
      <w:tr w:rsidR="00D54EAF" w14:paraId="3A19D946" w14:textId="77777777" w:rsidTr="00187B4D">
        <w:trPr>
          <w:trHeight w:val="117"/>
        </w:trPr>
        <w:sdt>
          <w:sdtPr>
            <w:tag w:val="_PLD_a4d05bd3d4b34885acfe6e5bc6d34fc1"/>
            <w:id w:val="403035966"/>
          </w:sdtPr>
          <w:sdtEndPr/>
          <w:sdtContent>
            <w:tc>
              <w:tcPr>
                <w:tcW w:w="1951" w:type="dxa"/>
                <w:tcBorders>
                  <w:bottom w:val="single" w:sz="4" w:space="0" w:color="auto"/>
                </w:tcBorders>
                <w:vAlign w:val="center"/>
              </w:tcPr>
              <w:p w14:paraId="2029A9F8" w14:textId="77777777" w:rsidR="00D54EAF" w:rsidRDefault="00D54EAF">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sdtContent>
        </w:sdt>
        <w:tc>
          <w:tcPr>
            <w:tcW w:w="1699" w:type="dxa"/>
            <w:vAlign w:val="center"/>
          </w:tcPr>
          <w:p w14:paraId="796A5560" w14:textId="77777777" w:rsidR="00D54EAF" w:rsidRDefault="00D54EAF">
            <w:pPr>
              <w:jc w:val="right"/>
              <w:rPr>
                <w:rFonts w:asciiTheme="minorEastAsia" w:eastAsiaTheme="minorEastAsia" w:hAnsiTheme="minorEastAsia"/>
                <w:szCs w:val="21"/>
              </w:rPr>
            </w:pPr>
            <w:r>
              <w:rPr>
                <w:rFonts w:hint="eastAsia"/>
                <w:szCs w:val="21"/>
              </w:rPr>
              <w:t>245,381.51</w:t>
            </w:r>
          </w:p>
        </w:tc>
        <w:tc>
          <w:tcPr>
            <w:tcW w:w="1708" w:type="dxa"/>
            <w:vAlign w:val="center"/>
          </w:tcPr>
          <w:p w14:paraId="7F5A2C3F" w14:textId="77777777" w:rsidR="00D54EAF" w:rsidRDefault="00D54EAF">
            <w:pPr>
              <w:jc w:val="right"/>
              <w:rPr>
                <w:rFonts w:asciiTheme="minorEastAsia" w:eastAsiaTheme="minorEastAsia" w:hAnsiTheme="minorEastAsia"/>
                <w:szCs w:val="21"/>
              </w:rPr>
            </w:pPr>
            <w:r>
              <w:rPr>
                <w:rFonts w:hint="eastAsia"/>
                <w:szCs w:val="21"/>
              </w:rPr>
              <w:t>196,507.27</w:t>
            </w:r>
          </w:p>
        </w:tc>
        <w:tc>
          <w:tcPr>
            <w:tcW w:w="1693" w:type="dxa"/>
            <w:vAlign w:val="center"/>
          </w:tcPr>
          <w:p w14:paraId="41606E23" w14:textId="77777777" w:rsidR="00D54EAF" w:rsidRDefault="00D54EAF">
            <w:pPr>
              <w:jc w:val="right"/>
              <w:rPr>
                <w:rFonts w:asciiTheme="minorEastAsia" w:eastAsiaTheme="minorEastAsia" w:hAnsiTheme="minorEastAsia"/>
                <w:szCs w:val="21"/>
              </w:rPr>
            </w:pPr>
            <w:r>
              <w:rPr>
                <w:rFonts w:hint="eastAsia"/>
                <w:szCs w:val="21"/>
              </w:rPr>
              <w:t>-48,874.24</w:t>
            </w:r>
          </w:p>
        </w:tc>
        <w:tc>
          <w:tcPr>
            <w:tcW w:w="1997" w:type="dxa"/>
            <w:vAlign w:val="center"/>
          </w:tcPr>
          <w:p w14:paraId="2B6E1B4B" w14:textId="77777777" w:rsidR="00D54EAF" w:rsidRDefault="00D54EAF">
            <w:pPr>
              <w:jc w:val="right"/>
              <w:rPr>
                <w:rFonts w:asciiTheme="minorEastAsia" w:eastAsiaTheme="minorEastAsia" w:hAnsiTheme="minorEastAsia"/>
                <w:szCs w:val="21"/>
              </w:rPr>
            </w:pPr>
            <w:r>
              <w:rPr>
                <w:rFonts w:hint="eastAsia"/>
                <w:szCs w:val="21"/>
              </w:rPr>
              <w:t>762.21</w:t>
            </w:r>
          </w:p>
        </w:tc>
      </w:tr>
    </w:tbl>
    <w:p w14:paraId="0CB121C8" w14:textId="77777777" w:rsidR="00D54EAF" w:rsidRDefault="00D54EAF"/>
    <w:p w14:paraId="0269B6D9" w14:textId="77777777" w:rsidR="00E57DAA" w:rsidRDefault="00AC4185">
      <w:pPr>
        <w:pStyle w:val="2"/>
        <w:numPr>
          <w:ilvl w:val="1"/>
          <w:numId w:val="5"/>
        </w:numPr>
      </w:pPr>
      <w:r>
        <w:rPr>
          <w:rFonts w:hint="eastAsia"/>
        </w:rPr>
        <w:t>其他</w:t>
      </w:r>
    </w:p>
    <w:sdt>
      <w:sdtPr>
        <w:alias w:val="是否适用：公司简介和主要财务指标其他说明[双击切换]"/>
        <w:tag w:val="_GBC_ac20c9ad49eb470dba71a763f930572f"/>
        <w:id w:val="1165133231"/>
        <w:placeholder>
          <w:docPart w:val="GBC22222222222222222222222222222"/>
        </w:placeholder>
      </w:sdtPr>
      <w:sdtEndPr/>
      <w:sdtContent>
        <w:p w14:paraId="2C98575C"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5C248F" w14:textId="77777777" w:rsidR="00E57DAA" w:rsidRDefault="00E57DAA" w:rsidP="00C25422">
      <w:pPr>
        <w:pStyle w:val="92"/>
      </w:pPr>
    </w:p>
    <w:p w14:paraId="48F38560" w14:textId="77777777" w:rsidR="00E57DAA" w:rsidRDefault="00AC4185" w:rsidP="00E76E97">
      <w:pPr>
        <w:pStyle w:val="1"/>
      </w:pPr>
      <w:bookmarkStart w:id="24" w:name="_Toc89790250"/>
      <w:r>
        <w:rPr>
          <w:rFonts w:hint="eastAsia"/>
        </w:rPr>
        <w:t>管理层讨论与分析</w:t>
      </w:r>
      <w:bookmarkEnd w:id="24"/>
    </w:p>
    <w:p w14:paraId="41507E6E" w14:textId="77777777" w:rsidR="00E57DAA" w:rsidRDefault="00E57DAA" w:rsidP="00C25422">
      <w:pPr>
        <w:pStyle w:val="92"/>
      </w:pPr>
    </w:p>
    <w:p w14:paraId="480F1189" w14:textId="77777777" w:rsidR="00E57DAA" w:rsidRDefault="00AC4185">
      <w:pPr>
        <w:pStyle w:val="2"/>
        <w:numPr>
          <w:ilvl w:val="0"/>
          <w:numId w:val="8"/>
        </w:numPr>
      </w:pPr>
      <w:r>
        <w:rPr>
          <w:rFonts w:hint="eastAsia"/>
        </w:rPr>
        <w:t>经营情况</w:t>
      </w:r>
      <w:r>
        <w:t>讨论与分析</w:t>
      </w:r>
    </w:p>
    <w:bookmarkStart w:id="25" w:name="_Hlk162338693" w:displacedByCustomXml="next"/>
    <w:sdt>
      <w:sdtPr>
        <w:rPr>
          <w:rFonts w:asciiTheme="minorEastAsia" w:eastAsiaTheme="minorEastAsia" w:hAnsiTheme="minorEastAsia" w:hint="eastAsia"/>
        </w:rPr>
        <w:alias w:val="管理层讨论与分析"/>
        <w:tag w:val="_GBC_75862f3cb18e486fb20eb44dbcc462a9"/>
        <w:id w:val="-672102366"/>
        <w:placeholder>
          <w:docPart w:val="GBC22222222222222222222222222222"/>
        </w:placeholder>
      </w:sdtPr>
      <w:sdtEndPr/>
      <w:sdtContent>
        <w:p w14:paraId="05208ADE" w14:textId="77777777" w:rsidR="00E57DAA" w:rsidRDefault="00AC4185">
          <w:pPr>
            <w:spacing w:line="276" w:lineRule="auto"/>
            <w:ind w:firstLineChars="200" w:firstLine="420"/>
            <w:jc w:val="both"/>
            <w:rPr>
              <w:rFonts w:cs="仿宋_GB2312"/>
              <w:szCs w:val="21"/>
            </w:rPr>
          </w:pPr>
          <w:r>
            <w:rPr>
              <w:rFonts w:cs="仿宋_GB2312" w:hint="eastAsia"/>
              <w:szCs w:val="21"/>
            </w:rPr>
            <w:t>2023年，面对严峻复杂的外部环境和风险挑战，公司按照“稳住效益增长，守住风险底线，实现高质量发展”的总体要求，攻坚克难、积极作为，推动实现质的有效提升和量的稳健增长，行业领先地位进一步巩固。</w:t>
          </w:r>
        </w:p>
        <w:p w14:paraId="4C7C0ECF" w14:textId="77777777" w:rsidR="00E57DAA" w:rsidRDefault="00AC4185">
          <w:pPr>
            <w:spacing w:line="276" w:lineRule="auto"/>
            <w:ind w:firstLineChars="200" w:firstLine="420"/>
            <w:jc w:val="both"/>
            <w:rPr>
              <w:rFonts w:cs="仿宋_GB2312"/>
              <w:szCs w:val="21"/>
            </w:rPr>
          </w:pPr>
          <w:r>
            <w:rPr>
              <w:rFonts w:cs="仿宋_GB2312" w:hint="eastAsia"/>
              <w:szCs w:val="21"/>
            </w:rPr>
            <w:t>2023年，公司新签合同总额616.44亿元，同比增长18%；其中，境外新签合同额333.07亿元，同比增长55%；境内新签合同额283.37亿元，同比减少8%。截至2023年底，公司未完合同额为593.25亿元，同比增长12%，为公司持续稳定发展提供保障。报告期内，公司实现营业收入457.99亿元，同比增长6.94%；综合毛利率19.43%，同比提升2.09个百分点；实现归属于上市公司股东的净利润29.16亿元，同比增长14.74%，逆市取得经营佳绩。</w:t>
          </w:r>
        </w:p>
        <w:p w14:paraId="4E5102D3" w14:textId="77777777" w:rsidR="00E57DAA" w:rsidRDefault="00AC4185">
          <w:pPr>
            <w:spacing w:line="276" w:lineRule="auto"/>
            <w:ind w:firstLineChars="200" w:firstLine="422"/>
            <w:jc w:val="both"/>
            <w:outlineLvl w:val="1"/>
            <w:rPr>
              <w:rFonts w:cs="仿宋_GB2312"/>
              <w:b/>
              <w:bCs/>
              <w:szCs w:val="21"/>
            </w:rPr>
          </w:pPr>
          <w:bookmarkStart w:id="26" w:name="_Toc7508"/>
          <w:r>
            <w:rPr>
              <w:rFonts w:cs="仿宋_GB2312" w:hint="eastAsia"/>
              <w:b/>
              <w:bCs/>
              <w:szCs w:val="21"/>
            </w:rPr>
            <w:t>（一）主业优势地位持续巩固，</w:t>
          </w:r>
          <w:bookmarkStart w:id="27" w:name="_Hlk162352335"/>
          <w:r w:rsidR="00F204C9">
            <w:rPr>
              <w:rFonts w:cs="仿宋_GB2312" w:hint="eastAsia"/>
              <w:b/>
              <w:bCs/>
              <w:szCs w:val="21"/>
            </w:rPr>
            <w:t>业务结构转型持续深化</w:t>
          </w:r>
          <w:bookmarkEnd w:id="26"/>
        </w:p>
        <w:bookmarkEnd w:id="27"/>
        <w:p w14:paraId="14E63A83" w14:textId="77777777" w:rsidR="00E57DAA" w:rsidRDefault="00AC4185">
          <w:pPr>
            <w:spacing w:line="276" w:lineRule="auto"/>
            <w:ind w:firstLineChars="200" w:firstLine="422"/>
            <w:jc w:val="both"/>
            <w:rPr>
              <w:rFonts w:cs="仿宋_GB2312"/>
              <w:szCs w:val="21"/>
            </w:rPr>
          </w:pPr>
          <w:r>
            <w:rPr>
              <w:rFonts w:cs="仿宋_GB2312" w:hint="eastAsia"/>
              <w:b/>
              <w:bCs/>
              <w:szCs w:val="21"/>
            </w:rPr>
            <w:t>水泥工程技术服务稳居全球第一。</w:t>
          </w:r>
          <w:r>
            <w:rPr>
              <w:rFonts w:cs="仿宋_GB2312" w:hint="eastAsia"/>
              <w:szCs w:val="21"/>
            </w:rPr>
            <w:t>公司积极把握全球新建及存量水泥生产线绿色低碳、数字智能技改升级需求，充分发挥SINOMA全球品牌效应和深厚客户基础，积极攻坚高端市场，在非洲、中东、欧洲</w:t>
          </w:r>
          <w:r w:rsidR="00F204C9">
            <w:rPr>
              <w:rFonts w:cs="仿宋_GB2312" w:hint="eastAsia"/>
              <w:szCs w:val="21"/>
            </w:rPr>
            <w:t>、南亚</w:t>
          </w:r>
          <w:r>
            <w:rPr>
              <w:rFonts w:cs="仿宋_GB2312" w:hint="eastAsia"/>
              <w:szCs w:val="21"/>
            </w:rPr>
            <w:t>等市场区域成功获取一批水泥EPC整线合同，2023年新签工程技术服务合同额390.67亿元，同比增长21%。坚定践行“价本利”理念，深化内部协同，持续提升运营效率，2023年工程技术服务实现营业收入266.65亿元，同比增长7.55%；毛利率15.73%，同比提升3.5个百分点。全年20个项目点火投产，主要指标达到世界领先水平，成功获取PAC证书32项、FAC证书12项，尼日利亚索高特三线、宁夏吴忠赛马、阿尔及利亚ZAHANA、</w:t>
          </w:r>
          <w:r>
            <w:rPr>
              <w:rFonts w:cs="仿宋_GB2312"/>
              <w:szCs w:val="21"/>
            </w:rPr>
            <w:t>BECHAR</w:t>
          </w:r>
          <w:r>
            <w:rPr>
              <w:rFonts w:cs="仿宋_GB2312" w:hint="eastAsia"/>
              <w:szCs w:val="21"/>
            </w:rPr>
            <w:t>4个项目荣获2022-2023年度国家优质工程奖。</w:t>
          </w:r>
        </w:p>
        <w:p w14:paraId="5F5F6F9B" w14:textId="77777777" w:rsidR="00E57DAA" w:rsidRDefault="00AC4185">
          <w:pPr>
            <w:spacing w:line="276" w:lineRule="auto"/>
            <w:ind w:firstLineChars="200" w:firstLine="422"/>
            <w:jc w:val="both"/>
            <w:rPr>
              <w:rFonts w:cs="仿宋_GB2312"/>
              <w:szCs w:val="21"/>
            </w:rPr>
          </w:pPr>
          <w:r>
            <w:rPr>
              <w:rFonts w:cs="仿宋_GB2312" w:hint="eastAsia"/>
              <w:b/>
              <w:bCs/>
              <w:szCs w:val="21"/>
            </w:rPr>
            <w:t>高端装备制造深化融合强基。</w:t>
          </w:r>
          <w:r>
            <w:rPr>
              <w:rFonts w:cs="仿宋_GB2312" w:hint="eastAsia"/>
              <w:szCs w:val="21"/>
            </w:rPr>
            <w:t>顺利完成合肥院并购重组，按照“统一平台、一体管理</w:t>
          </w:r>
          <w:r w:rsidR="00CA444D">
            <w:rPr>
              <w:rFonts w:cs="仿宋_GB2312" w:hint="eastAsia"/>
              <w:szCs w:val="21"/>
            </w:rPr>
            <w:t>、</w:t>
          </w:r>
          <w:r>
            <w:rPr>
              <w:rFonts w:cs="仿宋_GB2312" w:hint="eastAsia"/>
              <w:szCs w:val="21"/>
            </w:rPr>
            <w:t>一类装备、一个主体”的“四个一”原则，加快推进装备业务专业化整合，推动工程板块与装备板块协同发展、相互促进。2023年新签装备合同额74.12亿元，同比增长14%；实现营业收入71.76亿元，同比增长2%；毛利率25.47%，同比提升1.39个百分点。公司具有研发制造能力的十类核心主机装备自给率超过60%，立磨、辊压机、篦冷机、预热器等拳头产品市场份额稳居全国第一。装备境外业务收入占装备收入比重提升至</w:t>
          </w:r>
          <w:r>
            <w:rPr>
              <w:rFonts w:cs="仿宋_GB2312"/>
              <w:szCs w:val="21"/>
            </w:rPr>
            <w:t>25</w:t>
          </w:r>
          <w:r>
            <w:rPr>
              <w:rFonts w:cs="仿宋_GB2312" w:hint="eastAsia"/>
              <w:szCs w:val="21"/>
            </w:rPr>
            <w:t>%，装备外行业收入占装备收入比重提升至</w:t>
          </w:r>
          <w:r>
            <w:rPr>
              <w:rFonts w:cs="仿宋_GB2312"/>
              <w:szCs w:val="21"/>
            </w:rPr>
            <w:t>32</w:t>
          </w:r>
          <w:r>
            <w:rPr>
              <w:rFonts w:cs="仿宋_GB2312" w:hint="eastAsia"/>
              <w:szCs w:val="21"/>
            </w:rPr>
            <w:t>%。</w:t>
          </w:r>
        </w:p>
        <w:p w14:paraId="6B497A1A" w14:textId="77777777" w:rsidR="00E57DAA" w:rsidRDefault="00AC4185">
          <w:pPr>
            <w:spacing w:line="276" w:lineRule="auto"/>
            <w:ind w:firstLineChars="200" w:firstLine="422"/>
            <w:jc w:val="both"/>
            <w:rPr>
              <w:rFonts w:cs="仿宋_GB2312"/>
              <w:szCs w:val="21"/>
            </w:rPr>
          </w:pPr>
          <w:r>
            <w:rPr>
              <w:rFonts w:cs="仿宋_GB2312" w:hint="eastAsia"/>
              <w:b/>
              <w:bCs/>
              <w:szCs w:val="21"/>
            </w:rPr>
            <w:t>生产运营服务保持稳健增长。</w:t>
          </w:r>
          <w:r>
            <w:rPr>
              <w:rFonts w:cs="仿宋_GB2312" w:hint="eastAsia"/>
              <w:szCs w:val="21"/>
            </w:rPr>
            <w:t>全面对接客户全生命周期生产需求，打造“履约好、性能优、服务佳”的优质品牌形象。2023年新签生产运营服务合同额135.86亿元，同比增长14%；其中，新签矿山运维合同额79.75亿元，同比增长7%；</w:t>
          </w:r>
          <w:bookmarkStart w:id="28" w:name="_Hlk162352397"/>
          <w:r>
            <w:rPr>
              <w:rFonts w:cs="仿宋_GB2312" w:hint="eastAsia"/>
              <w:szCs w:val="21"/>
            </w:rPr>
            <w:t>新签水泥</w:t>
          </w:r>
          <w:r w:rsidR="00CB74C0">
            <w:rPr>
              <w:rFonts w:cs="仿宋_GB2312" w:hint="eastAsia"/>
              <w:szCs w:val="21"/>
            </w:rPr>
            <w:t>和其他</w:t>
          </w:r>
          <w:r>
            <w:rPr>
              <w:rFonts w:cs="仿宋_GB2312" w:hint="eastAsia"/>
              <w:szCs w:val="21"/>
            </w:rPr>
            <w:t>运维合同额</w:t>
          </w:r>
          <w:r w:rsidR="00CB74C0">
            <w:rPr>
              <w:rFonts w:cs="仿宋_GB2312" w:hint="eastAsia"/>
              <w:szCs w:val="21"/>
            </w:rPr>
            <w:t>56.10</w:t>
          </w:r>
          <w:r>
            <w:rPr>
              <w:rFonts w:cs="仿宋_GB2312" w:hint="eastAsia"/>
              <w:szCs w:val="21"/>
            </w:rPr>
            <w:t>亿元，同比增长</w:t>
          </w:r>
          <w:r w:rsidR="00CB74C0">
            <w:rPr>
              <w:rFonts w:cs="仿宋_GB2312" w:hint="eastAsia"/>
              <w:szCs w:val="21"/>
            </w:rPr>
            <w:t>26</w:t>
          </w:r>
          <w:r>
            <w:rPr>
              <w:rFonts w:cs="仿宋_GB2312" w:hint="eastAsia"/>
              <w:szCs w:val="21"/>
            </w:rPr>
            <w:t>%</w:t>
          </w:r>
          <w:bookmarkEnd w:id="28"/>
          <w:r>
            <w:rPr>
              <w:rFonts w:cs="仿宋_GB2312" w:hint="eastAsia"/>
              <w:szCs w:val="21"/>
            </w:rPr>
            <w:t>。报告期内，生产运营服务实现营业收入106亿元，同比增长13.83%；其中，矿山运维实</w:t>
          </w:r>
          <w:r>
            <w:rPr>
              <w:rFonts w:cs="仿宋_GB2312" w:hint="eastAsia"/>
              <w:szCs w:val="21"/>
            </w:rPr>
            <w:lastRenderedPageBreak/>
            <w:t>现营业收入64.82亿元，同比增长22.45%；水泥及其他运维服务实现营业收入</w:t>
          </w:r>
          <w:r>
            <w:rPr>
              <w:rFonts w:cs="仿宋_GB2312"/>
              <w:szCs w:val="21"/>
            </w:rPr>
            <w:t>41.18</w:t>
          </w:r>
          <w:r>
            <w:rPr>
              <w:rFonts w:cs="仿宋_GB2312" w:hint="eastAsia"/>
              <w:szCs w:val="21"/>
            </w:rPr>
            <w:t>亿元，同比增长</w:t>
          </w:r>
          <w:r>
            <w:rPr>
              <w:rFonts w:cs="仿宋_GB2312"/>
              <w:szCs w:val="21"/>
            </w:rPr>
            <w:t>2.48</w:t>
          </w:r>
          <w:r>
            <w:rPr>
              <w:rFonts w:cs="仿宋_GB2312" w:hint="eastAsia"/>
              <w:szCs w:val="21"/>
            </w:rPr>
            <w:t>%。截至报告期末，在执行矿山运维服务项目281个，其中境外项目5个；完成供矿量6.5亿吨，同比增长25%，水泥供矿市场占有率进一步提升；在执行水泥运维服务生产线56条，</w:t>
          </w:r>
          <w:bookmarkStart w:id="29" w:name="_Hlk162352447"/>
          <w:r>
            <w:rPr>
              <w:rFonts w:cs="仿宋_GB2312" w:hint="eastAsia"/>
              <w:szCs w:val="21"/>
            </w:rPr>
            <w:t>年提供产能超过1亿吨</w:t>
          </w:r>
          <w:r w:rsidR="00CB74C0">
            <w:rPr>
              <w:rFonts w:cs="仿宋_GB2312" w:hint="eastAsia"/>
              <w:szCs w:val="21"/>
            </w:rPr>
            <w:t>，同比增长23%</w:t>
          </w:r>
          <w:bookmarkEnd w:id="29"/>
          <w:r>
            <w:rPr>
              <w:rFonts w:cs="仿宋_GB2312" w:hint="eastAsia"/>
              <w:szCs w:val="21"/>
            </w:rPr>
            <w:t>。</w:t>
          </w:r>
        </w:p>
        <w:p w14:paraId="7CDE2DC1" w14:textId="77777777" w:rsidR="00E57DAA" w:rsidRDefault="00AC4185">
          <w:pPr>
            <w:spacing w:line="276" w:lineRule="auto"/>
            <w:ind w:firstLineChars="200" w:firstLine="422"/>
            <w:jc w:val="both"/>
            <w:outlineLvl w:val="1"/>
            <w:rPr>
              <w:rFonts w:cs="仿宋_GB2312"/>
              <w:b/>
              <w:bCs/>
              <w:szCs w:val="21"/>
            </w:rPr>
          </w:pPr>
          <w:bookmarkStart w:id="30" w:name="_Toc12123"/>
          <w:r>
            <w:rPr>
              <w:rFonts w:cs="仿宋_GB2312" w:hint="eastAsia"/>
              <w:b/>
              <w:bCs/>
              <w:szCs w:val="21"/>
            </w:rPr>
            <w:t>（二）绿色智能升级稳步推进，属地深耕完善全球布局</w:t>
          </w:r>
          <w:bookmarkEnd w:id="30"/>
          <w:r>
            <w:rPr>
              <w:rFonts w:cs="仿宋_GB2312" w:hint="eastAsia"/>
              <w:b/>
              <w:bCs/>
              <w:szCs w:val="21"/>
            </w:rPr>
            <w:t xml:space="preserve"> </w:t>
          </w:r>
        </w:p>
        <w:p w14:paraId="728E3E1F" w14:textId="77777777" w:rsidR="00E57DAA" w:rsidRDefault="00AC4185">
          <w:pPr>
            <w:spacing w:line="276" w:lineRule="auto"/>
            <w:ind w:firstLineChars="200" w:firstLine="422"/>
            <w:jc w:val="both"/>
            <w:rPr>
              <w:rFonts w:cs="仿宋_GB2312"/>
              <w:szCs w:val="21"/>
            </w:rPr>
          </w:pPr>
          <w:r>
            <w:rPr>
              <w:rFonts w:cs="仿宋_GB2312" w:hint="eastAsia"/>
              <w:b/>
              <w:bCs/>
              <w:szCs w:val="21"/>
            </w:rPr>
            <w:t>持续推进绿色低碳转型。</w:t>
          </w:r>
          <w:r>
            <w:rPr>
              <w:rFonts w:cs="仿宋_GB2312" w:hint="eastAsia"/>
              <w:szCs w:val="21"/>
            </w:rPr>
            <w:t>大力推进绿色低碳技术研发与产业化应用，全球水泥行业全氧燃烧耦合碳捕集技术规模最大、中国建材集团水泥板块首个碳捕集项目——青州中联年产20万吨二氧化碳全氧燃烧富集提纯示范项目顺利点火；相继成功签约欧洲两条工业化应用的全氧燃烧熟料线工程项目。公司自主研发的绿色低碳水泥工厂数字化设计建造技术经行业鉴定达到世界先进水平，并成功应用于铜川尧柏、玉山南方等生产线。绿色矿山建设成果丰硕，公司所属中材矿山累计建成131座绿色矿山，在21个项目投入运营177辆新能源矿车。</w:t>
          </w:r>
        </w:p>
        <w:p w14:paraId="55F21296" w14:textId="77777777" w:rsidR="00E57DAA" w:rsidRDefault="00AC4185">
          <w:pPr>
            <w:spacing w:line="276" w:lineRule="auto"/>
            <w:ind w:firstLineChars="200" w:firstLine="422"/>
            <w:jc w:val="both"/>
          </w:pPr>
          <w:r>
            <w:rPr>
              <w:rFonts w:hint="eastAsia"/>
              <w:b/>
              <w:bCs/>
            </w:rPr>
            <w:t>加快数智赋能、数实融合。</w:t>
          </w:r>
          <w:r>
            <w:rPr>
              <w:rFonts w:hint="eastAsia"/>
            </w:rPr>
            <w:t>全力推动数字化战略落地执行，组建中材国际智能科技有限公司，打造数字中材国际建设服务商和工业智能化整体解决方案服务商。围绕产业链布局数智链，构建研发数字化、设计数字化、工程数字化、装备智能化、工厂智能化的数字化系统能力和全周期产品序列。加速推进数实深度融合，</w:t>
          </w:r>
          <w:bookmarkStart w:id="31" w:name="_Hlk162253688"/>
          <w:r>
            <w:t>推出数智工厂整体解决方案2.0</w:t>
          </w:r>
          <w:bookmarkEnd w:id="31"/>
          <w:r>
            <w:rPr>
              <w:rFonts w:hint="eastAsia"/>
            </w:rPr>
            <w:t>，形成一体化智能巡检、在线热工诊断等22项最佳实践；全年建成数字智能工厂9个、数字化矿山20座，打造了合肥南方、宜城南方、滁州中联、山东泉兴、池州中建材骨料等一批智能化标杆示范项目。</w:t>
          </w:r>
        </w:p>
        <w:p w14:paraId="42BFF0EA" w14:textId="77777777" w:rsidR="00E57DAA" w:rsidRDefault="00AC4185">
          <w:pPr>
            <w:spacing w:line="276" w:lineRule="auto"/>
            <w:ind w:firstLineChars="200" w:firstLine="422"/>
            <w:jc w:val="both"/>
            <w:rPr>
              <w:rFonts w:cs="仿宋_GB2312"/>
              <w:szCs w:val="21"/>
            </w:rPr>
          </w:pPr>
          <w:r>
            <w:rPr>
              <w:rFonts w:cs="仿宋_GB2312" w:hint="eastAsia"/>
              <w:b/>
              <w:bCs/>
              <w:szCs w:val="21"/>
            </w:rPr>
            <w:t>属地经营助力国际化发展。</w:t>
          </w:r>
          <w:r>
            <w:rPr>
              <w:rFonts w:cs="仿宋_GB2312" w:hint="eastAsia"/>
              <w:szCs w:val="21"/>
            </w:rPr>
            <w:t>发挥全产业链以及属地核心优势，推动属地发展迈上新台阶。“全球织网行动”全面推进，建立属地化资源联络机制与区域化属地资源共享平台，建成1亿元利润平台3家、5000万元利润平台1家、3000万元利润平台1家。增资参股中材水泥，打造基础建材联合出海共同体。注重属地本土化人才建设和文化融合，外籍长期雇员1800余人，为公司发展提供坚实保障。</w:t>
          </w:r>
        </w:p>
        <w:p w14:paraId="588A147A" w14:textId="77777777" w:rsidR="00E57DAA" w:rsidRDefault="00AC4185">
          <w:pPr>
            <w:spacing w:line="276" w:lineRule="auto"/>
            <w:ind w:firstLineChars="200" w:firstLine="422"/>
            <w:jc w:val="both"/>
            <w:outlineLvl w:val="1"/>
            <w:rPr>
              <w:rFonts w:cs="仿宋_GB2312"/>
              <w:b/>
              <w:bCs/>
              <w:szCs w:val="21"/>
            </w:rPr>
          </w:pPr>
          <w:bookmarkStart w:id="32" w:name="_Toc13809"/>
          <w:r>
            <w:rPr>
              <w:rFonts w:cs="仿宋_GB2312" w:hint="eastAsia"/>
              <w:b/>
              <w:bCs/>
              <w:szCs w:val="21"/>
            </w:rPr>
            <w:t>（三）科技赋能彰显创新优势，新质生产力正加快形成</w:t>
          </w:r>
          <w:bookmarkEnd w:id="32"/>
        </w:p>
        <w:p w14:paraId="4440737F" w14:textId="77777777" w:rsidR="00E57DAA" w:rsidRDefault="00AC4185">
          <w:pPr>
            <w:spacing w:line="276" w:lineRule="auto"/>
            <w:ind w:firstLineChars="200" w:firstLine="422"/>
            <w:jc w:val="both"/>
            <w:rPr>
              <w:rFonts w:cs="仿宋_GB2312"/>
              <w:szCs w:val="21"/>
            </w:rPr>
          </w:pPr>
          <w:r>
            <w:rPr>
              <w:rFonts w:cs="仿宋_GB2312" w:hint="eastAsia"/>
              <w:b/>
              <w:bCs/>
              <w:szCs w:val="21"/>
            </w:rPr>
            <w:t>深入践行科技自立自强，推动公司向价值链更高端跃升。</w:t>
          </w:r>
          <w:r>
            <w:rPr>
              <w:rFonts w:cs="仿宋_GB2312" w:hint="eastAsia"/>
              <w:szCs w:val="21"/>
            </w:rPr>
            <w:t>持续加大研发投入，2023年公司研发费用18.42亿元，同比增长13.22%。加大科技攻关力度，强化关键核心技术攻关，完成第二批重点科研项目布局、第一批前沿科学基金项目立项。强化知识产权成果管理，2023年申请发明专利317件，其中国际专利12件，获得发明专利授权131件，其中国际专利3件，3项PCT专利进入欧美国家阶段；在执行标准项目99项，其中国际标准2项、国家标准44项。</w:t>
          </w:r>
        </w:p>
        <w:p w14:paraId="779BAD8B" w14:textId="77777777" w:rsidR="00E57DAA" w:rsidRDefault="00AC4185">
          <w:pPr>
            <w:spacing w:line="276" w:lineRule="auto"/>
            <w:ind w:firstLineChars="200" w:firstLine="422"/>
            <w:jc w:val="both"/>
            <w:rPr>
              <w:rFonts w:cs="仿宋_GB2312"/>
              <w:szCs w:val="21"/>
            </w:rPr>
          </w:pPr>
          <w:r>
            <w:rPr>
              <w:rFonts w:cs="仿宋_GB2312" w:hint="eastAsia"/>
              <w:b/>
              <w:bCs/>
              <w:szCs w:val="21"/>
            </w:rPr>
            <w:t>加快科技创新平台搭建，强化联合创新和国际交流合作。</w:t>
          </w:r>
          <w:r>
            <w:rPr>
              <w:rFonts w:cs="仿宋_GB2312" w:hint="eastAsia"/>
              <w:szCs w:val="21"/>
            </w:rPr>
            <w:t>2023年，公司新增国家级专精特新企业1家，省级专精特新企业4家，积极推进阿尔及利亚、法国、尼日利亚等联合实验室和研究合作平台建设，创新国际合作生态。成功召开中材国际首届水泥绿色智能发展峰会，充分展示中国水泥工业发展新成果，进一步提升公司行业影响力。</w:t>
          </w:r>
        </w:p>
        <w:p w14:paraId="2A5DA89B" w14:textId="77777777" w:rsidR="00E57DAA" w:rsidRDefault="00AC4185">
          <w:pPr>
            <w:spacing w:line="276" w:lineRule="auto"/>
            <w:ind w:firstLineChars="200" w:firstLine="422"/>
            <w:jc w:val="both"/>
            <w:outlineLvl w:val="1"/>
            <w:rPr>
              <w:rFonts w:cs="仿宋_GB2312"/>
              <w:b/>
              <w:bCs/>
              <w:szCs w:val="21"/>
            </w:rPr>
          </w:pPr>
          <w:bookmarkStart w:id="33" w:name="_Toc27234"/>
          <w:r>
            <w:rPr>
              <w:rFonts w:cs="仿宋_GB2312" w:hint="eastAsia"/>
              <w:b/>
              <w:bCs/>
              <w:szCs w:val="21"/>
            </w:rPr>
            <w:t>（四）深化改革提升治理效能，助力建设世界一流企业</w:t>
          </w:r>
          <w:bookmarkEnd w:id="33"/>
        </w:p>
        <w:p w14:paraId="661A0691" w14:textId="77777777" w:rsidR="00E57DAA" w:rsidRDefault="00AC4185">
          <w:pPr>
            <w:spacing w:line="276" w:lineRule="auto"/>
            <w:ind w:firstLineChars="200" w:firstLine="420"/>
            <w:jc w:val="both"/>
            <w:rPr>
              <w:rFonts w:cs="仿宋_GB2312"/>
              <w:szCs w:val="21"/>
            </w:rPr>
          </w:pPr>
          <w:r>
            <w:rPr>
              <w:rFonts w:cs="仿宋_GB2312" w:hint="eastAsia"/>
              <w:szCs w:val="21"/>
            </w:rPr>
            <w:t>国企改革三年行动圆满收官，连续两年获评国资委“双百企业”考核“标杆企业”，合肥院、天津院分别获评“双百企业”“科改示范企业”专项考核“优秀企业”。中长期激励覆盖全级次企业共2468人，覆盖面占比16%，激发公司长期发展活力。</w:t>
          </w:r>
        </w:p>
        <w:p w14:paraId="0F7AD4BA" w14:textId="77777777" w:rsidR="00E57DAA" w:rsidRDefault="00AC4185">
          <w:pPr>
            <w:spacing w:line="276" w:lineRule="auto"/>
            <w:ind w:firstLineChars="200" w:firstLine="420"/>
            <w:jc w:val="both"/>
            <w:rPr>
              <w:rFonts w:cs="仿宋_GB2312"/>
              <w:szCs w:val="21"/>
            </w:rPr>
          </w:pPr>
          <w:r>
            <w:rPr>
              <w:rFonts w:cs="仿宋_GB2312"/>
              <w:szCs w:val="21"/>
            </w:rPr>
            <w:lastRenderedPageBreak/>
            <w:t>在巩固国企改革三年行动成效基础上，公司统筹谋划新一轮改革深化提升行动</w:t>
          </w:r>
          <w:r>
            <w:rPr>
              <w:rFonts w:cs="仿宋_GB2312" w:hint="eastAsia"/>
              <w:szCs w:val="21"/>
            </w:rPr>
            <w:t>，全面开展改革深化提升、创建一流和价值创造、提高上市公司质量等专项行动，为公司“效益提升、价值创造”持续注入新动能，获得中国企业改革发展优秀成果4项、国有企业深化改革实践成果5项。</w:t>
          </w:r>
        </w:p>
        <w:p w14:paraId="763F9432" w14:textId="77777777" w:rsidR="00E57DAA" w:rsidRDefault="00AC4185">
          <w:pPr>
            <w:spacing w:line="276" w:lineRule="auto"/>
            <w:ind w:firstLineChars="200" w:firstLine="422"/>
            <w:jc w:val="both"/>
            <w:outlineLvl w:val="1"/>
            <w:rPr>
              <w:rFonts w:cs="仿宋_GB2312"/>
              <w:b/>
              <w:bCs/>
              <w:szCs w:val="21"/>
            </w:rPr>
          </w:pPr>
          <w:bookmarkStart w:id="34" w:name="_Toc14823"/>
          <w:r>
            <w:rPr>
              <w:rFonts w:cs="仿宋_GB2312" w:hint="eastAsia"/>
              <w:b/>
              <w:bCs/>
              <w:szCs w:val="21"/>
            </w:rPr>
            <w:t>（五）防范化解风险积极有效，护航公司发展行稳致远</w:t>
          </w:r>
          <w:bookmarkEnd w:id="34"/>
        </w:p>
        <w:p w14:paraId="00253DF3" w14:textId="77777777" w:rsidR="00E57DAA" w:rsidRDefault="00AC4185">
          <w:pPr>
            <w:spacing w:line="276" w:lineRule="auto"/>
            <w:ind w:firstLineChars="200" w:firstLine="420"/>
            <w:jc w:val="both"/>
            <w:rPr>
              <w:rFonts w:cs="仿宋_GB2312"/>
              <w:szCs w:val="21"/>
            </w:rPr>
          </w:pPr>
          <w:r>
            <w:rPr>
              <w:rFonts w:cs="仿宋_GB2312" w:hint="eastAsia"/>
              <w:szCs w:val="21"/>
            </w:rPr>
            <w:t>建立重大风险预警机制，实现境外风险排查、新并购企业风险内控体系、境外机构审计“三个全覆盖”。不断完善事前预防为主、事中控制有效、事后处理规范的法律合规风险防范机制，建立健全合规风险“三道防线”，顺利通过GB/T35770-2022/ISO 37301:2021合规管理体系认证</w:t>
          </w:r>
          <w:r>
            <w:t>和年度监督审核认证</w:t>
          </w:r>
          <w:r>
            <w:rPr>
              <w:rFonts w:cs="仿宋_GB2312" w:hint="eastAsia"/>
              <w:szCs w:val="21"/>
            </w:rPr>
            <w:t>。建立国别风险动态防控机制，发布尼日利亚、伊拉克、埃及、沙特等重点国家《国别动态》。坚持统筹发展与安全，大力推进安全风险分级管控标准化，发布安全风险辨识清单库；筑牢“安全墙”，实现安全隐患整改率100%、安全教育培训全覆盖。</w:t>
          </w:r>
        </w:p>
        <w:p w14:paraId="2FC64974" w14:textId="77777777" w:rsidR="00A96ECD" w:rsidRDefault="00A96ECD">
          <w:pPr>
            <w:spacing w:line="276" w:lineRule="auto"/>
            <w:ind w:firstLineChars="200" w:firstLine="420"/>
            <w:jc w:val="both"/>
            <w:rPr>
              <w:rFonts w:cs="仿宋_GB2312"/>
              <w:szCs w:val="21"/>
            </w:rPr>
          </w:pPr>
        </w:p>
        <w:p w14:paraId="64FCA721" w14:textId="77777777" w:rsidR="00E57DAA" w:rsidRDefault="00A96ECD" w:rsidP="00A96ECD">
          <w:pPr>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注：</w:t>
          </w:r>
          <w:r>
            <w:t>以</w:t>
          </w:r>
          <w:r>
            <w:rPr>
              <w:rFonts w:hint="eastAsia"/>
            </w:rPr>
            <w:t>上</w:t>
          </w:r>
          <w:r>
            <w:t>内容中所有同比数据均为追溯调整合肥院、智慧工业后的同口径数据。</w:t>
          </w:r>
        </w:p>
      </w:sdtContent>
    </w:sdt>
    <w:bookmarkEnd w:id="25" w:displacedByCustomXml="prev"/>
    <w:p w14:paraId="4BA489DC" w14:textId="77777777" w:rsidR="00E57DAA" w:rsidRDefault="00E57DAA">
      <w:pPr>
        <w:rPr>
          <w:rFonts w:asciiTheme="minorEastAsia" w:eastAsiaTheme="minorEastAsia" w:hAnsiTheme="minorEastAsia"/>
        </w:rPr>
      </w:pPr>
    </w:p>
    <w:p w14:paraId="024993D8" w14:textId="77777777" w:rsidR="00E57DAA" w:rsidRDefault="00AC4185">
      <w:pPr>
        <w:pStyle w:val="2"/>
        <w:numPr>
          <w:ilvl w:val="0"/>
          <w:numId w:val="8"/>
        </w:numPr>
      </w:pPr>
      <w:r>
        <w:t>报告期内公司所处行业情况</w:t>
      </w:r>
    </w:p>
    <w:sdt>
      <w:sdtPr>
        <w:rPr>
          <w:rFonts w:hint="eastAsia"/>
        </w:rPr>
        <w:alias w:val="报告期内公司所处行业情况 "/>
        <w:tag w:val="_GBC_62343dd2540e4e58bef438888246bd32"/>
        <w:id w:val="-557404618"/>
        <w:placeholder>
          <w:docPart w:val="GBC22222222222222222222222222222"/>
        </w:placeholder>
      </w:sdtPr>
      <w:sdtEndPr>
        <w:rPr>
          <w:rFonts w:asciiTheme="minorEastAsia" w:eastAsiaTheme="minorEastAsia" w:hAnsiTheme="minorEastAsia"/>
          <w:szCs w:val="21"/>
        </w:rPr>
      </w:sdtEndPr>
      <w:sdtContent>
        <w:p w14:paraId="5BB96D8E" w14:textId="77777777" w:rsidR="00E57DAA" w:rsidRDefault="00AC4185">
          <w:pPr>
            <w:ind w:left="420"/>
            <w:jc w:val="both"/>
            <w:rPr>
              <w:b/>
              <w:szCs w:val="21"/>
            </w:rPr>
          </w:pPr>
          <w:r>
            <w:rPr>
              <w:rFonts w:hint="eastAsia"/>
              <w:b/>
              <w:szCs w:val="21"/>
            </w:rPr>
            <w:t>（一）公司所属行业情况</w:t>
          </w:r>
        </w:p>
        <w:p w14:paraId="73ACC13E" w14:textId="77777777" w:rsidR="00E57DAA" w:rsidRDefault="00AC4185">
          <w:pPr>
            <w:spacing w:line="276" w:lineRule="auto"/>
            <w:ind w:firstLineChars="200" w:firstLine="422"/>
            <w:outlineLvl w:val="2"/>
            <w:rPr>
              <w:b/>
              <w:szCs w:val="21"/>
            </w:rPr>
          </w:pPr>
          <w:bookmarkStart w:id="35" w:name="_Hlk142381586"/>
          <w:bookmarkStart w:id="36" w:name="_Hlk162339236"/>
          <w:r>
            <w:rPr>
              <w:rFonts w:cs="仿宋_GB2312" w:hint="eastAsia"/>
              <w:b/>
              <w:bCs/>
              <w:szCs w:val="21"/>
            </w:rPr>
            <w:t>1、</w:t>
          </w:r>
          <w:r>
            <w:rPr>
              <w:rFonts w:hint="eastAsia"/>
              <w:b/>
              <w:szCs w:val="21"/>
            </w:rPr>
            <w:t>水泥工程服务</w:t>
          </w:r>
        </w:p>
        <w:p w14:paraId="457E6481"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是全球最大的水泥技术装备工程系统集成服务商。当前，全球水泥产业区域发展不均衡，整线EPC需求增长有限，但“绿色低碳、数字智能、可持续发展”已成为全球水泥行业的共识，水泥企业对新技术、新装备的需求持续释放。</w:t>
          </w:r>
        </w:p>
        <w:p w14:paraId="1CE281CE"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国际市场，据</w:t>
          </w:r>
          <w:proofErr w:type="spellStart"/>
          <w:r>
            <w:rPr>
              <w:rFonts w:asciiTheme="minorEastAsia" w:eastAsiaTheme="minorEastAsia" w:hAnsiTheme="minorEastAsia" w:cs="仿宋_GB2312" w:hint="eastAsia"/>
              <w:szCs w:val="21"/>
            </w:rPr>
            <w:t>Onfield</w:t>
          </w:r>
          <w:proofErr w:type="spellEnd"/>
          <w:r>
            <w:rPr>
              <w:rFonts w:asciiTheme="minorEastAsia" w:eastAsiaTheme="minorEastAsia" w:hAnsiTheme="minorEastAsia" w:cs="仿宋_GB2312" w:hint="eastAsia"/>
              <w:szCs w:val="21"/>
            </w:rPr>
            <w:t>调查，2023年全球水泥产需量基本保持稳定，多数地区水泥价格上涨，除中国外平均增长2.6%。受疫情放开后经济回暖影响，境外水泥EPC市场呈现恢复性增长的局面。境外新建增量主要来自非洲、中东、南亚等“一带一路”沿线国家基建需求。在欧洲市场，受脱碳政策影响，存量技改订单活跃。</w:t>
          </w:r>
        </w:p>
        <w:p w14:paraId="389A869D"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国内市场，2023年受水泥行业需求萎缩、价格低位下行、利润大幅下降影响，水泥整线EPC机会大幅锐减。但是在“双碳”与“双控”政策共同作用下，产业转型升级需求迫切。2022年6月23日，工信部等六部门联合发布《工业能效提升行动计划》，对工业节能提效和绿色低碳发展提出了新的要求；新版《水泥单位产品能源消耗限额》已于2022年11月起实施，对水泥产品能耗指标要求更为严格；2022年11月8日，工信部等四部门联合印发《建材行业碳达峰实施方案》，提出“十四五”期间水泥熟料单位产品综合能耗降低3%以上，2030年前建材行业实现碳达峰；2023年8月22日，工信部等八部门联合印发《建材行业稳增长方案》，明确水泥行业2023年-2024年行业能效标杆水平以上产能占比超过15%，产业高端化智能化绿色化水平不断提升；2024年1月19日，生态环境部等五部门联合发布《关于推进实施水泥行业超低排放的意见》，目标到2025年底前，重点区域力争50%水泥熟料产能完成超低排放改造，区域内大型国有企业集团基本完成超低排放改造；到2028年底前，重点区域水泥熟料生产企业基本完成改造，全国力争80%水泥熟料产能完成改造。截止到</w:t>
          </w:r>
          <w:r>
            <w:rPr>
              <w:rFonts w:asciiTheme="minorEastAsia" w:eastAsiaTheme="minorEastAsia" w:hAnsiTheme="minorEastAsia" w:cs="仿宋_GB2312"/>
              <w:szCs w:val="21"/>
            </w:rPr>
            <w:t xml:space="preserve"> 2022 </w:t>
          </w:r>
          <w:r>
            <w:rPr>
              <w:rFonts w:asciiTheme="minorEastAsia" w:eastAsiaTheme="minorEastAsia" w:hAnsiTheme="minorEastAsia" w:cs="仿宋_GB2312" w:hint="eastAsia"/>
              <w:szCs w:val="21"/>
            </w:rPr>
            <w:t>年底，全国新型干法水泥生产线累计共有</w:t>
          </w:r>
          <w:r>
            <w:rPr>
              <w:rFonts w:asciiTheme="minorEastAsia" w:eastAsiaTheme="minorEastAsia" w:hAnsiTheme="minorEastAsia" w:cs="仿宋_GB2312"/>
              <w:szCs w:val="21"/>
            </w:rPr>
            <w:t xml:space="preserve"> 1572 </w:t>
          </w:r>
          <w:r>
            <w:rPr>
              <w:rFonts w:asciiTheme="minorEastAsia" w:eastAsiaTheme="minorEastAsia" w:hAnsiTheme="minorEastAsia" w:cs="仿宋_GB2312" w:hint="eastAsia"/>
              <w:szCs w:val="21"/>
            </w:rPr>
            <w:t>条，其中运转10年以上的线占比80%，国内老线绿色智能技术改造仍有较大需求。</w:t>
          </w:r>
        </w:p>
        <w:p w14:paraId="1B2B1984" w14:textId="77777777" w:rsidR="00E57DAA" w:rsidRDefault="00AC4185">
          <w:pPr>
            <w:spacing w:line="276" w:lineRule="auto"/>
            <w:ind w:firstLineChars="200" w:firstLine="422"/>
            <w:jc w:val="both"/>
            <w:outlineLvl w:val="2"/>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2、水泥技术装备</w:t>
          </w:r>
        </w:p>
        <w:p w14:paraId="5F7EA6AE" w14:textId="77777777" w:rsidR="00182CAE"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公司装备业务主要涵盖水泥技术装备、矿业破碎及物料处理装备等领域。伴随2023年合肥院重组完成，中材国际构筑了水泥领域规模最大、品种最全的装备业务，拥有</w:t>
          </w:r>
          <w:r>
            <w:rPr>
              <w:rFonts w:asciiTheme="minorEastAsia" w:eastAsiaTheme="minorEastAsia" w:hAnsiTheme="minorEastAsia" w:cs="仿宋_GB2312"/>
              <w:szCs w:val="21"/>
            </w:rPr>
            <w:t>700-14000t/d</w:t>
          </w:r>
          <w:r>
            <w:rPr>
              <w:rFonts w:asciiTheme="minorEastAsia" w:eastAsiaTheme="minorEastAsia" w:hAnsiTheme="minorEastAsia" w:cs="仿宋_GB2312" w:hint="eastAsia"/>
              <w:szCs w:val="21"/>
            </w:rPr>
            <w:t>级</w:t>
          </w:r>
          <w:r>
            <w:rPr>
              <w:rFonts w:asciiTheme="minorEastAsia" w:eastAsiaTheme="minorEastAsia" w:hAnsiTheme="minorEastAsia" w:cs="仿宋_GB2312" w:hint="eastAsia"/>
              <w:szCs w:val="21"/>
            </w:rPr>
            <w:lastRenderedPageBreak/>
            <w:t>全规模、覆盖破碎、粉磨、烧成、物料输送、环保以及DCS控制系统全流程的具有自主知识产权的系列核心装备，其中辊压机全球市占率第一，</w:t>
          </w:r>
          <w:r>
            <w:rPr>
              <w:rFonts w:asciiTheme="minorEastAsia" w:eastAsiaTheme="minorEastAsia" w:hAnsiTheme="minorEastAsia" w:cs="仿宋_GB2312"/>
              <w:szCs w:val="21"/>
            </w:rPr>
            <w:t>熟料输送机国内市占率达85%</w:t>
          </w:r>
          <w:r>
            <w:rPr>
              <w:rFonts w:asciiTheme="minorEastAsia" w:eastAsiaTheme="minorEastAsia" w:hAnsiTheme="minorEastAsia" w:cs="仿宋_GB2312" w:hint="eastAsia"/>
              <w:szCs w:val="21"/>
            </w:rPr>
            <w:t>，篦冷机国内市场占有率超过</w:t>
          </w:r>
          <w:r>
            <w:rPr>
              <w:rFonts w:asciiTheme="minorEastAsia" w:eastAsiaTheme="minorEastAsia" w:hAnsiTheme="minorEastAsia" w:cs="仿宋_GB2312"/>
              <w:szCs w:val="21"/>
            </w:rPr>
            <w:t>70%</w:t>
          </w:r>
          <w:r>
            <w:rPr>
              <w:rFonts w:asciiTheme="minorEastAsia" w:eastAsiaTheme="minorEastAsia" w:hAnsiTheme="minorEastAsia" w:cs="仿宋_GB2312" w:hint="eastAsia"/>
              <w:szCs w:val="21"/>
            </w:rPr>
            <w:t>。水泥装备销售与整线EPC项目、技改EPC项目紧密相关，现阶段水泥装备销售主要面向以境外市场为主的整线</w:t>
          </w:r>
          <w:r>
            <w:rPr>
              <w:rFonts w:asciiTheme="minorEastAsia" w:eastAsiaTheme="minorEastAsia" w:hAnsiTheme="minorEastAsia" w:cs="仿宋_GB2312"/>
              <w:szCs w:val="21"/>
            </w:rPr>
            <w:t>EPC</w:t>
          </w:r>
          <w:r>
            <w:rPr>
              <w:rFonts w:asciiTheme="minorEastAsia" w:eastAsiaTheme="minorEastAsia" w:hAnsiTheme="minorEastAsia" w:cs="仿宋_GB2312" w:hint="eastAsia"/>
              <w:szCs w:val="21"/>
            </w:rPr>
            <w:t>项目需求和国内水泥行业转型升级带来的技改</w:t>
          </w:r>
          <w:r>
            <w:rPr>
              <w:rFonts w:asciiTheme="minorEastAsia" w:eastAsiaTheme="minorEastAsia" w:hAnsiTheme="minorEastAsia" w:cs="仿宋_GB2312"/>
              <w:szCs w:val="21"/>
            </w:rPr>
            <w:t>EPC</w:t>
          </w:r>
          <w:r>
            <w:rPr>
              <w:rFonts w:asciiTheme="minorEastAsia" w:eastAsiaTheme="minorEastAsia" w:hAnsiTheme="minorEastAsia" w:cs="仿宋_GB2312" w:hint="eastAsia"/>
              <w:szCs w:val="21"/>
            </w:rPr>
            <w:t>项目需求以及存量装备运维的备品备件需求</w:t>
          </w:r>
          <w:r w:rsidR="00BA0092">
            <w:rPr>
              <w:rFonts w:asciiTheme="minorEastAsia" w:eastAsiaTheme="minorEastAsia" w:hAnsiTheme="minorEastAsia" w:cs="仿宋_GB2312" w:hint="eastAsia"/>
              <w:szCs w:val="21"/>
            </w:rPr>
            <w:t>。</w:t>
          </w:r>
          <w:r>
            <w:rPr>
              <w:rFonts w:asciiTheme="minorEastAsia" w:eastAsiaTheme="minorEastAsia" w:hAnsiTheme="minorEastAsia" w:cs="仿宋_GB2312" w:hint="eastAsia"/>
              <w:szCs w:val="21"/>
            </w:rPr>
            <w:t>2023年</w:t>
          </w:r>
          <w:r w:rsidR="00F11366">
            <w:rPr>
              <w:rFonts w:asciiTheme="minorEastAsia" w:eastAsiaTheme="minorEastAsia" w:hAnsiTheme="minorEastAsia" w:cs="仿宋_GB2312" w:hint="eastAsia"/>
              <w:szCs w:val="21"/>
            </w:rPr>
            <w:t>，</w:t>
          </w:r>
          <w:r>
            <w:rPr>
              <w:rFonts w:asciiTheme="minorEastAsia" w:eastAsiaTheme="minorEastAsia" w:hAnsiTheme="minorEastAsia" w:cs="仿宋_GB2312" w:hint="eastAsia"/>
              <w:szCs w:val="21"/>
            </w:rPr>
            <w:t>伴随境外水泥EPC业务迎来恢复性增长，装备境外订单也呈现较好增长；国内水泥行业“高端化、绿色化、智能化”转型升级不断催生以环保、节能、高效为特点的装备需求，以装备为核心的绿色智能技改项目成为国内业务的重要组成部分。</w:t>
          </w:r>
        </w:p>
        <w:p w14:paraId="18CD573A" w14:textId="77777777" w:rsidR="00E57DAA" w:rsidRDefault="00F739E2">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此外，</w:t>
          </w:r>
          <w:r w:rsidR="00AC4185">
            <w:rPr>
              <w:rFonts w:asciiTheme="minorEastAsia" w:eastAsiaTheme="minorEastAsia" w:hAnsiTheme="minorEastAsia" w:cs="仿宋_GB2312" w:hint="eastAsia"/>
              <w:szCs w:val="21"/>
            </w:rPr>
            <w:t>由于设备使用场景和制造工艺原理的相通性，水泥行业相关装备技术经过改进后能够应用于固废处置、</w:t>
          </w:r>
          <w:r w:rsidR="00AC4185">
            <w:rPr>
              <w:rFonts w:asciiTheme="minorEastAsia" w:eastAsiaTheme="minorEastAsia" w:hAnsiTheme="minorEastAsia" w:cs="仿宋_GB2312"/>
              <w:szCs w:val="21"/>
            </w:rPr>
            <w:t>新能源、</w:t>
          </w:r>
          <w:r w:rsidR="00AC4185">
            <w:rPr>
              <w:rFonts w:asciiTheme="minorEastAsia" w:eastAsiaTheme="minorEastAsia" w:hAnsiTheme="minorEastAsia" w:cs="仿宋_GB2312" w:hint="eastAsia"/>
              <w:szCs w:val="21"/>
            </w:rPr>
            <w:t>冶金等其他行业。公司现有核心装备已成功向水泥外行业拓展，目前粉磨装备、环保装备、输送与计量装置等装备已进入冶金、化工、电力、钢铁、煤炭等行业，如立磨产品在水泥行业外收入已达约</w:t>
          </w:r>
          <w:r w:rsidR="00AC4185">
            <w:rPr>
              <w:rFonts w:asciiTheme="minorEastAsia" w:eastAsiaTheme="minorEastAsia" w:hAnsiTheme="minorEastAsia" w:cs="仿宋_GB2312"/>
              <w:szCs w:val="21"/>
            </w:rPr>
            <w:t>50%</w:t>
          </w:r>
          <w:r w:rsidR="00AC4185">
            <w:rPr>
              <w:rFonts w:asciiTheme="minorEastAsia" w:eastAsiaTheme="minorEastAsia" w:hAnsiTheme="minorEastAsia" w:cs="仿宋_GB2312" w:hint="eastAsia"/>
              <w:szCs w:val="21"/>
            </w:rPr>
            <w:t>。</w:t>
          </w:r>
        </w:p>
        <w:p w14:paraId="189802C5" w14:textId="77777777" w:rsidR="00E57DAA" w:rsidRDefault="00AC4185">
          <w:pPr>
            <w:spacing w:line="360" w:lineRule="auto"/>
            <w:ind w:firstLineChars="200" w:firstLine="420"/>
            <w:rPr>
              <w:rFonts w:ascii="仿宋_GB2312" w:eastAsia="仿宋_GB2312" w:hAnsi="仿宋_GB2312" w:cs="仿宋_GB2312"/>
              <w:sz w:val="28"/>
              <w:szCs w:val="28"/>
            </w:rPr>
          </w:pPr>
          <w:r>
            <w:rPr>
              <w:noProof/>
            </w:rPr>
            <w:drawing>
              <wp:inline distT="0" distB="0" distL="0" distR="0" wp14:anchorId="670AD027" wp14:editId="1D43C227">
                <wp:extent cx="5274310" cy="2536190"/>
                <wp:effectExtent l="19050" t="19050" r="21590" b="16510"/>
                <wp:docPr id="1168327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32736" name="图片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2536569"/>
                        </a:xfrm>
                        <a:prstGeom prst="rect">
                          <a:avLst/>
                        </a:prstGeom>
                        <a:noFill/>
                        <a:ln>
                          <a:solidFill>
                            <a:srgbClr val="0070C0"/>
                          </a:solidFill>
                        </a:ln>
                      </pic:spPr>
                    </pic:pic>
                  </a:graphicData>
                </a:graphic>
              </wp:inline>
            </w:drawing>
          </w:r>
        </w:p>
        <w:p w14:paraId="1AAF09F9" w14:textId="77777777" w:rsidR="00E57DAA" w:rsidRDefault="00AC4185">
          <w:pPr>
            <w:spacing w:line="360" w:lineRule="auto"/>
            <w:ind w:firstLineChars="200" w:firstLine="360"/>
            <w:rPr>
              <w:rFonts w:asciiTheme="minorHAnsi" w:eastAsiaTheme="minorEastAsia" w:hAnsiTheme="minorHAnsi" w:cstheme="minorBidi"/>
              <w:sz w:val="18"/>
              <w:szCs w:val="18"/>
            </w:rPr>
          </w:pPr>
          <w:r>
            <w:rPr>
              <w:rFonts w:asciiTheme="minorHAnsi" w:eastAsiaTheme="minorEastAsia" w:hAnsiTheme="minorHAnsi" w:cstheme="minorBidi" w:hint="eastAsia"/>
              <w:sz w:val="18"/>
              <w:szCs w:val="18"/>
            </w:rPr>
            <w:t>资料来源：国盛证券研究所</w:t>
          </w:r>
          <w:r>
            <w:rPr>
              <w:rFonts w:hint="eastAsia"/>
              <w:sz w:val="18"/>
              <w:szCs w:val="18"/>
            </w:rPr>
            <w:t>《中材国际（600970.SH）：再论运维与装备业务未来成长路径》</w:t>
          </w:r>
        </w:p>
        <w:p w14:paraId="481E5718" w14:textId="77777777" w:rsidR="00E57DAA" w:rsidRDefault="00AC4185">
          <w:pPr>
            <w:spacing w:line="360" w:lineRule="auto"/>
            <w:ind w:firstLineChars="200" w:firstLine="422"/>
            <w:outlineLvl w:val="2"/>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3、水泥和矿山运维服务</w:t>
          </w:r>
        </w:p>
        <w:p w14:paraId="4F00120E"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水泥运维服务市场：</w:t>
          </w:r>
          <w:r>
            <w:rPr>
              <w:rFonts w:asciiTheme="minorEastAsia" w:eastAsiaTheme="minorEastAsia" w:hAnsiTheme="minorEastAsia" w:cs="仿宋_GB2312" w:hint="eastAsia"/>
              <w:szCs w:val="21"/>
            </w:rPr>
            <w:t>水泥运维服务主要包括整线生产运营、备品备件和维修业务。目前公司整线生产运营业务主要在境外，非洲、中东、东南亚等地区新建水泥生产线较多，当地业主管理经验、技术力量薄弱，对水泥整线运维等技术服务需求较大</w:t>
          </w:r>
          <w:r w:rsidR="00A33CCD">
            <w:rPr>
              <w:rFonts w:asciiTheme="minorEastAsia" w:eastAsiaTheme="minorEastAsia" w:hAnsiTheme="minorEastAsia" w:cs="仿宋_GB2312" w:hint="eastAsia"/>
              <w:szCs w:val="21"/>
            </w:rPr>
            <w:t>。</w:t>
          </w:r>
          <w:r>
            <w:rPr>
              <w:rFonts w:asciiTheme="minorEastAsia" w:eastAsiaTheme="minorEastAsia" w:hAnsiTheme="minorEastAsia" w:cs="仿宋_GB2312" w:hint="eastAsia"/>
              <w:szCs w:val="21"/>
            </w:rPr>
            <w:t>2023年</w:t>
          </w:r>
          <w:r w:rsidR="00A33CCD">
            <w:rPr>
              <w:rFonts w:asciiTheme="minorEastAsia" w:eastAsiaTheme="minorEastAsia" w:hAnsiTheme="minorEastAsia" w:cs="仿宋_GB2312" w:hint="eastAsia"/>
              <w:szCs w:val="21"/>
            </w:rPr>
            <w:t>，</w:t>
          </w:r>
          <w:r>
            <w:rPr>
              <w:rFonts w:asciiTheme="minorEastAsia" w:eastAsiaTheme="minorEastAsia" w:hAnsiTheme="minorEastAsia" w:cs="仿宋_GB2312" w:hint="eastAsia"/>
              <w:szCs w:val="21"/>
            </w:rPr>
            <w:t>伴随境外水泥EPC项目迎来恢复性增长，整线生产运营订单亦呈现较好增长。在备品备件领域，市场主要参与者为小型私人服务商或业主自营，竞争格局较为分散，公司旗下各专业装备子公司均有备品备件业务，产品矩阵丰富，现阶段主要服务于自有装备。备品备件属于耗材类业务，使用周期较短，每年都有望保持较为稳定</w:t>
          </w:r>
          <w:r w:rsidR="00236F3A">
            <w:rPr>
              <w:rFonts w:asciiTheme="minorEastAsia" w:eastAsiaTheme="minorEastAsia" w:hAnsiTheme="minorEastAsia" w:cs="仿宋_GB2312" w:hint="eastAsia"/>
              <w:szCs w:val="21"/>
            </w:rPr>
            <w:t>的</w:t>
          </w:r>
          <w:r>
            <w:rPr>
              <w:rFonts w:asciiTheme="minorEastAsia" w:eastAsiaTheme="minorEastAsia" w:hAnsiTheme="minorEastAsia" w:cs="仿宋_GB2312" w:hint="eastAsia"/>
              <w:szCs w:val="21"/>
            </w:rPr>
            <w:t>业务规模。</w:t>
          </w:r>
        </w:p>
        <w:p w14:paraId="50C170DC" w14:textId="77777777" w:rsidR="00E57DAA" w:rsidRDefault="00AC4185">
          <w:pPr>
            <w:spacing w:line="276" w:lineRule="auto"/>
            <w:ind w:firstLineChars="200" w:firstLine="422"/>
            <w:jc w:val="both"/>
            <w:outlineLvl w:val="2"/>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矿山运维服务市场：</w:t>
          </w:r>
          <w:r>
            <w:rPr>
              <w:rFonts w:asciiTheme="minorEastAsia" w:eastAsiaTheme="minorEastAsia" w:hAnsiTheme="minorEastAsia" w:cs="仿宋_GB2312" w:hint="eastAsia"/>
              <w:szCs w:val="21"/>
            </w:rPr>
            <w:t>矿山运维是公司目前运维业务的重要收入来源，占运维收入比重约</w:t>
          </w:r>
          <w:r>
            <w:rPr>
              <w:rFonts w:asciiTheme="minorEastAsia" w:eastAsiaTheme="minorEastAsia" w:hAnsiTheme="minorEastAsia" w:cs="仿宋_GB2312"/>
              <w:szCs w:val="21"/>
            </w:rPr>
            <w:t>60%</w:t>
          </w:r>
          <w:r>
            <w:rPr>
              <w:rFonts w:asciiTheme="minorEastAsia" w:eastAsiaTheme="minorEastAsia" w:hAnsiTheme="minorEastAsia" w:cs="仿宋_GB2312" w:hint="eastAsia"/>
              <w:szCs w:val="21"/>
            </w:rPr>
            <w:t>，主要为石灰石、砂石骨料业主提供矿山开采运维服务。</w:t>
          </w:r>
          <w:r>
            <w:rPr>
              <w:rFonts w:asciiTheme="minorEastAsia" w:eastAsiaTheme="minorEastAsia" w:hAnsiTheme="minorEastAsia" w:cs="仿宋_GB2312"/>
              <w:szCs w:val="21"/>
            </w:rPr>
            <w:t>2023</w:t>
          </w:r>
          <w:r>
            <w:rPr>
              <w:rFonts w:asciiTheme="minorEastAsia" w:eastAsiaTheme="minorEastAsia" w:hAnsiTheme="minorEastAsia" w:cs="仿宋_GB2312" w:hint="eastAsia"/>
              <w:szCs w:val="21"/>
            </w:rPr>
            <w:t>年底</w:t>
          </w:r>
          <w:bookmarkStart w:id="37" w:name="_Hlk162253774"/>
          <w:r>
            <w:rPr>
              <w:rFonts w:asciiTheme="minorEastAsia" w:eastAsiaTheme="minorEastAsia" w:hAnsiTheme="minorEastAsia" w:cs="仿宋_GB2312" w:hint="eastAsia"/>
              <w:szCs w:val="21"/>
            </w:rPr>
            <w:t>自然资源部</w:t>
          </w:r>
          <w:bookmarkEnd w:id="37"/>
          <w:r>
            <w:rPr>
              <w:rFonts w:asciiTheme="minorEastAsia" w:eastAsiaTheme="minorEastAsia" w:hAnsiTheme="minorEastAsia" w:cs="仿宋_GB2312" w:hint="eastAsia"/>
              <w:szCs w:val="21"/>
            </w:rPr>
            <w:t>《关于进一步加强绿色矿山建设的通知（征求意见稿）》发布，目标是</w:t>
          </w:r>
          <w:r>
            <w:rPr>
              <w:rFonts w:asciiTheme="minorEastAsia" w:eastAsiaTheme="minorEastAsia" w:hAnsiTheme="minorEastAsia" w:cs="仿宋_GB2312" w:hint="eastAsia"/>
              <w:kern w:val="2"/>
              <w:szCs w:val="21"/>
            </w:rPr>
            <w:t>到</w:t>
          </w:r>
          <w:r>
            <w:rPr>
              <w:rFonts w:asciiTheme="minorEastAsia" w:eastAsiaTheme="minorEastAsia" w:hAnsiTheme="minorEastAsia" w:cs="仿宋_GB2312"/>
              <w:kern w:val="2"/>
              <w:szCs w:val="21"/>
            </w:rPr>
            <w:t>2028</w:t>
          </w:r>
          <w:r>
            <w:rPr>
              <w:rFonts w:asciiTheme="minorEastAsia" w:eastAsiaTheme="minorEastAsia" w:hAnsiTheme="minorEastAsia" w:cs="仿宋_GB2312" w:hint="eastAsia"/>
              <w:kern w:val="2"/>
              <w:szCs w:val="21"/>
            </w:rPr>
            <w:t>年底持证在产的全部大型矿山、</w:t>
          </w:r>
          <w:r>
            <w:rPr>
              <w:rFonts w:asciiTheme="minorEastAsia" w:eastAsiaTheme="minorEastAsia" w:hAnsiTheme="minorEastAsia" w:cs="仿宋_GB2312"/>
              <w:kern w:val="2"/>
              <w:szCs w:val="21"/>
            </w:rPr>
            <w:t>80%</w:t>
          </w:r>
          <w:r>
            <w:rPr>
              <w:rFonts w:asciiTheme="minorEastAsia" w:eastAsiaTheme="minorEastAsia" w:hAnsiTheme="minorEastAsia" w:cs="仿宋_GB2312" w:hint="eastAsia"/>
              <w:kern w:val="2"/>
              <w:szCs w:val="21"/>
            </w:rPr>
            <w:t>中型矿山要达到绿色矿山标准要求；</w:t>
          </w:r>
          <w:r>
            <w:rPr>
              <w:rFonts w:asciiTheme="minorEastAsia" w:eastAsiaTheme="minorEastAsia" w:hAnsiTheme="minorEastAsia" w:cs="仿宋_GB2312" w:hint="eastAsia"/>
              <w:szCs w:val="21"/>
            </w:rPr>
            <w:t>地方政府相应管理条例及建设办法相继出台。</w:t>
          </w:r>
          <w:r>
            <w:rPr>
              <w:rFonts w:asciiTheme="minorEastAsia" w:eastAsiaTheme="minorEastAsia" w:hAnsiTheme="minorEastAsia" w:cs="仿宋_GB2312" w:hint="eastAsia"/>
              <w:kern w:val="2"/>
              <w:szCs w:val="21"/>
            </w:rPr>
            <w:t>伴随</w:t>
          </w:r>
          <w:r>
            <w:rPr>
              <w:rFonts w:asciiTheme="minorEastAsia" w:eastAsiaTheme="minorEastAsia" w:hAnsiTheme="minorEastAsia" w:cs="仿宋_GB2312" w:hint="eastAsia"/>
              <w:szCs w:val="21"/>
            </w:rPr>
            <w:t>国家对矿山开采安全、环保方面的要求日益严格，大、中型矿山业主在缺乏相关专业技术和设备的情况下，更倾向于将矿山运维外包至专业服务商，综合实力较强的大型服务商竞争优势</w:t>
          </w:r>
          <w:r w:rsidR="00236F3A">
            <w:rPr>
              <w:rFonts w:asciiTheme="minorEastAsia" w:eastAsiaTheme="minorEastAsia" w:hAnsiTheme="minorEastAsia" w:cs="仿宋_GB2312" w:hint="eastAsia"/>
              <w:szCs w:val="21"/>
            </w:rPr>
            <w:t>愈</w:t>
          </w:r>
          <w:r>
            <w:rPr>
              <w:rFonts w:asciiTheme="minorEastAsia" w:eastAsiaTheme="minorEastAsia" w:hAnsiTheme="minorEastAsia" w:cs="仿宋_GB2312" w:hint="eastAsia"/>
              <w:szCs w:val="21"/>
            </w:rPr>
            <w:t>加明显。除石灰</w:t>
          </w:r>
          <w:r>
            <w:rPr>
              <w:rFonts w:asciiTheme="minorEastAsia" w:eastAsiaTheme="minorEastAsia" w:hAnsiTheme="minorEastAsia" w:cs="仿宋_GB2312" w:hint="eastAsia"/>
              <w:szCs w:val="21"/>
            </w:rPr>
            <w:lastRenderedPageBreak/>
            <w:t>石和骨料露天开采运维服务能力外，公司拥有开采其他露天矿的技术储备，</w:t>
          </w:r>
          <w:r w:rsidR="00FD7A44">
            <w:rPr>
              <w:rFonts w:asciiTheme="minorEastAsia" w:eastAsiaTheme="minorEastAsia" w:hAnsiTheme="minorEastAsia" w:cs="仿宋_GB2312" w:hint="eastAsia"/>
              <w:szCs w:val="21"/>
            </w:rPr>
            <w:t>在全球范围内</w:t>
          </w:r>
          <w:r>
            <w:rPr>
              <w:rFonts w:asciiTheme="minorEastAsia" w:eastAsiaTheme="minorEastAsia" w:hAnsiTheme="minorEastAsia" w:cs="仿宋_GB2312" w:hint="eastAsia"/>
              <w:szCs w:val="21"/>
            </w:rPr>
            <w:t>向其他露天矿领域拓展具备较大潜力。</w:t>
          </w:r>
        </w:p>
      </w:sdtContent>
    </w:sdt>
    <w:bookmarkEnd w:id="35"/>
    <w:p w14:paraId="28139698" w14:textId="77777777" w:rsidR="00E57DAA" w:rsidRDefault="00E57DAA" w:rsidP="00C25422">
      <w:pPr>
        <w:pStyle w:val="92"/>
      </w:pPr>
    </w:p>
    <w:bookmarkEnd w:id="36"/>
    <w:p w14:paraId="12850390" w14:textId="77777777" w:rsidR="00E57DAA" w:rsidRDefault="00AC4185">
      <w:pPr>
        <w:pStyle w:val="2"/>
        <w:numPr>
          <w:ilvl w:val="0"/>
          <w:numId w:val="8"/>
        </w:numPr>
      </w:pPr>
      <w:r>
        <w:t>报告期内公司从事的业务情况</w:t>
      </w:r>
    </w:p>
    <w:bookmarkStart w:id="38" w:name="_Hlk162339304" w:displacedByCustomXml="next"/>
    <w:sdt>
      <w:sdtPr>
        <w:alias w:val="报告期内公司从事的业务情况 "/>
        <w:tag w:val="_GBC_5c2ed6623d994f569eb07915af842807"/>
        <w:id w:val="-1580360874"/>
        <w:placeholder>
          <w:docPart w:val="GBC22222222222222222222222222222"/>
        </w:placeholder>
      </w:sdtPr>
      <w:sdtEndPr/>
      <w:sdtContent>
        <w:p w14:paraId="13E66396" w14:textId="77777777" w:rsidR="00E57DAA" w:rsidRDefault="00AC4185">
          <w:pPr>
            <w:spacing w:line="276" w:lineRule="auto"/>
            <w:ind w:firstLineChars="200" w:firstLine="420"/>
            <w:outlineLvl w:val="1"/>
            <w:rPr>
              <w:rFonts w:asciiTheme="minorEastAsia" w:eastAsiaTheme="minorEastAsia" w:hAnsiTheme="minorEastAsia" w:cs="仿宋_GB2312"/>
              <w:b/>
              <w:bCs/>
              <w:szCs w:val="21"/>
            </w:rPr>
          </w:pPr>
          <w:r>
            <w:rPr>
              <w:rFonts w:hint="eastAsia"/>
            </w:rPr>
            <w:t>1、</w:t>
          </w:r>
          <w:r>
            <w:rPr>
              <w:rFonts w:asciiTheme="minorEastAsia" w:eastAsiaTheme="minorEastAsia" w:hAnsiTheme="minorEastAsia" w:cs="仿宋_GB2312" w:hint="eastAsia"/>
              <w:b/>
              <w:bCs/>
              <w:szCs w:val="21"/>
            </w:rPr>
            <w:t>工程技术服务</w:t>
          </w:r>
        </w:p>
        <w:p w14:paraId="088734C8"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公司工程技术服务业务以EPC工程总承包服务为主，同时采用工程咨询和设计、成套技术装备供货（EP）、设备安装、工程建设管理等模式。</w:t>
          </w:r>
        </w:p>
        <w:p w14:paraId="4600947A"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EPC主要工作流程如下：</w:t>
          </w:r>
        </w:p>
        <w:p w14:paraId="1F4CF286"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hint="eastAsia"/>
              <w:noProof/>
              <w:szCs w:val="21"/>
            </w:rPr>
            <w:drawing>
              <wp:anchor distT="0" distB="0" distL="114300" distR="114300" simplePos="0" relativeHeight="251659264" behindDoc="0" locked="0" layoutInCell="1" allowOverlap="1" wp14:anchorId="24E058CA">
                <wp:simplePos x="0" y="0"/>
                <wp:positionH relativeFrom="column">
                  <wp:posOffset>-134620</wp:posOffset>
                </wp:positionH>
                <wp:positionV relativeFrom="paragraph">
                  <wp:posOffset>358775</wp:posOffset>
                </wp:positionV>
                <wp:extent cx="5606415" cy="1708150"/>
                <wp:effectExtent l="0" t="0" r="6985" b="8255"/>
                <wp:wrapTopAndBottom/>
                <wp:docPr id="1406494078" name="图片 1406494078" descr="C:\Users\FanLiTing\Desktop\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94078" name="图片 1406494078" descr="C:\Users\FanLiTing\Desktop\图片2.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606415" cy="1708150"/>
                        </a:xfrm>
                        <a:prstGeom prst="rect">
                          <a:avLst/>
                        </a:prstGeom>
                        <a:noFill/>
                        <a:ln>
                          <a:noFill/>
                        </a:ln>
                      </pic:spPr>
                    </pic:pic>
                  </a:graphicData>
                </a:graphic>
              </wp:anchor>
            </w:drawing>
          </w:r>
        </w:p>
        <w:p w14:paraId="6600CF3A"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工程技术服务业务主要涵盖以下领域：</w:t>
          </w:r>
        </w:p>
        <w:p w14:paraId="481AC806"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1）水泥和矿山工程：公司拥有国际领先的自主知识产权的新型干法水泥生产线技术以及完整的水泥技术装备工程“全产业链”资源，为客户提供矿山开采和水泥生产线技术研发、数字设计、智能制造、智慧建设、智慧运维、售后服务全过程的系统集成服务。</w:t>
          </w:r>
        </w:p>
        <w:p w14:paraId="467873DB"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2）绿能环保和多元化工程：公司依托全球品牌影响力、丰富的海外项目管理经验以及长期以来形成的技术、人才优势和资源整合能力，向绿能、环保、节能、矿业、化工、电力、公路、民用建筑等非水泥工程领域拓展，在东南亚、中东和非洲地区有一定的影响力。</w:t>
          </w:r>
        </w:p>
        <w:p w14:paraId="1601850F" w14:textId="77777777" w:rsidR="00E57DAA" w:rsidRDefault="00AC4185">
          <w:pPr>
            <w:spacing w:line="276" w:lineRule="auto"/>
            <w:ind w:firstLineChars="200" w:firstLine="422"/>
            <w:outlineLvl w:val="1"/>
            <w:rPr>
              <w:rFonts w:asciiTheme="minorEastAsia" w:eastAsiaTheme="minorEastAsia" w:hAnsiTheme="minorEastAsia" w:cs="仿宋_GB2312"/>
              <w:b/>
              <w:bCs/>
              <w:szCs w:val="21"/>
            </w:rPr>
          </w:pPr>
          <w:bookmarkStart w:id="39" w:name="_Toc6188"/>
          <w:r>
            <w:rPr>
              <w:rFonts w:asciiTheme="minorEastAsia" w:eastAsiaTheme="minorEastAsia" w:hAnsiTheme="minorEastAsia" w:cs="仿宋_GB2312" w:hint="eastAsia"/>
              <w:b/>
              <w:bCs/>
              <w:szCs w:val="21"/>
            </w:rPr>
            <w:t>2、高端装备制造</w:t>
          </w:r>
          <w:bookmarkEnd w:id="39"/>
        </w:p>
        <w:p w14:paraId="535A4486"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装备产业的范围主要包括水泥技术装备、矿业破碎及物料处理装备的研发、设计、加工制造、技术服务等，核心产品包括立磨、辊压机、预热器、回转窑、篦冷机、收尘设备、燃烧器、选粉机、堆取料机、输送设备、破碎设备、钻探及采矿工程设备。公司一方面利用与工程总承包业务的协同优势带动装备销售，一方面通过装备专业化发展拓展外行业市场空间，实现行业产品向专业产品转变。</w:t>
          </w:r>
        </w:p>
        <w:p w14:paraId="4903ABBC" w14:textId="77777777" w:rsidR="00E57DAA" w:rsidRDefault="00AC4185">
          <w:pPr>
            <w:spacing w:line="276" w:lineRule="auto"/>
            <w:ind w:firstLineChars="200" w:firstLine="422"/>
            <w:outlineLvl w:val="1"/>
            <w:rPr>
              <w:rFonts w:asciiTheme="minorEastAsia" w:eastAsiaTheme="minorEastAsia" w:hAnsiTheme="minorEastAsia" w:cs="仿宋_GB2312"/>
              <w:b/>
              <w:bCs/>
              <w:szCs w:val="21"/>
            </w:rPr>
          </w:pPr>
          <w:bookmarkStart w:id="40" w:name="_Toc10628"/>
          <w:r>
            <w:rPr>
              <w:rFonts w:asciiTheme="minorEastAsia" w:eastAsiaTheme="minorEastAsia" w:hAnsiTheme="minorEastAsia" w:cs="仿宋_GB2312" w:hint="eastAsia"/>
              <w:b/>
              <w:bCs/>
              <w:szCs w:val="21"/>
            </w:rPr>
            <w:t>3、生产运营服务</w:t>
          </w:r>
          <w:bookmarkEnd w:id="40"/>
        </w:p>
        <w:p w14:paraId="2CE02A15"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公司生产运营服务业务主要涵盖以下领域：</w:t>
          </w:r>
        </w:p>
        <w:p w14:paraId="2EBB38DA"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1）水泥生产线运维服务：公司拥有完整、系统的水泥生产运营管理服务体系、专业的水泥生产运营管理团队及广泛的人力资源网络，为客户提供工厂保产、设备维修等方面服务，使水泥生产线的各项技术经济指标达到设计要求，并在更佳状态下生产运行。目前该业务主要在境外实施，业务模式通常为业主负责原/燃材料供应、水泥销售等，公司承担生产线的人员组织、水泥熟料生产、设备运行维护、设备检修及备品备件等，主要采用人工单价或吨熟料单价进行结算。</w:t>
          </w:r>
        </w:p>
        <w:p w14:paraId="5F80D923"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lastRenderedPageBreak/>
            <w:t>（2）矿山运维服务：在矿山工程的基础上，公司为石灰石、砂石骨料或有色金属矿山客户提供矿山开采服务，生产环节主要包括穿孔、爆破、装车、运输、破碎及输送、矿石均化等。目前该业务主要在国内实施并开始积极向境外拓展，主要按照供矿量进行结算。</w:t>
          </w:r>
        </w:p>
        <w:p w14:paraId="6D16FAAA"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（3）数字智能服务：依托现有水泥行业资源，公司开展水泥和矿业数字化产品服务业务，包括智能工厂系统解决方案及智慧矿山、数字设计、智慧建设、智能制造等数字化智能化服务。</w:t>
          </w:r>
        </w:p>
        <w:p w14:paraId="259B3BA1"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（4）固废资源化利用：公司依托中材水科、中材环境等业务主体，积极开展固体废弃物处置和综合利用业务。目前，固废资源化利用主要采用的业务模式是投建营模式（投资+工程+运营）。</w:t>
          </w:r>
        </w:p>
        <w:p w14:paraId="4F4B4A4E" w14:textId="77777777" w:rsidR="00E57DAA" w:rsidRDefault="00AC4185">
          <w:pPr>
            <w:spacing w:line="276" w:lineRule="auto"/>
            <w:ind w:firstLineChars="200" w:firstLine="422"/>
            <w:outlineLvl w:val="1"/>
            <w:rPr>
              <w:rFonts w:asciiTheme="minorEastAsia" w:eastAsiaTheme="minorEastAsia" w:hAnsiTheme="minorEastAsia" w:cs="仿宋_GB2312"/>
              <w:b/>
              <w:bCs/>
              <w:szCs w:val="21"/>
            </w:rPr>
          </w:pPr>
          <w:bookmarkStart w:id="41" w:name="_Toc12301"/>
          <w:r>
            <w:rPr>
              <w:rFonts w:asciiTheme="minorEastAsia" w:eastAsiaTheme="minorEastAsia" w:hAnsiTheme="minorEastAsia" w:cs="仿宋_GB2312" w:hint="eastAsia"/>
              <w:b/>
              <w:bCs/>
              <w:szCs w:val="21"/>
            </w:rPr>
            <w:t>4、其他业务</w:t>
          </w:r>
          <w:bookmarkEnd w:id="41"/>
        </w:p>
        <w:p w14:paraId="166E82BB" w14:textId="77777777" w:rsidR="00E57DAA" w:rsidRDefault="00AC4185">
          <w:pPr>
            <w:spacing w:line="276"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其他业务主要是工程物流、骨料销售、属地化产品销售等业务。</w:t>
          </w:r>
        </w:p>
      </w:sdtContent>
    </w:sdt>
    <w:bookmarkEnd w:id="38"/>
    <w:p w14:paraId="289A0518" w14:textId="77777777" w:rsidR="00E57DAA" w:rsidRDefault="00E57DAA" w:rsidP="00C25422">
      <w:pPr>
        <w:pStyle w:val="92"/>
      </w:pPr>
    </w:p>
    <w:p w14:paraId="37C2364C" w14:textId="77777777" w:rsidR="00E57DAA" w:rsidRDefault="00AC4185">
      <w:pPr>
        <w:pStyle w:val="2"/>
        <w:numPr>
          <w:ilvl w:val="0"/>
          <w:numId w:val="8"/>
        </w:numPr>
      </w:pPr>
      <w:r>
        <w:rPr>
          <w:rFonts w:hint="eastAsia"/>
        </w:rPr>
        <w:t>报告期内核心竞争力分析</w:t>
      </w:r>
    </w:p>
    <w:sdt>
      <w:sdtPr>
        <w:alias w:val="是否适用：报告期内核心竞争力分析[双击切换]"/>
        <w:tag w:val="_GBC_a03591f0f7444c9b8f5c55d6f75c3136"/>
        <w:id w:val="-1780491188"/>
        <w:placeholder>
          <w:docPart w:val="GBC22222222222222222222222222222"/>
        </w:placeholder>
      </w:sdtPr>
      <w:sdtEndPr/>
      <w:sdtContent>
        <w:p w14:paraId="30A9CD8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42" w:name="_Hlk162339372" w:displacedByCustomXml="next"/>
    <w:sdt>
      <w:sdtPr>
        <w:rPr>
          <w:rFonts w:hint="eastAsia"/>
        </w:rPr>
        <w:alias w:val="报告期内核心竞争力分析"/>
        <w:tag w:val="_GBC_956a57b53cd74344a32f2309bcc5f344"/>
        <w:id w:val="-1361591789"/>
        <w:placeholder>
          <w:docPart w:val="GBC22222222222222222222222222222"/>
        </w:placeholder>
      </w:sdtPr>
      <w:sdtEndPr/>
      <w:sdtContent>
        <w:p w14:paraId="7D3DF480"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先后整合了国内水泥工业研发、设计、装备及工程优质资源，是全球水泥技术装备及工程服务市场唯一具有完整产业链的企业。公司拥有覆盖矿山开采和水泥生产线技术研发、数字设计、智能制造、智慧建设、智慧运维、售后服务的完整产业链资源、专业人才队伍和系统解决方案，致力于推动水泥技术装备与工程全产业链的价值重塑和布局优化。公司核心竞争力主要有：</w:t>
          </w:r>
        </w:p>
        <w:p w14:paraId="4CD9D181"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bookmarkStart w:id="43" w:name="_Toc10803"/>
          <w:r>
            <w:rPr>
              <w:rFonts w:asciiTheme="minorEastAsia" w:eastAsiaTheme="minorEastAsia" w:hAnsiTheme="minorEastAsia" w:cs="仿宋_GB2312" w:hint="eastAsia"/>
              <w:b/>
              <w:bCs/>
              <w:szCs w:val="21"/>
            </w:rPr>
            <w:t>（一）行业领先的科技创新能力</w:t>
          </w:r>
          <w:bookmarkEnd w:id="43"/>
        </w:p>
        <w:p w14:paraId="5B471735" w14:textId="77777777" w:rsidR="00E57DAA" w:rsidRDefault="00AC4185">
          <w:pPr>
            <w:spacing w:line="276" w:lineRule="auto"/>
            <w:ind w:firstLineChars="200" w:firstLine="420"/>
            <w:jc w:val="both"/>
            <w:rPr>
              <w:rFonts w:asciiTheme="minorEastAsia" w:eastAsiaTheme="minorEastAsia" w:hAnsiTheme="minorEastAsia" w:cs="仿宋_GB2312"/>
              <w:szCs w:val="21"/>
            </w:rPr>
          </w:pPr>
          <w:bookmarkStart w:id="44" w:name="_Toc15311"/>
          <w:r>
            <w:rPr>
              <w:rFonts w:asciiTheme="minorEastAsia" w:eastAsiaTheme="minorEastAsia" w:hAnsiTheme="minorEastAsia" w:cs="仿宋_GB2312" w:hint="eastAsia"/>
              <w:szCs w:val="21"/>
            </w:rPr>
            <w:t>公司是国家高新技术企业、国家技术创新示范企业，中国工业大奖获奖企业。公司拥有全流程、全规模、高品质、成套高端水泥技术装备研发制造能力，依托科研创新和海量应用场景，主要性能指标达到世界领先水平。截至报告期末，公司拥有有效专利2,803件，其中发明专利617件，国际专利9件，涵盖水泥制造全工艺流程的技术和产品；先后主持或参加百余项水泥行业国际、国内标准和技术规范的制定。公司拥有国家水泥节能环保工程研究中心、博士后工作站、中国水泥发展中心（与联合国工发组织共同创建）、国家企业技术中心等6个国家级创新平台以及21个省部级创新平台。公司所属中材（天津）粉体技术装备有限公司、中建材（合肥）粉体科技装备有限公司、合肥水泥研究设计院有限公司是制造业单项冠军；截至目前，公司共拥有5家国家级专精特新“小巨人”企业，12家省级“专精特新”企业。</w:t>
          </w:r>
        </w:p>
        <w:p w14:paraId="515221D2"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公司核心技术主要围绕以下两个方向：</w:t>
          </w:r>
        </w:p>
        <w:p w14:paraId="56E85FC3" w14:textId="77777777" w:rsidR="00E57DAA" w:rsidRDefault="00AC4185">
          <w:pPr>
            <w:spacing w:line="276" w:lineRule="auto"/>
            <w:ind w:firstLineChars="200" w:firstLine="422"/>
            <w:jc w:val="both"/>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绿色低碳技术：</w:t>
          </w:r>
        </w:p>
        <w:p w14:paraId="2BAE99F4"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大力发展绿色创新，以低热耗为代表的水泥绿色烧成技术及装备、低系统电耗为代表的水泥绿色粉磨技术及装备、水泥生产超低排放技术及装备、水泥窑协同处置废弃物技术、处置和替代原燃材料技术、新型低碳水泥生产技术大范围研究和应用，推动水泥行业节能减排、低碳绿色发展。公司自主研发的水泥全氧燃烧耦合碳捕集成套技术及关键装备在青州中联落地应用。基于“一模到底”的</w:t>
          </w:r>
          <w:r>
            <w:rPr>
              <w:rFonts w:asciiTheme="minorEastAsia" w:eastAsiaTheme="minorEastAsia" w:hAnsiTheme="minorEastAsia" w:cs="仿宋_GB2312"/>
              <w:szCs w:val="21"/>
            </w:rPr>
            <w:t>PDCA碳管理理念，自主开发高效</w:t>
          </w:r>
          <w:r>
            <w:rPr>
              <w:rFonts w:asciiTheme="minorEastAsia" w:eastAsiaTheme="minorEastAsia" w:hAnsiTheme="minorEastAsia" w:cs="仿宋_GB2312" w:hint="eastAsia"/>
              <w:szCs w:val="21"/>
            </w:rPr>
            <w:t>实用的工厂全生命周期碳核算工具——工厂碳排放评估平台，实现对不同对象碳排放量的精细化计算和实时动态监控。</w:t>
          </w:r>
        </w:p>
        <w:p w14:paraId="6454DE82" w14:textId="77777777" w:rsidR="00E57DAA" w:rsidRDefault="00AC4185">
          <w:pPr>
            <w:spacing w:line="276" w:lineRule="auto"/>
            <w:ind w:firstLineChars="200" w:firstLine="422"/>
            <w:jc w:val="both"/>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数字智能技术：</w:t>
          </w:r>
        </w:p>
        <w:p w14:paraId="26E91C43"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在智慧</w:t>
          </w:r>
          <w:r>
            <w:rPr>
              <w:rFonts w:asciiTheme="minorEastAsia" w:eastAsiaTheme="minorEastAsia" w:hAnsiTheme="minorEastAsia" w:cs="仿宋_GB2312"/>
              <w:szCs w:val="21"/>
            </w:rPr>
            <w:t>EPC</w:t>
          </w:r>
          <w:r>
            <w:rPr>
              <w:rFonts w:asciiTheme="minorEastAsia" w:eastAsiaTheme="minorEastAsia" w:hAnsiTheme="minorEastAsia" w:cs="仿宋_GB2312" w:hint="eastAsia"/>
              <w:szCs w:val="21"/>
            </w:rPr>
            <w:t>方面，基于数字模型技术（BIM），自主开发工业互联网赋能与服务平台（IIESP），实现了工程项目全生命周期、全要素的数字化管理，与物理工厂同步交付数字孪生</w:t>
          </w:r>
          <w:r>
            <w:rPr>
              <w:rFonts w:asciiTheme="minorEastAsia" w:eastAsiaTheme="minorEastAsia" w:hAnsiTheme="minorEastAsia" w:cs="仿宋_GB2312" w:hint="eastAsia"/>
              <w:szCs w:val="21"/>
            </w:rPr>
            <w:lastRenderedPageBreak/>
            <w:t>工厂。在智能制造方面，自主研发装备智能制造工业互联网平台，打造生产自动化、管理数字化、控制云化的全流程智能制造解决方案。主要装备产品如篦冷机、辊压机、立磨实现数字化模拟、自动化加工，生产效率提升2倍以上。在智能工厂方面，自主开发基于双中台数据湖技术的工业互联网信息化平台和基于人工智能、大数据预测技术的云边协同智能控制平台，为客户提供水泥工厂智能化解决方案。通过智能化技术的实施和应用，在行业内建设了近40座水泥智能工厂，大幅减少生产线人工干预，降低能耗和排放指标，提高设备运行稳定性和生产过程可控性，提升产品质量，为业主带来较好的经济效益。</w:t>
          </w:r>
        </w:p>
        <w:p w14:paraId="57EDF38E"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（二）丰富的国际化运营管理经验</w:t>
          </w:r>
          <w:bookmarkEnd w:id="44"/>
        </w:p>
        <w:p w14:paraId="5EA577C9" w14:textId="77777777" w:rsidR="00E57DAA" w:rsidRDefault="00AC4185">
          <w:pPr>
            <w:spacing w:line="276" w:lineRule="auto"/>
            <w:ind w:firstLineChars="200" w:firstLine="420"/>
            <w:jc w:val="both"/>
            <w:rPr>
              <w:rFonts w:cs="仿宋_GB2312"/>
              <w:szCs w:val="21"/>
            </w:rPr>
          </w:pPr>
          <w:bookmarkStart w:id="45" w:name="_Toc31571"/>
          <w:r>
            <w:rPr>
              <w:rFonts w:cs="仿宋_GB2312" w:hint="eastAsia"/>
              <w:szCs w:val="21"/>
            </w:rPr>
            <w:t>公司坚定不移执行国际化发展战略，充分利用国际国内两个市场、两种资源，推动中国技术、中国标准国际化，不断提升公司的全球服务力、竞争力和品牌影响力。截至报告期末，公司累计在海外88个国家和地区承接了332条生产线，水泥技术装备与工程主业全球市场占有率连续16年保持世界第一。2023年，公司再次入选2023年度ENR“全球最大250家国际承包商”，公司榜单排名再创新高，位列全球43位，同比上升1位，位列上榜中国企业11位。公司坚持“全球化、属地化、多元化”发展定位，建立了完善的属地区域型服务网络，在海外拥有超过100家境外机构，1800余名外籍长期雇员，一国一策深入推进属地经营。</w:t>
          </w:r>
        </w:p>
        <w:p w14:paraId="0CF134C3"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（三）卓越的项目履约能力</w:t>
          </w:r>
          <w:bookmarkEnd w:id="45"/>
        </w:p>
        <w:p w14:paraId="1C81CF0B"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 xml:space="preserve">公司不断加强精细化管理，充分发挥在质量、成本和工期方面的比较优势，创造了多项水泥工程建设领域的“第一”：公司承建的都江堰拉法基项目是国内第一个EPC水泥总承包项目；铜陵海螺5,000t/d水泥熟料生产线是中国第一条5,000t/d国产化示范线，被誉为“中国水泥工业里程碑”；多米尼亚项目是中国企业在海外承建的第一个水泥工程总承包项目；阿联酋UCC项目是中国企业在海外承建的第一条日产万吨水泥生产线；阿尔巴尼亚FK项目是第一个将中国大型水泥成套设备出口到欧洲的项目；匈牙利NOSTRA项目被当地媒体称为“世界最美丽的水泥厂”；埃及GOE Beni </w:t>
          </w:r>
          <w:proofErr w:type="spellStart"/>
          <w:r>
            <w:rPr>
              <w:rFonts w:asciiTheme="minorEastAsia" w:eastAsiaTheme="minorEastAsia" w:hAnsiTheme="minorEastAsia" w:cs="仿宋_GB2312" w:hint="eastAsia"/>
              <w:szCs w:val="21"/>
            </w:rPr>
            <w:t>Suef</w:t>
          </w:r>
          <w:proofErr w:type="spellEnd"/>
          <w:r>
            <w:rPr>
              <w:rFonts w:asciiTheme="minorEastAsia" w:eastAsiaTheme="minorEastAsia" w:hAnsiTheme="minorEastAsia" w:cs="仿宋_GB2312" w:hint="eastAsia"/>
              <w:szCs w:val="21"/>
            </w:rPr>
            <w:t xml:space="preserve"> 6*6,000t/d项目是世界水泥行业迄今在同一地点、同一时间、同步建设的最大规模水泥生产线项目，创造了“中国制造”和“中国速度”的新典范；全球首条万吨级5级改6级预热器优化升级项目在徐州中联顺利投产；日喀则雅曲项目获得“最高海拔的水泥生产线”吉尼斯世界纪录称号。</w:t>
          </w:r>
        </w:p>
        <w:p w14:paraId="3AF0A74C"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bookmarkStart w:id="46" w:name="_Toc3628"/>
          <w:r>
            <w:rPr>
              <w:rFonts w:asciiTheme="minorEastAsia" w:eastAsiaTheme="minorEastAsia" w:hAnsiTheme="minorEastAsia" w:cs="仿宋_GB2312" w:hint="eastAsia"/>
              <w:b/>
              <w:bCs/>
              <w:szCs w:val="21"/>
            </w:rPr>
            <w:t>（四）良好的品牌信誉</w:t>
          </w:r>
          <w:bookmarkEnd w:id="46"/>
        </w:p>
        <w:p w14:paraId="3D4EE155" w14:textId="77777777" w:rsidR="00E57DAA" w:rsidRDefault="00AC4185">
          <w:pPr>
            <w:spacing w:line="276" w:lineRule="auto"/>
            <w:ind w:firstLineChars="200" w:firstLine="420"/>
            <w:jc w:val="both"/>
            <w:rPr>
              <w:rFonts w:asciiTheme="minorEastAsia" w:eastAsiaTheme="minorEastAsia" w:hAnsiTheme="minorEastAsia" w:cs="仿宋_GB2312"/>
              <w:szCs w:val="21"/>
            </w:rPr>
          </w:pPr>
          <w:bookmarkStart w:id="47" w:name="_Toc5667"/>
          <w:r>
            <w:rPr>
              <w:rFonts w:asciiTheme="minorEastAsia" w:eastAsiaTheme="minorEastAsia" w:hAnsiTheme="minorEastAsia" w:cs="仿宋_GB2312" w:hint="eastAsia"/>
              <w:szCs w:val="21"/>
            </w:rPr>
            <w:t>公司始终坚持以客户需求为中心，凭借领先的技术、卓越的工程品质，多次荣获中国建设工程鲁班奖、国家优质工程奖及建材行业多项荣誉。公司凭借“工期短、履约好、性能优、服务佳”的优质品牌形象，与Holcim、Heidelberg、Dangote等全球水泥巨头建立了长期合作关系，“SINOMA”品牌成为国际建材工程市场最具影响力的品牌之一，品牌认知度和美誉度持续提升。近年来，公司持续深化属地化经营和本土化运作，积极践行世界企业公民责任，不断赋予品牌新的价值和内涵。</w:t>
          </w:r>
        </w:p>
        <w:p w14:paraId="162741BD"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（五）有竞争力的人才资源优势</w:t>
          </w:r>
          <w:bookmarkEnd w:id="47"/>
        </w:p>
        <w:p w14:paraId="7B11AA8D" w14:textId="77777777" w:rsidR="00E57DAA" w:rsidRDefault="00AC4185">
          <w:pPr>
            <w:spacing w:line="276" w:lineRule="auto"/>
            <w:ind w:firstLineChars="200" w:firstLine="420"/>
            <w:jc w:val="both"/>
            <w:rPr>
              <w:rFonts w:asciiTheme="minorEastAsia" w:eastAsiaTheme="minorEastAsia" w:hAnsiTheme="minorEastAsia" w:cs="仿宋_GB2312"/>
              <w:szCs w:val="21"/>
            </w:rPr>
          </w:pPr>
          <w:bookmarkStart w:id="48" w:name="_Toc24239"/>
          <w:r>
            <w:rPr>
              <w:rFonts w:asciiTheme="minorEastAsia" w:eastAsiaTheme="minorEastAsia" w:hAnsiTheme="minorEastAsia" w:cs="仿宋_GB2312" w:hint="eastAsia"/>
              <w:szCs w:val="21"/>
            </w:rPr>
            <w:t>公司坚持“人才强企”战略，始终把人才资源作为实现高质量发展的第一要素，不断健全人才体系、优化人才选用育留机制，充分激发人才活力，在推动公司加快建成世界一流企业的进程中形成了强有力的组织和人才力量。</w:t>
          </w:r>
          <w:r>
            <w:rPr>
              <w:rFonts w:asciiTheme="minorEastAsia" w:eastAsiaTheme="minorEastAsia" w:hAnsiTheme="minorEastAsia" w:cs="仿宋_GB2312" w:hint="eastAsia"/>
              <w:b/>
              <w:bCs/>
              <w:szCs w:val="21"/>
            </w:rPr>
            <w:t>一是人才体系全面覆盖</w:t>
          </w:r>
          <w:r>
            <w:rPr>
              <w:rFonts w:asciiTheme="minorEastAsia" w:eastAsiaTheme="minorEastAsia" w:hAnsiTheme="minorEastAsia" w:cs="仿宋_GB2312" w:hint="eastAsia"/>
              <w:szCs w:val="21"/>
            </w:rPr>
            <w:t>，截至报告期末，</w:t>
          </w:r>
          <w:r>
            <w:rPr>
              <w:rFonts w:asciiTheme="minorEastAsia" w:eastAsiaTheme="minorEastAsia" w:hAnsiTheme="minorEastAsia" w:cs="仿宋_GB2312"/>
              <w:szCs w:val="21"/>
            </w:rPr>
            <w:t>公司拥有“国家百千万人才工程国家级人选”4名，“全国工程勘察设计大师”5名，享受国务院政府特殊津贴人</w:t>
          </w:r>
          <w:r>
            <w:rPr>
              <w:rFonts w:asciiTheme="minorEastAsia" w:eastAsiaTheme="minorEastAsia" w:hAnsiTheme="minorEastAsia" w:cs="仿宋_GB2312"/>
              <w:szCs w:val="21"/>
            </w:rPr>
            <w:lastRenderedPageBreak/>
            <w:t>员84</w:t>
          </w:r>
          <w:r w:rsidR="001C4BC9">
            <w:rPr>
              <w:rFonts w:asciiTheme="minorEastAsia" w:eastAsiaTheme="minorEastAsia" w:hAnsiTheme="minorEastAsia" w:cs="仿宋_GB2312" w:hint="eastAsia"/>
              <w:szCs w:val="21"/>
            </w:rPr>
            <w:t>名</w:t>
          </w:r>
          <w:r>
            <w:rPr>
              <w:rFonts w:asciiTheme="minorEastAsia" w:eastAsiaTheme="minorEastAsia" w:hAnsiTheme="minorEastAsia" w:cs="仿宋_GB2312"/>
              <w:szCs w:val="21"/>
            </w:rPr>
            <w:t>，科研人才共计2,925名，高级专家人才3,384名，专业技术职称人才8,751名，</w:t>
          </w:r>
          <w:r>
            <w:rPr>
              <w:rFonts w:asciiTheme="minorEastAsia" w:eastAsiaTheme="minorEastAsia" w:hAnsiTheme="minorEastAsia" w:cs="仿宋_GB2312" w:hint="eastAsia"/>
              <w:szCs w:val="21"/>
            </w:rPr>
            <w:t>国际化</w:t>
          </w:r>
          <w:r>
            <w:rPr>
              <w:rFonts w:asciiTheme="minorEastAsia" w:eastAsiaTheme="minorEastAsia" w:hAnsiTheme="minorEastAsia" w:cs="仿宋_GB2312"/>
              <w:szCs w:val="21"/>
            </w:rPr>
            <w:t>项目管理人才3,028名</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b/>
              <w:bCs/>
              <w:szCs w:val="21"/>
            </w:rPr>
            <w:t>二是人才机制日趋完善</w:t>
          </w:r>
          <w:r>
            <w:rPr>
              <w:rFonts w:asciiTheme="minorEastAsia" w:eastAsiaTheme="minorEastAsia" w:hAnsiTheme="minorEastAsia" w:cs="仿宋_GB2312" w:hint="eastAsia"/>
              <w:szCs w:val="21"/>
            </w:rPr>
            <w:t>，公司以“双百行动”和国企改革三年行动为契机，不断完善市场化经营机制，优化人才引进、选拔、培养、使用机制；建立多层次培训体系，定期举办中青年干部政治素养暨管理能力提升培训班，与高校合作建立境外人才培训机制。</w:t>
          </w:r>
          <w:r>
            <w:rPr>
              <w:rFonts w:asciiTheme="minorEastAsia" w:eastAsiaTheme="minorEastAsia" w:hAnsiTheme="minorEastAsia" w:cs="仿宋_GB2312" w:hint="eastAsia"/>
              <w:b/>
              <w:bCs/>
              <w:szCs w:val="21"/>
            </w:rPr>
            <w:t>三是人才活力充分激发</w:t>
          </w:r>
          <w:r>
            <w:rPr>
              <w:rFonts w:asciiTheme="minorEastAsia" w:eastAsiaTheme="minorEastAsia" w:hAnsiTheme="minorEastAsia" w:cs="仿宋_GB2312" w:hint="eastAsia"/>
              <w:szCs w:val="21"/>
            </w:rPr>
            <w:t>，不断完善考核和薪酬激励机制，建立规范的全员绩效考核体系，形成了基于岗位、贡献为导向的差异化激励约束机制，实现收入分配向核心技术骨干倾斜；构建上市公司-所属企业-工程项目的全方位全贯通中长期激励架构，实现了骨干员工与企业风险共担、利益共享，充分激发员工积极性、主动性和创造性。</w:t>
          </w:r>
        </w:p>
        <w:p w14:paraId="6FC8DA95"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（六）较强的融资能力</w:t>
          </w:r>
          <w:bookmarkEnd w:id="48"/>
        </w:p>
        <w:p w14:paraId="07766D9C" w14:textId="77777777" w:rsidR="00E57DAA" w:rsidRDefault="00AC4185">
          <w:pPr>
            <w:spacing w:line="276" w:lineRule="auto"/>
            <w:ind w:firstLineChars="200" w:firstLine="420"/>
            <w:rPr>
              <w:rFonts w:cs="仿宋_GB2312"/>
              <w:szCs w:val="21"/>
            </w:rPr>
          </w:pPr>
          <w:r>
            <w:rPr>
              <w:rFonts w:cs="仿宋_GB2312" w:hint="eastAsia"/>
              <w:szCs w:val="21"/>
            </w:rPr>
            <w:t>公司作为国务院国资委所属中国建材集团旗下的上市公司，拥有多渠道的融资资源和相对较低的融资成本。公司与主要的商业银行、政策性金融、保险机构保持密切的沟通和合作，可通过多种渠道进行融资，解决公司资金需求，支持公司业务发展。</w:t>
          </w:r>
        </w:p>
      </w:sdtContent>
    </w:sdt>
    <w:bookmarkEnd w:id="42"/>
    <w:p w14:paraId="6557A74D" w14:textId="77777777" w:rsidR="00E57DAA" w:rsidRDefault="00E57DAA">
      <w:pPr>
        <w:rPr>
          <w:rFonts w:asciiTheme="minorEastAsia" w:eastAsiaTheme="minorEastAsia" w:hAnsiTheme="minorEastAsia"/>
        </w:rPr>
      </w:pPr>
    </w:p>
    <w:p w14:paraId="6EBA2690" w14:textId="77777777" w:rsidR="00E57DAA" w:rsidRDefault="00AC4185">
      <w:pPr>
        <w:pStyle w:val="2"/>
        <w:numPr>
          <w:ilvl w:val="0"/>
          <w:numId w:val="8"/>
        </w:numPr>
      </w:pPr>
      <w:r>
        <w:rPr>
          <w:rFonts w:hint="eastAsia"/>
        </w:rPr>
        <w:t>报告期内主要经营情况</w:t>
      </w:r>
    </w:p>
    <w:sdt>
      <w:sdtPr>
        <w:rPr>
          <w:rFonts w:hint="eastAsia"/>
        </w:rPr>
        <w:alias w:val="报告期内主要经营情况"/>
        <w:tag w:val="_GBC_655a1c6ffd2a454085e53e5538e3b2ef"/>
        <w:id w:val="-1431502402"/>
        <w:placeholder>
          <w:docPart w:val="GBC22222222222222222222222222222"/>
        </w:placeholder>
      </w:sdtPr>
      <w:sdtEndPr/>
      <w:sdtContent>
        <w:p w14:paraId="76664A3C" w14:textId="77777777" w:rsidR="00E57DAA" w:rsidRDefault="00AC4185" w:rsidP="00C25422">
          <w:pPr>
            <w:pStyle w:val="92"/>
          </w:pPr>
          <w:r>
            <w:t>报告期，新签及未完合同情况：</w:t>
          </w:r>
        </w:p>
        <w:tbl>
          <w:tblPr>
            <w:tblStyle w:val="aff6"/>
            <w:tblW w:w="9203" w:type="dxa"/>
            <w:tblInd w:w="-289" w:type="dxa"/>
            <w:tblLayout w:type="fixed"/>
            <w:tblLook w:val="04A0" w:firstRow="1" w:lastRow="0" w:firstColumn="1" w:lastColumn="0" w:noHBand="0" w:noVBand="1"/>
          </w:tblPr>
          <w:tblGrid>
            <w:gridCol w:w="1560"/>
            <w:gridCol w:w="1559"/>
            <w:gridCol w:w="1560"/>
            <w:gridCol w:w="708"/>
            <w:gridCol w:w="1480"/>
            <w:gridCol w:w="1607"/>
            <w:gridCol w:w="729"/>
          </w:tblGrid>
          <w:tr w:rsidR="00E57DAA" w14:paraId="7C0FFF00" w14:textId="77777777">
            <w:trPr>
              <w:trHeight w:val="287"/>
            </w:trPr>
            <w:tc>
              <w:tcPr>
                <w:tcW w:w="1560" w:type="dxa"/>
                <w:vMerge w:val="restart"/>
              </w:tcPr>
              <w:p w14:paraId="4D3ADD9A" w14:textId="77777777" w:rsidR="00E57DAA" w:rsidRDefault="00E57DAA">
                <w:pPr>
                  <w:autoSpaceDE w:val="0"/>
                  <w:autoSpaceDN w:val="0"/>
                  <w:adjustRightInd w:val="0"/>
                  <w:rPr>
                    <w:szCs w:val="21"/>
                  </w:rPr>
                </w:pPr>
              </w:p>
            </w:tc>
            <w:tc>
              <w:tcPr>
                <w:tcW w:w="3827" w:type="dxa"/>
                <w:gridSpan w:val="3"/>
                <w:vAlign w:val="center"/>
              </w:tcPr>
              <w:p w14:paraId="665435E2" w14:textId="77777777" w:rsidR="00E57DAA" w:rsidRDefault="00AC4185">
                <w:pPr>
                  <w:autoSpaceDE w:val="0"/>
                  <w:autoSpaceDN w:val="0"/>
                  <w:adjustRightInd w:val="0"/>
                  <w:jc w:val="center"/>
                  <w:rPr>
                    <w:szCs w:val="21"/>
                  </w:rPr>
                </w:pPr>
                <w:r>
                  <w:rPr>
                    <w:rFonts w:hint="eastAsia"/>
                    <w:szCs w:val="21"/>
                  </w:rPr>
                  <w:t>新签合同额</w:t>
                </w:r>
                <w:r>
                  <w:rPr>
                    <w:szCs w:val="21"/>
                  </w:rPr>
                  <w:t>（万元）</w:t>
                </w:r>
              </w:p>
            </w:tc>
            <w:tc>
              <w:tcPr>
                <w:tcW w:w="3816" w:type="dxa"/>
                <w:gridSpan w:val="3"/>
                <w:vAlign w:val="center"/>
              </w:tcPr>
              <w:p w14:paraId="47A4103E" w14:textId="77777777" w:rsidR="00E57DAA" w:rsidRDefault="00AC4185">
                <w:pPr>
                  <w:autoSpaceDE w:val="0"/>
                  <w:autoSpaceDN w:val="0"/>
                  <w:adjustRightInd w:val="0"/>
                  <w:jc w:val="center"/>
                  <w:rPr>
                    <w:szCs w:val="21"/>
                  </w:rPr>
                </w:pPr>
                <w:r>
                  <w:rPr>
                    <w:rFonts w:hint="eastAsia"/>
                    <w:szCs w:val="21"/>
                  </w:rPr>
                  <w:t>未完合同额</w:t>
                </w:r>
                <w:r>
                  <w:rPr>
                    <w:szCs w:val="21"/>
                  </w:rPr>
                  <w:t>（万元）</w:t>
                </w:r>
              </w:p>
            </w:tc>
          </w:tr>
          <w:tr w:rsidR="00E57DAA" w14:paraId="251E6235" w14:textId="77777777">
            <w:trPr>
              <w:trHeight w:val="394"/>
            </w:trPr>
            <w:tc>
              <w:tcPr>
                <w:tcW w:w="1560" w:type="dxa"/>
                <w:vMerge/>
              </w:tcPr>
              <w:p w14:paraId="0CB69319" w14:textId="77777777" w:rsidR="00E57DAA" w:rsidRDefault="00E57DAA">
                <w:pPr>
                  <w:autoSpaceDE w:val="0"/>
                  <w:autoSpaceDN w:val="0"/>
                  <w:adjustRightInd w:val="0"/>
                  <w:rPr>
                    <w:szCs w:val="21"/>
                  </w:rPr>
                </w:pPr>
              </w:p>
            </w:tc>
            <w:tc>
              <w:tcPr>
                <w:tcW w:w="1559" w:type="dxa"/>
              </w:tcPr>
              <w:p w14:paraId="5335CF5E" w14:textId="77777777" w:rsidR="00E57DAA" w:rsidRDefault="00AC4185">
                <w:pPr>
                  <w:autoSpaceDE w:val="0"/>
                  <w:autoSpaceDN w:val="0"/>
                  <w:adjustRightInd w:val="0"/>
                  <w:rPr>
                    <w:szCs w:val="21"/>
                  </w:rPr>
                </w:pPr>
                <w:r>
                  <w:rPr>
                    <w:rFonts w:hint="eastAsia"/>
                    <w:szCs w:val="21"/>
                  </w:rPr>
                  <w:t>报告期</w:t>
                </w:r>
              </w:p>
            </w:tc>
            <w:tc>
              <w:tcPr>
                <w:tcW w:w="1560" w:type="dxa"/>
              </w:tcPr>
              <w:p w14:paraId="52612635" w14:textId="77777777" w:rsidR="00E57DAA" w:rsidRDefault="00AC4185">
                <w:pPr>
                  <w:autoSpaceDE w:val="0"/>
                  <w:autoSpaceDN w:val="0"/>
                  <w:adjustRightInd w:val="0"/>
                  <w:rPr>
                    <w:szCs w:val="21"/>
                  </w:rPr>
                </w:pPr>
                <w:r>
                  <w:rPr>
                    <w:rFonts w:hint="eastAsia"/>
                    <w:szCs w:val="21"/>
                  </w:rPr>
                  <w:t>上年同期</w:t>
                </w:r>
              </w:p>
            </w:tc>
            <w:tc>
              <w:tcPr>
                <w:tcW w:w="708" w:type="dxa"/>
              </w:tcPr>
              <w:p w14:paraId="7403B005" w14:textId="77777777" w:rsidR="00E57DAA" w:rsidRDefault="00AC4185">
                <w:pPr>
                  <w:autoSpaceDE w:val="0"/>
                  <w:autoSpaceDN w:val="0"/>
                  <w:adjustRightInd w:val="0"/>
                  <w:rPr>
                    <w:szCs w:val="21"/>
                  </w:rPr>
                </w:pPr>
                <w:r>
                  <w:rPr>
                    <w:rFonts w:hint="eastAsia"/>
                    <w:szCs w:val="21"/>
                  </w:rPr>
                  <w:t>同比变动</w:t>
                </w:r>
              </w:p>
            </w:tc>
            <w:tc>
              <w:tcPr>
                <w:tcW w:w="1480" w:type="dxa"/>
              </w:tcPr>
              <w:p w14:paraId="4C8497D1" w14:textId="77777777" w:rsidR="00E57DAA" w:rsidRDefault="00AC4185">
                <w:pPr>
                  <w:autoSpaceDE w:val="0"/>
                  <w:autoSpaceDN w:val="0"/>
                  <w:adjustRightInd w:val="0"/>
                  <w:rPr>
                    <w:szCs w:val="21"/>
                  </w:rPr>
                </w:pPr>
                <w:r>
                  <w:rPr>
                    <w:rFonts w:hint="eastAsia"/>
                    <w:szCs w:val="21"/>
                  </w:rPr>
                  <w:t>报告期</w:t>
                </w:r>
              </w:p>
            </w:tc>
            <w:tc>
              <w:tcPr>
                <w:tcW w:w="1607" w:type="dxa"/>
              </w:tcPr>
              <w:p w14:paraId="15C10B43" w14:textId="77777777" w:rsidR="00E57DAA" w:rsidRDefault="00AC4185">
                <w:pPr>
                  <w:autoSpaceDE w:val="0"/>
                  <w:autoSpaceDN w:val="0"/>
                  <w:adjustRightInd w:val="0"/>
                  <w:rPr>
                    <w:szCs w:val="21"/>
                  </w:rPr>
                </w:pPr>
                <w:r>
                  <w:rPr>
                    <w:rFonts w:hint="eastAsia"/>
                    <w:szCs w:val="21"/>
                  </w:rPr>
                  <w:t>上年同期</w:t>
                </w:r>
              </w:p>
            </w:tc>
            <w:tc>
              <w:tcPr>
                <w:tcW w:w="729" w:type="dxa"/>
              </w:tcPr>
              <w:p w14:paraId="29D9D71E" w14:textId="77777777" w:rsidR="00E57DAA" w:rsidRDefault="00AC4185">
                <w:pPr>
                  <w:autoSpaceDE w:val="0"/>
                  <w:autoSpaceDN w:val="0"/>
                  <w:adjustRightInd w:val="0"/>
                  <w:rPr>
                    <w:szCs w:val="21"/>
                  </w:rPr>
                </w:pPr>
                <w:r>
                  <w:rPr>
                    <w:rFonts w:hint="eastAsia"/>
                    <w:szCs w:val="21"/>
                  </w:rPr>
                  <w:t>同比变动</w:t>
                </w:r>
              </w:p>
            </w:tc>
          </w:tr>
          <w:tr w:rsidR="00E57DAA" w14:paraId="34D62ADB" w14:textId="77777777">
            <w:trPr>
              <w:trHeight w:val="394"/>
            </w:trPr>
            <w:tc>
              <w:tcPr>
                <w:tcW w:w="9203" w:type="dxa"/>
                <w:gridSpan w:val="7"/>
              </w:tcPr>
              <w:p w14:paraId="19AA4999" w14:textId="77777777" w:rsidR="00E57DAA" w:rsidRDefault="00AC4185">
                <w:pPr>
                  <w:autoSpaceDE w:val="0"/>
                  <w:autoSpaceDN w:val="0"/>
                  <w:adjustRightInd w:val="0"/>
                  <w:rPr>
                    <w:szCs w:val="21"/>
                  </w:rPr>
                </w:pPr>
                <w:r>
                  <w:rPr>
                    <w:rFonts w:hint="eastAsia"/>
                    <w:szCs w:val="21"/>
                  </w:rPr>
                  <w:t>分产品</w:t>
                </w:r>
              </w:p>
            </w:tc>
          </w:tr>
          <w:tr w:rsidR="00E57DAA" w14:paraId="7C45CEEA" w14:textId="77777777">
            <w:trPr>
              <w:trHeight w:val="574"/>
            </w:trPr>
            <w:tc>
              <w:tcPr>
                <w:tcW w:w="1560" w:type="dxa"/>
              </w:tcPr>
              <w:p w14:paraId="1736D6D9" w14:textId="77777777" w:rsidR="00E57DAA" w:rsidRDefault="00AC4185">
                <w:pPr>
                  <w:rPr>
                    <w:szCs w:val="21"/>
                  </w:rPr>
                </w:pPr>
                <w:r>
                  <w:rPr>
                    <w:rFonts w:hint="eastAsia"/>
                    <w:szCs w:val="21"/>
                  </w:rPr>
                  <w:t>工程技术服务</w:t>
                </w:r>
              </w:p>
            </w:tc>
            <w:tc>
              <w:tcPr>
                <w:tcW w:w="1559" w:type="dxa"/>
                <w:vAlign w:val="center"/>
              </w:tcPr>
              <w:p w14:paraId="2DDCFAA8" w14:textId="77777777" w:rsidR="00E57DAA" w:rsidRDefault="00AC4185">
                <w:pPr>
                  <w:jc w:val="right"/>
                </w:pPr>
                <w:r>
                  <w:rPr>
                    <w:rFonts w:eastAsia="等线"/>
                  </w:rPr>
                  <w:t>3,906,712.47</w:t>
                </w:r>
              </w:p>
            </w:tc>
            <w:tc>
              <w:tcPr>
                <w:tcW w:w="1560" w:type="dxa"/>
                <w:vAlign w:val="center"/>
              </w:tcPr>
              <w:p w14:paraId="1188BEE0" w14:textId="77777777" w:rsidR="00E57DAA" w:rsidRDefault="00AC4185">
                <w:pPr>
                  <w:jc w:val="right"/>
                </w:pPr>
                <w:r>
                  <w:rPr>
                    <w:rFonts w:eastAsia="等线"/>
                  </w:rPr>
                  <w:t>3,235,317.05</w:t>
                </w:r>
              </w:p>
            </w:tc>
            <w:tc>
              <w:tcPr>
                <w:tcW w:w="708" w:type="dxa"/>
                <w:vAlign w:val="center"/>
              </w:tcPr>
              <w:p w14:paraId="460F418F" w14:textId="77777777" w:rsidR="00E57DAA" w:rsidRDefault="00AC4185">
                <w:pPr>
                  <w:jc w:val="right"/>
                </w:pPr>
                <w:r>
                  <w:rPr>
                    <w:rFonts w:eastAsia="等线"/>
                  </w:rPr>
                  <w:t>21%</w:t>
                </w:r>
              </w:p>
            </w:tc>
            <w:tc>
              <w:tcPr>
                <w:tcW w:w="1480" w:type="dxa"/>
                <w:vAlign w:val="center"/>
              </w:tcPr>
              <w:p w14:paraId="5252EEE7" w14:textId="77777777" w:rsidR="00E57DAA" w:rsidRDefault="00AC4185">
                <w:pPr>
                  <w:widowControl/>
                  <w:jc w:val="right"/>
                </w:pPr>
                <w:r>
                  <w:t>5,076,639.34</w:t>
                </w:r>
              </w:p>
            </w:tc>
            <w:tc>
              <w:tcPr>
                <w:tcW w:w="1607" w:type="dxa"/>
                <w:vAlign w:val="center"/>
              </w:tcPr>
              <w:p w14:paraId="52A3F998" w14:textId="77777777" w:rsidR="00E57DAA" w:rsidRDefault="00AC4185">
                <w:pPr>
                  <w:jc w:val="right"/>
                </w:pPr>
                <w:r>
                  <w:t>4,523,181.22</w:t>
                </w:r>
              </w:p>
            </w:tc>
            <w:tc>
              <w:tcPr>
                <w:tcW w:w="729" w:type="dxa"/>
                <w:vAlign w:val="center"/>
              </w:tcPr>
              <w:p w14:paraId="77AB28B6" w14:textId="77777777" w:rsidR="00E57DAA" w:rsidRDefault="00AC4185">
                <w:pPr>
                  <w:jc w:val="right"/>
                  <w:rPr>
                    <w:highlight w:val="yellow"/>
                  </w:rPr>
                </w:pPr>
                <w:r>
                  <w:t>12%</w:t>
                </w:r>
              </w:p>
            </w:tc>
          </w:tr>
          <w:tr w:rsidR="00E57DAA" w14:paraId="1762D3FA" w14:textId="77777777">
            <w:trPr>
              <w:trHeight w:val="564"/>
            </w:trPr>
            <w:tc>
              <w:tcPr>
                <w:tcW w:w="1560" w:type="dxa"/>
              </w:tcPr>
              <w:p w14:paraId="1D1FF081" w14:textId="77777777" w:rsidR="00E57DAA" w:rsidRDefault="00AC4185">
                <w:pPr>
                  <w:rPr>
                    <w:szCs w:val="21"/>
                  </w:rPr>
                </w:pPr>
                <w:r>
                  <w:rPr>
                    <w:rFonts w:hint="eastAsia"/>
                    <w:szCs w:val="21"/>
                  </w:rPr>
                  <w:t>高端装备制造</w:t>
                </w:r>
              </w:p>
            </w:tc>
            <w:tc>
              <w:tcPr>
                <w:tcW w:w="1559" w:type="dxa"/>
                <w:vAlign w:val="center"/>
              </w:tcPr>
              <w:p w14:paraId="6D5A4453" w14:textId="77777777" w:rsidR="00E57DAA" w:rsidRDefault="00AC4185">
                <w:pPr>
                  <w:jc w:val="right"/>
                </w:pPr>
                <w:r>
                  <w:rPr>
                    <w:rFonts w:eastAsia="等线"/>
                  </w:rPr>
                  <w:t>741,199.80</w:t>
                </w:r>
              </w:p>
            </w:tc>
            <w:tc>
              <w:tcPr>
                <w:tcW w:w="1560" w:type="dxa"/>
                <w:vAlign w:val="center"/>
              </w:tcPr>
              <w:p w14:paraId="3AFC1E96" w14:textId="77777777" w:rsidR="00E57DAA" w:rsidRDefault="00AC4185">
                <w:pPr>
                  <w:jc w:val="right"/>
                </w:pPr>
                <w:r>
                  <w:rPr>
                    <w:rFonts w:eastAsia="等线"/>
                  </w:rPr>
                  <w:t>650,996.46</w:t>
                </w:r>
              </w:p>
            </w:tc>
            <w:tc>
              <w:tcPr>
                <w:tcW w:w="708" w:type="dxa"/>
                <w:vAlign w:val="center"/>
              </w:tcPr>
              <w:p w14:paraId="752E32D6" w14:textId="77777777" w:rsidR="00E57DAA" w:rsidRDefault="00AC4185">
                <w:pPr>
                  <w:jc w:val="right"/>
                </w:pPr>
                <w:r>
                  <w:rPr>
                    <w:rFonts w:eastAsia="等线"/>
                  </w:rPr>
                  <w:t>14%</w:t>
                </w:r>
              </w:p>
            </w:tc>
            <w:tc>
              <w:tcPr>
                <w:tcW w:w="1480" w:type="dxa"/>
                <w:vAlign w:val="center"/>
              </w:tcPr>
              <w:p w14:paraId="08612D7D" w14:textId="77777777" w:rsidR="00E57DAA" w:rsidRDefault="00AC4185">
                <w:pPr>
                  <w:jc w:val="right"/>
                </w:pPr>
                <w:r>
                  <w:t>303,470.79</w:t>
                </w:r>
              </w:p>
            </w:tc>
            <w:tc>
              <w:tcPr>
                <w:tcW w:w="1607" w:type="dxa"/>
                <w:vAlign w:val="center"/>
              </w:tcPr>
              <w:p w14:paraId="131ABDB3" w14:textId="77777777" w:rsidR="00E57DAA" w:rsidRDefault="00AC4185">
                <w:pPr>
                  <w:jc w:val="right"/>
                </w:pPr>
                <w:r>
                  <w:t>290,758.03</w:t>
                </w:r>
              </w:p>
            </w:tc>
            <w:tc>
              <w:tcPr>
                <w:tcW w:w="729" w:type="dxa"/>
                <w:vAlign w:val="center"/>
              </w:tcPr>
              <w:p w14:paraId="03EC32BB" w14:textId="77777777" w:rsidR="00E57DAA" w:rsidRDefault="00AC4185">
                <w:pPr>
                  <w:jc w:val="right"/>
                  <w:rPr>
                    <w:highlight w:val="yellow"/>
                  </w:rPr>
                </w:pPr>
                <w:r>
                  <w:t>4%</w:t>
                </w:r>
              </w:p>
            </w:tc>
          </w:tr>
          <w:tr w:rsidR="00E57DAA" w14:paraId="3EDC771B" w14:textId="77777777">
            <w:trPr>
              <w:trHeight w:val="574"/>
            </w:trPr>
            <w:tc>
              <w:tcPr>
                <w:tcW w:w="1560" w:type="dxa"/>
              </w:tcPr>
              <w:p w14:paraId="456ADF75" w14:textId="77777777" w:rsidR="00E57DAA" w:rsidRDefault="00AC4185">
                <w:pPr>
                  <w:rPr>
                    <w:szCs w:val="21"/>
                  </w:rPr>
                </w:pPr>
                <w:r>
                  <w:rPr>
                    <w:rFonts w:hint="eastAsia"/>
                    <w:szCs w:val="21"/>
                  </w:rPr>
                  <w:t>生产运营服务</w:t>
                </w:r>
              </w:p>
            </w:tc>
            <w:tc>
              <w:tcPr>
                <w:tcW w:w="1559" w:type="dxa"/>
                <w:vAlign w:val="center"/>
              </w:tcPr>
              <w:p w14:paraId="300B69D7" w14:textId="77777777" w:rsidR="00E57DAA" w:rsidRDefault="00AC4185">
                <w:pPr>
                  <w:jc w:val="right"/>
                </w:pPr>
                <w:r>
                  <w:rPr>
                    <w:rFonts w:eastAsia="等线"/>
                  </w:rPr>
                  <w:t>1,358,565.26</w:t>
                </w:r>
              </w:p>
            </w:tc>
            <w:tc>
              <w:tcPr>
                <w:tcW w:w="1560" w:type="dxa"/>
                <w:vAlign w:val="center"/>
              </w:tcPr>
              <w:p w14:paraId="40E82AE2" w14:textId="77777777" w:rsidR="00E57DAA" w:rsidRDefault="00AC4185">
                <w:pPr>
                  <w:jc w:val="right"/>
                </w:pPr>
                <w:r>
                  <w:rPr>
                    <w:rFonts w:eastAsia="等线"/>
                  </w:rPr>
                  <w:t>1,191,382.53</w:t>
                </w:r>
              </w:p>
            </w:tc>
            <w:tc>
              <w:tcPr>
                <w:tcW w:w="708" w:type="dxa"/>
                <w:vAlign w:val="center"/>
              </w:tcPr>
              <w:p w14:paraId="25C1E869" w14:textId="77777777" w:rsidR="00E57DAA" w:rsidRDefault="00AC4185">
                <w:pPr>
                  <w:jc w:val="right"/>
                </w:pPr>
                <w:r>
                  <w:rPr>
                    <w:rFonts w:eastAsia="等线"/>
                  </w:rPr>
                  <w:t>14%</w:t>
                </w:r>
              </w:p>
            </w:tc>
            <w:tc>
              <w:tcPr>
                <w:tcW w:w="1480" w:type="dxa"/>
                <w:vAlign w:val="center"/>
              </w:tcPr>
              <w:p w14:paraId="1AFDC27D" w14:textId="77777777" w:rsidR="00E57DAA" w:rsidRDefault="00AC4185">
                <w:pPr>
                  <w:jc w:val="right"/>
                </w:pPr>
                <w:r>
                  <w:t>544,223.39</w:t>
                </w:r>
              </w:p>
            </w:tc>
            <w:tc>
              <w:tcPr>
                <w:tcW w:w="1607" w:type="dxa"/>
                <w:vAlign w:val="center"/>
              </w:tcPr>
              <w:p w14:paraId="141AEDAF" w14:textId="77777777" w:rsidR="00E57DAA" w:rsidRDefault="00AC4185">
                <w:pPr>
                  <w:jc w:val="right"/>
                </w:pPr>
                <w:r>
                  <w:t>453,193.73</w:t>
                </w:r>
              </w:p>
            </w:tc>
            <w:tc>
              <w:tcPr>
                <w:tcW w:w="729" w:type="dxa"/>
                <w:vAlign w:val="center"/>
              </w:tcPr>
              <w:p w14:paraId="681D15DC" w14:textId="77777777" w:rsidR="00E57DAA" w:rsidRDefault="00AC4185">
                <w:pPr>
                  <w:jc w:val="right"/>
                </w:pPr>
                <w:r>
                  <w:t>20%</w:t>
                </w:r>
              </w:p>
            </w:tc>
          </w:tr>
          <w:tr w:rsidR="00E57DAA" w14:paraId="7F5A8955" w14:textId="77777777">
            <w:trPr>
              <w:trHeight w:val="287"/>
            </w:trPr>
            <w:tc>
              <w:tcPr>
                <w:tcW w:w="1560" w:type="dxa"/>
              </w:tcPr>
              <w:p w14:paraId="2AD22D03" w14:textId="77777777" w:rsidR="00E57DAA" w:rsidRDefault="00AC4185">
                <w:pPr>
                  <w:rPr>
                    <w:szCs w:val="21"/>
                  </w:rPr>
                </w:pPr>
                <w:r>
                  <w:rPr>
                    <w:rFonts w:hint="eastAsia"/>
                    <w:szCs w:val="21"/>
                  </w:rPr>
                  <w:t>其他</w:t>
                </w:r>
              </w:p>
            </w:tc>
            <w:tc>
              <w:tcPr>
                <w:tcW w:w="1559" w:type="dxa"/>
                <w:vAlign w:val="center"/>
              </w:tcPr>
              <w:p w14:paraId="5C159CA3" w14:textId="77777777" w:rsidR="00E57DAA" w:rsidRDefault="00AC4185">
                <w:pPr>
                  <w:jc w:val="right"/>
                </w:pPr>
                <w:r>
                  <w:rPr>
                    <w:rFonts w:eastAsia="等线"/>
                  </w:rPr>
                  <w:t>157,937.36</w:t>
                </w:r>
              </w:p>
            </w:tc>
            <w:tc>
              <w:tcPr>
                <w:tcW w:w="1560" w:type="dxa"/>
                <w:vAlign w:val="center"/>
              </w:tcPr>
              <w:p w14:paraId="4426FD2B" w14:textId="77777777" w:rsidR="00E57DAA" w:rsidRDefault="00AC4185">
                <w:pPr>
                  <w:jc w:val="right"/>
                </w:pPr>
                <w:r>
                  <w:rPr>
                    <w:rFonts w:eastAsia="等线"/>
                  </w:rPr>
                  <w:t>154,356.30</w:t>
                </w:r>
              </w:p>
            </w:tc>
            <w:tc>
              <w:tcPr>
                <w:tcW w:w="708" w:type="dxa"/>
                <w:vAlign w:val="center"/>
              </w:tcPr>
              <w:p w14:paraId="26CB404D" w14:textId="77777777" w:rsidR="00E57DAA" w:rsidRDefault="00AC4185">
                <w:pPr>
                  <w:jc w:val="right"/>
                </w:pPr>
                <w:r>
                  <w:rPr>
                    <w:rFonts w:eastAsia="等线"/>
                  </w:rPr>
                  <w:t>2%</w:t>
                </w:r>
              </w:p>
            </w:tc>
            <w:tc>
              <w:tcPr>
                <w:tcW w:w="1480" w:type="dxa"/>
                <w:vAlign w:val="center"/>
              </w:tcPr>
              <w:p w14:paraId="5E6E901B" w14:textId="77777777" w:rsidR="00E57DAA" w:rsidRDefault="00AC4185">
                <w:pPr>
                  <w:jc w:val="right"/>
                </w:pPr>
                <w:r>
                  <w:t>8,180.95</w:t>
                </w:r>
              </w:p>
            </w:tc>
            <w:tc>
              <w:tcPr>
                <w:tcW w:w="1607" w:type="dxa"/>
                <w:vAlign w:val="center"/>
              </w:tcPr>
              <w:p w14:paraId="529B363F" w14:textId="77777777" w:rsidR="00E57DAA" w:rsidRDefault="00AC4185">
                <w:pPr>
                  <w:jc w:val="right"/>
                </w:pPr>
                <w:r>
                  <w:t>8,004.27</w:t>
                </w:r>
              </w:p>
            </w:tc>
            <w:tc>
              <w:tcPr>
                <w:tcW w:w="729" w:type="dxa"/>
                <w:vAlign w:val="center"/>
              </w:tcPr>
              <w:p w14:paraId="277CF1F2" w14:textId="77777777" w:rsidR="00E57DAA" w:rsidRDefault="00AC4185">
                <w:pPr>
                  <w:jc w:val="right"/>
                </w:pPr>
                <w:r>
                  <w:t>2%</w:t>
                </w:r>
              </w:p>
            </w:tc>
          </w:tr>
          <w:tr w:rsidR="00E57DAA" w14:paraId="5063A5F9" w14:textId="77777777">
            <w:trPr>
              <w:trHeight w:val="277"/>
            </w:trPr>
            <w:tc>
              <w:tcPr>
                <w:tcW w:w="1560" w:type="dxa"/>
              </w:tcPr>
              <w:p w14:paraId="4F537977" w14:textId="77777777" w:rsidR="00E57DAA" w:rsidRDefault="00AC4185">
                <w:pPr>
                  <w:autoSpaceDE w:val="0"/>
                  <w:autoSpaceDN w:val="0"/>
                  <w:adjustRightInd w:val="0"/>
                  <w:rPr>
                    <w:szCs w:val="21"/>
                  </w:rPr>
                </w:pPr>
                <w:r>
                  <w:rPr>
                    <w:rFonts w:hint="eastAsia"/>
                    <w:szCs w:val="21"/>
                  </w:rPr>
                  <w:t>合计</w:t>
                </w:r>
              </w:p>
            </w:tc>
            <w:tc>
              <w:tcPr>
                <w:tcW w:w="1559" w:type="dxa"/>
                <w:vAlign w:val="center"/>
              </w:tcPr>
              <w:p w14:paraId="5067A02C" w14:textId="77777777" w:rsidR="00E57DAA" w:rsidRDefault="00AC4185">
                <w:pPr>
                  <w:jc w:val="right"/>
                </w:pPr>
                <w:r>
                  <w:rPr>
                    <w:rFonts w:eastAsia="等线"/>
                  </w:rPr>
                  <w:t>6,164,414.89</w:t>
                </w:r>
              </w:p>
            </w:tc>
            <w:tc>
              <w:tcPr>
                <w:tcW w:w="1560" w:type="dxa"/>
                <w:vAlign w:val="center"/>
              </w:tcPr>
              <w:p w14:paraId="32789EF0" w14:textId="77777777" w:rsidR="00E57DAA" w:rsidRDefault="00AC4185">
                <w:pPr>
                  <w:jc w:val="right"/>
                </w:pPr>
                <w:r>
                  <w:rPr>
                    <w:rFonts w:eastAsia="等线"/>
                  </w:rPr>
                  <w:t>5,232,052.34</w:t>
                </w:r>
              </w:p>
            </w:tc>
            <w:tc>
              <w:tcPr>
                <w:tcW w:w="708" w:type="dxa"/>
                <w:vAlign w:val="center"/>
              </w:tcPr>
              <w:p w14:paraId="587626B1" w14:textId="77777777" w:rsidR="00E57DAA" w:rsidRDefault="00AC4185">
                <w:pPr>
                  <w:jc w:val="right"/>
                </w:pPr>
                <w:r>
                  <w:rPr>
                    <w:rFonts w:eastAsia="等线"/>
                  </w:rPr>
                  <w:t>18%</w:t>
                </w:r>
              </w:p>
            </w:tc>
            <w:tc>
              <w:tcPr>
                <w:tcW w:w="1480" w:type="dxa"/>
                <w:vAlign w:val="center"/>
              </w:tcPr>
              <w:p w14:paraId="47B73568" w14:textId="77777777" w:rsidR="00E57DAA" w:rsidRDefault="00AC4185">
                <w:pPr>
                  <w:jc w:val="right"/>
                </w:pPr>
                <w:r>
                  <w:t>5,932,514.47</w:t>
                </w:r>
              </w:p>
            </w:tc>
            <w:tc>
              <w:tcPr>
                <w:tcW w:w="1607" w:type="dxa"/>
                <w:vAlign w:val="center"/>
              </w:tcPr>
              <w:p w14:paraId="5A88C034" w14:textId="77777777" w:rsidR="00E57DAA" w:rsidRDefault="00AC4185">
                <w:pPr>
                  <w:jc w:val="right"/>
                </w:pPr>
                <w:r>
                  <w:t>5,275,137.25</w:t>
                </w:r>
              </w:p>
            </w:tc>
            <w:tc>
              <w:tcPr>
                <w:tcW w:w="729" w:type="dxa"/>
                <w:vAlign w:val="center"/>
              </w:tcPr>
              <w:p w14:paraId="4B427A89" w14:textId="77777777" w:rsidR="00E57DAA" w:rsidRDefault="00AC4185">
                <w:pPr>
                  <w:jc w:val="right"/>
                </w:pPr>
                <w:r>
                  <w:t>12%</w:t>
                </w:r>
              </w:p>
            </w:tc>
          </w:tr>
          <w:tr w:rsidR="00E57DAA" w14:paraId="370B7642" w14:textId="77777777">
            <w:trPr>
              <w:trHeight w:val="247"/>
            </w:trPr>
            <w:tc>
              <w:tcPr>
                <w:tcW w:w="9203" w:type="dxa"/>
                <w:gridSpan w:val="7"/>
                <w:vAlign w:val="center"/>
              </w:tcPr>
              <w:p w14:paraId="19E310E2" w14:textId="77777777" w:rsidR="00E57DAA" w:rsidRDefault="00AC4185">
                <w:pPr>
                  <w:jc w:val="right"/>
                  <w:rPr>
                    <w:sz w:val="18"/>
                    <w:szCs w:val="18"/>
                  </w:rPr>
                </w:pPr>
                <w:r>
                  <w:rPr>
                    <w:rFonts w:hint="eastAsia"/>
                    <w:sz w:val="18"/>
                    <w:szCs w:val="18"/>
                  </w:rPr>
                  <w:t>分地区</w:t>
                </w:r>
              </w:p>
            </w:tc>
          </w:tr>
          <w:tr w:rsidR="00E57DAA" w14:paraId="4323C2B4" w14:textId="77777777">
            <w:trPr>
              <w:trHeight w:val="287"/>
            </w:trPr>
            <w:tc>
              <w:tcPr>
                <w:tcW w:w="1560" w:type="dxa"/>
              </w:tcPr>
              <w:p w14:paraId="4DC498BE" w14:textId="77777777" w:rsidR="00E57DAA" w:rsidRDefault="00AC4185">
                <w:pPr>
                  <w:autoSpaceDE w:val="0"/>
                  <w:autoSpaceDN w:val="0"/>
                  <w:adjustRightInd w:val="0"/>
                  <w:rPr>
                    <w:szCs w:val="21"/>
                  </w:rPr>
                </w:pPr>
                <w:r>
                  <w:rPr>
                    <w:rFonts w:hint="eastAsia"/>
                    <w:szCs w:val="21"/>
                  </w:rPr>
                  <w:t>境内</w:t>
                </w:r>
              </w:p>
            </w:tc>
            <w:tc>
              <w:tcPr>
                <w:tcW w:w="1559" w:type="dxa"/>
                <w:vAlign w:val="center"/>
              </w:tcPr>
              <w:p w14:paraId="0A2497E7" w14:textId="77777777" w:rsidR="00E57DAA" w:rsidRDefault="00AC4185">
                <w:pPr>
                  <w:widowControl/>
                  <w:jc w:val="right"/>
                </w:pPr>
                <w:r>
                  <w:rPr>
                    <w:rFonts w:eastAsia="等线"/>
                  </w:rPr>
                  <w:t>2,833,711.94</w:t>
                </w:r>
              </w:p>
            </w:tc>
            <w:tc>
              <w:tcPr>
                <w:tcW w:w="1560" w:type="dxa"/>
                <w:vAlign w:val="center"/>
              </w:tcPr>
              <w:p w14:paraId="38E43B74" w14:textId="77777777" w:rsidR="00E57DAA" w:rsidRDefault="00AC4185">
                <w:pPr>
                  <w:widowControl/>
                  <w:jc w:val="right"/>
                </w:pPr>
                <w:r>
                  <w:rPr>
                    <w:rFonts w:eastAsia="等线"/>
                  </w:rPr>
                  <w:t>3,083,169.11</w:t>
                </w:r>
              </w:p>
            </w:tc>
            <w:tc>
              <w:tcPr>
                <w:tcW w:w="708" w:type="dxa"/>
                <w:vAlign w:val="center"/>
              </w:tcPr>
              <w:p w14:paraId="26C9B65F" w14:textId="77777777" w:rsidR="00E57DAA" w:rsidRDefault="00AC4185">
                <w:pPr>
                  <w:jc w:val="right"/>
                </w:pPr>
                <w:r>
                  <w:rPr>
                    <w:rFonts w:eastAsia="等线"/>
                  </w:rPr>
                  <w:t>-8%</w:t>
                </w:r>
              </w:p>
            </w:tc>
            <w:tc>
              <w:tcPr>
                <w:tcW w:w="1480" w:type="dxa"/>
                <w:vAlign w:val="center"/>
              </w:tcPr>
              <w:p w14:paraId="23661D33" w14:textId="77777777" w:rsidR="00E57DAA" w:rsidRDefault="00AC4185">
                <w:pPr>
                  <w:widowControl/>
                  <w:jc w:val="right"/>
                </w:pPr>
                <w:r>
                  <w:t>2,313,739.71</w:t>
                </w:r>
              </w:p>
            </w:tc>
            <w:tc>
              <w:tcPr>
                <w:tcW w:w="1607" w:type="dxa"/>
                <w:vAlign w:val="center"/>
              </w:tcPr>
              <w:p w14:paraId="1F7AFA55" w14:textId="77777777" w:rsidR="00E57DAA" w:rsidRDefault="00AC4185">
                <w:pPr>
                  <w:widowControl/>
                  <w:jc w:val="right"/>
                </w:pPr>
                <w:r>
                  <w:t>2,399,448.92</w:t>
                </w:r>
              </w:p>
            </w:tc>
            <w:tc>
              <w:tcPr>
                <w:tcW w:w="729" w:type="dxa"/>
                <w:vAlign w:val="center"/>
              </w:tcPr>
              <w:p w14:paraId="4BE24953" w14:textId="77777777" w:rsidR="00E57DAA" w:rsidRDefault="00AC4185">
                <w:pPr>
                  <w:widowControl/>
                  <w:jc w:val="right"/>
                </w:pPr>
                <w:r>
                  <w:t>-4%</w:t>
                </w:r>
              </w:p>
            </w:tc>
          </w:tr>
          <w:tr w:rsidR="00E57DAA" w14:paraId="7B010B52" w14:textId="77777777">
            <w:trPr>
              <w:trHeight w:val="287"/>
            </w:trPr>
            <w:tc>
              <w:tcPr>
                <w:tcW w:w="1560" w:type="dxa"/>
              </w:tcPr>
              <w:p w14:paraId="4DF14D27" w14:textId="77777777" w:rsidR="00E57DAA" w:rsidRDefault="00AC4185">
                <w:pPr>
                  <w:autoSpaceDE w:val="0"/>
                  <w:autoSpaceDN w:val="0"/>
                  <w:adjustRightInd w:val="0"/>
                  <w:rPr>
                    <w:szCs w:val="21"/>
                  </w:rPr>
                </w:pPr>
                <w:r>
                  <w:rPr>
                    <w:rFonts w:hint="eastAsia"/>
                    <w:szCs w:val="21"/>
                  </w:rPr>
                  <w:t>境外</w:t>
                </w:r>
              </w:p>
            </w:tc>
            <w:tc>
              <w:tcPr>
                <w:tcW w:w="1559" w:type="dxa"/>
                <w:vAlign w:val="center"/>
              </w:tcPr>
              <w:p w14:paraId="3D29C23C" w14:textId="77777777" w:rsidR="00E57DAA" w:rsidRDefault="00AC4185">
                <w:pPr>
                  <w:widowControl/>
                  <w:jc w:val="right"/>
                </w:pPr>
                <w:r>
                  <w:rPr>
                    <w:rFonts w:eastAsia="等线"/>
                  </w:rPr>
                  <w:t>3,330,702.95</w:t>
                </w:r>
              </w:p>
            </w:tc>
            <w:tc>
              <w:tcPr>
                <w:tcW w:w="1560" w:type="dxa"/>
                <w:vAlign w:val="center"/>
              </w:tcPr>
              <w:p w14:paraId="060D5550" w14:textId="77777777" w:rsidR="00E57DAA" w:rsidRDefault="00AC4185">
                <w:pPr>
                  <w:widowControl/>
                  <w:jc w:val="right"/>
                </w:pPr>
                <w:r>
                  <w:rPr>
                    <w:rFonts w:eastAsia="等线"/>
                  </w:rPr>
                  <w:t>2,148,883.23</w:t>
                </w:r>
              </w:p>
            </w:tc>
            <w:tc>
              <w:tcPr>
                <w:tcW w:w="708" w:type="dxa"/>
                <w:vAlign w:val="center"/>
              </w:tcPr>
              <w:p w14:paraId="488E858D" w14:textId="77777777" w:rsidR="00E57DAA" w:rsidRDefault="00AC4185">
                <w:pPr>
                  <w:jc w:val="right"/>
                </w:pPr>
                <w:r>
                  <w:rPr>
                    <w:rFonts w:eastAsia="等线"/>
                  </w:rPr>
                  <w:t>55%</w:t>
                </w:r>
              </w:p>
            </w:tc>
            <w:tc>
              <w:tcPr>
                <w:tcW w:w="1480" w:type="dxa"/>
                <w:vAlign w:val="center"/>
              </w:tcPr>
              <w:p w14:paraId="1EA64180" w14:textId="77777777" w:rsidR="00E57DAA" w:rsidRDefault="00AC4185">
                <w:pPr>
                  <w:widowControl/>
                  <w:jc w:val="right"/>
                </w:pPr>
                <w:r>
                  <w:t>3,618,774.76</w:t>
                </w:r>
              </w:p>
            </w:tc>
            <w:tc>
              <w:tcPr>
                <w:tcW w:w="1607" w:type="dxa"/>
                <w:vAlign w:val="center"/>
              </w:tcPr>
              <w:p w14:paraId="6B2B85B8" w14:textId="77777777" w:rsidR="00E57DAA" w:rsidRDefault="00AC4185">
                <w:pPr>
                  <w:widowControl/>
                  <w:jc w:val="right"/>
                </w:pPr>
                <w:r>
                  <w:t>2,875,688.33</w:t>
                </w:r>
              </w:p>
            </w:tc>
            <w:tc>
              <w:tcPr>
                <w:tcW w:w="729" w:type="dxa"/>
                <w:vAlign w:val="center"/>
              </w:tcPr>
              <w:p w14:paraId="7FB5C2D9" w14:textId="77777777" w:rsidR="00E57DAA" w:rsidRDefault="00AC4185">
                <w:pPr>
                  <w:widowControl/>
                  <w:jc w:val="right"/>
                </w:pPr>
                <w:r>
                  <w:t>26%</w:t>
                </w:r>
              </w:p>
            </w:tc>
          </w:tr>
          <w:tr w:rsidR="00E57DAA" w14:paraId="0C09A7EA" w14:textId="77777777">
            <w:trPr>
              <w:trHeight w:val="287"/>
            </w:trPr>
            <w:tc>
              <w:tcPr>
                <w:tcW w:w="1560" w:type="dxa"/>
              </w:tcPr>
              <w:p w14:paraId="721C38CE" w14:textId="77777777" w:rsidR="00E57DAA" w:rsidRDefault="00AC4185">
                <w:pPr>
                  <w:autoSpaceDE w:val="0"/>
                  <w:autoSpaceDN w:val="0"/>
                  <w:adjustRightInd w:val="0"/>
                  <w:rPr>
                    <w:szCs w:val="21"/>
                  </w:rPr>
                </w:pPr>
                <w:r>
                  <w:rPr>
                    <w:rFonts w:hint="eastAsia"/>
                    <w:szCs w:val="21"/>
                  </w:rPr>
                  <w:t>合计</w:t>
                </w:r>
              </w:p>
            </w:tc>
            <w:tc>
              <w:tcPr>
                <w:tcW w:w="1559" w:type="dxa"/>
                <w:vAlign w:val="center"/>
              </w:tcPr>
              <w:p w14:paraId="3FBC25F4" w14:textId="77777777" w:rsidR="00E57DAA" w:rsidRDefault="00AC4185">
                <w:pPr>
                  <w:widowControl/>
                  <w:jc w:val="right"/>
                </w:pPr>
                <w:r>
                  <w:rPr>
                    <w:rFonts w:eastAsia="等线"/>
                  </w:rPr>
                  <w:t>6,164,414.89</w:t>
                </w:r>
              </w:p>
            </w:tc>
            <w:tc>
              <w:tcPr>
                <w:tcW w:w="1560" w:type="dxa"/>
                <w:vAlign w:val="center"/>
              </w:tcPr>
              <w:p w14:paraId="3008E9DE" w14:textId="77777777" w:rsidR="00E57DAA" w:rsidRDefault="00AC4185">
                <w:pPr>
                  <w:widowControl/>
                  <w:jc w:val="right"/>
                </w:pPr>
                <w:r>
                  <w:rPr>
                    <w:rFonts w:eastAsia="等线"/>
                  </w:rPr>
                  <w:t>5,232,052.34</w:t>
                </w:r>
              </w:p>
            </w:tc>
            <w:tc>
              <w:tcPr>
                <w:tcW w:w="708" w:type="dxa"/>
                <w:vAlign w:val="center"/>
              </w:tcPr>
              <w:p w14:paraId="6100B686" w14:textId="77777777" w:rsidR="00E57DAA" w:rsidRDefault="00AC4185">
                <w:pPr>
                  <w:jc w:val="right"/>
                </w:pPr>
                <w:r>
                  <w:rPr>
                    <w:rFonts w:eastAsia="等线"/>
                  </w:rPr>
                  <w:t>18%</w:t>
                </w:r>
              </w:p>
            </w:tc>
            <w:tc>
              <w:tcPr>
                <w:tcW w:w="1480" w:type="dxa"/>
              </w:tcPr>
              <w:p w14:paraId="73671A74" w14:textId="77777777" w:rsidR="00E57DAA" w:rsidRDefault="00AC4185">
                <w:pPr>
                  <w:widowControl/>
                  <w:jc w:val="right"/>
                </w:pPr>
                <w:r>
                  <w:t>5,932,514.47</w:t>
                </w:r>
              </w:p>
            </w:tc>
            <w:tc>
              <w:tcPr>
                <w:tcW w:w="1607" w:type="dxa"/>
              </w:tcPr>
              <w:p w14:paraId="556EC3EF" w14:textId="77777777" w:rsidR="00E57DAA" w:rsidRDefault="00AC4185">
                <w:pPr>
                  <w:widowControl/>
                  <w:jc w:val="right"/>
                </w:pPr>
                <w:r>
                  <w:t>5,275,137.25</w:t>
                </w:r>
              </w:p>
            </w:tc>
            <w:tc>
              <w:tcPr>
                <w:tcW w:w="729" w:type="dxa"/>
              </w:tcPr>
              <w:p w14:paraId="155F81F7" w14:textId="77777777" w:rsidR="00E57DAA" w:rsidRDefault="00AC4185">
                <w:pPr>
                  <w:widowControl/>
                  <w:jc w:val="right"/>
                </w:pPr>
                <w:r>
                  <w:t>12%</w:t>
                </w:r>
              </w:p>
            </w:tc>
          </w:tr>
        </w:tbl>
        <w:p w14:paraId="697B84E9" w14:textId="77777777" w:rsidR="00E57DAA" w:rsidRDefault="00AC4185">
          <w:pPr>
            <w:autoSpaceDE w:val="0"/>
            <w:autoSpaceDN w:val="0"/>
            <w:adjustRightInd w:val="0"/>
            <w:rPr>
              <w:rFonts w:ascii="ËÎÌå" w:hAnsi="ËÎÌå" w:cs="ËÎÌå" w:hint="eastAsia"/>
              <w:szCs w:val="21"/>
            </w:rPr>
          </w:pPr>
          <w:r>
            <w:rPr>
              <w:rFonts w:ascii="ËÎÌå" w:hAnsi="ËÎÌå" w:cs="ËÎÌå" w:hint="eastAsia"/>
              <w:szCs w:val="21"/>
            </w:rPr>
            <w:t>说明：</w:t>
          </w:r>
        </w:p>
        <w:p w14:paraId="42A6D4BB" w14:textId="77777777" w:rsidR="00E57DAA" w:rsidRDefault="00AC4185">
          <w:pPr>
            <w:autoSpaceDE w:val="0"/>
            <w:autoSpaceDN w:val="0"/>
            <w:adjustRightInd w:val="0"/>
            <w:rPr>
              <w:rFonts w:ascii="ËÎÌå" w:hAnsi="ËÎÌå" w:cs="ËÎÌå" w:hint="eastAsia"/>
              <w:szCs w:val="21"/>
            </w:rPr>
          </w:pPr>
          <w:r>
            <w:rPr>
              <w:rFonts w:ascii="ËÎÌå" w:hAnsi="ËÎÌå" w:cs="ËÎÌå" w:hint="eastAsia"/>
              <w:szCs w:val="21"/>
            </w:rPr>
            <w:t>1</w:t>
          </w:r>
          <w:r>
            <w:rPr>
              <w:rFonts w:ascii="ËÎÌå" w:hAnsi="ËÎÌå" w:cs="ËÎÌå" w:hint="eastAsia"/>
              <w:szCs w:val="21"/>
            </w:rPr>
            <w:t>、上述</w:t>
          </w:r>
          <w:r>
            <w:rPr>
              <w:rFonts w:ascii="ËÎÌå" w:hAnsi="ËÎÌå" w:cs="ËÎÌå"/>
              <w:szCs w:val="21"/>
            </w:rPr>
            <w:t>数据为工程与</w:t>
          </w:r>
          <w:r>
            <w:rPr>
              <w:rFonts w:ascii="ËÎÌå" w:hAnsi="ËÎÌå" w:cs="ËÎÌå" w:hint="eastAsia"/>
              <w:szCs w:val="21"/>
            </w:rPr>
            <w:t>装备</w:t>
          </w:r>
          <w:r>
            <w:rPr>
              <w:rFonts w:ascii="ËÎÌå" w:hAnsi="ËÎÌå" w:cs="ËÎÌå"/>
              <w:szCs w:val="21"/>
            </w:rPr>
            <w:t>内部</w:t>
          </w:r>
          <w:r>
            <w:rPr>
              <w:rFonts w:ascii="ËÎÌå" w:hAnsi="ËÎÌå" w:cs="ËÎÌå" w:hint="eastAsia"/>
              <w:szCs w:val="21"/>
            </w:rPr>
            <w:t>抵消</w:t>
          </w:r>
          <w:r>
            <w:rPr>
              <w:rFonts w:ascii="ËÎÌå" w:hAnsi="ËÎÌå" w:cs="ËÎÌå"/>
              <w:szCs w:val="21"/>
            </w:rPr>
            <w:t>后</w:t>
          </w:r>
          <w:r>
            <w:rPr>
              <w:rFonts w:ascii="ËÎÌå" w:hAnsi="ËÎÌå" w:cs="ËÎÌå" w:hint="eastAsia"/>
              <w:szCs w:val="21"/>
            </w:rPr>
            <w:t>。</w:t>
          </w:r>
        </w:p>
        <w:p w14:paraId="153BEDF7" w14:textId="77777777" w:rsidR="00E57DAA" w:rsidRDefault="00AC4185">
          <w:pPr>
            <w:autoSpaceDE w:val="0"/>
            <w:autoSpaceDN w:val="0"/>
            <w:adjustRightInd w:val="0"/>
            <w:rPr>
              <w:rFonts w:ascii="ËÎÌå" w:hAnsi="ËÎÌå" w:cs="ËÎÌå" w:hint="eastAsia"/>
              <w:szCs w:val="21"/>
            </w:rPr>
          </w:pPr>
          <w:r>
            <w:rPr>
              <w:rFonts w:ascii="ËÎÌå" w:hAnsi="ËÎÌå" w:cs="ËÎÌå"/>
              <w:szCs w:val="21"/>
            </w:rPr>
            <w:t>2</w:t>
          </w:r>
          <w:r>
            <w:rPr>
              <w:rFonts w:ascii="ËÎÌå" w:hAnsi="ËÎÌå" w:cs="ËÎÌå" w:hint="eastAsia"/>
              <w:szCs w:val="21"/>
            </w:rPr>
            <w:t>、“未完合同额”指有效合同的结转额，</w:t>
          </w:r>
          <w:r>
            <w:rPr>
              <w:rFonts w:ascii="ËÎÌå" w:hAnsi="ËÎÌå" w:cs="ËÎÌå"/>
              <w:szCs w:val="21"/>
            </w:rPr>
            <w:t>即</w:t>
          </w:r>
          <w:r>
            <w:rPr>
              <w:rFonts w:ascii="ËÎÌå" w:hAnsi="ËÎÌå" w:cs="ËÎÌå" w:hint="eastAsia"/>
              <w:szCs w:val="21"/>
            </w:rPr>
            <w:t>在手所有合同的结转额</w:t>
          </w:r>
          <w:r>
            <w:rPr>
              <w:rFonts w:ascii="ËÎÌå" w:hAnsi="ËÎÌå" w:cs="ËÎÌå" w:hint="eastAsia"/>
              <w:szCs w:val="21"/>
            </w:rPr>
            <w:t>-</w:t>
          </w:r>
          <w:r>
            <w:rPr>
              <w:rFonts w:ascii="ËÎÌå" w:hAnsi="ËÎÌå" w:cs="ËÎÌå" w:hint="eastAsia"/>
              <w:szCs w:val="21"/>
            </w:rPr>
            <w:t>已签订未执行及停缓建合同的结转额。</w:t>
          </w:r>
        </w:p>
        <w:p w14:paraId="3724E304" w14:textId="77777777" w:rsidR="00E57DAA" w:rsidRDefault="00EB41A1" w:rsidP="00C25422">
          <w:pPr>
            <w:pStyle w:val="92"/>
          </w:pPr>
        </w:p>
      </w:sdtContent>
    </w:sdt>
    <w:p w14:paraId="1D25D278" w14:textId="77777777" w:rsidR="00E57DAA" w:rsidRDefault="00AC4185">
      <w:pPr>
        <w:pStyle w:val="3"/>
        <w:numPr>
          <w:ilvl w:val="0"/>
          <w:numId w:val="9"/>
        </w:numPr>
      </w:pPr>
      <w:bookmarkStart w:id="49" w:name="_Toc342565895"/>
      <w:bookmarkStart w:id="50" w:name="_Toc342559738"/>
      <w:r>
        <w:rPr>
          <w:rFonts w:hint="eastAsia"/>
        </w:rPr>
        <w:t>主营业务分析</w:t>
      </w:r>
      <w:bookmarkEnd w:id="49"/>
      <w:bookmarkEnd w:id="50"/>
    </w:p>
    <w:p w14:paraId="4F07FA0B" w14:textId="77777777" w:rsidR="00E57DAA" w:rsidRDefault="00AC4185">
      <w:pPr>
        <w:pStyle w:val="4"/>
        <w:numPr>
          <w:ilvl w:val="0"/>
          <w:numId w:val="10"/>
        </w:numPr>
      </w:pPr>
      <w:r>
        <w:t>利润表及现金流量表相关科目变动分析表</w:t>
      </w:r>
    </w:p>
    <w:p w14:paraId="00105789" w14:textId="77777777" w:rsidR="00D54EAF" w:rsidRDefault="00D54EAF">
      <w:pPr>
        <w:pStyle w:val="aff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1735216"/>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万元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74313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aff6"/>
        <w:tblW w:w="4994" w:type="pct"/>
        <w:tblLook w:val="04A0" w:firstRow="1" w:lastRow="0" w:firstColumn="1" w:lastColumn="0" w:noHBand="0" w:noVBand="1"/>
      </w:tblPr>
      <w:tblGrid>
        <w:gridCol w:w="3008"/>
        <w:gridCol w:w="2073"/>
        <w:gridCol w:w="1935"/>
        <w:gridCol w:w="1796"/>
      </w:tblGrid>
      <w:tr w:rsidR="00D54EAF" w14:paraId="5E00E79E" w14:textId="77777777" w:rsidTr="001E2B27">
        <w:bookmarkStart w:id="51" w:name="_Hlk10208057" w:displacedByCustomXml="next"/>
        <w:sdt>
          <w:sdtPr>
            <w:rPr>
              <w:rFonts w:ascii="宋体" w:hAnsi="宋体"/>
            </w:rPr>
            <w:tag w:val="_PLD_e184eafc8be3478d9fc8a544274385f7"/>
            <w:id w:val="345675307"/>
          </w:sdtPr>
          <w:sdtEndPr/>
          <w:sdtContent>
            <w:tc>
              <w:tcPr>
                <w:tcW w:w="1707" w:type="pct"/>
              </w:tcPr>
              <w:p w14:paraId="0DFAC697" w14:textId="77777777" w:rsidR="00D54EAF" w:rsidRDefault="00D54EAF">
                <w:pPr>
                  <w:pStyle w:val="affc"/>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1550496132"/>
          </w:sdtPr>
          <w:sdtEndPr/>
          <w:sdtContent>
            <w:tc>
              <w:tcPr>
                <w:tcW w:w="1176" w:type="pct"/>
                <w:vAlign w:val="center"/>
              </w:tcPr>
              <w:p w14:paraId="68A13B96" w14:textId="77777777" w:rsidR="00D54EAF" w:rsidRDefault="00D54EAF">
                <w:pPr>
                  <w:pStyle w:val="affc"/>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2041512294"/>
          </w:sdtPr>
          <w:sdtEndPr/>
          <w:sdtContent>
            <w:tc>
              <w:tcPr>
                <w:tcW w:w="1098" w:type="pct"/>
                <w:vAlign w:val="center"/>
              </w:tcPr>
              <w:p w14:paraId="0C77E1D9" w14:textId="77777777" w:rsidR="00D54EAF" w:rsidRDefault="00D54EAF">
                <w:pPr>
                  <w:pStyle w:val="affc"/>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1201016099"/>
          </w:sdtPr>
          <w:sdtEndPr/>
          <w:sdtContent>
            <w:tc>
              <w:tcPr>
                <w:tcW w:w="1019" w:type="pct"/>
                <w:vAlign w:val="center"/>
              </w:tcPr>
              <w:p w14:paraId="6E2008DD" w14:textId="77777777" w:rsidR="00D54EAF" w:rsidRDefault="00D54EAF">
                <w:pPr>
                  <w:pStyle w:val="affc"/>
                  <w:ind w:firstLineChars="0" w:firstLine="0"/>
                  <w:jc w:val="center"/>
                  <w:rPr>
                    <w:rFonts w:ascii="宋体" w:hAnsi="宋体"/>
                    <w:szCs w:val="21"/>
                  </w:rPr>
                </w:pPr>
                <w:r>
                  <w:rPr>
                    <w:rFonts w:ascii="宋体" w:hAnsi="宋体" w:hint="eastAsia"/>
                    <w:szCs w:val="21"/>
                  </w:rPr>
                  <w:t>变动比例（%）</w:t>
                </w:r>
              </w:p>
            </w:tc>
          </w:sdtContent>
        </w:sdt>
      </w:tr>
      <w:tr w:rsidR="00D54EAF" w14:paraId="4D15ECA4" w14:textId="77777777" w:rsidTr="001E2B27">
        <w:sdt>
          <w:sdtPr>
            <w:rPr>
              <w:rFonts w:ascii="宋体" w:hAnsi="宋体"/>
            </w:rPr>
            <w:tag w:val="_PLD_f3349a601ac64bd7b8d61b522740845f"/>
            <w:id w:val="2133750770"/>
          </w:sdtPr>
          <w:sdtEndPr/>
          <w:sdtContent>
            <w:tc>
              <w:tcPr>
                <w:tcW w:w="1707" w:type="pct"/>
              </w:tcPr>
              <w:p w14:paraId="63C27070" w14:textId="77777777" w:rsidR="00D54EAF" w:rsidRDefault="00D54EAF">
                <w:pPr>
                  <w:pStyle w:val="affc"/>
                  <w:ind w:firstLineChars="0" w:firstLine="0"/>
                  <w:rPr>
                    <w:rFonts w:ascii="宋体" w:hAnsi="宋体"/>
                    <w:szCs w:val="21"/>
                  </w:rPr>
                </w:pPr>
                <w:r>
                  <w:rPr>
                    <w:rFonts w:ascii="宋体" w:hAnsi="宋体" w:hint="eastAsia"/>
                    <w:szCs w:val="21"/>
                  </w:rPr>
                  <w:t>营业收入</w:t>
                </w:r>
              </w:p>
            </w:tc>
          </w:sdtContent>
        </w:sdt>
        <w:tc>
          <w:tcPr>
            <w:tcW w:w="1176" w:type="pct"/>
            <w:vAlign w:val="center"/>
          </w:tcPr>
          <w:p w14:paraId="356062F0" w14:textId="77777777" w:rsidR="00D54EAF" w:rsidRDefault="00D54EAF">
            <w:pPr>
              <w:pStyle w:val="affc"/>
              <w:ind w:firstLineChars="0" w:firstLine="0"/>
              <w:jc w:val="right"/>
              <w:rPr>
                <w:rFonts w:ascii="宋体" w:hAnsi="宋体"/>
                <w:szCs w:val="21"/>
              </w:rPr>
            </w:pPr>
            <w:r>
              <w:rPr>
                <w:rFonts w:ascii="宋体" w:hAnsi="宋体" w:hint="eastAsia"/>
                <w:szCs w:val="21"/>
              </w:rPr>
              <w:t>4,579,884.42</w:t>
            </w:r>
          </w:p>
        </w:tc>
        <w:tc>
          <w:tcPr>
            <w:tcW w:w="1098" w:type="pct"/>
            <w:vAlign w:val="center"/>
          </w:tcPr>
          <w:p w14:paraId="4DC05A64" w14:textId="77777777" w:rsidR="00D54EAF" w:rsidRDefault="00D54EAF">
            <w:pPr>
              <w:pStyle w:val="affc"/>
              <w:ind w:firstLineChars="0" w:firstLine="0"/>
              <w:jc w:val="right"/>
              <w:rPr>
                <w:rFonts w:ascii="宋体" w:hAnsi="宋体"/>
                <w:szCs w:val="21"/>
              </w:rPr>
            </w:pPr>
            <w:r>
              <w:rPr>
                <w:rFonts w:ascii="宋体" w:hAnsi="宋体" w:hint="eastAsia"/>
                <w:szCs w:val="21"/>
              </w:rPr>
              <w:t>4,282,575.8</w:t>
            </w:r>
            <w:r w:rsidR="00F3683B">
              <w:rPr>
                <w:rFonts w:ascii="宋体" w:hAnsi="宋体" w:hint="eastAsia"/>
                <w:szCs w:val="21"/>
              </w:rPr>
              <w:t>0</w:t>
            </w:r>
          </w:p>
        </w:tc>
        <w:tc>
          <w:tcPr>
            <w:tcW w:w="1019" w:type="pct"/>
            <w:vAlign w:val="center"/>
          </w:tcPr>
          <w:p w14:paraId="675899EC" w14:textId="77777777" w:rsidR="00D54EAF" w:rsidRDefault="00D54EAF">
            <w:pPr>
              <w:pStyle w:val="affc"/>
              <w:ind w:firstLineChars="0" w:firstLine="0"/>
              <w:jc w:val="right"/>
              <w:rPr>
                <w:rFonts w:ascii="宋体" w:hAnsi="宋体"/>
                <w:szCs w:val="21"/>
              </w:rPr>
            </w:pPr>
            <w:r>
              <w:rPr>
                <w:rFonts w:ascii="宋体" w:hAnsi="宋体" w:hint="eastAsia"/>
                <w:szCs w:val="21"/>
              </w:rPr>
              <w:t>6.94</w:t>
            </w:r>
          </w:p>
        </w:tc>
      </w:tr>
      <w:tr w:rsidR="00D54EAF" w14:paraId="26A8290E" w14:textId="77777777" w:rsidTr="001E2B27">
        <w:sdt>
          <w:sdtPr>
            <w:rPr>
              <w:rFonts w:ascii="宋体" w:hAnsi="宋体"/>
            </w:rPr>
            <w:tag w:val="_PLD_df58648240034d1088079fb56a3943a9"/>
            <w:id w:val="1706746549"/>
          </w:sdtPr>
          <w:sdtEndPr/>
          <w:sdtContent>
            <w:tc>
              <w:tcPr>
                <w:tcW w:w="1707" w:type="pct"/>
              </w:tcPr>
              <w:p w14:paraId="5D243DB9" w14:textId="77777777" w:rsidR="00D54EAF" w:rsidRDefault="00D54EAF">
                <w:pPr>
                  <w:pStyle w:val="affc"/>
                  <w:ind w:firstLineChars="0" w:firstLine="0"/>
                  <w:rPr>
                    <w:rFonts w:ascii="宋体" w:hAnsi="宋体"/>
                    <w:szCs w:val="21"/>
                  </w:rPr>
                </w:pPr>
                <w:r>
                  <w:rPr>
                    <w:rFonts w:ascii="宋体" w:hAnsi="宋体"/>
                    <w:szCs w:val="21"/>
                  </w:rPr>
                  <w:t>营业成本</w:t>
                </w:r>
              </w:p>
            </w:tc>
          </w:sdtContent>
        </w:sdt>
        <w:tc>
          <w:tcPr>
            <w:tcW w:w="1176" w:type="pct"/>
            <w:vAlign w:val="center"/>
          </w:tcPr>
          <w:p w14:paraId="5260BC7F" w14:textId="77777777" w:rsidR="00D54EAF" w:rsidRDefault="00D54EAF">
            <w:pPr>
              <w:pStyle w:val="affc"/>
              <w:ind w:firstLineChars="0" w:firstLine="0"/>
              <w:jc w:val="right"/>
              <w:rPr>
                <w:rFonts w:ascii="宋体" w:hAnsi="宋体"/>
                <w:szCs w:val="21"/>
              </w:rPr>
            </w:pPr>
            <w:r>
              <w:rPr>
                <w:rFonts w:ascii="宋体" w:hAnsi="宋体" w:hint="eastAsia"/>
                <w:szCs w:val="21"/>
              </w:rPr>
              <w:t>3,690,038.52</w:t>
            </w:r>
          </w:p>
        </w:tc>
        <w:tc>
          <w:tcPr>
            <w:tcW w:w="1098" w:type="pct"/>
            <w:vAlign w:val="center"/>
          </w:tcPr>
          <w:p w14:paraId="642C2941" w14:textId="77777777" w:rsidR="00D54EAF" w:rsidRDefault="00D54EAF">
            <w:pPr>
              <w:pStyle w:val="affc"/>
              <w:ind w:firstLineChars="0" w:firstLine="0"/>
              <w:jc w:val="right"/>
              <w:rPr>
                <w:rFonts w:ascii="宋体" w:hAnsi="宋体"/>
                <w:szCs w:val="21"/>
              </w:rPr>
            </w:pPr>
            <w:r>
              <w:rPr>
                <w:rFonts w:ascii="宋体" w:hAnsi="宋体" w:hint="eastAsia"/>
                <w:szCs w:val="21"/>
              </w:rPr>
              <w:t>3,540,020.42</w:t>
            </w:r>
          </w:p>
        </w:tc>
        <w:tc>
          <w:tcPr>
            <w:tcW w:w="1019" w:type="pct"/>
            <w:vAlign w:val="center"/>
          </w:tcPr>
          <w:p w14:paraId="0D3789A5" w14:textId="77777777" w:rsidR="00D54EAF" w:rsidRDefault="00D54EAF">
            <w:pPr>
              <w:pStyle w:val="affc"/>
              <w:ind w:firstLineChars="0" w:firstLine="0"/>
              <w:jc w:val="right"/>
              <w:rPr>
                <w:rFonts w:ascii="宋体" w:hAnsi="宋体"/>
                <w:szCs w:val="21"/>
              </w:rPr>
            </w:pPr>
            <w:r>
              <w:rPr>
                <w:rFonts w:ascii="宋体" w:hAnsi="宋体" w:hint="eastAsia"/>
                <w:szCs w:val="21"/>
              </w:rPr>
              <w:t>4.24</w:t>
            </w:r>
          </w:p>
        </w:tc>
      </w:tr>
      <w:tr w:rsidR="00D54EAF" w14:paraId="41E48AE8" w14:textId="77777777" w:rsidTr="001E2B27">
        <w:sdt>
          <w:sdtPr>
            <w:rPr>
              <w:rFonts w:ascii="宋体" w:hAnsi="宋体"/>
            </w:rPr>
            <w:tag w:val="_PLD_eb5fed5a05b64b52b5011ae5649aada8"/>
            <w:id w:val="-1575045836"/>
          </w:sdtPr>
          <w:sdtEndPr/>
          <w:sdtContent>
            <w:tc>
              <w:tcPr>
                <w:tcW w:w="1707" w:type="pct"/>
              </w:tcPr>
              <w:p w14:paraId="1C3BB4B6" w14:textId="77777777" w:rsidR="00D54EAF" w:rsidRDefault="00D54EAF">
                <w:pPr>
                  <w:pStyle w:val="affc"/>
                  <w:ind w:firstLineChars="0" w:firstLine="0"/>
                  <w:rPr>
                    <w:rFonts w:ascii="宋体" w:hAnsi="宋体"/>
                    <w:szCs w:val="21"/>
                  </w:rPr>
                </w:pPr>
                <w:r>
                  <w:rPr>
                    <w:rFonts w:ascii="宋体" w:hAnsi="宋体"/>
                    <w:szCs w:val="21"/>
                  </w:rPr>
                  <w:t>销售费用</w:t>
                </w:r>
              </w:p>
            </w:tc>
          </w:sdtContent>
        </w:sdt>
        <w:tc>
          <w:tcPr>
            <w:tcW w:w="1176" w:type="pct"/>
            <w:vAlign w:val="center"/>
          </w:tcPr>
          <w:p w14:paraId="39906D8E" w14:textId="77777777" w:rsidR="00D54EAF" w:rsidRDefault="00D54EAF">
            <w:pPr>
              <w:pStyle w:val="affc"/>
              <w:ind w:firstLineChars="0" w:firstLine="0"/>
              <w:jc w:val="right"/>
              <w:rPr>
                <w:rFonts w:ascii="宋体" w:hAnsi="宋体"/>
                <w:szCs w:val="21"/>
              </w:rPr>
            </w:pPr>
            <w:r>
              <w:rPr>
                <w:rFonts w:ascii="宋体" w:hAnsi="宋体" w:hint="eastAsia"/>
                <w:szCs w:val="21"/>
              </w:rPr>
              <w:t>55,796.18</w:t>
            </w:r>
          </w:p>
        </w:tc>
        <w:tc>
          <w:tcPr>
            <w:tcW w:w="1098" w:type="pct"/>
            <w:vAlign w:val="center"/>
          </w:tcPr>
          <w:p w14:paraId="74C7A657" w14:textId="77777777" w:rsidR="00D54EAF" w:rsidRDefault="00D54EAF">
            <w:pPr>
              <w:pStyle w:val="affc"/>
              <w:ind w:firstLineChars="0" w:firstLine="0"/>
              <w:jc w:val="right"/>
              <w:rPr>
                <w:rFonts w:ascii="宋体" w:hAnsi="宋体"/>
                <w:szCs w:val="21"/>
              </w:rPr>
            </w:pPr>
            <w:r>
              <w:rPr>
                <w:rFonts w:ascii="宋体" w:hAnsi="宋体" w:hint="eastAsia"/>
                <w:szCs w:val="21"/>
              </w:rPr>
              <w:t>50,939.58</w:t>
            </w:r>
          </w:p>
        </w:tc>
        <w:tc>
          <w:tcPr>
            <w:tcW w:w="1019" w:type="pct"/>
            <w:vAlign w:val="center"/>
          </w:tcPr>
          <w:p w14:paraId="2A455BEE" w14:textId="77777777" w:rsidR="00D54EAF" w:rsidRDefault="00D54EAF">
            <w:pPr>
              <w:pStyle w:val="affc"/>
              <w:ind w:firstLineChars="0" w:firstLine="0"/>
              <w:jc w:val="right"/>
              <w:rPr>
                <w:rFonts w:ascii="宋体" w:hAnsi="宋体"/>
                <w:szCs w:val="21"/>
              </w:rPr>
            </w:pPr>
            <w:r>
              <w:rPr>
                <w:rFonts w:ascii="宋体" w:hAnsi="宋体" w:hint="eastAsia"/>
                <w:szCs w:val="21"/>
              </w:rPr>
              <w:t>9.53</w:t>
            </w:r>
          </w:p>
        </w:tc>
      </w:tr>
      <w:tr w:rsidR="00D54EAF" w14:paraId="2706E388" w14:textId="77777777" w:rsidTr="001E2B27">
        <w:sdt>
          <w:sdtPr>
            <w:rPr>
              <w:rFonts w:ascii="宋体" w:hAnsi="宋体"/>
            </w:rPr>
            <w:tag w:val="_PLD_7dd7647cc020430ca51c62e1153a83dd"/>
            <w:id w:val="-477146145"/>
          </w:sdtPr>
          <w:sdtEndPr/>
          <w:sdtContent>
            <w:tc>
              <w:tcPr>
                <w:tcW w:w="1707" w:type="pct"/>
              </w:tcPr>
              <w:p w14:paraId="77B1D120" w14:textId="77777777" w:rsidR="00D54EAF" w:rsidRDefault="00D54EAF">
                <w:pPr>
                  <w:pStyle w:val="affc"/>
                  <w:ind w:firstLineChars="0" w:firstLine="0"/>
                  <w:rPr>
                    <w:rFonts w:ascii="宋体" w:hAnsi="宋体"/>
                    <w:szCs w:val="21"/>
                  </w:rPr>
                </w:pPr>
                <w:r>
                  <w:rPr>
                    <w:rFonts w:ascii="宋体" w:hAnsi="宋体"/>
                    <w:szCs w:val="21"/>
                  </w:rPr>
                  <w:t>管理费用</w:t>
                </w:r>
              </w:p>
            </w:tc>
          </w:sdtContent>
        </w:sdt>
        <w:tc>
          <w:tcPr>
            <w:tcW w:w="1176" w:type="pct"/>
            <w:vAlign w:val="center"/>
          </w:tcPr>
          <w:p w14:paraId="7BB0B993" w14:textId="77777777" w:rsidR="00D54EAF" w:rsidRDefault="00D54EAF">
            <w:pPr>
              <w:pStyle w:val="affc"/>
              <w:ind w:firstLineChars="0" w:firstLine="0"/>
              <w:jc w:val="right"/>
              <w:rPr>
                <w:rFonts w:ascii="宋体" w:hAnsi="宋体"/>
                <w:szCs w:val="21"/>
              </w:rPr>
            </w:pPr>
            <w:r>
              <w:rPr>
                <w:rFonts w:ascii="宋体" w:hAnsi="宋体" w:hint="eastAsia"/>
                <w:szCs w:val="21"/>
              </w:rPr>
              <w:t>216,489.04</w:t>
            </w:r>
          </w:p>
        </w:tc>
        <w:tc>
          <w:tcPr>
            <w:tcW w:w="1098" w:type="pct"/>
            <w:vAlign w:val="center"/>
          </w:tcPr>
          <w:p w14:paraId="45CC2D78" w14:textId="77777777" w:rsidR="00D54EAF" w:rsidRDefault="00D54EAF">
            <w:pPr>
              <w:pStyle w:val="affc"/>
              <w:ind w:firstLineChars="0" w:firstLine="0"/>
              <w:jc w:val="right"/>
              <w:rPr>
                <w:rFonts w:ascii="宋体" w:hAnsi="宋体"/>
                <w:szCs w:val="21"/>
              </w:rPr>
            </w:pPr>
            <w:r>
              <w:rPr>
                <w:rFonts w:ascii="宋体" w:hAnsi="宋体" w:hint="eastAsia"/>
                <w:szCs w:val="21"/>
              </w:rPr>
              <w:t>202,804.86</w:t>
            </w:r>
          </w:p>
        </w:tc>
        <w:tc>
          <w:tcPr>
            <w:tcW w:w="1019" w:type="pct"/>
            <w:vAlign w:val="center"/>
          </w:tcPr>
          <w:p w14:paraId="44F9322E" w14:textId="77777777" w:rsidR="00D54EAF" w:rsidRDefault="00D54EAF">
            <w:pPr>
              <w:pStyle w:val="affc"/>
              <w:ind w:firstLineChars="0" w:firstLine="0"/>
              <w:jc w:val="right"/>
              <w:rPr>
                <w:rFonts w:ascii="宋体" w:hAnsi="宋体"/>
                <w:szCs w:val="21"/>
              </w:rPr>
            </w:pPr>
            <w:r>
              <w:rPr>
                <w:rFonts w:ascii="宋体" w:hAnsi="宋体" w:hint="eastAsia"/>
                <w:szCs w:val="21"/>
              </w:rPr>
              <w:t>6.75</w:t>
            </w:r>
          </w:p>
        </w:tc>
      </w:tr>
      <w:tr w:rsidR="00D54EAF" w14:paraId="7B9E28AD" w14:textId="77777777" w:rsidTr="001E2B27">
        <w:sdt>
          <w:sdtPr>
            <w:rPr>
              <w:rFonts w:ascii="宋体" w:hAnsi="宋体"/>
            </w:rPr>
            <w:tag w:val="_PLD_11f29eae2f5b4366948f692da9f8342b"/>
            <w:id w:val="-653519300"/>
          </w:sdtPr>
          <w:sdtEndPr/>
          <w:sdtContent>
            <w:tc>
              <w:tcPr>
                <w:tcW w:w="1707" w:type="pct"/>
              </w:tcPr>
              <w:p w14:paraId="4E53A38F" w14:textId="77777777" w:rsidR="00D54EAF" w:rsidRDefault="00D54EAF">
                <w:pPr>
                  <w:pStyle w:val="affc"/>
                  <w:ind w:firstLineChars="0" w:firstLine="0"/>
                  <w:rPr>
                    <w:rFonts w:ascii="宋体" w:hAnsi="宋体"/>
                    <w:szCs w:val="21"/>
                  </w:rPr>
                </w:pPr>
                <w:r>
                  <w:rPr>
                    <w:rFonts w:ascii="宋体" w:hAnsi="宋体"/>
                    <w:szCs w:val="21"/>
                  </w:rPr>
                  <w:t>财务费用</w:t>
                </w:r>
              </w:p>
            </w:tc>
          </w:sdtContent>
        </w:sdt>
        <w:tc>
          <w:tcPr>
            <w:tcW w:w="1176" w:type="pct"/>
            <w:vAlign w:val="center"/>
          </w:tcPr>
          <w:p w14:paraId="79B685E7" w14:textId="77777777" w:rsidR="00D54EAF" w:rsidRDefault="00D54EAF">
            <w:pPr>
              <w:pStyle w:val="affc"/>
              <w:ind w:firstLineChars="0" w:firstLine="0"/>
              <w:jc w:val="right"/>
              <w:rPr>
                <w:rFonts w:ascii="宋体" w:hAnsi="宋体"/>
                <w:szCs w:val="21"/>
              </w:rPr>
            </w:pPr>
            <w:r>
              <w:rPr>
                <w:rFonts w:ascii="宋体" w:hAnsi="宋体" w:hint="eastAsia"/>
                <w:szCs w:val="21"/>
              </w:rPr>
              <w:t>25,238.94</w:t>
            </w:r>
          </w:p>
        </w:tc>
        <w:tc>
          <w:tcPr>
            <w:tcW w:w="1098" w:type="pct"/>
            <w:vAlign w:val="center"/>
          </w:tcPr>
          <w:p w14:paraId="6A3BF0C4" w14:textId="77777777" w:rsidR="00D54EAF" w:rsidRDefault="00D54EAF">
            <w:pPr>
              <w:pStyle w:val="affc"/>
              <w:ind w:firstLineChars="0" w:firstLine="0"/>
              <w:jc w:val="right"/>
              <w:rPr>
                <w:rFonts w:ascii="宋体" w:hAnsi="宋体"/>
                <w:szCs w:val="21"/>
              </w:rPr>
            </w:pPr>
            <w:r>
              <w:rPr>
                <w:rFonts w:ascii="宋体" w:hAnsi="宋体" w:hint="eastAsia"/>
                <w:szCs w:val="21"/>
              </w:rPr>
              <w:t>-17,101.62</w:t>
            </w:r>
          </w:p>
        </w:tc>
        <w:tc>
          <w:tcPr>
            <w:tcW w:w="1019" w:type="pct"/>
            <w:vAlign w:val="center"/>
          </w:tcPr>
          <w:p w14:paraId="1890872B" w14:textId="77777777" w:rsidR="00D54EAF" w:rsidRDefault="00D54EAF">
            <w:pPr>
              <w:pStyle w:val="affc"/>
              <w:ind w:firstLineChars="0" w:firstLine="0"/>
              <w:jc w:val="right"/>
              <w:rPr>
                <w:rFonts w:ascii="宋体" w:hAnsi="宋体"/>
                <w:szCs w:val="21"/>
              </w:rPr>
            </w:pPr>
            <w:r>
              <w:rPr>
                <w:rFonts w:ascii="宋体" w:hAnsi="宋体" w:hint="eastAsia"/>
                <w:szCs w:val="21"/>
              </w:rPr>
              <w:t>不适用</w:t>
            </w:r>
          </w:p>
        </w:tc>
      </w:tr>
      <w:tr w:rsidR="00D54EAF" w14:paraId="7625B281" w14:textId="77777777" w:rsidTr="001E2B27">
        <w:sdt>
          <w:sdtPr>
            <w:rPr>
              <w:rFonts w:ascii="宋体" w:hAnsi="宋体"/>
            </w:rPr>
            <w:tag w:val="_PLD_c0c64f5b56ed4f2184c013da2cece2bb"/>
            <w:id w:val="-134420160"/>
          </w:sdtPr>
          <w:sdtEndPr/>
          <w:sdtContent>
            <w:tc>
              <w:tcPr>
                <w:tcW w:w="1707" w:type="pct"/>
              </w:tcPr>
              <w:p w14:paraId="7D8B6D8E" w14:textId="77777777" w:rsidR="00D54EAF" w:rsidRDefault="00D54EAF">
                <w:pPr>
                  <w:pStyle w:val="affc"/>
                  <w:ind w:firstLineChars="0" w:firstLine="0"/>
                  <w:rPr>
                    <w:rFonts w:ascii="宋体" w:hAnsi="宋体"/>
                    <w:szCs w:val="21"/>
                  </w:rPr>
                </w:pPr>
                <w:r>
                  <w:rPr>
                    <w:rFonts w:ascii="宋体" w:hAnsi="宋体" w:hint="eastAsia"/>
                    <w:szCs w:val="21"/>
                  </w:rPr>
                  <w:t>研发费用</w:t>
                </w:r>
              </w:p>
            </w:tc>
          </w:sdtContent>
        </w:sdt>
        <w:tc>
          <w:tcPr>
            <w:tcW w:w="1176" w:type="pct"/>
            <w:vAlign w:val="center"/>
          </w:tcPr>
          <w:p w14:paraId="68F6D266" w14:textId="77777777" w:rsidR="00D54EAF" w:rsidRDefault="00D54EAF">
            <w:pPr>
              <w:pStyle w:val="affc"/>
              <w:ind w:firstLineChars="0" w:firstLine="0"/>
              <w:jc w:val="right"/>
              <w:rPr>
                <w:rFonts w:ascii="宋体" w:hAnsi="宋体"/>
                <w:szCs w:val="21"/>
              </w:rPr>
            </w:pPr>
            <w:r>
              <w:rPr>
                <w:rFonts w:ascii="宋体" w:hAnsi="宋体" w:hint="eastAsia"/>
                <w:szCs w:val="21"/>
              </w:rPr>
              <w:t>184,154.36</w:t>
            </w:r>
          </w:p>
        </w:tc>
        <w:tc>
          <w:tcPr>
            <w:tcW w:w="1098" w:type="pct"/>
            <w:vAlign w:val="center"/>
          </w:tcPr>
          <w:p w14:paraId="5FF28FF5" w14:textId="77777777" w:rsidR="00D54EAF" w:rsidRDefault="00D54EAF">
            <w:pPr>
              <w:pStyle w:val="affc"/>
              <w:ind w:firstLineChars="0" w:firstLine="0"/>
              <w:jc w:val="right"/>
              <w:rPr>
                <w:rFonts w:ascii="宋体" w:hAnsi="宋体"/>
                <w:szCs w:val="21"/>
              </w:rPr>
            </w:pPr>
            <w:r>
              <w:rPr>
                <w:rFonts w:ascii="宋体" w:hAnsi="宋体" w:hint="eastAsia"/>
                <w:szCs w:val="21"/>
              </w:rPr>
              <w:t>162,657.79</w:t>
            </w:r>
          </w:p>
        </w:tc>
        <w:tc>
          <w:tcPr>
            <w:tcW w:w="1019" w:type="pct"/>
            <w:vAlign w:val="center"/>
          </w:tcPr>
          <w:p w14:paraId="7789A256" w14:textId="77777777" w:rsidR="00D54EAF" w:rsidRDefault="00D54EAF">
            <w:pPr>
              <w:pStyle w:val="affc"/>
              <w:ind w:firstLineChars="0" w:firstLine="0"/>
              <w:jc w:val="right"/>
              <w:rPr>
                <w:rFonts w:ascii="宋体" w:hAnsi="宋体"/>
                <w:szCs w:val="21"/>
              </w:rPr>
            </w:pPr>
            <w:r>
              <w:rPr>
                <w:rFonts w:ascii="宋体" w:hAnsi="宋体" w:hint="eastAsia"/>
                <w:szCs w:val="21"/>
              </w:rPr>
              <w:t>13.22</w:t>
            </w:r>
          </w:p>
        </w:tc>
      </w:tr>
      <w:tr w:rsidR="00D54EAF" w14:paraId="6A830EC6" w14:textId="77777777" w:rsidTr="001E2B27">
        <w:sdt>
          <w:sdtPr>
            <w:rPr>
              <w:rFonts w:ascii="宋体" w:hAnsi="宋体"/>
            </w:rPr>
            <w:tag w:val="_PLD_7a0d1b40eb104d3a8542e1dcbe974a70"/>
            <w:id w:val="1295251990"/>
          </w:sdtPr>
          <w:sdtEndPr/>
          <w:sdtContent>
            <w:tc>
              <w:tcPr>
                <w:tcW w:w="1707" w:type="pct"/>
              </w:tcPr>
              <w:p w14:paraId="1F3DE30B" w14:textId="77777777" w:rsidR="00D54EAF" w:rsidRDefault="00D54EAF">
                <w:pPr>
                  <w:pStyle w:val="affc"/>
                  <w:ind w:firstLineChars="0" w:firstLine="0"/>
                  <w:rPr>
                    <w:rFonts w:ascii="宋体" w:hAnsi="宋体"/>
                    <w:szCs w:val="21"/>
                  </w:rPr>
                </w:pPr>
                <w:r>
                  <w:rPr>
                    <w:rFonts w:ascii="宋体" w:hAnsi="宋体"/>
                    <w:szCs w:val="21"/>
                  </w:rPr>
                  <w:t>经营活动产生的现金流量净额</w:t>
                </w:r>
              </w:p>
            </w:tc>
          </w:sdtContent>
        </w:sdt>
        <w:tc>
          <w:tcPr>
            <w:tcW w:w="1176" w:type="pct"/>
            <w:vAlign w:val="center"/>
          </w:tcPr>
          <w:p w14:paraId="243BF14B" w14:textId="77777777" w:rsidR="00D54EAF" w:rsidRDefault="00D54EAF">
            <w:pPr>
              <w:pStyle w:val="affc"/>
              <w:ind w:firstLineChars="0" w:firstLine="0"/>
              <w:jc w:val="right"/>
              <w:rPr>
                <w:rFonts w:ascii="宋体" w:hAnsi="宋体"/>
                <w:szCs w:val="21"/>
              </w:rPr>
            </w:pPr>
            <w:r>
              <w:rPr>
                <w:rFonts w:ascii="宋体" w:hAnsi="宋体" w:hint="eastAsia"/>
                <w:szCs w:val="21"/>
              </w:rPr>
              <w:t>353,585.81</w:t>
            </w:r>
          </w:p>
        </w:tc>
        <w:tc>
          <w:tcPr>
            <w:tcW w:w="1098" w:type="pct"/>
            <w:vAlign w:val="center"/>
          </w:tcPr>
          <w:p w14:paraId="2AA48AFC" w14:textId="77777777" w:rsidR="00D54EAF" w:rsidRDefault="00D54EAF">
            <w:pPr>
              <w:pStyle w:val="affc"/>
              <w:ind w:firstLineChars="0" w:firstLine="0"/>
              <w:jc w:val="right"/>
              <w:rPr>
                <w:rFonts w:ascii="宋体" w:hAnsi="宋体"/>
                <w:szCs w:val="21"/>
              </w:rPr>
            </w:pPr>
            <w:r>
              <w:rPr>
                <w:rFonts w:ascii="宋体" w:hAnsi="宋体" w:hint="eastAsia"/>
                <w:szCs w:val="21"/>
              </w:rPr>
              <w:t>114,028.26</w:t>
            </w:r>
          </w:p>
        </w:tc>
        <w:tc>
          <w:tcPr>
            <w:tcW w:w="1019" w:type="pct"/>
            <w:vAlign w:val="center"/>
          </w:tcPr>
          <w:p w14:paraId="0574BCFE" w14:textId="77777777" w:rsidR="00D54EAF" w:rsidRDefault="00D54EAF">
            <w:pPr>
              <w:pStyle w:val="affc"/>
              <w:ind w:firstLineChars="0" w:firstLine="0"/>
              <w:jc w:val="right"/>
              <w:rPr>
                <w:rFonts w:ascii="宋体" w:hAnsi="宋体"/>
                <w:szCs w:val="21"/>
              </w:rPr>
            </w:pPr>
            <w:r>
              <w:rPr>
                <w:rFonts w:ascii="宋体" w:hAnsi="宋体" w:hint="eastAsia"/>
                <w:szCs w:val="21"/>
              </w:rPr>
              <w:t>210.09</w:t>
            </w:r>
          </w:p>
        </w:tc>
      </w:tr>
      <w:tr w:rsidR="00D54EAF" w14:paraId="7F9123F8" w14:textId="77777777" w:rsidTr="001E2B27">
        <w:sdt>
          <w:sdtPr>
            <w:rPr>
              <w:rFonts w:ascii="宋体" w:hAnsi="宋体"/>
            </w:rPr>
            <w:tag w:val="_PLD_647d805f55934b568f87b005fe82ea11"/>
            <w:id w:val="-1909679290"/>
          </w:sdtPr>
          <w:sdtEndPr/>
          <w:sdtContent>
            <w:tc>
              <w:tcPr>
                <w:tcW w:w="1707" w:type="pct"/>
              </w:tcPr>
              <w:p w14:paraId="40DAAC1A" w14:textId="77777777" w:rsidR="00D54EAF" w:rsidRDefault="00D54EAF">
                <w:pPr>
                  <w:pStyle w:val="affc"/>
                  <w:ind w:firstLineChars="0" w:firstLine="0"/>
                  <w:rPr>
                    <w:rFonts w:ascii="宋体" w:hAnsi="宋体"/>
                    <w:szCs w:val="21"/>
                  </w:rPr>
                </w:pPr>
                <w:r>
                  <w:rPr>
                    <w:rFonts w:ascii="宋体" w:hAnsi="宋体"/>
                    <w:szCs w:val="21"/>
                  </w:rPr>
                  <w:t>投资活动产生的现金流量净额</w:t>
                </w:r>
              </w:p>
            </w:tc>
          </w:sdtContent>
        </w:sdt>
        <w:tc>
          <w:tcPr>
            <w:tcW w:w="1176" w:type="pct"/>
            <w:vAlign w:val="center"/>
          </w:tcPr>
          <w:p w14:paraId="20094A0C" w14:textId="77777777" w:rsidR="00D54EAF" w:rsidRDefault="00D54EAF">
            <w:pPr>
              <w:pStyle w:val="affc"/>
              <w:ind w:firstLineChars="0" w:firstLine="0"/>
              <w:jc w:val="right"/>
              <w:rPr>
                <w:rFonts w:ascii="宋体" w:hAnsi="宋体"/>
                <w:szCs w:val="21"/>
              </w:rPr>
            </w:pPr>
            <w:r>
              <w:rPr>
                <w:rFonts w:ascii="宋体" w:hAnsi="宋体" w:hint="eastAsia"/>
                <w:szCs w:val="21"/>
              </w:rPr>
              <w:t>-90,355.02</w:t>
            </w:r>
          </w:p>
        </w:tc>
        <w:tc>
          <w:tcPr>
            <w:tcW w:w="1098" w:type="pct"/>
            <w:vAlign w:val="center"/>
          </w:tcPr>
          <w:p w14:paraId="1F6A77B7" w14:textId="77777777" w:rsidR="00D54EAF" w:rsidRDefault="00D54EAF">
            <w:pPr>
              <w:pStyle w:val="affc"/>
              <w:ind w:firstLineChars="0" w:firstLine="0"/>
              <w:jc w:val="right"/>
              <w:rPr>
                <w:rFonts w:ascii="宋体" w:hAnsi="宋体"/>
                <w:szCs w:val="21"/>
              </w:rPr>
            </w:pPr>
            <w:r>
              <w:rPr>
                <w:rFonts w:ascii="宋体" w:hAnsi="宋体" w:hint="eastAsia"/>
                <w:szCs w:val="21"/>
              </w:rPr>
              <w:t>-115,213.07</w:t>
            </w:r>
          </w:p>
        </w:tc>
        <w:tc>
          <w:tcPr>
            <w:tcW w:w="1019" w:type="pct"/>
            <w:vAlign w:val="center"/>
          </w:tcPr>
          <w:p w14:paraId="527F7AA6" w14:textId="77777777" w:rsidR="00D54EAF" w:rsidRDefault="00D54EAF">
            <w:pPr>
              <w:pStyle w:val="affc"/>
              <w:ind w:firstLineChars="0" w:firstLine="0"/>
              <w:jc w:val="right"/>
              <w:rPr>
                <w:rFonts w:ascii="宋体" w:hAnsi="宋体"/>
                <w:szCs w:val="21"/>
              </w:rPr>
            </w:pPr>
            <w:r>
              <w:rPr>
                <w:rFonts w:ascii="宋体" w:hAnsi="宋体" w:hint="eastAsia"/>
                <w:szCs w:val="21"/>
              </w:rPr>
              <w:t>不适用</w:t>
            </w:r>
          </w:p>
        </w:tc>
      </w:tr>
      <w:tr w:rsidR="00D54EAF" w14:paraId="7F02E58B" w14:textId="77777777" w:rsidTr="001E2B27">
        <w:sdt>
          <w:sdtPr>
            <w:rPr>
              <w:rFonts w:ascii="宋体" w:hAnsi="宋体"/>
            </w:rPr>
            <w:tag w:val="_PLD_245a070695ef4ef6953b07cd16000958"/>
            <w:id w:val="779307504"/>
          </w:sdtPr>
          <w:sdtEndPr/>
          <w:sdtContent>
            <w:tc>
              <w:tcPr>
                <w:tcW w:w="1707" w:type="pct"/>
              </w:tcPr>
              <w:p w14:paraId="7E1DCFFC" w14:textId="77777777" w:rsidR="00D54EAF" w:rsidRDefault="00D54EAF">
                <w:pPr>
                  <w:pStyle w:val="affc"/>
                  <w:ind w:firstLineChars="0" w:firstLine="0"/>
                  <w:rPr>
                    <w:rFonts w:ascii="宋体" w:hAnsi="宋体"/>
                    <w:szCs w:val="21"/>
                  </w:rPr>
                </w:pPr>
                <w:r>
                  <w:rPr>
                    <w:rFonts w:ascii="宋体" w:hAnsi="宋体"/>
                    <w:szCs w:val="21"/>
                  </w:rPr>
                  <w:t>筹资活动产生的现金流量净额</w:t>
                </w:r>
              </w:p>
            </w:tc>
          </w:sdtContent>
        </w:sdt>
        <w:tc>
          <w:tcPr>
            <w:tcW w:w="1176" w:type="pct"/>
            <w:vAlign w:val="center"/>
          </w:tcPr>
          <w:p w14:paraId="58C0F028" w14:textId="77777777" w:rsidR="00D54EAF" w:rsidRDefault="00D54EAF">
            <w:pPr>
              <w:pStyle w:val="affc"/>
              <w:ind w:firstLineChars="0" w:firstLine="0"/>
              <w:jc w:val="right"/>
              <w:rPr>
                <w:rFonts w:ascii="宋体" w:hAnsi="宋体"/>
                <w:szCs w:val="21"/>
              </w:rPr>
            </w:pPr>
            <w:r>
              <w:rPr>
                <w:rFonts w:ascii="宋体" w:hAnsi="宋体" w:hint="eastAsia"/>
                <w:szCs w:val="21"/>
              </w:rPr>
              <w:t>-170,802.74</w:t>
            </w:r>
          </w:p>
        </w:tc>
        <w:tc>
          <w:tcPr>
            <w:tcW w:w="1098" w:type="pct"/>
            <w:vAlign w:val="center"/>
          </w:tcPr>
          <w:p w14:paraId="7CCA00E0" w14:textId="77777777" w:rsidR="00D54EAF" w:rsidRDefault="00D54EAF">
            <w:pPr>
              <w:pStyle w:val="affc"/>
              <w:ind w:firstLineChars="0" w:firstLine="0"/>
              <w:jc w:val="right"/>
              <w:rPr>
                <w:rFonts w:ascii="宋体" w:hAnsi="宋体"/>
                <w:szCs w:val="21"/>
              </w:rPr>
            </w:pPr>
            <w:r>
              <w:rPr>
                <w:rFonts w:ascii="宋体" w:hAnsi="宋体" w:hint="eastAsia"/>
                <w:szCs w:val="21"/>
              </w:rPr>
              <w:t>-71,592.09</w:t>
            </w:r>
          </w:p>
        </w:tc>
        <w:tc>
          <w:tcPr>
            <w:tcW w:w="1019" w:type="pct"/>
            <w:vAlign w:val="center"/>
          </w:tcPr>
          <w:p w14:paraId="6C90831D" w14:textId="77777777" w:rsidR="00D54EAF" w:rsidRDefault="00D54EAF">
            <w:pPr>
              <w:pStyle w:val="affc"/>
              <w:ind w:firstLineChars="0" w:firstLine="0"/>
              <w:jc w:val="right"/>
              <w:rPr>
                <w:rFonts w:ascii="宋体" w:hAnsi="宋体"/>
                <w:szCs w:val="21"/>
              </w:rPr>
            </w:pPr>
            <w:r>
              <w:rPr>
                <w:rFonts w:ascii="宋体" w:hAnsi="宋体" w:hint="eastAsia"/>
                <w:szCs w:val="21"/>
              </w:rPr>
              <w:t>不适用</w:t>
            </w:r>
          </w:p>
        </w:tc>
      </w:tr>
    </w:tbl>
    <w:bookmarkEnd w:id="51"/>
    <w:p w14:paraId="2D2D08FF" w14:textId="77777777" w:rsidR="00D54EAF" w:rsidRDefault="00D54EAF">
      <w:pPr>
        <w:pStyle w:val="affc"/>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ae0e447440184dbb94565c35b97d07a6"/>
          <w:id w:val="1727089"/>
        </w:sdtPr>
        <w:sdtEndPr/>
        <w:sdtContent>
          <w:r>
            <w:rPr>
              <w:rFonts w:ascii="宋体" w:hAnsi="宋体" w:hint="eastAsia"/>
            </w:rPr>
            <w:t>财务费用变动主要是由于本年由于尼日利亚奈拉贬值产生汇兑损失，而上年同期为汇兑收益所致；</w:t>
          </w:r>
        </w:sdtContent>
      </w:sdt>
    </w:p>
    <w:p w14:paraId="33BEF016" w14:textId="77777777" w:rsidR="00D54EAF" w:rsidRDefault="00D54EAF">
      <w:pPr>
        <w:pStyle w:val="affc"/>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5968661d4f024738ae5c039168b68a45"/>
          <w:id w:val="1727794"/>
        </w:sdtPr>
        <w:sdtEndPr/>
        <w:sdtContent>
          <w:r>
            <w:rPr>
              <w:rFonts w:ascii="宋体" w:hAnsi="宋体" w:hint="eastAsia"/>
              <w:szCs w:val="21"/>
            </w:rPr>
            <w:t>经营活动产生的现金流量净额变动主要是由于公司加强合同结算，积极督促项目回款所致；</w:t>
          </w:r>
        </w:sdtContent>
      </w:sdt>
    </w:p>
    <w:p w14:paraId="3F0D407A" w14:textId="77777777" w:rsidR="00D54EAF" w:rsidRDefault="00D54EAF">
      <w:pPr>
        <w:pStyle w:val="affc"/>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08880b3f89054510a8ebc03403516e54"/>
          <w:id w:val="1728062"/>
        </w:sdtPr>
        <w:sdtEndPr/>
        <w:sdtContent>
          <w:r>
            <w:rPr>
              <w:rFonts w:ascii="宋体" w:hAnsi="宋体" w:hint="eastAsia"/>
              <w:szCs w:val="21"/>
            </w:rPr>
            <w:t>投资活动产生的现金流量净额变动主要是上年同期购买绿色数智双碳创新中心及支付博宇机电股权款金额较大所致；</w:t>
          </w:r>
        </w:sdtContent>
      </w:sdt>
    </w:p>
    <w:p w14:paraId="7A6F62E8" w14:textId="77777777" w:rsidR="00D54EAF" w:rsidRDefault="00D54EAF">
      <w:pPr>
        <w:pStyle w:val="affc"/>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69e60bcce703432885fa32dfc7a0a266"/>
          <w:id w:val="1728337"/>
        </w:sdtPr>
        <w:sdtEndPr/>
        <w:sdtContent>
          <w:r>
            <w:rPr>
              <w:rFonts w:ascii="宋体" w:hAnsi="宋体" w:hint="eastAsia"/>
              <w:szCs w:val="21"/>
            </w:rPr>
            <w:t>筹资活动产生的现金流量净额变动主要是本年借款净流入减少及支付同一控制下收购合肥院股权款所致。</w:t>
          </w:r>
        </w:sdtContent>
      </w:sdt>
    </w:p>
    <w:p w14:paraId="1E324F47" w14:textId="77777777" w:rsidR="00D54EAF" w:rsidRDefault="00D54EAF" w:rsidP="00D54EAF">
      <w:pPr>
        <w:pStyle w:val="92"/>
      </w:pPr>
    </w:p>
    <w:p w14:paraId="0B1806FA" w14:textId="77777777" w:rsidR="00E57DAA" w:rsidRDefault="00AC4185" w:rsidP="00C25422">
      <w:pPr>
        <w:pStyle w:val="92"/>
      </w:pPr>
      <w:r>
        <w:rPr>
          <w:rFonts w:hint="eastAsia"/>
        </w:rPr>
        <w:t>本期</w:t>
      </w:r>
      <w:r>
        <w:t>公司</w:t>
      </w:r>
      <w:r>
        <w:rPr>
          <w:rFonts w:hint="eastAsia"/>
        </w:rPr>
        <w:t>业务类型、</w:t>
      </w:r>
      <w:r>
        <w:t>利润构成或利润来源发生重大变动的详细说明</w:t>
      </w:r>
    </w:p>
    <w:bookmarkStart w:id="52" w:name="_Hlk89098827" w:displacedByCustomXml="next"/>
    <w:sdt>
      <w:sdtPr>
        <w:alias w:val="是否适用：公司利润构成或利润来源发生重大变动的详细说明[双击切换]"/>
        <w:tag w:val="_GBC_f76226f4a75345f0b64ffa67d16a3159"/>
        <w:id w:val="-962112148"/>
        <w:placeholder>
          <w:docPart w:val="GBC22222222222222222222222222222"/>
        </w:placeholder>
      </w:sdtPr>
      <w:sdtEndPr/>
      <w:sdtContent>
        <w:p w14:paraId="33D0506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52"/>
    <w:p w14:paraId="59AA5ADC" w14:textId="77777777" w:rsidR="00E57DAA" w:rsidRDefault="00E57DAA" w:rsidP="00C25422">
      <w:pPr>
        <w:pStyle w:val="92"/>
      </w:pPr>
    </w:p>
    <w:p w14:paraId="776C8E06" w14:textId="77777777" w:rsidR="00E57DAA" w:rsidRDefault="00AC4185">
      <w:pPr>
        <w:pStyle w:val="4"/>
        <w:numPr>
          <w:ilvl w:val="0"/>
          <w:numId w:val="10"/>
        </w:numPr>
      </w:pPr>
      <w:r>
        <w:rPr>
          <w:rFonts w:hint="eastAsia"/>
        </w:rPr>
        <w:t>收入和成本分析</w:t>
      </w:r>
    </w:p>
    <w:sdt>
      <w:sdtPr>
        <w:alias w:val="是否适用：收入和成本分析[双击切换]"/>
        <w:tag w:val="_GBC_c1a771ff956341da84dd26322335800f"/>
        <w:id w:val="1711297475"/>
        <w:placeholder>
          <w:docPart w:val="GBC22222222222222222222222222222"/>
        </w:placeholder>
      </w:sdtPr>
      <w:sdtEndPr/>
      <w:sdtContent>
        <w:p w14:paraId="1A916FCC"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1391260856"/>
        <w:placeholder>
          <w:docPart w:val="EB55904122DA415094928F157B0E857A"/>
        </w:placeholder>
      </w:sdtPr>
      <w:sdtEndPr>
        <w:rPr>
          <w:rFonts w:asciiTheme="minorEastAsia" w:eastAsiaTheme="minorEastAsia" w:hAnsiTheme="minorEastAsia"/>
          <w:szCs w:val="21"/>
        </w:rPr>
      </w:sdtEndPr>
      <w:sdtContent>
        <w:p w14:paraId="587AA313" w14:textId="77777777" w:rsidR="00E57DAA" w:rsidRDefault="00AC4185">
          <w:pPr>
            <w:spacing w:line="276"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2023年，公司实现营业收入</w:t>
          </w:r>
          <w:r>
            <w:rPr>
              <w:rFonts w:asciiTheme="minorEastAsia" w:eastAsiaTheme="minorEastAsia" w:hAnsiTheme="minorEastAsia"/>
              <w:szCs w:val="21"/>
            </w:rPr>
            <w:t>457.99</w:t>
          </w:r>
          <w:r>
            <w:rPr>
              <w:rFonts w:asciiTheme="minorEastAsia" w:eastAsiaTheme="minorEastAsia" w:hAnsiTheme="minorEastAsia" w:hint="eastAsia"/>
              <w:szCs w:val="21"/>
            </w:rPr>
            <w:t>亿元，同比增长</w:t>
          </w:r>
          <w:r>
            <w:rPr>
              <w:rFonts w:asciiTheme="minorEastAsia" w:eastAsiaTheme="minorEastAsia" w:hAnsiTheme="minorEastAsia"/>
              <w:szCs w:val="21"/>
            </w:rPr>
            <w:t>6.94%</w:t>
          </w:r>
          <w:r>
            <w:rPr>
              <w:rFonts w:asciiTheme="minorEastAsia" w:eastAsiaTheme="minorEastAsia" w:hAnsiTheme="minorEastAsia" w:hint="eastAsia"/>
              <w:szCs w:val="21"/>
            </w:rPr>
            <w:t>，发生营业成本 369 亿元，同比增长4.24%。</w:t>
          </w:r>
        </w:p>
      </w:sdtContent>
    </w:sdt>
    <w:p w14:paraId="73CEF20E" w14:textId="77777777" w:rsidR="00E57DAA" w:rsidRDefault="00E57DAA" w:rsidP="00C25422">
      <w:pPr>
        <w:pStyle w:val="92"/>
      </w:pPr>
    </w:p>
    <w:p w14:paraId="65290157" w14:textId="77777777" w:rsidR="00C95855" w:rsidRDefault="00C95855" w:rsidP="00C95855">
      <w:pPr>
        <w:pStyle w:val="5"/>
        <w:numPr>
          <w:ilvl w:val="0"/>
          <w:numId w:val="11"/>
        </w:numPr>
        <w:tabs>
          <w:tab w:val="left" w:pos="567"/>
        </w:tabs>
        <w:ind w:left="105" w:firstLine="0"/>
      </w:pPr>
      <w:bookmarkStart w:id="53" w:name="_Hlk89876312"/>
      <w:r>
        <w:t>主营业务</w:t>
      </w:r>
      <w:r>
        <w:rPr>
          <w:rFonts w:hint="eastAsia"/>
        </w:rPr>
        <w:t>分</w:t>
      </w:r>
      <w:r>
        <w:t>行业</w:t>
      </w:r>
      <w:r>
        <w:rPr>
          <w:rFonts w:hint="eastAsia"/>
        </w:rPr>
        <w:t>、分</w:t>
      </w:r>
      <w:r>
        <w:t>产品</w:t>
      </w:r>
      <w:r>
        <w:rPr>
          <w:rFonts w:hint="eastAsia"/>
        </w:rPr>
        <w:t>、分地区、分销售模式情况</w:t>
      </w:r>
    </w:p>
    <w:p w14:paraId="712542FD" w14:textId="77777777" w:rsidR="00C95855" w:rsidRDefault="00C95855">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3153185"/>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315318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aff6"/>
        <w:tblW w:w="5000" w:type="pct"/>
        <w:tblLook w:val="0000" w:firstRow="0" w:lastRow="0" w:firstColumn="0" w:lastColumn="0" w:noHBand="0" w:noVBand="0"/>
      </w:tblPr>
      <w:tblGrid>
        <w:gridCol w:w="1174"/>
        <w:gridCol w:w="1476"/>
        <w:gridCol w:w="1475"/>
        <w:gridCol w:w="1175"/>
        <w:gridCol w:w="1175"/>
        <w:gridCol w:w="1175"/>
        <w:gridCol w:w="1173"/>
      </w:tblGrid>
      <w:tr w:rsidR="00C95855" w14:paraId="211060AB" w14:textId="77777777" w:rsidTr="00187B4D">
        <w:sdt>
          <w:sdtPr>
            <w:tag w:val="_PLD_49258193d94b4f5fa47e482cd615784f"/>
            <w:id w:val="-1133249071"/>
          </w:sdtPr>
          <w:sdtEndPr/>
          <w:sdtContent>
            <w:tc>
              <w:tcPr>
                <w:tcW w:w="5000" w:type="pct"/>
                <w:gridSpan w:val="7"/>
                <w:vAlign w:val="center"/>
              </w:tcPr>
              <w:p w14:paraId="3D87E2B0" w14:textId="77777777" w:rsidR="00C95855" w:rsidRDefault="00C95855">
                <w:pPr>
                  <w:jc w:val="center"/>
                  <w:rPr>
                    <w:szCs w:val="21"/>
                  </w:rPr>
                </w:pPr>
                <w:r>
                  <w:rPr>
                    <w:rFonts w:hint="eastAsia"/>
                    <w:szCs w:val="21"/>
                  </w:rPr>
                  <w:t>主营业务分产品情况</w:t>
                </w:r>
              </w:p>
            </w:tc>
          </w:sdtContent>
        </w:sdt>
      </w:tr>
      <w:tr w:rsidR="00C95855" w14:paraId="1798C1CE" w14:textId="77777777" w:rsidTr="00C95855">
        <w:sdt>
          <w:sdtPr>
            <w:tag w:val="_PLD_1d72749a5d4248359cb1b92e381ef722"/>
            <w:id w:val="-1368517864"/>
          </w:sdtPr>
          <w:sdtEndPr/>
          <w:sdtContent>
            <w:tc>
              <w:tcPr>
                <w:tcW w:w="665" w:type="pct"/>
                <w:vAlign w:val="center"/>
              </w:tcPr>
              <w:p w14:paraId="0C5934B9" w14:textId="77777777" w:rsidR="00C95855" w:rsidRDefault="00C95855">
                <w:pPr>
                  <w:pStyle w:val="affc"/>
                  <w:ind w:firstLineChars="0" w:firstLine="0"/>
                  <w:jc w:val="center"/>
                  <w:rPr>
                    <w:szCs w:val="21"/>
                  </w:rPr>
                </w:pPr>
                <w:r>
                  <w:rPr>
                    <w:rFonts w:hint="eastAsia"/>
                    <w:szCs w:val="21"/>
                  </w:rPr>
                  <w:t>分产品</w:t>
                </w:r>
              </w:p>
            </w:tc>
          </w:sdtContent>
        </w:sdt>
        <w:sdt>
          <w:sdtPr>
            <w:tag w:val="_PLD_5e318ae25ee540258ffd6821c201e0af"/>
            <w:id w:val="-1006445039"/>
          </w:sdtPr>
          <w:sdtEndPr/>
          <w:sdtContent>
            <w:tc>
              <w:tcPr>
                <w:tcW w:w="836" w:type="pct"/>
                <w:vAlign w:val="center"/>
              </w:tcPr>
              <w:p w14:paraId="55486450" w14:textId="77777777" w:rsidR="00C95855" w:rsidRDefault="00C95855">
                <w:pPr>
                  <w:jc w:val="center"/>
                  <w:rPr>
                    <w:szCs w:val="21"/>
                  </w:rPr>
                </w:pPr>
                <w:r>
                  <w:rPr>
                    <w:rFonts w:hint="eastAsia"/>
                    <w:szCs w:val="21"/>
                  </w:rPr>
                  <w:t>营业收入</w:t>
                </w:r>
              </w:p>
            </w:tc>
          </w:sdtContent>
        </w:sdt>
        <w:sdt>
          <w:sdtPr>
            <w:tag w:val="_PLD_d7023b8e0b18494eaae569b7bcd4781f"/>
            <w:id w:val="-1969274560"/>
          </w:sdtPr>
          <w:sdtEndPr/>
          <w:sdtContent>
            <w:tc>
              <w:tcPr>
                <w:tcW w:w="836" w:type="pct"/>
                <w:vAlign w:val="center"/>
              </w:tcPr>
              <w:p w14:paraId="553D395D" w14:textId="77777777" w:rsidR="00C95855" w:rsidRDefault="00C95855">
                <w:pPr>
                  <w:jc w:val="center"/>
                  <w:rPr>
                    <w:szCs w:val="21"/>
                  </w:rPr>
                </w:pPr>
                <w:r>
                  <w:rPr>
                    <w:rFonts w:hint="eastAsia"/>
                    <w:szCs w:val="21"/>
                  </w:rPr>
                  <w:t>营业成本</w:t>
                </w:r>
              </w:p>
            </w:tc>
          </w:sdtContent>
        </w:sdt>
        <w:sdt>
          <w:sdtPr>
            <w:tag w:val="_PLD_c7e7c31f672744488b53ec34a4e0abde"/>
            <w:id w:val="-1826878617"/>
          </w:sdtPr>
          <w:sdtEndPr/>
          <w:sdtContent>
            <w:tc>
              <w:tcPr>
                <w:tcW w:w="666" w:type="pct"/>
                <w:vAlign w:val="center"/>
              </w:tcPr>
              <w:p w14:paraId="28CE78A2" w14:textId="77777777" w:rsidR="00C95855" w:rsidRDefault="00C95855">
                <w:pPr>
                  <w:jc w:val="center"/>
                  <w:rPr>
                    <w:szCs w:val="21"/>
                  </w:rPr>
                </w:pPr>
                <w:r>
                  <w:rPr>
                    <w:rFonts w:hint="eastAsia"/>
                    <w:szCs w:val="21"/>
                  </w:rPr>
                  <w:t>毛利率（%）</w:t>
                </w:r>
              </w:p>
            </w:tc>
          </w:sdtContent>
        </w:sdt>
        <w:sdt>
          <w:sdtPr>
            <w:tag w:val="_PLD_0ca65e94b76d4933977b3fe13864caf2"/>
            <w:id w:val="-1061560895"/>
          </w:sdtPr>
          <w:sdtEndPr/>
          <w:sdtContent>
            <w:tc>
              <w:tcPr>
                <w:tcW w:w="666" w:type="pct"/>
                <w:vAlign w:val="center"/>
              </w:tcPr>
              <w:p w14:paraId="13F69C25" w14:textId="77777777" w:rsidR="00C95855" w:rsidRDefault="00C95855">
                <w:pPr>
                  <w:jc w:val="center"/>
                  <w:rPr>
                    <w:szCs w:val="21"/>
                  </w:rPr>
                </w:pPr>
                <w:r>
                  <w:rPr>
                    <w:rFonts w:hint="eastAsia"/>
                    <w:szCs w:val="21"/>
                  </w:rPr>
                  <w:t>营业收入比上年增减（%）</w:t>
                </w:r>
              </w:p>
            </w:tc>
          </w:sdtContent>
        </w:sdt>
        <w:sdt>
          <w:sdtPr>
            <w:tag w:val="_PLD_0fcddf8af1ce40e3bbe0b8e78c8c2496"/>
            <w:id w:val="-1724049323"/>
          </w:sdtPr>
          <w:sdtEndPr/>
          <w:sdtContent>
            <w:tc>
              <w:tcPr>
                <w:tcW w:w="666" w:type="pct"/>
                <w:vAlign w:val="center"/>
              </w:tcPr>
              <w:p w14:paraId="76D1013E" w14:textId="77777777" w:rsidR="00C95855" w:rsidRDefault="00C95855">
                <w:pPr>
                  <w:jc w:val="center"/>
                  <w:rPr>
                    <w:szCs w:val="21"/>
                  </w:rPr>
                </w:pPr>
                <w:r>
                  <w:rPr>
                    <w:rFonts w:hint="eastAsia"/>
                    <w:szCs w:val="21"/>
                  </w:rPr>
                  <w:t>营业成本比上年增减（%）</w:t>
                </w:r>
              </w:p>
            </w:tc>
          </w:sdtContent>
        </w:sdt>
        <w:sdt>
          <w:sdtPr>
            <w:tag w:val="_PLD_fd695ef26ff948df8cd16c66ef5ffea9"/>
            <w:id w:val="-814334679"/>
          </w:sdtPr>
          <w:sdtEndPr/>
          <w:sdtContent>
            <w:tc>
              <w:tcPr>
                <w:tcW w:w="664" w:type="pct"/>
                <w:vAlign w:val="center"/>
              </w:tcPr>
              <w:p w14:paraId="4B29A481" w14:textId="77777777" w:rsidR="00C95855" w:rsidRDefault="00C95855">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hAnsi="宋体" w:cs="宋体"/>
            <w:kern w:val="0"/>
            <w:sz w:val="18"/>
            <w:szCs w:val="18"/>
          </w:rPr>
          <w:alias w:val="董事会报告出具的分产品主营业务"/>
          <w:tag w:val="_TUP_f3827583cc4c4df6a57620f0c5061461"/>
          <w:id w:val="1372411"/>
          <w:placeholder>
            <w:docPart w:val="D05C60FAB4B4452ABC2CEE29054CABF1"/>
          </w:placeholder>
        </w:sdtPr>
        <w:sdtEndPr/>
        <w:sdtContent>
          <w:tr w:rsidR="00C95855" w14:paraId="019E520F" w14:textId="77777777" w:rsidTr="00C95855">
            <w:tc>
              <w:tcPr>
                <w:tcW w:w="665" w:type="pct"/>
              </w:tcPr>
              <w:p w14:paraId="5A4FC69D"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工程技术服务</w:t>
                </w:r>
              </w:p>
            </w:tc>
            <w:tc>
              <w:tcPr>
                <w:tcW w:w="836" w:type="pct"/>
              </w:tcPr>
              <w:p w14:paraId="41835984" w14:textId="77777777" w:rsidR="00C95855" w:rsidRPr="00C95855" w:rsidRDefault="00C95855">
                <w:pPr>
                  <w:jc w:val="right"/>
                  <w:rPr>
                    <w:sz w:val="18"/>
                    <w:szCs w:val="18"/>
                  </w:rPr>
                </w:pPr>
                <w:r w:rsidRPr="00C95855">
                  <w:rPr>
                    <w:rFonts w:hint="eastAsia"/>
                    <w:sz w:val="18"/>
                    <w:szCs w:val="18"/>
                  </w:rPr>
                  <w:t>2,666,494.43</w:t>
                </w:r>
              </w:p>
            </w:tc>
            <w:tc>
              <w:tcPr>
                <w:tcW w:w="836" w:type="pct"/>
              </w:tcPr>
              <w:p w14:paraId="670DE6AE" w14:textId="77777777" w:rsidR="00C95855" w:rsidRPr="00C95855" w:rsidRDefault="00C95855">
                <w:pPr>
                  <w:jc w:val="right"/>
                  <w:rPr>
                    <w:sz w:val="18"/>
                    <w:szCs w:val="18"/>
                  </w:rPr>
                </w:pPr>
                <w:r w:rsidRPr="00C95855">
                  <w:rPr>
                    <w:rFonts w:hint="eastAsia"/>
                    <w:sz w:val="18"/>
                    <w:szCs w:val="18"/>
                  </w:rPr>
                  <w:t>2,246,942.12</w:t>
                </w:r>
              </w:p>
            </w:tc>
            <w:tc>
              <w:tcPr>
                <w:tcW w:w="666" w:type="pct"/>
              </w:tcPr>
              <w:p w14:paraId="1B57973A" w14:textId="77777777" w:rsidR="00C95855" w:rsidRPr="00C95855" w:rsidRDefault="00C95855">
                <w:pPr>
                  <w:jc w:val="right"/>
                  <w:rPr>
                    <w:sz w:val="18"/>
                    <w:szCs w:val="18"/>
                  </w:rPr>
                </w:pPr>
                <w:r w:rsidRPr="00C95855">
                  <w:rPr>
                    <w:rFonts w:hint="eastAsia"/>
                    <w:sz w:val="18"/>
                    <w:szCs w:val="18"/>
                  </w:rPr>
                  <w:t>15.73</w:t>
                </w:r>
              </w:p>
            </w:tc>
            <w:tc>
              <w:tcPr>
                <w:tcW w:w="666" w:type="pct"/>
              </w:tcPr>
              <w:p w14:paraId="0A5142C6" w14:textId="77777777" w:rsidR="00C95855" w:rsidRPr="00C95855" w:rsidRDefault="00C95855">
                <w:pPr>
                  <w:jc w:val="right"/>
                  <w:rPr>
                    <w:sz w:val="18"/>
                    <w:szCs w:val="18"/>
                  </w:rPr>
                </w:pPr>
                <w:r w:rsidRPr="00C95855">
                  <w:rPr>
                    <w:rFonts w:hint="eastAsia"/>
                    <w:sz w:val="18"/>
                    <w:szCs w:val="18"/>
                  </w:rPr>
                  <w:t>7.55</w:t>
                </w:r>
              </w:p>
            </w:tc>
            <w:tc>
              <w:tcPr>
                <w:tcW w:w="666" w:type="pct"/>
              </w:tcPr>
              <w:p w14:paraId="6A7B49F8" w14:textId="77777777" w:rsidR="00C95855" w:rsidRPr="00C95855" w:rsidRDefault="00C95855">
                <w:pPr>
                  <w:jc w:val="right"/>
                  <w:rPr>
                    <w:sz w:val="18"/>
                    <w:szCs w:val="18"/>
                  </w:rPr>
                </w:pPr>
                <w:r w:rsidRPr="00C95855">
                  <w:rPr>
                    <w:rFonts w:hint="eastAsia"/>
                    <w:sz w:val="18"/>
                    <w:szCs w:val="18"/>
                  </w:rPr>
                  <w:t>3.29</w:t>
                </w:r>
              </w:p>
            </w:tc>
            <w:tc>
              <w:tcPr>
                <w:tcW w:w="664" w:type="pct"/>
              </w:tcPr>
              <w:p w14:paraId="16D19719" w14:textId="77777777" w:rsidR="00C95855" w:rsidRPr="00C95855" w:rsidRDefault="00C95855">
                <w:pPr>
                  <w:jc w:val="right"/>
                  <w:rPr>
                    <w:sz w:val="18"/>
                    <w:szCs w:val="18"/>
                  </w:rPr>
                </w:pPr>
                <w:r w:rsidRPr="00C95855">
                  <w:rPr>
                    <w:rFonts w:hint="eastAsia"/>
                    <w:sz w:val="18"/>
                    <w:szCs w:val="18"/>
                  </w:rPr>
                  <w:t>增加3.47个百分点</w:t>
                </w:r>
              </w:p>
            </w:tc>
          </w:tr>
        </w:sdtContent>
      </w:sdt>
      <w:sdt>
        <w:sdtPr>
          <w:rPr>
            <w:rFonts w:ascii="宋体" w:hAnsi="宋体" w:cs="宋体"/>
            <w:kern w:val="0"/>
            <w:sz w:val="18"/>
            <w:szCs w:val="18"/>
          </w:rPr>
          <w:alias w:val="董事会报告出具的分产品主营业务"/>
          <w:tag w:val="_TUP_f3827583cc4c4df6a57620f0c5061461"/>
          <w:id w:val="779531919"/>
          <w:placeholder>
            <w:docPart w:val="D05C60FAB4B4452ABC2CEE29054CABF1"/>
          </w:placeholder>
        </w:sdtPr>
        <w:sdtEndPr/>
        <w:sdtContent>
          <w:tr w:rsidR="00C95855" w14:paraId="7174E953" w14:textId="77777777" w:rsidTr="00C95855">
            <w:tc>
              <w:tcPr>
                <w:tcW w:w="665" w:type="pct"/>
              </w:tcPr>
              <w:p w14:paraId="31BEB0DD"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高端装备制造</w:t>
                </w:r>
              </w:p>
            </w:tc>
            <w:tc>
              <w:tcPr>
                <w:tcW w:w="836" w:type="pct"/>
              </w:tcPr>
              <w:p w14:paraId="7B93D697" w14:textId="77777777" w:rsidR="00C95855" w:rsidRPr="00C95855" w:rsidRDefault="00C95855">
                <w:pPr>
                  <w:jc w:val="right"/>
                  <w:rPr>
                    <w:sz w:val="18"/>
                    <w:szCs w:val="18"/>
                  </w:rPr>
                </w:pPr>
                <w:r w:rsidRPr="00C95855">
                  <w:rPr>
                    <w:rFonts w:hint="eastAsia"/>
                    <w:sz w:val="18"/>
                    <w:szCs w:val="18"/>
                  </w:rPr>
                  <w:t>717,582.25</w:t>
                </w:r>
              </w:p>
            </w:tc>
            <w:tc>
              <w:tcPr>
                <w:tcW w:w="836" w:type="pct"/>
              </w:tcPr>
              <w:p w14:paraId="719C4F0F" w14:textId="77777777" w:rsidR="00C95855" w:rsidRPr="00C95855" w:rsidRDefault="00C95855">
                <w:pPr>
                  <w:jc w:val="right"/>
                  <w:rPr>
                    <w:sz w:val="18"/>
                    <w:szCs w:val="18"/>
                  </w:rPr>
                </w:pPr>
                <w:r w:rsidRPr="00C95855">
                  <w:rPr>
                    <w:rFonts w:hint="eastAsia"/>
                    <w:sz w:val="18"/>
                    <w:szCs w:val="18"/>
                  </w:rPr>
                  <w:t>534,780.24</w:t>
                </w:r>
              </w:p>
            </w:tc>
            <w:tc>
              <w:tcPr>
                <w:tcW w:w="666" w:type="pct"/>
              </w:tcPr>
              <w:p w14:paraId="1491DFC6" w14:textId="77777777" w:rsidR="00C95855" w:rsidRPr="00C95855" w:rsidRDefault="00C95855">
                <w:pPr>
                  <w:jc w:val="right"/>
                  <w:rPr>
                    <w:sz w:val="18"/>
                    <w:szCs w:val="18"/>
                  </w:rPr>
                </w:pPr>
                <w:r w:rsidRPr="00C95855">
                  <w:rPr>
                    <w:rFonts w:hint="eastAsia"/>
                    <w:sz w:val="18"/>
                    <w:szCs w:val="18"/>
                  </w:rPr>
                  <w:t>25.47</w:t>
                </w:r>
              </w:p>
            </w:tc>
            <w:tc>
              <w:tcPr>
                <w:tcW w:w="666" w:type="pct"/>
              </w:tcPr>
              <w:p w14:paraId="3B426301" w14:textId="77777777" w:rsidR="00C95855" w:rsidRPr="00C95855" w:rsidRDefault="00C95855">
                <w:pPr>
                  <w:jc w:val="right"/>
                  <w:rPr>
                    <w:sz w:val="18"/>
                    <w:szCs w:val="18"/>
                  </w:rPr>
                </w:pPr>
                <w:r w:rsidRPr="00C95855">
                  <w:rPr>
                    <w:rFonts w:hint="eastAsia"/>
                    <w:sz w:val="18"/>
                    <w:szCs w:val="18"/>
                  </w:rPr>
                  <w:t>1.98</w:t>
                </w:r>
              </w:p>
            </w:tc>
            <w:tc>
              <w:tcPr>
                <w:tcW w:w="666" w:type="pct"/>
              </w:tcPr>
              <w:p w14:paraId="7CDD006A" w14:textId="77777777" w:rsidR="00C95855" w:rsidRPr="00C95855" w:rsidRDefault="00C95855">
                <w:pPr>
                  <w:jc w:val="right"/>
                  <w:rPr>
                    <w:sz w:val="18"/>
                    <w:szCs w:val="18"/>
                  </w:rPr>
                </w:pPr>
                <w:r w:rsidRPr="00C95855">
                  <w:rPr>
                    <w:rFonts w:hint="eastAsia"/>
                    <w:sz w:val="18"/>
                    <w:szCs w:val="18"/>
                  </w:rPr>
                  <w:t>0.12</w:t>
                </w:r>
              </w:p>
            </w:tc>
            <w:tc>
              <w:tcPr>
                <w:tcW w:w="664" w:type="pct"/>
              </w:tcPr>
              <w:p w14:paraId="4565E7A8" w14:textId="77777777" w:rsidR="00C95855" w:rsidRPr="00C95855" w:rsidRDefault="00C95855">
                <w:pPr>
                  <w:jc w:val="right"/>
                  <w:rPr>
                    <w:sz w:val="18"/>
                    <w:szCs w:val="18"/>
                  </w:rPr>
                </w:pPr>
                <w:r w:rsidRPr="00C95855">
                  <w:rPr>
                    <w:rFonts w:hint="eastAsia"/>
                    <w:sz w:val="18"/>
                    <w:szCs w:val="18"/>
                  </w:rPr>
                  <w:t>增加1.38个百分点</w:t>
                </w:r>
              </w:p>
            </w:tc>
          </w:tr>
        </w:sdtContent>
      </w:sdt>
      <w:sdt>
        <w:sdtPr>
          <w:rPr>
            <w:rFonts w:ascii="宋体" w:hAnsi="宋体" w:cs="宋体"/>
            <w:kern w:val="0"/>
            <w:sz w:val="18"/>
            <w:szCs w:val="18"/>
          </w:rPr>
          <w:alias w:val="董事会报告出具的分产品主营业务"/>
          <w:tag w:val="_TUP_f3827583cc4c4df6a57620f0c5061461"/>
          <w:id w:val="172924784"/>
          <w:placeholder>
            <w:docPart w:val="D05C60FAB4B4452ABC2CEE29054CABF1"/>
          </w:placeholder>
        </w:sdtPr>
        <w:sdtEndPr/>
        <w:sdtContent>
          <w:tr w:rsidR="00C95855" w14:paraId="1CA2373D" w14:textId="77777777" w:rsidTr="00C95855">
            <w:tc>
              <w:tcPr>
                <w:tcW w:w="665" w:type="pct"/>
              </w:tcPr>
              <w:p w14:paraId="2D28186E"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生产运营服务</w:t>
                </w:r>
              </w:p>
            </w:tc>
            <w:tc>
              <w:tcPr>
                <w:tcW w:w="836" w:type="pct"/>
              </w:tcPr>
              <w:p w14:paraId="763DF06D" w14:textId="77777777" w:rsidR="00C95855" w:rsidRPr="00C95855" w:rsidRDefault="00C95855">
                <w:pPr>
                  <w:jc w:val="right"/>
                  <w:rPr>
                    <w:sz w:val="18"/>
                    <w:szCs w:val="18"/>
                  </w:rPr>
                </w:pPr>
                <w:r w:rsidRPr="00C95855">
                  <w:rPr>
                    <w:rFonts w:hint="eastAsia"/>
                    <w:sz w:val="18"/>
                    <w:szCs w:val="18"/>
                  </w:rPr>
                  <w:t>1,060,042.38</w:t>
                </w:r>
              </w:p>
            </w:tc>
            <w:tc>
              <w:tcPr>
                <w:tcW w:w="836" w:type="pct"/>
              </w:tcPr>
              <w:p w14:paraId="413D75D7" w14:textId="77777777" w:rsidR="00C95855" w:rsidRPr="00C95855" w:rsidRDefault="00C95855">
                <w:pPr>
                  <w:jc w:val="right"/>
                  <w:rPr>
                    <w:sz w:val="18"/>
                    <w:szCs w:val="18"/>
                  </w:rPr>
                </w:pPr>
                <w:r w:rsidRPr="00C95855">
                  <w:rPr>
                    <w:rFonts w:hint="eastAsia"/>
                    <w:sz w:val="18"/>
                    <w:szCs w:val="18"/>
                  </w:rPr>
                  <w:t>829,083.44</w:t>
                </w:r>
              </w:p>
            </w:tc>
            <w:tc>
              <w:tcPr>
                <w:tcW w:w="666" w:type="pct"/>
              </w:tcPr>
              <w:p w14:paraId="6DDE96D7" w14:textId="77777777" w:rsidR="00C95855" w:rsidRPr="00C95855" w:rsidRDefault="00C95855">
                <w:pPr>
                  <w:jc w:val="right"/>
                  <w:rPr>
                    <w:sz w:val="18"/>
                    <w:szCs w:val="18"/>
                  </w:rPr>
                </w:pPr>
                <w:r w:rsidRPr="00C95855">
                  <w:rPr>
                    <w:rFonts w:hint="eastAsia"/>
                    <w:sz w:val="18"/>
                    <w:szCs w:val="18"/>
                  </w:rPr>
                  <w:t>21.79</w:t>
                </w:r>
              </w:p>
            </w:tc>
            <w:tc>
              <w:tcPr>
                <w:tcW w:w="666" w:type="pct"/>
              </w:tcPr>
              <w:p w14:paraId="0F4D98DD" w14:textId="77777777" w:rsidR="00C95855" w:rsidRPr="00C95855" w:rsidRDefault="00C95855">
                <w:pPr>
                  <w:jc w:val="right"/>
                  <w:rPr>
                    <w:sz w:val="18"/>
                    <w:szCs w:val="18"/>
                  </w:rPr>
                </w:pPr>
                <w:r w:rsidRPr="00C95855">
                  <w:rPr>
                    <w:rFonts w:hint="eastAsia"/>
                    <w:sz w:val="18"/>
                    <w:szCs w:val="18"/>
                  </w:rPr>
                  <w:t>13.83</w:t>
                </w:r>
              </w:p>
            </w:tc>
            <w:tc>
              <w:tcPr>
                <w:tcW w:w="666" w:type="pct"/>
              </w:tcPr>
              <w:p w14:paraId="2EEE1959" w14:textId="77777777" w:rsidR="00C95855" w:rsidRPr="00C95855" w:rsidRDefault="00C95855">
                <w:pPr>
                  <w:jc w:val="right"/>
                  <w:rPr>
                    <w:sz w:val="18"/>
                    <w:szCs w:val="18"/>
                  </w:rPr>
                </w:pPr>
                <w:r w:rsidRPr="00C95855">
                  <w:rPr>
                    <w:rFonts w:hint="eastAsia"/>
                    <w:sz w:val="18"/>
                    <w:szCs w:val="18"/>
                  </w:rPr>
                  <w:t>15.17</w:t>
                </w:r>
              </w:p>
            </w:tc>
            <w:tc>
              <w:tcPr>
                <w:tcW w:w="664" w:type="pct"/>
              </w:tcPr>
              <w:p w14:paraId="7F4F349C" w14:textId="77777777" w:rsidR="00C95855" w:rsidRPr="00C95855" w:rsidRDefault="00C95855">
                <w:pPr>
                  <w:jc w:val="right"/>
                  <w:rPr>
                    <w:sz w:val="18"/>
                    <w:szCs w:val="18"/>
                  </w:rPr>
                </w:pPr>
                <w:r w:rsidRPr="00C95855">
                  <w:rPr>
                    <w:rFonts w:hint="eastAsia"/>
                    <w:sz w:val="18"/>
                    <w:szCs w:val="18"/>
                  </w:rPr>
                  <w:t>减少0.91个百分点</w:t>
                </w:r>
              </w:p>
            </w:tc>
          </w:tr>
        </w:sdtContent>
      </w:sdt>
      <w:sdt>
        <w:sdtPr>
          <w:rPr>
            <w:rFonts w:ascii="宋体" w:hAnsi="宋体" w:cs="宋体"/>
            <w:kern w:val="0"/>
            <w:sz w:val="18"/>
            <w:szCs w:val="18"/>
          </w:rPr>
          <w:alias w:val="董事会报告出具的分产品主营业务"/>
          <w:tag w:val="_TUP_f3827583cc4c4df6a57620f0c5061461"/>
          <w:id w:val="-645968781"/>
          <w:placeholder>
            <w:docPart w:val="D05C60FAB4B4452ABC2CEE29054CABF1"/>
          </w:placeholder>
        </w:sdtPr>
        <w:sdtEndPr/>
        <w:sdtContent>
          <w:tr w:rsidR="00C95855" w14:paraId="6BBA3A62" w14:textId="77777777" w:rsidTr="00C95855">
            <w:tc>
              <w:tcPr>
                <w:tcW w:w="665" w:type="pct"/>
              </w:tcPr>
              <w:p w14:paraId="162DEEA9"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其他</w:t>
                </w:r>
              </w:p>
            </w:tc>
            <w:tc>
              <w:tcPr>
                <w:tcW w:w="836" w:type="pct"/>
              </w:tcPr>
              <w:p w14:paraId="7B299884" w14:textId="77777777" w:rsidR="00C95855" w:rsidRPr="00C95855" w:rsidRDefault="00C95855">
                <w:pPr>
                  <w:jc w:val="right"/>
                  <w:rPr>
                    <w:sz w:val="18"/>
                    <w:szCs w:val="18"/>
                  </w:rPr>
                </w:pPr>
                <w:r w:rsidRPr="00C95855">
                  <w:rPr>
                    <w:rFonts w:hint="eastAsia"/>
                    <w:sz w:val="18"/>
                    <w:szCs w:val="18"/>
                  </w:rPr>
                  <w:t>221,284.37</w:t>
                </w:r>
              </w:p>
            </w:tc>
            <w:tc>
              <w:tcPr>
                <w:tcW w:w="836" w:type="pct"/>
              </w:tcPr>
              <w:p w14:paraId="05CCF8F7" w14:textId="77777777" w:rsidR="00C95855" w:rsidRPr="00C95855" w:rsidRDefault="00C95855">
                <w:pPr>
                  <w:jc w:val="right"/>
                  <w:rPr>
                    <w:sz w:val="18"/>
                    <w:szCs w:val="18"/>
                  </w:rPr>
                </w:pPr>
                <w:r w:rsidRPr="00C95855">
                  <w:rPr>
                    <w:rFonts w:hint="eastAsia"/>
                    <w:sz w:val="18"/>
                    <w:szCs w:val="18"/>
                  </w:rPr>
                  <w:t>175,561.2</w:t>
                </w:r>
                <w:r w:rsidR="00F3683B">
                  <w:rPr>
                    <w:rFonts w:hint="eastAsia"/>
                    <w:sz w:val="18"/>
                    <w:szCs w:val="18"/>
                  </w:rPr>
                  <w:t>0</w:t>
                </w:r>
              </w:p>
            </w:tc>
            <w:tc>
              <w:tcPr>
                <w:tcW w:w="666" w:type="pct"/>
              </w:tcPr>
              <w:p w14:paraId="2377DCB2" w14:textId="77777777" w:rsidR="00C95855" w:rsidRPr="00C95855" w:rsidRDefault="00C95855">
                <w:pPr>
                  <w:jc w:val="right"/>
                  <w:rPr>
                    <w:sz w:val="18"/>
                    <w:szCs w:val="18"/>
                  </w:rPr>
                </w:pPr>
                <w:r w:rsidRPr="00C95855">
                  <w:rPr>
                    <w:rFonts w:hint="eastAsia"/>
                    <w:sz w:val="18"/>
                    <w:szCs w:val="18"/>
                  </w:rPr>
                  <w:t>20.66</w:t>
                </w:r>
              </w:p>
            </w:tc>
            <w:tc>
              <w:tcPr>
                <w:tcW w:w="666" w:type="pct"/>
              </w:tcPr>
              <w:p w14:paraId="485A5EA6" w14:textId="77777777" w:rsidR="00C95855" w:rsidRPr="00C95855" w:rsidRDefault="00C95855">
                <w:pPr>
                  <w:jc w:val="right"/>
                  <w:rPr>
                    <w:sz w:val="18"/>
                    <w:szCs w:val="18"/>
                  </w:rPr>
                </w:pPr>
                <w:r w:rsidRPr="00C95855">
                  <w:rPr>
                    <w:rFonts w:hint="eastAsia"/>
                    <w:sz w:val="18"/>
                    <w:szCs w:val="18"/>
                  </w:rPr>
                  <w:t>-9.79</w:t>
                </w:r>
              </w:p>
            </w:tc>
            <w:tc>
              <w:tcPr>
                <w:tcW w:w="666" w:type="pct"/>
              </w:tcPr>
              <w:p w14:paraId="4DEDD2CE" w14:textId="77777777" w:rsidR="00C95855" w:rsidRPr="00C95855" w:rsidRDefault="00C95855">
                <w:pPr>
                  <w:jc w:val="right"/>
                  <w:rPr>
                    <w:sz w:val="18"/>
                    <w:szCs w:val="18"/>
                  </w:rPr>
                </w:pPr>
                <w:r w:rsidRPr="00C95855">
                  <w:rPr>
                    <w:rFonts w:hint="eastAsia"/>
                    <w:sz w:val="18"/>
                    <w:szCs w:val="18"/>
                  </w:rPr>
                  <w:t>-11.21</w:t>
                </w:r>
              </w:p>
            </w:tc>
            <w:tc>
              <w:tcPr>
                <w:tcW w:w="664" w:type="pct"/>
              </w:tcPr>
              <w:p w14:paraId="37BD1422" w14:textId="77777777" w:rsidR="00C95855" w:rsidRPr="00C95855" w:rsidRDefault="00C95855">
                <w:pPr>
                  <w:jc w:val="right"/>
                  <w:rPr>
                    <w:sz w:val="18"/>
                    <w:szCs w:val="18"/>
                  </w:rPr>
                </w:pPr>
                <w:r w:rsidRPr="00C95855">
                  <w:rPr>
                    <w:rFonts w:hint="eastAsia"/>
                    <w:sz w:val="18"/>
                    <w:szCs w:val="18"/>
                  </w:rPr>
                  <w:t>增加1.26个百分点</w:t>
                </w:r>
              </w:p>
            </w:tc>
          </w:tr>
        </w:sdtContent>
      </w:sdt>
      <w:sdt>
        <w:sdtPr>
          <w:rPr>
            <w:rFonts w:ascii="宋体" w:hAnsi="宋体" w:cs="宋体"/>
            <w:kern w:val="0"/>
            <w:sz w:val="18"/>
            <w:szCs w:val="18"/>
          </w:rPr>
          <w:alias w:val="董事会报告出具的分产品主营业务"/>
          <w:tag w:val="_TUP_f3827583cc4c4df6a57620f0c5061461"/>
          <w:id w:val="1484432999"/>
          <w:placeholder>
            <w:docPart w:val="D05C60FAB4B4452ABC2CEE29054CABF1"/>
          </w:placeholder>
        </w:sdtPr>
        <w:sdtEndPr/>
        <w:sdtContent>
          <w:tr w:rsidR="00C95855" w14:paraId="5C67D619" w14:textId="77777777" w:rsidTr="00C95855">
            <w:tc>
              <w:tcPr>
                <w:tcW w:w="665" w:type="pct"/>
              </w:tcPr>
              <w:p w14:paraId="625EC03B"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抵消</w:t>
                </w:r>
              </w:p>
            </w:tc>
            <w:tc>
              <w:tcPr>
                <w:tcW w:w="836" w:type="pct"/>
              </w:tcPr>
              <w:p w14:paraId="6801705F" w14:textId="77777777" w:rsidR="00C95855" w:rsidRPr="00C95855" w:rsidRDefault="00C95855">
                <w:pPr>
                  <w:jc w:val="right"/>
                  <w:rPr>
                    <w:sz w:val="18"/>
                    <w:szCs w:val="18"/>
                  </w:rPr>
                </w:pPr>
                <w:r w:rsidRPr="00C95855">
                  <w:rPr>
                    <w:rFonts w:hint="eastAsia"/>
                    <w:sz w:val="18"/>
                    <w:szCs w:val="18"/>
                  </w:rPr>
                  <w:t>-107,226.65</w:t>
                </w:r>
              </w:p>
            </w:tc>
            <w:tc>
              <w:tcPr>
                <w:tcW w:w="836" w:type="pct"/>
              </w:tcPr>
              <w:p w14:paraId="1A40DDA8" w14:textId="77777777" w:rsidR="00C95855" w:rsidRPr="00C95855" w:rsidRDefault="00C95855">
                <w:pPr>
                  <w:jc w:val="right"/>
                  <w:rPr>
                    <w:sz w:val="18"/>
                    <w:szCs w:val="18"/>
                  </w:rPr>
                </w:pPr>
                <w:r w:rsidRPr="00C95855">
                  <w:rPr>
                    <w:rFonts w:hint="eastAsia"/>
                    <w:sz w:val="18"/>
                    <w:szCs w:val="18"/>
                  </w:rPr>
                  <w:t>-107,488.56</w:t>
                </w:r>
              </w:p>
            </w:tc>
            <w:tc>
              <w:tcPr>
                <w:tcW w:w="666" w:type="pct"/>
              </w:tcPr>
              <w:p w14:paraId="45843426" w14:textId="77777777" w:rsidR="00C95855" w:rsidRPr="00C95855" w:rsidRDefault="00C95855">
                <w:pPr>
                  <w:jc w:val="right"/>
                  <w:rPr>
                    <w:sz w:val="18"/>
                    <w:szCs w:val="18"/>
                  </w:rPr>
                </w:pPr>
              </w:p>
            </w:tc>
            <w:tc>
              <w:tcPr>
                <w:tcW w:w="666" w:type="pct"/>
              </w:tcPr>
              <w:p w14:paraId="7BD15F88" w14:textId="77777777" w:rsidR="00C95855" w:rsidRPr="00C95855" w:rsidRDefault="00C95855">
                <w:pPr>
                  <w:jc w:val="right"/>
                  <w:rPr>
                    <w:sz w:val="18"/>
                    <w:szCs w:val="18"/>
                  </w:rPr>
                </w:pPr>
              </w:p>
            </w:tc>
            <w:tc>
              <w:tcPr>
                <w:tcW w:w="666" w:type="pct"/>
              </w:tcPr>
              <w:p w14:paraId="2A4ADA6C" w14:textId="77777777" w:rsidR="00C95855" w:rsidRPr="00C95855" w:rsidRDefault="00C95855">
                <w:pPr>
                  <w:jc w:val="right"/>
                  <w:rPr>
                    <w:sz w:val="18"/>
                    <w:szCs w:val="18"/>
                  </w:rPr>
                </w:pPr>
              </w:p>
            </w:tc>
            <w:tc>
              <w:tcPr>
                <w:tcW w:w="664" w:type="pct"/>
              </w:tcPr>
              <w:p w14:paraId="14AA1803" w14:textId="77777777" w:rsidR="00C95855" w:rsidRPr="00C95855" w:rsidRDefault="00C95855">
                <w:pPr>
                  <w:jc w:val="right"/>
                  <w:rPr>
                    <w:sz w:val="18"/>
                    <w:szCs w:val="18"/>
                  </w:rPr>
                </w:pPr>
              </w:p>
            </w:tc>
          </w:tr>
        </w:sdtContent>
      </w:sdt>
      <w:sdt>
        <w:sdtPr>
          <w:rPr>
            <w:rFonts w:ascii="宋体" w:hAnsi="宋体" w:cs="宋体"/>
            <w:kern w:val="0"/>
            <w:sz w:val="18"/>
            <w:szCs w:val="18"/>
          </w:rPr>
          <w:alias w:val="董事会报告出具的分产品主营业务"/>
          <w:tag w:val="_TUP_f3827583cc4c4df6a57620f0c5061461"/>
          <w:id w:val="-1705015653"/>
          <w:placeholder>
            <w:docPart w:val="D05C60FAB4B4452ABC2CEE29054CABF1"/>
          </w:placeholder>
        </w:sdtPr>
        <w:sdtEndPr/>
        <w:sdtContent>
          <w:tr w:rsidR="00C95855" w14:paraId="5D8FA689" w14:textId="77777777" w:rsidTr="00C95855">
            <w:tc>
              <w:tcPr>
                <w:tcW w:w="665" w:type="pct"/>
              </w:tcPr>
              <w:p w14:paraId="168D60F7"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合计</w:t>
                </w:r>
              </w:p>
            </w:tc>
            <w:tc>
              <w:tcPr>
                <w:tcW w:w="836" w:type="pct"/>
              </w:tcPr>
              <w:p w14:paraId="48CD9C14" w14:textId="77777777" w:rsidR="00C95855" w:rsidRPr="00C95855" w:rsidRDefault="00C95855">
                <w:pPr>
                  <w:jc w:val="right"/>
                  <w:rPr>
                    <w:sz w:val="18"/>
                    <w:szCs w:val="18"/>
                  </w:rPr>
                </w:pPr>
                <w:r w:rsidRPr="00C95855">
                  <w:rPr>
                    <w:rFonts w:hint="eastAsia"/>
                    <w:sz w:val="18"/>
                    <w:szCs w:val="18"/>
                  </w:rPr>
                  <w:t>4,558,176.78</w:t>
                </w:r>
              </w:p>
            </w:tc>
            <w:tc>
              <w:tcPr>
                <w:tcW w:w="836" w:type="pct"/>
              </w:tcPr>
              <w:p w14:paraId="12E97586" w14:textId="77777777" w:rsidR="00C95855" w:rsidRPr="00C95855" w:rsidRDefault="00C95855">
                <w:pPr>
                  <w:jc w:val="right"/>
                  <w:rPr>
                    <w:sz w:val="18"/>
                    <w:szCs w:val="18"/>
                  </w:rPr>
                </w:pPr>
                <w:r w:rsidRPr="00C95855">
                  <w:rPr>
                    <w:rFonts w:hint="eastAsia"/>
                    <w:sz w:val="18"/>
                    <w:szCs w:val="18"/>
                  </w:rPr>
                  <w:t>3,678,878.44</w:t>
                </w:r>
              </w:p>
            </w:tc>
            <w:tc>
              <w:tcPr>
                <w:tcW w:w="666" w:type="pct"/>
              </w:tcPr>
              <w:p w14:paraId="214E4962" w14:textId="77777777" w:rsidR="00C95855" w:rsidRPr="00C95855" w:rsidRDefault="00C95855">
                <w:pPr>
                  <w:jc w:val="right"/>
                  <w:rPr>
                    <w:sz w:val="18"/>
                    <w:szCs w:val="18"/>
                  </w:rPr>
                </w:pPr>
                <w:r w:rsidRPr="00C95855">
                  <w:rPr>
                    <w:rFonts w:hint="eastAsia"/>
                    <w:sz w:val="18"/>
                    <w:szCs w:val="18"/>
                  </w:rPr>
                  <w:t>19.29</w:t>
                </w:r>
              </w:p>
            </w:tc>
            <w:tc>
              <w:tcPr>
                <w:tcW w:w="666" w:type="pct"/>
              </w:tcPr>
              <w:p w14:paraId="5361F4D0" w14:textId="77777777" w:rsidR="00C95855" w:rsidRPr="00C95855" w:rsidRDefault="00C95855">
                <w:pPr>
                  <w:jc w:val="right"/>
                  <w:rPr>
                    <w:sz w:val="18"/>
                    <w:szCs w:val="18"/>
                  </w:rPr>
                </w:pPr>
                <w:r w:rsidRPr="00C95855">
                  <w:rPr>
                    <w:rFonts w:hint="eastAsia"/>
                    <w:sz w:val="18"/>
                    <w:szCs w:val="18"/>
                  </w:rPr>
                  <w:t>7.12</w:t>
                </w:r>
              </w:p>
            </w:tc>
            <w:tc>
              <w:tcPr>
                <w:tcW w:w="666" w:type="pct"/>
              </w:tcPr>
              <w:p w14:paraId="6FF9C2F3" w14:textId="77777777" w:rsidR="00C95855" w:rsidRPr="00C95855" w:rsidRDefault="00C95855">
                <w:pPr>
                  <w:jc w:val="right"/>
                  <w:rPr>
                    <w:sz w:val="18"/>
                    <w:szCs w:val="18"/>
                  </w:rPr>
                </w:pPr>
                <w:r w:rsidRPr="00C95855">
                  <w:rPr>
                    <w:rFonts w:hint="eastAsia"/>
                    <w:sz w:val="18"/>
                    <w:szCs w:val="18"/>
                  </w:rPr>
                  <w:t>4.38</w:t>
                </w:r>
              </w:p>
            </w:tc>
            <w:tc>
              <w:tcPr>
                <w:tcW w:w="664" w:type="pct"/>
              </w:tcPr>
              <w:p w14:paraId="5BB8D9FD" w14:textId="77777777" w:rsidR="00C95855" w:rsidRPr="00C95855" w:rsidRDefault="00C95855">
                <w:pPr>
                  <w:jc w:val="right"/>
                  <w:rPr>
                    <w:sz w:val="18"/>
                    <w:szCs w:val="18"/>
                  </w:rPr>
                </w:pPr>
                <w:r w:rsidRPr="00C95855">
                  <w:rPr>
                    <w:rFonts w:hint="eastAsia"/>
                    <w:sz w:val="18"/>
                    <w:szCs w:val="18"/>
                  </w:rPr>
                  <w:t>增加2.11个百分点</w:t>
                </w:r>
              </w:p>
            </w:tc>
          </w:tr>
        </w:sdtContent>
      </w:sdt>
      <w:tr w:rsidR="00C95855" w14:paraId="49355781" w14:textId="77777777" w:rsidTr="00187B4D">
        <w:sdt>
          <w:sdtPr>
            <w:tag w:val="_PLD_fe4b98c3f70c495d9eb9797ce0f7b5f6"/>
            <w:id w:val="-1287502971"/>
          </w:sdtPr>
          <w:sdtEndPr/>
          <w:sdtContent>
            <w:tc>
              <w:tcPr>
                <w:tcW w:w="5000" w:type="pct"/>
                <w:gridSpan w:val="7"/>
              </w:tcPr>
              <w:p w14:paraId="6AF4B7A0" w14:textId="77777777" w:rsidR="00C95855" w:rsidRDefault="00C95855">
                <w:pPr>
                  <w:jc w:val="center"/>
                  <w:rPr>
                    <w:szCs w:val="21"/>
                  </w:rPr>
                </w:pPr>
                <w:r>
                  <w:rPr>
                    <w:rFonts w:hint="eastAsia"/>
                    <w:szCs w:val="21"/>
                  </w:rPr>
                  <w:t>主营业务分地区情况</w:t>
                </w:r>
              </w:p>
            </w:tc>
          </w:sdtContent>
        </w:sdt>
      </w:tr>
      <w:tr w:rsidR="00C95855" w14:paraId="7B1D37C9" w14:textId="77777777" w:rsidTr="00C95855">
        <w:sdt>
          <w:sdtPr>
            <w:tag w:val="_PLD_88d8ea3d867f4a97a5a66d059c2a507e"/>
            <w:id w:val="-1510757205"/>
          </w:sdtPr>
          <w:sdtEndPr/>
          <w:sdtContent>
            <w:tc>
              <w:tcPr>
                <w:tcW w:w="665" w:type="pct"/>
                <w:vAlign w:val="center"/>
              </w:tcPr>
              <w:p w14:paraId="1E6ADCBD" w14:textId="77777777" w:rsidR="00C95855" w:rsidRDefault="00C95855">
                <w:pPr>
                  <w:jc w:val="center"/>
                  <w:rPr>
                    <w:szCs w:val="21"/>
                  </w:rPr>
                </w:pPr>
                <w:r>
                  <w:rPr>
                    <w:rFonts w:hint="eastAsia"/>
                    <w:szCs w:val="21"/>
                  </w:rPr>
                  <w:t>分地区</w:t>
                </w:r>
              </w:p>
            </w:tc>
          </w:sdtContent>
        </w:sdt>
        <w:sdt>
          <w:sdtPr>
            <w:tag w:val="_PLD_d960c947c6424e2a87acbd6f4d534b0a"/>
            <w:id w:val="2094425913"/>
          </w:sdtPr>
          <w:sdtEndPr/>
          <w:sdtContent>
            <w:tc>
              <w:tcPr>
                <w:tcW w:w="836" w:type="pct"/>
                <w:vAlign w:val="center"/>
              </w:tcPr>
              <w:p w14:paraId="04A2EF38" w14:textId="77777777" w:rsidR="00C95855" w:rsidRDefault="00C95855">
                <w:pPr>
                  <w:jc w:val="center"/>
                  <w:rPr>
                    <w:szCs w:val="21"/>
                  </w:rPr>
                </w:pPr>
                <w:r>
                  <w:rPr>
                    <w:rFonts w:hint="eastAsia"/>
                    <w:szCs w:val="21"/>
                  </w:rPr>
                  <w:t>营业收入</w:t>
                </w:r>
              </w:p>
            </w:tc>
          </w:sdtContent>
        </w:sdt>
        <w:sdt>
          <w:sdtPr>
            <w:tag w:val="_PLD_0cab657ed1664cda8d161069df0d4ffe"/>
            <w:id w:val="1198968672"/>
          </w:sdtPr>
          <w:sdtEndPr/>
          <w:sdtContent>
            <w:tc>
              <w:tcPr>
                <w:tcW w:w="836" w:type="pct"/>
                <w:vAlign w:val="center"/>
              </w:tcPr>
              <w:p w14:paraId="79BFDF6D" w14:textId="77777777" w:rsidR="00C95855" w:rsidRDefault="00C95855">
                <w:pPr>
                  <w:jc w:val="center"/>
                  <w:rPr>
                    <w:szCs w:val="21"/>
                  </w:rPr>
                </w:pPr>
                <w:r>
                  <w:rPr>
                    <w:rFonts w:hint="eastAsia"/>
                    <w:szCs w:val="21"/>
                  </w:rPr>
                  <w:t>营业成本</w:t>
                </w:r>
              </w:p>
            </w:tc>
          </w:sdtContent>
        </w:sdt>
        <w:sdt>
          <w:sdtPr>
            <w:tag w:val="_PLD_de52f565c0c94f5f8930a8d275890566"/>
            <w:id w:val="-73601227"/>
          </w:sdtPr>
          <w:sdtEndPr/>
          <w:sdtContent>
            <w:tc>
              <w:tcPr>
                <w:tcW w:w="666" w:type="pct"/>
                <w:vAlign w:val="center"/>
              </w:tcPr>
              <w:p w14:paraId="50EB5F9E" w14:textId="77777777" w:rsidR="00C95855" w:rsidRDefault="00C95855">
                <w:pPr>
                  <w:jc w:val="center"/>
                  <w:rPr>
                    <w:szCs w:val="21"/>
                  </w:rPr>
                </w:pPr>
                <w:r>
                  <w:rPr>
                    <w:rFonts w:hint="eastAsia"/>
                    <w:szCs w:val="21"/>
                  </w:rPr>
                  <w:t>毛利率（%）</w:t>
                </w:r>
              </w:p>
            </w:tc>
          </w:sdtContent>
        </w:sdt>
        <w:sdt>
          <w:sdtPr>
            <w:tag w:val="_PLD_66acbff90fbb46ac8fc6c5840a2a1352"/>
            <w:id w:val="1079560786"/>
          </w:sdtPr>
          <w:sdtEndPr/>
          <w:sdtContent>
            <w:tc>
              <w:tcPr>
                <w:tcW w:w="666" w:type="pct"/>
                <w:vAlign w:val="center"/>
              </w:tcPr>
              <w:p w14:paraId="70C01686" w14:textId="77777777" w:rsidR="00C95855" w:rsidRDefault="00C95855">
                <w:pPr>
                  <w:jc w:val="center"/>
                  <w:rPr>
                    <w:szCs w:val="21"/>
                  </w:rPr>
                </w:pPr>
                <w:r>
                  <w:rPr>
                    <w:rFonts w:hint="eastAsia"/>
                    <w:szCs w:val="21"/>
                  </w:rPr>
                  <w:t>营业收入比上年增减（%）</w:t>
                </w:r>
              </w:p>
            </w:tc>
          </w:sdtContent>
        </w:sdt>
        <w:sdt>
          <w:sdtPr>
            <w:tag w:val="_PLD_24222e0fb06f4b87bb8e6a25bfc923a9"/>
            <w:id w:val="419770782"/>
          </w:sdtPr>
          <w:sdtEndPr/>
          <w:sdtContent>
            <w:tc>
              <w:tcPr>
                <w:tcW w:w="666" w:type="pct"/>
                <w:vAlign w:val="center"/>
              </w:tcPr>
              <w:p w14:paraId="142D02A0" w14:textId="77777777" w:rsidR="00C95855" w:rsidRDefault="00C95855">
                <w:pPr>
                  <w:jc w:val="center"/>
                  <w:rPr>
                    <w:szCs w:val="21"/>
                  </w:rPr>
                </w:pPr>
                <w:r>
                  <w:rPr>
                    <w:rFonts w:hint="eastAsia"/>
                    <w:szCs w:val="21"/>
                  </w:rPr>
                  <w:t>营业成本比上年增减（%）</w:t>
                </w:r>
              </w:p>
            </w:tc>
          </w:sdtContent>
        </w:sdt>
        <w:sdt>
          <w:sdtPr>
            <w:tag w:val="_PLD_055160da443c4e4a8c520dbbde5baec3"/>
            <w:id w:val="-1164770616"/>
          </w:sdtPr>
          <w:sdtEndPr/>
          <w:sdtContent>
            <w:tc>
              <w:tcPr>
                <w:tcW w:w="664" w:type="pct"/>
                <w:vAlign w:val="center"/>
              </w:tcPr>
              <w:p w14:paraId="1DCA75FD" w14:textId="77777777" w:rsidR="00C95855" w:rsidRDefault="00C95855">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hAnsi="宋体" w:cs="宋体" w:hint="eastAsia"/>
            <w:kern w:val="0"/>
            <w:sz w:val="18"/>
            <w:szCs w:val="18"/>
          </w:rPr>
          <w:alias w:val="董事会报告出具的分地区主营业务"/>
          <w:tag w:val="_TUP_0f1c163f212246d99030500182c6a741"/>
          <w:id w:val="272957844"/>
          <w:placeholder>
            <w:docPart w:val="D05C60FAB4B4452ABC2CEE29054CABF1"/>
          </w:placeholder>
        </w:sdtPr>
        <w:sdtEndPr/>
        <w:sdtContent>
          <w:tr w:rsidR="00C95855" w14:paraId="3882764E" w14:textId="77777777" w:rsidTr="00C95855">
            <w:tc>
              <w:tcPr>
                <w:tcW w:w="665" w:type="pct"/>
              </w:tcPr>
              <w:p w14:paraId="2AF201CC"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境内</w:t>
                </w:r>
              </w:p>
            </w:tc>
            <w:tc>
              <w:tcPr>
                <w:tcW w:w="836" w:type="pct"/>
              </w:tcPr>
              <w:p w14:paraId="213BB89E" w14:textId="77777777" w:rsidR="00C95855" w:rsidRPr="00C95855" w:rsidRDefault="00C95855">
                <w:pPr>
                  <w:jc w:val="right"/>
                  <w:rPr>
                    <w:sz w:val="18"/>
                    <w:szCs w:val="18"/>
                  </w:rPr>
                </w:pPr>
                <w:r w:rsidRPr="00C95855">
                  <w:rPr>
                    <w:rFonts w:hint="eastAsia"/>
                    <w:sz w:val="18"/>
                    <w:szCs w:val="18"/>
                  </w:rPr>
                  <w:t>2,549,315.23</w:t>
                </w:r>
              </w:p>
            </w:tc>
            <w:tc>
              <w:tcPr>
                <w:tcW w:w="836" w:type="pct"/>
              </w:tcPr>
              <w:p w14:paraId="0B264025" w14:textId="77777777" w:rsidR="00C95855" w:rsidRPr="00C95855" w:rsidRDefault="00C95855">
                <w:pPr>
                  <w:jc w:val="right"/>
                  <w:rPr>
                    <w:sz w:val="18"/>
                    <w:szCs w:val="18"/>
                  </w:rPr>
                </w:pPr>
                <w:r w:rsidRPr="00C95855">
                  <w:rPr>
                    <w:rFonts w:hint="eastAsia"/>
                    <w:sz w:val="18"/>
                    <w:szCs w:val="18"/>
                  </w:rPr>
                  <w:t>2,095,877.5</w:t>
                </w:r>
                <w:r w:rsidR="00F3683B">
                  <w:rPr>
                    <w:rFonts w:hint="eastAsia"/>
                    <w:sz w:val="18"/>
                    <w:szCs w:val="18"/>
                  </w:rPr>
                  <w:t>0</w:t>
                </w:r>
              </w:p>
            </w:tc>
            <w:tc>
              <w:tcPr>
                <w:tcW w:w="666" w:type="pct"/>
              </w:tcPr>
              <w:p w14:paraId="55778E80" w14:textId="77777777" w:rsidR="00C95855" w:rsidRPr="00C95855" w:rsidRDefault="00C95855">
                <w:pPr>
                  <w:jc w:val="right"/>
                  <w:rPr>
                    <w:sz w:val="18"/>
                    <w:szCs w:val="18"/>
                  </w:rPr>
                </w:pPr>
                <w:r w:rsidRPr="00C95855">
                  <w:rPr>
                    <w:rFonts w:hint="eastAsia"/>
                    <w:sz w:val="18"/>
                    <w:szCs w:val="18"/>
                  </w:rPr>
                  <w:t>17.79</w:t>
                </w:r>
              </w:p>
            </w:tc>
            <w:tc>
              <w:tcPr>
                <w:tcW w:w="666" w:type="pct"/>
              </w:tcPr>
              <w:p w14:paraId="66A2B424" w14:textId="77777777" w:rsidR="00C95855" w:rsidRPr="00C95855" w:rsidRDefault="00C95855">
                <w:pPr>
                  <w:jc w:val="right"/>
                  <w:rPr>
                    <w:sz w:val="18"/>
                    <w:szCs w:val="18"/>
                  </w:rPr>
                </w:pPr>
                <w:r w:rsidRPr="00C95855">
                  <w:rPr>
                    <w:rFonts w:hint="eastAsia"/>
                    <w:sz w:val="18"/>
                    <w:szCs w:val="18"/>
                  </w:rPr>
                  <w:t>1.99</w:t>
                </w:r>
              </w:p>
            </w:tc>
            <w:tc>
              <w:tcPr>
                <w:tcW w:w="666" w:type="pct"/>
              </w:tcPr>
              <w:p w14:paraId="0AE5BBA6" w14:textId="77777777" w:rsidR="00C95855" w:rsidRPr="00C95855" w:rsidRDefault="00C95855">
                <w:pPr>
                  <w:jc w:val="right"/>
                  <w:rPr>
                    <w:sz w:val="18"/>
                    <w:szCs w:val="18"/>
                  </w:rPr>
                </w:pPr>
                <w:r w:rsidRPr="00C95855">
                  <w:rPr>
                    <w:rFonts w:hint="eastAsia"/>
                    <w:sz w:val="18"/>
                    <w:szCs w:val="18"/>
                  </w:rPr>
                  <w:t>1.43</w:t>
                </w:r>
              </w:p>
            </w:tc>
            <w:tc>
              <w:tcPr>
                <w:tcW w:w="664" w:type="pct"/>
              </w:tcPr>
              <w:p w14:paraId="2A5C785E" w14:textId="77777777" w:rsidR="00C95855" w:rsidRPr="00C95855" w:rsidRDefault="00C95855">
                <w:pPr>
                  <w:jc w:val="right"/>
                  <w:rPr>
                    <w:sz w:val="18"/>
                    <w:szCs w:val="18"/>
                  </w:rPr>
                </w:pPr>
                <w:r w:rsidRPr="00C95855">
                  <w:rPr>
                    <w:rFonts w:hint="eastAsia"/>
                    <w:sz w:val="18"/>
                    <w:szCs w:val="18"/>
                  </w:rPr>
                  <w:t>增加0.46个百分点</w:t>
                </w:r>
              </w:p>
            </w:tc>
          </w:tr>
        </w:sdtContent>
      </w:sdt>
      <w:sdt>
        <w:sdtPr>
          <w:rPr>
            <w:rFonts w:ascii="宋体" w:hAnsi="宋体" w:cs="宋体" w:hint="eastAsia"/>
            <w:kern w:val="0"/>
            <w:sz w:val="18"/>
            <w:szCs w:val="18"/>
          </w:rPr>
          <w:alias w:val="董事会报告出具的分地区主营业务"/>
          <w:tag w:val="_TUP_0f1c163f212246d99030500182c6a741"/>
          <w:id w:val="420912140"/>
          <w:placeholder>
            <w:docPart w:val="D05C60FAB4B4452ABC2CEE29054CABF1"/>
          </w:placeholder>
        </w:sdtPr>
        <w:sdtEndPr/>
        <w:sdtContent>
          <w:tr w:rsidR="00C95855" w14:paraId="59724D41" w14:textId="77777777" w:rsidTr="00C95855">
            <w:tc>
              <w:tcPr>
                <w:tcW w:w="665" w:type="pct"/>
              </w:tcPr>
              <w:p w14:paraId="0001651B" w14:textId="77777777" w:rsidR="00C95855" w:rsidRPr="00C95855" w:rsidRDefault="00C95855">
                <w:pPr>
                  <w:pStyle w:val="affc"/>
                  <w:ind w:firstLineChars="0" w:firstLine="0"/>
                  <w:jc w:val="left"/>
                  <w:rPr>
                    <w:rFonts w:ascii="宋体" w:hAnsi="宋体" w:cs="宋体"/>
                    <w:kern w:val="0"/>
                    <w:sz w:val="18"/>
                    <w:szCs w:val="18"/>
                  </w:rPr>
                </w:pPr>
                <w:r w:rsidRPr="00C95855">
                  <w:rPr>
                    <w:rFonts w:hint="eastAsia"/>
                    <w:sz w:val="18"/>
                    <w:szCs w:val="18"/>
                  </w:rPr>
                  <w:t>境外</w:t>
                </w:r>
              </w:p>
            </w:tc>
            <w:tc>
              <w:tcPr>
                <w:tcW w:w="836" w:type="pct"/>
              </w:tcPr>
              <w:p w14:paraId="50907D52" w14:textId="77777777" w:rsidR="00C95855" w:rsidRPr="00C95855" w:rsidRDefault="00C95855">
                <w:pPr>
                  <w:jc w:val="right"/>
                  <w:rPr>
                    <w:sz w:val="18"/>
                    <w:szCs w:val="18"/>
                  </w:rPr>
                </w:pPr>
                <w:r w:rsidRPr="00C95855">
                  <w:rPr>
                    <w:rFonts w:hint="eastAsia"/>
                    <w:sz w:val="18"/>
                    <w:szCs w:val="18"/>
                  </w:rPr>
                  <w:t>2,008,861.55</w:t>
                </w:r>
              </w:p>
            </w:tc>
            <w:tc>
              <w:tcPr>
                <w:tcW w:w="836" w:type="pct"/>
              </w:tcPr>
              <w:p w14:paraId="52249BB0" w14:textId="77777777" w:rsidR="00C95855" w:rsidRPr="00C95855" w:rsidRDefault="00C95855">
                <w:pPr>
                  <w:jc w:val="right"/>
                  <w:rPr>
                    <w:sz w:val="18"/>
                    <w:szCs w:val="18"/>
                  </w:rPr>
                </w:pPr>
                <w:r w:rsidRPr="00C95855">
                  <w:rPr>
                    <w:rFonts w:hint="eastAsia"/>
                    <w:sz w:val="18"/>
                    <w:szCs w:val="18"/>
                  </w:rPr>
                  <w:t>1,583,000.94</w:t>
                </w:r>
              </w:p>
            </w:tc>
            <w:tc>
              <w:tcPr>
                <w:tcW w:w="666" w:type="pct"/>
              </w:tcPr>
              <w:p w14:paraId="6175A207" w14:textId="77777777" w:rsidR="00C95855" w:rsidRPr="00C95855" w:rsidRDefault="00C95855">
                <w:pPr>
                  <w:jc w:val="right"/>
                  <w:rPr>
                    <w:sz w:val="18"/>
                    <w:szCs w:val="18"/>
                  </w:rPr>
                </w:pPr>
                <w:r w:rsidRPr="00C95855">
                  <w:rPr>
                    <w:rFonts w:hint="eastAsia"/>
                    <w:sz w:val="18"/>
                    <w:szCs w:val="18"/>
                  </w:rPr>
                  <w:t>21.2</w:t>
                </w:r>
              </w:p>
            </w:tc>
            <w:tc>
              <w:tcPr>
                <w:tcW w:w="666" w:type="pct"/>
              </w:tcPr>
              <w:p w14:paraId="78D5C061" w14:textId="77777777" w:rsidR="00C95855" w:rsidRPr="00C95855" w:rsidRDefault="00C95855">
                <w:pPr>
                  <w:jc w:val="right"/>
                  <w:rPr>
                    <w:sz w:val="18"/>
                    <w:szCs w:val="18"/>
                  </w:rPr>
                </w:pPr>
                <w:r w:rsidRPr="00C95855">
                  <w:rPr>
                    <w:rFonts w:hint="eastAsia"/>
                    <w:sz w:val="18"/>
                    <w:szCs w:val="18"/>
                  </w:rPr>
                  <w:t>14.42</w:t>
                </w:r>
              </w:p>
            </w:tc>
            <w:tc>
              <w:tcPr>
                <w:tcW w:w="666" w:type="pct"/>
              </w:tcPr>
              <w:p w14:paraId="3B424146" w14:textId="77777777" w:rsidR="00C95855" w:rsidRPr="00C95855" w:rsidRDefault="00C95855">
                <w:pPr>
                  <w:jc w:val="right"/>
                  <w:rPr>
                    <w:sz w:val="18"/>
                    <w:szCs w:val="18"/>
                  </w:rPr>
                </w:pPr>
                <w:r w:rsidRPr="00C95855">
                  <w:rPr>
                    <w:rFonts w:hint="eastAsia"/>
                    <w:sz w:val="18"/>
                    <w:szCs w:val="18"/>
                  </w:rPr>
                  <w:t>8.57</w:t>
                </w:r>
              </w:p>
            </w:tc>
            <w:tc>
              <w:tcPr>
                <w:tcW w:w="664" w:type="pct"/>
              </w:tcPr>
              <w:p w14:paraId="77CEF3F7" w14:textId="77777777" w:rsidR="00C95855" w:rsidRPr="00C95855" w:rsidRDefault="00C95855">
                <w:pPr>
                  <w:jc w:val="right"/>
                  <w:rPr>
                    <w:sz w:val="18"/>
                    <w:szCs w:val="18"/>
                  </w:rPr>
                </w:pPr>
                <w:r w:rsidRPr="00C95855">
                  <w:rPr>
                    <w:rFonts w:hint="eastAsia"/>
                    <w:sz w:val="18"/>
                    <w:szCs w:val="18"/>
                  </w:rPr>
                  <w:t>增加4.24</w:t>
                </w:r>
                <w:r w:rsidRPr="00C95855">
                  <w:rPr>
                    <w:rFonts w:hint="eastAsia"/>
                    <w:sz w:val="18"/>
                    <w:szCs w:val="18"/>
                  </w:rPr>
                  <w:lastRenderedPageBreak/>
                  <w:t>个百分点</w:t>
                </w:r>
              </w:p>
            </w:tc>
          </w:tr>
        </w:sdtContent>
      </w:sdt>
    </w:tbl>
    <w:p w14:paraId="110AA0A4" w14:textId="77777777" w:rsidR="00C95855" w:rsidRDefault="00C95855">
      <w:pPr>
        <w:jc w:val="right"/>
        <w:rPr>
          <w:szCs w:val="21"/>
        </w:rPr>
      </w:pPr>
    </w:p>
    <w:p w14:paraId="5FC167E0" w14:textId="77777777" w:rsidR="00E57DAA" w:rsidRDefault="00AC4185">
      <w:pPr>
        <w:jc w:val="right"/>
        <w:rPr>
          <w:szCs w:val="21"/>
        </w:rPr>
      </w:pPr>
      <w:r>
        <w:rPr>
          <w:rFonts w:hint="eastAsia"/>
          <w:szCs w:val="21"/>
        </w:rPr>
        <w:t>单位：万元</w:t>
      </w:r>
    </w:p>
    <w:tbl>
      <w:tblPr>
        <w:tblStyle w:val="aff6"/>
        <w:tblW w:w="0" w:type="auto"/>
        <w:tblLook w:val="04A0" w:firstRow="1" w:lastRow="0" w:firstColumn="1" w:lastColumn="0" w:noHBand="0" w:noVBand="1"/>
      </w:tblPr>
      <w:tblGrid>
        <w:gridCol w:w="1047"/>
        <w:gridCol w:w="1296"/>
        <w:gridCol w:w="1296"/>
        <w:gridCol w:w="1296"/>
        <w:gridCol w:w="1296"/>
        <w:gridCol w:w="1296"/>
        <w:gridCol w:w="1296"/>
      </w:tblGrid>
      <w:tr w:rsidR="00E57DAA" w14:paraId="343C59AA" w14:textId="77777777">
        <w:tc>
          <w:tcPr>
            <w:tcW w:w="8814" w:type="dxa"/>
            <w:gridSpan w:val="7"/>
          </w:tcPr>
          <w:p w14:paraId="19BAF456" w14:textId="77777777" w:rsidR="00E57DAA" w:rsidRDefault="00AC4185">
            <w:pPr>
              <w:jc w:val="center"/>
              <w:rPr>
                <w:sz w:val="18"/>
                <w:szCs w:val="21"/>
              </w:rPr>
            </w:pPr>
            <w:r>
              <w:rPr>
                <w:rFonts w:hint="eastAsia"/>
                <w:sz w:val="18"/>
                <w:szCs w:val="21"/>
              </w:rPr>
              <w:t>近三年主营业务收入、成本情况</w:t>
            </w:r>
          </w:p>
        </w:tc>
      </w:tr>
      <w:tr w:rsidR="00E57DAA" w14:paraId="624761B5" w14:textId="77777777">
        <w:tc>
          <w:tcPr>
            <w:tcW w:w="1259" w:type="dxa"/>
            <w:vMerge w:val="restart"/>
          </w:tcPr>
          <w:p w14:paraId="0A48A11C" w14:textId="77777777" w:rsidR="00E57DAA" w:rsidRDefault="00E57DAA">
            <w:pPr>
              <w:rPr>
                <w:sz w:val="18"/>
                <w:szCs w:val="21"/>
              </w:rPr>
            </w:pPr>
          </w:p>
        </w:tc>
        <w:tc>
          <w:tcPr>
            <w:tcW w:w="2518" w:type="dxa"/>
            <w:gridSpan w:val="2"/>
          </w:tcPr>
          <w:p w14:paraId="1F595430" w14:textId="77777777" w:rsidR="00E57DAA" w:rsidRDefault="00AC4185">
            <w:pPr>
              <w:jc w:val="center"/>
              <w:rPr>
                <w:sz w:val="18"/>
                <w:szCs w:val="21"/>
              </w:rPr>
            </w:pPr>
            <w:r>
              <w:rPr>
                <w:sz w:val="18"/>
                <w:szCs w:val="21"/>
              </w:rPr>
              <w:t>2023年</w:t>
            </w:r>
          </w:p>
        </w:tc>
        <w:tc>
          <w:tcPr>
            <w:tcW w:w="2518" w:type="dxa"/>
            <w:gridSpan w:val="2"/>
          </w:tcPr>
          <w:p w14:paraId="40FF84F0" w14:textId="77777777" w:rsidR="00E57DAA" w:rsidRDefault="00AC4185">
            <w:pPr>
              <w:jc w:val="center"/>
              <w:rPr>
                <w:sz w:val="18"/>
                <w:szCs w:val="21"/>
              </w:rPr>
            </w:pPr>
            <w:r>
              <w:rPr>
                <w:sz w:val="18"/>
                <w:szCs w:val="21"/>
              </w:rPr>
              <w:t>202</w:t>
            </w:r>
            <w:r>
              <w:rPr>
                <w:rFonts w:hint="eastAsia"/>
                <w:sz w:val="18"/>
                <w:szCs w:val="21"/>
              </w:rPr>
              <w:t>2</w:t>
            </w:r>
            <w:r>
              <w:rPr>
                <w:sz w:val="18"/>
                <w:szCs w:val="21"/>
              </w:rPr>
              <w:t>年</w:t>
            </w:r>
          </w:p>
        </w:tc>
        <w:tc>
          <w:tcPr>
            <w:tcW w:w="2519" w:type="dxa"/>
            <w:gridSpan w:val="2"/>
          </w:tcPr>
          <w:p w14:paraId="259BBA50" w14:textId="77777777" w:rsidR="00E57DAA" w:rsidRDefault="00AC4185">
            <w:pPr>
              <w:jc w:val="center"/>
              <w:rPr>
                <w:sz w:val="18"/>
                <w:szCs w:val="21"/>
              </w:rPr>
            </w:pPr>
            <w:r>
              <w:rPr>
                <w:sz w:val="18"/>
                <w:szCs w:val="21"/>
              </w:rPr>
              <w:t>202</w:t>
            </w:r>
            <w:r>
              <w:rPr>
                <w:rFonts w:hint="eastAsia"/>
                <w:sz w:val="18"/>
                <w:szCs w:val="21"/>
              </w:rPr>
              <w:t>1</w:t>
            </w:r>
            <w:r>
              <w:rPr>
                <w:sz w:val="18"/>
                <w:szCs w:val="21"/>
              </w:rPr>
              <w:t>年</w:t>
            </w:r>
          </w:p>
        </w:tc>
      </w:tr>
      <w:tr w:rsidR="00E57DAA" w14:paraId="4BEF791C" w14:textId="77777777">
        <w:tc>
          <w:tcPr>
            <w:tcW w:w="1259" w:type="dxa"/>
            <w:vMerge/>
          </w:tcPr>
          <w:p w14:paraId="677C4401" w14:textId="77777777" w:rsidR="00E57DAA" w:rsidRDefault="00E57DAA">
            <w:pPr>
              <w:rPr>
                <w:sz w:val="18"/>
                <w:szCs w:val="21"/>
              </w:rPr>
            </w:pPr>
          </w:p>
        </w:tc>
        <w:tc>
          <w:tcPr>
            <w:tcW w:w="1259" w:type="dxa"/>
          </w:tcPr>
          <w:p w14:paraId="2549BFBE" w14:textId="77777777" w:rsidR="00E57DAA" w:rsidRDefault="00AC4185">
            <w:pPr>
              <w:rPr>
                <w:sz w:val="18"/>
                <w:szCs w:val="21"/>
              </w:rPr>
            </w:pPr>
            <w:r>
              <w:rPr>
                <w:sz w:val="18"/>
                <w:szCs w:val="21"/>
              </w:rPr>
              <w:t>主营业务收入</w:t>
            </w:r>
          </w:p>
        </w:tc>
        <w:tc>
          <w:tcPr>
            <w:tcW w:w="1259" w:type="dxa"/>
          </w:tcPr>
          <w:p w14:paraId="194DACA6" w14:textId="77777777" w:rsidR="00E57DAA" w:rsidRDefault="00AC4185">
            <w:pPr>
              <w:rPr>
                <w:sz w:val="18"/>
                <w:szCs w:val="21"/>
              </w:rPr>
            </w:pPr>
            <w:r>
              <w:rPr>
                <w:sz w:val="18"/>
                <w:szCs w:val="21"/>
              </w:rPr>
              <w:t>主营业务成本</w:t>
            </w:r>
          </w:p>
        </w:tc>
        <w:tc>
          <w:tcPr>
            <w:tcW w:w="1259" w:type="dxa"/>
          </w:tcPr>
          <w:p w14:paraId="53E520DD" w14:textId="77777777" w:rsidR="00E57DAA" w:rsidRDefault="00AC4185">
            <w:pPr>
              <w:rPr>
                <w:sz w:val="18"/>
                <w:szCs w:val="21"/>
              </w:rPr>
            </w:pPr>
            <w:r>
              <w:rPr>
                <w:sz w:val="18"/>
                <w:szCs w:val="21"/>
              </w:rPr>
              <w:t>主营业务收入</w:t>
            </w:r>
          </w:p>
        </w:tc>
        <w:tc>
          <w:tcPr>
            <w:tcW w:w="1259" w:type="dxa"/>
          </w:tcPr>
          <w:p w14:paraId="182A9FD8" w14:textId="77777777" w:rsidR="00E57DAA" w:rsidRDefault="00AC4185">
            <w:pPr>
              <w:rPr>
                <w:sz w:val="18"/>
                <w:szCs w:val="21"/>
              </w:rPr>
            </w:pPr>
            <w:r>
              <w:rPr>
                <w:sz w:val="18"/>
                <w:szCs w:val="21"/>
              </w:rPr>
              <w:t>主营业务成本</w:t>
            </w:r>
          </w:p>
        </w:tc>
        <w:tc>
          <w:tcPr>
            <w:tcW w:w="1259" w:type="dxa"/>
          </w:tcPr>
          <w:p w14:paraId="3642E7FA" w14:textId="77777777" w:rsidR="00E57DAA" w:rsidRDefault="00AC4185">
            <w:pPr>
              <w:rPr>
                <w:sz w:val="18"/>
                <w:szCs w:val="21"/>
              </w:rPr>
            </w:pPr>
            <w:r>
              <w:rPr>
                <w:sz w:val="18"/>
                <w:szCs w:val="21"/>
              </w:rPr>
              <w:t>主营业务收入</w:t>
            </w:r>
          </w:p>
        </w:tc>
        <w:tc>
          <w:tcPr>
            <w:tcW w:w="1260" w:type="dxa"/>
          </w:tcPr>
          <w:p w14:paraId="3FCA38BD" w14:textId="77777777" w:rsidR="00E57DAA" w:rsidRDefault="00AC4185">
            <w:pPr>
              <w:rPr>
                <w:sz w:val="18"/>
                <w:szCs w:val="21"/>
              </w:rPr>
            </w:pPr>
            <w:r>
              <w:rPr>
                <w:sz w:val="18"/>
                <w:szCs w:val="21"/>
              </w:rPr>
              <w:t>主营业务成本</w:t>
            </w:r>
          </w:p>
        </w:tc>
      </w:tr>
      <w:tr w:rsidR="00E57DAA" w14:paraId="60D0A7A7" w14:textId="77777777">
        <w:tc>
          <w:tcPr>
            <w:tcW w:w="1259" w:type="dxa"/>
          </w:tcPr>
          <w:p w14:paraId="3D0607D4" w14:textId="77777777" w:rsidR="00E57DAA" w:rsidRDefault="00AC4185">
            <w:pPr>
              <w:rPr>
                <w:sz w:val="18"/>
                <w:szCs w:val="21"/>
              </w:rPr>
            </w:pPr>
            <w:r>
              <w:rPr>
                <w:sz w:val="18"/>
                <w:szCs w:val="21"/>
              </w:rPr>
              <w:t>工程技术服务</w:t>
            </w:r>
          </w:p>
        </w:tc>
        <w:tc>
          <w:tcPr>
            <w:tcW w:w="1259" w:type="dxa"/>
          </w:tcPr>
          <w:p w14:paraId="2B6735FF" w14:textId="77777777" w:rsidR="00E57DAA" w:rsidRDefault="00AC4185">
            <w:pPr>
              <w:jc w:val="right"/>
              <w:rPr>
                <w:sz w:val="18"/>
                <w:szCs w:val="21"/>
              </w:rPr>
            </w:pPr>
            <w:r>
              <w:rPr>
                <w:sz w:val="18"/>
                <w:szCs w:val="21"/>
              </w:rPr>
              <w:t>2,666,494.43</w:t>
            </w:r>
          </w:p>
        </w:tc>
        <w:tc>
          <w:tcPr>
            <w:tcW w:w="1259" w:type="dxa"/>
          </w:tcPr>
          <w:p w14:paraId="318F3348" w14:textId="77777777" w:rsidR="00E57DAA" w:rsidRDefault="00AC4185">
            <w:pPr>
              <w:jc w:val="right"/>
              <w:rPr>
                <w:sz w:val="18"/>
                <w:szCs w:val="21"/>
              </w:rPr>
            </w:pPr>
            <w:r>
              <w:rPr>
                <w:sz w:val="18"/>
                <w:szCs w:val="21"/>
              </w:rPr>
              <w:t>2,246,942.12</w:t>
            </w:r>
          </w:p>
        </w:tc>
        <w:tc>
          <w:tcPr>
            <w:tcW w:w="1259" w:type="dxa"/>
          </w:tcPr>
          <w:p w14:paraId="5DAF1B1C" w14:textId="77777777" w:rsidR="00E57DAA" w:rsidRDefault="00AC4185">
            <w:pPr>
              <w:jc w:val="right"/>
              <w:rPr>
                <w:sz w:val="18"/>
                <w:szCs w:val="21"/>
              </w:rPr>
            </w:pPr>
            <w:r>
              <w:rPr>
                <w:sz w:val="18"/>
                <w:szCs w:val="21"/>
              </w:rPr>
              <w:t>2,479,281.83</w:t>
            </w:r>
          </w:p>
        </w:tc>
        <w:tc>
          <w:tcPr>
            <w:tcW w:w="1259" w:type="dxa"/>
          </w:tcPr>
          <w:p w14:paraId="21AFE5BA" w14:textId="77777777" w:rsidR="00E57DAA" w:rsidRDefault="00AC4185">
            <w:pPr>
              <w:jc w:val="right"/>
              <w:rPr>
                <w:sz w:val="18"/>
                <w:szCs w:val="21"/>
              </w:rPr>
            </w:pPr>
            <w:r>
              <w:rPr>
                <w:sz w:val="18"/>
                <w:szCs w:val="21"/>
              </w:rPr>
              <w:t>2,175,300.08</w:t>
            </w:r>
          </w:p>
        </w:tc>
        <w:tc>
          <w:tcPr>
            <w:tcW w:w="1259" w:type="dxa"/>
          </w:tcPr>
          <w:p w14:paraId="740CE144" w14:textId="77777777" w:rsidR="00E57DAA" w:rsidRDefault="00AC4185">
            <w:pPr>
              <w:jc w:val="right"/>
              <w:rPr>
                <w:sz w:val="18"/>
                <w:szCs w:val="21"/>
              </w:rPr>
            </w:pPr>
            <w:r>
              <w:rPr>
                <w:sz w:val="18"/>
                <w:szCs w:val="21"/>
              </w:rPr>
              <w:t>2,355,774.39</w:t>
            </w:r>
          </w:p>
        </w:tc>
        <w:tc>
          <w:tcPr>
            <w:tcW w:w="1260" w:type="dxa"/>
          </w:tcPr>
          <w:p w14:paraId="2D2ADF98" w14:textId="77777777" w:rsidR="00E57DAA" w:rsidRDefault="00AC4185">
            <w:pPr>
              <w:jc w:val="right"/>
              <w:rPr>
                <w:sz w:val="18"/>
                <w:szCs w:val="21"/>
              </w:rPr>
            </w:pPr>
            <w:r>
              <w:rPr>
                <w:sz w:val="18"/>
                <w:szCs w:val="21"/>
              </w:rPr>
              <w:t>2,033,316.47</w:t>
            </w:r>
          </w:p>
        </w:tc>
      </w:tr>
      <w:tr w:rsidR="00E57DAA" w14:paraId="4750B027" w14:textId="77777777">
        <w:tc>
          <w:tcPr>
            <w:tcW w:w="1259" w:type="dxa"/>
          </w:tcPr>
          <w:p w14:paraId="3FBC9EEA" w14:textId="77777777" w:rsidR="00E57DAA" w:rsidRDefault="00AC4185">
            <w:pPr>
              <w:rPr>
                <w:sz w:val="18"/>
                <w:szCs w:val="21"/>
              </w:rPr>
            </w:pPr>
            <w:r>
              <w:rPr>
                <w:sz w:val="18"/>
                <w:szCs w:val="21"/>
              </w:rPr>
              <w:t>高端装备制造</w:t>
            </w:r>
          </w:p>
        </w:tc>
        <w:tc>
          <w:tcPr>
            <w:tcW w:w="1259" w:type="dxa"/>
          </w:tcPr>
          <w:p w14:paraId="42294A67" w14:textId="77777777" w:rsidR="00E57DAA" w:rsidRDefault="00AC4185">
            <w:pPr>
              <w:jc w:val="right"/>
              <w:rPr>
                <w:sz w:val="18"/>
                <w:szCs w:val="21"/>
              </w:rPr>
            </w:pPr>
            <w:r>
              <w:rPr>
                <w:sz w:val="18"/>
                <w:szCs w:val="21"/>
              </w:rPr>
              <w:t>717,582.25</w:t>
            </w:r>
          </w:p>
        </w:tc>
        <w:tc>
          <w:tcPr>
            <w:tcW w:w="1259" w:type="dxa"/>
          </w:tcPr>
          <w:p w14:paraId="451831A0" w14:textId="77777777" w:rsidR="00E57DAA" w:rsidRDefault="00AC4185">
            <w:pPr>
              <w:jc w:val="right"/>
              <w:rPr>
                <w:sz w:val="18"/>
                <w:szCs w:val="21"/>
              </w:rPr>
            </w:pPr>
            <w:r>
              <w:rPr>
                <w:sz w:val="18"/>
                <w:szCs w:val="21"/>
              </w:rPr>
              <w:t>534,780.24</w:t>
            </w:r>
          </w:p>
        </w:tc>
        <w:tc>
          <w:tcPr>
            <w:tcW w:w="1259" w:type="dxa"/>
          </w:tcPr>
          <w:p w14:paraId="4C34A9A8" w14:textId="77777777" w:rsidR="00E57DAA" w:rsidRDefault="00AC4185">
            <w:pPr>
              <w:jc w:val="right"/>
              <w:rPr>
                <w:sz w:val="18"/>
                <w:szCs w:val="21"/>
              </w:rPr>
            </w:pPr>
            <w:r>
              <w:rPr>
                <w:sz w:val="18"/>
                <w:szCs w:val="21"/>
              </w:rPr>
              <w:t>703,652.08</w:t>
            </w:r>
          </w:p>
        </w:tc>
        <w:tc>
          <w:tcPr>
            <w:tcW w:w="1259" w:type="dxa"/>
          </w:tcPr>
          <w:p w14:paraId="1B5D6667" w14:textId="77777777" w:rsidR="00E57DAA" w:rsidRDefault="00AC4185">
            <w:pPr>
              <w:jc w:val="right"/>
              <w:rPr>
                <w:sz w:val="18"/>
                <w:szCs w:val="21"/>
              </w:rPr>
            </w:pPr>
            <w:r>
              <w:rPr>
                <w:sz w:val="18"/>
                <w:szCs w:val="21"/>
              </w:rPr>
              <w:t>534,151.63</w:t>
            </w:r>
          </w:p>
        </w:tc>
        <w:tc>
          <w:tcPr>
            <w:tcW w:w="1259" w:type="dxa"/>
          </w:tcPr>
          <w:p w14:paraId="692E451F" w14:textId="77777777" w:rsidR="00E57DAA" w:rsidRDefault="00AC4185">
            <w:pPr>
              <w:jc w:val="right"/>
              <w:rPr>
                <w:sz w:val="18"/>
                <w:szCs w:val="21"/>
              </w:rPr>
            </w:pPr>
            <w:r>
              <w:rPr>
                <w:sz w:val="18"/>
                <w:szCs w:val="21"/>
              </w:rPr>
              <w:t>685,566.68</w:t>
            </w:r>
          </w:p>
        </w:tc>
        <w:tc>
          <w:tcPr>
            <w:tcW w:w="1260" w:type="dxa"/>
          </w:tcPr>
          <w:p w14:paraId="2F1EAFF2" w14:textId="77777777" w:rsidR="00E57DAA" w:rsidRDefault="00AC4185">
            <w:pPr>
              <w:jc w:val="right"/>
              <w:rPr>
                <w:sz w:val="18"/>
                <w:szCs w:val="21"/>
              </w:rPr>
            </w:pPr>
            <w:r>
              <w:rPr>
                <w:sz w:val="18"/>
                <w:szCs w:val="21"/>
              </w:rPr>
              <w:t>521,798.13</w:t>
            </w:r>
          </w:p>
        </w:tc>
      </w:tr>
      <w:tr w:rsidR="00E57DAA" w14:paraId="348A9A25" w14:textId="77777777">
        <w:tc>
          <w:tcPr>
            <w:tcW w:w="1259" w:type="dxa"/>
          </w:tcPr>
          <w:p w14:paraId="7D82AED1" w14:textId="77777777" w:rsidR="00E57DAA" w:rsidRDefault="00AC4185">
            <w:pPr>
              <w:rPr>
                <w:sz w:val="18"/>
                <w:szCs w:val="21"/>
              </w:rPr>
            </w:pPr>
            <w:r>
              <w:rPr>
                <w:sz w:val="18"/>
                <w:szCs w:val="21"/>
              </w:rPr>
              <w:t>生产运营服务</w:t>
            </w:r>
          </w:p>
        </w:tc>
        <w:tc>
          <w:tcPr>
            <w:tcW w:w="1259" w:type="dxa"/>
          </w:tcPr>
          <w:p w14:paraId="19798249" w14:textId="77777777" w:rsidR="00E57DAA" w:rsidRDefault="00AC4185">
            <w:pPr>
              <w:jc w:val="right"/>
              <w:rPr>
                <w:sz w:val="18"/>
                <w:szCs w:val="21"/>
              </w:rPr>
            </w:pPr>
            <w:r>
              <w:rPr>
                <w:sz w:val="18"/>
                <w:szCs w:val="21"/>
              </w:rPr>
              <w:t>1,060,042.38</w:t>
            </w:r>
          </w:p>
        </w:tc>
        <w:tc>
          <w:tcPr>
            <w:tcW w:w="1259" w:type="dxa"/>
          </w:tcPr>
          <w:p w14:paraId="6587F5D2" w14:textId="77777777" w:rsidR="00E57DAA" w:rsidRDefault="00AC4185">
            <w:pPr>
              <w:jc w:val="right"/>
              <w:rPr>
                <w:sz w:val="18"/>
                <w:szCs w:val="21"/>
              </w:rPr>
            </w:pPr>
            <w:r>
              <w:rPr>
                <w:sz w:val="18"/>
                <w:szCs w:val="21"/>
              </w:rPr>
              <w:t>829,083.44</w:t>
            </w:r>
          </w:p>
        </w:tc>
        <w:tc>
          <w:tcPr>
            <w:tcW w:w="1259" w:type="dxa"/>
          </w:tcPr>
          <w:p w14:paraId="2BEE682F" w14:textId="77777777" w:rsidR="00E57DAA" w:rsidRDefault="00AC4185">
            <w:pPr>
              <w:jc w:val="right"/>
              <w:rPr>
                <w:sz w:val="18"/>
                <w:szCs w:val="21"/>
              </w:rPr>
            </w:pPr>
            <w:r>
              <w:rPr>
                <w:sz w:val="18"/>
                <w:szCs w:val="21"/>
              </w:rPr>
              <w:t>931,245.91</w:t>
            </w:r>
          </w:p>
        </w:tc>
        <w:tc>
          <w:tcPr>
            <w:tcW w:w="1259" w:type="dxa"/>
          </w:tcPr>
          <w:p w14:paraId="741FA651" w14:textId="77777777" w:rsidR="00E57DAA" w:rsidRDefault="00AC4185">
            <w:pPr>
              <w:jc w:val="right"/>
              <w:rPr>
                <w:sz w:val="18"/>
                <w:szCs w:val="21"/>
              </w:rPr>
            </w:pPr>
            <w:r>
              <w:rPr>
                <w:sz w:val="18"/>
                <w:szCs w:val="21"/>
              </w:rPr>
              <w:t>719,878.54</w:t>
            </w:r>
          </w:p>
        </w:tc>
        <w:tc>
          <w:tcPr>
            <w:tcW w:w="1259" w:type="dxa"/>
          </w:tcPr>
          <w:p w14:paraId="7D3C6A0F" w14:textId="77777777" w:rsidR="00E57DAA" w:rsidRDefault="00AC4185">
            <w:pPr>
              <w:jc w:val="right"/>
              <w:rPr>
                <w:sz w:val="18"/>
                <w:szCs w:val="21"/>
              </w:rPr>
            </w:pPr>
            <w:r>
              <w:rPr>
                <w:sz w:val="18"/>
                <w:szCs w:val="21"/>
              </w:rPr>
              <w:t>818,324.90</w:t>
            </w:r>
          </w:p>
        </w:tc>
        <w:tc>
          <w:tcPr>
            <w:tcW w:w="1260" w:type="dxa"/>
          </w:tcPr>
          <w:p w14:paraId="11BDAC60" w14:textId="77777777" w:rsidR="00E57DAA" w:rsidRDefault="00AC4185">
            <w:pPr>
              <w:jc w:val="right"/>
              <w:rPr>
                <w:sz w:val="18"/>
                <w:szCs w:val="21"/>
              </w:rPr>
            </w:pPr>
            <w:r>
              <w:rPr>
                <w:sz w:val="18"/>
                <w:szCs w:val="21"/>
              </w:rPr>
              <w:t>648,431.47</w:t>
            </w:r>
          </w:p>
        </w:tc>
      </w:tr>
      <w:tr w:rsidR="00E57DAA" w14:paraId="11B43102" w14:textId="77777777">
        <w:tc>
          <w:tcPr>
            <w:tcW w:w="1259" w:type="dxa"/>
          </w:tcPr>
          <w:p w14:paraId="44484AEB" w14:textId="77777777" w:rsidR="00E57DAA" w:rsidRDefault="00AC4185">
            <w:pPr>
              <w:rPr>
                <w:sz w:val="18"/>
                <w:szCs w:val="21"/>
              </w:rPr>
            </w:pPr>
            <w:r>
              <w:rPr>
                <w:sz w:val="18"/>
                <w:szCs w:val="21"/>
              </w:rPr>
              <w:t>其他</w:t>
            </w:r>
          </w:p>
        </w:tc>
        <w:tc>
          <w:tcPr>
            <w:tcW w:w="1259" w:type="dxa"/>
          </w:tcPr>
          <w:p w14:paraId="246EEC2B" w14:textId="77777777" w:rsidR="00E57DAA" w:rsidRDefault="00AC4185">
            <w:pPr>
              <w:jc w:val="right"/>
              <w:rPr>
                <w:sz w:val="18"/>
                <w:szCs w:val="21"/>
              </w:rPr>
            </w:pPr>
            <w:r>
              <w:rPr>
                <w:sz w:val="18"/>
                <w:szCs w:val="21"/>
              </w:rPr>
              <w:t>221,284.37</w:t>
            </w:r>
          </w:p>
        </w:tc>
        <w:tc>
          <w:tcPr>
            <w:tcW w:w="1259" w:type="dxa"/>
          </w:tcPr>
          <w:p w14:paraId="4E66FC72" w14:textId="77777777" w:rsidR="00E57DAA" w:rsidRDefault="00AC4185">
            <w:pPr>
              <w:jc w:val="right"/>
              <w:rPr>
                <w:sz w:val="18"/>
                <w:szCs w:val="21"/>
              </w:rPr>
            </w:pPr>
            <w:r>
              <w:rPr>
                <w:sz w:val="18"/>
                <w:szCs w:val="21"/>
              </w:rPr>
              <w:t>175,561.20</w:t>
            </w:r>
          </w:p>
        </w:tc>
        <w:tc>
          <w:tcPr>
            <w:tcW w:w="1259" w:type="dxa"/>
          </w:tcPr>
          <w:p w14:paraId="5FEF7E8C" w14:textId="77777777" w:rsidR="00E57DAA" w:rsidRDefault="00AC4185">
            <w:pPr>
              <w:jc w:val="right"/>
              <w:rPr>
                <w:sz w:val="18"/>
                <w:szCs w:val="21"/>
              </w:rPr>
            </w:pPr>
            <w:r>
              <w:rPr>
                <w:sz w:val="18"/>
                <w:szCs w:val="21"/>
              </w:rPr>
              <w:t>245,302.00</w:t>
            </w:r>
          </w:p>
        </w:tc>
        <w:tc>
          <w:tcPr>
            <w:tcW w:w="1259" w:type="dxa"/>
          </w:tcPr>
          <w:p w14:paraId="01D6B899" w14:textId="77777777" w:rsidR="00E57DAA" w:rsidRDefault="00AC4185">
            <w:pPr>
              <w:jc w:val="right"/>
              <w:rPr>
                <w:sz w:val="18"/>
                <w:szCs w:val="21"/>
              </w:rPr>
            </w:pPr>
            <w:r>
              <w:rPr>
                <w:sz w:val="18"/>
                <w:szCs w:val="21"/>
              </w:rPr>
              <w:t>197,716.19</w:t>
            </w:r>
          </w:p>
        </w:tc>
        <w:tc>
          <w:tcPr>
            <w:tcW w:w="1259" w:type="dxa"/>
          </w:tcPr>
          <w:p w14:paraId="2574831A" w14:textId="77777777" w:rsidR="00E57DAA" w:rsidRDefault="00AC4185">
            <w:pPr>
              <w:jc w:val="right"/>
              <w:rPr>
                <w:sz w:val="18"/>
                <w:szCs w:val="21"/>
              </w:rPr>
            </w:pPr>
            <w:r>
              <w:rPr>
                <w:sz w:val="18"/>
                <w:szCs w:val="21"/>
              </w:rPr>
              <w:t>207,957.37</w:t>
            </w:r>
          </w:p>
        </w:tc>
        <w:tc>
          <w:tcPr>
            <w:tcW w:w="1260" w:type="dxa"/>
          </w:tcPr>
          <w:p w14:paraId="01D634CC" w14:textId="77777777" w:rsidR="00E57DAA" w:rsidRDefault="00AC4185">
            <w:pPr>
              <w:jc w:val="right"/>
              <w:rPr>
                <w:sz w:val="18"/>
                <w:szCs w:val="21"/>
              </w:rPr>
            </w:pPr>
            <w:r>
              <w:rPr>
                <w:sz w:val="18"/>
                <w:szCs w:val="21"/>
              </w:rPr>
              <w:t>158,889.23</w:t>
            </w:r>
          </w:p>
        </w:tc>
      </w:tr>
      <w:tr w:rsidR="00E57DAA" w14:paraId="3864C950" w14:textId="77777777">
        <w:tc>
          <w:tcPr>
            <w:tcW w:w="1259" w:type="dxa"/>
          </w:tcPr>
          <w:p w14:paraId="48C8C45D" w14:textId="77777777" w:rsidR="00E57DAA" w:rsidRDefault="00AC4185">
            <w:pPr>
              <w:rPr>
                <w:sz w:val="18"/>
                <w:szCs w:val="21"/>
              </w:rPr>
            </w:pPr>
            <w:r>
              <w:rPr>
                <w:sz w:val="18"/>
                <w:szCs w:val="21"/>
              </w:rPr>
              <w:t>抵消</w:t>
            </w:r>
          </w:p>
        </w:tc>
        <w:tc>
          <w:tcPr>
            <w:tcW w:w="1259" w:type="dxa"/>
          </w:tcPr>
          <w:p w14:paraId="5921FBD3" w14:textId="77777777" w:rsidR="00E57DAA" w:rsidRDefault="00AC4185">
            <w:pPr>
              <w:jc w:val="right"/>
              <w:rPr>
                <w:sz w:val="18"/>
                <w:szCs w:val="21"/>
              </w:rPr>
            </w:pPr>
            <w:r>
              <w:rPr>
                <w:sz w:val="18"/>
                <w:szCs w:val="21"/>
              </w:rPr>
              <w:t>-107,226.65</w:t>
            </w:r>
          </w:p>
        </w:tc>
        <w:tc>
          <w:tcPr>
            <w:tcW w:w="1259" w:type="dxa"/>
          </w:tcPr>
          <w:p w14:paraId="07C6B7E8" w14:textId="77777777" w:rsidR="00E57DAA" w:rsidRDefault="00AC4185">
            <w:pPr>
              <w:jc w:val="right"/>
              <w:rPr>
                <w:sz w:val="18"/>
                <w:szCs w:val="21"/>
              </w:rPr>
            </w:pPr>
            <w:r>
              <w:rPr>
                <w:sz w:val="18"/>
                <w:szCs w:val="21"/>
              </w:rPr>
              <w:t>-107,488.56</w:t>
            </w:r>
          </w:p>
        </w:tc>
        <w:tc>
          <w:tcPr>
            <w:tcW w:w="1259" w:type="dxa"/>
          </w:tcPr>
          <w:p w14:paraId="6D89E21F" w14:textId="77777777" w:rsidR="00E57DAA" w:rsidRDefault="00AC4185">
            <w:pPr>
              <w:jc w:val="right"/>
              <w:rPr>
                <w:sz w:val="18"/>
                <w:szCs w:val="21"/>
              </w:rPr>
            </w:pPr>
            <w:r>
              <w:rPr>
                <w:sz w:val="18"/>
                <w:szCs w:val="21"/>
              </w:rPr>
              <w:t>-104,122.13</w:t>
            </w:r>
          </w:p>
        </w:tc>
        <w:tc>
          <w:tcPr>
            <w:tcW w:w="1259" w:type="dxa"/>
          </w:tcPr>
          <w:p w14:paraId="5DB4AADB" w14:textId="77777777" w:rsidR="00E57DAA" w:rsidRDefault="00AC4185">
            <w:pPr>
              <w:jc w:val="right"/>
              <w:rPr>
                <w:sz w:val="18"/>
                <w:szCs w:val="21"/>
              </w:rPr>
            </w:pPr>
            <w:r>
              <w:rPr>
                <w:sz w:val="18"/>
                <w:szCs w:val="21"/>
              </w:rPr>
              <w:t>-102,626.87</w:t>
            </w:r>
          </w:p>
        </w:tc>
        <w:tc>
          <w:tcPr>
            <w:tcW w:w="1259" w:type="dxa"/>
          </w:tcPr>
          <w:p w14:paraId="770B8D77" w14:textId="77777777" w:rsidR="00E57DAA" w:rsidRDefault="00AC4185">
            <w:pPr>
              <w:jc w:val="right"/>
              <w:rPr>
                <w:sz w:val="18"/>
                <w:szCs w:val="21"/>
              </w:rPr>
            </w:pPr>
            <w:r>
              <w:rPr>
                <w:sz w:val="18"/>
                <w:szCs w:val="21"/>
              </w:rPr>
              <w:t>-71,893.70</w:t>
            </w:r>
          </w:p>
        </w:tc>
        <w:tc>
          <w:tcPr>
            <w:tcW w:w="1260" w:type="dxa"/>
          </w:tcPr>
          <w:p w14:paraId="113EFC61" w14:textId="77777777" w:rsidR="00E57DAA" w:rsidRDefault="00AC4185">
            <w:pPr>
              <w:jc w:val="right"/>
              <w:rPr>
                <w:sz w:val="18"/>
                <w:szCs w:val="21"/>
              </w:rPr>
            </w:pPr>
            <w:r>
              <w:rPr>
                <w:sz w:val="18"/>
                <w:szCs w:val="21"/>
              </w:rPr>
              <w:t>-71,651.28</w:t>
            </w:r>
          </w:p>
        </w:tc>
      </w:tr>
      <w:tr w:rsidR="00E57DAA" w14:paraId="224D95E6" w14:textId="77777777">
        <w:tc>
          <w:tcPr>
            <w:tcW w:w="1259" w:type="dxa"/>
          </w:tcPr>
          <w:p w14:paraId="0D8BE51F" w14:textId="77777777" w:rsidR="00E57DAA" w:rsidRDefault="00AC4185">
            <w:pPr>
              <w:rPr>
                <w:sz w:val="18"/>
                <w:szCs w:val="21"/>
              </w:rPr>
            </w:pPr>
            <w:r>
              <w:rPr>
                <w:sz w:val="18"/>
                <w:szCs w:val="21"/>
              </w:rPr>
              <w:t>合计</w:t>
            </w:r>
          </w:p>
        </w:tc>
        <w:tc>
          <w:tcPr>
            <w:tcW w:w="1259" w:type="dxa"/>
          </w:tcPr>
          <w:p w14:paraId="4AE18EAF" w14:textId="77777777" w:rsidR="00E57DAA" w:rsidRDefault="00AC4185">
            <w:pPr>
              <w:jc w:val="right"/>
              <w:rPr>
                <w:sz w:val="18"/>
                <w:szCs w:val="21"/>
              </w:rPr>
            </w:pPr>
            <w:r>
              <w:rPr>
                <w:sz w:val="18"/>
                <w:szCs w:val="21"/>
              </w:rPr>
              <w:t>4,558,176.78</w:t>
            </w:r>
          </w:p>
        </w:tc>
        <w:tc>
          <w:tcPr>
            <w:tcW w:w="1259" w:type="dxa"/>
          </w:tcPr>
          <w:p w14:paraId="4A2BA0CC" w14:textId="77777777" w:rsidR="00E57DAA" w:rsidRDefault="00AC4185">
            <w:pPr>
              <w:jc w:val="right"/>
              <w:rPr>
                <w:sz w:val="18"/>
                <w:szCs w:val="21"/>
              </w:rPr>
            </w:pPr>
            <w:r>
              <w:rPr>
                <w:sz w:val="18"/>
                <w:szCs w:val="21"/>
              </w:rPr>
              <w:t>3,678,878.44</w:t>
            </w:r>
          </w:p>
        </w:tc>
        <w:tc>
          <w:tcPr>
            <w:tcW w:w="1259" w:type="dxa"/>
          </w:tcPr>
          <w:p w14:paraId="06C4880E" w14:textId="77777777" w:rsidR="00E57DAA" w:rsidRDefault="00AC4185">
            <w:pPr>
              <w:jc w:val="right"/>
              <w:rPr>
                <w:sz w:val="18"/>
                <w:szCs w:val="21"/>
              </w:rPr>
            </w:pPr>
            <w:r>
              <w:rPr>
                <w:sz w:val="18"/>
                <w:szCs w:val="21"/>
              </w:rPr>
              <w:t>4,255,359.69</w:t>
            </w:r>
          </w:p>
        </w:tc>
        <w:tc>
          <w:tcPr>
            <w:tcW w:w="1259" w:type="dxa"/>
          </w:tcPr>
          <w:p w14:paraId="3CA441AD" w14:textId="77777777" w:rsidR="00E57DAA" w:rsidRDefault="00AC4185">
            <w:pPr>
              <w:jc w:val="right"/>
              <w:rPr>
                <w:sz w:val="18"/>
                <w:szCs w:val="21"/>
              </w:rPr>
            </w:pPr>
            <w:r>
              <w:rPr>
                <w:sz w:val="18"/>
                <w:szCs w:val="21"/>
              </w:rPr>
              <w:t>3,524,419.57</w:t>
            </w:r>
          </w:p>
        </w:tc>
        <w:tc>
          <w:tcPr>
            <w:tcW w:w="1259" w:type="dxa"/>
          </w:tcPr>
          <w:p w14:paraId="0478535B" w14:textId="77777777" w:rsidR="00E57DAA" w:rsidRDefault="00AC4185">
            <w:pPr>
              <w:jc w:val="right"/>
              <w:rPr>
                <w:sz w:val="18"/>
                <w:szCs w:val="21"/>
              </w:rPr>
            </w:pPr>
            <w:r>
              <w:rPr>
                <w:sz w:val="18"/>
                <w:szCs w:val="21"/>
              </w:rPr>
              <w:t>3,995,729.64</w:t>
            </w:r>
          </w:p>
        </w:tc>
        <w:tc>
          <w:tcPr>
            <w:tcW w:w="1260" w:type="dxa"/>
          </w:tcPr>
          <w:p w14:paraId="172284CE" w14:textId="77777777" w:rsidR="00E57DAA" w:rsidRDefault="00AC4185">
            <w:pPr>
              <w:jc w:val="right"/>
              <w:rPr>
                <w:sz w:val="18"/>
                <w:szCs w:val="21"/>
              </w:rPr>
            </w:pPr>
            <w:r>
              <w:rPr>
                <w:sz w:val="18"/>
                <w:szCs w:val="21"/>
              </w:rPr>
              <w:t>3,290,784.02</w:t>
            </w:r>
          </w:p>
        </w:tc>
      </w:tr>
      <w:bookmarkEnd w:id="53"/>
    </w:tbl>
    <w:p w14:paraId="157C61D6" w14:textId="77777777" w:rsidR="00E57DAA" w:rsidRDefault="00E57DAA" w:rsidP="00C25422">
      <w:pPr>
        <w:pStyle w:val="92"/>
      </w:pPr>
    </w:p>
    <w:p w14:paraId="5FC21AF1" w14:textId="77777777" w:rsidR="00E57DAA" w:rsidRDefault="00AC4185">
      <w:pPr>
        <w:pStyle w:val="5"/>
        <w:numPr>
          <w:ilvl w:val="0"/>
          <w:numId w:val="11"/>
        </w:numPr>
        <w:tabs>
          <w:tab w:val="left" w:pos="567"/>
        </w:tabs>
        <w:ind w:left="105" w:firstLine="0"/>
        <w:rPr>
          <w:szCs w:val="21"/>
        </w:rPr>
      </w:pPr>
      <w:r>
        <w:rPr>
          <w:rFonts w:hint="eastAsia"/>
        </w:rPr>
        <w:t>产销量情况</w:t>
      </w:r>
      <w:r>
        <w:rPr>
          <w:szCs w:val="21"/>
        </w:rPr>
        <w:t>分析表</w:t>
      </w:r>
    </w:p>
    <w:sdt>
      <w:sdtPr>
        <w:alias w:val="是否适用：产销量情况分析表[双击切换]"/>
        <w:tag w:val="_GBC_6ff51c492b3040799712ea51f78bdcc0"/>
        <w:id w:val="660820222"/>
        <w:placeholder>
          <w:docPart w:val="GBC22222222222222222222222222222"/>
        </w:placeholder>
      </w:sdtPr>
      <w:sdtEndPr/>
      <w:sdtContent>
        <w:p w14:paraId="34908557"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5822C3" w14:textId="77777777" w:rsidR="00E57DAA" w:rsidRDefault="00E57DAA" w:rsidP="00C25422">
      <w:pPr>
        <w:pStyle w:val="92"/>
      </w:pPr>
    </w:p>
    <w:p w14:paraId="7B3A699B" w14:textId="77777777" w:rsidR="00E57DAA" w:rsidRDefault="00AC4185">
      <w:pPr>
        <w:pStyle w:val="5"/>
        <w:numPr>
          <w:ilvl w:val="0"/>
          <w:numId w:val="11"/>
        </w:numPr>
        <w:tabs>
          <w:tab w:val="left" w:pos="567"/>
        </w:tabs>
        <w:ind w:left="105" w:firstLine="0"/>
      </w:pPr>
      <w:bookmarkStart w:id="54"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2043200839"/>
        <w:placeholder>
          <w:docPart w:val="GBC22222222222222222222222222222"/>
        </w:placeholder>
      </w:sdtPr>
      <w:sdtEndPr/>
      <w:sdtContent>
        <w:p w14:paraId="0AF2463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7B620D" w14:textId="77777777" w:rsidR="00E57DAA" w:rsidRDefault="00E57DAA" w:rsidP="00C25422">
      <w:pPr>
        <w:pStyle w:val="92"/>
      </w:pPr>
    </w:p>
    <w:bookmarkEnd w:id="54"/>
    <w:p w14:paraId="176D528F" w14:textId="77777777" w:rsidR="00C95855" w:rsidRDefault="00C95855" w:rsidP="00C95855">
      <w:pPr>
        <w:pStyle w:val="5"/>
        <w:numPr>
          <w:ilvl w:val="0"/>
          <w:numId w:val="11"/>
        </w:numPr>
        <w:tabs>
          <w:tab w:val="left" w:pos="567"/>
        </w:tabs>
        <w:ind w:left="105" w:firstLine="0"/>
        <w:rPr>
          <w:szCs w:val="21"/>
        </w:rPr>
      </w:pPr>
      <w:r>
        <w:rPr>
          <w:szCs w:val="21"/>
        </w:rPr>
        <w:t>成本分析表</w:t>
      </w:r>
    </w:p>
    <w:p w14:paraId="5804F683" w14:textId="77777777" w:rsidR="00C95855" w:rsidRDefault="00C95855">
      <w:pPr>
        <w:pStyle w:val="affc"/>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2104844271"/>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p>
    <w:tbl>
      <w:tblPr>
        <w:tblStyle w:val="aff6"/>
        <w:tblW w:w="5000" w:type="pct"/>
        <w:tblLook w:val="04A0" w:firstRow="1" w:lastRow="0" w:firstColumn="1" w:lastColumn="0" w:noHBand="0" w:noVBand="1"/>
      </w:tblPr>
      <w:tblGrid>
        <w:gridCol w:w="1352"/>
        <w:gridCol w:w="1476"/>
        <w:gridCol w:w="1136"/>
        <w:gridCol w:w="1699"/>
        <w:gridCol w:w="1415"/>
        <w:gridCol w:w="1745"/>
      </w:tblGrid>
      <w:tr w:rsidR="00C95855" w14:paraId="1B891647" w14:textId="77777777" w:rsidTr="00C95855">
        <w:trPr>
          <w:trHeight w:val="105"/>
        </w:trPr>
        <w:sdt>
          <w:sdtPr>
            <w:tag w:val="_PLD_0092d9f33f1f4ccb96da6cc52c190e39"/>
            <w:id w:val="-1116605658"/>
          </w:sdtPr>
          <w:sdtEndPr/>
          <w:sdtContent>
            <w:tc>
              <w:tcPr>
                <w:tcW w:w="5000" w:type="pct"/>
                <w:gridSpan w:val="6"/>
                <w:vAlign w:val="center"/>
              </w:tcPr>
              <w:p w14:paraId="5171F321" w14:textId="77777777" w:rsidR="00C95855" w:rsidRDefault="00C95855" w:rsidP="000442C0">
                <w:pPr>
                  <w:jc w:val="center"/>
                  <w:rPr>
                    <w:szCs w:val="21"/>
                  </w:rPr>
                </w:pPr>
                <w:r>
                  <w:rPr>
                    <w:szCs w:val="21"/>
                  </w:rPr>
                  <w:t>分产品情况</w:t>
                </w:r>
              </w:p>
            </w:tc>
          </w:sdtContent>
        </w:sdt>
      </w:tr>
      <w:tr w:rsidR="00C95855" w14:paraId="4DE286ED" w14:textId="77777777" w:rsidTr="00C95855">
        <w:trPr>
          <w:trHeight w:val="132"/>
        </w:trPr>
        <w:sdt>
          <w:sdtPr>
            <w:tag w:val="_PLD_9a4782df875a421fa22d5bb28b135494"/>
            <w:id w:val="-2090541309"/>
          </w:sdtPr>
          <w:sdtEndPr/>
          <w:sdtContent>
            <w:tc>
              <w:tcPr>
                <w:tcW w:w="766" w:type="pct"/>
                <w:vAlign w:val="center"/>
              </w:tcPr>
              <w:p w14:paraId="75285ABC" w14:textId="77777777" w:rsidR="00C95855" w:rsidRDefault="00C95855" w:rsidP="000442C0">
                <w:pPr>
                  <w:jc w:val="center"/>
                  <w:rPr>
                    <w:szCs w:val="21"/>
                  </w:rPr>
                </w:pPr>
                <w:r>
                  <w:rPr>
                    <w:szCs w:val="21"/>
                  </w:rPr>
                  <w:t>成本构成项目</w:t>
                </w:r>
              </w:p>
            </w:tc>
          </w:sdtContent>
        </w:sdt>
        <w:sdt>
          <w:sdtPr>
            <w:tag w:val="_PLD_3ddf6750761e4cb5a3c10274752059ad"/>
            <w:id w:val="-426497425"/>
          </w:sdtPr>
          <w:sdtEndPr/>
          <w:sdtContent>
            <w:tc>
              <w:tcPr>
                <w:tcW w:w="836" w:type="pct"/>
                <w:vAlign w:val="center"/>
              </w:tcPr>
              <w:p w14:paraId="282DE04D" w14:textId="77777777" w:rsidR="00C95855" w:rsidRDefault="00C95855" w:rsidP="000442C0">
                <w:pPr>
                  <w:jc w:val="center"/>
                  <w:rPr>
                    <w:szCs w:val="21"/>
                  </w:rPr>
                </w:pPr>
                <w:r>
                  <w:rPr>
                    <w:szCs w:val="21"/>
                  </w:rPr>
                  <w:t>本期金额</w:t>
                </w:r>
              </w:p>
            </w:tc>
          </w:sdtContent>
        </w:sdt>
        <w:sdt>
          <w:sdtPr>
            <w:tag w:val="_PLD_dcb03e51a739483781a7336e1a9b6c53"/>
            <w:id w:val="751473845"/>
          </w:sdtPr>
          <w:sdtEndPr/>
          <w:sdtContent>
            <w:tc>
              <w:tcPr>
                <w:tcW w:w="644" w:type="pct"/>
                <w:vAlign w:val="center"/>
              </w:tcPr>
              <w:p w14:paraId="0302A326" w14:textId="77777777" w:rsidR="00C95855" w:rsidRDefault="00C95855" w:rsidP="000442C0">
                <w:pPr>
                  <w:jc w:val="center"/>
                  <w:rPr>
                    <w:szCs w:val="21"/>
                  </w:rPr>
                </w:pPr>
                <w:r>
                  <w:rPr>
                    <w:szCs w:val="21"/>
                  </w:rPr>
                  <w:t>本期占总成本比例(</w:t>
                </w:r>
                <w:r>
                  <w:rPr>
                    <w:rFonts w:hint="eastAsia"/>
                    <w:szCs w:val="21"/>
                  </w:rPr>
                  <w:t>%</w:t>
                </w:r>
                <w:r>
                  <w:rPr>
                    <w:szCs w:val="21"/>
                  </w:rPr>
                  <w:t>)</w:t>
                </w:r>
              </w:p>
            </w:tc>
          </w:sdtContent>
        </w:sdt>
        <w:sdt>
          <w:sdtPr>
            <w:tag w:val="_PLD_fe6b2171d862410980857c00f504b451"/>
            <w:id w:val="1403566162"/>
          </w:sdtPr>
          <w:sdtEndPr/>
          <w:sdtContent>
            <w:tc>
              <w:tcPr>
                <w:tcW w:w="963" w:type="pct"/>
                <w:vAlign w:val="center"/>
              </w:tcPr>
              <w:p w14:paraId="17398CA0" w14:textId="77777777" w:rsidR="00C95855" w:rsidRDefault="00C95855" w:rsidP="000442C0">
                <w:pPr>
                  <w:jc w:val="center"/>
                  <w:rPr>
                    <w:szCs w:val="21"/>
                  </w:rPr>
                </w:pPr>
                <w:r>
                  <w:rPr>
                    <w:szCs w:val="21"/>
                  </w:rPr>
                  <w:t>上年同期金额</w:t>
                </w:r>
              </w:p>
            </w:tc>
          </w:sdtContent>
        </w:sdt>
        <w:sdt>
          <w:sdtPr>
            <w:tag w:val="_PLD_4cf5110e7be04df78012e249a0900292"/>
            <w:id w:val="-1794040086"/>
          </w:sdtPr>
          <w:sdtEndPr/>
          <w:sdtContent>
            <w:tc>
              <w:tcPr>
                <w:tcW w:w="802" w:type="pct"/>
                <w:vAlign w:val="center"/>
              </w:tcPr>
              <w:p w14:paraId="15D482DD" w14:textId="77777777" w:rsidR="00C95855" w:rsidRDefault="00C95855" w:rsidP="000442C0">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904806546"/>
          </w:sdtPr>
          <w:sdtEndPr/>
          <w:sdtContent>
            <w:tc>
              <w:tcPr>
                <w:tcW w:w="989" w:type="pct"/>
                <w:vAlign w:val="center"/>
              </w:tcPr>
              <w:p w14:paraId="14AD0D43" w14:textId="77777777" w:rsidR="00C95855" w:rsidRDefault="00C95855" w:rsidP="000442C0">
                <w:pPr>
                  <w:jc w:val="center"/>
                  <w:rPr>
                    <w:szCs w:val="21"/>
                  </w:rPr>
                </w:pPr>
                <w:r>
                  <w:rPr>
                    <w:szCs w:val="21"/>
                  </w:rPr>
                  <w:t>本期金额较上年同期变动比例(</w:t>
                </w:r>
                <w:r>
                  <w:rPr>
                    <w:rFonts w:hint="eastAsia"/>
                    <w:szCs w:val="21"/>
                  </w:rPr>
                  <w:t>%</w:t>
                </w:r>
                <w:r>
                  <w:rPr>
                    <w:szCs w:val="21"/>
                  </w:rPr>
                  <w:t>)</w:t>
                </w:r>
              </w:p>
            </w:tc>
          </w:sdtContent>
        </w:sdt>
      </w:tr>
      <w:sdt>
        <w:sdtPr>
          <w:rPr>
            <w:rFonts w:ascii="Calibri" w:eastAsiaTheme="minorEastAsia" w:hAnsi="Calibri" w:cstheme="minorBidi"/>
            <w:kern w:val="2"/>
            <w:szCs w:val="21"/>
            <w14:ligatures w14:val="standardContextual"/>
          </w:rPr>
          <w:alias w:val="分产品成本分析"/>
          <w:tag w:val="_TUP_a99457d0ffea4639b6d23dc0f965122f"/>
          <w:id w:val="-685669177"/>
          <w:placeholder>
            <w:docPart w:val="AAA142220EC84EE18EA7C64935875335"/>
          </w:placeholder>
        </w:sdtPr>
        <w:sdtEndPr/>
        <w:sdtContent>
          <w:tr w:rsidR="00C95855" w14:paraId="0BD8A605" w14:textId="77777777" w:rsidTr="00C95855">
            <w:trPr>
              <w:trHeight w:val="165"/>
            </w:trPr>
            <w:tc>
              <w:tcPr>
                <w:tcW w:w="766" w:type="pct"/>
                <w:tcBorders>
                  <w:bottom w:val="single" w:sz="4" w:space="0" w:color="auto"/>
                </w:tcBorders>
                <w:vAlign w:val="center"/>
              </w:tcPr>
              <w:p w14:paraId="065F05CC" w14:textId="77777777" w:rsidR="00C95855" w:rsidRDefault="00C95855" w:rsidP="000442C0">
                <w:pPr>
                  <w:jc w:val="left"/>
                  <w:rPr>
                    <w:szCs w:val="21"/>
                  </w:rPr>
                </w:pPr>
                <w:r>
                  <w:t>分包（外协）成本</w:t>
                </w:r>
              </w:p>
            </w:tc>
            <w:tc>
              <w:tcPr>
                <w:tcW w:w="836" w:type="pct"/>
                <w:tcBorders>
                  <w:bottom w:val="single" w:sz="4" w:space="0" w:color="auto"/>
                </w:tcBorders>
                <w:vAlign w:val="center"/>
              </w:tcPr>
              <w:p w14:paraId="066E1278" w14:textId="77777777" w:rsidR="00C95855" w:rsidRDefault="00C95855" w:rsidP="000442C0">
                <w:pPr>
                  <w:jc w:val="right"/>
                  <w:rPr>
                    <w:szCs w:val="21"/>
                  </w:rPr>
                </w:pPr>
                <w:r>
                  <w:rPr>
                    <w:rFonts w:hint="eastAsia"/>
                  </w:rPr>
                  <w:t>1,164,187.96</w:t>
                </w:r>
              </w:p>
            </w:tc>
            <w:tc>
              <w:tcPr>
                <w:tcW w:w="644" w:type="pct"/>
                <w:tcBorders>
                  <w:bottom w:val="single" w:sz="4" w:space="0" w:color="auto"/>
                </w:tcBorders>
                <w:vAlign w:val="center"/>
              </w:tcPr>
              <w:p w14:paraId="47C73147" w14:textId="77777777" w:rsidR="00C95855" w:rsidRDefault="00C95855" w:rsidP="000442C0">
                <w:pPr>
                  <w:jc w:val="right"/>
                  <w:rPr>
                    <w:szCs w:val="21"/>
                  </w:rPr>
                </w:pPr>
                <w:r>
                  <w:rPr>
                    <w:rFonts w:hint="eastAsia"/>
                  </w:rPr>
                  <w:t>31.65</w:t>
                </w:r>
              </w:p>
            </w:tc>
            <w:tc>
              <w:tcPr>
                <w:tcW w:w="963" w:type="pct"/>
                <w:tcBorders>
                  <w:bottom w:val="single" w:sz="4" w:space="0" w:color="auto"/>
                </w:tcBorders>
                <w:vAlign w:val="center"/>
              </w:tcPr>
              <w:p w14:paraId="3FBA46A9" w14:textId="77777777" w:rsidR="00C95855" w:rsidRDefault="00C95855" w:rsidP="000442C0">
                <w:pPr>
                  <w:jc w:val="right"/>
                  <w:rPr>
                    <w:szCs w:val="21"/>
                  </w:rPr>
                </w:pPr>
                <w:r>
                  <w:rPr>
                    <w:rFonts w:hint="eastAsia"/>
                  </w:rPr>
                  <w:t>1,031,272.14</w:t>
                </w:r>
              </w:p>
            </w:tc>
            <w:tc>
              <w:tcPr>
                <w:tcW w:w="802" w:type="pct"/>
                <w:tcBorders>
                  <w:bottom w:val="single" w:sz="4" w:space="0" w:color="auto"/>
                </w:tcBorders>
                <w:vAlign w:val="center"/>
              </w:tcPr>
              <w:p w14:paraId="6835A160" w14:textId="77777777" w:rsidR="00C95855" w:rsidRDefault="00C95855" w:rsidP="000442C0">
                <w:pPr>
                  <w:jc w:val="right"/>
                  <w:rPr>
                    <w:szCs w:val="21"/>
                  </w:rPr>
                </w:pPr>
                <w:r>
                  <w:rPr>
                    <w:rFonts w:hint="eastAsia"/>
                  </w:rPr>
                  <w:t>29.26</w:t>
                </w:r>
              </w:p>
            </w:tc>
            <w:tc>
              <w:tcPr>
                <w:tcW w:w="989" w:type="pct"/>
                <w:tcBorders>
                  <w:bottom w:val="single" w:sz="4" w:space="0" w:color="auto"/>
                </w:tcBorders>
                <w:vAlign w:val="center"/>
              </w:tcPr>
              <w:p w14:paraId="6C7CD3DD" w14:textId="77777777" w:rsidR="00C95855" w:rsidRDefault="00C95855" w:rsidP="000442C0">
                <w:pPr>
                  <w:jc w:val="right"/>
                  <w:rPr>
                    <w:szCs w:val="21"/>
                  </w:rPr>
                </w:pPr>
                <w:r>
                  <w:rPr>
                    <w:rFonts w:hint="eastAsia"/>
                  </w:rPr>
                  <w:t>12.89</w:t>
                </w:r>
              </w:p>
            </w:tc>
          </w:tr>
        </w:sdtContent>
      </w:sdt>
      <w:sdt>
        <w:sdtPr>
          <w:rPr>
            <w:rFonts w:ascii="Calibri" w:eastAsiaTheme="minorEastAsia" w:hAnsi="Calibri" w:cstheme="minorBidi"/>
            <w:kern w:val="2"/>
            <w:szCs w:val="21"/>
            <w14:ligatures w14:val="standardContextual"/>
          </w:rPr>
          <w:alias w:val="分产品成本分析"/>
          <w:tag w:val="_TUP_a99457d0ffea4639b6d23dc0f965122f"/>
          <w:id w:val="-1729675082"/>
          <w:placeholder>
            <w:docPart w:val="AAA142220EC84EE18EA7C64935875335"/>
          </w:placeholder>
        </w:sdtPr>
        <w:sdtEndPr/>
        <w:sdtContent>
          <w:tr w:rsidR="00C95855" w14:paraId="5087001C" w14:textId="77777777" w:rsidTr="00C95855">
            <w:trPr>
              <w:trHeight w:val="165"/>
            </w:trPr>
            <w:tc>
              <w:tcPr>
                <w:tcW w:w="766" w:type="pct"/>
                <w:tcBorders>
                  <w:bottom w:val="single" w:sz="4" w:space="0" w:color="auto"/>
                </w:tcBorders>
                <w:vAlign w:val="center"/>
              </w:tcPr>
              <w:p w14:paraId="1165D47A" w14:textId="77777777" w:rsidR="00C95855" w:rsidRDefault="00C95855" w:rsidP="000442C0">
                <w:pPr>
                  <w:jc w:val="left"/>
                  <w:rPr>
                    <w:szCs w:val="21"/>
                  </w:rPr>
                </w:pPr>
                <w:r>
                  <w:t>材料成本</w:t>
                </w:r>
              </w:p>
            </w:tc>
            <w:tc>
              <w:tcPr>
                <w:tcW w:w="836" w:type="pct"/>
                <w:tcBorders>
                  <w:bottom w:val="single" w:sz="4" w:space="0" w:color="auto"/>
                </w:tcBorders>
                <w:vAlign w:val="center"/>
              </w:tcPr>
              <w:p w14:paraId="0A950AD0" w14:textId="77777777" w:rsidR="00C95855" w:rsidRDefault="00C95855" w:rsidP="000442C0">
                <w:pPr>
                  <w:jc w:val="right"/>
                  <w:rPr>
                    <w:szCs w:val="21"/>
                  </w:rPr>
                </w:pPr>
                <w:r>
                  <w:rPr>
                    <w:rFonts w:hint="eastAsia"/>
                  </w:rPr>
                  <w:t>991,143.51</w:t>
                </w:r>
              </w:p>
            </w:tc>
            <w:tc>
              <w:tcPr>
                <w:tcW w:w="644" w:type="pct"/>
                <w:tcBorders>
                  <w:bottom w:val="single" w:sz="4" w:space="0" w:color="auto"/>
                </w:tcBorders>
                <w:vAlign w:val="center"/>
              </w:tcPr>
              <w:p w14:paraId="12CC93C6" w14:textId="77777777" w:rsidR="00C95855" w:rsidRDefault="00C95855" w:rsidP="000442C0">
                <w:pPr>
                  <w:jc w:val="right"/>
                  <w:rPr>
                    <w:szCs w:val="21"/>
                  </w:rPr>
                </w:pPr>
                <w:r>
                  <w:rPr>
                    <w:rFonts w:hint="eastAsia"/>
                  </w:rPr>
                  <w:t>26.94</w:t>
                </w:r>
              </w:p>
            </w:tc>
            <w:tc>
              <w:tcPr>
                <w:tcW w:w="963" w:type="pct"/>
                <w:tcBorders>
                  <w:bottom w:val="single" w:sz="4" w:space="0" w:color="auto"/>
                </w:tcBorders>
                <w:vAlign w:val="center"/>
              </w:tcPr>
              <w:p w14:paraId="4D4DCDF9" w14:textId="77777777" w:rsidR="00C95855" w:rsidRDefault="00C95855" w:rsidP="000442C0">
                <w:pPr>
                  <w:jc w:val="right"/>
                  <w:rPr>
                    <w:szCs w:val="21"/>
                  </w:rPr>
                </w:pPr>
                <w:r>
                  <w:rPr>
                    <w:rFonts w:hint="eastAsia"/>
                  </w:rPr>
                  <w:t>953,363.69</w:t>
                </w:r>
              </w:p>
            </w:tc>
            <w:tc>
              <w:tcPr>
                <w:tcW w:w="802" w:type="pct"/>
                <w:tcBorders>
                  <w:bottom w:val="single" w:sz="4" w:space="0" w:color="auto"/>
                </w:tcBorders>
                <w:vAlign w:val="center"/>
              </w:tcPr>
              <w:p w14:paraId="3CE3A864" w14:textId="77777777" w:rsidR="00C95855" w:rsidRDefault="00C95855" w:rsidP="000442C0">
                <w:pPr>
                  <w:jc w:val="right"/>
                  <w:rPr>
                    <w:szCs w:val="21"/>
                  </w:rPr>
                </w:pPr>
                <w:r>
                  <w:rPr>
                    <w:rFonts w:hint="eastAsia"/>
                  </w:rPr>
                  <w:t>27.05</w:t>
                </w:r>
              </w:p>
            </w:tc>
            <w:tc>
              <w:tcPr>
                <w:tcW w:w="989" w:type="pct"/>
                <w:tcBorders>
                  <w:bottom w:val="single" w:sz="4" w:space="0" w:color="auto"/>
                </w:tcBorders>
                <w:vAlign w:val="center"/>
              </w:tcPr>
              <w:p w14:paraId="04BFE37E" w14:textId="77777777" w:rsidR="00C95855" w:rsidRDefault="00C95855" w:rsidP="000442C0">
                <w:pPr>
                  <w:jc w:val="right"/>
                  <w:rPr>
                    <w:szCs w:val="21"/>
                  </w:rPr>
                </w:pPr>
                <w:r>
                  <w:rPr>
                    <w:rFonts w:hint="eastAsia"/>
                  </w:rPr>
                  <w:t>3.96</w:t>
                </w:r>
              </w:p>
            </w:tc>
          </w:tr>
        </w:sdtContent>
      </w:sdt>
      <w:sdt>
        <w:sdtPr>
          <w:rPr>
            <w:rFonts w:ascii="Calibri" w:eastAsiaTheme="minorEastAsia" w:hAnsi="Calibri" w:cstheme="minorBidi"/>
            <w:kern w:val="2"/>
            <w:szCs w:val="21"/>
            <w14:ligatures w14:val="standardContextual"/>
          </w:rPr>
          <w:alias w:val="分产品成本分析"/>
          <w:tag w:val="_TUP_a99457d0ffea4639b6d23dc0f965122f"/>
          <w:id w:val="-1858344718"/>
          <w:placeholder>
            <w:docPart w:val="AAA142220EC84EE18EA7C64935875335"/>
          </w:placeholder>
        </w:sdtPr>
        <w:sdtEndPr/>
        <w:sdtContent>
          <w:tr w:rsidR="00C95855" w14:paraId="7026EB00" w14:textId="77777777" w:rsidTr="00C95855">
            <w:trPr>
              <w:trHeight w:val="165"/>
            </w:trPr>
            <w:tc>
              <w:tcPr>
                <w:tcW w:w="766" w:type="pct"/>
                <w:tcBorders>
                  <w:bottom w:val="single" w:sz="4" w:space="0" w:color="auto"/>
                </w:tcBorders>
                <w:vAlign w:val="center"/>
              </w:tcPr>
              <w:p w14:paraId="661C19DF" w14:textId="77777777" w:rsidR="00C95855" w:rsidRDefault="00C95855" w:rsidP="000442C0">
                <w:pPr>
                  <w:jc w:val="left"/>
                  <w:rPr>
                    <w:szCs w:val="21"/>
                  </w:rPr>
                </w:pPr>
                <w:r>
                  <w:t>设备成本</w:t>
                </w:r>
              </w:p>
            </w:tc>
            <w:tc>
              <w:tcPr>
                <w:tcW w:w="836" w:type="pct"/>
                <w:tcBorders>
                  <w:bottom w:val="single" w:sz="4" w:space="0" w:color="auto"/>
                </w:tcBorders>
                <w:vAlign w:val="center"/>
              </w:tcPr>
              <w:p w14:paraId="5F1968D6" w14:textId="77777777" w:rsidR="00C95855" w:rsidRDefault="00C95855" w:rsidP="000442C0">
                <w:pPr>
                  <w:jc w:val="right"/>
                  <w:rPr>
                    <w:szCs w:val="21"/>
                  </w:rPr>
                </w:pPr>
                <w:r>
                  <w:rPr>
                    <w:rFonts w:hint="eastAsia"/>
                  </w:rPr>
                  <w:t>944,587.19</w:t>
                </w:r>
              </w:p>
            </w:tc>
            <w:tc>
              <w:tcPr>
                <w:tcW w:w="644" w:type="pct"/>
                <w:tcBorders>
                  <w:bottom w:val="single" w:sz="4" w:space="0" w:color="auto"/>
                </w:tcBorders>
                <w:vAlign w:val="center"/>
              </w:tcPr>
              <w:p w14:paraId="6CD7B800" w14:textId="77777777" w:rsidR="00C95855" w:rsidRDefault="00C95855" w:rsidP="000442C0">
                <w:pPr>
                  <w:jc w:val="right"/>
                  <w:rPr>
                    <w:szCs w:val="21"/>
                  </w:rPr>
                </w:pPr>
                <w:r>
                  <w:rPr>
                    <w:rFonts w:hint="eastAsia"/>
                  </w:rPr>
                  <w:t>25.68</w:t>
                </w:r>
              </w:p>
            </w:tc>
            <w:tc>
              <w:tcPr>
                <w:tcW w:w="963" w:type="pct"/>
                <w:tcBorders>
                  <w:bottom w:val="single" w:sz="4" w:space="0" w:color="auto"/>
                </w:tcBorders>
                <w:vAlign w:val="center"/>
              </w:tcPr>
              <w:p w14:paraId="2ABAC52C" w14:textId="77777777" w:rsidR="00C95855" w:rsidRDefault="00C95855" w:rsidP="000442C0">
                <w:pPr>
                  <w:jc w:val="right"/>
                  <w:rPr>
                    <w:szCs w:val="21"/>
                  </w:rPr>
                </w:pPr>
                <w:r>
                  <w:rPr>
                    <w:rFonts w:hint="eastAsia"/>
                  </w:rPr>
                  <w:t>989,919.54</w:t>
                </w:r>
              </w:p>
            </w:tc>
            <w:tc>
              <w:tcPr>
                <w:tcW w:w="802" w:type="pct"/>
                <w:tcBorders>
                  <w:bottom w:val="single" w:sz="4" w:space="0" w:color="auto"/>
                </w:tcBorders>
                <w:vAlign w:val="center"/>
              </w:tcPr>
              <w:p w14:paraId="5A2AF57C" w14:textId="77777777" w:rsidR="00C95855" w:rsidRDefault="00C95855" w:rsidP="000442C0">
                <w:pPr>
                  <w:jc w:val="right"/>
                  <w:rPr>
                    <w:szCs w:val="21"/>
                  </w:rPr>
                </w:pPr>
                <w:r>
                  <w:rPr>
                    <w:rFonts w:hint="eastAsia"/>
                  </w:rPr>
                  <w:t>28.09</w:t>
                </w:r>
              </w:p>
            </w:tc>
            <w:tc>
              <w:tcPr>
                <w:tcW w:w="989" w:type="pct"/>
                <w:tcBorders>
                  <w:bottom w:val="single" w:sz="4" w:space="0" w:color="auto"/>
                </w:tcBorders>
                <w:vAlign w:val="center"/>
              </w:tcPr>
              <w:p w14:paraId="3D188158" w14:textId="77777777" w:rsidR="00C95855" w:rsidRDefault="00C95855" w:rsidP="000442C0">
                <w:pPr>
                  <w:jc w:val="right"/>
                  <w:rPr>
                    <w:szCs w:val="21"/>
                  </w:rPr>
                </w:pPr>
                <w:r>
                  <w:rPr>
                    <w:rFonts w:hint="eastAsia"/>
                  </w:rPr>
                  <w:t>-4.58</w:t>
                </w:r>
              </w:p>
            </w:tc>
          </w:tr>
        </w:sdtContent>
      </w:sdt>
      <w:sdt>
        <w:sdtPr>
          <w:rPr>
            <w:rFonts w:ascii="Calibri" w:eastAsiaTheme="minorEastAsia" w:hAnsi="Calibri" w:cstheme="minorBidi"/>
            <w:kern w:val="2"/>
            <w:szCs w:val="21"/>
            <w14:ligatures w14:val="standardContextual"/>
          </w:rPr>
          <w:alias w:val="分产品成本分析"/>
          <w:tag w:val="_TUP_a99457d0ffea4639b6d23dc0f965122f"/>
          <w:id w:val="898323509"/>
          <w:placeholder>
            <w:docPart w:val="AAA142220EC84EE18EA7C64935875335"/>
          </w:placeholder>
        </w:sdtPr>
        <w:sdtEndPr/>
        <w:sdtContent>
          <w:tr w:rsidR="00C95855" w14:paraId="1FADF74D" w14:textId="77777777" w:rsidTr="00C95855">
            <w:trPr>
              <w:trHeight w:val="165"/>
            </w:trPr>
            <w:tc>
              <w:tcPr>
                <w:tcW w:w="766" w:type="pct"/>
                <w:tcBorders>
                  <w:bottom w:val="single" w:sz="4" w:space="0" w:color="auto"/>
                </w:tcBorders>
                <w:vAlign w:val="center"/>
              </w:tcPr>
              <w:p w14:paraId="20125DA2" w14:textId="77777777" w:rsidR="00C95855" w:rsidRDefault="00C95855" w:rsidP="000442C0">
                <w:pPr>
                  <w:jc w:val="left"/>
                  <w:rPr>
                    <w:szCs w:val="21"/>
                  </w:rPr>
                </w:pPr>
                <w:r>
                  <w:t>人工成本</w:t>
                </w:r>
              </w:p>
            </w:tc>
            <w:tc>
              <w:tcPr>
                <w:tcW w:w="836" w:type="pct"/>
                <w:tcBorders>
                  <w:bottom w:val="single" w:sz="4" w:space="0" w:color="auto"/>
                </w:tcBorders>
                <w:vAlign w:val="center"/>
              </w:tcPr>
              <w:p w14:paraId="7B9EC26D" w14:textId="77777777" w:rsidR="00C95855" w:rsidRDefault="00C95855" w:rsidP="000442C0">
                <w:pPr>
                  <w:jc w:val="right"/>
                  <w:rPr>
                    <w:szCs w:val="21"/>
                  </w:rPr>
                </w:pPr>
                <w:r>
                  <w:rPr>
                    <w:rFonts w:hint="eastAsia"/>
                  </w:rPr>
                  <w:t>180,281.77</w:t>
                </w:r>
              </w:p>
            </w:tc>
            <w:tc>
              <w:tcPr>
                <w:tcW w:w="644" w:type="pct"/>
                <w:tcBorders>
                  <w:bottom w:val="single" w:sz="4" w:space="0" w:color="auto"/>
                </w:tcBorders>
                <w:vAlign w:val="center"/>
              </w:tcPr>
              <w:p w14:paraId="1495C0BE" w14:textId="77777777" w:rsidR="00C95855" w:rsidRDefault="00C95855" w:rsidP="000442C0">
                <w:pPr>
                  <w:jc w:val="right"/>
                  <w:rPr>
                    <w:szCs w:val="21"/>
                  </w:rPr>
                </w:pPr>
                <w:r>
                  <w:rPr>
                    <w:rFonts w:hint="eastAsia"/>
                  </w:rPr>
                  <w:t>4.90</w:t>
                </w:r>
              </w:p>
            </w:tc>
            <w:tc>
              <w:tcPr>
                <w:tcW w:w="963" w:type="pct"/>
                <w:tcBorders>
                  <w:bottom w:val="single" w:sz="4" w:space="0" w:color="auto"/>
                </w:tcBorders>
                <w:vAlign w:val="center"/>
              </w:tcPr>
              <w:p w14:paraId="500FF74A" w14:textId="77777777" w:rsidR="00C95855" w:rsidRDefault="00C95855" w:rsidP="000442C0">
                <w:pPr>
                  <w:jc w:val="right"/>
                  <w:rPr>
                    <w:szCs w:val="21"/>
                  </w:rPr>
                </w:pPr>
                <w:r>
                  <w:rPr>
                    <w:rFonts w:hint="eastAsia"/>
                  </w:rPr>
                  <w:t>164,065.9</w:t>
                </w:r>
                <w:r w:rsidR="00F3683B">
                  <w:rPr>
                    <w:rFonts w:hint="eastAsia"/>
                  </w:rPr>
                  <w:t>0</w:t>
                </w:r>
              </w:p>
            </w:tc>
            <w:tc>
              <w:tcPr>
                <w:tcW w:w="802" w:type="pct"/>
                <w:tcBorders>
                  <w:bottom w:val="single" w:sz="4" w:space="0" w:color="auto"/>
                </w:tcBorders>
                <w:vAlign w:val="center"/>
              </w:tcPr>
              <w:p w14:paraId="0F8EA98D" w14:textId="77777777" w:rsidR="00C95855" w:rsidRDefault="00C95855" w:rsidP="000442C0">
                <w:pPr>
                  <w:jc w:val="right"/>
                  <w:rPr>
                    <w:szCs w:val="21"/>
                  </w:rPr>
                </w:pPr>
                <w:r>
                  <w:rPr>
                    <w:rFonts w:hint="eastAsia"/>
                  </w:rPr>
                  <w:t>4.66</w:t>
                </w:r>
              </w:p>
            </w:tc>
            <w:tc>
              <w:tcPr>
                <w:tcW w:w="989" w:type="pct"/>
                <w:tcBorders>
                  <w:bottom w:val="single" w:sz="4" w:space="0" w:color="auto"/>
                </w:tcBorders>
                <w:vAlign w:val="center"/>
              </w:tcPr>
              <w:p w14:paraId="6F0B4DA0" w14:textId="77777777" w:rsidR="00C95855" w:rsidRDefault="00C95855" w:rsidP="000442C0">
                <w:pPr>
                  <w:jc w:val="right"/>
                  <w:rPr>
                    <w:szCs w:val="21"/>
                  </w:rPr>
                </w:pPr>
                <w:r>
                  <w:rPr>
                    <w:rFonts w:hint="eastAsia"/>
                  </w:rPr>
                  <w:t>9.88</w:t>
                </w:r>
              </w:p>
            </w:tc>
          </w:tr>
        </w:sdtContent>
      </w:sdt>
      <w:sdt>
        <w:sdtPr>
          <w:rPr>
            <w:rFonts w:ascii="Calibri" w:eastAsiaTheme="minorEastAsia" w:hAnsi="Calibri" w:cstheme="minorBidi"/>
            <w:kern w:val="2"/>
            <w:szCs w:val="21"/>
            <w14:ligatures w14:val="standardContextual"/>
          </w:rPr>
          <w:alias w:val="分产品成本分析"/>
          <w:tag w:val="_TUP_a99457d0ffea4639b6d23dc0f965122f"/>
          <w:id w:val="312991498"/>
          <w:placeholder>
            <w:docPart w:val="AAA142220EC84EE18EA7C64935875335"/>
          </w:placeholder>
        </w:sdtPr>
        <w:sdtEndPr/>
        <w:sdtContent>
          <w:tr w:rsidR="00C95855" w14:paraId="56CC8AF6" w14:textId="77777777" w:rsidTr="00C95855">
            <w:trPr>
              <w:trHeight w:val="165"/>
            </w:trPr>
            <w:tc>
              <w:tcPr>
                <w:tcW w:w="766" w:type="pct"/>
                <w:tcBorders>
                  <w:bottom w:val="single" w:sz="4" w:space="0" w:color="auto"/>
                </w:tcBorders>
                <w:vAlign w:val="center"/>
              </w:tcPr>
              <w:p w14:paraId="6FF50855" w14:textId="77777777" w:rsidR="00C95855" w:rsidRDefault="00C95855" w:rsidP="000442C0">
                <w:pPr>
                  <w:jc w:val="left"/>
                  <w:rPr>
                    <w:szCs w:val="21"/>
                  </w:rPr>
                </w:pPr>
                <w:r>
                  <w:t>其他成本</w:t>
                </w:r>
              </w:p>
            </w:tc>
            <w:tc>
              <w:tcPr>
                <w:tcW w:w="836" w:type="pct"/>
                <w:tcBorders>
                  <w:bottom w:val="single" w:sz="4" w:space="0" w:color="auto"/>
                </w:tcBorders>
                <w:vAlign w:val="center"/>
              </w:tcPr>
              <w:p w14:paraId="264D8A09" w14:textId="77777777" w:rsidR="00C95855" w:rsidRDefault="00C95855" w:rsidP="000442C0">
                <w:pPr>
                  <w:jc w:val="right"/>
                  <w:rPr>
                    <w:szCs w:val="21"/>
                  </w:rPr>
                </w:pPr>
                <w:r>
                  <w:rPr>
                    <w:rFonts w:hint="eastAsia"/>
                  </w:rPr>
                  <w:t>398,678.01</w:t>
                </w:r>
              </w:p>
            </w:tc>
            <w:tc>
              <w:tcPr>
                <w:tcW w:w="644" w:type="pct"/>
                <w:tcBorders>
                  <w:bottom w:val="single" w:sz="4" w:space="0" w:color="auto"/>
                </w:tcBorders>
                <w:vAlign w:val="center"/>
              </w:tcPr>
              <w:p w14:paraId="07B53724" w14:textId="77777777" w:rsidR="00C95855" w:rsidRDefault="00C95855" w:rsidP="000442C0">
                <w:pPr>
                  <w:jc w:val="right"/>
                  <w:rPr>
                    <w:szCs w:val="21"/>
                  </w:rPr>
                </w:pPr>
                <w:r>
                  <w:rPr>
                    <w:rFonts w:hint="eastAsia"/>
                  </w:rPr>
                  <w:t>10.84</w:t>
                </w:r>
              </w:p>
            </w:tc>
            <w:tc>
              <w:tcPr>
                <w:tcW w:w="963" w:type="pct"/>
                <w:tcBorders>
                  <w:bottom w:val="single" w:sz="4" w:space="0" w:color="auto"/>
                </w:tcBorders>
                <w:vAlign w:val="center"/>
              </w:tcPr>
              <w:p w14:paraId="4E111893" w14:textId="77777777" w:rsidR="00C95855" w:rsidRDefault="00C95855" w:rsidP="000442C0">
                <w:pPr>
                  <w:jc w:val="right"/>
                  <w:rPr>
                    <w:szCs w:val="21"/>
                  </w:rPr>
                </w:pPr>
                <w:r>
                  <w:rPr>
                    <w:rFonts w:hint="eastAsia"/>
                  </w:rPr>
                  <w:t>385,798.3</w:t>
                </w:r>
                <w:r w:rsidR="00F3683B">
                  <w:rPr>
                    <w:rFonts w:hint="eastAsia"/>
                  </w:rPr>
                  <w:t>0</w:t>
                </w:r>
              </w:p>
            </w:tc>
            <w:tc>
              <w:tcPr>
                <w:tcW w:w="802" w:type="pct"/>
                <w:tcBorders>
                  <w:bottom w:val="single" w:sz="4" w:space="0" w:color="auto"/>
                </w:tcBorders>
                <w:vAlign w:val="center"/>
              </w:tcPr>
              <w:p w14:paraId="00E89799" w14:textId="77777777" w:rsidR="00C95855" w:rsidRDefault="00C95855" w:rsidP="000442C0">
                <w:pPr>
                  <w:jc w:val="right"/>
                  <w:rPr>
                    <w:szCs w:val="21"/>
                  </w:rPr>
                </w:pPr>
                <w:r>
                  <w:rPr>
                    <w:rFonts w:hint="eastAsia"/>
                  </w:rPr>
                  <w:t>10.95</w:t>
                </w:r>
              </w:p>
            </w:tc>
            <w:tc>
              <w:tcPr>
                <w:tcW w:w="989" w:type="pct"/>
                <w:tcBorders>
                  <w:bottom w:val="single" w:sz="4" w:space="0" w:color="auto"/>
                </w:tcBorders>
                <w:vAlign w:val="center"/>
              </w:tcPr>
              <w:p w14:paraId="760C740A" w14:textId="77777777" w:rsidR="00C95855" w:rsidRDefault="00C95855" w:rsidP="000442C0">
                <w:pPr>
                  <w:jc w:val="right"/>
                  <w:rPr>
                    <w:szCs w:val="21"/>
                  </w:rPr>
                </w:pPr>
                <w:r>
                  <w:rPr>
                    <w:rFonts w:hint="eastAsia"/>
                  </w:rPr>
                  <w:t>3.34</w:t>
                </w:r>
              </w:p>
            </w:tc>
          </w:tr>
        </w:sdtContent>
      </w:sdt>
      <w:sdt>
        <w:sdtPr>
          <w:rPr>
            <w:rFonts w:ascii="Calibri" w:eastAsiaTheme="minorEastAsia" w:hAnsi="Calibri" w:cstheme="minorBidi"/>
            <w:kern w:val="2"/>
            <w:szCs w:val="21"/>
            <w14:ligatures w14:val="standardContextual"/>
          </w:rPr>
          <w:alias w:val="分产品成本分析"/>
          <w:tag w:val="_TUP_a99457d0ffea4639b6d23dc0f965122f"/>
          <w:id w:val="1773195232"/>
          <w:placeholder>
            <w:docPart w:val="AAA142220EC84EE18EA7C64935875335"/>
          </w:placeholder>
        </w:sdtPr>
        <w:sdtEndPr/>
        <w:sdtContent>
          <w:tr w:rsidR="00C95855" w14:paraId="6F177786" w14:textId="77777777" w:rsidTr="00C95855">
            <w:trPr>
              <w:trHeight w:val="165"/>
            </w:trPr>
            <w:tc>
              <w:tcPr>
                <w:tcW w:w="766" w:type="pct"/>
                <w:tcBorders>
                  <w:bottom w:val="single" w:sz="4" w:space="0" w:color="auto"/>
                </w:tcBorders>
              </w:tcPr>
              <w:p w14:paraId="7FFBD0F6" w14:textId="77777777" w:rsidR="00C95855" w:rsidRDefault="00C95855" w:rsidP="000442C0">
                <w:pPr>
                  <w:jc w:val="left"/>
                  <w:rPr>
                    <w:szCs w:val="21"/>
                  </w:rPr>
                </w:pPr>
                <w:r>
                  <w:rPr>
                    <w:rFonts w:hint="eastAsia"/>
                    <w:szCs w:val="21"/>
                  </w:rPr>
                  <w:t>合计</w:t>
                </w:r>
              </w:p>
            </w:tc>
            <w:tc>
              <w:tcPr>
                <w:tcW w:w="836" w:type="pct"/>
                <w:tcBorders>
                  <w:bottom w:val="single" w:sz="4" w:space="0" w:color="auto"/>
                </w:tcBorders>
                <w:vAlign w:val="center"/>
              </w:tcPr>
              <w:p w14:paraId="7A8C6626" w14:textId="77777777" w:rsidR="00C95855" w:rsidRDefault="00C95855" w:rsidP="000442C0">
                <w:pPr>
                  <w:jc w:val="right"/>
                  <w:rPr>
                    <w:szCs w:val="21"/>
                  </w:rPr>
                </w:pPr>
                <w:r>
                  <w:rPr>
                    <w:rFonts w:hint="eastAsia"/>
                  </w:rPr>
                  <w:t>3,678,878.44</w:t>
                </w:r>
              </w:p>
            </w:tc>
            <w:tc>
              <w:tcPr>
                <w:tcW w:w="644" w:type="pct"/>
                <w:tcBorders>
                  <w:bottom w:val="single" w:sz="4" w:space="0" w:color="auto"/>
                </w:tcBorders>
                <w:vAlign w:val="center"/>
              </w:tcPr>
              <w:p w14:paraId="7737B883" w14:textId="77777777" w:rsidR="00C95855" w:rsidRDefault="00C95855" w:rsidP="000442C0">
                <w:pPr>
                  <w:jc w:val="right"/>
                  <w:rPr>
                    <w:szCs w:val="21"/>
                  </w:rPr>
                </w:pPr>
                <w:r>
                  <w:rPr>
                    <w:rFonts w:hint="eastAsia"/>
                  </w:rPr>
                  <w:t>100.00</w:t>
                </w:r>
              </w:p>
            </w:tc>
            <w:tc>
              <w:tcPr>
                <w:tcW w:w="963" w:type="pct"/>
                <w:tcBorders>
                  <w:bottom w:val="single" w:sz="4" w:space="0" w:color="auto"/>
                </w:tcBorders>
                <w:vAlign w:val="center"/>
              </w:tcPr>
              <w:p w14:paraId="2FAE6B68" w14:textId="77777777" w:rsidR="00C95855" w:rsidRDefault="00C95855" w:rsidP="000442C0">
                <w:pPr>
                  <w:jc w:val="right"/>
                  <w:rPr>
                    <w:szCs w:val="21"/>
                  </w:rPr>
                </w:pPr>
                <w:r>
                  <w:rPr>
                    <w:rFonts w:hint="eastAsia"/>
                  </w:rPr>
                  <w:t>3,524,419.57</w:t>
                </w:r>
              </w:p>
            </w:tc>
            <w:tc>
              <w:tcPr>
                <w:tcW w:w="802" w:type="pct"/>
                <w:tcBorders>
                  <w:bottom w:val="single" w:sz="4" w:space="0" w:color="auto"/>
                </w:tcBorders>
                <w:vAlign w:val="center"/>
              </w:tcPr>
              <w:p w14:paraId="515B4B53" w14:textId="77777777" w:rsidR="00C95855" w:rsidRDefault="00C95855" w:rsidP="000442C0">
                <w:pPr>
                  <w:jc w:val="right"/>
                  <w:rPr>
                    <w:szCs w:val="21"/>
                  </w:rPr>
                </w:pPr>
                <w:r>
                  <w:rPr>
                    <w:rFonts w:hint="eastAsia"/>
                  </w:rPr>
                  <w:t>100.00</w:t>
                </w:r>
              </w:p>
            </w:tc>
            <w:tc>
              <w:tcPr>
                <w:tcW w:w="989" w:type="pct"/>
                <w:tcBorders>
                  <w:bottom w:val="single" w:sz="4" w:space="0" w:color="auto"/>
                </w:tcBorders>
                <w:vAlign w:val="center"/>
              </w:tcPr>
              <w:p w14:paraId="36658120" w14:textId="77777777" w:rsidR="00C95855" w:rsidRDefault="00C95855" w:rsidP="000442C0">
                <w:pPr>
                  <w:jc w:val="right"/>
                  <w:rPr>
                    <w:szCs w:val="21"/>
                  </w:rPr>
                </w:pPr>
                <w:r>
                  <w:rPr>
                    <w:rFonts w:hint="eastAsia"/>
                  </w:rPr>
                  <w:t>4.38</w:t>
                </w:r>
              </w:p>
            </w:tc>
          </w:tr>
        </w:sdtContent>
      </w:sdt>
    </w:tbl>
    <w:p w14:paraId="725133C8" w14:textId="77777777" w:rsidR="00C95855" w:rsidRDefault="00C95855"/>
    <w:p w14:paraId="303C7346" w14:textId="77777777" w:rsidR="00E57DAA" w:rsidRDefault="00AC4185">
      <w:pPr>
        <w:pStyle w:val="5"/>
        <w:numPr>
          <w:ilvl w:val="0"/>
          <w:numId w:val="11"/>
        </w:numPr>
        <w:tabs>
          <w:tab w:val="left" w:pos="567"/>
        </w:tabs>
        <w:ind w:left="105" w:firstLine="0"/>
        <w:rPr>
          <w:szCs w:val="21"/>
        </w:rPr>
      </w:pPr>
      <w:r>
        <w:rPr>
          <w:szCs w:val="21"/>
        </w:rPr>
        <w:t>报告期</w:t>
      </w:r>
      <w:r>
        <w:t>主要子公司股权变动导致合并范围变化</w:t>
      </w:r>
    </w:p>
    <w:bookmarkStart w:id="55" w:name="_Hlk89876513" w:displacedByCustomXml="next"/>
    <w:sdt>
      <w:sdtPr>
        <w:alias w:val="是否适用：报告期主要子公司股权变动导致合并范围变化 [双击切换]"/>
        <w:tag w:val="_GBC_f684be8377fd464e8fc7d9a0e6df7b78"/>
        <w:id w:val="-1836834993"/>
        <w:placeholder>
          <w:docPart w:val="GBC22222222222222222222222222222"/>
        </w:placeholder>
      </w:sdtPr>
      <w:sdtEndPr/>
      <w:sdtContent>
        <w:p w14:paraId="1A1F0266" w14:textId="77777777" w:rsidR="00E57DAA" w:rsidRDefault="00AC4185">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ABBED9" w14:textId="77777777" w:rsidR="00E57DAA" w:rsidRDefault="00E57DAA" w:rsidP="00C25422">
      <w:pPr>
        <w:pStyle w:val="92"/>
      </w:pPr>
    </w:p>
    <w:p w14:paraId="01C562BA" w14:textId="77777777" w:rsidR="00E57DAA" w:rsidRDefault="00AC4185">
      <w:pPr>
        <w:pStyle w:val="5"/>
        <w:numPr>
          <w:ilvl w:val="0"/>
          <w:numId w:val="11"/>
        </w:numPr>
        <w:tabs>
          <w:tab w:val="left" w:pos="567"/>
        </w:tabs>
        <w:ind w:left="105"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1560662855"/>
        <w:placeholder>
          <w:docPart w:val="GBC22222222222222222222222222222"/>
        </w:placeholder>
      </w:sdtPr>
      <w:sdtEndPr/>
      <w:sdtContent>
        <w:p w14:paraId="0C692F86" w14:textId="77777777" w:rsidR="00E57DAA" w:rsidRDefault="00AC4185">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50D2C4" w14:textId="77777777" w:rsidR="00E57DAA" w:rsidRDefault="00E57DAA">
      <w:pPr>
        <w:rPr>
          <w:szCs w:val="21"/>
        </w:rPr>
      </w:pPr>
    </w:p>
    <w:bookmarkEnd w:id="55"/>
    <w:p w14:paraId="49B284AE" w14:textId="77777777" w:rsidR="00E57DAA" w:rsidRDefault="00AC4185">
      <w:pPr>
        <w:pStyle w:val="5"/>
        <w:numPr>
          <w:ilvl w:val="0"/>
          <w:numId w:val="11"/>
        </w:numPr>
        <w:tabs>
          <w:tab w:val="left" w:pos="567"/>
        </w:tabs>
        <w:ind w:left="105" w:firstLine="0"/>
        <w:rPr>
          <w:szCs w:val="21"/>
        </w:rPr>
      </w:pPr>
      <w:r>
        <w:rPr>
          <w:szCs w:val="21"/>
        </w:rPr>
        <w:t>主要销售客户及主要供应商情况</w:t>
      </w:r>
    </w:p>
    <w:p w14:paraId="6098EFCF" w14:textId="77777777" w:rsidR="00E57DAA" w:rsidRDefault="00AC4185">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1140421665"/>
        <w:lock w:val="contentLocked"/>
        <w:placeholder>
          <w:docPart w:val="GBC22222222222222222222222222222"/>
        </w:placeholder>
      </w:sdtPr>
      <w:sdtEndPr/>
      <w:sdtContent>
        <w:p w14:paraId="6634C7E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E6558B" w14:textId="77777777" w:rsidR="00E57DAA" w:rsidRDefault="00AC4185">
      <w:pPr>
        <w:rPr>
          <w:szCs w:val="21"/>
        </w:rPr>
      </w:pPr>
      <w:r>
        <w:rPr>
          <w:rFonts w:hint="eastAsia"/>
          <w:szCs w:val="21"/>
        </w:rPr>
        <w:lastRenderedPageBreak/>
        <w:t>前五名客户销售额</w:t>
      </w:r>
      <w:sdt>
        <w:sdtPr>
          <w:rPr>
            <w:rFonts w:hint="eastAsia"/>
            <w:szCs w:val="21"/>
          </w:rPr>
          <w:alias w:val="前五名客户销售额"/>
          <w:tag w:val="_GBC_e497000fdfbc4e548555b7f8ddf9780c"/>
          <w:id w:val="-420020171"/>
          <w:placeholder>
            <w:docPart w:val="GBC22222222222222222222222222222"/>
          </w:placeholder>
        </w:sdtPr>
        <w:sdtEndPr/>
        <w:sdtContent>
          <w:sdt>
            <w:sdtPr>
              <w:rPr>
                <w:rFonts w:hint="eastAsia"/>
                <w:szCs w:val="21"/>
              </w:rPr>
              <w:alias w:val="前五名客户销售额"/>
              <w:tag w:val="_GBC_e497000fdfbc4e548555b7f8ddf9780c"/>
              <w:id w:val="1010727265"/>
              <w:placeholder>
                <w:docPart w:val="{38f4bc27-8bf8-40ad-9dde-4d6ea23c4e88}"/>
              </w:placeholder>
            </w:sdtPr>
            <w:sdtEndPr/>
            <w:sdtContent>
              <w:r>
                <w:rPr>
                  <w:szCs w:val="21"/>
                </w:rPr>
                <w:t>524,435.78</w:t>
              </w:r>
            </w:sdtContent>
          </w:sdt>
        </w:sdtContent>
      </w:sdt>
      <w:sdt>
        <w:sdtPr>
          <w:rPr>
            <w:rFonts w:hint="eastAsia"/>
            <w:szCs w:val="21"/>
          </w:rPr>
          <w:alias w:val="单位：前五名客户销售额"/>
          <w:tag w:val="_GBC_4bd6620b209a4bae8dc3404e8b89ea35"/>
          <w:id w:val="8469836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479985432"/>
          <w:placeholder>
            <w:docPart w:val="GBC22222222222222222222222222222"/>
          </w:placeholder>
        </w:sdtPr>
        <w:sdtEndPr/>
        <w:sdtContent>
          <w:sdt>
            <w:sdtPr>
              <w:rPr>
                <w:szCs w:val="21"/>
              </w:rPr>
              <w:alias w:val="前五名客户销售额占年度销售总额比例"/>
              <w:tag w:val="_GBC_68b3c8b493d04b6c9db16e7e475d7b35"/>
              <w:id w:val="2097902887"/>
              <w:placeholder>
                <w:docPart w:val="{d34b702b-4140-4239-8c3b-11c3696c500b}"/>
              </w:placeholder>
            </w:sdtPr>
            <w:sdtEndPr/>
            <w:sdtContent>
              <w:r>
                <w:rPr>
                  <w:szCs w:val="21"/>
                </w:rPr>
                <w:t>11.45</w:t>
              </w:r>
            </w:sdtContent>
          </w:sdt>
        </w:sdtContent>
      </w:sdt>
      <w:r>
        <w:rPr>
          <w:szCs w:val="21"/>
        </w:rPr>
        <w:t>%；其中前五名客户销售额中关联方销售额</w:t>
      </w:r>
      <w:sdt>
        <w:sdtPr>
          <w:rPr>
            <w:szCs w:val="21"/>
          </w:rPr>
          <w:alias w:val="前五名客户销售额中关联方销售额"/>
          <w:tag w:val="_GBC_bfa0971257a44f65996f01cfb0497b07"/>
          <w:id w:val="-989171158"/>
          <w:placeholder>
            <w:docPart w:val="GBC22222222222222222222222222222"/>
          </w:placeholder>
        </w:sdtPr>
        <w:sdtEndPr/>
        <w:sdtContent>
          <w:r>
            <w:rPr>
              <w:rFonts w:hint="eastAsia"/>
              <w:szCs w:val="21"/>
            </w:rPr>
            <w:t>0</w:t>
          </w:r>
        </w:sdtContent>
      </w:sdt>
      <w:sdt>
        <w:sdtPr>
          <w:rPr>
            <w:szCs w:val="21"/>
          </w:rPr>
          <w:alias w:val="单位：前五名客户销售额中关联方销售额"/>
          <w:tag w:val="_GBC_f3c03afc93a5429f9fa45fc25f9018ab"/>
          <w:id w:val="2608046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253273638"/>
          <w:placeholder>
            <w:docPart w:val="GBC22222222222222222222222222222"/>
          </w:placeholder>
        </w:sdtPr>
        <w:sdtEndPr/>
        <w:sdtContent>
          <w:r>
            <w:rPr>
              <w:rFonts w:hint="eastAsia"/>
              <w:szCs w:val="21"/>
            </w:rPr>
            <w:t>0</w:t>
          </w:r>
        </w:sdtContent>
      </w:sdt>
      <w:r>
        <w:rPr>
          <w:szCs w:val="21"/>
        </w:rPr>
        <w:t xml:space="preserve"> %。</w:t>
      </w:r>
    </w:p>
    <w:p w14:paraId="4C6C80CC" w14:textId="77777777" w:rsidR="00E57DAA" w:rsidRDefault="00E57DAA">
      <w:pPr>
        <w:rPr>
          <w:szCs w:val="21"/>
        </w:rPr>
      </w:pPr>
    </w:p>
    <w:p w14:paraId="79960100" w14:textId="77777777" w:rsidR="00E57DAA" w:rsidRDefault="00AC4185" w:rsidP="00C25422">
      <w:pPr>
        <w:pStyle w:val="92"/>
      </w:pPr>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0994483"/>
        <w:placeholder>
          <w:docPart w:val="GBC22222222222222222222222222222"/>
        </w:placeholder>
      </w:sdtPr>
      <w:sdtEndPr/>
      <w:sdtContent>
        <w:p w14:paraId="0AB1569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547104" w14:textId="77777777" w:rsidR="00E57DAA" w:rsidRDefault="00E57DAA">
      <w:pPr>
        <w:rPr>
          <w:szCs w:val="21"/>
        </w:rPr>
      </w:pPr>
    </w:p>
    <w:p w14:paraId="52809832" w14:textId="77777777" w:rsidR="00E57DAA" w:rsidRDefault="00AC4185">
      <w:pPr>
        <w:rPr>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405525382"/>
        <w:lock w:val="contentLocked"/>
        <w:placeholder>
          <w:docPart w:val="GBC22222222222222222222222222222"/>
        </w:placeholder>
      </w:sdtPr>
      <w:sdtEndPr/>
      <w:sdtContent>
        <w:p w14:paraId="2A5B85A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2399E3" w14:textId="77777777" w:rsidR="00E57DAA" w:rsidRDefault="00AC4185" w:rsidP="00C25422">
      <w:pPr>
        <w:pStyle w:val="92"/>
      </w:pPr>
      <w:r>
        <w:rPr>
          <w:rFonts w:hint="eastAsia"/>
        </w:rPr>
        <w:t>前五名供应商采购额</w:t>
      </w:r>
      <w:sdt>
        <w:sdtPr>
          <w:rPr>
            <w:rFonts w:hint="eastAsia"/>
          </w:rPr>
          <w:alias w:val="前五名供应商采购额"/>
          <w:tag w:val="_GBC_4552254972a04ec6983b359a0f18d4bf"/>
          <w:id w:val="-865682637"/>
          <w:placeholder>
            <w:docPart w:val="GBC22222222222222222222222222222"/>
          </w:placeholder>
        </w:sdtPr>
        <w:sdtEndPr/>
        <w:sdtContent>
          <w:sdt>
            <w:sdtPr>
              <w:rPr>
                <w:rFonts w:hint="eastAsia"/>
              </w:rPr>
              <w:alias w:val="前五名供应商采购额"/>
              <w:tag w:val="_GBC_4552254972a04ec6983b359a0f18d4bf"/>
              <w:id w:val="-1980762090"/>
              <w:placeholder>
                <w:docPart w:val="{deefd0b8-ecea-4de2-afa5-07a37dc5fbf2}"/>
              </w:placeholder>
            </w:sdtPr>
            <w:sdtEndPr/>
            <w:sdtContent>
              <w:r>
                <w:t>89,651.55</w:t>
              </w:r>
            </w:sdtContent>
          </w:sdt>
        </w:sdtContent>
      </w:sdt>
      <w:sdt>
        <w:sdtPr>
          <w:rPr>
            <w:rFonts w:hint="eastAsia"/>
          </w:rPr>
          <w:alias w:val="单位：前五名供应商采购额"/>
          <w:tag w:val="_GBC_418fcbdb1c1a4643afb7cce014bdeca2"/>
          <w:id w:val="-3221234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t>，占年度采购总额</w:t>
      </w:r>
      <w:sdt>
        <w:sdtPr>
          <w:alias w:val="前五名供应商采购额占年度采购总额比例"/>
          <w:tag w:val="_GBC_f32c49f691154cc4b6ba587f4a582958"/>
          <w:id w:val="-170728466"/>
          <w:placeholder>
            <w:docPart w:val="GBC22222222222222222222222222222"/>
          </w:placeholder>
        </w:sdtPr>
        <w:sdtEndPr/>
        <w:sdtContent>
          <w:sdt>
            <w:sdtPr>
              <w:alias w:val="前五名供应商采购额占年度采购总额比例"/>
              <w:tag w:val="_GBC_f32c49f691154cc4b6ba587f4a582958"/>
              <w:id w:val="-966351999"/>
              <w:placeholder>
                <w:docPart w:val="{68a83ef8-4d81-41bb-9b52-5fbbb6093632}"/>
              </w:placeholder>
            </w:sdtPr>
            <w:sdtEndPr/>
            <w:sdtContent>
              <w:r>
                <w:rPr>
                  <w:rFonts w:hint="eastAsia"/>
                </w:rPr>
                <w:t>2.43</w:t>
              </w:r>
            </w:sdtContent>
          </w:sdt>
        </w:sdtContent>
      </w:sdt>
      <w:r>
        <w:t>%；其中前五名供应商采购额中关联方采购额</w:t>
      </w:r>
      <w:sdt>
        <w:sdtPr>
          <w:alias w:val="前五名供应商采购额中关联方采购额"/>
          <w:tag w:val="_GBC_b4791060802442e186017fdd5f31805a"/>
          <w:id w:val="-1684269372"/>
          <w:placeholder>
            <w:docPart w:val="GBC22222222222222222222222222222"/>
          </w:placeholder>
        </w:sdtPr>
        <w:sdtEndPr/>
        <w:sdtContent>
          <w:r>
            <w:rPr>
              <w:rFonts w:hint="eastAsia"/>
            </w:rPr>
            <w:t>0</w:t>
          </w:r>
        </w:sdtContent>
      </w:sdt>
      <w:sdt>
        <w:sdtPr>
          <w:alias w:val="单位：前五名供应商采购额中关联方采购额"/>
          <w:tag w:val="_GBC_bac6c3f63a9a4b0db685f5ee8e883818"/>
          <w:id w:val="-17053964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万元</w:t>
          </w:r>
        </w:sdtContent>
      </w:sdt>
      <w:r>
        <w:t>，占年度采购总额</w:t>
      </w:r>
      <w:sdt>
        <w:sdtPr>
          <w:alias w:val="前五名供应商采购额中关联方采购额占年度采购总额比例"/>
          <w:tag w:val="_GBC_41b2f0a67a5743e1a4ccf8f427eec0a3"/>
          <w:id w:val="148095354"/>
          <w:placeholder>
            <w:docPart w:val="GBC22222222222222222222222222222"/>
          </w:placeholder>
        </w:sdtPr>
        <w:sdtEndPr/>
        <w:sdtContent>
          <w:r>
            <w:rPr>
              <w:rFonts w:hint="eastAsia"/>
            </w:rPr>
            <w:t>0</w:t>
          </w:r>
        </w:sdtContent>
      </w:sdt>
      <w:r>
        <w:rPr>
          <w:rFonts w:hint="eastAsia"/>
        </w:rPr>
        <w:t>%。</w:t>
      </w:r>
    </w:p>
    <w:p w14:paraId="34D345C0" w14:textId="77777777" w:rsidR="00E57DAA" w:rsidRDefault="00E57DAA">
      <w:pPr>
        <w:rPr>
          <w:szCs w:val="21"/>
        </w:rPr>
      </w:pPr>
    </w:p>
    <w:p w14:paraId="282797A4" w14:textId="77777777" w:rsidR="00E57DAA" w:rsidRDefault="00AC4185" w:rsidP="00C25422">
      <w:pPr>
        <w:pStyle w:val="92"/>
      </w:pP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878311339"/>
        <w:placeholder>
          <w:docPart w:val="GBC22222222222222222222222222222"/>
        </w:placeholder>
      </w:sdtPr>
      <w:sdtEndPr/>
      <w:sdtContent>
        <w:p w14:paraId="11F12D9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6EF0D7" w14:textId="77777777" w:rsidR="00E57DAA" w:rsidRDefault="00E57DAA">
      <w:pPr>
        <w:rPr>
          <w:szCs w:val="21"/>
        </w:rPr>
      </w:pPr>
    </w:p>
    <w:p w14:paraId="771A5306" w14:textId="77777777" w:rsidR="00E57DAA" w:rsidRDefault="00AC4185">
      <w:pPr>
        <w:pStyle w:val="4"/>
        <w:numPr>
          <w:ilvl w:val="0"/>
          <w:numId w:val="10"/>
        </w:numPr>
      </w:pPr>
      <w:r>
        <w:rPr>
          <w:rFonts w:hint="eastAsia"/>
        </w:rPr>
        <w:t>费用</w:t>
      </w:r>
    </w:p>
    <w:sdt>
      <w:sdtPr>
        <w:alias w:val="是否适用：费用[双击切换]"/>
        <w:tag w:val="_GBC_fa9cd5e43a8f426c8b793a737190d8db"/>
        <w:id w:val="-591309573"/>
        <w:placeholder>
          <w:docPart w:val="GBC22222222222222222222222222222"/>
        </w:placeholder>
      </w:sdtPr>
      <w:sdtEndPr/>
      <w:sdtContent>
        <w:p w14:paraId="47F0152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2064712573"/>
        <w:placeholder>
          <w:docPart w:val="GBC22222222222222222222222222222"/>
        </w:placeholder>
      </w:sdtPr>
      <w:sdtEndPr/>
      <w:sdtContent>
        <w:p w14:paraId="60692CE6" w14:textId="77777777" w:rsidR="00E57DAA" w:rsidRDefault="00AC4185">
          <w:pPr>
            <w:ind w:firstLineChars="3700" w:firstLine="7770"/>
            <w:rPr>
              <w:szCs w:val="21"/>
            </w:rPr>
          </w:pPr>
          <w:r>
            <w:rPr>
              <w:rFonts w:hint="eastAsia"/>
              <w:szCs w:val="21"/>
            </w:rPr>
            <w:t>单位：万元</w:t>
          </w:r>
        </w:p>
        <w:tbl>
          <w:tblPr>
            <w:tblStyle w:val="aff6"/>
            <w:tblW w:w="0" w:type="auto"/>
            <w:tblLook w:val="04A0" w:firstRow="1" w:lastRow="0" w:firstColumn="1" w:lastColumn="0" w:noHBand="0" w:noVBand="1"/>
          </w:tblPr>
          <w:tblGrid>
            <w:gridCol w:w="2205"/>
            <w:gridCol w:w="2206"/>
            <w:gridCol w:w="2206"/>
            <w:gridCol w:w="2206"/>
          </w:tblGrid>
          <w:tr w:rsidR="00E57DAA" w14:paraId="11E249CA" w14:textId="77777777">
            <w:tc>
              <w:tcPr>
                <w:tcW w:w="2205" w:type="dxa"/>
              </w:tcPr>
              <w:p w14:paraId="3DEC4D52" w14:textId="77777777" w:rsidR="00E57DAA" w:rsidRDefault="00AC4185" w:rsidP="00C25422">
                <w:pPr>
                  <w:pStyle w:val="92"/>
                </w:pPr>
                <w:r>
                  <w:t>科目</w:t>
                </w:r>
              </w:p>
            </w:tc>
            <w:tc>
              <w:tcPr>
                <w:tcW w:w="2206" w:type="dxa"/>
              </w:tcPr>
              <w:p w14:paraId="2D5F0D7E" w14:textId="77777777" w:rsidR="00E57DAA" w:rsidRDefault="00AC4185" w:rsidP="00C25422">
                <w:pPr>
                  <w:pStyle w:val="92"/>
                </w:pPr>
                <w:r>
                  <w:t>本期数</w:t>
                </w:r>
              </w:p>
            </w:tc>
            <w:tc>
              <w:tcPr>
                <w:tcW w:w="2206" w:type="dxa"/>
              </w:tcPr>
              <w:p w14:paraId="32957849" w14:textId="77777777" w:rsidR="00E57DAA" w:rsidRDefault="00AC4185" w:rsidP="00C25422">
                <w:pPr>
                  <w:pStyle w:val="92"/>
                </w:pPr>
                <w:r>
                  <w:t>上年同期数</w:t>
                </w:r>
              </w:p>
            </w:tc>
            <w:tc>
              <w:tcPr>
                <w:tcW w:w="2206" w:type="dxa"/>
              </w:tcPr>
              <w:p w14:paraId="2B34565F" w14:textId="77777777" w:rsidR="00E57DAA" w:rsidRDefault="00AC4185" w:rsidP="00C25422">
                <w:pPr>
                  <w:pStyle w:val="92"/>
                </w:pPr>
                <w:r>
                  <w:t>变动比例（%）</w:t>
                </w:r>
              </w:p>
            </w:tc>
          </w:tr>
          <w:tr w:rsidR="00E57DAA" w14:paraId="70B22A76" w14:textId="77777777">
            <w:tc>
              <w:tcPr>
                <w:tcW w:w="2205" w:type="dxa"/>
              </w:tcPr>
              <w:p w14:paraId="3135849A" w14:textId="77777777" w:rsidR="00E57DAA" w:rsidRDefault="00AC4185" w:rsidP="00C25422">
                <w:pPr>
                  <w:pStyle w:val="92"/>
                </w:pPr>
                <w:r>
                  <w:t>销售费用</w:t>
                </w:r>
              </w:p>
            </w:tc>
            <w:tc>
              <w:tcPr>
                <w:tcW w:w="2206" w:type="dxa"/>
              </w:tcPr>
              <w:p w14:paraId="6D2CE6F4" w14:textId="77777777" w:rsidR="00E57DAA" w:rsidRDefault="00AC4185">
                <w:pPr>
                  <w:jc w:val="right"/>
                </w:pPr>
                <w:r>
                  <w:t>55,796.18</w:t>
                </w:r>
              </w:p>
            </w:tc>
            <w:tc>
              <w:tcPr>
                <w:tcW w:w="2206" w:type="dxa"/>
              </w:tcPr>
              <w:p w14:paraId="6EA504C4" w14:textId="77777777" w:rsidR="00E57DAA" w:rsidRDefault="00AC4185">
                <w:pPr>
                  <w:jc w:val="right"/>
                </w:pPr>
                <w:r>
                  <w:t>50,939.58</w:t>
                </w:r>
              </w:p>
            </w:tc>
            <w:tc>
              <w:tcPr>
                <w:tcW w:w="2206" w:type="dxa"/>
              </w:tcPr>
              <w:p w14:paraId="4BB4C338" w14:textId="77777777" w:rsidR="00E57DAA" w:rsidRDefault="00AC4185">
                <w:pPr>
                  <w:jc w:val="right"/>
                </w:pPr>
                <w:r>
                  <w:t>9.53</w:t>
                </w:r>
              </w:p>
            </w:tc>
          </w:tr>
          <w:tr w:rsidR="00E57DAA" w14:paraId="150B5965" w14:textId="77777777">
            <w:tc>
              <w:tcPr>
                <w:tcW w:w="2205" w:type="dxa"/>
              </w:tcPr>
              <w:p w14:paraId="7E13D904" w14:textId="77777777" w:rsidR="00E57DAA" w:rsidRDefault="00AC4185" w:rsidP="00C25422">
                <w:pPr>
                  <w:pStyle w:val="92"/>
                </w:pPr>
                <w:r>
                  <w:t>管理费用</w:t>
                </w:r>
              </w:p>
            </w:tc>
            <w:tc>
              <w:tcPr>
                <w:tcW w:w="2206" w:type="dxa"/>
              </w:tcPr>
              <w:p w14:paraId="5A795AE0" w14:textId="77777777" w:rsidR="00E57DAA" w:rsidRDefault="00AC4185">
                <w:pPr>
                  <w:jc w:val="right"/>
                </w:pPr>
                <w:r>
                  <w:t>216,489.04</w:t>
                </w:r>
              </w:p>
            </w:tc>
            <w:tc>
              <w:tcPr>
                <w:tcW w:w="2206" w:type="dxa"/>
              </w:tcPr>
              <w:p w14:paraId="7CA016EB" w14:textId="77777777" w:rsidR="00E57DAA" w:rsidRDefault="00AC4185">
                <w:pPr>
                  <w:jc w:val="right"/>
                </w:pPr>
                <w:r>
                  <w:t>202,804.86</w:t>
                </w:r>
              </w:p>
            </w:tc>
            <w:tc>
              <w:tcPr>
                <w:tcW w:w="2206" w:type="dxa"/>
              </w:tcPr>
              <w:p w14:paraId="249C2385" w14:textId="77777777" w:rsidR="00E57DAA" w:rsidRDefault="00AC4185">
                <w:pPr>
                  <w:jc w:val="right"/>
                </w:pPr>
                <w:r>
                  <w:t>6.75</w:t>
                </w:r>
              </w:p>
            </w:tc>
          </w:tr>
          <w:tr w:rsidR="00E57DAA" w14:paraId="4484BE15" w14:textId="77777777">
            <w:tc>
              <w:tcPr>
                <w:tcW w:w="2205" w:type="dxa"/>
              </w:tcPr>
              <w:p w14:paraId="6F713461" w14:textId="77777777" w:rsidR="00E57DAA" w:rsidRDefault="00AC4185" w:rsidP="00C25422">
                <w:pPr>
                  <w:pStyle w:val="92"/>
                </w:pPr>
                <w:r>
                  <w:t>财务费用</w:t>
                </w:r>
              </w:p>
            </w:tc>
            <w:tc>
              <w:tcPr>
                <w:tcW w:w="2206" w:type="dxa"/>
              </w:tcPr>
              <w:p w14:paraId="64F37262" w14:textId="77777777" w:rsidR="00E57DAA" w:rsidRDefault="00AC4185">
                <w:pPr>
                  <w:jc w:val="right"/>
                </w:pPr>
                <w:r>
                  <w:t>25,238.94</w:t>
                </w:r>
              </w:p>
            </w:tc>
            <w:tc>
              <w:tcPr>
                <w:tcW w:w="2206" w:type="dxa"/>
              </w:tcPr>
              <w:p w14:paraId="6A781143" w14:textId="77777777" w:rsidR="00E57DAA" w:rsidRDefault="00AC4185">
                <w:pPr>
                  <w:jc w:val="right"/>
                </w:pPr>
                <w:r>
                  <w:t>-17,101.62</w:t>
                </w:r>
              </w:p>
            </w:tc>
            <w:tc>
              <w:tcPr>
                <w:tcW w:w="2206" w:type="dxa"/>
              </w:tcPr>
              <w:p w14:paraId="1B3B1441" w14:textId="77777777" w:rsidR="00E57DAA" w:rsidRDefault="00AC4185">
                <w:pPr>
                  <w:jc w:val="right"/>
                </w:pPr>
                <w:r>
                  <w:t>不适用</w:t>
                </w:r>
              </w:p>
            </w:tc>
          </w:tr>
          <w:tr w:rsidR="00E57DAA" w14:paraId="1DC5DC13" w14:textId="77777777">
            <w:tc>
              <w:tcPr>
                <w:tcW w:w="2205" w:type="dxa"/>
              </w:tcPr>
              <w:p w14:paraId="337CF582" w14:textId="77777777" w:rsidR="00E57DAA" w:rsidRDefault="00AC4185" w:rsidP="00C25422">
                <w:pPr>
                  <w:pStyle w:val="92"/>
                </w:pPr>
                <w:r>
                  <w:t>研发费用</w:t>
                </w:r>
              </w:p>
            </w:tc>
            <w:tc>
              <w:tcPr>
                <w:tcW w:w="2206" w:type="dxa"/>
              </w:tcPr>
              <w:p w14:paraId="5BE359D0" w14:textId="77777777" w:rsidR="00E57DAA" w:rsidRDefault="00AC4185">
                <w:pPr>
                  <w:jc w:val="right"/>
                </w:pPr>
                <w:r>
                  <w:t>184,154.36</w:t>
                </w:r>
              </w:p>
            </w:tc>
            <w:tc>
              <w:tcPr>
                <w:tcW w:w="2206" w:type="dxa"/>
              </w:tcPr>
              <w:p w14:paraId="3BF95562" w14:textId="77777777" w:rsidR="00E57DAA" w:rsidRDefault="00AC4185">
                <w:pPr>
                  <w:jc w:val="right"/>
                </w:pPr>
                <w:r>
                  <w:t>162,657.79</w:t>
                </w:r>
              </w:p>
            </w:tc>
            <w:tc>
              <w:tcPr>
                <w:tcW w:w="2206" w:type="dxa"/>
              </w:tcPr>
              <w:p w14:paraId="674D5BC1" w14:textId="77777777" w:rsidR="00E57DAA" w:rsidRDefault="00AC4185">
                <w:pPr>
                  <w:jc w:val="right"/>
                </w:pPr>
                <w:r>
                  <w:t>13.22</w:t>
                </w:r>
              </w:p>
            </w:tc>
          </w:tr>
        </w:tbl>
        <w:p w14:paraId="4A987A07" w14:textId="77777777" w:rsidR="00E57DAA" w:rsidRDefault="00EB41A1">
          <w:pPr>
            <w:rPr>
              <w:szCs w:val="21"/>
            </w:rPr>
          </w:pPr>
        </w:p>
      </w:sdtContent>
    </w:sdt>
    <w:p w14:paraId="568E3010" w14:textId="77777777" w:rsidR="00C95855" w:rsidRDefault="00C95855" w:rsidP="00C95855">
      <w:pPr>
        <w:pStyle w:val="4"/>
        <w:numPr>
          <w:ilvl w:val="0"/>
          <w:numId w:val="10"/>
        </w:numPr>
        <w:rPr>
          <w:rStyle w:val="50"/>
          <w:b/>
          <w:bCs/>
        </w:rPr>
      </w:pPr>
      <w:r>
        <w:rPr>
          <w:rFonts w:hint="eastAsia"/>
        </w:rPr>
        <w:t>研发投入</w:t>
      </w:r>
    </w:p>
    <w:p w14:paraId="27D6C7A1" w14:textId="77777777" w:rsidR="00C95855" w:rsidRDefault="00C95855" w:rsidP="00C95855">
      <w:pPr>
        <w:pStyle w:val="affc"/>
        <w:numPr>
          <w:ilvl w:val="0"/>
          <w:numId w:val="12"/>
        </w:numPr>
        <w:spacing w:before="60" w:after="60"/>
        <w:ind w:firstLineChars="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1824308759"/>
      </w:sdtPr>
      <w:sdtEndPr>
        <w:rPr>
          <w:rStyle w:val="50"/>
        </w:rPr>
      </w:sdtEndPr>
      <w:sdtContent>
        <w:p w14:paraId="75B541F4" w14:textId="77777777" w:rsidR="00C95855" w:rsidRDefault="00C95855">
          <w:pPr>
            <w:rPr>
              <w:rStyle w:val="50"/>
              <w:b w:val="0"/>
              <w:szCs w:val="21"/>
            </w:rPr>
          </w:pPr>
          <w:r>
            <w:rPr>
              <w:rStyle w:val="50"/>
              <w:rFonts w:hint="eastAsia"/>
              <w:b w:val="0"/>
              <w:szCs w:val="21"/>
            </w:rPr>
            <w:fldChar w:fldCharType="begin"/>
          </w:r>
          <w:r>
            <w:rPr>
              <w:rStyle w:val="50"/>
              <w:rFonts w:hint="eastAsia"/>
              <w:szCs w:val="21"/>
            </w:rPr>
            <w:instrText xml:space="preserve"> MACROBUTTON SnrToggleCheckbox √适用  </w:instrText>
          </w:r>
          <w:r>
            <w:rPr>
              <w:rStyle w:val="50"/>
              <w:rFonts w:hint="eastAsia"/>
              <w:b w:val="0"/>
              <w:szCs w:val="21"/>
            </w:rPr>
            <w:fldChar w:fldCharType="end"/>
          </w:r>
          <w:r>
            <w:rPr>
              <w:rStyle w:val="50"/>
              <w:rFonts w:hint="eastAsia"/>
              <w:b w:val="0"/>
              <w:szCs w:val="21"/>
            </w:rPr>
            <w:fldChar w:fldCharType="begin"/>
          </w:r>
          <w:r>
            <w:rPr>
              <w:rStyle w:val="50"/>
              <w:rFonts w:hint="eastAsia"/>
              <w:szCs w:val="21"/>
            </w:rPr>
            <w:instrText xml:space="preserve">MACROBUTTON  SnrToggleCheckbox □不适用 </w:instrText>
          </w:r>
          <w:r>
            <w:rPr>
              <w:rStyle w:val="50"/>
              <w:rFonts w:hint="eastAsia"/>
              <w:b w:val="0"/>
              <w:szCs w:val="21"/>
            </w:rPr>
            <w:fldChar w:fldCharType="end"/>
          </w:r>
        </w:p>
      </w:sdtContent>
    </w:sdt>
    <w:p w14:paraId="45B01F02" w14:textId="77777777" w:rsidR="00C95855" w:rsidRDefault="00C95855">
      <w:pPr>
        <w:jc w:val="right"/>
        <w:rPr>
          <w:rStyle w:val="50"/>
          <w:b w:val="0"/>
          <w:szCs w:val="21"/>
        </w:rPr>
      </w:pPr>
      <w:r>
        <w:rPr>
          <w:rFonts w:hint="eastAsia"/>
          <w:szCs w:val="21"/>
        </w:rPr>
        <w:t>单位：</w:t>
      </w:r>
      <w:sdt>
        <w:sdtPr>
          <w:rPr>
            <w:rFonts w:hint="eastAsia"/>
            <w:szCs w:val="21"/>
          </w:rPr>
          <w:alias w:val="单位：研发投入"/>
          <w:tag w:val="_GBC_74cd81424a3c41dd9b3b9f335eae8c21"/>
          <w:id w:val="4280270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p>
    <w:tbl>
      <w:tblPr>
        <w:tblStyle w:val="aff6"/>
        <w:tblW w:w="5000" w:type="pct"/>
        <w:tblLook w:val="04A0" w:firstRow="1" w:lastRow="0" w:firstColumn="1" w:lastColumn="0" w:noHBand="0" w:noVBand="1"/>
      </w:tblPr>
      <w:tblGrid>
        <w:gridCol w:w="3700"/>
        <w:gridCol w:w="5123"/>
      </w:tblGrid>
      <w:tr w:rsidR="00C95855" w14:paraId="20B74290" w14:textId="77777777" w:rsidTr="00187B4D">
        <w:trPr>
          <w:trHeight w:val="135"/>
        </w:trPr>
        <w:sdt>
          <w:sdtPr>
            <w:tag w:val="_PLD_34e4faf6ae244cfbac1fd41757cfe96b"/>
            <w:id w:val="1397156082"/>
          </w:sdtPr>
          <w:sdtEndPr/>
          <w:sdtContent>
            <w:tc>
              <w:tcPr>
                <w:tcW w:w="2097" w:type="pct"/>
              </w:tcPr>
              <w:p w14:paraId="10A262D3" w14:textId="77777777" w:rsidR="00C95855" w:rsidRDefault="00C95855">
                <w:pPr>
                  <w:rPr>
                    <w:rStyle w:val="50"/>
                    <w:b w:val="0"/>
                    <w:bCs w:val="0"/>
                    <w:szCs w:val="21"/>
                  </w:rPr>
                </w:pPr>
                <w:r>
                  <w:rPr>
                    <w:szCs w:val="21"/>
                  </w:rPr>
                  <w:t>本期费用化研发</w:t>
                </w:r>
                <w:r>
                  <w:rPr>
                    <w:rFonts w:hint="eastAsia"/>
                    <w:szCs w:val="21"/>
                  </w:rPr>
                  <w:t>投入</w:t>
                </w:r>
              </w:p>
            </w:tc>
          </w:sdtContent>
        </w:sdt>
        <w:sdt>
          <w:sdtPr>
            <w:rPr>
              <w:rFonts w:hint="eastAsia"/>
            </w:rPr>
            <w:alias w:val="费用化研发投入"/>
            <w:tag w:val="_GBC_4fb175bc5990483bb41db359eecfdbdb"/>
            <w:id w:val="1207987153"/>
          </w:sdtPr>
          <w:sdtEndPr/>
          <w:sdtContent>
            <w:tc>
              <w:tcPr>
                <w:tcW w:w="2903" w:type="pct"/>
                <w:vAlign w:val="center"/>
              </w:tcPr>
              <w:p w14:paraId="40B5FCFD" w14:textId="77777777" w:rsidR="00C95855" w:rsidRPr="00C95855" w:rsidRDefault="00C95855">
                <w:pPr>
                  <w:jc w:val="right"/>
                </w:pPr>
                <w:r w:rsidRPr="00C95855">
                  <w:rPr>
                    <w:rFonts w:hint="eastAsia"/>
                  </w:rPr>
                  <w:t>184,154.36</w:t>
                </w:r>
              </w:p>
            </w:tc>
          </w:sdtContent>
        </w:sdt>
      </w:tr>
      <w:tr w:rsidR="00C95855" w14:paraId="26D8A6AA" w14:textId="77777777" w:rsidTr="00187B4D">
        <w:trPr>
          <w:trHeight w:val="147"/>
        </w:trPr>
        <w:sdt>
          <w:sdtPr>
            <w:tag w:val="_PLD_20c161beca374b52aa10a0ce52fc5c8f"/>
            <w:id w:val="-425496369"/>
          </w:sdtPr>
          <w:sdtEndPr/>
          <w:sdtContent>
            <w:tc>
              <w:tcPr>
                <w:tcW w:w="2097" w:type="pct"/>
              </w:tcPr>
              <w:p w14:paraId="3181612F" w14:textId="77777777" w:rsidR="00C95855" w:rsidRDefault="00C95855">
                <w:pPr>
                  <w:rPr>
                    <w:rStyle w:val="50"/>
                    <w:szCs w:val="21"/>
                  </w:rPr>
                </w:pPr>
                <w:r>
                  <w:rPr>
                    <w:szCs w:val="21"/>
                  </w:rPr>
                  <w:t>本期资本化研发</w:t>
                </w:r>
                <w:r>
                  <w:rPr>
                    <w:rFonts w:hint="eastAsia"/>
                    <w:szCs w:val="21"/>
                  </w:rPr>
                  <w:t>投入</w:t>
                </w:r>
              </w:p>
            </w:tc>
          </w:sdtContent>
        </w:sdt>
        <w:tc>
          <w:tcPr>
            <w:tcW w:w="2903" w:type="pct"/>
            <w:vAlign w:val="center"/>
          </w:tcPr>
          <w:p w14:paraId="4B7A1DDE" w14:textId="77777777" w:rsidR="00C95855" w:rsidRDefault="00C95855">
            <w:pPr>
              <w:jc w:val="right"/>
              <w:rPr>
                <w:rStyle w:val="50"/>
                <w:b w:val="0"/>
                <w:szCs w:val="21"/>
              </w:rPr>
            </w:pPr>
            <w:r>
              <w:rPr>
                <w:rFonts w:hint="eastAsia"/>
              </w:rPr>
              <w:t>0</w:t>
            </w:r>
          </w:p>
        </w:tc>
      </w:tr>
      <w:tr w:rsidR="00C95855" w14:paraId="1F01B6D0" w14:textId="77777777" w:rsidTr="00187B4D">
        <w:trPr>
          <w:trHeight w:val="102"/>
        </w:trPr>
        <w:sdt>
          <w:sdtPr>
            <w:tag w:val="_PLD_21956088f1024a23941f7c544fb04a97"/>
            <w:id w:val="562071148"/>
          </w:sdtPr>
          <w:sdtEndPr/>
          <w:sdtContent>
            <w:tc>
              <w:tcPr>
                <w:tcW w:w="2097" w:type="pct"/>
              </w:tcPr>
              <w:p w14:paraId="607E9981" w14:textId="77777777" w:rsidR="00C95855" w:rsidRDefault="00C95855">
                <w:pPr>
                  <w:rPr>
                    <w:rStyle w:val="50"/>
                    <w:szCs w:val="21"/>
                  </w:rPr>
                </w:pPr>
                <w:r>
                  <w:rPr>
                    <w:szCs w:val="21"/>
                  </w:rPr>
                  <w:t>研发</w:t>
                </w:r>
                <w:r>
                  <w:rPr>
                    <w:rFonts w:hint="eastAsia"/>
                    <w:szCs w:val="21"/>
                  </w:rPr>
                  <w:t>投入</w:t>
                </w:r>
                <w:r>
                  <w:rPr>
                    <w:szCs w:val="21"/>
                  </w:rPr>
                  <w:t>合计</w:t>
                </w:r>
              </w:p>
            </w:tc>
          </w:sdtContent>
        </w:sdt>
        <w:tc>
          <w:tcPr>
            <w:tcW w:w="2903" w:type="pct"/>
            <w:vAlign w:val="center"/>
          </w:tcPr>
          <w:p w14:paraId="73D3CA38" w14:textId="77777777" w:rsidR="00C95855" w:rsidRDefault="00C95855">
            <w:pPr>
              <w:jc w:val="right"/>
              <w:rPr>
                <w:rStyle w:val="50"/>
                <w:b w:val="0"/>
                <w:szCs w:val="21"/>
              </w:rPr>
            </w:pPr>
            <w:r>
              <w:rPr>
                <w:rFonts w:hint="eastAsia"/>
              </w:rPr>
              <w:t>184,154.36</w:t>
            </w:r>
          </w:p>
        </w:tc>
      </w:tr>
      <w:tr w:rsidR="00C95855" w14:paraId="43641BA5" w14:textId="77777777" w:rsidTr="00187B4D">
        <w:trPr>
          <w:trHeight w:val="135"/>
        </w:trPr>
        <w:sdt>
          <w:sdtPr>
            <w:tag w:val="_PLD_ab1307558a044f3da8f8f6293608de34"/>
            <w:id w:val="893392567"/>
          </w:sdtPr>
          <w:sdtEndPr/>
          <w:sdtContent>
            <w:tc>
              <w:tcPr>
                <w:tcW w:w="2097" w:type="pct"/>
              </w:tcPr>
              <w:p w14:paraId="1FCF15C4" w14:textId="77777777" w:rsidR="00C95855" w:rsidRDefault="00C95855">
                <w:pPr>
                  <w:rPr>
                    <w:rStyle w:val="50"/>
                    <w:szCs w:val="21"/>
                  </w:rPr>
                </w:pPr>
                <w:r>
                  <w:rPr>
                    <w:szCs w:val="21"/>
                  </w:rPr>
                  <w:t>研发</w:t>
                </w:r>
                <w:r>
                  <w:rPr>
                    <w:rFonts w:hint="eastAsia"/>
                    <w:szCs w:val="21"/>
                  </w:rPr>
                  <w:t>投入</w:t>
                </w:r>
                <w:r>
                  <w:rPr>
                    <w:szCs w:val="21"/>
                  </w:rPr>
                  <w:t>总额占营业收入比例（%）</w:t>
                </w:r>
              </w:p>
            </w:tc>
          </w:sdtContent>
        </w:sdt>
        <w:tc>
          <w:tcPr>
            <w:tcW w:w="2903" w:type="pct"/>
            <w:vAlign w:val="center"/>
          </w:tcPr>
          <w:p w14:paraId="6682CFA0" w14:textId="77777777" w:rsidR="00C95855" w:rsidRDefault="00C95855">
            <w:pPr>
              <w:jc w:val="right"/>
              <w:rPr>
                <w:rStyle w:val="50"/>
                <w:b w:val="0"/>
                <w:szCs w:val="21"/>
              </w:rPr>
            </w:pPr>
            <w:r>
              <w:rPr>
                <w:rFonts w:hint="eastAsia"/>
              </w:rPr>
              <w:t>4.02</w:t>
            </w:r>
          </w:p>
        </w:tc>
      </w:tr>
      <w:tr w:rsidR="00C95855" w14:paraId="2C6DCE77" w14:textId="77777777" w:rsidTr="00187B4D">
        <w:trPr>
          <w:trHeight w:val="135"/>
        </w:trPr>
        <w:sdt>
          <w:sdtPr>
            <w:tag w:val="_PLD_0d2db39633024627a1ba32892a5b2e60"/>
            <w:id w:val="576026579"/>
          </w:sdtPr>
          <w:sdtEndPr/>
          <w:sdtContent>
            <w:tc>
              <w:tcPr>
                <w:tcW w:w="2097" w:type="pct"/>
              </w:tcPr>
              <w:p w14:paraId="72855FB5" w14:textId="77777777" w:rsidR="00C95855" w:rsidRDefault="00C95855">
                <w:pPr>
                  <w:rPr>
                    <w:szCs w:val="21"/>
                  </w:rPr>
                </w:pPr>
                <w:r>
                  <w:rPr>
                    <w:rFonts w:hint="eastAsia"/>
                    <w:szCs w:val="21"/>
                  </w:rPr>
                  <w:t>研发投入资本化的比重</w:t>
                </w:r>
                <w:r>
                  <w:rPr>
                    <w:szCs w:val="21"/>
                  </w:rPr>
                  <w:t>（%）</w:t>
                </w:r>
              </w:p>
            </w:tc>
          </w:sdtContent>
        </w:sdt>
        <w:tc>
          <w:tcPr>
            <w:tcW w:w="2903" w:type="pct"/>
            <w:vAlign w:val="center"/>
          </w:tcPr>
          <w:p w14:paraId="01B589A2" w14:textId="77777777" w:rsidR="00C95855" w:rsidRDefault="00C95855">
            <w:pPr>
              <w:jc w:val="right"/>
              <w:rPr>
                <w:bCs/>
                <w:szCs w:val="21"/>
              </w:rPr>
            </w:pPr>
            <w:r>
              <w:rPr>
                <w:rFonts w:hint="eastAsia"/>
              </w:rPr>
              <w:t>0</w:t>
            </w:r>
          </w:p>
        </w:tc>
      </w:tr>
    </w:tbl>
    <w:p w14:paraId="0B967112" w14:textId="77777777" w:rsidR="00C95855" w:rsidRDefault="00C95855"/>
    <w:p w14:paraId="257C6EBF" w14:textId="77777777" w:rsidR="00E57DAA" w:rsidRDefault="00AC4185">
      <w:pPr>
        <w:pStyle w:val="affc"/>
        <w:numPr>
          <w:ilvl w:val="0"/>
          <w:numId w:val="12"/>
        </w:numPr>
        <w:spacing w:before="60" w:after="60"/>
        <w:ind w:firstLineChars="0"/>
        <w:rPr>
          <w:rStyle w:val="50"/>
          <w:szCs w:val="21"/>
        </w:rPr>
      </w:pPr>
      <w:r>
        <w:rPr>
          <w:rStyle w:val="50"/>
          <w:rFonts w:hint="eastAsia"/>
          <w:szCs w:val="21"/>
        </w:rPr>
        <w:t>研发人员情况表</w:t>
      </w:r>
    </w:p>
    <w:bookmarkStart w:id="56" w:name="_Hlk89876622" w:displacedByCustomXml="next"/>
    <w:sdt>
      <w:sdtPr>
        <w:rPr>
          <w:rFonts w:hint="eastAsia"/>
        </w:rPr>
        <w:alias w:val="是否适用：研发人员情况[双击切换]"/>
        <w:tag w:val="_GBC_ef3f376f125b4e219be789ed3078c140"/>
        <w:id w:val="882289221"/>
        <w:placeholder>
          <w:docPart w:val="GBC22222222222222222222222222222"/>
        </w:placeholder>
      </w:sdtPr>
      <w:sdtEndPr/>
      <w:sdtContent>
        <w:p w14:paraId="31B1597F" w14:textId="77777777" w:rsidR="006F3FBA" w:rsidRDefault="00AC4185" w:rsidP="00644B66">
          <w:pPr>
            <w:pStyle w:val="92"/>
          </w:pPr>
          <w:r>
            <w:fldChar w:fldCharType="begin"/>
          </w:r>
          <w:r w:rsidR="00644B66">
            <w:instrText xml:space="preserve"> MACROBUTTON  SnrToggleCheckbox √适用 </w:instrText>
          </w:r>
          <w:r>
            <w:fldChar w:fldCharType="end"/>
          </w:r>
          <w:r>
            <w:fldChar w:fldCharType="begin"/>
          </w:r>
          <w:r w:rsidR="00644B66">
            <w:instrText xml:space="preserve"> MACROBUTTON  SnrToggleCheckbox □不适用 </w:instrText>
          </w:r>
          <w:r>
            <w:fldChar w:fldCharType="end"/>
          </w:r>
        </w:p>
      </w:sdtContent>
    </w:sdt>
    <w:bookmarkEnd w:id="56" w:displacedByCustomXml="prev"/>
    <w:tbl>
      <w:tblPr>
        <w:tblW w:w="8729" w:type="dxa"/>
        <w:jc w:val="center"/>
        <w:tblLook w:val="04A0" w:firstRow="1" w:lastRow="0" w:firstColumn="1" w:lastColumn="0" w:noHBand="0" w:noVBand="1"/>
      </w:tblPr>
      <w:tblGrid>
        <w:gridCol w:w="5387"/>
        <w:gridCol w:w="3342"/>
      </w:tblGrid>
      <w:tr w:rsidR="006F3FBA" w14:paraId="15E4DD02" w14:textId="77777777" w:rsidTr="006F3FBA">
        <w:trPr>
          <w:trHeight w:val="270"/>
          <w:jc w:val="center"/>
        </w:trPr>
        <w:sdt>
          <w:sdtPr>
            <w:rPr>
              <w:rFonts w:hint="eastAsia"/>
              <w:szCs w:val="21"/>
            </w:rPr>
            <w:tag w:val="_PLD_13cec8f1a3504661b1b570efe7519fa3"/>
            <w:id w:val="1124188144"/>
          </w:sdtPr>
          <w:sdtEndPr/>
          <w:sdtContent>
            <w:tc>
              <w:tcPr>
                <w:tcW w:w="53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C33B3E" w14:textId="77777777" w:rsidR="006F3FBA" w:rsidRDefault="006F3FBA" w:rsidP="006F3FBA">
                <w:pPr>
                  <w:rPr>
                    <w:szCs w:val="21"/>
                  </w:rPr>
                </w:pPr>
                <w:r>
                  <w:rPr>
                    <w:rFonts w:hint="eastAsia"/>
                    <w:szCs w:val="21"/>
                  </w:rPr>
                  <w:t>公司研发人员的数量</w:t>
                </w:r>
              </w:p>
            </w:tc>
          </w:sdtContent>
        </w:sdt>
        <w:tc>
          <w:tcPr>
            <w:tcW w:w="3342" w:type="dxa"/>
            <w:tcBorders>
              <w:top w:val="single" w:sz="4" w:space="0" w:color="auto"/>
              <w:left w:val="nil"/>
              <w:bottom w:val="single" w:sz="4" w:space="0" w:color="auto"/>
              <w:right w:val="single" w:sz="4" w:space="0" w:color="auto"/>
            </w:tcBorders>
            <w:shd w:val="clear" w:color="auto" w:fill="auto"/>
            <w:vAlign w:val="center"/>
            <w:hideMark/>
          </w:tcPr>
          <w:p w14:paraId="0BC4BF20" w14:textId="77777777" w:rsidR="006F3FBA" w:rsidRDefault="006F3FBA" w:rsidP="006F3FBA">
            <w:pPr>
              <w:jc w:val="right"/>
            </w:pPr>
            <w:r>
              <w:t>2,925</w:t>
            </w:r>
          </w:p>
        </w:tc>
      </w:tr>
      <w:tr w:rsidR="006F3FBA" w14:paraId="4772A852"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07FF59EA" w14:textId="77777777" w:rsidR="006F3FBA" w:rsidRDefault="006F3FBA" w:rsidP="006F3FBA">
            <w:pPr>
              <w:rPr>
                <w:szCs w:val="21"/>
              </w:rPr>
            </w:pPr>
            <w:r>
              <w:rPr>
                <w:rFonts w:hint="eastAsia"/>
                <w:szCs w:val="21"/>
              </w:rPr>
              <w:t>研发人员数量占公司总人数的比例（%）</w:t>
            </w:r>
          </w:p>
        </w:tc>
        <w:tc>
          <w:tcPr>
            <w:tcW w:w="3342" w:type="dxa"/>
            <w:tcBorders>
              <w:top w:val="nil"/>
              <w:left w:val="nil"/>
              <w:bottom w:val="single" w:sz="4" w:space="0" w:color="auto"/>
              <w:right w:val="single" w:sz="4" w:space="0" w:color="auto"/>
            </w:tcBorders>
            <w:shd w:val="clear" w:color="auto" w:fill="auto"/>
            <w:vAlign w:val="center"/>
            <w:hideMark/>
          </w:tcPr>
          <w:p w14:paraId="6A2924B8" w14:textId="77777777" w:rsidR="006F3FBA" w:rsidRDefault="006F3FBA" w:rsidP="006F3FBA">
            <w:pPr>
              <w:jc w:val="right"/>
            </w:pPr>
            <w:r>
              <w:t>19.35</w:t>
            </w:r>
          </w:p>
        </w:tc>
      </w:tr>
      <w:tr w:rsidR="006F3FBA" w14:paraId="44CE9970" w14:textId="77777777" w:rsidTr="006F3FBA">
        <w:trPr>
          <w:trHeight w:val="270"/>
          <w:jc w:val="center"/>
        </w:trPr>
        <w:sdt>
          <w:sdtPr>
            <w:rPr>
              <w:rFonts w:hint="eastAsia"/>
              <w:szCs w:val="21"/>
            </w:rPr>
            <w:tag w:val="_PLD_b048dc379aae455a86f744476f1bb4a1"/>
            <w:id w:val="-1188743192"/>
          </w:sdtPr>
          <w:sdtEndPr/>
          <w:sdtContent>
            <w:tc>
              <w:tcPr>
                <w:tcW w:w="872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4B026D6" w14:textId="77777777" w:rsidR="006F3FBA" w:rsidRDefault="006F3FBA" w:rsidP="006F3FBA">
                <w:pPr>
                  <w:jc w:val="center"/>
                  <w:rPr>
                    <w:szCs w:val="21"/>
                  </w:rPr>
                </w:pPr>
                <w:r>
                  <w:rPr>
                    <w:rFonts w:hint="eastAsia"/>
                    <w:szCs w:val="21"/>
                  </w:rPr>
                  <w:t>研发人员学历结构</w:t>
                </w:r>
              </w:p>
            </w:tc>
          </w:sdtContent>
        </w:sdt>
      </w:tr>
      <w:tr w:rsidR="006F3FBA" w14:paraId="1A1FDC87" w14:textId="77777777" w:rsidTr="006F3FBA">
        <w:trPr>
          <w:trHeight w:val="270"/>
          <w:jc w:val="center"/>
        </w:trPr>
        <w:sdt>
          <w:sdtPr>
            <w:rPr>
              <w:rFonts w:hint="eastAsia"/>
              <w:szCs w:val="21"/>
            </w:rPr>
            <w:tag w:val="_PLD_f770501e43654648a563d2a86970204f"/>
            <w:id w:val="-306253443"/>
          </w:sdtPr>
          <w:sdtEndPr/>
          <w:sdtContent>
            <w:tc>
              <w:tcPr>
                <w:tcW w:w="5387" w:type="dxa"/>
                <w:tcBorders>
                  <w:top w:val="nil"/>
                  <w:left w:val="single" w:sz="4" w:space="0" w:color="auto"/>
                  <w:bottom w:val="single" w:sz="4" w:space="0" w:color="auto"/>
                  <w:right w:val="single" w:sz="4" w:space="0" w:color="auto"/>
                </w:tcBorders>
                <w:shd w:val="clear" w:color="auto" w:fill="auto"/>
                <w:vAlign w:val="center"/>
                <w:hideMark/>
              </w:tcPr>
              <w:p w14:paraId="44E13248" w14:textId="77777777" w:rsidR="006F3FBA" w:rsidRDefault="006F3FBA" w:rsidP="006F3FBA">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0E52D0C5" w14:textId="77777777" w:rsidR="006F3FBA" w:rsidRDefault="006F3FBA" w:rsidP="006F3FBA">
            <w:pPr>
              <w:jc w:val="center"/>
              <w:rPr>
                <w:szCs w:val="21"/>
              </w:rPr>
            </w:pPr>
            <w:r>
              <w:rPr>
                <w:rFonts w:hint="eastAsia"/>
                <w:szCs w:val="21"/>
              </w:rPr>
              <w:t>学历结构人数</w:t>
            </w:r>
          </w:p>
        </w:tc>
      </w:tr>
      <w:tr w:rsidR="006F3FBA" w14:paraId="3F6F3589"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535BDB0B" w14:textId="77777777" w:rsidR="006F3FBA" w:rsidRDefault="006F3FBA" w:rsidP="006F3FBA">
            <w:pPr>
              <w:rPr>
                <w:szCs w:val="21"/>
              </w:rPr>
            </w:pPr>
            <w:r>
              <w:rPr>
                <w:rFonts w:hint="eastAsia"/>
                <w:szCs w:val="21"/>
              </w:rPr>
              <w:t>博士研究生</w:t>
            </w:r>
          </w:p>
        </w:tc>
        <w:tc>
          <w:tcPr>
            <w:tcW w:w="3342" w:type="dxa"/>
            <w:tcBorders>
              <w:top w:val="nil"/>
              <w:left w:val="nil"/>
              <w:bottom w:val="single" w:sz="4" w:space="0" w:color="auto"/>
              <w:right w:val="single" w:sz="4" w:space="0" w:color="auto"/>
            </w:tcBorders>
            <w:shd w:val="clear" w:color="auto" w:fill="auto"/>
            <w:noWrap/>
            <w:vAlign w:val="center"/>
            <w:hideMark/>
          </w:tcPr>
          <w:p w14:paraId="05EF1116" w14:textId="77777777" w:rsidR="006F3FBA" w:rsidRDefault="006F3FBA" w:rsidP="006F3FBA">
            <w:pPr>
              <w:jc w:val="right"/>
            </w:pPr>
            <w:r>
              <w:t>22</w:t>
            </w:r>
          </w:p>
        </w:tc>
      </w:tr>
      <w:tr w:rsidR="006F3FBA" w14:paraId="4410C27B"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2865999E" w14:textId="77777777" w:rsidR="006F3FBA" w:rsidRDefault="006F3FBA" w:rsidP="006F3FBA">
            <w:pPr>
              <w:rPr>
                <w:szCs w:val="21"/>
              </w:rPr>
            </w:pPr>
            <w:r>
              <w:rPr>
                <w:rFonts w:hint="eastAsia"/>
                <w:szCs w:val="21"/>
              </w:rPr>
              <w:t>硕士研究生</w:t>
            </w:r>
          </w:p>
        </w:tc>
        <w:tc>
          <w:tcPr>
            <w:tcW w:w="3342" w:type="dxa"/>
            <w:tcBorders>
              <w:top w:val="nil"/>
              <w:left w:val="nil"/>
              <w:bottom w:val="single" w:sz="4" w:space="0" w:color="auto"/>
              <w:right w:val="single" w:sz="4" w:space="0" w:color="auto"/>
            </w:tcBorders>
            <w:shd w:val="clear" w:color="auto" w:fill="auto"/>
            <w:noWrap/>
            <w:vAlign w:val="center"/>
            <w:hideMark/>
          </w:tcPr>
          <w:p w14:paraId="5CC31BDD" w14:textId="77777777" w:rsidR="006F3FBA" w:rsidRDefault="006F3FBA" w:rsidP="006F3FBA">
            <w:pPr>
              <w:jc w:val="right"/>
            </w:pPr>
            <w:r>
              <w:t>744</w:t>
            </w:r>
          </w:p>
        </w:tc>
      </w:tr>
      <w:tr w:rsidR="006F3FBA" w14:paraId="18F6B2A8"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5201B050" w14:textId="77777777" w:rsidR="006F3FBA" w:rsidRDefault="006F3FBA" w:rsidP="006F3FBA">
            <w:pPr>
              <w:rPr>
                <w:szCs w:val="21"/>
              </w:rPr>
            </w:pPr>
            <w:r>
              <w:rPr>
                <w:rFonts w:hint="eastAsia"/>
                <w:szCs w:val="21"/>
              </w:rPr>
              <w:t>本科</w:t>
            </w:r>
          </w:p>
        </w:tc>
        <w:tc>
          <w:tcPr>
            <w:tcW w:w="3342" w:type="dxa"/>
            <w:tcBorders>
              <w:top w:val="nil"/>
              <w:left w:val="nil"/>
              <w:bottom w:val="single" w:sz="4" w:space="0" w:color="auto"/>
              <w:right w:val="single" w:sz="4" w:space="0" w:color="auto"/>
            </w:tcBorders>
            <w:shd w:val="clear" w:color="auto" w:fill="auto"/>
            <w:noWrap/>
            <w:vAlign w:val="center"/>
            <w:hideMark/>
          </w:tcPr>
          <w:p w14:paraId="25D5DFC8" w14:textId="77777777" w:rsidR="006F3FBA" w:rsidRDefault="006F3FBA" w:rsidP="006F3FBA">
            <w:pPr>
              <w:jc w:val="right"/>
            </w:pPr>
            <w:r>
              <w:t>1,820</w:t>
            </w:r>
          </w:p>
        </w:tc>
      </w:tr>
      <w:tr w:rsidR="006F3FBA" w14:paraId="17D9F0CC"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4B3096F2" w14:textId="77777777" w:rsidR="006F3FBA" w:rsidRDefault="006F3FBA" w:rsidP="006F3FBA">
            <w:pPr>
              <w:rPr>
                <w:szCs w:val="21"/>
              </w:rPr>
            </w:pPr>
            <w:r>
              <w:rPr>
                <w:rFonts w:hint="eastAsia"/>
                <w:szCs w:val="21"/>
              </w:rPr>
              <w:lastRenderedPageBreak/>
              <w:t>专科</w:t>
            </w:r>
          </w:p>
        </w:tc>
        <w:tc>
          <w:tcPr>
            <w:tcW w:w="3342" w:type="dxa"/>
            <w:tcBorders>
              <w:top w:val="nil"/>
              <w:left w:val="nil"/>
              <w:bottom w:val="single" w:sz="4" w:space="0" w:color="auto"/>
              <w:right w:val="single" w:sz="4" w:space="0" w:color="auto"/>
            </w:tcBorders>
            <w:shd w:val="clear" w:color="auto" w:fill="auto"/>
            <w:noWrap/>
            <w:vAlign w:val="center"/>
            <w:hideMark/>
          </w:tcPr>
          <w:p w14:paraId="221B996F" w14:textId="77777777" w:rsidR="006F3FBA" w:rsidRDefault="006F3FBA" w:rsidP="006F3FBA">
            <w:pPr>
              <w:jc w:val="right"/>
            </w:pPr>
            <w:r>
              <w:t>263</w:t>
            </w:r>
          </w:p>
        </w:tc>
      </w:tr>
      <w:tr w:rsidR="006F3FBA" w14:paraId="37AF09D4"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1EF781CD" w14:textId="77777777" w:rsidR="006F3FBA" w:rsidRDefault="006F3FBA" w:rsidP="006F3FBA">
            <w:pPr>
              <w:rPr>
                <w:szCs w:val="21"/>
              </w:rPr>
            </w:pPr>
            <w:r>
              <w:rPr>
                <w:rFonts w:hint="eastAsia"/>
                <w:szCs w:val="21"/>
              </w:rPr>
              <w:t>高中及以下</w:t>
            </w:r>
          </w:p>
        </w:tc>
        <w:tc>
          <w:tcPr>
            <w:tcW w:w="3342" w:type="dxa"/>
            <w:tcBorders>
              <w:top w:val="nil"/>
              <w:left w:val="nil"/>
              <w:bottom w:val="single" w:sz="4" w:space="0" w:color="auto"/>
              <w:right w:val="single" w:sz="4" w:space="0" w:color="auto"/>
            </w:tcBorders>
            <w:shd w:val="clear" w:color="auto" w:fill="auto"/>
            <w:noWrap/>
            <w:vAlign w:val="center"/>
            <w:hideMark/>
          </w:tcPr>
          <w:p w14:paraId="183B5816" w14:textId="77777777" w:rsidR="006F3FBA" w:rsidRDefault="006F3FBA" w:rsidP="006F3FBA">
            <w:pPr>
              <w:jc w:val="right"/>
            </w:pPr>
            <w:r>
              <w:t>76</w:t>
            </w:r>
          </w:p>
        </w:tc>
      </w:tr>
      <w:tr w:rsidR="006F3FBA" w14:paraId="3ED3C94E" w14:textId="77777777" w:rsidTr="006F3FBA">
        <w:trPr>
          <w:trHeight w:val="270"/>
          <w:jc w:val="center"/>
        </w:trPr>
        <w:sdt>
          <w:sdtPr>
            <w:rPr>
              <w:rFonts w:hint="eastAsia"/>
              <w:szCs w:val="21"/>
            </w:rPr>
            <w:tag w:val="_PLD_10352dc928264c50aa8776e0ae8ec569"/>
            <w:id w:val="1327089332"/>
          </w:sdtPr>
          <w:sdtEndPr/>
          <w:sdtContent>
            <w:tc>
              <w:tcPr>
                <w:tcW w:w="8729" w:type="dxa"/>
                <w:gridSpan w:val="2"/>
                <w:tcBorders>
                  <w:top w:val="nil"/>
                  <w:left w:val="single" w:sz="4" w:space="0" w:color="auto"/>
                  <w:bottom w:val="single" w:sz="4" w:space="0" w:color="auto"/>
                  <w:right w:val="single" w:sz="4" w:space="0" w:color="auto"/>
                </w:tcBorders>
                <w:shd w:val="clear" w:color="auto" w:fill="auto"/>
                <w:vAlign w:val="center"/>
                <w:hideMark/>
              </w:tcPr>
              <w:p w14:paraId="5118C894" w14:textId="77777777" w:rsidR="006F3FBA" w:rsidRDefault="006F3FBA" w:rsidP="006F3FBA">
                <w:pPr>
                  <w:jc w:val="center"/>
                  <w:rPr>
                    <w:szCs w:val="21"/>
                  </w:rPr>
                </w:pPr>
                <w:r>
                  <w:rPr>
                    <w:rFonts w:hint="eastAsia"/>
                    <w:szCs w:val="21"/>
                  </w:rPr>
                  <w:t>研发人员年龄结构</w:t>
                </w:r>
              </w:p>
            </w:tc>
          </w:sdtContent>
        </w:sdt>
      </w:tr>
      <w:tr w:rsidR="006F3FBA" w14:paraId="5D81372D" w14:textId="77777777" w:rsidTr="006F3FBA">
        <w:trPr>
          <w:trHeight w:val="270"/>
          <w:jc w:val="center"/>
        </w:trPr>
        <w:sdt>
          <w:sdtPr>
            <w:rPr>
              <w:rFonts w:hint="eastAsia"/>
              <w:szCs w:val="21"/>
            </w:rPr>
            <w:tag w:val="_PLD_b9dd411387bd4ae4b04fe660cc0aac1b"/>
            <w:id w:val="886227014"/>
          </w:sdtPr>
          <w:sdtEndPr/>
          <w:sdtContent>
            <w:tc>
              <w:tcPr>
                <w:tcW w:w="5387" w:type="dxa"/>
                <w:tcBorders>
                  <w:top w:val="nil"/>
                  <w:left w:val="single" w:sz="4" w:space="0" w:color="auto"/>
                  <w:bottom w:val="single" w:sz="4" w:space="0" w:color="auto"/>
                  <w:right w:val="single" w:sz="4" w:space="0" w:color="auto"/>
                </w:tcBorders>
                <w:shd w:val="clear" w:color="auto" w:fill="auto"/>
                <w:vAlign w:val="center"/>
                <w:hideMark/>
              </w:tcPr>
              <w:p w14:paraId="5DDE929F" w14:textId="77777777" w:rsidR="006F3FBA" w:rsidRDefault="006F3FBA" w:rsidP="006F3FBA">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EABBD12" w14:textId="77777777" w:rsidR="006F3FBA" w:rsidRDefault="006F3FBA" w:rsidP="006F3FBA">
            <w:pPr>
              <w:jc w:val="center"/>
              <w:rPr>
                <w:szCs w:val="21"/>
              </w:rPr>
            </w:pPr>
            <w:r>
              <w:rPr>
                <w:rFonts w:hint="eastAsia"/>
                <w:szCs w:val="21"/>
              </w:rPr>
              <w:t>年龄结构人数</w:t>
            </w:r>
          </w:p>
        </w:tc>
      </w:tr>
      <w:tr w:rsidR="006F3FBA" w14:paraId="7581935C"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412E98CE" w14:textId="77777777" w:rsidR="006F3FBA" w:rsidRDefault="006F3FBA" w:rsidP="006F3FBA">
            <w:pPr>
              <w:rPr>
                <w:szCs w:val="21"/>
              </w:rPr>
            </w:pPr>
            <w:r>
              <w:rPr>
                <w:rFonts w:hint="eastAsia"/>
                <w:szCs w:val="21"/>
              </w:rPr>
              <w:t>30岁以下（不含30岁）</w:t>
            </w:r>
          </w:p>
        </w:tc>
        <w:tc>
          <w:tcPr>
            <w:tcW w:w="3342" w:type="dxa"/>
            <w:tcBorders>
              <w:top w:val="nil"/>
              <w:left w:val="nil"/>
              <w:bottom w:val="single" w:sz="4" w:space="0" w:color="auto"/>
              <w:right w:val="single" w:sz="4" w:space="0" w:color="auto"/>
            </w:tcBorders>
            <w:shd w:val="clear" w:color="auto" w:fill="auto"/>
            <w:noWrap/>
            <w:vAlign w:val="center"/>
            <w:hideMark/>
          </w:tcPr>
          <w:p w14:paraId="33A90069" w14:textId="77777777" w:rsidR="006F3FBA" w:rsidRDefault="006F3FBA" w:rsidP="006F3FBA">
            <w:pPr>
              <w:jc w:val="right"/>
              <w:rPr>
                <w:szCs w:val="21"/>
              </w:rPr>
            </w:pPr>
            <w:r>
              <w:t>499</w:t>
            </w:r>
          </w:p>
        </w:tc>
      </w:tr>
      <w:tr w:rsidR="006F3FBA" w14:paraId="5A29F24B"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06FF1AC0" w14:textId="77777777" w:rsidR="006F3FBA" w:rsidRDefault="006F3FBA" w:rsidP="006F3FBA">
            <w:pPr>
              <w:rPr>
                <w:szCs w:val="21"/>
              </w:rPr>
            </w:pPr>
            <w:r>
              <w:rPr>
                <w:rFonts w:hint="eastAsia"/>
                <w:szCs w:val="21"/>
              </w:rPr>
              <w:t>30-40岁（含30岁，不含40岁）</w:t>
            </w:r>
          </w:p>
        </w:tc>
        <w:tc>
          <w:tcPr>
            <w:tcW w:w="3342" w:type="dxa"/>
            <w:tcBorders>
              <w:top w:val="nil"/>
              <w:left w:val="nil"/>
              <w:bottom w:val="single" w:sz="4" w:space="0" w:color="auto"/>
              <w:right w:val="single" w:sz="4" w:space="0" w:color="auto"/>
            </w:tcBorders>
            <w:shd w:val="clear" w:color="auto" w:fill="auto"/>
            <w:noWrap/>
            <w:vAlign w:val="center"/>
            <w:hideMark/>
          </w:tcPr>
          <w:p w14:paraId="03B1E1A4" w14:textId="77777777" w:rsidR="006F3FBA" w:rsidRDefault="006F3FBA" w:rsidP="006F3FBA">
            <w:pPr>
              <w:jc w:val="right"/>
              <w:rPr>
                <w:szCs w:val="21"/>
              </w:rPr>
            </w:pPr>
            <w:r>
              <w:t>1,149</w:t>
            </w:r>
          </w:p>
        </w:tc>
      </w:tr>
      <w:tr w:rsidR="006F3FBA" w14:paraId="5E0DFFD1"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16411D69" w14:textId="77777777" w:rsidR="006F3FBA" w:rsidRDefault="006F3FBA" w:rsidP="006F3FBA">
            <w:pPr>
              <w:rPr>
                <w:szCs w:val="21"/>
              </w:rPr>
            </w:pPr>
            <w:r>
              <w:rPr>
                <w:rFonts w:hint="eastAsia"/>
                <w:szCs w:val="21"/>
              </w:rPr>
              <w:t>40-50岁（含40岁，不含50岁）</w:t>
            </w:r>
          </w:p>
        </w:tc>
        <w:tc>
          <w:tcPr>
            <w:tcW w:w="3342" w:type="dxa"/>
            <w:tcBorders>
              <w:top w:val="nil"/>
              <w:left w:val="nil"/>
              <w:bottom w:val="single" w:sz="4" w:space="0" w:color="auto"/>
              <w:right w:val="single" w:sz="4" w:space="0" w:color="auto"/>
            </w:tcBorders>
            <w:shd w:val="clear" w:color="auto" w:fill="auto"/>
            <w:noWrap/>
            <w:vAlign w:val="center"/>
            <w:hideMark/>
          </w:tcPr>
          <w:p w14:paraId="5B1209C7" w14:textId="77777777" w:rsidR="006F3FBA" w:rsidRDefault="006F3FBA" w:rsidP="006F3FBA">
            <w:pPr>
              <w:jc w:val="right"/>
              <w:rPr>
                <w:szCs w:val="21"/>
              </w:rPr>
            </w:pPr>
            <w:r>
              <w:t>706</w:t>
            </w:r>
          </w:p>
        </w:tc>
      </w:tr>
      <w:tr w:rsidR="006F3FBA" w14:paraId="6E48E901"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5A1BDDAD" w14:textId="77777777" w:rsidR="006F3FBA" w:rsidRDefault="006F3FBA" w:rsidP="006F3FBA">
            <w:pPr>
              <w:rPr>
                <w:szCs w:val="21"/>
              </w:rPr>
            </w:pPr>
            <w:r>
              <w:rPr>
                <w:rFonts w:hint="eastAsia"/>
                <w:szCs w:val="21"/>
              </w:rPr>
              <w:t>50-60岁（含50岁，不含60岁）</w:t>
            </w:r>
          </w:p>
        </w:tc>
        <w:tc>
          <w:tcPr>
            <w:tcW w:w="3342" w:type="dxa"/>
            <w:tcBorders>
              <w:top w:val="nil"/>
              <w:left w:val="nil"/>
              <w:bottom w:val="single" w:sz="4" w:space="0" w:color="auto"/>
              <w:right w:val="single" w:sz="4" w:space="0" w:color="auto"/>
            </w:tcBorders>
            <w:shd w:val="clear" w:color="auto" w:fill="auto"/>
            <w:noWrap/>
            <w:vAlign w:val="center"/>
            <w:hideMark/>
          </w:tcPr>
          <w:p w14:paraId="7A140D23" w14:textId="77777777" w:rsidR="006F3FBA" w:rsidRDefault="006F3FBA" w:rsidP="006F3FBA">
            <w:pPr>
              <w:jc w:val="right"/>
              <w:rPr>
                <w:szCs w:val="21"/>
              </w:rPr>
            </w:pPr>
            <w:r>
              <w:t>563</w:t>
            </w:r>
          </w:p>
        </w:tc>
      </w:tr>
      <w:tr w:rsidR="006F3FBA" w14:paraId="49AB32C9" w14:textId="77777777" w:rsidTr="006F3FBA">
        <w:trPr>
          <w:trHeight w:val="270"/>
          <w:jc w:val="center"/>
        </w:trPr>
        <w:tc>
          <w:tcPr>
            <w:tcW w:w="5387" w:type="dxa"/>
            <w:tcBorders>
              <w:top w:val="nil"/>
              <w:left w:val="single" w:sz="4" w:space="0" w:color="auto"/>
              <w:bottom w:val="single" w:sz="4" w:space="0" w:color="auto"/>
              <w:right w:val="single" w:sz="4" w:space="0" w:color="auto"/>
            </w:tcBorders>
            <w:shd w:val="clear" w:color="auto" w:fill="auto"/>
            <w:vAlign w:val="center"/>
            <w:hideMark/>
          </w:tcPr>
          <w:p w14:paraId="7E1FBDC6" w14:textId="77777777" w:rsidR="006F3FBA" w:rsidRDefault="006F3FBA" w:rsidP="006F3FBA">
            <w:pPr>
              <w:rPr>
                <w:szCs w:val="21"/>
              </w:rPr>
            </w:pPr>
            <w:r>
              <w:rPr>
                <w:rFonts w:hint="eastAsia"/>
                <w:szCs w:val="21"/>
              </w:rPr>
              <w:t>60岁及以上</w:t>
            </w:r>
          </w:p>
        </w:tc>
        <w:tc>
          <w:tcPr>
            <w:tcW w:w="3342" w:type="dxa"/>
            <w:tcBorders>
              <w:top w:val="nil"/>
              <w:left w:val="nil"/>
              <w:bottom w:val="single" w:sz="4" w:space="0" w:color="auto"/>
              <w:right w:val="single" w:sz="4" w:space="0" w:color="auto"/>
            </w:tcBorders>
            <w:shd w:val="clear" w:color="auto" w:fill="auto"/>
            <w:noWrap/>
            <w:vAlign w:val="center"/>
            <w:hideMark/>
          </w:tcPr>
          <w:p w14:paraId="22C06338" w14:textId="77777777" w:rsidR="006F3FBA" w:rsidRDefault="006F3FBA" w:rsidP="006F3FBA">
            <w:pPr>
              <w:jc w:val="right"/>
              <w:rPr>
                <w:szCs w:val="21"/>
              </w:rPr>
            </w:pPr>
            <w:r>
              <w:t>8</w:t>
            </w:r>
          </w:p>
        </w:tc>
      </w:tr>
    </w:tbl>
    <w:p w14:paraId="47C821E2" w14:textId="77777777" w:rsidR="00644B66" w:rsidRDefault="00644B66" w:rsidP="00644B66">
      <w:pPr>
        <w:pStyle w:val="92"/>
      </w:pPr>
    </w:p>
    <w:p w14:paraId="63C8C546" w14:textId="77777777" w:rsidR="00E57DAA" w:rsidRDefault="00AC4185">
      <w:pPr>
        <w:pStyle w:val="affc"/>
        <w:numPr>
          <w:ilvl w:val="0"/>
          <w:numId w:val="12"/>
        </w:numPr>
        <w:spacing w:before="60" w:after="60"/>
        <w:ind w:firstLineChars="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1926141176"/>
        <w:placeholder>
          <w:docPart w:val="GBC22222222222222222222222222222"/>
        </w:placeholder>
      </w:sdtPr>
      <w:sdtEndPr>
        <w:rPr>
          <w:rStyle w:val="50"/>
        </w:rPr>
      </w:sdtEndPr>
      <w:sdtContent>
        <w:p w14:paraId="2844F708" w14:textId="77777777" w:rsidR="00E57DAA" w:rsidRDefault="00AC4185">
          <w:pPr>
            <w:spacing w:before="60" w:after="60"/>
            <w:rPr>
              <w:rStyle w:val="50"/>
              <w:b w:val="0"/>
              <w:szCs w:val="21"/>
            </w:rPr>
          </w:pPr>
          <w:r>
            <w:rPr>
              <w:rStyle w:val="50"/>
              <w:b w:val="0"/>
              <w:szCs w:val="21"/>
            </w:rPr>
            <w:fldChar w:fldCharType="begin"/>
          </w:r>
          <w:r>
            <w:rPr>
              <w:rStyle w:val="50"/>
              <w:rFonts w:hint="eastAsia"/>
              <w:b w:val="0"/>
              <w:szCs w:val="21"/>
            </w:rPr>
            <w:instrText xml:space="preserve">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sdt>
      <w:sdtPr>
        <w:rPr>
          <w:rStyle w:val="50"/>
          <w:rFonts w:hint="eastAsia"/>
          <w:b w:val="0"/>
          <w:szCs w:val="21"/>
        </w:rPr>
        <w:alias w:val="研发投入情况说明"/>
        <w:tag w:val="_GBC_29b7bc5a44244641bea57d5a14dde83b"/>
        <w:id w:val="1076622665"/>
        <w:placeholder>
          <w:docPart w:val="GBC22222222222222222222222222222"/>
        </w:placeholder>
      </w:sdtPr>
      <w:sdtEndPr>
        <w:rPr>
          <w:rStyle w:val="50"/>
          <w:b/>
        </w:rPr>
      </w:sdtEndPr>
      <w:sdtContent>
        <w:p w14:paraId="78C5B742" w14:textId="77777777" w:rsidR="00E57DAA" w:rsidRDefault="00AC4185">
          <w:pPr>
            <w:ind w:firstLineChars="200" w:firstLine="420"/>
            <w:rPr>
              <w:rStyle w:val="50"/>
              <w:b w:val="0"/>
              <w:szCs w:val="21"/>
            </w:rPr>
          </w:pPr>
          <w:r>
            <w:rPr>
              <w:rStyle w:val="50"/>
              <w:rFonts w:hint="eastAsia"/>
              <w:b w:val="0"/>
              <w:szCs w:val="21"/>
            </w:rPr>
            <w:t>报告期末公司研发人员包含了新并入的合肥院研发人员。</w:t>
          </w:r>
        </w:p>
        <w:p w14:paraId="54145882" w14:textId="77777777" w:rsidR="00E57DAA" w:rsidRDefault="00EB41A1">
          <w:pPr>
            <w:ind w:firstLineChars="200" w:firstLine="422"/>
            <w:rPr>
              <w:rStyle w:val="50"/>
              <w:szCs w:val="21"/>
            </w:rPr>
          </w:pPr>
        </w:p>
      </w:sdtContent>
    </w:sdt>
    <w:p w14:paraId="2B94650B" w14:textId="77777777" w:rsidR="00E57DAA" w:rsidRDefault="00AC4185">
      <w:pPr>
        <w:pStyle w:val="affc"/>
        <w:numPr>
          <w:ilvl w:val="0"/>
          <w:numId w:val="12"/>
        </w:numPr>
        <w:spacing w:before="60" w:after="60"/>
        <w:ind w:firstLineChars="0"/>
        <w:rPr>
          <w:rStyle w:val="50"/>
          <w:szCs w:val="21"/>
        </w:rPr>
      </w:pPr>
      <w:r>
        <w:rPr>
          <w:rStyle w:val="50"/>
          <w:rFonts w:hint="eastAsia"/>
          <w:szCs w:val="21"/>
        </w:rPr>
        <w:t>研发人员构成发生重大变化的原因及对公司未来发展的影响</w:t>
      </w:r>
    </w:p>
    <w:bookmarkStart w:id="57" w:name="_Hlk89876701" w:displacedByCustomXml="next"/>
    <w:sdt>
      <w:sdtPr>
        <w:rPr>
          <w:rStyle w:val="5Char2"/>
          <w:b w:val="0"/>
          <w:szCs w:val="21"/>
        </w:rPr>
        <w:alias w:val="是否适用：研发人员构成发生重大变化的原因及对公司未来发展的影响 [双击切换]"/>
        <w:tag w:val="_GBC_03b44883afff4742a08c198d082c26b3"/>
        <w:id w:val="1316685600"/>
        <w:placeholder>
          <w:docPart w:val="GBC22222222222222222222222222222"/>
        </w:placeholder>
      </w:sdtPr>
      <w:sdtEndPr>
        <w:rPr>
          <w:rStyle w:val="5Char2"/>
        </w:rPr>
      </w:sdtEndPr>
      <w:sdtContent>
        <w:p w14:paraId="76F52D76" w14:textId="77777777" w:rsidR="00E57DAA" w:rsidRDefault="00AC4185">
          <w:pPr>
            <w:spacing w:before="60" w:after="60"/>
            <w:rPr>
              <w:rStyle w:val="5Char2"/>
              <w:szCs w:val="21"/>
            </w:rPr>
          </w:pPr>
          <w:r>
            <w:rPr>
              <w:rStyle w:val="5Char2"/>
              <w:b w:val="0"/>
              <w:szCs w:val="21"/>
            </w:rPr>
            <w:fldChar w:fldCharType="begin"/>
          </w:r>
          <w:r>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Pr>
              <w:rStyle w:val="5Char2"/>
              <w:b w:val="0"/>
              <w:szCs w:val="21"/>
            </w:rPr>
            <w:instrText xml:space="preserve"> MACROBUTTON  SnrToggleCheckbox √不适用 </w:instrText>
          </w:r>
          <w:r>
            <w:rPr>
              <w:rStyle w:val="5Char2"/>
              <w:b w:val="0"/>
              <w:szCs w:val="21"/>
            </w:rPr>
            <w:fldChar w:fldCharType="end"/>
          </w:r>
        </w:p>
      </w:sdtContent>
    </w:sdt>
    <w:bookmarkEnd w:id="57"/>
    <w:p w14:paraId="36DDF93C" w14:textId="77777777" w:rsidR="00E57DAA" w:rsidRDefault="00E57DAA">
      <w:pPr>
        <w:rPr>
          <w:szCs w:val="21"/>
        </w:rPr>
      </w:pPr>
    </w:p>
    <w:p w14:paraId="7CAF45E4" w14:textId="77777777" w:rsidR="00E57DAA" w:rsidRDefault="00AC4185">
      <w:pPr>
        <w:pStyle w:val="4"/>
        <w:numPr>
          <w:ilvl w:val="0"/>
          <w:numId w:val="10"/>
        </w:numPr>
      </w:pPr>
      <w:r>
        <w:rPr>
          <w:rFonts w:hint="eastAsia"/>
        </w:rPr>
        <w:t>现金流</w:t>
      </w:r>
    </w:p>
    <w:sdt>
      <w:sdtPr>
        <w:alias w:val="是否适用：现金流[双击切换]"/>
        <w:tag w:val="_GBC_3340f2fc4f854cc1882e18412cf992f6"/>
        <w:id w:val="-1792966687"/>
        <w:placeholder>
          <w:docPart w:val="GBC22222222222222222222222222222"/>
        </w:placeholder>
      </w:sdtPr>
      <w:sdtEndPr/>
      <w:sdtContent>
        <w:p w14:paraId="6B19268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1180156213"/>
        <w:placeholder>
          <w:docPart w:val="GBC22222222222222222222222222222"/>
        </w:placeholder>
      </w:sdtPr>
      <w:sdtEndPr/>
      <w:sdtContent>
        <w:p w14:paraId="3EE7D5B2" w14:textId="77777777" w:rsidR="00E57DAA" w:rsidRDefault="00AC4185">
          <w:pPr>
            <w:ind w:firstLineChars="3700" w:firstLine="7770"/>
            <w:rPr>
              <w:szCs w:val="21"/>
            </w:rPr>
          </w:pPr>
          <w:r>
            <w:rPr>
              <w:rFonts w:hint="eastAsia"/>
              <w:szCs w:val="21"/>
            </w:rPr>
            <w:t>单位：万元</w:t>
          </w:r>
        </w:p>
        <w:tbl>
          <w:tblPr>
            <w:tblStyle w:val="aff6"/>
            <w:tblW w:w="0" w:type="auto"/>
            <w:tblLook w:val="04A0" w:firstRow="1" w:lastRow="0" w:firstColumn="1" w:lastColumn="0" w:noHBand="0" w:noVBand="1"/>
          </w:tblPr>
          <w:tblGrid>
            <w:gridCol w:w="2972"/>
            <w:gridCol w:w="1843"/>
            <w:gridCol w:w="1802"/>
            <w:gridCol w:w="2206"/>
          </w:tblGrid>
          <w:tr w:rsidR="00E57DAA" w14:paraId="3C95D011" w14:textId="77777777">
            <w:tc>
              <w:tcPr>
                <w:tcW w:w="2972" w:type="dxa"/>
              </w:tcPr>
              <w:p w14:paraId="5EFDE09C" w14:textId="77777777" w:rsidR="00E57DAA" w:rsidRDefault="00AC4185" w:rsidP="00C25422">
                <w:pPr>
                  <w:pStyle w:val="92"/>
                </w:pPr>
                <w:r>
                  <w:t>科目</w:t>
                </w:r>
              </w:p>
            </w:tc>
            <w:tc>
              <w:tcPr>
                <w:tcW w:w="1843" w:type="dxa"/>
              </w:tcPr>
              <w:p w14:paraId="4C9E9D6F" w14:textId="77777777" w:rsidR="00E57DAA" w:rsidRDefault="00AC4185" w:rsidP="00C25422">
                <w:pPr>
                  <w:pStyle w:val="92"/>
                </w:pPr>
                <w:r>
                  <w:t>本期数</w:t>
                </w:r>
              </w:p>
            </w:tc>
            <w:tc>
              <w:tcPr>
                <w:tcW w:w="1802" w:type="dxa"/>
              </w:tcPr>
              <w:p w14:paraId="7C0A8037" w14:textId="77777777" w:rsidR="00E57DAA" w:rsidRDefault="00AC4185" w:rsidP="00C25422">
                <w:pPr>
                  <w:pStyle w:val="92"/>
                </w:pPr>
                <w:r>
                  <w:t>上年同期数</w:t>
                </w:r>
              </w:p>
            </w:tc>
            <w:tc>
              <w:tcPr>
                <w:tcW w:w="2206" w:type="dxa"/>
              </w:tcPr>
              <w:p w14:paraId="39E5B677" w14:textId="77777777" w:rsidR="00E57DAA" w:rsidRDefault="00AC4185" w:rsidP="00C25422">
                <w:pPr>
                  <w:pStyle w:val="92"/>
                </w:pPr>
                <w:r>
                  <w:t>变动比例（%）</w:t>
                </w:r>
              </w:p>
            </w:tc>
          </w:tr>
          <w:tr w:rsidR="00E57DAA" w14:paraId="3ADA7B00" w14:textId="77777777">
            <w:tc>
              <w:tcPr>
                <w:tcW w:w="2972" w:type="dxa"/>
              </w:tcPr>
              <w:p w14:paraId="5A5BF809" w14:textId="77777777" w:rsidR="00E57DAA" w:rsidRDefault="00AC4185" w:rsidP="00C25422">
                <w:pPr>
                  <w:pStyle w:val="92"/>
                </w:pPr>
                <w:r>
                  <w:t>经营活动产生的现金流量净额</w:t>
                </w:r>
              </w:p>
            </w:tc>
            <w:tc>
              <w:tcPr>
                <w:tcW w:w="1843" w:type="dxa"/>
              </w:tcPr>
              <w:p w14:paraId="154765A3" w14:textId="77777777" w:rsidR="00E57DAA" w:rsidRDefault="00AC4185">
                <w:pPr>
                  <w:jc w:val="right"/>
                </w:pPr>
                <w:r>
                  <w:t>353,585.81</w:t>
                </w:r>
              </w:p>
            </w:tc>
            <w:tc>
              <w:tcPr>
                <w:tcW w:w="1802" w:type="dxa"/>
              </w:tcPr>
              <w:p w14:paraId="6F12D50F" w14:textId="77777777" w:rsidR="00E57DAA" w:rsidRDefault="00AC4185">
                <w:pPr>
                  <w:jc w:val="right"/>
                </w:pPr>
                <w:r>
                  <w:t>114,028.26</w:t>
                </w:r>
              </w:p>
            </w:tc>
            <w:tc>
              <w:tcPr>
                <w:tcW w:w="2206" w:type="dxa"/>
              </w:tcPr>
              <w:p w14:paraId="40849F27" w14:textId="77777777" w:rsidR="00E57DAA" w:rsidRDefault="00AC4185">
                <w:pPr>
                  <w:jc w:val="right"/>
                </w:pPr>
                <w:r>
                  <w:t>210.09</w:t>
                </w:r>
              </w:p>
            </w:tc>
          </w:tr>
          <w:tr w:rsidR="00E57DAA" w14:paraId="70D8A85E" w14:textId="77777777">
            <w:tc>
              <w:tcPr>
                <w:tcW w:w="2972" w:type="dxa"/>
              </w:tcPr>
              <w:p w14:paraId="6AAD950D" w14:textId="77777777" w:rsidR="00E57DAA" w:rsidRDefault="00AC4185" w:rsidP="00C25422">
                <w:pPr>
                  <w:pStyle w:val="92"/>
                </w:pPr>
                <w:r>
                  <w:t>投资活动产生的现金流量净额</w:t>
                </w:r>
              </w:p>
            </w:tc>
            <w:tc>
              <w:tcPr>
                <w:tcW w:w="1843" w:type="dxa"/>
              </w:tcPr>
              <w:p w14:paraId="203BFCB3" w14:textId="77777777" w:rsidR="00E57DAA" w:rsidRDefault="00AC4185">
                <w:pPr>
                  <w:jc w:val="right"/>
                </w:pPr>
                <w:r>
                  <w:t>-90,355.02</w:t>
                </w:r>
              </w:p>
            </w:tc>
            <w:tc>
              <w:tcPr>
                <w:tcW w:w="1802" w:type="dxa"/>
              </w:tcPr>
              <w:p w14:paraId="385A24DC" w14:textId="77777777" w:rsidR="00E57DAA" w:rsidRDefault="00AC4185">
                <w:pPr>
                  <w:jc w:val="right"/>
                </w:pPr>
                <w:r>
                  <w:t>-115,213.07</w:t>
                </w:r>
              </w:p>
            </w:tc>
            <w:tc>
              <w:tcPr>
                <w:tcW w:w="2206" w:type="dxa"/>
              </w:tcPr>
              <w:p w14:paraId="7544F0D9" w14:textId="77777777" w:rsidR="00E57DAA" w:rsidRDefault="00AC4185">
                <w:pPr>
                  <w:jc w:val="right"/>
                </w:pPr>
                <w:r>
                  <w:t>不适用</w:t>
                </w:r>
              </w:p>
            </w:tc>
          </w:tr>
          <w:tr w:rsidR="00E57DAA" w14:paraId="1517FE18" w14:textId="77777777">
            <w:tc>
              <w:tcPr>
                <w:tcW w:w="2972" w:type="dxa"/>
              </w:tcPr>
              <w:p w14:paraId="42C021F3" w14:textId="77777777" w:rsidR="00E57DAA" w:rsidRDefault="00AC4185" w:rsidP="00C25422">
                <w:pPr>
                  <w:pStyle w:val="92"/>
                </w:pPr>
                <w:r>
                  <w:t>筹资活动产生的现金流量净额</w:t>
                </w:r>
              </w:p>
            </w:tc>
            <w:tc>
              <w:tcPr>
                <w:tcW w:w="1843" w:type="dxa"/>
              </w:tcPr>
              <w:p w14:paraId="5FE32E3C" w14:textId="77777777" w:rsidR="00E57DAA" w:rsidRDefault="00AC4185">
                <w:pPr>
                  <w:jc w:val="right"/>
                </w:pPr>
                <w:r>
                  <w:t>-170,802.74</w:t>
                </w:r>
              </w:p>
            </w:tc>
            <w:tc>
              <w:tcPr>
                <w:tcW w:w="1802" w:type="dxa"/>
              </w:tcPr>
              <w:p w14:paraId="29718E29" w14:textId="77777777" w:rsidR="00E57DAA" w:rsidRDefault="00AC4185">
                <w:pPr>
                  <w:jc w:val="right"/>
                </w:pPr>
                <w:r>
                  <w:t>-71,592.09</w:t>
                </w:r>
              </w:p>
            </w:tc>
            <w:tc>
              <w:tcPr>
                <w:tcW w:w="2206" w:type="dxa"/>
              </w:tcPr>
              <w:p w14:paraId="046796FC" w14:textId="77777777" w:rsidR="00E57DAA" w:rsidRDefault="00AC4185">
                <w:pPr>
                  <w:jc w:val="right"/>
                </w:pPr>
                <w:r>
                  <w:t>不适用</w:t>
                </w:r>
              </w:p>
            </w:tc>
          </w:tr>
        </w:tbl>
        <w:p w14:paraId="547B8934" w14:textId="77777777" w:rsidR="00E57DAA" w:rsidRDefault="00EB41A1">
          <w:pPr>
            <w:rPr>
              <w:szCs w:val="21"/>
            </w:rPr>
          </w:pPr>
        </w:p>
      </w:sdtContent>
    </w:sdt>
    <w:p w14:paraId="224B695B" w14:textId="77777777" w:rsidR="00E57DAA" w:rsidRDefault="00AC4185">
      <w:pPr>
        <w:pStyle w:val="3"/>
        <w:numPr>
          <w:ilvl w:val="0"/>
          <w:numId w:val="9"/>
        </w:numPr>
      </w:pPr>
      <w:r>
        <w:rPr>
          <w:rFonts w:hint="eastAsia"/>
        </w:rPr>
        <w:t>非主营业务导致利润重大变化的说明</w:t>
      </w:r>
    </w:p>
    <w:p w14:paraId="42159D41" w14:textId="77777777" w:rsidR="00E57DAA" w:rsidRDefault="00EB41A1">
      <w:pPr>
        <w:rPr>
          <w:szCs w:val="21"/>
        </w:rPr>
      </w:pPr>
      <w:sdt>
        <w:sdtPr>
          <w:rPr>
            <w:szCs w:val="21"/>
          </w:rPr>
          <w:alias w:val="是否适用：非主营业务来源分析[双击切换]"/>
          <w:tag w:val="_GBC_e76b46ce658b44e591e71db49febe73d"/>
          <w:id w:val="1704510429"/>
          <w:placeholder>
            <w:docPart w:val="GBC22222222222222222222222222222"/>
          </w:placeholder>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r w:rsidR="00AC4185">
        <w:rPr>
          <w:szCs w:val="21"/>
        </w:rPr>
        <w:t xml:space="preserve"> </w:t>
      </w:r>
    </w:p>
    <w:p w14:paraId="523E8E3E" w14:textId="77777777" w:rsidR="00E57DAA" w:rsidRDefault="00E57DAA">
      <w:pPr>
        <w:rPr>
          <w:szCs w:val="21"/>
        </w:rPr>
      </w:pPr>
    </w:p>
    <w:p w14:paraId="44E3D33D" w14:textId="77777777" w:rsidR="00E57DAA" w:rsidRDefault="00AC4185">
      <w:pPr>
        <w:pStyle w:val="3"/>
        <w:numPr>
          <w:ilvl w:val="0"/>
          <w:numId w:val="9"/>
        </w:numPr>
      </w:pPr>
      <w:r>
        <w:t>资产、负债情况分析</w:t>
      </w:r>
    </w:p>
    <w:p w14:paraId="732BA885" w14:textId="77777777" w:rsidR="00E57DAA" w:rsidRDefault="00EB41A1" w:rsidP="00C25422">
      <w:pPr>
        <w:pStyle w:val="92"/>
      </w:pPr>
      <w:sdt>
        <w:sdtPr>
          <w:rPr>
            <w:rFonts w:hint="eastAsia"/>
          </w:rPr>
          <w:alias w:val="是否适用：资产、负债情况分析[双击切换]"/>
          <w:tag w:val="_GBC_73f72b786f764d01bef1bb70d2d6e5c6"/>
          <w:id w:val="1379363030"/>
          <w:lock w:val="contentLocked"/>
          <w:placeholder>
            <w:docPart w:val="GBC22222222222222222222222222222"/>
          </w:placeholder>
        </w:sdtPr>
        <w:sdtEndPr/>
        <w:sdtContent>
          <w:r w:rsidR="00AC4185">
            <w:fldChar w:fldCharType="begin"/>
          </w:r>
          <w:r w:rsidR="00AC4185">
            <w:instrText xml:space="preserve"> </w:instrText>
          </w:r>
          <w:r w:rsidR="00AC4185">
            <w:rPr>
              <w:rFonts w:hint="eastAsia"/>
            </w:rPr>
            <w:instrText xml:space="preserve">MACROBUTTON  SnrToggleCheckbox √适用 </w:instrText>
          </w:r>
          <w:r w:rsidR="00AC4185">
            <w:instrText xml:space="preserve">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CECDC97" w14:textId="77777777" w:rsidR="00E57DAA" w:rsidRDefault="00AC4185">
      <w:pPr>
        <w:pStyle w:val="4"/>
        <w:numPr>
          <w:ilvl w:val="0"/>
          <w:numId w:val="13"/>
        </w:numPr>
      </w:pPr>
      <w:r>
        <w:t>资产</w:t>
      </w:r>
      <w:r>
        <w:rPr>
          <w:rFonts w:hint="eastAsia"/>
        </w:rPr>
        <w:t>及</w:t>
      </w:r>
      <w:r>
        <w:t>负债</w:t>
      </w:r>
      <w:r>
        <w:rPr>
          <w:rFonts w:hint="eastAsia"/>
          <w:szCs w:val="21"/>
        </w:rPr>
        <w:t>状</w:t>
      </w:r>
      <w:r>
        <w:rPr>
          <w:szCs w:val="21"/>
        </w:rPr>
        <w:t>况</w:t>
      </w:r>
    </w:p>
    <w:p w14:paraId="55D78ACF" w14:textId="77777777" w:rsidR="00E57DAA" w:rsidRDefault="00AC4185">
      <w:pPr>
        <w:jc w:val="right"/>
        <w:rPr>
          <w:szCs w:val="21"/>
        </w:rPr>
      </w:pPr>
      <w:r>
        <w:rPr>
          <w:rFonts w:hint="eastAsia"/>
          <w:szCs w:val="21"/>
        </w:rPr>
        <w:t>单位：</w:t>
      </w:r>
      <w:sdt>
        <w:sdtPr>
          <w:rPr>
            <w:rFonts w:hint="eastAsia"/>
            <w:szCs w:val="21"/>
          </w:rPr>
          <w:alias w:val="单位：资产负债状况分析"/>
          <w:tag w:val="_GBC_f016c1cffd884dd784e4fb134fd0d4df"/>
          <w:id w:val="6897311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p>
    <w:tbl>
      <w:tblPr>
        <w:tblStyle w:val="aff6"/>
        <w:tblW w:w="5000" w:type="pct"/>
        <w:tblLook w:val="04A0" w:firstRow="1" w:lastRow="0" w:firstColumn="1" w:lastColumn="0" w:noHBand="0" w:noVBand="1"/>
      </w:tblPr>
      <w:tblGrid>
        <w:gridCol w:w="1980"/>
        <w:gridCol w:w="1417"/>
        <w:gridCol w:w="993"/>
        <w:gridCol w:w="1417"/>
        <w:gridCol w:w="992"/>
        <w:gridCol w:w="1135"/>
        <w:gridCol w:w="889"/>
      </w:tblGrid>
      <w:tr w:rsidR="00E57DAA" w14:paraId="1EF0096C" w14:textId="77777777">
        <w:trPr>
          <w:trHeight w:val="180"/>
        </w:trPr>
        <w:sdt>
          <w:sdtPr>
            <w:tag w:val="_PLD_8f1f37d9a09f4bf3a8f4c407297e58ed"/>
            <w:id w:val="-1502658202"/>
          </w:sdtPr>
          <w:sdtEndPr/>
          <w:sdtContent>
            <w:tc>
              <w:tcPr>
                <w:tcW w:w="1122" w:type="pct"/>
                <w:vAlign w:val="center"/>
              </w:tcPr>
              <w:p w14:paraId="48F50E13" w14:textId="77777777" w:rsidR="00E57DAA" w:rsidRDefault="00AC4185">
                <w:pPr>
                  <w:jc w:val="center"/>
                  <w:rPr>
                    <w:rStyle w:val="50"/>
                    <w:szCs w:val="21"/>
                  </w:rPr>
                </w:pPr>
                <w:r>
                  <w:rPr>
                    <w:szCs w:val="21"/>
                  </w:rPr>
                  <w:t>项目名称</w:t>
                </w:r>
              </w:p>
            </w:tc>
          </w:sdtContent>
        </w:sdt>
        <w:sdt>
          <w:sdtPr>
            <w:tag w:val="_PLD_a4c00a3d0d0a42e28bc6a14dd6d26320"/>
            <w:id w:val="667523880"/>
          </w:sdtPr>
          <w:sdtEndPr/>
          <w:sdtContent>
            <w:tc>
              <w:tcPr>
                <w:tcW w:w="803" w:type="pct"/>
                <w:vAlign w:val="center"/>
              </w:tcPr>
              <w:p w14:paraId="7C29D7CC" w14:textId="77777777" w:rsidR="00E57DAA" w:rsidRDefault="00AC4185">
                <w:pPr>
                  <w:jc w:val="center"/>
                  <w:rPr>
                    <w:rStyle w:val="50"/>
                    <w:szCs w:val="21"/>
                  </w:rPr>
                </w:pPr>
                <w:r>
                  <w:rPr>
                    <w:szCs w:val="21"/>
                  </w:rPr>
                  <w:t>本期期末数</w:t>
                </w:r>
              </w:p>
            </w:tc>
          </w:sdtContent>
        </w:sdt>
        <w:sdt>
          <w:sdtPr>
            <w:tag w:val="_PLD_17de20223ad64b528b824744807b0036"/>
            <w:id w:val="-1461487194"/>
          </w:sdtPr>
          <w:sdtEndPr/>
          <w:sdtContent>
            <w:tc>
              <w:tcPr>
                <w:tcW w:w="563" w:type="pct"/>
                <w:vAlign w:val="center"/>
              </w:tcPr>
              <w:p w14:paraId="6C48B8B3" w14:textId="77777777" w:rsidR="00E57DAA" w:rsidRDefault="00AC4185">
                <w:pPr>
                  <w:jc w:val="center"/>
                  <w:rPr>
                    <w:rStyle w:val="50"/>
                    <w:szCs w:val="21"/>
                  </w:rPr>
                </w:pPr>
                <w:r>
                  <w:rPr>
                    <w:szCs w:val="21"/>
                  </w:rPr>
                  <w:t>本期期末数占总资产的比例（%）</w:t>
                </w:r>
              </w:p>
            </w:tc>
          </w:sdtContent>
        </w:sdt>
        <w:sdt>
          <w:sdtPr>
            <w:tag w:val="_PLD_d1b9e9483c3a41358f877758b5adb0fb"/>
            <w:id w:val="629132701"/>
          </w:sdtPr>
          <w:sdtEndPr/>
          <w:sdtContent>
            <w:tc>
              <w:tcPr>
                <w:tcW w:w="803" w:type="pct"/>
                <w:vAlign w:val="center"/>
              </w:tcPr>
              <w:p w14:paraId="3CE29427" w14:textId="77777777" w:rsidR="00E57DAA" w:rsidRDefault="00AC4185">
                <w:pPr>
                  <w:jc w:val="center"/>
                  <w:rPr>
                    <w:rStyle w:val="50"/>
                    <w:szCs w:val="21"/>
                  </w:rPr>
                </w:pPr>
                <w:r>
                  <w:rPr>
                    <w:szCs w:val="21"/>
                  </w:rPr>
                  <w:t>上期期末数</w:t>
                </w:r>
              </w:p>
            </w:tc>
          </w:sdtContent>
        </w:sdt>
        <w:sdt>
          <w:sdtPr>
            <w:tag w:val="_PLD_3a8a8577e1a84f26856a900f7202f9a8"/>
            <w:id w:val="1671754760"/>
          </w:sdtPr>
          <w:sdtEndPr/>
          <w:sdtContent>
            <w:tc>
              <w:tcPr>
                <w:tcW w:w="562" w:type="pct"/>
                <w:vAlign w:val="center"/>
              </w:tcPr>
              <w:p w14:paraId="5B5A7003" w14:textId="77777777" w:rsidR="00E57DAA" w:rsidRDefault="00AC4185">
                <w:pPr>
                  <w:jc w:val="center"/>
                  <w:rPr>
                    <w:rStyle w:val="50"/>
                    <w:szCs w:val="21"/>
                  </w:rPr>
                </w:pPr>
                <w:r>
                  <w:rPr>
                    <w:szCs w:val="21"/>
                  </w:rPr>
                  <w:t>上期期末数占总资产的比例（%）</w:t>
                </w:r>
              </w:p>
            </w:tc>
          </w:sdtContent>
        </w:sdt>
        <w:sdt>
          <w:sdtPr>
            <w:tag w:val="_PLD_8af1894621b84d44aec1deba51e3a7da"/>
            <w:id w:val="1213081178"/>
          </w:sdtPr>
          <w:sdtEndPr/>
          <w:sdtContent>
            <w:tc>
              <w:tcPr>
                <w:tcW w:w="643" w:type="pct"/>
                <w:vAlign w:val="center"/>
              </w:tcPr>
              <w:p w14:paraId="378806BF" w14:textId="77777777" w:rsidR="00E57DAA" w:rsidRDefault="00AC4185">
                <w:pPr>
                  <w:jc w:val="center"/>
                  <w:rPr>
                    <w:rStyle w:val="50"/>
                    <w:szCs w:val="21"/>
                  </w:rPr>
                </w:pPr>
                <w:r>
                  <w:rPr>
                    <w:szCs w:val="21"/>
                  </w:rPr>
                  <w:t>本期期末金额较上期期末变动比例（%）</w:t>
                </w:r>
              </w:p>
            </w:tc>
          </w:sdtContent>
        </w:sdt>
        <w:sdt>
          <w:sdtPr>
            <w:tag w:val="_PLD_495436d1d45e4a9391194459a895631e"/>
            <w:id w:val="-1624380951"/>
          </w:sdtPr>
          <w:sdtEndPr/>
          <w:sdtContent>
            <w:tc>
              <w:tcPr>
                <w:tcW w:w="504" w:type="pct"/>
                <w:vAlign w:val="center"/>
              </w:tcPr>
              <w:p w14:paraId="78779730" w14:textId="77777777" w:rsidR="00E57DAA" w:rsidRDefault="00AC4185">
                <w:pPr>
                  <w:jc w:val="center"/>
                  <w:rPr>
                    <w:rStyle w:val="50"/>
                    <w:szCs w:val="21"/>
                  </w:rPr>
                </w:pPr>
                <w:r>
                  <w:rPr>
                    <w:szCs w:val="21"/>
                  </w:rPr>
                  <w:t>情况说明</w:t>
                </w:r>
              </w:p>
            </w:tc>
          </w:sdtContent>
        </w:sdt>
      </w:tr>
      <w:tr w:rsidR="00E57DAA" w14:paraId="2E83DB71" w14:textId="77777777">
        <w:trPr>
          <w:trHeight w:val="135"/>
        </w:trPr>
        <w:tc>
          <w:tcPr>
            <w:tcW w:w="1122" w:type="pct"/>
          </w:tcPr>
          <w:p w14:paraId="79A626CF" w14:textId="77777777" w:rsidR="00E57DAA" w:rsidRDefault="00AC4185">
            <w:pPr>
              <w:rPr>
                <w:rStyle w:val="50"/>
                <w:b w:val="0"/>
                <w:szCs w:val="21"/>
              </w:rPr>
            </w:pPr>
            <w:r>
              <w:t>交易性金融资产 </w:t>
            </w:r>
          </w:p>
        </w:tc>
        <w:tc>
          <w:tcPr>
            <w:tcW w:w="803" w:type="pct"/>
            <w:vAlign w:val="center"/>
          </w:tcPr>
          <w:p w14:paraId="762BC457" w14:textId="77777777" w:rsidR="00E57DAA" w:rsidRDefault="00AC4185">
            <w:pPr>
              <w:jc w:val="right"/>
              <w:rPr>
                <w:rStyle w:val="50"/>
                <w:b w:val="0"/>
                <w:szCs w:val="21"/>
              </w:rPr>
            </w:pPr>
            <w:r>
              <w:t>25,147.88</w:t>
            </w:r>
          </w:p>
        </w:tc>
        <w:tc>
          <w:tcPr>
            <w:tcW w:w="563" w:type="pct"/>
            <w:vAlign w:val="center"/>
          </w:tcPr>
          <w:p w14:paraId="0818223D" w14:textId="77777777" w:rsidR="00E57DAA" w:rsidRDefault="00AC4185">
            <w:pPr>
              <w:jc w:val="right"/>
              <w:rPr>
                <w:rStyle w:val="50"/>
                <w:b w:val="0"/>
                <w:szCs w:val="21"/>
              </w:rPr>
            </w:pPr>
            <w:r>
              <w:t>0.46</w:t>
            </w:r>
          </w:p>
        </w:tc>
        <w:tc>
          <w:tcPr>
            <w:tcW w:w="803" w:type="pct"/>
            <w:vAlign w:val="center"/>
          </w:tcPr>
          <w:p w14:paraId="20E62F8A" w14:textId="77777777" w:rsidR="00E57DAA" w:rsidRDefault="00AC4185">
            <w:pPr>
              <w:jc w:val="right"/>
              <w:rPr>
                <w:rStyle w:val="50"/>
                <w:b w:val="0"/>
                <w:szCs w:val="21"/>
              </w:rPr>
            </w:pPr>
            <w:r>
              <w:t>60,116.99</w:t>
            </w:r>
          </w:p>
        </w:tc>
        <w:tc>
          <w:tcPr>
            <w:tcW w:w="562" w:type="pct"/>
            <w:vAlign w:val="center"/>
          </w:tcPr>
          <w:p w14:paraId="39BA8F82" w14:textId="77777777" w:rsidR="00E57DAA" w:rsidRDefault="00AC4185">
            <w:pPr>
              <w:jc w:val="right"/>
              <w:rPr>
                <w:rStyle w:val="50"/>
                <w:b w:val="0"/>
                <w:szCs w:val="21"/>
              </w:rPr>
            </w:pPr>
            <w:r>
              <w:t>1.20</w:t>
            </w:r>
          </w:p>
        </w:tc>
        <w:tc>
          <w:tcPr>
            <w:tcW w:w="643" w:type="pct"/>
            <w:vAlign w:val="center"/>
          </w:tcPr>
          <w:p w14:paraId="452047EA" w14:textId="77777777" w:rsidR="00E57DAA" w:rsidRDefault="00AC4185">
            <w:pPr>
              <w:jc w:val="right"/>
              <w:rPr>
                <w:rStyle w:val="50"/>
                <w:b w:val="0"/>
                <w:szCs w:val="21"/>
              </w:rPr>
            </w:pPr>
            <w:r>
              <w:t>-58.17</w:t>
            </w:r>
          </w:p>
        </w:tc>
        <w:tc>
          <w:tcPr>
            <w:tcW w:w="504" w:type="pct"/>
            <w:vAlign w:val="center"/>
          </w:tcPr>
          <w:p w14:paraId="0273C61C" w14:textId="77777777" w:rsidR="00E57DAA" w:rsidRDefault="00AC4185">
            <w:pPr>
              <w:rPr>
                <w:rStyle w:val="50"/>
                <w:b w:val="0"/>
                <w:szCs w:val="21"/>
              </w:rPr>
            </w:pPr>
            <w:r>
              <w:t>注1</w:t>
            </w:r>
          </w:p>
        </w:tc>
      </w:tr>
      <w:tr w:rsidR="00E57DAA" w14:paraId="0623241D" w14:textId="77777777">
        <w:trPr>
          <w:trHeight w:val="135"/>
        </w:trPr>
        <w:tc>
          <w:tcPr>
            <w:tcW w:w="1122" w:type="pct"/>
          </w:tcPr>
          <w:p w14:paraId="13864B88" w14:textId="77777777" w:rsidR="00E57DAA" w:rsidRDefault="00AC4185">
            <w:pPr>
              <w:rPr>
                <w:rStyle w:val="50"/>
                <w:b w:val="0"/>
                <w:szCs w:val="21"/>
              </w:rPr>
            </w:pPr>
            <w:r>
              <w:t>一年内到期的非流动资产 </w:t>
            </w:r>
          </w:p>
        </w:tc>
        <w:tc>
          <w:tcPr>
            <w:tcW w:w="803" w:type="pct"/>
            <w:vAlign w:val="center"/>
          </w:tcPr>
          <w:p w14:paraId="220C63D8" w14:textId="77777777" w:rsidR="00E57DAA" w:rsidRDefault="00AC4185">
            <w:pPr>
              <w:jc w:val="right"/>
              <w:rPr>
                <w:rStyle w:val="50"/>
                <w:b w:val="0"/>
                <w:szCs w:val="21"/>
              </w:rPr>
            </w:pPr>
            <w:r>
              <w:t>165,001.90</w:t>
            </w:r>
          </w:p>
        </w:tc>
        <w:tc>
          <w:tcPr>
            <w:tcW w:w="563" w:type="pct"/>
            <w:vAlign w:val="center"/>
          </w:tcPr>
          <w:p w14:paraId="505F1B3A" w14:textId="77777777" w:rsidR="00E57DAA" w:rsidRDefault="00AC4185">
            <w:pPr>
              <w:jc w:val="right"/>
              <w:rPr>
                <w:rStyle w:val="50"/>
                <w:b w:val="0"/>
                <w:szCs w:val="21"/>
              </w:rPr>
            </w:pPr>
            <w:r>
              <w:t>3.03</w:t>
            </w:r>
          </w:p>
        </w:tc>
        <w:tc>
          <w:tcPr>
            <w:tcW w:w="803" w:type="pct"/>
            <w:vAlign w:val="center"/>
          </w:tcPr>
          <w:p w14:paraId="6BA45E07" w14:textId="77777777" w:rsidR="00E57DAA" w:rsidRDefault="00AC4185">
            <w:pPr>
              <w:jc w:val="right"/>
              <w:rPr>
                <w:rStyle w:val="50"/>
                <w:b w:val="0"/>
                <w:szCs w:val="21"/>
              </w:rPr>
            </w:pPr>
            <w:r>
              <w:t>106,954.47</w:t>
            </w:r>
          </w:p>
        </w:tc>
        <w:tc>
          <w:tcPr>
            <w:tcW w:w="562" w:type="pct"/>
            <w:vAlign w:val="center"/>
          </w:tcPr>
          <w:p w14:paraId="1BB82A35" w14:textId="77777777" w:rsidR="00E57DAA" w:rsidRDefault="00AC4185">
            <w:pPr>
              <w:jc w:val="right"/>
              <w:rPr>
                <w:rStyle w:val="50"/>
                <w:b w:val="0"/>
                <w:szCs w:val="21"/>
              </w:rPr>
            </w:pPr>
            <w:r>
              <w:t>2.14</w:t>
            </w:r>
          </w:p>
        </w:tc>
        <w:tc>
          <w:tcPr>
            <w:tcW w:w="643" w:type="pct"/>
            <w:vAlign w:val="center"/>
          </w:tcPr>
          <w:p w14:paraId="0337E9E1" w14:textId="77777777" w:rsidR="00E57DAA" w:rsidRDefault="00AC4185">
            <w:pPr>
              <w:jc w:val="right"/>
              <w:rPr>
                <w:rStyle w:val="50"/>
                <w:b w:val="0"/>
                <w:szCs w:val="21"/>
              </w:rPr>
            </w:pPr>
            <w:r>
              <w:t>54.27</w:t>
            </w:r>
          </w:p>
        </w:tc>
        <w:tc>
          <w:tcPr>
            <w:tcW w:w="504" w:type="pct"/>
            <w:vAlign w:val="center"/>
          </w:tcPr>
          <w:p w14:paraId="1314202D" w14:textId="77777777" w:rsidR="00E57DAA" w:rsidRDefault="00AC4185">
            <w:pPr>
              <w:rPr>
                <w:rStyle w:val="50"/>
                <w:b w:val="0"/>
                <w:szCs w:val="21"/>
              </w:rPr>
            </w:pPr>
            <w:r>
              <w:t>注2</w:t>
            </w:r>
          </w:p>
        </w:tc>
      </w:tr>
      <w:tr w:rsidR="00E57DAA" w14:paraId="4B1EB1F3" w14:textId="77777777">
        <w:trPr>
          <w:trHeight w:val="135"/>
        </w:trPr>
        <w:tc>
          <w:tcPr>
            <w:tcW w:w="1122" w:type="pct"/>
          </w:tcPr>
          <w:p w14:paraId="0D2D14C6" w14:textId="77777777" w:rsidR="00E57DAA" w:rsidRDefault="00AC4185">
            <w:pPr>
              <w:rPr>
                <w:rStyle w:val="50"/>
                <w:b w:val="0"/>
                <w:szCs w:val="21"/>
              </w:rPr>
            </w:pPr>
            <w:r>
              <w:t>其他流动资产 </w:t>
            </w:r>
          </w:p>
        </w:tc>
        <w:tc>
          <w:tcPr>
            <w:tcW w:w="803" w:type="pct"/>
            <w:vAlign w:val="center"/>
          </w:tcPr>
          <w:p w14:paraId="1582B82A" w14:textId="77777777" w:rsidR="00E57DAA" w:rsidRDefault="00AC4185">
            <w:pPr>
              <w:jc w:val="right"/>
              <w:rPr>
                <w:rStyle w:val="50"/>
                <w:b w:val="0"/>
                <w:szCs w:val="21"/>
              </w:rPr>
            </w:pPr>
            <w:r>
              <w:t>44,038.38</w:t>
            </w:r>
          </w:p>
        </w:tc>
        <w:tc>
          <w:tcPr>
            <w:tcW w:w="563" w:type="pct"/>
            <w:vAlign w:val="center"/>
          </w:tcPr>
          <w:p w14:paraId="52DFDAA1" w14:textId="77777777" w:rsidR="00E57DAA" w:rsidRDefault="00AC4185">
            <w:pPr>
              <w:jc w:val="right"/>
              <w:rPr>
                <w:rStyle w:val="50"/>
                <w:b w:val="0"/>
                <w:szCs w:val="21"/>
              </w:rPr>
            </w:pPr>
            <w:r>
              <w:t>0.81</w:t>
            </w:r>
          </w:p>
        </w:tc>
        <w:tc>
          <w:tcPr>
            <w:tcW w:w="803" w:type="pct"/>
            <w:vAlign w:val="center"/>
          </w:tcPr>
          <w:p w14:paraId="70D3353E" w14:textId="77777777" w:rsidR="00E57DAA" w:rsidRDefault="00AC4185">
            <w:pPr>
              <w:jc w:val="right"/>
              <w:rPr>
                <w:rStyle w:val="50"/>
                <w:b w:val="0"/>
                <w:szCs w:val="21"/>
              </w:rPr>
            </w:pPr>
            <w:r>
              <w:t>19,377.01</w:t>
            </w:r>
          </w:p>
        </w:tc>
        <w:tc>
          <w:tcPr>
            <w:tcW w:w="562" w:type="pct"/>
            <w:vAlign w:val="center"/>
          </w:tcPr>
          <w:p w14:paraId="71AE74CC" w14:textId="77777777" w:rsidR="00E57DAA" w:rsidRDefault="00AC4185">
            <w:pPr>
              <w:jc w:val="right"/>
              <w:rPr>
                <w:rStyle w:val="50"/>
                <w:b w:val="0"/>
                <w:szCs w:val="21"/>
              </w:rPr>
            </w:pPr>
            <w:r>
              <w:t>0.39</w:t>
            </w:r>
          </w:p>
        </w:tc>
        <w:tc>
          <w:tcPr>
            <w:tcW w:w="643" w:type="pct"/>
            <w:vAlign w:val="center"/>
          </w:tcPr>
          <w:p w14:paraId="4CC397E4" w14:textId="77777777" w:rsidR="00E57DAA" w:rsidRDefault="00AC4185">
            <w:pPr>
              <w:jc w:val="right"/>
              <w:rPr>
                <w:rStyle w:val="50"/>
                <w:b w:val="0"/>
                <w:szCs w:val="21"/>
              </w:rPr>
            </w:pPr>
            <w:r>
              <w:t>127.27</w:t>
            </w:r>
          </w:p>
        </w:tc>
        <w:tc>
          <w:tcPr>
            <w:tcW w:w="504" w:type="pct"/>
            <w:vAlign w:val="center"/>
          </w:tcPr>
          <w:p w14:paraId="06A6E152" w14:textId="77777777" w:rsidR="00E57DAA" w:rsidRDefault="00AC4185">
            <w:pPr>
              <w:rPr>
                <w:rStyle w:val="50"/>
                <w:b w:val="0"/>
                <w:szCs w:val="21"/>
              </w:rPr>
            </w:pPr>
            <w:r>
              <w:t>注3</w:t>
            </w:r>
          </w:p>
        </w:tc>
      </w:tr>
      <w:tr w:rsidR="00E57DAA" w14:paraId="1E5102D1" w14:textId="77777777">
        <w:trPr>
          <w:trHeight w:val="135"/>
        </w:trPr>
        <w:tc>
          <w:tcPr>
            <w:tcW w:w="1122" w:type="pct"/>
          </w:tcPr>
          <w:p w14:paraId="739D82BA" w14:textId="77777777" w:rsidR="00E57DAA" w:rsidRDefault="00AC4185">
            <w:pPr>
              <w:rPr>
                <w:rStyle w:val="50"/>
                <w:b w:val="0"/>
                <w:szCs w:val="21"/>
              </w:rPr>
            </w:pPr>
            <w:r>
              <w:t>长期股权投资 </w:t>
            </w:r>
          </w:p>
        </w:tc>
        <w:tc>
          <w:tcPr>
            <w:tcW w:w="803" w:type="pct"/>
            <w:vAlign w:val="center"/>
          </w:tcPr>
          <w:p w14:paraId="7CAD1666" w14:textId="77777777" w:rsidR="00E57DAA" w:rsidRDefault="00AC4185">
            <w:pPr>
              <w:jc w:val="right"/>
              <w:rPr>
                <w:rStyle w:val="50"/>
                <w:b w:val="0"/>
                <w:szCs w:val="21"/>
              </w:rPr>
            </w:pPr>
            <w:r>
              <w:t>121,570.94</w:t>
            </w:r>
          </w:p>
        </w:tc>
        <w:tc>
          <w:tcPr>
            <w:tcW w:w="563" w:type="pct"/>
            <w:vAlign w:val="center"/>
          </w:tcPr>
          <w:p w14:paraId="17413893" w14:textId="77777777" w:rsidR="00E57DAA" w:rsidRDefault="00AC4185">
            <w:pPr>
              <w:jc w:val="right"/>
              <w:rPr>
                <w:rStyle w:val="50"/>
                <w:b w:val="0"/>
                <w:szCs w:val="21"/>
              </w:rPr>
            </w:pPr>
            <w:r>
              <w:t>2.23</w:t>
            </w:r>
          </w:p>
        </w:tc>
        <w:tc>
          <w:tcPr>
            <w:tcW w:w="803" w:type="pct"/>
            <w:vAlign w:val="center"/>
          </w:tcPr>
          <w:p w14:paraId="3C241A12" w14:textId="77777777" w:rsidR="00E57DAA" w:rsidRDefault="00AC4185">
            <w:pPr>
              <w:jc w:val="right"/>
              <w:rPr>
                <w:rStyle w:val="50"/>
                <w:b w:val="0"/>
                <w:szCs w:val="21"/>
              </w:rPr>
            </w:pPr>
            <w:r>
              <w:t>68,726.35</w:t>
            </w:r>
          </w:p>
        </w:tc>
        <w:tc>
          <w:tcPr>
            <w:tcW w:w="562" w:type="pct"/>
            <w:vAlign w:val="center"/>
          </w:tcPr>
          <w:p w14:paraId="500906FF" w14:textId="77777777" w:rsidR="00E57DAA" w:rsidRDefault="00AC4185">
            <w:pPr>
              <w:jc w:val="right"/>
              <w:rPr>
                <w:rStyle w:val="50"/>
                <w:b w:val="0"/>
                <w:szCs w:val="21"/>
              </w:rPr>
            </w:pPr>
            <w:r>
              <w:t>1.37</w:t>
            </w:r>
          </w:p>
        </w:tc>
        <w:tc>
          <w:tcPr>
            <w:tcW w:w="643" w:type="pct"/>
            <w:vAlign w:val="center"/>
          </w:tcPr>
          <w:p w14:paraId="055E320B" w14:textId="77777777" w:rsidR="00E57DAA" w:rsidRDefault="00AC4185">
            <w:pPr>
              <w:jc w:val="right"/>
              <w:rPr>
                <w:rStyle w:val="50"/>
                <w:b w:val="0"/>
                <w:szCs w:val="21"/>
              </w:rPr>
            </w:pPr>
            <w:r>
              <w:t>76.89</w:t>
            </w:r>
          </w:p>
        </w:tc>
        <w:tc>
          <w:tcPr>
            <w:tcW w:w="504" w:type="pct"/>
            <w:vAlign w:val="center"/>
          </w:tcPr>
          <w:p w14:paraId="09B27577" w14:textId="77777777" w:rsidR="00E57DAA" w:rsidRDefault="00AC4185">
            <w:pPr>
              <w:rPr>
                <w:rStyle w:val="50"/>
                <w:b w:val="0"/>
                <w:szCs w:val="21"/>
              </w:rPr>
            </w:pPr>
            <w:r>
              <w:t>注4</w:t>
            </w:r>
          </w:p>
        </w:tc>
      </w:tr>
      <w:tr w:rsidR="00E57DAA" w14:paraId="68BFE1B9" w14:textId="77777777">
        <w:trPr>
          <w:trHeight w:val="135"/>
        </w:trPr>
        <w:tc>
          <w:tcPr>
            <w:tcW w:w="1122" w:type="pct"/>
          </w:tcPr>
          <w:p w14:paraId="24E5C253" w14:textId="77777777" w:rsidR="00E57DAA" w:rsidRDefault="00AC4185">
            <w:pPr>
              <w:rPr>
                <w:rStyle w:val="50"/>
                <w:b w:val="0"/>
                <w:szCs w:val="21"/>
              </w:rPr>
            </w:pPr>
            <w:r>
              <w:t>在建工程 </w:t>
            </w:r>
          </w:p>
        </w:tc>
        <w:tc>
          <w:tcPr>
            <w:tcW w:w="803" w:type="pct"/>
            <w:vAlign w:val="center"/>
          </w:tcPr>
          <w:p w14:paraId="1D5CBF0C" w14:textId="77777777" w:rsidR="00E57DAA" w:rsidRDefault="00AC4185">
            <w:pPr>
              <w:jc w:val="right"/>
              <w:rPr>
                <w:rStyle w:val="50"/>
                <w:b w:val="0"/>
                <w:szCs w:val="21"/>
              </w:rPr>
            </w:pPr>
            <w:r>
              <w:t>57,610.99</w:t>
            </w:r>
          </w:p>
        </w:tc>
        <w:tc>
          <w:tcPr>
            <w:tcW w:w="563" w:type="pct"/>
            <w:vAlign w:val="center"/>
          </w:tcPr>
          <w:p w14:paraId="0A1A017C" w14:textId="77777777" w:rsidR="00E57DAA" w:rsidRDefault="00AC4185">
            <w:pPr>
              <w:jc w:val="right"/>
              <w:rPr>
                <w:rStyle w:val="50"/>
                <w:b w:val="0"/>
                <w:szCs w:val="21"/>
              </w:rPr>
            </w:pPr>
            <w:r>
              <w:t>1.06</w:t>
            </w:r>
          </w:p>
        </w:tc>
        <w:tc>
          <w:tcPr>
            <w:tcW w:w="803" w:type="pct"/>
            <w:vAlign w:val="center"/>
          </w:tcPr>
          <w:p w14:paraId="22B7A886" w14:textId="77777777" w:rsidR="00E57DAA" w:rsidRDefault="00AC4185">
            <w:pPr>
              <w:jc w:val="right"/>
              <w:rPr>
                <w:rStyle w:val="50"/>
                <w:b w:val="0"/>
                <w:szCs w:val="21"/>
              </w:rPr>
            </w:pPr>
            <w:r>
              <w:t>85,061.21</w:t>
            </w:r>
          </w:p>
        </w:tc>
        <w:tc>
          <w:tcPr>
            <w:tcW w:w="562" w:type="pct"/>
            <w:vAlign w:val="center"/>
          </w:tcPr>
          <w:p w14:paraId="7AC8D22D" w14:textId="77777777" w:rsidR="00E57DAA" w:rsidRDefault="00AC4185">
            <w:pPr>
              <w:jc w:val="right"/>
              <w:rPr>
                <w:rStyle w:val="50"/>
                <w:b w:val="0"/>
                <w:szCs w:val="21"/>
              </w:rPr>
            </w:pPr>
            <w:r>
              <w:t>1.70</w:t>
            </w:r>
          </w:p>
        </w:tc>
        <w:tc>
          <w:tcPr>
            <w:tcW w:w="643" w:type="pct"/>
            <w:vAlign w:val="center"/>
          </w:tcPr>
          <w:p w14:paraId="0533FCB7" w14:textId="77777777" w:rsidR="00E57DAA" w:rsidRDefault="00AC4185">
            <w:pPr>
              <w:jc w:val="right"/>
              <w:rPr>
                <w:rStyle w:val="50"/>
                <w:b w:val="0"/>
                <w:szCs w:val="21"/>
              </w:rPr>
            </w:pPr>
            <w:r>
              <w:t>-32.27</w:t>
            </w:r>
          </w:p>
        </w:tc>
        <w:tc>
          <w:tcPr>
            <w:tcW w:w="504" w:type="pct"/>
            <w:vAlign w:val="center"/>
          </w:tcPr>
          <w:p w14:paraId="3672AF67" w14:textId="77777777" w:rsidR="00E57DAA" w:rsidRDefault="00AC4185">
            <w:pPr>
              <w:rPr>
                <w:rStyle w:val="50"/>
                <w:b w:val="0"/>
                <w:szCs w:val="21"/>
              </w:rPr>
            </w:pPr>
            <w:r>
              <w:t>注5</w:t>
            </w:r>
          </w:p>
        </w:tc>
      </w:tr>
      <w:tr w:rsidR="00E57DAA" w14:paraId="33FB812D" w14:textId="77777777">
        <w:trPr>
          <w:trHeight w:val="135"/>
        </w:trPr>
        <w:tc>
          <w:tcPr>
            <w:tcW w:w="1122" w:type="pct"/>
          </w:tcPr>
          <w:p w14:paraId="24437836" w14:textId="77777777" w:rsidR="00E57DAA" w:rsidRDefault="00AC4185">
            <w:pPr>
              <w:rPr>
                <w:rStyle w:val="50"/>
                <w:b w:val="0"/>
                <w:szCs w:val="21"/>
              </w:rPr>
            </w:pPr>
            <w:r>
              <w:t>使用权资产 </w:t>
            </w:r>
          </w:p>
        </w:tc>
        <w:tc>
          <w:tcPr>
            <w:tcW w:w="803" w:type="pct"/>
            <w:vAlign w:val="center"/>
          </w:tcPr>
          <w:p w14:paraId="4B6768B6" w14:textId="77777777" w:rsidR="00E57DAA" w:rsidRDefault="00AC4185">
            <w:pPr>
              <w:jc w:val="right"/>
              <w:rPr>
                <w:rStyle w:val="50"/>
                <w:b w:val="0"/>
                <w:szCs w:val="21"/>
              </w:rPr>
            </w:pPr>
            <w:r>
              <w:t>12,838.28</w:t>
            </w:r>
          </w:p>
        </w:tc>
        <w:tc>
          <w:tcPr>
            <w:tcW w:w="563" w:type="pct"/>
            <w:vAlign w:val="center"/>
          </w:tcPr>
          <w:p w14:paraId="5928F7B1" w14:textId="77777777" w:rsidR="00E57DAA" w:rsidRDefault="00AC4185">
            <w:pPr>
              <w:jc w:val="right"/>
              <w:rPr>
                <w:rStyle w:val="50"/>
                <w:b w:val="0"/>
                <w:szCs w:val="21"/>
              </w:rPr>
            </w:pPr>
            <w:r>
              <w:t>0.24</w:t>
            </w:r>
          </w:p>
        </w:tc>
        <w:tc>
          <w:tcPr>
            <w:tcW w:w="803" w:type="pct"/>
            <w:vAlign w:val="center"/>
          </w:tcPr>
          <w:p w14:paraId="13B31885" w14:textId="77777777" w:rsidR="00E57DAA" w:rsidRDefault="00AC4185">
            <w:pPr>
              <w:jc w:val="right"/>
              <w:rPr>
                <w:rStyle w:val="50"/>
                <w:b w:val="0"/>
                <w:szCs w:val="21"/>
              </w:rPr>
            </w:pPr>
            <w:r>
              <w:t>9,759.88</w:t>
            </w:r>
          </w:p>
        </w:tc>
        <w:tc>
          <w:tcPr>
            <w:tcW w:w="562" w:type="pct"/>
            <w:vAlign w:val="center"/>
          </w:tcPr>
          <w:p w14:paraId="58C06A46" w14:textId="77777777" w:rsidR="00E57DAA" w:rsidRDefault="00AC4185">
            <w:pPr>
              <w:jc w:val="right"/>
              <w:rPr>
                <w:rStyle w:val="50"/>
                <w:b w:val="0"/>
                <w:szCs w:val="21"/>
              </w:rPr>
            </w:pPr>
            <w:r>
              <w:t>0.19</w:t>
            </w:r>
          </w:p>
        </w:tc>
        <w:tc>
          <w:tcPr>
            <w:tcW w:w="643" w:type="pct"/>
            <w:vAlign w:val="center"/>
          </w:tcPr>
          <w:p w14:paraId="68B9F5F7" w14:textId="77777777" w:rsidR="00E57DAA" w:rsidRDefault="00AC4185">
            <w:pPr>
              <w:jc w:val="right"/>
              <w:rPr>
                <w:rStyle w:val="50"/>
                <w:b w:val="0"/>
                <w:szCs w:val="21"/>
              </w:rPr>
            </w:pPr>
            <w:r>
              <w:t>31.54</w:t>
            </w:r>
          </w:p>
        </w:tc>
        <w:tc>
          <w:tcPr>
            <w:tcW w:w="504" w:type="pct"/>
            <w:vAlign w:val="center"/>
          </w:tcPr>
          <w:p w14:paraId="411DEC35" w14:textId="77777777" w:rsidR="00E57DAA" w:rsidRDefault="00AC4185">
            <w:pPr>
              <w:rPr>
                <w:rStyle w:val="50"/>
                <w:b w:val="0"/>
                <w:szCs w:val="21"/>
              </w:rPr>
            </w:pPr>
            <w:r>
              <w:t>注6</w:t>
            </w:r>
          </w:p>
        </w:tc>
      </w:tr>
      <w:tr w:rsidR="00E57DAA" w14:paraId="33E41091" w14:textId="77777777">
        <w:trPr>
          <w:trHeight w:val="135"/>
        </w:trPr>
        <w:tc>
          <w:tcPr>
            <w:tcW w:w="1122" w:type="pct"/>
          </w:tcPr>
          <w:p w14:paraId="52975F9B" w14:textId="77777777" w:rsidR="00E57DAA" w:rsidRDefault="00AC4185">
            <w:pPr>
              <w:rPr>
                <w:rStyle w:val="50"/>
                <w:b w:val="0"/>
                <w:szCs w:val="21"/>
              </w:rPr>
            </w:pPr>
            <w:r>
              <w:lastRenderedPageBreak/>
              <w:t>其他非流动资产 </w:t>
            </w:r>
          </w:p>
        </w:tc>
        <w:tc>
          <w:tcPr>
            <w:tcW w:w="803" w:type="pct"/>
            <w:vAlign w:val="center"/>
          </w:tcPr>
          <w:p w14:paraId="143BA95C" w14:textId="77777777" w:rsidR="00E57DAA" w:rsidRDefault="00AC4185">
            <w:pPr>
              <w:jc w:val="right"/>
              <w:rPr>
                <w:rStyle w:val="50"/>
                <w:b w:val="0"/>
                <w:szCs w:val="21"/>
              </w:rPr>
            </w:pPr>
            <w:r>
              <w:t>55,162.21</w:t>
            </w:r>
          </w:p>
        </w:tc>
        <w:tc>
          <w:tcPr>
            <w:tcW w:w="563" w:type="pct"/>
            <w:vAlign w:val="center"/>
          </w:tcPr>
          <w:p w14:paraId="4FDCDF0D" w14:textId="77777777" w:rsidR="00E57DAA" w:rsidRDefault="00AC4185">
            <w:pPr>
              <w:jc w:val="right"/>
              <w:rPr>
                <w:rStyle w:val="50"/>
                <w:b w:val="0"/>
                <w:szCs w:val="21"/>
              </w:rPr>
            </w:pPr>
            <w:r>
              <w:t>1.01</w:t>
            </w:r>
          </w:p>
        </w:tc>
        <w:tc>
          <w:tcPr>
            <w:tcW w:w="803" w:type="pct"/>
            <w:vAlign w:val="center"/>
          </w:tcPr>
          <w:p w14:paraId="6765CB24" w14:textId="77777777" w:rsidR="00E57DAA" w:rsidRDefault="00AC4185">
            <w:pPr>
              <w:jc w:val="right"/>
              <w:rPr>
                <w:rStyle w:val="50"/>
                <w:b w:val="0"/>
                <w:szCs w:val="21"/>
              </w:rPr>
            </w:pPr>
            <w:r>
              <w:t>89,761.91</w:t>
            </w:r>
          </w:p>
        </w:tc>
        <w:tc>
          <w:tcPr>
            <w:tcW w:w="562" w:type="pct"/>
            <w:vAlign w:val="center"/>
          </w:tcPr>
          <w:p w14:paraId="472F009D" w14:textId="77777777" w:rsidR="00E57DAA" w:rsidRDefault="00AC4185">
            <w:pPr>
              <w:jc w:val="right"/>
              <w:rPr>
                <w:rStyle w:val="50"/>
                <w:b w:val="0"/>
                <w:szCs w:val="21"/>
              </w:rPr>
            </w:pPr>
            <w:r>
              <w:t>1.79</w:t>
            </w:r>
          </w:p>
        </w:tc>
        <w:tc>
          <w:tcPr>
            <w:tcW w:w="643" w:type="pct"/>
            <w:vAlign w:val="center"/>
          </w:tcPr>
          <w:p w14:paraId="71376D62" w14:textId="77777777" w:rsidR="00E57DAA" w:rsidRDefault="00AC4185">
            <w:pPr>
              <w:jc w:val="right"/>
              <w:rPr>
                <w:rStyle w:val="50"/>
                <w:b w:val="0"/>
                <w:szCs w:val="21"/>
              </w:rPr>
            </w:pPr>
            <w:r>
              <w:t>-38.55</w:t>
            </w:r>
          </w:p>
        </w:tc>
        <w:tc>
          <w:tcPr>
            <w:tcW w:w="504" w:type="pct"/>
            <w:vAlign w:val="center"/>
          </w:tcPr>
          <w:p w14:paraId="766C4D72" w14:textId="77777777" w:rsidR="00E57DAA" w:rsidRDefault="00AC4185">
            <w:pPr>
              <w:rPr>
                <w:rStyle w:val="50"/>
                <w:b w:val="0"/>
                <w:szCs w:val="21"/>
              </w:rPr>
            </w:pPr>
            <w:r>
              <w:t>注7</w:t>
            </w:r>
          </w:p>
        </w:tc>
      </w:tr>
      <w:tr w:rsidR="00E57DAA" w14:paraId="783A4974" w14:textId="77777777">
        <w:trPr>
          <w:trHeight w:val="135"/>
        </w:trPr>
        <w:tc>
          <w:tcPr>
            <w:tcW w:w="1122" w:type="pct"/>
          </w:tcPr>
          <w:p w14:paraId="4F5C51C8" w14:textId="77777777" w:rsidR="00E57DAA" w:rsidRDefault="00AC4185">
            <w:pPr>
              <w:rPr>
                <w:rStyle w:val="50"/>
                <w:b w:val="0"/>
                <w:szCs w:val="21"/>
              </w:rPr>
            </w:pPr>
            <w:r>
              <w:t>交易性金融负债 </w:t>
            </w:r>
          </w:p>
        </w:tc>
        <w:tc>
          <w:tcPr>
            <w:tcW w:w="803" w:type="pct"/>
            <w:vAlign w:val="center"/>
          </w:tcPr>
          <w:p w14:paraId="23BA4DF5" w14:textId="77777777" w:rsidR="00E57DAA" w:rsidRDefault="00AC4185">
            <w:pPr>
              <w:jc w:val="right"/>
              <w:rPr>
                <w:rStyle w:val="50"/>
                <w:b w:val="0"/>
                <w:szCs w:val="21"/>
              </w:rPr>
            </w:pPr>
            <w:r>
              <w:t>2,611.56</w:t>
            </w:r>
          </w:p>
        </w:tc>
        <w:tc>
          <w:tcPr>
            <w:tcW w:w="563" w:type="pct"/>
            <w:vAlign w:val="center"/>
          </w:tcPr>
          <w:p w14:paraId="3D4D83D9" w14:textId="77777777" w:rsidR="00E57DAA" w:rsidRDefault="00AC4185">
            <w:pPr>
              <w:jc w:val="right"/>
              <w:rPr>
                <w:rStyle w:val="50"/>
                <w:b w:val="0"/>
                <w:szCs w:val="21"/>
              </w:rPr>
            </w:pPr>
            <w:r>
              <w:t>0.05</w:t>
            </w:r>
          </w:p>
        </w:tc>
        <w:tc>
          <w:tcPr>
            <w:tcW w:w="803" w:type="pct"/>
            <w:vAlign w:val="center"/>
          </w:tcPr>
          <w:p w14:paraId="61C7FF7C" w14:textId="77777777" w:rsidR="00E57DAA" w:rsidRDefault="00AC4185">
            <w:pPr>
              <w:jc w:val="right"/>
              <w:rPr>
                <w:rStyle w:val="50"/>
                <w:b w:val="0"/>
                <w:szCs w:val="21"/>
              </w:rPr>
            </w:pPr>
            <w:r>
              <w:t>444.49</w:t>
            </w:r>
          </w:p>
        </w:tc>
        <w:tc>
          <w:tcPr>
            <w:tcW w:w="562" w:type="pct"/>
            <w:vAlign w:val="center"/>
          </w:tcPr>
          <w:p w14:paraId="50A12837" w14:textId="77777777" w:rsidR="00E57DAA" w:rsidRDefault="00AC4185">
            <w:pPr>
              <w:jc w:val="right"/>
              <w:rPr>
                <w:rStyle w:val="50"/>
                <w:b w:val="0"/>
                <w:szCs w:val="21"/>
              </w:rPr>
            </w:pPr>
            <w:r>
              <w:t>0.01</w:t>
            </w:r>
          </w:p>
        </w:tc>
        <w:tc>
          <w:tcPr>
            <w:tcW w:w="643" w:type="pct"/>
            <w:vAlign w:val="center"/>
          </w:tcPr>
          <w:p w14:paraId="51909C99" w14:textId="77777777" w:rsidR="00E57DAA" w:rsidRDefault="00AC4185">
            <w:pPr>
              <w:jc w:val="right"/>
              <w:rPr>
                <w:rStyle w:val="50"/>
                <w:b w:val="0"/>
                <w:szCs w:val="21"/>
              </w:rPr>
            </w:pPr>
            <w:r>
              <w:t>487.54</w:t>
            </w:r>
          </w:p>
        </w:tc>
        <w:tc>
          <w:tcPr>
            <w:tcW w:w="504" w:type="pct"/>
            <w:vAlign w:val="center"/>
          </w:tcPr>
          <w:p w14:paraId="33D47286" w14:textId="77777777" w:rsidR="00E57DAA" w:rsidRDefault="00AC4185">
            <w:pPr>
              <w:rPr>
                <w:rStyle w:val="50"/>
                <w:b w:val="0"/>
                <w:szCs w:val="21"/>
              </w:rPr>
            </w:pPr>
            <w:r>
              <w:t>注8</w:t>
            </w:r>
          </w:p>
        </w:tc>
      </w:tr>
      <w:tr w:rsidR="00E57DAA" w14:paraId="49343DC4" w14:textId="77777777">
        <w:trPr>
          <w:trHeight w:val="135"/>
        </w:trPr>
        <w:tc>
          <w:tcPr>
            <w:tcW w:w="1122" w:type="pct"/>
          </w:tcPr>
          <w:p w14:paraId="6F20F1FB" w14:textId="77777777" w:rsidR="00E57DAA" w:rsidRDefault="00AC4185">
            <w:pPr>
              <w:rPr>
                <w:rStyle w:val="50"/>
                <w:b w:val="0"/>
                <w:szCs w:val="21"/>
              </w:rPr>
            </w:pPr>
            <w:r>
              <w:t>衍生金融负债 </w:t>
            </w:r>
          </w:p>
        </w:tc>
        <w:tc>
          <w:tcPr>
            <w:tcW w:w="803" w:type="pct"/>
            <w:vAlign w:val="center"/>
          </w:tcPr>
          <w:p w14:paraId="5DF01A5A" w14:textId="77777777" w:rsidR="00E57DAA" w:rsidRDefault="00AC4185">
            <w:pPr>
              <w:jc w:val="right"/>
              <w:rPr>
                <w:rStyle w:val="50"/>
                <w:b w:val="0"/>
                <w:szCs w:val="21"/>
              </w:rPr>
            </w:pPr>
            <w:r>
              <w:t>4,641.80</w:t>
            </w:r>
          </w:p>
        </w:tc>
        <w:tc>
          <w:tcPr>
            <w:tcW w:w="563" w:type="pct"/>
            <w:vAlign w:val="center"/>
          </w:tcPr>
          <w:p w14:paraId="5F2FC563" w14:textId="77777777" w:rsidR="00E57DAA" w:rsidRDefault="00AC4185">
            <w:pPr>
              <w:jc w:val="right"/>
              <w:rPr>
                <w:rStyle w:val="50"/>
                <w:b w:val="0"/>
                <w:szCs w:val="21"/>
              </w:rPr>
            </w:pPr>
            <w:r>
              <w:t>0.09</w:t>
            </w:r>
          </w:p>
        </w:tc>
        <w:tc>
          <w:tcPr>
            <w:tcW w:w="803" w:type="pct"/>
            <w:vAlign w:val="center"/>
          </w:tcPr>
          <w:p w14:paraId="46B446DF" w14:textId="77777777" w:rsidR="00E57DAA" w:rsidRDefault="00E57DAA">
            <w:pPr>
              <w:jc w:val="right"/>
              <w:rPr>
                <w:rStyle w:val="50"/>
                <w:b w:val="0"/>
                <w:szCs w:val="21"/>
              </w:rPr>
            </w:pPr>
          </w:p>
        </w:tc>
        <w:tc>
          <w:tcPr>
            <w:tcW w:w="562" w:type="pct"/>
            <w:vAlign w:val="center"/>
          </w:tcPr>
          <w:p w14:paraId="0D0FC609" w14:textId="77777777" w:rsidR="00E57DAA" w:rsidRDefault="00E57DAA">
            <w:pPr>
              <w:jc w:val="right"/>
              <w:rPr>
                <w:rStyle w:val="50"/>
                <w:b w:val="0"/>
                <w:szCs w:val="21"/>
              </w:rPr>
            </w:pPr>
          </w:p>
        </w:tc>
        <w:tc>
          <w:tcPr>
            <w:tcW w:w="643" w:type="pct"/>
            <w:vAlign w:val="center"/>
          </w:tcPr>
          <w:p w14:paraId="312D05C3" w14:textId="77777777" w:rsidR="00E57DAA" w:rsidRDefault="00AC4185">
            <w:pPr>
              <w:jc w:val="right"/>
              <w:rPr>
                <w:rStyle w:val="50"/>
                <w:b w:val="0"/>
                <w:szCs w:val="21"/>
              </w:rPr>
            </w:pPr>
            <w:r>
              <w:t>不适用</w:t>
            </w:r>
          </w:p>
        </w:tc>
        <w:tc>
          <w:tcPr>
            <w:tcW w:w="504" w:type="pct"/>
            <w:vAlign w:val="center"/>
          </w:tcPr>
          <w:p w14:paraId="2742D00D" w14:textId="77777777" w:rsidR="00E57DAA" w:rsidRDefault="00AC4185">
            <w:pPr>
              <w:rPr>
                <w:rStyle w:val="50"/>
                <w:b w:val="0"/>
                <w:szCs w:val="21"/>
              </w:rPr>
            </w:pPr>
            <w:r>
              <w:t>注9</w:t>
            </w:r>
          </w:p>
        </w:tc>
      </w:tr>
      <w:tr w:rsidR="00E57DAA" w14:paraId="3E62B24C" w14:textId="77777777">
        <w:trPr>
          <w:trHeight w:val="135"/>
        </w:trPr>
        <w:tc>
          <w:tcPr>
            <w:tcW w:w="1122" w:type="pct"/>
          </w:tcPr>
          <w:p w14:paraId="74326722" w14:textId="77777777" w:rsidR="00E57DAA" w:rsidRDefault="00AC4185">
            <w:pPr>
              <w:rPr>
                <w:rStyle w:val="50"/>
                <w:b w:val="0"/>
                <w:szCs w:val="21"/>
              </w:rPr>
            </w:pPr>
            <w:r>
              <w:t>一年内到期的非流动负债 </w:t>
            </w:r>
          </w:p>
        </w:tc>
        <w:tc>
          <w:tcPr>
            <w:tcW w:w="803" w:type="pct"/>
            <w:vAlign w:val="center"/>
          </w:tcPr>
          <w:p w14:paraId="4CAB88E0" w14:textId="77777777" w:rsidR="00E57DAA" w:rsidRDefault="00AC4185">
            <w:pPr>
              <w:jc w:val="right"/>
              <w:rPr>
                <w:rStyle w:val="50"/>
                <w:b w:val="0"/>
                <w:szCs w:val="21"/>
              </w:rPr>
            </w:pPr>
            <w:r>
              <w:t>153,633.23</w:t>
            </w:r>
          </w:p>
        </w:tc>
        <w:tc>
          <w:tcPr>
            <w:tcW w:w="563" w:type="pct"/>
            <w:vAlign w:val="center"/>
          </w:tcPr>
          <w:p w14:paraId="6BAEC739" w14:textId="77777777" w:rsidR="00E57DAA" w:rsidRDefault="00AC4185">
            <w:pPr>
              <w:jc w:val="right"/>
              <w:rPr>
                <w:rStyle w:val="50"/>
                <w:b w:val="0"/>
                <w:szCs w:val="21"/>
              </w:rPr>
            </w:pPr>
            <w:r>
              <w:t>2.82</w:t>
            </w:r>
          </w:p>
        </w:tc>
        <w:tc>
          <w:tcPr>
            <w:tcW w:w="803" w:type="pct"/>
            <w:vAlign w:val="center"/>
          </w:tcPr>
          <w:p w14:paraId="2B1DCB59" w14:textId="77777777" w:rsidR="00E57DAA" w:rsidRDefault="00AC4185">
            <w:pPr>
              <w:jc w:val="right"/>
              <w:rPr>
                <w:rStyle w:val="50"/>
                <w:b w:val="0"/>
                <w:szCs w:val="21"/>
              </w:rPr>
            </w:pPr>
            <w:r>
              <w:t>78,664.77</w:t>
            </w:r>
          </w:p>
        </w:tc>
        <w:tc>
          <w:tcPr>
            <w:tcW w:w="562" w:type="pct"/>
            <w:vAlign w:val="center"/>
          </w:tcPr>
          <w:p w14:paraId="310ECFB4" w14:textId="77777777" w:rsidR="00E57DAA" w:rsidRDefault="00AC4185">
            <w:pPr>
              <w:jc w:val="right"/>
              <w:rPr>
                <w:rStyle w:val="50"/>
                <w:b w:val="0"/>
                <w:szCs w:val="21"/>
              </w:rPr>
            </w:pPr>
            <w:r>
              <w:t>1.57</w:t>
            </w:r>
          </w:p>
        </w:tc>
        <w:tc>
          <w:tcPr>
            <w:tcW w:w="643" w:type="pct"/>
            <w:vAlign w:val="center"/>
          </w:tcPr>
          <w:p w14:paraId="2042F2FA" w14:textId="77777777" w:rsidR="00E57DAA" w:rsidRDefault="00AC4185">
            <w:pPr>
              <w:jc w:val="right"/>
              <w:rPr>
                <w:rStyle w:val="50"/>
                <w:b w:val="0"/>
                <w:szCs w:val="21"/>
              </w:rPr>
            </w:pPr>
            <w:r>
              <w:t>95.30</w:t>
            </w:r>
          </w:p>
        </w:tc>
        <w:tc>
          <w:tcPr>
            <w:tcW w:w="504" w:type="pct"/>
            <w:vAlign w:val="center"/>
          </w:tcPr>
          <w:p w14:paraId="43701858" w14:textId="77777777" w:rsidR="00E57DAA" w:rsidRDefault="00AC4185">
            <w:pPr>
              <w:rPr>
                <w:rStyle w:val="50"/>
                <w:b w:val="0"/>
                <w:szCs w:val="21"/>
              </w:rPr>
            </w:pPr>
            <w:r>
              <w:t>注10</w:t>
            </w:r>
          </w:p>
        </w:tc>
      </w:tr>
      <w:tr w:rsidR="00E57DAA" w14:paraId="42320F91" w14:textId="77777777">
        <w:trPr>
          <w:trHeight w:val="135"/>
        </w:trPr>
        <w:tc>
          <w:tcPr>
            <w:tcW w:w="1122" w:type="pct"/>
          </w:tcPr>
          <w:p w14:paraId="6B5EEEA4" w14:textId="77777777" w:rsidR="00E57DAA" w:rsidRDefault="00AC4185">
            <w:pPr>
              <w:rPr>
                <w:rStyle w:val="50"/>
                <w:b w:val="0"/>
                <w:szCs w:val="21"/>
              </w:rPr>
            </w:pPr>
            <w:r>
              <w:t>应付债券 </w:t>
            </w:r>
          </w:p>
        </w:tc>
        <w:tc>
          <w:tcPr>
            <w:tcW w:w="803" w:type="pct"/>
            <w:vAlign w:val="center"/>
          </w:tcPr>
          <w:p w14:paraId="33F5EC09" w14:textId="77777777" w:rsidR="00E57DAA" w:rsidRDefault="00AC4185">
            <w:pPr>
              <w:jc w:val="right"/>
              <w:rPr>
                <w:rStyle w:val="50"/>
                <w:b w:val="0"/>
                <w:szCs w:val="21"/>
              </w:rPr>
            </w:pPr>
            <w:r>
              <w:t>100,000.00</w:t>
            </w:r>
          </w:p>
        </w:tc>
        <w:tc>
          <w:tcPr>
            <w:tcW w:w="563" w:type="pct"/>
            <w:vAlign w:val="center"/>
          </w:tcPr>
          <w:p w14:paraId="7C6CE2D1" w14:textId="77777777" w:rsidR="00E57DAA" w:rsidRDefault="00AC4185">
            <w:pPr>
              <w:jc w:val="right"/>
              <w:rPr>
                <w:rStyle w:val="50"/>
                <w:b w:val="0"/>
                <w:szCs w:val="21"/>
              </w:rPr>
            </w:pPr>
            <w:r>
              <w:t>1.84</w:t>
            </w:r>
          </w:p>
        </w:tc>
        <w:tc>
          <w:tcPr>
            <w:tcW w:w="803" w:type="pct"/>
            <w:vAlign w:val="center"/>
          </w:tcPr>
          <w:p w14:paraId="78466C0D" w14:textId="77777777" w:rsidR="00E57DAA" w:rsidRDefault="00AC4185">
            <w:pPr>
              <w:jc w:val="right"/>
              <w:rPr>
                <w:rStyle w:val="50"/>
                <w:b w:val="0"/>
                <w:szCs w:val="21"/>
              </w:rPr>
            </w:pPr>
            <w:r>
              <w:t>150,000.00</w:t>
            </w:r>
          </w:p>
        </w:tc>
        <w:tc>
          <w:tcPr>
            <w:tcW w:w="562" w:type="pct"/>
            <w:vAlign w:val="center"/>
          </w:tcPr>
          <w:p w14:paraId="40AC1FF1" w14:textId="77777777" w:rsidR="00E57DAA" w:rsidRDefault="00AC4185">
            <w:pPr>
              <w:jc w:val="right"/>
              <w:rPr>
                <w:rStyle w:val="50"/>
                <w:b w:val="0"/>
                <w:szCs w:val="21"/>
              </w:rPr>
            </w:pPr>
            <w:r>
              <w:t>3.00</w:t>
            </w:r>
          </w:p>
        </w:tc>
        <w:tc>
          <w:tcPr>
            <w:tcW w:w="643" w:type="pct"/>
            <w:vAlign w:val="center"/>
          </w:tcPr>
          <w:p w14:paraId="265225B6" w14:textId="77777777" w:rsidR="00E57DAA" w:rsidRDefault="00AC4185">
            <w:pPr>
              <w:jc w:val="right"/>
              <w:rPr>
                <w:rStyle w:val="50"/>
                <w:b w:val="0"/>
                <w:szCs w:val="21"/>
              </w:rPr>
            </w:pPr>
            <w:r>
              <w:t>-33.33</w:t>
            </w:r>
          </w:p>
        </w:tc>
        <w:tc>
          <w:tcPr>
            <w:tcW w:w="504" w:type="pct"/>
            <w:vAlign w:val="center"/>
          </w:tcPr>
          <w:p w14:paraId="387D83B2" w14:textId="77777777" w:rsidR="00E57DAA" w:rsidRDefault="00AC4185">
            <w:pPr>
              <w:rPr>
                <w:rStyle w:val="50"/>
                <w:b w:val="0"/>
                <w:szCs w:val="21"/>
              </w:rPr>
            </w:pPr>
            <w:r>
              <w:t>注11</w:t>
            </w:r>
          </w:p>
        </w:tc>
      </w:tr>
      <w:tr w:rsidR="00E57DAA" w14:paraId="05CE3429" w14:textId="77777777">
        <w:trPr>
          <w:trHeight w:val="135"/>
        </w:trPr>
        <w:tc>
          <w:tcPr>
            <w:tcW w:w="1122" w:type="pct"/>
          </w:tcPr>
          <w:p w14:paraId="158C0798" w14:textId="77777777" w:rsidR="00E57DAA" w:rsidRDefault="00AC4185">
            <w:pPr>
              <w:rPr>
                <w:rStyle w:val="50"/>
                <w:b w:val="0"/>
                <w:szCs w:val="21"/>
              </w:rPr>
            </w:pPr>
            <w:r>
              <w:t>租赁负债 </w:t>
            </w:r>
          </w:p>
        </w:tc>
        <w:tc>
          <w:tcPr>
            <w:tcW w:w="803" w:type="pct"/>
            <w:vAlign w:val="center"/>
          </w:tcPr>
          <w:p w14:paraId="380C047F" w14:textId="77777777" w:rsidR="00E57DAA" w:rsidRDefault="00AC4185">
            <w:pPr>
              <w:jc w:val="right"/>
              <w:rPr>
                <w:rStyle w:val="50"/>
                <w:b w:val="0"/>
                <w:szCs w:val="21"/>
              </w:rPr>
            </w:pPr>
            <w:r>
              <w:t>5,541.98</w:t>
            </w:r>
          </w:p>
        </w:tc>
        <w:tc>
          <w:tcPr>
            <w:tcW w:w="563" w:type="pct"/>
            <w:vAlign w:val="center"/>
          </w:tcPr>
          <w:p w14:paraId="40155168" w14:textId="77777777" w:rsidR="00E57DAA" w:rsidRDefault="00AC4185">
            <w:pPr>
              <w:jc w:val="right"/>
              <w:rPr>
                <w:rStyle w:val="50"/>
                <w:b w:val="0"/>
                <w:szCs w:val="21"/>
              </w:rPr>
            </w:pPr>
            <w:r>
              <w:t>0.10</w:t>
            </w:r>
          </w:p>
        </w:tc>
        <w:tc>
          <w:tcPr>
            <w:tcW w:w="803" w:type="pct"/>
            <w:vAlign w:val="center"/>
          </w:tcPr>
          <w:p w14:paraId="0CE0D162" w14:textId="77777777" w:rsidR="00E57DAA" w:rsidRDefault="00AC4185">
            <w:pPr>
              <w:jc w:val="right"/>
              <w:rPr>
                <w:rStyle w:val="50"/>
                <w:b w:val="0"/>
                <w:szCs w:val="21"/>
              </w:rPr>
            </w:pPr>
            <w:r>
              <w:t>2,183.65</w:t>
            </w:r>
          </w:p>
        </w:tc>
        <w:tc>
          <w:tcPr>
            <w:tcW w:w="562" w:type="pct"/>
            <w:vAlign w:val="center"/>
          </w:tcPr>
          <w:p w14:paraId="27CD64D6" w14:textId="77777777" w:rsidR="00E57DAA" w:rsidRDefault="00AC4185">
            <w:pPr>
              <w:jc w:val="right"/>
              <w:rPr>
                <w:rStyle w:val="50"/>
                <w:b w:val="0"/>
                <w:szCs w:val="21"/>
              </w:rPr>
            </w:pPr>
            <w:r>
              <w:t>0.04</w:t>
            </w:r>
          </w:p>
        </w:tc>
        <w:tc>
          <w:tcPr>
            <w:tcW w:w="643" w:type="pct"/>
            <w:vAlign w:val="center"/>
          </w:tcPr>
          <w:p w14:paraId="0DA21D1E" w14:textId="77777777" w:rsidR="00E57DAA" w:rsidRDefault="00AC4185">
            <w:pPr>
              <w:jc w:val="right"/>
              <w:rPr>
                <w:rStyle w:val="50"/>
                <w:b w:val="0"/>
                <w:szCs w:val="21"/>
              </w:rPr>
            </w:pPr>
            <w:r>
              <w:t>153.79</w:t>
            </w:r>
          </w:p>
        </w:tc>
        <w:tc>
          <w:tcPr>
            <w:tcW w:w="504" w:type="pct"/>
            <w:vAlign w:val="center"/>
          </w:tcPr>
          <w:p w14:paraId="1F43C44B" w14:textId="77777777" w:rsidR="00E57DAA" w:rsidRDefault="00AC4185">
            <w:pPr>
              <w:rPr>
                <w:rStyle w:val="50"/>
                <w:b w:val="0"/>
                <w:szCs w:val="21"/>
              </w:rPr>
            </w:pPr>
            <w:r>
              <w:t>注12</w:t>
            </w:r>
          </w:p>
        </w:tc>
      </w:tr>
      <w:tr w:rsidR="00E57DAA" w14:paraId="49BDDF20" w14:textId="77777777">
        <w:trPr>
          <w:trHeight w:val="135"/>
        </w:trPr>
        <w:tc>
          <w:tcPr>
            <w:tcW w:w="1122" w:type="pct"/>
          </w:tcPr>
          <w:p w14:paraId="52B3C43D" w14:textId="77777777" w:rsidR="00E57DAA" w:rsidRDefault="00AC4185">
            <w:pPr>
              <w:rPr>
                <w:rStyle w:val="50"/>
                <w:b w:val="0"/>
                <w:szCs w:val="21"/>
              </w:rPr>
            </w:pPr>
            <w:r>
              <w:t>预计负债 </w:t>
            </w:r>
          </w:p>
        </w:tc>
        <w:tc>
          <w:tcPr>
            <w:tcW w:w="803" w:type="pct"/>
            <w:vAlign w:val="center"/>
          </w:tcPr>
          <w:p w14:paraId="557C2C9A" w14:textId="77777777" w:rsidR="00E57DAA" w:rsidRDefault="00AC4185">
            <w:pPr>
              <w:jc w:val="right"/>
              <w:rPr>
                <w:rStyle w:val="50"/>
                <w:b w:val="0"/>
                <w:szCs w:val="21"/>
              </w:rPr>
            </w:pPr>
            <w:r>
              <w:t>13,014.45</w:t>
            </w:r>
          </w:p>
        </w:tc>
        <w:tc>
          <w:tcPr>
            <w:tcW w:w="563" w:type="pct"/>
            <w:vAlign w:val="center"/>
          </w:tcPr>
          <w:p w14:paraId="17C804FC" w14:textId="77777777" w:rsidR="00E57DAA" w:rsidRDefault="00AC4185">
            <w:pPr>
              <w:jc w:val="right"/>
              <w:rPr>
                <w:rStyle w:val="50"/>
                <w:b w:val="0"/>
                <w:szCs w:val="21"/>
              </w:rPr>
            </w:pPr>
            <w:r>
              <w:t>0.24</w:t>
            </w:r>
          </w:p>
        </w:tc>
        <w:tc>
          <w:tcPr>
            <w:tcW w:w="803" w:type="pct"/>
            <w:vAlign w:val="center"/>
          </w:tcPr>
          <w:p w14:paraId="6F7406BE" w14:textId="77777777" w:rsidR="00E57DAA" w:rsidRDefault="00AC4185">
            <w:pPr>
              <w:jc w:val="right"/>
              <w:rPr>
                <w:rStyle w:val="50"/>
                <w:b w:val="0"/>
                <w:szCs w:val="21"/>
              </w:rPr>
            </w:pPr>
            <w:r>
              <w:t>18,896.66</w:t>
            </w:r>
          </w:p>
        </w:tc>
        <w:tc>
          <w:tcPr>
            <w:tcW w:w="562" w:type="pct"/>
            <w:vAlign w:val="center"/>
          </w:tcPr>
          <w:p w14:paraId="5133A700" w14:textId="77777777" w:rsidR="00E57DAA" w:rsidRDefault="00AC4185">
            <w:pPr>
              <w:jc w:val="right"/>
              <w:rPr>
                <w:rStyle w:val="50"/>
                <w:b w:val="0"/>
                <w:szCs w:val="21"/>
              </w:rPr>
            </w:pPr>
            <w:r>
              <w:t>0.38</w:t>
            </w:r>
          </w:p>
        </w:tc>
        <w:tc>
          <w:tcPr>
            <w:tcW w:w="643" w:type="pct"/>
            <w:vAlign w:val="center"/>
          </w:tcPr>
          <w:p w14:paraId="459A8E21" w14:textId="77777777" w:rsidR="00E57DAA" w:rsidRDefault="00AC4185">
            <w:pPr>
              <w:jc w:val="right"/>
              <w:rPr>
                <w:rStyle w:val="50"/>
                <w:b w:val="0"/>
                <w:szCs w:val="21"/>
              </w:rPr>
            </w:pPr>
            <w:r>
              <w:t>-31.13</w:t>
            </w:r>
          </w:p>
        </w:tc>
        <w:tc>
          <w:tcPr>
            <w:tcW w:w="504" w:type="pct"/>
            <w:vAlign w:val="center"/>
          </w:tcPr>
          <w:p w14:paraId="554B6DBD" w14:textId="77777777" w:rsidR="00E57DAA" w:rsidRDefault="00AC4185">
            <w:pPr>
              <w:rPr>
                <w:rStyle w:val="50"/>
                <w:b w:val="0"/>
                <w:szCs w:val="21"/>
              </w:rPr>
            </w:pPr>
            <w:r>
              <w:t>注13</w:t>
            </w:r>
          </w:p>
        </w:tc>
      </w:tr>
      <w:tr w:rsidR="00E57DAA" w14:paraId="057070CC" w14:textId="77777777">
        <w:trPr>
          <w:trHeight w:val="135"/>
        </w:trPr>
        <w:tc>
          <w:tcPr>
            <w:tcW w:w="1122" w:type="pct"/>
          </w:tcPr>
          <w:p w14:paraId="1425A4F2" w14:textId="77777777" w:rsidR="00E57DAA" w:rsidRDefault="00AC4185">
            <w:pPr>
              <w:rPr>
                <w:rStyle w:val="50"/>
                <w:b w:val="0"/>
                <w:szCs w:val="21"/>
              </w:rPr>
            </w:pPr>
            <w:r>
              <w:t>资本公积 </w:t>
            </w:r>
          </w:p>
        </w:tc>
        <w:tc>
          <w:tcPr>
            <w:tcW w:w="803" w:type="pct"/>
            <w:vAlign w:val="center"/>
          </w:tcPr>
          <w:p w14:paraId="033594FC" w14:textId="77777777" w:rsidR="00E57DAA" w:rsidRDefault="00AC4185">
            <w:pPr>
              <w:jc w:val="right"/>
              <w:rPr>
                <w:rStyle w:val="50"/>
                <w:b w:val="0"/>
                <w:szCs w:val="21"/>
              </w:rPr>
            </w:pPr>
            <w:r>
              <w:t>40,992.22</w:t>
            </w:r>
          </w:p>
        </w:tc>
        <w:tc>
          <w:tcPr>
            <w:tcW w:w="563" w:type="pct"/>
            <w:vAlign w:val="center"/>
          </w:tcPr>
          <w:p w14:paraId="39A13C72" w14:textId="77777777" w:rsidR="00E57DAA" w:rsidRDefault="00AC4185">
            <w:pPr>
              <w:jc w:val="right"/>
              <w:rPr>
                <w:rStyle w:val="50"/>
                <w:b w:val="0"/>
                <w:szCs w:val="21"/>
              </w:rPr>
            </w:pPr>
            <w:r>
              <w:t>0.75</w:t>
            </w:r>
          </w:p>
        </w:tc>
        <w:tc>
          <w:tcPr>
            <w:tcW w:w="803" w:type="pct"/>
            <w:vAlign w:val="center"/>
          </w:tcPr>
          <w:p w14:paraId="7998C465" w14:textId="77777777" w:rsidR="00E57DAA" w:rsidRDefault="00AC4185">
            <w:pPr>
              <w:jc w:val="right"/>
              <w:rPr>
                <w:rStyle w:val="50"/>
                <w:b w:val="0"/>
                <w:szCs w:val="21"/>
              </w:rPr>
            </w:pPr>
            <w:r>
              <w:t>118,387.73</w:t>
            </w:r>
          </w:p>
        </w:tc>
        <w:tc>
          <w:tcPr>
            <w:tcW w:w="562" w:type="pct"/>
            <w:vAlign w:val="center"/>
          </w:tcPr>
          <w:p w14:paraId="74B34582" w14:textId="77777777" w:rsidR="00E57DAA" w:rsidRDefault="00AC4185">
            <w:pPr>
              <w:jc w:val="right"/>
              <w:rPr>
                <w:rStyle w:val="50"/>
                <w:b w:val="0"/>
                <w:szCs w:val="21"/>
              </w:rPr>
            </w:pPr>
            <w:r>
              <w:t>2.36</w:t>
            </w:r>
          </w:p>
        </w:tc>
        <w:tc>
          <w:tcPr>
            <w:tcW w:w="643" w:type="pct"/>
            <w:vAlign w:val="center"/>
          </w:tcPr>
          <w:p w14:paraId="1C7E7EF2" w14:textId="77777777" w:rsidR="00E57DAA" w:rsidRDefault="00AC4185">
            <w:pPr>
              <w:jc w:val="right"/>
              <w:rPr>
                <w:rStyle w:val="50"/>
                <w:b w:val="0"/>
                <w:szCs w:val="21"/>
              </w:rPr>
            </w:pPr>
            <w:r>
              <w:t>-65.37</w:t>
            </w:r>
          </w:p>
        </w:tc>
        <w:tc>
          <w:tcPr>
            <w:tcW w:w="504" w:type="pct"/>
            <w:vAlign w:val="center"/>
          </w:tcPr>
          <w:p w14:paraId="3BD8C0FD" w14:textId="77777777" w:rsidR="00E57DAA" w:rsidRDefault="00AC4185">
            <w:pPr>
              <w:rPr>
                <w:rStyle w:val="50"/>
                <w:b w:val="0"/>
                <w:szCs w:val="21"/>
              </w:rPr>
            </w:pPr>
            <w:r>
              <w:t>注14</w:t>
            </w:r>
          </w:p>
        </w:tc>
      </w:tr>
    </w:tbl>
    <w:p w14:paraId="45A3EF24" w14:textId="77777777" w:rsidR="00E57DAA" w:rsidRDefault="00AC4185">
      <w:pPr>
        <w:rPr>
          <w:szCs w:val="21"/>
        </w:rPr>
      </w:pPr>
      <w:r>
        <w:rPr>
          <w:rFonts w:hint="eastAsia"/>
          <w:szCs w:val="21"/>
        </w:rPr>
        <w:t>其他说明</w:t>
      </w:r>
    </w:p>
    <w:bookmarkStart w:id="58" w:name="_Hlk161673083" w:displacedByCustomXml="next"/>
    <w:sdt>
      <w:sdtPr>
        <w:rPr>
          <w:rFonts w:hint="eastAsia"/>
          <w:szCs w:val="21"/>
        </w:rPr>
        <w:alias w:val="资产及负债状况的其他说明"/>
        <w:tag w:val="_GBC_3aee54264edd4bb08807d2335eb33f43"/>
        <w:id w:val="-1459177049"/>
        <w:placeholder>
          <w:docPart w:val="GBC22222222222222222222222222222"/>
        </w:placeholder>
      </w:sdtPr>
      <w:sdtEndPr/>
      <w:sdtContent>
        <w:sdt>
          <w:sdtPr>
            <w:rPr>
              <w:rFonts w:hint="eastAsia"/>
              <w:szCs w:val="21"/>
            </w:rPr>
            <w:alias w:val="资产及负债状况的其他说明"/>
            <w:tag w:val="_GBC_3aee54264edd4bb08807d2335eb33f43"/>
            <w:id w:val="-243807191"/>
            <w:placeholder>
              <w:docPart w:val="{e30b58f5-5095-41fa-95c4-5d207cbeb3a4}"/>
            </w:placeholder>
          </w:sdtPr>
          <w:sdtEndPr/>
          <w:sdtContent>
            <w:p w14:paraId="3D1A1849" w14:textId="77777777" w:rsidR="00E57DAA" w:rsidRDefault="00AC4185">
              <w:pPr>
                <w:rPr>
                  <w:szCs w:val="21"/>
                </w:rPr>
              </w:pPr>
              <w:r>
                <w:rPr>
                  <w:rFonts w:hint="eastAsia"/>
                  <w:szCs w:val="21"/>
                </w:rPr>
                <w:t>注</w:t>
              </w:r>
              <w:r>
                <w:rPr>
                  <w:szCs w:val="21"/>
                </w:rPr>
                <w:t>1：交易性金融资产减少主要是由于银行理财到期收回所致；</w:t>
              </w:r>
            </w:p>
            <w:p w14:paraId="2D228B0D" w14:textId="77777777" w:rsidR="00E57DAA" w:rsidRDefault="00AC4185">
              <w:pPr>
                <w:rPr>
                  <w:szCs w:val="21"/>
                </w:rPr>
              </w:pPr>
              <w:r>
                <w:rPr>
                  <w:rFonts w:hint="eastAsia"/>
                  <w:szCs w:val="21"/>
                </w:rPr>
                <w:t>注</w:t>
              </w:r>
              <w:r>
                <w:rPr>
                  <w:szCs w:val="21"/>
                </w:rPr>
                <w:t>2：</w:t>
              </w:r>
              <w:r>
                <w:rPr>
                  <w:rFonts w:hint="eastAsia"/>
                  <w:szCs w:val="21"/>
                </w:rPr>
                <w:t>一年内到期的非流动资产增加主要是由于一年内到期的长期应收款增加及一年以上到期定期存款即将到期所致；</w:t>
              </w:r>
              <w:r>
                <w:rPr>
                  <w:szCs w:val="21"/>
                </w:rPr>
                <w:t xml:space="preserve"> </w:t>
              </w:r>
            </w:p>
            <w:p w14:paraId="213D4618" w14:textId="77777777" w:rsidR="00E57DAA" w:rsidRDefault="00AC4185">
              <w:pPr>
                <w:rPr>
                  <w:szCs w:val="21"/>
                </w:rPr>
              </w:pPr>
              <w:r>
                <w:rPr>
                  <w:rFonts w:hint="eastAsia"/>
                  <w:szCs w:val="21"/>
                </w:rPr>
                <w:t>注</w:t>
              </w:r>
              <w:r>
                <w:rPr>
                  <w:szCs w:val="21"/>
                </w:rPr>
                <w:t>3：其他流动资产增加主要是待抵扣增值税进项税增加所致；</w:t>
              </w:r>
            </w:p>
            <w:p w14:paraId="46B6CE6D" w14:textId="77777777" w:rsidR="00E57DAA" w:rsidRDefault="00AC4185">
              <w:pPr>
                <w:rPr>
                  <w:szCs w:val="21"/>
                </w:rPr>
              </w:pPr>
              <w:r>
                <w:rPr>
                  <w:rFonts w:hint="eastAsia"/>
                  <w:szCs w:val="21"/>
                </w:rPr>
                <w:t>注</w:t>
              </w:r>
              <w:r>
                <w:rPr>
                  <w:szCs w:val="21"/>
                </w:rPr>
                <w:t>4：长期股权投资增加主要是本年新增对中材水泥投资所致；</w:t>
              </w:r>
            </w:p>
            <w:p w14:paraId="6E19FEEA" w14:textId="77777777" w:rsidR="00E57DAA" w:rsidRDefault="00AC4185">
              <w:pPr>
                <w:rPr>
                  <w:szCs w:val="21"/>
                </w:rPr>
              </w:pPr>
              <w:r>
                <w:rPr>
                  <w:rFonts w:hint="eastAsia"/>
                  <w:szCs w:val="21"/>
                </w:rPr>
                <w:t>注</w:t>
              </w:r>
              <w:r>
                <w:rPr>
                  <w:szCs w:val="21"/>
                </w:rPr>
                <w:t>5：在建工程减少主要是绿色数智双碳创新中心完工转固所致；</w:t>
              </w:r>
            </w:p>
            <w:p w14:paraId="7655569C" w14:textId="77777777" w:rsidR="00E57DAA" w:rsidRDefault="00AC4185">
              <w:pPr>
                <w:rPr>
                  <w:szCs w:val="21"/>
                </w:rPr>
              </w:pPr>
              <w:r>
                <w:rPr>
                  <w:rFonts w:hint="eastAsia"/>
                  <w:szCs w:val="21"/>
                </w:rPr>
                <w:t>注</w:t>
              </w:r>
              <w:r>
                <w:rPr>
                  <w:szCs w:val="21"/>
                </w:rPr>
                <w:t>6：使用权资产增加主要是新增租赁厂房及办公楼所致；</w:t>
              </w:r>
            </w:p>
            <w:p w14:paraId="42E88566" w14:textId="77777777" w:rsidR="00E57DAA" w:rsidRDefault="00AC4185">
              <w:pPr>
                <w:rPr>
                  <w:szCs w:val="21"/>
                </w:rPr>
              </w:pPr>
              <w:r>
                <w:rPr>
                  <w:rFonts w:hint="eastAsia"/>
                  <w:szCs w:val="21"/>
                </w:rPr>
                <w:t>注</w:t>
              </w:r>
              <w:r>
                <w:rPr>
                  <w:szCs w:val="21"/>
                </w:rPr>
                <w:t>7：</w:t>
              </w:r>
              <w:r>
                <w:rPr>
                  <w:rFonts w:hint="eastAsia"/>
                  <w:szCs w:val="21"/>
                </w:rPr>
                <w:t>其他非流动资产减少主要是一年期以上定期存款到期所致；</w:t>
              </w:r>
            </w:p>
            <w:p w14:paraId="6D527517" w14:textId="77777777" w:rsidR="00E57DAA" w:rsidRDefault="00AC4185">
              <w:pPr>
                <w:rPr>
                  <w:szCs w:val="21"/>
                </w:rPr>
              </w:pPr>
              <w:r>
                <w:rPr>
                  <w:rFonts w:hint="eastAsia"/>
                  <w:szCs w:val="21"/>
                </w:rPr>
                <w:t>注8：</w:t>
              </w:r>
              <w:r>
                <w:rPr>
                  <w:szCs w:val="21"/>
                </w:rPr>
                <w:t>交易性金融负债增加主要是远期外汇合约公允价值变动所致；</w:t>
              </w:r>
            </w:p>
            <w:p w14:paraId="0F62E7CC" w14:textId="77777777" w:rsidR="00E57DAA" w:rsidRDefault="00AC4185">
              <w:pPr>
                <w:rPr>
                  <w:szCs w:val="21"/>
                </w:rPr>
              </w:pPr>
              <w:r>
                <w:rPr>
                  <w:rFonts w:hint="eastAsia"/>
                  <w:szCs w:val="21"/>
                </w:rPr>
                <w:t>注9</w:t>
              </w:r>
              <w:r>
                <w:rPr>
                  <w:szCs w:val="21"/>
                </w:rPr>
                <w:t xml:space="preserve">： </w:t>
              </w:r>
              <w:r>
                <w:rPr>
                  <w:rFonts w:hint="eastAsia"/>
                  <w:szCs w:val="21"/>
                </w:rPr>
                <w:t>衍生金融负债增加主要是公司新增现金流量套期套期工具公允价值变动所致；</w:t>
              </w:r>
            </w:p>
            <w:p w14:paraId="60633B13" w14:textId="77777777" w:rsidR="00E57DAA" w:rsidRDefault="00AC4185">
              <w:pPr>
                <w:rPr>
                  <w:szCs w:val="21"/>
                </w:rPr>
              </w:pPr>
              <w:r>
                <w:rPr>
                  <w:rFonts w:hint="eastAsia"/>
                  <w:szCs w:val="21"/>
                </w:rPr>
                <w:t>注10</w:t>
              </w:r>
              <w:r>
                <w:rPr>
                  <w:szCs w:val="21"/>
                </w:rPr>
                <w:t>：一年内到期的非流动负债增加主要是由于一年内到期的应付债券增加所致；</w:t>
              </w:r>
            </w:p>
            <w:p w14:paraId="59DE2A0F" w14:textId="77777777" w:rsidR="00E57DAA" w:rsidRDefault="00AC4185">
              <w:pPr>
                <w:rPr>
                  <w:szCs w:val="21"/>
                </w:rPr>
              </w:pPr>
              <w:r>
                <w:rPr>
                  <w:rFonts w:hint="eastAsia"/>
                  <w:szCs w:val="21"/>
                </w:rPr>
                <w:t>注</w:t>
              </w:r>
              <w:r>
                <w:rPr>
                  <w:szCs w:val="21"/>
                </w:rPr>
                <w:t>1</w:t>
              </w:r>
              <w:r>
                <w:rPr>
                  <w:rFonts w:hint="eastAsia"/>
                  <w:szCs w:val="21"/>
                </w:rPr>
                <w:t>1</w:t>
              </w:r>
              <w:r>
                <w:rPr>
                  <w:szCs w:val="21"/>
                </w:rPr>
                <w:t>：应付债券减少主要是由于本期将1年内到期的公司债券转入一年内到期的非流动负债所致；</w:t>
              </w:r>
            </w:p>
            <w:p w14:paraId="3B005957" w14:textId="77777777" w:rsidR="00E57DAA" w:rsidRDefault="00AC4185">
              <w:pPr>
                <w:rPr>
                  <w:szCs w:val="21"/>
                </w:rPr>
              </w:pPr>
              <w:r>
                <w:rPr>
                  <w:rFonts w:hint="eastAsia"/>
                  <w:szCs w:val="21"/>
                </w:rPr>
                <w:t>注</w:t>
              </w:r>
              <w:r>
                <w:rPr>
                  <w:szCs w:val="21"/>
                </w:rPr>
                <w:t>1</w:t>
              </w:r>
              <w:r>
                <w:rPr>
                  <w:rFonts w:hint="eastAsia"/>
                  <w:szCs w:val="21"/>
                </w:rPr>
                <w:t>2</w:t>
              </w:r>
              <w:r>
                <w:rPr>
                  <w:szCs w:val="21"/>
                </w:rPr>
                <w:t>：租赁负债增加主要是新增租赁厂房及办公楼所致；</w:t>
              </w:r>
            </w:p>
            <w:p w14:paraId="17703AEC" w14:textId="77777777" w:rsidR="00E57DAA" w:rsidRDefault="00AC4185">
              <w:pPr>
                <w:rPr>
                  <w:szCs w:val="21"/>
                </w:rPr>
              </w:pPr>
              <w:r>
                <w:rPr>
                  <w:rFonts w:hint="eastAsia"/>
                  <w:szCs w:val="21"/>
                </w:rPr>
                <w:t>注</w:t>
              </w:r>
              <w:r>
                <w:rPr>
                  <w:szCs w:val="21"/>
                </w:rPr>
                <w:t>1</w:t>
              </w:r>
              <w:r>
                <w:rPr>
                  <w:rFonts w:hint="eastAsia"/>
                  <w:szCs w:val="21"/>
                </w:rPr>
                <w:t>3</w:t>
              </w:r>
              <w:r>
                <w:rPr>
                  <w:szCs w:val="21"/>
                </w:rPr>
                <w:t>：预计负债减少主要是由于合肥院俄罗斯</w:t>
              </w:r>
              <w:proofErr w:type="spellStart"/>
              <w:r>
                <w:rPr>
                  <w:szCs w:val="21"/>
                </w:rPr>
                <w:t>Slantsy</w:t>
              </w:r>
              <w:proofErr w:type="spellEnd"/>
              <w:r>
                <w:rPr>
                  <w:szCs w:val="21"/>
                </w:rPr>
                <w:t>日产5000吨水泥生产线项目未决诉讼终结转回预计负债所致；</w:t>
              </w:r>
            </w:p>
            <w:p w14:paraId="47911AD1" w14:textId="77777777" w:rsidR="00E57DAA" w:rsidRDefault="00AC4185">
              <w:pPr>
                <w:rPr>
                  <w:szCs w:val="21"/>
                </w:rPr>
              </w:pPr>
              <w:r>
                <w:rPr>
                  <w:rFonts w:hint="eastAsia"/>
                  <w:szCs w:val="21"/>
                </w:rPr>
                <w:t>注</w:t>
              </w:r>
              <w:r>
                <w:rPr>
                  <w:szCs w:val="21"/>
                </w:rPr>
                <w:t>1</w:t>
              </w:r>
              <w:r>
                <w:rPr>
                  <w:rFonts w:hint="eastAsia"/>
                  <w:szCs w:val="21"/>
                </w:rPr>
                <w:t>4</w:t>
              </w:r>
              <w:r>
                <w:rPr>
                  <w:szCs w:val="21"/>
                </w:rPr>
                <w:t>：资本公积减少主要是同一控制下合并合肥院调整资本公积所致。</w:t>
              </w:r>
            </w:p>
          </w:sdtContent>
        </w:sdt>
        <w:bookmarkEnd w:id="58"/>
        <w:p w14:paraId="24BEAEC7" w14:textId="77777777" w:rsidR="00E57DAA" w:rsidRDefault="00AC4185">
          <w:pPr>
            <w:rPr>
              <w:szCs w:val="21"/>
            </w:rPr>
          </w:pPr>
          <w:r>
            <w:rPr>
              <w:szCs w:val="21"/>
            </w:rPr>
            <w:t xml:space="preserve"> </w:t>
          </w:r>
        </w:p>
      </w:sdtContent>
    </w:sdt>
    <w:p w14:paraId="4243BC85" w14:textId="77777777" w:rsidR="00E57DAA" w:rsidRDefault="00AC4185">
      <w:pPr>
        <w:pStyle w:val="4"/>
        <w:numPr>
          <w:ilvl w:val="0"/>
          <w:numId w:val="13"/>
        </w:numPr>
        <w:rPr>
          <w:rFonts w:ascii="宋体" w:eastAsia="宋体" w:hAnsi="宋体" w:cs="宋体"/>
          <w:kern w:val="0"/>
          <w:szCs w:val="21"/>
        </w:rPr>
      </w:pPr>
      <w:bookmarkStart w:id="59"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1827967274"/>
        <w:lock w:val="contentLocked"/>
        <w:placeholder>
          <w:docPart w:val="GBC22222222222222222222222222222"/>
        </w:placeholder>
      </w:sdtPr>
      <w:sdtEndPr/>
      <w:sdtContent>
        <w:p w14:paraId="3BA404F2"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5E8E75" w14:textId="77777777" w:rsidR="00E57DAA" w:rsidRDefault="00AC4185">
      <w:pPr>
        <w:pStyle w:val="5"/>
        <w:numPr>
          <w:ilvl w:val="0"/>
          <w:numId w:val="14"/>
        </w:numPr>
        <w:ind w:left="555" w:hanging="450"/>
        <w:rPr>
          <w:rFonts w:ascii="宋体" w:hAnsi="宋体"/>
          <w:szCs w:val="21"/>
        </w:rPr>
      </w:pPr>
      <w:r>
        <w:rPr>
          <w:rFonts w:ascii="宋体" w:hAnsi="宋体" w:hint="eastAsia"/>
          <w:szCs w:val="21"/>
        </w:rPr>
        <w:t>资产规模</w:t>
      </w:r>
    </w:p>
    <w:p w14:paraId="2C8BF07A" w14:textId="77777777" w:rsidR="00E57DAA" w:rsidRDefault="00AC4185">
      <w:pPr>
        <w:rPr>
          <w:szCs w:val="21"/>
        </w:rPr>
      </w:pPr>
      <w:r>
        <w:rPr>
          <w:rFonts w:hint="eastAsia"/>
          <w:szCs w:val="21"/>
        </w:rPr>
        <w:t>其中：境外资产</w:t>
      </w:r>
      <w:bookmarkStart w:id="60" w:name="_Hlk74646369"/>
      <w:bookmarkStart w:id="61" w:name="_Hlk89175643"/>
      <w:sdt>
        <w:sdtPr>
          <w:rPr>
            <w:rFonts w:hint="eastAsia"/>
            <w:szCs w:val="21"/>
          </w:rPr>
          <w:alias w:val="报告期内公司境外资产变化"/>
          <w:tag w:val="_GBC_cbb65327857a4a80a4f343e0bf736822"/>
          <w:id w:val="938646050"/>
          <w:placeholder>
            <w:docPart w:val="GBC22222222222222222222222222222"/>
          </w:placeholder>
        </w:sdtPr>
        <w:sdtEndPr>
          <w:rPr>
            <w:szCs w:val="24"/>
          </w:rPr>
        </w:sdtEndPr>
        <w:sdtContent>
          <w:sdt>
            <w:sdtPr>
              <w:rPr>
                <w:rFonts w:hint="eastAsia"/>
                <w:szCs w:val="21"/>
              </w:rPr>
              <w:alias w:val="报告期内公司境外资产变化"/>
              <w:tag w:val="_GBC_cbb65327857a4a80a4f343e0bf736822"/>
              <w:id w:val="1507244412"/>
              <w:placeholder>
                <w:docPart w:val="{c59b4e43-b225-4ed6-8139-840e4c699275}"/>
              </w:placeholder>
            </w:sdtPr>
            <w:sdtEndPr>
              <w:rPr>
                <w:szCs w:val="24"/>
              </w:rPr>
            </w:sdtEndPr>
            <w:sdtContent>
              <w:r>
                <w:rPr>
                  <w:szCs w:val="21"/>
                </w:rPr>
                <w:t>734,392.28</w:t>
              </w:r>
            </w:sdtContent>
          </w:sdt>
        </w:sdtContent>
      </w:sdt>
      <w:r>
        <w:rPr>
          <w:rFonts w:hint="eastAsia"/>
          <w:szCs w:val="21"/>
        </w:rPr>
        <w:t>（单位：</w:t>
      </w:r>
      <w:sdt>
        <w:sdtPr>
          <w:rPr>
            <w:rFonts w:hint="eastAsia"/>
            <w:szCs w:val="21"/>
          </w:rPr>
          <w:alias w:val="单位：报告期内公司境外资产变化"/>
          <w:tag w:val="_GBC_269723869c544fd5af5f26c6edeeb598"/>
          <w:id w:val="16854033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报告期内公司境外资产变化"/>
          <w:tag w:val="_GBC_a1adc6e0671d485da640bb0d68ad82d0"/>
          <w:id w:val="-16926811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480c4d77db342bdbf4d43b6611f0966"/>
          <w:id w:val="628282438"/>
          <w:placeholder>
            <w:docPart w:val="GBC22222222222222222222222222222"/>
          </w:placeholder>
        </w:sdtPr>
        <w:sdtEndPr>
          <w:rPr>
            <w:szCs w:val="24"/>
          </w:rPr>
        </w:sdtEndPr>
        <w:sdtContent>
          <w:r>
            <w:rPr>
              <w:rFonts w:hint="eastAsia"/>
              <w:szCs w:val="21"/>
            </w:rPr>
            <w:t>13.50</w:t>
          </w:r>
        </w:sdtContent>
      </w:sdt>
      <w:r>
        <w:rPr>
          <w:rFonts w:hint="eastAsia"/>
          <w:szCs w:val="21"/>
        </w:rPr>
        <w:t>%。</w:t>
      </w:r>
    </w:p>
    <w:bookmarkEnd w:id="60"/>
    <w:p w14:paraId="0F954739" w14:textId="77777777" w:rsidR="00E57DAA" w:rsidRDefault="00E57DAA">
      <w:pPr>
        <w:rPr>
          <w:szCs w:val="21"/>
        </w:rPr>
      </w:pPr>
    </w:p>
    <w:p w14:paraId="6CDA1372" w14:textId="77777777" w:rsidR="00E57DAA" w:rsidRDefault="00AC4185">
      <w:pPr>
        <w:pStyle w:val="5"/>
        <w:numPr>
          <w:ilvl w:val="0"/>
          <w:numId w:val="14"/>
        </w:numPr>
        <w:ind w:left="555" w:hanging="450"/>
        <w:rPr>
          <w:szCs w:val="21"/>
        </w:rPr>
      </w:pPr>
      <w:r>
        <w:rPr>
          <w:rFonts w:hint="eastAsia"/>
          <w:szCs w:val="21"/>
        </w:rPr>
        <w:t>境外资产占比较高的相关说明</w:t>
      </w:r>
    </w:p>
    <w:bookmarkEnd w:id="61" w:displacedByCustomXml="next"/>
    <w:bookmarkStart w:id="62" w:name="_Hlk89176028" w:displacedByCustomXml="next"/>
    <w:sdt>
      <w:sdtPr>
        <w:rPr>
          <w:rFonts w:hint="eastAsia"/>
          <w:szCs w:val="21"/>
        </w:rPr>
        <w:alias w:val="是否适用：境外资产占比较高的相关说明  [双击切换]"/>
        <w:tag w:val="_GBC_2dd8a14582494b7fb2da678323726771"/>
        <w:id w:val="-283036799"/>
        <w:placeholder>
          <w:docPart w:val="GBC22222222222222222222222222222"/>
        </w:placeholder>
      </w:sdtPr>
      <w:sdtEndPr/>
      <w:sdtContent>
        <w:p w14:paraId="0528F00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62"/>
    <w:p w14:paraId="0E8D20E0" w14:textId="77777777" w:rsidR="00E57DAA" w:rsidRDefault="00AC4185">
      <w:pPr>
        <w:pStyle w:val="4"/>
        <w:numPr>
          <w:ilvl w:val="0"/>
          <w:numId w:val="13"/>
        </w:numPr>
      </w:pPr>
      <w:r>
        <w:t>截至报告期末主要资产受限情</w:t>
      </w:r>
      <w:r>
        <w:rPr>
          <w:rFonts w:hint="eastAsia"/>
        </w:rPr>
        <w:t>况</w:t>
      </w:r>
    </w:p>
    <w:bookmarkEnd w:id="59" w:displacedByCustomXml="next"/>
    <w:sdt>
      <w:sdtPr>
        <w:rPr>
          <w:rFonts w:hint="eastAsia"/>
          <w:szCs w:val="21"/>
        </w:rPr>
        <w:alias w:val="是否适用：主要资产受限情况[双击切换]"/>
        <w:tag w:val="_GBC_01311ee451194f52a953344cf249b1b9"/>
        <w:id w:val="1006937473"/>
        <w:placeholder>
          <w:docPart w:val="GBC22222222222222222222222222222"/>
        </w:placeholder>
      </w:sdtPr>
      <w:sdtEndPr/>
      <w:sdtContent>
        <w:p w14:paraId="5732ED2B"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289436146"/>
        <w:placeholder>
          <w:docPart w:val="GBC22222222222222222222222222222"/>
        </w:placeholder>
      </w:sdtPr>
      <w:sdtEndPr/>
      <w:sdtContent>
        <w:p w14:paraId="57C16283" w14:textId="77777777" w:rsidR="00E57DAA" w:rsidRDefault="00AC4185">
          <w:pPr>
            <w:ind w:firstLineChars="3700" w:firstLine="7770"/>
            <w:rPr>
              <w:szCs w:val="21"/>
            </w:rPr>
          </w:pPr>
          <w:r>
            <w:rPr>
              <w:rFonts w:hint="eastAsia"/>
              <w:szCs w:val="21"/>
            </w:rPr>
            <w:t>单位：万元</w:t>
          </w:r>
        </w:p>
        <w:tbl>
          <w:tblPr>
            <w:tblStyle w:val="aff6"/>
            <w:tblW w:w="0" w:type="auto"/>
            <w:tblLook w:val="04A0" w:firstRow="1" w:lastRow="0" w:firstColumn="1" w:lastColumn="0" w:noHBand="0" w:noVBand="1"/>
          </w:tblPr>
          <w:tblGrid>
            <w:gridCol w:w="2117"/>
            <w:gridCol w:w="4115"/>
            <w:gridCol w:w="2591"/>
          </w:tblGrid>
          <w:tr w:rsidR="00E57DAA" w14:paraId="420CED71" w14:textId="77777777">
            <w:tc>
              <w:tcPr>
                <w:tcW w:w="2117" w:type="dxa"/>
              </w:tcPr>
              <w:p w14:paraId="30ED17E7" w14:textId="77777777" w:rsidR="00E57DAA" w:rsidRDefault="00AC4185" w:rsidP="00C25422">
                <w:pPr>
                  <w:pStyle w:val="92"/>
                </w:pPr>
                <w:r>
                  <w:t>项目</w:t>
                </w:r>
              </w:p>
            </w:tc>
            <w:tc>
              <w:tcPr>
                <w:tcW w:w="4115" w:type="dxa"/>
              </w:tcPr>
              <w:p w14:paraId="12BACA5E" w14:textId="77777777" w:rsidR="00E57DAA" w:rsidRDefault="00AC4185" w:rsidP="00C25422">
                <w:pPr>
                  <w:pStyle w:val="92"/>
                </w:pPr>
                <w:r>
                  <w:t>年末账面价值</w:t>
                </w:r>
              </w:p>
            </w:tc>
            <w:tc>
              <w:tcPr>
                <w:tcW w:w="2591" w:type="dxa"/>
              </w:tcPr>
              <w:p w14:paraId="22F23CA3" w14:textId="77777777" w:rsidR="00E57DAA" w:rsidRDefault="00AC4185" w:rsidP="00C25422">
                <w:pPr>
                  <w:pStyle w:val="92"/>
                </w:pPr>
                <w:r>
                  <w:t>受限原因</w:t>
                </w:r>
              </w:p>
            </w:tc>
          </w:tr>
          <w:tr w:rsidR="00E57DAA" w14:paraId="09052BE5" w14:textId="77777777">
            <w:tc>
              <w:tcPr>
                <w:tcW w:w="2117" w:type="dxa"/>
              </w:tcPr>
              <w:p w14:paraId="04FDD2AF" w14:textId="77777777" w:rsidR="00E57DAA" w:rsidRDefault="00AC4185" w:rsidP="00C25422">
                <w:pPr>
                  <w:pStyle w:val="92"/>
                </w:pPr>
                <w:r>
                  <w:t>货币资金</w:t>
                </w:r>
              </w:p>
            </w:tc>
            <w:tc>
              <w:tcPr>
                <w:tcW w:w="4115" w:type="dxa"/>
                <w:vAlign w:val="center"/>
              </w:tcPr>
              <w:p w14:paraId="188833C1" w14:textId="77777777" w:rsidR="00E57DAA" w:rsidRDefault="00AC4185">
                <w:pPr>
                  <w:jc w:val="right"/>
                </w:pPr>
                <w:r>
                  <w:rPr>
                    <w:rFonts w:hint="eastAsia"/>
                    <w:color w:val="000000"/>
                    <w:sz w:val="22"/>
                    <w:szCs w:val="22"/>
                  </w:rPr>
                  <w:t>99,898.23</w:t>
                </w:r>
              </w:p>
            </w:tc>
            <w:tc>
              <w:tcPr>
                <w:tcW w:w="2591" w:type="dxa"/>
              </w:tcPr>
              <w:p w14:paraId="3C364516" w14:textId="77777777" w:rsidR="00E57DAA" w:rsidRDefault="00AC4185" w:rsidP="00C25422">
                <w:pPr>
                  <w:pStyle w:val="92"/>
                </w:pPr>
                <w:r>
                  <w:t>详见附注七、1</w:t>
                </w:r>
              </w:p>
            </w:tc>
          </w:tr>
          <w:tr w:rsidR="00E57DAA" w14:paraId="0C0AF1DF" w14:textId="77777777">
            <w:tc>
              <w:tcPr>
                <w:tcW w:w="2117" w:type="dxa"/>
              </w:tcPr>
              <w:p w14:paraId="2671ADEF" w14:textId="77777777" w:rsidR="00E57DAA" w:rsidRDefault="00AC4185" w:rsidP="00C25422">
                <w:pPr>
                  <w:pStyle w:val="92"/>
                </w:pPr>
                <w:r>
                  <w:t>应收票据</w:t>
                </w:r>
              </w:p>
            </w:tc>
            <w:tc>
              <w:tcPr>
                <w:tcW w:w="4115" w:type="dxa"/>
                <w:vAlign w:val="center"/>
              </w:tcPr>
              <w:p w14:paraId="722A7713" w14:textId="77777777" w:rsidR="00E57DAA" w:rsidRDefault="00AC4185">
                <w:pPr>
                  <w:jc w:val="right"/>
                  <w:rPr>
                    <w:highlight w:val="yellow"/>
                  </w:rPr>
                </w:pPr>
                <w:r>
                  <w:rPr>
                    <w:rFonts w:hint="eastAsia"/>
                    <w:color w:val="000000"/>
                    <w:sz w:val="22"/>
                    <w:szCs w:val="22"/>
                  </w:rPr>
                  <w:t>5,822.74</w:t>
                </w:r>
              </w:p>
            </w:tc>
            <w:tc>
              <w:tcPr>
                <w:tcW w:w="2591" w:type="dxa"/>
              </w:tcPr>
              <w:p w14:paraId="6226F828" w14:textId="77777777" w:rsidR="00E57DAA" w:rsidRDefault="00AC4185">
                <w:pPr>
                  <w:rPr>
                    <w:highlight w:val="yellow"/>
                  </w:rPr>
                </w:pPr>
                <w:r>
                  <w:rPr>
                    <w:rFonts w:hint="eastAsia"/>
                  </w:rPr>
                  <w:t>银行承兑汇票保证金等</w:t>
                </w:r>
              </w:p>
            </w:tc>
          </w:tr>
          <w:tr w:rsidR="00E57DAA" w14:paraId="03E998A4" w14:textId="77777777">
            <w:tc>
              <w:tcPr>
                <w:tcW w:w="2117" w:type="dxa"/>
              </w:tcPr>
              <w:p w14:paraId="1AEDBB9A" w14:textId="77777777" w:rsidR="00E57DAA" w:rsidRDefault="00AC4185" w:rsidP="00C25422">
                <w:pPr>
                  <w:pStyle w:val="92"/>
                </w:pPr>
                <w:r>
                  <w:t>投资性房地产</w:t>
                </w:r>
              </w:p>
            </w:tc>
            <w:tc>
              <w:tcPr>
                <w:tcW w:w="4115" w:type="dxa"/>
                <w:vAlign w:val="center"/>
              </w:tcPr>
              <w:p w14:paraId="2D42B047" w14:textId="77777777" w:rsidR="00E57DAA" w:rsidRDefault="00AC4185">
                <w:pPr>
                  <w:jc w:val="right"/>
                </w:pPr>
                <w:r>
                  <w:rPr>
                    <w:rFonts w:hint="eastAsia"/>
                    <w:color w:val="000000"/>
                    <w:sz w:val="22"/>
                    <w:szCs w:val="22"/>
                  </w:rPr>
                  <w:t>100.66</w:t>
                </w:r>
              </w:p>
            </w:tc>
            <w:tc>
              <w:tcPr>
                <w:tcW w:w="2591" w:type="dxa"/>
              </w:tcPr>
              <w:p w14:paraId="72716982" w14:textId="77777777" w:rsidR="00E57DAA" w:rsidRDefault="00AC4185" w:rsidP="00C25422">
                <w:pPr>
                  <w:pStyle w:val="92"/>
                </w:pPr>
                <w:r>
                  <w:t>抵押借款</w:t>
                </w:r>
              </w:p>
            </w:tc>
          </w:tr>
          <w:tr w:rsidR="00E57DAA" w14:paraId="38515C68" w14:textId="77777777">
            <w:tc>
              <w:tcPr>
                <w:tcW w:w="2117" w:type="dxa"/>
              </w:tcPr>
              <w:p w14:paraId="33917B29" w14:textId="77777777" w:rsidR="00E57DAA" w:rsidRDefault="00AC4185" w:rsidP="00C25422">
                <w:pPr>
                  <w:pStyle w:val="92"/>
                </w:pPr>
                <w:r>
                  <w:t>固定资产</w:t>
                </w:r>
              </w:p>
            </w:tc>
            <w:tc>
              <w:tcPr>
                <w:tcW w:w="4115" w:type="dxa"/>
                <w:vAlign w:val="center"/>
              </w:tcPr>
              <w:p w14:paraId="6F2E947B" w14:textId="77777777" w:rsidR="00E57DAA" w:rsidRDefault="00AC4185">
                <w:pPr>
                  <w:jc w:val="right"/>
                  <w:rPr>
                    <w:color w:val="000000"/>
                    <w:sz w:val="22"/>
                    <w:szCs w:val="22"/>
                  </w:rPr>
                </w:pPr>
                <w:r>
                  <w:rPr>
                    <w:rFonts w:hint="eastAsia"/>
                    <w:color w:val="000000"/>
                    <w:sz w:val="22"/>
                    <w:szCs w:val="22"/>
                  </w:rPr>
                  <w:t>57,954.76</w:t>
                </w:r>
              </w:p>
            </w:tc>
            <w:tc>
              <w:tcPr>
                <w:tcW w:w="2591" w:type="dxa"/>
              </w:tcPr>
              <w:p w14:paraId="6903228D" w14:textId="77777777" w:rsidR="00E57DAA" w:rsidRDefault="00AC4185" w:rsidP="00C25422">
                <w:pPr>
                  <w:pStyle w:val="92"/>
                </w:pPr>
                <w:r>
                  <w:t>抵押借款</w:t>
                </w:r>
              </w:p>
            </w:tc>
          </w:tr>
          <w:tr w:rsidR="00E57DAA" w14:paraId="0786A2ED" w14:textId="77777777">
            <w:tc>
              <w:tcPr>
                <w:tcW w:w="2117" w:type="dxa"/>
              </w:tcPr>
              <w:p w14:paraId="2452CBD0" w14:textId="77777777" w:rsidR="00E57DAA" w:rsidRDefault="00AC4185" w:rsidP="00C25422">
                <w:pPr>
                  <w:pStyle w:val="92"/>
                </w:pPr>
                <w:r>
                  <w:t>无形资产</w:t>
                </w:r>
              </w:p>
            </w:tc>
            <w:tc>
              <w:tcPr>
                <w:tcW w:w="4115" w:type="dxa"/>
                <w:vAlign w:val="center"/>
              </w:tcPr>
              <w:p w14:paraId="1761AFB9" w14:textId="77777777" w:rsidR="00E57DAA" w:rsidRDefault="00AC4185">
                <w:pPr>
                  <w:jc w:val="right"/>
                  <w:rPr>
                    <w:color w:val="000000"/>
                    <w:sz w:val="22"/>
                    <w:szCs w:val="22"/>
                  </w:rPr>
                </w:pPr>
                <w:r>
                  <w:rPr>
                    <w:rFonts w:hint="eastAsia"/>
                    <w:color w:val="000000"/>
                    <w:sz w:val="22"/>
                    <w:szCs w:val="22"/>
                  </w:rPr>
                  <w:t>1,538.63</w:t>
                </w:r>
              </w:p>
            </w:tc>
            <w:tc>
              <w:tcPr>
                <w:tcW w:w="2591" w:type="dxa"/>
              </w:tcPr>
              <w:p w14:paraId="199F18C9" w14:textId="77777777" w:rsidR="00E57DAA" w:rsidRDefault="00AC4185" w:rsidP="00C25422">
                <w:pPr>
                  <w:pStyle w:val="92"/>
                </w:pPr>
                <w:r>
                  <w:t>抵押借款</w:t>
                </w:r>
              </w:p>
            </w:tc>
          </w:tr>
          <w:tr w:rsidR="00E57DAA" w14:paraId="4F16BBAC" w14:textId="77777777">
            <w:tc>
              <w:tcPr>
                <w:tcW w:w="2117" w:type="dxa"/>
              </w:tcPr>
              <w:p w14:paraId="532511A6" w14:textId="77777777" w:rsidR="00E57DAA" w:rsidRDefault="00AC4185" w:rsidP="00C25422">
                <w:pPr>
                  <w:pStyle w:val="92"/>
                </w:pPr>
                <w:r>
                  <w:lastRenderedPageBreak/>
                  <w:t>合计</w:t>
                </w:r>
              </w:p>
            </w:tc>
            <w:tc>
              <w:tcPr>
                <w:tcW w:w="4115" w:type="dxa"/>
                <w:vAlign w:val="bottom"/>
              </w:tcPr>
              <w:p w14:paraId="5022E5F2" w14:textId="77777777" w:rsidR="00E57DAA" w:rsidRDefault="00AC4185">
                <w:pPr>
                  <w:jc w:val="right"/>
                  <w:rPr>
                    <w:color w:val="000000"/>
                    <w:sz w:val="22"/>
                    <w:szCs w:val="22"/>
                  </w:rPr>
                </w:pPr>
                <w:r>
                  <w:rPr>
                    <w:rFonts w:hint="eastAsia"/>
                    <w:color w:val="000000"/>
                    <w:sz w:val="22"/>
                    <w:szCs w:val="22"/>
                  </w:rPr>
                  <w:t xml:space="preserve">              165,315.03 </w:t>
                </w:r>
              </w:p>
            </w:tc>
            <w:tc>
              <w:tcPr>
                <w:tcW w:w="2591" w:type="dxa"/>
              </w:tcPr>
              <w:p w14:paraId="65DC4A2E" w14:textId="77777777" w:rsidR="00E57DAA" w:rsidRDefault="00AC4185" w:rsidP="00C25422">
                <w:pPr>
                  <w:pStyle w:val="92"/>
                </w:pPr>
                <w:r>
                  <w:t xml:space="preserve">　</w:t>
                </w:r>
              </w:p>
            </w:tc>
          </w:tr>
        </w:tbl>
        <w:p w14:paraId="362AA414" w14:textId="77777777" w:rsidR="00E57DAA" w:rsidRDefault="00EB41A1">
          <w:pPr>
            <w:rPr>
              <w:szCs w:val="21"/>
            </w:rPr>
          </w:pPr>
        </w:p>
      </w:sdtContent>
    </w:sdt>
    <w:p w14:paraId="1CE57101" w14:textId="77777777" w:rsidR="00E57DAA" w:rsidRDefault="00AC4185">
      <w:pPr>
        <w:pStyle w:val="4"/>
        <w:numPr>
          <w:ilvl w:val="0"/>
          <w:numId w:val="13"/>
        </w:numPr>
      </w:pPr>
      <w:r>
        <w:t>其他说明</w:t>
      </w:r>
    </w:p>
    <w:sdt>
      <w:sdtPr>
        <w:rPr>
          <w:rFonts w:hint="eastAsia"/>
          <w:szCs w:val="21"/>
        </w:rPr>
        <w:alias w:val="是否适用：资产及负债状况的其他说明[双击切换]"/>
        <w:tag w:val="_GBC_364e24c8cf1a4469ba88a4ae16e0417f"/>
        <w:id w:val="-1117288187"/>
        <w:placeholder>
          <w:docPart w:val="GBC22222222222222222222222222222"/>
        </w:placeholder>
      </w:sdtPr>
      <w:sdtEndPr/>
      <w:sdtContent>
        <w:p w14:paraId="292CEFC2"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资产及负债状况的其他说明"/>
        <w:tag w:val="_GBC_58a6c3dd292e4f87b46461a346e68bff"/>
        <w:id w:val="-460424257"/>
        <w:placeholder>
          <w:docPart w:val="GBC22222222222222222222222222222"/>
        </w:placeholder>
      </w:sdtPr>
      <w:sdtEndPr/>
      <w:sdtContent>
        <w:p w14:paraId="3BF6A863" w14:textId="77777777" w:rsidR="00E57DAA" w:rsidRDefault="00AC4185">
          <w:pPr>
            <w:ind w:firstLineChars="200" w:firstLine="420"/>
          </w:pPr>
          <w:r>
            <w:rPr>
              <w:rFonts w:hint="eastAsia"/>
            </w:rPr>
            <w:t>报告期，公司融资结构合理，融资成本较优，较好的支持了公司业务发展。公司融资情况及债权融资偿还规划如下：</w:t>
          </w:r>
          <w:r>
            <w:t xml:space="preserve"> </w:t>
          </w:r>
        </w:p>
        <w:p w14:paraId="00A6BFAD" w14:textId="77777777" w:rsidR="00E57DAA" w:rsidRDefault="00AC4185">
          <w:pPr>
            <w:ind w:firstLineChars="200" w:firstLine="420"/>
          </w:pPr>
          <w:r>
            <w:rPr>
              <w:rFonts w:hint="eastAsia"/>
            </w:rPr>
            <w:t xml:space="preserve"> </w:t>
          </w:r>
          <w:r>
            <w:t xml:space="preserve">                                                                    </w:t>
          </w:r>
          <w:r>
            <w:rPr>
              <w:rFonts w:hint="eastAsia"/>
            </w:rPr>
            <w:t xml:space="preserve">单位：万元 </w:t>
          </w:r>
        </w:p>
        <w:tbl>
          <w:tblPr>
            <w:tblStyle w:val="aff6"/>
            <w:tblW w:w="0" w:type="auto"/>
            <w:tblLook w:val="04A0" w:firstRow="1" w:lastRow="0" w:firstColumn="1" w:lastColumn="0" w:noHBand="0" w:noVBand="1"/>
          </w:tblPr>
          <w:tblGrid>
            <w:gridCol w:w="2206"/>
            <w:gridCol w:w="1910"/>
            <w:gridCol w:w="2501"/>
            <w:gridCol w:w="2206"/>
          </w:tblGrid>
          <w:tr w:rsidR="00E57DAA" w14:paraId="73DEC60B" w14:textId="77777777">
            <w:tc>
              <w:tcPr>
                <w:tcW w:w="2206" w:type="dxa"/>
              </w:tcPr>
              <w:p w14:paraId="1813FDEE" w14:textId="77777777" w:rsidR="00E57DAA" w:rsidRDefault="00AC4185" w:rsidP="00C25422">
                <w:pPr>
                  <w:pStyle w:val="92"/>
                </w:pPr>
                <w:r>
                  <w:rPr>
                    <w:rFonts w:hint="eastAsia"/>
                  </w:rPr>
                  <w:t>类型</w:t>
                </w:r>
              </w:p>
            </w:tc>
            <w:tc>
              <w:tcPr>
                <w:tcW w:w="1910" w:type="dxa"/>
              </w:tcPr>
              <w:p w14:paraId="52016223" w14:textId="77777777" w:rsidR="00E57DAA" w:rsidRDefault="00AC4185" w:rsidP="00C25422">
                <w:pPr>
                  <w:pStyle w:val="92"/>
                </w:pPr>
                <w:r>
                  <w:rPr>
                    <w:rFonts w:hint="eastAsia"/>
                  </w:rPr>
                  <w:t>余额</w:t>
                </w:r>
              </w:p>
            </w:tc>
            <w:tc>
              <w:tcPr>
                <w:tcW w:w="2501" w:type="dxa"/>
              </w:tcPr>
              <w:p w14:paraId="1A1EB36B" w14:textId="77777777" w:rsidR="00E57DAA" w:rsidRDefault="00AC4185" w:rsidP="00C25422">
                <w:pPr>
                  <w:pStyle w:val="92"/>
                </w:pPr>
                <w:r>
                  <w:rPr>
                    <w:rFonts w:hint="eastAsia"/>
                  </w:rPr>
                  <w:t>细分内容</w:t>
                </w:r>
              </w:p>
            </w:tc>
            <w:tc>
              <w:tcPr>
                <w:tcW w:w="2206" w:type="dxa"/>
              </w:tcPr>
              <w:p w14:paraId="26D5D1CF" w14:textId="77777777" w:rsidR="00E57DAA" w:rsidRDefault="00AC4185" w:rsidP="00C25422">
                <w:pPr>
                  <w:pStyle w:val="92"/>
                </w:pPr>
                <w:r>
                  <w:rPr>
                    <w:rFonts w:hint="eastAsia"/>
                  </w:rPr>
                  <w:t>细分金额</w:t>
                </w:r>
              </w:p>
            </w:tc>
          </w:tr>
          <w:tr w:rsidR="00E57DAA" w14:paraId="5FE5EA27" w14:textId="77777777">
            <w:tc>
              <w:tcPr>
                <w:tcW w:w="2206" w:type="dxa"/>
              </w:tcPr>
              <w:p w14:paraId="446077A7" w14:textId="77777777" w:rsidR="00E57DAA" w:rsidRDefault="00AC4185" w:rsidP="00C25422">
                <w:pPr>
                  <w:pStyle w:val="92"/>
                </w:pPr>
                <w:r>
                  <w:rPr>
                    <w:rFonts w:hint="eastAsia"/>
                  </w:rPr>
                  <w:t>股权融资</w:t>
                </w:r>
              </w:p>
            </w:tc>
            <w:tc>
              <w:tcPr>
                <w:tcW w:w="1910" w:type="dxa"/>
              </w:tcPr>
              <w:p w14:paraId="43DB0B9F" w14:textId="77777777" w:rsidR="00E57DAA" w:rsidRPr="00C25422" w:rsidRDefault="00AC4185" w:rsidP="00C25422">
                <w:pPr>
                  <w:pStyle w:val="92"/>
                </w:pPr>
                <w:r w:rsidRPr="00C25422">
                  <w:rPr>
                    <w:rFonts w:hint="eastAsia"/>
                  </w:rPr>
                  <w:t>0.00</w:t>
                </w:r>
              </w:p>
            </w:tc>
            <w:tc>
              <w:tcPr>
                <w:tcW w:w="2501" w:type="dxa"/>
              </w:tcPr>
              <w:p w14:paraId="4559B751" w14:textId="77777777" w:rsidR="00E57DAA" w:rsidRDefault="00E57DAA" w:rsidP="00C25422">
                <w:pPr>
                  <w:pStyle w:val="92"/>
                </w:pPr>
              </w:p>
            </w:tc>
            <w:tc>
              <w:tcPr>
                <w:tcW w:w="2206" w:type="dxa"/>
              </w:tcPr>
              <w:p w14:paraId="1DDA6F20" w14:textId="77777777" w:rsidR="00E57DAA" w:rsidRDefault="00E57DAA" w:rsidP="00C25422">
                <w:pPr>
                  <w:pStyle w:val="92"/>
                </w:pPr>
              </w:p>
            </w:tc>
          </w:tr>
          <w:tr w:rsidR="00E57DAA" w14:paraId="1B50740C" w14:textId="77777777">
            <w:tc>
              <w:tcPr>
                <w:tcW w:w="2206" w:type="dxa"/>
              </w:tcPr>
              <w:p w14:paraId="1254B79B" w14:textId="77777777" w:rsidR="00E57DAA" w:rsidRDefault="00AC4185" w:rsidP="00C25422">
                <w:pPr>
                  <w:pStyle w:val="92"/>
                </w:pPr>
                <w:r>
                  <w:rPr>
                    <w:rFonts w:hint="eastAsia"/>
                  </w:rPr>
                  <w:t>债权融资</w:t>
                </w:r>
              </w:p>
            </w:tc>
            <w:tc>
              <w:tcPr>
                <w:tcW w:w="1910" w:type="dxa"/>
              </w:tcPr>
              <w:p w14:paraId="57147C31" w14:textId="77777777" w:rsidR="00E57DAA" w:rsidRPr="00C25422" w:rsidRDefault="00AC4185" w:rsidP="00C25422">
                <w:pPr>
                  <w:pStyle w:val="92"/>
                </w:pPr>
                <w:r w:rsidRPr="00C25422">
                  <w:rPr>
                    <w:rFonts w:hint="eastAsia"/>
                  </w:rPr>
                  <w:t>699,600.35</w:t>
                </w:r>
              </w:p>
            </w:tc>
            <w:tc>
              <w:tcPr>
                <w:tcW w:w="2501" w:type="dxa"/>
              </w:tcPr>
              <w:p w14:paraId="47ED3732" w14:textId="77777777" w:rsidR="00E57DAA" w:rsidRDefault="00AC4185" w:rsidP="00C25422">
                <w:pPr>
                  <w:pStyle w:val="92"/>
                </w:pPr>
                <w:r>
                  <w:rPr>
                    <w:rFonts w:hint="eastAsia"/>
                  </w:rPr>
                  <w:t> </w:t>
                </w:r>
              </w:p>
            </w:tc>
            <w:tc>
              <w:tcPr>
                <w:tcW w:w="2206" w:type="dxa"/>
              </w:tcPr>
              <w:p w14:paraId="726B595F" w14:textId="77777777" w:rsidR="00E57DAA" w:rsidRDefault="00AC4185" w:rsidP="00C25422">
                <w:pPr>
                  <w:pStyle w:val="92"/>
                </w:pPr>
                <w:r>
                  <w:rPr>
                    <w:rFonts w:hint="eastAsia"/>
                  </w:rPr>
                  <w:t> </w:t>
                </w:r>
              </w:p>
            </w:tc>
          </w:tr>
          <w:tr w:rsidR="00E57DAA" w14:paraId="38584B7E" w14:textId="77777777">
            <w:tc>
              <w:tcPr>
                <w:tcW w:w="2206" w:type="dxa"/>
              </w:tcPr>
              <w:p w14:paraId="78809E70" w14:textId="77777777" w:rsidR="00E57DAA" w:rsidRDefault="00AC4185" w:rsidP="00C25422">
                <w:pPr>
                  <w:pStyle w:val="92"/>
                </w:pPr>
                <w:r>
                  <w:t> 其中：金融机构借款</w:t>
                </w:r>
              </w:p>
            </w:tc>
            <w:tc>
              <w:tcPr>
                <w:tcW w:w="1910" w:type="dxa"/>
              </w:tcPr>
              <w:p w14:paraId="794B23B9" w14:textId="77777777" w:rsidR="00E57DAA" w:rsidRPr="00C25422" w:rsidRDefault="00AC4185" w:rsidP="00C25422">
                <w:pPr>
                  <w:pStyle w:val="92"/>
                </w:pPr>
                <w:r w:rsidRPr="00C25422">
                  <w:t>505,674.35</w:t>
                </w:r>
              </w:p>
            </w:tc>
            <w:tc>
              <w:tcPr>
                <w:tcW w:w="2501" w:type="dxa"/>
              </w:tcPr>
              <w:p w14:paraId="52A665EB" w14:textId="77777777" w:rsidR="00E57DAA" w:rsidRDefault="00AC4185" w:rsidP="00C25422">
                <w:pPr>
                  <w:pStyle w:val="92"/>
                </w:pPr>
                <w:r>
                  <w:rPr>
                    <w:rFonts w:hint="eastAsia"/>
                  </w:rPr>
                  <w:t>短期借款</w:t>
                </w:r>
              </w:p>
            </w:tc>
            <w:tc>
              <w:tcPr>
                <w:tcW w:w="2206" w:type="dxa"/>
              </w:tcPr>
              <w:p w14:paraId="54A0CFFF" w14:textId="77777777" w:rsidR="00E57DAA" w:rsidRDefault="00AC4185" w:rsidP="00C25422">
                <w:pPr>
                  <w:pStyle w:val="92"/>
                </w:pPr>
                <w:r>
                  <w:rPr>
                    <w:rFonts w:hint="eastAsia"/>
                  </w:rPr>
                  <w:t>202,432.93</w:t>
                </w:r>
              </w:p>
            </w:tc>
          </w:tr>
          <w:tr w:rsidR="00E57DAA" w14:paraId="7249FBF0" w14:textId="77777777">
            <w:tc>
              <w:tcPr>
                <w:tcW w:w="2206" w:type="dxa"/>
              </w:tcPr>
              <w:p w14:paraId="2E550328" w14:textId="77777777" w:rsidR="00E57DAA" w:rsidRDefault="00AC4185" w:rsidP="00C25422">
                <w:pPr>
                  <w:pStyle w:val="92"/>
                </w:pPr>
                <w:r>
                  <w:t> </w:t>
                </w:r>
              </w:p>
            </w:tc>
            <w:tc>
              <w:tcPr>
                <w:tcW w:w="1910" w:type="dxa"/>
              </w:tcPr>
              <w:p w14:paraId="0E66DBF8" w14:textId="77777777" w:rsidR="00E57DAA" w:rsidRPr="00C25422" w:rsidRDefault="00AC4185" w:rsidP="00C25422">
                <w:pPr>
                  <w:pStyle w:val="92"/>
                </w:pPr>
                <w:r w:rsidRPr="00C25422">
                  <w:t> </w:t>
                </w:r>
              </w:p>
            </w:tc>
            <w:tc>
              <w:tcPr>
                <w:tcW w:w="2501" w:type="dxa"/>
              </w:tcPr>
              <w:p w14:paraId="1B1162AE" w14:textId="77777777" w:rsidR="00E57DAA" w:rsidRDefault="00AC4185" w:rsidP="00C25422">
                <w:pPr>
                  <w:pStyle w:val="92"/>
                </w:pPr>
                <w:r>
                  <w:t>一年内到期的长期借款</w:t>
                </w:r>
              </w:p>
            </w:tc>
            <w:tc>
              <w:tcPr>
                <w:tcW w:w="2206" w:type="dxa"/>
              </w:tcPr>
              <w:p w14:paraId="05037FC9" w14:textId="77777777" w:rsidR="00E57DAA" w:rsidRDefault="00AC4185" w:rsidP="00C25422">
                <w:pPr>
                  <w:pStyle w:val="92"/>
                </w:pPr>
                <w:r>
                  <w:rPr>
                    <w:rFonts w:hint="eastAsia"/>
                  </w:rPr>
                  <w:t>98,887.96</w:t>
                </w:r>
              </w:p>
            </w:tc>
          </w:tr>
          <w:tr w:rsidR="00E57DAA" w14:paraId="69C9F988" w14:textId="77777777">
            <w:tc>
              <w:tcPr>
                <w:tcW w:w="2206" w:type="dxa"/>
              </w:tcPr>
              <w:p w14:paraId="1B530FB0" w14:textId="77777777" w:rsidR="00E57DAA" w:rsidRDefault="00AC4185" w:rsidP="00C25422">
                <w:pPr>
                  <w:pStyle w:val="92"/>
                </w:pPr>
                <w:r>
                  <w:t> </w:t>
                </w:r>
              </w:p>
            </w:tc>
            <w:tc>
              <w:tcPr>
                <w:tcW w:w="1910" w:type="dxa"/>
              </w:tcPr>
              <w:p w14:paraId="5C8DA32F" w14:textId="77777777" w:rsidR="00E57DAA" w:rsidRPr="00C25422" w:rsidRDefault="00AC4185" w:rsidP="00C25422">
                <w:pPr>
                  <w:pStyle w:val="92"/>
                </w:pPr>
                <w:r w:rsidRPr="00C25422">
                  <w:t> </w:t>
                </w:r>
              </w:p>
            </w:tc>
            <w:tc>
              <w:tcPr>
                <w:tcW w:w="2501" w:type="dxa"/>
              </w:tcPr>
              <w:p w14:paraId="40BA3085" w14:textId="77777777" w:rsidR="00E57DAA" w:rsidRDefault="00AC4185" w:rsidP="00C25422">
                <w:pPr>
                  <w:pStyle w:val="92"/>
                </w:pPr>
                <w:r>
                  <w:rPr>
                    <w:rFonts w:hint="eastAsia"/>
                  </w:rPr>
                  <w:t>长期借款</w:t>
                </w:r>
              </w:p>
            </w:tc>
            <w:tc>
              <w:tcPr>
                <w:tcW w:w="2206" w:type="dxa"/>
              </w:tcPr>
              <w:p w14:paraId="41E42E1E" w14:textId="77777777" w:rsidR="00E57DAA" w:rsidRDefault="00AC4185" w:rsidP="00C25422">
                <w:pPr>
                  <w:pStyle w:val="92"/>
                </w:pPr>
                <w:r>
                  <w:rPr>
                    <w:rFonts w:hint="eastAsia"/>
                  </w:rPr>
                  <w:t>204,353.46</w:t>
                </w:r>
              </w:p>
            </w:tc>
          </w:tr>
          <w:tr w:rsidR="00E57DAA" w14:paraId="28A86F75" w14:textId="77777777">
            <w:tc>
              <w:tcPr>
                <w:tcW w:w="2206" w:type="dxa"/>
              </w:tcPr>
              <w:p w14:paraId="0476BEEF" w14:textId="77777777" w:rsidR="00E57DAA" w:rsidRDefault="00AC4185" w:rsidP="00C25422">
                <w:pPr>
                  <w:pStyle w:val="92"/>
                </w:pPr>
                <w:r>
                  <w:rPr>
                    <w:rFonts w:hint="eastAsia"/>
                  </w:rPr>
                  <w:t>资金拆借</w:t>
                </w:r>
              </w:p>
            </w:tc>
            <w:tc>
              <w:tcPr>
                <w:tcW w:w="1910" w:type="dxa"/>
              </w:tcPr>
              <w:p w14:paraId="5A879936" w14:textId="77777777" w:rsidR="00E57DAA" w:rsidRPr="00C25422" w:rsidRDefault="00AC4185" w:rsidP="00C25422">
                <w:pPr>
                  <w:pStyle w:val="92"/>
                </w:pPr>
                <w:r w:rsidRPr="00C25422">
                  <w:rPr>
                    <w:rFonts w:hint="eastAsia"/>
                  </w:rPr>
                  <w:t>43,926.00</w:t>
                </w:r>
              </w:p>
            </w:tc>
            <w:tc>
              <w:tcPr>
                <w:tcW w:w="2501" w:type="dxa"/>
              </w:tcPr>
              <w:p w14:paraId="1F0D83E9" w14:textId="77777777" w:rsidR="00E57DAA" w:rsidRDefault="00AC4185" w:rsidP="00C25422">
                <w:pPr>
                  <w:pStyle w:val="92"/>
                </w:pPr>
                <w:r>
                  <w:rPr>
                    <w:rFonts w:hint="eastAsia"/>
                  </w:rPr>
                  <w:t>其他应付款</w:t>
                </w:r>
              </w:p>
            </w:tc>
            <w:tc>
              <w:tcPr>
                <w:tcW w:w="2206" w:type="dxa"/>
              </w:tcPr>
              <w:p w14:paraId="648A4C92" w14:textId="77777777" w:rsidR="00E57DAA" w:rsidRDefault="00AC4185" w:rsidP="00C25422">
                <w:pPr>
                  <w:pStyle w:val="92"/>
                </w:pPr>
                <w:r>
                  <w:rPr>
                    <w:rFonts w:hint="eastAsia"/>
                  </w:rPr>
                  <w:t>43,926.00</w:t>
                </w:r>
              </w:p>
            </w:tc>
          </w:tr>
          <w:tr w:rsidR="00E57DAA" w14:paraId="11F5589F" w14:textId="77777777">
            <w:tc>
              <w:tcPr>
                <w:tcW w:w="2206" w:type="dxa"/>
              </w:tcPr>
              <w:p w14:paraId="60C89CFD" w14:textId="77777777" w:rsidR="00E57DAA" w:rsidRDefault="00AC4185" w:rsidP="00C25422">
                <w:pPr>
                  <w:pStyle w:val="92"/>
                </w:pPr>
                <w:r>
                  <w:t>公司债券</w:t>
                </w:r>
              </w:p>
            </w:tc>
            <w:tc>
              <w:tcPr>
                <w:tcW w:w="1910" w:type="dxa"/>
              </w:tcPr>
              <w:p w14:paraId="0B3B8CAD" w14:textId="77777777" w:rsidR="00E57DAA" w:rsidRPr="00C25422" w:rsidRDefault="00AC4185" w:rsidP="00C25422">
                <w:pPr>
                  <w:pStyle w:val="92"/>
                </w:pPr>
                <w:r w:rsidRPr="00C25422">
                  <w:t>50,000.00</w:t>
                </w:r>
              </w:p>
            </w:tc>
            <w:tc>
              <w:tcPr>
                <w:tcW w:w="2501" w:type="dxa"/>
              </w:tcPr>
              <w:p w14:paraId="06907882" w14:textId="77777777" w:rsidR="00E57DAA" w:rsidRDefault="00AC4185" w:rsidP="00C25422">
                <w:pPr>
                  <w:pStyle w:val="92"/>
                </w:pPr>
                <w:r>
                  <w:rPr>
                    <w:rFonts w:hint="eastAsia"/>
                  </w:rPr>
                  <w:t>应付债券</w:t>
                </w:r>
              </w:p>
            </w:tc>
            <w:tc>
              <w:tcPr>
                <w:tcW w:w="2206" w:type="dxa"/>
              </w:tcPr>
              <w:p w14:paraId="6F6BB46B" w14:textId="77777777" w:rsidR="00E57DAA" w:rsidRDefault="00AC4185" w:rsidP="00C25422">
                <w:pPr>
                  <w:pStyle w:val="92"/>
                </w:pPr>
                <w:r>
                  <w:t>50,000.00</w:t>
                </w:r>
              </w:p>
            </w:tc>
          </w:tr>
          <w:tr w:rsidR="00E57DAA" w14:paraId="07CA38E1" w14:textId="77777777">
            <w:tc>
              <w:tcPr>
                <w:tcW w:w="2206" w:type="dxa"/>
              </w:tcPr>
              <w:p w14:paraId="0C558709" w14:textId="77777777" w:rsidR="00E57DAA" w:rsidRDefault="00AC4185" w:rsidP="00C25422">
                <w:pPr>
                  <w:pStyle w:val="92"/>
                </w:pPr>
                <w:r>
                  <w:t>中期票据</w:t>
                </w:r>
              </w:p>
            </w:tc>
            <w:tc>
              <w:tcPr>
                <w:tcW w:w="1910" w:type="dxa"/>
              </w:tcPr>
              <w:p w14:paraId="482A0B62" w14:textId="77777777" w:rsidR="00E57DAA" w:rsidRPr="00C25422" w:rsidRDefault="00AC4185" w:rsidP="00C25422">
                <w:pPr>
                  <w:pStyle w:val="92"/>
                </w:pPr>
                <w:r w:rsidRPr="00C25422">
                  <w:t>100,000.00</w:t>
                </w:r>
              </w:p>
            </w:tc>
            <w:tc>
              <w:tcPr>
                <w:tcW w:w="2501" w:type="dxa"/>
              </w:tcPr>
              <w:p w14:paraId="10038167" w14:textId="77777777" w:rsidR="00E57DAA" w:rsidRDefault="00AC4185" w:rsidP="00C25422">
                <w:pPr>
                  <w:pStyle w:val="92"/>
                </w:pPr>
                <w:r>
                  <w:t>应付债券</w:t>
                </w:r>
              </w:p>
            </w:tc>
            <w:tc>
              <w:tcPr>
                <w:tcW w:w="2206" w:type="dxa"/>
              </w:tcPr>
              <w:p w14:paraId="7187F4E0" w14:textId="77777777" w:rsidR="00E57DAA" w:rsidRDefault="00AC4185" w:rsidP="00C25422">
                <w:pPr>
                  <w:pStyle w:val="92"/>
                </w:pPr>
                <w:r>
                  <w:t>100,000.00</w:t>
                </w:r>
              </w:p>
            </w:tc>
          </w:tr>
        </w:tbl>
        <w:p w14:paraId="73F4BAD2" w14:textId="77777777" w:rsidR="00E57DAA" w:rsidRDefault="00E57DAA"/>
        <w:p w14:paraId="0EAFF524" w14:textId="77777777" w:rsidR="00E26781" w:rsidRDefault="00AC4185">
          <w:pPr>
            <w:ind w:firstLineChars="200" w:firstLine="420"/>
          </w:pPr>
          <w:r>
            <w:t>债权融资偿还规划：</w:t>
          </w:r>
          <w:r>
            <w:rPr>
              <w:rFonts w:hint="eastAsia"/>
            </w:rPr>
            <w:t xml:space="preserve"> </w:t>
          </w:r>
          <w:r>
            <w:t xml:space="preserve">                                 </w:t>
          </w:r>
        </w:p>
        <w:p w14:paraId="0F5C1A75" w14:textId="77777777" w:rsidR="00E57DAA" w:rsidRDefault="00AC4185" w:rsidP="00E26781">
          <w:pPr>
            <w:ind w:firstLineChars="200" w:firstLine="420"/>
            <w:jc w:val="right"/>
          </w:pPr>
          <w:r>
            <w:rPr>
              <w:rFonts w:hint="eastAsia"/>
            </w:rPr>
            <w:t xml:space="preserve">单位：万元 </w:t>
          </w:r>
          <w:r>
            <w:t xml:space="preserve"> </w:t>
          </w:r>
          <w:r>
            <w:rPr>
              <w:rFonts w:hint="eastAsia"/>
            </w:rPr>
            <w:t>币种：人民币</w:t>
          </w:r>
        </w:p>
        <w:tbl>
          <w:tblPr>
            <w:tblStyle w:val="aff6"/>
            <w:tblW w:w="0" w:type="auto"/>
            <w:tblLook w:val="04A0" w:firstRow="1" w:lastRow="0" w:firstColumn="1" w:lastColumn="0" w:noHBand="0" w:noVBand="1"/>
          </w:tblPr>
          <w:tblGrid>
            <w:gridCol w:w="1259"/>
            <w:gridCol w:w="1259"/>
            <w:gridCol w:w="1261"/>
            <w:gridCol w:w="1261"/>
            <w:gridCol w:w="1261"/>
            <w:gridCol w:w="1261"/>
            <w:gridCol w:w="1261"/>
          </w:tblGrid>
          <w:tr w:rsidR="00E26781" w14:paraId="088BBC82" w14:textId="77777777" w:rsidTr="00E26781">
            <w:tc>
              <w:tcPr>
                <w:tcW w:w="1259" w:type="dxa"/>
              </w:tcPr>
              <w:p w14:paraId="5B6FACB4" w14:textId="77777777" w:rsidR="00E26781" w:rsidRDefault="00E26781" w:rsidP="003E00C7">
                <w:pPr>
                  <w:pStyle w:val="92"/>
                </w:pPr>
                <w:r>
                  <w:rPr>
                    <w:rFonts w:hint="eastAsia"/>
                  </w:rPr>
                  <w:t>合计</w:t>
                </w:r>
              </w:p>
            </w:tc>
            <w:tc>
              <w:tcPr>
                <w:tcW w:w="1259" w:type="dxa"/>
              </w:tcPr>
              <w:p w14:paraId="66416A0D" w14:textId="77777777" w:rsidR="00E26781" w:rsidRDefault="00E26781" w:rsidP="003E00C7">
                <w:pPr>
                  <w:pStyle w:val="92"/>
                </w:pPr>
                <w:r>
                  <w:rPr>
                    <w:rFonts w:hint="eastAsia"/>
                  </w:rPr>
                  <w:t>1年内</w:t>
                </w:r>
              </w:p>
            </w:tc>
            <w:tc>
              <w:tcPr>
                <w:tcW w:w="1261" w:type="dxa"/>
              </w:tcPr>
              <w:p w14:paraId="768E6DCE" w14:textId="77777777" w:rsidR="00E26781" w:rsidRDefault="00E26781" w:rsidP="003E00C7">
                <w:pPr>
                  <w:pStyle w:val="92"/>
                </w:pPr>
                <w:r>
                  <w:rPr>
                    <w:rFonts w:hint="eastAsia"/>
                  </w:rPr>
                  <w:t>1-2年  </w:t>
                </w:r>
              </w:p>
            </w:tc>
            <w:tc>
              <w:tcPr>
                <w:tcW w:w="1261" w:type="dxa"/>
              </w:tcPr>
              <w:p w14:paraId="5117660E" w14:textId="77777777" w:rsidR="00E26781" w:rsidRDefault="00E26781" w:rsidP="003E00C7">
                <w:pPr>
                  <w:pStyle w:val="92"/>
                </w:pPr>
                <w:r>
                  <w:rPr>
                    <w:rFonts w:hint="eastAsia"/>
                  </w:rPr>
                  <w:t>2-3年</w:t>
                </w:r>
              </w:p>
            </w:tc>
            <w:tc>
              <w:tcPr>
                <w:tcW w:w="1261" w:type="dxa"/>
              </w:tcPr>
              <w:p w14:paraId="09B3086C" w14:textId="77777777" w:rsidR="00E26781" w:rsidRDefault="00E26781" w:rsidP="003E00C7">
                <w:pPr>
                  <w:pStyle w:val="92"/>
                </w:pPr>
                <w:r>
                  <w:rPr>
                    <w:rFonts w:hint="eastAsia"/>
                  </w:rPr>
                  <w:t>3-4年</w:t>
                </w:r>
              </w:p>
            </w:tc>
            <w:tc>
              <w:tcPr>
                <w:tcW w:w="1261" w:type="dxa"/>
              </w:tcPr>
              <w:p w14:paraId="3456C8D7" w14:textId="77777777" w:rsidR="00E26781" w:rsidRDefault="00E26781" w:rsidP="003E00C7">
                <w:pPr>
                  <w:pStyle w:val="92"/>
                </w:pPr>
                <w:r>
                  <w:rPr>
                    <w:rFonts w:hint="eastAsia"/>
                  </w:rPr>
                  <w:t>4-5年</w:t>
                </w:r>
              </w:p>
            </w:tc>
            <w:tc>
              <w:tcPr>
                <w:tcW w:w="1261" w:type="dxa"/>
              </w:tcPr>
              <w:p w14:paraId="00639D07" w14:textId="77777777" w:rsidR="00E26781" w:rsidRDefault="00E26781" w:rsidP="003E00C7">
                <w:pPr>
                  <w:pStyle w:val="92"/>
                </w:pPr>
                <w:r>
                  <w:rPr>
                    <w:rFonts w:hint="eastAsia"/>
                  </w:rPr>
                  <w:t>5年以上</w:t>
                </w:r>
              </w:p>
            </w:tc>
          </w:tr>
          <w:tr w:rsidR="00E26781" w14:paraId="752592D6" w14:textId="77777777" w:rsidTr="00E26781">
            <w:tc>
              <w:tcPr>
                <w:tcW w:w="1259" w:type="dxa"/>
              </w:tcPr>
              <w:p w14:paraId="73CB8C16" w14:textId="77777777" w:rsidR="00E26781" w:rsidRDefault="00E26781" w:rsidP="00E26781">
                <w:pPr>
                  <w:pStyle w:val="92"/>
                  <w:jc w:val="right"/>
                </w:pPr>
                <w:r>
                  <w:rPr>
                    <w:rFonts w:hint="eastAsia"/>
                  </w:rPr>
                  <w:t>699,600.35</w:t>
                </w:r>
              </w:p>
            </w:tc>
            <w:tc>
              <w:tcPr>
                <w:tcW w:w="1259" w:type="dxa"/>
              </w:tcPr>
              <w:p w14:paraId="62CA0D6F" w14:textId="77777777" w:rsidR="00E26781" w:rsidRDefault="00E26781" w:rsidP="00E26781">
                <w:pPr>
                  <w:pStyle w:val="92"/>
                  <w:jc w:val="right"/>
                </w:pPr>
                <w:r>
                  <w:t>351,600.89</w:t>
                </w:r>
              </w:p>
            </w:tc>
            <w:tc>
              <w:tcPr>
                <w:tcW w:w="1261" w:type="dxa"/>
              </w:tcPr>
              <w:p w14:paraId="7C724A24" w14:textId="77777777" w:rsidR="00E26781" w:rsidRDefault="00E26781" w:rsidP="00E26781">
                <w:pPr>
                  <w:pStyle w:val="92"/>
                  <w:jc w:val="right"/>
                </w:pPr>
                <w:r>
                  <w:rPr>
                    <w:rFonts w:hint="eastAsia"/>
                  </w:rPr>
                  <w:t>206,901.03</w:t>
                </w:r>
              </w:p>
            </w:tc>
            <w:tc>
              <w:tcPr>
                <w:tcW w:w="1261" w:type="dxa"/>
              </w:tcPr>
              <w:p w14:paraId="479339B8" w14:textId="77777777" w:rsidR="00E26781" w:rsidRDefault="00E26781" w:rsidP="00E26781">
                <w:pPr>
                  <w:pStyle w:val="92"/>
                  <w:jc w:val="right"/>
                </w:pPr>
                <w:r>
                  <w:rPr>
                    <w:rFonts w:hint="eastAsia"/>
                  </w:rPr>
                  <w:t>94,634.16</w:t>
                </w:r>
              </w:p>
            </w:tc>
            <w:tc>
              <w:tcPr>
                <w:tcW w:w="1261" w:type="dxa"/>
              </w:tcPr>
              <w:p w14:paraId="761A1E62" w14:textId="77777777" w:rsidR="00E26781" w:rsidRDefault="00E26781" w:rsidP="00E26781">
                <w:pPr>
                  <w:pStyle w:val="92"/>
                  <w:jc w:val="right"/>
                </w:pPr>
                <w:r>
                  <w:rPr>
                    <w:rFonts w:hint="eastAsia"/>
                  </w:rPr>
                  <w:t>3,658.27</w:t>
                </w:r>
              </w:p>
            </w:tc>
            <w:tc>
              <w:tcPr>
                <w:tcW w:w="1261" w:type="dxa"/>
              </w:tcPr>
              <w:p w14:paraId="630C8DEF" w14:textId="77777777" w:rsidR="00E26781" w:rsidRDefault="00E26781" w:rsidP="00E26781">
                <w:pPr>
                  <w:pStyle w:val="92"/>
                  <w:jc w:val="right"/>
                </w:pPr>
                <w:r>
                  <w:rPr>
                    <w:rFonts w:hint="eastAsia"/>
                  </w:rPr>
                  <w:t>280.00</w:t>
                </w:r>
              </w:p>
            </w:tc>
            <w:tc>
              <w:tcPr>
                <w:tcW w:w="1261" w:type="dxa"/>
              </w:tcPr>
              <w:p w14:paraId="73ADFF3C" w14:textId="77777777" w:rsidR="00E26781" w:rsidRDefault="00E26781" w:rsidP="00E26781">
                <w:pPr>
                  <w:pStyle w:val="92"/>
                  <w:jc w:val="right"/>
                </w:pPr>
                <w:r>
                  <w:t>42,526.00</w:t>
                </w:r>
              </w:p>
            </w:tc>
          </w:tr>
        </w:tbl>
        <w:p w14:paraId="3D7F0744" w14:textId="77777777" w:rsidR="00E26781" w:rsidRDefault="00E26781"/>
        <w:p w14:paraId="4D46885B" w14:textId="77777777" w:rsidR="00E57DAA" w:rsidRDefault="00AC4185">
          <w:pPr>
            <w:rPr>
              <w:szCs w:val="21"/>
            </w:rPr>
          </w:pPr>
          <w:r>
            <w:rPr>
              <w:rFonts w:hint="eastAsia"/>
              <w:sz w:val="18"/>
              <w:szCs w:val="18"/>
            </w:rPr>
            <w:t>注：债权融资、中期票据、公司债券、超短期融资债券等为本金金额，未包含已计提未到期利息。</w:t>
          </w:r>
        </w:p>
      </w:sdtContent>
    </w:sdt>
    <w:p w14:paraId="25E9DDEE" w14:textId="77777777" w:rsidR="00E57DAA" w:rsidRDefault="00AC4185">
      <w:pPr>
        <w:rPr>
          <w:szCs w:val="21"/>
        </w:rPr>
      </w:pPr>
      <w:r>
        <w:rPr>
          <w:szCs w:val="21"/>
        </w:rPr>
        <w:t xml:space="preserve"> </w:t>
      </w:r>
    </w:p>
    <w:p w14:paraId="17F3C942" w14:textId="77777777" w:rsidR="00E57DAA" w:rsidRDefault="00AC4185">
      <w:pPr>
        <w:pStyle w:val="3"/>
        <w:numPr>
          <w:ilvl w:val="0"/>
          <w:numId w:val="9"/>
        </w:numPr>
      </w:pPr>
      <w:r>
        <w:rPr>
          <w:rFonts w:hint="eastAsia"/>
        </w:rPr>
        <w:t>行业经营性信息分析</w:t>
      </w:r>
    </w:p>
    <w:sdt>
      <w:sdtPr>
        <w:rPr>
          <w:rFonts w:hint="eastAsia"/>
          <w:szCs w:val="21"/>
        </w:rPr>
        <w:alias w:val="是否适用：行业经营性信息分析[双击切换]"/>
        <w:tag w:val="_GBC_8a02ac4934eb426ab273323b8694d88c"/>
        <w:id w:val="-1139490324"/>
        <w:placeholder>
          <w:docPart w:val="GBC22222222222222222222222222222"/>
        </w:placeholder>
      </w:sdtPr>
      <w:sdtEndPr/>
      <w:sdtContent>
        <w:p w14:paraId="7E7C9BA0"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rPr>
        <w:alias w:val="行业经营性信息分析"/>
        <w:tag w:val="_GBC_e16bc1aa6d5e4cdd94278d9bb9b9d44b"/>
        <w:id w:val="-245801599"/>
        <w:placeholder>
          <w:docPart w:val="GBC22222222222222222222222222222"/>
        </w:placeholder>
      </w:sdtPr>
      <w:sdtEndPr/>
      <w:sdtContent>
        <w:p w14:paraId="0D6B413D" w14:textId="77777777" w:rsidR="00E57DAA" w:rsidRDefault="00AC4185">
          <w:pPr>
            <w:pStyle w:val="3"/>
            <w:ind w:firstLineChars="200" w:firstLine="422"/>
          </w:pPr>
          <w:r>
            <w:rPr>
              <w:rFonts w:hint="eastAsia"/>
              <w:b w:val="0"/>
              <w:bCs w:val="0"/>
            </w:rPr>
            <w:t>根据</w:t>
          </w:r>
          <w:r>
            <w:rPr>
              <w:b w:val="0"/>
              <w:bCs w:val="0"/>
            </w:rPr>
            <w:t>中国</w:t>
          </w:r>
          <w:r>
            <w:rPr>
              <w:rFonts w:hint="eastAsia"/>
              <w:b w:val="0"/>
              <w:bCs w:val="0"/>
            </w:rPr>
            <w:t>上市公司协会</w:t>
          </w:r>
          <w:r>
            <w:rPr>
              <w:b w:val="0"/>
              <w:bCs w:val="0"/>
            </w:rPr>
            <w:t>发布的</w:t>
          </w:r>
          <w:r>
            <w:rPr>
              <w:rFonts w:hint="eastAsia"/>
              <w:b w:val="0"/>
              <w:bCs w:val="0"/>
            </w:rPr>
            <w:t>《中国上市公司协会上市公司行业统计分类指引》和</w:t>
          </w:r>
          <w:r>
            <w:rPr>
              <w:b w:val="0"/>
              <w:bCs w:val="0"/>
            </w:rPr>
            <w:t>上市公司行业分类结果，本公司所处行业为建筑业。</w:t>
          </w:r>
          <w:r>
            <w:rPr>
              <w:rFonts w:hint="eastAsia"/>
              <w:b w:val="0"/>
              <w:bCs w:val="0"/>
            </w:rPr>
            <w:t>2023</w:t>
          </w:r>
          <w:r>
            <w:rPr>
              <w:rFonts w:hint="eastAsia"/>
              <w:b w:val="0"/>
              <w:bCs w:val="0"/>
            </w:rPr>
            <w:t>年，公司所属行业情况详见本节“报告期内公司所属行业情况”。</w:t>
          </w:r>
        </w:p>
      </w:sdtContent>
    </w:sdt>
    <w:p w14:paraId="66B27B3A" w14:textId="77777777" w:rsidR="00E57DAA" w:rsidRDefault="00E57DAA">
      <w:pPr>
        <w:rPr>
          <w:szCs w:val="21"/>
        </w:rPr>
        <w:sectPr w:rsidR="00E57DAA" w:rsidSect="00226547">
          <w:pgSz w:w="11906" w:h="16838"/>
          <w:pgMar w:top="1440" w:right="1797" w:bottom="1525" w:left="1276" w:header="855" w:footer="992" w:gutter="0"/>
          <w:cols w:space="425"/>
          <w:docGrid w:type="lines" w:linePitch="312"/>
        </w:sectPr>
      </w:pPr>
    </w:p>
    <w:p w14:paraId="682E5781" w14:textId="77777777" w:rsidR="00E57DAA" w:rsidRDefault="00AC4185">
      <w:pPr>
        <w:pStyle w:val="4"/>
        <w:ind w:left="360" w:hanging="360"/>
      </w:pPr>
      <w:r>
        <w:rPr>
          <w:rFonts w:hint="eastAsia"/>
        </w:rPr>
        <w:lastRenderedPageBreak/>
        <w:t>建筑行业经营性信息分析</w:t>
      </w:r>
    </w:p>
    <w:p w14:paraId="54DFDE3B" w14:textId="77777777" w:rsidR="00E57DAA" w:rsidRDefault="00AC4185">
      <w:pPr>
        <w:pStyle w:val="5"/>
        <w:numPr>
          <w:ilvl w:val="0"/>
          <w:numId w:val="15"/>
        </w:numPr>
        <w:ind w:left="530"/>
      </w:pPr>
      <w:r>
        <w:rPr>
          <w:rFonts w:hint="eastAsia"/>
        </w:rPr>
        <w:t>报告期内竣工验收的项目情况</w:t>
      </w:r>
    </w:p>
    <w:sdt>
      <w:sdtPr>
        <w:rPr>
          <w:rFonts w:hint="eastAsia"/>
        </w:rPr>
        <w:alias w:val="是否适用：报告期内竣工验收的按行业项目情况[双击切换]"/>
        <w:tag w:val="_GBC_68bbd6446edc44288538a8cad6df7533"/>
        <w:id w:val="1955989244"/>
        <w:placeholder>
          <w:docPart w:val="GBC22222222222222222222222222222"/>
        </w:placeholder>
      </w:sdtPr>
      <w:sdtEndPr/>
      <w:sdtContent>
        <w:p w14:paraId="2B5D6CA1" w14:textId="77777777" w:rsidR="00E57DAA" w:rsidRDefault="00AC4185">
          <w:pPr>
            <w:adjustRightInd w:val="0"/>
            <w:snapToGri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1D253F" w14:textId="77777777" w:rsidR="00E57DAA" w:rsidRDefault="00AC4185">
      <w:pPr>
        <w:wordWrap w:val="0"/>
        <w:adjustRightInd w:val="0"/>
        <w:snapToGrid w:val="0"/>
        <w:jc w:val="right"/>
      </w:pPr>
      <w:r>
        <w:rPr>
          <w:rFonts w:hint="eastAsia"/>
          <w:color w:val="000000"/>
        </w:rPr>
        <w:t>单位：</w:t>
      </w:r>
      <w:sdt>
        <w:sdtPr>
          <w:rPr>
            <w:rFonts w:hint="eastAsia"/>
            <w:color w:val="000000"/>
          </w:rPr>
          <w:alias w:val="单位：报告期内竣工验收的按行业项目情况"/>
          <w:tag w:val="_GBC_b8a1c4dc0d594ae788f7b18469cd416d"/>
          <w:id w:val="775686685"/>
          <w:placeholder>
            <w:docPart w:val="4A38BD9365A84B6A9C2F842188A1F39B"/>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color w:val="000000"/>
            </w:rPr>
            <w:t>万元</w:t>
          </w:r>
        </w:sdtContent>
      </w:sdt>
      <w:r>
        <w:rPr>
          <w:rFonts w:hint="eastAsia"/>
        </w:rPr>
        <w:t xml:space="preserve">  币种：</w:t>
      </w:r>
      <w:sdt>
        <w:sdtPr>
          <w:rPr>
            <w:rFonts w:hint="eastAsia"/>
          </w:rPr>
          <w:alias w:val="币种：报告期内竣工验收的按行业项目情况"/>
          <w:tag w:val="_GBC_26182b6bc918490292b6df4761abb64c"/>
          <w:id w:val="975795998"/>
          <w:placeholder>
            <w:docPart w:val="4A38BD9365A84B6A9C2F842188A1F39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1085"/>
        <w:gridCol w:w="1085"/>
        <w:gridCol w:w="1476"/>
        <w:gridCol w:w="1085"/>
        <w:gridCol w:w="1266"/>
        <w:gridCol w:w="1476"/>
      </w:tblGrid>
      <w:tr w:rsidR="00E57DAA" w14:paraId="7CB82558" w14:textId="77777777">
        <w:sdt>
          <w:sdtPr>
            <w:tag w:val="_PLD_256ccbb7af964b5ca61708d3f51781db"/>
            <w:id w:val="242387422"/>
          </w:sdtPr>
          <w:sdtEndPr/>
          <w:sdtContent>
            <w:tc>
              <w:tcPr>
                <w:tcW w:w="843" w:type="pct"/>
                <w:vAlign w:val="center"/>
              </w:tcPr>
              <w:p w14:paraId="0B2AA3AD" w14:textId="77777777" w:rsidR="00E57DAA" w:rsidRDefault="00AC4185">
                <w:pPr>
                  <w:jc w:val="center"/>
                </w:pPr>
                <w:r>
                  <w:rPr>
                    <w:rFonts w:hint="eastAsia"/>
                  </w:rPr>
                  <w:t>细分行业</w:t>
                </w:r>
              </w:p>
            </w:tc>
          </w:sdtContent>
        </w:sdt>
        <w:sdt>
          <w:sdtPr>
            <w:tag w:val="_PLD_eb488bdf7ad740d59fb242850952501d"/>
            <w:id w:val="2036615184"/>
          </w:sdtPr>
          <w:sdtEndPr/>
          <w:sdtContent>
            <w:tc>
              <w:tcPr>
                <w:tcW w:w="693" w:type="pct"/>
                <w:vAlign w:val="center"/>
              </w:tcPr>
              <w:p w14:paraId="7DD5E9C1" w14:textId="77777777" w:rsidR="00E57DAA" w:rsidRDefault="00AC4185">
                <w:pPr>
                  <w:jc w:val="center"/>
                </w:pPr>
                <w:r>
                  <w:rPr>
                    <w:rFonts w:hint="eastAsia"/>
                  </w:rPr>
                  <w:t>房屋建设</w:t>
                </w:r>
              </w:p>
            </w:tc>
          </w:sdtContent>
        </w:sdt>
        <w:sdt>
          <w:sdtPr>
            <w:tag w:val="_PLD_b7ad2f71e91242c3ae60a596b70c3072"/>
            <w:id w:val="-383482214"/>
          </w:sdtPr>
          <w:sdtEndPr/>
          <w:sdtContent>
            <w:tc>
              <w:tcPr>
                <w:tcW w:w="693" w:type="pct"/>
                <w:vAlign w:val="center"/>
              </w:tcPr>
              <w:p w14:paraId="12757D03" w14:textId="77777777" w:rsidR="00E57DAA" w:rsidRDefault="00AC4185">
                <w:pPr>
                  <w:jc w:val="center"/>
                </w:pPr>
                <w:r>
                  <w:rPr>
                    <w:rFonts w:hint="eastAsia"/>
                  </w:rPr>
                  <w:t>基建工程</w:t>
                </w:r>
              </w:p>
            </w:tc>
          </w:sdtContent>
        </w:sdt>
        <w:sdt>
          <w:sdtPr>
            <w:tag w:val="_PLD_5a0b0c8f17c940a6a12421602d56fcb0"/>
            <w:id w:val="395627236"/>
          </w:sdtPr>
          <w:sdtEndPr/>
          <w:sdtContent>
            <w:tc>
              <w:tcPr>
                <w:tcW w:w="693" w:type="pct"/>
                <w:vAlign w:val="center"/>
              </w:tcPr>
              <w:p w14:paraId="4049A525" w14:textId="77777777" w:rsidR="00E57DAA" w:rsidRDefault="00AC4185">
                <w:pPr>
                  <w:jc w:val="center"/>
                </w:pPr>
                <w:r>
                  <w:rPr>
                    <w:rFonts w:hint="eastAsia"/>
                  </w:rPr>
                  <w:t>专业工程</w:t>
                </w:r>
              </w:p>
            </w:tc>
          </w:sdtContent>
        </w:sdt>
        <w:sdt>
          <w:sdtPr>
            <w:tag w:val="_PLD_f96337c94a9a4c7d8e0bd974ffcbe809"/>
            <w:id w:val="-91097369"/>
          </w:sdtPr>
          <w:sdtEndPr/>
          <w:sdtContent>
            <w:tc>
              <w:tcPr>
                <w:tcW w:w="693" w:type="pct"/>
                <w:vAlign w:val="center"/>
              </w:tcPr>
              <w:p w14:paraId="64515A1A" w14:textId="77777777" w:rsidR="00E57DAA" w:rsidRDefault="00AC4185">
                <w:pPr>
                  <w:jc w:val="center"/>
                </w:pPr>
                <w:r>
                  <w:rPr>
                    <w:rFonts w:hint="eastAsia"/>
                  </w:rPr>
                  <w:t>建筑装饰</w:t>
                </w:r>
              </w:p>
            </w:tc>
          </w:sdtContent>
        </w:sdt>
        <w:sdt>
          <w:sdtPr>
            <w:tag w:val="_PLD_f5cd7a2cdbea4248a9e5ad7798276b3a"/>
            <w:id w:val="1501613431"/>
          </w:sdtPr>
          <w:sdtEndPr/>
          <w:sdtContent>
            <w:tc>
              <w:tcPr>
                <w:tcW w:w="693" w:type="pct"/>
                <w:vAlign w:val="center"/>
              </w:tcPr>
              <w:p w14:paraId="1FFA733C" w14:textId="77777777" w:rsidR="00E57DAA" w:rsidRDefault="00AC4185">
                <w:pPr>
                  <w:jc w:val="center"/>
                </w:pPr>
                <w:r>
                  <w:rPr>
                    <w:rFonts w:hint="eastAsia"/>
                  </w:rPr>
                  <w:t>其他</w:t>
                </w:r>
              </w:p>
            </w:tc>
          </w:sdtContent>
        </w:sdt>
        <w:sdt>
          <w:sdtPr>
            <w:tag w:val="_PLD_0545cb5da4f54e10ada6b24db0a8fc37"/>
            <w:id w:val="-982151849"/>
          </w:sdtPr>
          <w:sdtEndPr/>
          <w:sdtContent>
            <w:tc>
              <w:tcPr>
                <w:tcW w:w="692" w:type="pct"/>
                <w:vAlign w:val="center"/>
              </w:tcPr>
              <w:p w14:paraId="66238BD4" w14:textId="77777777" w:rsidR="00E57DAA" w:rsidRDefault="00AC4185">
                <w:pPr>
                  <w:jc w:val="center"/>
                </w:pPr>
                <w:r>
                  <w:rPr>
                    <w:rFonts w:hint="eastAsia"/>
                  </w:rPr>
                  <w:t>总计</w:t>
                </w:r>
              </w:p>
            </w:tc>
          </w:sdtContent>
        </w:sdt>
      </w:tr>
      <w:tr w:rsidR="00E57DAA" w14:paraId="179C9740" w14:textId="77777777">
        <w:tc>
          <w:tcPr>
            <w:tcW w:w="843" w:type="pct"/>
          </w:tcPr>
          <w:p w14:paraId="3F7D9F4C" w14:textId="77777777" w:rsidR="00E57DAA" w:rsidRDefault="00AC4185" w:rsidP="00C25422">
            <w:pPr>
              <w:pStyle w:val="92"/>
            </w:pPr>
            <w:r>
              <w:rPr>
                <w:rFonts w:hint="eastAsia"/>
              </w:rPr>
              <w:t>项目数（个）</w:t>
            </w:r>
          </w:p>
        </w:tc>
        <w:tc>
          <w:tcPr>
            <w:tcW w:w="693" w:type="pct"/>
          </w:tcPr>
          <w:p w14:paraId="51550A0A" w14:textId="77777777" w:rsidR="00E57DAA" w:rsidRDefault="00E57DAA">
            <w:pPr>
              <w:jc w:val="right"/>
            </w:pPr>
          </w:p>
        </w:tc>
        <w:tc>
          <w:tcPr>
            <w:tcW w:w="693" w:type="pct"/>
          </w:tcPr>
          <w:p w14:paraId="466EFCE5" w14:textId="77777777" w:rsidR="00E57DAA" w:rsidRDefault="00E57DAA">
            <w:pPr>
              <w:jc w:val="right"/>
            </w:pPr>
          </w:p>
        </w:tc>
        <w:tc>
          <w:tcPr>
            <w:tcW w:w="693" w:type="pct"/>
            <w:vAlign w:val="center"/>
          </w:tcPr>
          <w:p w14:paraId="2AE8C02C" w14:textId="77777777" w:rsidR="00E57DAA" w:rsidRDefault="00AC4185">
            <w:pPr>
              <w:jc w:val="right"/>
            </w:pPr>
            <w:r>
              <w:t>106</w:t>
            </w:r>
          </w:p>
        </w:tc>
        <w:tc>
          <w:tcPr>
            <w:tcW w:w="693" w:type="pct"/>
            <w:vAlign w:val="center"/>
          </w:tcPr>
          <w:p w14:paraId="3E212FCD" w14:textId="77777777" w:rsidR="00E57DAA" w:rsidRDefault="00E57DAA">
            <w:pPr>
              <w:jc w:val="right"/>
            </w:pPr>
          </w:p>
        </w:tc>
        <w:tc>
          <w:tcPr>
            <w:tcW w:w="693" w:type="pct"/>
            <w:vAlign w:val="center"/>
          </w:tcPr>
          <w:p w14:paraId="1A33A0D2" w14:textId="77777777" w:rsidR="00E57DAA" w:rsidRDefault="00AC4185">
            <w:pPr>
              <w:jc w:val="right"/>
            </w:pPr>
            <w:r>
              <w:t>11</w:t>
            </w:r>
          </w:p>
        </w:tc>
        <w:tc>
          <w:tcPr>
            <w:tcW w:w="692" w:type="pct"/>
            <w:vAlign w:val="center"/>
          </w:tcPr>
          <w:p w14:paraId="49AD477E" w14:textId="77777777" w:rsidR="00E57DAA" w:rsidRDefault="00AC4185">
            <w:pPr>
              <w:jc w:val="right"/>
            </w:pPr>
            <w:r>
              <w:t>117</w:t>
            </w:r>
          </w:p>
        </w:tc>
      </w:tr>
      <w:tr w:rsidR="00E57DAA" w14:paraId="7FE0D913" w14:textId="77777777">
        <w:tc>
          <w:tcPr>
            <w:tcW w:w="843" w:type="pct"/>
          </w:tcPr>
          <w:p w14:paraId="6D6329FF" w14:textId="77777777" w:rsidR="00E57DAA" w:rsidRDefault="00AC4185" w:rsidP="00C25422">
            <w:pPr>
              <w:pStyle w:val="92"/>
            </w:pPr>
            <w:r>
              <w:rPr>
                <w:rFonts w:hint="eastAsia"/>
              </w:rPr>
              <w:t>总金额</w:t>
            </w:r>
          </w:p>
        </w:tc>
        <w:tc>
          <w:tcPr>
            <w:tcW w:w="693" w:type="pct"/>
          </w:tcPr>
          <w:p w14:paraId="104EFAE0" w14:textId="77777777" w:rsidR="00E57DAA" w:rsidRDefault="00E57DAA">
            <w:pPr>
              <w:jc w:val="right"/>
            </w:pPr>
          </w:p>
        </w:tc>
        <w:tc>
          <w:tcPr>
            <w:tcW w:w="693" w:type="pct"/>
          </w:tcPr>
          <w:p w14:paraId="40FB11C2" w14:textId="77777777" w:rsidR="00E57DAA" w:rsidRDefault="00E57DAA">
            <w:pPr>
              <w:jc w:val="right"/>
            </w:pPr>
          </w:p>
        </w:tc>
        <w:tc>
          <w:tcPr>
            <w:tcW w:w="693" w:type="pct"/>
            <w:vAlign w:val="center"/>
          </w:tcPr>
          <w:p w14:paraId="7AE503A8" w14:textId="77777777" w:rsidR="00E57DAA" w:rsidRDefault="00AC4185">
            <w:pPr>
              <w:jc w:val="right"/>
            </w:pPr>
            <w:r>
              <w:t>1,410,312.14</w:t>
            </w:r>
          </w:p>
        </w:tc>
        <w:tc>
          <w:tcPr>
            <w:tcW w:w="693" w:type="pct"/>
            <w:vAlign w:val="center"/>
          </w:tcPr>
          <w:p w14:paraId="3ECA4F79" w14:textId="77777777" w:rsidR="00E57DAA" w:rsidRDefault="00E57DAA">
            <w:pPr>
              <w:jc w:val="right"/>
            </w:pPr>
          </w:p>
        </w:tc>
        <w:tc>
          <w:tcPr>
            <w:tcW w:w="693" w:type="pct"/>
            <w:vAlign w:val="center"/>
          </w:tcPr>
          <w:p w14:paraId="7257B024" w14:textId="77777777" w:rsidR="00E57DAA" w:rsidRDefault="00AC4185">
            <w:pPr>
              <w:jc w:val="right"/>
            </w:pPr>
            <w:r>
              <w:t>344,083.00</w:t>
            </w:r>
          </w:p>
        </w:tc>
        <w:tc>
          <w:tcPr>
            <w:tcW w:w="692" w:type="pct"/>
            <w:vAlign w:val="center"/>
          </w:tcPr>
          <w:p w14:paraId="290D5774" w14:textId="77777777" w:rsidR="00E57DAA" w:rsidRDefault="00AC4185">
            <w:pPr>
              <w:jc w:val="right"/>
            </w:pPr>
            <w:r>
              <w:t>1,754,395.14</w:t>
            </w:r>
          </w:p>
        </w:tc>
      </w:tr>
      <w:tr w:rsidR="00E57DAA" w14:paraId="09180FBB" w14:textId="77777777">
        <w:tc>
          <w:tcPr>
            <w:tcW w:w="843" w:type="pct"/>
            <w:tcBorders>
              <w:bottom w:val="single" w:sz="4" w:space="0" w:color="auto"/>
            </w:tcBorders>
          </w:tcPr>
          <w:p w14:paraId="6FF4A93B" w14:textId="77777777" w:rsidR="00E57DAA" w:rsidRDefault="00AC4185" w:rsidP="00C25422">
            <w:pPr>
              <w:pStyle w:val="92"/>
            </w:pPr>
            <w:r>
              <w:rPr>
                <w:rFonts w:hint="eastAsia"/>
              </w:rPr>
              <w:t>结转额</w:t>
            </w:r>
          </w:p>
        </w:tc>
        <w:tc>
          <w:tcPr>
            <w:tcW w:w="693" w:type="pct"/>
            <w:tcBorders>
              <w:bottom w:val="single" w:sz="4" w:space="0" w:color="auto"/>
            </w:tcBorders>
          </w:tcPr>
          <w:p w14:paraId="180D3C0A" w14:textId="77777777" w:rsidR="00E57DAA" w:rsidRDefault="00E57DAA">
            <w:pPr>
              <w:jc w:val="right"/>
            </w:pPr>
          </w:p>
        </w:tc>
        <w:tc>
          <w:tcPr>
            <w:tcW w:w="693" w:type="pct"/>
            <w:tcBorders>
              <w:bottom w:val="single" w:sz="4" w:space="0" w:color="auto"/>
            </w:tcBorders>
          </w:tcPr>
          <w:p w14:paraId="4EC50BFF" w14:textId="77777777" w:rsidR="00E57DAA" w:rsidRDefault="00E57DAA">
            <w:pPr>
              <w:jc w:val="right"/>
            </w:pPr>
          </w:p>
        </w:tc>
        <w:tc>
          <w:tcPr>
            <w:tcW w:w="693" w:type="pct"/>
            <w:tcBorders>
              <w:bottom w:val="single" w:sz="4" w:space="0" w:color="auto"/>
            </w:tcBorders>
            <w:vAlign w:val="center"/>
          </w:tcPr>
          <w:p w14:paraId="786A1099" w14:textId="77777777" w:rsidR="00E57DAA" w:rsidRDefault="00AC4185">
            <w:pPr>
              <w:jc w:val="right"/>
            </w:pPr>
            <w:r>
              <w:t>92,992.74</w:t>
            </w:r>
          </w:p>
        </w:tc>
        <w:tc>
          <w:tcPr>
            <w:tcW w:w="693" w:type="pct"/>
            <w:tcBorders>
              <w:bottom w:val="single" w:sz="4" w:space="0" w:color="auto"/>
            </w:tcBorders>
            <w:vAlign w:val="center"/>
          </w:tcPr>
          <w:p w14:paraId="180BAB0E" w14:textId="77777777" w:rsidR="00E57DAA" w:rsidRDefault="00E57DAA">
            <w:pPr>
              <w:jc w:val="right"/>
            </w:pPr>
          </w:p>
        </w:tc>
        <w:tc>
          <w:tcPr>
            <w:tcW w:w="693" w:type="pct"/>
            <w:tcBorders>
              <w:bottom w:val="single" w:sz="4" w:space="0" w:color="auto"/>
            </w:tcBorders>
            <w:vAlign w:val="center"/>
          </w:tcPr>
          <w:p w14:paraId="12ADFA1A" w14:textId="77777777" w:rsidR="00E57DAA" w:rsidRDefault="00AC4185">
            <w:pPr>
              <w:jc w:val="right"/>
            </w:pPr>
            <w:r>
              <w:t>52,901.78</w:t>
            </w:r>
          </w:p>
        </w:tc>
        <w:tc>
          <w:tcPr>
            <w:tcW w:w="692" w:type="pct"/>
            <w:tcBorders>
              <w:bottom w:val="single" w:sz="4" w:space="0" w:color="auto"/>
            </w:tcBorders>
            <w:vAlign w:val="center"/>
          </w:tcPr>
          <w:p w14:paraId="37606BE5" w14:textId="77777777" w:rsidR="00E57DAA" w:rsidRDefault="00AC4185">
            <w:pPr>
              <w:jc w:val="right"/>
            </w:pPr>
            <w:r>
              <w:t>145,894.52</w:t>
            </w:r>
          </w:p>
        </w:tc>
      </w:tr>
    </w:tbl>
    <w:p w14:paraId="7B201CBF" w14:textId="77777777" w:rsidR="00E57DAA" w:rsidRDefault="00E57DAA">
      <w:pPr>
        <w:adjustRightInd w:val="0"/>
        <w:snapToGrid w:val="0"/>
      </w:pPr>
    </w:p>
    <w:sdt>
      <w:sdtPr>
        <w:rPr>
          <w:rFonts w:hint="eastAsia"/>
        </w:rPr>
        <w:alias w:val="是否适用：报告期内竣工验收的按地区项目情况[双击切换]"/>
        <w:tag w:val="_GBC_b67a05f8ea674ee2a8ce1d6abe8862f8"/>
        <w:id w:val="-1687897007"/>
        <w:placeholder>
          <w:docPart w:val="GBC22222222222222222222222222222"/>
        </w:placeholder>
      </w:sdtPr>
      <w:sdtEndPr>
        <w:rPr>
          <w:rFonts w:hint="default"/>
        </w:rPr>
      </w:sdtEndPr>
      <w:sdtContent>
        <w:p w14:paraId="19FBC4D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BB7D3D" w14:textId="77777777" w:rsidR="00E57DAA" w:rsidRDefault="00AC4185">
      <w:pPr>
        <w:jc w:val="right"/>
      </w:pPr>
      <w:r>
        <w:rPr>
          <w:rFonts w:hint="eastAsia"/>
        </w:rPr>
        <w:t>单位：</w:t>
      </w:r>
      <w:sdt>
        <w:sdtPr>
          <w:rPr>
            <w:rFonts w:hint="eastAsia"/>
          </w:rPr>
          <w:alias w:val="单位：报告期内竣工验收的按地区项目情况"/>
          <w:tag w:val="_GBC_7df0199060ab48beab3deb588a15ac13"/>
          <w:id w:val="-736704185"/>
          <w:placeholder>
            <w:docPart w:val="D67FBF74F8C14F88804780BE339038F8"/>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报告期内竣工验收的按地区项目情况"/>
          <w:tag w:val="_GBC_8fb174687e7f4d7bbc45ae0dedaf5173"/>
          <w:id w:val="290726502"/>
          <w:placeholder>
            <w:docPart w:val="D67FBF74F8C14F88804780BE339038F8"/>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5"/>
        <w:gridCol w:w="2557"/>
        <w:gridCol w:w="2239"/>
        <w:gridCol w:w="1652"/>
      </w:tblGrid>
      <w:tr w:rsidR="00E57DAA" w14:paraId="67624EFF" w14:textId="77777777">
        <w:trPr>
          <w:jc w:val="center"/>
        </w:trPr>
        <w:sdt>
          <w:sdtPr>
            <w:rPr>
              <w:rFonts w:hint="eastAsia"/>
            </w:rPr>
            <w:tag w:val="_PLD_3ec6c78ae06a46a2b5eebbddcdabef05"/>
            <w:id w:val="-127008558"/>
          </w:sdtPr>
          <w:sdtEndPr/>
          <w:sdtContent>
            <w:tc>
              <w:tcPr>
                <w:tcW w:w="1346" w:type="pct"/>
                <w:tcBorders>
                  <w:top w:val="single" w:sz="4" w:space="0" w:color="auto"/>
                  <w:left w:val="single" w:sz="4" w:space="0" w:color="auto"/>
                  <w:bottom w:val="single" w:sz="4" w:space="0" w:color="auto"/>
                  <w:right w:val="single" w:sz="4" w:space="0" w:color="auto"/>
                </w:tcBorders>
                <w:vAlign w:val="center"/>
              </w:tcPr>
              <w:p w14:paraId="35C08725" w14:textId="77777777" w:rsidR="00E57DAA" w:rsidRDefault="00AC4185">
                <w:pPr>
                  <w:jc w:val="center"/>
                </w:pPr>
                <w:r>
                  <w:rPr>
                    <w:rFonts w:hint="eastAsia"/>
                  </w:rPr>
                  <w:t>项目地区</w:t>
                </w:r>
              </w:p>
            </w:tc>
          </w:sdtContent>
        </w:sdt>
        <w:sdt>
          <w:sdtPr>
            <w:rPr>
              <w:rFonts w:hint="eastAsia"/>
            </w:rPr>
            <w:tag w:val="_PLD_e0629b05fb964a96abd5cdf5e44d2fdd"/>
            <w:id w:val="-922867469"/>
          </w:sdtPr>
          <w:sdtEndPr/>
          <w:sdtContent>
            <w:tc>
              <w:tcPr>
                <w:tcW w:w="1449" w:type="pct"/>
                <w:tcBorders>
                  <w:top w:val="single" w:sz="4" w:space="0" w:color="auto"/>
                  <w:left w:val="single" w:sz="4" w:space="0" w:color="auto"/>
                  <w:bottom w:val="single" w:sz="4" w:space="0" w:color="auto"/>
                  <w:right w:val="single" w:sz="4" w:space="0" w:color="auto"/>
                </w:tcBorders>
                <w:vAlign w:val="center"/>
              </w:tcPr>
              <w:p w14:paraId="360D6531" w14:textId="77777777" w:rsidR="00E57DAA" w:rsidRDefault="00AC4185">
                <w:pPr>
                  <w:jc w:val="center"/>
                </w:pPr>
                <w:r>
                  <w:rPr>
                    <w:rFonts w:hint="eastAsia"/>
                  </w:rPr>
                  <w:t>项目数量（个）</w:t>
                </w:r>
              </w:p>
            </w:tc>
          </w:sdtContent>
        </w:sdt>
        <w:sdt>
          <w:sdtPr>
            <w:rPr>
              <w:rFonts w:hint="eastAsia"/>
            </w:rPr>
            <w:tag w:val="_PLD_243d524d6c9047e1af810029b7b0c5c3"/>
            <w:id w:val="1361089373"/>
          </w:sdtPr>
          <w:sdtEndPr/>
          <w:sdtContent>
            <w:tc>
              <w:tcPr>
                <w:tcW w:w="1269" w:type="pct"/>
                <w:tcBorders>
                  <w:top w:val="single" w:sz="4" w:space="0" w:color="auto"/>
                  <w:left w:val="single" w:sz="4" w:space="0" w:color="auto"/>
                  <w:bottom w:val="single" w:sz="4" w:space="0" w:color="auto"/>
                  <w:right w:val="single" w:sz="4" w:space="0" w:color="auto"/>
                </w:tcBorders>
                <w:vAlign w:val="center"/>
              </w:tcPr>
              <w:p w14:paraId="3AEFDEF8" w14:textId="77777777" w:rsidR="00E57DAA" w:rsidRDefault="00AC4185">
                <w:pPr>
                  <w:jc w:val="center"/>
                </w:pPr>
                <w:r>
                  <w:rPr>
                    <w:rFonts w:hint="eastAsia"/>
                  </w:rPr>
                  <w:t>总金额</w:t>
                </w:r>
              </w:p>
            </w:tc>
          </w:sdtContent>
        </w:sdt>
        <w:tc>
          <w:tcPr>
            <w:tcW w:w="936" w:type="pct"/>
            <w:tcBorders>
              <w:top w:val="single" w:sz="4" w:space="0" w:color="auto"/>
              <w:left w:val="single" w:sz="4" w:space="0" w:color="auto"/>
              <w:bottom w:val="single" w:sz="4" w:space="0" w:color="auto"/>
              <w:right w:val="single" w:sz="4" w:space="0" w:color="auto"/>
            </w:tcBorders>
            <w:vAlign w:val="center"/>
          </w:tcPr>
          <w:p w14:paraId="1F49A597" w14:textId="77777777" w:rsidR="00E57DAA" w:rsidRDefault="00AC4185">
            <w:pPr>
              <w:jc w:val="center"/>
            </w:pPr>
            <w:r>
              <w:rPr>
                <w:rFonts w:hint="eastAsia"/>
              </w:rPr>
              <w:t>结转额</w:t>
            </w:r>
          </w:p>
        </w:tc>
      </w:tr>
      <w:tr w:rsidR="00E57DAA" w14:paraId="6E8E47A0"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417D6EDE" w14:textId="77777777" w:rsidR="00E57DAA" w:rsidRDefault="00AC4185" w:rsidP="00C25422">
            <w:pPr>
              <w:pStyle w:val="92"/>
            </w:pPr>
            <w:r>
              <w:rPr>
                <w:rFonts w:hint="eastAsia"/>
              </w:rPr>
              <w:t>境内</w:t>
            </w:r>
          </w:p>
        </w:tc>
        <w:tc>
          <w:tcPr>
            <w:tcW w:w="1449" w:type="pct"/>
            <w:tcBorders>
              <w:top w:val="single" w:sz="4" w:space="0" w:color="auto"/>
              <w:left w:val="single" w:sz="4" w:space="0" w:color="auto"/>
              <w:bottom w:val="single" w:sz="4" w:space="0" w:color="auto"/>
              <w:right w:val="single" w:sz="4" w:space="0" w:color="auto"/>
            </w:tcBorders>
            <w:vAlign w:val="center"/>
          </w:tcPr>
          <w:p w14:paraId="04131983" w14:textId="77777777" w:rsidR="00E57DAA" w:rsidRDefault="00AC4185">
            <w:pPr>
              <w:jc w:val="right"/>
            </w:pPr>
            <w:r>
              <w:t>94</w:t>
            </w:r>
          </w:p>
        </w:tc>
        <w:tc>
          <w:tcPr>
            <w:tcW w:w="1269" w:type="pct"/>
            <w:tcBorders>
              <w:top w:val="single" w:sz="4" w:space="0" w:color="auto"/>
              <w:left w:val="single" w:sz="4" w:space="0" w:color="auto"/>
              <w:bottom w:val="single" w:sz="4" w:space="0" w:color="auto"/>
              <w:right w:val="single" w:sz="4" w:space="0" w:color="auto"/>
            </w:tcBorders>
            <w:vAlign w:val="center"/>
          </w:tcPr>
          <w:p w14:paraId="6BC6686A" w14:textId="77777777" w:rsidR="00E57DAA" w:rsidRDefault="00AC4185">
            <w:pPr>
              <w:jc w:val="right"/>
            </w:pPr>
            <w:r>
              <w:t>904,379.49</w:t>
            </w:r>
          </w:p>
        </w:tc>
        <w:tc>
          <w:tcPr>
            <w:tcW w:w="936" w:type="pct"/>
            <w:tcBorders>
              <w:top w:val="single" w:sz="4" w:space="0" w:color="auto"/>
              <w:left w:val="single" w:sz="4" w:space="0" w:color="auto"/>
              <w:bottom w:val="single" w:sz="4" w:space="0" w:color="auto"/>
              <w:right w:val="single" w:sz="4" w:space="0" w:color="auto"/>
            </w:tcBorders>
            <w:vAlign w:val="center"/>
          </w:tcPr>
          <w:p w14:paraId="35A0A2B2" w14:textId="77777777" w:rsidR="00E57DAA" w:rsidRDefault="00AC4185">
            <w:pPr>
              <w:jc w:val="right"/>
            </w:pPr>
            <w:r>
              <w:t>45,171.94</w:t>
            </w:r>
          </w:p>
        </w:tc>
      </w:tr>
      <w:tr w:rsidR="00E57DAA" w14:paraId="40B1E3E6"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635EB178" w14:textId="77777777" w:rsidR="00E57DAA" w:rsidRDefault="00AC4185" w:rsidP="00C25422">
            <w:pPr>
              <w:pStyle w:val="92"/>
            </w:pPr>
            <w:r>
              <w:rPr>
                <w:rFonts w:hint="eastAsia"/>
              </w:rPr>
              <w:t>境外</w:t>
            </w:r>
          </w:p>
        </w:tc>
        <w:tc>
          <w:tcPr>
            <w:tcW w:w="1449" w:type="pct"/>
            <w:tcBorders>
              <w:top w:val="single" w:sz="4" w:space="0" w:color="auto"/>
              <w:left w:val="single" w:sz="4" w:space="0" w:color="auto"/>
              <w:bottom w:val="single" w:sz="4" w:space="0" w:color="auto"/>
              <w:right w:val="single" w:sz="4" w:space="0" w:color="auto"/>
            </w:tcBorders>
            <w:vAlign w:val="center"/>
          </w:tcPr>
          <w:p w14:paraId="42CB3B9C" w14:textId="77777777" w:rsidR="00E57DAA" w:rsidRDefault="00AC4185">
            <w:pPr>
              <w:jc w:val="right"/>
            </w:pPr>
            <w:r>
              <w:t>23</w:t>
            </w:r>
          </w:p>
        </w:tc>
        <w:tc>
          <w:tcPr>
            <w:tcW w:w="1269" w:type="pct"/>
            <w:tcBorders>
              <w:top w:val="single" w:sz="4" w:space="0" w:color="auto"/>
              <w:left w:val="single" w:sz="4" w:space="0" w:color="auto"/>
              <w:bottom w:val="single" w:sz="4" w:space="0" w:color="auto"/>
              <w:right w:val="single" w:sz="4" w:space="0" w:color="auto"/>
            </w:tcBorders>
            <w:vAlign w:val="center"/>
          </w:tcPr>
          <w:p w14:paraId="09BAA28C" w14:textId="77777777" w:rsidR="00E57DAA" w:rsidRDefault="00AC4185">
            <w:pPr>
              <w:jc w:val="right"/>
            </w:pPr>
            <w:r>
              <w:t>850,015.65</w:t>
            </w:r>
          </w:p>
        </w:tc>
        <w:tc>
          <w:tcPr>
            <w:tcW w:w="936" w:type="pct"/>
            <w:tcBorders>
              <w:top w:val="single" w:sz="4" w:space="0" w:color="auto"/>
              <w:left w:val="single" w:sz="4" w:space="0" w:color="auto"/>
              <w:bottom w:val="single" w:sz="4" w:space="0" w:color="auto"/>
              <w:right w:val="single" w:sz="4" w:space="0" w:color="auto"/>
            </w:tcBorders>
            <w:vAlign w:val="center"/>
          </w:tcPr>
          <w:p w14:paraId="57FA844A" w14:textId="77777777" w:rsidR="00E57DAA" w:rsidRDefault="00AC4185">
            <w:pPr>
              <w:jc w:val="right"/>
            </w:pPr>
            <w:r>
              <w:t>100,722.58</w:t>
            </w:r>
          </w:p>
        </w:tc>
      </w:tr>
      <w:tr w:rsidR="00E57DAA" w14:paraId="7D5E2A54" w14:textId="77777777">
        <w:trPr>
          <w:jc w:val="center"/>
        </w:trPr>
        <w:tc>
          <w:tcPr>
            <w:tcW w:w="5000" w:type="pct"/>
            <w:gridSpan w:val="4"/>
            <w:tcBorders>
              <w:top w:val="single" w:sz="4" w:space="0" w:color="auto"/>
              <w:left w:val="single" w:sz="4" w:space="0" w:color="auto"/>
              <w:bottom w:val="single" w:sz="4" w:space="0" w:color="auto"/>
              <w:right w:val="single" w:sz="4" w:space="0" w:color="auto"/>
            </w:tcBorders>
          </w:tcPr>
          <w:p w14:paraId="0380C04E" w14:textId="77777777" w:rsidR="00E57DAA" w:rsidRDefault="00AC4185" w:rsidP="00C25422">
            <w:pPr>
              <w:pStyle w:val="92"/>
            </w:pPr>
            <w:r>
              <w:rPr>
                <w:rFonts w:hint="eastAsia"/>
              </w:rPr>
              <w:t xml:space="preserve">    </w:t>
            </w:r>
            <w:sdt>
              <w:sdtPr>
                <w:rPr>
                  <w:rFonts w:hint="eastAsia"/>
                </w:rPr>
                <w:tag w:val="_PLD_855595b08e8b4d35902f7b4691076fec"/>
                <w:id w:val="-1467807038"/>
              </w:sdtPr>
              <w:sdtEndPr/>
              <w:sdtContent>
                <w:r>
                  <w:rPr>
                    <w:rFonts w:hint="eastAsia"/>
                  </w:rPr>
                  <w:t>其中：</w:t>
                </w:r>
              </w:sdtContent>
            </w:sdt>
          </w:p>
        </w:tc>
      </w:tr>
      <w:tr w:rsidR="00E57DAA" w14:paraId="553CE9A1"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208AC8FC" w14:textId="77777777" w:rsidR="00E57DAA" w:rsidRDefault="00AC4185">
            <w:pPr>
              <w:ind w:firstLineChars="200" w:firstLine="420"/>
            </w:pPr>
            <w:r>
              <w:t>东南亚</w:t>
            </w:r>
          </w:p>
        </w:tc>
        <w:tc>
          <w:tcPr>
            <w:tcW w:w="1449" w:type="pct"/>
            <w:tcBorders>
              <w:top w:val="single" w:sz="4" w:space="0" w:color="auto"/>
              <w:left w:val="single" w:sz="4" w:space="0" w:color="auto"/>
              <w:bottom w:val="single" w:sz="4" w:space="0" w:color="auto"/>
              <w:right w:val="single" w:sz="4" w:space="0" w:color="auto"/>
            </w:tcBorders>
          </w:tcPr>
          <w:p w14:paraId="074D37C1" w14:textId="77777777" w:rsidR="00E57DAA" w:rsidRDefault="00AC4185">
            <w:pPr>
              <w:jc w:val="right"/>
            </w:pPr>
            <w:r>
              <w:rPr>
                <w:rFonts w:hint="eastAsia"/>
              </w:rPr>
              <w:t>7</w:t>
            </w:r>
          </w:p>
        </w:tc>
        <w:tc>
          <w:tcPr>
            <w:tcW w:w="1269" w:type="pct"/>
            <w:tcBorders>
              <w:top w:val="single" w:sz="4" w:space="0" w:color="auto"/>
              <w:left w:val="single" w:sz="4" w:space="0" w:color="auto"/>
              <w:bottom w:val="single" w:sz="4" w:space="0" w:color="auto"/>
              <w:right w:val="single" w:sz="4" w:space="0" w:color="auto"/>
            </w:tcBorders>
            <w:vAlign w:val="center"/>
          </w:tcPr>
          <w:p w14:paraId="3860902D" w14:textId="77777777" w:rsidR="00E57DAA" w:rsidRDefault="00AC4185">
            <w:pPr>
              <w:jc w:val="right"/>
            </w:pPr>
            <w:r>
              <w:t>68,112.86</w:t>
            </w:r>
          </w:p>
        </w:tc>
        <w:tc>
          <w:tcPr>
            <w:tcW w:w="936" w:type="pct"/>
            <w:tcBorders>
              <w:top w:val="single" w:sz="4" w:space="0" w:color="auto"/>
              <w:left w:val="single" w:sz="4" w:space="0" w:color="auto"/>
              <w:bottom w:val="single" w:sz="4" w:space="0" w:color="auto"/>
              <w:right w:val="single" w:sz="4" w:space="0" w:color="auto"/>
            </w:tcBorders>
            <w:vAlign w:val="center"/>
          </w:tcPr>
          <w:p w14:paraId="6B87D680" w14:textId="77777777" w:rsidR="00E57DAA" w:rsidRDefault="00AC4185">
            <w:pPr>
              <w:jc w:val="right"/>
            </w:pPr>
            <w:r>
              <w:t>7,180.84</w:t>
            </w:r>
          </w:p>
        </w:tc>
      </w:tr>
      <w:tr w:rsidR="00E57DAA" w14:paraId="0FD03F39"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1CDBAC84" w14:textId="77777777" w:rsidR="00E57DAA" w:rsidRDefault="00AC4185">
            <w:pPr>
              <w:ind w:firstLineChars="200" w:firstLine="420"/>
            </w:pPr>
            <w:r>
              <w:t>亚洲其他地区</w:t>
            </w:r>
          </w:p>
        </w:tc>
        <w:tc>
          <w:tcPr>
            <w:tcW w:w="1449" w:type="pct"/>
            <w:tcBorders>
              <w:top w:val="single" w:sz="4" w:space="0" w:color="auto"/>
              <w:left w:val="single" w:sz="4" w:space="0" w:color="auto"/>
              <w:bottom w:val="single" w:sz="4" w:space="0" w:color="auto"/>
              <w:right w:val="single" w:sz="4" w:space="0" w:color="auto"/>
            </w:tcBorders>
          </w:tcPr>
          <w:p w14:paraId="3276146D" w14:textId="77777777" w:rsidR="00E57DAA" w:rsidRDefault="00AC4185">
            <w:pPr>
              <w:jc w:val="right"/>
            </w:pPr>
            <w:r>
              <w:rPr>
                <w:rFonts w:hint="eastAsia"/>
              </w:rPr>
              <w:t>8</w:t>
            </w:r>
          </w:p>
        </w:tc>
        <w:tc>
          <w:tcPr>
            <w:tcW w:w="1269" w:type="pct"/>
            <w:tcBorders>
              <w:top w:val="single" w:sz="4" w:space="0" w:color="auto"/>
              <w:left w:val="single" w:sz="4" w:space="0" w:color="auto"/>
              <w:bottom w:val="single" w:sz="4" w:space="0" w:color="auto"/>
              <w:right w:val="single" w:sz="4" w:space="0" w:color="auto"/>
            </w:tcBorders>
            <w:vAlign w:val="center"/>
          </w:tcPr>
          <w:p w14:paraId="76FA7695" w14:textId="77777777" w:rsidR="00E57DAA" w:rsidRDefault="00AC4185">
            <w:pPr>
              <w:jc w:val="right"/>
            </w:pPr>
            <w:r>
              <w:t>217,828.34</w:t>
            </w:r>
          </w:p>
        </w:tc>
        <w:tc>
          <w:tcPr>
            <w:tcW w:w="936" w:type="pct"/>
            <w:tcBorders>
              <w:top w:val="single" w:sz="4" w:space="0" w:color="auto"/>
              <w:left w:val="single" w:sz="4" w:space="0" w:color="auto"/>
              <w:bottom w:val="single" w:sz="4" w:space="0" w:color="auto"/>
              <w:right w:val="single" w:sz="4" w:space="0" w:color="auto"/>
            </w:tcBorders>
            <w:vAlign w:val="center"/>
          </w:tcPr>
          <w:p w14:paraId="01A41BEF" w14:textId="77777777" w:rsidR="00E57DAA" w:rsidRDefault="00AC4185">
            <w:pPr>
              <w:jc w:val="right"/>
            </w:pPr>
            <w:r>
              <w:t>25,082.37</w:t>
            </w:r>
          </w:p>
        </w:tc>
      </w:tr>
      <w:tr w:rsidR="00E57DAA" w14:paraId="5012E06F"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4316254E" w14:textId="77777777" w:rsidR="00E57DAA" w:rsidRDefault="00AC4185">
            <w:pPr>
              <w:ind w:firstLineChars="200" w:firstLine="420"/>
            </w:pPr>
            <w:r>
              <w:t>非洲</w:t>
            </w:r>
          </w:p>
        </w:tc>
        <w:tc>
          <w:tcPr>
            <w:tcW w:w="1449" w:type="pct"/>
            <w:tcBorders>
              <w:top w:val="single" w:sz="4" w:space="0" w:color="auto"/>
              <w:left w:val="single" w:sz="4" w:space="0" w:color="auto"/>
              <w:bottom w:val="single" w:sz="4" w:space="0" w:color="auto"/>
              <w:right w:val="single" w:sz="4" w:space="0" w:color="auto"/>
            </w:tcBorders>
          </w:tcPr>
          <w:p w14:paraId="43A1FE22" w14:textId="77777777" w:rsidR="00E57DAA" w:rsidRDefault="00AC4185">
            <w:pPr>
              <w:jc w:val="right"/>
            </w:pPr>
            <w:r>
              <w:rPr>
                <w:rFonts w:hint="eastAsia"/>
              </w:rPr>
              <w:t>8</w:t>
            </w:r>
          </w:p>
        </w:tc>
        <w:tc>
          <w:tcPr>
            <w:tcW w:w="1269" w:type="pct"/>
            <w:tcBorders>
              <w:top w:val="single" w:sz="4" w:space="0" w:color="auto"/>
              <w:left w:val="single" w:sz="4" w:space="0" w:color="auto"/>
              <w:bottom w:val="single" w:sz="4" w:space="0" w:color="auto"/>
              <w:right w:val="single" w:sz="4" w:space="0" w:color="auto"/>
            </w:tcBorders>
            <w:vAlign w:val="center"/>
          </w:tcPr>
          <w:p w14:paraId="389F49F3" w14:textId="77777777" w:rsidR="00E57DAA" w:rsidRDefault="00AC4185">
            <w:pPr>
              <w:jc w:val="right"/>
            </w:pPr>
            <w:r>
              <w:t>564,074.45</w:t>
            </w:r>
          </w:p>
        </w:tc>
        <w:tc>
          <w:tcPr>
            <w:tcW w:w="936" w:type="pct"/>
            <w:tcBorders>
              <w:top w:val="single" w:sz="4" w:space="0" w:color="auto"/>
              <w:left w:val="single" w:sz="4" w:space="0" w:color="auto"/>
              <w:bottom w:val="single" w:sz="4" w:space="0" w:color="auto"/>
              <w:right w:val="single" w:sz="4" w:space="0" w:color="auto"/>
            </w:tcBorders>
            <w:vAlign w:val="center"/>
          </w:tcPr>
          <w:p w14:paraId="51E4C2D2" w14:textId="77777777" w:rsidR="00E57DAA" w:rsidRDefault="00AC4185">
            <w:pPr>
              <w:jc w:val="right"/>
            </w:pPr>
            <w:r>
              <w:t>68,459.37</w:t>
            </w:r>
          </w:p>
        </w:tc>
      </w:tr>
      <w:tr w:rsidR="00E57DAA" w14:paraId="1059FF34"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7F38DC9C" w14:textId="77777777" w:rsidR="00E57DAA" w:rsidRDefault="00AC4185" w:rsidP="00C25422">
            <w:pPr>
              <w:pStyle w:val="92"/>
            </w:pPr>
            <w:r>
              <w:rPr>
                <w:rFonts w:hint="eastAsia"/>
              </w:rPr>
              <w:t>总计</w:t>
            </w:r>
          </w:p>
        </w:tc>
        <w:tc>
          <w:tcPr>
            <w:tcW w:w="1449" w:type="pct"/>
            <w:tcBorders>
              <w:top w:val="single" w:sz="4" w:space="0" w:color="auto"/>
              <w:left w:val="single" w:sz="4" w:space="0" w:color="auto"/>
              <w:bottom w:val="single" w:sz="4" w:space="0" w:color="auto"/>
              <w:right w:val="single" w:sz="4" w:space="0" w:color="auto"/>
            </w:tcBorders>
            <w:vAlign w:val="center"/>
          </w:tcPr>
          <w:p w14:paraId="43744827" w14:textId="77777777" w:rsidR="00E57DAA" w:rsidRDefault="00AC4185">
            <w:pPr>
              <w:jc w:val="right"/>
            </w:pPr>
            <w:r>
              <w:t>117</w:t>
            </w:r>
          </w:p>
        </w:tc>
        <w:tc>
          <w:tcPr>
            <w:tcW w:w="1269" w:type="pct"/>
            <w:tcBorders>
              <w:top w:val="single" w:sz="4" w:space="0" w:color="auto"/>
              <w:left w:val="single" w:sz="4" w:space="0" w:color="auto"/>
              <w:bottom w:val="single" w:sz="4" w:space="0" w:color="auto"/>
              <w:right w:val="single" w:sz="4" w:space="0" w:color="auto"/>
            </w:tcBorders>
            <w:vAlign w:val="center"/>
          </w:tcPr>
          <w:p w14:paraId="5F00E731" w14:textId="77777777" w:rsidR="00E57DAA" w:rsidRDefault="00AC4185">
            <w:pPr>
              <w:jc w:val="right"/>
            </w:pPr>
            <w:r>
              <w:t>1,754,395.14</w:t>
            </w:r>
          </w:p>
        </w:tc>
        <w:tc>
          <w:tcPr>
            <w:tcW w:w="936" w:type="pct"/>
            <w:tcBorders>
              <w:top w:val="single" w:sz="4" w:space="0" w:color="auto"/>
              <w:left w:val="single" w:sz="4" w:space="0" w:color="auto"/>
              <w:bottom w:val="single" w:sz="4" w:space="0" w:color="auto"/>
              <w:right w:val="single" w:sz="4" w:space="0" w:color="auto"/>
            </w:tcBorders>
            <w:vAlign w:val="center"/>
          </w:tcPr>
          <w:p w14:paraId="40B239A3" w14:textId="77777777" w:rsidR="00E57DAA" w:rsidRDefault="00AC4185">
            <w:pPr>
              <w:jc w:val="right"/>
            </w:pPr>
            <w:r>
              <w:t>145,894.52</w:t>
            </w:r>
          </w:p>
        </w:tc>
      </w:tr>
    </w:tbl>
    <w:p w14:paraId="67A03153" w14:textId="77777777" w:rsidR="00E57DAA" w:rsidRDefault="00E57DAA" w:rsidP="00C25422">
      <w:pPr>
        <w:pStyle w:val="92"/>
      </w:pPr>
    </w:p>
    <w:p w14:paraId="07912947" w14:textId="77777777" w:rsidR="00E57DAA" w:rsidRDefault="00AC4185" w:rsidP="00C25422">
      <w:pPr>
        <w:pStyle w:val="92"/>
      </w:pPr>
      <w:r>
        <w:rPr>
          <w:rFonts w:hint="eastAsia"/>
        </w:rPr>
        <w:t>其他说明</w:t>
      </w:r>
    </w:p>
    <w:sdt>
      <w:sdtPr>
        <w:rPr>
          <w:rFonts w:hint="eastAsia"/>
        </w:rPr>
        <w:alias w:val="是否适用：报告期内竣工验收的项目其他情况说明[双击切换]"/>
        <w:tag w:val="_GBC_dc271a4275da46ab9a527f7feb3f28a7"/>
        <w:id w:val="-5982542"/>
        <w:placeholder>
          <w:docPart w:val="GBC22222222222222222222222222222"/>
        </w:placeholder>
      </w:sdtPr>
      <w:sdtEndPr>
        <w:rPr>
          <w:rFonts w:hint="default"/>
        </w:rPr>
      </w:sdtEndPr>
      <w:sdtContent>
        <w:p w14:paraId="66E9406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580DA1" w14:textId="77777777" w:rsidR="00E57DAA" w:rsidRDefault="00AC4185" w:rsidP="00C25422">
      <w:pPr>
        <w:pStyle w:val="92"/>
      </w:pPr>
      <w:r>
        <w:t>1、</w:t>
      </w:r>
      <w:r>
        <w:tab/>
        <w:t>竣工验收项目：指在2023年度内竣工验收的项目（不含往年竣工但收入未确认完的项目）。</w:t>
      </w:r>
    </w:p>
    <w:p w14:paraId="560F9009" w14:textId="77777777" w:rsidR="00E57DAA" w:rsidRDefault="00AC4185" w:rsidP="00C25422">
      <w:pPr>
        <w:pStyle w:val="92"/>
      </w:pPr>
      <w:r>
        <w:t>2、</w:t>
      </w:r>
      <w:r>
        <w:rPr>
          <w:rFonts w:hint="eastAsia"/>
        </w:rPr>
        <w:t xml:space="preserve"> </w:t>
      </w:r>
      <w:r>
        <w:t>专业工程：指与水泥有关的工程EPC、EP、PC、C类型项目。</w:t>
      </w:r>
    </w:p>
    <w:p w14:paraId="2E158C1A" w14:textId="77777777" w:rsidR="00E57DAA" w:rsidRDefault="00AC4185" w:rsidP="00C25422">
      <w:pPr>
        <w:pStyle w:val="92"/>
      </w:pPr>
      <w:r>
        <w:rPr>
          <w:rFonts w:hint="eastAsia"/>
        </w:rPr>
        <w:t>其他工程：指水泥工程之外的多元化工程，如环保、电厂、油厂、工民建项目。</w:t>
      </w:r>
    </w:p>
    <w:p w14:paraId="0BAC8B54" w14:textId="77777777" w:rsidR="00E57DAA" w:rsidRDefault="00AC4185" w:rsidP="00C25422">
      <w:pPr>
        <w:pStyle w:val="92"/>
      </w:pPr>
      <w:r>
        <w:t>3、</w:t>
      </w:r>
      <w:r>
        <w:tab/>
        <w:t>项目数量：指上述项目的合同数量。</w:t>
      </w:r>
    </w:p>
    <w:p w14:paraId="7569CCBC" w14:textId="77777777" w:rsidR="00E57DAA" w:rsidRDefault="00AC4185" w:rsidP="00C25422">
      <w:pPr>
        <w:pStyle w:val="92"/>
      </w:pPr>
      <w:r>
        <w:t>4、</w:t>
      </w:r>
      <w:r>
        <w:tab/>
        <w:t>合同额：指上述项目的合同总金额。</w:t>
      </w:r>
    </w:p>
    <w:p w14:paraId="76E0437A" w14:textId="77777777" w:rsidR="00E57DAA" w:rsidRDefault="00AC4185" w:rsidP="00C25422">
      <w:pPr>
        <w:pStyle w:val="92"/>
      </w:pPr>
      <w:r>
        <w:t>5、</w:t>
      </w:r>
      <w:r>
        <w:tab/>
        <w:t>结转额：指上述项目的未结算合同额。</w:t>
      </w:r>
    </w:p>
    <w:p w14:paraId="148990D7" w14:textId="77777777" w:rsidR="00E57DAA" w:rsidRDefault="00E57DAA" w:rsidP="00C25422">
      <w:pPr>
        <w:pStyle w:val="92"/>
      </w:pPr>
    </w:p>
    <w:p w14:paraId="7C8642C5" w14:textId="77777777" w:rsidR="00E57DAA" w:rsidRDefault="00AC4185">
      <w:pPr>
        <w:pStyle w:val="5"/>
        <w:numPr>
          <w:ilvl w:val="0"/>
          <w:numId w:val="15"/>
        </w:numPr>
        <w:ind w:left="530"/>
        <w:jc w:val="left"/>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868038413"/>
        <w:placeholder>
          <w:docPart w:val="GBC22222222222222222222222222222"/>
        </w:placeholder>
      </w:sdtPr>
      <w:sdtEndPr>
        <w:rPr>
          <w:rFonts w:hint="default"/>
        </w:rPr>
      </w:sdtEndPr>
      <w:sdtContent>
        <w:p w14:paraId="45BC886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C90B83" w14:textId="77777777" w:rsidR="00E57DAA" w:rsidRDefault="00AC4185">
      <w:pPr>
        <w:jc w:val="right"/>
      </w:pPr>
      <w:r>
        <w:rPr>
          <w:rFonts w:hint="eastAsia"/>
        </w:rPr>
        <w:t>单位：</w:t>
      </w:r>
      <w:sdt>
        <w:sdtPr>
          <w:rPr>
            <w:rFonts w:hint="eastAsia"/>
          </w:rPr>
          <w:alias w:val="单位：报告期内在建的按行业项目情况"/>
          <w:tag w:val="_GBC_321aed6ffec7433cab05f11efb257218"/>
          <w:id w:val="12093018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行业项目情况"/>
          <w:tag w:val="_GBC_4d072efd180c433885c37073fe0b7777"/>
          <w:id w:val="18926940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940"/>
        <w:gridCol w:w="940"/>
        <w:gridCol w:w="1476"/>
        <w:gridCol w:w="940"/>
        <w:gridCol w:w="1476"/>
        <w:gridCol w:w="1581"/>
      </w:tblGrid>
      <w:tr w:rsidR="00E57DAA" w14:paraId="6043196C" w14:textId="77777777">
        <w:sdt>
          <w:sdtPr>
            <w:tag w:val="_PLD_63dc1895e0334da38533f04613e97ebb"/>
            <w:id w:val="-63174373"/>
          </w:sdtPr>
          <w:sdtEndPr/>
          <w:sdtContent>
            <w:tc>
              <w:tcPr>
                <w:tcW w:w="0" w:type="auto"/>
                <w:vAlign w:val="center"/>
              </w:tcPr>
              <w:p w14:paraId="77CBA0B7" w14:textId="77777777" w:rsidR="00E57DAA" w:rsidRDefault="00AC4185">
                <w:pPr>
                  <w:jc w:val="center"/>
                </w:pPr>
                <w:r>
                  <w:rPr>
                    <w:rFonts w:hint="eastAsia"/>
                  </w:rPr>
                  <w:t>细分行业</w:t>
                </w:r>
              </w:p>
            </w:tc>
          </w:sdtContent>
        </w:sdt>
        <w:sdt>
          <w:sdtPr>
            <w:tag w:val="_PLD_615731b5c096453dbab7484836b1a8dd"/>
            <w:id w:val="-1644965358"/>
          </w:sdtPr>
          <w:sdtEndPr/>
          <w:sdtContent>
            <w:tc>
              <w:tcPr>
                <w:tcW w:w="0" w:type="auto"/>
                <w:vAlign w:val="center"/>
              </w:tcPr>
              <w:p w14:paraId="59E17DB2" w14:textId="77777777" w:rsidR="00E57DAA" w:rsidRDefault="00AC4185">
                <w:pPr>
                  <w:jc w:val="center"/>
                </w:pPr>
                <w:r>
                  <w:rPr>
                    <w:rFonts w:hint="eastAsia"/>
                  </w:rPr>
                  <w:t>房屋建设</w:t>
                </w:r>
              </w:p>
            </w:tc>
          </w:sdtContent>
        </w:sdt>
        <w:sdt>
          <w:sdtPr>
            <w:tag w:val="_PLD_acf179725edf482aac13848e7c5580c2"/>
            <w:id w:val="1798564123"/>
          </w:sdtPr>
          <w:sdtEndPr/>
          <w:sdtContent>
            <w:tc>
              <w:tcPr>
                <w:tcW w:w="0" w:type="auto"/>
                <w:vAlign w:val="center"/>
              </w:tcPr>
              <w:p w14:paraId="3AA00130" w14:textId="77777777" w:rsidR="00E57DAA" w:rsidRDefault="00AC4185">
                <w:pPr>
                  <w:jc w:val="center"/>
                </w:pPr>
                <w:r>
                  <w:rPr>
                    <w:rFonts w:hint="eastAsia"/>
                  </w:rPr>
                  <w:t>基建工程</w:t>
                </w:r>
              </w:p>
            </w:tc>
          </w:sdtContent>
        </w:sdt>
        <w:sdt>
          <w:sdtPr>
            <w:tag w:val="_PLD_1fe2d3e152984e0a89206442cab02bfa"/>
            <w:id w:val="804047625"/>
          </w:sdtPr>
          <w:sdtEndPr/>
          <w:sdtContent>
            <w:tc>
              <w:tcPr>
                <w:tcW w:w="0" w:type="auto"/>
                <w:vAlign w:val="center"/>
              </w:tcPr>
              <w:p w14:paraId="275A5B04" w14:textId="77777777" w:rsidR="00E57DAA" w:rsidRDefault="00AC4185">
                <w:pPr>
                  <w:jc w:val="center"/>
                </w:pPr>
                <w:r>
                  <w:rPr>
                    <w:rFonts w:hint="eastAsia"/>
                  </w:rPr>
                  <w:t>专业工程</w:t>
                </w:r>
              </w:p>
            </w:tc>
          </w:sdtContent>
        </w:sdt>
        <w:sdt>
          <w:sdtPr>
            <w:tag w:val="_PLD_5ecadc10b2cc401eb1bb80b4e92f150b"/>
            <w:id w:val="1970775542"/>
          </w:sdtPr>
          <w:sdtEndPr/>
          <w:sdtContent>
            <w:tc>
              <w:tcPr>
                <w:tcW w:w="0" w:type="auto"/>
                <w:vAlign w:val="center"/>
              </w:tcPr>
              <w:p w14:paraId="5062745B" w14:textId="77777777" w:rsidR="00E57DAA" w:rsidRDefault="00AC4185">
                <w:pPr>
                  <w:jc w:val="center"/>
                </w:pPr>
                <w:r>
                  <w:rPr>
                    <w:rFonts w:hint="eastAsia"/>
                  </w:rPr>
                  <w:t>建筑装饰</w:t>
                </w:r>
              </w:p>
            </w:tc>
          </w:sdtContent>
        </w:sdt>
        <w:sdt>
          <w:sdtPr>
            <w:tag w:val="_PLD_ee1439d1d9644acbbe00ae29241fb064"/>
            <w:id w:val="1079870372"/>
          </w:sdtPr>
          <w:sdtEndPr/>
          <w:sdtContent>
            <w:tc>
              <w:tcPr>
                <w:tcW w:w="0" w:type="auto"/>
                <w:vAlign w:val="center"/>
              </w:tcPr>
              <w:p w14:paraId="6C16A0F8" w14:textId="77777777" w:rsidR="00E57DAA" w:rsidRDefault="00AC4185">
                <w:pPr>
                  <w:jc w:val="center"/>
                </w:pPr>
                <w:r>
                  <w:rPr>
                    <w:rFonts w:hint="eastAsia"/>
                  </w:rPr>
                  <w:t>其他</w:t>
                </w:r>
              </w:p>
            </w:tc>
          </w:sdtContent>
        </w:sdt>
        <w:sdt>
          <w:sdtPr>
            <w:tag w:val="_PLD_af7ca7a9a20340fd9abd2069b58c959c"/>
            <w:id w:val="-2061010613"/>
          </w:sdtPr>
          <w:sdtEndPr/>
          <w:sdtContent>
            <w:tc>
              <w:tcPr>
                <w:tcW w:w="0" w:type="auto"/>
                <w:vAlign w:val="center"/>
              </w:tcPr>
              <w:p w14:paraId="3B2A4919" w14:textId="77777777" w:rsidR="00E57DAA" w:rsidRDefault="00AC4185">
                <w:pPr>
                  <w:jc w:val="center"/>
                </w:pPr>
                <w:r>
                  <w:rPr>
                    <w:rFonts w:hint="eastAsia"/>
                  </w:rPr>
                  <w:t>总计</w:t>
                </w:r>
              </w:p>
            </w:tc>
          </w:sdtContent>
        </w:sdt>
      </w:tr>
      <w:tr w:rsidR="00E57DAA" w14:paraId="3B52ADC2" w14:textId="77777777">
        <w:tc>
          <w:tcPr>
            <w:tcW w:w="0" w:type="auto"/>
          </w:tcPr>
          <w:p w14:paraId="0933402B" w14:textId="77777777" w:rsidR="00E57DAA" w:rsidRDefault="00AC4185" w:rsidP="00C25422">
            <w:pPr>
              <w:pStyle w:val="92"/>
            </w:pPr>
            <w:r>
              <w:rPr>
                <w:rFonts w:hint="eastAsia"/>
              </w:rPr>
              <w:t>项目数量（个）</w:t>
            </w:r>
          </w:p>
        </w:tc>
        <w:tc>
          <w:tcPr>
            <w:tcW w:w="0" w:type="auto"/>
          </w:tcPr>
          <w:p w14:paraId="0E3175BC" w14:textId="77777777" w:rsidR="00E57DAA" w:rsidRDefault="00E57DAA">
            <w:pPr>
              <w:jc w:val="right"/>
            </w:pPr>
          </w:p>
        </w:tc>
        <w:tc>
          <w:tcPr>
            <w:tcW w:w="0" w:type="auto"/>
          </w:tcPr>
          <w:p w14:paraId="1A7E650C" w14:textId="77777777" w:rsidR="00E57DAA" w:rsidRDefault="00E57DAA">
            <w:pPr>
              <w:jc w:val="right"/>
            </w:pPr>
          </w:p>
        </w:tc>
        <w:tc>
          <w:tcPr>
            <w:tcW w:w="0" w:type="auto"/>
            <w:vAlign w:val="center"/>
          </w:tcPr>
          <w:p w14:paraId="7DF7363A" w14:textId="77777777" w:rsidR="00E57DAA" w:rsidRDefault="00AC4185">
            <w:pPr>
              <w:jc w:val="right"/>
            </w:pPr>
            <w:r>
              <w:t>371</w:t>
            </w:r>
          </w:p>
        </w:tc>
        <w:tc>
          <w:tcPr>
            <w:tcW w:w="0" w:type="auto"/>
            <w:vAlign w:val="center"/>
          </w:tcPr>
          <w:p w14:paraId="0FE84A1B" w14:textId="77777777" w:rsidR="00E57DAA" w:rsidRDefault="00E57DAA">
            <w:pPr>
              <w:jc w:val="right"/>
            </w:pPr>
          </w:p>
        </w:tc>
        <w:tc>
          <w:tcPr>
            <w:tcW w:w="0" w:type="auto"/>
            <w:vAlign w:val="center"/>
          </w:tcPr>
          <w:p w14:paraId="5D6FAB2C" w14:textId="77777777" w:rsidR="00E57DAA" w:rsidRDefault="00AC4185">
            <w:pPr>
              <w:jc w:val="right"/>
            </w:pPr>
            <w:r>
              <w:t>123</w:t>
            </w:r>
          </w:p>
        </w:tc>
        <w:tc>
          <w:tcPr>
            <w:tcW w:w="0" w:type="auto"/>
            <w:vAlign w:val="center"/>
          </w:tcPr>
          <w:p w14:paraId="2006AE1F" w14:textId="77777777" w:rsidR="00E57DAA" w:rsidRDefault="00AC4185">
            <w:pPr>
              <w:jc w:val="right"/>
            </w:pPr>
            <w:r>
              <w:t>494</w:t>
            </w:r>
          </w:p>
        </w:tc>
      </w:tr>
      <w:tr w:rsidR="00E57DAA" w14:paraId="05062E43" w14:textId="77777777">
        <w:tc>
          <w:tcPr>
            <w:tcW w:w="0" w:type="auto"/>
          </w:tcPr>
          <w:p w14:paraId="6DE0C4CA" w14:textId="77777777" w:rsidR="00E57DAA" w:rsidRDefault="00AC4185" w:rsidP="00C25422">
            <w:pPr>
              <w:pStyle w:val="92"/>
            </w:pPr>
            <w:r>
              <w:rPr>
                <w:rFonts w:hint="eastAsia"/>
              </w:rPr>
              <w:t>总金额</w:t>
            </w:r>
          </w:p>
        </w:tc>
        <w:tc>
          <w:tcPr>
            <w:tcW w:w="0" w:type="auto"/>
          </w:tcPr>
          <w:p w14:paraId="62EA6700" w14:textId="77777777" w:rsidR="00E57DAA" w:rsidRDefault="00E57DAA">
            <w:pPr>
              <w:jc w:val="right"/>
            </w:pPr>
          </w:p>
        </w:tc>
        <w:tc>
          <w:tcPr>
            <w:tcW w:w="0" w:type="auto"/>
          </w:tcPr>
          <w:p w14:paraId="557E6150" w14:textId="77777777" w:rsidR="00E57DAA" w:rsidRDefault="00E57DAA">
            <w:pPr>
              <w:jc w:val="right"/>
            </w:pPr>
          </w:p>
        </w:tc>
        <w:tc>
          <w:tcPr>
            <w:tcW w:w="0" w:type="auto"/>
            <w:vAlign w:val="center"/>
          </w:tcPr>
          <w:p w14:paraId="6C680CA2" w14:textId="77777777" w:rsidR="00E57DAA" w:rsidRDefault="00AC4185">
            <w:pPr>
              <w:jc w:val="right"/>
            </w:pPr>
            <w:r>
              <w:t>8,937,666.18</w:t>
            </w:r>
          </w:p>
        </w:tc>
        <w:tc>
          <w:tcPr>
            <w:tcW w:w="0" w:type="auto"/>
            <w:vAlign w:val="center"/>
          </w:tcPr>
          <w:p w14:paraId="6EB98322" w14:textId="77777777" w:rsidR="00E57DAA" w:rsidRDefault="00E57DAA">
            <w:pPr>
              <w:jc w:val="right"/>
            </w:pPr>
          </w:p>
        </w:tc>
        <w:tc>
          <w:tcPr>
            <w:tcW w:w="0" w:type="auto"/>
            <w:vAlign w:val="center"/>
          </w:tcPr>
          <w:p w14:paraId="5DE898ED" w14:textId="77777777" w:rsidR="00E57DAA" w:rsidRDefault="00AC4185">
            <w:pPr>
              <w:jc w:val="right"/>
            </w:pPr>
            <w:r>
              <w:t>2,180,031.50</w:t>
            </w:r>
          </w:p>
        </w:tc>
        <w:tc>
          <w:tcPr>
            <w:tcW w:w="0" w:type="auto"/>
            <w:vAlign w:val="center"/>
          </w:tcPr>
          <w:p w14:paraId="3F3F9364" w14:textId="77777777" w:rsidR="00E57DAA" w:rsidRDefault="00AC4185">
            <w:pPr>
              <w:jc w:val="right"/>
            </w:pPr>
            <w:r>
              <w:t>11,117,697.68</w:t>
            </w:r>
          </w:p>
        </w:tc>
      </w:tr>
      <w:tr w:rsidR="00E57DAA" w14:paraId="634FE2B3" w14:textId="77777777">
        <w:tc>
          <w:tcPr>
            <w:tcW w:w="0" w:type="auto"/>
            <w:tcBorders>
              <w:bottom w:val="single" w:sz="4" w:space="0" w:color="auto"/>
            </w:tcBorders>
          </w:tcPr>
          <w:p w14:paraId="59296607" w14:textId="77777777" w:rsidR="00E57DAA" w:rsidRDefault="00AC4185" w:rsidP="00C25422">
            <w:pPr>
              <w:pStyle w:val="92"/>
            </w:pPr>
            <w:r>
              <w:rPr>
                <w:rFonts w:hint="eastAsia"/>
              </w:rPr>
              <w:t>结转额</w:t>
            </w:r>
          </w:p>
        </w:tc>
        <w:tc>
          <w:tcPr>
            <w:tcW w:w="0" w:type="auto"/>
            <w:tcBorders>
              <w:bottom w:val="single" w:sz="4" w:space="0" w:color="auto"/>
            </w:tcBorders>
          </w:tcPr>
          <w:p w14:paraId="243C0265" w14:textId="77777777" w:rsidR="00E57DAA" w:rsidRDefault="00E57DAA">
            <w:pPr>
              <w:jc w:val="right"/>
            </w:pPr>
          </w:p>
        </w:tc>
        <w:tc>
          <w:tcPr>
            <w:tcW w:w="0" w:type="auto"/>
            <w:tcBorders>
              <w:bottom w:val="single" w:sz="4" w:space="0" w:color="auto"/>
            </w:tcBorders>
          </w:tcPr>
          <w:p w14:paraId="2D34AD17" w14:textId="77777777" w:rsidR="00E57DAA" w:rsidRDefault="00E57DAA">
            <w:pPr>
              <w:jc w:val="right"/>
            </w:pPr>
          </w:p>
        </w:tc>
        <w:tc>
          <w:tcPr>
            <w:tcW w:w="0" w:type="auto"/>
            <w:tcBorders>
              <w:bottom w:val="single" w:sz="4" w:space="0" w:color="auto"/>
            </w:tcBorders>
            <w:vAlign w:val="center"/>
          </w:tcPr>
          <w:p w14:paraId="58E1215F" w14:textId="77777777" w:rsidR="00E57DAA" w:rsidRDefault="00AC4185">
            <w:pPr>
              <w:jc w:val="right"/>
            </w:pPr>
            <w:r>
              <w:t>3,917,063.95</w:t>
            </w:r>
          </w:p>
        </w:tc>
        <w:tc>
          <w:tcPr>
            <w:tcW w:w="0" w:type="auto"/>
            <w:tcBorders>
              <w:bottom w:val="single" w:sz="4" w:space="0" w:color="auto"/>
            </w:tcBorders>
            <w:vAlign w:val="center"/>
          </w:tcPr>
          <w:p w14:paraId="4FCA276E" w14:textId="77777777" w:rsidR="00E57DAA" w:rsidRDefault="00E57DAA">
            <w:pPr>
              <w:jc w:val="right"/>
            </w:pPr>
          </w:p>
        </w:tc>
        <w:tc>
          <w:tcPr>
            <w:tcW w:w="0" w:type="auto"/>
            <w:tcBorders>
              <w:bottom w:val="single" w:sz="4" w:space="0" w:color="auto"/>
            </w:tcBorders>
            <w:vAlign w:val="center"/>
          </w:tcPr>
          <w:p w14:paraId="195792B6" w14:textId="77777777" w:rsidR="00E57DAA" w:rsidRDefault="00AC4185">
            <w:pPr>
              <w:jc w:val="right"/>
            </w:pPr>
            <w:r>
              <w:t>1,013,680.87</w:t>
            </w:r>
          </w:p>
        </w:tc>
        <w:tc>
          <w:tcPr>
            <w:tcW w:w="0" w:type="auto"/>
            <w:tcBorders>
              <w:bottom w:val="single" w:sz="4" w:space="0" w:color="auto"/>
            </w:tcBorders>
            <w:vAlign w:val="center"/>
          </w:tcPr>
          <w:p w14:paraId="4FA40B3C" w14:textId="77777777" w:rsidR="00E57DAA" w:rsidRDefault="00AC4185">
            <w:pPr>
              <w:jc w:val="right"/>
            </w:pPr>
            <w:r>
              <w:t>4,930,744.82</w:t>
            </w:r>
          </w:p>
        </w:tc>
      </w:tr>
    </w:tbl>
    <w:p w14:paraId="0AB8C812" w14:textId="77777777" w:rsidR="00E57DAA" w:rsidRDefault="00E57DAA" w:rsidP="00C25422">
      <w:pPr>
        <w:pStyle w:val="92"/>
      </w:pPr>
    </w:p>
    <w:sdt>
      <w:sdtPr>
        <w:rPr>
          <w:rFonts w:hint="eastAsia"/>
        </w:rPr>
        <w:alias w:val="是否适用：报告期内在建的按地区项目情况[双击切换]"/>
        <w:tag w:val="_GBC_89e7ad62a6b44a2f8202ae869241b477"/>
        <w:id w:val="-2102407553"/>
        <w:placeholder>
          <w:docPart w:val="GBC22222222222222222222222222222"/>
        </w:placeholder>
      </w:sdtPr>
      <w:sdtEndPr>
        <w:rPr>
          <w:rFonts w:hint="default"/>
        </w:rPr>
      </w:sdtEndPr>
      <w:sdtContent>
        <w:p w14:paraId="6DE0024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C3356E" w14:textId="77777777" w:rsidR="00E57DAA" w:rsidRDefault="00AC4185">
      <w:pPr>
        <w:jc w:val="right"/>
      </w:pPr>
      <w:r>
        <w:rPr>
          <w:rFonts w:hint="eastAsia"/>
        </w:rPr>
        <w:t>单位：</w:t>
      </w:r>
      <w:sdt>
        <w:sdtPr>
          <w:rPr>
            <w:rFonts w:hint="eastAsia"/>
          </w:rPr>
          <w:alias w:val="单位：报告期内在建的按地区项目情况"/>
          <w:tag w:val="_GBC_7743030de77c4b0d9d6f3014ced7826c"/>
          <w:id w:val="14069597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地区项目情况"/>
          <w:tag w:val="_GBC_c3c17b1aa2bb401eb01283fcab5198fc"/>
          <w:id w:val="3489998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5"/>
        <w:gridCol w:w="2557"/>
        <w:gridCol w:w="2239"/>
        <w:gridCol w:w="1652"/>
      </w:tblGrid>
      <w:tr w:rsidR="00E57DAA" w14:paraId="7512A5E7" w14:textId="77777777">
        <w:trPr>
          <w:jc w:val="center"/>
        </w:trPr>
        <w:sdt>
          <w:sdtPr>
            <w:rPr>
              <w:rFonts w:hint="eastAsia"/>
            </w:rPr>
            <w:tag w:val="_PLD_daf36a00f55547b89d749c5c4204a412"/>
            <w:id w:val="-1671015745"/>
          </w:sdtPr>
          <w:sdtEndPr/>
          <w:sdtContent>
            <w:tc>
              <w:tcPr>
                <w:tcW w:w="1346" w:type="pct"/>
                <w:tcBorders>
                  <w:top w:val="single" w:sz="4" w:space="0" w:color="auto"/>
                  <w:left w:val="single" w:sz="4" w:space="0" w:color="auto"/>
                  <w:bottom w:val="single" w:sz="4" w:space="0" w:color="auto"/>
                  <w:right w:val="single" w:sz="4" w:space="0" w:color="auto"/>
                </w:tcBorders>
                <w:vAlign w:val="center"/>
              </w:tcPr>
              <w:p w14:paraId="6CE59141" w14:textId="77777777" w:rsidR="00E57DAA" w:rsidRDefault="00AC4185">
                <w:pPr>
                  <w:jc w:val="center"/>
                </w:pPr>
                <w:r>
                  <w:rPr>
                    <w:rFonts w:hint="eastAsia"/>
                  </w:rPr>
                  <w:t>项目地区</w:t>
                </w:r>
              </w:p>
            </w:tc>
          </w:sdtContent>
        </w:sdt>
        <w:sdt>
          <w:sdtPr>
            <w:rPr>
              <w:rFonts w:hint="eastAsia"/>
            </w:rPr>
            <w:tag w:val="_PLD_706a975d781f4ef9957cc5d146ce95e2"/>
            <w:id w:val="-1125538827"/>
          </w:sdtPr>
          <w:sdtEndPr/>
          <w:sdtContent>
            <w:tc>
              <w:tcPr>
                <w:tcW w:w="1449" w:type="pct"/>
                <w:tcBorders>
                  <w:top w:val="single" w:sz="4" w:space="0" w:color="auto"/>
                  <w:left w:val="single" w:sz="4" w:space="0" w:color="auto"/>
                  <w:bottom w:val="single" w:sz="4" w:space="0" w:color="auto"/>
                  <w:right w:val="single" w:sz="4" w:space="0" w:color="auto"/>
                </w:tcBorders>
                <w:vAlign w:val="center"/>
              </w:tcPr>
              <w:p w14:paraId="3E0251B7" w14:textId="77777777" w:rsidR="00E57DAA" w:rsidRDefault="00AC4185">
                <w:pPr>
                  <w:jc w:val="center"/>
                </w:pPr>
                <w:r>
                  <w:rPr>
                    <w:rFonts w:hint="eastAsia"/>
                  </w:rPr>
                  <w:t>项目数量（个）</w:t>
                </w:r>
              </w:p>
            </w:tc>
          </w:sdtContent>
        </w:sdt>
        <w:sdt>
          <w:sdtPr>
            <w:rPr>
              <w:rFonts w:hint="eastAsia"/>
            </w:rPr>
            <w:tag w:val="_PLD_781743e19ef242949c313086cd6457c9"/>
            <w:id w:val="1439106829"/>
          </w:sdtPr>
          <w:sdtEndPr/>
          <w:sdtContent>
            <w:tc>
              <w:tcPr>
                <w:tcW w:w="1269" w:type="pct"/>
                <w:tcBorders>
                  <w:top w:val="single" w:sz="4" w:space="0" w:color="auto"/>
                  <w:left w:val="single" w:sz="4" w:space="0" w:color="auto"/>
                  <w:bottom w:val="single" w:sz="4" w:space="0" w:color="auto"/>
                  <w:right w:val="single" w:sz="4" w:space="0" w:color="auto"/>
                </w:tcBorders>
                <w:vAlign w:val="center"/>
              </w:tcPr>
              <w:p w14:paraId="7A05B0EB" w14:textId="77777777" w:rsidR="00E57DAA" w:rsidRDefault="00AC4185">
                <w:pPr>
                  <w:jc w:val="center"/>
                </w:pPr>
                <w:r>
                  <w:rPr>
                    <w:rFonts w:hint="eastAsia"/>
                  </w:rPr>
                  <w:t>总金额</w:t>
                </w:r>
              </w:p>
            </w:tc>
          </w:sdtContent>
        </w:sdt>
        <w:tc>
          <w:tcPr>
            <w:tcW w:w="936" w:type="pct"/>
            <w:tcBorders>
              <w:top w:val="single" w:sz="4" w:space="0" w:color="auto"/>
              <w:left w:val="single" w:sz="4" w:space="0" w:color="auto"/>
              <w:bottom w:val="single" w:sz="4" w:space="0" w:color="auto"/>
              <w:right w:val="single" w:sz="4" w:space="0" w:color="auto"/>
            </w:tcBorders>
            <w:vAlign w:val="center"/>
          </w:tcPr>
          <w:p w14:paraId="47612699" w14:textId="77777777" w:rsidR="00E57DAA" w:rsidRDefault="00AC4185">
            <w:pPr>
              <w:jc w:val="center"/>
            </w:pPr>
            <w:r>
              <w:rPr>
                <w:rFonts w:hint="eastAsia"/>
              </w:rPr>
              <w:t>结转额</w:t>
            </w:r>
          </w:p>
        </w:tc>
      </w:tr>
      <w:tr w:rsidR="00E57DAA" w14:paraId="1F2DB9D0"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67738574" w14:textId="77777777" w:rsidR="00E57DAA" w:rsidRDefault="00AC4185" w:rsidP="00C25422">
            <w:pPr>
              <w:pStyle w:val="92"/>
            </w:pPr>
            <w:r>
              <w:rPr>
                <w:rFonts w:hint="eastAsia"/>
              </w:rPr>
              <w:t>境内</w:t>
            </w:r>
          </w:p>
        </w:tc>
        <w:tc>
          <w:tcPr>
            <w:tcW w:w="1449" w:type="pct"/>
            <w:tcBorders>
              <w:top w:val="single" w:sz="4" w:space="0" w:color="auto"/>
              <w:left w:val="single" w:sz="4" w:space="0" w:color="auto"/>
              <w:bottom w:val="single" w:sz="4" w:space="0" w:color="auto"/>
              <w:right w:val="single" w:sz="4" w:space="0" w:color="auto"/>
            </w:tcBorders>
            <w:vAlign w:val="center"/>
          </w:tcPr>
          <w:p w14:paraId="55D39AC4" w14:textId="77777777" w:rsidR="00E57DAA" w:rsidRDefault="00AC4185">
            <w:pPr>
              <w:jc w:val="right"/>
            </w:pPr>
            <w:r>
              <w:t>280</w:t>
            </w:r>
          </w:p>
        </w:tc>
        <w:tc>
          <w:tcPr>
            <w:tcW w:w="1269" w:type="pct"/>
            <w:tcBorders>
              <w:top w:val="single" w:sz="4" w:space="0" w:color="auto"/>
              <w:left w:val="single" w:sz="4" w:space="0" w:color="auto"/>
              <w:bottom w:val="single" w:sz="4" w:space="0" w:color="auto"/>
              <w:right w:val="single" w:sz="4" w:space="0" w:color="auto"/>
            </w:tcBorders>
            <w:vAlign w:val="center"/>
          </w:tcPr>
          <w:p w14:paraId="31E53310" w14:textId="77777777" w:rsidR="00E57DAA" w:rsidRDefault="00AC4185">
            <w:pPr>
              <w:jc w:val="right"/>
            </w:pPr>
            <w:r>
              <w:t>4,978,843.93</w:t>
            </w:r>
          </w:p>
        </w:tc>
        <w:tc>
          <w:tcPr>
            <w:tcW w:w="936" w:type="pct"/>
            <w:tcBorders>
              <w:top w:val="single" w:sz="4" w:space="0" w:color="auto"/>
              <w:left w:val="single" w:sz="4" w:space="0" w:color="auto"/>
              <w:bottom w:val="single" w:sz="4" w:space="0" w:color="auto"/>
              <w:right w:val="single" w:sz="4" w:space="0" w:color="auto"/>
            </w:tcBorders>
            <w:vAlign w:val="center"/>
          </w:tcPr>
          <w:p w14:paraId="40E4A8D5" w14:textId="77777777" w:rsidR="00E57DAA" w:rsidRDefault="00AC4185">
            <w:pPr>
              <w:jc w:val="right"/>
            </w:pPr>
            <w:r>
              <w:t>1,823,418.43</w:t>
            </w:r>
          </w:p>
        </w:tc>
      </w:tr>
      <w:tr w:rsidR="00E57DAA" w14:paraId="52126114"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383E3083" w14:textId="77777777" w:rsidR="00E57DAA" w:rsidRDefault="00AC4185" w:rsidP="00C25422">
            <w:pPr>
              <w:pStyle w:val="92"/>
            </w:pPr>
            <w:r>
              <w:rPr>
                <w:rFonts w:hint="eastAsia"/>
              </w:rPr>
              <w:t>境外</w:t>
            </w:r>
          </w:p>
        </w:tc>
        <w:tc>
          <w:tcPr>
            <w:tcW w:w="1449" w:type="pct"/>
            <w:tcBorders>
              <w:top w:val="single" w:sz="4" w:space="0" w:color="auto"/>
              <w:left w:val="single" w:sz="4" w:space="0" w:color="auto"/>
              <w:bottom w:val="single" w:sz="4" w:space="0" w:color="auto"/>
              <w:right w:val="single" w:sz="4" w:space="0" w:color="auto"/>
            </w:tcBorders>
            <w:vAlign w:val="center"/>
          </w:tcPr>
          <w:p w14:paraId="44D7E429" w14:textId="77777777" w:rsidR="00E57DAA" w:rsidRDefault="00AC4185">
            <w:pPr>
              <w:jc w:val="right"/>
            </w:pPr>
            <w:r>
              <w:t>214</w:t>
            </w:r>
          </w:p>
        </w:tc>
        <w:tc>
          <w:tcPr>
            <w:tcW w:w="1269" w:type="pct"/>
            <w:tcBorders>
              <w:top w:val="single" w:sz="4" w:space="0" w:color="auto"/>
              <w:left w:val="single" w:sz="4" w:space="0" w:color="auto"/>
              <w:bottom w:val="single" w:sz="4" w:space="0" w:color="auto"/>
              <w:right w:val="single" w:sz="4" w:space="0" w:color="auto"/>
            </w:tcBorders>
            <w:vAlign w:val="center"/>
          </w:tcPr>
          <w:p w14:paraId="2958D92E" w14:textId="77777777" w:rsidR="00E57DAA" w:rsidRDefault="00AC4185">
            <w:pPr>
              <w:jc w:val="right"/>
            </w:pPr>
            <w:r>
              <w:t>6,138,853.75</w:t>
            </w:r>
          </w:p>
        </w:tc>
        <w:tc>
          <w:tcPr>
            <w:tcW w:w="936" w:type="pct"/>
            <w:tcBorders>
              <w:top w:val="single" w:sz="4" w:space="0" w:color="auto"/>
              <w:left w:val="single" w:sz="4" w:space="0" w:color="auto"/>
              <w:bottom w:val="single" w:sz="4" w:space="0" w:color="auto"/>
              <w:right w:val="single" w:sz="4" w:space="0" w:color="auto"/>
            </w:tcBorders>
            <w:vAlign w:val="center"/>
          </w:tcPr>
          <w:p w14:paraId="50907CD9" w14:textId="77777777" w:rsidR="00E57DAA" w:rsidRDefault="00AC4185">
            <w:pPr>
              <w:jc w:val="right"/>
            </w:pPr>
            <w:r>
              <w:t>3,107,326.39</w:t>
            </w:r>
          </w:p>
        </w:tc>
      </w:tr>
      <w:tr w:rsidR="00E57DAA" w14:paraId="2E2A57EB" w14:textId="77777777">
        <w:trPr>
          <w:jc w:val="center"/>
        </w:trPr>
        <w:tc>
          <w:tcPr>
            <w:tcW w:w="5000" w:type="pct"/>
            <w:gridSpan w:val="4"/>
            <w:tcBorders>
              <w:top w:val="single" w:sz="4" w:space="0" w:color="auto"/>
              <w:left w:val="single" w:sz="4" w:space="0" w:color="auto"/>
              <w:bottom w:val="single" w:sz="4" w:space="0" w:color="auto"/>
              <w:right w:val="single" w:sz="4" w:space="0" w:color="auto"/>
            </w:tcBorders>
          </w:tcPr>
          <w:p w14:paraId="26232AB6" w14:textId="77777777" w:rsidR="00E57DAA" w:rsidRDefault="00AC4185" w:rsidP="00C25422">
            <w:pPr>
              <w:pStyle w:val="92"/>
            </w:pPr>
            <w:r>
              <w:rPr>
                <w:rFonts w:hint="eastAsia"/>
              </w:rPr>
              <w:t xml:space="preserve">    </w:t>
            </w:r>
            <w:sdt>
              <w:sdtPr>
                <w:rPr>
                  <w:rFonts w:hint="eastAsia"/>
                </w:rPr>
                <w:tag w:val="_PLD_ab35970905c340a0a33bf400d2a9a7bc"/>
                <w:id w:val="-1030257918"/>
              </w:sdtPr>
              <w:sdtEndPr/>
              <w:sdtContent>
                <w:r>
                  <w:rPr>
                    <w:rFonts w:hint="eastAsia"/>
                  </w:rPr>
                  <w:t>其中：</w:t>
                </w:r>
              </w:sdtContent>
            </w:sdt>
          </w:p>
        </w:tc>
      </w:tr>
      <w:tr w:rsidR="00E57DAA" w14:paraId="1E878B5C"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297B9702" w14:textId="77777777" w:rsidR="00E57DAA" w:rsidRDefault="00AC4185">
            <w:pPr>
              <w:ind w:firstLineChars="200" w:firstLine="420"/>
            </w:pPr>
            <w:r>
              <w:t>东南亚</w:t>
            </w:r>
          </w:p>
        </w:tc>
        <w:tc>
          <w:tcPr>
            <w:tcW w:w="1449" w:type="pct"/>
            <w:tcBorders>
              <w:top w:val="single" w:sz="4" w:space="0" w:color="auto"/>
              <w:left w:val="single" w:sz="4" w:space="0" w:color="auto"/>
              <w:bottom w:val="single" w:sz="4" w:space="0" w:color="auto"/>
              <w:right w:val="single" w:sz="4" w:space="0" w:color="auto"/>
            </w:tcBorders>
            <w:vAlign w:val="center"/>
          </w:tcPr>
          <w:p w14:paraId="055CE9E4" w14:textId="77777777" w:rsidR="00E57DAA" w:rsidRDefault="00AC4185">
            <w:pPr>
              <w:jc w:val="right"/>
            </w:pPr>
            <w:r>
              <w:t>50</w:t>
            </w:r>
          </w:p>
        </w:tc>
        <w:tc>
          <w:tcPr>
            <w:tcW w:w="1269" w:type="pct"/>
            <w:tcBorders>
              <w:top w:val="single" w:sz="4" w:space="0" w:color="auto"/>
              <w:left w:val="single" w:sz="4" w:space="0" w:color="auto"/>
              <w:bottom w:val="single" w:sz="4" w:space="0" w:color="auto"/>
              <w:right w:val="single" w:sz="4" w:space="0" w:color="auto"/>
            </w:tcBorders>
            <w:vAlign w:val="center"/>
          </w:tcPr>
          <w:p w14:paraId="58859237" w14:textId="77777777" w:rsidR="00E57DAA" w:rsidRDefault="00AC4185">
            <w:pPr>
              <w:jc w:val="right"/>
            </w:pPr>
            <w:r>
              <w:t>1,119,040.68</w:t>
            </w:r>
          </w:p>
        </w:tc>
        <w:tc>
          <w:tcPr>
            <w:tcW w:w="936" w:type="pct"/>
            <w:tcBorders>
              <w:top w:val="single" w:sz="4" w:space="0" w:color="auto"/>
              <w:left w:val="single" w:sz="4" w:space="0" w:color="auto"/>
              <w:bottom w:val="single" w:sz="4" w:space="0" w:color="auto"/>
              <w:right w:val="single" w:sz="4" w:space="0" w:color="auto"/>
            </w:tcBorders>
            <w:vAlign w:val="center"/>
          </w:tcPr>
          <w:p w14:paraId="17471F46" w14:textId="77777777" w:rsidR="00E57DAA" w:rsidRDefault="00AC4185">
            <w:pPr>
              <w:jc w:val="right"/>
            </w:pPr>
            <w:r>
              <w:t>513,959.04</w:t>
            </w:r>
          </w:p>
        </w:tc>
      </w:tr>
      <w:tr w:rsidR="00E57DAA" w14:paraId="4E987080"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50FA1479" w14:textId="77777777" w:rsidR="00E57DAA" w:rsidRDefault="00AC4185">
            <w:pPr>
              <w:ind w:firstLineChars="200" w:firstLine="420"/>
            </w:pPr>
            <w:r>
              <w:t>中东</w:t>
            </w:r>
          </w:p>
        </w:tc>
        <w:tc>
          <w:tcPr>
            <w:tcW w:w="1449" w:type="pct"/>
            <w:tcBorders>
              <w:top w:val="single" w:sz="4" w:space="0" w:color="auto"/>
              <w:left w:val="single" w:sz="4" w:space="0" w:color="auto"/>
              <w:bottom w:val="single" w:sz="4" w:space="0" w:color="auto"/>
              <w:right w:val="single" w:sz="4" w:space="0" w:color="auto"/>
            </w:tcBorders>
            <w:vAlign w:val="center"/>
          </w:tcPr>
          <w:p w14:paraId="24F04DCF" w14:textId="77777777" w:rsidR="00E57DAA" w:rsidRDefault="00AC4185">
            <w:pPr>
              <w:jc w:val="right"/>
            </w:pPr>
            <w:r>
              <w:t>20</w:t>
            </w:r>
          </w:p>
        </w:tc>
        <w:tc>
          <w:tcPr>
            <w:tcW w:w="1269" w:type="pct"/>
            <w:tcBorders>
              <w:top w:val="single" w:sz="4" w:space="0" w:color="auto"/>
              <w:left w:val="single" w:sz="4" w:space="0" w:color="auto"/>
              <w:bottom w:val="single" w:sz="4" w:space="0" w:color="auto"/>
              <w:right w:val="single" w:sz="4" w:space="0" w:color="auto"/>
            </w:tcBorders>
            <w:vAlign w:val="center"/>
          </w:tcPr>
          <w:p w14:paraId="31E5CE99" w14:textId="77777777" w:rsidR="00E57DAA" w:rsidRDefault="00AC4185">
            <w:pPr>
              <w:jc w:val="right"/>
            </w:pPr>
            <w:r>
              <w:t>621,023.85</w:t>
            </w:r>
          </w:p>
        </w:tc>
        <w:tc>
          <w:tcPr>
            <w:tcW w:w="936" w:type="pct"/>
            <w:tcBorders>
              <w:top w:val="single" w:sz="4" w:space="0" w:color="auto"/>
              <w:left w:val="single" w:sz="4" w:space="0" w:color="auto"/>
              <w:bottom w:val="single" w:sz="4" w:space="0" w:color="auto"/>
              <w:right w:val="single" w:sz="4" w:space="0" w:color="auto"/>
            </w:tcBorders>
            <w:vAlign w:val="center"/>
          </w:tcPr>
          <w:p w14:paraId="58339999" w14:textId="77777777" w:rsidR="00E57DAA" w:rsidRDefault="00AC4185">
            <w:pPr>
              <w:jc w:val="right"/>
            </w:pPr>
            <w:r>
              <w:t>452,153.95</w:t>
            </w:r>
          </w:p>
        </w:tc>
      </w:tr>
      <w:tr w:rsidR="00E57DAA" w14:paraId="0CBEDFEB"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4920CA3F" w14:textId="77777777" w:rsidR="00E57DAA" w:rsidRDefault="00AC4185">
            <w:pPr>
              <w:ind w:firstLineChars="200" w:firstLine="420"/>
            </w:pPr>
            <w:r>
              <w:t>亚洲其他地区</w:t>
            </w:r>
          </w:p>
        </w:tc>
        <w:tc>
          <w:tcPr>
            <w:tcW w:w="1449" w:type="pct"/>
            <w:tcBorders>
              <w:top w:val="single" w:sz="4" w:space="0" w:color="auto"/>
              <w:left w:val="single" w:sz="4" w:space="0" w:color="auto"/>
              <w:bottom w:val="single" w:sz="4" w:space="0" w:color="auto"/>
              <w:right w:val="single" w:sz="4" w:space="0" w:color="auto"/>
            </w:tcBorders>
            <w:vAlign w:val="center"/>
          </w:tcPr>
          <w:p w14:paraId="09FBB45F" w14:textId="77777777" w:rsidR="00E57DAA" w:rsidRDefault="00AC4185">
            <w:pPr>
              <w:jc w:val="right"/>
            </w:pPr>
            <w:r>
              <w:t>46</w:t>
            </w:r>
          </w:p>
        </w:tc>
        <w:tc>
          <w:tcPr>
            <w:tcW w:w="1269" w:type="pct"/>
            <w:tcBorders>
              <w:top w:val="single" w:sz="4" w:space="0" w:color="auto"/>
              <w:left w:val="single" w:sz="4" w:space="0" w:color="auto"/>
              <w:bottom w:val="single" w:sz="4" w:space="0" w:color="auto"/>
              <w:right w:val="single" w:sz="4" w:space="0" w:color="auto"/>
            </w:tcBorders>
            <w:vAlign w:val="center"/>
          </w:tcPr>
          <w:p w14:paraId="1843600E" w14:textId="77777777" w:rsidR="00E57DAA" w:rsidRDefault="00AC4185">
            <w:pPr>
              <w:jc w:val="right"/>
            </w:pPr>
            <w:r>
              <w:t>952,396.06</w:t>
            </w:r>
          </w:p>
        </w:tc>
        <w:tc>
          <w:tcPr>
            <w:tcW w:w="936" w:type="pct"/>
            <w:tcBorders>
              <w:top w:val="single" w:sz="4" w:space="0" w:color="auto"/>
              <w:left w:val="single" w:sz="4" w:space="0" w:color="auto"/>
              <w:bottom w:val="single" w:sz="4" w:space="0" w:color="auto"/>
              <w:right w:val="single" w:sz="4" w:space="0" w:color="auto"/>
            </w:tcBorders>
            <w:vAlign w:val="center"/>
          </w:tcPr>
          <w:p w14:paraId="6BC8ADC2" w14:textId="77777777" w:rsidR="00E57DAA" w:rsidRDefault="00AC4185">
            <w:pPr>
              <w:jc w:val="right"/>
            </w:pPr>
            <w:r>
              <w:t>635,481.93</w:t>
            </w:r>
          </w:p>
        </w:tc>
      </w:tr>
      <w:tr w:rsidR="00E57DAA" w14:paraId="63FE9384"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11A0F857" w14:textId="77777777" w:rsidR="00E57DAA" w:rsidRDefault="00AC4185">
            <w:pPr>
              <w:ind w:firstLineChars="200" w:firstLine="420"/>
            </w:pPr>
            <w:r>
              <w:lastRenderedPageBreak/>
              <w:t>非洲</w:t>
            </w:r>
          </w:p>
        </w:tc>
        <w:tc>
          <w:tcPr>
            <w:tcW w:w="1449" w:type="pct"/>
            <w:tcBorders>
              <w:top w:val="single" w:sz="4" w:space="0" w:color="auto"/>
              <w:left w:val="single" w:sz="4" w:space="0" w:color="auto"/>
              <w:bottom w:val="single" w:sz="4" w:space="0" w:color="auto"/>
              <w:right w:val="single" w:sz="4" w:space="0" w:color="auto"/>
            </w:tcBorders>
            <w:vAlign w:val="center"/>
          </w:tcPr>
          <w:p w14:paraId="6763DD65" w14:textId="77777777" w:rsidR="00E57DAA" w:rsidRDefault="00AC4185">
            <w:pPr>
              <w:jc w:val="right"/>
            </w:pPr>
            <w:r>
              <w:t>76</w:t>
            </w:r>
          </w:p>
        </w:tc>
        <w:tc>
          <w:tcPr>
            <w:tcW w:w="1269" w:type="pct"/>
            <w:tcBorders>
              <w:top w:val="single" w:sz="4" w:space="0" w:color="auto"/>
              <w:left w:val="single" w:sz="4" w:space="0" w:color="auto"/>
              <w:bottom w:val="single" w:sz="4" w:space="0" w:color="auto"/>
              <w:right w:val="single" w:sz="4" w:space="0" w:color="auto"/>
            </w:tcBorders>
            <w:vAlign w:val="center"/>
          </w:tcPr>
          <w:p w14:paraId="7D3169F1" w14:textId="77777777" w:rsidR="00E57DAA" w:rsidRDefault="00AC4185">
            <w:pPr>
              <w:jc w:val="right"/>
            </w:pPr>
            <w:r>
              <w:t>2,688,660.41</w:t>
            </w:r>
          </w:p>
        </w:tc>
        <w:tc>
          <w:tcPr>
            <w:tcW w:w="936" w:type="pct"/>
            <w:tcBorders>
              <w:top w:val="single" w:sz="4" w:space="0" w:color="auto"/>
              <w:left w:val="single" w:sz="4" w:space="0" w:color="auto"/>
              <w:bottom w:val="single" w:sz="4" w:space="0" w:color="auto"/>
              <w:right w:val="single" w:sz="4" w:space="0" w:color="auto"/>
            </w:tcBorders>
            <w:vAlign w:val="center"/>
          </w:tcPr>
          <w:p w14:paraId="6BBA4539" w14:textId="77777777" w:rsidR="00E57DAA" w:rsidRDefault="00AC4185">
            <w:pPr>
              <w:jc w:val="right"/>
            </w:pPr>
            <w:r>
              <w:t>936,584.38</w:t>
            </w:r>
          </w:p>
        </w:tc>
      </w:tr>
      <w:tr w:rsidR="00E57DAA" w14:paraId="65D5D96E"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386E19E0" w14:textId="77777777" w:rsidR="00E57DAA" w:rsidRDefault="00AC4185">
            <w:pPr>
              <w:ind w:firstLineChars="200" w:firstLine="420"/>
            </w:pPr>
            <w:r>
              <w:t>欧洲</w:t>
            </w:r>
          </w:p>
        </w:tc>
        <w:tc>
          <w:tcPr>
            <w:tcW w:w="1449" w:type="pct"/>
            <w:tcBorders>
              <w:top w:val="single" w:sz="4" w:space="0" w:color="auto"/>
              <w:left w:val="single" w:sz="4" w:space="0" w:color="auto"/>
              <w:bottom w:val="single" w:sz="4" w:space="0" w:color="auto"/>
              <w:right w:val="single" w:sz="4" w:space="0" w:color="auto"/>
            </w:tcBorders>
            <w:vAlign w:val="center"/>
          </w:tcPr>
          <w:p w14:paraId="72E387EE" w14:textId="77777777" w:rsidR="00E57DAA" w:rsidRDefault="00AC4185">
            <w:pPr>
              <w:jc w:val="right"/>
            </w:pPr>
            <w:r>
              <w:t>10</w:t>
            </w:r>
          </w:p>
        </w:tc>
        <w:tc>
          <w:tcPr>
            <w:tcW w:w="1269" w:type="pct"/>
            <w:tcBorders>
              <w:top w:val="single" w:sz="4" w:space="0" w:color="auto"/>
              <w:left w:val="single" w:sz="4" w:space="0" w:color="auto"/>
              <w:bottom w:val="single" w:sz="4" w:space="0" w:color="auto"/>
              <w:right w:val="single" w:sz="4" w:space="0" w:color="auto"/>
            </w:tcBorders>
            <w:vAlign w:val="center"/>
          </w:tcPr>
          <w:p w14:paraId="1DE2A256" w14:textId="77777777" w:rsidR="00E57DAA" w:rsidRDefault="00AC4185">
            <w:pPr>
              <w:jc w:val="right"/>
            </w:pPr>
            <w:r>
              <w:t>555,873.01</w:t>
            </w:r>
          </w:p>
        </w:tc>
        <w:tc>
          <w:tcPr>
            <w:tcW w:w="936" w:type="pct"/>
            <w:tcBorders>
              <w:top w:val="single" w:sz="4" w:space="0" w:color="auto"/>
              <w:left w:val="single" w:sz="4" w:space="0" w:color="auto"/>
              <w:bottom w:val="single" w:sz="4" w:space="0" w:color="auto"/>
              <w:right w:val="single" w:sz="4" w:space="0" w:color="auto"/>
            </w:tcBorders>
            <w:vAlign w:val="center"/>
          </w:tcPr>
          <w:p w14:paraId="1A7A6DE0" w14:textId="77777777" w:rsidR="00E57DAA" w:rsidRDefault="00AC4185">
            <w:pPr>
              <w:jc w:val="right"/>
            </w:pPr>
            <w:r>
              <w:t>444,818.01</w:t>
            </w:r>
          </w:p>
        </w:tc>
      </w:tr>
      <w:tr w:rsidR="00E57DAA" w14:paraId="27E10459"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58032D7F" w14:textId="77777777" w:rsidR="00E57DAA" w:rsidRDefault="00AC4185">
            <w:pPr>
              <w:ind w:firstLineChars="200" w:firstLine="420"/>
            </w:pPr>
            <w:r>
              <w:t>美洲</w:t>
            </w:r>
          </w:p>
        </w:tc>
        <w:tc>
          <w:tcPr>
            <w:tcW w:w="1449" w:type="pct"/>
            <w:tcBorders>
              <w:top w:val="single" w:sz="4" w:space="0" w:color="auto"/>
              <w:left w:val="single" w:sz="4" w:space="0" w:color="auto"/>
              <w:bottom w:val="single" w:sz="4" w:space="0" w:color="auto"/>
              <w:right w:val="single" w:sz="4" w:space="0" w:color="auto"/>
            </w:tcBorders>
            <w:vAlign w:val="center"/>
          </w:tcPr>
          <w:p w14:paraId="0CF5477E" w14:textId="77777777" w:rsidR="00E57DAA" w:rsidRDefault="00AC4185">
            <w:pPr>
              <w:jc w:val="right"/>
            </w:pPr>
            <w:r>
              <w:t>12</w:t>
            </w:r>
          </w:p>
        </w:tc>
        <w:tc>
          <w:tcPr>
            <w:tcW w:w="1269" w:type="pct"/>
            <w:tcBorders>
              <w:top w:val="single" w:sz="4" w:space="0" w:color="auto"/>
              <w:left w:val="single" w:sz="4" w:space="0" w:color="auto"/>
              <w:bottom w:val="single" w:sz="4" w:space="0" w:color="auto"/>
              <w:right w:val="single" w:sz="4" w:space="0" w:color="auto"/>
            </w:tcBorders>
            <w:vAlign w:val="center"/>
          </w:tcPr>
          <w:p w14:paraId="38C464E5" w14:textId="77777777" w:rsidR="00E57DAA" w:rsidRDefault="00AC4185">
            <w:pPr>
              <w:jc w:val="right"/>
            </w:pPr>
            <w:r>
              <w:t>201,859.74</w:t>
            </w:r>
          </w:p>
        </w:tc>
        <w:tc>
          <w:tcPr>
            <w:tcW w:w="936" w:type="pct"/>
            <w:tcBorders>
              <w:top w:val="single" w:sz="4" w:space="0" w:color="auto"/>
              <w:left w:val="single" w:sz="4" w:space="0" w:color="auto"/>
              <w:bottom w:val="single" w:sz="4" w:space="0" w:color="auto"/>
              <w:right w:val="single" w:sz="4" w:space="0" w:color="auto"/>
            </w:tcBorders>
            <w:vAlign w:val="center"/>
          </w:tcPr>
          <w:p w14:paraId="615F80E7" w14:textId="77777777" w:rsidR="00E57DAA" w:rsidRDefault="00AC4185">
            <w:pPr>
              <w:jc w:val="right"/>
            </w:pPr>
            <w:r>
              <w:t>124,329.08</w:t>
            </w:r>
          </w:p>
        </w:tc>
      </w:tr>
      <w:tr w:rsidR="00E57DAA" w14:paraId="17D21DC8" w14:textId="77777777">
        <w:trPr>
          <w:jc w:val="center"/>
        </w:trPr>
        <w:tc>
          <w:tcPr>
            <w:tcW w:w="1346" w:type="pct"/>
            <w:tcBorders>
              <w:top w:val="single" w:sz="4" w:space="0" w:color="auto"/>
              <w:left w:val="single" w:sz="4" w:space="0" w:color="auto"/>
              <w:bottom w:val="single" w:sz="4" w:space="0" w:color="auto"/>
              <w:right w:val="single" w:sz="4" w:space="0" w:color="auto"/>
            </w:tcBorders>
          </w:tcPr>
          <w:p w14:paraId="7E70896B" w14:textId="77777777" w:rsidR="00E57DAA" w:rsidRDefault="00AC4185" w:rsidP="00C25422">
            <w:pPr>
              <w:pStyle w:val="92"/>
            </w:pPr>
            <w:r>
              <w:rPr>
                <w:rFonts w:hint="eastAsia"/>
              </w:rPr>
              <w:t>总计</w:t>
            </w:r>
          </w:p>
        </w:tc>
        <w:tc>
          <w:tcPr>
            <w:tcW w:w="1449" w:type="pct"/>
            <w:tcBorders>
              <w:top w:val="single" w:sz="4" w:space="0" w:color="auto"/>
              <w:left w:val="single" w:sz="4" w:space="0" w:color="auto"/>
              <w:bottom w:val="single" w:sz="4" w:space="0" w:color="auto"/>
              <w:right w:val="single" w:sz="4" w:space="0" w:color="auto"/>
            </w:tcBorders>
            <w:vAlign w:val="center"/>
          </w:tcPr>
          <w:p w14:paraId="3E54CBD3" w14:textId="77777777" w:rsidR="00E57DAA" w:rsidRDefault="00AC4185">
            <w:pPr>
              <w:jc w:val="right"/>
            </w:pPr>
            <w:r>
              <w:t>494</w:t>
            </w:r>
          </w:p>
        </w:tc>
        <w:tc>
          <w:tcPr>
            <w:tcW w:w="1269" w:type="pct"/>
            <w:tcBorders>
              <w:top w:val="single" w:sz="4" w:space="0" w:color="auto"/>
              <w:left w:val="single" w:sz="4" w:space="0" w:color="auto"/>
              <w:bottom w:val="single" w:sz="4" w:space="0" w:color="auto"/>
              <w:right w:val="single" w:sz="4" w:space="0" w:color="auto"/>
            </w:tcBorders>
            <w:vAlign w:val="center"/>
          </w:tcPr>
          <w:p w14:paraId="561C4487" w14:textId="77777777" w:rsidR="00E57DAA" w:rsidRDefault="00AC4185">
            <w:pPr>
              <w:jc w:val="right"/>
            </w:pPr>
            <w:r>
              <w:t>11,117,697.68</w:t>
            </w:r>
          </w:p>
        </w:tc>
        <w:tc>
          <w:tcPr>
            <w:tcW w:w="936" w:type="pct"/>
            <w:tcBorders>
              <w:top w:val="single" w:sz="4" w:space="0" w:color="auto"/>
              <w:left w:val="single" w:sz="4" w:space="0" w:color="auto"/>
              <w:bottom w:val="single" w:sz="4" w:space="0" w:color="auto"/>
              <w:right w:val="single" w:sz="4" w:space="0" w:color="auto"/>
            </w:tcBorders>
            <w:vAlign w:val="center"/>
          </w:tcPr>
          <w:p w14:paraId="157DD7F2" w14:textId="77777777" w:rsidR="00E57DAA" w:rsidRDefault="00AC4185">
            <w:pPr>
              <w:jc w:val="right"/>
            </w:pPr>
            <w:r>
              <w:t>4,930,744.82</w:t>
            </w:r>
          </w:p>
        </w:tc>
      </w:tr>
    </w:tbl>
    <w:p w14:paraId="72CD4457" w14:textId="77777777" w:rsidR="00E57DAA" w:rsidRDefault="00E57DAA" w:rsidP="00C25422">
      <w:pPr>
        <w:pStyle w:val="92"/>
      </w:pPr>
    </w:p>
    <w:p w14:paraId="47C3B0C5" w14:textId="77777777" w:rsidR="00E57DAA" w:rsidRDefault="00AC4185" w:rsidP="00C25422">
      <w:pPr>
        <w:pStyle w:val="92"/>
      </w:pPr>
      <w:r>
        <w:rPr>
          <w:rFonts w:hint="eastAsia"/>
        </w:rPr>
        <w:t>其他说明</w:t>
      </w:r>
    </w:p>
    <w:sdt>
      <w:sdtPr>
        <w:alias w:val="是否适用：报告期内在建项目其他情况说明[双击切换]"/>
        <w:tag w:val="_GBC_0932cbeb752c475aa47c9f28498fa090"/>
        <w:id w:val="1373954581"/>
        <w:placeholder>
          <w:docPart w:val="GBC22222222222222222222222222222"/>
        </w:placeholder>
      </w:sdtPr>
      <w:sdtEndPr/>
      <w:sdtContent>
        <w:p w14:paraId="3961567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 w:val="20"/>
          <w:szCs w:val="24"/>
        </w:rPr>
        <w:alias w:val="报告期内在建项目其他情况说明"/>
        <w:tag w:val="_GBC_2741dd7ffa7f49c884c2d33c0c062230"/>
        <w:id w:val="-1622060045"/>
        <w:placeholder>
          <w:docPart w:val="GBC22222222222222222222222222222"/>
        </w:placeholder>
      </w:sdtPr>
      <w:sdtEndPr/>
      <w:sdtContent>
        <w:p w14:paraId="663E4E4B" w14:textId="77777777" w:rsidR="00E57DAA" w:rsidRDefault="00AC4185">
          <w:pPr>
            <w:pStyle w:val="affc"/>
            <w:numPr>
              <w:ilvl w:val="0"/>
              <w:numId w:val="16"/>
            </w:numPr>
            <w:ind w:firstLineChars="0"/>
            <w:rPr>
              <w:color w:val="000000" w:themeColor="text1"/>
              <w:szCs w:val="21"/>
            </w:rPr>
          </w:pPr>
          <w:r>
            <w:rPr>
              <w:rFonts w:hint="eastAsia"/>
              <w:color w:val="000000" w:themeColor="text1"/>
              <w:szCs w:val="21"/>
            </w:rPr>
            <w:t>在建项目：在执行项目（不含</w:t>
          </w:r>
          <w:r>
            <w:rPr>
              <w:color w:val="000000" w:themeColor="text1"/>
              <w:szCs w:val="21"/>
            </w:rPr>
            <w:t>停缓建、竣工</w:t>
          </w:r>
          <w:r>
            <w:rPr>
              <w:rFonts w:hint="eastAsia"/>
              <w:color w:val="000000" w:themeColor="text1"/>
              <w:szCs w:val="21"/>
            </w:rPr>
            <w:t>项目）。</w:t>
          </w:r>
        </w:p>
        <w:p w14:paraId="7F4E8F40" w14:textId="77777777" w:rsidR="00E57DAA" w:rsidRDefault="00AC4185">
          <w:pPr>
            <w:pStyle w:val="affc"/>
            <w:numPr>
              <w:ilvl w:val="0"/>
              <w:numId w:val="16"/>
            </w:numPr>
            <w:ind w:firstLineChars="0"/>
            <w:rPr>
              <w:color w:val="000000" w:themeColor="text1"/>
              <w:szCs w:val="21"/>
            </w:rPr>
          </w:pPr>
          <w:r>
            <w:rPr>
              <w:rFonts w:hint="eastAsia"/>
              <w:color w:val="000000" w:themeColor="text1"/>
              <w:szCs w:val="21"/>
            </w:rPr>
            <w:t>专业工程：指与水泥有关的工程</w:t>
          </w:r>
          <w:r>
            <w:rPr>
              <w:rFonts w:ascii="宋体" w:hAnsi="宋体" w:cs="宋体" w:hint="eastAsia"/>
              <w:kern w:val="0"/>
              <w:szCs w:val="24"/>
            </w:rPr>
            <w:t>EPC、EP、PC、C类</w:t>
          </w:r>
          <w:r>
            <w:rPr>
              <w:rFonts w:hint="eastAsia"/>
              <w:color w:val="000000" w:themeColor="text1"/>
              <w:szCs w:val="21"/>
            </w:rPr>
            <w:t>型项目。</w:t>
          </w:r>
        </w:p>
        <w:p w14:paraId="03DA7BB2" w14:textId="77777777" w:rsidR="00E57DAA" w:rsidRDefault="00AC4185">
          <w:pPr>
            <w:pStyle w:val="affc"/>
            <w:ind w:leftChars="200" w:left="420" w:firstLineChars="0" w:firstLine="0"/>
            <w:rPr>
              <w:color w:val="000000" w:themeColor="text1"/>
              <w:szCs w:val="21"/>
            </w:rPr>
          </w:pPr>
          <w:r>
            <w:rPr>
              <w:rFonts w:hint="eastAsia"/>
              <w:color w:val="000000" w:themeColor="text1"/>
              <w:szCs w:val="21"/>
            </w:rPr>
            <w:t>其他工程：水泥工程之外的多元化工程，如环保、电厂、油厂、工民建项目。</w:t>
          </w:r>
        </w:p>
        <w:p w14:paraId="6FC80F70" w14:textId="77777777" w:rsidR="00E57DAA" w:rsidRDefault="00AC4185">
          <w:pPr>
            <w:pStyle w:val="affc"/>
            <w:numPr>
              <w:ilvl w:val="0"/>
              <w:numId w:val="16"/>
            </w:numPr>
            <w:ind w:firstLineChars="0"/>
            <w:rPr>
              <w:bCs/>
              <w:color w:val="000000" w:themeColor="text1"/>
              <w:szCs w:val="21"/>
            </w:rPr>
          </w:pPr>
          <w:r>
            <w:rPr>
              <w:rFonts w:hint="eastAsia"/>
              <w:bCs/>
              <w:color w:val="000000" w:themeColor="text1"/>
              <w:szCs w:val="21"/>
            </w:rPr>
            <w:t>项目</w:t>
          </w:r>
          <w:r>
            <w:rPr>
              <w:bCs/>
              <w:color w:val="000000" w:themeColor="text1"/>
              <w:szCs w:val="21"/>
            </w:rPr>
            <w:t>数量：</w:t>
          </w:r>
          <w:r>
            <w:rPr>
              <w:rFonts w:hint="eastAsia"/>
              <w:bCs/>
              <w:color w:val="000000" w:themeColor="text1"/>
              <w:szCs w:val="21"/>
            </w:rPr>
            <w:t>指上述</w:t>
          </w:r>
          <w:r>
            <w:rPr>
              <w:bCs/>
              <w:color w:val="000000" w:themeColor="text1"/>
              <w:szCs w:val="21"/>
            </w:rPr>
            <w:t>项目</w:t>
          </w:r>
          <w:r>
            <w:rPr>
              <w:rFonts w:hint="eastAsia"/>
              <w:bCs/>
              <w:color w:val="000000" w:themeColor="text1"/>
              <w:szCs w:val="21"/>
            </w:rPr>
            <w:t>的合同</w:t>
          </w:r>
          <w:r>
            <w:rPr>
              <w:bCs/>
              <w:color w:val="000000" w:themeColor="text1"/>
              <w:szCs w:val="21"/>
            </w:rPr>
            <w:t>数量</w:t>
          </w:r>
          <w:r>
            <w:rPr>
              <w:rFonts w:hint="eastAsia"/>
              <w:bCs/>
              <w:color w:val="000000" w:themeColor="text1"/>
              <w:szCs w:val="21"/>
            </w:rPr>
            <w:t>。</w:t>
          </w:r>
        </w:p>
        <w:p w14:paraId="6905293B" w14:textId="77777777" w:rsidR="00E57DAA" w:rsidRDefault="00AC4185">
          <w:pPr>
            <w:pStyle w:val="affc"/>
            <w:numPr>
              <w:ilvl w:val="0"/>
              <w:numId w:val="16"/>
            </w:numPr>
            <w:ind w:firstLineChars="0"/>
            <w:rPr>
              <w:bCs/>
              <w:color w:val="000000" w:themeColor="text1"/>
              <w:szCs w:val="21"/>
            </w:rPr>
          </w:pPr>
          <w:r>
            <w:rPr>
              <w:rFonts w:hint="eastAsia"/>
              <w:bCs/>
              <w:color w:val="000000" w:themeColor="text1"/>
              <w:szCs w:val="21"/>
            </w:rPr>
            <w:t>合同</w:t>
          </w:r>
          <w:r>
            <w:rPr>
              <w:bCs/>
              <w:color w:val="000000" w:themeColor="text1"/>
              <w:szCs w:val="21"/>
            </w:rPr>
            <w:t>额</w:t>
          </w:r>
          <w:r>
            <w:rPr>
              <w:rFonts w:hint="eastAsia"/>
              <w:bCs/>
              <w:color w:val="000000" w:themeColor="text1"/>
              <w:szCs w:val="21"/>
            </w:rPr>
            <w:t>：指上述</w:t>
          </w:r>
          <w:r>
            <w:rPr>
              <w:bCs/>
              <w:color w:val="000000" w:themeColor="text1"/>
              <w:szCs w:val="21"/>
            </w:rPr>
            <w:t>项目</w:t>
          </w:r>
          <w:r>
            <w:rPr>
              <w:rFonts w:hint="eastAsia"/>
              <w:bCs/>
              <w:color w:val="000000" w:themeColor="text1"/>
              <w:szCs w:val="21"/>
            </w:rPr>
            <w:t>的合同总金额。</w:t>
          </w:r>
        </w:p>
        <w:p w14:paraId="060BABDB" w14:textId="77777777" w:rsidR="00E57DAA" w:rsidRDefault="00AC4185">
          <w:pPr>
            <w:pStyle w:val="affc"/>
            <w:numPr>
              <w:ilvl w:val="0"/>
              <w:numId w:val="16"/>
            </w:numPr>
            <w:ind w:firstLineChars="0"/>
            <w:rPr>
              <w:bCs/>
              <w:color w:val="000000" w:themeColor="text1"/>
              <w:szCs w:val="21"/>
            </w:rPr>
          </w:pPr>
          <w:r>
            <w:rPr>
              <w:rFonts w:hint="eastAsia"/>
              <w:bCs/>
              <w:color w:val="000000" w:themeColor="text1"/>
              <w:szCs w:val="21"/>
            </w:rPr>
            <w:t>结转额</w:t>
          </w:r>
          <w:r>
            <w:rPr>
              <w:bCs/>
              <w:color w:val="000000" w:themeColor="text1"/>
              <w:szCs w:val="21"/>
            </w:rPr>
            <w:t>：指上述项目的未结算合同额。</w:t>
          </w:r>
        </w:p>
        <w:p w14:paraId="08CCA7DC" w14:textId="77777777" w:rsidR="00E57DAA" w:rsidRDefault="00EB41A1" w:rsidP="00C25422">
          <w:pPr>
            <w:pStyle w:val="92"/>
          </w:pPr>
        </w:p>
      </w:sdtContent>
    </w:sdt>
    <w:p w14:paraId="2E505859" w14:textId="77777777" w:rsidR="00E57DAA" w:rsidRDefault="00AC4185">
      <w:pPr>
        <w:pStyle w:val="5"/>
        <w:numPr>
          <w:ilvl w:val="0"/>
          <w:numId w:val="15"/>
        </w:numPr>
        <w:ind w:left="530"/>
        <w:rPr>
          <w:bCs w:val="0"/>
          <w:szCs w:val="21"/>
        </w:rPr>
      </w:pPr>
      <w:r>
        <w:rPr>
          <w:rFonts w:hint="eastAsia"/>
          <w:bCs w:val="0"/>
          <w:szCs w:val="21"/>
        </w:rPr>
        <w:t>在建重大项目情况</w:t>
      </w:r>
    </w:p>
    <w:sdt>
      <w:sdtPr>
        <w:rPr>
          <w:rFonts w:hint="eastAsia"/>
        </w:rPr>
        <w:alias w:val="是否适用：在建重大项目情况[双击切换]"/>
        <w:tag w:val="_GBC_6c75cd0c915d4e669632ad5b67820239"/>
        <w:id w:val="-604961697"/>
        <w:placeholder>
          <w:docPart w:val="E59E4709D288484190FECD28AE2587F4"/>
        </w:placeholder>
      </w:sdtPr>
      <w:sdtEndPr>
        <w:rPr>
          <w:rFonts w:hint="default"/>
        </w:rPr>
      </w:sdtEndPr>
      <w:sdtContent>
        <w:p w14:paraId="5B5A155D" w14:textId="77777777" w:rsidR="00E57DAA" w:rsidRDefault="00AC41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F2721E" w14:textId="77777777" w:rsidR="00E57DAA" w:rsidRDefault="00AC4185">
      <w:pPr>
        <w:jc w:val="right"/>
      </w:pPr>
      <w:r>
        <w:rPr>
          <w:rFonts w:hint="eastAsia"/>
        </w:rPr>
        <w:t>单位：</w:t>
      </w:r>
      <w:sdt>
        <w:sdtPr>
          <w:rPr>
            <w:rFonts w:hint="eastAsia"/>
          </w:rPr>
          <w:alias w:val="单位：在建重大项目情况"/>
          <w:tag w:val="_GBC_472adfb6f6f948ec934a504f6118aaf4"/>
          <w:id w:val="-220443366"/>
          <w:placeholder>
            <w:docPart w:val="E59E4709D288484190FECD28AE2587F4"/>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万元</w:t>
          </w:r>
        </w:sdtContent>
      </w:sdt>
      <w:r>
        <w:rPr>
          <w:rFonts w:hint="eastAsia"/>
        </w:rPr>
        <w:t xml:space="preserve">  币种：</w:t>
      </w:r>
      <w:sdt>
        <w:sdtPr>
          <w:rPr>
            <w:rFonts w:hint="eastAsia"/>
          </w:rPr>
          <w:alias w:val="币种：在建重大项目情况"/>
          <w:tag w:val="_GBC_fccb91c8b7b34bdcb10fe60ec90a8afa"/>
          <w:id w:val="565076666"/>
          <w:placeholder>
            <w:docPart w:val="E59E4709D288484190FECD28AE2587F4"/>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3"/>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582"/>
        <w:gridCol w:w="981"/>
        <w:gridCol w:w="925"/>
        <w:gridCol w:w="829"/>
        <w:gridCol w:w="856"/>
        <w:gridCol w:w="941"/>
        <w:gridCol w:w="942"/>
        <w:gridCol w:w="709"/>
        <w:gridCol w:w="706"/>
      </w:tblGrid>
      <w:tr w:rsidR="00E57DAA" w14:paraId="183A55F4" w14:textId="77777777">
        <w:trPr>
          <w:jc w:val="center"/>
        </w:trPr>
        <w:sdt>
          <w:sdtPr>
            <w:tag w:val="_PLD_ccc6300f185140babaa50b1f3da369c5"/>
            <w:id w:val="-606963010"/>
          </w:sdtPr>
          <w:sdtEndPr/>
          <w:sdtContent>
            <w:tc>
              <w:tcPr>
                <w:tcW w:w="766" w:type="pct"/>
                <w:tcBorders>
                  <w:top w:val="single" w:sz="4" w:space="0" w:color="auto"/>
                </w:tcBorders>
                <w:vAlign w:val="center"/>
              </w:tcPr>
              <w:p w14:paraId="5510C0DD" w14:textId="77777777" w:rsidR="00E57DAA" w:rsidRDefault="00AC4185">
                <w:pPr>
                  <w:jc w:val="center"/>
                </w:pPr>
                <w:r>
                  <w:rPr>
                    <w:rFonts w:hint="eastAsia"/>
                  </w:rPr>
                  <w:t>项目名称</w:t>
                </w:r>
              </w:p>
            </w:tc>
          </w:sdtContent>
        </w:sdt>
        <w:sdt>
          <w:sdtPr>
            <w:tag w:val="_PLD_4cce2d3adde24187bb73bcc29db35307"/>
            <w:id w:val="512112467"/>
          </w:sdtPr>
          <w:sdtEndPr/>
          <w:sdtContent>
            <w:tc>
              <w:tcPr>
                <w:tcW w:w="330" w:type="pct"/>
                <w:tcBorders>
                  <w:top w:val="single" w:sz="4" w:space="0" w:color="auto"/>
                </w:tcBorders>
                <w:vAlign w:val="center"/>
              </w:tcPr>
              <w:p w14:paraId="7EC3C190" w14:textId="77777777" w:rsidR="00E57DAA" w:rsidRDefault="00AC4185">
                <w:pPr>
                  <w:jc w:val="center"/>
                </w:pPr>
                <w:r>
                  <w:rPr>
                    <w:rFonts w:hint="eastAsia"/>
                  </w:rPr>
                  <w:t>业务</w:t>
                </w:r>
              </w:p>
              <w:p w14:paraId="36E5A501" w14:textId="77777777" w:rsidR="00E57DAA" w:rsidRDefault="00AC4185">
                <w:pPr>
                  <w:jc w:val="center"/>
                </w:pPr>
                <w:r>
                  <w:rPr>
                    <w:rFonts w:hint="eastAsia"/>
                  </w:rPr>
                  <w:t>模式</w:t>
                </w:r>
              </w:p>
            </w:tc>
          </w:sdtContent>
        </w:sdt>
        <w:sdt>
          <w:sdtPr>
            <w:tag w:val="_PLD_f5848e86a06349f8bd023def51fbe0ec"/>
            <w:id w:val="-887794113"/>
          </w:sdtPr>
          <w:sdtEndPr/>
          <w:sdtContent>
            <w:tc>
              <w:tcPr>
                <w:tcW w:w="556" w:type="pct"/>
                <w:tcBorders>
                  <w:top w:val="single" w:sz="4" w:space="0" w:color="auto"/>
                </w:tcBorders>
                <w:vAlign w:val="center"/>
              </w:tcPr>
              <w:p w14:paraId="22F7DC39" w14:textId="77777777" w:rsidR="00E57DAA" w:rsidRDefault="00AC4185">
                <w:pPr>
                  <w:jc w:val="center"/>
                </w:pPr>
                <w:r>
                  <w:rPr>
                    <w:rFonts w:hint="eastAsia"/>
                  </w:rPr>
                  <w:t>项目</w:t>
                </w:r>
              </w:p>
              <w:p w14:paraId="19C84DC7" w14:textId="77777777" w:rsidR="00E57DAA" w:rsidRDefault="00AC4185">
                <w:pPr>
                  <w:jc w:val="center"/>
                </w:pPr>
                <w:r>
                  <w:rPr>
                    <w:rFonts w:hint="eastAsia"/>
                  </w:rPr>
                  <w:t>金额</w:t>
                </w:r>
              </w:p>
            </w:tc>
          </w:sdtContent>
        </w:sdt>
        <w:sdt>
          <w:sdtPr>
            <w:tag w:val="_PLD_5505ff29e26d4dc3a8b3501005e1c871"/>
            <w:id w:val="248400579"/>
          </w:sdtPr>
          <w:sdtEndPr/>
          <w:sdtContent>
            <w:tc>
              <w:tcPr>
                <w:tcW w:w="524" w:type="pct"/>
                <w:tcBorders>
                  <w:top w:val="single" w:sz="4" w:space="0" w:color="auto"/>
                </w:tcBorders>
                <w:vAlign w:val="center"/>
              </w:tcPr>
              <w:p w14:paraId="345C8151" w14:textId="77777777" w:rsidR="00E57DAA" w:rsidRDefault="00AC4185">
                <w:pPr>
                  <w:jc w:val="center"/>
                </w:pPr>
                <w:r>
                  <w:rPr>
                    <w:rFonts w:hint="eastAsia"/>
                  </w:rPr>
                  <w:t>工期</w:t>
                </w:r>
              </w:p>
            </w:tc>
          </w:sdtContent>
        </w:sdt>
        <w:sdt>
          <w:sdtPr>
            <w:tag w:val="_PLD_a7fd37eef4cc418f9d3411b381661f67"/>
            <w:id w:val="2010557135"/>
          </w:sdtPr>
          <w:sdtEndPr/>
          <w:sdtContent>
            <w:tc>
              <w:tcPr>
                <w:tcW w:w="470" w:type="pct"/>
                <w:tcBorders>
                  <w:top w:val="single" w:sz="4" w:space="0" w:color="auto"/>
                </w:tcBorders>
                <w:vAlign w:val="center"/>
              </w:tcPr>
              <w:p w14:paraId="5BD9D8D7" w14:textId="77777777" w:rsidR="00E57DAA" w:rsidRDefault="00AC4185">
                <w:pPr>
                  <w:jc w:val="center"/>
                </w:pPr>
                <w:r>
                  <w:rPr>
                    <w:rFonts w:hint="eastAsia"/>
                  </w:rPr>
                  <w:t>完工百分比</w:t>
                </w:r>
              </w:p>
            </w:tc>
          </w:sdtContent>
        </w:sdt>
        <w:sdt>
          <w:sdtPr>
            <w:tag w:val="_PLD_eca29e12aea5426bb1548a68def803f3"/>
            <w:id w:val="722024536"/>
          </w:sdtPr>
          <w:sdtEndPr/>
          <w:sdtContent>
            <w:tc>
              <w:tcPr>
                <w:tcW w:w="485" w:type="pct"/>
                <w:tcBorders>
                  <w:top w:val="single" w:sz="4" w:space="0" w:color="auto"/>
                </w:tcBorders>
                <w:vAlign w:val="center"/>
              </w:tcPr>
              <w:p w14:paraId="4F6096D5" w14:textId="77777777" w:rsidR="00E57DAA" w:rsidRDefault="00AC4185">
                <w:pPr>
                  <w:jc w:val="center"/>
                </w:pPr>
                <w:r>
                  <w:rPr>
                    <w:rFonts w:hint="eastAsia"/>
                  </w:rPr>
                  <w:t>本期确认收入</w:t>
                </w:r>
              </w:p>
            </w:tc>
          </w:sdtContent>
        </w:sdt>
        <w:sdt>
          <w:sdtPr>
            <w:tag w:val="_PLD_ba8b4d1f3d5f4b66baa0cbc17a8343a2"/>
            <w:id w:val="-575972317"/>
          </w:sdtPr>
          <w:sdtEndPr/>
          <w:sdtContent>
            <w:tc>
              <w:tcPr>
                <w:tcW w:w="533" w:type="pct"/>
                <w:tcBorders>
                  <w:top w:val="single" w:sz="4" w:space="0" w:color="auto"/>
                </w:tcBorders>
                <w:vAlign w:val="center"/>
              </w:tcPr>
              <w:p w14:paraId="47874457" w14:textId="77777777" w:rsidR="00E57DAA" w:rsidRDefault="00AC4185">
                <w:pPr>
                  <w:jc w:val="center"/>
                </w:pPr>
                <w:r>
                  <w:rPr>
                    <w:rFonts w:hint="eastAsia"/>
                  </w:rPr>
                  <w:t>累计确认收入</w:t>
                </w:r>
              </w:p>
            </w:tc>
          </w:sdtContent>
        </w:sdt>
        <w:sdt>
          <w:sdtPr>
            <w:tag w:val="_PLD_d0592560f4a1437c8edc0bc733c196af"/>
            <w:id w:val="-259922659"/>
          </w:sdtPr>
          <w:sdtEndPr/>
          <w:sdtContent>
            <w:tc>
              <w:tcPr>
                <w:tcW w:w="534" w:type="pct"/>
                <w:tcBorders>
                  <w:top w:val="single" w:sz="4" w:space="0" w:color="auto"/>
                </w:tcBorders>
                <w:vAlign w:val="center"/>
              </w:tcPr>
              <w:p w14:paraId="2B55AB14" w14:textId="77777777" w:rsidR="00E57DAA" w:rsidRDefault="00AC4185">
                <w:pPr>
                  <w:jc w:val="center"/>
                </w:pPr>
                <w:r>
                  <w:t>截至期末累计回款金额</w:t>
                </w:r>
              </w:p>
            </w:tc>
          </w:sdtContent>
        </w:sdt>
        <w:sdt>
          <w:sdtPr>
            <w:tag w:val="_PLD_2d38ff25bca04824abdea64c4cc38609"/>
            <w:id w:val="34870695"/>
          </w:sdtPr>
          <w:sdtEndPr/>
          <w:sdtContent>
            <w:tc>
              <w:tcPr>
                <w:tcW w:w="402" w:type="pct"/>
                <w:tcBorders>
                  <w:top w:val="single" w:sz="4" w:space="0" w:color="auto"/>
                </w:tcBorders>
                <w:vAlign w:val="center"/>
              </w:tcPr>
              <w:p w14:paraId="1090E035" w14:textId="77777777" w:rsidR="00E57DAA" w:rsidRDefault="00AC4185">
                <w:pPr>
                  <w:jc w:val="center"/>
                </w:pPr>
                <w:r>
                  <w:t>项目进度是否符合预期</w:t>
                </w:r>
              </w:p>
            </w:tc>
          </w:sdtContent>
        </w:sdt>
        <w:sdt>
          <w:sdtPr>
            <w:tag w:val="_PLD_03240d0395e6499fa48d5b80bb1d05fc"/>
            <w:id w:val="101084705"/>
          </w:sdtPr>
          <w:sdtEndPr/>
          <w:sdtContent>
            <w:tc>
              <w:tcPr>
                <w:tcW w:w="401" w:type="pct"/>
                <w:tcBorders>
                  <w:top w:val="single" w:sz="4" w:space="0" w:color="auto"/>
                </w:tcBorders>
                <w:vAlign w:val="center"/>
              </w:tcPr>
              <w:p w14:paraId="20F5FEBD" w14:textId="77777777" w:rsidR="00E57DAA" w:rsidRDefault="00AC4185">
                <w:pPr>
                  <w:jc w:val="center"/>
                </w:pPr>
                <w:r>
                  <w:t>付款进度是否符合预期</w:t>
                </w:r>
              </w:p>
            </w:tc>
          </w:sdtContent>
        </w:sdt>
      </w:tr>
      <w:tr w:rsidR="00E57DAA" w14:paraId="0CAD1A49" w14:textId="77777777">
        <w:trPr>
          <w:jc w:val="center"/>
        </w:trPr>
        <w:tc>
          <w:tcPr>
            <w:tcW w:w="766" w:type="pct"/>
          </w:tcPr>
          <w:p w14:paraId="11003B73" w14:textId="77777777" w:rsidR="00E57DAA" w:rsidRDefault="00AC4185">
            <w:pPr>
              <w:jc w:val="both"/>
            </w:pPr>
            <w:r>
              <w:t>河北清峰绿能固废处置有限公司钢渣、尾矿、煤矸石制备环保生态墙地砖项目（一期）工程建设项目</w:t>
            </w:r>
          </w:p>
        </w:tc>
        <w:tc>
          <w:tcPr>
            <w:tcW w:w="330" w:type="pct"/>
            <w:vAlign w:val="center"/>
          </w:tcPr>
          <w:p w14:paraId="50F55B08" w14:textId="77777777" w:rsidR="00E57DAA" w:rsidRDefault="00AC4185">
            <w:pPr>
              <w:jc w:val="center"/>
            </w:pPr>
            <w:r>
              <w:t>EPC</w:t>
            </w:r>
          </w:p>
        </w:tc>
        <w:tc>
          <w:tcPr>
            <w:tcW w:w="556" w:type="pct"/>
            <w:vAlign w:val="center"/>
          </w:tcPr>
          <w:p w14:paraId="6FB21AD8" w14:textId="77777777" w:rsidR="00E57DAA" w:rsidRDefault="00AC4185">
            <w:pPr>
              <w:jc w:val="center"/>
            </w:pPr>
            <w:r>
              <w:t>537,600</w:t>
            </w:r>
          </w:p>
        </w:tc>
        <w:tc>
          <w:tcPr>
            <w:tcW w:w="524" w:type="pct"/>
            <w:vAlign w:val="center"/>
          </w:tcPr>
          <w:p w14:paraId="1EBCC19D" w14:textId="77777777" w:rsidR="00E57DAA" w:rsidRDefault="00AC4185">
            <w:pPr>
              <w:jc w:val="center"/>
            </w:pPr>
            <w:r>
              <w:t>18个月</w:t>
            </w:r>
          </w:p>
        </w:tc>
        <w:tc>
          <w:tcPr>
            <w:tcW w:w="470" w:type="pct"/>
            <w:vAlign w:val="center"/>
          </w:tcPr>
          <w:p w14:paraId="4A5C624D" w14:textId="77777777" w:rsidR="00E57DAA" w:rsidRDefault="00AC4185">
            <w:pPr>
              <w:jc w:val="center"/>
            </w:pPr>
            <w:r>
              <w:t>7.19%</w:t>
            </w:r>
          </w:p>
        </w:tc>
        <w:tc>
          <w:tcPr>
            <w:tcW w:w="485" w:type="pct"/>
            <w:vAlign w:val="center"/>
          </w:tcPr>
          <w:p w14:paraId="5533FBA3" w14:textId="77777777" w:rsidR="00E57DAA" w:rsidRDefault="00AC4185">
            <w:pPr>
              <w:jc w:val="center"/>
            </w:pPr>
            <w:r>
              <w:t>34,914</w:t>
            </w:r>
          </w:p>
        </w:tc>
        <w:tc>
          <w:tcPr>
            <w:tcW w:w="533" w:type="pct"/>
            <w:vAlign w:val="center"/>
          </w:tcPr>
          <w:p w14:paraId="464989FC" w14:textId="77777777" w:rsidR="00E57DAA" w:rsidRDefault="00AC4185">
            <w:pPr>
              <w:jc w:val="center"/>
            </w:pPr>
            <w:r>
              <w:t>34,914</w:t>
            </w:r>
          </w:p>
        </w:tc>
        <w:tc>
          <w:tcPr>
            <w:tcW w:w="534" w:type="pct"/>
            <w:vAlign w:val="center"/>
          </w:tcPr>
          <w:p w14:paraId="0E3F665C" w14:textId="77777777" w:rsidR="00E57DAA" w:rsidRDefault="00AC4185">
            <w:pPr>
              <w:jc w:val="right"/>
            </w:pPr>
            <w:r>
              <w:t>10,000</w:t>
            </w:r>
          </w:p>
        </w:tc>
        <w:tc>
          <w:tcPr>
            <w:tcW w:w="402" w:type="pct"/>
            <w:vAlign w:val="center"/>
          </w:tcPr>
          <w:p w14:paraId="31469AC9" w14:textId="77777777" w:rsidR="00E57DAA" w:rsidRDefault="00AC4185">
            <w:pPr>
              <w:jc w:val="right"/>
            </w:pPr>
            <w:r>
              <w:t>是</w:t>
            </w:r>
          </w:p>
        </w:tc>
        <w:tc>
          <w:tcPr>
            <w:tcW w:w="401" w:type="pct"/>
            <w:vAlign w:val="center"/>
          </w:tcPr>
          <w:p w14:paraId="7CACCFCE" w14:textId="77777777" w:rsidR="00E57DAA" w:rsidRDefault="00AC4185">
            <w:pPr>
              <w:jc w:val="right"/>
            </w:pPr>
            <w:r>
              <w:t>是</w:t>
            </w:r>
          </w:p>
        </w:tc>
      </w:tr>
    </w:tbl>
    <w:p w14:paraId="67D60D27" w14:textId="77777777" w:rsidR="00E57DAA" w:rsidRDefault="00E57DAA" w:rsidP="00C25422">
      <w:pPr>
        <w:pStyle w:val="92"/>
      </w:pPr>
    </w:p>
    <w:p w14:paraId="19C37892" w14:textId="77777777" w:rsidR="00E57DAA" w:rsidRDefault="00AC4185" w:rsidP="00C25422">
      <w:pPr>
        <w:pStyle w:val="92"/>
      </w:pPr>
      <w:r>
        <w:rPr>
          <w:rFonts w:hint="eastAsia"/>
        </w:rPr>
        <w:t>其他说明</w:t>
      </w:r>
    </w:p>
    <w:sdt>
      <w:sdtPr>
        <w:rPr>
          <w:rFonts w:hint="eastAsia"/>
        </w:rPr>
        <w:alias w:val="是否适用：在建重大项目其他情况说明[双击切换]"/>
        <w:tag w:val="_GBC_0a3dac46d5864f9ea62de347720595cd"/>
        <w:id w:val="872345635"/>
        <w:placeholder>
          <w:docPart w:val="GBC22222222222222222222222222222"/>
        </w:placeholder>
      </w:sdtPr>
      <w:sdtEndPr>
        <w:rPr>
          <w:rFonts w:hint="default"/>
        </w:rPr>
      </w:sdtEndPr>
      <w:sdtContent>
        <w:p w14:paraId="7AF545F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8AE9A8" w14:textId="77777777" w:rsidR="00E57DAA" w:rsidRDefault="00E57DAA" w:rsidP="00C25422">
      <w:pPr>
        <w:pStyle w:val="92"/>
      </w:pPr>
    </w:p>
    <w:p w14:paraId="2232977E" w14:textId="77777777" w:rsidR="00E57DAA" w:rsidRDefault="00AC4185">
      <w:pPr>
        <w:pStyle w:val="5"/>
        <w:numPr>
          <w:ilvl w:val="0"/>
          <w:numId w:val="15"/>
        </w:numPr>
        <w:ind w:left="530"/>
        <w:rPr>
          <w:rFonts w:ascii="宋体" w:hAnsi="宋体" w:cs="宋体"/>
          <w:kern w:val="0"/>
          <w:szCs w:val="21"/>
        </w:rPr>
      </w:pPr>
      <w:r>
        <w:rPr>
          <w:rFonts w:ascii="宋体" w:hAnsi="宋体" w:cs="宋体" w:hint="eastAsia"/>
          <w:kern w:val="0"/>
          <w:szCs w:val="21"/>
        </w:rPr>
        <w:t>报告期内累计新签项目</w:t>
      </w:r>
    </w:p>
    <w:sdt>
      <w:sdtPr>
        <w:rPr>
          <w:rFonts w:hint="eastAsia"/>
          <w:bCs/>
        </w:rPr>
        <w:alias w:val="是否适用：报告期内累计新签项目[双击切换]"/>
        <w:tag w:val="_GBC_2fe04ad0a9e0481eac85503f402f7c7b"/>
        <w:id w:val="-847401433"/>
        <w:placeholder>
          <w:docPart w:val="GBC22222222222222222222222222222"/>
        </w:placeholder>
      </w:sdtPr>
      <w:sdtEndPr/>
      <w:sdtContent>
        <w:p w14:paraId="09EA7EDD" w14:textId="77777777" w:rsidR="00E57DAA" w:rsidRDefault="00AC418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p w14:paraId="04119FB5" w14:textId="77777777" w:rsidR="00E57DAA" w:rsidRDefault="00EB41A1">
          <w:pPr>
            <w:rPr>
              <w:bCs/>
            </w:rPr>
          </w:pPr>
        </w:p>
      </w:sdtContent>
    </w:sdt>
    <w:p w14:paraId="332897CE" w14:textId="77777777" w:rsidR="00E57DAA" w:rsidRDefault="00AC4185">
      <w:pPr>
        <w:pStyle w:val="afff0"/>
        <w:rPr>
          <w:rFonts w:asciiTheme="minorEastAsia" w:eastAsiaTheme="minorEastAsia" w:hAnsiTheme="minorEastAsia"/>
        </w:rPr>
      </w:pPr>
      <w:r>
        <w:rPr>
          <w:rFonts w:asciiTheme="minorEastAsia" w:eastAsiaTheme="minorEastAsia" w:hAnsiTheme="minorEastAsia" w:hint="eastAsia"/>
        </w:rPr>
        <w:t>报告期内累计新签项目数量</w:t>
      </w:r>
      <w:sdt>
        <w:sdtPr>
          <w:rPr>
            <w:rFonts w:asciiTheme="minorEastAsia" w:eastAsiaTheme="minorEastAsia" w:hAnsiTheme="minorEastAsia" w:hint="eastAsia"/>
          </w:rPr>
          <w:alias w:val="报告期内累计新签项目数量"/>
          <w:tag w:val="_GBC_24cf4886fcfc4206b301c25200ba1cfa"/>
          <w:id w:val="2027353090"/>
          <w:placeholder>
            <w:docPart w:val="GBC22222222222222222222222222222"/>
          </w:placeholder>
        </w:sdtPr>
        <w:sdtEndPr/>
        <w:sdtContent>
          <w:r>
            <w:rPr>
              <w:rFonts w:asciiTheme="minorEastAsia" w:eastAsiaTheme="minorEastAsia" w:hAnsiTheme="minorEastAsia"/>
            </w:rPr>
            <w:t>255</w:t>
          </w:r>
        </w:sdtContent>
      </w:sdt>
      <w:r>
        <w:rPr>
          <w:rFonts w:asciiTheme="minorEastAsia" w:eastAsiaTheme="minorEastAsia" w:hAnsiTheme="minorEastAsia"/>
        </w:rPr>
        <w:t>（个），金额</w:t>
      </w:r>
      <w:sdt>
        <w:sdtPr>
          <w:rPr>
            <w:rFonts w:asciiTheme="minorEastAsia" w:eastAsiaTheme="minorEastAsia" w:hAnsiTheme="minorEastAsia"/>
          </w:rPr>
          <w:alias w:val="报告期内累计新签项目金额"/>
          <w:tag w:val="_GBC_404260b49306472b803660f6bc148b65"/>
          <w:id w:val="1841658102"/>
          <w:placeholder>
            <w:docPart w:val="GBC22222222222222222222222222222"/>
          </w:placeholder>
        </w:sdtPr>
        <w:sdtEndPr/>
        <w:sdtContent>
          <w:r>
            <w:rPr>
              <w:rFonts w:asciiTheme="minorEastAsia" w:eastAsiaTheme="minorEastAsia" w:hAnsiTheme="minorEastAsia"/>
              <w:szCs w:val="21"/>
            </w:rPr>
            <w:t>3,906,712.47</w:t>
          </w:r>
        </w:sdtContent>
      </w:sdt>
      <w:sdt>
        <w:sdtPr>
          <w:rPr>
            <w:rFonts w:asciiTheme="minorEastAsia" w:eastAsiaTheme="minorEastAsia" w:hAnsiTheme="minorEastAsia"/>
          </w:rPr>
          <w:alias w:val="单位：报告期内累计新签项目金额"/>
          <w:tag w:val="_GBC_c9ef8f40a2784a66bda275ea4737613a"/>
          <w:id w:val="-106942549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Theme="minorEastAsia" w:eastAsiaTheme="minorEastAsia" w:hAnsiTheme="minorEastAsia"/>
            </w:rPr>
            <w:t>万元</w:t>
          </w:r>
        </w:sdtContent>
      </w:sdt>
      <w:r>
        <w:rPr>
          <w:rFonts w:asciiTheme="minorEastAsia" w:eastAsiaTheme="minorEastAsia" w:hAnsiTheme="minorEastAsia"/>
        </w:rPr>
        <w:t>人民币</w:t>
      </w:r>
      <w:sdt>
        <w:sdtPr>
          <w:rPr>
            <w:rFonts w:asciiTheme="minorEastAsia" w:eastAsiaTheme="minorEastAsia" w:hAnsiTheme="minorEastAsia"/>
          </w:rPr>
          <w:tag w:val="_PLD_93ea3f0acdb6427fae421306644c0ba9"/>
          <w:id w:val="1931542437"/>
          <w:placeholder>
            <w:docPart w:val="GBC22222222222222222222222222222"/>
          </w:placeholder>
        </w:sdtPr>
        <w:sdtEndPr/>
        <w:sdtContent>
          <w:r>
            <w:rPr>
              <w:rFonts w:asciiTheme="minorEastAsia" w:eastAsiaTheme="minorEastAsia" w:hAnsiTheme="minorEastAsia"/>
            </w:rPr>
            <w:t>。</w:t>
          </w:r>
          <w:r>
            <w:rPr>
              <w:rFonts w:asciiTheme="minorEastAsia" w:eastAsiaTheme="minorEastAsia" w:hAnsiTheme="minorEastAsia" w:hint="eastAsia"/>
              <w:szCs w:val="21"/>
            </w:rPr>
            <w:t>其中，报告期内累计新签境外项目数量1</w:t>
          </w:r>
          <w:r>
            <w:rPr>
              <w:rFonts w:asciiTheme="minorEastAsia" w:eastAsiaTheme="minorEastAsia" w:hAnsiTheme="minorEastAsia"/>
              <w:szCs w:val="21"/>
            </w:rPr>
            <w:t>35</w:t>
          </w:r>
          <w:r>
            <w:rPr>
              <w:rFonts w:asciiTheme="minorEastAsia" w:eastAsiaTheme="minorEastAsia" w:hAnsiTheme="minorEastAsia" w:hint="eastAsia"/>
              <w:szCs w:val="21"/>
            </w:rPr>
            <w:t>个， 金额</w:t>
          </w:r>
          <w:r>
            <w:rPr>
              <w:rFonts w:asciiTheme="minorEastAsia" w:eastAsiaTheme="minorEastAsia" w:hAnsiTheme="minorEastAsia"/>
              <w:szCs w:val="21"/>
            </w:rPr>
            <w:t xml:space="preserve">2,748,111.92 </w:t>
          </w:r>
          <w:r>
            <w:rPr>
              <w:rFonts w:asciiTheme="minorEastAsia" w:eastAsiaTheme="minorEastAsia" w:hAnsiTheme="minorEastAsia" w:hint="eastAsia"/>
              <w:szCs w:val="21"/>
            </w:rPr>
            <w:t>万</w:t>
          </w:r>
          <w:r>
            <w:rPr>
              <w:rFonts w:asciiTheme="minorEastAsia" w:eastAsiaTheme="minorEastAsia" w:hAnsiTheme="minorEastAsia"/>
              <w:szCs w:val="21"/>
            </w:rPr>
            <w:t xml:space="preserve">元人民币。 </w:t>
          </w:r>
        </w:sdtContent>
      </w:sdt>
    </w:p>
    <w:p w14:paraId="37548464" w14:textId="77777777" w:rsidR="00E57DAA" w:rsidRDefault="00AC4185">
      <w:pPr>
        <w:jc w:val="right"/>
      </w:pPr>
      <w:r>
        <w:rPr>
          <w:rFonts w:hint="eastAsia"/>
        </w:rPr>
        <w:t>单位：万元  币种：人民币</w:t>
      </w:r>
    </w:p>
    <w:tbl>
      <w:tblPr>
        <w:tblStyle w:val="g1"/>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107"/>
        <w:gridCol w:w="2790"/>
      </w:tblGrid>
      <w:tr w:rsidR="00E57DAA" w14:paraId="0FBFDAAA" w14:textId="77777777">
        <w:trPr>
          <w:jc w:val="center"/>
        </w:trPr>
        <w:tc>
          <w:tcPr>
            <w:tcW w:w="1658" w:type="pct"/>
            <w:tcBorders>
              <w:top w:val="single" w:sz="4" w:space="0" w:color="auto"/>
            </w:tcBorders>
            <w:vAlign w:val="center"/>
          </w:tcPr>
          <w:p w14:paraId="4067BFE7" w14:textId="77777777" w:rsidR="00E57DAA" w:rsidRDefault="00AC4185">
            <w:pPr>
              <w:jc w:val="center"/>
            </w:pPr>
            <w:r>
              <w:rPr>
                <w:rFonts w:hint="eastAsia"/>
              </w:rPr>
              <w:t>项目地区</w:t>
            </w:r>
          </w:p>
        </w:tc>
        <w:tc>
          <w:tcPr>
            <w:tcW w:w="1761" w:type="pct"/>
            <w:tcBorders>
              <w:top w:val="single" w:sz="4" w:space="0" w:color="auto"/>
            </w:tcBorders>
            <w:vAlign w:val="center"/>
          </w:tcPr>
          <w:p w14:paraId="6739D702" w14:textId="77777777" w:rsidR="00E57DAA" w:rsidRDefault="00AC4185">
            <w:pPr>
              <w:jc w:val="center"/>
            </w:pPr>
            <w:r>
              <w:rPr>
                <w:rFonts w:hint="eastAsia"/>
              </w:rPr>
              <w:t>项目数量（个）</w:t>
            </w:r>
          </w:p>
        </w:tc>
        <w:tc>
          <w:tcPr>
            <w:tcW w:w="1581" w:type="pct"/>
            <w:tcBorders>
              <w:top w:val="single" w:sz="4" w:space="0" w:color="auto"/>
            </w:tcBorders>
            <w:vAlign w:val="center"/>
          </w:tcPr>
          <w:p w14:paraId="30FA5C9E" w14:textId="77777777" w:rsidR="00E57DAA" w:rsidRDefault="00AC4185">
            <w:pPr>
              <w:jc w:val="center"/>
            </w:pPr>
            <w:r>
              <w:rPr>
                <w:rFonts w:hint="eastAsia"/>
              </w:rPr>
              <w:t>总金额</w:t>
            </w:r>
          </w:p>
        </w:tc>
      </w:tr>
      <w:tr w:rsidR="00E57DAA" w14:paraId="76F37D77" w14:textId="77777777">
        <w:trPr>
          <w:jc w:val="center"/>
        </w:trPr>
        <w:tc>
          <w:tcPr>
            <w:tcW w:w="1658" w:type="pct"/>
          </w:tcPr>
          <w:p w14:paraId="4E346740" w14:textId="77777777" w:rsidR="00E57DAA" w:rsidRDefault="00AC4185" w:rsidP="00C25422">
            <w:pPr>
              <w:pStyle w:val="92"/>
            </w:pPr>
            <w:r>
              <w:t>东南亚</w:t>
            </w:r>
          </w:p>
        </w:tc>
        <w:tc>
          <w:tcPr>
            <w:tcW w:w="1761" w:type="pct"/>
          </w:tcPr>
          <w:p w14:paraId="4B69E4A1" w14:textId="77777777" w:rsidR="00E57DAA" w:rsidRDefault="00AC4185">
            <w:pPr>
              <w:jc w:val="right"/>
              <w:rPr>
                <w:rFonts w:ascii="Times New Roman" w:hAnsi="Times New Roman" w:cs="Times New Roman"/>
                <w:color w:val="FF0000"/>
                <w:sz w:val="20"/>
                <w:szCs w:val="20"/>
              </w:rPr>
            </w:pPr>
            <w:r>
              <w:t>29</w:t>
            </w:r>
          </w:p>
        </w:tc>
        <w:tc>
          <w:tcPr>
            <w:tcW w:w="1581" w:type="pct"/>
          </w:tcPr>
          <w:p w14:paraId="3874E149" w14:textId="77777777" w:rsidR="00E57DAA" w:rsidRDefault="00AC4185">
            <w:pPr>
              <w:jc w:val="right"/>
              <w:rPr>
                <w:rFonts w:ascii="Times New Roman" w:hAnsi="Times New Roman" w:cs="Times New Roman"/>
                <w:color w:val="FF0000"/>
                <w:sz w:val="20"/>
                <w:szCs w:val="20"/>
              </w:rPr>
            </w:pPr>
            <w:r>
              <w:t>183,981.81</w:t>
            </w:r>
          </w:p>
        </w:tc>
      </w:tr>
      <w:tr w:rsidR="00E57DAA" w14:paraId="63BC7BD3" w14:textId="77777777">
        <w:trPr>
          <w:jc w:val="center"/>
        </w:trPr>
        <w:tc>
          <w:tcPr>
            <w:tcW w:w="1658" w:type="pct"/>
          </w:tcPr>
          <w:p w14:paraId="76213729" w14:textId="77777777" w:rsidR="00E57DAA" w:rsidRDefault="00AC4185" w:rsidP="00C25422">
            <w:pPr>
              <w:pStyle w:val="92"/>
            </w:pPr>
            <w:r>
              <w:t>中东</w:t>
            </w:r>
          </w:p>
        </w:tc>
        <w:tc>
          <w:tcPr>
            <w:tcW w:w="1761" w:type="pct"/>
          </w:tcPr>
          <w:p w14:paraId="734E26B0" w14:textId="77777777" w:rsidR="00E57DAA" w:rsidRDefault="00AC4185">
            <w:pPr>
              <w:jc w:val="right"/>
              <w:rPr>
                <w:rFonts w:ascii="Times New Roman" w:hAnsi="Times New Roman" w:cs="Times New Roman"/>
                <w:color w:val="FF0000"/>
                <w:sz w:val="20"/>
                <w:szCs w:val="20"/>
              </w:rPr>
            </w:pPr>
            <w:r>
              <w:t>14</w:t>
            </w:r>
          </w:p>
        </w:tc>
        <w:tc>
          <w:tcPr>
            <w:tcW w:w="1581" w:type="pct"/>
          </w:tcPr>
          <w:p w14:paraId="182F2573" w14:textId="77777777" w:rsidR="00E57DAA" w:rsidRDefault="00AC4185">
            <w:pPr>
              <w:jc w:val="right"/>
              <w:rPr>
                <w:rFonts w:ascii="Times New Roman" w:hAnsi="Times New Roman" w:cs="Times New Roman"/>
                <w:color w:val="FF0000"/>
                <w:sz w:val="20"/>
                <w:szCs w:val="20"/>
              </w:rPr>
            </w:pPr>
            <w:r>
              <w:t>830,298.67</w:t>
            </w:r>
          </w:p>
        </w:tc>
      </w:tr>
      <w:tr w:rsidR="00E57DAA" w14:paraId="1FAEA28F" w14:textId="77777777">
        <w:trPr>
          <w:jc w:val="center"/>
        </w:trPr>
        <w:tc>
          <w:tcPr>
            <w:tcW w:w="1658" w:type="pct"/>
          </w:tcPr>
          <w:p w14:paraId="50E73FB1" w14:textId="77777777" w:rsidR="00E57DAA" w:rsidRDefault="00AC4185" w:rsidP="00C25422">
            <w:pPr>
              <w:pStyle w:val="92"/>
            </w:pPr>
            <w:r>
              <w:t>亚洲其它地区</w:t>
            </w:r>
          </w:p>
        </w:tc>
        <w:tc>
          <w:tcPr>
            <w:tcW w:w="1761" w:type="pct"/>
          </w:tcPr>
          <w:p w14:paraId="528354AC" w14:textId="77777777" w:rsidR="00E57DAA" w:rsidRDefault="00AC4185">
            <w:pPr>
              <w:jc w:val="right"/>
              <w:rPr>
                <w:rFonts w:ascii="Times New Roman" w:hAnsi="Times New Roman" w:cs="Times New Roman"/>
                <w:color w:val="FF0000"/>
                <w:sz w:val="20"/>
                <w:szCs w:val="20"/>
              </w:rPr>
            </w:pPr>
            <w:r>
              <w:t>35</w:t>
            </w:r>
          </w:p>
        </w:tc>
        <w:tc>
          <w:tcPr>
            <w:tcW w:w="1581" w:type="pct"/>
          </w:tcPr>
          <w:p w14:paraId="13542F7E" w14:textId="77777777" w:rsidR="00E57DAA" w:rsidRDefault="00AC4185">
            <w:pPr>
              <w:jc w:val="right"/>
              <w:rPr>
                <w:rFonts w:ascii="Times New Roman" w:hAnsi="Times New Roman" w:cs="Times New Roman"/>
                <w:color w:val="FF0000"/>
                <w:sz w:val="20"/>
                <w:szCs w:val="20"/>
              </w:rPr>
            </w:pPr>
            <w:r>
              <w:t>411,160.01</w:t>
            </w:r>
          </w:p>
        </w:tc>
      </w:tr>
      <w:tr w:rsidR="00E57DAA" w14:paraId="73DD7AE7" w14:textId="77777777">
        <w:trPr>
          <w:jc w:val="center"/>
        </w:trPr>
        <w:tc>
          <w:tcPr>
            <w:tcW w:w="1658" w:type="pct"/>
          </w:tcPr>
          <w:p w14:paraId="099EFAC1" w14:textId="77777777" w:rsidR="00E57DAA" w:rsidRDefault="00AC4185" w:rsidP="00C25422">
            <w:pPr>
              <w:pStyle w:val="92"/>
            </w:pPr>
            <w:r>
              <w:t>非洲</w:t>
            </w:r>
          </w:p>
        </w:tc>
        <w:tc>
          <w:tcPr>
            <w:tcW w:w="1761" w:type="pct"/>
          </w:tcPr>
          <w:p w14:paraId="3306776F" w14:textId="77777777" w:rsidR="00E57DAA" w:rsidRDefault="00AC4185">
            <w:pPr>
              <w:jc w:val="right"/>
              <w:rPr>
                <w:rFonts w:ascii="Times New Roman" w:hAnsi="Times New Roman" w:cs="Times New Roman"/>
                <w:color w:val="FF0000"/>
                <w:sz w:val="20"/>
                <w:szCs w:val="20"/>
              </w:rPr>
            </w:pPr>
            <w:r>
              <w:t>43</w:t>
            </w:r>
          </w:p>
        </w:tc>
        <w:tc>
          <w:tcPr>
            <w:tcW w:w="1581" w:type="pct"/>
          </w:tcPr>
          <w:p w14:paraId="1A20B571" w14:textId="77777777" w:rsidR="00E57DAA" w:rsidRDefault="00AC4185">
            <w:pPr>
              <w:jc w:val="right"/>
              <w:rPr>
                <w:rFonts w:ascii="Times New Roman" w:hAnsi="Times New Roman" w:cs="Times New Roman"/>
                <w:color w:val="FF0000"/>
                <w:sz w:val="20"/>
                <w:szCs w:val="20"/>
              </w:rPr>
            </w:pPr>
            <w:r>
              <w:t>752,139.86</w:t>
            </w:r>
          </w:p>
        </w:tc>
      </w:tr>
      <w:tr w:rsidR="00E57DAA" w14:paraId="18112FD3" w14:textId="77777777">
        <w:trPr>
          <w:jc w:val="center"/>
        </w:trPr>
        <w:tc>
          <w:tcPr>
            <w:tcW w:w="1658" w:type="pct"/>
          </w:tcPr>
          <w:p w14:paraId="12C0DB5E" w14:textId="77777777" w:rsidR="00E57DAA" w:rsidRDefault="00AC4185" w:rsidP="00C25422">
            <w:pPr>
              <w:pStyle w:val="92"/>
            </w:pPr>
            <w:r>
              <w:t>欧洲</w:t>
            </w:r>
          </w:p>
        </w:tc>
        <w:tc>
          <w:tcPr>
            <w:tcW w:w="1761" w:type="pct"/>
          </w:tcPr>
          <w:p w14:paraId="0BAC6AE9" w14:textId="77777777" w:rsidR="00E57DAA" w:rsidRDefault="00AC4185">
            <w:pPr>
              <w:jc w:val="right"/>
              <w:rPr>
                <w:rFonts w:ascii="Times New Roman" w:hAnsi="Times New Roman" w:cs="Times New Roman"/>
                <w:color w:val="FF0000"/>
                <w:sz w:val="20"/>
                <w:szCs w:val="20"/>
              </w:rPr>
            </w:pPr>
            <w:r>
              <w:t>5</w:t>
            </w:r>
          </w:p>
        </w:tc>
        <w:tc>
          <w:tcPr>
            <w:tcW w:w="1581" w:type="pct"/>
          </w:tcPr>
          <w:p w14:paraId="708E243D" w14:textId="77777777" w:rsidR="00E57DAA" w:rsidRDefault="00AC4185">
            <w:pPr>
              <w:jc w:val="right"/>
              <w:rPr>
                <w:rFonts w:ascii="Times New Roman" w:hAnsi="Times New Roman" w:cs="Times New Roman"/>
                <w:color w:val="FF0000"/>
                <w:sz w:val="20"/>
                <w:szCs w:val="20"/>
              </w:rPr>
            </w:pPr>
            <w:r>
              <w:t>449,038.18</w:t>
            </w:r>
          </w:p>
        </w:tc>
      </w:tr>
      <w:tr w:rsidR="00E57DAA" w14:paraId="35DD25C3" w14:textId="77777777">
        <w:trPr>
          <w:jc w:val="center"/>
        </w:trPr>
        <w:tc>
          <w:tcPr>
            <w:tcW w:w="1658" w:type="pct"/>
          </w:tcPr>
          <w:p w14:paraId="66646846" w14:textId="77777777" w:rsidR="00E57DAA" w:rsidRDefault="00AC4185" w:rsidP="00C25422">
            <w:pPr>
              <w:pStyle w:val="92"/>
            </w:pPr>
            <w:r>
              <w:t>美洲</w:t>
            </w:r>
          </w:p>
        </w:tc>
        <w:tc>
          <w:tcPr>
            <w:tcW w:w="1761" w:type="pct"/>
          </w:tcPr>
          <w:p w14:paraId="35012F3B" w14:textId="77777777" w:rsidR="00E57DAA" w:rsidRDefault="00AC4185">
            <w:pPr>
              <w:jc w:val="right"/>
              <w:rPr>
                <w:rFonts w:ascii="Times New Roman" w:hAnsi="Times New Roman" w:cs="Times New Roman"/>
                <w:color w:val="FF0000"/>
                <w:sz w:val="20"/>
                <w:szCs w:val="20"/>
              </w:rPr>
            </w:pPr>
            <w:r>
              <w:t>9</w:t>
            </w:r>
          </w:p>
        </w:tc>
        <w:tc>
          <w:tcPr>
            <w:tcW w:w="1581" w:type="pct"/>
          </w:tcPr>
          <w:p w14:paraId="097DB032" w14:textId="77777777" w:rsidR="00E57DAA" w:rsidRDefault="00AC4185">
            <w:pPr>
              <w:jc w:val="right"/>
              <w:rPr>
                <w:rFonts w:ascii="Times New Roman" w:hAnsi="Times New Roman" w:cs="Times New Roman"/>
                <w:color w:val="FF0000"/>
                <w:sz w:val="20"/>
                <w:szCs w:val="20"/>
              </w:rPr>
            </w:pPr>
            <w:r>
              <w:t>121,493.39</w:t>
            </w:r>
          </w:p>
        </w:tc>
      </w:tr>
      <w:tr w:rsidR="00E57DAA" w14:paraId="657406E2" w14:textId="77777777">
        <w:trPr>
          <w:jc w:val="center"/>
        </w:trPr>
        <w:tc>
          <w:tcPr>
            <w:tcW w:w="1658" w:type="pct"/>
          </w:tcPr>
          <w:p w14:paraId="7FFE7B22" w14:textId="77777777" w:rsidR="00E57DAA" w:rsidRDefault="00AC4185" w:rsidP="00C25422">
            <w:pPr>
              <w:pStyle w:val="92"/>
            </w:pPr>
            <w:r>
              <w:rPr>
                <w:rFonts w:hint="eastAsia"/>
              </w:rPr>
              <w:t>总计</w:t>
            </w:r>
          </w:p>
        </w:tc>
        <w:tc>
          <w:tcPr>
            <w:tcW w:w="1761" w:type="pct"/>
          </w:tcPr>
          <w:p w14:paraId="60C6CAA0" w14:textId="77777777" w:rsidR="00E57DAA" w:rsidRDefault="00AC4185">
            <w:pPr>
              <w:jc w:val="right"/>
              <w:rPr>
                <w:rFonts w:ascii="Times New Roman" w:hAnsi="Times New Roman" w:cs="Times New Roman"/>
                <w:color w:val="FF0000"/>
                <w:sz w:val="20"/>
                <w:szCs w:val="20"/>
              </w:rPr>
            </w:pPr>
            <w:r>
              <w:t>135</w:t>
            </w:r>
          </w:p>
        </w:tc>
        <w:tc>
          <w:tcPr>
            <w:tcW w:w="1581" w:type="pct"/>
          </w:tcPr>
          <w:p w14:paraId="45583EF5" w14:textId="77777777" w:rsidR="00E57DAA" w:rsidRDefault="00AC4185">
            <w:pPr>
              <w:jc w:val="right"/>
              <w:rPr>
                <w:rFonts w:ascii="Times New Roman" w:hAnsi="Times New Roman" w:cs="Times New Roman"/>
                <w:color w:val="FF0000"/>
                <w:sz w:val="20"/>
                <w:szCs w:val="20"/>
              </w:rPr>
            </w:pPr>
            <w:r>
              <w:t>2,748,111.92</w:t>
            </w:r>
          </w:p>
        </w:tc>
      </w:tr>
    </w:tbl>
    <w:p w14:paraId="2F38E9B0" w14:textId="77777777" w:rsidR="00E57DAA" w:rsidRDefault="00AC4185">
      <w:pPr>
        <w:rPr>
          <w:b/>
          <w:color w:val="000000" w:themeColor="text1"/>
          <w:szCs w:val="21"/>
        </w:rPr>
      </w:pPr>
      <w:r>
        <w:rPr>
          <w:rFonts w:hint="eastAsia"/>
          <w:color w:val="000000" w:themeColor="text1"/>
          <w:szCs w:val="21"/>
        </w:rPr>
        <w:lastRenderedPageBreak/>
        <w:t>注：1、境外项目总金额指当年新签境外项目的合同额</w:t>
      </w:r>
      <w:r>
        <w:rPr>
          <w:color w:val="000000" w:themeColor="text1"/>
          <w:szCs w:val="21"/>
        </w:rPr>
        <w:t>（</w:t>
      </w:r>
      <w:r>
        <w:rPr>
          <w:rFonts w:hint="eastAsia"/>
          <w:color w:val="000000" w:themeColor="text1"/>
          <w:szCs w:val="21"/>
        </w:rPr>
        <w:t>以外币对人民币汇率按照合同约定或签约时的即时汇率进行折算）</w:t>
      </w:r>
      <w:r>
        <w:rPr>
          <w:color w:val="000000" w:themeColor="text1"/>
          <w:szCs w:val="21"/>
        </w:rPr>
        <w:t>，未进行与装备业务的内部抵消。</w:t>
      </w:r>
    </w:p>
    <w:p w14:paraId="3569D9C2" w14:textId="77777777" w:rsidR="00E57DAA" w:rsidRDefault="00AC4185">
      <w:pPr>
        <w:ind w:firstLineChars="200" w:firstLine="420"/>
        <w:rPr>
          <w:szCs w:val="21"/>
        </w:rPr>
      </w:pPr>
      <w:r>
        <w:rPr>
          <w:szCs w:val="21"/>
        </w:rPr>
        <w:t>2</w:t>
      </w:r>
      <w:r>
        <w:rPr>
          <w:rFonts w:hint="eastAsia"/>
          <w:szCs w:val="21"/>
        </w:rPr>
        <w:t>、境外项目：指以EPC、EP、PC和C的方式签署的专业工程和其他工程。</w:t>
      </w:r>
    </w:p>
    <w:p w14:paraId="38D3B2A1" w14:textId="77777777" w:rsidR="00E57DAA" w:rsidRDefault="00E57DAA">
      <w:pPr>
        <w:pStyle w:val="5"/>
        <w:ind w:leftChars="0"/>
        <w:rPr>
          <w:bCs w:val="0"/>
          <w:szCs w:val="21"/>
        </w:rPr>
      </w:pPr>
    </w:p>
    <w:p w14:paraId="2C78AB72" w14:textId="77777777" w:rsidR="00E57DAA" w:rsidRDefault="00AC4185">
      <w:pPr>
        <w:pStyle w:val="5"/>
        <w:numPr>
          <w:ilvl w:val="0"/>
          <w:numId w:val="15"/>
        </w:numPr>
        <w:ind w:left="530"/>
        <w:jc w:val="left"/>
        <w:rPr>
          <w:bCs w:val="0"/>
          <w:szCs w:val="21"/>
        </w:rPr>
      </w:pPr>
      <w:r>
        <w:rPr>
          <w:rFonts w:hint="eastAsia"/>
          <w:bCs w:val="0"/>
          <w:szCs w:val="21"/>
        </w:rPr>
        <w:t>报告期末在手订单情况</w:t>
      </w:r>
    </w:p>
    <w:sdt>
      <w:sdtPr>
        <w:alias w:val="是否适用：报告期末在手订单情况[双击切换]"/>
        <w:tag w:val="_GBC_bc7dc6b9ec394888b165acc60e56487e"/>
        <w:id w:val="-956021380"/>
        <w:placeholder>
          <w:docPart w:val="GBC22222222222222222222222222222"/>
        </w:placeholder>
      </w:sdtPr>
      <w:sdtEndPr/>
      <w:sdtContent>
        <w:p w14:paraId="2C560FE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ACE270" w14:textId="77777777" w:rsidR="00E57DAA" w:rsidRDefault="00AC4185">
      <w:pPr>
        <w:ind w:firstLineChars="200" w:firstLine="420"/>
      </w:pPr>
      <w:r>
        <w:rPr>
          <w:rFonts w:hint="eastAsia"/>
        </w:rPr>
        <w:t>报告期末，在手订单总金额</w:t>
      </w:r>
      <w:sdt>
        <w:sdtPr>
          <w:rPr>
            <w:rFonts w:hint="eastAsia"/>
          </w:rPr>
          <w:alias w:val="在手订单总金额"/>
          <w:tag w:val="_GBC_368682e9ef824819bb1802ccdcc13c0a"/>
          <w:id w:val="156499612"/>
          <w:placeholder>
            <w:docPart w:val="GBC22222222222222222222222222222"/>
          </w:placeholder>
        </w:sdtPr>
        <w:sdtEndPr/>
        <w:sdtContent>
          <w:r>
            <w:t>9,510,367.32</w:t>
          </w:r>
        </w:sdtContent>
      </w:sdt>
      <w:sdt>
        <w:sdtPr>
          <w:rPr>
            <w:rFonts w:hint="eastAsia"/>
          </w:rPr>
          <w:alias w:val="单位：在手订单总金额"/>
          <w:tag w:val="_GBC_9f0906251960460aa9137f91c01723d1"/>
          <w:id w:val="35439366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r>
        <w:rPr>
          <w:rFonts w:hint="eastAsia"/>
        </w:rPr>
        <w:t>。其中，已签订合同但尚未开工项目金额</w:t>
      </w:r>
      <w:sdt>
        <w:sdtPr>
          <w:rPr>
            <w:rFonts w:hint="eastAsia"/>
          </w:rPr>
          <w:alias w:val="已签订合同但尚未开工项目金额"/>
          <w:tag w:val="_GBC_6a5e95b86a9b4b9598b1a358bb921caa"/>
          <w:id w:val="-879546121"/>
          <w:placeholder>
            <w:docPart w:val="GBC22222222222222222222222222222"/>
          </w:placeholder>
        </w:sdtPr>
        <w:sdtEndPr/>
        <w:sdtContent>
          <w:r>
            <w:t>3,577,852.85</w:t>
          </w:r>
        </w:sdtContent>
      </w:sdt>
      <w:sdt>
        <w:sdtPr>
          <w:rPr>
            <w:rFonts w:hint="eastAsia"/>
          </w:rPr>
          <w:alias w:val="单位：已签订合同但尚未开工项目金额"/>
          <w:tag w:val="_GBC_1cd329af48724b97b44a975262b1e205"/>
          <w:id w:val="-92827313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r>
        <w:rPr>
          <w:rFonts w:hint="eastAsia"/>
        </w:rPr>
        <w:t>，在建项目中未完工部分金额</w:t>
      </w:r>
      <w:sdt>
        <w:sdtPr>
          <w:rPr>
            <w:rFonts w:hint="eastAsia"/>
          </w:rPr>
          <w:alias w:val="在建项目中未完工部分金额"/>
          <w:tag w:val="_GBC_9d73729556d34977b63fefd7c0a334a5"/>
          <w:id w:val="-1135710219"/>
          <w:placeholder>
            <w:docPart w:val="GBC22222222222222222222222222222"/>
          </w:placeholder>
        </w:sdtPr>
        <w:sdtEndPr/>
        <w:sdtContent>
          <w:r>
            <w:t>5,932,514.47</w:t>
          </w:r>
        </w:sdtContent>
      </w:sdt>
      <w:sdt>
        <w:sdtPr>
          <w:rPr>
            <w:rFonts w:hint="eastAsia"/>
          </w:rPr>
          <w:alias w:val="单位：在建项目中未完工部分金额"/>
          <w:tag w:val="_GBC_41f4eff834fe422fa4d67ddf9857ac33"/>
          <w:id w:val="198773622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t>人民币</w:t>
      </w:r>
      <w:sdt>
        <w:sdtPr>
          <w:tag w:val="_PLD_76894cbd1e834125ad5f0ed9668d7978"/>
          <w:id w:val="1412278887"/>
          <w:placeholder>
            <w:docPart w:val="GBC22222222222222222222222222222"/>
          </w:placeholder>
        </w:sdtPr>
        <w:sdtEndPr>
          <w:rPr>
            <w:rFonts w:hint="eastAsia"/>
          </w:rPr>
        </w:sdtEndPr>
        <w:sdtContent>
          <w:r>
            <w:rPr>
              <w:rFonts w:hint="eastAsia"/>
            </w:rPr>
            <w:t>。</w:t>
          </w:r>
        </w:sdtContent>
      </w:sdt>
    </w:p>
    <w:p w14:paraId="0F77D482" w14:textId="77777777" w:rsidR="00E57DAA" w:rsidRDefault="00AC4185" w:rsidP="00C25422">
      <w:pPr>
        <w:pStyle w:val="92"/>
      </w:pPr>
      <w:r>
        <w:rPr>
          <w:rFonts w:hint="eastAsia"/>
        </w:rPr>
        <w:t xml:space="preserve"> </w:t>
      </w:r>
      <w:r>
        <w:t xml:space="preserve">   </w:t>
      </w:r>
      <w:r>
        <w:rPr>
          <w:rFonts w:hint="eastAsia"/>
        </w:rPr>
        <w:t>报告期末，工程服务在手订单</w:t>
      </w:r>
      <w:r>
        <w:t xml:space="preserve"> 8,500,220.80 万元。其中，已签订合同但尚未开工项目金额3,423,581.46万元人民币，在建项目中未完工部分金额 5,076,639.34 万元人民币。</w:t>
      </w:r>
    </w:p>
    <w:p w14:paraId="03202F69" w14:textId="77777777" w:rsidR="00E57DAA" w:rsidRDefault="00E57DAA" w:rsidP="00C25422">
      <w:pPr>
        <w:pStyle w:val="92"/>
      </w:pPr>
    </w:p>
    <w:p w14:paraId="04C77AC2" w14:textId="77777777" w:rsidR="00E57DAA" w:rsidRDefault="00AC4185" w:rsidP="00C25422">
      <w:pPr>
        <w:pStyle w:val="92"/>
      </w:pPr>
      <w:r>
        <w:rPr>
          <w:rFonts w:hint="eastAsia"/>
        </w:rPr>
        <w:t>其他说明</w:t>
      </w:r>
    </w:p>
    <w:sdt>
      <w:sdtPr>
        <w:alias w:val="是否适用：报告期末在手订单其他情况说明[双击切换]"/>
        <w:tag w:val="_GBC_1e7524cd401041bf8c0f1b460ff4550f"/>
        <w:id w:val="-2124916833"/>
        <w:placeholder>
          <w:docPart w:val="GBC22222222222222222222222222222"/>
        </w:placeholder>
      </w:sdtPr>
      <w:sdtEndPr/>
      <w:sdtContent>
        <w:p w14:paraId="73BD0D0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0"/>
        </w:rPr>
        <w:alias w:val="报告期末在手订单其他情况说明"/>
        <w:tag w:val="_GBC_cf28f6accdc74c5c8bdbb130183e0ca0"/>
        <w:id w:val="-1209729340"/>
        <w:placeholder>
          <w:docPart w:val="GBC22222222222222222222222222222"/>
        </w:placeholder>
      </w:sdtPr>
      <w:sdtEndPr/>
      <w:sdtContent>
        <w:p w14:paraId="36A92730" w14:textId="77777777" w:rsidR="00E57DAA" w:rsidRDefault="00AC4185">
          <w:pPr>
            <w:ind w:firstLineChars="200" w:firstLine="400"/>
          </w:pPr>
          <w:r>
            <w:t xml:space="preserve">按照工程服务主要业务模式，公司在手工程服务合同总金额、已签订合同但尚未开工项目金额、未完合同额情况： </w:t>
          </w:r>
          <w:r>
            <w:cr/>
            <w:t xml:space="preserve">                                                            </w:t>
          </w:r>
          <w:r>
            <w:rPr>
              <w:rFonts w:hint="eastAsia"/>
            </w:rPr>
            <w:t xml:space="preserve">单位：万元 </w:t>
          </w:r>
          <w:r>
            <w:t xml:space="preserve"> </w:t>
          </w:r>
          <w:r>
            <w:rPr>
              <w:rFonts w:hint="eastAsia"/>
            </w:rPr>
            <w:t>币种：人民币</w:t>
          </w:r>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1476"/>
            <w:gridCol w:w="1266"/>
            <w:gridCol w:w="1161"/>
            <w:gridCol w:w="1266"/>
            <w:gridCol w:w="1476"/>
          </w:tblGrid>
          <w:tr w:rsidR="00E57DAA" w14:paraId="565FE823" w14:textId="77777777">
            <w:trPr>
              <w:trHeight w:val="146"/>
            </w:trPr>
            <w:tc>
              <w:tcPr>
                <w:tcW w:w="1734" w:type="pct"/>
                <w:shd w:val="clear" w:color="auto" w:fill="auto"/>
                <w:vAlign w:val="center"/>
              </w:tcPr>
              <w:p w14:paraId="125137C7" w14:textId="77777777" w:rsidR="00E57DAA" w:rsidRDefault="00AC4185" w:rsidP="00C25422">
                <w:pPr>
                  <w:pStyle w:val="92"/>
                </w:pPr>
                <w:bookmarkStart w:id="63" w:name="_Hlk160097493"/>
                <w:r>
                  <w:rPr>
                    <w:rFonts w:hint="eastAsia"/>
                  </w:rPr>
                  <w:t>项目</w:t>
                </w:r>
              </w:p>
            </w:tc>
            <w:tc>
              <w:tcPr>
                <w:tcW w:w="729" w:type="pct"/>
                <w:shd w:val="clear" w:color="auto" w:fill="auto"/>
                <w:vAlign w:val="center"/>
              </w:tcPr>
              <w:p w14:paraId="50D590E1" w14:textId="77777777" w:rsidR="00E57DAA" w:rsidRDefault="00AC4185">
                <w:r>
                  <w:t>EPC</w:t>
                </w:r>
              </w:p>
            </w:tc>
            <w:tc>
              <w:tcPr>
                <w:tcW w:w="623" w:type="pct"/>
                <w:shd w:val="clear" w:color="auto" w:fill="auto"/>
                <w:vAlign w:val="center"/>
              </w:tcPr>
              <w:p w14:paraId="2C23DB6F" w14:textId="77777777" w:rsidR="00E57DAA" w:rsidRDefault="00AC4185">
                <w:r>
                  <w:t>EP</w:t>
                </w:r>
              </w:p>
            </w:tc>
            <w:tc>
              <w:tcPr>
                <w:tcW w:w="580" w:type="pct"/>
              </w:tcPr>
              <w:p w14:paraId="76A6070A" w14:textId="77777777" w:rsidR="00E57DAA" w:rsidRDefault="00AC4185">
                <w:r>
                  <w:rPr>
                    <w:rFonts w:hint="eastAsia"/>
                  </w:rPr>
                  <w:t>PC</w:t>
                </w:r>
              </w:p>
            </w:tc>
            <w:tc>
              <w:tcPr>
                <w:tcW w:w="624" w:type="pct"/>
              </w:tcPr>
              <w:p w14:paraId="5A69030B" w14:textId="77777777" w:rsidR="00E57DAA" w:rsidRDefault="00AC4185">
                <w:r>
                  <w:rPr>
                    <w:rFonts w:hint="eastAsia"/>
                  </w:rPr>
                  <w:t>C</w:t>
                </w:r>
              </w:p>
            </w:tc>
            <w:tc>
              <w:tcPr>
                <w:tcW w:w="709" w:type="pct"/>
                <w:shd w:val="clear" w:color="auto" w:fill="auto"/>
                <w:vAlign w:val="center"/>
              </w:tcPr>
              <w:p w14:paraId="09A692F1" w14:textId="77777777" w:rsidR="00E57DAA" w:rsidRDefault="00AC4185">
                <w:r>
                  <w:t>总计</w:t>
                </w:r>
              </w:p>
            </w:tc>
          </w:tr>
          <w:tr w:rsidR="00E57DAA" w14:paraId="769B8385" w14:textId="77777777">
            <w:trPr>
              <w:trHeight w:val="146"/>
            </w:trPr>
            <w:tc>
              <w:tcPr>
                <w:tcW w:w="1734" w:type="pct"/>
                <w:shd w:val="clear" w:color="auto" w:fill="auto"/>
                <w:vAlign w:val="center"/>
              </w:tcPr>
              <w:p w14:paraId="38597695" w14:textId="77777777" w:rsidR="00E57DAA" w:rsidRDefault="00AC4185" w:rsidP="00C25422">
                <w:pPr>
                  <w:pStyle w:val="92"/>
                </w:pPr>
                <w:r>
                  <w:t>在手合同总金额</w:t>
                </w:r>
                <w:r>
                  <w:rPr>
                    <w:rFonts w:hint="eastAsia"/>
                  </w:rPr>
                  <w:t xml:space="preserve"> </w:t>
                </w:r>
              </w:p>
            </w:tc>
            <w:tc>
              <w:tcPr>
                <w:tcW w:w="729" w:type="pct"/>
                <w:shd w:val="clear" w:color="auto" w:fill="auto"/>
              </w:tcPr>
              <w:p w14:paraId="5B27133C" w14:textId="77777777" w:rsidR="00E57DAA" w:rsidRDefault="00AC4185">
                <w:pPr>
                  <w:rPr>
                    <w:rFonts w:ascii="Calibri" w:eastAsia="等线" w:hAnsi="Calibri"/>
                    <w:sz w:val="20"/>
                    <w:szCs w:val="20"/>
                  </w:rPr>
                </w:pPr>
                <w:r>
                  <w:t>7,364,467.19</w:t>
                </w:r>
              </w:p>
            </w:tc>
            <w:tc>
              <w:tcPr>
                <w:tcW w:w="623" w:type="pct"/>
                <w:shd w:val="clear" w:color="auto" w:fill="auto"/>
              </w:tcPr>
              <w:p w14:paraId="0519CE3A" w14:textId="77777777" w:rsidR="00E57DAA" w:rsidRDefault="00AC4185">
                <w:pPr>
                  <w:rPr>
                    <w:rFonts w:ascii="Calibri" w:eastAsia="等线" w:hAnsi="Calibri"/>
                    <w:sz w:val="20"/>
                    <w:szCs w:val="20"/>
                  </w:rPr>
                </w:pPr>
                <w:r>
                  <w:t>402,013.89</w:t>
                </w:r>
              </w:p>
            </w:tc>
            <w:tc>
              <w:tcPr>
                <w:tcW w:w="580" w:type="pct"/>
              </w:tcPr>
              <w:p w14:paraId="4A0929FD" w14:textId="77777777" w:rsidR="00E57DAA" w:rsidRDefault="00AC4185">
                <w:r>
                  <w:t>59,802.09</w:t>
                </w:r>
              </w:p>
            </w:tc>
            <w:tc>
              <w:tcPr>
                <w:tcW w:w="624" w:type="pct"/>
              </w:tcPr>
              <w:p w14:paraId="5C9C9B1C" w14:textId="77777777" w:rsidR="00E57DAA" w:rsidRDefault="00AC4185">
                <w:r>
                  <w:t>673,937.63</w:t>
                </w:r>
              </w:p>
            </w:tc>
            <w:tc>
              <w:tcPr>
                <w:tcW w:w="709" w:type="pct"/>
                <w:shd w:val="clear" w:color="auto" w:fill="auto"/>
              </w:tcPr>
              <w:p w14:paraId="7EF776F5" w14:textId="77777777" w:rsidR="00E57DAA" w:rsidRDefault="00AC4185">
                <w:pPr>
                  <w:rPr>
                    <w:rFonts w:ascii="Calibri" w:eastAsia="等线" w:hAnsi="Calibri"/>
                    <w:sz w:val="20"/>
                    <w:szCs w:val="20"/>
                  </w:rPr>
                </w:pPr>
                <w:r>
                  <w:t>8,500,220.80</w:t>
                </w:r>
              </w:p>
            </w:tc>
          </w:tr>
          <w:tr w:rsidR="00E57DAA" w14:paraId="40465EF6" w14:textId="77777777">
            <w:trPr>
              <w:trHeight w:val="374"/>
            </w:trPr>
            <w:tc>
              <w:tcPr>
                <w:tcW w:w="1734" w:type="pct"/>
                <w:shd w:val="clear" w:color="auto" w:fill="auto"/>
                <w:vAlign w:val="center"/>
              </w:tcPr>
              <w:p w14:paraId="47118285" w14:textId="77777777" w:rsidR="00E57DAA" w:rsidRDefault="00AC4185" w:rsidP="00C25422">
                <w:pPr>
                  <w:pStyle w:val="92"/>
                </w:pPr>
                <w:r>
                  <w:t>已签订合同但尚未开工项目的总金额</w:t>
                </w:r>
              </w:p>
            </w:tc>
            <w:tc>
              <w:tcPr>
                <w:tcW w:w="729" w:type="pct"/>
                <w:shd w:val="clear" w:color="auto" w:fill="auto"/>
              </w:tcPr>
              <w:p w14:paraId="05C9163D" w14:textId="77777777" w:rsidR="00E57DAA" w:rsidRDefault="00AC4185">
                <w:pPr>
                  <w:rPr>
                    <w:rFonts w:ascii="Calibri" w:eastAsia="等线" w:hAnsi="Calibri"/>
                    <w:sz w:val="20"/>
                    <w:szCs w:val="20"/>
                  </w:rPr>
                </w:pPr>
                <w:r>
                  <w:t>3,283,667.41</w:t>
                </w:r>
              </w:p>
            </w:tc>
            <w:tc>
              <w:tcPr>
                <w:tcW w:w="623" w:type="pct"/>
                <w:shd w:val="clear" w:color="auto" w:fill="auto"/>
              </w:tcPr>
              <w:p w14:paraId="0E66E78C" w14:textId="77777777" w:rsidR="00E57DAA" w:rsidRDefault="00AC4185">
                <w:pPr>
                  <w:rPr>
                    <w:rFonts w:ascii="Calibri" w:eastAsia="等线" w:hAnsi="Calibri"/>
                    <w:sz w:val="20"/>
                    <w:szCs w:val="20"/>
                  </w:rPr>
                </w:pPr>
                <w:r>
                  <w:t>62,622.66</w:t>
                </w:r>
              </w:p>
            </w:tc>
            <w:tc>
              <w:tcPr>
                <w:tcW w:w="580" w:type="pct"/>
              </w:tcPr>
              <w:p w14:paraId="1CCDA0FB" w14:textId="77777777" w:rsidR="00E57DAA" w:rsidRDefault="00AC4185">
                <w:r>
                  <w:t>5,724.92</w:t>
                </w:r>
              </w:p>
            </w:tc>
            <w:tc>
              <w:tcPr>
                <w:tcW w:w="624" w:type="pct"/>
              </w:tcPr>
              <w:p w14:paraId="17A57CBA" w14:textId="77777777" w:rsidR="00E57DAA" w:rsidRDefault="00AC4185">
                <w:r>
                  <w:t>71,566.47</w:t>
                </w:r>
              </w:p>
            </w:tc>
            <w:tc>
              <w:tcPr>
                <w:tcW w:w="709" w:type="pct"/>
                <w:shd w:val="clear" w:color="auto" w:fill="auto"/>
              </w:tcPr>
              <w:p w14:paraId="42AEA03F" w14:textId="77777777" w:rsidR="00E57DAA" w:rsidRDefault="00AC4185">
                <w:pPr>
                  <w:rPr>
                    <w:rFonts w:ascii="Calibri" w:eastAsia="等线" w:hAnsi="Calibri"/>
                    <w:sz w:val="20"/>
                    <w:szCs w:val="20"/>
                  </w:rPr>
                </w:pPr>
                <w:r>
                  <w:t>3,423,581.46</w:t>
                </w:r>
              </w:p>
            </w:tc>
          </w:tr>
          <w:tr w:rsidR="00E57DAA" w14:paraId="7C55AEF0" w14:textId="77777777">
            <w:trPr>
              <w:trHeight w:val="178"/>
            </w:trPr>
            <w:tc>
              <w:tcPr>
                <w:tcW w:w="1734" w:type="pct"/>
                <w:shd w:val="clear" w:color="auto" w:fill="auto"/>
                <w:vAlign w:val="center"/>
              </w:tcPr>
              <w:p w14:paraId="66B5E78B" w14:textId="77777777" w:rsidR="00E57DAA" w:rsidRDefault="00AC4185" w:rsidP="00C25422">
                <w:pPr>
                  <w:pStyle w:val="92"/>
                </w:pPr>
                <w:r>
                  <w:t>未完合同额</w:t>
                </w:r>
              </w:p>
            </w:tc>
            <w:tc>
              <w:tcPr>
                <w:tcW w:w="729" w:type="pct"/>
                <w:shd w:val="clear" w:color="auto" w:fill="auto"/>
              </w:tcPr>
              <w:p w14:paraId="6B80BA14" w14:textId="77777777" w:rsidR="00E57DAA" w:rsidRDefault="00AC4185">
                <w:pPr>
                  <w:rPr>
                    <w:rFonts w:ascii="Calibri" w:eastAsia="等线" w:hAnsi="Calibri"/>
                    <w:sz w:val="20"/>
                    <w:szCs w:val="20"/>
                  </w:rPr>
                </w:pPr>
                <w:r>
                  <w:t>4,080,799.78</w:t>
                </w:r>
              </w:p>
            </w:tc>
            <w:tc>
              <w:tcPr>
                <w:tcW w:w="623" w:type="pct"/>
                <w:shd w:val="clear" w:color="auto" w:fill="auto"/>
              </w:tcPr>
              <w:p w14:paraId="446F7166" w14:textId="77777777" w:rsidR="00E57DAA" w:rsidRDefault="00AC4185">
                <w:pPr>
                  <w:rPr>
                    <w:rFonts w:ascii="Calibri" w:eastAsia="等线" w:hAnsi="Calibri"/>
                    <w:sz w:val="20"/>
                    <w:szCs w:val="20"/>
                  </w:rPr>
                </w:pPr>
                <w:r>
                  <w:t>339,391.23</w:t>
                </w:r>
              </w:p>
            </w:tc>
            <w:tc>
              <w:tcPr>
                <w:tcW w:w="580" w:type="pct"/>
              </w:tcPr>
              <w:p w14:paraId="025E31B2" w14:textId="77777777" w:rsidR="00E57DAA" w:rsidRDefault="00AC4185">
                <w:r>
                  <w:t>54,077.17</w:t>
                </w:r>
              </w:p>
            </w:tc>
            <w:tc>
              <w:tcPr>
                <w:tcW w:w="624" w:type="pct"/>
              </w:tcPr>
              <w:p w14:paraId="72A532C2" w14:textId="77777777" w:rsidR="00E57DAA" w:rsidRDefault="00AC4185">
                <w:r>
                  <w:t>602,371.16</w:t>
                </w:r>
              </w:p>
            </w:tc>
            <w:tc>
              <w:tcPr>
                <w:tcW w:w="709" w:type="pct"/>
                <w:shd w:val="clear" w:color="auto" w:fill="auto"/>
              </w:tcPr>
              <w:p w14:paraId="4699260E" w14:textId="77777777" w:rsidR="00E57DAA" w:rsidRDefault="00AC4185">
                <w:pPr>
                  <w:rPr>
                    <w:rFonts w:ascii="Calibri" w:eastAsia="等线" w:hAnsi="Calibri"/>
                    <w:sz w:val="20"/>
                    <w:szCs w:val="20"/>
                  </w:rPr>
                </w:pPr>
                <w:r>
                  <w:t>5,076,639.34</w:t>
                </w:r>
              </w:p>
            </w:tc>
          </w:tr>
          <w:bookmarkEnd w:id="63"/>
        </w:tbl>
        <w:p w14:paraId="7E2534CE" w14:textId="77777777" w:rsidR="00E57DAA" w:rsidRDefault="00E57DAA" w:rsidP="00C25422">
          <w:pPr>
            <w:pStyle w:val="92"/>
          </w:pPr>
        </w:p>
        <w:p w14:paraId="7467BA58" w14:textId="77777777" w:rsidR="00E57DAA" w:rsidRDefault="00AC4185" w:rsidP="00C25422">
          <w:pPr>
            <w:pStyle w:val="92"/>
          </w:pPr>
          <w:r>
            <w:rPr>
              <w:rFonts w:hint="eastAsia"/>
            </w:rPr>
            <w:t>重大项目的其他说明：</w:t>
          </w:r>
        </w:p>
        <w:p w14:paraId="4A64B762" w14:textId="77777777" w:rsidR="00E57DAA" w:rsidRDefault="00AC4185" w:rsidP="00C25422">
          <w:pPr>
            <w:pStyle w:val="92"/>
          </w:pPr>
          <w:r>
            <w:rPr>
              <w:rFonts w:hint="eastAsia"/>
            </w:rPr>
            <w:t>（</w:t>
          </w:r>
          <w:r>
            <w:t>1）定价机制。主要通过招投标由市场确定。</w:t>
          </w:r>
        </w:p>
        <w:p w14:paraId="14DBF65B" w14:textId="77777777" w:rsidR="00E57DAA" w:rsidRDefault="00AC4185" w:rsidP="00C25422">
          <w:pPr>
            <w:pStyle w:val="92"/>
          </w:pPr>
          <w:r>
            <w:rPr>
              <w:rFonts w:hint="eastAsia"/>
            </w:rPr>
            <w:t>（</w:t>
          </w:r>
          <w:r>
            <w:t>2）回款安排。通过协议约定，一般采用预付款、进度款、质保款的安排。</w:t>
          </w:r>
        </w:p>
        <w:p w14:paraId="5586CD09" w14:textId="77777777" w:rsidR="00E57DAA" w:rsidRDefault="00AC4185" w:rsidP="00C25422">
          <w:pPr>
            <w:pStyle w:val="92"/>
          </w:pPr>
          <w:r>
            <w:rPr>
              <w:rFonts w:hint="eastAsia"/>
            </w:rPr>
            <w:t>（</w:t>
          </w:r>
          <w:r>
            <w:t>3）融资方式。业主自行融资或公司进行建设融资（收取业主财务费用）。</w:t>
          </w:r>
        </w:p>
        <w:p w14:paraId="2F74B327" w14:textId="77777777" w:rsidR="00E57DAA" w:rsidRDefault="00AC4185" w:rsidP="00C25422">
          <w:pPr>
            <w:pStyle w:val="92"/>
          </w:pPr>
          <w:r>
            <w:rPr>
              <w:rFonts w:hint="eastAsia"/>
            </w:rPr>
            <w:t>（</w:t>
          </w:r>
          <w:r>
            <w:t>4）政策优惠。按国家及项目所在地的政策执行。</w:t>
          </w:r>
        </w:p>
        <w:p w14:paraId="2B09B3B0" w14:textId="77777777" w:rsidR="00E57DAA" w:rsidRDefault="00EB41A1" w:rsidP="00C25422">
          <w:pPr>
            <w:pStyle w:val="92"/>
          </w:pPr>
        </w:p>
      </w:sdtContent>
    </w:sdt>
    <w:p w14:paraId="2E3F3C95" w14:textId="77777777" w:rsidR="00E57DAA" w:rsidRDefault="00AC4185">
      <w:pPr>
        <w:pStyle w:val="5"/>
        <w:numPr>
          <w:ilvl w:val="0"/>
          <w:numId w:val="15"/>
        </w:numPr>
        <w:ind w:left="530"/>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231512407"/>
        <w:placeholder>
          <w:docPart w:val="GBC22222222222222222222222222222"/>
        </w:placeholder>
      </w:sdtPr>
      <w:sdtEndPr>
        <w:rPr>
          <w:rFonts w:hint="default"/>
        </w:rPr>
      </w:sdtEndPr>
      <w:sdtContent>
        <w:p w14:paraId="4B03EB35" w14:textId="77777777" w:rsidR="00E57DAA" w:rsidRDefault="00AC4185" w:rsidP="00C25422">
          <w:pPr>
            <w:pStyle w:val="92"/>
          </w:pPr>
          <w:r>
            <w:fldChar w:fldCharType="begin"/>
          </w:r>
          <w:r w:rsidR="002C4128">
            <w:instrText xml:space="preserve"> MACROBUTTON  SnrToggleCheckbox √适用  </w:instrText>
          </w:r>
          <w:r>
            <w:fldChar w:fldCharType="end"/>
          </w:r>
          <w:r>
            <w:fldChar w:fldCharType="begin"/>
          </w:r>
          <w:r w:rsidR="002C4128">
            <w:instrText xml:space="preserve"> MACROBUTTON  SnrToggleCheckbox □不适用 </w:instrText>
          </w:r>
          <w:r>
            <w:fldChar w:fldCharType="end"/>
          </w:r>
        </w:p>
      </w:sdtContent>
    </w:sdt>
    <w:sdt>
      <w:sdtPr>
        <w:rPr>
          <w:rFonts w:hint="eastAsia"/>
        </w:rPr>
        <w:alias w:val="建筑行业经营性信息分析其他情况说明"/>
        <w:tag w:val="_GBC_faf55b338bb74b2a8736a2e6879b5eac"/>
        <w:id w:val="1566369335"/>
        <w:placeholder>
          <w:docPart w:val="BDBFCBB04DB0442DA35FA5451C8DEB7D"/>
        </w:placeholder>
      </w:sdtPr>
      <w:sdtEndPr>
        <w:rPr>
          <w:rFonts w:hint="default"/>
        </w:rPr>
      </w:sdtEndPr>
      <w:sdtContent>
        <w:p w14:paraId="70632A3D" w14:textId="77777777" w:rsidR="002C4128" w:rsidRDefault="002C4128" w:rsidP="002C4128">
          <w:pPr>
            <w:ind w:firstLineChars="200" w:firstLine="420"/>
          </w:pPr>
          <w:r>
            <w:rPr>
              <w:rFonts w:hint="eastAsia"/>
            </w:rPr>
            <w:t>公司行业资质情况：水泥矿业工程承包业务是公司核心及传统业务，公司具有境内外众多大中型项目建设经验和相关工程设计、咨询、专业承包和施工总承包等多项资质。目前，公司及所属公司拥有建筑业施工总承包和专业承包资质</w:t>
          </w:r>
          <w:r>
            <w:t xml:space="preserve">68项，其中，施工总承包资质32项、专业承包资质36项，为公司工程业务发展提供有力支撑。 </w:t>
          </w:r>
        </w:p>
        <w:p w14:paraId="27586C22" w14:textId="77777777" w:rsidR="002C4128" w:rsidRDefault="002C4128" w:rsidP="002C4128">
          <w:pPr>
            <w:rPr>
              <w:color w:val="FF0000"/>
            </w:rPr>
          </w:pPr>
        </w:p>
        <w:p w14:paraId="06392581" w14:textId="77777777" w:rsidR="002C4128" w:rsidRDefault="002C4128" w:rsidP="002C4128">
          <w:pPr>
            <w:ind w:firstLineChars="200" w:firstLine="420"/>
            <w:jc w:val="both"/>
          </w:pPr>
          <w:r>
            <w:t>公司质量控制体系运行情况：公司依据GB/T19001-2016/ISO9001:2015体系要求，抓好各项基础管理，对公司从工程投标、合同的签订、工程现场勘测、图纸设计、设备采购、发运以及对外承包工程的合同签订、履约执行，工程资金的划拨、工程计划的管理、预算定额及技术管理，分包单位履约情况考核等进行管理与控制，通过加强过程管控，实现全流程的标准化和规范化，全流程的精细化管理不断深化。一年来未发生重大工程质量问题和顾客重大投诉，质量管理体系运行良好，过程控制规范有效</w:t>
          </w:r>
          <w:r>
            <w:rPr>
              <w:rFonts w:hint="eastAsia"/>
            </w:rPr>
            <w:t>，</w:t>
          </w:r>
          <w:r>
            <w:t xml:space="preserve">持续改进机制逐步完善，保证了公司持续稳定健康发展。 </w:t>
          </w:r>
        </w:p>
        <w:p w14:paraId="59606E79" w14:textId="77777777" w:rsidR="002C4128" w:rsidRDefault="002C4128" w:rsidP="002C4128">
          <w:pPr>
            <w:jc w:val="both"/>
          </w:pPr>
        </w:p>
        <w:p w14:paraId="637B0307" w14:textId="77777777" w:rsidR="002C4128" w:rsidRDefault="002C4128" w:rsidP="002C4128">
          <w:pPr>
            <w:ind w:firstLineChars="200" w:firstLine="420"/>
            <w:jc w:val="both"/>
          </w:pPr>
          <w:r>
            <w:rPr>
              <w:rFonts w:hint="eastAsia"/>
            </w:rPr>
            <w:t>报告期，面对复杂严峻的国内外形势和诸多风险挑战，公司以安全“</w:t>
          </w:r>
          <w:r>
            <w:t>0”事故为目标，贯彻各项</w:t>
          </w:r>
          <w:r>
            <w:rPr>
              <w:rFonts w:hint="eastAsia"/>
            </w:rPr>
            <w:t>法律</w:t>
          </w:r>
          <w:r>
            <w:t>法规规范标准要求，持续压实各级企业责任，扎实做好安全和生态环保各项工作，坚持固本强基，守住红线底线，实现了17,459万安全工时，新增标准化达标企业1家，持续保持了安全环保平稳态势。全年，公司持续强化资源保障，累计安全环保投入超5.75亿元，不断强化风险防范，组织安全环保检查19,960次，其中</w:t>
          </w:r>
          <w:r>
            <w:rPr>
              <w:rFonts w:hint="eastAsia"/>
            </w:rPr>
            <w:t>，</w:t>
          </w:r>
          <w:r>
            <w:t>领导带队检查次数3,473次，排查各类隐患51,196项，整改完成率为100%；全面提升人员能力，开展各类应急演练1,923次，累计演练59,350人次；全级次共签订安全生产责任书48,149份，环境保护责任书46,791份，签订率100%；全面完成了年度安全环保各项目标、指标。</w:t>
          </w:r>
        </w:p>
      </w:sdtContent>
    </w:sdt>
    <w:p w14:paraId="0130130A" w14:textId="77777777" w:rsidR="00E57DAA" w:rsidRDefault="00E57DAA">
      <w:pPr>
        <w:pStyle w:val="14"/>
        <w:snapToGrid w:val="0"/>
        <w:spacing w:before="60" w:after="60"/>
        <w:ind w:firstLineChars="0" w:firstLine="0"/>
        <w:sectPr w:rsidR="00E57DAA" w:rsidSect="00226547">
          <w:pgSz w:w="11906" w:h="16838"/>
          <w:pgMar w:top="1525" w:right="1276" w:bottom="1440" w:left="1797" w:header="855" w:footer="992" w:gutter="0"/>
          <w:cols w:space="425"/>
          <w:docGrid w:linePitch="312"/>
        </w:sectPr>
      </w:pPr>
    </w:p>
    <w:p w14:paraId="2C5724E6" w14:textId="77777777" w:rsidR="00E57DAA" w:rsidRDefault="00AC4185">
      <w:pPr>
        <w:pStyle w:val="3"/>
        <w:numPr>
          <w:ilvl w:val="0"/>
          <w:numId w:val="9"/>
        </w:numPr>
      </w:pPr>
      <w:r>
        <w:rPr>
          <w:rFonts w:hint="eastAsia"/>
        </w:rPr>
        <w:lastRenderedPageBreak/>
        <w:t>投资状况分析</w:t>
      </w:r>
    </w:p>
    <w:p w14:paraId="262F6339" w14:textId="77777777" w:rsidR="00E57DAA" w:rsidRDefault="00AC4185">
      <w:pPr>
        <w:rPr>
          <w:b/>
          <w:bCs/>
        </w:rPr>
      </w:pPr>
      <w:r>
        <w:rPr>
          <w:b/>
          <w:bCs/>
        </w:rPr>
        <w:t>对外股权投资总体分析</w:t>
      </w:r>
    </w:p>
    <w:bookmarkStart w:id="64" w:name="_Hlk533435130" w:displacedByCustomXml="next"/>
    <w:bookmarkEnd w:id="64" w:displacedByCustomXml="next"/>
    <w:bookmarkStart w:id="65" w:name="_Hlk533433706" w:displacedByCustomXml="next"/>
    <w:bookmarkEnd w:id="65" w:displacedByCustomXml="next"/>
    <w:bookmarkStart w:id="66" w:name="_Hlk533666971" w:displacedByCustomXml="next"/>
    <w:bookmarkEnd w:id="66" w:displacedByCustomXml="next"/>
    <w:bookmarkStart w:id="67" w:name="_Hlk533435360" w:displacedByCustomXml="next"/>
    <w:bookmarkEnd w:id="67" w:displacedByCustomXml="next"/>
    <w:sdt>
      <w:sdtPr>
        <w:rPr>
          <w:szCs w:val="21"/>
        </w:rPr>
        <w:alias w:val="是否适用：对外股权投资总体分析[双击切换]"/>
        <w:tag w:val="_GBC_cfb706fadf2c47bbbaf1bf90c054ccaf"/>
        <w:id w:val="-226295442"/>
        <w:placeholder>
          <w:docPart w:val="GBC22222222222222222222222222222"/>
        </w:placeholder>
      </w:sdtPr>
      <w:sdtEndPr/>
      <w:sdtContent>
        <w:p w14:paraId="02FE549F"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对外股权投资总体分析"/>
        <w:tag w:val="_GBC_fe6d59343f314ea694416d2e9d0fcf01"/>
        <w:id w:val="583351533"/>
        <w:placeholder>
          <w:docPart w:val="GBC22222222222222222222222222222"/>
        </w:placeholder>
      </w:sdtPr>
      <w:sdtEndPr/>
      <w:sdtContent>
        <w:p w14:paraId="7200F77E" w14:textId="77777777" w:rsidR="00E57DAA" w:rsidRDefault="00AC4185">
          <w:pPr>
            <w:snapToGrid w:val="0"/>
            <w:spacing w:line="288" w:lineRule="auto"/>
            <w:ind w:firstLineChars="200" w:firstLine="420"/>
            <w:rPr>
              <w:szCs w:val="21"/>
            </w:rPr>
          </w:pPr>
          <w:r>
            <w:rPr>
              <w:rFonts w:hint="eastAsia"/>
              <w:szCs w:val="21"/>
            </w:rPr>
            <w:t>报告期内，公司对外股权投资额为</w:t>
          </w:r>
          <w:r>
            <w:t>440</w:t>
          </w:r>
          <w:r>
            <w:rPr>
              <w:rFonts w:hint="eastAsia"/>
            </w:rPr>
            <w:t>,</w:t>
          </w:r>
          <w:r>
            <w:t>640.16</w:t>
          </w:r>
          <w:r>
            <w:rPr>
              <w:szCs w:val="21"/>
            </w:rPr>
            <w:t>万元，</w:t>
          </w:r>
          <w:r>
            <w:rPr>
              <w:rFonts w:hint="eastAsia"/>
              <w:szCs w:val="21"/>
            </w:rPr>
            <w:t>较上年同比增长</w:t>
          </w:r>
          <w:r>
            <w:t>366</w:t>
          </w:r>
          <w:r>
            <w:rPr>
              <w:rFonts w:hint="eastAsia"/>
            </w:rPr>
            <w:t>,</w:t>
          </w:r>
          <w:r>
            <w:t>865.09</w:t>
          </w:r>
          <w:r>
            <w:rPr>
              <w:rFonts w:hint="eastAsia"/>
              <w:szCs w:val="21"/>
            </w:rPr>
            <w:t xml:space="preserve"> </w:t>
          </w:r>
          <w:r>
            <w:rPr>
              <w:szCs w:val="21"/>
            </w:rPr>
            <w:t>万元，增幅为</w:t>
          </w:r>
          <w:r>
            <w:rPr>
              <w:rFonts w:hint="eastAsia"/>
              <w:szCs w:val="21"/>
            </w:rPr>
            <w:t>397.28</w:t>
          </w:r>
          <w:r>
            <w:rPr>
              <w:szCs w:val="21"/>
            </w:rPr>
            <w:t>%，</w:t>
          </w:r>
          <w:r>
            <w:rPr>
              <w:rFonts w:hint="eastAsia"/>
            </w:rPr>
            <w:t>主要是由于实施发行股份及支付现金购买合肥院1</w:t>
          </w:r>
          <w:r>
            <w:t>00%</w:t>
          </w:r>
          <w:r>
            <w:rPr>
              <w:rFonts w:hint="eastAsia"/>
            </w:rPr>
            <w:t>股权交易、支付增资中材水泥事项的部分增资款。</w:t>
          </w:r>
        </w:p>
      </w:sdtContent>
    </w:sdt>
    <w:p w14:paraId="2A2386EA" w14:textId="77777777" w:rsidR="00E57DAA" w:rsidRDefault="00E57DAA">
      <w:pPr>
        <w:rPr>
          <w:rFonts w:asciiTheme="minorEastAsia" w:eastAsiaTheme="minorEastAsia" w:hAnsiTheme="minorEastAsia"/>
          <w:szCs w:val="21"/>
        </w:rPr>
      </w:pPr>
    </w:p>
    <w:p w14:paraId="2FFB819F" w14:textId="77777777" w:rsidR="00E57DAA" w:rsidRDefault="00AC4185">
      <w:pPr>
        <w:pStyle w:val="4"/>
        <w:numPr>
          <w:ilvl w:val="0"/>
          <w:numId w:val="17"/>
        </w:numPr>
      </w:pPr>
      <w:r>
        <w:rPr>
          <w:rFonts w:hint="eastAsia"/>
        </w:rPr>
        <w:t>重大的股权投资</w:t>
      </w:r>
    </w:p>
    <w:sdt>
      <w:sdtPr>
        <w:rPr>
          <w:rFonts w:hint="eastAsia"/>
        </w:rPr>
        <w:alias w:val="是否适用：重大的股权投资[双击切换]"/>
        <w:tag w:val="_GBC_b20506918d854c13b13a3b89dd84c7d3"/>
        <w:id w:val="-1520230412"/>
        <w:placeholder>
          <w:docPart w:val="GBC22222222222222222222222222222"/>
        </w:placeholder>
      </w:sdtPr>
      <w:sdtEndPr/>
      <w:sdtContent>
        <w:p w14:paraId="5EA87698"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7FDA8A25" w14:textId="77777777" w:rsidR="00E57DAA" w:rsidRDefault="00AC4185">
      <w:pPr>
        <w:jc w:val="right"/>
      </w:pPr>
      <w:r>
        <w:rPr>
          <w:rFonts w:hint="eastAsia"/>
        </w:rPr>
        <w:t>单位：</w:t>
      </w:r>
      <w:sdt>
        <w:sdtPr>
          <w:rPr>
            <w:rFonts w:hint="eastAsia"/>
          </w:rPr>
          <w:alias w:val="单位：重大的股权投资"/>
          <w:tag w:val="_GBC_96e7f45f18474abea1a9b2ab31b6520a"/>
          <w:id w:val="44311933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重大的股权投资"/>
          <w:tag w:val="_GBC_efad39b1478445f8b40617b65fb1fcbb"/>
          <w:id w:val="-11060326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1427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34"/>
        <w:gridCol w:w="567"/>
        <w:gridCol w:w="425"/>
        <w:gridCol w:w="1145"/>
        <w:gridCol w:w="636"/>
        <w:gridCol w:w="487"/>
        <w:gridCol w:w="567"/>
        <w:gridCol w:w="426"/>
        <w:gridCol w:w="850"/>
        <w:gridCol w:w="425"/>
        <w:gridCol w:w="1276"/>
        <w:gridCol w:w="425"/>
        <w:gridCol w:w="426"/>
        <w:gridCol w:w="425"/>
        <w:gridCol w:w="1417"/>
        <w:gridCol w:w="2936"/>
      </w:tblGrid>
      <w:tr w:rsidR="00E57DAA" w14:paraId="3B75FEEA" w14:textId="77777777">
        <w:sdt>
          <w:sdtPr>
            <w:rPr>
              <w:rFonts w:hint="eastAsia"/>
              <w:color w:val="000000"/>
              <w:szCs w:val="21"/>
            </w:rPr>
            <w:tag w:val="_PLD_a054c5f1bc29497c87630c6d6acb2840"/>
            <w:id w:val="-940219884"/>
          </w:sdtPr>
          <w:sdtEndPr/>
          <w:sdtContent>
            <w:tc>
              <w:tcPr>
                <w:tcW w:w="704" w:type="dxa"/>
                <w:shd w:val="clear" w:color="auto" w:fill="auto"/>
                <w:vAlign w:val="center"/>
              </w:tcPr>
              <w:p w14:paraId="7DF2A0FA" w14:textId="77777777" w:rsidR="00E57DAA" w:rsidRDefault="00AC4185">
                <w:pPr>
                  <w:jc w:val="center"/>
                  <w:rPr>
                    <w:color w:val="000000"/>
                    <w:szCs w:val="21"/>
                  </w:rPr>
                </w:pPr>
                <w:r>
                  <w:rPr>
                    <w:rFonts w:hint="eastAsia"/>
                    <w:color w:val="000000"/>
                    <w:szCs w:val="21"/>
                  </w:rPr>
                  <w:t>被投资公司名称</w:t>
                </w:r>
              </w:p>
            </w:tc>
          </w:sdtContent>
        </w:sdt>
        <w:sdt>
          <w:sdtPr>
            <w:rPr>
              <w:rFonts w:hint="eastAsia"/>
              <w:color w:val="000000"/>
              <w:szCs w:val="21"/>
            </w:rPr>
            <w:tag w:val="_PLD_a1e004bb2c8a4b9da518f48f348e9afa"/>
            <w:id w:val="46646774"/>
          </w:sdtPr>
          <w:sdtEndPr/>
          <w:sdtContent>
            <w:tc>
              <w:tcPr>
                <w:tcW w:w="1134" w:type="dxa"/>
                <w:shd w:val="clear" w:color="auto" w:fill="auto"/>
                <w:vAlign w:val="center"/>
              </w:tcPr>
              <w:p w14:paraId="60169A9E" w14:textId="77777777" w:rsidR="00E57DAA" w:rsidRDefault="00AC4185">
                <w:pPr>
                  <w:jc w:val="center"/>
                  <w:rPr>
                    <w:color w:val="000000"/>
                    <w:szCs w:val="21"/>
                  </w:rPr>
                </w:pPr>
                <w:r>
                  <w:rPr>
                    <w:rFonts w:hint="eastAsia"/>
                    <w:color w:val="000000"/>
                    <w:szCs w:val="21"/>
                  </w:rPr>
                  <w:t>主要业务</w:t>
                </w:r>
              </w:p>
            </w:tc>
          </w:sdtContent>
        </w:sdt>
        <w:sdt>
          <w:sdtPr>
            <w:rPr>
              <w:rFonts w:hint="eastAsia"/>
              <w:color w:val="000000"/>
              <w:szCs w:val="21"/>
            </w:rPr>
            <w:tag w:val="_PLD_e2649e50d0794f7d8b120fed5ec2ae5d"/>
            <w:id w:val="-576210849"/>
          </w:sdtPr>
          <w:sdtEndPr/>
          <w:sdtContent>
            <w:tc>
              <w:tcPr>
                <w:tcW w:w="567" w:type="dxa"/>
                <w:vAlign w:val="center"/>
              </w:tcPr>
              <w:p w14:paraId="5E368CB8" w14:textId="77777777" w:rsidR="00E57DAA" w:rsidRDefault="00AC4185">
                <w:pPr>
                  <w:jc w:val="center"/>
                  <w:rPr>
                    <w:color w:val="000000"/>
                    <w:szCs w:val="21"/>
                  </w:rPr>
                </w:pPr>
                <w:r>
                  <w:rPr>
                    <w:rFonts w:hint="eastAsia"/>
                    <w:color w:val="000000"/>
                    <w:szCs w:val="21"/>
                  </w:rPr>
                  <w:t>标的是否主营投资业务</w:t>
                </w:r>
              </w:p>
            </w:tc>
          </w:sdtContent>
        </w:sdt>
        <w:sdt>
          <w:sdtPr>
            <w:rPr>
              <w:rFonts w:hint="eastAsia"/>
              <w:color w:val="000000"/>
              <w:szCs w:val="21"/>
            </w:rPr>
            <w:tag w:val="_PLD_b162f442b33748cfa8a4d0fa9f92d359"/>
            <w:id w:val="1858844341"/>
          </w:sdtPr>
          <w:sdtEndPr/>
          <w:sdtContent>
            <w:tc>
              <w:tcPr>
                <w:tcW w:w="425" w:type="dxa"/>
                <w:shd w:val="clear" w:color="auto" w:fill="auto"/>
                <w:vAlign w:val="center"/>
              </w:tcPr>
              <w:p w14:paraId="6DC14934" w14:textId="77777777" w:rsidR="00E57DAA" w:rsidRDefault="00AC4185">
                <w:pPr>
                  <w:jc w:val="center"/>
                  <w:rPr>
                    <w:color w:val="000000"/>
                    <w:szCs w:val="21"/>
                  </w:rPr>
                </w:pPr>
                <w:r>
                  <w:rPr>
                    <w:rFonts w:hint="eastAsia"/>
                    <w:color w:val="000000"/>
                    <w:szCs w:val="21"/>
                  </w:rPr>
                  <w:t>投资方式</w:t>
                </w:r>
              </w:p>
            </w:tc>
          </w:sdtContent>
        </w:sdt>
        <w:sdt>
          <w:sdtPr>
            <w:rPr>
              <w:rFonts w:hint="eastAsia"/>
              <w:color w:val="000000"/>
              <w:szCs w:val="21"/>
            </w:rPr>
            <w:tag w:val="_PLD_aea0412aac6d49dfaf7f78ef2ede7e2f"/>
            <w:id w:val="-1277402030"/>
          </w:sdtPr>
          <w:sdtEndPr/>
          <w:sdtContent>
            <w:tc>
              <w:tcPr>
                <w:tcW w:w="1145" w:type="dxa"/>
                <w:shd w:val="clear" w:color="auto" w:fill="auto"/>
                <w:vAlign w:val="center"/>
              </w:tcPr>
              <w:p w14:paraId="2B225258" w14:textId="77777777" w:rsidR="00E57DAA" w:rsidRDefault="00AC4185">
                <w:pPr>
                  <w:jc w:val="center"/>
                  <w:rPr>
                    <w:color w:val="000000"/>
                    <w:szCs w:val="21"/>
                  </w:rPr>
                </w:pPr>
                <w:r>
                  <w:rPr>
                    <w:rFonts w:hint="eastAsia"/>
                    <w:color w:val="000000"/>
                    <w:szCs w:val="21"/>
                  </w:rPr>
                  <w:t>投资金额</w:t>
                </w:r>
              </w:p>
            </w:tc>
          </w:sdtContent>
        </w:sdt>
        <w:sdt>
          <w:sdtPr>
            <w:rPr>
              <w:rFonts w:hint="eastAsia"/>
              <w:color w:val="000000"/>
              <w:szCs w:val="21"/>
            </w:rPr>
            <w:tag w:val="_PLD_3c6bb9a0405b4c6eae97b9ffd3020891"/>
            <w:id w:val="9419681"/>
          </w:sdtPr>
          <w:sdtEndPr/>
          <w:sdtContent>
            <w:tc>
              <w:tcPr>
                <w:tcW w:w="636" w:type="dxa"/>
                <w:shd w:val="clear" w:color="auto" w:fill="auto"/>
                <w:vAlign w:val="center"/>
              </w:tcPr>
              <w:p w14:paraId="5EBDB696" w14:textId="77777777" w:rsidR="00E57DAA" w:rsidRDefault="00AC4185">
                <w:pPr>
                  <w:jc w:val="center"/>
                  <w:rPr>
                    <w:color w:val="000000"/>
                    <w:szCs w:val="21"/>
                  </w:rPr>
                </w:pPr>
                <w:r>
                  <w:rPr>
                    <w:rFonts w:hint="eastAsia"/>
                    <w:color w:val="000000"/>
                    <w:szCs w:val="21"/>
                  </w:rPr>
                  <w:t>持股比例</w:t>
                </w:r>
              </w:p>
            </w:tc>
          </w:sdtContent>
        </w:sdt>
        <w:sdt>
          <w:sdtPr>
            <w:rPr>
              <w:rFonts w:hint="eastAsia"/>
              <w:color w:val="000000"/>
              <w:szCs w:val="21"/>
            </w:rPr>
            <w:tag w:val="_PLD_f99930313def4e9eb5d7063d288dd0c2"/>
            <w:id w:val="2073923608"/>
          </w:sdtPr>
          <w:sdtEndPr/>
          <w:sdtContent>
            <w:tc>
              <w:tcPr>
                <w:tcW w:w="487" w:type="dxa"/>
                <w:shd w:val="clear" w:color="auto" w:fill="auto"/>
                <w:vAlign w:val="center"/>
              </w:tcPr>
              <w:p w14:paraId="2F12704F" w14:textId="77777777" w:rsidR="00E57DAA" w:rsidRDefault="00AC4185">
                <w:pPr>
                  <w:jc w:val="center"/>
                  <w:rPr>
                    <w:color w:val="000000"/>
                    <w:szCs w:val="21"/>
                  </w:rPr>
                </w:pPr>
                <w:r>
                  <w:rPr>
                    <w:rFonts w:hint="eastAsia"/>
                    <w:color w:val="000000"/>
                    <w:szCs w:val="21"/>
                  </w:rPr>
                  <w:t>是否并表</w:t>
                </w:r>
              </w:p>
            </w:tc>
          </w:sdtContent>
        </w:sdt>
        <w:sdt>
          <w:sdtPr>
            <w:rPr>
              <w:rFonts w:hint="eastAsia"/>
              <w:color w:val="000000"/>
              <w:szCs w:val="21"/>
            </w:rPr>
            <w:tag w:val="_PLD_26581a77f14f4792b755d4f0e5ab3464"/>
            <w:id w:val="970872072"/>
          </w:sdtPr>
          <w:sdtEndPr/>
          <w:sdtContent>
            <w:tc>
              <w:tcPr>
                <w:tcW w:w="567" w:type="dxa"/>
                <w:shd w:val="clear" w:color="auto" w:fill="auto"/>
                <w:vAlign w:val="center"/>
              </w:tcPr>
              <w:p w14:paraId="716B5C0A" w14:textId="77777777" w:rsidR="00E57DAA" w:rsidRDefault="00AC4185">
                <w:pPr>
                  <w:jc w:val="center"/>
                  <w:rPr>
                    <w:color w:val="000000"/>
                    <w:szCs w:val="21"/>
                  </w:rPr>
                </w:pPr>
                <w:r>
                  <w:rPr>
                    <w:rFonts w:hint="eastAsia"/>
                    <w:color w:val="000000"/>
                    <w:szCs w:val="21"/>
                  </w:rPr>
                  <w:t>报表科目（如适用）</w:t>
                </w:r>
              </w:p>
            </w:tc>
          </w:sdtContent>
        </w:sdt>
        <w:sdt>
          <w:sdtPr>
            <w:rPr>
              <w:rFonts w:hint="eastAsia"/>
              <w:color w:val="000000"/>
              <w:szCs w:val="21"/>
            </w:rPr>
            <w:tag w:val="_PLD_8ff767e612e04cdeb3c396fea6238aa2"/>
            <w:id w:val="1728654106"/>
          </w:sdtPr>
          <w:sdtEndPr/>
          <w:sdtContent>
            <w:tc>
              <w:tcPr>
                <w:tcW w:w="426" w:type="dxa"/>
                <w:shd w:val="clear" w:color="auto" w:fill="auto"/>
                <w:vAlign w:val="center"/>
              </w:tcPr>
              <w:p w14:paraId="3EB6E791" w14:textId="77777777" w:rsidR="00E57DAA" w:rsidRDefault="00AC4185">
                <w:pPr>
                  <w:jc w:val="center"/>
                  <w:rPr>
                    <w:color w:val="000000"/>
                    <w:szCs w:val="21"/>
                  </w:rPr>
                </w:pPr>
                <w:r>
                  <w:rPr>
                    <w:rFonts w:hint="eastAsia"/>
                    <w:color w:val="000000"/>
                    <w:szCs w:val="21"/>
                  </w:rPr>
                  <w:t>资金来源</w:t>
                </w:r>
              </w:p>
            </w:tc>
          </w:sdtContent>
        </w:sdt>
        <w:sdt>
          <w:sdtPr>
            <w:rPr>
              <w:rFonts w:hint="eastAsia"/>
              <w:color w:val="000000"/>
              <w:szCs w:val="21"/>
            </w:rPr>
            <w:tag w:val="_PLD_54cf4717f9854bf29615fba206f2098a"/>
            <w:id w:val="-739171685"/>
          </w:sdtPr>
          <w:sdtEndPr/>
          <w:sdtContent>
            <w:tc>
              <w:tcPr>
                <w:tcW w:w="850" w:type="dxa"/>
                <w:shd w:val="clear" w:color="auto" w:fill="auto"/>
                <w:vAlign w:val="center"/>
              </w:tcPr>
              <w:p w14:paraId="09DE69F0" w14:textId="77777777" w:rsidR="00E57DAA" w:rsidRDefault="00AC4185">
                <w:pPr>
                  <w:jc w:val="center"/>
                  <w:rPr>
                    <w:color w:val="000000"/>
                    <w:szCs w:val="21"/>
                  </w:rPr>
                </w:pPr>
                <w:r>
                  <w:rPr>
                    <w:rFonts w:hint="eastAsia"/>
                    <w:color w:val="000000"/>
                    <w:szCs w:val="21"/>
                  </w:rPr>
                  <w:t>合作方（如适用）</w:t>
                </w:r>
              </w:p>
            </w:tc>
          </w:sdtContent>
        </w:sdt>
        <w:sdt>
          <w:sdtPr>
            <w:rPr>
              <w:rFonts w:hint="eastAsia"/>
              <w:color w:val="000000"/>
              <w:szCs w:val="21"/>
            </w:rPr>
            <w:tag w:val="_PLD_acd01c8a891045168e34dd91f863cdbd"/>
            <w:id w:val="-427654722"/>
          </w:sdtPr>
          <w:sdtEndPr/>
          <w:sdtContent>
            <w:tc>
              <w:tcPr>
                <w:tcW w:w="425" w:type="dxa"/>
                <w:shd w:val="clear" w:color="auto" w:fill="auto"/>
                <w:vAlign w:val="center"/>
              </w:tcPr>
              <w:p w14:paraId="3492E1DF" w14:textId="77777777" w:rsidR="00E57DAA" w:rsidRDefault="00AC4185">
                <w:pPr>
                  <w:jc w:val="center"/>
                  <w:rPr>
                    <w:color w:val="000000"/>
                    <w:szCs w:val="21"/>
                  </w:rPr>
                </w:pPr>
                <w:r>
                  <w:rPr>
                    <w:rFonts w:hint="eastAsia"/>
                    <w:color w:val="000000"/>
                    <w:szCs w:val="21"/>
                  </w:rPr>
                  <w:t>投资期限（如有）</w:t>
                </w:r>
              </w:p>
            </w:tc>
          </w:sdtContent>
        </w:sdt>
        <w:sdt>
          <w:sdtPr>
            <w:rPr>
              <w:rFonts w:hint="eastAsia"/>
              <w:color w:val="000000"/>
              <w:szCs w:val="21"/>
            </w:rPr>
            <w:tag w:val="_PLD_6fd3a48800ca4880b60875025be161bb"/>
            <w:id w:val="-1523619126"/>
          </w:sdtPr>
          <w:sdtEndPr/>
          <w:sdtContent>
            <w:tc>
              <w:tcPr>
                <w:tcW w:w="1276" w:type="dxa"/>
                <w:shd w:val="clear" w:color="auto" w:fill="auto"/>
                <w:vAlign w:val="center"/>
              </w:tcPr>
              <w:p w14:paraId="01EFFF02" w14:textId="77777777" w:rsidR="00E57DAA" w:rsidRDefault="00AC4185">
                <w:pPr>
                  <w:jc w:val="center"/>
                  <w:rPr>
                    <w:color w:val="000000"/>
                    <w:szCs w:val="21"/>
                  </w:rPr>
                </w:pPr>
                <w:r>
                  <w:rPr>
                    <w:rFonts w:hint="eastAsia"/>
                    <w:color w:val="000000"/>
                    <w:szCs w:val="21"/>
                  </w:rPr>
                  <w:t>截至资产负债表日的进展情况</w:t>
                </w:r>
              </w:p>
            </w:tc>
          </w:sdtContent>
        </w:sdt>
        <w:sdt>
          <w:sdtPr>
            <w:rPr>
              <w:rFonts w:hint="eastAsia"/>
              <w:color w:val="000000"/>
              <w:szCs w:val="21"/>
            </w:rPr>
            <w:tag w:val="_PLD_42ad11dcb59c486b9c5849db8447600e"/>
            <w:id w:val="227272252"/>
          </w:sdtPr>
          <w:sdtEndPr/>
          <w:sdtContent>
            <w:tc>
              <w:tcPr>
                <w:tcW w:w="425" w:type="dxa"/>
                <w:shd w:val="clear" w:color="auto" w:fill="auto"/>
                <w:vAlign w:val="center"/>
              </w:tcPr>
              <w:p w14:paraId="6F169EC7" w14:textId="77777777" w:rsidR="00E57DAA" w:rsidRDefault="00AC4185">
                <w:pPr>
                  <w:jc w:val="center"/>
                  <w:rPr>
                    <w:color w:val="000000"/>
                    <w:szCs w:val="21"/>
                  </w:rPr>
                </w:pPr>
                <w:r>
                  <w:rPr>
                    <w:rFonts w:hint="eastAsia"/>
                    <w:color w:val="000000"/>
                    <w:szCs w:val="21"/>
                  </w:rPr>
                  <w:t>预计收益（如有）</w:t>
                </w:r>
              </w:p>
            </w:tc>
          </w:sdtContent>
        </w:sdt>
        <w:sdt>
          <w:sdtPr>
            <w:rPr>
              <w:rFonts w:hint="eastAsia"/>
              <w:color w:val="000000"/>
              <w:szCs w:val="21"/>
            </w:rPr>
            <w:tag w:val="_PLD_53e14d85db8e4927a8f87eba54a5ae80"/>
            <w:id w:val="-11913847"/>
          </w:sdtPr>
          <w:sdtEndPr/>
          <w:sdtContent>
            <w:tc>
              <w:tcPr>
                <w:tcW w:w="426" w:type="dxa"/>
                <w:shd w:val="clear" w:color="auto" w:fill="auto"/>
                <w:vAlign w:val="center"/>
              </w:tcPr>
              <w:p w14:paraId="51D63B32" w14:textId="77777777" w:rsidR="00E57DAA" w:rsidRDefault="00AC4185">
                <w:pPr>
                  <w:jc w:val="center"/>
                  <w:rPr>
                    <w:color w:val="000000"/>
                    <w:szCs w:val="21"/>
                  </w:rPr>
                </w:pPr>
                <w:r>
                  <w:rPr>
                    <w:rFonts w:hint="eastAsia"/>
                    <w:color w:val="000000"/>
                    <w:szCs w:val="21"/>
                  </w:rPr>
                  <w:t>本期损益影响</w:t>
                </w:r>
              </w:p>
            </w:tc>
          </w:sdtContent>
        </w:sdt>
        <w:sdt>
          <w:sdtPr>
            <w:rPr>
              <w:rFonts w:hint="eastAsia"/>
              <w:color w:val="000000"/>
              <w:szCs w:val="21"/>
            </w:rPr>
            <w:tag w:val="_PLD_3b4edae7be1a41e7947bb6e43869b553"/>
            <w:id w:val="209390347"/>
          </w:sdtPr>
          <w:sdtEndPr/>
          <w:sdtContent>
            <w:tc>
              <w:tcPr>
                <w:tcW w:w="425" w:type="dxa"/>
                <w:shd w:val="clear" w:color="auto" w:fill="auto"/>
                <w:vAlign w:val="center"/>
              </w:tcPr>
              <w:p w14:paraId="22A9C428" w14:textId="77777777" w:rsidR="00E57DAA" w:rsidRDefault="00AC4185">
                <w:pPr>
                  <w:jc w:val="center"/>
                  <w:rPr>
                    <w:color w:val="000000"/>
                    <w:szCs w:val="21"/>
                  </w:rPr>
                </w:pPr>
                <w:r>
                  <w:rPr>
                    <w:rFonts w:hint="eastAsia"/>
                    <w:color w:val="000000"/>
                    <w:szCs w:val="21"/>
                  </w:rPr>
                  <w:t>是否涉诉</w:t>
                </w:r>
              </w:p>
            </w:tc>
          </w:sdtContent>
        </w:sdt>
        <w:sdt>
          <w:sdtPr>
            <w:rPr>
              <w:rFonts w:hint="eastAsia"/>
              <w:color w:val="000000"/>
              <w:szCs w:val="21"/>
            </w:rPr>
            <w:tag w:val="_PLD_957ccfee53564ed4a34b76afb3f1bc95"/>
            <w:id w:val="-363979937"/>
          </w:sdtPr>
          <w:sdtEndPr/>
          <w:sdtContent>
            <w:tc>
              <w:tcPr>
                <w:tcW w:w="1417" w:type="dxa"/>
                <w:shd w:val="clear" w:color="auto" w:fill="auto"/>
                <w:vAlign w:val="center"/>
              </w:tcPr>
              <w:p w14:paraId="65D707F3" w14:textId="77777777" w:rsidR="00E57DAA" w:rsidRDefault="00AC4185">
                <w:pPr>
                  <w:jc w:val="center"/>
                  <w:rPr>
                    <w:color w:val="000000"/>
                    <w:szCs w:val="21"/>
                  </w:rPr>
                </w:pPr>
                <w:r>
                  <w:rPr>
                    <w:rFonts w:hint="eastAsia"/>
                    <w:color w:val="000000"/>
                    <w:szCs w:val="21"/>
                  </w:rPr>
                  <w:t>披露日期（如有）</w:t>
                </w:r>
              </w:p>
            </w:tc>
          </w:sdtContent>
        </w:sdt>
        <w:sdt>
          <w:sdtPr>
            <w:rPr>
              <w:rFonts w:hint="eastAsia"/>
              <w:color w:val="000000"/>
              <w:szCs w:val="21"/>
            </w:rPr>
            <w:tag w:val="_PLD_f77e215aed16430c8c1dfff4dcd8f405"/>
            <w:id w:val="1187331198"/>
          </w:sdtPr>
          <w:sdtEndPr/>
          <w:sdtContent>
            <w:tc>
              <w:tcPr>
                <w:tcW w:w="2936" w:type="dxa"/>
                <w:shd w:val="clear" w:color="auto" w:fill="auto"/>
                <w:vAlign w:val="center"/>
              </w:tcPr>
              <w:p w14:paraId="0558D1D1" w14:textId="77777777" w:rsidR="00E57DAA" w:rsidRDefault="00AC4185">
                <w:pPr>
                  <w:jc w:val="center"/>
                  <w:rPr>
                    <w:color w:val="000000"/>
                    <w:szCs w:val="21"/>
                  </w:rPr>
                </w:pPr>
                <w:r>
                  <w:rPr>
                    <w:rFonts w:hint="eastAsia"/>
                    <w:color w:val="000000"/>
                    <w:szCs w:val="21"/>
                  </w:rPr>
                  <w:t>披露索引（如有）</w:t>
                </w:r>
              </w:p>
            </w:tc>
          </w:sdtContent>
        </w:sdt>
      </w:tr>
      <w:tr w:rsidR="00E57DAA" w14:paraId="36A9BFFA" w14:textId="77777777">
        <w:tc>
          <w:tcPr>
            <w:tcW w:w="704" w:type="dxa"/>
            <w:shd w:val="clear" w:color="auto" w:fill="auto"/>
          </w:tcPr>
          <w:p w14:paraId="38C1357E" w14:textId="77777777" w:rsidR="00E57DAA" w:rsidRDefault="00AC4185" w:rsidP="00C25422">
            <w:pPr>
              <w:pStyle w:val="92"/>
            </w:pPr>
            <w:r>
              <w:t>合肥水泥研究设计院有限公司</w:t>
            </w:r>
          </w:p>
        </w:tc>
        <w:tc>
          <w:tcPr>
            <w:tcW w:w="1134" w:type="dxa"/>
            <w:shd w:val="clear" w:color="auto" w:fill="auto"/>
          </w:tcPr>
          <w:p w14:paraId="672DFE7C" w14:textId="77777777" w:rsidR="00E57DAA" w:rsidRDefault="00AC4185">
            <w:pPr>
              <w:jc w:val="both"/>
            </w:pPr>
            <w:r>
              <w:t>以水泥为特色的无机非金属材料领域技术和装备的研发、生产和销售，以及提供配套技术服务，水</w:t>
            </w:r>
            <w:r>
              <w:lastRenderedPageBreak/>
              <w:t>泥生产技术的研发应用、装备制造和技术服务</w:t>
            </w:r>
          </w:p>
        </w:tc>
        <w:tc>
          <w:tcPr>
            <w:tcW w:w="567" w:type="dxa"/>
          </w:tcPr>
          <w:p w14:paraId="6A88C179" w14:textId="77777777" w:rsidR="00E57DAA" w:rsidRDefault="00AC4185" w:rsidP="00C25422">
            <w:pPr>
              <w:pStyle w:val="92"/>
            </w:pPr>
            <w:r>
              <w:rPr>
                <w:rFonts w:hint="eastAsia"/>
              </w:rPr>
              <w:lastRenderedPageBreak/>
              <w:t>否</w:t>
            </w:r>
          </w:p>
        </w:tc>
        <w:tc>
          <w:tcPr>
            <w:tcW w:w="425" w:type="dxa"/>
            <w:shd w:val="clear" w:color="auto" w:fill="auto"/>
          </w:tcPr>
          <w:p w14:paraId="1B73246A" w14:textId="77777777" w:rsidR="00E57DAA" w:rsidRDefault="00AC4185" w:rsidP="00C25422">
            <w:pPr>
              <w:pStyle w:val="92"/>
            </w:pPr>
            <w:r>
              <w:rPr>
                <w:rFonts w:hint="eastAsia"/>
              </w:rPr>
              <w:t>收购</w:t>
            </w:r>
          </w:p>
        </w:tc>
        <w:tc>
          <w:tcPr>
            <w:tcW w:w="1145" w:type="dxa"/>
            <w:shd w:val="clear" w:color="auto" w:fill="auto"/>
          </w:tcPr>
          <w:p w14:paraId="2B48A7BD" w14:textId="77777777" w:rsidR="00E57DAA" w:rsidRDefault="00AC4185">
            <w:pPr>
              <w:jc w:val="right"/>
              <w:rPr>
                <w:sz w:val="18"/>
                <w:szCs w:val="18"/>
              </w:rPr>
            </w:pPr>
            <w:r>
              <w:rPr>
                <w:sz w:val="18"/>
                <w:szCs w:val="18"/>
              </w:rPr>
              <w:t>364,720</w:t>
            </w:r>
          </w:p>
        </w:tc>
        <w:tc>
          <w:tcPr>
            <w:tcW w:w="636" w:type="dxa"/>
            <w:shd w:val="clear" w:color="auto" w:fill="auto"/>
          </w:tcPr>
          <w:p w14:paraId="1D57BE1A" w14:textId="77777777" w:rsidR="00E57DAA" w:rsidRDefault="00AC4185">
            <w:pPr>
              <w:jc w:val="center"/>
              <w:rPr>
                <w:sz w:val="18"/>
                <w:szCs w:val="18"/>
              </w:rPr>
            </w:pPr>
            <w:r>
              <w:rPr>
                <w:sz w:val="18"/>
                <w:szCs w:val="18"/>
              </w:rPr>
              <w:t>100%</w:t>
            </w:r>
          </w:p>
        </w:tc>
        <w:tc>
          <w:tcPr>
            <w:tcW w:w="487" w:type="dxa"/>
            <w:shd w:val="clear" w:color="auto" w:fill="auto"/>
          </w:tcPr>
          <w:p w14:paraId="4A24A703" w14:textId="77777777" w:rsidR="00E57DAA" w:rsidRDefault="00AC4185">
            <w:pPr>
              <w:jc w:val="center"/>
            </w:pPr>
            <w:r>
              <w:rPr>
                <w:rFonts w:hint="eastAsia"/>
              </w:rPr>
              <w:t>是</w:t>
            </w:r>
          </w:p>
        </w:tc>
        <w:tc>
          <w:tcPr>
            <w:tcW w:w="567" w:type="dxa"/>
            <w:shd w:val="clear" w:color="auto" w:fill="auto"/>
          </w:tcPr>
          <w:p w14:paraId="7B280770" w14:textId="77777777" w:rsidR="00E57DAA" w:rsidRDefault="00AC4185" w:rsidP="00C25422">
            <w:pPr>
              <w:pStyle w:val="92"/>
            </w:pPr>
            <w:r>
              <w:t>长期股权投资</w:t>
            </w:r>
          </w:p>
        </w:tc>
        <w:tc>
          <w:tcPr>
            <w:tcW w:w="426" w:type="dxa"/>
            <w:shd w:val="clear" w:color="auto" w:fill="auto"/>
          </w:tcPr>
          <w:p w14:paraId="49B23C5D" w14:textId="77777777" w:rsidR="00E57DAA" w:rsidRDefault="00AC4185" w:rsidP="00C25422">
            <w:pPr>
              <w:pStyle w:val="92"/>
            </w:pPr>
            <w:r>
              <w:rPr>
                <w:rFonts w:hint="eastAsia"/>
              </w:rPr>
              <w:t>自有资金</w:t>
            </w:r>
          </w:p>
        </w:tc>
        <w:tc>
          <w:tcPr>
            <w:tcW w:w="850" w:type="dxa"/>
            <w:shd w:val="clear" w:color="auto" w:fill="auto"/>
          </w:tcPr>
          <w:p w14:paraId="55C28C2F" w14:textId="77777777" w:rsidR="00E57DAA" w:rsidRDefault="00AC4185" w:rsidP="00C25422">
            <w:pPr>
              <w:pStyle w:val="92"/>
            </w:pPr>
            <w:r>
              <w:t>无</w:t>
            </w:r>
          </w:p>
        </w:tc>
        <w:tc>
          <w:tcPr>
            <w:tcW w:w="425" w:type="dxa"/>
            <w:shd w:val="clear" w:color="auto" w:fill="auto"/>
          </w:tcPr>
          <w:p w14:paraId="2388BD18" w14:textId="77777777" w:rsidR="00E57DAA" w:rsidRDefault="00AC4185" w:rsidP="00C25422">
            <w:pPr>
              <w:pStyle w:val="92"/>
            </w:pPr>
            <w:r>
              <w:t>无</w:t>
            </w:r>
          </w:p>
        </w:tc>
        <w:tc>
          <w:tcPr>
            <w:tcW w:w="1276" w:type="dxa"/>
            <w:shd w:val="clear" w:color="auto" w:fill="auto"/>
          </w:tcPr>
          <w:p w14:paraId="4FCB0946" w14:textId="77777777" w:rsidR="00E57DAA" w:rsidRDefault="00AC4185">
            <w:pPr>
              <w:jc w:val="both"/>
            </w:pPr>
            <w:r>
              <w:t>合肥院100%股权已登记至中材国际名下，公司已向交易对方支付全部对价。</w:t>
            </w:r>
          </w:p>
        </w:tc>
        <w:tc>
          <w:tcPr>
            <w:tcW w:w="425" w:type="dxa"/>
            <w:shd w:val="clear" w:color="auto" w:fill="auto"/>
          </w:tcPr>
          <w:p w14:paraId="3B2FAE2D" w14:textId="77777777" w:rsidR="00E57DAA" w:rsidRDefault="00AC4185">
            <w:pPr>
              <w:jc w:val="right"/>
            </w:pPr>
            <w:r>
              <w:rPr>
                <w:rFonts w:hint="eastAsia"/>
              </w:rPr>
              <w:t>-</w:t>
            </w:r>
          </w:p>
        </w:tc>
        <w:tc>
          <w:tcPr>
            <w:tcW w:w="426" w:type="dxa"/>
            <w:shd w:val="clear" w:color="auto" w:fill="auto"/>
          </w:tcPr>
          <w:p w14:paraId="2F39D5D5" w14:textId="77777777" w:rsidR="00E57DAA" w:rsidRDefault="00AC4185">
            <w:pPr>
              <w:jc w:val="right"/>
            </w:pPr>
            <w:r>
              <w:rPr>
                <w:rFonts w:hint="eastAsia"/>
              </w:rPr>
              <w:t>-</w:t>
            </w:r>
          </w:p>
        </w:tc>
        <w:tc>
          <w:tcPr>
            <w:tcW w:w="425" w:type="dxa"/>
            <w:shd w:val="clear" w:color="auto" w:fill="auto"/>
          </w:tcPr>
          <w:p w14:paraId="58CD0BEB" w14:textId="77777777" w:rsidR="00E57DAA" w:rsidRDefault="00AC4185">
            <w:pPr>
              <w:jc w:val="center"/>
            </w:pPr>
            <w:r>
              <w:rPr>
                <w:rFonts w:hint="eastAsia"/>
              </w:rPr>
              <w:t>否</w:t>
            </w:r>
          </w:p>
        </w:tc>
        <w:tc>
          <w:tcPr>
            <w:tcW w:w="1417" w:type="dxa"/>
            <w:shd w:val="clear" w:color="auto" w:fill="auto"/>
          </w:tcPr>
          <w:p w14:paraId="4D4F1169" w14:textId="77777777" w:rsidR="00E57DAA" w:rsidRDefault="00AC4185">
            <w:pPr>
              <w:jc w:val="both"/>
              <w:rPr>
                <w:sz w:val="18"/>
                <w:szCs w:val="18"/>
              </w:rPr>
            </w:pPr>
            <w:r>
              <w:rPr>
                <w:rFonts w:hint="eastAsia"/>
                <w:sz w:val="18"/>
                <w:szCs w:val="18"/>
              </w:rPr>
              <w:t>2</w:t>
            </w:r>
            <w:r>
              <w:rPr>
                <w:sz w:val="18"/>
                <w:szCs w:val="18"/>
              </w:rPr>
              <w:t>023-02-15</w:t>
            </w:r>
            <w:r>
              <w:rPr>
                <w:rFonts w:hint="eastAsia"/>
                <w:sz w:val="18"/>
                <w:szCs w:val="18"/>
              </w:rPr>
              <w:t>；</w:t>
            </w:r>
          </w:p>
          <w:p w14:paraId="6D5BB738" w14:textId="77777777" w:rsidR="00E57DAA" w:rsidRDefault="00AC4185">
            <w:pPr>
              <w:rPr>
                <w:sz w:val="18"/>
                <w:szCs w:val="18"/>
              </w:rPr>
            </w:pPr>
            <w:r>
              <w:rPr>
                <w:rFonts w:hint="eastAsia"/>
                <w:sz w:val="18"/>
                <w:szCs w:val="18"/>
              </w:rPr>
              <w:t>2</w:t>
            </w:r>
            <w:r>
              <w:rPr>
                <w:sz w:val="18"/>
                <w:szCs w:val="18"/>
              </w:rPr>
              <w:t>023-03-02</w:t>
            </w:r>
          </w:p>
        </w:tc>
        <w:tc>
          <w:tcPr>
            <w:tcW w:w="2936" w:type="dxa"/>
            <w:shd w:val="clear" w:color="auto" w:fill="auto"/>
          </w:tcPr>
          <w:p w14:paraId="7290C385" w14:textId="77777777" w:rsidR="00E57DAA" w:rsidRDefault="00AC4185">
            <w:pPr>
              <w:jc w:val="both"/>
            </w:pPr>
            <w:r>
              <w:rPr>
                <w:rFonts w:hint="eastAsia"/>
              </w:rPr>
              <w:t>《关于发行股份及支付现金购买资产暨关联交易之标的资产过户完成的公告》（临2</w:t>
            </w:r>
            <w:r>
              <w:t>023-016</w:t>
            </w:r>
            <w:r>
              <w:rPr>
                <w:rFonts w:hint="eastAsia"/>
              </w:rPr>
              <w:t>）；《关于发行股份及支付现金购买资产暨关联交易之发行股份购买资产发行结果暨股本变动公告》（临2</w:t>
            </w:r>
            <w:r>
              <w:t>023-020）</w:t>
            </w:r>
            <w:r>
              <w:rPr>
                <w:rFonts w:hint="eastAsia"/>
              </w:rPr>
              <w:t>。</w:t>
            </w:r>
          </w:p>
        </w:tc>
      </w:tr>
      <w:tr w:rsidR="00E57DAA" w14:paraId="47DE6F31" w14:textId="77777777">
        <w:tc>
          <w:tcPr>
            <w:tcW w:w="704" w:type="dxa"/>
            <w:shd w:val="clear" w:color="auto" w:fill="auto"/>
          </w:tcPr>
          <w:p w14:paraId="29369AA3" w14:textId="77777777" w:rsidR="00E57DAA" w:rsidRDefault="00AC4185" w:rsidP="00C25422">
            <w:pPr>
              <w:pStyle w:val="92"/>
            </w:pPr>
            <w:r>
              <w:t>中材水泥有限责任公司</w:t>
            </w:r>
          </w:p>
        </w:tc>
        <w:tc>
          <w:tcPr>
            <w:tcW w:w="1134" w:type="dxa"/>
            <w:shd w:val="clear" w:color="auto" w:fill="auto"/>
          </w:tcPr>
          <w:p w14:paraId="2ED71743" w14:textId="77777777" w:rsidR="00E57DAA" w:rsidRDefault="00AC4185">
            <w:pPr>
              <w:jc w:val="both"/>
            </w:pPr>
            <w:r>
              <w:t>生产水泥、水泥辅料及水泥制品；销售水泥、水泥辅料及水泥制品等</w:t>
            </w:r>
          </w:p>
        </w:tc>
        <w:tc>
          <w:tcPr>
            <w:tcW w:w="567" w:type="dxa"/>
          </w:tcPr>
          <w:p w14:paraId="0CA43A16" w14:textId="77777777" w:rsidR="00E57DAA" w:rsidRDefault="00AC4185" w:rsidP="00C25422">
            <w:pPr>
              <w:pStyle w:val="92"/>
            </w:pPr>
            <w:r>
              <w:rPr>
                <w:rFonts w:hint="eastAsia"/>
              </w:rPr>
              <w:t>否</w:t>
            </w:r>
          </w:p>
        </w:tc>
        <w:tc>
          <w:tcPr>
            <w:tcW w:w="425" w:type="dxa"/>
            <w:shd w:val="clear" w:color="auto" w:fill="auto"/>
          </w:tcPr>
          <w:p w14:paraId="1355222E" w14:textId="77777777" w:rsidR="00E57DAA" w:rsidRDefault="00AC4185" w:rsidP="00C25422">
            <w:pPr>
              <w:pStyle w:val="92"/>
            </w:pPr>
            <w:r>
              <w:t>增资</w:t>
            </w:r>
          </w:p>
        </w:tc>
        <w:tc>
          <w:tcPr>
            <w:tcW w:w="1145" w:type="dxa"/>
            <w:shd w:val="clear" w:color="auto" w:fill="auto"/>
          </w:tcPr>
          <w:p w14:paraId="440CFD6D" w14:textId="77777777" w:rsidR="00E57DAA" w:rsidRDefault="00AC4185">
            <w:pPr>
              <w:jc w:val="right"/>
              <w:rPr>
                <w:sz w:val="18"/>
                <w:szCs w:val="18"/>
              </w:rPr>
            </w:pPr>
            <w:r>
              <w:rPr>
                <w:sz w:val="18"/>
                <w:szCs w:val="18"/>
              </w:rPr>
              <w:t>408,567.39</w:t>
            </w:r>
          </w:p>
        </w:tc>
        <w:tc>
          <w:tcPr>
            <w:tcW w:w="636" w:type="dxa"/>
            <w:shd w:val="clear" w:color="auto" w:fill="auto"/>
          </w:tcPr>
          <w:p w14:paraId="416319B6" w14:textId="77777777" w:rsidR="00E57DAA" w:rsidRDefault="00AC4185">
            <w:pPr>
              <w:jc w:val="center"/>
              <w:rPr>
                <w:sz w:val="18"/>
                <w:szCs w:val="18"/>
              </w:rPr>
            </w:pPr>
            <w:r>
              <w:rPr>
                <w:sz w:val="18"/>
                <w:szCs w:val="18"/>
              </w:rPr>
              <w:t>40%</w:t>
            </w:r>
          </w:p>
        </w:tc>
        <w:tc>
          <w:tcPr>
            <w:tcW w:w="487" w:type="dxa"/>
            <w:shd w:val="clear" w:color="auto" w:fill="auto"/>
          </w:tcPr>
          <w:p w14:paraId="11DE302A" w14:textId="77777777" w:rsidR="00E57DAA" w:rsidRDefault="00AC4185">
            <w:pPr>
              <w:jc w:val="center"/>
            </w:pPr>
            <w:r>
              <w:t>否</w:t>
            </w:r>
          </w:p>
        </w:tc>
        <w:tc>
          <w:tcPr>
            <w:tcW w:w="567" w:type="dxa"/>
            <w:shd w:val="clear" w:color="auto" w:fill="auto"/>
          </w:tcPr>
          <w:p w14:paraId="13EA74F5" w14:textId="77777777" w:rsidR="00E57DAA" w:rsidRDefault="00AC4185" w:rsidP="00C25422">
            <w:pPr>
              <w:pStyle w:val="92"/>
            </w:pPr>
            <w:r>
              <w:t>长期股权投资</w:t>
            </w:r>
          </w:p>
        </w:tc>
        <w:tc>
          <w:tcPr>
            <w:tcW w:w="426" w:type="dxa"/>
            <w:shd w:val="clear" w:color="auto" w:fill="auto"/>
          </w:tcPr>
          <w:p w14:paraId="2495893D" w14:textId="77777777" w:rsidR="00E57DAA" w:rsidRDefault="00AC4185" w:rsidP="00C25422">
            <w:pPr>
              <w:pStyle w:val="92"/>
            </w:pPr>
            <w:r>
              <w:rPr>
                <w:rFonts w:hint="eastAsia"/>
              </w:rPr>
              <w:t>自有及自筹资金</w:t>
            </w:r>
          </w:p>
        </w:tc>
        <w:tc>
          <w:tcPr>
            <w:tcW w:w="850" w:type="dxa"/>
            <w:shd w:val="clear" w:color="auto" w:fill="auto"/>
          </w:tcPr>
          <w:p w14:paraId="17BE9F69" w14:textId="77777777" w:rsidR="00E57DAA" w:rsidRDefault="00AC4185" w:rsidP="00C25422">
            <w:pPr>
              <w:pStyle w:val="92"/>
            </w:pPr>
            <w:r>
              <w:t>新疆天山水泥股份有限公司</w:t>
            </w:r>
          </w:p>
        </w:tc>
        <w:tc>
          <w:tcPr>
            <w:tcW w:w="425" w:type="dxa"/>
            <w:shd w:val="clear" w:color="auto" w:fill="auto"/>
          </w:tcPr>
          <w:p w14:paraId="06F6461B" w14:textId="77777777" w:rsidR="00E57DAA" w:rsidRDefault="00AC4185" w:rsidP="00C25422">
            <w:pPr>
              <w:pStyle w:val="92"/>
            </w:pPr>
            <w:r>
              <w:t>无</w:t>
            </w:r>
          </w:p>
        </w:tc>
        <w:tc>
          <w:tcPr>
            <w:tcW w:w="1276" w:type="dxa"/>
            <w:shd w:val="clear" w:color="auto" w:fill="auto"/>
          </w:tcPr>
          <w:p w14:paraId="30EC2DCF" w14:textId="77777777" w:rsidR="00E57DAA" w:rsidRDefault="00AC4185">
            <w:pPr>
              <w:jc w:val="both"/>
            </w:pPr>
            <w:r>
              <w:rPr>
                <w:rFonts w:hint="eastAsia"/>
              </w:rPr>
              <w:t>中材水泥注册资本由</w:t>
            </w:r>
            <w:r>
              <w:t xml:space="preserve"> 185,328万元变更为308,880万元，公司持股比例为40%</w:t>
            </w:r>
            <w:r>
              <w:rPr>
                <w:rFonts w:hint="eastAsia"/>
              </w:rPr>
              <w:t>；公司支付增资款5亿元。</w:t>
            </w:r>
          </w:p>
        </w:tc>
        <w:tc>
          <w:tcPr>
            <w:tcW w:w="425" w:type="dxa"/>
            <w:shd w:val="clear" w:color="auto" w:fill="auto"/>
          </w:tcPr>
          <w:p w14:paraId="6FA63A49" w14:textId="77777777" w:rsidR="00E57DAA" w:rsidRDefault="00AC4185">
            <w:pPr>
              <w:jc w:val="right"/>
            </w:pPr>
            <w:r>
              <w:rPr>
                <w:rFonts w:hint="eastAsia"/>
              </w:rPr>
              <w:t>-</w:t>
            </w:r>
          </w:p>
        </w:tc>
        <w:tc>
          <w:tcPr>
            <w:tcW w:w="426" w:type="dxa"/>
            <w:shd w:val="clear" w:color="auto" w:fill="auto"/>
          </w:tcPr>
          <w:p w14:paraId="5716E56C" w14:textId="77777777" w:rsidR="00E57DAA" w:rsidRDefault="00AC4185">
            <w:pPr>
              <w:jc w:val="right"/>
            </w:pPr>
            <w:r>
              <w:t>-</w:t>
            </w:r>
          </w:p>
        </w:tc>
        <w:tc>
          <w:tcPr>
            <w:tcW w:w="425" w:type="dxa"/>
            <w:shd w:val="clear" w:color="auto" w:fill="auto"/>
          </w:tcPr>
          <w:p w14:paraId="246C5773" w14:textId="77777777" w:rsidR="00E57DAA" w:rsidRDefault="00AC4185">
            <w:pPr>
              <w:jc w:val="center"/>
            </w:pPr>
            <w:r>
              <w:t>否</w:t>
            </w:r>
          </w:p>
        </w:tc>
        <w:tc>
          <w:tcPr>
            <w:tcW w:w="1417" w:type="dxa"/>
            <w:shd w:val="clear" w:color="auto" w:fill="auto"/>
          </w:tcPr>
          <w:p w14:paraId="6B6389E0" w14:textId="77777777" w:rsidR="00E57DAA" w:rsidRDefault="00AC4185">
            <w:pPr>
              <w:jc w:val="both"/>
              <w:rPr>
                <w:sz w:val="18"/>
                <w:szCs w:val="18"/>
              </w:rPr>
            </w:pPr>
            <w:r>
              <w:rPr>
                <w:sz w:val="18"/>
                <w:szCs w:val="18"/>
              </w:rPr>
              <w:t>2023-12-05</w:t>
            </w:r>
            <w:r>
              <w:rPr>
                <w:rFonts w:hint="eastAsia"/>
                <w:sz w:val="18"/>
                <w:szCs w:val="18"/>
              </w:rPr>
              <w:t>；</w:t>
            </w:r>
          </w:p>
          <w:p w14:paraId="64AD51EE" w14:textId="77777777" w:rsidR="00E57DAA" w:rsidRDefault="00AC4185">
            <w:pPr>
              <w:jc w:val="both"/>
              <w:rPr>
                <w:sz w:val="18"/>
                <w:szCs w:val="18"/>
              </w:rPr>
            </w:pPr>
            <w:r>
              <w:rPr>
                <w:sz w:val="18"/>
                <w:szCs w:val="18"/>
              </w:rPr>
              <w:t>2023-12-15</w:t>
            </w:r>
            <w:r>
              <w:rPr>
                <w:rFonts w:hint="eastAsia"/>
                <w:sz w:val="18"/>
                <w:szCs w:val="18"/>
              </w:rPr>
              <w:t>；</w:t>
            </w:r>
          </w:p>
          <w:p w14:paraId="682D0587" w14:textId="77777777" w:rsidR="00E57DAA" w:rsidRDefault="00AC4185">
            <w:pPr>
              <w:jc w:val="both"/>
              <w:rPr>
                <w:sz w:val="18"/>
                <w:szCs w:val="18"/>
              </w:rPr>
            </w:pPr>
            <w:r>
              <w:rPr>
                <w:sz w:val="18"/>
                <w:szCs w:val="18"/>
              </w:rPr>
              <w:t>2023-12-30</w:t>
            </w:r>
          </w:p>
        </w:tc>
        <w:tc>
          <w:tcPr>
            <w:tcW w:w="2936" w:type="dxa"/>
            <w:shd w:val="clear" w:color="auto" w:fill="auto"/>
          </w:tcPr>
          <w:p w14:paraId="223A05BB" w14:textId="77777777" w:rsidR="00E57DAA" w:rsidRDefault="00AC4185">
            <w:pPr>
              <w:jc w:val="both"/>
            </w:pPr>
            <w:r>
              <w:rPr>
                <w:rFonts w:hint="eastAsia"/>
              </w:rPr>
              <w:t>《关于增资中材水泥有限责任公司暨关联交易的公告》（临2</w:t>
            </w:r>
            <w:r>
              <w:t>023-083</w:t>
            </w:r>
            <w:r>
              <w:rPr>
                <w:rFonts w:hint="eastAsia"/>
              </w:rPr>
              <w:t>）；</w:t>
            </w:r>
          </w:p>
          <w:p w14:paraId="26FA89D0" w14:textId="77777777" w:rsidR="00E57DAA" w:rsidRDefault="00AC4185">
            <w:pPr>
              <w:jc w:val="both"/>
            </w:pPr>
            <w:r>
              <w:rPr>
                <w:rFonts w:hint="eastAsia"/>
              </w:rPr>
              <w:t>《关于增资中材水泥有限责任公司暨关联交易事项的进展公告》（临2</w:t>
            </w:r>
            <w:r>
              <w:t>023-088</w:t>
            </w:r>
            <w:r>
              <w:rPr>
                <w:rFonts w:hint="eastAsia"/>
              </w:rPr>
              <w:t>）；</w:t>
            </w:r>
          </w:p>
          <w:p w14:paraId="7485B0D9" w14:textId="77777777" w:rsidR="00E57DAA" w:rsidRDefault="00AC4185">
            <w:pPr>
              <w:jc w:val="both"/>
            </w:pPr>
            <w:r>
              <w:rPr>
                <w:rFonts w:hint="eastAsia"/>
              </w:rPr>
              <w:t>《关于增资中材水泥有限责任公司暨关联交易事项的进展公告》（临2</w:t>
            </w:r>
            <w:r>
              <w:t>023-092</w:t>
            </w:r>
            <w:r>
              <w:rPr>
                <w:rFonts w:hint="eastAsia"/>
              </w:rPr>
              <w:t>）。</w:t>
            </w:r>
          </w:p>
        </w:tc>
      </w:tr>
      <w:tr w:rsidR="00E57DAA" w14:paraId="7248F373" w14:textId="77777777">
        <w:tc>
          <w:tcPr>
            <w:tcW w:w="704" w:type="dxa"/>
            <w:shd w:val="clear" w:color="auto" w:fill="auto"/>
          </w:tcPr>
          <w:p w14:paraId="3B5C761B" w14:textId="77777777" w:rsidR="00E57DAA" w:rsidRDefault="00AC4185">
            <w:pPr>
              <w:jc w:val="center"/>
            </w:pPr>
            <w:r>
              <w:rPr>
                <w:rFonts w:hint="eastAsia"/>
              </w:rPr>
              <w:t>合计</w:t>
            </w:r>
          </w:p>
        </w:tc>
        <w:tc>
          <w:tcPr>
            <w:tcW w:w="1134" w:type="dxa"/>
            <w:shd w:val="clear" w:color="auto" w:fill="auto"/>
          </w:tcPr>
          <w:p w14:paraId="652BB256" w14:textId="77777777" w:rsidR="00E57DAA" w:rsidRDefault="00AC4185">
            <w:pPr>
              <w:jc w:val="center"/>
            </w:pPr>
            <w:r>
              <w:rPr>
                <w:rFonts w:hint="eastAsia"/>
              </w:rPr>
              <w:t>/</w:t>
            </w:r>
          </w:p>
        </w:tc>
        <w:tc>
          <w:tcPr>
            <w:tcW w:w="567" w:type="dxa"/>
          </w:tcPr>
          <w:p w14:paraId="586586DA" w14:textId="77777777" w:rsidR="00E57DAA" w:rsidRDefault="00AC4185">
            <w:pPr>
              <w:jc w:val="center"/>
            </w:pPr>
            <w:r>
              <w:rPr>
                <w:rFonts w:hint="eastAsia"/>
              </w:rPr>
              <w:t>/</w:t>
            </w:r>
          </w:p>
        </w:tc>
        <w:tc>
          <w:tcPr>
            <w:tcW w:w="425" w:type="dxa"/>
            <w:shd w:val="clear" w:color="auto" w:fill="auto"/>
          </w:tcPr>
          <w:p w14:paraId="49F32B77" w14:textId="77777777" w:rsidR="00E57DAA" w:rsidRDefault="00AC4185">
            <w:pPr>
              <w:jc w:val="center"/>
            </w:pPr>
            <w:r>
              <w:rPr>
                <w:rFonts w:hint="eastAsia"/>
              </w:rPr>
              <w:t>/</w:t>
            </w:r>
          </w:p>
        </w:tc>
        <w:tc>
          <w:tcPr>
            <w:tcW w:w="1145" w:type="dxa"/>
            <w:shd w:val="clear" w:color="auto" w:fill="auto"/>
          </w:tcPr>
          <w:p w14:paraId="10D75F02" w14:textId="77777777" w:rsidR="00E57DAA" w:rsidRDefault="00AC4185">
            <w:pPr>
              <w:jc w:val="right"/>
              <w:rPr>
                <w:sz w:val="18"/>
                <w:szCs w:val="18"/>
              </w:rPr>
            </w:pPr>
            <w:r>
              <w:rPr>
                <w:sz w:val="18"/>
                <w:szCs w:val="18"/>
              </w:rPr>
              <w:t>773,287.39</w:t>
            </w:r>
          </w:p>
        </w:tc>
        <w:tc>
          <w:tcPr>
            <w:tcW w:w="636" w:type="dxa"/>
            <w:shd w:val="clear" w:color="auto" w:fill="auto"/>
          </w:tcPr>
          <w:p w14:paraId="31647CFC" w14:textId="77777777" w:rsidR="00E57DAA" w:rsidRDefault="00AC4185">
            <w:pPr>
              <w:jc w:val="center"/>
            </w:pPr>
            <w:r>
              <w:rPr>
                <w:rFonts w:hint="eastAsia"/>
              </w:rPr>
              <w:t>/</w:t>
            </w:r>
          </w:p>
        </w:tc>
        <w:tc>
          <w:tcPr>
            <w:tcW w:w="487" w:type="dxa"/>
            <w:shd w:val="clear" w:color="auto" w:fill="auto"/>
          </w:tcPr>
          <w:p w14:paraId="771B9E4B" w14:textId="77777777" w:rsidR="00E57DAA" w:rsidRDefault="00AC4185">
            <w:pPr>
              <w:jc w:val="center"/>
            </w:pPr>
            <w:r>
              <w:rPr>
                <w:rFonts w:hint="eastAsia"/>
              </w:rPr>
              <w:t>/</w:t>
            </w:r>
          </w:p>
        </w:tc>
        <w:tc>
          <w:tcPr>
            <w:tcW w:w="567" w:type="dxa"/>
            <w:shd w:val="clear" w:color="auto" w:fill="auto"/>
          </w:tcPr>
          <w:p w14:paraId="79949FC6" w14:textId="77777777" w:rsidR="00E57DAA" w:rsidRDefault="00AC4185">
            <w:pPr>
              <w:jc w:val="center"/>
            </w:pPr>
            <w:r>
              <w:rPr>
                <w:rFonts w:hint="eastAsia"/>
              </w:rPr>
              <w:t>/</w:t>
            </w:r>
          </w:p>
        </w:tc>
        <w:tc>
          <w:tcPr>
            <w:tcW w:w="426" w:type="dxa"/>
            <w:shd w:val="clear" w:color="auto" w:fill="auto"/>
          </w:tcPr>
          <w:p w14:paraId="55C26AEF" w14:textId="77777777" w:rsidR="00E57DAA" w:rsidRDefault="00AC4185">
            <w:pPr>
              <w:jc w:val="center"/>
            </w:pPr>
            <w:r>
              <w:rPr>
                <w:rFonts w:hint="eastAsia"/>
              </w:rPr>
              <w:t>/</w:t>
            </w:r>
          </w:p>
        </w:tc>
        <w:tc>
          <w:tcPr>
            <w:tcW w:w="850" w:type="dxa"/>
            <w:shd w:val="clear" w:color="auto" w:fill="auto"/>
          </w:tcPr>
          <w:p w14:paraId="1E8D4458" w14:textId="77777777" w:rsidR="00E57DAA" w:rsidRDefault="00AC4185">
            <w:pPr>
              <w:jc w:val="center"/>
            </w:pPr>
            <w:r>
              <w:rPr>
                <w:rFonts w:hint="eastAsia"/>
              </w:rPr>
              <w:t>/</w:t>
            </w:r>
          </w:p>
        </w:tc>
        <w:tc>
          <w:tcPr>
            <w:tcW w:w="425" w:type="dxa"/>
            <w:shd w:val="clear" w:color="auto" w:fill="auto"/>
          </w:tcPr>
          <w:p w14:paraId="2C839E90" w14:textId="77777777" w:rsidR="00E57DAA" w:rsidRDefault="00AC4185">
            <w:pPr>
              <w:jc w:val="center"/>
            </w:pPr>
            <w:r>
              <w:rPr>
                <w:rFonts w:hint="eastAsia"/>
              </w:rPr>
              <w:t>/</w:t>
            </w:r>
          </w:p>
        </w:tc>
        <w:tc>
          <w:tcPr>
            <w:tcW w:w="1276" w:type="dxa"/>
            <w:shd w:val="clear" w:color="auto" w:fill="auto"/>
          </w:tcPr>
          <w:p w14:paraId="5066D5CD" w14:textId="77777777" w:rsidR="00E57DAA" w:rsidRDefault="00AC4185">
            <w:pPr>
              <w:jc w:val="center"/>
            </w:pPr>
            <w:r>
              <w:rPr>
                <w:rFonts w:hint="eastAsia"/>
              </w:rPr>
              <w:t>/</w:t>
            </w:r>
          </w:p>
        </w:tc>
        <w:tc>
          <w:tcPr>
            <w:tcW w:w="425" w:type="dxa"/>
            <w:shd w:val="clear" w:color="auto" w:fill="auto"/>
          </w:tcPr>
          <w:p w14:paraId="1424EAFF" w14:textId="77777777" w:rsidR="00E57DAA" w:rsidRDefault="00AC4185">
            <w:pPr>
              <w:jc w:val="right"/>
            </w:pPr>
            <w:r>
              <w:rPr>
                <w:rFonts w:hint="eastAsia"/>
              </w:rPr>
              <w:t>-</w:t>
            </w:r>
          </w:p>
        </w:tc>
        <w:tc>
          <w:tcPr>
            <w:tcW w:w="426" w:type="dxa"/>
            <w:shd w:val="clear" w:color="auto" w:fill="auto"/>
          </w:tcPr>
          <w:p w14:paraId="67580416" w14:textId="77777777" w:rsidR="00E57DAA" w:rsidRDefault="00AC4185">
            <w:pPr>
              <w:jc w:val="right"/>
            </w:pPr>
            <w:r>
              <w:rPr>
                <w:rFonts w:hint="eastAsia"/>
              </w:rPr>
              <w:t>-</w:t>
            </w:r>
          </w:p>
        </w:tc>
        <w:tc>
          <w:tcPr>
            <w:tcW w:w="425" w:type="dxa"/>
            <w:shd w:val="clear" w:color="auto" w:fill="auto"/>
          </w:tcPr>
          <w:p w14:paraId="36A1BCD3" w14:textId="77777777" w:rsidR="00E57DAA" w:rsidRDefault="00AC4185">
            <w:pPr>
              <w:jc w:val="center"/>
            </w:pPr>
            <w:r>
              <w:rPr>
                <w:rFonts w:hint="eastAsia"/>
              </w:rPr>
              <w:t>/</w:t>
            </w:r>
          </w:p>
        </w:tc>
        <w:tc>
          <w:tcPr>
            <w:tcW w:w="1417" w:type="dxa"/>
            <w:shd w:val="clear" w:color="auto" w:fill="auto"/>
          </w:tcPr>
          <w:p w14:paraId="75D5B5A7" w14:textId="77777777" w:rsidR="00E57DAA" w:rsidRDefault="00AC4185">
            <w:pPr>
              <w:jc w:val="center"/>
            </w:pPr>
            <w:r>
              <w:rPr>
                <w:rFonts w:hint="eastAsia"/>
              </w:rPr>
              <w:t>/</w:t>
            </w:r>
          </w:p>
        </w:tc>
        <w:tc>
          <w:tcPr>
            <w:tcW w:w="2936" w:type="dxa"/>
            <w:shd w:val="clear" w:color="auto" w:fill="auto"/>
          </w:tcPr>
          <w:p w14:paraId="22A6C10E" w14:textId="77777777" w:rsidR="00E57DAA" w:rsidRDefault="00AC4185">
            <w:pPr>
              <w:jc w:val="center"/>
            </w:pPr>
            <w:r>
              <w:rPr>
                <w:rFonts w:hint="eastAsia"/>
              </w:rPr>
              <w:t>/</w:t>
            </w:r>
          </w:p>
        </w:tc>
      </w:tr>
    </w:tbl>
    <w:p w14:paraId="73B079E9" w14:textId="77777777" w:rsidR="009459A2" w:rsidRDefault="009459A2" w:rsidP="009459A2">
      <w:pPr>
        <w:ind w:firstLineChars="200" w:firstLine="420"/>
        <w:rPr>
          <w:szCs w:val="21"/>
        </w:rPr>
      </w:pPr>
      <w:r>
        <w:rPr>
          <w:rFonts w:hint="eastAsia"/>
        </w:rPr>
        <w:t>注：1、合肥院并购以发行股份方式支付的对价占投资金额的85%，现金支付比例为15%。</w:t>
      </w:r>
    </w:p>
    <w:p w14:paraId="5441D8A7" w14:textId="77777777" w:rsidR="009459A2" w:rsidRDefault="009459A2" w:rsidP="009459A2">
      <w:pPr>
        <w:ind w:firstLineChars="200" w:firstLine="420"/>
      </w:pPr>
      <w:r>
        <w:rPr>
          <w:rFonts w:hint="eastAsia"/>
        </w:rPr>
        <w:t xml:space="preserve">    2、合肥院报告期损益情况详见</w:t>
      </w:r>
      <w:r>
        <w:t>本节主要控股参股公司分析</w:t>
      </w:r>
      <w:r>
        <w:rPr>
          <w:rFonts w:hint="eastAsia"/>
        </w:rPr>
        <w:t>。</w:t>
      </w:r>
    </w:p>
    <w:p w14:paraId="7D2165FE" w14:textId="77777777" w:rsidR="00E57DAA" w:rsidRPr="009459A2" w:rsidRDefault="00E57DAA" w:rsidP="00C25422">
      <w:pPr>
        <w:pStyle w:val="92"/>
      </w:pPr>
    </w:p>
    <w:p w14:paraId="0552ADA0" w14:textId="77777777" w:rsidR="00E57DAA" w:rsidRDefault="00AC4185">
      <w:pPr>
        <w:pStyle w:val="4"/>
        <w:numPr>
          <w:ilvl w:val="0"/>
          <w:numId w:val="17"/>
        </w:numPr>
        <w:rPr>
          <w:rFonts w:ascii="宋体" w:hAnsi="宋体" w:cs="宋体"/>
          <w:kern w:val="0"/>
        </w:rPr>
      </w:pPr>
      <w:r>
        <w:rPr>
          <w:rFonts w:ascii="宋体" w:hAnsi="宋体" w:cs="宋体" w:hint="eastAsia"/>
          <w:kern w:val="0"/>
        </w:rPr>
        <w:t>重大的非股权投资</w:t>
      </w:r>
    </w:p>
    <w:sdt>
      <w:sdtPr>
        <w:rPr>
          <w:rFonts w:hint="eastAsia"/>
        </w:rPr>
        <w:alias w:val="是否适用：重大的非股权投资[双击切换]"/>
        <w:tag w:val="_GBC_fbd46075a5b9414d9e28cd2404e5d47c"/>
        <w:id w:val="213546039"/>
        <w:placeholder>
          <w:docPart w:val="GBC22222222222222222222222222222"/>
        </w:placeholder>
      </w:sdtPr>
      <w:sdtEndPr/>
      <w:sdtContent>
        <w:p w14:paraId="4FDB796A"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重大的非股权投资情况"/>
        <w:tag w:val="_GBC_2651ef7cc4f4470bbde49f05abd8e4df"/>
        <w:id w:val="-1001962950"/>
        <w:placeholder>
          <w:docPart w:val="GBC22222222222222222222222222222"/>
        </w:placeholder>
      </w:sdtPr>
      <w:sdtEndPr/>
      <w:sdtContent>
        <w:p w14:paraId="31CDAA61" w14:textId="77777777" w:rsidR="00E57DAA" w:rsidRDefault="00AC4185">
          <w:pPr>
            <w:ind w:firstLineChars="200" w:firstLine="420"/>
          </w:pPr>
          <w:r>
            <w:rPr>
              <w:rFonts w:hint="eastAsia"/>
            </w:rPr>
            <w:t>合肥院智造产业园建设项目计划投资总额</w:t>
          </w:r>
          <w:r>
            <w:t>236,570万元，2023年完成投资额64,753.13万元，累计完成投资额121,093.90万元。</w:t>
          </w:r>
        </w:p>
      </w:sdtContent>
    </w:sdt>
    <w:p w14:paraId="3A0E2108" w14:textId="77777777" w:rsidR="00E57DAA" w:rsidRDefault="00E57DAA" w:rsidP="00C25422">
      <w:pPr>
        <w:pStyle w:val="92"/>
      </w:pPr>
    </w:p>
    <w:p w14:paraId="4B1608EC" w14:textId="77777777" w:rsidR="007B3D86" w:rsidRDefault="007B3D86" w:rsidP="007B3D86">
      <w:pPr>
        <w:pStyle w:val="4"/>
        <w:numPr>
          <w:ilvl w:val="0"/>
          <w:numId w:val="17"/>
        </w:numPr>
        <w:rPr>
          <w:rFonts w:ascii="宋体" w:hAnsi="宋体" w:cs="宋体"/>
          <w:kern w:val="0"/>
        </w:rPr>
      </w:pPr>
      <w:r>
        <w:rPr>
          <w:rFonts w:ascii="宋体" w:hAnsi="宋体" w:cs="宋体" w:hint="eastAsia"/>
          <w:kern w:val="0"/>
        </w:rPr>
        <w:t>以公允价值计量的金融资产</w:t>
      </w:r>
    </w:p>
    <w:sdt>
      <w:sdtPr>
        <w:rPr>
          <w:rFonts w:hint="eastAsia"/>
          <w:szCs w:val="21"/>
        </w:rPr>
        <w:alias w:val="是否适用：以公允价值计量的金融资产[双击切换]"/>
        <w:tag w:val="_GBC_27fa42d1c8fd489d9e8648bed00ddd53"/>
        <w:id w:val="-1724440115"/>
      </w:sdtPr>
      <w:sdtEndPr/>
      <w:sdtContent>
        <w:p w14:paraId="2761177C" w14:textId="77777777" w:rsidR="007B3D86" w:rsidRDefault="007B3D86">
          <w:pPr>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52CEAA0A" w14:textId="77777777" w:rsidR="007B3D86" w:rsidRDefault="007B3D86">
      <w:pPr>
        <w:pStyle w:val="14"/>
        <w:wordWrap w:val="0"/>
        <w:ind w:left="360" w:firstLineChars="0" w:firstLine="0"/>
        <w:jc w:val="right"/>
      </w:pPr>
      <w:r>
        <w:rPr>
          <w:rFonts w:hint="eastAsia"/>
        </w:rPr>
        <w:t>单位：</w:t>
      </w:r>
      <w:sdt>
        <w:sdtPr>
          <w:rPr>
            <w:rFonts w:hint="eastAsia"/>
          </w:rPr>
          <w:alias w:val="单位：以公允价值计量的金融资产"/>
          <w:tag w:val="_GBC_b2e3ce23c85c488ab3fa1ba1294ef546"/>
          <w:id w:val="402726128"/>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w:t>
      </w:r>
      <w:r>
        <w:rPr>
          <w:rFonts w:hint="eastAsia"/>
        </w:rPr>
        <w:t>币种：</w:t>
      </w:r>
      <w:sdt>
        <w:sdtPr>
          <w:rPr>
            <w:rFonts w:hint="eastAsia"/>
          </w:rPr>
          <w:alias w:val="币种：以公允价值计量的金融资产"/>
          <w:tag w:val="_GBC_77ed3303d22c48dc98ae781142db662c"/>
          <w:id w:val="-964581832"/>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546"/>
        <w:gridCol w:w="1545"/>
        <w:gridCol w:w="1754"/>
        <w:gridCol w:w="1313"/>
        <w:gridCol w:w="1546"/>
        <w:gridCol w:w="1545"/>
        <w:gridCol w:w="1539"/>
        <w:gridCol w:w="1546"/>
      </w:tblGrid>
      <w:tr w:rsidR="007B3D86" w14:paraId="7F420A9B" w14:textId="77777777" w:rsidTr="00FD12A2">
        <w:sdt>
          <w:sdtPr>
            <w:rPr>
              <w:rFonts w:cs="Times New Roman" w:hint="eastAsia"/>
              <w:kern w:val="2"/>
              <w:szCs w:val="22"/>
            </w:rPr>
            <w:tag w:val="_PLD_0c54b9fd583d4e649fc12d33a6f94086"/>
            <w:id w:val="1281839887"/>
          </w:sdtPr>
          <w:sdtEndPr/>
          <w:sdtContent>
            <w:tc>
              <w:tcPr>
                <w:tcW w:w="1529" w:type="dxa"/>
                <w:shd w:val="clear" w:color="auto" w:fill="auto"/>
                <w:vAlign w:val="center"/>
              </w:tcPr>
              <w:p w14:paraId="5D5E3219" w14:textId="77777777" w:rsidR="007B3D86" w:rsidRDefault="007B3D86">
                <w:pPr>
                  <w:widowControl w:val="0"/>
                  <w:jc w:val="center"/>
                </w:pPr>
                <w:r>
                  <w:rPr>
                    <w:rFonts w:cs="Times New Roman" w:hint="eastAsia"/>
                    <w:kern w:val="2"/>
                    <w:szCs w:val="22"/>
                  </w:rPr>
                  <w:t>资产类别</w:t>
                </w:r>
              </w:p>
            </w:tc>
          </w:sdtContent>
        </w:sdt>
        <w:sdt>
          <w:sdtPr>
            <w:rPr>
              <w:rFonts w:hint="eastAsia"/>
            </w:rPr>
            <w:tag w:val="_PLD_4b84ad0ddc154021b1b8d9a6bffa6c39"/>
            <w:id w:val="-1578972373"/>
          </w:sdtPr>
          <w:sdtEndPr/>
          <w:sdtContent>
            <w:tc>
              <w:tcPr>
                <w:tcW w:w="1546" w:type="dxa"/>
                <w:shd w:val="clear" w:color="auto" w:fill="auto"/>
                <w:vAlign w:val="center"/>
              </w:tcPr>
              <w:p w14:paraId="01B4DB94" w14:textId="77777777" w:rsidR="007B3D86" w:rsidRDefault="007B3D86">
                <w:pPr>
                  <w:widowControl w:val="0"/>
                  <w:jc w:val="center"/>
                </w:pPr>
                <w:r>
                  <w:rPr>
                    <w:rFonts w:hint="eastAsia"/>
                  </w:rPr>
                  <w:t>期初数</w:t>
                </w:r>
              </w:p>
            </w:tc>
          </w:sdtContent>
        </w:sdt>
        <w:sdt>
          <w:sdtPr>
            <w:rPr>
              <w:rFonts w:hint="eastAsia"/>
            </w:rPr>
            <w:tag w:val="_PLD_fa8919b699f843d2b03f2004a27810b6"/>
            <w:id w:val="-663397107"/>
          </w:sdtPr>
          <w:sdtEndPr/>
          <w:sdtContent>
            <w:tc>
              <w:tcPr>
                <w:tcW w:w="1545" w:type="dxa"/>
                <w:shd w:val="clear" w:color="auto" w:fill="auto"/>
                <w:vAlign w:val="center"/>
              </w:tcPr>
              <w:p w14:paraId="12585EDC" w14:textId="77777777" w:rsidR="007B3D86" w:rsidRDefault="007B3D86">
                <w:pPr>
                  <w:widowControl w:val="0"/>
                  <w:jc w:val="center"/>
                  <w:rPr>
                    <w:b/>
                  </w:rPr>
                </w:pPr>
                <w:r>
                  <w:rPr>
                    <w:rFonts w:hint="eastAsia"/>
                  </w:rPr>
                  <w:t>本期公允价值变动损益</w:t>
                </w:r>
              </w:p>
            </w:tc>
          </w:sdtContent>
        </w:sdt>
        <w:sdt>
          <w:sdtPr>
            <w:rPr>
              <w:rFonts w:hint="eastAsia"/>
            </w:rPr>
            <w:tag w:val="_PLD_81fc9fd2b35c49e2bfd3b55b8724ae1d"/>
            <w:id w:val="1114093502"/>
          </w:sdtPr>
          <w:sdtEndPr/>
          <w:sdtContent>
            <w:tc>
              <w:tcPr>
                <w:tcW w:w="1754" w:type="dxa"/>
                <w:shd w:val="clear" w:color="auto" w:fill="auto"/>
                <w:vAlign w:val="center"/>
              </w:tcPr>
              <w:p w14:paraId="633BEA33" w14:textId="77777777" w:rsidR="007B3D86" w:rsidRDefault="007B3D86">
                <w:pPr>
                  <w:widowControl w:val="0"/>
                  <w:jc w:val="center"/>
                </w:pPr>
                <w:r>
                  <w:rPr>
                    <w:rFonts w:hint="eastAsia"/>
                  </w:rPr>
                  <w:t>计入权益的累计公允价值变动</w:t>
                </w:r>
              </w:p>
            </w:tc>
          </w:sdtContent>
        </w:sdt>
        <w:sdt>
          <w:sdtPr>
            <w:rPr>
              <w:rFonts w:hint="eastAsia"/>
            </w:rPr>
            <w:tag w:val="_PLD_d6f12030ef654b5cad4265cc31977836"/>
            <w:id w:val="-496493761"/>
          </w:sdtPr>
          <w:sdtEndPr/>
          <w:sdtContent>
            <w:tc>
              <w:tcPr>
                <w:tcW w:w="1313" w:type="dxa"/>
                <w:shd w:val="clear" w:color="auto" w:fill="auto"/>
                <w:vAlign w:val="center"/>
              </w:tcPr>
              <w:p w14:paraId="0C9493ED" w14:textId="77777777" w:rsidR="007B3D86" w:rsidRDefault="007B3D86">
                <w:pPr>
                  <w:widowControl w:val="0"/>
                  <w:jc w:val="center"/>
                </w:pPr>
                <w:r>
                  <w:rPr>
                    <w:rFonts w:hint="eastAsia"/>
                  </w:rPr>
                  <w:t>本期计提的减值</w:t>
                </w:r>
              </w:p>
            </w:tc>
          </w:sdtContent>
        </w:sdt>
        <w:sdt>
          <w:sdtPr>
            <w:rPr>
              <w:rFonts w:hint="eastAsia"/>
            </w:rPr>
            <w:tag w:val="_PLD_8693ec76f7f14d898c4b16665659ded9"/>
            <w:id w:val="-1931350536"/>
          </w:sdtPr>
          <w:sdtEndPr/>
          <w:sdtContent>
            <w:tc>
              <w:tcPr>
                <w:tcW w:w="1546" w:type="dxa"/>
                <w:shd w:val="clear" w:color="auto" w:fill="auto"/>
                <w:vAlign w:val="center"/>
              </w:tcPr>
              <w:p w14:paraId="3AFBA611" w14:textId="77777777" w:rsidR="007B3D86" w:rsidRDefault="007B3D86">
                <w:pPr>
                  <w:widowControl w:val="0"/>
                  <w:jc w:val="center"/>
                </w:pPr>
                <w:r>
                  <w:rPr>
                    <w:rFonts w:hint="eastAsia"/>
                  </w:rPr>
                  <w:t>本期购买金额</w:t>
                </w:r>
              </w:p>
            </w:tc>
          </w:sdtContent>
        </w:sdt>
        <w:sdt>
          <w:sdtPr>
            <w:rPr>
              <w:rFonts w:hint="eastAsia"/>
            </w:rPr>
            <w:tag w:val="_PLD_ba0671fda1cb4d8c8d3c1e5b16cc6e5a"/>
            <w:id w:val="-343862902"/>
          </w:sdtPr>
          <w:sdtEndPr/>
          <w:sdtContent>
            <w:tc>
              <w:tcPr>
                <w:tcW w:w="1545" w:type="dxa"/>
                <w:shd w:val="clear" w:color="auto" w:fill="auto"/>
                <w:vAlign w:val="center"/>
              </w:tcPr>
              <w:p w14:paraId="631EB224" w14:textId="77777777" w:rsidR="007B3D86" w:rsidRDefault="007B3D86">
                <w:pPr>
                  <w:widowControl w:val="0"/>
                  <w:jc w:val="center"/>
                </w:pPr>
                <w:r>
                  <w:rPr>
                    <w:rFonts w:hint="eastAsia"/>
                  </w:rPr>
                  <w:t>本期出售/赎回金额</w:t>
                </w:r>
              </w:p>
            </w:tc>
          </w:sdtContent>
        </w:sdt>
        <w:sdt>
          <w:sdtPr>
            <w:rPr>
              <w:rFonts w:hint="eastAsia"/>
            </w:rPr>
            <w:tag w:val="_PLD_50b7e7d4561f48f190f80d486d12a170"/>
            <w:id w:val="2059284227"/>
          </w:sdtPr>
          <w:sdtEndPr/>
          <w:sdtContent>
            <w:tc>
              <w:tcPr>
                <w:tcW w:w="1539" w:type="dxa"/>
                <w:shd w:val="clear" w:color="auto" w:fill="auto"/>
                <w:vAlign w:val="center"/>
              </w:tcPr>
              <w:p w14:paraId="2BA4F25C" w14:textId="77777777" w:rsidR="007B3D86" w:rsidRDefault="007B3D86">
                <w:pPr>
                  <w:widowControl w:val="0"/>
                  <w:jc w:val="center"/>
                </w:pPr>
                <w:r>
                  <w:rPr>
                    <w:rFonts w:hint="eastAsia"/>
                  </w:rPr>
                  <w:t>其他变动</w:t>
                </w:r>
              </w:p>
            </w:tc>
          </w:sdtContent>
        </w:sdt>
        <w:sdt>
          <w:sdtPr>
            <w:rPr>
              <w:rFonts w:hint="eastAsia"/>
            </w:rPr>
            <w:tag w:val="_PLD_816d427a273240d9af67db4a5feee586"/>
            <w:id w:val="-375316089"/>
          </w:sdtPr>
          <w:sdtEndPr/>
          <w:sdtContent>
            <w:tc>
              <w:tcPr>
                <w:tcW w:w="1546" w:type="dxa"/>
                <w:shd w:val="clear" w:color="auto" w:fill="auto"/>
                <w:vAlign w:val="center"/>
              </w:tcPr>
              <w:p w14:paraId="71F280BF" w14:textId="77777777" w:rsidR="007B3D86" w:rsidRDefault="007B3D86">
                <w:pPr>
                  <w:widowControl w:val="0"/>
                  <w:jc w:val="center"/>
                </w:pPr>
                <w:r>
                  <w:rPr>
                    <w:rFonts w:hint="eastAsia"/>
                  </w:rPr>
                  <w:t>期末数</w:t>
                </w:r>
              </w:p>
            </w:tc>
          </w:sdtContent>
        </w:sdt>
      </w:tr>
      <w:sdt>
        <w:sdtPr>
          <w:alias w:val="以公允价值计量的金融资产情况明细"/>
          <w:tag w:val="_TUP_6b109b7fdfcd4b978c999b3232f48073"/>
          <w:id w:val="862871"/>
          <w:placeholder>
            <w:docPart w:val="5D8C3480C88F415EB9DAC74BEE3F6780"/>
          </w:placeholder>
        </w:sdtPr>
        <w:sdtEndPr/>
        <w:sdtContent>
          <w:tr w:rsidR="007B3D86" w14:paraId="2005B08B" w14:textId="77777777" w:rsidTr="00FD12A2">
            <w:sdt>
              <w:sdtPr>
                <w:alias w:val="以公允价值计量的金融资产情况明细_资产类别"/>
                <w:tag w:val="_GBC_cc72d7a8c8f74a64a251dbd2114ca4fe"/>
                <w:id w:val="1641382733"/>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239DD9D1" w14:textId="77777777" w:rsidR="007B3D86" w:rsidRDefault="007B3D86">
                    <w:pPr>
                      <w:widowControl w:val="0"/>
                      <w:jc w:val="both"/>
                    </w:pPr>
                    <w:r>
                      <w:t>交易性权益工具投资</w:t>
                    </w:r>
                  </w:p>
                </w:tc>
              </w:sdtContent>
            </w:sdt>
            <w:tc>
              <w:tcPr>
                <w:tcW w:w="1546" w:type="dxa"/>
                <w:shd w:val="clear" w:color="auto" w:fill="auto"/>
                <w:vAlign w:val="center"/>
              </w:tcPr>
              <w:p w14:paraId="79B9E3FD" w14:textId="77777777" w:rsidR="007B3D86" w:rsidRDefault="007B3D86">
                <w:pPr>
                  <w:widowControl w:val="0"/>
                  <w:jc w:val="right"/>
                </w:pPr>
                <w:r>
                  <w:rPr>
                    <w:rFonts w:hint="eastAsia"/>
                  </w:rPr>
                  <w:t>10,288.87</w:t>
                </w:r>
              </w:p>
            </w:tc>
            <w:tc>
              <w:tcPr>
                <w:tcW w:w="1545" w:type="dxa"/>
                <w:shd w:val="clear" w:color="auto" w:fill="auto"/>
                <w:vAlign w:val="center"/>
              </w:tcPr>
              <w:p w14:paraId="6B6C6289" w14:textId="77777777" w:rsidR="007B3D86" w:rsidRDefault="007B3D86">
                <w:pPr>
                  <w:widowControl w:val="0"/>
                  <w:jc w:val="right"/>
                </w:pPr>
                <w:r>
                  <w:rPr>
                    <w:rFonts w:hint="eastAsia"/>
                  </w:rPr>
                  <w:t>-369.19</w:t>
                </w:r>
              </w:p>
            </w:tc>
            <w:tc>
              <w:tcPr>
                <w:tcW w:w="1754" w:type="dxa"/>
                <w:shd w:val="clear" w:color="auto" w:fill="auto"/>
              </w:tcPr>
              <w:p w14:paraId="380D04E7" w14:textId="77777777" w:rsidR="007B3D86" w:rsidRDefault="007B3D86">
                <w:pPr>
                  <w:widowControl w:val="0"/>
                  <w:jc w:val="right"/>
                </w:pPr>
              </w:p>
            </w:tc>
            <w:tc>
              <w:tcPr>
                <w:tcW w:w="1313" w:type="dxa"/>
                <w:shd w:val="clear" w:color="auto" w:fill="auto"/>
              </w:tcPr>
              <w:p w14:paraId="6681D161" w14:textId="77777777" w:rsidR="007B3D86" w:rsidRDefault="007B3D86">
                <w:pPr>
                  <w:widowControl w:val="0"/>
                  <w:jc w:val="right"/>
                </w:pPr>
              </w:p>
            </w:tc>
            <w:tc>
              <w:tcPr>
                <w:tcW w:w="1546" w:type="dxa"/>
                <w:shd w:val="clear" w:color="auto" w:fill="auto"/>
              </w:tcPr>
              <w:p w14:paraId="1D4A70AC" w14:textId="77777777" w:rsidR="007B3D86" w:rsidRDefault="007B3D86">
                <w:pPr>
                  <w:widowControl w:val="0"/>
                  <w:jc w:val="right"/>
                </w:pPr>
              </w:p>
            </w:tc>
            <w:tc>
              <w:tcPr>
                <w:tcW w:w="1545" w:type="dxa"/>
                <w:shd w:val="clear" w:color="auto" w:fill="auto"/>
              </w:tcPr>
              <w:p w14:paraId="4BD148AE" w14:textId="77777777" w:rsidR="007B3D86" w:rsidRDefault="007B3D86">
                <w:pPr>
                  <w:widowControl w:val="0"/>
                  <w:jc w:val="right"/>
                </w:pPr>
              </w:p>
            </w:tc>
            <w:tc>
              <w:tcPr>
                <w:tcW w:w="1539" w:type="dxa"/>
                <w:shd w:val="clear" w:color="auto" w:fill="auto"/>
                <w:vAlign w:val="center"/>
              </w:tcPr>
              <w:p w14:paraId="36DE1F04" w14:textId="77777777" w:rsidR="007B3D86" w:rsidRDefault="007B3D86">
                <w:pPr>
                  <w:widowControl w:val="0"/>
                  <w:jc w:val="right"/>
                </w:pPr>
                <w:r>
                  <w:rPr>
                    <w:rFonts w:hint="eastAsia"/>
                  </w:rPr>
                  <w:t>11.77</w:t>
                </w:r>
              </w:p>
            </w:tc>
            <w:tc>
              <w:tcPr>
                <w:tcW w:w="1546" w:type="dxa"/>
                <w:shd w:val="clear" w:color="auto" w:fill="auto"/>
                <w:vAlign w:val="center"/>
              </w:tcPr>
              <w:p w14:paraId="0258B433" w14:textId="77777777" w:rsidR="007B3D86" w:rsidRDefault="007B3D86">
                <w:pPr>
                  <w:widowControl w:val="0"/>
                  <w:jc w:val="right"/>
                </w:pPr>
                <w:r>
                  <w:rPr>
                    <w:rFonts w:hint="eastAsia"/>
                  </w:rPr>
                  <w:t>9,931.45</w:t>
                </w:r>
              </w:p>
            </w:tc>
          </w:tr>
        </w:sdtContent>
      </w:sdt>
      <w:sdt>
        <w:sdtPr>
          <w:alias w:val="以公允价值计量的金融资产情况明细"/>
          <w:tag w:val="_TUP_6b109b7fdfcd4b978c999b3232f48073"/>
          <w:id w:val="1706443506"/>
          <w:placeholder>
            <w:docPart w:val="5D8C3480C88F415EB9DAC74BEE3F6780"/>
          </w:placeholder>
        </w:sdtPr>
        <w:sdtEndPr/>
        <w:sdtContent>
          <w:tr w:rsidR="007B3D86" w14:paraId="641526B7" w14:textId="77777777" w:rsidTr="00FD12A2">
            <w:sdt>
              <w:sdtPr>
                <w:alias w:val="以公允价值计量的金融资产情况明细_资产类别"/>
                <w:tag w:val="_GBC_cc72d7a8c8f74a64a251dbd2114ca4fe"/>
                <w:id w:val="294639978"/>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155277D4" w14:textId="77777777" w:rsidR="007B3D86" w:rsidRDefault="007B3D86">
                    <w:pPr>
                      <w:widowControl w:val="0"/>
                      <w:jc w:val="both"/>
                    </w:pPr>
                    <w:r>
                      <w:t>银行理财产品</w:t>
                    </w:r>
                  </w:p>
                </w:tc>
              </w:sdtContent>
            </w:sdt>
            <w:tc>
              <w:tcPr>
                <w:tcW w:w="1546" w:type="dxa"/>
                <w:shd w:val="clear" w:color="auto" w:fill="auto"/>
                <w:vAlign w:val="center"/>
              </w:tcPr>
              <w:p w14:paraId="17CBB465" w14:textId="77777777" w:rsidR="007B3D86" w:rsidRDefault="007B3D86">
                <w:pPr>
                  <w:widowControl w:val="0"/>
                  <w:jc w:val="right"/>
                </w:pPr>
                <w:r>
                  <w:rPr>
                    <w:rFonts w:hint="eastAsia"/>
                  </w:rPr>
                  <w:t>47,645.42</w:t>
                </w:r>
              </w:p>
            </w:tc>
            <w:tc>
              <w:tcPr>
                <w:tcW w:w="1545" w:type="dxa"/>
                <w:shd w:val="clear" w:color="auto" w:fill="auto"/>
                <w:vAlign w:val="center"/>
              </w:tcPr>
              <w:p w14:paraId="7CD438E4" w14:textId="77777777" w:rsidR="007B3D86" w:rsidRDefault="007B3D86">
                <w:pPr>
                  <w:widowControl w:val="0"/>
                  <w:jc w:val="right"/>
                </w:pPr>
                <w:r>
                  <w:rPr>
                    <w:rFonts w:hint="eastAsia"/>
                  </w:rPr>
                  <w:t>-149.45</w:t>
                </w:r>
              </w:p>
            </w:tc>
            <w:tc>
              <w:tcPr>
                <w:tcW w:w="1754" w:type="dxa"/>
                <w:shd w:val="clear" w:color="auto" w:fill="auto"/>
              </w:tcPr>
              <w:p w14:paraId="7497777D" w14:textId="77777777" w:rsidR="007B3D86" w:rsidRDefault="007B3D86">
                <w:pPr>
                  <w:widowControl w:val="0"/>
                  <w:jc w:val="right"/>
                </w:pPr>
              </w:p>
            </w:tc>
            <w:tc>
              <w:tcPr>
                <w:tcW w:w="1313" w:type="dxa"/>
                <w:shd w:val="clear" w:color="auto" w:fill="auto"/>
              </w:tcPr>
              <w:p w14:paraId="71CFEF91" w14:textId="77777777" w:rsidR="007B3D86" w:rsidRDefault="007B3D86">
                <w:pPr>
                  <w:widowControl w:val="0"/>
                  <w:jc w:val="right"/>
                </w:pPr>
              </w:p>
            </w:tc>
            <w:tc>
              <w:tcPr>
                <w:tcW w:w="1546" w:type="dxa"/>
                <w:shd w:val="clear" w:color="auto" w:fill="auto"/>
                <w:vAlign w:val="center"/>
              </w:tcPr>
              <w:p w14:paraId="512682F0" w14:textId="77777777" w:rsidR="007B3D86" w:rsidRDefault="007B3D86">
                <w:pPr>
                  <w:widowControl w:val="0"/>
                  <w:jc w:val="right"/>
                </w:pPr>
                <w:r>
                  <w:rPr>
                    <w:rFonts w:hint="eastAsia"/>
                  </w:rPr>
                  <w:t>24,859.51</w:t>
                </w:r>
              </w:p>
            </w:tc>
            <w:tc>
              <w:tcPr>
                <w:tcW w:w="1545" w:type="dxa"/>
                <w:shd w:val="clear" w:color="auto" w:fill="auto"/>
                <w:vAlign w:val="center"/>
              </w:tcPr>
              <w:p w14:paraId="4D7A155E" w14:textId="77777777" w:rsidR="007B3D86" w:rsidRDefault="007B3D86">
                <w:pPr>
                  <w:widowControl w:val="0"/>
                  <w:jc w:val="right"/>
                </w:pPr>
                <w:r>
                  <w:rPr>
                    <w:rFonts w:hint="eastAsia"/>
                  </w:rPr>
                  <w:t>72,355.02</w:t>
                </w:r>
              </w:p>
            </w:tc>
            <w:tc>
              <w:tcPr>
                <w:tcW w:w="1539" w:type="dxa"/>
                <w:shd w:val="clear" w:color="auto" w:fill="auto"/>
              </w:tcPr>
              <w:p w14:paraId="5F928B5E" w14:textId="77777777" w:rsidR="007B3D86" w:rsidRDefault="007B3D86">
                <w:pPr>
                  <w:widowControl w:val="0"/>
                  <w:jc w:val="right"/>
                </w:pPr>
              </w:p>
            </w:tc>
            <w:tc>
              <w:tcPr>
                <w:tcW w:w="1546" w:type="dxa"/>
                <w:shd w:val="clear" w:color="auto" w:fill="auto"/>
                <w:vAlign w:val="center"/>
              </w:tcPr>
              <w:p w14:paraId="13F97549" w14:textId="77777777" w:rsidR="007B3D86" w:rsidRDefault="007B3D86">
                <w:pPr>
                  <w:widowControl w:val="0"/>
                  <w:jc w:val="right"/>
                </w:pPr>
                <w:r>
                  <w:rPr>
                    <w:rFonts w:hint="eastAsia"/>
                  </w:rPr>
                  <w:t>0.46</w:t>
                </w:r>
              </w:p>
            </w:tc>
          </w:tr>
        </w:sdtContent>
      </w:sdt>
      <w:sdt>
        <w:sdtPr>
          <w:alias w:val="以公允价值计量的金融资产情况明细"/>
          <w:tag w:val="_TUP_6b109b7fdfcd4b978c999b3232f48073"/>
          <w:id w:val="-1927870236"/>
          <w:placeholder>
            <w:docPart w:val="5D8C3480C88F415EB9DAC74BEE3F6780"/>
          </w:placeholder>
        </w:sdtPr>
        <w:sdtEndPr/>
        <w:sdtContent>
          <w:tr w:rsidR="007B3D86" w14:paraId="4B5FAB24" w14:textId="77777777" w:rsidTr="00FD12A2">
            <w:sdt>
              <w:sdtPr>
                <w:alias w:val="以公允价值计量的金融资产情况明细_资产类别"/>
                <w:tag w:val="_GBC_cc72d7a8c8f74a64a251dbd2114ca4fe"/>
                <w:id w:val="1948962666"/>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1A7B3956" w14:textId="77777777" w:rsidR="007B3D86" w:rsidRDefault="007B3D86">
                    <w:pPr>
                      <w:widowControl w:val="0"/>
                      <w:jc w:val="both"/>
                    </w:pPr>
                    <w:r>
                      <w:t>外汇远期合约</w:t>
                    </w:r>
                  </w:p>
                </w:tc>
              </w:sdtContent>
            </w:sdt>
            <w:tc>
              <w:tcPr>
                <w:tcW w:w="1546" w:type="dxa"/>
                <w:shd w:val="clear" w:color="auto" w:fill="auto"/>
                <w:vAlign w:val="center"/>
              </w:tcPr>
              <w:p w14:paraId="04535F94" w14:textId="77777777" w:rsidR="007B3D86" w:rsidRDefault="007B3D86">
                <w:pPr>
                  <w:widowControl w:val="0"/>
                  <w:jc w:val="right"/>
                </w:pPr>
                <w:r>
                  <w:rPr>
                    <w:rFonts w:hint="eastAsia"/>
                  </w:rPr>
                  <w:t>118.31</w:t>
                </w:r>
              </w:p>
            </w:tc>
            <w:tc>
              <w:tcPr>
                <w:tcW w:w="1545" w:type="dxa"/>
                <w:shd w:val="clear" w:color="auto" w:fill="auto"/>
                <w:vAlign w:val="center"/>
              </w:tcPr>
              <w:p w14:paraId="0D86613F" w14:textId="77777777" w:rsidR="007B3D86" w:rsidRDefault="007B3D86">
                <w:pPr>
                  <w:widowControl w:val="0"/>
                  <w:jc w:val="right"/>
                </w:pPr>
                <w:r>
                  <w:rPr>
                    <w:rFonts w:hint="eastAsia"/>
                  </w:rPr>
                  <w:t>2.03</w:t>
                </w:r>
              </w:p>
            </w:tc>
            <w:tc>
              <w:tcPr>
                <w:tcW w:w="1754" w:type="dxa"/>
                <w:shd w:val="clear" w:color="auto" w:fill="auto"/>
              </w:tcPr>
              <w:p w14:paraId="774D755E" w14:textId="77777777" w:rsidR="007B3D86" w:rsidRDefault="007B3D86">
                <w:pPr>
                  <w:widowControl w:val="0"/>
                  <w:jc w:val="right"/>
                </w:pPr>
              </w:p>
            </w:tc>
            <w:tc>
              <w:tcPr>
                <w:tcW w:w="1313" w:type="dxa"/>
                <w:shd w:val="clear" w:color="auto" w:fill="auto"/>
              </w:tcPr>
              <w:p w14:paraId="719C7BED" w14:textId="77777777" w:rsidR="007B3D86" w:rsidRDefault="007B3D86">
                <w:pPr>
                  <w:widowControl w:val="0"/>
                  <w:jc w:val="right"/>
                </w:pPr>
              </w:p>
            </w:tc>
            <w:tc>
              <w:tcPr>
                <w:tcW w:w="1546" w:type="dxa"/>
                <w:shd w:val="clear" w:color="auto" w:fill="auto"/>
                <w:vAlign w:val="center"/>
              </w:tcPr>
              <w:p w14:paraId="1B4B18C7" w14:textId="77777777" w:rsidR="007B3D86" w:rsidRDefault="007B3D86">
                <w:pPr>
                  <w:widowControl w:val="0"/>
                  <w:jc w:val="right"/>
                </w:pPr>
              </w:p>
            </w:tc>
            <w:tc>
              <w:tcPr>
                <w:tcW w:w="1545" w:type="dxa"/>
                <w:shd w:val="clear" w:color="auto" w:fill="auto"/>
                <w:vAlign w:val="center"/>
              </w:tcPr>
              <w:p w14:paraId="2B025081" w14:textId="77777777" w:rsidR="007B3D86" w:rsidRDefault="007B3D86">
                <w:pPr>
                  <w:widowControl w:val="0"/>
                  <w:jc w:val="right"/>
                </w:pPr>
              </w:p>
            </w:tc>
            <w:tc>
              <w:tcPr>
                <w:tcW w:w="1539" w:type="dxa"/>
                <w:shd w:val="clear" w:color="auto" w:fill="auto"/>
                <w:vAlign w:val="center"/>
              </w:tcPr>
              <w:p w14:paraId="12D71FE9" w14:textId="77777777" w:rsidR="007B3D86" w:rsidRDefault="007B3D86">
                <w:pPr>
                  <w:widowControl w:val="0"/>
                  <w:jc w:val="right"/>
                </w:pPr>
                <w:r>
                  <w:rPr>
                    <w:rFonts w:hint="eastAsia"/>
                  </w:rPr>
                  <w:t>-118.99</w:t>
                </w:r>
              </w:p>
            </w:tc>
            <w:tc>
              <w:tcPr>
                <w:tcW w:w="1546" w:type="dxa"/>
                <w:shd w:val="clear" w:color="auto" w:fill="auto"/>
                <w:vAlign w:val="center"/>
              </w:tcPr>
              <w:p w14:paraId="61EFE637" w14:textId="77777777" w:rsidR="007B3D86" w:rsidRDefault="007B3D86">
                <w:pPr>
                  <w:widowControl w:val="0"/>
                  <w:jc w:val="right"/>
                </w:pPr>
                <w:r>
                  <w:rPr>
                    <w:rFonts w:hint="eastAsia"/>
                  </w:rPr>
                  <w:t>1.35</w:t>
                </w:r>
              </w:p>
            </w:tc>
          </w:tr>
        </w:sdtContent>
      </w:sdt>
      <w:sdt>
        <w:sdtPr>
          <w:alias w:val="以公允价值计量的金融资产情况明细"/>
          <w:tag w:val="_TUP_6b109b7fdfcd4b978c999b3232f48073"/>
          <w:id w:val="864482999"/>
          <w:placeholder>
            <w:docPart w:val="5D8C3480C88F415EB9DAC74BEE3F6780"/>
          </w:placeholder>
        </w:sdtPr>
        <w:sdtEndPr/>
        <w:sdtContent>
          <w:tr w:rsidR="007B3D86" w14:paraId="1A9779A0" w14:textId="77777777" w:rsidTr="00FD12A2">
            <w:sdt>
              <w:sdtPr>
                <w:alias w:val="以公允价值计量的金融资产情况明细_资产类别"/>
                <w:tag w:val="_GBC_cc72d7a8c8f74a64a251dbd2114ca4fe"/>
                <w:id w:val="869264406"/>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303551C8" w14:textId="77777777" w:rsidR="007B3D86" w:rsidRDefault="007B3D86">
                    <w:pPr>
                      <w:widowControl w:val="0"/>
                      <w:jc w:val="both"/>
                    </w:pPr>
                    <w:r>
                      <w:t>基金</w:t>
                    </w:r>
                  </w:p>
                </w:tc>
              </w:sdtContent>
            </w:sdt>
            <w:tc>
              <w:tcPr>
                <w:tcW w:w="1546" w:type="dxa"/>
                <w:shd w:val="clear" w:color="auto" w:fill="auto"/>
                <w:vAlign w:val="center"/>
              </w:tcPr>
              <w:p w14:paraId="088F26FF" w14:textId="77777777" w:rsidR="007B3D86" w:rsidRDefault="007B3D86">
                <w:pPr>
                  <w:widowControl w:val="0"/>
                  <w:jc w:val="right"/>
                </w:pPr>
                <w:r>
                  <w:rPr>
                    <w:rFonts w:hint="eastAsia"/>
                  </w:rPr>
                  <w:t>2,064.39</w:t>
                </w:r>
              </w:p>
            </w:tc>
            <w:tc>
              <w:tcPr>
                <w:tcW w:w="1545" w:type="dxa"/>
                <w:shd w:val="clear" w:color="auto" w:fill="auto"/>
                <w:vAlign w:val="center"/>
              </w:tcPr>
              <w:p w14:paraId="76D7C718" w14:textId="77777777" w:rsidR="007B3D86" w:rsidRDefault="007B3D86">
                <w:pPr>
                  <w:widowControl w:val="0"/>
                  <w:jc w:val="right"/>
                </w:pPr>
                <w:r>
                  <w:rPr>
                    <w:rFonts w:hint="eastAsia"/>
                  </w:rPr>
                  <w:t>54.16</w:t>
                </w:r>
              </w:p>
            </w:tc>
            <w:tc>
              <w:tcPr>
                <w:tcW w:w="1754" w:type="dxa"/>
                <w:shd w:val="clear" w:color="auto" w:fill="auto"/>
              </w:tcPr>
              <w:p w14:paraId="4EFDE857" w14:textId="77777777" w:rsidR="007B3D86" w:rsidRDefault="007B3D86">
                <w:pPr>
                  <w:widowControl w:val="0"/>
                  <w:jc w:val="right"/>
                </w:pPr>
              </w:p>
            </w:tc>
            <w:tc>
              <w:tcPr>
                <w:tcW w:w="1313" w:type="dxa"/>
                <w:shd w:val="clear" w:color="auto" w:fill="auto"/>
              </w:tcPr>
              <w:p w14:paraId="7DC73EEC" w14:textId="77777777" w:rsidR="007B3D86" w:rsidRDefault="007B3D86">
                <w:pPr>
                  <w:widowControl w:val="0"/>
                  <w:jc w:val="right"/>
                </w:pPr>
              </w:p>
            </w:tc>
            <w:tc>
              <w:tcPr>
                <w:tcW w:w="1546" w:type="dxa"/>
                <w:shd w:val="clear" w:color="auto" w:fill="auto"/>
                <w:vAlign w:val="center"/>
              </w:tcPr>
              <w:p w14:paraId="5FC5E476" w14:textId="77777777" w:rsidR="007B3D86" w:rsidRDefault="007B3D86">
                <w:pPr>
                  <w:widowControl w:val="0"/>
                  <w:jc w:val="right"/>
                </w:pPr>
                <w:r>
                  <w:rPr>
                    <w:rFonts w:hint="eastAsia"/>
                  </w:rPr>
                  <w:t>0.22</w:t>
                </w:r>
              </w:p>
            </w:tc>
            <w:tc>
              <w:tcPr>
                <w:tcW w:w="1545" w:type="dxa"/>
                <w:shd w:val="clear" w:color="auto" w:fill="auto"/>
                <w:vAlign w:val="center"/>
              </w:tcPr>
              <w:p w14:paraId="45DA5F1B" w14:textId="77777777" w:rsidR="007B3D86" w:rsidRDefault="007B3D86">
                <w:pPr>
                  <w:widowControl w:val="0"/>
                  <w:jc w:val="right"/>
                </w:pPr>
              </w:p>
            </w:tc>
            <w:tc>
              <w:tcPr>
                <w:tcW w:w="1539" w:type="dxa"/>
                <w:shd w:val="clear" w:color="auto" w:fill="auto"/>
                <w:vAlign w:val="center"/>
              </w:tcPr>
              <w:p w14:paraId="657F5949" w14:textId="77777777" w:rsidR="007B3D86" w:rsidRDefault="007B3D86">
                <w:pPr>
                  <w:widowControl w:val="0"/>
                  <w:jc w:val="right"/>
                </w:pPr>
              </w:p>
            </w:tc>
            <w:tc>
              <w:tcPr>
                <w:tcW w:w="1546" w:type="dxa"/>
                <w:shd w:val="clear" w:color="auto" w:fill="auto"/>
                <w:vAlign w:val="center"/>
              </w:tcPr>
              <w:p w14:paraId="6191347D" w14:textId="77777777" w:rsidR="007B3D86" w:rsidRDefault="007B3D86">
                <w:pPr>
                  <w:widowControl w:val="0"/>
                  <w:jc w:val="right"/>
                </w:pPr>
                <w:r>
                  <w:rPr>
                    <w:rFonts w:hint="eastAsia"/>
                  </w:rPr>
                  <w:t>2,118.77</w:t>
                </w:r>
              </w:p>
            </w:tc>
          </w:tr>
        </w:sdtContent>
      </w:sdt>
      <w:sdt>
        <w:sdtPr>
          <w:alias w:val="以公允价值计量的金融资产情况明细"/>
          <w:tag w:val="_TUP_6b109b7fdfcd4b978c999b3232f48073"/>
          <w:id w:val="-671027206"/>
          <w:placeholder>
            <w:docPart w:val="5D8C3480C88F415EB9DAC74BEE3F6780"/>
          </w:placeholder>
        </w:sdtPr>
        <w:sdtEndPr/>
        <w:sdtContent>
          <w:tr w:rsidR="007B3D86" w14:paraId="0EDC831F" w14:textId="77777777" w:rsidTr="00FD12A2">
            <w:sdt>
              <w:sdtPr>
                <w:alias w:val="以公允价值计量的金融资产情况明细_资产类别"/>
                <w:tag w:val="_GBC_cc72d7a8c8f74a64a251dbd2114ca4fe"/>
                <w:id w:val="574715613"/>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4021BD47" w14:textId="77777777" w:rsidR="007B3D86" w:rsidRDefault="007B3D86">
                    <w:pPr>
                      <w:widowControl w:val="0"/>
                      <w:jc w:val="both"/>
                    </w:pPr>
                    <w:r>
                      <w:t>或有对价</w:t>
                    </w:r>
                  </w:p>
                </w:tc>
              </w:sdtContent>
            </w:sdt>
            <w:tc>
              <w:tcPr>
                <w:tcW w:w="1546" w:type="dxa"/>
                <w:shd w:val="clear" w:color="auto" w:fill="auto"/>
                <w:vAlign w:val="center"/>
              </w:tcPr>
              <w:p w14:paraId="69671193" w14:textId="77777777" w:rsidR="007B3D86" w:rsidRDefault="007B3D86">
                <w:pPr>
                  <w:widowControl w:val="0"/>
                  <w:jc w:val="right"/>
                </w:pPr>
              </w:p>
            </w:tc>
            <w:tc>
              <w:tcPr>
                <w:tcW w:w="1545" w:type="dxa"/>
                <w:shd w:val="clear" w:color="auto" w:fill="auto"/>
                <w:vAlign w:val="center"/>
              </w:tcPr>
              <w:p w14:paraId="321A2ADD" w14:textId="77777777" w:rsidR="007B3D86" w:rsidRDefault="007B3D86">
                <w:pPr>
                  <w:widowControl w:val="0"/>
                  <w:jc w:val="right"/>
                </w:pPr>
                <w:r>
                  <w:rPr>
                    <w:rFonts w:hint="eastAsia"/>
                  </w:rPr>
                  <w:t>13,095.85</w:t>
                </w:r>
              </w:p>
            </w:tc>
            <w:tc>
              <w:tcPr>
                <w:tcW w:w="1754" w:type="dxa"/>
                <w:shd w:val="clear" w:color="auto" w:fill="auto"/>
              </w:tcPr>
              <w:p w14:paraId="30EB40CB" w14:textId="77777777" w:rsidR="007B3D86" w:rsidRDefault="007B3D86">
                <w:pPr>
                  <w:widowControl w:val="0"/>
                  <w:jc w:val="right"/>
                </w:pPr>
              </w:p>
            </w:tc>
            <w:tc>
              <w:tcPr>
                <w:tcW w:w="1313" w:type="dxa"/>
                <w:shd w:val="clear" w:color="auto" w:fill="auto"/>
              </w:tcPr>
              <w:p w14:paraId="4C2183C9" w14:textId="77777777" w:rsidR="007B3D86" w:rsidRDefault="007B3D86">
                <w:pPr>
                  <w:widowControl w:val="0"/>
                  <w:jc w:val="right"/>
                </w:pPr>
              </w:p>
            </w:tc>
            <w:tc>
              <w:tcPr>
                <w:tcW w:w="1546" w:type="dxa"/>
                <w:shd w:val="clear" w:color="auto" w:fill="auto"/>
                <w:vAlign w:val="center"/>
              </w:tcPr>
              <w:p w14:paraId="3CC9A045" w14:textId="77777777" w:rsidR="007B3D86" w:rsidRDefault="007B3D86">
                <w:pPr>
                  <w:widowControl w:val="0"/>
                  <w:jc w:val="right"/>
                </w:pPr>
              </w:p>
            </w:tc>
            <w:tc>
              <w:tcPr>
                <w:tcW w:w="1545" w:type="dxa"/>
                <w:shd w:val="clear" w:color="auto" w:fill="auto"/>
                <w:vAlign w:val="center"/>
              </w:tcPr>
              <w:p w14:paraId="1E164046" w14:textId="77777777" w:rsidR="007B3D86" w:rsidRDefault="007B3D86">
                <w:pPr>
                  <w:widowControl w:val="0"/>
                  <w:jc w:val="right"/>
                </w:pPr>
              </w:p>
            </w:tc>
            <w:tc>
              <w:tcPr>
                <w:tcW w:w="1539" w:type="dxa"/>
                <w:shd w:val="clear" w:color="auto" w:fill="auto"/>
                <w:vAlign w:val="center"/>
              </w:tcPr>
              <w:p w14:paraId="56AC82AA" w14:textId="77777777" w:rsidR="007B3D86" w:rsidRDefault="007B3D86">
                <w:pPr>
                  <w:widowControl w:val="0"/>
                  <w:jc w:val="right"/>
                </w:pPr>
              </w:p>
            </w:tc>
            <w:tc>
              <w:tcPr>
                <w:tcW w:w="1546" w:type="dxa"/>
                <w:shd w:val="clear" w:color="auto" w:fill="auto"/>
                <w:vAlign w:val="center"/>
              </w:tcPr>
              <w:p w14:paraId="331D874E" w14:textId="77777777" w:rsidR="007B3D86" w:rsidRDefault="007B3D86">
                <w:pPr>
                  <w:widowControl w:val="0"/>
                  <w:jc w:val="right"/>
                </w:pPr>
                <w:r>
                  <w:rPr>
                    <w:rFonts w:hint="eastAsia"/>
                  </w:rPr>
                  <w:t>13,095.85</w:t>
                </w:r>
              </w:p>
            </w:tc>
          </w:tr>
        </w:sdtContent>
      </w:sdt>
      <w:sdt>
        <w:sdtPr>
          <w:alias w:val="以公允价值计量的金融资产情况明细"/>
          <w:tag w:val="_TUP_6b109b7fdfcd4b978c999b3232f48073"/>
          <w:id w:val="-1796127891"/>
          <w:placeholder>
            <w:docPart w:val="5D8C3480C88F415EB9DAC74BEE3F6780"/>
          </w:placeholder>
        </w:sdtPr>
        <w:sdtEndPr/>
        <w:sdtContent>
          <w:tr w:rsidR="007B3D86" w14:paraId="2D1766D1" w14:textId="77777777" w:rsidTr="00FD12A2">
            <w:sdt>
              <w:sdtPr>
                <w:alias w:val="以公允价值计量的金融资产情况明细_资产类别"/>
                <w:tag w:val="_GBC_cc72d7a8c8f74a64a251dbd2114ca4fe"/>
                <w:id w:val="1876894175"/>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529" w:type="dxa"/>
                    <w:shd w:val="clear" w:color="auto" w:fill="auto"/>
                  </w:tcPr>
                  <w:p w14:paraId="3C9EF030" w14:textId="77777777" w:rsidR="007B3D86" w:rsidRDefault="007B3D86">
                    <w:pPr>
                      <w:widowControl w:val="0"/>
                      <w:jc w:val="both"/>
                    </w:pPr>
                    <w:r>
                      <w:t>衍生金融资产</w:t>
                    </w:r>
                  </w:p>
                </w:tc>
              </w:sdtContent>
            </w:sdt>
            <w:tc>
              <w:tcPr>
                <w:tcW w:w="1546" w:type="dxa"/>
                <w:shd w:val="clear" w:color="auto" w:fill="auto"/>
                <w:vAlign w:val="center"/>
              </w:tcPr>
              <w:p w14:paraId="3871368F" w14:textId="77777777" w:rsidR="007B3D86" w:rsidRDefault="007B3D86">
                <w:pPr>
                  <w:widowControl w:val="0"/>
                  <w:jc w:val="right"/>
                </w:pPr>
                <w:r>
                  <w:rPr>
                    <w:rFonts w:hint="eastAsia"/>
                  </w:rPr>
                  <w:t>1,105.63</w:t>
                </w:r>
              </w:p>
            </w:tc>
            <w:tc>
              <w:tcPr>
                <w:tcW w:w="1545" w:type="dxa"/>
                <w:shd w:val="clear" w:color="auto" w:fill="auto"/>
                <w:vAlign w:val="center"/>
              </w:tcPr>
              <w:p w14:paraId="6A46CC9C" w14:textId="77777777" w:rsidR="007B3D86" w:rsidRDefault="007B3D86">
                <w:pPr>
                  <w:widowControl w:val="0"/>
                  <w:jc w:val="right"/>
                </w:pPr>
              </w:p>
            </w:tc>
            <w:tc>
              <w:tcPr>
                <w:tcW w:w="1754" w:type="dxa"/>
                <w:shd w:val="clear" w:color="auto" w:fill="auto"/>
                <w:vAlign w:val="center"/>
              </w:tcPr>
              <w:p w14:paraId="39247382" w14:textId="77777777" w:rsidR="007B3D86" w:rsidRDefault="007B3D86">
                <w:pPr>
                  <w:widowControl w:val="0"/>
                  <w:jc w:val="right"/>
                </w:pPr>
                <w:r>
                  <w:rPr>
                    <w:rFonts w:hint="eastAsia"/>
                  </w:rPr>
                  <w:t>-243.81</w:t>
                </w:r>
              </w:p>
            </w:tc>
            <w:tc>
              <w:tcPr>
                <w:tcW w:w="1313" w:type="dxa"/>
                <w:shd w:val="clear" w:color="auto" w:fill="auto"/>
              </w:tcPr>
              <w:p w14:paraId="46701F36" w14:textId="77777777" w:rsidR="007B3D86" w:rsidRDefault="007B3D86">
                <w:pPr>
                  <w:widowControl w:val="0"/>
                  <w:jc w:val="right"/>
                </w:pPr>
              </w:p>
            </w:tc>
            <w:tc>
              <w:tcPr>
                <w:tcW w:w="1546" w:type="dxa"/>
                <w:shd w:val="clear" w:color="auto" w:fill="auto"/>
                <w:vAlign w:val="center"/>
              </w:tcPr>
              <w:p w14:paraId="566A446A" w14:textId="77777777" w:rsidR="007B3D86" w:rsidRDefault="007B3D86">
                <w:pPr>
                  <w:widowControl w:val="0"/>
                  <w:jc w:val="right"/>
                </w:pPr>
              </w:p>
            </w:tc>
            <w:tc>
              <w:tcPr>
                <w:tcW w:w="1545" w:type="dxa"/>
                <w:shd w:val="clear" w:color="auto" w:fill="auto"/>
                <w:vAlign w:val="center"/>
              </w:tcPr>
              <w:p w14:paraId="45CF82A1" w14:textId="77777777" w:rsidR="007B3D86" w:rsidRDefault="007B3D86">
                <w:pPr>
                  <w:widowControl w:val="0"/>
                  <w:jc w:val="right"/>
                </w:pPr>
              </w:p>
            </w:tc>
            <w:tc>
              <w:tcPr>
                <w:tcW w:w="1539" w:type="dxa"/>
                <w:shd w:val="clear" w:color="auto" w:fill="auto"/>
                <w:vAlign w:val="center"/>
              </w:tcPr>
              <w:p w14:paraId="44D33873" w14:textId="77777777" w:rsidR="007B3D86" w:rsidRDefault="007B3D86">
                <w:pPr>
                  <w:widowControl w:val="0"/>
                  <w:jc w:val="right"/>
                </w:pPr>
              </w:p>
            </w:tc>
            <w:tc>
              <w:tcPr>
                <w:tcW w:w="1546" w:type="dxa"/>
                <w:shd w:val="clear" w:color="auto" w:fill="auto"/>
                <w:vAlign w:val="center"/>
              </w:tcPr>
              <w:p w14:paraId="76296512" w14:textId="77777777" w:rsidR="007B3D86" w:rsidRDefault="007B3D86">
                <w:pPr>
                  <w:widowControl w:val="0"/>
                  <w:jc w:val="right"/>
                </w:pPr>
                <w:r>
                  <w:rPr>
                    <w:rFonts w:hint="eastAsia"/>
                  </w:rPr>
                  <w:t>861.82</w:t>
                </w:r>
              </w:p>
            </w:tc>
          </w:tr>
        </w:sdtContent>
      </w:sdt>
      <w:tr w:rsidR="007B3D86" w14:paraId="771128DC" w14:textId="77777777" w:rsidTr="00FD12A2">
        <w:tc>
          <w:tcPr>
            <w:tcW w:w="1529" w:type="dxa"/>
            <w:shd w:val="clear" w:color="auto" w:fill="auto"/>
          </w:tcPr>
          <w:sdt>
            <w:sdtPr>
              <w:tag w:val="_PLD_9763685e417f4caab19a3981d49680d7"/>
              <w:id w:val="1694042327"/>
            </w:sdtPr>
            <w:sdtEndPr/>
            <w:sdtContent>
              <w:p w14:paraId="75D01C64" w14:textId="77777777" w:rsidR="007B3D86" w:rsidRDefault="007B3D86">
                <w:pPr>
                  <w:widowControl w:val="0"/>
                  <w:jc w:val="center"/>
                </w:pPr>
                <w:r>
                  <w:t>合计</w:t>
                </w:r>
              </w:p>
            </w:sdtContent>
          </w:sdt>
        </w:tc>
        <w:tc>
          <w:tcPr>
            <w:tcW w:w="1546" w:type="dxa"/>
            <w:shd w:val="clear" w:color="auto" w:fill="auto"/>
            <w:vAlign w:val="center"/>
          </w:tcPr>
          <w:p w14:paraId="4BDE1892" w14:textId="77777777" w:rsidR="007B3D86" w:rsidRDefault="007B3D86">
            <w:pPr>
              <w:widowControl w:val="0"/>
              <w:jc w:val="right"/>
            </w:pPr>
            <w:r>
              <w:rPr>
                <w:rFonts w:hint="eastAsia"/>
              </w:rPr>
              <w:t>61,222.62</w:t>
            </w:r>
          </w:p>
        </w:tc>
        <w:tc>
          <w:tcPr>
            <w:tcW w:w="1545" w:type="dxa"/>
            <w:shd w:val="clear" w:color="auto" w:fill="auto"/>
            <w:vAlign w:val="center"/>
          </w:tcPr>
          <w:p w14:paraId="226176C7" w14:textId="77777777" w:rsidR="007B3D86" w:rsidRDefault="007B3D86">
            <w:pPr>
              <w:widowControl w:val="0"/>
              <w:jc w:val="right"/>
            </w:pPr>
            <w:r>
              <w:rPr>
                <w:rFonts w:hint="eastAsia"/>
              </w:rPr>
              <w:t>12,633.4</w:t>
            </w:r>
          </w:p>
        </w:tc>
        <w:tc>
          <w:tcPr>
            <w:tcW w:w="1754" w:type="dxa"/>
            <w:shd w:val="clear" w:color="auto" w:fill="auto"/>
            <w:vAlign w:val="center"/>
          </w:tcPr>
          <w:p w14:paraId="10166CB0" w14:textId="77777777" w:rsidR="007B3D86" w:rsidRDefault="007B3D86">
            <w:pPr>
              <w:widowControl w:val="0"/>
              <w:jc w:val="right"/>
            </w:pPr>
            <w:r>
              <w:rPr>
                <w:rFonts w:hint="eastAsia"/>
              </w:rPr>
              <w:t>-243.81</w:t>
            </w:r>
          </w:p>
        </w:tc>
        <w:tc>
          <w:tcPr>
            <w:tcW w:w="1313" w:type="dxa"/>
            <w:shd w:val="clear" w:color="auto" w:fill="auto"/>
          </w:tcPr>
          <w:p w14:paraId="47545ED9" w14:textId="77777777" w:rsidR="007B3D86" w:rsidRDefault="007B3D86">
            <w:pPr>
              <w:widowControl w:val="0"/>
              <w:jc w:val="right"/>
            </w:pPr>
          </w:p>
        </w:tc>
        <w:tc>
          <w:tcPr>
            <w:tcW w:w="1546" w:type="dxa"/>
            <w:shd w:val="clear" w:color="auto" w:fill="auto"/>
            <w:vAlign w:val="center"/>
          </w:tcPr>
          <w:p w14:paraId="0AC78C8B" w14:textId="77777777" w:rsidR="007B3D86" w:rsidRDefault="007B3D86">
            <w:pPr>
              <w:widowControl w:val="0"/>
              <w:jc w:val="right"/>
            </w:pPr>
            <w:r>
              <w:rPr>
                <w:rFonts w:hint="eastAsia"/>
              </w:rPr>
              <w:t>24,859.73</w:t>
            </w:r>
          </w:p>
        </w:tc>
        <w:tc>
          <w:tcPr>
            <w:tcW w:w="1545" w:type="dxa"/>
            <w:shd w:val="clear" w:color="auto" w:fill="auto"/>
            <w:vAlign w:val="center"/>
          </w:tcPr>
          <w:p w14:paraId="24675E94" w14:textId="77777777" w:rsidR="007B3D86" w:rsidRDefault="007B3D86">
            <w:pPr>
              <w:widowControl w:val="0"/>
              <w:jc w:val="right"/>
            </w:pPr>
            <w:r>
              <w:rPr>
                <w:rFonts w:hint="eastAsia"/>
              </w:rPr>
              <w:t>72,355.02</w:t>
            </w:r>
          </w:p>
        </w:tc>
        <w:tc>
          <w:tcPr>
            <w:tcW w:w="1539" w:type="dxa"/>
            <w:shd w:val="clear" w:color="auto" w:fill="auto"/>
            <w:vAlign w:val="center"/>
          </w:tcPr>
          <w:p w14:paraId="2CA42271" w14:textId="77777777" w:rsidR="007B3D86" w:rsidRDefault="007B3D86">
            <w:pPr>
              <w:widowControl w:val="0"/>
              <w:jc w:val="right"/>
            </w:pPr>
            <w:r>
              <w:rPr>
                <w:rFonts w:hint="eastAsia"/>
              </w:rPr>
              <w:t>-107.22</w:t>
            </w:r>
          </w:p>
        </w:tc>
        <w:tc>
          <w:tcPr>
            <w:tcW w:w="1546" w:type="dxa"/>
            <w:shd w:val="clear" w:color="auto" w:fill="auto"/>
            <w:vAlign w:val="center"/>
          </w:tcPr>
          <w:p w14:paraId="2FCA1840" w14:textId="77777777" w:rsidR="007B3D86" w:rsidRDefault="00FD12A2">
            <w:pPr>
              <w:widowControl w:val="0"/>
              <w:jc w:val="right"/>
            </w:pPr>
            <w:r>
              <w:t>26,009.70</w:t>
            </w:r>
          </w:p>
        </w:tc>
      </w:tr>
    </w:tbl>
    <w:p w14:paraId="6859896A" w14:textId="77777777" w:rsidR="007B3D86" w:rsidRDefault="007B3D86">
      <w:pPr>
        <w:rPr>
          <w:szCs w:val="21"/>
        </w:rPr>
      </w:pPr>
    </w:p>
    <w:p w14:paraId="4DF98D56" w14:textId="77777777" w:rsidR="00E57DAA" w:rsidRDefault="00AC4185">
      <w:pPr>
        <w:rPr>
          <w:szCs w:val="21"/>
        </w:rPr>
      </w:pPr>
      <w:r>
        <w:rPr>
          <w:rFonts w:hint="eastAsia"/>
          <w:szCs w:val="21"/>
        </w:rPr>
        <w:t>证券投资情况</w:t>
      </w:r>
    </w:p>
    <w:sdt>
      <w:sdtPr>
        <w:rPr>
          <w:szCs w:val="21"/>
        </w:rPr>
        <w:alias w:val="是否适用：证券投资情况[双击切换]"/>
        <w:tag w:val="_GBC_7d04680e71454924aa49897089c6ec88"/>
        <w:id w:val="1070009966"/>
        <w:placeholder>
          <w:docPart w:val="GBC22222222222222222222222222222"/>
        </w:placeholder>
      </w:sdtPr>
      <w:sdtEndPr/>
      <w:sdtContent>
        <w:p w14:paraId="79AFF04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A2FF42" w14:textId="77777777" w:rsidR="00E57DAA" w:rsidRDefault="00AC4185">
      <w:pPr>
        <w:pStyle w:val="14"/>
        <w:wordWrap w:val="0"/>
        <w:ind w:left="360" w:firstLineChars="0" w:firstLine="0"/>
        <w:jc w:val="right"/>
      </w:pPr>
      <w:r>
        <w:rPr>
          <w:rFonts w:hint="eastAsia"/>
        </w:rPr>
        <w:t>单位：</w:t>
      </w:r>
      <w:sdt>
        <w:sdtPr>
          <w:rPr>
            <w:rFonts w:hint="eastAsia"/>
          </w:rPr>
          <w:alias w:val="单位：证券投资情况"/>
          <w:tag w:val="_GBC_9030571ec97a42438b5264832c2a5326"/>
          <w:id w:val="-76091335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w:t>
      </w:r>
      <w:r>
        <w:rPr>
          <w:rFonts w:hint="eastAsia"/>
        </w:rPr>
        <w:t>币种：</w:t>
      </w:r>
      <w:sdt>
        <w:sdtPr>
          <w:rPr>
            <w:rFonts w:hint="eastAsia"/>
          </w:rPr>
          <w:alias w:val="币种：证券投资情况"/>
          <w:tag w:val="_GBC_21a6e145782e410295a95d0cfa95a807"/>
          <w:id w:val="-16795775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068"/>
        <w:gridCol w:w="1068"/>
        <w:gridCol w:w="1068"/>
        <w:gridCol w:w="1067"/>
        <w:gridCol w:w="1067"/>
        <w:gridCol w:w="1065"/>
        <w:gridCol w:w="1067"/>
        <w:gridCol w:w="1067"/>
        <w:gridCol w:w="1067"/>
        <w:gridCol w:w="1067"/>
        <w:gridCol w:w="1067"/>
        <w:gridCol w:w="1059"/>
      </w:tblGrid>
      <w:tr w:rsidR="00E57DAA" w14:paraId="66608D8A" w14:textId="77777777">
        <w:bookmarkStart w:id="68" w:name="_Hlk40533881" w:displacedByCustomXml="next"/>
        <w:sdt>
          <w:sdtPr>
            <w:rPr>
              <w:rFonts w:hint="eastAsia"/>
              <w:szCs w:val="21"/>
            </w:rPr>
            <w:tag w:val="_PLD_a2aca594a908499a93ab70468f6a23b7"/>
            <w:id w:val="1743680375"/>
          </w:sdtPr>
          <w:sdtEndPr/>
          <w:sdtContent>
            <w:tc>
              <w:tcPr>
                <w:tcW w:w="384" w:type="pct"/>
                <w:shd w:val="clear" w:color="auto" w:fill="auto"/>
                <w:vAlign w:val="center"/>
              </w:tcPr>
              <w:p w14:paraId="21276ADC" w14:textId="77777777" w:rsidR="00E57DAA" w:rsidRDefault="00AC4185">
                <w:pPr>
                  <w:jc w:val="center"/>
                  <w:rPr>
                    <w:szCs w:val="21"/>
                  </w:rPr>
                </w:pPr>
                <w:r>
                  <w:rPr>
                    <w:rFonts w:hint="eastAsia"/>
                    <w:szCs w:val="21"/>
                  </w:rPr>
                  <w:t>证券品种</w:t>
                </w:r>
              </w:p>
            </w:tc>
          </w:sdtContent>
        </w:sdt>
        <w:sdt>
          <w:sdtPr>
            <w:rPr>
              <w:rFonts w:hint="eastAsia"/>
              <w:szCs w:val="21"/>
            </w:rPr>
            <w:tag w:val="_PLD_2a8a447db28f48a89b3e24843ac8c0b0"/>
            <w:id w:val="107704430"/>
          </w:sdtPr>
          <w:sdtEndPr/>
          <w:sdtContent>
            <w:tc>
              <w:tcPr>
                <w:tcW w:w="385" w:type="pct"/>
                <w:shd w:val="clear" w:color="auto" w:fill="auto"/>
                <w:vAlign w:val="center"/>
              </w:tcPr>
              <w:p w14:paraId="003B3259" w14:textId="77777777" w:rsidR="00E57DAA" w:rsidRDefault="00AC4185">
                <w:pPr>
                  <w:jc w:val="center"/>
                  <w:rPr>
                    <w:szCs w:val="21"/>
                  </w:rPr>
                </w:pPr>
                <w:r>
                  <w:rPr>
                    <w:rFonts w:hint="eastAsia"/>
                    <w:szCs w:val="21"/>
                  </w:rPr>
                  <w:t>证券代码</w:t>
                </w:r>
              </w:p>
            </w:tc>
          </w:sdtContent>
        </w:sdt>
        <w:sdt>
          <w:sdtPr>
            <w:rPr>
              <w:rFonts w:hint="eastAsia"/>
              <w:szCs w:val="21"/>
            </w:rPr>
            <w:tag w:val="_PLD_b4b2dd48041247c08674576b86c9470b"/>
            <w:id w:val="-1910602735"/>
          </w:sdtPr>
          <w:sdtEndPr/>
          <w:sdtContent>
            <w:tc>
              <w:tcPr>
                <w:tcW w:w="385" w:type="pct"/>
                <w:shd w:val="clear" w:color="auto" w:fill="auto"/>
                <w:vAlign w:val="center"/>
              </w:tcPr>
              <w:p w14:paraId="7A072B30" w14:textId="77777777" w:rsidR="00E57DAA" w:rsidRDefault="00AC4185">
                <w:pPr>
                  <w:tabs>
                    <w:tab w:val="left" w:pos="60"/>
                  </w:tabs>
                  <w:jc w:val="center"/>
                  <w:rPr>
                    <w:szCs w:val="21"/>
                  </w:rPr>
                </w:pPr>
                <w:r>
                  <w:rPr>
                    <w:rFonts w:hint="eastAsia"/>
                    <w:szCs w:val="21"/>
                  </w:rPr>
                  <w:t>证券简称</w:t>
                </w:r>
              </w:p>
            </w:tc>
          </w:sdtContent>
        </w:sdt>
        <w:sdt>
          <w:sdtPr>
            <w:rPr>
              <w:rFonts w:hint="eastAsia"/>
              <w:szCs w:val="21"/>
            </w:rPr>
            <w:tag w:val="_PLD_3c80e02ab5694d799cfd3d5d2ac9c797"/>
            <w:id w:val="-552927544"/>
          </w:sdtPr>
          <w:sdtEndPr/>
          <w:sdtContent>
            <w:tc>
              <w:tcPr>
                <w:tcW w:w="385" w:type="pct"/>
                <w:shd w:val="clear" w:color="auto" w:fill="auto"/>
                <w:vAlign w:val="center"/>
              </w:tcPr>
              <w:p w14:paraId="0010CCC0" w14:textId="77777777" w:rsidR="00E57DAA" w:rsidRDefault="00AC4185">
                <w:pPr>
                  <w:jc w:val="center"/>
                  <w:rPr>
                    <w:szCs w:val="21"/>
                  </w:rPr>
                </w:pPr>
                <w:r>
                  <w:rPr>
                    <w:rFonts w:hint="eastAsia"/>
                    <w:szCs w:val="21"/>
                  </w:rPr>
                  <w:t>最初投资成本</w:t>
                </w:r>
              </w:p>
            </w:tc>
          </w:sdtContent>
        </w:sdt>
        <w:sdt>
          <w:sdtPr>
            <w:rPr>
              <w:rFonts w:hint="eastAsia"/>
              <w:szCs w:val="21"/>
            </w:rPr>
            <w:tag w:val="_PLD_873ecdbb8a3343d6b6fcaa48e4cf64dc"/>
            <w:id w:val="-1651906757"/>
          </w:sdtPr>
          <w:sdtEndPr/>
          <w:sdtContent>
            <w:tc>
              <w:tcPr>
                <w:tcW w:w="385" w:type="pct"/>
                <w:shd w:val="clear" w:color="auto" w:fill="auto"/>
                <w:vAlign w:val="center"/>
              </w:tcPr>
              <w:p w14:paraId="1F8B8A70" w14:textId="77777777" w:rsidR="00E57DAA" w:rsidRDefault="00AC4185">
                <w:pPr>
                  <w:jc w:val="center"/>
                  <w:rPr>
                    <w:szCs w:val="21"/>
                  </w:rPr>
                </w:pPr>
                <w:r>
                  <w:rPr>
                    <w:rFonts w:hint="eastAsia"/>
                    <w:szCs w:val="21"/>
                  </w:rPr>
                  <w:t>资金来源</w:t>
                </w:r>
              </w:p>
            </w:tc>
          </w:sdtContent>
        </w:sdt>
        <w:sdt>
          <w:sdtPr>
            <w:rPr>
              <w:rFonts w:hint="eastAsia"/>
              <w:szCs w:val="21"/>
            </w:rPr>
            <w:tag w:val="_PLD_b0de4dcfc59f4ead974d9d61a70ccc80"/>
            <w:id w:val="586114959"/>
          </w:sdtPr>
          <w:sdtEndPr/>
          <w:sdtContent>
            <w:tc>
              <w:tcPr>
                <w:tcW w:w="385" w:type="pct"/>
                <w:shd w:val="clear" w:color="auto" w:fill="auto"/>
                <w:vAlign w:val="center"/>
              </w:tcPr>
              <w:p w14:paraId="474AB65E" w14:textId="77777777" w:rsidR="00E57DAA" w:rsidRDefault="00AC4185">
                <w:pPr>
                  <w:jc w:val="center"/>
                  <w:rPr>
                    <w:szCs w:val="21"/>
                  </w:rPr>
                </w:pPr>
                <w:r>
                  <w:rPr>
                    <w:rFonts w:hint="eastAsia"/>
                    <w:szCs w:val="21"/>
                  </w:rPr>
                  <w:t>期初账面价值</w:t>
                </w:r>
              </w:p>
            </w:tc>
          </w:sdtContent>
        </w:sdt>
        <w:sdt>
          <w:sdtPr>
            <w:rPr>
              <w:rFonts w:hint="eastAsia"/>
              <w:szCs w:val="21"/>
            </w:rPr>
            <w:tag w:val="_PLD_ca5b1b460dec4af98a137b84d77794ce"/>
            <w:id w:val="1041087758"/>
          </w:sdtPr>
          <w:sdtEndPr/>
          <w:sdtContent>
            <w:tc>
              <w:tcPr>
                <w:tcW w:w="384" w:type="pct"/>
                <w:shd w:val="clear" w:color="auto" w:fill="auto"/>
                <w:vAlign w:val="center"/>
              </w:tcPr>
              <w:p w14:paraId="184306CC" w14:textId="77777777" w:rsidR="00E57DAA" w:rsidRDefault="00AC4185">
                <w:pPr>
                  <w:jc w:val="center"/>
                  <w:rPr>
                    <w:szCs w:val="21"/>
                  </w:rPr>
                </w:pPr>
                <w:r>
                  <w:rPr>
                    <w:rFonts w:hint="eastAsia"/>
                    <w:szCs w:val="21"/>
                  </w:rPr>
                  <w:t>本期公允价值变动损益</w:t>
                </w:r>
              </w:p>
            </w:tc>
          </w:sdtContent>
        </w:sdt>
        <w:sdt>
          <w:sdtPr>
            <w:rPr>
              <w:rFonts w:hint="eastAsia"/>
              <w:szCs w:val="21"/>
            </w:rPr>
            <w:tag w:val="_PLD_cf51b58b5b4641d797351424d3c1ceeb"/>
            <w:id w:val="937035001"/>
          </w:sdtPr>
          <w:sdtEndPr/>
          <w:sdtContent>
            <w:tc>
              <w:tcPr>
                <w:tcW w:w="385" w:type="pct"/>
                <w:shd w:val="clear" w:color="auto" w:fill="auto"/>
                <w:vAlign w:val="center"/>
              </w:tcPr>
              <w:p w14:paraId="5E6880FF" w14:textId="77777777" w:rsidR="00E57DAA" w:rsidRDefault="00AC4185">
                <w:pPr>
                  <w:jc w:val="center"/>
                  <w:rPr>
                    <w:szCs w:val="21"/>
                  </w:rPr>
                </w:pPr>
                <w:r>
                  <w:rPr>
                    <w:rFonts w:hint="eastAsia"/>
                    <w:szCs w:val="21"/>
                  </w:rPr>
                  <w:t>计入权益的累计公允价值变动</w:t>
                </w:r>
              </w:p>
            </w:tc>
          </w:sdtContent>
        </w:sdt>
        <w:sdt>
          <w:sdtPr>
            <w:rPr>
              <w:rFonts w:hint="eastAsia"/>
              <w:szCs w:val="21"/>
            </w:rPr>
            <w:tag w:val="_PLD_fa8acb6152da45658a6e5987a179057d"/>
            <w:id w:val="471182165"/>
          </w:sdtPr>
          <w:sdtEndPr/>
          <w:sdtContent>
            <w:tc>
              <w:tcPr>
                <w:tcW w:w="385" w:type="pct"/>
                <w:shd w:val="clear" w:color="auto" w:fill="auto"/>
                <w:vAlign w:val="center"/>
              </w:tcPr>
              <w:p w14:paraId="6A299C03" w14:textId="77777777" w:rsidR="00E57DAA" w:rsidRDefault="00AC4185">
                <w:pPr>
                  <w:jc w:val="center"/>
                  <w:rPr>
                    <w:szCs w:val="21"/>
                  </w:rPr>
                </w:pPr>
                <w:r>
                  <w:rPr>
                    <w:rFonts w:hint="eastAsia"/>
                    <w:szCs w:val="21"/>
                  </w:rPr>
                  <w:t>本期购买金额</w:t>
                </w:r>
              </w:p>
            </w:tc>
          </w:sdtContent>
        </w:sdt>
        <w:sdt>
          <w:sdtPr>
            <w:rPr>
              <w:rFonts w:hint="eastAsia"/>
              <w:szCs w:val="21"/>
            </w:rPr>
            <w:tag w:val="_PLD_6e2790d24c5846da999681b434e6731d"/>
            <w:id w:val="1191180641"/>
          </w:sdtPr>
          <w:sdtEndPr/>
          <w:sdtContent>
            <w:tc>
              <w:tcPr>
                <w:tcW w:w="385" w:type="pct"/>
                <w:shd w:val="clear" w:color="auto" w:fill="auto"/>
                <w:vAlign w:val="center"/>
              </w:tcPr>
              <w:p w14:paraId="59531613" w14:textId="77777777" w:rsidR="00E57DAA" w:rsidRDefault="00AC4185">
                <w:pPr>
                  <w:jc w:val="center"/>
                  <w:rPr>
                    <w:szCs w:val="21"/>
                  </w:rPr>
                </w:pPr>
                <w:r>
                  <w:rPr>
                    <w:rFonts w:hint="eastAsia"/>
                    <w:szCs w:val="21"/>
                  </w:rPr>
                  <w:t>本期出售金额</w:t>
                </w:r>
              </w:p>
            </w:tc>
          </w:sdtContent>
        </w:sdt>
        <w:sdt>
          <w:sdtPr>
            <w:rPr>
              <w:rFonts w:hint="eastAsia"/>
              <w:szCs w:val="21"/>
            </w:rPr>
            <w:tag w:val="_PLD_b053cb2d8ab44a05be4e28df1b11bd04"/>
            <w:id w:val="1932697431"/>
          </w:sdtPr>
          <w:sdtEndPr/>
          <w:sdtContent>
            <w:tc>
              <w:tcPr>
                <w:tcW w:w="385" w:type="pct"/>
                <w:shd w:val="clear" w:color="auto" w:fill="auto"/>
                <w:vAlign w:val="center"/>
              </w:tcPr>
              <w:p w14:paraId="6382C1D3" w14:textId="77777777" w:rsidR="00E57DAA" w:rsidRDefault="00AC4185">
                <w:pPr>
                  <w:jc w:val="center"/>
                  <w:rPr>
                    <w:szCs w:val="21"/>
                  </w:rPr>
                </w:pPr>
                <w:r>
                  <w:rPr>
                    <w:rFonts w:hint="eastAsia"/>
                    <w:szCs w:val="21"/>
                  </w:rPr>
                  <w:t>本期投资损益</w:t>
                </w:r>
              </w:p>
            </w:tc>
          </w:sdtContent>
        </w:sdt>
        <w:sdt>
          <w:sdtPr>
            <w:rPr>
              <w:rFonts w:hint="eastAsia"/>
              <w:szCs w:val="21"/>
            </w:rPr>
            <w:tag w:val="_PLD_dc3183c5ec5e48d491b77e65bd093780"/>
            <w:id w:val="761491001"/>
          </w:sdtPr>
          <w:sdtEndPr/>
          <w:sdtContent>
            <w:tc>
              <w:tcPr>
                <w:tcW w:w="385" w:type="pct"/>
                <w:shd w:val="clear" w:color="auto" w:fill="auto"/>
                <w:vAlign w:val="center"/>
              </w:tcPr>
              <w:p w14:paraId="2A529D36" w14:textId="77777777" w:rsidR="00E57DAA" w:rsidRDefault="00AC4185">
                <w:pPr>
                  <w:jc w:val="center"/>
                  <w:rPr>
                    <w:szCs w:val="21"/>
                  </w:rPr>
                </w:pPr>
                <w:r>
                  <w:rPr>
                    <w:rFonts w:hint="eastAsia"/>
                    <w:szCs w:val="21"/>
                  </w:rPr>
                  <w:t>期末账面价值</w:t>
                </w:r>
              </w:p>
            </w:tc>
          </w:sdtContent>
        </w:sdt>
        <w:sdt>
          <w:sdtPr>
            <w:rPr>
              <w:rFonts w:hint="eastAsia"/>
              <w:szCs w:val="21"/>
            </w:rPr>
            <w:tag w:val="_PLD_953da3c8a977443ba41ba5b33c46abac"/>
            <w:id w:val="-366301004"/>
          </w:sdtPr>
          <w:sdtEndPr/>
          <w:sdtContent>
            <w:tc>
              <w:tcPr>
                <w:tcW w:w="382" w:type="pct"/>
                <w:shd w:val="clear" w:color="auto" w:fill="auto"/>
                <w:vAlign w:val="center"/>
              </w:tcPr>
              <w:p w14:paraId="3E65E720" w14:textId="77777777" w:rsidR="00E57DAA" w:rsidRDefault="00AC4185">
                <w:pPr>
                  <w:jc w:val="center"/>
                  <w:rPr>
                    <w:szCs w:val="21"/>
                  </w:rPr>
                </w:pPr>
                <w:r>
                  <w:rPr>
                    <w:rFonts w:hint="eastAsia"/>
                    <w:szCs w:val="21"/>
                  </w:rPr>
                  <w:t>会计核算科目</w:t>
                </w:r>
              </w:p>
            </w:tc>
          </w:sdtContent>
        </w:sdt>
      </w:tr>
      <w:tr w:rsidR="00E57DAA" w14:paraId="593F4DD3" w14:textId="77777777">
        <w:sdt>
          <w:sdtPr>
            <w:rPr>
              <w:szCs w:val="21"/>
            </w:rPr>
            <w:alias w:val="上市公司证券投资情况明细－证券品种"/>
            <w:tag w:val="_GBC_5869f90e2f4241cba6edaadfa74944d0"/>
            <w:id w:val="1027225566"/>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EndPr/>
          <w:sdtContent>
            <w:tc>
              <w:tcPr>
                <w:tcW w:w="384" w:type="pct"/>
                <w:shd w:val="clear" w:color="auto" w:fill="auto"/>
              </w:tcPr>
              <w:p w14:paraId="2122DBF3" w14:textId="77777777" w:rsidR="00E57DAA" w:rsidRDefault="00AC4185">
                <w:pPr>
                  <w:rPr>
                    <w:szCs w:val="21"/>
                  </w:rPr>
                </w:pPr>
                <w:r>
                  <w:rPr>
                    <w:szCs w:val="21"/>
                  </w:rPr>
                  <w:t>股票</w:t>
                </w:r>
              </w:p>
            </w:tc>
          </w:sdtContent>
        </w:sdt>
        <w:tc>
          <w:tcPr>
            <w:tcW w:w="385" w:type="pct"/>
            <w:shd w:val="clear" w:color="auto" w:fill="auto"/>
          </w:tcPr>
          <w:p w14:paraId="515CB392" w14:textId="77777777" w:rsidR="00E57DAA" w:rsidRDefault="00AC4185">
            <w:pPr>
              <w:rPr>
                <w:szCs w:val="21"/>
              </w:rPr>
            </w:pPr>
            <w:r>
              <w:t>603126</w:t>
            </w:r>
          </w:p>
        </w:tc>
        <w:tc>
          <w:tcPr>
            <w:tcW w:w="385" w:type="pct"/>
            <w:shd w:val="clear" w:color="auto" w:fill="auto"/>
          </w:tcPr>
          <w:p w14:paraId="6C61CE04" w14:textId="77777777" w:rsidR="00E57DAA" w:rsidRDefault="00AC4185">
            <w:pPr>
              <w:rPr>
                <w:szCs w:val="21"/>
              </w:rPr>
            </w:pPr>
            <w:r>
              <w:t>中材节能</w:t>
            </w:r>
          </w:p>
        </w:tc>
        <w:tc>
          <w:tcPr>
            <w:tcW w:w="385" w:type="pct"/>
            <w:shd w:val="clear" w:color="auto" w:fill="auto"/>
          </w:tcPr>
          <w:p w14:paraId="7F295175" w14:textId="77777777" w:rsidR="00E57DAA" w:rsidRDefault="00AC4185">
            <w:pPr>
              <w:jc w:val="right"/>
              <w:rPr>
                <w:szCs w:val="21"/>
              </w:rPr>
            </w:pPr>
            <w:r>
              <w:t>114.00</w:t>
            </w:r>
          </w:p>
        </w:tc>
        <w:tc>
          <w:tcPr>
            <w:tcW w:w="385" w:type="pct"/>
            <w:shd w:val="clear" w:color="auto" w:fill="auto"/>
          </w:tcPr>
          <w:p w14:paraId="6F26E5D2" w14:textId="77777777" w:rsidR="00E57DAA" w:rsidRDefault="00AC4185">
            <w:pPr>
              <w:rPr>
                <w:szCs w:val="21"/>
              </w:rPr>
            </w:pPr>
            <w:r>
              <w:t>自有资金</w:t>
            </w:r>
          </w:p>
        </w:tc>
        <w:tc>
          <w:tcPr>
            <w:tcW w:w="385" w:type="pct"/>
            <w:shd w:val="clear" w:color="auto" w:fill="auto"/>
          </w:tcPr>
          <w:p w14:paraId="424B8DEB" w14:textId="77777777" w:rsidR="00E57DAA" w:rsidRDefault="00AC4185">
            <w:pPr>
              <w:jc w:val="right"/>
              <w:rPr>
                <w:szCs w:val="21"/>
              </w:rPr>
            </w:pPr>
            <w:r>
              <w:t>1,174.77</w:t>
            </w:r>
          </w:p>
        </w:tc>
        <w:tc>
          <w:tcPr>
            <w:tcW w:w="384" w:type="pct"/>
            <w:shd w:val="clear" w:color="auto" w:fill="auto"/>
          </w:tcPr>
          <w:p w14:paraId="6790481C" w14:textId="77777777" w:rsidR="00E57DAA" w:rsidRDefault="00AC4185">
            <w:pPr>
              <w:jc w:val="right"/>
              <w:rPr>
                <w:szCs w:val="21"/>
              </w:rPr>
            </w:pPr>
            <w:r>
              <w:t>-22.23</w:t>
            </w:r>
          </w:p>
        </w:tc>
        <w:tc>
          <w:tcPr>
            <w:tcW w:w="385" w:type="pct"/>
            <w:shd w:val="clear" w:color="auto" w:fill="auto"/>
          </w:tcPr>
          <w:p w14:paraId="252B4EEA" w14:textId="77777777" w:rsidR="00E57DAA" w:rsidRDefault="00E57DAA">
            <w:pPr>
              <w:jc w:val="right"/>
              <w:rPr>
                <w:szCs w:val="21"/>
              </w:rPr>
            </w:pPr>
          </w:p>
        </w:tc>
        <w:tc>
          <w:tcPr>
            <w:tcW w:w="385" w:type="pct"/>
            <w:shd w:val="clear" w:color="auto" w:fill="auto"/>
          </w:tcPr>
          <w:p w14:paraId="097F1A56" w14:textId="77777777" w:rsidR="00E57DAA" w:rsidRDefault="00E57DAA">
            <w:pPr>
              <w:jc w:val="right"/>
              <w:rPr>
                <w:szCs w:val="21"/>
              </w:rPr>
            </w:pPr>
          </w:p>
        </w:tc>
        <w:tc>
          <w:tcPr>
            <w:tcW w:w="385" w:type="pct"/>
            <w:shd w:val="clear" w:color="auto" w:fill="auto"/>
          </w:tcPr>
          <w:p w14:paraId="6C2218FA" w14:textId="77777777" w:rsidR="00E57DAA" w:rsidRDefault="00E57DAA">
            <w:pPr>
              <w:jc w:val="right"/>
              <w:rPr>
                <w:szCs w:val="21"/>
              </w:rPr>
            </w:pPr>
          </w:p>
        </w:tc>
        <w:tc>
          <w:tcPr>
            <w:tcW w:w="385" w:type="pct"/>
            <w:shd w:val="clear" w:color="auto" w:fill="auto"/>
          </w:tcPr>
          <w:p w14:paraId="73251073" w14:textId="77777777" w:rsidR="00E57DAA" w:rsidRDefault="00E57DAA">
            <w:pPr>
              <w:jc w:val="right"/>
              <w:rPr>
                <w:szCs w:val="21"/>
              </w:rPr>
            </w:pPr>
          </w:p>
        </w:tc>
        <w:tc>
          <w:tcPr>
            <w:tcW w:w="385" w:type="pct"/>
            <w:shd w:val="clear" w:color="auto" w:fill="auto"/>
          </w:tcPr>
          <w:p w14:paraId="6FF4FFB0" w14:textId="77777777" w:rsidR="00E57DAA" w:rsidRDefault="00AC4185">
            <w:pPr>
              <w:jc w:val="right"/>
              <w:rPr>
                <w:szCs w:val="21"/>
              </w:rPr>
            </w:pPr>
            <w:r>
              <w:t>1,152.54</w:t>
            </w:r>
          </w:p>
        </w:tc>
        <w:sdt>
          <w:sdtPr>
            <w:rPr>
              <w:szCs w:val="21"/>
            </w:rPr>
            <w:alias w:val="上市公司证券投资情况明细－会计核算科目"/>
            <w:tag w:val="_GBC_76b2a58bd6904ac98cdb4e48af86b25a"/>
            <w:id w:val="-1892493352"/>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EndPr/>
          <w:sdtContent>
            <w:tc>
              <w:tcPr>
                <w:tcW w:w="382" w:type="pct"/>
                <w:shd w:val="clear" w:color="auto" w:fill="auto"/>
              </w:tcPr>
              <w:p w14:paraId="25020324" w14:textId="77777777" w:rsidR="00E57DAA" w:rsidRDefault="00AC4185">
                <w:pPr>
                  <w:rPr>
                    <w:szCs w:val="21"/>
                  </w:rPr>
                </w:pPr>
                <w:r>
                  <w:rPr>
                    <w:szCs w:val="21"/>
                  </w:rPr>
                  <w:t>交易性金融资产</w:t>
                </w:r>
              </w:p>
            </w:tc>
          </w:sdtContent>
        </w:sdt>
      </w:tr>
      <w:tr w:rsidR="00E57DAA" w14:paraId="7020A2F4" w14:textId="77777777">
        <w:tc>
          <w:tcPr>
            <w:tcW w:w="384" w:type="pct"/>
            <w:shd w:val="clear" w:color="auto" w:fill="auto"/>
          </w:tcPr>
          <w:p w14:paraId="6C997802" w14:textId="77777777" w:rsidR="00E57DAA" w:rsidRDefault="00AC4185">
            <w:pPr>
              <w:rPr>
                <w:szCs w:val="21"/>
              </w:rPr>
            </w:pPr>
            <w:r>
              <w:rPr>
                <w:szCs w:val="21"/>
              </w:rPr>
              <w:t>合计</w:t>
            </w:r>
          </w:p>
        </w:tc>
        <w:tc>
          <w:tcPr>
            <w:tcW w:w="385" w:type="pct"/>
            <w:shd w:val="clear" w:color="auto" w:fill="auto"/>
          </w:tcPr>
          <w:p w14:paraId="569DD531" w14:textId="77777777" w:rsidR="00E57DAA" w:rsidRDefault="00AC4185">
            <w:pPr>
              <w:jc w:val="center"/>
              <w:rPr>
                <w:szCs w:val="21"/>
              </w:rPr>
            </w:pPr>
            <w:r>
              <w:rPr>
                <w:rFonts w:hint="eastAsia"/>
                <w:szCs w:val="21"/>
              </w:rPr>
              <w:t>/</w:t>
            </w:r>
          </w:p>
        </w:tc>
        <w:tc>
          <w:tcPr>
            <w:tcW w:w="385" w:type="pct"/>
            <w:shd w:val="clear" w:color="auto" w:fill="auto"/>
          </w:tcPr>
          <w:p w14:paraId="0008AB5F" w14:textId="77777777" w:rsidR="00E57DAA" w:rsidRDefault="00AC4185">
            <w:pPr>
              <w:jc w:val="center"/>
              <w:rPr>
                <w:szCs w:val="21"/>
              </w:rPr>
            </w:pPr>
            <w:r>
              <w:rPr>
                <w:rFonts w:hint="eastAsia"/>
                <w:szCs w:val="21"/>
              </w:rPr>
              <w:t>/</w:t>
            </w:r>
          </w:p>
        </w:tc>
        <w:tc>
          <w:tcPr>
            <w:tcW w:w="385" w:type="pct"/>
            <w:shd w:val="clear" w:color="auto" w:fill="auto"/>
          </w:tcPr>
          <w:p w14:paraId="67A30492" w14:textId="77777777" w:rsidR="00E57DAA" w:rsidRDefault="00AC4185">
            <w:pPr>
              <w:jc w:val="right"/>
              <w:rPr>
                <w:szCs w:val="21"/>
              </w:rPr>
            </w:pPr>
            <w:r>
              <w:rPr>
                <w:szCs w:val="21"/>
              </w:rPr>
              <w:t>114.00</w:t>
            </w:r>
          </w:p>
        </w:tc>
        <w:tc>
          <w:tcPr>
            <w:tcW w:w="385" w:type="pct"/>
            <w:shd w:val="clear" w:color="auto" w:fill="auto"/>
          </w:tcPr>
          <w:p w14:paraId="73F3438F" w14:textId="77777777" w:rsidR="00E57DAA" w:rsidRDefault="00AC4185">
            <w:pPr>
              <w:jc w:val="center"/>
              <w:rPr>
                <w:szCs w:val="21"/>
              </w:rPr>
            </w:pPr>
            <w:r>
              <w:rPr>
                <w:rFonts w:hint="eastAsia"/>
                <w:szCs w:val="21"/>
              </w:rPr>
              <w:t>/</w:t>
            </w:r>
          </w:p>
        </w:tc>
        <w:tc>
          <w:tcPr>
            <w:tcW w:w="385" w:type="pct"/>
            <w:shd w:val="clear" w:color="auto" w:fill="auto"/>
            <w:vAlign w:val="center"/>
          </w:tcPr>
          <w:p w14:paraId="5673A95A" w14:textId="77777777" w:rsidR="00E57DAA" w:rsidRDefault="00AC4185">
            <w:pPr>
              <w:jc w:val="right"/>
              <w:rPr>
                <w:b/>
                <w:bCs/>
                <w:szCs w:val="21"/>
              </w:rPr>
            </w:pPr>
            <w:r>
              <w:t>1,174.77</w:t>
            </w:r>
          </w:p>
        </w:tc>
        <w:tc>
          <w:tcPr>
            <w:tcW w:w="384" w:type="pct"/>
            <w:shd w:val="clear" w:color="auto" w:fill="auto"/>
            <w:vAlign w:val="center"/>
          </w:tcPr>
          <w:p w14:paraId="2E34CAD2" w14:textId="77777777" w:rsidR="00E57DAA" w:rsidRDefault="00AC4185">
            <w:pPr>
              <w:jc w:val="right"/>
              <w:rPr>
                <w:szCs w:val="21"/>
              </w:rPr>
            </w:pPr>
            <w:r>
              <w:t>-22.23</w:t>
            </w:r>
          </w:p>
        </w:tc>
        <w:tc>
          <w:tcPr>
            <w:tcW w:w="385" w:type="pct"/>
            <w:shd w:val="clear" w:color="auto" w:fill="auto"/>
            <w:vAlign w:val="center"/>
          </w:tcPr>
          <w:p w14:paraId="3A55AE0F" w14:textId="77777777" w:rsidR="00E57DAA" w:rsidRDefault="00E57DAA">
            <w:pPr>
              <w:jc w:val="right"/>
              <w:rPr>
                <w:szCs w:val="21"/>
              </w:rPr>
            </w:pPr>
          </w:p>
        </w:tc>
        <w:tc>
          <w:tcPr>
            <w:tcW w:w="385" w:type="pct"/>
            <w:shd w:val="clear" w:color="auto" w:fill="auto"/>
            <w:vAlign w:val="center"/>
          </w:tcPr>
          <w:p w14:paraId="04035224" w14:textId="77777777" w:rsidR="00E57DAA" w:rsidRDefault="00E57DAA">
            <w:pPr>
              <w:jc w:val="right"/>
              <w:rPr>
                <w:szCs w:val="21"/>
              </w:rPr>
            </w:pPr>
          </w:p>
        </w:tc>
        <w:tc>
          <w:tcPr>
            <w:tcW w:w="385" w:type="pct"/>
            <w:shd w:val="clear" w:color="auto" w:fill="auto"/>
            <w:vAlign w:val="center"/>
          </w:tcPr>
          <w:p w14:paraId="0E72D6A5" w14:textId="77777777" w:rsidR="00E57DAA" w:rsidRDefault="00E57DAA">
            <w:pPr>
              <w:jc w:val="right"/>
              <w:rPr>
                <w:szCs w:val="21"/>
              </w:rPr>
            </w:pPr>
          </w:p>
        </w:tc>
        <w:tc>
          <w:tcPr>
            <w:tcW w:w="385" w:type="pct"/>
            <w:shd w:val="clear" w:color="auto" w:fill="auto"/>
            <w:vAlign w:val="center"/>
          </w:tcPr>
          <w:p w14:paraId="66A127D2" w14:textId="77777777" w:rsidR="00E57DAA" w:rsidRDefault="00E57DAA">
            <w:pPr>
              <w:jc w:val="right"/>
              <w:rPr>
                <w:szCs w:val="21"/>
              </w:rPr>
            </w:pPr>
          </w:p>
        </w:tc>
        <w:tc>
          <w:tcPr>
            <w:tcW w:w="385" w:type="pct"/>
            <w:shd w:val="clear" w:color="auto" w:fill="auto"/>
            <w:vAlign w:val="center"/>
          </w:tcPr>
          <w:p w14:paraId="4F817FC0" w14:textId="77777777" w:rsidR="00E57DAA" w:rsidRDefault="00AC4185">
            <w:pPr>
              <w:jc w:val="right"/>
              <w:rPr>
                <w:szCs w:val="21"/>
              </w:rPr>
            </w:pPr>
            <w:r>
              <w:t>1,152.54</w:t>
            </w:r>
          </w:p>
        </w:tc>
        <w:tc>
          <w:tcPr>
            <w:tcW w:w="382" w:type="pct"/>
            <w:shd w:val="clear" w:color="auto" w:fill="auto"/>
          </w:tcPr>
          <w:p w14:paraId="360EC822" w14:textId="77777777" w:rsidR="00E57DAA" w:rsidRDefault="00AC4185">
            <w:pPr>
              <w:jc w:val="center"/>
              <w:rPr>
                <w:szCs w:val="21"/>
              </w:rPr>
            </w:pPr>
            <w:r>
              <w:rPr>
                <w:rFonts w:hint="eastAsia"/>
                <w:szCs w:val="21"/>
              </w:rPr>
              <w:t>/</w:t>
            </w:r>
          </w:p>
        </w:tc>
      </w:tr>
    </w:tbl>
    <w:p w14:paraId="2F186C58" w14:textId="77777777" w:rsidR="00E57DAA" w:rsidRDefault="00E57DAA" w:rsidP="00C25422">
      <w:pPr>
        <w:pStyle w:val="92"/>
      </w:pPr>
    </w:p>
    <w:p w14:paraId="57012FA1" w14:textId="77777777" w:rsidR="00E57DAA" w:rsidRDefault="00AC4185" w:rsidP="00C25422">
      <w:pPr>
        <w:pStyle w:val="92"/>
      </w:pPr>
      <w:r>
        <w:rPr>
          <w:rFonts w:hint="eastAsia"/>
        </w:rPr>
        <w:t>证券投资情况的说明</w:t>
      </w:r>
    </w:p>
    <w:bookmarkEnd w:id="68" w:displacedByCustomXml="next"/>
    <w:bookmarkStart w:id="69" w:name="_Hlk151135120" w:displacedByCustomXml="next"/>
    <w:sdt>
      <w:sdtPr>
        <w:alias w:val="是否适用：证券投资情况的说明[双击切换]"/>
        <w:tag w:val="_GBC_846a2917c37545bbb004e11b14dfefbc"/>
        <w:id w:val="-765925619"/>
        <w:placeholder>
          <w:docPart w:val="GBC22222222222222222222222222222"/>
        </w:placeholder>
      </w:sdtPr>
      <w:sdtEndPr/>
      <w:sdtContent>
        <w:p w14:paraId="638D0E2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64BFC4" w14:textId="77777777" w:rsidR="00E57DAA" w:rsidRDefault="00E57DAA" w:rsidP="00C25422">
      <w:pPr>
        <w:pStyle w:val="92"/>
      </w:pPr>
    </w:p>
    <w:p w14:paraId="751D949F" w14:textId="77777777" w:rsidR="00E57DAA" w:rsidRDefault="00AC4185">
      <w:pPr>
        <w:rPr>
          <w:szCs w:val="21"/>
        </w:rPr>
      </w:pPr>
      <w:r>
        <w:rPr>
          <w:rFonts w:hint="eastAsia"/>
          <w:szCs w:val="21"/>
        </w:rPr>
        <w:t>私募基金投资情况</w:t>
      </w:r>
    </w:p>
    <w:bookmarkEnd w:id="69" w:displacedByCustomXml="next"/>
    <w:bookmarkStart w:id="70" w:name="_Hlk40534809" w:displacedByCustomXml="next"/>
    <w:sdt>
      <w:sdtPr>
        <w:rPr>
          <w:szCs w:val="21"/>
        </w:rPr>
        <w:alias w:val="是否适用：私募基金投资情况[双击切换]"/>
        <w:tag w:val="_GBC_6e916a873a4e4af3a90d6fc81d187ac8"/>
        <w:id w:val="1260799899"/>
        <w:placeholder>
          <w:docPart w:val="GBC22222222222222222222222222222"/>
        </w:placeholder>
      </w:sdtPr>
      <w:sdtEndPr/>
      <w:sdtContent>
        <w:p w14:paraId="0ADB907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70"/>
    <w:p w14:paraId="24423D69" w14:textId="77777777" w:rsidR="00E57DAA" w:rsidRDefault="00E57DAA">
      <w:pPr>
        <w:rPr>
          <w:szCs w:val="21"/>
        </w:rPr>
      </w:pPr>
    </w:p>
    <w:p w14:paraId="1C3ABB9D" w14:textId="77777777" w:rsidR="00E57DAA" w:rsidRDefault="00AC4185">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790159227"/>
        <w:lock w:val="contentLocked"/>
        <w:placeholder>
          <w:docPart w:val="GBC22222222222222222222222222222"/>
        </w:placeholder>
      </w:sdtPr>
      <w:sdtEndPr/>
      <w:sdtContent>
        <w:p w14:paraId="143C410B" w14:textId="77777777" w:rsidR="00E57DAA" w:rsidRDefault="00AC4185">
          <w:pPr>
            <w:rPr>
              <w:szCs w:val="21"/>
            </w:rPr>
          </w:pPr>
          <w:r>
            <w:rPr>
              <w:szCs w:val="21"/>
            </w:rPr>
            <w:fldChar w:fldCharType="begin"/>
          </w:r>
          <w:r w:rsidR="007B3D86">
            <w:rPr>
              <w:szCs w:val="21"/>
            </w:rPr>
            <w:instrText xml:space="preserve"> MACROBUTTON  SnrToggleCheckbox √适用 </w:instrText>
          </w:r>
          <w:r>
            <w:rPr>
              <w:szCs w:val="21"/>
            </w:rPr>
            <w:fldChar w:fldCharType="end"/>
          </w:r>
          <w:r>
            <w:rPr>
              <w:szCs w:val="21"/>
            </w:rPr>
            <w:fldChar w:fldCharType="begin"/>
          </w:r>
          <w:r w:rsidR="007B3D86">
            <w:rPr>
              <w:szCs w:val="21"/>
            </w:rPr>
            <w:instrText xml:space="preserve"> MACROBUTTON  SnrToggleCheckbox □不适用 </w:instrText>
          </w:r>
          <w:r>
            <w:rPr>
              <w:szCs w:val="21"/>
            </w:rPr>
            <w:fldChar w:fldCharType="end"/>
          </w:r>
        </w:p>
        <w:p w14:paraId="6697EFA7" w14:textId="77777777" w:rsidR="007B3D86" w:rsidRDefault="007B3D86" w:rsidP="007B3D86">
          <w:pPr>
            <w:ind w:firstLineChars="200" w:firstLine="420"/>
            <w:jc w:val="both"/>
          </w:pPr>
          <w:r w:rsidRPr="00CC07A4">
            <w:t>2022年1</w:t>
          </w:r>
          <w:r>
            <w:t>2</w:t>
          </w:r>
          <w:r w:rsidRPr="00CC07A4">
            <w:t>月</w:t>
          </w:r>
          <w:r>
            <w:t>29</w:t>
          </w:r>
          <w:r w:rsidRPr="00CC07A4">
            <w:t>日，公司2022年第</w:t>
          </w:r>
          <w:r>
            <w:rPr>
              <w:rFonts w:hint="eastAsia"/>
            </w:rPr>
            <w:t>八</w:t>
          </w:r>
          <w:r w:rsidRPr="00CC07A4">
            <w:t>次临时股东大会审议通过了《关于调整公司外汇套期保值交易额度的议案》，</w:t>
          </w:r>
          <w:r>
            <w:rPr>
              <w:rFonts w:hint="eastAsia"/>
            </w:rPr>
            <w:t>批准公司</w:t>
          </w:r>
          <w:r w:rsidRPr="00367E09">
            <w:rPr>
              <w:rFonts w:hint="eastAsia"/>
            </w:rPr>
            <w:t>调整外汇套期保值交易额度至日持仓最高余额不超过</w:t>
          </w:r>
          <w:r w:rsidRPr="00367E09">
            <w:t>15亿美元和7亿欧元，且年度累计交易额度不超过20亿美元和13.5亿欧元，品种为远期外汇交易和掉期交易</w:t>
          </w:r>
          <w:r>
            <w:rPr>
              <w:rFonts w:hint="eastAsia"/>
            </w:rPr>
            <w:t>，有效期限</w:t>
          </w:r>
          <w:r w:rsidRPr="00367E09">
            <w:rPr>
              <w:rFonts w:hint="eastAsia"/>
            </w:rPr>
            <w:t>自股东大会通过之日起至</w:t>
          </w:r>
          <w:r w:rsidRPr="00367E09">
            <w:t>2023年12月31日止。</w:t>
          </w:r>
        </w:p>
        <w:p w14:paraId="6DD1BD65" w14:textId="77777777" w:rsidR="007B3D86" w:rsidRDefault="007B3D86" w:rsidP="007B3D86">
          <w:pPr>
            <w:ind w:firstLineChars="200" w:firstLine="420"/>
            <w:jc w:val="both"/>
          </w:pPr>
          <w:r w:rsidRPr="00385265">
            <w:rPr>
              <w:rFonts w:hint="eastAsia"/>
            </w:rPr>
            <w:t>报告期，公司</w:t>
          </w:r>
          <w:r w:rsidRPr="00385265">
            <w:t>整体金融衍生业务执行未超股东大会审批额度。</w:t>
          </w:r>
        </w:p>
        <w:p w14:paraId="225BC2D4" w14:textId="77777777" w:rsidR="007B3D86" w:rsidRPr="007B3D86" w:rsidRDefault="00EB41A1" w:rsidP="007B3D86">
          <w:pPr>
            <w:ind w:firstLineChars="200" w:firstLine="420"/>
            <w:jc w:val="both"/>
          </w:pPr>
        </w:p>
      </w:sdtContent>
    </w:sdt>
    <w:bookmarkStart w:id="71" w:name="_Hlk155617745" w:displacedByCustomXml="prev"/>
    <w:bookmarkStart w:id="72" w:name="_Hlk94111679" w:displacedByCustomXml="prev"/>
    <w:p w14:paraId="354E11AA" w14:textId="77777777" w:rsidR="007B3D86" w:rsidRDefault="007B3D86" w:rsidP="007B3D86">
      <w:pPr>
        <w:widowControl w:val="0"/>
        <w:numPr>
          <w:ilvl w:val="0"/>
          <w:numId w:val="18"/>
        </w:numPr>
        <w:jc w:val="both"/>
        <w:rPr>
          <w:b/>
          <w:bCs/>
        </w:rPr>
      </w:pPr>
      <w:r>
        <w:lastRenderedPageBreak/>
        <w:t>报告期内以套期保值为目的的衍生品投资</w:t>
      </w:r>
    </w:p>
    <w:sdt>
      <w:sdtPr>
        <w:rPr>
          <w:szCs w:val="21"/>
        </w:rPr>
        <w:alias w:val="是否适用：报告期内以套期保值为目的的衍生品投资[双击切换]"/>
        <w:tag w:val="_GBC_050e3e16bfd647b890e7bf2d4edb6490"/>
        <w:id w:val="943423120"/>
        <w:lock w:val="contentLocked"/>
        <w:placeholder>
          <w:docPart w:val="E0498CCACCBA4ADEAE0D7D5F9A3E9201"/>
        </w:placeholder>
      </w:sdtPr>
      <w:sdtEndPr/>
      <w:sdtContent>
        <w:p w14:paraId="0F0867A6" w14:textId="77777777" w:rsidR="007B3D86" w:rsidRDefault="007B3D86" w:rsidP="00684DD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07D0A52" w14:textId="77777777" w:rsidR="00FD12A2" w:rsidRDefault="00FD12A2">
      <w:pPr>
        <w:pStyle w:val="14"/>
        <w:wordWrap w:val="0"/>
        <w:ind w:left="360" w:firstLineChars="0" w:firstLine="0"/>
        <w:jc w:val="right"/>
      </w:pPr>
      <w:r>
        <w:rPr>
          <w:rFonts w:hint="eastAsia"/>
        </w:rPr>
        <w:t>单位：</w:t>
      </w:r>
      <w:sdt>
        <w:sdtPr>
          <w:rPr>
            <w:rFonts w:hint="eastAsia"/>
          </w:rPr>
          <w:alias w:val="单位：报告期内以套期保值为目的的衍生品投资"/>
          <w:tag w:val="_GBC_589d7b9a0761439ea6349773ef99365d"/>
          <w:id w:val="-1592840662"/>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w:t>
      </w:r>
      <w:r>
        <w:rPr>
          <w:rFonts w:hint="eastAsia"/>
        </w:rPr>
        <w:t>币种：</w:t>
      </w:r>
      <w:sdt>
        <w:sdtPr>
          <w:rPr>
            <w:rFonts w:hint="eastAsia"/>
          </w:rPr>
          <w:alias w:val="币种：报告期内以套期保值为目的的衍生品投资"/>
          <w:tag w:val="_GBC_992a31aa3b144cc6b00858d07314092e"/>
          <w:id w:val="1700666709"/>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r>
        <w:t xml:space="preserve"> </w:t>
      </w:r>
    </w:p>
    <w:tbl>
      <w:tblPr>
        <w:tblStyle w:val="aff6"/>
        <w:tblW w:w="5000" w:type="pct"/>
        <w:tblLook w:val="04A0" w:firstRow="1" w:lastRow="0" w:firstColumn="1" w:lastColumn="0" w:noHBand="0" w:noVBand="1"/>
      </w:tblPr>
      <w:tblGrid>
        <w:gridCol w:w="4510"/>
        <w:gridCol w:w="1266"/>
        <w:gridCol w:w="1056"/>
        <w:gridCol w:w="1052"/>
        <w:gridCol w:w="1053"/>
        <w:gridCol w:w="1266"/>
        <w:gridCol w:w="1266"/>
        <w:gridCol w:w="1114"/>
        <w:gridCol w:w="1280"/>
      </w:tblGrid>
      <w:tr w:rsidR="00FD12A2" w14:paraId="59632DD0" w14:textId="77777777" w:rsidTr="00960AC0">
        <w:trPr>
          <w:trHeight w:val="780"/>
        </w:trPr>
        <w:sdt>
          <w:sdtPr>
            <w:rPr>
              <w:rFonts w:asciiTheme="minorEastAsia" w:eastAsiaTheme="minorEastAsia" w:hAnsiTheme="minorEastAsia" w:cs="宋体" w:hint="eastAsia"/>
              <w:szCs w:val="21"/>
            </w:rPr>
            <w:tag w:val="_PLD_bd99992129ce4d2a8cf60dd29fd83098"/>
            <w:id w:val="2035070725"/>
          </w:sdtPr>
          <w:sdtEndPr/>
          <w:sdtContent>
            <w:tc>
              <w:tcPr>
                <w:tcW w:w="1649" w:type="pct"/>
                <w:vAlign w:val="center"/>
              </w:tcPr>
              <w:p w14:paraId="6801BC69"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衍生品投资类型</w:t>
                </w:r>
              </w:p>
            </w:tc>
          </w:sdtContent>
        </w:sdt>
        <w:sdt>
          <w:sdtPr>
            <w:rPr>
              <w:rFonts w:asciiTheme="minorEastAsia" w:eastAsiaTheme="minorEastAsia" w:hAnsiTheme="minorEastAsia" w:cs="宋体" w:hint="eastAsia"/>
              <w:szCs w:val="21"/>
            </w:rPr>
            <w:tag w:val="_PLD_1232718f23c947e5ad6b5f8a6673f7f3"/>
            <w:id w:val="1666817651"/>
          </w:sdtPr>
          <w:sdtEndPr/>
          <w:sdtContent>
            <w:tc>
              <w:tcPr>
                <w:tcW w:w="402" w:type="pct"/>
                <w:vAlign w:val="center"/>
              </w:tcPr>
              <w:p w14:paraId="25A5F312"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初始投资金额</w:t>
                </w:r>
              </w:p>
            </w:tc>
          </w:sdtContent>
        </w:sdt>
        <w:sdt>
          <w:sdtPr>
            <w:rPr>
              <w:rFonts w:asciiTheme="minorEastAsia" w:eastAsiaTheme="minorEastAsia" w:hAnsiTheme="minorEastAsia" w:cs="宋体" w:hint="eastAsia"/>
              <w:szCs w:val="21"/>
            </w:rPr>
            <w:tag w:val="_PLD_9ff140d03dc84e2c9c449c29370c05bf"/>
            <w:id w:val="-470286169"/>
          </w:sdtPr>
          <w:sdtEndPr/>
          <w:sdtContent>
            <w:tc>
              <w:tcPr>
                <w:tcW w:w="402" w:type="pct"/>
                <w:vAlign w:val="center"/>
              </w:tcPr>
              <w:p w14:paraId="6A6AB4BB"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期初账面价值</w:t>
                </w:r>
              </w:p>
            </w:tc>
          </w:sdtContent>
        </w:sdt>
        <w:sdt>
          <w:sdtPr>
            <w:rPr>
              <w:rFonts w:asciiTheme="minorEastAsia" w:eastAsiaTheme="minorEastAsia" w:hAnsiTheme="minorEastAsia" w:cs="宋体" w:hint="eastAsia"/>
              <w:szCs w:val="21"/>
            </w:rPr>
            <w:tag w:val="_PLD_7b2e138598134f84819a6f6967f026c2"/>
            <w:id w:val="-771858242"/>
          </w:sdtPr>
          <w:sdtEndPr/>
          <w:sdtContent>
            <w:tc>
              <w:tcPr>
                <w:tcW w:w="403" w:type="pct"/>
                <w:vAlign w:val="center"/>
              </w:tcPr>
              <w:p w14:paraId="1AA456CF"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本期公允价值变动损益</w:t>
                </w:r>
              </w:p>
            </w:tc>
          </w:sdtContent>
        </w:sdt>
        <w:sdt>
          <w:sdtPr>
            <w:rPr>
              <w:rFonts w:asciiTheme="minorEastAsia" w:eastAsiaTheme="minorEastAsia" w:hAnsiTheme="minorEastAsia" w:cs="宋体" w:hint="eastAsia"/>
              <w:szCs w:val="21"/>
            </w:rPr>
            <w:tag w:val="_PLD_ee17c0b9ab9745d1ab5597c86932208b"/>
            <w:id w:val="285247340"/>
          </w:sdtPr>
          <w:sdtEndPr/>
          <w:sdtContent>
            <w:tc>
              <w:tcPr>
                <w:tcW w:w="402" w:type="pct"/>
                <w:vAlign w:val="center"/>
              </w:tcPr>
              <w:p w14:paraId="2DA2F3C1"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计入权益的累计公允价值变动</w:t>
                </w:r>
              </w:p>
            </w:tc>
          </w:sdtContent>
        </w:sdt>
        <w:sdt>
          <w:sdtPr>
            <w:rPr>
              <w:rFonts w:asciiTheme="minorEastAsia" w:eastAsiaTheme="minorEastAsia" w:hAnsiTheme="minorEastAsia" w:cs="宋体" w:hint="eastAsia"/>
              <w:szCs w:val="21"/>
            </w:rPr>
            <w:tag w:val="_PLD_6a4a3d4d55874d3a8150735819cc31ec"/>
            <w:id w:val="1829475116"/>
          </w:sdtPr>
          <w:sdtEndPr/>
          <w:sdtContent>
            <w:tc>
              <w:tcPr>
                <w:tcW w:w="402" w:type="pct"/>
                <w:vAlign w:val="center"/>
              </w:tcPr>
              <w:p w14:paraId="5F6E0190"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报告期内购入金额</w:t>
                </w:r>
              </w:p>
            </w:tc>
          </w:sdtContent>
        </w:sdt>
        <w:sdt>
          <w:sdtPr>
            <w:rPr>
              <w:rFonts w:asciiTheme="minorEastAsia" w:eastAsiaTheme="minorEastAsia" w:hAnsiTheme="minorEastAsia" w:cs="宋体" w:hint="eastAsia"/>
              <w:szCs w:val="21"/>
            </w:rPr>
            <w:tag w:val="_PLD_4317fd6551174d82abc34175a9b21fa9"/>
            <w:id w:val="614954436"/>
          </w:sdtPr>
          <w:sdtEndPr/>
          <w:sdtContent>
            <w:tc>
              <w:tcPr>
                <w:tcW w:w="432" w:type="pct"/>
                <w:vAlign w:val="center"/>
              </w:tcPr>
              <w:p w14:paraId="1A3ED1F9"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报告期内售出金额</w:t>
                </w:r>
              </w:p>
            </w:tc>
          </w:sdtContent>
        </w:sdt>
        <w:sdt>
          <w:sdtPr>
            <w:rPr>
              <w:rFonts w:asciiTheme="minorEastAsia" w:eastAsiaTheme="minorEastAsia" w:hAnsiTheme="minorEastAsia" w:cs="宋体" w:hint="eastAsia"/>
              <w:szCs w:val="21"/>
            </w:rPr>
            <w:tag w:val="_PLD_905eed7031374aaf9cd48c6c68f566c9"/>
            <w:id w:val="-140581327"/>
          </w:sdtPr>
          <w:sdtEndPr/>
          <w:sdtContent>
            <w:tc>
              <w:tcPr>
                <w:tcW w:w="424" w:type="pct"/>
                <w:vAlign w:val="center"/>
              </w:tcPr>
              <w:p w14:paraId="7709FD11"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期末账面价值</w:t>
                </w:r>
              </w:p>
            </w:tc>
          </w:sdtContent>
        </w:sdt>
        <w:sdt>
          <w:sdtPr>
            <w:rPr>
              <w:rFonts w:asciiTheme="minorEastAsia" w:eastAsiaTheme="minorEastAsia" w:hAnsiTheme="minorEastAsia" w:cs="宋体" w:hint="eastAsia"/>
              <w:szCs w:val="21"/>
            </w:rPr>
            <w:tag w:val="_PLD_62ae183335a44ac3b89dcdf2b2cc31a0"/>
            <w:id w:val="-836151345"/>
          </w:sdtPr>
          <w:sdtEndPr/>
          <w:sdtContent>
            <w:tc>
              <w:tcPr>
                <w:tcW w:w="484" w:type="pct"/>
                <w:vAlign w:val="center"/>
              </w:tcPr>
              <w:p w14:paraId="553E7D8B" w14:textId="77777777" w:rsidR="00FD12A2" w:rsidRDefault="00FD12A2">
                <w:pPr>
                  <w:pStyle w:val="affe"/>
                  <w:jc w:val="center"/>
                  <w:rPr>
                    <w:rFonts w:asciiTheme="minorEastAsia" w:eastAsiaTheme="minorEastAsia" w:hAnsiTheme="minorEastAsia" w:cs="宋体"/>
                    <w:szCs w:val="21"/>
                  </w:rPr>
                </w:pPr>
                <w:r>
                  <w:rPr>
                    <w:rFonts w:asciiTheme="minorEastAsia" w:eastAsiaTheme="minorEastAsia" w:hAnsiTheme="minorEastAsia" w:cs="宋体" w:hint="eastAsia"/>
                    <w:szCs w:val="21"/>
                  </w:rPr>
                  <w:t>期末账面价值占公司报告期末净资产比例（%）</w:t>
                </w:r>
              </w:p>
            </w:tc>
          </w:sdtContent>
        </w:sdt>
      </w:tr>
      <w:sdt>
        <w:sdtPr>
          <w:rPr>
            <w:rFonts w:asciiTheme="minorEastAsia" w:eastAsiaTheme="minorEastAsia" w:hAnsiTheme="minorEastAsia"/>
            <w:szCs w:val="21"/>
          </w:rPr>
          <w:alias w:val="以套期保值为目的的衍生品投资明细"/>
          <w:tag w:val="_TUP_18bd426c27184859b8257537f9469088"/>
          <w:id w:val="-121313601"/>
          <w:placeholder>
            <w:docPart w:val="9BC369E15BB04824943B64F511C1B995"/>
          </w:placeholder>
        </w:sdtPr>
        <w:sdtEndPr/>
        <w:sdtContent>
          <w:tr w:rsidR="00FD12A2" w14:paraId="5DF71D27" w14:textId="77777777" w:rsidTr="004D673E">
            <w:tc>
              <w:tcPr>
                <w:tcW w:w="1649" w:type="pct"/>
                <w:vAlign w:val="center"/>
              </w:tcPr>
              <w:p w14:paraId="4CE1691E" w14:textId="77777777" w:rsidR="00FD12A2" w:rsidRDefault="00FD12A2">
                <w:pPr>
                  <w:rPr>
                    <w:rFonts w:asciiTheme="minorEastAsia" w:eastAsiaTheme="minorEastAsia" w:hAnsiTheme="minorEastAsia"/>
                    <w:szCs w:val="21"/>
                  </w:rPr>
                </w:pPr>
                <w:r>
                  <w:rPr>
                    <w:rFonts w:hint="eastAsia"/>
                  </w:rPr>
                  <w:t>远期外汇合约</w:t>
                </w:r>
              </w:p>
            </w:tc>
            <w:tc>
              <w:tcPr>
                <w:tcW w:w="402" w:type="pct"/>
                <w:vAlign w:val="center"/>
              </w:tcPr>
              <w:p w14:paraId="7E8A7498" w14:textId="77777777" w:rsidR="00FD12A2" w:rsidRDefault="00FD12A2">
                <w:pPr>
                  <w:jc w:val="right"/>
                  <w:rPr>
                    <w:rFonts w:asciiTheme="minorEastAsia" w:eastAsiaTheme="minorEastAsia" w:hAnsiTheme="minorEastAsia"/>
                    <w:szCs w:val="21"/>
                  </w:rPr>
                </w:pPr>
                <w:r>
                  <w:rPr>
                    <w:rFonts w:hint="eastAsia"/>
                  </w:rPr>
                  <w:t>262,046.17</w:t>
                </w:r>
              </w:p>
            </w:tc>
            <w:tc>
              <w:tcPr>
                <w:tcW w:w="402" w:type="pct"/>
                <w:vAlign w:val="center"/>
              </w:tcPr>
              <w:p w14:paraId="20A7DD1D" w14:textId="77777777" w:rsidR="00FD12A2" w:rsidRDefault="00FD12A2">
                <w:pPr>
                  <w:jc w:val="right"/>
                  <w:rPr>
                    <w:rFonts w:asciiTheme="minorEastAsia" w:eastAsiaTheme="minorEastAsia" w:hAnsiTheme="minorEastAsia"/>
                    <w:szCs w:val="21"/>
                  </w:rPr>
                </w:pPr>
                <w:r>
                  <w:rPr>
                    <w:rFonts w:hint="eastAsia"/>
                  </w:rPr>
                  <w:t>118.31</w:t>
                </w:r>
              </w:p>
            </w:tc>
            <w:tc>
              <w:tcPr>
                <w:tcW w:w="403" w:type="pct"/>
                <w:vAlign w:val="center"/>
              </w:tcPr>
              <w:p w14:paraId="62DA589B" w14:textId="77777777" w:rsidR="00FD12A2" w:rsidRDefault="00FD12A2">
                <w:pPr>
                  <w:jc w:val="right"/>
                  <w:rPr>
                    <w:rFonts w:asciiTheme="minorEastAsia" w:eastAsiaTheme="minorEastAsia" w:hAnsiTheme="minorEastAsia"/>
                    <w:szCs w:val="21"/>
                  </w:rPr>
                </w:pPr>
                <w:r>
                  <w:rPr>
                    <w:rFonts w:hint="eastAsia"/>
                  </w:rPr>
                  <w:t>2.03</w:t>
                </w:r>
              </w:p>
            </w:tc>
            <w:tc>
              <w:tcPr>
                <w:tcW w:w="402" w:type="pct"/>
                <w:vAlign w:val="center"/>
              </w:tcPr>
              <w:p w14:paraId="6D861F8D" w14:textId="77777777" w:rsidR="00FD12A2" w:rsidRDefault="00FD12A2">
                <w:pPr>
                  <w:jc w:val="right"/>
                  <w:rPr>
                    <w:rFonts w:asciiTheme="minorEastAsia" w:eastAsiaTheme="minorEastAsia" w:hAnsiTheme="minorEastAsia"/>
                    <w:szCs w:val="21"/>
                  </w:rPr>
                </w:pPr>
              </w:p>
            </w:tc>
            <w:tc>
              <w:tcPr>
                <w:tcW w:w="402" w:type="pct"/>
                <w:vAlign w:val="center"/>
              </w:tcPr>
              <w:p w14:paraId="4D755DFB" w14:textId="77777777" w:rsidR="00FD12A2" w:rsidRDefault="00FD12A2">
                <w:pPr>
                  <w:jc w:val="right"/>
                  <w:rPr>
                    <w:rFonts w:asciiTheme="minorEastAsia" w:eastAsiaTheme="minorEastAsia" w:hAnsiTheme="minorEastAsia"/>
                    <w:szCs w:val="21"/>
                  </w:rPr>
                </w:pPr>
                <w:r>
                  <w:rPr>
                    <w:rFonts w:hint="eastAsia"/>
                  </w:rPr>
                  <w:t>283,996.59</w:t>
                </w:r>
              </w:p>
            </w:tc>
            <w:tc>
              <w:tcPr>
                <w:tcW w:w="432" w:type="pct"/>
                <w:vAlign w:val="center"/>
              </w:tcPr>
              <w:p w14:paraId="2AA34678" w14:textId="77777777" w:rsidR="00FD12A2" w:rsidRDefault="00FD12A2">
                <w:pPr>
                  <w:jc w:val="right"/>
                  <w:rPr>
                    <w:rFonts w:asciiTheme="minorEastAsia" w:eastAsiaTheme="minorEastAsia" w:hAnsiTheme="minorEastAsia"/>
                    <w:szCs w:val="21"/>
                  </w:rPr>
                </w:pPr>
                <w:r>
                  <w:rPr>
                    <w:rFonts w:hint="eastAsia"/>
                  </w:rPr>
                  <w:t>356,776.23</w:t>
                </w:r>
              </w:p>
            </w:tc>
            <w:tc>
              <w:tcPr>
                <w:tcW w:w="424" w:type="pct"/>
                <w:vAlign w:val="center"/>
              </w:tcPr>
              <w:p w14:paraId="54D32CBB" w14:textId="77777777" w:rsidR="00FD12A2" w:rsidRDefault="00FD12A2">
                <w:pPr>
                  <w:jc w:val="right"/>
                  <w:rPr>
                    <w:rFonts w:asciiTheme="minorEastAsia" w:eastAsiaTheme="minorEastAsia" w:hAnsiTheme="minorEastAsia"/>
                    <w:szCs w:val="21"/>
                  </w:rPr>
                </w:pPr>
                <w:r>
                  <w:rPr>
                    <w:rFonts w:hint="eastAsia"/>
                  </w:rPr>
                  <w:t>1.35</w:t>
                </w:r>
              </w:p>
            </w:tc>
            <w:tc>
              <w:tcPr>
                <w:tcW w:w="484" w:type="pct"/>
                <w:vAlign w:val="center"/>
              </w:tcPr>
              <w:p w14:paraId="4467D22F" w14:textId="77777777" w:rsidR="00FD12A2" w:rsidRDefault="00FD12A2">
                <w:pPr>
                  <w:jc w:val="right"/>
                  <w:rPr>
                    <w:rFonts w:asciiTheme="minorEastAsia" w:eastAsiaTheme="minorEastAsia" w:hAnsiTheme="minorEastAsia"/>
                    <w:szCs w:val="21"/>
                  </w:rPr>
                </w:pPr>
                <w:r>
                  <w:rPr>
                    <w:rFonts w:hint="eastAsia"/>
                  </w:rPr>
                  <w:t>0.0001</w:t>
                </w:r>
              </w:p>
            </w:tc>
          </w:tr>
        </w:sdtContent>
      </w:sdt>
      <w:sdt>
        <w:sdtPr>
          <w:rPr>
            <w:rFonts w:asciiTheme="minorEastAsia" w:eastAsiaTheme="minorEastAsia" w:hAnsiTheme="minorEastAsia"/>
            <w:szCs w:val="21"/>
          </w:rPr>
          <w:alias w:val="以套期保值为目的的衍生品投资明细"/>
          <w:tag w:val="_TUP_18bd426c27184859b8257537f9469088"/>
          <w:id w:val="-399519801"/>
          <w:placeholder>
            <w:docPart w:val="9BC369E15BB04824943B64F511C1B995"/>
          </w:placeholder>
        </w:sdtPr>
        <w:sdtEndPr/>
        <w:sdtContent>
          <w:tr w:rsidR="00FD12A2" w14:paraId="5EF4405B" w14:textId="77777777" w:rsidTr="004D673E">
            <w:tc>
              <w:tcPr>
                <w:tcW w:w="1649" w:type="pct"/>
                <w:vAlign w:val="center"/>
              </w:tcPr>
              <w:p w14:paraId="6C265754" w14:textId="77777777" w:rsidR="00FD12A2" w:rsidRDefault="00FD12A2">
                <w:pPr>
                  <w:rPr>
                    <w:rFonts w:asciiTheme="minorEastAsia" w:eastAsiaTheme="minorEastAsia" w:hAnsiTheme="minorEastAsia"/>
                    <w:szCs w:val="21"/>
                  </w:rPr>
                </w:pPr>
                <w:r>
                  <w:rPr>
                    <w:rFonts w:hint="eastAsia"/>
                  </w:rPr>
                  <w:t>利率掉期</w:t>
                </w:r>
              </w:p>
            </w:tc>
            <w:tc>
              <w:tcPr>
                <w:tcW w:w="402" w:type="pct"/>
                <w:vAlign w:val="center"/>
              </w:tcPr>
              <w:p w14:paraId="15F11C84" w14:textId="77777777" w:rsidR="00FD12A2" w:rsidRDefault="00FD12A2">
                <w:pPr>
                  <w:jc w:val="right"/>
                  <w:rPr>
                    <w:rFonts w:asciiTheme="minorEastAsia" w:eastAsiaTheme="minorEastAsia" w:hAnsiTheme="minorEastAsia"/>
                    <w:szCs w:val="21"/>
                  </w:rPr>
                </w:pPr>
              </w:p>
            </w:tc>
            <w:tc>
              <w:tcPr>
                <w:tcW w:w="402" w:type="pct"/>
                <w:vAlign w:val="center"/>
              </w:tcPr>
              <w:p w14:paraId="5DDFB61D" w14:textId="77777777" w:rsidR="00FD12A2" w:rsidRDefault="00FD12A2">
                <w:pPr>
                  <w:jc w:val="right"/>
                  <w:rPr>
                    <w:rFonts w:asciiTheme="minorEastAsia" w:eastAsiaTheme="minorEastAsia" w:hAnsiTheme="minorEastAsia"/>
                    <w:szCs w:val="21"/>
                  </w:rPr>
                </w:pPr>
                <w:r>
                  <w:rPr>
                    <w:rFonts w:hint="eastAsia"/>
                  </w:rPr>
                  <w:t>1,105.63</w:t>
                </w:r>
              </w:p>
            </w:tc>
            <w:tc>
              <w:tcPr>
                <w:tcW w:w="403" w:type="pct"/>
                <w:vAlign w:val="center"/>
              </w:tcPr>
              <w:p w14:paraId="6A5A5F48" w14:textId="77777777" w:rsidR="00FD12A2" w:rsidRDefault="00FD12A2">
                <w:pPr>
                  <w:jc w:val="right"/>
                  <w:rPr>
                    <w:rFonts w:asciiTheme="minorEastAsia" w:eastAsiaTheme="minorEastAsia" w:hAnsiTheme="minorEastAsia"/>
                    <w:szCs w:val="21"/>
                  </w:rPr>
                </w:pPr>
              </w:p>
            </w:tc>
            <w:tc>
              <w:tcPr>
                <w:tcW w:w="402" w:type="pct"/>
                <w:vAlign w:val="center"/>
              </w:tcPr>
              <w:p w14:paraId="28064AD0" w14:textId="77777777" w:rsidR="00FD12A2" w:rsidRDefault="00FD12A2">
                <w:pPr>
                  <w:jc w:val="right"/>
                  <w:rPr>
                    <w:rFonts w:asciiTheme="minorEastAsia" w:eastAsiaTheme="minorEastAsia" w:hAnsiTheme="minorEastAsia"/>
                    <w:szCs w:val="21"/>
                  </w:rPr>
                </w:pPr>
                <w:r>
                  <w:rPr>
                    <w:rFonts w:hint="eastAsia"/>
                  </w:rPr>
                  <w:t>-243.81</w:t>
                </w:r>
              </w:p>
            </w:tc>
            <w:tc>
              <w:tcPr>
                <w:tcW w:w="402" w:type="pct"/>
                <w:vAlign w:val="center"/>
              </w:tcPr>
              <w:p w14:paraId="1470D87E" w14:textId="77777777" w:rsidR="00FD12A2" w:rsidRDefault="00FD12A2">
                <w:pPr>
                  <w:jc w:val="right"/>
                  <w:rPr>
                    <w:rFonts w:asciiTheme="minorEastAsia" w:eastAsiaTheme="minorEastAsia" w:hAnsiTheme="minorEastAsia"/>
                    <w:szCs w:val="21"/>
                  </w:rPr>
                </w:pPr>
              </w:p>
            </w:tc>
            <w:tc>
              <w:tcPr>
                <w:tcW w:w="432" w:type="pct"/>
                <w:vAlign w:val="center"/>
              </w:tcPr>
              <w:p w14:paraId="482E25D3" w14:textId="77777777" w:rsidR="00FD12A2" w:rsidRDefault="00FD12A2">
                <w:pPr>
                  <w:jc w:val="right"/>
                  <w:rPr>
                    <w:rFonts w:asciiTheme="minorEastAsia" w:eastAsiaTheme="minorEastAsia" w:hAnsiTheme="minorEastAsia"/>
                    <w:szCs w:val="21"/>
                  </w:rPr>
                </w:pPr>
              </w:p>
            </w:tc>
            <w:tc>
              <w:tcPr>
                <w:tcW w:w="424" w:type="pct"/>
                <w:vAlign w:val="center"/>
              </w:tcPr>
              <w:p w14:paraId="2D6DF781" w14:textId="77777777" w:rsidR="00FD12A2" w:rsidRDefault="00FD12A2">
                <w:pPr>
                  <w:jc w:val="right"/>
                  <w:rPr>
                    <w:rFonts w:asciiTheme="minorEastAsia" w:eastAsiaTheme="minorEastAsia" w:hAnsiTheme="minorEastAsia"/>
                    <w:szCs w:val="21"/>
                  </w:rPr>
                </w:pPr>
                <w:r>
                  <w:rPr>
                    <w:rFonts w:hint="eastAsia"/>
                  </w:rPr>
                  <w:t>861.82</w:t>
                </w:r>
              </w:p>
            </w:tc>
            <w:tc>
              <w:tcPr>
                <w:tcW w:w="484" w:type="pct"/>
                <w:vAlign w:val="center"/>
              </w:tcPr>
              <w:p w14:paraId="6EBCE042" w14:textId="77777777" w:rsidR="00FD12A2" w:rsidRDefault="00FD12A2">
                <w:pPr>
                  <w:jc w:val="right"/>
                  <w:rPr>
                    <w:rFonts w:asciiTheme="minorEastAsia" w:eastAsiaTheme="minorEastAsia" w:hAnsiTheme="minorEastAsia"/>
                    <w:szCs w:val="21"/>
                  </w:rPr>
                </w:pPr>
                <w:r>
                  <w:rPr>
                    <w:rFonts w:hint="eastAsia"/>
                  </w:rPr>
                  <w:t>0.0451</w:t>
                </w:r>
              </w:p>
            </w:tc>
          </w:tr>
        </w:sdtContent>
      </w:sdt>
      <w:tr w:rsidR="00FD12A2" w14:paraId="27E69A48" w14:textId="77777777" w:rsidTr="004D673E">
        <w:trPr>
          <w:trHeight w:val="90"/>
        </w:trPr>
        <w:sdt>
          <w:sdtPr>
            <w:rPr>
              <w:rFonts w:asciiTheme="minorEastAsia" w:eastAsiaTheme="minorEastAsia" w:hAnsiTheme="minorEastAsia"/>
              <w:szCs w:val="21"/>
            </w:rPr>
            <w:tag w:val="_PLD_82509fc58ac045628d01ac8b76217d17"/>
            <w:id w:val="-2038876910"/>
          </w:sdtPr>
          <w:sdtEndPr/>
          <w:sdtContent>
            <w:tc>
              <w:tcPr>
                <w:tcW w:w="1649" w:type="pct"/>
                <w:vAlign w:val="center"/>
              </w:tcPr>
              <w:p w14:paraId="5B55D0FA" w14:textId="77777777" w:rsidR="00FD12A2" w:rsidRDefault="00FD12A2">
                <w:pPr>
                  <w:rPr>
                    <w:rFonts w:asciiTheme="minorEastAsia" w:eastAsiaTheme="minorEastAsia" w:hAnsiTheme="minorEastAsia"/>
                    <w:szCs w:val="21"/>
                  </w:rPr>
                </w:pPr>
                <w:r>
                  <w:rPr>
                    <w:rFonts w:asciiTheme="minorEastAsia" w:eastAsiaTheme="minorEastAsia" w:hAnsiTheme="minorEastAsia"/>
                    <w:szCs w:val="21"/>
                  </w:rPr>
                  <w:t>合计</w:t>
                </w:r>
              </w:p>
            </w:tc>
          </w:sdtContent>
        </w:sdt>
        <w:tc>
          <w:tcPr>
            <w:tcW w:w="402" w:type="pct"/>
            <w:vAlign w:val="center"/>
          </w:tcPr>
          <w:p w14:paraId="063EF292" w14:textId="77777777" w:rsidR="00FD12A2" w:rsidRDefault="00FD12A2">
            <w:pPr>
              <w:jc w:val="right"/>
              <w:rPr>
                <w:rFonts w:asciiTheme="minorEastAsia" w:eastAsiaTheme="minorEastAsia" w:hAnsiTheme="minorEastAsia"/>
                <w:szCs w:val="21"/>
              </w:rPr>
            </w:pPr>
            <w:r>
              <w:rPr>
                <w:rFonts w:hint="eastAsia"/>
              </w:rPr>
              <w:t>262,046.17</w:t>
            </w:r>
          </w:p>
        </w:tc>
        <w:tc>
          <w:tcPr>
            <w:tcW w:w="402" w:type="pct"/>
            <w:vAlign w:val="center"/>
          </w:tcPr>
          <w:p w14:paraId="37EC8629" w14:textId="77777777" w:rsidR="00FD12A2" w:rsidRDefault="00FD12A2">
            <w:pPr>
              <w:jc w:val="right"/>
              <w:rPr>
                <w:rFonts w:asciiTheme="minorEastAsia" w:eastAsiaTheme="minorEastAsia" w:hAnsiTheme="minorEastAsia"/>
                <w:szCs w:val="21"/>
              </w:rPr>
            </w:pPr>
            <w:r>
              <w:rPr>
                <w:rFonts w:hint="eastAsia"/>
              </w:rPr>
              <w:t>1,223.94</w:t>
            </w:r>
          </w:p>
        </w:tc>
        <w:tc>
          <w:tcPr>
            <w:tcW w:w="403" w:type="pct"/>
            <w:vAlign w:val="center"/>
          </w:tcPr>
          <w:p w14:paraId="07E39270" w14:textId="77777777" w:rsidR="00FD12A2" w:rsidRDefault="00FD12A2">
            <w:pPr>
              <w:jc w:val="right"/>
              <w:rPr>
                <w:rFonts w:asciiTheme="minorEastAsia" w:eastAsiaTheme="minorEastAsia" w:hAnsiTheme="minorEastAsia"/>
                <w:szCs w:val="21"/>
              </w:rPr>
            </w:pPr>
            <w:r>
              <w:rPr>
                <w:rFonts w:hint="eastAsia"/>
              </w:rPr>
              <w:t>2.03</w:t>
            </w:r>
          </w:p>
        </w:tc>
        <w:tc>
          <w:tcPr>
            <w:tcW w:w="402" w:type="pct"/>
            <w:vAlign w:val="center"/>
          </w:tcPr>
          <w:p w14:paraId="4075875D" w14:textId="77777777" w:rsidR="00FD12A2" w:rsidRDefault="00FD12A2">
            <w:pPr>
              <w:jc w:val="right"/>
              <w:rPr>
                <w:rFonts w:asciiTheme="minorEastAsia" w:eastAsiaTheme="minorEastAsia" w:hAnsiTheme="minorEastAsia"/>
                <w:szCs w:val="21"/>
              </w:rPr>
            </w:pPr>
            <w:r>
              <w:rPr>
                <w:rFonts w:hint="eastAsia"/>
              </w:rPr>
              <w:t>-243.81</w:t>
            </w:r>
          </w:p>
        </w:tc>
        <w:tc>
          <w:tcPr>
            <w:tcW w:w="402" w:type="pct"/>
            <w:vAlign w:val="center"/>
          </w:tcPr>
          <w:p w14:paraId="77D6C8DB" w14:textId="77777777" w:rsidR="00FD12A2" w:rsidRDefault="00FD12A2">
            <w:pPr>
              <w:jc w:val="right"/>
              <w:rPr>
                <w:rFonts w:asciiTheme="minorEastAsia" w:eastAsiaTheme="minorEastAsia" w:hAnsiTheme="minorEastAsia"/>
                <w:szCs w:val="21"/>
              </w:rPr>
            </w:pPr>
            <w:r>
              <w:rPr>
                <w:rFonts w:hint="eastAsia"/>
              </w:rPr>
              <w:t>283,996.59</w:t>
            </w:r>
          </w:p>
        </w:tc>
        <w:tc>
          <w:tcPr>
            <w:tcW w:w="432" w:type="pct"/>
            <w:vAlign w:val="center"/>
          </w:tcPr>
          <w:p w14:paraId="05E4841B" w14:textId="77777777" w:rsidR="00FD12A2" w:rsidRDefault="00FD12A2">
            <w:pPr>
              <w:jc w:val="right"/>
              <w:rPr>
                <w:rFonts w:asciiTheme="minorEastAsia" w:eastAsiaTheme="minorEastAsia" w:hAnsiTheme="minorEastAsia"/>
                <w:szCs w:val="21"/>
              </w:rPr>
            </w:pPr>
            <w:r>
              <w:rPr>
                <w:rFonts w:hint="eastAsia"/>
              </w:rPr>
              <w:t>356,776.23</w:t>
            </w:r>
          </w:p>
        </w:tc>
        <w:tc>
          <w:tcPr>
            <w:tcW w:w="424" w:type="pct"/>
            <w:vAlign w:val="center"/>
          </w:tcPr>
          <w:p w14:paraId="2AACADBE" w14:textId="77777777" w:rsidR="00FD12A2" w:rsidRDefault="00FD12A2">
            <w:pPr>
              <w:jc w:val="right"/>
              <w:rPr>
                <w:rFonts w:asciiTheme="minorEastAsia" w:eastAsiaTheme="minorEastAsia" w:hAnsiTheme="minorEastAsia"/>
                <w:szCs w:val="21"/>
              </w:rPr>
            </w:pPr>
            <w:r>
              <w:rPr>
                <w:rFonts w:hint="eastAsia"/>
              </w:rPr>
              <w:t>863.17</w:t>
            </w:r>
          </w:p>
        </w:tc>
        <w:tc>
          <w:tcPr>
            <w:tcW w:w="484" w:type="pct"/>
            <w:vAlign w:val="center"/>
          </w:tcPr>
          <w:p w14:paraId="3D9212C3" w14:textId="77777777" w:rsidR="00FD12A2" w:rsidRDefault="00FD12A2">
            <w:pPr>
              <w:jc w:val="right"/>
              <w:rPr>
                <w:rFonts w:asciiTheme="minorEastAsia" w:eastAsiaTheme="minorEastAsia" w:hAnsiTheme="minorEastAsia"/>
                <w:szCs w:val="21"/>
              </w:rPr>
            </w:pPr>
            <w:r>
              <w:rPr>
                <w:rFonts w:hint="eastAsia"/>
              </w:rPr>
              <w:t>0.0452</w:t>
            </w:r>
          </w:p>
        </w:tc>
      </w:tr>
      <w:tr w:rsidR="00FD12A2" w14:paraId="29F63483" w14:textId="77777777" w:rsidTr="00960AC0">
        <w:sdt>
          <w:sdtPr>
            <w:rPr>
              <w:rFonts w:asciiTheme="minorEastAsia" w:eastAsiaTheme="minorEastAsia" w:hAnsiTheme="minorEastAsia" w:hint="eastAsia"/>
              <w:szCs w:val="21"/>
            </w:rPr>
            <w:tag w:val="_PLD_55498834861041b3a262103178651659"/>
            <w:id w:val="1107464602"/>
          </w:sdtPr>
          <w:sdtEndPr/>
          <w:sdtContent>
            <w:tc>
              <w:tcPr>
                <w:tcW w:w="1649" w:type="pct"/>
              </w:tcPr>
              <w:p w14:paraId="54B99505" w14:textId="77777777" w:rsidR="00FD12A2" w:rsidRDefault="00FD12A2">
                <w:pPr>
                  <w:rPr>
                    <w:rFonts w:asciiTheme="minorEastAsia" w:eastAsiaTheme="minorEastAsia" w:hAnsiTheme="minorEastAsia"/>
                    <w:szCs w:val="21"/>
                  </w:rPr>
                </w:pPr>
                <w:r>
                  <w:rPr>
                    <w:rFonts w:asciiTheme="minorEastAsia" w:eastAsiaTheme="minorEastAsia" w:hAnsiTheme="minorEastAsia" w:hint="eastAsia"/>
                    <w:szCs w:val="21"/>
                  </w:rPr>
                  <w:t>报告期内套期保值业务的会计政策、会计核算具体原则，以及与上一报告期相比是否发生重大变化的说明</w:t>
                </w:r>
              </w:p>
            </w:tc>
          </w:sdtContent>
        </w:sdt>
        <w:tc>
          <w:tcPr>
            <w:tcW w:w="3351" w:type="pct"/>
            <w:gridSpan w:val="8"/>
            <w:vAlign w:val="center"/>
          </w:tcPr>
          <w:p w14:paraId="6E96CAFD" w14:textId="77777777" w:rsidR="00FD12A2" w:rsidRDefault="00FD12A2">
            <w:pPr>
              <w:rPr>
                <w:rFonts w:asciiTheme="minorEastAsia" w:eastAsiaTheme="minorEastAsia" w:hAnsiTheme="minorEastAsia"/>
                <w:szCs w:val="21"/>
              </w:rPr>
            </w:pPr>
            <w:r>
              <w:rPr>
                <w:rFonts w:hint="eastAsia"/>
              </w:rPr>
              <w:t>公司按照国家财政部发布的《企业会计准则第 22 号——金融工具确认和计量》《企业会计准则第 37 号——金融工具列报》《企业会计准则第 24 号——套期会计》等相关规定及其指南，对开展的金融衍生品交易业务进行相应的核算和披露。</w:t>
            </w:r>
          </w:p>
        </w:tc>
      </w:tr>
      <w:tr w:rsidR="00FD12A2" w14:paraId="1C73B04C" w14:textId="77777777" w:rsidTr="00960AC0">
        <w:sdt>
          <w:sdtPr>
            <w:rPr>
              <w:rFonts w:asciiTheme="minorEastAsia" w:eastAsiaTheme="minorEastAsia" w:hAnsiTheme="minorEastAsia" w:hint="eastAsia"/>
              <w:szCs w:val="21"/>
            </w:rPr>
            <w:tag w:val="_PLD_b928c748b8d54ff4beeb109dd9db0914"/>
            <w:id w:val="1662278811"/>
          </w:sdtPr>
          <w:sdtEndPr/>
          <w:sdtContent>
            <w:tc>
              <w:tcPr>
                <w:tcW w:w="1649" w:type="pct"/>
                <w:vAlign w:val="center"/>
              </w:tcPr>
              <w:p w14:paraId="65494EF1"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报告期实际损益情况的说明</w:t>
                </w:r>
              </w:p>
            </w:tc>
          </w:sdtContent>
        </w:sdt>
        <w:tc>
          <w:tcPr>
            <w:tcW w:w="3351" w:type="pct"/>
            <w:gridSpan w:val="8"/>
            <w:vAlign w:val="center"/>
          </w:tcPr>
          <w:p w14:paraId="48666D16" w14:textId="77777777" w:rsidR="00FD12A2" w:rsidRDefault="00FD12A2">
            <w:pPr>
              <w:rPr>
                <w:rFonts w:asciiTheme="minorEastAsia" w:eastAsiaTheme="minorEastAsia" w:hAnsiTheme="minorEastAsia"/>
                <w:szCs w:val="21"/>
                <w:highlight w:val="yellow"/>
              </w:rPr>
            </w:pPr>
            <w:r>
              <w:rPr>
                <w:rFonts w:hint="eastAsia"/>
              </w:rPr>
              <w:t>报告期，公司整体外汇套期保值产品对于损益的影响金额合计为-12,368.70万元人民币</w:t>
            </w:r>
          </w:p>
        </w:tc>
      </w:tr>
      <w:tr w:rsidR="00FD12A2" w14:paraId="1740966D" w14:textId="77777777" w:rsidTr="00960AC0">
        <w:sdt>
          <w:sdtPr>
            <w:rPr>
              <w:rFonts w:asciiTheme="minorEastAsia" w:eastAsiaTheme="minorEastAsia" w:hAnsiTheme="minorEastAsia" w:hint="eastAsia"/>
              <w:szCs w:val="21"/>
            </w:rPr>
            <w:tag w:val="_PLD_01bebcf35fa542d19c298d0f9232d6cd"/>
            <w:id w:val="1766885199"/>
          </w:sdtPr>
          <w:sdtEndPr/>
          <w:sdtContent>
            <w:tc>
              <w:tcPr>
                <w:tcW w:w="1649" w:type="pct"/>
                <w:vAlign w:val="center"/>
              </w:tcPr>
              <w:p w14:paraId="1D3F1C24"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套期保值效果的说明</w:t>
                </w:r>
              </w:p>
            </w:tc>
          </w:sdtContent>
        </w:sdt>
        <w:tc>
          <w:tcPr>
            <w:tcW w:w="3351" w:type="pct"/>
            <w:gridSpan w:val="8"/>
            <w:vAlign w:val="center"/>
          </w:tcPr>
          <w:p w14:paraId="19276453" w14:textId="77777777" w:rsidR="00FD12A2" w:rsidRDefault="00FD12A2">
            <w:pPr>
              <w:rPr>
                <w:rFonts w:asciiTheme="minorEastAsia" w:eastAsiaTheme="minorEastAsia" w:hAnsiTheme="minorEastAsia"/>
                <w:szCs w:val="21"/>
                <w:highlight w:val="yellow"/>
              </w:rPr>
            </w:pPr>
            <w:r>
              <w:rPr>
                <w:rFonts w:hint="eastAsia"/>
              </w:rPr>
              <w:t>公司开展外汇套期保值交易与日常经营需求紧密相关，成本、收入、融资利率随着外汇套期保值交易被锁定和优化，一定程度上降低汇率及利率波动对公司的影响。</w:t>
            </w:r>
          </w:p>
        </w:tc>
      </w:tr>
      <w:tr w:rsidR="00FD12A2" w14:paraId="191D1D16" w14:textId="77777777" w:rsidTr="00960AC0">
        <w:sdt>
          <w:sdtPr>
            <w:rPr>
              <w:rFonts w:asciiTheme="minorEastAsia" w:eastAsiaTheme="minorEastAsia" w:hAnsiTheme="minorEastAsia" w:hint="eastAsia"/>
              <w:szCs w:val="21"/>
            </w:rPr>
            <w:tag w:val="_PLD_f20e96c5f000475281b72b1b1a7d30bd"/>
            <w:id w:val="-1334530616"/>
          </w:sdtPr>
          <w:sdtEndPr/>
          <w:sdtContent>
            <w:tc>
              <w:tcPr>
                <w:tcW w:w="1649" w:type="pct"/>
                <w:vAlign w:val="center"/>
              </w:tcPr>
              <w:p w14:paraId="23D79802"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衍生品投资资金来源</w:t>
                </w:r>
              </w:p>
            </w:tc>
          </w:sdtContent>
        </w:sdt>
        <w:tc>
          <w:tcPr>
            <w:tcW w:w="3351" w:type="pct"/>
            <w:gridSpan w:val="8"/>
            <w:vAlign w:val="center"/>
          </w:tcPr>
          <w:p w14:paraId="20EF5859" w14:textId="77777777" w:rsidR="00FD12A2" w:rsidRDefault="00FD12A2">
            <w:pPr>
              <w:rPr>
                <w:rFonts w:asciiTheme="minorEastAsia" w:eastAsiaTheme="minorEastAsia" w:hAnsiTheme="minorEastAsia"/>
                <w:szCs w:val="21"/>
                <w:highlight w:val="yellow"/>
              </w:rPr>
            </w:pPr>
            <w:r>
              <w:rPr>
                <w:rFonts w:hint="eastAsia"/>
              </w:rPr>
              <w:t>自有资金</w:t>
            </w:r>
          </w:p>
        </w:tc>
      </w:tr>
      <w:tr w:rsidR="00FD12A2" w14:paraId="5F470673" w14:textId="77777777" w:rsidTr="00960AC0">
        <w:sdt>
          <w:sdtPr>
            <w:rPr>
              <w:rFonts w:asciiTheme="minorEastAsia" w:eastAsiaTheme="minorEastAsia" w:hAnsiTheme="minorEastAsia" w:hint="eastAsia"/>
              <w:szCs w:val="21"/>
            </w:rPr>
            <w:tag w:val="_PLD_97a9f6103350412484a6b2c8915d7219"/>
            <w:id w:val="-194613936"/>
          </w:sdtPr>
          <w:sdtEndPr/>
          <w:sdtContent>
            <w:tc>
              <w:tcPr>
                <w:tcW w:w="1649" w:type="pct"/>
                <w:vAlign w:val="center"/>
              </w:tcPr>
              <w:p w14:paraId="0CF184CD"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报告期衍生品持仓的风险分析及控制措施说明（包括但不限于市场风险、流动性风险、信用风险、操作风险、法律风险等）</w:t>
                </w:r>
              </w:p>
            </w:tc>
          </w:sdtContent>
        </w:sdt>
        <w:tc>
          <w:tcPr>
            <w:tcW w:w="3351" w:type="pct"/>
            <w:gridSpan w:val="8"/>
            <w:vAlign w:val="center"/>
          </w:tcPr>
          <w:p w14:paraId="28805B9B" w14:textId="77777777" w:rsidR="00FD12A2" w:rsidRDefault="00FD12A2">
            <w:pPr>
              <w:rPr>
                <w:rFonts w:asciiTheme="minorEastAsia" w:eastAsiaTheme="minorEastAsia" w:hAnsiTheme="minorEastAsia"/>
                <w:szCs w:val="21"/>
                <w:highlight w:val="yellow"/>
              </w:rPr>
            </w:pPr>
            <w:r>
              <w:rPr>
                <w:rFonts w:hint="eastAsia"/>
              </w:rPr>
              <w:t>外汇套期保值交易的风险分析：1、市场风险，公司境内外开展的金融衍生业务所在国政治稳定，且产品结构简单，业务主要风险分别为到期日的外汇市场价格优于合约中约定的外汇价格和支付掉期成本，公司进行外汇套期保值交易的目的不是博取风险收益，而是为了锁定风险，控制成本，锁定收益；2、流动性风险，远期外汇交易根据公司目前存量外币资金、未来收付款预算以及外币资产、负债为基础进行操作，期限、规模与资金收支计划相匹配；掉期交易主要配合公司防范汇率风险、优化融资成本而开展，不会对公司流动性产生较大影响；3、履约风险，主要是指不能按期与银行履约交割或支付掉期成本的风险。公司远期外汇交易以存量外币资金、未来收付款预算以及外币资产、负债为基础进行，一般情况下预期的收付款都能实现，鉴于所申请额度仅为存量资金及全部项目收付款的一部分，即便个别项目预期不能实现，其他项目的收付款也可以进行弥补，公司货币资金充裕，整体能够满足履约的需要；公司存量有息债务规模不大，不会产生较大的掉期成本导致无法履约。风险管理策略：1、以公司实际业务需求为基础，规避汇率、利率风险，优化融资成本为目的。严禁超过公司正常业务的外汇套期保值交易。2、在股东大会批准的额度，以及公司对下属公司</w:t>
            </w:r>
            <w:r>
              <w:rPr>
                <w:rFonts w:hint="eastAsia"/>
              </w:rPr>
              <w:lastRenderedPageBreak/>
              <w:t>的额度管理限额内，外汇套期保值交易由各交易主体按照相关制度规定履行审批流程。3、公司外汇套期保值交易主要以远期外汇交易和掉期为主，并在股东大会批准的期限内进行，不涉及复杂结构的金融衍生业务。4、建立外汇套期保值交易台帐和内部监督及报告机制。公司资产财务部专人负责对外汇套期保值交易统计，登记专门的台帐，资金交易账户纳入银行账户日常管理；审计部负责对交易流程、内容是否符合授权情况进行不定期的监督检查，并将结果向董事会审计与风险管理委员会汇报。</w:t>
            </w:r>
          </w:p>
        </w:tc>
      </w:tr>
      <w:tr w:rsidR="00FD12A2" w14:paraId="172C9DB0" w14:textId="77777777" w:rsidTr="00960AC0">
        <w:sdt>
          <w:sdtPr>
            <w:rPr>
              <w:rFonts w:asciiTheme="minorEastAsia" w:eastAsiaTheme="minorEastAsia" w:hAnsiTheme="minorEastAsia" w:hint="eastAsia"/>
              <w:szCs w:val="21"/>
            </w:rPr>
            <w:tag w:val="_PLD_878def1acc4248efa4641644abc27bd5"/>
            <w:id w:val="-845632698"/>
          </w:sdtPr>
          <w:sdtEndPr/>
          <w:sdtContent>
            <w:tc>
              <w:tcPr>
                <w:tcW w:w="1649" w:type="pct"/>
                <w:vAlign w:val="center"/>
              </w:tcPr>
              <w:p w14:paraId="42CF4C02"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已投资衍生品报告期内市场价格或产品公允价值变动的情况，对衍生品公允价值的分析应披露具体使用的方法及相关假设与参数的设定</w:t>
                </w:r>
              </w:p>
            </w:tc>
          </w:sdtContent>
        </w:sdt>
        <w:tc>
          <w:tcPr>
            <w:tcW w:w="3351" w:type="pct"/>
            <w:gridSpan w:val="8"/>
            <w:vAlign w:val="center"/>
          </w:tcPr>
          <w:p w14:paraId="25A3C796" w14:textId="77777777" w:rsidR="00FD12A2" w:rsidRDefault="00FD12A2">
            <w:pPr>
              <w:rPr>
                <w:rFonts w:asciiTheme="minorEastAsia" w:eastAsiaTheme="minorEastAsia" w:hAnsiTheme="minorEastAsia"/>
                <w:szCs w:val="21"/>
                <w:highlight w:val="yellow"/>
              </w:rPr>
            </w:pPr>
            <w:r>
              <w:rPr>
                <w:rFonts w:hint="eastAsia"/>
              </w:rPr>
              <w:t>衍生品公允价值确认依据为公司开展衍生品交易业务的对手方银行出具的估值报告。</w:t>
            </w:r>
          </w:p>
        </w:tc>
      </w:tr>
      <w:tr w:rsidR="00FD12A2" w14:paraId="2D06DBCD" w14:textId="77777777" w:rsidTr="00960AC0">
        <w:sdt>
          <w:sdtPr>
            <w:rPr>
              <w:rFonts w:asciiTheme="minorEastAsia" w:eastAsiaTheme="minorEastAsia" w:hAnsiTheme="minorEastAsia" w:hint="eastAsia"/>
              <w:szCs w:val="21"/>
            </w:rPr>
            <w:tag w:val="_PLD_7f827168626149b7a06b295bb1a96be9"/>
            <w:id w:val="1530069912"/>
          </w:sdtPr>
          <w:sdtEndPr/>
          <w:sdtContent>
            <w:tc>
              <w:tcPr>
                <w:tcW w:w="1649" w:type="pct"/>
                <w:vAlign w:val="center"/>
              </w:tcPr>
              <w:p w14:paraId="25AA1466"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涉诉情况（如适用）</w:t>
                </w:r>
              </w:p>
            </w:tc>
          </w:sdtContent>
        </w:sdt>
        <w:tc>
          <w:tcPr>
            <w:tcW w:w="3351" w:type="pct"/>
            <w:gridSpan w:val="8"/>
            <w:vAlign w:val="center"/>
          </w:tcPr>
          <w:p w14:paraId="08DD4E05" w14:textId="77777777" w:rsidR="00FD12A2" w:rsidRDefault="00FD12A2">
            <w:pPr>
              <w:rPr>
                <w:rFonts w:asciiTheme="minorEastAsia" w:eastAsiaTheme="minorEastAsia" w:hAnsiTheme="minorEastAsia"/>
                <w:szCs w:val="21"/>
                <w:highlight w:val="yellow"/>
              </w:rPr>
            </w:pPr>
            <w:r>
              <w:rPr>
                <w:rFonts w:hint="eastAsia"/>
              </w:rPr>
              <w:t>不适用</w:t>
            </w:r>
          </w:p>
        </w:tc>
      </w:tr>
      <w:tr w:rsidR="00FD12A2" w14:paraId="20042427" w14:textId="77777777" w:rsidTr="00960AC0">
        <w:sdt>
          <w:sdtPr>
            <w:rPr>
              <w:rFonts w:asciiTheme="minorEastAsia" w:eastAsiaTheme="minorEastAsia" w:hAnsiTheme="minorEastAsia" w:hint="eastAsia"/>
              <w:szCs w:val="21"/>
            </w:rPr>
            <w:tag w:val="_PLD_6d2d128c59fc493b87c23078d456dbc9"/>
            <w:id w:val="-1618053461"/>
          </w:sdtPr>
          <w:sdtEndPr/>
          <w:sdtContent>
            <w:tc>
              <w:tcPr>
                <w:tcW w:w="1649" w:type="pct"/>
                <w:vAlign w:val="center"/>
              </w:tcPr>
              <w:p w14:paraId="7B2B13F9"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衍生品投资审批董事会公告披露日期（如有）</w:t>
                </w:r>
              </w:p>
            </w:tc>
          </w:sdtContent>
        </w:sdt>
        <w:tc>
          <w:tcPr>
            <w:tcW w:w="3351" w:type="pct"/>
            <w:gridSpan w:val="8"/>
            <w:vAlign w:val="center"/>
          </w:tcPr>
          <w:p w14:paraId="3EAA22C1" w14:textId="77777777" w:rsidR="00FD12A2" w:rsidRDefault="00FD12A2">
            <w:pPr>
              <w:rPr>
                <w:rFonts w:asciiTheme="minorEastAsia" w:eastAsiaTheme="minorEastAsia" w:hAnsiTheme="minorEastAsia"/>
                <w:szCs w:val="21"/>
                <w:highlight w:val="yellow"/>
              </w:rPr>
            </w:pPr>
            <w:r>
              <w:rPr>
                <w:rFonts w:hint="eastAsia"/>
              </w:rPr>
              <w:t>2022-12-14</w:t>
            </w:r>
          </w:p>
        </w:tc>
      </w:tr>
      <w:tr w:rsidR="00FD12A2" w14:paraId="2E0606B9" w14:textId="77777777" w:rsidTr="00960AC0">
        <w:sdt>
          <w:sdtPr>
            <w:rPr>
              <w:rFonts w:asciiTheme="minorEastAsia" w:eastAsiaTheme="minorEastAsia" w:hAnsiTheme="minorEastAsia" w:hint="eastAsia"/>
              <w:szCs w:val="21"/>
            </w:rPr>
            <w:tag w:val="_PLD_bd80682ebfee48b3884d8748c9ff2478"/>
            <w:id w:val="-1905436689"/>
          </w:sdtPr>
          <w:sdtEndPr/>
          <w:sdtContent>
            <w:tc>
              <w:tcPr>
                <w:tcW w:w="1649" w:type="pct"/>
                <w:vAlign w:val="center"/>
              </w:tcPr>
              <w:p w14:paraId="59EB9E12" w14:textId="77777777" w:rsidR="00FD12A2" w:rsidRDefault="00FD12A2">
                <w:pPr>
                  <w:jc w:val="left"/>
                  <w:rPr>
                    <w:rFonts w:asciiTheme="minorEastAsia" w:eastAsiaTheme="minorEastAsia" w:hAnsiTheme="minorEastAsia"/>
                    <w:szCs w:val="21"/>
                  </w:rPr>
                </w:pPr>
                <w:r>
                  <w:rPr>
                    <w:rFonts w:asciiTheme="minorEastAsia" w:eastAsiaTheme="minorEastAsia" w:hAnsiTheme="minorEastAsia" w:hint="eastAsia"/>
                    <w:szCs w:val="21"/>
                  </w:rPr>
                  <w:t>衍生品投资审批股东会公告披露日期（如有）</w:t>
                </w:r>
              </w:p>
            </w:tc>
          </w:sdtContent>
        </w:sdt>
        <w:tc>
          <w:tcPr>
            <w:tcW w:w="3351" w:type="pct"/>
            <w:gridSpan w:val="8"/>
            <w:vAlign w:val="center"/>
          </w:tcPr>
          <w:p w14:paraId="3F1BF154" w14:textId="77777777" w:rsidR="00FD12A2" w:rsidRDefault="00FD12A2">
            <w:pPr>
              <w:rPr>
                <w:rFonts w:asciiTheme="minorEastAsia" w:eastAsiaTheme="minorEastAsia" w:hAnsiTheme="minorEastAsia"/>
                <w:szCs w:val="21"/>
                <w:highlight w:val="yellow"/>
              </w:rPr>
            </w:pPr>
            <w:r>
              <w:rPr>
                <w:rFonts w:hint="eastAsia"/>
              </w:rPr>
              <w:t>2022-12-30</w:t>
            </w:r>
          </w:p>
        </w:tc>
      </w:tr>
    </w:tbl>
    <w:p w14:paraId="383CAD91" w14:textId="77777777" w:rsidR="00FD12A2" w:rsidRDefault="00FD12A2">
      <w:pPr>
        <w:rPr>
          <w:color w:val="333399"/>
          <w:highlight w:val="yellow"/>
        </w:rPr>
      </w:pPr>
    </w:p>
    <w:p w14:paraId="0ADB5CA9" w14:textId="77777777" w:rsidR="007B3D86" w:rsidRDefault="007B3D86" w:rsidP="007B3D86">
      <w:pPr>
        <w:widowControl w:val="0"/>
        <w:numPr>
          <w:ilvl w:val="0"/>
          <w:numId w:val="18"/>
        </w:numPr>
        <w:jc w:val="both"/>
        <w:rPr>
          <w:b/>
          <w:bCs/>
        </w:rPr>
      </w:pPr>
      <w:r>
        <w:t>报告期内以投机为目的的衍生品投资</w:t>
      </w:r>
    </w:p>
    <w:sdt>
      <w:sdtPr>
        <w:rPr>
          <w:rFonts w:hint="eastAsia"/>
          <w:szCs w:val="21"/>
        </w:rPr>
        <w:alias w:val="是否适用：报告期内以投机为目的的衍生品投资[双击切换]"/>
        <w:tag w:val="_GBC_989d91becf6f43a78ff1c99988084677"/>
        <w:id w:val="-854033497"/>
        <w:placeholder>
          <w:docPart w:val="E0498CCACCBA4ADEAE0D7D5F9A3E9201"/>
        </w:placeholder>
      </w:sdtPr>
      <w:sdtEndPr/>
      <w:sdtContent>
        <w:p w14:paraId="1C7E6FBA" w14:textId="77777777" w:rsidR="007B3D86" w:rsidRDefault="007B3D86" w:rsidP="007B3D86">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90EC1E" w14:textId="77777777" w:rsidR="004E032B" w:rsidRDefault="004E032B" w:rsidP="007B3D86">
      <w:pPr>
        <w:rPr>
          <w:szCs w:val="21"/>
        </w:rPr>
      </w:pPr>
    </w:p>
    <w:p w14:paraId="07BF018F" w14:textId="77777777" w:rsidR="00743A02" w:rsidRDefault="00743A02">
      <w:pPr>
        <w:rPr>
          <w:szCs w:val="21"/>
        </w:rPr>
      </w:pPr>
      <w:r>
        <w:rPr>
          <w:szCs w:val="21"/>
        </w:rPr>
        <w:t>其他说明</w:t>
      </w:r>
    </w:p>
    <w:sdt>
      <w:sdtPr>
        <w:rPr>
          <w:szCs w:val="21"/>
        </w:rPr>
        <w:alias w:val="衍生品投资情况  "/>
        <w:tag w:val="_GBC_dfe1dde778cd49efa073949be3c8a164"/>
        <w:id w:val="1711080873"/>
        <w:placeholder>
          <w:docPart w:val="7C6F6C2C1EE543778EC7441580627CD4"/>
        </w:placeholder>
      </w:sdtPr>
      <w:sdtEndPr/>
      <w:sdtContent>
        <w:p w14:paraId="45AB8970" w14:textId="77777777" w:rsidR="00743A02" w:rsidRDefault="00743A02">
          <w:pPr>
            <w:rPr>
              <w:szCs w:val="21"/>
            </w:rPr>
          </w:pPr>
          <w:r>
            <w:rPr>
              <w:rFonts w:hint="eastAsia"/>
              <w:szCs w:val="21"/>
            </w:rPr>
            <w:t>不适用</w:t>
          </w:r>
        </w:p>
      </w:sdtContent>
    </w:sdt>
    <w:p w14:paraId="60C47A42" w14:textId="77777777" w:rsidR="00743A02" w:rsidRDefault="00743A02">
      <w:pPr>
        <w:rPr>
          <w:szCs w:val="21"/>
        </w:rPr>
      </w:pPr>
    </w:p>
    <w:p w14:paraId="6C931762" w14:textId="77777777" w:rsidR="00743A02" w:rsidRDefault="00743A02">
      <w:pPr>
        <w:rPr>
          <w:szCs w:val="21"/>
        </w:rPr>
      </w:pPr>
    </w:p>
    <w:p w14:paraId="61F4E989" w14:textId="77777777" w:rsidR="00743A02" w:rsidRDefault="00743A02"/>
    <w:p w14:paraId="0BB00C02" w14:textId="77777777" w:rsidR="00E57DAA" w:rsidRDefault="00E57DAA">
      <w:pPr>
        <w:rPr>
          <w:szCs w:val="21"/>
        </w:rPr>
      </w:pPr>
    </w:p>
    <w:p w14:paraId="7BC95707" w14:textId="77777777" w:rsidR="004E032B" w:rsidRDefault="004E032B">
      <w:pPr>
        <w:rPr>
          <w:szCs w:val="21"/>
        </w:rPr>
        <w:sectPr w:rsidR="004E032B" w:rsidSect="00226547">
          <w:pgSz w:w="16838" w:h="11906" w:orient="landscape"/>
          <w:pgMar w:top="1797" w:right="1525" w:bottom="1276" w:left="1440" w:header="855" w:footer="992" w:gutter="0"/>
          <w:cols w:space="425"/>
          <w:docGrid w:linePitch="312"/>
        </w:sectPr>
      </w:pPr>
    </w:p>
    <w:p w14:paraId="761CB17C" w14:textId="77777777" w:rsidR="00E57DAA" w:rsidRDefault="00AC4185">
      <w:pPr>
        <w:pStyle w:val="4"/>
        <w:numPr>
          <w:ilvl w:val="0"/>
          <w:numId w:val="17"/>
        </w:numPr>
        <w:rPr>
          <w:rFonts w:ascii="宋体" w:hAnsi="宋体" w:cs="宋体"/>
          <w:kern w:val="0"/>
        </w:rPr>
      </w:pPr>
      <w:r>
        <w:rPr>
          <w:rFonts w:ascii="宋体" w:hAnsi="宋体" w:cs="宋体" w:hint="eastAsia"/>
          <w:kern w:val="0"/>
        </w:rPr>
        <w:lastRenderedPageBreak/>
        <w:t>报告期内重大资产重组整合的具体进展情况</w:t>
      </w:r>
    </w:p>
    <w:bookmarkEnd w:id="71" w:displacedByCustomXml="next"/>
    <w:sdt>
      <w:sdtPr>
        <w:alias w:val="是否适用：报告期内重大资产重组整合的具体进展情况[双击切换]"/>
        <w:tag w:val="_GBC_c52695d1957b4fa89b0b7326da1f5a10"/>
        <w:id w:val="245931157"/>
        <w:placeholder>
          <w:docPart w:val="GBC22222222222222222222222222222"/>
        </w:placeholder>
      </w:sdtPr>
      <w:sdtEndPr/>
      <w:sdtContent>
        <w:p w14:paraId="45D1CB5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0"/>
        </w:rPr>
        <w:alias w:val="报告期内重大资产重组整合的具体进展情况"/>
        <w:tag w:val="_GBC_e6e76513fd224a659e8069aa02890c47"/>
        <w:id w:val="1885832086"/>
        <w:placeholder>
          <w:docPart w:val="GBC22222222222222222222222222222"/>
        </w:placeholder>
      </w:sdtPr>
      <w:sdtEndPr/>
      <w:sdtContent>
        <w:p w14:paraId="1C71EA93" w14:textId="77777777" w:rsidR="00E57DAA" w:rsidRDefault="00AC4185">
          <w:pPr>
            <w:ind w:firstLineChars="200" w:firstLine="400"/>
            <w:jc w:val="both"/>
          </w:pPr>
          <w:r>
            <w:rPr>
              <w:rFonts w:hint="eastAsia"/>
            </w:rPr>
            <w:t>报告期，公司有序推进实施发行股份及支付现金购买合肥院</w:t>
          </w:r>
          <w:r>
            <w:t>100%股权，交易方案于2022年11月7日获得公司2022年第七次临时股东大会审议通过。2022年12月16日，公司召开第七届董事会第二十四次会议（临时），对原定交易方案进行调整，取消了本次交易的募集配套资金安排，本次交易方案调整不构成重大调整。2023年2月10日，公司收到中国证监会核准批复</w:t>
          </w:r>
          <w:r>
            <w:rPr>
              <w:rFonts w:hint="eastAsia"/>
            </w:rPr>
            <w:t>。</w:t>
          </w:r>
          <w:r>
            <w:t>2023年2月，交易标的资产过户登记至公司名下，公司现持有合肥院100%股权。</w:t>
          </w:r>
        </w:p>
        <w:p w14:paraId="5940BE73" w14:textId="77777777" w:rsidR="00E57DAA" w:rsidRDefault="00AC4185">
          <w:pPr>
            <w:pStyle w:val="a5"/>
            <w:spacing w:before="120"/>
          </w:pPr>
          <w:r>
            <w:rPr>
              <w:rFonts w:hint="eastAsia"/>
            </w:rPr>
            <w:t>公司按照装备业务板块统一平台规划目标，依托公司下属装备业务及标的公司装备业务共同打造统一装备平台。同时，装备平台下属各专业装备产品层面，按照“合并同类项”原则实现专业聚焦，一个装备、一个主体，力争打造若干个“专精特新”装备领域的单项冠军或隐形冠军。</w:t>
          </w:r>
        </w:p>
        <w:p w14:paraId="23D732B2" w14:textId="77777777" w:rsidR="00E57DAA" w:rsidRDefault="00AC4185">
          <w:pPr>
            <w:pStyle w:val="a5"/>
            <w:spacing w:before="120"/>
            <w:rPr>
              <w:color w:val="000000" w:themeColor="text1"/>
            </w:rPr>
          </w:pPr>
          <w:r>
            <w:rPr>
              <w:rFonts w:hint="eastAsia"/>
            </w:rPr>
            <w:t>报告期内，</w:t>
          </w:r>
          <w:r>
            <w:rPr>
              <w:color w:val="000000" w:themeColor="text1"/>
            </w:rPr>
            <w:t>公司</w:t>
          </w:r>
          <w:r>
            <w:t>统一内部资源优化统筹安排</w:t>
          </w:r>
          <w:r>
            <w:rPr>
              <w:rFonts w:hint="eastAsia"/>
            </w:rPr>
            <w:t>，</w:t>
          </w:r>
          <w:r>
            <w:t>积极推进业务协同及</w:t>
          </w:r>
          <w:r>
            <w:rPr>
              <w:rFonts w:hint="eastAsia"/>
            </w:rPr>
            <w:t>整合融合</w:t>
          </w:r>
          <w:r>
            <w:t>工作，</w:t>
          </w:r>
          <w:r>
            <w:rPr>
              <w:color w:val="000000" w:themeColor="text1"/>
            </w:rPr>
            <w:t>推动与</w:t>
          </w:r>
          <w:r>
            <w:rPr>
              <w:rFonts w:hint="eastAsia"/>
              <w:color w:val="000000" w:themeColor="text1"/>
            </w:rPr>
            <w:t>合肥院</w:t>
          </w:r>
          <w:r>
            <w:rPr>
              <w:color w:val="000000" w:themeColor="text1"/>
            </w:rPr>
            <w:t>在企业文化、组织模式、财务管理与内部控制、人力资源管理、产品研发管理、业务合作等方面的整合，同时双方在供应链管理、渠道开拓、客户拓展、质量控制等方面进行</w:t>
          </w:r>
          <w:r>
            <w:rPr>
              <w:rFonts w:hint="eastAsia"/>
              <w:color w:val="000000" w:themeColor="text1"/>
            </w:rPr>
            <w:t>深度</w:t>
          </w:r>
          <w:r>
            <w:rPr>
              <w:color w:val="000000" w:themeColor="text1"/>
            </w:rPr>
            <w:t>协同</w:t>
          </w:r>
          <w:r>
            <w:rPr>
              <w:rFonts w:hint="eastAsia"/>
              <w:color w:val="000000" w:themeColor="text1"/>
            </w:rPr>
            <w:t>融合</w:t>
          </w:r>
          <w:r>
            <w:rPr>
              <w:color w:val="000000" w:themeColor="text1"/>
            </w:rPr>
            <w:t>。</w:t>
          </w:r>
          <w:r>
            <w:rPr>
              <w:rFonts w:hint="eastAsia"/>
              <w:color w:val="000000" w:themeColor="text1"/>
            </w:rPr>
            <w:t>各项整合工作有序推进，</w:t>
          </w:r>
          <w:r>
            <w:rPr>
              <w:color w:val="000000" w:themeColor="text1"/>
            </w:rPr>
            <w:t>整合进展与前期整合计划相符，不存在重大整合风险。</w:t>
          </w:r>
        </w:p>
        <w:p w14:paraId="11C0A63E" w14:textId="77777777" w:rsidR="00E57DAA" w:rsidRDefault="00EB41A1" w:rsidP="00C25422">
          <w:pPr>
            <w:pStyle w:val="92"/>
          </w:pPr>
        </w:p>
      </w:sdtContent>
    </w:sdt>
    <w:p w14:paraId="26B64841" w14:textId="77777777" w:rsidR="00E57DAA" w:rsidRDefault="00AC4185" w:rsidP="00C25422">
      <w:pPr>
        <w:pStyle w:val="92"/>
      </w:pPr>
      <w:r>
        <w:rPr>
          <w:rFonts w:hint="eastAsia"/>
        </w:rPr>
        <w:t>独立董事意见</w:t>
      </w:r>
    </w:p>
    <w:sdt>
      <w:sdtPr>
        <w:rPr>
          <w:rFonts w:ascii="宋体" w:hAnsi="宋体" w:cs="宋体"/>
          <w:kern w:val="0"/>
          <w:szCs w:val="24"/>
        </w:rPr>
        <w:alias w:val="独立董事意见"/>
        <w:tag w:val="_GBC_d2c13293d5c64da58bab1d1cd8921fb3"/>
        <w:id w:val="1768038278"/>
        <w:placeholder>
          <w:docPart w:val="GBC22222222222222222222222222222"/>
        </w:placeholder>
      </w:sdtPr>
      <w:sdtEndPr>
        <w:rPr>
          <w:rFonts w:ascii="Times New Roman" w:hAnsi="Times New Roman" w:cs="Times New Roman"/>
          <w:kern w:val="2"/>
          <w:szCs w:val="21"/>
        </w:rPr>
      </w:sdtEndPr>
      <w:sdtContent>
        <w:p w14:paraId="39FEB424" w14:textId="77777777" w:rsidR="00E57DAA" w:rsidRDefault="00AC4185">
          <w:pPr>
            <w:pStyle w:val="a5"/>
            <w:spacing w:before="156"/>
          </w:pPr>
          <w:r>
            <w:t>公司</w:t>
          </w:r>
          <w:r>
            <w:rPr>
              <w:rFonts w:hint="eastAsia"/>
            </w:rPr>
            <w:t>重组事项</w:t>
          </w:r>
          <w:r>
            <w:t>完成后进行的业务协同及并购整合工作是全面、扎实且积极有效的</w:t>
          </w:r>
          <w:r>
            <w:rPr>
              <w:rFonts w:hint="eastAsia"/>
            </w:rPr>
            <w:t>，</w:t>
          </w:r>
          <w:r>
            <w:t>整合进展与前期整合计划相符，不存在重大整合风险，不存在损害公司及全体股东利益的情形。</w:t>
          </w:r>
        </w:p>
      </w:sdtContent>
    </w:sdt>
    <w:p w14:paraId="7B518A56" w14:textId="77777777" w:rsidR="00E57DAA" w:rsidRDefault="00E57DAA">
      <w:pPr>
        <w:pStyle w:val="3"/>
        <w:ind w:left="420"/>
      </w:pPr>
    </w:p>
    <w:p w14:paraId="02350D77" w14:textId="77777777" w:rsidR="00E57DAA" w:rsidRDefault="00AC4185">
      <w:pPr>
        <w:pStyle w:val="3"/>
        <w:numPr>
          <w:ilvl w:val="0"/>
          <w:numId w:val="9"/>
        </w:numPr>
      </w:pPr>
      <w:r>
        <w:rPr>
          <w:rFonts w:hint="eastAsia"/>
        </w:rPr>
        <w:t>重大资产和股权出售</w:t>
      </w:r>
    </w:p>
    <w:bookmarkEnd w:id="72" w:displacedByCustomXml="next"/>
    <w:sdt>
      <w:sdtPr>
        <w:rPr>
          <w:rFonts w:hint="eastAsia"/>
          <w:szCs w:val="21"/>
        </w:rPr>
        <w:alias w:val="是否适用：重大资产和股权出售[双击切换]"/>
        <w:tag w:val="_GBC_949dc5a581604be69ba935fceadc4b1d"/>
        <w:id w:val="-1800755184"/>
        <w:placeholder>
          <w:docPart w:val="GBC22222222222222222222222222222"/>
        </w:placeholder>
      </w:sdtPr>
      <w:sdtEndPr/>
      <w:sdtContent>
        <w:p w14:paraId="48524A6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FCFF6E" w14:textId="77777777" w:rsidR="00E57DAA" w:rsidRDefault="00E57DAA">
      <w:pPr>
        <w:pStyle w:val="3"/>
        <w:ind w:left="420"/>
      </w:pPr>
    </w:p>
    <w:p w14:paraId="5FDFD74E" w14:textId="77777777" w:rsidR="00E57DAA" w:rsidRDefault="00AC4185">
      <w:pPr>
        <w:pStyle w:val="3"/>
        <w:numPr>
          <w:ilvl w:val="0"/>
          <w:numId w:val="9"/>
        </w:numPr>
      </w:pPr>
      <w:r>
        <w:rPr>
          <w:rFonts w:hint="eastAsia"/>
        </w:rPr>
        <w:t>主要控股参股公司分析</w:t>
      </w:r>
    </w:p>
    <w:sdt>
      <w:sdtPr>
        <w:rPr>
          <w:rFonts w:hint="eastAsia"/>
          <w:szCs w:val="21"/>
        </w:rPr>
        <w:alias w:val="是否适用：主要控股参股公司分析[双击切换]"/>
        <w:tag w:val="_GBC_aec86f2481734c53a2a2b022c83d4449"/>
        <w:id w:val="-950781100"/>
        <w:placeholder>
          <w:docPart w:val="GBC22222222222222222222222222222"/>
        </w:placeholder>
      </w:sdtPr>
      <w:sdtEndPr/>
      <w:sdtContent>
        <w:p w14:paraId="2953BBF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319146125"/>
        <w:placeholder>
          <w:docPart w:val="GBC22222222222222222222222222222"/>
        </w:placeholder>
      </w:sdtPr>
      <w:sdtEndPr/>
      <w:sdtContent>
        <w:p w14:paraId="0C5E59B5" w14:textId="77777777" w:rsidR="00E57DAA" w:rsidRDefault="00AC4185">
          <w:pPr>
            <w:ind w:firstLineChars="3700" w:firstLine="7770"/>
            <w:rPr>
              <w:szCs w:val="21"/>
            </w:rPr>
          </w:pPr>
          <w:r>
            <w:rPr>
              <w:rFonts w:hint="eastAsia"/>
              <w:szCs w:val="21"/>
            </w:rPr>
            <w:t>单位：万元</w:t>
          </w:r>
        </w:p>
        <w:tbl>
          <w:tblPr>
            <w:tblStyle w:val="aff6"/>
            <w:tblW w:w="0" w:type="auto"/>
            <w:tblLook w:val="04A0" w:firstRow="1" w:lastRow="0" w:firstColumn="1" w:lastColumn="0" w:noHBand="0" w:noVBand="1"/>
          </w:tblPr>
          <w:tblGrid>
            <w:gridCol w:w="1089"/>
            <w:gridCol w:w="1091"/>
            <w:gridCol w:w="1091"/>
            <w:gridCol w:w="1102"/>
            <w:gridCol w:w="1116"/>
            <w:gridCol w:w="1116"/>
            <w:gridCol w:w="1116"/>
            <w:gridCol w:w="1102"/>
          </w:tblGrid>
          <w:tr w:rsidR="00E57DAA" w14:paraId="02983A34" w14:textId="77777777">
            <w:tc>
              <w:tcPr>
                <w:tcW w:w="1102" w:type="dxa"/>
              </w:tcPr>
              <w:p w14:paraId="1AA434F8" w14:textId="77777777" w:rsidR="00E57DAA" w:rsidRDefault="00AC4185" w:rsidP="00C25422">
                <w:pPr>
                  <w:pStyle w:val="92"/>
                </w:pPr>
                <w:r>
                  <w:t>公司名称</w:t>
                </w:r>
              </w:p>
            </w:tc>
            <w:tc>
              <w:tcPr>
                <w:tcW w:w="1103" w:type="dxa"/>
              </w:tcPr>
              <w:p w14:paraId="2890DB1F" w14:textId="77777777" w:rsidR="00E57DAA" w:rsidRDefault="00AC4185" w:rsidP="00C25422">
                <w:pPr>
                  <w:pStyle w:val="92"/>
                </w:pPr>
                <w:r>
                  <w:t>公司类型</w:t>
                </w:r>
              </w:p>
            </w:tc>
            <w:tc>
              <w:tcPr>
                <w:tcW w:w="1103" w:type="dxa"/>
              </w:tcPr>
              <w:p w14:paraId="5833039C" w14:textId="77777777" w:rsidR="00E57DAA" w:rsidRDefault="00AC4185" w:rsidP="00C25422">
                <w:pPr>
                  <w:pStyle w:val="92"/>
                </w:pPr>
                <w:r>
                  <w:t>主要产品或服务</w:t>
                </w:r>
              </w:p>
            </w:tc>
            <w:tc>
              <w:tcPr>
                <w:tcW w:w="1103" w:type="dxa"/>
              </w:tcPr>
              <w:p w14:paraId="381E5F39" w14:textId="77777777" w:rsidR="00E57DAA" w:rsidRDefault="00AC4185" w:rsidP="00C25422">
                <w:pPr>
                  <w:pStyle w:val="92"/>
                </w:pPr>
                <w:r>
                  <w:t>注册资本</w:t>
                </w:r>
              </w:p>
            </w:tc>
            <w:tc>
              <w:tcPr>
                <w:tcW w:w="1103" w:type="dxa"/>
              </w:tcPr>
              <w:p w14:paraId="0037E899" w14:textId="77777777" w:rsidR="00E57DAA" w:rsidRDefault="00AC4185" w:rsidP="00C25422">
                <w:pPr>
                  <w:pStyle w:val="92"/>
                </w:pPr>
                <w:r>
                  <w:t>总资产</w:t>
                </w:r>
              </w:p>
            </w:tc>
            <w:tc>
              <w:tcPr>
                <w:tcW w:w="1103" w:type="dxa"/>
              </w:tcPr>
              <w:p w14:paraId="7BE2F5B8" w14:textId="77777777" w:rsidR="00E57DAA" w:rsidRDefault="00AC4185" w:rsidP="00C25422">
                <w:pPr>
                  <w:pStyle w:val="92"/>
                </w:pPr>
                <w:r>
                  <w:t>净资产</w:t>
                </w:r>
              </w:p>
            </w:tc>
            <w:tc>
              <w:tcPr>
                <w:tcW w:w="1103" w:type="dxa"/>
              </w:tcPr>
              <w:p w14:paraId="4CF98044" w14:textId="77777777" w:rsidR="00E57DAA" w:rsidRDefault="00AC4185" w:rsidP="00C25422">
                <w:pPr>
                  <w:pStyle w:val="92"/>
                </w:pPr>
                <w:r>
                  <w:t>营业收入</w:t>
                </w:r>
              </w:p>
            </w:tc>
            <w:tc>
              <w:tcPr>
                <w:tcW w:w="1103" w:type="dxa"/>
              </w:tcPr>
              <w:p w14:paraId="1ABA92A3" w14:textId="77777777" w:rsidR="00E57DAA" w:rsidRDefault="00AC4185" w:rsidP="00C25422">
                <w:pPr>
                  <w:pStyle w:val="92"/>
                </w:pPr>
                <w:r>
                  <w:t>净利润</w:t>
                </w:r>
              </w:p>
            </w:tc>
          </w:tr>
          <w:tr w:rsidR="00E57DAA" w:rsidRPr="00C25422" w14:paraId="2E5CE24D" w14:textId="77777777">
            <w:tc>
              <w:tcPr>
                <w:tcW w:w="1102" w:type="dxa"/>
              </w:tcPr>
              <w:p w14:paraId="24FD9F34" w14:textId="77777777" w:rsidR="00E57DAA" w:rsidRPr="00C25422" w:rsidRDefault="00AC4185" w:rsidP="00C25422">
                <w:pPr>
                  <w:pStyle w:val="92"/>
                  <w:rPr>
                    <w:sz w:val="18"/>
                    <w:szCs w:val="18"/>
                  </w:rPr>
                </w:pPr>
                <w:r w:rsidRPr="00C25422">
                  <w:rPr>
                    <w:sz w:val="18"/>
                    <w:szCs w:val="18"/>
                  </w:rPr>
                  <w:t>天津水泥工业设计研究院有限公司</w:t>
                </w:r>
              </w:p>
            </w:tc>
            <w:tc>
              <w:tcPr>
                <w:tcW w:w="1103" w:type="dxa"/>
              </w:tcPr>
              <w:p w14:paraId="30D15E38" w14:textId="77777777" w:rsidR="00E57DAA" w:rsidRPr="00C25422" w:rsidRDefault="00AC4185" w:rsidP="00C25422">
                <w:pPr>
                  <w:pStyle w:val="92"/>
                  <w:rPr>
                    <w:sz w:val="18"/>
                    <w:szCs w:val="18"/>
                  </w:rPr>
                </w:pPr>
                <w:r w:rsidRPr="00C25422">
                  <w:rPr>
                    <w:sz w:val="18"/>
                    <w:szCs w:val="18"/>
                  </w:rPr>
                  <w:t>全资子公司</w:t>
                </w:r>
              </w:p>
            </w:tc>
            <w:tc>
              <w:tcPr>
                <w:tcW w:w="1103" w:type="dxa"/>
              </w:tcPr>
              <w:p w14:paraId="6B184A08" w14:textId="77777777" w:rsidR="00E57DAA" w:rsidRPr="00C25422" w:rsidRDefault="00AC4185" w:rsidP="00C25422">
                <w:pPr>
                  <w:pStyle w:val="92"/>
                  <w:rPr>
                    <w:sz w:val="18"/>
                    <w:szCs w:val="18"/>
                  </w:rPr>
                </w:pPr>
                <w:r w:rsidRPr="00C25422">
                  <w:rPr>
                    <w:sz w:val="18"/>
                    <w:szCs w:val="18"/>
                  </w:rPr>
                  <w:t>工程</w:t>
                </w:r>
                <w:r w:rsidRPr="00C25422">
                  <w:rPr>
                    <w:rFonts w:hint="eastAsia"/>
                    <w:sz w:val="18"/>
                    <w:szCs w:val="18"/>
                  </w:rPr>
                  <w:t>技术服务</w:t>
                </w:r>
              </w:p>
            </w:tc>
            <w:tc>
              <w:tcPr>
                <w:tcW w:w="1103" w:type="dxa"/>
              </w:tcPr>
              <w:p w14:paraId="1DDCFDE2" w14:textId="77777777" w:rsidR="00E57DAA" w:rsidRPr="00C25422" w:rsidRDefault="00AC4185" w:rsidP="00C25422">
                <w:pPr>
                  <w:pStyle w:val="92"/>
                  <w:jc w:val="right"/>
                  <w:rPr>
                    <w:sz w:val="18"/>
                    <w:szCs w:val="18"/>
                  </w:rPr>
                </w:pPr>
                <w:r w:rsidRPr="00C25422">
                  <w:rPr>
                    <w:sz w:val="18"/>
                    <w:szCs w:val="18"/>
                  </w:rPr>
                  <w:t>33,858.00</w:t>
                </w:r>
              </w:p>
            </w:tc>
            <w:tc>
              <w:tcPr>
                <w:tcW w:w="1103" w:type="dxa"/>
              </w:tcPr>
              <w:p w14:paraId="42048D03" w14:textId="77777777" w:rsidR="00E57DAA" w:rsidRPr="00C25422" w:rsidRDefault="00AC4185" w:rsidP="00C25422">
                <w:pPr>
                  <w:pStyle w:val="92"/>
                  <w:jc w:val="right"/>
                  <w:rPr>
                    <w:sz w:val="18"/>
                    <w:szCs w:val="18"/>
                  </w:rPr>
                </w:pPr>
                <w:r w:rsidRPr="00C25422">
                  <w:rPr>
                    <w:sz w:val="18"/>
                    <w:szCs w:val="18"/>
                  </w:rPr>
                  <w:t>974,943.93</w:t>
                </w:r>
              </w:p>
            </w:tc>
            <w:tc>
              <w:tcPr>
                <w:tcW w:w="1103" w:type="dxa"/>
              </w:tcPr>
              <w:p w14:paraId="43A271A0" w14:textId="77777777" w:rsidR="00E57DAA" w:rsidRPr="00C25422" w:rsidRDefault="00AC4185" w:rsidP="00C25422">
                <w:pPr>
                  <w:pStyle w:val="92"/>
                  <w:jc w:val="right"/>
                  <w:rPr>
                    <w:sz w:val="18"/>
                    <w:szCs w:val="18"/>
                  </w:rPr>
                </w:pPr>
                <w:r w:rsidRPr="00C25422">
                  <w:rPr>
                    <w:sz w:val="18"/>
                    <w:szCs w:val="18"/>
                  </w:rPr>
                  <w:t>387,752.31</w:t>
                </w:r>
              </w:p>
            </w:tc>
            <w:tc>
              <w:tcPr>
                <w:tcW w:w="1103" w:type="dxa"/>
              </w:tcPr>
              <w:p w14:paraId="49EDD02E" w14:textId="77777777" w:rsidR="00E57DAA" w:rsidRPr="00C25422" w:rsidRDefault="00AC4185" w:rsidP="00C25422">
                <w:pPr>
                  <w:pStyle w:val="92"/>
                  <w:jc w:val="right"/>
                  <w:rPr>
                    <w:sz w:val="18"/>
                    <w:szCs w:val="18"/>
                  </w:rPr>
                </w:pPr>
                <w:r w:rsidRPr="00C25422">
                  <w:rPr>
                    <w:sz w:val="18"/>
                    <w:szCs w:val="18"/>
                  </w:rPr>
                  <w:t>595,232.53</w:t>
                </w:r>
              </w:p>
            </w:tc>
            <w:tc>
              <w:tcPr>
                <w:tcW w:w="1103" w:type="dxa"/>
              </w:tcPr>
              <w:p w14:paraId="4358525F" w14:textId="77777777" w:rsidR="00E57DAA" w:rsidRPr="00C25422" w:rsidRDefault="00AC4185" w:rsidP="00C25422">
                <w:pPr>
                  <w:pStyle w:val="92"/>
                  <w:jc w:val="right"/>
                  <w:rPr>
                    <w:sz w:val="18"/>
                    <w:szCs w:val="18"/>
                  </w:rPr>
                </w:pPr>
                <w:r w:rsidRPr="00C25422">
                  <w:rPr>
                    <w:sz w:val="18"/>
                    <w:szCs w:val="18"/>
                  </w:rPr>
                  <w:t>52,548.32</w:t>
                </w:r>
              </w:p>
            </w:tc>
          </w:tr>
          <w:tr w:rsidR="00E57DAA" w:rsidRPr="00C25422" w14:paraId="0C63D4BA" w14:textId="77777777">
            <w:tc>
              <w:tcPr>
                <w:tcW w:w="1102" w:type="dxa"/>
              </w:tcPr>
              <w:p w14:paraId="3C626B01" w14:textId="77777777" w:rsidR="00E57DAA" w:rsidRPr="00C25422" w:rsidRDefault="00AC4185" w:rsidP="00C25422">
                <w:pPr>
                  <w:pStyle w:val="92"/>
                  <w:rPr>
                    <w:sz w:val="18"/>
                    <w:szCs w:val="18"/>
                  </w:rPr>
                </w:pPr>
                <w:r w:rsidRPr="00C25422">
                  <w:rPr>
                    <w:sz w:val="18"/>
                    <w:szCs w:val="18"/>
                  </w:rPr>
                  <w:t>成都建筑材料工业设计研究院有限公司</w:t>
                </w:r>
              </w:p>
            </w:tc>
            <w:tc>
              <w:tcPr>
                <w:tcW w:w="1103" w:type="dxa"/>
              </w:tcPr>
              <w:p w14:paraId="26AFE6B2" w14:textId="77777777" w:rsidR="00E57DAA" w:rsidRPr="00C25422" w:rsidRDefault="00AC4185" w:rsidP="00C25422">
                <w:pPr>
                  <w:pStyle w:val="92"/>
                  <w:rPr>
                    <w:sz w:val="18"/>
                    <w:szCs w:val="18"/>
                  </w:rPr>
                </w:pPr>
                <w:r w:rsidRPr="00C25422">
                  <w:rPr>
                    <w:sz w:val="18"/>
                    <w:szCs w:val="18"/>
                  </w:rPr>
                  <w:t>全资子公司</w:t>
                </w:r>
              </w:p>
            </w:tc>
            <w:tc>
              <w:tcPr>
                <w:tcW w:w="1103" w:type="dxa"/>
              </w:tcPr>
              <w:p w14:paraId="453212A1" w14:textId="77777777" w:rsidR="00E57DAA" w:rsidRPr="00C25422" w:rsidRDefault="00AC4185" w:rsidP="00C25422">
                <w:pPr>
                  <w:pStyle w:val="92"/>
                  <w:rPr>
                    <w:sz w:val="18"/>
                    <w:szCs w:val="18"/>
                  </w:rPr>
                </w:pPr>
                <w:r w:rsidRPr="00C25422">
                  <w:rPr>
                    <w:rFonts w:hint="eastAsia"/>
                    <w:sz w:val="18"/>
                    <w:szCs w:val="18"/>
                  </w:rPr>
                  <w:t>工程技术服务</w:t>
                </w:r>
              </w:p>
            </w:tc>
            <w:tc>
              <w:tcPr>
                <w:tcW w:w="1103" w:type="dxa"/>
              </w:tcPr>
              <w:p w14:paraId="2D018DC5" w14:textId="77777777" w:rsidR="00E57DAA" w:rsidRPr="00C25422" w:rsidRDefault="00AC4185" w:rsidP="00C25422">
                <w:pPr>
                  <w:pStyle w:val="92"/>
                  <w:jc w:val="right"/>
                  <w:rPr>
                    <w:sz w:val="18"/>
                    <w:szCs w:val="18"/>
                  </w:rPr>
                </w:pPr>
                <w:r w:rsidRPr="00C25422">
                  <w:rPr>
                    <w:sz w:val="18"/>
                    <w:szCs w:val="18"/>
                  </w:rPr>
                  <w:t>6,000.00</w:t>
                </w:r>
              </w:p>
            </w:tc>
            <w:tc>
              <w:tcPr>
                <w:tcW w:w="1103" w:type="dxa"/>
              </w:tcPr>
              <w:p w14:paraId="2FA88BE5" w14:textId="77777777" w:rsidR="00E57DAA" w:rsidRPr="00C25422" w:rsidRDefault="00AC4185" w:rsidP="00C25422">
                <w:pPr>
                  <w:pStyle w:val="92"/>
                  <w:jc w:val="right"/>
                  <w:rPr>
                    <w:sz w:val="18"/>
                    <w:szCs w:val="18"/>
                  </w:rPr>
                </w:pPr>
                <w:r w:rsidRPr="00C25422">
                  <w:rPr>
                    <w:sz w:val="18"/>
                    <w:szCs w:val="18"/>
                  </w:rPr>
                  <w:t>661,151.88</w:t>
                </w:r>
              </w:p>
            </w:tc>
            <w:tc>
              <w:tcPr>
                <w:tcW w:w="1103" w:type="dxa"/>
              </w:tcPr>
              <w:p w14:paraId="700B950C" w14:textId="77777777" w:rsidR="00E57DAA" w:rsidRPr="00C25422" w:rsidRDefault="00AC4185" w:rsidP="00C25422">
                <w:pPr>
                  <w:pStyle w:val="92"/>
                  <w:jc w:val="right"/>
                  <w:rPr>
                    <w:sz w:val="18"/>
                    <w:szCs w:val="18"/>
                  </w:rPr>
                </w:pPr>
                <w:r w:rsidRPr="00C25422">
                  <w:rPr>
                    <w:sz w:val="18"/>
                    <w:szCs w:val="18"/>
                  </w:rPr>
                  <w:t>157,856.90</w:t>
                </w:r>
              </w:p>
            </w:tc>
            <w:tc>
              <w:tcPr>
                <w:tcW w:w="1103" w:type="dxa"/>
              </w:tcPr>
              <w:p w14:paraId="0761EACB" w14:textId="77777777" w:rsidR="00E57DAA" w:rsidRPr="00C25422" w:rsidRDefault="00AC4185" w:rsidP="00C25422">
                <w:pPr>
                  <w:pStyle w:val="92"/>
                  <w:jc w:val="right"/>
                  <w:rPr>
                    <w:sz w:val="18"/>
                    <w:szCs w:val="18"/>
                  </w:rPr>
                </w:pPr>
                <w:r w:rsidRPr="00C25422">
                  <w:rPr>
                    <w:sz w:val="18"/>
                    <w:szCs w:val="18"/>
                  </w:rPr>
                  <w:t>320,428.69</w:t>
                </w:r>
              </w:p>
            </w:tc>
            <w:tc>
              <w:tcPr>
                <w:tcW w:w="1103" w:type="dxa"/>
              </w:tcPr>
              <w:p w14:paraId="527923EB" w14:textId="77777777" w:rsidR="00E57DAA" w:rsidRPr="00C25422" w:rsidRDefault="00AC4185" w:rsidP="00C25422">
                <w:pPr>
                  <w:pStyle w:val="92"/>
                  <w:jc w:val="right"/>
                  <w:rPr>
                    <w:sz w:val="18"/>
                    <w:szCs w:val="18"/>
                  </w:rPr>
                </w:pPr>
                <w:r w:rsidRPr="00C25422">
                  <w:rPr>
                    <w:sz w:val="18"/>
                    <w:szCs w:val="18"/>
                  </w:rPr>
                  <w:t>23,290.03</w:t>
                </w:r>
              </w:p>
            </w:tc>
          </w:tr>
          <w:tr w:rsidR="00E57DAA" w:rsidRPr="00C25422" w14:paraId="26EB8A70" w14:textId="77777777">
            <w:tc>
              <w:tcPr>
                <w:tcW w:w="1102" w:type="dxa"/>
              </w:tcPr>
              <w:p w14:paraId="6CE49BB0" w14:textId="77777777" w:rsidR="00E57DAA" w:rsidRPr="00C25422" w:rsidRDefault="00AC4185" w:rsidP="00C25422">
                <w:pPr>
                  <w:pStyle w:val="92"/>
                  <w:rPr>
                    <w:sz w:val="18"/>
                    <w:szCs w:val="18"/>
                  </w:rPr>
                </w:pPr>
                <w:r w:rsidRPr="00C25422">
                  <w:rPr>
                    <w:sz w:val="18"/>
                    <w:szCs w:val="18"/>
                  </w:rPr>
                  <w:t>合肥水泥研究设计院有限公司</w:t>
                </w:r>
              </w:p>
            </w:tc>
            <w:tc>
              <w:tcPr>
                <w:tcW w:w="1103" w:type="dxa"/>
              </w:tcPr>
              <w:p w14:paraId="1935B104" w14:textId="77777777" w:rsidR="00E57DAA" w:rsidRPr="00C25422" w:rsidRDefault="00AC4185" w:rsidP="00C25422">
                <w:pPr>
                  <w:pStyle w:val="92"/>
                  <w:rPr>
                    <w:sz w:val="18"/>
                    <w:szCs w:val="18"/>
                  </w:rPr>
                </w:pPr>
                <w:r w:rsidRPr="00C25422">
                  <w:rPr>
                    <w:sz w:val="18"/>
                    <w:szCs w:val="18"/>
                  </w:rPr>
                  <w:t>全资子公司</w:t>
                </w:r>
              </w:p>
            </w:tc>
            <w:tc>
              <w:tcPr>
                <w:tcW w:w="1103" w:type="dxa"/>
              </w:tcPr>
              <w:p w14:paraId="3BD4A684" w14:textId="77777777" w:rsidR="00E57DAA" w:rsidRPr="00C25422" w:rsidRDefault="00AC4185" w:rsidP="00C25422">
                <w:pPr>
                  <w:pStyle w:val="92"/>
                  <w:rPr>
                    <w:sz w:val="18"/>
                    <w:szCs w:val="18"/>
                  </w:rPr>
                </w:pPr>
                <w:r w:rsidRPr="00C25422">
                  <w:rPr>
                    <w:rFonts w:hint="eastAsia"/>
                    <w:sz w:val="18"/>
                    <w:szCs w:val="18"/>
                  </w:rPr>
                  <w:t>高端</w:t>
                </w:r>
                <w:r w:rsidRPr="00C25422">
                  <w:rPr>
                    <w:sz w:val="18"/>
                    <w:szCs w:val="18"/>
                  </w:rPr>
                  <w:t>装备制造</w:t>
                </w:r>
              </w:p>
            </w:tc>
            <w:tc>
              <w:tcPr>
                <w:tcW w:w="1103" w:type="dxa"/>
              </w:tcPr>
              <w:p w14:paraId="6804FB67" w14:textId="77777777" w:rsidR="00E57DAA" w:rsidRPr="00C25422" w:rsidRDefault="00AC4185" w:rsidP="00C25422">
                <w:pPr>
                  <w:pStyle w:val="92"/>
                  <w:jc w:val="right"/>
                  <w:rPr>
                    <w:sz w:val="18"/>
                    <w:szCs w:val="18"/>
                  </w:rPr>
                </w:pPr>
                <w:r w:rsidRPr="00C25422">
                  <w:rPr>
                    <w:sz w:val="18"/>
                    <w:szCs w:val="18"/>
                  </w:rPr>
                  <w:t>98,252.10</w:t>
                </w:r>
              </w:p>
            </w:tc>
            <w:tc>
              <w:tcPr>
                <w:tcW w:w="1103" w:type="dxa"/>
              </w:tcPr>
              <w:p w14:paraId="222D9C60" w14:textId="77777777" w:rsidR="00E57DAA" w:rsidRPr="00C25422" w:rsidRDefault="00AC4185" w:rsidP="00C25422">
                <w:pPr>
                  <w:pStyle w:val="92"/>
                  <w:jc w:val="right"/>
                  <w:rPr>
                    <w:sz w:val="18"/>
                    <w:szCs w:val="18"/>
                  </w:rPr>
                </w:pPr>
                <w:r w:rsidRPr="00C25422">
                  <w:rPr>
                    <w:sz w:val="18"/>
                    <w:szCs w:val="18"/>
                  </w:rPr>
                  <w:t>660,025.02</w:t>
                </w:r>
              </w:p>
            </w:tc>
            <w:tc>
              <w:tcPr>
                <w:tcW w:w="1103" w:type="dxa"/>
              </w:tcPr>
              <w:p w14:paraId="4AD4CF50" w14:textId="77777777" w:rsidR="00E57DAA" w:rsidRPr="00C25422" w:rsidRDefault="00AC4185" w:rsidP="00C25422">
                <w:pPr>
                  <w:pStyle w:val="92"/>
                  <w:jc w:val="right"/>
                  <w:rPr>
                    <w:sz w:val="18"/>
                    <w:szCs w:val="18"/>
                  </w:rPr>
                </w:pPr>
                <w:r w:rsidRPr="00C25422">
                  <w:rPr>
                    <w:sz w:val="18"/>
                    <w:szCs w:val="18"/>
                  </w:rPr>
                  <w:t>382,456.56</w:t>
                </w:r>
              </w:p>
            </w:tc>
            <w:tc>
              <w:tcPr>
                <w:tcW w:w="1103" w:type="dxa"/>
              </w:tcPr>
              <w:p w14:paraId="612211FE" w14:textId="77777777" w:rsidR="00E57DAA" w:rsidRPr="00C25422" w:rsidRDefault="00AC4185" w:rsidP="00C25422">
                <w:pPr>
                  <w:pStyle w:val="92"/>
                  <w:jc w:val="right"/>
                  <w:rPr>
                    <w:sz w:val="18"/>
                    <w:szCs w:val="18"/>
                  </w:rPr>
                </w:pPr>
                <w:r w:rsidRPr="00C25422">
                  <w:rPr>
                    <w:sz w:val="18"/>
                    <w:szCs w:val="18"/>
                  </w:rPr>
                  <w:t>374,093.03</w:t>
                </w:r>
              </w:p>
            </w:tc>
            <w:tc>
              <w:tcPr>
                <w:tcW w:w="1103" w:type="dxa"/>
              </w:tcPr>
              <w:p w14:paraId="7319269F" w14:textId="77777777" w:rsidR="00E57DAA" w:rsidRPr="00C25422" w:rsidRDefault="00AC4185" w:rsidP="00C25422">
                <w:pPr>
                  <w:pStyle w:val="92"/>
                  <w:jc w:val="right"/>
                  <w:rPr>
                    <w:sz w:val="18"/>
                    <w:szCs w:val="18"/>
                  </w:rPr>
                </w:pPr>
                <w:r w:rsidRPr="00C25422">
                  <w:rPr>
                    <w:sz w:val="18"/>
                    <w:szCs w:val="18"/>
                  </w:rPr>
                  <w:t>53,499.17</w:t>
                </w:r>
              </w:p>
            </w:tc>
          </w:tr>
          <w:tr w:rsidR="00E57DAA" w:rsidRPr="00C25422" w14:paraId="138AE4E6" w14:textId="77777777">
            <w:tc>
              <w:tcPr>
                <w:tcW w:w="1102" w:type="dxa"/>
              </w:tcPr>
              <w:p w14:paraId="352ABB16" w14:textId="77777777" w:rsidR="00E57DAA" w:rsidRPr="00C25422" w:rsidRDefault="00AC4185" w:rsidP="00C25422">
                <w:pPr>
                  <w:pStyle w:val="92"/>
                  <w:rPr>
                    <w:sz w:val="18"/>
                    <w:szCs w:val="18"/>
                  </w:rPr>
                </w:pPr>
                <w:r w:rsidRPr="00C25422">
                  <w:rPr>
                    <w:sz w:val="18"/>
                    <w:szCs w:val="18"/>
                  </w:rPr>
                  <w:t>中材建设有限公司</w:t>
                </w:r>
              </w:p>
            </w:tc>
            <w:tc>
              <w:tcPr>
                <w:tcW w:w="1103" w:type="dxa"/>
              </w:tcPr>
              <w:p w14:paraId="43581103" w14:textId="77777777" w:rsidR="00E57DAA" w:rsidRPr="00C25422" w:rsidRDefault="00AC4185" w:rsidP="00C25422">
                <w:pPr>
                  <w:pStyle w:val="92"/>
                  <w:rPr>
                    <w:sz w:val="18"/>
                    <w:szCs w:val="18"/>
                  </w:rPr>
                </w:pPr>
                <w:r w:rsidRPr="00C25422">
                  <w:rPr>
                    <w:sz w:val="18"/>
                    <w:szCs w:val="18"/>
                  </w:rPr>
                  <w:t>全资子公司</w:t>
                </w:r>
              </w:p>
            </w:tc>
            <w:tc>
              <w:tcPr>
                <w:tcW w:w="1103" w:type="dxa"/>
              </w:tcPr>
              <w:p w14:paraId="249167A6" w14:textId="77777777" w:rsidR="00E57DAA" w:rsidRPr="00C25422" w:rsidRDefault="00AC4185" w:rsidP="00C25422">
                <w:pPr>
                  <w:pStyle w:val="92"/>
                  <w:rPr>
                    <w:sz w:val="18"/>
                    <w:szCs w:val="18"/>
                  </w:rPr>
                </w:pPr>
                <w:r w:rsidRPr="00C25422">
                  <w:rPr>
                    <w:rFonts w:hint="eastAsia"/>
                    <w:sz w:val="18"/>
                    <w:szCs w:val="18"/>
                  </w:rPr>
                  <w:t>工程技术服务</w:t>
                </w:r>
              </w:p>
            </w:tc>
            <w:tc>
              <w:tcPr>
                <w:tcW w:w="1103" w:type="dxa"/>
              </w:tcPr>
              <w:p w14:paraId="794210AF" w14:textId="77777777" w:rsidR="00E57DAA" w:rsidRPr="00C25422" w:rsidRDefault="00AC4185" w:rsidP="00C25422">
                <w:pPr>
                  <w:pStyle w:val="92"/>
                  <w:jc w:val="right"/>
                  <w:rPr>
                    <w:sz w:val="18"/>
                    <w:szCs w:val="18"/>
                  </w:rPr>
                </w:pPr>
                <w:r w:rsidRPr="00C25422">
                  <w:rPr>
                    <w:sz w:val="18"/>
                    <w:szCs w:val="18"/>
                  </w:rPr>
                  <w:t>7,258.02</w:t>
                </w:r>
              </w:p>
            </w:tc>
            <w:tc>
              <w:tcPr>
                <w:tcW w:w="1103" w:type="dxa"/>
              </w:tcPr>
              <w:p w14:paraId="7687116B" w14:textId="77777777" w:rsidR="00E57DAA" w:rsidRPr="00C25422" w:rsidRDefault="00AC4185" w:rsidP="00C25422">
                <w:pPr>
                  <w:pStyle w:val="92"/>
                  <w:jc w:val="right"/>
                  <w:rPr>
                    <w:sz w:val="18"/>
                    <w:szCs w:val="18"/>
                  </w:rPr>
                </w:pPr>
                <w:r w:rsidRPr="00C25422">
                  <w:rPr>
                    <w:sz w:val="18"/>
                    <w:szCs w:val="18"/>
                  </w:rPr>
                  <w:t>614,383.57</w:t>
                </w:r>
              </w:p>
            </w:tc>
            <w:tc>
              <w:tcPr>
                <w:tcW w:w="1103" w:type="dxa"/>
              </w:tcPr>
              <w:p w14:paraId="36B41BD9" w14:textId="77777777" w:rsidR="00E57DAA" w:rsidRPr="00C25422" w:rsidRDefault="00AC4185" w:rsidP="00C25422">
                <w:pPr>
                  <w:pStyle w:val="92"/>
                  <w:jc w:val="right"/>
                  <w:rPr>
                    <w:sz w:val="18"/>
                    <w:szCs w:val="18"/>
                  </w:rPr>
                </w:pPr>
                <w:r w:rsidRPr="00C25422">
                  <w:rPr>
                    <w:sz w:val="18"/>
                    <w:szCs w:val="18"/>
                  </w:rPr>
                  <w:t>313,445.00</w:t>
                </w:r>
              </w:p>
            </w:tc>
            <w:tc>
              <w:tcPr>
                <w:tcW w:w="1103" w:type="dxa"/>
              </w:tcPr>
              <w:p w14:paraId="369D35EA" w14:textId="77777777" w:rsidR="00E57DAA" w:rsidRPr="00C25422" w:rsidRDefault="00AC4185" w:rsidP="00C25422">
                <w:pPr>
                  <w:pStyle w:val="92"/>
                  <w:jc w:val="right"/>
                  <w:rPr>
                    <w:sz w:val="18"/>
                    <w:szCs w:val="18"/>
                  </w:rPr>
                </w:pPr>
                <w:r w:rsidRPr="00C25422">
                  <w:rPr>
                    <w:sz w:val="18"/>
                    <w:szCs w:val="18"/>
                  </w:rPr>
                  <w:t>533,116.71</w:t>
                </w:r>
              </w:p>
            </w:tc>
            <w:tc>
              <w:tcPr>
                <w:tcW w:w="1103" w:type="dxa"/>
              </w:tcPr>
              <w:p w14:paraId="482A22EE" w14:textId="77777777" w:rsidR="00E57DAA" w:rsidRPr="00C25422" w:rsidRDefault="00AC4185" w:rsidP="00C25422">
                <w:pPr>
                  <w:pStyle w:val="92"/>
                  <w:jc w:val="right"/>
                  <w:rPr>
                    <w:sz w:val="18"/>
                    <w:szCs w:val="18"/>
                  </w:rPr>
                </w:pPr>
                <w:r w:rsidRPr="00C25422">
                  <w:rPr>
                    <w:sz w:val="18"/>
                    <w:szCs w:val="18"/>
                  </w:rPr>
                  <w:t>50,510.55</w:t>
                </w:r>
              </w:p>
            </w:tc>
          </w:tr>
          <w:tr w:rsidR="00E57DAA" w:rsidRPr="00C25422" w14:paraId="5ACE4C00" w14:textId="77777777">
            <w:tc>
              <w:tcPr>
                <w:tcW w:w="1102" w:type="dxa"/>
              </w:tcPr>
              <w:p w14:paraId="527BF643" w14:textId="77777777" w:rsidR="00E57DAA" w:rsidRPr="00C25422" w:rsidRDefault="00AC4185" w:rsidP="00C25422">
                <w:pPr>
                  <w:pStyle w:val="92"/>
                  <w:rPr>
                    <w:sz w:val="18"/>
                    <w:szCs w:val="18"/>
                  </w:rPr>
                </w:pPr>
                <w:r w:rsidRPr="00C25422">
                  <w:rPr>
                    <w:sz w:val="18"/>
                    <w:szCs w:val="18"/>
                  </w:rPr>
                  <w:t>中材矿山建设有限公司</w:t>
                </w:r>
              </w:p>
            </w:tc>
            <w:tc>
              <w:tcPr>
                <w:tcW w:w="1103" w:type="dxa"/>
              </w:tcPr>
              <w:p w14:paraId="78A356B5" w14:textId="77777777" w:rsidR="00E57DAA" w:rsidRPr="00C25422" w:rsidRDefault="00AC4185" w:rsidP="00C25422">
                <w:pPr>
                  <w:pStyle w:val="92"/>
                  <w:rPr>
                    <w:sz w:val="18"/>
                    <w:szCs w:val="18"/>
                  </w:rPr>
                </w:pPr>
                <w:r w:rsidRPr="00C25422">
                  <w:rPr>
                    <w:sz w:val="18"/>
                    <w:szCs w:val="18"/>
                  </w:rPr>
                  <w:t>全资子公司</w:t>
                </w:r>
              </w:p>
            </w:tc>
            <w:tc>
              <w:tcPr>
                <w:tcW w:w="1103" w:type="dxa"/>
              </w:tcPr>
              <w:p w14:paraId="2D424CF3" w14:textId="77777777" w:rsidR="00E57DAA" w:rsidRPr="00C25422" w:rsidRDefault="00AC4185" w:rsidP="00C25422">
                <w:pPr>
                  <w:pStyle w:val="92"/>
                  <w:rPr>
                    <w:sz w:val="18"/>
                    <w:szCs w:val="18"/>
                  </w:rPr>
                </w:pPr>
                <w:r w:rsidRPr="00C25422">
                  <w:rPr>
                    <w:sz w:val="18"/>
                    <w:szCs w:val="18"/>
                  </w:rPr>
                  <w:t>采矿工程服务</w:t>
                </w:r>
              </w:p>
            </w:tc>
            <w:tc>
              <w:tcPr>
                <w:tcW w:w="1103" w:type="dxa"/>
              </w:tcPr>
              <w:p w14:paraId="638ECF08" w14:textId="77777777" w:rsidR="00E57DAA" w:rsidRPr="00C25422" w:rsidRDefault="00AC4185" w:rsidP="00C25422">
                <w:pPr>
                  <w:pStyle w:val="92"/>
                  <w:jc w:val="right"/>
                  <w:rPr>
                    <w:sz w:val="18"/>
                    <w:szCs w:val="18"/>
                  </w:rPr>
                </w:pPr>
                <w:r w:rsidRPr="00C25422">
                  <w:rPr>
                    <w:sz w:val="18"/>
                    <w:szCs w:val="18"/>
                  </w:rPr>
                  <w:t>25,000.00</w:t>
                </w:r>
              </w:p>
            </w:tc>
            <w:tc>
              <w:tcPr>
                <w:tcW w:w="1103" w:type="dxa"/>
              </w:tcPr>
              <w:p w14:paraId="78A94E0E" w14:textId="77777777" w:rsidR="00E57DAA" w:rsidRPr="00C25422" w:rsidRDefault="00AC4185" w:rsidP="00C25422">
                <w:pPr>
                  <w:pStyle w:val="92"/>
                  <w:jc w:val="right"/>
                  <w:rPr>
                    <w:sz w:val="18"/>
                    <w:szCs w:val="18"/>
                  </w:rPr>
                </w:pPr>
                <w:r w:rsidRPr="00C25422">
                  <w:rPr>
                    <w:sz w:val="18"/>
                    <w:szCs w:val="18"/>
                  </w:rPr>
                  <w:t>599,563.41</w:t>
                </w:r>
              </w:p>
            </w:tc>
            <w:tc>
              <w:tcPr>
                <w:tcW w:w="1103" w:type="dxa"/>
              </w:tcPr>
              <w:p w14:paraId="12245B5C" w14:textId="77777777" w:rsidR="00E57DAA" w:rsidRPr="00C25422" w:rsidRDefault="00AC4185" w:rsidP="00C25422">
                <w:pPr>
                  <w:pStyle w:val="92"/>
                  <w:jc w:val="right"/>
                  <w:rPr>
                    <w:sz w:val="18"/>
                    <w:szCs w:val="18"/>
                  </w:rPr>
                </w:pPr>
                <w:r w:rsidRPr="00C25422">
                  <w:rPr>
                    <w:sz w:val="18"/>
                    <w:szCs w:val="18"/>
                  </w:rPr>
                  <w:t>275,763.76</w:t>
                </w:r>
              </w:p>
            </w:tc>
            <w:tc>
              <w:tcPr>
                <w:tcW w:w="1103" w:type="dxa"/>
              </w:tcPr>
              <w:p w14:paraId="17D19E08" w14:textId="77777777" w:rsidR="00E57DAA" w:rsidRPr="00C25422" w:rsidRDefault="00AC4185" w:rsidP="00C25422">
                <w:pPr>
                  <w:pStyle w:val="92"/>
                  <w:jc w:val="right"/>
                  <w:rPr>
                    <w:sz w:val="18"/>
                    <w:szCs w:val="18"/>
                  </w:rPr>
                </w:pPr>
                <w:r w:rsidRPr="00C25422">
                  <w:rPr>
                    <w:sz w:val="18"/>
                    <w:szCs w:val="18"/>
                  </w:rPr>
                  <w:t>916,644.35</w:t>
                </w:r>
              </w:p>
            </w:tc>
            <w:tc>
              <w:tcPr>
                <w:tcW w:w="1103" w:type="dxa"/>
              </w:tcPr>
              <w:p w14:paraId="5FA868EE" w14:textId="77777777" w:rsidR="00E57DAA" w:rsidRPr="00C25422" w:rsidRDefault="00AC4185" w:rsidP="00C25422">
                <w:pPr>
                  <w:pStyle w:val="92"/>
                  <w:jc w:val="right"/>
                  <w:rPr>
                    <w:sz w:val="18"/>
                    <w:szCs w:val="18"/>
                  </w:rPr>
                </w:pPr>
                <w:r w:rsidRPr="00C25422">
                  <w:rPr>
                    <w:sz w:val="18"/>
                    <w:szCs w:val="18"/>
                  </w:rPr>
                  <w:t>68,320.03</w:t>
                </w:r>
              </w:p>
            </w:tc>
          </w:tr>
        </w:tbl>
        <w:p w14:paraId="3746782A" w14:textId="77777777" w:rsidR="00E57DAA" w:rsidRDefault="00EB41A1">
          <w:pPr>
            <w:rPr>
              <w:szCs w:val="21"/>
            </w:rPr>
          </w:pPr>
        </w:p>
      </w:sdtContent>
    </w:sdt>
    <w:p w14:paraId="257CA6C5" w14:textId="77777777" w:rsidR="00E57DAA" w:rsidRDefault="00AC4185">
      <w:pPr>
        <w:pStyle w:val="3"/>
        <w:numPr>
          <w:ilvl w:val="0"/>
          <w:numId w:val="9"/>
        </w:numPr>
      </w:pPr>
      <w:r>
        <w:t>公司控制的</w:t>
      </w:r>
      <w:r>
        <w:rPr>
          <w:rFonts w:hint="eastAsia"/>
        </w:rPr>
        <w:t>结构化</w:t>
      </w:r>
      <w:r>
        <w:t>主体情况</w:t>
      </w:r>
    </w:p>
    <w:sdt>
      <w:sdtPr>
        <w:rPr>
          <w:rFonts w:hint="eastAsia"/>
          <w:szCs w:val="21"/>
        </w:rPr>
        <w:alias w:val="是否适用：公司控制的结构化主体情况[双击切换]"/>
        <w:tag w:val="_GBC_844e5a5ece8c488e933f7fbfd0650339"/>
        <w:id w:val="-1871903344"/>
        <w:placeholder>
          <w:docPart w:val="GBC22222222222222222222222222222"/>
        </w:placeholder>
      </w:sdtPr>
      <w:sdtEndPr/>
      <w:sdtContent>
        <w:p w14:paraId="3A16A04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103717" w14:textId="77777777" w:rsidR="00E57DAA" w:rsidRDefault="00E57DAA">
      <w:pPr>
        <w:rPr>
          <w:szCs w:val="21"/>
        </w:rPr>
      </w:pPr>
    </w:p>
    <w:p w14:paraId="361E18AA" w14:textId="77777777" w:rsidR="00E57DAA" w:rsidRDefault="00AC4185">
      <w:pPr>
        <w:pStyle w:val="2"/>
        <w:numPr>
          <w:ilvl w:val="0"/>
          <w:numId w:val="8"/>
        </w:numPr>
      </w:pPr>
      <w:r>
        <w:rPr>
          <w:rFonts w:hint="eastAsia"/>
        </w:rPr>
        <w:lastRenderedPageBreak/>
        <w:t>公司</w:t>
      </w:r>
      <w:r>
        <w:t>关于公司未来发展的讨论与分析</w:t>
      </w:r>
    </w:p>
    <w:p w14:paraId="3BA50B26" w14:textId="77777777" w:rsidR="00E57DAA" w:rsidRDefault="00AC4185">
      <w:pPr>
        <w:pStyle w:val="3"/>
      </w:pPr>
      <w:r>
        <w:rPr>
          <w:rFonts w:hint="eastAsia"/>
        </w:rPr>
        <w:t>（一）</w:t>
      </w:r>
      <w:r>
        <w:t>行业格局和趋势</w:t>
      </w:r>
    </w:p>
    <w:sdt>
      <w:sdtPr>
        <w:rPr>
          <w:rFonts w:hint="eastAsia"/>
          <w:szCs w:val="21"/>
        </w:rPr>
        <w:alias w:val="是否适用：行业格局和趋势[双击切换]"/>
        <w:tag w:val="_GBC_da53e2a4423f4116b5d03ba76b630af9"/>
        <w:id w:val="-1661308320"/>
        <w:placeholder>
          <w:docPart w:val="GBC22222222222222222222222222222"/>
        </w:placeholder>
      </w:sdtPr>
      <w:sdtEndPr/>
      <w:sdtContent>
        <w:p w14:paraId="45A97F08"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73" w:name="_Toc10003" w:displacedByCustomXml="next"/>
    <w:bookmarkStart w:id="74" w:name="_Hlk162339633" w:displacedByCustomXml="next"/>
    <w:sdt>
      <w:sdtPr>
        <w:rPr>
          <w:rFonts w:hint="eastAsia"/>
          <w:szCs w:val="21"/>
        </w:rPr>
        <w:alias w:val="行业竞争格局和发展趋势"/>
        <w:tag w:val="_GBC_c38788dc300c4c4592543c5db64e9308"/>
        <w:id w:val="650025060"/>
        <w:placeholder>
          <w:docPart w:val="GBC22222222222222222222222222222"/>
        </w:placeholder>
      </w:sdtPr>
      <w:sdtEndPr/>
      <w:sdtContent>
        <w:p w14:paraId="127B21A9" w14:textId="77777777" w:rsidR="00E57DAA" w:rsidRDefault="00AC4185">
          <w:pPr>
            <w:spacing w:line="276" w:lineRule="auto"/>
            <w:ind w:firstLineChars="200" w:firstLine="420"/>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1、水泥工程</w:t>
          </w:r>
          <w:bookmarkEnd w:id="73"/>
          <w:r>
            <w:rPr>
              <w:rFonts w:asciiTheme="minorEastAsia" w:eastAsiaTheme="minorEastAsia" w:hAnsiTheme="minorEastAsia" w:cs="仿宋_GB2312" w:hint="eastAsia"/>
              <w:b/>
              <w:bCs/>
              <w:szCs w:val="21"/>
            </w:rPr>
            <w:t>服务</w:t>
          </w:r>
        </w:p>
        <w:p w14:paraId="18C71C60"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国际市场，部分新兴市场国家经济增速较快，受益于基建和房建的快速发展，区域水泥需求旺盛，水泥行业仍然处于快速发展阶段；成熟市场国家受脱碳政策影响，绿色低碳改造需求持续释放，将为公司发展带来持续增长机遇。据</w:t>
          </w:r>
          <w:proofErr w:type="spellStart"/>
          <w:r>
            <w:rPr>
              <w:rFonts w:asciiTheme="minorEastAsia" w:eastAsiaTheme="minorEastAsia" w:hAnsiTheme="minorEastAsia" w:cs="仿宋_GB2312" w:hint="eastAsia"/>
              <w:szCs w:val="21"/>
            </w:rPr>
            <w:t>Onfield</w:t>
          </w:r>
          <w:proofErr w:type="spellEnd"/>
          <w:r>
            <w:rPr>
              <w:rFonts w:asciiTheme="minorEastAsia" w:eastAsiaTheme="minorEastAsia" w:hAnsiTheme="minorEastAsia" w:cs="仿宋_GB2312" w:hint="eastAsia"/>
              <w:szCs w:val="21"/>
            </w:rPr>
            <w:t>预测，2024年境外水泥需求和价格较2023年总体保持稳定。公司核心经营区域包括西部非洲、东部非洲、北部非洲、中东、南亚、东南亚等区域市场，伴随城镇化发展与人口增长红利，水泥需求仍有较大增长空间，据麦肯锡预测，到2025年境外每年仍有200-250亿水泥EPC增量市场空间。此外，目前境外约有2,400条水泥熟料生产线，20年以上生产线占比近70%，存量老线技改市场空间较大。</w:t>
          </w:r>
        </w:p>
        <w:p w14:paraId="29984965"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国内市场，根据中国水泥网大数据研究院《2023年水泥市场运行总结与分析》预计，2023年至2025年，水泥需求降幅平均每年在2%-3%之间。由于国内水泥需求大幅萎缩，价格持续下行，水泥企业恢复投资意愿仍然不强，新增整线机会有限。</w:t>
          </w:r>
          <w:r>
            <w:rPr>
              <w:rFonts w:asciiTheme="minorEastAsia" w:eastAsiaTheme="minorEastAsia" w:hAnsiTheme="minorEastAsia" w:cs="仿宋_GB2312"/>
              <w:szCs w:val="21"/>
            </w:rPr>
            <w:t>2020-2035</w:t>
          </w:r>
          <w:r>
            <w:rPr>
              <w:rFonts w:asciiTheme="minorEastAsia" w:eastAsiaTheme="minorEastAsia" w:hAnsiTheme="minorEastAsia" w:cs="仿宋_GB2312" w:hint="eastAsia"/>
              <w:szCs w:val="21"/>
            </w:rPr>
            <w:t>年是国内产业结构调整升级快速推进的时期，受“双碳”政策影响，水泥行业绿色低碳、数字智能转型升级加快，低碳节能改造需求将持续释放。</w:t>
          </w:r>
        </w:p>
        <w:p w14:paraId="52447C36"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2、水泥技术装备</w:t>
          </w:r>
        </w:p>
        <w:p w14:paraId="285DF943"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伴随全球水泥行业绿色智能转型进程持续推进，水泥装备仍有较大潜在需求空间。据麦肯锡预测，到2025年水泥装备全球市场规模预计每年约350-400亿元，按照公司2023年装备业务收入测算，水泥装备全球市占率约</w:t>
          </w:r>
          <w:r>
            <w:rPr>
              <w:rFonts w:asciiTheme="minorEastAsia" w:eastAsiaTheme="minorEastAsia" w:hAnsiTheme="minorEastAsia" w:cs="仿宋_GB2312"/>
              <w:szCs w:val="21"/>
            </w:rPr>
            <w:t>20%</w:t>
          </w:r>
          <w:r>
            <w:rPr>
              <w:rFonts w:asciiTheme="minorEastAsia" w:eastAsiaTheme="minorEastAsia" w:hAnsiTheme="minorEastAsia" w:cs="仿宋_GB2312" w:hint="eastAsia"/>
              <w:szCs w:val="21"/>
            </w:rPr>
            <w:t>，相比水泥EPC业务全球市占率65%，装备业务仍有较大提升空间。国内水泥行业供给侧改革不断深化，目前行业已处于提质增效、绿色智能的结构化转型时期，来自存量市场的节能降耗改造、更新迭代将占据更大的装备需求比例。2024年政府工作报告提出“推动各类生产设备、服务设备更新和技术改造”，国内</w:t>
          </w:r>
          <w:r>
            <w:rPr>
              <w:rFonts w:asciiTheme="minorEastAsia" w:eastAsiaTheme="minorEastAsia" w:hAnsiTheme="minorEastAsia" w:cs="仿宋_GB2312"/>
              <w:szCs w:val="21"/>
            </w:rPr>
            <w:t>围绕节能降碳、超低排放、数字化转型、智能化升级等方向</w:t>
          </w:r>
          <w:r>
            <w:rPr>
              <w:rFonts w:asciiTheme="minorEastAsia" w:eastAsiaTheme="minorEastAsia" w:hAnsiTheme="minorEastAsia" w:cs="仿宋_GB2312" w:hint="eastAsia"/>
              <w:szCs w:val="21"/>
            </w:rPr>
            <w:t>的</w:t>
          </w:r>
          <w:r>
            <w:rPr>
              <w:rFonts w:asciiTheme="minorEastAsia" w:eastAsiaTheme="minorEastAsia" w:hAnsiTheme="minorEastAsia" w:cs="仿宋_GB2312"/>
              <w:szCs w:val="21"/>
            </w:rPr>
            <w:t>设备更新改造</w:t>
          </w:r>
          <w:r>
            <w:rPr>
              <w:rFonts w:asciiTheme="minorEastAsia" w:eastAsiaTheme="minorEastAsia" w:hAnsiTheme="minorEastAsia" w:cs="仿宋_GB2312" w:hint="eastAsia"/>
              <w:szCs w:val="21"/>
            </w:rPr>
            <w:t>有望提速。</w:t>
          </w:r>
        </w:p>
        <w:p w14:paraId="38304A6B"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3、水泥和矿山运维服务</w:t>
          </w:r>
        </w:p>
        <w:p w14:paraId="2FA3C4DC"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水泥运维服务市场：</w:t>
          </w:r>
          <w:r>
            <w:rPr>
              <w:rFonts w:asciiTheme="minorEastAsia" w:eastAsiaTheme="minorEastAsia" w:hAnsiTheme="minorEastAsia" w:cs="仿宋_GB2312" w:hint="eastAsia"/>
              <w:szCs w:val="21"/>
            </w:rPr>
            <w:t>非洲、中东、东南亚等“一带一路”沿线国家，特别是一些经济快速发展、水泥生产线快速增加的国家，由于缺乏先进管理经验与技术工人，对水泥生产线运维服务的需求将持续扩大。全球</w:t>
          </w:r>
          <w:r>
            <w:rPr>
              <w:rFonts w:asciiTheme="minorEastAsia" w:eastAsiaTheme="minorEastAsia" w:hAnsiTheme="minorEastAsia" w:cs="仿宋_GB2312"/>
              <w:szCs w:val="21"/>
            </w:rPr>
            <w:t>水泥熟料生产线存量规模较大，考虑到设备使用寿命限制和</w:t>
          </w:r>
          <w:r>
            <w:rPr>
              <w:rFonts w:asciiTheme="minorEastAsia" w:eastAsiaTheme="minorEastAsia" w:hAnsiTheme="minorEastAsia" w:cs="仿宋_GB2312" w:hint="eastAsia"/>
              <w:szCs w:val="21"/>
            </w:rPr>
            <w:t>替换材料升级需</w:t>
          </w:r>
          <w:r>
            <w:rPr>
              <w:rFonts w:asciiTheme="minorEastAsia" w:eastAsiaTheme="minorEastAsia" w:hAnsiTheme="minorEastAsia" w:cs="仿宋_GB2312"/>
              <w:szCs w:val="21"/>
            </w:rPr>
            <w:t>求，售后和备品备件市场规模可观</w:t>
          </w:r>
          <w:r>
            <w:rPr>
              <w:rFonts w:asciiTheme="minorEastAsia" w:eastAsiaTheme="minorEastAsia" w:hAnsiTheme="minorEastAsia" w:cs="仿宋_GB2312" w:hint="eastAsia"/>
              <w:szCs w:val="21"/>
            </w:rPr>
            <w:t>。据麦肯锡研究预测，未来5年备品备件及运维服务市场规模将保持稳定，预计每年400-450亿元。</w:t>
          </w:r>
        </w:p>
        <w:p w14:paraId="38C40B88" w14:textId="77777777" w:rsidR="00E57DAA" w:rsidRDefault="00AC4185" w:rsidP="00C25422">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矿山运维服务市场：</w:t>
          </w:r>
          <w:r>
            <w:rPr>
              <w:rFonts w:asciiTheme="minorEastAsia" w:eastAsiaTheme="minorEastAsia" w:hAnsiTheme="minorEastAsia" w:cs="仿宋_GB2312" w:hint="eastAsia"/>
              <w:szCs w:val="21"/>
            </w:rPr>
            <w:t>当前国家推进安全矿山、绿色矿山政策趋严，矿山设备向自动化、大型化、智能化以及节能化方向发展，将持续释放矿山运维服务的市场需求。据麦肯锡研究分析，到2025年国内水泥石灰石和骨料矿第三方工程运维市场规模预计每年约280-300亿元。此外，公司立足石灰石矿和骨料矿运维优势，持续向其他品类矿延伸；受益于国内水泥走出去步伐加快和公司工程业务带动，</w:t>
          </w:r>
          <w:r w:rsidR="00521626">
            <w:rPr>
              <w:rFonts w:asciiTheme="minorEastAsia" w:eastAsiaTheme="minorEastAsia" w:hAnsiTheme="minorEastAsia" w:cs="仿宋_GB2312" w:hint="eastAsia"/>
              <w:szCs w:val="21"/>
            </w:rPr>
            <w:t>境外市场</w:t>
          </w:r>
          <w:r>
            <w:rPr>
              <w:rFonts w:asciiTheme="minorEastAsia" w:eastAsiaTheme="minorEastAsia" w:hAnsiTheme="minorEastAsia" w:cs="仿宋_GB2312" w:hint="eastAsia"/>
              <w:szCs w:val="21"/>
            </w:rPr>
            <w:t>未来有望进一步打开增长空间。</w:t>
          </w:r>
        </w:p>
      </w:sdtContent>
    </w:sdt>
    <w:bookmarkEnd w:id="74"/>
    <w:p w14:paraId="53FB318D" w14:textId="77777777" w:rsidR="00E57DAA" w:rsidRDefault="00E57DAA">
      <w:pPr>
        <w:pStyle w:val="3"/>
      </w:pPr>
    </w:p>
    <w:p w14:paraId="66A8E38F" w14:textId="77777777" w:rsidR="00E57DAA" w:rsidRDefault="00AC4185">
      <w:pPr>
        <w:pStyle w:val="3"/>
      </w:pPr>
      <w:r>
        <w:rPr>
          <w:rFonts w:hint="eastAsia"/>
        </w:rPr>
        <w:t>（二）</w:t>
      </w:r>
      <w:r>
        <w:t>公司发展战略</w:t>
      </w:r>
    </w:p>
    <w:sdt>
      <w:sdtPr>
        <w:rPr>
          <w:rFonts w:hint="eastAsia"/>
          <w:szCs w:val="21"/>
        </w:rPr>
        <w:alias w:val="是否适用：公司发展战略[双击切换]"/>
        <w:tag w:val="_GBC_5cdf4718a6044c1fbf76e22df729f9b7"/>
        <w:id w:val="-2003583159"/>
        <w:placeholder>
          <w:docPart w:val="GBC22222222222222222222222222222"/>
        </w:placeholder>
      </w:sdtPr>
      <w:sdtEndPr/>
      <w:sdtContent>
        <w:p w14:paraId="782ED00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75" w:name="_Hlk162339648" w:displacedByCustomXml="next"/>
    <w:sdt>
      <w:sdtPr>
        <w:rPr>
          <w:rFonts w:hint="eastAsia"/>
          <w:szCs w:val="21"/>
        </w:rPr>
        <w:alias w:val="公司发展战略"/>
        <w:tag w:val="_GBC_afe9ed534944441fae5223f90c2521f1"/>
        <w:id w:val="-1303995893"/>
        <w:placeholder>
          <w:docPart w:val="GBC22222222222222222222222222222"/>
        </w:placeholder>
      </w:sdtPr>
      <w:sdtEndPr/>
      <w:sdtContent>
        <w:p w14:paraId="36EF3F50" w14:textId="77777777" w:rsidR="00E57DAA" w:rsidRDefault="00AC4185">
          <w:pPr>
            <w:spacing w:line="276" w:lineRule="auto"/>
            <w:ind w:firstLineChars="200" w:firstLine="420"/>
            <w:jc w:val="both"/>
            <w:outlineLvl w:val="1"/>
            <w:rPr>
              <w:rFonts w:asciiTheme="minorEastAsia" w:eastAsiaTheme="minorEastAsia" w:hAnsiTheme="minorEastAsia" w:cs="仿宋_GB2312"/>
              <w:szCs w:val="21"/>
            </w:rPr>
          </w:pPr>
          <w:r>
            <w:rPr>
              <w:rFonts w:asciiTheme="minorEastAsia" w:eastAsiaTheme="minorEastAsia" w:hAnsiTheme="minorEastAsia" w:cs="仿宋_GB2312" w:hint="eastAsia"/>
              <w:szCs w:val="21"/>
            </w:rPr>
            <w:t>公司以“推动绿色智能，服务美好世界”为使命，以“材料工业世界一流服务商”为愿景，秉持“一核双驱，三业并举”顶层设计，致力于成为行业科技创新的引领者、绿色智能的推动者、全球发展的建设者。十四五末，力争实现工程、装备、服务三足鼎立、三位一体、协同发展业务格局。</w:t>
          </w:r>
        </w:p>
        <w:p w14:paraId="135C9E55" w14:textId="77777777" w:rsidR="00E57DAA" w:rsidRDefault="00AC4185">
          <w:pPr>
            <w:spacing w:line="276" w:lineRule="auto"/>
            <w:ind w:firstLineChars="200" w:firstLine="422"/>
            <w:jc w:val="both"/>
            <w:outlineLvl w:val="1"/>
            <w:rPr>
              <w:rFonts w:asciiTheme="minorEastAsia" w:eastAsiaTheme="minorEastAsia" w:hAnsiTheme="minorEastAsia" w:cs="仿宋_GB2312"/>
              <w:b/>
              <w:bCs/>
              <w:szCs w:val="21"/>
            </w:rPr>
          </w:pPr>
          <w:bookmarkStart w:id="76" w:name="_Toc14303"/>
          <w:r>
            <w:rPr>
              <w:rFonts w:asciiTheme="minorEastAsia" w:eastAsiaTheme="minorEastAsia" w:hAnsiTheme="minorEastAsia" w:cs="仿宋_GB2312" w:hint="eastAsia"/>
              <w:b/>
              <w:bCs/>
              <w:szCs w:val="21"/>
            </w:rPr>
            <w:t>一个核心：工程技术服务</w:t>
          </w:r>
          <w:bookmarkEnd w:id="76"/>
        </w:p>
        <w:p w14:paraId="6332D42E"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lastRenderedPageBreak/>
            <w:t>工程技术服务业务是公司发展的基石和引擎。巩固提升水泥和矿业EPC市场地位与盈利能力，在熟悉的区域，服务熟悉的业主，积极拓展绿能环保工程、工业工程等多元工程领域；依托全球服务网络，创新业务模式，大力发展以水泥和矿山为基础的现代运维服务业。</w:t>
          </w:r>
        </w:p>
        <w:p w14:paraId="3002D67B" w14:textId="77777777" w:rsidR="00E57DAA" w:rsidRDefault="00AC4185">
          <w:pPr>
            <w:spacing w:line="276" w:lineRule="auto"/>
            <w:ind w:firstLineChars="200" w:firstLine="422"/>
            <w:jc w:val="both"/>
            <w:rPr>
              <w:rFonts w:asciiTheme="minorEastAsia" w:eastAsiaTheme="minorEastAsia" w:hAnsiTheme="minorEastAsia" w:cs="仿宋_GB2312"/>
              <w:b/>
              <w:bCs/>
              <w:szCs w:val="21"/>
            </w:rPr>
          </w:pPr>
          <w:r>
            <w:rPr>
              <w:rFonts w:asciiTheme="minorEastAsia" w:eastAsiaTheme="minorEastAsia" w:hAnsiTheme="minorEastAsia" w:cs="仿宋_GB2312" w:hint="eastAsia"/>
              <w:b/>
              <w:bCs/>
              <w:szCs w:val="21"/>
            </w:rPr>
            <w:t>双轮驱动：数字智能和高端装备</w:t>
          </w:r>
        </w:p>
        <w:p w14:paraId="77EB0A7E"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数字智能是现代工程服务业的软件系统，高端装备是硬件系统，两者是新一代工程服务业务发展的核心驱动力。</w:t>
          </w:r>
        </w:p>
        <w:p w14:paraId="0EFE6D80"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数字智能方面，</w:t>
          </w:r>
          <w:r>
            <w:rPr>
              <w:rFonts w:asciiTheme="minorEastAsia" w:eastAsiaTheme="minorEastAsia" w:hAnsiTheme="minorEastAsia" w:cs="仿宋_GB2312" w:hint="eastAsia"/>
              <w:szCs w:val="21"/>
            </w:rPr>
            <w:t>统一数字智能业务平台，对内为工程、装备、运维业务赋能，提升运营效率与竞争优势；对外通过推动水泥智能工厂升级与产业生态圈打造，加快打造水泥智能工厂、智慧矿山等核心数字化产品，提升为全球客户提供全生命周期数字化服务的能力。</w:t>
          </w:r>
        </w:p>
        <w:p w14:paraId="51BB865D" w14:textId="77777777" w:rsidR="00E57DAA" w:rsidRDefault="00AC4185" w:rsidP="00F3683B">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高端装备方面，</w:t>
          </w:r>
          <w:r>
            <w:rPr>
              <w:rFonts w:asciiTheme="minorEastAsia" w:eastAsiaTheme="minorEastAsia" w:hAnsiTheme="minorEastAsia" w:cs="仿宋_GB2312" w:hint="eastAsia"/>
              <w:szCs w:val="21"/>
            </w:rPr>
            <w:t>统一装备业务平台，通过内部专业化整合，打造若干装备领域世界级单项冠军或隐形冠军。加快打造全球备品备件加工、采购、仓储服务中心，加快营销网络全球布局，构建“产品+服务”系统解决方案业务模式，与属地运维服务协同发展。</w:t>
          </w:r>
        </w:p>
      </w:sdtContent>
    </w:sdt>
    <w:bookmarkEnd w:id="75" w:displacedByCustomXml="prev"/>
    <w:p w14:paraId="221E86D6" w14:textId="77777777" w:rsidR="00E57DAA" w:rsidRDefault="00E57DAA">
      <w:pPr>
        <w:pStyle w:val="3"/>
      </w:pPr>
    </w:p>
    <w:p w14:paraId="08278C8C" w14:textId="77777777" w:rsidR="00E57DAA" w:rsidRDefault="00AC4185">
      <w:pPr>
        <w:pStyle w:val="3"/>
      </w:pPr>
      <w:r>
        <w:rPr>
          <w:rFonts w:hint="eastAsia"/>
        </w:rPr>
        <w:t>（三）</w:t>
      </w:r>
      <w:r>
        <w:t>经营计划</w:t>
      </w:r>
    </w:p>
    <w:sdt>
      <w:sdtPr>
        <w:rPr>
          <w:rFonts w:hint="eastAsia"/>
          <w:szCs w:val="21"/>
        </w:rPr>
        <w:alias w:val="是否适用：经营计划[双击切换]"/>
        <w:tag w:val="_GBC_871dbf3fc5a0422cadcc3452003278de"/>
        <w:id w:val="-148676808"/>
        <w:placeholder>
          <w:docPart w:val="GBC22222222222222222222222222222"/>
        </w:placeholder>
      </w:sdtPr>
      <w:sdtEndPr/>
      <w:sdtContent>
        <w:p w14:paraId="7047914D"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77" w:name="_Hlk162339659" w:displacedByCustomXml="next"/>
    <w:sdt>
      <w:sdtPr>
        <w:rPr>
          <w:rFonts w:hint="eastAsia"/>
          <w:szCs w:val="21"/>
        </w:rPr>
        <w:alias w:val="公司经营计划"/>
        <w:tag w:val="_GBC_3f9bf7d7a36444cab37005d22ebc798c"/>
        <w:id w:val="1321771917"/>
        <w:placeholder>
          <w:docPart w:val="GBC22222222222222222222222222222"/>
        </w:placeholder>
      </w:sdtPr>
      <w:sdtEndPr/>
      <w:sdtContent>
        <w:p w14:paraId="049E2AE4"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2024年，公司将积极把握新型工业化、数智化转型、绿色低碳转型、一带一路等时代机遇，坚持稳中求进工作总基调，锚定“一利稳定增长，五率持续优化”目标，重点攻坚“六大工程”，奋力开创高质量发展新局面。</w:t>
          </w:r>
        </w:p>
        <w:p w14:paraId="42E0204E"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b/>
              <w:bCs/>
              <w:szCs w:val="21"/>
            </w:rPr>
            <w:t>1.</w:t>
          </w:r>
          <w:r>
            <w:rPr>
              <w:rFonts w:asciiTheme="minorEastAsia" w:eastAsiaTheme="minorEastAsia" w:hAnsiTheme="minorEastAsia" w:cs="仿宋_GB2312" w:hint="eastAsia"/>
              <w:b/>
              <w:bCs/>
              <w:szCs w:val="21"/>
            </w:rPr>
            <w:t>攻坚“主业提质”，核心主业更优更强。</w:t>
          </w:r>
          <w:r>
            <w:rPr>
              <w:rFonts w:asciiTheme="minorEastAsia" w:eastAsiaTheme="minorEastAsia" w:hAnsiTheme="minorEastAsia" w:cs="仿宋_GB2312" w:hint="eastAsia"/>
              <w:szCs w:val="21"/>
            </w:rPr>
            <w:t>充分发挥全产业链优势和SINOMA品牌价值，巩固水泥工程主业的市场份额优势，推动工程、运维、装备全方位良性、协同发展；坚持“价本利”理念，进一步提升主业盈利能力；着力完善矿山专业化全链条服务，打造产业链竞争优势，积极开拓海外矿山建设和采矿服务市场。</w:t>
          </w:r>
        </w:p>
        <w:p w14:paraId="2B442202"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b/>
              <w:bCs/>
              <w:szCs w:val="21"/>
            </w:rPr>
            <w:t>2.</w:t>
          </w:r>
          <w:r>
            <w:rPr>
              <w:rFonts w:asciiTheme="minorEastAsia" w:eastAsiaTheme="minorEastAsia" w:hAnsiTheme="minorEastAsia" w:cs="仿宋_GB2312" w:hint="eastAsia"/>
              <w:b/>
              <w:bCs/>
              <w:szCs w:val="21"/>
            </w:rPr>
            <w:t>攻坚“装备重器”，高端装备实现突破</w:t>
          </w:r>
          <w:r>
            <w:rPr>
              <w:rFonts w:asciiTheme="minorEastAsia" w:eastAsiaTheme="minorEastAsia" w:hAnsiTheme="minorEastAsia" w:cs="仿宋_GB2312" w:hint="eastAsia"/>
              <w:szCs w:val="21"/>
            </w:rPr>
            <w:t>。按照“一种装备、一个主体”原则，全面完成专业装备子公司整合融合。强化装备核心技术攻关，提升核心产品的标准化、模块化、数字化水平，打造若干世界级“单项冠军”。完成合肥智造产业园建设，建设国内领先、国际一流的高端装备智造基地和产业孵化基地。依托全球属地化资源和系统集成服务能力，统一备件服务平台和服务体系，构建“产品+服务”系统解决方案。坚持“基于水泥、超越建材”业务定位，加大装备外行业拓展和“走出去”步伐，进一步提升装备外行业收入、境外收入占比。</w:t>
          </w:r>
        </w:p>
        <w:p w14:paraId="6FD9801D"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b/>
              <w:bCs/>
              <w:szCs w:val="21"/>
            </w:rPr>
            <w:t>3.</w:t>
          </w:r>
          <w:r>
            <w:rPr>
              <w:rFonts w:asciiTheme="minorEastAsia" w:eastAsiaTheme="minorEastAsia" w:hAnsiTheme="minorEastAsia" w:cs="仿宋_GB2312" w:hint="eastAsia"/>
              <w:b/>
              <w:bCs/>
              <w:szCs w:val="21"/>
            </w:rPr>
            <w:t>攻坚“数智转型”，数字智能全面赋能。</w:t>
          </w:r>
          <w:r>
            <w:rPr>
              <w:rFonts w:asciiTheme="minorEastAsia" w:eastAsiaTheme="minorEastAsia" w:hAnsiTheme="minorEastAsia" w:cs="仿宋_GB2312" w:hint="eastAsia"/>
              <w:szCs w:val="21"/>
            </w:rPr>
            <w:t>深度推进数字智能业务整合融合，提升整体数字智能合力，塑造核心数字化优势和拳头产品。持续推进“一系统一平台”建设，建成工程、装备、运维全产业链数字化管理平台。持续开展全流程智能控制实时优化系统2.0等新一代智能化产品研发攻关，不断提升数字化综合服务能力，推出新一代标杆产品。</w:t>
          </w:r>
        </w:p>
        <w:p w14:paraId="0614CD21"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b/>
              <w:bCs/>
              <w:szCs w:val="21"/>
            </w:rPr>
            <w:t>4.</w:t>
          </w:r>
          <w:r>
            <w:rPr>
              <w:rFonts w:asciiTheme="minorEastAsia" w:eastAsiaTheme="minorEastAsia" w:hAnsiTheme="minorEastAsia" w:cs="仿宋_GB2312" w:hint="eastAsia"/>
              <w:b/>
              <w:bCs/>
              <w:szCs w:val="21"/>
            </w:rPr>
            <w:t>攻坚“科技创新”，引领能力持续提升。</w:t>
          </w:r>
          <w:r>
            <w:rPr>
              <w:rFonts w:asciiTheme="minorEastAsia" w:eastAsiaTheme="minorEastAsia" w:hAnsiTheme="minorEastAsia" w:cs="仿宋_GB2312" w:hint="eastAsia"/>
              <w:szCs w:val="21"/>
            </w:rPr>
            <w:t>强化绿色低碳、数字智能、高端装备等重点领域研发攻关，推动创新成果更快转化落地。聚焦推进重大科研项目攻关，加快推动“揭榜挂帅”科研项目执行和重点项目落地。启动“十四五”第一批前沿科学开放基金项目，实现全氧燃烧、分级粉磨、氢能煅烧、数字矿山等技术装备的示范线应用，增强关键技术装备研发能力。高效推进联合实验室和创新平台建设，与国内外科研院所等机构共建创新联合体，充分发挥创新生态优势。高质量举办第二届中材国际水泥绿色智能发展峰会，提升公司行业引领力和国际影响力。</w:t>
          </w:r>
        </w:p>
        <w:p w14:paraId="670E1060"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b/>
              <w:bCs/>
              <w:szCs w:val="21"/>
            </w:rPr>
            <w:t>5.攻坚“深化改革”</w:t>
          </w:r>
          <w:r>
            <w:rPr>
              <w:rFonts w:asciiTheme="minorEastAsia" w:eastAsiaTheme="minorEastAsia" w:hAnsiTheme="minorEastAsia" w:cs="仿宋_GB2312" w:hint="eastAsia"/>
              <w:b/>
              <w:bCs/>
              <w:szCs w:val="21"/>
            </w:rPr>
            <w:t>，内生动力不断激发。</w:t>
          </w:r>
          <w:r>
            <w:rPr>
              <w:rFonts w:asciiTheme="minorEastAsia" w:eastAsiaTheme="minorEastAsia" w:hAnsiTheme="minorEastAsia" w:cs="仿宋_GB2312"/>
              <w:szCs w:val="21"/>
            </w:rPr>
            <w:t>扎实推进新一轮改革深化提升行动，持续增强公司核心竞争力</w:t>
          </w:r>
          <w:r>
            <w:rPr>
              <w:rFonts w:asciiTheme="minorEastAsia" w:eastAsiaTheme="minorEastAsia" w:hAnsiTheme="minorEastAsia" w:cs="仿宋_GB2312" w:hint="eastAsia"/>
              <w:szCs w:val="21"/>
            </w:rPr>
            <w:t>；进一步构建战略导向的高效治理体系，推动实现市场化经营，健全全级次ESG评级评价体系；全面提升上市公司质量，争做资本市场主业突出、优强发展、治理完善、诚信经营的表率。</w:t>
          </w:r>
        </w:p>
        <w:p w14:paraId="21972538" w14:textId="77777777" w:rsidR="00E57DAA" w:rsidRDefault="00AC4185">
          <w:pPr>
            <w:spacing w:line="276" w:lineRule="auto"/>
            <w:ind w:firstLineChars="200" w:firstLine="422"/>
            <w:jc w:val="both"/>
            <w:rPr>
              <w:rFonts w:asciiTheme="minorEastAsia" w:eastAsiaTheme="minorEastAsia" w:hAnsiTheme="minorEastAsia" w:cs="仿宋_GB2312"/>
              <w:szCs w:val="21"/>
            </w:rPr>
          </w:pPr>
          <w:r>
            <w:rPr>
              <w:rFonts w:asciiTheme="minorEastAsia" w:eastAsiaTheme="minorEastAsia" w:hAnsiTheme="minorEastAsia" w:cs="仿宋_GB2312" w:hint="eastAsia"/>
              <w:b/>
              <w:bCs/>
              <w:szCs w:val="21"/>
            </w:rPr>
            <w:t>6</w:t>
          </w:r>
          <w:r>
            <w:rPr>
              <w:rFonts w:asciiTheme="minorEastAsia" w:eastAsiaTheme="minorEastAsia" w:hAnsiTheme="minorEastAsia" w:cs="仿宋_GB2312"/>
              <w:b/>
              <w:bCs/>
              <w:szCs w:val="21"/>
            </w:rPr>
            <w:t>.</w:t>
          </w:r>
          <w:r>
            <w:rPr>
              <w:rFonts w:asciiTheme="minorEastAsia" w:eastAsiaTheme="minorEastAsia" w:hAnsiTheme="minorEastAsia" w:cs="仿宋_GB2312" w:hint="eastAsia"/>
              <w:b/>
              <w:bCs/>
              <w:szCs w:val="21"/>
            </w:rPr>
            <w:t>攻坚“海外再造”，属地经营全面深化。</w:t>
          </w:r>
          <w:r>
            <w:rPr>
              <w:rFonts w:asciiTheme="minorEastAsia" w:eastAsiaTheme="minorEastAsia" w:hAnsiTheme="minorEastAsia" w:cs="仿宋_GB2312" w:hint="eastAsia"/>
              <w:szCs w:val="21"/>
            </w:rPr>
            <w:t>在中国建材集团“利用</w:t>
          </w:r>
          <w:r>
            <w:rPr>
              <w:rFonts w:asciiTheme="minorEastAsia" w:eastAsiaTheme="minorEastAsia" w:hAnsiTheme="minorEastAsia" w:cs="仿宋_GB2312"/>
              <w:szCs w:val="21"/>
            </w:rPr>
            <w:t>10</w:t>
          </w:r>
          <w:r>
            <w:rPr>
              <w:rFonts w:asciiTheme="minorEastAsia" w:eastAsiaTheme="minorEastAsia" w:hAnsiTheme="minorEastAsia" w:cs="仿宋_GB2312" w:hint="eastAsia"/>
              <w:szCs w:val="21"/>
            </w:rPr>
            <w:t>年左右时间在海外再造一个中国建材”的战略目标指引下</w:t>
          </w:r>
          <w:r>
            <w:rPr>
              <w:rFonts w:asciiTheme="minorEastAsia" w:eastAsiaTheme="minorEastAsia" w:hAnsiTheme="minorEastAsia" w:cs="仿宋_GB2312"/>
              <w:szCs w:val="21"/>
            </w:rPr>
            <w:t>,</w:t>
          </w:r>
          <w:r>
            <w:rPr>
              <w:rFonts w:asciiTheme="minorEastAsia" w:eastAsiaTheme="minorEastAsia" w:hAnsiTheme="minorEastAsia" w:cs="仿宋_GB2312" w:hint="eastAsia"/>
              <w:szCs w:val="21"/>
            </w:rPr>
            <w:t>与中材水泥深度协同，加速推进基础建材全球布局，并积</w:t>
          </w:r>
          <w:r>
            <w:rPr>
              <w:rFonts w:asciiTheme="minorEastAsia" w:eastAsiaTheme="minorEastAsia" w:hAnsiTheme="minorEastAsia" w:cs="仿宋_GB2312" w:hint="eastAsia"/>
              <w:szCs w:val="21"/>
            </w:rPr>
            <w:lastRenderedPageBreak/>
            <w:t>极协同推动玻纤、锂膜、风电叶片等新材料产业“走出去”。进一步优化属地化发展顶层设计，推进资源配置、品牌文化、骨干团队、经营投资的全球化，提升属地化经营的盈利水平和品牌影响力。</w:t>
          </w:r>
        </w:p>
        <w:p w14:paraId="3E7B8FDD" w14:textId="77777777" w:rsidR="00E57DAA" w:rsidRDefault="00EB41A1">
          <w:pPr>
            <w:spacing w:line="276" w:lineRule="auto"/>
            <w:ind w:firstLineChars="200" w:firstLine="420"/>
            <w:jc w:val="both"/>
            <w:rPr>
              <w:rFonts w:asciiTheme="minorEastAsia" w:eastAsiaTheme="minorEastAsia" w:hAnsiTheme="minorEastAsia" w:cs="仿宋_GB2312"/>
              <w:szCs w:val="21"/>
            </w:rPr>
          </w:pPr>
        </w:p>
      </w:sdtContent>
    </w:sdt>
    <w:bookmarkEnd w:id="77" w:displacedByCustomXml="prev"/>
    <w:p w14:paraId="254AE5CE" w14:textId="77777777" w:rsidR="00E57DAA" w:rsidRDefault="00E57DAA">
      <w:pPr>
        <w:pStyle w:val="3"/>
      </w:pPr>
    </w:p>
    <w:p w14:paraId="455EE57B" w14:textId="77777777" w:rsidR="00E57DAA" w:rsidRDefault="00AC4185">
      <w:pPr>
        <w:pStyle w:val="3"/>
      </w:pPr>
      <w:r>
        <w:rPr>
          <w:rFonts w:hint="eastAsia"/>
        </w:rPr>
        <w:t>（四）</w:t>
      </w:r>
      <w:r>
        <w:t>可能面对的风险</w:t>
      </w:r>
    </w:p>
    <w:sdt>
      <w:sdtPr>
        <w:rPr>
          <w:rFonts w:hint="eastAsia"/>
          <w:szCs w:val="21"/>
        </w:rPr>
        <w:alias w:val="是否适用：可能面对的风险[双击切换]"/>
        <w:tag w:val="_GBC_1b74f2e1039c4fe9acc819e860071020"/>
        <w:id w:val="-929351592"/>
        <w:placeholder>
          <w:docPart w:val="GBC22222222222222222222222222222"/>
        </w:placeholder>
      </w:sdtPr>
      <w:sdtEndPr/>
      <w:sdtContent>
        <w:p w14:paraId="64966AC3"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78" w:name="_Hlk162339761" w:displacedByCustomXml="next"/>
    <w:sdt>
      <w:sdtPr>
        <w:rPr>
          <w:rFonts w:hint="eastAsia"/>
          <w:szCs w:val="21"/>
        </w:rPr>
        <w:alias w:val="公司可能面对的风险"/>
        <w:tag w:val="_GBC_c62723d12603412ba692148cd4961de5"/>
        <w:id w:val="-823666611"/>
        <w:placeholder>
          <w:docPart w:val="GBC22222222222222222222222222222"/>
        </w:placeholder>
      </w:sdtPr>
      <w:sdtEndPr/>
      <w:sdtContent>
        <w:p w14:paraId="798A94D3"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1、宏观经济风险：当前，百年未有之大变局加速演进，世界政治经济形势错综复杂，全球产业链和供应链面临重构，国内经济复苏基础尚不牢固，结构性问题、周期性矛盾交织叠加。2024年，国家将继续实施积极的财政政策和稳健的货币政策，统筹扩大内需和深化供给侧结构性改革。在此背景下，公司将进一步强化战略意识和前瞻思维，持续加强对经济环境变化的预判和战略执行的监控，做好合理预期，抢抓机遇，紧跟需求，在服务国家战略、服务集团战略中不断做强做优做大。</w:t>
          </w:r>
        </w:p>
        <w:p w14:paraId="547C68A0"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2、行业风险：房地产和基建需求明显下降，建材行业整体产能过剩。针对行业风险，一是加快结构调整优化，利用高端化、智能化、绿色化产业升级持续推动技术装备需求。二是持续推进精细化管理，坚持“价本利”理念，加大全产业链、全价值链降本节支力度，加强成本管控，提升成本竞争力。</w:t>
          </w:r>
        </w:p>
        <w:p w14:paraId="43C69346" w14:textId="77777777" w:rsidR="00E57DAA" w:rsidRDefault="00AC4185">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 xml:space="preserve">3、境外经营风险：公司在境外多个国家和地区开展业务，受当地政治、经济、公共安全、文化差异、合同法律、国际舆情、环保要求以及部分国家间贸易摩擦等因素影响，市场开拓及项目履约面临的形势错综复杂。公司将组织各市场主体加强境外风险排查和境外项目前期调研，提前做好风险预判，严格执行境外合规管理制度，并通过咨询当地法律专家解读政策、寻求解决方案，不断完善境外经营、税务和合规风险管理体系；同时，与当地政府和业主建立良好合作关系，加强内部协同合作，妥善防范和化解境外经营风险。 </w:t>
          </w:r>
        </w:p>
        <w:p w14:paraId="340CB368" w14:textId="77777777" w:rsidR="00E57DAA" w:rsidRPr="00C25422" w:rsidRDefault="00AC4185" w:rsidP="00C25422">
          <w:pPr>
            <w:spacing w:line="276" w:lineRule="auto"/>
            <w:ind w:firstLineChars="200" w:firstLine="420"/>
            <w:jc w:val="both"/>
            <w:rPr>
              <w:rFonts w:asciiTheme="minorEastAsia" w:eastAsiaTheme="minorEastAsia" w:hAnsiTheme="minorEastAsia" w:cs="仿宋_GB2312"/>
              <w:szCs w:val="21"/>
            </w:rPr>
          </w:pPr>
          <w:r>
            <w:rPr>
              <w:rFonts w:asciiTheme="minorEastAsia" w:eastAsiaTheme="minorEastAsia" w:hAnsiTheme="minorEastAsia" w:cs="仿宋_GB2312" w:hint="eastAsia"/>
              <w:szCs w:val="21"/>
            </w:rPr>
            <w:t>4、汇率风险：公司境外合同以美元和欧元作为主要结算货币，部分合同涉及当地小币种结算，面临较大的汇率波动风险。针对此风险，一方面加大海外项目本土化分包、采购力度，消化当地货币；另一方面持续加强汇率监控及管理，以存量外币资金和未来项目外汇收支为基础，以套期保值为原则，采取减少外汇风险敞口、开展金融衍生业务、提高资金收益等手段规避和对冲部分汇率风险，确保降低和平滑因汇率波动对公司损益造成的影响。</w:t>
          </w:r>
        </w:p>
      </w:sdtContent>
    </w:sdt>
    <w:bookmarkEnd w:id="78"/>
    <w:p w14:paraId="664B617D" w14:textId="77777777" w:rsidR="00E57DAA" w:rsidRDefault="00E57DAA">
      <w:pPr>
        <w:pStyle w:val="3"/>
      </w:pPr>
    </w:p>
    <w:p w14:paraId="74E7E7E7" w14:textId="77777777" w:rsidR="00E57DAA" w:rsidRDefault="00AC4185">
      <w:pPr>
        <w:pStyle w:val="3"/>
      </w:pPr>
      <w:r>
        <w:rPr>
          <w:rFonts w:hint="eastAsia"/>
        </w:rPr>
        <w:t>（五）</w:t>
      </w:r>
      <w:r>
        <w:t>其他</w:t>
      </w:r>
    </w:p>
    <w:sdt>
      <w:sdtPr>
        <w:rPr>
          <w:rFonts w:hint="eastAsia"/>
          <w:szCs w:val="21"/>
        </w:rPr>
        <w:alias w:val="是否适用：公司其他未来发展的讨论和分析[双击切换]"/>
        <w:tag w:val="_GBC_aad5c59ba9344d37bc5cc7a8eba5f048"/>
        <w:id w:val="736281647"/>
        <w:placeholder>
          <w:docPart w:val="GBC22222222222222222222222222222"/>
        </w:placeholder>
      </w:sdtPr>
      <w:sdtEndPr/>
      <w:sdtContent>
        <w:p w14:paraId="7FB86D8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4F6B99" w14:textId="77777777" w:rsidR="00E57DAA" w:rsidRDefault="00E57DAA">
      <w:pPr>
        <w:rPr>
          <w:szCs w:val="21"/>
        </w:rPr>
      </w:pPr>
    </w:p>
    <w:p w14:paraId="3EDFC165" w14:textId="77777777" w:rsidR="00E57DAA" w:rsidRDefault="00AC4185">
      <w:pPr>
        <w:pStyle w:val="2"/>
        <w:numPr>
          <w:ilvl w:val="0"/>
          <w:numId w:val="8"/>
        </w:numPr>
      </w:pPr>
      <w:r>
        <w:rPr>
          <w:rFonts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474358134"/>
        <w:placeholder>
          <w:docPart w:val="GBC22222222222222222222222222222"/>
        </w:placeholder>
      </w:sdtPr>
      <w:sdtEndPr/>
      <w:sdtContent>
        <w:p w14:paraId="290B205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因不适用准则规定或国家秘密、商业秘密等特殊原因，未按准则披露的情况和原因说明"/>
        <w:tag w:val="_GBC_b0f5b2e139954675ba6f983fd931cfc2"/>
        <w:id w:val="728040058"/>
        <w:placeholder>
          <w:docPart w:val="E08566F0970E4D0D948BA8B80B728C34"/>
        </w:placeholder>
      </w:sdtPr>
      <w:sdtEndPr/>
      <w:sdtContent>
        <w:p w14:paraId="2AE4DC50" w14:textId="77777777" w:rsidR="00E57DAA" w:rsidRDefault="00AC4185">
          <w:pPr>
            <w:ind w:firstLineChars="200" w:firstLine="420"/>
          </w:pPr>
          <w:r>
            <w:rPr>
              <w:rFonts w:hint="eastAsia"/>
            </w:rPr>
            <w:t>公司所处行业为充分竞争的行业，单个项目合同的成本是公司核心机密，公开披露可能会引起不同项目业主之间的比较，不利于公司参与市场竞争。</w:t>
          </w:r>
        </w:p>
      </w:sdtContent>
    </w:sdt>
    <w:p w14:paraId="28E4A4B5" w14:textId="77777777" w:rsidR="00E57DAA" w:rsidRDefault="00E57DAA">
      <w:pPr>
        <w:rPr>
          <w:szCs w:val="21"/>
        </w:rPr>
      </w:pPr>
    </w:p>
    <w:p w14:paraId="668F7DB5" w14:textId="77777777" w:rsidR="00E57DAA" w:rsidRDefault="00AC4185" w:rsidP="00E76E97">
      <w:pPr>
        <w:pStyle w:val="1"/>
      </w:pPr>
      <w:bookmarkStart w:id="79" w:name="_Toc409437610"/>
      <w:bookmarkStart w:id="80" w:name="_Toc89790251"/>
      <w:bookmarkStart w:id="81" w:name="_Toc437440716"/>
      <w:r>
        <w:t>公司治理</w:t>
      </w:r>
      <w:bookmarkEnd w:id="79"/>
      <w:bookmarkEnd w:id="80"/>
      <w:bookmarkEnd w:id="81"/>
    </w:p>
    <w:p w14:paraId="29D66D4F" w14:textId="77777777" w:rsidR="00E57DAA" w:rsidRDefault="00AC4185">
      <w:pPr>
        <w:pStyle w:val="2"/>
        <w:numPr>
          <w:ilvl w:val="0"/>
          <w:numId w:val="19"/>
        </w:numPr>
      </w:pPr>
      <w:r>
        <w:t>公司治理相关情况说明</w:t>
      </w:r>
    </w:p>
    <w:sdt>
      <w:sdtPr>
        <w:rPr>
          <w:rFonts w:hint="eastAsia"/>
          <w:szCs w:val="21"/>
        </w:rPr>
        <w:alias w:val="是否适用：公司治理相关情况说明[双击切换]"/>
        <w:tag w:val="_GBC_fcded3e74c5842408b5da723b3a757fa"/>
        <w:id w:val="1213548436"/>
        <w:placeholder>
          <w:docPart w:val="GBC22222222222222222222222222222"/>
        </w:placeholder>
      </w:sdtPr>
      <w:sdtEndPr/>
      <w:sdtContent>
        <w:p w14:paraId="222C406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262725534"/>
        <w:placeholder>
          <w:docPart w:val="GBC22222222222222222222222222222"/>
        </w:placeholder>
      </w:sdtPr>
      <w:sdtEndPr/>
      <w:sdtContent>
        <w:p w14:paraId="16AF5496" w14:textId="77777777" w:rsidR="00E57DAA" w:rsidRDefault="00AC4185">
          <w:pPr>
            <w:ind w:firstLineChars="200" w:firstLine="420"/>
            <w:jc w:val="both"/>
            <w:rPr>
              <w:szCs w:val="21"/>
            </w:rPr>
          </w:pPr>
          <w:r>
            <w:rPr>
              <w:rFonts w:hint="eastAsia"/>
              <w:szCs w:val="21"/>
            </w:rPr>
            <w:t>公司已经建立了较为完善的公司治理结构和公司治理制度体系，公司权力机构、决策机构、监督机构及经营管理层之间权责明确，运作规范。报告期，公司严格按照《公司法》、《证券</w:t>
          </w:r>
          <w:r>
            <w:rPr>
              <w:rFonts w:hint="eastAsia"/>
              <w:szCs w:val="21"/>
            </w:rPr>
            <w:lastRenderedPageBreak/>
            <w:t>法》、《上市公司治理准则》和《上海证券交易所股票上市规则》及监管机构的相关要求，不断完善公司治理结构，规范公司运作，健全公司内控管理流程，高效开展信息披露等工作。</w:t>
          </w:r>
        </w:p>
        <w:p w14:paraId="5F4CB590" w14:textId="77777777" w:rsidR="00E57DAA" w:rsidRDefault="00AC4185">
          <w:pPr>
            <w:ind w:firstLineChars="200" w:firstLine="420"/>
            <w:jc w:val="both"/>
            <w:rPr>
              <w:szCs w:val="21"/>
            </w:rPr>
          </w:pPr>
          <w:r>
            <w:rPr>
              <w:szCs w:val="21"/>
            </w:rPr>
            <w:t>1、股东与股东大会</w:t>
          </w:r>
        </w:p>
        <w:p w14:paraId="1CDE428F" w14:textId="77777777" w:rsidR="00E57DAA" w:rsidRDefault="00AC4185">
          <w:pPr>
            <w:jc w:val="both"/>
            <w:rPr>
              <w:szCs w:val="21"/>
            </w:rPr>
          </w:pPr>
          <w:r>
            <w:rPr>
              <w:szCs w:val="21"/>
            </w:rPr>
            <w:t xml:space="preserve">    公司严格按照《公司法》、《上海证券交易所股票上市规则》等法律法规以及《公司章程》、《股东大会议事规则》的规定召集、召开股东大会，公司在股东大会中按照有关规定对中小投资者的表决结果进行单独统计并公告，充分保护中小投资者合法权益。公司股东大会以现场</w:t>
          </w:r>
          <w:r>
            <w:rPr>
              <w:rFonts w:hint="eastAsia"/>
              <w:szCs w:val="21"/>
            </w:rPr>
            <w:t>结合</w:t>
          </w:r>
          <w:r>
            <w:rPr>
              <w:szCs w:val="21"/>
            </w:rPr>
            <w:t>网络投票的方式召开，确保公司所有股东公平行使权利</w:t>
          </w:r>
          <w:r>
            <w:rPr>
              <w:rFonts w:hint="eastAsia"/>
              <w:szCs w:val="21"/>
            </w:rPr>
            <w:t>，利于股东充分表达意见和诉求</w:t>
          </w:r>
          <w:r>
            <w:rPr>
              <w:szCs w:val="21"/>
            </w:rPr>
            <w:t>。报告期，公司召开</w:t>
          </w:r>
          <w:r>
            <w:rPr>
              <w:rFonts w:hint="eastAsia"/>
              <w:szCs w:val="21"/>
            </w:rPr>
            <w:t>五</w:t>
          </w:r>
          <w:r>
            <w:rPr>
              <w:szCs w:val="21"/>
            </w:rPr>
            <w:t>次股东大会，律师对股东大会的召集召开程序进行了见证，会议的召集、召开程序均合法有效，未发生侵害中小股东利益的</w:t>
          </w:r>
          <w:r>
            <w:rPr>
              <w:rFonts w:hint="eastAsia"/>
              <w:szCs w:val="21"/>
            </w:rPr>
            <w:t>情况</w:t>
          </w:r>
          <w:r>
            <w:rPr>
              <w:szCs w:val="21"/>
            </w:rPr>
            <w:t>。</w:t>
          </w:r>
        </w:p>
        <w:p w14:paraId="15AC3B59" w14:textId="77777777" w:rsidR="00E57DAA" w:rsidRDefault="00AC4185">
          <w:pPr>
            <w:ind w:firstLineChars="200" w:firstLine="420"/>
            <w:jc w:val="both"/>
            <w:rPr>
              <w:szCs w:val="21"/>
            </w:rPr>
          </w:pPr>
          <w:r>
            <w:rPr>
              <w:szCs w:val="21"/>
            </w:rPr>
            <w:t>2、控股股东与公司的关系</w:t>
          </w:r>
        </w:p>
        <w:p w14:paraId="0B6D7F2E" w14:textId="77777777" w:rsidR="00E57DAA" w:rsidRDefault="00AC4185">
          <w:pPr>
            <w:ind w:firstLineChars="200" w:firstLine="420"/>
            <w:jc w:val="both"/>
            <w:rPr>
              <w:szCs w:val="21"/>
            </w:rPr>
          </w:pPr>
          <w:r>
            <w:rPr>
              <w:rFonts w:hint="eastAsia"/>
              <w:szCs w:val="21"/>
            </w:rPr>
            <w:t>公司具有独立的业务及自主经营能力，相对于控股股东在业务、人员、资产、机构和财务方面均独立完整，公司与控股股东及其所属企业的关联交易公平合理，履行了必要的决策程序，公司对关联交易的定价依据、合同的签署等情况均按照要求进行充分披露，没有出现利用关联交易、利润分配、资产重组、对外投资、借款、担保等方式损害公司和其他股东合法权益的情形。</w:t>
          </w:r>
        </w:p>
        <w:p w14:paraId="02B4C3E2" w14:textId="77777777" w:rsidR="00E57DAA" w:rsidRDefault="00AC4185">
          <w:pPr>
            <w:ind w:firstLineChars="200" w:firstLine="420"/>
            <w:jc w:val="both"/>
            <w:rPr>
              <w:szCs w:val="21"/>
            </w:rPr>
          </w:pPr>
          <w:r>
            <w:rPr>
              <w:szCs w:val="21"/>
            </w:rPr>
            <w:t>3、董事与董事会</w:t>
          </w:r>
        </w:p>
        <w:p w14:paraId="6BCB631B" w14:textId="77777777" w:rsidR="00E57DAA" w:rsidRDefault="00AC4185">
          <w:pPr>
            <w:ind w:firstLineChars="200" w:firstLine="420"/>
            <w:jc w:val="both"/>
            <w:rPr>
              <w:szCs w:val="21"/>
            </w:rPr>
          </w:pPr>
          <w:r>
            <w:rPr>
              <w:rFonts w:hint="eastAsia"/>
              <w:szCs w:val="21"/>
            </w:rPr>
            <w:t>公司董事会由</w:t>
          </w:r>
          <w:r>
            <w:rPr>
              <w:szCs w:val="21"/>
            </w:rPr>
            <w:t>9名董事组成，其中，独立董事3名，董事会成员的专业结构、人员构成符合法律法规的要求。</w:t>
          </w:r>
          <w:r>
            <w:rPr>
              <w:rFonts w:hint="eastAsia"/>
              <w:szCs w:val="21"/>
            </w:rPr>
            <w:t>报告期，公司完成第八届董事会换届选举。报告期，公司修订完善</w:t>
          </w:r>
          <w:r>
            <w:rPr>
              <w:szCs w:val="21"/>
            </w:rPr>
            <w:t>《董事会议事规则》</w:t>
          </w:r>
          <w:r>
            <w:rPr>
              <w:rFonts w:hint="eastAsia"/>
              <w:szCs w:val="21"/>
            </w:rPr>
            <w:t>，制定了独立董事专门会工作细则，进一步规范会议运作。董事会下设四个专门委员会，</w:t>
          </w:r>
          <w:r>
            <w:rPr>
              <w:szCs w:val="21"/>
            </w:rPr>
            <w:t>董事会</w:t>
          </w:r>
          <w:r>
            <w:rPr>
              <w:rFonts w:hint="eastAsia"/>
              <w:szCs w:val="21"/>
            </w:rPr>
            <w:t>的</w:t>
          </w:r>
          <w:r>
            <w:rPr>
              <w:szCs w:val="21"/>
            </w:rPr>
            <w:t>战略与投资委员会、审计</w:t>
          </w:r>
          <w:r>
            <w:rPr>
              <w:rFonts w:hint="eastAsia"/>
              <w:szCs w:val="21"/>
            </w:rPr>
            <w:t>委员会调整为战略、投资与E</w:t>
          </w:r>
          <w:r>
            <w:rPr>
              <w:szCs w:val="21"/>
            </w:rPr>
            <w:t xml:space="preserve">SG </w:t>
          </w:r>
          <w:r>
            <w:rPr>
              <w:rFonts w:hint="eastAsia"/>
              <w:szCs w:val="21"/>
            </w:rPr>
            <w:t>委员会和审计与风险管理</w:t>
          </w:r>
          <w:r>
            <w:rPr>
              <w:szCs w:val="21"/>
            </w:rPr>
            <w:t>委员会，其中</w:t>
          </w:r>
          <w:r>
            <w:rPr>
              <w:rFonts w:hint="eastAsia"/>
              <w:szCs w:val="21"/>
            </w:rPr>
            <w:t>，</w:t>
          </w:r>
          <w:r>
            <w:rPr>
              <w:szCs w:val="21"/>
            </w:rPr>
            <w:t>审计</w:t>
          </w:r>
          <w:r>
            <w:rPr>
              <w:rFonts w:hint="eastAsia"/>
              <w:szCs w:val="21"/>
            </w:rPr>
            <w:t>与风险管理</w:t>
          </w:r>
          <w:r>
            <w:rPr>
              <w:szCs w:val="21"/>
            </w:rPr>
            <w:t>、提名、薪酬与考核委员会中独立董事占多数并担任召集人，审计</w:t>
          </w:r>
          <w:r>
            <w:rPr>
              <w:rFonts w:hint="eastAsia"/>
              <w:szCs w:val="21"/>
            </w:rPr>
            <w:t>与风险管理</w:t>
          </w:r>
          <w:r>
            <w:rPr>
              <w:szCs w:val="21"/>
            </w:rPr>
            <w:t>委员会</w:t>
          </w:r>
          <w:r>
            <w:rPr>
              <w:rFonts w:hint="eastAsia"/>
              <w:szCs w:val="21"/>
            </w:rPr>
            <w:t>主任委员为</w:t>
          </w:r>
          <w:r>
            <w:rPr>
              <w:szCs w:val="21"/>
            </w:rPr>
            <w:t>会计专业人士。报告期，公司持续深化外部董事联合工作机制和实践，强化董事意见落实和决策执行监督，投保董事、监事、高管责任保险，为独立董事和专门委员会履职提供充分保障和有力支持</w:t>
          </w:r>
          <w:r>
            <w:rPr>
              <w:rFonts w:hint="eastAsia"/>
              <w:szCs w:val="21"/>
            </w:rPr>
            <w:t>，荣获中国上市公司协会“董事会最佳实践”</w:t>
          </w:r>
          <w:r>
            <w:rPr>
              <w:szCs w:val="21"/>
            </w:rPr>
            <w:t>。</w:t>
          </w:r>
        </w:p>
        <w:p w14:paraId="74A5F0E1" w14:textId="77777777" w:rsidR="00E57DAA" w:rsidRDefault="00AC4185">
          <w:pPr>
            <w:ind w:firstLineChars="200" w:firstLine="420"/>
            <w:jc w:val="both"/>
            <w:rPr>
              <w:szCs w:val="21"/>
            </w:rPr>
          </w:pPr>
          <w:r>
            <w:rPr>
              <w:szCs w:val="21"/>
            </w:rPr>
            <w:t>4、监事与监事会</w:t>
          </w:r>
        </w:p>
        <w:p w14:paraId="1D16D210" w14:textId="77777777" w:rsidR="00E57DAA" w:rsidRDefault="00AC4185">
          <w:pPr>
            <w:ind w:firstLineChars="200" w:firstLine="420"/>
            <w:jc w:val="both"/>
            <w:rPr>
              <w:szCs w:val="21"/>
            </w:rPr>
          </w:pPr>
          <w:r>
            <w:rPr>
              <w:rFonts w:hint="eastAsia"/>
              <w:szCs w:val="21"/>
            </w:rPr>
            <w:t>公司监事会由</w:t>
          </w:r>
          <w:r>
            <w:rPr>
              <w:szCs w:val="21"/>
            </w:rPr>
            <w:t>3名监事组成，其中，职工代表监事1人，公司监事会组成符合《公司法》和《公司章程》的规定</w:t>
          </w:r>
          <w:r>
            <w:rPr>
              <w:rFonts w:hint="eastAsia"/>
              <w:szCs w:val="21"/>
            </w:rPr>
            <w:t>。报告期，公司完成第八届监事会换届选举。</w:t>
          </w:r>
          <w:r>
            <w:rPr>
              <w:szCs w:val="21"/>
            </w:rPr>
            <w:t>公司</w:t>
          </w:r>
          <w:r>
            <w:rPr>
              <w:rFonts w:hint="eastAsia"/>
              <w:szCs w:val="21"/>
            </w:rPr>
            <w:t>监事会会议严格按照</w:t>
          </w:r>
          <w:r>
            <w:rPr>
              <w:szCs w:val="21"/>
            </w:rPr>
            <w:t>《监事会议事规则》</w:t>
          </w:r>
          <w:r>
            <w:rPr>
              <w:rFonts w:hint="eastAsia"/>
              <w:szCs w:val="21"/>
            </w:rPr>
            <w:t>召集召开</w:t>
          </w:r>
          <w:r>
            <w:rPr>
              <w:szCs w:val="21"/>
            </w:rPr>
            <w:t>。监事会秉承对全体股东负责的精神，独立行使监督职权，对公司董事及高级管理人员履行职责的合法性、合规性进行监督，对公司披露的定期报告进行审核，对公司依法运作情况、财务状况、关联交易、内部控制、股权激励等事项进行监督检查，切实履行监督职责，以高质量监督促进公司规范和发展。</w:t>
          </w:r>
        </w:p>
        <w:p w14:paraId="0F858010" w14:textId="77777777" w:rsidR="00E57DAA" w:rsidRDefault="00AC4185">
          <w:pPr>
            <w:rPr>
              <w:szCs w:val="21"/>
            </w:rPr>
          </w:pPr>
          <w:r>
            <w:rPr>
              <w:szCs w:val="21"/>
            </w:rPr>
            <w:t xml:space="preserve">    5、信息披露与透明度</w:t>
          </w:r>
        </w:p>
        <w:p w14:paraId="0F8EADE6" w14:textId="77777777" w:rsidR="00E57DAA" w:rsidRDefault="00AC4185">
          <w:pPr>
            <w:ind w:firstLineChars="200" w:firstLine="420"/>
            <w:rPr>
              <w:szCs w:val="21"/>
            </w:rPr>
          </w:pPr>
          <w:r>
            <w:rPr>
              <w:rFonts w:hint="eastAsia"/>
              <w:szCs w:val="21"/>
            </w:rPr>
            <w:t>公司根据《上市公司治理准则》、《上海证券交易所股票上市规则》、《上海证券交易所上市公司自律监管指引第</w:t>
          </w:r>
          <w:r>
            <w:rPr>
              <w:szCs w:val="21"/>
            </w:rPr>
            <w:t>3号--行业信息披露》等相关法规规定以及证券监管部门要求和公司《信息披露管理制度》、《关联交易管理制度》、《内幕信息知情人登记备案制度》、《投资者关系工作制度》、《重大事项内部报告制度》等相关规定开展信息披露工作和投资者关系工作、内幕知情人管理工作</w:t>
          </w:r>
          <w:r>
            <w:rPr>
              <w:rFonts w:hint="eastAsia"/>
              <w:szCs w:val="21"/>
            </w:rPr>
            <w:t>。</w:t>
          </w:r>
          <w:r>
            <w:rPr>
              <w:szCs w:val="21"/>
            </w:rPr>
            <w:t>报告期，公司</w:t>
          </w:r>
          <w:r>
            <w:rPr>
              <w:rFonts w:hint="eastAsia"/>
              <w:szCs w:val="21"/>
            </w:rPr>
            <w:t>持续</w:t>
          </w:r>
          <w:r>
            <w:rPr>
              <w:szCs w:val="21"/>
            </w:rPr>
            <w:t>提升自愿性披露质量，真实、准确、完整、及时地履行信息披露义务，连续</w:t>
          </w:r>
          <w:r>
            <w:rPr>
              <w:rFonts w:hint="eastAsia"/>
              <w:szCs w:val="21"/>
            </w:rPr>
            <w:t>五</w:t>
          </w:r>
          <w:r>
            <w:rPr>
              <w:szCs w:val="21"/>
            </w:rPr>
            <w:t>年荣获上</w:t>
          </w:r>
          <w:r>
            <w:rPr>
              <w:rFonts w:hint="eastAsia"/>
              <w:szCs w:val="21"/>
            </w:rPr>
            <w:t>交所信息披露</w:t>
          </w:r>
          <w:r>
            <w:rPr>
              <w:szCs w:val="21"/>
            </w:rPr>
            <w:t>A级评级。</w:t>
          </w:r>
        </w:p>
        <w:p w14:paraId="6FB1F9FD" w14:textId="77777777" w:rsidR="00E57DAA" w:rsidRDefault="00AC4185">
          <w:pPr>
            <w:rPr>
              <w:szCs w:val="21"/>
            </w:rPr>
          </w:pPr>
          <w:r>
            <w:rPr>
              <w:szCs w:val="21"/>
            </w:rPr>
            <w:t xml:space="preserve">   6、关于利益相关者</w:t>
          </w:r>
        </w:p>
        <w:p w14:paraId="19D049E9" w14:textId="77777777" w:rsidR="00E57DAA" w:rsidRDefault="00AC4185">
          <w:pPr>
            <w:ind w:firstLineChars="200" w:firstLine="420"/>
            <w:jc w:val="both"/>
            <w:rPr>
              <w:szCs w:val="21"/>
            </w:rPr>
          </w:pPr>
          <w:r>
            <w:rPr>
              <w:rFonts w:hint="eastAsia"/>
              <w:szCs w:val="21"/>
            </w:rPr>
            <w:t>公司严格按照《公司章程》和《未来三年股东回报规划》的规定制定利润分配方案并及时实施，积极回报投资者，公司2023年现金分红达到7.93亿元。公司积极主动与广大投资者沟通，报告期，综合运用业绩说明会、路演与反路演、现场参观、线上互动等方式与广大投资者紧密联系，</w:t>
          </w:r>
          <w:r>
            <w:rPr>
              <w:szCs w:val="21"/>
            </w:rPr>
            <w:t>及时反馈投资者关切和建议，积极向资本市场传递对公司价值、未来发展的信心，获</w:t>
          </w:r>
          <w:r>
            <w:rPr>
              <w:rFonts w:hint="eastAsia"/>
              <w:szCs w:val="21"/>
            </w:rPr>
            <w:t>评中国上市公司协会“年报业绩说明会最佳实践”。公司大力提升环境、社会及治理（</w:t>
          </w:r>
          <w:r>
            <w:rPr>
              <w:szCs w:val="21"/>
            </w:rPr>
            <w:t>ESG）综合绩效，积极践行高质量发展，加快推进绿色低碳转型，坚定弘扬人类共同价值，持续完善现代企业制度，</w:t>
          </w:r>
          <w:r>
            <w:t>成功入选国资委“央企 ESG·先锋 100 指数”</w:t>
          </w:r>
          <w:r>
            <w:rPr>
              <w:szCs w:val="21"/>
            </w:rPr>
            <w:t>。</w:t>
          </w:r>
        </w:p>
        <w:p w14:paraId="66B031CE" w14:textId="77777777" w:rsidR="00E57DAA" w:rsidRDefault="00AC4185">
          <w:pPr>
            <w:ind w:firstLineChars="200" w:firstLine="420"/>
            <w:rPr>
              <w:szCs w:val="21"/>
            </w:rPr>
          </w:pPr>
          <w:r>
            <w:rPr>
              <w:szCs w:val="21"/>
            </w:rPr>
            <w:t>7、绩效评价和约束激励机制</w:t>
          </w:r>
        </w:p>
        <w:p w14:paraId="10739497" w14:textId="77777777" w:rsidR="00E57DAA" w:rsidRDefault="00AC4185">
          <w:pPr>
            <w:ind w:firstLineChars="200" w:firstLine="420"/>
            <w:jc w:val="both"/>
            <w:rPr>
              <w:szCs w:val="21"/>
            </w:rPr>
          </w:pPr>
          <w:r>
            <w:rPr>
              <w:rFonts w:hint="eastAsia"/>
              <w:szCs w:val="21"/>
            </w:rPr>
            <w:t>公司建立了公正、透明的绩效评价和激励约束机制，坚持“效益优先，效率优先”的管理原则，实行全员绩效考核，实现考核和薪酬强关联，硬约束。报告期，公司实施</w:t>
          </w:r>
          <w:r>
            <w:rPr>
              <w:szCs w:val="21"/>
            </w:rPr>
            <w:t>2021年限制性股票激励计划</w:t>
          </w:r>
          <w:r>
            <w:rPr>
              <w:rFonts w:hint="eastAsia"/>
              <w:szCs w:val="21"/>
            </w:rPr>
            <w:t>预留</w:t>
          </w:r>
          <w:r>
            <w:rPr>
              <w:szCs w:val="21"/>
            </w:rPr>
            <w:t>授予，有效的将股东利益、公司利益和经理层利益结合，公司持续深化经理层任</w:t>
          </w:r>
          <w:r>
            <w:rPr>
              <w:szCs w:val="21"/>
            </w:rPr>
            <w:lastRenderedPageBreak/>
            <w:t>期制和契约化改革，紧盯“考核、薪酬、退出”三大环节，优化配套制度和考核指标，实现考核指标100%量化，考核目标科学合理，考核结果深度应用。</w:t>
          </w:r>
        </w:p>
        <w:p w14:paraId="3D1815C9" w14:textId="77777777" w:rsidR="00E57DAA" w:rsidRDefault="00AC4185">
          <w:pPr>
            <w:ind w:firstLineChars="200" w:firstLine="420"/>
            <w:rPr>
              <w:szCs w:val="21"/>
            </w:rPr>
          </w:pPr>
          <w:r>
            <w:rPr>
              <w:szCs w:val="21"/>
            </w:rPr>
            <w:t>8、内控合规体系的建立健全</w:t>
          </w:r>
        </w:p>
        <w:p w14:paraId="60088AF2" w14:textId="77777777" w:rsidR="00E57DAA" w:rsidRDefault="00AC4185">
          <w:pPr>
            <w:ind w:firstLineChars="200" w:firstLine="420"/>
            <w:jc w:val="both"/>
            <w:rPr>
              <w:szCs w:val="21"/>
            </w:rPr>
          </w:pPr>
          <w:r>
            <w:rPr>
              <w:rFonts w:hint="eastAsia"/>
              <w:szCs w:val="21"/>
            </w:rPr>
            <w:t>公司根据自身特点和管理需要，建立了较为完善的内部控制和合规管理体系，通过规范管理有效防控经营风险。报告期，公司深入推进落实国务院国资委合规管理的工作部署，进一步建立健全内控及合规管理体系，突出重点领域、关键环节和重点人员的合规管理，强化海外经营投资行为的合规管理和违规责任追究，推进全级次合规管理自评，深入开展合同、规章制度和重大决策法律审核，围绕业务转型和国际化特点，开展专项风险排查，健全全面风险管理制度，强化风险预警体系建设，不断强化风险防控能力。</w:t>
          </w:r>
        </w:p>
      </w:sdtContent>
    </w:sdt>
    <w:p w14:paraId="42C75854" w14:textId="77777777" w:rsidR="00E57DAA" w:rsidRDefault="00E57DAA">
      <w:pPr>
        <w:rPr>
          <w:szCs w:val="21"/>
        </w:rPr>
      </w:pPr>
    </w:p>
    <w:p w14:paraId="7494765D" w14:textId="77777777" w:rsidR="00E57DAA" w:rsidRDefault="00AC4185">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662500712"/>
        <w:placeholder>
          <w:docPart w:val="GBC22222222222222222222222222222"/>
        </w:placeholder>
      </w:sdtPr>
      <w:sdtEndPr/>
      <w:sdtContent>
        <w:p w14:paraId="7E8DC48B"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BA04F4" w14:textId="77777777" w:rsidR="00E57DAA" w:rsidRDefault="00E57DAA" w:rsidP="00C25422">
      <w:pPr>
        <w:pStyle w:val="92"/>
      </w:pPr>
    </w:p>
    <w:p w14:paraId="3E5CD33E" w14:textId="77777777" w:rsidR="00E57DAA" w:rsidRDefault="00AC4185">
      <w:pPr>
        <w:pStyle w:val="2"/>
        <w:numPr>
          <w:ilvl w:val="0"/>
          <w:numId w:val="19"/>
        </w:numPr>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470940817"/>
        <w:placeholder>
          <w:docPart w:val="GBC22222222222222222222222222222"/>
        </w:placeholder>
      </w:sdtPr>
      <w:sdtEndPr/>
      <w:sdtContent>
        <w:p w14:paraId="0A20B9C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82FEDA" w14:textId="77777777" w:rsidR="00E57DAA" w:rsidRDefault="00E57DAA">
      <w:pPr>
        <w:rPr>
          <w:szCs w:val="21"/>
        </w:rPr>
      </w:pPr>
    </w:p>
    <w:p w14:paraId="5077AD96" w14:textId="77777777" w:rsidR="00E57DAA" w:rsidRDefault="00AC4185">
      <w:pPr>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259195206"/>
        <w:placeholder>
          <w:docPart w:val="GBC22222222222222222222222222222"/>
        </w:placeholder>
      </w:sdtPr>
      <w:sdtEndPr/>
      <w:sdtContent>
        <w:p w14:paraId="1A4B3CC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629132510"/>
        <w:placeholder>
          <w:docPart w:val="GBC22222222222222222222222222222"/>
        </w:placeholder>
      </w:sdtPr>
      <w:sdtEndPr/>
      <w:sdtContent>
        <w:p w14:paraId="53670CE9" w14:textId="77777777" w:rsidR="00E57DAA" w:rsidRDefault="00AC4185">
          <w:pPr>
            <w:ind w:firstLineChars="200" w:firstLine="420"/>
          </w:pPr>
          <w:r>
            <w:rPr>
              <w:rFonts w:hint="eastAsia"/>
              <w:szCs w:val="21"/>
            </w:rPr>
            <w:t>控股股东和实际控制人就规范和解决同业竞争出具了相关承诺和补充承诺。具体内容详见第六节重要事项中（一）公司实际控制人、股东、关联方、收购人以及公司等承诺相关方在报告期内或持续到报告期内的承诺事项。</w:t>
          </w:r>
        </w:p>
      </w:sdtContent>
    </w:sdt>
    <w:p w14:paraId="33671B17" w14:textId="77777777" w:rsidR="00E57DAA" w:rsidRDefault="00E57DAA">
      <w:pPr>
        <w:rPr>
          <w:szCs w:val="21"/>
        </w:rPr>
      </w:pPr>
    </w:p>
    <w:p w14:paraId="15871008" w14:textId="77777777" w:rsidR="00E57DAA" w:rsidRDefault="00E57DAA">
      <w:pPr>
        <w:rPr>
          <w:szCs w:val="21"/>
        </w:rPr>
      </w:pPr>
    </w:p>
    <w:p w14:paraId="797ED21A" w14:textId="77777777" w:rsidR="00E57DAA" w:rsidRDefault="00E57DAA">
      <w:pPr>
        <w:pStyle w:val="2"/>
        <w:numPr>
          <w:ilvl w:val="0"/>
          <w:numId w:val="19"/>
        </w:numPr>
        <w:sectPr w:rsidR="00E57DAA" w:rsidSect="00226547">
          <w:pgSz w:w="11906" w:h="16838"/>
          <w:pgMar w:top="1525" w:right="1276" w:bottom="1440" w:left="1797" w:header="855" w:footer="992" w:gutter="0"/>
          <w:cols w:space="425"/>
          <w:docGrid w:linePitch="312"/>
        </w:sectPr>
      </w:pPr>
    </w:p>
    <w:p w14:paraId="114F2F6D" w14:textId="77777777" w:rsidR="00E57DAA" w:rsidRDefault="00AC4185">
      <w:pPr>
        <w:pStyle w:val="2"/>
        <w:numPr>
          <w:ilvl w:val="0"/>
          <w:numId w:val="19"/>
        </w:numPr>
      </w:pPr>
      <w:r>
        <w:lastRenderedPageBreak/>
        <w:t>股东大会情况简介</w:t>
      </w:r>
    </w:p>
    <w:tbl>
      <w:tblPr>
        <w:tblStyle w:val="aff6"/>
        <w:tblW w:w="5000" w:type="pct"/>
        <w:tblLook w:val="04A0" w:firstRow="1" w:lastRow="0" w:firstColumn="1" w:lastColumn="0" w:noHBand="0" w:noVBand="1"/>
      </w:tblPr>
      <w:tblGrid>
        <w:gridCol w:w="1267"/>
        <w:gridCol w:w="1170"/>
        <w:gridCol w:w="2631"/>
        <w:gridCol w:w="2016"/>
        <w:gridCol w:w="6779"/>
      </w:tblGrid>
      <w:tr w:rsidR="00E57DAA" w14:paraId="4B454EFE" w14:textId="77777777">
        <w:trPr>
          <w:trHeight w:val="165"/>
        </w:trPr>
        <w:sdt>
          <w:sdtPr>
            <w:tag w:val="_PLD_ca305564151a412a8452996542c336c8"/>
            <w:id w:val="-816103494"/>
          </w:sdtPr>
          <w:sdtEndPr/>
          <w:sdtContent>
            <w:tc>
              <w:tcPr>
                <w:tcW w:w="457" w:type="pct"/>
                <w:vAlign w:val="center"/>
              </w:tcPr>
              <w:p w14:paraId="25DB255E" w14:textId="77777777" w:rsidR="00E57DAA" w:rsidRDefault="00AC4185">
                <w:pPr>
                  <w:jc w:val="center"/>
                </w:pPr>
                <w:r>
                  <w:t>会议届次</w:t>
                </w:r>
              </w:p>
            </w:tc>
          </w:sdtContent>
        </w:sdt>
        <w:sdt>
          <w:sdtPr>
            <w:tag w:val="_PLD_339c8451b8064684a85c81b08813156b"/>
            <w:id w:val="284324126"/>
          </w:sdtPr>
          <w:sdtEndPr/>
          <w:sdtContent>
            <w:tc>
              <w:tcPr>
                <w:tcW w:w="422" w:type="pct"/>
                <w:vAlign w:val="center"/>
              </w:tcPr>
              <w:p w14:paraId="63354689" w14:textId="77777777" w:rsidR="00E57DAA" w:rsidRDefault="00AC4185">
                <w:pPr>
                  <w:jc w:val="center"/>
                </w:pPr>
                <w:r>
                  <w:t>召开日期</w:t>
                </w:r>
              </w:p>
            </w:tc>
          </w:sdtContent>
        </w:sdt>
        <w:sdt>
          <w:sdtPr>
            <w:tag w:val="_PLD_7b97e84dc8f648a0b4bd3bbd757797d1"/>
            <w:id w:val="-311955262"/>
          </w:sdtPr>
          <w:sdtEndPr/>
          <w:sdtContent>
            <w:tc>
              <w:tcPr>
                <w:tcW w:w="949" w:type="pct"/>
                <w:vAlign w:val="center"/>
              </w:tcPr>
              <w:p w14:paraId="0DDFE93D" w14:textId="77777777" w:rsidR="00E57DAA" w:rsidRDefault="00AC4185">
                <w:pPr>
                  <w:jc w:val="center"/>
                </w:pPr>
                <w:r>
                  <w:t>决议刊登的指定网站的查询索引</w:t>
                </w:r>
              </w:p>
            </w:tc>
          </w:sdtContent>
        </w:sdt>
        <w:sdt>
          <w:sdtPr>
            <w:tag w:val="_PLD_e175ad3c6edc4dc8a87f046a04fe2d07"/>
            <w:id w:val="-1029095036"/>
          </w:sdtPr>
          <w:sdtEndPr/>
          <w:sdtContent>
            <w:tc>
              <w:tcPr>
                <w:tcW w:w="727" w:type="pct"/>
                <w:vAlign w:val="center"/>
              </w:tcPr>
              <w:p w14:paraId="6203791D" w14:textId="77777777" w:rsidR="00E57DAA" w:rsidRDefault="00AC4185">
                <w:pPr>
                  <w:jc w:val="center"/>
                </w:pPr>
                <w:r>
                  <w:t>决议刊登的披露日期</w:t>
                </w:r>
              </w:p>
            </w:tc>
          </w:sdtContent>
        </w:sdt>
        <w:sdt>
          <w:sdtPr>
            <w:rPr>
              <w:rFonts w:ascii="Times New Roman" w:hAnsi="Times New Roman" w:hint="eastAsia"/>
            </w:rPr>
            <w:tag w:val="_PLD_23fd9aa41f9444b4a6b91c96589bb344"/>
            <w:id w:val="-1092006778"/>
          </w:sdtPr>
          <w:sdtEndPr/>
          <w:sdtContent>
            <w:tc>
              <w:tcPr>
                <w:tcW w:w="2445" w:type="pct"/>
                <w:vAlign w:val="center"/>
              </w:tcPr>
              <w:p w14:paraId="3A4A30F7" w14:textId="77777777" w:rsidR="00E57DAA" w:rsidRDefault="00AC4185">
                <w:pPr>
                  <w:jc w:val="center"/>
                </w:pPr>
                <w:r>
                  <w:rPr>
                    <w:rFonts w:hint="eastAsia"/>
                  </w:rPr>
                  <w:t>会议决议</w:t>
                </w:r>
              </w:p>
            </w:tc>
          </w:sdtContent>
        </w:sdt>
      </w:tr>
      <w:tr w:rsidR="00E57DAA" w14:paraId="1F77D69C" w14:textId="77777777">
        <w:trPr>
          <w:trHeight w:val="195"/>
        </w:trPr>
        <w:tc>
          <w:tcPr>
            <w:tcW w:w="457" w:type="pct"/>
          </w:tcPr>
          <w:p w14:paraId="3CF44941" w14:textId="77777777" w:rsidR="00E57DAA" w:rsidRDefault="00AC4185" w:rsidP="00C25422">
            <w:pPr>
              <w:pStyle w:val="92"/>
            </w:pPr>
            <w:r>
              <w:t>2022年年度股东大会</w:t>
            </w:r>
          </w:p>
        </w:tc>
        <w:tc>
          <w:tcPr>
            <w:tcW w:w="422" w:type="pct"/>
          </w:tcPr>
          <w:p w14:paraId="02AB1A6F" w14:textId="77777777" w:rsidR="00E57DAA" w:rsidRDefault="00AC4185" w:rsidP="00C25422">
            <w:pPr>
              <w:pStyle w:val="92"/>
            </w:pPr>
            <w:r>
              <w:t>2023年4月11日</w:t>
            </w:r>
          </w:p>
        </w:tc>
        <w:tc>
          <w:tcPr>
            <w:tcW w:w="949" w:type="pct"/>
          </w:tcPr>
          <w:p w14:paraId="7921C34D" w14:textId="77777777" w:rsidR="00E57DAA" w:rsidRDefault="00AC4185" w:rsidP="00C25422">
            <w:pPr>
              <w:pStyle w:val="92"/>
            </w:pPr>
            <w:r>
              <w:t>http://www.sse.com.cn </w:t>
            </w:r>
          </w:p>
        </w:tc>
        <w:tc>
          <w:tcPr>
            <w:tcW w:w="727" w:type="pct"/>
          </w:tcPr>
          <w:p w14:paraId="1F4E5CE9" w14:textId="77777777" w:rsidR="00E57DAA" w:rsidRDefault="00AC4185" w:rsidP="00C25422">
            <w:pPr>
              <w:pStyle w:val="92"/>
            </w:pPr>
            <w:r>
              <w:t>2023年4月12日</w:t>
            </w:r>
          </w:p>
        </w:tc>
        <w:tc>
          <w:tcPr>
            <w:tcW w:w="2445" w:type="pct"/>
          </w:tcPr>
          <w:p w14:paraId="1C4F0B79" w14:textId="77777777" w:rsidR="00E57DAA" w:rsidRDefault="00AC4185" w:rsidP="00C25422">
            <w:pPr>
              <w:pStyle w:val="92"/>
            </w:pPr>
            <w:r>
              <w:t>审议通过《公司2022年度董事会工作报告》、《公司2022年度监事会工作报告》、《公司2022年度独立董事述职报告》、《公司2022年度财务决算报告》、《公司2022年度利润分配预案》、《公司2022年年度报告及摘要》。 </w:t>
            </w:r>
          </w:p>
        </w:tc>
      </w:tr>
      <w:tr w:rsidR="00E57DAA" w14:paraId="5E25BBA3" w14:textId="77777777">
        <w:trPr>
          <w:trHeight w:val="195"/>
        </w:trPr>
        <w:tc>
          <w:tcPr>
            <w:tcW w:w="457" w:type="pct"/>
          </w:tcPr>
          <w:p w14:paraId="5370D43F" w14:textId="77777777" w:rsidR="00E57DAA" w:rsidRDefault="00AC4185" w:rsidP="00C25422">
            <w:pPr>
              <w:pStyle w:val="92"/>
            </w:pPr>
            <w:r>
              <w:t>2023年第一次临时股东大会</w:t>
            </w:r>
          </w:p>
        </w:tc>
        <w:tc>
          <w:tcPr>
            <w:tcW w:w="422" w:type="pct"/>
          </w:tcPr>
          <w:p w14:paraId="2A8B49DB" w14:textId="77777777" w:rsidR="00E57DAA" w:rsidRDefault="00AC4185" w:rsidP="00C25422">
            <w:pPr>
              <w:pStyle w:val="92"/>
            </w:pPr>
            <w:r>
              <w:t>2023年5月11日</w:t>
            </w:r>
          </w:p>
        </w:tc>
        <w:tc>
          <w:tcPr>
            <w:tcW w:w="949" w:type="pct"/>
          </w:tcPr>
          <w:p w14:paraId="3C9D2FA6" w14:textId="77777777" w:rsidR="00E57DAA" w:rsidRDefault="00AC4185" w:rsidP="00C25422">
            <w:pPr>
              <w:pStyle w:val="92"/>
            </w:pPr>
            <w:r>
              <w:t>http://www.sse.com.cn</w:t>
            </w:r>
          </w:p>
        </w:tc>
        <w:tc>
          <w:tcPr>
            <w:tcW w:w="727" w:type="pct"/>
          </w:tcPr>
          <w:p w14:paraId="7539CC04" w14:textId="77777777" w:rsidR="00E57DAA" w:rsidRDefault="00AC4185" w:rsidP="00C25422">
            <w:pPr>
              <w:pStyle w:val="92"/>
            </w:pPr>
            <w:r>
              <w:t>2023年5月12日</w:t>
            </w:r>
          </w:p>
        </w:tc>
        <w:tc>
          <w:tcPr>
            <w:tcW w:w="2445" w:type="pct"/>
          </w:tcPr>
          <w:p w14:paraId="4554B80E" w14:textId="77777777" w:rsidR="00E57DAA" w:rsidRDefault="00AC4185" w:rsidP="00C25422">
            <w:pPr>
              <w:pStyle w:val="92"/>
            </w:pPr>
            <w:r>
              <w:t>审议通过《关于增加注册资本并修订&lt;公司章程&gt;的议案》、《关于修订&lt;公司股东大会议事规则&gt;的议案》、《关于修订&lt;公司董事会议事规则&gt;的议案》、《关于修订&lt;公司独立董事工作制度&gt;的议案》、《关于中材海外为关联参股公司中材科技（巴西）风电叶片有限公司境外融资提供担保的议案》、《关于公司2023年度投资计划的议案》。</w:t>
            </w:r>
          </w:p>
        </w:tc>
      </w:tr>
      <w:tr w:rsidR="00E57DAA" w14:paraId="46FF29D4" w14:textId="77777777">
        <w:trPr>
          <w:trHeight w:val="195"/>
        </w:trPr>
        <w:tc>
          <w:tcPr>
            <w:tcW w:w="457" w:type="pct"/>
          </w:tcPr>
          <w:p w14:paraId="689C5226" w14:textId="77777777" w:rsidR="00E57DAA" w:rsidRDefault="00AC4185" w:rsidP="00C25422">
            <w:pPr>
              <w:pStyle w:val="92"/>
            </w:pPr>
            <w:r>
              <w:t>2023年第二次临时股东大会</w:t>
            </w:r>
          </w:p>
        </w:tc>
        <w:tc>
          <w:tcPr>
            <w:tcW w:w="422" w:type="pct"/>
          </w:tcPr>
          <w:p w14:paraId="50087843" w14:textId="77777777" w:rsidR="00E57DAA" w:rsidRDefault="00AC4185" w:rsidP="00C25422">
            <w:pPr>
              <w:pStyle w:val="92"/>
            </w:pPr>
            <w:r>
              <w:t>2023年9月11日</w:t>
            </w:r>
          </w:p>
        </w:tc>
        <w:tc>
          <w:tcPr>
            <w:tcW w:w="949" w:type="pct"/>
          </w:tcPr>
          <w:p w14:paraId="6FFA70DD" w14:textId="77777777" w:rsidR="00E57DAA" w:rsidRDefault="00AC4185" w:rsidP="00C25422">
            <w:pPr>
              <w:pStyle w:val="92"/>
            </w:pPr>
            <w:r>
              <w:t>http://www.sse.com.cn</w:t>
            </w:r>
          </w:p>
        </w:tc>
        <w:tc>
          <w:tcPr>
            <w:tcW w:w="727" w:type="pct"/>
          </w:tcPr>
          <w:p w14:paraId="75C8B5E8" w14:textId="77777777" w:rsidR="00E57DAA" w:rsidRDefault="00AC4185" w:rsidP="00C25422">
            <w:pPr>
              <w:pStyle w:val="92"/>
            </w:pPr>
            <w:r>
              <w:t>2023年9月12日</w:t>
            </w:r>
          </w:p>
        </w:tc>
        <w:tc>
          <w:tcPr>
            <w:tcW w:w="2445" w:type="pct"/>
          </w:tcPr>
          <w:p w14:paraId="2FF78D94" w14:textId="77777777" w:rsidR="00E57DAA" w:rsidRDefault="00AC4185" w:rsidP="00C25422">
            <w:pPr>
              <w:pStyle w:val="92"/>
            </w:pPr>
            <w:r>
              <w:t>审议通过《关于王益民董事2022年度薪酬的议案》、《关于公司符合公开发行公司债券条件的议案》、《关于公司公开发行公司债券方案的议案》、《关于提请股东大会授权公司董事会及相关人士全权办理公司公开发行公司债券及上市相关事宜的议案》。</w:t>
            </w:r>
          </w:p>
        </w:tc>
      </w:tr>
      <w:tr w:rsidR="00E57DAA" w14:paraId="6B21186D" w14:textId="77777777">
        <w:trPr>
          <w:trHeight w:val="195"/>
        </w:trPr>
        <w:tc>
          <w:tcPr>
            <w:tcW w:w="457" w:type="pct"/>
          </w:tcPr>
          <w:p w14:paraId="45F4734C" w14:textId="77777777" w:rsidR="00E57DAA" w:rsidRDefault="00AC4185" w:rsidP="00C25422">
            <w:pPr>
              <w:pStyle w:val="92"/>
            </w:pPr>
            <w:r>
              <w:t>2023年第三次临时股东大会</w:t>
            </w:r>
          </w:p>
        </w:tc>
        <w:tc>
          <w:tcPr>
            <w:tcW w:w="422" w:type="pct"/>
          </w:tcPr>
          <w:p w14:paraId="4DF7F6D0" w14:textId="77777777" w:rsidR="00E57DAA" w:rsidRDefault="00AC4185" w:rsidP="00C25422">
            <w:pPr>
              <w:pStyle w:val="92"/>
            </w:pPr>
            <w:r>
              <w:t>2023年10月24日</w:t>
            </w:r>
          </w:p>
        </w:tc>
        <w:tc>
          <w:tcPr>
            <w:tcW w:w="949" w:type="pct"/>
          </w:tcPr>
          <w:p w14:paraId="3CC458FD" w14:textId="77777777" w:rsidR="00E57DAA" w:rsidRDefault="00AC4185" w:rsidP="00C25422">
            <w:pPr>
              <w:pStyle w:val="92"/>
            </w:pPr>
            <w:r>
              <w:t>http://www.sse.com.cn</w:t>
            </w:r>
          </w:p>
        </w:tc>
        <w:tc>
          <w:tcPr>
            <w:tcW w:w="727" w:type="pct"/>
          </w:tcPr>
          <w:p w14:paraId="5396AA11" w14:textId="77777777" w:rsidR="00E57DAA" w:rsidRDefault="00AC4185" w:rsidP="00C25422">
            <w:pPr>
              <w:pStyle w:val="92"/>
            </w:pPr>
            <w:r>
              <w:t>2023年10月25日</w:t>
            </w:r>
          </w:p>
        </w:tc>
        <w:tc>
          <w:tcPr>
            <w:tcW w:w="2445" w:type="pct"/>
          </w:tcPr>
          <w:p w14:paraId="560724F1" w14:textId="77777777" w:rsidR="00E57DAA" w:rsidRDefault="00AC4185" w:rsidP="00C25422">
            <w:pPr>
              <w:pStyle w:val="92"/>
            </w:pPr>
            <w:r>
              <w:t>审议通过《关于董事会换届选举非独立董事的议案》、《关于董事会换届选举独立董事的议案》、《关于监事会换届选举监事的议案》。</w:t>
            </w:r>
          </w:p>
        </w:tc>
      </w:tr>
      <w:tr w:rsidR="00E57DAA" w14:paraId="41A95017" w14:textId="77777777">
        <w:trPr>
          <w:trHeight w:val="195"/>
        </w:trPr>
        <w:tc>
          <w:tcPr>
            <w:tcW w:w="457" w:type="pct"/>
          </w:tcPr>
          <w:p w14:paraId="6FB2F67F" w14:textId="77777777" w:rsidR="00E57DAA" w:rsidRDefault="00AC4185" w:rsidP="00C25422">
            <w:pPr>
              <w:pStyle w:val="92"/>
            </w:pPr>
            <w:r>
              <w:t>2023年第四次临时股东大会</w:t>
            </w:r>
          </w:p>
        </w:tc>
        <w:tc>
          <w:tcPr>
            <w:tcW w:w="422" w:type="pct"/>
          </w:tcPr>
          <w:p w14:paraId="3FA74B5D" w14:textId="77777777" w:rsidR="00E57DAA" w:rsidRDefault="00AC4185" w:rsidP="00C25422">
            <w:pPr>
              <w:pStyle w:val="92"/>
            </w:pPr>
            <w:r>
              <w:t>2023年12月20日</w:t>
            </w:r>
          </w:p>
        </w:tc>
        <w:tc>
          <w:tcPr>
            <w:tcW w:w="949" w:type="pct"/>
          </w:tcPr>
          <w:p w14:paraId="100317EA" w14:textId="77777777" w:rsidR="00E57DAA" w:rsidRDefault="00AC4185" w:rsidP="00C25422">
            <w:pPr>
              <w:pStyle w:val="92"/>
            </w:pPr>
            <w:r>
              <w:t>http://www.sse.com.cn</w:t>
            </w:r>
          </w:p>
        </w:tc>
        <w:tc>
          <w:tcPr>
            <w:tcW w:w="727" w:type="pct"/>
          </w:tcPr>
          <w:p w14:paraId="61B9196A" w14:textId="77777777" w:rsidR="00E57DAA" w:rsidRDefault="00AC4185" w:rsidP="00C25422">
            <w:pPr>
              <w:pStyle w:val="92"/>
            </w:pPr>
            <w:r>
              <w:t>2023年12月21日</w:t>
            </w:r>
          </w:p>
        </w:tc>
        <w:tc>
          <w:tcPr>
            <w:tcW w:w="2445" w:type="pct"/>
          </w:tcPr>
          <w:p w14:paraId="1510D432" w14:textId="77777777" w:rsidR="00E57DAA" w:rsidRDefault="00AC4185" w:rsidP="00C25422">
            <w:pPr>
              <w:pStyle w:val="92"/>
            </w:pPr>
            <w:r>
              <w:t>审议通过《关于聘任公司2023年度财务报告审计机构及内部控制审计机构的议案》、《关于修订&lt;公司独立董事工作制度&gt;的议案》、《关于修订&lt;公司章程&gt;的议案》、《关于修订&lt;公司股东大会议事规则&gt;的议案》、《关于修订&lt;公司董事会议事规则&gt;的议案》、《关于公司增资中材水泥有限责任公司暨关联交易的议案》、《关于公司2024年度日常关联交易预计的议案》、《关于公司未来三年股东回报规划（2024 年-2026 年）的议案》。</w:t>
            </w:r>
          </w:p>
        </w:tc>
      </w:tr>
    </w:tbl>
    <w:p w14:paraId="1772589A" w14:textId="77777777" w:rsidR="00E57DAA" w:rsidRDefault="00AC4185">
      <w:pPr>
        <w:rPr>
          <w:bCs/>
        </w:rPr>
      </w:pPr>
      <w:r>
        <w:rPr>
          <w:rFonts w:hint="eastAsia"/>
          <w:bCs/>
        </w:rPr>
        <w:t>表决权恢复的优先股股东请求召开临时股东大会</w:t>
      </w:r>
    </w:p>
    <w:bookmarkStart w:id="82" w:name="_Hlk89178901" w:displacedByCustomXml="next"/>
    <w:bookmarkStart w:id="83" w:name="_Hlk41294309" w:displacedByCustomXml="next"/>
    <w:sdt>
      <w:sdtPr>
        <w:alias w:val="是否适用：表决权恢复的优先股股东请求召开临时股东大会[双击切换]"/>
        <w:tag w:val="_GBC_daa6d818841c4c078ecf082b84efd616"/>
        <w:id w:val="133679589"/>
        <w:placeholder>
          <w:docPart w:val="GBC22222222222222222222222222222"/>
        </w:placeholder>
      </w:sdtPr>
      <w:sdtEndPr/>
      <w:sdtContent>
        <w:p w14:paraId="18BDC20C" w14:textId="77777777" w:rsidR="00E57DAA" w:rsidRDefault="00AC4185">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83"/>
    <w:bookmarkEnd w:id="82"/>
    <w:p w14:paraId="42C9FF61" w14:textId="77777777" w:rsidR="00E57DAA" w:rsidRDefault="00E57DAA">
      <w:pPr>
        <w:rPr>
          <w:szCs w:val="21"/>
        </w:rPr>
      </w:pPr>
    </w:p>
    <w:p w14:paraId="5A570ED8" w14:textId="77777777" w:rsidR="00E57DAA" w:rsidRDefault="00AC4185">
      <w:pPr>
        <w:rPr>
          <w:szCs w:val="21"/>
        </w:rPr>
      </w:pPr>
      <w:r>
        <w:rPr>
          <w:szCs w:val="21"/>
        </w:rPr>
        <w:t>股东大会情况说明</w:t>
      </w:r>
    </w:p>
    <w:sdt>
      <w:sdtPr>
        <w:rPr>
          <w:szCs w:val="21"/>
        </w:rPr>
        <w:alias w:val="是否适用：股东大会情况说明[双击切换]"/>
        <w:tag w:val="_GBC_417d33555ab14709b5640c8830ff5a67"/>
        <w:id w:val="-1028876111"/>
        <w:placeholder>
          <w:docPart w:val="GBC22222222222222222222222222222"/>
        </w:placeholder>
      </w:sdtPr>
      <w:sdtEndPr/>
      <w:sdtContent>
        <w:p w14:paraId="58E14FCE"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BF7BC9" w14:textId="77777777" w:rsidR="00E57DAA" w:rsidRDefault="00E57DAA">
      <w:pPr>
        <w:rPr>
          <w:szCs w:val="21"/>
        </w:rPr>
        <w:sectPr w:rsidR="00E57DAA" w:rsidSect="00226547">
          <w:pgSz w:w="16838" w:h="11906" w:orient="landscape"/>
          <w:pgMar w:top="1797" w:right="1525" w:bottom="1276" w:left="1440" w:header="855" w:footer="992" w:gutter="0"/>
          <w:cols w:space="425"/>
          <w:docGrid w:linePitch="312"/>
        </w:sectPr>
      </w:pPr>
    </w:p>
    <w:p w14:paraId="0AFCA1B8" w14:textId="77777777" w:rsidR="00E57DAA" w:rsidRDefault="00AC4185">
      <w:pPr>
        <w:pStyle w:val="2"/>
        <w:numPr>
          <w:ilvl w:val="0"/>
          <w:numId w:val="19"/>
        </w:numPr>
      </w:pPr>
      <w:r>
        <w:lastRenderedPageBreak/>
        <w:t>董事、监事和高级管理人员的情况</w:t>
      </w:r>
    </w:p>
    <w:p w14:paraId="18D4BF33" w14:textId="77777777" w:rsidR="00E57DAA" w:rsidRDefault="00AC4185">
      <w:pPr>
        <w:pStyle w:val="3"/>
        <w:numPr>
          <w:ilvl w:val="0"/>
          <w:numId w:val="20"/>
        </w:numPr>
      </w:pPr>
      <w:r>
        <w:rPr>
          <w:rFonts w:hint="eastAsia"/>
        </w:rPr>
        <w:t xml:space="preserve"> </w:t>
      </w:r>
      <w:r>
        <w:t>现任及报告期内离任董事</w:t>
      </w:r>
      <w:r>
        <w:rPr>
          <w:rFonts w:hint="eastAsia"/>
        </w:rPr>
        <w:t>、监事和</w:t>
      </w:r>
      <w:r>
        <w:t>高级管理人员持股变动及报酬情况</w:t>
      </w:r>
    </w:p>
    <w:bookmarkStart w:id="84" w:name="_Hlk89179934" w:displacedByCustomXml="next"/>
    <w:sdt>
      <w:sdtPr>
        <w:alias w:val="是否适用：董事、监事和高级管理人员持股变动[双击切换]"/>
        <w:tag w:val="_GBC_336639f5f1254c87a3d81a366e432afd"/>
        <w:id w:val="680940527"/>
        <w:lock w:val="contentLocked"/>
        <w:placeholder>
          <w:docPart w:val="GBC22222222222222222222222222222"/>
        </w:placeholder>
      </w:sdtPr>
      <w:sdtEndPr/>
      <w:sdtContent>
        <w:p w14:paraId="34B7D99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22B246" w14:textId="77777777" w:rsidR="00E57DAA" w:rsidRDefault="00AC4185">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1526141078"/>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aff6"/>
        <w:tblW w:w="5000" w:type="pct"/>
        <w:tblLook w:val="04A0" w:firstRow="1" w:lastRow="0" w:firstColumn="1" w:lastColumn="0" w:noHBand="0" w:noVBand="1"/>
      </w:tblPr>
      <w:tblGrid>
        <w:gridCol w:w="987"/>
        <w:gridCol w:w="1985"/>
        <w:gridCol w:w="566"/>
        <w:gridCol w:w="568"/>
        <w:gridCol w:w="1417"/>
        <w:gridCol w:w="1417"/>
        <w:gridCol w:w="1420"/>
        <w:gridCol w:w="1275"/>
        <w:gridCol w:w="1134"/>
        <w:gridCol w:w="851"/>
        <w:gridCol w:w="1275"/>
        <w:gridCol w:w="968"/>
      </w:tblGrid>
      <w:tr w:rsidR="00E57DAA" w14:paraId="71A2DE72" w14:textId="77777777" w:rsidTr="00384446">
        <w:trPr>
          <w:trHeight w:val="968"/>
        </w:trPr>
        <w:sdt>
          <w:sdtPr>
            <w:tag w:val="_PLD_3e935958e5b542f38f53ca8a2618690d"/>
            <w:id w:val="-2075652620"/>
          </w:sdtPr>
          <w:sdtEndPr/>
          <w:sdtContent>
            <w:tc>
              <w:tcPr>
                <w:tcW w:w="356" w:type="pct"/>
                <w:vAlign w:val="center"/>
              </w:tcPr>
              <w:p w14:paraId="2A1DE10D" w14:textId="77777777" w:rsidR="00E57DAA" w:rsidRDefault="00AC4185">
                <w:pPr>
                  <w:jc w:val="center"/>
                  <w:rPr>
                    <w:szCs w:val="21"/>
                  </w:rPr>
                </w:pPr>
                <w:r>
                  <w:rPr>
                    <w:szCs w:val="21"/>
                  </w:rPr>
                  <w:t>姓名</w:t>
                </w:r>
              </w:p>
            </w:tc>
          </w:sdtContent>
        </w:sdt>
        <w:sdt>
          <w:sdtPr>
            <w:tag w:val="_PLD_5ecaa59058dd4312acb6ebb4d88eb6c8"/>
            <w:id w:val="-1842848430"/>
          </w:sdtPr>
          <w:sdtEndPr/>
          <w:sdtContent>
            <w:tc>
              <w:tcPr>
                <w:tcW w:w="716" w:type="pct"/>
                <w:vAlign w:val="center"/>
              </w:tcPr>
              <w:p w14:paraId="574F7D59" w14:textId="77777777" w:rsidR="00E57DAA" w:rsidRDefault="00AC4185">
                <w:pPr>
                  <w:jc w:val="center"/>
                  <w:rPr>
                    <w:szCs w:val="21"/>
                  </w:rPr>
                </w:pPr>
                <w:r>
                  <w:rPr>
                    <w:szCs w:val="21"/>
                  </w:rPr>
                  <w:t>职务</w:t>
                </w:r>
              </w:p>
            </w:tc>
          </w:sdtContent>
        </w:sdt>
        <w:sdt>
          <w:sdtPr>
            <w:tag w:val="_PLD_f907f9c5cdf94b2ba9e217c0aaaf2c60"/>
            <w:id w:val="1707597827"/>
          </w:sdtPr>
          <w:sdtEndPr/>
          <w:sdtContent>
            <w:tc>
              <w:tcPr>
                <w:tcW w:w="204" w:type="pct"/>
                <w:vAlign w:val="center"/>
              </w:tcPr>
              <w:p w14:paraId="1F88A011" w14:textId="77777777" w:rsidR="00E57DAA" w:rsidRDefault="00AC4185">
                <w:pPr>
                  <w:jc w:val="center"/>
                  <w:rPr>
                    <w:szCs w:val="21"/>
                  </w:rPr>
                </w:pPr>
                <w:r>
                  <w:rPr>
                    <w:szCs w:val="21"/>
                  </w:rPr>
                  <w:t>性别</w:t>
                </w:r>
              </w:p>
            </w:tc>
          </w:sdtContent>
        </w:sdt>
        <w:sdt>
          <w:sdtPr>
            <w:tag w:val="_PLD_9b2689bca35f4a3ebc7adf135b295bd6"/>
            <w:id w:val="1121417517"/>
          </w:sdtPr>
          <w:sdtEndPr/>
          <w:sdtContent>
            <w:tc>
              <w:tcPr>
                <w:tcW w:w="205" w:type="pct"/>
                <w:vAlign w:val="center"/>
              </w:tcPr>
              <w:p w14:paraId="577172C2" w14:textId="77777777" w:rsidR="00E57DAA" w:rsidRDefault="00AC4185">
                <w:pPr>
                  <w:jc w:val="center"/>
                  <w:rPr>
                    <w:szCs w:val="21"/>
                  </w:rPr>
                </w:pPr>
                <w:r>
                  <w:rPr>
                    <w:szCs w:val="21"/>
                  </w:rPr>
                  <w:t>年龄</w:t>
                </w:r>
              </w:p>
            </w:tc>
          </w:sdtContent>
        </w:sdt>
        <w:sdt>
          <w:sdtPr>
            <w:tag w:val="_PLD_3844eb481c79444fba199a9d3c3b8bf7"/>
            <w:id w:val="-72972808"/>
          </w:sdtPr>
          <w:sdtEndPr/>
          <w:sdtContent>
            <w:tc>
              <w:tcPr>
                <w:tcW w:w="511" w:type="pct"/>
                <w:vAlign w:val="center"/>
              </w:tcPr>
              <w:p w14:paraId="364C5A5D" w14:textId="77777777" w:rsidR="00E57DAA" w:rsidRDefault="00AC4185">
                <w:pPr>
                  <w:jc w:val="center"/>
                  <w:rPr>
                    <w:szCs w:val="21"/>
                  </w:rPr>
                </w:pPr>
                <w:r>
                  <w:rPr>
                    <w:szCs w:val="21"/>
                  </w:rPr>
                  <w:t>任期起始日期</w:t>
                </w:r>
              </w:p>
            </w:tc>
          </w:sdtContent>
        </w:sdt>
        <w:sdt>
          <w:sdtPr>
            <w:tag w:val="_PLD_94806df607544b4b97b389da94daaf66"/>
            <w:id w:val="-576435380"/>
          </w:sdtPr>
          <w:sdtEndPr/>
          <w:sdtContent>
            <w:tc>
              <w:tcPr>
                <w:tcW w:w="511" w:type="pct"/>
                <w:vAlign w:val="center"/>
              </w:tcPr>
              <w:p w14:paraId="2A336C1E" w14:textId="77777777" w:rsidR="00E57DAA" w:rsidRDefault="00AC4185">
                <w:pPr>
                  <w:jc w:val="center"/>
                  <w:rPr>
                    <w:szCs w:val="21"/>
                  </w:rPr>
                </w:pPr>
                <w:r>
                  <w:rPr>
                    <w:szCs w:val="21"/>
                  </w:rPr>
                  <w:t>任期终止日期</w:t>
                </w:r>
              </w:p>
            </w:tc>
          </w:sdtContent>
        </w:sdt>
        <w:sdt>
          <w:sdtPr>
            <w:tag w:val="_PLD_5e35d588fd7f4cb3af49fcbd9e313ac2"/>
            <w:id w:val="-141900269"/>
          </w:sdtPr>
          <w:sdtEndPr/>
          <w:sdtContent>
            <w:tc>
              <w:tcPr>
                <w:tcW w:w="512" w:type="pct"/>
                <w:vAlign w:val="center"/>
              </w:tcPr>
              <w:p w14:paraId="11C77592" w14:textId="77777777" w:rsidR="00E57DAA" w:rsidRDefault="00AC4185">
                <w:pPr>
                  <w:jc w:val="center"/>
                  <w:rPr>
                    <w:szCs w:val="21"/>
                  </w:rPr>
                </w:pPr>
                <w:r>
                  <w:rPr>
                    <w:szCs w:val="21"/>
                  </w:rPr>
                  <w:t>年初持股数</w:t>
                </w:r>
              </w:p>
            </w:tc>
          </w:sdtContent>
        </w:sdt>
        <w:sdt>
          <w:sdtPr>
            <w:tag w:val="_PLD_af0cabd7e3f44b95b26464bc652333c2"/>
            <w:id w:val="543943409"/>
          </w:sdtPr>
          <w:sdtEndPr/>
          <w:sdtContent>
            <w:tc>
              <w:tcPr>
                <w:tcW w:w="460" w:type="pct"/>
                <w:vAlign w:val="center"/>
              </w:tcPr>
              <w:p w14:paraId="2BF61E22" w14:textId="77777777" w:rsidR="00E57DAA" w:rsidRDefault="00AC4185">
                <w:pPr>
                  <w:jc w:val="center"/>
                  <w:rPr>
                    <w:szCs w:val="21"/>
                  </w:rPr>
                </w:pPr>
                <w:r>
                  <w:rPr>
                    <w:szCs w:val="21"/>
                  </w:rPr>
                  <w:t>年末持股数</w:t>
                </w:r>
              </w:p>
            </w:tc>
          </w:sdtContent>
        </w:sdt>
        <w:sdt>
          <w:sdtPr>
            <w:tag w:val="_PLD_0b9453da77b34ba68718efe69463399a"/>
            <w:id w:val="-1690825774"/>
          </w:sdtPr>
          <w:sdtEndPr/>
          <w:sdtContent>
            <w:tc>
              <w:tcPr>
                <w:tcW w:w="409" w:type="pct"/>
                <w:vAlign w:val="center"/>
              </w:tcPr>
              <w:p w14:paraId="1BEECBC1" w14:textId="77777777" w:rsidR="00E57DAA" w:rsidRDefault="00AC4185">
                <w:pPr>
                  <w:jc w:val="center"/>
                  <w:rPr>
                    <w:szCs w:val="21"/>
                  </w:rPr>
                </w:pPr>
                <w:r>
                  <w:rPr>
                    <w:szCs w:val="21"/>
                  </w:rPr>
                  <w:t>年度内股份增减变动量</w:t>
                </w:r>
              </w:p>
            </w:tc>
          </w:sdtContent>
        </w:sdt>
        <w:sdt>
          <w:sdtPr>
            <w:tag w:val="_PLD_32c045d1529e42b7999b1f0c6b6e43a6"/>
            <w:id w:val="-788044814"/>
          </w:sdtPr>
          <w:sdtEndPr/>
          <w:sdtContent>
            <w:tc>
              <w:tcPr>
                <w:tcW w:w="307" w:type="pct"/>
                <w:vAlign w:val="center"/>
              </w:tcPr>
              <w:p w14:paraId="330B76F1" w14:textId="77777777" w:rsidR="00E57DAA" w:rsidRDefault="00AC4185">
                <w:pPr>
                  <w:jc w:val="center"/>
                  <w:rPr>
                    <w:szCs w:val="21"/>
                  </w:rPr>
                </w:pPr>
                <w:r>
                  <w:rPr>
                    <w:szCs w:val="21"/>
                  </w:rPr>
                  <w:t>增减变动原因</w:t>
                </w:r>
              </w:p>
            </w:tc>
          </w:sdtContent>
        </w:sdt>
        <w:sdt>
          <w:sdtPr>
            <w:rPr>
              <w:rFonts w:ascii="Times New Roman" w:hAnsi="Times New Roman" w:hint="eastAsia"/>
            </w:rPr>
            <w:tag w:val="_PLD_47ee572944fa4c8098ef9eeca67d2eb2"/>
            <w:id w:val="-136342827"/>
            <w:placeholder>
              <w:docPart w:val="GBC11111111111111111111111111111"/>
            </w:placeholder>
          </w:sdtPr>
          <w:sdtEndPr/>
          <w:sdtContent>
            <w:tc>
              <w:tcPr>
                <w:tcW w:w="460" w:type="pct"/>
                <w:vAlign w:val="center"/>
              </w:tcPr>
              <w:p w14:paraId="59DECE7F" w14:textId="77777777" w:rsidR="00E57DAA" w:rsidRDefault="00AC4185">
                <w:pPr>
                  <w:jc w:val="center"/>
                </w:pPr>
                <w:r>
                  <w:rPr>
                    <w:rFonts w:hint="eastAsia"/>
                  </w:rPr>
                  <w:t>报告期内从公司获得的税前报酬总额（</w:t>
                </w:r>
                <w:sdt>
                  <w:sdtPr>
                    <w:rPr>
                      <w:rFonts w:hint="eastAsia"/>
                    </w:rPr>
                    <w:alias w:val="单位：报告期内从公司获得的税前报酬总额"/>
                    <w:tag w:val="_GBC_84bf98b6209e4e62813239bd0860e78d"/>
                    <w:id w:val="-1518989293"/>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w:t>
                </w:r>
              </w:p>
            </w:tc>
          </w:sdtContent>
        </w:sdt>
        <w:sdt>
          <w:sdtPr>
            <w:rPr>
              <w:rFonts w:ascii="Times New Roman" w:hAnsi="Times New Roman" w:hint="eastAsia"/>
              <w:szCs w:val="21"/>
            </w:rPr>
            <w:tag w:val="_PLD_efdfb631398b46bfa3656e39fd8c5fca"/>
            <w:id w:val="1262112425"/>
          </w:sdtPr>
          <w:sdtEndPr/>
          <w:sdtContent>
            <w:tc>
              <w:tcPr>
                <w:tcW w:w="349" w:type="pct"/>
                <w:vAlign w:val="center"/>
              </w:tcPr>
              <w:p w14:paraId="53A4BAE6" w14:textId="77777777" w:rsidR="00E57DAA" w:rsidRDefault="00AC4185">
                <w:pPr>
                  <w:jc w:val="center"/>
                </w:pPr>
                <w:r>
                  <w:rPr>
                    <w:rFonts w:hint="eastAsia"/>
                    <w:szCs w:val="21"/>
                  </w:rPr>
                  <w:t>是否在公司关联方获取报酬</w:t>
                </w:r>
              </w:p>
            </w:tc>
          </w:sdtContent>
        </w:sdt>
      </w:tr>
      <w:tr w:rsidR="00384446" w14:paraId="0E1EB79F" w14:textId="77777777" w:rsidTr="00384446">
        <w:trPr>
          <w:trHeight w:val="132"/>
        </w:trPr>
        <w:tc>
          <w:tcPr>
            <w:tcW w:w="356" w:type="pct"/>
            <w:vMerge w:val="restart"/>
          </w:tcPr>
          <w:p w14:paraId="103CB3E7" w14:textId="77777777" w:rsidR="00384446" w:rsidRDefault="00384446">
            <w:pPr>
              <w:rPr>
                <w:szCs w:val="21"/>
              </w:rPr>
            </w:pPr>
            <w:r>
              <w:rPr>
                <w:rFonts w:hint="eastAsia"/>
                <w:szCs w:val="21"/>
              </w:rPr>
              <w:t>印志松</w:t>
            </w:r>
          </w:p>
        </w:tc>
        <w:tc>
          <w:tcPr>
            <w:tcW w:w="716" w:type="pct"/>
          </w:tcPr>
          <w:p w14:paraId="03CE5B65" w14:textId="77777777" w:rsidR="00384446" w:rsidRDefault="00384446">
            <w:pPr>
              <w:rPr>
                <w:szCs w:val="21"/>
              </w:rPr>
            </w:pPr>
            <w:r>
              <w:rPr>
                <w:rFonts w:hint="eastAsia"/>
                <w:szCs w:val="21"/>
              </w:rPr>
              <w:t>董事长</w:t>
            </w:r>
          </w:p>
        </w:tc>
        <w:tc>
          <w:tcPr>
            <w:tcW w:w="204" w:type="pct"/>
            <w:vMerge w:val="restart"/>
            <w:vAlign w:val="center"/>
          </w:tcPr>
          <w:p w14:paraId="1E94E731" w14:textId="77777777" w:rsidR="00384446" w:rsidRDefault="00384446">
            <w:pPr>
              <w:rPr>
                <w:szCs w:val="21"/>
              </w:rPr>
            </w:pPr>
            <w:r>
              <w:t>男</w:t>
            </w:r>
          </w:p>
        </w:tc>
        <w:tc>
          <w:tcPr>
            <w:tcW w:w="205" w:type="pct"/>
            <w:vMerge w:val="restart"/>
            <w:vAlign w:val="center"/>
          </w:tcPr>
          <w:p w14:paraId="517610CD" w14:textId="77777777" w:rsidR="00384446" w:rsidRDefault="00384446">
            <w:pPr>
              <w:rPr>
                <w:szCs w:val="21"/>
              </w:rPr>
            </w:pPr>
            <w:r>
              <w:t>56</w:t>
            </w:r>
          </w:p>
        </w:tc>
        <w:tc>
          <w:tcPr>
            <w:tcW w:w="511" w:type="pct"/>
            <w:vAlign w:val="center"/>
          </w:tcPr>
          <w:p w14:paraId="396F65AF" w14:textId="77777777" w:rsidR="00384446" w:rsidRDefault="00384446">
            <w:pPr>
              <w:rPr>
                <w:szCs w:val="21"/>
              </w:rPr>
            </w:pPr>
            <w:r>
              <w:t>2023-07-21</w:t>
            </w:r>
          </w:p>
        </w:tc>
        <w:tc>
          <w:tcPr>
            <w:tcW w:w="511" w:type="pct"/>
            <w:vAlign w:val="center"/>
          </w:tcPr>
          <w:p w14:paraId="019CC2EB" w14:textId="77777777" w:rsidR="00384446" w:rsidRDefault="00384446">
            <w:pPr>
              <w:rPr>
                <w:szCs w:val="21"/>
              </w:rPr>
            </w:pPr>
            <w:r>
              <w:t>2026-10-23</w:t>
            </w:r>
          </w:p>
        </w:tc>
        <w:tc>
          <w:tcPr>
            <w:tcW w:w="512" w:type="pct"/>
            <w:vMerge w:val="restart"/>
            <w:vAlign w:val="center"/>
          </w:tcPr>
          <w:p w14:paraId="75EE6AC3" w14:textId="77777777" w:rsidR="00384446" w:rsidRDefault="00384446">
            <w:pPr>
              <w:jc w:val="right"/>
              <w:rPr>
                <w:szCs w:val="21"/>
              </w:rPr>
            </w:pPr>
            <w:r>
              <w:t>374,000</w:t>
            </w:r>
          </w:p>
        </w:tc>
        <w:tc>
          <w:tcPr>
            <w:tcW w:w="460" w:type="pct"/>
            <w:vMerge w:val="restart"/>
            <w:vAlign w:val="center"/>
          </w:tcPr>
          <w:p w14:paraId="5682C04A" w14:textId="77777777" w:rsidR="00384446" w:rsidRDefault="00384446">
            <w:pPr>
              <w:jc w:val="right"/>
              <w:rPr>
                <w:szCs w:val="21"/>
              </w:rPr>
            </w:pPr>
            <w:r>
              <w:t>374,000</w:t>
            </w:r>
          </w:p>
        </w:tc>
        <w:tc>
          <w:tcPr>
            <w:tcW w:w="409" w:type="pct"/>
            <w:vMerge w:val="restart"/>
            <w:vAlign w:val="center"/>
          </w:tcPr>
          <w:p w14:paraId="7117A93A" w14:textId="77777777" w:rsidR="00384446" w:rsidRDefault="00384446">
            <w:pPr>
              <w:jc w:val="right"/>
              <w:rPr>
                <w:szCs w:val="21"/>
              </w:rPr>
            </w:pPr>
          </w:p>
        </w:tc>
        <w:tc>
          <w:tcPr>
            <w:tcW w:w="307" w:type="pct"/>
            <w:vMerge w:val="restart"/>
            <w:vAlign w:val="center"/>
          </w:tcPr>
          <w:p w14:paraId="33C407D0" w14:textId="77777777" w:rsidR="00384446" w:rsidRDefault="00384446">
            <w:pPr>
              <w:rPr>
                <w:szCs w:val="21"/>
              </w:rPr>
            </w:pPr>
          </w:p>
        </w:tc>
        <w:tc>
          <w:tcPr>
            <w:tcW w:w="460" w:type="pct"/>
            <w:vMerge w:val="restart"/>
          </w:tcPr>
          <w:p w14:paraId="026C8637" w14:textId="77777777" w:rsidR="00384446" w:rsidRDefault="00384446">
            <w:pPr>
              <w:jc w:val="right"/>
              <w:rPr>
                <w:szCs w:val="21"/>
              </w:rPr>
            </w:pPr>
            <w:r>
              <w:rPr>
                <w:rFonts w:hint="eastAsia"/>
                <w:szCs w:val="21"/>
              </w:rPr>
              <w:t>2</w:t>
            </w:r>
            <w:r>
              <w:rPr>
                <w:szCs w:val="21"/>
              </w:rPr>
              <w:t>39.58</w:t>
            </w:r>
          </w:p>
        </w:tc>
        <w:sdt>
          <w:sdtPr>
            <w:rPr>
              <w:rFonts w:asciiTheme="minorHAnsi" w:eastAsiaTheme="minorEastAsia" w:hAnsiTheme="minorHAnsi" w:cstheme="minorBidi"/>
              <w:kern w:val="2"/>
              <w:szCs w:val="21"/>
              <w14:ligatures w14:val="standardContextual"/>
            </w:rPr>
            <w:alias w:val="董事、监事、高级管理人员是否在公司关联方获取报酬"/>
            <w:tag w:val="_GBC_ca79c4e139754ecd84ca3e60eb23b31d"/>
            <w:id w:val="252789860"/>
            <w:comboBox>
              <w:listItem w:displayText="是" w:value="是"/>
              <w:listItem w:displayText="否" w:value="否"/>
            </w:comboBox>
          </w:sdtPr>
          <w:sdtEndPr/>
          <w:sdtContent>
            <w:tc>
              <w:tcPr>
                <w:tcW w:w="349" w:type="pct"/>
                <w:vMerge w:val="restart"/>
              </w:tcPr>
              <w:p w14:paraId="1865A2AE" w14:textId="77777777" w:rsidR="00384446" w:rsidRDefault="00384446">
                <w:pPr>
                  <w:jc w:val="left"/>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kern w:val="2"/>
                    <w:szCs w:val="21"/>
                    <w14:ligatures w14:val="standardContextual"/>
                  </w:rPr>
                  <w:t>否</w:t>
                </w:r>
              </w:p>
            </w:tc>
          </w:sdtContent>
        </w:sdt>
      </w:tr>
      <w:tr w:rsidR="00384446" w14:paraId="10ACB795" w14:textId="77777777" w:rsidTr="00384446">
        <w:trPr>
          <w:trHeight w:val="132"/>
        </w:trPr>
        <w:tc>
          <w:tcPr>
            <w:tcW w:w="356" w:type="pct"/>
            <w:vMerge/>
          </w:tcPr>
          <w:p w14:paraId="4B77010A" w14:textId="77777777" w:rsidR="00384446" w:rsidRDefault="00384446">
            <w:pPr>
              <w:rPr>
                <w:szCs w:val="21"/>
              </w:rPr>
            </w:pPr>
          </w:p>
        </w:tc>
        <w:tc>
          <w:tcPr>
            <w:tcW w:w="716" w:type="pct"/>
          </w:tcPr>
          <w:p w14:paraId="2F6FB1E7" w14:textId="77777777" w:rsidR="00384446" w:rsidRDefault="00384446">
            <w:pPr>
              <w:rPr>
                <w:szCs w:val="21"/>
              </w:rPr>
            </w:pPr>
            <w:r>
              <w:rPr>
                <w:rFonts w:hint="eastAsia"/>
                <w:szCs w:val="21"/>
              </w:rPr>
              <w:t>董事</w:t>
            </w:r>
          </w:p>
        </w:tc>
        <w:tc>
          <w:tcPr>
            <w:tcW w:w="204" w:type="pct"/>
            <w:vMerge/>
            <w:vAlign w:val="center"/>
          </w:tcPr>
          <w:p w14:paraId="6B08B984" w14:textId="77777777" w:rsidR="00384446" w:rsidRDefault="00384446" w:rsidP="00C25422">
            <w:pPr>
              <w:pStyle w:val="92"/>
            </w:pPr>
          </w:p>
        </w:tc>
        <w:tc>
          <w:tcPr>
            <w:tcW w:w="205" w:type="pct"/>
            <w:vMerge/>
            <w:vAlign w:val="center"/>
          </w:tcPr>
          <w:p w14:paraId="48C1EB8C" w14:textId="77777777" w:rsidR="00384446" w:rsidRDefault="00384446" w:rsidP="00C25422">
            <w:pPr>
              <w:pStyle w:val="92"/>
            </w:pPr>
          </w:p>
        </w:tc>
        <w:tc>
          <w:tcPr>
            <w:tcW w:w="511" w:type="pct"/>
            <w:vAlign w:val="center"/>
          </w:tcPr>
          <w:p w14:paraId="52763798" w14:textId="77777777" w:rsidR="00384446" w:rsidRDefault="00384446" w:rsidP="00C25422">
            <w:pPr>
              <w:pStyle w:val="92"/>
            </w:pPr>
            <w:r>
              <w:t>2020-12-28</w:t>
            </w:r>
          </w:p>
        </w:tc>
        <w:tc>
          <w:tcPr>
            <w:tcW w:w="511" w:type="pct"/>
            <w:vAlign w:val="center"/>
          </w:tcPr>
          <w:p w14:paraId="1C3FA4FA" w14:textId="77777777" w:rsidR="00384446" w:rsidRDefault="00384446" w:rsidP="00C25422">
            <w:pPr>
              <w:pStyle w:val="92"/>
            </w:pPr>
            <w:r>
              <w:t>2026-10-23</w:t>
            </w:r>
          </w:p>
        </w:tc>
        <w:tc>
          <w:tcPr>
            <w:tcW w:w="512" w:type="pct"/>
            <w:vMerge/>
            <w:vAlign w:val="center"/>
          </w:tcPr>
          <w:p w14:paraId="50A8CDBB" w14:textId="77777777" w:rsidR="00384446" w:rsidRDefault="00384446">
            <w:pPr>
              <w:jc w:val="right"/>
            </w:pPr>
          </w:p>
        </w:tc>
        <w:tc>
          <w:tcPr>
            <w:tcW w:w="460" w:type="pct"/>
            <w:vMerge/>
            <w:vAlign w:val="center"/>
          </w:tcPr>
          <w:p w14:paraId="76E960A3" w14:textId="77777777" w:rsidR="00384446" w:rsidRDefault="00384446">
            <w:pPr>
              <w:jc w:val="right"/>
            </w:pPr>
          </w:p>
        </w:tc>
        <w:tc>
          <w:tcPr>
            <w:tcW w:w="409" w:type="pct"/>
            <w:vMerge/>
            <w:vAlign w:val="center"/>
          </w:tcPr>
          <w:p w14:paraId="722D4805" w14:textId="77777777" w:rsidR="00384446" w:rsidRDefault="00384446">
            <w:pPr>
              <w:jc w:val="right"/>
              <w:rPr>
                <w:szCs w:val="21"/>
              </w:rPr>
            </w:pPr>
          </w:p>
        </w:tc>
        <w:tc>
          <w:tcPr>
            <w:tcW w:w="307" w:type="pct"/>
            <w:vMerge/>
            <w:vAlign w:val="center"/>
          </w:tcPr>
          <w:p w14:paraId="4E30DCEE" w14:textId="77777777" w:rsidR="00384446" w:rsidRDefault="00384446">
            <w:pPr>
              <w:rPr>
                <w:szCs w:val="21"/>
              </w:rPr>
            </w:pPr>
          </w:p>
        </w:tc>
        <w:tc>
          <w:tcPr>
            <w:tcW w:w="460" w:type="pct"/>
            <w:vMerge/>
          </w:tcPr>
          <w:p w14:paraId="43986CB4" w14:textId="77777777" w:rsidR="00384446" w:rsidRDefault="00384446">
            <w:pPr>
              <w:jc w:val="right"/>
              <w:rPr>
                <w:szCs w:val="21"/>
              </w:rPr>
            </w:pPr>
          </w:p>
        </w:tc>
        <w:tc>
          <w:tcPr>
            <w:tcW w:w="349" w:type="pct"/>
            <w:vMerge/>
          </w:tcPr>
          <w:p w14:paraId="498F11DA" w14:textId="77777777" w:rsidR="00384446" w:rsidRDefault="00384446">
            <w:pPr>
              <w:rPr>
                <w:rFonts w:asciiTheme="minorHAnsi" w:eastAsiaTheme="minorEastAsia" w:hAnsiTheme="minorHAnsi" w:cstheme="minorBidi"/>
                <w:kern w:val="2"/>
                <w:szCs w:val="21"/>
                <w14:ligatures w14:val="standardContextual"/>
              </w:rPr>
            </w:pPr>
          </w:p>
        </w:tc>
      </w:tr>
      <w:tr w:rsidR="00384446" w14:paraId="2999D1B5" w14:textId="77777777" w:rsidTr="00384446">
        <w:trPr>
          <w:trHeight w:val="132"/>
        </w:trPr>
        <w:tc>
          <w:tcPr>
            <w:tcW w:w="356" w:type="pct"/>
            <w:vMerge/>
          </w:tcPr>
          <w:p w14:paraId="4D0B8B5F" w14:textId="77777777" w:rsidR="00384446" w:rsidRDefault="00384446">
            <w:pPr>
              <w:rPr>
                <w:szCs w:val="21"/>
              </w:rPr>
            </w:pPr>
          </w:p>
        </w:tc>
        <w:tc>
          <w:tcPr>
            <w:tcW w:w="716" w:type="pct"/>
          </w:tcPr>
          <w:p w14:paraId="4EEE96D9" w14:textId="77777777" w:rsidR="00384446" w:rsidRDefault="00384446">
            <w:pPr>
              <w:rPr>
                <w:szCs w:val="21"/>
              </w:rPr>
            </w:pPr>
            <w:r>
              <w:rPr>
                <w:rFonts w:hint="eastAsia"/>
                <w:szCs w:val="21"/>
              </w:rPr>
              <w:t>总裁</w:t>
            </w:r>
          </w:p>
        </w:tc>
        <w:tc>
          <w:tcPr>
            <w:tcW w:w="204" w:type="pct"/>
            <w:vMerge/>
            <w:vAlign w:val="center"/>
          </w:tcPr>
          <w:p w14:paraId="321DECC8" w14:textId="77777777" w:rsidR="00384446" w:rsidRDefault="00384446">
            <w:pPr>
              <w:rPr>
                <w:szCs w:val="21"/>
              </w:rPr>
            </w:pPr>
          </w:p>
        </w:tc>
        <w:tc>
          <w:tcPr>
            <w:tcW w:w="205" w:type="pct"/>
            <w:vMerge/>
            <w:vAlign w:val="center"/>
          </w:tcPr>
          <w:p w14:paraId="4111885A" w14:textId="77777777" w:rsidR="00384446" w:rsidRDefault="00384446">
            <w:pPr>
              <w:rPr>
                <w:szCs w:val="21"/>
              </w:rPr>
            </w:pPr>
          </w:p>
        </w:tc>
        <w:tc>
          <w:tcPr>
            <w:tcW w:w="511" w:type="pct"/>
            <w:vAlign w:val="center"/>
          </w:tcPr>
          <w:p w14:paraId="58A8BA69" w14:textId="77777777" w:rsidR="00384446" w:rsidRDefault="00384446">
            <w:pPr>
              <w:rPr>
                <w:szCs w:val="21"/>
              </w:rPr>
            </w:pPr>
            <w:r>
              <w:t>2020-11-16</w:t>
            </w:r>
          </w:p>
        </w:tc>
        <w:tc>
          <w:tcPr>
            <w:tcW w:w="511" w:type="pct"/>
            <w:vAlign w:val="center"/>
          </w:tcPr>
          <w:p w14:paraId="5C04468E" w14:textId="77777777" w:rsidR="00384446" w:rsidRDefault="00384446">
            <w:pPr>
              <w:rPr>
                <w:szCs w:val="21"/>
              </w:rPr>
            </w:pPr>
            <w:r>
              <w:t>2023-07-20</w:t>
            </w:r>
          </w:p>
        </w:tc>
        <w:tc>
          <w:tcPr>
            <w:tcW w:w="512" w:type="pct"/>
            <w:vMerge/>
            <w:vAlign w:val="center"/>
          </w:tcPr>
          <w:p w14:paraId="2B138B75" w14:textId="77777777" w:rsidR="00384446" w:rsidRDefault="00384446">
            <w:pPr>
              <w:jc w:val="right"/>
              <w:rPr>
                <w:szCs w:val="21"/>
              </w:rPr>
            </w:pPr>
          </w:p>
        </w:tc>
        <w:tc>
          <w:tcPr>
            <w:tcW w:w="460" w:type="pct"/>
            <w:vMerge/>
            <w:vAlign w:val="center"/>
          </w:tcPr>
          <w:p w14:paraId="27D9C120" w14:textId="77777777" w:rsidR="00384446" w:rsidRDefault="00384446">
            <w:pPr>
              <w:jc w:val="right"/>
              <w:rPr>
                <w:szCs w:val="21"/>
              </w:rPr>
            </w:pPr>
          </w:p>
        </w:tc>
        <w:tc>
          <w:tcPr>
            <w:tcW w:w="409" w:type="pct"/>
            <w:vMerge/>
            <w:vAlign w:val="center"/>
          </w:tcPr>
          <w:p w14:paraId="67D2B640" w14:textId="77777777" w:rsidR="00384446" w:rsidRDefault="00384446">
            <w:pPr>
              <w:jc w:val="right"/>
              <w:rPr>
                <w:szCs w:val="21"/>
              </w:rPr>
            </w:pPr>
          </w:p>
        </w:tc>
        <w:tc>
          <w:tcPr>
            <w:tcW w:w="307" w:type="pct"/>
            <w:vMerge/>
            <w:vAlign w:val="center"/>
          </w:tcPr>
          <w:p w14:paraId="19A695FC" w14:textId="77777777" w:rsidR="00384446" w:rsidRDefault="00384446">
            <w:pPr>
              <w:rPr>
                <w:szCs w:val="21"/>
              </w:rPr>
            </w:pPr>
          </w:p>
        </w:tc>
        <w:tc>
          <w:tcPr>
            <w:tcW w:w="460" w:type="pct"/>
            <w:vMerge/>
          </w:tcPr>
          <w:p w14:paraId="26D4AB22" w14:textId="77777777" w:rsidR="00384446" w:rsidRDefault="00384446">
            <w:pPr>
              <w:jc w:val="right"/>
              <w:rPr>
                <w:szCs w:val="21"/>
              </w:rPr>
            </w:pPr>
          </w:p>
        </w:tc>
        <w:tc>
          <w:tcPr>
            <w:tcW w:w="349" w:type="pct"/>
            <w:vMerge/>
          </w:tcPr>
          <w:p w14:paraId="47B5EEE0" w14:textId="77777777" w:rsidR="00384446" w:rsidRDefault="00384446">
            <w:pPr>
              <w:rPr>
                <w:rFonts w:asciiTheme="minorHAnsi" w:eastAsiaTheme="minorEastAsia" w:hAnsiTheme="minorHAnsi" w:cstheme="minorBidi"/>
                <w:kern w:val="2"/>
                <w:szCs w:val="21"/>
                <w14:ligatures w14:val="standardContextual"/>
              </w:rPr>
            </w:pPr>
          </w:p>
        </w:tc>
      </w:tr>
      <w:tr w:rsidR="00384446" w14:paraId="65FA7A95" w14:textId="77777777" w:rsidTr="00384446">
        <w:trPr>
          <w:trHeight w:val="132"/>
        </w:trPr>
        <w:tc>
          <w:tcPr>
            <w:tcW w:w="356" w:type="pct"/>
            <w:vMerge w:val="restart"/>
          </w:tcPr>
          <w:p w14:paraId="0D0EC76D" w14:textId="77777777" w:rsidR="00384446" w:rsidRDefault="00384446">
            <w:pPr>
              <w:rPr>
                <w:szCs w:val="21"/>
              </w:rPr>
            </w:pPr>
            <w:r>
              <w:rPr>
                <w:rFonts w:hint="eastAsia"/>
                <w:szCs w:val="21"/>
              </w:rPr>
              <w:t xml:space="preserve">朱 </w:t>
            </w:r>
            <w:r>
              <w:rPr>
                <w:szCs w:val="21"/>
              </w:rPr>
              <w:t xml:space="preserve"> </w:t>
            </w:r>
            <w:r>
              <w:rPr>
                <w:rFonts w:hint="eastAsia"/>
                <w:szCs w:val="21"/>
              </w:rPr>
              <w:t>兵</w:t>
            </w:r>
          </w:p>
        </w:tc>
        <w:tc>
          <w:tcPr>
            <w:tcW w:w="716" w:type="pct"/>
          </w:tcPr>
          <w:p w14:paraId="0B055CB2" w14:textId="77777777" w:rsidR="00384446" w:rsidRDefault="00384446" w:rsidP="00C25422">
            <w:pPr>
              <w:pStyle w:val="92"/>
            </w:pPr>
            <w:r>
              <w:rPr>
                <w:rFonts w:hint="eastAsia"/>
              </w:rPr>
              <w:t>董事</w:t>
            </w:r>
          </w:p>
        </w:tc>
        <w:tc>
          <w:tcPr>
            <w:tcW w:w="204" w:type="pct"/>
            <w:vMerge w:val="restart"/>
            <w:vAlign w:val="center"/>
          </w:tcPr>
          <w:p w14:paraId="67C1BFB3" w14:textId="77777777" w:rsidR="00384446" w:rsidRDefault="00384446">
            <w:pPr>
              <w:rPr>
                <w:szCs w:val="21"/>
              </w:rPr>
            </w:pPr>
            <w:r>
              <w:t>男</w:t>
            </w:r>
          </w:p>
        </w:tc>
        <w:tc>
          <w:tcPr>
            <w:tcW w:w="205" w:type="pct"/>
            <w:vMerge w:val="restart"/>
            <w:vAlign w:val="center"/>
          </w:tcPr>
          <w:p w14:paraId="0EE42839" w14:textId="77777777" w:rsidR="00384446" w:rsidRDefault="00384446">
            <w:pPr>
              <w:rPr>
                <w:szCs w:val="21"/>
              </w:rPr>
            </w:pPr>
            <w:r>
              <w:t>54</w:t>
            </w:r>
          </w:p>
        </w:tc>
        <w:tc>
          <w:tcPr>
            <w:tcW w:w="511" w:type="pct"/>
            <w:vAlign w:val="center"/>
          </w:tcPr>
          <w:p w14:paraId="61E7BF4A" w14:textId="77777777" w:rsidR="00384446" w:rsidRDefault="00384446">
            <w:pPr>
              <w:rPr>
                <w:szCs w:val="21"/>
              </w:rPr>
            </w:pPr>
            <w:r>
              <w:t>2022-10-17</w:t>
            </w:r>
          </w:p>
        </w:tc>
        <w:tc>
          <w:tcPr>
            <w:tcW w:w="511" w:type="pct"/>
            <w:vAlign w:val="center"/>
          </w:tcPr>
          <w:p w14:paraId="12A256A6" w14:textId="77777777" w:rsidR="00384446" w:rsidRDefault="00384446">
            <w:pPr>
              <w:rPr>
                <w:szCs w:val="21"/>
              </w:rPr>
            </w:pPr>
            <w:r>
              <w:t>2026-10-23</w:t>
            </w:r>
          </w:p>
        </w:tc>
        <w:tc>
          <w:tcPr>
            <w:tcW w:w="512" w:type="pct"/>
            <w:vMerge w:val="restart"/>
            <w:vAlign w:val="center"/>
          </w:tcPr>
          <w:p w14:paraId="78E2CCD5" w14:textId="77777777" w:rsidR="00384446" w:rsidRDefault="00384446">
            <w:pPr>
              <w:jc w:val="right"/>
              <w:rPr>
                <w:szCs w:val="21"/>
              </w:rPr>
            </w:pPr>
            <w:r>
              <w:t>0</w:t>
            </w:r>
          </w:p>
        </w:tc>
        <w:tc>
          <w:tcPr>
            <w:tcW w:w="460" w:type="pct"/>
            <w:vMerge w:val="restart"/>
            <w:vAlign w:val="center"/>
          </w:tcPr>
          <w:p w14:paraId="2FD8FFDD" w14:textId="77777777" w:rsidR="00384446" w:rsidRDefault="00384446">
            <w:pPr>
              <w:jc w:val="right"/>
              <w:rPr>
                <w:szCs w:val="21"/>
              </w:rPr>
            </w:pPr>
            <w:r>
              <w:t>282,073</w:t>
            </w:r>
          </w:p>
        </w:tc>
        <w:tc>
          <w:tcPr>
            <w:tcW w:w="409" w:type="pct"/>
            <w:vMerge w:val="restart"/>
            <w:vAlign w:val="center"/>
          </w:tcPr>
          <w:p w14:paraId="32DC9E1F" w14:textId="77777777" w:rsidR="00384446" w:rsidRDefault="00384446">
            <w:pPr>
              <w:jc w:val="right"/>
              <w:rPr>
                <w:szCs w:val="21"/>
              </w:rPr>
            </w:pPr>
            <w:r>
              <w:t>282,073</w:t>
            </w:r>
          </w:p>
        </w:tc>
        <w:tc>
          <w:tcPr>
            <w:tcW w:w="307" w:type="pct"/>
            <w:vMerge w:val="restart"/>
            <w:vAlign w:val="center"/>
          </w:tcPr>
          <w:p w14:paraId="54AAE71F" w14:textId="77777777" w:rsidR="00384446" w:rsidRDefault="00384446">
            <w:pPr>
              <w:rPr>
                <w:szCs w:val="21"/>
              </w:rPr>
            </w:pPr>
            <w:r>
              <w:t>获授限制性股票</w:t>
            </w:r>
          </w:p>
        </w:tc>
        <w:tc>
          <w:tcPr>
            <w:tcW w:w="460" w:type="pct"/>
            <w:vMerge w:val="restart"/>
          </w:tcPr>
          <w:p w14:paraId="3B7184A0" w14:textId="77777777" w:rsidR="00384446" w:rsidRDefault="00384446">
            <w:pPr>
              <w:jc w:val="right"/>
              <w:rPr>
                <w:szCs w:val="21"/>
              </w:rPr>
            </w:pPr>
            <w:r>
              <w:rPr>
                <w:rFonts w:hint="eastAsia"/>
                <w:szCs w:val="21"/>
              </w:rPr>
              <w:t>1</w:t>
            </w:r>
            <w:r>
              <w:rPr>
                <w:szCs w:val="21"/>
              </w:rPr>
              <w:t>50.12</w:t>
            </w:r>
          </w:p>
        </w:tc>
        <w:tc>
          <w:tcPr>
            <w:tcW w:w="349" w:type="pct"/>
            <w:vMerge w:val="restart"/>
          </w:tcPr>
          <w:p w14:paraId="0CF9CB57" w14:textId="77777777" w:rsidR="00384446" w:rsidRDefault="00384446">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384446" w14:paraId="2B45B9BA" w14:textId="77777777" w:rsidTr="00384446">
        <w:trPr>
          <w:trHeight w:val="132"/>
        </w:trPr>
        <w:tc>
          <w:tcPr>
            <w:tcW w:w="356" w:type="pct"/>
            <w:vMerge/>
          </w:tcPr>
          <w:p w14:paraId="553D85E3" w14:textId="77777777" w:rsidR="00384446" w:rsidRDefault="00384446">
            <w:pPr>
              <w:rPr>
                <w:szCs w:val="21"/>
              </w:rPr>
            </w:pPr>
          </w:p>
        </w:tc>
        <w:tc>
          <w:tcPr>
            <w:tcW w:w="716" w:type="pct"/>
          </w:tcPr>
          <w:p w14:paraId="3446348D" w14:textId="77777777" w:rsidR="00384446" w:rsidRDefault="00384446" w:rsidP="00C25422">
            <w:pPr>
              <w:pStyle w:val="92"/>
            </w:pPr>
            <w:r>
              <w:rPr>
                <w:rFonts w:hint="eastAsia"/>
              </w:rPr>
              <w:t>总裁</w:t>
            </w:r>
          </w:p>
        </w:tc>
        <w:tc>
          <w:tcPr>
            <w:tcW w:w="204" w:type="pct"/>
            <w:vMerge/>
            <w:vAlign w:val="center"/>
          </w:tcPr>
          <w:p w14:paraId="045ACBF5" w14:textId="77777777" w:rsidR="00384446" w:rsidRDefault="00384446">
            <w:pPr>
              <w:rPr>
                <w:szCs w:val="21"/>
              </w:rPr>
            </w:pPr>
          </w:p>
        </w:tc>
        <w:tc>
          <w:tcPr>
            <w:tcW w:w="205" w:type="pct"/>
            <w:vMerge/>
            <w:vAlign w:val="center"/>
          </w:tcPr>
          <w:p w14:paraId="2A4F3B77" w14:textId="77777777" w:rsidR="00384446" w:rsidRDefault="00384446">
            <w:pPr>
              <w:rPr>
                <w:szCs w:val="21"/>
              </w:rPr>
            </w:pPr>
          </w:p>
        </w:tc>
        <w:tc>
          <w:tcPr>
            <w:tcW w:w="511" w:type="pct"/>
            <w:vAlign w:val="center"/>
          </w:tcPr>
          <w:p w14:paraId="3CA90651" w14:textId="77777777" w:rsidR="00384446" w:rsidRDefault="00384446">
            <w:pPr>
              <w:rPr>
                <w:szCs w:val="21"/>
              </w:rPr>
            </w:pPr>
            <w:r>
              <w:t>2023-07-21</w:t>
            </w:r>
          </w:p>
        </w:tc>
        <w:tc>
          <w:tcPr>
            <w:tcW w:w="511" w:type="pct"/>
            <w:vAlign w:val="center"/>
          </w:tcPr>
          <w:p w14:paraId="3B643335" w14:textId="77777777" w:rsidR="00384446" w:rsidRDefault="00384446">
            <w:pPr>
              <w:rPr>
                <w:szCs w:val="21"/>
              </w:rPr>
            </w:pPr>
            <w:r>
              <w:t>2026-10-23</w:t>
            </w:r>
          </w:p>
        </w:tc>
        <w:tc>
          <w:tcPr>
            <w:tcW w:w="512" w:type="pct"/>
            <w:vMerge/>
            <w:vAlign w:val="center"/>
          </w:tcPr>
          <w:p w14:paraId="0E0D53AB" w14:textId="77777777" w:rsidR="00384446" w:rsidRDefault="00384446">
            <w:pPr>
              <w:jc w:val="right"/>
              <w:rPr>
                <w:szCs w:val="21"/>
              </w:rPr>
            </w:pPr>
          </w:p>
        </w:tc>
        <w:tc>
          <w:tcPr>
            <w:tcW w:w="460" w:type="pct"/>
            <w:vMerge/>
            <w:vAlign w:val="center"/>
          </w:tcPr>
          <w:p w14:paraId="304F91AD" w14:textId="77777777" w:rsidR="00384446" w:rsidRDefault="00384446">
            <w:pPr>
              <w:jc w:val="right"/>
              <w:rPr>
                <w:szCs w:val="21"/>
              </w:rPr>
            </w:pPr>
          </w:p>
        </w:tc>
        <w:tc>
          <w:tcPr>
            <w:tcW w:w="409" w:type="pct"/>
            <w:vMerge/>
            <w:vAlign w:val="center"/>
          </w:tcPr>
          <w:p w14:paraId="7794696B" w14:textId="77777777" w:rsidR="00384446" w:rsidRDefault="00384446">
            <w:pPr>
              <w:jc w:val="right"/>
              <w:rPr>
                <w:szCs w:val="21"/>
              </w:rPr>
            </w:pPr>
          </w:p>
        </w:tc>
        <w:tc>
          <w:tcPr>
            <w:tcW w:w="307" w:type="pct"/>
            <w:vMerge/>
            <w:vAlign w:val="center"/>
          </w:tcPr>
          <w:p w14:paraId="139D2A54" w14:textId="77777777" w:rsidR="00384446" w:rsidRDefault="00384446">
            <w:pPr>
              <w:rPr>
                <w:szCs w:val="21"/>
              </w:rPr>
            </w:pPr>
          </w:p>
        </w:tc>
        <w:tc>
          <w:tcPr>
            <w:tcW w:w="460" w:type="pct"/>
            <w:vMerge/>
          </w:tcPr>
          <w:p w14:paraId="0F6DA71E" w14:textId="77777777" w:rsidR="00384446" w:rsidRDefault="00384446">
            <w:pPr>
              <w:jc w:val="right"/>
              <w:rPr>
                <w:szCs w:val="21"/>
              </w:rPr>
            </w:pPr>
          </w:p>
        </w:tc>
        <w:tc>
          <w:tcPr>
            <w:tcW w:w="349" w:type="pct"/>
            <w:vMerge/>
          </w:tcPr>
          <w:p w14:paraId="7CB0F220" w14:textId="77777777" w:rsidR="00384446" w:rsidRDefault="00384446">
            <w:pPr>
              <w:rPr>
                <w:rFonts w:asciiTheme="minorHAnsi" w:eastAsiaTheme="minorEastAsia" w:hAnsiTheme="minorHAnsi" w:cstheme="minorBidi"/>
                <w:kern w:val="2"/>
                <w:szCs w:val="21"/>
                <w:highlight w:val="yellow"/>
                <w14:ligatures w14:val="standardContextual"/>
              </w:rPr>
            </w:pPr>
          </w:p>
        </w:tc>
      </w:tr>
      <w:tr w:rsidR="00384446" w14:paraId="20AE51BD" w14:textId="77777777" w:rsidTr="00384446">
        <w:trPr>
          <w:trHeight w:val="132"/>
        </w:trPr>
        <w:tc>
          <w:tcPr>
            <w:tcW w:w="356" w:type="pct"/>
            <w:vMerge/>
          </w:tcPr>
          <w:p w14:paraId="2CF2D10A" w14:textId="77777777" w:rsidR="00384446" w:rsidRDefault="00384446">
            <w:pPr>
              <w:rPr>
                <w:szCs w:val="21"/>
              </w:rPr>
            </w:pPr>
          </w:p>
        </w:tc>
        <w:tc>
          <w:tcPr>
            <w:tcW w:w="716" w:type="pct"/>
          </w:tcPr>
          <w:p w14:paraId="7A4A3682" w14:textId="77777777" w:rsidR="00384446" w:rsidRDefault="00384446" w:rsidP="00C25422">
            <w:pPr>
              <w:pStyle w:val="92"/>
            </w:pPr>
            <w:r>
              <w:rPr>
                <w:rFonts w:hint="eastAsia"/>
              </w:rPr>
              <w:t>副总裁</w:t>
            </w:r>
          </w:p>
        </w:tc>
        <w:tc>
          <w:tcPr>
            <w:tcW w:w="204" w:type="pct"/>
            <w:vMerge/>
            <w:vAlign w:val="center"/>
          </w:tcPr>
          <w:p w14:paraId="0C1A1D2E" w14:textId="77777777" w:rsidR="00384446" w:rsidRDefault="00384446">
            <w:pPr>
              <w:rPr>
                <w:szCs w:val="21"/>
              </w:rPr>
            </w:pPr>
          </w:p>
        </w:tc>
        <w:tc>
          <w:tcPr>
            <w:tcW w:w="205" w:type="pct"/>
            <w:vMerge/>
            <w:vAlign w:val="center"/>
          </w:tcPr>
          <w:p w14:paraId="60DE1C3D" w14:textId="77777777" w:rsidR="00384446" w:rsidRDefault="00384446">
            <w:pPr>
              <w:rPr>
                <w:szCs w:val="21"/>
              </w:rPr>
            </w:pPr>
          </w:p>
        </w:tc>
        <w:tc>
          <w:tcPr>
            <w:tcW w:w="511" w:type="pct"/>
            <w:vAlign w:val="center"/>
          </w:tcPr>
          <w:p w14:paraId="43EE48A5" w14:textId="77777777" w:rsidR="00384446" w:rsidRDefault="00384446">
            <w:pPr>
              <w:rPr>
                <w:szCs w:val="21"/>
              </w:rPr>
            </w:pPr>
            <w:r>
              <w:t>2022-09-29</w:t>
            </w:r>
          </w:p>
        </w:tc>
        <w:tc>
          <w:tcPr>
            <w:tcW w:w="511" w:type="pct"/>
            <w:vAlign w:val="center"/>
          </w:tcPr>
          <w:p w14:paraId="2765BEC8" w14:textId="77777777" w:rsidR="00384446" w:rsidRDefault="00384446">
            <w:pPr>
              <w:rPr>
                <w:szCs w:val="21"/>
              </w:rPr>
            </w:pPr>
            <w:r>
              <w:t>2023-07-20</w:t>
            </w:r>
          </w:p>
        </w:tc>
        <w:tc>
          <w:tcPr>
            <w:tcW w:w="512" w:type="pct"/>
            <w:vMerge/>
            <w:vAlign w:val="center"/>
          </w:tcPr>
          <w:p w14:paraId="0554B429" w14:textId="77777777" w:rsidR="00384446" w:rsidRDefault="00384446">
            <w:pPr>
              <w:jc w:val="right"/>
              <w:rPr>
                <w:szCs w:val="21"/>
              </w:rPr>
            </w:pPr>
          </w:p>
        </w:tc>
        <w:tc>
          <w:tcPr>
            <w:tcW w:w="460" w:type="pct"/>
            <w:vMerge/>
            <w:vAlign w:val="center"/>
          </w:tcPr>
          <w:p w14:paraId="1D903089" w14:textId="77777777" w:rsidR="00384446" w:rsidRDefault="00384446">
            <w:pPr>
              <w:jc w:val="right"/>
              <w:rPr>
                <w:szCs w:val="21"/>
              </w:rPr>
            </w:pPr>
          </w:p>
        </w:tc>
        <w:tc>
          <w:tcPr>
            <w:tcW w:w="409" w:type="pct"/>
            <w:vMerge/>
            <w:vAlign w:val="center"/>
          </w:tcPr>
          <w:p w14:paraId="3FA2AE9E" w14:textId="77777777" w:rsidR="00384446" w:rsidRDefault="00384446">
            <w:pPr>
              <w:jc w:val="right"/>
              <w:rPr>
                <w:szCs w:val="21"/>
              </w:rPr>
            </w:pPr>
          </w:p>
        </w:tc>
        <w:tc>
          <w:tcPr>
            <w:tcW w:w="307" w:type="pct"/>
            <w:vMerge/>
            <w:vAlign w:val="center"/>
          </w:tcPr>
          <w:p w14:paraId="5F11BBBD" w14:textId="77777777" w:rsidR="00384446" w:rsidRDefault="00384446">
            <w:pPr>
              <w:rPr>
                <w:szCs w:val="21"/>
              </w:rPr>
            </w:pPr>
          </w:p>
        </w:tc>
        <w:tc>
          <w:tcPr>
            <w:tcW w:w="460" w:type="pct"/>
            <w:vMerge/>
          </w:tcPr>
          <w:p w14:paraId="465C216B" w14:textId="77777777" w:rsidR="00384446" w:rsidRDefault="00384446">
            <w:pPr>
              <w:jc w:val="right"/>
              <w:rPr>
                <w:szCs w:val="21"/>
              </w:rPr>
            </w:pPr>
          </w:p>
        </w:tc>
        <w:tc>
          <w:tcPr>
            <w:tcW w:w="349" w:type="pct"/>
            <w:vMerge/>
          </w:tcPr>
          <w:p w14:paraId="577AE4F4" w14:textId="77777777" w:rsidR="00384446" w:rsidRDefault="00384446">
            <w:pPr>
              <w:rPr>
                <w:rFonts w:asciiTheme="minorHAnsi" w:eastAsiaTheme="minorEastAsia" w:hAnsiTheme="minorHAnsi" w:cstheme="minorBidi"/>
                <w:kern w:val="2"/>
                <w:szCs w:val="21"/>
                <w:highlight w:val="yellow"/>
                <w14:ligatures w14:val="standardContextual"/>
              </w:rPr>
            </w:pPr>
          </w:p>
        </w:tc>
      </w:tr>
      <w:tr w:rsidR="00E57DAA" w14:paraId="4F8D06C0" w14:textId="77777777" w:rsidTr="00384446">
        <w:trPr>
          <w:trHeight w:val="132"/>
        </w:trPr>
        <w:tc>
          <w:tcPr>
            <w:tcW w:w="356" w:type="pct"/>
          </w:tcPr>
          <w:p w14:paraId="5A82851E" w14:textId="77777777" w:rsidR="00E57DAA" w:rsidRDefault="00AC4185">
            <w:pPr>
              <w:rPr>
                <w:szCs w:val="21"/>
              </w:rPr>
            </w:pPr>
            <w:r>
              <w:rPr>
                <w:rFonts w:hint="eastAsia"/>
                <w:szCs w:val="21"/>
              </w:rPr>
              <w:t xml:space="preserve">王 </w:t>
            </w:r>
            <w:r>
              <w:rPr>
                <w:szCs w:val="21"/>
              </w:rPr>
              <w:t xml:space="preserve"> </w:t>
            </w:r>
            <w:r>
              <w:rPr>
                <w:rFonts w:hint="eastAsia"/>
                <w:szCs w:val="21"/>
              </w:rPr>
              <w:t>兵</w:t>
            </w:r>
          </w:p>
        </w:tc>
        <w:tc>
          <w:tcPr>
            <w:tcW w:w="716" w:type="pct"/>
          </w:tcPr>
          <w:p w14:paraId="5C39B859" w14:textId="77777777" w:rsidR="00E57DAA" w:rsidRDefault="00AC4185" w:rsidP="00C25422">
            <w:pPr>
              <w:pStyle w:val="92"/>
            </w:pPr>
            <w:r>
              <w:rPr>
                <w:rFonts w:hint="eastAsia"/>
              </w:rPr>
              <w:t>董事</w:t>
            </w:r>
          </w:p>
        </w:tc>
        <w:tc>
          <w:tcPr>
            <w:tcW w:w="204" w:type="pct"/>
            <w:vAlign w:val="center"/>
          </w:tcPr>
          <w:p w14:paraId="2D62101D" w14:textId="77777777" w:rsidR="00E57DAA" w:rsidRDefault="00AC4185">
            <w:pPr>
              <w:rPr>
                <w:szCs w:val="21"/>
              </w:rPr>
            </w:pPr>
            <w:r>
              <w:t>男</w:t>
            </w:r>
          </w:p>
        </w:tc>
        <w:tc>
          <w:tcPr>
            <w:tcW w:w="205" w:type="pct"/>
            <w:vAlign w:val="center"/>
          </w:tcPr>
          <w:p w14:paraId="261103F3" w14:textId="77777777" w:rsidR="00E57DAA" w:rsidRDefault="00AC4185">
            <w:pPr>
              <w:rPr>
                <w:szCs w:val="21"/>
              </w:rPr>
            </w:pPr>
            <w:r>
              <w:rPr>
                <w:rFonts w:hint="eastAsia"/>
                <w:szCs w:val="21"/>
              </w:rPr>
              <w:t>52</w:t>
            </w:r>
          </w:p>
        </w:tc>
        <w:tc>
          <w:tcPr>
            <w:tcW w:w="511" w:type="pct"/>
            <w:vAlign w:val="center"/>
          </w:tcPr>
          <w:p w14:paraId="75D14BD4" w14:textId="77777777" w:rsidR="00E57DAA" w:rsidRDefault="00AC4185">
            <w:pPr>
              <w:rPr>
                <w:szCs w:val="21"/>
              </w:rPr>
            </w:pPr>
            <w:r>
              <w:t>2023-10-24</w:t>
            </w:r>
          </w:p>
        </w:tc>
        <w:tc>
          <w:tcPr>
            <w:tcW w:w="511" w:type="pct"/>
            <w:vAlign w:val="center"/>
          </w:tcPr>
          <w:p w14:paraId="7956F9F3" w14:textId="77777777" w:rsidR="00E57DAA" w:rsidRDefault="00AC4185">
            <w:pPr>
              <w:rPr>
                <w:szCs w:val="21"/>
              </w:rPr>
            </w:pPr>
            <w:r>
              <w:t>2026-10-23</w:t>
            </w:r>
          </w:p>
        </w:tc>
        <w:tc>
          <w:tcPr>
            <w:tcW w:w="512" w:type="pct"/>
            <w:vAlign w:val="center"/>
          </w:tcPr>
          <w:p w14:paraId="18BFDBE3" w14:textId="77777777" w:rsidR="00E57DAA" w:rsidRDefault="00AC4185">
            <w:pPr>
              <w:jc w:val="right"/>
              <w:rPr>
                <w:szCs w:val="21"/>
              </w:rPr>
            </w:pPr>
            <w:r>
              <w:rPr>
                <w:rFonts w:hint="eastAsia"/>
                <w:szCs w:val="21"/>
              </w:rPr>
              <w:t>0</w:t>
            </w:r>
          </w:p>
        </w:tc>
        <w:tc>
          <w:tcPr>
            <w:tcW w:w="460" w:type="pct"/>
            <w:vAlign w:val="center"/>
          </w:tcPr>
          <w:p w14:paraId="136349A4" w14:textId="77777777" w:rsidR="00E57DAA" w:rsidRDefault="00AC4185">
            <w:pPr>
              <w:jc w:val="right"/>
              <w:rPr>
                <w:szCs w:val="21"/>
              </w:rPr>
            </w:pPr>
            <w:r>
              <w:rPr>
                <w:rFonts w:hint="eastAsia"/>
                <w:szCs w:val="21"/>
              </w:rPr>
              <w:t>0</w:t>
            </w:r>
          </w:p>
        </w:tc>
        <w:tc>
          <w:tcPr>
            <w:tcW w:w="409" w:type="pct"/>
            <w:vAlign w:val="center"/>
          </w:tcPr>
          <w:p w14:paraId="630CD891" w14:textId="77777777" w:rsidR="00E57DAA" w:rsidRDefault="00E57DAA">
            <w:pPr>
              <w:jc w:val="right"/>
              <w:rPr>
                <w:szCs w:val="21"/>
              </w:rPr>
            </w:pPr>
          </w:p>
        </w:tc>
        <w:tc>
          <w:tcPr>
            <w:tcW w:w="307" w:type="pct"/>
            <w:vAlign w:val="center"/>
          </w:tcPr>
          <w:p w14:paraId="7EDD1128" w14:textId="77777777" w:rsidR="00E57DAA" w:rsidRDefault="00E57DAA">
            <w:pPr>
              <w:rPr>
                <w:szCs w:val="21"/>
              </w:rPr>
            </w:pPr>
          </w:p>
        </w:tc>
        <w:tc>
          <w:tcPr>
            <w:tcW w:w="460" w:type="pct"/>
          </w:tcPr>
          <w:p w14:paraId="01E82D9C" w14:textId="77777777" w:rsidR="00E57DAA" w:rsidRDefault="00AC4185">
            <w:pPr>
              <w:jc w:val="right"/>
              <w:rPr>
                <w:szCs w:val="21"/>
              </w:rPr>
            </w:pPr>
            <w:r>
              <w:rPr>
                <w:rFonts w:hint="eastAsia"/>
                <w:szCs w:val="21"/>
              </w:rPr>
              <w:t>0</w:t>
            </w:r>
          </w:p>
        </w:tc>
        <w:tc>
          <w:tcPr>
            <w:tcW w:w="349" w:type="pct"/>
          </w:tcPr>
          <w:p w14:paraId="432A79BC"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E57DAA" w14:paraId="395E6C2B" w14:textId="77777777" w:rsidTr="00384446">
        <w:trPr>
          <w:trHeight w:val="132"/>
        </w:trPr>
        <w:tc>
          <w:tcPr>
            <w:tcW w:w="356" w:type="pct"/>
          </w:tcPr>
          <w:p w14:paraId="7048E257" w14:textId="77777777" w:rsidR="00E57DAA" w:rsidRDefault="00AC4185">
            <w:pPr>
              <w:rPr>
                <w:szCs w:val="21"/>
              </w:rPr>
            </w:pPr>
            <w:r>
              <w:rPr>
                <w:rFonts w:hint="eastAsia"/>
                <w:szCs w:val="21"/>
              </w:rPr>
              <w:t>王益民</w:t>
            </w:r>
          </w:p>
        </w:tc>
        <w:tc>
          <w:tcPr>
            <w:tcW w:w="716" w:type="pct"/>
          </w:tcPr>
          <w:p w14:paraId="372027B4" w14:textId="77777777" w:rsidR="00E57DAA" w:rsidRDefault="00AC4185" w:rsidP="00C25422">
            <w:pPr>
              <w:pStyle w:val="92"/>
            </w:pPr>
            <w:r>
              <w:rPr>
                <w:rFonts w:hint="eastAsia"/>
              </w:rPr>
              <w:t>董事</w:t>
            </w:r>
          </w:p>
        </w:tc>
        <w:tc>
          <w:tcPr>
            <w:tcW w:w="204" w:type="pct"/>
            <w:vAlign w:val="center"/>
          </w:tcPr>
          <w:p w14:paraId="67A00738" w14:textId="77777777" w:rsidR="00E57DAA" w:rsidRDefault="00AC4185">
            <w:pPr>
              <w:rPr>
                <w:szCs w:val="21"/>
              </w:rPr>
            </w:pPr>
            <w:r>
              <w:t>男</w:t>
            </w:r>
          </w:p>
        </w:tc>
        <w:tc>
          <w:tcPr>
            <w:tcW w:w="205" w:type="pct"/>
            <w:vAlign w:val="center"/>
          </w:tcPr>
          <w:p w14:paraId="0141DF97" w14:textId="77777777" w:rsidR="00E57DAA" w:rsidRDefault="00AC4185">
            <w:pPr>
              <w:rPr>
                <w:szCs w:val="21"/>
              </w:rPr>
            </w:pPr>
            <w:r>
              <w:t>62</w:t>
            </w:r>
          </w:p>
        </w:tc>
        <w:tc>
          <w:tcPr>
            <w:tcW w:w="511" w:type="pct"/>
            <w:vAlign w:val="center"/>
          </w:tcPr>
          <w:p w14:paraId="572B5B14" w14:textId="77777777" w:rsidR="00E57DAA" w:rsidRDefault="00AC4185">
            <w:pPr>
              <w:rPr>
                <w:szCs w:val="21"/>
              </w:rPr>
            </w:pPr>
            <w:r>
              <w:t>2022-05-12</w:t>
            </w:r>
          </w:p>
        </w:tc>
        <w:tc>
          <w:tcPr>
            <w:tcW w:w="511" w:type="pct"/>
            <w:vAlign w:val="center"/>
          </w:tcPr>
          <w:p w14:paraId="3551E316" w14:textId="77777777" w:rsidR="00E57DAA" w:rsidRDefault="00AC4185">
            <w:pPr>
              <w:rPr>
                <w:szCs w:val="21"/>
              </w:rPr>
            </w:pPr>
            <w:r>
              <w:t>2026-10-23</w:t>
            </w:r>
          </w:p>
        </w:tc>
        <w:tc>
          <w:tcPr>
            <w:tcW w:w="512" w:type="pct"/>
            <w:vAlign w:val="center"/>
          </w:tcPr>
          <w:p w14:paraId="2181999D" w14:textId="77777777" w:rsidR="00E57DAA" w:rsidRDefault="00AC4185">
            <w:pPr>
              <w:jc w:val="right"/>
              <w:rPr>
                <w:szCs w:val="21"/>
              </w:rPr>
            </w:pPr>
            <w:r>
              <w:t>0</w:t>
            </w:r>
          </w:p>
        </w:tc>
        <w:tc>
          <w:tcPr>
            <w:tcW w:w="460" w:type="pct"/>
            <w:vAlign w:val="center"/>
          </w:tcPr>
          <w:p w14:paraId="03EECE9E" w14:textId="77777777" w:rsidR="00E57DAA" w:rsidRDefault="00AC4185">
            <w:pPr>
              <w:jc w:val="right"/>
              <w:rPr>
                <w:szCs w:val="21"/>
              </w:rPr>
            </w:pPr>
            <w:r>
              <w:t>0</w:t>
            </w:r>
          </w:p>
        </w:tc>
        <w:tc>
          <w:tcPr>
            <w:tcW w:w="409" w:type="pct"/>
            <w:vAlign w:val="center"/>
          </w:tcPr>
          <w:p w14:paraId="7B7927CF" w14:textId="77777777" w:rsidR="00E57DAA" w:rsidRDefault="00E57DAA">
            <w:pPr>
              <w:jc w:val="right"/>
              <w:rPr>
                <w:szCs w:val="21"/>
              </w:rPr>
            </w:pPr>
          </w:p>
        </w:tc>
        <w:tc>
          <w:tcPr>
            <w:tcW w:w="307" w:type="pct"/>
            <w:vAlign w:val="center"/>
          </w:tcPr>
          <w:p w14:paraId="71F93B0A" w14:textId="77777777" w:rsidR="00E57DAA" w:rsidRDefault="00E57DAA">
            <w:pPr>
              <w:rPr>
                <w:szCs w:val="21"/>
              </w:rPr>
            </w:pPr>
          </w:p>
        </w:tc>
        <w:tc>
          <w:tcPr>
            <w:tcW w:w="460" w:type="pct"/>
          </w:tcPr>
          <w:p w14:paraId="015ADECE" w14:textId="77777777" w:rsidR="00E57DAA" w:rsidRDefault="00AC4185">
            <w:pPr>
              <w:jc w:val="right"/>
              <w:rPr>
                <w:szCs w:val="21"/>
              </w:rPr>
            </w:pPr>
            <w:r>
              <w:rPr>
                <w:rFonts w:hint="eastAsia"/>
                <w:szCs w:val="21"/>
              </w:rPr>
              <w:t>1</w:t>
            </w:r>
            <w:r>
              <w:rPr>
                <w:szCs w:val="21"/>
              </w:rPr>
              <w:t>6</w:t>
            </w:r>
            <w:r>
              <w:rPr>
                <w:rFonts w:hint="eastAsia"/>
                <w:szCs w:val="21"/>
              </w:rPr>
              <w:t>.00</w:t>
            </w:r>
          </w:p>
        </w:tc>
        <w:tc>
          <w:tcPr>
            <w:tcW w:w="349" w:type="pct"/>
          </w:tcPr>
          <w:p w14:paraId="1622352B"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384446" w14:paraId="369E8E0B" w14:textId="77777777" w:rsidTr="00384446">
        <w:trPr>
          <w:trHeight w:val="132"/>
        </w:trPr>
        <w:tc>
          <w:tcPr>
            <w:tcW w:w="356" w:type="pct"/>
            <w:vMerge w:val="restart"/>
          </w:tcPr>
          <w:p w14:paraId="76687FC7" w14:textId="77777777" w:rsidR="00384446" w:rsidRDefault="00384446">
            <w:pPr>
              <w:rPr>
                <w:szCs w:val="21"/>
              </w:rPr>
            </w:pPr>
            <w:r>
              <w:rPr>
                <w:rFonts w:hint="eastAsia"/>
                <w:szCs w:val="21"/>
              </w:rPr>
              <w:t>何小龙</w:t>
            </w:r>
          </w:p>
        </w:tc>
        <w:tc>
          <w:tcPr>
            <w:tcW w:w="716" w:type="pct"/>
          </w:tcPr>
          <w:p w14:paraId="21FAE8D6" w14:textId="77777777" w:rsidR="00384446" w:rsidRDefault="00384446" w:rsidP="00C25422">
            <w:pPr>
              <w:pStyle w:val="92"/>
            </w:pPr>
            <w:r>
              <w:rPr>
                <w:rFonts w:hint="eastAsia"/>
              </w:rPr>
              <w:t>董事</w:t>
            </w:r>
          </w:p>
        </w:tc>
        <w:tc>
          <w:tcPr>
            <w:tcW w:w="204" w:type="pct"/>
            <w:vMerge w:val="restart"/>
            <w:vAlign w:val="center"/>
          </w:tcPr>
          <w:p w14:paraId="31C310D1" w14:textId="77777777" w:rsidR="00384446" w:rsidRDefault="00384446">
            <w:pPr>
              <w:rPr>
                <w:szCs w:val="21"/>
              </w:rPr>
            </w:pPr>
            <w:r>
              <w:t>男</w:t>
            </w:r>
          </w:p>
        </w:tc>
        <w:tc>
          <w:tcPr>
            <w:tcW w:w="205" w:type="pct"/>
            <w:vMerge w:val="restart"/>
            <w:vAlign w:val="center"/>
          </w:tcPr>
          <w:p w14:paraId="2368E8CF" w14:textId="77777777" w:rsidR="00384446" w:rsidRDefault="00384446">
            <w:pPr>
              <w:rPr>
                <w:szCs w:val="21"/>
              </w:rPr>
            </w:pPr>
            <w:r>
              <w:t>5</w:t>
            </w:r>
            <w:r>
              <w:rPr>
                <w:rFonts w:hint="eastAsia"/>
              </w:rPr>
              <w:t>7</w:t>
            </w:r>
          </w:p>
        </w:tc>
        <w:tc>
          <w:tcPr>
            <w:tcW w:w="511" w:type="pct"/>
            <w:vAlign w:val="center"/>
          </w:tcPr>
          <w:p w14:paraId="0AB82099" w14:textId="77777777" w:rsidR="00384446" w:rsidRDefault="00384446">
            <w:pPr>
              <w:rPr>
                <w:szCs w:val="21"/>
              </w:rPr>
            </w:pPr>
            <w:r>
              <w:t>2024-10-24</w:t>
            </w:r>
          </w:p>
        </w:tc>
        <w:tc>
          <w:tcPr>
            <w:tcW w:w="511" w:type="pct"/>
            <w:vAlign w:val="center"/>
          </w:tcPr>
          <w:p w14:paraId="54C7476D" w14:textId="77777777" w:rsidR="00384446" w:rsidRDefault="00384446">
            <w:pPr>
              <w:rPr>
                <w:szCs w:val="21"/>
              </w:rPr>
            </w:pPr>
            <w:r>
              <w:t>2026-10-23</w:t>
            </w:r>
          </w:p>
        </w:tc>
        <w:tc>
          <w:tcPr>
            <w:tcW w:w="512" w:type="pct"/>
            <w:vMerge w:val="restart"/>
            <w:vAlign w:val="center"/>
          </w:tcPr>
          <w:p w14:paraId="7C0C0320" w14:textId="77777777" w:rsidR="00384446" w:rsidRDefault="00384446">
            <w:pPr>
              <w:jc w:val="right"/>
              <w:rPr>
                <w:szCs w:val="21"/>
              </w:rPr>
            </w:pPr>
            <w:r>
              <w:t>344,633</w:t>
            </w:r>
          </w:p>
        </w:tc>
        <w:tc>
          <w:tcPr>
            <w:tcW w:w="460" w:type="pct"/>
            <w:vMerge w:val="restart"/>
            <w:vAlign w:val="center"/>
          </w:tcPr>
          <w:p w14:paraId="73E0DD5B" w14:textId="77777777" w:rsidR="00384446" w:rsidRDefault="00384446">
            <w:pPr>
              <w:jc w:val="right"/>
              <w:rPr>
                <w:szCs w:val="21"/>
              </w:rPr>
            </w:pPr>
            <w:r>
              <w:t>344,633</w:t>
            </w:r>
          </w:p>
        </w:tc>
        <w:tc>
          <w:tcPr>
            <w:tcW w:w="409" w:type="pct"/>
            <w:vMerge w:val="restart"/>
            <w:vAlign w:val="center"/>
          </w:tcPr>
          <w:p w14:paraId="1498DA48" w14:textId="77777777" w:rsidR="00384446" w:rsidRDefault="00384446">
            <w:pPr>
              <w:jc w:val="right"/>
              <w:rPr>
                <w:szCs w:val="21"/>
              </w:rPr>
            </w:pPr>
          </w:p>
        </w:tc>
        <w:tc>
          <w:tcPr>
            <w:tcW w:w="307" w:type="pct"/>
            <w:vMerge w:val="restart"/>
            <w:vAlign w:val="center"/>
          </w:tcPr>
          <w:p w14:paraId="46FAB720" w14:textId="77777777" w:rsidR="00384446" w:rsidRDefault="00384446">
            <w:pPr>
              <w:rPr>
                <w:szCs w:val="21"/>
              </w:rPr>
            </w:pPr>
          </w:p>
        </w:tc>
        <w:tc>
          <w:tcPr>
            <w:tcW w:w="460" w:type="pct"/>
            <w:vMerge w:val="restart"/>
          </w:tcPr>
          <w:p w14:paraId="1B501E98" w14:textId="77777777" w:rsidR="00384446" w:rsidRDefault="00384446" w:rsidP="009F174B">
            <w:pPr>
              <w:jc w:val="right"/>
              <w:rPr>
                <w:szCs w:val="21"/>
              </w:rPr>
            </w:pPr>
            <w:r>
              <w:rPr>
                <w:szCs w:val="21"/>
              </w:rPr>
              <w:t>195.03</w:t>
            </w:r>
          </w:p>
        </w:tc>
        <w:tc>
          <w:tcPr>
            <w:tcW w:w="349" w:type="pct"/>
            <w:vMerge w:val="restart"/>
          </w:tcPr>
          <w:p w14:paraId="6BB26A22" w14:textId="77777777" w:rsidR="00384446" w:rsidRDefault="00384446">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384446" w14:paraId="633B48D7" w14:textId="77777777" w:rsidTr="00384446">
        <w:trPr>
          <w:trHeight w:val="132"/>
        </w:trPr>
        <w:tc>
          <w:tcPr>
            <w:tcW w:w="356" w:type="pct"/>
            <w:vMerge/>
          </w:tcPr>
          <w:p w14:paraId="7BBC00DA" w14:textId="77777777" w:rsidR="00384446" w:rsidRDefault="00384446">
            <w:pPr>
              <w:rPr>
                <w:szCs w:val="21"/>
              </w:rPr>
            </w:pPr>
          </w:p>
        </w:tc>
        <w:tc>
          <w:tcPr>
            <w:tcW w:w="716" w:type="pct"/>
          </w:tcPr>
          <w:p w14:paraId="7679A89F" w14:textId="77777777" w:rsidR="00384446" w:rsidRDefault="00384446" w:rsidP="00C25422">
            <w:pPr>
              <w:pStyle w:val="92"/>
            </w:pPr>
            <w:r>
              <w:rPr>
                <w:rFonts w:hint="eastAsia"/>
              </w:rPr>
              <w:t>副总裁</w:t>
            </w:r>
          </w:p>
        </w:tc>
        <w:tc>
          <w:tcPr>
            <w:tcW w:w="204" w:type="pct"/>
            <w:vMerge/>
            <w:vAlign w:val="center"/>
          </w:tcPr>
          <w:p w14:paraId="3446DEAA" w14:textId="77777777" w:rsidR="00384446" w:rsidRDefault="00384446">
            <w:pPr>
              <w:rPr>
                <w:szCs w:val="21"/>
              </w:rPr>
            </w:pPr>
          </w:p>
        </w:tc>
        <w:tc>
          <w:tcPr>
            <w:tcW w:w="205" w:type="pct"/>
            <w:vMerge/>
            <w:vAlign w:val="center"/>
          </w:tcPr>
          <w:p w14:paraId="1DD8DFD3" w14:textId="77777777" w:rsidR="00384446" w:rsidRDefault="00384446">
            <w:pPr>
              <w:rPr>
                <w:szCs w:val="21"/>
              </w:rPr>
            </w:pPr>
          </w:p>
        </w:tc>
        <w:tc>
          <w:tcPr>
            <w:tcW w:w="511" w:type="pct"/>
            <w:vAlign w:val="center"/>
          </w:tcPr>
          <w:p w14:paraId="240F60BE" w14:textId="77777777" w:rsidR="00384446" w:rsidRDefault="00384446">
            <w:pPr>
              <w:rPr>
                <w:szCs w:val="21"/>
              </w:rPr>
            </w:pPr>
            <w:r>
              <w:t>2021-07-06</w:t>
            </w:r>
          </w:p>
        </w:tc>
        <w:tc>
          <w:tcPr>
            <w:tcW w:w="511" w:type="pct"/>
            <w:vAlign w:val="center"/>
          </w:tcPr>
          <w:p w14:paraId="7CFF309C" w14:textId="77777777" w:rsidR="00384446" w:rsidRDefault="00384446">
            <w:pPr>
              <w:rPr>
                <w:szCs w:val="21"/>
              </w:rPr>
            </w:pPr>
            <w:r>
              <w:t>2023-07-20</w:t>
            </w:r>
          </w:p>
        </w:tc>
        <w:tc>
          <w:tcPr>
            <w:tcW w:w="512" w:type="pct"/>
            <w:vMerge/>
            <w:vAlign w:val="center"/>
          </w:tcPr>
          <w:p w14:paraId="64F8DDD6" w14:textId="77777777" w:rsidR="00384446" w:rsidRDefault="00384446">
            <w:pPr>
              <w:jc w:val="right"/>
              <w:rPr>
                <w:szCs w:val="21"/>
              </w:rPr>
            </w:pPr>
          </w:p>
        </w:tc>
        <w:tc>
          <w:tcPr>
            <w:tcW w:w="460" w:type="pct"/>
            <w:vMerge/>
            <w:vAlign w:val="center"/>
          </w:tcPr>
          <w:p w14:paraId="3A633CAD" w14:textId="77777777" w:rsidR="00384446" w:rsidRDefault="00384446">
            <w:pPr>
              <w:jc w:val="right"/>
              <w:rPr>
                <w:szCs w:val="21"/>
              </w:rPr>
            </w:pPr>
          </w:p>
        </w:tc>
        <w:tc>
          <w:tcPr>
            <w:tcW w:w="409" w:type="pct"/>
            <w:vMerge/>
            <w:vAlign w:val="center"/>
          </w:tcPr>
          <w:p w14:paraId="0C1B7BD6" w14:textId="77777777" w:rsidR="00384446" w:rsidRDefault="00384446">
            <w:pPr>
              <w:jc w:val="right"/>
              <w:rPr>
                <w:szCs w:val="21"/>
              </w:rPr>
            </w:pPr>
          </w:p>
        </w:tc>
        <w:tc>
          <w:tcPr>
            <w:tcW w:w="307" w:type="pct"/>
            <w:vMerge/>
            <w:vAlign w:val="center"/>
          </w:tcPr>
          <w:p w14:paraId="156A830F" w14:textId="77777777" w:rsidR="00384446" w:rsidRDefault="00384446">
            <w:pPr>
              <w:rPr>
                <w:szCs w:val="21"/>
              </w:rPr>
            </w:pPr>
          </w:p>
        </w:tc>
        <w:tc>
          <w:tcPr>
            <w:tcW w:w="460" w:type="pct"/>
            <w:vMerge/>
          </w:tcPr>
          <w:p w14:paraId="32328069" w14:textId="77777777" w:rsidR="00384446" w:rsidRDefault="00384446">
            <w:pPr>
              <w:jc w:val="right"/>
              <w:rPr>
                <w:szCs w:val="21"/>
              </w:rPr>
            </w:pPr>
          </w:p>
        </w:tc>
        <w:tc>
          <w:tcPr>
            <w:tcW w:w="349" w:type="pct"/>
            <w:vMerge/>
          </w:tcPr>
          <w:p w14:paraId="56750B31" w14:textId="77777777" w:rsidR="00384446" w:rsidRDefault="00384446">
            <w:pPr>
              <w:rPr>
                <w:rFonts w:asciiTheme="minorHAnsi" w:eastAsiaTheme="minorEastAsia" w:hAnsiTheme="minorHAnsi" w:cstheme="minorBidi"/>
                <w:kern w:val="2"/>
                <w:szCs w:val="21"/>
                <w14:ligatures w14:val="standardContextual"/>
              </w:rPr>
            </w:pPr>
          </w:p>
        </w:tc>
      </w:tr>
      <w:tr w:rsidR="00E57DAA" w14:paraId="2F2FB925" w14:textId="77777777" w:rsidTr="00384446">
        <w:trPr>
          <w:trHeight w:val="132"/>
        </w:trPr>
        <w:tc>
          <w:tcPr>
            <w:tcW w:w="356" w:type="pct"/>
          </w:tcPr>
          <w:p w14:paraId="74664B7A" w14:textId="77777777" w:rsidR="00E57DAA" w:rsidRDefault="00AC4185">
            <w:pPr>
              <w:rPr>
                <w:szCs w:val="21"/>
              </w:rPr>
            </w:pPr>
            <w:r>
              <w:rPr>
                <w:rFonts w:hint="eastAsia"/>
                <w:szCs w:val="21"/>
              </w:rPr>
              <w:t>蔡军恒</w:t>
            </w:r>
          </w:p>
        </w:tc>
        <w:tc>
          <w:tcPr>
            <w:tcW w:w="716" w:type="pct"/>
          </w:tcPr>
          <w:p w14:paraId="136A6C54" w14:textId="77777777" w:rsidR="00E57DAA" w:rsidRDefault="00AC4185" w:rsidP="00C25422">
            <w:pPr>
              <w:pStyle w:val="92"/>
            </w:pPr>
            <w:r>
              <w:rPr>
                <w:rFonts w:hint="eastAsia"/>
              </w:rPr>
              <w:t>董事</w:t>
            </w:r>
          </w:p>
        </w:tc>
        <w:tc>
          <w:tcPr>
            <w:tcW w:w="204" w:type="pct"/>
            <w:vAlign w:val="center"/>
          </w:tcPr>
          <w:p w14:paraId="74CA804B" w14:textId="77777777" w:rsidR="00E57DAA" w:rsidRDefault="00AC4185">
            <w:pPr>
              <w:rPr>
                <w:szCs w:val="21"/>
              </w:rPr>
            </w:pPr>
            <w:r>
              <w:t>男</w:t>
            </w:r>
          </w:p>
        </w:tc>
        <w:tc>
          <w:tcPr>
            <w:tcW w:w="205" w:type="pct"/>
            <w:vAlign w:val="center"/>
          </w:tcPr>
          <w:p w14:paraId="17A8BCC7" w14:textId="77777777" w:rsidR="00E57DAA" w:rsidRDefault="00AC4185">
            <w:pPr>
              <w:rPr>
                <w:szCs w:val="21"/>
              </w:rPr>
            </w:pPr>
            <w:r>
              <w:rPr>
                <w:rFonts w:hint="eastAsia"/>
                <w:szCs w:val="21"/>
              </w:rPr>
              <w:t>58</w:t>
            </w:r>
          </w:p>
        </w:tc>
        <w:tc>
          <w:tcPr>
            <w:tcW w:w="511" w:type="pct"/>
            <w:vAlign w:val="center"/>
          </w:tcPr>
          <w:p w14:paraId="3F5ED7C3" w14:textId="77777777" w:rsidR="00E57DAA" w:rsidRDefault="00AC4185">
            <w:pPr>
              <w:rPr>
                <w:szCs w:val="21"/>
              </w:rPr>
            </w:pPr>
            <w:r>
              <w:t>2023-10-24</w:t>
            </w:r>
          </w:p>
        </w:tc>
        <w:tc>
          <w:tcPr>
            <w:tcW w:w="511" w:type="pct"/>
            <w:vAlign w:val="center"/>
          </w:tcPr>
          <w:p w14:paraId="348839E5" w14:textId="77777777" w:rsidR="00E57DAA" w:rsidRDefault="00AC4185">
            <w:pPr>
              <w:rPr>
                <w:szCs w:val="21"/>
              </w:rPr>
            </w:pPr>
            <w:r>
              <w:t>2026-10-23</w:t>
            </w:r>
          </w:p>
        </w:tc>
        <w:tc>
          <w:tcPr>
            <w:tcW w:w="512" w:type="pct"/>
            <w:vAlign w:val="center"/>
          </w:tcPr>
          <w:p w14:paraId="6921C8CD" w14:textId="77777777" w:rsidR="00E57DAA" w:rsidRDefault="00AC4185">
            <w:pPr>
              <w:jc w:val="right"/>
              <w:rPr>
                <w:szCs w:val="21"/>
              </w:rPr>
            </w:pPr>
            <w:r>
              <w:t>0</w:t>
            </w:r>
          </w:p>
        </w:tc>
        <w:tc>
          <w:tcPr>
            <w:tcW w:w="460" w:type="pct"/>
            <w:vAlign w:val="center"/>
          </w:tcPr>
          <w:p w14:paraId="50214CAB" w14:textId="77777777" w:rsidR="00E57DAA" w:rsidRDefault="00AC4185">
            <w:pPr>
              <w:jc w:val="right"/>
              <w:rPr>
                <w:szCs w:val="21"/>
              </w:rPr>
            </w:pPr>
            <w:r>
              <w:t>0</w:t>
            </w:r>
          </w:p>
        </w:tc>
        <w:tc>
          <w:tcPr>
            <w:tcW w:w="409" w:type="pct"/>
            <w:vAlign w:val="center"/>
          </w:tcPr>
          <w:p w14:paraId="2887210D" w14:textId="77777777" w:rsidR="00E57DAA" w:rsidRDefault="00E57DAA">
            <w:pPr>
              <w:jc w:val="right"/>
              <w:rPr>
                <w:szCs w:val="21"/>
              </w:rPr>
            </w:pPr>
          </w:p>
        </w:tc>
        <w:tc>
          <w:tcPr>
            <w:tcW w:w="307" w:type="pct"/>
            <w:vAlign w:val="center"/>
          </w:tcPr>
          <w:p w14:paraId="630BBCE6" w14:textId="77777777" w:rsidR="00E57DAA" w:rsidRDefault="00E57DAA">
            <w:pPr>
              <w:rPr>
                <w:szCs w:val="21"/>
              </w:rPr>
            </w:pPr>
          </w:p>
        </w:tc>
        <w:tc>
          <w:tcPr>
            <w:tcW w:w="460" w:type="pct"/>
          </w:tcPr>
          <w:p w14:paraId="545AA0D7" w14:textId="77777777" w:rsidR="00E57DAA" w:rsidRDefault="00AC4185">
            <w:pPr>
              <w:jc w:val="right"/>
              <w:rPr>
                <w:szCs w:val="21"/>
              </w:rPr>
            </w:pPr>
            <w:r>
              <w:rPr>
                <w:rFonts w:hint="eastAsia"/>
                <w:szCs w:val="21"/>
              </w:rPr>
              <w:t>0</w:t>
            </w:r>
          </w:p>
        </w:tc>
        <w:tc>
          <w:tcPr>
            <w:tcW w:w="349" w:type="pct"/>
          </w:tcPr>
          <w:p w14:paraId="33D9376A"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E57DAA" w14:paraId="74232992" w14:textId="77777777" w:rsidTr="00384446">
        <w:trPr>
          <w:trHeight w:val="132"/>
        </w:trPr>
        <w:tc>
          <w:tcPr>
            <w:tcW w:w="356" w:type="pct"/>
          </w:tcPr>
          <w:p w14:paraId="54DE9FE6" w14:textId="77777777" w:rsidR="00E57DAA" w:rsidRDefault="00AC4185">
            <w:pPr>
              <w:rPr>
                <w:szCs w:val="21"/>
              </w:rPr>
            </w:pPr>
            <w:r>
              <w:rPr>
                <w:rFonts w:hint="eastAsia"/>
                <w:szCs w:val="21"/>
              </w:rPr>
              <w:t xml:space="preserve">鞠 </w:t>
            </w:r>
            <w:r>
              <w:rPr>
                <w:szCs w:val="21"/>
              </w:rPr>
              <w:t xml:space="preserve"> </w:t>
            </w:r>
            <w:r>
              <w:rPr>
                <w:rFonts w:hint="eastAsia"/>
                <w:szCs w:val="21"/>
              </w:rPr>
              <w:t>源</w:t>
            </w:r>
          </w:p>
        </w:tc>
        <w:tc>
          <w:tcPr>
            <w:tcW w:w="716" w:type="pct"/>
          </w:tcPr>
          <w:p w14:paraId="7BA92420" w14:textId="77777777" w:rsidR="00E57DAA" w:rsidRDefault="00AC4185" w:rsidP="00C25422">
            <w:pPr>
              <w:pStyle w:val="92"/>
            </w:pPr>
            <w:r>
              <w:rPr>
                <w:rFonts w:hint="eastAsia"/>
              </w:rPr>
              <w:t>独立董事</w:t>
            </w:r>
          </w:p>
        </w:tc>
        <w:tc>
          <w:tcPr>
            <w:tcW w:w="204" w:type="pct"/>
            <w:vAlign w:val="center"/>
          </w:tcPr>
          <w:p w14:paraId="22DBDD35" w14:textId="77777777" w:rsidR="00E57DAA" w:rsidRDefault="00AC4185">
            <w:pPr>
              <w:rPr>
                <w:szCs w:val="21"/>
              </w:rPr>
            </w:pPr>
            <w:r>
              <w:t>男</w:t>
            </w:r>
          </w:p>
        </w:tc>
        <w:tc>
          <w:tcPr>
            <w:tcW w:w="205" w:type="pct"/>
            <w:vAlign w:val="center"/>
          </w:tcPr>
          <w:p w14:paraId="67C1FE36" w14:textId="77777777" w:rsidR="00E57DAA" w:rsidRDefault="00AC4185">
            <w:pPr>
              <w:rPr>
                <w:szCs w:val="21"/>
              </w:rPr>
            </w:pPr>
            <w:r>
              <w:rPr>
                <w:rFonts w:hint="eastAsia"/>
                <w:szCs w:val="21"/>
              </w:rPr>
              <w:t>50</w:t>
            </w:r>
          </w:p>
        </w:tc>
        <w:tc>
          <w:tcPr>
            <w:tcW w:w="511" w:type="pct"/>
            <w:vAlign w:val="center"/>
          </w:tcPr>
          <w:p w14:paraId="18425428" w14:textId="77777777" w:rsidR="00E57DAA" w:rsidRDefault="00AC4185">
            <w:pPr>
              <w:rPr>
                <w:szCs w:val="21"/>
              </w:rPr>
            </w:pPr>
            <w:r>
              <w:t>2020-12-28</w:t>
            </w:r>
          </w:p>
        </w:tc>
        <w:tc>
          <w:tcPr>
            <w:tcW w:w="511" w:type="pct"/>
            <w:vAlign w:val="center"/>
          </w:tcPr>
          <w:p w14:paraId="43A343A5" w14:textId="77777777" w:rsidR="00E57DAA" w:rsidRDefault="00AC4185">
            <w:pPr>
              <w:rPr>
                <w:szCs w:val="21"/>
              </w:rPr>
            </w:pPr>
            <w:r>
              <w:t>2026-10-23</w:t>
            </w:r>
          </w:p>
        </w:tc>
        <w:tc>
          <w:tcPr>
            <w:tcW w:w="512" w:type="pct"/>
            <w:vAlign w:val="center"/>
          </w:tcPr>
          <w:p w14:paraId="6966E4DC" w14:textId="77777777" w:rsidR="00E57DAA" w:rsidRDefault="00AC4185">
            <w:pPr>
              <w:jc w:val="right"/>
              <w:rPr>
                <w:szCs w:val="21"/>
              </w:rPr>
            </w:pPr>
            <w:r>
              <w:t>0</w:t>
            </w:r>
          </w:p>
        </w:tc>
        <w:tc>
          <w:tcPr>
            <w:tcW w:w="460" w:type="pct"/>
            <w:vAlign w:val="center"/>
          </w:tcPr>
          <w:p w14:paraId="2B66B68C" w14:textId="77777777" w:rsidR="00E57DAA" w:rsidRDefault="00AC4185">
            <w:pPr>
              <w:jc w:val="right"/>
              <w:rPr>
                <w:szCs w:val="21"/>
              </w:rPr>
            </w:pPr>
            <w:r>
              <w:t>0</w:t>
            </w:r>
          </w:p>
        </w:tc>
        <w:tc>
          <w:tcPr>
            <w:tcW w:w="409" w:type="pct"/>
            <w:vAlign w:val="center"/>
          </w:tcPr>
          <w:p w14:paraId="1E75DE8C" w14:textId="77777777" w:rsidR="00E57DAA" w:rsidRDefault="00E57DAA">
            <w:pPr>
              <w:jc w:val="right"/>
              <w:rPr>
                <w:szCs w:val="21"/>
              </w:rPr>
            </w:pPr>
          </w:p>
        </w:tc>
        <w:tc>
          <w:tcPr>
            <w:tcW w:w="307" w:type="pct"/>
            <w:vAlign w:val="center"/>
          </w:tcPr>
          <w:p w14:paraId="2AE7517D" w14:textId="77777777" w:rsidR="00E57DAA" w:rsidRDefault="00E57DAA">
            <w:pPr>
              <w:rPr>
                <w:szCs w:val="21"/>
              </w:rPr>
            </w:pPr>
          </w:p>
        </w:tc>
        <w:tc>
          <w:tcPr>
            <w:tcW w:w="460" w:type="pct"/>
          </w:tcPr>
          <w:p w14:paraId="072DFDD5" w14:textId="77777777" w:rsidR="00E57DAA" w:rsidRDefault="00AC4185">
            <w:pPr>
              <w:jc w:val="right"/>
              <w:rPr>
                <w:szCs w:val="21"/>
              </w:rPr>
            </w:pPr>
            <w:r>
              <w:rPr>
                <w:rFonts w:hint="eastAsia"/>
                <w:szCs w:val="21"/>
              </w:rPr>
              <w:t>2</w:t>
            </w:r>
            <w:r>
              <w:rPr>
                <w:szCs w:val="21"/>
              </w:rPr>
              <w:t>.5</w:t>
            </w:r>
            <w:r>
              <w:rPr>
                <w:rFonts w:hint="eastAsia"/>
                <w:szCs w:val="21"/>
              </w:rPr>
              <w:t>0</w:t>
            </w:r>
          </w:p>
        </w:tc>
        <w:tc>
          <w:tcPr>
            <w:tcW w:w="349" w:type="pct"/>
          </w:tcPr>
          <w:p w14:paraId="0A6F8A8E"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780324B7" w14:textId="77777777" w:rsidTr="00384446">
        <w:trPr>
          <w:trHeight w:val="132"/>
        </w:trPr>
        <w:tc>
          <w:tcPr>
            <w:tcW w:w="356" w:type="pct"/>
          </w:tcPr>
          <w:p w14:paraId="03FECAE4" w14:textId="77777777" w:rsidR="00E57DAA" w:rsidRDefault="00AC4185">
            <w:pPr>
              <w:rPr>
                <w:szCs w:val="21"/>
              </w:rPr>
            </w:pPr>
            <w:r>
              <w:rPr>
                <w:rFonts w:hint="eastAsia"/>
                <w:szCs w:val="21"/>
              </w:rPr>
              <w:t xml:space="preserve">焦 </w:t>
            </w:r>
            <w:r>
              <w:rPr>
                <w:szCs w:val="21"/>
              </w:rPr>
              <w:t xml:space="preserve"> </w:t>
            </w:r>
            <w:r>
              <w:rPr>
                <w:rFonts w:hint="eastAsia"/>
                <w:szCs w:val="21"/>
              </w:rPr>
              <w:t>点</w:t>
            </w:r>
          </w:p>
        </w:tc>
        <w:tc>
          <w:tcPr>
            <w:tcW w:w="716" w:type="pct"/>
          </w:tcPr>
          <w:p w14:paraId="60BA4240" w14:textId="77777777" w:rsidR="00E57DAA" w:rsidRDefault="00AC4185" w:rsidP="00C25422">
            <w:pPr>
              <w:pStyle w:val="92"/>
            </w:pPr>
            <w:r>
              <w:rPr>
                <w:rFonts w:hint="eastAsia"/>
              </w:rPr>
              <w:t>独立董事</w:t>
            </w:r>
          </w:p>
        </w:tc>
        <w:tc>
          <w:tcPr>
            <w:tcW w:w="204" w:type="pct"/>
            <w:vAlign w:val="center"/>
          </w:tcPr>
          <w:p w14:paraId="648C7EA5" w14:textId="77777777" w:rsidR="00E57DAA" w:rsidRDefault="00AC4185">
            <w:pPr>
              <w:rPr>
                <w:szCs w:val="21"/>
              </w:rPr>
            </w:pPr>
            <w:r>
              <w:t>男</w:t>
            </w:r>
          </w:p>
        </w:tc>
        <w:tc>
          <w:tcPr>
            <w:tcW w:w="205" w:type="pct"/>
            <w:vAlign w:val="center"/>
          </w:tcPr>
          <w:p w14:paraId="7CE36145" w14:textId="77777777" w:rsidR="00E57DAA" w:rsidRDefault="00AC4185">
            <w:pPr>
              <w:rPr>
                <w:szCs w:val="21"/>
              </w:rPr>
            </w:pPr>
            <w:r>
              <w:rPr>
                <w:rFonts w:hint="eastAsia"/>
              </w:rPr>
              <w:t>59</w:t>
            </w:r>
          </w:p>
        </w:tc>
        <w:tc>
          <w:tcPr>
            <w:tcW w:w="511" w:type="pct"/>
            <w:vAlign w:val="center"/>
          </w:tcPr>
          <w:p w14:paraId="3A179265" w14:textId="77777777" w:rsidR="00E57DAA" w:rsidRDefault="00AC4185">
            <w:pPr>
              <w:rPr>
                <w:szCs w:val="21"/>
              </w:rPr>
            </w:pPr>
            <w:r>
              <w:t>2020-12-28</w:t>
            </w:r>
          </w:p>
        </w:tc>
        <w:tc>
          <w:tcPr>
            <w:tcW w:w="511" w:type="pct"/>
            <w:vAlign w:val="center"/>
          </w:tcPr>
          <w:p w14:paraId="3558101F" w14:textId="77777777" w:rsidR="00E57DAA" w:rsidRDefault="00AC4185">
            <w:pPr>
              <w:rPr>
                <w:szCs w:val="21"/>
              </w:rPr>
            </w:pPr>
            <w:r>
              <w:t>2026-10-23</w:t>
            </w:r>
          </w:p>
        </w:tc>
        <w:tc>
          <w:tcPr>
            <w:tcW w:w="512" w:type="pct"/>
            <w:vAlign w:val="center"/>
          </w:tcPr>
          <w:p w14:paraId="0E6F5087" w14:textId="77777777" w:rsidR="00E57DAA" w:rsidRDefault="00AC4185">
            <w:pPr>
              <w:jc w:val="right"/>
              <w:rPr>
                <w:szCs w:val="21"/>
              </w:rPr>
            </w:pPr>
            <w:r>
              <w:t>0</w:t>
            </w:r>
          </w:p>
        </w:tc>
        <w:tc>
          <w:tcPr>
            <w:tcW w:w="460" w:type="pct"/>
            <w:vAlign w:val="center"/>
          </w:tcPr>
          <w:p w14:paraId="5F7107A9" w14:textId="77777777" w:rsidR="00E57DAA" w:rsidRDefault="00AC4185">
            <w:pPr>
              <w:jc w:val="right"/>
              <w:rPr>
                <w:szCs w:val="21"/>
              </w:rPr>
            </w:pPr>
            <w:r>
              <w:t>0</w:t>
            </w:r>
          </w:p>
        </w:tc>
        <w:tc>
          <w:tcPr>
            <w:tcW w:w="409" w:type="pct"/>
            <w:vAlign w:val="center"/>
          </w:tcPr>
          <w:p w14:paraId="0E3FB637" w14:textId="77777777" w:rsidR="00E57DAA" w:rsidRDefault="00E57DAA">
            <w:pPr>
              <w:jc w:val="right"/>
              <w:rPr>
                <w:szCs w:val="21"/>
              </w:rPr>
            </w:pPr>
          </w:p>
        </w:tc>
        <w:tc>
          <w:tcPr>
            <w:tcW w:w="307" w:type="pct"/>
            <w:vAlign w:val="center"/>
          </w:tcPr>
          <w:p w14:paraId="3D3E0AF6" w14:textId="77777777" w:rsidR="00E57DAA" w:rsidRDefault="00E57DAA">
            <w:pPr>
              <w:rPr>
                <w:szCs w:val="21"/>
              </w:rPr>
            </w:pPr>
          </w:p>
        </w:tc>
        <w:tc>
          <w:tcPr>
            <w:tcW w:w="460" w:type="pct"/>
          </w:tcPr>
          <w:p w14:paraId="103754F0" w14:textId="77777777" w:rsidR="00E57DAA" w:rsidRDefault="00AC4185">
            <w:pPr>
              <w:jc w:val="right"/>
              <w:rPr>
                <w:szCs w:val="21"/>
              </w:rPr>
            </w:pPr>
            <w:r>
              <w:rPr>
                <w:rFonts w:hint="eastAsia"/>
                <w:szCs w:val="21"/>
              </w:rPr>
              <w:t>1</w:t>
            </w:r>
            <w:r>
              <w:rPr>
                <w:szCs w:val="21"/>
              </w:rPr>
              <w:t>5</w:t>
            </w:r>
            <w:r>
              <w:rPr>
                <w:rFonts w:hint="eastAsia"/>
                <w:szCs w:val="21"/>
              </w:rPr>
              <w:t>.00</w:t>
            </w:r>
          </w:p>
        </w:tc>
        <w:tc>
          <w:tcPr>
            <w:tcW w:w="349" w:type="pct"/>
          </w:tcPr>
          <w:p w14:paraId="35C23F4C"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6903F779" w14:textId="77777777" w:rsidTr="00384446">
        <w:trPr>
          <w:trHeight w:val="132"/>
        </w:trPr>
        <w:tc>
          <w:tcPr>
            <w:tcW w:w="356" w:type="pct"/>
          </w:tcPr>
          <w:p w14:paraId="2BA48614" w14:textId="77777777" w:rsidR="00E57DAA" w:rsidRDefault="00AC4185">
            <w:pPr>
              <w:rPr>
                <w:szCs w:val="21"/>
              </w:rPr>
            </w:pPr>
            <w:r>
              <w:rPr>
                <w:rFonts w:hint="eastAsia"/>
                <w:szCs w:val="21"/>
              </w:rPr>
              <w:t>周小明</w:t>
            </w:r>
          </w:p>
        </w:tc>
        <w:tc>
          <w:tcPr>
            <w:tcW w:w="716" w:type="pct"/>
          </w:tcPr>
          <w:p w14:paraId="61B88202" w14:textId="77777777" w:rsidR="00E57DAA" w:rsidRDefault="00AC4185" w:rsidP="00C25422">
            <w:pPr>
              <w:pStyle w:val="92"/>
            </w:pPr>
            <w:r>
              <w:rPr>
                <w:rFonts w:hint="eastAsia"/>
              </w:rPr>
              <w:t>独立董事</w:t>
            </w:r>
          </w:p>
        </w:tc>
        <w:tc>
          <w:tcPr>
            <w:tcW w:w="204" w:type="pct"/>
            <w:vAlign w:val="center"/>
          </w:tcPr>
          <w:p w14:paraId="7E607145" w14:textId="77777777" w:rsidR="00E57DAA" w:rsidRDefault="00AC4185">
            <w:pPr>
              <w:rPr>
                <w:szCs w:val="21"/>
              </w:rPr>
            </w:pPr>
            <w:r>
              <w:t>男</w:t>
            </w:r>
          </w:p>
        </w:tc>
        <w:tc>
          <w:tcPr>
            <w:tcW w:w="205" w:type="pct"/>
            <w:vAlign w:val="center"/>
          </w:tcPr>
          <w:p w14:paraId="54E66F82" w14:textId="77777777" w:rsidR="00E57DAA" w:rsidRDefault="00AC4185">
            <w:pPr>
              <w:rPr>
                <w:szCs w:val="21"/>
              </w:rPr>
            </w:pPr>
            <w:r>
              <w:rPr>
                <w:rFonts w:hint="eastAsia"/>
              </w:rPr>
              <w:t>68</w:t>
            </w:r>
          </w:p>
        </w:tc>
        <w:tc>
          <w:tcPr>
            <w:tcW w:w="511" w:type="pct"/>
            <w:vAlign w:val="center"/>
          </w:tcPr>
          <w:p w14:paraId="2750A96B" w14:textId="77777777" w:rsidR="00E57DAA" w:rsidRDefault="00AC4185">
            <w:pPr>
              <w:rPr>
                <w:szCs w:val="21"/>
              </w:rPr>
            </w:pPr>
            <w:r>
              <w:t>2023-10-24</w:t>
            </w:r>
          </w:p>
        </w:tc>
        <w:tc>
          <w:tcPr>
            <w:tcW w:w="511" w:type="pct"/>
            <w:vAlign w:val="center"/>
          </w:tcPr>
          <w:p w14:paraId="5C802385" w14:textId="77777777" w:rsidR="00E57DAA" w:rsidRDefault="00AC4185">
            <w:pPr>
              <w:rPr>
                <w:szCs w:val="21"/>
              </w:rPr>
            </w:pPr>
            <w:r>
              <w:t>2026-10-23</w:t>
            </w:r>
          </w:p>
        </w:tc>
        <w:tc>
          <w:tcPr>
            <w:tcW w:w="512" w:type="pct"/>
            <w:vAlign w:val="center"/>
          </w:tcPr>
          <w:p w14:paraId="3ADF8141" w14:textId="77777777" w:rsidR="00E57DAA" w:rsidRDefault="00AC4185">
            <w:pPr>
              <w:jc w:val="right"/>
              <w:rPr>
                <w:szCs w:val="21"/>
              </w:rPr>
            </w:pPr>
            <w:r>
              <w:t>0</w:t>
            </w:r>
          </w:p>
        </w:tc>
        <w:tc>
          <w:tcPr>
            <w:tcW w:w="460" w:type="pct"/>
            <w:vAlign w:val="center"/>
          </w:tcPr>
          <w:p w14:paraId="2B6E6F95" w14:textId="77777777" w:rsidR="00E57DAA" w:rsidRDefault="00AC4185">
            <w:pPr>
              <w:jc w:val="right"/>
              <w:rPr>
                <w:szCs w:val="21"/>
              </w:rPr>
            </w:pPr>
            <w:r>
              <w:t>0</w:t>
            </w:r>
          </w:p>
        </w:tc>
        <w:tc>
          <w:tcPr>
            <w:tcW w:w="409" w:type="pct"/>
            <w:vAlign w:val="center"/>
          </w:tcPr>
          <w:p w14:paraId="46BB8038" w14:textId="77777777" w:rsidR="00E57DAA" w:rsidRDefault="00E57DAA">
            <w:pPr>
              <w:jc w:val="right"/>
              <w:rPr>
                <w:szCs w:val="21"/>
              </w:rPr>
            </w:pPr>
          </w:p>
        </w:tc>
        <w:tc>
          <w:tcPr>
            <w:tcW w:w="307" w:type="pct"/>
            <w:vAlign w:val="center"/>
          </w:tcPr>
          <w:p w14:paraId="2232BD10" w14:textId="77777777" w:rsidR="00E57DAA" w:rsidRDefault="00E57DAA">
            <w:pPr>
              <w:rPr>
                <w:szCs w:val="21"/>
              </w:rPr>
            </w:pPr>
          </w:p>
        </w:tc>
        <w:tc>
          <w:tcPr>
            <w:tcW w:w="460" w:type="pct"/>
            <w:vAlign w:val="center"/>
          </w:tcPr>
          <w:p w14:paraId="0F8BC4B0" w14:textId="77777777" w:rsidR="00E57DAA" w:rsidRDefault="00AC4185">
            <w:pPr>
              <w:jc w:val="right"/>
              <w:rPr>
                <w:szCs w:val="21"/>
              </w:rPr>
            </w:pPr>
            <w:r>
              <w:t>15</w:t>
            </w:r>
            <w:r>
              <w:rPr>
                <w:rFonts w:hint="eastAsia"/>
              </w:rPr>
              <w:t>.00</w:t>
            </w:r>
          </w:p>
        </w:tc>
        <w:tc>
          <w:tcPr>
            <w:tcW w:w="349" w:type="pct"/>
            <w:vAlign w:val="center"/>
          </w:tcPr>
          <w:p w14:paraId="00055E6C" w14:textId="77777777" w:rsidR="00E57DAA" w:rsidRDefault="00AC4185">
            <w:pPr>
              <w:rPr>
                <w:rFonts w:asciiTheme="minorHAnsi" w:eastAsiaTheme="minorEastAsia" w:hAnsiTheme="minorHAnsi" w:cstheme="minorBidi"/>
                <w:kern w:val="2"/>
                <w:szCs w:val="21"/>
                <w14:ligatures w14:val="standardContextual"/>
              </w:rPr>
            </w:pPr>
            <w:r>
              <w:t>否</w:t>
            </w:r>
          </w:p>
        </w:tc>
      </w:tr>
      <w:tr w:rsidR="00384446" w14:paraId="76353CC4" w14:textId="77777777" w:rsidTr="00384446">
        <w:trPr>
          <w:trHeight w:val="132"/>
        </w:trPr>
        <w:tc>
          <w:tcPr>
            <w:tcW w:w="356" w:type="pct"/>
            <w:vMerge w:val="restart"/>
          </w:tcPr>
          <w:p w14:paraId="5839DD89" w14:textId="77777777" w:rsidR="00384446" w:rsidRDefault="00384446">
            <w:pPr>
              <w:rPr>
                <w:szCs w:val="21"/>
              </w:rPr>
            </w:pPr>
            <w:r>
              <w:rPr>
                <w:rFonts w:hint="eastAsia"/>
                <w:szCs w:val="21"/>
              </w:rPr>
              <w:t xml:space="preserve">刘 </w:t>
            </w:r>
            <w:r>
              <w:rPr>
                <w:szCs w:val="21"/>
              </w:rPr>
              <w:t xml:space="preserve"> </w:t>
            </w:r>
            <w:r>
              <w:rPr>
                <w:rFonts w:hint="eastAsia"/>
                <w:szCs w:val="21"/>
              </w:rPr>
              <w:t>燕</w:t>
            </w:r>
          </w:p>
          <w:p w14:paraId="3EF4ACC8" w14:textId="77777777" w:rsidR="00384446" w:rsidRDefault="00384446">
            <w:pPr>
              <w:rPr>
                <w:szCs w:val="21"/>
              </w:rPr>
            </w:pPr>
          </w:p>
        </w:tc>
        <w:tc>
          <w:tcPr>
            <w:tcW w:w="716" w:type="pct"/>
          </w:tcPr>
          <w:p w14:paraId="4B955098" w14:textId="77777777" w:rsidR="00384446" w:rsidRDefault="00384446" w:rsidP="00C25422">
            <w:pPr>
              <w:pStyle w:val="92"/>
            </w:pPr>
            <w:r>
              <w:rPr>
                <w:rFonts w:hint="eastAsia"/>
              </w:rPr>
              <w:t>董事长（已离任）</w:t>
            </w:r>
          </w:p>
        </w:tc>
        <w:tc>
          <w:tcPr>
            <w:tcW w:w="204" w:type="pct"/>
            <w:vMerge w:val="restart"/>
            <w:vAlign w:val="center"/>
          </w:tcPr>
          <w:p w14:paraId="3A41AC30" w14:textId="77777777" w:rsidR="00384446" w:rsidRDefault="00384446">
            <w:pPr>
              <w:rPr>
                <w:szCs w:val="21"/>
              </w:rPr>
            </w:pPr>
            <w:r>
              <w:t>男</w:t>
            </w:r>
          </w:p>
        </w:tc>
        <w:tc>
          <w:tcPr>
            <w:tcW w:w="205" w:type="pct"/>
            <w:vMerge w:val="restart"/>
            <w:vAlign w:val="center"/>
          </w:tcPr>
          <w:p w14:paraId="04778688" w14:textId="77777777" w:rsidR="00384446" w:rsidRDefault="00384446">
            <w:pPr>
              <w:rPr>
                <w:szCs w:val="21"/>
              </w:rPr>
            </w:pPr>
            <w:r>
              <w:t>59</w:t>
            </w:r>
          </w:p>
        </w:tc>
        <w:tc>
          <w:tcPr>
            <w:tcW w:w="511" w:type="pct"/>
            <w:vAlign w:val="center"/>
          </w:tcPr>
          <w:p w14:paraId="7870C1C1" w14:textId="77777777" w:rsidR="00384446" w:rsidRDefault="00384446">
            <w:pPr>
              <w:rPr>
                <w:szCs w:val="21"/>
              </w:rPr>
            </w:pPr>
            <w:r>
              <w:t>2020-08-12</w:t>
            </w:r>
          </w:p>
        </w:tc>
        <w:tc>
          <w:tcPr>
            <w:tcW w:w="511" w:type="pct"/>
            <w:vAlign w:val="center"/>
          </w:tcPr>
          <w:p w14:paraId="18C60BB7" w14:textId="77777777" w:rsidR="00384446" w:rsidRDefault="00384446">
            <w:pPr>
              <w:rPr>
                <w:szCs w:val="21"/>
              </w:rPr>
            </w:pPr>
            <w:r>
              <w:t>2023-07-20</w:t>
            </w:r>
          </w:p>
        </w:tc>
        <w:tc>
          <w:tcPr>
            <w:tcW w:w="512" w:type="pct"/>
            <w:vMerge w:val="restart"/>
            <w:vAlign w:val="center"/>
          </w:tcPr>
          <w:p w14:paraId="00BC360A" w14:textId="77777777" w:rsidR="00384446" w:rsidRDefault="00384446">
            <w:pPr>
              <w:jc w:val="right"/>
              <w:rPr>
                <w:szCs w:val="21"/>
              </w:rPr>
            </w:pPr>
            <w:r>
              <w:t>365,700</w:t>
            </w:r>
          </w:p>
        </w:tc>
        <w:tc>
          <w:tcPr>
            <w:tcW w:w="460" w:type="pct"/>
            <w:vMerge w:val="restart"/>
            <w:vAlign w:val="center"/>
          </w:tcPr>
          <w:p w14:paraId="4F71C6D8" w14:textId="77777777" w:rsidR="00384446" w:rsidRDefault="00384446">
            <w:pPr>
              <w:jc w:val="right"/>
              <w:rPr>
                <w:szCs w:val="21"/>
              </w:rPr>
            </w:pPr>
            <w:r>
              <w:t>365,700</w:t>
            </w:r>
          </w:p>
        </w:tc>
        <w:tc>
          <w:tcPr>
            <w:tcW w:w="409" w:type="pct"/>
            <w:vMerge w:val="restart"/>
            <w:vAlign w:val="center"/>
          </w:tcPr>
          <w:p w14:paraId="5AE62290" w14:textId="77777777" w:rsidR="00384446" w:rsidRDefault="00384446">
            <w:pPr>
              <w:jc w:val="right"/>
              <w:rPr>
                <w:szCs w:val="21"/>
              </w:rPr>
            </w:pPr>
          </w:p>
        </w:tc>
        <w:tc>
          <w:tcPr>
            <w:tcW w:w="307" w:type="pct"/>
            <w:vMerge w:val="restart"/>
            <w:vAlign w:val="center"/>
          </w:tcPr>
          <w:p w14:paraId="49C8C84D" w14:textId="77777777" w:rsidR="00384446" w:rsidRDefault="00384446">
            <w:pPr>
              <w:rPr>
                <w:szCs w:val="21"/>
              </w:rPr>
            </w:pPr>
          </w:p>
        </w:tc>
        <w:tc>
          <w:tcPr>
            <w:tcW w:w="460" w:type="pct"/>
            <w:vMerge w:val="restart"/>
          </w:tcPr>
          <w:p w14:paraId="36B91195" w14:textId="77777777" w:rsidR="00384446" w:rsidRDefault="00384446">
            <w:pPr>
              <w:jc w:val="right"/>
              <w:rPr>
                <w:szCs w:val="21"/>
              </w:rPr>
            </w:pPr>
            <w:r>
              <w:rPr>
                <w:rFonts w:hint="eastAsia"/>
                <w:szCs w:val="21"/>
              </w:rPr>
              <w:t>0</w:t>
            </w:r>
          </w:p>
        </w:tc>
        <w:tc>
          <w:tcPr>
            <w:tcW w:w="349" w:type="pct"/>
            <w:vMerge w:val="restart"/>
          </w:tcPr>
          <w:p w14:paraId="74E45246" w14:textId="77777777" w:rsidR="00384446" w:rsidRDefault="00384446">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384446" w14:paraId="47FECC5F" w14:textId="77777777" w:rsidTr="00384446">
        <w:trPr>
          <w:trHeight w:val="132"/>
        </w:trPr>
        <w:tc>
          <w:tcPr>
            <w:tcW w:w="356" w:type="pct"/>
            <w:vMerge/>
          </w:tcPr>
          <w:p w14:paraId="7369166C" w14:textId="77777777" w:rsidR="00384446" w:rsidRDefault="00384446">
            <w:pPr>
              <w:rPr>
                <w:szCs w:val="21"/>
              </w:rPr>
            </w:pPr>
          </w:p>
        </w:tc>
        <w:tc>
          <w:tcPr>
            <w:tcW w:w="716" w:type="pct"/>
          </w:tcPr>
          <w:p w14:paraId="218E2ABE" w14:textId="77777777" w:rsidR="00384446" w:rsidRDefault="00384446" w:rsidP="00C25422">
            <w:pPr>
              <w:pStyle w:val="92"/>
            </w:pPr>
            <w:r>
              <w:rPr>
                <w:rFonts w:hint="eastAsia"/>
              </w:rPr>
              <w:t>董事（已离任）</w:t>
            </w:r>
          </w:p>
        </w:tc>
        <w:tc>
          <w:tcPr>
            <w:tcW w:w="204" w:type="pct"/>
            <w:vMerge/>
            <w:vAlign w:val="center"/>
          </w:tcPr>
          <w:p w14:paraId="660A7817" w14:textId="77777777" w:rsidR="00384446" w:rsidRDefault="00384446">
            <w:pPr>
              <w:rPr>
                <w:szCs w:val="21"/>
              </w:rPr>
            </w:pPr>
          </w:p>
        </w:tc>
        <w:tc>
          <w:tcPr>
            <w:tcW w:w="205" w:type="pct"/>
            <w:vMerge/>
            <w:vAlign w:val="center"/>
          </w:tcPr>
          <w:p w14:paraId="3AADE59E" w14:textId="77777777" w:rsidR="00384446" w:rsidRDefault="00384446">
            <w:pPr>
              <w:rPr>
                <w:szCs w:val="21"/>
              </w:rPr>
            </w:pPr>
          </w:p>
        </w:tc>
        <w:tc>
          <w:tcPr>
            <w:tcW w:w="511" w:type="pct"/>
            <w:vAlign w:val="center"/>
          </w:tcPr>
          <w:p w14:paraId="3C4EC161" w14:textId="77777777" w:rsidR="00384446" w:rsidRDefault="00384446">
            <w:pPr>
              <w:rPr>
                <w:szCs w:val="21"/>
              </w:rPr>
            </w:pPr>
            <w:r>
              <w:t>2020-08-12</w:t>
            </w:r>
          </w:p>
        </w:tc>
        <w:tc>
          <w:tcPr>
            <w:tcW w:w="511" w:type="pct"/>
            <w:vAlign w:val="center"/>
          </w:tcPr>
          <w:p w14:paraId="345D7E0E" w14:textId="77777777" w:rsidR="00384446" w:rsidRDefault="00384446">
            <w:pPr>
              <w:rPr>
                <w:szCs w:val="21"/>
              </w:rPr>
            </w:pPr>
            <w:r>
              <w:t>2023-10-24</w:t>
            </w:r>
          </w:p>
        </w:tc>
        <w:tc>
          <w:tcPr>
            <w:tcW w:w="512" w:type="pct"/>
            <w:vMerge/>
            <w:vAlign w:val="center"/>
          </w:tcPr>
          <w:p w14:paraId="01B9B46F" w14:textId="77777777" w:rsidR="00384446" w:rsidRDefault="00384446">
            <w:pPr>
              <w:jc w:val="right"/>
              <w:rPr>
                <w:szCs w:val="21"/>
              </w:rPr>
            </w:pPr>
          </w:p>
        </w:tc>
        <w:tc>
          <w:tcPr>
            <w:tcW w:w="460" w:type="pct"/>
            <w:vMerge/>
            <w:vAlign w:val="center"/>
          </w:tcPr>
          <w:p w14:paraId="4C4BB587" w14:textId="77777777" w:rsidR="00384446" w:rsidRDefault="00384446">
            <w:pPr>
              <w:jc w:val="right"/>
              <w:rPr>
                <w:szCs w:val="21"/>
              </w:rPr>
            </w:pPr>
          </w:p>
        </w:tc>
        <w:tc>
          <w:tcPr>
            <w:tcW w:w="409" w:type="pct"/>
            <w:vMerge/>
            <w:vAlign w:val="center"/>
          </w:tcPr>
          <w:p w14:paraId="0F7FE686" w14:textId="77777777" w:rsidR="00384446" w:rsidRDefault="00384446">
            <w:pPr>
              <w:jc w:val="right"/>
              <w:rPr>
                <w:szCs w:val="21"/>
              </w:rPr>
            </w:pPr>
          </w:p>
        </w:tc>
        <w:tc>
          <w:tcPr>
            <w:tcW w:w="307" w:type="pct"/>
            <w:vMerge/>
            <w:vAlign w:val="center"/>
          </w:tcPr>
          <w:p w14:paraId="38BB4B11" w14:textId="77777777" w:rsidR="00384446" w:rsidRDefault="00384446">
            <w:pPr>
              <w:rPr>
                <w:szCs w:val="21"/>
              </w:rPr>
            </w:pPr>
          </w:p>
        </w:tc>
        <w:tc>
          <w:tcPr>
            <w:tcW w:w="460" w:type="pct"/>
            <w:vMerge/>
          </w:tcPr>
          <w:p w14:paraId="043BA159" w14:textId="77777777" w:rsidR="00384446" w:rsidRDefault="00384446">
            <w:pPr>
              <w:jc w:val="right"/>
              <w:rPr>
                <w:szCs w:val="21"/>
              </w:rPr>
            </w:pPr>
          </w:p>
        </w:tc>
        <w:tc>
          <w:tcPr>
            <w:tcW w:w="349" w:type="pct"/>
            <w:vMerge/>
          </w:tcPr>
          <w:p w14:paraId="7EA98275" w14:textId="77777777" w:rsidR="00384446" w:rsidRDefault="00384446">
            <w:pPr>
              <w:rPr>
                <w:rFonts w:asciiTheme="minorHAnsi" w:eastAsiaTheme="minorEastAsia" w:hAnsiTheme="minorHAnsi" w:cstheme="minorBidi"/>
                <w:kern w:val="2"/>
                <w:szCs w:val="21"/>
                <w14:ligatures w14:val="standardContextual"/>
              </w:rPr>
            </w:pPr>
          </w:p>
        </w:tc>
      </w:tr>
      <w:tr w:rsidR="00E57DAA" w14:paraId="4026E66C" w14:textId="77777777" w:rsidTr="00384446">
        <w:trPr>
          <w:trHeight w:val="132"/>
        </w:trPr>
        <w:tc>
          <w:tcPr>
            <w:tcW w:w="356" w:type="pct"/>
          </w:tcPr>
          <w:p w14:paraId="14F33ABF" w14:textId="77777777" w:rsidR="00E57DAA" w:rsidRDefault="00AC4185">
            <w:pPr>
              <w:rPr>
                <w:szCs w:val="21"/>
              </w:rPr>
            </w:pPr>
            <w:r>
              <w:rPr>
                <w:rFonts w:hint="eastAsia"/>
                <w:szCs w:val="21"/>
              </w:rPr>
              <w:t>余明清</w:t>
            </w:r>
          </w:p>
        </w:tc>
        <w:tc>
          <w:tcPr>
            <w:tcW w:w="716" w:type="pct"/>
          </w:tcPr>
          <w:p w14:paraId="522169E2" w14:textId="77777777" w:rsidR="00E57DAA" w:rsidRDefault="00AC4185" w:rsidP="00C25422">
            <w:pPr>
              <w:pStyle w:val="92"/>
            </w:pPr>
            <w:r>
              <w:rPr>
                <w:rFonts w:hint="eastAsia"/>
              </w:rPr>
              <w:t>董事</w:t>
            </w:r>
            <w:r w:rsidR="005E4EE1" w:rsidRPr="005E4EE1">
              <w:rPr>
                <w:rFonts w:hint="eastAsia"/>
              </w:rPr>
              <w:t>（已离任）</w:t>
            </w:r>
          </w:p>
        </w:tc>
        <w:tc>
          <w:tcPr>
            <w:tcW w:w="204" w:type="pct"/>
            <w:vAlign w:val="center"/>
          </w:tcPr>
          <w:p w14:paraId="66E7DB4A" w14:textId="77777777" w:rsidR="00E57DAA" w:rsidRDefault="00AC4185">
            <w:pPr>
              <w:rPr>
                <w:szCs w:val="21"/>
              </w:rPr>
            </w:pPr>
            <w:r>
              <w:t>男</w:t>
            </w:r>
          </w:p>
        </w:tc>
        <w:tc>
          <w:tcPr>
            <w:tcW w:w="205" w:type="pct"/>
            <w:vAlign w:val="center"/>
          </w:tcPr>
          <w:p w14:paraId="67D49E11" w14:textId="77777777" w:rsidR="00E57DAA" w:rsidRDefault="00AC4185">
            <w:pPr>
              <w:rPr>
                <w:szCs w:val="21"/>
              </w:rPr>
            </w:pPr>
            <w:r>
              <w:t>61</w:t>
            </w:r>
          </w:p>
        </w:tc>
        <w:tc>
          <w:tcPr>
            <w:tcW w:w="511" w:type="pct"/>
            <w:vAlign w:val="center"/>
          </w:tcPr>
          <w:p w14:paraId="62C0D980" w14:textId="77777777" w:rsidR="00E57DAA" w:rsidRDefault="00AC4185">
            <w:pPr>
              <w:rPr>
                <w:szCs w:val="21"/>
              </w:rPr>
            </w:pPr>
            <w:r>
              <w:t>2020-04-13</w:t>
            </w:r>
          </w:p>
        </w:tc>
        <w:tc>
          <w:tcPr>
            <w:tcW w:w="511" w:type="pct"/>
            <w:vAlign w:val="center"/>
          </w:tcPr>
          <w:p w14:paraId="1B64EFD9" w14:textId="77777777" w:rsidR="00E57DAA" w:rsidRDefault="00AC4185">
            <w:pPr>
              <w:rPr>
                <w:szCs w:val="21"/>
              </w:rPr>
            </w:pPr>
            <w:r>
              <w:t>2023-10-24</w:t>
            </w:r>
          </w:p>
        </w:tc>
        <w:tc>
          <w:tcPr>
            <w:tcW w:w="512" w:type="pct"/>
            <w:vAlign w:val="center"/>
          </w:tcPr>
          <w:p w14:paraId="0A522456" w14:textId="77777777" w:rsidR="00E57DAA" w:rsidRDefault="00AC4185">
            <w:pPr>
              <w:jc w:val="right"/>
              <w:rPr>
                <w:szCs w:val="21"/>
              </w:rPr>
            </w:pPr>
            <w:r>
              <w:t>0</w:t>
            </w:r>
          </w:p>
        </w:tc>
        <w:tc>
          <w:tcPr>
            <w:tcW w:w="460" w:type="pct"/>
            <w:vAlign w:val="center"/>
          </w:tcPr>
          <w:p w14:paraId="0C48BC2E" w14:textId="77777777" w:rsidR="00E57DAA" w:rsidRDefault="00AC4185">
            <w:pPr>
              <w:jc w:val="right"/>
              <w:rPr>
                <w:szCs w:val="21"/>
              </w:rPr>
            </w:pPr>
            <w:r>
              <w:t>0</w:t>
            </w:r>
          </w:p>
        </w:tc>
        <w:tc>
          <w:tcPr>
            <w:tcW w:w="409" w:type="pct"/>
            <w:vAlign w:val="center"/>
          </w:tcPr>
          <w:p w14:paraId="5D67E862" w14:textId="77777777" w:rsidR="00E57DAA" w:rsidRDefault="00E57DAA">
            <w:pPr>
              <w:jc w:val="right"/>
              <w:rPr>
                <w:szCs w:val="21"/>
              </w:rPr>
            </w:pPr>
          </w:p>
        </w:tc>
        <w:tc>
          <w:tcPr>
            <w:tcW w:w="307" w:type="pct"/>
            <w:vAlign w:val="center"/>
          </w:tcPr>
          <w:p w14:paraId="764ACFDD" w14:textId="77777777" w:rsidR="00E57DAA" w:rsidRDefault="00E57DAA">
            <w:pPr>
              <w:rPr>
                <w:szCs w:val="21"/>
              </w:rPr>
            </w:pPr>
          </w:p>
        </w:tc>
        <w:tc>
          <w:tcPr>
            <w:tcW w:w="460" w:type="pct"/>
            <w:vAlign w:val="center"/>
          </w:tcPr>
          <w:p w14:paraId="2F155071" w14:textId="77777777" w:rsidR="00E57DAA" w:rsidRDefault="00AC4185">
            <w:pPr>
              <w:jc w:val="right"/>
              <w:rPr>
                <w:szCs w:val="21"/>
              </w:rPr>
            </w:pPr>
            <w:r>
              <w:t>0</w:t>
            </w:r>
          </w:p>
        </w:tc>
        <w:tc>
          <w:tcPr>
            <w:tcW w:w="349" w:type="pct"/>
            <w:vAlign w:val="center"/>
          </w:tcPr>
          <w:p w14:paraId="5FBBBBF7" w14:textId="77777777" w:rsidR="00E57DAA" w:rsidRDefault="00AC4185">
            <w:pPr>
              <w:rPr>
                <w:rFonts w:asciiTheme="minorHAnsi" w:eastAsiaTheme="minorEastAsia" w:hAnsiTheme="minorHAnsi" w:cstheme="minorBidi"/>
                <w:kern w:val="2"/>
                <w:szCs w:val="21"/>
                <w14:ligatures w14:val="standardContextual"/>
              </w:rPr>
            </w:pPr>
            <w:r>
              <w:t>是</w:t>
            </w:r>
          </w:p>
        </w:tc>
      </w:tr>
      <w:tr w:rsidR="00E57DAA" w14:paraId="008CABA7" w14:textId="77777777" w:rsidTr="00384446">
        <w:trPr>
          <w:trHeight w:val="132"/>
        </w:trPr>
        <w:tc>
          <w:tcPr>
            <w:tcW w:w="356" w:type="pct"/>
          </w:tcPr>
          <w:p w14:paraId="2F628218" w14:textId="77777777" w:rsidR="00E57DAA" w:rsidRDefault="00AC4185">
            <w:pPr>
              <w:rPr>
                <w:szCs w:val="21"/>
              </w:rPr>
            </w:pPr>
            <w:r>
              <w:rPr>
                <w:rFonts w:hint="eastAsia"/>
                <w:szCs w:val="21"/>
              </w:rPr>
              <w:t>蒋中文</w:t>
            </w:r>
          </w:p>
        </w:tc>
        <w:tc>
          <w:tcPr>
            <w:tcW w:w="716" w:type="pct"/>
          </w:tcPr>
          <w:p w14:paraId="7125A9C8" w14:textId="77777777" w:rsidR="00E57DAA" w:rsidRDefault="00AC4185" w:rsidP="00C25422">
            <w:pPr>
              <w:pStyle w:val="92"/>
            </w:pPr>
            <w:r>
              <w:rPr>
                <w:rFonts w:hint="eastAsia"/>
              </w:rPr>
              <w:t>董事</w:t>
            </w:r>
            <w:r w:rsidR="005E4EE1" w:rsidRPr="005E4EE1">
              <w:rPr>
                <w:rFonts w:hint="eastAsia"/>
              </w:rPr>
              <w:t>（已离任）</w:t>
            </w:r>
          </w:p>
        </w:tc>
        <w:tc>
          <w:tcPr>
            <w:tcW w:w="204" w:type="pct"/>
            <w:vAlign w:val="center"/>
          </w:tcPr>
          <w:p w14:paraId="4CEF6068" w14:textId="77777777" w:rsidR="00E57DAA" w:rsidRDefault="00AC4185">
            <w:pPr>
              <w:rPr>
                <w:szCs w:val="21"/>
              </w:rPr>
            </w:pPr>
            <w:r>
              <w:t>男</w:t>
            </w:r>
          </w:p>
        </w:tc>
        <w:tc>
          <w:tcPr>
            <w:tcW w:w="205" w:type="pct"/>
            <w:vAlign w:val="center"/>
          </w:tcPr>
          <w:p w14:paraId="16524E46" w14:textId="77777777" w:rsidR="00E57DAA" w:rsidRDefault="00AC4185">
            <w:pPr>
              <w:rPr>
                <w:szCs w:val="21"/>
              </w:rPr>
            </w:pPr>
            <w:r>
              <w:t>61</w:t>
            </w:r>
          </w:p>
        </w:tc>
        <w:tc>
          <w:tcPr>
            <w:tcW w:w="511" w:type="pct"/>
            <w:vAlign w:val="center"/>
          </w:tcPr>
          <w:p w14:paraId="6E919AC2" w14:textId="77777777" w:rsidR="00E57DAA" w:rsidRDefault="00AC4185">
            <w:pPr>
              <w:rPr>
                <w:szCs w:val="21"/>
              </w:rPr>
            </w:pPr>
            <w:r>
              <w:t>2015-09-25</w:t>
            </w:r>
          </w:p>
        </w:tc>
        <w:tc>
          <w:tcPr>
            <w:tcW w:w="511" w:type="pct"/>
            <w:vAlign w:val="center"/>
          </w:tcPr>
          <w:p w14:paraId="62EB01AE" w14:textId="77777777" w:rsidR="00E57DAA" w:rsidRDefault="00AC4185">
            <w:pPr>
              <w:rPr>
                <w:szCs w:val="21"/>
              </w:rPr>
            </w:pPr>
            <w:r>
              <w:t>2023-10-24</w:t>
            </w:r>
          </w:p>
        </w:tc>
        <w:tc>
          <w:tcPr>
            <w:tcW w:w="512" w:type="pct"/>
            <w:vAlign w:val="center"/>
          </w:tcPr>
          <w:p w14:paraId="6CAC5E21" w14:textId="77777777" w:rsidR="00E57DAA" w:rsidRDefault="00AC4185">
            <w:pPr>
              <w:jc w:val="right"/>
              <w:rPr>
                <w:szCs w:val="21"/>
              </w:rPr>
            </w:pPr>
            <w:r>
              <w:t>22,500</w:t>
            </w:r>
          </w:p>
        </w:tc>
        <w:tc>
          <w:tcPr>
            <w:tcW w:w="460" w:type="pct"/>
            <w:vAlign w:val="center"/>
          </w:tcPr>
          <w:p w14:paraId="2BA403BD" w14:textId="77777777" w:rsidR="00E57DAA" w:rsidRDefault="00AC4185">
            <w:pPr>
              <w:jc w:val="right"/>
              <w:rPr>
                <w:szCs w:val="21"/>
              </w:rPr>
            </w:pPr>
            <w:r>
              <w:t>22,500</w:t>
            </w:r>
          </w:p>
        </w:tc>
        <w:tc>
          <w:tcPr>
            <w:tcW w:w="409" w:type="pct"/>
            <w:vAlign w:val="center"/>
          </w:tcPr>
          <w:p w14:paraId="4E3024EE" w14:textId="77777777" w:rsidR="00E57DAA" w:rsidRDefault="00E57DAA">
            <w:pPr>
              <w:jc w:val="right"/>
              <w:rPr>
                <w:szCs w:val="21"/>
              </w:rPr>
            </w:pPr>
          </w:p>
        </w:tc>
        <w:tc>
          <w:tcPr>
            <w:tcW w:w="307" w:type="pct"/>
            <w:vAlign w:val="center"/>
          </w:tcPr>
          <w:p w14:paraId="28058BF0" w14:textId="77777777" w:rsidR="00E57DAA" w:rsidRDefault="00E57DAA">
            <w:pPr>
              <w:rPr>
                <w:szCs w:val="21"/>
              </w:rPr>
            </w:pPr>
          </w:p>
        </w:tc>
        <w:tc>
          <w:tcPr>
            <w:tcW w:w="460" w:type="pct"/>
          </w:tcPr>
          <w:p w14:paraId="77D648FB" w14:textId="77777777" w:rsidR="00E57DAA" w:rsidRDefault="00AC4185">
            <w:pPr>
              <w:jc w:val="right"/>
              <w:rPr>
                <w:szCs w:val="21"/>
              </w:rPr>
            </w:pPr>
            <w:r>
              <w:rPr>
                <w:szCs w:val="21"/>
              </w:rPr>
              <w:t>226.55</w:t>
            </w:r>
          </w:p>
        </w:tc>
        <w:tc>
          <w:tcPr>
            <w:tcW w:w="349" w:type="pct"/>
          </w:tcPr>
          <w:p w14:paraId="72BABA5E"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26493DFD" w14:textId="77777777" w:rsidTr="00384446">
        <w:trPr>
          <w:trHeight w:val="132"/>
        </w:trPr>
        <w:tc>
          <w:tcPr>
            <w:tcW w:w="356" w:type="pct"/>
          </w:tcPr>
          <w:p w14:paraId="2FA1D0C1" w14:textId="77777777" w:rsidR="00E57DAA" w:rsidRDefault="00AC4185">
            <w:pPr>
              <w:rPr>
                <w:szCs w:val="21"/>
              </w:rPr>
            </w:pPr>
            <w:r>
              <w:rPr>
                <w:rFonts w:hint="eastAsia"/>
                <w:szCs w:val="21"/>
              </w:rPr>
              <w:t>张晓燕</w:t>
            </w:r>
          </w:p>
        </w:tc>
        <w:tc>
          <w:tcPr>
            <w:tcW w:w="716" w:type="pct"/>
          </w:tcPr>
          <w:p w14:paraId="6DD24099" w14:textId="77777777" w:rsidR="00E57DAA" w:rsidRDefault="00AC4185" w:rsidP="00C25422">
            <w:pPr>
              <w:pStyle w:val="92"/>
            </w:pPr>
            <w:r>
              <w:rPr>
                <w:rFonts w:hint="eastAsia"/>
              </w:rPr>
              <w:t>独立董事</w:t>
            </w:r>
            <w:r w:rsidR="005E4EE1" w:rsidRPr="005E4EE1">
              <w:rPr>
                <w:rFonts w:hint="eastAsia"/>
              </w:rPr>
              <w:t>（已离任）</w:t>
            </w:r>
          </w:p>
        </w:tc>
        <w:tc>
          <w:tcPr>
            <w:tcW w:w="204" w:type="pct"/>
            <w:vAlign w:val="center"/>
          </w:tcPr>
          <w:p w14:paraId="360513AC" w14:textId="77777777" w:rsidR="00E57DAA" w:rsidRDefault="00AC4185">
            <w:pPr>
              <w:rPr>
                <w:szCs w:val="21"/>
              </w:rPr>
            </w:pPr>
            <w:r>
              <w:t>女</w:t>
            </w:r>
          </w:p>
        </w:tc>
        <w:tc>
          <w:tcPr>
            <w:tcW w:w="205" w:type="pct"/>
            <w:vAlign w:val="center"/>
          </w:tcPr>
          <w:p w14:paraId="7BD086DF" w14:textId="77777777" w:rsidR="00E57DAA" w:rsidRDefault="00AC4185">
            <w:pPr>
              <w:rPr>
                <w:szCs w:val="21"/>
              </w:rPr>
            </w:pPr>
            <w:r>
              <w:t>48</w:t>
            </w:r>
          </w:p>
        </w:tc>
        <w:tc>
          <w:tcPr>
            <w:tcW w:w="511" w:type="pct"/>
            <w:vAlign w:val="center"/>
          </w:tcPr>
          <w:p w14:paraId="09D30D9B" w14:textId="77777777" w:rsidR="00E57DAA" w:rsidRDefault="00AC4185">
            <w:pPr>
              <w:rPr>
                <w:szCs w:val="21"/>
              </w:rPr>
            </w:pPr>
            <w:r>
              <w:t>2017-08-24</w:t>
            </w:r>
          </w:p>
        </w:tc>
        <w:tc>
          <w:tcPr>
            <w:tcW w:w="511" w:type="pct"/>
            <w:vAlign w:val="center"/>
          </w:tcPr>
          <w:p w14:paraId="00BD98B4" w14:textId="77777777" w:rsidR="00E57DAA" w:rsidRDefault="00AC4185">
            <w:pPr>
              <w:rPr>
                <w:szCs w:val="21"/>
              </w:rPr>
            </w:pPr>
            <w:r>
              <w:t>2023-10-24</w:t>
            </w:r>
          </w:p>
        </w:tc>
        <w:tc>
          <w:tcPr>
            <w:tcW w:w="512" w:type="pct"/>
            <w:vAlign w:val="center"/>
          </w:tcPr>
          <w:p w14:paraId="0497D702" w14:textId="77777777" w:rsidR="00E57DAA" w:rsidRDefault="00AC4185">
            <w:pPr>
              <w:jc w:val="right"/>
              <w:rPr>
                <w:szCs w:val="21"/>
              </w:rPr>
            </w:pPr>
            <w:r>
              <w:t>0</w:t>
            </w:r>
          </w:p>
        </w:tc>
        <w:tc>
          <w:tcPr>
            <w:tcW w:w="460" w:type="pct"/>
            <w:vAlign w:val="center"/>
          </w:tcPr>
          <w:p w14:paraId="5020223F" w14:textId="77777777" w:rsidR="00E57DAA" w:rsidRDefault="00AC4185">
            <w:pPr>
              <w:jc w:val="right"/>
              <w:rPr>
                <w:szCs w:val="21"/>
              </w:rPr>
            </w:pPr>
            <w:r>
              <w:t>0</w:t>
            </w:r>
          </w:p>
        </w:tc>
        <w:tc>
          <w:tcPr>
            <w:tcW w:w="409" w:type="pct"/>
            <w:vAlign w:val="center"/>
          </w:tcPr>
          <w:p w14:paraId="7BCEAAE6" w14:textId="77777777" w:rsidR="00E57DAA" w:rsidRDefault="00E57DAA">
            <w:pPr>
              <w:jc w:val="right"/>
              <w:rPr>
                <w:szCs w:val="21"/>
              </w:rPr>
            </w:pPr>
          </w:p>
        </w:tc>
        <w:tc>
          <w:tcPr>
            <w:tcW w:w="307" w:type="pct"/>
            <w:vAlign w:val="center"/>
          </w:tcPr>
          <w:p w14:paraId="427F3C9B" w14:textId="77777777" w:rsidR="00E57DAA" w:rsidRDefault="00E57DAA">
            <w:pPr>
              <w:rPr>
                <w:szCs w:val="21"/>
              </w:rPr>
            </w:pPr>
          </w:p>
        </w:tc>
        <w:tc>
          <w:tcPr>
            <w:tcW w:w="460" w:type="pct"/>
          </w:tcPr>
          <w:p w14:paraId="2644D450" w14:textId="77777777" w:rsidR="00E57DAA" w:rsidRDefault="00AC4185">
            <w:pPr>
              <w:jc w:val="right"/>
              <w:rPr>
                <w:szCs w:val="21"/>
              </w:rPr>
            </w:pPr>
            <w:r>
              <w:rPr>
                <w:rFonts w:hint="eastAsia"/>
                <w:szCs w:val="21"/>
              </w:rPr>
              <w:t>12.50</w:t>
            </w:r>
          </w:p>
        </w:tc>
        <w:tc>
          <w:tcPr>
            <w:tcW w:w="349" w:type="pct"/>
          </w:tcPr>
          <w:p w14:paraId="3991B7E9"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723ABB77" w14:textId="77777777" w:rsidTr="00384446">
        <w:trPr>
          <w:trHeight w:val="132"/>
        </w:trPr>
        <w:tc>
          <w:tcPr>
            <w:tcW w:w="356" w:type="pct"/>
          </w:tcPr>
          <w:p w14:paraId="62DBCC4E" w14:textId="77777777" w:rsidR="00E57DAA" w:rsidRDefault="00AC4185">
            <w:pPr>
              <w:rPr>
                <w:szCs w:val="21"/>
              </w:rPr>
            </w:pPr>
            <w:r>
              <w:rPr>
                <w:rFonts w:hint="eastAsia"/>
                <w:szCs w:val="21"/>
              </w:rPr>
              <w:t>于月华</w:t>
            </w:r>
          </w:p>
        </w:tc>
        <w:tc>
          <w:tcPr>
            <w:tcW w:w="716" w:type="pct"/>
          </w:tcPr>
          <w:p w14:paraId="2539AB6C" w14:textId="77777777" w:rsidR="00E57DAA" w:rsidRDefault="00AC4185" w:rsidP="00C25422">
            <w:pPr>
              <w:pStyle w:val="92"/>
            </w:pPr>
            <w:r>
              <w:rPr>
                <w:rFonts w:hint="eastAsia"/>
              </w:rPr>
              <w:t>监事会主席</w:t>
            </w:r>
          </w:p>
        </w:tc>
        <w:tc>
          <w:tcPr>
            <w:tcW w:w="204" w:type="pct"/>
            <w:vAlign w:val="center"/>
          </w:tcPr>
          <w:p w14:paraId="307214F8" w14:textId="77777777" w:rsidR="00E57DAA" w:rsidRDefault="00AC4185">
            <w:pPr>
              <w:rPr>
                <w:szCs w:val="21"/>
              </w:rPr>
            </w:pPr>
            <w:r>
              <w:t>女</w:t>
            </w:r>
          </w:p>
        </w:tc>
        <w:tc>
          <w:tcPr>
            <w:tcW w:w="205" w:type="pct"/>
            <w:vAlign w:val="center"/>
          </w:tcPr>
          <w:p w14:paraId="239B338E" w14:textId="77777777" w:rsidR="00E57DAA" w:rsidRDefault="00AC4185">
            <w:pPr>
              <w:rPr>
                <w:szCs w:val="21"/>
              </w:rPr>
            </w:pPr>
            <w:r>
              <w:rPr>
                <w:rFonts w:hint="eastAsia"/>
                <w:szCs w:val="21"/>
              </w:rPr>
              <w:t>52</w:t>
            </w:r>
          </w:p>
        </w:tc>
        <w:tc>
          <w:tcPr>
            <w:tcW w:w="511" w:type="pct"/>
            <w:vAlign w:val="center"/>
          </w:tcPr>
          <w:p w14:paraId="141590AD" w14:textId="77777777" w:rsidR="00E57DAA" w:rsidRDefault="00AC4185">
            <w:pPr>
              <w:rPr>
                <w:szCs w:val="21"/>
              </w:rPr>
            </w:pPr>
            <w:r>
              <w:t>2023-10-24</w:t>
            </w:r>
          </w:p>
        </w:tc>
        <w:tc>
          <w:tcPr>
            <w:tcW w:w="511" w:type="pct"/>
            <w:vAlign w:val="center"/>
          </w:tcPr>
          <w:p w14:paraId="1A5BF845" w14:textId="77777777" w:rsidR="00E57DAA" w:rsidRDefault="00AC4185">
            <w:pPr>
              <w:rPr>
                <w:szCs w:val="21"/>
              </w:rPr>
            </w:pPr>
            <w:r>
              <w:t>2026-10-23</w:t>
            </w:r>
          </w:p>
        </w:tc>
        <w:tc>
          <w:tcPr>
            <w:tcW w:w="512" w:type="pct"/>
            <w:vAlign w:val="center"/>
          </w:tcPr>
          <w:p w14:paraId="5550241D" w14:textId="77777777" w:rsidR="00E57DAA" w:rsidRDefault="00AC4185">
            <w:pPr>
              <w:jc w:val="right"/>
              <w:rPr>
                <w:szCs w:val="21"/>
              </w:rPr>
            </w:pPr>
            <w:r>
              <w:t>0</w:t>
            </w:r>
          </w:p>
        </w:tc>
        <w:tc>
          <w:tcPr>
            <w:tcW w:w="460" w:type="pct"/>
            <w:vAlign w:val="center"/>
          </w:tcPr>
          <w:p w14:paraId="7E865D73" w14:textId="77777777" w:rsidR="00E57DAA" w:rsidRDefault="00AC4185">
            <w:pPr>
              <w:jc w:val="right"/>
              <w:rPr>
                <w:szCs w:val="21"/>
              </w:rPr>
            </w:pPr>
            <w:r>
              <w:t>0</w:t>
            </w:r>
          </w:p>
        </w:tc>
        <w:tc>
          <w:tcPr>
            <w:tcW w:w="409" w:type="pct"/>
            <w:vAlign w:val="center"/>
          </w:tcPr>
          <w:p w14:paraId="03BBFAB8" w14:textId="77777777" w:rsidR="00E57DAA" w:rsidRDefault="00E57DAA">
            <w:pPr>
              <w:jc w:val="right"/>
              <w:rPr>
                <w:szCs w:val="21"/>
              </w:rPr>
            </w:pPr>
          </w:p>
        </w:tc>
        <w:tc>
          <w:tcPr>
            <w:tcW w:w="307" w:type="pct"/>
            <w:vAlign w:val="center"/>
          </w:tcPr>
          <w:p w14:paraId="5D8E14B9" w14:textId="77777777" w:rsidR="00E57DAA" w:rsidRDefault="00E57DAA">
            <w:pPr>
              <w:rPr>
                <w:szCs w:val="21"/>
              </w:rPr>
            </w:pPr>
          </w:p>
        </w:tc>
        <w:tc>
          <w:tcPr>
            <w:tcW w:w="460" w:type="pct"/>
          </w:tcPr>
          <w:p w14:paraId="2EBDD9AC" w14:textId="77777777" w:rsidR="00E57DAA" w:rsidRDefault="00AC4185">
            <w:pPr>
              <w:jc w:val="right"/>
              <w:rPr>
                <w:szCs w:val="21"/>
              </w:rPr>
            </w:pPr>
            <w:r>
              <w:rPr>
                <w:rFonts w:hint="eastAsia"/>
                <w:szCs w:val="21"/>
              </w:rPr>
              <w:t>0</w:t>
            </w:r>
          </w:p>
        </w:tc>
        <w:tc>
          <w:tcPr>
            <w:tcW w:w="349" w:type="pct"/>
          </w:tcPr>
          <w:p w14:paraId="44545481"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E57DAA" w14:paraId="1D732B2B" w14:textId="77777777" w:rsidTr="00384446">
        <w:trPr>
          <w:trHeight w:val="132"/>
        </w:trPr>
        <w:tc>
          <w:tcPr>
            <w:tcW w:w="356" w:type="pct"/>
          </w:tcPr>
          <w:p w14:paraId="5236C5EE" w14:textId="77777777" w:rsidR="00E57DAA" w:rsidRDefault="00AC4185">
            <w:pPr>
              <w:rPr>
                <w:szCs w:val="21"/>
              </w:rPr>
            </w:pPr>
            <w:r>
              <w:rPr>
                <w:rFonts w:hint="eastAsia"/>
                <w:szCs w:val="21"/>
              </w:rPr>
              <w:t>堵光媛</w:t>
            </w:r>
          </w:p>
        </w:tc>
        <w:tc>
          <w:tcPr>
            <w:tcW w:w="716" w:type="pct"/>
          </w:tcPr>
          <w:p w14:paraId="1A54257D" w14:textId="77777777" w:rsidR="00E57DAA" w:rsidRDefault="00AC4185" w:rsidP="00C25422">
            <w:pPr>
              <w:pStyle w:val="92"/>
            </w:pPr>
            <w:r>
              <w:rPr>
                <w:rFonts w:hint="eastAsia"/>
              </w:rPr>
              <w:t>监事</w:t>
            </w:r>
          </w:p>
        </w:tc>
        <w:tc>
          <w:tcPr>
            <w:tcW w:w="204" w:type="pct"/>
            <w:vAlign w:val="center"/>
          </w:tcPr>
          <w:p w14:paraId="292EE0B6" w14:textId="77777777" w:rsidR="00E57DAA" w:rsidRDefault="00AC4185">
            <w:pPr>
              <w:rPr>
                <w:szCs w:val="21"/>
              </w:rPr>
            </w:pPr>
            <w:r>
              <w:t>女</w:t>
            </w:r>
          </w:p>
        </w:tc>
        <w:tc>
          <w:tcPr>
            <w:tcW w:w="205" w:type="pct"/>
            <w:vAlign w:val="center"/>
          </w:tcPr>
          <w:p w14:paraId="066F77B8" w14:textId="77777777" w:rsidR="00E57DAA" w:rsidRDefault="00AC4185">
            <w:pPr>
              <w:rPr>
                <w:szCs w:val="21"/>
              </w:rPr>
            </w:pPr>
            <w:r>
              <w:t>45</w:t>
            </w:r>
          </w:p>
        </w:tc>
        <w:tc>
          <w:tcPr>
            <w:tcW w:w="511" w:type="pct"/>
            <w:vAlign w:val="center"/>
          </w:tcPr>
          <w:p w14:paraId="7D5079E6" w14:textId="77777777" w:rsidR="00E57DAA" w:rsidRDefault="00AC4185">
            <w:pPr>
              <w:rPr>
                <w:szCs w:val="21"/>
              </w:rPr>
            </w:pPr>
            <w:r>
              <w:t>2022-02-14</w:t>
            </w:r>
          </w:p>
        </w:tc>
        <w:tc>
          <w:tcPr>
            <w:tcW w:w="511" w:type="pct"/>
            <w:vAlign w:val="center"/>
          </w:tcPr>
          <w:p w14:paraId="13616544" w14:textId="77777777" w:rsidR="00E57DAA" w:rsidRDefault="00AC4185">
            <w:pPr>
              <w:rPr>
                <w:szCs w:val="21"/>
              </w:rPr>
            </w:pPr>
            <w:r>
              <w:t>2026-10-23</w:t>
            </w:r>
          </w:p>
        </w:tc>
        <w:tc>
          <w:tcPr>
            <w:tcW w:w="512" w:type="pct"/>
            <w:vAlign w:val="center"/>
          </w:tcPr>
          <w:p w14:paraId="1A76AD29" w14:textId="77777777" w:rsidR="00E57DAA" w:rsidRDefault="00AC4185">
            <w:pPr>
              <w:jc w:val="right"/>
              <w:rPr>
                <w:szCs w:val="21"/>
              </w:rPr>
            </w:pPr>
            <w:r>
              <w:t>0</w:t>
            </w:r>
          </w:p>
        </w:tc>
        <w:tc>
          <w:tcPr>
            <w:tcW w:w="460" w:type="pct"/>
            <w:vAlign w:val="center"/>
          </w:tcPr>
          <w:p w14:paraId="55DDADFF" w14:textId="77777777" w:rsidR="00E57DAA" w:rsidRDefault="00AC4185">
            <w:pPr>
              <w:jc w:val="right"/>
              <w:rPr>
                <w:szCs w:val="21"/>
              </w:rPr>
            </w:pPr>
            <w:r>
              <w:t>0</w:t>
            </w:r>
          </w:p>
        </w:tc>
        <w:tc>
          <w:tcPr>
            <w:tcW w:w="409" w:type="pct"/>
            <w:vAlign w:val="center"/>
          </w:tcPr>
          <w:p w14:paraId="34690101" w14:textId="77777777" w:rsidR="00E57DAA" w:rsidRDefault="00E57DAA">
            <w:pPr>
              <w:jc w:val="right"/>
              <w:rPr>
                <w:szCs w:val="21"/>
              </w:rPr>
            </w:pPr>
          </w:p>
        </w:tc>
        <w:tc>
          <w:tcPr>
            <w:tcW w:w="307" w:type="pct"/>
            <w:vAlign w:val="center"/>
          </w:tcPr>
          <w:p w14:paraId="3B585662" w14:textId="77777777" w:rsidR="00E57DAA" w:rsidRDefault="00E57DAA">
            <w:pPr>
              <w:rPr>
                <w:szCs w:val="21"/>
              </w:rPr>
            </w:pPr>
          </w:p>
        </w:tc>
        <w:tc>
          <w:tcPr>
            <w:tcW w:w="460" w:type="pct"/>
          </w:tcPr>
          <w:p w14:paraId="46F6D155" w14:textId="77777777" w:rsidR="00E57DAA" w:rsidRDefault="00AC4185">
            <w:pPr>
              <w:jc w:val="right"/>
              <w:rPr>
                <w:szCs w:val="21"/>
              </w:rPr>
            </w:pPr>
            <w:r>
              <w:rPr>
                <w:rFonts w:hint="eastAsia"/>
                <w:szCs w:val="21"/>
              </w:rPr>
              <w:t>0</w:t>
            </w:r>
          </w:p>
        </w:tc>
        <w:tc>
          <w:tcPr>
            <w:tcW w:w="349" w:type="pct"/>
          </w:tcPr>
          <w:p w14:paraId="05C97AA8"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E57DAA" w14:paraId="2D7767B5" w14:textId="77777777" w:rsidTr="00384446">
        <w:trPr>
          <w:trHeight w:val="132"/>
        </w:trPr>
        <w:tc>
          <w:tcPr>
            <w:tcW w:w="356" w:type="pct"/>
          </w:tcPr>
          <w:p w14:paraId="664BC392" w14:textId="77777777" w:rsidR="00E57DAA" w:rsidRDefault="00AC4185">
            <w:pPr>
              <w:rPr>
                <w:szCs w:val="21"/>
              </w:rPr>
            </w:pPr>
            <w:r>
              <w:rPr>
                <w:rFonts w:hint="eastAsia"/>
                <w:szCs w:val="21"/>
              </w:rPr>
              <w:lastRenderedPageBreak/>
              <w:t>李荧琳</w:t>
            </w:r>
          </w:p>
        </w:tc>
        <w:tc>
          <w:tcPr>
            <w:tcW w:w="716" w:type="pct"/>
          </w:tcPr>
          <w:p w14:paraId="039AA5AA" w14:textId="77777777" w:rsidR="00E57DAA" w:rsidRDefault="00AC4185" w:rsidP="00C25422">
            <w:pPr>
              <w:pStyle w:val="92"/>
            </w:pPr>
            <w:r>
              <w:rPr>
                <w:rFonts w:hint="eastAsia"/>
              </w:rPr>
              <w:t>职工监事</w:t>
            </w:r>
          </w:p>
        </w:tc>
        <w:tc>
          <w:tcPr>
            <w:tcW w:w="204" w:type="pct"/>
            <w:vAlign w:val="center"/>
          </w:tcPr>
          <w:p w14:paraId="5ED21444" w14:textId="77777777" w:rsidR="00E57DAA" w:rsidRDefault="00AC4185">
            <w:pPr>
              <w:rPr>
                <w:szCs w:val="21"/>
              </w:rPr>
            </w:pPr>
            <w:r>
              <w:t>女</w:t>
            </w:r>
          </w:p>
        </w:tc>
        <w:tc>
          <w:tcPr>
            <w:tcW w:w="205" w:type="pct"/>
            <w:vAlign w:val="center"/>
          </w:tcPr>
          <w:p w14:paraId="3C6066AB" w14:textId="77777777" w:rsidR="00E57DAA" w:rsidRDefault="00AC4185">
            <w:pPr>
              <w:rPr>
                <w:szCs w:val="21"/>
              </w:rPr>
            </w:pPr>
            <w:r>
              <w:t>36</w:t>
            </w:r>
          </w:p>
        </w:tc>
        <w:tc>
          <w:tcPr>
            <w:tcW w:w="511" w:type="pct"/>
            <w:vAlign w:val="center"/>
          </w:tcPr>
          <w:p w14:paraId="594F9286" w14:textId="77777777" w:rsidR="00E57DAA" w:rsidRDefault="00AC4185">
            <w:pPr>
              <w:rPr>
                <w:szCs w:val="21"/>
              </w:rPr>
            </w:pPr>
            <w:r>
              <w:t>2017-11-13</w:t>
            </w:r>
          </w:p>
        </w:tc>
        <w:tc>
          <w:tcPr>
            <w:tcW w:w="511" w:type="pct"/>
            <w:vAlign w:val="center"/>
          </w:tcPr>
          <w:p w14:paraId="5CB507CD" w14:textId="77777777" w:rsidR="00E57DAA" w:rsidRDefault="00AC4185">
            <w:pPr>
              <w:rPr>
                <w:szCs w:val="21"/>
              </w:rPr>
            </w:pPr>
            <w:r>
              <w:t>2026-10-23</w:t>
            </w:r>
          </w:p>
        </w:tc>
        <w:tc>
          <w:tcPr>
            <w:tcW w:w="512" w:type="pct"/>
            <w:vAlign w:val="center"/>
          </w:tcPr>
          <w:p w14:paraId="27F93D9C" w14:textId="77777777" w:rsidR="00E57DAA" w:rsidRDefault="00AC4185">
            <w:pPr>
              <w:jc w:val="right"/>
              <w:rPr>
                <w:szCs w:val="21"/>
              </w:rPr>
            </w:pPr>
            <w:r>
              <w:t>0</w:t>
            </w:r>
          </w:p>
        </w:tc>
        <w:tc>
          <w:tcPr>
            <w:tcW w:w="460" w:type="pct"/>
            <w:vAlign w:val="center"/>
          </w:tcPr>
          <w:p w14:paraId="1FBD3FFF" w14:textId="77777777" w:rsidR="00E57DAA" w:rsidRDefault="00AC4185">
            <w:pPr>
              <w:jc w:val="right"/>
              <w:rPr>
                <w:szCs w:val="21"/>
              </w:rPr>
            </w:pPr>
            <w:r>
              <w:t>0</w:t>
            </w:r>
          </w:p>
        </w:tc>
        <w:tc>
          <w:tcPr>
            <w:tcW w:w="409" w:type="pct"/>
            <w:vAlign w:val="center"/>
          </w:tcPr>
          <w:p w14:paraId="3A4CE790" w14:textId="77777777" w:rsidR="00E57DAA" w:rsidRDefault="00E57DAA">
            <w:pPr>
              <w:jc w:val="right"/>
              <w:rPr>
                <w:szCs w:val="21"/>
              </w:rPr>
            </w:pPr>
          </w:p>
        </w:tc>
        <w:tc>
          <w:tcPr>
            <w:tcW w:w="307" w:type="pct"/>
            <w:vAlign w:val="center"/>
          </w:tcPr>
          <w:p w14:paraId="335C558E" w14:textId="77777777" w:rsidR="00E57DAA" w:rsidRDefault="00E57DAA">
            <w:pPr>
              <w:rPr>
                <w:szCs w:val="21"/>
              </w:rPr>
            </w:pPr>
          </w:p>
        </w:tc>
        <w:tc>
          <w:tcPr>
            <w:tcW w:w="460" w:type="pct"/>
          </w:tcPr>
          <w:p w14:paraId="784B050B" w14:textId="77777777" w:rsidR="00E57DAA" w:rsidRDefault="00AC4185">
            <w:pPr>
              <w:jc w:val="right"/>
              <w:rPr>
                <w:szCs w:val="21"/>
              </w:rPr>
            </w:pPr>
            <w:r>
              <w:rPr>
                <w:rFonts w:hint="eastAsia"/>
                <w:szCs w:val="21"/>
              </w:rPr>
              <w:t>6</w:t>
            </w:r>
            <w:r>
              <w:rPr>
                <w:szCs w:val="21"/>
              </w:rPr>
              <w:t>6.26</w:t>
            </w:r>
          </w:p>
        </w:tc>
        <w:tc>
          <w:tcPr>
            <w:tcW w:w="349" w:type="pct"/>
          </w:tcPr>
          <w:p w14:paraId="710D7CBE"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2DBA6A88" w14:textId="77777777" w:rsidTr="00384446">
        <w:trPr>
          <w:trHeight w:val="132"/>
        </w:trPr>
        <w:tc>
          <w:tcPr>
            <w:tcW w:w="356" w:type="pct"/>
          </w:tcPr>
          <w:p w14:paraId="58D246C5" w14:textId="77777777" w:rsidR="00E57DAA" w:rsidRDefault="00AC4185">
            <w:pPr>
              <w:rPr>
                <w:szCs w:val="21"/>
              </w:rPr>
            </w:pPr>
            <w:r>
              <w:rPr>
                <w:rFonts w:hint="eastAsia"/>
                <w:szCs w:val="21"/>
              </w:rPr>
              <w:t>胡金玉</w:t>
            </w:r>
          </w:p>
        </w:tc>
        <w:tc>
          <w:tcPr>
            <w:tcW w:w="716" w:type="pct"/>
          </w:tcPr>
          <w:p w14:paraId="15F1E05D" w14:textId="77777777" w:rsidR="00E57DAA" w:rsidRDefault="00AC4185" w:rsidP="00C25422">
            <w:pPr>
              <w:pStyle w:val="92"/>
            </w:pPr>
            <w:r>
              <w:rPr>
                <w:rFonts w:hint="eastAsia"/>
              </w:rPr>
              <w:t>监事会主席</w:t>
            </w:r>
            <w:r w:rsidR="005E4EE1" w:rsidRPr="005E4EE1">
              <w:rPr>
                <w:rFonts w:hint="eastAsia"/>
              </w:rPr>
              <w:t>（已离任）</w:t>
            </w:r>
          </w:p>
        </w:tc>
        <w:tc>
          <w:tcPr>
            <w:tcW w:w="204" w:type="pct"/>
            <w:vAlign w:val="center"/>
          </w:tcPr>
          <w:p w14:paraId="7B391FBB" w14:textId="77777777" w:rsidR="00E57DAA" w:rsidRDefault="00AC4185">
            <w:pPr>
              <w:rPr>
                <w:szCs w:val="21"/>
              </w:rPr>
            </w:pPr>
            <w:r>
              <w:t>女</w:t>
            </w:r>
          </w:p>
        </w:tc>
        <w:tc>
          <w:tcPr>
            <w:tcW w:w="205" w:type="pct"/>
            <w:vAlign w:val="center"/>
          </w:tcPr>
          <w:p w14:paraId="598341DE" w14:textId="77777777" w:rsidR="00E57DAA" w:rsidRDefault="00AC4185">
            <w:pPr>
              <w:rPr>
                <w:szCs w:val="21"/>
              </w:rPr>
            </w:pPr>
            <w:r>
              <w:t>55</w:t>
            </w:r>
          </w:p>
        </w:tc>
        <w:tc>
          <w:tcPr>
            <w:tcW w:w="511" w:type="pct"/>
            <w:vAlign w:val="center"/>
          </w:tcPr>
          <w:p w14:paraId="1B82C215" w14:textId="77777777" w:rsidR="00E57DAA" w:rsidRDefault="00AC4185">
            <w:pPr>
              <w:rPr>
                <w:szCs w:val="21"/>
              </w:rPr>
            </w:pPr>
            <w:r>
              <w:t>2020-07-23</w:t>
            </w:r>
          </w:p>
        </w:tc>
        <w:tc>
          <w:tcPr>
            <w:tcW w:w="511" w:type="pct"/>
            <w:vAlign w:val="center"/>
          </w:tcPr>
          <w:p w14:paraId="025C70B5" w14:textId="77777777" w:rsidR="00E57DAA" w:rsidRDefault="00AC4185">
            <w:pPr>
              <w:rPr>
                <w:szCs w:val="21"/>
              </w:rPr>
            </w:pPr>
            <w:r>
              <w:t>2023-10-23</w:t>
            </w:r>
          </w:p>
        </w:tc>
        <w:tc>
          <w:tcPr>
            <w:tcW w:w="512" w:type="pct"/>
            <w:vAlign w:val="center"/>
          </w:tcPr>
          <w:p w14:paraId="2F5C7166" w14:textId="77777777" w:rsidR="00E57DAA" w:rsidRDefault="00AC4185">
            <w:pPr>
              <w:jc w:val="right"/>
              <w:rPr>
                <w:szCs w:val="21"/>
              </w:rPr>
            </w:pPr>
            <w:r>
              <w:t>0</w:t>
            </w:r>
          </w:p>
        </w:tc>
        <w:tc>
          <w:tcPr>
            <w:tcW w:w="460" w:type="pct"/>
            <w:vAlign w:val="center"/>
          </w:tcPr>
          <w:p w14:paraId="08771EE4" w14:textId="77777777" w:rsidR="00E57DAA" w:rsidRDefault="00AC4185">
            <w:pPr>
              <w:jc w:val="right"/>
              <w:rPr>
                <w:szCs w:val="21"/>
              </w:rPr>
            </w:pPr>
            <w:r>
              <w:t>0</w:t>
            </w:r>
          </w:p>
        </w:tc>
        <w:tc>
          <w:tcPr>
            <w:tcW w:w="409" w:type="pct"/>
            <w:vAlign w:val="center"/>
          </w:tcPr>
          <w:p w14:paraId="5CE8CA39" w14:textId="77777777" w:rsidR="00E57DAA" w:rsidRDefault="00E57DAA">
            <w:pPr>
              <w:jc w:val="right"/>
              <w:rPr>
                <w:szCs w:val="21"/>
              </w:rPr>
            </w:pPr>
          </w:p>
        </w:tc>
        <w:tc>
          <w:tcPr>
            <w:tcW w:w="307" w:type="pct"/>
            <w:vAlign w:val="center"/>
          </w:tcPr>
          <w:p w14:paraId="69A2CBCA" w14:textId="77777777" w:rsidR="00E57DAA" w:rsidRDefault="00E57DAA">
            <w:pPr>
              <w:rPr>
                <w:szCs w:val="21"/>
              </w:rPr>
            </w:pPr>
          </w:p>
        </w:tc>
        <w:tc>
          <w:tcPr>
            <w:tcW w:w="460" w:type="pct"/>
          </w:tcPr>
          <w:p w14:paraId="2570F17B" w14:textId="77777777" w:rsidR="00E57DAA" w:rsidRDefault="00AC4185">
            <w:pPr>
              <w:jc w:val="right"/>
              <w:rPr>
                <w:szCs w:val="21"/>
              </w:rPr>
            </w:pPr>
            <w:r>
              <w:rPr>
                <w:rFonts w:hint="eastAsia"/>
                <w:szCs w:val="21"/>
              </w:rPr>
              <w:t>0</w:t>
            </w:r>
          </w:p>
        </w:tc>
        <w:tc>
          <w:tcPr>
            <w:tcW w:w="349" w:type="pct"/>
          </w:tcPr>
          <w:p w14:paraId="78ECC124"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是</w:t>
            </w:r>
          </w:p>
        </w:tc>
      </w:tr>
      <w:tr w:rsidR="00E57DAA" w14:paraId="7922299C" w14:textId="77777777" w:rsidTr="00384446">
        <w:trPr>
          <w:trHeight w:val="132"/>
        </w:trPr>
        <w:tc>
          <w:tcPr>
            <w:tcW w:w="356" w:type="pct"/>
          </w:tcPr>
          <w:p w14:paraId="63959EF9" w14:textId="77777777" w:rsidR="00E57DAA" w:rsidRDefault="00AC4185">
            <w:pPr>
              <w:rPr>
                <w:szCs w:val="21"/>
              </w:rPr>
            </w:pPr>
            <w:r>
              <w:rPr>
                <w:rFonts w:hint="eastAsia"/>
                <w:szCs w:val="21"/>
              </w:rPr>
              <w:t>隋同波</w:t>
            </w:r>
          </w:p>
        </w:tc>
        <w:tc>
          <w:tcPr>
            <w:tcW w:w="716" w:type="pct"/>
          </w:tcPr>
          <w:p w14:paraId="7E009FCE" w14:textId="77777777" w:rsidR="00E57DAA" w:rsidRDefault="00AC4185" w:rsidP="00C25422">
            <w:pPr>
              <w:pStyle w:val="92"/>
            </w:pPr>
            <w:r>
              <w:rPr>
                <w:rFonts w:hint="eastAsia"/>
              </w:rPr>
              <w:t>副总裁</w:t>
            </w:r>
          </w:p>
        </w:tc>
        <w:tc>
          <w:tcPr>
            <w:tcW w:w="204" w:type="pct"/>
            <w:vAlign w:val="center"/>
          </w:tcPr>
          <w:p w14:paraId="78FF8A82" w14:textId="77777777" w:rsidR="00E57DAA" w:rsidRDefault="00AC4185">
            <w:pPr>
              <w:rPr>
                <w:szCs w:val="21"/>
              </w:rPr>
            </w:pPr>
            <w:r>
              <w:t>男</w:t>
            </w:r>
          </w:p>
        </w:tc>
        <w:tc>
          <w:tcPr>
            <w:tcW w:w="205" w:type="pct"/>
            <w:vAlign w:val="center"/>
          </w:tcPr>
          <w:p w14:paraId="7E7193FC" w14:textId="77777777" w:rsidR="00E57DAA" w:rsidRDefault="00AC4185">
            <w:pPr>
              <w:rPr>
                <w:szCs w:val="21"/>
              </w:rPr>
            </w:pPr>
            <w:r>
              <w:t>59</w:t>
            </w:r>
          </w:p>
        </w:tc>
        <w:tc>
          <w:tcPr>
            <w:tcW w:w="511" w:type="pct"/>
            <w:vAlign w:val="center"/>
          </w:tcPr>
          <w:p w14:paraId="66472700" w14:textId="77777777" w:rsidR="00E57DAA" w:rsidRDefault="00AC4185">
            <w:pPr>
              <w:rPr>
                <w:szCs w:val="21"/>
              </w:rPr>
            </w:pPr>
            <w:r>
              <w:t>2010-10-28</w:t>
            </w:r>
          </w:p>
        </w:tc>
        <w:tc>
          <w:tcPr>
            <w:tcW w:w="511" w:type="pct"/>
            <w:vAlign w:val="center"/>
          </w:tcPr>
          <w:p w14:paraId="52B01FF6" w14:textId="77777777" w:rsidR="00E57DAA" w:rsidRDefault="00AC4185">
            <w:pPr>
              <w:rPr>
                <w:szCs w:val="21"/>
              </w:rPr>
            </w:pPr>
            <w:r>
              <w:t>2026-10-23</w:t>
            </w:r>
          </w:p>
        </w:tc>
        <w:tc>
          <w:tcPr>
            <w:tcW w:w="512" w:type="pct"/>
            <w:vAlign w:val="center"/>
          </w:tcPr>
          <w:p w14:paraId="49C70EF6" w14:textId="77777777" w:rsidR="00E57DAA" w:rsidRDefault="00AC4185">
            <w:pPr>
              <w:jc w:val="right"/>
              <w:rPr>
                <w:szCs w:val="21"/>
              </w:rPr>
            </w:pPr>
            <w:r>
              <w:t>262,850</w:t>
            </w:r>
          </w:p>
        </w:tc>
        <w:tc>
          <w:tcPr>
            <w:tcW w:w="460" w:type="pct"/>
            <w:vAlign w:val="center"/>
          </w:tcPr>
          <w:p w14:paraId="7495D119" w14:textId="77777777" w:rsidR="00E57DAA" w:rsidRDefault="00AC4185">
            <w:pPr>
              <w:jc w:val="right"/>
              <w:rPr>
                <w:szCs w:val="21"/>
              </w:rPr>
            </w:pPr>
            <w:r>
              <w:t>262,850</w:t>
            </w:r>
          </w:p>
        </w:tc>
        <w:tc>
          <w:tcPr>
            <w:tcW w:w="409" w:type="pct"/>
            <w:vAlign w:val="center"/>
          </w:tcPr>
          <w:p w14:paraId="3283B534" w14:textId="77777777" w:rsidR="00E57DAA" w:rsidRDefault="00E57DAA">
            <w:pPr>
              <w:jc w:val="right"/>
              <w:rPr>
                <w:szCs w:val="21"/>
              </w:rPr>
            </w:pPr>
          </w:p>
        </w:tc>
        <w:tc>
          <w:tcPr>
            <w:tcW w:w="307" w:type="pct"/>
            <w:vAlign w:val="center"/>
          </w:tcPr>
          <w:p w14:paraId="01CB4EF5" w14:textId="77777777" w:rsidR="00E57DAA" w:rsidRDefault="00E57DAA">
            <w:pPr>
              <w:rPr>
                <w:szCs w:val="21"/>
              </w:rPr>
            </w:pPr>
          </w:p>
        </w:tc>
        <w:tc>
          <w:tcPr>
            <w:tcW w:w="460" w:type="pct"/>
          </w:tcPr>
          <w:p w14:paraId="6FA0AFEB" w14:textId="77777777" w:rsidR="00E57DAA" w:rsidRDefault="00AC4185">
            <w:pPr>
              <w:jc w:val="right"/>
              <w:rPr>
                <w:szCs w:val="21"/>
              </w:rPr>
            </w:pPr>
            <w:r>
              <w:rPr>
                <w:szCs w:val="21"/>
              </w:rPr>
              <w:t>214.67</w:t>
            </w:r>
          </w:p>
        </w:tc>
        <w:tc>
          <w:tcPr>
            <w:tcW w:w="349" w:type="pct"/>
          </w:tcPr>
          <w:p w14:paraId="0289BCF1"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08861EB2" w14:textId="77777777" w:rsidTr="00384446">
        <w:trPr>
          <w:trHeight w:val="132"/>
        </w:trPr>
        <w:tc>
          <w:tcPr>
            <w:tcW w:w="356" w:type="pct"/>
          </w:tcPr>
          <w:p w14:paraId="2EA3517E" w14:textId="77777777" w:rsidR="00E57DAA" w:rsidRDefault="00AC4185">
            <w:pPr>
              <w:rPr>
                <w:szCs w:val="21"/>
              </w:rPr>
            </w:pPr>
            <w:r>
              <w:rPr>
                <w:rFonts w:hint="eastAsia"/>
                <w:szCs w:val="21"/>
              </w:rPr>
              <w:t xml:space="preserve">汪 </w:t>
            </w:r>
            <w:r>
              <w:rPr>
                <w:szCs w:val="21"/>
              </w:rPr>
              <w:t xml:space="preserve"> </w:t>
            </w:r>
            <w:r>
              <w:rPr>
                <w:rFonts w:hint="eastAsia"/>
                <w:szCs w:val="21"/>
              </w:rPr>
              <w:t>源</w:t>
            </w:r>
          </w:p>
        </w:tc>
        <w:tc>
          <w:tcPr>
            <w:tcW w:w="716" w:type="pct"/>
          </w:tcPr>
          <w:p w14:paraId="4A7A1714" w14:textId="77777777" w:rsidR="00E57DAA" w:rsidRDefault="00AC4185" w:rsidP="00C25422">
            <w:pPr>
              <w:pStyle w:val="92"/>
            </w:pPr>
            <w:r>
              <w:rPr>
                <w:rFonts w:hint="eastAsia"/>
              </w:rPr>
              <w:t>副总裁、财务总监</w:t>
            </w:r>
          </w:p>
        </w:tc>
        <w:tc>
          <w:tcPr>
            <w:tcW w:w="204" w:type="pct"/>
            <w:vAlign w:val="center"/>
          </w:tcPr>
          <w:p w14:paraId="48D43EF8" w14:textId="77777777" w:rsidR="00E57DAA" w:rsidRDefault="00AC4185">
            <w:pPr>
              <w:rPr>
                <w:szCs w:val="21"/>
              </w:rPr>
            </w:pPr>
            <w:r>
              <w:t>女</w:t>
            </w:r>
          </w:p>
        </w:tc>
        <w:tc>
          <w:tcPr>
            <w:tcW w:w="205" w:type="pct"/>
            <w:vAlign w:val="center"/>
          </w:tcPr>
          <w:p w14:paraId="11808EBB" w14:textId="77777777" w:rsidR="00E57DAA" w:rsidRDefault="00AC4185">
            <w:pPr>
              <w:rPr>
                <w:szCs w:val="21"/>
              </w:rPr>
            </w:pPr>
            <w:r>
              <w:t>48</w:t>
            </w:r>
          </w:p>
        </w:tc>
        <w:tc>
          <w:tcPr>
            <w:tcW w:w="511" w:type="pct"/>
            <w:vAlign w:val="center"/>
          </w:tcPr>
          <w:p w14:paraId="0BF05F39" w14:textId="77777777" w:rsidR="00E57DAA" w:rsidRDefault="00AC4185">
            <w:pPr>
              <w:rPr>
                <w:szCs w:val="21"/>
              </w:rPr>
            </w:pPr>
            <w:r>
              <w:t>2021-03-18</w:t>
            </w:r>
          </w:p>
        </w:tc>
        <w:tc>
          <w:tcPr>
            <w:tcW w:w="511" w:type="pct"/>
            <w:vAlign w:val="center"/>
          </w:tcPr>
          <w:p w14:paraId="1F81C588" w14:textId="77777777" w:rsidR="00E57DAA" w:rsidRDefault="00AC4185">
            <w:pPr>
              <w:rPr>
                <w:szCs w:val="21"/>
              </w:rPr>
            </w:pPr>
            <w:r>
              <w:t>2026-10-23</w:t>
            </w:r>
          </w:p>
        </w:tc>
        <w:tc>
          <w:tcPr>
            <w:tcW w:w="512" w:type="pct"/>
            <w:vAlign w:val="center"/>
          </w:tcPr>
          <w:p w14:paraId="5083B23F" w14:textId="77777777" w:rsidR="00E57DAA" w:rsidRDefault="00AC4185">
            <w:pPr>
              <w:jc w:val="right"/>
              <w:rPr>
                <w:szCs w:val="21"/>
              </w:rPr>
            </w:pPr>
            <w:r>
              <w:t>247,400</w:t>
            </w:r>
          </w:p>
        </w:tc>
        <w:tc>
          <w:tcPr>
            <w:tcW w:w="460" w:type="pct"/>
            <w:vAlign w:val="center"/>
          </w:tcPr>
          <w:p w14:paraId="6759EB6F" w14:textId="77777777" w:rsidR="00E57DAA" w:rsidRDefault="00AC4185">
            <w:pPr>
              <w:jc w:val="right"/>
              <w:rPr>
                <w:szCs w:val="21"/>
              </w:rPr>
            </w:pPr>
            <w:r>
              <w:t>247,400</w:t>
            </w:r>
          </w:p>
        </w:tc>
        <w:tc>
          <w:tcPr>
            <w:tcW w:w="409" w:type="pct"/>
            <w:vAlign w:val="center"/>
          </w:tcPr>
          <w:p w14:paraId="7FA9E546" w14:textId="77777777" w:rsidR="00E57DAA" w:rsidRDefault="00E57DAA">
            <w:pPr>
              <w:jc w:val="right"/>
              <w:rPr>
                <w:szCs w:val="21"/>
              </w:rPr>
            </w:pPr>
          </w:p>
        </w:tc>
        <w:tc>
          <w:tcPr>
            <w:tcW w:w="307" w:type="pct"/>
            <w:vAlign w:val="center"/>
          </w:tcPr>
          <w:p w14:paraId="33CDBA79" w14:textId="77777777" w:rsidR="00E57DAA" w:rsidRDefault="00E57DAA">
            <w:pPr>
              <w:rPr>
                <w:szCs w:val="21"/>
              </w:rPr>
            </w:pPr>
          </w:p>
        </w:tc>
        <w:tc>
          <w:tcPr>
            <w:tcW w:w="460" w:type="pct"/>
          </w:tcPr>
          <w:p w14:paraId="76777A29" w14:textId="77777777" w:rsidR="00E57DAA" w:rsidRDefault="00AC4185">
            <w:pPr>
              <w:jc w:val="right"/>
              <w:rPr>
                <w:szCs w:val="21"/>
              </w:rPr>
            </w:pPr>
            <w:r>
              <w:rPr>
                <w:szCs w:val="21"/>
              </w:rPr>
              <w:t>206.11</w:t>
            </w:r>
          </w:p>
        </w:tc>
        <w:tc>
          <w:tcPr>
            <w:tcW w:w="349" w:type="pct"/>
          </w:tcPr>
          <w:p w14:paraId="60967EAA"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7CCDDA1C" w14:textId="77777777" w:rsidTr="00384446">
        <w:trPr>
          <w:trHeight w:val="132"/>
        </w:trPr>
        <w:tc>
          <w:tcPr>
            <w:tcW w:w="356" w:type="pct"/>
          </w:tcPr>
          <w:p w14:paraId="1C544B76" w14:textId="77777777" w:rsidR="00E57DAA" w:rsidRDefault="00AC4185">
            <w:pPr>
              <w:rPr>
                <w:szCs w:val="21"/>
              </w:rPr>
            </w:pPr>
            <w:r>
              <w:rPr>
                <w:rFonts w:hint="eastAsia"/>
                <w:szCs w:val="21"/>
              </w:rPr>
              <w:t>郭正勇</w:t>
            </w:r>
          </w:p>
        </w:tc>
        <w:tc>
          <w:tcPr>
            <w:tcW w:w="716" w:type="pct"/>
          </w:tcPr>
          <w:p w14:paraId="68DFBB91" w14:textId="77777777" w:rsidR="00E57DAA" w:rsidRDefault="00AC4185" w:rsidP="00C25422">
            <w:pPr>
              <w:pStyle w:val="92"/>
            </w:pPr>
            <w:r>
              <w:rPr>
                <w:rFonts w:hint="eastAsia"/>
              </w:rPr>
              <w:t>副总裁</w:t>
            </w:r>
          </w:p>
        </w:tc>
        <w:tc>
          <w:tcPr>
            <w:tcW w:w="204" w:type="pct"/>
            <w:vAlign w:val="center"/>
          </w:tcPr>
          <w:p w14:paraId="6A2B9160" w14:textId="77777777" w:rsidR="00E57DAA" w:rsidRDefault="00AC4185">
            <w:pPr>
              <w:rPr>
                <w:szCs w:val="21"/>
              </w:rPr>
            </w:pPr>
            <w:r>
              <w:t>男</w:t>
            </w:r>
          </w:p>
        </w:tc>
        <w:tc>
          <w:tcPr>
            <w:tcW w:w="205" w:type="pct"/>
            <w:vAlign w:val="center"/>
          </w:tcPr>
          <w:p w14:paraId="2474F8B4" w14:textId="77777777" w:rsidR="00E57DAA" w:rsidRDefault="00AC4185">
            <w:pPr>
              <w:rPr>
                <w:szCs w:val="21"/>
              </w:rPr>
            </w:pPr>
            <w:r>
              <w:t>57</w:t>
            </w:r>
          </w:p>
        </w:tc>
        <w:tc>
          <w:tcPr>
            <w:tcW w:w="511" w:type="pct"/>
            <w:vAlign w:val="center"/>
          </w:tcPr>
          <w:p w14:paraId="3675C94A" w14:textId="77777777" w:rsidR="00E57DAA" w:rsidRDefault="00AC4185">
            <w:pPr>
              <w:rPr>
                <w:szCs w:val="21"/>
              </w:rPr>
            </w:pPr>
            <w:r>
              <w:t>2021-10-25</w:t>
            </w:r>
          </w:p>
        </w:tc>
        <w:tc>
          <w:tcPr>
            <w:tcW w:w="511" w:type="pct"/>
            <w:vAlign w:val="center"/>
          </w:tcPr>
          <w:p w14:paraId="5FB7E2B0" w14:textId="77777777" w:rsidR="00E57DAA" w:rsidRDefault="00AC4185">
            <w:pPr>
              <w:rPr>
                <w:szCs w:val="21"/>
              </w:rPr>
            </w:pPr>
            <w:r>
              <w:t>2026-10-23</w:t>
            </w:r>
          </w:p>
        </w:tc>
        <w:tc>
          <w:tcPr>
            <w:tcW w:w="512" w:type="pct"/>
            <w:vAlign w:val="center"/>
          </w:tcPr>
          <w:p w14:paraId="2C806CBB" w14:textId="77777777" w:rsidR="00E57DAA" w:rsidRDefault="00AC4185">
            <w:pPr>
              <w:jc w:val="right"/>
              <w:rPr>
                <w:szCs w:val="21"/>
              </w:rPr>
            </w:pPr>
            <w:r>
              <w:t>247,600</w:t>
            </w:r>
          </w:p>
        </w:tc>
        <w:tc>
          <w:tcPr>
            <w:tcW w:w="460" w:type="pct"/>
            <w:vAlign w:val="center"/>
          </w:tcPr>
          <w:p w14:paraId="55D7FFE6" w14:textId="77777777" w:rsidR="00E57DAA" w:rsidRDefault="00AC4185">
            <w:pPr>
              <w:jc w:val="right"/>
              <w:rPr>
                <w:szCs w:val="21"/>
              </w:rPr>
            </w:pPr>
            <w:r>
              <w:t>247,600</w:t>
            </w:r>
          </w:p>
        </w:tc>
        <w:tc>
          <w:tcPr>
            <w:tcW w:w="409" w:type="pct"/>
            <w:vAlign w:val="center"/>
          </w:tcPr>
          <w:p w14:paraId="5A80FCB6" w14:textId="77777777" w:rsidR="00E57DAA" w:rsidRDefault="00E57DAA">
            <w:pPr>
              <w:jc w:val="right"/>
              <w:rPr>
                <w:szCs w:val="21"/>
              </w:rPr>
            </w:pPr>
          </w:p>
        </w:tc>
        <w:tc>
          <w:tcPr>
            <w:tcW w:w="307" w:type="pct"/>
            <w:vAlign w:val="center"/>
          </w:tcPr>
          <w:p w14:paraId="216BAA03" w14:textId="77777777" w:rsidR="00E57DAA" w:rsidRDefault="00E57DAA">
            <w:pPr>
              <w:rPr>
                <w:szCs w:val="21"/>
              </w:rPr>
            </w:pPr>
          </w:p>
        </w:tc>
        <w:tc>
          <w:tcPr>
            <w:tcW w:w="460" w:type="pct"/>
          </w:tcPr>
          <w:p w14:paraId="3A65EB0A" w14:textId="77777777" w:rsidR="00E57DAA" w:rsidRDefault="00AC4185">
            <w:pPr>
              <w:jc w:val="right"/>
              <w:rPr>
                <w:szCs w:val="21"/>
              </w:rPr>
            </w:pPr>
            <w:r>
              <w:rPr>
                <w:szCs w:val="21"/>
              </w:rPr>
              <w:t>236.85</w:t>
            </w:r>
          </w:p>
        </w:tc>
        <w:tc>
          <w:tcPr>
            <w:tcW w:w="349" w:type="pct"/>
          </w:tcPr>
          <w:p w14:paraId="72F6B014"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384446" w14:paraId="4F22A057" w14:textId="77777777" w:rsidTr="00384446">
        <w:trPr>
          <w:trHeight w:val="132"/>
        </w:trPr>
        <w:tc>
          <w:tcPr>
            <w:tcW w:w="356" w:type="pct"/>
            <w:vMerge w:val="restart"/>
          </w:tcPr>
          <w:p w14:paraId="00356547" w14:textId="77777777" w:rsidR="00384446" w:rsidRDefault="00384446">
            <w:pPr>
              <w:rPr>
                <w:szCs w:val="21"/>
              </w:rPr>
            </w:pPr>
            <w:r>
              <w:rPr>
                <w:rFonts w:hint="eastAsia"/>
                <w:szCs w:val="21"/>
              </w:rPr>
              <w:t>范丽婷</w:t>
            </w:r>
          </w:p>
        </w:tc>
        <w:tc>
          <w:tcPr>
            <w:tcW w:w="716" w:type="pct"/>
          </w:tcPr>
          <w:p w14:paraId="1B7B0713" w14:textId="77777777" w:rsidR="00384446" w:rsidRDefault="00384446" w:rsidP="00C25422">
            <w:pPr>
              <w:pStyle w:val="92"/>
            </w:pPr>
            <w:r>
              <w:rPr>
                <w:rFonts w:hint="eastAsia"/>
              </w:rPr>
              <w:t>副总裁</w:t>
            </w:r>
          </w:p>
        </w:tc>
        <w:tc>
          <w:tcPr>
            <w:tcW w:w="204" w:type="pct"/>
            <w:vMerge w:val="restart"/>
            <w:vAlign w:val="center"/>
          </w:tcPr>
          <w:p w14:paraId="59CB12CF" w14:textId="77777777" w:rsidR="00384446" w:rsidRDefault="00384446">
            <w:pPr>
              <w:rPr>
                <w:szCs w:val="21"/>
              </w:rPr>
            </w:pPr>
            <w:r>
              <w:t>女</w:t>
            </w:r>
          </w:p>
        </w:tc>
        <w:tc>
          <w:tcPr>
            <w:tcW w:w="205" w:type="pct"/>
            <w:vMerge w:val="restart"/>
            <w:vAlign w:val="center"/>
          </w:tcPr>
          <w:p w14:paraId="5E9D6C2F" w14:textId="77777777" w:rsidR="00384446" w:rsidRDefault="00384446">
            <w:pPr>
              <w:rPr>
                <w:szCs w:val="21"/>
              </w:rPr>
            </w:pPr>
            <w:r>
              <w:t>41</w:t>
            </w:r>
          </w:p>
        </w:tc>
        <w:tc>
          <w:tcPr>
            <w:tcW w:w="511" w:type="pct"/>
            <w:vAlign w:val="center"/>
          </w:tcPr>
          <w:p w14:paraId="584C30DF" w14:textId="77777777" w:rsidR="00384446" w:rsidRDefault="00384446">
            <w:pPr>
              <w:rPr>
                <w:szCs w:val="21"/>
              </w:rPr>
            </w:pPr>
            <w:r>
              <w:t>2022-12-16</w:t>
            </w:r>
          </w:p>
        </w:tc>
        <w:tc>
          <w:tcPr>
            <w:tcW w:w="511" w:type="pct"/>
            <w:vAlign w:val="center"/>
          </w:tcPr>
          <w:p w14:paraId="7DFBC721" w14:textId="77777777" w:rsidR="00384446" w:rsidRDefault="00384446">
            <w:pPr>
              <w:rPr>
                <w:szCs w:val="21"/>
              </w:rPr>
            </w:pPr>
            <w:r>
              <w:t>2026-10-23</w:t>
            </w:r>
          </w:p>
        </w:tc>
        <w:tc>
          <w:tcPr>
            <w:tcW w:w="512" w:type="pct"/>
            <w:vMerge w:val="restart"/>
            <w:vAlign w:val="center"/>
          </w:tcPr>
          <w:p w14:paraId="3F134150" w14:textId="77777777" w:rsidR="00384446" w:rsidRDefault="00384446">
            <w:pPr>
              <w:jc w:val="right"/>
              <w:rPr>
                <w:szCs w:val="21"/>
              </w:rPr>
            </w:pPr>
            <w:r>
              <w:t>202,000</w:t>
            </w:r>
          </w:p>
        </w:tc>
        <w:tc>
          <w:tcPr>
            <w:tcW w:w="460" w:type="pct"/>
            <w:vMerge w:val="restart"/>
            <w:vAlign w:val="center"/>
          </w:tcPr>
          <w:p w14:paraId="60BD6B82" w14:textId="77777777" w:rsidR="00384446" w:rsidRDefault="00384446">
            <w:pPr>
              <w:jc w:val="right"/>
              <w:rPr>
                <w:szCs w:val="21"/>
              </w:rPr>
            </w:pPr>
            <w:r>
              <w:t>202,000</w:t>
            </w:r>
          </w:p>
        </w:tc>
        <w:tc>
          <w:tcPr>
            <w:tcW w:w="409" w:type="pct"/>
            <w:vMerge w:val="restart"/>
            <w:vAlign w:val="center"/>
          </w:tcPr>
          <w:p w14:paraId="5DD24513" w14:textId="77777777" w:rsidR="00384446" w:rsidRDefault="00384446">
            <w:pPr>
              <w:jc w:val="right"/>
              <w:rPr>
                <w:szCs w:val="21"/>
              </w:rPr>
            </w:pPr>
          </w:p>
        </w:tc>
        <w:tc>
          <w:tcPr>
            <w:tcW w:w="307" w:type="pct"/>
            <w:vMerge w:val="restart"/>
            <w:vAlign w:val="center"/>
          </w:tcPr>
          <w:p w14:paraId="66B0C47D" w14:textId="77777777" w:rsidR="00384446" w:rsidRDefault="00384446">
            <w:pPr>
              <w:rPr>
                <w:szCs w:val="21"/>
              </w:rPr>
            </w:pPr>
          </w:p>
        </w:tc>
        <w:tc>
          <w:tcPr>
            <w:tcW w:w="460" w:type="pct"/>
            <w:vMerge w:val="restart"/>
          </w:tcPr>
          <w:p w14:paraId="266EE067" w14:textId="77777777" w:rsidR="00384446" w:rsidRDefault="00384446">
            <w:pPr>
              <w:jc w:val="right"/>
              <w:rPr>
                <w:szCs w:val="21"/>
              </w:rPr>
            </w:pPr>
            <w:r>
              <w:rPr>
                <w:szCs w:val="21"/>
              </w:rPr>
              <w:t>199.07</w:t>
            </w:r>
          </w:p>
        </w:tc>
        <w:tc>
          <w:tcPr>
            <w:tcW w:w="349" w:type="pct"/>
            <w:vMerge w:val="restart"/>
          </w:tcPr>
          <w:p w14:paraId="06A3A5F7" w14:textId="77777777" w:rsidR="00384446" w:rsidRDefault="00384446">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384446" w14:paraId="04E2EBD6" w14:textId="77777777" w:rsidTr="00384446">
        <w:trPr>
          <w:trHeight w:val="132"/>
        </w:trPr>
        <w:tc>
          <w:tcPr>
            <w:tcW w:w="356" w:type="pct"/>
            <w:vMerge/>
          </w:tcPr>
          <w:p w14:paraId="7E6DF880" w14:textId="77777777" w:rsidR="00384446" w:rsidRDefault="00384446">
            <w:pPr>
              <w:rPr>
                <w:szCs w:val="21"/>
              </w:rPr>
            </w:pPr>
          </w:p>
        </w:tc>
        <w:tc>
          <w:tcPr>
            <w:tcW w:w="716" w:type="pct"/>
          </w:tcPr>
          <w:p w14:paraId="5BE350F7" w14:textId="77777777" w:rsidR="00384446" w:rsidRDefault="00384446" w:rsidP="00C25422">
            <w:pPr>
              <w:pStyle w:val="92"/>
            </w:pPr>
            <w:r>
              <w:rPr>
                <w:rFonts w:hint="eastAsia"/>
              </w:rPr>
              <w:t>董事会秘书</w:t>
            </w:r>
          </w:p>
        </w:tc>
        <w:tc>
          <w:tcPr>
            <w:tcW w:w="204" w:type="pct"/>
            <w:vMerge/>
            <w:vAlign w:val="center"/>
          </w:tcPr>
          <w:p w14:paraId="3AA60758" w14:textId="77777777" w:rsidR="00384446" w:rsidRDefault="00384446">
            <w:pPr>
              <w:rPr>
                <w:szCs w:val="21"/>
              </w:rPr>
            </w:pPr>
          </w:p>
        </w:tc>
        <w:tc>
          <w:tcPr>
            <w:tcW w:w="205" w:type="pct"/>
            <w:vMerge/>
            <w:vAlign w:val="center"/>
          </w:tcPr>
          <w:p w14:paraId="0E749F3A" w14:textId="77777777" w:rsidR="00384446" w:rsidRDefault="00384446">
            <w:pPr>
              <w:rPr>
                <w:szCs w:val="21"/>
              </w:rPr>
            </w:pPr>
          </w:p>
        </w:tc>
        <w:tc>
          <w:tcPr>
            <w:tcW w:w="511" w:type="pct"/>
            <w:vAlign w:val="center"/>
          </w:tcPr>
          <w:p w14:paraId="2B0D28E5" w14:textId="77777777" w:rsidR="00384446" w:rsidRDefault="00384446">
            <w:pPr>
              <w:rPr>
                <w:szCs w:val="21"/>
              </w:rPr>
            </w:pPr>
            <w:r>
              <w:t>2017-11-14</w:t>
            </w:r>
          </w:p>
        </w:tc>
        <w:tc>
          <w:tcPr>
            <w:tcW w:w="511" w:type="pct"/>
            <w:vAlign w:val="center"/>
          </w:tcPr>
          <w:p w14:paraId="32E6B534" w14:textId="77777777" w:rsidR="00384446" w:rsidRDefault="00384446">
            <w:pPr>
              <w:rPr>
                <w:szCs w:val="21"/>
              </w:rPr>
            </w:pPr>
            <w:r>
              <w:t>2026-10-23</w:t>
            </w:r>
          </w:p>
        </w:tc>
        <w:tc>
          <w:tcPr>
            <w:tcW w:w="512" w:type="pct"/>
            <w:vMerge/>
            <w:vAlign w:val="center"/>
          </w:tcPr>
          <w:p w14:paraId="57C267D4" w14:textId="77777777" w:rsidR="00384446" w:rsidRDefault="00384446">
            <w:pPr>
              <w:jc w:val="right"/>
              <w:rPr>
                <w:szCs w:val="21"/>
              </w:rPr>
            </w:pPr>
          </w:p>
        </w:tc>
        <w:tc>
          <w:tcPr>
            <w:tcW w:w="460" w:type="pct"/>
            <w:vMerge/>
            <w:vAlign w:val="center"/>
          </w:tcPr>
          <w:p w14:paraId="581604FC" w14:textId="77777777" w:rsidR="00384446" w:rsidRDefault="00384446">
            <w:pPr>
              <w:jc w:val="right"/>
              <w:rPr>
                <w:szCs w:val="21"/>
              </w:rPr>
            </w:pPr>
          </w:p>
        </w:tc>
        <w:tc>
          <w:tcPr>
            <w:tcW w:w="409" w:type="pct"/>
            <w:vMerge/>
            <w:vAlign w:val="center"/>
          </w:tcPr>
          <w:p w14:paraId="5FCA10A3" w14:textId="77777777" w:rsidR="00384446" w:rsidRDefault="00384446">
            <w:pPr>
              <w:jc w:val="right"/>
              <w:rPr>
                <w:szCs w:val="21"/>
              </w:rPr>
            </w:pPr>
          </w:p>
        </w:tc>
        <w:tc>
          <w:tcPr>
            <w:tcW w:w="307" w:type="pct"/>
            <w:vMerge/>
            <w:vAlign w:val="center"/>
          </w:tcPr>
          <w:p w14:paraId="65ED15EE" w14:textId="77777777" w:rsidR="00384446" w:rsidRDefault="00384446">
            <w:pPr>
              <w:rPr>
                <w:szCs w:val="21"/>
              </w:rPr>
            </w:pPr>
          </w:p>
        </w:tc>
        <w:tc>
          <w:tcPr>
            <w:tcW w:w="460" w:type="pct"/>
            <w:vMerge/>
          </w:tcPr>
          <w:p w14:paraId="536F27B2" w14:textId="77777777" w:rsidR="00384446" w:rsidRDefault="00384446">
            <w:pPr>
              <w:jc w:val="right"/>
              <w:rPr>
                <w:szCs w:val="21"/>
              </w:rPr>
            </w:pPr>
          </w:p>
        </w:tc>
        <w:tc>
          <w:tcPr>
            <w:tcW w:w="349" w:type="pct"/>
            <w:vMerge/>
          </w:tcPr>
          <w:p w14:paraId="6A52C881" w14:textId="77777777" w:rsidR="00384446" w:rsidRDefault="00384446">
            <w:pPr>
              <w:rPr>
                <w:rFonts w:asciiTheme="minorHAnsi" w:eastAsiaTheme="minorEastAsia" w:hAnsiTheme="minorHAnsi" w:cstheme="minorBidi"/>
                <w:kern w:val="2"/>
                <w:szCs w:val="21"/>
                <w14:ligatures w14:val="standardContextual"/>
              </w:rPr>
            </w:pPr>
          </w:p>
        </w:tc>
      </w:tr>
      <w:tr w:rsidR="00384446" w14:paraId="18639E07" w14:textId="77777777" w:rsidTr="00384446">
        <w:trPr>
          <w:trHeight w:val="132"/>
        </w:trPr>
        <w:tc>
          <w:tcPr>
            <w:tcW w:w="356" w:type="pct"/>
            <w:vMerge/>
          </w:tcPr>
          <w:p w14:paraId="107E2499" w14:textId="77777777" w:rsidR="00384446" w:rsidRDefault="00384446">
            <w:pPr>
              <w:rPr>
                <w:szCs w:val="21"/>
              </w:rPr>
            </w:pPr>
          </w:p>
        </w:tc>
        <w:tc>
          <w:tcPr>
            <w:tcW w:w="716" w:type="pct"/>
          </w:tcPr>
          <w:p w14:paraId="524EA95E" w14:textId="77777777" w:rsidR="00384446" w:rsidRDefault="00384446" w:rsidP="00C25422">
            <w:pPr>
              <w:pStyle w:val="92"/>
            </w:pPr>
            <w:r>
              <w:rPr>
                <w:rFonts w:hint="eastAsia"/>
              </w:rPr>
              <w:t>总法律顾问</w:t>
            </w:r>
          </w:p>
        </w:tc>
        <w:tc>
          <w:tcPr>
            <w:tcW w:w="204" w:type="pct"/>
            <w:vMerge/>
            <w:vAlign w:val="center"/>
          </w:tcPr>
          <w:p w14:paraId="2EC4664C" w14:textId="77777777" w:rsidR="00384446" w:rsidRDefault="00384446">
            <w:pPr>
              <w:rPr>
                <w:szCs w:val="21"/>
              </w:rPr>
            </w:pPr>
          </w:p>
        </w:tc>
        <w:tc>
          <w:tcPr>
            <w:tcW w:w="205" w:type="pct"/>
            <w:vMerge/>
            <w:vAlign w:val="center"/>
          </w:tcPr>
          <w:p w14:paraId="3F9541B5" w14:textId="77777777" w:rsidR="00384446" w:rsidRDefault="00384446">
            <w:pPr>
              <w:rPr>
                <w:szCs w:val="21"/>
              </w:rPr>
            </w:pPr>
          </w:p>
        </w:tc>
        <w:tc>
          <w:tcPr>
            <w:tcW w:w="511" w:type="pct"/>
            <w:vAlign w:val="center"/>
          </w:tcPr>
          <w:p w14:paraId="5C069D43" w14:textId="77777777" w:rsidR="00384446" w:rsidRDefault="00384446">
            <w:pPr>
              <w:rPr>
                <w:szCs w:val="21"/>
              </w:rPr>
            </w:pPr>
            <w:r>
              <w:t>2021-07-06</w:t>
            </w:r>
          </w:p>
        </w:tc>
        <w:tc>
          <w:tcPr>
            <w:tcW w:w="511" w:type="pct"/>
            <w:vAlign w:val="center"/>
          </w:tcPr>
          <w:p w14:paraId="04CBEB62" w14:textId="77777777" w:rsidR="00384446" w:rsidRDefault="00384446">
            <w:pPr>
              <w:rPr>
                <w:szCs w:val="21"/>
              </w:rPr>
            </w:pPr>
            <w:r>
              <w:t>2026-10-23</w:t>
            </w:r>
          </w:p>
        </w:tc>
        <w:tc>
          <w:tcPr>
            <w:tcW w:w="512" w:type="pct"/>
            <w:vMerge/>
            <w:vAlign w:val="center"/>
          </w:tcPr>
          <w:p w14:paraId="1E11D27D" w14:textId="77777777" w:rsidR="00384446" w:rsidRDefault="00384446">
            <w:pPr>
              <w:jc w:val="right"/>
              <w:rPr>
                <w:szCs w:val="21"/>
              </w:rPr>
            </w:pPr>
          </w:p>
        </w:tc>
        <w:tc>
          <w:tcPr>
            <w:tcW w:w="460" w:type="pct"/>
            <w:vMerge/>
            <w:vAlign w:val="center"/>
          </w:tcPr>
          <w:p w14:paraId="2CC4CE9E" w14:textId="77777777" w:rsidR="00384446" w:rsidRDefault="00384446">
            <w:pPr>
              <w:jc w:val="right"/>
              <w:rPr>
                <w:szCs w:val="21"/>
              </w:rPr>
            </w:pPr>
          </w:p>
        </w:tc>
        <w:tc>
          <w:tcPr>
            <w:tcW w:w="409" w:type="pct"/>
            <w:vMerge/>
            <w:vAlign w:val="center"/>
          </w:tcPr>
          <w:p w14:paraId="153748A3" w14:textId="77777777" w:rsidR="00384446" w:rsidRDefault="00384446">
            <w:pPr>
              <w:jc w:val="right"/>
              <w:rPr>
                <w:szCs w:val="21"/>
              </w:rPr>
            </w:pPr>
          </w:p>
        </w:tc>
        <w:tc>
          <w:tcPr>
            <w:tcW w:w="307" w:type="pct"/>
            <w:vMerge/>
            <w:vAlign w:val="center"/>
          </w:tcPr>
          <w:p w14:paraId="04EA4267" w14:textId="77777777" w:rsidR="00384446" w:rsidRDefault="00384446">
            <w:pPr>
              <w:rPr>
                <w:szCs w:val="21"/>
              </w:rPr>
            </w:pPr>
          </w:p>
        </w:tc>
        <w:tc>
          <w:tcPr>
            <w:tcW w:w="460" w:type="pct"/>
            <w:vMerge/>
          </w:tcPr>
          <w:p w14:paraId="2A020AD6" w14:textId="77777777" w:rsidR="00384446" w:rsidRDefault="00384446">
            <w:pPr>
              <w:jc w:val="right"/>
              <w:rPr>
                <w:szCs w:val="21"/>
              </w:rPr>
            </w:pPr>
          </w:p>
        </w:tc>
        <w:tc>
          <w:tcPr>
            <w:tcW w:w="349" w:type="pct"/>
            <w:vMerge/>
          </w:tcPr>
          <w:p w14:paraId="2B668E08" w14:textId="77777777" w:rsidR="00384446" w:rsidRDefault="00384446">
            <w:pPr>
              <w:rPr>
                <w:rFonts w:asciiTheme="minorHAnsi" w:eastAsiaTheme="minorEastAsia" w:hAnsiTheme="minorHAnsi" w:cstheme="minorBidi"/>
                <w:kern w:val="2"/>
                <w:szCs w:val="21"/>
                <w14:ligatures w14:val="standardContextual"/>
              </w:rPr>
            </w:pPr>
          </w:p>
        </w:tc>
      </w:tr>
      <w:tr w:rsidR="00384446" w14:paraId="796A1347" w14:textId="77777777" w:rsidTr="00384446">
        <w:trPr>
          <w:trHeight w:val="132"/>
        </w:trPr>
        <w:tc>
          <w:tcPr>
            <w:tcW w:w="356" w:type="pct"/>
            <w:vMerge w:val="restart"/>
          </w:tcPr>
          <w:p w14:paraId="40B23335" w14:textId="77777777" w:rsidR="00384446" w:rsidRDefault="00384446">
            <w:pPr>
              <w:rPr>
                <w:szCs w:val="21"/>
              </w:rPr>
            </w:pPr>
            <w:r>
              <w:rPr>
                <w:rFonts w:hint="eastAsia"/>
                <w:szCs w:val="21"/>
              </w:rPr>
              <w:t>刘仁越</w:t>
            </w:r>
          </w:p>
        </w:tc>
        <w:tc>
          <w:tcPr>
            <w:tcW w:w="716" w:type="pct"/>
            <w:vAlign w:val="center"/>
          </w:tcPr>
          <w:p w14:paraId="0F6348BB" w14:textId="77777777" w:rsidR="00384446" w:rsidRDefault="00384446" w:rsidP="00C25422">
            <w:pPr>
              <w:pStyle w:val="92"/>
            </w:pPr>
            <w:r>
              <w:t>副总裁</w:t>
            </w:r>
          </w:p>
        </w:tc>
        <w:tc>
          <w:tcPr>
            <w:tcW w:w="204" w:type="pct"/>
            <w:vMerge w:val="restart"/>
            <w:vAlign w:val="center"/>
          </w:tcPr>
          <w:p w14:paraId="6EE9E48E" w14:textId="77777777" w:rsidR="00384446" w:rsidRDefault="00384446">
            <w:pPr>
              <w:rPr>
                <w:szCs w:val="21"/>
              </w:rPr>
            </w:pPr>
            <w:r>
              <w:t>男</w:t>
            </w:r>
          </w:p>
        </w:tc>
        <w:tc>
          <w:tcPr>
            <w:tcW w:w="205" w:type="pct"/>
            <w:vMerge w:val="restart"/>
            <w:vAlign w:val="center"/>
          </w:tcPr>
          <w:p w14:paraId="1DF20563" w14:textId="77777777" w:rsidR="00384446" w:rsidRDefault="00384446">
            <w:pPr>
              <w:rPr>
                <w:szCs w:val="21"/>
              </w:rPr>
            </w:pPr>
            <w:r>
              <w:rPr>
                <w:rFonts w:hint="eastAsia"/>
                <w:szCs w:val="21"/>
              </w:rPr>
              <w:t>51</w:t>
            </w:r>
          </w:p>
        </w:tc>
        <w:tc>
          <w:tcPr>
            <w:tcW w:w="511" w:type="pct"/>
            <w:vAlign w:val="center"/>
          </w:tcPr>
          <w:p w14:paraId="68C56CB9" w14:textId="77777777" w:rsidR="00384446" w:rsidRDefault="00384446">
            <w:pPr>
              <w:rPr>
                <w:szCs w:val="21"/>
              </w:rPr>
            </w:pPr>
            <w:r>
              <w:t>2023-03-20</w:t>
            </w:r>
          </w:p>
        </w:tc>
        <w:tc>
          <w:tcPr>
            <w:tcW w:w="511" w:type="pct"/>
            <w:vAlign w:val="center"/>
          </w:tcPr>
          <w:p w14:paraId="78E8D32A" w14:textId="77777777" w:rsidR="00384446" w:rsidRDefault="00384446">
            <w:pPr>
              <w:rPr>
                <w:szCs w:val="21"/>
              </w:rPr>
            </w:pPr>
            <w:r>
              <w:t>202</w:t>
            </w:r>
            <w:r>
              <w:rPr>
                <w:rFonts w:hint="eastAsia"/>
              </w:rPr>
              <w:t>4-03-12</w:t>
            </w:r>
          </w:p>
        </w:tc>
        <w:tc>
          <w:tcPr>
            <w:tcW w:w="512" w:type="pct"/>
            <w:vMerge w:val="restart"/>
            <w:vAlign w:val="center"/>
          </w:tcPr>
          <w:p w14:paraId="16F9E9EC" w14:textId="77777777" w:rsidR="00384446" w:rsidRDefault="00384446">
            <w:pPr>
              <w:jc w:val="right"/>
              <w:rPr>
                <w:szCs w:val="21"/>
              </w:rPr>
            </w:pPr>
            <w:r>
              <w:t>415,911</w:t>
            </w:r>
          </w:p>
        </w:tc>
        <w:tc>
          <w:tcPr>
            <w:tcW w:w="460" w:type="pct"/>
            <w:vMerge w:val="restart"/>
            <w:vAlign w:val="center"/>
          </w:tcPr>
          <w:p w14:paraId="0C8FB95C" w14:textId="77777777" w:rsidR="00384446" w:rsidRDefault="00384446">
            <w:pPr>
              <w:jc w:val="right"/>
              <w:rPr>
                <w:szCs w:val="21"/>
              </w:rPr>
            </w:pPr>
            <w:r>
              <w:t>415,911</w:t>
            </w:r>
          </w:p>
        </w:tc>
        <w:tc>
          <w:tcPr>
            <w:tcW w:w="409" w:type="pct"/>
            <w:vMerge w:val="restart"/>
            <w:vAlign w:val="center"/>
          </w:tcPr>
          <w:p w14:paraId="00C6C1DD" w14:textId="77777777" w:rsidR="00384446" w:rsidRDefault="00384446">
            <w:pPr>
              <w:jc w:val="right"/>
              <w:rPr>
                <w:szCs w:val="21"/>
              </w:rPr>
            </w:pPr>
          </w:p>
        </w:tc>
        <w:tc>
          <w:tcPr>
            <w:tcW w:w="307" w:type="pct"/>
            <w:vMerge w:val="restart"/>
            <w:vAlign w:val="center"/>
          </w:tcPr>
          <w:p w14:paraId="6407DAAE" w14:textId="77777777" w:rsidR="00384446" w:rsidRDefault="00384446">
            <w:pPr>
              <w:rPr>
                <w:szCs w:val="21"/>
              </w:rPr>
            </w:pPr>
          </w:p>
        </w:tc>
        <w:tc>
          <w:tcPr>
            <w:tcW w:w="460" w:type="pct"/>
            <w:vMerge w:val="restart"/>
          </w:tcPr>
          <w:p w14:paraId="1C5D232D" w14:textId="77777777" w:rsidR="00384446" w:rsidRDefault="00384446">
            <w:pPr>
              <w:jc w:val="right"/>
              <w:rPr>
                <w:szCs w:val="21"/>
              </w:rPr>
            </w:pPr>
            <w:r>
              <w:rPr>
                <w:szCs w:val="21"/>
              </w:rPr>
              <w:t>91.03</w:t>
            </w:r>
          </w:p>
        </w:tc>
        <w:tc>
          <w:tcPr>
            <w:tcW w:w="349" w:type="pct"/>
            <w:vMerge w:val="restart"/>
          </w:tcPr>
          <w:p w14:paraId="3C1B2BBF" w14:textId="77777777" w:rsidR="00384446" w:rsidRDefault="00384446">
            <w:pPr>
              <w:rPr>
                <w:rFonts w:asciiTheme="minorHAnsi" w:eastAsiaTheme="minorEastAsia" w:hAnsiTheme="minorHAnsi" w:cstheme="minorBidi"/>
                <w:kern w:val="2"/>
                <w:szCs w:val="21"/>
                <w:highlight w:val="yellow"/>
                <w14:ligatures w14:val="standardContextual"/>
              </w:rPr>
            </w:pPr>
            <w:r>
              <w:rPr>
                <w:rFonts w:asciiTheme="minorHAnsi" w:eastAsiaTheme="minorEastAsia" w:hAnsiTheme="minorHAnsi" w:cstheme="minorBidi" w:hint="eastAsia"/>
                <w:kern w:val="2"/>
                <w:szCs w:val="21"/>
                <w14:ligatures w14:val="standardContextual"/>
              </w:rPr>
              <w:t>否</w:t>
            </w:r>
          </w:p>
        </w:tc>
      </w:tr>
      <w:tr w:rsidR="00384446" w14:paraId="25FD6DEE" w14:textId="77777777" w:rsidTr="00384446">
        <w:trPr>
          <w:trHeight w:val="132"/>
        </w:trPr>
        <w:tc>
          <w:tcPr>
            <w:tcW w:w="356" w:type="pct"/>
            <w:vMerge/>
          </w:tcPr>
          <w:p w14:paraId="75728346" w14:textId="77777777" w:rsidR="00384446" w:rsidRDefault="00384446">
            <w:pPr>
              <w:rPr>
                <w:szCs w:val="21"/>
              </w:rPr>
            </w:pPr>
          </w:p>
        </w:tc>
        <w:tc>
          <w:tcPr>
            <w:tcW w:w="716" w:type="pct"/>
            <w:vAlign w:val="center"/>
          </w:tcPr>
          <w:p w14:paraId="452317A1" w14:textId="77777777" w:rsidR="00384446" w:rsidRDefault="00384446" w:rsidP="00C25422">
            <w:pPr>
              <w:pStyle w:val="92"/>
            </w:pPr>
            <w:r>
              <w:rPr>
                <w:rFonts w:hint="eastAsia"/>
              </w:rPr>
              <w:t>常务副总裁</w:t>
            </w:r>
          </w:p>
        </w:tc>
        <w:tc>
          <w:tcPr>
            <w:tcW w:w="204" w:type="pct"/>
            <w:vMerge/>
            <w:vAlign w:val="center"/>
          </w:tcPr>
          <w:p w14:paraId="6E4E576C" w14:textId="77777777" w:rsidR="00384446" w:rsidRDefault="00384446" w:rsidP="00C25422">
            <w:pPr>
              <w:pStyle w:val="92"/>
            </w:pPr>
          </w:p>
        </w:tc>
        <w:tc>
          <w:tcPr>
            <w:tcW w:w="205" w:type="pct"/>
            <w:vMerge/>
            <w:vAlign w:val="center"/>
          </w:tcPr>
          <w:p w14:paraId="4E7CC591" w14:textId="77777777" w:rsidR="00384446" w:rsidRDefault="00384446">
            <w:pPr>
              <w:rPr>
                <w:szCs w:val="21"/>
              </w:rPr>
            </w:pPr>
          </w:p>
        </w:tc>
        <w:tc>
          <w:tcPr>
            <w:tcW w:w="511" w:type="pct"/>
            <w:vAlign w:val="center"/>
          </w:tcPr>
          <w:p w14:paraId="23B424EB" w14:textId="77777777" w:rsidR="00384446" w:rsidRDefault="00384446" w:rsidP="00C25422">
            <w:pPr>
              <w:pStyle w:val="92"/>
            </w:pPr>
            <w:r>
              <w:rPr>
                <w:rFonts w:hint="eastAsia"/>
              </w:rPr>
              <w:t>2024-03-12</w:t>
            </w:r>
          </w:p>
        </w:tc>
        <w:tc>
          <w:tcPr>
            <w:tcW w:w="511" w:type="pct"/>
            <w:vAlign w:val="center"/>
          </w:tcPr>
          <w:p w14:paraId="50F90BA9" w14:textId="77777777" w:rsidR="00384446" w:rsidRDefault="00384446" w:rsidP="00C25422">
            <w:pPr>
              <w:pStyle w:val="92"/>
            </w:pPr>
            <w:r>
              <w:rPr>
                <w:rFonts w:hint="eastAsia"/>
              </w:rPr>
              <w:t>2026-10-23</w:t>
            </w:r>
          </w:p>
        </w:tc>
        <w:tc>
          <w:tcPr>
            <w:tcW w:w="512" w:type="pct"/>
            <w:vMerge/>
            <w:vAlign w:val="center"/>
          </w:tcPr>
          <w:p w14:paraId="7D412663" w14:textId="77777777" w:rsidR="00384446" w:rsidRDefault="00384446">
            <w:pPr>
              <w:jc w:val="right"/>
            </w:pPr>
          </w:p>
        </w:tc>
        <w:tc>
          <w:tcPr>
            <w:tcW w:w="460" w:type="pct"/>
            <w:vMerge/>
            <w:vAlign w:val="center"/>
          </w:tcPr>
          <w:p w14:paraId="476A958E" w14:textId="77777777" w:rsidR="00384446" w:rsidRDefault="00384446">
            <w:pPr>
              <w:jc w:val="right"/>
            </w:pPr>
          </w:p>
        </w:tc>
        <w:tc>
          <w:tcPr>
            <w:tcW w:w="409" w:type="pct"/>
            <w:vMerge/>
            <w:vAlign w:val="center"/>
          </w:tcPr>
          <w:p w14:paraId="5EF85083" w14:textId="77777777" w:rsidR="00384446" w:rsidRDefault="00384446">
            <w:pPr>
              <w:jc w:val="right"/>
              <w:rPr>
                <w:szCs w:val="21"/>
              </w:rPr>
            </w:pPr>
          </w:p>
        </w:tc>
        <w:tc>
          <w:tcPr>
            <w:tcW w:w="307" w:type="pct"/>
            <w:vMerge/>
            <w:vAlign w:val="center"/>
          </w:tcPr>
          <w:p w14:paraId="773588F4" w14:textId="77777777" w:rsidR="00384446" w:rsidRDefault="00384446">
            <w:pPr>
              <w:rPr>
                <w:szCs w:val="21"/>
              </w:rPr>
            </w:pPr>
          </w:p>
        </w:tc>
        <w:tc>
          <w:tcPr>
            <w:tcW w:w="460" w:type="pct"/>
            <w:vMerge/>
          </w:tcPr>
          <w:p w14:paraId="5BD3F0E6" w14:textId="77777777" w:rsidR="00384446" w:rsidRDefault="00384446">
            <w:pPr>
              <w:jc w:val="right"/>
              <w:rPr>
                <w:szCs w:val="21"/>
              </w:rPr>
            </w:pPr>
          </w:p>
        </w:tc>
        <w:tc>
          <w:tcPr>
            <w:tcW w:w="349" w:type="pct"/>
            <w:vMerge/>
          </w:tcPr>
          <w:p w14:paraId="6CCD95EC" w14:textId="77777777" w:rsidR="00384446" w:rsidRDefault="00384446">
            <w:pPr>
              <w:rPr>
                <w:rFonts w:asciiTheme="minorHAnsi" w:eastAsiaTheme="minorEastAsia" w:hAnsiTheme="minorHAnsi" w:cstheme="minorBidi"/>
                <w:kern w:val="2"/>
                <w:szCs w:val="21"/>
                <w14:ligatures w14:val="standardContextual"/>
              </w:rPr>
            </w:pPr>
          </w:p>
        </w:tc>
      </w:tr>
      <w:tr w:rsidR="00E57DAA" w14:paraId="069A3EC8" w14:textId="77777777" w:rsidTr="00384446">
        <w:trPr>
          <w:trHeight w:val="132"/>
        </w:trPr>
        <w:tc>
          <w:tcPr>
            <w:tcW w:w="356" w:type="pct"/>
          </w:tcPr>
          <w:p w14:paraId="066F0C38" w14:textId="77777777" w:rsidR="00E57DAA" w:rsidRDefault="00AC4185">
            <w:pPr>
              <w:rPr>
                <w:szCs w:val="21"/>
              </w:rPr>
            </w:pPr>
            <w:r>
              <w:rPr>
                <w:rFonts w:hint="eastAsia"/>
                <w:szCs w:val="21"/>
              </w:rPr>
              <w:t>陈增福</w:t>
            </w:r>
          </w:p>
        </w:tc>
        <w:tc>
          <w:tcPr>
            <w:tcW w:w="716" w:type="pct"/>
            <w:vAlign w:val="center"/>
          </w:tcPr>
          <w:p w14:paraId="6D348221" w14:textId="77777777" w:rsidR="00E57DAA" w:rsidRDefault="00AC4185" w:rsidP="00C25422">
            <w:pPr>
              <w:pStyle w:val="92"/>
            </w:pPr>
            <w:r>
              <w:t>副总裁</w:t>
            </w:r>
          </w:p>
        </w:tc>
        <w:tc>
          <w:tcPr>
            <w:tcW w:w="204" w:type="pct"/>
            <w:vAlign w:val="center"/>
          </w:tcPr>
          <w:p w14:paraId="12711843" w14:textId="77777777" w:rsidR="00E57DAA" w:rsidRDefault="00AC4185">
            <w:pPr>
              <w:rPr>
                <w:szCs w:val="21"/>
              </w:rPr>
            </w:pPr>
            <w:r>
              <w:t>男</w:t>
            </w:r>
          </w:p>
        </w:tc>
        <w:tc>
          <w:tcPr>
            <w:tcW w:w="205" w:type="pct"/>
            <w:vAlign w:val="center"/>
          </w:tcPr>
          <w:p w14:paraId="17BC87F3" w14:textId="77777777" w:rsidR="00E57DAA" w:rsidRDefault="00AC4185">
            <w:pPr>
              <w:rPr>
                <w:szCs w:val="21"/>
              </w:rPr>
            </w:pPr>
            <w:r>
              <w:rPr>
                <w:rFonts w:hint="eastAsia"/>
                <w:szCs w:val="21"/>
              </w:rPr>
              <w:t>59</w:t>
            </w:r>
          </w:p>
        </w:tc>
        <w:tc>
          <w:tcPr>
            <w:tcW w:w="511" w:type="pct"/>
            <w:vAlign w:val="center"/>
          </w:tcPr>
          <w:p w14:paraId="36B8454D" w14:textId="77777777" w:rsidR="00E57DAA" w:rsidRDefault="00AC4185">
            <w:pPr>
              <w:rPr>
                <w:szCs w:val="21"/>
              </w:rPr>
            </w:pPr>
            <w:r>
              <w:t>2023-10-24</w:t>
            </w:r>
          </w:p>
        </w:tc>
        <w:tc>
          <w:tcPr>
            <w:tcW w:w="511" w:type="pct"/>
            <w:vAlign w:val="center"/>
          </w:tcPr>
          <w:p w14:paraId="56477483" w14:textId="77777777" w:rsidR="00E57DAA" w:rsidRDefault="00AC4185">
            <w:pPr>
              <w:rPr>
                <w:szCs w:val="21"/>
              </w:rPr>
            </w:pPr>
            <w:r>
              <w:t>2026-10-23</w:t>
            </w:r>
          </w:p>
        </w:tc>
        <w:tc>
          <w:tcPr>
            <w:tcW w:w="512" w:type="pct"/>
            <w:vAlign w:val="center"/>
          </w:tcPr>
          <w:p w14:paraId="0E4DA1C1" w14:textId="77777777" w:rsidR="00E57DAA" w:rsidRDefault="00AC4185">
            <w:pPr>
              <w:jc w:val="right"/>
              <w:rPr>
                <w:szCs w:val="21"/>
              </w:rPr>
            </w:pPr>
            <w:r>
              <w:t>3</w:t>
            </w:r>
            <w:r>
              <w:rPr>
                <w:rFonts w:hint="eastAsia"/>
              </w:rPr>
              <w:t>87</w:t>
            </w:r>
            <w:r>
              <w:t>,</w:t>
            </w:r>
            <w:r>
              <w:rPr>
                <w:rFonts w:hint="eastAsia"/>
              </w:rPr>
              <w:t>5</w:t>
            </w:r>
            <w:r>
              <w:t>00</w:t>
            </w:r>
          </w:p>
        </w:tc>
        <w:tc>
          <w:tcPr>
            <w:tcW w:w="460" w:type="pct"/>
            <w:vAlign w:val="center"/>
          </w:tcPr>
          <w:p w14:paraId="53432C9F" w14:textId="77777777" w:rsidR="00E57DAA" w:rsidRDefault="00AC4185">
            <w:pPr>
              <w:jc w:val="right"/>
              <w:rPr>
                <w:szCs w:val="21"/>
              </w:rPr>
            </w:pPr>
            <w:r>
              <w:t>361,000</w:t>
            </w:r>
          </w:p>
        </w:tc>
        <w:tc>
          <w:tcPr>
            <w:tcW w:w="409" w:type="pct"/>
            <w:vAlign w:val="center"/>
          </w:tcPr>
          <w:p w14:paraId="5313C2DA" w14:textId="77777777" w:rsidR="00E57DAA" w:rsidRDefault="00AC4185">
            <w:pPr>
              <w:jc w:val="right"/>
              <w:rPr>
                <w:szCs w:val="21"/>
              </w:rPr>
            </w:pPr>
            <w:r>
              <w:rPr>
                <w:szCs w:val="21"/>
              </w:rPr>
              <w:t>-26,500</w:t>
            </w:r>
          </w:p>
        </w:tc>
        <w:tc>
          <w:tcPr>
            <w:tcW w:w="307" w:type="pct"/>
            <w:vAlign w:val="center"/>
          </w:tcPr>
          <w:p w14:paraId="3826FF09" w14:textId="77777777" w:rsidR="00E57DAA" w:rsidRDefault="00AC4185">
            <w:pPr>
              <w:rPr>
                <w:szCs w:val="21"/>
              </w:rPr>
            </w:pPr>
            <w:r>
              <w:rPr>
                <w:rFonts w:hint="eastAsia"/>
                <w:szCs w:val="21"/>
              </w:rPr>
              <w:t>二级市场减持</w:t>
            </w:r>
          </w:p>
        </w:tc>
        <w:tc>
          <w:tcPr>
            <w:tcW w:w="460" w:type="pct"/>
          </w:tcPr>
          <w:p w14:paraId="4B12CDF1" w14:textId="77777777" w:rsidR="00E57DAA" w:rsidRDefault="00AC4185">
            <w:pPr>
              <w:jc w:val="right"/>
              <w:rPr>
                <w:szCs w:val="21"/>
              </w:rPr>
            </w:pPr>
            <w:r>
              <w:rPr>
                <w:szCs w:val="21"/>
              </w:rPr>
              <w:t>18.53</w:t>
            </w:r>
          </w:p>
        </w:tc>
        <w:tc>
          <w:tcPr>
            <w:tcW w:w="349" w:type="pct"/>
          </w:tcPr>
          <w:p w14:paraId="2B736FF1" w14:textId="77777777" w:rsidR="00E57DAA" w:rsidRDefault="00AC4185">
            <w:pPr>
              <w:rPr>
                <w:rFonts w:asciiTheme="minorHAnsi" w:eastAsiaTheme="minorEastAsia" w:hAnsiTheme="minorHAnsi" w:cstheme="minorBidi"/>
                <w:kern w:val="2"/>
                <w:szCs w:val="21"/>
                <w:highlight w:val="yellow"/>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1DFEB17F" w14:textId="77777777" w:rsidTr="00384446">
        <w:trPr>
          <w:trHeight w:val="132"/>
        </w:trPr>
        <w:tc>
          <w:tcPr>
            <w:tcW w:w="356" w:type="pct"/>
          </w:tcPr>
          <w:p w14:paraId="6667240B" w14:textId="77777777" w:rsidR="00E57DAA" w:rsidRDefault="00AC4185">
            <w:pPr>
              <w:rPr>
                <w:szCs w:val="21"/>
              </w:rPr>
            </w:pPr>
            <w:r>
              <w:rPr>
                <w:rFonts w:hint="eastAsia"/>
                <w:szCs w:val="21"/>
              </w:rPr>
              <w:t xml:space="preserve">焦 </w:t>
            </w:r>
            <w:r>
              <w:rPr>
                <w:szCs w:val="21"/>
              </w:rPr>
              <w:t xml:space="preserve"> </w:t>
            </w:r>
            <w:r>
              <w:rPr>
                <w:rFonts w:hint="eastAsia"/>
                <w:szCs w:val="21"/>
              </w:rPr>
              <w:t>烽</w:t>
            </w:r>
          </w:p>
        </w:tc>
        <w:tc>
          <w:tcPr>
            <w:tcW w:w="716" w:type="pct"/>
          </w:tcPr>
          <w:p w14:paraId="1DDEAC57" w14:textId="77777777" w:rsidR="00E57DAA" w:rsidRDefault="00AC4185" w:rsidP="00C25422">
            <w:pPr>
              <w:pStyle w:val="92"/>
            </w:pPr>
            <w:r>
              <w:rPr>
                <w:rFonts w:hint="eastAsia"/>
              </w:rPr>
              <w:t>副总裁</w:t>
            </w:r>
            <w:r w:rsidR="005E4EE1" w:rsidRPr="005E4EE1">
              <w:rPr>
                <w:rFonts w:hint="eastAsia"/>
              </w:rPr>
              <w:t>（已离任）</w:t>
            </w:r>
          </w:p>
        </w:tc>
        <w:tc>
          <w:tcPr>
            <w:tcW w:w="204" w:type="pct"/>
            <w:vAlign w:val="center"/>
          </w:tcPr>
          <w:p w14:paraId="02864021" w14:textId="77777777" w:rsidR="00E57DAA" w:rsidRDefault="00AC4185">
            <w:pPr>
              <w:rPr>
                <w:szCs w:val="21"/>
              </w:rPr>
            </w:pPr>
            <w:r>
              <w:t>男</w:t>
            </w:r>
          </w:p>
        </w:tc>
        <w:tc>
          <w:tcPr>
            <w:tcW w:w="205" w:type="pct"/>
            <w:vAlign w:val="center"/>
          </w:tcPr>
          <w:p w14:paraId="7356E024" w14:textId="77777777" w:rsidR="00E57DAA" w:rsidRDefault="00AC4185">
            <w:pPr>
              <w:rPr>
                <w:szCs w:val="21"/>
              </w:rPr>
            </w:pPr>
            <w:r>
              <w:t>61</w:t>
            </w:r>
          </w:p>
        </w:tc>
        <w:tc>
          <w:tcPr>
            <w:tcW w:w="511" w:type="pct"/>
            <w:vAlign w:val="center"/>
          </w:tcPr>
          <w:p w14:paraId="66E1C116" w14:textId="77777777" w:rsidR="00E57DAA" w:rsidRDefault="00AC4185">
            <w:pPr>
              <w:rPr>
                <w:szCs w:val="21"/>
              </w:rPr>
            </w:pPr>
            <w:r>
              <w:t>2005-08-09</w:t>
            </w:r>
          </w:p>
        </w:tc>
        <w:tc>
          <w:tcPr>
            <w:tcW w:w="511" w:type="pct"/>
            <w:vAlign w:val="center"/>
          </w:tcPr>
          <w:p w14:paraId="7DB94B12" w14:textId="77777777" w:rsidR="00E57DAA" w:rsidRDefault="00AC4185">
            <w:pPr>
              <w:rPr>
                <w:szCs w:val="21"/>
              </w:rPr>
            </w:pPr>
            <w:r>
              <w:t>2023-10-23</w:t>
            </w:r>
          </w:p>
        </w:tc>
        <w:tc>
          <w:tcPr>
            <w:tcW w:w="512" w:type="pct"/>
            <w:vAlign w:val="center"/>
          </w:tcPr>
          <w:p w14:paraId="4881E8D3" w14:textId="77777777" w:rsidR="00E57DAA" w:rsidRDefault="00AC4185">
            <w:pPr>
              <w:jc w:val="right"/>
              <w:rPr>
                <w:szCs w:val="21"/>
              </w:rPr>
            </w:pPr>
            <w:r>
              <w:t>22,500</w:t>
            </w:r>
          </w:p>
        </w:tc>
        <w:tc>
          <w:tcPr>
            <w:tcW w:w="460" w:type="pct"/>
            <w:vAlign w:val="center"/>
          </w:tcPr>
          <w:p w14:paraId="3ACDC716" w14:textId="77777777" w:rsidR="00E57DAA" w:rsidRDefault="00AC4185">
            <w:pPr>
              <w:jc w:val="right"/>
              <w:rPr>
                <w:szCs w:val="21"/>
              </w:rPr>
            </w:pPr>
            <w:r>
              <w:t>22,500</w:t>
            </w:r>
          </w:p>
        </w:tc>
        <w:tc>
          <w:tcPr>
            <w:tcW w:w="409" w:type="pct"/>
            <w:vAlign w:val="center"/>
          </w:tcPr>
          <w:p w14:paraId="035B6812" w14:textId="77777777" w:rsidR="00E57DAA" w:rsidRDefault="00E57DAA">
            <w:pPr>
              <w:jc w:val="right"/>
              <w:rPr>
                <w:szCs w:val="21"/>
              </w:rPr>
            </w:pPr>
          </w:p>
        </w:tc>
        <w:tc>
          <w:tcPr>
            <w:tcW w:w="307" w:type="pct"/>
            <w:vAlign w:val="center"/>
          </w:tcPr>
          <w:p w14:paraId="64B41C2E" w14:textId="77777777" w:rsidR="00E57DAA" w:rsidRDefault="00E57DAA">
            <w:pPr>
              <w:rPr>
                <w:szCs w:val="21"/>
              </w:rPr>
            </w:pPr>
          </w:p>
        </w:tc>
        <w:tc>
          <w:tcPr>
            <w:tcW w:w="460" w:type="pct"/>
          </w:tcPr>
          <w:p w14:paraId="6CA9FFE7" w14:textId="77777777" w:rsidR="00E57DAA" w:rsidRDefault="00AC4185">
            <w:pPr>
              <w:jc w:val="right"/>
              <w:rPr>
                <w:szCs w:val="21"/>
              </w:rPr>
            </w:pPr>
            <w:r>
              <w:rPr>
                <w:szCs w:val="21"/>
              </w:rPr>
              <w:t>220.41</w:t>
            </w:r>
          </w:p>
        </w:tc>
        <w:tc>
          <w:tcPr>
            <w:tcW w:w="349" w:type="pct"/>
          </w:tcPr>
          <w:p w14:paraId="50CB3009" w14:textId="77777777" w:rsidR="00E57DAA" w:rsidRDefault="00AC4185">
            <w:pPr>
              <w:rPr>
                <w:rFonts w:asciiTheme="minorHAnsi" w:eastAsiaTheme="minorEastAsia" w:hAnsiTheme="minorHAnsi" w:cstheme="minorBidi"/>
                <w:kern w:val="2"/>
                <w:szCs w:val="21"/>
                <w14:ligatures w14:val="standardContextual"/>
              </w:rPr>
            </w:pPr>
            <w:r>
              <w:rPr>
                <w:rFonts w:asciiTheme="minorHAnsi" w:eastAsiaTheme="minorEastAsia" w:hAnsiTheme="minorHAnsi" w:cstheme="minorBidi" w:hint="eastAsia"/>
                <w:kern w:val="2"/>
                <w:szCs w:val="21"/>
                <w14:ligatures w14:val="standardContextual"/>
              </w:rPr>
              <w:t>否</w:t>
            </w:r>
          </w:p>
        </w:tc>
      </w:tr>
      <w:tr w:rsidR="00E57DAA" w14:paraId="60F54F31" w14:textId="77777777" w:rsidTr="00384446">
        <w:trPr>
          <w:trHeight w:val="165"/>
        </w:trPr>
        <w:tc>
          <w:tcPr>
            <w:tcW w:w="356" w:type="pct"/>
            <w:tcBorders>
              <w:bottom w:val="single" w:sz="4" w:space="0" w:color="auto"/>
            </w:tcBorders>
            <w:vAlign w:val="center"/>
          </w:tcPr>
          <w:p w14:paraId="4EEC2203" w14:textId="77777777" w:rsidR="00E57DAA" w:rsidRDefault="00AC4185">
            <w:pPr>
              <w:jc w:val="center"/>
              <w:rPr>
                <w:szCs w:val="21"/>
              </w:rPr>
            </w:pPr>
            <w:r>
              <w:rPr>
                <w:rFonts w:hint="eastAsia"/>
                <w:szCs w:val="21"/>
              </w:rPr>
              <w:t>合计</w:t>
            </w:r>
          </w:p>
        </w:tc>
        <w:tc>
          <w:tcPr>
            <w:tcW w:w="716" w:type="pct"/>
            <w:tcBorders>
              <w:bottom w:val="single" w:sz="4" w:space="0" w:color="auto"/>
            </w:tcBorders>
          </w:tcPr>
          <w:p w14:paraId="53E1B4DD" w14:textId="77777777" w:rsidR="00E57DAA" w:rsidRDefault="00AC4185">
            <w:pPr>
              <w:jc w:val="center"/>
              <w:rPr>
                <w:szCs w:val="21"/>
              </w:rPr>
            </w:pPr>
            <w:r>
              <w:rPr>
                <w:rFonts w:hint="eastAsia"/>
                <w:szCs w:val="21"/>
              </w:rPr>
              <w:t>/</w:t>
            </w:r>
          </w:p>
        </w:tc>
        <w:tc>
          <w:tcPr>
            <w:tcW w:w="204" w:type="pct"/>
            <w:tcBorders>
              <w:bottom w:val="single" w:sz="4" w:space="0" w:color="auto"/>
            </w:tcBorders>
            <w:vAlign w:val="center"/>
          </w:tcPr>
          <w:p w14:paraId="14E47215" w14:textId="77777777" w:rsidR="00E57DAA" w:rsidRDefault="00E57DAA">
            <w:pPr>
              <w:jc w:val="center"/>
              <w:rPr>
                <w:szCs w:val="21"/>
              </w:rPr>
            </w:pPr>
          </w:p>
        </w:tc>
        <w:tc>
          <w:tcPr>
            <w:tcW w:w="205" w:type="pct"/>
            <w:tcBorders>
              <w:bottom w:val="single" w:sz="4" w:space="0" w:color="auto"/>
            </w:tcBorders>
            <w:vAlign w:val="center"/>
          </w:tcPr>
          <w:p w14:paraId="1AF94368" w14:textId="77777777" w:rsidR="00E57DAA" w:rsidRDefault="00E57DAA">
            <w:pPr>
              <w:jc w:val="center"/>
              <w:rPr>
                <w:szCs w:val="21"/>
              </w:rPr>
            </w:pPr>
          </w:p>
        </w:tc>
        <w:tc>
          <w:tcPr>
            <w:tcW w:w="511" w:type="pct"/>
            <w:tcBorders>
              <w:bottom w:val="single" w:sz="4" w:space="0" w:color="auto"/>
            </w:tcBorders>
            <w:vAlign w:val="center"/>
          </w:tcPr>
          <w:p w14:paraId="679BB3F6" w14:textId="77777777" w:rsidR="00E57DAA" w:rsidRDefault="00E57DAA">
            <w:pPr>
              <w:jc w:val="center"/>
              <w:rPr>
                <w:szCs w:val="21"/>
              </w:rPr>
            </w:pPr>
          </w:p>
        </w:tc>
        <w:tc>
          <w:tcPr>
            <w:tcW w:w="511" w:type="pct"/>
            <w:tcBorders>
              <w:bottom w:val="single" w:sz="4" w:space="0" w:color="auto"/>
            </w:tcBorders>
            <w:vAlign w:val="center"/>
          </w:tcPr>
          <w:p w14:paraId="5B53D3A2" w14:textId="77777777" w:rsidR="00E57DAA" w:rsidRDefault="00E57DAA">
            <w:pPr>
              <w:jc w:val="center"/>
              <w:rPr>
                <w:szCs w:val="21"/>
              </w:rPr>
            </w:pPr>
          </w:p>
        </w:tc>
        <w:tc>
          <w:tcPr>
            <w:tcW w:w="512" w:type="pct"/>
            <w:tcBorders>
              <w:bottom w:val="single" w:sz="4" w:space="0" w:color="auto"/>
            </w:tcBorders>
            <w:vAlign w:val="center"/>
          </w:tcPr>
          <w:p w14:paraId="39EAE3F0" w14:textId="77777777" w:rsidR="00E57DAA" w:rsidRDefault="00AC4185">
            <w:pPr>
              <w:jc w:val="right"/>
              <w:rPr>
                <w:szCs w:val="21"/>
              </w:rPr>
            </w:pPr>
            <w:r>
              <w:rPr>
                <w:szCs w:val="21"/>
              </w:rPr>
              <w:t>2,8</w:t>
            </w:r>
            <w:r>
              <w:rPr>
                <w:rFonts w:hint="eastAsia"/>
                <w:szCs w:val="21"/>
              </w:rPr>
              <w:t>92,594</w:t>
            </w:r>
          </w:p>
        </w:tc>
        <w:tc>
          <w:tcPr>
            <w:tcW w:w="460" w:type="pct"/>
            <w:tcBorders>
              <w:bottom w:val="single" w:sz="4" w:space="0" w:color="auto"/>
            </w:tcBorders>
            <w:vAlign w:val="center"/>
          </w:tcPr>
          <w:p w14:paraId="03375239" w14:textId="77777777" w:rsidR="00E57DAA" w:rsidRDefault="00AC4185">
            <w:pPr>
              <w:jc w:val="right"/>
              <w:rPr>
                <w:szCs w:val="21"/>
              </w:rPr>
            </w:pPr>
            <w:r>
              <w:rPr>
                <w:szCs w:val="21"/>
              </w:rPr>
              <w:t>3,148,167</w:t>
            </w:r>
          </w:p>
        </w:tc>
        <w:tc>
          <w:tcPr>
            <w:tcW w:w="409" w:type="pct"/>
            <w:tcBorders>
              <w:bottom w:val="single" w:sz="4" w:space="0" w:color="auto"/>
            </w:tcBorders>
            <w:vAlign w:val="center"/>
          </w:tcPr>
          <w:p w14:paraId="7C59F4A0" w14:textId="77777777" w:rsidR="00E57DAA" w:rsidRDefault="00AC4185">
            <w:pPr>
              <w:jc w:val="right"/>
              <w:rPr>
                <w:szCs w:val="21"/>
              </w:rPr>
            </w:pPr>
            <w:r>
              <w:rPr>
                <w:szCs w:val="21"/>
              </w:rPr>
              <w:t>2</w:t>
            </w:r>
            <w:r>
              <w:rPr>
                <w:rFonts w:hint="eastAsia"/>
                <w:szCs w:val="21"/>
              </w:rPr>
              <w:t>55</w:t>
            </w:r>
            <w:r>
              <w:rPr>
                <w:szCs w:val="21"/>
              </w:rPr>
              <w:t>,</w:t>
            </w:r>
            <w:r>
              <w:rPr>
                <w:rFonts w:hint="eastAsia"/>
                <w:szCs w:val="21"/>
              </w:rPr>
              <w:t>5</w:t>
            </w:r>
            <w:r>
              <w:rPr>
                <w:szCs w:val="21"/>
              </w:rPr>
              <w:t>73</w:t>
            </w:r>
          </w:p>
        </w:tc>
        <w:tc>
          <w:tcPr>
            <w:tcW w:w="307" w:type="pct"/>
            <w:tcBorders>
              <w:bottom w:val="single" w:sz="4" w:space="0" w:color="auto"/>
            </w:tcBorders>
            <w:vAlign w:val="center"/>
          </w:tcPr>
          <w:p w14:paraId="220A8681" w14:textId="77777777" w:rsidR="00E57DAA" w:rsidRDefault="00E57DAA">
            <w:pPr>
              <w:jc w:val="center"/>
              <w:rPr>
                <w:szCs w:val="21"/>
              </w:rPr>
            </w:pPr>
          </w:p>
        </w:tc>
        <w:tc>
          <w:tcPr>
            <w:tcW w:w="460" w:type="pct"/>
            <w:tcBorders>
              <w:bottom w:val="single" w:sz="4" w:space="0" w:color="auto"/>
            </w:tcBorders>
          </w:tcPr>
          <w:p w14:paraId="08D6CE52" w14:textId="77777777" w:rsidR="00E57DAA" w:rsidRDefault="00AC4185">
            <w:pPr>
              <w:jc w:val="right"/>
              <w:rPr>
                <w:szCs w:val="21"/>
              </w:rPr>
            </w:pPr>
            <w:r>
              <w:rPr>
                <w:szCs w:val="21"/>
              </w:rPr>
              <w:t>2,1</w:t>
            </w:r>
            <w:r>
              <w:rPr>
                <w:rFonts w:hint="eastAsia"/>
                <w:szCs w:val="21"/>
              </w:rPr>
              <w:t>25</w:t>
            </w:r>
            <w:r>
              <w:rPr>
                <w:szCs w:val="21"/>
              </w:rPr>
              <w:t>.</w:t>
            </w:r>
            <w:r>
              <w:rPr>
                <w:rFonts w:hint="eastAsia"/>
                <w:szCs w:val="21"/>
              </w:rPr>
              <w:t>21</w:t>
            </w:r>
          </w:p>
        </w:tc>
        <w:tc>
          <w:tcPr>
            <w:tcW w:w="349" w:type="pct"/>
            <w:tcBorders>
              <w:bottom w:val="single" w:sz="4" w:space="0" w:color="auto"/>
            </w:tcBorders>
          </w:tcPr>
          <w:p w14:paraId="33B5CFE5" w14:textId="77777777" w:rsidR="00E57DAA" w:rsidRDefault="00AC4185">
            <w:pPr>
              <w:jc w:val="left"/>
              <w:rPr>
                <w:szCs w:val="21"/>
              </w:rPr>
            </w:pPr>
            <w:r>
              <w:rPr>
                <w:szCs w:val="21"/>
              </w:rPr>
              <w:t>/</w:t>
            </w:r>
          </w:p>
        </w:tc>
      </w:tr>
    </w:tbl>
    <w:p w14:paraId="3DEC042F" w14:textId="77777777" w:rsidR="00E57DAA" w:rsidRDefault="00E57DAA">
      <w:pPr>
        <w:rPr>
          <w:szCs w:val="21"/>
        </w:rPr>
      </w:pPr>
    </w:p>
    <w:tbl>
      <w:tblPr>
        <w:tblStyle w:val="aff6"/>
        <w:tblW w:w="0" w:type="auto"/>
        <w:tblLook w:val="04A0" w:firstRow="1" w:lastRow="0" w:firstColumn="1" w:lastColumn="0" w:noHBand="0" w:noVBand="1"/>
      </w:tblPr>
      <w:tblGrid>
        <w:gridCol w:w="988"/>
        <w:gridCol w:w="12875"/>
      </w:tblGrid>
      <w:tr w:rsidR="00E57DAA" w14:paraId="6614B82A" w14:textId="77777777">
        <w:sdt>
          <w:sdtPr>
            <w:tag w:val="_PLD_1525b90cb0c248978acb54a7f361f6a2"/>
            <w:id w:val="133995337"/>
          </w:sdtPr>
          <w:sdtEndPr/>
          <w:sdtContent>
            <w:tc>
              <w:tcPr>
                <w:tcW w:w="988" w:type="dxa"/>
                <w:vAlign w:val="center"/>
              </w:tcPr>
              <w:p w14:paraId="226962CE" w14:textId="77777777" w:rsidR="00E57DAA" w:rsidRDefault="00AC4185">
                <w:pPr>
                  <w:jc w:val="center"/>
                </w:pPr>
                <w:r>
                  <w:rPr>
                    <w:rFonts w:hint="eastAsia"/>
                  </w:rPr>
                  <w:t>姓名</w:t>
                </w:r>
              </w:p>
            </w:tc>
          </w:sdtContent>
        </w:sdt>
        <w:sdt>
          <w:sdtPr>
            <w:tag w:val="_PLD_61b466aae87d4dac813a38c2c8e6a492"/>
            <w:id w:val="-1737619590"/>
          </w:sdtPr>
          <w:sdtEndPr/>
          <w:sdtContent>
            <w:tc>
              <w:tcPr>
                <w:tcW w:w="12875" w:type="dxa"/>
                <w:vAlign w:val="center"/>
              </w:tcPr>
              <w:p w14:paraId="4000499C" w14:textId="77777777" w:rsidR="00E57DAA" w:rsidRDefault="00AC4185">
                <w:pPr>
                  <w:jc w:val="center"/>
                </w:pPr>
                <w:r>
                  <w:t>主要工作经历</w:t>
                </w:r>
              </w:p>
            </w:tc>
          </w:sdtContent>
        </w:sdt>
      </w:tr>
      <w:tr w:rsidR="00E57DAA" w14:paraId="43F59D4A" w14:textId="77777777">
        <w:tc>
          <w:tcPr>
            <w:tcW w:w="988" w:type="dxa"/>
          </w:tcPr>
          <w:p w14:paraId="43EA22F0" w14:textId="77777777" w:rsidR="00E57DAA" w:rsidRDefault="00AC4185" w:rsidP="00C25422">
            <w:pPr>
              <w:pStyle w:val="92"/>
            </w:pPr>
            <w:r>
              <w:t>印志松</w:t>
            </w:r>
          </w:p>
        </w:tc>
        <w:tc>
          <w:tcPr>
            <w:tcW w:w="12875" w:type="dxa"/>
          </w:tcPr>
          <w:p w14:paraId="084B1873" w14:textId="77777777" w:rsidR="00E57DAA" w:rsidRDefault="00AC4185" w:rsidP="00C25422">
            <w:pPr>
              <w:pStyle w:val="92"/>
            </w:pPr>
            <w:r>
              <w:t>历任中国建材工业建设苏州安装公司项目经理、总经理助理，苏州中材建设有限公司副总经理、常务副总经理、总经理，中国中材国际工程股份有限公司（南京）常务副总经理、总经理，中国中材国际工程股份有限公司董事、副总裁、总裁、党委副书记等职务。</w:t>
            </w:r>
            <w:r>
              <w:rPr>
                <w:rFonts w:hint="eastAsia"/>
              </w:rPr>
              <w:t>现任中国建材股份有限公司党委委员，</w:t>
            </w:r>
            <w:r>
              <w:t>公司董事长、党委书记，新疆天山水泥股份有限公司董事</w:t>
            </w:r>
            <w:r>
              <w:rPr>
                <w:rFonts w:hint="eastAsia"/>
              </w:rPr>
              <w:t>，中材水泥有限责任公司董事长</w:t>
            </w:r>
            <w:r>
              <w:t>。</w:t>
            </w:r>
          </w:p>
        </w:tc>
      </w:tr>
      <w:tr w:rsidR="00E57DAA" w14:paraId="44919CE7" w14:textId="77777777">
        <w:tc>
          <w:tcPr>
            <w:tcW w:w="988" w:type="dxa"/>
          </w:tcPr>
          <w:p w14:paraId="409FEB7C" w14:textId="77777777" w:rsidR="00E57DAA" w:rsidRDefault="00AC4185" w:rsidP="00C25422">
            <w:pPr>
              <w:pStyle w:val="92"/>
            </w:pPr>
            <w:r>
              <w:t xml:space="preserve">朱 </w:t>
            </w:r>
            <w:r>
              <w:rPr>
                <w:rFonts w:hint="eastAsia"/>
              </w:rPr>
              <w:t xml:space="preserve"> </w:t>
            </w:r>
            <w:r>
              <w:t>兵</w:t>
            </w:r>
          </w:p>
        </w:tc>
        <w:tc>
          <w:tcPr>
            <w:tcW w:w="12875" w:type="dxa"/>
          </w:tcPr>
          <w:p w14:paraId="5219D873" w14:textId="77777777" w:rsidR="00E57DAA" w:rsidRDefault="00AC4185" w:rsidP="00C25422">
            <w:pPr>
              <w:pStyle w:val="92"/>
            </w:pPr>
            <w:r>
              <w:t>历任合肥水泥研究设计院设计分院副院长，合肥水泥研究设计院副院长、常务副院长，合肥水泥研究设计院有限公司总经理，中国建筑材料科学研究总院有限公司副总经理，合肥水泥研究设计院有限公司党委书记、董事长，中国中材国际工程股份有限公司董事、副总裁等职务。现任公司董事、总裁、党委副书记。</w:t>
            </w:r>
          </w:p>
        </w:tc>
      </w:tr>
      <w:tr w:rsidR="00E57DAA" w14:paraId="25B2590D" w14:textId="77777777">
        <w:tc>
          <w:tcPr>
            <w:tcW w:w="988" w:type="dxa"/>
          </w:tcPr>
          <w:p w14:paraId="213D1DB1" w14:textId="77777777" w:rsidR="00E57DAA" w:rsidRDefault="00AC4185" w:rsidP="00C25422">
            <w:pPr>
              <w:pStyle w:val="92"/>
            </w:pPr>
            <w:r>
              <w:t xml:space="preserve">王 </w:t>
            </w:r>
            <w:r>
              <w:rPr>
                <w:rFonts w:hint="eastAsia"/>
              </w:rPr>
              <w:t xml:space="preserve"> </w:t>
            </w:r>
            <w:r>
              <w:t>兵</w:t>
            </w:r>
          </w:p>
        </w:tc>
        <w:tc>
          <w:tcPr>
            <w:tcW w:w="12875" w:type="dxa"/>
          </w:tcPr>
          <w:p w14:paraId="40A8C5A0" w14:textId="77777777" w:rsidR="00E57DAA" w:rsidRDefault="00AC4185" w:rsidP="00C25422">
            <w:pPr>
              <w:pStyle w:val="92"/>
            </w:pPr>
            <w:r>
              <w:t>历任北新建材集团有限公司营销事业部区域经理，北新建材西南公司总经理，中国化学建材股份有限公司（现更名为中国巨石股份有限公司）总经理助理、副总经理，北新集团建材股份有限公司总经理、董事长、党委书记等职务。现任中国建材股份有限公司党委委员、执行董事、副总裁、总法律顾问、首席合规官，公司董事。</w:t>
            </w:r>
          </w:p>
        </w:tc>
      </w:tr>
      <w:tr w:rsidR="00E57DAA" w14:paraId="30B95C30" w14:textId="77777777">
        <w:tc>
          <w:tcPr>
            <w:tcW w:w="988" w:type="dxa"/>
          </w:tcPr>
          <w:p w14:paraId="460F1DF7" w14:textId="77777777" w:rsidR="00E57DAA" w:rsidRDefault="00AC4185" w:rsidP="00C25422">
            <w:pPr>
              <w:pStyle w:val="92"/>
            </w:pPr>
            <w:r>
              <w:t>王益民</w:t>
            </w:r>
          </w:p>
        </w:tc>
        <w:tc>
          <w:tcPr>
            <w:tcW w:w="12875" w:type="dxa"/>
          </w:tcPr>
          <w:p w14:paraId="4CFD6931" w14:textId="77777777" w:rsidR="00E57DAA" w:rsidRDefault="00AC4185" w:rsidP="00C25422">
            <w:pPr>
              <w:pStyle w:val="92"/>
            </w:pPr>
            <w:r>
              <w:t>历任中国建筑材料科学研究院水泥所副所长，中国建筑材料科学研究院中岩总公司总经理助理、常务副总经理，中国建筑材料科学研究总院院长助理、党委副书记、纪委书记、副院长，中国建筑材料科学研究总院有限公司党委书记、副总经理、执行董事、总经理、董事长，瑞泰科技股份有限公司董事、中国国检测试控股集团股份有限公司董事等职务。现任公司董事。</w:t>
            </w:r>
          </w:p>
        </w:tc>
      </w:tr>
      <w:tr w:rsidR="00E57DAA" w14:paraId="22B73BCF" w14:textId="77777777">
        <w:tc>
          <w:tcPr>
            <w:tcW w:w="988" w:type="dxa"/>
          </w:tcPr>
          <w:p w14:paraId="521259AE" w14:textId="77777777" w:rsidR="00E57DAA" w:rsidRDefault="00AC4185" w:rsidP="00C25422">
            <w:pPr>
              <w:pStyle w:val="92"/>
            </w:pPr>
            <w:r>
              <w:t>何小龙</w:t>
            </w:r>
          </w:p>
        </w:tc>
        <w:tc>
          <w:tcPr>
            <w:tcW w:w="12875" w:type="dxa"/>
          </w:tcPr>
          <w:p w14:paraId="2507438D" w14:textId="77777777" w:rsidR="00E57DAA" w:rsidRDefault="00AC4185" w:rsidP="00C25422">
            <w:pPr>
              <w:pStyle w:val="92"/>
            </w:pPr>
            <w:r>
              <w:t>历任天津水泥工业设计研究院有限公司总经理助理，中国中材国际工程股份有限公司执行副总裁，天津水泥工业设计研究院有限公司副总经理，中材装备集团有限公司副总经理，天津水泥工业设计研究院有限公司、中材装备集团有限公司董事长（执行董事）、总经理，中国中材国际工程</w:t>
            </w:r>
            <w:r>
              <w:lastRenderedPageBreak/>
              <w:t>股份有限公司副总裁等职务。现任新疆天山水泥股份有限公司副总裁、公司董事。</w:t>
            </w:r>
          </w:p>
        </w:tc>
      </w:tr>
      <w:tr w:rsidR="00E57DAA" w14:paraId="4B8549B1" w14:textId="77777777">
        <w:tc>
          <w:tcPr>
            <w:tcW w:w="988" w:type="dxa"/>
          </w:tcPr>
          <w:p w14:paraId="6A7E47E4" w14:textId="77777777" w:rsidR="00E57DAA" w:rsidRDefault="00AC4185" w:rsidP="00C25422">
            <w:pPr>
              <w:pStyle w:val="92"/>
            </w:pPr>
            <w:r>
              <w:lastRenderedPageBreak/>
              <w:t>蔡军恒</w:t>
            </w:r>
          </w:p>
        </w:tc>
        <w:tc>
          <w:tcPr>
            <w:tcW w:w="12875" w:type="dxa"/>
          </w:tcPr>
          <w:p w14:paraId="0998F1EA" w14:textId="77777777" w:rsidR="00E57DAA" w:rsidRDefault="00AC4185" w:rsidP="00C25422">
            <w:pPr>
              <w:pStyle w:val="92"/>
            </w:pPr>
            <w:r>
              <w:t>历任兰州拖拉机配件厂党委办公室、计划科干事，甘肃省政府办公厅文档处、工交处、秘书五处专职秘书、副调研员、调研员，甘肃祁连山建材控股有限公司董事，甘肃祁连山水泥集团股份有限公司党委书记、董事等职，现任公司董事、党委副书记。</w:t>
            </w:r>
          </w:p>
        </w:tc>
      </w:tr>
      <w:tr w:rsidR="00E57DAA" w14:paraId="19A41DF0" w14:textId="77777777">
        <w:tc>
          <w:tcPr>
            <w:tcW w:w="988" w:type="dxa"/>
          </w:tcPr>
          <w:p w14:paraId="5368E12B" w14:textId="77777777" w:rsidR="00E57DAA" w:rsidRDefault="00AC4185" w:rsidP="00C25422">
            <w:pPr>
              <w:pStyle w:val="92"/>
            </w:pPr>
            <w:r>
              <w:t>周小明</w:t>
            </w:r>
          </w:p>
        </w:tc>
        <w:tc>
          <w:tcPr>
            <w:tcW w:w="12875" w:type="dxa"/>
          </w:tcPr>
          <w:p w14:paraId="79930E9A" w14:textId="77777777" w:rsidR="00E57DAA" w:rsidRDefault="00AC4185" w:rsidP="00C25422">
            <w:pPr>
              <w:pStyle w:val="92"/>
            </w:pPr>
            <w:r>
              <w:t>历任外经济联络部（后为外经贸部）科员、副处长、处长，中国驻巴布亚新几内亚大使馆经济商务参赞，中国国际经济技术交流中心副主任，深圳市外商投资局副局长，外经贸部交际司副司长，中国驻悉尼总领馆经济商务参赞，中国医药保健品进出口商会会长，中国驻英国大使馆公使衔参赞，中国常驻日内瓦联合国代表团常任副代表。现任上海外经贸大学贸易谈判学院研究生校外导师；中国全球化智库高级研究员；《观察者网》和香港《中美聚焦网》专栏作者；香港《南华早报》、《中国日报》等媒体撰稿人；公司独立董事。</w:t>
            </w:r>
          </w:p>
        </w:tc>
      </w:tr>
      <w:tr w:rsidR="00E57DAA" w14:paraId="030AAD4C" w14:textId="77777777">
        <w:tc>
          <w:tcPr>
            <w:tcW w:w="988" w:type="dxa"/>
          </w:tcPr>
          <w:p w14:paraId="481D3A8E" w14:textId="77777777" w:rsidR="00E57DAA" w:rsidRDefault="00AC4185" w:rsidP="00C25422">
            <w:pPr>
              <w:pStyle w:val="92"/>
            </w:pPr>
            <w:r>
              <w:t xml:space="preserve">焦 </w:t>
            </w:r>
            <w:r w:rsidR="00F877E4">
              <w:rPr>
                <w:rFonts w:hint="eastAsia"/>
              </w:rPr>
              <w:t xml:space="preserve"> </w:t>
            </w:r>
            <w:r>
              <w:t>点</w:t>
            </w:r>
          </w:p>
        </w:tc>
        <w:tc>
          <w:tcPr>
            <w:tcW w:w="12875" w:type="dxa"/>
          </w:tcPr>
          <w:p w14:paraId="245C4689" w14:textId="77777777" w:rsidR="00E57DAA" w:rsidRDefault="00AC4185" w:rsidP="00C25422">
            <w:pPr>
              <w:pStyle w:val="92"/>
            </w:pPr>
            <w:r>
              <w:t>历任甘肃省财政厅科研所会计师，五联方圆会计师事务所董事长，国富浩华会计师事务所总裁，瑞华会计师事务所党委常务副书记、管委会委员。现任大信会计师事务所(特殊普通合伙)管委会执行委员，公司独立董事。</w:t>
            </w:r>
          </w:p>
        </w:tc>
      </w:tr>
      <w:tr w:rsidR="00E57DAA" w14:paraId="5EA1C3C8" w14:textId="77777777">
        <w:tc>
          <w:tcPr>
            <w:tcW w:w="988" w:type="dxa"/>
          </w:tcPr>
          <w:p w14:paraId="4BA6E093" w14:textId="77777777" w:rsidR="00E57DAA" w:rsidRDefault="00AC4185" w:rsidP="00C25422">
            <w:pPr>
              <w:pStyle w:val="92"/>
            </w:pPr>
            <w:r>
              <w:t xml:space="preserve">鞠 </w:t>
            </w:r>
            <w:r w:rsidR="00F877E4">
              <w:rPr>
                <w:rFonts w:hint="eastAsia"/>
              </w:rPr>
              <w:t xml:space="preserve"> </w:t>
            </w:r>
            <w:r>
              <w:t>源</w:t>
            </w:r>
          </w:p>
        </w:tc>
        <w:tc>
          <w:tcPr>
            <w:tcW w:w="12875" w:type="dxa"/>
          </w:tcPr>
          <w:p w14:paraId="5C02486F" w14:textId="77777777" w:rsidR="00E57DAA" w:rsidRDefault="00AC4185" w:rsidP="00C25422">
            <w:pPr>
              <w:pStyle w:val="92"/>
            </w:pPr>
            <w:r>
              <w:t>历任英国基尔大学讲师，英国约克大学讲师、高级讲师，兼任经济系副主任、科研委员会主席。现任英国约克大学教授，公司独立董事。</w:t>
            </w:r>
          </w:p>
        </w:tc>
      </w:tr>
      <w:tr w:rsidR="00E57DAA" w14:paraId="2E007610" w14:textId="77777777">
        <w:tc>
          <w:tcPr>
            <w:tcW w:w="988" w:type="dxa"/>
          </w:tcPr>
          <w:p w14:paraId="7EE0BA5A" w14:textId="77777777" w:rsidR="00E57DAA" w:rsidRDefault="00AC4185" w:rsidP="00C25422">
            <w:pPr>
              <w:pStyle w:val="92"/>
            </w:pPr>
            <w:r>
              <w:t xml:space="preserve">刘 </w:t>
            </w:r>
            <w:r w:rsidR="00F877E4">
              <w:rPr>
                <w:rFonts w:hint="eastAsia"/>
              </w:rPr>
              <w:t xml:space="preserve"> </w:t>
            </w:r>
            <w:r>
              <w:t>燕</w:t>
            </w:r>
          </w:p>
        </w:tc>
        <w:tc>
          <w:tcPr>
            <w:tcW w:w="12875" w:type="dxa"/>
          </w:tcPr>
          <w:p w14:paraId="0E5A01B7" w14:textId="77777777" w:rsidR="00E57DAA" w:rsidRDefault="00AC4185" w:rsidP="00C25422">
            <w:pPr>
              <w:pStyle w:val="92"/>
            </w:pPr>
            <w:r>
              <w:t>历任南京玻璃纤维研究设计院第二研究设计所所长助理、副所长、所长，南京玻璃纤维研究设计院副院长，中材科技股份有限公司副总裁、总裁，中材高新材料股份有限公司党委书记，中国中材股份有限公司副总裁，中材高新材料股份有限公司董事长、中国建材股份副总裁、党委委员、中国中材国际工程股份有限公司董事长、党委</w:t>
            </w:r>
            <w:r>
              <w:rPr>
                <w:rFonts w:hint="eastAsia"/>
              </w:rPr>
              <w:t>书记、董事</w:t>
            </w:r>
            <w:r>
              <w:t>，新疆天山水泥股份有限公司副董事长</w:t>
            </w:r>
            <w:r>
              <w:rPr>
                <w:rFonts w:hint="eastAsia"/>
              </w:rPr>
              <w:t>、甘肃祁连山水泥集团股份有限公司董事</w:t>
            </w:r>
            <w:r>
              <w:t>等职。现任中国建材股份有限公司执行董事、党委副书记，新疆天山水泥股份有限公司董事长、党委书记，中国巨石股份有限公司董事</w:t>
            </w:r>
            <w:r>
              <w:rPr>
                <w:rFonts w:hint="eastAsia"/>
              </w:rPr>
              <w:t>、甘肃祁连山建材控股有限公司董事</w:t>
            </w:r>
            <w:r>
              <w:t>。</w:t>
            </w:r>
          </w:p>
        </w:tc>
      </w:tr>
      <w:tr w:rsidR="00E57DAA" w14:paraId="685141BB" w14:textId="77777777">
        <w:tc>
          <w:tcPr>
            <w:tcW w:w="988" w:type="dxa"/>
          </w:tcPr>
          <w:p w14:paraId="62BE2092" w14:textId="77777777" w:rsidR="00E57DAA" w:rsidRDefault="00AC4185" w:rsidP="00C25422">
            <w:pPr>
              <w:pStyle w:val="92"/>
            </w:pPr>
            <w:r>
              <w:t>余明清</w:t>
            </w:r>
          </w:p>
        </w:tc>
        <w:tc>
          <w:tcPr>
            <w:tcW w:w="12875" w:type="dxa"/>
          </w:tcPr>
          <w:p w14:paraId="32F47C4C" w14:textId="77777777" w:rsidR="00E57DAA" w:rsidRDefault="00AC4185" w:rsidP="00C25422">
            <w:pPr>
              <w:pStyle w:val="92"/>
            </w:pPr>
            <w:r>
              <w:t>历任国家建材局山东工业陶瓷研究设计院副院长、院长，中非人工晶体研究院院长，山东中博先进材料股份有限公司董事长，中材高新材料股份有限公司董事长，中国非金属材料总公司副总经理，中国中材股份有限公司副总裁、北新集团建材股份有限公司董事，中国建材国际工程集团有限公司董事</w:t>
            </w:r>
            <w:r>
              <w:rPr>
                <w:rFonts w:hint="eastAsia"/>
              </w:rPr>
              <w:t>、</w:t>
            </w:r>
            <w:r>
              <w:t>中国建材股份有限公司副总裁、党委委员，公司董事</w:t>
            </w:r>
            <w:r>
              <w:rPr>
                <w:rFonts w:hint="eastAsia"/>
              </w:rPr>
              <w:t>等职</w:t>
            </w:r>
            <w:r>
              <w:t>，</w:t>
            </w:r>
            <w:r>
              <w:rPr>
                <w:rFonts w:hint="eastAsia"/>
              </w:rPr>
              <w:t>现任</w:t>
            </w:r>
            <w:r>
              <w:t>中材高新材料股份有限公司董事，宁夏建材集团股份有限公司董事、中建材玻璃新材料研究院集团有限公司董事、中材科技股份有限公司董事、江苏数智建材研究院有限公司董事长（法定代表人）。</w:t>
            </w:r>
          </w:p>
        </w:tc>
      </w:tr>
      <w:tr w:rsidR="00E57DAA" w14:paraId="7B3A3DF5" w14:textId="77777777">
        <w:tc>
          <w:tcPr>
            <w:tcW w:w="988" w:type="dxa"/>
          </w:tcPr>
          <w:p w14:paraId="10537FC6" w14:textId="77777777" w:rsidR="00E57DAA" w:rsidRDefault="00AC4185" w:rsidP="00C25422">
            <w:pPr>
              <w:pStyle w:val="92"/>
            </w:pPr>
            <w:r>
              <w:t>蒋中文</w:t>
            </w:r>
          </w:p>
        </w:tc>
        <w:tc>
          <w:tcPr>
            <w:tcW w:w="12875" w:type="dxa"/>
          </w:tcPr>
          <w:p w14:paraId="6E59846D" w14:textId="77777777" w:rsidR="00E57DAA" w:rsidRDefault="00AC4185" w:rsidP="00C25422">
            <w:pPr>
              <w:pStyle w:val="92"/>
            </w:pPr>
            <w:r>
              <w:t>历任国家建材局直属机关团委书记，北京国宇建材工程有限责任公司副总经理、总经理，公司副总裁、董事会秘书，中材矿山有限公司党委书记，公司董事、党委副书记、工会主席，现已退休。</w:t>
            </w:r>
          </w:p>
        </w:tc>
      </w:tr>
      <w:tr w:rsidR="00E57DAA" w14:paraId="1D1F9E55" w14:textId="77777777">
        <w:tc>
          <w:tcPr>
            <w:tcW w:w="988" w:type="dxa"/>
          </w:tcPr>
          <w:p w14:paraId="0467E3A8" w14:textId="77777777" w:rsidR="00E57DAA" w:rsidRDefault="00AC4185" w:rsidP="00C25422">
            <w:pPr>
              <w:pStyle w:val="92"/>
            </w:pPr>
            <w:r>
              <w:t>张晓燕</w:t>
            </w:r>
          </w:p>
        </w:tc>
        <w:tc>
          <w:tcPr>
            <w:tcW w:w="12875" w:type="dxa"/>
          </w:tcPr>
          <w:p w14:paraId="20955D0E" w14:textId="77777777" w:rsidR="00E57DAA" w:rsidRDefault="00AC4185" w:rsidP="00C25422">
            <w:pPr>
              <w:pStyle w:val="92"/>
            </w:pPr>
            <w:r>
              <w:rPr>
                <w:rFonts w:hint="eastAsia"/>
              </w:rPr>
              <w:t>历任康奈尔大学约翰逊管理学院金融学助理教授、普渡大学商学院的Duke Realty讲席教授，并兼任金融系系主任，清华大学五道口金融学院院长助理，中国证券监督管理委员会第十七届发行审核委员会兼职委员，公司独立董事。现任清华大学五道口金融学院副院长、鑫苑讲席教授，清华大学国家金融研究院副院长，清华大学金融科技研究院副院长，清华大学鑫苑房地产金融科技研究中心主任，简普科技有限公司独立董事。</w:t>
            </w:r>
          </w:p>
        </w:tc>
      </w:tr>
      <w:tr w:rsidR="00E57DAA" w14:paraId="1C344F24" w14:textId="77777777">
        <w:tc>
          <w:tcPr>
            <w:tcW w:w="988" w:type="dxa"/>
          </w:tcPr>
          <w:p w14:paraId="6109D7DA" w14:textId="77777777" w:rsidR="00E57DAA" w:rsidRDefault="00AC4185" w:rsidP="00C25422">
            <w:pPr>
              <w:pStyle w:val="92"/>
            </w:pPr>
            <w:r>
              <w:t>于月华</w:t>
            </w:r>
          </w:p>
        </w:tc>
        <w:tc>
          <w:tcPr>
            <w:tcW w:w="12875" w:type="dxa"/>
          </w:tcPr>
          <w:p w14:paraId="51AAB025" w14:textId="77777777" w:rsidR="00E57DAA" w:rsidRDefault="00AC4185" w:rsidP="00C25422">
            <w:pPr>
              <w:pStyle w:val="92"/>
            </w:pPr>
            <w:r>
              <w:t>历任北京泽瑞税务师事务所（北京中辰会计师事务所）项目经理、经理，北京中瑞诚会计师事务所部门经理、副所长，国务院派驻国有重点大型企业监事会专业检查组成员，中国建材股份有限公司财务部副总经理、审计监察部副总经理（主持工作）、审计部副总经理（主持工作），西南水泥有限公司监事，中国联合水泥集团有限公司监事会主席</w:t>
            </w:r>
            <w:r>
              <w:rPr>
                <w:rFonts w:hint="eastAsia"/>
              </w:rPr>
              <w:t>、甘肃祁连山水泥集团股份有限公司监事会主席</w:t>
            </w:r>
            <w:r>
              <w:t>。现任中国建材股份有限公司职工代表监事、总审计师兼审计部总经理，甘肃祁连山建材控股有限公司监事，北新集团建材股份有限公司监事会主席，北京金隅集团股份有限公司监事，公司监事会主席。</w:t>
            </w:r>
          </w:p>
        </w:tc>
      </w:tr>
      <w:tr w:rsidR="00E57DAA" w14:paraId="61B97561" w14:textId="77777777">
        <w:tc>
          <w:tcPr>
            <w:tcW w:w="988" w:type="dxa"/>
          </w:tcPr>
          <w:p w14:paraId="1DCCC76F" w14:textId="77777777" w:rsidR="00E57DAA" w:rsidRDefault="00AC4185" w:rsidP="00C25422">
            <w:pPr>
              <w:pStyle w:val="92"/>
            </w:pPr>
            <w:r>
              <w:t>堵光媛</w:t>
            </w:r>
          </w:p>
        </w:tc>
        <w:tc>
          <w:tcPr>
            <w:tcW w:w="12875" w:type="dxa"/>
          </w:tcPr>
          <w:p w14:paraId="540BBF5F" w14:textId="77777777" w:rsidR="00E57DAA" w:rsidRDefault="00AC4185" w:rsidP="00C25422">
            <w:pPr>
              <w:pStyle w:val="92"/>
            </w:pPr>
            <w:r>
              <w:t>历任中国建材股份有限公司法律部（董秘局）副总经理、法律事务部副总经理（主持工作）、法律事务部总经理，现任中国建材股份有限公司法律合规部总经理、职工监事，公司监事，中国复合材料集团有限公司董事，中材高新股份有限公司董事。</w:t>
            </w:r>
          </w:p>
        </w:tc>
      </w:tr>
      <w:tr w:rsidR="00E57DAA" w14:paraId="33FC4F9D" w14:textId="77777777">
        <w:tc>
          <w:tcPr>
            <w:tcW w:w="988" w:type="dxa"/>
          </w:tcPr>
          <w:p w14:paraId="22D8EA39" w14:textId="77777777" w:rsidR="00E57DAA" w:rsidRDefault="00AC4185" w:rsidP="00C25422">
            <w:pPr>
              <w:pStyle w:val="92"/>
            </w:pPr>
            <w:r>
              <w:t>李荧琳</w:t>
            </w:r>
          </w:p>
        </w:tc>
        <w:tc>
          <w:tcPr>
            <w:tcW w:w="12875" w:type="dxa"/>
          </w:tcPr>
          <w:p w14:paraId="769E5A54" w14:textId="77777777" w:rsidR="00E57DAA" w:rsidRDefault="00AC4185" w:rsidP="00C25422">
            <w:pPr>
              <w:pStyle w:val="92"/>
            </w:pPr>
            <w:r>
              <w:t>历任中国中材国际工程股份有限公司审计部副部长（主持工作）、审计部部长、运营管理部部长</w:t>
            </w:r>
            <w:r>
              <w:rPr>
                <w:rFonts w:hint="eastAsia"/>
              </w:rPr>
              <w:t>、改革办公室副主任（部门正职）</w:t>
            </w:r>
            <w:r>
              <w:t>，现任公司运</w:t>
            </w:r>
            <w:r>
              <w:lastRenderedPageBreak/>
              <w:t>营总监、企业管理部总经理、职工代表监事。</w:t>
            </w:r>
          </w:p>
        </w:tc>
      </w:tr>
      <w:tr w:rsidR="00E57DAA" w14:paraId="2045A3E4" w14:textId="77777777">
        <w:tc>
          <w:tcPr>
            <w:tcW w:w="988" w:type="dxa"/>
          </w:tcPr>
          <w:p w14:paraId="718700B1" w14:textId="77777777" w:rsidR="00E57DAA" w:rsidRDefault="00AC4185" w:rsidP="00C25422">
            <w:pPr>
              <w:pStyle w:val="92"/>
            </w:pPr>
            <w:r>
              <w:lastRenderedPageBreak/>
              <w:t>胡金玉</w:t>
            </w:r>
          </w:p>
        </w:tc>
        <w:tc>
          <w:tcPr>
            <w:tcW w:w="12875" w:type="dxa"/>
          </w:tcPr>
          <w:p w14:paraId="63326B27" w14:textId="77777777" w:rsidR="00E57DAA" w:rsidRDefault="00AC4185" w:rsidP="00C25422">
            <w:pPr>
              <w:pStyle w:val="92"/>
            </w:pPr>
            <w:r>
              <w:t>历任北新建材（集团）有限公司财务会计科科长、财务部经理，北新集团建材股份有限公司财务部经理、副总经理、财务总监，中国建材股份有限公司审计部总经理，北方水泥有限公司副总裁兼财务总监、中国建材股份有限公司副总经济师、新疆天山水泥股份有限公司监事会主席、中国建材股份有限公司投资发展部总经理、中国建材国际工程集团有限公司监事会主席，中国中材国际工程股份有限公司监事会主席等职。现任中国建材股份有限公司总经济师、北新集团建材股份有限公司监事、中国复合材料集团有限公司董事、中建材投资有限公司监事、中建材玻璃新材料研究院集团有限公司监事。</w:t>
            </w:r>
          </w:p>
        </w:tc>
      </w:tr>
      <w:tr w:rsidR="00E57DAA" w14:paraId="2C9793BD" w14:textId="77777777">
        <w:tc>
          <w:tcPr>
            <w:tcW w:w="988" w:type="dxa"/>
          </w:tcPr>
          <w:p w14:paraId="2AAD2ACF" w14:textId="77777777" w:rsidR="00E57DAA" w:rsidRDefault="00AC4185" w:rsidP="00C25422">
            <w:pPr>
              <w:pStyle w:val="92"/>
            </w:pPr>
            <w:r>
              <w:t>隋同波</w:t>
            </w:r>
          </w:p>
        </w:tc>
        <w:tc>
          <w:tcPr>
            <w:tcW w:w="12875" w:type="dxa"/>
          </w:tcPr>
          <w:p w14:paraId="50501DE4" w14:textId="77777777" w:rsidR="00E57DAA" w:rsidRDefault="00AC4185" w:rsidP="00C25422">
            <w:pPr>
              <w:pStyle w:val="92"/>
            </w:pPr>
            <w:r>
              <w:t>历任中国建筑材料科学研究院研究室主任、所长、副院长等职务。现任公司副总裁。</w:t>
            </w:r>
          </w:p>
        </w:tc>
      </w:tr>
      <w:tr w:rsidR="00E57DAA" w14:paraId="6EE6F85D" w14:textId="77777777">
        <w:tc>
          <w:tcPr>
            <w:tcW w:w="988" w:type="dxa"/>
          </w:tcPr>
          <w:p w14:paraId="4E0B8051" w14:textId="77777777" w:rsidR="00E57DAA" w:rsidRDefault="00AC4185" w:rsidP="00C25422">
            <w:pPr>
              <w:pStyle w:val="92"/>
            </w:pPr>
            <w:r>
              <w:t>汪  源</w:t>
            </w:r>
          </w:p>
        </w:tc>
        <w:tc>
          <w:tcPr>
            <w:tcW w:w="12875" w:type="dxa"/>
          </w:tcPr>
          <w:p w14:paraId="2A468848" w14:textId="77777777" w:rsidR="00E57DAA" w:rsidRDefault="00AC4185" w:rsidP="00C25422">
            <w:pPr>
              <w:pStyle w:val="92"/>
            </w:pPr>
            <w:r>
              <w:t>历任中国建材股份有限公司财务部副总经理，中国巨石股份有限公司副总经理、财务总监。现任公司副总裁、财务总监。</w:t>
            </w:r>
          </w:p>
        </w:tc>
      </w:tr>
      <w:tr w:rsidR="00E57DAA" w14:paraId="79229A74" w14:textId="77777777">
        <w:tc>
          <w:tcPr>
            <w:tcW w:w="988" w:type="dxa"/>
          </w:tcPr>
          <w:p w14:paraId="2DD2E932" w14:textId="77777777" w:rsidR="00E57DAA" w:rsidRDefault="00AC4185" w:rsidP="00C25422">
            <w:pPr>
              <w:pStyle w:val="92"/>
            </w:pPr>
            <w:r>
              <w:t>郭正勇</w:t>
            </w:r>
          </w:p>
        </w:tc>
        <w:tc>
          <w:tcPr>
            <w:tcW w:w="12875" w:type="dxa"/>
          </w:tcPr>
          <w:p w14:paraId="0F48DBBD" w14:textId="77777777" w:rsidR="00E57DAA" w:rsidRDefault="00AC4185" w:rsidP="00C25422">
            <w:pPr>
              <w:pStyle w:val="92"/>
            </w:pPr>
            <w:r>
              <w:t>历任兖州矿山工程公司大修厂副厂长、厂长，兖州矿山工程公司设备部经理、总经理助理，兖州中材建设有限公司副总经理、总经理、董事长，中材矿山建设有限公司总经理。现任公司副总裁，中材矿山建设有限公司党委书记、董事长。</w:t>
            </w:r>
          </w:p>
        </w:tc>
      </w:tr>
      <w:tr w:rsidR="00E57DAA" w14:paraId="32639B8D" w14:textId="77777777">
        <w:tc>
          <w:tcPr>
            <w:tcW w:w="988" w:type="dxa"/>
          </w:tcPr>
          <w:p w14:paraId="3F8C4834" w14:textId="77777777" w:rsidR="00E57DAA" w:rsidRDefault="00AC4185" w:rsidP="00C25422">
            <w:pPr>
              <w:pStyle w:val="92"/>
            </w:pPr>
            <w:r>
              <w:t>范丽婷</w:t>
            </w:r>
          </w:p>
        </w:tc>
        <w:tc>
          <w:tcPr>
            <w:tcW w:w="12875" w:type="dxa"/>
          </w:tcPr>
          <w:p w14:paraId="03BADAAC" w14:textId="77777777" w:rsidR="00E57DAA" w:rsidRDefault="00AC4185" w:rsidP="00C25422">
            <w:pPr>
              <w:pStyle w:val="92"/>
            </w:pPr>
            <w:r>
              <w:t>历任中国中材国际工程股份有限公司审计部经理、总裁办公室主任、职工代表监事、董事会办公室主任。现任公司副总裁、董事会秘书、总法律顾问。</w:t>
            </w:r>
          </w:p>
        </w:tc>
      </w:tr>
      <w:tr w:rsidR="00E57DAA" w14:paraId="21F12B00" w14:textId="77777777">
        <w:tc>
          <w:tcPr>
            <w:tcW w:w="988" w:type="dxa"/>
          </w:tcPr>
          <w:p w14:paraId="32534A5D" w14:textId="77777777" w:rsidR="00E57DAA" w:rsidRDefault="00AC4185" w:rsidP="00C25422">
            <w:pPr>
              <w:pStyle w:val="92"/>
            </w:pPr>
            <w:r>
              <w:t>刘仁越</w:t>
            </w:r>
          </w:p>
        </w:tc>
        <w:tc>
          <w:tcPr>
            <w:tcW w:w="12875" w:type="dxa"/>
          </w:tcPr>
          <w:p w14:paraId="405898F8" w14:textId="77777777" w:rsidR="00E57DAA" w:rsidRDefault="00AC4185" w:rsidP="00C25422">
            <w:pPr>
              <w:pStyle w:val="92"/>
            </w:pPr>
            <w:r>
              <w:t>历任苏州中材建设有限公司副总经理、邯郸中材建设有限责任公司总经理、中国中材国际工程股份有限公司（南京）党委副书记、总经理</w:t>
            </w:r>
            <w:r>
              <w:rPr>
                <w:rFonts w:hint="eastAsia"/>
              </w:rPr>
              <w:t>、党委书记、董事长、公司副总裁等职</w:t>
            </w:r>
            <w:r>
              <w:t>。现任公司</w:t>
            </w:r>
            <w:r>
              <w:rPr>
                <w:rFonts w:hint="eastAsia"/>
              </w:rPr>
              <w:t>常务</w:t>
            </w:r>
            <w:r>
              <w:t>副总裁</w:t>
            </w:r>
            <w:r>
              <w:rPr>
                <w:rFonts w:hint="eastAsia"/>
              </w:rPr>
              <w:t>，中材水泥有限责任公司董事</w:t>
            </w:r>
            <w:r>
              <w:t>。</w:t>
            </w:r>
          </w:p>
        </w:tc>
      </w:tr>
      <w:tr w:rsidR="00E57DAA" w14:paraId="27545172" w14:textId="77777777">
        <w:tc>
          <w:tcPr>
            <w:tcW w:w="988" w:type="dxa"/>
          </w:tcPr>
          <w:p w14:paraId="3C0B6EB9" w14:textId="77777777" w:rsidR="00E57DAA" w:rsidRDefault="00AC4185" w:rsidP="00C25422">
            <w:pPr>
              <w:pStyle w:val="92"/>
            </w:pPr>
            <w:r>
              <w:t>陈增福</w:t>
            </w:r>
          </w:p>
        </w:tc>
        <w:tc>
          <w:tcPr>
            <w:tcW w:w="12875" w:type="dxa"/>
          </w:tcPr>
          <w:p w14:paraId="1DA3933D" w14:textId="77777777" w:rsidR="00E57DAA" w:rsidRDefault="00AC4185" w:rsidP="00C25422">
            <w:pPr>
              <w:pStyle w:val="92"/>
            </w:pPr>
            <w:r>
              <w:t>历任天津水泥工业设计研究院有限公司党委副书记、</w:t>
            </w:r>
            <w:r>
              <w:rPr>
                <w:rFonts w:hint="eastAsia"/>
              </w:rPr>
              <w:t>总经理、</w:t>
            </w:r>
            <w:r>
              <w:t>纪委书记、工会主席，中材建设有限公司党委书记，天津水泥工业设计研究院有限公司党委书记、总经理。现任天津水泥工业设计研究院有限公司党委书记、执行董事，中建材（合肥）装备科技有限公司党委书记、董事长，公司副总裁</w:t>
            </w:r>
            <w:r>
              <w:rPr>
                <w:rFonts w:hint="eastAsia"/>
              </w:rPr>
              <w:t>。</w:t>
            </w:r>
          </w:p>
        </w:tc>
      </w:tr>
      <w:tr w:rsidR="00E57DAA" w14:paraId="6BED6FAD" w14:textId="77777777">
        <w:tc>
          <w:tcPr>
            <w:tcW w:w="988" w:type="dxa"/>
          </w:tcPr>
          <w:p w14:paraId="68C5446C" w14:textId="77777777" w:rsidR="00E57DAA" w:rsidRDefault="00AC4185" w:rsidP="00C25422">
            <w:pPr>
              <w:pStyle w:val="92"/>
            </w:pPr>
            <w:r>
              <w:t>焦  烽</w:t>
            </w:r>
          </w:p>
        </w:tc>
        <w:tc>
          <w:tcPr>
            <w:tcW w:w="12875" w:type="dxa"/>
          </w:tcPr>
          <w:p w14:paraId="72DEE468" w14:textId="77777777" w:rsidR="00E57DAA" w:rsidRDefault="00AC4185" w:rsidP="00C25422">
            <w:pPr>
              <w:pStyle w:val="92"/>
            </w:pPr>
            <w:r>
              <w:t>历任成都建筑材料工业设计研究院工程项目总设计师、工艺环保所副所长、院长助理、副总经理（副院长)、总经理（院长），公司副总裁，兼任成都建筑材料工业设计研究院有限公司董事长，现已退休。</w:t>
            </w:r>
          </w:p>
        </w:tc>
      </w:tr>
    </w:tbl>
    <w:p w14:paraId="0EE23078" w14:textId="77777777" w:rsidR="00E57DAA" w:rsidRDefault="00AC4185">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95510472"/>
        <w:placeholder>
          <w:docPart w:val="GBC22222222222222222222222222222"/>
        </w:placeholder>
      </w:sdtPr>
      <w:sdtEndPr/>
      <w:sdtContent>
        <w:p w14:paraId="166A1F5F"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557fdbc21d794629ab786dcecc519b1c"/>
        <w:id w:val="-2142720092"/>
        <w:placeholder>
          <w:docPart w:val="GBC22222222222222222222222222222"/>
        </w:placeholder>
      </w:sdtPr>
      <w:sdtEndPr/>
      <w:sdtContent>
        <w:p w14:paraId="004246B3" w14:textId="77777777" w:rsidR="00E57DAA" w:rsidRDefault="00AC4185">
          <w:pPr>
            <w:ind w:firstLineChars="300" w:firstLine="630"/>
            <w:rPr>
              <w:szCs w:val="21"/>
            </w:rPr>
          </w:pPr>
          <w:r>
            <w:rPr>
              <w:szCs w:val="21"/>
            </w:rPr>
            <w:t>1、报告期内从公司获得的税前报酬总额，包括基本工资、奖金、津贴、补贴、职工福利费和各项保险费、公积金、年金以及以其他形式从公司获得的报酬</w:t>
          </w:r>
          <w:r>
            <w:rPr>
              <w:rFonts w:hint="eastAsia"/>
              <w:szCs w:val="21"/>
            </w:rPr>
            <w:t>。</w:t>
          </w:r>
          <w:r>
            <w:t>披露的职工监事年薪中，个人及企业承担的保险、企业年金、公积金累计约占26%。</w:t>
          </w:r>
        </w:p>
        <w:p w14:paraId="099EE393" w14:textId="77777777" w:rsidR="00E57DAA" w:rsidRDefault="00AC4185">
          <w:pPr>
            <w:ind w:firstLineChars="300" w:firstLine="630"/>
            <w:rPr>
              <w:szCs w:val="21"/>
            </w:rPr>
          </w:pPr>
          <w:r>
            <w:rPr>
              <w:szCs w:val="21"/>
            </w:rPr>
            <w:t>2、董事、监事、高级管理人员在报告期内任职变动的，从公司获得的税前报酬总额为其担任相关高级管理职务期间报酬。</w:t>
          </w:r>
        </w:p>
        <w:p w14:paraId="2F8D27C4" w14:textId="77777777" w:rsidR="00143C01" w:rsidRDefault="00AC4185">
          <w:pPr>
            <w:ind w:firstLineChars="300" w:firstLine="630"/>
            <w:rPr>
              <w:szCs w:val="21"/>
            </w:rPr>
          </w:pPr>
          <w:r>
            <w:rPr>
              <w:rFonts w:hint="eastAsia"/>
              <w:szCs w:val="21"/>
            </w:rPr>
            <w:t>3、</w:t>
          </w:r>
          <w:r>
            <w:rPr>
              <w:szCs w:val="21"/>
            </w:rPr>
            <w:t>2023年</w:t>
          </w:r>
          <w:r>
            <w:rPr>
              <w:rFonts w:hint="eastAsia"/>
              <w:szCs w:val="21"/>
            </w:rPr>
            <w:t>初，</w:t>
          </w:r>
          <w:r>
            <w:rPr>
              <w:szCs w:val="21"/>
            </w:rPr>
            <w:t>合肥院为朱兵发放了2022年</w:t>
          </w:r>
          <w:r>
            <w:rPr>
              <w:rFonts w:hint="eastAsia"/>
              <w:szCs w:val="21"/>
            </w:rPr>
            <w:t>1-9月</w:t>
          </w:r>
          <w:r>
            <w:rPr>
              <w:szCs w:val="21"/>
            </w:rPr>
            <w:t>绩效</w:t>
          </w:r>
          <w:r>
            <w:rPr>
              <w:rFonts w:hint="eastAsia"/>
              <w:szCs w:val="21"/>
            </w:rPr>
            <w:t>薪酬</w:t>
          </w:r>
          <w:r w:rsidR="00143C01">
            <w:rPr>
              <w:rFonts w:hint="eastAsia"/>
              <w:szCs w:val="21"/>
            </w:rPr>
            <w:t>。</w:t>
          </w:r>
        </w:p>
        <w:p w14:paraId="553B563F" w14:textId="77777777" w:rsidR="00E57DAA" w:rsidRDefault="00143C01">
          <w:pPr>
            <w:ind w:firstLineChars="300" w:firstLine="630"/>
            <w:rPr>
              <w:szCs w:val="21"/>
            </w:rPr>
          </w:pPr>
          <w:r>
            <w:rPr>
              <w:rFonts w:hint="eastAsia"/>
              <w:szCs w:val="21"/>
            </w:rPr>
            <w:t>4、</w:t>
          </w:r>
          <w:r w:rsidR="00AC4185">
            <w:rPr>
              <w:rFonts w:hint="eastAsia"/>
              <w:szCs w:val="21"/>
            </w:rPr>
            <w:t>2023年3月，陈增福担任公司副总裁前减持股份26,500股。</w:t>
          </w:r>
        </w:p>
      </w:sdtContent>
    </w:sdt>
    <w:bookmarkEnd w:id="84"/>
    <w:p w14:paraId="6068877D" w14:textId="77777777" w:rsidR="00E57DAA" w:rsidRDefault="00E57DAA">
      <w:pPr>
        <w:rPr>
          <w:szCs w:val="21"/>
        </w:rPr>
      </w:pPr>
    </w:p>
    <w:p w14:paraId="2522AB6A" w14:textId="77777777" w:rsidR="00E57DAA" w:rsidRDefault="00E57DAA">
      <w:pPr>
        <w:rPr>
          <w:szCs w:val="21"/>
        </w:rPr>
        <w:sectPr w:rsidR="00E57DAA" w:rsidSect="00226547">
          <w:pgSz w:w="16838" w:h="11906" w:orient="landscape"/>
          <w:pgMar w:top="1797" w:right="1525" w:bottom="1276" w:left="1440" w:header="855" w:footer="992" w:gutter="0"/>
          <w:cols w:space="425"/>
          <w:docGrid w:linePitch="312"/>
        </w:sectPr>
      </w:pPr>
    </w:p>
    <w:p w14:paraId="3E16D5A7" w14:textId="77777777" w:rsidR="00E57DAA" w:rsidRDefault="00AC4185">
      <w:pPr>
        <w:pStyle w:val="3"/>
        <w:numPr>
          <w:ilvl w:val="0"/>
          <w:numId w:val="20"/>
        </w:numPr>
      </w:pPr>
      <w:r>
        <w:rPr>
          <w:rFonts w:hint="eastAsia"/>
        </w:rPr>
        <w:lastRenderedPageBreak/>
        <w:t>现任及报告期内离任董事、监事和高级管理人员的任职情况</w:t>
      </w:r>
    </w:p>
    <w:p w14:paraId="0D0F40D6" w14:textId="77777777" w:rsidR="00E57DAA" w:rsidRDefault="00AC4185">
      <w:pPr>
        <w:pStyle w:val="affc"/>
        <w:numPr>
          <w:ilvl w:val="0"/>
          <w:numId w:val="21"/>
        </w:numPr>
        <w:ind w:firstLineChars="0"/>
        <w:rPr>
          <w:b/>
          <w:bCs/>
        </w:rPr>
      </w:pPr>
      <w:r>
        <w:rPr>
          <w:b/>
          <w:bCs/>
        </w:rPr>
        <w:t>在股东单位任职情况</w:t>
      </w:r>
    </w:p>
    <w:sdt>
      <w:sdtPr>
        <w:rPr>
          <w:szCs w:val="21"/>
        </w:rPr>
        <w:alias w:val="是否适用：在股东单位任职情况[双击切换]"/>
        <w:tag w:val="_GBC_c450b54d9ea443cf85cc614c8528526b"/>
        <w:id w:val="2056126944"/>
        <w:placeholder>
          <w:docPart w:val="GBC22222222222222222222222222222"/>
        </w:placeholder>
      </w:sdtPr>
      <w:sdtEndPr/>
      <w:sdtContent>
        <w:p w14:paraId="1D370B11"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6"/>
        <w:tblW w:w="0" w:type="auto"/>
        <w:tblLook w:val="04A0" w:firstRow="1" w:lastRow="0" w:firstColumn="1" w:lastColumn="0" w:noHBand="0" w:noVBand="1"/>
      </w:tblPr>
      <w:tblGrid>
        <w:gridCol w:w="1696"/>
        <w:gridCol w:w="2410"/>
        <w:gridCol w:w="2410"/>
        <w:gridCol w:w="1134"/>
        <w:gridCol w:w="1173"/>
      </w:tblGrid>
      <w:tr w:rsidR="00E57DAA" w14:paraId="6D676A8A" w14:textId="77777777">
        <w:trPr>
          <w:trHeight w:val="105"/>
        </w:trPr>
        <w:sdt>
          <w:sdtPr>
            <w:tag w:val="_PLD_11f45a37b8cb4cfd8d25787f0979b6e9"/>
            <w:id w:val="969485763"/>
          </w:sdtPr>
          <w:sdtEndPr/>
          <w:sdtContent>
            <w:tc>
              <w:tcPr>
                <w:tcW w:w="1696" w:type="dxa"/>
                <w:vAlign w:val="center"/>
              </w:tcPr>
              <w:p w14:paraId="63B03CED" w14:textId="77777777" w:rsidR="00E57DAA" w:rsidRDefault="00AC4185">
                <w:pPr>
                  <w:jc w:val="center"/>
                </w:pPr>
                <w:r>
                  <w:t>任职人员姓名</w:t>
                </w:r>
              </w:p>
            </w:tc>
          </w:sdtContent>
        </w:sdt>
        <w:sdt>
          <w:sdtPr>
            <w:tag w:val="_PLD_174ff645994f420ea5626aa7d6f5ddb5"/>
            <w:id w:val="-414314082"/>
          </w:sdtPr>
          <w:sdtEndPr/>
          <w:sdtContent>
            <w:tc>
              <w:tcPr>
                <w:tcW w:w="2410" w:type="dxa"/>
                <w:vAlign w:val="center"/>
              </w:tcPr>
              <w:p w14:paraId="7B1E4150" w14:textId="77777777" w:rsidR="00E57DAA" w:rsidRDefault="00AC4185">
                <w:pPr>
                  <w:jc w:val="center"/>
                </w:pPr>
                <w:r>
                  <w:t>股东单位名称</w:t>
                </w:r>
              </w:p>
            </w:tc>
          </w:sdtContent>
        </w:sdt>
        <w:sdt>
          <w:sdtPr>
            <w:tag w:val="_PLD_c5b9ccac06314dc19400d1f75f51ed76"/>
            <w:id w:val="886148395"/>
          </w:sdtPr>
          <w:sdtEndPr/>
          <w:sdtContent>
            <w:tc>
              <w:tcPr>
                <w:tcW w:w="2410" w:type="dxa"/>
                <w:vAlign w:val="center"/>
              </w:tcPr>
              <w:p w14:paraId="52BC8582" w14:textId="77777777" w:rsidR="00E57DAA" w:rsidRDefault="00AC4185">
                <w:pPr>
                  <w:jc w:val="center"/>
                </w:pPr>
                <w:r>
                  <w:t>在股东单位担任的职务</w:t>
                </w:r>
              </w:p>
            </w:tc>
          </w:sdtContent>
        </w:sdt>
        <w:sdt>
          <w:sdtPr>
            <w:tag w:val="_PLD_6d359bac7e194427adef03e3d072f875"/>
            <w:id w:val="219401528"/>
          </w:sdtPr>
          <w:sdtEndPr/>
          <w:sdtContent>
            <w:tc>
              <w:tcPr>
                <w:tcW w:w="1134" w:type="dxa"/>
                <w:vAlign w:val="center"/>
              </w:tcPr>
              <w:p w14:paraId="255AB85A" w14:textId="77777777" w:rsidR="00E57DAA" w:rsidRDefault="00AC4185">
                <w:pPr>
                  <w:jc w:val="center"/>
                </w:pPr>
                <w:r>
                  <w:t>任期起始日期</w:t>
                </w:r>
              </w:p>
            </w:tc>
          </w:sdtContent>
        </w:sdt>
        <w:sdt>
          <w:sdtPr>
            <w:tag w:val="_PLD_ba28085d64d240089bfcbff8c64cf230"/>
            <w:id w:val="1317456770"/>
          </w:sdtPr>
          <w:sdtEndPr/>
          <w:sdtContent>
            <w:tc>
              <w:tcPr>
                <w:tcW w:w="1173" w:type="dxa"/>
                <w:vAlign w:val="center"/>
              </w:tcPr>
              <w:p w14:paraId="245F0C4B" w14:textId="77777777" w:rsidR="00E57DAA" w:rsidRDefault="00AC4185">
                <w:pPr>
                  <w:jc w:val="center"/>
                </w:pPr>
                <w:r>
                  <w:t>任期终止日期</w:t>
                </w:r>
              </w:p>
            </w:tc>
          </w:sdtContent>
        </w:sdt>
      </w:tr>
      <w:tr w:rsidR="00E57DAA" w14:paraId="6B9F93C9" w14:textId="77777777">
        <w:trPr>
          <w:trHeight w:val="147"/>
        </w:trPr>
        <w:tc>
          <w:tcPr>
            <w:tcW w:w="1696" w:type="dxa"/>
          </w:tcPr>
          <w:p w14:paraId="336F3369" w14:textId="77777777" w:rsidR="00E57DAA" w:rsidRDefault="00AC4185" w:rsidP="00C25422">
            <w:pPr>
              <w:pStyle w:val="92"/>
            </w:pPr>
            <w:r>
              <w:rPr>
                <w:rFonts w:hint="eastAsia"/>
              </w:rPr>
              <w:t>印志松</w:t>
            </w:r>
          </w:p>
        </w:tc>
        <w:tc>
          <w:tcPr>
            <w:tcW w:w="2410" w:type="dxa"/>
          </w:tcPr>
          <w:p w14:paraId="4C13FF9C" w14:textId="77777777" w:rsidR="00E57DAA" w:rsidRDefault="00AC4185" w:rsidP="00C25422">
            <w:pPr>
              <w:pStyle w:val="92"/>
            </w:pPr>
            <w:r>
              <w:rPr>
                <w:rFonts w:hint="eastAsia"/>
              </w:rPr>
              <w:t>中国建材股份有限公司</w:t>
            </w:r>
          </w:p>
        </w:tc>
        <w:tc>
          <w:tcPr>
            <w:tcW w:w="2410" w:type="dxa"/>
          </w:tcPr>
          <w:p w14:paraId="3641F3EA" w14:textId="77777777" w:rsidR="00E57DAA" w:rsidRDefault="00AC4185" w:rsidP="00C25422">
            <w:pPr>
              <w:pStyle w:val="92"/>
            </w:pPr>
            <w:r>
              <w:rPr>
                <w:rFonts w:hint="eastAsia"/>
              </w:rPr>
              <w:t>党委委员</w:t>
            </w:r>
          </w:p>
        </w:tc>
        <w:tc>
          <w:tcPr>
            <w:tcW w:w="1134" w:type="dxa"/>
            <w:vAlign w:val="center"/>
          </w:tcPr>
          <w:p w14:paraId="1B373599" w14:textId="77777777" w:rsidR="00E57DAA" w:rsidRDefault="00AC4185">
            <w:pPr>
              <w:jc w:val="center"/>
            </w:pPr>
            <w:r>
              <w:rPr>
                <w:rFonts w:hint="eastAsia"/>
              </w:rPr>
              <w:t>2023-12</w:t>
            </w:r>
          </w:p>
        </w:tc>
        <w:tc>
          <w:tcPr>
            <w:tcW w:w="1173" w:type="dxa"/>
            <w:vAlign w:val="center"/>
          </w:tcPr>
          <w:p w14:paraId="300FDD0A" w14:textId="77777777" w:rsidR="00E57DAA" w:rsidRDefault="00E57DAA">
            <w:pPr>
              <w:jc w:val="center"/>
            </w:pPr>
          </w:p>
        </w:tc>
      </w:tr>
      <w:tr w:rsidR="00C25422" w14:paraId="2FE3C010" w14:textId="77777777">
        <w:trPr>
          <w:trHeight w:val="147"/>
        </w:trPr>
        <w:tc>
          <w:tcPr>
            <w:tcW w:w="1696" w:type="dxa"/>
            <w:vMerge w:val="restart"/>
          </w:tcPr>
          <w:p w14:paraId="63F566FA" w14:textId="77777777" w:rsidR="00C25422" w:rsidRDefault="00C25422" w:rsidP="00C25422">
            <w:pPr>
              <w:pStyle w:val="92"/>
            </w:pPr>
            <w:r>
              <w:t>王  兵</w:t>
            </w:r>
          </w:p>
          <w:p w14:paraId="587C6075" w14:textId="77777777" w:rsidR="00C25422" w:rsidRDefault="00C25422" w:rsidP="00C25422">
            <w:pPr>
              <w:pStyle w:val="92"/>
            </w:pPr>
            <w:r>
              <w:t> </w:t>
            </w:r>
          </w:p>
          <w:p w14:paraId="368D47F7" w14:textId="77777777" w:rsidR="00C25422" w:rsidRDefault="00C25422" w:rsidP="00C25422">
            <w:pPr>
              <w:pStyle w:val="92"/>
            </w:pPr>
            <w:r>
              <w:t> </w:t>
            </w:r>
          </w:p>
          <w:p w14:paraId="650E91F0" w14:textId="77777777" w:rsidR="00C25422" w:rsidRDefault="00C25422" w:rsidP="00C25422">
            <w:pPr>
              <w:pStyle w:val="92"/>
            </w:pPr>
            <w:r>
              <w:t> </w:t>
            </w:r>
          </w:p>
        </w:tc>
        <w:tc>
          <w:tcPr>
            <w:tcW w:w="2410" w:type="dxa"/>
            <w:vMerge w:val="restart"/>
          </w:tcPr>
          <w:p w14:paraId="7B01A1C4" w14:textId="77777777" w:rsidR="00C25422" w:rsidRDefault="00C25422" w:rsidP="00C25422">
            <w:pPr>
              <w:pStyle w:val="92"/>
            </w:pPr>
            <w:r>
              <w:t>中国建材股份有限公司</w:t>
            </w:r>
          </w:p>
          <w:p w14:paraId="08A7C688" w14:textId="77777777" w:rsidR="00C25422" w:rsidRDefault="00C25422" w:rsidP="00C25422">
            <w:pPr>
              <w:pStyle w:val="92"/>
            </w:pPr>
          </w:p>
        </w:tc>
        <w:tc>
          <w:tcPr>
            <w:tcW w:w="2410" w:type="dxa"/>
          </w:tcPr>
          <w:p w14:paraId="2777F94B" w14:textId="77777777" w:rsidR="00C25422" w:rsidRDefault="00C25422" w:rsidP="00C25422">
            <w:pPr>
              <w:pStyle w:val="92"/>
            </w:pPr>
            <w:r>
              <w:t>副总裁</w:t>
            </w:r>
          </w:p>
        </w:tc>
        <w:tc>
          <w:tcPr>
            <w:tcW w:w="1134" w:type="dxa"/>
            <w:vAlign w:val="center"/>
          </w:tcPr>
          <w:p w14:paraId="40A37A54" w14:textId="77777777" w:rsidR="00C25422" w:rsidRDefault="00C25422">
            <w:pPr>
              <w:jc w:val="center"/>
            </w:pPr>
            <w:r>
              <w:t>2009-08</w:t>
            </w:r>
          </w:p>
        </w:tc>
        <w:tc>
          <w:tcPr>
            <w:tcW w:w="1173" w:type="dxa"/>
            <w:vAlign w:val="center"/>
          </w:tcPr>
          <w:p w14:paraId="5A98B850" w14:textId="77777777" w:rsidR="00C25422" w:rsidRDefault="00C25422">
            <w:pPr>
              <w:jc w:val="center"/>
            </w:pPr>
          </w:p>
        </w:tc>
      </w:tr>
      <w:tr w:rsidR="00C25422" w14:paraId="62BDB02C" w14:textId="77777777">
        <w:trPr>
          <w:trHeight w:val="147"/>
        </w:trPr>
        <w:tc>
          <w:tcPr>
            <w:tcW w:w="1696" w:type="dxa"/>
            <w:vMerge/>
          </w:tcPr>
          <w:p w14:paraId="4F4BE7F9" w14:textId="77777777" w:rsidR="00C25422" w:rsidRDefault="00C25422" w:rsidP="00C25422">
            <w:pPr>
              <w:pStyle w:val="92"/>
            </w:pPr>
          </w:p>
        </w:tc>
        <w:tc>
          <w:tcPr>
            <w:tcW w:w="2410" w:type="dxa"/>
            <w:vMerge/>
          </w:tcPr>
          <w:p w14:paraId="2E0F2435" w14:textId="77777777" w:rsidR="00C25422" w:rsidRDefault="00C25422" w:rsidP="00C25422">
            <w:pPr>
              <w:pStyle w:val="92"/>
            </w:pPr>
          </w:p>
        </w:tc>
        <w:tc>
          <w:tcPr>
            <w:tcW w:w="2410" w:type="dxa"/>
          </w:tcPr>
          <w:p w14:paraId="15ECDC8C" w14:textId="77777777" w:rsidR="00C25422" w:rsidRDefault="00C25422" w:rsidP="00C25422">
            <w:pPr>
              <w:pStyle w:val="92"/>
            </w:pPr>
            <w:r>
              <w:rPr>
                <w:rFonts w:hint="eastAsia"/>
              </w:rPr>
              <w:t>党委委员</w:t>
            </w:r>
          </w:p>
        </w:tc>
        <w:tc>
          <w:tcPr>
            <w:tcW w:w="1134" w:type="dxa"/>
            <w:vAlign w:val="center"/>
          </w:tcPr>
          <w:p w14:paraId="3AD5B1CA" w14:textId="77777777" w:rsidR="00C25422" w:rsidRDefault="00C25422">
            <w:pPr>
              <w:jc w:val="center"/>
            </w:pPr>
            <w:r>
              <w:rPr>
                <w:rFonts w:hint="eastAsia"/>
              </w:rPr>
              <w:t>2018-06</w:t>
            </w:r>
          </w:p>
        </w:tc>
        <w:tc>
          <w:tcPr>
            <w:tcW w:w="1173" w:type="dxa"/>
            <w:vAlign w:val="center"/>
          </w:tcPr>
          <w:p w14:paraId="33125E70" w14:textId="77777777" w:rsidR="00C25422" w:rsidRDefault="00C25422">
            <w:pPr>
              <w:jc w:val="center"/>
            </w:pPr>
          </w:p>
        </w:tc>
      </w:tr>
      <w:tr w:rsidR="00C25422" w14:paraId="041A1AFA" w14:textId="77777777">
        <w:trPr>
          <w:trHeight w:val="147"/>
        </w:trPr>
        <w:tc>
          <w:tcPr>
            <w:tcW w:w="1696" w:type="dxa"/>
            <w:vMerge/>
          </w:tcPr>
          <w:p w14:paraId="221C7EBF" w14:textId="77777777" w:rsidR="00C25422" w:rsidRDefault="00C25422" w:rsidP="00C25422">
            <w:pPr>
              <w:pStyle w:val="92"/>
            </w:pPr>
          </w:p>
        </w:tc>
        <w:tc>
          <w:tcPr>
            <w:tcW w:w="2410" w:type="dxa"/>
            <w:vMerge/>
          </w:tcPr>
          <w:p w14:paraId="3A373B68" w14:textId="77777777" w:rsidR="00C25422" w:rsidRDefault="00C25422" w:rsidP="00C25422">
            <w:pPr>
              <w:pStyle w:val="92"/>
            </w:pPr>
          </w:p>
        </w:tc>
        <w:tc>
          <w:tcPr>
            <w:tcW w:w="2410" w:type="dxa"/>
          </w:tcPr>
          <w:p w14:paraId="73EECC56" w14:textId="77777777" w:rsidR="00C25422" w:rsidRDefault="00C25422" w:rsidP="00C25422">
            <w:pPr>
              <w:pStyle w:val="92"/>
            </w:pPr>
            <w:r>
              <w:t>执行董事</w:t>
            </w:r>
          </w:p>
        </w:tc>
        <w:tc>
          <w:tcPr>
            <w:tcW w:w="1134" w:type="dxa"/>
            <w:vAlign w:val="center"/>
          </w:tcPr>
          <w:p w14:paraId="2B21EAFE" w14:textId="77777777" w:rsidR="00C25422" w:rsidRDefault="00C25422">
            <w:pPr>
              <w:jc w:val="center"/>
            </w:pPr>
            <w:r>
              <w:t>2021-11</w:t>
            </w:r>
          </w:p>
        </w:tc>
        <w:tc>
          <w:tcPr>
            <w:tcW w:w="1173" w:type="dxa"/>
            <w:vAlign w:val="center"/>
          </w:tcPr>
          <w:p w14:paraId="4F40CD8B" w14:textId="77777777" w:rsidR="00C25422" w:rsidRDefault="00C25422">
            <w:pPr>
              <w:jc w:val="center"/>
            </w:pPr>
          </w:p>
        </w:tc>
      </w:tr>
      <w:tr w:rsidR="00C25422" w14:paraId="75A4E628" w14:textId="77777777">
        <w:trPr>
          <w:trHeight w:val="147"/>
        </w:trPr>
        <w:tc>
          <w:tcPr>
            <w:tcW w:w="1696" w:type="dxa"/>
            <w:vMerge/>
          </w:tcPr>
          <w:p w14:paraId="78899540" w14:textId="77777777" w:rsidR="00C25422" w:rsidRDefault="00C25422" w:rsidP="00C25422">
            <w:pPr>
              <w:pStyle w:val="92"/>
            </w:pPr>
          </w:p>
        </w:tc>
        <w:tc>
          <w:tcPr>
            <w:tcW w:w="2410" w:type="dxa"/>
            <w:vMerge/>
          </w:tcPr>
          <w:p w14:paraId="512FAD70" w14:textId="77777777" w:rsidR="00C25422" w:rsidRDefault="00C25422" w:rsidP="00C25422">
            <w:pPr>
              <w:pStyle w:val="92"/>
            </w:pPr>
          </w:p>
        </w:tc>
        <w:tc>
          <w:tcPr>
            <w:tcW w:w="2410" w:type="dxa"/>
          </w:tcPr>
          <w:p w14:paraId="2D1D7ED3" w14:textId="77777777" w:rsidR="00C25422" w:rsidRDefault="00C25422" w:rsidP="00C25422">
            <w:pPr>
              <w:pStyle w:val="92"/>
            </w:pPr>
            <w:r>
              <w:t>总法律顾问</w:t>
            </w:r>
          </w:p>
        </w:tc>
        <w:tc>
          <w:tcPr>
            <w:tcW w:w="1134" w:type="dxa"/>
            <w:vAlign w:val="center"/>
          </w:tcPr>
          <w:p w14:paraId="5F973606" w14:textId="77777777" w:rsidR="00C25422" w:rsidRDefault="00C25422">
            <w:pPr>
              <w:jc w:val="center"/>
            </w:pPr>
            <w:r>
              <w:t>2021-12</w:t>
            </w:r>
          </w:p>
        </w:tc>
        <w:tc>
          <w:tcPr>
            <w:tcW w:w="1173" w:type="dxa"/>
            <w:vAlign w:val="center"/>
          </w:tcPr>
          <w:p w14:paraId="4700680F" w14:textId="77777777" w:rsidR="00C25422" w:rsidRDefault="00C25422">
            <w:pPr>
              <w:jc w:val="center"/>
            </w:pPr>
          </w:p>
        </w:tc>
      </w:tr>
      <w:tr w:rsidR="00C25422" w14:paraId="46E07D88" w14:textId="77777777">
        <w:trPr>
          <w:trHeight w:val="147"/>
        </w:trPr>
        <w:tc>
          <w:tcPr>
            <w:tcW w:w="1696" w:type="dxa"/>
            <w:vMerge/>
          </w:tcPr>
          <w:p w14:paraId="521E7D26" w14:textId="77777777" w:rsidR="00C25422" w:rsidRDefault="00C25422" w:rsidP="00C25422">
            <w:pPr>
              <w:pStyle w:val="92"/>
            </w:pPr>
          </w:p>
        </w:tc>
        <w:tc>
          <w:tcPr>
            <w:tcW w:w="2410" w:type="dxa"/>
            <w:vMerge/>
          </w:tcPr>
          <w:p w14:paraId="76B3F4F1" w14:textId="77777777" w:rsidR="00C25422" w:rsidRDefault="00C25422" w:rsidP="00C25422">
            <w:pPr>
              <w:pStyle w:val="92"/>
            </w:pPr>
          </w:p>
        </w:tc>
        <w:tc>
          <w:tcPr>
            <w:tcW w:w="2410" w:type="dxa"/>
          </w:tcPr>
          <w:p w14:paraId="70C8AF18" w14:textId="77777777" w:rsidR="00C25422" w:rsidRDefault="00C25422" w:rsidP="00C25422">
            <w:pPr>
              <w:pStyle w:val="92"/>
            </w:pPr>
            <w:r>
              <w:t>首席合规官</w:t>
            </w:r>
          </w:p>
        </w:tc>
        <w:tc>
          <w:tcPr>
            <w:tcW w:w="1134" w:type="dxa"/>
            <w:vAlign w:val="center"/>
          </w:tcPr>
          <w:p w14:paraId="5DF21B23" w14:textId="77777777" w:rsidR="00C25422" w:rsidRDefault="00C25422">
            <w:pPr>
              <w:jc w:val="center"/>
            </w:pPr>
            <w:r>
              <w:t>2023-08</w:t>
            </w:r>
          </w:p>
        </w:tc>
        <w:tc>
          <w:tcPr>
            <w:tcW w:w="1173" w:type="dxa"/>
            <w:vAlign w:val="center"/>
          </w:tcPr>
          <w:p w14:paraId="2C07EB74" w14:textId="77777777" w:rsidR="00C25422" w:rsidRDefault="00C25422">
            <w:pPr>
              <w:jc w:val="center"/>
            </w:pPr>
          </w:p>
        </w:tc>
      </w:tr>
      <w:tr w:rsidR="00C25422" w14:paraId="63B63DBB" w14:textId="77777777">
        <w:trPr>
          <w:trHeight w:val="147"/>
        </w:trPr>
        <w:tc>
          <w:tcPr>
            <w:tcW w:w="1696" w:type="dxa"/>
            <w:vMerge w:val="restart"/>
          </w:tcPr>
          <w:p w14:paraId="2D3CB3AF" w14:textId="77777777" w:rsidR="00C25422" w:rsidRDefault="00C25422" w:rsidP="00C25422">
            <w:pPr>
              <w:pStyle w:val="92"/>
            </w:pPr>
            <w:r>
              <w:t>刘 燕</w:t>
            </w:r>
          </w:p>
          <w:p w14:paraId="0CC5FBEC" w14:textId="77777777" w:rsidR="00C25422" w:rsidRDefault="00C25422" w:rsidP="00C25422">
            <w:pPr>
              <w:pStyle w:val="92"/>
            </w:pPr>
            <w:r>
              <w:t> </w:t>
            </w:r>
          </w:p>
        </w:tc>
        <w:tc>
          <w:tcPr>
            <w:tcW w:w="2410" w:type="dxa"/>
            <w:vMerge w:val="restart"/>
          </w:tcPr>
          <w:p w14:paraId="225E3AD1" w14:textId="77777777" w:rsidR="00C25422" w:rsidRDefault="00C25422" w:rsidP="00C25422">
            <w:pPr>
              <w:pStyle w:val="92"/>
            </w:pPr>
            <w:r>
              <w:t>中国建材股份有限公司</w:t>
            </w:r>
          </w:p>
          <w:p w14:paraId="1403329A" w14:textId="77777777" w:rsidR="00C25422" w:rsidRDefault="00C25422" w:rsidP="00C25422">
            <w:pPr>
              <w:pStyle w:val="92"/>
            </w:pPr>
          </w:p>
        </w:tc>
        <w:tc>
          <w:tcPr>
            <w:tcW w:w="2410" w:type="dxa"/>
          </w:tcPr>
          <w:p w14:paraId="59B90D25" w14:textId="77777777" w:rsidR="00C25422" w:rsidRDefault="00C25422" w:rsidP="00C25422">
            <w:pPr>
              <w:pStyle w:val="92"/>
            </w:pPr>
            <w:r>
              <w:t>党委副书记</w:t>
            </w:r>
          </w:p>
        </w:tc>
        <w:tc>
          <w:tcPr>
            <w:tcW w:w="1134" w:type="dxa"/>
            <w:vAlign w:val="center"/>
          </w:tcPr>
          <w:p w14:paraId="2B3A1E0F" w14:textId="77777777" w:rsidR="00C25422" w:rsidRDefault="00C25422">
            <w:pPr>
              <w:jc w:val="center"/>
            </w:pPr>
            <w:r>
              <w:t>2022-09</w:t>
            </w:r>
          </w:p>
        </w:tc>
        <w:tc>
          <w:tcPr>
            <w:tcW w:w="1173" w:type="dxa"/>
            <w:vAlign w:val="center"/>
          </w:tcPr>
          <w:p w14:paraId="6F9FE237" w14:textId="77777777" w:rsidR="00C25422" w:rsidRDefault="00C25422">
            <w:pPr>
              <w:jc w:val="center"/>
            </w:pPr>
          </w:p>
        </w:tc>
      </w:tr>
      <w:tr w:rsidR="00C25422" w14:paraId="2DE26420" w14:textId="77777777">
        <w:trPr>
          <w:trHeight w:val="147"/>
        </w:trPr>
        <w:tc>
          <w:tcPr>
            <w:tcW w:w="1696" w:type="dxa"/>
            <w:vMerge/>
          </w:tcPr>
          <w:p w14:paraId="616B228C" w14:textId="77777777" w:rsidR="00C25422" w:rsidRDefault="00C25422" w:rsidP="00C25422">
            <w:pPr>
              <w:pStyle w:val="92"/>
            </w:pPr>
          </w:p>
        </w:tc>
        <w:tc>
          <w:tcPr>
            <w:tcW w:w="2410" w:type="dxa"/>
            <w:vMerge/>
          </w:tcPr>
          <w:p w14:paraId="6619391D" w14:textId="77777777" w:rsidR="00C25422" w:rsidRDefault="00C25422" w:rsidP="00C25422">
            <w:pPr>
              <w:pStyle w:val="92"/>
            </w:pPr>
          </w:p>
        </w:tc>
        <w:tc>
          <w:tcPr>
            <w:tcW w:w="2410" w:type="dxa"/>
          </w:tcPr>
          <w:p w14:paraId="70B0E8B8" w14:textId="77777777" w:rsidR="00C25422" w:rsidRDefault="00C25422" w:rsidP="00C25422">
            <w:pPr>
              <w:pStyle w:val="92"/>
            </w:pPr>
            <w:r>
              <w:t>执行董事</w:t>
            </w:r>
          </w:p>
        </w:tc>
        <w:tc>
          <w:tcPr>
            <w:tcW w:w="1134" w:type="dxa"/>
            <w:vAlign w:val="center"/>
          </w:tcPr>
          <w:p w14:paraId="4DDCDD38" w14:textId="77777777" w:rsidR="00C25422" w:rsidRDefault="00C25422">
            <w:pPr>
              <w:jc w:val="center"/>
            </w:pPr>
            <w:r>
              <w:t>2022-12</w:t>
            </w:r>
          </w:p>
        </w:tc>
        <w:tc>
          <w:tcPr>
            <w:tcW w:w="1173" w:type="dxa"/>
            <w:vAlign w:val="center"/>
          </w:tcPr>
          <w:p w14:paraId="2D1F8948" w14:textId="77777777" w:rsidR="00C25422" w:rsidRDefault="00C25422">
            <w:pPr>
              <w:jc w:val="center"/>
            </w:pPr>
          </w:p>
        </w:tc>
      </w:tr>
      <w:tr w:rsidR="00E57DAA" w14:paraId="1C74AF1C" w14:textId="77777777">
        <w:trPr>
          <w:trHeight w:val="147"/>
        </w:trPr>
        <w:tc>
          <w:tcPr>
            <w:tcW w:w="1696" w:type="dxa"/>
          </w:tcPr>
          <w:p w14:paraId="6127F8B7" w14:textId="77777777" w:rsidR="00E57DAA" w:rsidRDefault="00AC4185" w:rsidP="00C25422">
            <w:pPr>
              <w:pStyle w:val="92"/>
            </w:pPr>
            <w:r>
              <w:t>余明清</w:t>
            </w:r>
          </w:p>
        </w:tc>
        <w:tc>
          <w:tcPr>
            <w:tcW w:w="2410" w:type="dxa"/>
          </w:tcPr>
          <w:p w14:paraId="557D5D32" w14:textId="77777777" w:rsidR="00E57DAA" w:rsidRDefault="00AC4185" w:rsidP="00C25422">
            <w:pPr>
              <w:pStyle w:val="92"/>
            </w:pPr>
            <w:r>
              <w:t>中国建材股份有限公司</w:t>
            </w:r>
          </w:p>
        </w:tc>
        <w:tc>
          <w:tcPr>
            <w:tcW w:w="2410" w:type="dxa"/>
          </w:tcPr>
          <w:p w14:paraId="456D2367" w14:textId="77777777" w:rsidR="00E57DAA" w:rsidRDefault="00AC4185" w:rsidP="00C25422">
            <w:pPr>
              <w:pStyle w:val="92"/>
            </w:pPr>
            <w:r>
              <w:t>副总裁</w:t>
            </w:r>
          </w:p>
        </w:tc>
        <w:tc>
          <w:tcPr>
            <w:tcW w:w="1134" w:type="dxa"/>
            <w:vAlign w:val="center"/>
          </w:tcPr>
          <w:p w14:paraId="06F3F0E7" w14:textId="77777777" w:rsidR="00E57DAA" w:rsidRDefault="00AC4185">
            <w:pPr>
              <w:jc w:val="center"/>
            </w:pPr>
            <w:r>
              <w:t>2018-05</w:t>
            </w:r>
          </w:p>
        </w:tc>
        <w:tc>
          <w:tcPr>
            <w:tcW w:w="1173" w:type="dxa"/>
            <w:vAlign w:val="center"/>
          </w:tcPr>
          <w:p w14:paraId="576D7029" w14:textId="77777777" w:rsidR="00E57DAA" w:rsidRDefault="00AC4185">
            <w:pPr>
              <w:jc w:val="center"/>
            </w:pPr>
            <w:r>
              <w:t>2023-11</w:t>
            </w:r>
          </w:p>
        </w:tc>
      </w:tr>
      <w:tr w:rsidR="00C25422" w14:paraId="31FC26FA" w14:textId="77777777">
        <w:trPr>
          <w:trHeight w:val="147"/>
        </w:trPr>
        <w:tc>
          <w:tcPr>
            <w:tcW w:w="1696" w:type="dxa"/>
            <w:vMerge w:val="restart"/>
          </w:tcPr>
          <w:p w14:paraId="436E9352" w14:textId="77777777" w:rsidR="00C25422" w:rsidRDefault="00C25422" w:rsidP="00C25422">
            <w:pPr>
              <w:pStyle w:val="92"/>
            </w:pPr>
            <w:r>
              <w:t>于月华</w:t>
            </w:r>
          </w:p>
          <w:p w14:paraId="04169BF1" w14:textId="77777777" w:rsidR="00C25422" w:rsidRDefault="00C25422" w:rsidP="00C25422">
            <w:pPr>
              <w:pStyle w:val="92"/>
            </w:pPr>
            <w:r>
              <w:t> </w:t>
            </w:r>
          </w:p>
          <w:p w14:paraId="72691648" w14:textId="77777777" w:rsidR="00C25422" w:rsidRDefault="00C25422" w:rsidP="00C25422">
            <w:pPr>
              <w:pStyle w:val="92"/>
            </w:pPr>
            <w:r>
              <w:t> </w:t>
            </w:r>
          </w:p>
        </w:tc>
        <w:tc>
          <w:tcPr>
            <w:tcW w:w="2410" w:type="dxa"/>
            <w:vMerge w:val="restart"/>
          </w:tcPr>
          <w:p w14:paraId="4488CF07" w14:textId="77777777" w:rsidR="00C25422" w:rsidRDefault="00C25422" w:rsidP="00C25422">
            <w:pPr>
              <w:pStyle w:val="92"/>
            </w:pPr>
            <w:r>
              <w:t>中国建材股份有限公司</w:t>
            </w:r>
          </w:p>
          <w:p w14:paraId="4F7B1795" w14:textId="77777777" w:rsidR="00C25422" w:rsidRDefault="00C25422" w:rsidP="00C25422">
            <w:pPr>
              <w:pStyle w:val="92"/>
            </w:pPr>
            <w:r>
              <w:t> </w:t>
            </w:r>
          </w:p>
          <w:p w14:paraId="40449961" w14:textId="77777777" w:rsidR="00C25422" w:rsidRDefault="00C25422" w:rsidP="00C25422">
            <w:pPr>
              <w:pStyle w:val="92"/>
            </w:pPr>
            <w:r>
              <w:t> </w:t>
            </w:r>
          </w:p>
        </w:tc>
        <w:tc>
          <w:tcPr>
            <w:tcW w:w="2410" w:type="dxa"/>
          </w:tcPr>
          <w:p w14:paraId="22BCE772" w14:textId="77777777" w:rsidR="00C25422" w:rsidRDefault="00C25422" w:rsidP="00C25422">
            <w:pPr>
              <w:pStyle w:val="92"/>
            </w:pPr>
            <w:r>
              <w:t>审计部总经理</w:t>
            </w:r>
          </w:p>
        </w:tc>
        <w:tc>
          <w:tcPr>
            <w:tcW w:w="1134" w:type="dxa"/>
            <w:vAlign w:val="center"/>
          </w:tcPr>
          <w:p w14:paraId="4407C5A6" w14:textId="77777777" w:rsidR="00C25422" w:rsidRDefault="00C25422">
            <w:pPr>
              <w:jc w:val="center"/>
            </w:pPr>
            <w:r>
              <w:rPr>
                <w:rFonts w:hint="eastAsia"/>
              </w:rPr>
              <w:t>2018-09</w:t>
            </w:r>
          </w:p>
        </w:tc>
        <w:tc>
          <w:tcPr>
            <w:tcW w:w="1173" w:type="dxa"/>
            <w:vAlign w:val="center"/>
          </w:tcPr>
          <w:p w14:paraId="793644D9" w14:textId="77777777" w:rsidR="00C25422" w:rsidRDefault="00C25422">
            <w:pPr>
              <w:jc w:val="center"/>
            </w:pPr>
          </w:p>
        </w:tc>
      </w:tr>
      <w:tr w:rsidR="00C25422" w14:paraId="7BBC8AB6" w14:textId="77777777">
        <w:trPr>
          <w:trHeight w:val="147"/>
        </w:trPr>
        <w:tc>
          <w:tcPr>
            <w:tcW w:w="1696" w:type="dxa"/>
            <w:vMerge/>
          </w:tcPr>
          <w:p w14:paraId="31701F43" w14:textId="77777777" w:rsidR="00C25422" w:rsidRDefault="00C25422" w:rsidP="00C25422">
            <w:pPr>
              <w:pStyle w:val="92"/>
            </w:pPr>
          </w:p>
        </w:tc>
        <w:tc>
          <w:tcPr>
            <w:tcW w:w="2410" w:type="dxa"/>
            <w:vMerge/>
          </w:tcPr>
          <w:p w14:paraId="356C0A08" w14:textId="77777777" w:rsidR="00C25422" w:rsidRDefault="00C25422" w:rsidP="00C25422">
            <w:pPr>
              <w:pStyle w:val="92"/>
            </w:pPr>
          </w:p>
        </w:tc>
        <w:tc>
          <w:tcPr>
            <w:tcW w:w="2410" w:type="dxa"/>
          </w:tcPr>
          <w:p w14:paraId="0CC9B3B2" w14:textId="77777777" w:rsidR="00C25422" w:rsidRDefault="00C25422" w:rsidP="00C25422">
            <w:pPr>
              <w:pStyle w:val="92"/>
            </w:pPr>
            <w:r>
              <w:t>总审计师</w:t>
            </w:r>
          </w:p>
        </w:tc>
        <w:tc>
          <w:tcPr>
            <w:tcW w:w="1134" w:type="dxa"/>
            <w:vAlign w:val="center"/>
          </w:tcPr>
          <w:p w14:paraId="30FF5E86" w14:textId="77777777" w:rsidR="00C25422" w:rsidRDefault="00C25422">
            <w:pPr>
              <w:jc w:val="center"/>
            </w:pPr>
            <w:r>
              <w:rPr>
                <w:rFonts w:hint="eastAsia"/>
              </w:rPr>
              <w:t>2023-02</w:t>
            </w:r>
          </w:p>
        </w:tc>
        <w:tc>
          <w:tcPr>
            <w:tcW w:w="1173" w:type="dxa"/>
            <w:vAlign w:val="center"/>
          </w:tcPr>
          <w:p w14:paraId="4FDA109F" w14:textId="77777777" w:rsidR="00C25422" w:rsidRDefault="00C25422">
            <w:pPr>
              <w:jc w:val="center"/>
            </w:pPr>
          </w:p>
        </w:tc>
      </w:tr>
      <w:tr w:rsidR="00C25422" w14:paraId="0A1AB5B1" w14:textId="77777777">
        <w:trPr>
          <w:trHeight w:val="147"/>
        </w:trPr>
        <w:tc>
          <w:tcPr>
            <w:tcW w:w="1696" w:type="dxa"/>
            <w:vMerge/>
          </w:tcPr>
          <w:p w14:paraId="0B2257FD" w14:textId="77777777" w:rsidR="00C25422" w:rsidRDefault="00C25422" w:rsidP="00C25422">
            <w:pPr>
              <w:pStyle w:val="92"/>
            </w:pPr>
          </w:p>
        </w:tc>
        <w:tc>
          <w:tcPr>
            <w:tcW w:w="2410" w:type="dxa"/>
            <w:vMerge/>
          </w:tcPr>
          <w:p w14:paraId="3F963FBB" w14:textId="77777777" w:rsidR="00C25422" w:rsidRDefault="00C25422" w:rsidP="00C25422">
            <w:pPr>
              <w:pStyle w:val="92"/>
            </w:pPr>
          </w:p>
        </w:tc>
        <w:tc>
          <w:tcPr>
            <w:tcW w:w="2410" w:type="dxa"/>
          </w:tcPr>
          <w:p w14:paraId="0217B2F8" w14:textId="77777777" w:rsidR="00C25422" w:rsidRDefault="00C25422" w:rsidP="00C25422">
            <w:pPr>
              <w:pStyle w:val="92"/>
            </w:pPr>
            <w:r>
              <w:rPr>
                <w:rFonts w:hint="eastAsia"/>
              </w:rPr>
              <w:t>监事会主席</w:t>
            </w:r>
          </w:p>
        </w:tc>
        <w:tc>
          <w:tcPr>
            <w:tcW w:w="1134" w:type="dxa"/>
            <w:vAlign w:val="center"/>
          </w:tcPr>
          <w:p w14:paraId="623972E3" w14:textId="77777777" w:rsidR="00C25422" w:rsidRDefault="00C25422">
            <w:pPr>
              <w:jc w:val="center"/>
            </w:pPr>
            <w:r>
              <w:rPr>
                <w:rFonts w:hint="eastAsia"/>
              </w:rPr>
              <w:t>2023-10</w:t>
            </w:r>
          </w:p>
        </w:tc>
        <w:tc>
          <w:tcPr>
            <w:tcW w:w="1173" w:type="dxa"/>
            <w:vAlign w:val="center"/>
          </w:tcPr>
          <w:p w14:paraId="50F96168" w14:textId="77777777" w:rsidR="00C25422" w:rsidRDefault="00C25422">
            <w:pPr>
              <w:jc w:val="center"/>
            </w:pPr>
          </w:p>
        </w:tc>
      </w:tr>
      <w:tr w:rsidR="00C25422" w14:paraId="1947F154" w14:textId="77777777">
        <w:trPr>
          <w:trHeight w:val="147"/>
        </w:trPr>
        <w:tc>
          <w:tcPr>
            <w:tcW w:w="1696" w:type="dxa"/>
            <w:vMerge w:val="restart"/>
          </w:tcPr>
          <w:p w14:paraId="3DB8F1C9" w14:textId="77777777" w:rsidR="00C25422" w:rsidRDefault="00C25422" w:rsidP="00C25422">
            <w:pPr>
              <w:pStyle w:val="92"/>
            </w:pPr>
            <w:r>
              <w:t>堵光媛</w:t>
            </w:r>
          </w:p>
          <w:p w14:paraId="7B20857B" w14:textId="77777777" w:rsidR="00C25422" w:rsidRDefault="00C25422" w:rsidP="00C25422">
            <w:pPr>
              <w:pStyle w:val="92"/>
            </w:pPr>
            <w:r>
              <w:t> </w:t>
            </w:r>
          </w:p>
        </w:tc>
        <w:tc>
          <w:tcPr>
            <w:tcW w:w="2410" w:type="dxa"/>
            <w:vMerge w:val="restart"/>
          </w:tcPr>
          <w:p w14:paraId="29ADBB3E" w14:textId="77777777" w:rsidR="00C25422" w:rsidRDefault="00C25422" w:rsidP="00C25422">
            <w:pPr>
              <w:pStyle w:val="92"/>
            </w:pPr>
            <w:r>
              <w:t>中国建材股份有限公司</w:t>
            </w:r>
          </w:p>
          <w:p w14:paraId="08F5013C" w14:textId="77777777" w:rsidR="00C25422" w:rsidRDefault="00C25422" w:rsidP="00C25422">
            <w:pPr>
              <w:pStyle w:val="92"/>
            </w:pPr>
          </w:p>
        </w:tc>
        <w:tc>
          <w:tcPr>
            <w:tcW w:w="2410" w:type="dxa"/>
          </w:tcPr>
          <w:p w14:paraId="3A3D07C1" w14:textId="77777777" w:rsidR="00C25422" w:rsidRDefault="00C25422" w:rsidP="00C25422">
            <w:pPr>
              <w:pStyle w:val="92"/>
            </w:pPr>
            <w:r>
              <w:t>法律合规部总经理</w:t>
            </w:r>
          </w:p>
        </w:tc>
        <w:tc>
          <w:tcPr>
            <w:tcW w:w="1134" w:type="dxa"/>
            <w:vAlign w:val="center"/>
          </w:tcPr>
          <w:p w14:paraId="525F505A" w14:textId="77777777" w:rsidR="00C25422" w:rsidRDefault="00C25422">
            <w:pPr>
              <w:jc w:val="center"/>
            </w:pPr>
            <w:r>
              <w:t>2021-02</w:t>
            </w:r>
          </w:p>
        </w:tc>
        <w:tc>
          <w:tcPr>
            <w:tcW w:w="1173" w:type="dxa"/>
            <w:vAlign w:val="center"/>
          </w:tcPr>
          <w:p w14:paraId="2D9A7359" w14:textId="77777777" w:rsidR="00C25422" w:rsidRDefault="00C25422">
            <w:pPr>
              <w:jc w:val="center"/>
            </w:pPr>
          </w:p>
        </w:tc>
      </w:tr>
      <w:tr w:rsidR="00C25422" w14:paraId="07CA1998" w14:textId="77777777">
        <w:trPr>
          <w:trHeight w:val="147"/>
        </w:trPr>
        <w:tc>
          <w:tcPr>
            <w:tcW w:w="1696" w:type="dxa"/>
            <w:vMerge/>
          </w:tcPr>
          <w:p w14:paraId="7801EEBE" w14:textId="77777777" w:rsidR="00C25422" w:rsidRDefault="00C25422" w:rsidP="00C25422">
            <w:pPr>
              <w:pStyle w:val="92"/>
            </w:pPr>
          </w:p>
        </w:tc>
        <w:tc>
          <w:tcPr>
            <w:tcW w:w="2410" w:type="dxa"/>
            <w:vMerge/>
          </w:tcPr>
          <w:p w14:paraId="7D30D6F2" w14:textId="77777777" w:rsidR="00C25422" w:rsidRDefault="00C25422" w:rsidP="00C25422">
            <w:pPr>
              <w:pStyle w:val="92"/>
            </w:pPr>
          </w:p>
        </w:tc>
        <w:tc>
          <w:tcPr>
            <w:tcW w:w="2410" w:type="dxa"/>
          </w:tcPr>
          <w:p w14:paraId="55B2FFB8" w14:textId="77777777" w:rsidR="00C25422" w:rsidRDefault="00C25422" w:rsidP="00C25422">
            <w:pPr>
              <w:pStyle w:val="92"/>
            </w:pPr>
            <w:r>
              <w:t>职工监事</w:t>
            </w:r>
          </w:p>
        </w:tc>
        <w:tc>
          <w:tcPr>
            <w:tcW w:w="1134" w:type="dxa"/>
            <w:vAlign w:val="center"/>
          </w:tcPr>
          <w:p w14:paraId="4F090EC8" w14:textId="77777777" w:rsidR="00C25422" w:rsidRDefault="00C25422">
            <w:pPr>
              <w:jc w:val="center"/>
            </w:pPr>
            <w:r>
              <w:t>2021-11</w:t>
            </w:r>
          </w:p>
        </w:tc>
        <w:tc>
          <w:tcPr>
            <w:tcW w:w="1173" w:type="dxa"/>
            <w:vAlign w:val="center"/>
          </w:tcPr>
          <w:p w14:paraId="2988FFCD" w14:textId="77777777" w:rsidR="00C25422" w:rsidRDefault="00C25422">
            <w:pPr>
              <w:jc w:val="center"/>
            </w:pPr>
          </w:p>
        </w:tc>
      </w:tr>
      <w:tr w:rsidR="00E57DAA" w14:paraId="4BC1D41C" w14:textId="77777777">
        <w:trPr>
          <w:trHeight w:val="147"/>
        </w:trPr>
        <w:tc>
          <w:tcPr>
            <w:tcW w:w="1696" w:type="dxa"/>
          </w:tcPr>
          <w:p w14:paraId="6F447F95" w14:textId="77777777" w:rsidR="00E57DAA" w:rsidRDefault="00AC4185" w:rsidP="00C25422">
            <w:pPr>
              <w:pStyle w:val="92"/>
            </w:pPr>
            <w:r>
              <w:t>胡金玉</w:t>
            </w:r>
          </w:p>
        </w:tc>
        <w:tc>
          <w:tcPr>
            <w:tcW w:w="2410" w:type="dxa"/>
          </w:tcPr>
          <w:p w14:paraId="31DF6D24" w14:textId="77777777" w:rsidR="00E57DAA" w:rsidRDefault="00AC4185" w:rsidP="00C25422">
            <w:pPr>
              <w:pStyle w:val="92"/>
            </w:pPr>
            <w:r>
              <w:t>中国建材股份有限公司</w:t>
            </w:r>
          </w:p>
        </w:tc>
        <w:tc>
          <w:tcPr>
            <w:tcW w:w="2410" w:type="dxa"/>
          </w:tcPr>
          <w:p w14:paraId="636ADB36" w14:textId="77777777" w:rsidR="00E57DAA" w:rsidRDefault="00AC4185" w:rsidP="00C25422">
            <w:pPr>
              <w:pStyle w:val="92"/>
            </w:pPr>
            <w:r>
              <w:t>总经济师</w:t>
            </w:r>
          </w:p>
        </w:tc>
        <w:tc>
          <w:tcPr>
            <w:tcW w:w="1134" w:type="dxa"/>
            <w:vAlign w:val="center"/>
          </w:tcPr>
          <w:p w14:paraId="15689E5B" w14:textId="77777777" w:rsidR="00E57DAA" w:rsidRDefault="00AC4185">
            <w:pPr>
              <w:jc w:val="center"/>
            </w:pPr>
            <w:r>
              <w:t>2021-09</w:t>
            </w:r>
          </w:p>
        </w:tc>
        <w:tc>
          <w:tcPr>
            <w:tcW w:w="1173" w:type="dxa"/>
            <w:vAlign w:val="center"/>
          </w:tcPr>
          <w:p w14:paraId="698FC693" w14:textId="77777777" w:rsidR="00E57DAA" w:rsidRDefault="00E57DAA">
            <w:pPr>
              <w:jc w:val="center"/>
            </w:pPr>
          </w:p>
        </w:tc>
      </w:tr>
      <w:tr w:rsidR="00E57DAA" w14:paraId="495914FE" w14:textId="77777777">
        <w:trPr>
          <w:trHeight w:val="150"/>
        </w:trPr>
        <w:tc>
          <w:tcPr>
            <w:tcW w:w="1696" w:type="dxa"/>
          </w:tcPr>
          <w:p w14:paraId="65F326C9" w14:textId="77777777" w:rsidR="00E57DAA" w:rsidRDefault="00AC4185" w:rsidP="00C25422">
            <w:pPr>
              <w:pStyle w:val="92"/>
            </w:pPr>
            <w:r>
              <w:t>在股东单位任职情况的说明</w:t>
            </w:r>
          </w:p>
        </w:tc>
        <w:tc>
          <w:tcPr>
            <w:tcW w:w="7127" w:type="dxa"/>
            <w:gridSpan w:val="4"/>
          </w:tcPr>
          <w:p w14:paraId="3C23ED72" w14:textId="77777777" w:rsidR="00E57DAA" w:rsidRDefault="00E57DAA" w:rsidP="00C25422">
            <w:pPr>
              <w:pStyle w:val="92"/>
            </w:pPr>
          </w:p>
        </w:tc>
      </w:tr>
    </w:tbl>
    <w:p w14:paraId="7987214C" w14:textId="77777777" w:rsidR="00E57DAA" w:rsidRDefault="00E57DAA" w:rsidP="00C25422">
      <w:pPr>
        <w:pStyle w:val="92"/>
      </w:pPr>
    </w:p>
    <w:p w14:paraId="50155652" w14:textId="77777777" w:rsidR="00E57DAA" w:rsidRDefault="00AC4185">
      <w:pPr>
        <w:pStyle w:val="affc"/>
        <w:numPr>
          <w:ilvl w:val="0"/>
          <w:numId w:val="21"/>
        </w:numPr>
        <w:ind w:firstLineChars="0"/>
        <w:rPr>
          <w:b/>
          <w:bCs/>
        </w:rPr>
      </w:pPr>
      <w:r>
        <w:rPr>
          <w:b/>
          <w:bCs/>
        </w:rPr>
        <w:t>在其他单位任职情况</w:t>
      </w:r>
    </w:p>
    <w:sdt>
      <w:sdtPr>
        <w:rPr>
          <w:szCs w:val="21"/>
        </w:rPr>
        <w:alias w:val="是否适用：在其他单位任职情况[双击切换]"/>
        <w:tag w:val="_GBC_31c17de709bb42fdb7ba137e843fe054"/>
        <w:id w:val="-1541507234"/>
        <w:placeholder>
          <w:docPart w:val="GBC22222222222222222222222222222"/>
        </w:placeholder>
      </w:sdtPr>
      <w:sdtEndPr/>
      <w:sdtContent>
        <w:p w14:paraId="5D9D6F6A"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6"/>
        <w:tblW w:w="0" w:type="auto"/>
        <w:tblLook w:val="04A0" w:firstRow="1" w:lastRow="0" w:firstColumn="1" w:lastColumn="0" w:noHBand="0" w:noVBand="1"/>
      </w:tblPr>
      <w:tblGrid>
        <w:gridCol w:w="1555"/>
        <w:gridCol w:w="3402"/>
        <w:gridCol w:w="1559"/>
        <w:gridCol w:w="1134"/>
        <w:gridCol w:w="1173"/>
      </w:tblGrid>
      <w:tr w:rsidR="00E57DAA" w14:paraId="2E5FD90E" w14:textId="77777777" w:rsidTr="00C25422">
        <w:trPr>
          <w:trHeight w:val="120"/>
        </w:trPr>
        <w:sdt>
          <w:sdtPr>
            <w:tag w:val="_PLD_84cb4ce7fc4643b1be607267619a4b88"/>
            <w:id w:val="-1128937357"/>
          </w:sdtPr>
          <w:sdtEndPr/>
          <w:sdtContent>
            <w:tc>
              <w:tcPr>
                <w:tcW w:w="1555" w:type="dxa"/>
                <w:vAlign w:val="center"/>
              </w:tcPr>
              <w:p w14:paraId="7BC8175C" w14:textId="77777777" w:rsidR="00E57DAA" w:rsidRDefault="00AC4185">
                <w:pPr>
                  <w:jc w:val="center"/>
                </w:pPr>
                <w:r>
                  <w:t>任职人员姓名</w:t>
                </w:r>
              </w:p>
            </w:tc>
          </w:sdtContent>
        </w:sdt>
        <w:sdt>
          <w:sdtPr>
            <w:tag w:val="_PLD_9c5aac001d5a4c2eb3cc0bf1e1f66afe"/>
            <w:id w:val="1234425224"/>
          </w:sdtPr>
          <w:sdtEndPr/>
          <w:sdtContent>
            <w:tc>
              <w:tcPr>
                <w:tcW w:w="3402" w:type="dxa"/>
                <w:vAlign w:val="center"/>
              </w:tcPr>
              <w:p w14:paraId="46352D2A" w14:textId="77777777" w:rsidR="00E57DAA" w:rsidRDefault="00AC4185">
                <w:pPr>
                  <w:jc w:val="center"/>
                </w:pPr>
                <w:r>
                  <w:t>其他单位名称</w:t>
                </w:r>
              </w:p>
            </w:tc>
          </w:sdtContent>
        </w:sdt>
        <w:sdt>
          <w:sdtPr>
            <w:tag w:val="_PLD_a3a2822cc76542afbd1a58b94268af1d"/>
            <w:id w:val="818239149"/>
          </w:sdtPr>
          <w:sdtEndPr/>
          <w:sdtContent>
            <w:tc>
              <w:tcPr>
                <w:tcW w:w="1559" w:type="dxa"/>
                <w:vAlign w:val="center"/>
              </w:tcPr>
              <w:p w14:paraId="01129122" w14:textId="77777777" w:rsidR="00E57DAA" w:rsidRDefault="00AC4185">
                <w:pPr>
                  <w:jc w:val="center"/>
                </w:pPr>
                <w:r>
                  <w:t>在其他单位担任的职务</w:t>
                </w:r>
              </w:p>
            </w:tc>
          </w:sdtContent>
        </w:sdt>
        <w:sdt>
          <w:sdtPr>
            <w:tag w:val="_PLD_1afbd86b2e47420ca2c5a75f01567f2a"/>
            <w:id w:val="2129038681"/>
          </w:sdtPr>
          <w:sdtEndPr/>
          <w:sdtContent>
            <w:tc>
              <w:tcPr>
                <w:tcW w:w="1134" w:type="dxa"/>
                <w:vAlign w:val="center"/>
              </w:tcPr>
              <w:p w14:paraId="405675E8" w14:textId="77777777" w:rsidR="00E57DAA" w:rsidRDefault="00AC4185">
                <w:pPr>
                  <w:jc w:val="center"/>
                </w:pPr>
                <w:r>
                  <w:t>任期起始日期</w:t>
                </w:r>
              </w:p>
            </w:tc>
          </w:sdtContent>
        </w:sdt>
        <w:sdt>
          <w:sdtPr>
            <w:tag w:val="_PLD_677dde6ffbf24692a6c508831a24eef8"/>
            <w:id w:val="-265919990"/>
          </w:sdtPr>
          <w:sdtEndPr/>
          <w:sdtContent>
            <w:tc>
              <w:tcPr>
                <w:tcW w:w="1173" w:type="dxa"/>
                <w:vAlign w:val="center"/>
              </w:tcPr>
              <w:p w14:paraId="4FF613BB" w14:textId="77777777" w:rsidR="00E57DAA" w:rsidRDefault="00AC4185">
                <w:pPr>
                  <w:jc w:val="center"/>
                </w:pPr>
                <w:r>
                  <w:t>任期终止日期</w:t>
                </w:r>
              </w:p>
            </w:tc>
          </w:sdtContent>
        </w:sdt>
      </w:tr>
      <w:tr w:rsidR="00E57DAA" w14:paraId="61537744" w14:textId="77777777" w:rsidTr="00C25422">
        <w:trPr>
          <w:trHeight w:val="147"/>
        </w:trPr>
        <w:tc>
          <w:tcPr>
            <w:tcW w:w="1555" w:type="dxa"/>
            <w:vMerge w:val="restart"/>
          </w:tcPr>
          <w:p w14:paraId="2E16CC0C" w14:textId="77777777" w:rsidR="00E57DAA" w:rsidRDefault="00AC4185" w:rsidP="00C25422">
            <w:pPr>
              <w:pStyle w:val="92"/>
            </w:pPr>
            <w:r>
              <w:t>印志松</w:t>
            </w:r>
          </w:p>
        </w:tc>
        <w:tc>
          <w:tcPr>
            <w:tcW w:w="3402" w:type="dxa"/>
          </w:tcPr>
          <w:p w14:paraId="3B9EB9A8" w14:textId="77777777" w:rsidR="00E57DAA" w:rsidRDefault="00AC4185" w:rsidP="00C25422">
            <w:pPr>
              <w:pStyle w:val="92"/>
            </w:pPr>
            <w:r>
              <w:t>新疆天山股份有限公司</w:t>
            </w:r>
          </w:p>
        </w:tc>
        <w:tc>
          <w:tcPr>
            <w:tcW w:w="1559" w:type="dxa"/>
          </w:tcPr>
          <w:p w14:paraId="53453EF1" w14:textId="77777777" w:rsidR="00E57DAA" w:rsidRDefault="00AC4185" w:rsidP="00C25422">
            <w:pPr>
              <w:pStyle w:val="92"/>
            </w:pPr>
            <w:r>
              <w:t>董事</w:t>
            </w:r>
          </w:p>
        </w:tc>
        <w:tc>
          <w:tcPr>
            <w:tcW w:w="1134" w:type="dxa"/>
            <w:vAlign w:val="center"/>
          </w:tcPr>
          <w:p w14:paraId="228C8662" w14:textId="77777777" w:rsidR="00E57DAA" w:rsidRDefault="00AC4185">
            <w:pPr>
              <w:jc w:val="center"/>
            </w:pPr>
            <w:r>
              <w:t>2023-10</w:t>
            </w:r>
          </w:p>
        </w:tc>
        <w:tc>
          <w:tcPr>
            <w:tcW w:w="1173" w:type="dxa"/>
            <w:vAlign w:val="center"/>
          </w:tcPr>
          <w:p w14:paraId="040C277C" w14:textId="77777777" w:rsidR="00E57DAA" w:rsidRDefault="00E57DAA">
            <w:pPr>
              <w:jc w:val="center"/>
            </w:pPr>
          </w:p>
        </w:tc>
      </w:tr>
      <w:tr w:rsidR="00E57DAA" w14:paraId="5181B80E" w14:textId="77777777" w:rsidTr="00C25422">
        <w:trPr>
          <w:trHeight w:val="147"/>
        </w:trPr>
        <w:tc>
          <w:tcPr>
            <w:tcW w:w="1555" w:type="dxa"/>
            <w:vMerge/>
          </w:tcPr>
          <w:p w14:paraId="5A1366E2" w14:textId="77777777" w:rsidR="00E57DAA" w:rsidRDefault="00E57DAA" w:rsidP="00C25422">
            <w:pPr>
              <w:pStyle w:val="92"/>
            </w:pPr>
          </w:p>
        </w:tc>
        <w:tc>
          <w:tcPr>
            <w:tcW w:w="3402" w:type="dxa"/>
          </w:tcPr>
          <w:p w14:paraId="355EDD9E" w14:textId="77777777" w:rsidR="00E57DAA" w:rsidRDefault="00AC4185" w:rsidP="00C25422">
            <w:pPr>
              <w:pStyle w:val="92"/>
            </w:pPr>
            <w:r>
              <w:rPr>
                <w:rFonts w:hint="eastAsia"/>
              </w:rPr>
              <w:t>中材水泥有限责任公司</w:t>
            </w:r>
          </w:p>
        </w:tc>
        <w:tc>
          <w:tcPr>
            <w:tcW w:w="1559" w:type="dxa"/>
          </w:tcPr>
          <w:p w14:paraId="1368D75C" w14:textId="77777777" w:rsidR="00E57DAA" w:rsidRDefault="00AC4185" w:rsidP="00C25422">
            <w:pPr>
              <w:pStyle w:val="92"/>
            </w:pPr>
            <w:r>
              <w:rPr>
                <w:rFonts w:hint="eastAsia"/>
              </w:rPr>
              <w:t>董事长</w:t>
            </w:r>
          </w:p>
        </w:tc>
        <w:tc>
          <w:tcPr>
            <w:tcW w:w="1134" w:type="dxa"/>
            <w:vAlign w:val="center"/>
          </w:tcPr>
          <w:p w14:paraId="381A998C" w14:textId="77777777" w:rsidR="00E57DAA" w:rsidRDefault="00AC4185">
            <w:pPr>
              <w:jc w:val="center"/>
            </w:pPr>
            <w:r>
              <w:rPr>
                <w:rFonts w:hint="eastAsia"/>
              </w:rPr>
              <w:t>2023-12</w:t>
            </w:r>
          </w:p>
        </w:tc>
        <w:tc>
          <w:tcPr>
            <w:tcW w:w="1173" w:type="dxa"/>
            <w:vAlign w:val="center"/>
          </w:tcPr>
          <w:p w14:paraId="6F816161" w14:textId="77777777" w:rsidR="00E57DAA" w:rsidRDefault="00E57DAA">
            <w:pPr>
              <w:jc w:val="center"/>
            </w:pPr>
          </w:p>
        </w:tc>
      </w:tr>
      <w:tr w:rsidR="00E57DAA" w14:paraId="36DEFEF0" w14:textId="77777777" w:rsidTr="00C25422">
        <w:trPr>
          <w:trHeight w:val="147"/>
        </w:trPr>
        <w:tc>
          <w:tcPr>
            <w:tcW w:w="1555" w:type="dxa"/>
            <w:vMerge w:val="restart"/>
          </w:tcPr>
          <w:p w14:paraId="787EC7A0" w14:textId="77777777" w:rsidR="00E57DAA" w:rsidRDefault="00AC4185" w:rsidP="00C25422">
            <w:pPr>
              <w:pStyle w:val="92"/>
            </w:pPr>
            <w:r>
              <w:t>蔡军恒</w:t>
            </w:r>
          </w:p>
        </w:tc>
        <w:tc>
          <w:tcPr>
            <w:tcW w:w="3402" w:type="dxa"/>
          </w:tcPr>
          <w:p w14:paraId="32BD3D76" w14:textId="77777777" w:rsidR="00E57DAA" w:rsidRDefault="00AC4185" w:rsidP="00C25422">
            <w:pPr>
              <w:pStyle w:val="92"/>
            </w:pPr>
            <w:r>
              <w:t>甘肃祁连山建材控股有限公司</w:t>
            </w:r>
          </w:p>
        </w:tc>
        <w:tc>
          <w:tcPr>
            <w:tcW w:w="1559" w:type="dxa"/>
          </w:tcPr>
          <w:p w14:paraId="20EBA6EB" w14:textId="77777777" w:rsidR="00E57DAA" w:rsidRDefault="00AC4185" w:rsidP="00C25422">
            <w:pPr>
              <w:pStyle w:val="92"/>
            </w:pPr>
            <w:r>
              <w:t>董事</w:t>
            </w:r>
          </w:p>
        </w:tc>
        <w:tc>
          <w:tcPr>
            <w:tcW w:w="1134" w:type="dxa"/>
            <w:vAlign w:val="center"/>
          </w:tcPr>
          <w:p w14:paraId="0B6F510D" w14:textId="77777777" w:rsidR="00E57DAA" w:rsidRDefault="00AC4185">
            <w:pPr>
              <w:jc w:val="center"/>
            </w:pPr>
            <w:r>
              <w:rPr>
                <w:rFonts w:hint="eastAsia"/>
              </w:rPr>
              <w:t>2011-10</w:t>
            </w:r>
          </w:p>
        </w:tc>
        <w:tc>
          <w:tcPr>
            <w:tcW w:w="1173" w:type="dxa"/>
            <w:vAlign w:val="center"/>
          </w:tcPr>
          <w:p w14:paraId="488524BB" w14:textId="77777777" w:rsidR="00E57DAA" w:rsidRDefault="00AC4185">
            <w:pPr>
              <w:jc w:val="center"/>
            </w:pPr>
            <w:r>
              <w:rPr>
                <w:rFonts w:hint="eastAsia"/>
              </w:rPr>
              <w:t>2024-02</w:t>
            </w:r>
          </w:p>
        </w:tc>
      </w:tr>
      <w:tr w:rsidR="00E57DAA" w14:paraId="2CE1F77D" w14:textId="77777777" w:rsidTr="00C25422">
        <w:trPr>
          <w:trHeight w:val="147"/>
        </w:trPr>
        <w:tc>
          <w:tcPr>
            <w:tcW w:w="1555" w:type="dxa"/>
            <w:vMerge/>
          </w:tcPr>
          <w:p w14:paraId="23E71156" w14:textId="77777777" w:rsidR="00E57DAA" w:rsidRDefault="00E57DAA" w:rsidP="00C25422">
            <w:pPr>
              <w:pStyle w:val="92"/>
            </w:pPr>
          </w:p>
        </w:tc>
        <w:tc>
          <w:tcPr>
            <w:tcW w:w="3402" w:type="dxa"/>
          </w:tcPr>
          <w:p w14:paraId="7290C30A" w14:textId="77777777" w:rsidR="00E57DAA" w:rsidRDefault="00AC4185" w:rsidP="00C25422">
            <w:pPr>
              <w:pStyle w:val="92"/>
            </w:pPr>
            <w:r>
              <w:t>甘肃祁连山水泥集团股份有限公司</w:t>
            </w:r>
          </w:p>
        </w:tc>
        <w:tc>
          <w:tcPr>
            <w:tcW w:w="1559" w:type="dxa"/>
          </w:tcPr>
          <w:p w14:paraId="36975CAE" w14:textId="77777777" w:rsidR="00E57DAA" w:rsidRDefault="00E57DAA" w:rsidP="00C25422">
            <w:pPr>
              <w:pStyle w:val="92"/>
            </w:pPr>
          </w:p>
        </w:tc>
        <w:tc>
          <w:tcPr>
            <w:tcW w:w="1134" w:type="dxa"/>
            <w:vAlign w:val="center"/>
          </w:tcPr>
          <w:p w14:paraId="67CB5766" w14:textId="77777777" w:rsidR="00E57DAA" w:rsidRDefault="00AC4185">
            <w:pPr>
              <w:jc w:val="center"/>
            </w:pPr>
            <w:r>
              <w:t>2011-10</w:t>
            </w:r>
          </w:p>
        </w:tc>
        <w:tc>
          <w:tcPr>
            <w:tcW w:w="1173" w:type="dxa"/>
            <w:vAlign w:val="center"/>
          </w:tcPr>
          <w:p w14:paraId="7EE4DC3C" w14:textId="77777777" w:rsidR="00E57DAA" w:rsidRDefault="00AC4185">
            <w:pPr>
              <w:jc w:val="center"/>
            </w:pPr>
            <w:r>
              <w:t>2023-12</w:t>
            </w:r>
          </w:p>
        </w:tc>
      </w:tr>
      <w:tr w:rsidR="00E57DAA" w14:paraId="75DF4B3F" w14:textId="77777777" w:rsidTr="00C25422">
        <w:trPr>
          <w:trHeight w:val="147"/>
        </w:trPr>
        <w:tc>
          <w:tcPr>
            <w:tcW w:w="1555" w:type="dxa"/>
            <w:vMerge w:val="restart"/>
          </w:tcPr>
          <w:p w14:paraId="73E03C77" w14:textId="77777777" w:rsidR="00E57DAA" w:rsidRDefault="00AC4185" w:rsidP="00C25422">
            <w:pPr>
              <w:pStyle w:val="92"/>
            </w:pPr>
            <w:r>
              <w:rPr>
                <w:rFonts w:hint="eastAsia"/>
              </w:rPr>
              <w:t xml:space="preserve">王 </w:t>
            </w:r>
            <w:r>
              <w:t xml:space="preserve"> </w:t>
            </w:r>
            <w:r>
              <w:rPr>
                <w:rFonts w:hint="eastAsia"/>
              </w:rPr>
              <w:t>兵</w:t>
            </w:r>
          </w:p>
        </w:tc>
        <w:tc>
          <w:tcPr>
            <w:tcW w:w="3402" w:type="dxa"/>
          </w:tcPr>
          <w:p w14:paraId="7C7C9B0F" w14:textId="77777777" w:rsidR="00E57DAA" w:rsidRDefault="00AC4185" w:rsidP="00C25422">
            <w:pPr>
              <w:pStyle w:val="92"/>
            </w:pPr>
            <w:r>
              <w:rPr>
                <w:rFonts w:hint="eastAsia"/>
              </w:rPr>
              <w:t>中国建材国际工程股份有限公司</w:t>
            </w:r>
          </w:p>
        </w:tc>
        <w:tc>
          <w:tcPr>
            <w:tcW w:w="1559" w:type="dxa"/>
          </w:tcPr>
          <w:p w14:paraId="53559C23" w14:textId="77777777" w:rsidR="00E57DAA" w:rsidRDefault="00AC4185" w:rsidP="00C25422">
            <w:pPr>
              <w:pStyle w:val="92"/>
            </w:pPr>
            <w:r>
              <w:rPr>
                <w:rFonts w:hint="eastAsia"/>
              </w:rPr>
              <w:t>董事</w:t>
            </w:r>
          </w:p>
        </w:tc>
        <w:tc>
          <w:tcPr>
            <w:tcW w:w="1134" w:type="dxa"/>
            <w:vAlign w:val="center"/>
          </w:tcPr>
          <w:p w14:paraId="1653D724" w14:textId="77777777" w:rsidR="00E57DAA" w:rsidRDefault="00AC4185">
            <w:pPr>
              <w:jc w:val="center"/>
            </w:pPr>
            <w:r>
              <w:rPr>
                <w:rFonts w:hint="eastAsia"/>
              </w:rPr>
              <w:t>2023-10</w:t>
            </w:r>
          </w:p>
        </w:tc>
        <w:tc>
          <w:tcPr>
            <w:tcW w:w="1173" w:type="dxa"/>
            <w:vAlign w:val="center"/>
          </w:tcPr>
          <w:p w14:paraId="29712D30" w14:textId="77777777" w:rsidR="00E57DAA" w:rsidRDefault="00E57DAA">
            <w:pPr>
              <w:jc w:val="center"/>
            </w:pPr>
          </w:p>
        </w:tc>
      </w:tr>
      <w:tr w:rsidR="00E57DAA" w14:paraId="47EDCF97" w14:textId="77777777" w:rsidTr="00C25422">
        <w:trPr>
          <w:trHeight w:val="147"/>
        </w:trPr>
        <w:tc>
          <w:tcPr>
            <w:tcW w:w="1555" w:type="dxa"/>
            <w:vMerge/>
          </w:tcPr>
          <w:p w14:paraId="1256B4AA" w14:textId="77777777" w:rsidR="00E57DAA" w:rsidRDefault="00E57DAA" w:rsidP="00C25422">
            <w:pPr>
              <w:pStyle w:val="92"/>
            </w:pPr>
          </w:p>
        </w:tc>
        <w:tc>
          <w:tcPr>
            <w:tcW w:w="3402" w:type="dxa"/>
          </w:tcPr>
          <w:p w14:paraId="235D8C24" w14:textId="77777777" w:rsidR="00E57DAA" w:rsidRDefault="00AC4185" w:rsidP="00C25422">
            <w:pPr>
              <w:pStyle w:val="92"/>
            </w:pPr>
            <w:r>
              <w:t>新疆天山</w:t>
            </w:r>
            <w:r>
              <w:rPr>
                <w:rFonts w:hint="eastAsia"/>
              </w:rPr>
              <w:t>水泥</w:t>
            </w:r>
            <w:r>
              <w:t>股份有限公司</w:t>
            </w:r>
          </w:p>
        </w:tc>
        <w:tc>
          <w:tcPr>
            <w:tcW w:w="1559" w:type="dxa"/>
          </w:tcPr>
          <w:p w14:paraId="56D60543" w14:textId="77777777" w:rsidR="00E57DAA" w:rsidRDefault="00AC4185" w:rsidP="00C25422">
            <w:pPr>
              <w:pStyle w:val="92"/>
            </w:pPr>
            <w:r>
              <w:rPr>
                <w:rFonts w:hint="eastAsia"/>
              </w:rPr>
              <w:t>董事</w:t>
            </w:r>
          </w:p>
        </w:tc>
        <w:tc>
          <w:tcPr>
            <w:tcW w:w="1134" w:type="dxa"/>
            <w:vAlign w:val="center"/>
          </w:tcPr>
          <w:p w14:paraId="6B94C06A" w14:textId="77777777" w:rsidR="00E57DAA" w:rsidRDefault="00AC4185">
            <w:pPr>
              <w:jc w:val="center"/>
            </w:pPr>
            <w:r>
              <w:rPr>
                <w:rFonts w:hint="eastAsia"/>
              </w:rPr>
              <w:t>2023-09</w:t>
            </w:r>
          </w:p>
        </w:tc>
        <w:tc>
          <w:tcPr>
            <w:tcW w:w="1173" w:type="dxa"/>
            <w:vAlign w:val="center"/>
          </w:tcPr>
          <w:p w14:paraId="44A6A3FC" w14:textId="77777777" w:rsidR="00E57DAA" w:rsidRDefault="00E57DAA">
            <w:pPr>
              <w:jc w:val="center"/>
            </w:pPr>
          </w:p>
        </w:tc>
      </w:tr>
      <w:tr w:rsidR="00E57DAA" w14:paraId="64DC2C07" w14:textId="77777777" w:rsidTr="00C25422">
        <w:trPr>
          <w:trHeight w:val="147"/>
        </w:trPr>
        <w:tc>
          <w:tcPr>
            <w:tcW w:w="1555" w:type="dxa"/>
          </w:tcPr>
          <w:p w14:paraId="0941B3EB" w14:textId="77777777" w:rsidR="00E57DAA" w:rsidRDefault="00AC4185" w:rsidP="00C25422">
            <w:pPr>
              <w:pStyle w:val="92"/>
            </w:pPr>
            <w:r>
              <w:t>何小龙</w:t>
            </w:r>
          </w:p>
        </w:tc>
        <w:tc>
          <w:tcPr>
            <w:tcW w:w="3402" w:type="dxa"/>
          </w:tcPr>
          <w:p w14:paraId="389FEC9A" w14:textId="77777777" w:rsidR="00E57DAA" w:rsidRDefault="00AC4185" w:rsidP="00C25422">
            <w:pPr>
              <w:pStyle w:val="92"/>
            </w:pPr>
            <w:r>
              <w:t>新疆天山</w:t>
            </w:r>
            <w:r>
              <w:rPr>
                <w:rFonts w:hint="eastAsia"/>
              </w:rPr>
              <w:t>水泥</w:t>
            </w:r>
            <w:r>
              <w:t>股份有限公司</w:t>
            </w:r>
          </w:p>
        </w:tc>
        <w:tc>
          <w:tcPr>
            <w:tcW w:w="1559" w:type="dxa"/>
          </w:tcPr>
          <w:p w14:paraId="6A44AC8E" w14:textId="77777777" w:rsidR="00E57DAA" w:rsidRDefault="00AC4185" w:rsidP="00C25422">
            <w:pPr>
              <w:pStyle w:val="92"/>
            </w:pPr>
            <w:r>
              <w:t>副总裁</w:t>
            </w:r>
          </w:p>
        </w:tc>
        <w:tc>
          <w:tcPr>
            <w:tcW w:w="1134" w:type="dxa"/>
            <w:vAlign w:val="center"/>
          </w:tcPr>
          <w:p w14:paraId="679CB0E7" w14:textId="77777777" w:rsidR="00E57DAA" w:rsidRDefault="00AC4185">
            <w:pPr>
              <w:jc w:val="center"/>
            </w:pPr>
            <w:r>
              <w:t>2023-08</w:t>
            </w:r>
          </w:p>
        </w:tc>
        <w:tc>
          <w:tcPr>
            <w:tcW w:w="1173" w:type="dxa"/>
            <w:vAlign w:val="center"/>
          </w:tcPr>
          <w:p w14:paraId="013B8EA6" w14:textId="77777777" w:rsidR="00E57DAA" w:rsidRDefault="00E57DAA">
            <w:pPr>
              <w:jc w:val="center"/>
            </w:pPr>
          </w:p>
        </w:tc>
      </w:tr>
      <w:tr w:rsidR="00E57DAA" w14:paraId="489390C6" w14:textId="77777777" w:rsidTr="00C25422">
        <w:trPr>
          <w:trHeight w:val="147"/>
        </w:trPr>
        <w:tc>
          <w:tcPr>
            <w:tcW w:w="1555" w:type="dxa"/>
            <w:vMerge w:val="restart"/>
          </w:tcPr>
          <w:p w14:paraId="6D91EB72" w14:textId="77777777" w:rsidR="00E57DAA" w:rsidRDefault="00AC4185" w:rsidP="00C25422">
            <w:pPr>
              <w:pStyle w:val="92"/>
            </w:pPr>
            <w:r>
              <w:t>刘  燕</w:t>
            </w:r>
          </w:p>
          <w:p w14:paraId="12027718" w14:textId="77777777" w:rsidR="00E57DAA" w:rsidRDefault="00AC4185" w:rsidP="00C25422">
            <w:pPr>
              <w:pStyle w:val="92"/>
            </w:pPr>
            <w:r>
              <w:t> </w:t>
            </w:r>
          </w:p>
          <w:p w14:paraId="039F7ECE" w14:textId="77777777" w:rsidR="00E57DAA" w:rsidRDefault="00AC4185" w:rsidP="00C25422">
            <w:pPr>
              <w:pStyle w:val="92"/>
            </w:pPr>
            <w:r>
              <w:t> </w:t>
            </w:r>
          </w:p>
        </w:tc>
        <w:tc>
          <w:tcPr>
            <w:tcW w:w="3402" w:type="dxa"/>
          </w:tcPr>
          <w:p w14:paraId="18D06953" w14:textId="77777777" w:rsidR="00E57DAA" w:rsidRDefault="00AC4185" w:rsidP="00C25422">
            <w:pPr>
              <w:pStyle w:val="92"/>
            </w:pPr>
            <w:r>
              <w:t>新疆天山水泥股份有限公司</w:t>
            </w:r>
          </w:p>
        </w:tc>
        <w:tc>
          <w:tcPr>
            <w:tcW w:w="1559" w:type="dxa"/>
          </w:tcPr>
          <w:p w14:paraId="0E654961" w14:textId="77777777" w:rsidR="00E57DAA" w:rsidRDefault="00AC4185" w:rsidP="00C25422">
            <w:pPr>
              <w:pStyle w:val="92"/>
            </w:pPr>
            <w:r>
              <w:t>董事长</w:t>
            </w:r>
          </w:p>
        </w:tc>
        <w:tc>
          <w:tcPr>
            <w:tcW w:w="1134" w:type="dxa"/>
            <w:vAlign w:val="center"/>
          </w:tcPr>
          <w:p w14:paraId="5EBCD8DE" w14:textId="77777777" w:rsidR="00E57DAA" w:rsidRDefault="00AC4185">
            <w:pPr>
              <w:jc w:val="center"/>
            </w:pPr>
            <w:r>
              <w:t>2022-11</w:t>
            </w:r>
          </w:p>
        </w:tc>
        <w:tc>
          <w:tcPr>
            <w:tcW w:w="1173" w:type="dxa"/>
            <w:vAlign w:val="center"/>
          </w:tcPr>
          <w:p w14:paraId="0DD89332" w14:textId="77777777" w:rsidR="00E57DAA" w:rsidRDefault="00E57DAA">
            <w:pPr>
              <w:jc w:val="center"/>
            </w:pPr>
          </w:p>
        </w:tc>
      </w:tr>
      <w:tr w:rsidR="00E57DAA" w14:paraId="2FF3600B" w14:textId="77777777" w:rsidTr="00C25422">
        <w:trPr>
          <w:trHeight w:val="147"/>
        </w:trPr>
        <w:tc>
          <w:tcPr>
            <w:tcW w:w="1555" w:type="dxa"/>
            <w:vMerge/>
          </w:tcPr>
          <w:p w14:paraId="6025CAD4" w14:textId="77777777" w:rsidR="00E57DAA" w:rsidRDefault="00E57DAA" w:rsidP="00C25422">
            <w:pPr>
              <w:pStyle w:val="92"/>
            </w:pPr>
          </w:p>
        </w:tc>
        <w:tc>
          <w:tcPr>
            <w:tcW w:w="3402" w:type="dxa"/>
          </w:tcPr>
          <w:p w14:paraId="24E30B1F" w14:textId="77777777" w:rsidR="00E57DAA" w:rsidRDefault="00AC4185" w:rsidP="00C25422">
            <w:pPr>
              <w:pStyle w:val="92"/>
            </w:pPr>
            <w:r>
              <w:t>中国巨石股份有限公司</w:t>
            </w:r>
          </w:p>
        </w:tc>
        <w:tc>
          <w:tcPr>
            <w:tcW w:w="1559" w:type="dxa"/>
          </w:tcPr>
          <w:p w14:paraId="352E7184" w14:textId="77777777" w:rsidR="00E57DAA" w:rsidRDefault="00AC4185" w:rsidP="00C25422">
            <w:pPr>
              <w:pStyle w:val="92"/>
            </w:pPr>
            <w:r>
              <w:t>董事</w:t>
            </w:r>
          </w:p>
        </w:tc>
        <w:tc>
          <w:tcPr>
            <w:tcW w:w="1134" w:type="dxa"/>
            <w:vAlign w:val="center"/>
          </w:tcPr>
          <w:p w14:paraId="51C592D8" w14:textId="77777777" w:rsidR="00E57DAA" w:rsidRDefault="00AC4185">
            <w:pPr>
              <w:jc w:val="center"/>
            </w:pPr>
            <w:r>
              <w:t>2022-09</w:t>
            </w:r>
          </w:p>
        </w:tc>
        <w:tc>
          <w:tcPr>
            <w:tcW w:w="1173" w:type="dxa"/>
            <w:vAlign w:val="center"/>
          </w:tcPr>
          <w:p w14:paraId="239F43A9" w14:textId="77777777" w:rsidR="00E57DAA" w:rsidRDefault="00E57DAA">
            <w:pPr>
              <w:jc w:val="center"/>
            </w:pPr>
          </w:p>
        </w:tc>
      </w:tr>
      <w:tr w:rsidR="00E57DAA" w14:paraId="01112782" w14:textId="77777777" w:rsidTr="00C25422">
        <w:trPr>
          <w:trHeight w:val="147"/>
        </w:trPr>
        <w:tc>
          <w:tcPr>
            <w:tcW w:w="1555" w:type="dxa"/>
            <w:vMerge/>
          </w:tcPr>
          <w:p w14:paraId="26B861EF" w14:textId="77777777" w:rsidR="00E57DAA" w:rsidRDefault="00E57DAA" w:rsidP="00C25422">
            <w:pPr>
              <w:pStyle w:val="92"/>
            </w:pPr>
          </w:p>
        </w:tc>
        <w:tc>
          <w:tcPr>
            <w:tcW w:w="3402" w:type="dxa"/>
          </w:tcPr>
          <w:p w14:paraId="0A91E2CC" w14:textId="77777777" w:rsidR="00E57DAA" w:rsidRDefault="00AC4185" w:rsidP="00C25422">
            <w:pPr>
              <w:pStyle w:val="92"/>
            </w:pPr>
            <w:r>
              <w:t>甘肃祁连山水泥集团股份有限公司</w:t>
            </w:r>
          </w:p>
        </w:tc>
        <w:tc>
          <w:tcPr>
            <w:tcW w:w="1559" w:type="dxa"/>
          </w:tcPr>
          <w:p w14:paraId="19B65ED7" w14:textId="77777777" w:rsidR="00E57DAA" w:rsidRDefault="00AC4185" w:rsidP="00C25422">
            <w:pPr>
              <w:pStyle w:val="92"/>
            </w:pPr>
            <w:r>
              <w:t>董事</w:t>
            </w:r>
          </w:p>
        </w:tc>
        <w:tc>
          <w:tcPr>
            <w:tcW w:w="1134" w:type="dxa"/>
            <w:vAlign w:val="center"/>
          </w:tcPr>
          <w:p w14:paraId="04611076" w14:textId="77777777" w:rsidR="00E57DAA" w:rsidRDefault="00AC4185">
            <w:pPr>
              <w:jc w:val="center"/>
            </w:pPr>
            <w:r>
              <w:t>2022-</w:t>
            </w:r>
            <w:r>
              <w:rPr>
                <w:rFonts w:hint="eastAsia"/>
              </w:rPr>
              <w:t>11</w:t>
            </w:r>
          </w:p>
        </w:tc>
        <w:tc>
          <w:tcPr>
            <w:tcW w:w="1173" w:type="dxa"/>
            <w:vAlign w:val="center"/>
          </w:tcPr>
          <w:p w14:paraId="1AC134BE" w14:textId="77777777" w:rsidR="00E57DAA" w:rsidRDefault="00AC4185">
            <w:pPr>
              <w:jc w:val="center"/>
            </w:pPr>
            <w:r>
              <w:t>2023-12</w:t>
            </w:r>
          </w:p>
        </w:tc>
      </w:tr>
      <w:tr w:rsidR="00E57DAA" w14:paraId="41AD603C" w14:textId="77777777" w:rsidTr="00C25422">
        <w:trPr>
          <w:trHeight w:val="147"/>
        </w:trPr>
        <w:tc>
          <w:tcPr>
            <w:tcW w:w="1555" w:type="dxa"/>
            <w:vMerge/>
          </w:tcPr>
          <w:p w14:paraId="0A254879" w14:textId="77777777" w:rsidR="00E57DAA" w:rsidRDefault="00E57DAA" w:rsidP="00C25422">
            <w:pPr>
              <w:pStyle w:val="92"/>
            </w:pPr>
          </w:p>
        </w:tc>
        <w:tc>
          <w:tcPr>
            <w:tcW w:w="3402" w:type="dxa"/>
          </w:tcPr>
          <w:p w14:paraId="5359FDCF" w14:textId="77777777" w:rsidR="00E57DAA" w:rsidRDefault="00AC4185" w:rsidP="00C25422">
            <w:pPr>
              <w:pStyle w:val="92"/>
            </w:pPr>
            <w:r>
              <w:t>甘肃祁连山建材控股有限公司</w:t>
            </w:r>
          </w:p>
        </w:tc>
        <w:tc>
          <w:tcPr>
            <w:tcW w:w="1559" w:type="dxa"/>
          </w:tcPr>
          <w:p w14:paraId="3E6AC7DA" w14:textId="77777777" w:rsidR="00E57DAA" w:rsidRDefault="00AC4185" w:rsidP="00C25422">
            <w:pPr>
              <w:pStyle w:val="92"/>
            </w:pPr>
            <w:r>
              <w:rPr>
                <w:rFonts w:hint="eastAsia"/>
              </w:rPr>
              <w:t>董事</w:t>
            </w:r>
          </w:p>
        </w:tc>
        <w:tc>
          <w:tcPr>
            <w:tcW w:w="1134" w:type="dxa"/>
            <w:vAlign w:val="center"/>
          </w:tcPr>
          <w:p w14:paraId="2181C9AB" w14:textId="77777777" w:rsidR="00E57DAA" w:rsidRDefault="00AC4185">
            <w:pPr>
              <w:jc w:val="center"/>
            </w:pPr>
            <w:r>
              <w:t>202</w:t>
            </w:r>
            <w:r>
              <w:rPr>
                <w:rFonts w:hint="eastAsia"/>
              </w:rPr>
              <w:t>3-06</w:t>
            </w:r>
          </w:p>
        </w:tc>
        <w:tc>
          <w:tcPr>
            <w:tcW w:w="1173" w:type="dxa"/>
            <w:vAlign w:val="center"/>
          </w:tcPr>
          <w:p w14:paraId="0B2265F0" w14:textId="77777777" w:rsidR="00E57DAA" w:rsidRDefault="00E57DAA">
            <w:pPr>
              <w:jc w:val="center"/>
            </w:pPr>
          </w:p>
        </w:tc>
      </w:tr>
      <w:tr w:rsidR="00E57DAA" w14:paraId="5B7EE545" w14:textId="77777777" w:rsidTr="00C25422">
        <w:trPr>
          <w:trHeight w:val="147"/>
        </w:trPr>
        <w:tc>
          <w:tcPr>
            <w:tcW w:w="1555" w:type="dxa"/>
            <w:vMerge/>
          </w:tcPr>
          <w:p w14:paraId="3351B28B" w14:textId="77777777" w:rsidR="00E57DAA" w:rsidRDefault="00E57DAA" w:rsidP="00C25422">
            <w:pPr>
              <w:pStyle w:val="92"/>
            </w:pPr>
          </w:p>
        </w:tc>
        <w:tc>
          <w:tcPr>
            <w:tcW w:w="3402" w:type="dxa"/>
          </w:tcPr>
          <w:p w14:paraId="603B42AE" w14:textId="77777777" w:rsidR="00E57DAA" w:rsidRDefault="00AC4185" w:rsidP="00C25422">
            <w:pPr>
              <w:pStyle w:val="92"/>
            </w:pPr>
            <w:r>
              <w:rPr>
                <w:rFonts w:hint="eastAsia"/>
              </w:rPr>
              <w:t>中国海螺创业控股有限公司</w:t>
            </w:r>
          </w:p>
        </w:tc>
        <w:tc>
          <w:tcPr>
            <w:tcW w:w="1559" w:type="dxa"/>
          </w:tcPr>
          <w:p w14:paraId="5C79F24A" w14:textId="77777777" w:rsidR="00E57DAA" w:rsidRDefault="00AC4185" w:rsidP="00C25422">
            <w:pPr>
              <w:pStyle w:val="92"/>
            </w:pPr>
            <w:r>
              <w:rPr>
                <w:rFonts w:hint="eastAsia"/>
              </w:rPr>
              <w:t>非执行董事</w:t>
            </w:r>
          </w:p>
        </w:tc>
        <w:tc>
          <w:tcPr>
            <w:tcW w:w="1134" w:type="dxa"/>
            <w:vAlign w:val="center"/>
          </w:tcPr>
          <w:p w14:paraId="4D50DBFF" w14:textId="77777777" w:rsidR="00E57DAA" w:rsidRDefault="00AC4185">
            <w:pPr>
              <w:jc w:val="center"/>
            </w:pPr>
            <w:r>
              <w:rPr>
                <w:rFonts w:hint="eastAsia"/>
              </w:rPr>
              <w:t>2023-04</w:t>
            </w:r>
          </w:p>
        </w:tc>
        <w:tc>
          <w:tcPr>
            <w:tcW w:w="1173" w:type="dxa"/>
            <w:vAlign w:val="center"/>
          </w:tcPr>
          <w:p w14:paraId="32149AAE" w14:textId="77777777" w:rsidR="00E57DAA" w:rsidRDefault="00E57DAA">
            <w:pPr>
              <w:jc w:val="center"/>
            </w:pPr>
          </w:p>
        </w:tc>
      </w:tr>
      <w:tr w:rsidR="00E57DAA" w14:paraId="141341A3" w14:textId="77777777" w:rsidTr="00C25422">
        <w:trPr>
          <w:trHeight w:val="147"/>
        </w:trPr>
        <w:tc>
          <w:tcPr>
            <w:tcW w:w="1555" w:type="dxa"/>
            <w:vMerge w:val="restart"/>
          </w:tcPr>
          <w:p w14:paraId="2E2E5CA9" w14:textId="77777777" w:rsidR="00E57DAA" w:rsidRDefault="00AC4185" w:rsidP="00C25422">
            <w:pPr>
              <w:pStyle w:val="92"/>
            </w:pPr>
            <w:r>
              <w:t>余明清</w:t>
            </w:r>
          </w:p>
          <w:p w14:paraId="43A59C02" w14:textId="77777777" w:rsidR="00E57DAA" w:rsidRDefault="00AC4185" w:rsidP="00C25422">
            <w:pPr>
              <w:pStyle w:val="92"/>
            </w:pPr>
            <w:r>
              <w:t> </w:t>
            </w:r>
          </w:p>
          <w:p w14:paraId="435EBFAF" w14:textId="77777777" w:rsidR="00E57DAA" w:rsidRDefault="00AC4185" w:rsidP="00C25422">
            <w:pPr>
              <w:pStyle w:val="92"/>
            </w:pPr>
            <w:r>
              <w:t> </w:t>
            </w:r>
          </w:p>
          <w:p w14:paraId="24EC76F1" w14:textId="77777777" w:rsidR="00E57DAA" w:rsidRDefault="00AC4185" w:rsidP="00C25422">
            <w:pPr>
              <w:pStyle w:val="92"/>
            </w:pPr>
            <w:r>
              <w:t> </w:t>
            </w:r>
          </w:p>
        </w:tc>
        <w:tc>
          <w:tcPr>
            <w:tcW w:w="3402" w:type="dxa"/>
          </w:tcPr>
          <w:p w14:paraId="1E9BB147" w14:textId="77777777" w:rsidR="00E57DAA" w:rsidRDefault="00AC4185" w:rsidP="00C25422">
            <w:pPr>
              <w:pStyle w:val="92"/>
            </w:pPr>
            <w:r>
              <w:t>中材高新材料股份有限公司</w:t>
            </w:r>
          </w:p>
        </w:tc>
        <w:tc>
          <w:tcPr>
            <w:tcW w:w="1559" w:type="dxa"/>
          </w:tcPr>
          <w:p w14:paraId="55ECAD56" w14:textId="77777777" w:rsidR="00E57DAA" w:rsidRDefault="00AC4185" w:rsidP="00C25422">
            <w:pPr>
              <w:pStyle w:val="92"/>
            </w:pPr>
            <w:r>
              <w:t>董事</w:t>
            </w:r>
          </w:p>
        </w:tc>
        <w:tc>
          <w:tcPr>
            <w:tcW w:w="1134" w:type="dxa"/>
            <w:vAlign w:val="center"/>
          </w:tcPr>
          <w:p w14:paraId="73C28D16" w14:textId="77777777" w:rsidR="00E57DAA" w:rsidRDefault="00AC4185">
            <w:pPr>
              <w:jc w:val="center"/>
            </w:pPr>
            <w:r>
              <w:t>2020-07</w:t>
            </w:r>
          </w:p>
        </w:tc>
        <w:tc>
          <w:tcPr>
            <w:tcW w:w="1173" w:type="dxa"/>
            <w:vAlign w:val="center"/>
          </w:tcPr>
          <w:p w14:paraId="09AB84D3" w14:textId="77777777" w:rsidR="00E57DAA" w:rsidRDefault="00E57DAA">
            <w:pPr>
              <w:jc w:val="center"/>
            </w:pPr>
          </w:p>
        </w:tc>
      </w:tr>
      <w:tr w:rsidR="00E57DAA" w14:paraId="2CF7A834" w14:textId="77777777" w:rsidTr="00C25422">
        <w:trPr>
          <w:trHeight w:val="147"/>
        </w:trPr>
        <w:tc>
          <w:tcPr>
            <w:tcW w:w="1555" w:type="dxa"/>
            <w:vMerge/>
          </w:tcPr>
          <w:p w14:paraId="41C9B96B" w14:textId="77777777" w:rsidR="00E57DAA" w:rsidRDefault="00E57DAA" w:rsidP="00C25422">
            <w:pPr>
              <w:pStyle w:val="92"/>
            </w:pPr>
          </w:p>
        </w:tc>
        <w:tc>
          <w:tcPr>
            <w:tcW w:w="3402" w:type="dxa"/>
          </w:tcPr>
          <w:p w14:paraId="72DB2857" w14:textId="77777777" w:rsidR="00E57DAA" w:rsidRDefault="00AC4185" w:rsidP="00C25422">
            <w:pPr>
              <w:pStyle w:val="92"/>
            </w:pPr>
            <w:r>
              <w:t>宁夏建材集团股份有限公司</w:t>
            </w:r>
          </w:p>
        </w:tc>
        <w:tc>
          <w:tcPr>
            <w:tcW w:w="1559" w:type="dxa"/>
          </w:tcPr>
          <w:p w14:paraId="5CA79614" w14:textId="77777777" w:rsidR="00E57DAA" w:rsidRDefault="00AC4185" w:rsidP="00C25422">
            <w:pPr>
              <w:pStyle w:val="92"/>
            </w:pPr>
            <w:r>
              <w:t>董事</w:t>
            </w:r>
          </w:p>
        </w:tc>
        <w:tc>
          <w:tcPr>
            <w:tcW w:w="1134" w:type="dxa"/>
            <w:vAlign w:val="center"/>
          </w:tcPr>
          <w:p w14:paraId="24355C80" w14:textId="77777777" w:rsidR="00E57DAA" w:rsidRDefault="00AC4185">
            <w:pPr>
              <w:jc w:val="center"/>
            </w:pPr>
            <w:r>
              <w:t>2021-05</w:t>
            </w:r>
          </w:p>
        </w:tc>
        <w:tc>
          <w:tcPr>
            <w:tcW w:w="1173" w:type="dxa"/>
            <w:vAlign w:val="center"/>
          </w:tcPr>
          <w:p w14:paraId="2E2A6F2C" w14:textId="77777777" w:rsidR="00E57DAA" w:rsidRDefault="00E57DAA">
            <w:pPr>
              <w:jc w:val="center"/>
            </w:pPr>
          </w:p>
        </w:tc>
      </w:tr>
      <w:tr w:rsidR="00E57DAA" w14:paraId="7928A992" w14:textId="77777777" w:rsidTr="00C25422">
        <w:trPr>
          <w:trHeight w:val="147"/>
        </w:trPr>
        <w:tc>
          <w:tcPr>
            <w:tcW w:w="1555" w:type="dxa"/>
            <w:vMerge/>
          </w:tcPr>
          <w:p w14:paraId="33FC95BA" w14:textId="77777777" w:rsidR="00E57DAA" w:rsidRDefault="00E57DAA" w:rsidP="00C25422">
            <w:pPr>
              <w:pStyle w:val="92"/>
            </w:pPr>
          </w:p>
        </w:tc>
        <w:tc>
          <w:tcPr>
            <w:tcW w:w="3402" w:type="dxa"/>
          </w:tcPr>
          <w:p w14:paraId="7C08DB4E" w14:textId="77777777" w:rsidR="00E57DAA" w:rsidRDefault="00AC4185" w:rsidP="00C25422">
            <w:pPr>
              <w:pStyle w:val="92"/>
            </w:pPr>
            <w:r>
              <w:t>中建材玻璃新材料研究院集团有限公司</w:t>
            </w:r>
          </w:p>
        </w:tc>
        <w:tc>
          <w:tcPr>
            <w:tcW w:w="1559" w:type="dxa"/>
          </w:tcPr>
          <w:p w14:paraId="7AD23E43" w14:textId="77777777" w:rsidR="00E57DAA" w:rsidRDefault="00AC4185" w:rsidP="00C25422">
            <w:pPr>
              <w:pStyle w:val="92"/>
            </w:pPr>
            <w:r>
              <w:t>董事</w:t>
            </w:r>
          </w:p>
        </w:tc>
        <w:tc>
          <w:tcPr>
            <w:tcW w:w="1134" w:type="dxa"/>
            <w:vAlign w:val="center"/>
          </w:tcPr>
          <w:p w14:paraId="6EAB8527" w14:textId="77777777" w:rsidR="00E57DAA" w:rsidRDefault="00AC4185">
            <w:pPr>
              <w:jc w:val="center"/>
            </w:pPr>
            <w:r>
              <w:t>2021-11</w:t>
            </w:r>
          </w:p>
        </w:tc>
        <w:tc>
          <w:tcPr>
            <w:tcW w:w="1173" w:type="dxa"/>
            <w:vAlign w:val="center"/>
          </w:tcPr>
          <w:p w14:paraId="452009E7" w14:textId="77777777" w:rsidR="00E57DAA" w:rsidRDefault="00E57DAA">
            <w:pPr>
              <w:jc w:val="center"/>
            </w:pPr>
          </w:p>
        </w:tc>
      </w:tr>
      <w:tr w:rsidR="00E57DAA" w14:paraId="3B769E63" w14:textId="77777777" w:rsidTr="00C25422">
        <w:trPr>
          <w:trHeight w:val="147"/>
        </w:trPr>
        <w:tc>
          <w:tcPr>
            <w:tcW w:w="1555" w:type="dxa"/>
            <w:vMerge/>
          </w:tcPr>
          <w:p w14:paraId="27FE5142" w14:textId="77777777" w:rsidR="00E57DAA" w:rsidRDefault="00E57DAA" w:rsidP="00C25422">
            <w:pPr>
              <w:pStyle w:val="92"/>
            </w:pPr>
          </w:p>
        </w:tc>
        <w:tc>
          <w:tcPr>
            <w:tcW w:w="3402" w:type="dxa"/>
          </w:tcPr>
          <w:p w14:paraId="62801755" w14:textId="77777777" w:rsidR="00E57DAA" w:rsidRDefault="00AC4185" w:rsidP="00C25422">
            <w:pPr>
              <w:pStyle w:val="92"/>
            </w:pPr>
            <w:r>
              <w:t>中材科技股份有限公司</w:t>
            </w:r>
          </w:p>
        </w:tc>
        <w:tc>
          <w:tcPr>
            <w:tcW w:w="1559" w:type="dxa"/>
          </w:tcPr>
          <w:p w14:paraId="670C0738" w14:textId="77777777" w:rsidR="00E57DAA" w:rsidRDefault="00AC4185" w:rsidP="00C25422">
            <w:pPr>
              <w:pStyle w:val="92"/>
            </w:pPr>
            <w:r>
              <w:t>董事</w:t>
            </w:r>
          </w:p>
        </w:tc>
        <w:tc>
          <w:tcPr>
            <w:tcW w:w="1134" w:type="dxa"/>
            <w:vAlign w:val="center"/>
          </w:tcPr>
          <w:p w14:paraId="537DEC66" w14:textId="77777777" w:rsidR="00E57DAA" w:rsidRDefault="00AC4185">
            <w:pPr>
              <w:jc w:val="center"/>
            </w:pPr>
            <w:r>
              <w:t>2021-06</w:t>
            </w:r>
          </w:p>
        </w:tc>
        <w:tc>
          <w:tcPr>
            <w:tcW w:w="1173" w:type="dxa"/>
            <w:vAlign w:val="center"/>
          </w:tcPr>
          <w:p w14:paraId="20E2E4F7" w14:textId="77777777" w:rsidR="00E57DAA" w:rsidRDefault="00E57DAA">
            <w:pPr>
              <w:jc w:val="center"/>
            </w:pPr>
          </w:p>
        </w:tc>
      </w:tr>
      <w:tr w:rsidR="00E57DAA" w14:paraId="1A5D2981" w14:textId="77777777" w:rsidTr="00C25422">
        <w:trPr>
          <w:trHeight w:val="147"/>
        </w:trPr>
        <w:tc>
          <w:tcPr>
            <w:tcW w:w="1555" w:type="dxa"/>
            <w:vMerge w:val="restart"/>
          </w:tcPr>
          <w:p w14:paraId="50A720D1" w14:textId="77777777" w:rsidR="00E57DAA" w:rsidRDefault="00AC4185" w:rsidP="00C25422">
            <w:pPr>
              <w:pStyle w:val="92"/>
            </w:pPr>
            <w:r>
              <w:t>于月华</w:t>
            </w:r>
          </w:p>
          <w:p w14:paraId="36A2DE7F" w14:textId="77777777" w:rsidR="00E57DAA" w:rsidRDefault="00AC4185" w:rsidP="00C25422">
            <w:pPr>
              <w:pStyle w:val="92"/>
            </w:pPr>
            <w:r>
              <w:t> </w:t>
            </w:r>
          </w:p>
          <w:p w14:paraId="213E8F8C" w14:textId="77777777" w:rsidR="00E57DAA" w:rsidRDefault="00AC4185" w:rsidP="00C25422">
            <w:pPr>
              <w:pStyle w:val="92"/>
            </w:pPr>
            <w:r>
              <w:t> </w:t>
            </w:r>
          </w:p>
          <w:p w14:paraId="7815A66D" w14:textId="77777777" w:rsidR="00E57DAA" w:rsidRDefault="00AC4185" w:rsidP="00C25422">
            <w:pPr>
              <w:pStyle w:val="92"/>
            </w:pPr>
            <w:r>
              <w:t> </w:t>
            </w:r>
          </w:p>
        </w:tc>
        <w:tc>
          <w:tcPr>
            <w:tcW w:w="3402" w:type="dxa"/>
          </w:tcPr>
          <w:p w14:paraId="719EA91E" w14:textId="77777777" w:rsidR="00E57DAA" w:rsidRDefault="00AC4185" w:rsidP="00C25422">
            <w:pPr>
              <w:pStyle w:val="92"/>
            </w:pPr>
            <w:r>
              <w:t>甘肃祁连山建材控股有限公司</w:t>
            </w:r>
          </w:p>
        </w:tc>
        <w:tc>
          <w:tcPr>
            <w:tcW w:w="1559" w:type="dxa"/>
          </w:tcPr>
          <w:p w14:paraId="6ECAD81C" w14:textId="77777777" w:rsidR="00E57DAA" w:rsidRDefault="00AC4185" w:rsidP="00C25422">
            <w:pPr>
              <w:pStyle w:val="92"/>
            </w:pPr>
            <w:r>
              <w:t>监事</w:t>
            </w:r>
          </w:p>
        </w:tc>
        <w:tc>
          <w:tcPr>
            <w:tcW w:w="1134" w:type="dxa"/>
            <w:vAlign w:val="center"/>
          </w:tcPr>
          <w:p w14:paraId="76D19FE2" w14:textId="77777777" w:rsidR="00E57DAA" w:rsidRDefault="00AC4185">
            <w:pPr>
              <w:jc w:val="center"/>
            </w:pPr>
            <w:r>
              <w:rPr>
                <w:rFonts w:hint="eastAsia"/>
              </w:rPr>
              <w:t>2023-06</w:t>
            </w:r>
          </w:p>
        </w:tc>
        <w:tc>
          <w:tcPr>
            <w:tcW w:w="1173" w:type="dxa"/>
            <w:vAlign w:val="center"/>
          </w:tcPr>
          <w:p w14:paraId="62EF88BA" w14:textId="77777777" w:rsidR="00E57DAA" w:rsidRDefault="00E57DAA">
            <w:pPr>
              <w:jc w:val="center"/>
            </w:pPr>
          </w:p>
        </w:tc>
      </w:tr>
      <w:tr w:rsidR="00E57DAA" w14:paraId="1CD5685C" w14:textId="77777777" w:rsidTr="00C25422">
        <w:trPr>
          <w:trHeight w:val="147"/>
        </w:trPr>
        <w:tc>
          <w:tcPr>
            <w:tcW w:w="1555" w:type="dxa"/>
            <w:vMerge/>
          </w:tcPr>
          <w:p w14:paraId="030DFCDA" w14:textId="77777777" w:rsidR="00E57DAA" w:rsidRDefault="00E57DAA" w:rsidP="00C25422">
            <w:pPr>
              <w:pStyle w:val="92"/>
            </w:pPr>
          </w:p>
        </w:tc>
        <w:tc>
          <w:tcPr>
            <w:tcW w:w="3402" w:type="dxa"/>
          </w:tcPr>
          <w:p w14:paraId="4AA9F982" w14:textId="77777777" w:rsidR="00E57DAA" w:rsidRDefault="00AC4185" w:rsidP="00C25422">
            <w:pPr>
              <w:pStyle w:val="92"/>
            </w:pPr>
            <w:r>
              <w:t>甘肃祁连山水泥集团股份有限公司</w:t>
            </w:r>
          </w:p>
        </w:tc>
        <w:tc>
          <w:tcPr>
            <w:tcW w:w="1559" w:type="dxa"/>
          </w:tcPr>
          <w:p w14:paraId="75D5C08D" w14:textId="77777777" w:rsidR="00E57DAA" w:rsidRDefault="00AC4185" w:rsidP="00C25422">
            <w:pPr>
              <w:pStyle w:val="92"/>
            </w:pPr>
            <w:r>
              <w:t>监事会主席</w:t>
            </w:r>
          </w:p>
        </w:tc>
        <w:tc>
          <w:tcPr>
            <w:tcW w:w="1134" w:type="dxa"/>
            <w:vAlign w:val="center"/>
          </w:tcPr>
          <w:p w14:paraId="2448C747" w14:textId="77777777" w:rsidR="00E57DAA" w:rsidRDefault="00AC4185">
            <w:pPr>
              <w:jc w:val="center"/>
            </w:pPr>
            <w:r>
              <w:t>2021-02</w:t>
            </w:r>
          </w:p>
        </w:tc>
        <w:tc>
          <w:tcPr>
            <w:tcW w:w="1173" w:type="dxa"/>
            <w:vAlign w:val="center"/>
          </w:tcPr>
          <w:p w14:paraId="1711B18F" w14:textId="77777777" w:rsidR="00E57DAA" w:rsidRDefault="00AC4185">
            <w:pPr>
              <w:jc w:val="center"/>
            </w:pPr>
            <w:r>
              <w:t>2024-01</w:t>
            </w:r>
          </w:p>
        </w:tc>
      </w:tr>
      <w:tr w:rsidR="00E57DAA" w14:paraId="2F739461" w14:textId="77777777" w:rsidTr="00C25422">
        <w:trPr>
          <w:trHeight w:val="147"/>
        </w:trPr>
        <w:tc>
          <w:tcPr>
            <w:tcW w:w="1555" w:type="dxa"/>
            <w:vMerge/>
          </w:tcPr>
          <w:p w14:paraId="421147BF" w14:textId="77777777" w:rsidR="00E57DAA" w:rsidRDefault="00E57DAA" w:rsidP="00C25422">
            <w:pPr>
              <w:pStyle w:val="92"/>
            </w:pPr>
          </w:p>
        </w:tc>
        <w:tc>
          <w:tcPr>
            <w:tcW w:w="3402" w:type="dxa"/>
          </w:tcPr>
          <w:p w14:paraId="2BFA3850" w14:textId="77777777" w:rsidR="00E57DAA" w:rsidRDefault="00AC4185" w:rsidP="00C25422">
            <w:pPr>
              <w:pStyle w:val="92"/>
            </w:pPr>
            <w:r>
              <w:t>北新集团建材股份有限公司</w:t>
            </w:r>
          </w:p>
        </w:tc>
        <w:tc>
          <w:tcPr>
            <w:tcW w:w="1559" w:type="dxa"/>
          </w:tcPr>
          <w:p w14:paraId="394F2B4E" w14:textId="77777777" w:rsidR="00E57DAA" w:rsidRDefault="00AC4185" w:rsidP="00C25422">
            <w:pPr>
              <w:pStyle w:val="92"/>
            </w:pPr>
            <w:r>
              <w:t>监事会主席</w:t>
            </w:r>
          </w:p>
        </w:tc>
        <w:tc>
          <w:tcPr>
            <w:tcW w:w="1134" w:type="dxa"/>
            <w:vAlign w:val="center"/>
          </w:tcPr>
          <w:p w14:paraId="2D3D2BCD" w14:textId="77777777" w:rsidR="00E57DAA" w:rsidRDefault="00AC4185">
            <w:pPr>
              <w:jc w:val="center"/>
            </w:pPr>
            <w:r>
              <w:t>2023-05</w:t>
            </w:r>
          </w:p>
        </w:tc>
        <w:tc>
          <w:tcPr>
            <w:tcW w:w="1173" w:type="dxa"/>
            <w:vAlign w:val="center"/>
          </w:tcPr>
          <w:p w14:paraId="1EC6107F" w14:textId="77777777" w:rsidR="00E57DAA" w:rsidRDefault="00E57DAA">
            <w:pPr>
              <w:jc w:val="center"/>
            </w:pPr>
          </w:p>
        </w:tc>
      </w:tr>
      <w:tr w:rsidR="00E57DAA" w14:paraId="163B1721" w14:textId="77777777" w:rsidTr="00C25422">
        <w:trPr>
          <w:trHeight w:val="147"/>
        </w:trPr>
        <w:tc>
          <w:tcPr>
            <w:tcW w:w="1555" w:type="dxa"/>
            <w:vMerge/>
          </w:tcPr>
          <w:p w14:paraId="00102895" w14:textId="77777777" w:rsidR="00E57DAA" w:rsidRDefault="00E57DAA" w:rsidP="00C25422">
            <w:pPr>
              <w:pStyle w:val="92"/>
            </w:pPr>
          </w:p>
        </w:tc>
        <w:tc>
          <w:tcPr>
            <w:tcW w:w="3402" w:type="dxa"/>
          </w:tcPr>
          <w:p w14:paraId="06F1795B" w14:textId="77777777" w:rsidR="00E57DAA" w:rsidRDefault="00AC4185" w:rsidP="00C25422">
            <w:pPr>
              <w:pStyle w:val="92"/>
            </w:pPr>
            <w:r>
              <w:t>北京金隅集团股份有限公司</w:t>
            </w:r>
          </w:p>
        </w:tc>
        <w:tc>
          <w:tcPr>
            <w:tcW w:w="1559" w:type="dxa"/>
          </w:tcPr>
          <w:p w14:paraId="78C94563" w14:textId="77777777" w:rsidR="00E57DAA" w:rsidRDefault="00AC4185" w:rsidP="00C25422">
            <w:pPr>
              <w:pStyle w:val="92"/>
            </w:pPr>
            <w:r>
              <w:t>监事</w:t>
            </w:r>
          </w:p>
        </w:tc>
        <w:tc>
          <w:tcPr>
            <w:tcW w:w="1134" w:type="dxa"/>
            <w:vAlign w:val="center"/>
          </w:tcPr>
          <w:p w14:paraId="5C77F0B3" w14:textId="77777777" w:rsidR="00E57DAA" w:rsidRDefault="00AC4185">
            <w:pPr>
              <w:jc w:val="center"/>
            </w:pPr>
            <w:r>
              <w:t>2023-05</w:t>
            </w:r>
          </w:p>
        </w:tc>
        <w:tc>
          <w:tcPr>
            <w:tcW w:w="1173" w:type="dxa"/>
            <w:vAlign w:val="center"/>
          </w:tcPr>
          <w:p w14:paraId="0059F5E6" w14:textId="77777777" w:rsidR="00E57DAA" w:rsidRDefault="00E57DAA">
            <w:pPr>
              <w:jc w:val="center"/>
            </w:pPr>
          </w:p>
        </w:tc>
      </w:tr>
      <w:tr w:rsidR="00E57DAA" w14:paraId="302D770A" w14:textId="77777777" w:rsidTr="00C25422">
        <w:trPr>
          <w:trHeight w:val="147"/>
        </w:trPr>
        <w:tc>
          <w:tcPr>
            <w:tcW w:w="1555" w:type="dxa"/>
            <w:vMerge w:val="restart"/>
          </w:tcPr>
          <w:p w14:paraId="73F304A9" w14:textId="77777777" w:rsidR="00E57DAA" w:rsidRDefault="00AC4185" w:rsidP="00C25422">
            <w:pPr>
              <w:pStyle w:val="92"/>
            </w:pPr>
            <w:r>
              <w:t>堵光媛</w:t>
            </w:r>
          </w:p>
          <w:p w14:paraId="4D06AE07" w14:textId="77777777" w:rsidR="00E57DAA" w:rsidRDefault="00AC4185" w:rsidP="00C25422">
            <w:pPr>
              <w:pStyle w:val="92"/>
            </w:pPr>
            <w:r>
              <w:lastRenderedPageBreak/>
              <w:t> </w:t>
            </w:r>
          </w:p>
        </w:tc>
        <w:tc>
          <w:tcPr>
            <w:tcW w:w="3402" w:type="dxa"/>
          </w:tcPr>
          <w:p w14:paraId="144F1E7C" w14:textId="77777777" w:rsidR="00E57DAA" w:rsidRDefault="00AC4185" w:rsidP="00C25422">
            <w:pPr>
              <w:pStyle w:val="92"/>
            </w:pPr>
            <w:r>
              <w:lastRenderedPageBreak/>
              <w:t>中国复合材料集团有限公司</w:t>
            </w:r>
          </w:p>
        </w:tc>
        <w:tc>
          <w:tcPr>
            <w:tcW w:w="1559" w:type="dxa"/>
          </w:tcPr>
          <w:p w14:paraId="3A5129A7" w14:textId="77777777" w:rsidR="00E57DAA" w:rsidRDefault="00AC4185" w:rsidP="00C25422">
            <w:pPr>
              <w:pStyle w:val="92"/>
            </w:pPr>
            <w:r>
              <w:t>董事</w:t>
            </w:r>
          </w:p>
        </w:tc>
        <w:tc>
          <w:tcPr>
            <w:tcW w:w="1134" w:type="dxa"/>
            <w:vAlign w:val="center"/>
          </w:tcPr>
          <w:p w14:paraId="56B7C4C2" w14:textId="77777777" w:rsidR="00E57DAA" w:rsidRDefault="00AC4185">
            <w:pPr>
              <w:jc w:val="center"/>
            </w:pPr>
            <w:r>
              <w:t>2017-06</w:t>
            </w:r>
          </w:p>
        </w:tc>
        <w:tc>
          <w:tcPr>
            <w:tcW w:w="1173" w:type="dxa"/>
            <w:vAlign w:val="center"/>
          </w:tcPr>
          <w:p w14:paraId="63041F31" w14:textId="77777777" w:rsidR="00E57DAA" w:rsidRDefault="00E57DAA">
            <w:pPr>
              <w:jc w:val="center"/>
            </w:pPr>
          </w:p>
        </w:tc>
      </w:tr>
      <w:tr w:rsidR="00E57DAA" w14:paraId="7AD4B133" w14:textId="77777777" w:rsidTr="00C25422">
        <w:trPr>
          <w:trHeight w:val="147"/>
        </w:trPr>
        <w:tc>
          <w:tcPr>
            <w:tcW w:w="1555" w:type="dxa"/>
            <w:vMerge/>
          </w:tcPr>
          <w:p w14:paraId="5B3C851C" w14:textId="77777777" w:rsidR="00E57DAA" w:rsidRDefault="00E57DAA" w:rsidP="00C25422">
            <w:pPr>
              <w:pStyle w:val="92"/>
            </w:pPr>
          </w:p>
        </w:tc>
        <w:tc>
          <w:tcPr>
            <w:tcW w:w="3402" w:type="dxa"/>
          </w:tcPr>
          <w:p w14:paraId="3BCB7224" w14:textId="77777777" w:rsidR="00E57DAA" w:rsidRDefault="00AC4185" w:rsidP="00C25422">
            <w:pPr>
              <w:pStyle w:val="92"/>
            </w:pPr>
            <w:r>
              <w:t>中材高新股份有限公司</w:t>
            </w:r>
          </w:p>
        </w:tc>
        <w:tc>
          <w:tcPr>
            <w:tcW w:w="1559" w:type="dxa"/>
          </w:tcPr>
          <w:p w14:paraId="06E6A94C" w14:textId="77777777" w:rsidR="00E57DAA" w:rsidRDefault="00AC4185" w:rsidP="00C25422">
            <w:pPr>
              <w:pStyle w:val="92"/>
            </w:pPr>
            <w:r>
              <w:t>董事</w:t>
            </w:r>
          </w:p>
        </w:tc>
        <w:tc>
          <w:tcPr>
            <w:tcW w:w="1134" w:type="dxa"/>
            <w:vAlign w:val="center"/>
          </w:tcPr>
          <w:p w14:paraId="59F97065" w14:textId="77777777" w:rsidR="00E57DAA" w:rsidRDefault="00AC4185">
            <w:pPr>
              <w:jc w:val="center"/>
            </w:pPr>
            <w:r>
              <w:t>2022-02</w:t>
            </w:r>
          </w:p>
        </w:tc>
        <w:tc>
          <w:tcPr>
            <w:tcW w:w="1173" w:type="dxa"/>
            <w:vAlign w:val="center"/>
          </w:tcPr>
          <w:p w14:paraId="5159BDD7" w14:textId="77777777" w:rsidR="00E57DAA" w:rsidRDefault="00E57DAA">
            <w:pPr>
              <w:jc w:val="center"/>
            </w:pPr>
          </w:p>
        </w:tc>
      </w:tr>
      <w:tr w:rsidR="00E57DAA" w14:paraId="614B36C7" w14:textId="77777777" w:rsidTr="00C25422">
        <w:trPr>
          <w:trHeight w:val="147"/>
        </w:trPr>
        <w:tc>
          <w:tcPr>
            <w:tcW w:w="1555" w:type="dxa"/>
            <w:vMerge w:val="restart"/>
          </w:tcPr>
          <w:p w14:paraId="4C9EF866" w14:textId="77777777" w:rsidR="00E57DAA" w:rsidRDefault="00AC4185" w:rsidP="00C25422">
            <w:pPr>
              <w:pStyle w:val="92"/>
            </w:pPr>
            <w:r>
              <w:t>胡金玉</w:t>
            </w:r>
          </w:p>
          <w:p w14:paraId="09AC3919" w14:textId="77777777" w:rsidR="00E57DAA" w:rsidRDefault="00AC4185" w:rsidP="00C25422">
            <w:pPr>
              <w:pStyle w:val="92"/>
            </w:pPr>
            <w:r>
              <w:t> </w:t>
            </w:r>
          </w:p>
          <w:p w14:paraId="2F1737F8" w14:textId="77777777" w:rsidR="00E57DAA" w:rsidRDefault="00AC4185" w:rsidP="00C25422">
            <w:pPr>
              <w:pStyle w:val="92"/>
            </w:pPr>
            <w:r>
              <w:t> </w:t>
            </w:r>
          </w:p>
          <w:p w14:paraId="28CAEE4D" w14:textId="77777777" w:rsidR="00E57DAA" w:rsidRDefault="00AC4185" w:rsidP="00C25422">
            <w:pPr>
              <w:pStyle w:val="92"/>
            </w:pPr>
            <w:r>
              <w:t> </w:t>
            </w:r>
          </w:p>
        </w:tc>
        <w:tc>
          <w:tcPr>
            <w:tcW w:w="3402" w:type="dxa"/>
          </w:tcPr>
          <w:p w14:paraId="0C24C536" w14:textId="77777777" w:rsidR="00E57DAA" w:rsidRDefault="00AC4185" w:rsidP="00C25422">
            <w:pPr>
              <w:pStyle w:val="92"/>
            </w:pPr>
            <w:r>
              <w:t>北新集团建材股份有限公司</w:t>
            </w:r>
          </w:p>
        </w:tc>
        <w:tc>
          <w:tcPr>
            <w:tcW w:w="1559" w:type="dxa"/>
          </w:tcPr>
          <w:p w14:paraId="79AE55CC" w14:textId="77777777" w:rsidR="00E57DAA" w:rsidRDefault="00AC4185" w:rsidP="00C25422">
            <w:pPr>
              <w:pStyle w:val="92"/>
            </w:pPr>
            <w:r>
              <w:t>监事</w:t>
            </w:r>
          </w:p>
        </w:tc>
        <w:tc>
          <w:tcPr>
            <w:tcW w:w="1134" w:type="dxa"/>
            <w:vAlign w:val="center"/>
          </w:tcPr>
          <w:p w14:paraId="301E6141" w14:textId="77777777" w:rsidR="00E57DAA" w:rsidRDefault="00AC4185">
            <w:pPr>
              <w:jc w:val="center"/>
            </w:pPr>
            <w:r>
              <w:t>2005-09</w:t>
            </w:r>
          </w:p>
        </w:tc>
        <w:tc>
          <w:tcPr>
            <w:tcW w:w="1173" w:type="dxa"/>
            <w:vAlign w:val="center"/>
          </w:tcPr>
          <w:p w14:paraId="1885D50E" w14:textId="77777777" w:rsidR="00E57DAA" w:rsidRDefault="00E57DAA">
            <w:pPr>
              <w:jc w:val="center"/>
            </w:pPr>
          </w:p>
        </w:tc>
      </w:tr>
      <w:tr w:rsidR="00E57DAA" w14:paraId="4FF7CE61" w14:textId="77777777" w:rsidTr="00C25422">
        <w:trPr>
          <w:trHeight w:val="147"/>
        </w:trPr>
        <w:tc>
          <w:tcPr>
            <w:tcW w:w="1555" w:type="dxa"/>
            <w:vMerge/>
          </w:tcPr>
          <w:p w14:paraId="1D814F14" w14:textId="77777777" w:rsidR="00E57DAA" w:rsidRDefault="00E57DAA" w:rsidP="00C25422">
            <w:pPr>
              <w:pStyle w:val="92"/>
            </w:pPr>
          </w:p>
        </w:tc>
        <w:tc>
          <w:tcPr>
            <w:tcW w:w="3402" w:type="dxa"/>
          </w:tcPr>
          <w:p w14:paraId="04C3837E" w14:textId="77777777" w:rsidR="00E57DAA" w:rsidRDefault="00AC4185" w:rsidP="00C25422">
            <w:pPr>
              <w:pStyle w:val="92"/>
            </w:pPr>
            <w:r>
              <w:t>中国复合材料集团有限公司</w:t>
            </w:r>
          </w:p>
        </w:tc>
        <w:tc>
          <w:tcPr>
            <w:tcW w:w="1559" w:type="dxa"/>
          </w:tcPr>
          <w:p w14:paraId="5B98285A" w14:textId="77777777" w:rsidR="00E57DAA" w:rsidRDefault="00AC4185" w:rsidP="00C25422">
            <w:pPr>
              <w:pStyle w:val="92"/>
            </w:pPr>
            <w:r>
              <w:t>董事</w:t>
            </w:r>
          </w:p>
        </w:tc>
        <w:tc>
          <w:tcPr>
            <w:tcW w:w="1134" w:type="dxa"/>
            <w:vAlign w:val="center"/>
          </w:tcPr>
          <w:p w14:paraId="7750EBA5" w14:textId="77777777" w:rsidR="00E57DAA" w:rsidRDefault="00AC4185">
            <w:pPr>
              <w:jc w:val="center"/>
            </w:pPr>
            <w:r>
              <w:t>2017-06</w:t>
            </w:r>
          </w:p>
        </w:tc>
        <w:tc>
          <w:tcPr>
            <w:tcW w:w="1173" w:type="dxa"/>
            <w:vAlign w:val="center"/>
          </w:tcPr>
          <w:p w14:paraId="766D08CE" w14:textId="77777777" w:rsidR="00E57DAA" w:rsidRDefault="00E57DAA">
            <w:pPr>
              <w:jc w:val="center"/>
            </w:pPr>
          </w:p>
        </w:tc>
      </w:tr>
      <w:tr w:rsidR="00E57DAA" w14:paraId="018DD44F" w14:textId="77777777" w:rsidTr="00C25422">
        <w:trPr>
          <w:trHeight w:val="147"/>
        </w:trPr>
        <w:tc>
          <w:tcPr>
            <w:tcW w:w="1555" w:type="dxa"/>
            <w:vMerge/>
          </w:tcPr>
          <w:p w14:paraId="70B54FB4" w14:textId="77777777" w:rsidR="00E57DAA" w:rsidRDefault="00E57DAA" w:rsidP="00C25422">
            <w:pPr>
              <w:pStyle w:val="92"/>
            </w:pPr>
          </w:p>
        </w:tc>
        <w:tc>
          <w:tcPr>
            <w:tcW w:w="3402" w:type="dxa"/>
          </w:tcPr>
          <w:p w14:paraId="76BF9EE1" w14:textId="77777777" w:rsidR="00E57DAA" w:rsidRDefault="00AC4185" w:rsidP="00C25422">
            <w:pPr>
              <w:pStyle w:val="92"/>
            </w:pPr>
            <w:r>
              <w:t>中建材投资有限公司</w:t>
            </w:r>
          </w:p>
        </w:tc>
        <w:tc>
          <w:tcPr>
            <w:tcW w:w="1559" w:type="dxa"/>
          </w:tcPr>
          <w:p w14:paraId="303F0C8F" w14:textId="77777777" w:rsidR="00E57DAA" w:rsidRDefault="00AC4185" w:rsidP="00C25422">
            <w:pPr>
              <w:pStyle w:val="92"/>
            </w:pPr>
            <w:r>
              <w:t>监事</w:t>
            </w:r>
          </w:p>
        </w:tc>
        <w:tc>
          <w:tcPr>
            <w:tcW w:w="1134" w:type="dxa"/>
            <w:vAlign w:val="center"/>
          </w:tcPr>
          <w:p w14:paraId="7DD1964C" w14:textId="77777777" w:rsidR="00E57DAA" w:rsidRDefault="00AC4185">
            <w:pPr>
              <w:jc w:val="center"/>
            </w:pPr>
            <w:r>
              <w:t>2016-04</w:t>
            </w:r>
          </w:p>
        </w:tc>
        <w:tc>
          <w:tcPr>
            <w:tcW w:w="1173" w:type="dxa"/>
            <w:vAlign w:val="center"/>
          </w:tcPr>
          <w:p w14:paraId="6C7FE555" w14:textId="77777777" w:rsidR="00E57DAA" w:rsidRDefault="00E57DAA">
            <w:pPr>
              <w:jc w:val="center"/>
            </w:pPr>
          </w:p>
        </w:tc>
      </w:tr>
      <w:tr w:rsidR="00E57DAA" w14:paraId="6E2C34F6" w14:textId="77777777" w:rsidTr="00C25422">
        <w:trPr>
          <w:trHeight w:val="147"/>
        </w:trPr>
        <w:tc>
          <w:tcPr>
            <w:tcW w:w="1555" w:type="dxa"/>
            <w:vMerge/>
          </w:tcPr>
          <w:p w14:paraId="391699DD" w14:textId="77777777" w:rsidR="00E57DAA" w:rsidRDefault="00E57DAA" w:rsidP="00C25422">
            <w:pPr>
              <w:pStyle w:val="92"/>
            </w:pPr>
          </w:p>
        </w:tc>
        <w:tc>
          <w:tcPr>
            <w:tcW w:w="3402" w:type="dxa"/>
          </w:tcPr>
          <w:p w14:paraId="331991D9" w14:textId="77777777" w:rsidR="00E57DAA" w:rsidRDefault="00AC4185" w:rsidP="00C25422">
            <w:pPr>
              <w:pStyle w:val="92"/>
            </w:pPr>
            <w:r>
              <w:t>中建材玻璃新材料研究院集团有限公司</w:t>
            </w:r>
          </w:p>
        </w:tc>
        <w:tc>
          <w:tcPr>
            <w:tcW w:w="1559" w:type="dxa"/>
          </w:tcPr>
          <w:p w14:paraId="76FCF99C" w14:textId="77777777" w:rsidR="00E57DAA" w:rsidRDefault="00AC4185" w:rsidP="00C25422">
            <w:pPr>
              <w:pStyle w:val="92"/>
            </w:pPr>
            <w:r>
              <w:t>监事</w:t>
            </w:r>
          </w:p>
        </w:tc>
        <w:tc>
          <w:tcPr>
            <w:tcW w:w="1134" w:type="dxa"/>
            <w:vAlign w:val="center"/>
          </w:tcPr>
          <w:p w14:paraId="6200D652" w14:textId="77777777" w:rsidR="00E57DAA" w:rsidRDefault="00AC4185">
            <w:pPr>
              <w:jc w:val="center"/>
            </w:pPr>
            <w:r>
              <w:t>2021-12</w:t>
            </w:r>
          </w:p>
        </w:tc>
        <w:tc>
          <w:tcPr>
            <w:tcW w:w="1173" w:type="dxa"/>
            <w:vAlign w:val="center"/>
          </w:tcPr>
          <w:p w14:paraId="552B0358" w14:textId="77777777" w:rsidR="00E57DAA" w:rsidRDefault="00E57DAA">
            <w:pPr>
              <w:jc w:val="center"/>
            </w:pPr>
          </w:p>
        </w:tc>
      </w:tr>
      <w:tr w:rsidR="00E57DAA" w14:paraId="23C42D61" w14:textId="77777777" w:rsidTr="00C25422">
        <w:trPr>
          <w:trHeight w:val="147"/>
        </w:trPr>
        <w:tc>
          <w:tcPr>
            <w:tcW w:w="1555" w:type="dxa"/>
            <w:vMerge w:val="restart"/>
          </w:tcPr>
          <w:p w14:paraId="30F8B415" w14:textId="77777777" w:rsidR="00E57DAA" w:rsidRDefault="00AC4185" w:rsidP="00C25422">
            <w:pPr>
              <w:pStyle w:val="92"/>
            </w:pPr>
            <w:r>
              <w:t>周小明</w:t>
            </w:r>
          </w:p>
        </w:tc>
        <w:tc>
          <w:tcPr>
            <w:tcW w:w="3402" w:type="dxa"/>
          </w:tcPr>
          <w:p w14:paraId="50216710" w14:textId="77777777" w:rsidR="00E57DAA" w:rsidRDefault="00AC4185" w:rsidP="00C25422">
            <w:pPr>
              <w:pStyle w:val="92"/>
            </w:pPr>
            <w:r>
              <w:t>上海外经贸大学</w:t>
            </w:r>
          </w:p>
        </w:tc>
        <w:tc>
          <w:tcPr>
            <w:tcW w:w="1559" w:type="dxa"/>
          </w:tcPr>
          <w:p w14:paraId="2C7BBE0F" w14:textId="77777777" w:rsidR="00E57DAA" w:rsidRDefault="00AC4185" w:rsidP="00C25422">
            <w:pPr>
              <w:pStyle w:val="92"/>
            </w:pPr>
            <w:r>
              <w:t>贸易谈判学院校外导师</w:t>
            </w:r>
          </w:p>
        </w:tc>
        <w:tc>
          <w:tcPr>
            <w:tcW w:w="1134" w:type="dxa"/>
            <w:vAlign w:val="center"/>
          </w:tcPr>
          <w:p w14:paraId="223718D9" w14:textId="77777777" w:rsidR="00E57DAA" w:rsidRDefault="00AC4185">
            <w:pPr>
              <w:jc w:val="center"/>
            </w:pPr>
            <w:r>
              <w:t>2019-06</w:t>
            </w:r>
          </w:p>
        </w:tc>
        <w:tc>
          <w:tcPr>
            <w:tcW w:w="1173" w:type="dxa"/>
            <w:vAlign w:val="center"/>
          </w:tcPr>
          <w:p w14:paraId="36C0F6AD" w14:textId="77777777" w:rsidR="00E57DAA" w:rsidRDefault="00E57DAA">
            <w:pPr>
              <w:jc w:val="center"/>
            </w:pPr>
          </w:p>
        </w:tc>
      </w:tr>
      <w:tr w:rsidR="00E57DAA" w14:paraId="1E587B91" w14:textId="77777777" w:rsidTr="00C25422">
        <w:trPr>
          <w:trHeight w:val="147"/>
        </w:trPr>
        <w:tc>
          <w:tcPr>
            <w:tcW w:w="1555" w:type="dxa"/>
            <w:vMerge/>
          </w:tcPr>
          <w:p w14:paraId="380DB69C" w14:textId="77777777" w:rsidR="00E57DAA" w:rsidRDefault="00E57DAA" w:rsidP="00C25422">
            <w:pPr>
              <w:pStyle w:val="92"/>
            </w:pPr>
          </w:p>
        </w:tc>
        <w:tc>
          <w:tcPr>
            <w:tcW w:w="3402" w:type="dxa"/>
          </w:tcPr>
          <w:p w14:paraId="01234662" w14:textId="77777777" w:rsidR="00E57DAA" w:rsidRDefault="00AC4185" w:rsidP="00C25422">
            <w:pPr>
              <w:pStyle w:val="92"/>
            </w:pPr>
            <w:r>
              <w:rPr>
                <w:rFonts w:hint="eastAsia"/>
              </w:rPr>
              <w:t>全球化智库</w:t>
            </w:r>
          </w:p>
        </w:tc>
        <w:tc>
          <w:tcPr>
            <w:tcW w:w="1559" w:type="dxa"/>
          </w:tcPr>
          <w:p w14:paraId="414FCA8F" w14:textId="77777777" w:rsidR="00E57DAA" w:rsidRDefault="00AC4185" w:rsidP="00C25422">
            <w:pPr>
              <w:pStyle w:val="92"/>
            </w:pPr>
            <w:r>
              <w:rPr>
                <w:rFonts w:hint="eastAsia"/>
              </w:rPr>
              <w:t>高级研究员</w:t>
            </w:r>
          </w:p>
        </w:tc>
        <w:tc>
          <w:tcPr>
            <w:tcW w:w="1134" w:type="dxa"/>
            <w:vAlign w:val="center"/>
          </w:tcPr>
          <w:p w14:paraId="2D1AA931" w14:textId="77777777" w:rsidR="00E57DAA" w:rsidRDefault="00AC4185">
            <w:pPr>
              <w:jc w:val="center"/>
            </w:pPr>
            <w:r>
              <w:rPr>
                <w:rFonts w:hint="eastAsia"/>
              </w:rPr>
              <w:t>2017-10</w:t>
            </w:r>
          </w:p>
        </w:tc>
        <w:tc>
          <w:tcPr>
            <w:tcW w:w="1173" w:type="dxa"/>
            <w:vAlign w:val="center"/>
          </w:tcPr>
          <w:p w14:paraId="72D9888D" w14:textId="77777777" w:rsidR="00E57DAA" w:rsidRDefault="00E57DAA">
            <w:pPr>
              <w:jc w:val="center"/>
            </w:pPr>
          </w:p>
        </w:tc>
      </w:tr>
      <w:tr w:rsidR="00E57DAA" w14:paraId="60D8F6E3" w14:textId="77777777" w:rsidTr="00C25422">
        <w:trPr>
          <w:trHeight w:val="147"/>
        </w:trPr>
        <w:tc>
          <w:tcPr>
            <w:tcW w:w="1555" w:type="dxa"/>
          </w:tcPr>
          <w:p w14:paraId="43892458" w14:textId="77777777" w:rsidR="00E57DAA" w:rsidRDefault="00AC4185" w:rsidP="00C25422">
            <w:pPr>
              <w:pStyle w:val="92"/>
            </w:pPr>
            <w:r>
              <w:t>焦  点</w:t>
            </w:r>
          </w:p>
        </w:tc>
        <w:tc>
          <w:tcPr>
            <w:tcW w:w="3402" w:type="dxa"/>
          </w:tcPr>
          <w:p w14:paraId="7F44266C" w14:textId="77777777" w:rsidR="00E57DAA" w:rsidRDefault="00AC4185" w:rsidP="00C25422">
            <w:pPr>
              <w:pStyle w:val="92"/>
            </w:pPr>
            <w:r>
              <w:t>大信会计师事务所（特殊普通合伙）</w:t>
            </w:r>
          </w:p>
        </w:tc>
        <w:tc>
          <w:tcPr>
            <w:tcW w:w="1559" w:type="dxa"/>
          </w:tcPr>
          <w:p w14:paraId="7482F0FF" w14:textId="77777777" w:rsidR="00E57DAA" w:rsidRDefault="00AC4185" w:rsidP="00C25422">
            <w:pPr>
              <w:pStyle w:val="92"/>
            </w:pPr>
            <w:r>
              <w:t>管委会执行委员</w:t>
            </w:r>
          </w:p>
        </w:tc>
        <w:tc>
          <w:tcPr>
            <w:tcW w:w="1134" w:type="dxa"/>
            <w:vAlign w:val="center"/>
          </w:tcPr>
          <w:p w14:paraId="5E6458E7" w14:textId="77777777" w:rsidR="00E57DAA" w:rsidRDefault="00AC4185">
            <w:pPr>
              <w:jc w:val="center"/>
            </w:pPr>
            <w:r>
              <w:t>2019-11</w:t>
            </w:r>
          </w:p>
        </w:tc>
        <w:tc>
          <w:tcPr>
            <w:tcW w:w="1173" w:type="dxa"/>
            <w:vAlign w:val="center"/>
          </w:tcPr>
          <w:p w14:paraId="4AB36FE8" w14:textId="77777777" w:rsidR="00E57DAA" w:rsidRDefault="00E57DAA">
            <w:pPr>
              <w:jc w:val="center"/>
            </w:pPr>
          </w:p>
        </w:tc>
      </w:tr>
      <w:tr w:rsidR="00E57DAA" w14:paraId="69DD3092" w14:textId="77777777" w:rsidTr="00C25422">
        <w:trPr>
          <w:trHeight w:val="147"/>
        </w:trPr>
        <w:tc>
          <w:tcPr>
            <w:tcW w:w="1555" w:type="dxa"/>
          </w:tcPr>
          <w:p w14:paraId="7E8459F9" w14:textId="77777777" w:rsidR="00E57DAA" w:rsidRDefault="00AC4185" w:rsidP="00C25422">
            <w:pPr>
              <w:pStyle w:val="92"/>
            </w:pPr>
            <w:r>
              <w:t>鞠  源</w:t>
            </w:r>
          </w:p>
        </w:tc>
        <w:tc>
          <w:tcPr>
            <w:tcW w:w="3402" w:type="dxa"/>
          </w:tcPr>
          <w:p w14:paraId="367C9ACC" w14:textId="77777777" w:rsidR="00E57DAA" w:rsidRDefault="00AC4185" w:rsidP="00C25422">
            <w:pPr>
              <w:pStyle w:val="92"/>
            </w:pPr>
            <w:r>
              <w:t>英国约克大学</w:t>
            </w:r>
          </w:p>
        </w:tc>
        <w:tc>
          <w:tcPr>
            <w:tcW w:w="1559" w:type="dxa"/>
          </w:tcPr>
          <w:p w14:paraId="654B48F7" w14:textId="77777777" w:rsidR="00E57DAA" w:rsidRDefault="00AC4185" w:rsidP="00C25422">
            <w:pPr>
              <w:pStyle w:val="92"/>
            </w:pPr>
            <w:r>
              <w:t>教授</w:t>
            </w:r>
          </w:p>
        </w:tc>
        <w:tc>
          <w:tcPr>
            <w:tcW w:w="1134" w:type="dxa"/>
            <w:vAlign w:val="center"/>
          </w:tcPr>
          <w:p w14:paraId="143B292A" w14:textId="77777777" w:rsidR="00E57DAA" w:rsidRDefault="00AC4185">
            <w:pPr>
              <w:jc w:val="center"/>
            </w:pPr>
            <w:r>
              <w:rPr>
                <w:rFonts w:hint="eastAsia"/>
              </w:rPr>
              <w:t>2017-10</w:t>
            </w:r>
          </w:p>
        </w:tc>
        <w:tc>
          <w:tcPr>
            <w:tcW w:w="1173" w:type="dxa"/>
            <w:vAlign w:val="center"/>
          </w:tcPr>
          <w:p w14:paraId="3CA6E648" w14:textId="77777777" w:rsidR="00E57DAA" w:rsidRDefault="00E57DAA">
            <w:pPr>
              <w:jc w:val="center"/>
            </w:pPr>
          </w:p>
        </w:tc>
      </w:tr>
      <w:tr w:rsidR="00E57DAA" w14:paraId="06EE6D5E" w14:textId="77777777" w:rsidTr="00C25422">
        <w:trPr>
          <w:trHeight w:val="147"/>
        </w:trPr>
        <w:tc>
          <w:tcPr>
            <w:tcW w:w="1555" w:type="dxa"/>
            <w:vMerge w:val="restart"/>
          </w:tcPr>
          <w:p w14:paraId="659D37C4" w14:textId="77777777" w:rsidR="00E57DAA" w:rsidRDefault="00AC4185" w:rsidP="00C25422">
            <w:pPr>
              <w:pStyle w:val="92"/>
            </w:pPr>
            <w:r>
              <w:t>张晓燕</w:t>
            </w:r>
          </w:p>
          <w:p w14:paraId="5B71352A" w14:textId="77777777" w:rsidR="00E57DAA" w:rsidRDefault="00AC4185" w:rsidP="00C25422">
            <w:pPr>
              <w:pStyle w:val="92"/>
            </w:pPr>
            <w:r>
              <w:t> </w:t>
            </w:r>
          </w:p>
          <w:p w14:paraId="211179BB" w14:textId="77777777" w:rsidR="00E57DAA" w:rsidRDefault="00AC4185" w:rsidP="00C25422">
            <w:pPr>
              <w:pStyle w:val="92"/>
            </w:pPr>
            <w:r>
              <w:t> </w:t>
            </w:r>
          </w:p>
          <w:p w14:paraId="3677BCDF" w14:textId="77777777" w:rsidR="00E57DAA" w:rsidRDefault="00AC4185" w:rsidP="00C25422">
            <w:pPr>
              <w:pStyle w:val="92"/>
            </w:pPr>
            <w:r>
              <w:t> </w:t>
            </w:r>
          </w:p>
          <w:p w14:paraId="2A958ADC" w14:textId="77777777" w:rsidR="00E57DAA" w:rsidRDefault="00AC4185" w:rsidP="00C25422">
            <w:pPr>
              <w:pStyle w:val="92"/>
            </w:pPr>
            <w:r>
              <w:t> </w:t>
            </w:r>
          </w:p>
          <w:p w14:paraId="45FCD737" w14:textId="77777777" w:rsidR="00E57DAA" w:rsidRDefault="00AC4185" w:rsidP="00C25422">
            <w:pPr>
              <w:pStyle w:val="92"/>
            </w:pPr>
            <w:r>
              <w:t> </w:t>
            </w:r>
          </w:p>
        </w:tc>
        <w:tc>
          <w:tcPr>
            <w:tcW w:w="3402" w:type="dxa"/>
            <w:vMerge w:val="restart"/>
            <w:tcBorders>
              <w:top w:val="single" w:sz="4" w:space="0" w:color="auto"/>
              <w:left w:val="single" w:sz="4" w:space="0" w:color="auto"/>
              <w:right w:val="single" w:sz="4" w:space="0" w:color="auto"/>
            </w:tcBorders>
          </w:tcPr>
          <w:p w14:paraId="0FD922CA" w14:textId="77777777" w:rsidR="00E57DAA" w:rsidRDefault="00E57DAA" w:rsidP="00C25422">
            <w:pPr>
              <w:pStyle w:val="92"/>
            </w:pPr>
          </w:p>
          <w:p w14:paraId="18184FA4" w14:textId="77777777" w:rsidR="00E57DAA" w:rsidRDefault="00E57DAA" w:rsidP="00C25422">
            <w:pPr>
              <w:pStyle w:val="92"/>
            </w:pPr>
          </w:p>
          <w:p w14:paraId="77B3F927" w14:textId="77777777" w:rsidR="00E57DAA" w:rsidRDefault="00E57DAA" w:rsidP="00C25422">
            <w:pPr>
              <w:pStyle w:val="92"/>
            </w:pPr>
          </w:p>
          <w:p w14:paraId="4E6A3E4F" w14:textId="77777777" w:rsidR="00E57DAA" w:rsidRDefault="00E57DAA" w:rsidP="00C25422">
            <w:pPr>
              <w:pStyle w:val="92"/>
            </w:pPr>
          </w:p>
          <w:p w14:paraId="5CE54154" w14:textId="77777777" w:rsidR="00E57DAA" w:rsidRDefault="00AC4185" w:rsidP="00C25422">
            <w:pPr>
              <w:pStyle w:val="92"/>
            </w:pPr>
            <w:r>
              <w:rPr>
                <w:rFonts w:hint="eastAsia"/>
              </w:rPr>
              <w:t>清华大学</w:t>
            </w:r>
          </w:p>
          <w:p w14:paraId="62080B2E" w14:textId="77777777" w:rsidR="00E57DAA" w:rsidRDefault="00E57DAA" w:rsidP="00C25422">
            <w:pPr>
              <w:pStyle w:val="92"/>
            </w:pPr>
          </w:p>
        </w:tc>
        <w:tc>
          <w:tcPr>
            <w:tcW w:w="1559" w:type="dxa"/>
            <w:tcBorders>
              <w:top w:val="single" w:sz="4" w:space="0" w:color="auto"/>
              <w:left w:val="single" w:sz="4" w:space="0" w:color="auto"/>
              <w:bottom w:val="single" w:sz="4" w:space="0" w:color="auto"/>
              <w:right w:val="single" w:sz="4" w:space="0" w:color="auto"/>
            </w:tcBorders>
          </w:tcPr>
          <w:p w14:paraId="69A1D17B" w14:textId="77777777" w:rsidR="00E57DAA" w:rsidRDefault="00AC4185" w:rsidP="00C25422">
            <w:pPr>
              <w:pStyle w:val="92"/>
            </w:pPr>
            <w:r>
              <w:rPr>
                <w:rFonts w:hint="eastAsia"/>
              </w:rPr>
              <w:t>金融学院副院长</w:t>
            </w:r>
          </w:p>
        </w:tc>
        <w:tc>
          <w:tcPr>
            <w:tcW w:w="1134" w:type="dxa"/>
            <w:tcBorders>
              <w:top w:val="single" w:sz="4" w:space="0" w:color="auto"/>
              <w:left w:val="single" w:sz="4" w:space="0" w:color="auto"/>
              <w:bottom w:val="single" w:sz="4" w:space="0" w:color="auto"/>
              <w:right w:val="single" w:sz="4" w:space="0" w:color="auto"/>
            </w:tcBorders>
            <w:vAlign w:val="center"/>
          </w:tcPr>
          <w:p w14:paraId="7FEE397E" w14:textId="77777777" w:rsidR="00E57DAA" w:rsidRDefault="00AC4185">
            <w:pPr>
              <w:jc w:val="center"/>
            </w:pPr>
            <w:r>
              <w:t>2018-12</w:t>
            </w:r>
          </w:p>
        </w:tc>
        <w:tc>
          <w:tcPr>
            <w:tcW w:w="1173" w:type="dxa"/>
            <w:vAlign w:val="center"/>
          </w:tcPr>
          <w:p w14:paraId="7120807F" w14:textId="77777777" w:rsidR="00E57DAA" w:rsidRDefault="00E57DAA">
            <w:pPr>
              <w:jc w:val="center"/>
            </w:pPr>
          </w:p>
        </w:tc>
      </w:tr>
      <w:tr w:rsidR="00E57DAA" w14:paraId="0450140C" w14:textId="77777777" w:rsidTr="00C25422">
        <w:trPr>
          <w:trHeight w:val="147"/>
        </w:trPr>
        <w:tc>
          <w:tcPr>
            <w:tcW w:w="1555" w:type="dxa"/>
            <w:vMerge/>
          </w:tcPr>
          <w:p w14:paraId="03E671EA" w14:textId="77777777" w:rsidR="00E57DAA" w:rsidRDefault="00E57DAA" w:rsidP="00C25422">
            <w:pPr>
              <w:pStyle w:val="92"/>
            </w:pPr>
          </w:p>
        </w:tc>
        <w:tc>
          <w:tcPr>
            <w:tcW w:w="3402" w:type="dxa"/>
            <w:vMerge/>
            <w:tcBorders>
              <w:left w:val="single" w:sz="4" w:space="0" w:color="auto"/>
              <w:right w:val="single" w:sz="4" w:space="0" w:color="auto"/>
            </w:tcBorders>
          </w:tcPr>
          <w:p w14:paraId="3AACCB6A" w14:textId="77777777" w:rsidR="00E57DAA" w:rsidRDefault="00E57DAA" w:rsidP="00C25422">
            <w:pPr>
              <w:pStyle w:val="92"/>
            </w:pPr>
          </w:p>
        </w:tc>
        <w:tc>
          <w:tcPr>
            <w:tcW w:w="1559" w:type="dxa"/>
            <w:tcBorders>
              <w:top w:val="single" w:sz="4" w:space="0" w:color="auto"/>
              <w:left w:val="single" w:sz="4" w:space="0" w:color="auto"/>
              <w:bottom w:val="single" w:sz="4" w:space="0" w:color="auto"/>
              <w:right w:val="single" w:sz="4" w:space="0" w:color="auto"/>
            </w:tcBorders>
          </w:tcPr>
          <w:p w14:paraId="12047E32" w14:textId="77777777" w:rsidR="00E57DAA" w:rsidRDefault="00AC4185" w:rsidP="00C25422">
            <w:pPr>
              <w:pStyle w:val="92"/>
            </w:pPr>
            <w:r>
              <w:rPr>
                <w:rFonts w:hint="eastAsia"/>
              </w:rPr>
              <w:t>金融学院鑫苑讲席教授</w:t>
            </w:r>
          </w:p>
        </w:tc>
        <w:tc>
          <w:tcPr>
            <w:tcW w:w="1134" w:type="dxa"/>
            <w:tcBorders>
              <w:top w:val="single" w:sz="4" w:space="0" w:color="auto"/>
              <w:left w:val="single" w:sz="4" w:space="0" w:color="auto"/>
              <w:bottom w:val="single" w:sz="4" w:space="0" w:color="auto"/>
              <w:right w:val="single" w:sz="4" w:space="0" w:color="auto"/>
            </w:tcBorders>
            <w:vAlign w:val="center"/>
          </w:tcPr>
          <w:p w14:paraId="516A1217" w14:textId="77777777" w:rsidR="00E57DAA" w:rsidRDefault="00AC4185">
            <w:pPr>
              <w:jc w:val="center"/>
            </w:pPr>
            <w:r>
              <w:t>2016-07</w:t>
            </w:r>
          </w:p>
        </w:tc>
        <w:tc>
          <w:tcPr>
            <w:tcW w:w="1173" w:type="dxa"/>
            <w:vAlign w:val="center"/>
          </w:tcPr>
          <w:p w14:paraId="6D44D298" w14:textId="77777777" w:rsidR="00E57DAA" w:rsidRDefault="00E57DAA">
            <w:pPr>
              <w:jc w:val="center"/>
            </w:pPr>
          </w:p>
        </w:tc>
      </w:tr>
      <w:tr w:rsidR="00E57DAA" w14:paraId="278B4703" w14:textId="77777777" w:rsidTr="00C25422">
        <w:trPr>
          <w:trHeight w:val="147"/>
        </w:trPr>
        <w:tc>
          <w:tcPr>
            <w:tcW w:w="1555" w:type="dxa"/>
            <w:vMerge/>
          </w:tcPr>
          <w:p w14:paraId="0F1DC988" w14:textId="77777777" w:rsidR="00E57DAA" w:rsidRDefault="00E57DAA" w:rsidP="00C25422">
            <w:pPr>
              <w:pStyle w:val="92"/>
            </w:pPr>
          </w:p>
        </w:tc>
        <w:tc>
          <w:tcPr>
            <w:tcW w:w="3402" w:type="dxa"/>
            <w:vMerge/>
            <w:tcBorders>
              <w:left w:val="single" w:sz="4" w:space="0" w:color="auto"/>
              <w:right w:val="single" w:sz="4" w:space="0" w:color="auto"/>
            </w:tcBorders>
          </w:tcPr>
          <w:p w14:paraId="04C93097" w14:textId="77777777" w:rsidR="00E57DAA" w:rsidRDefault="00E57DAA" w:rsidP="00C25422">
            <w:pPr>
              <w:pStyle w:val="92"/>
            </w:pPr>
          </w:p>
        </w:tc>
        <w:tc>
          <w:tcPr>
            <w:tcW w:w="1559" w:type="dxa"/>
            <w:tcBorders>
              <w:top w:val="single" w:sz="4" w:space="0" w:color="auto"/>
              <w:left w:val="single" w:sz="4" w:space="0" w:color="auto"/>
              <w:bottom w:val="single" w:sz="4" w:space="0" w:color="auto"/>
              <w:right w:val="single" w:sz="4" w:space="0" w:color="auto"/>
            </w:tcBorders>
          </w:tcPr>
          <w:p w14:paraId="3559BD97" w14:textId="77777777" w:rsidR="00E57DAA" w:rsidRDefault="00AC4185" w:rsidP="00C25422">
            <w:pPr>
              <w:pStyle w:val="92"/>
            </w:pPr>
            <w:r>
              <w:rPr>
                <w:rFonts w:hint="eastAsia"/>
              </w:rPr>
              <w:t>鑫苑房地产金融科技研究中心主任</w:t>
            </w:r>
          </w:p>
        </w:tc>
        <w:tc>
          <w:tcPr>
            <w:tcW w:w="1134" w:type="dxa"/>
            <w:tcBorders>
              <w:top w:val="single" w:sz="4" w:space="0" w:color="auto"/>
              <w:left w:val="single" w:sz="4" w:space="0" w:color="auto"/>
              <w:bottom w:val="single" w:sz="4" w:space="0" w:color="auto"/>
              <w:right w:val="single" w:sz="4" w:space="0" w:color="auto"/>
            </w:tcBorders>
            <w:vAlign w:val="center"/>
          </w:tcPr>
          <w:p w14:paraId="4ECB0E31" w14:textId="77777777" w:rsidR="00E57DAA" w:rsidRDefault="00AC4185">
            <w:pPr>
              <w:jc w:val="center"/>
            </w:pPr>
            <w:r>
              <w:t>2016-09</w:t>
            </w:r>
          </w:p>
        </w:tc>
        <w:tc>
          <w:tcPr>
            <w:tcW w:w="1173" w:type="dxa"/>
            <w:vAlign w:val="center"/>
          </w:tcPr>
          <w:p w14:paraId="5EEC3A73" w14:textId="77777777" w:rsidR="00E57DAA" w:rsidRDefault="00E57DAA">
            <w:pPr>
              <w:jc w:val="center"/>
            </w:pPr>
          </w:p>
        </w:tc>
      </w:tr>
      <w:tr w:rsidR="00E57DAA" w14:paraId="08A6C765" w14:textId="77777777" w:rsidTr="00C25422">
        <w:trPr>
          <w:trHeight w:val="147"/>
        </w:trPr>
        <w:tc>
          <w:tcPr>
            <w:tcW w:w="1555" w:type="dxa"/>
            <w:vMerge/>
          </w:tcPr>
          <w:p w14:paraId="253013E2" w14:textId="77777777" w:rsidR="00E57DAA" w:rsidRDefault="00E57DAA" w:rsidP="00C25422">
            <w:pPr>
              <w:pStyle w:val="92"/>
            </w:pPr>
          </w:p>
        </w:tc>
        <w:tc>
          <w:tcPr>
            <w:tcW w:w="3402" w:type="dxa"/>
            <w:vMerge/>
            <w:tcBorders>
              <w:left w:val="single" w:sz="4" w:space="0" w:color="auto"/>
              <w:right w:val="single" w:sz="4" w:space="0" w:color="auto"/>
            </w:tcBorders>
          </w:tcPr>
          <w:p w14:paraId="40779E1E" w14:textId="77777777" w:rsidR="00E57DAA" w:rsidRDefault="00E57DAA" w:rsidP="00C25422">
            <w:pPr>
              <w:pStyle w:val="92"/>
            </w:pPr>
          </w:p>
        </w:tc>
        <w:tc>
          <w:tcPr>
            <w:tcW w:w="1559" w:type="dxa"/>
            <w:tcBorders>
              <w:top w:val="single" w:sz="4" w:space="0" w:color="auto"/>
              <w:left w:val="single" w:sz="4" w:space="0" w:color="auto"/>
              <w:bottom w:val="single" w:sz="4" w:space="0" w:color="auto"/>
              <w:right w:val="single" w:sz="4" w:space="0" w:color="auto"/>
            </w:tcBorders>
          </w:tcPr>
          <w:p w14:paraId="47F9B6A5" w14:textId="77777777" w:rsidR="00E57DAA" w:rsidRDefault="00AC4185" w:rsidP="00C25422">
            <w:pPr>
              <w:pStyle w:val="92"/>
            </w:pPr>
            <w:r>
              <w:rPr>
                <w:rFonts w:hint="eastAsia"/>
              </w:rPr>
              <w:t>国家金融研究院副院长</w:t>
            </w:r>
          </w:p>
        </w:tc>
        <w:tc>
          <w:tcPr>
            <w:tcW w:w="1134" w:type="dxa"/>
            <w:tcBorders>
              <w:top w:val="single" w:sz="4" w:space="0" w:color="auto"/>
              <w:left w:val="single" w:sz="4" w:space="0" w:color="auto"/>
              <w:bottom w:val="single" w:sz="4" w:space="0" w:color="auto"/>
              <w:right w:val="single" w:sz="4" w:space="0" w:color="auto"/>
            </w:tcBorders>
            <w:vAlign w:val="center"/>
          </w:tcPr>
          <w:p w14:paraId="51E0B84C" w14:textId="77777777" w:rsidR="00E57DAA" w:rsidRDefault="00AC4185">
            <w:pPr>
              <w:jc w:val="center"/>
            </w:pPr>
            <w:r>
              <w:t>2016-10</w:t>
            </w:r>
          </w:p>
        </w:tc>
        <w:tc>
          <w:tcPr>
            <w:tcW w:w="1173" w:type="dxa"/>
            <w:vAlign w:val="center"/>
          </w:tcPr>
          <w:p w14:paraId="350B2C14" w14:textId="77777777" w:rsidR="00E57DAA" w:rsidRDefault="00E57DAA">
            <w:pPr>
              <w:jc w:val="center"/>
            </w:pPr>
          </w:p>
        </w:tc>
      </w:tr>
      <w:tr w:rsidR="00E57DAA" w14:paraId="151788AC" w14:textId="77777777" w:rsidTr="00C25422">
        <w:trPr>
          <w:trHeight w:val="147"/>
        </w:trPr>
        <w:tc>
          <w:tcPr>
            <w:tcW w:w="1555" w:type="dxa"/>
            <w:vMerge/>
          </w:tcPr>
          <w:p w14:paraId="013C3627" w14:textId="77777777" w:rsidR="00E57DAA" w:rsidRDefault="00E57DAA" w:rsidP="00C25422">
            <w:pPr>
              <w:pStyle w:val="92"/>
            </w:pPr>
          </w:p>
        </w:tc>
        <w:tc>
          <w:tcPr>
            <w:tcW w:w="3402" w:type="dxa"/>
            <w:vMerge/>
            <w:tcBorders>
              <w:left w:val="single" w:sz="4" w:space="0" w:color="auto"/>
              <w:bottom w:val="single" w:sz="4" w:space="0" w:color="auto"/>
              <w:right w:val="single" w:sz="4" w:space="0" w:color="auto"/>
            </w:tcBorders>
          </w:tcPr>
          <w:p w14:paraId="7DF61C14" w14:textId="77777777" w:rsidR="00E57DAA" w:rsidRDefault="00E57DAA" w:rsidP="00C25422">
            <w:pPr>
              <w:pStyle w:val="92"/>
            </w:pPr>
          </w:p>
        </w:tc>
        <w:tc>
          <w:tcPr>
            <w:tcW w:w="1559" w:type="dxa"/>
            <w:tcBorders>
              <w:top w:val="single" w:sz="4" w:space="0" w:color="auto"/>
              <w:left w:val="single" w:sz="4" w:space="0" w:color="auto"/>
              <w:bottom w:val="single" w:sz="4" w:space="0" w:color="auto"/>
              <w:right w:val="single" w:sz="4" w:space="0" w:color="auto"/>
            </w:tcBorders>
          </w:tcPr>
          <w:p w14:paraId="65A02805" w14:textId="77777777" w:rsidR="00E57DAA" w:rsidRDefault="00AC4185" w:rsidP="00C25422">
            <w:pPr>
              <w:pStyle w:val="92"/>
            </w:pPr>
            <w:r>
              <w:rPr>
                <w:rFonts w:hint="eastAsia"/>
              </w:rPr>
              <w:t>金融科技研究院副院长</w:t>
            </w:r>
          </w:p>
        </w:tc>
        <w:tc>
          <w:tcPr>
            <w:tcW w:w="1134" w:type="dxa"/>
            <w:tcBorders>
              <w:top w:val="single" w:sz="4" w:space="0" w:color="auto"/>
              <w:left w:val="single" w:sz="4" w:space="0" w:color="auto"/>
              <w:bottom w:val="single" w:sz="4" w:space="0" w:color="auto"/>
              <w:right w:val="single" w:sz="4" w:space="0" w:color="auto"/>
            </w:tcBorders>
            <w:vAlign w:val="center"/>
          </w:tcPr>
          <w:p w14:paraId="4C2C3DD4" w14:textId="77777777" w:rsidR="00E57DAA" w:rsidRDefault="00AC4185">
            <w:pPr>
              <w:jc w:val="center"/>
            </w:pPr>
            <w:r>
              <w:t>2017-12</w:t>
            </w:r>
          </w:p>
        </w:tc>
        <w:tc>
          <w:tcPr>
            <w:tcW w:w="1173" w:type="dxa"/>
            <w:vAlign w:val="center"/>
          </w:tcPr>
          <w:p w14:paraId="584CCB13" w14:textId="77777777" w:rsidR="00E57DAA" w:rsidRDefault="00E57DAA">
            <w:pPr>
              <w:jc w:val="center"/>
            </w:pPr>
          </w:p>
        </w:tc>
      </w:tr>
      <w:tr w:rsidR="00E57DAA" w14:paraId="660B3310" w14:textId="77777777" w:rsidTr="00C25422">
        <w:trPr>
          <w:trHeight w:val="147"/>
        </w:trPr>
        <w:tc>
          <w:tcPr>
            <w:tcW w:w="1555" w:type="dxa"/>
            <w:vMerge/>
          </w:tcPr>
          <w:p w14:paraId="42E2F01F" w14:textId="77777777" w:rsidR="00E57DAA" w:rsidRDefault="00E57DAA" w:rsidP="00C25422">
            <w:pPr>
              <w:pStyle w:val="92"/>
            </w:pPr>
          </w:p>
        </w:tc>
        <w:tc>
          <w:tcPr>
            <w:tcW w:w="3402" w:type="dxa"/>
            <w:tcBorders>
              <w:top w:val="single" w:sz="4" w:space="0" w:color="auto"/>
              <w:left w:val="single" w:sz="4" w:space="0" w:color="auto"/>
              <w:bottom w:val="single" w:sz="4" w:space="0" w:color="auto"/>
              <w:right w:val="single" w:sz="4" w:space="0" w:color="auto"/>
            </w:tcBorders>
          </w:tcPr>
          <w:p w14:paraId="1722B399" w14:textId="77777777" w:rsidR="00E57DAA" w:rsidRDefault="00AC4185" w:rsidP="00C25422">
            <w:pPr>
              <w:pStyle w:val="92"/>
            </w:pPr>
            <w:r>
              <w:rPr>
                <w:rFonts w:hint="eastAsia"/>
              </w:rPr>
              <w:t>简普科技有限公司</w:t>
            </w:r>
          </w:p>
        </w:tc>
        <w:tc>
          <w:tcPr>
            <w:tcW w:w="1559" w:type="dxa"/>
            <w:tcBorders>
              <w:top w:val="single" w:sz="4" w:space="0" w:color="auto"/>
              <w:left w:val="single" w:sz="4" w:space="0" w:color="auto"/>
              <w:bottom w:val="single" w:sz="4" w:space="0" w:color="auto"/>
              <w:right w:val="single" w:sz="4" w:space="0" w:color="auto"/>
            </w:tcBorders>
          </w:tcPr>
          <w:p w14:paraId="2950C25C" w14:textId="77777777" w:rsidR="00E57DAA" w:rsidRDefault="00AC4185" w:rsidP="00C25422">
            <w:pPr>
              <w:pStyle w:val="92"/>
            </w:pPr>
            <w:r>
              <w:rPr>
                <w:rFonts w:hint="eastAsia"/>
              </w:rPr>
              <w:t>独立董事</w:t>
            </w:r>
          </w:p>
        </w:tc>
        <w:tc>
          <w:tcPr>
            <w:tcW w:w="1134" w:type="dxa"/>
            <w:tcBorders>
              <w:top w:val="single" w:sz="4" w:space="0" w:color="auto"/>
              <w:left w:val="single" w:sz="4" w:space="0" w:color="auto"/>
              <w:bottom w:val="single" w:sz="4" w:space="0" w:color="auto"/>
              <w:right w:val="single" w:sz="4" w:space="0" w:color="auto"/>
            </w:tcBorders>
            <w:vAlign w:val="center"/>
          </w:tcPr>
          <w:p w14:paraId="1A3D0BBB" w14:textId="77777777" w:rsidR="00E57DAA" w:rsidRDefault="00AC4185">
            <w:pPr>
              <w:jc w:val="center"/>
            </w:pPr>
            <w:r>
              <w:t>2018-02</w:t>
            </w:r>
          </w:p>
        </w:tc>
        <w:tc>
          <w:tcPr>
            <w:tcW w:w="1173" w:type="dxa"/>
            <w:vAlign w:val="center"/>
          </w:tcPr>
          <w:p w14:paraId="32F7C346" w14:textId="77777777" w:rsidR="00E57DAA" w:rsidRDefault="00E57DAA">
            <w:pPr>
              <w:jc w:val="center"/>
            </w:pPr>
          </w:p>
        </w:tc>
      </w:tr>
      <w:tr w:rsidR="00E57DAA" w14:paraId="427E17ED" w14:textId="77777777" w:rsidTr="00C25422">
        <w:trPr>
          <w:trHeight w:val="150"/>
        </w:trPr>
        <w:tc>
          <w:tcPr>
            <w:tcW w:w="1555" w:type="dxa"/>
          </w:tcPr>
          <w:p w14:paraId="56B2D676" w14:textId="77777777" w:rsidR="00E57DAA" w:rsidRDefault="00AC4185" w:rsidP="00C25422">
            <w:pPr>
              <w:pStyle w:val="92"/>
            </w:pPr>
            <w:r>
              <w:rPr>
                <w:rFonts w:hint="eastAsia"/>
              </w:rPr>
              <w:t>在其他单位任职情况的说明</w:t>
            </w:r>
          </w:p>
        </w:tc>
        <w:tc>
          <w:tcPr>
            <w:tcW w:w="7268" w:type="dxa"/>
            <w:gridSpan w:val="4"/>
          </w:tcPr>
          <w:p w14:paraId="25DA4B0E" w14:textId="77777777" w:rsidR="00E57DAA" w:rsidRDefault="00AC4185" w:rsidP="00C25422">
            <w:pPr>
              <w:pStyle w:val="92"/>
            </w:pPr>
            <w:r>
              <w:rPr>
                <w:rFonts w:hint="eastAsia"/>
              </w:rPr>
              <w:t>不适用</w:t>
            </w:r>
          </w:p>
        </w:tc>
      </w:tr>
    </w:tbl>
    <w:p w14:paraId="7A68AFA4" w14:textId="77777777" w:rsidR="00E57DAA" w:rsidRDefault="00E57DAA" w:rsidP="00C25422">
      <w:pPr>
        <w:pStyle w:val="92"/>
      </w:pPr>
    </w:p>
    <w:p w14:paraId="1D2730E6" w14:textId="77777777" w:rsidR="00E57DAA" w:rsidRDefault="00AC4185">
      <w:pPr>
        <w:pStyle w:val="3"/>
        <w:numPr>
          <w:ilvl w:val="0"/>
          <w:numId w:val="20"/>
        </w:numPr>
      </w:pPr>
      <w:r>
        <w:t>董事、监事、高级管理人员报酬情况</w:t>
      </w:r>
    </w:p>
    <w:sdt>
      <w:sdtPr>
        <w:alias w:val="是否适用：董事、监事、高级管理人员报酬情况[双击切换]"/>
        <w:tag w:val="_GBC_670a12b9c1e34498888f2aafd9509848"/>
        <w:id w:val="1905099186"/>
        <w:placeholder>
          <w:docPart w:val="GBC22222222222222222222222222222"/>
        </w:placeholder>
      </w:sdtPr>
      <w:sdtEndPr/>
      <w:sdtContent>
        <w:p w14:paraId="038BA70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0" w:type="auto"/>
        <w:tblLook w:val="04A0" w:firstRow="1" w:lastRow="0" w:firstColumn="1" w:lastColumn="0" w:noHBand="0" w:noVBand="1"/>
      </w:tblPr>
      <w:tblGrid>
        <w:gridCol w:w="2779"/>
        <w:gridCol w:w="6044"/>
      </w:tblGrid>
      <w:tr w:rsidR="00E57DAA" w14:paraId="304FA333" w14:textId="77777777" w:rsidTr="00C25422">
        <w:trPr>
          <w:trHeight w:val="120"/>
        </w:trPr>
        <w:sdt>
          <w:sdtPr>
            <w:tag w:val="_PLD_9e63d19b4bb64b9f8ebbe91d33a629c4"/>
            <w:id w:val="-458039489"/>
          </w:sdtPr>
          <w:sdtEndPr/>
          <w:sdtContent>
            <w:tc>
              <w:tcPr>
                <w:tcW w:w="2779" w:type="dxa"/>
              </w:tcPr>
              <w:p w14:paraId="1F933EE3" w14:textId="77777777" w:rsidR="00E57DAA" w:rsidRDefault="00AC4185">
                <w:pPr>
                  <w:rPr>
                    <w:szCs w:val="21"/>
                  </w:rPr>
                </w:pPr>
                <w:r>
                  <w:rPr>
                    <w:szCs w:val="21"/>
                  </w:rPr>
                  <w:t>董事、监事、高级管理人员报酬的决策程序</w:t>
                </w:r>
              </w:p>
            </w:tc>
          </w:sdtContent>
        </w:sdt>
        <w:sdt>
          <w:sdtPr>
            <w:rPr>
              <w:rFonts w:ascii="Times New Roman" w:hAnsi="Times New Roman" w:hint="eastAsia"/>
              <w:szCs w:val="21"/>
            </w:rPr>
            <w:alias w:val="董事、监事、高级管理人员报酬的决策程序"/>
            <w:tag w:val="_GBC_bf64cad6b5d7435388a8e69e2c05dea2"/>
            <w:id w:val="-577673603"/>
          </w:sdtPr>
          <w:sdtEndPr/>
          <w:sdtContent>
            <w:tc>
              <w:tcPr>
                <w:tcW w:w="6044" w:type="dxa"/>
              </w:tcPr>
              <w:p w14:paraId="6EE05CA9" w14:textId="77777777" w:rsidR="00E57DAA" w:rsidRDefault="00AC4185">
                <w:pPr>
                  <w:rPr>
                    <w:szCs w:val="21"/>
                  </w:rPr>
                </w:pPr>
                <w:r>
                  <w:rPr>
                    <w:rFonts w:hint="eastAsia"/>
                    <w:szCs w:val="21"/>
                  </w:rPr>
                  <w:t>董事、监事报酬由董事会、监事会审议后提交股东大会审议通过。《公司高管人员薪酬及考核办法》等规定的高级管理人员报酬由董事会薪酬与考核委员会考核后制定薪酬方案，经董事会审议通过。</w:t>
                </w:r>
              </w:p>
            </w:tc>
          </w:sdtContent>
        </w:sdt>
      </w:tr>
      <w:tr w:rsidR="00E57DAA" w14:paraId="4A8BC4E4" w14:textId="77777777" w:rsidTr="00C25422">
        <w:trPr>
          <w:trHeight w:val="120"/>
        </w:trPr>
        <w:tc>
          <w:tcPr>
            <w:tcW w:w="2779" w:type="dxa"/>
          </w:tcPr>
          <w:p w14:paraId="7A34B344" w14:textId="77777777" w:rsidR="00E57DAA" w:rsidRDefault="00AC4185" w:rsidP="00C25422">
            <w:pPr>
              <w:pStyle w:val="92"/>
            </w:pPr>
            <w:r>
              <w:rPr>
                <w:rFonts w:hint="eastAsia"/>
              </w:rPr>
              <w:t>董事在董事会讨论本人薪酬事项时是否回避</w:t>
            </w:r>
          </w:p>
        </w:tc>
        <w:sdt>
          <w:sdtPr>
            <w:rPr>
              <w:rFonts w:ascii="Times New Roman" w:hAnsi="Times New Roman"/>
              <w:szCs w:val="21"/>
            </w:rPr>
            <w:alias w:val="董事在董事会讨论本人薪酬事项时是否回避"/>
            <w:tag w:val="_GBC_5e64defbd18444939e9dface4daa0619"/>
            <w:id w:val="746454827"/>
            <w:comboBox>
              <w:listItem w:displayText="是" w:value="是"/>
              <w:listItem w:displayText="否" w:value="否"/>
            </w:comboBox>
          </w:sdtPr>
          <w:sdtEndPr/>
          <w:sdtContent>
            <w:tc>
              <w:tcPr>
                <w:tcW w:w="6044" w:type="dxa"/>
              </w:tcPr>
              <w:p w14:paraId="52CE2C71" w14:textId="77777777" w:rsidR="00E57DAA" w:rsidRDefault="00AC4185">
                <w:pPr>
                  <w:rPr>
                    <w:szCs w:val="21"/>
                  </w:rPr>
                </w:pPr>
                <w:r>
                  <w:rPr>
                    <w:szCs w:val="21"/>
                  </w:rPr>
                  <w:t>是</w:t>
                </w:r>
              </w:p>
            </w:tc>
          </w:sdtContent>
        </w:sdt>
      </w:tr>
      <w:tr w:rsidR="00E57DAA" w14:paraId="74A63420" w14:textId="77777777" w:rsidTr="00C25422">
        <w:trPr>
          <w:trHeight w:val="120"/>
        </w:trPr>
        <w:tc>
          <w:tcPr>
            <w:tcW w:w="2779" w:type="dxa"/>
          </w:tcPr>
          <w:p w14:paraId="6F0D307F" w14:textId="77777777" w:rsidR="00E57DAA" w:rsidRDefault="00AC4185" w:rsidP="00C25422">
            <w:pPr>
              <w:pStyle w:val="92"/>
            </w:pPr>
            <w:r>
              <w:rPr>
                <w:rFonts w:hint="eastAsia"/>
              </w:rPr>
              <w:t>薪酬与考核委员会或独立董事专门会议关于董事、监事、高级管理人员报酬事项发表建议的具体情况</w:t>
            </w:r>
          </w:p>
        </w:tc>
        <w:tc>
          <w:tcPr>
            <w:tcW w:w="6044" w:type="dxa"/>
          </w:tcPr>
          <w:p w14:paraId="680A77E3" w14:textId="77777777" w:rsidR="00E57DAA" w:rsidRDefault="00AC4185">
            <w:pPr>
              <w:rPr>
                <w:color w:val="FF0000"/>
                <w:szCs w:val="21"/>
              </w:rPr>
            </w:pPr>
            <w:r>
              <w:rPr>
                <w:rFonts w:hint="eastAsia"/>
                <w:szCs w:val="21"/>
              </w:rPr>
              <w:t>第七届董事会薪酬与考核委员会第十二次会议和第十四次会议分别对公司高管2</w:t>
            </w:r>
            <w:r>
              <w:rPr>
                <w:szCs w:val="21"/>
              </w:rPr>
              <w:t>022</w:t>
            </w:r>
            <w:r>
              <w:rPr>
                <w:rFonts w:hint="eastAsia"/>
                <w:szCs w:val="21"/>
              </w:rPr>
              <w:t>年经营业绩考核结果、薪酬和外部董事2022年薪酬进行了审议，根据2</w:t>
            </w:r>
            <w:r>
              <w:rPr>
                <w:szCs w:val="21"/>
              </w:rPr>
              <w:t>022</w:t>
            </w:r>
            <w:r>
              <w:rPr>
                <w:rFonts w:hint="eastAsia"/>
                <w:szCs w:val="21"/>
              </w:rPr>
              <w:t>年度管理层经营业绩考核结果和</w:t>
            </w:r>
            <w:r>
              <w:rPr>
                <w:szCs w:val="21"/>
              </w:rPr>
              <w:t>董事会评级结果</w:t>
            </w:r>
            <w:r>
              <w:rPr>
                <w:rFonts w:hint="eastAsia"/>
                <w:szCs w:val="21"/>
              </w:rPr>
              <w:t>，结合个人履职情况，核定高管、董事的2</w:t>
            </w:r>
            <w:r>
              <w:rPr>
                <w:szCs w:val="21"/>
              </w:rPr>
              <w:t>022</w:t>
            </w:r>
            <w:r>
              <w:rPr>
                <w:rFonts w:hint="eastAsia"/>
                <w:szCs w:val="21"/>
              </w:rPr>
              <w:t>年度薪酬，全体委员在审议相关薪酬方案时，均发表了同意的审核意见，同意薪酬方案提请董事会审议。</w:t>
            </w:r>
          </w:p>
        </w:tc>
      </w:tr>
      <w:tr w:rsidR="00E57DAA" w14:paraId="0132D2B8" w14:textId="77777777" w:rsidTr="00C25422">
        <w:trPr>
          <w:trHeight w:val="165"/>
        </w:trPr>
        <w:tc>
          <w:tcPr>
            <w:tcW w:w="2779" w:type="dxa"/>
          </w:tcPr>
          <w:p w14:paraId="272AA8B6" w14:textId="77777777" w:rsidR="00E57DAA" w:rsidRDefault="00AC4185">
            <w:pPr>
              <w:rPr>
                <w:szCs w:val="21"/>
              </w:rPr>
            </w:pPr>
            <w:r>
              <w:rPr>
                <w:szCs w:val="21"/>
              </w:rPr>
              <w:t>董事、监事、高级管理人员报酬确定依据</w:t>
            </w:r>
          </w:p>
        </w:tc>
        <w:tc>
          <w:tcPr>
            <w:tcW w:w="6044" w:type="dxa"/>
          </w:tcPr>
          <w:p w14:paraId="2A9715FA" w14:textId="77777777" w:rsidR="00E57DAA" w:rsidRDefault="00AC4185">
            <w:pPr>
              <w:rPr>
                <w:szCs w:val="21"/>
              </w:rPr>
            </w:pPr>
            <w:r>
              <w:rPr>
                <w:rFonts w:hint="eastAsia"/>
                <w:szCs w:val="21"/>
              </w:rPr>
              <w:t>董事会薪酬与考核委员会根据《公司高管人员薪酬及考核办法》、《高管团队责任期经营业绩考核办法》，依据公司年度经营业绩状况和其履行职责情况等，对其进行综合考核后根据考核结果确定其报酬。独立董事津贴按照公司股东大会批准的决议确定。</w:t>
            </w:r>
          </w:p>
        </w:tc>
      </w:tr>
      <w:tr w:rsidR="00E57DAA" w14:paraId="7125A3A8" w14:textId="77777777" w:rsidTr="00C25422">
        <w:trPr>
          <w:trHeight w:val="165"/>
        </w:trPr>
        <w:tc>
          <w:tcPr>
            <w:tcW w:w="2779" w:type="dxa"/>
          </w:tcPr>
          <w:p w14:paraId="15CA877B" w14:textId="77777777" w:rsidR="00E57DAA" w:rsidRDefault="00AC4185">
            <w:pPr>
              <w:rPr>
                <w:szCs w:val="21"/>
              </w:rPr>
            </w:pPr>
            <w:r>
              <w:rPr>
                <w:szCs w:val="21"/>
              </w:rPr>
              <w:t>董事、监事和高级管理人员报酬的</w:t>
            </w:r>
            <w:r>
              <w:rPr>
                <w:rFonts w:hint="eastAsia"/>
                <w:szCs w:val="21"/>
              </w:rPr>
              <w:t>实际支付</w:t>
            </w:r>
            <w:r>
              <w:rPr>
                <w:szCs w:val="21"/>
              </w:rPr>
              <w:t>情况</w:t>
            </w:r>
          </w:p>
        </w:tc>
        <w:tc>
          <w:tcPr>
            <w:tcW w:w="6044" w:type="dxa"/>
          </w:tcPr>
          <w:p w14:paraId="15BC3ABA" w14:textId="77777777" w:rsidR="00E57DAA" w:rsidRDefault="00AC4185">
            <w:pPr>
              <w:rPr>
                <w:szCs w:val="21"/>
              </w:rPr>
            </w:pPr>
            <w:r>
              <w:rPr>
                <w:rFonts w:hint="eastAsia"/>
                <w:szCs w:val="21"/>
              </w:rPr>
              <w:t>严格依据有权机构确定的报酬按期进行支付。</w:t>
            </w:r>
          </w:p>
        </w:tc>
      </w:tr>
      <w:tr w:rsidR="00E57DAA" w14:paraId="10BC7906" w14:textId="77777777" w:rsidTr="00C25422">
        <w:trPr>
          <w:trHeight w:val="135"/>
        </w:trPr>
        <w:tc>
          <w:tcPr>
            <w:tcW w:w="2779" w:type="dxa"/>
          </w:tcPr>
          <w:p w14:paraId="4C04616C" w14:textId="77777777" w:rsidR="00E57DAA" w:rsidRDefault="00AC4185">
            <w:pPr>
              <w:rPr>
                <w:szCs w:val="21"/>
              </w:rPr>
            </w:pPr>
            <w:r>
              <w:rPr>
                <w:szCs w:val="21"/>
              </w:rPr>
              <w:t>报告期末全体董事、监事和高级管理人员实际获得的报酬合计</w:t>
            </w:r>
          </w:p>
        </w:tc>
        <w:tc>
          <w:tcPr>
            <w:tcW w:w="6044" w:type="dxa"/>
          </w:tcPr>
          <w:p w14:paraId="5F1A585B" w14:textId="77777777" w:rsidR="00E57DAA" w:rsidRDefault="00AC4185">
            <w:pPr>
              <w:rPr>
                <w:szCs w:val="21"/>
              </w:rPr>
            </w:pPr>
            <w:r>
              <w:rPr>
                <w:szCs w:val="21"/>
              </w:rPr>
              <w:t>2,1</w:t>
            </w:r>
            <w:r>
              <w:rPr>
                <w:rFonts w:hint="eastAsia"/>
                <w:szCs w:val="21"/>
              </w:rPr>
              <w:t>25</w:t>
            </w:r>
            <w:r>
              <w:rPr>
                <w:szCs w:val="21"/>
              </w:rPr>
              <w:t>.</w:t>
            </w:r>
            <w:r>
              <w:rPr>
                <w:rFonts w:hint="eastAsia"/>
                <w:szCs w:val="21"/>
              </w:rPr>
              <w:t>21万元</w:t>
            </w:r>
          </w:p>
        </w:tc>
      </w:tr>
    </w:tbl>
    <w:p w14:paraId="297B861E" w14:textId="77777777" w:rsidR="00E57DAA" w:rsidRDefault="00E57DAA" w:rsidP="00C25422">
      <w:pPr>
        <w:pStyle w:val="92"/>
      </w:pPr>
    </w:p>
    <w:p w14:paraId="02D4E373" w14:textId="77777777" w:rsidR="00E57DAA" w:rsidRDefault="00AC4185">
      <w:pPr>
        <w:pStyle w:val="3"/>
        <w:numPr>
          <w:ilvl w:val="0"/>
          <w:numId w:val="20"/>
        </w:numPr>
      </w:pPr>
      <w:r>
        <w:t>公司董事、监事、高级管理人员变动情况</w:t>
      </w:r>
    </w:p>
    <w:sdt>
      <w:sdtPr>
        <w:alias w:val="是否适用：公司董事、监事、高级管理人员变动情况[双击切换]"/>
        <w:tag w:val="_GBC_a00df019796e4666a1adff20d55baa46"/>
        <w:id w:val="2103912767"/>
        <w:placeholder>
          <w:docPart w:val="GBC22222222222222222222222222222"/>
        </w:placeholder>
      </w:sdtPr>
      <w:sdtEndPr/>
      <w:sdtContent>
        <w:p w14:paraId="3C266F3F"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0" w:type="auto"/>
        <w:tblLook w:val="04A0" w:firstRow="1" w:lastRow="0" w:firstColumn="1" w:lastColumn="0" w:noHBand="0" w:noVBand="1"/>
      </w:tblPr>
      <w:tblGrid>
        <w:gridCol w:w="1980"/>
        <w:gridCol w:w="2548"/>
        <w:gridCol w:w="1846"/>
        <w:gridCol w:w="2449"/>
      </w:tblGrid>
      <w:tr w:rsidR="00E57DAA" w14:paraId="25A1E634" w14:textId="77777777">
        <w:trPr>
          <w:trHeight w:val="210"/>
        </w:trPr>
        <w:sdt>
          <w:sdtPr>
            <w:tag w:val="_PLD_10c0965136c84bf6abfceaef8557ae99"/>
            <w:id w:val="-1649900067"/>
          </w:sdtPr>
          <w:sdtEndPr/>
          <w:sdtContent>
            <w:tc>
              <w:tcPr>
                <w:tcW w:w="1980" w:type="dxa"/>
                <w:vAlign w:val="center"/>
              </w:tcPr>
              <w:p w14:paraId="29868DC5" w14:textId="77777777" w:rsidR="00E57DAA" w:rsidRDefault="00AC4185">
                <w:pPr>
                  <w:jc w:val="center"/>
                </w:pPr>
                <w:r>
                  <w:t>姓名</w:t>
                </w:r>
              </w:p>
            </w:tc>
          </w:sdtContent>
        </w:sdt>
        <w:sdt>
          <w:sdtPr>
            <w:tag w:val="_PLD_b53cc0c0661e4cffa4f7fa4f6423187d"/>
            <w:id w:val="-785812697"/>
          </w:sdtPr>
          <w:sdtEndPr/>
          <w:sdtContent>
            <w:tc>
              <w:tcPr>
                <w:tcW w:w="2548" w:type="dxa"/>
                <w:vAlign w:val="center"/>
              </w:tcPr>
              <w:p w14:paraId="29F98CCB" w14:textId="77777777" w:rsidR="00E57DAA" w:rsidRDefault="00AC4185">
                <w:pPr>
                  <w:jc w:val="center"/>
                </w:pPr>
                <w:r>
                  <w:t>担任的职务</w:t>
                </w:r>
              </w:p>
            </w:tc>
          </w:sdtContent>
        </w:sdt>
        <w:sdt>
          <w:sdtPr>
            <w:tag w:val="_PLD_012859f523ec430da1dfc6a86c6dde35"/>
            <w:id w:val="-53706659"/>
          </w:sdtPr>
          <w:sdtEndPr/>
          <w:sdtContent>
            <w:tc>
              <w:tcPr>
                <w:tcW w:w="1846" w:type="dxa"/>
                <w:vAlign w:val="center"/>
              </w:tcPr>
              <w:p w14:paraId="659B137F" w14:textId="77777777" w:rsidR="00E57DAA" w:rsidRDefault="00AC4185">
                <w:pPr>
                  <w:jc w:val="center"/>
                </w:pPr>
                <w:r>
                  <w:t>变动情形</w:t>
                </w:r>
              </w:p>
            </w:tc>
          </w:sdtContent>
        </w:sdt>
        <w:sdt>
          <w:sdtPr>
            <w:tag w:val="_PLD_bf76757c55de435a9638407bd56b5199"/>
            <w:id w:val="-1098255974"/>
          </w:sdtPr>
          <w:sdtEndPr/>
          <w:sdtContent>
            <w:tc>
              <w:tcPr>
                <w:tcW w:w="2449" w:type="dxa"/>
                <w:vAlign w:val="center"/>
              </w:tcPr>
              <w:p w14:paraId="0947E17B" w14:textId="77777777" w:rsidR="00E57DAA" w:rsidRDefault="00AC4185">
                <w:pPr>
                  <w:jc w:val="center"/>
                </w:pPr>
                <w:r>
                  <w:t>变动原因</w:t>
                </w:r>
              </w:p>
            </w:tc>
          </w:sdtContent>
        </w:sdt>
      </w:tr>
      <w:tr w:rsidR="00E57DAA" w14:paraId="40843B2B" w14:textId="77777777">
        <w:trPr>
          <w:trHeight w:val="105"/>
        </w:trPr>
        <w:tc>
          <w:tcPr>
            <w:tcW w:w="1980" w:type="dxa"/>
            <w:vMerge w:val="restart"/>
          </w:tcPr>
          <w:p w14:paraId="4F092D69" w14:textId="77777777" w:rsidR="00E57DAA" w:rsidRDefault="00AC4185" w:rsidP="00C25422">
            <w:pPr>
              <w:pStyle w:val="92"/>
            </w:pPr>
            <w:r>
              <w:t xml:space="preserve">刘 </w:t>
            </w:r>
            <w:r>
              <w:rPr>
                <w:rFonts w:hint="eastAsia"/>
              </w:rPr>
              <w:t xml:space="preserve"> </w:t>
            </w:r>
            <w:r>
              <w:t>燕</w:t>
            </w:r>
          </w:p>
        </w:tc>
        <w:tc>
          <w:tcPr>
            <w:tcW w:w="2548" w:type="dxa"/>
          </w:tcPr>
          <w:p w14:paraId="2E1FEACA" w14:textId="77777777" w:rsidR="00E57DAA" w:rsidRDefault="00AC4185" w:rsidP="00C25422">
            <w:pPr>
              <w:pStyle w:val="92"/>
            </w:pPr>
            <w:r>
              <w:t>董事长</w:t>
            </w:r>
          </w:p>
        </w:tc>
        <w:sdt>
          <w:sdtPr>
            <w:alias w:val="公司董事、监事、高级管理人员的变动情形"/>
            <w:tag w:val="_GBC_258f9ad482344d5fbc1587e6faf0ed7b"/>
            <w:id w:val="45187413"/>
            <w:comboBox>
              <w:listItem w:displayText="选举" w:value="选举"/>
              <w:listItem w:displayText="离任" w:value="离任"/>
              <w:listItem w:displayText="聘任" w:value="聘任"/>
              <w:listItem w:displayText="解聘" w:value="解聘"/>
            </w:comboBox>
          </w:sdtPr>
          <w:sdtEndPr/>
          <w:sdtContent>
            <w:tc>
              <w:tcPr>
                <w:tcW w:w="1846" w:type="dxa"/>
              </w:tcPr>
              <w:p w14:paraId="197F1277" w14:textId="77777777" w:rsidR="00E57DAA" w:rsidRDefault="00AC4185" w:rsidP="00C25422">
                <w:pPr>
                  <w:pStyle w:val="92"/>
                </w:pPr>
                <w:r>
                  <w:t>离任</w:t>
                </w:r>
              </w:p>
            </w:tc>
          </w:sdtContent>
        </w:sdt>
        <w:tc>
          <w:tcPr>
            <w:tcW w:w="2449" w:type="dxa"/>
          </w:tcPr>
          <w:p w14:paraId="3AF412DB" w14:textId="77777777" w:rsidR="00E57DAA" w:rsidRDefault="00AC4185" w:rsidP="00C25422">
            <w:pPr>
              <w:pStyle w:val="92"/>
            </w:pPr>
            <w:r>
              <w:t>辞任</w:t>
            </w:r>
          </w:p>
        </w:tc>
      </w:tr>
      <w:tr w:rsidR="00E57DAA" w14:paraId="270E6C3B" w14:textId="77777777">
        <w:trPr>
          <w:trHeight w:val="105"/>
        </w:trPr>
        <w:tc>
          <w:tcPr>
            <w:tcW w:w="1980" w:type="dxa"/>
            <w:vMerge/>
          </w:tcPr>
          <w:p w14:paraId="2BDEB1C5" w14:textId="77777777" w:rsidR="00E57DAA" w:rsidRDefault="00E57DAA" w:rsidP="00C25422">
            <w:pPr>
              <w:pStyle w:val="92"/>
            </w:pPr>
          </w:p>
        </w:tc>
        <w:tc>
          <w:tcPr>
            <w:tcW w:w="2548" w:type="dxa"/>
          </w:tcPr>
          <w:p w14:paraId="1956A18B" w14:textId="77777777" w:rsidR="00E57DAA" w:rsidRDefault="00AC4185" w:rsidP="00C25422">
            <w:pPr>
              <w:pStyle w:val="92"/>
            </w:pPr>
            <w:r>
              <w:t>董事</w:t>
            </w:r>
          </w:p>
        </w:tc>
        <w:tc>
          <w:tcPr>
            <w:tcW w:w="1846" w:type="dxa"/>
          </w:tcPr>
          <w:p w14:paraId="2B801635" w14:textId="77777777" w:rsidR="00E57DAA" w:rsidRDefault="00AC4185" w:rsidP="00C25422">
            <w:pPr>
              <w:pStyle w:val="92"/>
            </w:pPr>
            <w:r>
              <w:t>离任</w:t>
            </w:r>
          </w:p>
        </w:tc>
        <w:tc>
          <w:tcPr>
            <w:tcW w:w="2449" w:type="dxa"/>
          </w:tcPr>
          <w:p w14:paraId="6BE0B862" w14:textId="77777777" w:rsidR="00E57DAA" w:rsidRDefault="00AC4185" w:rsidP="00C25422">
            <w:pPr>
              <w:pStyle w:val="92"/>
            </w:pPr>
            <w:r>
              <w:t>董事会</w:t>
            </w:r>
            <w:r>
              <w:rPr>
                <w:rFonts w:hint="eastAsia"/>
              </w:rPr>
              <w:t>换届选举</w:t>
            </w:r>
          </w:p>
        </w:tc>
      </w:tr>
      <w:tr w:rsidR="00E57DAA" w14:paraId="1DBC744C" w14:textId="77777777">
        <w:trPr>
          <w:trHeight w:val="105"/>
        </w:trPr>
        <w:tc>
          <w:tcPr>
            <w:tcW w:w="1980" w:type="dxa"/>
            <w:vMerge w:val="restart"/>
          </w:tcPr>
          <w:p w14:paraId="6F5AEB2C" w14:textId="77777777" w:rsidR="00E57DAA" w:rsidRDefault="00AC4185" w:rsidP="00C25422">
            <w:pPr>
              <w:pStyle w:val="92"/>
            </w:pPr>
            <w:r>
              <w:t>印志松</w:t>
            </w:r>
          </w:p>
        </w:tc>
        <w:tc>
          <w:tcPr>
            <w:tcW w:w="2548" w:type="dxa"/>
          </w:tcPr>
          <w:p w14:paraId="0DFCEBBA" w14:textId="77777777" w:rsidR="00E57DAA" w:rsidRDefault="00AC4185" w:rsidP="00C25422">
            <w:pPr>
              <w:pStyle w:val="92"/>
            </w:pPr>
            <w:r>
              <w:t>董事长</w:t>
            </w:r>
          </w:p>
        </w:tc>
        <w:tc>
          <w:tcPr>
            <w:tcW w:w="1846" w:type="dxa"/>
          </w:tcPr>
          <w:p w14:paraId="3AEBF20C" w14:textId="77777777" w:rsidR="00E57DAA" w:rsidRDefault="00AC4185" w:rsidP="00C25422">
            <w:pPr>
              <w:pStyle w:val="92"/>
            </w:pPr>
            <w:r>
              <w:t>选举</w:t>
            </w:r>
          </w:p>
        </w:tc>
        <w:tc>
          <w:tcPr>
            <w:tcW w:w="2449" w:type="dxa"/>
          </w:tcPr>
          <w:p w14:paraId="08B18809" w14:textId="77777777" w:rsidR="00E57DAA" w:rsidRDefault="00AC4185" w:rsidP="00C25422">
            <w:pPr>
              <w:pStyle w:val="92"/>
            </w:pPr>
            <w:r>
              <w:t>董事会选举</w:t>
            </w:r>
          </w:p>
        </w:tc>
      </w:tr>
      <w:tr w:rsidR="00E57DAA" w14:paraId="70FCBC63" w14:textId="77777777">
        <w:trPr>
          <w:trHeight w:val="105"/>
        </w:trPr>
        <w:tc>
          <w:tcPr>
            <w:tcW w:w="1980" w:type="dxa"/>
            <w:vMerge/>
          </w:tcPr>
          <w:p w14:paraId="61C655D5" w14:textId="77777777" w:rsidR="00E57DAA" w:rsidRDefault="00E57DAA" w:rsidP="00C25422">
            <w:pPr>
              <w:pStyle w:val="92"/>
            </w:pPr>
          </w:p>
        </w:tc>
        <w:tc>
          <w:tcPr>
            <w:tcW w:w="2548" w:type="dxa"/>
          </w:tcPr>
          <w:p w14:paraId="10D7BE7F" w14:textId="77777777" w:rsidR="00E57DAA" w:rsidRDefault="00AC4185" w:rsidP="00C25422">
            <w:pPr>
              <w:pStyle w:val="92"/>
            </w:pPr>
            <w:r>
              <w:t>总裁</w:t>
            </w:r>
          </w:p>
        </w:tc>
        <w:tc>
          <w:tcPr>
            <w:tcW w:w="1846" w:type="dxa"/>
          </w:tcPr>
          <w:p w14:paraId="3FB3DA1D" w14:textId="77777777" w:rsidR="00E57DAA" w:rsidRDefault="00AC4185" w:rsidP="00C25422">
            <w:pPr>
              <w:pStyle w:val="92"/>
            </w:pPr>
            <w:r>
              <w:t>离任</w:t>
            </w:r>
          </w:p>
        </w:tc>
        <w:tc>
          <w:tcPr>
            <w:tcW w:w="2449" w:type="dxa"/>
          </w:tcPr>
          <w:p w14:paraId="71C36B6A" w14:textId="77777777" w:rsidR="00E57DAA" w:rsidRDefault="00AC4185" w:rsidP="00C25422">
            <w:pPr>
              <w:pStyle w:val="92"/>
            </w:pPr>
            <w:r>
              <w:t>工作调整</w:t>
            </w:r>
          </w:p>
        </w:tc>
      </w:tr>
      <w:tr w:rsidR="00E57DAA" w14:paraId="6440B457" w14:textId="77777777">
        <w:trPr>
          <w:trHeight w:val="105"/>
        </w:trPr>
        <w:tc>
          <w:tcPr>
            <w:tcW w:w="1980" w:type="dxa"/>
            <w:vMerge w:val="restart"/>
          </w:tcPr>
          <w:p w14:paraId="2AD41DF9" w14:textId="77777777" w:rsidR="00E57DAA" w:rsidRDefault="00AC4185" w:rsidP="00C25422">
            <w:pPr>
              <w:pStyle w:val="92"/>
            </w:pPr>
            <w:r>
              <w:t xml:space="preserve">朱 </w:t>
            </w:r>
            <w:r>
              <w:rPr>
                <w:rFonts w:hint="eastAsia"/>
              </w:rPr>
              <w:t xml:space="preserve"> </w:t>
            </w:r>
            <w:r>
              <w:t>兵</w:t>
            </w:r>
          </w:p>
        </w:tc>
        <w:tc>
          <w:tcPr>
            <w:tcW w:w="2548" w:type="dxa"/>
          </w:tcPr>
          <w:p w14:paraId="268EA49D" w14:textId="77777777" w:rsidR="00E57DAA" w:rsidRDefault="00AC4185" w:rsidP="00C25422">
            <w:pPr>
              <w:pStyle w:val="92"/>
            </w:pPr>
            <w:r>
              <w:t>总裁</w:t>
            </w:r>
          </w:p>
        </w:tc>
        <w:tc>
          <w:tcPr>
            <w:tcW w:w="1846" w:type="dxa"/>
          </w:tcPr>
          <w:p w14:paraId="494DD5A1" w14:textId="77777777" w:rsidR="00E57DAA" w:rsidRDefault="00AC4185" w:rsidP="00C25422">
            <w:pPr>
              <w:pStyle w:val="92"/>
            </w:pPr>
            <w:r>
              <w:t>聘任</w:t>
            </w:r>
          </w:p>
        </w:tc>
        <w:tc>
          <w:tcPr>
            <w:tcW w:w="2449" w:type="dxa"/>
          </w:tcPr>
          <w:p w14:paraId="4A095CFA" w14:textId="77777777" w:rsidR="00E57DAA" w:rsidRDefault="00AC4185" w:rsidP="00C25422">
            <w:pPr>
              <w:pStyle w:val="92"/>
            </w:pPr>
            <w:r>
              <w:t>董事会聘任</w:t>
            </w:r>
          </w:p>
        </w:tc>
      </w:tr>
      <w:tr w:rsidR="00E57DAA" w14:paraId="775DB6D8" w14:textId="77777777">
        <w:trPr>
          <w:trHeight w:val="105"/>
        </w:trPr>
        <w:tc>
          <w:tcPr>
            <w:tcW w:w="1980" w:type="dxa"/>
            <w:vMerge/>
          </w:tcPr>
          <w:p w14:paraId="21535F6C" w14:textId="77777777" w:rsidR="00E57DAA" w:rsidRDefault="00E57DAA" w:rsidP="00C25422">
            <w:pPr>
              <w:pStyle w:val="92"/>
            </w:pPr>
          </w:p>
        </w:tc>
        <w:tc>
          <w:tcPr>
            <w:tcW w:w="2548" w:type="dxa"/>
          </w:tcPr>
          <w:p w14:paraId="168088B4" w14:textId="77777777" w:rsidR="00E57DAA" w:rsidRDefault="00AC4185" w:rsidP="00C25422">
            <w:pPr>
              <w:pStyle w:val="92"/>
            </w:pPr>
            <w:r>
              <w:t>副总裁</w:t>
            </w:r>
          </w:p>
        </w:tc>
        <w:tc>
          <w:tcPr>
            <w:tcW w:w="1846" w:type="dxa"/>
          </w:tcPr>
          <w:p w14:paraId="5C092C64" w14:textId="77777777" w:rsidR="00E57DAA" w:rsidRDefault="00AC4185" w:rsidP="00C25422">
            <w:pPr>
              <w:pStyle w:val="92"/>
            </w:pPr>
            <w:r>
              <w:t>离任</w:t>
            </w:r>
          </w:p>
        </w:tc>
        <w:tc>
          <w:tcPr>
            <w:tcW w:w="2449" w:type="dxa"/>
          </w:tcPr>
          <w:p w14:paraId="66F8F1B6" w14:textId="77777777" w:rsidR="00E57DAA" w:rsidRDefault="00AC4185" w:rsidP="00C25422">
            <w:pPr>
              <w:pStyle w:val="92"/>
            </w:pPr>
            <w:r>
              <w:t>工作调整</w:t>
            </w:r>
          </w:p>
        </w:tc>
      </w:tr>
      <w:tr w:rsidR="00E57DAA" w14:paraId="48F21FE0" w14:textId="77777777">
        <w:trPr>
          <w:trHeight w:val="105"/>
        </w:trPr>
        <w:tc>
          <w:tcPr>
            <w:tcW w:w="1980" w:type="dxa"/>
          </w:tcPr>
          <w:p w14:paraId="613C739A" w14:textId="77777777" w:rsidR="00E57DAA" w:rsidRDefault="00AC4185" w:rsidP="00C25422">
            <w:pPr>
              <w:pStyle w:val="92"/>
            </w:pPr>
            <w:r>
              <w:t>余明清</w:t>
            </w:r>
          </w:p>
        </w:tc>
        <w:tc>
          <w:tcPr>
            <w:tcW w:w="2548" w:type="dxa"/>
          </w:tcPr>
          <w:p w14:paraId="672BD3F4" w14:textId="77777777" w:rsidR="00E57DAA" w:rsidRDefault="00AC4185" w:rsidP="00C25422">
            <w:pPr>
              <w:pStyle w:val="92"/>
            </w:pPr>
            <w:r>
              <w:t>董事</w:t>
            </w:r>
          </w:p>
        </w:tc>
        <w:tc>
          <w:tcPr>
            <w:tcW w:w="1846" w:type="dxa"/>
          </w:tcPr>
          <w:p w14:paraId="176F1EE5" w14:textId="77777777" w:rsidR="00E57DAA" w:rsidRDefault="00AC4185" w:rsidP="00C25422">
            <w:pPr>
              <w:pStyle w:val="92"/>
            </w:pPr>
            <w:r>
              <w:t>离任</w:t>
            </w:r>
          </w:p>
        </w:tc>
        <w:tc>
          <w:tcPr>
            <w:tcW w:w="2449" w:type="dxa"/>
          </w:tcPr>
          <w:p w14:paraId="1D00F635" w14:textId="77777777" w:rsidR="00E57DAA" w:rsidRDefault="00AC4185" w:rsidP="00C25422">
            <w:pPr>
              <w:pStyle w:val="92"/>
            </w:pPr>
            <w:r>
              <w:t>董事会</w:t>
            </w:r>
            <w:r>
              <w:rPr>
                <w:rFonts w:hint="eastAsia"/>
              </w:rPr>
              <w:t>换届选举</w:t>
            </w:r>
          </w:p>
        </w:tc>
      </w:tr>
      <w:tr w:rsidR="00E57DAA" w14:paraId="78E77ABA" w14:textId="77777777">
        <w:trPr>
          <w:trHeight w:val="105"/>
        </w:trPr>
        <w:tc>
          <w:tcPr>
            <w:tcW w:w="1980" w:type="dxa"/>
          </w:tcPr>
          <w:p w14:paraId="0BBDBF4D" w14:textId="77777777" w:rsidR="00E57DAA" w:rsidRDefault="00AC4185" w:rsidP="00C25422">
            <w:pPr>
              <w:pStyle w:val="92"/>
            </w:pPr>
            <w:r>
              <w:t>蒋中文</w:t>
            </w:r>
          </w:p>
        </w:tc>
        <w:tc>
          <w:tcPr>
            <w:tcW w:w="2548" w:type="dxa"/>
          </w:tcPr>
          <w:p w14:paraId="0960A82B" w14:textId="77777777" w:rsidR="00E57DAA" w:rsidRDefault="00AC4185" w:rsidP="00C25422">
            <w:pPr>
              <w:pStyle w:val="92"/>
            </w:pPr>
            <w:r>
              <w:t>董事</w:t>
            </w:r>
          </w:p>
        </w:tc>
        <w:tc>
          <w:tcPr>
            <w:tcW w:w="1846" w:type="dxa"/>
          </w:tcPr>
          <w:p w14:paraId="5C204021" w14:textId="77777777" w:rsidR="00E57DAA" w:rsidRDefault="00AC4185" w:rsidP="00C25422">
            <w:pPr>
              <w:pStyle w:val="92"/>
            </w:pPr>
            <w:r>
              <w:t>离任</w:t>
            </w:r>
          </w:p>
        </w:tc>
        <w:tc>
          <w:tcPr>
            <w:tcW w:w="2449" w:type="dxa"/>
          </w:tcPr>
          <w:p w14:paraId="5C4908E7" w14:textId="77777777" w:rsidR="00E57DAA" w:rsidRDefault="00AC4185" w:rsidP="00C25422">
            <w:pPr>
              <w:pStyle w:val="92"/>
            </w:pPr>
            <w:r>
              <w:t>董事会</w:t>
            </w:r>
            <w:r>
              <w:rPr>
                <w:rFonts w:hint="eastAsia"/>
              </w:rPr>
              <w:t>换届选举</w:t>
            </w:r>
          </w:p>
        </w:tc>
      </w:tr>
      <w:tr w:rsidR="00E57DAA" w14:paraId="6424CA54" w14:textId="77777777">
        <w:trPr>
          <w:trHeight w:val="105"/>
        </w:trPr>
        <w:tc>
          <w:tcPr>
            <w:tcW w:w="1980" w:type="dxa"/>
          </w:tcPr>
          <w:p w14:paraId="635C3897" w14:textId="77777777" w:rsidR="00E57DAA" w:rsidRDefault="00AC4185" w:rsidP="00C25422">
            <w:pPr>
              <w:pStyle w:val="92"/>
            </w:pPr>
            <w:r>
              <w:t>王 兵</w:t>
            </w:r>
          </w:p>
        </w:tc>
        <w:tc>
          <w:tcPr>
            <w:tcW w:w="2548" w:type="dxa"/>
          </w:tcPr>
          <w:p w14:paraId="63F3DEFB" w14:textId="77777777" w:rsidR="00E57DAA" w:rsidRDefault="00AC4185" w:rsidP="00C25422">
            <w:pPr>
              <w:pStyle w:val="92"/>
            </w:pPr>
            <w:r>
              <w:t>董事</w:t>
            </w:r>
          </w:p>
        </w:tc>
        <w:tc>
          <w:tcPr>
            <w:tcW w:w="1846" w:type="dxa"/>
          </w:tcPr>
          <w:p w14:paraId="1DBE3321" w14:textId="77777777" w:rsidR="00E57DAA" w:rsidRDefault="00AC4185" w:rsidP="00C25422">
            <w:pPr>
              <w:pStyle w:val="92"/>
            </w:pPr>
            <w:r>
              <w:t>选举</w:t>
            </w:r>
          </w:p>
        </w:tc>
        <w:tc>
          <w:tcPr>
            <w:tcW w:w="2449" w:type="dxa"/>
          </w:tcPr>
          <w:p w14:paraId="24BC3AB4" w14:textId="77777777" w:rsidR="00E57DAA" w:rsidRDefault="00AC4185" w:rsidP="00C25422">
            <w:pPr>
              <w:pStyle w:val="92"/>
            </w:pPr>
            <w:r>
              <w:t>董事会</w:t>
            </w:r>
            <w:r>
              <w:rPr>
                <w:rFonts w:hint="eastAsia"/>
              </w:rPr>
              <w:t>换届选举</w:t>
            </w:r>
          </w:p>
        </w:tc>
      </w:tr>
      <w:tr w:rsidR="00E57DAA" w14:paraId="4A1A80FF" w14:textId="77777777">
        <w:trPr>
          <w:trHeight w:val="105"/>
        </w:trPr>
        <w:tc>
          <w:tcPr>
            <w:tcW w:w="1980" w:type="dxa"/>
            <w:vMerge w:val="restart"/>
          </w:tcPr>
          <w:p w14:paraId="7272E888" w14:textId="77777777" w:rsidR="00E57DAA" w:rsidRDefault="00AC4185" w:rsidP="00C25422">
            <w:pPr>
              <w:pStyle w:val="92"/>
            </w:pPr>
            <w:r>
              <w:t>何小龙</w:t>
            </w:r>
          </w:p>
        </w:tc>
        <w:tc>
          <w:tcPr>
            <w:tcW w:w="2548" w:type="dxa"/>
          </w:tcPr>
          <w:p w14:paraId="3D4F9873" w14:textId="77777777" w:rsidR="00E57DAA" w:rsidRDefault="00AC4185" w:rsidP="00C25422">
            <w:pPr>
              <w:pStyle w:val="92"/>
            </w:pPr>
            <w:r>
              <w:t>董事</w:t>
            </w:r>
          </w:p>
        </w:tc>
        <w:tc>
          <w:tcPr>
            <w:tcW w:w="1846" w:type="dxa"/>
          </w:tcPr>
          <w:p w14:paraId="3198551C" w14:textId="77777777" w:rsidR="00E57DAA" w:rsidRDefault="00AC4185" w:rsidP="00C25422">
            <w:pPr>
              <w:pStyle w:val="92"/>
            </w:pPr>
            <w:r>
              <w:t>选举</w:t>
            </w:r>
          </w:p>
        </w:tc>
        <w:tc>
          <w:tcPr>
            <w:tcW w:w="2449" w:type="dxa"/>
          </w:tcPr>
          <w:p w14:paraId="3C05EB23" w14:textId="77777777" w:rsidR="00E57DAA" w:rsidRDefault="00AC4185" w:rsidP="00C25422">
            <w:pPr>
              <w:pStyle w:val="92"/>
            </w:pPr>
            <w:r>
              <w:t>董事会</w:t>
            </w:r>
            <w:r>
              <w:rPr>
                <w:rFonts w:hint="eastAsia"/>
              </w:rPr>
              <w:t>换届选举</w:t>
            </w:r>
          </w:p>
        </w:tc>
      </w:tr>
      <w:tr w:rsidR="00E57DAA" w14:paraId="48C84391" w14:textId="77777777">
        <w:trPr>
          <w:trHeight w:val="105"/>
        </w:trPr>
        <w:tc>
          <w:tcPr>
            <w:tcW w:w="1980" w:type="dxa"/>
            <w:vMerge/>
          </w:tcPr>
          <w:p w14:paraId="75D383F6" w14:textId="77777777" w:rsidR="00E57DAA" w:rsidRDefault="00E57DAA" w:rsidP="00C25422">
            <w:pPr>
              <w:pStyle w:val="92"/>
            </w:pPr>
          </w:p>
        </w:tc>
        <w:tc>
          <w:tcPr>
            <w:tcW w:w="2548" w:type="dxa"/>
          </w:tcPr>
          <w:p w14:paraId="4E7A5F97" w14:textId="77777777" w:rsidR="00E57DAA" w:rsidRDefault="00AC4185" w:rsidP="00C25422">
            <w:pPr>
              <w:pStyle w:val="92"/>
            </w:pPr>
            <w:r>
              <w:rPr>
                <w:rFonts w:hint="eastAsia"/>
              </w:rPr>
              <w:t>副总裁</w:t>
            </w:r>
          </w:p>
        </w:tc>
        <w:tc>
          <w:tcPr>
            <w:tcW w:w="1846" w:type="dxa"/>
          </w:tcPr>
          <w:p w14:paraId="47B1FAFF" w14:textId="77777777" w:rsidR="00E57DAA" w:rsidRDefault="00AC4185" w:rsidP="00C25422">
            <w:pPr>
              <w:pStyle w:val="92"/>
            </w:pPr>
            <w:r>
              <w:rPr>
                <w:rFonts w:hint="eastAsia"/>
              </w:rPr>
              <w:t>离任</w:t>
            </w:r>
          </w:p>
        </w:tc>
        <w:tc>
          <w:tcPr>
            <w:tcW w:w="2449" w:type="dxa"/>
          </w:tcPr>
          <w:p w14:paraId="11F6EBFF" w14:textId="77777777" w:rsidR="00E57DAA" w:rsidRDefault="00AC4185" w:rsidP="00C25422">
            <w:pPr>
              <w:pStyle w:val="92"/>
            </w:pPr>
            <w:r>
              <w:rPr>
                <w:rFonts w:hint="eastAsia"/>
              </w:rPr>
              <w:t>辞任</w:t>
            </w:r>
          </w:p>
        </w:tc>
      </w:tr>
      <w:tr w:rsidR="00E57DAA" w14:paraId="759F99C6" w14:textId="77777777">
        <w:trPr>
          <w:trHeight w:val="105"/>
        </w:trPr>
        <w:tc>
          <w:tcPr>
            <w:tcW w:w="1980" w:type="dxa"/>
          </w:tcPr>
          <w:p w14:paraId="45D4F8C7" w14:textId="77777777" w:rsidR="00E57DAA" w:rsidRDefault="00AC4185" w:rsidP="00C25422">
            <w:pPr>
              <w:pStyle w:val="92"/>
            </w:pPr>
            <w:r>
              <w:t>蔡军恒</w:t>
            </w:r>
          </w:p>
        </w:tc>
        <w:tc>
          <w:tcPr>
            <w:tcW w:w="2548" w:type="dxa"/>
          </w:tcPr>
          <w:p w14:paraId="1658C1BD" w14:textId="77777777" w:rsidR="00E57DAA" w:rsidRDefault="00AC4185" w:rsidP="00C25422">
            <w:pPr>
              <w:pStyle w:val="92"/>
            </w:pPr>
            <w:r>
              <w:t>董事</w:t>
            </w:r>
          </w:p>
        </w:tc>
        <w:tc>
          <w:tcPr>
            <w:tcW w:w="1846" w:type="dxa"/>
          </w:tcPr>
          <w:p w14:paraId="660D2229" w14:textId="77777777" w:rsidR="00E57DAA" w:rsidRDefault="00AC4185" w:rsidP="00C25422">
            <w:pPr>
              <w:pStyle w:val="92"/>
            </w:pPr>
            <w:r>
              <w:t>选举</w:t>
            </w:r>
          </w:p>
        </w:tc>
        <w:tc>
          <w:tcPr>
            <w:tcW w:w="2449" w:type="dxa"/>
          </w:tcPr>
          <w:p w14:paraId="20E46912" w14:textId="77777777" w:rsidR="00E57DAA" w:rsidRDefault="00AC4185" w:rsidP="00C25422">
            <w:pPr>
              <w:pStyle w:val="92"/>
            </w:pPr>
            <w:r>
              <w:t>董事会</w:t>
            </w:r>
            <w:r>
              <w:rPr>
                <w:rFonts w:hint="eastAsia"/>
              </w:rPr>
              <w:t>换届选举</w:t>
            </w:r>
          </w:p>
        </w:tc>
      </w:tr>
      <w:tr w:rsidR="00E57DAA" w14:paraId="26DC647B" w14:textId="77777777">
        <w:trPr>
          <w:trHeight w:val="105"/>
        </w:trPr>
        <w:tc>
          <w:tcPr>
            <w:tcW w:w="1980" w:type="dxa"/>
          </w:tcPr>
          <w:p w14:paraId="06DB30A7" w14:textId="77777777" w:rsidR="00E57DAA" w:rsidRDefault="00AC4185" w:rsidP="00C25422">
            <w:pPr>
              <w:pStyle w:val="92"/>
            </w:pPr>
            <w:r>
              <w:t>张晓燕</w:t>
            </w:r>
          </w:p>
        </w:tc>
        <w:tc>
          <w:tcPr>
            <w:tcW w:w="2548" w:type="dxa"/>
          </w:tcPr>
          <w:p w14:paraId="21E6238D" w14:textId="77777777" w:rsidR="00E57DAA" w:rsidRDefault="00AC4185" w:rsidP="00C25422">
            <w:pPr>
              <w:pStyle w:val="92"/>
            </w:pPr>
            <w:r>
              <w:t>独立董事</w:t>
            </w:r>
          </w:p>
        </w:tc>
        <w:tc>
          <w:tcPr>
            <w:tcW w:w="1846" w:type="dxa"/>
          </w:tcPr>
          <w:p w14:paraId="14EEAA7F" w14:textId="77777777" w:rsidR="00E57DAA" w:rsidRDefault="00AC4185" w:rsidP="00C25422">
            <w:pPr>
              <w:pStyle w:val="92"/>
            </w:pPr>
            <w:r>
              <w:t>离任</w:t>
            </w:r>
          </w:p>
        </w:tc>
        <w:tc>
          <w:tcPr>
            <w:tcW w:w="2449" w:type="dxa"/>
          </w:tcPr>
          <w:p w14:paraId="230F8E8C" w14:textId="77777777" w:rsidR="00E57DAA" w:rsidRDefault="00AC4185" w:rsidP="00C25422">
            <w:pPr>
              <w:pStyle w:val="92"/>
            </w:pPr>
            <w:r>
              <w:rPr>
                <w:rFonts w:hint="eastAsia"/>
              </w:rPr>
              <w:t>董事会换届选举</w:t>
            </w:r>
          </w:p>
        </w:tc>
      </w:tr>
      <w:tr w:rsidR="00E57DAA" w14:paraId="11D83324" w14:textId="77777777">
        <w:trPr>
          <w:trHeight w:val="105"/>
        </w:trPr>
        <w:tc>
          <w:tcPr>
            <w:tcW w:w="1980" w:type="dxa"/>
          </w:tcPr>
          <w:p w14:paraId="7007916E" w14:textId="77777777" w:rsidR="00E57DAA" w:rsidRDefault="00AC4185" w:rsidP="00C25422">
            <w:pPr>
              <w:pStyle w:val="92"/>
            </w:pPr>
            <w:r>
              <w:t>鞠 源</w:t>
            </w:r>
          </w:p>
        </w:tc>
        <w:tc>
          <w:tcPr>
            <w:tcW w:w="2548" w:type="dxa"/>
          </w:tcPr>
          <w:p w14:paraId="6D63257D" w14:textId="77777777" w:rsidR="00E57DAA" w:rsidRDefault="00AC4185" w:rsidP="00C25422">
            <w:pPr>
              <w:pStyle w:val="92"/>
            </w:pPr>
            <w:r>
              <w:t>独立董事</w:t>
            </w:r>
          </w:p>
        </w:tc>
        <w:tc>
          <w:tcPr>
            <w:tcW w:w="1846" w:type="dxa"/>
          </w:tcPr>
          <w:p w14:paraId="0FA2286B" w14:textId="77777777" w:rsidR="00E57DAA" w:rsidRDefault="00AC4185" w:rsidP="00C25422">
            <w:pPr>
              <w:pStyle w:val="92"/>
            </w:pPr>
            <w:r>
              <w:t>选举</w:t>
            </w:r>
          </w:p>
        </w:tc>
        <w:tc>
          <w:tcPr>
            <w:tcW w:w="2449" w:type="dxa"/>
          </w:tcPr>
          <w:p w14:paraId="5AF55C06" w14:textId="77777777" w:rsidR="00E57DAA" w:rsidRDefault="00AC4185" w:rsidP="00C25422">
            <w:pPr>
              <w:pStyle w:val="92"/>
            </w:pPr>
            <w:r>
              <w:t>董事会</w:t>
            </w:r>
            <w:r>
              <w:rPr>
                <w:rFonts w:hint="eastAsia"/>
              </w:rPr>
              <w:t>换届选举</w:t>
            </w:r>
          </w:p>
        </w:tc>
      </w:tr>
      <w:tr w:rsidR="00E57DAA" w14:paraId="312935BF" w14:textId="77777777">
        <w:trPr>
          <w:trHeight w:val="105"/>
        </w:trPr>
        <w:tc>
          <w:tcPr>
            <w:tcW w:w="1980" w:type="dxa"/>
          </w:tcPr>
          <w:p w14:paraId="2E2EA134" w14:textId="77777777" w:rsidR="00E57DAA" w:rsidRDefault="00AC4185" w:rsidP="00C25422">
            <w:pPr>
              <w:pStyle w:val="92"/>
            </w:pPr>
            <w:r>
              <w:t>胡金玉</w:t>
            </w:r>
          </w:p>
        </w:tc>
        <w:tc>
          <w:tcPr>
            <w:tcW w:w="2548" w:type="dxa"/>
          </w:tcPr>
          <w:p w14:paraId="4DEB1969" w14:textId="77777777" w:rsidR="00E57DAA" w:rsidRDefault="00AC4185" w:rsidP="00C25422">
            <w:pPr>
              <w:pStyle w:val="92"/>
            </w:pPr>
            <w:r>
              <w:rPr>
                <w:rFonts w:hint="eastAsia"/>
              </w:rPr>
              <w:t>监事及</w:t>
            </w:r>
            <w:r>
              <w:t>监事会主席</w:t>
            </w:r>
          </w:p>
        </w:tc>
        <w:tc>
          <w:tcPr>
            <w:tcW w:w="1846" w:type="dxa"/>
          </w:tcPr>
          <w:p w14:paraId="4F3AC2F6" w14:textId="77777777" w:rsidR="00E57DAA" w:rsidRDefault="00AC4185" w:rsidP="00C25422">
            <w:pPr>
              <w:pStyle w:val="92"/>
            </w:pPr>
            <w:r>
              <w:t>离任</w:t>
            </w:r>
          </w:p>
        </w:tc>
        <w:tc>
          <w:tcPr>
            <w:tcW w:w="2449" w:type="dxa"/>
          </w:tcPr>
          <w:p w14:paraId="1C562DD6" w14:textId="77777777" w:rsidR="00E57DAA" w:rsidRDefault="00AC4185" w:rsidP="00C25422">
            <w:pPr>
              <w:pStyle w:val="92"/>
            </w:pPr>
            <w:r>
              <w:t>监事会</w:t>
            </w:r>
            <w:r>
              <w:rPr>
                <w:rFonts w:hint="eastAsia"/>
              </w:rPr>
              <w:t>换届选举</w:t>
            </w:r>
          </w:p>
        </w:tc>
      </w:tr>
      <w:tr w:rsidR="00E57DAA" w14:paraId="221C1F8C" w14:textId="77777777">
        <w:trPr>
          <w:trHeight w:val="105"/>
        </w:trPr>
        <w:tc>
          <w:tcPr>
            <w:tcW w:w="1980" w:type="dxa"/>
          </w:tcPr>
          <w:p w14:paraId="14FFB369" w14:textId="77777777" w:rsidR="00E57DAA" w:rsidRDefault="00AC4185" w:rsidP="00C25422">
            <w:pPr>
              <w:pStyle w:val="92"/>
            </w:pPr>
            <w:r>
              <w:t>于月华</w:t>
            </w:r>
          </w:p>
        </w:tc>
        <w:tc>
          <w:tcPr>
            <w:tcW w:w="2548" w:type="dxa"/>
          </w:tcPr>
          <w:p w14:paraId="30928083" w14:textId="77777777" w:rsidR="00E57DAA" w:rsidRDefault="00AC4185" w:rsidP="00C25422">
            <w:pPr>
              <w:pStyle w:val="92"/>
            </w:pPr>
            <w:r>
              <w:rPr>
                <w:rFonts w:hint="eastAsia"/>
              </w:rPr>
              <w:t>监事及</w:t>
            </w:r>
            <w:r>
              <w:t>监事会主席</w:t>
            </w:r>
          </w:p>
        </w:tc>
        <w:tc>
          <w:tcPr>
            <w:tcW w:w="1846" w:type="dxa"/>
          </w:tcPr>
          <w:p w14:paraId="7F58F25C" w14:textId="77777777" w:rsidR="00E57DAA" w:rsidRDefault="00AC4185" w:rsidP="00C25422">
            <w:pPr>
              <w:pStyle w:val="92"/>
            </w:pPr>
            <w:r>
              <w:t>选举</w:t>
            </w:r>
          </w:p>
        </w:tc>
        <w:tc>
          <w:tcPr>
            <w:tcW w:w="2449" w:type="dxa"/>
          </w:tcPr>
          <w:p w14:paraId="1256AC49" w14:textId="77777777" w:rsidR="00E57DAA" w:rsidRDefault="00AC4185" w:rsidP="00C25422">
            <w:pPr>
              <w:pStyle w:val="92"/>
            </w:pPr>
            <w:r>
              <w:t>监事会</w:t>
            </w:r>
            <w:r>
              <w:rPr>
                <w:rFonts w:hint="eastAsia"/>
              </w:rPr>
              <w:t>换届</w:t>
            </w:r>
            <w:r>
              <w:t>选举</w:t>
            </w:r>
          </w:p>
        </w:tc>
      </w:tr>
      <w:tr w:rsidR="00E57DAA" w14:paraId="64D146A3" w14:textId="77777777">
        <w:trPr>
          <w:trHeight w:val="105"/>
        </w:trPr>
        <w:tc>
          <w:tcPr>
            <w:tcW w:w="1980" w:type="dxa"/>
          </w:tcPr>
          <w:p w14:paraId="2BF30C16" w14:textId="77777777" w:rsidR="00E57DAA" w:rsidRDefault="00AC4185" w:rsidP="00C25422">
            <w:pPr>
              <w:pStyle w:val="92"/>
            </w:pPr>
            <w:r>
              <w:rPr>
                <w:rFonts w:hint="eastAsia"/>
              </w:rPr>
              <w:t xml:space="preserve">焦 </w:t>
            </w:r>
            <w:r>
              <w:t xml:space="preserve"> </w:t>
            </w:r>
            <w:r>
              <w:rPr>
                <w:rFonts w:hint="eastAsia"/>
              </w:rPr>
              <w:t>烽</w:t>
            </w:r>
          </w:p>
        </w:tc>
        <w:tc>
          <w:tcPr>
            <w:tcW w:w="2548" w:type="dxa"/>
          </w:tcPr>
          <w:p w14:paraId="262373BF" w14:textId="77777777" w:rsidR="00E57DAA" w:rsidRDefault="00AC4185" w:rsidP="00C25422">
            <w:pPr>
              <w:pStyle w:val="92"/>
            </w:pPr>
            <w:r>
              <w:rPr>
                <w:rFonts w:hint="eastAsia"/>
              </w:rPr>
              <w:t>副总裁</w:t>
            </w:r>
          </w:p>
        </w:tc>
        <w:tc>
          <w:tcPr>
            <w:tcW w:w="1846" w:type="dxa"/>
          </w:tcPr>
          <w:p w14:paraId="391C325D" w14:textId="77777777" w:rsidR="00E57DAA" w:rsidRDefault="00AC4185" w:rsidP="00C25422">
            <w:pPr>
              <w:pStyle w:val="92"/>
            </w:pPr>
            <w:r>
              <w:rPr>
                <w:rFonts w:hint="eastAsia"/>
              </w:rPr>
              <w:t>离任</w:t>
            </w:r>
          </w:p>
        </w:tc>
        <w:tc>
          <w:tcPr>
            <w:tcW w:w="2449" w:type="dxa"/>
          </w:tcPr>
          <w:p w14:paraId="09C4FAAC" w14:textId="77777777" w:rsidR="00E57DAA" w:rsidRDefault="00AC4185" w:rsidP="00C25422">
            <w:pPr>
              <w:pStyle w:val="92"/>
            </w:pPr>
            <w:r>
              <w:rPr>
                <w:rFonts w:hint="eastAsia"/>
              </w:rPr>
              <w:t>高级管理人员换届</w:t>
            </w:r>
          </w:p>
        </w:tc>
      </w:tr>
      <w:tr w:rsidR="00E57DAA" w14:paraId="69BF6163" w14:textId="77777777">
        <w:trPr>
          <w:trHeight w:val="105"/>
        </w:trPr>
        <w:tc>
          <w:tcPr>
            <w:tcW w:w="1980" w:type="dxa"/>
          </w:tcPr>
          <w:p w14:paraId="4B8FD739" w14:textId="77777777" w:rsidR="00E57DAA" w:rsidRDefault="00AC4185" w:rsidP="00C25422">
            <w:pPr>
              <w:pStyle w:val="92"/>
            </w:pPr>
            <w:r>
              <w:t>刘仁越</w:t>
            </w:r>
          </w:p>
        </w:tc>
        <w:tc>
          <w:tcPr>
            <w:tcW w:w="2548" w:type="dxa"/>
          </w:tcPr>
          <w:p w14:paraId="684070C8" w14:textId="77777777" w:rsidR="00E57DAA" w:rsidRDefault="00AC4185" w:rsidP="00C25422">
            <w:pPr>
              <w:pStyle w:val="92"/>
            </w:pPr>
            <w:r>
              <w:t>副总裁</w:t>
            </w:r>
          </w:p>
        </w:tc>
        <w:tc>
          <w:tcPr>
            <w:tcW w:w="1846" w:type="dxa"/>
          </w:tcPr>
          <w:p w14:paraId="0B33A903" w14:textId="77777777" w:rsidR="00E57DAA" w:rsidRDefault="00AC4185" w:rsidP="00C25422">
            <w:pPr>
              <w:pStyle w:val="92"/>
            </w:pPr>
            <w:r>
              <w:t>聘任</w:t>
            </w:r>
          </w:p>
        </w:tc>
        <w:tc>
          <w:tcPr>
            <w:tcW w:w="2449" w:type="dxa"/>
          </w:tcPr>
          <w:p w14:paraId="57E79155" w14:textId="77777777" w:rsidR="00E57DAA" w:rsidRDefault="00AC4185" w:rsidP="00C25422">
            <w:pPr>
              <w:pStyle w:val="92"/>
            </w:pPr>
            <w:r>
              <w:t>董事会聘任</w:t>
            </w:r>
          </w:p>
        </w:tc>
      </w:tr>
      <w:tr w:rsidR="00E57DAA" w14:paraId="64AEAF30" w14:textId="77777777">
        <w:trPr>
          <w:trHeight w:val="105"/>
        </w:trPr>
        <w:tc>
          <w:tcPr>
            <w:tcW w:w="1980" w:type="dxa"/>
          </w:tcPr>
          <w:p w14:paraId="6E08084D" w14:textId="77777777" w:rsidR="00E57DAA" w:rsidRDefault="00AC4185" w:rsidP="00C25422">
            <w:pPr>
              <w:pStyle w:val="92"/>
            </w:pPr>
            <w:r>
              <w:t>陈增福</w:t>
            </w:r>
          </w:p>
        </w:tc>
        <w:tc>
          <w:tcPr>
            <w:tcW w:w="2548" w:type="dxa"/>
          </w:tcPr>
          <w:p w14:paraId="45335D0C" w14:textId="77777777" w:rsidR="00E57DAA" w:rsidRDefault="00AC4185" w:rsidP="00C25422">
            <w:pPr>
              <w:pStyle w:val="92"/>
            </w:pPr>
            <w:r>
              <w:t>副总裁</w:t>
            </w:r>
          </w:p>
        </w:tc>
        <w:tc>
          <w:tcPr>
            <w:tcW w:w="1846" w:type="dxa"/>
          </w:tcPr>
          <w:p w14:paraId="5E855E90" w14:textId="77777777" w:rsidR="00E57DAA" w:rsidRDefault="00AC4185" w:rsidP="00C25422">
            <w:pPr>
              <w:pStyle w:val="92"/>
            </w:pPr>
            <w:r>
              <w:t>聘任</w:t>
            </w:r>
          </w:p>
        </w:tc>
        <w:tc>
          <w:tcPr>
            <w:tcW w:w="2449" w:type="dxa"/>
          </w:tcPr>
          <w:p w14:paraId="3D89A5E9" w14:textId="77777777" w:rsidR="00E57DAA" w:rsidRDefault="00AC4185" w:rsidP="00C25422">
            <w:pPr>
              <w:pStyle w:val="92"/>
            </w:pPr>
            <w:r>
              <w:t>董事会聘任</w:t>
            </w:r>
          </w:p>
        </w:tc>
      </w:tr>
    </w:tbl>
    <w:p w14:paraId="1C83B296" w14:textId="77777777" w:rsidR="00E57DAA" w:rsidRDefault="00E57DAA" w:rsidP="00C25422">
      <w:pPr>
        <w:pStyle w:val="92"/>
      </w:pPr>
    </w:p>
    <w:p w14:paraId="0366D86C" w14:textId="77777777" w:rsidR="00E57DAA" w:rsidRDefault="00E57DAA" w:rsidP="00C25422">
      <w:pPr>
        <w:pStyle w:val="92"/>
      </w:pPr>
    </w:p>
    <w:p w14:paraId="1B8955FE" w14:textId="77777777" w:rsidR="00E57DAA" w:rsidRDefault="00AC4185">
      <w:pPr>
        <w:pStyle w:val="3"/>
        <w:numPr>
          <w:ilvl w:val="0"/>
          <w:numId w:val="20"/>
        </w:numPr>
      </w:pPr>
      <w:r>
        <w:rPr>
          <w:rFonts w:hint="eastAsia"/>
        </w:rPr>
        <w:t>近三年受证券监管机构处罚的情况说明</w:t>
      </w:r>
    </w:p>
    <w:sdt>
      <w:sdtPr>
        <w:alias w:val="是否适用：近三年受证券监管机构处罚的情况说明[双击切换]"/>
        <w:tag w:val="_GBC_7955674a80d94ddc9e00915de353286e"/>
        <w:id w:val="-362293856"/>
        <w:placeholder>
          <w:docPart w:val="GBC22222222222222222222222222222"/>
        </w:placeholder>
      </w:sdtPr>
      <w:sdtEndPr/>
      <w:sdtContent>
        <w:p w14:paraId="7EB4B1EF"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1B14A8" w14:textId="77777777" w:rsidR="00E57DAA" w:rsidRDefault="00E57DAA" w:rsidP="00C25422">
      <w:pPr>
        <w:pStyle w:val="92"/>
      </w:pPr>
    </w:p>
    <w:p w14:paraId="2AF47488" w14:textId="77777777" w:rsidR="00E57DAA" w:rsidRDefault="00AC4185">
      <w:pPr>
        <w:pStyle w:val="3"/>
        <w:numPr>
          <w:ilvl w:val="0"/>
          <w:numId w:val="20"/>
        </w:numPr>
      </w:pPr>
      <w:r>
        <w:rPr>
          <w:rFonts w:hint="eastAsia"/>
        </w:rPr>
        <w:t>其他</w:t>
      </w:r>
    </w:p>
    <w:bookmarkStart w:id="85" w:name="_Hlk89182759" w:displacedByCustomXml="next"/>
    <w:sdt>
      <w:sdtPr>
        <w:rPr>
          <w:rFonts w:hint="eastAsia"/>
          <w:bCs/>
          <w:szCs w:val="21"/>
        </w:rPr>
        <w:alias w:val="是否适用：其他董事、监事、高级管理人员情况说明[双击切换]"/>
        <w:tag w:val="_GBC_6698e1cba7354d29b0fcdbb38e7287d6"/>
        <w:id w:val="-984159264"/>
        <w:placeholder>
          <w:docPart w:val="GBC22222222222222222222222222222"/>
        </w:placeholder>
      </w:sdtPr>
      <w:sdtEndPr/>
      <w:sdtContent>
        <w:p w14:paraId="7F2756DA" w14:textId="77777777" w:rsidR="00E57DAA" w:rsidRDefault="00AC4185">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233BD40C" w14:textId="77777777" w:rsidR="00E57DAA" w:rsidRDefault="00E57DAA">
      <w:pPr>
        <w:rPr>
          <w:szCs w:val="21"/>
        </w:rPr>
      </w:pPr>
    </w:p>
    <w:p w14:paraId="494284BC" w14:textId="77777777" w:rsidR="00E57DAA" w:rsidRDefault="00AC4185">
      <w:pPr>
        <w:pStyle w:val="2"/>
        <w:numPr>
          <w:ilvl w:val="0"/>
          <w:numId w:val="19"/>
        </w:numPr>
      </w:pPr>
      <w:r>
        <w:t>报告期内召开的董事会有关情况</w:t>
      </w:r>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323"/>
        <w:gridCol w:w="5677"/>
      </w:tblGrid>
      <w:tr w:rsidR="00E57DAA" w14:paraId="77F722D5" w14:textId="77777777">
        <w:trPr>
          <w:trHeight w:val="165"/>
        </w:trPr>
        <w:bookmarkEnd w:id="85" w:displacedByCustomXml="next"/>
        <w:sdt>
          <w:sdtPr>
            <w:rPr>
              <w:szCs w:val="21"/>
            </w:rPr>
            <w:tag w:val="_PLD_419815d8d7794e1c9b7ce587c2f61ac6"/>
            <w:id w:val="1611093505"/>
          </w:sdtPr>
          <w:sdtEndPr/>
          <w:sdtContent>
            <w:tc>
              <w:tcPr>
                <w:tcW w:w="1033" w:type="pct"/>
                <w:vAlign w:val="center"/>
              </w:tcPr>
              <w:p w14:paraId="17EAF8DD" w14:textId="77777777" w:rsidR="00E57DAA" w:rsidRDefault="00AC4185">
                <w:pPr>
                  <w:jc w:val="center"/>
                  <w:rPr>
                    <w:szCs w:val="21"/>
                  </w:rPr>
                </w:pPr>
                <w:r>
                  <w:rPr>
                    <w:szCs w:val="21"/>
                  </w:rPr>
                  <w:t>会议届次</w:t>
                </w:r>
              </w:p>
            </w:tc>
          </w:sdtContent>
        </w:sdt>
        <w:sdt>
          <w:sdtPr>
            <w:rPr>
              <w:szCs w:val="21"/>
            </w:rPr>
            <w:tag w:val="_PLD_ab185594a631433a8b0a8263eb8e554f"/>
            <w:id w:val="-1010291875"/>
          </w:sdtPr>
          <w:sdtEndPr/>
          <w:sdtContent>
            <w:tc>
              <w:tcPr>
                <w:tcW w:w="750" w:type="pct"/>
                <w:vAlign w:val="center"/>
              </w:tcPr>
              <w:p w14:paraId="2C5A0496" w14:textId="77777777" w:rsidR="00E57DAA" w:rsidRDefault="00AC4185">
                <w:pPr>
                  <w:jc w:val="center"/>
                  <w:rPr>
                    <w:szCs w:val="21"/>
                  </w:rPr>
                </w:pPr>
                <w:r>
                  <w:rPr>
                    <w:szCs w:val="21"/>
                  </w:rPr>
                  <w:t>召开日期</w:t>
                </w:r>
              </w:p>
            </w:tc>
          </w:sdtContent>
        </w:sdt>
        <w:sdt>
          <w:sdtPr>
            <w:rPr>
              <w:rFonts w:hint="eastAsia"/>
              <w:szCs w:val="21"/>
            </w:rPr>
            <w:tag w:val="_PLD_12539db1b22e4f4592d7456feb9f22a6"/>
            <w:id w:val="-392428631"/>
          </w:sdtPr>
          <w:sdtEndPr/>
          <w:sdtContent>
            <w:tc>
              <w:tcPr>
                <w:tcW w:w="3217" w:type="pct"/>
                <w:vAlign w:val="center"/>
              </w:tcPr>
              <w:p w14:paraId="146EC137" w14:textId="77777777" w:rsidR="00E57DAA" w:rsidRDefault="00AC4185">
                <w:pPr>
                  <w:jc w:val="center"/>
                  <w:rPr>
                    <w:szCs w:val="21"/>
                  </w:rPr>
                </w:pPr>
                <w:r>
                  <w:rPr>
                    <w:rFonts w:hint="eastAsia"/>
                    <w:szCs w:val="21"/>
                  </w:rPr>
                  <w:t>会议决议</w:t>
                </w:r>
              </w:p>
            </w:tc>
          </w:sdtContent>
        </w:sdt>
      </w:tr>
      <w:tr w:rsidR="00E57DAA" w14:paraId="6069D75D" w14:textId="77777777">
        <w:trPr>
          <w:trHeight w:val="195"/>
        </w:trPr>
        <w:tc>
          <w:tcPr>
            <w:tcW w:w="1033" w:type="pct"/>
          </w:tcPr>
          <w:p w14:paraId="5F004CFF" w14:textId="77777777" w:rsidR="00E57DAA" w:rsidRDefault="00AC4185">
            <w:pPr>
              <w:jc w:val="both"/>
              <w:rPr>
                <w:szCs w:val="21"/>
              </w:rPr>
            </w:pPr>
            <w:r>
              <w:t>第七届董事会第二十五次会议（临时）</w:t>
            </w:r>
          </w:p>
        </w:tc>
        <w:tc>
          <w:tcPr>
            <w:tcW w:w="750" w:type="pct"/>
          </w:tcPr>
          <w:p w14:paraId="2996CA26" w14:textId="77777777" w:rsidR="00E57DAA" w:rsidRDefault="00AC4185">
            <w:pPr>
              <w:jc w:val="both"/>
              <w:rPr>
                <w:szCs w:val="21"/>
              </w:rPr>
            </w:pPr>
            <w:r>
              <w:t>2023-02-14</w:t>
            </w:r>
          </w:p>
        </w:tc>
        <w:tc>
          <w:tcPr>
            <w:tcW w:w="3217" w:type="pct"/>
          </w:tcPr>
          <w:p w14:paraId="18D5E2C8" w14:textId="77777777" w:rsidR="00E57DAA" w:rsidRDefault="00AC4185">
            <w:pPr>
              <w:jc w:val="both"/>
              <w:rPr>
                <w:szCs w:val="21"/>
              </w:rPr>
            </w:pPr>
            <w:r>
              <w:t>审议通过了《关于公司2023年融资计划的议案》、《关于修订&lt;中国中材国际工程股份有限公司合规管理制度&gt;的议案》、《关于向公司2021年限制性股票激励计划激励对象授予预留限制性股票的议案》。</w:t>
            </w:r>
          </w:p>
        </w:tc>
      </w:tr>
      <w:tr w:rsidR="00E57DAA" w14:paraId="5F283D53" w14:textId="77777777">
        <w:trPr>
          <w:trHeight w:val="195"/>
        </w:trPr>
        <w:tc>
          <w:tcPr>
            <w:tcW w:w="1033" w:type="pct"/>
          </w:tcPr>
          <w:p w14:paraId="5777FA47" w14:textId="77777777" w:rsidR="00E57DAA" w:rsidRDefault="00AC4185">
            <w:pPr>
              <w:jc w:val="both"/>
              <w:rPr>
                <w:szCs w:val="21"/>
              </w:rPr>
            </w:pPr>
            <w:r>
              <w:t>第七届董事会第二十六次会议</w:t>
            </w:r>
          </w:p>
        </w:tc>
        <w:tc>
          <w:tcPr>
            <w:tcW w:w="750" w:type="pct"/>
          </w:tcPr>
          <w:p w14:paraId="30C95A6C" w14:textId="77777777" w:rsidR="00E57DAA" w:rsidRDefault="00AC4185">
            <w:pPr>
              <w:jc w:val="both"/>
              <w:rPr>
                <w:szCs w:val="21"/>
              </w:rPr>
            </w:pPr>
            <w:r>
              <w:t>2023-03-20</w:t>
            </w:r>
          </w:p>
        </w:tc>
        <w:tc>
          <w:tcPr>
            <w:tcW w:w="3217" w:type="pct"/>
          </w:tcPr>
          <w:p w14:paraId="379EB8E7" w14:textId="77777777" w:rsidR="00E57DAA" w:rsidRDefault="00AC4185">
            <w:pPr>
              <w:jc w:val="both"/>
              <w:rPr>
                <w:szCs w:val="21"/>
              </w:rPr>
            </w:pPr>
            <w:r>
              <w:t>审议通过了《公司2022年度董事会工作报告》《公司2022年度总裁工作报告》、《公司2022年度独立董事述职报告》、《公司2022年度审计委员会履职报告》、《公司2022年度财务决算报告》、《公司2022年度利润分配预案》、《公司2022年年度报告及摘要》、《公司2022年度内部控制评价报告》、《公司2022年度内部控制审计报告》、《公司2022年度环境、社会及管治（ESG）报告》、《关于公司委托理财额度的议案》、《关于公司高级管理人员2022年度薪酬的议案》、《关于聘任公司副总裁的议案》、《中国建材集团财务有限公司2022年度风险评估报告》、《关于召开2022年年度股东大会的议案》。</w:t>
            </w:r>
          </w:p>
        </w:tc>
      </w:tr>
      <w:tr w:rsidR="00E57DAA" w14:paraId="3305854F" w14:textId="77777777">
        <w:trPr>
          <w:trHeight w:val="195"/>
        </w:trPr>
        <w:tc>
          <w:tcPr>
            <w:tcW w:w="1033" w:type="pct"/>
          </w:tcPr>
          <w:p w14:paraId="25C576F7" w14:textId="77777777" w:rsidR="00E57DAA" w:rsidRDefault="00AC4185">
            <w:pPr>
              <w:jc w:val="both"/>
              <w:rPr>
                <w:szCs w:val="21"/>
              </w:rPr>
            </w:pPr>
            <w:r>
              <w:t>第七届董事会第二十七次会议</w:t>
            </w:r>
          </w:p>
        </w:tc>
        <w:tc>
          <w:tcPr>
            <w:tcW w:w="750" w:type="pct"/>
          </w:tcPr>
          <w:p w14:paraId="2371A518" w14:textId="77777777" w:rsidR="00E57DAA" w:rsidRDefault="00AC4185">
            <w:pPr>
              <w:jc w:val="both"/>
              <w:rPr>
                <w:szCs w:val="21"/>
              </w:rPr>
            </w:pPr>
            <w:r>
              <w:t>2023-04-24</w:t>
            </w:r>
          </w:p>
        </w:tc>
        <w:tc>
          <w:tcPr>
            <w:tcW w:w="3217" w:type="pct"/>
          </w:tcPr>
          <w:p w14:paraId="59D74882" w14:textId="77777777" w:rsidR="00E57DAA" w:rsidRDefault="00AC4185">
            <w:pPr>
              <w:jc w:val="both"/>
              <w:rPr>
                <w:szCs w:val="21"/>
              </w:rPr>
            </w:pPr>
            <w:r>
              <w:t>审议通过了《公司2023年第一季度报告》、《关于增加注册资本并修订&lt;公司章程&gt;的议案》、《关于修订&lt;公司股东</w:t>
            </w:r>
            <w:r>
              <w:lastRenderedPageBreak/>
              <w:t>大会议事规则&gt;的议案》、《关于修订&lt;公司董事会议事规则&gt;的议案》、《关于修订&lt;公司独立董事工作制度&gt;的议案》、《关于调整董事会审计委员会名称并修订委员会实施细则的议案》、《关于调整董事会战略与投资委员会名称并修订委员会实施细则的议案》、《关于修订&lt;审计与风险管理委员会年报工作规程&gt;的议案》、《关于修订&lt;公司募集资金管理制度&gt;的议案》、《关于中材海外为关联参股公司中材科技（巴西）风电叶片有限公司境外融资提供担保的议案》、《关于公司2023年度投资计划的议案》、《关于召开2023年第一次临时股东大会的议案》。</w:t>
            </w:r>
          </w:p>
        </w:tc>
      </w:tr>
      <w:tr w:rsidR="00E57DAA" w14:paraId="18E0AB1D" w14:textId="77777777">
        <w:trPr>
          <w:trHeight w:val="195"/>
        </w:trPr>
        <w:tc>
          <w:tcPr>
            <w:tcW w:w="1033" w:type="pct"/>
          </w:tcPr>
          <w:p w14:paraId="75D7F89E" w14:textId="77777777" w:rsidR="00E57DAA" w:rsidRDefault="00AC4185">
            <w:pPr>
              <w:jc w:val="both"/>
              <w:rPr>
                <w:szCs w:val="21"/>
              </w:rPr>
            </w:pPr>
            <w:r>
              <w:lastRenderedPageBreak/>
              <w:t>第七届董事会第二十八次会议（临时）</w:t>
            </w:r>
          </w:p>
        </w:tc>
        <w:tc>
          <w:tcPr>
            <w:tcW w:w="750" w:type="pct"/>
          </w:tcPr>
          <w:p w14:paraId="7969CC31" w14:textId="77777777" w:rsidR="00E57DAA" w:rsidRDefault="00AC4185">
            <w:pPr>
              <w:jc w:val="both"/>
              <w:rPr>
                <w:szCs w:val="21"/>
              </w:rPr>
            </w:pPr>
            <w:r>
              <w:t>2023-07-21</w:t>
            </w:r>
          </w:p>
        </w:tc>
        <w:tc>
          <w:tcPr>
            <w:tcW w:w="3217" w:type="pct"/>
          </w:tcPr>
          <w:p w14:paraId="6ACB6B4F" w14:textId="77777777" w:rsidR="00E57DAA" w:rsidRDefault="00AC4185">
            <w:pPr>
              <w:jc w:val="both"/>
              <w:rPr>
                <w:szCs w:val="21"/>
              </w:rPr>
            </w:pPr>
            <w:r>
              <w:t>审议通过了《关于选举公司董事长的议案》、《关于聘任公司总裁的议案》、《关于王益民董事2022年度薪酬的议案》。</w:t>
            </w:r>
          </w:p>
        </w:tc>
      </w:tr>
      <w:tr w:rsidR="00E57DAA" w14:paraId="7A31AC2B" w14:textId="77777777">
        <w:trPr>
          <w:trHeight w:val="195"/>
        </w:trPr>
        <w:tc>
          <w:tcPr>
            <w:tcW w:w="1033" w:type="pct"/>
          </w:tcPr>
          <w:p w14:paraId="7E114349" w14:textId="77777777" w:rsidR="00E57DAA" w:rsidRDefault="00AC4185">
            <w:pPr>
              <w:jc w:val="both"/>
              <w:rPr>
                <w:szCs w:val="21"/>
              </w:rPr>
            </w:pPr>
            <w:r>
              <w:t>第七届董事会第二十九次会议</w:t>
            </w:r>
          </w:p>
        </w:tc>
        <w:tc>
          <w:tcPr>
            <w:tcW w:w="750" w:type="pct"/>
          </w:tcPr>
          <w:p w14:paraId="774F39DB" w14:textId="77777777" w:rsidR="00E57DAA" w:rsidRDefault="00AC4185">
            <w:pPr>
              <w:jc w:val="both"/>
              <w:rPr>
                <w:szCs w:val="21"/>
              </w:rPr>
            </w:pPr>
            <w:r>
              <w:t>2023-08-23</w:t>
            </w:r>
          </w:p>
        </w:tc>
        <w:tc>
          <w:tcPr>
            <w:tcW w:w="3217" w:type="pct"/>
          </w:tcPr>
          <w:p w14:paraId="356B8DF4" w14:textId="77777777" w:rsidR="00E57DAA" w:rsidRDefault="00AC4185">
            <w:pPr>
              <w:jc w:val="both"/>
              <w:rPr>
                <w:szCs w:val="21"/>
              </w:rPr>
            </w:pPr>
            <w:r>
              <w:t>审议通过了《公司2023年半年度报告及摘要》、《中国建材集团财务有限公司2023年半年度风险评估报告》、《关于公司符合公开发行公司债券条件的议案》、《关于公司公开发行公司债券方案的议案》、《关于提请股东大会授权公司董事会及相关人士全权办理公司公开发行公司债券及上市相关事宜的议案》、《关于2022年度工资总额清算以及2023年度工资总额预算的议案》、《关于召开2023年第二次临时股东大会的议案》。</w:t>
            </w:r>
          </w:p>
        </w:tc>
      </w:tr>
      <w:tr w:rsidR="00E57DAA" w14:paraId="6DEFADB3" w14:textId="77777777">
        <w:trPr>
          <w:trHeight w:val="195"/>
        </w:trPr>
        <w:tc>
          <w:tcPr>
            <w:tcW w:w="1033" w:type="pct"/>
          </w:tcPr>
          <w:p w14:paraId="5EA6E85A" w14:textId="77777777" w:rsidR="00E57DAA" w:rsidRDefault="00AC4185">
            <w:pPr>
              <w:jc w:val="both"/>
              <w:rPr>
                <w:szCs w:val="21"/>
              </w:rPr>
            </w:pPr>
            <w:r>
              <w:t>第七届董事会第三十次会议（临时）</w:t>
            </w:r>
          </w:p>
        </w:tc>
        <w:tc>
          <w:tcPr>
            <w:tcW w:w="750" w:type="pct"/>
          </w:tcPr>
          <w:p w14:paraId="442CB2EA" w14:textId="77777777" w:rsidR="00E57DAA" w:rsidRDefault="00AC4185">
            <w:pPr>
              <w:jc w:val="both"/>
              <w:rPr>
                <w:szCs w:val="21"/>
              </w:rPr>
            </w:pPr>
            <w:r>
              <w:t>2023-10-08</w:t>
            </w:r>
          </w:p>
        </w:tc>
        <w:tc>
          <w:tcPr>
            <w:tcW w:w="3217" w:type="pct"/>
          </w:tcPr>
          <w:p w14:paraId="01D89C45" w14:textId="77777777" w:rsidR="00E57DAA" w:rsidRDefault="00AC4185">
            <w:pPr>
              <w:jc w:val="both"/>
              <w:rPr>
                <w:szCs w:val="21"/>
              </w:rPr>
            </w:pPr>
            <w:r>
              <w:t>审议通过了《关于董事会换届选举非独立董事的议案》、《关于董事会换届选举独立董事的议案》、《关于召开2023年第三次临时股东大会的议案》。</w:t>
            </w:r>
          </w:p>
        </w:tc>
      </w:tr>
      <w:tr w:rsidR="00E57DAA" w14:paraId="10EE63F7" w14:textId="77777777">
        <w:trPr>
          <w:trHeight w:val="195"/>
        </w:trPr>
        <w:tc>
          <w:tcPr>
            <w:tcW w:w="1033" w:type="pct"/>
          </w:tcPr>
          <w:p w14:paraId="1EE7936F" w14:textId="77777777" w:rsidR="00E57DAA" w:rsidRDefault="00AC4185">
            <w:pPr>
              <w:jc w:val="both"/>
              <w:rPr>
                <w:szCs w:val="21"/>
              </w:rPr>
            </w:pPr>
            <w:r>
              <w:t>第八届董事会第一次会议</w:t>
            </w:r>
          </w:p>
        </w:tc>
        <w:tc>
          <w:tcPr>
            <w:tcW w:w="750" w:type="pct"/>
          </w:tcPr>
          <w:p w14:paraId="350FC6FE" w14:textId="77777777" w:rsidR="00E57DAA" w:rsidRDefault="00AC4185">
            <w:pPr>
              <w:jc w:val="both"/>
              <w:rPr>
                <w:szCs w:val="21"/>
              </w:rPr>
            </w:pPr>
            <w:r>
              <w:t>2023-10-24</w:t>
            </w:r>
          </w:p>
        </w:tc>
        <w:tc>
          <w:tcPr>
            <w:tcW w:w="3217" w:type="pct"/>
          </w:tcPr>
          <w:p w14:paraId="3951C48F" w14:textId="77777777" w:rsidR="00E57DAA" w:rsidRDefault="00AC4185">
            <w:pPr>
              <w:jc w:val="both"/>
              <w:rPr>
                <w:szCs w:val="21"/>
              </w:rPr>
            </w:pPr>
            <w:r>
              <w:t>审议通过了《关于选举公司董事长的议案》、《关于确定董事会各专门委员会组成人员的议案》、《关于聘任公司总裁的议案》、《关于聘任公司副总裁、财务总监的议案》、《关于聘任公司董事会秘书的议案》、《公司2023年第三季度报告》、《关于聘任公司2023年度财务报告审计机构及内部控制审计机构的议案》。</w:t>
            </w:r>
          </w:p>
        </w:tc>
      </w:tr>
      <w:tr w:rsidR="00E57DAA" w14:paraId="794A1D45" w14:textId="77777777">
        <w:trPr>
          <w:trHeight w:val="195"/>
        </w:trPr>
        <w:tc>
          <w:tcPr>
            <w:tcW w:w="1033" w:type="pct"/>
          </w:tcPr>
          <w:p w14:paraId="247DAF2F" w14:textId="77777777" w:rsidR="00E57DAA" w:rsidRDefault="00AC4185">
            <w:pPr>
              <w:jc w:val="both"/>
              <w:rPr>
                <w:szCs w:val="21"/>
              </w:rPr>
            </w:pPr>
            <w:r>
              <w:t>第八届董事会第二次会议（临时）</w:t>
            </w:r>
          </w:p>
        </w:tc>
        <w:tc>
          <w:tcPr>
            <w:tcW w:w="750" w:type="pct"/>
          </w:tcPr>
          <w:p w14:paraId="04B65740" w14:textId="77777777" w:rsidR="00E57DAA" w:rsidRDefault="00AC4185">
            <w:pPr>
              <w:jc w:val="both"/>
              <w:rPr>
                <w:szCs w:val="21"/>
              </w:rPr>
            </w:pPr>
            <w:r>
              <w:t>2023-12-04</w:t>
            </w:r>
          </w:p>
        </w:tc>
        <w:tc>
          <w:tcPr>
            <w:tcW w:w="3217" w:type="pct"/>
          </w:tcPr>
          <w:p w14:paraId="623DD610" w14:textId="77777777" w:rsidR="00E57DAA" w:rsidRDefault="00AC4185">
            <w:pPr>
              <w:jc w:val="both"/>
              <w:rPr>
                <w:szCs w:val="21"/>
              </w:rPr>
            </w:pPr>
            <w:r>
              <w:t>审议通过了《关于修订&lt;公司独立董事工作制度&gt;的议案》、《关于修订&lt;公司章程&gt;的议案》、《关于修订&lt;公司股东大会议事规则&gt;的议案》、《关于修订&lt;公司董事会议事规则&gt;的议案》、《关于修订&lt;公司董事会审计与风险管理委员会实施细则&gt;的议案》、《关于修订&lt;公司董事会薪酬与考核委员会实施细则&gt;的议案》、《关于修订&lt;公司董事会提名委员会工作细则&gt;的议案》、《关于制订&lt;公司独立董事专门会议工作细则&gt;的议案》、《关于公司增资中材水泥有限责任公司暨关联交易的议案》、《关于公司2024年度日常关联交易预计的议案》、《关于公司未来三年股东回报规划（2024年-2026年）的议案》、《公司2023年度合规管理总结报告》、《关于召开2023年第四次临时股东大会的议案》。</w:t>
            </w:r>
          </w:p>
        </w:tc>
      </w:tr>
      <w:tr w:rsidR="00E57DAA" w14:paraId="084D9AE8" w14:textId="77777777">
        <w:trPr>
          <w:trHeight w:val="195"/>
        </w:trPr>
        <w:tc>
          <w:tcPr>
            <w:tcW w:w="1033" w:type="pct"/>
          </w:tcPr>
          <w:p w14:paraId="2B51CAC4" w14:textId="77777777" w:rsidR="00E57DAA" w:rsidRDefault="00AC4185">
            <w:pPr>
              <w:jc w:val="both"/>
              <w:rPr>
                <w:szCs w:val="21"/>
              </w:rPr>
            </w:pPr>
            <w:r>
              <w:t>第八届董事会第三次会议（临时）</w:t>
            </w:r>
          </w:p>
        </w:tc>
        <w:tc>
          <w:tcPr>
            <w:tcW w:w="750" w:type="pct"/>
          </w:tcPr>
          <w:p w14:paraId="7BDC8DDA" w14:textId="77777777" w:rsidR="00E57DAA" w:rsidRDefault="00AC4185">
            <w:pPr>
              <w:jc w:val="both"/>
              <w:rPr>
                <w:szCs w:val="21"/>
              </w:rPr>
            </w:pPr>
            <w:r>
              <w:t>2023-12-27</w:t>
            </w:r>
          </w:p>
        </w:tc>
        <w:tc>
          <w:tcPr>
            <w:tcW w:w="3217" w:type="pct"/>
          </w:tcPr>
          <w:p w14:paraId="573ADD6E" w14:textId="77777777" w:rsidR="00E57DAA" w:rsidRDefault="00AC4185">
            <w:pPr>
              <w:jc w:val="both"/>
              <w:rPr>
                <w:szCs w:val="21"/>
              </w:rPr>
            </w:pPr>
            <w:r>
              <w:t>审议通过了《公司“十四五”发展战略与规划》</w:t>
            </w:r>
            <w:r>
              <w:rPr>
                <w:rFonts w:hint="eastAsia"/>
              </w:rPr>
              <w:t>（修订稿）</w:t>
            </w:r>
            <w:r>
              <w:t>。</w:t>
            </w:r>
          </w:p>
        </w:tc>
      </w:tr>
    </w:tbl>
    <w:p w14:paraId="243C76DF" w14:textId="77777777" w:rsidR="00E57DAA" w:rsidRDefault="00E57DAA" w:rsidP="00C25422">
      <w:pPr>
        <w:pStyle w:val="92"/>
      </w:pPr>
    </w:p>
    <w:p w14:paraId="3EA91284" w14:textId="77777777" w:rsidR="00E57DAA" w:rsidRDefault="00E57DAA">
      <w:pPr>
        <w:rPr>
          <w:szCs w:val="21"/>
        </w:rPr>
      </w:pPr>
    </w:p>
    <w:p w14:paraId="7738330F" w14:textId="77777777" w:rsidR="00E57DAA" w:rsidRDefault="00AC4185">
      <w:pPr>
        <w:pStyle w:val="2"/>
        <w:numPr>
          <w:ilvl w:val="0"/>
          <w:numId w:val="19"/>
        </w:numPr>
      </w:pPr>
      <w:r>
        <w:lastRenderedPageBreak/>
        <w:t>董事履行职责情况</w:t>
      </w:r>
    </w:p>
    <w:p w14:paraId="420BAFE0" w14:textId="77777777" w:rsidR="00E57DAA" w:rsidRDefault="00AC4185">
      <w:pPr>
        <w:pStyle w:val="3"/>
        <w:numPr>
          <w:ilvl w:val="0"/>
          <w:numId w:val="22"/>
        </w:numPr>
      </w:pPr>
      <w:r>
        <w:t>董事参加董事会和股东大会的情况</w:t>
      </w:r>
    </w:p>
    <w:tbl>
      <w:tblPr>
        <w:tblStyle w:val="aff6"/>
        <w:tblW w:w="5000" w:type="pct"/>
        <w:tblLook w:val="04A0" w:firstRow="1" w:lastRow="0" w:firstColumn="1" w:lastColumn="0" w:noHBand="0" w:noVBand="1"/>
      </w:tblPr>
      <w:tblGrid>
        <w:gridCol w:w="956"/>
        <w:gridCol w:w="825"/>
        <w:gridCol w:w="1071"/>
        <w:gridCol w:w="831"/>
        <w:gridCol w:w="944"/>
        <w:gridCol w:w="882"/>
        <w:gridCol w:w="824"/>
        <w:gridCol w:w="1260"/>
        <w:gridCol w:w="1230"/>
      </w:tblGrid>
      <w:tr w:rsidR="00E57DAA" w14:paraId="18E63282" w14:textId="77777777">
        <w:trPr>
          <w:trHeight w:val="561"/>
        </w:trPr>
        <w:sdt>
          <w:sdtPr>
            <w:tag w:val="_PLD_fdf987702b2e46a4aaa1e3f20787a76c"/>
            <w:id w:val="-1545049374"/>
          </w:sdtPr>
          <w:sdtEndPr/>
          <w:sdtContent>
            <w:tc>
              <w:tcPr>
                <w:tcW w:w="541" w:type="pct"/>
                <w:vMerge w:val="restart"/>
                <w:vAlign w:val="center"/>
              </w:tcPr>
              <w:p w14:paraId="5566EDBB" w14:textId="77777777" w:rsidR="00E57DAA" w:rsidRDefault="00AC4185">
                <w:pPr>
                  <w:jc w:val="center"/>
                </w:pPr>
                <w:r>
                  <w:rPr>
                    <w:rFonts w:hint="eastAsia"/>
                  </w:rPr>
                  <w:t>董事</w:t>
                </w:r>
              </w:p>
              <w:p w14:paraId="68BAF21A" w14:textId="77777777" w:rsidR="00E57DAA" w:rsidRDefault="00AC4185">
                <w:pPr>
                  <w:jc w:val="center"/>
                </w:pPr>
                <w:r>
                  <w:rPr>
                    <w:rFonts w:hint="eastAsia"/>
                  </w:rPr>
                  <w:t>姓名</w:t>
                </w:r>
              </w:p>
            </w:tc>
          </w:sdtContent>
        </w:sdt>
        <w:sdt>
          <w:sdtPr>
            <w:tag w:val="_PLD_8c944f740a3a4784938038ab19e3a6ed"/>
            <w:id w:val="-1231304261"/>
          </w:sdtPr>
          <w:sdtEndPr/>
          <w:sdtContent>
            <w:tc>
              <w:tcPr>
                <w:tcW w:w="467" w:type="pct"/>
                <w:vMerge w:val="restart"/>
                <w:vAlign w:val="center"/>
              </w:tcPr>
              <w:p w14:paraId="66E6C11C" w14:textId="77777777" w:rsidR="00E57DAA" w:rsidRDefault="00AC4185">
                <w:pPr>
                  <w:jc w:val="center"/>
                </w:pPr>
                <w:r>
                  <w:t>是否独立董事</w:t>
                </w:r>
              </w:p>
            </w:tc>
          </w:sdtContent>
        </w:sdt>
        <w:sdt>
          <w:sdtPr>
            <w:tag w:val="_PLD_41002b55426142459adadb76d790d586"/>
            <w:id w:val="1847676249"/>
          </w:sdtPr>
          <w:sdtEndPr/>
          <w:sdtContent>
            <w:tc>
              <w:tcPr>
                <w:tcW w:w="3294" w:type="pct"/>
                <w:gridSpan w:val="6"/>
                <w:vAlign w:val="center"/>
              </w:tcPr>
              <w:p w14:paraId="3D8B3E11" w14:textId="77777777" w:rsidR="00E57DAA" w:rsidRDefault="00AC4185">
                <w:pPr>
                  <w:jc w:val="center"/>
                </w:pPr>
                <w:r>
                  <w:t>参加董事会情况</w:t>
                </w:r>
              </w:p>
            </w:tc>
          </w:sdtContent>
        </w:sdt>
        <w:sdt>
          <w:sdtPr>
            <w:tag w:val="_PLD_a86ab0ba65874193bf46821cd6a13f4f"/>
            <w:id w:val="-1760520402"/>
          </w:sdtPr>
          <w:sdtEndPr/>
          <w:sdtContent>
            <w:tc>
              <w:tcPr>
                <w:tcW w:w="697" w:type="pct"/>
                <w:vAlign w:val="center"/>
              </w:tcPr>
              <w:p w14:paraId="21D8E56C" w14:textId="77777777" w:rsidR="00E57DAA" w:rsidRDefault="00AC4185">
                <w:pPr>
                  <w:jc w:val="center"/>
                </w:pPr>
                <w:r>
                  <w:t>参加股东大会情况</w:t>
                </w:r>
              </w:p>
            </w:tc>
          </w:sdtContent>
        </w:sdt>
      </w:tr>
      <w:tr w:rsidR="00E57DAA" w14:paraId="1B3B1C0E" w14:textId="77777777">
        <w:trPr>
          <w:trHeight w:val="120"/>
        </w:trPr>
        <w:tc>
          <w:tcPr>
            <w:tcW w:w="541" w:type="pct"/>
            <w:vMerge/>
          </w:tcPr>
          <w:p w14:paraId="522C69A3" w14:textId="77777777" w:rsidR="00E57DAA" w:rsidRDefault="00E57DAA">
            <w:pPr>
              <w:jc w:val="center"/>
            </w:pPr>
          </w:p>
        </w:tc>
        <w:tc>
          <w:tcPr>
            <w:tcW w:w="467" w:type="pct"/>
            <w:vMerge/>
          </w:tcPr>
          <w:p w14:paraId="0CDD65D7" w14:textId="77777777" w:rsidR="00E57DAA" w:rsidRDefault="00E57DAA">
            <w:pPr>
              <w:jc w:val="center"/>
            </w:pPr>
          </w:p>
        </w:tc>
        <w:sdt>
          <w:sdtPr>
            <w:tag w:val="_PLD_1be3bc3a3d894e22b017b70a7c691233"/>
            <w:id w:val="541636359"/>
          </w:sdtPr>
          <w:sdtEndPr/>
          <w:sdtContent>
            <w:tc>
              <w:tcPr>
                <w:tcW w:w="607" w:type="pct"/>
                <w:vAlign w:val="center"/>
              </w:tcPr>
              <w:p w14:paraId="2498917E" w14:textId="77777777" w:rsidR="00E57DAA" w:rsidRDefault="00AC4185">
                <w:pPr>
                  <w:jc w:val="center"/>
                </w:pPr>
                <w:r>
                  <w:t>本年应参加董事会次数</w:t>
                </w:r>
              </w:p>
            </w:tc>
          </w:sdtContent>
        </w:sdt>
        <w:sdt>
          <w:sdtPr>
            <w:tag w:val="_PLD_3e45fc9802f241cb8e17735983417e9b"/>
            <w:id w:val="-192921730"/>
          </w:sdtPr>
          <w:sdtEndPr/>
          <w:sdtContent>
            <w:tc>
              <w:tcPr>
                <w:tcW w:w="471" w:type="pct"/>
                <w:vAlign w:val="center"/>
              </w:tcPr>
              <w:p w14:paraId="0C1264F2" w14:textId="77777777" w:rsidR="00E57DAA" w:rsidRDefault="00AC4185">
                <w:pPr>
                  <w:jc w:val="center"/>
                </w:pPr>
                <w:r>
                  <w:t>亲自出席次数</w:t>
                </w:r>
              </w:p>
            </w:tc>
          </w:sdtContent>
        </w:sdt>
        <w:sdt>
          <w:sdtPr>
            <w:tag w:val="_PLD_5b2f1e699fe34def868fe8b765d768ba"/>
            <w:id w:val="141786503"/>
          </w:sdtPr>
          <w:sdtEndPr/>
          <w:sdtContent>
            <w:tc>
              <w:tcPr>
                <w:tcW w:w="535" w:type="pct"/>
                <w:vAlign w:val="center"/>
              </w:tcPr>
              <w:p w14:paraId="38B7470B" w14:textId="77777777" w:rsidR="00E57DAA" w:rsidRDefault="00AC4185">
                <w:pPr>
                  <w:jc w:val="center"/>
                </w:pPr>
                <w:r>
                  <w:t>以通讯方式参加次数</w:t>
                </w:r>
              </w:p>
            </w:tc>
          </w:sdtContent>
        </w:sdt>
        <w:sdt>
          <w:sdtPr>
            <w:tag w:val="_PLD_981a0cb863d94703a5482c1ca67d4cb5"/>
            <w:id w:val="-127939802"/>
          </w:sdtPr>
          <w:sdtEndPr/>
          <w:sdtContent>
            <w:tc>
              <w:tcPr>
                <w:tcW w:w="500" w:type="pct"/>
                <w:vAlign w:val="center"/>
              </w:tcPr>
              <w:p w14:paraId="6A2D5480" w14:textId="77777777" w:rsidR="00E57DAA" w:rsidRDefault="00AC4185">
                <w:pPr>
                  <w:jc w:val="center"/>
                </w:pPr>
                <w:r>
                  <w:t>委托出席次数</w:t>
                </w:r>
              </w:p>
            </w:tc>
          </w:sdtContent>
        </w:sdt>
        <w:sdt>
          <w:sdtPr>
            <w:tag w:val="_PLD_e955143b8973461bb11aa6e64e6bb542"/>
            <w:id w:val="-805858906"/>
          </w:sdtPr>
          <w:sdtEndPr/>
          <w:sdtContent>
            <w:tc>
              <w:tcPr>
                <w:tcW w:w="467" w:type="pct"/>
                <w:vAlign w:val="center"/>
              </w:tcPr>
              <w:p w14:paraId="680F94BB" w14:textId="77777777" w:rsidR="00E57DAA" w:rsidRDefault="00AC4185">
                <w:pPr>
                  <w:jc w:val="center"/>
                </w:pPr>
                <w:r>
                  <w:t>缺席</w:t>
                </w:r>
              </w:p>
              <w:p w14:paraId="38C9A8CB" w14:textId="77777777" w:rsidR="00E57DAA" w:rsidRDefault="00AC4185">
                <w:pPr>
                  <w:jc w:val="center"/>
                </w:pPr>
                <w:r>
                  <w:t>次数</w:t>
                </w:r>
              </w:p>
            </w:tc>
          </w:sdtContent>
        </w:sdt>
        <w:sdt>
          <w:sdtPr>
            <w:tag w:val="_PLD_c94de7a455d94af5b8ffe4cc736c4b46"/>
            <w:id w:val="-609515799"/>
          </w:sdtPr>
          <w:sdtEndPr/>
          <w:sdtContent>
            <w:tc>
              <w:tcPr>
                <w:tcW w:w="714" w:type="pct"/>
                <w:vAlign w:val="center"/>
              </w:tcPr>
              <w:p w14:paraId="2B5D4BF0" w14:textId="77777777" w:rsidR="00E57DAA" w:rsidRDefault="00AC4185">
                <w:pPr>
                  <w:jc w:val="center"/>
                </w:pPr>
                <w:r>
                  <w:t>是否连续两次未亲自参加会议</w:t>
                </w:r>
              </w:p>
            </w:tc>
          </w:sdtContent>
        </w:sdt>
        <w:sdt>
          <w:sdtPr>
            <w:tag w:val="_PLD_7f17c2a5ff9540709fafff9460b0756d"/>
            <w:id w:val="-148602051"/>
          </w:sdtPr>
          <w:sdtEndPr/>
          <w:sdtContent>
            <w:tc>
              <w:tcPr>
                <w:tcW w:w="697" w:type="pct"/>
                <w:vAlign w:val="center"/>
              </w:tcPr>
              <w:p w14:paraId="35370803" w14:textId="77777777" w:rsidR="00E57DAA" w:rsidRDefault="00AC4185">
                <w:pPr>
                  <w:jc w:val="center"/>
                  <w:rPr>
                    <w:b/>
                  </w:rPr>
                </w:pPr>
                <w:r>
                  <w:t>出席股东大会的次数</w:t>
                </w:r>
              </w:p>
            </w:tc>
          </w:sdtContent>
        </w:sdt>
      </w:tr>
      <w:tr w:rsidR="00E57DAA" w14:paraId="5DB0FF15" w14:textId="77777777">
        <w:trPr>
          <w:trHeight w:val="77"/>
        </w:trPr>
        <w:tc>
          <w:tcPr>
            <w:tcW w:w="541" w:type="pct"/>
          </w:tcPr>
          <w:p w14:paraId="45B00B12" w14:textId="77777777" w:rsidR="00E57DAA" w:rsidRDefault="00AC4185" w:rsidP="00C25422">
            <w:pPr>
              <w:pStyle w:val="92"/>
            </w:pPr>
            <w:r>
              <w:t>刘</w:t>
            </w:r>
            <w:r>
              <w:rPr>
                <w:rFonts w:hint="eastAsia"/>
              </w:rPr>
              <w:t xml:space="preserve">  </w:t>
            </w:r>
            <w:r>
              <w:t>燕</w:t>
            </w:r>
          </w:p>
        </w:tc>
        <w:sdt>
          <w:sdtPr>
            <w:rPr>
              <w:rFonts w:hint="eastAsia"/>
            </w:rPr>
            <w:alias w:val="董事参加董事会的出席情况明细-是否独立董事"/>
            <w:tag w:val="_GBC_8f65cf2d483747a58ee92c8a36ee6375"/>
            <w:id w:val="190964382"/>
            <w:comboBox>
              <w:listItem w:displayText="是" w:value="true"/>
              <w:listItem w:displayText="否" w:value="false"/>
            </w:comboBox>
          </w:sdtPr>
          <w:sdtEndPr/>
          <w:sdtContent>
            <w:tc>
              <w:tcPr>
                <w:tcW w:w="467" w:type="pct"/>
              </w:tcPr>
              <w:p w14:paraId="0DA57E0B" w14:textId="77777777" w:rsidR="00E57DAA" w:rsidRDefault="00AC4185" w:rsidP="00C25422">
                <w:pPr>
                  <w:pStyle w:val="92"/>
                </w:pPr>
                <w:r>
                  <w:rPr>
                    <w:rFonts w:hint="eastAsia"/>
                  </w:rPr>
                  <w:t>否</w:t>
                </w:r>
              </w:p>
            </w:tc>
          </w:sdtContent>
        </w:sdt>
        <w:tc>
          <w:tcPr>
            <w:tcW w:w="607" w:type="pct"/>
          </w:tcPr>
          <w:p w14:paraId="20E130EF" w14:textId="77777777" w:rsidR="00E57DAA" w:rsidRDefault="00AC4185">
            <w:pPr>
              <w:jc w:val="right"/>
            </w:pPr>
            <w:r>
              <w:t>6</w:t>
            </w:r>
          </w:p>
        </w:tc>
        <w:tc>
          <w:tcPr>
            <w:tcW w:w="471" w:type="pct"/>
          </w:tcPr>
          <w:p w14:paraId="7A1EF87E" w14:textId="77777777" w:rsidR="00E57DAA" w:rsidRDefault="00AC4185">
            <w:pPr>
              <w:jc w:val="right"/>
            </w:pPr>
            <w:r>
              <w:t>6</w:t>
            </w:r>
          </w:p>
        </w:tc>
        <w:tc>
          <w:tcPr>
            <w:tcW w:w="535" w:type="pct"/>
          </w:tcPr>
          <w:p w14:paraId="112FF868" w14:textId="77777777" w:rsidR="00E57DAA" w:rsidRDefault="00AC4185">
            <w:pPr>
              <w:jc w:val="right"/>
            </w:pPr>
            <w:r>
              <w:rPr>
                <w:rFonts w:hint="eastAsia"/>
              </w:rPr>
              <w:t>2</w:t>
            </w:r>
          </w:p>
        </w:tc>
        <w:tc>
          <w:tcPr>
            <w:tcW w:w="500" w:type="pct"/>
          </w:tcPr>
          <w:p w14:paraId="7859605B" w14:textId="77777777" w:rsidR="00E57DAA" w:rsidRDefault="00AC4185">
            <w:pPr>
              <w:jc w:val="right"/>
            </w:pPr>
            <w:r>
              <w:t>0</w:t>
            </w:r>
          </w:p>
        </w:tc>
        <w:tc>
          <w:tcPr>
            <w:tcW w:w="467" w:type="pct"/>
          </w:tcPr>
          <w:p w14:paraId="17D27434" w14:textId="77777777" w:rsidR="00E57DAA" w:rsidRDefault="00AC4185">
            <w:pPr>
              <w:jc w:val="right"/>
            </w:pPr>
            <w:r>
              <w:t>0</w:t>
            </w:r>
          </w:p>
        </w:tc>
        <w:sdt>
          <w:sdtPr>
            <w:rPr>
              <w:rFonts w:hint="eastAsia"/>
            </w:rPr>
            <w:alias w:val="董事参加董事会的出席情况明细-是否连续两次未亲自参加会议"/>
            <w:tag w:val="_GBC_4748dc7c4f9b495f9d97d5c22a5e08e6"/>
            <w:id w:val="980577649"/>
            <w:comboBox>
              <w:listItem w:displayText="是" w:value="true"/>
              <w:listItem w:displayText="否" w:value="false"/>
            </w:comboBox>
          </w:sdtPr>
          <w:sdtEndPr/>
          <w:sdtContent>
            <w:tc>
              <w:tcPr>
                <w:tcW w:w="714" w:type="pct"/>
              </w:tcPr>
              <w:p w14:paraId="7FC0AD27" w14:textId="77777777" w:rsidR="00E57DAA" w:rsidRDefault="00AC4185" w:rsidP="00C25422">
                <w:pPr>
                  <w:pStyle w:val="92"/>
                </w:pPr>
                <w:r>
                  <w:rPr>
                    <w:rFonts w:hint="eastAsia"/>
                  </w:rPr>
                  <w:t>否</w:t>
                </w:r>
              </w:p>
            </w:tc>
          </w:sdtContent>
        </w:sdt>
        <w:tc>
          <w:tcPr>
            <w:tcW w:w="697" w:type="pct"/>
          </w:tcPr>
          <w:p w14:paraId="1DBFAF33" w14:textId="77777777" w:rsidR="00E57DAA" w:rsidRDefault="00AC4185">
            <w:pPr>
              <w:jc w:val="right"/>
            </w:pPr>
            <w:r>
              <w:t>3</w:t>
            </w:r>
          </w:p>
        </w:tc>
      </w:tr>
      <w:tr w:rsidR="00E57DAA" w14:paraId="029ECF0C" w14:textId="77777777">
        <w:trPr>
          <w:trHeight w:val="77"/>
        </w:trPr>
        <w:tc>
          <w:tcPr>
            <w:tcW w:w="541" w:type="pct"/>
          </w:tcPr>
          <w:p w14:paraId="6A36B460" w14:textId="77777777" w:rsidR="00E57DAA" w:rsidRDefault="00AC4185" w:rsidP="00C25422">
            <w:pPr>
              <w:pStyle w:val="92"/>
            </w:pPr>
            <w:r>
              <w:t>印志松</w:t>
            </w:r>
          </w:p>
        </w:tc>
        <w:tc>
          <w:tcPr>
            <w:tcW w:w="467" w:type="pct"/>
          </w:tcPr>
          <w:p w14:paraId="4FB2A85B" w14:textId="77777777" w:rsidR="00E57DAA" w:rsidRDefault="00AC4185" w:rsidP="00C25422">
            <w:pPr>
              <w:pStyle w:val="92"/>
            </w:pPr>
            <w:r>
              <w:t>否</w:t>
            </w:r>
          </w:p>
        </w:tc>
        <w:tc>
          <w:tcPr>
            <w:tcW w:w="607" w:type="pct"/>
          </w:tcPr>
          <w:p w14:paraId="13F190F7" w14:textId="77777777" w:rsidR="00E57DAA" w:rsidRDefault="00AC4185">
            <w:pPr>
              <w:jc w:val="right"/>
            </w:pPr>
            <w:r>
              <w:t>9</w:t>
            </w:r>
          </w:p>
        </w:tc>
        <w:tc>
          <w:tcPr>
            <w:tcW w:w="471" w:type="pct"/>
          </w:tcPr>
          <w:p w14:paraId="35530868" w14:textId="77777777" w:rsidR="00E57DAA" w:rsidRDefault="00AC4185">
            <w:pPr>
              <w:jc w:val="right"/>
            </w:pPr>
            <w:r>
              <w:t>9</w:t>
            </w:r>
          </w:p>
        </w:tc>
        <w:tc>
          <w:tcPr>
            <w:tcW w:w="535" w:type="pct"/>
          </w:tcPr>
          <w:p w14:paraId="4D764BDB" w14:textId="77777777" w:rsidR="00E57DAA" w:rsidRDefault="00AC4185">
            <w:pPr>
              <w:jc w:val="right"/>
            </w:pPr>
            <w:r>
              <w:rPr>
                <w:rFonts w:hint="eastAsia"/>
              </w:rPr>
              <w:t>1</w:t>
            </w:r>
          </w:p>
        </w:tc>
        <w:tc>
          <w:tcPr>
            <w:tcW w:w="500" w:type="pct"/>
          </w:tcPr>
          <w:p w14:paraId="4E48F4BD" w14:textId="77777777" w:rsidR="00E57DAA" w:rsidRDefault="00AC4185">
            <w:pPr>
              <w:jc w:val="right"/>
            </w:pPr>
            <w:r>
              <w:t>0</w:t>
            </w:r>
          </w:p>
        </w:tc>
        <w:tc>
          <w:tcPr>
            <w:tcW w:w="467" w:type="pct"/>
          </w:tcPr>
          <w:p w14:paraId="5FE1CAE1" w14:textId="77777777" w:rsidR="00E57DAA" w:rsidRDefault="00AC4185">
            <w:pPr>
              <w:jc w:val="right"/>
            </w:pPr>
            <w:r>
              <w:t>0</w:t>
            </w:r>
          </w:p>
        </w:tc>
        <w:tc>
          <w:tcPr>
            <w:tcW w:w="714" w:type="pct"/>
          </w:tcPr>
          <w:p w14:paraId="7430F9DE" w14:textId="77777777" w:rsidR="00E57DAA" w:rsidRDefault="00AC4185" w:rsidP="00C25422">
            <w:pPr>
              <w:pStyle w:val="92"/>
            </w:pPr>
            <w:r>
              <w:t>否</w:t>
            </w:r>
          </w:p>
        </w:tc>
        <w:tc>
          <w:tcPr>
            <w:tcW w:w="697" w:type="pct"/>
          </w:tcPr>
          <w:p w14:paraId="15EEBB94" w14:textId="77777777" w:rsidR="00E57DAA" w:rsidRDefault="00AC4185">
            <w:pPr>
              <w:jc w:val="right"/>
            </w:pPr>
            <w:r>
              <w:t>5</w:t>
            </w:r>
          </w:p>
        </w:tc>
      </w:tr>
      <w:tr w:rsidR="00E57DAA" w14:paraId="36D85D90" w14:textId="77777777">
        <w:trPr>
          <w:trHeight w:val="77"/>
        </w:trPr>
        <w:tc>
          <w:tcPr>
            <w:tcW w:w="541" w:type="pct"/>
          </w:tcPr>
          <w:p w14:paraId="2179AE44" w14:textId="77777777" w:rsidR="00E57DAA" w:rsidRDefault="00AC4185" w:rsidP="00C25422">
            <w:pPr>
              <w:pStyle w:val="92"/>
            </w:pPr>
            <w:r>
              <w:t>朱</w:t>
            </w:r>
            <w:r>
              <w:rPr>
                <w:rFonts w:hint="eastAsia"/>
              </w:rPr>
              <w:t xml:space="preserve">  </w:t>
            </w:r>
            <w:r>
              <w:t>兵</w:t>
            </w:r>
          </w:p>
        </w:tc>
        <w:tc>
          <w:tcPr>
            <w:tcW w:w="467" w:type="pct"/>
          </w:tcPr>
          <w:p w14:paraId="541F354E" w14:textId="77777777" w:rsidR="00E57DAA" w:rsidRDefault="00AC4185" w:rsidP="00C25422">
            <w:pPr>
              <w:pStyle w:val="92"/>
            </w:pPr>
            <w:r>
              <w:t>否</w:t>
            </w:r>
          </w:p>
        </w:tc>
        <w:tc>
          <w:tcPr>
            <w:tcW w:w="607" w:type="pct"/>
          </w:tcPr>
          <w:p w14:paraId="4C4CD092" w14:textId="77777777" w:rsidR="00E57DAA" w:rsidRDefault="00AC4185">
            <w:pPr>
              <w:jc w:val="right"/>
            </w:pPr>
            <w:r>
              <w:t>9</w:t>
            </w:r>
          </w:p>
        </w:tc>
        <w:tc>
          <w:tcPr>
            <w:tcW w:w="471" w:type="pct"/>
          </w:tcPr>
          <w:p w14:paraId="39EA45B5" w14:textId="77777777" w:rsidR="00E57DAA" w:rsidRDefault="00AC4185">
            <w:pPr>
              <w:jc w:val="right"/>
            </w:pPr>
            <w:r>
              <w:t>9</w:t>
            </w:r>
          </w:p>
        </w:tc>
        <w:tc>
          <w:tcPr>
            <w:tcW w:w="535" w:type="pct"/>
          </w:tcPr>
          <w:p w14:paraId="6B811455" w14:textId="77777777" w:rsidR="00E57DAA" w:rsidRDefault="00AC4185">
            <w:pPr>
              <w:jc w:val="right"/>
            </w:pPr>
            <w:r>
              <w:rPr>
                <w:rFonts w:hint="eastAsia"/>
              </w:rPr>
              <w:t>1</w:t>
            </w:r>
          </w:p>
        </w:tc>
        <w:tc>
          <w:tcPr>
            <w:tcW w:w="500" w:type="pct"/>
          </w:tcPr>
          <w:p w14:paraId="51F5EA14" w14:textId="77777777" w:rsidR="00E57DAA" w:rsidRDefault="00AC4185">
            <w:pPr>
              <w:jc w:val="right"/>
            </w:pPr>
            <w:r>
              <w:t>0</w:t>
            </w:r>
          </w:p>
        </w:tc>
        <w:tc>
          <w:tcPr>
            <w:tcW w:w="467" w:type="pct"/>
          </w:tcPr>
          <w:p w14:paraId="6221DC01" w14:textId="77777777" w:rsidR="00E57DAA" w:rsidRDefault="00AC4185">
            <w:pPr>
              <w:jc w:val="right"/>
            </w:pPr>
            <w:r>
              <w:t>0</w:t>
            </w:r>
          </w:p>
        </w:tc>
        <w:tc>
          <w:tcPr>
            <w:tcW w:w="714" w:type="pct"/>
          </w:tcPr>
          <w:p w14:paraId="4801EAEE" w14:textId="77777777" w:rsidR="00E57DAA" w:rsidRDefault="00AC4185" w:rsidP="00C25422">
            <w:pPr>
              <w:pStyle w:val="92"/>
            </w:pPr>
            <w:r>
              <w:t>否</w:t>
            </w:r>
          </w:p>
        </w:tc>
        <w:tc>
          <w:tcPr>
            <w:tcW w:w="697" w:type="pct"/>
          </w:tcPr>
          <w:p w14:paraId="0C9E7AC4" w14:textId="77777777" w:rsidR="00E57DAA" w:rsidRDefault="00AC4185">
            <w:pPr>
              <w:jc w:val="right"/>
            </w:pPr>
            <w:r>
              <w:t>5</w:t>
            </w:r>
          </w:p>
        </w:tc>
      </w:tr>
      <w:tr w:rsidR="00E57DAA" w14:paraId="6037B89E" w14:textId="77777777">
        <w:trPr>
          <w:trHeight w:val="77"/>
        </w:trPr>
        <w:tc>
          <w:tcPr>
            <w:tcW w:w="541" w:type="pct"/>
          </w:tcPr>
          <w:p w14:paraId="258A252C" w14:textId="77777777" w:rsidR="00E57DAA" w:rsidRDefault="00AC4185" w:rsidP="00C25422">
            <w:pPr>
              <w:pStyle w:val="92"/>
            </w:pPr>
            <w:r>
              <w:t>余明清</w:t>
            </w:r>
          </w:p>
        </w:tc>
        <w:tc>
          <w:tcPr>
            <w:tcW w:w="467" w:type="pct"/>
          </w:tcPr>
          <w:p w14:paraId="3FC0C3E1" w14:textId="77777777" w:rsidR="00E57DAA" w:rsidRDefault="00AC4185" w:rsidP="00C25422">
            <w:pPr>
              <w:pStyle w:val="92"/>
            </w:pPr>
            <w:r>
              <w:t>否</w:t>
            </w:r>
          </w:p>
        </w:tc>
        <w:tc>
          <w:tcPr>
            <w:tcW w:w="607" w:type="pct"/>
          </w:tcPr>
          <w:p w14:paraId="61275FBC" w14:textId="77777777" w:rsidR="00E57DAA" w:rsidRDefault="00AC4185">
            <w:pPr>
              <w:jc w:val="right"/>
            </w:pPr>
            <w:r>
              <w:t>6</w:t>
            </w:r>
          </w:p>
        </w:tc>
        <w:tc>
          <w:tcPr>
            <w:tcW w:w="471" w:type="pct"/>
          </w:tcPr>
          <w:p w14:paraId="3E9096B3" w14:textId="77777777" w:rsidR="00E57DAA" w:rsidRDefault="00AC4185">
            <w:pPr>
              <w:jc w:val="right"/>
            </w:pPr>
            <w:r>
              <w:t>6</w:t>
            </w:r>
          </w:p>
        </w:tc>
        <w:tc>
          <w:tcPr>
            <w:tcW w:w="535" w:type="pct"/>
          </w:tcPr>
          <w:p w14:paraId="4BF21DFA" w14:textId="77777777" w:rsidR="00E57DAA" w:rsidRDefault="00AC4185">
            <w:pPr>
              <w:jc w:val="right"/>
            </w:pPr>
            <w:r>
              <w:rPr>
                <w:rFonts w:hint="eastAsia"/>
              </w:rPr>
              <w:t>2</w:t>
            </w:r>
          </w:p>
        </w:tc>
        <w:tc>
          <w:tcPr>
            <w:tcW w:w="500" w:type="pct"/>
          </w:tcPr>
          <w:p w14:paraId="2274EE91" w14:textId="77777777" w:rsidR="00E57DAA" w:rsidRDefault="00AC4185">
            <w:pPr>
              <w:jc w:val="right"/>
            </w:pPr>
            <w:r>
              <w:t>0</w:t>
            </w:r>
          </w:p>
        </w:tc>
        <w:tc>
          <w:tcPr>
            <w:tcW w:w="467" w:type="pct"/>
          </w:tcPr>
          <w:p w14:paraId="7AF0F5FB" w14:textId="77777777" w:rsidR="00E57DAA" w:rsidRDefault="00AC4185">
            <w:pPr>
              <w:jc w:val="right"/>
            </w:pPr>
            <w:r>
              <w:t>0</w:t>
            </w:r>
          </w:p>
        </w:tc>
        <w:tc>
          <w:tcPr>
            <w:tcW w:w="714" w:type="pct"/>
          </w:tcPr>
          <w:p w14:paraId="09199F10" w14:textId="77777777" w:rsidR="00E57DAA" w:rsidRDefault="00AC4185" w:rsidP="00C25422">
            <w:pPr>
              <w:pStyle w:val="92"/>
            </w:pPr>
            <w:r>
              <w:t>否</w:t>
            </w:r>
          </w:p>
        </w:tc>
        <w:tc>
          <w:tcPr>
            <w:tcW w:w="697" w:type="pct"/>
          </w:tcPr>
          <w:p w14:paraId="36F7EC79" w14:textId="77777777" w:rsidR="00E57DAA" w:rsidRDefault="00AC4185">
            <w:pPr>
              <w:jc w:val="right"/>
            </w:pPr>
            <w:r>
              <w:t>3</w:t>
            </w:r>
          </w:p>
        </w:tc>
      </w:tr>
      <w:tr w:rsidR="00E57DAA" w14:paraId="6C15AA63" w14:textId="77777777">
        <w:trPr>
          <w:trHeight w:val="77"/>
        </w:trPr>
        <w:tc>
          <w:tcPr>
            <w:tcW w:w="541" w:type="pct"/>
          </w:tcPr>
          <w:p w14:paraId="54B27D5C" w14:textId="77777777" w:rsidR="00E57DAA" w:rsidRDefault="00AC4185" w:rsidP="00C25422">
            <w:pPr>
              <w:pStyle w:val="92"/>
            </w:pPr>
            <w:r>
              <w:t>王</w:t>
            </w:r>
            <w:r>
              <w:rPr>
                <w:rFonts w:hint="eastAsia"/>
              </w:rPr>
              <w:t xml:space="preserve">  </w:t>
            </w:r>
            <w:r>
              <w:t>兵</w:t>
            </w:r>
          </w:p>
        </w:tc>
        <w:tc>
          <w:tcPr>
            <w:tcW w:w="467" w:type="pct"/>
          </w:tcPr>
          <w:p w14:paraId="5E8004D7" w14:textId="77777777" w:rsidR="00E57DAA" w:rsidRDefault="00AC4185" w:rsidP="00C25422">
            <w:pPr>
              <w:pStyle w:val="92"/>
            </w:pPr>
            <w:r>
              <w:t>否</w:t>
            </w:r>
          </w:p>
        </w:tc>
        <w:tc>
          <w:tcPr>
            <w:tcW w:w="607" w:type="pct"/>
          </w:tcPr>
          <w:p w14:paraId="7046A4D0" w14:textId="77777777" w:rsidR="00E57DAA" w:rsidRDefault="00AC4185">
            <w:pPr>
              <w:jc w:val="right"/>
            </w:pPr>
            <w:r>
              <w:t>3</w:t>
            </w:r>
          </w:p>
        </w:tc>
        <w:tc>
          <w:tcPr>
            <w:tcW w:w="471" w:type="pct"/>
          </w:tcPr>
          <w:p w14:paraId="612DB14D" w14:textId="77777777" w:rsidR="00E57DAA" w:rsidRDefault="00AC4185">
            <w:pPr>
              <w:jc w:val="right"/>
            </w:pPr>
            <w:r>
              <w:t>3</w:t>
            </w:r>
          </w:p>
        </w:tc>
        <w:tc>
          <w:tcPr>
            <w:tcW w:w="535" w:type="pct"/>
          </w:tcPr>
          <w:p w14:paraId="30F7CCFC" w14:textId="77777777" w:rsidR="00E57DAA" w:rsidRDefault="00AC4185">
            <w:pPr>
              <w:jc w:val="right"/>
            </w:pPr>
            <w:r>
              <w:rPr>
                <w:rFonts w:hint="eastAsia"/>
              </w:rPr>
              <w:t>1</w:t>
            </w:r>
          </w:p>
        </w:tc>
        <w:tc>
          <w:tcPr>
            <w:tcW w:w="500" w:type="pct"/>
          </w:tcPr>
          <w:p w14:paraId="2D7FBC9C" w14:textId="77777777" w:rsidR="00E57DAA" w:rsidRDefault="00AC4185">
            <w:pPr>
              <w:jc w:val="right"/>
            </w:pPr>
            <w:r>
              <w:t>0</w:t>
            </w:r>
          </w:p>
        </w:tc>
        <w:tc>
          <w:tcPr>
            <w:tcW w:w="467" w:type="pct"/>
          </w:tcPr>
          <w:p w14:paraId="18737714" w14:textId="77777777" w:rsidR="00E57DAA" w:rsidRDefault="00AC4185">
            <w:pPr>
              <w:jc w:val="right"/>
            </w:pPr>
            <w:r>
              <w:t>0</w:t>
            </w:r>
          </w:p>
        </w:tc>
        <w:tc>
          <w:tcPr>
            <w:tcW w:w="714" w:type="pct"/>
          </w:tcPr>
          <w:p w14:paraId="20ABFBE8" w14:textId="77777777" w:rsidR="00E57DAA" w:rsidRDefault="00AC4185" w:rsidP="00C25422">
            <w:pPr>
              <w:pStyle w:val="92"/>
            </w:pPr>
            <w:r>
              <w:t>否</w:t>
            </w:r>
          </w:p>
        </w:tc>
        <w:tc>
          <w:tcPr>
            <w:tcW w:w="697" w:type="pct"/>
          </w:tcPr>
          <w:p w14:paraId="00EBAB42" w14:textId="77777777" w:rsidR="00E57DAA" w:rsidRDefault="00AC4185">
            <w:pPr>
              <w:jc w:val="right"/>
            </w:pPr>
            <w:r>
              <w:t>2</w:t>
            </w:r>
          </w:p>
        </w:tc>
      </w:tr>
      <w:tr w:rsidR="00E57DAA" w14:paraId="278F6517" w14:textId="77777777">
        <w:trPr>
          <w:trHeight w:val="77"/>
        </w:trPr>
        <w:tc>
          <w:tcPr>
            <w:tcW w:w="541" w:type="pct"/>
          </w:tcPr>
          <w:p w14:paraId="163686A3" w14:textId="77777777" w:rsidR="00E57DAA" w:rsidRDefault="00AC4185" w:rsidP="00C25422">
            <w:pPr>
              <w:pStyle w:val="92"/>
            </w:pPr>
            <w:r>
              <w:t>王益民</w:t>
            </w:r>
          </w:p>
        </w:tc>
        <w:tc>
          <w:tcPr>
            <w:tcW w:w="467" w:type="pct"/>
          </w:tcPr>
          <w:p w14:paraId="44D7E52B" w14:textId="77777777" w:rsidR="00E57DAA" w:rsidRDefault="00AC4185" w:rsidP="00C25422">
            <w:pPr>
              <w:pStyle w:val="92"/>
            </w:pPr>
            <w:r>
              <w:t>否</w:t>
            </w:r>
          </w:p>
        </w:tc>
        <w:tc>
          <w:tcPr>
            <w:tcW w:w="607" w:type="pct"/>
          </w:tcPr>
          <w:p w14:paraId="297F872D" w14:textId="77777777" w:rsidR="00E57DAA" w:rsidRDefault="00AC4185">
            <w:pPr>
              <w:jc w:val="right"/>
            </w:pPr>
            <w:r>
              <w:t>9</w:t>
            </w:r>
          </w:p>
        </w:tc>
        <w:tc>
          <w:tcPr>
            <w:tcW w:w="471" w:type="pct"/>
          </w:tcPr>
          <w:p w14:paraId="1C719A0C" w14:textId="77777777" w:rsidR="00E57DAA" w:rsidRDefault="00AC4185">
            <w:pPr>
              <w:jc w:val="right"/>
            </w:pPr>
            <w:r>
              <w:t>9</w:t>
            </w:r>
          </w:p>
        </w:tc>
        <w:tc>
          <w:tcPr>
            <w:tcW w:w="535" w:type="pct"/>
          </w:tcPr>
          <w:p w14:paraId="4D2F89E3" w14:textId="77777777" w:rsidR="00E57DAA" w:rsidRDefault="00AC4185">
            <w:pPr>
              <w:jc w:val="right"/>
            </w:pPr>
            <w:r>
              <w:rPr>
                <w:rFonts w:hint="eastAsia"/>
              </w:rPr>
              <w:t>1</w:t>
            </w:r>
          </w:p>
        </w:tc>
        <w:tc>
          <w:tcPr>
            <w:tcW w:w="500" w:type="pct"/>
          </w:tcPr>
          <w:p w14:paraId="33C9A6E7" w14:textId="77777777" w:rsidR="00E57DAA" w:rsidRDefault="00AC4185">
            <w:pPr>
              <w:jc w:val="right"/>
            </w:pPr>
            <w:r>
              <w:t>0</w:t>
            </w:r>
          </w:p>
        </w:tc>
        <w:tc>
          <w:tcPr>
            <w:tcW w:w="467" w:type="pct"/>
          </w:tcPr>
          <w:p w14:paraId="5A14B2CD" w14:textId="77777777" w:rsidR="00E57DAA" w:rsidRDefault="00AC4185">
            <w:pPr>
              <w:jc w:val="right"/>
            </w:pPr>
            <w:r>
              <w:t>0</w:t>
            </w:r>
          </w:p>
        </w:tc>
        <w:tc>
          <w:tcPr>
            <w:tcW w:w="714" w:type="pct"/>
          </w:tcPr>
          <w:p w14:paraId="671C35DE" w14:textId="77777777" w:rsidR="00E57DAA" w:rsidRDefault="00AC4185" w:rsidP="00C25422">
            <w:pPr>
              <w:pStyle w:val="92"/>
            </w:pPr>
            <w:r>
              <w:t>否</w:t>
            </w:r>
          </w:p>
        </w:tc>
        <w:tc>
          <w:tcPr>
            <w:tcW w:w="697" w:type="pct"/>
          </w:tcPr>
          <w:p w14:paraId="404B65DB" w14:textId="77777777" w:rsidR="00E57DAA" w:rsidRDefault="00AC4185">
            <w:pPr>
              <w:jc w:val="right"/>
            </w:pPr>
            <w:r>
              <w:t>5</w:t>
            </w:r>
          </w:p>
        </w:tc>
      </w:tr>
      <w:tr w:rsidR="00E57DAA" w14:paraId="423B0620" w14:textId="77777777">
        <w:trPr>
          <w:trHeight w:val="77"/>
        </w:trPr>
        <w:tc>
          <w:tcPr>
            <w:tcW w:w="541" w:type="pct"/>
          </w:tcPr>
          <w:p w14:paraId="4325F7BA" w14:textId="77777777" w:rsidR="00E57DAA" w:rsidRDefault="00AC4185" w:rsidP="00C25422">
            <w:pPr>
              <w:pStyle w:val="92"/>
            </w:pPr>
            <w:r>
              <w:t>何小龙</w:t>
            </w:r>
          </w:p>
        </w:tc>
        <w:tc>
          <w:tcPr>
            <w:tcW w:w="467" w:type="pct"/>
          </w:tcPr>
          <w:p w14:paraId="229D6247" w14:textId="77777777" w:rsidR="00E57DAA" w:rsidRDefault="00AC4185" w:rsidP="00C25422">
            <w:pPr>
              <w:pStyle w:val="92"/>
            </w:pPr>
            <w:r>
              <w:t>否</w:t>
            </w:r>
          </w:p>
        </w:tc>
        <w:tc>
          <w:tcPr>
            <w:tcW w:w="607" w:type="pct"/>
          </w:tcPr>
          <w:p w14:paraId="0AD0111E" w14:textId="77777777" w:rsidR="00E57DAA" w:rsidRDefault="00AC4185">
            <w:pPr>
              <w:jc w:val="right"/>
            </w:pPr>
            <w:r>
              <w:t>3</w:t>
            </w:r>
          </w:p>
        </w:tc>
        <w:tc>
          <w:tcPr>
            <w:tcW w:w="471" w:type="pct"/>
          </w:tcPr>
          <w:p w14:paraId="6B2D5EC6" w14:textId="77777777" w:rsidR="00E57DAA" w:rsidRDefault="00AC4185">
            <w:pPr>
              <w:jc w:val="right"/>
            </w:pPr>
            <w:r>
              <w:t>3</w:t>
            </w:r>
          </w:p>
        </w:tc>
        <w:tc>
          <w:tcPr>
            <w:tcW w:w="535" w:type="pct"/>
          </w:tcPr>
          <w:p w14:paraId="4699B895" w14:textId="77777777" w:rsidR="00E57DAA" w:rsidRDefault="00AC4185">
            <w:pPr>
              <w:jc w:val="right"/>
            </w:pPr>
            <w:r>
              <w:rPr>
                <w:rFonts w:hint="eastAsia"/>
              </w:rPr>
              <w:t>1</w:t>
            </w:r>
          </w:p>
        </w:tc>
        <w:tc>
          <w:tcPr>
            <w:tcW w:w="500" w:type="pct"/>
          </w:tcPr>
          <w:p w14:paraId="124B0047" w14:textId="77777777" w:rsidR="00E57DAA" w:rsidRDefault="00AC4185">
            <w:pPr>
              <w:jc w:val="right"/>
            </w:pPr>
            <w:r>
              <w:t>0</w:t>
            </w:r>
          </w:p>
        </w:tc>
        <w:tc>
          <w:tcPr>
            <w:tcW w:w="467" w:type="pct"/>
          </w:tcPr>
          <w:p w14:paraId="62565698" w14:textId="77777777" w:rsidR="00E57DAA" w:rsidRDefault="00AC4185">
            <w:pPr>
              <w:jc w:val="right"/>
            </w:pPr>
            <w:r>
              <w:t>0</w:t>
            </w:r>
          </w:p>
        </w:tc>
        <w:tc>
          <w:tcPr>
            <w:tcW w:w="714" w:type="pct"/>
          </w:tcPr>
          <w:p w14:paraId="2544E4E7" w14:textId="77777777" w:rsidR="00E57DAA" w:rsidRDefault="00AC4185" w:rsidP="00C25422">
            <w:pPr>
              <w:pStyle w:val="92"/>
            </w:pPr>
            <w:r>
              <w:t>否</w:t>
            </w:r>
          </w:p>
        </w:tc>
        <w:tc>
          <w:tcPr>
            <w:tcW w:w="697" w:type="pct"/>
          </w:tcPr>
          <w:p w14:paraId="5F0E4A08" w14:textId="77777777" w:rsidR="00E57DAA" w:rsidRDefault="00AC4185">
            <w:pPr>
              <w:jc w:val="right"/>
            </w:pPr>
            <w:r>
              <w:t>2</w:t>
            </w:r>
          </w:p>
        </w:tc>
      </w:tr>
      <w:tr w:rsidR="00E57DAA" w14:paraId="537AAB04" w14:textId="77777777">
        <w:trPr>
          <w:trHeight w:val="77"/>
        </w:trPr>
        <w:tc>
          <w:tcPr>
            <w:tcW w:w="541" w:type="pct"/>
          </w:tcPr>
          <w:p w14:paraId="6D66BEB5" w14:textId="77777777" w:rsidR="00E57DAA" w:rsidRDefault="00AC4185" w:rsidP="00C25422">
            <w:pPr>
              <w:pStyle w:val="92"/>
            </w:pPr>
            <w:r>
              <w:t>蒋中文</w:t>
            </w:r>
          </w:p>
        </w:tc>
        <w:tc>
          <w:tcPr>
            <w:tcW w:w="467" w:type="pct"/>
          </w:tcPr>
          <w:p w14:paraId="19AF11BA" w14:textId="77777777" w:rsidR="00E57DAA" w:rsidRDefault="00AC4185" w:rsidP="00C25422">
            <w:pPr>
              <w:pStyle w:val="92"/>
            </w:pPr>
            <w:r>
              <w:t>否</w:t>
            </w:r>
          </w:p>
        </w:tc>
        <w:tc>
          <w:tcPr>
            <w:tcW w:w="607" w:type="pct"/>
          </w:tcPr>
          <w:p w14:paraId="6C47DCAB" w14:textId="77777777" w:rsidR="00E57DAA" w:rsidRDefault="00AC4185">
            <w:pPr>
              <w:jc w:val="right"/>
            </w:pPr>
            <w:r>
              <w:t>6</w:t>
            </w:r>
          </w:p>
        </w:tc>
        <w:tc>
          <w:tcPr>
            <w:tcW w:w="471" w:type="pct"/>
          </w:tcPr>
          <w:p w14:paraId="1BE96CA2" w14:textId="77777777" w:rsidR="00E57DAA" w:rsidRDefault="00AC4185">
            <w:pPr>
              <w:jc w:val="right"/>
            </w:pPr>
            <w:r>
              <w:t>6</w:t>
            </w:r>
          </w:p>
        </w:tc>
        <w:tc>
          <w:tcPr>
            <w:tcW w:w="535" w:type="pct"/>
          </w:tcPr>
          <w:p w14:paraId="64F93487" w14:textId="77777777" w:rsidR="00E57DAA" w:rsidRDefault="00AC4185">
            <w:pPr>
              <w:jc w:val="right"/>
            </w:pPr>
            <w:r>
              <w:rPr>
                <w:rFonts w:hint="eastAsia"/>
              </w:rPr>
              <w:t>1</w:t>
            </w:r>
          </w:p>
        </w:tc>
        <w:tc>
          <w:tcPr>
            <w:tcW w:w="500" w:type="pct"/>
          </w:tcPr>
          <w:p w14:paraId="4761094B" w14:textId="77777777" w:rsidR="00E57DAA" w:rsidRDefault="00AC4185">
            <w:pPr>
              <w:jc w:val="right"/>
            </w:pPr>
            <w:r>
              <w:t>0</w:t>
            </w:r>
          </w:p>
        </w:tc>
        <w:tc>
          <w:tcPr>
            <w:tcW w:w="467" w:type="pct"/>
          </w:tcPr>
          <w:p w14:paraId="70AE4B73" w14:textId="77777777" w:rsidR="00E57DAA" w:rsidRDefault="00AC4185">
            <w:pPr>
              <w:jc w:val="right"/>
            </w:pPr>
            <w:r>
              <w:t>0</w:t>
            </w:r>
          </w:p>
        </w:tc>
        <w:tc>
          <w:tcPr>
            <w:tcW w:w="714" w:type="pct"/>
          </w:tcPr>
          <w:p w14:paraId="6991665F" w14:textId="77777777" w:rsidR="00E57DAA" w:rsidRDefault="00AC4185" w:rsidP="00C25422">
            <w:pPr>
              <w:pStyle w:val="92"/>
            </w:pPr>
            <w:r>
              <w:t>否</w:t>
            </w:r>
          </w:p>
        </w:tc>
        <w:tc>
          <w:tcPr>
            <w:tcW w:w="697" w:type="pct"/>
          </w:tcPr>
          <w:p w14:paraId="0A11446C" w14:textId="77777777" w:rsidR="00E57DAA" w:rsidRDefault="00AC4185">
            <w:pPr>
              <w:jc w:val="right"/>
            </w:pPr>
            <w:r>
              <w:t>3</w:t>
            </w:r>
          </w:p>
        </w:tc>
      </w:tr>
      <w:tr w:rsidR="00E57DAA" w14:paraId="23CA3C5F" w14:textId="77777777">
        <w:trPr>
          <w:trHeight w:val="77"/>
        </w:trPr>
        <w:tc>
          <w:tcPr>
            <w:tcW w:w="541" w:type="pct"/>
          </w:tcPr>
          <w:p w14:paraId="23FF92BE" w14:textId="77777777" w:rsidR="00E57DAA" w:rsidRDefault="00AC4185" w:rsidP="00C25422">
            <w:pPr>
              <w:pStyle w:val="92"/>
            </w:pPr>
            <w:r>
              <w:t>蔡军恒</w:t>
            </w:r>
          </w:p>
        </w:tc>
        <w:tc>
          <w:tcPr>
            <w:tcW w:w="467" w:type="pct"/>
          </w:tcPr>
          <w:p w14:paraId="1EAD5825" w14:textId="77777777" w:rsidR="00E57DAA" w:rsidRDefault="00AC4185" w:rsidP="00C25422">
            <w:pPr>
              <w:pStyle w:val="92"/>
            </w:pPr>
            <w:r>
              <w:t>否</w:t>
            </w:r>
          </w:p>
        </w:tc>
        <w:tc>
          <w:tcPr>
            <w:tcW w:w="607" w:type="pct"/>
          </w:tcPr>
          <w:p w14:paraId="7B1B441A" w14:textId="77777777" w:rsidR="00E57DAA" w:rsidRDefault="00AC4185">
            <w:pPr>
              <w:jc w:val="right"/>
            </w:pPr>
            <w:r>
              <w:t>3</w:t>
            </w:r>
          </w:p>
        </w:tc>
        <w:tc>
          <w:tcPr>
            <w:tcW w:w="471" w:type="pct"/>
          </w:tcPr>
          <w:p w14:paraId="60109048" w14:textId="77777777" w:rsidR="00E57DAA" w:rsidRDefault="00AC4185">
            <w:pPr>
              <w:jc w:val="right"/>
            </w:pPr>
            <w:r>
              <w:t>3</w:t>
            </w:r>
          </w:p>
        </w:tc>
        <w:tc>
          <w:tcPr>
            <w:tcW w:w="535" w:type="pct"/>
          </w:tcPr>
          <w:p w14:paraId="767BF74A" w14:textId="77777777" w:rsidR="00E57DAA" w:rsidRDefault="00AC4185">
            <w:pPr>
              <w:jc w:val="right"/>
            </w:pPr>
            <w:r>
              <w:rPr>
                <w:rFonts w:hint="eastAsia"/>
              </w:rPr>
              <w:t>1</w:t>
            </w:r>
          </w:p>
        </w:tc>
        <w:tc>
          <w:tcPr>
            <w:tcW w:w="500" w:type="pct"/>
          </w:tcPr>
          <w:p w14:paraId="0CCAC99F" w14:textId="77777777" w:rsidR="00E57DAA" w:rsidRDefault="00AC4185">
            <w:pPr>
              <w:jc w:val="right"/>
            </w:pPr>
            <w:r>
              <w:t>0</w:t>
            </w:r>
          </w:p>
        </w:tc>
        <w:tc>
          <w:tcPr>
            <w:tcW w:w="467" w:type="pct"/>
          </w:tcPr>
          <w:p w14:paraId="5AA5966D" w14:textId="77777777" w:rsidR="00E57DAA" w:rsidRDefault="00AC4185">
            <w:pPr>
              <w:jc w:val="right"/>
            </w:pPr>
            <w:r>
              <w:t>0</w:t>
            </w:r>
          </w:p>
        </w:tc>
        <w:tc>
          <w:tcPr>
            <w:tcW w:w="714" w:type="pct"/>
          </w:tcPr>
          <w:p w14:paraId="1D88C03F" w14:textId="77777777" w:rsidR="00E57DAA" w:rsidRDefault="00AC4185" w:rsidP="00C25422">
            <w:pPr>
              <w:pStyle w:val="92"/>
            </w:pPr>
            <w:r>
              <w:t>否</w:t>
            </w:r>
          </w:p>
        </w:tc>
        <w:tc>
          <w:tcPr>
            <w:tcW w:w="697" w:type="pct"/>
          </w:tcPr>
          <w:p w14:paraId="2243F2E7" w14:textId="77777777" w:rsidR="00E57DAA" w:rsidRDefault="00AC4185">
            <w:pPr>
              <w:jc w:val="right"/>
            </w:pPr>
            <w:r>
              <w:t>2</w:t>
            </w:r>
          </w:p>
        </w:tc>
      </w:tr>
      <w:tr w:rsidR="00E57DAA" w14:paraId="758A0B57" w14:textId="77777777">
        <w:trPr>
          <w:trHeight w:val="77"/>
        </w:trPr>
        <w:tc>
          <w:tcPr>
            <w:tcW w:w="541" w:type="pct"/>
          </w:tcPr>
          <w:p w14:paraId="207AC1AF" w14:textId="77777777" w:rsidR="00E57DAA" w:rsidRDefault="00AC4185" w:rsidP="00C25422">
            <w:pPr>
              <w:pStyle w:val="92"/>
            </w:pPr>
            <w:r>
              <w:t>张晓燕</w:t>
            </w:r>
          </w:p>
        </w:tc>
        <w:tc>
          <w:tcPr>
            <w:tcW w:w="467" w:type="pct"/>
          </w:tcPr>
          <w:p w14:paraId="206520C1" w14:textId="77777777" w:rsidR="00E57DAA" w:rsidRDefault="00AC4185" w:rsidP="00C25422">
            <w:pPr>
              <w:pStyle w:val="92"/>
            </w:pPr>
            <w:r>
              <w:t>是</w:t>
            </w:r>
          </w:p>
        </w:tc>
        <w:tc>
          <w:tcPr>
            <w:tcW w:w="607" w:type="pct"/>
          </w:tcPr>
          <w:p w14:paraId="62A65F35" w14:textId="77777777" w:rsidR="00E57DAA" w:rsidRDefault="00AC4185">
            <w:pPr>
              <w:jc w:val="right"/>
            </w:pPr>
            <w:r>
              <w:t>6</w:t>
            </w:r>
          </w:p>
        </w:tc>
        <w:tc>
          <w:tcPr>
            <w:tcW w:w="471" w:type="pct"/>
          </w:tcPr>
          <w:p w14:paraId="239F5EF4" w14:textId="77777777" w:rsidR="00E57DAA" w:rsidRDefault="00AC4185">
            <w:pPr>
              <w:jc w:val="right"/>
            </w:pPr>
            <w:r>
              <w:t>6</w:t>
            </w:r>
          </w:p>
        </w:tc>
        <w:tc>
          <w:tcPr>
            <w:tcW w:w="535" w:type="pct"/>
          </w:tcPr>
          <w:p w14:paraId="340A834B" w14:textId="77777777" w:rsidR="00E57DAA" w:rsidRDefault="00AC4185">
            <w:pPr>
              <w:jc w:val="right"/>
            </w:pPr>
            <w:r>
              <w:rPr>
                <w:rFonts w:hint="eastAsia"/>
              </w:rPr>
              <w:t>2</w:t>
            </w:r>
          </w:p>
        </w:tc>
        <w:tc>
          <w:tcPr>
            <w:tcW w:w="500" w:type="pct"/>
          </w:tcPr>
          <w:p w14:paraId="125BA71F" w14:textId="77777777" w:rsidR="00E57DAA" w:rsidRDefault="00AC4185">
            <w:pPr>
              <w:jc w:val="right"/>
            </w:pPr>
            <w:r>
              <w:t>0</w:t>
            </w:r>
          </w:p>
        </w:tc>
        <w:tc>
          <w:tcPr>
            <w:tcW w:w="467" w:type="pct"/>
          </w:tcPr>
          <w:p w14:paraId="6126FFB1" w14:textId="77777777" w:rsidR="00E57DAA" w:rsidRDefault="00AC4185">
            <w:pPr>
              <w:jc w:val="right"/>
            </w:pPr>
            <w:r>
              <w:t>0</w:t>
            </w:r>
          </w:p>
        </w:tc>
        <w:tc>
          <w:tcPr>
            <w:tcW w:w="714" w:type="pct"/>
          </w:tcPr>
          <w:p w14:paraId="302C0251" w14:textId="77777777" w:rsidR="00E57DAA" w:rsidRDefault="00AC4185" w:rsidP="00C25422">
            <w:pPr>
              <w:pStyle w:val="92"/>
            </w:pPr>
            <w:r>
              <w:t>否</w:t>
            </w:r>
          </w:p>
        </w:tc>
        <w:tc>
          <w:tcPr>
            <w:tcW w:w="697" w:type="pct"/>
          </w:tcPr>
          <w:p w14:paraId="2361AF2D" w14:textId="77777777" w:rsidR="00E57DAA" w:rsidRDefault="00AC4185">
            <w:pPr>
              <w:jc w:val="right"/>
            </w:pPr>
            <w:r>
              <w:t>3</w:t>
            </w:r>
          </w:p>
        </w:tc>
      </w:tr>
      <w:tr w:rsidR="00E57DAA" w14:paraId="38C30A0E" w14:textId="77777777">
        <w:trPr>
          <w:trHeight w:val="77"/>
        </w:trPr>
        <w:tc>
          <w:tcPr>
            <w:tcW w:w="541" w:type="pct"/>
          </w:tcPr>
          <w:p w14:paraId="4BE1F913" w14:textId="77777777" w:rsidR="00E57DAA" w:rsidRDefault="00AC4185" w:rsidP="00C25422">
            <w:pPr>
              <w:pStyle w:val="92"/>
            </w:pPr>
            <w:r>
              <w:t>鞠</w:t>
            </w:r>
            <w:r>
              <w:rPr>
                <w:rFonts w:hint="eastAsia"/>
              </w:rPr>
              <w:t xml:space="preserve">  </w:t>
            </w:r>
            <w:r>
              <w:t>源</w:t>
            </w:r>
          </w:p>
        </w:tc>
        <w:tc>
          <w:tcPr>
            <w:tcW w:w="467" w:type="pct"/>
          </w:tcPr>
          <w:p w14:paraId="371D1A1B" w14:textId="77777777" w:rsidR="00E57DAA" w:rsidRDefault="00AC4185" w:rsidP="00C25422">
            <w:pPr>
              <w:pStyle w:val="92"/>
            </w:pPr>
            <w:r>
              <w:t>是</w:t>
            </w:r>
          </w:p>
        </w:tc>
        <w:tc>
          <w:tcPr>
            <w:tcW w:w="607" w:type="pct"/>
          </w:tcPr>
          <w:p w14:paraId="727F4D3B" w14:textId="77777777" w:rsidR="00E57DAA" w:rsidRDefault="00AC4185">
            <w:pPr>
              <w:jc w:val="right"/>
            </w:pPr>
            <w:r>
              <w:t>3</w:t>
            </w:r>
          </w:p>
        </w:tc>
        <w:tc>
          <w:tcPr>
            <w:tcW w:w="471" w:type="pct"/>
          </w:tcPr>
          <w:p w14:paraId="18C2BEF5" w14:textId="77777777" w:rsidR="00E57DAA" w:rsidRDefault="00AC4185">
            <w:pPr>
              <w:jc w:val="right"/>
            </w:pPr>
            <w:r>
              <w:t>3</w:t>
            </w:r>
          </w:p>
        </w:tc>
        <w:tc>
          <w:tcPr>
            <w:tcW w:w="535" w:type="pct"/>
          </w:tcPr>
          <w:p w14:paraId="02246D7D" w14:textId="77777777" w:rsidR="00E57DAA" w:rsidRDefault="00AC4185">
            <w:pPr>
              <w:jc w:val="right"/>
            </w:pPr>
            <w:r>
              <w:rPr>
                <w:rFonts w:hint="eastAsia"/>
              </w:rPr>
              <w:t>3</w:t>
            </w:r>
          </w:p>
        </w:tc>
        <w:tc>
          <w:tcPr>
            <w:tcW w:w="500" w:type="pct"/>
          </w:tcPr>
          <w:p w14:paraId="4A88F587" w14:textId="77777777" w:rsidR="00E57DAA" w:rsidRDefault="00AC4185">
            <w:pPr>
              <w:jc w:val="right"/>
            </w:pPr>
            <w:r>
              <w:t>0</w:t>
            </w:r>
          </w:p>
        </w:tc>
        <w:tc>
          <w:tcPr>
            <w:tcW w:w="467" w:type="pct"/>
          </w:tcPr>
          <w:p w14:paraId="034020D4" w14:textId="77777777" w:rsidR="00E57DAA" w:rsidRDefault="00AC4185">
            <w:pPr>
              <w:jc w:val="right"/>
            </w:pPr>
            <w:r>
              <w:t>0</w:t>
            </w:r>
          </w:p>
        </w:tc>
        <w:tc>
          <w:tcPr>
            <w:tcW w:w="714" w:type="pct"/>
          </w:tcPr>
          <w:p w14:paraId="4E3814E5" w14:textId="77777777" w:rsidR="00E57DAA" w:rsidRDefault="00AC4185" w:rsidP="00C25422">
            <w:pPr>
              <w:pStyle w:val="92"/>
            </w:pPr>
            <w:r>
              <w:t>否</w:t>
            </w:r>
          </w:p>
        </w:tc>
        <w:tc>
          <w:tcPr>
            <w:tcW w:w="697" w:type="pct"/>
          </w:tcPr>
          <w:p w14:paraId="588671A7" w14:textId="77777777" w:rsidR="00E57DAA" w:rsidRDefault="00AC4185">
            <w:pPr>
              <w:jc w:val="right"/>
            </w:pPr>
            <w:r>
              <w:t>2</w:t>
            </w:r>
          </w:p>
        </w:tc>
      </w:tr>
      <w:tr w:rsidR="00E57DAA" w14:paraId="76A4927E" w14:textId="77777777">
        <w:trPr>
          <w:trHeight w:val="77"/>
        </w:trPr>
        <w:tc>
          <w:tcPr>
            <w:tcW w:w="541" w:type="pct"/>
          </w:tcPr>
          <w:p w14:paraId="2D6594A0" w14:textId="77777777" w:rsidR="00E57DAA" w:rsidRDefault="00AC4185" w:rsidP="00C25422">
            <w:pPr>
              <w:pStyle w:val="92"/>
            </w:pPr>
            <w:r>
              <w:t>焦</w:t>
            </w:r>
            <w:r>
              <w:rPr>
                <w:rFonts w:hint="eastAsia"/>
              </w:rPr>
              <w:t xml:space="preserve">  </w:t>
            </w:r>
            <w:r>
              <w:t>点</w:t>
            </w:r>
          </w:p>
        </w:tc>
        <w:tc>
          <w:tcPr>
            <w:tcW w:w="467" w:type="pct"/>
          </w:tcPr>
          <w:p w14:paraId="2D039A4A" w14:textId="77777777" w:rsidR="00E57DAA" w:rsidRDefault="00AC4185" w:rsidP="00C25422">
            <w:pPr>
              <w:pStyle w:val="92"/>
            </w:pPr>
            <w:r>
              <w:t>是</w:t>
            </w:r>
          </w:p>
        </w:tc>
        <w:tc>
          <w:tcPr>
            <w:tcW w:w="607" w:type="pct"/>
          </w:tcPr>
          <w:p w14:paraId="7E42CC64" w14:textId="77777777" w:rsidR="00E57DAA" w:rsidRDefault="00AC4185">
            <w:pPr>
              <w:jc w:val="right"/>
            </w:pPr>
            <w:r>
              <w:t>9</w:t>
            </w:r>
          </w:p>
        </w:tc>
        <w:tc>
          <w:tcPr>
            <w:tcW w:w="471" w:type="pct"/>
          </w:tcPr>
          <w:p w14:paraId="63A80B6B" w14:textId="77777777" w:rsidR="00E57DAA" w:rsidRDefault="00AC4185">
            <w:pPr>
              <w:jc w:val="right"/>
            </w:pPr>
            <w:r>
              <w:t>9</w:t>
            </w:r>
          </w:p>
        </w:tc>
        <w:tc>
          <w:tcPr>
            <w:tcW w:w="535" w:type="pct"/>
          </w:tcPr>
          <w:p w14:paraId="40CAE1B6" w14:textId="77777777" w:rsidR="00E57DAA" w:rsidRDefault="00AC4185">
            <w:pPr>
              <w:jc w:val="right"/>
            </w:pPr>
            <w:r>
              <w:rPr>
                <w:rFonts w:hint="eastAsia"/>
              </w:rPr>
              <w:t>3</w:t>
            </w:r>
          </w:p>
        </w:tc>
        <w:tc>
          <w:tcPr>
            <w:tcW w:w="500" w:type="pct"/>
          </w:tcPr>
          <w:p w14:paraId="4241D4CA" w14:textId="77777777" w:rsidR="00E57DAA" w:rsidRDefault="00AC4185">
            <w:pPr>
              <w:jc w:val="right"/>
            </w:pPr>
            <w:r>
              <w:t>0</w:t>
            </w:r>
          </w:p>
        </w:tc>
        <w:tc>
          <w:tcPr>
            <w:tcW w:w="467" w:type="pct"/>
          </w:tcPr>
          <w:p w14:paraId="728D22C5" w14:textId="77777777" w:rsidR="00E57DAA" w:rsidRDefault="00AC4185">
            <w:pPr>
              <w:jc w:val="right"/>
            </w:pPr>
            <w:r>
              <w:t>0</w:t>
            </w:r>
          </w:p>
        </w:tc>
        <w:tc>
          <w:tcPr>
            <w:tcW w:w="714" w:type="pct"/>
          </w:tcPr>
          <w:p w14:paraId="2B7BD428" w14:textId="77777777" w:rsidR="00E57DAA" w:rsidRDefault="00AC4185" w:rsidP="00C25422">
            <w:pPr>
              <w:pStyle w:val="92"/>
            </w:pPr>
            <w:r>
              <w:t>否</w:t>
            </w:r>
          </w:p>
        </w:tc>
        <w:tc>
          <w:tcPr>
            <w:tcW w:w="697" w:type="pct"/>
          </w:tcPr>
          <w:p w14:paraId="4886CE49" w14:textId="77777777" w:rsidR="00E57DAA" w:rsidRDefault="00AC4185">
            <w:pPr>
              <w:jc w:val="right"/>
            </w:pPr>
            <w:r>
              <w:t>5</w:t>
            </w:r>
          </w:p>
        </w:tc>
      </w:tr>
      <w:tr w:rsidR="00E57DAA" w14:paraId="0941F83C" w14:textId="77777777">
        <w:trPr>
          <w:trHeight w:val="77"/>
        </w:trPr>
        <w:tc>
          <w:tcPr>
            <w:tcW w:w="541" w:type="pct"/>
          </w:tcPr>
          <w:p w14:paraId="2294F305" w14:textId="77777777" w:rsidR="00E57DAA" w:rsidRDefault="00AC4185" w:rsidP="00C25422">
            <w:pPr>
              <w:pStyle w:val="92"/>
            </w:pPr>
            <w:r>
              <w:t>周小明</w:t>
            </w:r>
          </w:p>
        </w:tc>
        <w:sdt>
          <w:sdtPr>
            <w:rPr>
              <w:rFonts w:hint="eastAsia"/>
            </w:rPr>
            <w:alias w:val="董事参加董事会的出席情况明细-是否独立董事"/>
            <w:tag w:val="_GBC_8f65cf2d483747a58ee92c8a36ee6375"/>
            <w:id w:val="-441379274"/>
            <w:comboBox>
              <w:listItem w:displayText="是" w:value="true"/>
              <w:listItem w:displayText="否" w:value="false"/>
            </w:comboBox>
          </w:sdtPr>
          <w:sdtEndPr/>
          <w:sdtContent>
            <w:tc>
              <w:tcPr>
                <w:tcW w:w="467" w:type="pct"/>
              </w:tcPr>
              <w:p w14:paraId="473BDB69" w14:textId="77777777" w:rsidR="00E57DAA" w:rsidRDefault="00AC4185" w:rsidP="00C25422">
                <w:pPr>
                  <w:pStyle w:val="92"/>
                </w:pPr>
                <w:r>
                  <w:rPr>
                    <w:rFonts w:hint="eastAsia"/>
                  </w:rPr>
                  <w:t>是</w:t>
                </w:r>
              </w:p>
            </w:tc>
          </w:sdtContent>
        </w:sdt>
        <w:tc>
          <w:tcPr>
            <w:tcW w:w="607" w:type="pct"/>
          </w:tcPr>
          <w:p w14:paraId="5E5D27C1" w14:textId="77777777" w:rsidR="00E57DAA" w:rsidRDefault="00AC4185">
            <w:pPr>
              <w:jc w:val="right"/>
            </w:pPr>
            <w:r>
              <w:t>9</w:t>
            </w:r>
          </w:p>
        </w:tc>
        <w:tc>
          <w:tcPr>
            <w:tcW w:w="471" w:type="pct"/>
          </w:tcPr>
          <w:p w14:paraId="36CB046F" w14:textId="77777777" w:rsidR="00E57DAA" w:rsidRDefault="00AC4185">
            <w:pPr>
              <w:jc w:val="right"/>
            </w:pPr>
            <w:r>
              <w:t>9</w:t>
            </w:r>
          </w:p>
        </w:tc>
        <w:tc>
          <w:tcPr>
            <w:tcW w:w="535" w:type="pct"/>
          </w:tcPr>
          <w:p w14:paraId="2575F0B1" w14:textId="77777777" w:rsidR="00E57DAA" w:rsidRDefault="00AC4185">
            <w:pPr>
              <w:jc w:val="right"/>
            </w:pPr>
            <w:r>
              <w:rPr>
                <w:rFonts w:hint="eastAsia"/>
              </w:rPr>
              <w:t>3</w:t>
            </w:r>
          </w:p>
        </w:tc>
        <w:tc>
          <w:tcPr>
            <w:tcW w:w="500" w:type="pct"/>
          </w:tcPr>
          <w:p w14:paraId="389F6C06" w14:textId="77777777" w:rsidR="00E57DAA" w:rsidRDefault="00AC4185">
            <w:pPr>
              <w:jc w:val="right"/>
            </w:pPr>
            <w:r>
              <w:t>0</w:t>
            </w:r>
          </w:p>
        </w:tc>
        <w:tc>
          <w:tcPr>
            <w:tcW w:w="467" w:type="pct"/>
          </w:tcPr>
          <w:p w14:paraId="57000515" w14:textId="77777777" w:rsidR="00E57DAA" w:rsidRDefault="00AC4185">
            <w:pPr>
              <w:jc w:val="right"/>
            </w:pPr>
            <w:r>
              <w:t>0</w:t>
            </w:r>
          </w:p>
        </w:tc>
        <w:sdt>
          <w:sdtPr>
            <w:rPr>
              <w:rFonts w:hint="eastAsia"/>
            </w:rPr>
            <w:alias w:val="董事参加董事会的出席情况明细-是否连续两次未亲自参加会议"/>
            <w:tag w:val="_GBC_4748dc7c4f9b495f9d97d5c22a5e08e6"/>
            <w:id w:val="1666204850"/>
            <w:comboBox>
              <w:listItem w:displayText="是" w:value="true"/>
              <w:listItem w:displayText="否" w:value="false"/>
            </w:comboBox>
          </w:sdtPr>
          <w:sdtEndPr/>
          <w:sdtContent>
            <w:tc>
              <w:tcPr>
                <w:tcW w:w="714" w:type="pct"/>
              </w:tcPr>
              <w:p w14:paraId="36CFEDD7" w14:textId="77777777" w:rsidR="00E57DAA" w:rsidRDefault="00AC4185" w:rsidP="00C25422">
                <w:pPr>
                  <w:pStyle w:val="92"/>
                </w:pPr>
                <w:r>
                  <w:rPr>
                    <w:rFonts w:hint="eastAsia"/>
                  </w:rPr>
                  <w:t>否</w:t>
                </w:r>
              </w:p>
            </w:tc>
          </w:sdtContent>
        </w:sdt>
        <w:tc>
          <w:tcPr>
            <w:tcW w:w="697" w:type="pct"/>
          </w:tcPr>
          <w:p w14:paraId="61E42A91" w14:textId="77777777" w:rsidR="00E57DAA" w:rsidRDefault="00AC4185">
            <w:pPr>
              <w:jc w:val="right"/>
            </w:pPr>
            <w:r>
              <w:t>5</w:t>
            </w:r>
          </w:p>
        </w:tc>
      </w:tr>
    </w:tbl>
    <w:p w14:paraId="42DCDD6E" w14:textId="77777777" w:rsidR="00E57DAA" w:rsidRDefault="00E57DAA" w:rsidP="00C25422">
      <w:pPr>
        <w:pStyle w:val="92"/>
      </w:pPr>
    </w:p>
    <w:p w14:paraId="2E279150" w14:textId="77777777" w:rsidR="00E57DAA" w:rsidRDefault="00AC4185">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108895240"/>
        <w:placeholder>
          <w:docPart w:val="GBC22222222222222222222222222222"/>
        </w:placeholder>
      </w:sdtPr>
      <w:sdtEndPr/>
      <w:sdtContent>
        <w:p w14:paraId="3EFE876C"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9E2083" w14:textId="77777777" w:rsidR="00E57DAA" w:rsidRDefault="00E57DAA">
      <w:pPr>
        <w:rPr>
          <w:szCs w:val="21"/>
        </w:rPr>
      </w:pPr>
    </w:p>
    <w:tbl>
      <w:tblPr>
        <w:tblStyle w:val="aff6"/>
        <w:tblW w:w="0" w:type="auto"/>
        <w:tblLook w:val="04A0" w:firstRow="1" w:lastRow="0" w:firstColumn="1" w:lastColumn="0" w:noHBand="0" w:noVBand="1"/>
      </w:tblPr>
      <w:tblGrid>
        <w:gridCol w:w="4415"/>
        <w:gridCol w:w="4408"/>
      </w:tblGrid>
      <w:tr w:rsidR="00E57DAA" w14:paraId="451779A1" w14:textId="77777777">
        <w:sdt>
          <w:sdtPr>
            <w:rPr>
              <w:rFonts w:ascii="Times New Roman" w:hAnsi="Times New Roman"/>
              <w:szCs w:val="21"/>
            </w:rPr>
            <w:tag w:val="_PLD_0fc68bf164f04edda97a907df4cc747d"/>
            <w:id w:val="253940480"/>
          </w:sdtPr>
          <w:sdtEndPr>
            <w:rPr>
              <w:szCs w:val="24"/>
            </w:rPr>
          </w:sdtEndPr>
          <w:sdtContent>
            <w:tc>
              <w:tcPr>
                <w:tcW w:w="4524" w:type="dxa"/>
              </w:tcPr>
              <w:p w14:paraId="5E52191B" w14:textId="77777777" w:rsidR="00E57DAA" w:rsidRDefault="00AC4185">
                <w:pPr>
                  <w:rPr>
                    <w:szCs w:val="21"/>
                  </w:rPr>
                </w:pPr>
                <w:r>
                  <w:rPr>
                    <w:szCs w:val="21"/>
                  </w:rPr>
                  <w:t>年内召开董事会会议次数</w:t>
                </w:r>
              </w:p>
            </w:tc>
          </w:sdtContent>
        </w:sdt>
        <w:sdt>
          <w:sdtPr>
            <w:rPr>
              <w:rFonts w:ascii="Times New Roman" w:hAnsi="Times New Roman" w:hint="eastAsia"/>
              <w:szCs w:val="21"/>
            </w:rPr>
            <w:alias w:val="报告期内召开董事会会议次数"/>
            <w:tag w:val="_GBC_cabd294ab90e40d0afb59e61df002667"/>
            <w:id w:val="-53086853"/>
          </w:sdtPr>
          <w:sdtEndPr/>
          <w:sdtContent>
            <w:tc>
              <w:tcPr>
                <w:tcW w:w="4525" w:type="dxa"/>
              </w:tcPr>
              <w:p w14:paraId="0E9A00A5" w14:textId="77777777" w:rsidR="00E57DAA" w:rsidRDefault="00AC4185">
                <w:pPr>
                  <w:rPr>
                    <w:szCs w:val="21"/>
                  </w:rPr>
                </w:pPr>
                <w:r>
                  <w:rPr>
                    <w:szCs w:val="21"/>
                  </w:rPr>
                  <w:t>9</w:t>
                </w:r>
              </w:p>
            </w:tc>
          </w:sdtContent>
        </w:sdt>
      </w:tr>
      <w:tr w:rsidR="00E57DAA" w14:paraId="49E607BE" w14:textId="77777777">
        <w:tc>
          <w:tcPr>
            <w:tcW w:w="4524" w:type="dxa"/>
          </w:tcPr>
          <w:p w14:paraId="30A1FE77" w14:textId="77777777" w:rsidR="00E57DAA" w:rsidRDefault="00AC4185">
            <w:pPr>
              <w:rPr>
                <w:szCs w:val="21"/>
              </w:rPr>
            </w:pPr>
            <w:r>
              <w:rPr>
                <w:szCs w:val="21"/>
              </w:rPr>
              <w:t>其中：现场会议次数</w:t>
            </w:r>
          </w:p>
        </w:tc>
        <w:tc>
          <w:tcPr>
            <w:tcW w:w="4525" w:type="dxa"/>
          </w:tcPr>
          <w:p w14:paraId="51ABE110" w14:textId="77777777" w:rsidR="00E57DAA" w:rsidRDefault="00AC4185">
            <w:pPr>
              <w:rPr>
                <w:szCs w:val="21"/>
              </w:rPr>
            </w:pPr>
            <w:r>
              <w:rPr>
                <w:rFonts w:hint="eastAsia"/>
                <w:szCs w:val="21"/>
              </w:rPr>
              <w:t>0</w:t>
            </w:r>
          </w:p>
        </w:tc>
      </w:tr>
      <w:tr w:rsidR="00E57DAA" w14:paraId="6ED100DE" w14:textId="77777777">
        <w:tc>
          <w:tcPr>
            <w:tcW w:w="4524" w:type="dxa"/>
          </w:tcPr>
          <w:p w14:paraId="18C3D134" w14:textId="77777777" w:rsidR="00E57DAA" w:rsidRDefault="00AC4185">
            <w:pPr>
              <w:rPr>
                <w:szCs w:val="21"/>
              </w:rPr>
            </w:pPr>
            <w:r>
              <w:rPr>
                <w:szCs w:val="21"/>
              </w:rPr>
              <w:t>通讯方式召开会议次数</w:t>
            </w:r>
          </w:p>
        </w:tc>
        <w:tc>
          <w:tcPr>
            <w:tcW w:w="4525" w:type="dxa"/>
          </w:tcPr>
          <w:p w14:paraId="2B3D6ED1" w14:textId="77777777" w:rsidR="00E57DAA" w:rsidRDefault="00AC4185">
            <w:pPr>
              <w:rPr>
                <w:szCs w:val="21"/>
              </w:rPr>
            </w:pPr>
            <w:r>
              <w:rPr>
                <w:rFonts w:hint="eastAsia"/>
                <w:szCs w:val="21"/>
              </w:rPr>
              <w:t>0</w:t>
            </w:r>
          </w:p>
        </w:tc>
      </w:tr>
      <w:tr w:rsidR="00E57DAA" w14:paraId="3F555B49" w14:textId="77777777">
        <w:tc>
          <w:tcPr>
            <w:tcW w:w="4524" w:type="dxa"/>
          </w:tcPr>
          <w:p w14:paraId="631B46A6" w14:textId="77777777" w:rsidR="00E57DAA" w:rsidRDefault="00AC4185">
            <w:pPr>
              <w:rPr>
                <w:szCs w:val="21"/>
              </w:rPr>
            </w:pPr>
            <w:r>
              <w:rPr>
                <w:szCs w:val="21"/>
              </w:rPr>
              <w:t>现场结合通讯方式召开会议次数</w:t>
            </w:r>
          </w:p>
        </w:tc>
        <w:tc>
          <w:tcPr>
            <w:tcW w:w="4525" w:type="dxa"/>
          </w:tcPr>
          <w:p w14:paraId="28722DD7" w14:textId="77777777" w:rsidR="00E57DAA" w:rsidRDefault="00AC4185">
            <w:pPr>
              <w:rPr>
                <w:szCs w:val="21"/>
              </w:rPr>
            </w:pPr>
            <w:r>
              <w:rPr>
                <w:rFonts w:hint="eastAsia"/>
                <w:szCs w:val="21"/>
              </w:rPr>
              <w:t>9</w:t>
            </w:r>
          </w:p>
        </w:tc>
      </w:tr>
    </w:tbl>
    <w:p w14:paraId="489BD29D" w14:textId="77777777" w:rsidR="00E57DAA" w:rsidRDefault="00E57DAA" w:rsidP="00C25422">
      <w:pPr>
        <w:pStyle w:val="92"/>
      </w:pPr>
    </w:p>
    <w:p w14:paraId="1CEBBBBC" w14:textId="77777777" w:rsidR="00E57DAA" w:rsidRDefault="00AC4185">
      <w:pPr>
        <w:pStyle w:val="3"/>
        <w:numPr>
          <w:ilvl w:val="0"/>
          <w:numId w:val="22"/>
        </w:numPr>
      </w:pPr>
      <w:r>
        <w:t>董事对公司有关事项提出异议的情况</w:t>
      </w:r>
    </w:p>
    <w:sdt>
      <w:sdtPr>
        <w:alias w:val="是否适用：独立董事对公司有关事项提出异议的情况[双击切换]"/>
        <w:tag w:val="_GBC_1369df39a53747ff843be7f892cb0cbd"/>
        <w:id w:val="-724366555"/>
        <w:placeholder>
          <w:docPart w:val="GBC22222222222222222222222222222"/>
        </w:placeholder>
      </w:sdtPr>
      <w:sdtEndPr/>
      <w:sdtContent>
        <w:p w14:paraId="1A8DE7F3"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082826" w14:textId="77777777" w:rsidR="00E57DAA" w:rsidRDefault="00E57DAA">
      <w:pPr>
        <w:rPr>
          <w:szCs w:val="21"/>
        </w:rPr>
      </w:pPr>
    </w:p>
    <w:p w14:paraId="40F90F99" w14:textId="77777777" w:rsidR="00E57DAA" w:rsidRDefault="00AC4185">
      <w:pPr>
        <w:pStyle w:val="3"/>
        <w:numPr>
          <w:ilvl w:val="0"/>
          <w:numId w:val="22"/>
        </w:numPr>
      </w:pPr>
      <w:r>
        <w:t>其他</w:t>
      </w:r>
    </w:p>
    <w:sdt>
      <w:sdtPr>
        <w:rPr>
          <w:rFonts w:hint="eastAsia"/>
          <w:szCs w:val="21"/>
        </w:rPr>
        <w:alias w:val="是否适用：其他董事履行职责情况说明[双击切换]"/>
        <w:tag w:val="_GBC_ba1a70dda14046559f72c5b524ca1125"/>
        <w:id w:val="-727688725"/>
        <w:placeholder>
          <w:docPart w:val="GBC22222222222222222222222222222"/>
        </w:placeholder>
      </w:sdtPr>
      <w:sdtEndPr/>
      <w:sdtContent>
        <w:p w14:paraId="2DD83999"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董事履行职责情况"/>
        <w:tag w:val="_GBC_0c03dcbd0b2744198db0270afda7ed1a"/>
        <w:id w:val="-750355766"/>
        <w:placeholder>
          <w:docPart w:val="GBC22222222222222222222222222222"/>
        </w:placeholder>
      </w:sdtPr>
      <w:sdtEndPr/>
      <w:sdtContent>
        <w:p w14:paraId="5B267454" w14:textId="77777777" w:rsidR="00E57DAA" w:rsidRDefault="00AC4185">
          <w:pPr>
            <w:ind w:firstLineChars="200" w:firstLine="420"/>
            <w:jc w:val="both"/>
            <w:rPr>
              <w:szCs w:val="21"/>
            </w:rPr>
          </w:pPr>
          <w:r>
            <w:rPr>
              <w:rFonts w:hint="eastAsia"/>
              <w:szCs w:val="21"/>
            </w:rPr>
            <w:t>报告期，董事认真审阅公司提交的外汇管理、内控自评及审计问题整改、月度经营简报等材料，及时了解公司生产经营情况、重点工作进展，积极参加年度工作会、业绩说明会等活动，主动加强与公司管理层、投资者的沟通交流，关注行业和市场动态，为公司建言献策。聚焦董事会“定战略、</w:t>
          </w:r>
          <w:r w:rsidR="001C60CA">
            <w:rPr>
              <w:rFonts w:hint="eastAsia"/>
              <w:szCs w:val="21"/>
            </w:rPr>
            <w:t>作</w:t>
          </w:r>
          <w:r>
            <w:rPr>
              <w:rFonts w:hint="eastAsia"/>
              <w:szCs w:val="21"/>
            </w:rPr>
            <w:t>决策、防风险”职能，加强公司战略落地研讨，为公司战略发展把脉定向，加强重大决策事项会前沟通，助推董事会高效决策，加强审计指导和监督检查，切实提升风险防范能力。此外，董事积极参加监管培训、学习，</w:t>
          </w:r>
          <w:r>
            <w:rPr>
              <w:szCs w:val="21"/>
            </w:rPr>
            <w:t>专题学习资本市场助力央企控股上市公司高质量发展课程、独立董</w:t>
          </w:r>
          <w:r>
            <w:rPr>
              <w:rFonts w:hint="eastAsia"/>
              <w:szCs w:val="21"/>
            </w:rPr>
            <w:t>事新规等课程，不断提升履职能力。公司持续深化外部董事联合工作机制，外部董事联合调研境内外所属企业、</w:t>
          </w:r>
          <w:r>
            <w:rPr>
              <w:szCs w:val="21"/>
            </w:rPr>
            <w:t>境外重要市场和</w:t>
          </w:r>
          <w:r>
            <w:rPr>
              <w:rFonts w:hint="eastAsia"/>
              <w:szCs w:val="21"/>
            </w:rPr>
            <w:t>重要</w:t>
          </w:r>
          <w:r>
            <w:rPr>
              <w:szCs w:val="21"/>
            </w:rPr>
            <w:t>项目，进一步增进对公司、对重要子企业、项目和客户的了解，并为公司中青年干部政治素养暨管理能力提升培训班授课，助力公司培养和发现优秀年轻人才。</w:t>
          </w:r>
        </w:p>
      </w:sdtContent>
    </w:sdt>
    <w:p w14:paraId="6D499ADF" w14:textId="77777777" w:rsidR="00E57DAA" w:rsidRDefault="00E57DAA">
      <w:pPr>
        <w:rPr>
          <w:szCs w:val="21"/>
        </w:rPr>
      </w:pPr>
    </w:p>
    <w:p w14:paraId="3BC74D7B" w14:textId="77777777" w:rsidR="00E57DAA" w:rsidRDefault="00AC4185">
      <w:pPr>
        <w:pStyle w:val="2"/>
        <w:numPr>
          <w:ilvl w:val="0"/>
          <w:numId w:val="19"/>
        </w:numPr>
      </w:pPr>
      <w:r>
        <w:rPr>
          <w:rFonts w:hint="eastAsia"/>
        </w:rPr>
        <w:t>董事会下设专门委员会情况</w:t>
      </w:r>
    </w:p>
    <w:sdt>
      <w:sdtPr>
        <w:rPr>
          <w:rFonts w:hint="eastAsia"/>
          <w:szCs w:val="21"/>
        </w:rPr>
        <w:alias w:val="是否适用：董事会下设专门委员会情况[双击切换]"/>
        <w:tag w:val="_GBC_88389a2d52e44644a2332ba32500fe69"/>
        <w:id w:val="-192075442"/>
        <w:lock w:val="contentLocked"/>
        <w:placeholder>
          <w:docPart w:val="GBC22222222222222222222222222222"/>
        </w:placeholder>
      </w:sdtPr>
      <w:sdtEndPr/>
      <w:sdtContent>
        <w:p w14:paraId="67F433E2"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775AE4" w14:textId="77777777" w:rsidR="00FD12A2" w:rsidRDefault="00FD12A2" w:rsidP="00FD12A2">
      <w:pPr>
        <w:pStyle w:val="3"/>
        <w:numPr>
          <w:ilvl w:val="0"/>
          <w:numId w:val="23"/>
        </w:numPr>
        <w:shd w:val="clear" w:color="auto" w:fill="auto"/>
        <w:spacing w:before="60" w:after="60" w:line="240" w:lineRule="auto"/>
      </w:pPr>
      <w:r>
        <w:rPr>
          <w:rFonts w:hint="eastAsia"/>
        </w:rPr>
        <w:lastRenderedPageBreak/>
        <w:t>董事会下设专门委员会成员情况</w:t>
      </w:r>
    </w:p>
    <w:tbl>
      <w:tblPr>
        <w:tblW w:w="9051" w:type="dxa"/>
        <w:jc w:val="center"/>
        <w:tblLook w:val="04A0" w:firstRow="1" w:lastRow="0" w:firstColumn="1" w:lastColumn="0" w:noHBand="0" w:noVBand="1"/>
      </w:tblPr>
      <w:tblGrid>
        <w:gridCol w:w="2972"/>
        <w:gridCol w:w="6079"/>
      </w:tblGrid>
      <w:tr w:rsidR="00FD12A2" w14:paraId="128199F1" w14:textId="77777777" w:rsidTr="00FD12A2">
        <w:trPr>
          <w:trHeight w:val="270"/>
          <w:jc w:val="center"/>
        </w:trPr>
        <w:sdt>
          <w:sdtPr>
            <w:rPr>
              <w:rFonts w:hint="eastAsia"/>
              <w:color w:val="000000"/>
              <w:sz w:val="22"/>
            </w:rPr>
            <w:tag w:val="_PLD_d469fc77cfdc44b0b043e0b1ab52e604"/>
            <w:id w:val="-771097566"/>
          </w:sdtPr>
          <w:sdtEndPr/>
          <w:sdtContent>
            <w:tc>
              <w:tcPr>
                <w:tcW w:w="29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6A4FB" w14:textId="77777777" w:rsidR="00FD12A2" w:rsidRDefault="00FD12A2">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202832077"/>
          </w:sdtPr>
          <w:sdtEndPr/>
          <w:sdtContent>
            <w:tc>
              <w:tcPr>
                <w:tcW w:w="6079" w:type="dxa"/>
                <w:tcBorders>
                  <w:top w:val="single" w:sz="4" w:space="0" w:color="auto"/>
                  <w:left w:val="nil"/>
                  <w:bottom w:val="single" w:sz="4" w:space="0" w:color="auto"/>
                  <w:right w:val="single" w:sz="4" w:space="0" w:color="auto"/>
                </w:tcBorders>
                <w:shd w:val="clear" w:color="auto" w:fill="auto"/>
                <w:noWrap/>
                <w:vAlign w:val="center"/>
                <w:hideMark/>
              </w:tcPr>
              <w:p w14:paraId="22542E51" w14:textId="77777777" w:rsidR="00FD12A2" w:rsidRDefault="00FD12A2">
                <w:pPr>
                  <w:jc w:val="center"/>
                  <w:rPr>
                    <w:color w:val="000000"/>
                    <w:sz w:val="22"/>
                  </w:rPr>
                </w:pPr>
                <w:r>
                  <w:rPr>
                    <w:rFonts w:hint="eastAsia"/>
                    <w:color w:val="000000"/>
                    <w:sz w:val="22"/>
                  </w:rPr>
                  <w:t>成员姓名</w:t>
                </w:r>
              </w:p>
            </w:tc>
          </w:sdtContent>
        </w:sdt>
      </w:tr>
      <w:tr w:rsidR="00FD12A2" w14:paraId="1D0CF765" w14:textId="77777777" w:rsidTr="00FD12A2">
        <w:trPr>
          <w:trHeight w:val="270"/>
          <w:jc w:val="center"/>
        </w:trPr>
        <w:sdt>
          <w:sdtPr>
            <w:rPr>
              <w:rFonts w:hint="eastAsia"/>
              <w:color w:val="000000"/>
              <w:sz w:val="22"/>
            </w:rPr>
            <w:tag w:val="_PLD_4f651a236a71471681339e395abe2d3e"/>
            <w:id w:val="-1647122788"/>
          </w:sdtPr>
          <w:sdtEndPr/>
          <w:sdtContent>
            <w:tc>
              <w:tcPr>
                <w:tcW w:w="2972" w:type="dxa"/>
                <w:tcBorders>
                  <w:top w:val="nil"/>
                  <w:left w:val="single" w:sz="4" w:space="0" w:color="auto"/>
                  <w:bottom w:val="single" w:sz="4" w:space="0" w:color="auto"/>
                  <w:right w:val="single" w:sz="4" w:space="0" w:color="auto"/>
                </w:tcBorders>
                <w:shd w:val="clear" w:color="auto" w:fill="auto"/>
                <w:noWrap/>
                <w:vAlign w:val="center"/>
                <w:hideMark/>
              </w:tcPr>
              <w:p w14:paraId="10FB7517" w14:textId="77777777" w:rsidR="00FD12A2" w:rsidRDefault="00FD12A2">
                <w:pPr>
                  <w:rPr>
                    <w:color w:val="000000"/>
                    <w:sz w:val="22"/>
                  </w:rPr>
                </w:pPr>
                <w:r>
                  <w:rPr>
                    <w:rFonts w:hint="eastAsia"/>
                    <w:color w:val="000000"/>
                    <w:sz w:val="22"/>
                  </w:rPr>
                  <w:t>审计与风险管理委员会</w:t>
                </w:r>
              </w:p>
            </w:tc>
          </w:sdtContent>
        </w:sdt>
        <w:tc>
          <w:tcPr>
            <w:tcW w:w="6079" w:type="dxa"/>
            <w:tcBorders>
              <w:top w:val="nil"/>
              <w:left w:val="nil"/>
              <w:bottom w:val="single" w:sz="4" w:space="0" w:color="auto"/>
              <w:right w:val="single" w:sz="4" w:space="0" w:color="auto"/>
            </w:tcBorders>
            <w:shd w:val="clear" w:color="auto" w:fill="auto"/>
            <w:noWrap/>
            <w:vAlign w:val="center"/>
            <w:hideMark/>
          </w:tcPr>
          <w:p w14:paraId="19C7B239" w14:textId="77777777" w:rsidR="00FD12A2" w:rsidRDefault="00FD12A2">
            <w:pPr>
              <w:rPr>
                <w:sz w:val="22"/>
              </w:rPr>
            </w:pPr>
            <w:r w:rsidRPr="00FD12A2">
              <w:rPr>
                <w:rFonts w:hint="eastAsia"/>
                <w:sz w:val="22"/>
              </w:rPr>
              <w:t>焦点（主任委员）、印志松、王兵、鞠源、周小明</w:t>
            </w:r>
          </w:p>
        </w:tc>
      </w:tr>
      <w:tr w:rsidR="00FD12A2" w14:paraId="2D1315AE" w14:textId="77777777" w:rsidTr="00FD12A2">
        <w:trPr>
          <w:trHeight w:val="270"/>
          <w:jc w:val="center"/>
        </w:trPr>
        <w:sdt>
          <w:sdtPr>
            <w:rPr>
              <w:rFonts w:hint="eastAsia"/>
              <w:color w:val="000000"/>
              <w:sz w:val="22"/>
            </w:rPr>
            <w:tag w:val="_PLD_d58b9a2a2437447ba19ee3dd26c72f97"/>
            <w:id w:val="-1183201875"/>
          </w:sdtPr>
          <w:sdtEndPr/>
          <w:sdtContent>
            <w:tc>
              <w:tcPr>
                <w:tcW w:w="2972" w:type="dxa"/>
                <w:tcBorders>
                  <w:top w:val="nil"/>
                  <w:left w:val="single" w:sz="4" w:space="0" w:color="auto"/>
                  <w:bottom w:val="single" w:sz="4" w:space="0" w:color="auto"/>
                  <w:right w:val="single" w:sz="4" w:space="0" w:color="auto"/>
                </w:tcBorders>
                <w:shd w:val="clear" w:color="auto" w:fill="auto"/>
                <w:noWrap/>
                <w:vAlign w:val="center"/>
                <w:hideMark/>
              </w:tcPr>
              <w:p w14:paraId="157BAA7F" w14:textId="77777777" w:rsidR="00FD12A2" w:rsidRDefault="00FD12A2">
                <w:pPr>
                  <w:rPr>
                    <w:color w:val="000000"/>
                    <w:sz w:val="22"/>
                  </w:rPr>
                </w:pPr>
                <w:r>
                  <w:rPr>
                    <w:rFonts w:hint="eastAsia"/>
                    <w:color w:val="000000"/>
                    <w:sz w:val="22"/>
                  </w:rPr>
                  <w:t>提名委员会</w:t>
                </w:r>
              </w:p>
            </w:tc>
          </w:sdtContent>
        </w:sdt>
        <w:tc>
          <w:tcPr>
            <w:tcW w:w="6079" w:type="dxa"/>
            <w:tcBorders>
              <w:top w:val="nil"/>
              <w:left w:val="nil"/>
              <w:bottom w:val="single" w:sz="4" w:space="0" w:color="auto"/>
              <w:right w:val="single" w:sz="4" w:space="0" w:color="auto"/>
            </w:tcBorders>
            <w:shd w:val="clear" w:color="auto" w:fill="auto"/>
            <w:noWrap/>
            <w:vAlign w:val="center"/>
            <w:hideMark/>
          </w:tcPr>
          <w:p w14:paraId="44488495" w14:textId="77777777" w:rsidR="00FD12A2" w:rsidRDefault="00FD12A2">
            <w:pPr>
              <w:rPr>
                <w:sz w:val="22"/>
              </w:rPr>
            </w:pPr>
            <w:r>
              <w:rPr>
                <w:rFonts w:hint="eastAsia"/>
              </w:rPr>
              <w:t>周小明（主任委员）、印志松、王益民、鞠源、焦点</w:t>
            </w:r>
          </w:p>
        </w:tc>
      </w:tr>
      <w:tr w:rsidR="00FD12A2" w14:paraId="2C9B4431" w14:textId="77777777" w:rsidTr="00FD12A2">
        <w:trPr>
          <w:trHeight w:val="270"/>
          <w:jc w:val="center"/>
        </w:trPr>
        <w:sdt>
          <w:sdtPr>
            <w:rPr>
              <w:rFonts w:hint="eastAsia"/>
              <w:color w:val="000000"/>
              <w:sz w:val="22"/>
            </w:rPr>
            <w:tag w:val="_PLD_19c89dae0d414340a6a6a86aa2beba6d"/>
            <w:id w:val="687336257"/>
          </w:sdtPr>
          <w:sdtEndPr/>
          <w:sdtContent>
            <w:tc>
              <w:tcPr>
                <w:tcW w:w="2972" w:type="dxa"/>
                <w:tcBorders>
                  <w:top w:val="nil"/>
                  <w:left w:val="single" w:sz="4" w:space="0" w:color="auto"/>
                  <w:bottom w:val="single" w:sz="4" w:space="0" w:color="auto"/>
                  <w:right w:val="single" w:sz="4" w:space="0" w:color="auto"/>
                </w:tcBorders>
                <w:shd w:val="clear" w:color="auto" w:fill="auto"/>
                <w:noWrap/>
                <w:vAlign w:val="center"/>
                <w:hideMark/>
              </w:tcPr>
              <w:p w14:paraId="50338DF9" w14:textId="77777777" w:rsidR="00FD12A2" w:rsidRDefault="00FD12A2">
                <w:pPr>
                  <w:rPr>
                    <w:color w:val="000000"/>
                    <w:sz w:val="22"/>
                  </w:rPr>
                </w:pPr>
                <w:r>
                  <w:rPr>
                    <w:rFonts w:hint="eastAsia"/>
                    <w:color w:val="000000"/>
                    <w:sz w:val="22"/>
                  </w:rPr>
                  <w:t>薪酬与考核委员会</w:t>
                </w:r>
              </w:p>
            </w:tc>
          </w:sdtContent>
        </w:sdt>
        <w:tc>
          <w:tcPr>
            <w:tcW w:w="6079" w:type="dxa"/>
            <w:tcBorders>
              <w:top w:val="nil"/>
              <w:left w:val="nil"/>
              <w:bottom w:val="single" w:sz="4" w:space="0" w:color="auto"/>
              <w:right w:val="single" w:sz="4" w:space="0" w:color="auto"/>
            </w:tcBorders>
            <w:shd w:val="clear" w:color="auto" w:fill="auto"/>
            <w:noWrap/>
            <w:vAlign w:val="center"/>
            <w:hideMark/>
          </w:tcPr>
          <w:p w14:paraId="64DA7A86" w14:textId="77777777" w:rsidR="00FD12A2" w:rsidRDefault="00FD12A2">
            <w:pPr>
              <w:rPr>
                <w:sz w:val="22"/>
              </w:rPr>
            </w:pPr>
            <w:r>
              <w:rPr>
                <w:rFonts w:hint="eastAsia"/>
              </w:rPr>
              <w:t>周小明 (主任委员)、王益民、蔡军恒、焦点、鞠源</w:t>
            </w:r>
          </w:p>
        </w:tc>
      </w:tr>
      <w:tr w:rsidR="00FD12A2" w14:paraId="0AD7C023" w14:textId="77777777" w:rsidTr="00FD12A2">
        <w:trPr>
          <w:trHeight w:val="270"/>
          <w:jc w:val="center"/>
        </w:trPr>
        <w:sdt>
          <w:sdtPr>
            <w:rPr>
              <w:rFonts w:hint="eastAsia"/>
              <w:color w:val="000000"/>
              <w:sz w:val="22"/>
            </w:rPr>
            <w:tag w:val="_PLD_12c5e418d6c54148af62a22bed7a134c"/>
            <w:id w:val="678242332"/>
          </w:sdtPr>
          <w:sdtEndPr/>
          <w:sdtContent>
            <w:tc>
              <w:tcPr>
                <w:tcW w:w="29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93D9A6" w14:textId="77777777" w:rsidR="00FD12A2" w:rsidRDefault="00FD12A2" w:rsidP="00FD12A2">
                <w:pPr>
                  <w:rPr>
                    <w:color w:val="000000"/>
                    <w:sz w:val="22"/>
                  </w:rPr>
                </w:pPr>
                <w:r>
                  <w:rPr>
                    <w:rFonts w:hint="eastAsia"/>
                    <w:color w:val="000000"/>
                    <w:sz w:val="22"/>
                  </w:rPr>
                  <w:t>战略、投资与ESG委员会</w:t>
                </w:r>
              </w:p>
            </w:tc>
          </w:sdtContent>
        </w:sdt>
        <w:tc>
          <w:tcPr>
            <w:tcW w:w="6079" w:type="dxa"/>
            <w:tcBorders>
              <w:top w:val="single" w:sz="4" w:space="0" w:color="auto"/>
              <w:left w:val="nil"/>
              <w:bottom w:val="single" w:sz="4" w:space="0" w:color="auto"/>
              <w:right w:val="single" w:sz="4" w:space="0" w:color="auto"/>
            </w:tcBorders>
            <w:shd w:val="clear" w:color="auto" w:fill="auto"/>
            <w:noWrap/>
            <w:vAlign w:val="center"/>
            <w:hideMark/>
          </w:tcPr>
          <w:p w14:paraId="5211AAF1" w14:textId="77777777" w:rsidR="00FD12A2" w:rsidRDefault="00FD12A2" w:rsidP="00FD12A2">
            <w:pPr>
              <w:rPr>
                <w:sz w:val="22"/>
              </w:rPr>
            </w:pPr>
            <w:r>
              <w:rPr>
                <w:rFonts w:hint="eastAsia"/>
              </w:rPr>
              <w:t>印志松（主任委员）、朱兵、王兵、王益民、周小明</w:t>
            </w:r>
          </w:p>
        </w:tc>
      </w:tr>
    </w:tbl>
    <w:p w14:paraId="11F2B75D" w14:textId="77777777" w:rsidR="00E57DAA" w:rsidRDefault="00AC4185">
      <w:pPr>
        <w:ind w:firstLineChars="200" w:firstLine="420"/>
        <w:jc w:val="both"/>
      </w:pPr>
      <w:r>
        <w:rPr>
          <w:rFonts w:hint="eastAsia"/>
        </w:rPr>
        <w:t>注：1、</w:t>
      </w:r>
      <w:r>
        <w:t>2023年7月20日，由于工作调整，公司原董事长刘燕先生向公司提交书面辞职报告，辞去其担任的公司董事长及董事会战略、投资与ESG委员会主任委员职务，根据公司战略、投资与ESG委员会实施细则规定，新任董事长印志松担任该委员会主任委员职务。</w:t>
      </w:r>
    </w:p>
    <w:p w14:paraId="27712A8D" w14:textId="77777777" w:rsidR="00E57DAA" w:rsidRDefault="00AC4185">
      <w:pPr>
        <w:ind w:firstLineChars="400" w:firstLine="840"/>
        <w:jc w:val="both"/>
      </w:pPr>
      <w:r>
        <w:t>2</w:t>
      </w:r>
      <w:r>
        <w:rPr>
          <w:rFonts w:hint="eastAsia"/>
        </w:rPr>
        <w:t>、</w:t>
      </w:r>
      <w:r>
        <w:t>2023年10月24日，公司2023年第三次临时股东大会审议通过《关于董事会换届选举非独立董事的议案》、《关于董事会换届选举独立董事的议案》</w:t>
      </w:r>
      <w:r>
        <w:rPr>
          <w:rFonts w:hint="eastAsia"/>
        </w:rPr>
        <w:t>。当日</w:t>
      </w:r>
      <w:r>
        <w:t>，公司召开第八届董事会第一次会议，审议通过《关于选举公司董事长的议案》、《关于确定董事会各专门委员会组成人员的议案》等，确定董事会各专门委员会人员如上。</w:t>
      </w:r>
    </w:p>
    <w:p w14:paraId="3B7A2CCE" w14:textId="77777777" w:rsidR="00E57DAA" w:rsidRDefault="00E57DAA">
      <w:pPr>
        <w:ind w:firstLineChars="400" w:firstLine="840"/>
        <w:jc w:val="both"/>
      </w:pPr>
    </w:p>
    <w:p w14:paraId="59159C8C" w14:textId="77777777" w:rsidR="00E57DAA" w:rsidRDefault="00AC4185">
      <w:pPr>
        <w:pStyle w:val="3"/>
        <w:numPr>
          <w:ilvl w:val="0"/>
          <w:numId w:val="23"/>
        </w:numPr>
      </w:pPr>
      <w:r>
        <w:rPr>
          <w:rFonts w:hint="eastAsia"/>
        </w:rPr>
        <w:t>报告期内</w:t>
      </w:r>
      <w:sdt>
        <w:sdtPr>
          <w:rPr>
            <w:rFonts w:hint="eastAsia"/>
          </w:rPr>
          <w:alias w:val="召开会议的专门委员会类别"/>
          <w:tag w:val="_GBC_adf76ecbe3584f07b573642215a867bd"/>
          <w:id w:val="1109166783"/>
        </w:sdtPr>
        <w:sdtEndPr/>
        <w:sdtContent>
          <w:r>
            <w:rPr>
              <w:rFonts w:hint="eastAsia"/>
            </w:rPr>
            <w:t>审计与风险管理</w:t>
          </w:r>
        </w:sdtContent>
      </w:sdt>
      <w:r>
        <w:rPr>
          <w:rFonts w:hint="eastAsia"/>
        </w:rPr>
        <w:t>委员会召开</w:t>
      </w:r>
      <w:sdt>
        <w:sdtPr>
          <w:rPr>
            <w:rFonts w:hint="eastAsia"/>
          </w:rPr>
          <w:alias w:val="报告期内召开专门委员会会议次数"/>
          <w:tag w:val="_GBC_7bf2cd7c3a6a4685ac9c89ee396352a0"/>
          <w:id w:val="616186551"/>
        </w:sdtPr>
        <w:sdtEndPr/>
        <w:sdtContent>
          <w:r>
            <w:rPr>
              <w:rFonts w:hint="eastAsia"/>
            </w:rPr>
            <w:t>7</w:t>
          </w:r>
        </w:sdtContent>
      </w:sdt>
      <w:r>
        <w:rPr>
          <w:rFonts w:hint="eastAsia"/>
        </w:rPr>
        <w:t>次会议</w:t>
      </w:r>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4253"/>
        <w:gridCol w:w="2127"/>
        <w:gridCol w:w="1161"/>
      </w:tblGrid>
      <w:tr w:rsidR="00E57DAA" w14:paraId="71191D4A" w14:textId="77777777">
        <w:sdt>
          <w:sdtPr>
            <w:rPr>
              <w:rFonts w:hint="eastAsia"/>
              <w:szCs w:val="21"/>
            </w:rPr>
            <w:tag w:val="_PLD_81aefc289fbf48b1865138608d8bd14f"/>
            <w:id w:val="-961812053"/>
          </w:sdtPr>
          <w:sdtEndPr/>
          <w:sdtContent>
            <w:tc>
              <w:tcPr>
                <w:tcW w:w="721" w:type="pct"/>
                <w:shd w:val="clear" w:color="auto" w:fill="auto"/>
                <w:vAlign w:val="center"/>
              </w:tcPr>
              <w:p w14:paraId="2D238C2A" w14:textId="77777777" w:rsidR="00E57DAA" w:rsidRDefault="00AC4185">
                <w:pPr>
                  <w:jc w:val="center"/>
                  <w:rPr>
                    <w:szCs w:val="21"/>
                  </w:rPr>
                </w:pPr>
                <w:r>
                  <w:rPr>
                    <w:rFonts w:hint="eastAsia"/>
                    <w:szCs w:val="21"/>
                  </w:rPr>
                  <w:t>召开日期</w:t>
                </w:r>
              </w:p>
            </w:tc>
          </w:sdtContent>
        </w:sdt>
        <w:sdt>
          <w:sdtPr>
            <w:rPr>
              <w:rFonts w:hint="eastAsia"/>
              <w:szCs w:val="21"/>
            </w:rPr>
            <w:tag w:val="_PLD_9d24b601ec70414eb969daf6b393edc8"/>
            <w:id w:val="-1637180563"/>
          </w:sdtPr>
          <w:sdtEndPr/>
          <w:sdtContent>
            <w:tc>
              <w:tcPr>
                <w:tcW w:w="2413" w:type="pct"/>
                <w:shd w:val="clear" w:color="auto" w:fill="auto"/>
                <w:vAlign w:val="center"/>
              </w:tcPr>
              <w:p w14:paraId="47C4F0EA" w14:textId="77777777" w:rsidR="00E57DAA" w:rsidRDefault="00AC4185">
                <w:pPr>
                  <w:jc w:val="center"/>
                  <w:rPr>
                    <w:szCs w:val="21"/>
                  </w:rPr>
                </w:pPr>
                <w:r>
                  <w:rPr>
                    <w:rFonts w:hint="eastAsia"/>
                    <w:szCs w:val="21"/>
                  </w:rPr>
                  <w:t>会议内容</w:t>
                </w:r>
              </w:p>
            </w:tc>
          </w:sdtContent>
        </w:sdt>
        <w:sdt>
          <w:sdtPr>
            <w:rPr>
              <w:rFonts w:hint="eastAsia"/>
              <w:szCs w:val="21"/>
            </w:rPr>
            <w:tag w:val="_PLD_6ea19dadc3684e98a6d98faaf035a9d9"/>
            <w:id w:val="138388099"/>
          </w:sdtPr>
          <w:sdtEndPr/>
          <w:sdtContent>
            <w:tc>
              <w:tcPr>
                <w:tcW w:w="1207" w:type="pct"/>
                <w:shd w:val="clear" w:color="auto" w:fill="auto"/>
                <w:vAlign w:val="center"/>
              </w:tcPr>
              <w:p w14:paraId="695B09B0" w14:textId="77777777" w:rsidR="00E57DAA" w:rsidRDefault="00AC4185">
                <w:pPr>
                  <w:jc w:val="center"/>
                  <w:rPr>
                    <w:szCs w:val="21"/>
                  </w:rPr>
                </w:pPr>
                <w:r>
                  <w:rPr>
                    <w:rFonts w:hint="eastAsia"/>
                    <w:szCs w:val="21"/>
                  </w:rPr>
                  <w:t>重要意见和建议</w:t>
                </w:r>
              </w:p>
            </w:tc>
          </w:sdtContent>
        </w:sdt>
        <w:sdt>
          <w:sdtPr>
            <w:rPr>
              <w:rFonts w:hint="eastAsia"/>
              <w:szCs w:val="21"/>
            </w:rPr>
            <w:tag w:val="_PLD_ef03d3ffb00740008011022cb6a96805"/>
            <w:id w:val="-353728640"/>
          </w:sdtPr>
          <w:sdtEndPr/>
          <w:sdtContent>
            <w:tc>
              <w:tcPr>
                <w:tcW w:w="659" w:type="pct"/>
                <w:shd w:val="clear" w:color="auto" w:fill="auto"/>
                <w:vAlign w:val="center"/>
              </w:tcPr>
              <w:p w14:paraId="648F861E" w14:textId="77777777" w:rsidR="00E57DAA" w:rsidRDefault="00AC4185">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738317177"/>
          <w:placeholder>
            <w:docPart w:val="34B9651DD72A45FAA846769D6F55BD28"/>
          </w:placeholder>
        </w:sdtPr>
        <w:sdtEndPr/>
        <w:sdtContent>
          <w:tr w:rsidR="00E57DAA" w14:paraId="15C242C8" w14:textId="77777777">
            <w:tc>
              <w:tcPr>
                <w:tcW w:w="721" w:type="pct"/>
                <w:shd w:val="clear" w:color="auto" w:fill="auto"/>
              </w:tcPr>
              <w:p w14:paraId="6B858B67" w14:textId="77777777" w:rsidR="00E57DAA" w:rsidRDefault="00AC4185">
                <w:pPr>
                  <w:rPr>
                    <w:szCs w:val="21"/>
                  </w:rPr>
                </w:pPr>
                <w:r>
                  <w:t>2023-01-09</w:t>
                </w:r>
              </w:p>
            </w:tc>
            <w:tc>
              <w:tcPr>
                <w:tcW w:w="2413" w:type="pct"/>
                <w:shd w:val="clear" w:color="auto" w:fill="auto"/>
              </w:tcPr>
              <w:p w14:paraId="7D41E16E" w14:textId="77777777" w:rsidR="00E57DAA" w:rsidRDefault="00AC4185">
                <w:pPr>
                  <w:jc w:val="both"/>
                  <w:rPr>
                    <w:szCs w:val="21"/>
                  </w:rPr>
                </w:pPr>
                <w:r>
                  <w:rPr>
                    <w:rFonts w:hint="eastAsia"/>
                  </w:rPr>
                  <w:t>审议通过了《大华会计师事务所提交的2022年度审计计划（与管理层沟通函）》、《关于&lt;中国中材国际工程股份有限公司2022年度重大风险防控报告&gt;的议案》。</w:t>
                </w:r>
              </w:p>
            </w:tc>
            <w:tc>
              <w:tcPr>
                <w:tcW w:w="1207" w:type="pct"/>
                <w:shd w:val="clear" w:color="auto" w:fill="auto"/>
              </w:tcPr>
              <w:p w14:paraId="63723245" w14:textId="77777777" w:rsidR="00E57DAA" w:rsidRDefault="00AC4185">
                <w:pPr>
                  <w:rPr>
                    <w:szCs w:val="21"/>
                  </w:rPr>
                </w:pPr>
                <w:r>
                  <w:rPr>
                    <w:rFonts w:hint="eastAsia"/>
                  </w:rPr>
                  <w:t>事务所要与前任会计师做好沟通，保障年度审计工作顺利过渡；结合公司规模、时间计划、境外业务，人员安排、审计考虑、实施程序要进一步细化，针对并购重组企业，要强化审计程序，相应安排审计策略。</w:t>
                </w:r>
              </w:p>
            </w:tc>
            <w:tc>
              <w:tcPr>
                <w:tcW w:w="659" w:type="pct"/>
                <w:shd w:val="clear" w:color="auto" w:fill="auto"/>
              </w:tcPr>
              <w:p w14:paraId="2EFF5DE7"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661982147"/>
          <w:placeholder>
            <w:docPart w:val="34B9651DD72A45FAA846769D6F55BD28"/>
          </w:placeholder>
        </w:sdtPr>
        <w:sdtEndPr/>
        <w:sdtContent>
          <w:tr w:rsidR="00E57DAA" w14:paraId="12656F15" w14:textId="77777777">
            <w:tc>
              <w:tcPr>
                <w:tcW w:w="721" w:type="pct"/>
                <w:shd w:val="clear" w:color="auto" w:fill="auto"/>
              </w:tcPr>
              <w:p w14:paraId="5888C0A8" w14:textId="77777777" w:rsidR="00E57DAA" w:rsidRDefault="00AC4185">
                <w:pPr>
                  <w:rPr>
                    <w:szCs w:val="21"/>
                  </w:rPr>
                </w:pPr>
                <w:r>
                  <w:t>2023-03-01</w:t>
                </w:r>
              </w:p>
            </w:tc>
            <w:tc>
              <w:tcPr>
                <w:tcW w:w="2413" w:type="pct"/>
                <w:shd w:val="clear" w:color="auto" w:fill="auto"/>
              </w:tcPr>
              <w:p w14:paraId="1153CA3F" w14:textId="77777777" w:rsidR="00E57DAA" w:rsidRDefault="00AC4185">
                <w:pPr>
                  <w:jc w:val="both"/>
                  <w:rPr>
                    <w:szCs w:val="21"/>
                  </w:rPr>
                </w:pPr>
                <w:r>
                  <w:rPr>
                    <w:rFonts w:hint="eastAsia"/>
                  </w:rPr>
                  <w:t>审议通过了《大华会计师事务所2022年年报审计与审计委员会沟通函（审计过程中）》；听取《关于公司2023年外汇统一管理方案汇报的汇报》，研讨公司2023年外汇管理工作。</w:t>
                </w:r>
              </w:p>
            </w:tc>
            <w:tc>
              <w:tcPr>
                <w:tcW w:w="1207" w:type="pct"/>
                <w:shd w:val="clear" w:color="auto" w:fill="auto"/>
              </w:tcPr>
              <w:p w14:paraId="568284DD" w14:textId="77777777" w:rsidR="00E57DAA" w:rsidRDefault="00AC4185">
                <w:pPr>
                  <w:rPr>
                    <w:szCs w:val="21"/>
                  </w:rPr>
                </w:pPr>
                <w:r>
                  <w:rPr>
                    <w:rFonts w:hint="eastAsia"/>
                  </w:rPr>
                  <w:t>坚持汇率中性原则，加强公司对外汇的统一管理，定期报告外汇管理情况。</w:t>
                </w:r>
              </w:p>
            </w:tc>
            <w:tc>
              <w:tcPr>
                <w:tcW w:w="659" w:type="pct"/>
                <w:shd w:val="clear" w:color="auto" w:fill="auto"/>
              </w:tcPr>
              <w:p w14:paraId="682FF20B"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1957131945"/>
          <w:placeholder>
            <w:docPart w:val="34B9651DD72A45FAA846769D6F55BD28"/>
          </w:placeholder>
        </w:sdtPr>
        <w:sdtEndPr/>
        <w:sdtContent>
          <w:tr w:rsidR="00E57DAA" w14:paraId="70682350" w14:textId="77777777">
            <w:tc>
              <w:tcPr>
                <w:tcW w:w="721" w:type="pct"/>
                <w:shd w:val="clear" w:color="auto" w:fill="auto"/>
              </w:tcPr>
              <w:p w14:paraId="58633F5C" w14:textId="77777777" w:rsidR="00E57DAA" w:rsidRDefault="00AC4185">
                <w:pPr>
                  <w:rPr>
                    <w:szCs w:val="21"/>
                  </w:rPr>
                </w:pPr>
                <w:r>
                  <w:t>2023-03-10</w:t>
                </w:r>
              </w:p>
            </w:tc>
            <w:tc>
              <w:tcPr>
                <w:tcW w:w="2413" w:type="pct"/>
                <w:shd w:val="clear" w:color="auto" w:fill="auto"/>
              </w:tcPr>
              <w:p w14:paraId="7282983E" w14:textId="77777777" w:rsidR="00E57DAA" w:rsidRDefault="00AC4185">
                <w:pPr>
                  <w:jc w:val="both"/>
                  <w:rPr>
                    <w:szCs w:val="21"/>
                  </w:rPr>
                </w:pPr>
                <w:r>
                  <w:rPr>
                    <w:rFonts w:hint="eastAsia"/>
                  </w:rPr>
                  <w:t>审议通过了《公司2022年度内部审计工作总结及2023年度工作计划》、《公司2022年度审计委员会履职报告》、《公司2022年度财务决算报告》、《大华会计师事务所（特殊普通合伙）从事公司2022年度审计工作的总结报告》、《公司2022年度内部控制评价报告》、《公司2022年度内部控制审计报告》、《中国建材集团财务有限公司2022年度风险评估报告》。</w:t>
                </w:r>
              </w:p>
            </w:tc>
            <w:tc>
              <w:tcPr>
                <w:tcW w:w="1207" w:type="pct"/>
                <w:shd w:val="clear" w:color="auto" w:fill="auto"/>
              </w:tcPr>
              <w:p w14:paraId="17176AFA" w14:textId="77777777" w:rsidR="00E57DAA" w:rsidRDefault="00E57DAA">
                <w:pPr>
                  <w:rPr>
                    <w:szCs w:val="21"/>
                  </w:rPr>
                </w:pPr>
              </w:p>
            </w:tc>
            <w:tc>
              <w:tcPr>
                <w:tcW w:w="659" w:type="pct"/>
                <w:shd w:val="clear" w:color="auto" w:fill="auto"/>
              </w:tcPr>
              <w:p w14:paraId="786FB463"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1927405550"/>
          <w:placeholder>
            <w:docPart w:val="34B9651DD72A45FAA846769D6F55BD28"/>
          </w:placeholder>
        </w:sdtPr>
        <w:sdtEndPr/>
        <w:sdtContent>
          <w:tr w:rsidR="00E57DAA" w14:paraId="3B83AB4A" w14:textId="77777777">
            <w:tc>
              <w:tcPr>
                <w:tcW w:w="721" w:type="pct"/>
                <w:shd w:val="clear" w:color="auto" w:fill="auto"/>
              </w:tcPr>
              <w:p w14:paraId="661F9CE3" w14:textId="77777777" w:rsidR="00E57DAA" w:rsidRDefault="00AC4185">
                <w:pPr>
                  <w:rPr>
                    <w:szCs w:val="21"/>
                  </w:rPr>
                </w:pPr>
                <w:r>
                  <w:t>2023-04-17</w:t>
                </w:r>
              </w:p>
            </w:tc>
            <w:tc>
              <w:tcPr>
                <w:tcW w:w="2413" w:type="pct"/>
                <w:shd w:val="clear" w:color="auto" w:fill="auto"/>
              </w:tcPr>
              <w:p w14:paraId="65D28ECC" w14:textId="77777777" w:rsidR="00E57DAA" w:rsidRDefault="00AC4185">
                <w:pPr>
                  <w:jc w:val="both"/>
                  <w:rPr>
                    <w:szCs w:val="21"/>
                  </w:rPr>
                </w:pPr>
                <w:r>
                  <w:rPr>
                    <w:rFonts w:hint="eastAsia"/>
                  </w:rPr>
                  <w:t>审议通过了《公司2023年第一季度报告》、《关于调整董事会审计委员会名称并修订委员会实施细则的议案》、《关于修订&lt;审计与风险管理委员会年报工作规程&gt;的议案》、《关于中材海外为关联参股公司中材科技（巴西）风电叶片有限公司境外融资提供担保的议案》、《公司2022年度内部审</w:t>
                </w:r>
                <w:r>
                  <w:rPr>
                    <w:rFonts w:hint="eastAsia"/>
                  </w:rPr>
                  <w:lastRenderedPageBreak/>
                  <w:t>计工作质量自评估报告》、《公司2023年度重大风险管理策略和解决方案》。</w:t>
                </w:r>
              </w:p>
            </w:tc>
            <w:tc>
              <w:tcPr>
                <w:tcW w:w="1207" w:type="pct"/>
                <w:shd w:val="clear" w:color="auto" w:fill="auto"/>
              </w:tcPr>
              <w:p w14:paraId="59BD1C3F" w14:textId="77777777" w:rsidR="00E57DAA" w:rsidRDefault="00AC4185">
                <w:pPr>
                  <w:rPr>
                    <w:szCs w:val="21"/>
                  </w:rPr>
                </w:pPr>
                <w:r>
                  <w:rPr>
                    <w:rFonts w:hint="eastAsia"/>
                  </w:rPr>
                  <w:lastRenderedPageBreak/>
                  <w:t>公司要结合内外环境变化，做好重大风险的预警和闭环管理，及时总结工作情况，形成重大风险防控的专项报告。</w:t>
                </w:r>
              </w:p>
            </w:tc>
            <w:tc>
              <w:tcPr>
                <w:tcW w:w="659" w:type="pct"/>
                <w:shd w:val="clear" w:color="auto" w:fill="auto"/>
              </w:tcPr>
              <w:p w14:paraId="46F18B8E"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1737311389"/>
          <w:placeholder>
            <w:docPart w:val="34B9651DD72A45FAA846769D6F55BD28"/>
          </w:placeholder>
        </w:sdtPr>
        <w:sdtEndPr/>
        <w:sdtContent>
          <w:tr w:rsidR="00E57DAA" w14:paraId="59096B59" w14:textId="77777777">
            <w:tc>
              <w:tcPr>
                <w:tcW w:w="721" w:type="pct"/>
                <w:shd w:val="clear" w:color="auto" w:fill="auto"/>
              </w:tcPr>
              <w:p w14:paraId="454F1484" w14:textId="77777777" w:rsidR="00E57DAA" w:rsidRDefault="00AC4185">
                <w:pPr>
                  <w:rPr>
                    <w:szCs w:val="21"/>
                  </w:rPr>
                </w:pPr>
                <w:r>
                  <w:t>2023-08-13</w:t>
                </w:r>
              </w:p>
            </w:tc>
            <w:tc>
              <w:tcPr>
                <w:tcW w:w="2413" w:type="pct"/>
                <w:shd w:val="clear" w:color="auto" w:fill="auto"/>
              </w:tcPr>
              <w:p w14:paraId="05D2F59B" w14:textId="77777777" w:rsidR="00E57DAA" w:rsidRDefault="00AC4185">
                <w:pPr>
                  <w:jc w:val="both"/>
                  <w:rPr>
                    <w:szCs w:val="21"/>
                  </w:rPr>
                </w:pPr>
                <w:r>
                  <w:rPr>
                    <w:rFonts w:hint="eastAsia"/>
                  </w:rPr>
                  <w:t>审议通过了《公司2023年半年度报告及摘要》、《中国建材集团财务有限公司2023年半年度风险评估报告》。</w:t>
                </w:r>
              </w:p>
            </w:tc>
            <w:tc>
              <w:tcPr>
                <w:tcW w:w="1207" w:type="pct"/>
                <w:shd w:val="clear" w:color="auto" w:fill="auto"/>
              </w:tcPr>
              <w:p w14:paraId="0924F322" w14:textId="77777777" w:rsidR="00E57DAA" w:rsidRDefault="00E57DAA">
                <w:pPr>
                  <w:rPr>
                    <w:szCs w:val="21"/>
                  </w:rPr>
                </w:pPr>
              </w:p>
            </w:tc>
            <w:tc>
              <w:tcPr>
                <w:tcW w:w="659" w:type="pct"/>
                <w:shd w:val="clear" w:color="auto" w:fill="auto"/>
              </w:tcPr>
              <w:p w14:paraId="69901F30"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776369033"/>
          <w:placeholder>
            <w:docPart w:val="34B9651DD72A45FAA846769D6F55BD28"/>
          </w:placeholder>
        </w:sdtPr>
        <w:sdtEndPr/>
        <w:sdtContent>
          <w:tr w:rsidR="00E57DAA" w14:paraId="16B4F870" w14:textId="77777777">
            <w:tc>
              <w:tcPr>
                <w:tcW w:w="721" w:type="pct"/>
                <w:shd w:val="clear" w:color="auto" w:fill="auto"/>
              </w:tcPr>
              <w:p w14:paraId="59681949" w14:textId="77777777" w:rsidR="00E57DAA" w:rsidRDefault="00AC4185">
                <w:pPr>
                  <w:rPr>
                    <w:szCs w:val="21"/>
                  </w:rPr>
                </w:pPr>
                <w:r>
                  <w:t>2023-10-24</w:t>
                </w:r>
              </w:p>
            </w:tc>
            <w:tc>
              <w:tcPr>
                <w:tcW w:w="2413" w:type="pct"/>
                <w:shd w:val="clear" w:color="auto" w:fill="auto"/>
              </w:tcPr>
              <w:p w14:paraId="099EEB33" w14:textId="77777777" w:rsidR="00E57DAA" w:rsidRDefault="00AC4185">
                <w:pPr>
                  <w:jc w:val="both"/>
                  <w:rPr>
                    <w:szCs w:val="21"/>
                  </w:rPr>
                </w:pPr>
                <w:r>
                  <w:rPr>
                    <w:rFonts w:hint="eastAsia"/>
                  </w:rPr>
                  <w:t>审议通过了《公司2023年第三季度报告》、《关于聘任公司2023年度财务报告审计机构及内部控制审计机构的议案》、《关于公司财务总监候选人的议案》。</w:t>
                </w:r>
              </w:p>
            </w:tc>
            <w:tc>
              <w:tcPr>
                <w:tcW w:w="1207" w:type="pct"/>
                <w:shd w:val="clear" w:color="auto" w:fill="auto"/>
              </w:tcPr>
              <w:p w14:paraId="30B1C9A9" w14:textId="77777777" w:rsidR="00E57DAA" w:rsidRDefault="00E57DAA">
                <w:pPr>
                  <w:rPr>
                    <w:szCs w:val="21"/>
                  </w:rPr>
                </w:pPr>
              </w:p>
            </w:tc>
            <w:tc>
              <w:tcPr>
                <w:tcW w:w="659" w:type="pct"/>
                <w:shd w:val="clear" w:color="auto" w:fill="auto"/>
              </w:tcPr>
              <w:p w14:paraId="2F9232D6" w14:textId="77777777" w:rsidR="00E57DAA" w:rsidRDefault="00AC4185">
                <w:pPr>
                  <w:rPr>
                    <w:szCs w:val="21"/>
                  </w:rPr>
                </w:pPr>
                <w:r>
                  <w:rPr>
                    <w:rFonts w:hint="eastAsia"/>
                    <w:szCs w:val="21"/>
                  </w:rPr>
                  <w:t>无</w:t>
                </w:r>
              </w:p>
            </w:tc>
          </w:tr>
        </w:sdtContent>
      </w:sdt>
      <w:sdt>
        <w:sdtPr>
          <w:rPr>
            <w:szCs w:val="21"/>
          </w:rPr>
          <w:alias w:val="董事会下设专门委员会情况明细"/>
          <w:tag w:val="_TUP_ba8ed794bebb4cad9c2e7f1db76b0a19"/>
          <w:id w:val="-1291587955"/>
          <w:placeholder>
            <w:docPart w:val="34B9651DD72A45FAA846769D6F55BD28"/>
          </w:placeholder>
        </w:sdtPr>
        <w:sdtEndPr/>
        <w:sdtContent>
          <w:tr w:rsidR="00E57DAA" w14:paraId="5BBCB157" w14:textId="77777777">
            <w:tc>
              <w:tcPr>
                <w:tcW w:w="721" w:type="pct"/>
                <w:shd w:val="clear" w:color="auto" w:fill="auto"/>
              </w:tcPr>
              <w:p w14:paraId="37AB991C" w14:textId="77777777" w:rsidR="00E57DAA" w:rsidRDefault="00AC4185">
                <w:pPr>
                  <w:rPr>
                    <w:szCs w:val="21"/>
                  </w:rPr>
                </w:pPr>
                <w:r>
                  <w:t>2023-11-29</w:t>
                </w:r>
              </w:p>
            </w:tc>
            <w:tc>
              <w:tcPr>
                <w:tcW w:w="2413" w:type="pct"/>
                <w:shd w:val="clear" w:color="auto" w:fill="auto"/>
              </w:tcPr>
              <w:p w14:paraId="4D1D9865" w14:textId="77777777" w:rsidR="00E57DAA" w:rsidRDefault="00AC4185">
                <w:pPr>
                  <w:jc w:val="both"/>
                  <w:rPr>
                    <w:szCs w:val="21"/>
                  </w:rPr>
                </w:pPr>
                <w:r>
                  <w:rPr>
                    <w:rFonts w:hint="eastAsia"/>
                  </w:rPr>
                  <w:t>审议通过了《关于修订&lt;公司董事会审计与风险管理委员会实施细则&gt;的议案》、《关于公司增资中材水泥有限责任公司暨关联交易的议案》、《关于公司2024年度日常关联交易预计的议案》、《公司2023年度合规管理总结报告》。</w:t>
                </w:r>
              </w:p>
            </w:tc>
            <w:tc>
              <w:tcPr>
                <w:tcW w:w="1207" w:type="pct"/>
                <w:shd w:val="clear" w:color="auto" w:fill="auto"/>
              </w:tcPr>
              <w:p w14:paraId="036C30A3" w14:textId="77777777" w:rsidR="00E57DAA" w:rsidRDefault="00AC4185">
                <w:pPr>
                  <w:rPr>
                    <w:szCs w:val="21"/>
                  </w:rPr>
                </w:pPr>
                <w:r>
                  <w:rPr>
                    <w:rFonts w:hint="eastAsia"/>
                  </w:rPr>
                  <w:t>关于增资中材水泥事项，建议后续推进过程中详细开展盈利分析，及时发现潜在问题和风险，确保精细管理。</w:t>
                </w:r>
              </w:p>
            </w:tc>
            <w:tc>
              <w:tcPr>
                <w:tcW w:w="659" w:type="pct"/>
                <w:shd w:val="clear" w:color="auto" w:fill="auto"/>
              </w:tcPr>
              <w:p w14:paraId="68929DCD" w14:textId="77777777" w:rsidR="00E57DAA" w:rsidRDefault="00AC4185">
                <w:pPr>
                  <w:rPr>
                    <w:szCs w:val="21"/>
                  </w:rPr>
                </w:pPr>
                <w:r>
                  <w:rPr>
                    <w:rFonts w:hint="eastAsia"/>
                    <w:szCs w:val="21"/>
                  </w:rPr>
                  <w:t>无</w:t>
                </w:r>
              </w:p>
            </w:tc>
          </w:tr>
        </w:sdtContent>
      </w:sdt>
    </w:tbl>
    <w:p w14:paraId="70EC37B6" w14:textId="77777777" w:rsidR="00E57DAA" w:rsidRDefault="00E57DAA" w:rsidP="00C25422">
      <w:pPr>
        <w:pStyle w:val="92"/>
      </w:pPr>
    </w:p>
    <w:p w14:paraId="31222A8B" w14:textId="77777777" w:rsidR="00E57DAA" w:rsidRDefault="00AC4185">
      <w:pPr>
        <w:pStyle w:val="3"/>
        <w:numPr>
          <w:ilvl w:val="0"/>
          <w:numId w:val="23"/>
        </w:numPr>
      </w:pPr>
      <w:r>
        <w:rPr>
          <w:rFonts w:hint="eastAsia"/>
        </w:rPr>
        <w:t>报告期内</w:t>
      </w:r>
      <w:sdt>
        <w:sdtPr>
          <w:rPr>
            <w:rFonts w:hint="eastAsia"/>
          </w:rPr>
          <w:alias w:val="召开会议的专门委员会类别"/>
          <w:tag w:val="_GBC_adf76ecbe3584f07b573642215a867bd"/>
          <w:id w:val="1350681765"/>
          <w:placeholder>
            <w:docPart w:val="C108400CA4394148BED50AC65604744B"/>
          </w:placeholder>
        </w:sdtPr>
        <w:sdtEndPr/>
        <w:sdtContent>
          <w:r>
            <w:rPr>
              <w:rFonts w:hint="eastAsia"/>
            </w:rPr>
            <w:t>提名</w:t>
          </w:r>
        </w:sdtContent>
      </w:sdt>
      <w:r>
        <w:rPr>
          <w:rFonts w:hint="eastAsia"/>
        </w:rPr>
        <w:t>委员会召开</w:t>
      </w:r>
      <w:sdt>
        <w:sdtPr>
          <w:rPr>
            <w:rFonts w:hint="eastAsia"/>
          </w:rPr>
          <w:alias w:val="报告期内召开专门委员会会议次数"/>
          <w:tag w:val="_GBC_7bf2cd7c3a6a4685ac9c89ee396352a0"/>
          <w:id w:val="1394312506"/>
          <w:placeholder>
            <w:docPart w:val="C108400CA4394148BED50AC65604744B"/>
          </w:placeholder>
        </w:sdtPr>
        <w:sdtEndPr/>
        <w:sdtContent>
          <w:r>
            <w:t>5</w:t>
          </w:r>
        </w:sdtContent>
      </w:sdt>
      <w:r>
        <w:rPr>
          <w:rFonts w:hint="eastAsia"/>
        </w:rPr>
        <w:t>次会议</w:t>
      </w:r>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4251"/>
        <w:gridCol w:w="2127"/>
        <w:gridCol w:w="1161"/>
      </w:tblGrid>
      <w:tr w:rsidR="00E57DAA" w14:paraId="46F809BB" w14:textId="77777777">
        <w:sdt>
          <w:sdtPr>
            <w:rPr>
              <w:rFonts w:hint="eastAsia"/>
              <w:szCs w:val="21"/>
            </w:rPr>
            <w:tag w:val="_PLD_81aefc289fbf48b1865138608d8bd14f"/>
            <w:id w:val="1849904030"/>
          </w:sdtPr>
          <w:sdtEndPr/>
          <w:sdtContent>
            <w:tc>
              <w:tcPr>
                <w:tcW w:w="722" w:type="pct"/>
                <w:shd w:val="clear" w:color="auto" w:fill="auto"/>
                <w:vAlign w:val="center"/>
              </w:tcPr>
              <w:p w14:paraId="06C6DFDB" w14:textId="77777777" w:rsidR="00E57DAA" w:rsidRDefault="00AC4185">
                <w:pPr>
                  <w:jc w:val="center"/>
                  <w:rPr>
                    <w:szCs w:val="21"/>
                  </w:rPr>
                </w:pPr>
                <w:r>
                  <w:rPr>
                    <w:rFonts w:hint="eastAsia"/>
                    <w:szCs w:val="21"/>
                  </w:rPr>
                  <w:t>召开日期</w:t>
                </w:r>
              </w:p>
            </w:tc>
          </w:sdtContent>
        </w:sdt>
        <w:sdt>
          <w:sdtPr>
            <w:rPr>
              <w:rFonts w:hint="eastAsia"/>
              <w:szCs w:val="21"/>
            </w:rPr>
            <w:tag w:val="_PLD_9d24b601ec70414eb969daf6b393edc8"/>
            <w:id w:val="1329095730"/>
          </w:sdtPr>
          <w:sdtEndPr/>
          <w:sdtContent>
            <w:tc>
              <w:tcPr>
                <w:tcW w:w="2412" w:type="pct"/>
                <w:shd w:val="clear" w:color="auto" w:fill="auto"/>
                <w:vAlign w:val="center"/>
              </w:tcPr>
              <w:p w14:paraId="1686815E" w14:textId="77777777" w:rsidR="00E57DAA" w:rsidRDefault="00AC4185">
                <w:pPr>
                  <w:jc w:val="center"/>
                  <w:rPr>
                    <w:szCs w:val="21"/>
                  </w:rPr>
                </w:pPr>
                <w:r>
                  <w:rPr>
                    <w:rFonts w:hint="eastAsia"/>
                    <w:szCs w:val="21"/>
                  </w:rPr>
                  <w:t>会议内容</w:t>
                </w:r>
              </w:p>
            </w:tc>
          </w:sdtContent>
        </w:sdt>
        <w:sdt>
          <w:sdtPr>
            <w:rPr>
              <w:rFonts w:hint="eastAsia"/>
              <w:szCs w:val="21"/>
            </w:rPr>
            <w:tag w:val="_PLD_6ea19dadc3684e98a6d98faaf035a9d9"/>
            <w:id w:val="948125040"/>
          </w:sdtPr>
          <w:sdtEndPr/>
          <w:sdtContent>
            <w:tc>
              <w:tcPr>
                <w:tcW w:w="1207" w:type="pct"/>
                <w:shd w:val="clear" w:color="auto" w:fill="auto"/>
                <w:vAlign w:val="center"/>
              </w:tcPr>
              <w:p w14:paraId="411DBE74" w14:textId="77777777" w:rsidR="00E57DAA" w:rsidRDefault="00AC4185">
                <w:pPr>
                  <w:jc w:val="center"/>
                  <w:rPr>
                    <w:szCs w:val="21"/>
                  </w:rPr>
                </w:pPr>
                <w:r>
                  <w:rPr>
                    <w:rFonts w:hint="eastAsia"/>
                    <w:szCs w:val="21"/>
                  </w:rPr>
                  <w:t>重要意见和建议</w:t>
                </w:r>
              </w:p>
            </w:tc>
          </w:sdtContent>
        </w:sdt>
        <w:sdt>
          <w:sdtPr>
            <w:rPr>
              <w:rFonts w:hint="eastAsia"/>
              <w:szCs w:val="21"/>
            </w:rPr>
            <w:tag w:val="_PLD_ef03d3ffb00740008011022cb6a96805"/>
            <w:id w:val="1046717086"/>
          </w:sdtPr>
          <w:sdtEndPr/>
          <w:sdtContent>
            <w:tc>
              <w:tcPr>
                <w:tcW w:w="659" w:type="pct"/>
                <w:shd w:val="clear" w:color="auto" w:fill="auto"/>
                <w:vAlign w:val="center"/>
              </w:tcPr>
              <w:p w14:paraId="2D2030AC" w14:textId="77777777" w:rsidR="00E57DAA" w:rsidRDefault="00AC4185">
                <w:pPr>
                  <w:jc w:val="center"/>
                  <w:rPr>
                    <w:szCs w:val="21"/>
                  </w:rPr>
                </w:pPr>
                <w:r>
                  <w:rPr>
                    <w:rFonts w:hint="eastAsia"/>
                    <w:szCs w:val="21"/>
                  </w:rPr>
                  <w:t>其他履行职责情况</w:t>
                </w:r>
              </w:p>
            </w:tc>
          </w:sdtContent>
        </w:sdt>
      </w:tr>
      <w:tr w:rsidR="00E57DAA" w14:paraId="05430615" w14:textId="77777777">
        <w:tc>
          <w:tcPr>
            <w:tcW w:w="722" w:type="pct"/>
            <w:shd w:val="clear" w:color="auto" w:fill="auto"/>
          </w:tcPr>
          <w:p w14:paraId="349A1D35" w14:textId="77777777" w:rsidR="00E57DAA" w:rsidRDefault="00AC4185">
            <w:pPr>
              <w:jc w:val="both"/>
              <w:rPr>
                <w:szCs w:val="21"/>
              </w:rPr>
            </w:pPr>
            <w:r>
              <w:t>2023-03-10</w:t>
            </w:r>
          </w:p>
        </w:tc>
        <w:tc>
          <w:tcPr>
            <w:tcW w:w="2412" w:type="pct"/>
            <w:shd w:val="clear" w:color="auto" w:fill="auto"/>
          </w:tcPr>
          <w:p w14:paraId="175F3EAB" w14:textId="77777777" w:rsidR="00E57DAA" w:rsidRDefault="00AC4185">
            <w:pPr>
              <w:jc w:val="both"/>
              <w:rPr>
                <w:szCs w:val="21"/>
              </w:rPr>
            </w:pPr>
            <w:r>
              <w:t>审议通过了《关于聘任公司副总裁的议案》。</w:t>
            </w:r>
          </w:p>
        </w:tc>
        <w:tc>
          <w:tcPr>
            <w:tcW w:w="1207" w:type="pct"/>
            <w:shd w:val="clear" w:color="auto" w:fill="auto"/>
          </w:tcPr>
          <w:p w14:paraId="3BF3D361" w14:textId="77777777" w:rsidR="00E57DAA" w:rsidRDefault="00AC4185">
            <w:pPr>
              <w:jc w:val="both"/>
              <w:rPr>
                <w:szCs w:val="21"/>
              </w:rPr>
            </w:pPr>
            <w:r>
              <w:t> </w:t>
            </w:r>
            <w:r>
              <w:rPr>
                <w:rFonts w:hint="eastAsia"/>
              </w:rPr>
              <w:t>无</w:t>
            </w:r>
          </w:p>
        </w:tc>
        <w:tc>
          <w:tcPr>
            <w:tcW w:w="659" w:type="pct"/>
            <w:shd w:val="clear" w:color="auto" w:fill="auto"/>
          </w:tcPr>
          <w:p w14:paraId="1400FEFE" w14:textId="77777777" w:rsidR="00E57DAA" w:rsidRDefault="00AC4185">
            <w:pPr>
              <w:jc w:val="both"/>
              <w:rPr>
                <w:szCs w:val="21"/>
              </w:rPr>
            </w:pPr>
            <w:r>
              <w:t> </w:t>
            </w:r>
            <w:r>
              <w:rPr>
                <w:rFonts w:hint="eastAsia"/>
              </w:rPr>
              <w:t>无</w:t>
            </w:r>
          </w:p>
        </w:tc>
      </w:tr>
      <w:tr w:rsidR="00E57DAA" w14:paraId="7C822D56" w14:textId="77777777">
        <w:tc>
          <w:tcPr>
            <w:tcW w:w="722" w:type="pct"/>
            <w:shd w:val="clear" w:color="auto" w:fill="auto"/>
          </w:tcPr>
          <w:p w14:paraId="774D02C1" w14:textId="77777777" w:rsidR="00E57DAA" w:rsidRDefault="00AC4185">
            <w:pPr>
              <w:jc w:val="both"/>
              <w:rPr>
                <w:szCs w:val="21"/>
              </w:rPr>
            </w:pPr>
            <w:r>
              <w:t>2023-07-20</w:t>
            </w:r>
          </w:p>
        </w:tc>
        <w:tc>
          <w:tcPr>
            <w:tcW w:w="2412" w:type="pct"/>
            <w:shd w:val="clear" w:color="auto" w:fill="auto"/>
          </w:tcPr>
          <w:p w14:paraId="606FAFFB" w14:textId="77777777" w:rsidR="00E57DAA" w:rsidRDefault="00AC4185">
            <w:pPr>
              <w:jc w:val="both"/>
              <w:rPr>
                <w:szCs w:val="21"/>
              </w:rPr>
            </w:pPr>
            <w:r>
              <w:t>审议通过了《关于选举公司董事长的议案》、《关于聘任公司总裁的议案》。</w:t>
            </w:r>
          </w:p>
        </w:tc>
        <w:tc>
          <w:tcPr>
            <w:tcW w:w="1207" w:type="pct"/>
            <w:shd w:val="clear" w:color="auto" w:fill="auto"/>
          </w:tcPr>
          <w:p w14:paraId="37BF126A" w14:textId="77777777" w:rsidR="00E57DAA" w:rsidRDefault="00AC4185">
            <w:pPr>
              <w:jc w:val="both"/>
              <w:rPr>
                <w:szCs w:val="21"/>
              </w:rPr>
            </w:pPr>
            <w:r>
              <w:t> </w:t>
            </w:r>
            <w:r>
              <w:rPr>
                <w:rFonts w:hint="eastAsia"/>
              </w:rPr>
              <w:t>无</w:t>
            </w:r>
          </w:p>
        </w:tc>
        <w:tc>
          <w:tcPr>
            <w:tcW w:w="659" w:type="pct"/>
            <w:shd w:val="clear" w:color="auto" w:fill="auto"/>
          </w:tcPr>
          <w:p w14:paraId="38324B5E" w14:textId="77777777" w:rsidR="00E57DAA" w:rsidRDefault="00AC4185">
            <w:pPr>
              <w:jc w:val="both"/>
              <w:rPr>
                <w:szCs w:val="21"/>
              </w:rPr>
            </w:pPr>
            <w:r>
              <w:t> </w:t>
            </w:r>
            <w:r>
              <w:rPr>
                <w:rFonts w:hint="eastAsia"/>
              </w:rPr>
              <w:t>无</w:t>
            </w:r>
          </w:p>
        </w:tc>
      </w:tr>
      <w:tr w:rsidR="00E57DAA" w14:paraId="308F8149" w14:textId="77777777">
        <w:tc>
          <w:tcPr>
            <w:tcW w:w="722" w:type="pct"/>
            <w:shd w:val="clear" w:color="auto" w:fill="auto"/>
          </w:tcPr>
          <w:p w14:paraId="2912346E" w14:textId="77777777" w:rsidR="00E57DAA" w:rsidRDefault="00AC4185">
            <w:pPr>
              <w:jc w:val="both"/>
              <w:rPr>
                <w:szCs w:val="21"/>
              </w:rPr>
            </w:pPr>
            <w:r>
              <w:t>2023-09-28</w:t>
            </w:r>
          </w:p>
        </w:tc>
        <w:tc>
          <w:tcPr>
            <w:tcW w:w="2412" w:type="pct"/>
            <w:shd w:val="clear" w:color="auto" w:fill="auto"/>
          </w:tcPr>
          <w:p w14:paraId="3A7220ED" w14:textId="77777777" w:rsidR="00E57DAA" w:rsidRDefault="00AC4185">
            <w:pPr>
              <w:jc w:val="both"/>
              <w:rPr>
                <w:szCs w:val="21"/>
              </w:rPr>
            </w:pPr>
            <w:r>
              <w:t>审议通过了《关于董事会换届选举非独立董事的议案》、《关于董事会换届选举独立董事的议案》。</w:t>
            </w:r>
          </w:p>
        </w:tc>
        <w:tc>
          <w:tcPr>
            <w:tcW w:w="1207" w:type="pct"/>
            <w:shd w:val="clear" w:color="auto" w:fill="auto"/>
          </w:tcPr>
          <w:p w14:paraId="4765EA15" w14:textId="77777777" w:rsidR="00E57DAA" w:rsidRDefault="00AC4185">
            <w:pPr>
              <w:jc w:val="both"/>
              <w:rPr>
                <w:szCs w:val="21"/>
              </w:rPr>
            </w:pPr>
            <w:r>
              <w:t> </w:t>
            </w:r>
            <w:r>
              <w:rPr>
                <w:rFonts w:hint="eastAsia"/>
              </w:rPr>
              <w:t>无</w:t>
            </w:r>
          </w:p>
        </w:tc>
        <w:tc>
          <w:tcPr>
            <w:tcW w:w="659" w:type="pct"/>
            <w:shd w:val="clear" w:color="auto" w:fill="auto"/>
          </w:tcPr>
          <w:p w14:paraId="2BD1F422" w14:textId="77777777" w:rsidR="00E57DAA" w:rsidRDefault="00AC4185">
            <w:pPr>
              <w:jc w:val="both"/>
              <w:rPr>
                <w:szCs w:val="21"/>
              </w:rPr>
            </w:pPr>
            <w:r>
              <w:t> </w:t>
            </w:r>
            <w:r>
              <w:rPr>
                <w:rFonts w:hint="eastAsia"/>
              </w:rPr>
              <w:t>无</w:t>
            </w:r>
          </w:p>
        </w:tc>
      </w:tr>
      <w:tr w:rsidR="00E57DAA" w14:paraId="63711178" w14:textId="77777777">
        <w:tc>
          <w:tcPr>
            <w:tcW w:w="722" w:type="pct"/>
            <w:shd w:val="clear" w:color="auto" w:fill="auto"/>
          </w:tcPr>
          <w:p w14:paraId="0C5FAB8F" w14:textId="77777777" w:rsidR="00E57DAA" w:rsidRDefault="00AC4185">
            <w:pPr>
              <w:jc w:val="both"/>
              <w:rPr>
                <w:szCs w:val="21"/>
              </w:rPr>
            </w:pPr>
            <w:r>
              <w:t>2023-10-24</w:t>
            </w:r>
          </w:p>
        </w:tc>
        <w:tc>
          <w:tcPr>
            <w:tcW w:w="2412" w:type="pct"/>
            <w:shd w:val="clear" w:color="auto" w:fill="auto"/>
          </w:tcPr>
          <w:p w14:paraId="4D453EDA" w14:textId="77777777" w:rsidR="00E57DAA" w:rsidRDefault="00AC4185">
            <w:pPr>
              <w:jc w:val="both"/>
              <w:rPr>
                <w:szCs w:val="21"/>
              </w:rPr>
            </w:pPr>
            <w:r>
              <w:t>审议通过了《关于公司总裁候选人的议案》、《关于公司副总裁、财务总监候选人的议案》、《关于公司董事会秘书候选人的议案》。</w:t>
            </w:r>
          </w:p>
        </w:tc>
        <w:tc>
          <w:tcPr>
            <w:tcW w:w="1207" w:type="pct"/>
            <w:shd w:val="clear" w:color="auto" w:fill="auto"/>
          </w:tcPr>
          <w:p w14:paraId="748909FC" w14:textId="77777777" w:rsidR="00E57DAA" w:rsidRDefault="00AC4185">
            <w:pPr>
              <w:jc w:val="both"/>
              <w:rPr>
                <w:szCs w:val="21"/>
              </w:rPr>
            </w:pPr>
            <w:r>
              <w:t> </w:t>
            </w:r>
            <w:r>
              <w:rPr>
                <w:rFonts w:hint="eastAsia"/>
              </w:rPr>
              <w:t>无</w:t>
            </w:r>
          </w:p>
        </w:tc>
        <w:tc>
          <w:tcPr>
            <w:tcW w:w="659" w:type="pct"/>
            <w:shd w:val="clear" w:color="auto" w:fill="auto"/>
          </w:tcPr>
          <w:p w14:paraId="4850EBC0" w14:textId="77777777" w:rsidR="00E57DAA" w:rsidRDefault="00AC4185">
            <w:pPr>
              <w:jc w:val="both"/>
              <w:rPr>
                <w:szCs w:val="21"/>
              </w:rPr>
            </w:pPr>
            <w:r>
              <w:t> </w:t>
            </w:r>
            <w:r>
              <w:rPr>
                <w:rFonts w:hint="eastAsia"/>
              </w:rPr>
              <w:t>无</w:t>
            </w:r>
          </w:p>
        </w:tc>
      </w:tr>
      <w:tr w:rsidR="00E57DAA" w14:paraId="0E3A6739" w14:textId="77777777">
        <w:tc>
          <w:tcPr>
            <w:tcW w:w="722" w:type="pct"/>
            <w:shd w:val="clear" w:color="auto" w:fill="auto"/>
          </w:tcPr>
          <w:p w14:paraId="03B817F1" w14:textId="77777777" w:rsidR="00E57DAA" w:rsidRDefault="00AC4185">
            <w:pPr>
              <w:jc w:val="both"/>
              <w:rPr>
                <w:szCs w:val="21"/>
              </w:rPr>
            </w:pPr>
            <w:r>
              <w:t>2023-11-29</w:t>
            </w:r>
          </w:p>
        </w:tc>
        <w:tc>
          <w:tcPr>
            <w:tcW w:w="2412" w:type="pct"/>
            <w:shd w:val="clear" w:color="auto" w:fill="auto"/>
          </w:tcPr>
          <w:p w14:paraId="487B28E1" w14:textId="77777777" w:rsidR="00E57DAA" w:rsidRDefault="00AC4185">
            <w:pPr>
              <w:jc w:val="both"/>
              <w:rPr>
                <w:szCs w:val="21"/>
              </w:rPr>
            </w:pPr>
            <w:r>
              <w:t>审议通过了《关于修订&lt;公司董事会提名委员会工作细则&gt;的议案》。</w:t>
            </w:r>
          </w:p>
        </w:tc>
        <w:tc>
          <w:tcPr>
            <w:tcW w:w="1207" w:type="pct"/>
            <w:shd w:val="clear" w:color="auto" w:fill="auto"/>
          </w:tcPr>
          <w:p w14:paraId="37DC1FA6" w14:textId="77777777" w:rsidR="00E57DAA" w:rsidRDefault="00AC4185">
            <w:pPr>
              <w:jc w:val="both"/>
              <w:rPr>
                <w:szCs w:val="21"/>
              </w:rPr>
            </w:pPr>
            <w:r>
              <w:t> </w:t>
            </w:r>
            <w:r>
              <w:rPr>
                <w:rFonts w:hint="eastAsia"/>
              </w:rPr>
              <w:t>无</w:t>
            </w:r>
          </w:p>
        </w:tc>
        <w:tc>
          <w:tcPr>
            <w:tcW w:w="659" w:type="pct"/>
            <w:shd w:val="clear" w:color="auto" w:fill="auto"/>
          </w:tcPr>
          <w:p w14:paraId="12B6E9F7" w14:textId="77777777" w:rsidR="00E57DAA" w:rsidRDefault="00AC4185">
            <w:pPr>
              <w:jc w:val="both"/>
              <w:rPr>
                <w:szCs w:val="21"/>
              </w:rPr>
            </w:pPr>
            <w:r>
              <w:t> </w:t>
            </w:r>
            <w:r>
              <w:rPr>
                <w:rFonts w:hint="eastAsia"/>
              </w:rPr>
              <w:t>无</w:t>
            </w:r>
          </w:p>
        </w:tc>
      </w:tr>
    </w:tbl>
    <w:p w14:paraId="7196BBEA" w14:textId="77777777" w:rsidR="00E57DAA" w:rsidRDefault="00E57DAA" w:rsidP="00C25422">
      <w:pPr>
        <w:pStyle w:val="92"/>
      </w:pPr>
    </w:p>
    <w:p w14:paraId="3EB3E16A" w14:textId="77777777" w:rsidR="00E57DAA" w:rsidRDefault="00AC4185">
      <w:pPr>
        <w:pStyle w:val="3"/>
        <w:numPr>
          <w:ilvl w:val="0"/>
          <w:numId w:val="23"/>
        </w:numPr>
      </w:pPr>
      <w:r>
        <w:rPr>
          <w:rFonts w:hint="eastAsia"/>
        </w:rPr>
        <w:t>报告期内</w:t>
      </w:r>
      <w:sdt>
        <w:sdtPr>
          <w:rPr>
            <w:rFonts w:hint="eastAsia"/>
          </w:rPr>
          <w:alias w:val="召开会议的专门委员会类别"/>
          <w:tag w:val="_GBC_adf76ecbe3584f07b573642215a867bd"/>
          <w:id w:val="-569885235"/>
          <w:placeholder>
            <w:docPart w:val="3327C946CA3C42D0A7165AEE2A3A552E"/>
          </w:placeholder>
        </w:sdtPr>
        <w:sdtEndPr/>
        <w:sdtContent>
          <w:r>
            <w:rPr>
              <w:rFonts w:hint="eastAsia"/>
            </w:rPr>
            <w:t>薪酬与考核</w:t>
          </w:r>
        </w:sdtContent>
      </w:sdt>
      <w:r>
        <w:rPr>
          <w:rFonts w:hint="eastAsia"/>
        </w:rPr>
        <w:t>委员会召开</w:t>
      </w:r>
      <w:sdt>
        <w:sdtPr>
          <w:rPr>
            <w:rFonts w:hint="eastAsia"/>
          </w:rPr>
          <w:alias w:val="报告期内召开专门委员会会议次数"/>
          <w:tag w:val="_GBC_7bf2cd7c3a6a4685ac9c89ee396352a0"/>
          <w:id w:val="898408248"/>
          <w:placeholder>
            <w:docPart w:val="3327C946CA3C42D0A7165AEE2A3A552E"/>
          </w:placeholder>
        </w:sdtPr>
        <w:sdtEndPr/>
        <w:sdtContent>
          <w:r>
            <w:rPr>
              <w:rFonts w:hint="eastAsia"/>
            </w:rPr>
            <w:t>6</w:t>
          </w:r>
        </w:sdtContent>
      </w:sdt>
      <w:r>
        <w:rPr>
          <w:rFonts w:hint="eastAsia"/>
        </w:rPr>
        <w:t>次会议</w:t>
      </w:r>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4251"/>
        <w:gridCol w:w="2127"/>
        <w:gridCol w:w="1161"/>
      </w:tblGrid>
      <w:tr w:rsidR="00E57DAA" w14:paraId="38AE6473" w14:textId="77777777">
        <w:sdt>
          <w:sdtPr>
            <w:rPr>
              <w:rFonts w:hint="eastAsia"/>
              <w:szCs w:val="21"/>
            </w:rPr>
            <w:tag w:val="_PLD_81aefc289fbf48b1865138608d8bd14f"/>
            <w:id w:val="1971552122"/>
          </w:sdtPr>
          <w:sdtEndPr/>
          <w:sdtContent>
            <w:tc>
              <w:tcPr>
                <w:tcW w:w="722" w:type="pct"/>
                <w:shd w:val="clear" w:color="auto" w:fill="auto"/>
                <w:vAlign w:val="center"/>
              </w:tcPr>
              <w:p w14:paraId="15DB7E72" w14:textId="77777777" w:rsidR="00E57DAA" w:rsidRDefault="00AC4185">
                <w:pPr>
                  <w:jc w:val="center"/>
                  <w:rPr>
                    <w:szCs w:val="21"/>
                  </w:rPr>
                </w:pPr>
                <w:r>
                  <w:rPr>
                    <w:rFonts w:hint="eastAsia"/>
                    <w:szCs w:val="21"/>
                  </w:rPr>
                  <w:t>召开日期</w:t>
                </w:r>
              </w:p>
            </w:tc>
          </w:sdtContent>
        </w:sdt>
        <w:sdt>
          <w:sdtPr>
            <w:rPr>
              <w:rFonts w:hint="eastAsia"/>
              <w:szCs w:val="21"/>
            </w:rPr>
            <w:tag w:val="_PLD_9d24b601ec70414eb969daf6b393edc8"/>
            <w:id w:val="-863741811"/>
          </w:sdtPr>
          <w:sdtEndPr/>
          <w:sdtContent>
            <w:tc>
              <w:tcPr>
                <w:tcW w:w="2412" w:type="pct"/>
                <w:shd w:val="clear" w:color="auto" w:fill="auto"/>
                <w:vAlign w:val="center"/>
              </w:tcPr>
              <w:p w14:paraId="208E9436" w14:textId="77777777" w:rsidR="00E57DAA" w:rsidRDefault="00AC4185">
                <w:pPr>
                  <w:jc w:val="center"/>
                  <w:rPr>
                    <w:szCs w:val="21"/>
                  </w:rPr>
                </w:pPr>
                <w:r>
                  <w:rPr>
                    <w:rFonts w:hint="eastAsia"/>
                    <w:szCs w:val="21"/>
                  </w:rPr>
                  <w:t>会议内容</w:t>
                </w:r>
              </w:p>
            </w:tc>
          </w:sdtContent>
        </w:sdt>
        <w:sdt>
          <w:sdtPr>
            <w:rPr>
              <w:rFonts w:hint="eastAsia"/>
              <w:szCs w:val="21"/>
            </w:rPr>
            <w:tag w:val="_PLD_6ea19dadc3684e98a6d98faaf035a9d9"/>
            <w:id w:val="2124725173"/>
          </w:sdtPr>
          <w:sdtEndPr/>
          <w:sdtContent>
            <w:tc>
              <w:tcPr>
                <w:tcW w:w="1207" w:type="pct"/>
                <w:shd w:val="clear" w:color="auto" w:fill="auto"/>
                <w:vAlign w:val="center"/>
              </w:tcPr>
              <w:p w14:paraId="18D8A952" w14:textId="77777777" w:rsidR="00E57DAA" w:rsidRDefault="00AC4185">
                <w:pPr>
                  <w:jc w:val="center"/>
                  <w:rPr>
                    <w:szCs w:val="21"/>
                  </w:rPr>
                </w:pPr>
                <w:r>
                  <w:rPr>
                    <w:rFonts w:hint="eastAsia"/>
                    <w:szCs w:val="21"/>
                  </w:rPr>
                  <w:t>重要意见和建议</w:t>
                </w:r>
              </w:p>
            </w:tc>
          </w:sdtContent>
        </w:sdt>
        <w:sdt>
          <w:sdtPr>
            <w:rPr>
              <w:rFonts w:hint="eastAsia"/>
              <w:szCs w:val="21"/>
            </w:rPr>
            <w:tag w:val="_PLD_ef03d3ffb00740008011022cb6a96805"/>
            <w:id w:val="1646624908"/>
          </w:sdtPr>
          <w:sdtEndPr/>
          <w:sdtContent>
            <w:tc>
              <w:tcPr>
                <w:tcW w:w="659" w:type="pct"/>
                <w:shd w:val="clear" w:color="auto" w:fill="auto"/>
                <w:vAlign w:val="center"/>
              </w:tcPr>
              <w:p w14:paraId="4AE47020" w14:textId="77777777" w:rsidR="00E57DAA" w:rsidRDefault="00AC4185">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651674619"/>
          <w:placeholder>
            <w:docPart w:val="9779A45E3FB04DED9B596E7A0C335E03"/>
          </w:placeholder>
        </w:sdtPr>
        <w:sdtEndPr/>
        <w:sdtContent>
          <w:tr w:rsidR="00E57DAA" w14:paraId="3B4ABD76" w14:textId="77777777">
            <w:tc>
              <w:tcPr>
                <w:tcW w:w="722" w:type="pct"/>
                <w:shd w:val="clear" w:color="auto" w:fill="auto"/>
              </w:tcPr>
              <w:p w14:paraId="15506E0A" w14:textId="77777777" w:rsidR="00E57DAA" w:rsidRDefault="00AC4185">
                <w:pPr>
                  <w:rPr>
                    <w:szCs w:val="21"/>
                  </w:rPr>
                </w:pPr>
                <w:r>
                  <w:t>2023-02-14</w:t>
                </w:r>
              </w:p>
            </w:tc>
            <w:tc>
              <w:tcPr>
                <w:tcW w:w="2412" w:type="pct"/>
                <w:shd w:val="clear" w:color="auto" w:fill="auto"/>
              </w:tcPr>
              <w:p w14:paraId="499A3C71" w14:textId="77777777" w:rsidR="00E57DAA" w:rsidRDefault="00AC4185">
                <w:pPr>
                  <w:jc w:val="both"/>
                  <w:rPr>
                    <w:szCs w:val="21"/>
                  </w:rPr>
                </w:pPr>
                <w:r>
                  <w:t>审议通过了《关于向公司2021年限制性股票激励计划激励对象授予预留限制性股票的议案》。</w:t>
                </w:r>
              </w:p>
            </w:tc>
            <w:tc>
              <w:tcPr>
                <w:tcW w:w="1207" w:type="pct"/>
                <w:shd w:val="clear" w:color="auto" w:fill="auto"/>
              </w:tcPr>
              <w:p w14:paraId="3D0D877A" w14:textId="77777777" w:rsidR="00E57DAA" w:rsidRDefault="00AC4185">
                <w:pPr>
                  <w:rPr>
                    <w:szCs w:val="21"/>
                  </w:rPr>
                </w:pPr>
                <w:r>
                  <w:t>要求积极推进限制性股票激励计划的预留授予登记工作。</w:t>
                </w:r>
              </w:p>
            </w:tc>
            <w:tc>
              <w:tcPr>
                <w:tcW w:w="659" w:type="pct"/>
                <w:shd w:val="clear" w:color="auto" w:fill="auto"/>
              </w:tcPr>
              <w:p w14:paraId="4B1337A6" w14:textId="77777777" w:rsidR="00E57DAA" w:rsidRDefault="00AC4185">
                <w:pPr>
                  <w:ind w:firstLineChars="100" w:firstLine="210"/>
                  <w:rPr>
                    <w:szCs w:val="21"/>
                  </w:rPr>
                </w:pPr>
                <w:r>
                  <w:rPr>
                    <w:rFonts w:hint="eastAsia"/>
                    <w:szCs w:val="21"/>
                  </w:rPr>
                  <w:t>无</w:t>
                </w:r>
              </w:p>
            </w:tc>
          </w:tr>
        </w:sdtContent>
      </w:sdt>
      <w:tr w:rsidR="00E57DAA" w14:paraId="0709D6E1" w14:textId="77777777">
        <w:tc>
          <w:tcPr>
            <w:tcW w:w="722" w:type="pct"/>
            <w:shd w:val="clear" w:color="auto" w:fill="auto"/>
          </w:tcPr>
          <w:p w14:paraId="3D532FC2" w14:textId="77777777" w:rsidR="00E57DAA" w:rsidRDefault="00AC4185">
            <w:pPr>
              <w:rPr>
                <w:szCs w:val="21"/>
              </w:rPr>
            </w:pPr>
            <w:r>
              <w:t>2023-03-10</w:t>
            </w:r>
          </w:p>
        </w:tc>
        <w:tc>
          <w:tcPr>
            <w:tcW w:w="2412" w:type="pct"/>
            <w:shd w:val="clear" w:color="auto" w:fill="auto"/>
          </w:tcPr>
          <w:p w14:paraId="3B5C01CA" w14:textId="77777777" w:rsidR="00E57DAA" w:rsidRDefault="00AC4185">
            <w:pPr>
              <w:jc w:val="both"/>
              <w:rPr>
                <w:szCs w:val="21"/>
              </w:rPr>
            </w:pPr>
            <w:r>
              <w:t>审议通过了《关于公司高级管理人员2022年度经营业绩考核结果的议案》、《关于公司高级管理人员2022年度薪酬的议案》。</w:t>
            </w:r>
          </w:p>
        </w:tc>
        <w:tc>
          <w:tcPr>
            <w:tcW w:w="1207" w:type="pct"/>
            <w:shd w:val="clear" w:color="auto" w:fill="auto"/>
          </w:tcPr>
          <w:p w14:paraId="53BD73D4" w14:textId="77777777" w:rsidR="00E57DAA" w:rsidRDefault="00AC4185">
            <w:pPr>
              <w:rPr>
                <w:szCs w:val="21"/>
              </w:rPr>
            </w:pPr>
            <w:r>
              <w:t> </w:t>
            </w:r>
            <w:r>
              <w:rPr>
                <w:rFonts w:hint="eastAsia"/>
              </w:rPr>
              <w:t>无</w:t>
            </w:r>
          </w:p>
        </w:tc>
        <w:tc>
          <w:tcPr>
            <w:tcW w:w="659" w:type="pct"/>
            <w:shd w:val="clear" w:color="auto" w:fill="auto"/>
          </w:tcPr>
          <w:p w14:paraId="261176DE" w14:textId="77777777" w:rsidR="00E57DAA" w:rsidRDefault="00AC4185">
            <w:pPr>
              <w:rPr>
                <w:szCs w:val="21"/>
              </w:rPr>
            </w:pPr>
            <w:r>
              <w:t> </w:t>
            </w:r>
            <w:r>
              <w:rPr>
                <w:rFonts w:hint="eastAsia"/>
              </w:rPr>
              <w:t>无</w:t>
            </w:r>
          </w:p>
        </w:tc>
      </w:tr>
      <w:tr w:rsidR="00E57DAA" w14:paraId="18754DB2" w14:textId="77777777">
        <w:tc>
          <w:tcPr>
            <w:tcW w:w="722" w:type="pct"/>
            <w:shd w:val="clear" w:color="auto" w:fill="auto"/>
          </w:tcPr>
          <w:p w14:paraId="1F851A02" w14:textId="77777777" w:rsidR="00E57DAA" w:rsidRDefault="00AC4185">
            <w:pPr>
              <w:rPr>
                <w:szCs w:val="21"/>
              </w:rPr>
            </w:pPr>
            <w:r>
              <w:t>2023-06-25</w:t>
            </w:r>
          </w:p>
        </w:tc>
        <w:tc>
          <w:tcPr>
            <w:tcW w:w="2412" w:type="pct"/>
            <w:shd w:val="clear" w:color="auto" w:fill="auto"/>
          </w:tcPr>
          <w:p w14:paraId="50436EE8" w14:textId="77777777" w:rsidR="00E57DAA" w:rsidRDefault="00AC4185">
            <w:pPr>
              <w:jc w:val="both"/>
              <w:rPr>
                <w:szCs w:val="21"/>
              </w:rPr>
            </w:pPr>
            <w:r>
              <w:t>审议通过了《关于制定中材国际经理层成员2023年度经营业绩考核指标的议案》。</w:t>
            </w:r>
          </w:p>
        </w:tc>
        <w:tc>
          <w:tcPr>
            <w:tcW w:w="1207" w:type="pct"/>
            <w:shd w:val="clear" w:color="auto" w:fill="auto"/>
          </w:tcPr>
          <w:p w14:paraId="46028C41" w14:textId="77777777" w:rsidR="00E57DAA" w:rsidRDefault="00AC4185">
            <w:pPr>
              <w:rPr>
                <w:szCs w:val="21"/>
              </w:rPr>
            </w:pPr>
            <w:r>
              <w:t> </w:t>
            </w:r>
            <w:r>
              <w:rPr>
                <w:rFonts w:hint="eastAsia"/>
              </w:rPr>
              <w:t>无</w:t>
            </w:r>
          </w:p>
        </w:tc>
        <w:tc>
          <w:tcPr>
            <w:tcW w:w="659" w:type="pct"/>
            <w:shd w:val="clear" w:color="auto" w:fill="auto"/>
          </w:tcPr>
          <w:p w14:paraId="6ACB6883" w14:textId="77777777" w:rsidR="00E57DAA" w:rsidRDefault="00AC4185">
            <w:pPr>
              <w:rPr>
                <w:szCs w:val="21"/>
              </w:rPr>
            </w:pPr>
            <w:r>
              <w:t> </w:t>
            </w:r>
            <w:r>
              <w:rPr>
                <w:rFonts w:hint="eastAsia"/>
              </w:rPr>
              <w:t>无</w:t>
            </w:r>
          </w:p>
        </w:tc>
      </w:tr>
      <w:tr w:rsidR="00E57DAA" w14:paraId="20EDF806" w14:textId="77777777">
        <w:tc>
          <w:tcPr>
            <w:tcW w:w="722" w:type="pct"/>
            <w:shd w:val="clear" w:color="auto" w:fill="auto"/>
          </w:tcPr>
          <w:p w14:paraId="673272EA" w14:textId="77777777" w:rsidR="00E57DAA" w:rsidRDefault="00AC4185">
            <w:pPr>
              <w:rPr>
                <w:szCs w:val="21"/>
              </w:rPr>
            </w:pPr>
            <w:r>
              <w:t>2023-07-20</w:t>
            </w:r>
          </w:p>
        </w:tc>
        <w:tc>
          <w:tcPr>
            <w:tcW w:w="2412" w:type="pct"/>
            <w:shd w:val="clear" w:color="auto" w:fill="auto"/>
          </w:tcPr>
          <w:p w14:paraId="156F5F44" w14:textId="77777777" w:rsidR="00E57DAA" w:rsidRDefault="00AC4185">
            <w:pPr>
              <w:jc w:val="both"/>
              <w:rPr>
                <w:szCs w:val="21"/>
              </w:rPr>
            </w:pPr>
            <w:r>
              <w:t>审议通过了《关于王益民董事2022年度薪酬的议案》。</w:t>
            </w:r>
          </w:p>
        </w:tc>
        <w:tc>
          <w:tcPr>
            <w:tcW w:w="1207" w:type="pct"/>
            <w:shd w:val="clear" w:color="auto" w:fill="auto"/>
          </w:tcPr>
          <w:p w14:paraId="6CA66886" w14:textId="77777777" w:rsidR="00E57DAA" w:rsidRDefault="00AC4185">
            <w:pPr>
              <w:rPr>
                <w:szCs w:val="21"/>
              </w:rPr>
            </w:pPr>
            <w:r>
              <w:t> </w:t>
            </w:r>
            <w:r>
              <w:rPr>
                <w:rFonts w:hint="eastAsia"/>
              </w:rPr>
              <w:t>无</w:t>
            </w:r>
          </w:p>
        </w:tc>
        <w:tc>
          <w:tcPr>
            <w:tcW w:w="659" w:type="pct"/>
            <w:shd w:val="clear" w:color="auto" w:fill="auto"/>
          </w:tcPr>
          <w:p w14:paraId="4704DF0E" w14:textId="77777777" w:rsidR="00E57DAA" w:rsidRDefault="00AC4185">
            <w:pPr>
              <w:rPr>
                <w:szCs w:val="21"/>
              </w:rPr>
            </w:pPr>
            <w:r>
              <w:t> </w:t>
            </w:r>
            <w:r>
              <w:rPr>
                <w:rFonts w:hint="eastAsia"/>
              </w:rPr>
              <w:t>无</w:t>
            </w:r>
          </w:p>
        </w:tc>
      </w:tr>
      <w:sdt>
        <w:sdtPr>
          <w:rPr>
            <w:szCs w:val="21"/>
          </w:rPr>
          <w:alias w:val="董事会下设专门委员会情况明细"/>
          <w:tag w:val="_TUP_ba8ed794bebb4cad9c2e7f1db76b0a19"/>
          <w:id w:val="-419329939"/>
          <w:placeholder>
            <w:docPart w:val="2B0DBB077A2049F0B3D88D31DDCCB63A"/>
          </w:placeholder>
        </w:sdtPr>
        <w:sdtEndPr/>
        <w:sdtContent>
          <w:tr w:rsidR="00E57DAA" w14:paraId="5987FECB" w14:textId="77777777">
            <w:tc>
              <w:tcPr>
                <w:tcW w:w="722" w:type="pct"/>
                <w:shd w:val="clear" w:color="auto" w:fill="auto"/>
              </w:tcPr>
              <w:p w14:paraId="6450D325" w14:textId="77777777" w:rsidR="00E57DAA" w:rsidRDefault="00AC4185">
                <w:pPr>
                  <w:rPr>
                    <w:szCs w:val="21"/>
                  </w:rPr>
                </w:pPr>
                <w:r>
                  <w:t>2023-08-13</w:t>
                </w:r>
              </w:p>
            </w:tc>
            <w:tc>
              <w:tcPr>
                <w:tcW w:w="2412" w:type="pct"/>
                <w:shd w:val="clear" w:color="auto" w:fill="auto"/>
              </w:tcPr>
              <w:p w14:paraId="0BC131E6" w14:textId="77777777" w:rsidR="00E57DAA" w:rsidRDefault="00AC4185">
                <w:pPr>
                  <w:jc w:val="both"/>
                  <w:rPr>
                    <w:szCs w:val="21"/>
                  </w:rPr>
                </w:pPr>
                <w:r>
                  <w:t>审议通过了《关于2022年度工资总额清算以及2023年度工资总额预算的议案》。</w:t>
                </w:r>
              </w:p>
            </w:tc>
            <w:tc>
              <w:tcPr>
                <w:tcW w:w="1207" w:type="pct"/>
                <w:shd w:val="clear" w:color="auto" w:fill="auto"/>
              </w:tcPr>
              <w:p w14:paraId="0DA3F6E9" w14:textId="77777777" w:rsidR="00E57DAA" w:rsidRDefault="00AC4185">
                <w:pPr>
                  <w:rPr>
                    <w:szCs w:val="21"/>
                  </w:rPr>
                </w:pPr>
                <w:r>
                  <w:t> </w:t>
                </w:r>
                <w:r>
                  <w:rPr>
                    <w:rFonts w:hint="eastAsia"/>
                  </w:rPr>
                  <w:t>无</w:t>
                </w:r>
              </w:p>
            </w:tc>
            <w:tc>
              <w:tcPr>
                <w:tcW w:w="659" w:type="pct"/>
                <w:shd w:val="clear" w:color="auto" w:fill="auto"/>
              </w:tcPr>
              <w:p w14:paraId="6643FE84" w14:textId="77777777" w:rsidR="00E57DAA" w:rsidRDefault="00AC4185">
                <w:pPr>
                  <w:rPr>
                    <w:szCs w:val="21"/>
                  </w:rPr>
                </w:pPr>
                <w:r>
                  <w:t> </w:t>
                </w:r>
                <w:r>
                  <w:rPr>
                    <w:rFonts w:hint="eastAsia"/>
                  </w:rPr>
                  <w:t>无</w:t>
                </w:r>
              </w:p>
            </w:tc>
          </w:tr>
        </w:sdtContent>
      </w:sdt>
      <w:tr w:rsidR="00E57DAA" w14:paraId="7802DC36" w14:textId="77777777">
        <w:tc>
          <w:tcPr>
            <w:tcW w:w="722" w:type="pct"/>
            <w:shd w:val="clear" w:color="auto" w:fill="auto"/>
          </w:tcPr>
          <w:p w14:paraId="5146A0B7" w14:textId="77777777" w:rsidR="00E57DAA" w:rsidRDefault="00AC4185">
            <w:pPr>
              <w:rPr>
                <w:szCs w:val="21"/>
              </w:rPr>
            </w:pPr>
            <w:r>
              <w:t>2023-11-29</w:t>
            </w:r>
          </w:p>
        </w:tc>
        <w:tc>
          <w:tcPr>
            <w:tcW w:w="2412" w:type="pct"/>
            <w:shd w:val="clear" w:color="auto" w:fill="auto"/>
          </w:tcPr>
          <w:p w14:paraId="1D9066B2" w14:textId="77777777" w:rsidR="00E57DAA" w:rsidRDefault="00AC4185">
            <w:pPr>
              <w:jc w:val="both"/>
              <w:rPr>
                <w:szCs w:val="21"/>
              </w:rPr>
            </w:pPr>
            <w:r>
              <w:t>审议通过了《关于修订&lt;公司董事会薪酬与考核委员会实施细则&gt;的议案》。</w:t>
            </w:r>
          </w:p>
        </w:tc>
        <w:tc>
          <w:tcPr>
            <w:tcW w:w="1207" w:type="pct"/>
            <w:shd w:val="clear" w:color="auto" w:fill="auto"/>
          </w:tcPr>
          <w:p w14:paraId="47C088D0" w14:textId="77777777" w:rsidR="00E57DAA" w:rsidRDefault="00AC4185">
            <w:pPr>
              <w:rPr>
                <w:szCs w:val="21"/>
              </w:rPr>
            </w:pPr>
            <w:r>
              <w:t> </w:t>
            </w:r>
            <w:r>
              <w:rPr>
                <w:rFonts w:hint="eastAsia"/>
              </w:rPr>
              <w:t>无</w:t>
            </w:r>
          </w:p>
        </w:tc>
        <w:tc>
          <w:tcPr>
            <w:tcW w:w="659" w:type="pct"/>
            <w:shd w:val="clear" w:color="auto" w:fill="auto"/>
          </w:tcPr>
          <w:p w14:paraId="404D7EB6" w14:textId="77777777" w:rsidR="00E57DAA" w:rsidRDefault="00AC4185">
            <w:pPr>
              <w:rPr>
                <w:szCs w:val="21"/>
              </w:rPr>
            </w:pPr>
            <w:r>
              <w:t> </w:t>
            </w:r>
            <w:r>
              <w:rPr>
                <w:rFonts w:hint="eastAsia"/>
              </w:rPr>
              <w:t>无</w:t>
            </w:r>
          </w:p>
        </w:tc>
      </w:tr>
    </w:tbl>
    <w:p w14:paraId="20C70A7E" w14:textId="77777777" w:rsidR="00E57DAA" w:rsidRDefault="00E57DAA" w:rsidP="00C25422">
      <w:pPr>
        <w:pStyle w:val="92"/>
      </w:pPr>
    </w:p>
    <w:p w14:paraId="0EEA3574" w14:textId="77777777" w:rsidR="00E57DAA" w:rsidRDefault="00AC4185">
      <w:pPr>
        <w:pStyle w:val="3"/>
        <w:numPr>
          <w:ilvl w:val="0"/>
          <w:numId w:val="23"/>
        </w:numPr>
      </w:pPr>
      <w:r>
        <w:rPr>
          <w:rFonts w:hint="eastAsia"/>
        </w:rPr>
        <w:t>报告期内</w:t>
      </w:r>
      <w:sdt>
        <w:sdtPr>
          <w:rPr>
            <w:rFonts w:hint="eastAsia"/>
          </w:rPr>
          <w:alias w:val="召开会议的专门委员会类别"/>
          <w:tag w:val="_GBC_adf76ecbe3584f07b573642215a867bd"/>
          <w:id w:val="246393478"/>
        </w:sdtPr>
        <w:sdtEndPr/>
        <w:sdtContent>
          <w:r>
            <w:rPr>
              <w:rFonts w:hint="eastAsia"/>
            </w:rPr>
            <w:t>战略、投资与</w:t>
          </w:r>
          <w:r>
            <w:rPr>
              <w:rFonts w:hint="eastAsia"/>
            </w:rPr>
            <w:t>ESG</w:t>
          </w:r>
        </w:sdtContent>
      </w:sdt>
      <w:r>
        <w:rPr>
          <w:rFonts w:hint="eastAsia"/>
        </w:rPr>
        <w:t>委员会召开</w:t>
      </w:r>
      <w:sdt>
        <w:sdtPr>
          <w:rPr>
            <w:rFonts w:hint="eastAsia"/>
          </w:rPr>
          <w:alias w:val="报告期内召开专门委员会会议次数"/>
          <w:tag w:val="_GBC_7bf2cd7c3a6a4685ac9c89ee396352a0"/>
          <w:id w:val="1110399052"/>
        </w:sdtPr>
        <w:sdtEndPr/>
        <w:sdtContent>
          <w:r>
            <w:rPr>
              <w:rFonts w:hint="eastAsia"/>
            </w:rPr>
            <w:t>3</w:t>
          </w:r>
        </w:sdtContent>
      </w:sdt>
      <w:r>
        <w:rPr>
          <w:rFonts w:hint="eastAsia"/>
        </w:rPr>
        <w:t>次会议</w:t>
      </w:r>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4251"/>
        <w:gridCol w:w="2127"/>
        <w:gridCol w:w="1161"/>
      </w:tblGrid>
      <w:tr w:rsidR="00E57DAA" w14:paraId="30ADD580" w14:textId="77777777">
        <w:sdt>
          <w:sdtPr>
            <w:rPr>
              <w:rFonts w:hint="eastAsia"/>
              <w:szCs w:val="21"/>
            </w:rPr>
            <w:tag w:val="_PLD_81aefc289fbf48b1865138608d8bd14f"/>
            <w:id w:val="-992176401"/>
          </w:sdtPr>
          <w:sdtEndPr/>
          <w:sdtContent>
            <w:tc>
              <w:tcPr>
                <w:tcW w:w="722" w:type="pct"/>
                <w:shd w:val="clear" w:color="auto" w:fill="auto"/>
                <w:vAlign w:val="center"/>
              </w:tcPr>
              <w:p w14:paraId="4A116706" w14:textId="77777777" w:rsidR="00E57DAA" w:rsidRDefault="00AC4185">
                <w:pPr>
                  <w:widowControl w:val="0"/>
                  <w:jc w:val="center"/>
                  <w:rPr>
                    <w:szCs w:val="21"/>
                  </w:rPr>
                </w:pPr>
                <w:r>
                  <w:rPr>
                    <w:rFonts w:hint="eastAsia"/>
                    <w:szCs w:val="21"/>
                  </w:rPr>
                  <w:t>召开日期</w:t>
                </w:r>
              </w:p>
            </w:tc>
          </w:sdtContent>
        </w:sdt>
        <w:sdt>
          <w:sdtPr>
            <w:rPr>
              <w:rFonts w:hint="eastAsia"/>
              <w:szCs w:val="21"/>
            </w:rPr>
            <w:tag w:val="_PLD_9d24b601ec70414eb969daf6b393edc8"/>
            <w:id w:val="-1638415989"/>
          </w:sdtPr>
          <w:sdtEndPr/>
          <w:sdtContent>
            <w:tc>
              <w:tcPr>
                <w:tcW w:w="2412" w:type="pct"/>
                <w:shd w:val="clear" w:color="auto" w:fill="auto"/>
                <w:vAlign w:val="center"/>
              </w:tcPr>
              <w:p w14:paraId="18AA40C0" w14:textId="77777777" w:rsidR="00E57DAA" w:rsidRDefault="00AC4185">
                <w:pPr>
                  <w:widowControl w:val="0"/>
                  <w:jc w:val="center"/>
                  <w:rPr>
                    <w:szCs w:val="21"/>
                  </w:rPr>
                </w:pPr>
                <w:r>
                  <w:rPr>
                    <w:rFonts w:hint="eastAsia"/>
                    <w:szCs w:val="21"/>
                  </w:rPr>
                  <w:t>会议内容</w:t>
                </w:r>
              </w:p>
            </w:tc>
          </w:sdtContent>
        </w:sdt>
        <w:sdt>
          <w:sdtPr>
            <w:rPr>
              <w:rFonts w:hint="eastAsia"/>
              <w:szCs w:val="21"/>
            </w:rPr>
            <w:tag w:val="_PLD_6ea19dadc3684e98a6d98faaf035a9d9"/>
            <w:id w:val="1403022441"/>
          </w:sdtPr>
          <w:sdtEndPr/>
          <w:sdtContent>
            <w:tc>
              <w:tcPr>
                <w:tcW w:w="1207" w:type="pct"/>
                <w:shd w:val="clear" w:color="auto" w:fill="auto"/>
                <w:vAlign w:val="center"/>
              </w:tcPr>
              <w:p w14:paraId="5682CAFC" w14:textId="77777777" w:rsidR="00E57DAA" w:rsidRDefault="00AC4185">
                <w:pPr>
                  <w:widowControl w:val="0"/>
                  <w:jc w:val="center"/>
                  <w:rPr>
                    <w:szCs w:val="21"/>
                  </w:rPr>
                </w:pPr>
                <w:r>
                  <w:rPr>
                    <w:rFonts w:hint="eastAsia"/>
                    <w:szCs w:val="21"/>
                  </w:rPr>
                  <w:t>重要意见和建议</w:t>
                </w:r>
              </w:p>
            </w:tc>
          </w:sdtContent>
        </w:sdt>
        <w:sdt>
          <w:sdtPr>
            <w:rPr>
              <w:rFonts w:hint="eastAsia"/>
              <w:szCs w:val="21"/>
            </w:rPr>
            <w:tag w:val="_PLD_ef03d3ffb00740008011022cb6a96805"/>
            <w:id w:val="1148787590"/>
          </w:sdtPr>
          <w:sdtEndPr/>
          <w:sdtContent>
            <w:tc>
              <w:tcPr>
                <w:tcW w:w="659" w:type="pct"/>
                <w:shd w:val="clear" w:color="auto" w:fill="auto"/>
                <w:vAlign w:val="center"/>
              </w:tcPr>
              <w:p w14:paraId="72B1F917" w14:textId="77777777" w:rsidR="00E57DAA" w:rsidRDefault="00AC4185">
                <w:pPr>
                  <w:widowControl w:val="0"/>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507637544"/>
          <w:placeholder>
            <w:docPart w:val="8974D0D21BC7453793F383A1B6458D03"/>
          </w:placeholder>
        </w:sdtPr>
        <w:sdtEndPr/>
        <w:sdtContent>
          <w:tr w:rsidR="00E57DAA" w14:paraId="3B970AAD" w14:textId="77777777">
            <w:tc>
              <w:tcPr>
                <w:tcW w:w="722" w:type="pct"/>
                <w:shd w:val="clear" w:color="auto" w:fill="auto"/>
              </w:tcPr>
              <w:p w14:paraId="17E469F1" w14:textId="77777777" w:rsidR="00E57DAA" w:rsidRDefault="00AC4185">
                <w:pPr>
                  <w:widowControl w:val="0"/>
                  <w:jc w:val="both"/>
                  <w:rPr>
                    <w:szCs w:val="21"/>
                  </w:rPr>
                </w:pPr>
                <w:r>
                  <w:rPr>
                    <w:rFonts w:hint="eastAsia"/>
                    <w:szCs w:val="21"/>
                  </w:rPr>
                  <w:t>2023-03-10</w:t>
                </w:r>
              </w:p>
            </w:tc>
            <w:tc>
              <w:tcPr>
                <w:tcW w:w="2412" w:type="pct"/>
                <w:shd w:val="clear" w:color="auto" w:fill="auto"/>
              </w:tcPr>
              <w:p w14:paraId="30C0FF3E" w14:textId="77777777" w:rsidR="00E57DAA" w:rsidRDefault="00AC4185">
                <w:pPr>
                  <w:widowControl w:val="0"/>
                  <w:jc w:val="both"/>
                  <w:rPr>
                    <w:szCs w:val="21"/>
                  </w:rPr>
                </w:pPr>
                <w:r>
                  <w:rPr>
                    <w:rFonts w:hint="eastAsia"/>
                  </w:rPr>
                  <w:t>审议通过了《关于公司委托理财额度的议案》。</w:t>
                </w:r>
              </w:p>
            </w:tc>
            <w:tc>
              <w:tcPr>
                <w:tcW w:w="1207" w:type="pct"/>
                <w:shd w:val="clear" w:color="auto" w:fill="auto"/>
              </w:tcPr>
              <w:p w14:paraId="770CCC4E" w14:textId="77777777" w:rsidR="00E57DAA" w:rsidRDefault="00AC4185">
                <w:pPr>
                  <w:widowControl w:val="0"/>
                  <w:jc w:val="both"/>
                  <w:rPr>
                    <w:szCs w:val="21"/>
                  </w:rPr>
                </w:pPr>
                <w:r>
                  <w:t> </w:t>
                </w:r>
                <w:r>
                  <w:rPr>
                    <w:rFonts w:hint="eastAsia"/>
                  </w:rPr>
                  <w:t>无</w:t>
                </w:r>
              </w:p>
            </w:tc>
            <w:tc>
              <w:tcPr>
                <w:tcW w:w="659" w:type="pct"/>
                <w:shd w:val="clear" w:color="auto" w:fill="auto"/>
              </w:tcPr>
              <w:p w14:paraId="4106C3EC" w14:textId="77777777" w:rsidR="00E57DAA" w:rsidRDefault="00AC4185">
                <w:pPr>
                  <w:widowControl w:val="0"/>
                  <w:jc w:val="both"/>
                  <w:rPr>
                    <w:szCs w:val="21"/>
                  </w:rPr>
                </w:pPr>
                <w:r>
                  <w:t> </w:t>
                </w:r>
                <w:r>
                  <w:rPr>
                    <w:rFonts w:hint="eastAsia"/>
                  </w:rPr>
                  <w:t>无</w:t>
                </w:r>
              </w:p>
            </w:tc>
          </w:tr>
        </w:sdtContent>
      </w:sdt>
      <w:sdt>
        <w:sdtPr>
          <w:rPr>
            <w:szCs w:val="21"/>
          </w:rPr>
          <w:alias w:val="董事会下设专门委员会情况明细"/>
          <w:tag w:val="_TUP_ba8ed794bebb4cad9c2e7f1db76b0a19"/>
          <w:id w:val="769284032"/>
          <w:placeholder>
            <w:docPart w:val="8974D0D21BC7453793F383A1B6458D03"/>
          </w:placeholder>
        </w:sdtPr>
        <w:sdtEndPr/>
        <w:sdtContent>
          <w:tr w:rsidR="00E57DAA" w14:paraId="7D0CCFF5" w14:textId="77777777">
            <w:tc>
              <w:tcPr>
                <w:tcW w:w="722" w:type="pct"/>
                <w:shd w:val="clear" w:color="auto" w:fill="auto"/>
              </w:tcPr>
              <w:p w14:paraId="2C8175CD" w14:textId="77777777" w:rsidR="00E57DAA" w:rsidRDefault="00AC4185">
                <w:pPr>
                  <w:widowControl w:val="0"/>
                  <w:jc w:val="both"/>
                  <w:rPr>
                    <w:szCs w:val="21"/>
                  </w:rPr>
                </w:pPr>
                <w:r>
                  <w:rPr>
                    <w:rFonts w:hint="eastAsia"/>
                    <w:szCs w:val="21"/>
                  </w:rPr>
                  <w:t>2023-04-17</w:t>
                </w:r>
              </w:p>
            </w:tc>
            <w:tc>
              <w:tcPr>
                <w:tcW w:w="2412" w:type="pct"/>
                <w:shd w:val="clear" w:color="auto" w:fill="auto"/>
              </w:tcPr>
              <w:p w14:paraId="7D9102F9" w14:textId="77777777" w:rsidR="00E57DAA" w:rsidRDefault="00AC4185">
                <w:pPr>
                  <w:widowControl w:val="0"/>
                  <w:jc w:val="both"/>
                  <w:rPr>
                    <w:szCs w:val="21"/>
                  </w:rPr>
                </w:pPr>
                <w:r>
                  <w:rPr>
                    <w:rFonts w:hint="eastAsia"/>
                  </w:rPr>
                  <w:t>审议通过了《关于调整董事会战略与投资委员会名称并修订委员会实施细则的议案》、《关于公司2023年度投资计划的议案》。</w:t>
                </w:r>
              </w:p>
            </w:tc>
            <w:tc>
              <w:tcPr>
                <w:tcW w:w="1207" w:type="pct"/>
                <w:shd w:val="clear" w:color="auto" w:fill="auto"/>
              </w:tcPr>
              <w:p w14:paraId="3F2C11EE" w14:textId="77777777" w:rsidR="00E57DAA" w:rsidRDefault="00AC4185">
                <w:pPr>
                  <w:widowControl w:val="0"/>
                  <w:jc w:val="both"/>
                  <w:rPr>
                    <w:szCs w:val="21"/>
                  </w:rPr>
                </w:pPr>
                <w:r>
                  <w:t> </w:t>
                </w:r>
                <w:r>
                  <w:rPr>
                    <w:rFonts w:hint="eastAsia"/>
                  </w:rPr>
                  <w:t>无</w:t>
                </w:r>
              </w:p>
            </w:tc>
            <w:tc>
              <w:tcPr>
                <w:tcW w:w="659" w:type="pct"/>
                <w:shd w:val="clear" w:color="auto" w:fill="auto"/>
              </w:tcPr>
              <w:p w14:paraId="18B89A86" w14:textId="77777777" w:rsidR="00E57DAA" w:rsidRDefault="00AC4185">
                <w:pPr>
                  <w:widowControl w:val="0"/>
                  <w:jc w:val="both"/>
                  <w:rPr>
                    <w:szCs w:val="21"/>
                  </w:rPr>
                </w:pPr>
                <w:r>
                  <w:t> </w:t>
                </w:r>
                <w:r>
                  <w:rPr>
                    <w:rFonts w:hint="eastAsia"/>
                  </w:rPr>
                  <w:t>无</w:t>
                </w:r>
              </w:p>
            </w:tc>
          </w:tr>
        </w:sdtContent>
      </w:sdt>
      <w:sdt>
        <w:sdtPr>
          <w:rPr>
            <w:szCs w:val="21"/>
          </w:rPr>
          <w:alias w:val="董事会下设专门委员会情况明细"/>
          <w:tag w:val="_TUP_ba8ed794bebb4cad9c2e7f1db76b0a19"/>
          <w:id w:val="-951322246"/>
          <w:placeholder>
            <w:docPart w:val="F5FD2EFEEE66431986F94BD832FDEEB0"/>
          </w:placeholder>
        </w:sdtPr>
        <w:sdtEndPr/>
        <w:sdtContent>
          <w:tr w:rsidR="00E57DAA" w14:paraId="67DD53C6" w14:textId="77777777">
            <w:tc>
              <w:tcPr>
                <w:tcW w:w="722" w:type="pct"/>
                <w:shd w:val="clear" w:color="auto" w:fill="auto"/>
              </w:tcPr>
              <w:p w14:paraId="6F92DC91" w14:textId="77777777" w:rsidR="00E57DAA" w:rsidRDefault="00AC4185">
                <w:pPr>
                  <w:widowControl w:val="0"/>
                  <w:jc w:val="both"/>
                  <w:rPr>
                    <w:szCs w:val="21"/>
                  </w:rPr>
                </w:pPr>
                <w:r>
                  <w:rPr>
                    <w:rFonts w:hint="eastAsia"/>
                    <w:szCs w:val="21"/>
                  </w:rPr>
                  <w:t>2023-08-13</w:t>
                </w:r>
              </w:p>
            </w:tc>
            <w:tc>
              <w:tcPr>
                <w:tcW w:w="2412" w:type="pct"/>
                <w:shd w:val="clear" w:color="auto" w:fill="auto"/>
              </w:tcPr>
              <w:p w14:paraId="70249C89" w14:textId="77777777" w:rsidR="00E57DAA" w:rsidRDefault="00AC4185">
                <w:pPr>
                  <w:widowControl w:val="0"/>
                  <w:jc w:val="both"/>
                  <w:rPr>
                    <w:szCs w:val="21"/>
                  </w:rPr>
                </w:pPr>
                <w:r>
                  <w:rPr>
                    <w:rFonts w:hint="eastAsia"/>
                  </w:rPr>
                  <w:t>审议通过了《关于公司符合公开发行公司债券条件的议案》、《关于公司公开发行公司债券方案的议案》、《关于提请股东大会授权公司董事会及相关人士全权办理公司公开发行公司债券及上市相关事宜的议案》。</w:t>
                </w:r>
              </w:p>
            </w:tc>
            <w:tc>
              <w:tcPr>
                <w:tcW w:w="1207" w:type="pct"/>
                <w:shd w:val="clear" w:color="auto" w:fill="auto"/>
              </w:tcPr>
              <w:p w14:paraId="47962955" w14:textId="77777777" w:rsidR="00E57DAA" w:rsidRDefault="00AC4185">
                <w:pPr>
                  <w:widowControl w:val="0"/>
                  <w:jc w:val="both"/>
                  <w:rPr>
                    <w:szCs w:val="21"/>
                  </w:rPr>
                </w:pPr>
                <w:r>
                  <w:rPr>
                    <w:rFonts w:hint="eastAsia"/>
                  </w:rPr>
                  <w:t>要求积极推进公司债券的注册发行工作。</w:t>
                </w:r>
              </w:p>
            </w:tc>
            <w:tc>
              <w:tcPr>
                <w:tcW w:w="659" w:type="pct"/>
                <w:shd w:val="clear" w:color="auto" w:fill="auto"/>
              </w:tcPr>
              <w:p w14:paraId="66BC7B91" w14:textId="77777777" w:rsidR="00E57DAA" w:rsidRDefault="00AC4185">
                <w:pPr>
                  <w:widowControl w:val="0"/>
                  <w:ind w:firstLineChars="100" w:firstLine="210"/>
                  <w:jc w:val="both"/>
                  <w:rPr>
                    <w:szCs w:val="21"/>
                  </w:rPr>
                </w:pPr>
                <w:r>
                  <w:rPr>
                    <w:rFonts w:hint="eastAsia"/>
                    <w:szCs w:val="21"/>
                  </w:rPr>
                  <w:t>无</w:t>
                </w:r>
              </w:p>
            </w:tc>
          </w:tr>
        </w:sdtContent>
      </w:sdt>
    </w:tbl>
    <w:p w14:paraId="30E3B490" w14:textId="77777777" w:rsidR="00E57DAA" w:rsidRDefault="00E57DAA" w:rsidP="00C25422">
      <w:pPr>
        <w:pStyle w:val="92"/>
      </w:pPr>
    </w:p>
    <w:p w14:paraId="2A92C5CA" w14:textId="77777777" w:rsidR="00E57DAA" w:rsidRDefault="00AC4185">
      <w:pPr>
        <w:pStyle w:val="3"/>
        <w:numPr>
          <w:ilvl w:val="0"/>
          <w:numId w:val="23"/>
        </w:numPr>
      </w:pPr>
      <w:r>
        <w:rPr>
          <w:rFonts w:hint="eastAsia"/>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591824046"/>
        <w:placeholder>
          <w:docPart w:val="GBC22222222222222222222222222222"/>
        </w:placeholder>
      </w:sdtPr>
      <w:sdtEndPr/>
      <w:sdtContent>
        <w:p w14:paraId="5BBAA92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F9188A" w14:textId="77777777" w:rsidR="00E57DAA" w:rsidRDefault="00E57DAA">
      <w:pPr>
        <w:rPr>
          <w:szCs w:val="21"/>
        </w:rPr>
      </w:pPr>
    </w:p>
    <w:p w14:paraId="492F1CE8" w14:textId="77777777" w:rsidR="00E57DAA" w:rsidRDefault="00AC4185">
      <w:pPr>
        <w:pStyle w:val="2"/>
        <w:numPr>
          <w:ilvl w:val="0"/>
          <w:numId w:val="19"/>
        </w:numPr>
      </w:pPr>
      <w:r>
        <w:t>监事会发现公司存在风险的说明</w:t>
      </w:r>
    </w:p>
    <w:sdt>
      <w:sdtPr>
        <w:alias w:val="是否适用：监事会发现公司存在风险的说明[双击切换]"/>
        <w:tag w:val="_GBC_987bc6e795084351a58e9d0bca47f246"/>
        <w:id w:val="1580711388"/>
        <w:placeholder>
          <w:docPart w:val="GBC22222222222222222222222222222"/>
        </w:placeholder>
      </w:sdtPr>
      <w:sdtEndPr/>
      <w:sdtContent>
        <w:p w14:paraId="2F74C1A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36078D" w14:textId="77777777" w:rsidR="00E57DAA" w:rsidRDefault="00AC4185">
      <w:pPr>
        <w:rPr>
          <w:szCs w:val="21"/>
        </w:rPr>
      </w:pPr>
      <w:r>
        <w:rPr>
          <w:rFonts w:hint="eastAsia"/>
        </w:rPr>
        <w:t>监事会对报告期内的监督事项</w:t>
      </w:r>
      <w:sdt>
        <w:sdtPr>
          <w:rPr>
            <w:rFonts w:hint="eastAsia"/>
          </w:rPr>
          <w:tag w:val="_PLD_66086d7fdf9245bb81102da5ce6dd63d"/>
          <w:id w:val="-167865898"/>
          <w:placeholder>
            <w:docPart w:val="5EEF6B85C4934A4C85171F7F16F63C49"/>
          </w:placeholder>
        </w:sdtPr>
        <w:sdtEndPr/>
        <w:sdtContent>
          <w:r>
            <w:rPr>
              <w:rFonts w:hint="eastAsia"/>
            </w:rPr>
            <w:t>无异议</w:t>
          </w:r>
        </w:sdtContent>
      </w:sdt>
      <w:r>
        <w:rPr>
          <w:rFonts w:hint="eastAsia"/>
        </w:rPr>
        <w:t>。</w:t>
      </w:r>
    </w:p>
    <w:p w14:paraId="0CCC6492" w14:textId="77777777" w:rsidR="00E57DAA" w:rsidRDefault="00E57DAA" w:rsidP="00C25422">
      <w:pPr>
        <w:pStyle w:val="92"/>
      </w:pPr>
    </w:p>
    <w:p w14:paraId="183AFF4C" w14:textId="77777777" w:rsidR="00E57DAA" w:rsidRDefault="00AC4185">
      <w:pPr>
        <w:pStyle w:val="2"/>
        <w:numPr>
          <w:ilvl w:val="0"/>
          <w:numId w:val="19"/>
        </w:numPr>
      </w:pPr>
      <w:r>
        <w:rPr>
          <w:rFonts w:hint="eastAsia"/>
        </w:rPr>
        <w:t>报告期末</w:t>
      </w:r>
      <w:r>
        <w:t>母公司和主要子公司的员工情况</w:t>
      </w:r>
    </w:p>
    <w:p w14:paraId="2A60BA50" w14:textId="77777777" w:rsidR="007907EC" w:rsidRDefault="007907EC" w:rsidP="007907EC">
      <w:pPr>
        <w:pStyle w:val="3"/>
        <w:numPr>
          <w:ilvl w:val="0"/>
          <w:numId w:val="24"/>
        </w:numPr>
        <w:shd w:val="clear" w:color="auto" w:fill="auto"/>
        <w:spacing w:before="60" w:after="60" w:line="240" w:lineRule="auto"/>
        <w:rPr>
          <w:szCs w:val="21"/>
        </w:rPr>
      </w:pPr>
      <w:bookmarkStart w:id="86" w:name="_Hlk89184114"/>
      <w:r>
        <w:rPr>
          <w:szCs w:val="21"/>
        </w:rPr>
        <w:t>员工情况</w:t>
      </w:r>
    </w:p>
    <w:tbl>
      <w:tblPr>
        <w:tblStyle w:val="aff6"/>
        <w:tblW w:w="5000" w:type="pct"/>
        <w:tblLook w:val="04A0" w:firstRow="1" w:lastRow="0" w:firstColumn="1" w:lastColumn="0" w:noHBand="0" w:noVBand="1"/>
      </w:tblPr>
      <w:tblGrid>
        <w:gridCol w:w="5664"/>
        <w:gridCol w:w="3159"/>
      </w:tblGrid>
      <w:tr w:rsidR="007907EC" w14:paraId="2D78FEA4" w14:textId="77777777" w:rsidTr="007907EC">
        <w:trPr>
          <w:trHeight w:val="120"/>
        </w:trPr>
        <w:sdt>
          <w:sdtPr>
            <w:tag w:val="_PLD_cff5d8823807446facbb16ac3f50949e"/>
            <w:id w:val="-1991239034"/>
          </w:sdtPr>
          <w:sdtEndPr/>
          <w:sdtContent>
            <w:tc>
              <w:tcPr>
                <w:tcW w:w="3210" w:type="pct"/>
              </w:tcPr>
              <w:p w14:paraId="5BD84F46" w14:textId="77777777" w:rsidR="007907EC" w:rsidRDefault="007907EC">
                <w:pPr>
                  <w:rPr>
                    <w:szCs w:val="21"/>
                  </w:rPr>
                </w:pPr>
                <w:r>
                  <w:rPr>
                    <w:szCs w:val="21"/>
                  </w:rPr>
                  <w:t>母公司在职员工的数量</w:t>
                </w:r>
              </w:p>
            </w:tc>
          </w:sdtContent>
        </w:sdt>
        <w:sdt>
          <w:sdtPr>
            <w:rPr>
              <w:szCs w:val="21"/>
            </w:rPr>
            <w:alias w:val="母公司在职员工的数量"/>
            <w:tag w:val="_GBC_abd1eca65c1c4a43937ae4fdd8599b5b"/>
            <w:id w:val="-575291143"/>
          </w:sdtPr>
          <w:sdtEndPr/>
          <w:sdtContent>
            <w:tc>
              <w:tcPr>
                <w:tcW w:w="1790" w:type="pct"/>
                <w:vAlign w:val="center"/>
              </w:tcPr>
              <w:p w14:paraId="146623D2" w14:textId="77777777" w:rsidR="007907EC" w:rsidRDefault="007907EC">
                <w:pPr>
                  <w:jc w:val="right"/>
                  <w:rPr>
                    <w:szCs w:val="21"/>
                  </w:rPr>
                </w:pPr>
                <w:r>
                  <w:rPr>
                    <w:szCs w:val="21"/>
                  </w:rPr>
                  <w:t>942</w:t>
                </w:r>
              </w:p>
            </w:tc>
          </w:sdtContent>
        </w:sdt>
      </w:tr>
      <w:tr w:rsidR="007907EC" w14:paraId="0D2354DC" w14:textId="77777777" w:rsidTr="007907EC">
        <w:trPr>
          <w:trHeight w:val="195"/>
        </w:trPr>
        <w:sdt>
          <w:sdtPr>
            <w:tag w:val="_PLD_baf79165dc7c42d6a1bbbf8f4d550ac0"/>
            <w:id w:val="-2129067492"/>
          </w:sdtPr>
          <w:sdtEndPr/>
          <w:sdtContent>
            <w:tc>
              <w:tcPr>
                <w:tcW w:w="3210" w:type="pct"/>
              </w:tcPr>
              <w:p w14:paraId="15CD9AC5" w14:textId="77777777" w:rsidR="007907EC" w:rsidRDefault="007907EC">
                <w:pPr>
                  <w:rPr>
                    <w:szCs w:val="21"/>
                  </w:rPr>
                </w:pPr>
                <w:r>
                  <w:rPr>
                    <w:szCs w:val="21"/>
                  </w:rPr>
                  <w:t>主要子公司在职员工的数量</w:t>
                </w:r>
              </w:p>
            </w:tc>
          </w:sdtContent>
        </w:sdt>
        <w:tc>
          <w:tcPr>
            <w:tcW w:w="1790" w:type="pct"/>
            <w:vAlign w:val="center"/>
          </w:tcPr>
          <w:p w14:paraId="0BB72C18" w14:textId="77777777" w:rsidR="007907EC" w:rsidRDefault="007907EC">
            <w:pPr>
              <w:jc w:val="right"/>
              <w:rPr>
                <w:szCs w:val="21"/>
              </w:rPr>
            </w:pPr>
            <w:r>
              <w:rPr>
                <w:rFonts w:hint="eastAsia"/>
                <w:szCs w:val="21"/>
              </w:rPr>
              <w:t>14,252</w:t>
            </w:r>
          </w:p>
        </w:tc>
      </w:tr>
      <w:tr w:rsidR="007907EC" w14:paraId="2EDBA6D8" w14:textId="77777777" w:rsidTr="007907EC">
        <w:trPr>
          <w:trHeight w:val="116"/>
        </w:trPr>
        <w:sdt>
          <w:sdtPr>
            <w:tag w:val="_PLD_0c801028e0c34a608ece543a5b7f6c06"/>
            <w:id w:val="1710607782"/>
          </w:sdtPr>
          <w:sdtEndPr/>
          <w:sdtContent>
            <w:tc>
              <w:tcPr>
                <w:tcW w:w="3210" w:type="pct"/>
              </w:tcPr>
              <w:p w14:paraId="1F7B41FB" w14:textId="77777777" w:rsidR="007907EC" w:rsidRDefault="007907EC">
                <w:pPr>
                  <w:rPr>
                    <w:szCs w:val="21"/>
                  </w:rPr>
                </w:pPr>
                <w:r>
                  <w:rPr>
                    <w:szCs w:val="21"/>
                  </w:rPr>
                  <w:t>在职员工的数量合计</w:t>
                </w:r>
              </w:p>
            </w:tc>
          </w:sdtContent>
        </w:sdt>
        <w:tc>
          <w:tcPr>
            <w:tcW w:w="1790" w:type="pct"/>
            <w:vAlign w:val="center"/>
          </w:tcPr>
          <w:p w14:paraId="569F0DA7" w14:textId="77777777" w:rsidR="007907EC" w:rsidRDefault="007907EC">
            <w:pPr>
              <w:jc w:val="right"/>
              <w:rPr>
                <w:szCs w:val="21"/>
              </w:rPr>
            </w:pPr>
            <w:r>
              <w:rPr>
                <w:rFonts w:hint="eastAsia"/>
                <w:szCs w:val="21"/>
              </w:rPr>
              <w:t>15,194</w:t>
            </w:r>
          </w:p>
        </w:tc>
      </w:tr>
      <w:tr w:rsidR="007907EC" w14:paraId="399A8F3B" w14:textId="77777777" w:rsidTr="007907EC">
        <w:trPr>
          <w:trHeight w:val="180"/>
        </w:trPr>
        <w:sdt>
          <w:sdtPr>
            <w:tag w:val="_PLD_96091286c8814973a5e516d058b61b70"/>
            <w:id w:val="-1260438084"/>
          </w:sdtPr>
          <w:sdtEndPr/>
          <w:sdtContent>
            <w:tc>
              <w:tcPr>
                <w:tcW w:w="3210" w:type="pct"/>
              </w:tcPr>
              <w:p w14:paraId="3B9C8AE1" w14:textId="77777777" w:rsidR="007907EC" w:rsidRDefault="007907EC">
                <w:pPr>
                  <w:rPr>
                    <w:szCs w:val="21"/>
                  </w:rPr>
                </w:pPr>
                <w:r>
                  <w:rPr>
                    <w:szCs w:val="21"/>
                  </w:rPr>
                  <w:t>母公司及主要子公司需承担费用的离退休职工人数</w:t>
                </w:r>
              </w:p>
            </w:tc>
          </w:sdtContent>
        </w:sdt>
        <w:tc>
          <w:tcPr>
            <w:tcW w:w="1790" w:type="pct"/>
          </w:tcPr>
          <w:p w14:paraId="7F88AE7B" w14:textId="77777777" w:rsidR="007907EC" w:rsidRDefault="007907EC">
            <w:pPr>
              <w:jc w:val="right"/>
              <w:rPr>
                <w:szCs w:val="21"/>
              </w:rPr>
            </w:pPr>
            <w:r>
              <w:rPr>
                <w:rFonts w:hint="eastAsia"/>
                <w:szCs w:val="21"/>
              </w:rPr>
              <w:t>0</w:t>
            </w:r>
          </w:p>
        </w:tc>
      </w:tr>
      <w:tr w:rsidR="007907EC" w14:paraId="32E0CF72" w14:textId="77777777" w:rsidTr="001E2B27">
        <w:trPr>
          <w:trHeight w:val="101"/>
        </w:trPr>
        <w:sdt>
          <w:sdtPr>
            <w:tag w:val="_PLD_f37d0297c6bb44dea272632ad4d910e4"/>
            <w:id w:val="1873188719"/>
          </w:sdtPr>
          <w:sdtEndPr/>
          <w:sdtContent>
            <w:tc>
              <w:tcPr>
                <w:tcW w:w="5000" w:type="pct"/>
                <w:gridSpan w:val="2"/>
                <w:vAlign w:val="center"/>
              </w:tcPr>
              <w:p w14:paraId="7975AFA9" w14:textId="77777777" w:rsidR="007907EC" w:rsidRDefault="007907EC">
                <w:pPr>
                  <w:jc w:val="center"/>
                  <w:rPr>
                    <w:szCs w:val="21"/>
                  </w:rPr>
                </w:pPr>
                <w:r>
                  <w:rPr>
                    <w:szCs w:val="21"/>
                  </w:rPr>
                  <w:t>专业构成</w:t>
                </w:r>
              </w:p>
            </w:tc>
          </w:sdtContent>
        </w:sdt>
      </w:tr>
      <w:tr w:rsidR="007907EC" w14:paraId="264449DE" w14:textId="77777777" w:rsidTr="007907EC">
        <w:trPr>
          <w:trHeight w:val="150"/>
        </w:trPr>
        <w:sdt>
          <w:sdtPr>
            <w:tag w:val="_PLD_90bef974c0c14508b11a7e84e6f364c5"/>
            <w:id w:val="-878319633"/>
          </w:sdtPr>
          <w:sdtEndPr/>
          <w:sdtContent>
            <w:tc>
              <w:tcPr>
                <w:tcW w:w="3210" w:type="pct"/>
              </w:tcPr>
              <w:p w14:paraId="7583155D" w14:textId="77777777" w:rsidR="007907EC" w:rsidRDefault="007907EC">
                <w:pPr>
                  <w:jc w:val="center"/>
                  <w:rPr>
                    <w:szCs w:val="21"/>
                  </w:rPr>
                </w:pPr>
                <w:r>
                  <w:rPr>
                    <w:szCs w:val="21"/>
                  </w:rPr>
                  <w:t>专业构成类别</w:t>
                </w:r>
              </w:p>
            </w:tc>
          </w:sdtContent>
        </w:sdt>
        <w:sdt>
          <w:sdtPr>
            <w:tag w:val="_PLD_a5f175a6b2a94ee7a70936fbe5cbc8da"/>
            <w:id w:val="726109199"/>
          </w:sdtPr>
          <w:sdtEndPr/>
          <w:sdtContent>
            <w:tc>
              <w:tcPr>
                <w:tcW w:w="1790" w:type="pct"/>
              </w:tcPr>
              <w:p w14:paraId="40D77F88" w14:textId="77777777" w:rsidR="007907EC" w:rsidRDefault="007907EC">
                <w:pPr>
                  <w:jc w:val="center"/>
                  <w:rPr>
                    <w:szCs w:val="21"/>
                  </w:rPr>
                </w:pPr>
                <w:r>
                  <w:rPr>
                    <w:szCs w:val="21"/>
                  </w:rPr>
                  <w:t>专业构成人数</w:t>
                </w:r>
              </w:p>
            </w:tc>
          </w:sdtContent>
        </w:sdt>
      </w:tr>
      <w:tr w:rsidR="007907EC" w14:paraId="1FFC13AE" w14:textId="77777777" w:rsidTr="007907EC">
        <w:trPr>
          <w:trHeight w:val="150"/>
        </w:trPr>
        <w:sdt>
          <w:sdtPr>
            <w:tag w:val="_PLD_1211e61ed13f4419aa3a033e242010e1"/>
            <w:id w:val="1883591831"/>
          </w:sdtPr>
          <w:sdtEndPr/>
          <w:sdtContent>
            <w:tc>
              <w:tcPr>
                <w:tcW w:w="3210" w:type="pct"/>
              </w:tcPr>
              <w:p w14:paraId="24D28BBD" w14:textId="77777777" w:rsidR="007907EC" w:rsidRDefault="007907EC">
                <w:pPr>
                  <w:jc w:val="center"/>
                  <w:rPr>
                    <w:szCs w:val="21"/>
                  </w:rPr>
                </w:pPr>
                <w:r>
                  <w:rPr>
                    <w:szCs w:val="21"/>
                  </w:rPr>
                  <w:t>生产人员</w:t>
                </w:r>
              </w:p>
            </w:tc>
          </w:sdtContent>
        </w:sdt>
        <w:tc>
          <w:tcPr>
            <w:tcW w:w="1790" w:type="pct"/>
            <w:vAlign w:val="center"/>
          </w:tcPr>
          <w:p w14:paraId="3C478D14" w14:textId="77777777" w:rsidR="007907EC" w:rsidRDefault="007907EC">
            <w:pPr>
              <w:jc w:val="right"/>
              <w:rPr>
                <w:szCs w:val="21"/>
              </w:rPr>
            </w:pPr>
            <w:r>
              <w:rPr>
                <w:rFonts w:hint="eastAsia"/>
                <w:szCs w:val="21"/>
              </w:rPr>
              <w:t>3,135</w:t>
            </w:r>
          </w:p>
        </w:tc>
      </w:tr>
      <w:tr w:rsidR="007907EC" w14:paraId="59C24262" w14:textId="77777777" w:rsidTr="007907EC">
        <w:trPr>
          <w:trHeight w:val="150"/>
        </w:trPr>
        <w:sdt>
          <w:sdtPr>
            <w:tag w:val="_PLD_c5901b0003b4463e975376710b547c94"/>
            <w:id w:val="-1895733497"/>
          </w:sdtPr>
          <w:sdtEndPr/>
          <w:sdtContent>
            <w:tc>
              <w:tcPr>
                <w:tcW w:w="3210" w:type="pct"/>
              </w:tcPr>
              <w:p w14:paraId="248BC4C4" w14:textId="77777777" w:rsidR="007907EC" w:rsidRDefault="007907EC">
                <w:pPr>
                  <w:jc w:val="center"/>
                  <w:rPr>
                    <w:szCs w:val="21"/>
                  </w:rPr>
                </w:pPr>
                <w:r>
                  <w:rPr>
                    <w:szCs w:val="21"/>
                  </w:rPr>
                  <w:t>销售人员</w:t>
                </w:r>
              </w:p>
            </w:tc>
          </w:sdtContent>
        </w:sdt>
        <w:tc>
          <w:tcPr>
            <w:tcW w:w="1790" w:type="pct"/>
            <w:vAlign w:val="center"/>
          </w:tcPr>
          <w:p w14:paraId="210862C7" w14:textId="77777777" w:rsidR="007907EC" w:rsidRDefault="007907EC">
            <w:pPr>
              <w:jc w:val="right"/>
              <w:rPr>
                <w:szCs w:val="21"/>
              </w:rPr>
            </w:pPr>
            <w:r>
              <w:rPr>
                <w:rFonts w:hint="eastAsia"/>
                <w:szCs w:val="21"/>
              </w:rPr>
              <w:t>839</w:t>
            </w:r>
          </w:p>
        </w:tc>
      </w:tr>
      <w:tr w:rsidR="007907EC" w14:paraId="1EE18021" w14:textId="77777777" w:rsidTr="007907EC">
        <w:trPr>
          <w:trHeight w:val="101"/>
        </w:trPr>
        <w:tc>
          <w:tcPr>
            <w:tcW w:w="3210" w:type="pct"/>
          </w:tcPr>
          <w:p w14:paraId="0C799E7E" w14:textId="77777777" w:rsidR="007907EC" w:rsidRDefault="00EB41A1">
            <w:pPr>
              <w:jc w:val="center"/>
              <w:rPr>
                <w:szCs w:val="21"/>
              </w:rPr>
            </w:pPr>
            <w:sdt>
              <w:sdtPr>
                <w:tag w:val="_PLD_1372bdc81c204039a05faeb9d394c7b5"/>
                <w:id w:val="1014505936"/>
              </w:sdtPr>
              <w:sdtEndPr/>
              <w:sdtContent>
                <w:r w:rsidR="007907EC">
                  <w:rPr>
                    <w:szCs w:val="21"/>
                  </w:rPr>
                  <w:t>技术人员</w:t>
                </w:r>
              </w:sdtContent>
            </w:sdt>
          </w:p>
        </w:tc>
        <w:tc>
          <w:tcPr>
            <w:tcW w:w="1790" w:type="pct"/>
            <w:vAlign w:val="center"/>
          </w:tcPr>
          <w:p w14:paraId="30C2090A" w14:textId="77777777" w:rsidR="007907EC" w:rsidRDefault="007907EC">
            <w:pPr>
              <w:jc w:val="right"/>
              <w:rPr>
                <w:szCs w:val="21"/>
              </w:rPr>
            </w:pPr>
            <w:r>
              <w:rPr>
                <w:rFonts w:hint="eastAsia"/>
                <w:szCs w:val="21"/>
              </w:rPr>
              <w:t>3,676</w:t>
            </w:r>
          </w:p>
        </w:tc>
      </w:tr>
      <w:tr w:rsidR="007907EC" w14:paraId="4663F9D8" w14:textId="77777777" w:rsidTr="007907EC">
        <w:trPr>
          <w:trHeight w:val="116"/>
        </w:trPr>
        <w:sdt>
          <w:sdtPr>
            <w:tag w:val="_PLD_73ca450ca9d44f779a00982e68093c1a"/>
            <w:id w:val="1178389795"/>
          </w:sdtPr>
          <w:sdtEndPr/>
          <w:sdtContent>
            <w:tc>
              <w:tcPr>
                <w:tcW w:w="3210" w:type="pct"/>
              </w:tcPr>
              <w:p w14:paraId="4BFD2E01" w14:textId="77777777" w:rsidR="007907EC" w:rsidRDefault="007907EC">
                <w:pPr>
                  <w:jc w:val="center"/>
                  <w:rPr>
                    <w:szCs w:val="21"/>
                  </w:rPr>
                </w:pPr>
                <w:r>
                  <w:rPr>
                    <w:szCs w:val="21"/>
                  </w:rPr>
                  <w:t>财务人员</w:t>
                </w:r>
              </w:p>
            </w:tc>
          </w:sdtContent>
        </w:sdt>
        <w:tc>
          <w:tcPr>
            <w:tcW w:w="1790" w:type="pct"/>
            <w:vAlign w:val="center"/>
          </w:tcPr>
          <w:p w14:paraId="4ADAC929" w14:textId="77777777" w:rsidR="007907EC" w:rsidRDefault="007907EC">
            <w:pPr>
              <w:jc w:val="right"/>
              <w:rPr>
                <w:szCs w:val="21"/>
              </w:rPr>
            </w:pPr>
            <w:r>
              <w:rPr>
                <w:rFonts w:hint="eastAsia"/>
                <w:szCs w:val="21"/>
              </w:rPr>
              <w:t>805</w:t>
            </w:r>
          </w:p>
        </w:tc>
      </w:tr>
      <w:tr w:rsidR="007907EC" w14:paraId="09A6D383" w14:textId="77777777" w:rsidTr="007907EC">
        <w:trPr>
          <w:trHeight w:val="165"/>
        </w:trPr>
        <w:sdt>
          <w:sdtPr>
            <w:tag w:val="_PLD_170f6f06c6094bbea195f7ab0feae660"/>
            <w:id w:val="-55474115"/>
          </w:sdtPr>
          <w:sdtEndPr/>
          <w:sdtContent>
            <w:tc>
              <w:tcPr>
                <w:tcW w:w="3210" w:type="pct"/>
              </w:tcPr>
              <w:p w14:paraId="0474A60B" w14:textId="77777777" w:rsidR="007907EC" w:rsidRDefault="007907EC">
                <w:pPr>
                  <w:jc w:val="center"/>
                  <w:rPr>
                    <w:szCs w:val="21"/>
                  </w:rPr>
                </w:pPr>
                <w:r>
                  <w:rPr>
                    <w:szCs w:val="21"/>
                  </w:rPr>
                  <w:t>行政人员</w:t>
                </w:r>
              </w:p>
            </w:tc>
          </w:sdtContent>
        </w:sdt>
        <w:tc>
          <w:tcPr>
            <w:tcW w:w="1790" w:type="pct"/>
            <w:vAlign w:val="center"/>
          </w:tcPr>
          <w:p w14:paraId="0A12ADEB" w14:textId="77777777" w:rsidR="007907EC" w:rsidRDefault="007907EC">
            <w:pPr>
              <w:jc w:val="right"/>
              <w:rPr>
                <w:szCs w:val="21"/>
              </w:rPr>
            </w:pPr>
            <w:r>
              <w:rPr>
                <w:rFonts w:hint="eastAsia"/>
                <w:szCs w:val="21"/>
              </w:rPr>
              <w:t>1,924</w:t>
            </w:r>
          </w:p>
        </w:tc>
      </w:tr>
      <w:sdt>
        <w:sdtPr>
          <w:rPr>
            <w:szCs w:val="21"/>
          </w:rPr>
          <w:alias w:val="专业构成情况"/>
          <w:tag w:val="_TUP_5a14d24555134cfe9c335defce45951c"/>
          <w:id w:val="-2085522462"/>
          <w:placeholder>
            <w:docPart w:val="40381982B2C84A098D73276F6715C6FE"/>
          </w:placeholder>
        </w:sdtPr>
        <w:sdtEndPr/>
        <w:sdtContent>
          <w:tr w:rsidR="007907EC" w14:paraId="18991138" w14:textId="77777777" w:rsidTr="007907EC">
            <w:trPr>
              <w:trHeight w:val="131"/>
            </w:trPr>
            <w:tc>
              <w:tcPr>
                <w:tcW w:w="3210" w:type="pct"/>
              </w:tcPr>
              <w:p w14:paraId="600CF279" w14:textId="77777777" w:rsidR="007907EC" w:rsidRDefault="007907EC">
                <w:pPr>
                  <w:jc w:val="center"/>
                  <w:rPr>
                    <w:szCs w:val="21"/>
                  </w:rPr>
                </w:pPr>
                <w:r>
                  <w:rPr>
                    <w:rFonts w:hint="eastAsia"/>
                    <w:szCs w:val="21"/>
                  </w:rPr>
                  <w:t>工程人员</w:t>
                </w:r>
              </w:p>
            </w:tc>
            <w:tc>
              <w:tcPr>
                <w:tcW w:w="1790" w:type="pct"/>
                <w:vAlign w:val="center"/>
              </w:tcPr>
              <w:p w14:paraId="6BBEFA66" w14:textId="77777777" w:rsidR="007907EC" w:rsidRDefault="007907EC">
                <w:pPr>
                  <w:jc w:val="right"/>
                  <w:rPr>
                    <w:szCs w:val="21"/>
                  </w:rPr>
                </w:pPr>
                <w:r>
                  <w:rPr>
                    <w:rFonts w:hint="eastAsia"/>
                    <w:szCs w:val="21"/>
                  </w:rPr>
                  <w:t>4,815</w:t>
                </w:r>
              </w:p>
            </w:tc>
          </w:tr>
        </w:sdtContent>
      </w:sdt>
      <w:sdt>
        <w:sdtPr>
          <w:rPr>
            <w:szCs w:val="21"/>
          </w:rPr>
          <w:alias w:val="专业构成情况"/>
          <w:tag w:val="_TUP_5a14d24555134cfe9c335defce45951c"/>
          <w:id w:val="671768087"/>
          <w:placeholder>
            <w:docPart w:val="40381982B2C84A098D73276F6715C6FE"/>
          </w:placeholder>
        </w:sdtPr>
        <w:sdtEndPr/>
        <w:sdtContent>
          <w:tr w:rsidR="007907EC" w14:paraId="3230C29C" w14:textId="77777777" w:rsidTr="007907EC">
            <w:trPr>
              <w:trHeight w:val="131"/>
            </w:trPr>
            <w:tc>
              <w:tcPr>
                <w:tcW w:w="3210" w:type="pct"/>
              </w:tcPr>
              <w:p w14:paraId="4336560E" w14:textId="77777777" w:rsidR="007907EC" w:rsidRDefault="007907EC">
                <w:pPr>
                  <w:jc w:val="center"/>
                  <w:rPr>
                    <w:szCs w:val="21"/>
                  </w:rPr>
                </w:pPr>
              </w:p>
            </w:tc>
            <w:tc>
              <w:tcPr>
                <w:tcW w:w="1790" w:type="pct"/>
              </w:tcPr>
              <w:p w14:paraId="16902038" w14:textId="77777777" w:rsidR="007907EC" w:rsidRDefault="007907EC">
                <w:pPr>
                  <w:jc w:val="right"/>
                  <w:rPr>
                    <w:szCs w:val="21"/>
                  </w:rPr>
                </w:pPr>
              </w:p>
            </w:tc>
          </w:tr>
        </w:sdtContent>
      </w:sdt>
      <w:tr w:rsidR="007907EC" w14:paraId="15BFFFE7" w14:textId="77777777" w:rsidTr="007907EC">
        <w:trPr>
          <w:trHeight w:val="146"/>
        </w:trPr>
        <w:sdt>
          <w:sdtPr>
            <w:tag w:val="_PLD_444fab2edd394a27a2ae4e60e00a7b1c"/>
            <w:id w:val="-1818958149"/>
          </w:sdtPr>
          <w:sdtEndPr/>
          <w:sdtContent>
            <w:tc>
              <w:tcPr>
                <w:tcW w:w="3210" w:type="pct"/>
                <w:vAlign w:val="center"/>
              </w:tcPr>
              <w:p w14:paraId="13A6B257" w14:textId="77777777" w:rsidR="007907EC" w:rsidRDefault="007907EC">
                <w:pPr>
                  <w:jc w:val="center"/>
                  <w:rPr>
                    <w:szCs w:val="21"/>
                  </w:rPr>
                </w:pPr>
                <w:r>
                  <w:rPr>
                    <w:szCs w:val="21"/>
                  </w:rPr>
                  <w:t>合计</w:t>
                </w:r>
              </w:p>
            </w:tc>
          </w:sdtContent>
        </w:sdt>
        <w:tc>
          <w:tcPr>
            <w:tcW w:w="1790" w:type="pct"/>
            <w:vAlign w:val="center"/>
          </w:tcPr>
          <w:p w14:paraId="7D147B02" w14:textId="77777777" w:rsidR="007907EC" w:rsidRDefault="007907EC">
            <w:pPr>
              <w:jc w:val="right"/>
              <w:rPr>
                <w:szCs w:val="21"/>
              </w:rPr>
            </w:pPr>
            <w:r>
              <w:rPr>
                <w:rFonts w:hint="eastAsia"/>
              </w:rPr>
              <w:t>15,194</w:t>
            </w:r>
          </w:p>
        </w:tc>
      </w:tr>
      <w:tr w:rsidR="007907EC" w14:paraId="17B5FCF3" w14:textId="77777777" w:rsidTr="001E2B27">
        <w:trPr>
          <w:trHeight w:val="101"/>
        </w:trPr>
        <w:sdt>
          <w:sdtPr>
            <w:tag w:val="_PLD_ea58f2d9c900463a8694fdc78940295e"/>
            <w:id w:val="-1697298709"/>
          </w:sdtPr>
          <w:sdtEndPr/>
          <w:sdtContent>
            <w:tc>
              <w:tcPr>
                <w:tcW w:w="5000" w:type="pct"/>
                <w:gridSpan w:val="2"/>
                <w:vAlign w:val="center"/>
              </w:tcPr>
              <w:p w14:paraId="01C90448" w14:textId="77777777" w:rsidR="007907EC" w:rsidRDefault="007907EC">
                <w:pPr>
                  <w:jc w:val="center"/>
                  <w:rPr>
                    <w:szCs w:val="21"/>
                  </w:rPr>
                </w:pPr>
                <w:r>
                  <w:rPr>
                    <w:szCs w:val="21"/>
                  </w:rPr>
                  <w:t>教育程度</w:t>
                </w:r>
              </w:p>
            </w:tc>
          </w:sdtContent>
        </w:sdt>
      </w:tr>
      <w:tr w:rsidR="007907EC" w14:paraId="277D4AAE" w14:textId="77777777" w:rsidTr="007907EC">
        <w:trPr>
          <w:trHeight w:val="116"/>
        </w:trPr>
        <w:sdt>
          <w:sdtPr>
            <w:tag w:val="_PLD_92fefeded22c454881177d08c5c97d97"/>
            <w:id w:val="132446269"/>
          </w:sdtPr>
          <w:sdtEndPr/>
          <w:sdtContent>
            <w:tc>
              <w:tcPr>
                <w:tcW w:w="3210" w:type="pct"/>
              </w:tcPr>
              <w:p w14:paraId="3BB5B200" w14:textId="77777777" w:rsidR="007907EC" w:rsidRDefault="007907EC">
                <w:pPr>
                  <w:jc w:val="center"/>
                  <w:rPr>
                    <w:szCs w:val="21"/>
                  </w:rPr>
                </w:pPr>
                <w:r>
                  <w:rPr>
                    <w:szCs w:val="21"/>
                  </w:rPr>
                  <w:t>教育程度类别</w:t>
                </w:r>
              </w:p>
            </w:tc>
          </w:sdtContent>
        </w:sdt>
        <w:sdt>
          <w:sdtPr>
            <w:tag w:val="_PLD_2a8ff2c52daa4348bedf7a0e6951a5c6"/>
            <w:id w:val="-1329586731"/>
          </w:sdtPr>
          <w:sdtEndPr/>
          <w:sdtContent>
            <w:tc>
              <w:tcPr>
                <w:tcW w:w="1790" w:type="pct"/>
              </w:tcPr>
              <w:p w14:paraId="447A6B90" w14:textId="77777777" w:rsidR="007907EC" w:rsidRDefault="007907EC">
                <w:pPr>
                  <w:jc w:val="center"/>
                  <w:rPr>
                    <w:szCs w:val="21"/>
                  </w:rPr>
                </w:pPr>
                <w:r>
                  <w:rPr>
                    <w:szCs w:val="21"/>
                  </w:rPr>
                  <w:t>数量（人）</w:t>
                </w:r>
              </w:p>
            </w:tc>
          </w:sdtContent>
        </w:sdt>
      </w:tr>
      <w:sdt>
        <w:sdtPr>
          <w:rPr>
            <w:szCs w:val="21"/>
          </w:rPr>
          <w:alias w:val="教育程度情况"/>
          <w:tag w:val="_TUP_d33fb3128ec34d1f9cad1b906c578434"/>
          <w:id w:val="-804157205"/>
          <w:placeholder>
            <w:docPart w:val="40381982B2C84A098D73276F6715C6FE"/>
          </w:placeholder>
        </w:sdtPr>
        <w:sdtEndPr/>
        <w:sdtContent>
          <w:tr w:rsidR="007907EC" w14:paraId="7E34DEAB" w14:textId="77777777" w:rsidTr="007907EC">
            <w:trPr>
              <w:trHeight w:val="131"/>
            </w:trPr>
            <w:tc>
              <w:tcPr>
                <w:tcW w:w="3210" w:type="pct"/>
              </w:tcPr>
              <w:p w14:paraId="0CA6C71C" w14:textId="77777777" w:rsidR="007907EC" w:rsidRDefault="007907EC">
                <w:pPr>
                  <w:jc w:val="center"/>
                  <w:rPr>
                    <w:szCs w:val="21"/>
                  </w:rPr>
                </w:pPr>
                <w:r>
                  <w:rPr>
                    <w:rFonts w:hint="eastAsia"/>
                    <w:szCs w:val="21"/>
                  </w:rPr>
                  <w:t>研究生及以上</w:t>
                </w:r>
              </w:p>
            </w:tc>
            <w:tc>
              <w:tcPr>
                <w:tcW w:w="1790" w:type="pct"/>
              </w:tcPr>
              <w:p w14:paraId="7531451A" w14:textId="77777777" w:rsidR="007907EC" w:rsidRDefault="007907EC">
                <w:pPr>
                  <w:jc w:val="right"/>
                  <w:rPr>
                    <w:szCs w:val="21"/>
                  </w:rPr>
                </w:pPr>
                <w:r>
                  <w:rPr>
                    <w:rFonts w:hint="eastAsia"/>
                    <w:szCs w:val="21"/>
                  </w:rPr>
                  <w:t>1,621</w:t>
                </w:r>
              </w:p>
            </w:tc>
          </w:tr>
        </w:sdtContent>
      </w:sdt>
      <w:sdt>
        <w:sdtPr>
          <w:rPr>
            <w:szCs w:val="21"/>
          </w:rPr>
          <w:alias w:val="教育程度情况"/>
          <w:tag w:val="_TUP_d33fb3128ec34d1f9cad1b906c578434"/>
          <w:id w:val="819616789"/>
          <w:placeholder>
            <w:docPart w:val="40381982B2C84A098D73276F6715C6FE"/>
          </w:placeholder>
        </w:sdtPr>
        <w:sdtEndPr/>
        <w:sdtContent>
          <w:tr w:rsidR="007907EC" w14:paraId="0F9EC5B9" w14:textId="77777777" w:rsidTr="007907EC">
            <w:trPr>
              <w:trHeight w:val="131"/>
            </w:trPr>
            <w:tc>
              <w:tcPr>
                <w:tcW w:w="3210" w:type="pct"/>
              </w:tcPr>
              <w:p w14:paraId="4D4F396F" w14:textId="77777777" w:rsidR="007907EC" w:rsidRDefault="007907EC">
                <w:pPr>
                  <w:jc w:val="center"/>
                  <w:rPr>
                    <w:szCs w:val="21"/>
                  </w:rPr>
                </w:pPr>
                <w:r>
                  <w:rPr>
                    <w:rFonts w:hint="eastAsia"/>
                    <w:szCs w:val="21"/>
                  </w:rPr>
                  <w:t>本科</w:t>
                </w:r>
              </w:p>
            </w:tc>
            <w:tc>
              <w:tcPr>
                <w:tcW w:w="1790" w:type="pct"/>
              </w:tcPr>
              <w:p w14:paraId="735B4624" w14:textId="77777777" w:rsidR="007907EC" w:rsidRDefault="007907EC">
                <w:pPr>
                  <w:jc w:val="right"/>
                  <w:rPr>
                    <w:szCs w:val="21"/>
                  </w:rPr>
                </w:pPr>
                <w:r>
                  <w:rPr>
                    <w:rFonts w:hint="eastAsia"/>
                    <w:szCs w:val="21"/>
                  </w:rPr>
                  <w:t>6,953</w:t>
                </w:r>
              </w:p>
            </w:tc>
          </w:tr>
        </w:sdtContent>
      </w:sdt>
      <w:sdt>
        <w:sdtPr>
          <w:rPr>
            <w:szCs w:val="21"/>
          </w:rPr>
          <w:alias w:val="教育程度情况"/>
          <w:tag w:val="_TUP_d33fb3128ec34d1f9cad1b906c578434"/>
          <w:id w:val="-985165441"/>
          <w:placeholder>
            <w:docPart w:val="40381982B2C84A098D73276F6715C6FE"/>
          </w:placeholder>
        </w:sdtPr>
        <w:sdtEndPr/>
        <w:sdtContent>
          <w:tr w:rsidR="007907EC" w14:paraId="4547BB16" w14:textId="77777777" w:rsidTr="007907EC">
            <w:trPr>
              <w:trHeight w:val="131"/>
            </w:trPr>
            <w:tc>
              <w:tcPr>
                <w:tcW w:w="3210" w:type="pct"/>
              </w:tcPr>
              <w:p w14:paraId="5913FA62" w14:textId="77777777" w:rsidR="007907EC" w:rsidRDefault="007907EC">
                <w:pPr>
                  <w:jc w:val="center"/>
                  <w:rPr>
                    <w:szCs w:val="21"/>
                  </w:rPr>
                </w:pPr>
                <w:r>
                  <w:rPr>
                    <w:rFonts w:hint="eastAsia"/>
                    <w:szCs w:val="21"/>
                  </w:rPr>
                  <w:t>大专</w:t>
                </w:r>
              </w:p>
            </w:tc>
            <w:tc>
              <w:tcPr>
                <w:tcW w:w="1790" w:type="pct"/>
              </w:tcPr>
              <w:p w14:paraId="6E7979EF" w14:textId="77777777" w:rsidR="007907EC" w:rsidRDefault="007907EC">
                <w:pPr>
                  <w:jc w:val="right"/>
                  <w:rPr>
                    <w:szCs w:val="21"/>
                  </w:rPr>
                </w:pPr>
                <w:r>
                  <w:rPr>
                    <w:rFonts w:hint="eastAsia"/>
                    <w:szCs w:val="21"/>
                  </w:rPr>
                  <w:t>2,772</w:t>
                </w:r>
              </w:p>
            </w:tc>
          </w:tr>
        </w:sdtContent>
      </w:sdt>
      <w:sdt>
        <w:sdtPr>
          <w:rPr>
            <w:szCs w:val="21"/>
          </w:rPr>
          <w:alias w:val="教育程度情况"/>
          <w:tag w:val="_TUP_d33fb3128ec34d1f9cad1b906c578434"/>
          <w:id w:val="-802152811"/>
          <w:placeholder>
            <w:docPart w:val="40381982B2C84A098D73276F6715C6FE"/>
          </w:placeholder>
        </w:sdtPr>
        <w:sdtEndPr/>
        <w:sdtContent>
          <w:tr w:rsidR="007907EC" w14:paraId="5BCF3E06" w14:textId="77777777" w:rsidTr="007907EC">
            <w:trPr>
              <w:trHeight w:val="131"/>
            </w:trPr>
            <w:tc>
              <w:tcPr>
                <w:tcW w:w="3210" w:type="pct"/>
              </w:tcPr>
              <w:p w14:paraId="6BE11F2B" w14:textId="77777777" w:rsidR="007907EC" w:rsidRDefault="007907EC">
                <w:pPr>
                  <w:jc w:val="center"/>
                  <w:rPr>
                    <w:szCs w:val="21"/>
                  </w:rPr>
                </w:pPr>
                <w:r>
                  <w:rPr>
                    <w:rFonts w:hint="eastAsia"/>
                    <w:szCs w:val="21"/>
                  </w:rPr>
                  <w:t>中专及以下</w:t>
                </w:r>
              </w:p>
            </w:tc>
            <w:tc>
              <w:tcPr>
                <w:tcW w:w="1790" w:type="pct"/>
              </w:tcPr>
              <w:p w14:paraId="3675AF34" w14:textId="77777777" w:rsidR="007907EC" w:rsidRDefault="007907EC">
                <w:pPr>
                  <w:jc w:val="right"/>
                  <w:rPr>
                    <w:szCs w:val="21"/>
                  </w:rPr>
                </w:pPr>
                <w:r>
                  <w:rPr>
                    <w:rFonts w:hint="eastAsia"/>
                    <w:szCs w:val="21"/>
                  </w:rPr>
                  <w:t>3,848</w:t>
                </w:r>
              </w:p>
            </w:tc>
          </w:tr>
        </w:sdtContent>
      </w:sdt>
      <w:tr w:rsidR="007907EC" w14:paraId="4CEEBB49" w14:textId="77777777" w:rsidTr="007907EC">
        <w:trPr>
          <w:trHeight w:val="165"/>
        </w:trPr>
        <w:sdt>
          <w:sdtPr>
            <w:tag w:val="_PLD_a4cb3dc76cbd4d74a5016891eb342b45"/>
            <w:id w:val="3257396"/>
          </w:sdtPr>
          <w:sdtEndPr/>
          <w:sdtContent>
            <w:tc>
              <w:tcPr>
                <w:tcW w:w="3210" w:type="pct"/>
                <w:tcBorders>
                  <w:bottom w:val="single" w:sz="4" w:space="0" w:color="auto"/>
                </w:tcBorders>
                <w:vAlign w:val="center"/>
              </w:tcPr>
              <w:p w14:paraId="388B47BE" w14:textId="77777777" w:rsidR="007907EC" w:rsidRDefault="007907EC">
                <w:pPr>
                  <w:jc w:val="center"/>
                  <w:rPr>
                    <w:szCs w:val="21"/>
                  </w:rPr>
                </w:pPr>
                <w:r>
                  <w:rPr>
                    <w:szCs w:val="21"/>
                  </w:rPr>
                  <w:t>合计</w:t>
                </w:r>
              </w:p>
            </w:tc>
          </w:sdtContent>
        </w:sdt>
        <w:tc>
          <w:tcPr>
            <w:tcW w:w="1790" w:type="pct"/>
            <w:tcBorders>
              <w:bottom w:val="single" w:sz="4" w:space="0" w:color="auto"/>
            </w:tcBorders>
          </w:tcPr>
          <w:p w14:paraId="524C1C83" w14:textId="77777777" w:rsidR="007907EC" w:rsidRDefault="007907EC">
            <w:pPr>
              <w:jc w:val="right"/>
              <w:rPr>
                <w:szCs w:val="21"/>
              </w:rPr>
            </w:pPr>
            <w:r>
              <w:rPr>
                <w:rFonts w:hint="eastAsia"/>
                <w:szCs w:val="21"/>
              </w:rPr>
              <w:t>15,194</w:t>
            </w:r>
          </w:p>
        </w:tc>
      </w:tr>
    </w:tbl>
    <w:p w14:paraId="7D93B65C" w14:textId="77777777" w:rsidR="007907EC" w:rsidRDefault="007907EC">
      <w:pPr>
        <w:rPr>
          <w:szCs w:val="21"/>
        </w:rPr>
      </w:pPr>
    </w:p>
    <w:p w14:paraId="26C7D545" w14:textId="77777777" w:rsidR="00E57DAA" w:rsidRDefault="00AC4185">
      <w:pPr>
        <w:pStyle w:val="3"/>
        <w:numPr>
          <w:ilvl w:val="0"/>
          <w:numId w:val="24"/>
        </w:numPr>
      </w:pPr>
      <w:r>
        <w:t>薪酬政策</w:t>
      </w:r>
    </w:p>
    <w:bookmarkEnd w:id="86" w:displacedByCustomXml="next"/>
    <w:sdt>
      <w:sdtPr>
        <w:rPr>
          <w:rFonts w:hint="eastAsia"/>
          <w:szCs w:val="21"/>
        </w:rPr>
        <w:alias w:val="是否适用：薪酬政策[双击切换]"/>
        <w:tag w:val="_GBC_13404877597d44c38f554884f31b3123"/>
        <w:id w:val="114341108"/>
        <w:placeholder>
          <w:docPart w:val="GBC22222222222222222222222222222"/>
        </w:placeholder>
      </w:sdtPr>
      <w:sdtEndPr/>
      <w:sdtContent>
        <w:p w14:paraId="5B4D76A1"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180232789"/>
        <w:placeholder>
          <w:docPart w:val="GBC22222222222222222222222222222"/>
        </w:placeholder>
      </w:sdtPr>
      <w:sdtEndPr/>
      <w:sdtContent>
        <w:p w14:paraId="45CCF207" w14:textId="77777777" w:rsidR="00E57DAA" w:rsidRDefault="00AC4185">
          <w:pPr>
            <w:ind w:firstLineChars="200" w:firstLine="420"/>
            <w:jc w:val="both"/>
            <w:rPr>
              <w:szCs w:val="21"/>
            </w:rPr>
          </w:pPr>
          <w:r>
            <w:t>公司建立了工资总额管理机制，实行与市场经济相适应的工资分配制度，有效发挥市场在资源配置中的决定性作用，逐步实现了职工工资水平与劳动力市场价位相适应的目标。工资总额管理遵循效益效率优先原则，职工工资水平与企业经济效益直接挂钩，切实实现职工工资能增能减，不断优化人工成本投入产出效率，充分调动职工创效的主动性和积极性，持续增强企业活力。</w:t>
          </w:r>
        </w:p>
      </w:sdtContent>
    </w:sdt>
    <w:p w14:paraId="626DD3D4" w14:textId="77777777" w:rsidR="00E57DAA" w:rsidRDefault="00E57DAA">
      <w:pPr>
        <w:rPr>
          <w:szCs w:val="21"/>
        </w:rPr>
      </w:pPr>
    </w:p>
    <w:p w14:paraId="2A644B53" w14:textId="77777777" w:rsidR="00E57DAA" w:rsidRDefault="00AC4185">
      <w:pPr>
        <w:pStyle w:val="3"/>
        <w:numPr>
          <w:ilvl w:val="0"/>
          <w:numId w:val="24"/>
        </w:numPr>
      </w:pPr>
      <w:r>
        <w:t>培训计划</w:t>
      </w:r>
    </w:p>
    <w:sdt>
      <w:sdtPr>
        <w:rPr>
          <w:rFonts w:hint="eastAsia"/>
          <w:szCs w:val="21"/>
        </w:rPr>
        <w:alias w:val="是否适用：培训计划[双击切换]"/>
        <w:tag w:val="_GBC_123cfa2c006d4970ae10b316c2c1f95a"/>
        <w:id w:val="-393201681"/>
        <w:placeholder>
          <w:docPart w:val="GBC22222222222222222222222222222"/>
        </w:placeholder>
      </w:sdtPr>
      <w:sdtEndPr/>
      <w:sdtContent>
        <w:p w14:paraId="64AA8ACA"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283780399"/>
        <w:placeholder>
          <w:docPart w:val="GBC22222222222222222222222222222"/>
        </w:placeholder>
      </w:sdtPr>
      <w:sdtEndPr/>
      <w:sdtContent>
        <w:p w14:paraId="7D9B46D7" w14:textId="77777777" w:rsidR="00E57DAA" w:rsidRDefault="00AC4185">
          <w:pPr>
            <w:ind w:firstLineChars="200" w:firstLine="420"/>
            <w:jc w:val="both"/>
            <w:rPr>
              <w:szCs w:val="21"/>
            </w:rPr>
          </w:pPr>
          <w:r>
            <w:t>2023年，公司统筹做好全级次培训工作，做好人才盘点并有针对性地组织督导并推动各类培训实施，全级次主办或参加培训项目2,722个，实际培训达到54,190人次，累计参加培训总时长26.7万小时，累计参加培训人数12,560人。其中，公司特色开展两期中材国际中青年干部政治素养暨管理能力提升培训班和两期中材国际"走进华为"数字化研修班，皆取得丰硕学习成果和较高的反响评价。相关干部政治素质、管理能力及数字化理念、熵减工作意识均得到全面提升，有效加强了公司人才队伍建设</w:t>
          </w:r>
          <w:r>
            <w:rPr>
              <w:rFonts w:hint="eastAsia"/>
            </w:rPr>
            <w:t>，</w:t>
          </w:r>
          <w:r>
            <w:t>推进“人才强企”战略落实。</w:t>
          </w:r>
        </w:p>
      </w:sdtContent>
    </w:sdt>
    <w:p w14:paraId="48F98FAE" w14:textId="77777777" w:rsidR="00E57DAA" w:rsidRDefault="00E57DAA">
      <w:pPr>
        <w:rPr>
          <w:szCs w:val="21"/>
        </w:rPr>
      </w:pPr>
    </w:p>
    <w:p w14:paraId="2909DD81" w14:textId="77777777" w:rsidR="006649C0" w:rsidRDefault="006649C0" w:rsidP="006649C0">
      <w:pPr>
        <w:pStyle w:val="3"/>
        <w:numPr>
          <w:ilvl w:val="0"/>
          <w:numId w:val="24"/>
        </w:numPr>
        <w:shd w:val="clear" w:color="auto" w:fill="auto"/>
        <w:spacing w:before="60" w:after="60" w:line="240" w:lineRule="auto"/>
        <w:rPr>
          <w:szCs w:val="21"/>
        </w:rPr>
      </w:pPr>
      <w:r>
        <w:rPr>
          <w:szCs w:val="21"/>
        </w:rPr>
        <w:t>劳务外包情况</w:t>
      </w:r>
    </w:p>
    <w:sdt>
      <w:sdtPr>
        <w:alias w:val="是否适用：劳务外包情况[双击切换]"/>
        <w:tag w:val="_GBC_0682caf48f0d4ff9b0e5259fc3a31660"/>
        <w:id w:val="1271747802"/>
      </w:sdtPr>
      <w:sdtEndPr/>
      <w:sdtContent>
        <w:p w14:paraId="7A8368CA" w14:textId="77777777" w:rsidR="006649C0" w:rsidRDefault="006649C0">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tbl>
      <w:tblPr>
        <w:tblStyle w:val="aff6"/>
        <w:tblW w:w="5000" w:type="pct"/>
        <w:tblLook w:val="04A0" w:firstRow="1" w:lastRow="0" w:firstColumn="1" w:lastColumn="0" w:noHBand="0" w:noVBand="1"/>
      </w:tblPr>
      <w:tblGrid>
        <w:gridCol w:w="4411"/>
        <w:gridCol w:w="4412"/>
      </w:tblGrid>
      <w:tr w:rsidR="006649C0" w14:paraId="794FB9A2" w14:textId="77777777" w:rsidTr="001E2B27">
        <w:trPr>
          <w:trHeight w:val="210"/>
        </w:trPr>
        <w:sdt>
          <w:sdtPr>
            <w:tag w:val="_PLD_bcaa703df95b42078e2761f6dbe85d0f"/>
            <w:id w:val="1595126308"/>
          </w:sdtPr>
          <w:sdtEndPr/>
          <w:sdtContent>
            <w:tc>
              <w:tcPr>
                <w:tcW w:w="2500" w:type="pct"/>
              </w:tcPr>
              <w:p w14:paraId="1E57FFCD" w14:textId="77777777" w:rsidR="006649C0" w:rsidRDefault="006649C0">
                <w:pPr>
                  <w:rPr>
                    <w:szCs w:val="21"/>
                  </w:rPr>
                </w:pPr>
                <w:r>
                  <w:rPr>
                    <w:szCs w:val="21"/>
                  </w:rPr>
                  <w:t>劳务外包的工时总数</w:t>
                </w:r>
              </w:p>
            </w:tc>
          </w:sdtContent>
        </w:sdt>
        <w:sdt>
          <w:sdtPr>
            <w:rPr>
              <w:rFonts w:hint="eastAsia"/>
              <w:szCs w:val="21"/>
            </w:rPr>
            <w:alias w:val="劳务外包的工时总数"/>
            <w:tag w:val="_GBC_cb4cbb4ce5064090843735a01bf46add"/>
            <w:id w:val="-446389342"/>
          </w:sdtPr>
          <w:sdtEndPr/>
          <w:sdtContent>
            <w:tc>
              <w:tcPr>
                <w:tcW w:w="2500" w:type="pct"/>
                <w:vAlign w:val="center"/>
              </w:tcPr>
              <w:p w14:paraId="30FD1D09" w14:textId="77777777" w:rsidR="006649C0" w:rsidRDefault="006649C0">
                <w:pPr>
                  <w:jc w:val="right"/>
                  <w:rPr>
                    <w:szCs w:val="21"/>
                  </w:rPr>
                </w:pPr>
                <w:r>
                  <w:rPr>
                    <w:rFonts w:hint="eastAsia"/>
                    <w:szCs w:val="21"/>
                  </w:rPr>
                  <w:t>8,868,746</w:t>
                </w:r>
              </w:p>
            </w:tc>
          </w:sdtContent>
        </w:sdt>
      </w:tr>
      <w:tr w:rsidR="006649C0" w14:paraId="6DF25154" w14:textId="77777777" w:rsidTr="001E2B27">
        <w:trPr>
          <w:trHeight w:val="105"/>
        </w:trPr>
        <w:sdt>
          <w:sdtPr>
            <w:tag w:val="_PLD_3a0fe6cf1e45463ba238f942513b8033"/>
            <w:id w:val="1766497204"/>
          </w:sdtPr>
          <w:sdtEndPr/>
          <w:sdtContent>
            <w:tc>
              <w:tcPr>
                <w:tcW w:w="2500" w:type="pct"/>
              </w:tcPr>
              <w:p w14:paraId="0291741E" w14:textId="77777777" w:rsidR="006649C0" w:rsidRDefault="006649C0">
                <w:pPr>
                  <w:rPr>
                    <w:szCs w:val="21"/>
                  </w:rPr>
                </w:pPr>
                <w:r>
                  <w:rPr>
                    <w:szCs w:val="21"/>
                  </w:rPr>
                  <w:t>劳务外包支付的报酬总额</w:t>
                </w:r>
                <w:r>
                  <w:rPr>
                    <w:rFonts w:hint="eastAsia"/>
                    <w:szCs w:val="21"/>
                  </w:rPr>
                  <w:t>（元）</w:t>
                </w:r>
              </w:p>
            </w:tc>
          </w:sdtContent>
        </w:sdt>
        <w:tc>
          <w:tcPr>
            <w:tcW w:w="2500" w:type="pct"/>
            <w:vAlign w:val="center"/>
          </w:tcPr>
          <w:p w14:paraId="2120448B" w14:textId="77777777" w:rsidR="006649C0" w:rsidRDefault="006649C0">
            <w:pPr>
              <w:jc w:val="right"/>
              <w:rPr>
                <w:szCs w:val="21"/>
              </w:rPr>
            </w:pPr>
            <w:r>
              <w:rPr>
                <w:rFonts w:hint="eastAsia"/>
                <w:szCs w:val="21"/>
              </w:rPr>
              <w:t>305,805,611</w:t>
            </w:r>
          </w:p>
        </w:tc>
      </w:tr>
    </w:tbl>
    <w:p w14:paraId="0426E347" w14:textId="77777777" w:rsidR="00E57DAA" w:rsidRDefault="00E57DAA">
      <w:pPr>
        <w:rPr>
          <w:szCs w:val="21"/>
        </w:rPr>
      </w:pPr>
    </w:p>
    <w:p w14:paraId="62E9D3A9" w14:textId="77777777" w:rsidR="00E57DAA" w:rsidRDefault="00AC4185">
      <w:pPr>
        <w:pStyle w:val="2"/>
        <w:numPr>
          <w:ilvl w:val="0"/>
          <w:numId w:val="19"/>
        </w:numPr>
      </w:pPr>
      <w:r>
        <w:t>利润分配或资本公积金转增预案</w:t>
      </w:r>
    </w:p>
    <w:p w14:paraId="3F69F56D" w14:textId="77777777" w:rsidR="00E57DAA" w:rsidRDefault="00AC4185">
      <w:pPr>
        <w:pStyle w:val="3"/>
        <w:numPr>
          <w:ilvl w:val="0"/>
          <w:numId w:val="25"/>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877597970"/>
        <w:placeholder>
          <w:docPart w:val="GBC22222222222222222222222222222"/>
        </w:placeholder>
      </w:sdtPr>
      <w:sdtEndPr/>
      <w:sdtContent>
        <w:p w14:paraId="5EF93A2D"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807701610"/>
        <w:placeholder>
          <w:docPart w:val="GBC22222222222222222222222222222"/>
        </w:placeholder>
      </w:sdtPr>
      <w:sdtEndPr>
        <w:rPr>
          <w:rFonts w:asciiTheme="minorEastAsia" w:eastAsiaTheme="minorEastAsia" w:hAnsiTheme="minorEastAsia"/>
        </w:rPr>
      </w:sdtEndPr>
      <w:sdtContent>
        <w:p w14:paraId="1A39B98D" w14:textId="77777777" w:rsidR="00E57DAA" w:rsidRDefault="00AC4185">
          <w:pPr>
            <w:ind w:firstLineChars="200" w:firstLine="420"/>
          </w:pPr>
          <w:r>
            <w:t>1、现金分红政策的制定</w:t>
          </w:r>
        </w:p>
        <w:p w14:paraId="33900A99" w14:textId="77777777" w:rsidR="00E57DAA" w:rsidRDefault="00AC4185">
          <w:pPr>
            <w:ind w:firstLineChars="200" w:firstLine="420"/>
          </w:pPr>
          <w:r>
            <w:rPr>
              <w:rFonts w:hint="eastAsia"/>
            </w:rPr>
            <w:t>公司已在《公司章程》中制定了现金分红政策，对利润分配的形式、期限间隔、现金分红的条件和比例、股票股利、剩余未分配利润的用途、利润分配方案的决策程序和机制、利润分配政策的调整等情况做了明确要求，现有分红政策充分保护了中小投资者的合法权益。报告期内该政策无调整。</w:t>
          </w:r>
        </w:p>
        <w:p w14:paraId="37F36826" w14:textId="77777777" w:rsidR="00E57DAA" w:rsidRDefault="00AC4185">
          <w:pPr>
            <w:ind w:firstLineChars="200" w:firstLine="420"/>
          </w:pPr>
          <w:r>
            <w:rPr>
              <w:rFonts w:hint="eastAsia"/>
            </w:rPr>
            <w:t>为完善和健全上市公司科学、持续、稳定的分红决策和监督机制，积极回报投资者，引导投资者树立长期投资和理性投资理念，根据《公司法》《关于进一步落实上市公司现金分红有关事项的通知》（证监发〔</w:t>
          </w:r>
          <w:r>
            <w:t>2012〕37 号）和《上市公司监管指引第 3 号—上市公司现金分红》（证监会公告〔2022〕3 号）等相关法律法规和规范性文件及《公司章程》的规定，董事会制定了《公司未来三年股东回报规划（2021年-2023年）》</w:t>
          </w:r>
          <w:r>
            <w:rPr>
              <w:rFonts w:hint="eastAsia"/>
            </w:rPr>
            <w:t>并严格执行</w:t>
          </w:r>
          <w:r>
            <w:t>。</w:t>
          </w:r>
          <w:r>
            <w:rPr>
              <w:rFonts w:hint="eastAsia"/>
            </w:rPr>
            <w:t>报告期，公司</w:t>
          </w:r>
          <w:r>
            <w:t>制定了《公司未来三年股东回报规划（202</w:t>
          </w:r>
          <w:r>
            <w:rPr>
              <w:rFonts w:hint="eastAsia"/>
            </w:rPr>
            <w:t>4</w:t>
          </w:r>
          <w:r>
            <w:t>年-202</w:t>
          </w:r>
          <w:r>
            <w:rPr>
              <w:rFonts w:hint="eastAsia"/>
            </w:rPr>
            <w:t>6</w:t>
          </w:r>
          <w:r>
            <w:t>年）》</w:t>
          </w:r>
          <w:r>
            <w:rPr>
              <w:rFonts w:hint="eastAsia"/>
            </w:rPr>
            <w:t>，进一步提升现金分红比例回报投资者。</w:t>
          </w:r>
        </w:p>
        <w:p w14:paraId="0FEF481C" w14:textId="77777777" w:rsidR="00E57DAA" w:rsidRDefault="00AC4185">
          <w:pPr>
            <w:ind w:firstLineChars="200" w:firstLine="420"/>
          </w:pPr>
          <w:r>
            <w:t xml:space="preserve">2、现金分红政策的执行情况 </w:t>
          </w:r>
        </w:p>
        <w:p w14:paraId="69AE0687" w14:textId="77777777" w:rsidR="00E57DAA" w:rsidRPr="00610096" w:rsidRDefault="00AC4185">
          <w:pPr>
            <w:ind w:firstLineChars="200" w:firstLine="420"/>
            <w:jc w:val="both"/>
            <w:rPr>
              <w:rFonts w:asciiTheme="minorEastAsia" w:eastAsiaTheme="minorEastAsia" w:hAnsiTheme="minorEastAsia"/>
            </w:rPr>
          </w:pPr>
          <w:r w:rsidRPr="00610096">
            <w:rPr>
              <w:rFonts w:asciiTheme="minorEastAsia" w:eastAsiaTheme="minorEastAsia" w:hAnsiTheme="minorEastAsia" w:hint="eastAsia"/>
            </w:rPr>
            <w:t>报告期，公司根据</w:t>
          </w:r>
          <w:r w:rsidRPr="00610096">
            <w:rPr>
              <w:rFonts w:asciiTheme="minorEastAsia" w:eastAsiaTheme="minorEastAsia" w:hAnsiTheme="minorEastAsia"/>
            </w:rPr>
            <w:t xml:space="preserve"> 202</w:t>
          </w:r>
          <w:r w:rsidRPr="00610096">
            <w:rPr>
              <w:rFonts w:asciiTheme="minorEastAsia" w:eastAsiaTheme="minorEastAsia" w:hAnsiTheme="minorEastAsia" w:hint="eastAsia"/>
            </w:rPr>
            <w:t>3</w:t>
          </w:r>
          <w:r w:rsidRPr="00610096">
            <w:rPr>
              <w:rFonts w:asciiTheme="minorEastAsia" w:eastAsiaTheme="minorEastAsia" w:hAnsiTheme="minorEastAsia"/>
            </w:rPr>
            <w:t>年4月1</w:t>
          </w:r>
          <w:r w:rsidRPr="00610096">
            <w:rPr>
              <w:rFonts w:asciiTheme="minorEastAsia" w:eastAsiaTheme="minorEastAsia" w:hAnsiTheme="minorEastAsia" w:hint="eastAsia"/>
            </w:rPr>
            <w:t>1</w:t>
          </w:r>
          <w:r w:rsidRPr="00610096">
            <w:rPr>
              <w:rFonts w:asciiTheme="minorEastAsia" w:eastAsiaTheme="minorEastAsia" w:hAnsiTheme="minorEastAsia"/>
            </w:rPr>
            <w:t>日召开的202</w:t>
          </w:r>
          <w:r w:rsidRPr="00610096">
            <w:rPr>
              <w:rFonts w:asciiTheme="minorEastAsia" w:eastAsiaTheme="minorEastAsia" w:hAnsiTheme="minorEastAsia" w:hint="eastAsia"/>
            </w:rPr>
            <w:t>2</w:t>
          </w:r>
          <w:r w:rsidRPr="00610096">
            <w:rPr>
              <w:rFonts w:asciiTheme="minorEastAsia" w:eastAsiaTheme="minorEastAsia" w:hAnsiTheme="minorEastAsia"/>
            </w:rPr>
            <w:t>年年度股东大会会议决议，</w:t>
          </w:r>
          <w:r w:rsidRPr="00610096">
            <w:rPr>
              <w:rFonts w:asciiTheme="minorEastAsia" w:eastAsiaTheme="minorEastAsia" w:hAnsiTheme="minorEastAsia" w:hint="eastAsia"/>
            </w:rPr>
            <w:t>确定了</w:t>
          </w:r>
          <w:r w:rsidRPr="00610096">
            <w:rPr>
              <w:rFonts w:asciiTheme="minorEastAsia" w:eastAsiaTheme="minorEastAsia" w:hAnsiTheme="minorEastAsia"/>
            </w:rPr>
            <w:t>202</w:t>
          </w:r>
          <w:r w:rsidRPr="00610096">
            <w:rPr>
              <w:rFonts w:asciiTheme="minorEastAsia" w:eastAsiaTheme="minorEastAsia" w:hAnsiTheme="minorEastAsia" w:hint="eastAsia"/>
            </w:rPr>
            <w:t>2</w:t>
          </w:r>
          <w:r w:rsidRPr="00610096">
            <w:rPr>
              <w:rFonts w:asciiTheme="minorEastAsia" w:eastAsiaTheme="minorEastAsia" w:hAnsiTheme="minorEastAsia"/>
            </w:rPr>
            <w:t>年年度利润分配方案：以实施利润分配方案时股权登记日的总股本</w:t>
          </w:r>
          <w:r w:rsidRPr="00610096">
            <w:rPr>
              <w:rFonts w:asciiTheme="minorEastAsia" w:eastAsiaTheme="minorEastAsia" w:hAnsiTheme="minorEastAsia" w:hint="eastAsia"/>
            </w:rPr>
            <w:t xml:space="preserve"> </w:t>
          </w:r>
          <w:r w:rsidRPr="00610096">
            <w:rPr>
              <w:rFonts w:asciiTheme="minorEastAsia" w:eastAsiaTheme="minorEastAsia" w:hAnsiTheme="minorEastAsia"/>
              <w:szCs w:val="21"/>
            </w:rPr>
            <w:t>2,642,317,423</w:t>
          </w:r>
          <w:r w:rsidRPr="00610096">
            <w:rPr>
              <w:rFonts w:asciiTheme="minorEastAsia" w:eastAsiaTheme="minorEastAsia" w:hAnsiTheme="minorEastAsia"/>
            </w:rPr>
            <w:t xml:space="preserve"> 为基数，向全体股东每 10 股派发现金股利</w:t>
          </w:r>
          <w:r w:rsidRPr="00610096">
            <w:rPr>
              <w:rFonts w:asciiTheme="minorEastAsia" w:eastAsiaTheme="minorEastAsia" w:hAnsiTheme="minorEastAsia" w:hint="eastAsia"/>
            </w:rPr>
            <w:t>3.00</w:t>
          </w:r>
          <w:r w:rsidRPr="00610096">
            <w:rPr>
              <w:rFonts w:asciiTheme="minorEastAsia" w:eastAsiaTheme="minorEastAsia" w:hAnsiTheme="minorEastAsia"/>
            </w:rPr>
            <w:t>元（含税），共计派发现金红利</w:t>
          </w:r>
          <w:r w:rsidRPr="00610096">
            <w:rPr>
              <w:rFonts w:asciiTheme="minorEastAsia" w:eastAsiaTheme="minorEastAsia" w:hAnsiTheme="minorEastAsia" w:hint="eastAsia"/>
            </w:rPr>
            <w:t xml:space="preserve"> </w:t>
          </w:r>
          <w:r w:rsidRPr="00610096">
            <w:rPr>
              <w:rFonts w:asciiTheme="minorEastAsia" w:eastAsiaTheme="minorEastAsia" w:hAnsiTheme="minorEastAsia"/>
              <w:szCs w:val="21"/>
            </w:rPr>
            <w:t>792,695,226.90</w:t>
          </w:r>
          <w:r w:rsidRPr="00610096">
            <w:rPr>
              <w:rFonts w:asciiTheme="minorEastAsia" w:eastAsiaTheme="minorEastAsia" w:hAnsiTheme="minorEastAsia"/>
            </w:rPr>
            <w:t xml:space="preserve"> 元。该次利润分配</w:t>
          </w:r>
          <w:r w:rsidRPr="00610096">
            <w:rPr>
              <w:rFonts w:asciiTheme="minorEastAsia" w:eastAsiaTheme="minorEastAsia" w:hAnsiTheme="minorEastAsia" w:hint="eastAsia"/>
            </w:rPr>
            <w:t>方案</w:t>
          </w:r>
          <w:r w:rsidRPr="00610096">
            <w:rPr>
              <w:rFonts w:asciiTheme="minorEastAsia" w:eastAsiaTheme="minorEastAsia" w:hAnsiTheme="minorEastAsia"/>
            </w:rPr>
            <w:t>于202</w:t>
          </w:r>
          <w:r w:rsidRPr="00610096">
            <w:rPr>
              <w:rFonts w:asciiTheme="minorEastAsia" w:eastAsiaTheme="minorEastAsia" w:hAnsiTheme="minorEastAsia" w:hint="eastAsia"/>
            </w:rPr>
            <w:t>3</w:t>
          </w:r>
          <w:r w:rsidRPr="00610096">
            <w:rPr>
              <w:rFonts w:asciiTheme="minorEastAsia" w:eastAsiaTheme="minorEastAsia" w:hAnsiTheme="minorEastAsia"/>
            </w:rPr>
            <w:t>年6月</w:t>
          </w:r>
          <w:r w:rsidRPr="00610096">
            <w:rPr>
              <w:rFonts w:asciiTheme="minorEastAsia" w:eastAsiaTheme="minorEastAsia" w:hAnsiTheme="minorEastAsia" w:hint="eastAsia"/>
            </w:rPr>
            <w:t>5</w:t>
          </w:r>
          <w:r w:rsidRPr="00610096">
            <w:rPr>
              <w:rFonts w:asciiTheme="minorEastAsia" w:eastAsiaTheme="minorEastAsia" w:hAnsiTheme="minorEastAsia"/>
            </w:rPr>
            <w:t>日实施完毕。</w:t>
          </w:r>
        </w:p>
      </w:sdtContent>
    </w:sdt>
    <w:p w14:paraId="543D5743" w14:textId="77777777" w:rsidR="00E57DAA" w:rsidRDefault="00AC4185">
      <w:pPr>
        <w:ind w:firstLineChars="200" w:firstLine="420"/>
        <w:jc w:val="both"/>
      </w:pPr>
      <w:r>
        <w:t xml:space="preserve"> </w:t>
      </w:r>
    </w:p>
    <w:p w14:paraId="50498699" w14:textId="77777777" w:rsidR="00A87AFB" w:rsidRDefault="00A87AFB" w:rsidP="00A87AFB">
      <w:pPr>
        <w:pStyle w:val="3"/>
        <w:numPr>
          <w:ilvl w:val="0"/>
          <w:numId w:val="25"/>
        </w:numPr>
        <w:shd w:val="clear" w:color="auto" w:fill="auto"/>
        <w:spacing w:before="60" w:after="60" w:line="240" w:lineRule="auto"/>
        <w:ind w:left="450" w:hanging="450"/>
      </w:pPr>
      <w:r>
        <w:t>现金分红政策的专项说明</w:t>
      </w:r>
    </w:p>
    <w:sdt>
      <w:sdtPr>
        <w:alias w:val="是否适用：现金分红政策的专项说明 [双击切换]"/>
        <w:tag w:val="_GBC_715d8b6c04924cf19dcd2347ae32471f"/>
        <w:id w:val="-1495949245"/>
      </w:sdtPr>
      <w:sdtEndPr/>
      <w:sdtContent>
        <w:p w14:paraId="2FBD6C95" w14:textId="77777777" w:rsidR="00A87AFB" w:rsidRDefault="00A87AFB">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8"/>
        <w:gridCol w:w="1945"/>
      </w:tblGrid>
      <w:tr w:rsidR="00A87AFB" w14:paraId="1B73EEC9" w14:textId="77777777" w:rsidTr="009B317B">
        <w:sdt>
          <w:sdtPr>
            <w:rPr>
              <w:rFonts w:hint="eastAsia"/>
            </w:rPr>
            <w:tag w:val="_PLD_be5b642d619e47719375899ad34c31f6"/>
            <w:id w:val="-567803293"/>
          </w:sdtPr>
          <w:sdtEndPr/>
          <w:sdtContent>
            <w:tc>
              <w:tcPr>
                <w:tcW w:w="3898" w:type="pct"/>
              </w:tcPr>
              <w:p w14:paraId="10FB512B" w14:textId="77777777" w:rsidR="00A87AFB" w:rsidRDefault="00A87AFB">
                <w:r>
                  <w:rPr>
                    <w:rFonts w:hint="eastAsia"/>
                  </w:rPr>
                  <w:t>是否符合公司章程的规定或股东大会决议的要求</w:t>
                </w:r>
              </w:p>
            </w:tc>
          </w:sdtContent>
        </w:sdt>
        <w:sdt>
          <w:sdtPr>
            <w:alias w:val="是否符合公司章程的规定或股东大会决议的要求[双击切换]"/>
            <w:tag w:val="_GBC_c4c31977f51f4fa0a4f1f65cff248b5c"/>
            <w:id w:val="838354814"/>
          </w:sdtPr>
          <w:sdtEndPr/>
          <w:sdtContent>
            <w:tc>
              <w:tcPr>
                <w:tcW w:w="1102" w:type="pct"/>
              </w:tcPr>
              <w:p w14:paraId="1465AB93" w14:textId="77777777" w:rsidR="00A87AFB" w:rsidRDefault="00A87AFB">
                <w:pPr>
                  <w:jc w:val="center"/>
                </w:pPr>
                <w:r>
                  <w:fldChar w:fldCharType="begin"/>
                </w:r>
                <w:r>
                  <w:instrText xml:space="preserve"> MACROBUTTON SnrToggleCheckbox √是 </w:instrText>
                </w:r>
                <w:r>
                  <w:fldChar w:fldCharType="end"/>
                </w:r>
                <w:r>
                  <w:fldChar w:fldCharType="begin"/>
                </w:r>
                <w:r>
                  <w:instrText xml:space="preserve">MACROBUTTON  SnrToggleCheckbox □否 </w:instrText>
                </w:r>
                <w:r>
                  <w:fldChar w:fldCharType="end"/>
                </w:r>
              </w:p>
            </w:tc>
          </w:sdtContent>
        </w:sdt>
      </w:tr>
      <w:tr w:rsidR="00A87AFB" w14:paraId="1A46AD92" w14:textId="77777777" w:rsidTr="009B317B">
        <w:sdt>
          <w:sdtPr>
            <w:rPr>
              <w:rFonts w:hint="eastAsia"/>
            </w:rPr>
            <w:tag w:val="_PLD_bb613040dd064b1ca069bfb8132e531b"/>
            <w:id w:val="-1341009089"/>
          </w:sdtPr>
          <w:sdtEndPr/>
          <w:sdtContent>
            <w:tc>
              <w:tcPr>
                <w:tcW w:w="3898" w:type="pct"/>
              </w:tcPr>
              <w:p w14:paraId="499C5A54" w14:textId="77777777" w:rsidR="00A87AFB" w:rsidRDefault="00A87AFB">
                <w:r>
                  <w:rPr>
                    <w:rFonts w:hint="eastAsia"/>
                  </w:rPr>
                  <w:t>分红标准和比例是否明确和清晰</w:t>
                </w:r>
              </w:p>
            </w:tc>
          </w:sdtContent>
        </w:sdt>
        <w:sdt>
          <w:sdtPr>
            <w:alias w:val="分红标准和比例是否明确和清晰[双击切换]"/>
            <w:tag w:val="_GBC_c8bbad0601c544fca3faeac3b11ee218"/>
            <w:id w:val="1867796696"/>
          </w:sdtPr>
          <w:sdtEndPr/>
          <w:sdtContent>
            <w:tc>
              <w:tcPr>
                <w:tcW w:w="1102" w:type="pct"/>
              </w:tcPr>
              <w:p w14:paraId="0E422308" w14:textId="77777777" w:rsidR="00A87AFB" w:rsidRDefault="00A87AFB">
                <w:pPr>
                  <w:jc w:val="center"/>
                </w:pPr>
                <w:r>
                  <w:fldChar w:fldCharType="begin"/>
                </w:r>
                <w:r>
                  <w:instrText xml:space="preserve"> MACROBUTTON SnrToggleCheckbox √是 </w:instrText>
                </w:r>
                <w:r>
                  <w:fldChar w:fldCharType="end"/>
                </w:r>
                <w:r>
                  <w:fldChar w:fldCharType="begin"/>
                </w:r>
                <w:r>
                  <w:instrText xml:space="preserve">MACROBUTTON  SnrToggleCheckbox □否 </w:instrText>
                </w:r>
                <w:r>
                  <w:fldChar w:fldCharType="end"/>
                </w:r>
              </w:p>
            </w:tc>
          </w:sdtContent>
        </w:sdt>
      </w:tr>
      <w:tr w:rsidR="00A87AFB" w14:paraId="1CAC8A50" w14:textId="77777777" w:rsidTr="009B317B">
        <w:sdt>
          <w:sdtPr>
            <w:rPr>
              <w:rFonts w:hint="eastAsia"/>
            </w:rPr>
            <w:tag w:val="_PLD_d39f871c32a241abb0e19af8d214c228"/>
            <w:id w:val="-646748297"/>
          </w:sdtPr>
          <w:sdtEndPr/>
          <w:sdtContent>
            <w:tc>
              <w:tcPr>
                <w:tcW w:w="3898" w:type="pct"/>
                <w:tcBorders>
                  <w:top w:val="single" w:sz="4" w:space="0" w:color="auto"/>
                  <w:left w:val="single" w:sz="4" w:space="0" w:color="auto"/>
                  <w:bottom w:val="single" w:sz="4" w:space="0" w:color="auto"/>
                  <w:right w:val="single" w:sz="4" w:space="0" w:color="auto"/>
                </w:tcBorders>
              </w:tcPr>
              <w:p w14:paraId="247D6E57" w14:textId="77777777" w:rsidR="00A87AFB" w:rsidRDefault="00A87AFB">
                <w:r>
                  <w:rPr>
                    <w:rFonts w:hint="eastAsia"/>
                  </w:rPr>
                  <w:t>相关的决策程序和机制是否完备</w:t>
                </w:r>
              </w:p>
            </w:tc>
          </w:sdtContent>
        </w:sdt>
        <w:sdt>
          <w:sdtPr>
            <w:alias w:val="相关的决策程序和机制是否完备[双击切换]"/>
            <w:tag w:val="_GBC_b2d0d75abb6f4f14a51595902d0ad7b9"/>
            <w:id w:val="1724720406"/>
          </w:sdtPr>
          <w:sdtEndPr/>
          <w:sdtContent>
            <w:tc>
              <w:tcPr>
                <w:tcW w:w="1102" w:type="pct"/>
                <w:tcBorders>
                  <w:top w:val="single" w:sz="4" w:space="0" w:color="auto"/>
                  <w:left w:val="single" w:sz="4" w:space="0" w:color="auto"/>
                  <w:bottom w:val="single" w:sz="4" w:space="0" w:color="auto"/>
                  <w:right w:val="single" w:sz="4" w:space="0" w:color="auto"/>
                </w:tcBorders>
              </w:tcPr>
              <w:p w14:paraId="7AFED133" w14:textId="77777777" w:rsidR="00A87AFB" w:rsidRDefault="00A87AFB">
                <w:pPr>
                  <w:jc w:val="center"/>
                </w:pPr>
                <w:r>
                  <w:fldChar w:fldCharType="begin"/>
                </w:r>
                <w:r>
                  <w:instrText xml:space="preserve"> MACROBUTTON SnrToggleCheckbox √是 </w:instrText>
                </w:r>
                <w:r>
                  <w:fldChar w:fldCharType="end"/>
                </w:r>
                <w:r>
                  <w:fldChar w:fldCharType="begin"/>
                </w:r>
                <w:r>
                  <w:instrText xml:space="preserve">MACROBUTTON  SnrToggleCheckbox □否 </w:instrText>
                </w:r>
                <w:r>
                  <w:fldChar w:fldCharType="end"/>
                </w:r>
              </w:p>
            </w:tc>
          </w:sdtContent>
        </w:sdt>
      </w:tr>
      <w:tr w:rsidR="00A87AFB" w14:paraId="5204282E" w14:textId="77777777" w:rsidTr="009B317B">
        <w:sdt>
          <w:sdtPr>
            <w:rPr>
              <w:rFonts w:hint="eastAsia"/>
            </w:rPr>
            <w:tag w:val="_PLD_a57913e82be74b9aae452efa4dca97ee"/>
            <w:id w:val="-1235997699"/>
          </w:sdtPr>
          <w:sdtEndPr/>
          <w:sdtContent>
            <w:tc>
              <w:tcPr>
                <w:tcW w:w="3898" w:type="pct"/>
                <w:tcBorders>
                  <w:top w:val="single" w:sz="4" w:space="0" w:color="auto"/>
                  <w:left w:val="single" w:sz="4" w:space="0" w:color="auto"/>
                  <w:bottom w:val="single" w:sz="4" w:space="0" w:color="auto"/>
                  <w:right w:val="single" w:sz="4" w:space="0" w:color="auto"/>
                </w:tcBorders>
              </w:tcPr>
              <w:p w14:paraId="2242F169" w14:textId="77777777" w:rsidR="00A87AFB" w:rsidRDefault="00A87AFB">
                <w:r>
                  <w:rPr>
                    <w:rFonts w:hint="eastAsia"/>
                  </w:rPr>
                  <w:t>独立董事是否履职尽责并发挥了应有的作用</w:t>
                </w:r>
              </w:p>
            </w:tc>
          </w:sdtContent>
        </w:sdt>
        <w:sdt>
          <w:sdtPr>
            <w:alias w:val="独立董事是否履职尽责并发挥了应有的作用[双击切换]"/>
            <w:tag w:val="_GBC_0b8d249fbcc74af893077c4c7eee16ef"/>
            <w:id w:val="-526719894"/>
          </w:sdtPr>
          <w:sdtEndPr/>
          <w:sdtContent>
            <w:tc>
              <w:tcPr>
                <w:tcW w:w="1102" w:type="pct"/>
                <w:tcBorders>
                  <w:top w:val="single" w:sz="4" w:space="0" w:color="auto"/>
                  <w:left w:val="single" w:sz="4" w:space="0" w:color="auto"/>
                  <w:bottom w:val="single" w:sz="4" w:space="0" w:color="auto"/>
                  <w:right w:val="single" w:sz="4" w:space="0" w:color="auto"/>
                </w:tcBorders>
              </w:tcPr>
              <w:p w14:paraId="7D341485" w14:textId="77777777" w:rsidR="00A87AFB" w:rsidRDefault="00A87AFB">
                <w:pPr>
                  <w:jc w:val="center"/>
                </w:pPr>
                <w:r>
                  <w:fldChar w:fldCharType="begin"/>
                </w:r>
                <w:r>
                  <w:instrText xml:space="preserve"> MACROBUTTON SnrToggleCheckbox √是 </w:instrText>
                </w:r>
                <w:r>
                  <w:fldChar w:fldCharType="end"/>
                </w:r>
                <w:r>
                  <w:fldChar w:fldCharType="begin"/>
                </w:r>
                <w:r>
                  <w:instrText xml:space="preserve">MACROBUTTON  SnrToggleCheckbox □否 </w:instrText>
                </w:r>
                <w:r>
                  <w:fldChar w:fldCharType="end"/>
                </w:r>
              </w:p>
            </w:tc>
          </w:sdtContent>
        </w:sdt>
      </w:tr>
      <w:tr w:rsidR="00A87AFB" w14:paraId="3E7C4E1B" w14:textId="77777777" w:rsidTr="009B317B">
        <w:sdt>
          <w:sdtPr>
            <w:rPr>
              <w:rFonts w:hint="eastAsia"/>
            </w:rPr>
            <w:tag w:val="_PLD_3a7a041e30804acd8d2becd7cb2629f9"/>
            <w:id w:val="-226768336"/>
          </w:sdtPr>
          <w:sdtEndPr/>
          <w:sdtContent>
            <w:tc>
              <w:tcPr>
                <w:tcW w:w="3898" w:type="pct"/>
                <w:tcBorders>
                  <w:top w:val="single" w:sz="4" w:space="0" w:color="auto"/>
                  <w:left w:val="single" w:sz="4" w:space="0" w:color="auto"/>
                  <w:bottom w:val="single" w:sz="4" w:space="0" w:color="auto"/>
                  <w:right w:val="single" w:sz="4" w:space="0" w:color="auto"/>
                </w:tcBorders>
              </w:tcPr>
              <w:p w14:paraId="04863BEA" w14:textId="77777777" w:rsidR="00A87AFB" w:rsidRDefault="00A87AFB">
                <w:r>
                  <w:rPr>
                    <w:rFonts w:hint="eastAsia"/>
                  </w:rPr>
                  <w:t>中小股东是否有充分表达意见和诉求的机会，其合法权益是否得到了充分保护</w:t>
                </w:r>
              </w:p>
            </w:tc>
          </w:sdtContent>
        </w:sdt>
        <w:sdt>
          <w:sdtPr>
            <w:alias w:val="中小股东是否有充分表达意见和诉求的机会，其合法权益是否得到了充分保护[双击切换]"/>
            <w:tag w:val="_GBC_827122507d054bfd80b4c5e8d243a91b"/>
            <w:id w:val="221637412"/>
          </w:sdtPr>
          <w:sdtEndPr/>
          <w:sdtContent>
            <w:tc>
              <w:tcPr>
                <w:tcW w:w="1102" w:type="pct"/>
                <w:tcBorders>
                  <w:top w:val="single" w:sz="4" w:space="0" w:color="auto"/>
                  <w:left w:val="single" w:sz="4" w:space="0" w:color="auto"/>
                  <w:bottom w:val="single" w:sz="4" w:space="0" w:color="auto"/>
                  <w:right w:val="single" w:sz="4" w:space="0" w:color="auto"/>
                </w:tcBorders>
              </w:tcPr>
              <w:p w14:paraId="2CB53343" w14:textId="77777777" w:rsidR="00A87AFB" w:rsidRDefault="00A87AFB">
                <w:pPr>
                  <w:jc w:val="center"/>
                </w:pPr>
                <w:r>
                  <w:fldChar w:fldCharType="begin"/>
                </w:r>
                <w:r>
                  <w:instrText xml:space="preserve"> MACROBUTTON SnrToggleCheckbox √是 </w:instrText>
                </w:r>
                <w:r>
                  <w:fldChar w:fldCharType="end"/>
                </w:r>
                <w:r>
                  <w:fldChar w:fldCharType="begin"/>
                </w:r>
                <w:r>
                  <w:instrText xml:space="preserve">MACROBUTTON  SnrToggleCheckbox □否 </w:instrText>
                </w:r>
                <w:r>
                  <w:fldChar w:fldCharType="end"/>
                </w:r>
              </w:p>
            </w:tc>
          </w:sdtContent>
        </w:sdt>
      </w:tr>
    </w:tbl>
    <w:p w14:paraId="41CD4790" w14:textId="77777777" w:rsidR="00A87AFB" w:rsidRDefault="00A87AFB"/>
    <w:p w14:paraId="7B3F2C69" w14:textId="77777777" w:rsidR="00E57DAA" w:rsidRDefault="00AC4185">
      <w:pPr>
        <w:pStyle w:val="3"/>
        <w:numPr>
          <w:ilvl w:val="0"/>
          <w:numId w:val="25"/>
        </w:numPr>
      </w:pPr>
      <w:r>
        <w:rPr>
          <w:rFonts w:hint="eastAsia"/>
        </w:rPr>
        <w:lastRenderedPageBreak/>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1096087824"/>
        <w:placeholder>
          <w:docPart w:val="GBC22222222222222222222222222222"/>
        </w:placeholder>
      </w:sdtPr>
      <w:sdtEndPr/>
      <w:sdtContent>
        <w:p w14:paraId="4197B4D3"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00E614" w14:textId="77777777" w:rsidR="00E57DAA" w:rsidRDefault="00E57DAA" w:rsidP="00C25422">
      <w:pPr>
        <w:pStyle w:val="92"/>
      </w:pPr>
    </w:p>
    <w:p w14:paraId="61878EE4" w14:textId="77777777" w:rsidR="00A87AFB" w:rsidRDefault="00A87AFB" w:rsidP="00A87AFB">
      <w:pPr>
        <w:pStyle w:val="3"/>
        <w:numPr>
          <w:ilvl w:val="0"/>
          <w:numId w:val="25"/>
        </w:numPr>
        <w:shd w:val="clear" w:color="auto" w:fill="auto"/>
        <w:spacing w:before="60" w:after="60" w:line="240" w:lineRule="auto"/>
        <w:ind w:left="450" w:hanging="450"/>
      </w:pPr>
      <w:r>
        <w:rPr>
          <w:rFonts w:hint="eastAsia"/>
        </w:rPr>
        <w:t>本报告期利润分配及资本公积金转增股本预案</w:t>
      </w:r>
    </w:p>
    <w:sdt>
      <w:sdtPr>
        <w:alias w:val="是否适用：利润分配及资本公积金转增股本情况[双击切换]"/>
        <w:tag w:val="_GBC_495a4ba42a0f42f09a8ad4b2fade6559"/>
        <w:id w:val="1362102011"/>
      </w:sdtPr>
      <w:sdtEndPr/>
      <w:sdtContent>
        <w:p w14:paraId="2881A3F6" w14:textId="77777777" w:rsidR="00A87AFB" w:rsidRDefault="00A87AFB">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107BD3C2" w14:textId="77777777" w:rsidR="00A87AFB" w:rsidRDefault="00A87AFB">
      <w:pPr>
        <w:jc w:val="right"/>
        <w:rPr>
          <w:szCs w:val="21"/>
        </w:rPr>
      </w:pPr>
      <w:r>
        <w:rPr>
          <w:rFonts w:hint="eastAsia"/>
          <w:szCs w:val="21"/>
        </w:rPr>
        <w:t>单位:</w:t>
      </w:r>
      <w:sdt>
        <w:sdtPr>
          <w:rPr>
            <w:rFonts w:hint="eastAsia"/>
            <w:szCs w:val="21"/>
          </w:rPr>
          <w:alias w:val="单位：利润分配及资本公积金转增股本情况"/>
          <w:tag w:val="_GBC_13401d941a944aa6845e12add2d0dd0e"/>
          <w:id w:val="1424681470"/>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rFonts w:hint="eastAsia"/>
          <w:szCs w:val="21"/>
        </w:rPr>
        <w:t xml:space="preserve">  币种:</w:t>
      </w:r>
      <w:sdt>
        <w:sdtPr>
          <w:rPr>
            <w:rFonts w:hint="eastAsia"/>
            <w:szCs w:val="21"/>
          </w:rPr>
          <w:alias w:val="币种：利润分配及资本公积金转增股本情况"/>
          <w:tag w:val="_GBC_7b66af31a51f46208037a812a69070e9"/>
          <w:id w:val="-1011524800"/>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365"/>
        <w:gridCol w:w="1458"/>
      </w:tblGrid>
      <w:tr w:rsidR="00A87AFB" w14:paraId="4026B30F" w14:textId="77777777" w:rsidTr="00A87AFB">
        <w:trPr>
          <w:trHeight w:val="380"/>
        </w:trPr>
        <w:sdt>
          <w:sdtPr>
            <w:tag w:val="_PLD_28cd685f5155420cab6b327b3f81025e"/>
            <w:id w:val="-972205638"/>
          </w:sdtPr>
          <w:sdtEndPr/>
          <w:sdtContent>
            <w:tc>
              <w:tcPr>
                <w:tcW w:w="4174" w:type="pct"/>
                <w:shd w:val="clear" w:color="auto" w:fill="auto"/>
                <w:vAlign w:val="center"/>
              </w:tcPr>
              <w:p w14:paraId="79778693" w14:textId="77777777" w:rsidR="00A87AFB" w:rsidRDefault="00A87AFB">
                <w:r>
                  <w:t>每10股送红股数（股）</w:t>
                </w:r>
              </w:p>
            </w:tc>
          </w:sdtContent>
        </w:sdt>
        <w:tc>
          <w:tcPr>
            <w:tcW w:w="826" w:type="pct"/>
            <w:vAlign w:val="center"/>
          </w:tcPr>
          <w:p w14:paraId="7972B214" w14:textId="77777777" w:rsidR="00A87AFB" w:rsidRDefault="00A87AFB">
            <w:pPr>
              <w:jc w:val="right"/>
            </w:pPr>
            <w:r>
              <w:rPr>
                <w:rFonts w:hint="eastAsia"/>
              </w:rPr>
              <w:t>0</w:t>
            </w:r>
          </w:p>
        </w:tc>
      </w:tr>
      <w:tr w:rsidR="00A87AFB" w14:paraId="2DAACECA" w14:textId="77777777" w:rsidTr="00A87AFB">
        <w:trPr>
          <w:trHeight w:val="340"/>
        </w:trPr>
        <w:sdt>
          <w:sdtPr>
            <w:rPr>
              <w:rFonts w:hint="eastAsia"/>
            </w:rPr>
            <w:tag w:val="_PLD_8ec61a50dcb643329ea0434ee014696c"/>
            <w:id w:val="884061731"/>
          </w:sdtPr>
          <w:sdtEndPr/>
          <w:sdtContent>
            <w:tc>
              <w:tcPr>
                <w:tcW w:w="4174" w:type="pct"/>
                <w:shd w:val="clear" w:color="auto" w:fill="auto"/>
                <w:vAlign w:val="center"/>
              </w:tcPr>
              <w:p w14:paraId="27B021CA" w14:textId="77777777" w:rsidR="00A87AFB" w:rsidRDefault="00A87AFB">
                <w:r>
                  <w:rPr>
                    <w:rFonts w:hint="eastAsia"/>
                  </w:rPr>
                  <w:t>每</w:t>
                </w:r>
                <w:r>
                  <w:t>10</w:t>
                </w:r>
                <w:r>
                  <w:rPr>
                    <w:rFonts w:hint="eastAsia"/>
                  </w:rPr>
                  <w:t>股派息数（元）（含税）</w:t>
                </w:r>
              </w:p>
            </w:tc>
          </w:sdtContent>
        </w:sdt>
        <w:tc>
          <w:tcPr>
            <w:tcW w:w="826" w:type="pct"/>
            <w:vAlign w:val="center"/>
          </w:tcPr>
          <w:p w14:paraId="2B0D05F8" w14:textId="77777777" w:rsidR="00A87AFB" w:rsidRDefault="00A87AFB">
            <w:pPr>
              <w:jc w:val="right"/>
            </w:pPr>
            <w:r>
              <w:rPr>
                <w:rFonts w:hint="eastAsia"/>
              </w:rPr>
              <w:t>4.00</w:t>
            </w:r>
          </w:p>
        </w:tc>
      </w:tr>
      <w:tr w:rsidR="00A87AFB" w14:paraId="57696BA4" w14:textId="77777777" w:rsidTr="00A87AFB">
        <w:trPr>
          <w:trHeight w:val="340"/>
        </w:trPr>
        <w:sdt>
          <w:sdtPr>
            <w:rPr>
              <w:rFonts w:hint="eastAsia"/>
            </w:rPr>
            <w:tag w:val="_PLD_ae3abed7966d4ca8b027923eb0dbd22f"/>
            <w:id w:val="380374360"/>
          </w:sdtPr>
          <w:sdtEndPr/>
          <w:sdtContent>
            <w:tc>
              <w:tcPr>
                <w:tcW w:w="4174" w:type="pct"/>
                <w:shd w:val="clear" w:color="auto" w:fill="auto"/>
                <w:vAlign w:val="center"/>
              </w:tcPr>
              <w:p w14:paraId="0CCBF11B" w14:textId="77777777" w:rsidR="00A87AFB" w:rsidRDefault="00A87AFB">
                <w:r>
                  <w:rPr>
                    <w:rFonts w:hint="eastAsia"/>
                  </w:rPr>
                  <w:t>每</w:t>
                </w:r>
                <w:r>
                  <w:t>10</w:t>
                </w:r>
                <w:r>
                  <w:rPr>
                    <w:rFonts w:hint="eastAsia"/>
                  </w:rPr>
                  <w:t>股转增数（股）</w:t>
                </w:r>
              </w:p>
            </w:tc>
          </w:sdtContent>
        </w:sdt>
        <w:tc>
          <w:tcPr>
            <w:tcW w:w="826" w:type="pct"/>
            <w:vAlign w:val="center"/>
          </w:tcPr>
          <w:p w14:paraId="06ED447F" w14:textId="77777777" w:rsidR="00A87AFB" w:rsidRDefault="00A87AFB">
            <w:pPr>
              <w:jc w:val="right"/>
            </w:pPr>
            <w:r>
              <w:rPr>
                <w:rFonts w:hint="eastAsia"/>
              </w:rPr>
              <w:t>0</w:t>
            </w:r>
          </w:p>
        </w:tc>
      </w:tr>
      <w:tr w:rsidR="00A87AFB" w14:paraId="160976ED" w14:textId="77777777" w:rsidTr="00A87AFB">
        <w:trPr>
          <w:trHeight w:val="340"/>
        </w:trPr>
        <w:sdt>
          <w:sdtPr>
            <w:rPr>
              <w:rFonts w:hint="eastAsia"/>
            </w:rPr>
            <w:tag w:val="_PLD_56397d2ee9fd4a7587b5922f267e1577"/>
            <w:id w:val="-2076509271"/>
          </w:sdtPr>
          <w:sdtEndPr/>
          <w:sdtContent>
            <w:tc>
              <w:tcPr>
                <w:tcW w:w="4174" w:type="pct"/>
                <w:shd w:val="clear" w:color="auto" w:fill="auto"/>
                <w:vAlign w:val="center"/>
              </w:tcPr>
              <w:p w14:paraId="02535291" w14:textId="77777777" w:rsidR="00A87AFB" w:rsidRDefault="00A87AFB">
                <w:r>
                  <w:rPr>
                    <w:rFonts w:hint="eastAsia"/>
                  </w:rPr>
                  <w:t>现金分红金额（含税）</w:t>
                </w:r>
              </w:p>
            </w:tc>
          </w:sdtContent>
        </w:sdt>
        <w:tc>
          <w:tcPr>
            <w:tcW w:w="826" w:type="pct"/>
            <w:vAlign w:val="center"/>
          </w:tcPr>
          <w:p w14:paraId="51932BF0" w14:textId="77777777" w:rsidR="00A87AFB" w:rsidRDefault="00A87AFB">
            <w:pPr>
              <w:jc w:val="right"/>
            </w:pPr>
            <w:r>
              <w:rPr>
                <w:rFonts w:hint="eastAsia"/>
              </w:rPr>
              <w:t>105,692.70</w:t>
            </w:r>
          </w:p>
        </w:tc>
      </w:tr>
      <w:tr w:rsidR="00A87AFB" w14:paraId="3B84B2D3" w14:textId="77777777" w:rsidTr="00A87AFB">
        <w:trPr>
          <w:trHeight w:val="340"/>
        </w:trPr>
        <w:sdt>
          <w:sdtPr>
            <w:tag w:val="_PLD_d435402796fd494cbcf96cca2a500273"/>
            <w:id w:val="-1181121106"/>
          </w:sdtPr>
          <w:sdtEndPr/>
          <w:sdtContent>
            <w:tc>
              <w:tcPr>
                <w:tcW w:w="4174" w:type="pct"/>
                <w:tcBorders>
                  <w:top w:val="single" w:sz="4" w:space="0" w:color="auto"/>
                  <w:left w:val="single" w:sz="4" w:space="0" w:color="auto"/>
                  <w:bottom w:val="single" w:sz="4" w:space="0" w:color="auto"/>
                  <w:right w:val="single" w:sz="4" w:space="0" w:color="auto"/>
                </w:tcBorders>
                <w:shd w:val="clear" w:color="auto" w:fill="auto"/>
                <w:vAlign w:val="center"/>
              </w:tcPr>
              <w:p w14:paraId="04241953" w14:textId="77777777" w:rsidR="00A87AFB" w:rsidRDefault="00A87AFB">
                <w:r>
                  <w:t>分红年度合并报表中归属于上市公司</w:t>
                </w:r>
                <w:r>
                  <w:rPr>
                    <w:rFonts w:hint="eastAsia"/>
                  </w:rPr>
                  <w:t>普通股</w:t>
                </w:r>
                <w:r>
                  <w:t>股东的净利润</w:t>
                </w:r>
              </w:p>
            </w:tc>
          </w:sdtContent>
        </w:sdt>
        <w:tc>
          <w:tcPr>
            <w:tcW w:w="826" w:type="pct"/>
            <w:tcBorders>
              <w:top w:val="single" w:sz="4" w:space="0" w:color="auto"/>
              <w:left w:val="single" w:sz="4" w:space="0" w:color="auto"/>
              <w:bottom w:val="single" w:sz="4" w:space="0" w:color="auto"/>
              <w:right w:val="single" w:sz="4" w:space="0" w:color="auto"/>
            </w:tcBorders>
            <w:vAlign w:val="center"/>
          </w:tcPr>
          <w:p w14:paraId="77EC339B" w14:textId="77777777" w:rsidR="00A87AFB" w:rsidRDefault="00A87AFB">
            <w:pPr>
              <w:jc w:val="right"/>
            </w:pPr>
            <w:r>
              <w:rPr>
                <w:rFonts w:hint="eastAsia"/>
              </w:rPr>
              <w:t>291,581.16</w:t>
            </w:r>
          </w:p>
        </w:tc>
      </w:tr>
      <w:tr w:rsidR="00A87AFB" w14:paraId="41C55D75" w14:textId="77777777" w:rsidTr="00A87AFB">
        <w:trPr>
          <w:trHeight w:val="340"/>
        </w:trPr>
        <w:sdt>
          <w:sdtPr>
            <w:tag w:val="_PLD_b9cdec5ee1194136aeb5dc3217a4d8c2"/>
            <w:id w:val="-229312183"/>
          </w:sdtPr>
          <w:sdtEndPr>
            <w:rPr>
              <w:rFonts w:hint="eastAsia"/>
            </w:rPr>
          </w:sdtEndPr>
          <w:sdtContent>
            <w:tc>
              <w:tcPr>
                <w:tcW w:w="4174" w:type="pct"/>
                <w:tcBorders>
                  <w:top w:val="single" w:sz="4" w:space="0" w:color="auto"/>
                  <w:left w:val="single" w:sz="4" w:space="0" w:color="auto"/>
                  <w:bottom w:val="single" w:sz="4" w:space="0" w:color="auto"/>
                  <w:right w:val="single" w:sz="4" w:space="0" w:color="auto"/>
                </w:tcBorders>
                <w:shd w:val="clear" w:color="auto" w:fill="auto"/>
                <w:vAlign w:val="center"/>
              </w:tcPr>
              <w:p w14:paraId="6CCD29AF" w14:textId="77777777" w:rsidR="00A87AFB" w:rsidRDefault="00A87AFB">
                <w:r>
                  <w:t>占合并报表中归属于上市公司</w:t>
                </w:r>
                <w:r>
                  <w:rPr>
                    <w:rFonts w:hint="eastAsia"/>
                  </w:rPr>
                  <w:t>普通股</w:t>
                </w:r>
                <w:r>
                  <w:t>股东的净利润的比率</w:t>
                </w:r>
                <w:r>
                  <w:rPr>
                    <w:rFonts w:hint="eastAsia"/>
                  </w:rPr>
                  <w:t>（%）</w:t>
                </w:r>
              </w:p>
            </w:tc>
          </w:sdtContent>
        </w:sdt>
        <w:tc>
          <w:tcPr>
            <w:tcW w:w="826" w:type="pct"/>
            <w:tcBorders>
              <w:top w:val="single" w:sz="4" w:space="0" w:color="auto"/>
              <w:left w:val="single" w:sz="4" w:space="0" w:color="auto"/>
              <w:bottom w:val="single" w:sz="4" w:space="0" w:color="auto"/>
              <w:right w:val="single" w:sz="4" w:space="0" w:color="auto"/>
            </w:tcBorders>
            <w:vAlign w:val="center"/>
          </w:tcPr>
          <w:p w14:paraId="15C50108" w14:textId="77777777" w:rsidR="00A87AFB" w:rsidRDefault="00A87AFB">
            <w:pPr>
              <w:jc w:val="right"/>
            </w:pPr>
            <w:r>
              <w:rPr>
                <w:rFonts w:hint="eastAsia"/>
              </w:rPr>
              <w:t>36.25</w:t>
            </w:r>
          </w:p>
        </w:tc>
      </w:tr>
      <w:tr w:rsidR="00A87AFB" w14:paraId="592F2313" w14:textId="77777777" w:rsidTr="00A87AFB">
        <w:trPr>
          <w:trHeight w:val="340"/>
        </w:trPr>
        <w:sdt>
          <w:sdtPr>
            <w:rPr>
              <w:rFonts w:hint="eastAsia"/>
            </w:rPr>
            <w:tag w:val="_PLD_1d95936f929c4fc29607d0d20068effd"/>
            <w:id w:val="185487449"/>
          </w:sdtPr>
          <w:sdtEndPr/>
          <w:sdtContent>
            <w:tc>
              <w:tcPr>
                <w:tcW w:w="4174" w:type="pct"/>
                <w:shd w:val="clear" w:color="auto" w:fill="auto"/>
                <w:vAlign w:val="center"/>
              </w:tcPr>
              <w:p w14:paraId="4B9F2B45" w14:textId="77777777" w:rsidR="00A87AFB" w:rsidRDefault="00A87AFB">
                <w:r>
                  <w:rPr>
                    <w:rFonts w:hint="eastAsia"/>
                  </w:rPr>
                  <w:t>以</w:t>
                </w:r>
                <w:r>
                  <w:t>现金方式回购股份计入现金分红的</w:t>
                </w:r>
                <w:r>
                  <w:rPr>
                    <w:rFonts w:hint="eastAsia"/>
                  </w:rPr>
                  <w:t>金额</w:t>
                </w:r>
              </w:p>
            </w:tc>
          </w:sdtContent>
        </w:sdt>
        <w:tc>
          <w:tcPr>
            <w:tcW w:w="826" w:type="pct"/>
            <w:vAlign w:val="center"/>
          </w:tcPr>
          <w:p w14:paraId="344BC0C5" w14:textId="77777777" w:rsidR="00A87AFB" w:rsidRDefault="00A87AFB">
            <w:pPr>
              <w:jc w:val="right"/>
            </w:pPr>
            <w:r>
              <w:rPr>
                <w:rFonts w:hint="eastAsia"/>
              </w:rPr>
              <w:t>0</w:t>
            </w:r>
          </w:p>
        </w:tc>
      </w:tr>
      <w:tr w:rsidR="00A87AFB" w14:paraId="48F57291" w14:textId="77777777" w:rsidTr="00A87AFB">
        <w:trPr>
          <w:trHeight w:val="340"/>
        </w:trPr>
        <w:sdt>
          <w:sdtPr>
            <w:rPr>
              <w:rFonts w:hint="eastAsia"/>
            </w:rPr>
            <w:tag w:val="_PLD_6868c21df24048a79379e8563e8b7817"/>
            <w:id w:val="-1661689759"/>
          </w:sdtPr>
          <w:sdtEndPr/>
          <w:sdtContent>
            <w:tc>
              <w:tcPr>
                <w:tcW w:w="4174" w:type="pct"/>
                <w:shd w:val="clear" w:color="auto" w:fill="auto"/>
                <w:vAlign w:val="center"/>
              </w:tcPr>
              <w:p w14:paraId="0061841F" w14:textId="77777777" w:rsidR="00A87AFB" w:rsidRDefault="00A87AFB">
                <w:r>
                  <w:rPr>
                    <w:rFonts w:hint="eastAsia"/>
                  </w:rPr>
                  <w:t>合计分红金额（含税）</w:t>
                </w:r>
              </w:p>
            </w:tc>
          </w:sdtContent>
        </w:sdt>
        <w:tc>
          <w:tcPr>
            <w:tcW w:w="826" w:type="pct"/>
            <w:vAlign w:val="center"/>
          </w:tcPr>
          <w:p w14:paraId="3816422C" w14:textId="77777777" w:rsidR="00A87AFB" w:rsidRDefault="00A87AFB">
            <w:pPr>
              <w:jc w:val="right"/>
            </w:pPr>
            <w:r>
              <w:rPr>
                <w:rFonts w:hint="eastAsia"/>
              </w:rPr>
              <w:t>105,692.70</w:t>
            </w:r>
          </w:p>
        </w:tc>
      </w:tr>
      <w:tr w:rsidR="00A87AFB" w14:paraId="1FC1CBFB" w14:textId="77777777" w:rsidTr="00A87AFB">
        <w:trPr>
          <w:trHeight w:val="340"/>
        </w:trPr>
        <w:sdt>
          <w:sdtPr>
            <w:rPr>
              <w:rFonts w:hint="eastAsia"/>
            </w:rPr>
            <w:tag w:val="_PLD_4379234c339f4fe48b6f0b2453159b4b"/>
            <w:id w:val="-1207790762"/>
          </w:sdtPr>
          <w:sdtEndPr/>
          <w:sdtContent>
            <w:tc>
              <w:tcPr>
                <w:tcW w:w="4174" w:type="pct"/>
                <w:shd w:val="clear" w:color="auto" w:fill="auto"/>
                <w:vAlign w:val="center"/>
              </w:tcPr>
              <w:p w14:paraId="0B391213" w14:textId="77777777" w:rsidR="00A87AFB" w:rsidRDefault="00A87AFB">
                <w:r>
                  <w:rPr>
                    <w:rFonts w:hint="eastAsia"/>
                  </w:rPr>
                  <w:t>合计分红金额</w:t>
                </w:r>
                <w:r>
                  <w:t>占合并报表中归属于上市公司</w:t>
                </w:r>
                <w:r>
                  <w:rPr>
                    <w:rFonts w:hint="eastAsia"/>
                  </w:rPr>
                  <w:t>普通股</w:t>
                </w:r>
                <w:r>
                  <w:t>股东的净利润的比率</w:t>
                </w:r>
                <w:r>
                  <w:rPr>
                    <w:rFonts w:hint="eastAsia"/>
                  </w:rPr>
                  <w:t>（%）</w:t>
                </w:r>
              </w:p>
            </w:tc>
          </w:sdtContent>
        </w:sdt>
        <w:tc>
          <w:tcPr>
            <w:tcW w:w="826" w:type="pct"/>
            <w:vAlign w:val="center"/>
          </w:tcPr>
          <w:p w14:paraId="27771DDF" w14:textId="77777777" w:rsidR="00A87AFB" w:rsidRDefault="00A87AFB">
            <w:pPr>
              <w:jc w:val="right"/>
            </w:pPr>
            <w:r>
              <w:rPr>
                <w:rFonts w:hint="eastAsia"/>
              </w:rPr>
              <w:t>36.25</w:t>
            </w:r>
          </w:p>
        </w:tc>
      </w:tr>
    </w:tbl>
    <w:p w14:paraId="68BB1919" w14:textId="77777777" w:rsidR="00E57DAA" w:rsidRDefault="00AC4185">
      <w:pPr>
        <w:spacing w:line="276" w:lineRule="auto"/>
        <w:ind w:firstLineChars="200" w:firstLine="420"/>
      </w:pPr>
      <w:r>
        <w:rPr>
          <w:rFonts w:hint="eastAsia"/>
        </w:rPr>
        <w:t>注：如在利润分配方案披露之日起至实施权益分派股权登记日期间公司总股本发生变动，公司拟维持每股分配比例不变，相应调整分配总额。</w:t>
      </w:r>
    </w:p>
    <w:p w14:paraId="6CBEC7C5" w14:textId="77777777" w:rsidR="00E57DAA" w:rsidRDefault="00E57DAA" w:rsidP="00C25422">
      <w:pPr>
        <w:pStyle w:val="92"/>
      </w:pPr>
    </w:p>
    <w:p w14:paraId="6E02BBC9" w14:textId="77777777" w:rsidR="00E57DAA" w:rsidRDefault="00AC4185">
      <w:pPr>
        <w:pStyle w:val="2"/>
        <w:numPr>
          <w:ilvl w:val="0"/>
          <w:numId w:val="19"/>
        </w:numPr>
      </w:pPr>
      <w:bookmarkStart w:id="87" w:name="_Toc342565948"/>
      <w:bookmarkStart w:id="88" w:name="_Toc342491956"/>
      <w:r>
        <w:rPr>
          <w:rFonts w:hint="eastAsia"/>
        </w:rPr>
        <w:t>公司股权激励计划、员工持股计划或其他员工激励措施的情况及其影响</w:t>
      </w:r>
      <w:bookmarkEnd w:id="87"/>
      <w:bookmarkEnd w:id="88"/>
    </w:p>
    <w:p w14:paraId="79EB0B85" w14:textId="77777777" w:rsidR="00E57DAA" w:rsidRDefault="00AC4185">
      <w:pPr>
        <w:pStyle w:val="3"/>
        <w:numPr>
          <w:ilvl w:val="1"/>
          <w:numId w:val="26"/>
        </w:numPr>
      </w:pPr>
      <w:r>
        <w:rPr>
          <w:rFonts w:hint="eastAsia"/>
        </w:rPr>
        <w:t>相关激励事项已在临时公告披露且后续实施无进展或变化的</w:t>
      </w:r>
    </w:p>
    <w:sdt>
      <w:sdtPr>
        <w:alias w:val="是否适用：相关激励事项已在临时公告披露且后续实施无进展或变化的[双击切换]"/>
        <w:tag w:val="_GBC_0af9dca2858d42619c57d7878f3a7792"/>
        <w:id w:val="1005945633"/>
        <w:placeholder>
          <w:docPart w:val="GBC22222222222222222222222222222"/>
        </w:placeholder>
      </w:sdtPr>
      <w:sdtEndPr/>
      <w:sdtContent>
        <w:p w14:paraId="4925F71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495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355"/>
      </w:tblGrid>
      <w:tr w:rsidR="00E57DAA" w14:paraId="7A884B0A" w14:textId="77777777">
        <w:sdt>
          <w:sdtPr>
            <w:tag w:val="_PLD_2decbe6d8ce743f4b13927063683e8b3"/>
            <w:id w:val="-235008866"/>
          </w:sdtPr>
          <w:sdtEndPr/>
          <w:sdtContent>
            <w:tc>
              <w:tcPr>
                <w:tcW w:w="2510" w:type="pct"/>
                <w:shd w:val="clear" w:color="auto" w:fill="auto"/>
              </w:tcPr>
              <w:p w14:paraId="5085C882" w14:textId="77777777" w:rsidR="00E57DAA" w:rsidRDefault="00AC4185">
                <w:pPr>
                  <w:jc w:val="center"/>
                  <w:rPr>
                    <w:bCs/>
                    <w:kern w:val="44"/>
                    <w:szCs w:val="21"/>
                  </w:rPr>
                </w:pPr>
                <w:r>
                  <w:rPr>
                    <w:rFonts w:hint="eastAsia"/>
                    <w:bCs/>
                    <w:kern w:val="44"/>
                    <w:szCs w:val="21"/>
                  </w:rPr>
                  <w:t>事项概述</w:t>
                </w:r>
              </w:p>
            </w:tc>
          </w:sdtContent>
        </w:sdt>
        <w:sdt>
          <w:sdtPr>
            <w:tag w:val="_PLD_6c5a6ae67a584eab9a29fd8b549ac825"/>
            <w:id w:val="1519277806"/>
          </w:sdtPr>
          <w:sdtEndPr/>
          <w:sdtContent>
            <w:tc>
              <w:tcPr>
                <w:tcW w:w="2490" w:type="pct"/>
                <w:shd w:val="clear" w:color="auto" w:fill="auto"/>
              </w:tcPr>
              <w:p w14:paraId="376A0D2D" w14:textId="77777777" w:rsidR="00E57DAA" w:rsidRDefault="00AC4185">
                <w:pPr>
                  <w:jc w:val="center"/>
                  <w:rPr>
                    <w:bCs/>
                    <w:kern w:val="44"/>
                    <w:szCs w:val="21"/>
                  </w:rPr>
                </w:pPr>
                <w:r>
                  <w:rPr>
                    <w:rFonts w:hint="eastAsia"/>
                    <w:bCs/>
                    <w:kern w:val="44"/>
                    <w:szCs w:val="21"/>
                  </w:rPr>
                  <w:t>查询索引</w:t>
                </w:r>
              </w:p>
            </w:tc>
          </w:sdtContent>
        </w:sdt>
      </w:tr>
      <w:tr w:rsidR="00E57DAA" w14:paraId="5662A0E9" w14:textId="77777777">
        <w:tc>
          <w:tcPr>
            <w:tcW w:w="2510" w:type="pct"/>
            <w:shd w:val="clear" w:color="auto" w:fill="auto"/>
          </w:tcPr>
          <w:p w14:paraId="59B3BAB6" w14:textId="77777777" w:rsidR="00E57DAA" w:rsidRDefault="00AC4185">
            <w:pPr>
              <w:jc w:val="both"/>
              <w:rPr>
                <w:bCs/>
                <w:kern w:val="44"/>
                <w:szCs w:val="21"/>
              </w:rPr>
            </w:pPr>
            <w:r>
              <w:rPr>
                <w:kern w:val="44"/>
              </w:rPr>
              <w:t>2021年12月20日，公司</w:t>
            </w:r>
            <w:r>
              <w:rPr>
                <w:rFonts w:hint="eastAsia"/>
                <w:kern w:val="44"/>
              </w:rPr>
              <w:t>召开</w:t>
            </w:r>
            <w:r>
              <w:rPr>
                <w:kern w:val="44"/>
              </w:rPr>
              <w:t>第七届董事会第十次会议（临时）、第七届监事会第十次会议审议通过了《公司2021年限制性股票激励计划（草案）及其摘要》、《公司2021年限制性股票激励计划管理办法》、《公司2021年限制性股票激励计划实施考核管理办法》等议案</w:t>
            </w:r>
            <w:r>
              <w:rPr>
                <w:rFonts w:hint="eastAsia"/>
                <w:kern w:val="44"/>
              </w:rPr>
              <w:t>。</w:t>
            </w:r>
            <w:r>
              <w:rPr>
                <w:kern w:val="44"/>
              </w:rPr>
              <w:t>2022年2月18日</w:t>
            </w:r>
            <w:r>
              <w:rPr>
                <w:rFonts w:hint="eastAsia"/>
                <w:kern w:val="44"/>
              </w:rPr>
              <w:t>，公司</w:t>
            </w:r>
            <w:r>
              <w:rPr>
                <w:kern w:val="44"/>
              </w:rPr>
              <w:t>召开第七届董事会第十二次会议（临时）和第七届监事会第十二次会议，审议通过了《公司2021年限制性股票激励计划（草案修订稿）及其摘要》、《公司2021年限制性股票激励计划管理办法（修订稿）》、《公司2021年限制性股票激励计划实施考核管理办法</w:t>
            </w:r>
            <w:r>
              <w:rPr>
                <w:rFonts w:hint="eastAsia"/>
                <w:kern w:val="44"/>
              </w:rPr>
              <w:t>（修订稿）》等相关议案。</w:t>
            </w:r>
            <w:r>
              <w:rPr>
                <w:kern w:val="44"/>
              </w:rPr>
              <w:t>2022年2月28日，公司收到中国建材集团有限公司转发的国资委《关于中国中材国际工程股份有限公司实施限制性股票计划的批复》（国资考分〔2022〕60 号）。2022年3月16日，公司召开2022年第三次临时股东大会，审议通过了公司2021年限制性股票激励计划有关议案。2022年3月24日，公司</w:t>
            </w:r>
            <w:r>
              <w:rPr>
                <w:rFonts w:hint="eastAsia"/>
                <w:kern w:val="44"/>
              </w:rPr>
              <w:t>召开</w:t>
            </w:r>
            <w:r>
              <w:rPr>
                <w:kern w:val="44"/>
              </w:rPr>
              <w:t>第七届董事会第十四次会议（临时）、第七届监事会第十四次会议，审议通过了《关于调整公司</w:t>
            </w:r>
            <w:r>
              <w:rPr>
                <w:kern w:val="44"/>
              </w:rPr>
              <w:lastRenderedPageBreak/>
              <w:t>2021年限制性股票激励计划首次授予激励对象名单及授予权益数量的议案》、《关于向公司2021年限制性股票激励计划激励对象首次授予限制性股票的议案》。2022年4月11日，公司在中国结算上海分公司办理完成公司2021年限制性股票激励计划首次授予登记。</w:t>
            </w:r>
            <w:r>
              <w:rPr>
                <w:rFonts w:hint="eastAsia"/>
                <w:kern w:val="44"/>
              </w:rPr>
              <w:t>2</w:t>
            </w:r>
            <w:r>
              <w:rPr>
                <w:kern w:val="44"/>
              </w:rPr>
              <w:t>023</w:t>
            </w:r>
            <w:r>
              <w:rPr>
                <w:rFonts w:hint="eastAsia"/>
                <w:kern w:val="44"/>
              </w:rPr>
              <w:t>年2月1</w:t>
            </w:r>
            <w:r>
              <w:rPr>
                <w:kern w:val="44"/>
              </w:rPr>
              <w:t>4</w:t>
            </w:r>
            <w:r>
              <w:rPr>
                <w:rFonts w:hint="eastAsia"/>
                <w:kern w:val="44"/>
              </w:rPr>
              <w:t>日，公司召开第七届董事会第二十五次会议（临时）、第七届监事会第二十四次会议审议通过了《关于向公司</w:t>
            </w:r>
            <w:r>
              <w:rPr>
                <w:kern w:val="44"/>
              </w:rPr>
              <w:t>2021年限制性股票激励计划激励对象授予预留限制性股票的议案》</w:t>
            </w:r>
            <w:r>
              <w:rPr>
                <w:rFonts w:hint="eastAsia"/>
                <w:kern w:val="44"/>
              </w:rPr>
              <w:t>。2</w:t>
            </w:r>
            <w:r>
              <w:rPr>
                <w:kern w:val="44"/>
              </w:rPr>
              <w:t>023</w:t>
            </w:r>
            <w:r>
              <w:rPr>
                <w:rFonts w:hint="eastAsia"/>
                <w:kern w:val="44"/>
              </w:rPr>
              <w:t>年4月1</w:t>
            </w:r>
            <w:r>
              <w:rPr>
                <w:kern w:val="44"/>
              </w:rPr>
              <w:t>0</w:t>
            </w:r>
            <w:r>
              <w:rPr>
                <w:rFonts w:hint="eastAsia"/>
                <w:kern w:val="44"/>
              </w:rPr>
              <w:t>日，公司在中国结算上海分公司办理完成公司</w:t>
            </w:r>
            <w:r>
              <w:rPr>
                <w:kern w:val="44"/>
              </w:rPr>
              <w:t>2021年限制性股票激励计划预留授予登记工作</w:t>
            </w:r>
            <w:r>
              <w:rPr>
                <w:rFonts w:hint="eastAsia"/>
                <w:kern w:val="44"/>
              </w:rPr>
              <w:t>。2</w:t>
            </w:r>
            <w:r>
              <w:rPr>
                <w:kern w:val="44"/>
              </w:rPr>
              <w:t>024</w:t>
            </w:r>
            <w:r>
              <w:rPr>
                <w:rFonts w:hint="eastAsia"/>
                <w:kern w:val="44"/>
              </w:rPr>
              <w:t>年2月4日，公司召开第八届董事会第四次会议（临时）、第八届</w:t>
            </w:r>
            <w:r w:rsidR="009B23A5">
              <w:rPr>
                <w:rFonts w:hint="eastAsia"/>
                <w:kern w:val="44"/>
              </w:rPr>
              <w:t>监事会</w:t>
            </w:r>
            <w:r>
              <w:rPr>
                <w:rFonts w:hint="eastAsia"/>
                <w:kern w:val="44"/>
              </w:rPr>
              <w:t>第三次会议，审议通过了《关于回购注销部分限制性股票及调整回购价格的议案》、《关于公司</w:t>
            </w:r>
            <w:r>
              <w:rPr>
                <w:kern w:val="44"/>
              </w:rPr>
              <w:t>2021年限制性股票激励计划首次授予第一个解除限售期解除限售条件成就的议案》</w:t>
            </w:r>
            <w:r>
              <w:rPr>
                <w:rFonts w:hint="eastAsia"/>
                <w:kern w:val="44"/>
              </w:rPr>
              <w:t>。</w:t>
            </w:r>
          </w:p>
        </w:tc>
        <w:tc>
          <w:tcPr>
            <w:tcW w:w="2490" w:type="pct"/>
            <w:shd w:val="clear" w:color="auto" w:fill="auto"/>
          </w:tcPr>
          <w:p w14:paraId="5F0ED086" w14:textId="77777777" w:rsidR="00E57DAA" w:rsidRDefault="00AC4185">
            <w:pPr>
              <w:jc w:val="both"/>
              <w:rPr>
                <w:bCs/>
                <w:kern w:val="44"/>
                <w:szCs w:val="21"/>
              </w:rPr>
            </w:pPr>
            <w:r>
              <w:rPr>
                <w:rFonts w:hint="eastAsia"/>
                <w:kern w:val="44"/>
              </w:rPr>
              <w:lastRenderedPageBreak/>
              <w:t>详情见公司于</w:t>
            </w:r>
            <w:r>
              <w:rPr>
                <w:kern w:val="44"/>
              </w:rPr>
              <w:t>2021年12月21日、2022年2月19日、2022年3月1日、2022年3月17日、2022年3月25日、2022年4月13日</w:t>
            </w:r>
            <w:r>
              <w:rPr>
                <w:rFonts w:hint="eastAsia"/>
                <w:kern w:val="44"/>
              </w:rPr>
              <w:t>、2</w:t>
            </w:r>
            <w:r>
              <w:rPr>
                <w:kern w:val="44"/>
              </w:rPr>
              <w:t>023</w:t>
            </w:r>
            <w:r>
              <w:rPr>
                <w:rFonts w:hint="eastAsia"/>
                <w:kern w:val="44"/>
              </w:rPr>
              <w:t>年2月1</w:t>
            </w:r>
            <w:r>
              <w:rPr>
                <w:kern w:val="44"/>
              </w:rPr>
              <w:t>4</w:t>
            </w:r>
            <w:r>
              <w:rPr>
                <w:rFonts w:hint="eastAsia"/>
                <w:kern w:val="44"/>
              </w:rPr>
              <w:t>日、2</w:t>
            </w:r>
            <w:r>
              <w:rPr>
                <w:kern w:val="44"/>
              </w:rPr>
              <w:t>023</w:t>
            </w:r>
            <w:r>
              <w:rPr>
                <w:rFonts w:hint="eastAsia"/>
                <w:kern w:val="44"/>
              </w:rPr>
              <w:t>年4月1</w:t>
            </w:r>
            <w:r>
              <w:rPr>
                <w:kern w:val="44"/>
              </w:rPr>
              <w:t>2</w:t>
            </w:r>
            <w:r>
              <w:rPr>
                <w:rFonts w:hint="eastAsia"/>
                <w:kern w:val="44"/>
              </w:rPr>
              <w:t>日、2</w:t>
            </w:r>
            <w:r>
              <w:rPr>
                <w:kern w:val="44"/>
              </w:rPr>
              <w:t>024</w:t>
            </w:r>
            <w:r>
              <w:rPr>
                <w:rFonts w:hint="eastAsia"/>
                <w:kern w:val="44"/>
              </w:rPr>
              <w:t>年2月</w:t>
            </w:r>
            <w:r>
              <w:rPr>
                <w:kern w:val="44"/>
              </w:rPr>
              <w:t>6</w:t>
            </w:r>
            <w:r>
              <w:rPr>
                <w:rFonts w:hint="eastAsia"/>
                <w:kern w:val="44"/>
              </w:rPr>
              <w:t>日</w:t>
            </w:r>
            <w:r>
              <w:rPr>
                <w:kern w:val="44"/>
              </w:rPr>
              <w:t>发布的《第七届董事会第十次会议（临时）决议公告》（临 2021-099）、《2021年限制性股票激励计划（草案）摘要公告》（临2021-105）、《第七届监事会第十次会议决议公告》（临2021-109）、《第七届董事会第十二次会议（临时）决议公告》（临 2022-014）、《关于2021年限制性股票激励计划（草案）及相关文件修订说明的公告》（临2022-015）、《2021年限制性股票激励计划（草案修订稿）摘要公告》（临2022-016）、《第七届监事会第十二次会议决议公告》（临2022-017）、《关于2021年限制性股票激励计划获得国务院国资委批复公告》（临2022-019）、《2022年第三次临时股东大会决议公告》（临2022-025）、《第七届董事会第十四次会议（临时）决议公告》（临2022-034）、《关于调整公司2021年限制性股票激励计划首次授予激励对象名单及权益数量的公告》（临2022-</w:t>
            </w:r>
            <w:r>
              <w:rPr>
                <w:kern w:val="44"/>
              </w:rPr>
              <w:lastRenderedPageBreak/>
              <w:t>035）、《关于向公司2021年限制性股票激励计划激励对象首次授予限</w:t>
            </w:r>
            <w:r>
              <w:rPr>
                <w:rFonts w:hint="eastAsia"/>
                <w:kern w:val="44"/>
              </w:rPr>
              <w:t>制性股票的公告》（临</w:t>
            </w:r>
            <w:r>
              <w:rPr>
                <w:kern w:val="44"/>
              </w:rPr>
              <w:t>2022-036）、《第七届监事会第十四次会议决议公告》（临2022-037）</w:t>
            </w:r>
            <w:r>
              <w:rPr>
                <w:rFonts w:hint="eastAsia"/>
                <w:kern w:val="44"/>
              </w:rPr>
              <w:t>、</w:t>
            </w:r>
            <w:r>
              <w:rPr>
                <w:kern w:val="44"/>
              </w:rPr>
              <w:t>《关于2021年限制性股票激励计划首次授予结果公告》（临2022-039）</w:t>
            </w:r>
            <w:r>
              <w:rPr>
                <w:rFonts w:hint="eastAsia"/>
                <w:kern w:val="44"/>
              </w:rPr>
              <w:t>、《第七届董事会第二十五次会议（临时）决议公告》（临2</w:t>
            </w:r>
            <w:r>
              <w:rPr>
                <w:kern w:val="44"/>
              </w:rPr>
              <w:t>023-017</w:t>
            </w:r>
            <w:r>
              <w:rPr>
                <w:rFonts w:hint="eastAsia"/>
                <w:kern w:val="44"/>
              </w:rPr>
              <w:t>）、《关于向公司</w:t>
            </w:r>
            <w:r>
              <w:rPr>
                <w:kern w:val="44"/>
              </w:rPr>
              <w:t>2021年限制性股票激励计划激励对象授予预留限制性股票的公告</w:t>
            </w:r>
            <w:r>
              <w:rPr>
                <w:rFonts w:hint="eastAsia"/>
                <w:kern w:val="44"/>
              </w:rPr>
              <w:t>》（临</w:t>
            </w:r>
            <w:r>
              <w:rPr>
                <w:kern w:val="44"/>
              </w:rPr>
              <w:t>2023-018）</w:t>
            </w:r>
            <w:r>
              <w:rPr>
                <w:rFonts w:hint="eastAsia"/>
                <w:kern w:val="44"/>
              </w:rPr>
              <w:t>、《第七届监事会第二十四次会议决议公告》（临</w:t>
            </w:r>
            <w:r>
              <w:rPr>
                <w:kern w:val="44"/>
              </w:rPr>
              <w:t>2023-019）</w:t>
            </w:r>
            <w:r>
              <w:rPr>
                <w:rFonts w:hint="eastAsia"/>
                <w:kern w:val="44"/>
              </w:rPr>
              <w:t>、《关于</w:t>
            </w:r>
            <w:r>
              <w:rPr>
                <w:kern w:val="44"/>
              </w:rPr>
              <w:t>2021年限制性股票激励计划预留授予结果公告</w:t>
            </w:r>
            <w:r>
              <w:rPr>
                <w:rFonts w:hint="eastAsia"/>
                <w:kern w:val="44"/>
              </w:rPr>
              <w:t>》（临</w:t>
            </w:r>
            <w:r>
              <w:rPr>
                <w:kern w:val="44"/>
              </w:rPr>
              <w:t>2023-033）</w:t>
            </w:r>
            <w:r>
              <w:rPr>
                <w:rFonts w:hint="eastAsia"/>
                <w:kern w:val="44"/>
              </w:rPr>
              <w:t>、《第八届董事会第四次会议（临时）决议公告》（临2</w:t>
            </w:r>
            <w:r>
              <w:rPr>
                <w:kern w:val="44"/>
              </w:rPr>
              <w:t>024-003</w:t>
            </w:r>
            <w:r>
              <w:rPr>
                <w:rFonts w:hint="eastAsia"/>
                <w:kern w:val="44"/>
              </w:rPr>
              <w:t>）、《关于回购注销部分限制性股票及调整回购价格的公告》（临</w:t>
            </w:r>
            <w:r>
              <w:rPr>
                <w:kern w:val="44"/>
              </w:rPr>
              <w:t>2024-</w:t>
            </w:r>
            <w:r>
              <w:rPr>
                <w:rFonts w:hint="eastAsia"/>
                <w:kern w:val="44"/>
              </w:rPr>
              <w:t>0</w:t>
            </w:r>
            <w:r>
              <w:rPr>
                <w:kern w:val="44"/>
              </w:rPr>
              <w:t>06）、</w:t>
            </w:r>
            <w:r>
              <w:rPr>
                <w:rFonts w:hint="eastAsia"/>
                <w:kern w:val="44"/>
              </w:rPr>
              <w:t>《关于</w:t>
            </w:r>
            <w:r>
              <w:rPr>
                <w:kern w:val="44"/>
              </w:rPr>
              <w:t>2021年限制性股票激励计划首次授予第一个解除限售期解除限售条件成就的公告</w:t>
            </w:r>
            <w:r>
              <w:rPr>
                <w:rFonts w:hint="eastAsia"/>
                <w:kern w:val="44"/>
              </w:rPr>
              <w:t>》（临</w:t>
            </w:r>
            <w:r>
              <w:rPr>
                <w:kern w:val="44"/>
              </w:rPr>
              <w:t>2024-</w:t>
            </w:r>
            <w:r>
              <w:rPr>
                <w:rFonts w:hint="eastAsia"/>
                <w:kern w:val="44"/>
              </w:rPr>
              <w:t>0</w:t>
            </w:r>
            <w:r>
              <w:rPr>
                <w:kern w:val="44"/>
              </w:rPr>
              <w:t>07）</w:t>
            </w:r>
            <w:r>
              <w:rPr>
                <w:rFonts w:hint="eastAsia"/>
                <w:kern w:val="44"/>
              </w:rPr>
              <w:t>、《第八届监事会第三次会议决议公告》（临</w:t>
            </w:r>
            <w:r>
              <w:rPr>
                <w:kern w:val="44"/>
              </w:rPr>
              <w:t>2024-009</w:t>
            </w:r>
            <w:r>
              <w:rPr>
                <w:rFonts w:hint="eastAsia"/>
                <w:kern w:val="44"/>
              </w:rPr>
              <w:t>）。</w:t>
            </w:r>
          </w:p>
        </w:tc>
      </w:tr>
    </w:tbl>
    <w:p w14:paraId="20C3EAA1" w14:textId="77777777" w:rsidR="00E57DAA" w:rsidRDefault="00E57DAA" w:rsidP="00C25422">
      <w:pPr>
        <w:pStyle w:val="92"/>
      </w:pPr>
    </w:p>
    <w:p w14:paraId="170CF01E" w14:textId="77777777" w:rsidR="00E57DAA" w:rsidRDefault="00AC4185">
      <w:pPr>
        <w:pStyle w:val="3"/>
        <w:numPr>
          <w:ilvl w:val="1"/>
          <w:numId w:val="26"/>
        </w:numPr>
      </w:pPr>
      <w:r>
        <w:rPr>
          <w:rFonts w:hint="eastAsia"/>
        </w:rPr>
        <w:t>临时公告未披露或有后续进展的激励情况</w:t>
      </w:r>
    </w:p>
    <w:p w14:paraId="66646944" w14:textId="77777777" w:rsidR="00E57DAA" w:rsidRDefault="00AC4185">
      <w:pPr>
        <w:jc w:val="both"/>
      </w:pPr>
      <w:r>
        <w:rPr>
          <w:rFonts w:hint="eastAsia"/>
        </w:rPr>
        <w:t>股权激励情况</w:t>
      </w:r>
    </w:p>
    <w:p w14:paraId="352742A6" w14:textId="77777777" w:rsidR="00E57DAA" w:rsidRDefault="00EB41A1" w:rsidP="00C25422">
      <w:pPr>
        <w:pStyle w:val="92"/>
      </w:pPr>
      <w:sdt>
        <w:sdtPr>
          <w:alias w:val="是否适用：股权激励情况[双击切换]"/>
          <w:tag w:val="_GBC_002ad948ce1449c2a805bfbb132b2202"/>
          <w:id w:val="1295648660"/>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3E34B831" w14:textId="77777777" w:rsidR="00E57DAA" w:rsidRDefault="00E57DAA">
      <w:pPr>
        <w:rPr>
          <w:szCs w:val="21"/>
        </w:rPr>
      </w:pPr>
    </w:p>
    <w:p w14:paraId="078AFA22" w14:textId="77777777" w:rsidR="00E57DAA" w:rsidRDefault="00AC4185">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150594791"/>
        <w:placeholder>
          <w:docPart w:val="GBC22222222222222222222222222222"/>
        </w:placeholder>
      </w:sdtPr>
      <w:sdtEndPr/>
      <w:sdtContent>
        <w:p w14:paraId="79AAA50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899346" w14:textId="77777777" w:rsidR="00E57DAA" w:rsidRDefault="00E57DAA">
      <w:pPr>
        <w:rPr>
          <w:szCs w:val="21"/>
        </w:rPr>
      </w:pPr>
    </w:p>
    <w:p w14:paraId="12E3B1FC" w14:textId="77777777" w:rsidR="00E57DAA" w:rsidRDefault="00AC4185">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812798163"/>
        <w:placeholder>
          <w:docPart w:val="GBC22222222222222222222222222222"/>
        </w:placeholder>
      </w:sdtPr>
      <w:sdtEndPr/>
      <w:sdtContent>
        <w:p w14:paraId="442FC3F3" w14:textId="77777777" w:rsidR="00E57DAA" w:rsidRDefault="00AC4185">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777D0BFA" w14:textId="77777777" w:rsidR="00E57DAA" w:rsidRDefault="00E57DAA">
      <w:pPr>
        <w:rPr>
          <w:bCs/>
          <w:szCs w:val="21"/>
        </w:rPr>
      </w:pPr>
    </w:p>
    <w:p w14:paraId="134179B2" w14:textId="77777777" w:rsidR="00E57DAA" w:rsidRDefault="00AC4185">
      <w:pPr>
        <w:rPr>
          <w:bCs/>
          <w:szCs w:val="21"/>
        </w:rPr>
      </w:pPr>
      <w:r>
        <w:rPr>
          <w:rFonts w:hint="eastAsia"/>
          <w:bCs/>
          <w:szCs w:val="21"/>
        </w:rPr>
        <w:t>其他激励措施</w:t>
      </w:r>
    </w:p>
    <w:p w14:paraId="51E66F84" w14:textId="77777777" w:rsidR="00E57DAA" w:rsidRDefault="00EB41A1">
      <w:pPr>
        <w:rPr>
          <w:szCs w:val="21"/>
        </w:rPr>
      </w:pPr>
      <w:sdt>
        <w:sdtPr>
          <w:rPr>
            <w:szCs w:val="21"/>
          </w:rPr>
          <w:alias w:val="是否适用：其他激励措施[双击切换]"/>
          <w:tag w:val="_GBC_1273f753309d4658962c7982b10fa010"/>
          <w:id w:val="-1429578258"/>
          <w:placeholder>
            <w:docPart w:val="GBC22222222222222222222222222222"/>
          </w:placeholder>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r w:rsidR="00C25422">
        <w:rPr>
          <w:szCs w:val="21"/>
        </w:rPr>
        <w:t xml:space="preserve"> </w:t>
      </w:r>
    </w:p>
    <w:p w14:paraId="1050EA3B" w14:textId="77777777" w:rsidR="00C25422" w:rsidRDefault="00C25422">
      <w:pPr>
        <w:rPr>
          <w:bCs/>
          <w:szCs w:val="21"/>
        </w:rPr>
      </w:pPr>
    </w:p>
    <w:p w14:paraId="0B3693A8" w14:textId="77777777" w:rsidR="00E57DAA" w:rsidRDefault="00AC4185">
      <w:pPr>
        <w:pStyle w:val="3"/>
        <w:numPr>
          <w:ilvl w:val="1"/>
          <w:numId w:val="26"/>
        </w:numPr>
      </w:pPr>
      <w:r>
        <w:rPr>
          <w:rFonts w:hint="eastAsia"/>
        </w:rPr>
        <w:t>董事、高级管理人员报告期内被授予的</w:t>
      </w:r>
      <w:r>
        <w:rPr>
          <w:rFonts w:hint="eastAsia"/>
          <w:kern w:val="44"/>
        </w:rPr>
        <w:t>股权</w:t>
      </w:r>
      <w:r>
        <w:rPr>
          <w:rFonts w:hint="eastAsia"/>
        </w:rPr>
        <w:t>激励情况</w:t>
      </w:r>
    </w:p>
    <w:p w14:paraId="47CB4CAD" w14:textId="77777777" w:rsidR="00E57DAA" w:rsidRDefault="00EB41A1">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686752667"/>
          <w:placeholder>
            <w:docPart w:val="GBC22222222222222222222222222222"/>
          </w:placeholder>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p>
    <w:p w14:paraId="5D496EF9" w14:textId="77777777" w:rsidR="00E57DAA" w:rsidRDefault="00E57DAA">
      <w:pPr>
        <w:kinsoku w:val="0"/>
        <w:overflowPunct w:val="0"/>
        <w:autoSpaceDE w:val="0"/>
        <w:autoSpaceDN w:val="0"/>
        <w:adjustRightInd w:val="0"/>
        <w:snapToGrid w:val="0"/>
        <w:rPr>
          <w:color w:val="0000FF"/>
          <w:szCs w:val="21"/>
        </w:rPr>
      </w:pPr>
    </w:p>
    <w:bookmarkStart w:id="89" w:name="_Hlk56780992" w:displacedByCustomXml="next"/>
    <w:sdt>
      <w:sdtPr>
        <w:rPr>
          <w:rFonts w:hint="eastAsia"/>
          <w:szCs w:val="21"/>
        </w:rPr>
        <w:alias w:val="是否适用：董事、监事、高级管理人员报告期内被授予的限制性股票激励情况[双击切换]"/>
        <w:tag w:val="_GBC_fab645ff85b74c30b698dafe2aa5cba6"/>
        <w:id w:val="641620058"/>
        <w:placeholder>
          <w:docPart w:val="GBC22222222222222222222222222222"/>
        </w:placeholder>
      </w:sdtPr>
      <w:sdtEndPr/>
      <w:sdtContent>
        <w:p w14:paraId="65333666" w14:textId="77777777" w:rsidR="00E57DAA" w:rsidRDefault="00AC4185">
          <w:pPr>
            <w:kinsoku w:val="0"/>
            <w:overflowPunct w:val="0"/>
            <w:autoSpaceDE w:val="0"/>
            <w:autoSpaceDN w:val="0"/>
            <w:adjustRightInd w:val="0"/>
            <w:snapToGrid w:val="0"/>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BACF20" w14:textId="77777777" w:rsidR="00E57DAA" w:rsidRDefault="00AC4185">
      <w:pPr>
        <w:kinsoku w:val="0"/>
        <w:overflowPunct w:val="0"/>
        <w:autoSpaceDE w:val="0"/>
        <w:autoSpaceDN w:val="0"/>
        <w:adjustRightInd w:val="0"/>
        <w:snapToGrid w:val="0"/>
        <w:jc w:val="right"/>
        <w:rPr>
          <w:szCs w:val="21"/>
        </w:rPr>
      </w:pPr>
      <w:r>
        <w:rPr>
          <w:rFonts w:hint="eastAsia"/>
          <w:szCs w:val="21"/>
        </w:rPr>
        <w:t>单位:</w:t>
      </w:r>
      <w:sdt>
        <w:sdtPr>
          <w:rPr>
            <w:rFonts w:hint="eastAsia"/>
            <w:szCs w:val="21"/>
          </w:rPr>
          <w:alias w:val="单位：董事、监事、高级管理人员报告期内被授予的股权激励情况"/>
          <w:tag w:val="_GBC_fd6c88cda94949d6a3e4b29026628a1d"/>
          <w:id w:val="-955096412"/>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aff6"/>
        <w:tblW w:w="5000" w:type="pct"/>
        <w:tblLook w:val="04A0" w:firstRow="1" w:lastRow="0" w:firstColumn="1" w:lastColumn="0" w:noHBand="0" w:noVBand="1"/>
      </w:tblPr>
      <w:tblGrid>
        <w:gridCol w:w="724"/>
        <w:gridCol w:w="832"/>
        <w:gridCol w:w="1161"/>
        <w:gridCol w:w="969"/>
        <w:gridCol w:w="920"/>
        <w:gridCol w:w="1010"/>
        <w:gridCol w:w="1161"/>
        <w:gridCol w:w="1161"/>
        <w:gridCol w:w="885"/>
      </w:tblGrid>
      <w:tr w:rsidR="00E57DAA" w14:paraId="6C673DBA" w14:textId="77777777">
        <w:sdt>
          <w:sdtPr>
            <w:tag w:val="_PLD_c9bbc87e326c4f249ca30ca583c2371e"/>
            <w:id w:val="2063048474"/>
          </w:sdtPr>
          <w:sdtEndPr/>
          <w:sdtContent>
            <w:tc>
              <w:tcPr>
                <w:tcW w:w="435" w:type="pct"/>
                <w:vAlign w:val="center"/>
              </w:tcPr>
              <w:p w14:paraId="31A90A4B" w14:textId="77777777" w:rsidR="00E57DAA" w:rsidRDefault="00AC4185">
                <w:pPr>
                  <w:kinsoku w:val="0"/>
                  <w:overflowPunct w:val="0"/>
                  <w:autoSpaceDE w:val="0"/>
                  <w:autoSpaceDN w:val="0"/>
                  <w:adjustRightInd w:val="0"/>
                  <w:snapToGrid w:val="0"/>
                  <w:jc w:val="center"/>
                  <w:rPr>
                    <w:szCs w:val="21"/>
                  </w:rPr>
                </w:pPr>
                <w:r>
                  <w:rPr>
                    <w:rFonts w:hint="eastAsia"/>
                    <w:szCs w:val="21"/>
                  </w:rPr>
                  <w:t>姓名</w:t>
                </w:r>
              </w:p>
            </w:tc>
          </w:sdtContent>
        </w:sdt>
        <w:sdt>
          <w:sdtPr>
            <w:tag w:val="_PLD_0f5c9d3a544444b980080b1d8d4d85eb"/>
            <w:id w:val="372349634"/>
          </w:sdtPr>
          <w:sdtEndPr/>
          <w:sdtContent>
            <w:tc>
              <w:tcPr>
                <w:tcW w:w="496" w:type="pct"/>
                <w:vAlign w:val="center"/>
              </w:tcPr>
              <w:p w14:paraId="3CFCA8E7" w14:textId="77777777" w:rsidR="00E57DAA" w:rsidRDefault="00AC4185">
                <w:pPr>
                  <w:kinsoku w:val="0"/>
                  <w:overflowPunct w:val="0"/>
                  <w:autoSpaceDE w:val="0"/>
                  <w:autoSpaceDN w:val="0"/>
                  <w:adjustRightInd w:val="0"/>
                  <w:snapToGrid w:val="0"/>
                  <w:jc w:val="center"/>
                  <w:rPr>
                    <w:szCs w:val="21"/>
                  </w:rPr>
                </w:pPr>
                <w:r>
                  <w:rPr>
                    <w:rFonts w:hint="eastAsia"/>
                    <w:szCs w:val="21"/>
                  </w:rPr>
                  <w:t>职务</w:t>
                </w:r>
              </w:p>
            </w:tc>
          </w:sdtContent>
        </w:sdt>
        <w:sdt>
          <w:sdtPr>
            <w:tag w:val="_PLD_bc6ad7db9a354aa8970b23561b28ee9a"/>
            <w:id w:val="1628900627"/>
          </w:sdtPr>
          <w:sdtEndPr/>
          <w:sdtContent>
            <w:tc>
              <w:tcPr>
                <w:tcW w:w="659" w:type="pct"/>
                <w:vAlign w:val="center"/>
              </w:tcPr>
              <w:p w14:paraId="43E86E99" w14:textId="77777777" w:rsidR="00E57DAA" w:rsidRDefault="00AC4185">
                <w:pPr>
                  <w:kinsoku w:val="0"/>
                  <w:overflowPunct w:val="0"/>
                  <w:autoSpaceDE w:val="0"/>
                  <w:autoSpaceDN w:val="0"/>
                  <w:adjustRightInd w:val="0"/>
                  <w:snapToGrid w:val="0"/>
                  <w:jc w:val="center"/>
                  <w:rPr>
                    <w:szCs w:val="21"/>
                  </w:rPr>
                </w:pPr>
                <w:r>
                  <w:rPr>
                    <w:rFonts w:hint="eastAsia"/>
                    <w:szCs w:val="21"/>
                  </w:rPr>
                  <w:t>年</w:t>
                </w:r>
                <w:r>
                  <w:rPr>
                    <w:szCs w:val="21"/>
                  </w:rPr>
                  <w:t>初持有限制性股票数量</w:t>
                </w:r>
              </w:p>
            </w:tc>
          </w:sdtContent>
        </w:sdt>
        <w:sdt>
          <w:sdtPr>
            <w:tag w:val="_PLD_e9aed798fa4f41c8983f815df23bfc9e"/>
            <w:id w:val="-549841469"/>
          </w:sdtPr>
          <w:sdtEndPr/>
          <w:sdtContent>
            <w:tc>
              <w:tcPr>
                <w:tcW w:w="597" w:type="pct"/>
                <w:vAlign w:val="center"/>
              </w:tcPr>
              <w:p w14:paraId="46E7C4C4" w14:textId="77777777" w:rsidR="00E57DAA" w:rsidRDefault="00AC4185">
                <w:pPr>
                  <w:kinsoku w:val="0"/>
                  <w:overflowPunct w:val="0"/>
                  <w:autoSpaceDE w:val="0"/>
                  <w:autoSpaceDN w:val="0"/>
                  <w:adjustRightInd w:val="0"/>
                  <w:snapToGrid w:val="0"/>
                  <w:jc w:val="center"/>
                  <w:rPr>
                    <w:szCs w:val="21"/>
                  </w:rPr>
                </w:pPr>
                <w:r>
                  <w:rPr>
                    <w:szCs w:val="21"/>
                  </w:rPr>
                  <w:t>报告期新授予限制性股票数量</w:t>
                </w:r>
              </w:p>
            </w:tc>
          </w:sdtContent>
        </w:sdt>
        <w:sdt>
          <w:sdtPr>
            <w:tag w:val="_PLD_303c7257ef864533a238566b9850dc2b"/>
            <w:id w:val="571476535"/>
          </w:sdtPr>
          <w:sdtEndPr/>
          <w:sdtContent>
            <w:tc>
              <w:tcPr>
                <w:tcW w:w="546" w:type="pct"/>
                <w:vAlign w:val="center"/>
              </w:tcPr>
              <w:p w14:paraId="44745D3B" w14:textId="77777777" w:rsidR="00E57DAA" w:rsidRDefault="00AC4185">
                <w:pPr>
                  <w:kinsoku w:val="0"/>
                  <w:overflowPunct w:val="0"/>
                  <w:autoSpaceDE w:val="0"/>
                  <w:autoSpaceDN w:val="0"/>
                  <w:adjustRightInd w:val="0"/>
                  <w:snapToGrid w:val="0"/>
                  <w:jc w:val="center"/>
                  <w:rPr>
                    <w:szCs w:val="21"/>
                  </w:rPr>
                </w:pPr>
                <w:r>
                  <w:rPr>
                    <w:szCs w:val="21"/>
                  </w:rPr>
                  <w:t>限制性股票的授予价格</w:t>
                </w:r>
              </w:p>
              <w:p w14:paraId="3F298BF5" w14:textId="77777777" w:rsidR="00E57DAA" w:rsidRDefault="00AC4185">
                <w:pPr>
                  <w:kinsoku w:val="0"/>
                  <w:overflowPunct w:val="0"/>
                  <w:autoSpaceDE w:val="0"/>
                  <w:autoSpaceDN w:val="0"/>
                  <w:adjustRightInd w:val="0"/>
                  <w:snapToGrid w:val="0"/>
                  <w:jc w:val="center"/>
                  <w:rPr>
                    <w:szCs w:val="21"/>
                  </w:rPr>
                </w:pPr>
                <w:r>
                  <w:rPr>
                    <w:szCs w:val="21"/>
                  </w:rPr>
                  <w:t>（元）</w:t>
                </w:r>
              </w:p>
            </w:tc>
          </w:sdtContent>
        </w:sdt>
        <w:sdt>
          <w:sdtPr>
            <w:tag w:val="_PLD_aadbcbfa95d44aae8fb08edd516c6c4d"/>
            <w:id w:val="962616561"/>
          </w:sdtPr>
          <w:sdtEndPr/>
          <w:sdtContent>
            <w:tc>
              <w:tcPr>
                <w:tcW w:w="597" w:type="pct"/>
                <w:vAlign w:val="center"/>
              </w:tcPr>
              <w:p w14:paraId="37EB0295" w14:textId="77777777" w:rsidR="00E57DAA" w:rsidRDefault="00AC4185">
                <w:pPr>
                  <w:kinsoku w:val="0"/>
                  <w:overflowPunct w:val="0"/>
                  <w:autoSpaceDE w:val="0"/>
                  <w:autoSpaceDN w:val="0"/>
                  <w:adjustRightInd w:val="0"/>
                  <w:snapToGrid w:val="0"/>
                  <w:jc w:val="center"/>
                  <w:rPr>
                    <w:szCs w:val="21"/>
                  </w:rPr>
                </w:pPr>
                <w:r>
                  <w:rPr>
                    <w:szCs w:val="21"/>
                  </w:rPr>
                  <w:t>已解锁股份</w:t>
                </w:r>
              </w:p>
            </w:tc>
          </w:sdtContent>
        </w:sdt>
        <w:sdt>
          <w:sdtPr>
            <w:tag w:val="_PLD_63c4030dc8754c0bb4fe02ea53b33c48"/>
            <w:id w:val="-317189204"/>
          </w:sdtPr>
          <w:sdtEndPr/>
          <w:sdtContent>
            <w:tc>
              <w:tcPr>
                <w:tcW w:w="597" w:type="pct"/>
                <w:vAlign w:val="center"/>
              </w:tcPr>
              <w:p w14:paraId="4DCEDA08" w14:textId="77777777" w:rsidR="00E57DAA" w:rsidRDefault="00AC4185">
                <w:pPr>
                  <w:kinsoku w:val="0"/>
                  <w:overflowPunct w:val="0"/>
                  <w:autoSpaceDE w:val="0"/>
                  <w:autoSpaceDN w:val="0"/>
                  <w:adjustRightInd w:val="0"/>
                  <w:snapToGrid w:val="0"/>
                  <w:jc w:val="center"/>
                  <w:rPr>
                    <w:szCs w:val="21"/>
                  </w:rPr>
                </w:pPr>
                <w:r>
                  <w:rPr>
                    <w:szCs w:val="21"/>
                  </w:rPr>
                  <w:t>未解锁股份</w:t>
                </w:r>
              </w:p>
            </w:tc>
          </w:sdtContent>
        </w:sdt>
        <w:sdt>
          <w:sdtPr>
            <w:tag w:val="_PLD_8bd0578e24f24186a40ea12feaed00ee"/>
            <w:id w:val="-316336913"/>
          </w:sdtPr>
          <w:sdtEndPr/>
          <w:sdtContent>
            <w:tc>
              <w:tcPr>
                <w:tcW w:w="547" w:type="pct"/>
                <w:vAlign w:val="center"/>
              </w:tcPr>
              <w:p w14:paraId="138F3ED3" w14:textId="77777777" w:rsidR="00E57DAA" w:rsidRDefault="00AC4185">
                <w:pPr>
                  <w:kinsoku w:val="0"/>
                  <w:overflowPunct w:val="0"/>
                  <w:autoSpaceDE w:val="0"/>
                  <w:autoSpaceDN w:val="0"/>
                  <w:adjustRightInd w:val="0"/>
                  <w:snapToGrid w:val="0"/>
                  <w:jc w:val="center"/>
                  <w:rPr>
                    <w:szCs w:val="21"/>
                  </w:rPr>
                </w:pPr>
                <w:r>
                  <w:rPr>
                    <w:szCs w:val="21"/>
                  </w:rPr>
                  <w:t>期末持有限制性股票数量</w:t>
                </w:r>
              </w:p>
            </w:tc>
          </w:sdtContent>
        </w:sdt>
        <w:sdt>
          <w:sdtPr>
            <w:tag w:val="_PLD_187f1fb43a3442bc943be5430b7104ae"/>
            <w:id w:val="1313761389"/>
          </w:sdtPr>
          <w:sdtEndPr/>
          <w:sdtContent>
            <w:tc>
              <w:tcPr>
                <w:tcW w:w="527" w:type="pct"/>
                <w:vAlign w:val="center"/>
              </w:tcPr>
              <w:p w14:paraId="7969D6ED" w14:textId="77777777" w:rsidR="00E57DAA" w:rsidRDefault="00AC4185">
                <w:pPr>
                  <w:kinsoku w:val="0"/>
                  <w:overflowPunct w:val="0"/>
                  <w:autoSpaceDE w:val="0"/>
                  <w:autoSpaceDN w:val="0"/>
                  <w:adjustRightInd w:val="0"/>
                  <w:snapToGrid w:val="0"/>
                  <w:jc w:val="center"/>
                  <w:rPr>
                    <w:szCs w:val="21"/>
                  </w:rPr>
                </w:pPr>
                <w:r>
                  <w:rPr>
                    <w:szCs w:val="21"/>
                  </w:rPr>
                  <w:t>报告期末市价（元）</w:t>
                </w:r>
              </w:p>
            </w:tc>
          </w:sdtContent>
        </w:sdt>
      </w:tr>
      <w:tr w:rsidR="00E57DAA" w14:paraId="10E31FB4" w14:textId="77777777">
        <w:tc>
          <w:tcPr>
            <w:tcW w:w="435" w:type="pct"/>
          </w:tcPr>
          <w:p w14:paraId="4FB7FDAF"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cstheme="minorBidi" w:hint="eastAsia"/>
                <w:kern w:val="2"/>
                <w:szCs w:val="21"/>
              </w:rPr>
              <w:t>印志松</w:t>
            </w:r>
          </w:p>
        </w:tc>
        <w:tc>
          <w:tcPr>
            <w:tcW w:w="496" w:type="pct"/>
            <w:vAlign w:val="center"/>
          </w:tcPr>
          <w:p w14:paraId="608BF8D1" w14:textId="77777777" w:rsidR="00E57DAA" w:rsidRDefault="00AC4185">
            <w:pPr>
              <w:kinsoku w:val="0"/>
              <w:overflowPunct w:val="0"/>
              <w:autoSpaceDE w:val="0"/>
              <w:autoSpaceDN w:val="0"/>
              <w:adjustRightInd w:val="0"/>
              <w:snapToGrid w:val="0"/>
              <w:rPr>
                <w:szCs w:val="21"/>
              </w:rPr>
            </w:pPr>
            <w:r>
              <w:rPr>
                <w:rFonts w:ascii="Times New Roman" w:hAnsi="Times New Roman" w:hint="eastAsia"/>
                <w:color w:val="000000"/>
                <w:szCs w:val="21"/>
              </w:rPr>
              <w:t>董事长</w:t>
            </w:r>
          </w:p>
        </w:tc>
        <w:tc>
          <w:tcPr>
            <w:tcW w:w="659" w:type="pct"/>
            <w:vAlign w:val="center"/>
          </w:tcPr>
          <w:p w14:paraId="74D54662" w14:textId="77777777" w:rsidR="00E57DAA" w:rsidRDefault="00AC4185">
            <w:pPr>
              <w:kinsoku w:val="0"/>
              <w:overflowPunct w:val="0"/>
              <w:autoSpaceDE w:val="0"/>
              <w:autoSpaceDN w:val="0"/>
              <w:adjustRightInd w:val="0"/>
              <w:snapToGrid w:val="0"/>
              <w:jc w:val="center"/>
              <w:rPr>
                <w:szCs w:val="21"/>
              </w:rPr>
            </w:pPr>
            <w:r>
              <w:rPr>
                <w:szCs w:val="21"/>
              </w:rPr>
              <w:t>314,000</w:t>
            </w:r>
          </w:p>
        </w:tc>
        <w:tc>
          <w:tcPr>
            <w:tcW w:w="597" w:type="pct"/>
            <w:vAlign w:val="center"/>
          </w:tcPr>
          <w:p w14:paraId="34FA2359"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7B2AF002"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39468566"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61785984" w14:textId="77777777" w:rsidR="00E57DAA" w:rsidRDefault="00AC4185">
            <w:pPr>
              <w:kinsoku w:val="0"/>
              <w:overflowPunct w:val="0"/>
              <w:autoSpaceDE w:val="0"/>
              <w:autoSpaceDN w:val="0"/>
              <w:adjustRightInd w:val="0"/>
              <w:snapToGrid w:val="0"/>
              <w:jc w:val="center"/>
              <w:rPr>
                <w:szCs w:val="21"/>
              </w:rPr>
            </w:pPr>
            <w:r>
              <w:t>314,000</w:t>
            </w:r>
          </w:p>
        </w:tc>
        <w:tc>
          <w:tcPr>
            <w:tcW w:w="547" w:type="pct"/>
            <w:vAlign w:val="center"/>
          </w:tcPr>
          <w:p w14:paraId="610F1762" w14:textId="77777777" w:rsidR="00E57DAA" w:rsidRDefault="00AC4185">
            <w:pPr>
              <w:kinsoku w:val="0"/>
              <w:overflowPunct w:val="0"/>
              <w:autoSpaceDE w:val="0"/>
              <w:autoSpaceDN w:val="0"/>
              <w:adjustRightInd w:val="0"/>
              <w:snapToGrid w:val="0"/>
              <w:jc w:val="center"/>
              <w:rPr>
                <w:szCs w:val="21"/>
              </w:rPr>
            </w:pPr>
            <w:r>
              <w:t>314,000</w:t>
            </w:r>
          </w:p>
        </w:tc>
        <w:tc>
          <w:tcPr>
            <w:tcW w:w="527" w:type="pct"/>
            <w:vAlign w:val="center"/>
          </w:tcPr>
          <w:p w14:paraId="1B01032A"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1F2BAF81" w14:textId="77777777">
        <w:tc>
          <w:tcPr>
            <w:tcW w:w="435" w:type="pct"/>
          </w:tcPr>
          <w:p w14:paraId="7443EDC4" w14:textId="77777777" w:rsidR="00E57DAA" w:rsidRDefault="00AC4185">
            <w:pPr>
              <w:kinsoku w:val="0"/>
              <w:overflowPunct w:val="0"/>
              <w:autoSpaceDE w:val="0"/>
              <w:autoSpaceDN w:val="0"/>
              <w:adjustRightInd w:val="0"/>
              <w:snapToGrid w:val="0"/>
              <w:ind w:leftChars="-50" w:left="-105" w:rightChars="-50" w:right="-105"/>
              <w:rPr>
                <w:rFonts w:cstheme="minorBidi"/>
                <w:kern w:val="2"/>
                <w:szCs w:val="21"/>
              </w:rPr>
            </w:pPr>
            <w:r>
              <w:rPr>
                <w:rFonts w:cstheme="minorBidi" w:hint="eastAsia"/>
                <w:kern w:val="2"/>
                <w:szCs w:val="21"/>
              </w:rPr>
              <w:t>朱</w:t>
            </w:r>
            <w:r w:rsidR="00816720">
              <w:rPr>
                <w:rFonts w:cstheme="minorBidi" w:hint="eastAsia"/>
                <w:kern w:val="2"/>
                <w:szCs w:val="21"/>
              </w:rPr>
              <w:t xml:space="preserve">  </w:t>
            </w:r>
            <w:r>
              <w:rPr>
                <w:rFonts w:cstheme="minorBidi" w:hint="eastAsia"/>
                <w:kern w:val="2"/>
                <w:szCs w:val="21"/>
              </w:rPr>
              <w:t>兵</w:t>
            </w:r>
          </w:p>
        </w:tc>
        <w:tc>
          <w:tcPr>
            <w:tcW w:w="496" w:type="pct"/>
            <w:vAlign w:val="center"/>
          </w:tcPr>
          <w:p w14:paraId="6D056CF0" w14:textId="77777777" w:rsidR="00E57DAA" w:rsidRDefault="00AC4185">
            <w:pPr>
              <w:kinsoku w:val="0"/>
              <w:overflowPunct w:val="0"/>
              <w:autoSpaceDE w:val="0"/>
              <w:autoSpaceDN w:val="0"/>
              <w:adjustRightInd w:val="0"/>
              <w:snapToGrid w:val="0"/>
              <w:rPr>
                <w:rFonts w:ascii="Times New Roman" w:hAnsi="Times New Roman"/>
                <w:color w:val="000000"/>
                <w:szCs w:val="21"/>
              </w:rPr>
            </w:pPr>
            <w:r>
              <w:rPr>
                <w:rFonts w:ascii="Times New Roman" w:hAnsi="Times New Roman" w:hint="eastAsia"/>
                <w:color w:val="000000"/>
                <w:szCs w:val="21"/>
              </w:rPr>
              <w:t>董事、总裁</w:t>
            </w:r>
          </w:p>
        </w:tc>
        <w:tc>
          <w:tcPr>
            <w:tcW w:w="659" w:type="pct"/>
            <w:vAlign w:val="center"/>
          </w:tcPr>
          <w:p w14:paraId="04313365" w14:textId="77777777" w:rsidR="00E57DAA" w:rsidRDefault="00AC4185">
            <w:pPr>
              <w:kinsoku w:val="0"/>
              <w:overflowPunct w:val="0"/>
              <w:autoSpaceDE w:val="0"/>
              <w:autoSpaceDN w:val="0"/>
              <w:adjustRightInd w:val="0"/>
              <w:snapToGrid w:val="0"/>
              <w:jc w:val="center"/>
              <w:rPr>
                <w:szCs w:val="21"/>
              </w:rPr>
            </w:pPr>
            <w:r>
              <w:rPr>
                <w:szCs w:val="21"/>
              </w:rPr>
              <w:t>0</w:t>
            </w:r>
          </w:p>
        </w:tc>
        <w:tc>
          <w:tcPr>
            <w:tcW w:w="597" w:type="pct"/>
            <w:vAlign w:val="center"/>
          </w:tcPr>
          <w:p w14:paraId="6E8D5513" w14:textId="77777777" w:rsidR="00E57DAA" w:rsidRDefault="00AC4185">
            <w:pPr>
              <w:kinsoku w:val="0"/>
              <w:overflowPunct w:val="0"/>
              <w:autoSpaceDE w:val="0"/>
              <w:autoSpaceDN w:val="0"/>
              <w:adjustRightInd w:val="0"/>
              <w:snapToGrid w:val="0"/>
              <w:jc w:val="center"/>
              <w:rPr>
                <w:szCs w:val="21"/>
              </w:rPr>
            </w:pPr>
            <w:r>
              <w:rPr>
                <w:szCs w:val="21"/>
              </w:rPr>
              <w:t>282,073</w:t>
            </w:r>
          </w:p>
        </w:tc>
        <w:tc>
          <w:tcPr>
            <w:tcW w:w="546" w:type="pct"/>
            <w:vAlign w:val="center"/>
          </w:tcPr>
          <w:p w14:paraId="3F059A43" w14:textId="77777777" w:rsidR="00E57DAA" w:rsidRDefault="00AC4185">
            <w:pPr>
              <w:kinsoku w:val="0"/>
              <w:overflowPunct w:val="0"/>
              <w:autoSpaceDE w:val="0"/>
              <w:autoSpaceDN w:val="0"/>
              <w:adjustRightInd w:val="0"/>
              <w:snapToGrid w:val="0"/>
              <w:jc w:val="center"/>
              <w:rPr>
                <w:szCs w:val="21"/>
              </w:rPr>
            </w:pPr>
            <w:r>
              <w:rPr>
                <w:rFonts w:hint="eastAsia"/>
                <w:szCs w:val="21"/>
              </w:rPr>
              <w:t>5</w:t>
            </w:r>
            <w:r>
              <w:rPr>
                <w:szCs w:val="21"/>
              </w:rPr>
              <w:t>.74</w:t>
            </w:r>
          </w:p>
        </w:tc>
        <w:tc>
          <w:tcPr>
            <w:tcW w:w="597" w:type="pct"/>
            <w:vAlign w:val="center"/>
          </w:tcPr>
          <w:p w14:paraId="54FBC698"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59FE8F48" w14:textId="77777777" w:rsidR="00E57DAA" w:rsidRDefault="00AC4185">
            <w:pPr>
              <w:kinsoku w:val="0"/>
              <w:overflowPunct w:val="0"/>
              <w:autoSpaceDE w:val="0"/>
              <w:autoSpaceDN w:val="0"/>
              <w:adjustRightInd w:val="0"/>
              <w:snapToGrid w:val="0"/>
              <w:jc w:val="center"/>
              <w:rPr>
                <w:szCs w:val="21"/>
              </w:rPr>
            </w:pPr>
            <w:r>
              <w:t>282,073</w:t>
            </w:r>
          </w:p>
        </w:tc>
        <w:tc>
          <w:tcPr>
            <w:tcW w:w="547" w:type="pct"/>
            <w:vAlign w:val="center"/>
          </w:tcPr>
          <w:p w14:paraId="15CBA3BC" w14:textId="77777777" w:rsidR="00E57DAA" w:rsidRDefault="00AC4185">
            <w:pPr>
              <w:kinsoku w:val="0"/>
              <w:overflowPunct w:val="0"/>
              <w:autoSpaceDE w:val="0"/>
              <w:autoSpaceDN w:val="0"/>
              <w:adjustRightInd w:val="0"/>
              <w:snapToGrid w:val="0"/>
              <w:jc w:val="center"/>
              <w:rPr>
                <w:szCs w:val="21"/>
              </w:rPr>
            </w:pPr>
            <w:r>
              <w:t>282,073</w:t>
            </w:r>
          </w:p>
        </w:tc>
        <w:tc>
          <w:tcPr>
            <w:tcW w:w="527" w:type="pct"/>
            <w:vAlign w:val="center"/>
          </w:tcPr>
          <w:p w14:paraId="40553053"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1902B155" w14:textId="77777777">
        <w:tc>
          <w:tcPr>
            <w:tcW w:w="435" w:type="pct"/>
            <w:vAlign w:val="center"/>
          </w:tcPr>
          <w:p w14:paraId="69F8A90C"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何小龙</w:t>
            </w:r>
          </w:p>
        </w:tc>
        <w:tc>
          <w:tcPr>
            <w:tcW w:w="496" w:type="pct"/>
            <w:vAlign w:val="center"/>
          </w:tcPr>
          <w:p w14:paraId="037A329D" w14:textId="77777777" w:rsidR="00E57DAA" w:rsidRDefault="00AC4185">
            <w:pPr>
              <w:kinsoku w:val="0"/>
              <w:overflowPunct w:val="0"/>
              <w:autoSpaceDE w:val="0"/>
              <w:autoSpaceDN w:val="0"/>
              <w:adjustRightInd w:val="0"/>
              <w:snapToGrid w:val="0"/>
              <w:rPr>
                <w:szCs w:val="21"/>
              </w:rPr>
            </w:pPr>
            <w:r>
              <w:rPr>
                <w:rFonts w:ascii="Times New Roman" w:hAnsi="Times New Roman" w:hint="eastAsia"/>
                <w:color w:val="000000"/>
                <w:szCs w:val="21"/>
              </w:rPr>
              <w:t>董</w:t>
            </w:r>
            <w:r>
              <w:rPr>
                <w:rFonts w:ascii="Times New Roman" w:hAnsi="Times New Roman" w:hint="eastAsia"/>
                <w:color w:val="000000"/>
                <w:szCs w:val="21"/>
              </w:rPr>
              <w:t xml:space="preserve">    </w:t>
            </w:r>
            <w:r>
              <w:rPr>
                <w:rFonts w:ascii="Times New Roman" w:hAnsi="Times New Roman" w:hint="eastAsia"/>
                <w:color w:val="000000"/>
                <w:szCs w:val="21"/>
              </w:rPr>
              <w:t>事</w:t>
            </w:r>
          </w:p>
        </w:tc>
        <w:tc>
          <w:tcPr>
            <w:tcW w:w="659" w:type="pct"/>
            <w:vAlign w:val="center"/>
          </w:tcPr>
          <w:p w14:paraId="01F4712E" w14:textId="77777777" w:rsidR="00E57DAA" w:rsidRDefault="00AC4185">
            <w:pPr>
              <w:kinsoku w:val="0"/>
              <w:overflowPunct w:val="0"/>
              <w:autoSpaceDE w:val="0"/>
              <w:autoSpaceDN w:val="0"/>
              <w:adjustRightInd w:val="0"/>
              <w:snapToGrid w:val="0"/>
              <w:jc w:val="center"/>
              <w:rPr>
                <w:szCs w:val="21"/>
              </w:rPr>
            </w:pPr>
            <w:r>
              <w:t>311,300</w:t>
            </w:r>
          </w:p>
        </w:tc>
        <w:tc>
          <w:tcPr>
            <w:tcW w:w="597" w:type="pct"/>
            <w:vAlign w:val="center"/>
          </w:tcPr>
          <w:p w14:paraId="19A69169"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26251641"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77D3936D"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0ACBB84F" w14:textId="77777777" w:rsidR="00E57DAA" w:rsidRDefault="00AC4185">
            <w:pPr>
              <w:kinsoku w:val="0"/>
              <w:overflowPunct w:val="0"/>
              <w:autoSpaceDE w:val="0"/>
              <w:autoSpaceDN w:val="0"/>
              <w:adjustRightInd w:val="0"/>
              <w:snapToGrid w:val="0"/>
              <w:jc w:val="center"/>
              <w:rPr>
                <w:szCs w:val="21"/>
              </w:rPr>
            </w:pPr>
            <w:r>
              <w:t>311,300</w:t>
            </w:r>
          </w:p>
        </w:tc>
        <w:tc>
          <w:tcPr>
            <w:tcW w:w="547" w:type="pct"/>
            <w:vAlign w:val="center"/>
          </w:tcPr>
          <w:p w14:paraId="446A5DFB" w14:textId="77777777" w:rsidR="00E57DAA" w:rsidRDefault="00AC4185">
            <w:pPr>
              <w:kinsoku w:val="0"/>
              <w:overflowPunct w:val="0"/>
              <w:autoSpaceDE w:val="0"/>
              <w:autoSpaceDN w:val="0"/>
              <w:adjustRightInd w:val="0"/>
              <w:snapToGrid w:val="0"/>
              <w:jc w:val="center"/>
              <w:rPr>
                <w:szCs w:val="21"/>
              </w:rPr>
            </w:pPr>
            <w:r>
              <w:t>311,300</w:t>
            </w:r>
          </w:p>
        </w:tc>
        <w:tc>
          <w:tcPr>
            <w:tcW w:w="527" w:type="pct"/>
            <w:vAlign w:val="center"/>
          </w:tcPr>
          <w:p w14:paraId="3FA43143"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6D30267F" w14:textId="77777777">
        <w:tc>
          <w:tcPr>
            <w:tcW w:w="435" w:type="pct"/>
            <w:vAlign w:val="center"/>
          </w:tcPr>
          <w:p w14:paraId="1759C320"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lastRenderedPageBreak/>
              <w:t>隋同波</w:t>
            </w:r>
          </w:p>
        </w:tc>
        <w:tc>
          <w:tcPr>
            <w:tcW w:w="496" w:type="pct"/>
            <w:vAlign w:val="center"/>
          </w:tcPr>
          <w:p w14:paraId="699F73C5" w14:textId="77777777" w:rsidR="00E57DAA" w:rsidRDefault="00AC4185">
            <w:pPr>
              <w:kinsoku w:val="0"/>
              <w:overflowPunct w:val="0"/>
              <w:autoSpaceDE w:val="0"/>
              <w:autoSpaceDN w:val="0"/>
              <w:adjustRightInd w:val="0"/>
              <w:snapToGrid w:val="0"/>
              <w:rPr>
                <w:szCs w:val="21"/>
              </w:rPr>
            </w:pPr>
            <w:r>
              <w:rPr>
                <w:rFonts w:hint="eastAsia"/>
                <w:color w:val="000000"/>
                <w:sz w:val="22"/>
              </w:rPr>
              <w:t>副总裁</w:t>
            </w:r>
          </w:p>
        </w:tc>
        <w:tc>
          <w:tcPr>
            <w:tcW w:w="659" w:type="pct"/>
            <w:vAlign w:val="center"/>
          </w:tcPr>
          <w:p w14:paraId="252941E8" w14:textId="77777777" w:rsidR="00E57DAA" w:rsidRDefault="00AC4185">
            <w:pPr>
              <w:kinsoku w:val="0"/>
              <w:overflowPunct w:val="0"/>
              <w:autoSpaceDE w:val="0"/>
              <w:autoSpaceDN w:val="0"/>
              <w:adjustRightInd w:val="0"/>
              <w:snapToGrid w:val="0"/>
              <w:jc w:val="center"/>
              <w:rPr>
                <w:szCs w:val="21"/>
              </w:rPr>
            </w:pPr>
            <w:r>
              <w:t>245,800</w:t>
            </w:r>
          </w:p>
        </w:tc>
        <w:tc>
          <w:tcPr>
            <w:tcW w:w="597" w:type="pct"/>
            <w:vAlign w:val="center"/>
          </w:tcPr>
          <w:p w14:paraId="3AD225FE"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2B084A68"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781B360B"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46F54207" w14:textId="77777777" w:rsidR="00E57DAA" w:rsidRDefault="00AC4185">
            <w:pPr>
              <w:kinsoku w:val="0"/>
              <w:overflowPunct w:val="0"/>
              <w:autoSpaceDE w:val="0"/>
              <w:autoSpaceDN w:val="0"/>
              <w:adjustRightInd w:val="0"/>
              <w:snapToGrid w:val="0"/>
              <w:jc w:val="center"/>
              <w:rPr>
                <w:szCs w:val="21"/>
              </w:rPr>
            </w:pPr>
            <w:r>
              <w:t>245,800</w:t>
            </w:r>
          </w:p>
        </w:tc>
        <w:tc>
          <w:tcPr>
            <w:tcW w:w="547" w:type="pct"/>
            <w:vAlign w:val="center"/>
          </w:tcPr>
          <w:p w14:paraId="49F2CE19" w14:textId="77777777" w:rsidR="00E57DAA" w:rsidRDefault="00AC4185">
            <w:pPr>
              <w:kinsoku w:val="0"/>
              <w:overflowPunct w:val="0"/>
              <w:autoSpaceDE w:val="0"/>
              <w:autoSpaceDN w:val="0"/>
              <w:adjustRightInd w:val="0"/>
              <w:snapToGrid w:val="0"/>
              <w:jc w:val="center"/>
              <w:rPr>
                <w:szCs w:val="21"/>
              </w:rPr>
            </w:pPr>
            <w:r>
              <w:t>245,800</w:t>
            </w:r>
          </w:p>
        </w:tc>
        <w:tc>
          <w:tcPr>
            <w:tcW w:w="527" w:type="pct"/>
            <w:vAlign w:val="center"/>
          </w:tcPr>
          <w:p w14:paraId="02D980D5"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6CB4AD16" w14:textId="77777777">
        <w:tc>
          <w:tcPr>
            <w:tcW w:w="435" w:type="pct"/>
            <w:vAlign w:val="center"/>
          </w:tcPr>
          <w:p w14:paraId="6B41BC0A"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汪</w:t>
            </w:r>
            <w:r>
              <w:rPr>
                <w:rFonts w:ascii="Times New Roman" w:hAnsi="Times New Roman" w:hint="eastAsia"/>
                <w:color w:val="000000"/>
                <w:szCs w:val="21"/>
              </w:rPr>
              <w:t xml:space="preserve">   </w:t>
            </w:r>
            <w:r>
              <w:rPr>
                <w:rFonts w:ascii="Times New Roman" w:hAnsi="Times New Roman" w:hint="eastAsia"/>
                <w:color w:val="000000"/>
                <w:szCs w:val="21"/>
              </w:rPr>
              <w:t>源</w:t>
            </w:r>
          </w:p>
        </w:tc>
        <w:tc>
          <w:tcPr>
            <w:tcW w:w="496" w:type="pct"/>
            <w:vAlign w:val="center"/>
          </w:tcPr>
          <w:p w14:paraId="53D7BDBF" w14:textId="77777777" w:rsidR="00E57DAA" w:rsidRDefault="00AC4185">
            <w:pPr>
              <w:kinsoku w:val="0"/>
              <w:overflowPunct w:val="0"/>
              <w:autoSpaceDE w:val="0"/>
              <w:autoSpaceDN w:val="0"/>
              <w:adjustRightInd w:val="0"/>
              <w:snapToGrid w:val="0"/>
              <w:rPr>
                <w:szCs w:val="21"/>
              </w:rPr>
            </w:pPr>
            <w:r>
              <w:rPr>
                <w:rFonts w:hint="eastAsia"/>
                <w:color w:val="000000"/>
                <w:sz w:val="22"/>
              </w:rPr>
              <w:t>副总裁、财务总监</w:t>
            </w:r>
          </w:p>
        </w:tc>
        <w:tc>
          <w:tcPr>
            <w:tcW w:w="659" w:type="pct"/>
            <w:vAlign w:val="center"/>
          </w:tcPr>
          <w:p w14:paraId="16973ACE" w14:textId="77777777" w:rsidR="00E57DAA" w:rsidRDefault="00AC4185">
            <w:pPr>
              <w:kinsoku w:val="0"/>
              <w:overflowPunct w:val="0"/>
              <w:autoSpaceDE w:val="0"/>
              <w:autoSpaceDN w:val="0"/>
              <w:adjustRightInd w:val="0"/>
              <w:snapToGrid w:val="0"/>
              <w:jc w:val="center"/>
              <w:rPr>
                <w:szCs w:val="21"/>
              </w:rPr>
            </w:pPr>
            <w:r>
              <w:t>247,400</w:t>
            </w:r>
          </w:p>
        </w:tc>
        <w:tc>
          <w:tcPr>
            <w:tcW w:w="597" w:type="pct"/>
            <w:vAlign w:val="center"/>
          </w:tcPr>
          <w:p w14:paraId="42B7B253"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1C40EA8E"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0172F93F"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32D08715" w14:textId="77777777" w:rsidR="00E57DAA" w:rsidRDefault="00AC4185">
            <w:pPr>
              <w:kinsoku w:val="0"/>
              <w:overflowPunct w:val="0"/>
              <w:autoSpaceDE w:val="0"/>
              <w:autoSpaceDN w:val="0"/>
              <w:adjustRightInd w:val="0"/>
              <w:snapToGrid w:val="0"/>
              <w:jc w:val="center"/>
              <w:rPr>
                <w:szCs w:val="21"/>
              </w:rPr>
            </w:pPr>
            <w:r>
              <w:t>247,400</w:t>
            </w:r>
          </w:p>
        </w:tc>
        <w:tc>
          <w:tcPr>
            <w:tcW w:w="547" w:type="pct"/>
            <w:vAlign w:val="center"/>
          </w:tcPr>
          <w:p w14:paraId="04DAF605" w14:textId="77777777" w:rsidR="00E57DAA" w:rsidRDefault="00AC4185">
            <w:pPr>
              <w:kinsoku w:val="0"/>
              <w:overflowPunct w:val="0"/>
              <w:autoSpaceDE w:val="0"/>
              <w:autoSpaceDN w:val="0"/>
              <w:adjustRightInd w:val="0"/>
              <w:snapToGrid w:val="0"/>
              <w:jc w:val="center"/>
              <w:rPr>
                <w:szCs w:val="21"/>
              </w:rPr>
            </w:pPr>
            <w:r>
              <w:t>247,400</w:t>
            </w:r>
          </w:p>
        </w:tc>
        <w:tc>
          <w:tcPr>
            <w:tcW w:w="527" w:type="pct"/>
            <w:vAlign w:val="center"/>
          </w:tcPr>
          <w:p w14:paraId="5F1CBE12"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5F50F412" w14:textId="77777777">
        <w:tc>
          <w:tcPr>
            <w:tcW w:w="435" w:type="pct"/>
            <w:vAlign w:val="center"/>
          </w:tcPr>
          <w:p w14:paraId="6A6126C4"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郭正勇</w:t>
            </w:r>
          </w:p>
        </w:tc>
        <w:tc>
          <w:tcPr>
            <w:tcW w:w="496" w:type="pct"/>
            <w:vAlign w:val="center"/>
          </w:tcPr>
          <w:p w14:paraId="2C191E1F" w14:textId="77777777" w:rsidR="00E57DAA" w:rsidRDefault="00AC4185">
            <w:pPr>
              <w:kinsoku w:val="0"/>
              <w:overflowPunct w:val="0"/>
              <w:autoSpaceDE w:val="0"/>
              <w:autoSpaceDN w:val="0"/>
              <w:adjustRightInd w:val="0"/>
              <w:snapToGrid w:val="0"/>
              <w:rPr>
                <w:szCs w:val="21"/>
              </w:rPr>
            </w:pPr>
            <w:r>
              <w:rPr>
                <w:rFonts w:hint="eastAsia"/>
                <w:color w:val="000000"/>
                <w:sz w:val="22"/>
              </w:rPr>
              <w:t>副总裁</w:t>
            </w:r>
          </w:p>
        </w:tc>
        <w:tc>
          <w:tcPr>
            <w:tcW w:w="659" w:type="pct"/>
            <w:vAlign w:val="center"/>
          </w:tcPr>
          <w:p w14:paraId="5AA55AD6" w14:textId="77777777" w:rsidR="00E57DAA" w:rsidRDefault="00AC4185">
            <w:pPr>
              <w:kinsoku w:val="0"/>
              <w:overflowPunct w:val="0"/>
              <w:autoSpaceDE w:val="0"/>
              <w:autoSpaceDN w:val="0"/>
              <w:adjustRightInd w:val="0"/>
              <w:snapToGrid w:val="0"/>
              <w:jc w:val="center"/>
              <w:rPr>
                <w:szCs w:val="21"/>
              </w:rPr>
            </w:pPr>
            <w:r>
              <w:t>247,600</w:t>
            </w:r>
          </w:p>
        </w:tc>
        <w:tc>
          <w:tcPr>
            <w:tcW w:w="597" w:type="pct"/>
            <w:vAlign w:val="center"/>
          </w:tcPr>
          <w:p w14:paraId="149A99D6"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0A0C7545"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1AFB9955"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41360D5F" w14:textId="77777777" w:rsidR="00E57DAA" w:rsidRDefault="00AC4185">
            <w:pPr>
              <w:kinsoku w:val="0"/>
              <w:overflowPunct w:val="0"/>
              <w:autoSpaceDE w:val="0"/>
              <w:autoSpaceDN w:val="0"/>
              <w:adjustRightInd w:val="0"/>
              <w:snapToGrid w:val="0"/>
              <w:jc w:val="center"/>
              <w:rPr>
                <w:szCs w:val="21"/>
              </w:rPr>
            </w:pPr>
            <w:r>
              <w:t>247,600</w:t>
            </w:r>
          </w:p>
        </w:tc>
        <w:tc>
          <w:tcPr>
            <w:tcW w:w="547" w:type="pct"/>
            <w:vAlign w:val="center"/>
          </w:tcPr>
          <w:p w14:paraId="51ABD7E4" w14:textId="77777777" w:rsidR="00E57DAA" w:rsidRDefault="00AC4185">
            <w:pPr>
              <w:kinsoku w:val="0"/>
              <w:overflowPunct w:val="0"/>
              <w:autoSpaceDE w:val="0"/>
              <w:autoSpaceDN w:val="0"/>
              <w:adjustRightInd w:val="0"/>
              <w:snapToGrid w:val="0"/>
              <w:jc w:val="center"/>
              <w:rPr>
                <w:szCs w:val="21"/>
              </w:rPr>
            </w:pPr>
            <w:r>
              <w:t>247,600</w:t>
            </w:r>
          </w:p>
        </w:tc>
        <w:tc>
          <w:tcPr>
            <w:tcW w:w="527" w:type="pct"/>
            <w:vAlign w:val="center"/>
          </w:tcPr>
          <w:p w14:paraId="488632A0"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085CC276" w14:textId="77777777">
        <w:tc>
          <w:tcPr>
            <w:tcW w:w="435" w:type="pct"/>
            <w:vAlign w:val="center"/>
          </w:tcPr>
          <w:p w14:paraId="3FB04F79"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范丽婷</w:t>
            </w:r>
          </w:p>
        </w:tc>
        <w:tc>
          <w:tcPr>
            <w:tcW w:w="496" w:type="pct"/>
            <w:vAlign w:val="center"/>
          </w:tcPr>
          <w:p w14:paraId="69E5B53D" w14:textId="77777777" w:rsidR="00E57DAA" w:rsidRDefault="00AC4185">
            <w:pPr>
              <w:kinsoku w:val="0"/>
              <w:overflowPunct w:val="0"/>
              <w:autoSpaceDE w:val="0"/>
              <w:autoSpaceDN w:val="0"/>
              <w:adjustRightInd w:val="0"/>
              <w:snapToGrid w:val="0"/>
              <w:rPr>
                <w:szCs w:val="21"/>
              </w:rPr>
            </w:pPr>
            <w:r>
              <w:rPr>
                <w:rFonts w:hint="eastAsia"/>
                <w:color w:val="000000"/>
                <w:sz w:val="22"/>
              </w:rPr>
              <w:t>副总裁、董事会秘书</w:t>
            </w:r>
          </w:p>
        </w:tc>
        <w:tc>
          <w:tcPr>
            <w:tcW w:w="659" w:type="pct"/>
            <w:vAlign w:val="center"/>
          </w:tcPr>
          <w:p w14:paraId="2C66CEA9" w14:textId="77777777" w:rsidR="00E57DAA" w:rsidRDefault="00AC4185">
            <w:pPr>
              <w:kinsoku w:val="0"/>
              <w:overflowPunct w:val="0"/>
              <w:autoSpaceDE w:val="0"/>
              <w:autoSpaceDN w:val="0"/>
              <w:adjustRightInd w:val="0"/>
              <w:snapToGrid w:val="0"/>
              <w:jc w:val="center"/>
              <w:rPr>
                <w:szCs w:val="21"/>
              </w:rPr>
            </w:pPr>
            <w:r>
              <w:t>202,000</w:t>
            </w:r>
          </w:p>
        </w:tc>
        <w:tc>
          <w:tcPr>
            <w:tcW w:w="597" w:type="pct"/>
            <w:vAlign w:val="center"/>
          </w:tcPr>
          <w:p w14:paraId="7F12F9A4"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15FFF706"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17B47122"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0064D190" w14:textId="77777777" w:rsidR="00E57DAA" w:rsidRDefault="00AC4185">
            <w:pPr>
              <w:kinsoku w:val="0"/>
              <w:overflowPunct w:val="0"/>
              <w:autoSpaceDE w:val="0"/>
              <w:autoSpaceDN w:val="0"/>
              <w:adjustRightInd w:val="0"/>
              <w:snapToGrid w:val="0"/>
              <w:jc w:val="center"/>
              <w:rPr>
                <w:szCs w:val="21"/>
              </w:rPr>
            </w:pPr>
            <w:r>
              <w:t>202,000</w:t>
            </w:r>
          </w:p>
        </w:tc>
        <w:tc>
          <w:tcPr>
            <w:tcW w:w="547" w:type="pct"/>
            <w:vAlign w:val="center"/>
          </w:tcPr>
          <w:p w14:paraId="36C83B3C" w14:textId="77777777" w:rsidR="00E57DAA" w:rsidRDefault="00AC4185">
            <w:pPr>
              <w:kinsoku w:val="0"/>
              <w:overflowPunct w:val="0"/>
              <w:autoSpaceDE w:val="0"/>
              <w:autoSpaceDN w:val="0"/>
              <w:adjustRightInd w:val="0"/>
              <w:snapToGrid w:val="0"/>
              <w:jc w:val="center"/>
              <w:rPr>
                <w:szCs w:val="21"/>
              </w:rPr>
            </w:pPr>
            <w:r>
              <w:t>202,000</w:t>
            </w:r>
          </w:p>
        </w:tc>
        <w:tc>
          <w:tcPr>
            <w:tcW w:w="527" w:type="pct"/>
            <w:vAlign w:val="center"/>
          </w:tcPr>
          <w:p w14:paraId="3A952FEF"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427E93D4" w14:textId="77777777">
        <w:tc>
          <w:tcPr>
            <w:tcW w:w="435" w:type="pct"/>
            <w:vAlign w:val="center"/>
          </w:tcPr>
          <w:p w14:paraId="699CEC27"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刘仁越</w:t>
            </w:r>
          </w:p>
        </w:tc>
        <w:tc>
          <w:tcPr>
            <w:tcW w:w="496" w:type="pct"/>
            <w:vAlign w:val="center"/>
          </w:tcPr>
          <w:p w14:paraId="441C725A" w14:textId="77777777" w:rsidR="00E57DAA" w:rsidRDefault="00AC4185">
            <w:pPr>
              <w:kinsoku w:val="0"/>
              <w:overflowPunct w:val="0"/>
              <w:autoSpaceDE w:val="0"/>
              <w:autoSpaceDN w:val="0"/>
              <w:adjustRightInd w:val="0"/>
              <w:snapToGrid w:val="0"/>
              <w:rPr>
                <w:szCs w:val="21"/>
              </w:rPr>
            </w:pPr>
            <w:r>
              <w:rPr>
                <w:rFonts w:hint="eastAsia"/>
                <w:color w:val="000000"/>
                <w:sz w:val="22"/>
              </w:rPr>
              <w:t>常务副总裁</w:t>
            </w:r>
          </w:p>
        </w:tc>
        <w:tc>
          <w:tcPr>
            <w:tcW w:w="659" w:type="pct"/>
            <w:vAlign w:val="center"/>
          </w:tcPr>
          <w:p w14:paraId="125BCCE7" w14:textId="77777777" w:rsidR="00E57DAA" w:rsidRDefault="00AC4185">
            <w:pPr>
              <w:kinsoku w:val="0"/>
              <w:overflowPunct w:val="0"/>
              <w:autoSpaceDE w:val="0"/>
              <w:autoSpaceDN w:val="0"/>
              <w:adjustRightInd w:val="0"/>
              <w:snapToGrid w:val="0"/>
              <w:jc w:val="center"/>
              <w:rPr>
                <w:szCs w:val="21"/>
              </w:rPr>
            </w:pPr>
            <w:r>
              <w:t>415,911</w:t>
            </w:r>
          </w:p>
        </w:tc>
        <w:tc>
          <w:tcPr>
            <w:tcW w:w="597" w:type="pct"/>
            <w:vAlign w:val="center"/>
          </w:tcPr>
          <w:p w14:paraId="66D0641A"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639D1D66"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1D7DB7BC"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7AFE6D6D" w14:textId="77777777" w:rsidR="00E57DAA" w:rsidRDefault="00AC4185">
            <w:pPr>
              <w:kinsoku w:val="0"/>
              <w:overflowPunct w:val="0"/>
              <w:autoSpaceDE w:val="0"/>
              <w:autoSpaceDN w:val="0"/>
              <w:adjustRightInd w:val="0"/>
              <w:snapToGrid w:val="0"/>
              <w:jc w:val="center"/>
              <w:rPr>
                <w:szCs w:val="21"/>
              </w:rPr>
            </w:pPr>
            <w:r>
              <w:t>415,911</w:t>
            </w:r>
          </w:p>
        </w:tc>
        <w:tc>
          <w:tcPr>
            <w:tcW w:w="547" w:type="pct"/>
            <w:vAlign w:val="center"/>
          </w:tcPr>
          <w:p w14:paraId="0DB8EF67" w14:textId="77777777" w:rsidR="00E57DAA" w:rsidRDefault="00AC4185">
            <w:pPr>
              <w:kinsoku w:val="0"/>
              <w:overflowPunct w:val="0"/>
              <w:autoSpaceDE w:val="0"/>
              <w:autoSpaceDN w:val="0"/>
              <w:adjustRightInd w:val="0"/>
              <w:snapToGrid w:val="0"/>
              <w:jc w:val="center"/>
              <w:rPr>
                <w:szCs w:val="21"/>
              </w:rPr>
            </w:pPr>
            <w:r>
              <w:t>415,911</w:t>
            </w:r>
          </w:p>
        </w:tc>
        <w:tc>
          <w:tcPr>
            <w:tcW w:w="527" w:type="pct"/>
            <w:vAlign w:val="center"/>
          </w:tcPr>
          <w:p w14:paraId="0AC4FF30"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0A780FD1" w14:textId="77777777">
        <w:tc>
          <w:tcPr>
            <w:tcW w:w="435" w:type="pct"/>
            <w:vAlign w:val="center"/>
          </w:tcPr>
          <w:p w14:paraId="0CF9F91F" w14:textId="77777777" w:rsidR="00E57DAA" w:rsidRDefault="00AC4185">
            <w:pPr>
              <w:kinsoku w:val="0"/>
              <w:overflowPunct w:val="0"/>
              <w:autoSpaceDE w:val="0"/>
              <w:autoSpaceDN w:val="0"/>
              <w:adjustRightInd w:val="0"/>
              <w:snapToGrid w:val="0"/>
              <w:ind w:leftChars="-50" w:left="-105" w:rightChars="-50" w:right="-105"/>
              <w:jc w:val="left"/>
              <w:rPr>
                <w:rFonts w:cstheme="minorBidi"/>
                <w:kern w:val="2"/>
                <w:szCs w:val="21"/>
              </w:rPr>
            </w:pPr>
            <w:r>
              <w:rPr>
                <w:rFonts w:ascii="Times New Roman" w:hAnsi="Times New Roman" w:hint="eastAsia"/>
                <w:color w:val="000000"/>
                <w:szCs w:val="21"/>
              </w:rPr>
              <w:t>陈增福</w:t>
            </w:r>
          </w:p>
        </w:tc>
        <w:tc>
          <w:tcPr>
            <w:tcW w:w="496" w:type="pct"/>
            <w:vAlign w:val="center"/>
          </w:tcPr>
          <w:p w14:paraId="6CD6CA37" w14:textId="77777777" w:rsidR="00E57DAA" w:rsidRDefault="00AC4185">
            <w:pPr>
              <w:kinsoku w:val="0"/>
              <w:overflowPunct w:val="0"/>
              <w:autoSpaceDE w:val="0"/>
              <w:autoSpaceDN w:val="0"/>
              <w:adjustRightInd w:val="0"/>
              <w:snapToGrid w:val="0"/>
              <w:rPr>
                <w:szCs w:val="21"/>
              </w:rPr>
            </w:pPr>
            <w:r>
              <w:rPr>
                <w:rFonts w:hint="eastAsia"/>
                <w:color w:val="000000"/>
                <w:sz w:val="22"/>
              </w:rPr>
              <w:t>副总裁</w:t>
            </w:r>
          </w:p>
        </w:tc>
        <w:tc>
          <w:tcPr>
            <w:tcW w:w="659" w:type="pct"/>
            <w:vAlign w:val="center"/>
          </w:tcPr>
          <w:p w14:paraId="0718836A" w14:textId="77777777" w:rsidR="00E57DAA" w:rsidRDefault="00AC4185">
            <w:pPr>
              <w:kinsoku w:val="0"/>
              <w:overflowPunct w:val="0"/>
              <w:autoSpaceDE w:val="0"/>
              <w:autoSpaceDN w:val="0"/>
              <w:adjustRightInd w:val="0"/>
              <w:snapToGrid w:val="0"/>
              <w:jc w:val="center"/>
              <w:rPr>
                <w:szCs w:val="21"/>
              </w:rPr>
            </w:pPr>
            <w:r>
              <w:t>361,000</w:t>
            </w:r>
          </w:p>
        </w:tc>
        <w:tc>
          <w:tcPr>
            <w:tcW w:w="597" w:type="pct"/>
            <w:vAlign w:val="center"/>
          </w:tcPr>
          <w:p w14:paraId="52762E7B" w14:textId="77777777" w:rsidR="00E57DAA" w:rsidRDefault="00E57DAA">
            <w:pPr>
              <w:kinsoku w:val="0"/>
              <w:overflowPunct w:val="0"/>
              <w:autoSpaceDE w:val="0"/>
              <w:autoSpaceDN w:val="0"/>
              <w:adjustRightInd w:val="0"/>
              <w:snapToGrid w:val="0"/>
              <w:jc w:val="center"/>
              <w:rPr>
                <w:szCs w:val="21"/>
              </w:rPr>
            </w:pPr>
          </w:p>
        </w:tc>
        <w:tc>
          <w:tcPr>
            <w:tcW w:w="546" w:type="pct"/>
            <w:vAlign w:val="center"/>
          </w:tcPr>
          <w:p w14:paraId="1AE20EA3"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6D58308B" w14:textId="77777777" w:rsidR="00E57DAA" w:rsidRDefault="00E57DAA">
            <w:pPr>
              <w:kinsoku w:val="0"/>
              <w:overflowPunct w:val="0"/>
              <w:autoSpaceDE w:val="0"/>
              <w:autoSpaceDN w:val="0"/>
              <w:adjustRightInd w:val="0"/>
              <w:snapToGrid w:val="0"/>
              <w:jc w:val="center"/>
              <w:rPr>
                <w:szCs w:val="21"/>
              </w:rPr>
            </w:pPr>
          </w:p>
        </w:tc>
        <w:tc>
          <w:tcPr>
            <w:tcW w:w="597" w:type="pct"/>
            <w:vAlign w:val="center"/>
          </w:tcPr>
          <w:p w14:paraId="6B4B4093" w14:textId="77777777" w:rsidR="00E57DAA" w:rsidRDefault="00AC4185">
            <w:pPr>
              <w:kinsoku w:val="0"/>
              <w:overflowPunct w:val="0"/>
              <w:autoSpaceDE w:val="0"/>
              <w:autoSpaceDN w:val="0"/>
              <w:adjustRightInd w:val="0"/>
              <w:snapToGrid w:val="0"/>
              <w:jc w:val="center"/>
              <w:rPr>
                <w:szCs w:val="21"/>
              </w:rPr>
            </w:pPr>
            <w:r>
              <w:t>361,000</w:t>
            </w:r>
          </w:p>
        </w:tc>
        <w:tc>
          <w:tcPr>
            <w:tcW w:w="547" w:type="pct"/>
            <w:vAlign w:val="center"/>
          </w:tcPr>
          <w:p w14:paraId="40F93FD0" w14:textId="77777777" w:rsidR="00E57DAA" w:rsidRDefault="00AC4185">
            <w:pPr>
              <w:kinsoku w:val="0"/>
              <w:overflowPunct w:val="0"/>
              <w:autoSpaceDE w:val="0"/>
              <w:autoSpaceDN w:val="0"/>
              <w:adjustRightInd w:val="0"/>
              <w:snapToGrid w:val="0"/>
              <w:jc w:val="center"/>
              <w:rPr>
                <w:szCs w:val="21"/>
              </w:rPr>
            </w:pPr>
            <w:r>
              <w:t>361,000</w:t>
            </w:r>
          </w:p>
        </w:tc>
        <w:tc>
          <w:tcPr>
            <w:tcW w:w="527" w:type="pct"/>
            <w:vAlign w:val="center"/>
          </w:tcPr>
          <w:p w14:paraId="3511E482" w14:textId="77777777" w:rsidR="00E57DAA" w:rsidRDefault="00AC4185">
            <w:pPr>
              <w:kinsoku w:val="0"/>
              <w:overflowPunct w:val="0"/>
              <w:autoSpaceDE w:val="0"/>
              <w:autoSpaceDN w:val="0"/>
              <w:adjustRightInd w:val="0"/>
              <w:snapToGrid w:val="0"/>
              <w:jc w:val="center"/>
              <w:rPr>
                <w:szCs w:val="21"/>
              </w:rPr>
            </w:pPr>
            <w:r>
              <w:rPr>
                <w:rFonts w:hint="eastAsia"/>
                <w:szCs w:val="21"/>
              </w:rPr>
              <w:t>9</w:t>
            </w:r>
            <w:r>
              <w:rPr>
                <w:szCs w:val="21"/>
              </w:rPr>
              <w:t>.34</w:t>
            </w:r>
          </w:p>
        </w:tc>
      </w:tr>
      <w:tr w:rsidR="00E57DAA" w14:paraId="25671ABE" w14:textId="77777777">
        <w:tc>
          <w:tcPr>
            <w:tcW w:w="435" w:type="pct"/>
            <w:vAlign w:val="center"/>
          </w:tcPr>
          <w:p w14:paraId="3B038E6E" w14:textId="77777777" w:rsidR="00E57DAA" w:rsidRDefault="00AC4185">
            <w:pPr>
              <w:kinsoku w:val="0"/>
              <w:overflowPunct w:val="0"/>
              <w:autoSpaceDE w:val="0"/>
              <w:autoSpaceDN w:val="0"/>
              <w:adjustRightInd w:val="0"/>
              <w:snapToGrid w:val="0"/>
              <w:jc w:val="center"/>
              <w:rPr>
                <w:szCs w:val="21"/>
              </w:rPr>
            </w:pPr>
            <w:r>
              <w:rPr>
                <w:szCs w:val="21"/>
              </w:rPr>
              <w:t>合计</w:t>
            </w:r>
          </w:p>
        </w:tc>
        <w:tc>
          <w:tcPr>
            <w:tcW w:w="496" w:type="pct"/>
          </w:tcPr>
          <w:p w14:paraId="127BF312" w14:textId="77777777" w:rsidR="00E57DAA" w:rsidRDefault="00AC4185">
            <w:pPr>
              <w:kinsoku w:val="0"/>
              <w:overflowPunct w:val="0"/>
              <w:autoSpaceDE w:val="0"/>
              <w:autoSpaceDN w:val="0"/>
              <w:adjustRightInd w:val="0"/>
              <w:snapToGrid w:val="0"/>
              <w:jc w:val="center"/>
              <w:rPr>
                <w:szCs w:val="21"/>
              </w:rPr>
            </w:pPr>
            <w:r>
              <w:rPr>
                <w:rFonts w:hint="eastAsia"/>
                <w:szCs w:val="21"/>
              </w:rPr>
              <w:t>/</w:t>
            </w:r>
          </w:p>
        </w:tc>
        <w:tc>
          <w:tcPr>
            <w:tcW w:w="659" w:type="pct"/>
            <w:vAlign w:val="center"/>
          </w:tcPr>
          <w:p w14:paraId="3828BC9A" w14:textId="77777777" w:rsidR="00E57DAA" w:rsidRDefault="00AC4185">
            <w:pPr>
              <w:kinsoku w:val="0"/>
              <w:overflowPunct w:val="0"/>
              <w:autoSpaceDE w:val="0"/>
              <w:autoSpaceDN w:val="0"/>
              <w:adjustRightInd w:val="0"/>
              <w:snapToGrid w:val="0"/>
              <w:jc w:val="right"/>
              <w:rPr>
                <w:szCs w:val="21"/>
              </w:rPr>
            </w:pPr>
            <w:r>
              <w:rPr>
                <w:szCs w:val="21"/>
              </w:rPr>
              <w:t>2,345,011</w:t>
            </w:r>
          </w:p>
        </w:tc>
        <w:tc>
          <w:tcPr>
            <w:tcW w:w="597" w:type="pct"/>
            <w:vAlign w:val="center"/>
          </w:tcPr>
          <w:p w14:paraId="0DD8293B" w14:textId="77777777" w:rsidR="00E57DAA" w:rsidRDefault="00AC4185">
            <w:pPr>
              <w:kinsoku w:val="0"/>
              <w:overflowPunct w:val="0"/>
              <w:autoSpaceDE w:val="0"/>
              <w:autoSpaceDN w:val="0"/>
              <w:adjustRightInd w:val="0"/>
              <w:snapToGrid w:val="0"/>
              <w:jc w:val="right"/>
              <w:rPr>
                <w:szCs w:val="21"/>
              </w:rPr>
            </w:pPr>
            <w:r>
              <w:rPr>
                <w:szCs w:val="21"/>
              </w:rPr>
              <w:t>282,073</w:t>
            </w:r>
          </w:p>
        </w:tc>
        <w:tc>
          <w:tcPr>
            <w:tcW w:w="546" w:type="pct"/>
            <w:vAlign w:val="center"/>
          </w:tcPr>
          <w:p w14:paraId="38B26246" w14:textId="77777777" w:rsidR="00E57DAA" w:rsidRDefault="00AC4185">
            <w:pPr>
              <w:kinsoku w:val="0"/>
              <w:overflowPunct w:val="0"/>
              <w:autoSpaceDE w:val="0"/>
              <w:autoSpaceDN w:val="0"/>
              <w:adjustRightInd w:val="0"/>
              <w:snapToGrid w:val="0"/>
              <w:jc w:val="right"/>
              <w:rPr>
                <w:szCs w:val="21"/>
              </w:rPr>
            </w:pPr>
            <w:r>
              <w:rPr>
                <w:rFonts w:hint="eastAsia"/>
                <w:szCs w:val="21"/>
              </w:rPr>
              <w:t>/</w:t>
            </w:r>
          </w:p>
        </w:tc>
        <w:tc>
          <w:tcPr>
            <w:tcW w:w="597" w:type="pct"/>
            <w:vAlign w:val="center"/>
          </w:tcPr>
          <w:p w14:paraId="2E70E6DB" w14:textId="77777777" w:rsidR="00E57DAA" w:rsidRDefault="00E57DAA">
            <w:pPr>
              <w:kinsoku w:val="0"/>
              <w:overflowPunct w:val="0"/>
              <w:autoSpaceDE w:val="0"/>
              <w:autoSpaceDN w:val="0"/>
              <w:adjustRightInd w:val="0"/>
              <w:snapToGrid w:val="0"/>
              <w:jc w:val="right"/>
              <w:rPr>
                <w:szCs w:val="21"/>
              </w:rPr>
            </w:pPr>
          </w:p>
        </w:tc>
        <w:tc>
          <w:tcPr>
            <w:tcW w:w="597" w:type="pct"/>
            <w:vAlign w:val="center"/>
          </w:tcPr>
          <w:p w14:paraId="3C5527B7" w14:textId="77777777" w:rsidR="00E57DAA" w:rsidRDefault="00AC4185">
            <w:pPr>
              <w:kinsoku w:val="0"/>
              <w:overflowPunct w:val="0"/>
              <w:autoSpaceDE w:val="0"/>
              <w:autoSpaceDN w:val="0"/>
              <w:adjustRightInd w:val="0"/>
              <w:snapToGrid w:val="0"/>
              <w:jc w:val="right"/>
              <w:rPr>
                <w:szCs w:val="21"/>
              </w:rPr>
            </w:pPr>
            <w:r>
              <w:rPr>
                <w:szCs w:val="21"/>
              </w:rPr>
              <w:t>2,627,084</w:t>
            </w:r>
          </w:p>
        </w:tc>
        <w:tc>
          <w:tcPr>
            <w:tcW w:w="547" w:type="pct"/>
          </w:tcPr>
          <w:p w14:paraId="29E16E40" w14:textId="77777777" w:rsidR="00E57DAA" w:rsidRDefault="00AC4185">
            <w:pPr>
              <w:kinsoku w:val="0"/>
              <w:overflowPunct w:val="0"/>
              <w:autoSpaceDE w:val="0"/>
              <w:autoSpaceDN w:val="0"/>
              <w:adjustRightInd w:val="0"/>
              <w:snapToGrid w:val="0"/>
              <w:jc w:val="right"/>
              <w:rPr>
                <w:szCs w:val="21"/>
              </w:rPr>
            </w:pPr>
            <w:r>
              <w:rPr>
                <w:szCs w:val="21"/>
              </w:rPr>
              <w:t>2,627,084</w:t>
            </w:r>
          </w:p>
        </w:tc>
        <w:tc>
          <w:tcPr>
            <w:tcW w:w="527" w:type="pct"/>
          </w:tcPr>
          <w:p w14:paraId="484F4DC3" w14:textId="77777777" w:rsidR="00E57DAA" w:rsidRDefault="00AC4185">
            <w:pPr>
              <w:jc w:val="center"/>
              <w:rPr>
                <w:szCs w:val="21"/>
              </w:rPr>
            </w:pPr>
            <w:r>
              <w:rPr>
                <w:rFonts w:hint="eastAsia"/>
                <w:szCs w:val="21"/>
              </w:rPr>
              <w:t>/</w:t>
            </w:r>
          </w:p>
        </w:tc>
      </w:tr>
    </w:tbl>
    <w:bookmarkEnd w:id="89"/>
    <w:p w14:paraId="7F79A9E2" w14:textId="77777777" w:rsidR="00E57DAA" w:rsidRDefault="00AC4185">
      <w:pPr>
        <w:pStyle w:val="3"/>
        <w:numPr>
          <w:ilvl w:val="1"/>
          <w:numId w:val="26"/>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2079431568"/>
        <w:placeholder>
          <w:docPart w:val="GBC22222222222222222222222222222"/>
        </w:placeholder>
      </w:sdtPr>
      <w:sdtEndPr/>
      <w:sdtContent>
        <w:p w14:paraId="79775283"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2118561076"/>
        <w:placeholder>
          <w:docPart w:val="GBC22222222222222222222222222222"/>
        </w:placeholder>
      </w:sdtPr>
      <w:sdtEndPr/>
      <w:sdtContent>
        <w:p w14:paraId="71A55EE7" w14:textId="77777777" w:rsidR="00E57DAA" w:rsidRDefault="00AC4185">
          <w:pPr>
            <w:ind w:firstLineChars="200" w:firstLine="420"/>
            <w:rPr>
              <w:szCs w:val="21"/>
            </w:rPr>
          </w:pPr>
          <w:r>
            <w:rPr>
              <w:rFonts w:hint="eastAsia"/>
              <w:szCs w:val="21"/>
            </w:rPr>
            <w:t>公司对高级管理人员的考核遵循业绩导向原则，建立与经营业绩强关联的激励和约束机制，按照权责利相统一的要求，建立健全考核评价体系，根据公司年度目标、高级管理人员分管工作职责及工作业绩进行考核，考核结果与薪酬紧密挂钩，并作为职务任免的重要依据。</w:t>
          </w:r>
        </w:p>
      </w:sdtContent>
    </w:sdt>
    <w:p w14:paraId="7036B2BC" w14:textId="77777777" w:rsidR="00E57DAA" w:rsidRDefault="00E57DAA">
      <w:pPr>
        <w:rPr>
          <w:szCs w:val="21"/>
        </w:rPr>
      </w:pPr>
    </w:p>
    <w:p w14:paraId="7D73C902" w14:textId="77777777" w:rsidR="00E57DAA" w:rsidRDefault="00AC4185">
      <w:pPr>
        <w:pStyle w:val="2"/>
        <w:numPr>
          <w:ilvl w:val="0"/>
          <w:numId w:val="19"/>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83878812"/>
        <w:placeholder>
          <w:docPart w:val="GBC22222222222222222222222222222"/>
        </w:placeholder>
      </w:sdtPr>
      <w:sdtEndPr/>
      <w:sdtContent>
        <w:p w14:paraId="5DF35586"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948050549"/>
        <w:placeholder>
          <w:docPart w:val="GBC22222222222222222222222222222"/>
        </w:placeholder>
      </w:sdtPr>
      <w:sdtEndPr/>
      <w:sdtContent>
        <w:p w14:paraId="5B24E300" w14:textId="77777777" w:rsidR="00E57DAA" w:rsidRDefault="00AC4185" w:rsidP="00C3088F">
          <w:pPr>
            <w:ind w:firstLineChars="200" w:firstLine="420"/>
            <w:jc w:val="both"/>
            <w:rPr>
              <w:szCs w:val="21"/>
            </w:rPr>
          </w:pPr>
          <w:r>
            <w:rPr>
              <w:szCs w:val="21"/>
            </w:rPr>
            <w:t>2023年，公司严格遵守《企业内部控制配套指引》《企业内部控制评价指引》《企业内部控制审计指引》《上市公司治理准则》等有关法律法规和规范。公司持续优化、完善内部控制体系，内控建设实现全面覆盖：组织新并入企业完成内控手册编制工作；组织全级次公司开展内控评价；组织开展内控联合检查，推动内控体系持续改进。</w:t>
          </w:r>
        </w:p>
      </w:sdtContent>
    </w:sdt>
    <w:p w14:paraId="3125515D" w14:textId="77777777" w:rsidR="00E57DAA" w:rsidRDefault="00E57DAA">
      <w:pPr>
        <w:rPr>
          <w:szCs w:val="21"/>
        </w:rPr>
      </w:pPr>
    </w:p>
    <w:p w14:paraId="7FAF38DE" w14:textId="77777777" w:rsidR="00E57DAA" w:rsidRDefault="00AC4185">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973802811"/>
        <w:placeholder>
          <w:docPart w:val="GBC22222222222222222222222222222"/>
        </w:placeholder>
      </w:sdtPr>
      <w:sdtEndPr/>
      <w:sdtContent>
        <w:p w14:paraId="0025A5EC"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5AF938" w14:textId="77777777" w:rsidR="00E57DAA" w:rsidRDefault="00E57DAA">
      <w:pPr>
        <w:rPr>
          <w:szCs w:val="21"/>
        </w:rPr>
      </w:pPr>
    </w:p>
    <w:p w14:paraId="2017B2D0" w14:textId="77777777" w:rsidR="00E57DAA" w:rsidRDefault="00AC4185">
      <w:pPr>
        <w:pStyle w:val="2"/>
        <w:numPr>
          <w:ilvl w:val="0"/>
          <w:numId w:val="19"/>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597096739"/>
        <w:placeholder>
          <w:docPart w:val="GBC22222222222222222222222222222"/>
        </w:placeholder>
      </w:sdtPr>
      <w:sdtEndPr/>
      <w:sdtContent>
        <w:p w14:paraId="483392C7"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2059463993"/>
        <w:placeholder>
          <w:docPart w:val="GBC22222222222222222222222222222"/>
        </w:placeholder>
      </w:sdtPr>
      <w:sdtEndPr/>
      <w:sdtContent>
        <w:p w14:paraId="7D92C57D" w14:textId="77777777" w:rsidR="00E57DAA" w:rsidRDefault="00AC4185">
          <w:pPr>
            <w:ind w:firstLineChars="200" w:firstLine="420"/>
            <w:rPr>
              <w:szCs w:val="21"/>
            </w:rPr>
          </w:pPr>
          <w:r>
            <w:rPr>
              <w:rFonts w:hint="eastAsia"/>
              <w:szCs w:val="21"/>
            </w:rPr>
            <w:t>报告期，公司坚持战略管控、运营管控相结合的管控模式，持续加强对子公司的战略引领，聚焦提升公司经营质量和重组企业整合融合成效，多措并举加强对子公司管理。</w:t>
          </w:r>
        </w:p>
        <w:p w14:paraId="02AF4D84" w14:textId="77777777" w:rsidR="00E57DAA" w:rsidRDefault="00AC4185">
          <w:pPr>
            <w:ind w:firstLineChars="200" w:firstLine="420"/>
            <w:rPr>
              <w:szCs w:val="21"/>
            </w:rPr>
          </w:pPr>
          <w:r>
            <w:rPr>
              <w:rFonts w:hint="eastAsia"/>
              <w:szCs w:val="21"/>
            </w:rPr>
            <w:t>（一）持续优化公司治理，推动董事会职权落实</w:t>
          </w:r>
        </w:p>
        <w:p w14:paraId="1A3D733C" w14:textId="77777777" w:rsidR="00E57DAA" w:rsidRDefault="00AC4185">
          <w:pPr>
            <w:ind w:firstLineChars="200" w:firstLine="420"/>
            <w:rPr>
              <w:szCs w:val="21"/>
            </w:rPr>
          </w:pPr>
          <w:r>
            <w:rPr>
              <w:rFonts w:hint="eastAsia"/>
              <w:szCs w:val="21"/>
            </w:rPr>
            <w:t>以制度建设为基础，持续夯实公司治理基础。修订完善所属企业三会管理制度，进一步规范子公司三会管理，组织全级次子公司董事会运行评价，问题导向以评促改，开展全级次公司治理合规专项培训，助力董事履职能力提升，促进所属子公司董事会建设持续改进，充分发挥</w:t>
          </w:r>
          <w:r>
            <w:rPr>
              <w:szCs w:val="21"/>
            </w:rPr>
            <w:t>各级董事会“定战略、做决策、防风险”</w:t>
          </w:r>
          <w:r>
            <w:rPr>
              <w:rFonts w:hint="eastAsia"/>
              <w:szCs w:val="21"/>
            </w:rPr>
            <w:t>作用</w:t>
          </w:r>
          <w:r>
            <w:rPr>
              <w:szCs w:val="21"/>
            </w:rPr>
            <w:t>。</w:t>
          </w:r>
        </w:p>
        <w:p w14:paraId="427A73B4" w14:textId="77777777" w:rsidR="00E57DAA" w:rsidRDefault="00AC4185">
          <w:pPr>
            <w:ind w:firstLineChars="200" w:firstLine="420"/>
            <w:rPr>
              <w:szCs w:val="21"/>
            </w:rPr>
          </w:pPr>
          <w:r>
            <w:rPr>
              <w:rFonts w:hint="eastAsia"/>
              <w:szCs w:val="21"/>
            </w:rPr>
            <w:t>（二）完善市场经营机制，激发发展活动和动力</w:t>
          </w:r>
        </w:p>
        <w:p w14:paraId="6EB5A5FE" w14:textId="77777777" w:rsidR="00E57DAA" w:rsidRDefault="00AC4185">
          <w:pPr>
            <w:ind w:firstLineChars="200" w:firstLine="420"/>
            <w:rPr>
              <w:szCs w:val="21"/>
            </w:rPr>
          </w:pPr>
          <w:r>
            <w:rPr>
              <w:rFonts w:hint="eastAsia"/>
              <w:szCs w:val="21"/>
            </w:rPr>
            <w:t>以厘清权责为重点，推动党建与公司治理深度融合。持续完善决策清单和授权经营机制，组织所属企业议事清单执行专项检查，促进各治理主体间边界清晰、职责明确、关系顺畅、协调运转。高效推进三项制度改革，所属企业经理层成员全面实现任期制和契约化管理，强激励、硬约</w:t>
          </w:r>
          <w:r>
            <w:rPr>
              <w:rFonts w:hint="eastAsia"/>
              <w:szCs w:val="21"/>
            </w:rPr>
            <w:lastRenderedPageBreak/>
            <w:t>束成效初显。因企施策灵活运用多种激励工具，建立起覆盖上市公司</w:t>
          </w:r>
          <w:r>
            <w:rPr>
              <w:szCs w:val="21"/>
            </w:rPr>
            <w:t>-所属企业-项目层面的三级中长期激励架构，有力激发公司发展后劲。</w:t>
          </w:r>
        </w:p>
        <w:p w14:paraId="49ADE6CD" w14:textId="77777777" w:rsidR="00E57DAA" w:rsidRDefault="00AC4185">
          <w:pPr>
            <w:ind w:firstLineChars="200" w:firstLine="420"/>
            <w:rPr>
              <w:szCs w:val="21"/>
            </w:rPr>
          </w:pPr>
          <w:r>
            <w:rPr>
              <w:rFonts w:hint="eastAsia"/>
              <w:szCs w:val="21"/>
            </w:rPr>
            <w:t>（三）强化监督考核成效，助力高质量运营管控</w:t>
          </w:r>
        </w:p>
        <w:p w14:paraId="2F7C251C" w14:textId="77777777" w:rsidR="00E57DAA" w:rsidRDefault="00AC4185">
          <w:pPr>
            <w:ind w:firstLineChars="200" w:firstLine="420"/>
            <w:rPr>
              <w:szCs w:val="21"/>
            </w:rPr>
          </w:pPr>
          <w:r>
            <w:rPr>
              <w:rFonts w:hint="eastAsia"/>
              <w:szCs w:val="21"/>
            </w:rPr>
            <w:t>以监督考核为抓手，促进合规经营能力提升。以全面预算管理为重点，充分发挥考核的引导作用，常态化开展内外对标，定期经营运行分析工作，提高经营质量和效率。持续健全完善全面风险管理和违规追责体系，强化审计、法务、纪检的有效联动，提升合规管理水平。</w:t>
          </w:r>
        </w:p>
        <w:p w14:paraId="48A86675" w14:textId="77777777" w:rsidR="00E57DAA" w:rsidRDefault="00AC4185">
          <w:pPr>
            <w:ind w:firstLineChars="200" w:firstLine="420"/>
            <w:jc w:val="both"/>
            <w:rPr>
              <w:szCs w:val="21"/>
            </w:rPr>
          </w:pPr>
          <w:r>
            <w:rPr>
              <w:rFonts w:hint="eastAsia"/>
              <w:szCs w:val="21"/>
            </w:rPr>
            <w:t>（四）有序推进整合融合，提升协同价值创造能力</w:t>
          </w:r>
        </w:p>
        <w:p w14:paraId="7F6F74AF" w14:textId="77777777" w:rsidR="00E57DAA" w:rsidRDefault="00AC4185">
          <w:pPr>
            <w:ind w:firstLineChars="200" w:firstLine="420"/>
            <w:jc w:val="both"/>
            <w:rPr>
              <w:szCs w:val="21"/>
            </w:rPr>
          </w:pPr>
          <w:r>
            <w:rPr>
              <w:rFonts w:hint="eastAsia"/>
              <w:szCs w:val="21"/>
            </w:rPr>
            <w:t>报告期，</w:t>
          </w:r>
          <w:r>
            <w:rPr>
              <w:szCs w:val="21"/>
            </w:rPr>
            <w:t>为加强公司的统一管理，提高整体决策水平和抗风险能力，实现协同效益最大化，从战略、管理、经营、党建文化四个方面对重组企业进行深度整合、融合。</w:t>
          </w:r>
        </w:p>
      </w:sdtContent>
    </w:sdt>
    <w:p w14:paraId="71DC6A23" w14:textId="77777777" w:rsidR="00E57DAA" w:rsidRDefault="00E57DAA">
      <w:pPr>
        <w:rPr>
          <w:szCs w:val="21"/>
        </w:rPr>
      </w:pPr>
    </w:p>
    <w:p w14:paraId="2FE0B7A1" w14:textId="77777777" w:rsidR="00E57DAA" w:rsidRDefault="00AC4185">
      <w:pPr>
        <w:pStyle w:val="2"/>
        <w:numPr>
          <w:ilvl w:val="0"/>
          <w:numId w:val="19"/>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779715436"/>
        <w:placeholder>
          <w:docPart w:val="GBC22222222222222222222222222222"/>
        </w:placeholder>
      </w:sdtPr>
      <w:sdtEndPr/>
      <w:sdtContent>
        <w:p w14:paraId="5AF15927"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717560929"/>
        <w:placeholder>
          <w:docPart w:val="GBC22222222222222222222222222222"/>
        </w:placeholder>
      </w:sdtPr>
      <w:sdtEndPr/>
      <w:sdtContent>
        <w:p w14:paraId="77F619D0" w14:textId="77777777" w:rsidR="00E57DAA" w:rsidRDefault="00AC4185">
          <w:pPr>
            <w:ind w:firstLineChars="200" w:firstLine="420"/>
            <w:rPr>
              <w:szCs w:val="21"/>
            </w:rPr>
          </w:pPr>
          <w:r>
            <w:rPr>
              <w:rFonts w:hint="eastAsia"/>
              <w:szCs w:val="21"/>
            </w:rPr>
            <w:t>受公司董事会委托，大华会计师事务所（特殊普通合伙）对公司</w:t>
          </w:r>
          <w:r>
            <w:rPr>
              <w:szCs w:val="21"/>
            </w:rPr>
            <w:t>2023年12月31日的财务</w:t>
          </w:r>
        </w:p>
        <w:p w14:paraId="374928F0" w14:textId="77777777" w:rsidR="00E57DAA" w:rsidRDefault="00AC4185">
          <w:pPr>
            <w:rPr>
              <w:szCs w:val="21"/>
            </w:rPr>
          </w:pPr>
          <w:r>
            <w:rPr>
              <w:rFonts w:hint="eastAsia"/>
              <w:szCs w:val="21"/>
            </w:rPr>
            <w:t>报告内部控制有效性进行了审计，并出具了无保留意见的内部控制审计报告。</w:t>
          </w:r>
        </w:p>
        <w:p w14:paraId="0CB45A14" w14:textId="77777777" w:rsidR="00E57DAA" w:rsidRDefault="00EB41A1">
          <w:pPr>
            <w:rPr>
              <w:szCs w:val="21"/>
            </w:rPr>
          </w:pPr>
        </w:p>
      </w:sdtContent>
    </w:sdt>
    <w:p w14:paraId="7DF07167" w14:textId="77777777" w:rsidR="00E57DAA" w:rsidRDefault="00AC4185">
      <w:pPr>
        <w:rPr>
          <w:szCs w:val="21"/>
        </w:rPr>
      </w:pPr>
      <w:r>
        <w:rPr>
          <w:szCs w:val="21"/>
        </w:rPr>
        <w:t>是否披露内部控制审计报告：</w:t>
      </w:r>
      <w:sdt>
        <w:sdtPr>
          <w:rPr>
            <w:szCs w:val="21"/>
          </w:rPr>
          <w:alias w:val="审计机构是否对公司内部控制出具核实评价意见"/>
          <w:tag w:val="_GBC_c9f332f7c06944ebbd339ca86944d1e2"/>
          <w:id w:val="106864643"/>
          <w:lock w:val="sdtLocked"/>
          <w:placeholder>
            <w:docPart w:val="GBC22222222222222222222222222222"/>
          </w:placeholder>
          <w:comboBox>
            <w:listItem w:displayText="是" w:value="true"/>
            <w:listItem w:displayText="否" w:value="false"/>
          </w:comboBox>
        </w:sdtPr>
        <w:sdtEndPr/>
        <w:sdtContent>
          <w:r>
            <w:rPr>
              <w:szCs w:val="21"/>
            </w:rPr>
            <w:t>是</w:t>
          </w:r>
        </w:sdtContent>
      </w:sdt>
    </w:p>
    <w:p w14:paraId="0C3B68D8" w14:textId="77777777" w:rsidR="00E57DAA" w:rsidRDefault="00AC4185">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41055720"/>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EndPr/>
        <w:sdtContent>
          <w:r>
            <w:rPr>
              <w:rFonts w:hint="eastAsia"/>
              <w:lang w:val="zh-CN"/>
            </w:rPr>
            <w:t>标准的无保留意见</w:t>
          </w:r>
        </w:sdtContent>
      </w:sdt>
    </w:p>
    <w:p w14:paraId="5E31D3A6" w14:textId="77777777" w:rsidR="00E57DAA" w:rsidRDefault="00E57DAA">
      <w:pPr>
        <w:rPr>
          <w:szCs w:val="21"/>
        </w:rPr>
      </w:pPr>
    </w:p>
    <w:p w14:paraId="38917573" w14:textId="77777777" w:rsidR="00E57DAA" w:rsidRDefault="00AC4185">
      <w:pPr>
        <w:pStyle w:val="2"/>
        <w:numPr>
          <w:ilvl w:val="0"/>
          <w:numId w:val="19"/>
        </w:numPr>
      </w:pPr>
      <w:r>
        <w:t>上市公司治理专项行动自查问题整改情况</w:t>
      </w:r>
    </w:p>
    <w:bookmarkStart w:id="90" w:name="_Hlk40625199" w:displacedByCustomXml="next"/>
    <w:bookmarkStart w:id="91" w:name="_Hlk40625163" w:displacedByCustomXml="next"/>
    <w:sdt>
      <w:sdtPr>
        <w:rPr>
          <w:szCs w:val="21"/>
        </w:rPr>
        <w:alias w:val="上市公司治理专项行动自查问题整改情况"/>
        <w:tag w:val="_GBC_05eb1501ffbf4b83acf20965ad06a2e0"/>
        <w:id w:val="611093470"/>
        <w:placeholder>
          <w:docPart w:val="GBC22222222222222222222222222222"/>
        </w:placeholder>
      </w:sdtPr>
      <w:sdtEndPr/>
      <w:sdtContent>
        <w:p w14:paraId="3F539711" w14:textId="77777777" w:rsidR="00E57DAA" w:rsidRDefault="00AC4185">
          <w:pPr>
            <w:ind w:firstLineChars="200" w:firstLine="420"/>
            <w:rPr>
              <w:szCs w:val="21"/>
            </w:rPr>
          </w:pPr>
          <w:r>
            <w:rPr>
              <w:rFonts w:hint="eastAsia"/>
              <w:szCs w:val="21"/>
            </w:rPr>
            <w:t>公司治理自查中涉及的公司控股股东、实际控制人与上市公司在业务范围、业务性质、客户对象、产品可替代性等方面存在竞争和控股股东、实际控制人从事与上市公司相同或者相近的业务的情况，公司已于</w:t>
          </w:r>
          <w:r>
            <w:rPr>
              <w:szCs w:val="21"/>
            </w:rPr>
            <w:t>2021年完成工程技术服务领域对中材矿山、南京凯盛、北京凯盛的重组整合，2022年推进装备业务领域对合肥院的重组，并于2023年</w:t>
          </w:r>
          <w:r>
            <w:rPr>
              <w:rFonts w:hint="eastAsia"/>
              <w:szCs w:val="21"/>
            </w:rPr>
            <w:t>实施完毕</w:t>
          </w:r>
          <w:r>
            <w:rPr>
              <w:szCs w:val="21"/>
            </w:rPr>
            <w:t>。控股股东和实际控制人就后续规范和解决同业竞争出具承诺和补充承诺。具体内容详见第六节重要事项中（一）公司实际控制人、股东、关联方、收购人以及公司等承诺相关方在报告期内或持续到报告期内的承</w:t>
          </w:r>
          <w:r>
            <w:rPr>
              <w:rFonts w:hint="eastAsia"/>
              <w:szCs w:val="21"/>
            </w:rPr>
            <w:t>诺事项，有关承诺正常履行中。</w:t>
          </w:r>
        </w:p>
      </w:sdtContent>
    </w:sdt>
    <w:bookmarkEnd w:id="90"/>
    <w:p w14:paraId="04D73C4C" w14:textId="77777777" w:rsidR="00E57DAA" w:rsidRDefault="00E57DAA">
      <w:pPr>
        <w:rPr>
          <w:szCs w:val="21"/>
        </w:rPr>
      </w:pPr>
    </w:p>
    <w:p w14:paraId="5030F046" w14:textId="77777777" w:rsidR="00E57DAA" w:rsidRDefault="00AC4185">
      <w:pPr>
        <w:pStyle w:val="2"/>
        <w:numPr>
          <w:ilvl w:val="0"/>
          <w:numId w:val="19"/>
        </w:numPr>
      </w:pPr>
      <w:r>
        <w:t>其他</w:t>
      </w:r>
    </w:p>
    <w:bookmarkEnd w:id="91" w:displacedByCustomXml="next"/>
    <w:sdt>
      <w:sdtPr>
        <w:rPr>
          <w:rFonts w:hint="eastAsia"/>
          <w:szCs w:val="21"/>
        </w:rPr>
        <w:alias w:val="是否适用：其他公司治理情况说明[双击切换]"/>
        <w:tag w:val="_GBC_dc91085943bb4d4ab22a79a9ba7014df"/>
        <w:id w:val="534772893"/>
        <w:placeholder>
          <w:docPart w:val="GBC22222222222222222222222222222"/>
        </w:placeholder>
      </w:sdtPr>
      <w:sdtEndPr/>
      <w:sdtContent>
        <w:p w14:paraId="007E7DE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B0E3E8" w14:textId="77777777" w:rsidR="00E57DAA" w:rsidRDefault="00E57DAA">
      <w:pPr>
        <w:rPr>
          <w:szCs w:val="21"/>
        </w:rPr>
      </w:pPr>
    </w:p>
    <w:p w14:paraId="1023FEB9" w14:textId="77777777" w:rsidR="00E57DAA" w:rsidRDefault="00AC4185" w:rsidP="00E76E97">
      <w:pPr>
        <w:pStyle w:val="1"/>
      </w:pPr>
      <w:bookmarkStart w:id="92" w:name="_Toc89790252"/>
      <w:r>
        <w:rPr>
          <w:rFonts w:hint="eastAsia"/>
        </w:rPr>
        <w:t>环境与社会责任</w:t>
      </w:r>
      <w:bookmarkEnd w:id="92"/>
    </w:p>
    <w:p w14:paraId="4FEFAA1A" w14:textId="77777777" w:rsidR="009E3DA1" w:rsidRDefault="009E3DA1" w:rsidP="009E3DA1">
      <w:pPr>
        <w:pStyle w:val="2"/>
        <w:numPr>
          <w:ilvl w:val="0"/>
          <w:numId w:val="27"/>
        </w:numPr>
        <w:tabs>
          <w:tab w:val="left" w:pos="426"/>
        </w:tabs>
        <w:ind w:left="425" w:hanging="425"/>
        <w:jc w:val="left"/>
        <w:rPr>
          <w:rFonts w:ascii="宋体" w:hAnsi="宋体"/>
        </w:rPr>
      </w:pPr>
      <w:bookmarkStart w:id="93" w:name="_Hlk89187025"/>
      <w:bookmarkStart w:id="94" w:name="_Hlk89187063"/>
      <w:r>
        <w:rPr>
          <w:rFonts w:ascii="宋体" w:hAnsi="宋体" w:hint="eastAsia"/>
        </w:rPr>
        <w:t>环境</w:t>
      </w:r>
      <w:r>
        <w:rPr>
          <w:rFonts w:ascii="宋体" w:hAnsi="宋体"/>
        </w:rPr>
        <w:t>信息情况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9E3DA1" w14:paraId="6A0E21DD" w14:textId="77777777" w:rsidTr="00F563D1">
        <w:sdt>
          <w:sdtPr>
            <w:rPr>
              <w:rFonts w:hint="eastAsia"/>
            </w:rPr>
            <w:tag w:val="_PLD_5357166cc0f74e2181ffc731d0410fde"/>
            <w:id w:val="1697661309"/>
          </w:sdtPr>
          <w:sdtEndPr/>
          <w:sdtContent>
            <w:tc>
              <w:tcPr>
                <w:tcW w:w="2532" w:type="pct"/>
                <w:shd w:val="clear" w:color="auto" w:fill="auto"/>
              </w:tcPr>
              <w:p w14:paraId="385D940E" w14:textId="77777777" w:rsidR="009E3DA1" w:rsidRDefault="009E3DA1">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1379931910"/>
            <w:comboBox>
              <w:listItem w:displayText="是" w:value="是"/>
              <w:listItem w:displayText="否" w:value="否"/>
            </w:comboBox>
          </w:sdtPr>
          <w:sdtEndPr/>
          <w:sdtContent>
            <w:tc>
              <w:tcPr>
                <w:tcW w:w="2468" w:type="pct"/>
                <w:shd w:val="clear" w:color="auto" w:fill="auto"/>
              </w:tcPr>
              <w:p w14:paraId="7905AEC1" w14:textId="77777777" w:rsidR="009E3DA1" w:rsidRDefault="009E3DA1">
                <w:pPr>
                  <w:widowControl w:val="0"/>
                  <w:jc w:val="right"/>
                </w:pPr>
                <w:r>
                  <w:rPr>
                    <w:rFonts w:hint="eastAsia"/>
                  </w:rPr>
                  <w:t>是</w:t>
                </w:r>
              </w:p>
            </w:tc>
          </w:sdtContent>
        </w:sdt>
      </w:tr>
      <w:bookmarkStart w:id="95" w:name="OLE_LINK1"/>
      <w:tr w:rsidR="009E3DA1" w14:paraId="6282B7DB" w14:textId="77777777" w:rsidTr="00F563D1">
        <w:tc>
          <w:tcPr>
            <w:tcW w:w="2532" w:type="pct"/>
            <w:shd w:val="clear" w:color="auto" w:fill="auto"/>
          </w:tcPr>
          <w:p w14:paraId="3B360FF3" w14:textId="77777777" w:rsidR="009E3DA1" w:rsidRDefault="00EB41A1">
            <w:pPr>
              <w:widowControl w:val="0"/>
              <w:jc w:val="both"/>
            </w:pPr>
            <w:sdt>
              <w:sdtPr>
                <w:rPr>
                  <w:rFonts w:hint="eastAsia"/>
                </w:rPr>
                <w:tag w:val="_PLD_cc2834f9480347efb3c6049a723db89d"/>
                <w:id w:val="1497306032"/>
              </w:sdtPr>
              <w:sdtEndPr/>
              <w:sdtContent>
                <w:r w:rsidR="009E3DA1">
                  <w:rPr>
                    <w:rFonts w:hint="eastAsia"/>
                  </w:rPr>
                  <w:t>报告期内投入环保资金</w:t>
                </w:r>
                <w:bookmarkEnd w:id="95"/>
              </w:sdtContent>
            </w:sdt>
            <w:r w:rsidR="009E3DA1">
              <w:rPr>
                <w:rFonts w:hint="eastAsia"/>
              </w:rPr>
              <w:t>（单位：</w:t>
            </w:r>
            <w:sdt>
              <w:sdtPr>
                <w:rPr>
                  <w:rFonts w:hint="eastAsia"/>
                </w:rPr>
                <w:alias w:val="单位：报告期内投入环保资金"/>
                <w:tag w:val="_GBC_23fc355d243f4962992b20f0d6511069"/>
                <w:id w:val="-59948234"/>
                <w:comboBox>
                  <w:listItem w:displayText="元" w:value="元"/>
                  <w:listItem w:displayText="千元" w:value="千元"/>
                  <w:listItem w:displayText="万元" w:value="万元"/>
                  <w:listItem w:displayText="百万元" w:value="百万元"/>
                  <w:listItem w:displayText="亿元" w:value="亿元"/>
                </w:comboBox>
              </w:sdtPr>
              <w:sdtEndPr/>
              <w:sdtContent>
                <w:r w:rsidR="009E3DA1">
                  <w:rPr>
                    <w:rFonts w:hint="eastAsia"/>
                  </w:rPr>
                  <w:t>万元</w:t>
                </w:r>
              </w:sdtContent>
            </w:sdt>
            <w:r w:rsidR="009E3DA1">
              <w:rPr>
                <w:rFonts w:hint="eastAsia"/>
              </w:rPr>
              <w:t>）</w:t>
            </w:r>
          </w:p>
        </w:tc>
        <w:tc>
          <w:tcPr>
            <w:tcW w:w="2468" w:type="pct"/>
            <w:shd w:val="clear" w:color="auto" w:fill="auto"/>
          </w:tcPr>
          <w:p w14:paraId="240EB000" w14:textId="77777777" w:rsidR="009E3DA1" w:rsidRDefault="009E3DA1">
            <w:pPr>
              <w:widowControl w:val="0"/>
              <w:jc w:val="right"/>
            </w:pPr>
            <w:r>
              <w:rPr>
                <w:rFonts w:hint="eastAsia"/>
              </w:rPr>
              <w:t>11,150.28</w:t>
            </w:r>
          </w:p>
        </w:tc>
      </w:tr>
    </w:tbl>
    <w:p w14:paraId="4BD42DD1" w14:textId="77777777" w:rsidR="009E3DA1" w:rsidRDefault="009E3DA1"/>
    <w:p w14:paraId="25EE7BED" w14:textId="77777777" w:rsidR="00E57DAA" w:rsidRDefault="00AC4185">
      <w:pPr>
        <w:pStyle w:val="3"/>
        <w:numPr>
          <w:ilvl w:val="0"/>
          <w:numId w:val="28"/>
        </w:numPr>
      </w:pPr>
      <w:r>
        <w:t>属于环境保护部门公布的重点排污单位的公司及其</w:t>
      </w:r>
      <w:r>
        <w:rPr>
          <w:rFonts w:hint="eastAsia"/>
        </w:rPr>
        <w:t>主要</w:t>
      </w:r>
      <w:r>
        <w:t>子公司的环保情况说明</w:t>
      </w:r>
    </w:p>
    <w:sdt>
      <w:sdtPr>
        <w:rPr>
          <w:rFonts w:hint="eastAsia"/>
        </w:rPr>
        <w:alias w:val="是否适用：重点排污单位环保情况[双击切换]"/>
        <w:tag w:val="_GBC_40b93d2f11a54d2c995a8c41cdee40c4"/>
        <w:id w:val="-1587988223"/>
        <w:placeholder>
          <w:docPart w:val="GBC22222222222222222222222222222"/>
        </w:placeholder>
      </w:sdtPr>
      <w:sdtEndPr/>
      <w:sdtContent>
        <w:p w14:paraId="4914F42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E6AFAB" w14:textId="77777777" w:rsidR="00E57DAA" w:rsidRDefault="00E57DAA" w:rsidP="00C25422">
      <w:pPr>
        <w:pStyle w:val="92"/>
      </w:pPr>
    </w:p>
    <w:p w14:paraId="03EDFB81" w14:textId="77777777" w:rsidR="00E57DAA" w:rsidRDefault="00AC4185">
      <w:pPr>
        <w:pStyle w:val="3"/>
        <w:numPr>
          <w:ilvl w:val="0"/>
          <w:numId w:val="28"/>
        </w:numPr>
      </w:pPr>
      <w:r>
        <w:rPr>
          <w:rFonts w:hint="eastAsia"/>
        </w:rPr>
        <w:t>重点排污单位之外的公司环保情况说明</w:t>
      </w:r>
    </w:p>
    <w:sdt>
      <w:sdtPr>
        <w:alias w:val="是否适用：重点排污单位之外的公司的环保情况[双击切换]"/>
        <w:tag w:val="_GBC_d5ef790979ae4170801b0e930a2b7445"/>
        <w:id w:val="911734393"/>
        <w:placeholder>
          <w:docPart w:val="GBC22222222222222222222222222222"/>
        </w:placeholder>
      </w:sdtPr>
      <w:sdtEndPr/>
      <w:sdtContent>
        <w:p w14:paraId="5BD6492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C1F77F" w14:textId="77777777" w:rsidR="00E57DAA" w:rsidRDefault="00AC4185">
      <w:pPr>
        <w:pStyle w:val="4"/>
        <w:numPr>
          <w:ilvl w:val="0"/>
          <w:numId w:val="29"/>
        </w:numPr>
        <w:ind w:left="450" w:hanging="450"/>
        <w:rPr>
          <w:rFonts w:ascii="宋体" w:hAnsi="宋体"/>
          <w:szCs w:val="21"/>
        </w:rPr>
      </w:pPr>
      <w:r>
        <w:rPr>
          <w:rFonts w:ascii="宋体" w:hAnsi="宋体" w:hint="eastAsia"/>
          <w:szCs w:val="21"/>
        </w:rPr>
        <w:t>因环境问题受到行政处罚的情况</w:t>
      </w:r>
    </w:p>
    <w:bookmarkStart w:id="96" w:name="_Hlk74731776" w:displacedByCustomXml="next"/>
    <w:sdt>
      <w:sdtPr>
        <w:rPr>
          <w:szCs w:val="21"/>
        </w:rPr>
        <w:alias w:val="是否适用：重点排污单位之外的公司因环境问题受到行政处罚的情况[双击切换]"/>
        <w:tag w:val="_GBC_5896886de1f845c180bb3a271ed2a8a9"/>
        <w:id w:val="-458190084"/>
        <w:placeholder>
          <w:docPart w:val="GBC22222222222222222222222222222"/>
        </w:placeholder>
      </w:sdtPr>
      <w:sdtEndPr/>
      <w:sdtContent>
        <w:p w14:paraId="1A40AD2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重点排污单位之外的公司因环境问题受到行政处罚的情况"/>
        <w:tag w:val="_GBC_5c90b75d4fde47298a2b3539d6b39ba5"/>
        <w:id w:val="819381183"/>
        <w:placeholder>
          <w:docPart w:val="GBC22222222222222222222222222222"/>
        </w:placeholder>
      </w:sdtPr>
      <w:sdtEndPr/>
      <w:sdtContent>
        <w:p w14:paraId="3E3FD88F" w14:textId="77777777" w:rsidR="00E57DAA" w:rsidRDefault="00AC4185">
          <w:pPr>
            <w:ind w:firstLineChars="200" w:firstLine="420"/>
            <w:rPr>
              <w:szCs w:val="21"/>
            </w:rPr>
          </w:pPr>
          <w:r>
            <w:rPr>
              <w:rFonts w:hint="eastAsia"/>
              <w:szCs w:val="21"/>
            </w:rPr>
            <w:t>报告期内，公司未发生环境污染重大影响事故；因环境问题受政府环保部门处罚事件</w:t>
          </w:r>
          <w:r>
            <w:rPr>
              <w:szCs w:val="21"/>
            </w:rPr>
            <w:t>2起，罚款金额累计14万元。</w:t>
          </w:r>
        </w:p>
      </w:sdtContent>
    </w:sdt>
    <w:bookmarkEnd w:id="96"/>
    <w:p w14:paraId="3263B78C" w14:textId="77777777" w:rsidR="00E57DAA" w:rsidRDefault="00E57DAA">
      <w:pPr>
        <w:rPr>
          <w:szCs w:val="21"/>
        </w:rPr>
      </w:pPr>
    </w:p>
    <w:p w14:paraId="36854848" w14:textId="77777777" w:rsidR="00E57DAA" w:rsidRDefault="00AC4185">
      <w:pPr>
        <w:pStyle w:val="4"/>
        <w:numPr>
          <w:ilvl w:val="0"/>
          <w:numId w:val="29"/>
        </w:numPr>
        <w:ind w:left="450" w:hanging="450"/>
        <w:rPr>
          <w:rFonts w:ascii="宋体" w:hAnsi="宋体"/>
          <w:szCs w:val="21"/>
        </w:rPr>
      </w:pPr>
      <w:r>
        <w:rPr>
          <w:rFonts w:ascii="宋体" w:hAnsi="宋体" w:hint="eastAsia"/>
          <w:szCs w:val="21"/>
        </w:rPr>
        <w:lastRenderedPageBreak/>
        <w:t>参照</w:t>
      </w:r>
      <w:r>
        <w:rPr>
          <w:rFonts w:ascii="宋体" w:hAnsi="宋体"/>
          <w:szCs w:val="21"/>
        </w:rPr>
        <w:t>重点排污单位</w:t>
      </w:r>
      <w:r>
        <w:rPr>
          <w:rFonts w:ascii="宋体" w:hAnsi="宋体" w:hint="eastAsia"/>
          <w:szCs w:val="21"/>
        </w:rPr>
        <w:t>披露其他环境信息</w:t>
      </w:r>
    </w:p>
    <w:sdt>
      <w:sdtPr>
        <w:rPr>
          <w:szCs w:val="21"/>
        </w:rPr>
        <w:alias w:val="是否适用：参照重点排污单位披露其它环境信息[双击切换]"/>
        <w:tag w:val="_GBC_c81ce6b9ed3e477cb685a903703d325c"/>
        <w:id w:val="-515316906"/>
        <w:placeholder>
          <w:docPart w:val="GBC22222222222222222222222222222"/>
        </w:placeholder>
      </w:sdtPr>
      <w:sdtEndPr/>
      <w:sdtContent>
        <w:p w14:paraId="3232C48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参照重点排污单位披露其它环境信息"/>
        <w:tag w:val="_GBC_effe23a7bbde4f7a908345ffd998c638"/>
        <w:id w:val="-1110128724"/>
        <w:placeholder>
          <w:docPart w:val="GBC22222222222222222222222222222"/>
        </w:placeholder>
      </w:sdtPr>
      <w:sdtEndPr/>
      <w:sdtContent>
        <w:p w14:paraId="60A9543D" w14:textId="77777777" w:rsidR="00E57DAA" w:rsidRDefault="00AC4185">
          <w:pPr>
            <w:spacing w:line="276" w:lineRule="auto"/>
            <w:ind w:firstLineChars="200" w:firstLine="420"/>
            <w:rPr>
              <w:szCs w:val="21"/>
            </w:rPr>
          </w:pPr>
          <w:r>
            <w:rPr>
              <w:rFonts w:hint="eastAsia"/>
              <w:szCs w:val="21"/>
            </w:rPr>
            <w:t>公司所属中材环境下属</w:t>
          </w:r>
          <w:r>
            <w:rPr>
              <w:szCs w:val="21"/>
            </w:rPr>
            <w:t>3家单位</w:t>
          </w:r>
          <w:r>
            <w:rPr>
              <w:rFonts w:hint="eastAsia"/>
              <w:szCs w:val="21"/>
            </w:rPr>
            <w:t>淮南中建材腾锋环保科技有限公司、临沂国建环境科技有限公司、中天共康环保科技有限公司</w:t>
          </w:r>
          <w:r>
            <w:rPr>
              <w:szCs w:val="21"/>
            </w:rPr>
            <w:t>被属地生态环境部门列入重点排污单位名录。</w:t>
          </w:r>
        </w:p>
        <w:p w14:paraId="5B119E05" w14:textId="77777777" w:rsidR="00E57DAA" w:rsidRDefault="00AC4185">
          <w:pPr>
            <w:ind w:firstLineChars="200" w:firstLine="420"/>
            <w:jc w:val="both"/>
            <w:rPr>
              <w:szCs w:val="21"/>
            </w:rPr>
          </w:pPr>
          <w:r>
            <w:rPr>
              <w:rFonts w:hint="eastAsia"/>
              <w:szCs w:val="21"/>
            </w:rPr>
            <w:t>报告期</w:t>
          </w:r>
          <w:r>
            <w:rPr>
              <w:szCs w:val="21"/>
            </w:rPr>
            <w:t>，各重点排污单位加强环境保护和节能减排管理，</w:t>
          </w:r>
          <w:r>
            <w:rPr>
              <w:rFonts w:hint="eastAsia"/>
              <w:szCs w:val="21"/>
            </w:rPr>
            <w:t>按照环评批复在厂区指定区域设置排放口，并按照法规要求定期进行排放监测，并制定环境自行监测方案，对主要污染物进行实时监控，按要求报属地政府相关部门备案，编制突发环境事件应急预案，在当地环保局进行备案。污染物排放数值通过有关环境信息发布平台公开。详情参见公司</w:t>
          </w:r>
          <w:r>
            <w:rPr>
              <w:szCs w:val="21"/>
            </w:rPr>
            <w:t>2023年度环境、社会及管治（ESG）报告。</w:t>
          </w:r>
        </w:p>
      </w:sdtContent>
    </w:sdt>
    <w:p w14:paraId="4DE81B4E" w14:textId="77777777" w:rsidR="00E57DAA" w:rsidRDefault="00E57DAA">
      <w:pPr>
        <w:rPr>
          <w:szCs w:val="21"/>
        </w:rPr>
      </w:pPr>
    </w:p>
    <w:p w14:paraId="5C6C51FB" w14:textId="77777777" w:rsidR="00E57DAA" w:rsidRDefault="00AC4185">
      <w:pPr>
        <w:pStyle w:val="4"/>
        <w:numPr>
          <w:ilvl w:val="0"/>
          <w:numId w:val="29"/>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cd8c1fc8381844409435eed0d957ea5c"/>
        <w:id w:val="1932851222"/>
        <w:placeholder>
          <w:docPart w:val="GBC22222222222222222222222222222"/>
        </w:placeholder>
      </w:sdtPr>
      <w:sdtEndPr/>
      <w:sdtContent>
        <w:p w14:paraId="4291F16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E814B3" w14:textId="77777777" w:rsidR="00E57DAA" w:rsidRDefault="00E57DAA" w:rsidP="00C25422">
      <w:pPr>
        <w:pStyle w:val="92"/>
      </w:pPr>
    </w:p>
    <w:p w14:paraId="296F0E04" w14:textId="77777777" w:rsidR="00E57DAA" w:rsidRDefault="00AC4185">
      <w:pPr>
        <w:pStyle w:val="3"/>
        <w:numPr>
          <w:ilvl w:val="0"/>
          <w:numId w:val="28"/>
        </w:numPr>
      </w:pPr>
      <w:r>
        <w:rPr>
          <w:rFonts w:hint="eastAsia"/>
        </w:rPr>
        <w:t>有利于保护生态、防治污染、履行环境责任的相关信息</w:t>
      </w:r>
    </w:p>
    <w:sdt>
      <w:sdtPr>
        <w:rPr>
          <w:szCs w:val="21"/>
        </w:rPr>
        <w:alias w:val="是否适用：有利于保护生态、防治污染、履行环境责任的相关信息[双击切换]"/>
        <w:tag w:val="_GBC_b098ce7912f144edb010c3351255b611"/>
        <w:id w:val="-520322266"/>
        <w:placeholder>
          <w:docPart w:val="GBC22222222222222222222222222222"/>
        </w:placeholder>
      </w:sdtPr>
      <w:sdtEndPr/>
      <w:sdtContent>
        <w:p w14:paraId="2479740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1fccabe26da9412fabcb2e444011eb04"/>
        <w:id w:val="-1685979394"/>
        <w:placeholder>
          <w:docPart w:val="GBC22222222222222222222222222222"/>
        </w:placeholder>
      </w:sdtPr>
      <w:sdtEndPr/>
      <w:sdtContent>
        <w:p w14:paraId="626478A5" w14:textId="77777777" w:rsidR="00E57DAA" w:rsidRDefault="00AC4185">
          <w:pPr>
            <w:ind w:firstLineChars="200" w:firstLine="420"/>
            <w:jc w:val="both"/>
            <w:rPr>
              <w:szCs w:val="21"/>
            </w:rPr>
          </w:pPr>
          <w:r>
            <w:rPr>
              <w:rFonts w:hint="eastAsia"/>
              <w:szCs w:val="21"/>
            </w:rPr>
            <w:t>公司坚持绿色低碳发展，在环保方面认真贯彻落实国家生态环境保护法律法规以及节能减排的方针政策，积极推行清洁生产和绿色施工，实现达标排放和生产环境的持续改善，通过设计优化、节约建造、精细运维、技术创新、环保产业发展和企业文化塑造，不断实现公司全面绿色发展。</w:t>
          </w:r>
        </w:p>
        <w:p w14:paraId="43753ED0" w14:textId="77777777" w:rsidR="00E57DAA" w:rsidRDefault="00AC4185">
          <w:pPr>
            <w:ind w:firstLineChars="200" w:firstLine="420"/>
            <w:jc w:val="both"/>
            <w:rPr>
              <w:szCs w:val="21"/>
            </w:rPr>
          </w:pPr>
          <w:r>
            <w:rPr>
              <w:rFonts w:hint="eastAsia"/>
              <w:szCs w:val="21"/>
            </w:rPr>
            <w:t>在经营过程中，公司动态对项目建设过程以及管理活动所涉及环境因素进行辨识和评价，有效的控制重要环境因素和风险，同时以“节能、环保、低碳”为开发重点，研发并应用节能减排新技术、新工艺，助力行业</w:t>
          </w:r>
          <w:r>
            <w:rPr>
              <w:szCs w:val="21"/>
            </w:rPr>
            <w:t>转型升级与节能减排</w:t>
          </w:r>
          <w:r>
            <w:rPr>
              <w:rFonts w:hint="eastAsia"/>
              <w:szCs w:val="21"/>
            </w:rPr>
            <w:t>，积极履行社会责任。详情参见公司</w:t>
          </w:r>
          <w:r>
            <w:rPr>
              <w:szCs w:val="21"/>
            </w:rPr>
            <w:t>2023年度环境、社会及管治（ESG）报告。</w:t>
          </w:r>
        </w:p>
      </w:sdtContent>
    </w:sdt>
    <w:p w14:paraId="03F7887C" w14:textId="77777777" w:rsidR="00E57DAA" w:rsidRDefault="00E57DAA" w:rsidP="00C25422">
      <w:pPr>
        <w:pStyle w:val="92"/>
      </w:pPr>
    </w:p>
    <w:p w14:paraId="4A3BA522" w14:textId="77777777" w:rsidR="007907EC" w:rsidRDefault="007907EC" w:rsidP="007907EC">
      <w:pPr>
        <w:pStyle w:val="3"/>
        <w:numPr>
          <w:ilvl w:val="0"/>
          <w:numId w:val="28"/>
        </w:numPr>
        <w:shd w:val="clear" w:color="auto" w:fill="auto"/>
        <w:spacing w:before="60" w:after="60" w:line="240" w:lineRule="auto"/>
        <w:ind w:left="450" w:hanging="450"/>
        <w:rPr>
          <w:rFonts w:ascii="宋体" w:hAnsi="宋体"/>
        </w:rPr>
      </w:pPr>
      <w:r>
        <w:rPr>
          <w:rFonts w:ascii="宋体" w:hAnsi="宋体"/>
        </w:rPr>
        <w:t>在报告期内为减少其碳排放所采取的措施及效果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433"/>
      </w:tblGrid>
      <w:tr w:rsidR="007907EC" w14:paraId="3C62BF79" w14:textId="77777777" w:rsidTr="007907EC">
        <w:sdt>
          <w:sdtPr>
            <w:rPr>
              <w:rFonts w:hint="eastAsia"/>
            </w:rPr>
            <w:tag w:val="_PLD_d765fcc12171478eb6ac1d26c3b15d8b"/>
            <w:id w:val="914134762"/>
          </w:sdtPr>
          <w:sdtEndPr/>
          <w:sdtContent>
            <w:tc>
              <w:tcPr>
                <w:tcW w:w="2488" w:type="pct"/>
                <w:shd w:val="clear" w:color="auto" w:fill="auto"/>
              </w:tcPr>
              <w:p w14:paraId="6D3AEA02" w14:textId="77777777" w:rsidR="007907EC" w:rsidRDefault="007907EC">
                <w:pPr>
                  <w:widowControl w:val="0"/>
                  <w:jc w:val="both"/>
                </w:pPr>
                <w:r>
                  <w:rPr>
                    <w:rFonts w:hint="eastAsia"/>
                  </w:rPr>
                  <w:t>是否采取减碳措施</w:t>
                </w:r>
              </w:p>
            </w:tc>
          </w:sdtContent>
        </w:sdt>
        <w:sdt>
          <w:sdtPr>
            <w:alias w:val="是否采取减碳措施"/>
            <w:tag w:val="_GBC_d9a1ff3875ac418bab40a855cd584ffd"/>
            <w:id w:val="1888985713"/>
            <w:comboBox>
              <w:listItem w:displayText="是" w:value="是"/>
              <w:listItem w:displayText="否" w:value="否"/>
            </w:comboBox>
          </w:sdtPr>
          <w:sdtEndPr/>
          <w:sdtContent>
            <w:tc>
              <w:tcPr>
                <w:tcW w:w="2512" w:type="pct"/>
                <w:shd w:val="clear" w:color="auto" w:fill="auto"/>
              </w:tcPr>
              <w:p w14:paraId="083034B5" w14:textId="77777777" w:rsidR="007907EC" w:rsidRDefault="007907EC">
                <w:pPr>
                  <w:widowControl w:val="0"/>
                  <w:jc w:val="both"/>
                </w:pPr>
                <w:r>
                  <w:t>是</w:t>
                </w:r>
              </w:p>
            </w:tc>
          </w:sdtContent>
        </w:sdt>
      </w:tr>
      <w:tr w:rsidR="007907EC" w14:paraId="57AC5E0E" w14:textId="77777777" w:rsidTr="007907EC">
        <w:sdt>
          <w:sdtPr>
            <w:rPr>
              <w:rFonts w:hint="eastAsia"/>
            </w:rPr>
            <w:tag w:val="_PLD_713e689ce8a74ced8a0fe8fd91b35127"/>
            <w:id w:val="2133986752"/>
          </w:sdtPr>
          <w:sdtEndPr/>
          <w:sdtContent>
            <w:tc>
              <w:tcPr>
                <w:tcW w:w="2488" w:type="pct"/>
                <w:shd w:val="clear" w:color="auto" w:fill="auto"/>
              </w:tcPr>
              <w:p w14:paraId="335855E1" w14:textId="77777777" w:rsidR="007907EC" w:rsidRDefault="007907EC">
                <w:pPr>
                  <w:widowControl w:val="0"/>
                  <w:jc w:val="both"/>
                </w:pPr>
                <w:r>
                  <w:rPr>
                    <w:rFonts w:hint="eastAsia"/>
                  </w:rPr>
                  <w:t>减少排放二氧化碳当量（单位：吨）</w:t>
                </w:r>
              </w:p>
            </w:tc>
          </w:sdtContent>
        </w:sdt>
        <w:tc>
          <w:tcPr>
            <w:tcW w:w="2512" w:type="pct"/>
            <w:shd w:val="clear" w:color="auto" w:fill="auto"/>
          </w:tcPr>
          <w:p w14:paraId="5EE3792B" w14:textId="77777777" w:rsidR="007907EC" w:rsidRDefault="007907EC">
            <w:pPr>
              <w:widowControl w:val="0"/>
              <w:jc w:val="right"/>
            </w:pPr>
            <w:r>
              <w:rPr>
                <w:rFonts w:hint="eastAsia"/>
              </w:rPr>
              <w:t>-</w:t>
            </w:r>
          </w:p>
        </w:tc>
      </w:tr>
      <w:tr w:rsidR="007907EC" w14:paraId="5EE86DFF" w14:textId="77777777" w:rsidTr="007907EC">
        <w:sdt>
          <w:sdtPr>
            <w:rPr>
              <w:rFonts w:hint="eastAsia"/>
            </w:rPr>
            <w:tag w:val="_PLD_60c15f95b4484f72a0c24a7f97decfee"/>
            <w:id w:val="2013488953"/>
          </w:sdtPr>
          <w:sdtEndPr/>
          <w:sdtContent>
            <w:tc>
              <w:tcPr>
                <w:tcW w:w="2488" w:type="pct"/>
                <w:shd w:val="clear" w:color="auto" w:fill="auto"/>
              </w:tcPr>
              <w:p w14:paraId="0AA12D75" w14:textId="77777777" w:rsidR="007907EC" w:rsidRDefault="007907EC">
                <w:pPr>
                  <w:widowControl w:val="0"/>
                  <w:jc w:val="both"/>
                </w:pPr>
                <w:r>
                  <w:rPr>
                    <w:rFonts w:hint="eastAsia"/>
                  </w:rPr>
                  <w:t>减碳措施类型（如使用清洁能源发电、在生产过程中使用减碳技术、研发生产助于减碳的新产品等）</w:t>
                </w:r>
              </w:p>
            </w:tc>
          </w:sdtContent>
        </w:sdt>
        <w:tc>
          <w:tcPr>
            <w:tcW w:w="2512" w:type="pct"/>
            <w:shd w:val="clear" w:color="auto" w:fill="auto"/>
          </w:tcPr>
          <w:p w14:paraId="6459AA55" w14:textId="77777777" w:rsidR="007907EC" w:rsidRDefault="007907EC">
            <w:pPr>
              <w:widowControl w:val="0"/>
              <w:jc w:val="both"/>
            </w:pPr>
            <w:r>
              <w:rPr>
                <w:rFonts w:hint="eastAsia"/>
              </w:rPr>
              <w:t>一是不断加强公司碳排放管理，规范能源和二氧化碳排放统计。二是优化产业用能，积极推进清洁能源利用。</w:t>
            </w:r>
          </w:p>
        </w:tc>
      </w:tr>
    </w:tbl>
    <w:p w14:paraId="15D0B7CA" w14:textId="77777777" w:rsidR="007907EC" w:rsidRDefault="007907EC"/>
    <w:p w14:paraId="0327864C" w14:textId="77777777" w:rsidR="007907EC" w:rsidRDefault="007907EC">
      <w:r>
        <w:rPr>
          <w:rFonts w:hint="eastAsia"/>
        </w:rPr>
        <w:t>具体说明</w:t>
      </w:r>
    </w:p>
    <w:sdt>
      <w:sdtPr>
        <w:alias w:val="是否适用：在报告期内为减少其碳排放所采取的措施及效果 [双击切换]"/>
        <w:tag w:val="_GBC_c548c6cdcee840f1b99e9992b9199dfc"/>
        <w:id w:val="1906098143"/>
      </w:sdtPr>
      <w:sdtEndPr/>
      <w:sdtContent>
        <w:p w14:paraId="1E57B0C8" w14:textId="77777777" w:rsidR="007907EC" w:rsidRDefault="007907EC">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sdt>
      <w:sdtPr>
        <w:alias w:val="在报告期内为减少其碳排放所采取的措施及效果 "/>
        <w:tag w:val="_GBC_ca4174c323bb40d9bffbaa1df2f9a6e3"/>
        <w:id w:val="-1659846601"/>
      </w:sdtPr>
      <w:sdtEndPr/>
      <w:sdtContent>
        <w:p w14:paraId="2525B1B7" w14:textId="77777777" w:rsidR="007907EC" w:rsidRDefault="007907EC" w:rsidP="00C3088F">
          <w:pPr>
            <w:jc w:val="both"/>
          </w:pPr>
          <w:r>
            <w:t>1、年度启动公司全级次、全覆盖碳盘查工作，编制企业二氧化碳统计核算标准模板，启动并完成中材国际“双碳”数字化平台开发及应用，提高碳盘查工作的规范性和准确性。</w:t>
          </w:r>
        </w:p>
        <w:p w14:paraId="321F87C8" w14:textId="77777777" w:rsidR="007907EC" w:rsidRDefault="007907EC" w:rsidP="00C3088F">
          <w:pPr>
            <w:jc w:val="both"/>
          </w:pPr>
          <w:r>
            <w:t>2、持续推广太阳能、光伏等清洁能源使用，截至目前，公司自有楼宇已实现光伏装机总容量2.64MW。下属中材矿山推进新能源矿车和非道路移动机械电动化，投入运营新能源运矿车177辆，建立电动空压机站、部分噪声粉尘监测、监控、巡检照明、喷淋等小型设备设施供电更换为太阳能，合计年减排1.84万吨二氧化碳。</w:t>
          </w:r>
        </w:p>
      </w:sdtContent>
    </w:sdt>
    <w:p w14:paraId="7EA8D660" w14:textId="77777777" w:rsidR="007907EC" w:rsidRDefault="007907EC" w:rsidP="007907EC">
      <w:pPr>
        <w:pStyle w:val="92"/>
      </w:pPr>
    </w:p>
    <w:p w14:paraId="2E350F19" w14:textId="77777777" w:rsidR="00E57DAA" w:rsidRDefault="00AC4185">
      <w:pPr>
        <w:pStyle w:val="2"/>
        <w:numPr>
          <w:ilvl w:val="0"/>
          <w:numId w:val="27"/>
        </w:numPr>
      </w:pPr>
      <w:r>
        <w:t>社会责任工作情况</w:t>
      </w:r>
    </w:p>
    <w:p w14:paraId="4490ED0D" w14:textId="77777777" w:rsidR="00E57DAA" w:rsidRDefault="00AC4185">
      <w:pPr>
        <w:pStyle w:val="3"/>
        <w:numPr>
          <w:ilvl w:val="0"/>
          <w:numId w:val="30"/>
        </w:numPr>
      </w:pPr>
      <w:r>
        <w:rPr>
          <w:rFonts w:hint="eastAsia"/>
        </w:rPr>
        <w:t>是否单独披露社会责任报告、可持续发展报告或</w:t>
      </w:r>
      <w:r>
        <w:rPr>
          <w:rFonts w:hint="eastAsia"/>
        </w:rPr>
        <w:t>ESG</w:t>
      </w:r>
      <w:r>
        <w:rPr>
          <w:rFonts w:hint="eastAsia"/>
        </w:rPr>
        <w:t>报告</w:t>
      </w:r>
    </w:p>
    <w:sdt>
      <w:sdtPr>
        <w:alias w:val="是否适用：是否单独披露社会责任报告、可持续发展报告或ESG报告[双击切换]"/>
        <w:tag w:val="_GBC_9e7dd53d4e6f44ea9f272442eb9babac"/>
        <w:id w:val="-1981371266"/>
        <w:placeholder>
          <w:docPart w:val="GBC22222222222222222222222222222"/>
        </w:placeholder>
      </w:sdtPr>
      <w:sdtEndPr/>
      <w:sdtContent>
        <w:p w14:paraId="06E2E3B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1126386358"/>
        <w:placeholder>
          <w:docPart w:val="GBC22222222222222222222222222222"/>
        </w:placeholder>
      </w:sdtPr>
      <w:sdtEndPr/>
      <w:sdtContent>
        <w:p w14:paraId="4945BA38" w14:textId="77777777" w:rsidR="00E57DAA" w:rsidRDefault="00AC4185">
          <w:pPr>
            <w:ind w:firstLineChars="200" w:firstLine="420"/>
          </w:pPr>
          <w:r>
            <w:rPr>
              <w:rFonts w:hint="eastAsia"/>
            </w:rPr>
            <w:t>详情参见公司</w:t>
          </w:r>
          <w:r>
            <w:t>2023年度环境、社会及管治（ESG）报告。</w:t>
          </w:r>
        </w:p>
      </w:sdtContent>
    </w:sdt>
    <w:p w14:paraId="1305C3AC" w14:textId="77777777" w:rsidR="00E57DAA" w:rsidRDefault="00E57DAA" w:rsidP="00C25422">
      <w:pPr>
        <w:pStyle w:val="92"/>
      </w:pPr>
    </w:p>
    <w:p w14:paraId="5F306258" w14:textId="77777777" w:rsidR="007907EC" w:rsidRDefault="007907EC" w:rsidP="007907EC">
      <w:pPr>
        <w:pStyle w:val="3"/>
        <w:numPr>
          <w:ilvl w:val="0"/>
          <w:numId w:val="30"/>
        </w:numPr>
        <w:shd w:val="clear" w:color="auto" w:fill="auto"/>
        <w:spacing w:before="60" w:after="60" w:line="240" w:lineRule="auto"/>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1659141339"/>
      </w:sdtPr>
      <w:sdtEndPr/>
      <w:sdtContent>
        <w:p w14:paraId="5E39A109" w14:textId="77777777" w:rsidR="007907EC" w:rsidRDefault="007907EC">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6"/>
        <w:gridCol w:w="1842"/>
        <w:gridCol w:w="2165"/>
      </w:tblGrid>
      <w:tr w:rsidR="007907EC" w14:paraId="126C330B" w14:textId="77777777" w:rsidTr="007907EC">
        <w:sdt>
          <w:sdtPr>
            <w:rPr>
              <w:rFonts w:hint="eastAsia"/>
            </w:rPr>
            <w:tag w:val="_PLD_8ccd1f20d787452283cca30b8be75dc8"/>
            <w:id w:val="1235826560"/>
          </w:sdtPr>
          <w:sdtEndPr/>
          <w:sdtContent>
            <w:tc>
              <w:tcPr>
                <w:tcW w:w="2729" w:type="pct"/>
                <w:shd w:val="clear" w:color="auto" w:fill="auto"/>
              </w:tcPr>
              <w:p w14:paraId="63E3B2A7" w14:textId="77777777" w:rsidR="007907EC" w:rsidRDefault="007907EC">
                <w:pPr>
                  <w:widowControl w:val="0"/>
                  <w:jc w:val="center"/>
                </w:pPr>
                <w:r>
                  <w:rPr>
                    <w:rFonts w:hint="eastAsia"/>
                  </w:rPr>
                  <w:t>对外捐赠、公益项目</w:t>
                </w:r>
              </w:p>
            </w:tc>
          </w:sdtContent>
        </w:sdt>
        <w:sdt>
          <w:sdtPr>
            <w:rPr>
              <w:rFonts w:hint="eastAsia"/>
            </w:rPr>
            <w:tag w:val="_PLD_8451b9cc95c641c39056391d3348179e"/>
            <w:id w:val="-155841644"/>
          </w:sdtPr>
          <w:sdtEndPr/>
          <w:sdtContent>
            <w:tc>
              <w:tcPr>
                <w:tcW w:w="1044" w:type="pct"/>
                <w:shd w:val="clear" w:color="auto" w:fill="auto"/>
              </w:tcPr>
              <w:p w14:paraId="3149AF73" w14:textId="77777777" w:rsidR="007907EC" w:rsidRDefault="007907EC">
                <w:pPr>
                  <w:widowControl w:val="0"/>
                  <w:jc w:val="center"/>
                </w:pPr>
                <w:r>
                  <w:rPr>
                    <w:rFonts w:hint="eastAsia"/>
                  </w:rPr>
                  <w:t>数量/内容</w:t>
                </w:r>
              </w:p>
            </w:tc>
          </w:sdtContent>
        </w:sdt>
        <w:sdt>
          <w:sdtPr>
            <w:rPr>
              <w:rFonts w:hint="eastAsia"/>
            </w:rPr>
            <w:tag w:val="_PLD_681dc2272e304ef499f420c283e82d02"/>
            <w:id w:val="311375113"/>
          </w:sdtPr>
          <w:sdtEndPr/>
          <w:sdtContent>
            <w:tc>
              <w:tcPr>
                <w:tcW w:w="1227" w:type="pct"/>
                <w:shd w:val="clear" w:color="auto" w:fill="auto"/>
              </w:tcPr>
              <w:p w14:paraId="72DC8F23" w14:textId="77777777" w:rsidR="007907EC" w:rsidRDefault="007907EC">
                <w:pPr>
                  <w:widowControl w:val="0"/>
                  <w:jc w:val="center"/>
                </w:pPr>
                <w:r>
                  <w:rPr>
                    <w:rFonts w:hint="eastAsia"/>
                  </w:rPr>
                  <w:t>情况说明</w:t>
                </w:r>
              </w:p>
            </w:tc>
          </w:sdtContent>
        </w:sdt>
      </w:tr>
      <w:tr w:rsidR="007907EC" w14:paraId="57A3DB91" w14:textId="77777777" w:rsidTr="007907EC">
        <w:sdt>
          <w:sdtPr>
            <w:rPr>
              <w:rFonts w:hint="eastAsia"/>
            </w:rPr>
            <w:tag w:val="_PLD_9deab9f5b23946b7b58d1f924d4de439"/>
            <w:id w:val="320239723"/>
          </w:sdtPr>
          <w:sdtEndPr/>
          <w:sdtContent>
            <w:tc>
              <w:tcPr>
                <w:tcW w:w="2729" w:type="pct"/>
                <w:shd w:val="clear" w:color="auto" w:fill="auto"/>
              </w:tcPr>
              <w:p w14:paraId="5BEEF440" w14:textId="77777777" w:rsidR="007907EC" w:rsidRDefault="007907EC">
                <w:pPr>
                  <w:widowControl w:val="0"/>
                  <w:jc w:val="both"/>
                </w:pPr>
                <w:r>
                  <w:rPr>
                    <w:rFonts w:hint="eastAsia"/>
                  </w:rPr>
                  <w:t>总投入（万元）</w:t>
                </w:r>
              </w:p>
            </w:tc>
          </w:sdtContent>
        </w:sdt>
        <w:tc>
          <w:tcPr>
            <w:tcW w:w="1044" w:type="pct"/>
            <w:shd w:val="clear" w:color="auto" w:fill="auto"/>
            <w:vAlign w:val="center"/>
          </w:tcPr>
          <w:p w14:paraId="791D317C" w14:textId="77777777" w:rsidR="007907EC" w:rsidRDefault="007907EC">
            <w:pPr>
              <w:widowControl w:val="0"/>
              <w:jc w:val="right"/>
            </w:pPr>
            <w:r>
              <w:rPr>
                <w:rFonts w:hint="eastAsia"/>
              </w:rPr>
              <w:t>533.30</w:t>
            </w:r>
          </w:p>
        </w:tc>
        <w:tc>
          <w:tcPr>
            <w:tcW w:w="1227" w:type="pct"/>
            <w:shd w:val="clear" w:color="auto" w:fill="auto"/>
          </w:tcPr>
          <w:p w14:paraId="70005403" w14:textId="77777777" w:rsidR="007907EC" w:rsidRDefault="007907EC">
            <w:pPr>
              <w:widowControl w:val="0"/>
              <w:jc w:val="both"/>
            </w:pPr>
          </w:p>
        </w:tc>
      </w:tr>
      <w:tr w:rsidR="007907EC" w14:paraId="2B65699B" w14:textId="77777777" w:rsidTr="007907EC">
        <w:sdt>
          <w:sdtPr>
            <w:tag w:val="_PLD_8e642e2adc7f40ce82f0c4887b10995d"/>
            <w:id w:val="-154229653"/>
          </w:sdtPr>
          <w:sdtEndPr>
            <w:rPr>
              <w:rFonts w:hint="eastAsia"/>
            </w:rPr>
          </w:sdtEndPr>
          <w:sdtContent>
            <w:tc>
              <w:tcPr>
                <w:tcW w:w="2729" w:type="pct"/>
                <w:shd w:val="clear" w:color="auto" w:fill="auto"/>
              </w:tcPr>
              <w:p w14:paraId="442B39D8" w14:textId="77777777" w:rsidR="007907EC" w:rsidRDefault="007907EC">
                <w:pPr>
                  <w:widowControl w:val="0"/>
                  <w:jc w:val="both"/>
                </w:pPr>
                <w:r>
                  <w:t xml:space="preserve">    </w:t>
                </w:r>
                <w:r>
                  <w:rPr>
                    <w:rFonts w:hint="eastAsia"/>
                  </w:rPr>
                  <w:t>其中：资金（万元）</w:t>
                </w:r>
              </w:p>
            </w:tc>
          </w:sdtContent>
        </w:sdt>
        <w:tc>
          <w:tcPr>
            <w:tcW w:w="1044" w:type="pct"/>
            <w:shd w:val="clear" w:color="auto" w:fill="auto"/>
            <w:vAlign w:val="center"/>
          </w:tcPr>
          <w:p w14:paraId="4956EA16" w14:textId="77777777" w:rsidR="007907EC" w:rsidRDefault="007907EC">
            <w:pPr>
              <w:widowControl w:val="0"/>
              <w:jc w:val="right"/>
            </w:pPr>
            <w:r>
              <w:rPr>
                <w:rFonts w:hint="eastAsia"/>
              </w:rPr>
              <w:t>526.25</w:t>
            </w:r>
          </w:p>
        </w:tc>
        <w:tc>
          <w:tcPr>
            <w:tcW w:w="1227" w:type="pct"/>
            <w:shd w:val="clear" w:color="auto" w:fill="auto"/>
          </w:tcPr>
          <w:p w14:paraId="265F26EF" w14:textId="77777777" w:rsidR="007907EC" w:rsidRDefault="007907EC">
            <w:pPr>
              <w:widowControl w:val="0"/>
              <w:jc w:val="both"/>
            </w:pPr>
          </w:p>
        </w:tc>
      </w:tr>
      <w:tr w:rsidR="007907EC" w14:paraId="07AF1E53" w14:textId="77777777" w:rsidTr="007907EC">
        <w:sdt>
          <w:sdtPr>
            <w:rPr>
              <w:rFonts w:hint="eastAsia"/>
            </w:rPr>
            <w:tag w:val="_PLD_bf3245f4fcb84d3b8e1b2ed3f13de2da"/>
            <w:id w:val="570010989"/>
          </w:sdtPr>
          <w:sdtEndPr/>
          <w:sdtContent>
            <w:tc>
              <w:tcPr>
                <w:tcW w:w="2729" w:type="pct"/>
                <w:shd w:val="clear" w:color="auto" w:fill="auto"/>
              </w:tcPr>
              <w:p w14:paraId="6C911D6C" w14:textId="77777777" w:rsidR="007907EC" w:rsidRDefault="007907EC">
                <w:pPr>
                  <w:widowControl w:val="0"/>
                  <w:jc w:val="both"/>
                </w:pPr>
                <w:r>
                  <w:rPr>
                    <w:rFonts w:hint="eastAsia"/>
                  </w:rPr>
                  <w:t xml:space="preserve"> </w:t>
                </w:r>
                <w:r>
                  <w:t xml:space="preserve">         </w:t>
                </w:r>
                <w:r>
                  <w:rPr>
                    <w:rFonts w:hint="eastAsia"/>
                  </w:rPr>
                  <w:t>物资折款（万元）</w:t>
                </w:r>
              </w:p>
            </w:tc>
          </w:sdtContent>
        </w:sdt>
        <w:tc>
          <w:tcPr>
            <w:tcW w:w="1044" w:type="pct"/>
            <w:shd w:val="clear" w:color="auto" w:fill="auto"/>
            <w:vAlign w:val="center"/>
          </w:tcPr>
          <w:p w14:paraId="1622A854" w14:textId="77777777" w:rsidR="007907EC" w:rsidRDefault="007907EC">
            <w:pPr>
              <w:widowControl w:val="0"/>
              <w:jc w:val="right"/>
            </w:pPr>
            <w:r>
              <w:rPr>
                <w:rFonts w:hint="eastAsia"/>
              </w:rPr>
              <w:t>7.05</w:t>
            </w:r>
          </w:p>
        </w:tc>
        <w:tc>
          <w:tcPr>
            <w:tcW w:w="1227" w:type="pct"/>
            <w:shd w:val="clear" w:color="auto" w:fill="auto"/>
          </w:tcPr>
          <w:p w14:paraId="4AA06E2A" w14:textId="77777777" w:rsidR="007907EC" w:rsidRDefault="007907EC">
            <w:pPr>
              <w:widowControl w:val="0"/>
              <w:jc w:val="both"/>
            </w:pPr>
          </w:p>
        </w:tc>
      </w:tr>
      <w:tr w:rsidR="007907EC" w14:paraId="3ED4A9FA" w14:textId="77777777" w:rsidTr="007907EC">
        <w:sdt>
          <w:sdtPr>
            <w:rPr>
              <w:rFonts w:hint="eastAsia"/>
            </w:rPr>
            <w:tag w:val="_PLD_1ada908cd2564920a0d181f6978e967e"/>
            <w:id w:val="539327535"/>
          </w:sdtPr>
          <w:sdtEndPr/>
          <w:sdtContent>
            <w:tc>
              <w:tcPr>
                <w:tcW w:w="2729" w:type="pct"/>
                <w:shd w:val="clear" w:color="auto" w:fill="auto"/>
              </w:tcPr>
              <w:p w14:paraId="642AFA31" w14:textId="77777777" w:rsidR="007907EC" w:rsidRDefault="007907EC">
                <w:pPr>
                  <w:widowControl w:val="0"/>
                  <w:jc w:val="both"/>
                </w:pPr>
                <w:r>
                  <w:rPr>
                    <w:rFonts w:hint="eastAsia"/>
                  </w:rPr>
                  <w:t>惠及人数（人）</w:t>
                </w:r>
              </w:p>
            </w:tc>
          </w:sdtContent>
        </w:sdt>
        <w:tc>
          <w:tcPr>
            <w:tcW w:w="1044" w:type="pct"/>
            <w:shd w:val="clear" w:color="auto" w:fill="auto"/>
          </w:tcPr>
          <w:p w14:paraId="5FCD11CD" w14:textId="77777777" w:rsidR="007907EC" w:rsidRDefault="005D0815">
            <w:pPr>
              <w:widowControl w:val="0"/>
              <w:jc w:val="right"/>
            </w:pPr>
            <w:r>
              <w:rPr>
                <w:rFonts w:hint="eastAsia"/>
              </w:rPr>
              <w:t>/</w:t>
            </w:r>
          </w:p>
        </w:tc>
        <w:tc>
          <w:tcPr>
            <w:tcW w:w="1227" w:type="pct"/>
            <w:shd w:val="clear" w:color="auto" w:fill="auto"/>
          </w:tcPr>
          <w:p w14:paraId="5930C3CE" w14:textId="77777777" w:rsidR="007907EC" w:rsidRDefault="007907EC">
            <w:pPr>
              <w:widowControl w:val="0"/>
              <w:jc w:val="both"/>
            </w:pPr>
          </w:p>
        </w:tc>
      </w:tr>
    </w:tbl>
    <w:p w14:paraId="7F89A41F" w14:textId="77777777" w:rsidR="007907EC" w:rsidRDefault="007907EC"/>
    <w:p w14:paraId="5E6A4454" w14:textId="77777777" w:rsidR="00E57DAA" w:rsidRDefault="00AC4185" w:rsidP="00C25422">
      <w:pPr>
        <w:pStyle w:val="92"/>
      </w:pPr>
      <w:r>
        <w:rPr>
          <w:rFonts w:hint="eastAsia"/>
        </w:rPr>
        <w:t>具体说明</w:t>
      </w:r>
    </w:p>
    <w:sdt>
      <w:sdtPr>
        <w:rPr>
          <w:rFonts w:hint="eastAsia"/>
        </w:rPr>
        <w:alias w:val="是否适用：社会责任工作情况[双击切换]"/>
        <w:tag w:val="_GBC_193e5fab56724eddabaa8d0d74a4b129"/>
        <w:id w:val="1029839410"/>
        <w:placeholder>
          <w:docPart w:val="GBC22222222222222222222222222222"/>
        </w:placeholder>
      </w:sdtPr>
      <w:sdtEndPr/>
      <w:sdtContent>
        <w:p w14:paraId="2DCC2927"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社会责任工作情况"/>
        <w:tag w:val="_GBC_a9b541509de44900b46d09bc29c43131"/>
        <w:id w:val="1126733581"/>
        <w:placeholder>
          <w:docPart w:val="GBC22222222222222222222222222222"/>
        </w:placeholder>
      </w:sdtPr>
      <w:sdtEndPr/>
      <w:sdtContent>
        <w:p w14:paraId="0C538075" w14:textId="77777777" w:rsidR="00E57DAA" w:rsidRDefault="00AC4185">
          <w:pPr>
            <w:ind w:firstLineChars="200" w:firstLine="420"/>
            <w:jc w:val="both"/>
          </w:pPr>
          <w:r>
            <w:rPr>
              <w:rFonts w:hint="eastAsia"/>
            </w:rPr>
            <w:t>公司自觉履行肩负的政治责任和社会责任，2023年全级次向“善建公益”基金及社会机构实施捐赠共计533.30万元。制定《中材国际境外员工帮扶救助实施办法》，在尼日利亚区域全面试行，设立专项帮扶资金，中国建材集团善建公益基金积极捐资，目前已为符合条件的17名外籍员工送去关爱。</w:t>
          </w:r>
        </w:p>
        <w:p w14:paraId="7A73C052" w14:textId="77777777" w:rsidR="00E57DAA" w:rsidRDefault="00AC4185">
          <w:pPr>
            <w:ind w:firstLineChars="200" w:firstLine="420"/>
            <w:jc w:val="both"/>
          </w:pPr>
          <w:r>
            <w:rPr>
              <w:rFonts w:hint="eastAsia"/>
            </w:rPr>
            <w:t>公司鼓励、支持境外分（子）公司开展境外公益活动。中材海外驻土耳其代表处在土耳其大地震后，快速响应，全力参与当地抗震救灾行动，协调抗震救灾事宜，并分批多次通过土耳其灾难及应急管理局捐赠各类生活物资。邯郸中材巴基斯坦子公司组织中方员工向卡拉奇孔子学院恐袭牺牲的教师、</w:t>
          </w:r>
          <w:r w:rsidR="00FE724D">
            <w:rPr>
              <w:rFonts w:hint="eastAsia"/>
            </w:rPr>
            <w:t>洪灾地区</w:t>
          </w:r>
          <w:r>
            <w:rPr>
              <w:rFonts w:hint="eastAsia"/>
            </w:rPr>
            <w:t>进行捐款。中材建设菲律宾公司绿色升级项目部、中材智科波兰拉豪MAL01项目部向属地学校捐赠文具等用品。</w:t>
          </w:r>
        </w:p>
      </w:sdtContent>
    </w:sdt>
    <w:p w14:paraId="45A6165B" w14:textId="77777777" w:rsidR="00E57DAA" w:rsidRDefault="00E57DAA" w:rsidP="00C25422">
      <w:pPr>
        <w:pStyle w:val="92"/>
      </w:pPr>
    </w:p>
    <w:p w14:paraId="0FB4719C" w14:textId="77777777" w:rsidR="007907EC" w:rsidRDefault="007907EC" w:rsidP="007907EC">
      <w:pPr>
        <w:pStyle w:val="2"/>
        <w:numPr>
          <w:ilvl w:val="0"/>
          <w:numId w:val="27"/>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1388149220"/>
      </w:sdtPr>
      <w:sdtEndPr/>
      <w:sdtContent>
        <w:p w14:paraId="18772B44" w14:textId="77777777" w:rsidR="007907EC" w:rsidRDefault="007907EC">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1"/>
        <w:gridCol w:w="1983"/>
        <w:gridCol w:w="2449"/>
      </w:tblGrid>
      <w:tr w:rsidR="007907EC" w14:paraId="4E7E3B89" w14:textId="77777777" w:rsidTr="007907EC">
        <w:sdt>
          <w:sdtPr>
            <w:rPr>
              <w:rFonts w:hint="eastAsia"/>
            </w:rPr>
            <w:tag w:val="_PLD_d29d252d89d54e55bc5bc96bc0b5b469"/>
            <w:id w:val="572327690"/>
          </w:sdtPr>
          <w:sdtEndPr/>
          <w:sdtContent>
            <w:tc>
              <w:tcPr>
                <w:tcW w:w="2488" w:type="pct"/>
                <w:shd w:val="clear" w:color="auto" w:fill="auto"/>
              </w:tcPr>
              <w:p w14:paraId="2EC38F05" w14:textId="77777777" w:rsidR="007907EC" w:rsidRDefault="007907EC">
                <w:pPr>
                  <w:widowControl w:val="0"/>
                  <w:jc w:val="center"/>
                </w:pPr>
                <w:r>
                  <w:rPr>
                    <w:rFonts w:hint="eastAsia"/>
                  </w:rPr>
                  <w:t>扶贫及乡村振兴项目</w:t>
                </w:r>
              </w:p>
            </w:tc>
          </w:sdtContent>
        </w:sdt>
        <w:sdt>
          <w:sdtPr>
            <w:rPr>
              <w:rFonts w:hint="eastAsia"/>
            </w:rPr>
            <w:tag w:val="_PLD_a6391e1627b241d296ea0039eb1df6ec"/>
            <w:id w:val="-277790938"/>
          </w:sdtPr>
          <w:sdtEndPr/>
          <w:sdtContent>
            <w:tc>
              <w:tcPr>
                <w:tcW w:w="1124" w:type="pct"/>
                <w:shd w:val="clear" w:color="auto" w:fill="auto"/>
              </w:tcPr>
              <w:p w14:paraId="1F5278F4" w14:textId="77777777" w:rsidR="007907EC" w:rsidRDefault="007907EC">
                <w:pPr>
                  <w:widowControl w:val="0"/>
                  <w:jc w:val="center"/>
                </w:pPr>
                <w:r>
                  <w:rPr>
                    <w:rFonts w:hint="eastAsia"/>
                  </w:rPr>
                  <w:t>数量/内容</w:t>
                </w:r>
              </w:p>
            </w:tc>
          </w:sdtContent>
        </w:sdt>
        <w:sdt>
          <w:sdtPr>
            <w:rPr>
              <w:rFonts w:hint="eastAsia"/>
            </w:rPr>
            <w:tag w:val="_PLD_a8d1c4a093dd414b9639e1cb3e55c142"/>
            <w:id w:val="1462077825"/>
          </w:sdtPr>
          <w:sdtEndPr/>
          <w:sdtContent>
            <w:tc>
              <w:tcPr>
                <w:tcW w:w="1388" w:type="pct"/>
                <w:shd w:val="clear" w:color="auto" w:fill="auto"/>
              </w:tcPr>
              <w:p w14:paraId="39F6DCB7" w14:textId="77777777" w:rsidR="007907EC" w:rsidRDefault="007907EC">
                <w:pPr>
                  <w:widowControl w:val="0"/>
                  <w:jc w:val="center"/>
                </w:pPr>
                <w:r>
                  <w:rPr>
                    <w:rFonts w:hint="eastAsia"/>
                  </w:rPr>
                  <w:t>情况说明</w:t>
                </w:r>
              </w:p>
            </w:tc>
          </w:sdtContent>
        </w:sdt>
      </w:tr>
      <w:tr w:rsidR="007907EC" w14:paraId="4E21DC07" w14:textId="77777777" w:rsidTr="007907EC">
        <w:sdt>
          <w:sdtPr>
            <w:rPr>
              <w:rFonts w:hint="eastAsia"/>
            </w:rPr>
            <w:tag w:val="_PLD_577b3d1d1a9c4959a3891ba3b7f98dc5"/>
            <w:id w:val="974487486"/>
          </w:sdtPr>
          <w:sdtEndPr/>
          <w:sdtContent>
            <w:tc>
              <w:tcPr>
                <w:tcW w:w="2488" w:type="pct"/>
                <w:shd w:val="clear" w:color="auto" w:fill="auto"/>
              </w:tcPr>
              <w:p w14:paraId="5BBED58D" w14:textId="77777777" w:rsidR="007907EC" w:rsidRDefault="007907EC">
                <w:pPr>
                  <w:widowControl w:val="0"/>
                </w:pPr>
                <w:r>
                  <w:rPr>
                    <w:rFonts w:hint="eastAsia"/>
                  </w:rPr>
                  <w:t>总投入（万元）</w:t>
                </w:r>
              </w:p>
            </w:tc>
          </w:sdtContent>
        </w:sdt>
        <w:tc>
          <w:tcPr>
            <w:tcW w:w="1124" w:type="pct"/>
            <w:shd w:val="clear" w:color="auto" w:fill="auto"/>
            <w:vAlign w:val="center"/>
          </w:tcPr>
          <w:p w14:paraId="431379CF" w14:textId="77777777" w:rsidR="007907EC" w:rsidRDefault="007907EC">
            <w:pPr>
              <w:widowControl w:val="0"/>
              <w:jc w:val="right"/>
            </w:pPr>
            <w:r>
              <w:rPr>
                <w:rFonts w:hint="eastAsia"/>
              </w:rPr>
              <w:t>502.10</w:t>
            </w:r>
          </w:p>
        </w:tc>
        <w:tc>
          <w:tcPr>
            <w:tcW w:w="1388" w:type="pct"/>
            <w:shd w:val="clear" w:color="auto" w:fill="auto"/>
          </w:tcPr>
          <w:p w14:paraId="5D34D024" w14:textId="77777777" w:rsidR="007907EC" w:rsidRDefault="007907EC">
            <w:pPr>
              <w:widowControl w:val="0"/>
            </w:pPr>
          </w:p>
        </w:tc>
      </w:tr>
      <w:tr w:rsidR="007907EC" w14:paraId="67020333" w14:textId="77777777" w:rsidTr="007907EC">
        <w:sdt>
          <w:sdtPr>
            <w:tag w:val="_PLD_3af5118131844ff192939a3feb9c2754"/>
            <w:id w:val="1354999098"/>
          </w:sdtPr>
          <w:sdtEndPr>
            <w:rPr>
              <w:rFonts w:hint="eastAsia"/>
            </w:rPr>
          </w:sdtEndPr>
          <w:sdtContent>
            <w:tc>
              <w:tcPr>
                <w:tcW w:w="2488" w:type="pct"/>
                <w:shd w:val="clear" w:color="auto" w:fill="auto"/>
              </w:tcPr>
              <w:p w14:paraId="0402E86A" w14:textId="77777777" w:rsidR="007907EC" w:rsidRDefault="007907EC">
                <w:pPr>
                  <w:widowControl w:val="0"/>
                </w:pPr>
                <w:r>
                  <w:t xml:space="preserve">    </w:t>
                </w:r>
                <w:r>
                  <w:rPr>
                    <w:rFonts w:hint="eastAsia"/>
                  </w:rPr>
                  <w:t>其中：资金（万元）</w:t>
                </w:r>
              </w:p>
            </w:tc>
          </w:sdtContent>
        </w:sdt>
        <w:tc>
          <w:tcPr>
            <w:tcW w:w="1124" w:type="pct"/>
            <w:shd w:val="clear" w:color="auto" w:fill="auto"/>
            <w:vAlign w:val="center"/>
          </w:tcPr>
          <w:p w14:paraId="7E9AE540" w14:textId="77777777" w:rsidR="007907EC" w:rsidRDefault="007907EC">
            <w:pPr>
              <w:widowControl w:val="0"/>
              <w:jc w:val="right"/>
            </w:pPr>
            <w:r w:rsidRPr="007907EC">
              <w:t>502.10</w:t>
            </w:r>
          </w:p>
        </w:tc>
        <w:tc>
          <w:tcPr>
            <w:tcW w:w="1388" w:type="pct"/>
            <w:shd w:val="clear" w:color="auto" w:fill="auto"/>
          </w:tcPr>
          <w:p w14:paraId="1759B1AD" w14:textId="77777777" w:rsidR="007907EC" w:rsidRDefault="007907EC">
            <w:pPr>
              <w:widowControl w:val="0"/>
            </w:pPr>
          </w:p>
        </w:tc>
      </w:tr>
      <w:tr w:rsidR="007907EC" w14:paraId="2AB91C35" w14:textId="77777777" w:rsidTr="007907EC">
        <w:sdt>
          <w:sdtPr>
            <w:rPr>
              <w:rFonts w:hint="eastAsia"/>
            </w:rPr>
            <w:tag w:val="_PLD_16937d5e42244688917790db46206432"/>
            <w:id w:val="578717239"/>
          </w:sdtPr>
          <w:sdtEndPr/>
          <w:sdtContent>
            <w:tc>
              <w:tcPr>
                <w:tcW w:w="2488" w:type="pct"/>
                <w:shd w:val="clear" w:color="auto" w:fill="auto"/>
              </w:tcPr>
              <w:p w14:paraId="5341B50F" w14:textId="77777777" w:rsidR="007907EC" w:rsidRDefault="007907EC">
                <w:pPr>
                  <w:widowControl w:val="0"/>
                </w:pPr>
                <w:r>
                  <w:rPr>
                    <w:rFonts w:hint="eastAsia"/>
                  </w:rPr>
                  <w:t xml:space="preserve"> </w:t>
                </w:r>
                <w:r>
                  <w:t xml:space="preserve">         </w:t>
                </w:r>
                <w:r>
                  <w:rPr>
                    <w:rFonts w:hint="eastAsia"/>
                  </w:rPr>
                  <w:t>物资折款（万元）</w:t>
                </w:r>
              </w:p>
            </w:tc>
          </w:sdtContent>
        </w:sdt>
        <w:tc>
          <w:tcPr>
            <w:tcW w:w="1124" w:type="pct"/>
            <w:shd w:val="clear" w:color="auto" w:fill="auto"/>
          </w:tcPr>
          <w:p w14:paraId="1ACBF21E" w14:textId="77777777" w:rsidR="007907EC" w:rsidRDefault="005D0815">
            <w:pPr>
              <w:widowControl w:val="0"/>
              <w:jc w:val="right"/>
            </w:pPr>
            <w:r>
              <w:rPr>
                <w:rFonts w:hint="eastAsia"/>
              </w:rPr>
              <w:t>0.00</w:t>
            </w:r>
          </w:p>
        </w:tc>
        <w:tc>
          <w:tcPr>
            <w:tcW w:w="1388" w:type="pct"/>
            <w:shd w:val="clear" w:color="auto" w:fill="auto"/>
          </w:tcPr>
          <w:p w14:paraId="1D14316E" w14:textId="77777777" w:rsidR="007907EC" w:rsidRDefault="007907EC">
            <w:pPr>
              <w:widowControl w:val="0"/>
            </w:pPr>
          </w:p>
        </w:tc>
      </w:tr>
      <w:tr w:rsidR="007907EC" w14:paraId="2F502A97" w14:textId="77777777" w:rsidTr="007907EC">
        <w:sdt>
          <w:sdtPr>
            <w:rPr>
              <w:rFonts w:hint="eastAsia"/>
            </w:rPr>
            <w:tag w:val="_PLD_18c0ff644cd541d19c4a0770a8fd397a"/>
            <w:id w:val="1353993419"/>
          </w:sdtPr>
          <w:sdtEndPr/>
          <w:sdtContent>
            <w:tc>
              <w:tcPr>
                <w:tcW w:w="2488" w:type="pct"/>
                <w:shd w:val="clear" w:color="auto" w:fill="auto"/>
              </w:tcPr>
              <w:p w14:paraId="1A7BEF87" w14:textId="77777777" w:rsidR="007907EC" w:rsidRDefault="007907EC">
                <w:pPr>
                  <w:widowControl w:val="0"/>
                </w:pPr>
                <w:r>
                  <w:rPr>
                    <w:rFonts w:hint="eastAsia"/>
                  </w:rPr>
                  <w:t>惠及人数（人）</w:t>
                </w:r>
              </w:p>
            </w:tc>
          </w:sdtContent>
        </w:sdt>
        <w:tc>
          <w:tcPr>
            <w:tcW w:w="1124" w:type="pct"/>
            <w:shd w:val="clear" w:color="auto" w:fill="auto"/>
          </w:tcPr>
          <w:p w14:paraId="1FA0D274" w14:textId="77777777" w:rsidR="007907EC" w:rsidRDefault="005D0815">
            <w:pPr>
              <w:widowControl w:val="0"/>
              <w:jc w:val="right"/>
            </w:pPr>
            <w:r>
              <w:rPr>
                <w:rFonts w:hint="eastAsia"/>
              </w:rPr>
              <w:t>/</w:t>
            </w:r>
          </w:p>
        </w:tc>
        <w:tc>
          <w:tcPr>
            <w:tcW w:w="1388" w:type="pct"/>
            <w:shd w:val="clear" w:color="auto" w:fill="auto"/>
          </w:tcPr>
          <w:p w14:paraId="77B67FC2" w14:textId="77777777" w:rsidR="007907EC" w:rsidRDefault="007907EC">
            <w:pPr>
              <w:widowControl w:val="0"/>
            </w:pPr>
          </w:p>
        </w:tc>
      </w:tr>
      <w:sdt>
        <w:sdtPr>
          <w:rPr>
            <w:rFonts w:hint="eastAsia"/>
          </w:rPr>
          <w:alias w:val="扶贫及乡村振兴项目明细"/>
          <w:tag w:val="_TUP_8c352f00bc6e4975b0bb301fa3f2cb0b"/>
          <w:id w:val="412756037"/>
          <w:placeholder>
            <w:docPart w:val="E4F1EC018225487592CAA08757F7A5CC"/>
          </w:placeholder>
        </w:sdtPr>
        <w:sdtEndPr>
          <w:rPr>
            <w:rFonts w:hint="default"/>
          </w:rPr>
        </w:sdtEndPr>
        <w:sdtContent>
          <w:tr w:rsidR="007907EC" w14:paraId="1178F159" w14:textId="77777777" w:rsidTr="007907EC">
            <w:sdt>
              <w:sdtPr>
                <w:rPr>
                  <w:rFonts w:hint="eastAsia"/>
                </w:rPr>
                <w:tag w:val="_PLD_7092d1c40fc84b889f6283a325627e0f"/>
                <w:id w:val="1132900585"/>
              </w:sdtPr>
              <w:sdtEndPr/>
              <w:sdtContent>
                <w:tc>
                  <w:tcPr>
                    <w:tcW w:w="2488" w:type="pct"/>
                    <w:shd w:val="clear" w:color="auto" w:fill="auto"/>
                  </w:tcPr>
                  <w:p w14:paraId="317EB919" w14:textId="77777777" w:rsidR="007907EC" w:rsidRDefault="007907EC">
                    <w:pPr>
                      <w:widowControl w:val="0"/>
                    </w:pPr>
                    <w:r>
                      <w:rPr>
                        <w:rFonts w:hint="eastAsia"/>
                      </w:rPr>
                      <w:t>帮扶形式（如产业扶贫、就业扶贫、教育扶贫等）</w:t>
                    </w:r>
                  </w:p>
                </w:tc>
              </w:sdtContent>
            </w:sdt>
            <w:tc>
              <w:tcPr>
                <w:tcW w:w="1124" w:type="pct"/>
                <w:shd w:val="clear" w:color="auto" w:fill="auto"/>
              </w:tcPr>
              <w:p w14:paraId="658FD08B" w14:textId="77777777" w:rsidR="007907EC" w:rsidRDefault="007907EC">
                <w:pPr>
                  <w:widowControl w:val="0"/>
                </w:pPr>
              </w:p>
            </w:tc>
            <w:tc>
              <w:tcPr>
                <w:tcW w:w="1388" w:type="pct"/>
                <w:shd w:val="clear" w:color="auto" w:fill="auto"/>
              </w:tcPr>
              <w:p w14:paraId="594043E1" w14:textId="77777777" w:rsidR="007907EC" w:rsidRDefault="007907EC">
                <w:pPr>
                  <w:widowControl w:val="0"/>
                </w:pPr>
                <w:r>
                  <w:rPr>
                    <w:rFonts w:hint="eastAsia"/>
                  </w:rPr>
                  <w:t>教育帮扶、产业帮扶</w:t>
                </w:r>
              </w:p>
            </w:tc>
          </w:tr>
        </w:sdtContent>
      </w:sdt>
    </w:tbl>
    <w:p w14:paraId="67CF984E" w14:textId="77777777" w:rsidR="007907EC" w:rsidRDefault="007907EC"/>
    <w:p w14:paraId="2212D249" w14:textId="77777777" w:rsidR="007907EC" w:rsidRDefault="007907EC">
      <w:r>
        <w:t>具体说明</w:t>
      </w:r>
    </w:p>
    <w:sdt>
      <w:sdtPr>
        <w:alias w:val="是否适用：巩固拓展脱贫攻坚成果、乡村振兴等工作具体情况其他说明[双击切换]"/>
        <w:tag w:val="_GBC_da0a87234d174e509f00e24b4a8320dc"/>
        <w:id w:val="-1120529144"/>
      </w:sdtPr>
      <w:sdtEndPr/>
      <w:sdtContent>
        <w:p w14:paraId="471A0E37" w14:textId="77777777" w:rsidR="007907EC" w:rsidRDefault="007907EC">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sdt>
      <w:sdtPr>
        <w:alias w:val="巩固拓展脱贫攻坚成果、乡村振兴工作具体情况"/>
        <w:tag w:val="_GBC_6af1d9c635ca457eaede5db7b23daa68"/>
        <w:id w:val="634457528"/>
      </w:sdtPr>
      <w:sdtEndPr/>
      <w:sdtContent>
        <w:p w14:paraId="4DA029B3" w14:textId="77777777" w:rsidR="007907EC" w:rsidRDefault="007907EC" w:rsidP="00C3088F">
          <w:pPr>
            <w:ind w:firstLineChars="200" w:firstLine="420"/>
            <w:jc w:val="both"/>
          </w:pPr>
          <w:r>
            <w:t>公司全面落实国家助力乡村振兴工作号召，围绕“五大振兴”，做好包保永善县帮扶项目的实施工作，2023年全级次投入502.10万元，确保帮扶资金发挥应有效能；支持帮助培养人才，当地政府先后选派4名年轻干部参加中材国际中青班，助推永善县巩固拓展脱贫攻坚成果同乡村振兴有效衔接。</w:t>
          </w:r>
        </w:p>
        <w:p w14:paraId="146C8A14" w14:textId="77777777" w:rsidR="007907EC" w:rsidRDefault="007907EC" w:rsidP="00C3088F">
          <w:pPr>
            <w:ind w:firstLineChars="200" w:firstLine="420"/>
            <w:jc w:val="both"/>
          </w:pPr>
          <w:r>
            <w:t>教育帮扶方面：组织11名志愿者到永善举办“善建”七彩课堂活动，开展文化课、手工课、绘画课等，帮助孩子们过一个充实的暑假生活。举办中材国际第二届“善学菁英”夏令营，为永善县19名师生安排充实丰富的研学行程，进一步推进教育帮扶的青春建功行动。装备集团（合肥）在对口帮扶地区安徽省阜南县王堰镇蔡郢村开展“金秋助学”活动，累计捐助21位新入学村内大学生每人1000元助学金，在当地产生了一定积极地影响。</w:t>
          </w:r>
        </w:p>
        <w:p w14:paraId="22F9D0C6" w14:textId="77777777" w:rsidR="007907EC" w:rsidRDefault="007907EC" w:rsidP="00C3088F">
          <w:pPr>
            <w:ind w:firstLineChars="200" w:firstLine="420"/>
            <w:jc w:val="both"/>
          </w:pPr>
          <w:r>
            <w:t>产业帮扶方面：中材国际直接通过“禾苞蛋”电商平台购买农产品13.60万元，为助力乡村振兴作出积极贡献。装备集团（天津）积极响应号召，通过禾苞蛋网采平台进行职工福利慰问品采购，2023年采购金额36.60万元。装备集团（合肥）在对口帮扶地区安徽省阜南县王堰镇蔡郢村采购农副产品累计34万元，为当地农副产品增加了销售渠道，获得当地政府的表扬。</w:t>
          </w:r>
        </w:p>
      </w:sdtContent>
    </w:sdt>
    <w:p w14:paraId="64CAF58C" w14:textId="77777777" w:rsidR="007907EC" w:rsidRDefault="007907EC"/>
    <w:p w14:paraId="593AEFD9" w14:textId="77777777" w:rsidR="00E57DAA" w:rsidRDefault="00E57DAA" w:rsidP="007907EC">
      <w:pPr>
        <w:sectPr w:rsidR="00E57DAA" w:rsidSect="00226547">
          <w:pgSz w:w="11906" w:h="16838"/>
          <w:pgMar w:top="1525" w:right="1276" w:bottom="1440" w:left="1797" w:header="851" w:footer="992" w:gutter="0"/>
          <w:cols w:space="425"/>
          <w:docGrid w:linePitch="312"/>
        </w:sectPr>
      </w:pPr>
    </w:p>
    <w:bookmarkEnd w:id="93"/>
    <w:p w14:paraId="45103891" w14:textId="77777777" w:rsidR="00E57DAA" w:rsidRDefault="00E57DAA" w:rsidP="00C25422">
      <w:pPr>
        <w:pStyle w:val="92"/>
      </w:pPr>
    </w:p>
    <w:p w14:paraId="1A56D943" w14:textId="77777777" w:rsidR="00E57DAA" w:rsidRDefault="00AC4185" w:rsidP="00E76E97">
      <w:pPr>
        <w:pStyle w:val="1"/>
      </w:pPr>
      <w:bookmarkStart w:id="97" w:name="_Toc89790253"/>
      <w:bookmarkStart w:id="98" w:name="_Hlk90554245"/>
      <w:bookmarkEnd w:id="94"/>
      <w:r>
        <w:rPr>
          <w:rFonts w:hint="eastAsia"/>
        </w:rPr>
        <w:t>重要事项</w:t>
      </w:r>
      <w:bookmarkEnd w:id="97"/>
    </w:p>
    <w:p w14:paraId="10D996DD" w14:textId="77777777" w:rsidR="00E57DAA" w:rsidRDefault="00AC4185">
      <w:pPr>
        <w:pStyle w:val="2"/>
        <w:numPr>
          <w:ilvl w:val="0"/>
          <w:numId w:val="31"/>
        </w:numPr>
      </w:pPr>
      <w:r>
        <w:rPr>
          <w:rFonts w:hint="eastAsia"/>
        </w:rPr>
        <w:t>承诺事项履行情况</w:t>
      </w:r>
    </w:p>
    <w:p w14:paraId="067D669E" w14:textId="77777777" w:rsidR="00E57DAA" w:rsidRDefault="00AC4185">
      <w:pPr>
        <w:pStyle w:val="3"/>
        <w:numPr>
          <w:ilvl w:val="1"/>
          <w:numId w:val="32"/>
        </w:numPr>
      </w:pPr>
      <w:r>
        <w:rPr>
          <w:rFonts w:hint="eastAsia"/>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89120965"/>
        <w:placeholder>
          <w:docPart w:val="GBC22222222222222222222222222222"/>
        </w:placeholder>
      </w:sdtPr>
      <w:sdtEndPr/>
      <w:sdtContent>
        <w:p w14:paraId="13D6761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1"/>
        <w:gridCol w:w="654"/>
        <w:gridCol w:w="1081"/>
        <w:gridCol w:w="5334"/>
        <w:gridCol w:w="1476"/>
        <w:gridCol w:w="657"/>
        <w:gridCol w:w="1081"/>
        <w:gridCol w:w="654"/>
        <w:gridCol w:w="940"/>
        <w:gridCol w:w="915"/>
      </w:tblGrid>
      <w:tr w:rsidR="00E57DAA" w14:paraId="1EDC5B29" w14:textId="77777777">
        <w:sdt>
          <w:sdtPr>
            <w:tag w:val="_PLD_415cfb23b46b41fba9f0b895a1088fd6"/>
            <w:id w:val="-1823578565"/>
          </w:sdtPr>
          <w:sdtEndPr/>
          <w:sdtContent>
            <w:tc>
              <w:tcPr>
                <w:tcW w:w="386" w:type="pct"/>
                <w:shd w:val="clear" w:color="auto" w:fill="auto"/>
                <w:vAlign w:val="center"/>
              </w:tcPr>
              <w:p w14:paraId="257C4CA2" w14:textId="77777777" w:rsidR="00E57DAA" w:rsidRDefault="00AC4185">
                <w:pPr>
                  <w:jc w:val="center"/>
                  <w:rPr>
                    <w:szCs w:val="21"/>
                  </w:rPr>
                </w:pPr>
                <w:r>
                  <w:rPr>
                    <w:rFonts w:hint="eastAsia"/>
                    <w:szCs w:val="21"/>
                  </w:rPr>
                  <w:t>承诺背景</w:t>
                </w:r>
              </w:p>
            </w:tc>
          </w:sdtContent>
        </w:sdt>
        <w:sdt>
          <w:sdtPr>
            <w:tag w:val="_PLD_6d89eb5533974f2f9b788e2563589a7c"/>
            <w:id w:val="1070231510"/>
          </w:sdtPr>
          <w:sdtEndPr/>
          <w:sdtContent>
            <w:tc>
              <w:tcPr>
                <w:tcW w:w="236" w:type="pct"/>
                <w:shd w:val="clear" w:color="auto" w:fill="auto"/>
                <w:vAlign w:val="center"/>
              </w:tcPr>
              <w:p w14:paraId="2C94B041" w14:textId="77777777" w:rsidR="00E57DAA" w:rsidRDefault="00AC4185">
                <w:pPr>
                  <w:jc w:val="center"/>
                  <w:rPr>
                    <w:szCs w:val="21"/>
                  </w:rPr>
                </w:pPr>
                <w:r>
                  <w:rPr>
                    <w:rFonts w:hint="eastAsia"/>
                    <w:szCs w:val="21"/>
                  </w:rPr>
                  <w:t>承诺</w:t>
                </w:r>
              </w:p>
              <w:p w14:paraId="5F3A7970" w14:textId="77777777" w:rsidR="00E57DAA" w:rsidRDefault="00AC4185">
                <w:pPr>
                  <w:jc w:val="center"/>
                  <w:rPr>
                    <w:szCs w:val="21"/>
                  </w:rPr>
                </w:pPr>
                <w:r>
                  <w:rPr>
                    <w:rFonts w:hint="eastAsia"/>
                    <w:szCs w:val="21"/>
                  </w:rPr>
                  <w:t>类型</w:t>
                </w:r>
              </w:p>
            </w:tc>
          </w:sdtContent>
        </w:sdt>
        <w:sdt>
          <w:sdtPr>
            <w:tag w:val="_PLD_4e3459cf954648c5ade489d7f239c9b2"/>
            <w:id w:val="-1386567322"/>
          </w:sdtPr>
          <w:sdtEndPr/>
          <w:sdtContent>
            <w:tc>
              <w:tcPr>
                <w:tcW w:w="390" w:type="pct"/>
                <w:shd w:val="clear" w:color="auto" w:fill="auto"/>
                <w:vAlign w:val="center"/>
              </w:tcPr>
              <w:p w14:paraId="6151B6FF" w14:textId="77777777" w:rsidR="00E57DAA" w:rsidRDefault="00AC4185">
                <w:pPr>
                  <w:jc w:val="center"/>
                  <w:rPr>
                    <w:szCs w:val="21"/>
                  </w:rPr>
                </w:pPr>
                <w:r>
                  <w:rPr>
                    <w:rFonts w:hint="eastAsia"/>
                    <w:szCs w:val="21"/>
                  </w:rPr>
                  <w:t>承诺方</w:t>
                </w:r>
              </w:p>
            </w:tc>
          </w:sdtContent>
        </w:sdt>
        <w:sdt>
          <w:sdtPr>
            <w:tag w:val="_PLD_b7ba969a5a9f484b969e33829f8fee27"/>
            <w:id w:val="580640872"/>
          </w:sdtPr>
          <w:sdtEndPr/>
          <w:sdtContent>
            <w:tc>
              <w:tcPr>
                <w:tcW w:w="1924" w:type="pct"/>
                <w:shd w:val="clear" w:color="auto" w:fill="auto"/>
                <w:vAlign w:val="center"/>
              </w:tcPr>
              <w:p w14:paraId="16E63167" w14:textId="77777777" w:rsidR="00E57DAA" w:rsidRDefault="00AC4185">
                <w:pPr>
                  <w:jc w:val="center"/>
                  <w:rPr>
                    <w:szCs w:val="21"/>
                  </w:rPr>
                </w:pPr>
                <w:r>
                  <w:rPr>
                    <w:rFonts w:hint="eastAsia"/>
                    <w:szCs w:val="21"/>
                  </w:rPr>
                  <w:t>承诺</w:t>
                </w:r>
              </w:p>
              <w:p w14:paraId="1801EAF4" w14:textId="77777777" w:rsidR="00E57DAA" w:rsidRDefault="00AC4185">
                <w:pPr>
                  <w:jc w:val="center"/>
                  <w:rPr>
                    <w:szCs w:val="21"/>
                  </w:rPr>
                </w:pPr>
                <w:r>
                  <w:rPr>
                    <w:rFonts w:hint="eastAsia"/>
                    <w:szCs w:val="21"/>
                  </w:rPr>
                  <w:t>内容</w:t>
                </w:r>
              </w:p>
            </w:tc>
          </w:sdtContent>
        </w:sdt>
        <w:sdt>
          <w:sdtPr>
            <w:rPr>
              <w:rFonts w:hint="eastAsia"/>
            </w:rPr>
            <w:tag w:val="_PLD_080af5a89fc040bc90935cec09ab2cd1"/>
            <w:id w:val="1861706928"/>
          </w:sdtPr>
          <w:sdtEndPr/>
          <w:sdtContent>
            <w:tc>
              <w:tcPr>
                <w:tcW w:w="532" w:type="pct"/>
                <w:vAlign w:val="center"/>
              </w:tcPr>
              <w:p w14:paraId="1C9F3E67" w14:textId="77777777" w:rsidR="00E57DAA" w:rsidRDefault="00AC4185">
                <w:pPr>
                  <w:jc w:val="center"/>
                </w:pPr>
                <w:r>
                  <w:rPr>
                    <w:rFonts w:hint="eastAsia"/>
                  </w:rPr>
                  <w:t>承诺时间</w:t>
                </w:r>
              </w:p>
            </w:tc>
          </w:sdtContent>
        </w:sdt>
        <w:sdt>
          <w:sdtPr>
            <w:tag w:val="_PLD_81953845df7c406091c017485ffe89d0"/>
            <w:id w:val="166148507"/>
          </w:sdtPr>
          <w:sdtEndPr/>
          <w:sdtContent>
            <w:tc>
              <w:tcPr>
                <w:tcW w:w="237" w:type="pct"/>
                <w:shd w:val="clear" w:color="auto" w:fill="auto"/>
                <w:vAlign w:val="center"/>
              </w:tcPr>
              <w:p w14:paraId="2429ABE5" w14:textId="77777777" w:rsidR="00E57DAA" w:rsidRDefault="00AC4185">
                <w:pPr>
                  <w:jc w:val="center"/>
                  <w:rPr>
                    <w:szCs w:val="21"/>
                  </w:rPr>
                </w:pPr>
                <w:r>
                  <w:rPr>
                    <w:rFonts w:hint="eastAsia"/>
                    <w:szCs w:val="21"/>
                  </w:rPr>
                  <w:t>是否有履行期限</w:t>
                </w:r>
              </w:p>
            </w:tc>
          </w:sdtContent>
        </w:sdt>
        <w:sdt>
          <w:sdtPr>
            <w:rPr>
              <w:rFonts w:hint="eastAsia"/>
            </w:rPr>
            <w:tag w:val="_PLD_95bd18790c864943ab7728a2218411a4"/>
            <w:id w:val="991765466"/>
          </w:sdtPr>
          <w:sdtEndPr/>
          <w:sdtContent>
            <w:tc>
              <w:tcPr>
                <w:tcW w:w="390" w:type="pct"/>
                <w:vAlign w:val="center"/>
              </w:tcPr>
              <w:p w14:paraId="6DB425B0" w14:textId="77777777" w:rsidR="00E57DAA" w:rsidRDefault="00AC4185">
                <w:pPr>
                  <w:jc w:val="center"/>
                </w:pPr>
                <w:r>
                  <w:rPr>
                    <w:rFonts w:hint="eastAsia"/>
                  </w:rPr>
                  <w:t>承诺期限</w:t>
                </w:r>
              </w:p>
            </w:tc>
          </w:sdtContent>
        </w:sdt>
        <w:sdt>
          <w:sdtPr>
            <w:tag w:val="_PLD_f70c8d8e3e374db7a8e212809462bcc0"/>
            <w:id w:val="-1014992860"/>
          </w:sdtPr>
          <w:sdtEndPr/>
          <w:sdtContent>
            <w:tc>
              <w:tcPr>
                <w:tcW w:w="236" w:type="pct"/>
                <w:shd w:val="clear" w:color="auto" w:fill="auto"/>
                <w:vAlign w:val="center"/>
              </w:tcPr>
              <w:p w14:paraId="3316C54D" w14:textId="77777777" w:rsidR="00E57DAA" w:rsidRDefault="00AC4185">
                <w:pPr>
                  <w:jc w:val="center"/>
                  <w:rPr>
                    <w:szCs w:val="21"/>
                  </w:rPr>
                </w:pPr>
                <w:r>
                  <w:rPr>
                    <w:rFonts w:hint="eastAsia"/>
                    <w:szCs w:val="21"/>
                  </w:rPr>
                  <w:t>是否及时严格履行</w:t>
                </w:r>
              </w:p>
            </w:tc>
          </w:sdtContent>
        </w:sdt>
        <w:sdt>
          <w:sdtPr>
            <w:tag w:val="_PLD_30da9c1a74564266bdab010410b3cfc4"/>
            <w:id w:val="1971624266"/>
          </w:sdtPr>
          <w:sdtEndPr/>
          <w:sdtContent>
            <w:tc>
              <w:tcPr>
                <w:tcW w:w="339" w:type="pct"/>
                <w:shd w:val="clear" w:color="auto" w:fill="auto"/>
                <w:vAlign w:val="center"/>
              </w:tcPr>
              <w:p w14:paraId="0B9BF843" w14:textId="77777777" w:rsidR="00E57DAA" w:rsidRDefault="00AC4185">
                <w:pPr>
                  <w:jc w:val="center"/>
                  <w:rPr>
                    <w:szCs w:val="21"/>
                  </w:rPr>
                </w:pPr>
                <w:r>
                  <w:rPr>
                    <w:rFonts w:hint="eastAsia"/>
                    <w:szCs w:val="21"/>
                  </w:rPr>
                  <w:t>如未能及时履行应说明未完成履行的具体原因</w:t>
                </w:r>
              </w:p>
            </w:tc>
          </w:sdtContent>
        </w:sdt>
        <w:sdt>
          <w:sdtPr>
            <w:tag w:val="_PLD_885166d72adc442aaa68aa0f496582ae"/>
            <w:id w:val="113099210"/>
          </w:sdtPr>
          <w:sdtEndPr/>
          <w:sdtContent>
            <w:tc>
              <w:tcPr>
                <w:tcW w:w="330" w:type="pct"/>
                <w:shd w:val="clear" w:color="auto" w:fill="auto"/>
                <w:vAlign w:val="center"/>
              </w:tcPr>
              <w:p w14:paraId="798FDB48" w14:textId="77777777" w:rsidR="00E57DAA" w:rsidRDefault="00AC4185">
                <w:pPr>
                  <w:jc w:val="center"/>
                  <w:rPr>
                    <w:szCs w:val="21"/>
                  </w:rPr>
                </w:pPr>
                <w:r>
                  <w:rPr>
                    <w:rFonts w:hint="eastAsia"/>
                    <w:szCs w:val="21"/>
                  </w:rPr>
                  <w:t>如未能及时履行应说明下一步计划</w:t>
                </w:r>
              </w:p>
            </w:tc>
          </w:sdtContent>
        </w:sdt>
      </w:tr>
      <w:tr w:rsidR="00E57DAA" w14:paraId="3050CA45" w14:textId="77777777">
        <w:trPr>
          <w:trHeight w:val="629"/>
        </w:trPr>
        <w:tc>
          <w:tcPr>
            <w:tcW w:w="386" w:type="pct"/>
            <w:vMerge w:val="restart"/>
            <w:shd w:val="clear" w:color="auto" w:fill="auto"/>
            <w:vAlign w:val="center"/>
          </w:tcPr>
          <w:p w14:paraId="06A1ED12" w14:textId="77777777" w:rsidR="00E57DAA" w:rsidRDefault="00FE3205" w:rsidP="00C25422">
            <w:pPr>
              <w:pStyle w:val="92"/>
            </w:pPr>
            <w:r w:rsidRPr="00FE3205">
              <w:rPr>
                <w:rFonts w:hint="eastAsia"/>
              </w:rPr>
              <w:t>收购报告书或权益变动报告书中所作承诺</w:t>
            </w:r>
          </w:p>
        </w:tc>
        <w:sdt>
          <w:sdtPr>
            <w:rPr>
              <w:szCs w:val="21"/>
            </w:rPr>
            <w:alias w:val="与收购报告书或权益变动报告书相关承诺-承诺类型"/>
            <w:tag w:val="_GBC_7e8c7b9404c242d88bc81acdfb745cf2"/>
            <w:id w:val="-71373468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36" w:type="pct"/>
                <w:shd w:val="clear" w:color="auto" w:fill="auto"/>
              </w:tcPr>
              <w:p w14:paraId="0D106F5C" w14:textId="77777777" w:rsidR="00E57DAA" w:rsidRDefault="00AC4185">
                <w:pPr>
                  <w:rPr>
                    <w:color w:val="FFC000"/>
                    <w:szCs w:val="21"/>
                  </w:rPr>
                </w:pPr>
                <w:r>
                  <w:rPr>
                    <w:szCs w:val="21"/>
                  </w:rPr>
                  <w:t>解决关联交易</w:t>
                </w:r>
              </w:p>
            </w:tc>
          </w:sdtContent>
        </w:sdt>
        <w:tc>
          <w:tcPr>
            <w:tcW w:w="390" w:type="pct"/>
            <w:shd w:val="clear" w:color="auto" w:fill="auto"/>
          </w:tcPr>
          <w:p w14:paraId="4A8CC927" w14:textId="77777777" w:rsidR="00E57DAA" w:rsidRDefault="00AC4185">
            <w:pPr>
              <w:rPr>
                <w:szCs w:val="21"/>
              </w:rPr>
            </w:pPr>
            <w:r>
              <w:rPr>
                <w:rFonts w:hint="eastAsia"/>
                <w:szCs w:val="21"/>
              </w:rPr>
              <w:t>中国建材集团</w:t>
            </w:r>
          </w:p>
        </w:tc>
        <w:tc>
          <w:tcPr>
            <w:tcW w:w="1924" w:type="pct"/>
            <w:shd w:val="clear" w:color="auto" w:fill="auto"/>
          </w:tcPr>
          <w:p w14:paraId="160DC7DE" w14:textId="77777777" w:rsidR="00E57DAA" w:rsidRDefault="00AC4185">
            <w:pPr>
              <w:jc w:val="both"/>
              <w:rPr>
                <w:szCs w:val="21"/>
              </w:rPr>
            </w:pPr>
            <w:r>
              <w:rPr>
                <w:szCs w:val="21"/>
              </w:rPr>
              <w:t>1、中国建材集团不会利用控股股东地位谋求中材国际在业务经营等方面给予中国建材集团及其控制的除中材国际（包括其控制的下属企业）外的其他下属企业优于独立第三方的条件或利益。2、中国建材集团及其控制的其他下属企业将尽量减少并规范与中材国际之间的关联交易；对于与中材国际经营活动相关的无法避免的关联交易，中国建材集团及其控制的其他下属企业将严格遵循有关关联交易的法律法规及规范性文件以及中材国际内部管理制度中关于关联交易的相关要求，履行关联交易决策程序，确保定价公允，及时进行信息披露。3、上述承诺于中国建材集团对中材国</w:t>
            </w:r>
            <w:r>
              <w:rPr>
                <w:rFonts w:hint="eastAsia"/>
                <w:szCs w:val="21"/>
              </w:rPr>
              <w:t>际拥有控制权期间持续有效。如因中国建材集团未履行上述所作承诺而给中材国际造成损失，中国建材集团将承担相应的赔偿责任。</w:t>
            </w:r>
          </w:p>
        </w:tc>
        <w:tc>
          <w:tcPr>
            <w:tcW w:w="532" w:type="pct"/>
          </w:tcPr>
          <w:p w14:paraId="29B95C4D" w14:textId="77777777" w:rsidR="00E57DAA" w:rsidRDefault="00AC4185">
            <w:pPr>
              <w:rPr>
                <w:szCs w:val="21"/>
              </w:rPr>
            </w:pPr>
            <w:r>
              <w:rPr>
                <w:szCs w:val="21"/>
              </w:rPr>
              <w:t>2016/9/5</w:t>
            </w:r>
          </w:p>
        </w:tc>
        <w:sdt>
          <w:sdtPr>
            <w:rPr>
              <w:szCs w:val="21"/>
            </w:rPr>
            <w:alias w:val="与收购报告书或权益变动报告书相关承诺-是否有履行期限"/>
            <w:tag w:val="_GBC_3738be69c5c34784a9199ff6b9605c3b"/>
            <w:id w:val="-217063135"/>
            <w:comboBox>
              <w:listItem w:displayText="是" w:value="true"/>
              <w:listItem w:displayText="否" w:value="false"/>
            </w:comboBox>
          </w:sdtPr>
          <w:sdtEndPr/>
          <w:sdtContent>
            <w:tc>
              <w:tcPr>
                <w:tcW w:w="237" w:type="pct"/>
                <w:shd w:val="clear" w:color="auto" w:fill="auto"/>
              </w:tcPr>
              <w:p w14:paraId="4716C8D8" w14:textId="77777777" w:rsidR="00E57DAA" w:rsidRDefault="00AC4185">
                <w:pPr>
                  <w:rPr>
                    <w:color w:val="FFC000"/>
                    <w:szCs w:val="21"/>
                  </w:rPr>
                </w:pPr>
                <w:r>
                  <w:rPr>
                    <w:szCs w:val="21"/>
                  </w:rPr>
                  <w:t>否</w:t>
                </w:r>
              </w:p>
            </w:tc>
          </w:sdtContent>
        </w:sdt>
        <w:tc>
          <w:tcPr>
            <w:tcW w:w="390" w:type="pct"/>
          </w:tcPr>
          <w:p w14:paraId="5023DC43" w14:textId="77777777" w:rsidR="00E57DAA" w:rsidRDefault="00AC4185">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48258587"/>
            <w:comboBox>
              <w:listItem w:displayText="是" w:value="true"/>
              <w:listItem w:displayText="否" w:value="false"/>
            </w:comboBox>
          </w:sdtPr>
          <w:sdtEndPr/>
          <w:sdtContent>
            <w:tc>
              <w:tcPr>
                <w:tcW w:w="236" w:type="pct"/>
                <w:shd w:val="clear" w:color="auto" w:fill="auto"/>
              </w:tcPr>
              <w:p w14:paraId="0AC5CF5C" w14:textId="77777777" w:rsidR="00E57DAA" w:rsidRDefault="00AC4185">
                <w:pPr>
                  <w:rPr>
                    <w:color w:val="FFC000"/>
                    <w:szCs w:val="21"/>
                  </w:rPr>
                </w:pPr>
                <w:r>
                  <w:rPr>
                    <w:szCs w:val="21"/>
                  </w:rPr>
                  <w:t>是</w:t>
                </w:r>
              </w:p>
            </w:tc>
          </w:sdtContent>
        </w:sdt>
        <w:tc>
          <w:tcPr>
            <w:tcW w:w="339" w:type="pct"/>
            <w:shd w:val="clear" w:color="auto" w:fill="auto"/>
          </w:tcPr>
          <w:p w14:paraId="61B0A7CE" w14:textId="77777777" w:rsidR="00E57DAA" w:rsidRDefault="00AC4185">
            <w:pPr>
              <w:rPr>
                <w:szCs w:val="21"/>
              </w:rPr>
            </w:pPr>
            <w:r>
              <w:rPr>
                <w:rFonts w:hint="eastAsia"/>
                <w:szCs w:val="21"/>
              </w:rPr>
              <w:t>不适用</w:t>
            </w:r>
          </w:p>
        </w:tc>
        <w:tc>
          <w:tcPr>
            <w:tcW w:w="330" w:type="pct"/>
            <w:shd w:val="clear" w:color="auto" w:fill="auto"/>
          </w:tcPr>
          <w:p w14:paraId="51226A31" w14:textId="77777777" w:rsidR="00E57DAA" w:rsidRDefault="00AC4185">
            <w:pPr>
              <w:rPr>
                <w:szCs w:val="21"/>
              </w:rPr>
            </w:pPr>
            <w:r>
              <w:rPr>
                <w:rFonts w:hint="eastAsia"/>
                <w:szCs w:val="21"/>
              </w:rPr>
              <w:t>不适用</w:t>
            </w:r>
          </w:p>
        </w:tc>
      </w:tr>
      <w:tr w:rsidR="00E57DAA" w14:paraId="3F9D8D8C" w14:textId="77777777">
        <w:trPr>
          <w:trHeight w:val="629"/>
        </w:trPr>
        <w:tc>
          <w:tcPr>
            <w:tcW w:w="386" w:type="pct"/>
            <w:vMerge/>
            <w:shd w:val="clear" w:color="auto" w:fill="auto"/>
            <w:vAlign w:val="center"/>
          </w:tcPr>
          <w:p w14:paraId="266C8532" w14:textId="77777777" w:rsidR="00E57DAA" w:rsidRDefault="00E57DAA" w:rsidP="00C25422">
            <w:pPr>
              <w:pStyle w:val="92"/>
            </w:pPr>
          </w:p>
        </w:tc>
        <w:tc>
          <w:tcPr>
            <w:tcW w:w="236" w:type="pct"/>
            <w:shd w:val="clear" w:color="auto" w:fill="auto"/>
            <w:vAlign w:val="center"/>
          </w:tcPr>
          <w:p w14:paraId="2C3E979F" w14:textId="77777777" w:rsidR="00E57DAA" w:rsidRDefault="00AC4185">
            <w:pPr>
              <w:rPr>
                <w:szCs w:val="21"/>
              </w:rPr>
            </w:pPr>
            <w:r>
              <w:rPr>
                <w:rFonts w:hint="eastAsia"/>
                <w:color w:val="000000"/>
                <w:szCs w:val="21"/>
              </w:rPr>
              <w:t>其他</w:t>
            </w:r>
          </w:p>
        </w:tc>
        <w:tc>
          <w:tcPr>
            <w:tcW w:w="390" w:type="pct"/>
            <w:shd w:val="clear" w:color="auto" w:fill="auto"/>
            <w:vAlign w:val="center"/>
          </w:tcPr>
          <w:p w14:paraId="784B7B09" w14:textId="77777777" w:rsidR="00E57DAA" w:rsidRDefault="00AC4185">
            <w:pPr>
              <w:rPr>
                <w:szCs w:val="21"/>
              </w:rPr>
            </w:pPr>
            <w:r>
              <w:rPr>
                <w:rFonts w:hint="eastAsia"/>
                <w:color w:val="000000"/>
                <w:szCs w:val="21"/>
              </w:rPr>
              <w:t>中国建材集团</w:t>
            </w:r>
          </w:p>
        </w:tc>
        <w:tc>
          <w:tcPr>
            <w:tcW w:w="1924" w:type="pct"/>
            <w:shd w:val="clear" w:color="auto" w:fill="auto"/>
            <w:vAlign w:val="center"/>
          </w:tcPr>
          <w:p w14:paraId="02BC0507" w14:textId="77777777" w:rsidR="00E57DAA" w:rsidRDefault="00AC4185">
            <w:pPr>
              <w:jc w:val="both"/>
              <w:rPr>
                <w:szCs w:val="21"/>
              </w:rPr>
            </w:pPr>
            <w:r>
              <w:rPr>
                <w:rFonts w:hint="eastAsia"/>
                <w:color w:val="000000"/>
                <w:szCs w:val="21"/>
              </w:rPr>
              <w:t>1、中国建材集团保证在资产、人员、财务、机构和业务方面与中材国际保持分开，并严格遵守中国证监会关于上市公司独立性的相关规定，不利用控股地位违反中</w:t>
            </w:r>
            <w:r>
              <w:rPr>
                <w:rFonts w:hint="eastAsia"/>
                <w:color w:val="000000"/>
                <w:szCs w:val="21"/>
              </w:rPr>
              <w:lastRenderedPageBreak/>
              <w:t>材国际规范运作程序、干预中材国际经营决策、损害中材国际和其他股东的合法权益。中国建材集团及其控制的其他下属企业保证不以任何方式占用中材国际及其控制的下属企业的资金。2、上述承诺于中国建材集团对中材国际拥有控制权期间持续有效。如因中国建材集团未履行上述所作承诺而给中材国际造成损失，中国建材集团将承担相应的赔偿责任。</w:t>
            </w:r>
          </w:p>
        </w:tc>
        <w:tc>
          <w:tcPr>
            <w:tcW w:w="532" w:type="pct"/>
            <w:vAlign w:val="center"/>
          </w:tcPr>
          <w:p w14:paraId="0219A1A8" w14:textId="77777777" w:rsidR="00E57DAA" w:rsidRDefault="00AC4185">
            <w:pPr>
              <w:rPr>
                <w:szCs w:val="21"/>
              </w:rPr>
            </w:pPr>
            <w:r>
              <w:rPr>
                <w:rFonts w:hint="eastAsia"/>
                <w:color w:val="000000"/>
                <w:szCs w:val="21"/>
              </w:rPr>
              <w:lastRenderedPageBreak/>
              <w:t>2016/9/5</w:t>
            </w:r>
          </w:p>
        </w:tc>
        <w:tc>
          <w:tcPr>
            <w:tcW w:w="237" w:type="pct"/>
            <w:shd w:val="clear" w:color="auto" w:fill="auto"/>
            <w:vAlign w:val="center"/>
          </w:tcPr>
          <w:p w14:paraId="2C5B61C8" w14:textId="77777777" w:rsidR="00E57DAA" w:rsidRDefault="00AC4185">
            <w:pPr>
              <w:rPr>
                <w:szCs w:val="21"/>
              </w:rPr>
            </w:pPr>
            <w:r>
              <w:rPr>
                <w:rFonts w:hint="eastAsia"/>
                <w:color w:val="000000"/>
                <w:szCs w:val="21"/>
              </w:rPr>
              <w:t>否</w:t>
            </w:r>
          </w:p>
        </w:tc>
        <w:tc>
          <w:tcPr>
            <w:tcW w:w="390" w:type="pct"/>
            <w:vAlign w:val="center"/>
          </w:tcPr>
          <w:p w14:paraId="48C30586" w14:textId="77777777" w:rsidR="00E57DAA" w:rsidRDefault="00AC4185">
            <w:pPr>
              <w:rPr>
                <w:szCs w:val="21"/>
              </w:rPr>
            </w:pPr>
            <w:r>
              <w:rPr>
                <w:rFonts w:hint="eastAsia"/>
                <w:szCs w:val="21"/>
              </w:rPr>
              <w:t>长期</w:t>
            </w:r>
          </w:p>
        </w:tc>
        <w:tc>
          <w:tcPr>
            <w:tcW w:w="236" w:type="pct"/>
            <w:shd w:val="clear" w:color="auto" w:fill="auto"/>
            <w:vAlign w:val="center"/>
          </w:tcPr>
          <w:p w14:paraId="7CB7D000" w14:textId="77777777" w:rsidR="00E57DAA" w:rsidRDefault="00AC4185">
            <w:pPr>
              <w:rPr>
                <w:szCs w:val="21"/>
              </w:rPr>
            </w:pPr>
            <w:r>
              <w:rPr>
                <w:rFonts w:hint="eastAsia"/>
                <w:color w:val="000000"/>
                <w:szCs w:val="21"/>
              </w:rPr>
              <w:t>是</w:t>
            </w:r>
          </w:p>
        </w:tc>
        <w:tc>
          <w:tcPr>
            <w:tcW w:w="339" w:type="pct"/>
            <w:shd w:val="clear" w:color="auto" w:fill="auto"/>
            <w:vAlign w:val="center"/>
          </w:tcPr>
          <w:p w14:paraId="32B3868A"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2C3D1D66" w14:textId="77777777" w:rsidR="00E57DAA" w:rsidRDefault="00AC4185">
            <w:pPr>
              <w:rPr>
                <w:szCs w:val="21"/>
              </w:rPr>
            </w:pPr>
            <w:r>
              <w:rPr>
                <w:rFonts w:hint="eastAsia"/>
                <w:color w:val="000000"/>
                <w:szCs w:val="21"/>
              </w:rPr>
              <w:t>不适用</w:t>
            </w:r>
          </w:p>
        </w:tc>
      </w:tr>
      <w:tr w:rsidR="00E57DAA" w14:paraId="7B734C82" w14:textId="77777777">
        <w:trPr>
          <w:trHeight w:val="629"/>
        </w:trPr>
        <w:tc>
          <w:tcPr>
            <w:tcW w:w="386" w:type="pct"/>
            <w:vMerge/>
            <w:shd w:val="clear" w:color="auto" w:fill="auto"/>
            <w:vAlign w:val="center"/>
          </w:tcPr>
          <w:p w14:paraId="1A4C163E" w14:textId="77777777" w:rsidR="00E57DAA" w:rsidRDefault="00E57DAA" w:rsidP="00C25422">
            <w:pPr>
              <w:pStyle w:val="92"/>
            </w:pPr>
          </w:p>
        </w:tc>
        <w:tc>
          <w:tcPr>
            <w:tcW w:w="236" w:type="pct"/>
            <w:shd w:val="clear" w:color="auto" w:fill="auto"/>
            <w:vAlign w:val="center"/>
          </w:tcPr>
          <w:p w14:paraId="73FE0EF4" w14:textId="77777777" w:rsidR="00E57DAA" w:rsidRDefault="00AC4185">
            <w:pPr>
              <w:rPr>
                <w:szCs w:val="21"/>
              </w:rPr>
            </w:pPr>
            <w:r>
              <w:rPr>
                <w:rFonts w:hint="eastAsia"/>
                <w:color w:val="000000"/>
                <w:szCs w:val="21"/>
              </w:rPr>
              <w:t>解决关联交易</w:t>
            </w:r>
          </w:p>
        </w:tc>
        <w:tc>
          <w:tcPr>
            <w:tcW w:w="390" w:type="pct"/>
            <w:shd w:val="clear" w:color="auto" w:fill="auto"/>
            <w:vAlign w:val="center"/>
          </w:tcPr>
          <w:p w14:paraId="74909CF3" w14:textId="77777777" w:rsidR="00E57DAA" w:rsidRDefault="00AC4185">
            <w:pPr>
              <w:rPr>
                <w:szCs w:val="21"/>
              </w:rPr>
            </w:pPr>
            <w:r>
              <w:rPr>
                <w:rFonts w:hint="eastAsia"/>
                <w:color w:val="000000"/>
                <w:szCs w:val="21"/>
              </w:rPr>
              <w:t>中国建材股份</w:t>
            </w:r>
          </w:p>
        </w:tc>
        <w:tc>
          <w:tcPr>
            <w:tcW w:w="1924" w:type="pct"/>
            <w:shd w:val="clear" w:color="auto" w:fill="auto"/>
            <w:vAlign w:val="center"/>
          </w:tcPr>
          <w:p w14:paraId="6AE20F49" w14:textId="77777777" w:rsidR="00E57DAA" w:rsidRDefault="00AC4185">
            <w:pPr>
              <w:jc w:val="both"/>
              <w:rPr>
                <w:szCs w:val="21"/>
              </w:rPr>
            </w:pPr>
            <w:r>
              <w:rPr>
                <w:rFonts w:hint="eastAsia"/>
                <w:color w:val="000000"/>
                <w:szCs w:val="21"/>
              </w:rPr>
              <w:t>1、中国建材不会利用控股股东地位谋求中材国际在业务经营等方面给予中国建材及其控制的除中材国际（包括其控制的下属企业）外的其他下属企业优于独立第三方的条件或利益。2、中国建材及其控制的其他下属企业将尽量减少并规范与中材国际之间的关联交易；对于与中材国际经营活动相关的无法避免的关联交易，中国建材及其控制的其他下属企业将严格遵循有关关联交易的法律法规及规范性文件以及中材国际内部管理制度中关于关联交易的相关要求，履行关联交易决策程序，确保定价公允，及时进行信息披露。3、上述承诺于中国建材对中材国际拥有控制权期间持续有效。如因中国建材未履行上述所作承诺而给中材国际造成损失，中国建材将承担相应的赔偿责任。</w:t>
            </w:r>
          </w:p>
        </w:tc>
        <w:tc>
          <w:tcPr>
            <w:tcW w:w="532" w:type="pct"/>
            <w:vAlign w:val="center"/>
          </w:tcPr>
          <w:p w14:paraId="7D714AD8" w14:textId="77777777" w:rsidR="00E57DAA" w:rsidRDefault="00AC4185">
            <w:pPr>
              <w:rPr>
                <w:szCs w:val="21"/>
              </w:rPr>
            </w:pPr>
            <w:r>
              <w:rPr>
                <w:rFonts w:hint="eastAsia"/>
                <w:color w:val="000000"/>
                <w:szCs w:val="21"/>
              </w:rPr>
              <w:t>2017/9/8</w:t>
            </w:r>
          </w:p>
        </w:tc>
        <w:tc>
          <w:tcPr>
            <w:tcW w:w="237" w:type="pct"/>
            <w:shd w:val="clear" w:color="auto" w:fill="auto"/>
            <w:vAlign w:val="center"/>
          </w:tcPr>
          <w:p w14:paraId="7E512CE3" w14:textId="77777777" w:rsidR="00E57DAA" w:rsidRDefault="00AC4185">
            <w:pPr>
              <w:rPr>
                <w:szCs w:val="21"/>
              </w:rPr>
            </w:pPr>
            <w:r>
              <w:rPr>
                <w:rFonts w:hint="eastAsia"/>
                <w:color w:val="000000"/>
                <w:szCs w:val="21"/>
              </w:rPr>
              <w:t>否</w:t>
            </w:r>
          </w:p>
        </w:tc>
        <w:tc>
          <w:tcPr>
            <w:tcW w:w="390" w:type="pct"/>
            <w:vAlign w:val="center"/>
          </w:tcPr>
          <w:p w14:paraId="0B33FA60" w14:textId="77777777" w:rsidR="00E57DAA" w:rsidRDefault="00AC4185">
            <w:pPr>
              <w:rPr>
                <w:szCs w:val="21"/>
              </w:rPr>
            </w:pPr>
            <w:r>
              <w:rPr>
                <w:rFonts w:hint="eastAsia"/>
                <w:szCs w:val="21"/>
              </w:rPr>
              <w:t>长期</w:t>
            </w:r>
          </w:p>
        </w:tc>
        <w:tc>
          <w:tcPr>
            <w:tcW w:w="236" w:type="pct"/>
            <w:shd w:val="clear" w:color="auto" w:fill="auto"/>
            <w:vAlign w:val="center"/>
          </w:tcPr>
          <w:p w14:paraId="6418FCBB" w14:textId="77777777" w:rsidR="00E57DAA" w:rsidRDefault="00AC4185">
            <w:pPr>
              <w:rPr>
                <w:szCs w:val="21"/>
              </w:rPr>
            </w:pPr>
            <w:r>
              <w:rPr>
                <w:rFonts w:hint="eastAsia"/>
                <w:color w:val="000000"/>
                <w:szCs w:val="21"/>
              </w:rPr>
              <w:t>是</w:t>
            </w:r>
          </w:p>
        </w:tc>
        <w:tc>
          <w:tcPr>
            <w:tcW w:w="339" w:type="pct"/>
            <w:shd w:val="clear" w:color="auto" w:fill="auto"/>
            <w:vAlign w:val="center"/>
          </w:tcPr>
          <w:p w14:paraId="2DA47331"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18E3EFCD" w14:textId="77777777" w:rsidR="00E57DAA" w:rsidRDefault="00AC4185">
            <w:pPr>
              <w:rPr>
                <w:szCs w:val="21"/>
              </w:rPr>
            </w:pPr>
            <w:r>
              <w:rPr>
                <w:rFonts w:hint="eastAsia"/>
                <w:color w:val="000000"/>
                <w:szCs w:val="21"/>
              </w:rPr>
              <w:t>不适用</w:t>
            </w:r>
          </w:p>
        </w:tc>
      </w:tr>
      <w:tr w:rsidR="00E57DAA" w14:paraId="1AFA27BF" w14:textId="77777777">
        <w:trPr>
          <w:trHeight w:val="629"/>
        </w:trPr>
        <w:tc>
          <w:tcPr>
            <w:tcW w:w="386" w:type="pct"/>
            <w:vMerge/>
            <w:shd w:val="clear" w:color="auto" w:fill="auto"/>
            <w:vAlign w:val="center"/>
          </w:tcPr>
          <w:p w14:paraId="114B0A8B" w14:textId="77777777" w:rsidR="00E57DAA" w:rsidRDefault="00E57DAA" w:rsidP="00C25422">
            <w:pPr>
              <w:pStyle w:val="92"/>
            </w:pPr>
          </w:p>
        </w:tc>
        <w:tc>
          <w:tcPr>
            <w:tcW w:w="236" w:type="pct"/>
            <w:shd w:val="clear" w:color="auto" w:fill="auto"/>
            <w:vAlign w:val="center"/>
          </w:tcPr>
          <w:p w14:paraId="06E03EF5" w14:textId="77777777" w:rsidR="00E57DAA" w:rsidRDefault="00AC4185">
            <w:pPr>
              <w:rPr>
                <w:szCs w:val="21"/>
              </w:rPr>
            </w:pPr>
            <w:r>
              <w:rPr>
                <w:rFonts w:hint="eastAsia"/>
                <w:color w:val="000000"/>
                <w:szCs w:val="21"/>
              </w:rPr>
              <w:t>其他</w:t>
            </w:r>
          </w:p>
        </w:tc>
        <w:tc>
          <w:tcPr>
            <w:tcW w:w="390" w:type="pct"/>
            <w:shd w:val="clear" w:color="auto" w:fill="auto"/>
            <w:vAlign w:val="center"/>
          </w:tcPr>
          <w:p w14:paraId="63DBE2EA" w14:textId="77777777" w:rsidR="00E57DAA" w:rsidRDefault="00AC4185">
            <w:pPr>
              <w:rPr>
                <w:szCs w:val="21"/>
              </w:rPr>
            </w:pPr>
            <w:r>
              <w:rPr>
                <w:rFonts w:hint="eastAsia"/>
                <w:color w:val="000000"/>
                <w:szCs w:val="21"/>
              </w:rPr>
              <w:t>中国建材股份</w:t>
            </w:r>
          </w:p>
        </w:tc>
        <w:tc>
          <w:tcPr>
            <w:tcW w:w="1924" w:type="pct"/>
            <w:shd w:val="clear" w:color="auto" w:fill="auto"/>
            <w:vAlign w:val="center"/>
          </w:tcPr>
          <w:p w14:paraId="059D27C4" w14:textId="77777777" w:rsidR="00E57DAA" w:rsidRDefault="00AC4185">
            <w:pPr>
              <w:jc w:val="both"/>
              <w:rPr>
                <w:szCs w:val="21"/>
              </w:rPr>
            </w:pPr>
            <w:r>
              <w:rPr>
                <w:rFonts w:hint="eastAsia"/>
                <w:color w:val="000000"/>
                <w:szCs w:val="21"/>
              </w:rPr>
              <w:t>1、中国建材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及其控制的其他下属企业保证不以任何方式占用中材国际及其控制的下属企业的资金。2、上述承诺于中国建材对中材国际拥有控制权期间持续有效。如因中国建材未履行上述所作承诺而给中材国际造成损失，中国建材将承担相应的赔偿责任。</w:t>
            </w:r>
          </w:p>
        </w:tc>
        <w:tc>
          <w:tcPr>
            <w:tcW w:w="532" w:type="pct"/>
            <w:vAlign w:val="center"/>
          </w:tcPr>
          <w:p w14:paraId="790B4E3C" w14:textId="77777777" w:rsidR="00E57DAA" w:rsidRDefault="00AC4185">
            <w:pPr>
              <w:rPr>
                <w:szCs w:val="21"/>
              </w:rPr>
            </w:pPr>
            <w:r>
              <w:rPr>
                <w:rFonts w:hint="eastAsia"/>
                <w:color w:val="000000"/>
                <w:szCs w:val="21"/>
              </w:rPr>
              <w:t>2017/9/8</w:t>
            </w:r>
          </w:p>
        </w:tc>
        <w:tc>
          <w:tcPr>
            <w:tcW w:w="237" w:type="pct"/>
            <w:shd w:val="clear" w:color="auto" w:fill="auto"/>
            <w:vAlign w:val="center"/>
          </w:tcPr>
          <w:p w14:paraId="41C5514D" w14:textId="77777777" w:rsidR="00E57DAA" w:rsidRDefault="00AC4185">
            <w:pPr>
              <w:rPr>
                <w:szCs w:val="21"/>
              </w:rPr>
            </w:pPr>
            <w:r>
              <w:rPr>
                <w:rFonts w:hint="eastAsia"/>
                <w:color w:val="000000"/>
                <w:szCs w:val="21"/>
              </w:rPr>
              <w:t>否</w:t>
            </w:r>
          </w:p>
        </w:tc>
        <w:tc>
          <w:tcPr>
            <w:tcW w:w="390" w:type="pct"/>
            <w:vAlign w:val="center"/>
          </w:tcPr>
          <w:p w14:paraId="49CCDA67" w14:textId="77777777" w:rsidR="00E57DAA" w:rsidRDefault="00AC4185">
            <w:pPr>
              <w:rPr>
                <w:szCs w:val="21"/>
              </w:rPr>
            </w:pPr>
            <w:r>
              <w:rPr>
                <w:rFonts w:hint="eastAsia"/>
                <w:szCs w:val="21"/>
              </w:rPr>
              <w:t>长期</w:t>
            </w:r>
          </w:p>
        </w:tc>
        <w:tc>
          <w:tcPr>
            <w:tcW w:w="236" w:type="pct"/>
            <w:shd w:val="clear" w:color="auto" w:fill="auto"/>
            <w:vAlign w:val="center"/>
          </w:tcPr>
          <w:p w14:paraId="52E37CAE" w14:textId="77777777" w:rsidR="00E57DAA" w:rsidRDefault="00AC4185">
            <w:pPr>
              <w:rPr>
                <w:szCs w:val="21"/>
              </w:rPr>
            </w:pPr>
            <w:r>
              <w:rPr>
                <w:rFonts w:hint="eastAsia"/>
                <w:color w:val="000000"/>
                <w:szCs w:val="21"/>
              </w:rPr>
              <w:t>是</w:t>
            </w:r>
          </w:p>
        </w:tc>
        <w:tc>
          <w:tcPr>
            <w:tcW w:w="339" w:type="pct"/>
            <w:shd w:val="clear" w:color="auto" w:fill="auto"/>
            <w:vAlign w:val="center"/>
          </w:tcPr>
          <w:p w14:paraId="7C330230"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4BE7E99E" w14:textId="77777777" w:rsidR="00E57DAA" w:rsidRDefault="00AC4185">
            <w:pPr>
              <w:rPr>
                <w:szCs w:val="21"/>
              </w:rPr>
            </w:pPr>
            <w:r>
              <w:rPr>
                <w:rFonts w:hint="eastAsia"/>
                <w:color w:val="000000"/>
                <w:szCs w:val="21"/>
              </w:rPr>
              <w:t>不适用</w:t>
            </w:r>
          </w:p>
        </w:tc>
      </w:tr>
      <w:tr w:rsidR="00E57DAA" w14:paraId="20A3E022" w14:textId="77777777">
        <w:tc>
          <w:tcPr>
            <w:tcW w:w="386" w:type="pct"/>
            <w:vMerge w:val="restart"/>
            <w:shd w:val="clear" w:color="auto" w:fill="auto"/>
            <w:vAlign w:val="center"/>
          </w:tcPr>
          <w:p w14:paraId="09D37998" w14:textId="77777777" w:rsidR="00E57DAA" w:rsidRDefault="00AC4185">
            <w:pPr>
              <w:rPr>
                <w:szCs w:val="21"/>
              </w:rPr>
            </w:pPr>
            <w:r>
              <w:rPr>
                <w:rFonts w:hint="eastAsia"/>
                <w:szCs w:val="21"/>
              </w:rPr>
              <w:lastRenderedPageBreak/>
              <w:t>与重大资产重组相关的承诺</w:t>
            </w:r>
          </w:p>
        </w:tc>
        <w:sdt>
          <w:sdtPr>
            <w:rPr>
              <w:szCs w:val="21"/>
            </w:rPr>
            <w:alias w:val="与重大资产重组相关的承诺-承诺类型"/>
            <w:tag w:val="_GBC_aa9c1c9305e348ad982dd128c1675ee8"/>
            <w:id w:val="1234817872"/>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36" w:type="pct"/>
                <w:shd w:val="clear" w:color="auto" w:fill="auto"/>
              </w:tcPr>
              <w:p w14:paraId="10EC8055" w14:textId="77777777" w:rsidR="00E57DAA" w:rsidRDefault="00AC4185">
                <w:pPr>
                  <w:rPr>
                    <w:color w:val="FFC000"/>
                    <w:szCs w:val="21"/>
                  </w:rPr>
                </w:pPr>
                <w:r>
                  <w:rPr>
                    <w:szCs w:val="21"/>
                  </w:rPr>
                  <w:t>解决关联交易</w:t>
                </w:r>
              </w:p>
            </w:tc>
          </w:sdtContent>
        </w:sdt>
        <w:tc>
          <w:tcPr>
            <w:tcW w:w="390" w:type="pct"/>
            <w:shd w:val="clear" w:color="auto" w:fill="auto"/>
          </w:tcPr>
          <w:p w14:paraId="5C03F4A0" w14:textId="77777777" w:rsidR="00E57DAA" w:rsidRDefault="00AC4185">
            <w:pPr>
              <w:rPr>
                <w:szCs w:val="21"/>
              </w:rPr>
            </w:pPr>
            <w:r>
              <w:rPr>
                <w:rFonts w:hint="eastAsia"/>
                <w:szCs w:val="21"/>
              </w:rPr>
              <w:t>中国建材集团、中国建材股份</w:t>
            </w:r>
          </w:p>
        </w:tc>
        <w:tc>
          <w:tcPr>
            <w:tcW w:w="1924" w:type="pct"/>
            <w:shd w:val="clear" w:color="auto" w:fill="auto"/>
          </w:tcPr>
          <w:p w14:paraId="1ECC7D5C" w14:textId="77777777" w:rsidR="00E57DAA" w:rsidRDefault="00AC4185">
            <w:pPr>
              <w:jc w:val="both"/>
              <w:rPr>
                <w:szCs w:val="21"/>
              </w:rPr>
            </w:pPr>
            <w:r>
              <w:rPr>
                <w:szCs w:val="21"/>
              </w:rPr>
              <w:t>1、本次交易完成后，本公司及本公司控制的其他单位将尽量减少并规范与上市公司及其控制的单位之间的关联交易。2、本次交易完成后，对于上市公司及其控制的单位与本公司及本公司控制的其他单位之间无法避免或有合理理由的关联交易，本公司及本公司控制的单位保证该等关联交易均将基于公允的原则制定交易条件，根据有关法律、法规及规范性文件的规定履行关联交易决策程序，依法履行信息披露义务和办理相关报批程序，不利用关联交易从事损害上市公司及上市公司其他股东合法权益的行为。3、若违反上述承诺，本公司将对由此给上市公司及其控制的单位造成</w:t>
            </w:r>
            <w:r>
              <w:rPr>
                <w:rFonts w:hint="eastAsia"/>
                <w:szCs w:val="21"/>
              </w:rPr>
              <w:t>的损失进行赔偿。</w:t>
            </w:r>
          </w:p>
        </w:tc>
        <w:tc>
          <w:tcPr>
            <w:tcW w:w="532" w:type="pct"/>
          </w:tcPr>
          <w:p w14:paraId="25F20718" w14:textId="77777777" w:rsidR="00E57DAA" w:rsidRDefault="00AC4185">
            <w:pPr>
              <w:rPr>
                <w:szCs w:val="21"/>
              </w:rPr>
            </w:pPr>
            <w:r>
              <w:rPr>
                <w:szCs w:val="21"/>
              </w:rPr>
              <w:t>2020/12/14</w:t>
            </w:r>
          </w:p>
        </w:tc>
        <w:sdt>
          <w:sdtPr>
            <w:rPr>
              <w:szCs w:val="21"/>
            </w:rPr>
            <w:alias w:val="与重大资产重组相关的承诺-是否有履行期限"/>
            <w:tag w:val="_GBC_5b634ddcd7f24eb298fb3573998d3f89"/>
            <w:id w:val="15119661"/>
            <w:comboBox>
              <w:listItem w:displayText="是" w:value="true"/>
              <w:listItem w:displayText="否" w:value="false"/>
            </w:comboBox>
          </w:sdtPr>
          <w:sdtEndPr/>
          <w:sdtContent>
            <w:tc>
              <w:tcPr>
                <w:tcW w:w="237" w:type="pct"/>
                <w:shd w:val="clear" w:color="auto" w:fill="auto"/>
              </w:tcPr>
              <w:p w14:paraId="5106E0EF" w14:textId="77777777" w:rsidR="00E57DAA" w:rsidRDefault="00AC4185">
                <w:pPr>
                  <w:rPr>
                    <w:color w:val="FFC000"/>
                    <w:szCs w:val="21"/>
                  </w:rPr>
                </w:pPr>
                <w:r>
                  <w:rPr>
                    <w:szCs w:val="21"/>
                  </w:rPr>
                  <w:t>否</w:t>
                </w:r>
              </w:p>
            </w:tc>
          </w:sdtContent>
        </w:sdt>
        <w:tc>
          <w:tcPr>
            <w:tcW w:w="390" w:type="pct"/>
          </w:tcPr>
          <w:p w14:paraId="0FF01A07" w14:textId="77777777" w:rsidR="00E57DAA" w:rsidRDefault="00AC4185">
            <w:pPr>
              <w:rPr>
                <w:szCs w:val="21"/>
              </w:rPr>
            </w:pPr>
            <w:r>
              <w:rPr>
                <w:rFonts w:hint="eastAsia"/>
                <w:szCs w:val="21"/>
              </w:rPr>
              <w:t>长期</w:t>
            </w:r>
          </w:p>
        </w:tc>
        <w:sdt>
          <w:sdtPr>
            <w:rPr>
              <w:szCs w:val="21"/>
            </w:rPr>
            <w:alias w:val="与重大资产重组相关的承诺-是否及时严格履行"/>
            <w:tag w:val="_GBC_258690e2d1934d0cb87574e307cdecdb"/>
            <w:id w:val="-177502906"/>
            <w:comboBox>
              <w:listItem w:displayText="是" w:value="true"/>
              <w:listItem w:displayText="否" w:value="false"/>
            </w:comboBox>
          </w:sdtPr>
          <w:sdtEndPr/>
          <w:sdtContent>
            <w:tc>
              <w:tcPr>
                <w:tcW w:w="236" w:type="pct"/>
                <w:shd w:val="clear" w:color="auto" w:fill="auto"/>
              </w:tcPr>
              <w:p w14:paraId="092332EC" w14:textId="77777777" w:rsidR="00E57DAA" w:rsidRDefault="00AC4185">
                <w:pPr>
                  <w:rPr>
                    <w:color w:val="FFC000"/>
                    <w:szCs w:val="21"/>
                  </w:rPr>
                </w:pPr>
                <w:r>
                  <w:rPr>
                    <w:szCs w:val="21"/>
                  </w:rPr>
                  <w:t>是</w:t>
                </w:r>
              </w:p>
            </w:tc>
          </w:sdtContent>
        </w:sdt>
        <w:tc>
          <w:tcPr>
            <w:tcW w:w="339" w:type="pct"/>
            <w:shd w:val="clear" w:color="auto" w:fill="auto"/>
          </w:tcPr>
          <w:p w14:paraId="266539F0" w14:textId="77777777" w:rsidR="00E57DAA" w:rsidRDefault="00AC4185">
            <w:pPr>
              <w:rPr>
                <w:szCs w:val="21"/>
              </w:rPr>
            </w:pPr>
            <w:r>
              <w:rPr>
                <w:rFonts w:hint="eastAsia"/>
                <w:szCs w:val="21"/>
              </w:rPr>
              <w:t>不适用</w:t>
            </w:r>
          </w:p>
        </w:tc>
        <w:tc>
          <w:tcPr>
            <w:tcW w:w="330" w:type="pct"/>
            <w:shd w:val="clear" w:color="auto" w:fill="auto"/>
          </w:tcPr>
          <w:p w14:paraId="146C7A7E" w14:textId="77777777" w:rsidR="00E57DAA" w:rsidRDefault="00AC4185">
            <w:pPr>
              <w:rPr>
                <w:szCs w:val="21"/>
              </w:rPr>
            </w:pPr>
            <w:r>
              <w:rPr>
                <w:rFonts w:hint="eastAsia"/>
                <w:szCs w:val="21"/>
              </w:rPr>
              <w:t>不适用</w:t>
            </w:r>
          </w:p>
        </w:tc>
      </w:tr>
      <w:tr w:rsidR="00E57DAA" w14:paraId="6BAC40B5" w14:textId="77777777">
        <w:tc>
          <w:tcPr>
            <w:tcW w:w="386" w:type="pct"/>
            <w:vMerge/>
            <w:shd w:val="clear" w:color="auto" w:fill="auto"/>
            <w:vAlign w:val="center"/>
          </w:tcPr>
          <w:p w14:paraId="49DA4035" w14:textId="77777777" w:rsidR="00E57DAA" w:rsidRDefault="00E57DAA" w:rsidP="00C25422">
            <w:pPr>
              <w:pStyle w:val="92"/>
            </w:pPr>
          </w:p>
        </w:tc>
        <w:sdt>
          <w:sdtPr>
            <w:rPr>
              <w:szCs w:val="21"/>
            </w:rPr>
            <w:alias w:val="与重大资产重组相关的承诺-承诺类型"/>
            <w:tag w:val="_GBC_aa9c1c9305e348ad982dd128c1675ee8"/>
            <w:id w:val="42878042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36" w:type="pct"/>
                <w:shd w:val="clear" w:color="auto" w:fill="auto"/>
              </w:tcPr>
              <w:p w14:paraId="54DE1283" w14:textId="77777777" w:rsidR="00E57DAA" w:rsidRDefault="00AC4185">
                <w:pPr>
                  <w:rPr>
                    <w:color w:val="FFC000"/>
                    <w:szCs w:val="21"/>
                  </w:rPr>
                </w:pPr>
                <w:r>
                  <w:rPr>
                    <w:szCs w:val="21"/>
                  </w:rPr>
                  <w:t>解决同业竞争</w:t>
                </w:r>
              </w:p>
            </w:tc>
          </w:sdtContent>
        </w:sdt>
        <w:tc>
          <w:tcPr>
            <w:tcW w:w="390" w:type="pct"/>
            <w:shd w:val="clear" w:color="auto" w:fill="auto"/>
          </w:tcPr>
          <w:p w14:paraId="6678FC96" w14:textId="77777777" w:rsidR="00E57DAA" w:rsidRDefault="00AC4185">
            <w:pPr>
              <w:rPr>
                <w:szCs w:val="21"/>
              </w:rPr>
            </w:pPr>
            <w:r>
              <w:rPr>
                <w:rFonts w:hint="eastAsia"/>
                <w:szCs w:val="21"/>
              </w:rPr>
              <w:t>中国建材集团、中国建材股份</w:t>
            </w:r>
          </w:p>
        </w:tc>
        <w:tc>
          <w:tcPr>
            <w:tcW w:w="1924" w:type="pct"/>
            <w:shd w:val="clear" w:color="auto" w:fill="auto"/>
          </w:tcPr>
          <w:p w14:paraId="4A7EEDE5" w14:textId="77777777" w:rsidR="00E57DAA" w:rsidRDefault="00AC4185">
            <w:pPr>
              <w:jc w:val="both"/>
              <w:rPr>
                <w:szCs w:val="21"/>
              </w:rPr>
            </w:pPr>
            <w:r>
              <w:rPr>
                <w:szCs w:val="21"/>
              </w:rPr>
              <w:t>1、水泥工程、矿山工程与采矿服务：针对前述水泥工程领域的业务重合情况，本公司将协调建材国际工程、新疆凯盛和合肥院加大业务调整力度，除现有存量业务外，除非中材国际及/或其控制的单位放弃相关商业机会，建材国际工程、新疆凯盛和合肥院将不再对外承接任何新的水泥工程承包、设计等相关业务。针对前述矿山工程与采矿服务领域的业务重合情况，本公司将协调湖南地勘、四川地勘和广东地勘加大业务调整力度，除现有存量业务外，除非中材国际及/或其控制的单位放弃相关商业机会，湖南地勘、四川地勘和广东地勘将不再对外承接任何新的矿山工程与采矿</w:t>
            </w:r>
            <w:r>
              <w:rPr>
                <w:rFonts w:hint="eastAsia"/>
                <w:szCs w:val="21"/>
              </w:rPr>
              <w:t>服务类相关业务。如从任何第三方获得水泥工程、矿山工程与采矿服务相关商业机会，本公司将及时通知中材国际，并将上述商业机会首先提供给中材国际及</w:t>
            </w:r>
            <w:r>
              <w:rPr>
                <w:szCs w:val="21"/>
              </w:rPr>
              <w:t>/或其控制的单位，中材国际及/或其控制的单位享有达成相关交易的优先权利。如中材国际及/或其控制的单位同意利用该等商业机会，则本公司确保相关单位放弃该等商业机会。若中材国际或其控制的单位放弃该等商业机会，或仅选择该商业机会中的一部分，上述单位方可接受或进行该商业</w:t>
            </w:r>
            <w:r>
              <w:rPr>
                <w:szCs w:val="21"/>
              </w:rPr>
              <w:lastRenderedPageBreak/>
              <w:t>机会的全部或剩余业务。如中材国际及/或其控制的单位放弃前述商业机会，须至少经中材国际董事会审议通过且经三分之二以上</w:t>
            </w:r>
            <w:r>
              <w:rPr>
                <w:rFonts w:hint="eastAsia"/>
                <w:szCs w:val="21"/>
              </w:rPr>
              <w:t>独立董事同意（中材国际上市地相关监管规则对放弃商业机会另有规定的，从其规定）。即使中材国际履行相关程序后放弃某特定的商业机会，中材国际及其控制的企业仍保有在水泥工程、矿山工程与采矿服务业务领域达成交易的优先权。</w:t>
            </w:r>
            <w:r>
              <w:rPr>
                <w:szCs w:val="21"/>
              </w:rPr>
              <w:t>2、水泥装备：针对前述水泥装备制造领域的重合情况，由于涉及相关企业的业务剥离或重组等原因，截至目前尚未形成明确的后续具体整合方案。本公司承诺将在本次重组完成后的3年内，根据有关规定以及相关证券监督管理部门的要求，在适用的法律法规、规范性文件及相关监管规则允许的前提下，综合运用委托管理、资产重组、股权置</w:t>
            </w:r>
            <w:r>
              <w:rPr>
                <w:rFonts w:hint="eastAsia"/>
                <w:szCs w:val="21"/>
              </w:rPr>
              <w:t>换、业务调整等多种方式，稳妥推进相关业务整合以解决同业竞争问题。此外，本公司保证严格遵守法律法规、规范性文件、境内外证券监管规则以及中材国际和本公司控制的其他上市公司的章程，与其他股东一样平等的行使股东权利、履行股东义务，不利用控股地位谋取不当利益，不损害中材国际及本公司控制的其他上市公司和该等公司其他股东的合法利益。上述承诺于本公司对中材国际拥有控制权期间持续有效。如因本公司未履行上述所作承诺而给中材国际造成损失，本公司将承担相应的赔偿责任。</w:t>
            </w:r>
          </w:p>
        </w:tc>
        <w:tc>
          <w:tcPr>
            <w:tcW w:w="532" w:type="pct"/>
          </w:tcPr>
          <w:p w14:paraId="02793726" w14:textId="77777777" w:rsidR="00E57DAA" w:rsidRDefault="00AC4185">
            <w:pPr>
              <w:rPr>
                <w:szCs w:val="21"/>
              </w:rPr>
            </w:pPr>
            <w:r>
              <w:rPr>
                <w:szCs w:val="21"/>
              </w:rPr>
              <w:lastRenderedPageBreak/>
              <w:t>2020/12/14</w:t>
            </w:r>
          </w:p>
        </w:tc>
        <w:sdt>
          <w:sdtPr>
            <w:rPr>
              <w:szCs w:val="21"/>
            </w:rPr>
            <w:alias w:val="与重大资产重组相关的承诺-是否有履行期限"/>
            <w:tag w:val="_GBC_5b634ddcd7f24eb298fb3573998d3f89"/>
            <w:id w:val="1856685786"/>
            <w:comboBox>
              <w:listItem w:displayText="是" w:value="true"/>
              <w:listItem w:displayText="否" w:value="false"/>
            </w:comboBox>
          </w:sdtPr>
          <w:sdtEndPr/>
          <w:sdtContent>
            <w:tc>
              <w:tcPr>
                <w:tcW w:w="237" w:type="pct"/>
                <w:shd w:val="clear" w:color="auto" w:fill="auto"/>
              </w:tcPr>
              <w:p w14:paraId="7F454ED2" w14:textId="77777777" w:rsidR="00E57DAA" w:rsidRDefault="00AC4185">
                <w:pPr>
                  <w:rPr>
                    <w:color w:val="FFC000"/>
                    <w:szCs w:val="21"/>
                  </w:rPr>
                </w:pPr>
                <w:r>
                  <w:rPr>
                    <w:szCs w:val="21"/>
                  </w:rPr>
                  <w:t>是</w:t>
                </w:r>
              </w:p>
            </w:tc>
          </w:sdtContent>
        </w:sdt>
        <w:tc>
          <w:tcPr>
            <w:tcW w:w="390" w:type="pct"/>
          </w:tcPr>
          <w:p w14:paraId="20EDB9F7" w14:textId="77777777" w:rsidR="00E57DAA" w:rsidRDefault="00AC4185">
            <w:pPr>
              <w:rPr>
                <w:szCs w:val="21"/>
              </w:rPr>
            </w:pPr>
            <w:r>
              <w:rPr>
                <w:rFonts w:hint="eastAsia"/>
                <w:szCs w:val="21"/>
              </w:rPr>
              <w:t>本次重组完成后的</w:t>
            </w:r>
            <w:r>
              <w:rPr>
                <w:szCs w:val="21"/>
              </w:rPr>
              <w:t>3年内</w:t>
            </w:r>
          </w:p>
        </w:tc>
        <w:sdt>
          <w:sdtPr>
            <w:rPr>
              <w:szCs w:val="21"/>
            </w:rPr>
            <w:alias w:val="与重大资产重组相关的承诺-是否及时严格履行"/>
            <w:tag w:val="_GBC_258690e2d1934d0cb87574e307cdecdb"/>
            <w:id w:val="-226295705"/>
            <w:comboBox>
              <w:listItem w:displayText="是" w:value="true"/>
              <w:listItem w:displayText="否" w:value="false"/>
            </w:comboBox>
          </w:sdtPr>
          <w:sdtEndPr/>
          <w:sdtContent>
            <w:tc>
              <w:tcPr>
                <w:tcW w:w="236" w:type="pct"/>
                <w:shd w:val="clear" w:color="auto" w:fill="auto"/>
              </w:tcPr>
              <w:p w14:paraId="5B0403E2" w14:textId="77777777" w:rsidR="00E57DAA" w:rsidRDefault="00AC4185">
                <w:pPr>
                  <w:rPr>
                    <w:color w:val="FFC000"/>
                    <w:szCs w:val="21"/>
                  </w:rPr>
                </w:pPr>
                <w:r>
                  <w:rPr>
                    <w:szCs w:val="21"/>
                  </w:rPr>
                  <w:t>是</w:t>
                </w:r>
              </w:p>
            </w:tc>
          </w:sdtContent>
        </w:sdt>
        <w:tc>
          <w:tcPr>
            <w:tcW w:w="339" w:type="pct"/>
            <w:shd w:val="clear" w:color="auto" w:fill="auto"/>
          </w:tcPr>
          <w:p w14:paraId="4415D60F" w14:textId="77777777" w:rsidR="00E57DAA" w:rsidRDefault="00AC4185">
            <w:pPr>
              <w:rPr>
                <w:szCs w:val="21"/>
              </w:rPr>
            </w:pPr>
            <w:r>
              <w:rPr>
                <w:rFonts w:hint="eastAsia"/>
                <w:szCs w:val="21"/>
              </w:rPr>
              <w:t>不适用</w:t>
            </w:r>
          </w:p>
        </w:tc>
        <w:tc>
          <w:tcPr>
            <w:tcW w:w="330" w:type="pct"/>
            <w:shd w:val="clear" w:color="auto" w:fill="auto"/>
          </w:tcPr>
          <w:p w14:paraId="14C1D8F1" w14:textId="77777777" w:rsidR="00E57DAA" w:rsidRDefault="00AC4185">
            <w:pPr>
              <w:rPr>
                <w:szCs w:val="21"/>
              </w:rPr>
            </w:pPr>
            <w:r>
              <w:rPr>
                <w:rFonts w:hint="eastAsia"/>
                <w:szCs w:val="21"/>
              </w:rPr>
              <w:t>不适用</w:t>
            </w:r>
          </w:p>
        </w:tc>
      </w:tr>
      <w:tr w:rsidR="00E57DAA" w14:paraId="04E440A0" w14:textId="77777777">
        <w:tc>
          <w:tcPr>
            <w:tcW w:w="386" w:type="pct"/>
            <w:vMerge/>
            <w:shd w:val="clear" w:color="auto" w:fill="auto"/>
            <w:vAlign w:val="center"/>
          </w:tcPr>
          <w:p w14:paraId="4A3B5192" w14:textId="77777777" w:rsidR="00E57DAA" w:rsidRDefault="00E57DAA" w:rsidP="00C25422">
            <w:pPr>
              <w:pStyle w:val="92"/>
            </w:pPr>
          </w:p>
        </w:tc>
        <w:tc>
          <w:tcPr>
            <w:tcW w:w="236" w:type="pct"/>
            <w:shd w:val="clear" w:color="auto" w:fill="auto"/>
            <w:vAlign w:val="center"/>
          </w:tcPr>
          <w:p w14:paraId="60B52494" w14:textId="77777777" w:rsidR="00E57DAA" w:rsidRDefault="00AC4185">
            <w:pPr>
              <w:rPr>
                <w:szCs w:val="21"/>
              </w:rPr>
            </w:pPr>
            <w:r>
              <w:rPr>
                <w:rFonts w:hint="eastAsia"/>
                <w:color w:val="000000"/>
                <w:szCs w:val="21"/>
              </w:rPr>
              <w:t>解决同业竞争</w:t>
            </w:r>
          </w:p>
        </w:tc>
        <w:tc>
          <w:tcPr>
            <w:tcW w:w="390" w:type="pct"/>
            <w:shd w:val="clear" w:color="auto" w:fill="auto"/>
            <w:vAlign w:val="center"/>
          </w:tcPr>
          <w:p w14:paraId="20493A1A" w14:textId="77777777" w:rsidR="00E57DAA" w:rsidRDefault="00AC4185">
            <w:pPr>
              <w:rPr>
                <w:szCs w:val="21"/>
              </w:rPr>
            </w:pPr>
            <w:r>
              <w:rPr>
                <w:rFonts w:hint="eastAsia"/>
                <w:color w:val="000000"/>
                <w:szCs w:val="21"/>
              </w:rPr>
              <w:t>中国建材集团</w:t>
            </w:r>
          </w:p>
        </w:tc>
        <w:tc>
          <w:tcPr>
            <w:tcW w:w="1924" w:type="pct"/>
            <w:shd w:val="clear" w:color="auto" w:fill="auto"/>
            <w:vAlign w:val="center"/>
          </w:tcPr>
          <w:p w14:paraId="3446C659" w14:textId="77777777" w:rsidR="00E57DAA" w:rsidRDefault="00AC4185">
            <w:pPr>
              <w:jc w:val="both"/>
              <w:rPr>
                <w:szCs w:val="21"/>
              </w:rPr>
            </w:pPr>
            <w:r>
              <w:rPr>
                <w:rFonts w:hint="eastAsia"/>
                <w:color w:val="000000"/>
                <w:szCs w:val="21"/>
              </w:rPr>
              <w:t>中国建材集团将加大协调力度，督促新疆凯盛、合肥院、湖南地勘、四川地勘和广东地勘调整相应业务，避免与中材国际的同业竞争。水泥工程设计与总承包领域，合肥院和新疆凯盛将在本次重组完成后4年内，确保完成存量项目的执行工作。采矿服务和矿山工程承包领域，湖南地勘、四川地勘和广东地勘将在本次重组完成后6年内，确保完成存量项目的执行工作。</w:t>
            </w:r>
          </w:p>
        </w:tc>
        <w:tc>
          <w:tcPr>
            <w:tcW w:w="532" w:type="pct"/>
            <w:vAlign w:val="center"/>
          </w:tcPr>
          <w:p w14:paraId="1A340213" w14:textId="77777777" w:rsidR="00E57DAA" w:rsidRDefault="00AC4185">
            <w:pPr>
              <w:rPr>
                <w:szCs w:val="21"/>
              </w:rPr>
            </w:pPr>
            <w:r>
              <w:rPr>
                <w:rFonts w:hint="eastAsia"/>
                <w:color w:val="000000"/>
                <w:szCs w:val="21"/>
              </w:rPr>
              <w:t>2021/7/31</w:t>
            </w:r>
          </w:p>
        </w:tc>
        <w:tc>
          <w:tcPr>
            <w:tcW w:w="237" w:type="pct"/>
            <w:shd w:val="clear" w:color="auto" w:fill="auto"/>
            <w:vAlign w:val="center"/>
          </w:tcPr>
          <w:p w14:paraId="58406027" w14:textId="77777777" w:rsidR="00E57DAA" w:rsidRDefault="00AC4185">
            <w:pPr>
              <w:rPr>
                <w:szCs w:val="21"/>
              </w:rPr>
            </w:pPr>
            <w:r>
              <w:rPr>
                <w:rFonts w:hint="eastAsia"/>
                <w:color w:val="000000"/>
                <w:szCs w:val="21"/>
              </w:rPr>
              <w:t>是</w:t>
            </w:r>
          </w:p>
        </w:tc>
        <w:tc>
          <w:tcPr>
            <w:tcW w:w="390" w:type="pct"/>
            <w:vAlign w:val="center"/>
          </w:tcPr>
          <w:p w14:paraId="38B59C6C" w14:textId="77777777" w:rsidR="00E57DAA" w:rsidRDefault="00AC4185">
            <w:pPr>
              <w:rPr>
                <w:szCs w:val="21"/>
              </w:rPr>
            </w:pPr>
            <w:r>
              <w:rPr>
                <w:rFonts w:hint="eastAsia"/>
                <w:szCs w:val="21"/>
              </w:rPr>
              <w:t>本次重组完成后4年；6年</w:t>
            </w:r>
          </w:p>
        </w:tc>
        <w:tc>
          <w:tcPr>
            <w:tcW w:w="236" w:type="pct"/>
            <w:shd w:val="clear" w:color="auto" w:fill="auto"/>
            <w:vAlign w:val="center"/>
          </w:tcPr>
          <w:p w14:paraId="2A3EB66C" w14:textId="77777777" w:rsidR="00E57DAA" w:rsidRDefault="00AC4185">
            <w:pPr>
              <w:rPr>
                <w:szCs w:val="21"/>
              </w:rPr>
            </w:pPr>
            <w:r>
              <w:rPr>
                <w:rFonts w:hint="eastAsia"/>
                <w:color w:val="000000"/>
                <w:szCs w:val="21"/>
              </w:rPr>
              <w:t>是</w:t>
            </w:r>
          </w:p>
        </w:tc>
        <w:tc>
          <w:tcPr>
            <w:tcW w:w="339" w:type="pct"/>
            <w:shd w:val="clear" w:color="auto" w:fill="auto"/>
            <w:vAlign w:val="center"/>
          </w:tcPr>
          <w:p w14:paraId="42E9293F"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05E031D4" w14:textId="77777777" w:rsidR="00E57DAA" w:rsidRDefault="00AC4185">
            <w:pPr>
              <w:rPr>
                <w:szCs w:val="21"/>
              </w:rPr>
            </w:pPr>
            <w:r>
              <w:rPr>
                <w:rFonts w:hint="eastAsia"/>
                <w:color w:val="000000"/>
                <w:szCs w:val="21"/>
              </w:rPr>
              <w:t>不适用</w:t>
            </w:r>
          </w:p>
        </w:tc>
      </w:tr>
      <w:tr w:rsidR="00E57DAA" w14:paraId="52A372F0" w14:textId="77777777">
        <w:tc>
          <w:tcPr>
            <w:tcW w:w="386" w:type="pct"/>
            <w:vMerge/>
            <w:shd w:val="clear" w:color="auto" w:fill="auto"/>
            <w:vAlign w:val="center"/>
          </w:tcPr>
          <w:p w14:paraId="438FECDA" w14:textId="77777777" w:rsidR="00E57DAA" w:rsidRDefault="00E57DAA" w:rsidP="00C25422">
            <w:pPr>
              <w:pStyle w:val="92"/>
            </w:pPr>
          </w:p>
        </w:tc>
        <w:tc>
          <w:tcPr>
            <w:tcW w:w="236" w:type="pct"/>
            <w:shd w:val="clear" w:color="auto" w:fill="auto"/>
            <w:vAlign w:val="center"/>
          </w:tcPr>
          <w:p w14:paraId="037E3FEA" w14:textId="77777777" w:rsidR="00E57DAA" w:rsidRDefault="00AC4185">
            <w:pPr>
              <w:rPr>
                <w:szCs w:val="21"/>
              </w:rPr>
            </w:pPr>
            <w:r>
              <w:rPr>
                <w:rFonts w:hint="eastAsia"/>
                <w:color w:val="000000"/>
                <w:szCs w:val="21"/>
              </w:rPr>
              <w:t>其他</w:t>
            </w:r>
          </w:p>
        </w:tc>
        <w:tc>
          <w:tcPr>
            <w:tcW w:w="390" w:type="pct"/>
            <w:shd w:val="clear" w:color="auto" w:fill="auto"/>
            <w:vAlign w:val="center"/>
          </w:tcPr>
          <w:p w14:paraId="1D66A9E2" w14:textId="77777777" w:rsidR="00E57DAA" w:rsidRDefault="00AC4185">
            <w:pPr>
              <w:rPr>
                <w:szCs w:val="21"/>
              </w:rPr>
            </w:pPr>
            <w:r>
              <w:rPr>
                <w:rFonts w:hint="eastAsia"/>
                <w:color w:val="000000"/>
                <w:szCs w:val="21"/>
              </w:rPr>
              <w:t>中国建材集团、中国建材股份</w:t>
            </w:r>
          </w:p>
        </w:tc>
        <w:tc>
          <w:tcPr>
            <w:tcW w:w="1924" w:type="pct"/>
            <w:shd w:val="clear" w:color="auto" w:fill="auto"/>
            <w:vAlign w:val="center"/>
          </w:tcPr>
          <w:p w14:paraId="06900D96" w14:textId="77777777" w:rsidR="00E57DAA" w:rsidRDefault="00AC4185">
            <w:pPr>
              <w:jc w:val="both"/>
              <w:rPr>
                <w:szCs w:val="21"/>
              </w:rPr>
            </w:pPr>
            <w:r>
              <w:rPr>
                <w:rFonts w:hint="eastAsia"/>
                <w:color w:val="000000"/>
                <w:szCs w:val="21"/>
              </w:rPr>
              <w:t>1、不越权干预上市公司的经营管理活动，不侵占上市公司的利益。2、本承诺出具日至本次交易实施完毕前，若中国证监会作出关于填补回报措施及其承诺的其他新的监管规定的，且上述承诺不能满足中国证监会该等规定时，本公司承诺届时将按照中国证监会的最新规定出具补充承诺。3、若本公司违反上述承诺对上市公司或者投资者造成损失的，本公司愿意依法承担对上市公司或者投资者的补偿责任。</w:t>
            </w:r>
          </w:p>
        </w:tc>
        <w:tc>
          <w:tcPr>
            <w:tcW w:w="532" w:type="pct"/>
            <w:vAlign w:val="center"/>
          </w:tcPr>
          <w:p w14:paraId="5F65D5BC" w14:textId="77777777" w:rsidR="00E57DAA" w:rsidRDefault="00AC4185">
            <w:pPr>
              <w:rPr>
                <w:szCs w:val="21"/>
              </w:rPr>
            </w:pPr>
            <w:r>
              <w:rPr>
                <w:rFonts w:hint="eastAsia"/>
                <w:color w:val="000000"/>
                <w:szCs w:val="21"/>
              </w:rPr>
              <w:t>2021-02-08；2022-08-26</w:t>
            </w:r>
          </w:p>
        </w:tc>
        <w:tc>
          <w:tcPr>
            <w:tcW w:w="237" w:type="pct"/>
            <w:shd w:val="clear" w:color="auto" w:fill="auto"/>
            <w:vAlign w:val="center"/>
          </w:tcPr>
          <w:p w14:paraId="60C56782" w14:textId="77777777" w:rsidR="00E57DAA" w:rsidRDefault="00AC4185">
            <w:pPr>
              <w:rPr>
                <w:szCs w:val="21"/>
              </w:rPr>
            </w:pPr>
            <w:r>
              <w:rPr>
                <w:rFonts w:hint="eastAsia"/>
                <w:color w:val="000000"/>
                <w:szCs w:val="21"/>
              </w:rPr>
              <w:t>否</w:t>
            </w:r>
          </w:p>
        </w:tc>
        <w:tc>
          <w:tcPr>
            <w:tcW w:w="390" w:type="pct"/>
            <w:vAlign w:val="center"/>
          </w:tcPr>
          <w:p w14:paraId="1020DABE" w14:textId="77777777" w:rsidR="00E57DAA" w:rsidRDefault="00AC4185">
            <w:pPr>
              <w:rPr>
                <w:szCs w:val="21"/>
              </w:rPr>
            </w:pPr>
            <w:r>
              <w:rPr>
                <w:rFonts w:hint="eastAsia"/>
                <w:szCs w:val="21"/>
              </w:rPr>
              <w:t>长期</w:t>
            </w:r>
          </w:p>
        </w:tc>
        <w:tc>
          <w:tcPr>
            <w:tcW w:w="236" w:type="pct"/>
            <w:shd w:val="clear" w:color="auto" w:fill="auto"/>
            <w:vAlign w:val="center"/>
          </w:tcPr>
          <w:p w14:paraId="57746FCE" w14:textId="77777777" w:rsidR="00E57DAA" w:rsidRDefault="00AC4185">
            <w:pPr>
              <w:rPr>
                <w:szCs w:val="21"/>
              </w:rPr>
            </w:pPr>
            <w:r>
              <w:rPr>
                <w:rFonts w:hint="eastAsia"/>
                <w:color w:val="000000"/>
                <w:szCs w:val="21"/>
              </w:rPr>
              <w:t>是</w:t>
            </w:r>
          </w:p>
        </w:tc>
        <w:tc>
          <w:tcPr>
            <w:tcW w:w="339" w:type="pct"/>
            <w:shd w:val="clear" w:color="auto" w:fill="auto"/>
            <w:vAlign w:val="center"/>
          </w:tcPr>
          <w:p w14:paraId="28F2284D"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6D00CC1D" w14:textId="77777777" w:rsidR="00E57DAA" w:rsidRDefault="00AC4185">
            <w:pPr>
              <w:rPr>
                <w:szCs w:val="21"/>
              </w:rPr>
            </w:pPr>
            <w:r>
              <w:rPr>
                <w:rFonts w:hint="eastAsia"/>
                <w:color w:val="000000"/>
                <w:szCs w:val="21"/>
              </w:rPr>
              <w:t>不适用</w:t>
            </w:r>
          </w:p>
        </w:tc>
      </w:tr>
      <w:tr w:rsidR="00E57DAA" w14:paraId="1657BD56" w14:textId="77777777">
        <w:tc>
          <w:tcPr>
            <w:tcW w:w="386" w:type="pct"/>
            <w:vMerge/>
            <w:shd w:val="clear" w:color="auto" w:fill="auto"/>
            <w:vAlign w:val="center"/>
          </w:tcPr>
          <w:p w14:paraId="637D4B82" w14:textId="77777777" w:rsidR="00E57DAA" w:rsidRDefault="00E57DAA" w:rsidP="00C25422">
            <w:pPr>
              <w:pStyle w:val="92"/>
            </w:pPr>
          </w:p>
        </w:tc>
        <w:tc>
          <w:tcPr>
            <w:tcW w:w="236" w:type="pct"/>
            <w:shd w:val="clear" w:color="auto" w:fill="auto"/>
            <w:vAlign w:val="center"/>
          </w:tcPr>
          <w:p w14:paraId="58C6B0C3" w14:textId="77777777" w:rsidR="00E57DAA" w:rsidRDefault="00AC4185">
            <w:pPr>
              <w:rPr>
                <w:szCs w:val="21"/>
              </w:rPr>
            </w:pPr>
            <w:r>
              <w:rPr>
                <w:rFonts w:hint="eastAsia"/>
                <w:color w:val="000000"/>
                <w:szCs w:val="21"/>
              </w:rPr>
              <w:t>解决同业竞争</w:t>
            </w:r>
          </w:p>
        </w:tc>
        <w:tc>
          <w:tcPr>
            <w:tcW w:w="390" w:type="pct"/>
            <w:shd w:val="clear" w:color="auto" w:fill="auto"/>
            <w:vAlign w:val="center"/>
          </w:tcPr>
          <w:p w14:paraId="59781051" w14:textId="77777777" w:rsidR="00E57DAA" w:rsidRDefault="00AC4185">
            <w:pPr>
              <w:rPr>
                <w:szCs w:val="21"/>
              </w:rPr>
            </w:pPr>
            <w:r>
              <w:rPr>
                <w:rFonts w:hint="eastAsia"/>
                <w:color w:val="000000"/>
                <w:szCs w:val="21"/>
              </w:rPr>
              <w:t>中国建材股份</w:t>
            </w:r>
          </w:p>
        </w:tc>
        <w:tc>
          <w:tcPr>
            <w:tcW w:w="1924" w:type="pct"/>
            <w:shd w:val="clear" w:color="auto" w:fill="auto"/>
            <w:vAlign w:val="center"/>
          </w:tcPr>
          <w:p w14:paraId="6E16C758" w14:textId="77777777" w:rsidR="00E57DAA" w:rsidRDefault="00AC4185">
            <w:pPr>
              <w:jc w:val="both"/>
              <w:rPr>
                <w:szCs w:val="21"/>
              </w:rPr>
            </w:pPr>
            <w:r>
              <w:rPr>
                <w:rFonts w:hint="eastAsia"/>
                <w:color w:val="000000"/>
                <w:szCs w:val="21"/>
              </w:rPr>
              <w:t>中国建材将加大协调力度，督促新疆凯盛调整相应业务，避免与中材国际的同业竞争。水泥工程设计与总承包领域，新疆凯盛将在本次重组完成后4年内，确保完成存量项目的执行工作。</w:t>
            </w:r>
          </w:p>
        </w:tc>
        <w:tc>
          <w:tcPr>
            <w:tcW w:w="532" w:type="pct"/>
            <w:vAlign w:val="center"/>
          </w:tcPr>
          <w:p w14:paraId="7AEA6597" w14:textId="77777777" w:rsidR="00E57DAA" w:rsidRDefault="00AC4185">
            <w:pPr>
              <w:rPr>
                <w:szCs w:val="21"/>
              </w:rPr>
            </w:pPr>
            <w:r>
              <w:rPr>
                <w:rFonts w:hint="eastAsia"/>
                <w:color w:val="000000"/>
                <w:szCs w:val="21"/>
              </w:rPr>
              <w:t>2021/7/31</w:t>
            </w:r>
          </w:p>
        </w:tc>
        <w:tc>
          <w:tcPr>
            <w:tcW w:w="237" w:type="pct"/>
            <w:shd w:val="clear" w:color="auto" w:fill="auto"/>
            <w:vAlign w:val="center"/>
          </w:tcPr>
          <w:p w14:paraId="0D483DFB" w14:textId="77777777" w:rsidR="00E57DAA" w:rsidRDefault="00AC4185">
            <w:pPr>
              <w:rPr>
                <w:szCs w:val="21"/>
              </w:rPr>
            </w:pPr>
            <w:r>
              <w:rPr>
                <w:rFonts w:hint="eastAsia"/>
                <w:color w:val="000000"/>
                <w:szCs w:val="21"/>
              </w:rPr>
              <w:t>是</w:t>
            </w:r>
          </w:p>
        </w:tc>
        <w:tc>
          <w:tcPr>
            <w:tcW w:w="390" w:type="pct"/>
            <w:vAlign w:val="center"/>
          </w:tcPr>
          <w:p w14:paraId="277E7DDB" w14:textId="77777777" w:rsidR="00E57DAA" w:rsidRDefault="00AC4185">
            <w:pPr>
              <w:rPr>
                <w:szCs w:val="21"/>
              </w:rPr>
            </w:pPr>
            <w:r>
              <w:rPr>
                <w:rFonts w:hint="eastAsia"/>
                <w:szCs w:val="21"/>
              </w:rPr>
              <w:t>本次重组完成后4年内</w:t>
            </w:r>
          </w:p>
        </w:tc>
        <w:tc>
          <w:tcPr>
            <w:tcW w:w="236" w:type="pct"/>
            <w:shd w:val="clear" w:color="auto" w:fill="auto"/>
            <w:vAlign w:val="center"/>
          </w:tcPr>
          <w:p w14:paraId="3AAF12D3" w14:textId="77777777" w:rsidR="00E57DAA" w:rsidRDefault="00AC4185">
            <w:pPr>
              <w:rPr>
                <w:szCs w:val="21"/>
              </w:rPr>
            </w:pPr>
            <w:r>
              <w:rPr>
                <w:rFonts w:hint="eastAsia"/>
                <w:color w:val="000000"/>
                <w:szCs w:val="21"/>
              </w:rPr>
              <w:t>是</w:t>
            </w:r>
          </w:p>
        </w:tc>
        <w:tc>
          <w:tcPr>
            <w:tcW w:w="339" w:type="pct"/>
            <w:shd w:val="clear" w:color="auto" w:fill="auto"/>
            <w:vAlign w:val="center"/>
          </w:tcPr>
          <w:p w14:paraId="69720171" w14:textId="77777777" w:rsidR="00E57DAA" w:rsidRDefault="00AC4185">
            <w:pPr>
              <w:rPr>
                <w:szCs w:val="21"/>
              </w:rPr>
            </w:pPr>
            <w:r>
              <w:rPr>
                <w:rFonts w:hint="eastAsia"/>
                <w:color w:val="000000"/>
                <w:szCs w:val="21"/>
              </w:rPr>
              <w:t>不适用</w:t>
            </w:r>
          </w:p>
        </w:tc>
        <w:tc>
          <w:tcPr>
            <w:tcW w:w="330" w:type="pct"/>
            <w:shd w:val="clear" w:color="auto" w:fill="auto"/>
            <w:vAlign w:val="center"/>
          </w:tcPr>
          <w:p w14:paraId="55AE2F41" w14:textId="77777777" w:rsidR="00E57DAA" w:rsidRDefault="00AC4185">
            <w:pPr>
              <w:rPr>
                <w:szCs w:val="21"/>
              </w:rPr>
            </w:pPr>
            <w:r>
              <w:rPr>
                <w:rFonts w:hint="eastAsia"/>
                <w:color w:val="000000"/>
                <w:szCs w:val="21"/>
              </w:rPr>
              <w:t>不适用</w:t>
            </w:r>
          </w:p>
        </w:tc>
      </w:tr>
      <w:tr w:rsidR="00E57DAA" w14:paraId="64796A1F" w14:textId="77777777">
        <w:tc>
          <w:tcPr>
            <w:tcW w:w="386" w:type="pct"/>
            <w:vMerge/>
            <w:shd w:val="clear" w:color="auto" w:fill="auto"/>
            <w:vAlign w:val="center"/>
          </w:tcPr>
          <w:p w14:paraId="3F075539" w14:textId="77777777" w:rsidR="00E57DAA" w:rsidRDefault="00E57DAA" w:rsidP="00C25422">
            <w:pPr>
              <w:pStyle w:val="92"/>
            </w:pPr>
          </w:p>
        </w:tc>
        <w:tc>
          <w:tcPr>
            <w:tcW w:w="236" w:type="pct"/>
            <w:shd w:val="clear" w:color="auto" w:fill="auto"/>
          </w:tcPr>
          <w:p w14:paraId="175D4267" w14:textId="77777777" w:rsidR="00E57DAA" w:rsidRDefault="00AC4185">
            <w:pPr>
              <w:rPr>
                <w:szCs w:val="21"/>
              </w:rPr>
            </w:pPr>
            <w:r>
              <w:rPr>
                <w:rFonts w:hint="eastAsia"/>
                <w:szCs w:val="21"/>
              </w:rPr>
              <w:t>其他</w:t>
            </w:r>
          </w:p>
        </w:tc>
        <w:tc>
          <w:tcPr>
            <w:tcW w:w="390" w:type="pct"/>
            <w:shd w:val="clear" w:color="auto" w:fill="auto"/>
          </w:tcPr>
          <w:p w14:paraId="6FC922F6" w14:textId="77777777" w:rsidR="00E57DAA" w:rsidRDefault="00AC4185">
            <w:pPr>
              <w:rPr>
                <w:szCs w:val="21"/>
              </w:rPr>
            </w:pPr>
            <w:r>
              <w:rPr>
                <w:rFonts w:hint="eastAsia"/>
                <w:szCs w:val="21"/>
              </w:rPr>
              <w:t>中国建材股份</w:t>
            </w:r>
          </w:p>
        </w:tc>
        <w:tc>
          <w:tcPr>
            <w:tcW w:w="1924" w:type="pct"/>
            <w:shd w:val="clear" w:color="auto" w:fill="auto"/>
          </w:tcPr>
          <w:p w14:paraId="124F2464" w14:textId="77777777" w:rsidR="00E57DAA" w:rsidRDefault="00AC4185">
            <w:pPr>
              <w:jc w:val="both"/>
              <w:rPr>
                <w:szCs w:val="21"/>
              </w:rPr>
            </w:pPr>
            <w:r>
              <w:rPr>
                <w:rFonts w:hint="eastAsia"/>
                <w:szCs w:val="21"/>
              </w:rPr>
              <w:t>一、关于中材矿山及其控股子公司境外投资相关事宜的承诺</w:t>
            </w:r>
          </w:p>
          <w:p w14:paraId="0133CEE6" w14:textId="77777777" w:rsidR="00E57DAA" w:rsidRDefault="00AC4185">
            <w:pPr>
              <w:jc w:val="both"/>
              <w:rPr>
                <w:szCs w:val="21"/>
              </w:rPr>
            </w:pPr>
            <w:r>
              <w:rPr>
                <w:rFonts w:hint="eastAsia"/>
                <w:szCs w:val="21"/>
              </w:rPr>
              <w:t>截至本承诺函出具之日，中材矿山部分境外分支机构未办理发改、商务、外汇相关的登记</w:t>
            </w:r>
            <w:r>
              <w:rPr>
                <w:szCs w:val="21"/>
              </w:rPr>
              <w:t>/备案手续。如中材矿山及其控股子公司因境外投资涉及的商务部门、发展与改革部门等备案手续和外汇登记方面等的瑕疵受到处罚的，本公司将就此进行全额补偿并承担相关费用，且不向中材矿山及其控股子公司追偿。</w:t>
            </w:r>
          </w:p>
          <w:p w14:paraId="3B94F45E" w14:textId="77777777" w:rsidR="00E57DAA" w:rsidRDefault="00AC4185">
            <w:pPr>
              <w:jc w:val="both"/>
              <w:rPr>
                <w:szCs w:val="21"/>
              </w:rPr>
            </w:pPr>
            <w:r>
              <w:rPr>
                <w:rFonts w:hint="eastAsia"/>
                <w:szCs w:val="21"/>
              </w:rPr>
              <w:t>二、关于中材矿山及其控股子公司土地使用事宜的承诺</w:t>
            </w:r>
          </w:p>
          <w:p w14:paraId="5C6F976F" w14:textId="77777777" w:rsidR="00E57DAA" w:rsidRDefault="00AC4185">
            <w:pPr>
              <w:jc w:val="both"/>
              <w:rPr>
                <w:szCs w:val="21"/>
              </w:rPr>
            </w:pPr>
            <w:r>
              <w:rPr>
                <w:rFonts w:hint="eastAsia"/>
                <w:szCs w:val="21"/>
              </w:rPr>
              <w:t>中材矿山及其控股子公司因自有</w:t>
            </w:r>
            <w:r>
              <w:rPr>
                <w:szCs w:val="21"/>
              </w:rPr>
              <w:t>/租赁土地权属瑕疵或租赁手续不完备、用地不规范等问题产生任何争议、风险，或受到主管部门的行政处罚，或因此不能正常生产经营而导致标的公司或其控股子公司遭受实际损失，本公司将在中材矿山及其控股子公司依据法定程序确定该等事项造成的实际损失后，向中材矿山及其控股子公司进行等额补偿。</w:t>
            </w:r>
          </w:p>
          <w:p w14:paraId="40116819" w14:textId="77777777" w:rsidR="00E57DAA" w:rsidRDefault="00AC4185">
            <w:pPr>
              <w:jc w:val="both"/>
              <w:rPr>
                <w:szCs w:val="21"/>
              </w:rPr>
            </w:pPr>
            <w:r>
              <w:rPr>
                <w:rFonts w:hint="eastAsia"/>
                <w:szCs w:val="21"/>
              </w:rPr>
              <w:t>三、关于中材矿山及其控股子公司房屋建筑物相关事宜的承诺</w:t>
            </w:r>
          </w:p>
          <w:p w14:paraId="76D35AB3" w14:textId="77777777" w:rsidR="00E57DAA" w:rsidRDefault="00AC4185">
            <w:pPr>
              <w:jc w:val="both"/>
              <w:rPr>
                <w:szCs w:val="21"/>
              </w:rPr>
            </w:pPr>
            <w:r>
              <w:rPr>
                <w:rFonts w:hint="eastAsia"/>
                <w:szCs w:val="21"/>
              </w:rPr>
              <w:lastRenderedPageBreak/>
              <w:t>中材矿山及其控股子公司拥有的房屋建筑物存在尚未办理权属证书、所有权人名称已变更但房屋权属证书尚未更名、租赁土地上建设等问题。如中材矿山及其相关控股子公司因该等房屋建筑物的前述问题被政府主管部门处罚并导致发生费用支出及</w:t>
            </w:r>
            <w:r>
              <w:rPr>
                <w:szCs w:val="21"/>
              </w:rPr>
              <w:t>/或产生资产损失及/或须进行经济赔偿，则本公司将在中材矿山及其全资、控股子公司依据法定程序确定该等事项造成的实际损失后，向其进行等额补偿。但中材矿山及其相关控股子公司根据自身经营情况自主决定拆除房屋建筑物所产生的经济损失不在本公司的赔偿范围之内。</w:t>
            </w:r>
          </w:p>
          <w:p w14:paraId="254B7A24" w14:textId="77777777" w:rsidR="00E57DAA" w:rsidRDefault="00AC4185">
            <w:pPr>
              <w:jc w:val="both"/>
              <w:rPr>
                <w:szCs w:val="21"/>
              </w:rPr>
            </w:pPr>
            <w:r>
              <w:rPr>
                <w:rFonts w:hint="eastAsia"/>
                <w:szCs w:val="21"/>
              </w:rPr>
              <w:t>四、关于中材矿山及其控股子公司矿业权相关事宜的承诺</w:t>
            </w:r>
          </w:p>
          <w:p w14:paraId="5B998D52" w14:textId="77777777" w:rsidR="00E57DAA" w:rsidRDefault="00AC4185">
            <w:pPr>
              <w:jc w:val="both"/>
              <w:rPr>
                <w:szCs w:val="21"/>
              </w:rPr>
            </w:pPr>
            <w:r>
              <w:rPr>
                <w:szCs w:val="21"/>
              </w:rPr>
              <w:t>1.重庆中材参天建材有限公司拥有的重庆参天总厂采场采矿权（采矿权证编号为C5001182009127120046266）在2018年、2019年、2020年1-9月的实际产量超过其采矿权许可证证载生产规模。针对上述实际产量超过证载生产可能遭受的或有风险，本公司承诺，重庆中材参天建材有限公司经国土部门备案的总厂采场石灰岩矿的剩余可采储量不低于评估机构为本次交易出具的评估报告中预测的可采储量。同时，不会要求重庆中材参天建材有限公司为实现业绩承诺而超过证载生产规模开采资源储量，如重庆中材参天建材有限公司因实际产量</w:t>
            </w:r>
            <w:r>
              <w:rPr>
                <w:rFonts w:hint="eastAsia"/>
                <w:szCs w:val="21"/>
              </w:rPr>
              <w:t>存在超过设计</w:t>
            </w:r>
            <w:r>
              <w:rPr>
                <w:szCs w:val="21"/>
              </w:rPr>
              <w:t>/证载生产规模的情况而受到行政部门的处罚，本公司将就此进行全额补偿并承担相关费用；如因上述超过设计/证载生产规模情形给重庆参天造成资产和经营方面的损失，本公司将承担该等损失，且承担损失后不再向重庆参天追偿。</w:t>
            </w:r>
          </w:p>
          <w:p w14:paraId="2CCF5F41" w14:textId="77777777" w:rsidR="00E57DAA" w:rsidRDefault="00AC4185">
            <w:pPr>
              <w:jc w:val="both"/>
              <w:rPr>
                <w:szCs w:val="21"/>
              </w:rPr>
            </w:pPr>
            <w:r>
              <w:rPr>
                <w:szCs w:val="21"/>
              </w:rPr>
              <w:t>2.中材矿山及其控股子公司拥有的采矿权处于停产或未正常开采状态。本公司承诺，若纳入本次重组范围的采矿权因本次重组完成之前的用地、超采、停产或未正常开采等事项未来被政府主管部门收回，对于相关公司就</w:t>
            </w:r>
            <w:r>
              <w:rPr>
                <w:szCs w:val="21"/>
              </w:rPr>
              <w:lastRenderedPageBreak/>
              <w:t>采矿权回收获得的补偿款与本次重组作价之间的差额，由本公司足额补偿。</w:t>
            </w:r>
          </w:p>
        </w:tc>
        <w:tc>
          <w:tcPr>
            <w:tcW w:w="532" w:type="pct"/>
          </w:tcPr>
          <w:p w14:paraId="2A85F9A3" w14:textId="77777777" w:rsidR="00E57DAA" w:rsidRDefault="00AC4185">
            <w:pPr>
              <w:rPr>
                <w:szCs w:val="21"/>
              </w:rPr>
            </w:pPr>
            <w:r>
              <w:rPr>
                <w:szCs w:val="21"/>
              </w:rPr>
              <w:lastRenderedPageBreak/>
              <w:t>2021/2/8</w:t>
            </w:r>
          </w:p>
        </w:tc>
        <w:tc>
          <w:tcPr>
            <w:tcW w:w="237" w:type="pct"/>
            <w:shd w:val="clear" w:color="auto" w:fill="auto"/>
          </w:tcPr>
          <w:p w14:paraId="70C69E74" w14:textId="77777777" w:rsidR="00E57DAA" w:rsidRDefault="00AC4185">
            <w:pPr>
              <w:rPr>
                <w:szCs w:val="21"/>
              </w:rPr>
            </w:pPr>
            <w:r>
              <w:rPr>
                <w:rFonts w:hint="eastAsia"/>
                <w:szCs w:val="21"/>
              </w:rPr>
              <w:t>否</w:t>
            </w:r>
          </w:p>
        </w:tc>
        <w:tc>
          <w:tcPr>
            <w:tcW w:w="390" w:type="pct"/>
          </w:tcPr>
          <w:p w14:paraId="0EB9C9D8" w14:textId="77777777" w:rsidR="00E57DAA" w:rsidRDefault="00AC4185">
            <w:pPr>
              <w:rPr>
                <w:szCs w:val="21"/>
              </w:rPr>
            </w:pPr>
            <w:r>
              <w:rPr>
                <w:rFonts w:hint="eastAsia"/>
                <w:szCs w:val="21"/>
              </w:rPr>
              <w:t>长期</w:t>
            </w:r>
          </w:p>
        </w:tc>
        <w:tc>
          <w:tcPr>
            <w:tcW w:w="236" w:type="pct"/>
            <w:shd w:val="clear" w:color="auto" w:fill="auto"/>
          </w:tcPr>
          <w:p w14:paraId="08812722" w14:textId="77777777" w:rsidR="00E57DAA" w:rsidRDefault="00AC4185">
            <w:pPr>
              <w:rPr>
                <w:szCs w:val="21"/>
              </w:rPr>
            </w:pPr>
            <w:r>
              <w:rPr>
                <w:szCs w:val="21"/>
              </w:rPr>
              <w:t>是</w:t>
            </w:r>
          </w:p>
        </w:tc>
        <w:tc>
          <w:tcPr>
            <w:tcW w:w="339" w:type="pct"/>
            <w:shd w:val="clear" w:color="auto" w:fill="auto"/>
          </w:tcPr>
          <w:p w14:paraId="5DC6F7A6" w14:textId="77777777" w:rsidR="00E57DAA" w:rsidRDefault="00AC4185">
            <w:pPr>
              <w:rPr>
                <w:szCs w:val="21"/>
              </w:rPr>
            </w:pPr>
            <w:r>
              <w:rPr>
                <w:rFonts w:hint="eastAsia"/>
                <w:szCs w:val="21"/>
              </w:rPr>
              <w:t>不适用</w:t>
            </w:r>
          </w:p>
        </w:tc>
        <w:tc>
          <w:tcPr>
            <w:tcW w:w="330" w:type="pct"/>
            <w:shd w:val="clear" w:color="auto" w:fill="auto"/>
          </w:tcPr>
          <w:p w14:paraId="35179344" w14:textId="77777777" w:rsidR="00E57DAA" w:rsidRDefault="00AC4185">
            <w:pPr>
              <w:rPr>
                <w:szCs w:val="21"/>
              </w:rPr>
            </w:pPr>
            <w:r>
              <w:rPr>
                <w:rFonts w:hint="eastAsia"/>
                <w:szCs w:val="21"/>
              </w:rPr>
              <w:t>不适用</w:t>
            </w:r>
          </w:p>
        </w:tc>
      </w:tr>
      <w:tr w:rsidR="00E57DAA" w14:paraId="716C1C0C" w14:textId="77777777">
        <w:tc>
          <w:tcPr>
            <w:tcW w:w="386" w:type="pct"/>
            <w:vMerge/>
            <w:shd w:val="clear" w:color="auto" w:fill="auto"/>
            <w:vAlign w:val="center"/>
          </w:tcPr>
          <w:p w14:paraId="20E91FF9" w14:textId="77777777" w:rsidR="00E57DAA" w:rsidRDefault="00E57DAA" w:rsidP="00C25422">
            <w:pPr>
              <w:pStyle w:val="92"/>
            </w:pPr>
          </w:p>
        </w:tc>
        <w:tc>
          <w:tcPr>
            <w:tcW w:w="236" w:type="pct"/>
            <w:shd w:val="clear" w:color="auto" w:fill="auto"/>
          </w:tcPr>
          <w:p w14:paraId="2A7C5ED6" w14:textId="77777777" w:rsidR="00E57DAA" w:rsidRDefault="00AC4185">
            <w:pPr>
              <w:jc w:val="both"/>
              <w:rPr>
                <w:szCs w:val="21"/>
              </w:rPr>
            </w:pPr>
            <w:r>
              <w:rPr>
                <w:rFonts w:hint="eastAsia"/>
                <w:color w:val="000000"/>
                <w:szCs w:val="21"/>
              </w:rPr>
              <w:t>其他</w:t>
            </w:r>
          </w:p>
        </w:tc>
        <w:tc>
          <w:tcPr>
            <w:tcW w:w="390" w:type="pct"/>
            <w:shd w:val="clear" w:color="auto" w:fill="auto"/>
          </w:tcPr>
          <w:p w14:paraId="004F073F" w14:textId="77777777" w:rsidR="00E57DAA" w:rsidRDefault="00AC4185">
            <w:pPr>
              <w:jc w:val="both"/>
              <w:rPr>
                <w:szCs w:val="21"/>
              </w:rPr>
            </w:pPr>
            <w:r>
              <w:rPr>
                <w:rFonts w:hint="eastAsia"/>
                <w:color w:val="000000"/>
                <w:szCs w:val="21"/>
              </w:rPr>
              <w:t>中国建材股份、建材国际工程、建材研究总院</w:t>
            </w:r>
          </w:p>
        </w:tc>
        <w:tc>
          <w:tcPr>
            <w:tcW w:w="1924" w:type="pct"/>
            <w:shd w:val="clear" w:color="auto" w:fill="auto"/>
          </w:tcPr>
          <w:p w14:paraId="72D5A4A5" w14:textId="77777777" w:rsidR="00E57DAA" w:rsidRDefault="00AC4185">
            <w:pPr>
              <w:jc w:val="both"/>
              <w:rPr>
                <w:szCs w:val="21"/>
              </w:rPr>
            </w:pPr>
            <w:r>
              <w:rPr>
                <w:rFonts w:hint="eastAsia"/>
                <w:color w:val="000000"/>
                <w:szCs w:val="21"/>
              </w:rPr>
              <w:t>截至本承诺函出具之日，本公司不存在质押（含设定其他第三方权利或限制）在本次交易中取得的上市公司股份的计划与安排、或承诺对该等股份进行质押或以其他方式在该等股份之上设置权利限制或负担的情形。本公司承诺，本公司通过本次交易获得的对价股份优先用于履行本次交易项下的业绩补偿承诺，不通过质押股份等任何方式逃废补偿义务。本公司承诺，自本次交易完成之日起至本次交易的业绩承诺补偿完成前，对于在本次交易中获得的上市公司股份不设定质押或设定其他第三方权利或限制。</w:t>
            </w:r>
          </w:p>
        </w:tc>
        <w:tc>
          <w:tcPr>
            <w:tcW w:w="532" w:type="pct"/>
          </w:tcPr>
          <w:p w14:paraId="091A46F5" w14:textId="77777777" w:rsidR="00E57DAA" w:rsidRDefault="00AC4185">
            <w:pPr>
              <w:jc w:val="both"/>
              <w:rPr>
                <w:szCs w:val="21"/>
              </w:rPr>
            </w:pPr>
            <w:r>
              <w:rPr>
                <w:rFonts w:hint="eastAsia"/>
                <w:color w:val="000000"/>
                <w:szCs w:val="21"/>
              </w:rPr>
              <w:t>2021/7/30</w:t>
            </w:r>
          </w:p>
        </w:tc>
        <w:tc>
          <w:tcPr>
            <w:tcW w:w="237" w:type="pct"/>
            <w:shd w:val="clear" w:color="auto" w:fill="auto"/>
          </w:tcPr>
          <w:p w14:paraId="5020CDFD" w14:textId="77777777" w:rsidR="00E57DAA" w:rsidRDefault="00AC4185">
            <w:pPr>
              <w:jc w:val="both"/>
              <w:rPr>
                <w:szCs w:val="21"/>
              </w:rPr>
            </w:pPr>
            <w:r>
              <w:rPr>
                <w:rFonts w:hint="eastAsia"/>
                <w:color w:val="000000"/>
                <w:szCs w:val="21"/>
              </w:rPr>
              <w:t>否</w:t>
            </w:r>
          </w:p>
        </w:tc>
        <w:tc>
          <w:tcPr>
            <w:tcW w:w="390" w:type="pct"/>
          </w:tcPr>
          <w:p w14:paraId="158B4A77" w14:textId="77777777" w:rsidR="00E57DAA" w:rsidRDefault="00AC4185">
            <w:pPr>
              <w:jc w:val="both"/>
              <w:rPr>
                <w:szCs w:val="21"/>
              </w:rPr>
            </w:pPr>
            <w:r>
              <w:rPr>
                <w:rFonts w:hint="eastAsia"/>
                <w:szCs w:val="21"/>
              </w:rPr>
              <w:t>本次交易的业绩承诺补偿完成前</w:t>
            </w:r>
          </w:p>
        </w:tc>
        <w:tc>
          <w:tcPr>
            <w:tcW w:w="236" w:type="pct"/>
            <w:shd w:val="clear" w:color="auto" w:fill="auto"/>
          </w:tcPr>
          <w:p w14:paraId="1BB46BC2" w14:textId="77777777" w:rsidR="00E57DAA" w:rsidRDefault="00AC4185">
            <w:pPr>
              <w:jc w:val="both"/>
              <w:rPr>
                <w:szCs w:val="21"/>
              </w:rPr>
            </w:pPr>
            <w:r>
              <w:rPr>
                <w:rFonts w:hint="eastAsia"/>
                <w:color w:val="000000"/>
                <w:szCs w:val="21"/>
              </w:rPr>
              <w:t>是</w:t>
            </w:r>
          </w:p>
        </w:tc>
        <w:tc>
          <w:tcPr>
            <w:tcW w:w="339" w:type="pct"/>
            <w:shd w:val="clear" w:color="auto" w:fill="auto"/>
          </w:tcPr>
          <w:p w14:paraId="7396B19D" w14:textId="77777777" w:rsidR="00E57DAA" w:rsidRDefault="00AC4185">
            <w:pPr>
              <w:jc w:val="both"/>
              <w:rPr>
                <w:szCs w:val="21"/>
              </w:rPr>
            </w:pPr>
            <w:r>
              <w:rPr>
                <w:rFonts w:hint="eastAsia"/>
                <w:color w:val="000000"/>
                <w:szCs w:val="21"/>
              </w:rPr>
              <w:t>不适用</w:t>
            </w:r>
          </w:p>
        </w:tc>
        <w:tc>
          <w:tcPr>
            <w:tcW w:w="330" w:type="pct"/>
            <w:shd w:val="clear" w:color="auto" w:fill="auto"/>
          </w:tcPr>
          <w:p w14:paraId="7728C074" w14:textId="77777777" w:rsidR="00E57DAA" w:rsidRDefault="00AC4185">
            <w:pPr>
              <w:jc w:val="both"/>
              <w:rPr>
                <w:szCs w:val="21"/>
              </w:rPr>
            </w:pPr>
            <w:r>
              <w:rPr>
                <w:rFonts w:hint="eastAsia"/>
                <w:color w:val="000000"/>
                <w:szCs w:val="21"/>
              </w:rPr>
              <w:t>不适用</w:t>
            </w:r>
          </w:p>
        </w:tc>
      </w:tr>
      <w:tr w:rsidR="00E57DAA" w14:paraId="079590BF" w14:textId="77777777">
        <w:tc>
          <w:tcPr>
            <w:tcW w:w="386" w:type="pct"/>
            <w:vMerge/>
            <w:shd w:val="clear" w:color="auto" w:fill="auto"/>
            <w:vAlign w:val="center"/>
          </w:tcPr>
          <w:p w14:paraId="5B7CE694" w14:textId="77777777" w:rsidR="00E57DAA" w:rsidRDefault="00E57DAA" w:rsidP="00C25422">
            <w:pPr>
              <w:pStyle w:val="92"/>
            </w:pPr>
          </w:p>
        </w:tc>
        <w:tc>
          <w:tcPr>
            <w:tcW w:w="236" w:type="pct"/>
            <w:shd w:val="clear" w:color="auto" w:fill="auto"/>
          </w:tcPr>
          <w:p w14:paraId="61A69D19" w14:textId="77777777" w:rsidR="00E57DAA" w:rsidRDefault="00AC4185">
            <w:pPr>
              <w:rPr>
                <w:szCs w:val="21"/>
              </w:rPr>
            </w:pPr>
            <w:r>
              <w:rPr>
                <w:rFonts w:hint="eastAsia"/>
                <w:szCs w:val="21"/>
              </w:rPr>
              <w:t>股份限售</w:t>
            </w:r>
          </w:p>
        </w:tc>
        <w:tc>
          <w:tcPr>
            <w:tcW w:w="390" w:type="pct"/>
            <w:shd w:val="clear" w:color="auto" w:fill="auto"/>
          </w:tcPr>
          <w:p w14:paraId="4FE5A00C" w14:textId="77777777" w:rsidR="00E57DAA" w:rsidRDefault="00AC4185">
            <w:pPr>
              <w:rPr>
                <w:szCs w:val="21"/>
              </w:rPr>
            </w:pPr>
            <w:r>
              <w:rPr>
                <w:rFonts w:hint="eastAsia"/>
                <w:szCs w:val="21"/>
              </w:rPr>
              <w:t>中国建材股份</w:t>
            </w:r>
          </w:p>
        </w:tc>
        <w:tc>
          <w:tcPr>
            <w:tcW w:w="1924" w:type="pct"/>
            <w:shd w:val="clear" w:color="auto" w:fill="auto"/>
          </w:tcPr>
          <w:p w14:paraId="3739CFA4" w14:textId="77777777" w:rsidR="00E57DAA" w:rsidRDefault="00AC4185">
            <w:pPr>
              <w:jc w:val="both"/>
              <w:rPr>
                <w:szCs w:val="21"/>
              </w:rPr>
            </w:pPr>
            <w:r>
              <w:rPr>
                <w:rFonts w:hint="eastAsia"/>
                <w:szCs w:val="21"/>
              </w:rPr>
              <w:t>本公司在本次交易前已经持有的上市公司股份，自上市公司本次交易新增股份发行结束之日起</w:t>
            </w:r>
            <w:r>
              <w:rPr>
                <w:szCs w:val="21"/>
              </w:rPr>
              <w:t>18个月内不得转让。但是，在适用法律许可前提下的转让不受此限。</w:t>
            </w:r>
          </w:p>
          <w:p w14:paraId="3FDF93E8" w14:textId="77777777" w:rsidR="00E57DAA" w:rsidRDefault="00AC4185">
            <w:pPr>
              <w:jc w:val="both"/>
              <w:rPr>
                <w:szCs w:val="21"/>
              </w:rPr>
            </w:pPr>
            <w:r>
              <w:rPr>
                <w:rFonts w:hint="eastAsia"/>
                <w:szCs w:val="21"/>
              </w:rPr>
              <w:t>本公司在本次交易中认购的上市公司股份，自本次交易新增股份发行结束之日起</w:t>
            </w:r>
            <w:r>
              <w:rPr>
                <w:szCs w:val="21"/>
              </w:rPr>
              <w:t>36个月内不得转让；本次交易完成后6个月内如上市公司股票连续20个交易日的收盘价低于本次交易的股份发行价格，或者本次交易完成后6个月期末收盘价低于本次交易的股份发行价格，则本公司认购的股份将在上述限售期基础上自动延长6个月。</w:t>
            </w:r>
          </w:p>
          <w:p w14:paraId="7F39F023" w14:textId="77777777" w:rsidR="00E57DAA" w:rsidRDefault="00AC4185">
            <w:pPr>
              <w:jc w:val="both"/>
              <w:rPr>
                <w:szCs w:val="21"/>
              </w:rPr>
            </w:pPr>
            <w:r>
              <w:rPr>
                <w:rFonts w:hint="eastAsia"/>
                <w:szCs w:val="21"/>
              </w:rPr>
              <w:t>本次交易结束后，本公司基于在本次交易前已经持有的上市公司股份、因本次交易取得的股份而享有的上市公司送红股、转增股本等股份，亦应遵守上述锁定期的约定。锁定期届满后，本公司转让和交易上市公司股份将依据届时有效的法律法规和上海证券交易所的规则办理。</w:t>
            </w:r>
          </w:p>
          <w:p w14:paraId="6CBE6C24" w14:textId="77777777" w:rsidR="00E57DAA" w:rsidRDefault="00AC4185">
            <w:pPr>
              <w:jc w:val="both"/>
              <w:rPr>
                <w:szCs w:val="21"/>
              </w:rPr>
            </w:pPr>
            <w:r>
              <w:rPr>
                <w:rFonts w:hint="eastAsia"/>
                <w:szCs w:val="21"/>
              </w:rPr>
              <w:t>若本公司所认购股份的锁定期与证券监管机构的最新监管意见不相符，本公司将根据证券监管机构的监管意见进行相应调整。</w:t>
            </w:r>
          </w:p>
        </w:tc>
        <w:tc>
          <w:tcPr>
            <w:tcW w:w="532" w:type="pct"/>
          </w:tcPr>
          <w:p w14:paraId="6047A3FA" w14:textId="77777777" w:rsidR="00E57DAA" w:rsidRDefault="00AC4185">
            <w:pPr>
              <w:rPr>
                <w:szCs w:val="21"/>
              </w:rPr>
            </w:pPr>
            <w:r>
              <w:rPr>
                <w:szCs w:val="21"/>
              </w:rPr>
              <w:t>2020/10/30</w:t>
            </w:r>
          </w:p>
        </w:tc>
        <w:tc>
          <w:tcPr>
            <w:tcW w:w="237" w:type="pct"/>
            <w:shd w:val="clear" w:color="auto" w:fill="auto"/>
          </w:tcPr>
          <w:p w14:paraId="376A9440" w14:textId="77777777" w:rsidR="00E57DAA" w:rsidRDefault="00AC4185">
            <w:pPr>
              <w:rPr>
                <w:szCs w:val="21"/>
              </w:rPr>
            </w:pPr>
            <w:r>
              <w:rPr>
                <w:rFonts w:hint="eastAsia"/>
                <w:szCs w:val="21"/>
              </w:rPr>
              <w:t>是</w:t>
            </w:r>
          </w:p>
        </w:tc>
        <w:tc>
          <w:tcPr>
            <w:tcW w:w="390" w:type="pct"/>
          </w:tcPr>
          <w:p w14:paraId="0EC61A58" w14:textId="77777777" w:rsidR="00E57DAA" w:rsidRDefault="00AC4185">
            <w:pPr>
              <w:rPr>
                <w:szCs w:val="21"/>
              </w:rPr>
            </w:pPr>
            <w:r>
              <w:rPr>
                <w:rFonts w:hint="eastAsia"/>
                <w:szCs w:val="21"/>
              </w:rPr>
              <w:t>本次交易新增股份发行结束之日起</w:t>
            </w:r>
            <w:r>
              <w:rPr>
                <w:szCs w:val="21"/>
              </w:rPr>
              <w:t>36个月内</w:t>
            </w:r>
          </w:p>
        </w:tc>
        <w:tc>
          <w:tcPr>
            <w:tcW w:w="236" w:type="pct"/>
            <w:shd w:val="clear" w:color="auto" w:fill="auto"/>
          </w:tcPr>
          <w:p w14:paraId="60ED5332" w14:textId="77777777" w:rsidR="00E57DAA" w:rsidRDefault="00AC4185">
            <w:pPr>
              <w:jc w:val="both"/>
              <w:rPr>
                <w:szCs w:val="21"/>
              </w:rPr>
            </w:pPr>
            <w:r>
              <w:t>是</w:t>
            </w:r>
          </w:p>
        </w:tc>
        <w:tc>
          <w:tcPr>
            <w:tcW w:w="339" w:type="pct"/>
            <w:shd w:val="clear" w:color="auto" w:fill="auto"/>
          </w:tcPr>
          <w:p w14:paraId="0B9D8BF8" w14:textId="77777777" w:rsidR="00E57DAA" w:rsidRDefault="00AC4185">
            <w:pPr>
              <w:jc w:val="both"/>
              <w:rPr>
                <w:szCs w:val="21"/>
              </w:rPr>
            </w:pPr>
            <w:r>
              <w:t>不适用</w:t>
            </w:r>
          </w:p>
        </w:tc>
        <w:tc>
          <w:tcPr>
            <w:tcW w:w="330" w:type="pct"/>
            <w:shd w:val="clear" w:color="auto" w:fill="auto"/>
          </w:tcPr>
          <w:p w14:paraId="360F64AA" w14:textId="77777777" w:rsidR="00E57DAA" w:rsidRDefault="00AC4185">
            <w:pPr>
              <w:jc w:val="both"/>
              <w:rPr>
                <w:szCs w:val="21"/>
              </w:rPr>
            </w:pPr>
            <w:r>
              <w:t>不适用</w:t>
            </w:r>
          </w:p>
        </w:tc>
      </w:tr>
      <w:tr w:rsidR="00E57DAA" w14:paraId="1DF63EE9" w14:textId="77777777">
        <w:tc>
          <w:tcPr>
            <w:tcW w:w="386" w:type="pct"/>
            <w:vMerge/>
            <w:shd w:val="clear" w:color="auto" w:fill="auto"/>
            <w:vAlign w:val="center"/>
          </w:tcPr>
          <w:p w14:paraId="0FDEB1B4" w14:textId="77777777" w:rsidR="00E57DAA" w:rsidRDefault="00E57DAA" w:rsidP="00C25422">
            <w:pPr>
              <w:pStyle w:val="92"/>
            </w:pPr>
          </w:p>
        </w:tc>
        <w:tc>
          <w:tcPr>
            <w:tcW w:w="236" w:type="pct"/>
            <w:shd w:val="clear" w:color="auto" w:fill="auto"/>
          </w:tcPr>
          <w:p w14:paraId="6D53F059" w14:textId="77777777" w:rsidR="00E57DAA" w:rsidRDefault="00AC4185">
            <w:pPr>
              <w:rPr>
                <w:szCs w:val="21"/>
              </w:rPr>
            </w:pPr>
            <w:r>
              <w:rPr>
                <w:rFonts w:hint="eastAsia"/>
                <w:szCs w:val="21"/>
              </w:rPr>
              <w:t>股份限售</w:t>
            </w:r>
          </w:p>
        </w:tc>
        <w:tc>
          <w:tcPr>
            <w:tcW w:w="390" w:type="pct"/>
            <w:shd w:val="clear" w:color="auto" w:fill="auto"/>
          </w:tcPr>
          <w:p w14:paraId="48387BBF" w14:textId="77777777" w:rsidR="00E57DAA" w:rsidRDefault="00AC4185">
            <w:pPr>
              <w:rPr>
                <w:szCs w:val="21"/>
              </w:rPr>
            </w:pPr>
            <w:r>
              <w:rPr>
                <w:rFonts w:hint="eastAsia"/>
                <w:szCs w:val="21"/>
              </w:rPr>
              <w:t>建材国际工程、建材研究总院</w:t>
            </w:r>
          </w:p>
        </w:tc>
        <w:tc>
          <w:tcPr>
            <w:tcW w:w="1924" w:type="pct"/>
            <w:shd w:val="clear" w:color="auto" w:fill="auto"/>
          </w:tcPr>
          <w:p w14:paraId="39F01A24" w14:textId="77777777" w:rsidR="00E57DAA" w:rsidRDefault="00AC4185">
            <w:pPr>
              <w:jc w:val="both"/>
              <w:rPr>
                <w:szCs w:val="21"/>
              </w:rPr>
            </w:pPr>
            <w:r>
              <w:rPr>
                <w:rFonts w:hint="eastAsia"/>
                <w:szCs w:val="21"/>
              </w:rPr>
              <w:t>本公司在本次交易前未持有上市公司股份。本公司在本次交易中认购的上市公司股份，自本次交易新增股份发行结束之日起</w:t>
            </w:r>
            <w:r>
              <w:rPr>
                <w:szCs w:val="21"/>
              </w:rPr>
              <w:t>36个月内不得转让；本次交易完成后6个月内如上市公司股票连续20个交易日的收盘价低于本次交易的股份发行价格，或者本次交易完成后6个月期末收盘价低于本次交易的股份发行价格，则本公司认购的股份将在上述限售期基础上自动延长6个月。</w:t>
            </w:r>
          </w:p>
          <w:p w14:paraId="4B27A30E" w14:textId="77777777" w:rsidR="00E57DAA" w:rsidRDefault="00AC4185">
            <w:pPr>
              <w:jc w:val="both"/>
              <w:rPr>
                <w:szCs w:val="21"/>
              </w:rPr>
            </w:pPr>
            <w:r>
              <w:rPr>
                <w:rFonts w:hint="eastAsia"/>
                <w:szCs w:val="21"/>
              </w:rPr>
              <w:t>本次交易结束后，本公司因本次交易取得的股份而享有的上市公司送红股、转增股本等股份，亦应遵守上述锁定期的约定。锁定期届满后，本公司转让和交易上市公司股份将依据届时有效的法律法规和上海证券交易所的规则办理。若本公司所认购股份的锁定期与证券监管机构的最新监管意见不相符，本公司将根据证券监管机构的监管意见进行相应调整。</w:t>
            </w:r>
          </w:p>
        </w:tc>
        <w:tc>
          <w:tcPr>
            <w:tcW w:w="532" w:type="pct"/>
          </w:tcPr>
          <w:p w14:paraId="4AA730F8" w14:textId="77777777" w:rsidR="00E57DAA" w:rsidRDefault="00AC4185">
            <w:pPr>
              <w:jc w:val="both"/>
              <w:rPr>
                <w:szCs w:val="21"/>
              </w:rPr>
            </w:pPr>
            <w:r>
              <w:t>2020/10/30</w:t>
            </w:r>
          </w:p>
        </w:tc>
        <w:tc>
          <w:tcPr>
            <w:tcW w:w="237" w:type="pct"/>
            <w:shd w:val="clear" w:color="auto" w:fill="auto"/>
          </w:tcPr>
          <w:p w14:paraId="0B0E6E9E" w14:textId="77777777" w:rsidR="00E57DAA" w:rsidRDefault="00AC4185">
            <w:pPr>
              <w:jc w:val="both"/>
              <w:rPr>
                <w:szCs w:val="21"/>
              </w:rPr>
            </w:pPr>
            <w:r>
              <w:t>是</w:t>
            </w:r>
          </w:p>
        </w:tc>
        <w:tc>
          <w:tcPr>
            <w:tcW w:w="390" w:type="pct"/>
          </w:tcPr>
          <w:p w14:paraId="43B652AE" w14:textId="77777777" w:rsidR="00E57DAA" w:rsidRDefault="00AC4185">
            <w:pPr>
              <w:jc w:val="both"/>
              <w:rPr>
                <w:szCs w:val="21"/>
              </w:rPr>
            </w:pPr>
            <w:r>
              <w:t>本次交易新增股份发行结束之日起36个月内</w:t>
            </w:r>
          </w:p>
        </w:tc>
        <w:tc>
          <w:tcPr>
            <w:tcW w:w="236" w:type="pct"/>
            <w:shd w:val="clear" w:color="auto" w:fill="auto"/>
          </w:tcPr>
          <w:p w14:paraId="448EA84A" w14:textId="77777777" w:rsidR="00E57DAA" w:rsidRDefault="00AC4185">
            <w:pPr>
              <w:jc w:val="both"/>
              <w:rPr>
                <w:szCs w:val="21"/>
              </w:rPr>
            </w:pPr>
            <w:r>
              <w:t>是</w:t>
            </w:r>
          </w:p>
        </w:tc>
        <w:tc>
          <w:tcPr>
            <w:tcW w:w="339" w:type="pct"/>
            <w:shd w:val="clear" w:color="auto" w:fill="auto"/>
          </w:tcPr>
          <w:p w14:paraId="2FDAF8DF" w14:textId="77777777" w:rsidR="00E57DAA" w:rsidRDefault="00AC4185">
            <w:pPr>
              <w:jc w:val="both"/>
              <w:rPr>
                <w:szCs w:val="21"/>
              </w:rPr>
            </w:pPr>
            <w:r>
              <w:t>不适用</w:t>
            </w:r>
          </w:p>
        </w:tc>
        <w:tc>
          <w:tcPr>
            <w:tcW w:w="330" w:type="pct"/>
            <w:shd w:val="clear" w:color="auto" w:fill="auto"/>
          </w:tcPr>
          <w:p w14:paraId="7E8A629E" w14:textId="77777777" w:rsidR="00E57DAA" w:rsidRDefault="00AC4185">
            <w:pPr>
              <w:jc w:val="both"/>
              <w:rPr>
                <w:szCs w:val="21"/>
              </w:rPr>
            </w:pPr>
            <w:r>
              <w:t>不适用</w:t>
            </w:r>
          </w:p>
        </w:tc>
      </w:tr>
      <w:tr w:rsidR="00E57DAA" w14:paraId="3460AD49" w14:textId="77777777">
        <w:tc>
          <w:tcPr>
            <w:tcW w:w="386" w:type="pct"/>
            <w:vMerge/>
            <w:shd w:val="clear" w:color="auto" w:fill="auto"/>
            <w:vAlign w:val="center"/>
          </w:tcPr>
          <w:p w14:paraId="0AD83FB3" w14:textId="77777777" w:rsidR="00E57DAA" w:rsidRDefault="00E57DAA" w:rsidP="00C25422">
            <w:pPr>
              <w:pStyle w:val="92"/>
            </w:pPr>
          </w:p>
        </w:tc>
        <w:tc>
          <w:tcPr>
            <w:tcW w:w="236" w:type="pct"/>
            <w:shd w:val="clear" w:color="auto" w:fill="auto"/>
          </w:tcPr>
          <w:p w14:paraId="25105B58" w14:textId="77777777" w:rsidR="00E57DAA" w:rsidRDefault="00AC4185">
            <w:pPr>
              <w:rPr>
                <w:szCs w:val="21"/>
              </w:rPr>
            </w:pPr>
            <w:r>
              <w:rPr>
                <w:rFonts w:hint="eastAsia"/>
                <w:szCs w:val="21"/>
              </w:rPr>
              <w:t>盈利预测及补偿</w:t>
            </w:r>
          </w:p>
        </w:tc>
        <w:tc>
          <w:tcPr>
            <w:tcW w:w="390" w:type="pct"/>
            <w:shd w:val="clear" w:color="auto" w:fill="auto"/>
          </w:tcPr>
          <w:p w14:paraId="7F8D03F9" w14:textId="77777777" w:rsidR="00E57DAA" w:rsidRDefault="00AC4185">
            <w:pPr>
              <w:rPr>
                <w:szCs w:val="21"/>
              </w:rPr>
            </w:pPr>
            <w:r>
              <w:rPr>
                <w:rFonts w:hint="eastAsia"/>
                <w:szCs w:val="21"/>
              </w:rPr>
              <w:t>中国建材股份、建材国际工程、建材研究总院、冯建华等</w:t>
            </w:r>
            <w:r>
              <w:rPr>
                <w:szCs w:val="21"/>
              </w:rPr>
              <w:t>49名自然人</w:t>
            </w:r>
          </w:p>
        </w:tc>
        <w:tc>
          <w:tcPr>
            <w:tcW w:w="1924" w:type="pct"/>
            <w:shd w:val="clear" w:color="auto" w:fill="auto"/>
          </w:tcPr>
          <w:p w14:paraId="5FDE72D2" w14:textId="77777777" w:rsidR="00E57DAA" w:rsidRDefault="00AC4185">
            <w:pPr>
              <w:jc w:val="both"/>
              <w:rPr>
                <w:szCs w:val="21"/>
              </w:rPr>
            </w:pPr>
            <w:r>
              <w:rPr>
                <w:rFonts w:hint="eastAsia"/>
                <w:szCs w:val="21"/>
              </w:rPr>
              <w:t>建材国际工程及建材研究总院承诺：如本次交易于</w:t>
            </w:r>
            <w:r>
              <w:rPr>
                <w:szCs w:val="21"/>
              </w:rPr>
              <w:t>2021年实施完毕，北京凯盛在2021年、2022年、2023年各会计年度应实现的承诺净利润数分别不低于5,197.56万元、5,972.98万元、6,697.52万元。</w:t>
            </w:r>
          </w:p>
          <w:p w14:paraId="73E7DCCB" w14:textId="77777777" w:rsidR="00E57DAA" w:rsidRDefault="00AC4185">
            <w:pPr>
              <w:jc w:val="both"/>
              <w:rPr>
                <w:szCs w:val="21"/>
              </w:rPr>
            </w:pPr>
            <w:r>
              <w:rPr>
                <w:rFonts w:hint="eastAsia"/>
                <w:szCs w:val="21"/>
              </w:rPr>
              <w:t>建材国际工程及冯建华等</w:t>
            </w:r>
            <w:r>
              <w:rPr>
                <w:szCs w:val="21"/>
              </w:rPr>
              <w:t>49名自然人承诺：南京凯盛在2021年、2022年、2023年各会计年度应实现的承诺净利润数分别不低于14,745.05万元、15,455.45万元、13,636.43万元。</w:t>
            </w:r>
          </w:p>
          <w:p w14:paraId="210E5747" w14:textId="77777777" w:rsidR="00E57DAA" w:rsidRDefault="00AC4185">
            <w:pPr>
              <w:jc w:val="both"/>
              <w:rPr>
                <w:szCs w:val="21"/>
              </w:rPr>
            </w:pPr>
            <w:r>
              <w:rPr>
                <w:rFonts w:hint="eastAsia"/>
                <w:szCs w:val="21"/>
              </w:rPr>
              <w:t>中国建材股份承诺：如本次交易于</w:t>
            </w:r>
            <w:r>
              <w:rPr>
                <w:szCs w:val="21"/>
              </w:rPr>
              <w:t>2021年实施完毕，中材西安2021年、2022年、2023年各会计年度应实现的承诺净利润合计数分别不低于5,303.89万元、4,974.56万元、5,005.60万元，南京矿山母公司和重庆参天2021年、2022年、2023年各会计年度应实现的承诺净利润合计数分别不低于8,717.26万元、9,270.79万元、10,241.93万元，且采矿权资产2021年至2023年三个会计年度累计应实现的承诺净利润合计数不低于7,469.97万元。</w:t>
            </w:r>
          </w:p>
        </w:tc>
        <w:tc>
          <w:tcPr>
            <w:tcW w:w="532" w:type="pct"/>
          </w:tcPr>
          <w:p w14:paraId="3E36F843" w14:textId="77777777" w:rsidR="00E57DAA" w:rsidRDefault="00AC4185">
            <w:pPr>
              <w:rPr>
                <w:szCs w:val="21"/>
              </w:rPr>
            </w:pPr>
            <w:r>
              <w:rPr>
                <w:szCs w:val="21"/>
              </w:rPr>
              <w:t>2021/2/9</w:t>
            </w:r>
          </w:p>
        </w:tc>
        <w:tc>
          <w:tcPr>
            <w:tcW w:w="237" w:type="pct"/>
            <w:shd w:val="clear" w:color="auto" w:fill="auto"/>
          </w:tcPr>
          <w:p w14:paraId="5DDF0864" w14:textId="77777777" w:rsidR="00E57DAA" w:rsidRDefault="00AC4185">
            <w:pPr>
              <w:rPr>
                <w:szCs w:val="21"/>
              </w:rPr>
            </w:pPr>
            <w:r>
              <w:rPr>
                <w:rFonts w:hint="eastAsia"/>
                <w:szCs w:val="21"/>
              </w:rPr>
              <w:t>是</w:t>
            </w:r>
          </w:p>
        </w:tc>
        <w:tc>
          <w:tcPr>
            <w:tcW w:w="390" w:type="pct"/>
          </w:tcPr>
          <w:p w14:paraId="5051CD4D" w14:textId="77777777" w:rsidR="00E57DAA" w:rsidRDefault="00AC4185">
            <w:pPr>
              <w:rPr>
                <w:szCs w:val="21"/>
              </w:rPr>
            </w:pPr>
            <w:r>
              <w:rPr>
                <w:rFonts w:hint="eastAsia"/>
                <w:szCs w:val="21"/>
              </w:rPr>
              <w:t>2</w:t>
            </w:r>
            <w:r>
              <w:rPr>
                <w:szCs w:val="21"/>
              </w:rPr>
              <w:t>021-2023</w:t>
            </w:r>
            <w:r>
              <w:rPr>
                <w:rFonts w:hint="eastAsia"/>
                <w:szCs w:val="21"/>
              </w:rPr>
              <w:t>年度</w:t>
            </w:r>
          </w:p>
        </w:tc>
        <w:tc>
          <w:tcPr>
            <w:tcW w:w="236" w:type="pct"/>
            <w:shd w:val="clear" w:color="auto" w:fill="auto"/>
          </w:tcPr>
          <w:p w14:paraId="6D3DEF2B" w14:textId="77777777" w:rsidR="00E57DAA" w:rsidRDefault="00AC4185">
            <w:pPr>
              <w:rPr>
                <w:szCs w:val="21"/>
              </w:rPr>
            </w:pPr>
            <w:r>
              <w:rPr>
                <w:rFonts w:hint="eastAsia"/>
                <w:szCs w:val="21"/>
              </w:rPr>
              <w:t>是</w:t>
            </w:r>
          </w:p>
        </w:tc>
        <w:tc>
          <w:tcPr>
            <w:tcW w:w="339" w:type="pct"/>
            <w:shd w:val="clear" w:color="auto" w:fill="auto"/>
          </w:tcPr>
          <w:p w14:paraId="7C0D298C" w14:textId="77777777" w:rsidR="00E57DAA" w:rsidRDefault="00AC4185">
            <w:pPr>
              <w:rPr>
                <w:szCs w:val="21"/>
              </w:rPr>
            </w:pPr>
            <w:r>
              <w:rPr>
                <w:rFonts w:hint="eastAsia"/>
                <w:szCs w:val="21"/>
              </w:rPr>
              <w:t>不适用</w:t>
            </w:r>
          </w:p>
        </w:tc>
        <w:tc>
          <w:tcPr>
            <w:tcW w:w="330" w:type="pct"/>
            <w:shd w:val="clear" w:color="auto" w:fill="auto"/>
          </w:tcPr>
          <w:p w14:paraId="1FFFD37A" w14:textId="77777777" w:rsidR="00E57DAA" w:rsidRDefault="00AC4185">
            <w:pPr>
              <w:rPr>
                <w:szCs w:val="21"/>
              </w:rPr>
            </w:pPr>
            <w:r>
              <w:rPr>
                <w:rFonts w:hint="eastAsia"/>
                <w:szCs w:val="21"/>
              </w:rPr>
              <w:t>不适用</w:t>
            </w:r>
          </w:p>
        </w:tc>
      </w:tr>
      <w:tr w:rsidR="00E57DAA" w14:paraId="0EBB1D0E" w14:textId="77777777">
        <w:tc>
          <w:tcPr>
            <w:tcW w:w="386" w:type="pct"/>
            <w:vMerge/>
            <w:shd w:val="clear" w:color="auto" w:fill="auto"/>
            <w:vAlign w:val="center"/>
          </w:tcPr>
          <w:p w14:paraId="7BE4ABAC" w14:textId="77777777" w:rsidR="00E57DAA" w:rsidRDefault="00E57DAA" w:rsidP="00C25422">
            <w:pPr>
              <w:pStyle w:val="92"/>
            </w:pPr>
          </w:p>
        </w:tc>
        <w:tc>
          <w:tcPr>
            <w:tcW w:w="236" w:type="pct"/>
            <w:shd w:val="clear" w:color="auto" w:fill="auto"/>
          </w:tcPr>
          <w:p w14:paraId="0E9AE3BE" w14:textId="77777777" w:rsidR="00E57DAA" w:rsidRDefault="00AC4185">
            <w:pPr>
              <w:jc w:val="both"/>
              <w:rPr>
                <w:szCs w:val="21"/>
              </w:rPr>
            </w:pPr>
            <w:r>
              <w:rPr>
                <w:rFonts w:hint="eastAsia"/>
                <w:color w:val="000000"/>
                <w:szCs w:val="21"/>
              </w:rPr>
              <w:t>其他</w:t>
            </w:r>
          </w:p>
        </w:tc>
        <w:tc>
          <w:tcPr>
            <w:tcW w:w="390" w:type="pct"/>
            <w:shd w:val="clear" w:color="auto" w:fill="auto"/>
          </w:tcPr>
          <w:p w14:paraId="671FA60B" w14:textId="77777777" w:rsidR="00E57DAA" w:rsidRDefault="00AC4185">
            <w:pPr>
              <w:jc w:val="both"/>
              <w:rPr>
                <w:szCs w:val="21"/>
              </w:rPr>
            </w:pPr>
            <w:r>
              <w:rPr>
                <w:rFonts w:hint="eastAsia"/>
                <w:color w:val="000000"/>
                <w:szCs w:val="21"/>
              </w:rPr>
              <w:t>公司时任董事、高管</w:t>
            </w:r>
          </w:p>
        </w:tc>
        <w:tc>
          <w:tcPr>
            <w:tcW w:w="1924" w:type="pct"/>
            <w:shd w:val="clear" w:color="auto" w:fill="auto"/>
          </w:tcPr>
          <w:p w14:paraId="4431F2C6" w14:textId="77777777" w:rsidR="00E57DAA" w:rsidRDefault="00AC4185">
            <w:pPr>
              <w:jc w:val="both"/>
              <w:rPr>
                <w:szCs w:val="21"/>
              </w:rPr>
            </w:pPr>
            <w:r>
              <w:rPr>
                <w:rFonts w:hint="eastAsia"/>
                <w:color w:val="000000"/>
                <w:szCs w:val="21"/>
              </w:rPr>
              <w:t>1、本人承诺不无偿或以不公平条件向其他单位或者个人输送利益，也不采用其他方式损害上市公司利益。 2、本人承诺对本人的职务消费行为进行约束。 3、本人承诺不动用上市公司资产从事与本人履行职责无关的投资、消费活动。 4、本人承诺由董事会或薪酬委员会制定的薪酬制度与上市公司填补回报措施的执行情况相挂钩。 5、本人承诺若上市公司未来实施股权激励，拟公布的上市公司股权激励的行权条件与上市公司填补回报措施的执行情况相挂钩。 6、本承诺出具日后至上市公司本次重组实施完毕前，若中国证监会作出关于填补回报措施及其承诺的其他新的监管规定，且上述承诺不能满足中国证监会该等规定时，本人承诺届时将按照中国证监会的最新规定出具补充承诺。 7、若本人违反上述承诺并给上市公司或者其股东造成损失的，本人愿意依法承担对上市公司或者其股东的补偿责任。</w:t>
            </w:r>
          </w:p>
        </w:tc>
        <w:tc>
          <w:tcPr>
            <w:tcW w:w="532" w:type="pct"/>
          </w:tcPr>
          <w:p w14:paraId="4B3B7CA8" w14:textId="77777777" w:rsidR="00E57DAA" w:rsidRDefault="00AC4185">
            <w:pPr>
              <w:jc w:val="both"/>
              <w:rPr>
                <w:szCs w:val="21"/>
              </w:rPr>
            </w:pPr>
            <w:r>
              <w:rPr>
                <w:rFonts w:hint="eastAsia"/>
                <w:color w:val="000000"/>
                <w:szCs w:val="21"/>
              </w:rPr>
              <w:t>2021/4/12</w:t>
            </w:r>
          </w:p>
        </w:tc>
        <w:tc>
          <w:tcPr>
            <w:tcW w:w="237" w:type="pct"/>
            <w:shd w:val="clear" w:color="auto" w:fill="auto"/>
          </w:tcPr>
          <w:p w14:paraId="442A13FF" w14:textId="77777777" w:rsidR="00E57DAA" w:rsidRDefault="00AC4185">
            <w:pPr>
              <w:jc w:val="both"/>
              <w:rPr>
                <w:szCs w:val="21"/>
              </w:rPr>
            </w:pPr>
            <w:r>
              <w:rPr>
                <w:rFonts w:hint="eastAsia"/>
                <w:color w:val="000000"/>
                <w:szCs w:val="21"/>
              </w:rPr>
              <w:t>否</w:t>
            </w:r>
          </w:p>
        </w:tc>
        <w:tc>
          <w:tcPr>
            <w:tcW w:w="390" w:type="pct"/>
          </w:tcPr>
          <w:p w14:paraId="1D4DE4BF" w14:textId="77777777" w:rsidR="00E57DAA" w:rsidRDefault="00AC4185">
            <w:pPr>
              <w:jc w:val="both"/>
              <w:rPr>
                <w:szCs w:val="21"/>
              </w:rPr>
            </w:pPr>
            <w:r>
              <w:rPr>
                <w:rFonts w:hint="eastAsia"/>
                <w:szCs w:val="21"/>
              </w:rPr>
              <w:t xml:space="preserve">　</w:t>
            </w:r>
          </w:p>
        </w:tc>
        <w:tc>
          <w:tcPr>
            <w:tcW w:w="236" w:type="pct"/>
            <w:shd w:val="clear" w:color="auto" w:fill="auto"/>
          </w:tcPr>
          <w:p w14:paraId="504D3553" w14:textId="77777777" w:rsidR="00E57DAA" w:rsidRDefault="00AC4185">
            <w:pPr>
              <w:jc w:val="both"/>
              <w:rPr>
                <w:szCs w:val="21"/>
              </w:rPr>
            </w:pPr>
            <w:r>
              <w:rPr>
                <w:rFonts w:hint="eastAsia"/>
                <w:color w:val="000000"/>
                <w:szCs w:val="21"/>
              </w:rPr>
              <w:t>是</w:t>
            </w:r>
          </w:p>
        </w:tc>
        <w:tc>
          <w:tcPr>
            <w:tcW w:w="339" w:type="pct"/>
            <w:shd w:val="clear" w:color="auto" w:fill="auto"/>
          </w:tcPr>
          <w:p w14:paraId="3D0384FF" w14:textId="77777777" w:rsidR="00E57DAA" w:rsidRDefault="00AC4185">
            <w:pPr>
              <w:jc w:val="both"/>
              <w:rPr>
                <w:szCs w:val="21"/>
              </w:rPr>
            </w:pPr>
            <w:r>
              <w:rPr>
                <w:rFonts w:hint="eastAsia"/>
                <w:color w:val="000000"/>
                <w:szCs w:val="21"/>
              </w:rPr>
              <w:t>不适用</w:t>
            </w:r>
          </w:p>
        </w:tc>
        <w:tc>
          <w:tcPr>
            <w:tcW w:w="330" w:type="pct"/>
            <w:shd w:val="clear" w:color="auto" w:fill="auto"/>
          </w:tcPr>
          <w:p w14:paraId="4B120E4A" w14:textId="77777777" w:rsidR="00E57DAA" w:rsidRDefault="00AC4185">
            <w:pPr>
              <w:jc w:val="both"/>
              <w:rPr>
                <w:szCs w:val="21"/>
              </w:rPr>
            </w:pPr>
            <w:r>
              <w:rPr>
                <w:rFonts w:hint="eastAsia"/>
                <w:color w:val="000000"/>
                <w:szCs w:val="21"/>
              </w:rPr>
              <w:t>不适用</w:t>
            </w:r>
          </w:p>
        </w:tc>
      </w:tr>
      <w:tr w:rsidR="00E57DAA" w14:paraId="1FE4B123" w14:textId="77777777">
        <w:tc>
          <w:tcPr>
            <w:tcW w:w="386" w:type="pct"/>
            <w:vMerge/>
            <w:shd w:val="clear" w:color="auto" w:fill="auto"/>
            <w:vAlign w:val="center"/>
          </w:tcPr>
          <w:p w14:paraId="3B565257" w14:textId="77777777" w:rsidR="00E57DAA" w:rsidRDefault="00E57DAA" w:rsidP="00C25422">
            <w:pPr>
              <w:pStyle w:val="92"/>
            </w:pPr>
          </w:p>
        </w:tc>
        <w:tc>
          <w:tcPr>
            <w:tcW w:w="236" w:type="pct"/>
            <w:shd w:val="clear" w:color="auto" w:fill="auto"/>
          </w:tcPr>
          <w:p w14:paraId="79A1AC8B" w14:textId="77777777" w:rsidR="00E57DAA" w:rsidRDefault="00AC4185">
            <w:pPr>
              <w:rPr>
                <w:szCs w:val="21"/>
              </w:rPr>
            </w:pPr>
            <w:r>
              <w:rPr>
                <w:rFonts w:hint="eastAsia"/>
                <w:szCs w:val="21"/>
              </w:rPr>
              <w:t>股份限售</w:t>
            </w:r>
          </w:p>
        </w:tc>
        <w:tc>
          <w:tcPr>
            <w:tcW w:w="390" w:type="pct"/>
            <w:shd w:val="clear" w:color="auto" w:fill="auto"/>
          </w:tcPr>
          <w:p w14:paraId="4A6541A3" w14:textId="77777777" w:rsidR="00E57DAA" w:rsidRDefault="00AC4185">
            <w:pPr>
              <w:rPr>
                <w:szCs w:val="21"/>
              </w:rPr>
            </w:pPr>
            <w:r>
              <w:rPr>
                <w:rFonts w:hint="eastAsia"/>
                <w:szCs w:val="21"/>
              </w:rPr>
              <w:t>建材研究总院</w:t>
            </w:r>
          </w:p>
        </w:tc>
        <w:tc>
          <w:tcPr>
            <w:tcW w:w="1924" w:type="pct"/>
            <w:shd w:val="clear" w:color="auto" w:fill="auto"/>
          </w:tcPr>
          <w:p w14:paraId="2993EED8" w14:textId="77777777" w:rsidR="00E57DAA" w:rsidRDefault="00AC4185">
            <w:pPr>
              <w:jc w:val="both"/>
              <w:rPr>
                <w:szCs w:val="21"/>
              </w:rPr>
            </w:pPr>
            <w:r>
              <w:rPr>
                <w:szCs w:val="21"/>
              </w:rPr>
              <w:t>1、本公司在本次交易前已经持有的中材国际股份，自中材国际本次发行股份购买资产新增股份发行结束之日起18个月内不得转让。但是，在适用法律许可前提下的转让不受此限。</w:t>
            </w:r>
          </w:p>
          <w:p w14:paraId="2B3EAC23" w14:textId="77777777" w:rsidR="00E57DAA" w:rsidRDefault="00AC4185">
            <w:pPr>
              <w:jc w:val="both"/>
              <w:rPr>
                <w:szCs w:val="21"/>
              </w:rPr>
            </w:pPr>
            <w:r>
              <w:rPr>
                <w:szCs w:val="21"/>
              </w:rPr>
              <w:t>2、本次交易完成后，本公司基于在本次交易前已经持有的中材国际股份而享有的中材国际送股、配股、资本公积转增股本等股份，亦应遵守上述限售期的约定。</w:t>
            </w:r>
          </w:p>
          <w:p w14:paraId="1E5E8220" w14:textId="77777777" w:rsidR="00E57DAA" w:rsidRDefault="00AC4185">
            <w:pPr>
              <w:jc w:val="both"/>
              <w:rPr>
                <w:szCs w:val="21"/>
              </w:rPr>
            </w:pPr>
            <w:r>
              <w:rPr>
                <w:szCs w:val="21"/>
              </w:rPr>
              <w:t>3、本公司因本次发行股份购买资产而取得中材国际的股份，自股份发行结束之日起36个月内不得以任何方式转让，但是，在适用法律许可前提下的转让不受此限。本次发行股份购买资产完成后6个月内如中材国际股份连续20个交易日的收盘价低于本次发行股份购买资产所发行股份的发行价格，或者本次交易完成后6个月期末收盘价低于本次发行股份购买资产所发行股份的发行价格，则本公司通过本次发行股份购买资产认购股份的限售期将在上述限售期基础上自动延长6个月。</w:t>
            </w:r>
          </w:p>
          <w:p w14:paraId="2AB2BD13" w14:textId="77777777" w:rsidR="00E57DAA" w:rsidRDefault="00AC4185">
            <w:pPr>
              <w:jc w:val="both"/>
              <w:rPr>
                <w:szCs w:val="21"/>
              </w:rPr>
            </w:pPr>
            <w:r>
              <w:rPr>
                <w:szCs w:val="21"/>
              </w:rPr>
              <w:lastRenderedPageBreak/>
              <w:t>4、本次交易完成后，本公司基于本次发行股份购买资产而取得的股份若由于中材国际送股、配股、资本公积转增股本等情形衍生取得的股份，亦应遵守上述限售期的约定。</w:t>
            </w:r>
          </w:p>
          <w:p w14:paraId="260C4544" w14:textId="77777777" w:rsidR="00E57DAA" w:rsidRDefault="00AC4185">
            <w:pPr>
              <w:jc w:val="both"/>
              <w:rPr>
                <w:szCs w:val="21"/>
              </w:rPr>
            </w:pPr>
            <w:r>
              <w:rPr>
                <w:szCs w:val="21"/>
              </w:rPr>
              <w:t>5、若本公司所认购股份的限售期与证券监管机构的最新监管意见不相符，本公司将根据证券监管机构的监管意见进行相应调整。限售期期满之后，本公司转让上市公司股份将按照中国证券监督管理委员会和上海证券交易所届时有效的有关规定执行。</w:t>
            </w:r>
          </w:p>
        </w:tc>
        <w:tc>
          <w:tcPr>
            <w:tcW w:w="532" w:type="pct"/>
          </w:tcPr>
          <w:p w14:paraId="3FCA007E" w14:textId="77777777" w:rsidR="00E57DAA" w:rsidRDefault="00AC4185">
            <w:pPr>
              <w:rPr>
                <w:szCs w:val="21"/>
              </w:rPr>
            </w:pPr>
            <w:r>
              <w:rPr>
                <w:szCs w:val="21"/>
              </w:rPr>
              <w:lastRenderedPageBreak/>
              <w:t>2022/8/26</w:t>
            </w:r>
          </w:p>
        </w:tc>
        <w:tc>
          <w:tcPr>
            <w:tcW w:w="237" w:type="pct"/>
            <w:shd w:val="clear" w:color="auto" w:fill="auto"/>
          </w:tcPr>
          <w:p w14:paraId="4381C3DB" w14:textId="77777777" w:rsidR="00E57DAA" w:rsidRDefault="00AC4185">
            <w:pPr>
              <w:rPr>
                <w:szCs w:val="21"/>
              </w:rPr>
            </w:pPr>
            <w:r>
              <w:rPr>
                <w:rFonts w:hint="eastAsia"/>
                <w:szCs w:val="21"/>
              </w:rPr>
              <w:t>是</w:t>
            </w:r>
          </w:p>
        </w:tc>
        <w:tc>
          <w:tcPr>
            <w:tcW w:w="390" w:type="pct"/>
          </w:tcPr>
          <w:p w14:paraId="6443797B" w14:textId="77777777" w:rsidR="00E57DAA" w:rsidRDefault="00AC4185">
            <w:pPr>
              <w:rPr>
                <w:szCs w:val="21"/>
              </w:rPr>
            </w:pPr>
            <w:r>
              <w:rPr>
                <w:rFonts w:hint="eastAsia"/>
                <w:szCs w:val="21"/>
              </w:rPr>
              <w:t>股份发行结束之日起</w:t>
            </w:r>
            <w:r>
              <w:rPr>
                <w:szCs w:val="21"/>
              </w:rPr>
              <w:t>36个月内</w:t>
            </w:r>
          </w:p>
        </w:tc>
        <w:tc>
          <w:tcPr>
            <w:tcW w:w="236" w:type="pct"/>
            <w:shd w:val="clear" w:color="auto" w:fill="auto"/>
          </w:tcPr>
          <w:p w14:paraId="0B98441F" w14:textId="77777777" w:rsidR="00E57DAA" w:rsidRDefault="00AC4185">
            <w:pPr>
              <w:rPr>
                <w:szCs w:val="21"/>
              </w:rPr>
            </w:pPr>
            <w:r>
              <w:rPr>
                <w:rFonts w:hint="eastAsia"/>
                <w:szCs w:val="21"/>
              </w:rPr>
              <w:t>是</w:t>
            </w:r>
          </w:p>
        </w:tc>
        <w:tc>
          <w:tcPr>
            <w:tcW w:w="339" w:type="pct"/>
            <w:shd w:val="clear" w:color="auto" w:fill="auto"/>
          </w:tcPr>
          <w:p w14:paraId="6B7A03F8" w14:textId="77777777" w:rsidR="00E57DAA" w:rsidRDefault="00AC4185">
            <w:pPr>
              <w:rPr>
                <w:szCs w:val="21"/>
              </w:rPr>
            </w:pPr>
            <w:r>
              <w:rPr>
                <w:rFonts w:hint="eastAsia"/>
                <w:szCs w:val="21"/>
              </w:rPr>
              <w:t>不适用</w:t>
            </w:r>
          </w:p>
        </w:tc>
        <w:tc>
          <w:tcPr>
            <w:tcW w:w="330" w:type="pct"/>
            <w:shd w:val="clear" w:color="auto" w:fill="auto"/>
          </w:tcPr>
          <w:p w14:paraId="42F72F77" w14:textId="77777777" w:rsidR="00E57DAA" w:rsidRDefault="00AC4185">
            <w:pPr>
              <w:rPr>
                <w:szCs w:val="21"/>
              </w:rPr>
            </w:pPr>
            <w:r>
              <w:rPr>
                <w:rFonts w:hint="eastAsia"/>
                <w:szCs w:val="21"/>
              </w:rPr>
              <w:t>不适用</w:t>
            </w:r>
          </w:p>
        </w:tc>
      </w:tr>
      <w:tr w:rsidR="00E57DAA" w14:paraId="2ABD0451" w14:textId="77777777">
        <w:tc>
          <w:tcPr>
            <w:tcW w:w="386" w:type="pct"/>
            <w:vMerge/>
            <w:shd w:val="clear" w:color="auto" w:fill="auto"/>
            <w:vAlign w:val="center"/>
          </w:tcPr>
          <w:p w14:paraId="236C5B71" w14:textId="77777777" w:rsidR="00E57DAA" w:rsidRDefault="00E57DAA" w:rsidP="00C25422">
            <w:pPr>
              <w:pStyle w:val="92"/>
            </w:pPr>
          </w:p>
        </w:tc>
        <w:tc>
          <w:tcPr>
            <w:tcW w:w="236" w:type="pct"/>
            <w:shd w:val="clear" w:color="auto" w:fill="auto"/>
          </w:tcPr>
          <w:p w14:paraId="0EFCBBB8" w14:textId="77777777" w:rsidR="00E57DAA" w:rsidRDefault="00AC4185">
            <w:pPr>
              <w:rPr>
                <w:szCs w:val="21"/>
              </w:rPr>
            </w:pPr>
            <w:r>
              <w:rPr>
                <w:rFonts w:hint="eastAsia"/>
                <w:szCs w:val="21"/>
              </w:rPr>
              <w:t>股份限售</w:t>
            </w:r>
          </w:p>
        </w:tc>
        <w:tc>
          <w:tcPr>
            <w:tcW w:w="390" w:type="pct"/>
            <w:shd w:val="clear" w:color="auto" w:fill="auto"/>
          </w:tcPr>
          <w:p w14:paraId="10BA4821" w14:textId="77777777" w:rsidR="00E57DAA" w:rsidRDefault="00AC4185">
            <w:pPr>
              <w:rPr>
                <w:szCs w:val="21"/>
              </w:rPr>
            </w:pPr>
            <w:r>
              <w:rPr>
                <w:rFonts w:hint="eastAsia"/>
                <w:szCs w:val="21"/>
              </w:rPr>
              <w:t>中国建材股份、建材国际工程</w:t>
            </w:r>
          </w:p>
        </w:tc>
        <w:tc>
          <w:tcPr>
            <w:tcW w:w="1924" w:type="pct"/>
            <w:shd w:val="clear" w:color="auto" w:fill="auto"/>
          </w:tcPr>
          <w:p w14:paraId="556DDC00" w14:textId="77777777" w:rsidR="00E57DAA" w:rsidRDefault="00AC4185">
            <w:pPr>
              <w:jc w:val="both"/>
              <w:rPr>
                <w:szCs w:val="21"/>
              </w:rPr>
            </w:pPr>
            <w:r>
              <w:rPr>
                <w:szCs w:val="21"/>
              </w:rPr>
              <w:t>1、本公司在本次交易前已经持有的上市公司股份，自上市公司本次发行股份购买资产新增股份发行结束之日起18个月内不得转让。但是，在适用法律许可前提下的转让不受此限。</w:t>
            </w:r>
          </w:p>
          <w:p w14:paraId="729DC6CF" w14:textId="77777777" w:rsidR="00E57DAA" w:rsidRDefault="00AC4185">
            <w:pPr>
              <w:jc w:val="both"/>
              <w:rPr>
                <w:szCs w:val="21"/>
              </w:rPr>
            </w:pPr>
            <w:r>
              <w:rPr>
                <w:szCs w:val="21"/>
              </w:rPr>
              <w:t>2、本次交易完成后，本公司基于在本次交易前已经持有的上市公司股份而享有的上市公司送股、配股、资本公积转增股本等情形衍生取得的股份，亦应遵守上述限售期的约定。</w:t>
            </w:r>
          </w:p>
          <w:p w14:paraId="29E0F919" w14:textId="77777777" w:rsidR="00E57DAA" w:rsidRDefault="00AC4185">
            <w:pPr>
              <w:jc w:val="both"/>
              <w:rPr>
                <w:szCs w:val="21"/>
              </w:rPr>
            </w:pPr>
            <w:r>
              <w:rPr>
                <w:szCs w:val="21"/>
              </w:rPr>
              <w:t>3、若本公司所持有股份的限售期与证券监管机构的最新监管意见不相符，本公司将根据证券监管机构的监管意见进行相应调整。限售期届满后，本公司转让上市公司股份将按照中国证券监督管理委员会和上海证券交易所届时有效的有关规定执行。</w:t>
            </w:r>
          </w:p>
        </w:tc>
        <w:tc>
          <w:tcPr>
            <w:tcW w:w="532" w:type="pct"/>
          </w:tcPr>
          <w:p w14:paraId="36C0FE56" w14:textId="77777777" w:rsidR="00E57DAA" w:rsidRDefault="00AC4185">
            <w:pPr>
              <w:rPr>
                <w:szCs w:val="21"/>
              </w:rPr>
            </w:pPr>
            <w:r>
              <w:rPr>
                <w:szCs w:val="21"/>
              </w:rPr>
              <w:t>2022/8/26</w:t>
            </w:r>
          </w:p>
        </w:tc>
        <w:tc>
          <w:tcPr>
            <w:tcW w:w="237" w:type="pct"/>
            <w:shd w:val="clear" w:color="auto" w:fill="auto"/>
          </w:tcPr>
          <w:p w14:paraId="24EA034F" w14:textId="77777777" w:rsidR="00E57DAA" w:rsidRDefault="00AC4185">
            <w:pPr>
              <w:rPr>
                <w:szCs w:val="21"/>
              </w:rPr>
            </w:pPr>
            <w:r>
              <w:rPr>
                <w:rFonts w:hint="eastAsia"/>
                <w:szCs w:val="21"/>
              </w:rPr>
              <w:t>是</w:t>
            </w:r>
          </w:p>
        </w:tc>
        <w:tc>
          <w:tcPr>
            <w:tcW w:w="390" w:type="pct"/>
          </w:tcPr>
          <w:p w14:paraId="408DADEA" w14:textId="77777777" w:rsidR="00E57DAA" w:rsidRDefault="00AC4185">
            <w:pPr>
              <w:rPr>
                <w:szCs w:val="21"/>
              </w:rPr>
            </w:pPr>
            <w:r>
              <w:rPr>
                <w:rFonts w:hint="eastAsia"/>
                <w:szCs w:val="21"/>
              </w:rPr>
              <w:t>股份发行结束之日起</w:t>
            </w:r>
            <w:r>
              <w:rPr>
                <w:szCs w:val="21"/>
              </w:rPr>
              <w:t>18个月内</w:t>
            </w:r>
          </w:p>
        </w:tc>
        <w:tc>
          <w:tcPr>
            <w:tcW w:w="236" w:type="pct"/>
            <w:shd w:val="clear" w:color="auto" w:fill="auto"/>
          </w:tcPr>
          <w:p w14:paraId="1655B709" w14:textId="77777777" w:rsidR="00E57DAA" w:rsidRDefault="00AC4185">
            <w:pPr>
              <w:rPr>
                <w:szCs w:val="21"/>
              </w:rPr>
            </w:pPr>
            <w:r>
              <w:rPr>
                <w:rFonts w:hint="eastAsia"/>
                <w:szCs w:val="21"/>
              </w:rPr>
              <w:t>是</w:t>
            </w:r>
          </w:p>
        </w:tc>
        <w:tc>
          <w:tcPr>
            <w:tcW w:w="339" w:type="pct"/>
            <w:shd w:val="clear" w:color="auto" w:fill="auto"/>
          </w:tcPr>
          <w:p w14:paraId="715BA39E" w14:textId="77777777" w:rsidR="00E57DAA" w:rsidRDefault="00AC4185">
            <w:pPr>
              <w:rPr>
                <w:szCs w:val="21"/>
              </w:rPr>
            </w:pPr>
            <w:r>
              <w:rPr>
                <w:rFonts w:hint="eastAsia"/>
                <w:szCs w:val="21"/>
              </w:rPr>
              <w:t>不适用</w:t>
            </w:r>
          </w:p>
        </w:tc>
        <w:tc>
          <w:tcPr>
            <w:tcW w:w="330" w:type="pct"/>
            <w:shd w:val="clear" w:color="auto" w:fill="auto"/>
          </w:tcPr>
          <w:p w14:paraId="63A0CBF3" w14:textId="77777777" w:rsidR="00E57DAA" w:rsidRDefault="00AC4185">
            <w:pPr>
              <w:rPr>
                <w:szCs w:val="21"/>
              </w:rPr>
            </w:pPr>
            <w:r>
              <w:rPr>
                <w:rFonts w:hint="eastAsia"/>
                <w:szCs w:val="21"/>
              </w:rPr>
              <w:t>不适用</w:t>
            </w:r>
          </w:p>
        </w:tc>
      </w:tr>
      <w:tr w:rsidR="00E57DAA" w14:paraId="2C8F6A5C" w14:textId="77777777">
        <w:tc>
          <w:tcPr>
            <w:tcW w:w="386" w:type="pct"/>
            <w:vMerge/>
            <w:shd w:val="clear" w:color="auto" w:fill="auto"/>
            <w:vAlign w:val="center"/>
          </w:tcPr>
          <w:p w14:paraId="305B6581" w14:textId="77777777" w:rsidR="00E57DAA" w:rsidRDefault="00E57DAA" w:rsidP="00C25422">
            <w:pPr>
              <w:pStyle w:val="92"/>
            </w:pPr>
          </w:p>
        </w:tc>
        <w:tc>
          <w:tcPr>
            <w:tcW w:w="236" w:type="pct"/>
            <w:shd w:val="clear" w:color="auto" w:fill="auto"/>
          </w:tcPr>
          <w:p w14:paraId="3D51C3AE" w14:textId="77777777" w:rsidR="00E57DAA" w:rsidRDefault="00AC4185">
            <w:pPr>
              <w:rPr>
                <w:szCs w:val="21"/>
              </w:rPr>
            </w:pPr>
            <w:r>
              <w:rPr>
                <w:rFonts w:hint="eastAsia"/>
                <w:szCs w:val="21"/>
              </w:rPr>
              <w:t>解决土地等产权瑕疵</w:t>
            </w:r>
          </w:p>
        </w:tc>
        <w:tc>
          <w:tcPr>
            <w:tcW w:w="390" w:type="pct"/>
            <w:shd w:val="clear" w:color="auto" w:fill="auto"/>
          </w:tcPr>
          <w:p w14:paraId="04CCBE6F" w14:textId="77777777" w:rsidR="00E57DAA" w:rsidRDefault="00AC4185">
            <w:pPr>
              <w:rPr>
                <w:szCs w:val="21"/>
              </w:rPr>
            </w:pPr>
            <w:r>
              <w:rPr>
                <w:rFonts w:hint="eastAsia"/>
                <w:szCs w:val="21"/>
              </w:rPr>
              <w:t>建材研究总</w:t>
            </w:r>
          </w:p>
        </w:tc>
        <w:tc>
          <w:tcPr>
            <w:tcW w:w="1924" w:type="pct"/>
            <w:shd w:val="clear" w:color="auto" w:fill="auto"/>
          </w:tcPr>
          <w:p w14:paraId="3DB26218" w14:textId="77777777" w:rsidR="00E57DAA" w:rsidRDefault="00AC4185">
            <w:pPr>
              <w:jc w:val="both"/>
              <w:rPr>
                <w:szCs w:val="21"/>
              </w:rPr>
            </w:pPr>
            <w:r>
              <w:rPr>
                <w:szCs w:val="21"/>
              </w:rPr>
              <w:t>1、关于合肥院土地相关事项的承诺</w:t>
            </w:r>
          </w:p>
          <w:p w14:paraId="7F6A0E47" w14:textId="77777777" w:rsidR="00E57DAA" w:rsidRDefault="00AC4185">
            <w:pPr>
              <w:jc w:val="both"/>
              <w:rPr>
                <w:szCs w:val="21"/>
              </w:rPr>
            </w:pPr>
            <w:r>
              <w:rPr>
                <w:rFonts w:hint="eastAsia"/>
                <w:szCs w:val="21"/>
              </w:rPr>
              <w:t>合肥院及其子公司纳入本次交易范围的土地使用权中，存在</w:t>
            </w:r>
            <w:r>
              <w:rPr>
                <w:szCs w:val="21"/>
              </w:rPr>
              <w:t>1宗合肥院名下的划拨土地。该宗土地存在使用权证书原件因地上房屋换发了不动产权证书被土地主管机关收回、证载用途不符合《划拨用地目录》、土地上的部分房屋对外出租等问题。如合肥院因使用上述划拨土地产生任何争议、风险，或受到主管部门的行政处罚，或因此不能正常生产经营而导致合肥院或上市公司遭受</w:t>
            </w:r>
            <w:r>
              <w:rPr>
                <w:szCs w:val="21"/>
              </w:rPr>
              <w:lastRenderedPageBreak/>
              <w:t>实际损失，本公司将在合肥院依据法定程序确定该等事项造成的实际损失后，向其进行等额补偿。</w:t>
            </w:r>
          </w:p>
          <w:p w14:paraId="22B2B8A6" w14:textId="77777777" w:rsidR="00E57DAA" w:rsidRDefault="00AC4185">
            <w:pPr>
              <w:jc w:val="both"/>
              <w:rPr>
                <w:szCs w:val="21"/>
              </w:rPr>
            </w:pPr>
            <w:r>
              <w:rPr>
                <w:szCs w:val="21"/>
              </w:rPr>
              <w:t>2、关于合肥院及其子公司房屋相关事项的承诺</w:t>
            </w:r>
          </w:p>
          <w:p w14:paraId="3D627FB6" w14:textId="77777777" w:rsidR="00E57DAA" w:rsidRDefault="00AC4185">
            <w:pPr>
              <w:jc w:val="both"/>
              <w:rPr>
                <w:szCs w:val="21"/>
              </w:rPr>
            </w:pPr>
            <w:r>
              <w:rPr>
                <w:rFonts w:hint="eastAsia"/>
                <w:szCs w:val="21"/>
              </w:rPr>
              <w:t>合肥院及其子公司纳入本次交易范围的房屋建筑物中，存在部分房屋建筑物系征收补偿的安置房屋尚未办理权属证书、部分房屋建筑物因尚未办理完毕竣工验收手续而暂未办理权属证书、因历史遗留原因未办理取得权属证书等问题。如合肥院及其子公司因前述问题被政府主管部门处罚或拆除相关房产，导致发生费用支出及</w:t>
            </w:r>
            <w:r>
              <w:rPr>
                <w:szCs w:val="21"/>
              </w:rPr>
              <w:t>/或产生资产损失及/或须进行经济赔偿，则本公司将在合肥院及其子公司依据法定程序确定该等事项造成的实际损失后，向其进行等额补偿。但合肥院及其子公司根据自身经营情况自主决定拆除房屋建筑物所产生的经济损失不在本公司的赔偿范围之内。</w:t>
            </w:r>
          </w:p>
        </w:tc>
        <w:tc>
          <w:tcPr>
            <w:tcW w:w="532" w:type="pct"/>
          </w:tcPr>
          <w:p w14:paraId="06CA46EE" w14:textId="77777777" w:rsidR="00E57DAA" w:rsidRDefault="00AC4185">
            <w:pPr>
              <w:jc w:val="both"/>
              <w:rPr>
                <w:szCs w:val="21"/>
              </w:rPr>
            </w:pPr>
            <w:r>
              <w:lastRenderedPageBreak/>
              <w:t>2022/8/26</w:t>
            </w:r>
          </w:p>
        </w:tc>
        <w:tc>
          <w:tcPr>
            <w:tcW w:w="237" w:type="pct"/>
            <w:shd w:val="clear" w:color="auto" w:fill="auto"/>
          </w:tcPr>
          <w:p w14:paraId="190FDBD3" w14:textId="77777777" w:rsidR="00E57DAA" w:rsidRDefault="00AC4185">
            <w:pPr>
              <w:jc w:val="both"/>
              <w:rPr>
                <w:szCs w:val="21"/>
              </w:rPr>
            </w:pPr>
            <w:r>
              <w:rPr>
                <w:rFonts w:hint="eastAsia"/>
              </w:rPr>
              <w:t>否</w:t>
            </w:r>
          </w:p>
        </w:tc>
        <w:tc>
          <w:tcPr>
            <w:tcW w:w="390" w:type="pct"/>
          </w:tcPr>
          <w:p w14:paraId="1070EC72" w14:textId="77777777" w:rsidR="00E57DAA" w:rsidRDefault="00AC4185">
            <w:pPr>
              <w:jc w:val="both"/>
              <w:rPr>
                <w:szCs w:val="21"/>
              </w:rPr>
            </w:pPr>
            <w:r>
              <w:rPr>
                <w:rFonts w:hint="eastAsia"/>
              </w:rPr>
              <w:t>长期</w:t>
            </w:r>
          </w:p>
        </w:tc>
        <w:tc>
          <w:tcPr>
            <w:tcW w:w="236" w:type="pct"/>
            <w:shd w:val="clear" w:color="auto" w:fill="auto"/>
          </w:tcPr>
          <w:p w14:paraId="572B8D21" w14:textId="77777777" w:rsidR="00E57DAA" w:rsidRDefault="00AC4185">
            <w:pPr>
              <w:jc w:val="both"/>
              <w:rPr>
                <w:szCs w:val="21"/>
              </w:rPr>
            </w:pPr>
            <w:r>
              <w:t>是</w:t>
            </w:r>
          </w:p>
        </w:tc>
        <w:tc>
          <w:tcPr>
            <w:tcW w:w="339" w:type="pct"/>
            <w:shd w:val="clear" w:color="auto" w:fill="auto"/>
          </w:tcPr>
          <w:p w14:paraId="3CD22246" w14:textId="77777777" w:rsidR="00E57DAA" w:rsidRDefault="00AC4185">
            <w:pPr>
              <w:jc w:val="both"/>
              <w:rPr>
                <w:szCs w:val="21"/>
              </w:rPr>
            </w:pPr>
            <w:r>
              <w:t>不适用</w:t>
            </w:r>
          </w:p>
        </w:tc>
        <w:tc>
          <w:tcPr>
            <w:tcW w:w="330" w:type="pct"/>
            <w:shd w:val="clear" w:color="auto" w:fill="auto"/>
          </w:tcPr>
          <w:p w14:paraId="6479B7DC" w14:textId="77777777" w:rsidR="00E57DAA" w:rsidRDefault="00AC4185">
            <w:pPr>
              <w:jc w:val="both"/>
              <w:rPr>
                <w:szCs w:val="21"/>
              </w:rPr>
            </w:pPr>
            <w:r>
              <w:t>不适用</w:t>
            </w:r>
          </w:p>
        </w:tc>
      </w:tr>
      <w:tr w:rsidR="00E57DAA" w14:paraId="70CA291B" w14:textId="77777777">
        <w:tc>
          <w:tcPr>
            <w:tcW w:w="386" w:type="pct"/>
            <w:vMerge/>
            <w:shd w:val="clear" w:color="auto" w:fill="auto"/>
            <w:vAlign w:val="center"/>
          </w:tcPr>
          <w:p w14:paraId="14F0136E" w14:textId="77777777" w:rsidR="00E57DAA" w:rsidRDefault="00E57DAA" w:rsidP="00C25422">
            <w:pPr>
              <w:pStyle w:val="92"/>
            </w:pPr>
          </w:p>
        </w:tc>
        <w:tc>
          <w:tcPr>
            <w:tcW w:w="236" w:type="pct"/>
            <w:shd w:val="clear" w:color="auto" w:fill="auto"/>
          </w:tcPr>
          <w:p w14:paraId="59262BCA" w14:textId="77777777" w:rsidR="00E57DAA" w:rsidRDefault="00AC4185">
            <w:pPr>
              <w:rPr>
                <w:szCs w:val="21"/>
              </w:rPr>
            </w:pPr>
            <w:r>
              <w:rPr>
                <w:rFonts w:hint="eastAsia"/>
                <w:szCs w:val="21"/>
              </w:rPr>
              <w:t>其他</w:t>
            </w:r>
          </w:p>
        </w:tc>
        <w:tc>
          <w:tcPr>
            <w:tcW w:w="390" w:type="pct"/>
            <w:shd w:val="clear" w:color="auto" w:fill="auto"/>
          </w:tcPr>
          <w:p w14:paraId="286AD381" w14:textId="77777777" w:rsidR="00E57DAA" w:rsidRDefault="00AC4185">
            <w:pPr>
              <w:rPr>
                <w:szCs w:val="21"/>
              </w:rPr>
            </w:pPr>
            <w:r>
              <w:rPr>
                <w:rFonts w:hint="eastAsia"/>
                <w:szCs w:val="21"/>
              </w:rPr>
              <w:t>建材研究总院</w:t>
            </w:r>
          </w:p>
        </w:tc>
        <w:tc>
          <w:tcPr>
            <w:tcW w:w="1924" w:type="pct"/>
            <w:shd w:val="clear" w:color="auto" w:fill="auto"/>
          </w:tcPr>
          <w:p w14:paraId="2540BDA7" w14:textId="77777777" w:rsidR="00E57DAA" w:rsidRDefault="00AC4185">
            <w:pPr>
              <w:jc w:val="both"/>
              <w:rPr>
                <w:szCs w:val="21"/>
              </w:rPr>
            </w:pPr>
            <w:r>
              <w:rPr>
                <w:szCs w:val="21"/>
              </w:rPr>
              <w:t>1、本公司保证本次交易以资产认购取得的股份优先用于履行《业绩承诺补偿协议》约定的补偿义务，不通过质押股份等方式逃废补偿义务；</w:t>
            </w:r>
          </w:p>
          <w:p w14:paraId="3FB87594" w14:textId="77777777" w:rsidR="00E57DAA" w:rsidRDefault="00AC4185">
            <w:pPr>
              <w:jc w:val="both"/>
              <w:rPr>
                <w:szCs w:val="21"/>
              </w:rPr>
            </w:pPr>
            <w:r>
              <w:rPr>
                <w:szCs w:val="21"/>
              </w:rPr>
              <w:t>2、截至本函出具之日，本公司无质押本次交易所获上市公司股份的明确计划和安排。若未来本公司以对价股份设置质押，则将书面告知质权人根据《业绩承诺补偿协议》上述股份具有潜在业绩承诺补偿义务情况，并在质押协议中就相关股份用于支付业绩承诺补偿事项等与质权人作出明确约定。</w:t>
            </w:r>
          </w:p>
          <w:p w14:paraId="2283744D" w14:textId="77777777" w:rsidR="00E57DAA" w:rsidRDefault="00AC4185">
            <w:pPr>
              <w:jc w:val="both"/>
              <w:rPr>
                <w:szCs w:val="21"/>
              </w:rPr>
            </w:pPr>
            <w:r>
              <w:rPr>
                <w:szCs w:val="21"/>
              </w:rPr>
              <w:t>3、若违反上述承诺，本公司将赔偿中材国际因此遭受的任何损失，并承担相应的法律责任。</w:t>
            </w:r>
          </w:p>
        </w:tc>
        <w:tc>
          <w:tcPr>
            <w:tcW w:w="532" w:type="pct"/>
          </w:tcPr>
          <w:p w14:paraId="28117708" w14:textId="77777777" w:rsidR="00E57DAA" w:rsidRDefault="00AC4185">
            <w:pPr>
              <w:rPr>
                <w:szCs w:val="21"/>
              </w:rPr>
            </w:pPr>
            <w:r>
              <w:t>2022/8/26</w:t>
            </w:r>
          </w:p>
        </w:tc>
        <w:tc>
          <w:tcPr>
            <w:tcW w:w="237" w:type="pct"/>
            <w:shd w:val="clear" w:color="auto" w:fill="auto"/>
          </w:tcPr>
          <w:p w14:paraId="41102534" w14:textId="77777777" w:rsidR="00E57DAA" w:rsidRDefault="00AC4185">
            <w:pPr>
              <w:rPr>
                <w:szCs w:val="21"/>
              </w:rPr>
            </w:pPr>
            <w:r>
              <w:rPr>
                <w:rFonts w:hint="eastAsia"/>
              </w:rPr>
              <w:t>否</w:t>
            </w:r>
          </w:p>
        </w:tc>
        <w:tc>
          <w:tcPr>
            <w:tcW w:w="390" w:type="pct"/>
          </w:tcPr>
          <w:p w14:paraId="237017AE" w14:textId="77777777" w:rsidR="00E57DAA" w:rsidRDefault="00E57DAA">
            <w:pPr>
              <w:rPr>
                <w:szCs w:val="21"/>
              </w:rPr>
            </w:pPr>
          </w:p>
        </w:tc>
        <w:tc>
          <w:tcPr>
            <w:tcW w:w="236" w:type="pct"/>
            <w:shd w:val="clear" w:color="auto" w:fill="auto"/>
          </w:tcPr>
          <w:p w14:paraId="1E49353F" w14:textId="77777777" w:rsidR="00E57DAA" w:rsidRDefault="00AC4185">
            <w:pPr>
              <w:rPr>
                <w:szCs w:val="21"/>
              </w:rPr>
            </w:pPr>
            <w:r>
              <w:t>是</w:t>
            </w:r>
          </w:p>
        </w:tc>
        <w:tc>
          <w:tcPr>
            <w:tcW w:w="339" w:type="pct"/>
            <w:shd w:val="clear" w:color="auto" w:fill="auto"/>
          </w:tcPr>
          <w:p w14:paraId="798C6CDA" w14:textId="77777777" w:rsidR="00E57DAA" w:rsidRDefault="00AC4185">
            <w:pPr>
              <w:rPr>
                <w:szCs w:val="21"/>
              </w:rPr>
            </w:pPr>
            <w:r>
              <w:t>不适用</w:t>
            </w:r>
          </w:p>
        </w:tc>
        <w:tc>
          <w:tcPr>
            <w:tcW w:w="330" w:type="pct"/>
            <w:shd w:val="clear" w:color="auto" w:fill="auto"/>
          </w:tcPr>
          <w:p w14:paraId="1B38E587" w14:textId="77777777" w:rsidR="00E57DAA" w:rsidRDefault="00AC4185">
            <w:pPr>
              <w:rPr>
                <w:szCs w:val="21"/>
              </w:rPr>
            </w:pPr>
            <w:r>
              <w:t>不适用</w:t>
            </w:r>
          </w:p>
        </w:tc>
      </w:tr>
      <w:tr w:rsidR="00E57DAA" w14:paraId="75BE9D92" w14:textId="77777777">
        <w:tc>
          <w:tcPr>
            <w:tcW w:w="386" w:type="pct"/>
            <w:vMerge/>
            <w:shd w:val="clear" w:color="auto" w:fill="auto"/>
            <w:vAlign w:val="center"/>
          </w:tcPr>
          <w:p w14:paraId="1697F270" w14:textId="77777777" w:rsidR="00E57DAA" w:rsidRDefault="00E57DAA" w:rsidP="00C25422">
            <w:pPr>
              <w:pStyle w:val="92"/>
            </w:pPr>
          </w:p>
        </w:tc>
        <w:tc>
          <w:tcPr>
            <w:tcW w:w="236" w:type="pct"/>
            <w:shd w:val="clear" w:color="auto" w:fill="auto"/>
          </w:tcPr>
          <w:p w14:paraId="5E3C6F74" w14:textId="77777777" w:rsidR="00E57DAA" w:rsidRDefault="00AC4185">
            <w:pPr>
              <w:rPr>
                <w:szCs w:val="21"/>
              </w:rPr>
            </w:pPr>
            <w:r>
              <w:rPr>
                <w:rFonts w:hint="eastAsia"/>
                <w:szCs w:val="21"/>
              </w:rPr>
              <w:t>盈利预测及补偿</w:t>
            </w:r>
          </w:p>
        </w:tc>
        <w:tc>
          <w:tcPr>
            <w:tcW w:w="390" w:type="pct"/>
            <w:shd w:val="clear" w:color="auto" w:fill="auto"/>
          </w:tcPr>
          <w:p w14:paraId="4F8C9AE5" w14:textId="77777777" w:rsidR="00E57DAA" w:rsidRDefault="00AC4185">
            <w:pPr>
              <w:rPr>
                <w:szCs w:val="21"/>
              </w:rPr>
            </w:pPr>
            <w:r>
              <w:rPr>
                <w:rFonts w:hint="eastAsia"/>
                <w:szCs w:val="21"/>
              </w:rPr>
              <w:t>建材研究总院</w:t>
            </w:r>
          </w:p>
        </w:tc>
        <w:tc>
          <w:tcPr>
            <w:tcW w:w="1924" w:type="pct"/>
            <w:shd w:val="clear" w:color="auto" w:fill="auto"/>
          </w:tcPr>
          <w:p w14:paraId="601F104A" w14:textId="77777777" w:rsidR="00E57DAA" w:rsidRDefault="00AC4185">
            <w:pPr>
              <w:jc w:val="both"/>
              <w:rPr>
                <w:szCs w:val="21"/>
              </w:rPr>
            </w:pPr>
            <w:r>
              <w:rPr>
                <w:rFonts w:hint="eastAsia"/>
                <w:szCs w:val="21"/>
              </w:rPr>
              <w:t>合肥院在本次评估中采取收益法评估的资产业绩承诺期间为本次交易交割日后连续三个会计年度（含本次交易实施完毕当年度）。如本次交易于</w:t>
            </w:r>
            <w:r>
              <w:rPr>
                <w:szCs w:val="21"/>
              </w:rPr>
              <w:t>2022年实施完毕，则业绩承诺期间为2022年、2023年、2024年三个会计年度。如本次交易于2023年实施完毕，则业绩承诺期间相</w:t>
            </w:r>
            <w:r>
              <w:rPr>
                <w:szCs w:val="21"/>
              </w:rPr>
              <w:lastRenderedPageBreak/>
              <w:t>应顺延至2023年、2024年、2025年三个会计年度，以此类推。</w:t>
            </w:r>
          </w:p>
          <w:p w14:paraId="22C0E391" w14:textId="77777777" w:rsidR="00E57DAA" w:rsidRDefault="00AC4185">
            <w:pPr>
              <w:jc w:val="both"/>
              <w:rPr>
                <w:szCs w:val="21"/>
              </w:rPr>
            </w:pPr>
            <w:r>
              <w:rPr>
                <w:szCs w:val="21"/>
              </w:rPr>
              <w:t>1、业绩承诺资产1：合肥院（母公司）、中建材粉体、中建材机电、中亚装备、中亚钢构、中都机械、安徽检验的净资产</w:t>
            </w:r>
          </w:p>
          <w:p w14:paraId="5CE6EEBE" w14:textId="77777777" w:rsidR="00E57DAA" w:rsidRDefault="00AC4185">
            <w:pPr>
              <w:jc w:val="both"/>
              <w:rPr>
                <w:szCs w:val="21"/>
              </w:rPr>
            </w:pPr>
            <w:r>
              <w:rPr>
                <w:rFonts w:hint="eastAsia"/>
                <w:szCs w:val="21"/>
              </w:rPr>
              <w:t>如本次交易于</w:t>
            </w:r>
            <w:r>
              <w:rPr>
                <w:szCs w:val="21"/>
              </w:rPr>
              <w:t xml:space="preserve">2022年实施完毕，业绩承诺资产1在2022年、2023年及2024年各会计年度应实现的承诺净利润数分别不低于19,853.49万元、20,013.25万元和20,805.42万元；如本交易于2023年实施完毕，业绩承诺资产1在2023年、2024年及2025年各会计年度应实现的承诺净利润数分别不低于20,013.25万元、20,805.42万元和22,114.89万元。上述“承诺净利润数”=∑（业绩承诺范围公司中的单家公司本次评估预测的净利润×本次交易该家公司的置入股权比例）。  </w:t>
            </w:r>
          </w:p>
          <w:p w14:paraId="2261CA4A" w14:textId="77777777" w:rsidR="00E57DAA" w:rsidRDefault="00AC4185">
            <w:pPr>
              <w:jc w:val="both"/>
              <w:rPr>
                <w:szCs w:val="21"/>
              </w:rPr>
            </w:pPr>
            <w:r>
              <w:rPr>
                <w:szCs w:val="21"/>
              </w:rPr>
              <w:t>2、业绩承诺资产2：中亚环保、固泰自动化的专利权等无形资产</w:t>
            </w:r>
          </w:p>
          <w:p w14:paraId="1C9A3581" w14:textId="77777777" w:rsidR="00E57DAA" w:rsidRDefault="00AC4185">
            <w:pPr>
              <w:jc w:val="both"/>
              <w:rPr>
                <w:szCs w:val="21"/>
              </w:rPr>
            </w:pPr>
            <w:r>
              <w:rPr>
                <w:rFonts w:hint="eastAsia"/>
                <w:szCs w:val="21"/>
              </w:rPr>
              <w:t>如本次交易于</w:t>
            </w:r>
            <w:r>
              <w:rPr>
                <w:szCs w:val="21"/>
              </w:rPr>
              <w:t>2022年实施完毕，业绩承诺资产2在2022年、2023年及2024年各会计年度应实现的承诺收入分成数分别不低于257.67万元、189.98万元和115.97万元；如本次交易于2023年实施完毕，业绩承诺资产2在2023年、2024年及2025年各会计年度应实现的承诺收入分成数分别不低于189.98万元、115.97万元和48.87万元。上述“承诺收入分成数”=∑（业绩承诺范围资产中的单项资产所属公司当年度评估预测的营业收入×该项资产当年度评估预测的衰减后分成率×本次交易该项资产所属</w:t>
            </w:r>
            <w:r>
              <w:rPr>
                <w:rFonts w:hint="eastAsia"/>
                <w:szCs w:val="21"/>
              </w:rPr>
              <w:t>公司的置入股权比例）。</w:t>
            </w:r>
          </w:p>
        </w:tc>
        <w:tc>
          <w:tcPr>
            <w:tcW w:w="532" w:type="pct"/>
          </w:tcPr>
          <w:p w14:paraId="63034750" w14:textId="77777777" w:rsidR="00E57DAA" w:rsidRDefault="00AC4185">
            <w:pPr>
              <w:rPr>
                <w:szCs w:val="21"/>
              </w:rPr>
            </w:pPr>
            <w:r>
              <w:lastRenderedPageBreak/>
              <w:t>2022/8/26</w:t>
            </w:r>
          </w:p>
        </w:tc>
        <w:tc>
          <w:tcPr>
            <w:tcW w:w="237" w:type="pct"/>
            <w:shd w:val="clear" w:color="auto" w:fill="auto"/>
          </w:tcPr>
          <w:p w14:paraId="0FD3C3C6" w14:textId="77777777" w:rsidR="00E57DAA" w:rsidRDefault="00AC4185">
            <w:pPr>
              <w:rPr>
                <w:szCs w:val="21"/>
              </w:rPr>
            </w:pPr>
            <w:r>
              <w:rPr>
                <w:rFonts w:hint="eastAsia"/>
                <w:szCs w:val="21"/>
              </w:rPr>
              <w:t>是</w:t>
            </w:r>
          </w:p>
        </w:tc>
        <w:tc>
          <w:tcPr>
            <w:tcW w:w="390" w:type="pct"/>
          </w:tcPr>
          <w:p w14:paraId="4A0A3222" w14:textId="77777777" w:rsidR="00E57DAA" w:rsidRDefault="00AC4185">
            <w:pPr>
              <w:rPr>
                <w:szCs w:val="21"/>
              </w:rPr>
            </w:pPr>
            <w:r>
              <w:rPr>
                <w:rFonts w:hint="eastAsia"/>
                <w:szCs w:val="21"/>
              </w:rPr>
              <w:t>2</w:t>
            </w:r>
            <w:r>
              <w:rPr>
                <w:szCs w:val="21"/>
              </w:rPr>
              <w:t>023-2025</w:t>
            </w:r>
            <w:r>
              <w:rPr>
                <w:rFonts w:hint="eastAsia"/>
                <w:szCs w:val="21"/>
              </w:rPr>
              <w:t>年度</w:t>
            </w:r>
          </w:p>
        </w:tc>
        <w:tc>
          <w:tcPr>
            <w:tcW w:w="236" w:type="pct"/>
            <w:shd w:val="clear" w:color="auto" w:fill="auto"/>
          </w:tcPr>
          <w:p w14:paraId="04322CD4" w14:textId="77777777" w:rsidR="00E57DAA" w:rsidRDefault="00AC4185">
            <w:pPr>
              <w:rPr>
                <w:szCs w:val="21"/>
              </w:rPr>
            </w:pPr>
            <w:r>
              <w:t>是</w:t>
            </w:r>
          </w:p>
        </w:tc>
        <w:tc>
          <w:tcPr>
            <w:tcW w:w="339" w:type="pct"/>
            <w:shd w:val="clear" w:color="auto" w:fill="auto"/>
          </w:tcPr>
          <w:p w14:paraId="13EE78C4" w14:textId="77777777" w:rsidR="00E57DAA" w:rsidRDefault="00AC4185">
            <w:pPr>
              <w:rPr>
                <w:szCs w:val="21"/>
              </w:rPr>
            </w:pPr>
            <w:r>
              <w:t>不适用</w:t>
            </w:r>
          </w:p>
        </w:tc>
        <w:tc>
          <w:tcPr>
            <w:tcW w:w="330" w:type="pct"/>
            <w:shd w:val="clear" w:color="auto" w:fill="auto"/>
          </w:tcPr>
          <w:p w14:paraId="3E9BB013" w14:textId="77777777" w:rsidR="00E57DAA" w:rsidRDefault="00AC4185">
            <w:pPr>
              <w:rPr>
                <w:szCs w:val="21"/>
              </w:rPr>
            </w:pPr>
            <w:r>
              <w:t>不适用</w:t>
            </w:r>
          </w:p>
        </w:tc>
      </w:tr>
      <w:tr w:rsidR="00E57DAA" w14:paraId="0E3F26F0" w14:textId="77777777">
        <w:tc>
          <w:tcPr>
            <w:tcW w:w="386" w:type="pct"/>
            <w:vMerge/>
            <w:shd w:val="clear" w:color="auto" w:fill="auto"/>
            <w:vAlign w:val="center"/>
          </w:tcPr>
          <w:p w14:paraId="2CAFCD9F" w14:textId="77777777" w:rsidR="00E57DAA" w:rsidRDefault="00E57DAA" w:rsidP="00C25422">
            <w:pPr>
              <w:pStyle w:val="92"/>
            </w:pPr>
          </w:p>
        </w:tc>
        <w:tc>
          <w:tcPr>
            <w:tcW w:w="236" w:type="pct"/>
            <w:shd w:val="clear" w:color="auto" w:fill="auto"/>
          </w:tcPr>
          <w:p w14:paraId="6F700FAC" w14:textId="77777777" w:rsidR="00E57DAA" w:rsidRDefault="00AC4185">
            <w:pPr>
              <w:rPr>
                <w:szCs w:val="21"/>
              </w:rPr>
            </w:pPr>
            <w:r>
              <w:rPr>
                <w:rFonts w:hint="eastAsia"/>
                <w:szCs w:val="21"/>
              </w:rPr>
              <w:t>其他</w:t>
            </w:r>
          </w:p>
        </w:tc>
        <w:tc>
          <w:tcPr>
            <w:tcW w:w="390" w:type="pct"/>
            <w:shd w:val="clear" w:color="auto" w:fill="auto"/>
          </w:tcPr>
          <w:p w14:paraId="39161B31" w14:textId="77777777" w:rsidR="00E57DAA" w:rsidRDefault="00AC4185">
            <w:pPr>
              <w:rPr>
                <w:szCs w:val="21"/>
              </w:rPr>
            </w:pPr>
            <w:r>
              <w:rPr>
                <w:rFonts w:hint="eastAsia"/>
                <w:szCs w:val="21"/>
              </w:rPr>
              <w:t>公司时任董事、高管</w:t>
            </w:r>
          </w:p>
        </w:tc>
        <w:tc>
          <w:tcPr>
            <w:tcW w:w="1924" w:type="pct"/>
            <w:shd w:val="clear" w:color="auto" w:fill="auto"/>
          </w:tcPr>
          <w:p w14:paraId="201DFB3F" w14:textId="77777777" w:rsidR="00E57DAA" w:rsidRDefault="00AC4185">
            <w:pPr>
              <w:jc w:val="both"/>
              <w:rPr>
                <w:szCs w:val="21"/>
              </w:rPr>
            </w:pPr>
            <w:r>
              <w:rPr>
                <w:szCs w:val="21"/>
              </w:rPr>
              <w:t>1、本人承诺不无偿或以不公平条件向其他单位或者个人输送利益，也不采用其他方式损害上市公司利益。</w:t>
            </w:r>
          </w:p>
          <w:p w14:paraId="393C6E90" w14:textId="77777777" w:rsidR="00E57DAA" w:rsidRDefault="00AC4185">
            <w:pPr>
              <w:jc w:val="both"/>
              <w:rPr>
                <w:szCs w:val="21"/>
              </w:rPr>
            </w:pPr>
            <w:r>
              <w:rPr>
                <w:szCs w:val="21"/>
              </w:rPr>
              <w:t>2、本人承诺对本人的职务消费行为进行约束。</w:t>
            </w:r>
          </w:p>
          <w:p w14:paraId="5E6A5983" w14:textId="77777777" w:rsidR="00E57DAA" w:rsidRDefault="00AC4185">
            <w:pPr>
              <w:jc w:val="both"/>
              <w:rPr>
                <w:szCs w:val="21"/>
              </w:rPr>
            </w:pPr>
            <w:r>
              <w:rPr>
                <w:szCs w:val="21"/>
              </w:rPr>
              <w:t>3、本人承诺不动用上市公司资产从事与本人履行职责无关的投资、消费活动。</w:t>
            </w:r>
          </w:p>
          <w:p w14:paraId="30F8D035" w14:textId="77777777" w:rsidR="00E57DAA" w:rsidRDefault="00AC4185">
            <w:pPr>
              <w:jc w:val="both"/>
              <w:rPr>
                <w:szCs w:val="21"/>
              </w:rPr>
            </w:pPr>
            <w:r>
              <w:rPr>
                <w:szCs w:val="21"/>
              </w:rPr>
              <w:lastRenderedPageBreak/>
              <w:t>4、本人承诺由董事会或薪酬与考核委员会制定的薪酬制度与上市公司填补回报措施的执行情况相挂钩。</w:t>
            </w:r>
          </w:p>
          <w:p w14:paraId="54583E05" w14:textId="77777777" w:rsidR="00E57DAA" w:rsidRDefault="00AC4185">
            <w:pPr>
              <w:jc w:val="both"/>
              <w:rPr>
                <w:szCs w:val="21"/>
              </w:rPr>
            </w:pPr>
            <w:r>
              <w:rPr>
                <w:szCs w:val="21"/>
              </w:rPr>
              <w:t>5、本人承诺若上市公司未来实施股权激励，拟公布的上市公司股权激励的行权条件与上市公司填补回报措施的执行情况相挂钩。</w:t>
            </w:r>
          </w:p>
          <w:p w14:paraId="58502B91" w14:textId="77777777" w:rsidR="00E57DAA" w:rsidRDefault="00AC4185">
            <w:pPr>
              <w:jc w:val="both"/>
              <w:rPr>
                <w:szCs w:val="21"/>
              </w:rPr>
            </w:pPr>
            <w:r>
              <w:rPr>
                <w:szCs w:val="21"/>
              </w:rPr>
              <w:t>6、本承诺出具日至上市公司本次重组完毕前，若中国证监会作出关于填补回报措施及其承诺的其他新的监管规定，且上述承诺不能满足中国证监会该等规定时，本人承诺届时将按照中国证监会的最新规定出具补充承诺。</w:t>
            </w:r>
          </w:p>
          <w:p w14:paraId="16A44D25" w14:textId="77777777" w:rsidR="00E57DAA" w:rsidRDefault="00AC4185">
            <w:pPr>
              <w:jc w:val="both"/>
              <w:rPr>
                <w:szCs w:val="21"/>
              </w:rPr>
            </w:pPr>
            <w:r>
              <w:rPr>
                <w:szCs w:val="21"/>
              </w:rPr>
              <w:t>7、若本人违反上述承诺并给上市公司或者其股东造成损失的，本人愿意依法承担对上市公司或者其股东的补偿责任。</w:t>
            </w:r>
          </w:p>
        </w:tc>
        <w:tc>
          <w:tcPr>
            <w:tcW w:w="532" w:type="pct"/>
          </w:tcPr>
          <w:p w14:paraId="38303465" w14:textId="77777777" w:rsidR="00E57DAA" w:rsidRDefault="00AC4185">
            <w:pPr>
              <w:rPr>
                <w:szCs w:val="21"/>
              </w:rPr>
            </w:pPr>
            <w:r>
              <w:rPr>
                <w:szCs w:val="21"/>
              </w:rPr>
              <w:lastRenderedPageBreak/>
              <w:t>2022/08/26</w:t>
            </w:r>
            <w:r>
              <w:rPr>
                <w:rFonts w:hint="eastAsia"/>
                <w:szCs w:val="21"/>
              </w:rPr>
              <w:t>；</w:t>
            </w:r>
            <w:r>
              <w:rPr>
                <w:szCs w:val="21"/>
              </w:rPr>
              <w:t>2022</w:t>
            </w:r>
            <w:r>
              <w:rPr>
                <w:rFonts w:hint="eastAsia"/>
                <w:szCs w:val="21"/>
              </w:rPr>
              <w:t>/</w:t>
            </w:r>
            <w:r>
              <w:rPr>
                <w:szCs w:val="21"/>
              </w:rPr>
              <w:t>10/21</w:t>
            </w:r>
          </w:p>
        </w:tc>
        <w:tc>
          <w:tcPr>
            <w:tcW w:w="237" w:type="pct"/>
            <w:shd w:val="clear" w:color="auto" w:fill="auto"/>
          </w:tcPr>
          <w:p w14:paraId="2C56EA1F" w14:textId="77777777" w:rsidR="00E57DAA" w:rsidRDefault="00AC4185">
            <w:pPr>
              <w:rPr>
                <w:szCs w:val="21"/>
              </w:rPr>
            </w:pPr>
            <w:r>
              <w:rPr>
                <w:rFonts w:hint="eastAsia"/>
                <w:szCs w:val="21"/>
              </w:rPr>
              <w:t>否</w:t>
            </w:r>
          </w:p>
        </w:tc>
        <w:tc>
          <w:tcPr>
            <w:tcW w:w="390" w:type="pct"/>
          </w:tcPr>
          <w:p w14:paraId="1D608287" w14:textId="77777777" w:rsidR="00E57DAA" w:rsidRDefault="00E57DAA">
            <w:pPr>
              <w:rPr>
                <w:color w:val="FF0000"/>
                <w:szCs w:val="21"/>
              </w:rPr>
            </w:pPr>
          </w:p>
        </w:tc>
        <w:tc>
          <w:tcPr>
            <w:tcW w:w="236" w:type="pct"/>
            <w:shd w:val="clear" w:color="auto" w:fill="auto"/>
          </w:tcPr>
          <w:p w14:paraId="1A7C31AA" w14:textId="77777777" w:rsidR="00E57DAA" w:rsidRDefault="00AC4185">
            <w:pPr>
              <w:rPr>
                <w:szCs w:val="21"/>
              </w:rPr>
            </w:pPr>
            <w:r>
              <w:rPr>
                <w:rFonts w:hint="eastAsia"/>
                <w:szCs w:val="21"/>
              </w:rPr>
              <w:t>是</w:t>
            </w:r>
          </w:p>
        </w:tc>
        <w:tc>
          <w:tcPr>
            <w:tcW w:w="339" w:type="pct"/>
            <w:shd w:val="clear" w:color="auto" w:fill="auto"/>
          </w:tcPr>
          <w:p w14:paraId="2989F836" w14:textId="77777777" w:rsidR="00E57DAA" w:rsidRDefault="00AC4185">
            <w:pPr>
              <w:rPr>
                <w:szCs w:val="21"/>
              </w:rPr>
            </w:pPr>
            <w:r>
              <w:rPr>
                <w:rFonts w:hint="eastAsia"/>
                <w:szCs w:val="21"/>
              </w:rPr>
              <w:t>不适用</w:t>
            </w:r>
          </w:p>
        </w:tc>
        <w:tc>
          <w:tcPr>
            <w:tcW w:w="330" w:type="pct"/>
            <w:shd w:val="clear" w:color="auto" w:fill="auto"/>
          </w:tcPr>
          <w:p w14:paraId="2D0404F6" w14:textId="77777777" w:rsidR="00E57DAA" w:rsidRDefault="00AC4185">
            <w:pPr>
              <w:rPr>
                <w:szCs w:val="21"/>
              </w:rPr>
            </w:pPr>
            <w:r>
              <w:rPr>
                <w:rFonts w:hint="eastAsia"/>
                <w:szCs w:val="21"/>
              </w:rPr>
              <w:t>不适用</w:t>
            </w:r>
          </w:p>
        </w:tc>
      </w:tr>
    </w:tbl>
    <w:p w14:paraId="27C5894D" w14:textId="77777777" w:rsidR="00E57DAA" w:rsidRDefault="00E57DAA" w:rsidP="00C25422">
      <w:pPr>
        <w:pStyle w:val="92"/>
      </w:pPr>
    </w:p>
    <w:p w14:paraId="603106B8" w14:textId="77777777" w:rsidR="00E57DAA" w:rsidRDefault="00E57DAA" w:rsidP="00C25422">
      <w:pPr>
        <w:pStyle w:val="92"/>
      </w:pPr>
    </w:p>
    <w:p w14:paraId="53DBA014" w14:textId="77777777" w:rsidR="00E57DAA" w:rsidRDefault="00E57DAA">
      <w:pPr>
        <w:rPr>
          <w:szCs w:val="21"/>
        </w:rPr>
        <w:sectPr w:rsidR="00E57DAA" w:rsidSect="00226547">
          <w:pgSz w:w="16838" w:h="11906" w:orient="landscape"/>
          <w:pgMar w:top="1797" w:right="1525" w:bottom="1276" w:left="1440" w:header="855" w:footer="992" w:gutter="0"/>
          <w:cols w:space="425"/>
          <w:docGrid w:linePitch="312"/>
        </w:sectPr>
      </w:pPr>
    </w:p>
    <w:p w14:paraId="2B98F3F0" w14:textId="77777777" w:rsidR="00E57DAA" w:rsidRDefault="00AC4185">
      <w:pPr>
        <w:pStyle w:val="3"/>
        <w:numPr>
          <w:ilvl w:val="1"/>
          <w:numId w:val="32"/>
        </w:numPr>
      </w:pPr>
      <w:r>
        <w:lastRenderedPageBreak/>
        <w:t>公司资产或项目存在盈利预测，且报告期仍处在盈利预测期间，公司就资产或项目</w:t>
      </w:r>
    </w:p>
    <w:p w14:paraId="25D2FB68" w14:textId="77777777" w:rsidR="00E57DAA" w:rsidRDefault="00AC4185">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1159914594"/>
        <w:placeholder>
          <w:docPart w:val="GBC22222222222222222222222222222"/>
        </w:placeholder>
      </w:sdtPr>
      <w:sdtEndPr/>
      <w:sdtContent>
        <w:p w14:paraId="2A03879E" w14:textId="77777777" w:rsidR="00E57DAA" w:rsidRDefault="00AC4185">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资产或项目是否达到原盈利预测及其原因作出的说明"/>
        <w:tag w:val="_GBC_bf6c5c3316ff4bcbbbc0df37a537aa95"/>
        <w:id w:val="-661617393"/>
        <w:placeholder>
          <w:docPart w:val="GBC22222222222222222222222222222"/>
        </w:placeholder>
      </w:sdtPr>
      <w:sdtEndPr/>
      <w:sdtContent>
        <w:p w14:paraId="64769322" w14:textId="77777777" w:rsidR="00E57DAA" w:rsidRDefault="00AC4185">
          <w:pPr>
            <w:ind w:firstLineChars="200" w:firstLine="420"/>
            <w:jc w:val="both"/>
            <w:rPr>
              <w:szCs w:val="21"/>
            </w:rPr>
          </w:pPr>
          <w:r>
            <w:rPr>
              <w:rFonts w:hint="eastAsia"/>
              <w:szCs w:val="21"/>
            </w:rPr>
            <w:t>根据公司《发行股份及支付现金购买资产暨关联交易报告书（草案）》披露，公司向建材国际工程、建材研究总院发行股份购买其持有的北京凯盛</w:t>
          </w:r>
          <w:r>
            <w:rPr>
              <w:szCs w:val="21"/>
            </w:rPr>
            <w:t>100.00%股权；向建材国际工程、冯建华等 49 名自然人支付现金购买其持有的南京凯盛98.00%股权；向中国建材股份发行股份购买其持有的中材矿山100.00%股权时，与中国建材、建材国际工程、建材研究总院、冯建华等49名自然人签署了《业绩补偿协议》。</w:t>
          </w:r>
          <w:r>
            <w:rPr>
              <w:rFonts w:hint="eastAsia"/>
              <w:szCs w:val="21"/>
            </w:rPr>
            <w:t>根据公司</w:t>
          </w:r>
          <w:r>
            <w:t>《</w:t>
          </w:r>
          <w:r>
            <w:rPr>
              <w:rFonts w:hint="eastAsia"/>
            </w:rPr>
            <w:t>发行股份及支付现金购买资产暨关联交易报告书（草案）（修订稿）</w:t>
          </w:r>
          <w:r>
            <w:t>》</w:t>
          </w:r>
          <w:r>
            <w:rPr>
              <w:rFonts w:hint="eastAsia"/>
            </w:rPr>
            <w:t>披露，公司</w:t>
          </w:r>
          <w:r>
            <w:t>向中国建材总院发行股份及支付现金购买其持有的合肥院 100% 股权</w:t>
          </w:r>
          <w:r>
            <w:rPr>
              <w:rFonts w:hint="eastAsia"/>
            </w:rPr>
            <w:t>时，与</w:t>
          </w:r>
          <w:r>
            <w:t>中国建材总院</w:t>
          </w:r>
          <w:r>
            <w:rPr>
              <w:rFonts w:hint="eastAsia"/>
            </w:rPr>
            <w:t>签署了</w:t>
          </w:r>
          <w:r>
            <w:t>《业绩承诺补偿协议》</w:t>
          </w:r>
          <w:r>
            <w:rPr>
              <w:rFonts w:hint="eastAsia"/>
            </w:rPr>
            <w:t>和</w:t>
          </w:r>
          <w:r>
            <w:t>《业绩承诺补偿协议之补充协议》</w:t>
          </w:r>
          <w:r>
            <w:rPr>
              <w:rFonts w:hint="eastAsia"/>
              <w:szCs w:val="21"/>
            </w:rPr>
            <w:t>。</w:t>
          </w:r>
          <w:r>
            <w:rPr>
              <w:szCs w:val="21"/>
            </w:rPr>
            <w:t xml:space="preserve"> </w:t>
          </w:r>
        </w:p>
        <w:p w14:paraId="33F77E48" w14:textId="77777777" w:rsidR="00E57DAA" w:rsidRDefault="00AC4185">
          <w:pPr>
            <w:ind w:firstLineChars="200" w:firstLine="420"/>
            <w:jc w:val="both"/>
            <w:rPr>
              <w:szCs w:val="21"/>
            </w:rPr>
          </w:pPr>
          <w:r>
            <w:rPr>
              <w:rFonts w:hint="eastAsia"/>
              <w:szCs w:val="21"/>
            </w:rPr>
            <w:t>报告期，四家标的公司积极落实公司战略，高效融入公司管理体系，充分发挥协同效应，完成</w:t>
          </w:r>
          <w:r>
            <w:rPr>
              <w:szCs w:val="21"/>
            </w:rPr>
            <w:t>202</w:t>
          </w:r>
          <w:r>
            <w:rPr>
              <w:rFonts w:hint="eastAsia"/>
              <w:szCs w:val="21"/>
            </w:rPr>
            <w:t>3</w:t>
          </w:r>
          <w:r>
            <w:rPr>
              <w:szCs w:val="21"/>
            </w:rPr>
            <w:t>年业绩目标。</w:t>
          </w:r>
        </w:p>
      </w:sdtContent>
    </w:sdt>
    <w:p w14:paraId="38B45E75" w14:textId="77777777" w:rsidR="00E57DAA" w:rsidRDefault="00E57DAA" w:rsidP="00C25422">
      <w:pPr>
        <w:pStyle w:val="92"/>
      </w:pPr>
    </w:p>
    <w:p w14:paraId="7A988139" w14:textId="77777777" w:rsidR="00E57DAA" w:rsidRDefault="00AC4185">
      <w:pPr>
        <w:pStyle w:val="3"/>
        <w:numPr>
          <w:ilvl w:val="1"/>
          <w:numId w:val="32"/>
        </w:numPr>
      </w:pPr>
      <w:r>
        <w:rPr>
          <w:rFonts w:hint="eastAsia"/>
        </w:rPr>
        <w:t>业绩承诺的完成情况及其对商誉减值测试的影响</w:t>
      </w:r>
    </w:p>
    <w:bookmarkStart w:id="99" w:name="_Hlk533667690"/>
    <w:p w14:paraId="47A255ED" w14:textId="77777777" w:rsidR="00E57DAA" w:rsidRDefault="00EB41A1">
      <w:pPr>
        <w:rPr>
          <w:b/>
          <w:szCs w:val="21"/>
        </w:rPr>
      </w:pPr>
      <w:sdt>
        <w:sdtPr>
          <w:rPr>
            <w:rFonts w:hint="eastAsia"/>
            <w:b/>
            <w:szCs w:val="21"/>
          </w:rPr>
          <w:alias w:val="是否适用：承诺事项-商誉减值测试的影响[双击切换]"/>
          <w:tag w:val="_GBC_659442fc24654f8db642f18c0532cf99"/>
          <w:id w:val="-559094991"/>
          <w:placeholder>
            <w:docPart w:val="GBC22222222222222222222222222222"/>
          </w:placeholder>
        </w:sdtPr>
        <w:sdtEndPr/>
        <w:sdtContent>
          <w:r w:rsidR="00AC4185">
            <w:rPr>
              <w:szCs w:val="21"/>
            </w:rPr>
            <w:fldChar w:fldCharType="begin"/>
          </w:r>
          <w:r w:rsidR="00AC4185">
            <w:rPr>
              <w:szCs w:val="21"/>
            </w:rPr>
            <w:instrText xml:space="preserve"> 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p>
    <w:sdt>
      <w:sdtPr>
        <w:rPr>
          <w:rFonts w:ascii="宋体" w:hAnsi="宋体" w:cs="宋体"/>
          <w:kern w:val="0"/>
          <w:sz w:val="20"/>
          <w:szCs w:val="24"/>
        </w:rPr>
        <w:alias w:val="承诺事项-商誉减值测试的影响"/>
        <w:tag w:val="_GBC_f964e298607e481bb1f3c203e2cd9e81"/>
        <w:id w:val="-452091624"/>
        <w:placeholder>
          <w:docPart w:val="GBC22222222222222222222222222222"/>
        </w:placeholder>
      </w:sdtPr>
      <w:sdtEndPr>
        <w:rPr>
          <w:rFonts w:ascii="Calibri" w:hAnsi="Calibri" w:cs="Times New Roman"/>
          <w:kern w:val="2"/>
          <w:sz w:val="21"/>
          <w:szCs w:val="22"/>
        </w:rPr>
      </w:sdtEndPr>
      <w:sdtContent>
        <w:sdt>
          <w:sdtPr>
            <w:rPr>
              <w:rFonts w:ascii="宋体" w:hAnsi="宋体" w:cs="宋体"/>
              <w:kern w:val="0"/>
              <w:sz w:val="20"/>
              <w:szCs w:val="24"/>
            </w:rPr>
            <w:alias w:val="承诺事项-商誉减值测试的影响"/>
            <w:tag w:val="_GBC_f964e298607e481bb1f3c203e2cd9e81"/>
            <w:id w:val="917527146"/>
            <w:placeholder>
              <w:docPart w:val="{37b702e8-6464-4fcb-8489-d0967d94ebd0}"/>
            </w:placeholder>
          </w:sdtPr>
          <w:sdtEndPr>
            <w:rPr>
              <w:rFonts w:ascii="Calibri" w:hAnsi="Calibri" w:cs="Times New Roman"/>
              <w:kern w:val="2"/>
              <w:sz w:val="21"/>
              <w:szCs w:val="22"/>
            </w:rPr>
          </w:sdtEndPr>
          <w:sdtContent>
            <w:sdt>
              <w:sdtPr>
                <w:rPr>
                  <w:rFonts w:ascii="宋体" w:hAnsi="宋体" w:cs="宋体"/>
                  <w:kern w:val="0"/>
                  <w:sz w:val="20"/>
                  <w:szCs w:val="24"/>
                </w:rPr>
                <w:alias w:val="承诺事项-商誉减值测试的影响"/>
                <w:tag w:val="_GBC_f964e298607e481bb1f3c203e2cd9e81"/>
                <w:id w:val="-1820260005"/>
                <w:placeholder>
                  <w:docPart w:val="4E675C0EE87E4405B3E00B0C2BD2C33E"/>
                </w:placeholder>
              </w:sdtPr>
              <w:sdtEndPr/>
              <w:sdtContent>
                <w:sdt>
                  <w:sdtPr>
                    <w:rPr>
                      <w:rFonts w:ascii="宋体" w:hAnsi="宋体" w:cs="宋体"/>
                      <w:kern w:val="0"/>
                      <w:sz w:val="20"/>
                      <w:szCs w:val="24"/>
                    </w:rPr>
                    <w:alias w:val="承诺事项-商誉减值测试的影响"/>
                    <w:tag w:val="_GBC_f964e298607e481bb1f3c203e2cd9e81"/>
                    <w:id w:val="781849167"/>
                    <w:placeholder>
                      <w:docPart w:val="EA6A0251D58F4F49BF6070F6C332F7D6"/>
                    </w:placeholder>
                  </w:sdtPr>
                  <w:sdtEndPr/>
                  <w:sdtContent>
                    <w:p w14:paraId="39C7466E" w14:textId="77777777" w:rsidR="003A1C16" w:rsidRPr="003A1C16" w:rsidRDefault="003A1C16" w:rsidP="003A1C16">
                      <w:pPr>
                        <w:pStyle w:val="affc"/>
                        <w:numPr>
                          <w:ilvl w:val="1"/>
                          <w:numId w:val="31"/>
                        </w:numPr>
                        <w:ind w:firstLineChars="0"/>
                      </w:pPr>
                      <w:r w:rsidRPr="003A1C16">
                        <w:rPr>
                          <w:rFonts w:hint="eastAsia"/>
                        </w:rPr>
                        <w:t>关于中材矿山资产重组业绩承诺实现情况的说明</w:t>
                      </w:r>
                    </w:p>
                    <w:p w14:paraId="2CE5C1EE" w14:textId="77777777" w:rsidR="003A1C16" w:rsidRPr="003A1C16" w:rsidRDefault="003A1C16" w:rsidP="003A1C16">
                      <w:pPr>
                        <w:ind w:left="420"/>
                      </w:pPr>
                    </w:p>
                    <w:p w14:paraId="054D8462" w14:textId="77777777" w:rsidR="003A1C16" w:rsidRPr="003A1C16" w:rsidRDefault="003A1C16" w:rsidP="003A1C16">
                      <w:pPr>
                        <w:ind w:left="420"/>
                      </w:pPr>
                      <w:r w:rsidRPr="003A1C16">
                        <w:rPr>
                          <w:rFonts w:hint="eastAsia"/>
                        </w:rPr>
                        <w:t>（一）业绩承诺情况</w:t>
                      </w:r>
                    </w:p>
                    <w:p w14:paraId="09DC4A91" w14:textId="77777777" w:rsidR="003A1C16" w:rsidRPr="003A1C16" w:rsidRDefault="003A1C16" w:rsidP="003A1C16">
                      <w:pPr>
                        <w:ind w:left="420" w:firstLineChars="200" w:firstLine="420"/>
                        <w:jc w:val="both"/>
                      </w:pPr>
                      <w:r w:rsidRPr="003A1C16">
                        <w:rPr>
                          <w:rFonts w:hint="eastAsia"/>
                        </w:rPr>
                        <w:t>根据《中国中材国际工程股份有限公司与中国建材股份有限公司之业绩承诺补偿协议》：</w:t>
                      </w:r>
                    </w:p>
                    <w:p w14:paraId="63256188" w14:textId="77777777" w:rsidR="003A1C16" w:rsidRPr="003A1C16" w:rsidRDefault="003A1C16" w:rsidP="003A1C16">
                      <w:pPr>
                        <w:ind w:left="420" w:firstLineChars="200" w:firstLine="420"/>
                        <w:jc w:val="both"/>
                      </w:pPr>
                      <w:r w:rsidRPr="003A1C16">
                        <w:rPr>
                          <w:rFonts w:hint="eastAsia"/>
                        </w:rPr>
                        <w:t>如本次交易于</w:t>
                      </w:r>
                      <w:r w:rsidRPr="003A1C16">
                        <w:t>2021年实施完毕，中国建材股份承诺：中国建筑材料工业建设西安工程有限公司（以下简称中材西安）在2021年、2022年、2023年各会计年度应实现的承诺净利润数分别不低于5,303.89万元、4,974.56万元、5,005.60万元，中国非金属材料南京矿山工程有限公司（以下简称南京矿山）和重庆中材参天建材有限公司（以下简称重庆参天）2021年、2022年、2023年各会计年度应实现的承诺净利润合计数分别不低于8,717.26万元、9,270.79万元、10,241.93万元，且4项采矿权（以下</w:t>
                      </w:r>
                      <w:r w:rsidRPr="003A1C16">
                        <w:rPr>
                          <w:rFonts w:hint="eastAsia"/>
                        </w:rPr>
                        <w:t>简称采矿权资产）</w:t>
                      </w:r>
                      <w:r w:rsidRPr="003A1C16">
                        <w:t>2021年至2023年三个会计年度累计应实现的承诺净利润合计数不低于7,469.97万元。</w:t>
                      </w:r>
                    </w:p>
                    <w:p w14:paraId="2C1B9BD6" w14:textId="77777777" w:rsidR="003A1C16" w:rsidRPr="003A1C16" w:rsidRDefault="003A1C16" w:rsidP="003A1C16">
                      <w:pPr>
                        <w:ind w:left="420" w:firstLineChars="200" w:firstLine="420"/>
                        <w:jc w:val="both"/>
                      </w:pPr>
                      <w:r w:rsidRPr="003A1C16">
                        <w:rPr>
                          <w:rFonts w:hint="eastAsia"/>
                        </w:rPr>
                        <w:t>如本次交易于</w:t>
                      </w:r>
                      <w:r w:rsidRPr="003A1C16">
                        <w:t>2022年实施完毕，中国建材股份承诺：中材西安在2022年、2023年、2024年各会计年度应实现的承诺净利润数分别不低于4,974.56万元、5,005.60万元、4,456.02万元，南京矿山和重庆参天2022年、2023年、2024年各会计年度应实现的承诺净利润合计数分别不低于9,270.79万元、10,241.93万元、10,629.71万元，且采矿权资产2022年至2024年三个会计年度累计应实现的承诺净利润合计数不低于9,164.17万元。</w:t>
                      </w:r>
                    </w:p>
                    <w:p w14:paraId="3A363D21" w14:textId="77777777" w:rsidR="003A1C16" w:rsidRPr="003A1C16" w:rsidRDefault="003A1C16" w:rsidP="003A1C16">
                      <w:pPr>
                        <w:ind w:left="420" w:firstLineChars="200" w:firstLine="420"/>
                        <w:jc w:val="both"/>
                      </w:pPr>
                      <w:r w:rsidRPr="003A1C16">
                        <w:rPr>
                          <w:rFonts w:hint="eastAsia"/>
                        </w:rPr>
                        <w:t>各方确认，业绩承诺范围内公司于业绩承诺期间内每年实际实现的净利润数应分别不低于中国建材股份同期承诺净利润数，采矿权资产于业绩承诺期间三个会计年度累计实现的净利润数应不低于中国建材股份承诺的累计净利润数，否则中国建材股份应按照本协议约定对本公司予以补偿。</w:t>
                      </w:r>
                    </w:p>
                    <w:p w14:paraId="4DD3F367" w14:textId="77777777" w:rsidR="003A1C16" w:rsidRPr="003A1C16" w:rsidRDefault="003A1C16" w:rsidP="003A1C16">
                      <w:pPr>
                        <w:ind w:left="420" w:firstLineChars="200" w:firstLine="420"/>
                        <w:jc w:val="both"/>
                      </w:pPr>
                      <w:r w:rsidRPr="003A1C16">
                        <w:rPr>
                          <w:rFonts w:hint="eastAsia"/>
                        </w:rPr>
                        <w:t>在业绩承诺期间，发生本协议约定的中国建材股份应向本公司承担补偿责任的情形，中国建材股份应按如下方式向本公司进行补偿：</w:t>
                      </w:r>
                    </w:p>
                    <w:p w14:paraId="572D9D25" w14:textId="77777777" w:rsidR="003A1C16" w:rsidRPr="003A1C16" w:rsidRDefault="003A1C16" w:rsidP="003A1C16">
                      <w:pPr>
                        <w:ind w:left="420" w:firstLineChars="200" w:firstLine="420"/>
                        <w:jc w:val="both"/>
                      </w:pPr>
                      <w:r w:rsidRPr="003A1C16">
                        <w:t>1、中国建材股份应优先以通过本次交易获得的本公司的股份向本公司补偿，股份补偿不足时，以人民币现金补偿。但若在业绩承诺期间因中国建材股份所持本公司股份被冻结、强制执行等导致中国建材股份转让所持股份受到限制情形出现，本公司有权直接要求中国建材股份进行现金补偿。</w:t>
                      </w:r>
                    </w:p>
                    <w:p w14:paraId="0BF26F68" w14:textId="77777777" w:rsidR="003A1C16" w:rsidRPr="003A1C16" w:rsidRDefault="003A1C16" w:rsidP="003A1C16">
                      <w:pPr>
                        <w:ind w:left="420" w:firstLineChars="200" w:firstLine="420"/>
                        <w:jc w:val="both"/>
                      </w:pPr>
                      <w:r w:rsidRPr="003A1C16">
                        <w:t>2、业绩承诺期间内，中国建材股份依照下述公式分别计算应补偿金额（下述业绩承诺资产一、业绩承诺资产二、业绩承诺资产三合称为各项业绩承诺资产，单独称为某项业绩承诺资产）：</w:t>
                      </w:r>
                    </w:p>
                    <w:p w14:paraId="6EA8AFE3" w14:textId="77777777" w:rsidR="003A1C16" w:rsidRPr="003A1C16" w:rsidRDefault="003A1C16" w:rsidP="003A1C16">
                      <w:pPr>
                        <w:ind w:left="420" w:firstLineChars="200" w:firstLine="420"/>
                        <w:jc w:val="both"/>
                      </w:pPr>
                      <w:r w:rsidRPr="003A1C16">
                        <w:rPr>
                          <w:rFonts w:hint="eastAsia"/>
                        </w:rPr>
                        <w:t>（</w:t>
                      </w:r>
                      <w:r w:rsidRPr="003A1C16">
                        <w:t>1）中材西安全部净资产（以下简称业绩承诺资产一）当期应补偿金额=（截至当期期末中材西安累积承诺净利润数－截至当期期末中材西安累积实现净利润数）÷业绩承诺期间内各年的中材西安承诺净利润数总和×中材西安全部净资产交易价格－截至当期期末中国建材股份就该项资产累积已补偿金额。</w:t>
                      </w:r>
                    </w:p>
                    <w:p w14:paraId="58707FC4" w14:textId="77777777" w:rsidR="003A1C16" w:rsidRPr="003A1C16" w:rsidRDefault="003A1C16" w:rsidP="003A1C16">
                      <w:pPr>
                        <w:ind w:left="420" w:firstLineChars="200" w:firstLine="420"/>
                        <w:jc w:val="both"/>
                      </w:pPr>
                      <w:r w:rsidRPr="003A1C16">
                        <w:rPr>
                          <w:rFonts w:hint="eastAsia"/>
                        </w:rPr>
                        <w:t>（</w:t>
                      </w:r>
                      <w:r w:rsidRPr="003A1C16">
                        <w:t>2）南京矿山、重庆参天除采矿权资产外的无形资产（以下简称业绩承诺资产二）实际净利润数=∑（南京矿山、重庆参天单家公司实现的扣除非经常性损益后的净利润数×本</w:t>
                      </w:r>
                      <w:r w:rsidRPr="003A1C16">
                        <w:lastRenderedPageBreak/>
                        <w:t>次重组该公司置入的股权比例），当期应补偿金额=（南京矿山、重庆参天截至当期期末累积承诺净利润数－南京矿山、重庆参天截至当期期末累积实际净利润数）÷南京矿山、重庆参天业绩承诺期间内各年的承诺净利润数总和×业绩承诺资产二的合计交易价格－截至当期期末中国建材股份就该部分资产累积已补偿金额。就上述业绩承诺资产一和业绩承诺资产二，当期应补偿股份数量=当期应补偿金额</w:t>
                      </w:r>
                      <w:r w:rsidRPr="003A1C16">
                        <w:rPr>
                          <w:rFonts w:hint="eastAsia"/>
                        </w:rPr>
                        <w:t>÷本次交易的每股发行价格（在业绩承诺期间内，如本次发行价格依据《发行股份及支付现金购买资产协议》发生调整，则应以调整后的发行价格为准计算，下同）。</w:t>
                      </w:r>
                    </w:p>
                    <w:p w14:paraId="6EE2560C" w14:textId="77777777" w:rsidR="003A1C16" w:rsidRPr="003A1C16" w:rsidRDefault="003A1C16" w:rsidP="003A1C16">
                      <w:pPr>
                        <w:ind w:left="420" w:firstLineChars="200" w:firstLine="420"/>
                        <w:jc w:val="both"/>
                      </w:pPr>
                      <w:r w:rsidRPr="003A1C16">
                        <w:rPr>
                          <w:rFonts w:hint="eastAsia"/>
                        </w:rPr>
                        <w:t>（</w:t>
                      </w:r>
                      <w:r w:rsidRPr="003A1C16">
                        <w:t>3）采矿权资产（以下简称业绩承诺资产三）实际净利润数=采矿权资产在其对应业绩承诺补偿期内累积实现的扣除非经常性损益后的净利润数×51%业绩承诺期间届满时应补偿金额=（承诺累积净利润数－实际累积实际净利润数）÷采矿权资产承诺累积净利润数×业绩承诺资产三的合计交易价格就业绩承诺资产三，业绩承诺期间届满时应补偿股份数量=应补偿金额÷本次交易的每股发行价格（在业绩承诺期间内，如本次发行价格依据《发行股份及支付现金购买资产协议》发生调整，则应以调整后的发行价格为准计算，下同）。就上述各项业绩承诺资产，若中国建材股份</w:t>
                      </w:r>
                      <w:r w:rsidRPr="003A1C16">
                        <w:rPr>
                          <w:rFonts w:hint="eastAsia"/>
                        </w:rPr>
                        <w:t>于本次交易中取得的股份不足补偿，则其应进一步以现金进行补偿，计算公式为：应补偿现金＝应补偿金额</w:t>
                      </w:r>
                      <w:r w:rsidRPr="003A1C16">
                        <w:t>-已补偿股份数量×本次交易的每股发行价格。</w:t>
                      </w:r>
                    </w:p>
                    <w:p w14:paraId="7C0BEE03" w14:textId="77777777" w:rsidR="003A1C16" w:rsidRPr="003A1C16" w:rsidRDefault="003A1C16" w:rsidP="003A1C16">
                      <w:pPr>
                        <w:ind w:left="420" w:firstLineChars="200" w:firstLine="420"/>
                        <w:jc w:val="both"/>
                      </w:pPr>
                      <w:r w:rsidRPr="003A1C16">
                        <w:t>3、在业绩承诺期间届满时，由本公司决定并聘请具有合格资质的中介机构对业绩承诺资产一、业绩承诺资产二、业绩承诺资产三分别进行减值测试，并出具减值测试报告或专项审核意见。收益法评估资产的减值情况应根据前述《减值测试报告》或专项审核意见分别确定，并按照业绩承诺资产一、业绩承诺资产二、业绩承诺资产三各自的减值情况及已就该项业绩承诺资产的已补偿金额单独、分别确定中国建材股份的减值补偿义务。</w:t>
                      </w:r>
                    </w:p>
                    <w:p w14:paraId="70B6D968" w14:textId="77777777" w:rsidR="003A1C16" w:rsidRPr="003A1C16" w:rsidRDefault="003A1C16" w:rsidP="003A1C16">
                      <w:pPr>
                        <w:ind w:left="420" w:firstLineChars="200" w:firstLine="420"/>
                        <w:jc w:val="both"/>
                      </w:pPr>
                      <w:r w:rsidRPr="003A1C16">
                        <w:rPr>
                          <w:rFonts w:hint="eastAsia"/>
                        </w:rPr>
                        <w:t>（</w:t>
                      </w:r>
                      <w:r w:rsidRPr="003A1C16">
                        <w:t>1）经减值测试，如某项业绩承诺资产的期末减值额&gt;（已就该项业绩承诺资产补偿股份总数×本次交易每股发行价格＋中国建材股份已就该项业绩承诺资产补偿现金总额），则中国建材股份应当另行向本公司进行补偿。某项业绩承诺资产的期末减值额等于某项业绩承诺资产本次交易评估价值减去该项业绩承诺资产期末评估价值后的金额并扣除业绩承诺期间内该项业绩承诺资产增资、减资、接受赠与以及利润分配的影响。中国建材股份减值测试补偿金额计算公式如下：就某项业绩承诺资产的减值测试补偿金额=某项业绩承诺资产期末减值额－补偿期限内已就该项业绩承诺资</w:t>
                      </w:r>
                      <w:r w:rsidRPr="003A1C16">
                        <w:rPr>
                          <w:rFonts w:hint="eastAsia"/>
                        </w:rPr>
                        <w:t>产补偿股份总数×每股发行价格—业绩承诺期间内已就该项业绩承诺资产补偿现金金额。就某项业绩承诺资产的减值测试补偿的股份数量</w:t>
                      </w:r>
                      <w:r w:rsidRPr="003A1C16">
                        <w:t>=就某项业绩承诺资产的减值测试补偿金额÷本次交易的每股发行价格。</w:t>
                      </w:r>
                    </w:p>
                    <w:p w14:paraId="31BF4F69" w14:textId="77777777" w:rsidR="003A1C16" w:rsidRPr="003A1C16" w:rsidRDefault="003A1C16" w:rsidP="003A1C16">
                      <w:pPr>
                        <w:ind w:left="420" w:firstLineChars="200" w:firstLine="420"/>
                        <w:jc w:val="both"/>
                      </w:pPr>
                      <w:r w:rsidRPr="003A1C16">
                        <w:rPr>
                          <w:rFonts w:hint="eastAsia"/>
                        </w:rPr>
                        <w:t>（</w:t>
                      </w:r>
                      <w:r w:rsidRPr="003A1C16">
                        <w:t>2）中国建材股份应优先以股份另行补偿，如果中国建材股份于本次交易中认购的股份不足补偿，则其应进一步以现金进行补偿。</w:t>
                      </w:r>
                    </w:p>
                    <w:p w14:paraId="135646E3" w14:textId="77777777" w:rsidR="003A1C16" w:rsidRPr="003A1C16" w:rsidRDefault="003A1C16" w:rsidP="003A1C16">
                      <w:pPr>
                        <w:ind w:left="420" w:firstLineChars="200" w:firstLine="420"/>
                        <w:jc w:val="both"/>
                      </w:pPr>
                      <w:r w:rsidRPr="003A1C16">
                        <w:rPr>
                          <w:rFonts w:hint="eastAsia"/>
                        </w:rPr>
                        <w:t>（</w:t>
                      </w:r>
                      <w:r w:rsidRPr="003A1C16">
                        <w:t>3）中国建材股份因某项业绩承诺资产实际实现的净利润数低于承诺净利润数或某项业绩承诺资产期末发生减值而向本公司支付的股份补偿及现金补偿总额分别不超过该项业绩承诺资产的总交易价格。</w:t>
                      </w:r>
                    </w:p>
                    <w:p w14:paraId="6FEA40D6" w14:textId="77777777" w:rsidR="003A1C16" w:rsidRPr="003A1C16" w:rsidRDefault="003A1C16" w:rsidP="003A1C16">
                      <w:pPr>
                        <w:ind w:left="420" w:firstLineChars="200" w:firstLine="420"/>
                        <w:jc w:val="both"/>
                      </w:pPr>
                      <w:r w:rsidRPr="003A1C16">
                        <w:rPr>
                          <w:rFonts w:hint="eastAsia"/>
                        </w:rPr>
                        <w:t>（</w:t>
                      </w:r>
                      <w:r w:rsidRPr="003A1C16">
                        <w:t>4）如本公司在利润承诺期间实施转增或送股分配等除权事项的，则“每股发行价格”及“已补偿股份总数”进行相应调整，按照上述公式计算的应补偿股份数数量在个位之后存在尾数的，均按照舍去尾数并增加1股的方式进行处理。</w:t>
                      </w:r>
                    </w:p>
                    <w:p w14:paraId="08C651CC" w14:textId="77777777" w:rsidR="003A1C16" w:rsidRPr="003A1C16" w:rsidRDefault="003A1C16" w:rsidP="003A1C16">
                      <w:pPr>
                        <w:ind w:left="420" w:firstLineChars="200" w:firstLine="420"/>
                        <w:jc w:val="both"/>
                      </w:pPr>
                      <w:r w:rsidRPr="003A1C16">
                        <w:rPr>
                          <w:rFonts w:hint="eastAsia"/>
                        </w:rPr>
                        <w:t>（</w:t>
                      </w:r>
                      <w:r w:rsidRPr="003A1C16">
                        <w:t>5）除非法律法规有强制性规定或各方另行约定，减值测试所采取的估值方法应与本次交易所涉资产评估报告中收益法资产的评估方法保持一致。</w:t>
                      </w:r>
                    </w:p>
                    <w:p w14:paraId="3B3CC2EC" w14:textId="77777777" w:rsidR="003A1C16" w:rsidRPr="003A1C16" w:rsidRDefault="003A1C16" w:rsidP="003A1C16">
                      <w:pPr>
                        <w:ind w:left="420" w:firstLineChars="200" w:firstLine="420"/>
                        <w:jc w:val="both"/>
                      </w:pPr>
                      <w:r w:rsidRPr="003A1C16">
                        <w:rPr>
                          <w:rFonts w:hint="eastAsia"/>
                        </w:rPr>
                        <w:t>（</w:t>
                      </w:r>
                      <w:r w:rsidRPr="003A1C16">
                        <w:t>6）中国建材股份因本次交易获得的股份交割日起至中国建材股份完成约定的补偿义务前，如本公司实施现金股利分配，中国建材股份所取得应补偿股份对应的现金股利部分应无偿返还至本公司指定的账户内，返还的现金股利不作为已补偿金额，不计入各期应补偿金额的计算。分红返还金额的计算公式为：返还金额=每股已分配的现金股利（税后金额为准）×当期补偿股份数量。</w:t>
                      </w:r>
                    </w:p>
                    <w:p w14:paraId="250E99F9" w14:textId="77777777" w:rsidR="003A1C16" w:rsidRPr="003A1C16" w:rsidRDefault="003A1C16" w:rsidP="003A1C16">
                      <w:pPr>
                        <w:ind w:left="420" w:firstLineChars="200" w:firstLine="420"/>
                      </w:pPr>
                      <w:r w:rsidRPr="003A1C16">
                        <w:rPr>
                          <w:rFonts w:hint="eastAsia"/>
                        </w:rPr>
                        <w:t>（二）业绩承诺实现情况</w:t>
                      </w:r>
                    </w:p>
                    <w:p w14:paraId="3C35AED0" w14:textId="77777777" w:rsidR="003A1C16" w:rsidRPr="003A1C16" w:rsidRDefault="003A1C16" w:rsidP="003A1C16">
                      <w:pPr>
                        <w:ind w:left="420" w:firstLineChars="200" w:firstLine="420"/>
                      </w:pPr>
                      <w:r w:rsidRPr="003A1C16">
                        <w:t>1、2021年度业绩承诺实现情况</w:t>
                      </w:r>
                    </w:p>
                    <w:p w14:paraId="728034BB" w14:textId="77777777" w:rsidR="003A1C16" w:rsidRPr="003A1C16" w:rsidRDefault="003A1C16" w:rsidP="003A1C16">
                      <w:pPr>
                        <w:ind w:left="420"/>
                        <w:jc w:val="right"/>
                      </w:pPr>
                      <w:r w:rsidRPr="003A1C16">
                        <w:rPr>
                          <w:rFonts w:hint="eastAsia"/>
                        </w:rPr>
                        <w:t>单位：人民币万元</w:t>
                      </w:r>
                    </w:p>
                    <w:tbl>
                      <w:tblPr>
                        <w:tblStyle w:val="1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5"/>
                        <w:gridCol w:w="1263"/>
                        <w:gridCol w:w="1278"/>
                        <w:gridCol w:w="1583"/>
                        <w:gridCol w:w="1323"/>
                        <w:gridCol w:w="1101"/>
                      </w:tblGrid>
                      <w:tr w:rsidR="003A1C16" w:rsidRPr="003A1C16" w14:paraId="333CFA9B" w14:textId="77777777" w:rsidTr="003A1C1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89" w:type="pct"/>
                            <w:tcBorders>
                              <w:bottom w:val="none" w:sz="0" w:space="0" w:color="auto"/>
                            </w:tcBorders>
                          </w:tcPr>
                          <w:p w14:paraId="3B73DB9A" w14:textId="77777777" w:rsidR="003A1C16" w:rsidRPr="003A1C16" w:rsidRDefault="003A1C16" w:rsidP="003A1C16">
                            <w:pPr>
                              <w:widowControl w:val="0"/>
                              <w:jc w:val="center"/>
                              <w:rPr>
                                <w:rFonts w:cs="Times New Roman"/>
                                <w:bCs w:val="0"/>
                                <w:kern w:val="2"/>
                                <w:szCs w:val="21"/>
                              </w:rPr>
                            </w:pPr>
                            <w:r w:rsidRPr="003A1C16">
                              <w:rPr>
                                <w:rFonts w:cs="Times New Roman" w:hint="eastAsia"/>
                                <w:b w:val="0"/>
                                <w:bCs w:val="0"/>
                                <w:kern w:val="2"/>
                                <w:szCs w:val="21"/>
                              </w:rPr>
                              <w:t>公司名称</w:t>
                            </w:r>
                          </w:p>
                        </w:tc>
                        <w:tc>
                          <w:tcPr>
                            <w:tcW w:w="716" w:type="pct"/>
                            <w:tcBorders>
                              <w:bottom w:val="none" w:sz="0" w:space="0" w:color="auto"/>
                            </w:tcBorders>
                          </w:tcPr>
                          <w:p w14:paraId="66BC6B8C"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Times New Roman"/>
                                <w:bCs w:val="0"/>
                                <w:kern w:val="2"/>
                                <w:szCs w:val="21"/>
                              </w:rPr>
                            </w:pPr>
                            <w:r w:rsidRPr="003A1C16">
                              <w:rPr>
                                <w:rFonts w:cs="Arial" w:hint="eastAsia"/>
                                <w:b w:val="0"/>
                                <w:bCs w:val="0"/>
                                <w:kern w:val="2"/>
                                <w:szCs w:val="21"/>
                              </w:rPr>
                              <w:t>年度</w:t>
                            </w:r>
                          </w:p>
                        </w:tc>
                        <w:tc>
                          <w:tcPr>
                            <w:tcW w:w="724" w:type="pct"/>
                            <w:tcBorders>
                              <w:bottom w:val="none" w:sz="0" w:space="0" w:color="auto"/>
                            </w:tcBorders>
                          </w:tcPr>
                          <w:p w14:paraId="6576DA6F"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承诺金额</w:t>
                            </w:r>
                          </w:p>
                        </w:tc>
                        <w:tc>
                          <w:tcPr>
                            <w:tcW w:w="897" w:type="pct"/>
                            <w:tcBorders>
                              <w:bottom w:val="none" w:sz="0" w:space="0" w:color="auto"/>
                            </w:tcBorders>
                          </w:tcPr>
                          <w:p w14:paraId="1BA6C8D7"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实际实现金额</w:t>
                            </w:r>
                          </w:p>
                        </w:tc>
                        <w:tc>
                          <w:tcPr>
                            <w:tcW w:w="750" w:type="pct"/>
                            <w:tcBorders>
                              <w:bottom w:val="none" w:sz="0" w:space="0" w:color="auto"/>
                            </w:tcBorders>
                          </w:tcPr>
                          <w:p w14:paraId="6873A4E3"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Arial"/>
                                <w:bCs w:val="0"/>
                                <w:kern w:val="2"/>
                                <w:szCs w:val="21"/>
                              </w:rPr>
                            </w:pPr>
                            <w:r w:rsidRPr="003A1C16">
                              <w:rPr>
                                <w:rFonts w:cs="Arial" w:hint="eastAsia"/>
                                <w:b w:val="0"/>
                                <w:bCs w:val="0"/>
                                <w:kern w:val="2"/>
                                <w:szCs w:val="21"/>
                              </w:rPr>
                              <w:t>差异额</w:t>
                            </w:r>
                          </w:p>
                        </w:tc>
                        <w:tc>
                          <w:tcPr>
                            <w:tcW w:w="624" w:type="pct"/>
                            <w:tcBorders>
                              <w:bottom w:val="none" w:sz="0" w:space="0" w:color="auto"/>
                            </w:tcBorders>
                          </w:tcPr>
                          <w:p w14:paraId="37898EED"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完成率%</w:t>
                            </w:r>
                          </w:p>
                        </w:tc>
                      </w:tr>
                      <w:tr w:rsidR="003A1C16" w:rsidRPr="003A1C16" w14:paraId="5DAA5E66"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289" w:type="pct"/>
                          </w:tcPr>
                          <w:p w14:paraId="4566E459"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中材西安</w:t>
                            </w:r>
                          </w:p>
                        </w:tc>
                        <w:tc>
                          <w:tcPr>
                            <w:tcW w:w="716" w:type="pct"/>
                          </w:tcPr>
                          <w:p w14:paraId="17531495"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2021年度</w:t>
                            </w:r>
                          </w:p>
                        </w:tc>
                        <w:tc>
                          <w:tcPr>
                            <w:tcW w:w="724" w:type="pct"/>
                          </w:tcPr>
                          <w:p w14:paraId="69496155"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5,303.89</w:t>
                            </w:r>
                          </w:p>
                        </w:tc>
                        <w:tc>
                          <w:tcPr>
                            <w:tcW w:w="897" w:type="pct"/>
                          </w:tcPr>
                          <w:p w14:paraId="3F27E57A"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6,037.71</w:t>
                            </w:r>
                          </w:p>
                        </w:tc>
                        <w:tc>
                          <w:tcPr>
                            <w:tcW w:w="750" w:type="pct"/>
                          </w:tcPr>
                          <w:p w14:paraId="789B4CDD"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733.82</w:t>
                            </w:r>
                          </w:p>
                        </w:tc>
                        <w:tc>
                          <w:tcPr>
                            <w:tcW w:w="624" w:type="pct"/>
                          </w:tcPr>
                          <w:p w14:paraId="78E0A86D"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113.84</w:t>
                            </w:r>
                          </w:p>
                        </w:tc>
                      </w:tr>
                      <w:tr w:rsidR="003A1C16" w:rsidRPr="003A1C16" w14:paraId="382FF880"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289" w:type="pct"/>
                          </w:tcPr>
                          <w:p w14:paraId="6BF4522F"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lastRenderedPageBreak/>
                              <w:t>南京矿山和重庆参天</w:t>
                            </w:r>
                          </w:p>
                        </w:tc>
                        <w:tc>
                          <w:tcPr>
                            <w:tcW w:w="716" w:type="pct"/>
                          </w:tcPr>
                          <w:p w14:paraId="1701BAD4"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2021年度</w:t>
                            </w:r>
                          </w:p>
                        </w:tc>
                        <w:tc>
                          <w:tcPr>
                            <w:tcW w:w="724" w:type="pct"/>
                          </w:tcPr>
                          <w:p w14:paraId="38692444"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8,717.26</w:t>
                            </w:r>
                          </w:p>
                        </w:tc>
                        <w:tc>
                          <w:tcPr>
                            <w:tcW w:w="897" w:type="pct"/>
                          </w:tcPr>
                          <w:p w14:paraId="34A128F5"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30,471.42</w:t>
                            </w:r>
                          </w:p>
                        </w:tc>
                        <w:tc>
                          <w:tcPr>
                            <w:tcW w:w="750" w:type="pct"/>
                          </w:tcPr>
                          <w:p w14:paraId="25AD1A32"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21,754.16</w:t>
                            </w:r>
                          </w:p>
                        </w:tc>
                        <w:tc>
                          <w:tcPr>
                            <w:tcW w:w="624" w:type="pct"/>
                          </w:tcPr>
                          <w:p w14:paraId="7CD2A5CF"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349.55</w:t>
                            </w:r>
                          </w:p>
                        </w:tc>
                      </w:tr>
                      <w:tr w:rsidR="003A1C16" w:rsidRPr="003A1C16" w14:paraId="2634D6DC"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289" w:type="pct"/>
                          </w:tcPr>
                          <w:p w14:paraId="235D1B8C"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采矿权资产</w:t>
                            </w:r>
                          </w:p>
                        </w:tc>
                        <w:tc>
                          <w:tcPr>
                            <w:tcW w:w="716" w:type="pct"/>
                          </w:tcPr>
                          <w:p w14:paraId="45F6838E"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2021年度</w:t>
                            </w:r>
                          </w:p>
                        </w:tc>
                        <w:tc>
                          <w:tcPr>
                            <w:tcW w:w="724" w:type="pct"/>
                          </w:tcPr>
                          <w:p w14:paraId="1D21B32F"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7,469.97</w:t>
                            </w:r>
                          </w:p>
                        </w:tc>
                        <w:tc>
                          <w:tcPr>
                            <w:tcW w:w="897" w:type="pct"/>
                          </w:tcPr>
                          <w:p w14:paraId="30E3C853"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23,311.70</w:t>
                            </w:r>
                          </w:p>
                        </w:tc>
                        <w:tc>
                          <w:tcPr>
                            <w:tcW w:w="750" w:type="pct"/>
                          </w:tcPr>
                          <w:p w14:paraId="2D88DF1C"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15,841.73</w:t>
                            </w:r>
                          </w:p>
                        </w:tc>
                        <w:tc>
                          <w:tcPr>
                            <w:tcW w:w="624" w:type="pct"/>
                          </w:tcPr>
                          <w:p w14:paraId="76E40F88"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312.07</w:t>
                            </w:r>
                          </w:p>
                        </w:tc>
                      </w:tr>
                    </w:tbl>
                    <w:p w14:paraId="5423728A" w14:textId="77777777" w:rsidR="003A1C16" w:rsidRPr="003A1C16" w:rsidRDefault="003A1C16" w:rsidP="003A1C16">
                      <w:pPr>
                        <w:widowControl w:val="0"/>
                        <w:jc w:val="both"/>
                        <w:rPr>
                          <w:sz w:val="20"/>
                        </w:rPr>
                      </w:pPr>
                    </w:p>
                    <w:p w14:paraId="6EEDEFF2" w14:textId="77777777" w:rsidR="003A1C16" w:rsidRPr="003A1C16" w:rsidRDefault="003A1C16" w:rsidP="003A1C16">
                      <w:pPr>
                        <w:ind w:left="420" w:firstLineChars="200" w:firstLine="420"/>
                      </w:pPr>
                      <w:r w:rsidRPr="003A1C16">
                        <w:t>2、2022年度业绩承诺实现情况</w:t>
                      </w:r>
                    </w:p>
                    <w:p w14:paraId="391B129F" w14:textId="77777777" w:rsidR="003A1C16" w:rsidRPr="003A1C16" w:rsidRDefault="003A1C16" w:rsidP="003A1C16">
                      <w:pPr>
                        <w:ind w:left="420"/>
                        <w:jc w:val="right"/>
                      </w:pPr>
                      <w:r w:rsidRPr="003A1C16">
                        <w:rPr>
                          <w:rFonts w:hint="eastAsia"/>
                        </w:rPr>
                        <w:t>单位：人民币万元</w:t>
                      </w:r>
                    </w:p>
                    <w:tbl>
                      <w:tblPr>
                        <w:tblStyle w:val="1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2123"/>
                        <w:gridCol w:w="1135"/>
                        <w:gridCol w:w="1558"/>
                        <w:gridCol w:w="923"/>
                        <w:gridCol w:w="1101"/>
                      </w:tblGrid>
                      <w:tr w:rsidR="003A1C16" w:rsidRPr="003A1C16" w14:paraId="25B38DA3" w14:textId="77777777" w:rsidTr="003A1C1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24" w:type="pct"/>
                            <w:tcBorders>
                              <w:bottom w:val="none" w:sz="0" w:space="0" w:color="auto"/>
                            </w:tcBorders>
                          </w:tcPr>
                          <w:p w14:paraId="5EA63367" w14:textId="77777777" w:rsidR="003A1C16" w:rsidRPr="003A1C16" w:rsidRDefault="003A1C16" w:rsidP="003A1C16">
                            <w:pPr>
                              <w:widowControl w:val="0"/>
                              <w:jc w:val="center"/>
                              <w:rPr>
                                <w:rFonts w:cs="Times New Roman"/>
                                <w:bCs w:val="0"/>
                                <w:kern w:val="2"/>
                                <w:szCs w:val="21"/>
                              </w:rPr>
                            </w:pPr>
                            <w:r w:rsidRPr="003A1C16">
                              <w:rPr>
                                <w:rFonts w:cs="Times New Roman" w:hint="eastAsia"/>
                                <w:b w:val="0"/>
                                <w:bCs w:val="0"/>
                                <w:kern w:val="2"/>
                                <w:szCs w:val="21"/>
                              </w:rPr>
                              <w:t>公司名称</w:t>
                            </w:r>
                          </w:p>
                        </w:tc>
                        <w:tc>
                          <w:tcPr>
                            <w:tcW w:w="1203" w:type="pct"/>
                            <w:tcBorders>
                              <w:bottom w:val="none" w:sz="0" w:space="0" w:color="auto"/>
                            </w:tcBorders>
                          </w:tcPr>
                          <w:p w14:paraId="290EE7DC"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Times New Roman"/>
                                <w:bCs w:val="0"/>
                                <w:kern w:val="2"/>
                                <w:szCs w:val="21"/>
                              </w:rPr>
                            </w:pPr>
                            <w:r w:rsidRPr="003A1C16">
                              <w:rPr>
                                <w:rFonts w:cs="Arial" w:hint="eastAsia"/>
                                <w:b w:val="0"/>
                                <w:bCs w:val="0"/>
                                <w:kern w:val="2"/>
                                <w:szCs w:val="21"/>
                              </w:rPr>
                              <w:t>年度</w:t>
                            </w:r>
                          </w:p>
                        </w:tc>
                        <w:tc>
                          <w:tcPr>
                            <w:tcW w:w="643" w:type="pct"/>
                            <w:tcBorders>
                              <w:bottom w:val="none" w:sz="0" w:space="0" w:color="auto"/>
                            </w:tcBorders>
                          </w:tcPr>
                          <w:p w14:paraId="3BE1BCE9"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承诺金额</w:t>
                            </w:r>
                          </w:p>
                        </w:tc>
                        <w:tc>
                          <w:tcPr>
                            <w:tcW w:w="883" w:type="pct"/>
                            <w:tcBorders>
                              <w:bottom w:val="none" w:sz="0" w:space="0" w:color="auto"/>
                            </w:tcBorders>
                          </w:tcPr>
                          <w:p w14:paraId="5E191640"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bookmarkStart w:id="100" w:name="_Hlk129107774"/>
                            <w:r w:rsidRPr="003A1C16">
                              <w:rPr>
                                <w:rFonts w:cs="Arial" w:hint="eastAsia"/>
                                <w:b w:val="0"/>
                                <w:bCs w:val="0"/>
                                <w:kern w:val="2"/>
                                <w:szCs w:val="21"/>
                              </w:rPr>
                              <w:t>实际实现金额</w:t>
                            </w:r>
                            <w:bookmarkEnd w:id="100"/>
                          </w:p>
                        </w:tc>
                        <w:tc>
                          <w:tcPr>
                            <w:tcW w:w="523" w:type="pct"/>
                            <w:tcBorders>
                              <w:bottom w:val="none" w:sz="0" w:space="0" w:color="auto"/>
                            </w:tcBorders>
                          </w:tcPr>
                          <w:p w14:paraId="03778CC4"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Arial"/>
                                <w:bCs w:val="0"/>
                                <w:kern w:val="2"/>
                                <w:szCs w:val="21"/>
                              </w:rPr>
                            </w:pPr>
                            <w:r w:rsidRPr="003A1C16">
                              <w:rPr>
                                <w:rFonts w:cs="Arial" w:hint="eastAsia"/>
                                <w:b w:val="0"/>
                                <w:bCs w:val="0"/>
                                <w:kern w:val="2"/>
                                <w:szCs w:val="21"/>
                              </w:rPr>
                              <w:t>差异额</w:t>
                            </w:r>
                          </w:p>
                        </w:tc>
                        <w:tc>
                          <w:tcPr>
                            <w:tcW w:w="624" w:type="pct"/>
                            <w:tcBorders>
                              <w:bottom w:val="none" w:sz="0" w:space="0" w:color="auto"/>
                            </w:tcBorders>
                          </w:tcPr>
                          <w:p w14:paraId="1C5FE3D1"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完成率%</w:t>
                            </w:r>
                          </w:p>
                        </w:tc>
                      </w:tr>
                      <w:tr w:rsidR="003A1C16" w:rsidRPr="003A1C16" w14:paraId="7E463E68"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4" w:type="pct"/>
                          </w:tcPr>
                          <w:p w14:paraId="744D6F58"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中材西安</w:t>
                            </w:r>
                          </w:p>
                        </w:tc>
                        <w:tc>
                          <w:tcPr>
                            <w:tcW w:w="1203" w:type="pct"/>
                          </w:tcPr>
                          <w:p w14:paraId="59B56799"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2022年度</w:t>
                            </w:r>
                          </w:p>
                        </w:tc>
                        <w:tc>
                          <w:tcPr>
                            <w:tcW w:w="643" w:type="pct"/>
                          </w:tcPr>
                          <w:p w14:paraId="1F543053"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4,974.56</w:t>
                            </w:r>
                          </w:p>
                        </w:tc>
                        <w:tc>
                          <w:tcPr>
                            <w:tcW w:w="883" w:type="pct"/>
                          </w:tcPr>
                          <w:p w14:paraId="7BCEAE86"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6,355.97</w:t>
                            </w:r>
                          </w:p>
                        </w:tc>
                        <w:tc>
                          <w:tcPr>
                            <w:tcW w:w="523" w:type="pct"/>
                          </w:tcPr>
                          <w:p w14:paraId="430A4ABB"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1,381.41</w:t>
                            </w:r>
                          </w:p>
                        </w:tc>
                        <w:tc>
                          <w:tcPr>
                            <w:tcW w:w="624" w:type="pct"/>
                          </w:tcPr>
                          <w:p w14:paraId="7CE1D21B"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127.77</w:t>
                            </w:r>
                          </w:p>
                        </w:tc>
                      </w:tr>
                      <w:tr w:rsidR="003A1C16" w:rsidRPr="003A1C16" w14:paraId="5975452F"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4" w:type="pct"/>
                          </w:tcPr>
                          <w:p w14:paraId="67D50B7F"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南京矿山和重庆参天</w:t>
                            </w:r>
                          </w:p>
                        </w:tc>
                        <w:tc>
                          <w:tcPr>
                            <w:tcW w:w="1203" w:type="pct"/>
                          </w:tcPr>
                          <w:p w14:paraId="732700BE"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2022年度</w:t>
                            </w:r>
                          </w:p>
                        </w:tc>
                        <w:tc>
                          <w:tcPr>
                            <w:tcW w:w="643" w:type="pct"/>
                          </w:tcPr>
                          <w:p w14:paraId="3A5471A9"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9,270.79</w:t>
                            </w:r>
                          </w:p>
                        </w:tc>
                        <w:tc>
                          <w:tcPr>
                            <w:tcW w:w="883" w:type="pct"/>
                          </w:tcPr>
                          <w:p w14:paraId="549924F4"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24,027.86</w:t>
                            </w:r>
                          </w:p>
                        </w:tc>
                        <w:tc>
                          <w:tcPr>
                            <w:tcW w:w="523" w:type="pct"/>
                          </w:tcPr>
                          <w:p w14:paraId="122B8633"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14,757.07</w:t>
                            </w:r>
                          </w:p>
                        </w:tc>
                        <w:tc>
                          <w:tcPr>
                            <w:tcW w:w="624" w:type="pct"/>
                          </w:tcPr>
                          <w:p w14:paraId="2AC81909"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259.18</w:t>
                            </w:r>
                          </w:p>
                        </w:tc>
                      </w:tr>
                      <w:tr w:rsidR="003A1C16" w:rsidRPr="003A1C16" w14:paraId="5F36FBFD"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4" w:type="pct"/>
                          </w:tcPr>
                          <w:p w14:paraId="02EC10E4"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采矿权资产</w:t>
                            </w:r>
                          </w:p>
                        </w:tc>
                        <w:tc>
                          <w:tcPr>
                            <w:tcW w:w="1203" w:type="pct"/>
                          </w:tcPr>
                          <w:p w14:paraId="3550B520"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2021年度至2022年度</w:t>
                            </w:r>
                          </w:p>
                        </w:tc>
                        <w:tc>
                          <w:tcPr>
                            <w:tcW w:w="643" w:type="pct"/>
                          </w:tcPr>
                          <w:p w14:paraId="74414C3D"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7,469.97</w:t>
                            </w:r>
                          </w:p>
                        </w:tc>
                        <w:tc>
                          <w:tcPr>
                            <w:tcW w:w="883" w:type="pct"/>
                          </w:tcPr>
                          <w:p w14:paraId="0816B92C"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33,364.36</w:t>
                            </w:r>
                          </w:p>
                        </w:tc>
                        <w:tc>
                          <w:tcPr>
                            <w:tcW w:w="523" w:type="pct"/>
                          </w:tcPr>
                          <w:p w14:paraId="6ACA8DF2"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25,894.39</w:t>
                            </w:r>
                          </w:p>
                        </w:tc>
                        <w:tc>
                          <w:tcPr>
                            <w:tcW w:w="624" w:type="pct"/>
                          </w:tcPr>
                          <w:p w14:paraId="77B46942"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446.65</w:t>
                            </w:r>
                          </w:p>
                        </w:tc>
                      </w:tr>
                    </w:tbl>
                    <w:p w14:paraId="5B6E1238" w14:textId="77777777" w:rsidR="003A1C16" w:rsidRPr="003A1C16" w:rsidRDefault="003A1C16" w:rsidP="003A1C16">
                      <w:pPr>
                        <w:ind w:left="420"/>
                      </w:pPr>
                      <w:r w:rsidRPr="003A1C16">
                        <w:rPr>
                          <w:rFonts w:hint="eastAsia"/>
                        </w:rPr>
                        <w:t xml:space="preserve">  </w:t>
                      </w:r>
                    </w:p>
                    <w:p w14:paraId="28BDCB1B" w14:textId="77777777" w:rsidR="003A1C16" w:rsidRPr="003A1C16" w:rsidRDefault="003A1C16" w:rsidP="003A1C16">
                      <w:pPr>
                        <w:ind w:left="420"/>
                      </w:pPr>
                      <w:r w:rsidRPr="003A1C16">
                        <w:t>3、2023年度业绩承诺实现情况</w:t>
                      </w:r>
                    </w:p>
                    <w:p w14:paraId="14259FB5" w14:textId="77777777" w:rsidR="003A1C16" w:rsidRPr="003A1C16" w:rsidRDefault="003A1C16" w:rsidP="003A1C16">
                      <w:pPr>
                        <w:ind w:left="420"/>
                        <w:jc w:val="right"/>
                      </w:pPr>
                      <w:r w:rsidRPr="003A1C16">
                        <w:rPr>
                          <w:rFonts w:hint="eastAsia"/>
                        </w:rPr>
                        <w:t>单位：人民币万元</w:t>
                      </w:r>
                    </w:p>
                    <w:tbl>
                      <w:tblPr>
                        <w:tblStyle w:val="1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2125"/>
                        <w:gridCol w:w="1135"/>
                        <w:gridCol w:w="1558"/>
                        <w:gridCol w:w="923"/>
                        <w:gridCol w:w="1101"/>
                      </w:tblGrid>
                      <w:tr w:rsidR="003A1C16" w:rsidRPr="003A1C16" w14:paraId="22526238" w14:textId="77777777" w:rsidTr="003A1C1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23" w:type="pct"/>
                            <w:tcBorders>
                              <w:bottom w:val="none" w:sz="0" w:space="0" w:color="auto"/>
                            </w:tcBorders>
                          </w:tcPr>
                          <w:p w14:paraId="026C8E84" w14:textId="77777777" w:rsidR="003A1C16" w:rsidRPr="003A1C16" w:rsidRDefault="003A1C16" w:rsidP="003A1C16">
                            <w:pPr>
                              <w:widowControl w:val="0"/>
                              <w:jc w:val="center"/>
                              <w:rPr>
                                <w:rFonts w:cs="Times New Roman"/>
                                <w:bCs w:val="0"/>
                                <w:kern w:val="2"/>
                                <w:szCs w:val="21"/>
                              </w:rPr>
                            </w:pPr>
                            <w:r w:rsidRPr="003A1C16">
                              <w:rPr>
                                <w:rFonts w:cs="Times New Roman" w:hint="eastAsia"/>
                                <w:b w:val="0"/>
                                <w:bCs w:val="0"/>
                                <w:kern w:val="2"/>
                                <w:szCs w:val="21"/>
                              </w:rPr>
                              <w:t>公司名称</w:t>
                            </w:r>
                          </w:p>
                        </w:tc>
                        <w:tc>
                          <w:tcPr>
                            <w:tcW w:w="1204" w:type="pct"/>
                            <w:tcBorders>
                              <w:bottom w:val="none" w:sz="0" w:space="0" w:color="auto"/>
                            </w:tcBorders>
                          </w:tcPr>
                          <w:p w14:paraId="19A4146E"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Times New Roman"/>
                                <w:bCs w:val="0"/>
                                <w:kern w:val="2"/>
                                <w:szCs w:val="21"/>
                              </w:rPr>
                            </w:pPr>
                            <w:r w:rsidRPr="003A1C16">
                              <w:rPr>
                                <w:rFonts w:cs="Arial" w:hint="eastAsia"/>
                                <w:b w:val="0"/>
                                <w:bCs w:val="0"/>
                                <w:kern w:val="2"/>
                                <w:szCs w:val="21"/>
                              </w:rPr>
                              <w:t>年度</w:t>
                            </w:r>
                          </w:p>
                        </w:tc>
                        <w:tc>
                          <w:tcPr>
                            <w:tcW w:w="643" w:type="pct"/>
                            <w:tcBorders>
                              <w:bottom w:val="none" w:sz="0" w:space="0" w:color="auto"/>
                            </w:tcBorders>
                          </w:tcPr>
                          <w:p w14:paraId="46B07576"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承诺金额</w:t>
                            </w:r>
                          </w:p>
                        </w:tc>
                        <w:tc>
                          <w:tcPr>
                            <w:tcW w:w="883" w:type="pct"/>
                            <w:tcBorders>
                              <w:bottom w:val="none" w:sz="0" w:space="0" w:color="auto"/>
                            </w:tcBorders>
                          </w:tcPr>
                          <w:p w14:paraId="7A9714DE"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实际实现金额</w:t>
                            </w:r>
                          </w:p>
                        </w:tc>
                        <w:tc>
                          <w:tcPr>
                            <w:tcW w:w="523" w:type="pct"/>
                            <w:tcBorders>
                              <w:bottom w:val="none" w:sz="0" w:space="0" w:color="auto"/>
                            </w:tcBorders>
                          </w:tcPr>
                          <w:p w14:paraId="11088329"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Arial"/>
                                <w:bCs w:val="0"/>
                                <w:kern w:val="2"/>
                                <w:szCs w:val="21"/>
                              </w:rPr>
                            </w:pPr>
                            <w:r w:rsidRPr="003A1C16">
                              <w:rPr>
                                <w:rFonts w:cs="Arial" w:hint="eastAsia"/>
                                <w:b w:val="0"/>
                                <w:bCs w:val="0"/>
                                <w:kern w:val="2"/>
                                <w:szCs w:val="21"/>
                              </w:rPr>
                              <w:t>差异额</w:t>
                            </w:r>
                          </w:p>
                        </w:tc>
                        <w:tc>
                          <w:tcPr>
                            <w:tcW w:w="624" w:type="pct"/>
                            <w:tcBorders>
                              <w:bottom w:val="none" w:sz="0" w:space="0" w:color="auto"/>
                            </w:tcBorders>
                          </w:tcPr>
                          <w:p w14:paraId="0E9C6EC6"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完成率%</w:t>
                            </w:r>
                          </w:p>
                        </w:tc>
                      </w:tr>
                      <w:tr w:rsidR="003A1C16" w:rsidRPr="003A1C16" w14:paraId="15D11911"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3" w:type="pct"/>
                          </w:tcPr>
                          <w:p w14:paraId="4D8ED256"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中材西安</w:t>
                            </w:r>
                          </w:p>
                        </w:tc>
                        <w:tc>
                          <w:tcPr>
                            <w:tcW w:w="1204" w:type="pct"/>
                          </w:tcPr>
                          <w:p w14:paraId="7B281ED5"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2023年度</w:t>
                            </w:r>
                          </w:p>
                        </w:tc>
                        <w:tc>
                          <w:tcPr>
                            <w:tcW w:w="643" w:type="pct"/>
                          </w:tcPr>
                          <w:p w14:paraId="4D33B94E"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5,005.60</w:t>
                            </w:r>
                          </w:p>
                        </w:tc>
                        <w:tc>
                          <w:tcPr>
                            <w:tcW w:w="883" w:type="pct"/>
                          </w:tcPr>
                          <w:p w14:paraId="5458BCC7"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8,993.05</w:t>
                            </w:r>
                          </w:p>
                        </w:tc>
                        <w:tc>
                          <w:tcPr>
                            <w:tcW w:w="523" w:type="pct"/>
                          </w:tcPr>
                          <w:p w14:paraId="6B4EF728"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3,987.45</w:t>
                            </w:r>
                          </w:p>
                        </w:tc>
                        <w:tc>
                          <w:tcPr>
                            <w:tcW w:w="624" w:type="pct"/>
                          </w:tcPr>
                          <w:p w14:paraId="4F6CA3B4"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179.66 </w:t>
                            </w:r>
                          </w:p>
                        </w:tc>
                      </w:tr>
                      <w:tr w:rsidR="003A1C16" w:rsidRPr="003A1C16" w14:paraId="44DDF805"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3" w:type="pct"/>
                          </w:tcPr>
                          <w:p w14:paraId="11BB7181"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南京矿山和重庆参天</w:t>
                            </w:r>
                          </w:p>
                        </w:tc>
                        <w:tc>
                          <w:tcPr>
                            <w:tcW w:w="1204" w:type="pct"/>
                          </w:tcPr>
                          <w:p w14:paraId="5EFE0A8C"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2023年度</w:t>
                            </w:r>
                          </w:p>
                        </w:tc>
                        <w:tc>
                          <w:tcPr>
                            <w:tcW w:w="643" w:type="pct"/>
                          </w:tcPr>
                          <w:p w14:paraId="52E78EE6"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10,241.93</w:t>
                            </w:r>
                          </w:p>
                        </w:tc>
                        <w:tc>
                          <w:tcPr>
                            <w:tcW w:w="883" w:type="pct"/>
                          </w:tcPr>
                          <w:p w14:paraId="1861F8EE"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24,895.95</w:t>
                            </w:r>
                          </w:p>
                        </w:tc>
                        <w:tc>
                          <w:tcPr>
                            <w:tcW w:w="523" w:type="pct"/>
                          </w:tcPr>
                          <w:p w14:paraId="0197811B"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14,654.02</w:t>
                            </w:r>
                          </w:p>
                        </w:tc>
                        <w:tc>
                          <w:tcPr>
                            <w:tcW w:w="624" w:type="pct"/>
                          </w:tcPr>
                          <w:p w14:paraId="2C409697"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243.08 </w:t>
                            </w:r>
                          </w:p>
                        </w:tc>
                      </w:tr>
                      <w:tr w:rsidR="003A1C16" w:rsidRPr="003A1C16" w14:paraId="1A1160D4"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123" w:type="pct"/>
                          </w:tcPr>
                          <w:p w14:paraId="1280C301"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采矿权资产</w:t>
                            </w:r>
                          </w:p>
                        </w:tc>
                        <w:tc>
                          <w:tcPr>
                            <w:tcW w:w="1204" w:type="pct"/>
                          </w:tcPr>
                          <w:p w14:paraId="70C5BDCD"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2021年度至2023年度</w:t>
                            </w:r>
                          </w:p>
                        </w:tc>
                        <w:tc>
                          <w:tcPr>
                            <w:tcW w:w="643" w:type="pct"/>
                          </w:tcPr>
                          <w:p w14:paraId="6D0F4367"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7,469.97</w:t>
                            </w:r>
                          </w:p>
                        </w:tc>
                        <w:tc>
                          <w:tcPr>
                            <w:tcW w:w="883" w:type="pct"/>
                          </w:tcPr>
                          <w:p w14:paraId="7D99AFD7"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40,624.76</w:t>
                            </w:r>
                          </w:p>
                        </w:tc>
                        <w:tc>
                          <w:tcPr>
                            <w:tcW w:w="523" w:type="pct"/>
                          </w:tcPr>
                          <w:p w14:paraId="0BFBBAD4"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33,154.79</w:t>
                            </w:r>
                          </w:p>
                        </w:tc>
                        <w:tc>
                          <w:tcPr>
                            <w:tcW w:w="624" w:type="pct"/>
                          </w:tcPr>
                          <w:p w14:paraId="533B03E6"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543.84 </w:t>
                            </w:r>
                          </w:p>
                        </w:tc>
                      </w:tr>
                    </w:tbl>
                    <w:p w14:paraId="27BC696D" w14:textId="77777777" w:rsidR="003A1C16" w:rsidRPr="003A1C16" w:rsidRDefault="003A1C16" w:rsidP="003A1C16">
                      <w:pPr>
                        <w:ind w:left="420"/>
                      </w:pPr>
                    </w:p>
                    <w:p w14:paraId="02254E39" w14:textId="77777777" w:rsidR="003A1C16" w:rsidRPr="003A1C16" w:rsidRDefault="003A1C16" w:rsidP="003A1C16">
                      <w:pPr>
                        <w:ind w:left="420"/>
                        <w:jc w:val="both"/>
                      </w:pPr>
                      <w:r w:rsidRPr="003A1C16">
                        <w:rPr>
                          <w:rFonts w:hint="eastAsia"/>
                        </w:rPr>
                        <w:t>说明</w:t>
                      </w:r>
                      <w:r w:rsidRPr="003A1C16">
                        <w:t>1：实际实现金额是指经审计的扣除非经常性损益后的净利润。</w:t>
                      </w:r>
                    </w:p>
                    <w:p w14:paraId="6C368917" w14:textId="77777777" w:rsidR="003A1C16" w:rsidRPr="003A1C16" w:rsidRDefault="003A1C16" w:rsidP="003A1C16">
                      <w:pPr>
                        <w:ind w:left="420"/>
                        <w:jc w:val="both"/>
                      </w:pPr>
                      <w:r w:rsidRPr="003A1C16">
                        <w:rPr>
                          <w:rFonts w:hint="eastAsia"/>
                        </w:rPr>
                        <w:t>说明</w:t>
                      </w:r>
                      <w:r w:rsidRPr="003A1C16">
                        <w:t>2：采矿权资产实际实现金额为2021年实现金额、2022年实现金额及2023年实现金额之和，其中2021年度23,311.70万元、2022年度实现10,052.66万元、2023年度实现7,260.40万元，2021年度至202</w:t>
                      </w:r>
                      <w:r w:rsidRPr="003A1C16">
                        <w:rPr>
                          <w:rFonts w:hint="eastAsia"/>
                        </w:rPr>
                        <w:t>3</w:t>
                      </w:r>
                      <w:r w:rsidRPr="003A1C16">
                        <w:t>年度累计实现40,624.76万元。</w:t>
                      </w:r>
                    </w:p>
                    <w:p w14:paraId="033633E5" w14:textId="77777777" w:rsidR="003A1C16" w:rsidRPr="003A1C16" w:rsidRDefault="003A1C16" w:rsidP="003A1C16">
                      <w:pPr>
                        <w:ind w:left="420" w:firstLineChars="200" w:firstLine="420"/>
                        <w:jc w:val="both"/>
                      </w:pPr>
                      <w:r w:rsidRPr="003A1C16">
                        <w:rPr>
                          <w:rFonts w:hint="eastAsia"/>
                        </w:rPr>
                        <w:t>根据《中国中材国际工程股份有限公司与中国建材股份有限公司之业绩承诺补偿协议》，本次交易于</w:t>
                      </w:r>
                      <w:r w:rsidRPr="003A1C16">
                        <w:t>2021年实施完毕，故中国建材股份的业绩承诺为：中材西安2023年会计年度应实现的承诺净利润数不低于5,005.60万元，南京矿山和重庆参天2023年会计年度应实现的承诺净利润合计数不低于10,241.93万元，采矿权资产2021年至2023年三个会计年度累计应实现的承诺净利润合计数不低于7,469.97万元。</w:t>
                      </w:r>
                    </w:p>
                    <w:p w14:paraId="51717809" w14:textId="77777777" w:rsidR="003A1C16" w:rsidRPr="003A1C16" w:rsidRDefault="003A1C16" w:rsidP="003A1C16">
                      <w:pPr>
                        <w:ind w:left="420" w:firstLineChars="200" w:firstLine="420"/>
                        <w:jc w:val="both"/>
                      </w:pPr>
                      <w:r w:rsidRPr="003A1C16">
                        <w:rPr>
                          <w:rFonts w:hint="eastAsia"/>
                        </w:rPr>
                        <w:t>根据</w:t>
                      </w:r>
                      <w:r w:rsidRPr="003A1C16">
                        <w:t>2023年度经审计的单体财务报表中扣除非经常性损益后的净利润，中材西安2023年度实际实现净利润为承诺净利润的179.66%，达到2023年度的业绩承诺；南京矿山和重庆参天2023年度实际实现净利润为承诺净利润的243.08%，达到2023年度的业绩承诺；采矿权资产2021年度至2023年度实现的净利润为2021年度至2023年度累计承诺净利润的543.84%，达到2021年度至2023年度累计的业绩承诺。</w:t>
                      </w:r>
                    </w:p>
                    <w:p w14:paraId="0916D2AF" w14:textId="77777777" w:rsidR="003A1C16" w:rsidRPr="003A1C16" w:rsidRDefault="003A1C16" w:rsidP="003A1C16">
                      <w:pPr>
                        <w:ind w:left="420" w:firstLineChars="200" w:firstLine="420"/>
                        <w:jc w:val="both"/>
                      </w:pPr>
                      <w:r w:rsidRPr="003A1C16">
                        <w:rPr>
                          <w:rFonts w:hint="eastAsia"/>
                        </w:rPr>
                        <w:t>（三）业绩承诺期届满之标的资产减值测试报告</w:t>
                      </w:r>
                    </w:p>
                    <w:p w14:paraId="4B9D2CC9" w14:textId="77777777" w:rsidR="003A1C16" w:rsidRPr="003A1C16" w:rsidRDefault="003A1C16" w:rsidP="003A1C16">
                      <w:pPr>
                        <w:ind w:left="420" w:firstLineChars="200" w:firstLine="420"/>
                        <w:jc w:val="both"/>
                      </w:pPr>
                      <w:r w:rsidRPr="003A1C16">
                        <w:rPr>
                          <w:rFonts w:hint="eastAsia"/>
                        </w:rPr>
                        <w:t>截至</w:t>
                      </w:r>
                      <w:r w:rsidRPr="003A1C16">
                        <w:t>2023年12月31日，本次收购资产标的业绩承诺资产1在考虑利润承诺期间内利润分配的影响后评估值92,311.35万元, 相比并购日交易作价37,792.77万元，未发生减值；业绩承诺资产2已经实现的收益与评估基准日的评估价值之和为7,979.92万元，相比并购日交易作价1,808.00万元，未发生减值；业绩承诺资产3已经实现的收益与评估基准日的评估价值之和为36,074.94万元，相比并购日交易作价22,412.13万元，未发生减值。</w:t>
                      </w:r>
                    </w:p>
                    <w:p w14:paraId="67CBF11C" w14:textId="77777777" w:rsidR="003A1C16" w:rsidRPr="003A1C16" w:rsidRDefault="003A1C16" w:rsidP="003A1C16">
                      <w:pPr>
                        <w:ind w:left="420" w:firstLineChars="200" w:firstLine="420"/>
                        <w:jc w:val="both"/>
                      </w:pPr>
                    </w:p>
                    <w:p w14:paraId="15EDB410" w14:textId="77777777" w:rsidR="003A1C16" w:rsidRPr="003A1C16" w:rsidRDefault="003A1C16" w:rsidP="003A1C16">
                      <w:pPr>
                        <w:widowControl w:val="0"/>
                        <w:numPr>
                          <w:ilvl w:val="1"/>
                          <w:numId w:val="31"/>
                        </w:numPr>
                        <w:jc w:val="both"/>
                        <w:rPr>
                          <w:rFonts w:ascii="Calibri" w:hAnsi="Calibri" w:cs="Times New Roman"/>
                          <w:kern w:val="2"/>
                          <w:szCs w:val="22"/>
                        </w:rPr>
                      </w:pPr>
                      <w:r w:rsidRPr="003A1C16">
                        <w:rPr>
                          <w:rFonts w:ascii="Calibri" w:hAnsi="Calibri" w:cs="Times New Roman" w:hint="eastAsia"/>
                          <w:kern w:val="2"/>
                          <w:szCs w:val="22"/>
                        </w:rPr>
                        <w:t>关于北京凯盛资产重组业绩承诺实现情况的说明</w:t>
                      </w:r>
                    </w:p>
                    <w:p w14:paraId="5B218B13" w14:textId="77777777" w:rsidR="003A1C16" w:rsidRPr="003A1C16" w:rsidRDefault="003A1C16" w:rsidP="003A1C16">
                      <w:pPr>
                        <w:widowControl w:val="0"/>
                        <w:ind w:left="840"/>
                        <w:jc w:val="both"/>
                        <w:rPr>
                          <w:rFonts w:ascii="Calibri" w:hAnsi="Calibri" w:cs="Times New Roman"/>
                          <w:kern w:val="2"/>
                          <w:szCs w:val="22"/>
                        </w:rPr>
                      </w:pPr>
                    </w:p>
                    <w:p w14:paraId="30E139C3" w14:textId="77777777" w:rsidR="003A1C16" w:rsidRPr="003A1C16" w:rsidRDefault="003A1C16" w:rsidP="003A1C16">
                      <w:pPr>
                        <w:ind w:left="420" w:firstLineChars="200" w:firstLine="420"/>
                        <w:jc w:val="both"/>
                      </w:pPr>
                      <w:r w:rsidRPr="003A1C16">
                        <w:rPr>
                          <w:rFonts w:hint="eastAsia"/>
                        </w:rPr>
                        <w:t>（一）业绩承诺情况</w:t>
                      </w:r>
                    </w:p>
                    <w:p w14:paraId="4B71A9DB" w14:textId="77777777" w:rsidR="003A1C16" w:rsidRPr="003A1C16" w:rsidRDefault="003A1C16" w:rsidP="003A1C16">
                      <w:pPr>
                        <w:ind w:left="420" w:firstLineChars="200" w:firstLine="420"/>
                        <w:jc w:val="both"/>
                      </w:pPr>
                      <w:r w:rsidRPr="003A1C16">
                        <w:rPr>
                          <w:rFonts w:hint="eastAsia"/>
                        </w:rPr>
                        <w:t>根据《中国中材国际工程股份有限公司与中国建筑材料科学研究总院有限公司、中国建材国际工程集团有限公司之业绩承诺补偿协议》：</w:t>
                      </w:r>
                    </w:p>
                    <w:p w14:paraId="628E235A" w14:textId="77777777" w:rsidR="003A1C16" w:rsidRPr="003A1C16" w:rsidRDefault="003A1C16" w:rsidP="003A1C16">
                      <w:pPr>
                        <w:ind w:left="420" w:firstLineChars="200" w:firstLine="420"/>
                        <w:jc w:val="both"/>
                      </w:pPr>
                      <w:r w:rsidRPr="003A1C16">
                        <w:rPr>
                          <w:rFonts w:hint="eastAsia"/>
                        </w:rPr>
                        <w:t>建材研究总院、建材国际工程（以下统称为股权出让方）承诺，如本次交易于</w:t>
                      </w:r>
                      <w:r w:rsidRPr="003A1C16">
                        <w:t>2021年实施完毕，北京凯盛在2021年、2022年、2023年各会计年度应实现的承诺净利润数分别不低于5,197.56万元、5,972.98万元、6,697.52万元。如本次交易于2022年实施完毕，则股权出让方承诺北京凯盛在2022年、2023年、2024年各会计年度应实现的承诺净利润数分</w:t>
                      </w:r>
                      <w:r w:rsidRPr="003A1C16">
                        <w:lastRenderedPageBreak/>
                        <w:t>别不低于5,972.98万元、6,697.52万元、7,684.02万元。北京凯盛在业绩承诺期内的实际净利润数应当为相关年度经审计的北京凯盛单体财务报</w:t>
                      </w:r>
                      <w:r w:rsidRPr="003A1C16">
                        <w:rPr>
                          <w:rFonts w:hint="eastAsia"/>
                        </w:rPr>
                        <w:t>表中扣除非经常性损益后的净利润。</w:t>
                      </w:r>
                      <w:r w:rsidRPr="003A1C16">
                        <w:t xml:space="preserve"> </w:t>
                      </w:r>
                    </w:p>
                    <w:p w14:paraId="01EF2A03" w14:textId="77777777" w:rsidR="003A1C16" w:rsidRPr="003A1C16" w:rsidRDefault="003A1C16" w:rsidP="003A1C16">
                      <w:pPr>
                        <w:ind w:left="420" w:firstLineChars="200" w:firstLine="420"/>
                        <w:jc w:val="both"/>
                      </w:pPr>
                      <w:r w:rsidRPr="003A1C16">
                        <w:rPr>
                          <w:rFonts w:hint="eastAsia"/>
                        </w:rPr>
                        <w:t>各方确认，北京凯盛于业绩承诺期间内每年实际实现的净利润数应不低于股权出让方同期承诺净利润数，否则股权出让方应按照本协议约定对本公司予以补偿。</w:t>
                      </w:r>
                    </w:p>
                    <w:p w14:paraId="4F2B614C" w14:textId="77777777" w:rsidR="003A1C16" w:rsidRPr="003A1C16" w:rsidRDefault="003A1C16" w:rsidP="003A1C16">
                      <w:pPr>
                        <w:ind w:left="420" w:firstLineChars="200" w:firstLine="420"/>
                        <w:jc w:val="both"/>
                      </w:pPr>
                      <w:r w:rsidRPr="003A1C16">
                        <w:rPr>
                          <w:rFonts w:hint="eastAsia"/>
                        </w:rPr>
                        <w:t>在业绩承诺期间，发生本协议约定的股权出让方应向本公司承担补偿责任的情形，股权出让方应按如下方式向本公司进行补偿：</w:t>
                      </w:r>
                    </w:p>
                    <w:p w14:paraId="4E4080E5" w14:textId="77777777" w:rsidR="003A1C16" w:rsidRPr="003A1C16" w:rsidRDefault="003A1C16" w:rsidP="003A1C16">
                      <w:pPr>
                        <w:ind w:left="420" w:firstLineChars="200" w:firstLine="420"/>
                        <w:jc w:val="both"/>
                      </w:pPr>
                      <w:r w:rsidRPr="003A1C16">
                        <w:t>1、股权出让方应优先以通过本次交易获得的本公司的股份向本公司补偿，股份补偿不足时，以人民币现金补偿。但若在业绩承诺期间因股权出让方所持本公司股份被冻结、强制执行等导致股权出让方转让所持股份受到限制情形出现，本公司有权直接要求股权出让方进行现金补偿。</w:t>
                      </w:r>
                    </w:p>
                    <w:p w14:paraId="1B9DAB55" w14:textId="77777777" w:rsidR="003A1C16" w:rsidRPr="003A1C16" w:rsidRDefault="003A1C16" w:rsidP="003A1C16">
                      <w:pPr>
                        <w:ind w:left="420" w:firstLineChars="200" w:firstLine="420"/>
                        <w:jc w:val="both"/>
                      </w:pPr>
                      <w:r w:rsidRPr="003A1C16">
                        <w:t>2、业绩承诺期间内，股权出让方依照下述公式分别计算应补偿金额：</w:t>
                      </w:r>
                    </w:p>
                    <w:p w14:paraId="0AC2A310" w14:textId="77777777" w:rsidR="003A1C16" w:rsidRPr="003A1C16" w:rsidRDefault="003A1C16" w:rsidP="003A1C16">
                      <w:pPr>
                        <w:ind w:left="420" w:firstLineChars="200" w:firstLine="420"/>
                        <w:jc w:val="both"/>
                      </w:pPr>
                      <w:r w:rsidRPr="003A1C16">
                        <w:rPr>
                          <w:rFonts w:hint="eastAsia"/>
                        </w:rPr>
                        <w:t>当期应补偿金额</w:t>
                      </w:r>
                      <w:r w:rsidRPr="003A1C16">
                        <w:t>=（截至当期期末北京凯盛累积承诺净利润数－截至当期期末北京凯盛累积实现净利润数）÷业绩承诺期间内各年的北京凯盛承诺净利润数总和×收益法评估资产合计交易价格－截至当期期末股权出让方就该项资产累积已补偿金额。</w:t>
                      </w:r>
                    </w:p>
                    <w:p w14:paraId="67F665B7" w14:textId="77777777" w:rsidR="003A1C16" w:rsidRPr="003A1C16" w:rsidRDefault="003A1C16" w:rsidP="003A1C16">
                      <w:pPr>
                        <w:ind w:left="420" w:firstLineChars="200" w:firstLine="420"/>
                        <w:jc w:val="both"/>
                      </w:pPr>
                      <w:r w:rsidRPr="003A1C16">
                        <w:rPr>
                          <w:rFonts w:hint="eastAsia"/>
                        </w:rPr>
                        <w:t>当期应补偿股份数量</w:t>
                      </w:r>
                      <w:r w:rsidRPr="003A1C16">
                        <w:t>=当期应补偿金额÷本次交易的每股发行价格（在业绩承诺期间内，如本次发行价格依据《发行股份及支付现金购买资产协议》发生调整，则应以调整后的发行价格为准计算，下同）</w:t>
                      </w:r>
                    </w:p>
                    <w:p w14:paraId="72A91391" w14:textId="77777777" w:rsidR="003A1C16" w:rsidRPr="003A1C16" w:rsidRDefault="003A1C16" w:rsidP="003A1C16">
                      <w:pPr>
                        <w:ind w:left="420" w:firstLineChars="200" w:firstLine="420"/>
                        <w:jc w:val="both"/>
                      </w:pPr>
                      <w:r w:rsidRPr="003A1C16">
                        <w:rPr>
                          <w:rFonts w:hint="eastAsia"/>
                        </w:rPr>
                        <w:t>若股权出让方于本次交易中取得的股份不足补偿，则其应进一步以现金进行补偿，计算公式为：</w:t>
                      </w:r>
                    </w:p>
                    <w:p w14:paraId="5B6085B4" w14:textId="77777777" w:rsidR="003A1C16" w:rsidRPr="003A1C16" w:rsidRDefault="003A1C16" w:rsidP="003A1C16">
                      <w:pPr>
                        <w:ind w:left="420" w:firstLineChars="200" w:firstLine="420"/>
                        <w:jc w:val="both"/>
                      </w:pPr>
                      <w:r w:rsidRPr="003A1C16">
                        <w:rPr>
                          <w:rFonts w:hint="eastAsia"/>
                        </w:rPr>
                        <w:t>当期应补偿现金金额＝当期应补偿金额</w:t>
                      </w:r>
                      <w:r w:rsidRPr="003A1C16">
                        <w:t>-当期已补偿股份数量×本次交易的每股发行价格。</w:t>
                      </w:r>
                    </w:p>
                    <w:p w14:paraId="20F6371D" w14:textId="77777777" w:rsidR="003A1C16" w:rsidRPr="003A1C16" w:rsidRDefault="003A1C16" w:rsidP="003A1C16">
                      <w:pPr>
                        <w:ind w:left="420" w:firstLineChars="200" w:firstLine="420"/>
                        <w:jc w:val="both"/>
                      </w:pPr>
                      <w:r w:rsidRPr="003A1C16">
                        <w:t>3、减值测试补偿</w:t>
                      </w:r>
                    </w:p>
                    <w:p w14:paraId="20AD1C84" w14:textId="77777777" w:rsidR="003A1C16" w:rsidRPr="003A1C16" w:rsidRDefault="003A1C16" w:rsidP="003A1C16">
                      <w:pPr>
                        <w:ind w:left="420" w:firstLineChars="200" w:firstLine="420"/>
                        <w:jc w:val="both"/>
                      </w:pPr>
                      <w:r w:rsidRPr="003A1C16">
                        <w:rPr>
                          <w:rFonts w:hint="eastAsia"/>
                        </w:rPr>
                        <w:t>（</w:t>
                      </w:r>
                      <w:r w:rsidRPr="003A1C16">
                        <w:t>1）在业绩承诺期间届满时，由本公司决定并聘请具有合格资质的中介机构对本协议所列示的收益法评估资产进行减值测试，并出具减值测试报告或专项审核意见。收益法评估资产的减值情况应根据前述《减值测试报告》或专项审核意见确定。</w:t>
                      </w:r>
                    </w:p>
                    <w:p w14:paraId="2C2BCAA6" w14:textId="77777777" w:rsidR="003A1C16" w:rsidRPr="003A1C16" w:rsidRDefault="003A1C16" w:rsidP="003A1C16">
                      <w:pPr>
                        <w:ind w:left="420" w:firstLineChars="200" w:firstLine="420"/>
                        <w:jc w:val="both"/>
                      </w:pPr>
                      <w:r w:rsidRPr="003A1C16">
                        <w:rPr>
                          <w:rFonts w:hint="eastAsia"/>
                        </w:rPr>
                        <w:t>经减值测试，如业绩承诺期间收益法评估资产的期末减值额</w:t>
                      </w:r>
                      <w:r w:rsidRPr="003A1C16">
                        <w:t>&gt;（已补偿股份总数×本次交易每股发行价格＋股权出让方已补偿现金总额），则股权出让方应当另行向本公司进行补偿。前述期末减值额等于收益法评估资产本次交易评估价值减去收益法评估资产期末评估价值后的金额并扣除业绩承诺期间本公司及其下属子公司对该项资产进行资本投入、资产处置等的影响。</w:t>
                      </w:r>
                    </w:p>
                    <w:p w14:paraId="2709FBDA" w14:textId="77777777" w:rsidR="003A1C16" w:rsidRPr="003A1C16" w:rsidRDefault="003A1C16" w:rsidP="003A1C16">
                      <w:pPr>
                        <w:ind w:left="420" w:firstLineChars="200" w:firstLine="420"/>
                        <w:jc w:val="both"/>
                      </w:pPr>
                      <w:r w:rsidRPr="003A1C16">
                        <w:rPr>
                          <w:rFonts w:hint="eastAsia"/>
                        </w:rPr>
                        <w:t>股权出让方另需补偿的金额计算公式如下：</w:t>
                      </w:r>
                    </w:p>
                    <w:p w14:paraId="450FA0DA" w14:textId="77777777" w:rsidR="003A1C16" w:rsidRPr="003A1C16" w:rsidRDefault="003A1C16" w:rsidP="003A1C16">
                      <w:pPr>
                        <w:ind w:left="420" w:firstLineChars="200" w:firstLine="420"/>
                        <w:jc w:val="both"/>
                      </w:pPr>
                      <w:r w:rsidRPr="003A1C16">
                        <w:rPr>
                          <w:rFonts w:hint="eastAsia"/>
                        </w:rPr>
                        <w:t>减值测试补偿金额</w:t>
                      </w:r>
                      <w:r w:rsidRPr="003A1C16">
                        <w:t>=收益法评估资产期末减值额－补偿期限内已补偿股份总数×每股发行价格—业绩承诺期间内已补偿现金金额。</w:t>
                      </w:r>
                    </w:p>
                    <w:p w14:paraId="039AB00E" w14:textId="77777777" w:rsidR="003A1C16" w:rsidRPr="003A1C16" w:rsidRDefault="003A1C16" w:rsidP="003A1C16">
                      <w:pPr>
                        <w:ind w:left="420" w:firstLineChars="200" w:firstLine="420"/>
                        <w:jc w:val="both"/>
                      </w:pPr>
                      <w:r w:rsidRPr="003A1C16">
                        <w:rPr>
                          <w:rFonts w:hint="eastAsia"/>
                        </w:rPr>
                        <w:t>减值测试补偿股份数量</w:t>
                      </w:r>
                      <w:r w:rsidRPr="003A1C16">
                        <w:t>=减值测试补偿金额÷本次交易的每股发行价格。</w:t>
                      </w:r>
                    </w:p>
                    <w:p w14:paraId="6060A8EE" w14:textId="77777777" w:rsidR="003A1C16" w:rsidRPr="003A1C16" w:rsidRDefault="003A1C16" w:rsidP="003A1C16">
                      <w:pPr>
                        <w:ind w:left="420" w:firstLineChars="200" w:firstLine="420"/>
                        <w:jc w:val="both"/>
                      </w:pPr>
                      <w:r w:rsidRPr="003A1C16">
                        <w:rPr>
                          <w:rFonts w:hint="eastAsia"/>
                        </w:rPr>
                        <w:t>（</w:t>
                      </w:r>
                      <w:r w:rsidRPr="003A1C16">
                        <w:t>2）股权出让方应优先以股份另行补偿，如果股权出让方于本次交易中认购的股份不足补偿，则其应进一步以现金进行补偿。</w:t>
                      </w:r>
                    </w:p>
                    <w:p w14:paraId="773D93DD" w14:textId="77777777" w:rsidR="003A1C16" w:rsidRPr="003A1C16" w:rsidRDefault="003A1C16" w:rsidP="003A1C16">
                      <w:pPr>
                        <w:ind w:left="420" w:firstLineChars="200" w:firstLine="420"/>
                        <w:jc w:val="both"/>
                      </w:pPr>
                      <w:r w:rsidRPr="003A1C16">
                        <w:rPr>
                          <w:rFonts w:hint="eastAsia"/>
                        </w:rPr>
                        <w:t>（</w:t>
                      </w:r>
                      <w:r w:rsidRPr="003A1C16">
                        <w:t>3）股权出让方因北京凯盛实际实现的净利润数低于同期承诺净利润数或收益法评估资产期末发生减值而向本公司支付的股份补偿及现金补偿总额不超过收益法评估资产的总交易价格。</w:t>
                      </w:r>
                    </w:p>
                    <w:p w14:paraId="105E8A96" w14:textId="77777777" w:rsidR="003A1C16" w:rsidRPr="003A1C16" w:rsidRDefault="003A1C16" w:rsidP="003A1C16">
                      <w:pPr>
                        <w:ind w:left="420" w:firstLineChars="200" w:firstLine="420"/>
                        <w:jc w:val="both"/>
                      </w:pPr>
                      <w:r w:rsidRPr="003A1C16">
                        <w:rPr>
                          <w:rFonts w:hint="eastAsia"/>
                        </w:rPr>
                        <w:t>（</w:t>
                      </w:r>
                      <w:r w:rsidRPr="003A1C16">
                        <w:t>4）如本公司在利润承诺期间实施转增或送股分配等除权事项的，则“每股发行价格”及“已补偿股份总数”进行相应调整，按照上述公式计算的应补偿股份数量在个位之后存在尾数的，均按照舍去尾数并增加1股的方式进行处理。</w:t>
                      </w:r>
                    </w:p>
                    <w:p w14:paraId="15F7555E" w14:textId="77777777" w:rsidR="003A1C16" w:rsidRPr="003A1C16" w:rsidRDefault="003A1C16" w:rsidP="003A1C16">
                      <w:pPr>
                        <w:ind w:left="420" w:firstLineChars="200" w:firstLine="420"/>
                        <w:jc w:val="both"/>
                      </w:pPr>
                      <w:r w:rsidRPr="003A1C16">
                        <w:rPr>
                          <w:rFonts w:hint="eastAsia"/>
                        </w:rPr>
                        <w:t>（</w:t>
                      </w:r>
                      <w:r w:rsidRPr="003A1C16">
                        <w:t>5）除非法律法规有强制性规定或各方另行约定，减值测试所采取的估值方法应与本次交易所涉资产评估报告中收益法资产的评估方法保持一致。</w:t>
                      </w:r>
                    </w:p>
                    <w:p w14:paraId="4C92A574" w14:textId="77777777" w:rsidR="003A1C16" w:rsidRPr="003A1C16" w:rsidRDefault="003A1C16" w:rsidP="003A1C16">
                      <w:pPr>
                        <w:ind w:left="420" w:firstLineChars="200" w:firstLine="420"/>
                        <w:jc w:val="both"/>
                      </w:pPr>
                      <w:r w:rsidRPr="003A1C16">
                        <w:rPr>
                          <w:rFonts w:hint="eastAsia"/>
                        </w:rPr>
                        <w:t>（</w:t>
                      </w:r>
                      <w:r w:rsidRPr="003A1C16">
                        <w:t>6）股权出让方因本次交易获得的股份交割日起至股权出让方完成约定的补偿义务前，如本公司实施现金股利分配，股权出让方所取得应补偿股份对应的现金股利部分应无偿返还至本公司指定的账户内，返还的现金股利不作为已补偿金额，不计入各期应补偿金额的计算。分红返还金额的计算公式为：返还金额=每股已分配的现金股利（税后金额为准）×当期补偿股份数量。</w:t>
                      </w:r>
                    </w:p>
                    <w:p w14:paraId="30E236B9" w14:textId="77777777" w:rsidR="003A1C16" w:rsidRPr="003A1C16" w:rsidRDefault="003A1C16" w:rsidP="003A1C16">
                      <w:pPr>
                        <w:ind w:left="420" w:firstLineChars="200" w:firstLine="420"/>
                        <w:jc w:val="both"/>
                      </w:pPr>
                      <w:r w:rsidRPr="003A1C16">
                        <w:rPr>
                          <w:rFonts w:hint="eastAsia"/>
                        </w:rPr>
                        <w:lastRenderedPageBreak/>
                        <w:t>（</w:t>
                      </w:r>
                      <w:r w:rsidRPr="003A1C16">
                        <w:t>7）股权出让方应按照各自在截至本协议签署日在北京凯盛的认缴出资比例确定各自的补偿责任。</w:t>
                      </w:r>
                    </w:p>
                    <w:p w14:paraId="715A1A0A" w14:textId="77777777" w:rsidR="003A1C16" w:rsidRPr="003A1C16" w:rsidRDefault="003A1C16" w:rsidP="003A1C16">
                      <w:pPr>
                        <w:ind w:left="420" w:firstLineChars="200" w:firstLine="420"/>
                      </w:pPr>
                    </w:p>
                    <w:p w14:paraId="28A5F2BC" w14:textId="77777777" w:rsidR="003A1C16" w:rsidRPr="003A1C16" w:rsidRDefault="003A1C16" w:rsidP="003A1C16">
                      <w:pPr>
                        <w:ind w:left="420" w:firstLineChars="200" w:firstLine="420"/>
                      </w:pPr>
                      <w:r w:rsidRPr="003A1C16">
                        <w:rPr>
                          <w:rFonts w:hint="eastAsia"/>
                        </w:rPr>
                        <w:t>（二）业绩承诺实现情况</w:t>
                      </w:r>
                    </w:p>
                    <w:p w14:paraId="015DEEF1" w14:textId="77777777" w:rsidR="003A1C16" w:rsidRPr="003A1C16" w:rsidRDefault="003A1C16" w:rsidP="003A1C16">
                      <w:pPr>
                        <w:ind w:left="420" w:firstLineChars="200" w:firstLine="420"/>
                        <w:jc w:val="right"/>
                      </w:pPr>
                      <w:r w:rsidRPr="003A1C16">
                        <w:rPr>
                          <w:rFonts w:hint="eastAsia"/>
                        </w:rPr>
                        <w:t>单位：人民币万元</w:t>
                      </w:r>
                    </w:p>
                    <w:tbl>
                      <w:tblPr>
                        <w:tblStyle w:val="1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4"/>
                        <w:gridCol w:w="1495"/>
                        <w:gridCol w:w="1329"/>
                        <w:gridCol w:w="1560"/>
                        <w:gridCol w:w="1064"/>
                        <w:gridCol w:w="1101"/>
                      </w:tblGrid>
                      <w:tr w:rsidR="003A1C16" w:rsidRPr="003A1C16" w14:paraId="2712B96B" w14:textId="77777777" w:rsidTr="003A1C1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89" w:type="pct"/>
                            <w:tcBorders>
                              <w:bottom w:val="none" w:sz="0" w:space="0" w:color="auto"/>
                            </w:tcBorders>
                          </w:tcPr>
                          <w:p w14:paraId="0BA44276" w14:textId="77777777" w:rsidR="003A1C16" w:rsidRPr="003A1C16" w:rsidRDefault="003A1C16" w:rsidP="003A1C16">
                            <w:pPr>
                              <w:widowControl w:val="0"/>
                              <w:jc w:val="center"/>
                              <w:rPr>
                                <w:rFonts w:cs="Times New Roman"/>
                                <w:bCs w:val="0"/>
                                <w:kern w:val="2"/>
                                <w:szCs w:val="21"/>
                              </w:rPr>
                            </w:pPr>
                            <w:r w:rsidRPr="003A1C16">
                              <w:rPr>
                                <w:rFonts w:cs="Times New Roman" w:hint="eastAsia"/>
                                <w:b w:val="0"/>
                                <w:bCs w:val="0"/>
                                <w:kern w:val="2"/>
                                <w:szCs w:val="21"/>
                              </w:rPr>
                              <w:t>公司名称</w:t>
                            </w:r>
                          </w:p>
                        </w:tc>
                        <w:tc>
                          <w:tcPr>
                            <w:tcW w:w="847" w:type="pct"/>
                            <w:tcBorders>
                              <w:bottom w:val="none" w:sz="0" w:space="0" w:color="auto"/>
                            </w:tcBorders>
                          </w:tcPr>
                          <w:p w14:paraId="3796511B"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Times New Roman"/>
                                <w:bCs w:val="0"/>
                                <w:kern w:val="2"/>
                                <w:szCs w:val="21"/>
                              </w:rPr>
                            </w:pPr>
                            <w:r w:rsidRPr="003A1C16">
                              <w:rPr>
                                <w:rFonts w:cs="Arial" w:hint="eastAsia"/>
                                <w:b w:val="0"/>
                                <w:bCs w:val="0"/>
                                <w:kern w:val="2"/>
                                <w:szCs w:val="21"/>
                              </w:rPr>
                              <w:t>年度</w:t>
                            </w:r>
                          </w:p>
                        </w:tc>
                        <w:tc>
                          <w:tcPr>
                            <w:tcW w:w="753" w:type="pct"/>
                            <w:tcBorders>
                              <w:bottom w:val="none" w:sz="0" w:space="0" w:color="auto"/>
                            </w:tcBorders>
                          </w:tcPr>
                          <w:p w14:paraId="1CB24C8B"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承诺金额</w:t>
                            </w:r>
                          </w:p>
                        </w:tc>
                        <w:tc>
                          <w:tcPr>
                            <w:tcW w:w="884" w:type="pct"/>
                            <w:tcBorders>
                              <w:bottom w:val="none" w:sz="0" w:space="0" w:color="auto"/>
                            </w:tcBorders>
                          </w:tcPr>
                          <w:p w14:paraId="7F2F367A"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实际实现金额</w:t>
                            </w:r>
                          </w:p>
                        </w:tc>
                        <w:tc>
                          <w:tcPr>
                            <w:tcW w:w="603" w:type="pct"/>
                            <w:tcBorders>
                              <w:bottom w:val="none" w:sz="0" w:space="0" w:color="auto"/>
                            </w:tcBorders>
                          </w:tcPr>
                          <w:p w14:paraId="5149D92F"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Arial"/>
                                <w:bCs w:val="0"/>
                                <w:kern w:val="2"/>
                                <w:szCs w:val="21"/>
                              </w:rPr>
                            </w:pPr>
                            <w:r w:rsidRPr="003A1C16">
                              <w:rPr>
                                <w:rFonts w:cs="Arial" w:hint="eastAsia"/>
                                <w:b w:val="0"/>
                                <w:bCs w:val="0"/>
                                <w:kern w:val="2"/>
                                <w:szCs w:val="21"/>
                              </w:rPr>
                              <w:t>差异额</w:t>
                            </w:r>
                          </w:p>
                        </w:tc>
                        <w:tc>
                          <w:tcPr>
                            <w:tcW w:w="624" w:type="pct"/>
                            <w:tcBorders>
                              <w:bottom w:val="none" w:sz="0" w:space="0" w:color="auto"/>
                            </w:tcBorders>
                          </w:tcPr>
                          <w:p w14:paraId="191DCB73"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完成率%</w:t>
                            </w:r>
                          </w:p>
                        </w:tc>
                      </w:tr>
                      <w:tr w:rsidR="003A1C16" w:rsidRPr="003A1C16" w14:paraId="0BDE2D49"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289" w:type="pct"/>
                          </w:tcPr>
                          <w:p w14:paraId="14601205"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北京凯盛</w:t>
                            </w:r>
                          </w:p>
                        </w:tc>
                        <w:tc>
                          <w:tcPr>
                            <w:tcW w:w="847" w:type="pct"/>
                          </w:tcPr>
                          <w:p w14:paraId="449FFC9E"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2023年度</w:t>
                            </w:r>
                          </w:p>
                        </w:tc>
                        <w:tc>
                          <w:tcPr>
                            <w:tcW w:w="753" w:type="pct"/>
                          </w:tcPr>
                          <w:p w14:paraId="48AB1915"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6,697.52</w:t>
                            </w:r>
                          </w:p>
                        </w:tc>
                        <w:tc>
                          <w:tcPr>
                            <w:tcW w:w="884" w:type="pct"/>
                          </w:tcPr>
                          <w:p w14:paraId="66EE12BE" w14:textId="77777777" w:rsidR="003A1C16" w:rsidRPr="003A1C16" w:rsidRDefault="003A1C16" w:rsidP="003A1C16">
                            <w:pPr>
                              <w:jc w:val="right"/>
                              <w:textAlignment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eastAsia="Arial Narrow" w:hAnsi="Arial Narrow" w:cs="Arial Narrow"/>
                                <w:color w:val="000000"/>
                                <w:sz w:val="18"/>
                                <w:szCs w:val="18"/>
                                <w:lang w:bidi="ar"/>
                              </w:rPr>
                              <w:t xml:space="preserve"> 7,140.91 </w:t>
                            </w:r>
                          </w:p>
                        </w:tc>
                        <w:tc>
                          <w:tcPr>
                            <w:tcW w:w="603" w:type="pct"/>
                          </w:tcPr>
                          <w:p w14:paraId="5651F43D" w14:textId="77777777" w:rsidR="003A1C16" w:rsidRPr="003A1C16" w:rsidRDefault="003A1C16" w:rsidP="003A1C16">
                            <w:pPr>
                              <w:jc w:val="right"/>
                              <w:textAlignment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eastAsia="Arial Narrow" w:hAnsi="Arial Narrow" w:cs="Arial Narrow"/>
                                <w:color w:val="000000"/>
                                <w:sz w:val="18"/>
                                <w:szCs w:val="18"/>
                                <w:lang w:bidi="ar"/>
                              </w:rPr>
                              <w:t xml:space="preserve"> 443.39 </w:t>
                            </w:r>
                          </w:p>
                        </w:tc>
                        <w:tc>
                          <w:tcPr>
                            <w:tcW w:w="624" w:type="pct"/>
                          </w:tcPr>
                          <w:p w14:paraId="2113B39C" w14:textId="77777777" w:rsidR="003A1C16" w:rsidRPr="003A1C16" w:rsidRDefault="003A1C16" w:rsidP="003A1C16">
                            <w:pPr>
                              <w:jc w:val="right"/>
                              <w:textAlignment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eastAsia="Arial Narrow" w:hAnsi="Arial Narrow" w:cs="Arial Narrow"/>
                                <w:color w:val="000000"/>
                                <w:sz w:val="18"/>
                                <w:szCs w:val="18"/>
                                <w:lang w:bidi="ar"/>
                              </w:rPr>
                              <w:t xml:space="preserve"> 106.62 </w:t>
                            </w:r>
                          </w:p>
                        </w:tc>
                      </w:tr>
                    </w:tbl>
                    <w:p w14:paraId="657BF32D" w14:textId="77777777" w:rsidR="003A1C16" w:rsidRPr="003A1C16" w:rsidRDefault="003A1C16" w:rsidP="003A1C16">
                      <w:pPr>
                        <w:ind w:left="420" w:firstLineChars="200" w:firstLine="420"/>
                      </w:pPr>
                    </w:p>
                    <w:p w14:paraId="5F2D0540" w14:textId="77777777" w:rsidR="003A1C16" w:rsidRPr="003A1C16" w:rsidRDefault="003A1C16" w:rsidP="003A1C16">
                      <w:pPr>
                        <w:ind w:left="420" w:firstLineChars="200" w:firstLine="420"/>
                      </w:pPr>
                      <w:r w:rsidRPr="003A1C16">
                        <w:rPr>
                          <w:rFonts w:hint="eastAsia"/>
                        </w:rPr>
                        <w:t>说明：实际实现金额是指经审计的北京凯盛单体财务报表中扣除非经常性损益后的净利润。</w:t>
                      </w:r>
                    </w:p>
                    <w:p w14:paraId="5D2F4469" w14:textId="77777777" w:rsidR="003A1C16" w:rsidRPr="003A1C16" w:rsidRDefault="003A1C16" w:rsidP="003A1C16">
                      <w:pPr>
                        <w:ind w:left="420" w:firstLineChars="200" w:firstLine="420"/>
                        <w:jc w:val="both"/>
                      </w:pPr>
                      <w:r w:rsidRPr="003A1C16">
                        <w:rPr>
                          <w:rFonts w:hint="eastAsia"/>
                        </w:rPr>
                        <w:t>根据《中国中材国际工程股份有限公司与中国建筑材料科学研究总院有限公司、中国建材国际工程集团有限公司之业绩承诺补偿协议》，本次交易于</w:t>
                      </w:r>
                      <w:r w:rsidRPr="003A1C16">
                        <w:t>2021年实施完毕，故股权出让方的业绩承诺为2023年度应实现的承诺净利润数不低于6,697.52万元，北京凯盛在业绩承诺期内的实际净利润数应当为相关年度经审计的北京凯盛单体财务报表中扣除非经常性损益后的净利润。</w:t>
                      </w:r>
                    </w:p>
                    <w:p w14:paraId="79605A04" w14:textId="77777777" w:rsidR="003A1C16" w:rsidRPr="003A1C16" w:rsidRDefault="003A1C16" w:rsidP="003A1C16">
                      <w:pPr>
                        <w:ind w:left="420" w:firstLineChars="200" w:firstLine="420"/>
                        <w:jc w:val="both"/>
                      </w:pPr>
                      <w:r w:rsidRPr="003A1C16">
                        <w:rPr>
                          <w:rFonts w:hint="eastAsia"/>
                        </w:rPr>
                        <w:t>根据</w:t>
                      </w:r>
                      <w:r w:rsidRPr="003A1C16">
                        <w:t>2023年度经审计的北京凯盛单体财务报表中扣除非经常性损益后的净利润，北京凯盛2023年度实际实现净利润为承诺净利润的106.62%，达到2023年度的业绩承诺。</w:t>
                      </w:r>
                    </w:p>
                    <w:p w14:paraId="006A3E8C" w14:textId="77777777" w:rsidR="003A1C16" w:rsidRPr="003A1C16" w:rsidRDefault="003A1C16" w:rsidP="003A1C16">
                      <w:pPr>
                        <w:ind w:left="420" w:firstLineChars="200" w:firstLine="420"/>
                        <w:jc w:val="both"/>
                      </w:pPr>
                      <w:r w:rsidRPr="003A1C16">
                        <w:rPr>
                          <w:rFonts w:hint="eastAsia"/>
                        </w:rPr>
                        <w:t>（三）业绩承诺期届满之标的资产减值测试报告</w:t>
                      </w:r>
                    </w:p>
                    <w:p w14:paraId="06EE3457" w14:textId="77777777" w:rsidR="003A1C16" w:rsidRPr="003A1C16" w:rsidRDefault="003A1C16" w:rsidP="003A1C16">
                      <w:pPr>
                        <w:ind w:left="420" w:firstLineChars="200" w:firstLine="420"/>
                        <w:jc w:val="both"/>
                      </w:pPr>
                      <w:r w:rsidRPr="003A1C16">
                        <w:rPr>
                          <w:rFonts w:hint="eastAsia"/>
                        </w:rPr>
                        <w:t>截至</w:t>
                      </w:r>
                      <w:r w:rsidRPr="003A1C16">
                        <w:t xml:space="preserve"> 2023 年 12 月 31 日，北京凯盛资产中采用收益法评估的无形资产评估价值之和为1,385.42万元，相比并购日交易作价 1,300.00 万元，未发生减值。</w:t>
                      </w:r>
                    </w:p>
                    <w:p w14:paraId="7B5A98E9" w14:textId="77777777" w:rsidR="003A1C16" w:rsidRPr="003A1C16" w:rsidRDefault="003A1C16" w:rsidP="003A1C16">
                      <w:pPr>
                        <w:ind w:left="420" w:firstLineChars="200" w:firstLine="420"/>
                        <w:jc w:val="both"/>
                      </w:pPr>
                    </w:p>
                    <w:p w14:paraId="5DA92DE6" w14:textId="77777777" w:rsidR="003A1C16" w:rsidRPr="003A1C16" w:rsidRDefault="003A1C16" w:rsidP="003A1C16">
                      <w:pPr>
                        <w:widowControl w:val="0"/>
                        <w:numPr>
                          <w:ilvl w:val="1"/>
                          <w:numId w:val="31"/>
                        </w:numPr>
                        <w:jc w:val="both"/>
                        <w:rPr>
                          <w:rFonts w:ascii="Calibri" w:hAnsi="Calibri" w:cs="Times New Roman"/>
                          <w:kern w:val="2"/>
                          <w:szCs w:val="22"/>
                        </w:rPr>
                      </w:pPr>
                      <w:r w:rsidRPr="003A1C16">
                        <w:rPr>
                          <w:rFonts w:ascii="Calibri" w:hAnsi="Calibri" w:cs="Times New Roman" w:hint="eastAsia"/>
                          <w:kern w:val="2"/>
                          <w:szCs w:val="22"/>
                        </w:rPr>
                        <w:t>关于中材智科资产重组业绩承诺实现情况的说明</w:t>
                      </w:r>
                    </w:p>
                    <w:p w14:paraId="3E52AD8B" w14:textId="77777777" w:rsidR="003A1C16" w:rsidRPr="003A1C16" w:rsidRDefault="003A1C16" w:rsidP="003A1C16">
                      <w:pPr>
                        <w:ind w:left="420"/>
                        <w:jc w:val="both"/>
                      </w:pPr>
                      <w:r w:rsidRPr="003A1C16">
                        <w:rPr>
                          <w:rFonts w:hint="eastAsia"/>
                        </w:rPr>
                        <w:t>（一）业绩承诺情况</w:t>
                      </w:r>
                    </w:p>
                    <w:p w14:paraId="04D870EF" w14:textId="77777777" w:rsidR="003A1C16" w:rsidRPr="003A1C16" w:rsidRDefault="003A1C16" w:rsidP="003A1C16">
                      <w:pPr>
                        <w:ind w:left="420" w:firstLineChars="200" w:firstLine="420"/>
                        <w:jc w:val="both"/>
                      </w:pPr>
                      <w:r w:rsidRPr="003A1C16">
                        <w:rPr>
                          <w:rFonts w:hint="eastAsia"/>
                        </w:rPr>
                        <w:t>根据《中国中材国际工程股份有限公司与中国建材国际工程集团有限公司之业绩承诺补偿协议》、《中国中材国际工程股份有限公司与冯建华等</w:t>
                      </w:r>
                      <w:r w:rsidRPr="003A1C16">
                        <w:t>49名自然人之业绩承诺补偿协议》：</w:t>
                      </w:r>
                    </w:p>
                    <w:p w14:paraId="7E714694" w14:textId="77777777" w:rsidR="003A1C16" w:rsidRPr="003A1C16" w:rsidRDefault="003A1C16" w:rsidP="003A1C16">
                      <w:pPr>
                        <w:ind w:left="420" w:firstLineChars="200" w:firstLine="420"/>
                        <w:jc w:val="both"/>
                      </w:pPr>
                      <w:r w:rsidRPr="003A1C16">
                        <w:rPr>
                          <w:rFonts w:hint="eastAsia"/>
                        </w:rPr>
                        <w:t>建材国际工程、冯建华等</w:t>
                      </w:r>
                      <w:r w:rsidRPr="003A1C16">
                        <w:t>49名自然人（以下统称为股权出让方）承诺，如本次交易于2021年实施完毕，中材智科在2021年、2022年、2023年各会计年度应实现的承诺净利润数分别不低于14,745.05万元、15,455.45万元、13,636.43万元。如本次交易于2022年实施完毕，则股权出让方承诺中材智科在2022年、2023年、2024年各会计年度应实现的承诺净利润数分别不低于15,455.45万元、13,636.43万元、11,793.35万元。中材智科在业绩承诺期内的实际净利润数应当为相关年度经审计</w:t>
                      </w:r>
                      <w:r w:rsidRPr="003A1C16">
                        <w:rPr>
                          <w:rFonts w:hint="eastAsia"/>
                        </w:rPr>
                        <w:t>的中材智科单体财务报表中扣除非经常性损益后的净利润。</w:t>
                      </w:r>
                      <w:r w:rsidRPr="003A1C16">
                        <w:t xml:space="preserve"> </w:t>
                      </w:r>
                    </w:p>
                    <w:p w14:paraId="5AADA016" w14:textId="77777777" w:rsidR="003A1C16" w:rsidRPr="003A1C16" w:rsidRDefault="003A1C16" w:rsidP="003A1C16">
                      <w:pPr>
                        <w:ind w:left="420" w:firstLineChars="200" w:firstLine="420"/>
                        <w:jc w:val="both"/>
                      </w:pPr>
                      <w:r w:rsidRPr="003A1C16">
                        <w:rPr>
                          <w:rFonts w:hint="eastAsia"/>
                        </w:rPr>
                        <w:t>各方确认，中材智科于业绩承诺期间内每年实际实现的净利润数应不低于股权出让方同期承诺净利润数，否则股权出让方应按照本协议约定对本公司予以补偿。</w:t>
                      </w:r>
                    </w:p>
                    <w:p w14:paraId="51E363CD" w14:textId="77777777" w:rsidR="003A1C16" w:rsidRPr="003A1C16" w:rsidRDefault="003A1C16" w:rsidP="003A1C16">
                      <w:pPr>
                        <w:ind w:left="420"/>
                        <w:jc w:val="both"/>
                      </w:pPr>
                      <w:r w:rsidRPr="003A1C16">
                        <w:rPr>
                          <w:rFonts w:hint="eastAsia"/>
                        </w:rPr>
                        <w:t>在业绩承诺期间，发生本协议约定的股权出让方应向本公司承担补偿责任的情形，股权出让方应按如下方式向本公司进行补偿：</w:t>
                      </w:r>
                    </w:p>
                    <w:p w14:paraId="1B789A53" w14:textId="77777777" w:rsidR="003A1C16" w:rsidRPr="003A1C16" w:rsidRDefault="003A1C16" w:rsidP="003A1C16">
                      <w:pPr>
                        <w:ind w:left="420" w:firstLineChars="200" w:firstLine="420"/>
                        <w:jc w:val="both"/>
                      </w:pPr>
                      <w:r w:rsidRPr="003A1C16">
                        <w:t>1、本协议项下的业绩承诺补偿由股权出让方以人民币现金补偿。</w:t>
                      </w:r>
                    </w:p>
                    <w:p w14:paraId="7CC51660" w14:textId="77777777" w:rsidR="003A1C16" w:rsidRPr="003A1C16" w:rsidRDefault="003A1C16" w:rsidP="003A1C16">
                      <w:pPr>
                        <w:ind w:left="420" w:firstLineChars="200" w:firstLine="420"/>
                        <w:jc w:val="both"/>
                      </w:pPr>
                      <w:r w:rsidRPr="003A1C16">
                        <w:t>2、业绩承诺期间内，股权出让方依照下述公式分别计算应补偿金额：</w:t>
                      </w:r>
                    </w:p>
                    <w:p w14:paraId="2FF851DE" w14:textId="77777777" w:rsidR="003A1C16" w:rsidRPr="003A1C16" w:rsidRDefault="003A1C16" w:rsidP="003A1C16">
                      <w:pPr>
                        <w:ind w:left="420" w:firstLineChars="200" w:firstLine="420"/>
                        <w:jc w:val="both"/>
                      </w:pPr>
                      <w:r w:rsidRPr="003A1C16">
                        <w:rPr>
                          <w:rFonts w:hint="eastAsia"/>
                        </w:rPr>
                        <w:t>当期应补偿金额</w:t>
                      </w:r>
                      <w:r w:rsidRPr="003A1C16">
                        <w:t>=（截至当期期末中材智科累积承诺净利润数－截至当期期末中材智科累积实际实现净利润数）÷业绩承诺期间内中材智科各年承诺净利润数的总和×收益法评估资产评估值×股权出让方在本次重组中向中材国际转让的中材智科的股权比例－股权出让方累积已补偿金额。</w:t>
                      </w:r>
                    </w:p>
                    <w:p w14:paraId="64698830" w14:textId="77777777" w:rsidR="003A1C16" w:rsidRPr="003A1C16" w:rsidRDefault="003A1C16" w:rsidP="003A1C16">
                      <w:pPr>
                        <w:ind w:left="420" w:firstLineChars="200" w:firstLine="420"/>
                        <w:jc w:val="both"/>
                      </w:pPr>
                      <w:r w:rsidRPr="003A1C16">
                        <w:rPr>
                          <w:rFonts w:hint="eastAsia"/>
                        </w:rPr>
                        <w:t>上述补偿按年计算，按照上述公式计算的当年应补偿金额小于</w:t>
                      </w:r>
                      <w:r w:rsidRPr="003A1C16">
                        <w:t>0时，按0取值，即已经补偿金额不冲回。</w:t>
                      </w:r>
                    </w:p>
                    <w:p w14:paraId="3F9A91C6" w14:textId="77777777" w:rsidR="003A1C16" w:rsidRPr="003A1C16" w:rsidRDefault="003A1C16" w:rsidP="003A1C16">
                      <w:pPr>
                        <w:ind w:left="420" w:firstLineChars="200" w:firstLine="420"/>
                        <w:jc w:val="both"/>
                      </w:pPr>
                      <w:r w:rsidRPr="003A1C16">
                        <w:rPr>
                          <w:rFonts w:hint="eastAsia"/>
                        </w:rPr>
                        <w:t>股权出让方应按照其在本次重组中向本公司转让的中材智科的股权比例确定各自的补偿责任。</w:t>
                      </w:r>
                    </w:p>
                    <w:p w14:paraId="27D727D5" w14:textId="77777777" w:rsidR="003A1C16" w:rsidRPr="003A1C16" w:rsidRDefault="003A1C16" w:rsidP="003A1C16">
                      <w:pPr>
                        <w:ind w:left="420" w:firstLineChars="200" w:firstLine="420"/>
                        <w:jc w:val="both"/>
                      </w:pPr>
                      <w:r w:rsidRPr="003A1C16">
                        <w:t>3、减值测试补偿</w:t>
                      </w:r>
                    </w:p>
                    <w:p w14:paraId="041FD420" w14:textId="77777777" w:rsidR="003A1C16" w:rsidRPr="003A1C16" w:rsidRDefault="003A1C16" w:rsidP="003A1C16">
                      <w:pPr>
                        <w:ind w:left="420" w:firstLineChars="200" w:firstLine="420"/>
                        <w:jc w:val="both"/>
                      </w:pPr>
                      <w:r w:rsidRPr="003A1C16">
                        <w:rPr>
                          <w:rFonts w:hint="eastAsia"/>
                        </w:rPr>
                        <w:lastRenderedPageBreak/>
                        <w:t>（</w:t>
                      </w:r>
                      <w:r w:rsidRPr="003A1C16">
                        <w:t>1）在业绩承诺期间届满时，由本公司决定并聘请具有合格资质的中介机构对本协议所列示的收益法评估资产进行减值测试，并出具减值测试报告或专项审核意见。收益法评估资产的减值情况应根据前述《减值测试报告》或专项审核意见确定。</w:t>
                      </w:r>
                    </w:p>
                    <w:p w14:paraId="54197683" w14:textId="77777777" w:rsidR="003A1C16" w:rsidRPr="003A1C16" w:rsidRDefault="003A1C16" w:rsidP="003A1C16">
                      <w:pPr>
                        <w:ind w:left="420"/>
                        <w:jc w:val="both"/>
                      </w:pPr>
                      <w:r w:rsidRPr="003A1C16">
                        <w:rPr>
                          <w:rFonts w:hint="eastAsia"/>
                        </w:rPr>
                        <w:t>经减值测试，若股权出让方应承担的业绩承诺期间收益法评估资产的期末减值额</w:t>
                      </w:r>
                      <w:r w:rsidRPr="003A1C16">
                        <w:t>&gt;股权出让方已支付的现金补偿金额，则股权出让方将向本公司另行现金补偿。前述期末减值额等于收益法评估资产本次交易评估价值减去收益法评估资产期末评估价值后的金额并扣除业绩承诺期间本公司及其下属子公司对该项资产进行资本投入、资产处置等的影响。股权出让方另需补偿的金额计算公式如下：</w:t>
                      </w:r>
                    </w:p>
                    <w:p w14:paraId="6FE463D7" w14:textId="77777777" w:rsidR="003A1C16" w:rsidRPr="003A1C16" w:rsidRDefault="003A1C16" w:rsidP="003A1C16">
                      <w:pPr>
                        <w:ind w:left="420" w:firstLineChars="200" w:firstLine="420"/>
                        <w:jc w:val="both"/>
                      </w:pPr>
                      <w:r w:rsidRPr="003A1C16">
                        <w:rPr>
                          <w:rFonts w:hint="eastAsia"/>
                        </w:rPr>
                        <w:t>股权出让方减值测试补偿金额</w:t>
                      </w:r>
                      <w:r w:rsidRPr="003A1C16">
                        <w:t>=（收益法评估资产期末减值额－业绩承诺期间累积已补偿金额）×股权出让方在本次重组中向本公司转让的中材智科的股权比例。</w:t>
                      </w:r>
                    </w:p>
                    <w:p w14:paraId="27D730A9" w14:textId="77777777" w:rsidR="003A1C16" w:rsidRPr="003A1C16" w:rsidRDefault="003A1C16" w:rsidP="003A1C16">
                      <w:pPr>
                        <w:ind w:left="420" w:firstLineChars="200" w:firstLine="420"/>
                        <w:jc w:val="both"/>
                      </w:pPr>
                      <w:r w:rsidRPr="003A1C16">
                        <w:rPr>
                          <w:rFonts w:hint="eastAsia"/>
                        </w:rPr>
                        <w:t>（</w:t>
                      </w:r>
                      <w:r w:rsidRPr="003A1C16">
                        <w:t>2）股权出让方因中材智科实际实现的净利润数低于同期承诺净利润数或收益法评估资产期末发生减值而向本公司支付的现金补偿总额不超过收益法评估资产的评估值与本次重组中股权出让方向本公司出售的中材智科股权比例的乘积。</w:t>
                      </w:r>
                    </w:p>
                    <w:p w14:paraId="0572791F" w14:textId="77777777" w:rsidR="003A1C16" w:rsidRPr="003A1C16" w:rsidRDefault="003A1C16" w:rsidP="003A1C16">
                      <w:pPr>
                        <w:ind w:left="420" w:firstLineChars="200" w:firstLine="420"/>
                        <w:jc w:val="both"/>
                      </w:pPr>
                      <w:r w:rsidRPr="003A1C16">
                        <w:rPr>
                          <w:rFonts w:hint="eastAsia"/>
                        </w:rPr>
                        <w:t>（</w:t>
                      </w:r>
                      <w:r w:rsidRPr="003A1C16">
                        <w:t>3）除非法律法规有强制性规定或各方另行约定，减值测试所采取的估值方法应与本次交易所涉资产评估报告中收益法资产的评估方法保持一致。</w:t>
                      </w:r>
                    </w:p>
                    <w:p w14:paraId="139D56CF" w14:textId="77777777" w:rsidR="003A1C16" w:rsidRPr="003A1C16" w:rsidRDefault="003A1C16" w:rsidP="003A1C16">
                      <w:pPr>
                        <w:ind w:left="420" w:firstLineChars="200" w:firstLine="420"/>
                      </w:pPr>
                      <w:r w:rsidRPr="003A1C16">
                        <w:rPr>
                          <w:rFonts w:hint="eastAsia"/>
                        </w:rPr>
                        <w:t>（二）业绩承诺实现情况</w:t>
                      </w:r>
                    </w:p>
                    <w:p w14:paraId="1617EDB0" w14:textId="77777777" w:rsidR="003A1C16" w:rsidRPr="003A1C16" w:rsidRDefault="003A1C16" w:rsidP="003A1C16">
                      <w:pPr>
                        <w:ind w:left="420"/>
                        <w:jc w:val="right"/>
                      </w:pPr>
                      <w:r w:rsidRPr="003A1C16">
                        <w:rPr>
                          <w:rFonts w:hint="eastAsia"/>
                        </w:rPr>
                        <w:t>单位：人民币万元</w:t>
                      </w:r>
                    </w:p>
                    <w:tbl>
                      <w:tblPr>
                        <w:tblStyle w:val="1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5"/>
                        <w:gridCol w:w="1263"/>
                        <w:gridCol w:w="1278"/>
                        <w:gridCol w:w="1583"/>
                        <w:gridCol w:w="1323"/>
                        <w:gridCol w:w="1101"/>
                      </w:tblGrid>
                      <w:tr w:rsidR="003A1C16" w:rsidRPr="003A1C16" w14:paraId="6B2DBDD3" w14:textId="77777777" w:rsidTr="003A1C1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89" w:type="pct"/>
                            <w:tcBorders>
                              <w:bottom w:val="none" w:sz="0" w:space="0" w:color="auto"/>
                            </w:tcBorders>
                          </w:tcPr>
                          <w:p w14:paraId="2F062C0A" w14:textId="77777777" w:rsidR="003A1C16" w:rsidRPr="003A1C16" w:rsidRDefault="003A1C16" w:rsidP="003A1C16">
                            <w:pPr>
                              <w:widowControl w:val="0"/>
                              <w:jc w:val="center"/>
                              <w:rPr>
                                <w:rFonts w:cs="Times New Roman"/>
                                <w:bCs w:val="0"/>
                                <w:kern w:val="2"/>
                                <w:szCs w:val="21"/>
                              </w:rPr>
                            </w:pPr>
                            <w:r w:rsidRPr="003A1C16">
                              <w:rPr>
                                <w:rFonts w:cs="Times New Roman" w:hint="eastAsia"/>
                                <w:b w:val="0"/>
                                <w:bCs w:val="0"/>
                                <w:kern w:val="2"/>
                                <w:szCs w:val="21"/>
                              </w:rPr>
                              <w:t>公司名称</w:t>
                            </w:r>
                          </w:p>
                        </w:tc>
                        <w:tc>
                          <w:tcPr>
                            <w:tcW w:w="716" w:type="pct"/>
                            <w:tcBorders>
                              <w:bottom w:val="none" w:sz="0" w:space="0" w:color="auto"/>
                            </w:tcBorders>
                          </w:tcPr>
                          <w:p w14:paraId="1AD450D4"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Times New Roman"/>
                                <w:bCs w:val="0"/>
                                <w:kern w:val="2"/>
                                <w:szCs w:val="21"/>
                              </w:rPr>
                            </w:pPr>
                            <w:r w:rsidRPr="003A1C16">
                              <w:rPr>
                                <w:rFonts w:cs="Arial" w:hint="eastAsia"/>
                                <w:b w:val="0"/>
                                <w:bCs w:val="0"/>
                                <w:kern w:val="2"/>
                                <w:szCs w:val="21"/>
                              </w:rPr>
                              <w:t>年度</w:t>
                            </w:r>
                          </w:p>
                        </w:tc>
                        <w:tc>
                          <w:tcPr>
                            <w:tcW w:w="724" w:type="pct"/>
                            <w:tcBorders>
                              <w:bottom w:val="none" w:sz="0" w:space="0" w:color="auto"/>
                            </w:tcBorders>
                          </w:tcPr>
                          <w:p w14:paraId="5E2D9CA5"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承诺金额</w:t>
                            </w:r>
                          </w:p>
                        </w:tc>
                        <w:tc>
                          <w:tcPr>
                            <w:tcW w:w="897" w:type="pct"/>
                            <w:tcBorders>
                              <w:bottom w:val="none" w:sz="0" w:space="0" w:color="auto"/>
                            </w:tcBorders>
                          </w:tcPr>
                          <w:p w14:paraId="16DF58A9"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实际实现金额</w:t>
                            </w:r>
                          </w:p>
                        </w:tc>
                        <w:tc>
                          <w:tcPr>
                            <w:tcW w:w="750" w:type="pct"/>
                            <w:tcBorders>
                              <w:bottom w:val="none" w:sz="0" w:space="0" w:color="auto"/>
                            </w:tcBorders>
                          </w:tcPr>
                          <w:p w14:paraId="11590265" w14:textId="77777777" w:rsidR="003A1C16" w:rsidRPr="003A1C16" w:rsidRDefault="003A1C16" w:rsidP="003A1C16">
                            <w:pPr>
                              <w:widowControl w:val="0"/>
                              <w:jc w:val="center"/>
                              <w:cnfStyle w:val="100000000000" w:firstRow="1" w:lastRow="0" w:firstColumn="0" w:lastColumn="0" w:oddVBand="0" w:evenVBand="0" w:oddHBand="0" w:evenHBand="0" w:firstRowFirstColumn="0" w:firstRowLastColumn="0" w:lastRowFirstColumn="0" w:lastRowLastColumn="0"/>
                              <w:rPr>
                                <w:rFonts w:cs="Arial"/>
                                <w:bCs w:val="0"/>
                                <w:kern w:val="2"/>
                                <w:szCs w:val="21"/>
                              </w:rPr>
                            </w:pPr>
                            <w:r w:rsidRPr="003A1C16">
                              <w:rPr>
                                <w:rFonts w:cs="Arial" w:hint="eastAsia"/>
                                <w:b w:val="0"/>
                                <w:bCs w:val="0"/>
                                <w:kern w:val="2"/>
                                <w:szCs w:val="21"/>
                              </w:rPr>
                              <w:t>差异额</w:t>
                            </w:r>
                          </w:p>
                        </w:tc>
                        <w:tc>
                          <w:tcPr>
                            <w:tcW w:w="624" w:type="pct"/>
                            <w:tcBorders>
                              <w:bottom w:val="none" w:sz="0" w:space="0" w:color="auto"/>
                            </w:tcBorders>
                          </w:tcPr>
                          <w:p w14:paraId="1EBD9C9C" w14:textId="77777777" w:rsidR="003A1C16" w:rsidRPr="003A1C16" w:rsidRDefault="003A1C16" w:rsidP="003A1C16">
                            <w:pPr>
                              <w:widowControl w:val="0"/>
                              <w:autoSpaceDE w:val="0"/>
                              <w:autoSpaceDN w:val="0"/>
                              <w:jc w:val="center"/>
                              <w:cnfStyle w:val="100000000000" w:firstRow="1" w:lastRow="0" w:firstColumn="0" w:lastColumn="0" w:oddVBand="0" w:evenVBand="0" w:oddHBand="0" w:evenHBand="0" w:firstRowFirstColumn="0" w:firstRowLastColumn="0" w:lastRowFirstColumn="0" w:lastRowLastColumn="0"/>
                              <w:rPr>
                                <w:bCs w:val="0"/>
                                <w:kern w:val="2"/>
                                <w:szCs w:val="21"/>
                              </w:rPr>
                            </w:pPr>
                            <w:r w:rsidRPr="003A1C16">
                              <w:rPr>
                                <w:rFonts w:cs="Arial" w:hint="eastAsia"/>
                                <w:b w:val="0"/>
                                <w:bCs w:val="0"/>
                                <w:kern w:val="2"/>
                                <w:szCs w:val="21"/>
                              </w:rPr>
                              <w:t>完成率%</w:t>
                            </w:r>
                          </w:p>
                        </w:tc>
                      </w:tr>
                      <w:tr w:rsidR="003A1C16" w:rsidRPr="003A1C16" w14:paraId="0BC366B5" w14:textId="77777777" w:rsidTr="003A1C16">
                        <w:trPr>
                          <w:trHeight w:val="340"/>
                        </w:trPr>
                        <w:tc>
                          <w:tcPr>
                            <w:cnfStyle w:val="001000000000" w:firstRow="0" w:lastRow="0" w:firstColumn="1" w:lastColumn="0" w:oddVBand="0" w:evenVBand="0" w:oddHBand="0" w:evenHBand="0" w:firstRowFirstColumn="0" w:firstRowLastColumn="0" w:lastRowFirstColumn="0" w:lastRowLastColumn="0"/>
                            <w:tcW w:w="1289" w:type="pct"/>
                          </w:tcPr>
                          <w:p w14:paraId="54D8277C" w14:textId="77777777" w:rsidR="003A1C16" w:rsidRPr="003A1C16" w:rsidRDefault="003A1C16" w:rsidP="003A1C16">
                            <w:pPr>
                              <w:widowControl w:val="0"/>
                              <w:jc w:val="both"/>
                              <w:rPr>
                                <w:rFonts w:cs="Times New Roman"/>
                                <w:b w:val="0"/>
                                <w:bCs w:val="0"/>
                                <w:kern w:val="2"/>
                                <w:sz w:val="18"/>
                                <w:szCs w:val="18"/>
                              </w:rPr>
                            </w:pPr>
                            <w:r w:rsidRPr="003A1C16">
                              <w:rPr>
                                <w:rFonts w:cs="Times New Roman" w:hint="eastAsia"/>
                                <w:b w:val="0"/>
                                <w:bCs w:val="0"/>
                                <w:kern w:val="2"/>
                                <w:sz w:val="18"/>
                                <w:szCs w:val="18"/>
                              </w:rPr>
                              <w:t>中材智科</w:t>
                            </w:r>
                          </w:p>
                        </w:tc>
                        <w:tc>
                          <w:tcPr>
                            <w:tcW w:w="716" w:type="pct"/>
                          </w:tcPr>
                          <w:p w14:paraId="036FA62E" w14:textId="77777777" w:rsidR="003A1C16" w:rsidRPr="003A1C16" w:rsidRDefault="003A1C16" w:rsidP="003A1C16">
                            <w:pPr>
                              <w:widowControl w:val="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rPr>
                            </w:pPr>
                            <w:r w:rsidRPr="003A1C16">
                              <w:rPr>
                                <w:rFonts w:cs="Times New Roman" w:hint="eastAsia"/>
                                <w:kern w:val="2"/>
                                <w:sz w:val="18"/>
                                <w:szCs w:val="18"/>
                              </w:rPr>
                              <w:t>2023年度</w:t>
                            </w:r>
                          </w:p>
                        </w:tc>
                        <w:tc>
                          <w:tcPr>
                            <w:tcW w:w="724" w:type="pct"/>
                          </w:tcPr>
                          <w:p w14:paraId="6D46D5ED"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kern w:val="2"/>
                                <w:sz w:val="18"/>
                                <w:szCs w:val="18"/>
                              </w:rPr>
                              <w:t>13,636.43</w:t>
                            </w:r>
                          </w:p>
                        </w:tc>
                        <w:tc>
                          <w:tcPr>
                            <w:tcW w:w="897" w:type="pct"/>
                          </w:tcPr>
                          <w:p w14:paraId="5189CD2C"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16,956.85 </w:t>
                            </w:r>
                          </w:p>
                        </w:tc>
                        <w:tc>
                          <w:tcPr>
                            <w:tcW w:w="750" w:type="pct"/>
                          </w:tcPr>
                          <w:p w14:paraId="2E90F65D"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3,320.42 </w:t>
                            </w:r>
                          </w:p>
                        </w:tc>
                        <w:tc>
                          <w:tcPr>
                            <w:tcW w:w="624" w:type="pct"/>
                          </w:tcPr>
                          <w:p w14:paraId="0A481E69" w14:textId="77777777" w:rsidR="003A1C16" w:rsidRPr="003A1C16" w:rsidRDefault="003A1C16" w:rsidP="003A1C16">
                            <w:pPr>
                              <w:widowControl w:val="0"/>
                              <w:jc w:val="right"/>
                              <w:cnfStyle w:val="000000000000" w:firstRow="0" w:lastRow="0" w:firstColumn="0" w:lastColumn="0" w:oddVBand="0" w:evenVBand="0" w:oddHBand="0" w:evenHBand="0" w:firstRowFirstColumn="0" w:firstRowLastColumn="0" w:lastRowFirstColumn="0" w:lastRowLastColumn="0"/>
                              <w:rPr>
                                <w:rFonts w:ascii="Arial Narrow" w:hAnsi="Arial Narrow" w:cs="Times New Roman"/>
                                <w:kern w:val="2"/>
                                <w:sz w:val="18"/>
                                <w:szCs w:val="18"/>
                              </w:rPr>
                            </w:pPr>
                            <w:r w:rsidRPr="003A1C16">
                              <w:rPr>
                                <w:rFonts w:ascii="Arial Narrow" w:hAnsi="Arial Narrow" w:cs="Times New Roman"/>
                                <w:color w:val="000000"/>
                                <w:kern w:val="2"/>
                                <w:sz w:val="18"/>
                                <w:szCs w:val="18"/>
                              </w:rPr>
                              <w:t xml:space="preserve">124.35 </w:t>
                            </w:r>
                          </w:p>
                        </w:tc>
                      </w:tr>
                    </w:tbl>
                    <w:p w14:paraId="6247E8F2" w14:textId="77777777" w:rsidR="003A1C16" w:rsidRPr="003A1C16" w:rsidRDefault="003A1C16" w:rsidP="003A1C16">
                      <w:pPr>
                        <w:ind w:left="420"/>
                      </w:pPr>
                    </w:p>
                    <w:p w14:paraId="7BC078C8" w14:textId="77777777" w:rsidR="003A1C16" w:rsidRPr="003A1C16" w:rsidRDefault="003A1C16" w:rsidP="003A1C16">
                      <w:pPr>
                        <w:ind w:left="420" w:firstLineChars="200" w:firstLine="420"/>
                        <w:jc w:val="both"/>
                      </w:pPr>
                      <w:r w:rsidRPr="003A1C16">
                        <w:rPr>
                          <w:rFonts w:hint="eastAsia"/>
                        </w:rPr>
                        <w:t>说明：实际实现金额是指经审计的中材智科单体财务报表中扣除非经常性损益后的净利润。</w:t>
                      </w:r>
                    </w:p>
                    <w:p w14:paraId="21E68DF0" w14:textId="77777777" w:rsidR="003A1C16" w:rsidRPr="003A1C16" w:rsidRDefault="003A1C16" w:rsidP="003A1C16">
                      <w:pPr>
                        <w:ind w:left="420" w:firstLineChars="200" w:firstLine="420"/>
                        <w:jc w:val="both"/>
                      </w:pPr>
                      <w:r w:rsidRPr="003A1C16">
                        <w:rPr>
                          <w:rFonts w:hint="eastAsia"/>
                        </w:rPr>
                        <w:t>根据《中国中材国际工程股份有限公司与中国建材国际工程集团有限公司之业绩承诺补偿协议》、《中国中材国际工程股份有限公司与冯建华等</w:t>
                      </w:r>
                      <w:r w:rsidRPr="003A1C16">
                        <w:t>49名自然人之业绩承诺补偿协议》，本次交易于2021年实施完毕，故股权出让方的业绩承诺为2023年度应实现的承诺净利润数不低于13,636.43万元，中材智科在业绩承诺期内的实际净利润数应当为相关年度经审计的中材智科单体财务报表中扣除非经常性损益后的净利润。</w:t>
                      </w:r>
                    </w:p>
                    <w:p w14:paraId="24DFFEA4" w14:textId="77777777" w:rsidR="003A1C16" w:rsidRPr="003A1C16" w:rsidRDefault="003A1C16" w:rsidP="003A1C16">
                      <w:pPr>
                        <w:ind w:left="420" w:firstLineChars="200" w:firstLine="420"/>
                        <w:jc w:val="both"/>
                      </w:pPr>
                      <w:r w:rsidRPr="003A1C16">
                        <w:rPr>
                          <w:rFonts w:hint="eastAsia"/>
                        </w:rPr>
                        <w:t>根据</w:t>
                      </w:r>
                      <w:r w:rsidRPr="003A1C16">
                        <w:t>2023年度经审计的中材智科单体财务报表中扣除非经常性损益后的净利润，中材智科2023年度实际实现净利润为承诺净利润的124.35%，达到2023年度的业绩承诺。</w:t>
                      </w:r>
                    </w:p>
                    <w:p w14:paraId="403893DF" w14:textId="77777777" w:rsidR="003A1C16" w:rsidRPr="003A1C16" w:rsidRDefault="003A1C16" w:rsidP="003A1C16">
                      <w:pPr>
                        <w:ind w:left="420" w:firstLineChars="200" w:firstLine="420"/>
                        <w:jc w:val="both"/>
                      </w:pPr>
                      <w:r w:rsidRPr="003A1C16">
                        <w:rPr>
                          <w:rFonts w:hint="eastAsia"/>
                        </w:rPr>
                        <w:t>（三）业绩承诺期届满之标的资产减值测试报告</w:t>
                      </w:r>
                    </w:p>
                    <w:p w14:paraId="558DB7FD" w14:textId="77777777" w:rsidR="003A1C16" w:rsidRPr="003A1C16" w:rsidRDefault="003A1C16" w:rsidP="003A1C16">
                      <w:pPr>
                        <w:ind w:left="420" w:firstLineChars="200" w:firstLine="420"/>
                      </w:pPr>
                      <w:r w:rsidRPr="003A1C16">
                        <w:rPr>
                          <w:rFonts w:hint="eastAsia"/>
                        </w:rPr>
                        <w:t>截至</w:t>
                      </w:r>
                      <w:r w:rsidRPr="003A1C16">
                        <w:t>2023年12月31日，中材智科资产中采用收益法评估的无形资产评估价值之和为6,351.</w:t>
                      </w:r>
                      <w:r w:rsidRPr="003A1C16">
                        <w:rPr>
                          <w:rFonts w:hint="eastAsia"/>
                        </w:rPr>
                        <w:t>31</w:t>
                      </w:r>
                      <w:r w:rsidRPr="003A1C16">
                        <w:t>万元，相比并购日评估价值3,800.00万元，未发生减值。</w:t>
                      </w:r>
                    </w:p>
                    <w:p w14:paraId="38D846EB" w14:textId="77777777" w:rsidR="003A1C16" w:rsidRPr="003A1C16" w:rsidRDefault="003A1C16" w:rsidP="003A1C16">
                      <w:pPr>
                        <w:ind w:left="420"/>
                      </w:pPr>
                    </w:p>
                    <w:p w14:paraId="5C256F53" w14:textId="77777777" w:rsidR="003A1C16" w:rsidRPr="003A1C16" w:rsidRDefault="003A1C16" w:rsidP="003A1C16">
                      <w:pPr>
                        <w:ind w:left="420"/>
                      </w:pPr>
                      <w:r w:rsidRPr="003A1C16">
                        <w:rPr>
                          <w:rFonts w:hint="eastAsia"/>
                        </w:rPr>
                        <w:t>四、关于合肥水泥研究设计院有限公司</w:t>
                      </w:r>
                      <w:r w:rsidRPr="003A1C16">
                        <w:t>2023年度业绩承诺实现情况的说明</w:t>
                      </w:r>
                    </w:p>
                    <w:p w14:paraId="232CA7B5" w14:textId="77777777" w:rsidR="003A1C16" w:rsidRPr="003A1C16" w:rsidRDefault="003A1C16" w:rsidP="003A1C16">
                      <w:pPr>
                        <w:ind w:left="420"/>
                      </w:pPr>
                      <w:r w:rsidRPr="003A1C16">
                        <w:rPr>
                          <w:rFonts w:hint="eastAsia"/>
                        </w:rPr>
                        <w:t>（一）业绩承诺情况</w:t>
                      </w:r>
                    </w:p>
                    <w:p w14:paraId="032A9B75" w14:textId="77777777" w:rsidR="003A1C16" w:rsidRPr="003A1C16" w:rsidRDefault="003A1C16" w:rsidP="003A1C16">
                      <w:pPr>
                        <w:ind w:left="420"/>
                      </w:pPr>
                      <w:r w:rsidRPr="003A1C16">
                        <w:t>1、根据</w:t>
                      </w:r>
                      <w:r w:rsidRPr="003A1C16">
                        <w:rPr>
                          <w:rFonts w:hint="eastAsia"/>
                        </w:rPr>
                        <w:t>《</w:t>
                      </w:r>
                      <w:r w:rsidRPr="003A1C16">
                        <w:t>业绩承诺补偿协议》业绩承诺范围资产如下：</w:t>
                      </w:r>
                    </w:p>
                    <w:tbl>
                      <w:tblPr>
                        <w:tblStyle w:val="110"/>
                        <w:tblW w:w="8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2956"/>
                        <w:gridCol w:w="1527"/>
                        <w:gridCol w:w="1220"/>
                        <w:gridCol w:w="1123"/>
                        <w:gridCol w:w="1319"/>
                      </w:tblGrid>
                      <w:tr w:rsidR="003A1C16" w:rsidRPr="003A1C16" w14:paraId="6B55F04F" w14:textId="77777777" w:rsidTr="003A1C1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7" w:type="dxa"/>
                            <w:tcBorders>
                              <w:bottom w:val="none" w:sz="0" w:space="0" w:color="auto"/>
                            </w:tcBorders>
                            <w:noWrap/>
                          </w:tcPr>
                          <w:p w14:paraId="149A7CAC" w14:textId="77777777" w:rsidR="003A1C16" w:rsidRPr="003A1C16" w:rsidRDefault="003A1C16" w:rsidP="003A1C16">
                            <w:pPr>
                              <w:jc w:val="center"/>
                              <w:rPr>
                                <w:color w:val="000000"/>
                                <w:sz w:val="18"/>
                                <w:szCs w:val="18"/>
                              </w:rPr>
                            </w:pPr>
                            <w:r w:rsidRPr="003A1C16">
                              <w:rPr>
                                <w:rFonts w:hint="eastAsia"/>
                                <w:b w:val="0"/>
                                <w:bCs w:val="0"/>
                                <w:color w:val="000000"/>
                                <w:sz w:val="18"/>
                                <w:szCs w:val="18"/>
                              </w:rPr>
                              <w:t>序号</w:t>
                            </w:r>
                          </w:p>
                        </w:tc>
                        <w:tc>
                          <w:tcPr>
                            <w:tcW w:w="2956" w:type="dxa"/>
                            <w:tcBorders>
                              <w:bottom w:val="none" w:sz="0" w:space="0" w:color="auto"/>
                            </w:tcBorders>
                            <w:noWrap/>
                          </w:tcPr>
                          <w:p w14:paraId="05AD8990"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公司名称</w:t>
                            </w:r>
                          </w:p>
                        </w:tc>
                        <w:tc>
                          <w:tcPr>
                            <w:tcW w:w="1527" w:type="dxa"/>
                            <w:tcBorders>
                              <w:bottom w:val="none" w:sz="0" w:space="0" w:color="auto"/>
                            </w:tcBorders>
                          </w:tcPr>
                          <w:p w14:paraId="6D8310D5"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收益法评估资产范围</w:t>
                            </w:r>
                          </w:p>
                        </w:tc>
                        <w:tc>
                          <w:tcPr>
                            <w:tcW w:w="1220" w:type="dxa"/>
                            <w:tcBorders>
                              <w:bottom w:val="none" w:sz="0" w:space="0" w:color="auto"/>
                            </w:tcBorders>
                          </w:tcPr>
                          <w:p w14:paraId="5829AC12"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评估值</w:t>
                            </w:r>
                          </w:p>
                          <w:p w14:paraId="51BB0F92"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（万元）</w:t>
                            </w:r>
                          </w:p>
                        </w:tc>
                        <w:tc>
                          <w:tcPr>
                            <w:tcW w:w="1123" w:type="dxa"/>
                            <w:tcBorders>
                              <w:bottom w:val="none" w:sz="0" w:space="0" w:color="auto"/>
                            </w:tcBorders>
                          </w:tcPr>
                          <w:p w14:paraId="10513680"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置入股权</w:t>
                            </w:r>
                            <w:r w:rsidRPr="003A1C16">
                              <w:rPr>
                                <w:rFonts w:hint="eastAsia"/>
                                <w:b w:val="0"/>
                                <w:bCs w:val="0"/>
                                <w:color w:val="000000"/>
                                <w:sz w:val="18"/>
                                <w:szCs w:val="18"/>
                              </w:rPr>
                              <w:br/>
                              <w:t>比例（%）</w:t>
                            </w:r>
                          </w:p>
                        </w:tc>
                        <w:tc>
                          <w:tcPr>
                            <w:tcW w:w="1319" w:type="dxa"/>
                            <w:tcBorders>
                              <w:bottom w:val="none" w:sz="0" w:space="0" w:color="auto"/>
                            </w:tcBorders>
                          </w:tcPr>
                          <w:p w14:paraId="16A4738A" w14:textId="77777777" w:rsidR="003A1C16" w:rsidRPr="003A1C16" w:rsidRDefault="003A1C16" w:rsidP="003A1C16">
                            <w:pPr>
                              <w:ind w:right="210"/>
                              <w:jc w:val="right"/>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交易价格</w:t>
                            </w:r>
                          </w:p>
                          <w:p w14:paraId="3DF140F6"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color w:val="000000"/>
                                <w:sz w:val="18"/>
                                <w:szCs w:val="18"/>
                              </w:rPr>
                            </w:pPr>
                            <w:r w:rsidRPr="003A1C16">
                              <w:rPr>
                                <w:rFonts w:hint="eastAsia"/>
                                <w:b w:val="0"/>
                                <w:bCs w:val="0"/>
                                <w:color w:val="000000"/>
                                <w:sz w:val="18"/>
                                <w:szCs w:val="18"/>
                              </w:rPr>
                              <w:t>（万元）</w:t>
                            </w:r>
                          </w:p>
                        </w:tc>
                      </w:tr>
                      <w:tr w:rsidR="003A1C16" w:rsidRPr="003A1C16" w14:paraId="6489D10B"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5AF109D3"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1</w:t>
                            </w:r>
                          </w:p>
                        </w:tc>
                        <w:tc>
                          <w:tcPr>
                            <w:tcW w:w="2956" w:type="dxa"/>
                            <w:noWrap/>
                          </w:tcPr>
                          <w:p w14:paraId="6C12B8B2"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合肥院（母公司）</w:t>
                            </w:r>
                          </w:p>
                        </w:tc>
                        <w:tc>
                          <w:tcPr>
                            <w:tcW w:w="1527" w:type="dxa"/>
                          </w:tcPr>
                          <w:p w14:paraId="254464B9"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净资产</w:t>
                            </w:r>
                          </w:p>
                        </w:tc>
                        <w:tc>
                          <w:tcPr>
                            <w:tcW w:w="1220" w:type="dxa"/>
                          </w:tcPr>
                          <w:p w14:paraId="4BD8E1F3"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highlight w:val="yellow"/>
                              </w:rPr>
                            </w:pPr>
                            <w:r w:rsidRPr="003A1C16">
                              <w:rPr>
                                <w:rFonts w:hint="eastAsia"/>
                                <w:color w:val="000000"/>
                                <w:sz w:val="18"/>
                                <w:szCs w:val="18"/>
                              </w:rPr>
                              <w:t>364,720.00</w:t>
                            </w:r>
                          </w:p>
                        </w:tc>
                        <w:tc>
                          <w:tcPr>
                            <w:tcW w:w="1123" w:type="dxa"/>
                          </w:tcPr>
                          <w:p w14:paraId="5A6111D3"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highlight w:val="yellow"/>
                              </w:rPr>
                            </w:pPr>
                            <w:r w:rsidRPr="003A1C16">
                              <w:rPr>
                                <w:rFonts w:hint="eastAsia"/>
                                <w:sz w:val="18"/>
                                <w:szCs w:val="18"/>
                              </w:rPr>
                              <w:t>100.00</w:t>
                            </w:r>
                          </w:p>
                        </w:tc>
                        <w:tc>
                          <w:tcPr>
                            <w:tcW w:w="1319" w:type="dxa"/>
                          </w:tcPr>
                          <w:p w14:paraId="58F5B0BB"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highlight w:val="yellow"/>
                              </w:rPr>
                            </w:pPr>
                            <w:r w:rsidRPr="003A1C16">
                              <w:rPr>
                                <w:rFonts w:hint="eastAsia"/>
                                <w:color w:val="000000"/>
                                <w:sz w:val="18"/>
                                <w:szCs w:val="18"/>
                              </w:rPr>
                              <w:t>364,720.00</w:t>
                            </w:r>
                          </w:p>
                        </w:tc>
                      </w:tr>
                      <w:tr w:rsidR="003A1C16" w:rsidRPr="003A1C16" w14:paraId="3566CE7E"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16258E68"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2</w:t>
                            </w:r>
                          </w:p>
                        </w:tc>
                        <w:tc>
                          <w:tcPr>
                            <w:tcW w:w="2956" w:type="dxa"/>
                            <w:noWrap/>
                          </w:tcPr>
                          <w:p w14:paraId="39D4E57A"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中建材（合肥）粉体科技装备有限公司（以下简称中建材粉体）</w:t>
                            </w:r>
                          </w:p>
                        </w:tc>
                        <w:tc>
                          <w:tcPr>
                            <w:tcW w:w="1527" w:type="dxa"/>
                          </w:tcPr>
                          <w:p w14:paraId="37744DEA"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03DDE6A0"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72,640.00</w:t>
                            </w:r>
                          </w:p>
                        </w:tc>
                        <w:tc>
                          <w:tcPr>
                            <w:tcW w:w="1123" w:type="dxa"/>
                          </w:tcPr>
                          <w:p w14:paraId="72E528B7"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70.00</w:t>
                            </w:r>
                          </w:p>
                        </w:tc>
                        <w:tc>
                          <w:tcPr>
                            <w:tcW w:w="1319" w:type="dxa"/>
                          </w:tcPr>
                          <w:p w14:paraId="5C57F535"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50,848.00</w:t>
                            </w:r>
                          </w:p>
                        </w:tc>
                      </w:tr>
                      <w:tr w:rsidR="003A1C16" w:rsidRPr="003A1C16" w14:paraId="28965ACE"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440C8241"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3</w:t>
                            </w:r>
                          </w:p>
                        </w:tc>
                        <w:tc>
                          <w:tcPr>
                            <w:tcW w:w="2956" w:type="dxa"/>
                            <w:noWrap/>
                          </w:tcPr>
                          <w:p w14:paraId="2EEDC03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中建材（合肥）机电工程技术有限公司（以下简称中建材机电）</w:t>
                            </w:r>
                          </w:p>
                        </w:tc>
                        <w:tc>
                          <w:tcPr>
                            <w:tcW w:w="1527" w:type="dxa"/>
                          </w:tcPr>
                          <w:p w14:paraId="71F3FE8E"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3879821A"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59,999.00</w:t>
                            </w:r>
                          </w:p>
                        </w:tc>
                        <w:tc>
                          <w:tcPr>
                            <w:tcW w:w="1123" w:type="dxa"/>
                          </w:tcPr>
                          <w:p w14:paraId="2880E44E"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70.00</w:t>
                            </w:r>
                          </w:p>
                        </w:tc>
                        <w:tc>
                          <w:tcPr>
                            <w:tcW w:w="1319" w:type="dxa"/>
                          </w:tcPr>
                          <w:p w14:paraId="73C35B66"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41,999.30</w:t>
                            </w:r>
                          </w:p>
                        </w:tc>
                      </w:tr>
                      <w:tr w:rsidR="003A1C16" w:rsidRPr="003A1C16" w14:paraId="3CFD904E"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2B266954"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4</w:t>
                            </w:r>
                          </w:p>
                        </w:tc>
                        <w:tc>
                          <w:tcPr>
                            <w:tcW w:w="2956" w:type="dxa"/>
                            <w:noWrap/>
                          </w:tcPr>
                          <w:p w14:paraId="7BA382D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合肥中亚建材装备有限责任公司（以下简称中亚装备）</w:t>
                            </w:r>
                          </w:p>
                        </w:tc>
                        <w:tc>
                          <w:tcPr>
                            <w:tcW w:w="1527" w:type="dxa"/>
                          </w:tcPr>
                          <w:p w14:paraId="4ADF95A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7E7DD567"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52,564.00</w:t>
                            </w:r>
                          </w:p>
                        </w:tc>
                        <w:tc>
                          <w:tcPr>
                            <w:tcW w:w="1123" w:type="dxa"/>
                          </w:tcPr>
                          <w:p w14:paraId="3C70BC2A"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40.00</w:t>
                            </w:r>
                          </w:p>
                        </w:tc>
                        <w:tc>
                          <w:tcPr>
                            <w:tcW w:w="1319" w:type="dxa"/>
                          </w:tcPr>
                          <w:p w14:paraId="4BEF78E4"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21,025.60</w:t>
                            </w:r>
                          </w:p>
                        </w:tc>
                      </w:tr>
                      <w:tr w:rsidR="003A1C16" w:rsidRPr="003A1C16" w14:paraId="757C581E"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6695D321"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5</w:t>
                            </w:r>
                          </w:p>
                        </w:tc>
                        <w:tc>
                          <w:tcPr>
                            <w:tcW w:w="2956" w:type="dxa"/>
                            <w:noWrap/>
                          </w:tcPr>
                          <w:p w14:paraId="1CD18E2E"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安徽中亚钢结构工程有限公司（以下简称中亚钢构）</w:t>
                            </w:r>
                          </w:p>
                        </w:tc>
                        <w:tc>
                          <w:tcPr>
                            <w:tcW w:w="1527" w:type="dxa"/>
                          </w:tcPr>
                          <w:p w14:paraId="2E48317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229F336C"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33,841.00</w:t>
                            </w:r>
                          </w:p>
                        </w:tc>
                        <w:tc>
                          <w:tcPr>
                            <w:tcW w:w="1123" w:type="dxa"/>
                          </w:tcPr>
                          <w:p w14:paraId="508473C0"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51.00</w:t>
                            </w:r>
                          </w:p>
                        </w:tc>
                        <w:tc>
                          <w:tcPr>
                            <w:tcW w:w="1319" w:type="dxa"/>
                          </w:tcPr>
                          <w:p w14:paraId="04596B77"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17,259.64</w:t>
                            </w:r>
                          </w:p>
                        </w:tc>
                      </w:tr>
                      <w:tr w:rsidR="003A1C16" w:rsidRPr="003A1C16" w14:paraId="4CB5900F"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3E4D7753"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6</w:t>
                            </w:r>
                          </w:p>
                        </w:tc>
                        <w:tc>
                          <w:tcPr>
                            <w:tcW w:w="2956" w:type="dxa"/>
                            <w:noWrap/>
                          </w:tcPr>
                          <w:p w14:paraId="3CE791E1"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合肥中都机械有限公司（以下简称中都机械）</w:t>
                            </w:r>
                          </w:p>
                        </w:tc>
                        <w:tc>
                          <w:tcPr>
                            <w:tcW w:w="1527" w:type="dxa"/>
                          </w:tcPr>
                          <w:p w14:paraId="1AD43FB4"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5B9CA37F"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14,953.00</w:t>
                            </w:r>
                          </w:p>
                        </w:tc>
                        <w:tc>
                          <w:tcPr>
                            <w:tcW w:w="1123" w:type="dxa"/>
                          </w:tcPr>
                          <w:p w14:paraId="23392770"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37.66</w:t>
                            </w:r>
                          </w:p>
                        </w:tc>
                        <w:tc>
                          <w:tcPr>
                            <w:tcW w:w="1319" w:type="dxa"/>
                          </w:tcPr>
                          <w:p w14:paraId="62AAC788"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5,631.19</w:t>
                            </w:r>
                          </w:p>
                        </w:tc>
                      </w:tr>
                      <w:tr w:rsidR="003A1C16" w:rsidRPr="003A1C16" w14:paraId="2556D23B"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6C647F9D"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7</w:t>
                            </w:r>
                          </w:p>
                        </w:tc>
                        <w:tc>
                          <w:tcPr>
                            <w:tcW w:w="2956" w:type="dxa"/>
                            <w:noWrap/>
                          </w:tcPr>
                          <w:p w14:paraId="6680A703"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中国建材检验认证集团安徽有限公司（以下简称安徽检验）</w:t>
                            </w:r>
                          </w:p>
                        </w:tc>
                        <w:tc>
                          <w:tcPr>
                            <w:tcW w:w="1527" w:type="dxa"/>
                          </w:tcPr>
                          <w:p w14:paraId="70941D64"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净资产</w:t>
                            </w:r>
                          </w:p>
                        </w:tc>
                        <w:tc>
                          <w:tcPr>
                            <w:tcW w:w="1220" w:type="dxa"/>
                          </w:tcPr>
                          <w:p w14:paraId="7D387677"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1,467.00</w:t>
                            </w:r>
                          </w:p>
                        </w:tc>
                        <w:tc>
                          <w:tcPr>
                            <w:tcW w:w="1123" w:type="dxa"/>
                          </w:tcPr>
                          <w:p w14:paraId="7A25BE3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49.00</w:t>
                            </w:r>
                          </w:p>
                        </w:tc>
                        <w:tc>
                          <w:tcPr>
                            <w:tcW w:w="1319" w:type="dxa"/>
                          </w:tcPr>
                          <w:p w14:paraId="14FF6873"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718.83</w:t>
                            </w:r>
                          </w:p>
                        </w:tc>
                      </w:tr>
                      <w:tr w:rsidR="003A1C16" w:rsidRPr="003A1C16" w14:paraId="442B30DF"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0ECBDBBB"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lastRenderedPageBreak/>
                              <w:t>8</w:t>
                            </w:r>
                          </w:p>
                        </w:tc>
                        <w:tc>
                          <w:tcPr>
                            <w:tcW w:w="2956" w:type="dxa"/>
                            <w:noWrap/>
                          </w:tcPr>
                          <w:p w14:paraId="3DB9548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合肥中亚环保科技有限公司（以下简称中亚环保）</w:t>
                            </w:r>
                          </w:p>
                        </w:tc>
                        <w:tc>
                          <w:tcPr>
                            <w:tcW w:w="1527" w:type="dxa"/>
                          </w:tcPr>
                          <w:p w14:paraId="09ED60DF"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专利权等无形资产</w:t>
                            </w:r>
                          </w:p>
                        </w:tc>
                        <w:tc>
                          <w:tcPr>
                            <w:tcW w:w="1220" w:type="dxa"/>
                          </w:tcPr>
                          <w:p w14:paraId="72A9EE9A"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318.51</w:t>
                            </w:r>
                          </w:p>
                        </w:tc>
                        <w:tc>
                          <w:tcPr>
                            <w:tcW w:w="1123" w:type="dxa"/>
                          </w:tcPr>
                          <w:p w14:paraId="7C336E7F"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70.00</w:t>
                            </w:r>
                          </w:p>
                        </w:tc>
                        <w:tc>
                          <w:tcPr>
                            <w:tcW w:w="1319" w:type="dxa"/>
                          </w:tcPr>
                          <w:p w14:paraId="5C22F559"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222.96</w:t>
                            </w:r>
                          </w:p>
                        </w:tc>
                      </w:tr>
                      <w:tr w:rsidR="003A1C16" w:rsidRPr="003A1C16" w14:paraId="29AF8037" w14:textId="77777777" w:rsidTr="003A1C16">
                        <w:trPr>
                          <w:trHeight w:val="20"/>
                        </w:trPr>
                        <w:tc>
                          <w:tcPr>
                            <w:cnfStyle w:val="001000000000" w:firstRow="0" w:lastRow="0" w:firstColumn="1" w:lastColumn="0" w:oddVBand="0" w:evenVBand="0" w:oddHBand="0" w:evenHBand="0" w:firstRowFirstColumn="0" w:firstRowLastColumn="0" w:lastRowFirstColumn="0" w:lastRowLastColumn="0"/>
                            <w:tcW w:w="707" w:type="dxa"/>
                            <w:noWrap/>
                          </w:tcPr>
                          <w:p w14:paraId="47FEB72C"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9</w:t>
                            </w:r>
                          </w:p>
                        </w:tc>
                        <w:tc>
                          <w:tcPr>
                            <w:tcW w:w="2956" w:type="dxa"/>
                            <w:noWrap/>
                          </w:tcPr>
                          <w:p w14:paraId="11C5FCD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合肥固泰自动化有限公司（以下简称固泰自动化）</w:t>
                            </w:r>
                          </w:p>
                        </w:tc>
                        <w:tc>
                          <w:tcPr>
                            <w:tcW w:w="1527" w:type="dxa"/>
                          </w:tcPr>
                          <w:p w14:paraId="738250A5"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专利权等无形资产</w:t>
                            </w:r>
                          </w:p>
                        </w:tc>
                        <w:tc>
                          <w:tcPr>
                            <w:tcW w:w="1220" w:type="dxa"/>
                          </w:tcPr>
                          <w:p w14:paraId="695CCA24"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222.82</w:t>
                            </w:r>
                          </w:p>
                        </w:tc>
                        <w:tc>
                          <w:tcPr>
                            <w:tcW w:w="1123" w:type="dxa"/>
                          </w:tcPr>
                          <w:p w14:paraId="27C3BF31"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sz w:val="18"/>
                                <w:szCs w:val="18"/>
                              </w:rPr>
                              <w:t>70.00</w:t>
                            </w:r>
                          </w:p>
                        </w:tc>
                        <w:tc>
                          <w:tcPr>
                            <w:tcW w:w="1319" w:type="dxa"/>
                          </w:tcPr>
                          <w:p w14:paraId="1B8A74CC" w14:textId="77777777" w:rsidR="003A1C16" w:rsidRPr="003A1C16" w:rsidRDefault="003A1C16" w:rsidP="003A1C16">
                            <w:pPr>
                              <w:jc w:val="right"/>
                              <w:cnfStyle w:val="000000000000" w:firstRow="0" w:lastRow="0" w:firstColumn="0" w:lastColumn="0" w:oddVBand="0" w:evenVBand="0" w:oddHBand="0" w:evenHBand="0" w:firstRowFirstColumn="0" w:firstRowLastColumn="0" w:lastRowFirstColumn="0" w:lastRowLastColumn="0"/>
                              <w:rPr>
                                <w:color w:val="000000"/>
                                <w:sz w:val="18"/>
                                <w:szCs w:val="18"/>
                              </w:rPr>
                            </w:pPr>
                            <w:r w:rsidRPr="003A1C16">
                              <w:rPr>
                                <w:rFonts w:hint="eastAsia"/>
                                <w:color w:val="000000"/>
                                <w:sz w:val="18"/>
                                <w:szCs w:val="18"/>
                              </w:rPr>
                              <w:t>155.97</w:t>
                            </w:r>
                          </w:p>
                        </w:tc>
                      </w:tr>
                    </w:tbl>
                    <w:p w14:paraId="4CD68A1B" w14:textId="77777777" w:rsidR="003A1C16" w:rsidRPr="003A1C16" w:rsidRDefault="003A1C16" w:rsidP="003A1C16">
                      <w:pPr>
                        <w:ind w:left="420" w:firstLineChars="200" w:firstLine="420"/>
                        <w:jc w:val="both"/>
                      </w:pPr>
                      <w:r w:rsidRPr="003A1C16">
                        <w:rPr>
                          <w:rFonts w:hint="eastAsia"/>
                        </w:rPr>
                        <w:t>说明：上表中合肥院（母公司）净资产评估值</w:t>
                      </w:r>
                      <w:r w:rsidRPr="003A1C16">
                        <w:t>364,720.00万元包含合肥院持有的长期股权投资的评估值，包括中建材装备100.00%股权、中亚钢构51.00%股权、中都机械37.66%股权、富沛建设49.76%股权和安徽检验49.00%股权。</w:t>
                      </w:r>
                    </w:p>
                    <w:p w14:paraId="5D7D1CA0" w14:textId="77777777" w:rsidR="003A1C16" w:rsidRPr="003A1C16" w:rsidRDefault="003A1C16" w:rsidP="003A1C16">
                      <w:pPr>
                        <w:ind w:left="420" w:firstLineChars="200" w:firstLine="420"/>
                        <w:jc w:val="both"/>
                      </w:pPr>
                      <w:r w:rsidRPr="003A1C16">
                        <w:rPr>
                          <w:rFonts w:hint="eastAsia"/>
                        </w:rPr>
                        <w:t>针对业绩承诺资产</w:t>
                      </w:r>
                      <w:r w:rsidRPr="003A1C16">
                        <w:t>1（为上表第1-7项业绩承诺范围资产），中国建材总院承诺：如本次交易于2022年实施完毕，业绩承诺资产1在2022年、2023年及2024年各会计年度应实现的承诺净利润数分别不低于19,853.49万元、20,013.25万元、20,805.42万元；如本交易于2023年实施完毕，业绩承诺资产1在2023年、2024年及2025年各会计年度应实现的承诺净利润数分别不低于20,013.25万元、20,805.42万元、22,114.89万元。</w:t>
                      </w:r>
                    </w:p>
                    <w:p w14:paraId="23C018C4" w14:textId="77777777" w:rsidR="003A1C16" w:rsidRPr="003A1C16" w:rsidRDefault="003A1C16" w:rsidP="003A1C16">
                      <w:pPr>
                        <w:ind w:left="420"/>
                        <w:jc w:val="both"/>
                      </w:pPr>
                      <w:r w:rsidRPr="003A1C16">
                        <w:rPr>
                          <w:rFonts w:hint="eastAsia"/>
                        </w:rPr>
                        <w:t>上述“承诺净利润数”</w:t>
                      </w:r>
                      <w:r w:rsidRPr="003A1C16">
                        <w:t>=∑（业绩承诺范围公司中的单家公司本次评估预测的净利润×本次交易该家公司的置入股权比例）</w:t>
                      </w:r>
                    </w:p>
                    <w:p w14:paraId="1B82ED99" w14:textId="77777777" w:rsidR="003A1C16" w:rsidRPr="003A1C16" w:rsidRDefault="003A1C16" w:rsidP="003A1C16">
                      <w:pPr>
                        <w:ind w:left="420" w:firstLineChars="200" w:firstLine="420"/>
                        <w:jc w:val="both"/>
                      </w:pPr>
                      <w:r w:rsidRPr="003A1C16">
                        <w:rPr>
                          <w:rFonts w:hint="eastAsia"/>
                        </w:rPr>
                        <w:t>针对业绩承诺资产</w:t>
                      </w:r>
                      <w:r w:rsidRPr="003A1C16">
                        <w:t>2（为上表第8-9项业绩承诺范围资产），中国建材总院承诺：如本次交易于2022年实施完毕，业绩承诺资产2在2022年、2023年及2024年各会计年度应实现的收入分成数分别不低于257.67万元、189.98万元、115.97万元；如本次交易于2023年实施完毕，业绩承诺资产2在2023年、2024年及2025年各会计年度应实现的收入分成数分别不低于189.98万元、115.97万元、48.87万元。</w:t>
                      </w:r>
                    </w:p>
                    <w:p w14:paraId="08E1CA9F" w14:textId="77777777" w:rsidR="003A1C16" w:rsidRPr="003A1C16" w:rsidRDefault="003A1C16" w:rsidP="003A1C16">
                      <w:pPr>
                        <w:ind w:left="420" w:firstLineChars="200" w:firstLine="420"/>
                        <w:jc w:val="both"/>
                      </w:pPr>
                      <w:r w:rsidRPr="003A1C16">
                        <w:rPr>
                          <w:rFonts w:hint="eastAsia"/>
                        </w:rPr>
                        <w:t>上述“承诺收入分成数”</w:t>
                      </w:r>
                      <w:r w:rsidRPr="003A1C16">
                        <w:t>=∑（业绩承诺范围资产中的单项资产所属公司当年度评估预测的营业收入×该项资产当年度评估预测的衰减后分成率×本次交易该项资产所属公司的置入股权比例）</w:t>
                      </w:r>
                    </w:p>
                    <w:p w14:paraId="5926E68A" w14:textId="77777777" w:rsidR="003A1C16" w:rsidRPr="003A1C16" w:rsidRDefault="003A1C16" w:rsidP="003A1C16">
                      <w:pPr>
                        <w:ind w:left="420" w:firstLineChars="200" w:firstLine="420"/>
                        <w:jc w:val="both"/>
                      </w:pPr>
                      <w:r w:rsidRPr="003A1C16">
                        <w:t>2、双方确认相关业绩承诺资产在业绩承诺期内的实际净利润数、实际收入分成数的计算标准为：</w:t>
                      </w:r>
                    </w:p>
                    <w:p w14:paraId="44671F7D" w14:textId="77777777" w:rsidR="003A1C16" w:rsidRPr="003A1C16" w:rsidRDefault="003A1C16" w:rsidP="003A1C16">
                      <w:pPr>
                        <w:ind w:left="420" w:firstLineChars="200" w:firstLine="420"/>
                        <w:jc w:val="both"/>
                      </w:pPr>
                      <w:r w:rsidRPr="003A1C16">
                        <w:rPr>
                          <w:rFonts w:hint="eastAsia"/>
                        </w:rPr>
                        <w:t>业绩承诺资产</w:t>
                      </w:r>
                      <w:r w:rsidRPr="003A1C16">
                        <w:t>1在业绩承诺期内的当年度实际净利润数=∑（业绩承诺范围公司中的单家公司当年度经审计的单体财务报表中扣除非经常性损益后的净利润×本次交易该家公司的置入股权比例）。其中，合肥院为存在长期股权投资的母公司，用单体口径审计确认的净利润作为其实际净利润，在出具合肥院专项审核报告时，其财务报表应当按照特殊编制基础进行编制，即合肥院对长期股权投资账面价值按照成本法列示，不考虑长期股权投资对净利润的影响。</w:t>
                      </w:r>
                    </w:p>
                    <w:p w14:paraId="432FD2B4" w14:textId="77777777" w:rsidR="003A1C16" w:rsidRPr="003A1C16" w:rsidRDefault="003A1C16" w:rsidP="003A1C16">
                      <w:pPr>
                        <w:ind w:left="420" w:firstLineChars="200" w:firstLine="420"/>
                        <w:jc w:val="both"/>
                      </w:pPr>
                      <w:r w:rsidRPr="003A1C16">
                        <w:rPr>
                          <w:rFonts w:hint="eastAsia"/>
                        </w:rPr>
                        <w:t>业绩承诺资产</w:t>
                      </w:r>
                      <w:r w:rsidRPr="003A1C16">
                        <w:t>2在业绩承诺期内的当年度实际收入分成数=∑（业绩承诺范围资产中的单项资产所属公司当年度经审计的单体财务报表的营业收入×该项资产当年度本次评估预测的衰减后分成率×本次交易该项资产所属公司的置入股权比例）。</w:t>
                      </w:r>
                    </w:p>
                    <w:p w14:paraId="1CB32A7F" w14:textId="77777777" w:rsidR="003A1C16" w:rsidRPr="003A1C16" w:rsidRDefault="003A1C16" w:rsidP="003A1C16">
                      <w:pPr>
                        <w:ind w:left="420" w:firstLineChars="200" w:firstLine="420"/>
                        <w:jc w:val="both"/>
                      </w:pPr>
                      <w:r w:rsidRPr="003A1C16">
                        <w:t>3、业绩补偿的方式及计算公式</w:t>
                      </w:r>
                    </w:p>
                    <w:p w14:paraId="2071FB38" w14:textId="77777777" w:rsidR="003A1C16" w:rsidRPr="003A1C16" w:rsidRDefault="003A1C16" w:rsidP="003A1C16">
                      <w:pPr>
                        <w:ind w:left="420" w:firstLineChars="200" w:firstLine="420"/>
                        <w:jc w:val="both"/>
                      </w:pPr>
                      <w:r w:rsidRPr="003A1C16">
                        <w:rPr>
                          <w:rFonts w:hint="eastAsia"/>
                        </w:rPr>
                        <w:t>（</w:t>
                      </w:r>
                      <w:r w:rsidRPr="003A1C16">
                        <w:t>1）实际业绩数与承诺业绩数的差异及补偿承诺</w:t>
                      </w:r>
                    </w:p>
                    <w:p w14:paraId="4FBF45D8" w14:textId="77777777" w:rsidR="003A1C16" w:rsidRPr="003A1C16" w:rsidRDefault="003A1C16" w:rsidP="003A1C16">
                      <w:pPr>
                        <w:ind w:left="420" w:firstLineChars="200" w:firstLine="420"/>
                        <w:jc w:val="both"/>
                      </w:pPr>
                      <w:r w:rsidRPr="003A1C16">
                        <w:rPr>
                          <w:rFonts w:hint="eastAsia"/>
                        </w:rPr>
                        <w:t>在业绩承诺期间每个会计年度结束时，由公司决定并聘请符合《证券法》规定的会计师事务所（以下简称“合格审计机构”）对业绩承诺资产</w:t>
                      </w:r>
                      <w:r w:rsidRPr="003A1C16">
                        <w:t>1的实际净利润情况、业绩承诺资产2的实际收入分成情况进行审核并出具专项审核报告，业绩承诺资产于业绩承诺期间的实际业绩数与承诺业绩数差异情况以该专项审核报告载明的数据为准。</w:t>
                      </w:r>
                    </w:p>
                    <w:p w14:paraId="77E759A4" w14:textId="77777777" w:rsidR="003A1C16" w:rsidRPr="003A1C16" w:rsidRDefault="003A1C16" w:rsidP="003A1C16">
                      <w:pPr>
                        <w:ind w:left="420" w:firstLineChars="200" w:firstLine="420"/>
                        <w:jc w:val="both"/>
                      </w:pPr>
                      <w:r w:rsidRPr="003A1C16">
                        <w:rPr>
                          <w:rFonts w:hint="eastAsia"/>
                        </w:rPr>
                        <w:t>业绩承诺资产</w:t>
                      </w:r>
                      <w:r w:rsidRPr="003A1C16">
                        <w:t>1于业绩承诺期间内每年实际实现的净利润数应分别不低于中国建材总院同期承诺净利润数；业绩承诺资产2于业绩承诺期间内每年实际实现的收入分成数应分别不低于中国建材总院同期承诺收入分成数。否则中国建材总院应按照协议约定对公司予以补偿。</w:t>
                      </w:r>
                    </w:p>
                    <w:p w14:paraId="0166D12F" w14:textId="77777777" w:rsidR="003A1C16" w:rsidRPr="003A1C16" w:rsidRDefault="003A1C16" w:rsidP="003A1C16">
                      <w:pPr>
                        <w:ind w:left="420" w:firstLineChars="200" w:firstLine="420"/>
                        <w:jc w:val="both"/>
                      </w:pPr>
                      <w:r w:rsidRPr="003A1C16">
                        <w:rPr>
                          <w:rFonts w:hint="eastAsia"/>
                        </w:rPr>
                        <w:t>中国建材总院应优先以通过本次交易获得的公司的股份向公司补偿，股份补偿不足时，以人民币现金补偿。但若在业绩承诺期间因中国建材总院所持公司股份被冻结、强制执行等导致中国建材总院转让所持股份受到限制情形出现，公司有权直接要求中国建材总院进行现金补偿。</w:t>
                      </w:r>
                    </w:p>
                    <w:p w14:paraId="60739B10" w14:textId="77777777" w:rsidR="003A1C16" w:rsidRPr="003A1C16" w:rsidRDefault="003A1C16" w:rsidP="003A1C16">
                      <w:pPr>
                        <w:ind w:left="420" w:firstLineChars="200" w:firstLine="420"/>
                        <w:jc w:val="both"/>
                      </w:pPr>
                      <w:r w:rsidRPr="003A1C16">
                        <w:rPr>
                          <w:rFonts w:hint="eastAsia"/>
                        </w:rPr>
                        <w:t>（</w:t>
                      </w:r>
                      <w:r w:rsidRPr="003A1C16">
                        <w:t>2）业绩承诺期间中国建材总院应补偿金额及应补偿股份数量的计算公式</w:t>
                      </w:r>
                    </w:p>
                    <w:p w14:paraId="4E10AE59" w14:textId="77777777" w:rsidR="003A1C16" w:rsidRPr="003A1C16" w:rsidRDefault="003A1C16" w:rsidP="003A1C16">
                      <w:pPr>
                        <w:ind w:left="420" w:firstLineChars="200" w:firstLine="420"/>
                        <w:jc w:val="both"/>
                      </w:pPr>
                      <w:r w:rsidRPr="003A1C16">
                        <w:t>1）业绩承诺资产1</w:t>
                      </w:r>
                    </w:p>
                    <w:p w14:paraId="70FD6319" w14:textId="77777777" w:rsidR="003A1C16" w:rsidRPr="003A1C16" w:rsidRDefault="003A1C16" w:rsidP="003A1C16">
                      <w:pPr>
                        <w:ind w:left="420" w:firstLineChars="200" w:firstLine="420"/>
                        <w:jc w:val="both"/>
                      </w:pPr>
                      <w:r w:rsidRPr="003A1C16">
                        <w:rPr>
                          <w:rFonts w:hint="eastAsia"/>
                        </w:rPr>
                        <w:t>当期应补偿金额</w:t>
                      </w:r>
                      <w:r w:rsidRPr="003A1C16">
                        <w:t>=（业绩承诺资产1截至当期期末累积承诺净利润数－业绩承诺资产1截至当期期末累积实际净利润数）÷业绩承诺资产1补偿期内各年的承诺净利润数总和×业绩承诺资产1交易作价总和－截至当期期末中国建材总院就业绩承诺资产1累积已补偿金额。</w:t>
                      </w:r>
                    </w:p>
                    <w:p w14:paraId="43CF9CF5" w14:textId="77777777" w:rsidR="003A1C16" w:rsidRPr="003A1C16" w:rsidRDefault="003A1C16" w:rsidP="003A1C16">
                      <w:pPr>
                        <w:ind w:left="420" w:firstLineChars="200" w:firstLine="420"/>
                        <w:jc w:val="both"/>
                      </w:pPr>
                      <w:r w:rsidRPr="003A1C16">
                        <w:rPr>
                          <w:rFonts w:hint="eastAsia"/>
                        </w:rPr>
                        <w:lastRenderedPageBreak/>
                        <w:t>当期应补偿股份数量</w:t>
                      </w:r>
                      <w:r w:rsidRPr="003A1C16">
                        <w:t>=当期应补偿金额÷本次发行股份及支付现金购买资产中的股份发行价格。</w:t>
                      </w:r>
                    </w:p>
                    <w:p w14:paraId="0EC54BFB" w14:textId="77777777" w:rsidR="003A1C16" w:rsidRPr="003A1C16" w:rsidRDefault="003A1C16" w:rsidP="003A1C16">
                      <w:pPr>
                        <w:ind w:left="420" w:firstLineChars="200" w:firstLine="420"/>
                        <w:jc w:val="both"/>
                      </w:pPr>
                      <w:r w:rsidRPr="003A1C16">
                        <w:t>2）业绩承诺资产2</w:t>
                      </w:r>
                    </w:p>
                    <w:p w14:paraId="4200A204" w14:textId="77777777" w:rsidR="003A1C16" w:rsidRPr="003A1C16" w:rsidRDefault="003A1C16" w:rsidP="003A1C16">
                      <w:pPr>
                        <w:ind w:left="420" w:firstLineChars="200" w:firstLine="420"/>
                        <w:jc w:val="both"/>
                      </w:pPr>
                      <w:r w:rsidRPr="003A1C16">
                        <w:rPr>
                          <w:rFonts w:hint="eastAsia"/>
                        </w:rPr>
                        <w:t>当期应补偿金额</w:t>
                      </w:r>
                      <w:r w:rsidRPr="003A1C16">
                        <w:t>=（业绩承诺资产2截至当期期末累积承诺收入分成数－业绩承诺资产2截至当期期末累积实际收入分成数）÷业绩承诺资产2补偿期内各年的承诺收入分成数总和×业绩承诺资产2交易作价总和－截至当期期末乙方就业绩承诺资产2累积已补偿金额。</w:t>
                      </w:r>
                    </w:p>
                    <w:p w14:paraId="2D545862" w14:textId="77777777" w:rsidR="003A1C16" w:rsidRPr="003A1C16" w:rsidRDefault="003A1C16" w:rsidP="003A1C16">
                      <w:pPr>
                        <w:ind w:left="420"/>
                        <w:jc w:val="both"/>
                      </w:pPr>
                      <w:r w:rsidRPr="003A1C16">
                        <w:rPr>
                          <w:rFonts w:hint="eastAsia"/>
                        </w:rPr>
                        <w:t>当期应补偿股份数量</w:t>
                      </w:r>
                      <w:r w:rsidRPr="003A1C16">
                        <w:t>=当期应补偿金额÷本次发行股份及支付现金购买资产中的股份发行价格。</w:t>
                      </w:r>
                    </w:p>
                    <w:p w14:paraId="17CF74C8" w14:textId="77777777" w:rsidR="003A1C16" w:rsidRPr="003A1C16" w:rsidRDefault="003A1C16" w:rsidP="003A1C16">
                      <w:pPr>
                        <w:ind w:left="420" w:firstLineChars="200" w:firstLine="420"/>
                        <w:jc w:val="both"/>
                      </w:pPr>
                      <w:r w:rsidRPr="003A1C16">
                        <w:t>3）若中国建材总院于本次交易中取得的股份不足以补偿，则其应进一步以现金进行补偿，计算公式为：</w:t>
                      </w:r>
                    </w:p>
                    <w:p w14:paraId="0CBFD395" w14:textId="77777777" w:rsidR="003A1C16" w:rsidRPr="003A1C16" w:rsidRDefault="003A1C16" w:rsidP="003A1C16">
                      <w:pPr>
                        <w:ind w:left="420" w:firstLineChars="200" w:firstLine="420"/>
                        <w:jc w:val="both"/>
                      </w:pPr>
                      <w:r w:rsidRPr="003A1C16">
                        <w:rPr>
                          <w:rFonts w:hint="eastAsia"/>
                        </w:rPr>
                        <w:t>当期应补偿现金＝当期应补偿金额－当期已补偿股份数量×本次发行股份及支付现金购买资产中的股份发行价格。</w:t>
                      </w:r>
                    </w:p>
                    <w:p w14:paraId="3624B413" w14:textId="77777777" w:rsidR="003A1C16" w:rsidRPr="003A1C16" w:rsidRDefault="003A1C16" w:rsidP="003A1C16">
                      <w:pPr>
                        <w:ind w:left="420" w:firstLineChars="200" w:firstLine="420"/>
                        <w:jc w:val="both"/>
                      </w:pPr>
                      <w:r w:rsidRPr="003A1C16">
                        <w:rPr>
                          <w:rFonts w:hint="eastAsia"/>
                        </w:rPr>
                        <w:t>按照上述公式计算的应补偿股份数在个位之后存在尾数的，均按照舍去尾数并增加</w:t>
                      </w:r>
                      <w:r w:rsidRPr="003A1C16">
                        <w:t>1股的方式进行处理。</w:t>
                      </w:r>
                    </w:p>
                    <w:p w14:paraId="391D188A" w14:textId="77777777" w:rsidR="003A1C16" w:rsidRPr="003A1C16" w:rsidRDefault="003A1C16" w:rsidP="003A1C16">
                      <w:pPr>
                        <w:ind w:left="420" w:firstLineChars="200" w:firstLine="420"/>
                        <w:jc w:val="both"/>
                      </w:pPr>
                      <w:r w:rsidRPr="003A1C16">
                        <w:rPr>
                          <w:rFonts w:hint="eastAsia"/>
                        </w:rPr>
                        <w:t>中国建材总院在本次交易中获得的股份数量以中国证监会核准的最终数量为准。如果业绩承诺期间内公司实施送股、配股、资本公积金转增股本等除权事项而导致中国建材总院持有的公司股份数发生变化，则应补偿股份数量调整为：当期应补偿股份数×（</w:t>
                      </w:r>
                      <w:r w:rsidRPr="003A1C16">
                        <w:t>1+转增或送股或配股比例）。</w:t>
                      </w:r>
                    </w:p>
                    <w:p w14:paraId="2C434598" w14:textId="77777777" w:rsidR="003A1C16" w:rsidRPr="003A1C16" w:rsidRDefault="003A1C16" w:rsidP="003A1C16">
                      <w:pPr>
                        <w:ind w:left="420" w:firstLineChars="200" w:firstLine="420"/>
                        <w:jc w:val="both"/>
                      </w:pPr>
                      <w:r w:rsidRPr="003A1C16">
                        <w:rPr>
                          <w:rFonts w:hint="eastAsia"/>
                        </w:rPr>
                        <w:t>中国建材总院因本次交易获得的股份自本次发行完成日起至中国建材总院完成约定的补偿义务前，如公司实施现金股利分配，中国建材总院所取得应补偿股份对应的现金股利部分应无偿返还至公司指定的账户内，返还的现金股利不作为已补偿金额，不计入各期应补偿金额的计算。分红返还金额的计算公式为：返还金额</w:t>
                      </w:r>
                      <w:r w:rsidRPr="003A1C16">
                        <w:t>=每股已分配的现金股利×当期补偿股份数量。</w:t>
                      </w:r>
                    </w:p>
                    <w:p w14:paraId="2BD19B6E" w14:textId="77777777" w:rsidR="003A1C16" w:rsidRPr="003A1C16" w:rsidRDefault="003A1C16" w:rsidP="003A1C16">
                      <w:pPr>
                        <w:ind w:left="420" w:firstLineChars="200" w:firstLine="420"/>
                        <w:jc w:val="both"/>
                      </w:pPr>
                      <w:r w:rsidRPr="003A1C16">
                        <w:rPr>
                          <w:rFonts w:hint="eastAsia"/>
                        </w:rPr>
                        <w:t>上述补偿按年计算，按照上述公式计算的当年应补偿金额小于</w:t>
                      </w:r>
                      <w:r w:rsidRPr="003A1C16">
                        <w:t>0时，按0取值，即已经补偿金额不冲回。</w:t>
                      </w:r>
                    </w:p>
                    <w:p w14:paraId="2344A22E" w14:textId="77777777" w:rsidR="003A1C16" w:rsidRPr="003A1C16" w:rsidRDefault="003A1C16" w:rsidP="003A1C16">
                      <w:pPr>
                        <w:ind w:left="420" w:firstLineChars="200" w:firstLine="420"/>
                        <w:jc w:val="both"/>
                      </w:pPr>
                      <w:r w:rsidRPr="003A1C16">
                        <w:t>4、减值测试补偿</w:t>
                      </w:r>
                    </w:p>
                    <w:p w14:paraId="1B0E82AC" w14:textId="77777777" w:rsidR="003A1C16" w:rsidRPr="003A1C16" w:rsidRDefault="003A1C16" w:rsidP="003A1C16">
                      <w:pPr>
                        <w:ind w:left="420" w:firstLineChars="200" w:firstLine="420"/>
                        <w:jc w:val="both"/>
                      </w:pPr>
                      <w:r w:rsidRPr="003A1C16">
                        <w:rPr>
                          <w:rFonts w:hint="eastAsia"/>
                        </w:rPr>
                        <w:t>（</w:t>
                      </w:r>
                      <w:r w:rsidRPr="003A1C16">
                        <w:t>1）在业绩承诺期间届满时，由公司决定并聘请符合《证券法》规定的中介机构对业绩承诺资产进行减值测试，并出具减值测试专项审核报告。收益法评估资产的减值情况应根据前述专项审核报告确定。</w:t>
                      </w:r>
                    </w:p>
                    <w:p w14:paraId="16B7D0A9" w14:textId="77777777" w:rsidR="003A1C16" w:rsidRPr="003A1C16" w:rsidRDefault="003A1C16" w:rsidP="003A1C16">
                      <w:pPr>
                        <w:ind w:left="420" w:firstLineChars="200" w:firstLine="420"/>
                        <w:jc w:val="both"/>
                      </w:pPr>
                      <w:r w:rsidRPr="003A1C16">
                        <w:rPr>
                          <w:rFonts w:hint="eastAsia"/>
                        </w:rPr>
                        <w:t>（</w:t>
                      </w:r>
                      <w:r w:rsidRPr="003A1C16">
                        <w:t>2）经减值测试，如业绩承诺资产的期末减值额&gt;（业绩承诺资产补偿股份总数×本次发行股份及支付现金购买资产的每股发行价格＋中国建材总院已就业绩承诺资产补偿现金总额），则中国建材总院应当以通过本次交易获得的股份另行向公司进行补偿。</w:t>
                      </w:r>
                    </w:p>
                    <w:p w14:paraId="24CCA482" w14:textId="77777777" w:rsidR="003A1C16" w:rsidRPr="003A1C16" w:rsidRDefault="003A1C16" w:rsidP="003A1C16">
                      <w:pPr>
                        <w:ind w:left="420" w:firstLineChars="200" w:firstLine="420"/>
                        <w:jc w:val="both"/>
                      </w:pPr>
                      <w:r w:rsidRPr="003A1C16">
                        <w:rPr>
                          <w:rFonts w:hint="eastAsia"/>
                        </w:rPr>
                        <w:t>业绩承诺资产的期末减值额等于业绩承诺资产本次交易评估价值减去业绩承诺资产期末评估价值后的金额并扣除业绩承诺期间内业绩承诺资产增资、减资、接受赠与以及利润分配的影响。其中，合肥院为存在长期股权投资的母公司，计算减值额时合肥院（母公司）的评估价值应当扣除合肥院持有的长期股权投资的评估作价，包括中建材（合肥）装备科技有限公司</w:t>
                      </w:r>
                      <w:r w:rsidRPr="003A1C16">
                        <w:t>100.00%股权、安徽中亚钢结构工程有限公司51.00%股权、合肥中都机械有限公司37.66%股权、富沛（上海）建设有限公司49.76%股权及中国建材检验认证集团安徽有限公司49.00%股权</w:t>
                      </w:r>
                      <w:r w:rsidRPr="003A1C16">
                        <w:rPr>
                          <w:rFonts w:hint="eastAsia"/>
                        </w:rPr>
                        <w:t>。</w:t>
                      </w:r>
                    </w:p>
                    <w:p w14:paraId="59CFE325" w14:textId="77777777" w:rsidR="003A1C16" w:rsidRPr="003A1C16" w:rsidRDefault="003A1C16" w:rsidP="003A1C16">
                      <w:pPr>
                        <w:ind w:left="420" w:firstLineChars="200" w:firstLine="420"/>
                        <w:jc w:val="both"/>
                      </w:pPr>
                      <w:r w:rsidRPr="003A1C16">
                        <w:rPr>
                          <w:rFonts w:hint="eastAsia"/>
                        </w:rPr>
                        <w:t>（</w:t>
                      </w:r>
                      <w:r w:rsidRPr="003A1C16">
                        <w:t>3）中国建材总院减值补偿金额计算公式如下：</w:t>
                      </w:r>
                    </w:p>
                    <w:p w14:paraId="1749ED11" w14:textId="77777777" w:rsidR="003A1C16" w:rsidRPr="003A1C16" w:rsidRDefault="003A1C16" w:rsidP="003A1C16">
                      <w:pPr>
                        <w:ind w:left="420" w:firstLineChars="200" w:firstLine="420"/>
                        <w:jc w:val="both"/>
                      </w:pPr>
                      <w:r w:rsidRPr="003A1C16">
                        <w:rPr>
                          <w:rFonts w:hint="eastAsia"/>
                        </w:rPr>
                        <w:t>业绩承诺资产期末减值应补偿金额</w:t>
                      </w:r>
                      <w:r w:rsidRPr="003A1C16">
                        <w:t>=业绩承诺资产的期末减值额－（中国建材总院已就业绩承诺资产补偿股份总数×本次发行股份及支付现金购买资产的每股发行价格＋中国建材总院已就业绩承诺资产补偿现金总额）。</w:t>
                      </w:r>
                    </w:p>
                    <w:p w14:paraId="0A186ADD" w14:textId="77777777" w:rsidR="003A1C16" w:rsidRPr="003A1C16" w:rsidRDefault="003A1C16" w:rsidP="003A1C16">
                      <w:pPr>
                        <w:ind w:left="420" w:firstLineChars="200" w:firstLine="420"/>
                        <w:jc w:val="both"/>
                      </w:pPr>
                      <w:r w:rsidRPr="003A1C16">
                        <w:rPr>
                          <w:rFonts w:hint="eastAsia"/>
                        </w:rPr>
                        <w:t>业绩承诺资产期末减值应补偿股份数量</w:t>
                      </w:r>
                      <w:r w:rsidRPr="003A1C16">
                        <w:t>=业绩承诺资产期末减值应补偿金额÷本次发行股份及支付现金购买资产的每股发行价格。</w:t>
                      </w:r>
                    </w:p>
                    <w:p w14:paraId="65C850E9" w14:textId="77777777" w:rsidR="003A1C16" w:rsidRPr="003A1C16" w:rsidRDefault="003A1C16" w:rsidP="003A1C16">
                      <w:pPr>
                        <w:ind w:left="420" w:firstLineChars="200" w:firstLine="420"/>
                        <w:jc w:val="both"/>
                      </w:pPr>
                      <w:r w:rsidRPr="003A1C16">
                        <w:t>(4)中国建材总院应优先以股份另行补偿，如果中国建材总院于本次交易中认购的股份不足以补偿，则其应进一步以现金进行补偿。</w:t>
                      </w:r>
                    </w:p>
                    <w:p w14:paraId="50D4F66D" w14:textId="77777777" w:rsidR="003A1C16" w:rsidRPr="003A1C16" w:rsidRDefault="003A1C16" w:rsidP="003A1C16">
                      <w:pPr>
                        <w:ind w:left="420" w:firstLineChars="200" w:firstLine="420"/>
                        <w:jc w:val="both"/>
                      </w:pPr>
                      <w:r w:rsidRPr="003A1C16">
                        <w:rPr>
                          <w:rFonts w:hint="eastAsia"/>
                        </w:rPr>
                        <w:t>计算公式为：应补偿现金金额＝业绩承诺资产期末减值应补偿金额－（中国建材总院就业绩承诺资产的期末减值已补偿股份数量×本次发行股份及支付现金购买资产的每股发行价格）。</w:t>
                      </w:r>
                    </w:p>
                    <w:p w14:paraId="14FE9023" w14:textId="77777777" w:rsidR="003A1C16" w:rsidRPr="003A1C16" w:rsidRDefault="003A1C16" w:rsidP="003A1C16">
                      <w:pPr>
                        <w:ind w:left="420" w:firstLineChars="200" w:firstLine="420"/>
                        <w:jc w:val="both"/>
                      </w:pPr>
                      <w:r w:rsidRPr="003A1C16">
                        <w:lastRenderedPageBreak/>
                        <w:t>(5)在运用以上公式时，应注意以下事项：</w:t>
                      </w:r>
                    </w:p>
                    <w:p w14:paraId="04EC4EB5" w14:textId="77777777" w:rsidR="003A1C16" w:rsidRPr="003A1C16" w:rsidRDefault="003A1C16" w:rsidP="003A1C16">
                      <w:pPr>
                        <w:ind w:left="420" w:firstLineChars="200" w:firstLine="420"/>
                        <w:jc w:val="both"/>
                      </w:pPr>
                      <w:r w:rsidRPr="003A1C16">
                        <w:t>1）如公司在利润承诺期间实施送股、配股、资本公积转增股本等除权事项的，则“每股发行价格”及“已补偿股份总数”进行相应调整，按照上述公式计算的应补偿股份数量在个位之后存在尾数的，均按照舍去尾数并增加1股的方式进行处理。</w:t>
                      </w:r>
                    </w:p>
                    <w:p w14:paraId="78942DDF" w14:textId="77777777" w:rsidR="003A1C16" w:rsidRPr="003A1C16" w:rsidRDefault="003A1C16" w:rsidP="003A1C16">
                      <w:pPr>
                        <w:ind w:left="420" w:firstLineChars="200" w:firstLine="420"/>
                        <w:jc w:val="both"/>
                      </w:pPr>
                      <w:r w:rsidRPr="003A1C16">
                        <w:t>2）除非法律法规有强制性规定或各方另行约定，减值测试所采取的评估方法应与本次交易所涉资产评估报告中收益法资产的评估方法保持一致。</w:t>
                      </w:r>
                    </w:p>
                    <w:p w14:paraId="67B0C616" w14:textId="77777777" w:rsidR="003A1C16" w:rsidRPr="003A1C16" w:rsidRDefault="003A1C16" w:rsidP="003A1C16">
                      <w:pPr>
                        <w:ind w:left="420" w:firstLineChars="200" w:firstLine="420"/>
                        <w:jc w:val="both"/>
                      </w:pPr>
                      <w:r w:rsidRPr="003A1C16">
                        <w:t>3）中国建材总院因本次交易获得的股份自本次发行完成日起至中国建材总院完成约定的补偿义务前，如公司实施现金股利分配，中国建材总院所取得应补偿股份对应的现金股利部分应无偿返还至公司指定的账户内，返还的现金股利不作为已补偿金额，不计入各期应补偿金额的计算。分红返还金额的计算公式为：返还金额=每股已分配的现金股利×当期补偿股份数量。</w:t>
                      </w:r>
                    </w:p>
                    <w:p w14:paraId="03AC206C" w14:textId="77777777" w:rsidR="003A1C16" w:rsidRPr="003A1C16" w:rsidRDefault="003A1C16" w:rsidP="003A1C16">
                      <w:pPr>
                        <w:ind w:left="420"/>
                      </w:pPr>
                    </w:p>
                    <w:p w14:paraId="7D648E52" w14:textId="77777777" w:rsidR="003A1C16" w:rsidRPr="003A1C16" w:rsidRDefault="003A1C16" w:rsidP="003A1C16">
                      <w:pPr>
                        <w:ind w:left="420"/>
                      </w:pPr>
                      <w:r w:rsidRPr="003A1C16">
                        <w:rPr>
                          <w:rFonts w:hint="eastAsia"/>
                        </w:rPr>
                        <w:t>（二）业绩承诺实现情况</w:t>
                      </w:r>
                    </w:p>
                    <w:p w14:paraId="15B4DDBF" w14:textId="77777777" w:rsidR="003A1C16" w:rsidRPr="003A1C16" w:rsidRDefault="003A1C16" w:rsidP="003A1C16">
                      <w:pPr>
                        <w:ind w:left="420" w:firstLineChars="200" w:firstLine="420"/>
                      </w:pPr>
                      <w:r w:rsidRPr="003A1C16">
                        <w:t>1、2023年度业绩承诺实现情况</w:t>
                      </w:r>
                    </w:p>
                    <w:p w14:paraId="56ABA8E6" w14:textId="77777777" w:rsidR="003A1C16" w:rsidRPr="003A1C16" w:rsidRDefault="003A1C16" w:rsidP="003A1C16">
                      <w:pPr>
                        <w:ind w:left="420"/>
                        <w:jc w:val="right"/>
                      </w:pPr>
                      <w:r w:rsidRPr="003A1C16">
                        <w:rPr>
                          <w:rFonts w:hint="eastAsia"/>
                        </w:rPr>
                        <w:t>单位：人民币万元</w:t>
                      </w:r>
                    </w:p>
                    <w:tbl>
                      <w:tblPr>
                        <w:tblStyle w:val="110"/>
                        <w:tblW w:w="8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3"/>
                        <w:gridCol w:w="1106"/>
                        <w:gridCol w:w="1191"/>
                        <w:gridCol w:w="1596"/>
                        <w:gridCol w:w="1383"/>
                        <w:gridCol w:w="1106"/>
                      </w:tblGrid>
                      <w:tr w:rsidR="003A1C16" w:rsidRPr="003A1C16" w14:paraId="4344B228" w14:textId="77777777" w:rsidTr="003A1C1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2413" w:type="dxa"/>
                            <w:tcBorders>
                              <w:bottom w:val="none" w:sz="0" w:space="0" w:color="auto"/>
                            </w:tcBorders>
                            <w:noWrap/>
                          </w:tcPr>
                          <w:p w14:paraId="127B6875" w14:textId="77777777" w:rsidR="003A1C16" w:rsidRPr="003A1C16" w:rsidRDefault="003A1C16" w:rsidP="003A1C16">
                            <w:pPr>
                              <w:jc w:val="center"/>
                              <w:rPr>
                                <w:b w:val="0"/>
                                <w:bCs w:val="0"/>
                                <w:color w:val="000000"/>
                                <w:sz w:val="18"/>
                                <w:szCs w:val="18"/>
                              </w:rPr>
                            </w:pPr>
                            <w:r w:rsidRPr="003A1C16">
                              <w:rPr>
                                <w:rFonts w:hint="eastAsia"/>
                                <w:b w:val="0"/>
                                <w:bCs w:val="0"/>
                                <w:color w:val="000000"/>
                                <w:sz w:val="18"/>
                                <w:szCs w:val="18"/>
                              </w:rPr>
                              <w:t>业绩承诺资产类别</w:t>
                            </w:r>
                          </w:p>
                        </w:tc>
                        <w:tc>
                          <w:tcPr>
                            <w:tcW w:w="1106" w:type="dxa"/>
                            <w:tcBorders>
                              <w:bottom w:val="none" w:sz="0" w:space="0" w:color="auto"/>
                            </w:tcBorders>
                          </w:tcPr>
                          <w:p w14:paraId="23630F5F"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3A1C16">
                              <w:rPr>
                                <w:rFonts w:hint="eastAsia"/>
                                <w:b w:val="0"/>
                                <w:bCs w:val="0"/>
                                <w:color w:val="000000"/>
                                <w:sz w:val="18"/>
                                <w:szCs w:val="18"/>
                              </w:rPr>
                              <w:t>年度</w:t>
                            </w:r>
                          </w:p>
                        </w:tc>
                        <w:tc>
                          <w:tcPr>
                            <w:tcW w:w="1191" w:type="dxa"/>
                            <w:tcBorders>
                              <w:bottom w:val="none" w:sz="0" w:space="0" w:color="auto"/>
                            </w:tcBorders>
                          </w:tcPr>
                          <w:p w14:paraId="2A517233"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3A1C16">
                              <w:rPr>
                                <w:rFonts w:hint="eastAsia"/>
                                <w:b w:val="0"/>
                                <w:bCs w:val="0"/>
                                <w:color w:val="000000"/>
                                <w:sz w:val="18"/>
                                <w:szCs w:val="18"/>
                              </w:rPr>
                              <w:t>承诺金额</w:t>
                            </w:r>
                          </w:p>
                        </w:tc>
                        <w:tc>
                          <w:tcPr>
                            <w:tcW w:w="1596" w:type="dxa"/>
                            <w:tcBorders>
                              <w:bottom w:val="none" w:sz="0" w:space="0" w:color="auto"/>
                            </w:tcBorders>
                          </w:tcPr>
                          <w:p w14:paraId="1196DB55"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3A1C16">
                              <w:rPr>
                                <w:rFonts w:hint="eastAsia"/>
                                <w:b w:val="0"/>
                                <w:bCs w:val="0"/>
                                <w:color w:val="000000"/>
                                <w:sz w:val="18"/>
                                <w:szCs w:val="18"/>
                              </w:rPr>
                              <w:t>实际实现金额</w:t>
                            </w:r>
                          </w:p>
                        </w:tc>
                        <w:tc>
                          <w:tcPr>
                            <w:tcW w:w="1383" w:type="dxa"/>
                            <w:tcBorders>
                              <w:bottom w:val="none" w:sz="0" w:space="0" w:color="auto"/>
                            </w:tcBorders>
                          </w:tcPr>
                          <w:p w14:paraId="63690652"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3A1C16">
                              <w:rPr>
                                <w:rFonts w:hint="eastAsia"/>
                                <w:b w:val="0"/>
                                <w:bCs w:val="0"/>
                                <w:color w:val="000000"/>
                                <w:sz w:val="18"/>
                                <w:szCs w:val="18"/>
                              </w:rPr>
                              <w:t>差异额</w:t>
                            </w:r>
                          </w:p>
                        </w:tc>
                        <w:tc>
                          <w:tcPr>
                            <w:tcW w:w="1106" w:type="dxa"/>
                            <w:tcBorders>
                              <w:bottom w:val="none" w:sz="0" w:space="0" w:color="auto"/>
                            </w:tcBorders>
                          </w:tcPr>
                          <w:p w14:paraId="4F246BB4" w14:textId="77777777" w:rsidR="003A1C16" w:rsidRPr="003A1C16" w:rsidRDefault="003A1C16" w:rsidP="003A1C16">
                            <w:pPr>
                              <w:jc w:val="center"/>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3A1C16">
                              <w:rPr>
                                <w:rFonts w:hint="eastAsia"/>
                                <w:b w:val="0"/>
                                <w:bCs w:val="0"/>
                                <w:color w:val="000000"/>
                                <w:sz w:val="18"/>
                                <w:szCs w:val="18"/>
                              </w:rPr>
                              <w:t>完成率%</w:t>
                            </w:r>
                          </w:p>
                        </w:tc>
                      </w:tr>
                      <w:tr w:rsidR="003A1C16" w:rsidRPr="003A1C16" w14:paraId="33902841" w14:textId="77777777" w:rsidTr="003A1C16">
                        <w:trPr>
                          <w:trHeight w:val="294"/>
                        </w:trPr>
                        <w:tc>
                          <w:tcPr>
                            <w:cnfStyle w:val="001000000000" w:firstRow="0" w:lastRow="0" w:firstColumn="1" w:lastColumn="0" w:oddVBand="0" w:evenVBand="0" w:oddHBand="0" w:evenHBand="0" w:firstRowFirstColumn="0" w:firstRowLastColumn="0" w:lastRowFirstColumn="0" w:lastRowLastColumn="0"/>
                            <w:tcW w:w="2413" w:type="dxa"/>
                            <w:noWrap/>
                          </w:tcPr>
                          <w:p w14:paraId="3D73733C" w14:textId="77777777" w:rsidR="003A1C16" w:rsidRPr="003A1C16" w:rsidRDefault="003A1C16" w:rsidP="003A1C16">
                            <w:pPr>
                              <w:rPr>
                                <w:b w:val="0"/>
                                <w:bCs w:val="0"/>
                                <w:color w:val="000000"/>
                                <w:sz w:val="18"/>
                                <w:szCs w:val="18"/>
                              </w:rPr>
                            </w:pPr>
                            <w:r w:rsidRPr="003A1C16">
                              <w:rPr>
                                <w:rFonts w:hint="eastAsia"/>
                                <w:b w:val="0"/>
                                <w:bCs w:val="0"/>
                                <w:color w:val="000000"/>
                                <w:sz w:val="18"/>
                                <w:szCs w:val="18"/>
                              </w:rPr>
                              <w:t>业绩承诺资产1</w:t>
                            </w:r>
                          </w:p>
                        </w:tc>
                        <w:tc>
                          <w:tcPr>
                            <w:tcW w:w="1106" w:type="dxa"/>
                          </w:tcPr>
                          <w:p w14:paraId="1118A250"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hint="eastAsia"/>
                                <w:color w:val="000000"/>
                                <w:sz w:val="18"/>
                                <w:szCs w:val="18"/>
                              </w:rPr>
                              <w:t>2023年度</w:t>
                            </w:r>
                          </w:p>
                        </w:tc>
                        <w:tc>
                          <w:tcPr>
                            <w:tcW w:w="1191" w:type="dxa"/>
                          </w:tcPr>
                          <w:p w14:paraId="79177E8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20,013.25</w:t>
                            </w:r>
                          </w:p>
                        </w:tc>
                        <w:tc>
                          <w:tcPr>
                            <w:tcW w:w="1596" w:type="dxa"/>
                          </w:tcPr>
                          <w:p w14:paraId="155EB680"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25,965.99</w:t>
                            </w:r>
                          </w:p>
                        </w:tc>
                        <w:tc>
                          <w:tcPr>
                            <w:tcW w:w="1383" w:type="dxa"/>
                          </w:tcPr>
                          <w:p w14:paraId="6D8C06DE"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5,952.74</w:t>
                            </w:r>
                          </w:p>
                        </w:tc>
                        <w:tc>
                          <w:tcPr>
                            <w:tcW w:w="1106" w:type="dxa"/>
                          </w:tcPr>
                          <w:p w14:paraId="2FF05F9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129.74</w:t>
                            </w:r>
                          </w:p>
                        </w:tc>
                      </w:tr>
                      <w:tr w:rsidR="003A1C16" w:rsidRPr="003A1C16" w14:paraId="69D19754" w14:textId="77777777" w:rsidTr="003A1C16">
                        <w:trPr>
                          <w:trHeight w:val="153"/>
                        </w:trPr>
                        <w:tc>
                          <w:tcPr>
                            <w:cnfStyle w:val="001000000000" w:firstRow="0" w:lastRow="0" w:firstColumn="1" w:lastColumn="0" w:oddVBand="0" w:evenVBand="0" w:oddHBand="0" w:evenHBand="0" w:firstRowFirstColumn="0" w:firstRowLastColumn="0" w:lastRowFirstColumn="0" w:lastRowLastColumn="0"/>
                            <w:tcW w:w="2413" w:type="dxa"/>
                            <w:noWrap/>
                          </w:tcPr>
                          <w:p w14:paraId="3C651DE1" w14:textId="77777777" w:rsidR="003A1C16" w:rsidRPr="003A1C16" w:rsidRDefault="003A1C16" w:rsidP="003A1C16">
                            <w:pPr>
                              <w:rPr>
                                <w:b w:val="0"/>
                                <w:bCs w:val="0"/>
                                <w:color w:val="000000"/>
                                <w:sz w:val="18"/>
                                <w:szCs w:val="18"/>
                              </w:rPr>
                            </w:pPr>
                            <w:r w:rsidRPr="003A1C16">
                              <w:rPr>
                                <w:rFonts w:hint="eastAsia"/>
                                <w:b w:val="0"/>
                                <w:bCs w:val="0"/>
                                <w:color w:val="000000"/>
                                <w:sz w:val="18"/>
                                <w:szCs w:val="18"/>
                              </w:rPr>
                              <w:t>业绩承诺资产2</w:t>
                            </w:r>
                          </w:p>
                        </w:tc>
                        <w:tc>
                          <w:tcPr>
                            <w:tcW w:w="1106" w:type="dxa"/>
                          </w:tcPr>
                          <w:p w14:paraId="0E38198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hint="eastAsia"/>
                                <w:color w:val="000000"/>
                                <w:sz w:val="18"/>
                                <w:szCs w:val="18"/>
                              </w:rPr>
                              <w:t>2023年度</w:t>
                            </w:r>
                          </w:p>
                        </w:tc>
                        <w:tc>
                          <w:tcPr>
                            <w:tcW w:w="1191" w:type="dxa"/>
                          </w:tcPr>
                          <w:p w14:paraId="19383340"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189.98</w:t>
                            </w:r>
                          </w:p>
                        </w:tc>
                        <w:tc>
                          <w:tcPr>
                            <w:tcW w:w="1596" w:type="dxa"/>
                          </w:tcPr>
                          <w:p w14:paraId="1C12E49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199.93</w:t>
                            </w:r>
                          </w:p>
                        </w:tc>
                        <w:tc>
                          <w:tcPr>
                            <w:tcW w:w="1383" w:type="dxa"/>
                          </w:tcPr>
                          <w:p w14:paraId="1BD8FDA8"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9.95</w:t>
                            </w:r>
                          </w:p>
                        </w:tc>
                        <w:tc>
                          <w:tcPr>
                            <w:tcW w:w="1106" w:type="dxa"/>
                          </w:tcPr>
                          <w:p w14:paraId="6E87C65C" w14:textId="77777777" w:rsidR="003A1C16" w:rsidRPr="003A1C16" w:rsidRDefault="003A1C16" w:rsidP="003A1C16">
                            <w:pPr>
                              <w:jc w:val="center"/>
                              <w:cnfStyle w:val="000000000000" w:firstRow="0" w:lastRow="0" w:firstColumn="0" w:lastColumn="0" w:oddVBand="0" w:evenVBand="0" w:oddHBand="0" w:evenHBand="0" w:firstRowFirstColumn="0" w:firstRowLastColumn="0" w:lastRowFirstColumn="0" w:lastRowLastColumn="0"/>
                              <w:rPr>
                                <w:b/>
                                <w:bCs/>
                                <w:color w:val="000000"/>
                                <w:szCs w:val="21"/>
                              </w:rPr>
                            </w:pPr>
                            <w:r w:rsidRPr="003A1C16">
                              <w:rPr>
                                <w:rFonts w:ascii="Arial Narrow" w:eastAsia="等线" w:hAnsi="Arial Narrow"/>
                                <w:color w:val="000000"/>
                                <w:sz w:val="18"/>
                                <w:szCs w:val="18"/>
                              </w:rPr>
                              <w:t>105.24</w:t>
                            </w:r>
                          </w:p>
                        </w:tc>
                      </w:tr>
                    </w:tbl>
                    <w:p w14:paraId="28A75E8A" w14:textId="77777777" w:rsidR="003A1C16" w:rsidRPr="003A1C16" w:rsidRDefault="003A1C16" w:rsidP="003A1C16">
                      <w:pPr>
                        <w:ind w:left="420"/>
                        <w:jc w:val="right"/>
                      </w:pPr>
                    </w:p>
                    <w:p w14:paraId="37E292A0" w14:textId="77777777" w:rsidR="003A1C16" w:rsidRPr="003A1C16" w:rsidRDefault="003A1C16" w:rsidP="003A1C16">
                      <w:pPr>
                        <w:ind w:left="420" w:firstLineChars="200" w:firstLine="420"/>
                        <w:jc w:val="both"/>
                      </w:pPr>
                      <w:r w:rsidRPr="003A1C16">
                        <w:rPr>
                          <w:rFonts w:hint="eastAsia"/>
                        </w:rPr>
                        <w:t>说明：业绩承诺资产</w:t>
                      </w:r>
                      <w:r w:rsidRPr="003A1C16">
                        <w:t>1实际实现金额是指经审计的扣除非经常性损益后的净利润。业绩承诺资产2实际实现金额是指经审计的收入分成数。</w:t>
                      </w:r>
                    </w:p>
                    <w:p w14:paraId="0A1FCA56" w14:textId="77777777" w:rsidR="003A1C16" w:rsidRPr="003A1C16" w:rsidRDefault="003A1C16" w:rsidP="003A1C16">
                      <w:pPr>
                        <w:ind w:left="420" w:firstLineChars="200" w:firstLine="420"/>
                        <w:jc w:val="both"/>
                      </w:pPr>
                      <w:r w:rsidRPr="003A1C16">
                        <w:rPr>
                          <w:rFonts w:hint="eastAsia"/>
                        </w:rPr>
                        <w:t>根据《中国中材国际工程股份有限公司与中国建筑材料科学研究总院有限公司之业绩承诺补偿协议》，本次交易于</w:t>
                      </w:r>
                      <w:r w:rsidRPr="003A1C16">
                        <w:t>2023年实施完毕，故中国建材总院的业绩承诺为：业绩承诺资产1在2023年、2024年及2025年各会计年度应实现的承诺净利润数分别不低于20,013.25万元、20,805.42万元、22,114.89万元；业绩承诺资产2在2023年、2024年及2025年各会计年度应实现的收入分成数分别不低于189.98万元、115.97万元、48.87万元。</w:t>
                      </w:r>
                    </w:p>
                    <w:p w14:paraId="00A2004A" w14:textId="77777777" w:rsidR="003A1C16" w:rsidRPr="003A1C16" w:rsidRDefault="003A1C16" w:rsidP="003A1C16">
                      <w:pPr>
                        <w:ind w:left="420" w:firstLineChars="200" w:firstLine="420"/>
                        <w:jc w:val="both"/>
                      </w:pPr>
                      <w:r w:rsidRPr="003A1C16">
                        <w:rPr>
                          <w:rFonts w:hint="eastAsia"/>
                        </w:rPr>
                        <w:t>根据</w:t>
                      </w:r>
                      <w:r w:rsidRPr="003A1C16">
                        <w:t>2023年度经审计的业绩承诺资产1业绩承诺范围资产各单位扣除非经常性损益后的净利润，业绩承诺资产1在2023年度实际实现净利润为承诺净利润的129.74%，达到2023年度的业绩承诺；业绩承诺资产2业绩承诺范围资产各单位2023年度实际实现的收入分成数为承诺收入分成数的105.24%，达到2023年度的业绩承诺。</w:t>
                      </w:r>
                    </w:p>
                    <w:p w14:paraId="61F1CF74" w14:textId="77777777" w:rsidR="003A1C16" w:rsidRPr="003A1C16" w:rsidRDefault="003A1C16" w:rsidP="003A1C16">
                      <w:pPr>
                        <w:ind w:left="420" w:firstLineChars="200" w:firstLine="420"/>
                        <w:jc w:val="both"/>
                      </w:pPr>
                    </w:p>
                    <w:p w14:paraId="14B0744E" w14:textId="77777777" w:rsidR="003A1C16" w:rsidRPr="003A1C16" w:rsidRDefault="003A1C16" w:rsidP="003A1C16">
                      <w:pPr>
                        <w:ind w:left="420" w:firstLineChars="200" w:firstLine="420"/>
                        <w:jc w:val="both"/>
                      </w:pPr>
                      <w:r w:rsidRPr="003A1C16">
                        <w:rPr>
                          <w:rFonts w:hint="eastAsia"/>
                        </w:rPr>
                        <w:t>详见本报告第十节“财务报告”财务报表</w:t>
                      </w:r>
                      <w:r w:rsidRPr="003A1C16">
                        <w:t xml:space="preserve"> 七、合并财务报表项目注释 27商誉(5).业绩承诺及对应商誉减值情况</w:t>
                      </w:r>
                      <w:r w:rsidRPr="003A1C16">
                        <w:rPr>
                          <w:rFonts w:hint="eastAsia"/>
                        </w:rPr>
                        <w:t>。</w:t>
                      </w:r>
                    </w:p>
                    <w:p w14:paraId="506A8723" w14:textId="77777777" w:rsidR="003A1C16" w:rsidRPr="003A1C16" w:rsidRDefault="00EB41A1" w:rsidP="003A1C16">
                      <w:pPr>
                        <w:widowControl w:val="0"/>
                        <w:jc w:val="both"/>
                      </w:pPr>
                    </w:p>
                  </w:sdtContent>
                </w:sdt>
              </w:sdtContent>
            </w:sdt>
            <w:p w14:paraId="21CF2967" w14:textId="77777777" w:rsidR="00E57DAA" w:rsidRDefault="00EB41A1" w:rsidP="003A1C16">
              <w:pPr>
                <w:pStyle w:val="affc"/>
                <w:ind w:left="2547" w:firstLineChars="0" w:firstLine="0"/>
              </w:pPr>
            </w:p>
          </w:sdtContent>
        </w:sdt>
      </w:sdtContent>
    </w:sdt>
    <w:bookmarkEnd w:id="99"/>
    <w:p w14:paraId="2374062C" w14:textId="77777777" w:rsidR="00E57DAA" w:rsidRDefault="00AC4185">
      <w:pPr>
        <w:pStyle w:val="2"/>
        <w:numPr>
          <w:ilvl w:val="0"/>
          <w:numId w:val="31"/>
        </w:numPr>
      </w:pPr>
      <w:r>
        <w:rPr>
          <w:rFonts w:hint="eastAsia"/>
        </w:rPr>
        <w:t>报</w:t>
      </w:r>
      <w:r>
        <w:t>告期内</w:t>
      </w:r>
      <w:r>
        <w:rPr>
          <w:rFonts w:hint="eastAsia"/>
        </w:rPr>
        <w:t>控股股东及其他关联方非经营性占用资金情况</w:t>
      </w:r>
    </w:p>
    <w:bookmarkStart w:id="101" w:name="_Hlk89336052" w:displacedByCustomXml="next"/>
    <w:sdt>
      <w:sdtPr>
        <w:rPr>
          <w:szCs w:val="21"/>
        </w:rPr>
        <w:alias w:val="是否适用：资金被占用情况及清欠进展情况[双击切换]"/>
        <w:tag w:val="_GBC_a94958949e0846929a78a71186526204"/>
        <w:id w:val="1920056662"/>
        <w:placeholder>
          <w:docPart w:val="GBC22222222222222222222222222222"/>
        </w:placeholder>
      </w:sdtPr>
      <w:sdtEndPr/>
      <w:sdtContent>
        <w:p w14:paraId="351D90D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4A4D30" w14:textId="77777777" w:rsidR="00E57DAA" w:rsidRDefault="00E57DAA" w:rsidP="00C25422">
      <w:pPr>
        <w:pStyle w:val="92"/>
      </w:pPr>
      <w:bookmarkStart w:id="102" w:name="_Hlk74646364"/>
    </w:p>
    <w:p w14:paraId="1F801669" w14:textId="77777777" w:rsidR="00E57DAA" w:rsidRDefault="00AC4185">
      <w:pPr>
        <w:pStyle w:val="2"/>
        <w:numPr>
          <w:ilvl w:val="0"/>
          <w:numId w:val="31"/>
        </w:numPr>
      </w:pPr>
      <w:r>
        <w:rPr>
          <w:rFonts w:hint="eastAsia"/>
        </w:rPr>
        <w:t>违规担保情况</w:t>
      </w:r>
    </w:p>
    <w:bookmarkEnd w:id="101" w:displacedByCustomXml="next"/>
    <w:bookmarkEnd w:id="102" w:displacedByCustomXml="next"/>
    <w:bookmarkStart w:id="103" w:name="_Hlk74646365" w:displacedByCustomXml="next"/>
    <w:bookmarkEnd w:id="103" w:displacedByCustomXml="next"/>
    <w:bookmarkStart w:id="104" w:name="_Hlk89337011" w:displacedByCustomXml="next"/>
    <w:sdt>
      <w:sdtPr>
        <w:alias w:val="是否适用：违规担保情况[双击切换]"/>
        <w:tag w:val="_GBC_b2d16e23c066427a800b40aaa053bc8e"/>
        <w:id w:val="80338426"/>
        <w:placeholder>
          <w:docPart w:val="GBC22222222222222222222222222222"/>
        </w:placeholder>
      </w:sdtPr>
      <w:sdtEndPr/>
      <w:sdtContent>
        <w:p w14:paraId="0FE88A2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096D29" w14:textId="77777777" w:rsidR="00E57DAA" w:rsidRDefault="00E57DAA">
      <w:pPr>
        <w:sectPr w:rsidR="00E57DAA" w:rsidSect="00226547">
          <w:pgSz w:w="11906" w:h="16838"/>
          <w:pgMar w:top="1525" w:right="1276" w:bottom="1440" w:left="1797" w:header="855" w:footer="992" w:gutter="0"/>
          <w:cols w:space="425"/>
          <w:docGrid w:linePitch="312"/>
        </w:sectPr>
      </w:pPr>
      <w:bookmarkStart w:id="105" w:name="_Hlk74646368"/>
    </w:p>
    <w:p w14:paraId="6FAD9A0E" w14:textId="77777777" w:rsidR="00E57DAA" w:rsidRDefault="00AC4185">
      <w:pPr>
        <w:pStyle w:val="2"/>
        <w:numPr>
          <w:ilvl w:val="0"/>
          <w:numId w:val="31"/>
        </w:numPr>
      </w:pPr>
      <w:r>
        <w:rPr>
          <w:rFonts w:hint="eastAsia"/>
        </w:rPr>
        <w:lastRenderedPageBreak/>
        <w:t>公司董事会对会计师事务所“非标准意见审计报告”的说明</w:t>
      </w:r>
    </w:p>
    <w:bookmarkEnd w:id="105"/>
    <w:bookmarkEnd w:id="104"/>
    <w:p w14:paraId="71FBF4F5" w14:textId="77777777" w:rsidR="00E57DAA" w:rsidRDefault="00EB41A1">
      <w:pPr>
        <w:rPr>
          <w:szCs w:val="21"/>
        </w:rPr>
      </w:pPr>
      <w:sdt>
        <w:sdtPr>
          <w:alias w:val="是否适用：董事会对会计师事务所非标准审计报告的说明[双击切换]"/>
          <w:tag w:val="_GBC_81f7a662b6a641d8aadb05b1cb176ecf"/>
          <w:id w:val="1010501751"/>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9F14E2B" w14:textId="77777777" w:rsidR="00E57DAA" w:rsidRDefault="00E57DAA" w:rsidP="00C25422">
      <w:pPr>
        <w:pStyle w:val="92"/>
      </w:pPr>
    </w:p>
    <w:p w14:paraId="6950A880" w14:textId="77777777" w:rsidR="00E57DAA" w:rsidRDefault="00AC4185">
      <w:pPr>
        <w:pStyle w:val="2"/>
        <w:numPr>
          <w:ilvl w:val="0"/>
          <w:numId w:val="31"/>
        </w:numPr>
      </w:pPr>
      <w:r>
        <w:rPr>
          <w:rFonts w:hint="eastAsia"/>
        </w:rPr>
        <w:t>公司对会计政策、会计估计变更或重大会计差错更正原因和影响的分析说明</w:t>
      </w:r>
    </w:p>
    <w:p w14:paraId="565D3162" w14:textId="77777777" w:rsidR="00E57DAA" w:rsidRDefault="00AC4185">
      <w:pPr>
        <w:pStyle w:val="3"/>
        <w:numPr>
          <w:ilvl w:val="0"/>
          <w:numId w:val="33"/>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76464621"/>
        <w:placeholder>
          <w:docPart w:val="GBC22222222222222222222222222222"/>
        </w:placeholder>
      </w:sdtPr>
      <w:sdtEndPr/>
      <w:sdtContent>
        <w:p w14:paraId="503C523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2C05F7" w14:textId="77777777" w:rsidR="00E57DAA" w:rsidRDefault="00E57DAA" w:rsidP="00C25422">
      <w:pPr>
        <w:pStyle w:val="92"/>
      </w:pPr>
    </w:p>
    <w:p w14:paraId="74EDAEB7" w14:textId="77777777" w:rsidR="00E57DAA" w:rsidRDefault="00AC4185">
      <w:pPr>
        <w:pStyle w:val="3"/>
        <w:numPr>
          <w:ilvl w:val="0"/>
          <w:numId w:val="33"/>
        </w:numPr>
      </w:pPr>
      <w:r>
        <w:rPr>
          <w:rFonts w:hint="eastAsia"/>
        </w:rPr>
        <w:t>公司对重大会计</w:t>
      </w:r>
      <w:r>
        <w:rPr>
          <w:rFonts w:hint="eastAsia"/>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801922795"/>
        <w:placeholder>
          <w:docPart w:val="GBC22222222222222222222222222222"/>
        </w:placeholder>
      </w:sdtPr>
      <w:sdtEndPr/>
      <w:sdtContent>
        <w:p w14:paraId="5D54A87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CF3B4A" w14:textId="77777777" w:rsidR="00E57DAA" w:rsidRDefault="00E57DAA" w:rsidP="00C25422">
      <w:pPr>
        <w:pStyle w:val="92"/>
      </w:pPr>
    </w:p>
    <w:p w14:paraId="102254DC" w14:textId="77777777" w:rsidR="00E57DAA" w:rsidRDefault="00AC4185">
      <w:pPr>
        <w:pStyle w:val="3"/>
        <w:numPr>
          <w:ilvl w:val="0"/>
          <w:numId w:val="33"/>
        </w:numPr>
      </w:pPr>
      <w:r>
        <w:t>与前任会计师事务所进行的沟通情况</w:t>
      </w:r>
    </w:p>
    <w:sdt>
      <w:sdtPr>
        <w:rPr>
          <w:rFonts w:hint="eastAsia"/>
        </w:rPr>
        <w:alias w:val="是否适用：与前任会计师事务所进行的沟通情况[双击切换]"/>
        <w:tag w:val="_GBC_eac5a093c5584c5699f0b1b4b2cc9124"/>
        <w:id w:val="137702088"/>
        <w:placeholder>
          <w:docPart w:val="GBC22222222222222222222222222222"/>
        </w:placeholder>
      </w:sdtPr>
      <w:sdtEndPr/>
      <w:sdtContent>
        <w:p w14:paraId="101E40A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A24FFB" w14:textId="77777777" w:rsidR="00E57DAA" w:rsidRDefault="00E57DAA" w:rsidP="00C25422">
      <w:pPr>
        <w:pStyle w:val="92"/>
      </w:pPr>
    </w:p>
    <w:p w14:paraId="34E334D0" w14:textId="77777777" w:rsidR="00E57DAA" w:rsidRDefault="00AC4185">
      <w:pPr>
        <w:pStyle w:val="3"/>
        <w:numPr>
          <w:ilvl w:val="0"/>
          <w:numId w:val="33"/>
        </w:numPr>
      </w:pPr>
      <w:r>
        <w:rPr>
          <w:rFonts w:hint="eastAsia"/>
        </w:rPr>
        <w:t>审批程序及</w:t>
      </w:r>
      <w:r>
        <w:t>其他说明</w:t>
      </w:r>
    </w:p>
    <w:sdt>
      <w:sdtPr>
        <w:rPr>
          <w:rFonts w:hint="eastAsia"/>
        </w:rPr>
        <w:alias w:val="是否适用：审批程序及其他说明[双击切换]"/>
        <w:tag w:val="_GBC_f59e5141b9f74a2badb652a198d25993"/>
        <w:id w:val="-2084826453"/>
        <w:placeholder>
          <w:docPart w:val="GBC22222222222222222222222222222"/>
        </w:placeholder>
      </w:sdtPr>
      <w:sdtEndPr/>
      <w:sdtContent>
        <w:p w14:paraId="0B6DE74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4F69B7" w14:textId="77777777" w:rsidR="00E57DAA" w:rsidRDefault="00E57DAA" w:rsidP="00C25422">
      <w:pPr>
        <w:pStyle w:val="92"/>
      </w:pPr>
    </w:p>
    <w:p w14:paraId="0B9744CF" w14:textId="77777777" w:rsidR="00E57DAA" w:rsidRDefault="00AC4185">
      <w:pPr>
        <w:pStyle w:val="2"/>
        <w:numPr>
          <w:ilvl w:val="0"/>
          <w:numId w:val="31"/>
        </w:numPr>
      </w:pPr>
      <w:r>
        <w:t>聘任、解聘会计师事务所情况</w:t>
      </w:r>
    </w:p>
    <w:p w14:paraId="45377CEF" w14:textId="77777777" w:rsidR="00E57DAA" w:rsidRDefault="00AC4185">
      <w:pPr>
        <w:jc w:val="right"/>
      </w:pPr>
      <w:r>
        <w:rPr>
          <w:rFonts w:hint="eastAsia"/>
        </w:rPr>
        <w:t>单位：</w:t>
      </w:r>
      <w:bookmarkStart w:id="106" w:name="_Hlk40535695"/>
      <w:sdt>
        <w:sdtPr>
          <w:rPr>
            <w:rFonts w:hint="eastAsia"/>
          </w:rPr>
          <w:alias w:val="单位：聘任、解聘会计师事务所情况"/>
          <w:tag w:val="_GBC_26e166c9302c4cd6aef51526fb663693"/>
          <w:id w:val="-20669462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15630922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ff6"/>
        <w:tblW w:w="0" w:type="auto"/>
        <w:tblLook w:val="04A0" w:firstRow="1" w:lastRow="0" w:firstColumn="1" w:lastColumn="0" w:noHBand="0" w:noVBand="1"/>
      </w:tblPr>
      <w:tblGrid>
        <w:gridCol w:w="4408"/>
        <w:gridCol w:w="4415"/>
      </w:tblGrid>
      <w:tr w:rsidR="00E57DAA" w14:paraId="77707F20" w14:textId="77777777">
        <w:tc>
          <w:tcPr>
            <w:tcW w:w="4408" w:type="dxa"/>
          </w:tcPr>
          <w:p w14:paraId="7CC0BE74" w14:textId="77777777" w:rsidR="00E57DAA" w:rsidRDefault="00E57DAA">
            <w:pPr>
              <w:rPr>
                <w:szCs w:val="21"/>
              </w:rPr>
            </w:pPr>
          </w:p>
        </w:tc>
        <w:sdt>
          <w:sdtPr>
            <w:tag w:val="_PLD_364aa8d2f946450c8e3aa85ae050a07e"/>
            <w:id w:val="-1590699422"/>
          </w:sdtPr>
          <w:sdtEndPr/>
          <w:sdtContent>
            <w:tc>
              <w:tcPr>
                <w:tcW w:w="4415" w:type="dxa"/>
              </w:tcPr>
              <w:p w14:paraId="09575BFC" w14:textId="77777777" w:rsidR="00E57DAA" w:rsidRDefault="00AC4185">
                <w:pPr>
                  <w:jc w:val="center"/>
                  <w:rPr>
                    <w:szCs w:val="21"/>
                  </w:rPr>
                </w:pPr>
                <w:r>
                  <w:rPr>
                    <w:rFonts w:hint="eastAsia"/>
                    <w:szCs w:val="21"/>
                  </w:rPr>
                  <w:t>现聘任</w:t>
                </w:r>
              </w:p>
            </w:tc>
          </w:sdtContent>
        </w:sdt>
      </w:tr>
      <w:tr w:rsidR="00E57DAA" w14:paraId="239F76CE" w14:textId="77777777">
        <w:tc>
          <w:tcPr>
            <w:tcW w:w="4408" w:type="dxa"/>
          </w:tcPr>
          <w:p w14:paraId="31C9F1C0" w14:textId="77777777" w:rsidR="00E57DAA" w:rsidRDefault="00AC4185" w:rsidP="00C25422">
            <w:pPr>
              <w:pStyle w:val="92"/>
            </w:pPr>
            <w:r>
              <w:rPr>
                <w:rFonts w:hint="eastAsia"/>
              </w:rPr>
              <w:t>境内会计师事务所名称</w:t>
            </w:r>
          </w:p>
        </w:tc>
        <w:tc>
          <w:tcPr>
            <w:tcW w:w="4415" w:type="dxa"/>
          </w:tcPr>
          <w:p w14:paraId="2B4C27CC" w14:textId="77777777" w:rsidR="00E57DAA" w:rsidRDefault="00AC4185" w:rsidP="00C25422">
            <w:pPr>
              <w:pStyle w:val="92"/>
            </w:pPr>
            <w:r>
              <w:rPr>
                <w:rFonts w:hint="eastAsia"/>
              </w:rPr>
              <w:t>大华会计师事务所（特殊普通合伙）</w:t>
            </w:r>
          </w:p>
        </w:tc>
      </w:tr>
      <w:tr w:rsidR="00E57DAA" w14:paraId="7D9F9F5B" w14:textId="77777777">
        <w:tc>
          <w:tcPr>
            <w:tcW w:w="4408" w:type="dxa"/>
          </w:tcPr>
          <w:p w14:paraId="379D916E" w14:textId="77777777" w:rsidR="00E57DAA" w:rsidRDefault="00AC4185" w:rsidP="00C25422">
            <w:pPr>
              <w:pStyle w:val="92"/>
            </w:pPr>
            <w:r>
              <w:rPr>
                <w:rFonts w:hint="eastAsia"/>
              </w:rPr>
              <w:t>境内会计师事务所报酬</w:t>
            </w:r>
          </w:p>
        </w:tc>
        <w:tc>
          <w:tcPr>
            <w:tcW w:w="4415" w:type="dxa"/>
          </w:tcPr>
          <w:p w14:paraId="32E10593" w14:textId="77777777" w:rsidR="00E57DAA" w:rsidRDefault="00AC4185">
            <w:pPr>
              <w:jc w:val="right"/>
            </w:pPr>
            <w:r>
              <w:rPr>
                <w:rFonts w:hint="eastAsia"/>
              </w:rPr>
              <w:t>2</w:t>
            </w:r>
            <w:r>
              <w:t>95</w:t>
            </w:r>
          </w:p>
        </w:tc>
      </w:tr>
      <w:tr w:rsidR="00E57DAA" w14:paraId="1F8CF388" w14:textId="77777777">
        <w:tc>
          <w:tcPr>
            <w:tcW w:w="4408" w:type="dxa"/>
          </w:tcPr>
          <w:p w14:paraId="6FB166C8" w14:textId="77777777" w:rsidR="00E57DAA" w:rsidRDefault="00AC4185" w:rsidP="00C25422">
            <w:pPr>
              <w:pStyle w:val="92"/>
            </w:pPr>
            <w:r>
              <w:rPr>
                <w:rFonts w:hint="eastAsia"/>
              </w:rPr>
              <w:t>境内会计师事务所审计年限</w:t>
            </w:r>
          </w:p>
        </w:tc>
        <w:tc>
          <w:tcPr>
            <w:tcW w:w="4415" w:type="dxa"/>
          </w:tcPr>
          <w:p w14:paraId="03C10943" w14:textId="77777777" w:rsidR="00E57DAA" w:rsidRDefault="00AC4185">
            <w:pPr>
              <w:jc w:val="right"/>
            </w:pPr>
            <w:r>
              <w:rPr>
                <w:rFonts w:hint="eastAsia"/>
              </w:rPr>
              <w:t>2</w:t>
            </w:r>
          </w:p>
        </w:tc>
      </w:tr>
      <w:tr w:rsidR="00E57DAA" w14:paraId="1B94A865" w14:textId="77777777">
        <w:tc>
          <w:tcPr>
            <w:tcW w:w="4408" w:type="dxa"/>
          </w:tcPr>
          <w:p w14:paraId="7D6777FA" w14:textId="77777777" w:rsidR="00E57DAA" w:rsidRDefault="00AC4185" w:rsidP="00C25422">
            <w:pPr>
              <w:pStyle w:val="92"/>
            </w:pPr>
            <w:r>
              <w:rPr>
                <w:rFonts w:hint="eastAsia"/>
              </w:rPr>
              <w:t>境内会计师事务所注册会计师姓名</w:t>
            </w:r>
          </w:p>
        </w:tc>
        <w:tc>
          <w:tcPr>
            <w:tcW w:w="4415" w:type="dxa"/>
          </w:tcPr>
          <w:p w14:paraId="0572AE48" w14:textId="77777777" w:rsidR="00E57DAA" w:rsidRDefault="00AC4185">
            <w:pPr>
              <w:jc w:val="right"/>
            </w:pPr>
            <w:r>
              <w:rPr>
                <w:rFonts w:hint="eastAsia"/>
              </w:rPr>
              <w:t>范鹏飞、谭志东</w:t>
            </w:r>
          </w:p>
        </w:tc>
      </w:tr>
      <w:tr w:rsidR="00E57DAA" w14:paraId="443A4F59" w14:textId="77777777">
        <w:tc>
          <w:tcPr>
            <w:tcW w:w="4408" w:type="dxa"/>
          </w:tcPr>
          <w:p w14:paraId="310CF2EC" w14:textId="77777777" w:rsidR="00E57DAA" w:rsidRDefault="00AC4185" w:rsidP="00C25422">
            <w:pPr>
              <w:pStyle w:val="92"/>
            </w:pPr>
            <w:r>
              <w:rPr>
                <w:rFonts w:hint="eastAsia"/>
              </w:rPr>
              <w:t>境内会计师事务所注册会计师审计服务的累计年限</w:t>
            </w:r>
          </w:p>
        </w:tc>
        <w:tc>
          <w:tcPr>
            <w:tcW w:w="4415" w:type="dxa"/>
          </w:tcPr>
          <w:p w14:paraId="58D02578" w14:textId="77777777" w:rsidR="00E57DAA" w:rsidRDefault="00AC4185">
            <w:pPr>
              <w:jc w:val="right"/>
            </w:pPr>
            <w:r>
              <w:rPr>
                <w:rFonts w:hint="eastAsia"/>
              </w:rPr>
              <w:t>2</w:t>
            </w:r>
          </w:p>
        </w:tc>
      </w:tr>
    </w:tbl>
    <w:p w14:paraId="0C02F29C" w14:textId="77777777" w:rsidR="00E57DAA" w:rsidRDefault="00E57DAA" w:rsidP="00C25422">
      <w:pPr>
        <w:pStyle w:val="92"/>
      </w:pPr>
    </w:p>
    <w:tbl>
      <w:tblPr>
        <w:tblStyle w:val="aff6"/>
        <w:tblW w:w="0" w:type="auto"/>
        <w:tblLook w:val="04A0" w:firstRow="1" w:lastRow="0" w:firstColumn="1" w:lastColumn="0" w:noHBand="0" w:noVBand="1"/>
      </w:tblPr>
      <w:tblGrid>
        <w:gridCol w:w="2938"/>
        <w:gridCol w:w="2945"/>
        <w:gridCol w:w="2940"/>
      </w:tblGrid>
      <w:tr w:rsidR="00E57DAA" w14:paraId="0903C7C9" w14:textId="77777777">
        <w:tc>
          <w:tcPr>
            <w:tcW w:w="2938" w:type="dxa"/>
          </w:tcPr>
          <w:p w14:paraId="68220603" w14:textId="77777777" w:rsidR="00E57DAA" w:rsidRDefault="00E57DAA" w:rsidP="00C25422">
            <w:pPr>
              <w:pStyle w:val="92"/>
            </w:pPr>
          </w:p>
        </w:tc>
        <w:sdt>
          <w:sdtPr>
            <w:tag w:val="_PLD_c9ec27d8a8454f91bb769203a75df4b3"/>
            <w:id w:val="1528303354"/>
          </w:sdtPr>
          <w:sdtEndPr/>
          <w:sdtContent>
            <w:tc>
              <w:tcPr>
                <w:tcW w:w="2945" w:type="dxa"/>
                <w:vAlign w:val="center"/>
              </w:tcPr>
              <w:p w14:paraId="7C4D9BE5" w14:textId="77777777" w:rsidR="00E57DAA" w:rsidRDefault="00AC4185">
                <w:pPr>
                  <w:jc w:val="center"/>
                </w:pPr>
                <w:r>
                  <w:rPr>
                    <w:rFonts w:hint="eastAsia"/>
                    <w:szCs w:val="21"/>
                  </w:rPr>
                  <w:t>名称</w:t>
                </w:r>
              </w:p>
            </w:tc>
          </w:sdtContent>
        </w:sdt>
        <w:sdt>
          <w:sdtPr>
            <w:tag w:val="_PLD_ae4e80c7f64046dcb42116bfa53b53af"/>
            <w:id w:val="-450159558"/>
          </w:sdtPr>
          <w:sdtEndPr/>
          <w:sdtContent>
            <w:tc>
              <w:tcPr>
                <w:tcW w:w="2940" w:type="dxa"/>
                <w:vAlign w:val="center"/>
              </w:tcPr>
              <w:p w14:paraId="4862953B" w14:textId="77777777" w:rsidR="00E57DAA" w:rsidRDefault="00AC4185">
                <w:pPr>
                  <w:jc w:val="center"/>
                </w:pPr>
                <w:r>
                  <w:rPr>
                    <w:rFonts w:hint="eastAsia"/>
                    <w:szCs w:val="21"/>
                  </w:rPr>
                  <w:t>报酬</w:t>
                </w:r>
              </w:p>
            </w:tc>
          </w:sdtContent>
        </w:sdt>
      </w:tr>
      <w:tr w:rsidR="00E57DAA" w14:paraId="61DA3C0E" w14:textId="77777777">
        <w:tc>
          <w:tcPr>
            <w:tcW w:w="2938" w:type="dxa"/>
          </w:tcPr>
          <w:p w14:paraId="71142B34" w14:textId="77777777" w:rsidR="00E57DAA" w:rsidRDefault="00AC4185" w:rsidP="00C25422">
            <w:pPr>
              <w:pStyle w:val="92"/>
            </w:pPr>
            <w:r>
              <w:rPr>
                <w:rFonts w:hint="eastAsia"/>
              </w:rPr>
              <w:t>内部控制审计会计师事务所</w:t>
            </w:r>
          </w:p>
        </w:tc>
        <w:tc>
          <w:tcPr>
            <w:tcW w:w="2945" w:type="dxa"/>
          </w:tcPr>
          <w:p w14:paraId="2DCA6B25" w14:textId="77777777" w:rsidR="00E57DAA" w:rsidRDefault="00AC4185" w:rsidP="00C25422">
            <w:pPr>
              <w:pStyle w:val="92"/>
            </w:pPr>
            <w:r>
              <w:rPr>
                <w:rFonts w:hint="eastAsia"/>
              </w:rPr>
              <w:t>大华会计师事务所（特殊普通合伙）</w:t>
            </w:r>
          </w:p>
        </w:tc>
        <w:tc>
          <w:tcPr>
            <w:tcW w:w="2940" w:type="dxa"/>
          </w:tcPr>
          <w:p w14:paraId="497D2AA8" w14:textId="77777777" w:rsidR="00E57DAA" w:rsidRDefault="00AC4185">
            <w:pPr>
              <w:jc w:val="right"/>
            </w:pPr>
            <w:r>
              <w:rPr>
                <w:rFonts w:hint="eastAsia"/>
              </w:rPr>
              <w:t>7</w:t>
            </w:r>
            <w:r>
              <w:t>5</w:t>
            </w:r>
          </w:p>
        </w:tc>
      </w:tr>
      <w:tr w:rsidR="00E57DAA" w14:paraId="5CCBA9A8" w14:textId="77777777">
        <w:tc>
          <w:tcPr>
            <w:tcW w:w="2938" w:type="dxa"/>
          </w:tcPr>
          <w:p w14:paraId="0C3EDACD" w14:textId="77777777" w:rsidR="00E57DAA" w:rsidRDefault="00AC4185" w:rsidP="00C25422">
            <w:pPr>
              <w:pStyle w:val="92"/>
            </w:pPr>
            <w:r>
              <w:rPr>
                <w:rFonts w:hint="eastAsia"/>
              </w:rPr>
              <w:t>财务顾问</w:t>
            </w:r>
          </w:p>
        </w:tc>
        <w:tc>
          <w:tcPr>
            <w:tcW w:w="2945" w:type="dxa"/>
          </w:tcPr>
          <w:p w14:paraId="625CABA9" w14:textId="77777777" w:rsidR="00E57DAA" w:rsidRDefault="00AC4185" w:rsidP="00C25422">
            <w:pPr>
              <w:pStyle w:val="92"/>
            </w:pPr>
            <w:r>
              <w:rPr>
                <w:rFonts w:hint="eastAsia"/>
              </w:rPr>
              <w:t>华泰联合证券有限责任公司</w:t>
            </w:r>
          </w:p>
        </w:tc>
        <w:tc>
          <w:tcPr>
            <w:tcW w:w="2940" w:type="dxa"/>
          </w:tcPr>
          <w:p w14:paraId="18324D49" w14:textId="77777777" w:rsidR="00E57DAA" w:rsidRDefault="00AC4185">
            <w:pPr>
              <w:jc w:val="right"/>
            </w:pPr>
            <w:r>
              <w:t>650</w:t>
            </w:r>
          </w:p>
        </w:tc>
      </w:tr>
      <w:bookmarkEnd w:id="106"/>
    </w:tbl>
    <w:p w14:paraId="0C387E75" w14:textId="77777777" w:rsidR="00E57DAA" w:rsidRDefault="00E57DAA" w:rsidP="00C25422">
      <w:pPr>
        <w:pStyle w:val="92"/>
      </w:pPr>
    </w:p>
    <w:p w14:paraId="6E57FB9C" w14:textId="77777777" w:rsidR="00E57DAA" w:rsidRDefault="00AC4185" w:rsidP="00C25422">
      <w:pPr>
        <w:pStyle w:val="92"/>
      </w:pPr>
      <w:r>
        <w:t>聘任、解聘会计师事务所的情况说明</w:t>
      </w:r>
    </w:p>
    <w:sdt>
      <w:sdtPr>
        <w:alias w:val="是否适用：聘任、解聘会计师事务所情况[双击切换]"/>
        <w:tag w:val="_GBC_376f0811302240c0a118add2061458b6"/>
        <w:id w:val="732051157"/>
        <w:placeholder>
          <w:docPart w:val="GBC22222222222222222222222222222"/>
        </w:placeholder>
      </w:sdtPr>
      <w:sdtEndPr/>
      <w:sdtContent>
        <w:p w14:paraId="405C76D9"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867681295"/>
        <w:placeholder>
          <w:docPart w:val="4538580E5F044C2099EADDB45C07CEB8"/>
        </w:placeholder>
      </w:sdtPr>
      <w:sdtEndPr>
        <w:rPr>
          <w:szCs w:val="24"/>
        </w:rPr>
      </w:sdtEndPr>
      <w:sdtContent>
        <w:p w14:paraId="36484151" w14:textId="77777777" w:rsidR="00E57DAA" w:rsidRDefault="00AC4185">
          <w:pPr>
            <w:ind w:firstLineChars="200" w:firstLine="420"/>
          </w:pPr>
          <w:r>
            <w:rPr>
              <w:rFonts w:hint="eastAsia"/>
            </w:rPr>
            <w:t>根据公司2023年第四次临时股东大会审议决议，公司聘任大华会计师事务所（特殊普通合伙）为公司2023年度财务报告审计机构及内部控制审计机构。</w:t>
          </w:r>
        </w:p>
      </w:sdtContent>
    </w:sdt>
    <w:p w14:paraId="0CFE9C24" w14:textId="77777777" w:rsidR="00E57DAA" w:rsidRDefault="00E57DAA">
      <w:pPr>
        <w:rPr>
          <w:szCs w:val="21"/>
        </w:rPr>
      </w:pPr>
    </w:p>
    <w:p w14:paraId="1EB8D125" w14:textId="77777777" w:rsidR="00E57DAA" w:rsidRDefault="00AC4185" w:rsidP="00C25422">
      <w:pPr>
        <w:pStyle w:val="92"/>
      </w:pPr>
      <w:r>
        <w:t>审计期间改聘会计师事务所的情况说明</w:t>
      </w:r>
    </w:p>
    <w:sdt>
      <w:sdtPr>
        <w:rPr>
          <w:rFonts w:hint="eastAsia"/>
        </w:rPr>
        <w:alias w:val="是否适用：审计期间改聘会计师事务所的情况说明[双击切换]"/>
        <w:tag w:val="_GBC_34c57619e2904c83a8840614e4e5d5d0"/>
        <w:id w:val="-570041092"/>
        <w:placeholder>
          <w:docPart w:val="GBC22222222222222222222222222222"/>
        </w:placeholder>
      </w:sdtPr>
      <w:sdtEndPr/>
      <w:sdtContent>
        <w:p w14:paraId="333C378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2B3400" w14:textId="77777777" w:rsidR="00E57DAA" w:rsidRDefault="00E57DAA" w:rsidP="00C25422">
      <w:pPr>
        <w:pStyle w:val="92"/>
      </w:pPr>
    </w:p>
    <w:p w14:paraId="1C76A471" w14:textId="77777777" w:rsidR="00E57DAA" w:rsidRDefault="00AC4185" w:rsidP="00C25422">
      <w:pPr>
        <w:pStyle w:val="92"/>
      </w:pPr>
      <w:r>
        <w:rPr>
          <w:rFonts w:hint="eastAsia"/>
        </w:rPr>
        <w:t>审计费用较上一年度下降20%以上（含20%）的情况说明</w:t>
      </w:r>
    </w:p>
    <w:sdt>
      <w:sdtPr>
        <w:rPr>
          <w:rFonts w:hint="eastAsia"/>
        </w:rPr>
        <w:alias w:val="是否适用：审计费用较上一年度下降20%以上（含20%）的情况说明[双击切换]"/>
        <w:tag w:val="_GBC_1b0fa24aa1d645e2aa2ab2a0fe7c67ab"/>
        <w:id w:val="507185079"/>
        <w:placeholder>
          <w:docPart w:val="GBC22222222222222222222222222222"/>
        </w:placeholder>
      </w:sdtPr>
      <w:sdtEndPr/>
      <w:sdtContent>
        <w:p w14:paraId="0E8F3E9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621CC0" w14:textId="77777777" w:rsidR="00E57DAA" w:rsidRDefault="00E57DAA" w:rsidP="00C25422">
      <w:pPr>
        <w:pStyle w:val="92"/>
      </w:pPr>
    </w:p>
    <w:p w14:paraId="56F5B40F" w14:textId="77777777" w:rsidR="00E57DAA" w:rsidRDefault="00AC4185">
      <w:pPr>
        <w:pStyle w:val="2"/>
        <w:numPr>
          <w:ilvl w:val="0"/>
          <w:numId w:val="31"/>
        </w:numPr>
      </w:pPr>
      <w:r>
        <w:t>面临</w:t>
      </w:r>
      <w:r>
        <w:rPr>
          <w:rFonts w:hint="eastAsia"/>
        </w:rPr>
        <w:t>退</w:t>
      </w:r>
      <w:r>
        <w:t>市风险的情况</w:t>
      </w:r>
    </w:p>
    <w:p w14:paraId="2B099A23" w14:textId="77777777" w:rsidR="00E57DAA" w:rsidRDefault="00AC4185">
      <w:pPr>
        <w:pStyle w:val="3"/>
        <w:numPr>
          <w:ilvl w:val="0"/>
          <w:numId w:val="34"/>
        </w:numPr>
      </w:pPr>
      <w:r>
        <w:rPr>
          <w:rFonts w:hint="eastAsia"/>
        </w:rPr>
        <w:t>导</w:t>
      </w:r>
      <w:r>
        <w:t>致</w:t>
      </w:r>
      <w:r>
        <w:rPr>
          <w:rFonts w:hint="eastAsia"/>
        </w:rPr>
        <w:t>退市风险警示</w:t>
      </w:r>
      <w:r>
        <w:t>的原因</w:t>
      </w:r>
    </w:p>
    <w:sdt>
      <w:sdtPr>
        <w:rPr>
          <w:rFonts w:hint="eastAsia"/>
          <w:szCs w:val="21"/>
        </w:rPr>
        <w:alias w:val="是否适用：导致暂停上市的原因[双击切换]"/>
        <w:tag w:val="_GBC_5be6e6fabf4849c7b63c5d08ac7706e1"/>
        <w:id w:val="942570668"/>
        <w:placeholder>
          <w:docPart w:val="GBC22222222222222222222222222222"/>
        </w:placeholder>
      </w:sdtPr>
      <w:sdtEndPr/>
      <w:sdtContent>
        <w:p w14:paraId="2A6AFFC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5E2CDE1" w14:textId="77777777" w:rsidR="00E57DAA" w:rsidRDefault="00E57DAA">
      <w:pPr>
        <w:rPr>
          <w:szCs w:val="21"/>
        </w:rPr>
      </w:pPr>
    </w:p>
    <w:p w14:paraId="49011C1C" w14:textId="77777777" w:rsidR="00E57DAA" w:rsidRDefault="00AC4185">
      <w:pPr>
        <w:pStyle w:val="3"/>
        <w:numPr>
          <w:ilvl w:val="0"/>
          <w:numId w:val="34"/>
        </w:numPr>
      </w:pPr>
      <w:r>
        <w:rPr>
          <w:rFonts w:hint="eastAsia"/>
        </w:rPr>
        <w:t>公司拟采取的应对措施</w:t>
      </w:r>
    </w:p>
    <w:sdt>
      <w:sdtPr>
        <w:rPr>
          <w:szCs w:val="21"/>
        </w:rPr>
        <w:alias w:val="是否适用：公司拟采取的措施[双击切换]"/>
        <w:tag w:val="_GBC_8656f473b4d943fe8fa1477037f607c5"/>
        <w:id w:val="1049417967"/>
        <w:placeholder>
          <w:docPart w:val="GBC22222222222222222222222222222"/>
        </w:placeholder>
      </w:sdtPr>
      <w:sdtEndPr/>
      <w:sdtContent>
        <w:p w14:paraId="4AA0432D"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3DE97F" w14:textId="77777777" w:rsidR="00E57DAA" w:rsidRDefault="00E57DAA">
      <w:pPr>
        <w:rPr>
          <w:szCs w:val="21"/>
        </w:rPr>
      </w:pPr>
    </w:p>
    <w:p w14:paraId="3F335FF0" w14:textId="77777777" w:rsidR="00E57DAA" w:rsidRDefault="00AC4185">
      <w:pPr>
        <w:pStyle w:val="3"/>
        <w:numPr>
          <w:ilvl w:val="0"/>
          <w:numId w:val="34"/>
        </w:numPr>
      </w:pPr>
      <w:r>
        <w:rPr>
          <w:rFonts w:hint="eastAsia"/>
        </w:rPr>
        <w:t>面临终止上市的情况和原因</w:t>
      </w:r>
    </w:p>
    <w:bookmarkStart w:id="107" w:name="_Hlk89346186" w:displacedByCustomXml="next"/>
    <w:sdt>
      <w:sdtPr>
        <w:rPr>
          <w:rFonts w:hint="eastAsia"/>
          <w:szCs w:val="21"/>
        </w:rPr>
        <w:alias w:val="是否适用：面临终止上市的情况和原因 [双击切换]"/>
        <w:tag w:val="_GBC_36002fff87954035b149cfd20b1790d5"/>
        <w:id w:val="-1169397746"/>
        <w:placeholder>
          <w:docPart w:val="GBC22222222222222222222222222222"/>
        </w:placeholder>
      </w:sdtPr>
      <w:sdtEndPr/>
      <w:sdtContent>
        <w:p w14:paraId="30F459E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07"/>
    <w:p w14:paraId="2928A398" w14:textId="77777777" w:rsidR="00E57DAA" w:rsidRDefault="00E57DAA">
      <w:pPr>
        <w:rPr>
          <w:szCs w:val="21"/>
        </w:rPr>
      </w:pPr>
    </w:p>
    <w:p w14:paraId="1718C10F" w14:textId="77777777" w:rsidR="00E57DAA" w:rsidRDefault="00AC4185">
      <w:pPr>
        <w:pStyle w:val="2"/>
        <w:numPr>
          <w:ilvl w:val="0"/>
          <w:numId w:val="31"/>
        </w:numPr>
      </w:pPr>
      <w:r>
        <w:t>破产重整相关事项</w:t>
      </w:r>
    </w:p>
    <w:sdt>
      <w:sdtPr>
        <w:alias w:val="是否适用：破产重整相关事项[双击切换]"/>
        <w:tag w:val="_GBC_5840a694c2a04f98893394e6da3bc9cc"/>
        <w:id w:val="1263720938"/>
        <w:placeholder>
          <w:docPart w:val="GBC22222222222222222222222222222"/>
        </w:placeholder>
      </w:sdtPr>
      <w:sdtEndPr/>
      <w:sdtContent>
        <w:p w14:paraId="2BB310D3"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994739" w14:textId="77777777" w:rsidR="00E57DAA" w:rsidRDefault="00E57DAA" w:rsidP="00C25422">
      <w:pPr>
        <w:pStyle w:val="92"/>
      </w:pPr>
    </w:p>
    <w:p w14:paraId="064DFDA6" w14:textId="77777777" w:rsidR="00E57DAA" w:rsidRDefault="00AC4185">
      <w:pPr>
        <w:pStyle w:val="2"/>
        <w:numPr>
          <w:ilvl w:val="0"/>
          <w:numId w:val="31"/>
        </w:numPr>
      </w:pPr>
      <w:r>
        <w:t>重大诉讼、仲裁事项</w:t>
      </w:r>
    </w:p>
    <w:sdt>
      <w:sdtPr>
        <w:alias w:val="本年度公司有无重大诉讼、仲裁事项"/>
        <w:tag w:val="_GBC_b7d97a978491465ca563fa610688ebef"/>
        <w:id w:val="1196503502"/>
        <w:placeholder>
          <w:docPart w:val="GBC22222222222222222222222222222"/>
        </w:placeholder>
      </w:sdtPr>
      <w:sdtEndPr/>
      <w:sdtContent>
        <w:p w14:paraId="790875A9" w14:textId="77777777" w:rsidR="00E57DAA" w:rsidRDefault="00AC4185">
          <w:pPr>
            <w:rPr>
              <w:szCs w:val="21"/>
            </w:rPr>
          </w:pPr>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p w14:paraId="5496C29D" w14:textId="77777777" w:rsidR="00E57DAA" w:rsidRDefault="00E57DAA">
      <w:pPr>
        <w:rPr>
          <w:szCs w:val="21"/>
        </w:rPr>
      </w:pPr>
    </w:p>
    <w:p w14:paraId="36B4E25E" w14:textId="77777777" w:rsidR="00E57DAA" w:rsidRDefault="00E57DAA">
      <w:pPr>
        <w:rPr>
          <w:szCs w:val="21"/>
        </w:rPr>
      </w:pPr>
    </w:p>
    <w:p w14:paraId="545D081D" w14:textId="77777777" w:rsidR="00E57DAA" w:rsidRDefault="00AC4185">
      <w:pPr>
        <w:pStyle w:val="2"/>
        <w:numPr>
          <w:ilvl w:val="0"/>
          <w:numId w:val="31"/>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231974017"/>
        <w:placeholder>
          <w:docPart w:val="GBC22222222222222222222222222222"/>
        </w:placeholder>
      </w:sdtPr>
      <w:sdtEndPr/>
      <w:sdtContent>
        <w:p w14:paraId="100D23D2"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23D640" w14:textId="77777777" w:rsidR="00E57DAA" w:rsidRDefault="00E57DAA" w:rsidP="00C25422">
      <w:pPr>
        <w:pStyle w:val="92"/>
      </w:pPr>
    </w:p>
    <w:p w14:paraId="70DF4078" w14:textId="77777777" w:rsidR="00E57DAA" w:rsidRDefault="00AC4185">
      <w:pPr>
        <w:pStyle w:val="2"/>
        <w:numPr>
          <w:ilvl w:val="0"/>
          <w:numId w:val="31"/>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095362917"/>
        <w:placeholder>
          <w:docPart w:val="GBC22222222222222222222222222222"/>
        </w:placeholder>
      </w:sdtPr>
      <w:sdtEndPr/>
      <w:sdtContent>
        <w:p w14:paraId="3FB9390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045025033"/>
        <w:placeholder>
          <w:docPart w:val="GBC22222222222222222222222222222"/>
        </w:placeholder>
      </w:sdtPr>
      <w:sdtEndPr/>
      <w:sdtContent>
        <w:p w14:paraId="3FCD77B7" w14:textId="77777777" w:rsidR="00E57DAA" w:rsidRDefault="00AC4185">
          <w:pPr>
            <w:ind w:firstLineChars="200" w:firstLine="420"/>
            <w:rPr>
              <w:szCs w:val="21"/>
            </w:rPr>
          </w:pPr>
          <w:r>
            <w:rPr>
              <w:rFonts w:hint="eastAsia"/>
              <w:szCs w:val="21"/>
            </w:rPr>
            <w:t>公司控股股东、实际控制人不存在未履行法院生效法律文书确定的义务、所负数额较大的债务到期未清偿等情况。</w:t>
          </w:r>
        </w:p>
      </w:sdtContent>
    </w:sdt>
    <w:p w14:paraId="48768DD5" w14:textId="77777777" w:rsidR="00E57DAA" w:rsidRDefault="00E57DAA">
      <w:pPr>
        <w:rPr>
          <w:szCs w:val="21"/>
        </w:rPr>
      </w:pPr>
    </w:p>
    <w:p w14:paraId="072C02DE" w14:textId="77777777" w:rsidR="00E57DAA" w:rsidRDefault="00AC4185">
      <w:pPr>
        <w:pStyle w:val="2"/>
        <w:numPr>
          <w:ilvl w:val="0"/>
          <w:numId w:val="31"/>
        </w:numPr>
      </w:pPr>
      <w:r>
        <w:rPr>
          <w:rFonts w:hint="eastAsia"/>
        </w:rPr>
        <w:t>重大关联交易</w:t>
      </w:r>
    </w:p>
    <w:p w14:paraId="3E76B3FF" w14:textId="77777777" w:rsidR="00E57DAA" w:rsidRDefault="00AC4185">
      <w:pPr>
        <w:pStyle w:val="3"/>
        <w:numPr>
          <w:ilvl w:val="2"/>
          <w:numId w:val="6"/>
        </w:numPr>
      </w:pPr>
      <w:bookmarkStart w:id="108" w:name="_Toc342565953"/>
      <w:bookmarkStart w:id="109" w:name="_Toc342491961"/>
      <w:r>
        <w:rPr>
          <w:rFonts w:hint="eastAsia"/>
        </w:rPr>
        <w:t>与日常经营相关的关联交易</w:t>
      </w:r>
      <w:bookmarkEnd w:id="108"/>
      <w:bookmarkEnd w:id="109"/>
    </w:p>
    <w:p w14:paraId="6AE42410" w14:textId="77777777" w:rsidR="00E57DAA" w:rsidRDefault="00AC4185">
      <w:pPr>
        <w:pStyle w:val="4"/>
        <w:numPr>
          <w:ilvl w:val="2"/>
          <w:numId w:val="35"/>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1142799845"/>
        <w:placeholder>
          <w:docPart w:val="GBC22222222222222222222222222222"/>
        </w:placeholder>
      </w:sdtPr>
      <w:sdtEndPr/>
      <w:sdtContent>
        <w:p w14:paraId="4D485F44"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7B8B71" w14:textId="77777777" w:rsidR="00E57DAA" w:rsidRDefault="00E57DAA" w:rsidP="00C25422">
      <w:pPr>
        <w:pStyle w:val="92"/>
      </w:pPr>
    </w:p>
    <w:p w14:paraId="5AA162CA" w14:textId="77777777" w:rsidR="00E57DAA" w:rsidRDefault="00AC4185">
      <w:pPr>
        <w:pStyle w:val="4"/>
        <w:numPr>
          <w:ilvl w:val="2"/>
          <w:numId w:val="35"/>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447809387"/>
        <w:placeholder>
          <w:docPart w:val="GBC22222222222222222222222222222"/>
        </w:placeholder>
      </w:sdtPr>
      <w:sdtEndPr/>
      <w:sdtContent>
        <w:p w14:paraId="7C57B938"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与日常经营相关的关联交易事项已在临时报告披露，后续实施的进展或变化"/>
        <w:tag w:val="_GBC_5fbfc287aede44a486960ae219233887"/>
        <w:id w:val="1484579300"/>
        <w:placeholder>
          <w:docPart w:val="GBC22222222222222222222222222222"/>
        </w:placeholder>
      </w:sdtPr>
      <w:sdtEndPr/>
      <w:sdtContent>
        <w:p w14:paraId="4C699161" w14:textId="77777777" w:rsidR="00E57DAA" w:rsidRDefault="00AC4185">
          <w:pPr>
            <w:ind w:firstLineChars="200" w:firstLine="420"/>
            <w:jc w:val="both"/>
            <w:rPr>
              <w:szCs w:val="21"/>
            </w:rPr>
          </w:pPr>
          <w:r>
            <w:rPr>
              <w:szCs w:val="21"/>
            </w:rPr>
            <w:t>2022年12月14日，公司发布《关于2023年度日常关联交易预计的公告》（临2022-105），2022年12月29日，公司2022年第八次临时股东大会批准公司2023年度日常关联交易合同总额度为1,607,600.00万元。其中，向关联方销售商品、提供劳务和工程总承包服务1,480,700.00万元，从关联方采购商品、接受关联方劳务125,500.00万元，房屋租赁和综合服务等1,400.00万元。</w:t>
          </w:r>
        </w:p>
        <w:p w14:paraId="08FB0FC8" w14:textId="77777777" w:rsidR="00E57DAA" w:rsidRDefault="00AC4185">
          <w:pPr>
            <w:ind w:firstLineChars="200" w:firstLine="420"/>
            <w:jc w:val="both"/>
            <w:rPr>
              <w:szCs w:val="21"/>
            </w:rPr>
          </w:pPr>
          <w:r>
            <w:rPr>
              <w:szCs w:val="21"/>
            </w:rPr>
            <w:t>报告期，公司签署关联交易合同总额约1,103,530.68万元，其中，向关联方提供商品、劳务约1,062,208.98万元，向关联方采购商品、劳务约40,178.03万元，土地、房产租赁和物业等综合服务互供交易金额约1,333.33万元。</w:t>
          </w:r>
          <w:r>
            <w:rPr>
              <w:rFonts w:hint="eastAsia"/>
              <w:szCs w:val="21"/>
            </w:rPr>
            <w:t>关联交易年度预计与实际执行的差异约50亿元，主要是受行业景气度影响，关联企业投资有所放缓。</w:t>
          </w:r>
        </w:p>
      </w:sdtContent>
    </w:sdt>
    <w:p w14:paraId="22992175" w14:textId="77777777" w:rsidR="00E57DAA" w:rsidRDefault="00E57DAA">
      <w:pPr>
        <w:rPr>
          <w:szCs w:val="21"/>
        </w:rPr>
      </w:pPr>
    </w:p>
    <w:p w14:paraId="67A54903" w14:textId="77777777" w:rsidR="00E57DAA" w:rsidRDefault="00AC4185">
      <w:pPr>
        <w:pStyle w:val="4"/>
        <w:numPr>
          <w:ilvl w:val="2"/>
          <w:numId w:val="35"/>
        </w:numPr>
      </w:pPr>
      <w:r>
        <w:rPr>
          <w:rFonts w:hint="eastAsia"/>
        </w:rPr>
        <w:t>临时公告未披露的事项</w:t>
      </w:r>
    </w:p>
    <w:sdt>
      <w:sdtPr>
        <w:alias w:val="是否适用：与日常经营相关的关联交易_临时公告未披露的事项[双击切换]"/>
        <w:tag w:val="_GBC_3f1135e0d6d440e6a4af283441bd65d2"/>
        <w:id w:val="1387609425"/>
        <w:placeholder>
          <w:docPart w:val="GBC22222222222222222222222222222"/>
        </w:placeholder>
      </w:sdtPr>
      <w:sdtEndPr/>
      <w:sdtContent>
        <w:p w14:paraId="4AEEEB2E"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C11D8D" w14:textId="77777777" w:rsidR="00E57DAA" w:rsidRDefault="00E57DAA" w:rsidP="00C25422">
      <w:pPr>
        <w:pStyle w:val="92"/>
      </w:pPr>
    </w:p>
    <w:p w14:paraId="6D977BE4" w14:textId="77777777" w:rsidR="00E57DAA" w:rsidRDefault="00AC4185">
      <w:pPr>
        <w:pStyle w:val="3"/>
        <w:numPr>
          <w:ilvl w:val="2"/>
          <w:numId w:val="6"/>
        </w:numPr>
        <w:rPr>
          <w:rFonts w:ascii="宋体" w:hAnsi="宋体"/>
        </w:rPr>
      </w:pPr>
      <w:r>
        <w:t>资产</w:t>
      </w:r>
      <w:r>
        <w:rPr>
          <w:rFonts w:hint="eastAsia"/>
        </w:rPr>
        <w:t>或股权</w:t>
      </w:r>
      <w:r>
        <w:t>收购、出售发生的关联交易</w:t>
      </w:r>
    </w:p>
    <w:p w14:paraId="6778D994" w14:textId="77777777" w:rsidR="00E57DAA" w:rsidRDefault="00AC4185">
      <w:pPr>
        <w:pStyle w:val="4"/>
        <w:numPr>
          <w:ilvl w:val="0"/>
          <w:numId w:val="36"/>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636937185"/>
        <w:placeholder>
          <w:docPart w:val="GBC22222222222222222222222222222"/>
        </w:placeholder>
      </w:sdtPr>
      <w:sdtEndPr/>
      <w:sdtContent>
        <w:p w14:paraId="223FF76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5000" w:type="pct"/>
        <w:tblLook w:val="04A0" w:firstRow="1" w:lastRow="0" w:firstColumn="1" w:lastColumn="0" w:noHBand="0" w:noVBand="1"/>
      </w:tblPr>
      <w:tblGrid>
        <w:gridCol w:w="3256"/>
        <w:gridCol w:w="5567"/>
      </w:tblGrid>
      <w:tr w:rsidR="00E57DAA" w14:paraId="1A3ECB38" w14:textId="77777777">
        <w:sdt>
          <w:sdtPr>
            <w:tag w:val="_PLD_1188ee45227d45f381d6f25e86478458"/>
            <w:id w:val="-826276001"/>
          </w:sdtPr>
          <w:sdtEndPr/>
          <w:sdtContent>
            <w:tc>
              <w:tcPr>
                <w:tcW w:w="1845" w:type="pct"/>
                <w:vAlign w:val="center"/>
              </w:tcPr>
              <w:p w14:paraId="0B0409AF" w14:textId="77777777" w:rsidR="00E57DAA" w:rsidRDefault="00AC4185">
                <w:pPr>
                  <w:jc w:val="center"/>
                </w:pPr>
                <w:r>
                  <w:t>事项概述</w:t>
                </w:r>
              </w:p>
            </w:tc>
          </w:sdtContent>
        </w:sdt>
        <w:sdt>
          <w:sdtPr>
            <w:tag w:val="_PLD_0c44a61d6566427086931bb8189dad89"/>
            <w:id w:val="376666453"/>
          </w:sdtPr>
          <w:sdtEndPr/>
          <w:sdtContent>
            <w:tc>
              <w:tcPr>
                <w:tcW w:w="3155" w:type="pct"/>
                <w:vAlign w:val="center"/>
              </w:tcPr>
              <w:p w14:paraId="34F4466E" w14:textId="77777777" w:rsidR="00E57DAA" w:rsidRDefault="00AC4185">
                <w:pPr>
                  <w:jc w:val="center"/>
                </w:pPr>
                <w:r>
                  <w:t>查询索引</w:t>
                </w:r>
              </w:p>
            </w:tc>
          </w:sdtContent>
        </w:sdt>
      </w:tr>
      <w:tr w:rsidR="00E57DAA" w14:paraId="26D93AAE" w14:textId="77777777">
        <w:tc>
          <w:tcPr>
            <w:tcW w:w="1845" w:type="pct"/>
          </w:tcPr>
          <w:p w14:paraId="7606F457" w14:textId="77777777" w:rsidR="00E57DAA" w:rsidRDefault="00AC4185" w:rsidP="00C25422">
            <w:pPr>
              <w:pStyle w:val="92"/>
            </w:pPr>
            <w:r>
              <w:rPr>
                <w:rFonts w:hint="eastAsia"/>
              </w:rPr>
              <w:t>公司因筹划发行股份及支付现金购买中国建材总院持有的合肥院</w:t>
            </w:r>
            <w:r>
              <w:t>100%</w:t>
            </w:r>
            <w:r>
              <w:lastRenderedPageBreak/>
              <w:t>股权并募集配套资金事宜，经向上交所申请，公司股票于2022年8月15日开市起停牌。2022年8月26日，公司召开第七届董事会第十八次会议（临时）及第七届监事会第十八次会议，审议通过了《关于&lt;中国中材国际工程股份有限公司发行股份及支付现金购买资产并募集配套资金暨关联交易报告书（草案）&gt;及其摘要的议案》等议案。根据相关规定，经向上交所申请，公司股票于2022年8月29日开市起复牌。2022年9月8日，公司收到上交所《关于对中国中材国际工程股份有限公</w:t>
            </w:r>
            <w:r>
              <w:rPr>
                <w:rFonts w:hint="eastAsia"/>
              </w:rPr>
              <w:t>司发行股份及支付现金购买资产并募集配套资金暨关联交易草案的监管问询函》，公司于</w:t>
            </w:r>
            <w:r>
              <w:t>2022年9月24日披露了有关回复公告。2022年10月21日，公司召开第七届董事会第二十次会议（临时）及第七届监事会第十九次会议，审议通过了《关于公司本次重组有关审计报告、审阅报告及评估报告的议案》等议案。2022年11月7日，公司召开2022年第七次临时股东大会，审议通过了《关于公司发行股份及支付现金购买资产并募集配套资金暨关联交易方案的议案》等议案。2022年11月15日，公司收到中国证监会出具的《中国证监会行政许可申请受理</w:t>
            </w:r>
            <w:r>
              <w:rPr>
                <w:rFonts w:hint="eastAsia"/>
              </w:rPr>
              <w:t>单》。公司收到中国证监会反馈意见后，会同各中介机构对反馈问题认真研究、逐项落实并组织核查、回复，并于</w:t>
            </w:r>
            <w:r>
              <w:t>2022年12月16日召开第七届董事会第二十四次会议（临时）及第七届监事会第二十三次会议，审议通过了《关于取消本次重组募集配套资金的议案》等议案。2023年1月12日，中国证监会上市公司并购重组审核委员会（以下简称“并购重组委”）审核公司发行股份及支付现金购买资产暨关联交易事项，根据会议审核结果，公司本次重组事项获得有条件通过。公司及相关中介按照并购重组委的审核意见及相关要求进行了回复，并对《中国中材国际工程</w:t>
            </w:r>
            <w:r>
              <w:rPr>
                <w:rFonts w:hint="eastAsia"/>
              </w:rPr>
              <w:t>股份有限公司发行股份及支付现金购买资产暨关联交易报告书（草案）》进行了相应补充和修订。</w:t>
            </w:r>
            <w:r>
              <w:t>2023年2月10日，公司收到《关于核准中国中材国际工程股份有限公司向中国建筑材料</w:t>
            </w:r>
            <w:r>
              <w:lastRenderedPageBreak/>
              <w:t>科学研究总院有限公司发行股份购买资产申请的批复》。2023年2月13日，合肥院100%股权已变更登记至公司名下，合肥院100%股权的过户事宜已完成。2023年2月28日，公司办理完毕本次发行股份及支付现金购买资产涉及的新增股份登记手续。2023年3月21日，大华会计师事务所（特殊普通合伙）出具《关于合肥水泥研究设计院有限公司资产重组过渡期损益</w:t>
            </w:r>
            <w:r>
              <w:rPr>
                <w:rFonts w:hint="eastAsia"/>
              </w:rPr>
              <w:t>情况的专项审计报告》。</w:t>
            </w:r>
          </w:p>
        </w:tc>
        <w:tc>
          <w:tcPr>
            <w:tcW w:w="3155" w:type="pct"/>
          </w:tcPr>
          <w:p w14:paraId="03D89503" w14:textId="77777777" w:rsidR="00E57DAA" w:rsidRDefault="00AC4185" w:rsidP="00C25422">
            <w:pPr>
              <w:pStyle w:val="92"/>
            </w:pPr>
            <w:r>
              <w:lastRenderedPageBreak/>
              <w:t>详见公司于2022年8月13日、2022年8月20日、2022年8月27日、2022年9月9日、2022年9月24日、2022年9月</w:t>
            </w:r>
            <w:r>
              <w:lastRenderedPageBreak/>
              <w:t>27日、2022年10月11日、2022年10月22日、2022年10月29日、2022年11月8日、2022年11月16日、2022年12月7日、2022年12月20日、2023年1月6日、2023年1月7日、2023年1月12日、2023年1月13日、2023年1月17日、2023年1月20日、2023年2月11日、2023年2月15日、2023年3月2日、2023年3月23日披露的《关于筹划发行股份及支付现金购买资产并募集配套资金暨关联交易事项的停牌公告》（临2022-059）、《关于筹划发行股份及支付现金购买资产并募集配套资金暨关联交易事项的停牌进展公告》（临2022-060）、《第七届董事会第十八次会议（临时）决议公告》（临2022-066）、《关于披露发行股份及支付现金购买资产并募集配套资金暨关联交易报告书（草案）的一般风险提示暨公司股票复牌的公告》（临2022-067）、《第七届监事会第十八次会议决议公告》（临2022-069）、《关于收到上海证券交易所问询函的公告》（临2022-072）、《中国中材国际工程股份有限公司关于对上海证券交易所问询函回复的公告》（临2022-073）、《关于发行股份及支付现金购买资产并募集配套资金暨关联交易报告书（草案）修订说明的公告》（临2022-074）、《关于发行股份及支付现金购买资产并募集配套资金暨关联交易事项的进展公告》（临2022-076）、《关于发行股份及支付现金购买资产并募集配套资金暨关联交易事项的进展公告》（临2022-080）、《第七届董事会第二十次会议（临时）决议公告》（临2022-082）、《关于发行股份及支付现金购买资产并募集配套资金暨关联交易报告书（草案）修订说明的公告》（临2022-083）、《第七届监事会第十九次会议决议公告》（临2022-085）、《关于发行股份及支付现金购买资产并募集配套资金暨关联交易事项的进展公告》（临2022-089）、《2022年第七次临时股东大会决议公告》（临2022-094）、《关于发行股份及支付现金购买资产并募集配套资金暨关联交易事项获得中国证监会受理的公告》（临2022-096）、《关于收到&lt;中国证监会行政许可项目审查一次反馈意见通知书&gt;的公告》（临2022-102）、《第七届董事会第二十四次会议（临时）决议公告》（临2022-110）、《关于发行股份及支付现金购买资产暨关联交易方案调整的说明公告》（临2022-111）、《关于发行股份及支付现金购买资产暨关联交易报告书（草案）修订说明的公告》（临2022-112）、《关于&lt;中国证监会行政许可项目审查一次反馈意见通知书&gt;之反馈意见回复的公告》（临2022-113）、《第七届监事会第二十三次会议决议公告》（临2022-114）、《关于收到中国证监会上市公司并购重组审核委员会审核公司发行股份及支付现金购买资产暨关联交易事项的提示性公告》（临2023-001）、《关于&lt;中国证监会行政许可项目审查一次反馈意见通知书&gt;之反馈意见回复（修订稿）的公告》（临2023-002）、《关于发行股份及支付现金购买资产暨关联交易报告书（草案）修订说明的公告》（临2023-003）、《关于中国证监会上市公司并购重组审核委员会审核公司发行股份及支付现金购买资产暨关联交易事项会议安排的公告》（临2023-004）、《关于中国证监会上市公司并购重组审核委员会审核公司发行股份及支付现金购买资产暨关联交易事项的停牌公告》（临2023-005）、《关于发行股份及支付现金购买资产暨关联交易事项获得中国证监会上市公司并购重组审核委员会审核有条件通过暨公司股票复牌的公告》（临2023-</w:t>
            </w:r>
            <w:r>
              <w:lastRenderedPageBreak/>
              <w:t>006）、《关于中国证券监督管理委员会上市公司并购重组审核委员会审核意见的回复公告》（临2023-008）、《关于发行股份及支付现金购买资产暨关联交易报告书（草案）修订说明的公告》（临2023-009）、《关于中国证券监督管理委员会上市公司并购重组审核委员会审核意见的回复（修订稿）公告》（临2023-010）、《关于发行股份及支付现金购买资产暨关联交易报告书（草案）修订说明的公告》（临2023-011）、《关于发行股份及支付现金购买资产暨关联交易事项获得中国证监会核准批复的公告》（临2023-014）、《关于发行股份及支付现金购买资产暨关联交易报告书修订说明的公告》（临2023-015）、《关于发行股份及支付现金购买资产暨关联交易之标的资产过户完成的公告》（临2023-016）、《关于发行股份及支付现金购买资产暨关联交易之发行股份购买资产发行结果暨股本变动公告》（临2023-020）、《关于发行股份及支付现金购买资产暨关联交易之标的资产过渡期损益情况的公告》（临2023-030）。</w:t>
            </w:r>
          </w:p>
        </w:tc>
      </w:tr>
    </w:tbl>
    <w:p w14:paraId="76ACED97" w14:textId="77777777" w:rsidR="00E57DAA" w:rsidRDefault="00E57DAA" w:rsidP="00C25422">
      <w:pPr>
        <w:pStyle w:val="92"/>
      </w:pPr>
    </w:p>
    <w:p w14:paraId="6323A587" w14:textId="77777777" w:rsidR="00E57DAA" w:rsidRDefault="00AC4185">
      <w:pPr>
        <w:pStyle w:val="4"/>
        <w:numPr>
          <w:ilvl w:val="0"/>
          <w:numId w:val="36"/>
        </w:numPr>
      </w:pPr>
      <w:r>
        <w:t>已在临时公告披露，但有后续实施的进展或变化的事项</w:t>
      </w:r>
    </w:p>
    <w:bookmarkStart w:id="110" w:name="_Hlk90309315" w:displacedByCustomXml="next"/>
    <w:sdt>
      <w:sdtPr>
        <w:rPr>
          <w:rFonts w:hint="eastAsia"/>
          <w:szCs w:val="21"/>
        </w:rPr>
        <w:alias w:val="是否适用：已在临时公告披露，但有后续实施的进展或变化的事项_资产或股权收购、出售发生的关联交易[双击切换]"/>
        <w:tag w:val="_GBC_f85ce314be044952b84cb0c7825e3be3"/>
        <w:id w:val="351385117"/>
        <w:placeholder>
          <w:docPart w:val="GBC22222222222222222222222222222"/>
        </w:placeholder>
      </w:sdtPr>
      <w:sdtEndPr/>
      <w:sdtContent>
        <w:p w14:paraId="699206A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10"/>
    <w:p w14:paraId="22153F7B" w14:textId="77777777" w:rsidR="00E57DAA" w:rsidRDefault="00E57DAA">
      <w:pPr>
        <w:ind w:firstLineChars="200" w:firstLine="420"/>
        <w:rPr>
          <w:szCs w:val="21"/>
        </w:rPr>
      </w:pPr>
    </w:p>
    <w:p w14:paraId="2431283A" w14:textId="77777777" w:rsidR="00E57DAA" w:rsidRDefault="00AC4185">
      <w:pPr>
        <w:pStyle w:val="4"/>
        <w:numPr>
          <w:ilvl w:val="0"/>
          <w:numId w:val="36"/>
        </w:numPr>
      </w:pPr>
      <w:r>
        <w:t>临时公告未披露的事项</w:t>
      </w:r>
    </w:p>
    <w:sdt>
      <w:sdtPr>
        <w:alias w:val="是否适用：资产收购、出售发生的关联交易_临时公告未披露的事项[双击切换]"/>
        <w:tag w:val="_GBC_c2403e21caad4498842c2f1cf3384c0d"/>
        <w:id w:val="-498265189"/>
        <w:placeholder>
          <w:docPart w:val="GBC22222222222222222222222222222"/>
        </w:placeholder>
      </w:sdtPr>
      <w:sdtEndPr/>
      <w:sdtContent>
        <w:p w14:paraId="0CE10B0C"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7173E6" w14:textId="77777777" w:rsidR="00E57DAA" w:rsidRDefault="00E57DAA" w:rsidP="00C25422">
      <w:pPr>
        <w:pStyle w:val="92"/>
      </w:pPr>
    </w:p>
    <w:p w14:paraId="0B77FC4D" w14:textId="77777777" w:rsidR="00E57DAA" w:rsidRDefault="00AC4185">
      <w:pPr>
        <w:pStyle w:val="4"/>
        <w:numPr>
          <w:ilvl w:val="0"/>
          <w:numId w:val="36"/>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571849424"/>
        <w:placeholder>
          <w:docPart w:val="GBC22222222222222222222222222222"/>
        </w:placeholder>
      </w:sdtPr>
      <w:sdtEndPr/>
      <w:sdtContent>
        <w:p w14:paraId="1516BCD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涉及业绩约定的，应当披露报告期内的业绩实现情况"/>
        <w:tag w:val="_GBC_6ad3515e12aa4214a70876b92c3a3508"/>
        <w:id w:val="-1987850921"/>
        <w:placeholder>
          <w:docPart w:val="27E9C3E113714499905D720A4556D50C"/>
        </w:placeholder>
      </w:sdtPr>
      <w:sdtEndPr/>
      <w:sdtContent>
        <w:p w14:paraId="2458282E" w14:textId="77777777" w:rsidR="00E57DAA" w:rsidRDefault="00AC4185">
          <w:r>
            <w:rPr>
              <w:rFonts w:hint="eastAsia"/>
            </w:rPr>
            <w:t>详见本节业绩承诺的完成情况及其对商誉减值测试的影响部分。</w:t>
          </w:r>
        </w:p>
      </w:sdtContent>
    </w:sdt>
    <w:p w14:paraId="650A2189" w14:textId="77777777" w:rsidR="00E57DAA" w:rsidRDefault="00AC4185">
      <w:pPr>
        <w:pStyle w:val="3"/>
        <w:numPr>
          <w:ilvl w:val="2"/>
          <w:numId w:val="6"/>
        </w:numPr>
      </w:pPr>
      <w:r>
        <w:t>共同对外投资的重大关联交易</w:t>
      </w:r>
    </w:p>
    <w:p w14:paraId="50B560C8" w14:textId="77777777" w:rsidR="00E57DAA" w:rsidRDefault="00AC4185">
      <w:pPr>
        <w:pStyle w:val="4"/>
        <w:numPr>
          <w:ilvl w:val="0"/>
          <w:numId w:val="37"/>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616214295"/>
        <w:placeholder>
          <w:docPart w:val="GBC22222222222222222222222222222"/>
        </w:placeholder>
      </w:sdtPr>
      <w:sdtEndPr/>
      <w:sdtContent>
        <w:p w14:paraId="594EB49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0" w:type="auto"/>
        <w:tblLook w:val="04A0" w:firstRow="1" w:lastRow="0" w:firstColumn="1" w:lastColumn="0" w:noHBand="0" w:noVBand="1"/>
      </w:tblPr>
      <w:tblGrid>
        <w:gridCol w:w="5211"/>
        <w:gridCol w:w="3612"/>
      </w:tblGrid>
      <w:tr w:rsidR="00E57DAA" w14:paraId="7F2FB5C1" w14:textId="77777777">
        <w:sdt>
          <w:sdtPr>
            <w:tag w:val="_PLD_aaa8429c16f947df8bb3958de8573ffd"/>
            <w:id w:val="1298036502"/>
          </w:sdtPr>
          <w:sdtEndPr/>
          <w:sdtContent>
            <w:tc>
              <w:tcPr>
                <w:tcW w:w="5211" w:type="dxa"/>
                <w:vAlign w:val="center"/>
              </w:tcPr>
              <w:p w14:paraId="3B730030" w14:textId="77777777" w:rsidR="00E57DAA" w:rsidRDefault="00AC4185">
                <w:pPr>
                  <w:jc w:val="center"/>
                  <w:rPr>
                    <w:szCs w:val="21"/>
                  </w:rPr>
                </w:pPr>
                <w:r>
                  <w:rPr>
                    <w:szCs w:val="21"/>
                  </w:rPr>
                  <w:t>事项概述</w:t>
                </w:r>
              </w:p>
            </w:tc>
          </w:sdtContent>
        </w:sdt>
        <w:sdt>
          <w:sdtPr>
            <w:tag w:val="_PLD_cf6e4516bf28449d8c20ba66687eaace"/>
            <w:id w:val="-726150335"/>
          </w:sdtPr>
          <w:sdtEndPr/>
          <w:sdtContent>
            <w:tc>
              <w:tcPr>
                <w:tcW w:w="3612" w:type="dxa"/>
                <w:vAlign w:val="center"/>
              </w:tcPr>
              <w:p w14:paraId="45DB0A87" w14:textId="77777777" w:rsidR="00E57DAA" w:rsidRDefault="00AC4185">
                <w:pPr>
                  <w:jc w:val="center"/>
                  <w:rPr>
                    <w:szCs w:val="21"/>
                  </w:rPr>
                </w:pPr>
                <w:r>
                  <w:rPr>
                    <w:szCs w:val="21"/>
                  </w:rPr>
                  <w:t>查询索引</w:t>
                </w:r>
              </w:p>
            </w:tc>
          </w:sdtContent>
        </w:sdt>
      </w:tr>
      <w:tr w:rsidR="00E57DAA" w14:paraId="3BCC8AD8" w14:textId="77777777">
        <w:tc>
          <w:tcPr>
            <w:tcW w:w="5211" w:type="dxa"/>
          </w:tcPr>
          <w:p w14:paraId="645CAFB6" w14:textId="77777777" w:rsidR="00E57DAA" w:rsidRDefault="00AC4185">
            <w:pPr>
              <w:rPr>
                <w:szCs w:val="21"/>
              </w:rPr>
            </w:pPr>
            <w:r>
              <w:rPr>
                <w:rFonts w:hint="eastAsia"/>
                <w:szCs w:val="21"/>
              </w:rPr>
              <w:t>2</w:t>
            </w:r>
            <w:r>
              <w:rPr>
                <w:szCs w:val="21"/>
              </w:rPr>
              <w:t>023</w:t>
            </w:r>
            <w:r>
              <w:rPr>
                <w:rFonts w:hint="eastAsia"/>
                <w:szCs w:val="21"/>
              </w:rPr>
              <w:t>年1</w:t>
            </w:r>
            <w:r>
              <w:rPr>
                <w:szCs w:val="21"/>
              </w:rPr>
              <w:t>2</w:t>
            </w:r>
            <w:r>
              <w:rPr>
                <w:rFonts w:hint="eastAsia"/>
                <w:szCs w:val="21"/>
              </w:rPr>
              <w:t>月4日，公司召开第八届董事会第二次会议（临时）、第八届监事会第二次会议，审议通过了《关于公司增资中材水泥有限责任公司暨关联交易的议案》。2</w:t>
            </w:r>
            <w:r>
              <w:rPr>
                <w:szCs w:val="21"/>
              </w:rPr>
              <w:t>023</w:t>
            </w:r>
            <w:r>
              <w:rPr>
                <w:rFonts w:hint="eastAsia"/>
                <w:szCs w:val="21"/>
              </w:rPr>
              <w:t>年1</w:t>
            </w:r>
            <w:r>
              <w:rPr>
                <w:szCs w:val="21"/>
              </w:rPr>
              <w:t>2</w:t>
            </w:r>
            <w:r>
              <w:rPr>
                <w:rFonts w:hint="eastAsia"/>
                <w:szCs w:val="21"/>
              </w:rPr>
              <w:t>月1</w:t>
            </w:r>
            <w:r>
              <w:rPr>
                <w:szCs w:val="21"/>
              </w:rPr>
              <w:t>4</w:t>
            </w:r>
            <w:r>
              <w:rPr>
                <w:rFonts w:hint="eastAsia"/>
                <w:szCs w:val="21"/>
              </w:rPr>
              <w:t>日，中材水泥股东全部权益的评估结果获得中国建材集团有限公司备案通过。</w:t>
            </w:r>
            <w:r>
              <w:rPr>
                <w:szCs w:val="21"/>
              </w:rPr>
              <w:t>2023年12月20日</w:t>
            </w:r>
            <w:r>
              <w:rPr>
                <w:rFonts w:hint="eastAsia"/>
                <w:szCs w:val="21"/>
              </w:rPr>
              <w:t>，公司召开2</w:t>
            </w:r>
            <w:r>
              <w:rPr>
                <w:szCs w:val="21"/>
              </w:rPr>
              <w:t>023</w:t>
            </w:r>
            <w:r>
              <w:rPr>
                <w:rFonts w:hint="eastAsia"/>
                <w:szCs w:val="21"/>
              </w:rPr>
              <w:t>年第四次临时股东大会，审议通过了《关于公司增资中材水泥有限责任公司暨关联交易的议案》。2</w:t>
            </w:r>
            <w:r>
              <w:rPr>
                <w:szCs w:val="21"/>
              </w:rPr>
              <w:t>023</w:t>
            </w:r>
            <w:r>
              <w:rPr>
                <w:rFonts w:hint="eastAsia"/>
                <w:szCs w:val="21"/>
              </w:rPr>
              <w:t>年1</w:t>
            </w:r>
            <w:r>
              <w:rPr>
                <w:szCs w:val="21"/>
              </w:rPr>
              <w:t>2</w:t>
            </w:r>
            <w:r>
              <w:rPr>
                <w:rFonts w:hint="eastAsia"/>
                <w:szCs w:val="21"/>
              </w:rPr>
              <w:t>月2</w:t>
            </w:r>
            <w:r>
              <w:rPr>
                <w:szCs w:val="21"/>
              </w:rPr>
              <w:t>9</w:t>
            </w:r>
            <w:r>
              <w:rPr>
                <w:rFonts w:hint="eastAsia"/>
                <w:szCs w:val="21"/>
              </w:rPr>
              <w:t>日，中材水泥完成了第一次增资的市场监管变更登记手续，并取得北京市西城区市场监督管理局换发的《营业执照》，经北京市西城区市场监督管理局核准，中材水泥注册资本由</w:t>
            </w:r>
            <w:r>
              <w:rPr>
                <w:szCs w:val="21"/>
              </w:rPr>
              <w:t xml:space="preserve"> 185,328万元变更为308,880万元，公司持股比例为40%。</w:t>
            </w:r>
            <w:r>
              <w:rPr>
                <w:rFonts w:hint="eastAsia"/>
                <w:szCs w:val="21"/>
              </w:rPr>
              <w:t>2024年2月8日，中材水泥完成了进一步增资的市场监管变更登记手续，并取得北京市西城区市场监督管理局换发的《营业执照》。经北京市西城区市场监督管理局核准，中材水泥注册资本由</w:t>
            </w:r>
            <w:r>
              <w:rPr>
                <w:szCs w:val="21"/>
              </w:rPr>
              <w:t>308,880</w:t>
            </w:r>
            <w:r>
              <w:rPr>
                <w:rFonts w:hint="eastAsia"/>
                <w:szCs w:val="21"/>
              </w:rPr>
              <w:t>万元变更为1</w:t>
            </w:r>
            <w:r>
              <w:rPr>
                <w:szCs w:val="21"/>
              </w:rPr>
              <w:t>,</w:t>
            </w:r>
            <w:r>
              <w:rPr>
                <w:rFonts w:hint="eastAsia"/>
                <w:szCs w:val="21"/>
              </w:rPr>
              <w:t>000</w:t>
            </w:r>
            <w:r>
              <w:rPr>
                <w:szCs w:val="21"/>
              </w:rPr>
              <w:t>,</w:t>
            </w:r>
            <w:r>
              <w:rPr>
                <w:rFonts w:hint="eastAsia"/>
                <w:szCs w:val="21"/>
              </w:rPr>
              <w:t>000万元，股东按照持股比例认缴新增注册资本，公司持股比例为40%，对应认缴新增注册资本276,448万元。</w:t>
            </w:r>
          </w:p>
        </w:tc>
        <w:tc>
          <w:tcPr>
            <w:tcW w:w="3612" w:type="dxa"/>
          </w:tcPr>
          <w:p w14:paraId="52CDCA09" w14:textId="77777777" w:rsidR="00E57DAA" w:rsidRDefault="00AC4185">
            <w:pPr>
              <w:rPr>
                <w:szCs w:val="21"/>
              </w:rPr>
            </w:pPr>
            <w:r>
              <w:rPr>
                <w:rFonts w:hint="eastAsia"/>
                <w:szCs w:val="21"/>
              </w:rPr>
              <w:t>详情见公司于2</w:t>
            </w:r>
            <w:r>
              <w:rPr>
                <w:szCs w:val="21"/>
              </w:rPr>
              <w:t>023</w:t>
            </w:r>
            <w:r>
              <w:rPr>
                <w:rFonts w:hint="eastAsia"/>
                <w:szCs w:val="21"/>
              </w:rPr>
              <w:t>年1</w:t>
            </w:r>
            <w:r>
              <w:rPr>
                <w:szCs w:val="21"/>
              </w:rPr>
              <w:t>2</w:t>
            </w:r>
            <w:r>
              <w:rPr>
                <w:rFonts w:hint="eastAsia"/>
                <w:szCs w:val="21"/>
              </w:rPr>
              <w:t>月</w:t>
            </w:r>
            <w:r>
              <w:rPr>
                <w:szCs w:val="21"/>
              </w:rPr>
              <w:t>5</w:t>
            </w:r>
            <w:r>
              <w:rPr>
                <w:rFonts w:hint="eastAsia"/>
                <w:szCs w:val="21"/>
              </w:rPr>
              <w:t>日、</w:t>
            </w:r>
            <w:r>
              <w:rPr>
                <w:szCs w:val="21"/>
              </w:rPr>
              <w:t>2023年12月</w:t>
            </w:r>
            <w:r>
              <w:rPr>
                <w:rFonts w:hint="eastAsia"/>
                <w:szCs w:val="21"/>
              </w:rPr>
              <w:t>1</w:t>
            </w:r>
            <w:r>
              <w:rPr>
                <w:szCs w:val="21"/>
              </w:rPr>
              <w:t>5日、</w:t>
            </w:r>
            <w:r>
              <w:rPr>
                <w:rFonts w:hint="eastAsia"/>
                <w:szCs w:val="21"/>
              </w:rPr>
              <w:t>2</w:t>
            </w:r>
            <w:r>
              <w:rPr>
                <w:szCs w:val="21"/>
              </w:rPr>
              <w:t>023</w:t>
            </w:r>
            <w:r>
              <w:rPr>
                <w:rFonts w:hint="eastAsia"/>
                <w:szCs w:val="21"/>
              </w:rPr>
              <w:t>年1</w:t>
            </w:r>
            <w:r>
              <w:rPr>
                <w:szCs w:val="21"/>
              </w:rPr>
              <w:t>2</w:t>
            </w:r>
            <w:r>
              <w:rPr>
                <w:rFonts w:hint="eastAsia"/>
                <w:szCs w:val="21"/>
              </w:rPr>
              <w:t>月2</w:t>
            </w:r>
            <w:r>
              <w:rPr>
                <w:szCs w:val="21"/>
              </w:rPr>
              <w:t>1</w:t>
            </w:r>
            <w:r>
              <w:rPr>
                <w:rFonts w:hint="eastAsia"/>
                <w:szCs w:val="21"/>
              </w:rPr>
              <w:t>日、</w:t>
            </w:r>
            <w:r>
              <w:rPr>
                <w:szCs w:val="21"/>
              </w:rPr>
              <w:t>2023年12月</w:t>
            </w:r>
            <w:r>
              <w:rPr>
                <w:rFonts w:hint="eastAsia"/>
                <w:szCs w:val="21"/>
              </w:rPr>
              <w:t>3</w:t>
            </w:r>
            <w:r>
              <w:rPr>
                <w:szCs w:val="21"/>
              </w:rPr>
              <w:t>0日</w:t>
            </w:r>
            <w:r>
              <w:rPr>
                <w:rFonts w:hint="eastAsia"/>
                <w:szCs w:val="21"/>
              </w:rPr>
              <w:t>发布的《第八届董事会第二次会议（临时）决议公告》（临</w:t>
            </w:r>
            <w:r>
              <w:rPr>
                <w:szCs w:val="21"/>
              </w:rPr>
              <w:t>2023-081</w:t>
            </w:r>
            <w:r>
              <w:rPr>
                <w:rFonts w:hint="eastAsia"/>
                <w:szCs w:val="21"/>
              </w:rPr>
              <w:t>）、《关于增资中材水泥有限责任公司暨关联交易事项的进展公告》（临</w:t>
            </w:r>
            <w:r>
              <w:rPr>
                <w:szCs w:val="21"/>
              </w:rPr>
              <w:t>2023-083）</w:t>
            </w:r>
            <w:r>
              <w:rPr>
                <w:rFonts w:hint="eastAsia"/>
                <w:szCs w:val="21"/>
              </w:rPr>
              <w:t>、《第八届监事会第二次会议决议公告》（临</w:t>
            </w:r>
            <w:r>
              <w:rPr>
                <w:szCs w:val="21"/>
              </w:rPr>
              <w:t>2023-086）</w:t>
            </w:r>
            <w:r>
              <w:rPr>
                <w:rFonts w:hint="eastAsia"/>
                <w:szCs w:val="21"/>
              </w:rPr>
              <w:t>、《关于增资中材水泥有限责任公司暨关联交易事项的进展公告》（临</w:t>
            </w:r>
            <w:r>
              <w:rPr>
                <w:szCs w:val="21"/>
              </w:rPr>
              <w:t>2023-088）、</w:t>
            </w:r>
            <w:r>
              <w:rPr>
                <w:rFonts w:hint="eastAsia"/>
                <w:szCs w:val="21"/>
              </w:rPr>
              <w:t>《</w:t>
            </w:r>
            <w:r>
              <w:rPr>
                <w:szCs w:val="21"/>
              </w:rPr>
              <w:t>2023年第四次临时股东大会决议公告</w:t>
            </w:r>
            <w:r>
              <w:rPr>
                <w:rFonts w:hint="eastAsia"/>
                <w:szCs w:val="21"/>
              </w:rPr>
              <w:t>》（临</w:t>
            </w:r>
            <w:r>
              <w:rPr>
                <w:szCs w:val="21"/>
              </w:rPr>
              <w:t>2023-090）</w:t>
            </w:r>
            <w:r>
              <w:rPr>
                <w:rFonts w:hint="eastAsia"/>
                <w:szCs w:val="21"/>
              </w:rPr>
              <w:t>、《关于增资中材水泥有限责任公司暨关联交易事项的进展公告》（临</w:t>
            </w:r>
            <w:r>
              <w:rPr>
                <w:szCs w:val="21"/>
              </w:rPr>
              <w:t>2023-092）</w:t>
            </w:r>
            <w:r>
              <w:rPr>
                <w:rFonts w:hint="eastAsia"/>
                <w:szCs w:val="21"/>
              </w:rPr>
              <w:t>、《关于增资中材水泥有限责任公司暨关联交易事项的进展公告》（临2024-010）</w:t>
            </w:r>
          </w:p>
        </w:tc>
      </w:tr>
    </w:tbl>
    <w:p w14:paraId="30F75690" w14:textId="77777777" w:rsidR="00E57DAA" w:rsidRDefault="00E57DAA" w:rsidP="00C25422">
      <w:pPr>
        <w:pStyle w:val="92"/>
      </w:pPr>
    </w:p>
    <w:p w14:paraId="1BC0A0D7" w14:textId="77777777" w:rsidR="00E57DAA" w:rsidRDefault="00AC4185">
      <w:pPr>
        <w:pStyle w:val="4"/>
        <w:numPr>
          <w:ilvl w:val="0"/>
          <w:numId w:val="37"/>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655376410"/>
        <w:placeholder>
          <w:docPart w:val="GBC22222222222222222222222222222"/>
        </w:placeholder>
      </w:sdtPr>
      <w:sdtEndPr/>
      <w:sdtContent>
        <w:p w14:paraId="47E7195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共同对外投资发生的关联交易事项已在临时报告披露，后续实施的进展或变化"/>
        <w:tag w:val="_GBC_326d274b1514448ba86e866ee8e0ff32"/>
        <w:id w:val="1340735460"/>
        <w:placeholder>
          <w:docPart w:val="05A56E7BB9CB462AA08EDBEBC34F0CEA"/>
        </w:placeholder>
      </w:sdtPr>
      <w:sdtEndPr/>
      <w:sdtContent>
        <w:p w14:paraId="07C50D02" w14:textId="77777777" w:rsidR="00E57DAA" w:rsidRDefault="00AC4185">
          <w:pPr>
            <w:ind w:firstLineChars="200" w:firstLine="420"/>
            <w:jc w:val="both"/>
            <w:rPr>
              <w:szCs w:val="21"/>
            </w:rPr>
          </w:pPr>
          <w:r>
            <w:rPr>
              <w:szCs w:val="21"/>
            </w:rPr>
            <w:t>2021年12月20日，公司召开了第七届董事会第十次会议（临时），审议通过了《关于公司及公司全资子公司邯郸中材建设有限责任公司与北新集团建材股份有限公司共同投资设立合资公司建设泰国大城府石膏板项目暨关联交易的议案》、《关于公司全资子公司中材海外工程有限公司与中材科技风电叶片股份有限公司共同投资设立合资公司建设巴西年产260套风电叶片制造基地项目暨关联交易的议案》。截至报告期末，泰国合资公司已出资1430万元，巴西合资公司已完成全部投资。</w:t>
          </w:r>
        </w:p>
        <w:p w14:paraId="2D90C1BF" w14:textId="77777777" w:rsidR="00E57DAA" w:rsidRDefault="00AC4185">
          <w:pPr>
            <w:ind w:firstLineChars="200" w:firstLine="420"/>
            <w:jc w:val="both"/>
            <w:rPr>
              <w:szCs w:val="21"/>
            </w:rPr>
          </w:pPr>
          <w:r>
            <w:rPr>
              <w:rFonts w:hint="eastAsia"/>
              <w:szCs w:val="21"/>
            </w:rPr>
            <w:t>详见公司于2021年12月21日披露的《关于公司及全资子公司对外投资暨关联交易的公告》（临2021-104）、《关于全资子公司对外投资暨关联交易的公告》（临2021-106）。</w:t>
          </w:r>
        </w:p>
      </w:sdtContent>
    </w:sdt>
    <w:p w14:paraId="256582D2" w14:textId="77777777" w:rsidR="00E57DAA" w:rsidRDefault="00E57DAA" w:rsidP="00C25422">
      <w:pPr>
        <w:pStyle w:val="92"/>
      </w:pPr>
    </w:p>
    <w:p w14:paraId="4258823D" w14:textId="77777777" w:rsidR="00E57DAA" w:rsidRDefault="00AC4185">
      <w:pPr>
        <w:pStyle w:val="4"/>
        <w:numPr>
          <w:ilvl w:val="0"/>
          <w:numId w:val="37"/>
        </w:numPr>
      </w:pPr>
      <w:r>
        <w:t>临时公告未披露的事项</w:t>
      </w:r>
    </w:p>
    <w:sdt>
      <w:sdtPr>
        <w:alias w:val="是否适用：共同对外投资的重大关联交易_临时公告未披露的事项[双击切换]"/>
        <w:tag w:val="_GBC_0a8e93fe81464e209d3619d1be6a3349"/>
        <w:id w:val="836509423"/>
        <w:placeholder>
          <w:docPart w:val="GBC22222222222222222222222222222"/>
        </w:placeholder>
      </w:sdtPr>
      <w:sdtEndPr/>
      <w:sdtContent>
        <w:p w14:paraId="588930BB"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1F5638" w14:textId="77777777" w:rsidR="00E57DAA" w:rsidRDefault="00AC4185">
      <w:pPr>
        <w:pStyle w:val="3"/>
        <w:numPr>
          <w:ilvl w:val="2"/>
          <w:numId w:val="6"/>
        </w:numPr>
      </w:pPr>
      <w:r>
        <w:rPr>
          <w:rFonts w:hint="eastAsia"/>
        </w:rPr>
        <w:t>关联债权债务往来</w:t>
      </w:r>
    </w:p>
    <w:p w14:paraId="273B657B" w14:textId="77777777" w:rsidR="00E57DAA" w:rsidRDefault="00AC4185">
      <w:pPr>
        <w:pStyle w:val="4"/>
        <w:numPr>
          <w:ilvl w:val="0"/>
          <w:numId w:val="38"/>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232045223"/>
        <w:placeholder>
          <w:docPart w:val="GBC22222222222222222222222222222"/>
        </w:placeholder>
      </w:sdtPr>
      <w:sdtEndPr/>
      <w:sdtContent>
        <w:p w14:paraId="2CB0EFEF"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F16BE8" w14:textId="77777777" w:rsidR="00E57DAA" w:rsidRDefault="00E57DAA" w:rsidP="00C25422">
      <w:pPr>
        <w:pStyle w:val="92"/>
      </w:pPr>
    </w:p>
    <w:p w14:paraId="3AC57315" w14:textId="77777777" w:rsidR="00E57DAA" w:rsidRDefault="00AC4185">
      <w:pPr>
        <w:pStyle w:val="4"/>
        <w:numPr>
          <w:ilvl w:val="0"/>
          <w:numId w:val="38"/>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218569640"/>
        <w:placeholder>
          <w:docPart w:val="GBC22222222222222222222222222222"/>
        </w:placeholder>
      </w:sdtPr>
      <w:sdtEndPr/>
      <w:sdtContent>
        <w:p w14:paraId="43DCB143"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关联债权债务往来事项已在临时报告披露，后续实施的进展或变化"/>
        <w:tag w:val="_GBC_6089a3484b9a449a970c20fe15767efc"/>
        <w:id w:val="919686079"/>
        <w:placeholder>
          <w:docPart w:val="GBC22222222222222222222222222222"/>
        </w:placeholder>
      </w:sdtPr>
      <w:sdtEndPr/>
      <w:sdtContent>
        <w:p w14:paraId="04893FDE" w14:textId="77777777" w:rsidR="00224E6E" w:rsidRDefault="00AC4185">
          <w:pPr>
            <w:ind w:firstLineChars="200" w:firstLine="420"/>
            <w:jc w:val="both"/>
          </w:pPr>
          <w:r>
            <w:t>2016 年 4 月 25 日，公司第五届董事会第十三次会议审议通过了《关于接受中材股份委托贷款</w:t>
          </w:r>
          <w:r>
            <w:rPr>
              <w:rFonts w:hint="eastAsia"/>
            </w:rPr>
            <w:t>暨关联交易的议案》，批准公司通过国开行接受控股股东中材股份委托贷款</w:t>
          </w:r>
          <w:r>
            <w:t xml:space="preserve"> 4,800 万元，贷款年利</w:t>
          </w:r>
          <w:r>
            <w:rPr>
              <w:rFonts w:hint="eastAsia"/>
            </w:rPr>
            <w:t>率为</w:t>
          </w:r>
          <w:r>
            <w:t xml:space="preserve"> 1.08%，贷款到期日为 2035 年 12 月 15 日。因控股股东与中国建材股份重组，报告期，上述</w:t>
          </w:r>
          <w:r>
            <w:rPr>
              <w:rFonts w:hint="eastAsia"/>
            </w:rPr>
            <w:t>交易由公司与中国建材股份继续履行，贷款余额为</w:t>
          </w:r>
          <w:r>
            <w:t>3</w:t>
          </w:r>
          <w:r w:rsidR="00B91ECF">
            <w:rPr>
              <w:rFonts w:hint="eastAsia"/>
            </w:rPr>
            <w:t>,</w:t>
          </w:r>
          <w:r>
            <w:t>260万元，支付相关利息37.73万元。</w:t>
          </w:r>
        </w:p>
        <w:p w14:paraId="2063EA0A" w14:textId="77777777" w:rsidR="00E57DAA" w:rsidRDefault="00AC4185">
          <w:pPr>
            <w:ind w:firstLineChars="200" w:firstLine="420"/>
            <w:jc w:val="both"/>
          </w:pPr>
          <w:r>
            <w:rPr>
              <w:rFonts w:hint="eastAsia"/>
            </w:rPr>
            <w:t>详见</w:t>
          </w:r>
          <w:r>
            <w:t xml:space="preserve"> 2016 年 4 月 26 日公司发布的《关于接受中材股份委托贷款暨关联交易的公告》（临 2016-031）。</w:t>
          </w:r>
        </w:p>
        <w:p w14:paraId="34163290" w14:textId="77777777" w:rsidR="00224E6E" w:rsidRDefault="00AC4185">
          <w:pPr>
            <w:ind w:firstLineChars="200" w:firstLine="420"/>
            <w:jc w:val="both"/>
          </w:pPr>
          <w:r>
            <w:t>2019 年 9 月 29 日，公司第六届董事会第十四次会议（临时）审议通过了《关于公司全资</w:t>
          </w:r>
          <w:r>
            <w:rPr>
              <w:rFonts w:hint="eastAsia"/>
            </w:rPr>
            <w:t>子公司中材环境向其控股子公司提供财务资助暨关联交易的议案》，批准公司全资子公司中材环境向其控股子公司临沂国建环境科技有限公司提供总额</w:t>
          </w:r>
          <w:r>
            <w:t xml:space="preserve"> 5,600 万元的财务资助，利率为固定利率4.75%/年，期限 4 年（含 1 年宽限期）</w:t>
          </w:r>
          <w:r>
            <w:rPr>
              <w:rFonts w:hint="eastAsia"/>
            </w:rPr>
            <w:t>，已全部偿还</w:t>
          </w:r>
          <w:r>
            <w:t>。</w:t>
          </w:r>
        </w:p>
        <w:p w14:paraId="529E893D" w14:textId="77777777" w:rsidR="00E57DAA" w:rsidRDefault="00AC4185">
          <w:pPr>
            <w:ind w:firstLineChars="200" w:firstLine="420"/>
            <w:jc w:val="both"/>
          </w:pPr>
          <w:r>
            <w:rPr>
              <w:rFonts w:hint="eastAsia"/>
            </w:rPr>
            <w:t>详见</w:t>
          </w:r>
          <w:r>
            <w:t xml:space="preserve"> 2019 年 9 月 30 日公司发布的《公司全资子公司向其控股子公司提供财务资助暨关联交</w:t>
          </w:r>
          <w:r>
            <w:rPr>
              <w:rFonts w:hint="eastAsia"/>
            </w:rPr>
            <w:t>易的公告》（临</w:t>
          </w:r>
          <w:r>
            <w:t xml:space="preserve"> 2019-042）。</w:t>
          </w:r>
        </w:p>
      </w:sdtContent>
    </w:sdt>
    <w:p w14:paraId="2703DB94" w14:textId="77777777" w:rsidR="00E57DAA" w:rsidRDefault="00E57DAA" w:rsidP="00C25422">
      <w:pPr>
        <w:pStyle w:val="92"/>
      </w:pPr>
    </w:p>
    <w:p w14:paraId="5A0B7E40" w14:textId="77777777" w:rsidR="00E57DAA" w:rsidRDefault="00E57DAA">
      <w:pPr>
        <w:pStyle w:val="4"/>
        <w:numPr>
          <w:ilvl w:val="0"/>
          <w:numId w:val="38"/>
        </w:numPr>
        <w:sectPr w:rsidR="00E57DAA" w:rsidSect="00226547">
          <w:pgSz w:w="11906" w:h="16838"/>
          <w:pgMar w:top="1525" w:right="1276" w:bottom="1440" w:left="1797" w:header="855" w:footer="992" w:gutter="0"/>
          <w:cols w:space="425"/>
          <w:docGrid w:linePitch="312"/>
        </w:sectPr>
      </w:pPr>
    </w:p>
    <w:p w14:paraId="05F75404" w14:textId="77777777" w:rsidR="00E57DAA" w:rsidRDefault="00AC4185">
      <w:pPr>
        <w:pStyle w:val="4"/>
        <w:numPr>
          <w:ilvl w:val="0"/>
          <w:numId w:val="38"/>
        </w:numPr>
      </w:pPr>
      <w:r>
        <w:rPr>
          <w:rFonts w:hint="eastAsia"/>
        </w:rPr>
        <w:lastRenderedPageBreak/>
        <w:t>临时公告未披露的事项</w:t>
      </w:r>
    </w:p>
    <w:sdt>
      <w:sdtPr>
        <w:alias w:val="是否适用：关联债权债务往来_临时公告未披露的事项[双击切换]"/>
        <w:tag w:val="_GBC_d9a88c6705ef48d49848c2b93cb503f2"/>
        <w:id w:val="865252809"/>
        <w:placeholder>
          <w:docPart w:val="GBC22222222222222222222222222222"/>
        </w:placeholder>
      </w:sdtPr>
      <w:sdtEndPr/>
      <w:sdtContent>
        <w:p w14:paraId="7C5ECD1B"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EF72BA" w14:textId="77777777" w:rsidR="00E57DAA" w:rsidRDefault="00AC4185">
      <w:pPr>
        <w:pStyle w:val="3"/>
        <w:numPr>
          <w:ilvl w:val="2"/>
          <w:numId w:val="6"/>
        </w:numPr>
      </w:pPr>
      <w:bookmarkStart w:id="111" w:name="_Hlk89953756"/>
      <w:bookmarkStart w:id="112" w:name="_Hlk89346519"/>
      <w:r>
        <w:t>公司与存在关联关系的财务公司、公司控股财务公司与关联方之间的金融业务</w:t>
      </w:r>
    </w:p>
    <w:p w14:paraId="0C113565" w14:textId="77777777" w:rsidR="00E57DAA" w:rsidRDefault="00EB41A1" w:rsidP="00C25422">
      <w:pPr>
        <w:pStyle w:val="92"/>
      </w:pPr>
      <w:sdt>
        <w:sdtPr>
          <w:alias w:val="是否适用：公司与存在关联关系的财务公司、公司控股财务公司与关联方之间的金融业务 [双击切换]"/>
          <w:tag w:val="_GBC_5a345568387542318c17a9fa2dcc2dbc"/>
          <w:id w:val="1444034033"/>
          <w:lock w:val="contentLocked"/>
          <w:placeholder>
            <w:docPart w:val="GBC22222222222222222222222222222"/>
          </w:placeholder>
        </w:sdtPr>
        <w:sdtEndPr/>
        <w:sdtContent>
          <w:r w:rsidR="00AC4185">
            <w:fldChar w:fldCharType="begin"/>
          </w:r>
          <w:r w:rsidR="00AC4185">
            <w:instrText xml:space="preserve"> 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r w:rsidR="00AC4185">
        <w:t xml:space="preserve"> </w:t>
      </w:r>
    </w:p>
    <w:p w14:paraId="0B3A25C8" w14:textId="77777777" w:rsidR="00E57DAA" w:rsidRDefault="00E57DAA" w:rsidP="00C25422">
      <w:pPr>
        <w:pStyle w:val="92"/>
      </w:pPr>
    </w:p>
    <w:p w14:paraId="50C82513" w14:textId="77777777" w:rsidR="00E57DAA" w:rsidRDefault="00AC4185">
      <w:pPr>
        <w:pStyle w:val="4"/>
        <w:numPr>
          <w:ilvl w:val="0"/>
          <w:numId w:val="39"/>
        </w:numPr>
        <w:ind w:left="425" w:hanging="425"/>
        <w:rPr>
          <w:rFonts w:ascii="宋体" w:hAnsi="宋体"/>
        </w:rPr>
      </w:pPr>
      <w:r>
        <w:rPr>
          <w:rFonts w:ascii="宋体" w:hAnsi="宋体" w:hint="eastAsia"/>
        </w:rPr>
        <w:t>存款业务</w:t>
      </w:r>
    </w:p>
    <w:sdt>
      <w:sdtPr>
        <w:alias w:val="是否适用：存款业务[双击切换]"/>
        <w:tag w:val="_GBC_f91d5ba8911645af92109a1b977343e2"/>
        <w:id w:val="-1145891656"/>
        <w:lock w:val="sdtLocked"/>
        <w:placeholder>
          <w:docPart w:val="67C3340128034923AF016B71A5CAD5E6"/>
        </w:placeholder>
      </w:sdtPr>
      <w:sdtEndPr/>
      <w:sdtContent>
        <w:p w14:paraId="2943255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FB5EFC" w14:textId="77777777" w:rsidR="00E57DAA" w:rsidRDefault="00AC4185">
      <w:pPr>
        <w:jc w:val="right"/>
        <w:rPr>
          <w:szCs w:val="21"/>
        </w:rPr>
      </w:pPr>
      <w:r>
        <w:rPr>
          <w:rFonts w:hint="eastAsia"/>
          <w:szCs w:val="21"/>
        </w:rPr>
        <w:t>单位：</w:t>
      </w:r>
      <w:sdt>
        <w:sdtPr>
          <w:rPr>
            <w:rFonts w:hint="eastAsia"/>
            <w:szCs w:val="21"/>
          </w:rPr>
          <w:alias w:val="单位：存款业务情况"/>
          <w:tag w:val="_GBC_3c39941625c0404dacda9210d5f10426"/>
          <w:id w:val="307450802"/>
          <w:lock w:val="sdtLocked"/>
          <w:placeholder>
            <w:docPart w:val="67C3340128034923AF016B71A5CAD5E6"/>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存款业务情况"/>
          <w:tag w:val="_GBC_f9cda9c00cdf40b5a544fdcc0e086854"/>
          <w:id w:val="605084060"/>
          <w:lock w:val="sdtLocked"/>
          <w:placeholder>
            <w:docPart w:val="67C3340128034923AF016B71A5CAD5E6"/>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0"/>
        <w:gridCol w:w="1336"/>
        <w:gridCol w:w="1982"/>
        <w:gridCol w:w="710"/>
        <w:gridCol w:w="710"/>
        <w:gridCol w:w="1863"/>
        <w:gridCol w:w="1791"/>
        <w:gridCol w:w="1921"/>
        <w:gridCol w:w="1630"/>
      </w:tblGrid>
      <w:tr w:rsidR="00E57DAA" w14:paraId="46209AF8" w14:textId="77777777" w:rsidTr="00E26781">
        <w:sdt>
          <w:sdtPr>
            <w:rPr>
              <w:rFonts w:hint="eastAsia"/>
              <w:szCs w:val="21"/>
            </w:rPr>
            <w:tag w:val="_PLD_e6f8a0bf4fa44cc6a5830ca60560c631"/>
            <w:id w:val="-1715033077"/>
          </w:sdtPr>
          <w:sdtEndPr/>
          <w:sdtContent>
            <w:tc>
              <w:tcPr>
                <w:tcW w:w="692" w:type="pct"/>
                <w:vMerge w:val="restart"/>
                <w:shd w:val="clear" w:color="auto" w:fill="auto"/>
                <w:vAlign w:val="center"/>
              </w:tcPr>
              <w:p w14:paraId="397792C2" w14:textId="77777777" w:rsidR="00E57DAA" w:rsidRDefault="00AC4185">
                <w:pPr>
                  <w:autoSpaceDE w:val="0"/>
                  <w:autoSpaceDN w:val="0"/>
                  <w:adjustRightInd w:val="0"/>
                  <w:jc w:val="center"/>
                  <w:rPr>
                    <w:szCs w:val="21"/>
                  </w:rPr>
                </w:pPr>
                <w:r>
                  <w:rPr>
                    <w:rFonts w:hint="eastAsia"/>
                    <w:szCs w:val="21"/>
                  </w:rPr>
                  <w:t>关联方</w:t>
                </w:r>
              </w:p>
            </w:tc>
          </w:sdtContent>
        </w:sdt>
        <w:sdt>
          <w:sdtPr>
            <w:rPr>
              <w:rFonts w:hint="eastAsia"/>
              <w:szCs w:val="21"/>
            </w:rPr>
            <w:tag w:val="_PLD_8aebf5d34bff4522b47150e7ac619932"/>
            <w:id w:val="-1999728101"/>
          </w:sdtPr>
          <w:sdtEndPr/>
          <w:sdtContent>
            <w:tc>
              <w:tcPr>
                <w:tcW w:w="482" w:type="pct"/>
                <w:vMerge w:val="restart"/>
                <w:shd w:val="clear" w:color="auto" w:fill="auto"/>
                <w:vAlign w:val="center"/>
              </w:tcPr>
              <w:p w14:paraId="3B45F292" w14:textId="77777777" w:rsidR="00E57DAA" w:rsidRDefault="00AC4185">
                <w:pPr>
                  <w:autoSpaceDE w:val="0"/>
                  <w:autoSpaceDN w:val="0"/>
                  <w:adjustRightInd w:val="0"/>
                  <w:jc w:val="center"/>
                  <w:rPr>
                    <w:szCs w:val="21"/>
                  </w:rPr>
                </w:pPr>
                <w:r>
                  <w:rPr>
                    <w:rFonts w:hint="eastAsia"/>
                    <w:szCs w:val="21"/>
                  </w:rPr>
                  <w:t>关联关系</w:t>
                </w:r>
              </w:p>
            </w:tc>
          </w:sdtContent>
        </w:sdt>
        <w:sdt>
          <w:sdtPr>
            <w:tag w:val="_PLD_6926102d22164a98841f060797e60bdf"/>
            <w:id w:val="1973557257"/>
          </w:sdtPr>
          <w:sdtEndPr/>
          <w:sdtContent>
            <w:tc>
              <w:tcPr>
                <w:tcW w:w="715" w:type="pct"/>
                <w:vMerge w:val="restart"/>
                <w:shd w:val="clear" w:color="auto" w:fill="auto"/>
                <w:vAlign w:val="center"/>
              </w:tcPr>
              <w:p w14:paraId="05779991" w14:textId="77777777" w:rsidR="00E57DAA" w:rsidRDefault="00AC4185">
                <w:pPr>
                  <w:autoSpaceDE w:val="0"/>
                  <w:autoSpaceDN w:val="0"/>
                  <w:adjustRightInd w:val="0"/>
                  <w:jc w:val="center"/>
                  <w:rPr>
                    <w:szCs w:val="21"/>
                  </w:rPr>
                </w:pPr>
                <w:r>
                  <w:t>每日最高存款限额</w:t>
                </w:r>
              </w:p>
            </w:tc>
          </w:sdtContent>
        </w:sdt>
        <w:sdt>
          <w:sdtPr>
            <w:tag w:val="_PLD_35120e1d137a49a58b458aa55e4b9d03"/>
            <w:id w:val="1484590922"/>
          </w:sdtPr>
          <w:sdtEndPr/>
          <w:sdtContent>
            <w:tc>
              <w:tcPr>
                <w:tcW w:w="256" w:type="pct"/>
                <w:vMerge w:val="restart"/>
                <w:shd w:val="clear" w:color="auto" w:fill="auto"/>
                <w:vAlign w:val="center"/>
              </w:tcPr>
              <w:p w14:paraId="584B10F0" w14:textId="77777777" w:rsidR="00E57DAA" w:rsidRDefault="00AC4185">
                <w:pPr>
                  <w:autoSpaceDE w:val="0"/>
                  <w:autoSpaceDN w:val="0"/>
                  <w:adjustRightInd w:val="0"/>
                  <w:jc w:val="center"/>
                  <w:rPr>
                    <w:szCs w:val="21"/>
                  </w:rPr>
                </w:pPr>
                <w:r>
                  <w:t>存款利率范围</w:t>
                </w:r>
              </w:p>
            </w:tc>
          </w:sdtContent>
        </w:sdt>
        <w:tc>
          <w:tcPr>
            <w:tcW w:w="256" w:type="pct"/>
            <w:vMerge w:val="restart"/>
            <w:shd w:val="clear" w:color="auto" w:fill="auto"/>
            <w:vAlign w:val="center"/>
          </w:tcPr>
          <w:p w14:paraId="52D5A90B" w14:textId="77777777" w:rsidR="00E57DAA" w:rsidRDefault="00AC4185">
            <w:pPr>
              <w:autoSpaceDE w:val="0"/>
              <w:autoSpaceDN w:val="0"/>
              <w:adjustRightInd w:val="0"/>
              <w:jc w:val="center"/>
              <w:rPr>
                <w:szCs w:val="21"/>
              </w:rPr>
            </w:pPr>
            <w:r>
              <w:rPr>
                <w:rFonts w:hint="eastAsia"/>
                <w:szCs w:val="21"/>
              </w:rPr>
              <w:t>币种</w:t>
            </w:r>
          </w:p>
        </w:tc>
        <w:sdt>
          <w:sdtPr>
            <w:tag w:val="_PLD_3f62fc64d6bc4210a25dd2bd7c73a3b2"/>
            <w:id w:val="-775020156"/>
          </w:sdtPr>
          <w:sdtEndPr/>
          <w:sdtContent>
            <w:tc>
              <w:tcPr>
                <w:tcW w:w="672" w:type="pct"/>
                <w:vMerge w:val="restart"/>
                <w:shd w:val="clear" w:color="auto" w:fill="auto"/>
                <w:vAlign w:val="center"/>
              </w:tcPr>
              <w:p w14:paraId="69C2ED60" w14:textId="77777777" w:rsidR="00E57DAA" w:rsidRDefault="00AC4185">
                <w:pPr>
                  <w:autoSpaceDE w:val="0"/>
                  <w:autoSpaceDN w:val="0"/>
                  <w:adjustRightInd w:val="0"/>
                  <w:jc w:val="center"/>
                  <w:rPr>
                    <w:szCs w:val="21"/>
                  </w:rPr>
                </w:pPr>
                <w:r>
                  <w:t>期初余额</w:t>
                </w:r>
              </w:p>
            </w:tc>
          </w:sdtContent>
        </w:sdt>
        <w:sdt>
          <w:sdtPr>
            <w:tag w:val="_PLD_2c020463045344b1a08898f249b93e22"/>
            <w:id w:val="280234807"/>
          </w:sdtPr>
          <w:sdtEndPr/>
          <w:sdtContent>
            <w:tc>
              <w:tcPr>
                <w:tcW w:w="1339" w:type="pct"/>
                <w:gridSpan w:val="2"/>
                <w:shd w:val="clear" w:color="auto" w:fill="auto"/>
                <w:vAlign w:val="center"/>
              </w:tcPr>
              <w:p w14:paraId="761968AB" w14:textId="77777777" w:rsidR="00E57DAA" w:rsidRDefault="00AC4185">
                <w:pPr>
                  <w:autoSpaceDE w:val="0"/>
                  <w:autoSpaceDN w:val="0"/>
                  <w:adjustRightInd w:val="0"/>
                  <w:jc w:val="center"/>
                </w:pPr>
                <w:r>
                  <w:t>本期发生额</w:t>
                </w:r>
              </w:p>
            </w:tc>
          </w:sdtContent>
        </w:sdt>
        <w:sdt>
          <w:sdtPr>
            <w:tag w:val="_PLD_7256a341c00d4ea9bfda5df6a6c75070"/>
            <w:id w:val="-2053840336"/>
          </w:sdtPr>
          <w:sdtEndPr/>
          <w:sdtContent>
            <w:tc>
              <w:tcPr>
                <w:tcW w:w="588" w:type="pct"/>
                <w:vMerge w:val="restart"/>
                <w:shd w:val="clear" w:color="auto" w:fill="auto"/>
                <w:vAlign w:val="center"/>
              </w:tcPr>
              <w:p w14:paraId="47D15E6F" w14:textId="77777777" w:rsidR="00E57DAA" w:rsidRDefault="00AC4185">
                <w:pPr>
                  <w:autoSpaceDE w:val="0"/>
                  <w:autoSpaceDN w:val="0"/>
                  <w:adjustRightInd w:val="0"/>
                  <w:jc w:val="center"/>
                  <w:rPr>
                    <w:szCs w:val="21"/>
                  </w:rPr>
                </w:pPr>
                <w:r>
                  <w:t>期末余额</w:t>
                </w:r>
              </w:p>
            </w:tc>
          </w:sdtContent>
        </w:sdt>
      </w:tr>
      <w:tr w:rsidR="00E57DAA" w14:paraId="7F1308C0" w14:textId="77777777" w:rsidTr="00E26781">
        <w:tc>
          <w:tcPr>
            <w:tcW w:w="692" w:type="pct"/>
            <w:vMerge/>
            <w:shd w:val="clear" w:color="auto" w:fill="auto"/>
            <w:vAlign w:val="center"/>
          </w:tcPr>
          <w:p w14:paraId="6BE60358" w14:textId="77777777" w:rsidR="00E57DAA" w:rsidRDefault="00E57DAA">
            <w:pPr>
              <w:autoSpaceDE w:val="0"/>
              <w:autoSpaceDN w:val="0"/>
              <w:adjustRightInd w:val="0"/>
              <w:jc w:val="center"/>
              <w:rPr>
                <w:szCs w:val="21"/>
              </w:rPr>
            </w:pPr>
          </w:p>
        </w:tc>
        <w:tc>
          <w:tcPr>
            <w:tcW w:w="482" w:type="pct"/>
            <w:vMerge/>
            <w:shd w:val="clear" w:color="auto" w:fill="auto"/>
            <w:vAlign w:val="center"/>
          </w:tcPr>
          <w:p w14:paraId="721B2C58" w14:textId="77777777" w:rsidR="00E57DAA" w:rsidRDefault="00E57DAA">
            <w:pPr>
              <w:autoSpaceDE w:val="0"/>
              <w:autoSpaceDN w:val="0"/>
              <w:adjustRightInd w:val="0"/>
              <w:jc w:val="center"/>
              <w:rPr>
                <w:szCs w:val="21"/>
              </w:rPr>
            </w:pPr>
          </w:p>
        </w:tc>
        <w:tc>
          <w:tcPr>
            <w:tcW w:w="715" w:type="pct"/>
            <w:vMerge/>
            <w:shd w:val="clear" w:color="auto" w:fill="auto"/>
            <w:vAlign w:val="center"/>
          </w:tcPr>
          <w:p w14:paraId="17812308" w14:textId="77777777" w:rsidR="00E57DAA" w:rsidRDefault="00E57DAA">
            <w:pPr>
              <w:autoSpaceDE w:val="0"/>
              <w:autoSpaceDN w:val="0"/>
              <w:adjustRightInd w:val="0"/>
              <w:jc w:val="center"/>
            </w:pPr>
          </w:p>
        </w:tc>
        <w:tc>
          <w:tcPr>
            <w:tcW w:w="256" w:type="pct"/>
            <w:vMerge/>
            <w:shd w:val="clear" w:color="auto" w:fill="auto"/>
            <w:vAlign w:val="center"/>
          </w:tcPr>
          <w:p w14:paraId="5029B582" w14:textId="77777777" w:rsidR="00E57DAA" w:rsidRDefault="00E57DAA">
            <w:pPr>
              <w:autoSpaceDE w:val="0"/>
              <w:autoSpaceDN w:val="0"/>
              <w:adjustRightInd w:val="0"/>
              <w:jc w:val="center"/>
            </w:pPr>
          </w:p>
        </w:tc>
        <w:tc>
          <w:tcPr>
            <w:tcW w:w="256" w:type="pct"/>
            <w:vMerge/>
            <w:shd w:val="clear" w:color="auto" w:fill="auto"/>
            <w:vAlign w:val="center"/>
          </w:tcPr>
          <w:p w14:paraId="6B2520A1" w14:textId="77777777" w:rsidR="00E57DAA" w:rsidRDefault="00E57DAA">
            <w:pPr>
              <w:autoSpaceDE w:val="0"/>
              <w:autoSpaceDN w:val="0"/>
              <w:adjustRightInd w:val="0"/>
              <w:jc w:val="center"/>
            </w:pPr>
          </w:p>
        </w:tc>
        <w:tc>
          <w:tcPr>
            <w:tcW w:w="672" w:type="pct"/>
            <w:vMerge/>
            <w:shd w:val="clear" w:color="auto" w:fill="auto"/>
            <w:vAlign w:val="center"/>
          </w:tcPr>
          <w:p w14:paraId="0A61A99E" w14:textId="77777777" w:rsidR="00E57DAA" w:rsidRDefault="00E57DAA">
            <w:pPr>
              <w:autoSpaceDE w:val="0"/>
              <w:autoSpaceDN w:val="0"/>
              <w:adjustRightInd w:val="0"/>
              <w:jc w:val="center"/>
            </w:pPr>
          </w:p>
        </w:tc>
        <w:sdt>
          <w:sdtPr>
            <w:rPr>
              <w:rFonts w:hint="eastAsia"/>
            </w:rPr>
            <w:tag w:val="_PLD_a7c089b9b9c848cda9c2d0d39ffd15d1"/>
            <w:id w:val="-1253589651"/>
          </w:sdtPr>
          <w:sdtEndPr/>
          <w:sdtContent>
            <w:tc>
              <w:tcPr>
                <w:tcW w:w="646" w:type="pct"/>
                <w:shd w:val="clear" w:color="auto" w:fill="auto"/>
                <w:vAlign w:val="center"/>
              </w:tcPr>
              <w:p w14:paraId="5FB4BFE1" w14:textId="77777777" w:rsidR="00E57DAA" w:rsidRDefault="00AC4185">
                <w:pPr>
                  <w:autoSpaceDE w:val="0"/>
                  <w:autoSpaceDN w:val="0"/>
                  <w:adjustRightInd w:val="0"/>
                  <w:jc w:val="center"/>
                </w:pPr>
                <w:r>
                  <w:rPr>
                    <w:rFonts w:hint="eastAsia"/>
                  </w:rPr>
                  <w:t>本期合计存入金额</w:t>
                </w:r>
              </w:p>
            </w:tc>
          </w:sdtContent>
        </w:sdt>
        <w:sdt>
          <w:sdtPr>
            <w:rPr>
              <w:rFonts w:hint="eastAsia"/>
            </w:rPr>
            <w:tag w:val="_PLD_d5c42deb4e87457db7957c53e44d1d9b"/>
            <w:id w:val="1601911566"/>
          </w:sdtPr>
          <w:sdtEndPr/>
          <w:sdtContent>
            <w:tc>
              <w:tcPr>
                <w:tcW w:w="693" w:type="pct"/>
              </w:tcPr>
              <w:p w14:paraId="3431FE65" w14:textId="77777777" w:rsidR="00E57DAA" w:rsidRDefault="00AC4185">
                <w:pPr>
                  <w:autoSpaceDE w:val="0"/>
                  <w:autoSpaceDN w:val="0"/>
                  <w:adjustRightInd w:val="0"/>
                  <w:jc w:val="center"/>
                </w:pPr>
                <w:r>
                  <w:rPr>
                    <w:rFonts w:hint="eastAsia"/>
                  </w:rPr>
                  <w:t>本期合计取出金额</w:t>
                </w:r>
              </w:p>
            </w:tc>
          </w:sdtContent>
        </w:sdt>
        <w:tc>
          <w:tcPr>
            <w:tcW w:w="588" w:type="pct"/>
            <w:vMerge/>
            <w:shd w:val="clear" w:color="auto" w:fill="auto"/>
            <w:vAlign w:val="center"/>
          </w:tcPr>
          <w:p w14:paraId="7CF9327E" w14:textId="77777777" w:rsidR="00E57DAA" w:rsidRDefault="00E57DAA">
            <w:pPr>
              <w:autoSpaceDE w:val="0"/>
              <w:autoSpaceDN w:val="0"/>
              <w:adjustRightInd w:val="0"/>
              <w:jc w:val="center"/>
            </w:pPr>
          </w:p>
        </w:tc>
      </w:tr>
      <w:sdt>
        <w:sdtPr>
          <w:rPr>
            <w:szCs w:val="21"/>
          </w:rPr>
          <w:alias w:val="存款业务情况"/>
          <w:tag w:val="_TUP_cc8fdad844724ee7bd12a0f02a6e7338"/>
          <w:id w:val="-777247830"/>
          <w:placeholder>
            <w:docPart w:val="6F24687262F444429988E0E3A051FE21"/>
          </w:placeholder>
        </w:sdtPr>
        <w:sdtEndPr>
          <w:rPr>
            <w:sz w:val="18"/>
            <w:szCs w:val="18"/>
          </w:rPr>
        </w:sdtEndPr>
        <w:sdtContent>
          <w:tr w:rsidR="00E57DAA" w14:paraId="5E74456B" w14:textId="77777777" w:rsidTr="00E26781">
            <w:tc>
              <w:tcPr>
                <w:tcW w:w="692" w:type="pct"/>
                <w:vMerge w:val="restart"/>
                <w:shd w:val="clear" w:color="auto" w:fill="auto"/>
                <w:vAlign w:val="center"/>
              </w:tcPr>
              <w:p w14:paraId="1843AD0E" w14:textId="77777777" w:rsidR="00E57DAA" w:rsidRDefault="00AC4185">
                <w:pPr>
                  <w:autoSpaceDE w:val="0"/>
                  <w:autoSpaceDN w:val="0"/>
                  <w:adjustRightInd w:val="0"/>
                  <w:jc w:val="center"/>
                  <w:rPr>
                    <w:szCs w:val="21"/>
                  </w:rPr>
                </w:pPr>
                <w:r>
                  <w:t>中国建材集团财务有限公司</w:t>
                </w:r>
              </w:p>
            </w:tc>
            <w:tc>
              <w:tcPr>
                <w:tcW w:w="482" w:type="pct"/>
                <w:vMerge w:val="restart"/>
                <w:shd w:val="clear" w:color="auto" w:fill="auto"/>
                <w:vAlign w:val="center"/>
              </w:tcPr>
              <w:p w14:paraId="7752BCF0" w14:textId="77777777" w:rsidR="00E57DAA" w:rsidRDefault="00AC4185">
                <w:pPr>
                  <w:autoSpaceDE w:val="0"/>
                  <w:autoSpaceDN w:val="0"/>
                  <w:adjustRightInd w:val="0"/>
                  <w:jc w:val="center"/>
                  <w:rPr>
                    <w:szCs w:val="21"/>
                  </w:rPr>
                </w:pPr>
                <w:r>
                  <w:t>集团兄弟公司 </w:t>
                </w:r>
              </w:p>
            </w:tc>
            <w:tc>
              <w:tcPr>
                <w:tcW w:w="715" w:type="pct"/>
                <w:vMerge w:val="restart"/>
                <w:shd w:val="clear" w:color="auto" w:fill="auto"/>
                <w:vAlign w:val="center"/>
              </w:tcPr>
              <w:p w14:paraId="3C272EA3" w14:textId="77777777" w:rsidR="00E57DAA" w:rsidRDefault="00AC4185">
                <w:pPr>
                  <w:autoSpaceDE w:val="0"/>
                  <w:autoSpaceDN w:val="0"/>
                  <w:adjustRightInd w:val="0"/>
                  <w:jc w:val="right"/>
                  <w:rPr>
                    <w:sz w:val="18"/>
                    <w:szCs w:val="18"/>
                  </w:rPr>
                </w:pPr>
                <w:r>
                  <w:rPr>
                    <w:sz w:val="18"/>
                    <w:szCs w:val="18"/>
                  </w:rPr>
                  <w:t>4,500,000,000.00  </w:t>
                </w:r>
              </w:p>
            </w:tc>
            <w:tc>
              <w:tcPr>
                <w:tcW w:w="256" w:type="pct"/>
                <w:vMerge w:val="restart"/>
                <w:shd w:val="clear" w:color="auto" w:fill="auto"/>
                <w:vAlign w:val="center"/>
              </w:tcPr>
              <w:p w14:paraId="4634E8F9" w14:textId="77777777" w:rsidR="00E57DAA" w:rsidRDefault="00AC4185">
                <w:pPr>
                  <w:autoSpaceDE w:val="0"/>
                  <w:autoSpaceDN w:val="0"/>
                  <w:adjustRightInd w:val="0"/>
                  <w:jc w:val="right"/>
                  <w:rPr>
                    <w:sz w:val="18"/>
                    <w:szCs w:val="18"/>
                  </w:rPr>
                </w:pPr>
                <w:r>
                  <w:rPr>
                    <w:rFonts w:hint="eastAsia"/>
                    <w:sz w:val="18"/>
                    <w:szCs w:val="18"/>
                  </w:rPr>
                  <w:t>0</w:t>
                </w:r>
                <w:r>
                  <w:rPr>
                    <w:sz w:val="18"/>
                    <w:szCs w:val="18"/>
                  </w:rPr>
                  <w:t>%-4%</w:t>
                </w:r>
              </w:p>
            </w:tc>
            <w:tc>
              <w:tcPr>
                <w:tcW w:w="256" w:type="pct"/>
                <w:shd w:val="clear" w:color="auto" w:fill="auto"/>
                <w:vAlign w:val="center"/>
              </w:tcPr>
              <w:p w14:paraId="76DA766A" w14:textId="77777777" w:rsidR="00E57DAA" w:rsidRDefault="00AC4185">
                <w:pPr>
                  <w:autoSpaceDE w:val="0"/>
                  <w:autoSpaceDN w:val="0"/>
                  <w:adjustRightInd w:val="0"/>
                  <w:jc w:val="right"/>
                  <w:rPr>
                    <w:sz w:val="18"/>
                    <w:szCs w:val="18"/>
                  </w:rPr>
                </w:pPr>
                <w:r>
                  <w:rPr>
                    <w:rFonts w:hint="eastAsia"/>
                    <w:sz w:val="18"/>
                    <w:szCs w:val="18"/>
                  </w:rPr>
                  <w:t>人民币</w:t>
                </w:r>
              </w:p>
            </w:tc>
            <w:tc>
              <w:tcPr>
                <w:tcW w:w="672" w:type="pct"/>
                <w:shd w:val="clear" w:color="auto" w:fill="auto"/>
                <w:vAlign w:val="center"/>
              </w:tcPr>
              <w:p w14:paraId="35FDB82B" w14:textId="77777777" w:rsidR="00E57DAA" w:rsidRDefault="00AC4185">
                <w:pPr>
                  <w:autoSpaceDE w:val="0"/>
                  <w:autoSpaceDN w:val="0"/>
                  <w:adjustRightInd w:val="0"/>
                  <w:jc w:val="right"/>
                  <w:rPr>
                    <w:sz w:val="18"/>
                    <w:szCs w:val="18"/>
                  </w:rPr>
                </w:pPr>
                <w:r>
                  <w:rPr>
                    <w:sz w:val="18"/>
                    <w:szCs w:val="18"/>
                  </w:rPr>
                  <w:t>2,736,924,538.02</w:t>
                </w:r>
              </w:p>
            </w:tc>
            <w:tc>
              <w:tcPr>
                <w:tcW w:w="646" w:type="pct"/>
                <w:shd w:val="clear" w:color="auto" w:fill="auto"/>
                <w:vAlign w:val="center"/>
              </w:tcPr>
              <w:p w14:paraId="618F269B" w14:textId="77777777" w:rsidR="00E57DAA" w:rsidRDefault="00AC4185">
                <w:pPr>
                  <w:autoSpaceDE w:val="0"/>
                  <w:autoSpaceDN w:val="0"/>
                  <w:adjustRightInd w:val="0"/>
                  <w:jc w:val="right"/>
                  <w:rPr>
                    <w:sz w:val="18"/>
                    <w:szCs w:val="18"/>
                  </w:rPr>
                </w:pPr>
                <w:r>
                  <w:rPr>
                    <w:sz w:val="18"/>
                    <w:szCs w:val="18"/>
                  </w:rPr>
                  <w:t>97,671,799,235.25</w:t>
                </w:r>
              </w:p>
            </w:tc>
            <w:tc>
              <w:tcPr>
                <w:tcW w:w="693" w:type="pct"/>
                <w:vAlign w:val="center"/>
              </w:tcPr>
              <w:p w14:paraId="4BC8F21B" w14:textId="77777777" w:rsidR="00E57DAA" w:rsidRDefault="00AC4185">
                <w:pPr>
                  <w:autoSpaceDE w:val="0"/>
                  <w:autoSpaceDN w:val="0"/>
                  <w:adjustRightInd w:val="0"/>
                  <w:jc w:val="right"/>
                  <w:rPr>
                    <w:sz w:val="18"/>
                    <w:szCs w:val="18"/>
                  </w:rPr>
                </w:pPr>
                <w:r>
                  <w:rPr>
                    <w:sz w:val="18"/>
                    <w:szCs w:val="18"/>
                  </w:rPr>
                  <w:t>96,459,094,685.33</w:t>
                </w:r>
              </w:p>
            </w:tc>
            <w:tc>
              <w:tcPr>
                <w:tcW w:w="588" w:type="pct"/>
                <w:shd w:val="clear" w:color="auto" w:fill="auto"/>
                <w:vAlign w:val="center"/>
              </w:tcPr>
              <w:p w14:paraId="76FCE1ED" w14:textId="77777777" w:rsidR="00E57DAA" w:rsidRDefault="00AC4185">
                <w:pPr>
                  <w:autoSpaceDE w:val="0"/>
                  <w:autoSpaceDN w:val="0"/>
                  <w:adjustRightInd w:val="0"/>
                  <w:jc w:val="right"/>
                  <w:rPr>
                    <w:sz w:val="18"/>
                    <w:szCs w:val="18"/>
                  </w:rPr>
                </w:pPr>
                <w:r>
                  <w:rPr>
                    <w:sz w:val="18"/>
                    <w:szCs w:val="18"/>
                  </w:rPr>
                  <w:t>3,949,629,087.94</w:t>
                </w:r>
              </w:p>
            </w:tc>
          </w:tr>
        </w:sdtContent>
      </w:sdt>
      <w:sdt>
        <w:sdtPr>
          <w:rPr>
            <w:szCs w:val="21"/>
          </w:rPr>
          <w:alias w:val="存款业务情况"/>
          <w:tag w:val="_TUP_cc8fdad844724ee7bd12a0f02a6e7338"/>
          <w:id w:val="-1862652878"/>
          <w:placeholder>
            <w:docPart w:val="6F24687262F444429988E0E3A051FE21"/>
          </w:placeholder>
        </w:sdtPr>
        <w:sdtEndPr>
          <w:rPr>
            <w:sz w:val="18"/>
            <w:szCs w:val="18"/>
          </w:rPr>
        </w:sdtEndPr>
        <w:sdtContent>
          <w:tr w:rsidR="00E57DAA" w14:paraId="6BA828FD" w14:textId="77777777" w:rsidTr="00E26781">
            <w:tc>
              <w:tcPr>
                <w:tcW w:w="692" w:type="pct"/>
                <w:vMerge/>
                <w:shd w:val="clear" w:color="auto" w:fill="auto"/>
                <w:vAlign w:val="center"/>
              </w:tcPr>
              <w:p w14:paraId="2D9811AF" w14:textId="77777777" w:rsidR="00E57DAA" w:rsidRDefault="00E57DAA">
                <w:pPr>
                  <w:autoSpaceDE w:val="0"/>
                  <w:autoSpaceDN w:val="0"/>
                  <w:adjustRightInd w:val="0"/>
                  <w:jc w:val="center"/>
                  <w:rPr>
                    <w:szCs w:val="21"/>
                  </w:rPr>
                </w:pPr>
              </w:p>
            </w:tc>
            <w:tc>
              <w:tcPr>
                <w:tcW w:w="482" w:type="pct"/>
                <w:vMerge/>
                <w:shd w:val="clear" w:color="auto" w:fill="auto"/>
                <w:vAlign w:val="center"/>
              </w:tcPr>
              <w:p w14:paraId="3DEB2B0F" w14:textId="77777777" w:rsidR="00E57DAA" w:rsidRDefault="00E57DAA">
                <w:pPr>
                  <w:autoSpaceDE w:val="0"/>
                  <w:autoSpaceDN w:val="0"/>
                  <w:adjustRightInd w:val="0"/>
                  <w:jc w:val="center"/>
                  <w:rPr>
                    <w:szCs w:val="21"/>
                  </w:rPr>
                </w:pPr>
              </w:p>
            </w:tc>
            <w:tc>
              <w:tcPr>
                <w:tcW w:w="715" w:type="pct"/>
                <w:vMerge/>
                <w:shd w:val="clear" w:color="auto" w:fill="auto"/>
                <w:vAlign w:val="center"/>
              </w:tcPr>
              <w:p w14:paraId="01DFB90B" w14:textId="77777777" w:rsidR="00E57DAA" w:rsidRDefault="00E57DAA">
                <w:pPr>
                  <w:autoSpaceDE w:val="0"/>
                  <w:autoSpaceDN w:val="0"/>
                  <w:adjustRightInd w:val="0"/>
                  <w:jc w:val="right"/>
                  <w:rPr>
                    <w:szCs w:val="21"/>
                  </w:rPr>
                </w:pPr>
              </w:p>
            </w:tc>
            <w:tc>
              <w:tcPr>
                <w:tcW w:w="256" w:type="pct"/>
                <w:vMerge/>
                <w:shd w:val="clear" w:color="auto" w:fill="auto"/>
                <w:vAlign w:val="center"/>
              </w:tcPr>
              <w:p w14:paraId="7ECA7F42" w14:textId="77777777" w:rsidR="00E57DAA" w:rsidRDefault="00E57DAA">
                <w:pPr>
                  <w:autoSpaceDE w:val="0"/>
                  <w:autoSpaceDN w:val="0"/>
                  <w:adjustRightInd w:val="0"/>
                  <w:jc w:val="right"/>
                  <w:rPr>
                    <w:szCs w:val="21"/>
                  </w:rPr>
                </w:pPr>
              </w:p>
            </w:tc>
            <w:tc>
              <w:tcPr>
                <w:tcW w:w="256" w:type="pct"/>
                <w:shd w:val="clear" w:color="auto" w:fill="auto"/>
                <w:vAlign w:val="center"/>
              </w:tcPr>
              <w:p w14:paraId="398103E3" w14:textId="77777777" w:rsidR="00E57DAA" w:rsidRDefault="00AC4185">
                <w:pPr>
                  <w:autoSpaceDE w:val="0"/>
                  <w:autoSpaceDN w:val="0"/>
                  <w:adjustRightInd w:val="0"/>
                  <w:jc w:val="right"/>
                  <w:rPr>
                    <w:szCs w:val="21"/>
                  </w:rPr>
                </w:pPr>
                <w:r>
                  <w:rPr>
                    <w:rFonts w:hint="eastAsia"/>
                    <w:szCs w:val="21"/>
                  </w:rPr>
                  <w:t>美元</w:t>
                </w:r>
              </w:p>
            </w:tc>
            <w:tc>
              <w:tcPr>
                <w:tcW w:w="672" w:type="pct"/>
                <w:shd w:val="clear" w:color="auto" w:fill="auto"/>
                <w:vAlign w:val="center"/>
              </w:tcPr>
              <w:p w14:paraId="257EDE14" w14:textId="77777777" w:rsidR="00E57DAA" w:rsidRDefault="00AC4185">
                <w:pPr>
                  <w:autoSpaceDE w:val="0"/>
                  <w:autoSpaceDN w:val="0"/>
                  <w:adjustRightInd w:val="0"/>
                  <w:jc w:val="right"/>
                  <w:rPr>
                    <w:sz w:val="18"/>
                    <w:szCs w:val="18"/>
                  </w:rPr>
                </w:pPr>
                <w:r>
                  <w:rPr>
                    <w:sz w:val="18"/>
                    <w:szCs w:val="18"/>
                  </w:rPr>
                  <w:t>34,312,276.83</w:t>
                </w:r>
              </w:p>
            </w:tc>
            <w:tc>
              <w:tcPr>
                <w:tcW w:w="646" w:type="pct"/>
                <w:shd w:val="clear" w:color="auto" w:fill="auto"/>
                <w:vAlign w:val="center"/>
              </w:tcPr>
              <w:p w14:paraId="0F1A6B1A" w14:textId="77777777" w:rsidR="00E57DAA" w:rsidRDefault="00AC4185">
                <w:pPr>
                  <w:autoSpaceDE w:val="0"/>
                  <w:autoSpaceDN w:val="0"/>
                  <w:adjustRightInd w:val="0"/>
                  <w:jc w:val="right"/>
                  <w:rPr>
                    <w:sz w:val="18"/>
                    <w:szCs w:val="18"/>
                  </w:rPr>
                </w:pPr>
                <w:r>
                  <w:rPr>
                    <w:sz w:val="18"/>
                    <w:szCs w:val="18"/>
                  </w:rPr>
                  <w:t>147,704,046.39</w:t>
                </w:r>
              </w:p>
            </w:tc>
            <w:tc>
              <w:tcPr>
                <w:tcW w:w="693" w:type="pct"/>
                <w:vAlign w:val="center"/>
              </w:tcPr>
              <w:p w14:paraId="038B8304" w14:textId="77777777" w:rsidR="00E57DAA" w:rsidRDefault="00AC4185">
                <w:pPr>
                  <w:autoSpaceDE w:val="0"/>
                  <w:autoSpaceDN w:val="0"/>
                  <w:adjustRightInd w:val="0"/>
                  <w:jc w:val="right"/>
                  <w:rPr>
                    <w:sz w:val="18"/>
                    <w:szCs w:val="18"/>
                  </w:rPr>
                </w:pPr>
                <w:r>
                  <w:rPr>
                    <w:sz w:val="18"/>
                    <w:szCs w:val="18"/>
                  </w:rPr>
                  <w:t>145,417,242.06</w:t>
                </w:r>
              </w:p>
            </w:tc>
            <w:tc>
              <w:tcPr>
                <w:tcW w:w="588" w:type="pct"/>
                <w:shd w:val="clear" w:color="auto" w:fill="auto"/>
                <w:vAlign w:val="center"/>
              </w:tcPr>
              <w:p w14:paraId="1A2DD745" w14:textId="77777777" w:rsidR="00E57DAA" w:rsidRDefault="00AC4185">
                <w:pPr>
                  <w:autoSpaceDE w:val="0"/>
                  <w:autoSpaceDN w:val="0"/>
                  <w:adjustRightInd w:val="0"/>
                  <w:jc w:val="right"/>
                  <w:rPr>
                    <w:sz w:val="18"/>
                    <w:szCs w:val="18"/>
                  </w:rPr>
                </w:pPr>
                <w:r>
                  <w:rPr>
                    <w:sz w:val="18"/>
                    <w:szCs w:val="18"/>
                  </w:rPr>
                  <w:t>36,599,081.16</w:t>
                </w:r>
              </w:p>
            </w:tc>
          </w:tr>
        </w:sdtContent>
      </w:sdt>
      <w:sdt>
        <w:sdtPr>
          <w:rPr>
            <w:szCs w:val="21"/>
          </w:rPr>
          <w:alias w:val="存款业务情况"/>
          <w:tag w:val="_TUP_cc8fdad844724ee7bd12a0f02a6e7338"/>
          <w:id w:val="1269512176"/>
          <w:placeholder>
            <w:docPart w:val="4542760B9C03429AA32454B4F138396F"/>
          </w:placeholder>
        </w:sdtPr>
        <w:sdtEndPr>
          <w:rPr>
            <w:sz w:val="18"/>
            <w:szCs w:val="18"/>
          </w:rPr>
        </w:sdtEndPr>
        <w:sdtContent>
          <w:tr w:rsidR="00E57DAA" w14:paraId="52FFA021" w14:textId="77777777" w:rsidTr="00E26781">
            <w:tc>
              <w:tcPr>
                <w:tcW w:w="692" w:type="pct"/>
                <w:vMerge/>
                <w:shd w:val="clear" w:color="auto" w:fill="auto"/>
                <w:vAlign w:val="center"/>
              </w:tcPr>
              <w:p w14:paraId="2D395138" w14:textId="77777777" w:rsidR="00E57DAA" w:rsidRDefault="00E57DAA">
                <w:pPr>
                  <w:autoSpaceDE w:val="0"/>
                  <w:autoSpaceDN w:val="0"/>
                  <w:adjustRightInd w:val="0"/>
                  <w:jc w:val="center"/>
                  <w:rPr>
                    <w:szCs w:val="21"/>
                  </w:rPr>
                </w:pPr>
              </w:p>
            </w:tc>
            <w:tc>
              <w:tcPr>
                <w:tcW w:w="482" w:type="pct"/>
                <w:vMerge/>
                <w:shd w:val="clear" w:color="auto" w:fill="auto"/>
                <w:vAlign w:val="center"/>
              </w:tcPr>
              <w:p w14:paraId="0AEDACFC" w14:textId="77777777" w:rsidR="00E57DAA" w:rsidRDefault="00E57DAA">
                <w:pPr>
                  <w:autoSpaceDE w:val="0"/>
                  <w:autoSpaceDN w:val="0"/>
                  <w:adjustRightInd w:val="0"/>
                  <w:jc w:val="center"/>
                  <w:rPr>
                    <w:szCs w:val="21"/>
                  </w:rPr>
                </w:pPr>
              </w:p>
            </w:tc>
            <w:tc>
              <w:tcPr>
                <w:tcW w:w="715" w:type="pct"/>
                <w:vMerge/>
                <w:shd w:val="clear" w:color="auto" w:fill="auto"/>
                <w:vAlign w:val="center"/>
              </w:tcPr>
              <w:p w14:paraId="5B11F8A4" w14:textId="77777777" w:rsidR="00E57DAA" w:rsidRDefault="00E57DAA">
                <w:pPr>
                  <w:autoSpaceDE w:val="0"/>
                  <w:autoSpaceDN w:val="0"/>
                  <w:adjustRightInd w:val="0"/>
                  <w:jc w:val="right"/>
                  <w:rPr>
                    <w:szCs w:val="21"/>
                  </w:rPr>
                </w:pPr>
              </w:p>
            </w:tc>
            <w:tc>
              <w:tcPr>
                <w:tcW w:w="256" w:type="pct"/>
                <w:vMerge/>
                <w:shd w:val="clear" w:color="auto" w:fill="auto"/>
                <w:vAlign w:val="center"/>
              </w:tcPr>
              <w:p w14:paraId="5B7C9527" w14:textId="77777777" w:rsidR="00E57DAA" w:rsidRDefault="00E57DAA">
                <w:pPr>
                  <w:autoSpaceDE w:val="0"/>
                  <w:autoSpaceDN w:val="0"/>
                  <w:adjustRightInd w:val="0"/>
                  <w:jc w:val="right"/>
                  <w:rPr>
                    <w:szCs w:val="21"/>
                  </w:rPr>
                </w:pPr>
              </w:p>
            </w:tc>
            <w:tc>
              <w:tcPr>
                <w:tcW w:w="256" w:type="pct"/>
                <w:shd w:val="clear" w:color="auto" w:fill="auto"/>
                <w:vAlign w:val="center"/>
              </w:tcPr>
              <w:p w14:paraId="5572D062" w14:textId="77777777" w:rsidR="00E57DAA" w:rsidRDefault="00AC4185">
                <w:pPr>
                  <w:autoSpaceDE w:val="0"/>
                  <w:autoSpaceDN w:val="0"/>
                  <w:adjustRightInd w:val="0"/>
                  <w:jc w:val="right"/>
                  <w:rPr>
                    <w:szCs w:val="21"/>
                  </w:rPr>
                </w:pPr>
                <w:r>
                  <w:rPr>
                    <w:rFonts w:hint="eastAsia"/>
                    <w:szCs w:val="21"/>
                  </w:rPr>
                  <w:t>欧元</w:t>
                </w:r>
              </w:p>
            </w:tc>
            <w:tc>
              <w:tcPr>
                <w:tcW w:w="672" w:type="pct"/>
                <w:shd w:val="clear" w:color="auto" w:fill="auto"/>
                <w:vAlign w:val="center"/>
              </w:tcPr>
              <w:p w14:paraId="30B129ED" w14:textId="77777777" w:rsidR="00E57DAA" w:rsidRDefault="00AC4185">
                <w:pPr>
                  <w:autoSpaceDE w:val="0"/>
                  <w:autoSpaceDN w:val="0"/>
                  <w:adjustRightInd w:val="0"/>
                  <w:jc w:val="right"/>
                  <w:rPr>
                    <w:sz w:val="18"/>
                    <w:szCs w:val="18"/>
                  </w:rPr>
                </w:pPr>
                <w:r>
                  <w:rPr>
                    <w:sz w:val="18"/>
                    <w:szCs w:val="18"/>
                  </w:rPr>
                  <w:t>3,252,012.84</w:t>
                </w:r>
              </w:p>
            </w:tc>
            <w:tc>
              <w:tcPr>
                <w:tcW w:w="646" w:type="pct"/>
                <w:shd w:val="clear" w:color="auto" w:fill="auto"/>
                <w:vAlign w:val="center"/>
              </w:tcPr>
              <w:p w14:paraId="17A23946" w14:textId="77777777" w:rsidR="00E57DAA" w:rsidRDefault="00AC4185">
                <w:pPr>
                  <w:autoSpaceDE w:val="0"/>
                  <w:autoSpaceDN w:val="0"/>
                  <w:adjustRightInd w:val="0"/>
                  <w:jc w:val="right"/>
                  <w:rPr>
                    <w:sz w:val="18"/>
                    <w:szCs w:val="18"/>
                  </w:rPr>
                </w:pPr>
                <w:r>
                  <w:rPr>
                    <w:sz w:val="18"/>
                    <w:szCs w:val="18"/>
                  </w:rPr>
                  <w:t>4,230,001.89</w:t>
                </w:r>
              </w:p>
            </w:tc>
            <w:tc>
              <w:tcPr>
                <w:tcW w:w="693" w:type="pct"/>
                <w:vAlign w:val="center"/>
              </w:tcPr>
              <w:p w14:paraId="457BF38B" w14:textId="77777777" w:rsidR="00E57DAA" w:rsidRDefault="00AC4185">
                <w:pPr>
                  <w:autoSpaceDE w:val="0"/>
                  <w:autoSpaceDN w:val="0"/>
                  <w:adjustRightInd w:val="0"/>
                  <w:jc w:val="right"/>
                  <w:rPr>
                    <w:sz w:val="18"/>
                    <w:szCs w:val="18"/>
                  </w:rPr>
                </w:pPr>
                <w:r>
                  <w:rPr>
                    <w:sz w:val="18"/>
                    <w:szCs w:val="18"/>
                  </w:rPr>
                  <w:t>5,651,995.48</w:t>
                </w:r>
              </w:p>
            </w:tc>
            <w:tc>
              <w:tcPr>
                <w:tcW w:w="588" w:type="pct"/>
                <w:shd w:val="clear" w:color="auto" w:fill="auto"/>
                <w:vAlign w:val="center"/>
              </w:tcPr>
              <w:p w14:paraId="3F3AEF6B" w14:textId="77777777" w:rsidR="00E57DAA" w:rsidRDefault="00AC4185">
                <w:pPr>
                  <w:autoSpaceDE w:val="0"/>
                  <w:autoSpaceDN w:val="0"/>
                  <w:adjustRightInd w:val="0"/>
                  <w:jc w:val="right"/>
                  <w:rPr>
                    <w:sz w:val="18"/>
                    <w:szCs w:val="18"/>
                  </w:rPr>
                </w:pPr>
                <w:r>
                  <w:rPr>
                    <w:sz w:val="18"/>
                    <w:szCs w:val="18"/>
                  </w:rPr>
                  <w:t>1,830,019.25</w:t>
                </w:r>
              </w:p>
            </w:tc>
          </w:tr>
        </w:sdtContent>
      </w:sdt>
    </w:tbl>
    <w:p w14:paraId="33AEFE09" w14:textId="77777777" w:rsidR="00E57DAA" w:rsidRDefault="00AC4185">
      <w:pPr>
        <w:ind w:firstLineChars="200" w:firstLine="360"/>
        <w:jc w:val="both"/>
        <w:rPr>
          <w:sz w:val="18"/>
          <w:szCs w:val="18"/>
        </w:rPr>
      </w:pPr>
      <w:r>
        <w:rPr>
          <w:rFonts w:hint="eastAsia"/>
          <w:sz w:val="18"/>
          <w:szCs w:val="18"/>
        </w:rPr>
        <w:t>注：此处美元和欧元存款金额均按原币填列。根据期初汇率（1美元=</w:t>
      </w:r>
      <w:r>
        <w:rPr>
          <w:sz w:val="18"/>
          <w:szCs w:val="18"/>
        </w:rPr>
        <w:t>6.9646</w:t>
      </w:r>
      <w:r>
        <w:rPr>
          <w:rFonts w:hint="eastAsia"/>
          <w:sz w:val="18"/>
          <w:szCs w:val="18"/>
        </w:rPr>
        <w:t>人民币，1欧元=</w:t>
      </w:r>
      <w:r>
        <w:rPr>
          <w:sz w:val="18"/>
          <w:szCs w:val="18"/>
        </w:rPr>
        <w:t>7.4229</w:t>
      </w:r>
      <w:r>
        <w:rPr>
          <w:rFonts w:hint="eastAsia"/>
          <w:sz w:val="18"/>
          <w:szCs w:val="18"/>
        </w:rPr>
        <w:t>人民币），期初余额折算人民币</w:t>
      </w:r>
      <w:r>
        <w:rPr>
          <w:sz w:val="18"/>
          <w:szCs w:val="18"/>
        </w:rPr>
        <w:t>3,000,035,187.34</w:t>
      </w:r>
      <w:r>
        <w:rPr>
          <w:rFonts w:hint="eastAsia"/>
          <w:sz w:val="18"/>
          <w:szCs w:val="18"/>
        </w:rPr>
        <w:t>元，与2</w:t>
      </w:r>
      <w:r>
        <w:rPr>
          <w:sz w:val="18"/>
          <w:szCs w:val="18"/>
        </w:rPr>
        <w:t>022</w:t>
      </w:r>
      <w:r>
        <w:rPr>
          <w:rFonts w:hint="eastAsia"/>
          <w:sz w:val="18"/>
          <w:szCs w:val="18"/>
        </w:rPr>
        <w:t>年年度报告披露的期末数据（</w:t>
      </w:r>
      <w:r>
        <w:rPr>
          <w:sz w:val="18"/>
          <w:szCs w:val="18"/>
        </w:rPr>
        <w:t>2,238,932,722.64</w:t>
      </w:r>
      <w:r>
        <w:rPr>
          <w:rFonts w:hint="eastAsia"/>
          <w:sz w:val="18"/>
          <w:szCs w:val="18"/>
        </w:rPr>
        <w:t>元）存在差异（</w:t>
      </w:r>
      <w:r>
        <w:rPr>
          <w:sz w:val="18"/>
          <w:szCs w:val="18"/>
        </w:rPr>
        <w:t>761,102,464.70</w:t>
      </w:r>
      <w:r>
        <w:rPr>
          <w:rFonts w:hint="eastAsia"/>
          <w:sz w:val="18"/>
          <w:szCs w:val="18"/>
        </w:rPr>
        <w:t>元），系报告期内合肥水泥研究设计院有限公司并表，期初数增加所致；根据期末汇率（1美元=</w:t>
      </w:r>
      <w:r>
        <w:rPr>
          <w:sz w:val="18"/>
          <w:szCs w:val="18"/>
        </w:rPr>
        <w:t>7.0827</w:t>
      </w:r>
      <w:r>
        <w:rPr>
          <w:rFonts w:hint="eastAsia"/>
          <w:sz w:val="18"/>
          <w:szCs w:val="18"/>
        </w:rPr>
        <w:t>人民币，1欧元=</w:t>
      </w:r>
      <w:r>
        <w:rPr>
          <w:sz w:val="18"/>
          <w:szCs w:val="18"/>
        </w:rPr>
        <w:t>7.8592</w:t>
      </w:r>
      <w:r>
        <w:rPr>
          <w:rFonts w:hint="eastAsia"/>
          <w:sz w:val="18"/>
          <w:szCs w:val="18"/>
        </w:rPr>
        <w:t>人民币），期末余额折算人民币4,223,231,887.36元。</w:t>
      </w:r>
    </w:p>
    <w:p w14:paraId="5B547643" w14:textId="77777777" w:rsidR="00E57DAA" w:rsidRDefault="00E57DAA">
      <w:pPr>
        <w:ind w:firstLineChars="200" w:firstLine="360"/>
        <w:jc w:val="both"/>
        <w:rPr>
          <w:sz w:val="18"/>
          <w:szCs w:val="18"/>
        </w:rPr>
      </w:pPr>
    </w:p>
    <w:sdt>
      <w:sdtPr>
        <w:rPr>
          <w:rFonts w:ascii="宋体" w:eastAsia="宋体" w:hAnsi="宋体" w:cs="宋体"/>
          <w:b w:val="0"/>
          <w:bCs w:val="0"/>
          <w:kern w:val="0"/>
          <w:szCs w:val="21"/>
        </w:rPr>
        <w:alias w:val="贷款业务"/>
        <w:tag w:val="_SEC_078413d2d27141afa04009ababb6fbe2"/>
        <w:id w:val="834962040"/>
        <w:placeholder>
          <w:docPart w:val="DefaultPlaceholder_-1854013440"/>
        </w:placeholder>
      </w:sdtPr>
      <w:sdtEndPr>
        <w:rPr>
          <w:color w:val="FF0000"/>
        </w:rPr>
      </w:sdtEndPr>
      <w:sdtContent>
        <w:p w14:paraId="5249BDC2" w14:textId="77777777" w:rsidR="00E57DAA" w:rsidRDefault="00AC4185">
          <w:pPr>
            <w:pStyle w:val="4"/>
            <w:numPr>
              <w:ilvl w:val="0"/>
              <w:numId w:val="39"/>
            </w:numPr>
            <w:ind w:left="425" w:hanging="425"/>
            <w:rPr>
              <w:rFonts w:ascii="宋体" w:hAnsi="宋体"/>
            </w:rPr>
          </w:pPr>
          <w:r>
            <w:rPr>
              <w:rFonts w:ascii="宋体" w:hAnsi="宋体" w:hint="eastAsia"/>
            </w:rPr>
            <w:t>贷款业务</w:t>
          </w:r>
        </w:p>
        <w:sdt>
          <w:sdtPr>
            <w:alias w:val="是否适用：贷款业务[双击切换]"/>
            <w:tag w:val="_GBC_c6196556cf0343eb8e53770deb1ab020"/>
            <w:id w:val="987133310"/>
            <w:placeholder>
              <w:docPart w:val="9C1761E986134D47A8428AE4A7383844"/>
            </w:placeholder>
          </w:sdtPr>
          <w:sdtEndPr/>
          <w:sdtContent>
            <w:p w14:paraId="7201980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319171" w14:textId="77777777" w:rsidR="00E57DAA" w:rsidRDefault="00AC4185">
          <w:pPr>
            <w:jc w:val="right"/>
            <w:rPr>
              <w:szCs w:val="21"/>
            </w:rPr>
          </w:pPr>
          <w:r>
            <w:rPr>
              <w:rFonts w:hint="eastAsia"/>
              <w:szCs w:val="21"/>
            </w:rPr>
            <w:t>单位：</w:t>
          </w:r>
          <w:sdt>
            <w:sdtPr>
              <w:rPr>
                <w:rFonts w:hint="eastAsia"/>
                <w:szCs w:val="21"/>
              </w:rPr>
              <w:alias w:val="单位：贷款业务情况"/>
              <w:tag w:val="_GBC_059b0d773c3540e0abdacc61557d8505"/>
              <w:id w:val="-793141092"/>
              <w:placeholder>
                <w:docPart w:val="9C1761E986134D47A8428AE4A7383844"/>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rFonts w:hint="eastAsia"/>
              <w:szCs w:val="21"/>
            </w:rPr>
            <w:t xml:space="preserve">  币种：</w:t>
          </w:r>
          <w:sdt>
            <w:sdtPr>
              <w:rPr>
                <w:rFonts w:hint="eastAsia"/>
                <w:szCs w:val="21"/>
              </w:rPr>
              <w:alias w:val="币种：贷款业务情况"/>
              <w:tag w:val="_GBC_5b5266ae817f40d4806dbf08530678d1"/>
              <w:id w:val="-474064482"/>
              <w:placeholder>
                <w:docPart w:val="9C1761E986134D47A8428AE4A7383844"/>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558"/>
            <w:gridCol w:w="1481"/>
            <w:gridCol w:w="1403"/>
            <w:gridCol w:w="1639"/>
            <w:gridCol w:w="1713"/>
            <w:gridCol w:w="1744"/>
            <w:gridCol w:w="1494"/>
          </w:tblGrid>
          <w:tr w:rsidR="00E57DAA" w14:paraId="4DB1B678" w14:textId="77777777" w:rsidTr="00D2158E">
            <w:sdt>
              <w:sdtPr>
                <w:rPr>
                  <w:rFonts w:hint="eastAsia"/>
                  <w:szCs w:val="21"/>
                </w:rPr>
                <w:tag w:val="_PLD_8e0965e43d7c4fd298089615ced0e338"/>
                <w:id w:val="1431232208"/>
              </w:sdtPr>
              <w:sdtEndPr/>
              <w:sdtContent>
                <w:tc>
                  <w:tcPr>
                    <w:tcW w:w="1021" w:type="pct"/>
                    <w:vMerge w:val="restart"/>
                    <w:shd w:val="clear" w:color="auto" w:fill="auto"/>
                    <w:vAlign w:val="center"/>
                  </w:tcPr>
                  <w:p w14:paraId="02A57AB0" w14:textId="77777777" w:rsidR="00E57DAA" w:rsidRDefault="00AC4185">
                    <w:pPr>
                      <w:autoSpaceDE w:val="0"/>
                      <w:autoSpaceDN w:val="0"/>
                      <w:adjustRightInd w:val="0"/>
                      <w:jc w:val="center"/>
                      <w:rPr>
                        <w:szCs w:val="21"/>
                      </w:rPr>
                    </w:pPr>
                    <w:r>
                      <w:rPr>
                        <w:rFonts w:hint="eastAsia"/>
                        <w:szCs w:val="21"/>
                      </w:rPr>
                      <w:t>关联方</w:t>
                    </w:r>
                  </w:p>
                </w:tc>
              </w:sdtContent>
            </w:sdt>
            <w:sdt>
              <w:sdtPr>
                <w:rPr>
                  <w:rFonts w:hint="eastAsia"/>
                  <w:szCs w:val="21"/>
                </w:rPr>
                <w:tag w:val="_PLD_eac1c86765c94374a80d2720ad60bec4"/>
                <w:id w:val="1212625001"/>
              </w:sdtPr>
              <w:sdtEndPr/>
              <w:sdtContent>
                <w:tc>
                  <w:tcPr>
                    <w:tcW w:w="562" w:type="pct"/>
                    <w:vMerge w:val="restart"/>
                    <w:shd w:val="clear" w:color="auto" w:fill="auto"/>
                    <w:vAlign w:val="center"/>
                  </w:tcPr>
                  <w:p w14:paraId="2160753A" w14:textId="77777777" w:rsidR="00E57DAA" w:rsidRDefault="00AC4185">
                    <w:pPr>
                      <w:autoSpaceDE w:val="0"/>
                      <w:autoSpaceDN w:val="0"/>
                      <w:adjustRightInd w:val="0"/>
                      <w:jc w:val="center"/>
                      <w:rPr>
                        <w:szCs w:val="21"/>
                      </w:rPr>
                    </w:pPr>
                    <w:r>
                      <w:rPr>
                        <w:rFonts w:hint="eastAsia"/>
                        <w:szCs w:val="21"/>
                      </w:rPr>
                      <w:t>关联关系</w:t>
                    </w:r>
                  </w:p>
                </w:tc>
              </w:sdtContent>
            </w:sdt>
            <w:sdt>
              <w:sdtPr>
                <w:tag w:val="_PLD_a268114f151e4f0ab213565705be616c"/>
                <w:id w:val="-2038502904"/>
              </w:sdtPr>
              <w:sdtEndPr/>
              <w:sdtContent>
                <w:tc>
                  <w:tcPr>
                    <w:tcW w:w="534" w:type="pct"/>
                    <w:vMerge w:val="restart"/>
                    <w:shd w:val="clear" w:color="auto" w:fill="auto"/>
                    <w:vAlign w:val="center"/>
                  </w:tcPr>
                  <w:p w14:paraId="0C7DE9E6" w14:textId="77777777" w:rsidR="00E57DAA" w:rsidRDefault="00AC4185">
                    <w:pPr>
                      <w:autoSpaceDE w:val="0"/>
                      <w:autoSpaceDN w:val="0"/>
                      <w:adjustRightInd w:val="0"/>
                      <w:jc w:val="center"/>
                      <w:rPr>
                        <w:szCs w:val="21"/>
                      </w:rPr>
                    </w:pPr>
                    <w:r>
                      <w:t>贷款额度</w:t>
                    </w:r>
                  </w:p>
                </w:tc>
              </w:sdtContent>
            </w:sdt>
            <w:sdt>
              <w:sdtPr>
                <w:tag w:val="_PLD_3132c7cff09d4f0aa6ead8932727bb98"/>
                <w:id w:val="-1316567204"/>
              </w:sdtPr>
              <w:sdtEndPr/>
              <w:sdtContent>
                <w:tc>
                  <w:tcPr>
                    <w:tcW w:w="506" w:type="pct"/>
                    <w:vMerge w:val="restart"/>
                    <w:shd w:val="clear" w:color="auto" w:fill="auto"/>
                    <w:vAlign w:val="center"/>
                  </w:tcPr>
                  <w:p w14:paraId="5582CD08" w14:textId="77777777" w:rsidR="00E57DAA" w:rsidRDefault="00AC4185">
                    <w:pPr>
                      <w:autoSpaceDE w:val="0"/>
                      <w:autoSpaceDN w:val="0"/>
                      <w:adjustRightInd w:val="0"/>
                      <w:jc w:val="center"/>
                      <w:rPr>
                        <w:szCs w:val="21"/>
                      </w:rPr>
                    </w:pPr>
                    <w:r>
                      <w:t>贷款利率范围</w:t>
                    </w:r>
                  </w:p>
                </w:tc>
              </w:sdtContent>
            </w:sdt>
            <w:sdt>
              <w:sdtPr>
                <w:tag w:val="_PLD_aafcde0121d84987a5a4dbade5f61506"/>
                <w:id w:val="-1970668648"/>
              </w:sdtPr>
              <w:sdtEndPr/>
              <w:sdtContent>
                <w:tc>
                  <w:tcPr>
                    <w:tcW w:w="591" w:type="pct"/>
                    <w:vMerge w:val="restart"/>
                    <w:shd w:val="clear" w:color="auto" w:fill="auto"/>
                    <w:vAlign w:val="center"/>
                  </w:tcPr>
                  <w:p w14:paraId="160099C1" w14:textId="77777777" w:rsidR="00E57DAA" w:rsidRDefault="00AC4185">
                    <w:pPr>
                      <w:autoSpaceDE w:val="0"/>
                      <w:autoSpaceDN w:val="0"/>
                      <w:adjustRightInd w:val="0"/>
                      <w:jc w:val="center"/>
                      <w:rPr>
                        <w:szCs w:val="21"/>
                      </w:rPr>
                    </w:pPr>
                    <w:r>
                      <w:t>期初余额</w:t>
                    </w:r>
                  </w:p>
                </w:tc>
              </w:sdtContent>
            </w:sdt>
            <w:sdt>
              <w:sdtPr>
                <w:tag w:val="_PLD_b166840bc9fd4c459f0e2b8d5ffc812f"/>
                <w:id w:val="1607931979"/>
              </w:sdtPr>
              <w:sdtEndPr/>
              <w:sdtContent>
                <w:tc>
                  <w:tcPr>
                    <w:tcW w:w="1247" w:type="pct"/>
                    <w:gridSpan w:val="2"/>
                    <w:shd w:val="clear" w:color="auto" w:fill="auto"/>
                    <w:vAlign w:val="center"/>
                  </w:tcPr>
                  <w:p w14:paraId="30173F88" w14:textId="77777777" w:rsidR="00E57DAA" w:rsidRDefault="00AC4185">
                    <w:pPr>
                      <w:autoSpaceDE w:val="0"/>
                      <w:autoSpaceDN w:val="0"/>
                      <w:adjustRightInd w:val="0"/>
                      <w:jc w:val="center"/>
                    </w:pPr>
                    <w:r>
                      <w:t>本期发生额</w:t>
                    </w:r>
                  </w:p>
                </w:tc>
              </w:sdtContent>
            </w:sdt>
            <w:sdt>
              <w:sdtPr>
                <w:tag w:val="_PLD_8c8a0cecf8874d8e910b7f608531fd2a"/>
                <w:id w:val="1412587941"/>
              </w:sdtPr>
              <w:sdtEndPr/>
              <w:sdtContent>
                <w:tc>
                  <w:tcPr>
                    <w:tcW w:w="539" w:type="pct"/>
                    <w:vMerge w:val="restart"/>
                    <w:shd w:val="clear" w:color="auto" w:fill="auto"/>
                    <w:vAlign w:val="center"/>
                  </w:tcPr>
                  <w:p w14:paraId="06ED03A6" w14:textId="77777777" w:rsidR="00E57DAA" w:rsidRDefault="00AC4185">
                    <w:pPr>
                      <w:autoSpaceDE w:val="0"/>
                      <w:autoSpaceDN w:val="0"/>
                      <w:adjustRightInd w:val="0"/>
                      <w:jc w:val="center"/>
                      <w:rPr>
                        <w:szCs w:val="21"/>
                      </w:rPr>
                    </w:pPr>
                    <w:r>
                      <w:t>期末余额</w:t>
                    </w:r>
                  </w:p>
                </w:tc>
              </w:sdtContent>
            </w:sdt>
          </w:tr>
          <w:tr w:rsidR="00E57DAA" w14:paraId="69CE127E" w14:textId="77777777" w:rsidTr="00D2158E">
            <w:tc>
              <w:tcPr>
                <w:tcW w:w="1021" w:type="pct"/>
                <w:vMerge/>
                <w:shd w:val="clear" w:color="auto" w:fill="auto"/>
                <w:vAlign w:val="center"/>
              </w:tcPr>
              <w:p w14:paraId="35B1F827" w14:textId="77777777" w:rsidR="00E57DAA" w:rsidRDefault="00E57DAA">
                <w:pPr>
                  <w:autoSpaceDE w:val="0"/>
                  <w:autoSpaceDN w:val="0"/>
                  <w:adjustRightInd w:val="0"/>
                  <w:jc w:val="center"/>
                  <w:rPr>
                    <w:szCs w:val="21"/>
                  </w:rPr>
                </w:pPr>
              </w:p>
            </w:tc>
            <w:tc>
              <w:tcPr>
                <w:tcW w:w="562" w:type="pct"/>
                <w:vMerge/>
                <w:shd w:val="clear" w:color="auto" w:fill="auto"/>
                <w:vAlign w:val="center"/>
              </w:tcPr>
              <w:p w14:paraId="0789D2DA" w14:textId="77777777" w:rsidR="00E57DAA" w:rsidRDefault="00E57DAA">
                <w:pPr>
                  <w:autoSpaceDE w:val="0"/>
                  <w:autoSpaceDN w:val="0"/>
                  <w:adjustRightInd w:val="0"/>
                  <w:jc w:val="center"/>
                  <w:rPr>
                    <w:szCs w:val="21"/>
                  </w:rPr>
                </w:pPr>
              </w:p>
            </w:tc>
            <w:tc>
              <w:tcPr>
                <w:tcW w:w="534" w:type="pct"/>
                <w:vMerge/>
                <w:shd w:val="clear" w:color="auto" w:fill="auto"/>
                <w:vAlign w:val="center"/>
              </w:tcPr>
              <w:p w14:paraId="4D6AB123" w14:textId="77777777" w:rsidR="00E57DAA" w:rsidRDefault="00E57DAA">
                <w:pPr>
                  <w:autoSpaceDE w:val="0"/>
                  <w:autoSpaceDN w:val="0"/>
                  <w:adjustRightInd w:val="0"/>
                  <w:jc w:val="center"/>
                </w:pPr>
              </w:p>
            </w:tc>
            <w:tc>
              <w:tcPr>
                <w:tcW w:w="506" w:type="pct"/>
                <w:vMerge/>
                <w:shd w:val="clear" w:color="auto" w:fill="auto"/>
                <w:vAlign w:val="center"/>
              </w:tcPr>
              <w:p w14:paraId="111A718C" w14:textId="77777777" w:rsidR="00E57DAA" w:rsidRDefault="00E57DAA">
                <w:pPr>
                  <w:autoSpaceDE w:val="0"/>
                  <w:autoSpaceDN w:val="0"/>
                  <w:adjustRightInd w:val="0"/>
                  <w:jc w:val="center"/>
                </w:pPr>
              </w:p>
            </w:tc>
            <w:tc>
              <w:tcPr>
                <w:tcW w:w="591" w:type="pct"/>
                <w:vMerge/>
                <w:shd w:val="clear" w:color="auto" w:fill="auto"/>
                <w:vAlign w:val="center"/>
              </w:tcPr>
              <w:p w14:paraId="3E82B591" w14:textId="77777777" w:rsidR="00E57DAA" w:rsidRDefault="00E57DAA">
                <w:pPr>
                  <w:autoSpaceDE w:val="0"/>
                  <w:autoSpaceDN w:val="0"/>
                  <w:adjustRightInd w:val="0"/>
                  <w:jc w:val="center"/>
                </w:pPr>
              </w:p>
            </w:tc>
            <w:sdt>
              <w:sdtPr>
                <w:rPr>
                  <w:rFonts w:hint="eastAsia"/>
                </w:rPr>
                <w:tag w:val="_PLD_613437c37275454bac9cd4fef8554e83"/>
                <w:id w:val="1322695196"/>
              </w:sdtPr>
              <w:sdtEndPr/>
              <w:sdtContent>
                <w:tc>
                  <w:tcPr>
                    <w:tcW w:w="618" w:type="pct"/>
                    <w:shd w:val="clear" w:color="auto" w:fill="auto"/>
                    <w:vAlign w:val="center"/>
                  </w:tcPr>
                  <w:p w14:paraId="377C4DDF" w14:textId="77777777" w:rsidR="00E57DAA" w:rsidRDefault="00AC4185">
                    <w:pPr>
                      <w:autoSpaceDE w:val="0"/>
                      <w:autoSpaceDN w:val="0"/>
                      <w:adjustRightInd w:val="0"/>
                      <w:jc w:val="center"/>
                    </w:pPr>
                    <w:r>
                      <w:rPr>
                        <w:rFonts w:hint="eastAsia"/>
                      </w:rPr>
                      <w:t>本期合计贷款金额</w:t>
                    </w:r>
                  </w:p>
                </w:tc>
              </w:sdtContent>
            </w:sdt>
            <w:sdt>
              <w:sdtPr>
                <w:rPr>
                  <w:rFonts w:hint="eastAsia"/>
                </w:rPr>
                <w:tag w:val="_PLD_44007c6914b54d34922841d5153c0b52"/>
                <w:id w:val="623741837"/>
              </w:sdtPr>
              <w:sdtEndPr/>
              <w:sdtContent>
                <w:tc>
                  <w:tcPr>
                    <w:tcW w:w="629" w:type="pct"/>
                  </w:tcPr>
                  <w:p w14:paraId="36C447D1" w14:textId="77777777" w:rsidR="00E57DAA" w:rsidRDefault="00AC4185">
                    <w:pPr>
                      <w:autoSpaceDE w:val="0"/>
                      <w:autoSpaceDN w:val="0"/>
                      <w:adjustRightInd w:val="0"/>
                      <w:jc w:val="center"/>
                    </w:pPr>
                    <w:r>
                      <w:rPr>
                        <w:rFonts w:hint="eastAsia"/>
                      </w:rPr>
                      <w:t>本期合计还款金额</w:t>
                    </w:r>
                  </w:p>
                </w:tc>
              </w:sdtContent>
            </w:sdt>
            <w:tc>
              <w:tcPr>
                <w:tcW w:w="539" w:type="pct"/>
                <w:vMerge/>
                <w:shd w:val="clear" w:color="auto" w:fill="auto"/>
                <w:vAlign w:val="center"/>
              </w:tcPr>
              <w:p w14:paraId="2303F4AB" w14:textId="77777777" w:rsidR="00E57DAA" w:rsidRDefault="00E57DAA">
                <w:pPr>
                  <w:autoSpaceDE w:val="0"/>
                  <w:autoSpaceDN w:val="0"/>
                  <w:adjustRightInd w:val="0"/>
                  <w:jc w:val="center"/>
                </w:pPr>
              </w:p>
            </w:tc>
          </w:tr>
          <w:sdt>
            <w:sdtPr>
              <w:rPr>
                <w:szCs w:val="21"/>
              </w:rPr>
              <w:alias w:val="贷款业务情况"/>
              <w:tag w:val="_TUP_b19dc69c6c0347b7b685bef51e1446e4"/>
              <w:id w:val="44103828"/>
              <w:placeholder>
                <w:docPart w:val="CB9FEC19226F421F926976D4C1C6FC6D"/>
              </w:placeholder>
            </w:sdtPr>
            <w:sdtEndPr/>
            <w:sdtContent>
              <w:tr w:rsidR="00E57DAA" w14:paraId="5341E80F" w14:textId="77777777" w:rsidTr="00D2158E">
                <w:tc>
                  <w:tcPr>
                    <w:tcW w:w="1021" w:type="pct"/>
                    <w:shd w:val="clear" w:color="auto" w:fill="auto"/>
                    <w:vAlign w:val="center"/>
                  </w:tcPr>
                  <w:p w14:paraId="21A86BD4" w14:textId="77777777" w:rsidR="00E57DAA" w:rsidRDefault="00AC4185">
                    <w:pPr>
                      <w:autoSpaceDE w:val="0"/>
                      <w:autoSpaceDN w:val="0"/>
                      <w:adjustRightInd w:val="0"/>
                      <w:jc w:val="center"/>
                      <w:rPr>
                        <w:szCs w:val="21"/>
                      </w:rPr>
                    </w:pPr>
                    <w:r>
                      <w:t>中国建材集团财务有限公司</w:t>
                    </w:r>
                  </w:p>
                </w:tc>
                <w:tc>
                  <w:tcPr>
                    <w:tcW w:w="562" w:type="pct"/>
                    <w:shd w:val="clear" w:color="auto" w:fill="auto"/>
                    <w:vAlign w:val="center"/>
                  </w:tcPr>
                  <w:p w14:paraId="553D67C0" w14:textId="77777777" w:rsidR="00E57DAA" w:rsidRDefault="00AC4185">
                    <w:pPr>
                      <w:autoSpaceDE w:val="0"/>
                      <w:autoSpaceDN w:val="0"/>
                      <w:adjustRightInd w:val="0"/>
                      <w:jc w:val="center"/>
                      <w:rPr>
                        <w:szCs w:val="21"/>
                      </w:rPr>
                    </w:pPr>
                    <w:r>
                      <w:t>集团兄弟公司</w:t>
                    </w:r>
                  </w:p>
                </w:tc>
                <w:tc>
                  <w:tcPr>
                    <w:tcW w:w="534" w:type="pct"/>
                    <w:shd w:val="clear" w:color="auto" w:fill="auto"/>
                    <w:vAlign w:val="center"/>
                  </w:tcPr>
                  <w:p w14:paraId="2FC21262" w14:textId="77777777" w:rsidR="00E57DAA" w:rsidRDefault="00AC4185">
                    <w:pPr>
                      <w:autoSpaceDE w:val="0"/>
                      <w:autoSpaceDN w:val="0"/>
                      <w:adjustRightInd w:val="0"/>
                      <w:jc w:val="center"/>
                      <w:rPr>
                        <w:szCs w:val="21"/>
                      </w:rPr>
                    </w:pPr>
                    <w:r>
                      <w:t>610,000</w:t>
                    </w:r>
                    <w:r>
                      <w:rPr>
                        <w:rFonts w:hint="eastAsia"/>
                      </w:rPr>
                      <w:t>.00</w:t>
                    </w:r>
                  </w:p>
                </w:tc>
                <w:tc>
                  <w:tcPr>
                    <w:tcW w:w="506" w:type="pct"/>
                    <w:shd w:val="clear" w:color="auto" w:fill="auto"/>
                    <w:vAlign w:val="center"/>
                  </w:tcPr>
                  <w:p w14:paraId="43480714" w14:textId="77777777" w:rsidR="00E57DAA" w:rsidRDefault="00AC4185">
                    <w:pPr>
                      <w:autoSpaceDE w:val="0"/>
                      <w:autoSpaceDN w:val="0"/>
                      <w:adjustRightInd w:val="0"/>
                      <w:jc w:val="center"/>
                      <w:rPr>
                        <w:szCs w:val="21"/>
                      </w:rPr>
                    </w:pPr>
                    <w:r>
                      <w:t>2.75%-3.45%</w:t>
                    </w:r>
                  </w:p>
                </w:tc>
                <w:tc>
                  <w:tcPr>
                    <w:tcW w:w="591" w:type="pct"/>
                    <w:shd w:val="clear" w:color="auto" w:fill="auto"/>
                    <w:vAlign w:val="center"/>
                  </w:tcPr>
                  <w:p w14:paraId="3D445D10" w14:textId="77777777" w:rsidR="00E57DAA" w:rsidRDefault="00AC4185">
                    <w:pPr>
                      <w:autoSpaceDE w:val="0"/>
                      <w:autoSpaceDN w:val="0"/>
                      <w:adjustRightInd w:val="0"/>
                      <w:jc w:val="right"/>
                      <w:rPr>
                        <w:szCs w:val="21"/>
                      </w:rPr>
                    </w:pPr>
                    <w:r>
                      <w:t>82,650</w:t>
                    </w:r>
                    <w:r>
                      <w:rPr>
                        <w:rFonts w:hint="eastAsia"/>
                      </w:rPr>
                      <w:t>.00</w:t>
                    </w:r>
                  </w:p>
                </w:tc>
                <w:tc>
                  <w:tcPr>
                    <w:tcW w:w="618" w:type="pct"/>
                    <w:shd w:val="clear" w:color="auto" w:fill="auto"/>
                    <w:vAlign w:val="center"/>
                  </w:tcPr>
                  <w:p w14:paraId="02B2FDA4" w14:textId="77777777" w:rsidR="00E57DAA" w:rsidRDefault="00AC4185">
                    <w:pPr>
                      <w:autoSpaceDE w:val="0"/>
                      <w:autoSpaceDN w:val="0"/>
                      <w:adjustRightInd w:val="0"/>
                      <w:jc w:val="right"/>
                      <w:rPr>
                        <w:szCs w:val="21"/>
                      </w:rPr>
                    </w:pPr>
                    <w:r>
                      <w:t>78,650</w:t>
                    </w:r>
                    <w:r>
                      <w:rPr>
                        <w:rFonts w:hint="eastAsia"/>
                      </w:rPr>
                      <w:t>.00</w:t>
                    </w:r>
                  </w:p>
                </w:tc>
                <w:tc>
                  <w:tcPr>
                    <w:tcW w:w="629" w:type="pct"/>
                    <w:vAlign w:val="center"/>
                  </w:tcPr>
                  <w:p w14:paraId="27B9335A" w14:textId="77777777" w:rsidR="00E57DAA" w:rsidRDefault="00AC4185">
                    <w:pPr>
                      <w:autoSpaceDE w:val="0"/>
                      <w:autoSpaceDN w:val="0"/>
                      <w:adjustRightInd w:val="0"/>
                      <w:jc w:val="right"/>
                      <w:rPr>
                        <w:szCs w:val="21"/>
                      </w:rPr>
                    </w:pPr>
                    <w:r>
                      <w:t>38,900</w:t>
                    </w:r>
                    <w:r>
                      <w:rPr>
                        <w:rFonts w:hint="eastAsia"/>
                      </w:rPr>
                      <w:t>.00</w:t>
                    </w:r>
                  </w:p>
                </w:tc>
                <w:tc>
                  <w:tcPr>
                    <w:tcW w:w="539" w:type="pct"/>
                    <w:shd w:val="clear" w:color="auto" w:fill="auto"/>
                    <w:vAlign w:val="center"/>
                  </w:tcPr>
                  <w:p w14:paraId="06F3D513" w14:textId="77777777" w:rsidR="00E57DAA" w:rsidRDefault="00AC4185">
                    <w:pPr>
                      <w:autoSpaceDE w:val="0"/>
                      <w:autoSpaceDN w:val="0"/>
                      <w:adjustRightInd w:val="0"/>
                      <w:jc w:val="right"/>
                      <w:rPr>
                        <w:szCs w:val="21"/>
                      </w:rPr>
                    </w:pPr>
                    <w:r>
                      <w:t>122,400</w:t>
                    </w:r>
                    <w:r>
                      <w:rPr>
                        <w:rFonts w:hint="eastAsia"/>
                      </w:rPr>
                      <w:t>.00</w:t>
                    </w:r>
                  </w:p>
                </w:tc>
              </w:tr>
            </w:sdtContent>
          </w:sdt>
          <w:tr w:rsidR="00E57DAA" w14:paraId="5D361F49" w14:textId="77777777" w:rsidTr="00D2158E">
            <w:tc>
              <w:tcPr>
                <w:tcW w:w="1021" w:type="pct"/>
                <w:shd w:val="clear" w:color="auto" w:fill="auto"/>
                <w:vAlign w:val="center"/>
              </w:tcPr>
              <w:sdt>
                <w:sdtPr>
                  <w:rPr>
                    <w:szCs w:val="21"/>
                  </w:rPr>
                  <w:tag w:val="_PLD_1d5e13806c424797a88f207c009263b9"/>
                  <w:id w:val="-1047450671"/>
                </w:sdtPr>
                <w:sdtEndPr/>
                <w:sdtContent>
                  <w:p w14:paraId="22705D18" w14:textId="77777777" w:rsidR="00E57DAA" w:rsidRDefault="00AC4185">
                    <w:pPr>
                      <w:autoSpaceDE w:val="0"/>
                      <w:autoSpaceDN w:val="0"/>
                      <w:adjustRightInd w:val="0"/>
                      <w:jc w:val="center"/>
                      <w:rPr>
                        <w:szCs w:val="21"/>
                      </w:rPr>
                    </w:pPr>
                    <w:r>
                      <w:rPr>
                        <w:szCs w:val="21"/>
                      </w:rPr>
                      <w:t>合计</w:t>
                    </w:r>
                  </w:p>
                </w:sdtContent>
              </w:sdt>
            </w:tc>
            <w:tc>
              <w:tcPr>
                <w:tcW w:w="562" w:type="pct"/>
                <w:shd w:val="clear" w:color="auto" w:fill="auto"/>
                <w:vAlign w:val="center"/>
              </w:tcPr>
              <w:p w14:paraId="4BB02CCC" w14:textId="77777777" w:rsidR="00E57DAA" w:rsidRDefault="00AC4185">
                <w:pPr>
                  <w:autoSpaceDE w:val="0"/>
                  <w:autoSpaceDN w:val="0"/>
                  <w:adjustRightInd w:val="0"/>
                  <w:jc w:val="center"/>
                  <w:rPr>
                    <w:szCs w:val="21"/>
                  </w:rPr>
                </w:pPr>
                <w:r>
                  <w:rPr>
                    <w:rFonts w:hint="eastAsia"/>
                    <w:szCs w:val="21"/>
                  </w:rPr>
                  <w:t>/</w:t>
                </w:r>
              </w:p>
            </w:tc>
            <w:tc>
              <w:tcPr>
                <w:tcW w:w="534" w:type="pct"/>
                <w:shd w:val="clear" w:color="auto" w:fill="auto"/>
                <w:vAlign w:val="center"/>
              </w:tcPr>
              <w:p w14:paraId="40B36819" w14:textId="77777777" w:rsidR="00E57DAA" w:rsidRDefault="00AC4185">
                <w:pPr>
                  <w:autoSpaceDE w:val="0"/>
                  <w:autoSpaceDN w:val="0"/>
                  <w:adjustRightInd w:val="0"/>
                  <w:jc w:val="right"/>
                  <w:rPr>
                    <w:szCs w:val="21"/>
                  </w:rPr>
                </w:pPr>
                <w:r>
                  <w:rPr>
                    <w:rFonts w:hint="eastAsia"/>
                    <w:szCs w:val="21"/>
                  </w:rPr>
                  <w:t>/</w:t>
                </w:r>
              </w:p>
            </w:tc>
            <w:tc>
              <w:tcPr>
                <w:tcW w:w="506" w:type="pct"/>
                <w:shd w:val="clear" w:color="auto" w:fill="auto"/>
                <w:vAlign w:val="center"/>
              </w:tcPr>
              <w:p w14:paraId="3DAD66B1" w14:textId="77777777" w:rsidR="00E57DAA" w:rsidRDefault="00AC4185">
                <w:pPr>
                  <w:autoSpaceDE w:val="0"/>
                  <w:autoSpaceDN w:val="0"/>
                  <w:adjustRightInd w:val="0"/>
                  <w:jc w:val="right"/>
                  <w:rPr>
                    <w:szCs w:val="21"/>
                  </w:rPr>
                </w:pPr>
                <w:r>
                  <w:rPr>
                    <w:rFonts w:hint="eastAsia"/>
                    <w:szCs w:val="21"/>
                  </w:rPr>
                  <w:t>/</w:t>
                </w:r>
              </w:p>
            </w:tc>
            <w:tc>
              <w:tcPr>
                <w:tcW w:w="591" w:type="pct"/>
                <w:shd w:val="clear" w:color="auto" w:fill="auto"/>
                <w:vAlign w:val="center"/>
              </w:tcPr>
              <w:p w14:paraId="40496573" w14:textId="77777777" w:rsidR="00E57DAA" w:rsidRDefault="00AC4185">
                <w:pPr>
                  <w:autoSpaceDE w:val="0"/>
                  <w:autoSpaceDN w:val="0"/>
                  <w:adjustRightInd w:val="0"/>
                  <w:jc w:val="right"/>
                  <w:rPr>
                    <w:szCs w:val="21"/>
                  </w:rPr>
                </w:pPr>
                <w:r>
                  <w:t>82,650</w:t>
                </w:r>
                <w:r>
                  <w:rPr>
                    <w:rFonts w:hint="eastAsia"/>
                  </w:rPr>
                  <w:t>.00</w:t>
                </w:r>
              </w:p>
            </w:tc>
            <w:tc>
              <w:tcPr>
                <w:tcW w:w="618" w:type="pct"/>
                <w:shd w:val="clear" w:color="auto" w:fill="auto"/>
                <w:vAlign w:val="center"/>
              </w:tcPr>
              <w:p w14:paraId="5AC5BBC0" w14:textId="77777777" w:rsidR="00E57DAA" w:rsidRDefault="00AC4185">
                <w:pPr>
                  <w:autoSpaceDE w:val="0"/>
                  <w:autoSpaceDN w:val="0"/>
                  <w:adjustRightInd w:val="0"/>
                  <w:jc w:val="right"/>
                  <w:rPr>
                    <w:szCs w:val="21"/>
                  </w:rPr>
                </w:pPr>
                <w:r>
                  <w:t>78,650</w:t>
                </w:r>
                <w:r>
                  <w:rPr>
                    <w:rFonts w:hint="eastAsia"/>
                  </w:rPr>
                  <w:t>.00</w:t>
                </w:r>
              </w:p>
            </w:tc>
            <w:tc>
              <w:tcPr>
                <w:tcW w:w="629" w:type="pct"/>
                <w:vAlign w:val="center"/>
              </w:tcPr>
              <w:p w14:paraId="6EC09FD2" w14:textId="77777777" w:rsidR="00E57DAA" w:rsidRDefault="00AC4185">
                <w:pPr>
                  <w:autoSpaceDE w:val="0"/>
                  <w:autoSpaceDN w:val="0"/>
                  <w:adjustRightInd w:val="0"/>
                  <w:jc w:val="right"/>
                  <w:rPr>
                    <w:szCs w:val="21"/>
                  </w:rPr>
                </w:pPr>
                <w:r>
                  <w:t>38,900</w:t>
                </w:r>
                <w:r>
                  <w:rPr>
                    <w:rFonts w:hint="eastAsia"/>
                  </w:rPr>
                  <w:t>.00</w:t>
                </w:r>
              </w:p>
            </w:tc>
            <w:tc>
              <w:tcPr>
                <w:tcW w:w="539" w:type="pct"/>
                <w:shd w:val="clear" w:color="auto" w:fill="auto"/>
                <w:vAlign w:val="center"/>
              </w:tcPr>
              <w:p w14:paraId="6EC02AC8" w14:textId="77777777" w:rsidR="00E57DAA" w:rsidRDefault="00AC4185">
                <w:pPr>
                  <w:autoSpaceDE w:val="0"/>
                  <w:autoSpaceDN w:val="0"/>
                  <w:adjustRightInd w:val="0"/>
                  <w:jc w:val="right"/>
                  <w:rPr>
                    <w:szCs w:val="21"/>
                  </w:rPr>
                </w:pPr>
                <w:r>
                  <w:t>122,400</w:t>
                </w:r>
                <w:r>
                  <w:rPr>
                    <w:rFonts w:hint="eastAsia"/>
                  </w:rPr>
                  <w:t>.00</w:t>
                </w:r>
              </w:p>
            </w:tc>
          </w:tr>
        </w:tbl>
        <w:p w14:paraId="005B0B44" w14:textId="77777777" w:rsidR="00E57DAA" w:rsidRDefault="00EB41A1">
          <w:pPr>
            <w:rPr>
              <w:color w:val="FF0000"/>
              <w:szCs w:val="21"/>
            </w:rPr>
          </w:pPr>
        </w:p>
      </w:sdtContent>
    </w:sdt>
    <w:p w14:paraId="3FCBD7B7" w14:textId="77777777" w:rsidR="00E57DAA" w:rsidRDefault="00AC4185">
      <w:pPr>
        <w:pStyle w:val="4"/>
        <w:numPr>
          <w:ilvl w:val="0"/>
          <w:numId w:val="39"/>
        </w:numPr>
        <w:ind w:left="425" w:hanging="425"/>
        <w:rPr>
          <w:rFonts w:ascii="宋体" w:hAnsi="宋体" w:cs="宋体"/>
          <w:kern w:val="0"/>
          <w:szCs w:val="24"/>
        </w:rPr>
      </w:pPr>
      <w:r>
        <w:rPr>
          <w:rFonts w:ascii="宋体" w:hAnsi="宋体" w:cs="宋体"/>
          <w:kern w:val="0"/>
          <w:szCs w:val="24"/>
        </w:rPr>
        <w:t>授信业务或其他金融业务</w:t>
      </w:r>
    </w:p>
    <w:sdt>
      <w:sdtPr>
        <w:rPr>
          <w:rFonts w:hint="eastAsia"/>
          <w:szCs w:val="21"/>
        </w:rPr>
        <w:alias w:val="是否适用：授信业务或其他金融业务[双击切换]"/>
        <w:tag w:val="_GBC_2f9c3833f7e34ead9932532e40fbb1b9"/>
        <w:id w:val="-1672414786"/>
      </w:sdtPr>
      <w:sdtEndPr/>
      <w:sdtContent>
        <w:p w14:paraId="0A1F612D" w14:textId="77777777" w:rsidR="00E57DAA" w:rsidRDefault="00AC4185">
          <w:pPr>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70DFA71A" w14:textId="77777777" w:rsidR="00E57DAA" w:rsidRDefault="00AC4185">
      <w:pPr>
        <w:jc w:val="right"/>
        <w:rPr>
          <w:szCs w:val="21"/>
        </w:rPr>
      </w:pPr>
      <w:r>
        <w:rPr>
          <w:rFonts w:hint="eastAsia"/>
          <w:szCs w:val="21"/>
        </w:rPr>
        <w:lastRenderedPageBreak/>
        <w:t>单位：</w:t>
      </w:r>
      <w:sdt>
        <w:sdtPr>
          <w:rPr>
            <w:rFonts w:hint="eastAsia"/>
            <w:szCs w:val="21"/>
          </w:rPr>
          <w:alias w:val="单位：授信业务或其他金融业务"/>
          <w:tag w:val="_GBC_bd084ea580fc4d9d9e4958d6be5b126d"/>
          <w:id w:val="1276826753"/>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rFonts w:hint="eastAsia"/>
          <w:szCs w:val="21"/>
        </w:rPr>
        <w:t xml:space="preserve">  币种：</w:t>
      </w:r>
      <w:sdt>
        <w:sdtPr>
          <w:rPr>
            <w:rFonts w:hint="eastAsia"/>
            <w:szCs w:val="21"/>
          </w:rPr>
          <w:alias w:val="币种：授信业务或其他金融业务"/>
          <w:tag w:val="_GBC_57fcdc4bec904580bf2207f3850b4bfc"/>
          <w:id w:val="-1035351212"/>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9"/>
        <w:gridCol w:w="2672"/>
        <w:gridCol w:w="2008"/>
        <w:gridCol w:w="1952"/>
        <w:gridCol w:w="2545"/>
      </w:tblGrid>
      <w:tr w:rsidR="00E57DAA" w14:paraId="689FF22E" w14:textId="77777777">
        <w:sdt>
          <w:sdtPr>
            <w:rPr>
              <w:rFonts w:ascii="宋体" w:hAnsi="宋体" w:hint="eastAsia"/>
              <w:szCs w:val="21"/>
            </w:rPr>
            <w:tag w:val="_PLD_da5529c13904408187ba2be3414cbaec"/>
            <w:id w:val="-1033730987"/>
          </w:sdtPr>
          <w:sdtEndPr/>
          <w:sdtContent>
            <w:tc>
              <w:tcPr>
                <w:tcW w:w="1686" w:type="pct"/>
                <w:shd w:val="clear" w:color="auto" w:fill="auto"/>
                <w:vAlign w:val="center"/>
              </w:tcPr>
              <w:p w14:paraId="4F1A93A5" w14:textId="77777777" w:rsidR="00E57DAA" w:rsidRDefault="00AC4185">
                <w:pPr>
                  <w:pStyle w:val="affe"/>
                  <w:jc w:val="center"/>
                  <w:rPr>
                    <w:rFonts w:ascii="宋体" w:hAnsi="宋体"/>
                    <w:szCs w:val="21"/>
                  </w:rPr>
                </w:pPr>
                <w:r>
                  <w:rPr>
                    <w:rFonts w:ascii="宋体" w:hAnsi="宋体" w:hint="eastAsia"/>
                    <w:szCs w:val="21"/>
                  </w:rPr>
                  <w:t>关联方</w:t>
                </w:r>
              </w:p>
            </w:tc>
          </w:sdtContent>
        </w:sdt>
        <w:sdt>
          <w:sdtPr>
            <w:rPr>
              <w:rFonts w:ascii="宋体" w:hAnsi="宋体" w:hint="eastAsia"/>
              <w:szCs w:val="21"/>
            </w:rPr>
            <w:tag w:val="_PLD_07e3bda8d1ae484d9c9d6729c395dea4"/>
            <w:id w:val="142390645"/>
          </w:sdtPr>
          <w:sdtEndPr/>
          <w:sdtContent>
            <w:tc>
              <w:tcPr>
                <w:tcW w:w="965" w:type="pct"/>
                <w:shd w:val="clear" w:color="auto" w:fill="auto"/>
                <w:vAlign w:val="center"/>
              </w:tcPr>
              <w:p w14:paraId="499EFCE1" w14:textId="77777777" w:rsidR="00E57DAA" w:rsidRDefault="00AC4185">
                <w:pPr>
                  <w:pStyle w:val="affe"/>
                  <w:jc w:val="center"/>
                  <w:rPr>
                    <w:rFonts w:ascii="宋体" w:hAnsi="宋体"/>
                    <w:szCs w:val="21"/>
                  </w:rPr>
                </w:pPr>
                <w:r>
                  <w:rPr>
                    <w:rFonts w:ascii="宋体" w:hAnsi="宋体" w:hint="eastAsia"/>
                    <w:szCs w:val="21"/>
                  </w:rPr>
                  <w:t>关联关系</w:t>
                </w:r>
              </w:p>
            </w:tc>
          </w:sdtContent>
        </w:sdt>
        <w:sdt>
          <w:sdtPr>
            <w:rPr>
              <w:rFonts w:ascii="宋体" w:hAnsi="宋体" w:hint="eastAsia"/>
              <w:szCs w:val="21"/>
            </w:rPr>
            <w:tag w:val="_PLD_6646e1edc0584c58b833d3c8a2c0c141"/>
            <w:id w:val="-1182357424"/>
          </w:sdtPr>
          <w:sdtEndPr/>
          <w:sdtContent>
            <w:tc>
              <w:tcPr>
                <w:tcW w:w="725" w:type="pct"/>
                <w:shd w:val="clear" w:color="auto" w:fill="auto"/>
                <w:vAlign w:val="center"/>
              </w:tcPr>
              <w:p w14:paraId="735818B4" w14:textId="77777777" w:rsidR="00E57DAA" w:rsidRDefault="00AC4185">
                <w:pPr>
                  <w:pStyle w:val="affe"/>
                  <w:jc w:val="center"/>
                  <w:rPr>
                    <w:rFonts w:ascii="宋体" w:hAnsi="宋体"/>
                    <w:szCs w:val="21"/>
                  </w:rPr>
                </w:pPr>
                <w:r>
                  <w:rPr>
                    <w:rFonts w:ascii="宋体" w:hAnsi="宋体" w:hint="eastAsia"/>
                    <w:szCs w:val="21"/>
                  </w:rPr>
                  <w:t>业务类型</w:t>
                </w:r>
              </w:p>
            </w:tc>
          </w:sdtContent>
        </w:sdt>
        <w:sdt>
          <w:sdtPr>
            <w:rPr>
              <w:rFonts w:ascii="宋体" w:hAnsi="宋体" w:hint="eastAsia"/>
              <w:szCs w:val="21"/>
            </w:rPr>
            <w:tag w:val="_PLD_4f2f5ad60a7546ccbfd337b0becc5f0e"/>
            <w:id w:val="1520049652"/>
          </w:sdtPr>
          <w:sdtEndPr/>
          <w:sdtContent>
            <w:tc>
              <w:tcPr>
                <w:tcW w:w="705" w:type="pct"/>
                <w:shd w:val="clear" w:color="auto" w:fill="auto"/>
                <w:vAlign w:val="center"/>
              </w:tcPr>
              <w:p w14:paraId="15B8B0D9" w14:textId="77777777" w:rsidR="00E57DAA" w:rsidRDefault="00AC4185">
                <w:pPr>
                  <w:pStyle w:val="affe"/>
                  <w:jc w:val="center"/>
                  <w:rPr>
                    <w:rFonts w:ascii="宋体" w:hAnsi="宋体"/>
                    <w:szCs w:val="21"/>
                  </w:rPr>
                </w:pPr>
                <w:r>
                  <w:rPr>
                    <w:rFonts w:ascii="宋体" w:hAnsi="宋体" w:hint="eastAsia"/>
                    <w:szCs w:val="21"/>
                  </w:rPr>
                  <w:t>总额</w:t>
                </w:r>
              </w:p>
            </w:tc>
          </w:sdtContent>
        </w:sdt>
        <w:sdt>
          <w:sdtPr>
            <w:rPr>
              <w:rFonts w:ascii="宋体" w:hAnsi="宋体" w:hint="eastAsia"/>
              <w:szCs w:val="21"/>
            </w:rPr>
            <w:tag w:val="_PLD_e085245bbfaf447fa9513040555f64e9"/>
            <w:id w:val="1427925422"/>
          </w:sdtPr>
          <w:sdtEndPr/>
          <w:sdtContent>
            <w:tc>
              <w:tcPr>
                <w:tcW w:w="919" w:type="pct"/>
                <w:shd w:val="clear" w:color="auto" w:fill="auto"/>
                <w:vAlign w:val="center"/>
              </w:tcPr>
              <w:p w14:paraId="69652742" w14:textId="77777777" w:rsidR="00E57DAA" w:rsidRDefault="00AC4185">
                <w:pPr>
                  <w:pStyle w:val="affe"/>
                  <w:jc w:val="center"/>
                  <w:rPr>
                    <w:rFonts w:ascii="宋体" w:hAnsi="宋体"/>
                    <w:szCs w:val="21"/>
                  </w:rPr>
                </w:pPr>
                <w:r>
                  <w:rPr>
                    <w:rFonts w:ascii="宋体" w:hAnsi="宋体" w:hint="eastAsia"/>
                    <w:szCs w:val="21"/>
                  </w:rPr>
                  <w:t>实际发生额</w:t>
                </w:r>
              </w:p>
            </w:tc>
          </w:sdtContent>
        </w:sdt>
      </w:tr>
      <w:sdt>
        <w:sdtPr>
          <w:rPr>
            <w:szCs w:val="21"/>
          </w:rPr>
          <w:alias w:val="授信业务或其他金融业务"/>
          <w:tag w:val="_TUP_bee771446fd5413291791b9201cdc3d0"/>
          <w:id w:val="-1800536168"/>
          <w:lock w:val="sdtLocked"/>
          <w:placeholder>
            <w:docPart w:val="78B8BB26C0AD4BCC849F2429F9E1AC3E"/>
          </w:placeholder>
        </w:sdtPr>
        <w:sdtEndPr/>
        <w:sdtContent>
          <w:tr w:rsidR="00E57DAA" w14:paraId="6A5167F6" w14:textId="77777777">
            <w:tc>
              <w:tcPr>
                <w:tcW w:w="1686" w:type="pct"/>
                <w:shd w:val="clear" w:color="auto" w:fill="auto"/>
                <w:vAlign w:val="center"/>
              </w:tcPr>
              <w:p w14:paraId="5B1ABB6E" w14:textId="77777777" w:rsidR="00E57DAA" w:rsidRDefault="00AC4185">
                <w:pPr>
                  <w:autoSpaceDE w:val="0"/>
                  <w:autoSpaceDN w:val="0"/>
                  <w:adjustRightInd w:val="0"/>
                  <w:rPr>
                    <w:szCs w:val="21"/>
                  </w:rPr>
                </w:pPr>
                <w:r>
                  <w:t>中国建材集团财务有限公司</w:t>
                </w:r>
              </w:p>
            </w:tc>
            <w:tc>
              <w:tcPr>
                <w:tcW w:w="965" w:type="pct"/>
                <w:shd w:val="clear" w:color="auto" w:fill="auto"/>
                <w:vAlign w:val="center"/>
              </w:tcPr>
              <w:p w14:paraId="2B955A4E" w14:textId="77777777" w:rsidR="00E57DAA" w:rsidRDefault="00AC4185">
                <w:pPr>
                  <w:autoSpaceDE w:val="0"/>
                  <w:autoSpaceDN w:val="0"/>
                  <w:adjustRightInd w:val="0"/>
                  <w:rPr>
                    <w:szCs w:val="21"/>
                  </w:rPr>
                </w:pPr>
                <w:r>
                  <w:t>集团兄弟公司</w:t>
                </w:r>
              </w:p>
            </w:tc>
            <w:tc>
              <w:tcPr>
                <w:tcW w:w="725" w:type="pct"/>
                <w:shd w:val="clear" w:color="auto" w:fill="auto"/>
                <w:vAlign w:val="center"/>
              </w:tcPr>
              <w:p w14:paraId="1BB63908" w14:textId="77777777" w:rsidR="00E57DAA" w:rsidRDefault="00AC4185">
                <w:pPr>
                  <w:autoSpaceDE w:val="0"/>
                  <w:autoSpaceDN w:val="0"/>
                  <w:adjustRightInd w:val="0"/>
                  <w:rPr>
                    <w:szCs w:val="21"/>
                  </w:rPr>
                </w:pPr>
                <w:r>
                  <w:t>保函</w:t>
                </w:r>
              </w:p>
            </w:tc>
            <w:tc>
              <w:tcPr>
                <w:tcW w:w="705" w:type="pct"/>
                <w:vMerge w:val="restart"/>
                <w:shd w:val="clear" w:color="auto" w:fill="auto"/>
                <w:vAlign w:val="center"/>
              </w:tcPr>
              <w:p w14:paraId="38B6A174" w14:textId="77777777" w:rsidR="00E57DAA" w:rsidRDefault="00AC4185">
                <w:pPr>
                  <w:autoSpaceDE w:val="0"/>
                  <w:autoSpaceDN w:val="0"/>
                  <w:adjustRightInd w:val="0"/>
                  <w:jc w:val="right"/>
                  <w:rPr>
                    <w:szCs w:val="21"/>
                  </w:rPr>
                </w:pPr>
                <w:r>
                  <w:t>610,000</w:t>
                </w:r>
                <w:r>
                  <w:rPr>
                    <w:rFonts w:hint="eastAsia"/>
                  </w:rPr>
                  <w:t>.00</w:t>
                </w:r>
              </w:p>
            </w:tc>
            <w:tc>
              <w:tcPr>
                <w:tcW w:w="919" w:type="pct"/>
                <w:shd w:val="clear" w:color="auto" w:fill="auto"/>
                <w:vAlign w:val="center"/>
              </w:tcPr>
              <w:p w14:paraId="515CA5CC" w14:textId="77777777" w:rsidR="00E57DAA" w:rsidRDefault="00AC4185">
                <w:pPr>
                  <w:autoSpaceDE w:val="0"/>
                  <w:autoSpaceDN w:val="0"/>
                  <w:adjustRightInd w:val="0"/>
                  <w:jc w:val="right"/>
                  <w:rPr>
                    <w:szCs w:val="21"/>
                  </w:rPr>
                </w:pPr>
                <w:r>
                  <w:t>27,108.30</w:t>
                </w:r>
              </w:p>
            </w:tc>
          </w:tr>
        </w:sdtContent>
      </w:sdt>
      <w:sdt>
        <w:sdtPr>
          <w:rPr>
            <w:szCs w:val="21"/>
          </w:rPr>
          <w:alias w:val="授信业务或其他金融业务"/>
          <w:tag w:val="_TUP_bee771446fd5413291791b9201cdc3d0"/>
          <w:id w:val="-725604198"/>
          <w:lock w:val="sdtLocked"/>
          <w:placeholder>
            <w:docPart w:val="78B8BB26C0AD4BCC849F2429F9E1AC3E"/>
          </w:placeholder>
        </w:sdtPr>
        <w:sdtEndPr/>
        <w:sdtContent>
          <w:tr w:rsidR="00E57DAA" w14:paraId="4473E2AE" w14:textId="77777777">
            <w:tc>
              <w:tcPr>
                <w:tcW w:w="1686" w:type="pct"/>
                <w:shd w:val="clear" w:color="auto" w:fill="auto"/>
                <w:vAlign w:val="center"/>
              </w:tcPr>
              <w:p w14:paraId="500E34F0" w14:textId="77777777" w:rsidR="00E57DAA" w:rsidRDefault="00AC4185">
                <w:pPr>
                  <w:autoSpaceDE w:val="0"/>
                  <w:autoSpaceDN w:val="0"/>
                  <w:adjustRightInd w:val="0"/>
                  <w:rPr>
                    <w:szCs w:val="21"/>
                  </w:rPr>
                </w:pPr>
                <w:r>
                  <w:rPr>
                    <w:rFonts w:hint="eastAsia"/>
                    <w:szCs w:val="21"/>
                  </w:rPr>
                  <w:t>中国建材集团财务有限公司</w:t>
                </w:r>
              </w:p>
            </w:tc>
            <w:tc>
              <w:tcPr>
                <w:tcW w:w="965" w:type="pct"/>
                <w:shd w:val="clear" w:color="auto" w:fill="auto"/>
                <w:vAlign w:val="center"/>
              </w:tcPr>
              <w:p w14:paraId="4C11BC98" w14:textId="77777777" w:rsidR="00E57DAA" w:rsidRDefault="00AC4185">
                <w:pPr>
                  <w:autoSpaceDE w:val="0"/>
                  <w:autoSpaceDN w:val="0"/>
                  <w:adjustRightInd w:val="0"/>
                  <w:rPr>
                    <w:szCs w:val="21"/>
                  </w:rPr>
                </w:pPr>
                <w:r>
                  <w:t>集团兄弟公司</w:t>
                </w:r>
              </w:p>
            </w:tc>
            <w:tc>
              <w:tcPr>
                <w:tcW w:w="725" w:type="pct"/>
                <w:shd w:val="clear" w:color="auto" w:fill="auto"/>
                <w:vAlign w:val="center"/>
              </w:tcPr>
              <w:p w14:paraId="5F7CF227" w14:textId="77777777" w:rsidR="00E57DAA" w:rsidRDefault="00AC4185">
                <w:pPr>
                  <w:autoSpaceDE w:val="0"/>
                  <w:autoSpaceDN w:val="0"/>
                  <w:adjustRightInd w:val="0"/>
                  <w:rPr>
                    <w:szCs w:val="21"/>
                  </w:rPr>
                </w:pPr>
                <w:r>
                  <w:t>承兑汇票</w:t>
                </w:r>
              </w:p>
            </w:tc>
            <w:tc>
              <w:tcPr>
                <w:tcW w:w="705" w:type="pct"/>
                <w:vMerge/>
                <w:shd w:val="clear" w:color="auto" w:fill="auto"/>
                <w:vAlign w:val="center"/>
              </w:tcPr>
              <w:p w14:paraId="5762A153" w14:textId="77777777" w:rsidR="00E57DAA" w:rsidRDefault="00E57DAA">
                <w:pPr>
                  <w:autoSpaceDE w:val="0"/>
                  <w:autoSpaceDN w:val="0"/>
                  <w:adjustRightInd w:val="0"/>
                  <w:jc w:val="right"/>
                  <w:rPr>
                    <w:szCs w:val="21"/>
                  </w:rPr>
                </w:pPr>
              </w:p>
            </w:tc>
            <w:tc>
              <w:tcPr>
                <w:tcW w:w="919" w:type="pct"/>
                <w:shd w:val="clear" w:color="auto" w:fill="auto"/>
                <w:vAlign w:val="center"/>
              </w:tcPr>
              <w:p w14:paraId="7DD3E136" w14:textId="77777777" w:rsidR="00E57DAA" w:rsidRDefault="00AC4185">
                <w:pPr>
                  <w:autoSpaceDE w:val="0"/>
                  <w:autoSpaceDN w:val="0"/>
                  <w:adjustRightInd w:val="0"/>
                  <w:jc w:val="right"/>
                  <w:rPr>
                    <w:szCs w:val="21"/>
                  </w:rPr>
                </w:pPr>
                <w:r>
                  <w:rPr>
                    <w:szCs w:val="21"/>
                  </w:rPr>
                  <w:t>5,452.25</w:t>
                </w:r>
              </w:p>
            </w:tc>
          </w:tr>
        </w:sdtContent>
      </w:sdt>
      <w:tr w:rsidR="00E57DAA" w14:paraId="53264D54" w14:textId="77777777">
        <w:tc>
          <w:tcPr>
            <w:tcW w:w="1686" w:type="pct"/>
            <w:shd w:val="clear" w:color="auto" w:fill="auto"/>
            <w:vAlign w:val="center"/>
          </w:tcPr>
          <w:p w14:paraId="2CCC160A" w14:textId="77777777" w:rsidR="00E57DAA" w:rsidRDefault="00AC4185">
            <w:pPr>
              <w:autoSpaceDE w:val="0"/>
              <w:autoSpaceDN w:val="0"/>
              <w:adjustRightInd w:val="0"/>
              <w:rPr>
                <w:szCs w:val="21"/>
              </w:rPr>
            </w:pPr>
            <w:r>
              <w:rPr>
                <w:rFonts w:hint="eastAsia"/>
                <w:szCs w:val="21"/>
              </w:rPr>
              <w:t>中国建材集团财务有限公司</w:t>
            </w:r>
          </w:p>
        </w:tc>
        <w:tc>
          <w:tcPr>
            <w:tcW w:w="965" w:type="pct"/>
            <w:shd w:val="clear" w:color="auto" w:fill="auto"/>
            <w:vAlign w:val="center"/>
          </w:tcPr>
          <w:p w14:paraId="2C763588" w14:textId="77777777" w:rsidR="00E57DAA" w:rsidRDefault="00AC4185">
            <w:pPr>
              <w:autoSpaceDE w:val="0"/>
              <w:autoSpaceDN w:val="0"/>
              <w:adjustRightInd w:val="0"/>
              <w:rPr>
                <w:szCs w:val="21"/>
              </w:rPr>
            </w:pPr>
            <w:r>
              <w:rPr>
                <w:rFonts w:hint="eastAsia"/>
                <w:szCs w:val="21"/>
              </w:rPr>
              <w:t>集团兄弟公司</w:t>
            </w:r>
          </w:p>
        </w:tc>
        <w:tc>
          <w:tcPr>
            <w:tcW w:w="725" w:type="pct"/>
            <w:shd w:val="clear" w:color="auto" w:fill="auto"/>
            <w:vAlign w:val="center"/>
          </w:tcPr>
          <w:p w14:paraId="4DF06937" w14:textId="77777777" w:rsidR="00E57DAA" w:rsidRDefault="00AC4185">
            <w:pPr>
              <w:autoSpaceDE w:val="0"/>
              <w:autoSpaceDN w:val="0"/>
              <w:adjustRightInd w:val="0"/>
              <w:rPr>
                <w:szCs w:val="21"/>
              </w:rPr>
            </w:pPr>
            <w:r>
              <w:rPr>
                <w:rFonts w:hint="eastAsia"/>
                <w:szCs w:val="21"/>
              </w:rPr>
              <w:t>保理</w:t>
            </w:r>
          </w:p>
        </w:tc>
        <w:tc>
          <w:tcPr>
            <w:tcW w:w="705" w:type="pct"/>
            <w:vMerge/>
            <w:shd w:val="clear" w:color="auto" w:fill="auto"/>
            <w:vAlign w:val="center"/>
          </w:tcPr>
          <w:p w14:paraId="1B012F69" w14:textId="77777777" w:rsidR="00E57DAA" w:rsidRDefault="00E57DAA">
            <w:pPr>
              <w:autoSpaceDE w:val="0"/>
              <w:autoSpaceDN w:val="0"/>
              <w:adjustRightInd w:val="0"/>
              <w:jc w:val="right"/>
              <w:rPr>
                <w:szCs w:val="21"/>
              </w:rPr>
            </w:pPr>
          </w:p>
        </w:tc>
        <w:tc>
          <w:tcPr>
            <w:tcW w:w="919" w:type="pct"/>
            <w:shd w:val="clear" w:color="auto" w:fill="auto"/>
            <w:vAlign w:val="center"/>
          </w:tcPr>
          <w:p w14:paraId="17848D1D" w14:textId="77777777" w:rsidR="00E57DAA" w:rsidRDefault="00AC4185">
            <w:pPr>
              <w:autoSpaceDE w:val="0"/>
              <w:autoSpaceDN w:val="0"/>
              <w:adjustRightInd w:val="0"/>
              <w:jc w:val="right"/>
              <w:rPr>
                <w:szCs w:val="21"/>
              </w:rPr>
            </w:pPr>
            <w:r>
              <w:rPr>
                <w:rFonts w:hint="eastAsia"/>
                <w:szCs w:val="21"/>
              </w:rPr>
              <w:t>10,000.00</w:t>
            </w:r>
          </w:p>
        </w:tc>
      </w:tr>
    </w:tbl>
    <w:p w14:paraId="7F716767" w14:textId="77777777" w:rsidR="00E57DAA" w:rsidRDefault="00AC4185">
      <w:pPr>
        <w:ind w:firstLineChars="200" w:firstLine="420"/>
        <w:rPr>
          <w:szCs w:val="21"/>
        </w:rPr>
      </w:pPr>
      <w:r>
        <w:rPr>
          <w:rFonts w:hint="eastAsia"/>
          <w:szCs w:val="21"/>
        </w:rPr>
        <w:t>注：财务公司以综合授信进行总额管理，最高限额 610,000 万元人民币，贷款、保函、保理、融资租赁等授信业务发生时占用总额的一部分。其他金融业务实际发生额以报告期末实际占用授信额度填报。</w:t>
      </w:r>
    </w:p>
    <w:p w14:paraId="3C98DD18" w14:textId="77777777" w:rsidR="00E57DAA" w:rsidRDefault="00E57DAA">
      <w:pPr>
        <w:rPr>
          <w:szCs w:val="21"/>
        </w:rPr>
      </w:pPr>
    </w:p>
    <w:p w14:paraId="4F66B32A" w14:textId="77777777" w:rsidR="00E57DAA" w:rsidRDefault="00AC4185">
      <w:pPr>
        <w:pStyle w:val="4"/>
        <w:numPr>
          <w:ilvl w:val="0"/>
          <w:numId w:val="39"/>
        </w:numPr>
        <w:ind w:left="425" w:hanging="425"/>
        <w:rPr>
          <w:rFonts w:ascii="宋体" w:eastAsia="宋体" w:hAnsi="宋体" w:cs="宋体"/>
          <w:b w:val="0"/>
          <w:bCs w:val="0"/>
          <w:kern w:val="0"/>
          <w:szCs w:val="21"/>
        </w:rPr>
      </w:pPr>
      <w:r>
        <w:rPr>
          <w:rFonts w:ascii="宋体" w:eastAsia="宋体" w:hAnsi="宋体" w:cs="宋体"/>
          <w:b w:val="0"/>
          <w:bCs w:val="0"/>
          <w:kern w:val="0"/>
          <w:szCs w:val="21"/>
        </w:rPr>
        <w:t>其他说明</w:t>
      </w:r>
    </w:p>
    <w:bookmarkStart w:id="113" w:name="_Hlk41316022" w:displacedByCustomXml="next"/>
    <w:sdt>
      <w:sdtPr>
        <w:rPr>
          <w:color w:val="000000" w:themeColor="text1"/>
          <w:szCs w:val="21"/>
        </w:rPr>
        <w:alias w:val="是否适用：公司与存在关联关系的财务公司、公司控股财务公司与关联方之间的金融业务的其他说明[双击切换]"/>
        <w:tag w:val="_GBC_ff93404f5d40495f9fc89732d74edc89"/>
        <w:id w:val="-234785619"/>
        <w:placeholder>
          <w:docPart w:val="GBC22222222222222222222222222222"/>
        </w:placeholder>
      </w:sdtPr>
      <w:sdtEndPr/>
      <w:sdtContent>
        <w:p w14:paraId="31F43D1B" w14:textId="77777777" w:rsidR="00E57DAA" w:rsidRDefault="00AC4185">
          <w:pPr>
            <w:rPr>
              <w:color w:val="000000" w:themeColor="text1"/>
              <w:szCs w:val="21"/>
            </w:rPr>
          </w:pPr>
          <w:r>
            <w:rPr>
              <w:color w:val="000000" w:themeColor="text1"/>
              <w:szCs w:val="21"/>
            </w:rPr>
            <w:fldChar w:fldCharType="begin"/>
          </w:r>
          <w:r w:rsidR="00FE3205">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sidR="00FE3205">
            <w:rPr>
              <w:color w:val="000000" w:themeColor="text1"/>
              <w:szCs w:val="21"/>
            </w:rPr>
            <w:instrText xml:space="preserve"> MACROBUTTON  SnrToggleCheckbox □不适用 </w:instrText>
          </w:r>
          <w:r>
            <w:rPr>
              <w:color w:val="000000" w:themeColor="text1"/>
              <w:szCs w:val="21"/>
            </w:rPr>
            <w:fldChar w:fldCharType="end"/>
          </w:r>
        </w:p>
      </w:sdtContent>
    </w:sdt>
    <w:bookmarkEnd w:id="112" w:displacedByCustomXml="next"/>
    <w:bookmarkEnd w:id="113" w:displacedByCustomXml="next"/>
    <w:sdt>
      <w:sdtPr>
        <w:rPr>
          <w:color w:val="000000" w:themeColor="text1"/>
          <w:szCs w:val="21"/>
        </w:rPr>
        <w:alias w:val="公司与存在关联关系的财务公司、公司控股财务公司与关联方之间的金融业务的其他说明"/>
        <w:tag w:val="_GBC_4d44517eb6c34963a20f2b2224aa1fa3"/>
        <w:id w:val="-173259791"/>
        <w:placeholder>
          <w:docPart w:val="10ED789F31DF407787C4AF54EE139B04"/>
        </w:placeholder>
      </w:sdtPr>
      <w:sdtEndPr/>
      <w:sdtContent>
        <w:p w14:paraId="01D90F67" w14:textId="77777777" w:rsidR="00FE3205" w:rsidRPr="00FE3205" w:rsidRDefault="00FE3205" w:rsidP="00D2158E">
          <w:pPr>
            <w:ind w:firstLineChars="200" w:firstLine="420"/>
            <w:jc w:val="both"/>
            <w:rPr>
              <w:color w:val="000000" w:themeColor="text1"/>
              <w:szCs w:val="21"/>
            </w:rPr>
          </w:pPr>
          <w:r w:rsidRPr="00FE3205">
            <w:rPr>
              <w:color w:val="000000" w:themeColor="text1"/>
              <w:szCs w:val="21"/>
            </w:rPr>
            <w:t>2022年 12 月 14 日，公司发布《关于与中国建材集团财务有限公司续签&lt;金融服务协议&gt;暨关联交易的公告》（临 2022-104），2022 年 12 月 29 日，公司 2022 年第八次临时股东大会批准了公司与中国建材集团财务有限公司 2023-2025年金融服务预计交易额度，其中，2023年公司（含所属公司）于财务公司存置的每日存款余额（含应计利息）最高不超过人民币 450,000 万元，财务公司向公司提供的综合授信余额（含应计利息）最高不超过人民币 610,000 万元，财务公司向公司提供的其他</w:t>
          </w:r>
          <w:r w:rsidRPr="00FE3205">
            <w:rPr>
              <w:rFonts w:hint="eastAsia"/>
              <w:color w:val="000000" w:themeColor="text1"/>
              <w:szCs w:val="21"/>
            </w:rPr>
            <w:t>金融服务（结算服务免费）所收取费用不超过</w:t>
          </w:r>
          <w:r w:rsidRPr="00FE3205">
            <w:rPr>
              <w:color w:val="000000" w:themeColor="text1"/>
              <w:szCs w:val="21"/>
            </w:rPr>
            <w:t xml:space="preserve"> 3,000 万元。</w:t>
          </w:r>
        </w:p>
        <w:p w14:paraId="7F3086AE" w14:textId="77777777" w:rsidR="00FE3205" w:rsidRPr="00FE3205" w:rsidRDefault="00FE3205" w:rsidP="00FE3205">
          <w:pPr>
            <w:ind w:firstLineChars="200" w:firstLine="420"/>
            <w:rPr>
              <w:color w:val="000000" w:themeColor="text1"/>
              <w:szCs w:val="21"/>
            </w:rPr>
          </w:pPr>
          <w:r w:rsidRPr="00FE3205">
            <w:rPr>
              <w:rFonts w:hint="eastAsia"/>
              <w:color w:val="000000" w:themeColor="text1"/>
              <w:szCs w:val="21"/>
            </w:rPr>
            <w:t>截至报告期末，公司与中国建材集团财务有限公司关联交易均在股东大会批准的预计额度内。</w:t>
          </w:r>
        </w:p>
        <w:p w14:paraId="03ABBE1F" w14:textId="77777777" w:rsidR="00FE3205" w:rsidRDefault="00EB41A1">
          <w:pPr>
            <w:rPr>
              <w:color w:val="000000" w:themeColor="text1"/>
              <w:szCs w:val="21"/>
            </w:rPr>
          </w:pPr>
        </w:p>
      </w:sdtContent>
    </w:sdt>
    <w:p w14:paraId="6EA96DDF" w14:textId="77777777" w:rsidR="00E57DAA" w:rsidRDefault="00AC4185">
      <w:pPr>
        <w:pStyle w:val="3"/>
        <w:numPr>
          <w:ilvl w:val="2"/>
          <w:numId w:val="6"/>
        </w:numPr>
      </w:pPr>
      <w:r>
        <w:rPr>
          <w:rFonts w:hint="eastAsia"/>
        </w:rPr>
        <w:t>其他</w:t>
      </w:r>
    </w:p>
    <w:bookmarkEnd w:id="111" w:displacedByCustomXml="next"/>
    <w:sdt>
      <w:sdtPr>
        <w:rPr>
          <w:rFonts w:asciiTheme="minorEastAsia" w:eastAsiaTheme="minorEastAsia" w:hAnsiTheme="minorEastAsia" w:hint="eastAsia"/>
          <w:szCs w:val="21"/>
        </w:rPr>
        <w:alias w:val="是否适用：重大关联交易其他说明[双击切换]"/>
        <w:tag w:val="_GBC_49b04883b7a84a83b6a8bfec05cbb445"/>
        <w:id w:val="1852458320"/>
        <w:placeholder>
          <w:docPart w:val="GBC22222222222222222222222222222"/>
        </w:placeholder>
      </w:sdtPr>
      <w:sdtEndPr/>
      <w:sdtContent>
        <w:p w14:paraId="74E8F03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54062F" w14:textId="77777777" w:rsidR="00E57DAA" w:rsidRDefault="00E57DAA">
      <w:pPr>
        <w:rPr>
          <w:szCs w:val="21"/>
        </w:rPr>
      </w:pPr>
    </w:p>
    <w:p w14:paraId="5D7E0653" w14:textId="77777777" w:rsidR="00E57DAA" w:rsidRDefault="00AC4185">
      <w:pPr>
        <w:pStyle w:val="2"/>
        <w:numPr>
          <w:ilvl w:val="0"/>
          <w:numId w:val="31"/>
        </w:numPr>
      </w:pPr>
      <w:r>
        <w:rPr>
          <w:rFonts w:hint="eastAsia"/>
        </w:rPr>
        <w:t>重大合同及其履行情况</w:t>
      </w:r>
    </w:p>
    <w:p w14:paraId="46C58268" w14:textId="77777777" w:rsidR="00E57DAA" w:rsidRDefault="00AC4185">
      <w:pPr>
        <w:pStyle w:val="3"/>
        <w:numPr>
          <w:ilvl w:val="0"/>
          <w:numId w:val="40"/>
        </w:numPr>
      </w:pPr>
      <w:r>
        <w:t>托管、承包、租赁事项</w:t>
      </w:r>
    </w:p>
    <w:p w14:paraId="2228AAF9" w14:textId="77777777" w:rsidR="00E57DAA" w:rsidRDefault="00AC4185">
      <w:pPr>
        <w:pStyle w:val="4"/>
        <w:numPr>
          <w:ilvl w:val="0"/>
          <w:numId w:val="41"/>
        </w:numPr>
      </w:pPr>
      <w:r>
        <w:rPr>
          <w:rFonts w:hint="eastAsia"/>
        </w:rPr>
        <w:t>托管情况</w:t>
      </w:r>
    </w:p>
    <w:sdt>
      <w:sdtPr>
        <w:alias w:val="是否适用：托管情况[双击切换]"/>
        <w:tag w:val="_GBC_f528f5eedb9346f6b0fbdbe3967882e7"/>
        <w:id w:val="1487204434"/>
        <w:placeholder>
          <w:docPart w:val="GBC22222222222222222222222222222"/>
        </w:placeholder>
      </w:sdtPr>
      <w:sdtEndPr/>
      <w:sdtContent>
        <w:p w14:paraId="0D33C81C" w14:textId="77777777" w:rsidR="00E57DAA" w:rsidRDefault="00AC4185">
          <w:pPr>
            <w:rPr>
              <w:szCs w:val="21"/>
              <w:shd w:val="pct10" w:color="auto" w:fill="FFFFFF"/>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908FC0" w14:textId="77777777" w:rsidR="00E57DAA" w:rsidRDefault="00E57DAA">
      <w:pPr>
        <w:rPr>
          <w:szCs w:val="21"/>
          <w:shd w:val="pct10" w:color="auto" w:fill="FFFFFF"/>
        </w:rPr>
      </w:pPr>
    </w:p>
    <w:p w14:paraId="42E7675B" w14:textId="77777777" w:rsidR="00E57DAA" w:rsidRDefault="00AC4185">
      <w:pPr>
        <w:pStyle w:val="4"/>
        <w:numPr>
          <w:ilvl w:val="0"/>
          <w:numId w:val="41"/>
        </w:numPr>
      </w:pPr>
      <w:r>
        <w:t>承包情况</w:t>
      </w:r>
    </w:p>
    <w:sdt>
      <w:sdtPr>
        <w:alias w:val="是否适用：承包情况[双击切换]"/>
        <w:tag w:val="_GBC_ef45025eb2d84c78907511abec2bd222"/>
        <w:id w:val="-404604027"/>
        <w:placeholder>
          <w:docPart w:val="GBC22222222222222222222222222222"/>
        </w:placeholder>
      </w:sdtPr>
      <w:sdtEndPr/>
      <w:sdtContent>
        <w:p w14:paraId="4274E726"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D47586" w14:textId="77777777" w:rsidR="00E57DAA" w:rsidRDefault="00AC4185">
      <w:pPr>
        <w:pStyle w:val="4"/>
        <w:numPr>
          <w:ilvl w:val="0"/>
          <w:numId w:val="41"/>
        </w:numPr>
      </w:pPr>
      <w:r>
        <w:t>租赁情况</w:t>
      </w:r>
    </w:p>
    <w:sdt>
      <w:sdtPr>
        <w:alias w:val="是否适用：租赁情况[双击切换]"/>
        <w:tag w:val="_GBC_c1d0d78a63af4d48a7427277c2db3ac5"/>
        <w:id w:val="-1438357925"/>
        <w:placeholder>
          <w:docPart w:val="GBC22222222222222222222222222222"/>
        </w:placeholder>
      </w:sdtPr>
      <w:sdtEndPr/>
      <w:sdtContent>
        <w:p w14:paraId="06AD4B8F" w14:textId="77777777" w:rsidR="00E57DAA" w:rsidRDefault="00AC4185">
          <w:pPr>
            <w:rPr>
              <w:szCs w:val="21"/>
              <w:shd w:val="pct10" w:color="auto" w:fill="FFFFFF"/>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385111" w14:textId="77777777" w:rsidR="00E57DAA" w:rsidRDefault="00E57DAA">
      <w:pPr>
        <w:rPr>
          <w:szCs w:val="21"/>
          <w:shd w:val="pct10" w:color="auto" w:fill="FFFFFF"/>
        </w:rPr>
        <w:sectPr w:rsidR="00E57DAA" w:rsidSect="00226547">
          <w:pgSz w:w="16838" w:h="11906" w:orient="landscape"/>
          <w:pgMar w:top="1797" w:right="1525" w:bottom="1276" w:left="1440" w:header="856" w:footer="992" w:gutter="0"/>
          <w:cols w:space="425"/>
          <w:docGrid w:linePitch="312"/>
        </w:sectPr>
      </w:pPr>
    </w:p>
    <w:p w14:paraId="288AC1C8" w14:textId="77777777" w:rsidR="00E57DAA" w:rsidRDefault="00AC4185">
      <w:pPr>
        <w:pStyle w:val="3"/>
        <w:numPr>
          <w:ilvl w:val="0"/>
          <w:numId w:val="40"/>
        </w:numPr>
      </w:pPr>
      <w:bookmarkStart w:id="114" w:name="_Toc342491982"/>
      <w:bookmarkStart w:id="115" w:name="_Toc342565974"/>
      <w:bookmarkStart w:id="116" w:name="OLE_LINK3"/>
      <w:bookmarkStart w:id="117" w:name="OLE_LINK2"/>
      <w:r>
        <w:rPr>
          <w:rFonts w:hint="eastAsia"/>
        </w:rPr>
        <w:lastRenderedPageBreak/>
        <w:t>担保情况</w:t>
      </w:r>
      <w:bookmarkEnd w:id="114"/>
      <w:bookmarkEnd w:id="115"/>
    </w:p>
    <w:bookmarkEnd w:id="117" w:displacedByCustomXml="next"/>
    <w:bookmarkEnd w:id="116" w:displacedByCustomXml="next"/>
    <w:sdt>
      <w:sdtPr>
        <w:rPr>
          <w:szCs w:val="21"/>
        </w:rPr>
        <w:alias w:val="是否适用：担保情况[双击切换]"/>
        <w:tag w:val="_GBC_b799a3ac65f846e088fcfb2dd2591ede"/>
        <w:id w:val="-24259686"/>
        <w:lock w:val="contentLocked"/>
        <w:placeholder>
          <w:docPart w:val="GBC22222222222222222222222222222"/>
        </w:placeholder>
      </w:sdtPr>
      <w:sdtEndPr/>
      <w:sdtContent>
        <w:p w14:paraId="6E38EFDE"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570C2A" w14:textId="77777777" w:rsidR="00E57DAA" w:rsidRDefault="00AC4185">
      <w:pPr>
        <w:jc w:val="right"/>
        <w:rPr>
          <w:szCs w:val="21"/>
        </w:rPr>
      </w:pPr>
      <w:r>
        <w:rPr>
          <w:rFonts w:hint="eastAsia"/>
          <w:szCs w:val="21"/>
        </w:rPr>
        <w:t>单位</w:t>
      </w:r>
      <w:r>
        <w:rPr>
          <w:szCs w:val="21"/>
        </w:rPr>
        <w:t xml:space="preserve">: </w:t>
      </w:r>
      <w:sdt>
        <w:sdtPr>
          <w:rPr>
            <w:szCs w:val="21"/>
          </w:rPr>
          <w:alias w:val="单位：担保情况"/>
          <w:tag w:val="_GBC_c5b429695c6d4556a9d11f55a5e736d3"/>
          <w:id w:val="7297358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5328501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845"/>
        <w:gridCol w:w="886"/>
        <w:gridCol w:w="901"/>
        <w:gridCol w:w="968"/>
        <w:gridCol w:w="901"/>
        <w:gridCol w:w="1110"/>
        <w:gridCol w:w="481"/>
        <w:gridCol w:w="629"/>
        <w:gridCol w:w="868"/>
        <w:gridCol w:w="884"/>
        <w:gridCol w:w="884"/>
        <w:gridCol w:w="882"/>
        <w:gridCol w:w="987"/>
        <w:gridCol w:w="882"/>
        <w:gridCol w:w="884"/>
        <w:gridCol w:w="871"/>
      </w:tblGrid>
      <w:tr w:rsidR="00E57DAA" w14:paraId="629291F7" w14:textId="77777777">
        <w:trPr>
          <w:trHeight w:val="293"/>
        </w:trPr>
        <w:sdt>
          <w:sdtPr>
            <w:tag w:val="_PLD_47382e1239d84f6f9f6c6d4b5423c108"/>
            <w:id w:val="1423762299"/>
          </w:sdtPr>
          <w:sdtEndPr/>
          <w:sdtContent>
            <w:tc>
              <w:tcPr>
                <w:tcW w:w="5000" w:type="pct"/>
                <w:gridSpan w:val="16"/>
                <w:tcBorders>
                  <w:top w:val="single" w:sz="4" w:space="0" w:color="auto"/>
                  <w:bottom w:val="single" w:sz="4" w:space="0" w:color="auto"/>
                </w:tcBorders>
                <w:shd w:val="clear" w:color="auto" w:fill="auto"/>
                <w:vAlign w:val="center"/>
              </w:tcPr>
              <w:p w14:paraId="3B7A6C1E" w14:textId="77777777" w:rsidR="00E57DAA" w:rsidRDefault="00AC4185">
                <w:pPr>
                  <w:autoSpaceDE w:val="0"/>
                  <w:autoSpaceDN w:val="0"/>
                  <w:adjustRightInd w:val="0"/>
                  <w:jc w:val="center"/>
                  <w:rPr>
                    <w:szCs w:val="21"/>
                  </w:rPr>
                </w:pPr>
                <w:r>
                  <w:rPr>
                    <w:rFonts w:hint="eastAsia"/>
                    <w:szCs w:val="21"/>
                  </w:rPr>
                  <w:t>公司对外担保情况（不包括对子公司的担保）</w:t>
                </w:r>
              </w:p>
            </w:tc>
          </w:sdtContent>
        </w:sdt>
      </w:tr>
      <w:tr w:rsidR="00E57DAA" w14:paraId="1C6277A7" w14:textId="77777777">
        <w:trPr>
          <w:trHeight w:val="293"/>
        </w:trPr>
        <w:sdt>
          <w:sdtPr>
            <w:tag w:val="_PLD_09b2f27e560e48058fd68a7522d4a21e"/>
            <w:id w:val="1273211118"/>
          </w:sdtPr>
          <w:sdtEndPr/>
          <w:sdtContent>
            <w:tc>
              <w:tcPr>
                <w:tcW w:w="305" w:type="pct"/>
                <w:tcBorders>
                  <w:top w:val="single" w:sz="4" w:space="0" w:color="auto"/>
                  <w:bottom w:val="single" w:sz="4" w:space="0" w:color="auto"/>
                  <w:right w:val="single" w:sz="4" w:space="0" w:color="auto"/>
                </w:tcBorders>
                <w:shd w:val="clear" w:color="auto" w:fill="auto"/>
                <w:vAlign w:val="center"/>
              </w:tcPr>
              <w:p w14:paraId="2BF68D1E" w14:textId="77777777" w:rsidR="00E57DAA" w:rsidRDefault="00AC4185">
                <w:pPr>
                  <w:autoSpaceDE w:val="0"/>
                  <w:autoSpaceDN w:val="0"/>
                  <w:adjustRightInd w:val="0"/>
                  <w:jc w:val="center"/>
                  <w:rPr>
                    <w:szCs w:val="21"/>
                  </w:rPr>
                </w:pPr>
                <w:r>
                  <w:rPr>
                    <w:rFonts w:hint="eastAsia"/>
                    <w:szCs w:val="21"/>
                  </w:rPr>
                  <w:t>担保方</w:t>
                </w:r>
              </w:p>
            </w:tc>
          </w:sdtContent>
        </w:sdt>
        <w:sdt>
          <w:sdtPr>
            <w:tag w:val="_PLD_3052f673b3b345d3a7af649302ea170a"/>
            <w:id w:val="533240310"/>
          </w:sdtPr>
          <w:sdtEndPr/>
          <w:sdtContent>
            <w:tc>
              <w:tcPr>
                <w:tcW w:w="320" w:type="pct"/>
                <w:tcBorders>
                  <w:top w:val="single" w:sz="4" w:space="0" w:color="auto"/>
                  <w:left w:val="single" w:sz="4" w:space="0" w:color="auto"/>
                  <w:bottom w:val="single" w:sz="4" w:space="0" w:color="auto"/>
                  <w:right w:val="single" w:sz="4" w:space="0" w:color="auto"/>
                </w:tcBorders>
                <w:shd w:val="clear" w:color="auto" w:fill="auto"/>
                <w:vAlign w:val="center"/>
              </w:tcPr>
              <w:p w14:paraId="2C909051" w14:textId="77777777" w:rsidR="00E57DAA" w:rsidRDefault="00AC4185">
                <w:pPr>
                  <w:autoSpaceDE w:val="0"/>
                  <w:autoSpaceDN w:val="0"/>
                  <w:adjustRightInd w:val="0"/>
                  <w:jc w:val="center"/>
                  <w:rPr>
                    <w:szCs w:val="21"/>
                  </w:rPr>
                </w:pPr>
                <w:r>
                  <w:rPr>
                    <w:rFonts w:hint="eastAsia"/>
                    <w:szCs w:val="21"/>
                  </w:rPr>
                  <w:t>担保方与上市公司的关系</w:t>
                </w:r>
              </w:p>
            </w:tc>
          </w:sdtContent>
        </w:sdt>
        <w:sdt>
          <w:sdtPr>
            <w:tag w:val="_PLD_fb4029fae7cf48a79a41443b882f9109"/>
            <w:id w:val="-826826423"/>
          </w:sdtPr>
          <w:sdtEndPr/>
          <w:sdtContent>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14:paraId="40FD33CA" w14:textId="77777777" w:rsidR="00E57DAA" w:rsidRDefault="00AC4185">
                <w:pPr>
                  <w:autoSpaceDE w:val="0"/>
                  <w:autoSpaceDN w:val="0"/>
                  <w:adjustRightInd w:val="0"/>
                  <w:jc w:val="center"/>
                  <w:rPr>
                    <w:szCs w:val="21"/>
                  </w:rPr>
                </w:pPr>
                <w:r>
                  <w:rPr>
                    <w:rFonts w:hint="eastAsia"/>
                    <w:szCs w:val="21"/>
                  </w:rPr>
                  <w:t>被担保方</w:t>
                </w:r>
              </w:p>
            </w:tc>
          </w:sdtContent>
        </w:sdt>
        <w:sdt>
          <w:sdtPr>
            <w:tag w:val="_PLD_f9cf7e1836e34488ac32b6e51fd66dc5"/>
            <w:id w:val="-955091166"/>
          </w:sdtPr>
          <w:sdtEndPr/>
          <w:sdtContent>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14:paraId="4CB8A758" w14:textId="77777777" w:rsidR="00E57DAA" w:rsidRDefault="00AC4185">
                <w:pPr>
                  <w:autoSpaceDE w:val="0"/>
                  <w:autoSpaceDN w:val="0"/>
                  <w:adjustRightInd w:val="0"/>
                  <w:jc w:val="center"/>
                  <w:rPr>
                    <w:szCs w:val="21"/>
                  </w:rPr>
                </w:pPr>
                <w:r>
                  <w:rPr>
                    <w:rFonts w:hint="eastAsia"/>
                    <w:szCs w:val="21"/>
                  </w:rPr>
                  <w:t>担保金额</w:t>
                </w:r>
              </w:p>
            </w:tc>
          </w:sdtContent>
        </w:sdt>
        <w:sdt>
          <w:sdtPr>
            <w:tag w:val="_PLD_2605894e64924e1c948143543497b30d"/>
            <w:id w:val="-1324968130"/>
          </w:sdtPr>
          <w:sdtEndPr/>
          <w:sdtContent>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14:paraId="62F8C870" w14:textId="77777777" w:rsidR="00E57DAA" w:rsidRDefault="00AC4185">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sdtContent>
        </w:sdt>
        <w:sdt>
          <w:sdtPr>
            <w:tag w:val="_PLD_360b2c68827a4d0ca9316c3726b16cc0"/>
            <w:id w:val="-1744014864"/>
          </w:sdtPr>
          <w:sdtEndPr/>
          <w:sdtContent>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7D2E58FC" w14:textId="77777777" w:rsidR="00E57DAA" w:rsidRDefault="00AC4185">
                <w:pPr>
                  <w:autoSpaceDE w:val="0"/>
                  <w:autoSpaceDN w:val="0"/>
                  <w:adjustRightInd w:val="0"/>
                  <w:jc w:val="center"/>
                  <w:rPr>
                    <w:szCs w:val="21"/>
                  </w:rPr>
                </w:pPr>
                <w:r>
                  <w:rPr>
                    <w:rFonts w:hint="eastAsia"/>
                    <w:szCs w:val="21"/>
                  </w:rPr>
                  <w:t>担保</w:t>
                </w:r>
              </w:p>
              <w:p w14:paraId="7618B5C0" w14:textId="77777777" w:rsidR="00E57DAA" w:rsidRDefault="00AC4185">
                <w:pPr>
                  <w:autoSpaceDE w:val="0"/>
                  <w:autoSpaceDN w:val="0"/>
                  <w:adjustRightInd w:val="0"/>
                  <w:jc w:val="center"/>
                  <w:rPr>
                    <w:szCs w:val="21"/>
                  </w:rPr>
                </w:pPr>
                <w:r>
                  <w:rPr>
                    <w:rFonts w:hint="eastAsia"/>
                    <w:szCs w:val="21"/>
                  </w:rPr>
                  <w:t>起始日</w:t>
                </w:r>
              </w:p>
            </w:tc>
          </w:sdtContent>
        </w:sdt>
        <w:sdt>
          <w:sdtPr>
            <w:tag w:val="_PLD_6e343c1dd4c74b69b0e199f26aa0fc9a"/>
            <w:id w:val="1804350312"/>
          </w:sdtPr>
          <w:sdtEndPr/>
          <w:sdtContent>
            <w:tc>
              <w:tcPr>
                <w:tcW w:w="4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0190D8" w14:textId="77777777" w:rsidR="00E57DAA" w:rsidRDefault="00AC4185">
                <w:pPr>
                  <w:autoSpaceDE w:val="0"/>
                  <w:autoSpaceDN w:val="0"/>
                  <w:adjustRightInd w:val="0"/>
                  <w:jc w:val="center"/>
                  <w:rPr>
                    <w:szCs w:val="21"/>
                  </w:rPr>
                </w:pPr>
                <w:r>
                  <w:rPr>
                    <w:rFonts w:hint="eastAsia"/>
                    <w:szCs w:val="21"/>
                  </w:rPr>
                  <w:t>担保</w:t>
                </w:r>
              </w:p>
              <w:p w14:paraId="301E7F51" w14:textId="77777777" w:rsidR="00E57DAA" w:rsidRDefault="00AC4185">
                <w:pPr>
                  <w:autoSpaceDE w:val="0"/>
                  <w:autoSpaceDN w:val="0"/>
                  <w:adjustRightInd w:val="0"/>
                  <w:jc w:val="center"/>
                  <w:rPr>
                    <w:szCs w:val="21"/>
                  </w:rPr>
                </w:pPr>
                <w:r>
                  <w:rPr>
                    <w:rFonts w:hint="eastAsia"/>
                    <w:szCs w:val="21"/>
                  </w:rPr>
                  <w:t>到期日</w:t>
                </w:r>
              </w:p>
            </w:tc>
          </w:sdtContent>
        </w:sdt>
        <w:sdt>
          <w:sdtPr>
            <w:tag w:val="_PLD_85aaff970e8f4025937e66f170fc0506"/>
            <w:id w:val="1763870793"/>
          </w:sdtPr>
          <w:sdtEndPr/>
          <w:sdtContent>
            <w:tc>
              <w:tcPr>
                <w:tcW w:w="313" w:type="pct"/>
                <w:tcBorders>
                  <w:top w:val="single" w:sz="4" w:space="0" w:color="auto"/>
                  <w:left w:val="single" w:sz="4" w:space="0" w:color="auto"/>
                  <w:bottom w:val="single" w:sz="4" w:space="0" w:color="auto"/>
                  <w:right w:val="single" w:sz="4" w:space="0" w:color="auto"/>
                </w:tcBorders>
                <w:shd w:val="clear" w:color="auto" w:fill="auto"/>
                <w:vAlign w:val="center"/>
              </w:tcPr>
              <w:p w14:paraId="1D071FE5" w14:textId="77777777" w:rsidR="00E57DAA" w:rsidRDefault="00AC4185">
                <w:pPr>
                  <w:autoSpaceDE w:val="0"/>
                  <w:autoSpaceDN w:val="0"/>
                  <w:adjustRightInd w:val="0"/>
                  <w:jc w:val="center"/>
                  <w:rPr>
                    <w:szCs w:val="21"/>
                  </w:rPr>
                </w:pPr>
                <w:r>
                  <w:rPr>
                    <w:rFonts w:hint="eastAsia"/>
                    <w:szCs w:val="21"/>
                  </w:rPr>
                  <w:t>担保类型</w:t>
                </w:r>
              </w:p>
            </w:tc>
          </w:sdtContent>
        </w:sdt>
        <w:tc>
          <w:tcPr>
            <w:tcW w:w="319"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d3fba9513b1742aeaf3cc03df939c3a6"/>
              <w:id w:val="-1085455909"/>
            </w:sdtPr>
            <w:sdtEndPr/>
            <w:sdtContent>
              <w:p w14:paraId="355F4306" w14:textId="77777777" w:rsidR="00E57DAA" w:rsidRDefault="00AC4185">
                <w:pPr>
                  <w:autoSpaceDE w:val="0"/>
                  <w:autoSpaceDN w:val="0"/>
                  <w:adjustRightInd w:val="0"/>
                  <w:jc w:val="center"/>
                </w:pPr>
                <w:r>
                  <w:rPr>
                    <w:rFonts w:hint="eastAsia"/>
                  </w:rPr>
                  <w:t>担保物（如有）</w:t>
                </w:r>
              </w:p>
            </w:sdtContent>
          </w:sdt>
        </w:tc>
        <w:sdt>
          <w:sdtPr>
            <w:tag w:val="_PLD_fad806f6aed64969a9f500fc55be69bf"/>
            <w:id w:val="-736247170"/>
          </w:sdtPr>
          <w:sdtEndPr/>
          <w:sdtContent>
            <w:tc>
              <w:tcPr>
                <w:tcW w:w="319" w:type="pct"/>
                <w:tcBorders>
                  <w:top w:val="single" w:sz="4" w:space="0" w:color="auto"/>
                  <w:left w:val="single" w:sz="4" w:space="0" w:color="auto"/>
                  <w:bottom w:val="single" w:sz="4" w:space="0" w:color="auto"/>
                  <w:right w:val="single" w:sz="4" w:space="0" w:color="auto"/>
                </w:tcBorders>
                <w:shd w:val="clear" w:color="auto" w:fill="auto"/>
                <w:vAlign w:val="center"/>
              </w:tcPr>
              <w:p w14:paraId="229B04D0" w14:textId="77777777" w:rsidR="00E57DAA" w:rsidRDefault="00AC4185">
                <w:pPr>
                  <w:autoSpaceDE w:val="0"/>
                  <w:autoSpaceDN w:val="0"/>
                  <w:adjustRightInd w:val="0"/>
                  <w:jc w:val="center"/>
                  <w:rPr>
                    <w:szCs w:val="21"/>
                  </w:rPr>
                </w:pPr>
                <w:r>
                  <w:rPr>
                    <w:rFonts w:hint="eastAsia"/>
                    <w:szCs w:val="21"/>
                  </w:rPr>
                  <w:t>担保是否已经履行完毕</w:t>
                </w:r>
              </w:p>
            </w:tc>
          </w:sdtContent>
        </w:sdt>
        <w:sdt>
          <w:sdtPr>
            <w:tag w:val="_PLD_355a8c82bc68409495d9bf25a926ed62"/>
            <w:id w:val="-1248111147"/>
          </w:sdtPr>
          <w:sdtEndPr/>
          <w:sdtContent>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30146BEA" w14:textId="77777777" w:rsidR="00E57DAA" w:rsidRDefault="00AC4185">
                <w:pPr>
                  <w:autoSpaceDE w:val="0"/>
                  <w:autoSpaceDN w:val="0"/>
                  <w:adjustRightInd w:val="0"/>
                  <w:jc w:val="center"/>
                  <w:rPr>
                    <w:szCs w:val="21"/>
                  </w:rPr>
                </w:pPr>
                <w:r>
                  <w:rPr>
                    <w:rFonts w:hint="eastAsia"/>
                    <w:szCs w:val="21"/>
                  </w:rPr>
                  <w:t>担保是否逾期</w:t>
                </w:r>
              </w:p>
            </w:tc>
          </w:sdtContent>
        </w:sdt>
        <w:sdt>
          <w:sdtPr>
            <w:tag w:val="_PLD_e8056176e7db49139234d1df564f5c3a"/>
            <w:id w:val="465015933"/>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1A7CCD5F" w14:textId="77777777" w:rsidR="00E57DAA" w:rsidRDefault="00AC4185">
                <w:pPr>
                  <w:autoSpaceDE w:val="0"/>
                  <w:autoSpaceDN w:val="0"/>
                  <w:adjustRightInd w:val="0"/>
                  <w:jc w:val="center"/>
                  <w:rPr>
                    <w:szCs w:val="21"/>
                  </w:rPr>
                </w:pPr>
                <w:r>
                  <w:rPr>
                    <w:rFonts w:hint="eastAsia"/>
                    <w:szCs w:val="21"/>
                  </w:rPr>
                  <w:t>担保逾期金额</w:t>
                </w:r>
              </w:p>
            </w:tc>
          </w:sdtContent>
        </w:sdt>
        <w:sdt>
          <w:sdtPr>
            <w:tag w:val="_PLD_5c3b131124fe44f69e4b80cf09f7c755"/>
            <w:id w:val="-621992042"/>
          </w:sdtPr>
          <w:sdtEndPr/>
          <w:sdtContent>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40DF756D" w14:textId="77777777" w:rsidR="00E57DAA" w:rsidRDefault="00AC4185">
                <w:pPr>
                  <w:autoSpaceDE w:val="0"/>
                  <w:autoSpaceDN w:val="0"/>
                  <w:adjustRightInd w:val="0"/>
                  <w:jc w:val="center"/>
                  <w:rPr>
                    <w:szCs w:val="21"/>
                  </w:rPr>
                </w:pPr>
                <w:r>
                  <w:rPr>
                    <w:rFonts w:hint="eastAsia"/>
                    <w:szCs w:val="21"/>
                  </w:rPr>
                  <w:t>反担保情况</w:t>
                </w:r>
              </w:p>
            </w:tc>
          </w:sdtContent>
        </w:sdt>
        <w:sdt>
          <w:sdtPr>
            <w:tag w:val="_PLD_5a6bd2cf94e8411b88105a2190c5b4fb"/>
            <w:id w:val="-147050705"/>
          </w:sdtPr>
          <w:sdtEndPr/>
          <w:sdtContent>
            <w:tc>
              <w:tcPr>
                <w:tcW w:w="319" w:type="pct"/>
                <w:tcBorders>
                  <w:top w:val="single" w:sz="4" w:space="0" w:color="auto"/>
                  <w:left w:val="single" w:sz="4" w:space="0" w:color="auto"/>
                  <w:bottom w:val="single" w:sz="4" w:space="0" w:color="auto"/>
                  <w:right w:val="single" w:sz="4" w:space="0" w:color="auto"/>
                </w:tcBorders>
                <w:shd w:val="clear" w:color="auto" w:fill="auto"/>
                <w:vAlign w:val="center"/>
              </w:tcPr>
              <w:p w14:paraId="57A8AE1D" w14:textId="77777777" w:rsidR="00E57DAA" w:rsidRDefault="00AC4185">
                <w:pPr>
                  <w:autoSpaceDE w:val="0"/>
                  <w:autoSpaceDN w:val="0"/>
                  <w:adjustRightInd w:val="0"/>
                  <w:jc w:val="center"/>
                  <w:rPr>
                    <w:szCs w:val="21"/>
                  </w:rPr>
                </w:pPr>
                <w:r>
                  <w:rPr>
                    <w:rFonts w:hint="eastAsia"/>
                    <w:szCs w:val="21"/>
                  </w:rPr>
                  <w:t>是否为关联方担保</w:t>
                </w:r>
              </w:p>
            </w:tc>
          </w:sdtContent>
        </w:sdt>
        <w:sdt>
          <w:sdtPr>
            <w:tag w:val="_PLD_70390fe8c4804a7da41d8a62ace59586"/>
            <w:id w:val="1534923137"/>
          </w:sdtPr>
          <w:sdtEndPr/>
          <w:sdtContent>
            <w:tc>
              <w:tcPr>
                <w:tcW w:w="314" w:type="pct"/>
                <w:tcBorders>
                  <w:top w:val="single" w:sz="4" w:space="0" w:color="auto"/>
                  <w:left w:val="single" w:sz="4" w:space="0" w:color="auto"/>
                  <w:bottom w:val="single" w:sz="4" w:space="0" w:color="auto"/>
                </w:tcBorders>
                <w:shd w:val="clear" w:color="auto" w:fill="auto"/>
                <w:vAlign w:val="center"/>
              </w:tcPr>
              <w:p w14:paraId="7D2C6E5D" w14:textId="77777777" w:rsidR="00E57DAA" w:rsidRDefault="00AC4185">
                <w:pPr>
                  <w:autoSpaceDE w:val="0"/>
                  <w:autoSpaceDN w:val="0"/>
                  <w:adjustRightInd w:val="0"/>
                  <w:jc w:val="center"/>
                  <w:rPr>
                    <w:szCs w:val="21"/>
                  </w:rPr>
                </w:pPr>
                <w:r>
                  <w:rPr>
                    <w:rFonts w:hint="eastAsia"/>
                    <w:szCs w:val="21"/>
                  </w:rPr>
                  <w:t>关联</w:t>
                </w:r>
              </w:p>
              <w:p w14:paraId="2C92F234" w14:textId="77777777" w:rsidR="00E57DAA" w:rsidRDefault="00AC4185">
                <w:pPr>
                  <w:autoSpaceDE w:val="0"/>
                  <w:autoSpaceDN w:val="0"/>
                  <w:adjustRightInd w:val="0"/>
                  <w:jc w:val="center"/>
                  <w:rPr>
                    <w:szCs w:val="21"/>
                  </w:rPr>
                </w:pPr>
                <w:r>
                  <w:rPr>
                    <w:rFonts w:hint="eastAsia"/>
                    <w:szCs w:val="21"/>
                  </w:rPr>
                  <w:t>关系</w:t>
                </w:r>
              </w:p>
            </w:tc>
          </w:sdtContent>
        </w:sdt>
      </w:tr>
      <w:tr w:rsidR="00E57DAA" w14:paraId="5B96854E" w14:textId="77777777">
        <w:trPr>
          <w:trHeight w:val="293"/>
        </w:trPr>
        <w:tc>
          <w:tcPr>
            <w:tcW w:w="305" w:type="pct"/>
            <w:tcBorders>
              <w:top w:val="single" w:sz="4" w:space="0" w:color="auto"/>
              <w:bottom w:val="single" w:sz="4" w:space="0" w:color="auto"/>
              <w:right w:val="single" w:sz="4" w:space="0" w:color="auto"/>
            </w:tcBorders>
            <w:shd w:val="clear" w:color="auto" w:fill="auto"/>
          </w:tcPr>
          <w:p w14:paraId="08951571" w14:textId="77777777" w:rsidR="00E57DAA" w:rsidRDefault="00AC4185">
            <w:pPr>
              <w:autoSpaceDE w:val="0"/>
              <w:autoSpaceDN w:val="0"/>
              <w:adjustRightInd w:val="0"/>
              <w:rPr>
                <w:szCs w:val="21"/>
              </w:rPr>
            </w:pPr>
            <w:r>
              <w:t>中国中材国际工程股份有限公司</w:t>
            </w:r>
          </w:p>
        </w:tc>
        <w:sdt>
          <w:sdtPr>
            <w:rPr>
              <w:rFonts w:hint="eastAsia"/>
              <w:bCs/>
              <w:szCs w:val="21"/>
            </w:rPr>
            <w:alias w:val="担保方与上市公司的关联关系"/>
            <w:tag w:val="_GBC_2e446bc7579a4b2db650f2a8defc57b7"/>
            <w:id w:val="-952470595"/>
            <w:comboBox>
              <w:listItem w:displayText="公司本部" w:value="公司本部"/>
              <w:listItem w:displayText="控股子公司" w:value="控股子公司"/>
              <w:listItem w:displayText="全资子公司" w:value="全资子公司"/>
            </w:comboBox>
          </w:sdtPr>
          <w:sdtEndPr/>
          <w:sdtContent>
            <w:tc>
              <w:tcPr>
                <w:tcW w:w="320" w:type="pct"/>
                <w:tcBorders>
                  <w:top w:val="single" w:sz="4" w:space="0" w:color="auto"/>
                  <w:left w:val="single" w:sz="4" w:space="0" w:color="auto"/>
                  <w:bottom w:val="single" w:sz="4" w:space="0" w:color="auto"/>
                  <w:right w:val="single" w:sz="4" w:space="0" w:color="auto"/>
                </w:tcBorders>
                <w:shd w:val="clear" w:color="auto" w:fill="auto"/>
              </w:tcPr>
              <w:p w14:paraId="5A64465F" w14:textId="77777777" w:rsidR="00E57DAA" w:rsidRDefault="00AC4185">
                <w:pPr>
                  <w:autoSpaceDE w:val="0"/>
                  <w:autoSpaceDN w:val="0"/>
                  <w:adjustRightInd w:val="0"/>
                  <w:rPr>
                    <w:szCs w:val="21"/>
                  </w:rPr>
                </w:pPr>
                <w:r>
                  <w:rPr>
                    <w:rFonts w:hint="eastAsia"/>
                    <w:bCs/>
                    <w:szCs w:val="21"/>
                  </w:rPr>
                  <w:t>公司本部</w:t>
                </w:r>
              </w:p>
            </w:tc>
          </w:sdtContent>
        </w:sdt>
        <w:tc>
          <w:tcPr>
            <w:tcW w:w="325" w:type="pct"/>
            <w:tcBorders>
              <w:top w:val="single" w:sz="4" w:space="0" w:color="auto"/>
              <w:left w:val="single" w:sz="4" w:space="0" w:color="auto"/>
              <w:bottom w:val="single" w:sz="4" w:space="0" w:color="auto"/>
              <w:right w:val="single" w:sz="4" w:space="0" w:color="auto"/>
            </w:tcBorders>
            <w:shd w:val="clear" w:color="auto" w:fill="auto"/>
          </w:tcPr>
          <w:p w14:paraId="53EC9ECD" w14:textId="77777777" w:rsidR="00E57DAA" w:rsidRDefault="00AC4185">
            <w:pPr>
              <w:autoSpaceDE w:val="0"/>
              <w:autoSpaceDN w:val="0"/>
              <w:adjustRightInd w:val="0"/>
              <w:rPr>
                <w:szCs w:val="21"/>
              </w:rPr>
            </w:pPr>
            <w:r>
              <w:t>SINOMA MEMBRANE MATERIAL VIETNAM   COMPANY LIMITED</w:t>
            </w:r>
          </w:p>
        </w:tc>
        <w:tc>
          <w:tcPr>
            <w:tcW w:w="349" w:type="pct"/>
            <w:tcBorders>
              <w:top w:val="single" w:sz="4" w:space="0" w:color="auto"/>
              <w:left w:val="single" w:sz="4" w:space="0" w:color="auto"/>
              <w:bottom w:val="single" w:sz="4" w:space="0" w:color="auto"/>
              <w:right w:val="single" w:sz="4" w:space="0" w:color="auto"/>
            </w:tcBorders>
            <w:shd w:val="clear" w:color="auto" w:fill="auto"/>
          </w:tcPr>
          <w:p w14:paraId="3794F4B7" w14:textId="77777777" w:rsidR="00E57DAA" w:rsidRDefault="00AC4185">
            <w:pPr>
              <w:autoSpaceDE w:val="0"/>
              <w:autoSpaceDN w:val="0"/>
              <w:adjustRightInd w:val="0"/>
              <w:ind w:rightChars="40" w:right="84"/>
              <w:jc w:val="right"/>
              <w:rPr>
                <w:szCs w:val="21"/>
              </w:rPr>
            </w:pPr>
            <w:r>
              <w:t>435.80</w:t>
            </w:r>
          </w:p>
        </w:tc>
        <w:tc>
          <w:tcPr>
            <w:tcW w:w="325" w:type="pct"/>
            <w:tcBorders>
              <w:top w:val="single" w:sz="4" w:space="0" w:color="auto"/>
              <w:left w:val="single" w:sz="4" w:space="0" w:color="auto"/>
              <w:bottom w:val="single" w:sz="4" w:space="0" w:color="auto"/>
              <w:right w:val="single" w:sz="4" w:space="0" w:color="auto"/>
            </w:tcBorders>
            <w:shd w:val="clear" w:color="auto" w:fill="auto"/>
          </w:tcPr>
          <w:p w14:paraId="687CECF1" w14:textId="77777777" w:rsidR="00E57DAA" w:rsidRDefault="00AC4185">
            <w:pPr>
              <w:autoSpaceDE w:val="0"/>
              <w:autoSpaceDN w:val="0"/>
              <w:adjustRightInd w:val="0"/>
              <w:rPr>
                <w:szCs w:val="21"/>
              </w:rPr>
            </w:pPr>
            <w:r>
              <w:t>2019.9.6</w:t>
            </w: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1B9AB8F0" w14:textId="77777777" w:rsidR="00E57DAA" w:rsidRDefault="00AC4185">
            <w:pPr>
              <w:autoSpaceDE w:val="0"/>
              <w:autoSpaceDN w:val="0"/>
              <w:adjustRightInd w:val="0"/>
              <w:rPr>
                <w:szCs w:val="21"/>
              </w:rPr>
            </w:pPr>
            <w:r>
              <w:t>2019.10.15</w:t>
            </w:r>
          </w:p>
        </w:tc>
        <w:tc>
          <w:tcPr>
            <w:tcW w:w="400" w:type="pct"/>
            <w:gridSpan w:val="2"/>
            <w:tcBorders>
              <w:top w:val="single" w:sz="4" w:space="0" w:color="auto"/>
              <w:left w:val="single" w:sz="4" w:space="0" w:color="auto"/>
              <w:bottom w:val="single" w:sz="4" w:space="0" w:color="auto"/>
              <w:right w:val="single" w:sz="4" w:space="0" w:color="auto"/>
            </w:tcBorders>
            <w:shd w:val="clear" w:color="auto" w:fill="auto"/>
          </w:tcPr>
          <w:p w14:paraId="19B58B6F" w14:textId="77777777" w:rsidR="00E57DAA" w:rsidRDefault="00AC4185">
            <w:pPr>
              <w:autoSpaceDE w:val="0"/>
              <w:autoSpaceDN w:val="0"/>
              <w:adjustRightInd w:val="0"/>
              <w:rPr>
                <w:szCs w:val="21"/>
              </w:rPr>
            </w:pPr>
            <w:r>
              <w:t>2024.07.15</w:t>
            </w:r>
          </w:p>
        </w:tc>
        <w:sdt>
          <w:sdtPr>
            <w:rPr>
              <w:szCs w:val="21"/>
            </w:rPr>
            <w:alias w:val="担保类型"/>
            <w:tag w:val="_GBC_affd72f534db4dbea735ffb69233d55c"/>
            <w:id w:val="-2112420810"/>
            <w:comboBox>
              <w:listItem w:displayText="一般担保" w:value="一般担保"/>
              <w:listItem w:displayText="连带责任担保" w:value="连带责任担保"/>
            </w:comboBox>
          </w:sdtPr>
          <w:sdtEndPr/>
          <w:sdtContent>
            <w:tc>
              <w:tcPr>
                <w:tcW w:w="313" w:type="pct"/>
                <w:tcBorders>
                  <w:top w:val="single" w:sz="4" w:space="0" w:color="auto"/>
                  <w:left w:val="single" w:sz="4" w:space="0" w:color="auto"/>
                  <w:bottom w:val="single" w:sz="4" w:space="0" w:color="auto"/>
                  <w:right w:val="single" w:sz="4" w:space="0" w:color="auto"/>
                </w:tcBorders>
                <w:shd w:val="clear" w:color="auto" w:fill="auto"/>
              </w:tcPr>
              <w:p w14:paraId="64B2D64C" w14:textId="77777777" w:rsidR="00E57DAA" w:rsidRDefault="00AC4185">
                <w:pPr>
                  <w:autoSpaceDE w:val="0"/>
                  <w:autoSpaceDN w:val="0"/>
                  <w:adjustRightInd w:val="0"/>
                  <w:rPr>
                    <w:szCs w:val="21"/>
                  </w:rPr>
                </w:pPr>
                <w:r>
                  <w:rPr>
                    <w:szCs w:val="21"/>
                  </w:rPr>
                  <w:t>连带责任担保</w:t>
                </w:r>
              </w:p>
            </w:tc>
          </w:sdtContent>
        </w:sdt>
        <w:tc>
          <w:tcPr>
            <w:tcW w:w="319" w:type="pct"/>
            <w:tcBorders>
              <w:top w:val="single" w:sz="4" w:space="0" w:color="auto"/>
              <w:left w:val="single" w:sz="4" w:space="0" w:color="auto"/>
              <w:bottom w:val="single" w:sz="4" w:space="0" w:color="auto"/>
              <w:right w:val="single" w:sz="4" w:space="0" w:color="auto"/>
            </w:tcBorders>
          </w:tcPr>
          <w:p w14:paraId="3BD40B8F" w14:textId="77777777" w:rsidR="00E57DAA" w:rsidRDefault="00AC4185">
            <w:pPr>
              <w:autoSpaceDE w:val="0"/>
              <w:autoSpaceDN w:val="0"/>
              <w:adjustRightInd w:val="0"/>
              <w:rPr>
                <w:bCs/>
                <w:szCs w:val="21"/>
              </w:rPr>
            </w:pPr>
            <w:r>
              <w:t>无</w:t>
            </w:r>
          </w:p>
        </w:tc>
        <w:sdt>
          <w:sdtPr>
            <w:rPr>
              <w:rFonts w:hint="eastAsia"/>
              <w:bCs/>
              <w:szCs w:val="21"/>
            </w:rPr>
            <w:alias w:val="担保是否已经履行完毕"/>
            <w:tag w:val="_GBC_61f81248895641f4b3a03b6d7bf72a1b"/>
            <w:id w:val="-412081785"/>
            <w:comboBox>
              <w:listItem w:displayText="是" w:value="true"/>
              <w:listItem w:displayText="否" w:value="false"/>
            </w:comboBox>
          </w:sdtPr>
          <w:sdtEndPr/>
          <w:sdtContent>
            <w:tc>
              <w:tcPr>
                <w:tcW w:w="319" w:type="pct"/>
                <w:tcBorders>
                  <w:top w:val="single" w:sz="4" w:space="0" w:color="auto"/>
                  <w:left w:val="single" w:sz="4" w:space="0" w:color="auto"/>
                  <w:bottom w:val="single" w:sz="4" w:space="0" w:color="auto"/>
                  <w:right w:val="single" w:sz="4" w:space="0" w:color="auto"/>
                </w:tcBorders>
                <w:shd w:val="clear" w:color="auto" w:fill="auto"/>
              </w:tcPr>
              <w:p w14:paraId="50CC40A5" w14:textId="77777777" w:rsidR="00E57DAA" w:rsidRDefault="00AC4185">
                <w:pPr>
                  <w:autoSpaceDE w:val="0"/>
                  <w:autoSpaceDN w:val="0"/>
                  <w:adjustRightInd w:val="0"/>
                  <w:rPr>
                    <w:szCs w:val="21"/>
                  </w:rPr>
                </w:pPr>
                <w:r>
                  <w:rPr>
                    <w:rFonts w:hint="eastAsia"/>
                    <w:bCs/>
                    <w:szCs w:val="21"/>
                  </w:rPr>
                  <w:t>否</w:t>
                </w:r>
              </w:p>
            </w:tc>
          </w:sdtContent>
        </w:sdt>
        <w:sdt>
          <w:sdtPr>
            <w:rPr>
              <w:rFonts w:hint="eastAsia"/>
              <w:bCs/>
              <w:szCs w:val="21"/>
            </w:rPr>
            <w:alias w:val="担保是否逾期"/>
            <w:tag w:val="_GBC_c6b9d1f792064d3f8a852d307386846b"/>
            <w:id w:val="-1798833647"/>
            <w:comboBox>
              <w:listItem w:displayText="是" w:value="true"/>
              <w:listItem w:displayText="否" w:value="false"/>
            </w:comboBox>
          </w:sdtPr>
          <w:sdtEndPr/>
          <w:sdtContent>
            <w:tc>
              <w:tcPr>
                <w:tcW w:w="318" w:type="pct"/>
                <w:tcBorders>
                  <w:top w:val="single" w:sz="4" w:space="0" w:color="auto"/>
                  <w:left w:val="single" w:sz="4" w:space="0" w:color="auto"/>
                  <w:bottom w:val="single" w:sz="4" w:space="0" w:color="auto"/>
                  <w:right w:val="single" w:sz="4" w:space="0" w:color="auto"/>
                </w:tcBorders>
                <w:shd w:val="clear" w:color="auto" w:fill="auto"/>
              </w:tcPr>
              <w:p w14:paraId="46D8CFA9" w14:textId="77777777" w:rsidR="00E57DAA" w:rsidRDefault="00AC4185">
                <w:pPr>
                  <w:autoSpaceDE w:val="0"/>
                  <w:autoSpaceDN w:val="0"/>
                  <w:adjustRightInd w:val="0"/>
                  <w:rPr>
                    <w:szCs w:val="21"/>
                  </w:rPr>
                </w:pPr>
                <w:r>
                  <w:rPr>
                    <w:rFonts w:hint="eastAsia"/>
                    <w:bCs/>
                    <w:szCs w:val="21"/>
                  </w:rPr>
                  <w:t>否</w:t>
                </w:r>
              </w:p>
            </w:tc>
          </w:sdtContent>
        </w:sdt>
        <w:tc>
          <w:tcPr>
            <w:tcW w:w="356" w:type="pct"/>
            <w:tcBorders>
              <w:top w:val="single" w:sz="4" w:space="0" w:color="auto"/>
              <w:left w:val="single" w:sz="4" w:space="0" w:color="auto"/>
              <w:bottom w:val="single" w:sz="4" w:space="0" w:color="auto"/>
              <w:right w:val="single" w:sz="4" w:space="0" w:color="auto"/>
            </w:tcBorders>
            <w:shd w:val="clear" w:color="auto" w:fill="auto"/>
          </w:tcPr>
          <w:p w14:paraId="06A35872" w14:textId="77777777" w:rsidR="00E57DAA" w:rsidRDefault="00AC4185">
            <w:pPr>
              <w:autoSpaceDE w:val="0"/>
              <w:autoSpaceDN w:val="0"/>
              <w:adjustRightInd w:val="0"/>
              <w:ind w:rightChars="40" w:right="84"/>
              <w:jc w:val="right"/>
              <w:rPr>
                <w:bCs/>
                <w:szCs w:val="21"/>
              </w:rPr>
            </w:pPr>
            <w:r>
              <w:t>0</w:t>
            </w:r>
          </w:p>
        </w:tc>
        <w:tc>
          <w:tcPr>
            <w:tcW w:w="318" w:type="pct"/>
            <w:tcBorders>
              <w:top w:val="single" w:sz="4" w:space="0" w:color="auto"/>
              <w:left w:val="single" w:sz="4" w:space="0" w:color="auto"/>
              <w:bottom w:val="single" w:sz="4" w:space="0" w:color="auto"/>
              <w:right w:val="single" w:sz="4" w:space="0" w:color="auto"/>
            </w:tcBorders>
            <w:shd w:val="clear" w:color="auto" w:fill="auto"/>
          </w:tcPr>
          <w:p w14:paraId="4384BCEB" w14:textId="77777777" w:rsidR="00E57DAA" w:rsidRDefault="00AC4185">
            <w:pPr>
              <w:autoSpaceDE w:val="0"/>
              <w:autoSpaceDN w:val="0"/>
              <w:adjustRightInd w:val="0"/>
              <w:rPr>
                <w:szCs w:val="21"/>
              </w:rPr>
            </w:pPr>
            <w:r>
              <w:t>无</w:t>
            </w:r>
          </w:p>
        </w:tc>
        <w:sdt>
          <w:sdtPr>
            <w:rPr>
              <w:rFonts w:hint="eastAsia"/>
              <w:bCs/>
              <w:szCs w:val="21"/>
            </w:rPr>
            <w:alias w:val="是否为关联方担保"/>
            <w:tag w:val="_GBC_44554d74636543a7b143039de86b7494"/>
            <w:id w:val="-1114056858"/>
            <w:comboBox>
              <w:listItem w:displayText="是" w:value="true"/>
              <w:listItem w:displayText="否" w:value="false"/>
            </w:comboBox>
          </w:sdtPr>
          <w:sdtEndPr/>
          <w:sdtContent>
            <w:tc>
              <w:tcPr>
                <w:tcW w:w="319" w:type="pct"/>
                <w:tcBorders>
                  <w:top w:val="single" w:sz="4" w:space="0" w:color="auto"/>
                  <w:left w:val="single" w:sz="4" w:space="0" w:color="auto"/>
                  <w:bottom w:val="single" w:sz="4" w:space="0" w:color="auto"/>
                  <w:right w:val="single" w:sz="4" w:space="0" w:color="auto"/>
                </w:tcBorders>
                <w:shd w:val="clear" w:color="auto" w:fill="auto"/>
              </w:tcPr>
              <w:p w14:paraId="5650635A" w14:textId="77777777" w:rsidR="00E57DAA" w:rsidRDefault="00AC4185">
                <w:pPr>
                  <w:autoSpaceDE w:val="0"/>
                  <w:autoSpaceDN w:val="0"/>
                  <w:adjustRightInd w:val="0"/>
                  <w:rPr>
                    <w:szCs w:val="21"/>
                  </w:rPr>
                </w:pPr>
                <w:r>
                  <w:rPr>
                    <w:rFonts w:hint="eastAsia"/>
                    <w:bCs/>
                    <w:szCs w:val="21"/>
                  </w:rPr>
                  <w:t>是</w:t>
                </w:r>
              </w:p>
            </w:tc>
          </w:sdtContent>
        </w:sdt>
        <w:sdt>
          <w:sdtPr>
            <w:rPr>
              <w:szCs w:val="21"/>
            </w:rPr>
            <w:alias w:val="担保中关联方与本公司关系"/>
            <w:tag w:val="_GBC_e5957983376e4a2f82b346d338d10f40"/>
            <w:id w:val="-63672014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14" w:type="pct"/>
                <w:tcBorders>
                  <w:top w:val="single" w:sz="4" w:space="0" w:color="auto"/>
                  <w:left w:val="single" w:sz="4" w:space="0" w:color="auto"/>
                  <w:bottom w:val="single" w:sz="4" w:space="0" w:color="auto"/>
                </w:tcBorders>
                <w:shd w:val="clear" w:color="auto" w:fill="auto"/>
              </w:tcPr>
              <w:p w14:paraId="650067AF" w14:textId="77777777" w:rsidR="00E57DAA" w:rsidRDefault="00AC4185">
                <w:pPr>
                  <w:autoSpaceDE w:val="0"/>
                  <w:autoSpaceDN w:val="0"/>
                  <w:adjustRightInd w:val="0"/>
                  <w:jc w:val="center"/>
                  <w:rPr>
                    <w:szCs w:val="21"/>
                  </w:rPr>
                </w:pPr>
                <w:r>
                  <w:rPr>
                    <w:szCs w:val="21"/>
                  </w:rPr>
                  <w:t>参股公司</w:t>
                </w:r>
              </w:p>
            </w:tc>
          </w:sdtContent>
        </w:sdt>
      </w:tr>
      <w:tr w:rsidR="00E57DAA" w14:paraId="0BAB5654"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3884EE48" w14:textId="77777777" w:rsidR="00E57DAA" w:rsidRDefault="00AC4185">
            <w:pPr>
              <w:autoSpaceDE w:val="0"/>
              <w:autoSpaceDN w:val="0"/>
              <w:adjustRightInd w:val="0"/>
              <w:rPr>
                <w:szCs w:val="21"/>
              </w:rPr>
            </w:pPr>
            <w:r>
              <w:rPr>
                <w:rFonts w:hint="eastAsia"/>
                <w:szCs w:val="21"/>
              </w:rPr>
              <w:t>报告期内担保发生额合计（不包括对子公司的担保）</w:t>
            </w:r>
          </w:p>
        </w:tc>
        <w:tc>
          <w:tcPr>
            <w:tcW w:w="2803" w:type="pct"/>
            <w:gridSpan w:val="9"/>
            <w:tcBorders>
              <w:top w:val="single" w:sz="4" w:space="0" w:color="auto"/>
              <w:left w:val="single" w:sz="4" w:space="0" w:color="auto"/>
              <w:bottom w:val="single" w:sz="4" w:space="0" w:color="auto"/>
            </w:tcBorders>
            <w:shd w:val="clear" w:color="auto" w:fill="auto"/>
            <w:vAlign w:val="center"/>
          </w:tcPr>
          <w:p w14:paraId="5EB61E0A" w14:textId="77777777" w:rsidR="00E57DAA" w:rsidRDefault="00AC4185">
            <w:pPr>
              <w:ind w:rightChars="40" w:right="84"/>
              <w:jc w:val="right"/>
              <w:rPr>
                <w:szCs w:val="21"/>
              </w:rPr>
            </w:pPr>
            <w:r>
              <w:t>0</w:t>
            </w:r>
          </w:p>
        </w:tc>
      </w:tr>
      <w:tr w:rsidR="00E57DAA" w14:paraId="44C28ECF"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471B8F2F" w14:textId="77777777" w:rsidR="00E57DAA" w:rsidRDefault="00AC4185">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tc>
          <w:tcPr>
            <w:tcW w:w="2803" w:type="pct"/>
            <w:gridSpan w:val="9"/>
            <w:tcBorders>
              <w:top w:val="single" w:sz="4" w:space="0" w:color="auto"/>
              <w:left w:val="single" w:sz="4" w:space="0" w:color="auto"/>
              <w:bottom w:val="single" w:sz="4" w:space="0" w:color="auto"/>
            </w:tcBorders>
            <w:shd w:val="clear" w:color="auto" w:fill="auto"/>
            <w:vAlign w:val="center"/>
          </w:tcPr>
          <w:p w14:paraId="0750E089" w14:textId="77777777" w:rsidR="00E57DAA" w:rsidRDefault="00AC4185">
            <w:pPr>
              <w:autoSpaceDE w:val="0"/>
              <w:autoSpaceDN w:val="0"/>
              <w:adjustRightInd w:val="0"/>
              <w:ind w:rightChars="40" w:right="84"/>
              <w:jc w:val="right"/>
              <w:rPr>
                <w:szCs w:val="21"/>
              </w:rPr>
            </w:pPr>
            <w:r>
              <w:t>435.80</w:t>
            </w:r>
          </w:p>
        </w:tc>
      </w:tr>
      <w:tr w:rsidR="00E57DAA" w14:paraId="0C964A7E" w14:textId="77777777">
        <w:trPr>
          <w:trHeight w:val="308"/>
        </w:trPr>
        <w:sdt>
          <w:sdtPr>
            <w:tag w:val="_PLD_0209e1df4d9c45da9415f0566332a134"/>
            <w:id w:val="-1016232461"/>
          </w:sdtPr>
          <w:sdtEndPr/>
          <w:sdtContent>
            <w:tc>
              <w:tcPr>
                <w:tcW w:w="5000" w:type="pct"/>
                <w:gridSpan w:val="16"/>
                <w:tcBorders>
                  <w:top w:val="single" w:sz="4" w:space="0" w:color="auto"/>
                  <w:bottom w:val="single" w:sz="4" w:space="0" w:color="auto"/>
                </w:tcBorders>
                <w:shd w:val="clear" w:color="auto" w:fill="auto"/>
                <w:vAlign w:val="center"/>
              </w:tcPr>
              <w:p w14:paraId="76ED6706" w14:textId="77777777" w:rsidR="00E57DAA" w:rsidRDefault="00AC4185">
                <w:pPr>
                  <w:autoSpaceDE w:val="0"/>
                  <w:autoSpaceDN w:val="0"/>
                  <w:adjustRightInd w:val="0"/>
                  <w:ind w:rightChars="40" w:right="84"/>
                  <w:jc w:val="center"/>
                  <w:rPr>
                    <w:szCs w:val="21"/>
                  </w:rPr>
                </w:pPr>
                <w:r>
                  <w:rPr>
                    <w:rFonts w:hint="eastAsia"/>
                    <w:szCs w:val="21"/>
                  </w:rPr>
                  <w:t>公司及其子公司对子公司的担保情况</w:t>
                </w:r>
              </w:p>
            </w:tc>
          </w:sdtContent>
        </w:sdt>
      </w:tr>
      <w:tr w:rsidR="00E57DAA" w14:paraId="6F50F9E6"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7CB47A3E" w14:textId="77777777" w:rsidR="00E57DAA" w:rsidRDefault="00AC4185">
            <w:pPr>
              <w:autoSpaceDE w:val="0"/>
              <w:autoSpaceDN w:val="0"/>
              <w:adjustRightInd w:val="0"/>
              <w:ind w:rightChars="40" w:right="84"/>
              <w:rPr>
                <w:color w:val="FF0000"/>
                <w:szCs w:val="21"/>
              </w:rPr>
            </w:pPr>
            <w:r>
              <w:rPr>
                <w:rFonts w:hint="eastAsia"/>
                <w:szCs w:val="21"/>
              </w:rPr>
              <w:t>报告期内对子公司担保发生额合计</w:t>
            </w:r>
          </w:p>
        </w:tc>
        <w:tc>
          <w:tcPr>
            <w:tcW w:w="2803" w:type="pct"/>
            <w:gridSpan w:val="9"/>
            <w:tcBorders>
              <w:top w:val="single" w:sz="4" w:space="0" w:color="auto"/>
              <w:left w:val="single" w:sz="4" w:space="0" w:color="auto"/>
              <w:bottom w:val="single" w:sz="4" w:space="0" w:color="auto"/>
            </w:tcBorders>
            <w:shd w:val="clear" w:color="auto" w:fill="auto"/>
            <w:vAlign w:val="center"/>
          </w:tcPr>
          <w:p w14:paraId="32C29EC0" w14:textId="77777777" w:rsidR="00E57DAA" w:rsidRDefault="00AC4185">
            <w:pPr>
              <w:ind w:rightChars="40" w:right="84"/>
              <w:jc w:val="right"/>
              <w:rPr>
                <w:szCs w:val="21"/>
              </w:rPr>
            </w:pPr>
            <w:r>
              <w:t>37,778.06</w:t>
            </w:r>
          </w:p>
        </w:tc>
      </w:tr>
      <w:tr w:rsidR="00E57DAA" w14:paraId="7C1A2FA8"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108FD7B5" w14:textId="77777777" w:rsidR="00E57DAA" w:rsidRDefault="00AC4185">
            <w:pPr>
              <w:autoSpaceDE w:val="0"/>
              <w:autoSpaceDN w:val="0"/>
              <w:adjustRightInd w:val="0"/>
              <w:ind w:rightChars="40" w:right="84"/>
              <w:rPr>
                <w:color w:val="FF0000"/>
                <w:szCs w:val="21"/>
              </w:rPr>
            </w:pPr>
            <w:r>
              <w:rPr>
                <w:rFonts w:hint="eastAsia"/>
                <w:szCs w:val="21"/>
              </w:rPr>
              <w:t>报告期末对子公司担保余额合计（</w:t>
            </w:r>
            <w:r>
              <w:rPr>
                <w:szCs w:val="21"/>
              </w:rPr>
              <w:t>B</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vAlign w:val="center"/>
          </w:tcPr>
          <w:p w14:paraId="7952E4A3" w14:textId="77777777" w:rsidR="00E57DAA" w:rsidRDefault="00AC4185">
            <w:pPr>
              <w:autoSpaceDE w:val="0"/>
              <w:autoSpaceDN w:val="0"/>
              <w:adjustRightInd w:val="0"/>
              <w:ind w:rightChars="40" w:right="84"/>
              <w:jc w:val="right"/>
              <w:rPr>
                <w:szCs w:val="21"/>
              </w:rPr>
            </w:pPr>
            <w:r>
              <w:t>258,959.83</w:t>
            </w:r>
          </w:p>
        </w:tc>
      </w:tr>
      <w:tr w:rsidR="00E57DAA" w14:paraId="7768A09D" w14:textId="77777777">
        <w:trPr>
          <w:trHeight w:val="308"/>
        </w:trPr>
        <w:sdt>
          <w:sdtPr>
            <w:tag w:val="_PLD_b5d1fceb6fbd4fadb84d698d3eb35967"/>
            <w:id w:val="160370597"/>
          </w:sdtPr>
          <w:sdtEndPr/>
          <w:sdtContent>
            <w:tc>
              <w:tcPr>
                <w:tcW w:w="5000" w:type="pct"/>
                <w:gridSpan w:val="16"/>
                <w:tcBorders>
                  <w:top w:val="single" w:sz="4" w:space="0" w:color="auto"/>
                  <w:bottom w:val="single" w:sz="4" w:space="0" w:color="auto"/>
                </w:tcBorders>
                <w:shd w:val="clear" w:color="auto" w:fill="auto"/>
                <w:vAlign w:val="center"/>
              </w:tcPr>
              <w:p w14:paraId="13A33659" w14:textId="77777777" w:rsidR="00E57DAA" w:rsidRDefault="00AC4185">
                <w:pPr>
                  <w:autoSpaceDE w:val="0"/>
                  <w:autoSpaceDN w:val="0"/>
                  <w:adjustRightInd w:val="0"/>
                  <w:ind w:rightChars="40" w:right="84"/>
                  <w:jc w:val="center"/>
                  <w:rPr>
                    <w:szCs w:val="21"/>
                  </w:rPr>
                </w:pPr>
                <w:r>
                  <w:rPr>
                    <w:rFonts w:hint="eastAsia"/>
                    <w:szCs w:val="21"/>
                  </w:rPr>
                  <w:t>公司担保总额情况（包括对子公司的担保）</w:t>
                </w:r>
              </w:p>
            </w:tc>
          </w:sdtContent>
        </w:sdt>
      </w:tr>
      <w:tr w:rsidR="00E57DAA" w14:paraId="3556E6EB" w14:textId="77777777">
        <w:trPr>
          <w:trHeight w:val="470"/>
        </w:trPr>
        <w:tc>
          <w:tcPr>
            <w:tcW w:w="2197" w:type="pct"/>
            <w:gridSpan w:val="7"/>
            <w:tcBorders>
              <w:top w:val="single" w:sz="4" w:space="0" w:color="auto"/>
              <w:bottom w:val="single" w:sz="4" w:space="0" w:color="auto"/>
              <w:right w:val="single" w:sz="4" w:space="0" w:color="auto"/>
            </w:tcBorders>
            <w:shd w:val="clear" w:color="auto" w:fill="auto"/>
          </w:tcPr>
          <w:p w14:paraId="03E68E4A" w14:textId="77777777" w:rsidR="00E57DAA" w:rsidRDefault="00AC4185">
            <w:pPr>
              <w:autoSpaceDE w:val="0"/>
              <w:autoSpaceDN w:val="0"/>
              <w:adjustRightInd w:val="0"/>
              <w:ind w:rightChars="40" w:right="84"/>
              <w:rPr>
                <w:szCs w:val="21"/>
              </w:rPr>
            </w:pPr>
            <w:r>
              <w:rPr>
                <w:rFonts w:hint="eastAsia"/>
                <w:szCs w:val="21"/>
              </w:rPr>
              <w:t>担保总额（</w:t>
            </w:r>
            <w:r>
              <w:rPr>
                <w:szCs w:val="21"/>
              </w:rPr>
              <w:t>A+B</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tcPr>
          <w:p w14:paraId="3EED6C0C" w14:textId="77777777" w:rsidR="00E57DAA" w:rsidRDefault="00AC4185">
            <w:pPr>
              <w:autoSpaceDE w:val="0"/>
              <w:autoSpaceDN w:val="0"/>
              <w:adjustRightInd w:val="0"/>
              <w:ind w:rightChars="40" w:right="84"/>
              <w:jc w:val="right"/>
              <w:rPr>
                <w:szCs w:val="21"/>
              </w:rPr>
            </w:pPr>
            <w:r>
              <w:rPr>
                <w:szCs w:val="21"/>
              </w:rPr>
              <w:t>259,395.63</w:t>
            </w:r>
          </w:p>
        </w:tc>
      </w:tr>
      <w:tr w:rsidR="00E57DAA" w14:paraId="65683B5E"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61E5A80D" w14:textId="77777777" w:rsidR="00E57DAA" w:rsidRDefault="00AC4185">
            <w:pPr>
              <w:autoSpaceDE w:val="0"/>
              <w:autoSpaceDN w:val="0"/>
              <w:adjustRightInd w:val="0"/>
              <w:ind w:rightChars="40" w:right="84"/>
              <w:rPr>
                <w:szCs w:val="21"/>
              </w:rPr>
            </w:pPr>
            <w:r>
              <w:rPr>
                <w:rFonts w:hint="eastAsia"/>
                <w:szCs w:val="21"/>
              </w:rPr>
              <w:t>担保总额占公司净资产的比例</w:t>
            </w:r>
            <w:r>
              <w:rPr>
                <w:szCs w:val="21"/>
              </w:rPr>
              <w:t>(%)</w:t>
            </w:r>
          </w:p>
        </w:tc>
        <w:tc>
          <w:tcPr>
            <w:tcW w:w="2803" w:type="pct"/>
            <w:gridSpan w:val="9"/>
            <w:tcBorders>
              <w:top w:val="single" w:sz="4" w:space="0" w:color="auto"/>
              <w:left w:val="single" w:sz="4" w:space="0" w:color="auto"/>
              <w:bottom w:val="single" w:sz="4" w:space="0" w:color="auto"/>
            </w:tcBorders>
            <w:shd w:val="clear" w:color="auto" w:fill="auto"/>
          </w:tcPr>
          <w:p w14:paraId="426CDD07" w14:textId="77777777" w:rsidR="00E57DAA" w:rsidRDefault="00AC4185">
            <w:pPr>
              <w:autoSpaceDE w:val="0"/>
              <w:autoSpaceDN w:val="0"/>
              <w:adjustRightInd w:val="0"/>
              <w:ind w:rightChars="40" w:right="84"/>
              <w:jc w:val="right"/>
              <w:rPr>
                <w:szCs w:val="21"/>
              </w:rPr>
            </w:pPr>
            <w:r>
              <w:rPr>
                <w:rFonts w:hint="eastAsia"/>
                <w:szCs w:val="21"/>
              </w:rPr>
              <w:t>13.58</w:t>
            </w:r>
          </w:p>
        </w:tc>
      </w:tr>
      <w:tr w:rsidR="00E57DAA" w14:paraId="0FBD4954" w14:textId="77777777">
        <w:trPr>
          <w:trHeight w:val="308"/>
        </w:trPr>
        <w:sdt>
          <w:sdtPr>
            <w:tag w:val="_PLD_5975855d5ef9445cb4cf0cccb044de3a"/>
            <w:id w:val="1712076564"/>
          </w:sdtPr>
          <w:sdtEndPr/>
          <w:sdtContent>
            <w:tc>
              <w:tcPr>
                <w:tcW w:w="5000" w:type="pct"/>
                <w:gridSpan w:val="16"/>
                <w:tcBorders>
                  <w:top w:val="single" w:sz="4" w:space="0" w:color="auto"/>
                  <w:bottom w:val="single" w:sz="4" w:space="0" w:color="auto"/>
                </w:tcBorders>
                <w:shd w:val="clear" w:color="auto" w:fill="auto"/>
              </w:tcPr>
              <w:p w14:paraId="6ABA7F94" w14:textId="77777777" w:rsidR="00E57DAA" w:rsidRDefault="00AC4185">
                <w:pPr>
                  <w:pStyle w:val="ad"/>
                  <w:autoSpaceDE w:val="0"/>
                  <w:autoSpaceDN w:val="0"/>
                  <w:adjustRightInd w:val="0"/>
                  <w:ind w:rightChars="40" w:right="84"/>
                  <w:rPr>
                    <w:rFonts w:ascii="宋体" w:hAnsi="宋体"/>
                  </w:rPr>
                </w:pPr>
                <w:r>
                  <w:rPr>
                    <w:rFonts w:ascii="宋体" w:hAnsi="宋体" w:hint="eastAsia"/>
                  </w:rPr>
                  <w:t>其中：</w:t>
                </w:r>
              </w:p>
            </w:tc>
          </w:sdtContent>
        </w:sdt>
      </w:tr>
      <w:tr w:rsidR="00E57DAA" w14:paraId="18219BD7"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6BB2D8F4" w14:textId="77777777" w:rsidR="00E57DAA" w:rsidRDefault="00AC4185">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vAlign w:val="center"/>
          </w:tcPr>
          <w:p w14:paraId="473A06BF" w14:textId="77777777" w:rsidR="00E57DAA" w:rsidRDefault="00AC4185">
            <w:pPr>
              <w:ind w:rightChars="40" w:right="84"/>
              <w:jc w:val="right"/>
              <w:rPr>
                <w:szCs w:val="21"/>
              </w:rPr>
            </w:pPr>
            <w:r>
              <w:t>435.80</w:t>
            </w:r>
          </w:p>
        </w:tc>
      </w:tr>
      <w:tr w:rsidR="00E57DAA" w14:paraId="30F930EA"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5C644166" w14:textId="77777777" w:rsidR="00E57DAA" w:rsidRDefault="00AC4185">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vAlign w:val="center"/>
          </w:tcPr>
          <w:p w14:paraId="0D2DCC09" w14:textId="77777777" w:rsidR="00E57DAA" w:rsidRDefault="00AC4185">
            <w:pPr>
              <w:autoSpaceDE w:val="0"/>
              <w:autoSpaceDN w:val="0"/>
              <w:adjustRightInd w:val="0"/>
              <w:ind w:rightChars="40" w:right="84"/>
              <w:jc w:val="right"/>
              <w:rPr>
                <w:szCs w:val="21"/>
              </w:rPr>
            </w:pPr>
            <w:r>
              <w:t>80,187.54</w:t>
            </w:r>
          </w:p>
        </w:tc>
      </w:tr>
      <w:tr w:rsidR="00E57DAA" w14:paraId="63CB656E"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62D64AF6" w14:textId="77777777" w:rsidR="00E57DAA" w:rsidRDefault="00AC4185">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vAlign w:val="center"/>
          </w:tcPr>
          <w:p w14:paraId="5206A3EC" w14:textId="77777777" w:rsidR="00E57DAA" w:rsidRDefault="00AC4185">
            <w:pPr>
              <w:ind w:rightChars="40" w:right="84"/>
              <w:jc w:val="right"/>
              <w:rPr>
                <w:szCs w:val="21"/>
              </w:rPr>
            </w:pPr>
            <w:r>
              <w:rPr>
                <w:rFonts w:hint="eastAsia"/>
                <w:szCs w:val="21"/>
              </w:rPr>
              <w:t>0</w:t>
            </w:r>
          </w:p>
        </w:tc>
      </w:tr>
      <w:tr w:rsidR="00E57DAA" w14:paraId="2C5403BC"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vAlign w:val="center"/>
          </w:tcPr>
          <w:p w14:paraId="0CFF1EDB" w14:textId="77777777" w:rsidR="00E57DAA" w:rsidRDefault="00AC4185">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tc>
          <w:tcPr>
            <w:tcW w:w="2803" w:type="pct"/>
            <w:gridSpan w:val="9"/>
            <w:tcBorders>
              <w:top w:val="single" w:sz="4" w:space="0" w:color="auto"/>
              <w:left w:val="single" w:sz="4" w:space="0" w:color="auto"/>
              <w:bottom w:val="single" w:sz="4" w:space="0" w:color="auto"/>
            </w:tcBorders>
            <w:shd w:val="clear" w:color="auto" w:fill="auto"/>
            <w:vAlign w:val="center"/>
          </w:tcPr>
          <w:p w14:paraId="324F6EA2" w14:textId="77777777" w:rsidR="00E57DAA" w:rsidRDefault="00AC4185">
            <w:pPr>
              <w:autoSpaceDE w:val="0"/>
              <w:autoSpaceDN w:val="0"/>
              <w:adjustRightInd w:val="0"/>
              <w:ind w:rightChars="40" w:right="84"/>
              <w:jc w:val="right"/>
              <w:rPr>
                <w:szCs w:val="21"/>
              </w:rPr>
            </w:pPr>
            <w:r>
              <w:rPr>
                <w:szCs w:val="21"/>
              </w:rPr>
              <w:t>80,623.34</w:t>
            </w:r>
          </w:p>
        </w:tc>
      </w:tr>
      <w:tr w:rsidR="00E57DAA" w14:paraId="2303B1C2"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vAlign w:val="center"/>
          </w:tcPr>
          <w:p w14:paraId="2E2016B2" w14:textId="77777777" w:rsidR="00E57DAA" w:rsidRDefault="00AC4185">
            <w:pPr>
              <w:pStyle w:val="ad"/>
              <w:autoSpaceDE w:val="0"/>
              <w:autoSpaceDN w:val="0"/>
              <w:adjustRightInd w:val="0"/>
              <w:rPr>
                <w:rFonts w:ascii="宋体" w:hAnsi="宋体"/>
              </w:rPr>
            </w:pPr>
            <w:r>
              <w:rPr>
                <w:rFonts w:ascii="宋体" w:hAnsi="宋体" w:hint="eastAsia"/>
              </w:rPr>
              <w:lastRenderedPageBreak/>
              <w:t>未到期担保可能承担连带清偿责任说明</w:t>
            </w:r>
          </w:p>
        </w:tc>
        <w:tc>
          <w:tcPr>
            <w:tcW w:w="2803" w:type="pct"/>
            <w:gridSpan w:val="9"/>
            <w:tcBorders>
              <w:top w:val="single" w:sz="4" w:space="0" w:color="auto"/>
              <w:left w:val="single" w:sz="4" w:space="0" w:color="auto"/>
              <w:bottom w:val="single" w:sz="4" w:space="0" w:color="auto"/>
            </w:tcBorders>
            <w:shd w:val="clear" w:color="auto" w:fill="auto"/>
          </w:tcPr>
          <w:p w14:paraId="20136483" w14:textId="77777777" w:rsidR="00E57DAA" w:rsidRDefault="00AC4185">
            <w:pPr>
              <w:autoSpaceDE w:val="0"/>
              <w:autoSpaceDN w:val="0"/>
              <w:adjustRightInd w:val="0"/>
              <w:rPr>
                <w:szCs w:val="21"/>
              </w:rPr>
            </w:pPr>
            <w:r>
              <w:rPr>
                <w:rFonts w:hint="eastAsia"/>
                <w:szCs w:val="21"/>
              </w:rPr>
              <w:t>不适用</w:t>
            </w:r>
          </w:p>
        </w:tc>
      </w:tr>
      <w:tr w:rsidR="00E57DAA" w14:paraId="3E5FD6BD" w14:textId="77777777">
        <w:trPr>
          <w:trHeight w:val="308"/>
        </w:trPr>
        <w:tc>
          <w:tcPr>
            <w:tcW w:w="2197" w:type="pct"/>
            <w:gridSpan w:val="7"/>
            <w:tcBorders>
              <w:top w:val="single" w:sz="4" w:space="0" w:color="auto"/>
              <w:bottom w:val="single" w:sz="4" w:space="0" w:color="auto"/>
              <w:right w:val="single" w:sz="4" w:space="0" w:color="auto"/>
            </w:tcBorders>
            <w:shd w:val="clear" w:color="auto" w:fill="auto"/>
          </w:tcPr>
          <w:p w14:paraId="5FC733D8" w14:textId="77777777" w:rsidR="00E57DAA" w:rsidRDefault="00AC4185">
            <w:pPr>
              <w:autoSpaceDE w:val="0"/>
              <w:autoSpaceDN w:val="0"/>
              <w:adjustRightInd w:val="0"/>
              <w:rPr>
                <w:szCs w:val="21"/>
              </w:rPr>
            </w:pPr>
            <w:r>
              <w:rPr>
                <w:rFonts w:hint="eastAsia"/>
                <w:szCs w:val="21"/>
              </w:rPr>
              <w:t>担保情况说明</w:t>
            </w:r>
          </w:p>
        </w:tc>
        <w:tc>
          <w:tcPr>
            <w:tcW w:w="2803" w:type="pct"/>
            <w:gridSpan w:val="9"/>
            <w:tcBorders>
              <w:top w:val="single" w:sz="4" w:space="0" w:color="auto"/>
              <w:left w:val="single" w:sz="4" w:space="0" w:color="auto"/>
              <w:bottom w:val="single" w:sz="4" w:space="0" w:color="auto"/>
            </w:tcBorders>
            <w:shd w:val="clear" w:color="auto" w:fill="auto"/>
          </w:tcPr>
          <w:p w14:paraId="781CD389" w14:textId="77777777" w:rsidR="00E57DAA" w:rsidRDefault="00AC4185">
            <w:pPr>
              <w:widowControl w:val="0"/>
              <w:numPr>
                <w:ilvl w:val="0"/>
                <w:numId w:val="42"/>
              </w:numPr>
              <w:autoSpaceDE w:val="0"/>
              <w:autoSpaceDN w:val="0"/>
              <w:adjustRightInd w:val="0"/>
              <w:jc w:val="both"/>
            </w:pPr>
            <w:r>
              <w:rPr>
                <w:rFonts w:hint="eastAsia"/>
              </w:rPr>
              <w:t xml:space="preserve">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 同总金额约1.52 亿美元）提供不可撤销的连带责任保证担保。截至报告期末，该项担保仍在有效期。 </w:t>
            </w:r>
          </w:p>
          <w:p w14:paraId="04EC2875" w14:textId="77777777" w:rsidR="00E57DAA" w:rsidRDefault="00AC4185">
            <w:pPr>
              <w:autoSpaceDE w:val="0"/>
              <w:autoSpaceDN w:val="0"/>
              <w:adjustRightInd w:val="0"/>
              <w:jc w:val="both"/>
            </w:pPr>
            <w:r>
              <w:rPr>
                <w:rFonts w:hint="eastAsia"/>
              </w:rPr>
              <w:t>（2）2017年2月13日，公司2017年第一次临时股东大会审议通过了《关于为全资子公司银团贷款提供担保的议案》，批准公司为全资子公司成都建筑材料工业设计研究院有限公司提供不超过等值37,550万欧元的项目贷款及孳息提供连带保证责任。截至报告期末，担保余额</w:t>
            </w:r>
            <w:r>
              <w:t>8</w:t>
            </w:r>
            <w:r>
              <w:rPr>
                <w:rFonts w:hint="eastAsia"/>
              </w:rPr>
              <w:t>,</w:t>
            </w:r>
            <w:r>
              <w:t>930</w:t>
            </w:r>
            <w:r>
              <w:rPr>
                <w:rFonts w:hint="eastAsia"/>
              </w:rPr>
              <w:t xml:space="preserve">万欧元。    </w:t>
            </w:r>
          </w:p>
          <w:p w14:paraId="72D8C361" w14:textId="77777777" w:rsidR="00E57DAA" w:rsidRDefault="00AC4185">
            <w:pPr>
              <w:autoSpaceDE w:val="0"/>
              <w:autoSpaceDN w:val="0"/>
              <w:adjustRightInd w:val="0"/>
              <w:jc w:val="both"/>
            </w:pPr>
            <w:r>
              <w:rPr>
                <w:rFonts w:hint="eastAsia"/>
              </w:rPr>
              <w:t>（3）2019年9月6日，公司2019年第三次临时股东大会审议通过了《关于为参股公司中材膜材料越南公司境外融资提供担保暨关联交易的议案》，批准公司按照对参股公司SINOMA</w:t>
            </w:r>
            <w:r>
              <w:t xml:space="preserve"> </w:t>
            </w:r>
            <w:r>
              <w:rPr>
                <w:rFonts w:hint="eastAsia"/>
              </w:rPr>
              <w:t>MEMBRANE</w:t>
            </w:r>
            <w:r>
              <w:t xml:space="preserve"> </w:t>
            </w:r>
            <w:r>
              <w:rPr>
                <w:rFonts w:hint="eastAsia"/>
              </w:rPr>
              <w:t>MATERIAL</w:t>
            </w:r>
            <w:r>
              <w:t xml:space="preserve"> </w:t>
            </w:r>
            <w:r>
              <w:rPr>
                <w:rFonts w:hint="eastAsia"/>
              </w:rPr>
              <w:t>VIETNAM COMPANY LIMITED（中材膜材料越南公司）的持股比例为其境外融资提供总额不超过360万美元的担保。截止报告期末，担保余额折合人民币为</w:t>
            </w:r>
            <w:r>
              <w:t>435.80</w:t>
            </w:r>
            <w:r>
              <w:rPr>
                <w:rFonts w:hint="eastAsia"/>
              </w:rPr>
              <w:t>万元。</w:t>
            </w:r>
          </w:p>
          <w:p w14:paraId="00CC46E5" w14:textId="77777777" w:rsidR="00E57DAA" w:rsidRDefault="00AC4185">
            <w:pPr>
              <w:autoSpaceDE w:val="0"/>
              <w:autoSpaceDN w:val="0"/>
              <w:adjustRightInd w:val="0"/>
              <w:jc w:val="both"/>
            </w:pPr>
            <w:r>
              <w:rPr>
                <w:rFonts w:hint="eastAsia"/>
              </w:rPr>
              <w:t>（4）2019年10月16日，公司2019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止报告期末，担保余额为</w:t>
            </w:r>
            <w:r>
              <w:t>1,371</w:t>
            </w:r>
            <w:r>
              <w:rPr>
                <w:rFonts w:hint="eastAsia"/>
              </w:rPr>
              <w:t>万元。</w:t>
            </w:r>
          </w:p>
          <w:p w14:paraId="37C86CF9" w14:textId="77777777" w:rsidR="00E57DAA" w:rsidRDefault="00AC4185">
            <w:pPr>
              <w:autoSpaceDE w:val="0"/>
              <w:autoSpaceDN w:val="0"/>
              <w:adjustRightInd w:val="0"/>
              <w:jc w:val="both"/>
            </w:pPr>
            <w:r>
              <w:rPr>
                <w:rFonts w:hint="eastAsia"/>
              </w:rPr>
              <w:t>（5）</w:t>
            </w:r>
            <w:r>
              <w:rPr>
                <w:rFonts w:asciiTheme="minorEastAsia" w:hAnsiTheme="minorEastAsia"/>
              </w:rPr>
              <w:t>2022</w:t>
            </w:r>
            <w:r>
              <w:rPr>
                <w:rFonts w:asciiTheme="minorEastAsia" w:hAnsiTheme="minorEastAsia" w:hint="eastAsia"/>
              </w:rPr>
              <w:t>年1月7日，公司</w:t>
            </w:r>
            <w:r>
              <w:rPr>
                <w:rFonts w:asciiTheme="minorEastAsia" w:hAnsiTheme="minorEastAsia"/>
              </w:rPr>
              <w:t>2022年第一次临时股东大会</w:t>
            </w:r>
            <w:r>
              <w:rPr>
                <w:rFonts w:asciiTheme="minorEastAsia" w:hAnsiTheme="minorEastAsia" w:hint="eastAsia"/>
              </w:rPr>
              <w:t>审议通过了《关于为全资子公司银行借款及授信提供担保的议案》，批准公司分别为全资子公司天津水泥工业设计研究院有限公司和</w:t>
            </w:r>
            <w:r>
              <w:rPr>
                <w:rFonts w:hint="eastAsia"/>
              </w:rPr>
              <w:t>北京凯盛建材工程有限公司3亿元人民币借款和2</w:t>
            </w:r>
            <w:r>
              <w:t>.2</w:t>
            </w:r>
            <w:r>
              <w:rPr>
                <w:rFonts w:hint="eastAsia"/>
              </w:rPr>
              <w:t>亿元人民币银行授信</w:t>
            </w:r>
            <w:r>
              <w:t>(其中长期借款2亿元，</w:t>
            </w:r>
            <w:r>
              <w:rPr>
                <w:rFonts w:hint="eastAsia"/>
              </w:rPr>
              <w:t>国内综合保理</w:t>
            </w:r>
            <w:r>
              <w:t>0.2亿元)提供连带责任担保</w:t>
            </w:r>
            <w:r>
              <w:rPr>
                <w:rFonts w:hint="eastAsia"/>
              </w:rPr>
              <w:t>。截止报告期末，上述担保余额分别为3亿元和</w:t>
            </w:r>
            <w:r>
              <w:t>0</w:t>
            </w:r>
            <w:r>
              <w:rPr>
                <w:rFonts w:hint="eastAsia"/>
              </w:rPr>
              <w:t>亿元。</w:t>
            </w:r>
          </w:p>
          <w:p w14:paraId="1F0965A0" w14:textId="77777777" w:rsidR="00E57DAA" w:rsidRDefault="00AC4185">
            <w:pPr>
              <w:autoSpaceDE w:val="0"/>
              <w:autoSpaceDN w:val="0"/>
              <w:adjustRightInd w:val="0"/>
              <w:jc w:val="both"/>
            </w:pPr>
            <w:r>
              <w:rPr>
                <w:rFonts w:hint="eastAsia"/>
              </w:rPr>
              <w:t>（6）2</w:t>
            </w:r>
            <w:r>
              <w:t>022</w:t>
            </w:r>
            <w:r>
              <w:rPr>
                <w:rFonts w:hint="eastAsia"/>
              </w:rPr>
              <w:t>年1</w:t>
            </w:r>
            <w:r>
              <w:t>2</w:t>
            </w:r>
            <w:r>
              <w:rPr>
                <w:rFonts w:hint="eastAsia"/>
              </w:rPr>
              <w:t>月</w:t>
            </w:r>
            <w:r>
              <w:t>29</w:t>
            </w:r>
            <w:r>
              <w:rPr>
                <w:rFonts w:hint="eastAsia"/>
              </w:rPr>
              <w:t>日，公司</w:t>
            </w:r>
            <w:r>
              <w:t>2022 年第八次临时股东大会</w:t>
            </w:r>
            <w:r>
              <w:rPr>
                <w:rFonts w:hint="eastAsia"/>
              </w:rPr>
              <w:t>审议通过《关于公司</w:t>
            </w:r>
            <w:r>
              <w:t xml:space="preserve"> 2023 年担保计划的议案</w:t>
            </w:r>
            <w:r>
              <w:rPr>
                <w:rFonts w:hint="eastAsia"/>
              </w:rPr>
              <w:t>》，批准</w:t>
            </w:r>
            <w:r>
              <w:t>公司及子公司未来 12 个月内拟向控股子公司、参股公司新增和续展提供总额不超过 14,714 万美元和 14 亿人民币的担保</w:t>
            </w:r>
            <w:r>
              <w:rPr>
                <w:rFonts w:hint="eastAsia"/>
              </w:rPr>
              <w:t>。截止报告期末，上述年度担保计划内担保事项担保余额为4</w:t>
            </w:r>
            <w:r>
              <w:t>9,749.13</w:t>
            </w:r>
            <w:r>
              <w:rPr>
                <w:rFonts w:hint="eastAsia"/>
              </w:rPr>
              <w:t>万元人民币。</w:t>
            </w:r>
          </w:p>
          <w:p w14:paraId="468C6FE9" w14:textId="77777777" w:rsidR="00E57DAA" w:rsidRDefault="00AC4185">
            <w:pPr>
              <w:autoSpaceDE w:val="0"/>
              <w:autoSpaceDN w:val="0"/>
              <w:adjustRightInd w:val="0"/>
              <w:jc w:val="both"/>
            </w:pPr>
            <w:r>
              <w:rPr>
                <w:rFonts w:hint="eastAsia"/>
              </w:rPr>
              <w:t>（7）2</w:t>
            </w:r>
            <w:r>
              <w:t>023</w:t>
            </w:r>
            <w:r>
              <w:rPr>
                <w:rFonts w:hint="eastAsia"/>
              </w:rPr>
              <w:t>年5月1</w:t>
            </w:r>
            <w:r>
              <w:t>1</w:t>
            </w:r>
            <w:r>
              <w:rPr>
                <w:rFonts w:hint="eastAsia"/>
              </w:rPr>
              <w:t>日，公司</w:t>
            </w:r>
            <w:r>
              <w:t>2023年第一次临时股东大会</w:t>
            </w:r>
            <w:r>
              <w:rPr>
                <w:rFonts w:hint="eastAsia"/>
              </w:rPr>
              <w:t>审议通过《关于中材海外为关联参股公司中材科技（巴西）风电叶片有限公司境外融资提供担保的议案》，批</w:t>
            </w:r>
            <w:r>
              <w:rPr>
                <w:rFonts w:hint="eastAsia"/>
              </w:rPr>
              <w:lastRenderedPageBreak/>
              <w:t>准公司全资子公司中国中材海外科技发展有限公司为其参股公司中材科技（巴西）风电叶片有限公司提供总额不超过</w:t>
            </w:r>
            <w:r>
              <w:t>178.2万巴西雷亚尔的银行保函担保和总额不超过510万美元的流动资金贷款担保</w:t>
            </w:r>
            <w:r>
              <w:rPr>
                <w:rFonts w:hint="eastAsia"/>
              </w:rPr>
              <w:t>。截止报告期末，</w:t>
            </w:r>
            <w:r w:rsidR="00C30BA9">
              <w:t xml:space="preserve">上述担保尚在有效期。 </w:t>
            </w:r>
          </w:p>
          <w:p w14:paraId="14AE0DBF" w14:textId="77777777" w:rsidR="00E57DAA" w:rsidRDefault="00E57DAA">
            <w:pPr>
              <w:autoSpaceDE w:val="0"/>
              <w:autoSpaceDN w:val="0"/>
              <w:adjustRightInd w:val="0"/>
            </w:pPr>
          </w:p>
          <w:p w14:paraId="74521287" w14:textId="77777777" w:rsidR="00E57DAA" w:rsidRDefault="00AC4185">
            <w:pPr>
              <w:autoSpaceDE w:val="0"/>
              <w:autoSpaceDN w:val="0"/>
              <w:adjustRightInd w:val="0"/>
              <w:rPr>
                <w:color w:val="000000" w:themeColor="text1"/>
              </w:rPr>
            </w:pPr>
            <w:r>
              <w:rPr>
                <w:color w:val="000000" w:themeColor="text1"/>
              </w:rPr>
              <w:t xml:space="preserve">保函情况： </w:t>
            </w:r>
          </w:p>
          <w:p w14:paraId="0B9DC373" w14:textId="77777777" w:rsidR="00E57DAA" w:rsidRDefault="00AC4185">
            <w:pPr>
              <w:autoSpaceDE w:val="0"/>
              <w:autoSpaceDN w:val="0"/>
              <w:adjustRightInd w:val="0"/>
              <w:rPr>
                <w:szCs w:val="21"/>
              </w:rPr>
            </w:pPr>
            <w:r>
              <w:rPr>
                <w:color w:val="000000" w:themeColor="text1"/>
              </w:rPr>
              <w:t>截至报告期末，中材国际及控股子公司通过银行累计向业主开具的尚在有效期的保函共721笔，余额约为人民币</w:t>
            </w:r>
            <w:r>
              <w:rPr>
                <w:rFonts w:hint="eastAsia"/>
                <w:color w:val="000000" w:themeColor="text1"/>
              </w:rPr>
              <w:t>7</w:t>
            </w:r>
            <w:r>
              <w:rPr>
                <w:color w:val="000000" w:themeColor="text1"/>
              </w:rPr>
              <w:t>1.35亿元。</w:t>
            </w:r>
          </w:p>
        </w:tc>
      </w:tr>
    </w:tbl>
    <w:p w14:paraId="7DBDE0D4" w14:textId="77777777" w:rsidR="00E57DAA" w:rsidRDefault="00E57DAA" w:rsidP="00C25422">
      <w:pPr>
        <w:pStyle w:val="92"/>
      </w:pPr>
    </w:p>
    <w:p w14:paraId="786732DA" w14:textId="77777777" w:rsidR="00E57DAA" w:rsidRDefault="00AC4185">
      <w:pPr>
        <w:pStyle w:val="3"/>
        <w:numPr>
          <w:ilvl w:val="0"/>
          <w:numId w:val="40"/>
        </w:numPr>
      </w:pPr>
      <w:r>
        <w:rPr>
          <w:rFonts w:hint="eastAsia"/>
        </w:rPr>
        <w:t>委托他人进行现金资产管理的情况</w:t>
      </w:r>
    </w:p>
    <w:p w14:paraId="2A16CF8E" w14:textId="77777777" w:rsidR="00E57DAA" w:rsidRDefault="00AC4185">
      <w:pPr>
        <w:pStyle w:val="4"/>
        <w:numPr>
          <w:ilvl w:val="0"/>
          <w:numId w:val="43"/>
        </w:numPr>
      </w:pPr>
      <w:r>
        <w:rPr>
          <w:rFonts w:hint="eastAsia"/>
        </w:rPr>
        <w:t>委托理财情况</w:t>
      </w:r>
    </w:p>
    <w:p w14:paraId="482545E4" w14:textId="77777777" w:rsidR="00E57DAA" w:rsidRDefault="00AC4185">
      <w:pPr>
        <w:pStyle w:val="5"/>
        <w:numPr>
          <w:ilvl w:val="0"/>
          <w:numId w:val="44"/>
        </w:numPr>
        <w:ind w:left="465"/>
      </w:pPr>
      <w:r>
        <w:t>委托理财总体情况</w:t>
      </w:r>
    </w:p>
    <w:sdt>
      <w:sdtPr>
        <w:rPr>
          <w:rFonts w:hint="eastAsia"/>
        </w:rPr>
        <w:alias w:val="是否适用：委托理财总体情况[双击切换]"/>
        <w:tag w:val="_GBC_939edce711f74cc3bede852019388a3e"/>
        <w:id w:val="1582335978"/>
        <w:placeholder>
          <w:docPart w:val="GBC22222222222222222222222222222"/>
        </w:placeholder>
      </w:sdtPr>
      <w:sdtEndPr/>
      <w:sdtContent>
        <w:p w14:paraId="58F7045C"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176F10AC" w14:textId="77777777" w:rsidR="00E57DAA" w:rsidRDefault="00AC4185">
      <w:pPr>
        <w:jc w:val="right"/>
      </w:pPr>
      <w:r>
        <w:rPr>
          <w:rFonts w:hint="eastAsia"/>
        </w:rPr>
        <w:t>单位：</w:t>
      </w:r>
      <w:sdt>
        <w:sdtPr>
          <w:rPr>
            <w:rFonts w:hint="eastAsia"/>
          </w:rPr>
          <w:alias w:val="单位：委托理财总体情况"/>
          <w:tag w:val="_GBC_995d6d32b0f247b897c1e3683394b78e"/>
          <w:id w:val="-19742888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亿元</w:t>
          </w:r>
        </w:sdtContent>
      </w:sdt>
      <w:r>
        <w:rPr>
          <w:rFonts w:hint="eastAsia"/>
        </w:rPr>
        <w:t xml:space="preserve">  币种：</w:t>
      </w:r>
      <w:sdt>
        <w:sdtPr>
          <w:rPr>
            <w:rFonts w:hint="eastAsia"/>
          </w:rPr>
          <w:alias w:val="币种：委托理财总体情况"/>
          <w:tag w:val="_GBC_4eea93464f564ac386eb7f3f2731c982"/>
          <w:id w:val="9219949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7"/>
        <w:gridCol w:w="2606"/>
        <w:gridCol w:w="2606"/>
        <w:gridCol w:w="2606"/>
        <w:gridCol w:w="3488"/>
      </w:tblGrid>
      <w:tr w:rsidR="00E57DAA" w14:paraId="66B22891" w14:textId="77777777">
        <w:sdt>
          <w:sdtPr>
            <w:rPr>
              <w:rFonts w:hint="eastAsia"/>
              <w:szCs w:val="21"/>
            </w:rPr>
            <w:tag w:val="_PLD_adc56e4902a44336b31583f6d92ae8fe"/>
            <w:id w:val="-688143687"/>
          </w:sdtPr>
          <w:sdtEndPr/>
          <w:sdtContent>
            <w:tc>
              <w:tcPr>
                <w:tcW w:w="922" w:type="pct"/>
                <w:shd w:val="clear" w:color="auto" w:fill="auto"/>
                <w:vAlign w:val="center"/>
              </w:tcPr>
              <w:p w14:paraId="1ADF4265" w14:textId="77777777" w:rsidR="00E57DAA" w:rsidRDefault="00AC4185">
                <w:pPr>
                  <w:ind w:leftChars="132" w:left="353" w:hangingChars="36" w:hanging="76"/>
                  <w:jc w:val="center"/>
                  <w:rPr>
                    <w:szCs w:val="21"/>
                  </w:rPr>
                </w:pPr>
                <w:r>
                  <w:rPr>
                    <w:rFonts w:hint="eastAsia"/>
                    <w:szCs w:val="21"/>
                  </w:rPr>
                  <w:t>类型</w:t>
                </w:r>
              </w:p>
            </w:tc>
          </w:sdtContent>
        </w:sdt>
        <w:sdt>
          <w:sdtPr>
            <w:rPr>
              <w:rFonts w:hint="eastAsia"/>
              <w:szCs w:val="21"/>
            </w:rPr>
            <w:tag w:val="_PLD_1e4b1b71c269470f8c1a8d2bf4482c76"/>
            <w:id w:val="-1919860053"/>
          </w:sdtPr>
          <w:sdtEndPr/>
          <w:sdtContent>
            <w:tc>
              <w:tcPr>
                <w:tcW w:w="940" w:type="pct"/>
                <w:shd w:val="clear" w:color="auto" w:fill="auto"/>
                <w:vAlign w:val="center"/>
              </w:tcPr>
              <w:p w14:paraId="0202E11B" w14:textId="77777777" w:rsidR="00E57DAA" w:rsidRDefault="00AC4185">
                <w:pPr>
                  <w:jc w:val="center"/>
                  <w:rPr>
                    <w:szCs w:val="21"/>
                  </w:rPr>
                </w:pPr>
                <w:r>
                  <w:rPr>
                    <w:rFonts w:hint="eastAsia"/>
                    <w:szCs w:val="21"/>
                  </w:rPr>
                  <w:t>资金来源</w:t>
                </w:r>
              </w:p>
            </w:tc>
          </w:sdtContent>
        </w:sdt>
        <w:sdt>
          <w:sdtPr>
            <w:rPr>
              <w:rFonts w:hint="eastAsia"/>
              <w:szCs w:val="21"/>
            </w:rPr>
            <w:tag w:val="_PLD_7b0c91758b05423d8c85e6e2043dcc9e"/>
            <w:id w:val="-533034779"/>
          </w:sdtPr>
          <w:sdtEndPr/>
          <w:sdtContent>
            <w:tc>
              <w:tcPr>
                <w:tcW w:w="940" w:type="pct"/>
                <w:shd w:val="clear" w:color="auto" w:fill="auto"/>
                <w:vAlign w:val="center"/>
              </w:tcPr>
              <w:p w14:paraId="43827611" w14:textId="77777777" w:rsidR="00E57DAA" w:rsidRDefault="00AC4185">
                <w:pPr>
                  <w:jc w:val="center"/>
                  <w:rPr>
                    <w:szCs w:val="21"/>
                  </w:rPr>
                </w:pPr>
                <w:r>
                  <w:rPr>
                    <w:rFonts w:hint="eastAsia"/>
                    <w:szCs w:val="21"/>
                  </w:rPr>
                  <w:t>发生额</w:t>
                </w:r>
              </w:p>
            </w:tc>
          </w:sdtContent>
        </w:sdt>
        <w:sdt>
          <w:sdtPr>
            <w:rPr>
              <w:rFonts w:hint="eastAsia"/>
              <w:szCs w:val="21"/>
            </w:rPr>
            <w:tag w:val="_PLD_c5c1ba65289743f390012a22166fda71"/>
            <w:id w:val="598763955"/>
          </w:sdtPr>
          <w:sdtEndPr/>
          <w:sdtContent>
            <w:tc>
              <w:tcPr>
                <w:tcW w:w="940" w:type="pct"/>
                <w:shd w:val="clear" w:color="auto" w:fill="auto"/>
                <w:vAlign w:val="center"/>
              </w:tcPr>
              <w:p w14:paraId="7EF838ED" w14:textId="77777777" w:rsidR="00E57DAA" w:rsidRDefault="00AC4185">
                <w:pPr>
                  <w:jc w:val="center"/>
                  <w:rPr>
                    <w:szCs w:val="21"/>
                  </w:rPr>
                </w:pPr>
                <w:r>
                  <w:rPr>
                    <w:rFonts w:hint="eastAsia"/>
                    <w:szCs w:val="21"/>
                  </w:rPr>
                  <w:t>未到期余额</w:t>
                </w:r>
              </w:p>
            </w:tc>
          </w:sdtContent>
        </w:sdt>
        <w:sdt>
          <w:sdtPr>
            <w:rPr>
              <w:rFonts w:hint="eastAsia"/>
              <w:szCs w:val="21"/>
            </w:rPr>
            <w:tag w:val="_PLD_ac496413cc194196b7b6f3a280315c67"/>
            <w:id w:val="1521123903"/>
          </w:sdtPr>
          <w:sdtEndPr/>
          <w:sdtContent>
            <w:tc>
              <w:tcPr>
                <w:tcW w:w="1258" w:type="pct"/>
                <w:shd w:val="clear" w:color="auto" w:fill="auto"/>
                <w:vAlign w:val="center"/>
              </w:tcPr>
              <w:p w14:paraId="13ACC945" w14:textId="77777777" w:rsidR="00E57DAA" w:rsidRDefault="00AC4185">
                <w:pPr>
                  <w:jc w:val="center"/>
                  <w:rPr>
                    <w:szCs w:val="21"/>
                  </w:rPr>
                </w:pPr>
                <w:r>
                  <w:rPr>
                    <w:rFonts w:hint="eastAsia"/>
                    <w:szCs w:val="21"/>
                  </w:rPr>
                  <w:t>逾期未收回金额</w:t>
                </w:r>
              </w:p>
            </w:tc>
          </w:sdtContent>
        </w:sdt>
      </w:tr>
      <w:tr w:rsidR="00E57DAA" w14:paraId="4C213069" w14:textId="77777777">
        <w:sdt>
          <w:sdtPr>
            <w:rPr>
              <w:rFonts w:hint="eastAsia"/>
            </w:rPr>
            <w:alias w:val="委托理财类型"/>
            <w:tag w:val="_GBC_dde0b0799c3d4140ab92a2fd8e9f7e37"/>
            <w:id w:val="249398437"/>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EndPr/>
          <w:sdtContent>
            <w:tc>
              <w:tcPr>
                <w:tcW w:w="922" w:type="pct"/>
                <w:shd w:val="clear" w:color="auto" w:fill="auto"/>
              </w:tcPr>
              <w:p w14:paraId="5BCB2DF9" w14:textId="77777777" w:rsidR="00E57DAA" w:rsidRDefault="00AC4185" w:rsidP="00C25422">
                <w:pPr>
                  <w:pStyle w:val="92"/>
                </w:pPr>
                <w:r>
                  <w:rPr>
                    <w:rFonts w:hint="eastAsia"/>
                  </w:rPr>
                  <w:t>银行理财产品</w:t>
                </w:r>
              </w:p>
            </w:tc>
          </w:sdtContent>
        </w:sdt>
        <w:tc>
          <w:tcPr>
            <w:tcW w:w="940" w:type="pct"/>
            <w:shd w:val="clear" w:color="auto" w:fill="auto"/>
            <w:vAlign w:val="center"/>
          </w:tcPr>
          <w:p w14:paraId="1CAF877F" w14:textId="77777777" w:rsidR="00E57DAA" w:rsidRDefault="00AC4185" w:rsidP="00C25422">
            <w:pPr>
              <w:pStyle w:val="92"/>
            </w:pPr>
            <w:r>
              <w:t>自有资金</w:t>
            </w:r>
          </w:p>
        </w:tc>
        <w:tc>
          <w:tcPr>
            <w:tcW w:w="940" w:type="pct"/>
            <w:shd w:val="clear" w:color="auto" w:fill="auto"/>
            <w:vAlign w:val="center"/>
          </w:tcPr>
          <w:p w14:paraId="14EDC50B" w14:textId="77777777" w:rsidR="00E57DAA" w:rsidRDefault="00AC4185">
            <w:pPr>
              <w:jc w:val="right"/>
            </w:pPr>
            <w:r>
              <w:rPr>
                <w:rFonts w:hint="eastAsia"/>
              </w:rPr>
              <w:t>2.49</w:t>
            </w:r>
          </w:p>
        </w:tc>
        <w:tc>
          <w:tcPr>
            <w:tcW w:w="940" w:type="pct"/>
            <w:shd w:val="clear" w:color="auto" w:fill="auto"/>
            <w:vAlign w:val="center"/>
          </w:tcPr>
          <w:p w14:paraId="00ACE96D" w14:textId="77777777" w:rsidR="00E57DAA" w:rsidRDefault="00AC4185">
            <w:pPr>
              <w:jc w:val="right"/>
            </w:pPr>
            <w:r>
              <w:t>0</w:t>
            </w:r>
          </w:p>
        </w:tc>
        <w:tc>
          <w:tcPr>
            <w:tcW w:w="1258" w:type="pct"/>
            <w:shd w:val="clear" w:color="auto" w:fill="auto"/>
            <w:vAlign w:val="center"/>
          </w:tcPr>
          <w:p w14:paraId="0483B772" w14:textId="77777777" w:rsidR="00E57DAA" w:rsidRDefault="00AC4185">
            <w:pPr>
              <w:jc w:val="right"/>
            </w:pPr>
            <w:r>
              <w:t>0</w:t>
            </w:r>
          </w:p>
        </w:tc>
      </w:tr>
    </w:tbl>
    <w:p w14:paraId="304B009F" w14:textId="77777777" w:rsidR="00E57DAA" w:rsidRDefault="00E57DAA" w:rsidP="00C25422">
      <w:pPr>
        <w:pStyle w:val="92"/>
      </w:pPr>
    </w:p>
    <w:p w14:paraId="4863B17F" w14:textId="77777777" w:rsidR="00E57DAA" w:rsidRDefault="00AC4185">
      <w:pPr>
        <w:rPr>
          <w:b/>
        </w:rPr>
      </w:pPr>
      <w:r>
        <w:rPr>
          <w:rFonts w:hint="eastAsia"/>
          <w:b/>
        </w:rPr>
        <w:t>其他情况</w:t>
      </w:r>
    </w:p>
    <w:sdt>
      <w:sdtPr>
        <w:rPr>
          <w:rFonts w:hint="eastAsia"/>
        </w:rPr>
        <w:alias w:val="是否适用：委托理财总体其他情况[双击切换]"/>
        <w:tag w:val="_GBC_4fb72032e5bd4642bf5eb2d83d5ca874"/>
        <w:id w:val="145791071"/>
        <w:placeholder>
          <w:docPart w:val="GBC22222222222222222222222222222"/>
        </w:placeholder>
      </w:sdtPr>
      <w:sdtEndPr/>
      <w:sdtContent>
        <w:p w14:paraId="339D37E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委托理财总体其他情况"/>
        <w:tag w:val="_GBC_33416e1386744f6184a20c455de802e5"/>
        <w:id w:val="-802611493"/>
        <w:placeholder>
          <w:docPart w:val="373D3D2C53FC4B238A148D2B7B6A99B4"/>
        </w:placeholder>
      </w:sdtPr>
      <w:sdtEndPr/>
      <w:sdtContent>
        <w:p w14:paraId="31760F1B" w14:textId="77777777" w:rsidR="00E57DAA" w:rsidRDefault="00AC4185">
          <w:pPr>
            <w:ind w:firstLineChars="200" w:firstLine="420"/>
          </w:pPr>
          <w:r>
            <w:rPr>
              <w:rFonts w:hint="eastAsia"/>
            </w:rPr>
            <w:t>2023年3月20日，公司第七届董事会第二十六次会议审议通过了</w:t>
          </w:r>
          <w:r>
            <w:rPr>
              <w:rFonts w:hint="eastAsia"/>
              <w:szCs w:val="21"/>
            </w:rPr>
            <w:t>《</w:t>
          </w:r>
          <w:r>
            <w:rPr>
              <w:rFonts w:hint="eastAsia"/>
              <w:color w:val="000000"/>
              <w:szCs w:val="21"/>
            </w:rPr>
            <w:t>关于公司委托理财额度的议案</w:t>
          </w:r>
          <w:r>
            <w:rPr>
              <w:rFonts w:hint="eastAsia"/>
              <w:szCs w:val="21"/>
            </w:rPr>
            <w:t>》，</w:t>
          </w:r>
          <w:r>
            <w:rPr>
              <w:rFonts w:hint="eastAsia"/>
            </w:rPr>
            <w:t>批准公司在未来一年在任一时点合计不超过</w:t>
          </w:r>
          <w:r>
            <w:t xml:space="preserve"> </w:t>
          </w:r>
          <w:r>
            <w:rPr>
              <w:rFonts w:hint="eastAsia"/>
            </w:rPr>
            <w:t>2</w:t>
          </w:r>
          <w:r>
            <w:t xml:space="preserve">5 </w:t>
          </w:r>
          <w:r>
            <w:rPr>
              <w:rFonts w:hint="eastAsia"/>
            </w:rPr>
            <w:t>亿元人民币委托理财交易额度内开展委托理财，额度自公司董事会决议通过之日起一年内有效。</w:t>
          </w:r>
        </w:p>
      </w:sdtContent>
    </w:sdt>
    <w:p w14:paraId="192E3A28" w14:textId="77777777" w:rsidR="00E57DAA" w:rsidRDefault="00E57DAA" w:rsidP="00C25422">
      <w:pPr>
        <w:pStyle w:val="92"/>
      </w:pPr>
    </w:p>
    <w:p w14:paraId="1D79BE9D" w14:textId="77777777" w:rsidR="00E57DAA" w:rsidRDefault="00AC4185">
      <w:pPr>
        <w:pStyle w:val="5"/>
        <w:numPr>
          <w:ilvl w:val="0"/>
          <w:numId w:val="44"/>
        </w:numPr>
        <w:ind w:left="465"/>
      </w:pPr>
      <w:r>
        <w:t>单项委托理财情况</w:t>
      </w:r>
    </w:p>
    <w:sdt>
      <w:sdtPr>
        <w:rPr>
          <w:rFonts w:hint="eastAsia"/>
        </w:rPr>
        <w:alias w:val="是否适用：单项委托理财情况[双击切换]"/>
        <w:tag w:val="_GBC_049960b74e79480d8781c2d7d6a997dc"/>
        <w:id w:val="94910282"/>
        <w:placeholder>
          <w:docPart w:val="GBC22222222222222222222222222222"/>
        </w:placeholder>
      </w:sdtPr>
      <w:sdtEndPr/>
      <w:sdtContent>
        <w:p w14:paraId="62925BB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D52452" w14:textId="77777777" w:rsidR="00E57DAA" w:rsidRDefault="00E57DAA" w:rsidP="00C25422">
      <w:pPr>
        <w:pStyle w:val="92"/>
      </w:pPr>
    </w:p>
    <w:p w14:paraId="42DF110A" w14:textId="77777777" w:rsidR="00E57DAA" w:rsidRDefault="00AC4185">
      <w:pPr>
        <w:rPr>
          <w:b/>
        </w:rPr>
      </w:pPr>
      <w:r>
        <w:rPr>
          <w:rFonts w:hint="eastAsia"/>
          <w:b/>
        </w:rPr>
        <w:t>其他情况</w:t>
      </w:r>
    </w:p>
    <w:sdt>
      <w:sdtPr>
        <w:rPr>
          <w:rFonts w:hint="eastAsia"/>
        </w:rPr>
        <w:alias w:val="是否适用：单项委托理财其他情况[双击切换]"/>
        <w:tag w:val="_GBC_627c77e5ab674442a3b768741f653602"/>
        <w:id w:val="1719005947"/>
        <w:placeholder>
          <w:docPart w:val="GBC22222222222222222222222222222"/>
        </w:placeholder>
      </w:sdtPr>
      <w:sdtEndPr/>
      <w:sdtContent>
        <w:p w14:paraId="029D8FC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A11197" w14:textId="77777777" w:rsidR="00E57DAA" w:rsidRDefault="00E57DAA" w:rsidP="00C25422">
      <w:pPr>
        <w:pStyle w:val="92"/>
      </w:pPr>
    </w:p>
    <w:p w14:paraId="4B2CC152" w14:textId="77777777" w:rsidR="00E57DAA" w:rsidRDefault="00E57DAA">
      <w:pPr>
        <w:pStyle w:val="5"/>
        <w:numPr>
          <w:ilvl w:val="0"/>
          <w:numId w:val="44"/>
        </w:numPr>
        <w:ind w:left="465"/>
        <w:sectPr w:rsidR="00E57DAA" w:rsidSect="00226547">
          <w:pgSz w:w="16838" w:h="11906" w:orient="landscape"/>
          <w:pgMar w:top="1797" w:right="1525" w:bottom="1276" w:left="1440" w:header="855" w:footer="992" w:gutter="0"/>
          <w:cols w:space="425"/>
          <w:docGrid w:linePitch="312"/>
        </w:sectPr>
      </w:pPr>
    </w:p>
    <w:p w14:paraId="0F01541D" w14:textId="77777777" w:rsidR="00E57DAA" w:rsidRDefault="00AC4185">
      <w:pPr>
        <w:pStyle w:val="5"/>
        <w:numPr>
          <w:ilvl w:val="0"/>
          <w:numId w:val="44"/>
        </w:numPr>
        <w:ind w:left="465"/>
      </w:pPr>
      <w:r>
        <w:lastRenderedPageBreak/>
        <w:t>委托理财减值准备</w:t>
      </w:r>
    </w:p>
    <w:sdt>
      <w:sdtPr>
        <w:rPr>
          <w:rFonts w:hint="eastAsia"/>
        </w:rPr>
        <w:alias w:val="是否适用：委托理财减值准备[双击切换]"/>
        <w:tag w:val="_GBC_8db4f6600a6746739610ffaaa34abeac"/>
        <w:id w:val="-353880644"/>
        <w:placeholder>
          <w:docPart w:val="GBC22222222222222222222222222222"/>
        </w:placeholder>
      </w:sdtPr>
      <w:sdtEndPr/>
      <w:sdtContent>
        <w:p w14:paraId="4104908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29B3DB" w14:textId="77777777" w:rsidR="00E57DAA" w:rsidRDefault="00E57DAA" w:rsidP="00C25422">
      <w:pPr>
        <w:pStyle w:val="92"/>
      </w:pPr>
    </w:p>
    <w:p w14:paraId="45E5BB77" w14:textId="77777777" w:rsidR="00E57DAA" w:rsidRDefault="00AC4185">
      <w:pPr>
        <w:pStyle w:val="4"/>
        <w:numPr>
          <w:ilvl w:val="0"/>
          <w:numId w:val="43"/>
        </w:numPr>
      </w:pPr>
      <w:r>
        <w:t>委托贷款情况</w:t>
      </w:r>
    </w:p>
    <w:p w14:paraId="19559515" w14:textId="77777777" w:rsidR="00E57DAA" w:rsidRDefault="00AC4185">
      <w:pPr>
        <w:pStyle w:val="5"/>
        <w:numPr>
          <w:ilvl w:val="0"/>
          <w:numId w:val="45"/>
        </w:numPr>
        <w:ind w:left="465"/>
      </w:pPr>
      <w:r>
        <w:t>委托贷款总体情况</w:t>
      </w:r>
    </w:p>
    <w:sdt>
      <w:sdtPr>
        <w:rPr>
          <w:rFonts w:hint="eastAsia"/>
        </w:rPr>
        <w:alias w:val="是否适用：委托贷款总体情况[双击切换]"/>
        <w:tag w:val="_GBC_6f663504a9e74d5c978e23554b4b84e4"/>
        <w:id w:val="-1234314284"/>
        <w:placeholder>
          <w:docPart w:val="GBC22222222222222222222222222222"/>
        </w:placeholder>
      </w:sdtPr>
      <w:sdtEndPr/>
      <w:sdtContent>
        <w:p w14:paraId="0344F9B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2D5021" w14:textId="77777777" w:rsidR="00E57DAA" w:rsidRDefault="00E57DAA" w:rsidP="00C25422">
      <w:pPr>
        <w:pStyle w:val="92"/>
      </w:pPr>
    </w:p>
    <w:p w14:paraId="4D67C99F" w14:textId="77777777" w:rsidR="00E57DAA" w:rsidRDefault="00AC4185">
      <w:pPr>
        <w:rPr>
          <w:b/>
        </w:rPr>
      </w:pPr>
      <w:r>
        <w:rPr>
          <w:rFonts w:hint="eastAsia"/>
          <w:b/>
        </w:rPr>
        <w:t>其他情况</w:t>
      </w:r>
    </w:p>
    <w:sdt>
      <w:sdtPr>
        <w:rPr>
          <w:rFonts w:hint="eastAsia"/>
        </w:rPr>
        <w:alias w:val="是否适用：委托贷款总体其他情况[双击切换]"/>
        <w:tag w:val="_GBC_a071e3ce40374c6bb1b2f2dc2158413e"/>
        <w:id w:val="-917716330"/>
        <w:placeholder>
          <w:docPart w:val="GBC22222222222222222222222222222"/>
        </w:placeholder>
      </w:sdtPr>
      <w:sdtEndPr/>
      <w:sdtContent>
        <w:p w14:paraId="21AEBC1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73432E" w14:textId="77777777" w:rsidR="00E57DAA" w:rsidRDefault="00E57DAA" w:rsidP="00C25422">
      <w:pPr>
        <w:pStyle w:val="92"/>
      </w:pPr>
    </w:p>
    <w:p w14:paraId="2BE520B7" w14:textId="77777777" w:rsidR="00E57DAA" w:rsidRDefault="00AC4185">
      <w:pPr>
        <w:pStyle w:val="5"/>
        <w:numPr>
          <w:ilvl w:val="0"/>
          <w:numId w:val="45"/>
        </w:numPr>
        <w:ind w:left="465"/>
      </w:pPr>
      <w:r>
        <w:t>单项委托贷款情况</w:t>
      </w:r>
    </w:p>
    <w:sdt>
      <w:sdtPr>
        <w:rPr>
          <w:rFonts w:hint="eastAsia"/>
        </w:rPr>
        <w:alias w:val="是否适用：单项委托贷款情况[双击切换]"/>
        <w:tag w:val="_GBC_30b7c4837f704dff80c05190f23d6f3e"/>
        <w:id w:val="1270660097"/>
        <w:placeholder>
          <w:docPart w:val="GBC22222222222222222222222222222"/>
        </w:placeholder>
      </w:sdtPr>
      <w:sdtEndPr/>
      <w:sdtContent>
        <w:p w14:paraId="1024E0A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CA3349" w14:textId="77777777" w:rsidR="00E57DAA" w:rsidRDefault="00E57DAA" w:rsidP="00C25422">
      <w:pPr>
        <w:pStyle w:val="92"/>
      </w:pPr>
    </w:p>
    <w:p w14:paraId="751E7D90" w14:textId="77777777" w:rsidR="00E57DAA" w:rsidRDefault="00AC4185">
      <w:pPr>
        <w:rPr>
          <w:b/>
        </w:rPr>
      </w:pPr>
      <w:r>
        <w:rPr>
          <w:rFonts w:hint="eastAsia"/>
          <w:b/>
        </w:rPr>
        <w:t>其他情况</w:t>
      </w:r>
    </w:p>
    <w:sdt>
      <w:sdtPr>
        <w:rPr>
          <w:rFonts w:hint="eastAsia"/>
        </w:rPr>
        <w:alias w:val="是否适用：单项委托贷款其他情况[双击切换]"/>
        <w:tag w:val="_GBC_7fbd63dcaf8a4899bcd830951796a261"/>
        <w:id w:val="-545459108"/>
        <w:placeholder>
          <w:docPart w:val="GBC22222222222222222222222222222"/>
        </w:placeholder>
      </w:sdtPr>
      <w:sdtEndPr/>
      <w:sdtContent>
        <w:p w14:paraId="2DC3FBD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A2458B" w14:textId="77777777" w:rsidR="00E57DAA" w:rsidRDefault="00E57DAA" w:rsidP="00C25422">
      <w:pPr>
        <w:pStyle w:val="92"/>
      </w:pPr>
    </w:p>
    <w:p w14:paraId="3652D3CB" w14:textId="77777777" w:rsidR="00E57DAA" w:rsidRDefault="00AC4185">
      <w:pPr>
        <w:pStyle w:val="5"/>
        <w:numPr>
          <w:ilvl w:val="0"/>
          <w:numId w:val="45"/>
        </w:numPr>
        <w:ind w:left="465"/>
      </w:pPr>
      <w:r>
        <w:t>委托贷款减值</w:t>
      </w:r>
      <w:r>
        <w:rPr>
          <w:rFonts w:hint="eastAsia"/>
        </w:rPr>
        <w:t>准备</w:t>
      </w:r>
    </w:p>
    <w:sdt>
      <w:sdtPr>
        <w:rPr>
          <w:rFonts w:hint="eastAsia"/>
        </w:rPr>
        <w:alias w:val="是否适用：委托贷款减值准备[双击切换]"/>
        <w:tag w:val="_GBC_72dc10eff44f4851bd80447a1199a033"/>
        <w:id w:val="-835537604"/>
        <w:placeholder>
          <w:docPart w:val="GBC22222222222222222222222222222"/>
        </w:placeholder>
      </w:sdtPr>
      <w:sdtEndPr/>
      <w:sdtContent>
        <w:p w14:paraId="2293D49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50318D" w14:textId="77777777" w:rsidR="00E57DAA" w:rsidRDefault="00E57DAA" w:rsidP="00C25422">
      <w:pPr>
        <w:pStyle w:val="92"/>
      </w:pPr>
    </w:p>
    <w:p w14:paraId="4B89AFA2" w14:textId="77777777" w:rsidR="00E57DAA" w:rsidRDefault="00AC4185">
      <w:pPr>
        <w:pStyle w:val="4"/>
        <w:numPr>
          <w:ilvl w:val="0"/>
          <w:numId w:val="43"/>
        </w:numPr>
      </w:pPr>
      <w:r>
        <w:t>其他</w:t>
      </w:r>
      <w:r>
        <w:rPr>
          <w:rFonts w:hint="eastAsia"/>
        </w:rPr>
        <w:t>情况</w:t>
      </w:r>
    </w:p>
    <w:sdt>
      <w:sdtPr>
        <w:rPr>
          <w:rFonts w:hint="eastAsia"/>
        </w:rPr>
        <w:alias w:val="是否适用：委托他人进行现金资产管理的其他情况[双击切换]"/>
        <w:tag w:val="_GBC_c408f1ecbaff4ed08e4dcfbbac8e0ccd"/>
        <w:id w:val="470334464"/>
        <w:placeholder>
          <w:docPart w:val="GBC22222222222222222222222222222"/>
        </w:placeholder>
      </w:sdtPr>
      <w:sdtEndPr/>
      <w:sdtContent>
        <w:p w14:paraId="7C23C9A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FB9916" w14:textId="77777777" w:rsidR="00E57DAA" w:rsidRDefault="00E57DAA" w:rsidP="00C25422">
      <w:pPr>
        <w:pStyle w:val="92"/>
      </w:pPr>
    </w:p>
    <w:p w14:paraId="662C81E2" w14:textId="77777777" w:rsidR="00E57DAA" w:rsidRDefault="00AC4185">
      <w:pPr>
        <w:pStyle w:val="3"/>
        <w:numPr>
          <w:ilvl w:val="0"/>
          <w:numId w:val="40"/>
        </w:numPr>
      </w:pPr>
      <w:r>
        <w:t>其他重大合同</w:t>
      </w:r>
    </w:p>
    <w:sdt>
      <w:sdtPr>
        <w:rPr>
          <w:rFonts w:hint="eastAsia"/>
          <w:szCs w:val="21"/>
        </w:rPr>
        <w:alias w:val="是否适用：其他重大合同[双击切换]"/>
        <w:tag w:val="_GBC_541dd80939ae4bafb641675f942c4c14"/>
        <w:id w:val="-1339769893"/>
        <w:placeholder>
          <w:docPart w:val="GBC22222222222222222222222222222"/>
        </w:placeholder>
      </w:sdtPr>
      <w:sdtEndPr/>
      <w:sdtContent>
        <w:p w14:paraId="547FB15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重大合同"/>
        <w:tag w:val="_GBC_4b2fbb76f8534d40a4da6e0337202650"/>
        <w:id w:val="940495750"/>
        <w:placeholder>
          <w:docPart w:val="5F26D5D58ACE454C9F2FC30761E98A7C"/>
        </w:placeholder>
      </w:sdtPr>
      <w:sdtEndPr>
        <w:rPr>
          <w:highlight w:val="yellow"/>
        </w:rPr>
      </w:sdtEndPr>
      <w:sdtContent>
        <w:p w14:paraId="41C32235" w14:textId="77777777" w:rsidR="00FF0A7C" w:rsidRDefault="00AC4185" w:rsidP="00FF0A7C">
          <w:pPr>
            <w:pStyle w:val="92"/>
            <w:jc w:val="left"/>
            <w:rPr>
              <w:rFonts w:asciiTheme="minorEastAsia" w:eastAsiaTheme="minorEastAsia" w:hAnsiTheme="minorEastAsia"/>
              <w:sz w:val="21"/>
              <w:szCs w:val="21"/>
            </w:rPr>
          </w:pPr>
          <w:r w:rsidRPr="00FF0A7C">
            <w:rPr>
              <w:rFonts w:asciiTheme="minorEastAsia" w:eastAsiaTheme="minorEastAsia" w:hAnsiTheme="minorEastAsia"/>
              <w:sz w:val="21"/>
              <w:szCs w:val="21"/>
            </w:rPr>
            <w:t>（1）2018年，公司与东盟钾肥股份有限公司签署泰国喃匿那隆县钾盐矿工程供货合同，合同金额342,668,839美元，因生效条件尚未达成，截至公告日，尚未进入执行阶段。详情见公司2018年9月29日发布的《关于签署日常经营重大合同的公告》（临2018-043）</w:t>
          </w:r>
          <w:r w:rsidR="00D2158E" w:rsidRPr="00FF0A7C">
            <w:rPr>
              <w:rFonts w:asciiTheme="minorEastAsia" w:eastAsiaTheme="minorEastAsia" w:hAnsiTheme="minorEastAsia" w:hint="eastAsia"/>
              <w:sz w:val="21"/>
              <w:szCs w:val="21"/>
            </w:rPr>
            <w:t>。</w:t>
          </w:r>
        </w:p>
        <w:p w14:paraId="76042FA8" w14:textId="77777777" w:rsidR="00FF0A7C" w:rsidRDefault="00AC4185" w:rsidP="00FF0A7C">
          <w:pPr>
            <w:pStyle w:val="92"/>
            <w:jc w:val="left"/>
            <w:rPr>
              <w:rFonts w:asciiTheme="minorEastAsia" w:eastAsiaTheme="minorEastAsia" w:hAnsiTheme="minorEastAsia"/>
              <w:sz w:val="21"/>
              <w:szCs w:val="21"/>
            </w:rPr>
          </w:pPr>
          <w:r w:rsidRPr="00FF0A7C">
            <w:rPr>
              <w:rFonts w:asciiTheme="minorEastAsia" w:eastAsiaTheme="minorEastAsia" w:hAnsiTheme="minorEastAsia"/>
              <w:sz w:val="21"/>
              <w:szCs w:val="21"/>
            </w:rPr>
            <w:t>（2）2018年，全资子公司中材建设有限公司与中非水泥有限公司签订赞比亚中非水泥有限公司日产5000吨熟料生产线及配套工程项目总承包合同，总承包合同金额为4.8亿美元。截至公告日，项目融资工作正在推进，尚未进入执行阶段。详情见公司2018年12月6日发布的《关于公司全资子公司签署日常经营重大合同的公告》（临2018-062）。</w:t>
          </w:r>
        </w:p>
        <w:p w14:paraId="19A52929" w14:textId="77777777" w:rsidR="00E57DAA" w:rsidRPr="00FF0A7C" w:rsidRDefault="00FF0A7C" w:rsidP="00FF0A7C">
          <w:pPr>
            <w:pStyle w:val="92"/>
            <w:jc w:val="left"/>
            <w:rPr>
              <w:rFonts w:asciiTheme="minorEastAsia" w:eastAsiaTheme="minorEastAsia" w:hAnsiTheme="minorEastAsia"/>
              <w:sz w:val="21"/>
              <w:szCs w:val="21"/>
            </w:rPr>
          </w:pPr>
          <w:r>
            <w:rPr>
              <w:rFonts w:asciiTheme="minorEastAsia" w:eastAsiaTheme="minorEastAsia" w:hAnsiTheme="minorEastAsia" w:hint="eastAsia"/>
              <w:sz w:val="21"/>
              <w:szCs w:val="21"/>
            </w:rPr>
            <w:t>（3）</w:t>
          </w:r>
          <w:r w:rsidR="00AC4185" w:rsidRPr="00FF0A7C">
            <w:rPr>
              <w:rFonts w:asciiTheme="minorEastAsia" w:eastAsiaTheme="minorEastAsia" w:hAnsiTheme="minorEastAsia"/>
              <w:sz w:val="21"/>
              <w:szCs w:val="21"/>
            </w:rPr>
            <w:t>2023年，公司及全资子公司NJZC INTERNATIONAL CONSTRUCTION NIG LTD（即尼日利亚子公司）与</w:t>
          </w:r>
          <w:proofErr w:type="spellStart"/>
          <w:r w:rsidR="00AC4185" w:rsidRPr="00FF0A7C">
            <w:rPr>
              <w:rFonts w:asciiTheme="minorEastAsia" w:eastAsiaTheme="minorEastAsia" w:hAnsiTheme="minorEastAsia"/>
              <w:sz w:val="21"/>
              <w:szCs w:val="21"/>
            </w:rPr>
            <w:t>Itori</w:t>
          </w:r>
          <w:proofErr w:type="spellEnd"/>
          <w:r w:rsidR="00AC4185" w:rsidRPr="00FF0A7C">
            <w:rPr>
              <w:rFonts w:asciiTheme="minorEastAsia" w:eastAsiaTheme="minorEastAsia" w:hAnsiTheme="minorEastAsia"/>
              <w:sz w:val="21"/>
              <w:szCs w:val="21"/>
            </w:rPr>
            <w:t> Cement Plc签订《Dangote尼日利亚奥贡州伊托里2条日产6000吨熟料水泥生产线总承包合同》，合同总金额为585,089,934美元。截至公告日，</w:t>
          </w:r>
          <w:r w:rsidR="00AC4185" w:rsidRPr="00FF0A7C">
            <w:rPr>
              <w:rFonts w:asciiTheme="minorEastAsia" w:eastAsiaTheme="minorEastAsia" w:hAnsiTheme="minorEastAsia" w:hint="eastAsia"/>
              <w:sz w:val="21"/>
              <w:szCs w:val="21"/>
            </w:rPr>
            <w:t>项目金额调整为401,533,935 美元</w:t>
          </w:r>
          <w:r>
            <w:rPr>
              <w:rFonts w:asciiTheme="minorEastAsia" w:eastAsiaTheme="minorEastAsia" w:hAnsiTheme="minorEastAsia" w:hint="eastAsia"/>
              <w:szCs w:val="21"/>
            </w:rPr>
            <w:t>。</w:t>
          </w:r>
          <w:r w:rsidR="00AC4185" w:rsidRPr="00FF0A7C">
            <w:rPr>
              <w:rFonts w:asciiTheme="minorEastAsia" w:eastAsiaTheme="minorEastAsia" w:hAnsiTheme="minorEastAsia" w:hint="eastAsia"/>
              <w:sz w:val="21"/>
              <w:szCs w:val="21"/>
            </w:rPr>
            <w:t xml:space="preserve"> </w:t>
          </w:r>
          <w:r w:rsidR="00AC4185" w:rsidRPr="00FF0A7C">
            <w:rPr>
              <w:rFonts w:asciiTheme="minorEastAsia" w:eastAsiaTheme="minorEastAsia" w:hAnsiTheme="minorEastAsia"/>
              <w:sz w:val="21"/>
              <w:szCs w:val="21"/>
            </w:rPr>
            <w:t>详情见公司202</w:t>
          </w:r>
          <w:r w:rsidRPr="00FF0A7C">
            <w:rPr>
              <w:rFonts w:asciiTheme="minorEastAsia" w:eastAsiaTheme="minorEastAsia" w:hAnsiTheme="minorEastAsia" w:hint="eastAsia"/>
              <w:sz w:val="21"/>
              <w:szCs w:val="21"/>
            </w:rPr>
            <w:t>3</w:t>
          </w:r>
          <w:r w:rsidR="00AC4185" w:rsidRPr="00FF0A7C">
            <w:rPr>
              <w:rFonts w:asciiTheme="minorEastAsia" w:eastAsiaTheme="minorEastAsia" w:hAnsiTheme="minorEastAsia"/>
              <w:sz w:val="21"/>
              <w:szCs w:val="21"/>
            </w:rPr>
            <w:t>年</w:t>
          </w:r>
          <w:r w:rsidRPr="00FF0A7C">
            <w:rPr>
              <w:rFonts w:asciiTheme="minorEastAsia" w:eastAsiaTheme="minorEastAsia" w:hAnsiTheme="minorEastAsia" w:hint="eastAsia"/>
              <w:sz w:val="21"/>
              <w:szCs w:val="21"/>
            </w:rPr>
            <w:t>1</w:t>
          </w:r>
          <w:r w:rsidR="00AC4185" w:rsidRPr="00FF0A7C">
            <w:rPr>
              <w:rFonts w:asciiTheme="minorEastAsia" w:eastAsiaTheme="minorEastAsia" w:hAnsiTheme="minorEastAsia"/>
              <w:sz w:val="21"/>
              <w:szCs w:val="21"/>
            </w:rPr>
            <w:t>月31日发布的《关于签署日常经营重大合同的公告》（临2023-012）。</w:t>
          </w:r>
          <w:r w:rsidR="00AC4185">
            <w:br/>
          </w:r>
        </w:p>
      </w:sdtContent>
    </w:sdt>
    <w:p w14:paraId="7028B760" w14:textId="77777777" w:rsidR="00E57DAA" w:rsidRDefault="00E57DAA">
      <w:pPr>
        <w:rPr>
          <w:szCs w:val="21"/>
        </w:rPr>
      </w:pPr>
    </w:p>
    <w:p w14:paraId="650FC187" w14:textId="77777777" w:rsidR="00E57DAA" w:rsidRDefault="00AC4185">
      <w:pPr>
        <w:pStyle w:val="2"/>
        <w:numPr>
          <w:ilvl w:val="0"/>
          <w:numId w:val="31"/>
        </w:numPr>
      </w:pPr>
      <w:bookmarkStart w:id="118" w:name="_Hlk155626801"/>
      <w:r>
        <w:rPr>
          <w:rFonts w:hint="eastAsia"/>
        </w:rPr>
        <w:t>募集资金使用进展说明</w:t>
      </w:r>
    </w:p>
    <w:sdt>
      <w:sdtPr>
        <w:alias w:val="是否适用：募集资金使用进展说明[双击切换]"/>
        <w:tag w:val="_GBC_944ecce3b64e422f9226836bcadfd4ae"/>
        <w:id w:val="465160577"/>
        <w:placeholder>
          <w:docPart w:val="GBC22222222222222222222222222222"/>
        </w:placeholder>
      </w:sdtPr>
      <w:sdtEndPr/>
      <w:sdtContent>
        <w:p w14:paraId="2880485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18"/>
    <w:p w14:paraId="5C64D5F9" w14:textId="77777777" w:rsidR="00E57DAA" w:rsidRDefault="00E57DAA" w:rsidP="00C25422">
      <w:pPr>
        <w:pStyle w:val="92"/>
      </w:pPr>
    </w:p>
    <w:p w14:paraId="2371A885" w14:textId="77777777" w:rsidR="00E57DAA" w:rsidRDefault="00AC4185">
      <w:pPr>
        <w:pStyle w:val="2"/>
        <w:numPr>
          <w:ilvl w:val="0"/>
          <w:numId w:val="31"/>
        </w:numPr>
      </w:pPr>
      <w:r>
        <w:rPr>
          <w:rFonts w:hint="eastAsia"/>
        </w:rPr>
        <w:t>其</w:t>
      </w:r>
      <w:r>
        <w:t>他</w:t>
      </w:r>
      <w:r>
        <w:rPr>
          <w:rFonts w:hint="eastAsia"/>
        </w:rPr>
        <w:t>对投资者作出价值判断和投资决策有重大影响的重大事项的说明</w:t>
      </w:r>
    </w:p>
    <w:sdt>
      <w:sdtPr>
        <w:alias w:val="是否适用：其他对投资者作出价值判断和投资决策有重大影响的重大事项的说明[双击切换]"/>
        <w:tag w:val="_GBC_a560f17fa4c7429db7d87dca59f4df08"/>
        <w:id w:val="-1261674341"/>
        <w:placeholder>
          <w:docPart w:val="GBC22222222222222222222222222222"/>
        </w:placeholder>
      </w:sdtPr>
      <w:sdtEndPr/>
      <w:sdtContent>
        <w:p w14:paraId="5A5AC1D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CB58E7" w14:textId="77777777" w:rsidR="00E57DAA" w:rsidRDefault="00E57DAA">
      <w:pPr>
        <w:rPr>
          <w:szCs w:val="21"/>
        </w:rPr>
        <w:sectPr w:rsidR="00E57DAA" w:rsidSect="00226547">
          <w:pgSz w:w="11906" w:h="16838"/>
          <w:pgMar w:top="1525" w:right="1276" w:bottom="1440" w:left="1797" w:header="856" w:footer="992" w:gutter="0"/>
          <w:cols w:space="425"/>
          <w:docGrid w:linePitch="312"/>
        </w:sectPr>
      </w:pPr>
    </w:p>
    <w:p w14:paraId="221E832A" w14:textId="77777777" w:rsidR="00E57DAA" w:rsidRDefault="00AC4185" w:rsidP="00E76E97">
      <w:pPr>
        <w:pStyle w:val="1"/>
      </w:pPr>
      <w:bookmarkStart w:id="119" w:name="_Toc89790254"/>
      <w:bookmarkStart w:id="120" w:name="_Toc409437607"/>
      <w:bookmarkStart w:id="121" w:name="_Toc437440713"/>
      <w:bookmarkEnd w:id="98"/>
      <w:r>
        <w:rPr>
          <w:rFonts w:hint="eastAsia"/>
        </w:rPr>
        <w:lastRenderedPageBreak/>
        <w:t>股份变动及股东情况</w:t>
      </w:r>
      <w:bookmarkEnd w:id="119"/>
      <w:bookmarkEnd w:id="120"/>
      <w:bookmarkEnd w:id="121"/>
    </w:p>
    <w:p w14:paraId="079AB5A8" w14:textId="77777777" w:rsidR="00E57DAA" w:rsidRDefault="00E57DAA" w:rsidP="00C25422">
      <w:pPr>
        <w:pStyle w:val="92"/>
      </w:pPr>
    </w:p>
    <w:p w14:paraId="5537A7E0" w14:textId="77777777" w:rsidR="00E57DAA" w:rsidRDefault="00AC4185">
      <w:pPr>
        <w:pStyle w:val="2"/>
      </w:pPr>
      <w:bookmarkStart w:id="122" w:name="_Toc342059476"/>
      <w:bookmarkStart w:id="123" w:name="_Toc342565989"/>
      <w:r>
        <w:t>股</w:t>
      </w:r>
      <w:r>
        <w:rPr>
          <w:rFonts w:hint="eastAsia"/>
        </w:rPr>
        <w:t>本变动情况</w:t>
      </w:r>
      <w:bookmarkEnd w:id="122"/>
      <w:bookmarkEnd w:id="123"/>
    </w:p>
    <w:p w14:paraId="53301EE8" w14:textId="77777777" w:rsidR="00E57DAA" w:rsidRDefault="00AC4185">
      <w:pPr>
        <w:pStyle w:val="3"/>
        <w:numPr>
          <w:ilvl w:val="1"/>
          <w:numId w:val="46"/>
        </w:numPr>
      </w:pPr>
      <w:bookmarkStart w:id="124" w:name="_Toc342565990"/>
      <w:bookmarkStart w:id="125" w:name="_Toc342059477"/>
      <w:r>
        <w:rPr>
          <w:rFonts w:hint="eastAsia"/>
        </w:rPr>
        <w:t>股份变动情况表</w:t>
      </w:r>
      <w:bookmarkEnd w:id="124"/>
      <w:bookmarkEnd w:id="125"/>
    </w:p>
    <w:p w14:paraId="781E7EA6" w14:textId="77777777" w:rsidR="00E57DAA" w:rsidRDefault="00AC4185">
      <w:pPr>
        <w:pStyle w:val="4"/>
        <w:numPr>
          <w:ilvl w:val="2"/>
          <w:numId w:val="47"/>
        </w:numPr>
      </w:pPr>
      <w:r>
        <w:rPr>
          <w:rFonts w:hint="eastAsia"/>
        </w:rPr>
        <w:t>股份变动情况表</w:t>
      </w:r>
    </w:p>
    <w:p w14:paraId="44ED9460" w14:textId="77777777" w:rsidR="00E57DAA" w:rsidRDefault="00AC4185">
      <w:pPr>
        <w:jc w:val="right"/>
        <w:rPr>
          <w:szCs w:val="21"/>
        </w:rPr>
      </w:pPr>
      <w:r>
        <w:rPr>
          <w:szCs w:val="21"/>
        </w:rPr>
        <w:t>单位：</w:t>
      </w:r>
      <w:sdt>
        <w:sdtPr>
          <w:rPr>
            <w:rFonts w:hint="eastAsia"/>
            <w:szCs w:val="21"/>
          </w:rPr>
          <w:alias w:val="单位：股份变动情况表"/>
          <w:tag w:val="_GBC_852d31b746dd490d9366194fca5e9598"/>
          <w:id w:val="2126811049"/>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3"/>
        <w:gridCol w:w="1581"/>
        <w:gridCol w:w="846"/>
        <w:gridCol w:w="1371"/>
        <w:gridCol w:w="462"/>
        <w:gridCol w:w="1480"/>
        <w:gridCol w:w="692"/>
        <w:gridCol w:w="1371"/>
        <w:gridCol w:w="1581"/>
        <w:gridCol w:w="846"/>
      </w:tblGrid>
      <w:tr w:rsidR="00E57DAA" w14:paraId="77FB0B4F" w14:textId="77777777">
        <w:tc>
          <w:tcPr>
            <w:tcW w:w="1434" w:type="pct"/>
            <w:vMerge w:val="restart"/>
            <w:shd w:val="clear" w:color="auto" w:fill="auto"/>
          </w:tcPr>
          <w:p w14:paraId="6961FA45" w14:textId="77777777" w:rsidR="00E57DAA" w:rsidRDefault="00E57DAA">
            <w:pPr>
              <w:jc w:val="center"/>
              <w:rPr>
                <w:szCs w:val="21"/>
              </w:rPr>
            </w:pPr>
          </w:p>
        </w:tc>
        <w:sdt>
          <w:sdtPr>
            <w:tag w:val="_PLD_b9527a064e50418b9212da4d2a1d0df3"/>
            <w:id w:val="-1734072858"/>
          </w:sdtPr>
          <w:sdtEndPr/>
          <w:sdtContent>
            <w:tc>
              <w:tcPr>
                <w:tcW w:w="748" w:type="pct"/>
                <w:gridSpan w:val="2"/>
                <w:shd w:val="clear" w:color="auto" w:fill="auto"/>
                <w:vAlign w:val="center"/>
              </w:tcPr>
              <w:p w14:paraId="6ECB0946" w14:textId="77777777" w:rsidR="00E57DAA" w:rsidRDefault="00AC4185">
                <w:pPr>
                  <w:pStyle w:val="ab"/>
                  <w:jc w:val="center"/>
                  <w:rPr>
                    <w:rFonts w:hAnsi="宋体"/>
                  </w:rPr>
                </w:pPr>
                <w:r>
                  <w:rPr>
                    <w:rFonts w:hAnsi="宋体"/>
                  </w:rPr>
                  <w:t>本次变动前</w:t>
                </w:r>
              </w:p>
            </w:tc>
          </w:sdtContent>
        </w:sdt>
        <w:sdt>
          <w:sdtPr>
            <w:tag w:val="_PLD_ca58bf210de644a080d50250f302f3c8"/>
            <w:id w:val="868262753"/>
          </w:sdtPr>
          <w:sdtEndPr/>
          <w:sdtContent>
            <w:tc>
              <w:tcPr>
                <w:tcW w:w="2139" w:type="pct"/>
                <w:gridSpan w:val="5"/>
                <w:shd w:val="clear" w:color="auto" w:fill="auto"/>
                <w:vAlign w:val="center"/>
              </w:tcPr>
              <w:p w14:paraId="7E2FA4F5" w14:textId="77777777" w:rsidR="00E57DAA" w:rsidRDefault="00AC4185">
                <w:pPr>
                  <w:jc w:val="center"/>
                  <w:rPr>
                    <w:szCs w:val="21"/>
                  </w:rPr>
                </w:pPr>
                <w:r>
                  <w:rPr>
                    <w:szCs w:val="21"/>
                  </w:rPr>
                  <w:t>本次变动增减（</w:t>
                </w:r>
                <w:r>
                  <w:rPr>
                    <w:rFonts w:hint="eastAsia"/>
                    <w:szCs w:val="21"/>
                  </w:rPr>
                  <w:t>+，-</w:t>
                </w:r>
                <w:r>
                  <w:rPr>
                    <w:szCs w:val="21"/>
                  </w:rPr>
                  <w:t>）</w:t>
                </w:r>
              </w:p>
            </w:tc>
          </w:sdtContent>
        </w:sdt>
        <w:sdt>
          <w:sdtPr>
            <w:tag w:val="_PLD_257b6e7d34b34e838617d3ec2e88c450"/>
            <w:id w:val="891773915"/>
          </w:sdtPr>
          <w:sdtEndPr/>
          <w:sdtContent>
            <w:tc>
              <w:tcPr>
                <w:tcW w:w="679" w:type="pct"/>
                <w:gridSpan w:val="2"/>
                <w:shd w:val="clear" w:color="auto" w:fill="auto"/>
                <w:vAlign w:val="center"/>
              </w:tcPr>
              <w:p w14:paraId="04D845D1" w14:textId="77777777" w:rsidR="00E57DAA" w:rsidRDefault="00AC4185">
                <w:pPr>
                  <w:jc w:val="center"/>
                  <w:rPr>
                    <w:szCs w:val="21"/>
                  </w:rPr>
                </w:pPr>
                <w:r>
                  <w:rPr>
                    <w:szCs w:val="21"/>
                  </w:rPr>
                  <w:t>本次变动后</w:t>
                </w:r>
              </w:p>
            </w:tc>
          </w:sdtContent>
        </w:sdt>
      </w:tr>
      <w:tr w:rsidR="00E57DAA" w14:paraId="15A2C109" w14:textId="77777777">
        <w:trPr>
          <w:trHeight w:val="273"/>
        </w:trPr>
        <w:tc>
          <w:tcPr>
            <w:tcW w:w="1434" w:type="pct"/>
            <w:vMerge/>
            <w:shd w:val="clear" w:color="auto" w:fill="auto"/>
          </w:tcPr>
          <w:p w14:paraId="74EDD23A" w14:textId="77777777" w:rsidR="00E57DAA" w:rsidRDefault="00E57DAA">
            <w:pPr>
              <w:jc w:val="center"/>
              <w:rPr>
                <w:szCs w:val="21"/>
              </w:rPr>
            </w:pPr>
          </w:p>
        </w:tc>
        <w:sdt>
          <w:sdtPr>
            <w:tag w:val="_PLD_795b6515b9ff4e1db17e1116ff60e13f"/>
            <w:id w:val="649946918"/>
          </w:sdtPr>
          <w:sdtEndPr/>
          <w:sdtContent>
            <w:tc>
              <w:tcPr>
                <w:tcW w:w="373" w:type="pct"/>
                <w:shd w:val="clear" w:color="auto" w:fill="auto"/>
                <w:vAlign w:val="center"/>
              </w:tcPr>
              <w:p w14:paraId="62A6F713" w14:textId="77777777" w:rsidR="00E57DAA" w:rsidRDefault="00AC4185">
                <w:pPr>
                  <w:pStyle w:val="ab"/>
                  <w:jc w:val="center"/>
                  <w:rPr>
                    <w:rFonts w:hAnsi="宋体"/>
                  </w:rPr>
                </w:pPr>
                <w:r>
                  <w:rPr>
                    <w:rFonts w:hAnsi="宋体"/>
                  </w:rPr>
                  <w:t>数量</w:t>
                </w:r>
              </w:p>
            </w:tc>
          </w:sdtContent>
        </w:sdt>
        <w:sdt>
          <w:sdtPr>
            <w:tag w:val="_PLD_73d5343b919442adb141c63d11c2cfe3"/>
            <w:id w:val="2051498431"/>
          </w:sdtPr>
          <w:sdtEndPr/>
          <w:sdtContent>
            <w:tc>
              <w:tcPr>
                <w:tcW w:w="375" w:type="pct"/>
                <w:shd w:val="clear" w:color="auto" w:fill="auto"/>
                <w:vAlign w:val="center"/>
              </w:tcPr>
              <w:p w14:paraId="3A61856B" w14:textId="77777777" w:rsidR="00E57DAA" w:rsidRDefault="00AC4185">
                <w:pPr>
                  <w:pStyle w:val="ab"/>
                  <w:jc w:val="center"/>
                  <w:rPr>
                    <w:rFonts w:hAnsi="宋体"/>
                  </w:rPr>
                </w:pPr>
                <w:r>
                  <w:rPr>
                    <w:rFonts w:hAnsi="宋体"/>
                  </w:rPr>
                  <w:t>比例</w:t>
                </w:r>
                <w:r>
                  <w:rPr>
                    <w:rFonts w:hAnsi="宋体"/>
                  </w:rPr>
                  <w:t>(%)</w:t>
                </w:r>
              </w:p>
            </w:tc>
          </w:sdtContent>
        </w:sdt>
        <w:sdt>
          <w:sdtPr>
            <w:tag w:val="_PLD_ed98679a849f41f4aed274ab444cfaf5"/>
            <w:id w:val="1112093683"/>
          </w:sdtPr>
          <w:sdtEndPr/>
          <w:sdtContent>
            <w:tc>
              <w:tcPr>
                <w:tcW w:w="392" w:type="pct"/>
                <w:shd w:val="clear" w:color="auto" w:fill="auto"/>
                <w:vAlign w:val="center"/>
              </w:tcPr>
              <w:p w14:paraId="4A483AD4" w14:textId="77777777" w:rsidR="00E57DAA" w:rsidRDefault="00AC4185">
                <w:pPr>
                  <w:pStyle w:val="ab"/>
                  <w:jc w:val="center"/>
                  <w:rPr>
                    <w:rFonts w:hAnsi="宋体"/>
                  </w:rPr>
                </w:pPr>
                <w:r>
                  <w:rPr>
                    <w:rFonts w:hAnsi="宋体"/>
                  </w:rPr>
                  <w:t>发行新股</w:t>
                </w:r>
              </w:p>
            </w:tc>
          </w:sdtContent>
        </w:sdt>
        <w:sdt>
          <w:sdtPr>
            <w:tag w:val="_PLD_9a9769412f3c455c9ccdd17bf518a278"/>
            <w:id w:val="871421999"/>
          </w:sdtPr>
          <w:sdtEndPr/>
          <w:sdtContent>
            <w:tc>
              <w:tcPr>
                <w:tcW w:w="344" w:type="pct"/>
                <w:shd w:val="clear" w:color="auto" w:fill="auto"/>
                <w:vAlign w:val="center"/>
              </w:tcPr>
              <w:p w14:paraId="5005B281" w14:textId="77777777" w:rsidR="00E57DAA" w:rsidRDefault="00AC4185">
                <w:pPr>
                  <w:jc w:val="center"/>
                  <w:rPr>
                    <w:szCs w:val="21"/>
                  </w:rPr>
                </w:pPr>
                <w:r>
                  <w:rPr>
                    <w:szCs w:val="21"/>
                  </w:rPr>
                  <w:t>送股</w:t>
                </w:r>
              </w:p>
            </w:tc>
          </w:sdtContent>
        </w:sdt>
        <w:sdt>
          <w:sdtPr>
            <w:tag w:val="_PLD_a08a8657c2504fb0907fe95adcc9b83a"/>
            <w:id w:val="-360816564"/>
          </w:sdtPr>
          <w:sdtEndPr/>
          <w:sdtContent>
            <w:tc>
              <w:tcPr>
                <w:tcW w:w="657" w:type="pct"/>
                <w:shd w:val="clear" w:color="auto" w:fill="auto"/>
                <w:vAlign w:val="center"/>
              </w:tcPr>
              <w:p w14:paraId="059DD064" w14:textId="77777777" w:rsidR="00E57DAA" w:rsidRDefault="00AC4185">
                <w:pPr>
                  <w:jc w:val="center"/>
                  <w:rPr>
                    <w:szCs w:val="21"/>
                  </w:rPr>
                </w:pPr>
                <w:r>
                  <w:rPr>
                    <w:szCs w:val="21"/>
                  </w:rPr>
                  <w:t>公积金转股</w:t>
                </w:r>
              </w:p>
            </w:tc>
          </w:sdtContent>
        </w:sdt>
        <w:sdt>
          <w:sdtPr>
            <w:tag w:val="_PLD_8ec878ba584746ca9ce366f5c50b97db"/>
            <w:id w:val="-1855490640"/>
          </w:sdtPr>
          <w:sdtEndPr/>
          <w:sdtContent>
            <w:tc>
              <w:tcPr>
                <w:tcW w:w="373" w:type="pct"/>
                <w:shd w:val="clear" w:color="auto" w:fill="auto"/>
                <w:vAlign w:val="center"/>
              </w:tcPr>
              <w:p w14:paraId="1250316C" w14:textId="77777777" w:rsidR="00E57DAA" w:rsidRDefault="00AC4185">
                <w:pPr>
                  <w:pStyle w:val="ab"/>
                  <w:jc w:val="center"/>
                  <w:rPr>
                    <w:rFonts w:hAnsi="宋体"/>
                  </w:rPr>
                </w:pPr>
                <w:r>
                  <w:rPr>
                    <w:rFonts w:hAnsi="宋体"/>
                  </w:rPr>
                  <w:t>其他</w:t>
                </w:r>
              </w:p>
            </w:tc>
          </w:sdtContent>
        </w:sdt>
        <w:sdt>
          <w:sdtPr>
            <w:tag w:val="_PLD_0597d73f82274779afc0a06c1888e731"/>
            <w:id w:val="696664903"/>
          </w:sdtPr>
          <w:sdtEndPr/>
          <w:sdtContent>
            <w:tc>
              <w:tcPr>
                <w:tcW w:w="373" w:type="pct"/>
                <w:shd w:val="clear" w:color="auto" w:fill="auto"/>
                <w:vAlign w:val="center"/>
              </w:tcPr>
              <w:p w14:paraId="2984AC57" w14:textId="77777777" w:rsidR="00E57DAA" w:rsidRDefault="00AC4185">
                <w:pPr>
                  <w:pStyle w:val="ab"/>
                  <w:jc w:val="center"/>
                  <w:rPr>
                    <w:rFonts w:hAnsi="宋体"/>
                  </w:rPr>
                </w:pPr>
                <w:r>
                  <w:rPr>
                    <w:rFonts w:hAnsi="宋体"/>
                  </w:rPr>
                  <w:t>小计</w:t>
                </w:r>
              </w:p>
            </w:tc>
          </w:sdtContent>
        </w:sdt>
        <w:sdt>
          <w:sdtPr>
            <w:tag w:val="_PLD_95f452be51ff468b8cac4a86637d7617"/>
            <w:id w:val="1102686738"/>
          </w:sdtPr>
          <w:sdtEndPr/>
          <w:sdtContent>
            <w:tc>
              <w:tcPr>
                <w:tcW w:w="487" w:type="pct"/>
                <w:shd w:val="clear" w:color="auto" w:fill="auto"/>
                <w:vAlign w:val="center"/>
              </w:tcPr>
              <w:p w14:paraId="61D4509B" w14:textId="77777777" w:rsidR="00E57DAA" w:rsidRDefault="00AC4185">
                <w:pPr>
                  <w:pStyle w:val="ab"/>
                  <w:jc w:val="center"/>
                  <w:rPr>
                    <w:rFonts w:hAnsi="宋体"/>
                  </w:rPr>
                </w:pPr>
                <w:r>
                  <w:rPr>
                    <w:rFonts w:hAnsi="宋体"/>
                  </w:rPr>
                  <w:t>数量</w:t>
                </w:r>
              </w:p>
            </w:tc>
          </w:sdtContent>
        </w:sdt>
        <w:sdt>
          <w:sdtPr>
            <w:tag w:val="_PLD_27544b89219e425da5c77cd21408a3b6"/>
            <w:id w:val="-596184432"/>
          </w:sdtPr>
          <w:sdtEndPr/>
          <w:sdtContent>
            <w:tc>
              <w:tcPr>
                <w:tcW w:w="192" w:type="pct"/>
                <w:shd w:val="clear" w:color="auto" w:fill="auto"/>
                <w:vAlign w:val="center"/>
              </w:tcPr>
              <w:p w14:paraId="292543B2" w14:textId="77777777" w:rsidR="00E57DAA" w:rsidRDefault="00AC4185">
                <w:pPr>
                  <w:pStyle w:val="ab"/>
                  <w:jc w:val="center"/>
                  <w:rPr>
                    <w:rFonts w:hAnsi="宋体"/>
                  </w:rPr>
                </w:pPr>
                <w:r>
                  <w:rPr>
                    <w:rFonts w:hAnsi="宋体"/>
                  </w:rPr>
                  <w:t>比例</w:t>
                </w:r>
                <w:r>
                  <w:rPr>
                    <w:rFonts w:hAnsi="宋体"/>
                  </w:rPr>
                  <w:t>(%)</w:t>
                </w:r>
              </w:p>
            </w:tc>
          </w:sdtContent>
        </w:sdt>
      </w:tr>
      <w:tr w:rsidR="00E57DAA" w14:paraId="0C50CB97" w14:textId="77777777">
        <w:tc>
          <w:tcPr>
            <w:tcW w:w="1434" w:type="pct"/>
            <w:shd w:val="clear" w:color="auto" w:fill="auto"/>
          </w:tcPr>
          <w:p w14:paraId="1FD420AE" w14:textId="77777777" w:rsidR="00E57DAA" w:rsidRDefault="00AC4185">
            <w:pPr>
              <w:rPr>
                <w:szCs w:val="21"/>
              </w:rPr>
            </w:pPr>
            <w:r>
              <w:rPr>
                <w:szCs w:val="21"/>
              </w:rPr>
              <w:t>一、有限售条件股份</w:t>
            </w:r>
          </w:p>
        </w:tc>
        <w:tc>
          <w:tcPr>
            <w:tcW w:w="373" w:type="pct"/>
            <w:shd w:val="clear" w:color="auto" w:fill="auto"/>
            <w:vAlign w:val="center"/>
          </w:tcPr>
          <w:p w14:paraId="27F685B5" w14:textId="77777777" w:rsidR="00E57DAA" w:rsidRDefault="00AC4185">
            <w:pPr>
              <w:jc w:val="right"/>
              <w:rPr>
                <w:szCs w:val="21"/>
              </w:rPr>
            </w:pPr>
            <w:r>
              <w:t>523,033,671</w:t>
            </w:r>
          </w:p>
        </w:tc>
        <w:tc>
          <w:tcPr>
            <w:tcW w:w="375" w:type="pct"/>
            <w:shd w:val="clear" w:color="auto" w:fill="auto"/>
            <w:vAlign w:val="center"/>
          </w:tcPr>
          <w:p w14:paraId="37744A12" w14:textId="77777777" w:rsidR="00E57DAA" w:rsidRDefault="00AC4185">
            <w:pPr>
              <w:jc w:val="right"/>
              <w:rPr>
                <w:szCs w:val="21"/>
              </w:rPr>
            </w:pPr>
            <w:r>
              <w:t>23.09</w:t>
            </w:r>
          </w:p>
        </w:tc>
        <w:tc>
          <w:tcPr>
            <w:tcW w:w="392" w:type="pct"/>
            <w:shd w:val="clear" w:color="auto" w:fill="auto"/>
          </w:tcPr>
          <w:p w14:paraId="034A5BCD" w14:textId="77777777" w:rsidR="00E57DAA" w:rsidRDefault="00AC4185">
            <w:pPr>
              <w:jc w:val="right"/>
              <w:rPr>
                <w:szCs w:val="21"/>
              </w:rPr>
            </w:pPr>
            <w:r>
              <w:t>376,685,359</w:t>
            </w:r>
          </w:p>
        </w:tc>
        <w:tc>
          <w:tcPr>
            <w:tcW w:w="344" w:type="pct"/>
            <w:shd w:val="clear" w:color="auto" w:fill="auto"/>
          </w:tcPr>
          <w:p w14:paraId="56B070FB" w14:textId="77777777" w:rsidR="00E57DAA" w:rsidRDefault="00E57DAA">
            <w:pPr>
              <w:jc w:val="right"/>
              <w:rPr>
                <w:szCs w:val="21"/>
              </w:rPr>
            </w:pPr>
          </w:p>
        </w:tc>
        <w:tc>
          <w:tcPr>
            <w:tcW w:w="657" w:type="pct"/>
            <w:shd w:val="clear" w:color="auto" w:fill="auto"/>
          </w:tcPr>
          <w:p w14:paraId="49EB3F27" w14:textId="77777777" w:rsidR="00E57DAA" w:rsidRDefault="00E57DAA">
            <w:pPr>
              <w:jc w:val="right"/>
              <w:rPr>
                <w:szCs w:val="21"/>
              </w:rPr>
            </w:pPr>
          </w:p>
        </w:tc>
        <w:tc>
          <w:tcPr>
            <w:tcW w:w="373" w:type="pct"/>
            <w:shd w:val="clear" w:color="auto" w:fill="auto"/>
          </w:tcPr>
          <w:p w14:paraId="60E29036" w14:textId="77777777" w:rsidR="00E57DAA" w:rsidRDefault="00E57DAA">
            <w:pPr>
              <w:jc w:val="right"/>
              <w:rPr>
                <w:szCs w:val="21"/>
              </w:rPr>
            </w:pPr>
          </w:p>
        </w:tc>
        <w:tc>
          <w:tcPr>
            <w:tcW w:w="373" w:type="pct"/>
            <w:shd w:val="clear" w:color="auto" w:fill="auto"/>
            <w:vAlign w:val="center"/>
          </w:tcPr>
          <w:p w14:paraId="6EC347AC" w14:textId="77777777" w:rsidR="00E57DAA" w:rsidRDefault="00AC4185">
            <w:pPr>
              <w:jc w:val="right"/>
              <w:rPr>
                <w:szCs w:val="21"/>
              </w:rPr>
            </w:pPr>
            <w:r>
              <w:t>376,685,359</w:t>
            </w:r>
          </w:p>
        </w:tc>
        <w:tc>
          <w:tcPr>
            <w:tcW w:w="487" w:type="pct"/>
            <w:shd w:val="clear" w:color="auto" w:fill="auto"/>
          </w:tcPr>
          <w:p w14:paraId="54A18C71" w14:textId="77777777" w:rsidR="00E57DAA" w:rsidRDefault="00AC4185">
            <w:pPr>
              <w:jc w:val="right"/>
              <w:rPr>
                <w:szCs w:val="21"/>
              </w:rPr>
            </w:pPr>
            <w:r>
              <w:t>899,719,030</w:t>
            </w:r>
          </w:p>
        </w:tc>
        <w:tc>
          <w:tcPr>
            <w:tcW w:w="192" w:type="pct"/>
            <w:shd w:val="clear" w:color="auto" w:fill="auto"/>
            <w:vAlign w:val="center"/>
          </w:tcPr>
          <w:p w14:paraId="5495A7BC" w14:textId="77777777" w:rsidR="00E57DAA" w:rsidRDefault="00AC4185">
            <w:pPr>
              <w:jc w:val="right"/>
              <w:rPr>
                <w:szCs w:val="21"/>
              </w:rPr>
            </w:pPr>
            <w:r>
              <w:t>34.05</w:t>
            </w:r>
          </w:p>
        </w:tc>
      </w:tr>
      <w:tr w:rsidR="00E57DAA" w14:paraId="72C50161" w14:textId="77777777">
        <w:tc>
          <w:tcPr>
            <w:tcW w:w="1434" w:type="pct"/>
            <w:shd w:val="clear" w:color="auto" w:fill="auto"/>
          </w:tcPr>
          <w:p w14:paraId="129F0FBD" w14:textId="77777777" w:rsidR="00E57DAA" w:rsidRDefault="00AC4185">
            <w:pPr>
              <w:rPr>
                <w:szCs w:val="21"/>
              </w:rPr>
            </w:pPr>
            <w:r>
              <w:rPr>
                <w:szCs w:val="21"/>
              </w:rPr>
              <w:t>1、国家持股</w:t>
            </w:r>
          </w:p>
        </w:tc>
        <w:tc>
          <w:tcPr>
            <w:tcW w:w="373" w:type="pct"/>
            <w:shd w:val="clear" w:color="auto" w:fill="auto"/>
          </w:tcPr>
          <w:p w14:paraId="7B2B7BC1" w14:textId="77777777" w:rsidR="00E57DAA" w:rsidRDefault="00E57DAA">
            <w:pPr>
              <w:jc w:val="right"/>
              <w:rPr>
                <w:szCs w:val="21"/>
              </w:rPr>
            </w:pPr>
          </w:p>
        </w:tc>
        <w:tc>
          <w:tcPr>
            <w:tcW w:w="375" w:type="pct"/>
            <w:shd w:val="clear" w:color="auto" w:fill="auto"/>
          </w:tcPr>
          <w:p w14:paraId="4E37A0DC" w14:textId="77777777" w:rsidR="00E57DAA" w:rsidRDefault="00E57DAA">
            <w:pPr>
              <w:jc w:val="right"/>
              <w:rPr>
                <w:szCs w:val="21"/>
              </w:rPr>
            </w:pPr>
          </w:p>
        </w:tc>
        <w:tc>
          <w:tcPr>
            <w:tcW w:w="392" w:type="pct"/>
            <w:shd w:val="clear" w:color="auto" w:fill="auto"/>
          </w:tcPr>
          <w:p w14:paraId="4722FA9A" w14:textId="77777777" w:rsidR="00E57DAA" w:rsidRDefault="00E57DAA">
            <w:pPr>
              <w:jc w:val="right"/>
              <w:rPr>
                <w:szCs w:val="21"/>
              </w:rPr>
            </w:pPr>
          </w:p>
        </w:tc>
        <w:tc>
          <w:tcPr>
            <w:tcW w:w="344" w:type="pct"/>
            <w:shd w:val="clear" w:color="auto" w:fill="auto"/>
          </w:tcPr>
          <w:p w14:paraId="23F4C841" w14:textId="77777777" w:rsidR="00E57DAA" w:rsidRDefault="00E57DAA">
            <w:pPr>
              <w:jc w:val="right"/>
              <w:rPr>
                <w:szCs w:val="21"/>
              </w:rPr>
            </w:pPr>
          </w:p>
        </w:tc>
        <w:tc>
          <w:tcPr>
            <w:tcW w:w="657" w:type="pct"/>
            <w:shd w:val="clear" w:color="auto" w:fill="auto"/>
          </w:tcPr>
          <w:p w14:paraId="00B32515" w14:textId="77777777" w:rsidR="00E57DAA" w:rsidRDefault="00E57DAA">
            <w:pPr>
              <w:jc w:val="right"/>
              <w:rPr>
                <w:szCs w:val="21"/>
              </w:rPr>
            </w:pPr>
          </w:p>
        </w:tc>
        <w:tc>
          <w:tcPr>
            <w:tcW w:w="373" w:type="pct"/>
            <w:shd w:val="clear" w:color="auto" w:fill="auto"/>
          </w:tcPr>
          <w:p w14:paraId="73A24455" w14:textId="77777777" w:rsidR="00E57DAA" w:rsidRDefault="00E57DAA">
            <w:pPr>
              <w:jc w:val="right"/>
              <w:rPr>
                <w:szCs w:val="21"/>
              </w:rPr>
            </w:pPr>
          </w:p>
        </w:tc>
        <w:tc>
          <w:tcPr>
            <w:tcW w:w="373" w:type="pct"/>
            <w:shd w:val="clear" w:color="auto" w:fill="auto"/>
            <w:vAlign w:val="center"/>
          </w:tcPr>
          <w:p w14:paraId="33246971" w14:textId="77777777" w:rsidR="00E57DAA" w:rsidRDefault="00E57DAA">
            <w:pPr>
              <w:jc w:val="right"/>
              <w:rPr>
                <w:szCs w:val="21"/>
              </w:rPr>
            </w:pPr>
          </w:p>
        </w:tc>
        <w:tc>
          <w:tcPr>
            <w:tcW w:w="487" w:type="pct"/>
            <w:shd w:val="clear" w:color="auto" w:fill="auto"/>
          </w:tcPr>
          <w:p w14:paraId="16EDDD1C" w14:textId="77777777" w:rsidR="00E57DAA" w:rsidRDefault="00E57DAA">
            <w:pPr>
              <w:jc w:val="right"/>
              <w:rPr>
                <w:szCs w:val="21"/>
              </w:rPr>
            </w:pPr>
          </w:p>
        </w:tc>
        <w:tc>
          <w:tcPr>
            <w:tcW w:w="192" w:type="pct"/>
            <w:shd w:val="clear" w:color="auto" w:fill="auto"/>
            <w:vAlign w:val="center"/>
          </w:tcPr>
          <w:p w14:paraId="3E483278" w14:textId="77777777" w:rsidR="00E57DAA" w:rsidRDefault="00E57DAA">
            <w:pPr>
              <w:jc w:val="right"/>
              <w:rPr>
                <w:szCs w:val="21"/>
              </w:rPr>
            </w:pPr>
          </w:p>
        </w:tc>
      </w:tr>
      <w:tr w:rsidR="00E57DAA" w14:paraId="2F41A503" w14:textId="77777777">
        <w:tc>
          <w:tcPr>
            <w:tcW w:w="1434" w:type="pct"/>
            <w:shd w:val="clear" w:color="auto" w:fill="auto"/>
          </w:tcPr>
          <w:p w14:paraId="0AD2D3A3" w14:textId="77777777" w:rsidR="00E57DAA" w:rsidRDefault="00AC4185">
            <w:pPr>
              <w:rPr>
                <w:szCs w:val="21"/>
              </w:rPr>
            </w:pPr>
            <w:r>
              <w:rPr>
                <w:szCs w:val="21"/>
              </w:rPr>
              <w:t>2、国有法人持股</w:t>
            </w:r>
          </w:p>
        </w:tc>
        <w:tc>
          <w:tcPr>
            <w:tcW w:w="373" w:type="pct"/>
            <w:shd w:val="clear" w:color="auto" w:fill="auto"/>
            <w:vAlign w:val="center"/>
          </w:tcPr>
          <w:p w14:paraId="550DCF2F" w14:textId="77777777" w:rsidR="00E57DAA" w:rsidRDefault="00AC4185">
            <w:pPr>
              <w:jc w:val="right"/>
              <w:rPr>
                <w:szCs w:val="21"/>
              </w:rPr>
            </w:pPr>
            <w:r>
              <w:t>476,484,556</w:t>
            </w:r>
          </w:p>
        </w:tc>
        <w:tc>
          <w:tcPr>
            <w:tcW w:w="375" w:type="pct"/>
            <w:shd w:val="clear" w:color="auto" w:fill="auto"/>
            <w:vAlign w:val="center"/>
          </w:tcPr>
          <w:p w14:paraId="0DD2160B" w14:textId="77777777" w:rsidR="00E57DAA" w:rsidRDefault="00AC4185">
            <w:pPr>
              <w:jc w:val="right"/>
              <w:rPr>
                <w:szCs w:val="21"/>
              </w:rPr>
            </w:pPr>
            <w:r>
              <w:t>21.03</w:t>
            </w:r>
          </w:p>
        </w:tc>
        <w:tc>
          <w:tcPr>
            <w:tcW w:w="392" w:type="pct"/>
            <w:shd w:val="clear" w:color="auto" w:fill="auto"/>
          </w:tcPr>
          <w:p w14:paraId="4FA460EA" w14:textId="77777777" w:rsidR="00E57DAA" w:rsidRDefault="00AC4185">
            <w:pPr>
              <w:jc w:val="right"/>
              <w:rPr>
                <w:szCs w:val="21"/>
              </w:rPr>
            </w:pPr>
            <w:r>
              <w:t>366,878,106</w:t>
            </w:r>
          </w:p>
        </w:tc>
        <w:tc>
          <w:tcPr>
            <w:tcW w:w="344" w:type="pct"/>
            <w:shd w:val="clear" w:color="auto" w:fill="auto"/>
          </w:tcPr>
          <w:p w14:paraId="7026BE55" w14:textId="77777777" w:rsidR="00E57DAA" w:rsidRDefault="00E57DAA">
            <w:pPr>
              <w:jc w:val="right"/>
              <w:rPr>
                <w:szCs w:val="21"/>
              </w:rPr>
            </w:pPr>
          </w:p>
        </w:tc>
        <w:tc>
          <w:tcPr>
            <w:tcW w:w="657" w:type="pct"/>
            <w:shd w:val="clear" w:color="auto" w:fill="auto"/>
          </w:tcPr>
          <w:p w14:paraId="1960AE1B" w14:textId="77777777" w:rsidR="00E57DAA" w:rsidRDefault="00E57DAA">
            <w:pPr>
              <w:jc w:val="right"/>
              <w:rPr>
                <w:szCs w:val="21"/>
              </w:rPr>
            </w:pPr>
          </w:p>
        </w:tc>
        <w:tc>
          <w:tcPr>
            <w:tcW w:w="373" w:type="pct"/>
            <w:shd w:val="clear" w:color="auto" w:fill="auto"/>
          </w:tcPr>
          <w:p w14:paraId="2D03F297" w14:textId="77777777" w:rsidR="00E57DAA" w:rsidRDefault="00E57DAA">
            <w:pPr>
              <w:jc w:val="right"/>
              <w:rPr>
                <w:szCs w:val="21"/>
              </w:rPr>
            </w:pPr>
          </w:p>
        </w:tc>
        <w:tc>
          <w:tcPr>
            <w:tcW w:w="373" w:type="pct"/>
            <w:shd w:val="clear" w:color="auto" w:fill="auto"/>
            <w:vAlign w:val="center"/>
          </w:tcPr>
          <w:p w14:paraId="0B7E47DA" w14:textId="77777777" w:rsidR="00E57DAA" w:rsidRDefault="00AC4185">
            <w:pPr>
              <w:jc w:val="right"/>
              <w:rPr>
                <w:szCs w:val="21"/>
              </w:rPr>
            </w:pPr>
            <w:r>
              <w:t>366,878,106</w:t>
            </w:r>
          </w:p>
        </w:tc>
        <w:tc>
          <w:tcPr>
            <w:tcW w:w="487" w:type="pct"/>
            <w:shd w:val="clear" w:color="auto" w:fill="auto"/>
          </w:tcPr>
          <w:p w14:paraId="06972421" w14:textId="77777777" w:rsidR="00E57DAA" w:rsidRDefault="00AC4185">
            <w:pPr>
              <w:jc w:val="right"/>
              <w:rPr>
                <w:szCs w:val="21"/>
              </w:rPr>
            </w:pPr>
            <w:r>
              <w:t>843,362,662</w:t>
            </w:r>
          </w:p>
        </w:tc>
        <w:tc>
          <w:tcPr>
            <w:tcW w:w="192" w:type="pct"/>
            <w:shd w:val="clear" w:color="auto" w:fill="auto"/>
            <w:vAlign w:val="center"/>
          </w:tcPr>
          <w:p w14:paraId="6F51C6B9" w14:textId="77777777" w:rsidR="00E57DAA" w:rsidRDefault="00AC4185">
            <w:pPr>
              <w:jc w:val="right"/>
              <w:rPr>
                <w:szCs w:val="21"/>
              </w:rPr>
            </w:pPr>
            <w:r>
              <w:t>31.92</w:t>
            </w:r>
          </w:p>
        </w:tc>
      </w:tr>
      <w:tr w:rsidR="00E57DAA" w14:paraId="61716F87" w14:textId="77777777">
        <w:tc>
          <w:tcPr>
            <w:tcW w:w="1434" w:type="pct"/>
            <w:shd w:val="clear" w:color="auto" w:fill="auto"/>
          </w:tcPr>
          <w:p w14:paraId="04643D09" w14:textId="77777777" w:rsidR="00E57DAA" w:rsidRDefault="00AC4185">
            <w:pPr>
              <w:rPr>
                <w:szCs w:val="21"/>
              </w:rPr>
            </w:pPr>
            <w:r>
              <w:rPr>
                <w:szCs w:val="21"/>
              </w:rPr>
              <w:t>3、其他内资持股</w:t>
            </w:r>
          </w:p>
        </w:tc>
        <w:tc>
          <w:tcPr>
            <w:tcW w:w="373" w:type="pct"/>
            <w:shd w:val="clear" w:color="auto" w:fill="auto"/>
            <w:vAlign w:val="center"/>
          </w:tcPr>
          <w:p w14:paraId="148626B0" w14:textId="77777777" w:rsidR="00E57DAA" w:rsidRDefault="00AC4185">
            <w:pPr>
              <w:jc w:val="right"/>
              <w:rPr>
                <w:szCs w:val="21"/>
              </w:rPr>
            </w:pPr>
            <w:r>
              <w:t>46,549,115</w:t>
            </w:r>
          </w:p>
        </w:tc>
        <w:tc>
          <w:tcPr>
            <w:tcW w:w="375" w:type="pct"/>
            <w:shd w:val="clear" w:color="auto" w:fill="auto"/>
            <w:vAlign w:val="center"/>
          </w:tcPr>
          <w:p w14:paraId="7986EC0D" w14:textId="77777777" w:rsidR="00E57DAA" w:rsidRDefault="00AC4185">
            <w:pPr>
              <w:jc w:val="right"/>
              <w:rPr>
                <w:szCs w:val="21"/>
              </w:rPr>
            </w:pPr>
            <w:r>
              <w:t>2.06</w:t>
            </w:r>
          </w:p>
        </w:tc>
        <w:tc>
          <w:tcPr>
            <w:tcW w:w="392" w:type="pct"/>
            <w:shd w:val="clear" w:color="auto" w:fill="auto"/>
          </w:tcPr>
          <w:p w14:paraId="481A9ED1" w14:textId="77777777" w:rsidR="00E57DAA" w:rsidRDefault="00AC4185">
            <w:pPr>
              <w:jc w:val="right"/>
              <w:rPr>
                <w:szCs w:val="21"/>
              </w:rPr>
            </w:pPr>
            <w:r>
              <w:t>9,807,253</w:t>
            </w:r>
          </w:p>
        </w:tc>
        <w:tc>
          <w:tcPr>
            <w:tcW w:w="344" w:type="pct"/>
            <w:shd w:val="clear" w:color="auto" w:fill="auto"/>
          </w:tcPr>
          <w:p w14:paraId="404B8793" w14:textId="77777777" w:rsidR="00E57DAA" w:rsidRDefault="00E57DAA">
            <w:pPr>
              <w:jc w:val="right"/>
              <w:rPr>
                <w:szCs w:val="21"/>
              </w:rPr>
            </w:pPr>
          </w:p>
        </w:tc>
        <w:tc>
          <w:tcPr>
            <w:tcW w:w="657" w:type="pct"/>
            <w:shd w:val="clear" w:color="auto" w:fill="auto"/>
          </w:tcPr>
          <w:p w14:paraId="2C9CEF77" w14:textId="77777777" w:rsidR="00E57DAA" w:rsidRDefault="00E57DAA">
            <w:pPr>
              <w:jc w:val="right"/>
              <w:rPr>
                <w:szCs w:val="21"/>
              </w:rPr>
            </w:pPr>
          </w:p>
        </w:tc>
        <w:tc>
          <w:tcPr>
            <w:tcW w:w="373" w:type="pct"/>
            <w:shd w:val="clear" w:color="auto" w:fill="auto"/>
          </w:tcPr>
          <w:p w14:paraId="1B9B72A3" w14:textId="77777777" w:rsidR="00E57DAA" w:rsidRDefault="00E57DAA">
            <w:pPr>
              <w:jc w:val="right"/>
              <w:rPr>
                <w:szCs w:val="21"/>
              </w:rPr>
            </w:pPr>
          </w:p>
        </w:tc>
        <w:tc>
          <w:tcPr>
            <w:tcW w:w="373" w:type="pct"/>
            <w:shd w:val="clear" w:color="auto" w:fill="auto"/>
            <w:vAlign w:val="center"/>
          </w:tcPr>
          <w:p w14:paraId="358998DA" w14:textId="77777777" w:rsidR="00E57DAA" w:rsidRDefault="00AC4185">
            <w:pPr>
              <w:jc w:val="right"/>
              <w:rPr>
                <w:szCs w:val="21"/>
              </w:rPr>
            </w:pPr>
            <w:r>
              <w:t>9,807,253</w:t>
            </w:r>
          </w:p>
        </w:tc>
        <w:tc>
          <w:tcPr>
            <w:tcW w:w="487" w:type="pct"/>
            <w:shd w:val="clear" w:color="auto" w:fill="auto"/>
          </w:tcPr>
          <w:p w14:paraId="7AB9C187" w14:textId="77777777" w:rsidR="00E57DAA" w:rsidRDefault="00AC4185">
            <w:pPr>
              <w:jc w:val="right"/>
              <w:rPr>
                <w:szCs w:val="21"/>
              </w:rPr>
            </w:pPr>
            <w:r>
              <w:t>56,356,368</w:t>
            </w:r>
          </w:p>
        </w:tc>
        <w:tc>
          <w:tcPr>
            <w:tcW w:w="192" w:type="pct"/>
            <w:shd w:val="clear" w:color="auto" w:fill="auto"/>
            <w:vAlign w:val="center"/>
          </w:tcPr>
          <w:p w14:paraId="43424C2F" w14:textId="77777777" w:rsidR="00E57DAA" w:rsidRDefault="00AC4185">
            <w:pPr>
              <w:jc w:val="right"/>
              <w:rPr>
                <w:szCs w:val="21"/>
              </w:rPr>
            </w:pPr>
            <w:r>
              <w:t>2.13</w:t>
            </w:r>
          </w:p>
        </w:tc>
      </w:tr>
      <w:tr w:rsidR="00E57DAA" w14:paraId="1F4D81A4" w14:textId="77777777">
        <w:tc>
          <w:tcPr>
            <w:tcW w:w="1434" w:type="pct"/>
            <w:shd w:val="clear" w:color="auto" w:fill="auto"/>
          </w:tcPr>
          <w:p w14:paraId="57D080AF" w14:textId="77777777" w:rsidR="00E57DAA" w:rsidRDefault="00AC4185">
            <w:pPr>
              <w:rPr>
                <w:szCs w:val="21"/>
              </w:rPr>
            </w:pPr>
            <w:r>
              <w:rPr>
                <w:szCs w:val="21"/>
              </w:rPr>
              <w:t>其中：境内非国有法人持股</w:t>
            </w:r>
          </w:p>
        </w:tc>
        <w:tc>
          <w:tcPr>
            <w:tcW w:w="373" w:type="pct"/>
            <w:shd w:val="clear" w:color="auto" w:fill="auto"/>
            <w:vAlign w:val="center"/>
          </w:tcPr>
          <w:p w14:paraId="74E58FF7" w14:textId="77777777" w:rsidR="00E57DAA" w:rsidRDefault="00E57DAA">
            <w:pPr>
              <w:jc w:val="right"/>
              <w:rPr>
                <w:szCs w:val="21"/>
              </w:rPr>
            </w:pPr>
          </w:p>
        </w:tc>
        <w:tc>
          <w:tcPr>
            <w:tcW w:w="375" w:type="pct"/>
            <w:shd w:val="clear" w:color="auto" w:fill="auto"/>
            <w:vAlign w:val="center"/>
          </w:tcPr>
          <w:p w14:paraId="25D0E121" w14:textId="77777777" w:rsidR="00E57DAA" w:rsidRDefault="00E57DAA">
            <w:pPr>
              <w:jc w:val="right"/>
              <w:rPr>
                <w:szCs w:val="21"/>
              </w:rPr>
            </w:pPr>
          </w:p>
        </w:tc>
        <w:tc>
          <w:tcPr>
            <w:tcW w:w="392" w:type="pct"/>
            <w:shd w:val="clear" w:color="auto" w:fill="auto"/>
          </w:tcPr>
          <w:p w14:paraId="59598621" w14:textId="77777777" w:rsidR="00E57DAA" w:rsidRDefault="00E57DAA">
            <w:pPr>
              <w:jc w:val="right"/>
              <w:rPr>
                <w:szCs w:val="21"/>
              </w:rPr>
            </w:pPr>
          </w:p>
        </w:tc>
        <w:tc>
          <w:tcPr>
            <w:tcW w:w="344" w:type="pct"/>
            <w:shd w:val="clear" w:color="auto" w:fill="auto"/>
          </w:tcPr>
          <w:p w14:paraId="5A7B8358" w14:textId="77777777" w:rsidR="00E57DAA" w:rsidRDefault="00E57DAA">
            <w:pPr>
              <w:jc w:val="right"/>
              <w:rPr>
                <w:szCs w:val="21"/>
              </w:rPr>
            </w:pPr>
          </w:p>
        </w:tc>
        <w:tc>
          <w:tcPr>
            <w:tcW w:w="657" w:type="pct"/>
            <w:shd w:val="clear" w:color="auto" w:fill="auto"/>
          </w:tcPr>
          <w:p w14:paraId="4F6A9B43" w14:textId="77777777" w:rsidR="00E57DAA" w:rsidRDefault="00E57DAA">
            <w:pPr>
              <w:jc w:val="right"/>
              <w:rPr>
                <w:szCs w:val="21"/>
              </w:rPr>
            </w:pPr>
          </w:p>
        </w:tc>
        <w:tc>
          <w:tcPr>
            <w:tcW w:w="373" w:type="pct"/>
            <w:shd w:val="clear" w:color="auto" w:fill="auto"/>
          </w:tcPr>
          <w:p w14:paraId="47D34071" w14:textId="77777777" w:rsidR="00E57DAA" w:rsidRDefault="00E57DAA">
            <w:pPr>
              <w:jc w:val="right"/>
              <w:rPr>
                <w:szCs w:val="21"/>
              </w:rPr>
            </w:pPr>
          </w:p>
        </w:tc>
        <w:tc>
          <w:tcPr>
            <w:tcW w:w="373" w:type="pct"/>
            <w:shd w:val="clear" w:color="auto" w:fill="auto"/>
            <w:vAlign w:val="center"/>
          </w:tcPr>
          <w:p w14:paraId="0E5C067F" w14:textId="77777777" w:rsidR="00E57DAA" w:rsidRDefault="00E57DAA">
            <w:pPr>
              <w:jc w:val="right"/>
              <w:rPr>
                <w:szCs w:val="21"/>
              </w:rPr>
            </w:pPr>
          </w:p>
        </w:tc>
        <w:tc>
          <w:tcPr>
            <w:tcW w:w="487" w:type="pct"/>
            <w:shd w:val="clear" w:color="auto" w:fill="auto"/>
          </w:tcPr>
          <w:p w14:paraId="7B71E8A3" w14:textId="77777777" w:rsidR="00E57DAA" w:rsidRDefault="00E57DAA">
            <w:pPr>
              <w:jc w:val="right"/>
              <w:rPr>
                <w:szCs w:val="21"/>
              </w:rPr>
            </w:pPr>
          </w:p>
        </w:tc>
        <w:tc>
          <w:tcPr>
            <w:tcW w:w="192" w:type="pct"/>
            <w:shd w:val="clear" w:color="auto" w:fill="auto"/>
            <w:vAlign w:val="center"/>
          </w:tcPr>
          <w:p w14:paraId="5BF69F63" w14:textId="77777777" w:rsidR="00E57DAA" w:rsidRDefault="00E57DAA">
            <w:pPr>
              <w:jc w:val="right"/>
              <w:rPr>
                <w:szCs w:val="21"/>
              </w:rPr>
            </w:pPr>
          </w:p>
        </w:tc>
      </w:tr>
      <w:tr w:rsidR="00E57DAA" w14:paraId="40FEFF9D" w14:textId="77777777">
        <w:tc>
          <w:tcPr>
            <w:tcW w:w="1434" w:type="pct"/>
            <w:shd w:val="clear" w:color="auto" w:fill="auto"/>
          </w:tcPr>
          <w:p w14:paraId="7B7340E6" w14:textId="77777777" w:rsidR="00E57DAA" w:rsidRDefault="00AC4185">
            <w:pPr>
              <w:ind w:firstLineChars="300" w:firstLine="630"/>
              <w:rPr>
                <w:szCs w:val="21"/>
              </w:rPr>
            </w:pPr>
            <w:r>
              <w:rPr>
                <w:szCs w:val="21"/>
              </w:rPr>
              <w:t>境内自然人持股</w:t>
            </w:r>
          </w:p>
        </w:tc>
        <w:tc>
          <w:tcPr>
            <w:tcW w:w="373" w:type="pct"/>
            <w:shd w:val="clear" w:color="auto" w:fill="auto"/>
            <w:vAlign w:val="center"/>
          </w:tcPr>
          <w:p w14:paraId="0F8DACF8" w14:textId="77777777" w:rsidR="00E57DAA" w:rsidRDefault="00AC4185">
            <w:pPr>
              <w:jc w:val="right"/>
              <w:rPr>
                <w:szCs w:val="21"/>
              </w:rPr>
            </w:pPr>
            <w:r>
              <w:t>46,549,115</w:t>
            </w:r>
          </w:p>
        </w:tc>
        <w:tc>
          <w:tcPr>
            <w:tcW w:w="375" w:type="pct"/>
            <w:shd w:val="clear" w:color="auto" w:fill="auto"/>
            <w:vAlign w:val="center"/>
          </w:tcPr>
          <w:p w14:paraId="493171D9" w14:textId="77777777" w:rsidR="00E57DAA" w:rsidRDefault="00AC4185">
            <w:pPr>
              <w:jc w:val="right"/>
              <w:rPr>
                <w:szCs w:val="21"/>
              </w:rPr>
            </w:pPr>
            <w:r>
              <w:t>2.06</w:t>
            </w:r>
          </w:p>
        </w:tc>
        <w:tc>
          <w:tcPr>
            <w:tcW w:w="392" w:type="pct"/>
            <w:shd w:val="clear" w:color="auto" w:fill="auto"/>
          </w:tcPr>
          <w:p w14:paraId="08E95DD0" w14:textId="77777777" w:rsidR="00E57DAA" w:rsidRDefault="00AC4185">
            <w:pPr>
              <w:jc w:val="right"/>
              <w:rPr>
                <w:szCs w:val="21"/>
              </w:rPr>
            </w:pPr>
            <w:r>
              <w:t>9,807,253</w:t>
            </w:r>
          </w:p>
        </w:tc>
        <w:tc>
          <w:tcPr>
            <w:tcW w:w="344" w:type="pct"/>
            <w:shd w:val="clear" w:color="auto" w:fill="auto"/>
          </w:tcPr>
          <w:p w14:paraId="7BC0AF14" w14:textId="77777777" w:rsidR="00E57DAA" w:rsidRDefault="00E57DAA">
            <w:pPr>
              <w:jc w:val="right"/>
              <w:rPr>
                <w:szCs w:val="21"/>
              </w:rPr>
            </w:pPr>
          </w:p>
        </w:tc>
        <w:tc>
          <w:tcPr>
            <w:tcW w:w="657" w:type="pct"/>
            <w:shd w:val="clear" w:color="auto" w:fill="auto"/>
          </w:tcPr>
          <w:p w14:paraId="2A098D26" w14:textId="77777777" w:rsidR="00E57DAA" w:rsidRDefault="00E57DAA">
            <w:pPr>
              <w:jc w:val="right"/>
              <w:rPr>
                <w:szCs w:val="21"/>
              </w:rPr>
            </w:pPr>
          </w:p>
        </w:tc>
        <w:tc>
          <w:tcPr>
            <w:tcW w:w="373" w:type="pct"/>
            <w:shd w:val="clear" w:color="auto" w:fill="auto"/>
          </w:tcPr>
          <w:p w14:paraId="4B78C073" w14:textId="77777777" w:rsidR="00E57DAA" w:rsidRDefault="00E57DAA">
            <w:pPr>
              <w:jc w:val="right"/>
              <w:rPr>
                <w:szCs w:val="21"/>
              </w:rPr>
            </w:pPr>
          </w:p>
        </w:tc>
        <w:tc>
          <w:tcPr>
            <w:tcW w:w="373" w:type="pct"/>
            <w:shd w:val="clear" w:color="auto" w:fill="auto"/>
            <w:vAlign w:val="center"/>
          </w:tcPr>
          <w:p w14:paraId="727BC6DA" w14:textId="77777777" w:rsidR="00E57DAA" w:rsidRDefault="00AC4185">
            <w:pPr>
              <w:jc w:val="right"/>
              <w:rPr>
                <w:szCs w:val="21"/>
              </w:rPr>
            </w:pPr>
            <w:r>
              <w:t>9,807,253</w:t>
            </w:r>
          </w:p>
        </w:tc>
        <w:tc>
          <w:tcPr>
            <w:tcW w:w="487" w:type="pct"/>
            <w:shd w:val="clear" w:color="auto" w:fill="auto"/>
          </w:tcPr>
          <w:p w14:paraId="1188998D" w14:textId="77777777" w:rsidR="00E57DAA" w:rsidRDefault="00AC4185">
            <w:pPr>
              <w:jc w:val="right"/>
              <w:rPr>
                <w:szCs w:val="21"/>
              </w:rPr>
            </w:pPr>
            <w:r>
              <w:t>56,356,368</w:t>
            </w:r>
          </w:p>
        </w:tc>
        <w:tc>
          <w:tcPr>
            <w:tcW w:w="192" w:type="pct"/>
            <w:shd w:val="clear" w:color="auto" w:fill="auto"/>
            <w:vAlign w:val="center"/>
          </w:tcPr>
          <w:p w14:paraId="40776F8B" w14:textId="77777777" w:rsidR="00E57DAA" w:rsidRDefault="00AC4185">
            <w:pPr>
              <w:jc w:val="right"/>
              <w:rPr>
                <w:szCs w:val="21"/>
              </w:rPr>
            </w:pPr>
            <w:r>
              <w:t>2.13</w:t>
            </w:r>
          </w:p>
        </w:tc>
      </w:tr>
      <w:tr w:rsidR="00E57DAA" w14:paraId="3B3DF87C" w14:textId="77777777">
        <w:tc>
          <w:tcPr>
            <w:tcW w:w="1434" w:type="pct"/>
            <w:shd w:val="clear" w:color="auto" w:fill="auto"/>
          </w:tcPr>
          <w:p w14:paraId="11A0F4E4" w14:textId="77777777" w:rsidR="00E57DAA" w:rsidRDefault="00AC4185">
            <w:pPr>
              <w:rPr>
                <w:szCs w:val="21"/>
              </w:rPr>
            </w:pPr>
            <w:r>
              <w:rPr>
                <w:rFonts w:hint="eastAsia"/>
                <w:szCs w:val="21"/>
              </w:rPr>
              <w:t>4、</w:t>
            </w:r>
            <w:r>
              <w:rPr>
                <w:szCs w:val="21"/>
              </w:rPr>
              <w:t>外资持股</w:t>
            </w:r>
          </w:p>
        </w:tc>
        <w:tc>
          <w:tcPr>
            <w:tcW w:w="373" w:type="pct"/>
            <w:shd w:val="clear" w:color="auto" w:fill="auto"/>
          </w:tcPr>
          <w:p w14:paraId="66DF93E9" w14:textId="77777777" w:rsidR="00E57DAA" w:rsidRDefault="00E57DAA">
            <w:pPr>
              <w:jc w:val="right"/>
              <w:rPr>
                <w:szCs w:val="21"/>
              </w:rPr>
            </w:pPr>
          </w:p>
        </w:tc>
        <w:tc>
          <w:tcPr>
            <w:tcW w:w="375" w:type="pct"/>
            <w:shd w:val="clear" w:color="auto" w:fill="auto"/>
          </w:tcPr>
          <w:p w14:paraId="2A3A3D9E" w14:textId="77777777" w:rsidR="00E57DAA" w:rsidRDefault="00E57DAA">
            <w:pPr>
              <w:jc w:val="right"/>
              <w:rPr>
                <w:szCs w:val="21"/>
              </w:rPr>
            </w:pPr>
          </w:p>
        </w:tc>
        <w:tc>
          <w:tcPr>
            <w:tcW w:w="392" w:type="pct"/>
            <w:shd w:val="clear" w:color="auto" w:fill="auto"/>
          </w:tcPr>
          <w:p w14:paraId="175AA66D" w14:textId="77777777" w:rsidR="00E57DAA" w:rsidRDefault="00E57DAA">
            <w:pPr>
              <w:jc w:val="right"/>
              <w:rPr>
                <w:szCs w:val="21"/>
              </w:rPr>
            </w:pPr>
          </w:p>
        </w:tc>
        <w:tc>
          <w:tcPr>
            <w:tcW w:w="344" w:type="pct"/>
            <w:shd w:val="clear" w:color="auto" w:fill="auto"/>
          </w:tcPr>
          <w:p w14:paraId="0BAF56C7" w14:textId="77777777" w:rsidR="00E57DAA" w:rsidRDefault="00E57DAA">
            <w:pPr>
              <w:jc w:val="right"/>
              <w:rPr>
                <w:szCs w:val="21"/>
              </w:rPr>
            </w:pPr>
          </w:p>
        </w:tc>
        <w:tc>
          <w:tcPr>
            <w:tcW w:w="657" w:type="pct"/>
            <w:shd w:val="clear" w:color="auto" w:fill="auto"/>
          </w:tcPr>
          <w:p w14:paraId="60A0C617" w14:textId="77777777" w:rsidR="00E57DAA" w:rsidRDefault="00E57DAA">
            <w:pPr>
              <w:jc w:val="right"/>
              <w:rPr>
                <w:szCs w:val="21"/>
              </w:rPr>
            </w:pPr>
          </w:p>
        </w:tc>
        <w:tc>
          <w:tcPr>
            <w:tcW w:w="373" w:type="pct"/>
            <w:shd w:val="clear" w:color="auto" w:fill="auto"/>
          </w:tcPr>
          <w:p w14:paraId="12DC4A3B" w14:textId="77777777" w:rsidR="00E57DAA" w:rsidRDefault="00E57DAA">
            <w:pPr>
              <w:jc w:val="right"/>
              <w:rPr>
                <w:szCs w:val="21"/>
              </w:rPr>
            </w:pPr>
          </w:p>
        </w:tc>
        <w:tc>
          <w:tcPr>
            <w:tcW w:w="373" w:type="pct"/>
            <w:shd w:val="clear" w:color="auto" w:fill="auto"/>
            <w:vAlign w:val="center"/>
          </w:tcPr>
          <w:p w14:paraId="28188629" w14:textId="77777777" w:rsidR="00E57DAA" w:rsidRDefault="00E57DAA">
            <w:pPr>
              <w:jc w:val="right"/>
              <w:rPr>
                <w:szCs w:val="21"/>
              </w:rPr>
            </w:pPr>
          </w:p>
        </w:tc>
        <w:tc>
          <w:tcPr>
            <w:tcW w:w="487" w:type="pct"/>
            <w:shd w:val="clear" w:color="auto" w:fill="auto"/>
          </w:tcPr>
          <w:p w14:paraId="4FDFACBC" w14:textId="77777777" w:rsidR="00E57DAA" w:rsidRDefault="00E57DAA">
            <w:pPr>
              <w:jc w:val="right"/>
              <w:rPr>
                <w:szCs w:val="21"/>
              </w:rPr>
            </w:pPr>
          </w:p>
        </w:tc>
        <w:tc>
          <w:tcPr>
            <w:tcW w:w="192" w:type="pct"/>
            <w:shd w:val="clear" w:color="auto" w:fill="auto"/>
            <w:vAlign w:val="center"/>
          </w:tcPr>
          <w:p w14:paraId="52F279F8" w14:textId="77777777" w:rsidR="00E57DAA" w:rsidRDefault="00E57DAA">
            <w:pPr>
              <w:jc w:val="right"/>
              <w:rPr>
                <w:szCs w:val="21"/>
              </w:rPr>
            </w:pPr>
          </w:p>
        </w:tc>
      </w:tr>
      <w:tr w:rsidR="00E57DAA" w14:paraId="6C5732FD" w14:textId="77777777">
        <w:tc>
          <w:tcPr>
            <w:tcW w:w="1434" w:type="pct"/>
            <w:shd w:val="clear" w:color="auto" w:fill="auto"/>
          </w:tcPr>
          <w:p w14:paraId="53727B45" w14:textId="77777777" w:rsidR="00E57DAA" w:rsidRDefault="00AC4185">
            <w:pPr>
              <w:rPr>
                <w:szCs w:val="21"/>
              </w:rPr>
            </w:pPr>
            <w:r>
              <w:rPr>
                <w:szCs w:val="21"/>
              </w:rPr>
              <w:t>其中：境外法人持股</w:t>
            </w:r>
          </w:p>
        </w:tc>
        <w:tc>
          <w:tcPr>
            <w:tcW w:w="373" w:type="pct"/>
            <w:shd w:val="clear" w:color="auto" w:fill="auto"/>
          </w:tcPr>
          <w:p w14:paraId="69EFF82E" w14:textId="77777777" w:rsidR="00E57DAA" w:rsidRDefault="00E57DAA">
            <w:pPr>
              <w:jc w:val="right"/>
              <w:rPr>
                <w:szCs w:val="21"/>
              </w:rPr>
            </w:pPr>
          </w:p>
        </w:tc>
        <w:tc>
          <w:tcPr>
            <w:tcW w:w="375" w:type="pct"/>
            <w:shd w:val="clear" w:color="auto" w:fill="auto"/>
          </w:tcPr>
          <w:p w14:paraId="3610EF0D" w14:textId="77777777" w:rsidR="00E57DAA" w:rsidRDefault="00E57DAA">
            <w:pPr>
              <w:jc w:val="right"/>
              <w:rPr>
                <w:szCs w:val="21"/>
              </w:rPr>
            </w:pPr>
          </w:p>
        </w:tc>
        <w:tc>
          <w:tcPr>
            <w:tcW w:w="392" w:type="pct"/>
            <w:shd w:val="clear" w:color="auto" w:fill="auto"/>
          </w:tcPr>
          <w:p w14:paraId="42AFA69B" w14:textId="77777777" w:rsidR="00E57DAA" w:rsidRDefault="00E57DAA">
            <w:pPr>
              <w:jc w:val="right"/>
              <w:rPr>
                <w:szCs w:val="21"/>
              </w:rPr>
            </w:pPr>
          </w:p>
        </w:tc>
        <w:tc>
          <w:tcPr>
            <w:tcW w:w="344" w:type="pct"/>
            <w:shd w:val="clear" w:color="auto" w:fill="auto"/>
          </w:tcPr>
          <w:p w14:paraId="67975CD3" w14:textId="77777777" w:rsidR="00E57DAA" w:rsidRDefault="00E57DAA">
            <w:pPr>
              <w:jc w:val="right"/>
              <w:rPr>
                <w:szCs w:val="21"/>
              </w:rPr>
            </w:pPr>
          </w:p>
        </w:tc>
        <w:tc>
          <w:tcPr>
            <w:tcW w:w="657" w:type="pct"/>
            <w:shd w:val="clear" w:color="auto" w:fill="auto"/>
          </w:tcPr>
          <w:p w14:paraId="34D106A9" w14:textId="77777777" w:rsidR="00E57DAA" w:rsidRDefault="00E57DAA">
            <w:pPr>
              <w:jc w:val="right"/>
              <w:rPr>
                <w:szCs w:val="21"/>
              </w:rPr>
            </w:pPr>
          </w:p>
        </w:tc>
        <w:tc>
          <w:tcPr>
            <w:tcW w:w="373" w:type="pct"/>
            <w:shd w:val="clear" w:color="auto" w:fill="auto"/>
          </w:tcPr>
          <w:p w14:paraId="51F94C79" w14:textId="77777777" w:rsidR="00E57DAA" w:rsidRDefault="00E57DAA">
            <w:pPr>
              <w:jc w:val="right"/>
              <w:rPr>
                <w:szCs w:val="21"/>
              </w:rPr>
            </w:pPr>
          </w:p>
        </w:tc>
        <w:tc>
          <w:tcPr>
            <w:tcW w:w="373" w:type="pct"/>
            <w:shd w:val="clear" w:color="auto" w:fill="auto"/>
            <w:vAlign w:val="center"/>
          </w:tcPr>
          <w:p w14:paraId="63F797F2" w14:textId="77777777" w:rsidR="00E57DAA" w:rsidRDefault="00E57DAA">
            <w:pPr>
              <w:jc w:val="right"/>
              <w:rPr>
                <w:szCs w:val="21"/>
              </w:rPr>
            </w:pPr>
          </w:p>
        </w:tc>
        <w:tc>
          <w:tcPr>
            <w:tcW w:w="487" w:type="pct"/>
            <w:shd w:val="clear" w:color="auto" w:fill="auto"/>
          </w:tcPr>
          <w:p w14:paraId="2C8CFE86" w14:textId="77777777" w:rsidR="00E57DAA" w:rsidRDefault="00E57DAA">
            <w:pPr>
              <w:jc w:val="right"/>
              <w:rPr>
                <w:szCs w:val="21"/>
              </w:rPr>
            </w:pPr>
          </w:p>
        </w:tc>
        <w:tc>
          <w:tcPr>
            <w:tcW w:w="192" w:type="pct"/>
            <w:shd w:val="clear" w:color="auto" w:fill="auto"/>
            <w:vAlign w:val="center"/>
          </w:tcPr>
          <w:p w14:paraId="380D2BD4" w14:textId="77777777" w:rsidR="00E57DAA" w:rsidRDefault="00E57DAA">
            <w:pPr>
              <w:jc w:val="right"/>
              <w:rPr>
                <w:szCs w:val="21"/>
              </w:rPr>
            </w:pPr>
          </w:p>
        </w:tc>
      </w:tr>
      <w:tr w:rsidR="00E57DAA" w14:paraId="778792A0" w14:textId="77777777">
        <w:tc>
          <w:tcPr>
            <w:tcW w:w="1434" w:type="pct"/>
            <w:shd w:val="clear" w:color="auto" w:fill="auto"/>
          </w:tcPr>
          <w:p w14:paraId="684BFEFB" w14:textId="77777777" w:rsidR="00E57DAA" w:rsidRDefault="00AC4185">
            <w:pPr>
              <w:ind w:firstLineChars="300" w:firstLine="630"/>
              <w:rPr>
                <w:szCs w:val="21"/>
              </w:rPr>
            </w:pPr>
            <w:r>
              <w:rPr>
                <w:szCs w:val="21"/>
              </w:rPr>
              <w:t>境外自然人持股</w:t>
            </w:r>
          </w:p>
        </w:tc>
        <w:tc>
          <w:tcPr>
            <w:tcW w:w="373" w:type="pct"/>
            <w:shd w:val="clear" w:color="auto" w:fill="auto"/>
          </w:tcPr>
          <w:p w14:paraId="4681D2C0" w14:textId="77777777" w:rsidR="00E57DAA" w:rsidRDefault="00E57DAA">
            <w:pPr>
              <w:jc w:val="right"/>
              <w:rPr>
                <w:szCs w:val="21"/>
              </w:rPr>
            </w:pPr>
          </w:p>
        </w:tc>
        <w:tc>
          <w:tcPr>
            <w:tcW w:w="375" w:type="pct"/>
            <w:shd w:val="clear" w:color="auto" w:fill="auto"/>
          </w:tcPr>
          <w:p w14:paraId="7D7EFB58" w14:textId="77777777" w:rsidR="00E57DAA" w:rsidRDefault="00E57DAA">
            <w:pPr>
              <w:jc w:val="right"/>
              <w:rPr>
                <w:szCs w:val="21"/>
              </w:rPr>
            </w:pPr>
          </w:p>
        </w:tc>
        <w:tc>
          <w:tcPr>
            <w:tcW w:w="392" w:type="pct"/>
            <w:shd w:val="clear" w:color="auto" w:fill="auto"/>
          </w:tcPr>
          <w:p w14:paraId="0B7D58E1" w14:textId="77777777" w:rsidR="00E57DAA" w:rsidRDefault="00E57DAA">
            <w:pPr>
              <w:jc w:val="right"/>
              <w:rPr>
                <w:szCs w:val="21"/>
              </w:rPr>
            </w:pPr>
          </w:p>
        </w:tc>
        <w:tc>
          <w:tcPr>
            <w:tcW w:w="344" w:type="pct"/>
            <w:shd w:val="clear" w:color="auto" w:fill="auto"/>
          </w:tcPr>
          <w:p w14:paraId="62C77798" w14:textId="77777777" w:rsidR="00E57DAA" w:rsidRDefault="00E57DAA">
            <w:pPr>
              <w:jc w:val="right"/>
              <w:rPr>
                <w:szCs w:val="21"/>
              </w:rPr>
            </w:pPr>
          </w:p>
        </w:tc>
        <w:tc>
          <w:tcPr>
            <w:tcW w:w="657" w:type="pct"/>
            <w:shd w:val="clear" w:color="auto" w:fill="auto"/>
          </w:tcPr>
          <w:p w14:paraId="1943E37A" w14:textId="77777777" w:rsidR="00E57DAA" w:rsidRDefault="00E57DAA">
            <w:pPr>
              <w:jc w:val="right"/>
              <w:rPr>
                <w:szCs w:val="21"/>
              </w:rPr>
            </w:pPr>
          </w:p>
        </w:tc>
        <w:tc>
          <w:tcPr>
            <w:tcW w:w="373" w:type="pct"/>
            <w:shd w:val="clear" w:color="auto" w:fill="auto"/>
          </w:tcPr>
          <w:p w14:paraId="5C7A9051" w14:textId="77777777" w:rsidR="00E57DAA" w:rsidRDefault="00E57DAA">
            <w:pPr>
              <w:jc w:val="right"/>
              <w:rPr>
                <w:szCs w:val="21"/>
              </w:rPr>
            </w:pPr>
          </w:p>
        </w:tc>
        <w:tc>
          <w:tcPr>
            <w:tcW w:w="373" w:type="pct"/>
            <w:shd w:val="clear" w:color="auto" w:fill="auto"/>
            <w:vAlign w:val="center"/>
          </w:tcPr>
          <w:p w14:paraId="64FF5AD3" w14:textId="77777777" w:rsidR="00E57DAA" w:rsidRDefault="00E57DAA">
            <w:pPr>
              <w:jc w:val="right"/>
              <w:rPr>
                <w:szCs w:val="21"/>
              </w:rPr>
            </w:pPr>
          </w:p>
        </w:tc>
        <w:tc>
          <w:tcPr>
            <w:tcW w:w="487" w:type="pct"/>
            <w:shd w:val="clear" w:color="auto" w:fill="auto"/>
          </w:tcPr>
          <w:p w14:paraId="334C43F8" w14:textId="77777777" w:rsidR="00E57DAA" w:rsidRDefault="00E57DAA">
            <w:pPr>
              <w:jc w:val="right"/>
              <w:rPr>
                <w:szCs w:val="21"/>
              </w:rPr>
            </w:pPr>
          </w:p>
        </w:tc>
        <w:tc>
          <w:tcPr>
            <w:tcW w:w="192" w:type="pct"/>
            <w:shd w:val="clear" w:color="auto" w:fill="auto"/>
            <w:vAlign w:val="center"/>
          </w:tcPr>
          <w:p w14:paraId="0FD8497A" w14:textId="77777777" w:rsidR="00E57DAA" w:rsidRDefault="00E57DAA">
            <w:pPr>
              <w:jc w:val="right"/>
              <w:rPr>
                <w:szCs w:val="21"/>
              </w:rPr>
            </w:pPr>
          </w:p>
        </w:tc>
      </w:tr>
      <w:tr w:rsidR="00E57DAA" w14:paraId="0867EE59" w14:textId="77777777">
        <w:tc>
          <w:tcPr>
            <w:tcW w:w="1434" w:type="pct"/>
            <w:shd w:val="clear" w:color="auto" w:fill="auto"/>
          </w:tcPr>
          <w:p w14:paraId="27110501" w14:textId="77777777" w:rsidR="00E57DAA" w:rsidRDefault="00AC4185" w:rsidP="00C25422">
            <w:pPr>
              <w:pStyle w:val="92"/>
            </w:pPr>
            <w:r>
              <w:t>二、无限售条件流通股份</w:t>
            </w:r>
          </w:p>
        </w:tc>
        <w:tc>
          <w:tcPr>
            <w:tcW w:w="373" w:type="pct"/>
            <w:shd w:val="clear" w:color="auto" w:fill="auto"/>
            <w:vAlign w:val="center"/>
          </w:tcPr>
          <w:p w14:paraId="52F9BB06" w14:textId="77777777" w:rsidR="00E57DAA" w:rsidRDefault="00AC4185">
            <w:pPr>
              <w:jc w:val="right"/>
              <w:rPr>
                <w:szCs w:val="21"/>
              </w:rPr>
            </w:pPr>
            <w:r>
              <w:t>1,742,598,393</w:t>
            </w:r>
          </w:p>
        </w:tc>
        <w:tc>
          <w:tcPr>
            <w:tcW w:w="375" w:type="pct"/>
            <w:shd w:val="clear" w:color="auto" w:fill="auto"/>
            <w:vAlign w:val="center"/>
          </w:tcPr>
          <w:p w14:paraId="5188AFD8" w14:textId="77777777" w:rsidR="00E57DAA" w:rsidRDefault="00AC4185">
            <w:pPr>
              <w:jc w:val="right"/>
              <w:rPr>
                <w:szCs w:val="21"/>
              </w:rPr>
            </w:pPr>
            <w:r>
              <w:t>76.91</w:t>
            </w:r>
          </w:p>
        </w:tc>
        <w:tc>
          <w:tcPr>
            <w:tcW w:w="392" w:type="pct"/>
            <w:shd w:val="clear" w:color="auto" w:fill="auto"/>
          </w:tcPr>
          <w:p w14:paraId="03CEC312" w14:textId="77777777" w:rsidR="00E57DAA" w:rsidRDefault="00E57DAA">
            <w:pPr>
              <w:jc w:val="right"/>
              <w:rPr>
                <w:szCs w:val="21"/>
              </w:rPr>
            </w:pPr>
          </w:p>
        </w:tc>
        <w:tc>
          <w:tcPr>
            <w:tcW w:w="344" w:type="pct"/>
            <w:shd w:val="clear" w:color="auto" w:fill="auto"/>
          </w:tcPr>
          <w:p w14:paraId="2E1E3599" w14:textId="77777777" w:rsidR="00E57DAA" w:rsidRDefault="00E57DAA">
            <w:pPr>
              <w:jc w:val="right"/>
              <w:rPr>
                <w:szCs w:val="21"/>
              </w:rPr>
            </w:pPr>
          </w:p>
        </w:tc>
        <w:tc>
          <w:tcPr>
            <w:tcW w:w="657" w:type="pct"/>
            <w:shd w:val="clear" w:color="auto" w:fill="auto"/>
          </w:tcPr>
          <w:p w14:paraId="57FB00ED" w14:textId="77777777" w:rsidR="00E57DAA" w:rsidRDefault="00E57DAA">
            <w:pPr>
              <w:jc w:val="right"/>
              <w:rPr>
                <w:szCs w:val="21"/>
              </w:rPr>
            </w:pPr>
          </w:p>
        </w:tc>
        <w:tc>
          <w:tcPr>
            <w:tcW w:w="373" w:type="pct"/>
            <w:shd w:val="clear" w:color="auto" w:fill="auto"/>
          </w:tcPr>
          <w:p w14:paraId="535F75D7" w14:textId="77777777" w:rsidR="00E57DAA" w:rsidRDefault="00E57DAA">
            <w:pPr>
              <w:jc w:val="right"/>
              <w:rPr>
                <w:szCs w:val="21"/>
              </w:rPr>
            </w:pPr>
          </w:p>
        </w:tc>
        <w:tc>
          <w:tcPr>
            <w:tcW w:w="373" w:type="pct"/>
            <w:shd w:val="clear" w:color="auto" w:fill="auto"/>
            <w:vAlign w:val="center"/>
          </w:tcPr>
          <w:p w14:paraId="1038889C" w14:textId="77777777" w:rsidR="00E57DAA" w:rsidRDefault="00E57DAA">
            <w:pPr>
              <w:jc w:val="right"/>
              <w:rPr>
                <w:szCs w:val="21"/>
              </w:rPr>
            </w:pPr>
          </w:p>
        </w:tc>
        <w:tc>
          <w:tcPr>
            <w:tcW w:w="487" w:type="pct"/>
            <w:shd w:val="clear" w:color="auto" w:fill="auto"/>
          </w:tcPr>
          <w:p w14:paraId="63DD716E" w14:textId="77777777" w:rsidR="00E57DAA" w:rsidRDefault="00AC4185">
            <w:pPr>
              <w:jc w:val="right"/>
              <w:rPr>
                <w:szCs w:val="21"/>
              </w:rPr>
            </w:pPr>
            <w:r>
              <w:t>1,742,598,393</w:t>
            </w:r>
          </w:p>
        </w:tc>
        <w:tc>
          <w:tcPr>
            <w:tcW w:w="192" w:type="pct"/>
            <w:shd w:val="clear" w:color="auto" w:fill="auto"/>
            <w:vAlign w:val="center"/>
          </w:tcPr>
          <w:p w14:paraId="415581F8" w14:textId="77777777" w:rsidR="00E57DAA" w:rsidRDefault="00AC4185">
            <w:pPr>
              <w:jc w:val="right"/>
              <w:rPr>
                <w:szCs w:val="21"/>
              </w:rPr>
            </w:pPr>
            <w:r>
              <w:t>65.95</w:t>
            </w:r>
          </w:p>
        </w:tc>
      </w:tr>
      <w:tr w:rsidR="00E57DAA" w14:paraId="7D3BBEAE" w14:textId="77777777">
        <w:tc>
          <w:tcPr>
            <w:tcW w:w="1434" w:type="pct"/>
            <w:shd w:val="clear" w:color="auto" w:fill="auto"/>
          </w:tcPr>
          <w:p w14:paraId="162F8B59" w14:textId="77777777" w:rsidR="00E57DAA" w:rsidRDefault="00AC4185">
            <w:pPr>
              <w:rPr>
                <w:szCs w:val="21"/>
              </w:rPr>
            </w:pPr>
            <w:r>
              <w:rPr>
                <w:szCs w:val="21"/>
              </w:rPr>
              <w:t>1、人民币普通股</w:t>
            </w:r>
          </w:p>
        </w:tc>
        <w:tc>
          <w:tcPr>
            <w:tcW w:w="373" w:type="pct"/>
            <w:shd w:val="clear" w:color="auto" w:fill="auto"/>
            <w:vAlign w:val="center"/>
          </w:tcPr>
          <w:p w14:paraId="3901A5F5" w14:textId="77777777" w:rsidR="00E57DAA" w:rsidRDefault="00AC4185">
            <w:pPr>
              <w:jc w:val="right"/>
              <w:rPr>
                <w:szCs w:val="21"/>
              </w:rPr>
            </w:pPr>
            <w:r>
              <w:t>1,742,598,393</w:t>
            </w:r>
          </w:p>
        </w:tc>
        <w:tc>
          <w:tcPr>
            <w:tcW w:w="375" w:type="pct"/>
            <w:shd w:val="clear" w:color="auto" w:fill="auto"/>
            <w:vAlign w:val="center"/>
          </w:tcPr>
          <w:p w14:paraId="0F486C91" w14:textId="77777777" w:rsidR="00E57DAA" w:rsidRDefault="00AC4185">
            <w:pPr>
              <w:jc w:val="right"/>
              <w:rPr>
                <w:szCs w:val="21"/>
              </w:rPr>
            </w:pPr>
            <w:r>
              <w:t>76.91</w:t>
            </w:r>
          </w:p>
        </w:tc>
        <w:tc>
          <w:tcPr>
            <w:tcW w:w="392" w:type="pct"/>
            <w:shd w:val="clear" w:color="auto" w:fill="auto"/>
          </w:tcPr>
          <w:p w14:paraId="6879B1DE" w14:textId="77777777" w:rsidR="00E57DAA" w:rsidRDefault="00E57DAA">
            <w:pPr>
              <w:jc w:val="right"/>
              <w:rPr>
                <w:szCs w:val="21"/>
              </w:rPr>
            </w:pPr>
          </w:p>
        </w:tc>
        <w:tc>
          <w:tcPr>
            <w:tcW w:w="344" w:type="pct"/>
            <w:shd w:val="clear" w:color="auto" w:fill="auto"/>
          </w:tcPr>
          <w:p w14:paraId="1FA97E86" w14:textId="77777777" w:rsidR="00E57DAA" w:rsidRDefault="00E57DAA">
            <w:pPr>
              <w:jc w:val="right"/>
              <w:rPr>
                <w:szCs w:val="21"/>
              </w:rPr>
            </w:pPr>
          </w:p>
        </w:tc>
        <w:tc>
          <w:tcPr>
            <w:tcW w:w="657" w:type="pct"/>
            <w:shd w:val="clear" w:color="auto" w:fill="auto"/>
          </w:tcPr>
          <w:p w14:paraId="44678B3C" w14:textId="77777777" w:rsidR="00E57DAA" w:rsidRDefault="00E57DAA">
            <w:pPr>
              <w:jc w:val="right"/>
              <w:rPr>
                <w:szCs w:val="21"/>
              </w:rPr>
            </w:pPr>
          </w:p>
        </w:tc>
        <w:tc>
          <w:tcPr>
            <w:tcW w:w="373" w:type="pct"/>
            <w:shd w:val="clear" w:color="auto" w:fill="auto"/>
          </w:tcPr>
          <w:p w14:paraId="53554B3F" w14:textId="77777777" w:rsidR="00E57DAA" w:rsidRDefault="00E57DAA">
            <w:pPr>
              <w:jc w:val="right"/>
              <w:rPr>
                <w:szCs w:val="21"/>
              </w:rPr>
            </w:pPr>
          </w:p>
        </w:tc>
        <w:tc>
          <w:tcPr>
            <w:tcW w:w="373" w:type="pct"/>
            <w:shd w:val="clear" w:color="auto" w:fill="auto"/>
            <w:vAlign w:val="center"/>
          </w:tcPr>
          <w:p w14:paraId="0A34908C" w14:textId="77777777" w:rsidR="00E57DAA" w:rsidRDefault="00E57DAA">
            <w:pPr>
              <w:jc w:val="right"/>
              <w:rPr>
                <w:szCs w:val="21"/>
              </w:rPr>
            </w:pPr>
          </w:p>
        </w:tc>
        <w:tc>
          <w:tcPr>
            <w:tcW w:w="487" w:type="pct"/>
            <w:shd w:val="clear" w:color="auto" w:fill="auto"/>
          </w:tcPr>
          <w:p w14:paraId="1D9A0A7A" w14:textId="77777777" w:rsidR="00E57DAA" w:rsidRDefault="00AC4185">
            <w:pPr>
              <w:jc w:val="right"/>
              <w:rPr>
                <w:szCs w:val="21"/>
              </w:rPr>
            </w:pPr>
            <w:r>
              <w:t>1,742,598,393</w:t>
            </w:r>
          </w:p>
        </w:tc>
        <w:tc>
          <w:tcPr>
            <w:tcW w:w="192" w:type="pct"/>
            <w:shd w:val="clear" w:color="auto" w:fill="auto"/>
            <w:vAlign w:val="center"/>
          </w:tcPr>
          <w:p w14:paraId="3990A5F7" w14:textId="77777777" w:rsidR="00E57DAA" w:rsidRDefault="00AC4185">
            <w:pPr>
              <w:jc w:val="right"/>
              <w:rPr>
                <w:szCs w:val="21"/>
              </w:rPr>
            </w:pPr>
            <w:r>
              <w:t>65.95</w:t>
            </w:r>
          </w:p>
        </w:tc>
      </w:tr>
      <w:tr w:rsidR="00E57DAA" w14:paraId="5DB738DD" w14:textId="77777777">
        <w:tc>
          <w:tcPr>
            <w:tcW w:w="1434" w:type="pct"/>
            <w:shd w:val="clear" w:color="auto" w:fill="auto"/>
          </w:tcPr>
          <w:p w14:paraId="780F2420" w14:textId="77777777" w:rsidR="00E57DAA" w:rsidRDefault="00AC4185">
            <w:pPr>
              <w:rPr>
                <w:szCs w:val="21"/>
              </w:rPr>
            </w:pPr>
            <w:r>
              <w:rPr>
                <w:szCs w:val="21"/>
              </w:rPr>
              <w:t>2、境内上市的外资股</w:t>
            </w:r>
          </w:p>
        </w:tc>
        <w:tc>
          <w:tcPr>
            <w:tcW w:w="373" w:type="pct"/>
            <w:shd w:val="clear" w:color="auto" w:fill="auto"/>
            <w:vAlign w:val="center"/>
          </w:tcPr>
          <w:p w14:paraId="77E9D6D5" w14:textId="77777777" w:rsidR="00E57DAA" w:rsidRDefault="00E57DAA">
            <w:pPr>
              <w:jc w:val="right"/>
              <w:rPr>
                <w:szCs w:val="21"/>
              </w:rPr>
            </w:pPr>
          </w:p>
        </w:tc>
        <w:tc>
          <w:tcPr>
            <w:tcW w:w="375" w:type="pct"/>
            <w:shd w:val="clear" w:color="auto" w:fill="auto"/>
            <w:vAlign w:val="center"/>
          </w:tcPr>
          <w:p w14:paraId="60E3A948" w14:textId="77777777" w:rsidR="00E57DAA" w:rsidRDefault="00E57DAA">
            <w:pPr>
              <w:jc w:val="right"/>
              <w:rPr>
                <w:szCs w:val="21"/>
              </w:rPr>
            </w:pPr>
          </w:p>
        </w:tc>
        <w:tc>
          <w:tcPr>
            <w:tcW w:w="392" w:type="pct"/>
            <w:shd w:val="clear" w:color="auto" w:fill="auto"/>
          </w:tcPr>
          <w:p w14:paraId="18E20B65" w14:textId="77777777" w:rsidR="00E57DAA" w:rsidRDefault="00E57DAA">
            <w:pPr>
              <w:jc w:val="right"/>
              <w:rPr>
                <w:szCs w:val="21"/>
              </w:rPr>
            </w:pPr>
          </w:p>
        </w:tc>
        <w:tc>
          <w:tcPr>
            <w:tcW w:w="344" w:type="pct"/>
            <w:shd w:val="clear" w:color="auto" w:fill="auto"/>
          </w:tcPr>
          <w:p w14:paraId="32DBEC2C" w14:textId="77777777" w:rsidR="00E57DAA" w:rsidRDefault="00E57DAA">
            <w:pPr>
              <w:jc w:val="right"/>
              <w:rPr>
                <w:szCs w:val="21"/>
              </w:rPr>
            </w:pPr>
          </w:p>
        </w:tc>
        <w:tc>
          <w:tcPr>
            <w:tcW w:w="657" w:type="pct"/>
            <w:shd w:val="clear" w:color="auto" w:fill="auto"/>
          </w:tcPr>
          <w:p w14:paraId="3A001C97" w14:textId="77777777" w:rsidR="00E57DAA" w:rsidRDefault="00E57DAA">
            <w:pPr>
              <w:jc w:val="right"/>
              <w:rPr>
                <w:szCs w:val="21"/>
              </w:rPr>
            </w:pPr>
          </w:p>
        </w:tc>
        <w:tc>
          <w:tcPr>
            <w:tcW w:w="373" w:type="pct"/>
            <w:shd w:val="clear" w:color="auto" w:fill="auto"/>
          </w:tcPr>
          <w:p w14:paraId="3155A712" w14:textId="77777777" w:rsidR="00E57DAA" w:rsidRDefault="00E57DAA">
            <w:pPr>
              <w:jc w:val="right"/>
              <w:rPr>
                <w:szCs w:val="21"/>
              </w:rPr>
            </w:pPr>
          </w:p>
        </w:tc>
        <w:tc>
          <w:tcPr>
            <w:tcW w:w="373" w:type="pct"/>
            <w:shd w:val="clear" w:color="auto" w:fill="auto"/>
            <w:vAlign w:val="center"/>
          </w:tcPr>
          <w:p w14:paraId="3DF72BB1" w14:textId="77777777" w:rsidR="00E57DAA" w:rsidRDefault="00E57DAA">
            <w:pPr>
              <w:jc w:val="right"/>
              <w:rPr>
                <w:szCs w:val="21"/>
              </w:rPr>
            </w:pPr>
          </w:p>
        </w:tc>
        <w:tc>
          <w:tcPr>
            <w:tcW w:w="487" w:type="pct"/>
            <w:shd w:val="clear" w:color="auto" w:fill="auto"/>
          </w:tcPr>
          <w:p w14:paraId="4E53EA16" w14:textId="77777777" w:rsidR="00E57DAA" w:rsidRDefault="00E57DAA">
            <w:pPr>
              <w:jc w:val="right"/>
              <w:rPr>
                <w:szCs w:val="21"/>
              </w:rPr>
            </w:pPr>
          </w:p>
        </w:tc>
        <w:tc>
          <w:tcPr>
            <w:tcW w:w="192" w:type="pct"/>
            <w:shd w:val="clear" w:color="auto" w:fill="auto"/>
          </w:tcPr>
          <w:p w14:paraId="04481E18" w14:textId="77777777" w:rsidR="00E57DAA" w:rsidRDefault="00E57DAA">
            <w:pPr>
              <w:jc w:val="right"/>
              <w:rPr>
                <w:szCs w:val="21"/>
              </w:rPr>
            </w:pPr>
          </w:p>
        </w:tc>
      </w:tr>
      <w:tr w:rsidR="00E57DAA" w14:paraId="1766DCBD" w14:textId="77777777">
        <w:tc>
          <w:tcPr>
            <w:tcW w:w="1434" w:type="pct"/>
            <w:shd w:val="clear" w:color="auto" w:fill="auto"/>
          </w:tcPr>
          <w:p w14:paraId="590D4E53" w14:textId="77777777" w:rsidR="00E57DAA" w:rsidRDefault="00AC4185">
            <w:pPr>
              <w:rPr>
                <w:szCs w:val="21"/>
              </w:rPr>
            </w:pPr>
            <w:r>
              <w:rPr>
                <w:szCs w:val="21"/>
              </w:rPr>
              <w:t>3、境外上市的外资股</w:t>
            </w:r>
          </w:p>
        </w:tc>
        <w:tc>
          <w:tcPr>
            <w:tcW w:w="373" w:type="pct"/>
            <w:shd w:val="clear" w:color="auto" w:fill="auto"/>
            <w:vAlign w:val="center"/>
          </w:tcPr>
          <w:p w14:paraId="6E82B066" w14:textId="77777777" w:rsidR="00E57DAA" w:rsidRDefault="00E57DAA">
            <w:pPr>
              <w:jc w:val="right"/>
              <w:rPr>
                <w:szCs w:val="21"/>
              </w:rPr>
            </w:pPr>
          </w:p>
        </w:tc>
        <w:tc>
          <w:tcPr>
            <w:tcW w:w="375" w:type="pct"/>
            <w:shd w:val="clear" w:color="auto" w:fill="auto"/>
            <w:vAlign w:val="center"/>
          </w:tcPr>
          <w:p w14:paraId="26B628A0" w14:textId="77777777" w:rsidR="00E57DAA" w:rsidRDefault="00E57DAA">
            <w:pPr>
              <w:jc w:val="right"/>
              <w:rPr>
                <w:szCs w:val="21"/>
              </w:rPr>
            </w:pPr>
          </w:p>
        </w:tc>
        <w:tc>
          <w:tcPr>
            <w:tcW w:w="392" w:type="pct"/>
            <w:shd w:val="clear" w:color="auto" w:fill="auto"/>
          </w:tcPr>
          <w:p w14:paraId="3541476F" w14:textId="77777777" w:rsidR="00E57DAA" w:rsidRDefault="00E57DAA">
            <w:pPr>
              <w:jc w:val="right"/>
              <w:rPr>
                <w:szCs w:val="21"/>
              </w:rPr>
            </w:pPr>
          </w:p>
        </w:tc>
        <w:tc>
          <w:tcPr>
            <w:tcW w:w="344" w:type="pct"/>
            <w:shd w:val="clear" w:color="auto" w:fill="auto"/>
          </w:tcPr>
          <w:p w14:paraId="245E47D7" w14:textId="77777777" w:rsidR="00E57DAA" w:rsidRDefault="00E57DAA">
            <w:pPr>
              <w:jc w:val="right"/>
              <w:rPr>
                <w:szCs w:val="21"/>
              </w:rPr>
            </w:pPr>
          </w:p>
        </w:tc>
        <w:tc>
          <w:tcPr>
            <w:tcW w:w="657" w:type="pct"/>
            <w:shd w:val="clear" w:color="auto" w:fill="auto"/>
          </w:tcPr>
          <w:p w14:paraId="4FF6C6C4" w14:textId="77777777" w:rsidR="00E57DAA" w:rsidRDefault="00E57DAA">
            <w:pPr>
              <w:jc w:val="right"/>
              <w:rPr>
                <w:szCs w:val="21"/>
              </w:rPr>
            </w:pPr>
          </w:p>
        </w:tc>
        <w:tc>
          <w:tcPr>
            <w:tcW w:w="373" w:type="pct"/>
            <w:shd w:val="clear" w:color="auto" w:fill="auto"/>
          </w:tcPr>
          <w:p w14:paraId="493427DE" w14:textId="77777777" w:rsidR="00E57DAA" w:rsidRDefault="00E57DAA">
            <w:pPr>
              <w:jc w:val="right"/>
              <w:rPr>
                <w:szCs w:val="21"/>
              </w:rPr>
            </w:pPr>
          </w:p>
        </w:tc>
        <w:tc>
          <w:tcPr>
            <w:tcW w:w="373" w:type="pct"/>
            <w:shd w:val="clear" w:color="auto" w:fill="auto"/>
            <w:vAlign w:val="center"/>
          </w:tcPr>
          <w:p w14:paraId="70EA413E" w14:textId="77777777" w:rsidR="00E57DAA" w:rsidRDefault="00E57DAA">
            <w:pPr>
              <w:jc w:val="right"/>
              <w:rPr>
                <w:szCs w:val="21"/>
              </w:rPr>
            </w:pPr>
          </w:p>
        </w:tc>
        <w:tc>
          <w:tcPr>
            <w:tcW w:w="487" w:type="pct"/>
            <w:shd w:val="clear" w:color="auto" w:fill="auto"/>
          </w:tcPr>
          <w:p w14:paraId="65D5E04E" w14:textId="77777777" w:rsidR="00E57DAA" w:rsidRDefault="00E57DAA">
            <w:pPr>
              <w:jc w:val="right"/>
              <w:rPr>
                <w:szCs w:val="21"/>
              </w:rPr>
            </w:pPr>
          </w:p>
        </w:tc>
        <w:tc>
          <w:tcPr>
            <w:tcW w:w="192" w:type="pct"/>
            <w:shd w:val="clear" w:color="auto" w:fill="auto"/>
          </w:tcPr>
          <w:p w14:paraId="590B090B" w14:textId="77777777" w:rsidR="00E57DAA" w:rsidRDefault="00E57DAA">
            <w:pPr>
              <w:jc w:val="right"/>
              <w:rPr>
                <w:szCs w:val="21"/>
              </w:rPr>
            </w:pPr>
          </w:p>
        </w:tc>
      </w:tr>
      <w:tr w:rsidR="00E57DAA" w14:paraId="2D179FB5" w14:textId="77777777">
        <w:tc>
          <w:tcPr>
            <w:tcW w:w="1434" w:type="pct"/>
            <w:shd w:val="clear" w:color="auto" w:fill="auto"/>
          </w:tcPr>
          <w:p w14:paraId="602F0E28" w14:textId="77777777" w:rsidR="00E57DAA" w:rsidRDefault="00AC4185">
            <w:pPr>
              <w:rPr>
                <w:szCs w:val="21"/>
              </w:rPr>
            </w:pPr>
            <w:r>
              <w:rPr>
                <w:szCs w:val="21"/>
              </w:rPr>
              <w:t>4、其他</w:t>
            </w:r>
          </w:p>
        </w:tc>
        <w:tc>
          <w:tcPr>
            <w:tcW w:w="373" w:type="pct"/>
            <w:shd w:val="clear" w:color="auto" w:fill="auto"/>
            <w:vAlign w:val="center"/>
          </w:tcPr>
          <w:p w14:paraId="083F0A06" w14:textId="77777777" w:rsidR="00E57DAA" w:rsidRDefault="00E57DAA">
            <w:pPr>
              <w:jc w:val="right"/>
              <w:rPr>
                <w:szCs w:val="21"/>
              </w:rPr>
            </w:pPr>
          </w:p>
        </w:tc>
        <w:tc>
          <w:tcPr>
            <w:tcW w:w="375" w:type="pct"/>
            <w:shd w:val="clear" w:color="auto" w:fill="auto"/>
            <w:vAlign w:val="center"/>
          </w:tcPr>
          <w:p w14:paraId="75703476" w14:textId="77777777" w:rsidR="00E57DAA" w:rsidRDefault="00E57DAA">
            <w:pPr>
              <w:jc w:val="right"/>
              <w:rPr>
                <w:szCs w:val="21"/>
              </w:rPr>
            </w:pPr>
          </w:p>
        </w:tc>
        <w:tc>
          <w:tcPr>
            <w:tcW w:w="392" w:type="pct"/>
            <w:shd w:val="clear" w:color="auto" w:fill="auto"/>
          </w:tcPr>
          <w:p w14:paraId="6C997A1E" w14:textId="77777777" w:rsidR="00E57DAA" w:rsidRDefault="00E57DAA">
            <w:pPr>
              <w:jc w:val="right"/>
              <w:rPr>
                <w:szCs w:val="21"/>
              </w:rPr>
            </w:pPr>
          </w:p>
        </w:tc>
        <w:tc>
          <w:tcPr>
            <w:tcW w:w="344" w:type="pct"/>
            <w:shd w:val="clear" w:color="auto" w:fill="auto"/>
          </w:tcPr>
          <w:p w14:paraId="56EEB66D" w14:textId="77777777" w:rsidR="00E57DAA" w:rsidRDefault="00E57DAA">
            <w:pPr>
              <w:jc w:val="right"/>
              <w:rPr>
                <w:szCs w:val="21"/>
              </w:rPr>
            </w:pPr>
          </w:p>
        </w:tc>
        <w:tc>
          <w:tcPr>
            <w:tcW w:w="657" w:type="pct"/>
            <w:shd w:val="clear" w:color="auto" w:fill="auto"/>
          </w:tcPr>
          <w:p w14:paraId="1ED9523C" w14:textId="77777777" w:rsidR="00E57DAA" w:rsidRDefault="00E57DAA">
            <w:pPr>
              <w:jc w:val="right"/>
              <w:rPr>
                <w:szCs w:val="21"/>
              </w:rPr>
            </w:pPr>
          </w:p>
        </w:tc>
        <w:tc>
          <w:tcPr>
            <w:tcW w:w="373" w:type="pct"/>
            <w:shd w:val="clear" w:color="auto" w:fill="auto"/>
          </w:tcPr>
          <w:p w14:paraId="12348B16" w14:textId="77777777" w:rsidR="00E57DAA" w:rsidRDefault="00E57DAA">
            <w:pPr>
              <w:jc w:val="right"/>
              <w:rPr>
                <w:szCs w:val="21"/>
              </w:rPr>
            </w:pPr>
          </w:p>
        </w:tc>
        <w:tc>
          <w:tcPr>
            <w:tcW w:w="373" w:type="pct"/>
            <w:shd w:val="clear" w:color="auto" w:fill="auto"/>
            <w:vAlign w:val="center"/>
          </w:tcPr>
          <w:p w14:paraId="04C882D1" w14:textId="77777777" w:rsidR="00E57DAA" w:rsidRDefault="00E57DAA">
            <w:pPr>
              <w:jc w:val="right"/>
              <w:rPr>
                <w:szCs w:val="21"/>
              </w:rPr>
            </w:pPr>
          </w:p>
        </w:tc>
        <w:tc>
          <w:tcPr>
            <w:tcW w:w="487" w:type="pct"/>
            <w:shd w:val="clear" w:color="auto" w:fill="auto"/>
          </w:tcPr>
          <w:p w14:paraId="1B4F4BC4" w14:textId="77777777" w:rsidR="00E57DAA" w:rsidRDefault="00E57DAA">
            <w:pPr>
              <w:jc w:val="right"/>
              <w:rPr>
                <w:szCs w:val="21"/>
              </w:rPr>
            </w:pPr>
          </w:p>
        </w:tc>
        <w:tc>
          <w:tcPr>
            <w:tcW w:w="192" w:type="pct"/>
            <w:shd w:val="clear" w:color="auto" w:fill="auto"/>
          </w:tcPr>
          <w:p w14:paraId="4C1A6EC0" w14:textId="77777777" w:rsidR="00E57DAA" w:rsidRDefault="00E57DAA">
            <w:pPr>
              <w:jc w:val="right"/>
              <w:rPr>
                <w:szCs w:val="21"/>
              </w:rPr>
            </w:pPr>
          </w:p>
        </w:tc>
      </w:tr>
      <w:tr w:rsidR="00E57DAA" w14:paraId="7079D901" w14:textId="77777777">
        <w:tc>
          <w:tcPr>
            <w:tcW w:w="1434" w:type="pct"/>
            <w:shd w:val="clear" w:color="auto" w:fill="auto"/>
          </w:tcPr>
          <w:p w14:paraId="7E56A211" w14:textId="77777777" w:rsidR="00E57DAA" w:rsidRDefault="00AC4185">
            <w:pPr>
              <w:rPr>
                <w:szCs w:val="21"/>
              </w:rPr>
            </w:pPr>
            <w:r>
              <w:rPr>
                <w:szCs w:val="21"/>
              </w:rPr>
              <w:t>三、股份</w:t>
            </w:r>
            <w:r>
              <w:rPr>
                <w:rFonts w:hint="eastAsia"/>
                <w:szCs w:val="21"/>
              </w:rPr>
              <w:t>总数</w:t>
            </w:r>
          </w:p>
        </w:tc>
        <w:tc>
          <w:tcPr>
            <w:tcW w:w="373" w:type="pct"/>
            <w:shd w:val="clear" w:color="auto" w:fill="auto"/>
            <w:vAlign w:val="center"/>
          </w:tcPr>
          <w:p w14:paraId="5C9452AC" w14:textId="77777777" w:rsidR="00E57DAA" w:rsidRDefault="00AC4185">
            <w:pPr>
              <w:jc w:val="right"/>
              <w:rPr>
                <w:szCs w:val="21"/>
              </w:rPr>
            </w:pPr>
            <w:r>
              <w:t>2,265,632,064</w:t>
            </w:r>
          </w:p>
        </w:tc>
        <w:tc>
          <w:tcPr>
            <w:tcW w:w="375" w:type="pct"/>
            <w:shd w:val="clear" w:color="auto" w:fill="auto"/>
            <w:vAlign w:val="center"/>
          </w:tcPr>
          <w:p w14:paraId="41346AEC" w14:textId="77777777" w:rsidR="00E57DAA" w:rsidRDefault="00AC4185">
            <w:pPr>
              <w:jc w:val="right"/>
              <w:rPr>
                <w:szCs w:val="21"/>
              </w:rPr>
            </w:pPr>
            <w:r>
              <w:t>100.00</w:t>
            </w:r>
          </w:p>
        </w:tc>
        <w:tc>
          <w:tcPr>
            <w:tcW w:w="392" w:type="pct"/>
            <w:shd w:val="clear" w:color="auto" w:fill="auto"/>
          </w:tcPr>
          <w:p w14:paraId="12F6C2CB" w14:textId="77777777" w:rsidR="00E57DAA" w:rsidRDefault="00AC4185">
            <w:pPr>
              <w:jc w:val="right"/>
              <w:rPr>
                <w:szCs w:val="21"/>
              </w:rPr>
            </w:pPr>
            <w:r>
              <w:t>376,685,359</w:t>
            </w:r>
          </w:p>
        </w:tc>
        <w:tc>
          <w:tcPr>
            <w:tcW w:w="344" w:type="pct"/>
            <w:shd w:val="clear" w:color="auto" w:fill="auto"/>
          </w:tcPr>
          <w:p w14:paraId="1F9B9E2B" w14:textId="77777777" w:rsidR="00E57DAA" w:rsidRDefault="00E57DAA">
            <w:pPr>
              <w:jc w:val="right"/>
              <w:rPr>
                <w:szCs w:val="21"/>
              </w:rPr>
            </w:pPr>
          </w:p>
        </w:tc>
        <w:tc>
          <w:tcPr>
            <w:tcW w:w="657" w:type="pct"/>
            <w:shd w:val="clear" w:color="auto" w:fill="auto"/>
          </w:tcPr>
          <w:p w14:paraId="300FA8D8" w14:textId="77777777" w:rsidR="00E57DAA" w:rsidRDefault="00E57DAA">
            <w:pPr>
              <w:jc w:val="right"/>
              <w:rPr>
                <w:szCs w:val="21"/>
              </w:rPr>
            </w:pPr>
          </w:p>
        </w:tc>
        <w:tc>
          <w:tcPr>
            <w:tcW w:w="373" w:type="pct"/>
            <w:shd w:val="clear" w:color="auto" w:fill="auto"/>
          </w:tcPr>
          <w:p w14:paraId="63CD3C69" w14:textId="77777777" w:rsidR="00E57DAA" w:rsidRDefault="00E57DAA">
            <w:pPr>
              <w:jc w:val="right"/>
              <w:rPr>
                <w:szCs w:val="21"/>
              </w:rPr>
            </w:pPr>
          </w:p>
        </w:tc>
        <w:tc>
          <w:tcPr>
            <w:tcW w:w="373" w:type="pct"/>
            <w:shd w:val="clear" w:color="auto" w:fill="auto"/>
            <w:vAlign w:val="center"/>
          </w:tcPr>
          <w:p w14:paraId="53936F18" w14:textId="77777777" w:rsidR="00E57DAA" w:rsidRDefault="00AC4185">
            <w:pPr>
              <w:jc w:val="right"/>
              <w:rPr>
                <w:szCs w:val="21"/>
              </w:rPr>
            </w:pPr>
            <w:r>
              <w:t>376,685,359</w:t>
            </w:r>
          </w:p>
        </w:tc>
        <w:tc>
          <w:tcPr>
            <w:tcW w:w="487" w:type="pct"/>
            <w:shd w:val="clear" w:color="auto" w:fill="auto"/>
          </w:tcPr>
          <w:p w14:paraId="5A19DB96" w14:textId="77777777" w:rsidR="00E57DAA" w:rsidRDefault="00AC4185">
            <w:pPr>
              <w:jc w:val="right"/>
              <w:rPr>
                <w:szCs w:val="21"/>
              </w:rPr>
            </w:pPr>
            <w:r>
              <w:t>2,642,317,423</w:t>
            </w:r>
          </w:p>
        </w:tc>
        <w:tc>
          <w:tcPr>
            <w:tcW w:w="192" w:type="pct"/>
            <w:shd w:val="clear" w:color="auto" w:fill="auto"/>
          </w:tcPr>
          <w:p w14:paraId="2D09EA9A" w14:textId="77777777" w:rsidR="00E57DAA" w:rsidRDefault="00AC4185">
            <w:pPr>
              <w:jc w:val="right"/>
              <w:rPr>
                <w:szCs w:val="21"/>
              </w:rPr>
            </w:pPr>
            <w:r>
              <w:t>100.00</w:t>
            </w:r>
          </w:p>
        </w:tc>
      </w:tr>
    </w:tbl>
    <w:p w14:paraId="0D86EB03" w14:textId="77777777" w:rsidR="00E57DAA" w:rsidRDefault="00E57DAA">
      <w:pPr>
        <w:rPr>
          <w:szCs w:val="21"/>
        </w:rPr>
      </w:pPr>
    </w:p>
    <w:p w14:paraId="0BF27815" w14:textId="77777777" w:rsidR="00E57DAA" w:rsidRDefault="00AC4185">
      <w:pPr>
        <w:pStyle w:val="4"/>
        <w:numPr>
          <w:ilvl w:val="2"/>
          <w:numId w:val="47"/>
        </w:numPr>
      </w:pPr>
      <w:r>
        <w:lastRenderedPageBreak/>
        <w:t>股份变动情况说明</w:t>
      </w:r>
    </w:p>
    <w:sdt>
      <w:sdtPr>
        <w:rPr>
          <w:rFonts w:hint="eastAsia"/>
          <w:szCs w:val="21"/>
        </w:rPr>
        <w:alias w:val="是否适用：普通股股份变动情况说明[双击切换]"/>
        <w:tag w:val="_GBC_b52413c1d37b456ba72aa8b8840cb9d8"/>
        <w:id w:val="-64727863"/>
        <w:placeholder>
          <w:docPart w:val="GBC22222222222222222222222222222"/>
        </w:placeholder>
      </w:sdtPr>
      <w:sdtEndPr/>
      <w:sdtContent>
        <w:p w14:paraId="6FF574A0"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情况说明"/>
        <w:tag w:val="_GBC_0049817ff5b44e28a8751c37cab3f894"/>
        <w:id w:val="-363677240"/>
        <w:placeholder>
          <w:docPart w:val="GBC22222222222222222222222222222"/>
        </w:placeholder>
      </w:sdtPr>
      <w:sdtEndPr/>
      <w:sdtContent>
        <w:p w14:paraId="36880467" w14:textId="77777777" w:rsidR="00E57DAA" w:rsidRDefault="00AC4185">
          <w:pPr>
            <w:ind w:firstLineChars="200" w:firstLine="420"/>
            <w:jc w:val="both"/>
            <w:rPr>
              <w:bCs/>
              <w:szCs w:val="21"/>
            </w:rPr>
          </w:pPr>
          <w:r>
            <w:rPr>
              <w:rFonts w:hint="eastAsia"/>
              <w:bCs/>
              <w:szCs w:val="21"/>
            </w:rPr>
            <w:t>报告期内，公司完成发行股份及支付现金购买合肥院100%股权暨关联交易事项。2023年2月28日，本次交易涉及的新增股份366,878,106股</w:t>
          </w:r>
          <w:r>
            <w:rPr>
              <w:bCs/>
              <w:szCs w:val="21"/>
            </w:rPr>
            <w:t>办理完毕股份登记手续。本次新增股份为有限售条件流通股，自股份发行结束之日起 36 个月内不得转让。</w:t>
          </w:r>
          <w:r>
            <w:rPr>
              <w:rFonts w:hint="eastAsia"/>
              <w:bCs/>
              <w:szCs w:val="21"/>
            </w:rPr>
            <w:t>详见公司发布的《关于发行股份及支付现金购买资产暨关联交易之发行股份购买资产发行结果暨股本变动公告》（临2023-020）。</w:t>
          </w:r>
        </w:p>
        <w:p w14:paraId="1B1DBB03" w14:textId="77777777" w:rsidR="00E57DAA" w:rsidRDefault="00AC4185">
          <w:pPr>
            <w:ind w:firstLineChars="200" w:firstLine="420"/>
            <w:rPr>
              <w:bCs/>
              <w:szCs w:val="21"/>
            </w:rPr>
          </w:pPr>
          <w:r>
            <w:rPr>
              <w:rFonts w:hint="eastAsia"/>
              <w:bCs/>
              <w:szCs w:val="21"/>
            </w:rPr>
            <w:t>2</w:t>
          </w:r>
          <w:r>
            <w:rPr>
              <w:bCs/>
              <w:szCs w:val="21"/>
            </w:rPr>
            <w:t>023</w:t>
          </w:r>
          <w:r>
            <w:rPr>
              <w:rFonts w:hint="eastAsia"/>
              <w:bCs/>
              <w:szCs w:val="21"/>
            </w:rPr>
            <w:t>年4月1</w:t>
          </w:r>
          <w:r>
            <w:rPr>
              <w:bCs/>
              <w:szCs w:val="21"/>
            </w:rPr>
            <w:t>0</w:t>
          </w:r>
          <w:r>
            <w:rPr>
              <w:rFonts w:hint="eastAsia"/>
              <w:bCs/>
              <w:szCs w:val="21"/>
            </w:rPr>
            <w:t>日，公司完成</w:t>
          </w:r>
          <w:r>
            <w:rPr>
              <w:bCs/>
              <w:szCs w:val="21"/>
            </w:rPr>
            <w:t>2021年限制性股票激励计划预留授予登记，本次限制性股票预留授予登记完成后，公司新增股份9,807,253股。</w:t>
          </w:r>
          <w:r>
            <w:rPr>
              <w:rFonts w:hint="eastAsia"/>
              <w:bCs/>
              <w:szCs w:val="21"/>
            </w:rPr>
            <w:t>详见公司发布的《关于</w:t>
          </w:r>
          <w:r>
            <w:rPr>
              <w:bCs/>
              <w:szCs w:val="21"/>
            </w:rPr>
            <w:t>2021年限制性股票激励计划预留授予结果公告</w:t>
          </w:r>
          <w:r>
            <w:rPr>
              <w:rFonts w:hint="eastAsia"/>
              <w:bCs/>
              <w:szCs w:val="21"/>
            </w:rPr>
            <w:t>》（临2</w:t>
          </w:r>
          <w:r>
            <w:rPr>
              <w:bCs/>
              <w:szCs w:val="21"/>
            </w:rPr>
            <w:t>023-033</w:t>
          </w:r>
          <w:r>
            <w:rPr>
              <w:rFonts w:hint="eastAsia"/>
              <w:bCs/>
              <w:szCs w:val="21"/>
            </w:rPr>
            <w:t>）。</w:t>
          </w:r>
        </w:p>
        <w:p w14:paraId="5E9C2287" w14:textId="77777777" w:rsidR="00E57DAA" w:rsidRDefault="00EB41A1">
          <w:pPr>
            <w:rPr>
              <w:szCs w:val="21"/>
            </w:rPr>
          </w:pPr>
        </w:p>
      </w:sdtContent>
    </w:sdt>
    <w:p w14:paraId="26E576FA" w14:textId="77777777" w:rsidR="00E57DAA" w:rsidRDefault="00AC4185">
      <w:pPr>
        <w:pStyle w:val="4"/>
        <w:numPr>
          <w:ilvl w:val="2"/>
          <w:numId w:val="47"/>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878844049"/>
        <w:placeholder>
          <w:docPart w:val="GBC22222222222222222222222222222"/>
        </w:placeholder>
      </w:sdtPr>
      <w:sdtEndPr/>
      <w:sdtContent>
        <w:p w14:paraId="4C1217CE"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对最近一年和最近一期财务指标的影响"/>
        <w:tag w:val="_GBC_18dc915b15db45f9ad252a23be29055d"/>
        <w:id w:val="2145620025"/>
        <w:placeholder>
          <w:docPart w:val="GBC22222222222222222222222222222"/>
        </w:placeholder>
      </w:sdtPr>
      <w:sdtEndPr/>
      <w:sdtContent>
        <w:p w14:paraId="6D282282" w14:textId="77777777" w:rsidR="00E57DAA" w:rsidRDefault="00AC4185">
          <w:pPr>
            <w:ind w:firstLineChars="200" w:firstLine="420"/>
            <w:jc w:val="both"/>
            <w:rPr>
              <w:szCs w:val="21"/>
            </w:rPr>
          </w:pPr>
          <w:r>
            <w:rPr>
              <w:rFonts w:hint="eastAsia"/>
              <w:szCs w:val="21"/>
            </w:rPr>
            <w:t>报告期，公司股份总数由</w:t>
          </w:r>
          <w:r>
            <w:rPr>
              <w:szCs w:val="21"/>
            </w:rPr>
            <w:t>2,265,632,064股增加至2,642,317,423股。公司根据《</w:t>
          </w:r>
          <w:r>
            <w:rPr>
              <w:rFonts w:hint="eastAsia"/>
              <w:szCs w:val="21"/>
            </w:rPr>
            <w:t>公开发行证券的公司信息披露编报规则第</w:t>
          </w:r>
          <w:r>
            <w:rPr>
              <w:szCs w:val="21"/>
            </w:rPr>
            <w:t>9号——净资产收益率和每股收益的计算及披露》（2010 年修订）的规定计算每股收益和每股净资产，具体金额详见“会计数据和财务指标”。</w:t>
          </w:r>
        </w:p>
        <w:p w14:paraId="37C0CBEA" w14:textId="77777777" w:rsidR="00E57DAA" w:rsidRDefault="00EB41A1">
          <w:pPr>
            <w:rPr>
              <w:szCs w:val="21"/>
            </w:rPr>
          </w:pPr>
        </w:p>
      </w:sdtContent>
    </w:sdt>
    <w:p w14:paraId="7A5B9F0E" w14:textId="77777777" w:rsidR="00E57DAA" w:rsidRDefault="00AC4185">
      <w:pPr>
        <w:pStyle w:val="4"/>
        <w:numPr>
          <w:ilvl w:val="2"/>
          <w:numId w:val="47"/>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575008471"/>
        <w:placeholder>
          <w:docPart w:val="GBC22222222222222222222222222222"/>
        </w:placeholder>
      </w:sdtPr>
      <w:sdtEndPr/>
      <w:sdtContent>
        <w:p w14:paraId="27F1CE2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7D8D27" w14:textId="77777777" w:rsidR="00E57DAA" w:rsidRDefault="00E57DAA">
      <w:pPr>
        <w:rPr>
          <w:szCs w:val="21"/>
        </w:rPr>
      </w:pPr>
    </w:p>
    <w:p w14:paraId="259CB762" w14:textId="77777777" w:rsidR="00E57DAA" w:rsidRDefault="00AC4185">
      <w:pPr>
        <w:pStyle w:val="3"/>
        <w:numPr>
          <w:ilvl w:val="1"/>
          <w:numId w:val="46"/>
        </w:numPr>
      </w:pPr>
      <w:r>
        <w:t>限售股份变动情况</w:t>
      </w:r>
    </w:p>
    <w:sdt>
      <w:sdtPr>
        <w:alias w:val="是否适用：限售股份变动情况表[双击切换]"/>
        <w:tag w:val="_GBC_c7cc39830d364bf68db1ac8777908a9e"/>
        <w:id w:val="1949496064"/>
        <w:lock w:val="contentLocked"/>
        <w:placeholder>
          <w:docPart w:val="GBC22222222222222222222222222222"/>
        </w:placeholder>
      </w:sdtPr>
      <w:sdtEndPr/>
      <w:sdtContent>
        <w:p w14:paraId="0833F68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84A3C8" w14:textId="77777777" w:rsidR="00E57DAA" w:rsidRDefault="00AC4185">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130800967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aff6"/>
        <w:tblW w:w="13862" w:type="dxa"/>
        <w:tblLook w:val="04A0" w:firstRow="1" w:lastRow="0" w:firstColumn="1" w:lastColumn="0" w:noHBand="0" w:noVBand="1"/>
      </w:tblPr>
      <w:tblGrid>
        <w:gridCol w:w="2483"/>
        <w:gridCol w:w="1481"/>
        <w:gridCol w:w="1276"/>
        <w:gridCol w:w="1418"/>
        <w:gridCol w:w="1701"/>
        <w:gridCol w:w="3969"/>
        <w:gridCol w:w="1534"/>
      </w:tblGrid>
      <w:tr w:rsidR="00E57DAA" w14:paraId="6A7A7B4D" w14:textId="77777777">
        <w:sdt>
          <w:sdtPr>
            <w:tag w:val="_PLD_c7a1e2914e714458adc9ffc59c440205"/>
            <w:id w:val="2032606250"/>
          </w:sdtPr>
          <w:sdtEndPr/>
          <w:sdtContent>
            <w:tc>
              <w:tcPr>
                <w:tcW w:w="2483" w:type="dxa"/>
                <w:vAlign w:val="center"/>
              </w:tcPr>
              <w:p w14:paraId="178BFF3C" w14:textId="77777777" w:rsidR="00E57DAA" w:rsidRDefault="00AC4185">
                <w:pPr>
                  <w:jc w:val="center"/>
                </w:pPr>
                <w:r>
                  <w:t>股东名称</w:t>
                </w:r>
              </w:p>
            </w:tc>
          </w:sdtContent>
        </w:sdt>
        <w:sdt>
          <w:sdtPr>
            <w:tag w:val="_PLD_bb0180621bd444d18234e236bd4fa08b"/>
            <w:id w:val="-848639044"/>
          </w:sdtPr>
          <w:sdtEndPr/>
          <w:sdtContent>
            <w:tc>
              <w:tcPr>
                <w:tcW w:w="1481" w:type="dxa"/>
                <w:vAlign w:val="center"/>
              </w:tcPr>
              <w:p w14:paraId="70CB5086" w14:textId="77777777" w:rsidR="00E57DAA" w:rsidRDefault="00AC4185">
                <w:pPr>
                  <w:jc w:val="center"/>
                </w:pPr>
                <w:r>
                  <w:rPr>
                    <w:rFonts w:hint="eastAsia"/>
                  </w:rPr>
                  <w:t>年</w:t>
                </w:r>
                <w:r>
                  <w:t>初限售股数</w:t>
                </w:r>
              </w:p>
            </w:tc>
          </w:sdtContent>
        </w:sdt>
        <w:sdt>
          <w:sdtPr>
            <w:tag w:val="_PLD_7b8d307040e34fe88a61e345f5c229e7"/>
            <w:id w:val="1102849086"/>
          </w:sdtPr>
          <w:sdtEndPr/>
          <w:sdtContent>
            <w:tc>
              <w:tcPr>
                <w:tcW w:w="1276" w:type="dxa"/>
                <w:vAlign w:val="center"/>
              </w:tcPr>
              <w:p w14:paraId="42DD1991" w14:textId="77777777" w:rsidR="00E57DAA" w:rsidRDefault="00AC4185">
                <w:pPr>
                  <w:jc w:val="center"/>
                </w:pPr>
                <w:r>
                  <w:rPr>
                    <w:rFonts w:hint="eastAsia"/>
                  </w:rPr>
                  <w:t>本年</w:t>
                </w:r>
                <w:r>
                  <w:t>解除限售股数</w:t>
                </w:r>
              </w:p>
            </w:tc>
          </w:sdtContent>
        </w:sdt>
        <w:sdt>
          <w:sdtPr>
            <w:tag w:val="_PLD_f494b239f14f47d2818db9a79506f1ae"/>
            <w:id w:val="-1139408293"/>
          </w:sdtPr>
          <w:sdtEndPr/>
          <w:sdtContent>
            <w:tc>
              <w:tcPr>
                <w:tcW w:w="1418" w:type="dxa"/>
                <w:vAlign w:val="center"/>
              </w:tcPr>
              <w:p w14:paraId="372AB74D" w14:textId="77777777" w:rsidR="00E57DAA" w:rsidRDefault="00AC4185">
                <w:pPr>
                  <w:jc w:val="center"/>
                </w:pPr>
                <w:r>
                  <w:rPr>
                    <w:rFonts w:hint="eastAsia"/>
                  </w:rPr>
                  <w:t>本年</w:t>
                </w:r>
                <w:r>
                  <w:t>增加限售股数</w:t>
                </w:r>
              </w:p>
            </w:tc>
          </w:sdtContent>
        </w:sdt>
        <w:sdt>
          <w:sdtPr>
            <w:tag w:val="_PLD_7f6e541d006347e7a584639c7f427833"/>
            <w:id w:val="-1427190935"/>
          </w:sdtPr>
          <w:sdtEndPr/>
          <w:sdtContent>
            <w:tc>
              <w:tcPr>
                <w:tcW w:w="1701" w:type="dxa"/>
                <w:vAlign w:val="center"/>
              </w:tcPr>
              <w:p w14:paraId="7CC6E6D3" w14:textId="77777777" w:rsidR="00E57DAA" w:rsidRDefault="00AC4185">
                <w:pPr>
                  <w:jc w:val="center"/>
                </w:pPr>
                <w:r>
                  <w:rPr>
                    <w:rFonts w:hint="eastAsia"/>
                  </w:rPr>
                  <w:t>年</w:t>
                </w:r>
                <w:r>
                  <w:t>末限售股数</w:t>
                </w:r>
              </w:p>
            </w:tc>
          </w:sdtContent>
        </w:sdt>
        <w:sdt>
          <w:sdtPr>
            <w:tag w:val="_PLD_d37fee9a3155489fbf6351ef4190eda4"/>
            <w:id w:val="-705791877"/>
          </w:sdtPr>
          <w:sdtEndPr/>
          <w:sdtContent>
            <w:tc>
              <w:tcPr>
                <w:tcW w:w="3969" w:type="dxa"/>
                <w:vAlign w:val="center"/>
              </w:tcPr>
              <w:p w14:paraId="75923565" w14:textId="77777777" w:rsidR="00E57DAA" w:rsidRDefault="00AC4185">
                <w:pPr>
                  <w:jc w:val="center"/>
                </w:pPr>
                <w:r>
                  <w:t>限售原因</w:t>
                </w:r>
              </w:p>
            </w:tc>
          </w:sdtContent>
        </w:sdt>
        <w:sdt>
          <w:sdtPr>
            <w:tag w:val="_PLD_ca5e79dfa7e44389b18b3a663f85094b"/>
            <w:id w:val="1941944492"/>
          </w:sdtPr>
          <w:sdtEndPr/>
          <w:sdtContent>
            <w:tc>
              <w:tcPr>
                <w:tcW w:w="1534" w:type="dxa"/>
                <w:vAlign w:val="center"/>
              </w:tcPr>
              <w:p w14:paraId="05175091" w14:textId="77777777" w:rsidR="00E57DAA" w:rsidRDefault="00AC4185">
                <w:pPr>
                  <w:jc w:val="center"/>
                </w:pPr>
                <w:r>
                  <w:t>解除限售日期</w:t>
                </w:r>
              </w:p>
            </w:tc>
          </w:sdtContent>
        </w:sdt>
      </w:tr>
      <w:tr w:rsidR="00E57DAA" w14:paraId="0548CA06" w14:textId="77777777">
        <w:tc>
          <w:tcPr>
            <w:tcW w:w="2483" w:type="dxa"/>
          </w:tcPr>
          <w:p w14:paraId="77D934C0" w14:textId="77777777" w:rsidR="00E57DAA" w:rsidRDefault="00AC4185" w:rsidP="00C25422">
            <w:pPr>
              <w:pStyle w:val="92"/>
            </w:pPr>
            <w:r>
              <w:t>中国建材股份有限公司</w:t>
            </w:r>
          </w:p>
        </w:tc>
        <w:tc>
          <w:tcPr>
            <w:tcW w:w="1481" w:type="dxa"/>
          </w:tcPr>
          <w:p w14:paraId="62C9ACA6" w14:textId="77777777" w:rsidR="00E57DAA" w:rsidRDefault="00AC4185">
            <w:pPr>
              <w:jc w:val="right"/>
            </w:pPr>
            <w:r>
              <w:t>385,994,184</w:t>
            </w:r>
          </w:p>
        </w:tc>
        <w:tc>
          <w:tcPr>
            <w:tcW w:w="1276" w:type="dxa"/>
          </w:tcPr>
          <w:p w14:paraId="6DF142BB" w14:textId="77777777" w:rsidR="00E57DAA" w:rsidRDefault="00AC4185">
            <w:pPr>
              <w:jc w:val="right"/>
            </w:pPr>
            <w:r>
              <w:t>0</w:t>
            </w:r>
          </w:p>
        </w:tc>
        <w:tc>
          <w:tcPr>
            <w:tcW w:w="1418" w:type="dxa"/>
          </w:tcPr>
          <w:p w14:paraId="5B99E563" w14:textId="77777777" w:rsidR="00E57DAA" w:rsidRDefault="00AC4185">
            <w:pPr>
              <w:jc w:val="right"/>
            </w:pPr>
            <w:r>
              <w:t>0</w:t>
            </w:r>
          </w:p>
        </w:tc>
        <w:tc>
          <w:tcPr>
            <w:tcW w:w="1701" w:type="dxa"/>
          </w:tcPr>
          <w:p w14:paraId="3A01DEB5" w14:textId="77777777" w:rsidR="00E57DAA" w:rsidRDefault="00AC4185">
            <w:pPr>
              <w:jc w:val="right"/>
            </w:pPr>
            <w:r>
              <w:t>385,994,184</w:t>
            </w:r>
          </w:p>
        </w:tc>
        <w:tc>
          <w:tcPr>
            <w:tcW w:w="3969" w:type="dxa"/>
          </w:tcPr>
          <w:p w14:paraId="74C99420" w14:textId="77777777" w:rsidR="00E57DAA" w:rsidRDefault="00AC4185" w:rsidP="00C25422">
            <w:pPr>
              <w:pStyle w:val="92"/>
            </w:pPr>
            <w:r>
              <w:t>因收购北京凯盛100%股权、南京凯盛98%股权、中材矿山100%股权而取得的股份自发行结束之日起36个月内不得转让；在此之后将按中国证监会及上海交易所的有关规定执行。</w:t>
            </w:r>
          </w:p>
        </w:tc>
        <w:tc>
          <w:tcPr>
            <w:tcW w:w="1534" w:type="dxa"/>
          </w:tcPr>
          <w:p w14:paraId="74448FAD" w14:textId="77777777" w:rsidR="00E57DAA" w:rsidRDefault="00AC4185" w:rsidP="00C25422">
            <w:pPr>
              <w:pStyle w:val="92"/>
            </w:pPr>
            <w:r>
              <w:t>2024-10-29</w:t>
            </w:r>
          </w:p>
        </w:tc>
      </w:tr>
      <w:tr w:rsidR="00E57DAA" w14:paraId="05CF68F7" w14:textId="77777777">
        <w:tc>
          <w:tcPr>
            <w:tcW w:w="2483" w:type="dxa"/>
            <w:vMerge w:val="restart"/>
          </w:tcPr>
          <w:p w14:paraId="547B0A7E" w14:textId="77777777" w:rsidR="00E57DAA" w:rsidRDefault="00AC4185" w:rsidP="00C25422">
            <w:pPr>
              <w:pStyle w:val="92"/>
            </w:pPr>
            <w:r>
              <w:rPr>
                <w:rFonts w:hint="eastAsia"/>
              </w:rPr>
              <w:t>中国建筑材料科学研究总</w:t>
            </w:r>
            <w:r>
              <w:rPr>
                <w:rFonts w:hint="eastAsia"/>
              </w:rPr>
              <w:lastRenderedPageBreak/>
              <w:t>院有限公司</w:t>
            </w:r>
          </w:p>
        </w:tc>
        <w:tc>
          <w:tcPr>
            <w:tcW w:w="1481" w:type="dxa"/>
          </w:tcPr>
          <w:p w14:paraId="0F4E541A" w14:textId="77777777" w:rsidR="00E57DAA" w:rsidRDefault="00AC4185">
            <w:pPr>
              <w:jc w:val="right"/>
            </w:pPr>
            <w:r>
              <w:lastRenderedPageBreak/>
              <w:t>45,245,186</w:t>
            </w:r>
          </w:p>
        </w:tc>
        <w:tc>
          <w:tcPr>
            <w:tcW w:w="1276" w:type="dxa"/>
          </w:tcPr>
          <w:p w14:paraId="4AFD1222" w14:textId="77777777" w:rsidR="00E57DAA" w:rsidRDefault="00AC4185">
            <w:pPr>
              <w:jc w:val="right"/>
            </w:pPr>
            <w:r>
              <w:rPr>
                <w:rFonts w:hint="eastAsia"/>
              </w:rPr>
              <w:t>0</w:t>
            </w:r>
          </w:p>
        </w:tc>
        <w:tc>
          <w:tcPr>
            <w:tcW w:w="1418" w:type="dxa"/>
          </w:tcPr>
          <w:p w14:paraId="69AD6E07" w14:textId="77777777" w:rsidR="00E57DAA" w:rsidRDefault="00AC4185">
            <w:pPr>
              <w:jc w:val="right"/>
            </w:pPr>
            <w:r>
              <w:rPr>
                <w:rFonts w:hint="eastAsia"/>
              </w:rPr>
              <w:t>0</w:t>
            </w:r>
          </w:p>
        </w:tc>
        <w:tc>
          <w:tcPr>
            <w:tcW w:w="1701" w:type="dxa"/>
          </w:tcPr>
          <w:p w14:paraId="3D62EDEA" w14:textId="77777777" w:rsidR="00E57DAA" w:rsidRDefault="00AC4185">
            <w:pPr>
              <w:jc w:val="right"/>
            </w:pPr>
            <w:r>
              <w:t>45,245,186</w:t>
            </w:r>
          </w:p>
        </w:tc>
        <w:tc>
          <w:tcPr>
            <w:tcW w:w="3969" w:type="dxa"/>
          </w:tcPr>
          <w:p w14:paraId="174E0F04" w14:textId="77777777" w:rsidR="00E57DAA" w:rsidRDefault="00AC4185" w:rsidP="00C25422">
            <w:pPr>
              <w:pStyle w:val="92"/>
            </w:pPr>
            <w:r>
              <w:rPr>
                <w:rFonts w:hint="eastAsia"/>
              </w:rPr>
              <w:t>同上</w:t>
            </w:r>
          </w:p>
        </w:tc>
        <w:tc>
          <w:tcPr>
            <w:tcW w:w="1534" w:type="dxa"/>
          </w:tcPr>
          <w:p w14:paraId="28A2BA3C" w14:textId="77777777" w:rsidR="00E57DAA" w:rsidRDefault="00AC4185" w:rsidP="00C25422">
            <w:pPr>
              <w:pStyle w:val="92"/>
            </w:pPr>
            <w:r>
              <w:t>2024-10-29</w:t>
            </w:r>
          </w:p>
        </w:tc>
      </w:tr>
      <w:tr w:rsidR="00E57DAA" w14:paraId="6298FFD7" w14:textId="77777777">
        <w:tc>
          <w:tcPr>
            <w:tcW w:w="2483" w:type="dxa"/>
            <w:vMerge/>
          </w:tcPr>
          <w:p w14:paraId="00FA850E" w14:textId="77777777" w:rsidR="00E57DAA" w:rsidRDefault="00E57DAA" w:rsidP="00C25422">
            <w:pPr>
              <w:pStyle w:val="92"/>
            </w:pPr>
          </w:p>
        </w:tc>
        <w:tc>
          <w:tcPr>
            <w:tcW w:w="1481" w:type="dxa"/>
          </w:tcPr>
          <w:p w14:paraId="25CF1BD7" w14:textId="77777777" w:rsidR="00E57DAA" w:rsidRDefault="00AC4185">
            <w:pPr>
              <w:jc w:val="right"/>
            </w:pPr>
            <w:r>
              <w:rPr>
                <w:rFonts w:hint="eastAsia"/>
              </w:rPr>
              <w:t>0</w:t>
            </w:r>
          </w:p>
        </w:tc>
        <w:tc>
          <w:tcPr>
            <w:tcW w:w="1276" w:type="dxa"/>
          </w:tcPr>
          <w:p w14:paraId="156BD1F7" w14:textId="77777777" w:rsidR="00E57DAA" w:rsidRDefault="00AC4185">
            <w:pPr>
              <w:jc w:val="right"/>
            </w:pPr>
            <w:r>
              <w:rPr>
                <w:rFonts w:hint="eastAsia"/>
              </w:rPr>
              <w:t>0</w:t>
            </w:r>
          </w:p>
        </w:tc>
        <w:tc>
          <w:tcPr>
            <w:tcW w:w="1418" w:type="dxa"/>
          </w:tcPr>
          <w:p w14:paraId="64629AF3" w14:textId="77777777" w:rsidR="00E57DAA" w:rsidRDefault="00AC4185">
            <w:pPr>
              <w:jc w:val="right"/>
            </w:pPr>
            <w:r>
              <w:t>366,878,106</w:t>
            </w:r>
          </w:p>
        </w:tc>
        <w:tc>
          <w:tcPr>
            <w:tcW w:w="1701" w:type="dxa"/>
          </w:tcPr>
          <w:p w14:paraId="35DF56E6" w14:textId="77777777" w:rsidR="00E57DAA" w:rsidRDefault="00AC4185">
            <w:pPr>
              <w:jc w:val="right"/>
            </w:pPr>
            <w:r>
              <w:t>366,878,106</w:t>
            </w:r>
          </w:p>
        </w:tc>
        <w:tc>
          <w:tcPr>
            <w:tcW w:w="3969" w:type="dxa"/>
          </w:tcPr>
          <w:p w14:paraId="54158607" w14:textId="77777777" w:rsidR="00E57DAA" w:rsidRDefault="00AC4185" w:rsidP="00C25422">
            <w:pPr>
              <w:pStyle w:val="92"/>
            </w:pPr>
            <w:r>
              <w:rPr>
                <w:rFonts w:hint="eastAsia"/>
              </w:rPr>
              <w:t>因收购合肥院</w:t>
            </w:r>
            <w:r>
              <w:t>100%股权而取得的股份自股份发行结束之日起 36 个月内不得转让</w:t>
            </w:r>
            <w:r>
              <w:rPr>
                <w:rFonts w:hint="eastAsia"/>
              </w:rPr>
              <w:t>；在此之后将按中国证监会及上海交易所的有关规定执行。</w:t>
            </w:r>
          </w:p>
        </w:tc>
        <w:tc>
          <w:tcPr>
            <w:tcW w:w="1534" w:type="dxa"/>
          </w:tcPr>
          <w:p w14:paraId="58C39787" w14:textId="77777777" w:rsidR="00E57DAA" w:rsidRDefault="00AC4185" w:rsidP="00C25422">
            <w:pPr>
              <w:pStyle w:val="92"/>
            </w:pPr>
            <w:r>
              <w:t>2026-03-02</w:t>
            </w:r>
          </w:p>
        </w:tc>
      </w:tr>
      <w:tr w:rsidR="00E57DAA" w14:paraId="037D8480" w14:textId="77777777">
        <w:tc>
          <w:tcPr>
            <w:tcW w:w="2483" w:type="dxa"/>
          </w:tcPr>
          <w:p w14:paraId="229BC73B" w14:textId="77777777" w:rsidR="00E57DAA" w:rsidRDefault="00AC4185" w:rsidP="00C25422">
            <w:pPr>
              <w:pStyle w:val="92"/>
            </w:pPr>
            <w:r>
              <w:rPr>
                <w:rFonts w:hint="eastAsia"/>
              </w:rPr>
              <w:t>中国建材国际工程集团有限公司</w:t>
            </w:r>
          </w:p>
        </w:tc>
        <w:tc>
          <w:tcPr>
            <w:tcW w:w="1481" w:type="dxa"/>
          </w:tcPr>
          <w:p w14:paraId="4D36DA08" w14:textId="77777777" w:rsidR="00E57DAA" w:rsidRDefault="00AC4185">
            <w:pPr>
              <w:jc w:val="right"/>
            </w:pPr>
            <w:r>
              <w:t>45,245,186</w:t>
            </w:r>
          </w:p>
        </w:tc>
        <w:tc>
          <w:tcPr>
            <w:tcW w:w="1276" w:type="dxa"/>
          </w:tcPr>
          <w:p w14:paraId="4C573634" w14:textId="77777777" w:rsidR="00E57DAA" w:rsidRDefault="00AC4185">
            <w:pPr>
              <w:jc w:val="right"/>
            </w:pPr>
            <w:r>
              <w:rPr>
                <w:rFonts w:hint="eastAsia"/>
              </w:rPr>
              <w:t>0</w:t>
            </w:r>
          </w:p>
        </w:tc>
        <w:tc>
          <w:tcPr>
            <w:tcW w:w="1418" w:type="dxa"/>
          </w:tcPr>
          <w:p w14:paraId="48C745CD" w14:textId="77777777" w:rsidR="00E57DAA" w:rsidRDefault="00AC4185">
            <w:pPr>
              <w:jc w:val="right"/>
            </w:pPr>
            <w:r>
              <w:rPr>
                <w:rFonts w:hint="eastAsia"/>
              </w:rPr>
              <w:t>0</w:t>
            </w:r>
          </w:p>
        </w:tc>
        <w:tc>
          <w:tcPr>
            <w:tcW w:w="1701" w:type="dxa"/>
          </w:tcPr>
          <w:p w14:paraId="1FCDAC4E" w14:textId="77777777" w:rsidR="00E57DAA" w:rsidRDefault="00AC4185">
            <w:pPr>
              <w:jc w:val="right"/>
            </w:pPr>
            <w:r>
              <w:t>45,245,186</w:t>
            </w:r>
          </w:p>
        </w:tc>
        <w:tc>
          <w:tcPr>
            <w:tcW w:w="3969" w:type="dxa"/>
          </w:tcPr>
          <w:p w14:paraId="3057F637" w14:textId="77777777" w:rsidR="00E57DAA" w:rsidRDefault="00AC4185" w:rsidP="00C25422">
            <w:pPr>
              <w:pStyle w:val="92"/>
            </w:pPr>
            <w:r>
              <w:rPr>
                <w:rFonts w:hint="eastAsia"/>
              </w:rPr>
              <w:t>因收购北京凯盛</w:t>
            </w:r>
            <w:r>
              <w:t>100%股权、南京凯盛98%股权、中材矿山100%股权而取得的股份自发行结束之日起36个月内不得转让；在此之后将按中国证监会及上海交易所的有关规定执行。</w:t>
            </w:r>
          </w:p>
        </w:tc>
        <w:tc>
          <w:tcPr>
            <w:tcW w:w="1534" w:type="dxa"/>
          </w:tcPr>
          <w:p w14:paraId="398D7991" w14:textId="77777777" w:rsidR="00E57DAA" w:rsidRDefault="00AC4185" w:rsidP="00C25422">
            <w:pPr>
              <w:pStyle w:val="92"/>
            </w:pPr>
            <w:r>
              <w:t>2024-10-29</w:t>
            </w:r>
          </w:p>
        </w:tc>
      </w:tr>
      <w:tr w:rsidR="00E57DAA" w14:paraId="70092F30" w14:textId="77777777">
        <w:tc>
          <w:tcPr>
            <w:tcW w:w="2483" w:type="dxa"/>
          </w:tcPr>
          <w:p w14:paraId="0150C74B" w14:textId="77777777" w:rsidR="00E57DAA" w:rsidRDefault="00AC4185">
            <w:pPr>
              <w:rPr>
                <w:rFonts w:ascii="Times New Roman" w:hAnsi="Times New Roman"/>
              </w:rPr>
            </w:pPr>
            <w:r>
              <w:rPr>
                <w:rFonts w:ascii="Times New Roman" w:hAnsi="Times New Roman" w:cstheme="minorBidi"/>
                <w:kern w:val="2"/>
                <w:szCs w:val="22"/>
              </w:rPr>
              <w:t>2021</w:t>
            </w:r>
            <w:r>
              <w:rPr>
                <w:rFonts w:ascii="Times New Roman" w:hAnsi="Times New Roman" w:cstheme="minorBidi"/>
                <w:kern w:val="2"/>
                <w:szCs w:val="22"/>
              </w:rPr>
              <w:t>年限制性股票激励计划首次授予激励对象</w:t>
            </w:r>
          </w:p>
        </w:tc>
        <w:tc>
          <w:tcPr>
            <w:tcW w:w="1481" w:type="dxa"/>
          </w:tcPr>
          <w:p w14:paraId="12FA42D8" w14:textId="77777777" w:rsidR="00E57DAA" w:rsidRDefault="00AC4185">
            <w:pPr>
              <w:jc w:val="right"/>
            </w:pPr>
            <w:r>
              <w:t>46,549,115</w:t>
            </w:r>
          </w:p>
        </w:tc>
        <w:tc>
          <w:tcPr>
            <w:tcW w:w="1276" w:type="dxa"/>
          </w:tcPr>
          <w:p w14:paraId="25E30D99" w14:textId="77777777" w:rsidR="00E57DAA" w:rsidRDefault="00AC4185">
            <w:pPr>
              <w:jc w:val="right"/>
            </w:pPr>
            <w:r>
              <w:rPr>
                <w:rFonts w:hint="eastAsia"/>
              </w:rPr>
              <w:t>0</w:t>
            </w:r>
          </w:p>
        </w:tc>
        <w:tc>
          <w:tcPr>
            <w:tcW w:w="1418" w:type="dxa"/>
          </w:tcPr>
          <w:p w14:paraId="128D5D3F" w14:textId="77777777" w:rsidR="00E57DAA" w:rsidRDefault="00AC4185">
            <w:pPr>
              <w:jc w:val="right"/>
            </w:pPr>
            <w:r>
              <w:rPr>
                <w:rFonts w:hint="eastAsia"/>
              </w:rPr>
              <w:t>0</w:t>
            </w:r>
          </w:p>
        </w:tc>
        <w:tc>
          <w:tcPr>
            <w:tcW w:w="1701" w:type="dxa"/>
          </w:tcPr>
          <w:p w14:paraId="543EEDA0" w14:textId="77777777" w:rsidR="00E57DAA" w:rsidRDefault="00AC4185">
            <w:pPr>
              <w:jc w:val="right"/>
            </w:pPr>
            <w:r>
              <w:t>46,549,115</w:t>
            </w:r>
          </w:p>
        </w:tc>
        <w:tc>
          <w:tcPr>
            <w:tcW w:w="3969" w:type="dxa"/>
          </w:tcPr>
          <w:p w14:paraId="0D2EEA02" w14:textId="77777777" w:rsidR="00E57DAA" w:rsidRDefault="00AC4185" w:rsidP="00C25422">
            <w:pPr>
              <w:pStyle w:val="92"/>
            </w:pPr>
            <w:r>
              <w:t>股权激励限售期</w:t>
            </w:r>
          </w:p>
        </w:tc>
        <w:tc>
          <w:tcPr>
            <w:tcW w:w="1534" w:type="dxa"/>
          </w:tcPr>
          <w:p w14:paraId="5BD40679" w14:textId="77777777" w:rsidR="00E57DAA" w:rsidRDefault="00AC4185" w:rsidP="00C25422">
            <w:pPr>
              <w:pStyle w:val="92"/>
            </w:pPr>
            <w:r>
              <w:t>按激励计划要求分批次解除限售</w:t>
            </w:r>
          </w:p>
        </w:tc>
      </w:tr>
      <w:tr w:rsidR="00E57DAA" w14:paraId="2B484F7A" w14:textId="77777777">
        <w:tc>
          <w:tcPr>
            <w:tcW w:w="2483" w:type="dxa"/>
          </w:tcPr>
          <w:p w14:paraId="2B643F79" w14:textId="77777777" w:rsidR="00E57DAA" w:rsidRDefault="00AC4185">
            <w:pPr>
              <w:rPr>
                <w:rFonts w:ascii="Times New Roman" w:hAnsi="Times New Roman"/>
              </w:rPr>
            </w:pPr>
            <w:r>
              <w:rPr>
                <w:rFonts w:ascii="Times New Roman" w:hAnsi="Times New Roman" w:cstheme="minorBidi"/>
                <w:kern w:val="2"/>
                <w:szCs w:val="22"/>
              </w:rPr>
              <w:t>2021</w:t>
            </w:r>
            <w:r>
              <w:rPr>
                <w:rFonts w:ascii="Times New Roman" w:hAnsi="Times New Roman" w:cstheme="minorBidi"/>
                <w:kern w:val="2"/>
                <w:szCs w:val="22"/>
              </w:rPr>
              <w:t>年限制性股票激励计划</w:t>
            </w:r>
            <w:r>
              <w:rPr>
                <w:rFonts w:ascii="Times New Roman" w:hAnsi="Times New Roman" w:cstheme="minorBidi" w:hint="eastAsia"/>
                <w:kern w:val="2"/>
                <w:szCs w:val="22"/>
              </w:rPr>
              <w:t>预留</w:t>
            </w:r>
            <w:r>
              <w:rPr>
                <w:rFonts w:ascii="Times New Roman" w:hAnsi="Times New Roman" w:cstheme="minorBidi"/>
                <w:kern w:val="2"/>
                <w:szCs w:val="22"/>
              </w:rPr>
              <w:t>授予激励对象</w:t>
            </w:r>
          </w:p>
        </w:tc>
        <w:tc>
          <w:tcPr>
            <w:tcW w:w="1481" w:type="dxa"/>
          </w:tcPr>
          <w:p w14:paraId="3FE3C253" w14:textId="77777777" w:rsidR="00E57DAA" w:rsidRDefault="00AC4185">
            <w:pPr>
              <w:jc w:val="right"/>
            </w:pPr>
            <w:r>
              <w:rPr>
                <w:rFonts w:hint="eastAsia"/>
              </w:rPr>
              <w:t>0</w:t>
            </w:r>
          </w:p>
        </w:tc>
        <w:tc>
          <w:tcPr>
            <w:tcW w:w="1276" w:type="dxa"/>
          </w:tcPr>
          <w:p w14:paraId="1FA2BAED" w14:textId="77777777" w:rsidR="00E57DAA" w:rsidRDefault="00AC4185">
            <w:pPr>
              <w:jc w:val="right"/>
            </w:pPr>
            <w:r>
              <w:rPr>
                <w:rFonts w:hint="eastAsia"/>
              </w:rPr>
              <w:t>0</w:t>
            </w:r>
          </w:p>
        </w:tc>
        <w:tc>
          <w:tcPr>
            <w:tcW w:w="1418" w:type="dxa"/>
          </w:tcPr>
          <w:p w14:paraId="40E9E898" w14:textId="77777777" w:rsidR="00E57DAA" w:rsidRDefault="00AC4185">
            <w:pPr>
              <w:jc w:val="right"/>
            </w:pPr>
            <w:r>
              <w:t>9,807,253</w:t>
            </w:r>
          </w:p>
        </w:tc>
        <w:tc>
          <w:tcPr>
            <w:tcW w:w="1701" w:type="dxa"/>
          </w:tcPr>
          <w:p w14:paraId="688CE888" w14:textId="77777777" w:rsidR="00E57DAA" w:rsidRDefault="00AC4185">
            <w:pPr>
              <w:jc w:val="right"/>
            </w:pPr>
            <w:r>
              <w:t>9,807,253</w:t>
            </w:r>
          </w:p>
        </w:tc>
        <w:tc>
          <w:tcPr>
            <w:tcW w:w="3969" w:type="dxa"/>
          </w:tcPr>
          <w:p w14:paraId="00C19708" w14:textId="77777777" w:rsidR="00E57DAA" w:rsidRDefault="00AC4185" w:rsidP="00C25422">
            <w:pPr>
              <w:pStyle w:val="92"/>
            </w:pPr>
            <w:r>
              <w:rPr>
                <w:rFonts w:hint="eastAsia"/>
              </w:rPr>
              <w:t>同上</w:t>
            </w:r>
          </w:p>
        </w:tc>
        <w:tc>
          <w:tcPr>
            <w:tcW w:w="1534" w:type="dxa"/>
          </w:tcPr>
          <w:p w14:paraId="1DCBB76B" w14:textId="77777777" w:rsidR="00E57DAA" w:rsidRDefault="00AC4185" w:rsidP="00C25422">
            <w:pPr>
              <w:pStyle w:val="92"/>
            </w:pPr>
            <w:r>
              <w:rPr>
                <w:rFonts w:hint="eastAsia"/>
              </w:rPr>
              <w:t>同上</w:t>
            </w:r>
          </w:p>
        </w:tc>
      </w:tr>
      <w:tr w:rsidR="00E57DAA" w14:paraId="7D887A4E" w14:textId="77777777">
        <w:tc>
          <w:tcPr>
            <w:tcW w:w="2483" w:type="dxa"/>
            <w:vAlign w:val="center"/>
          </w:tcPr>
          <w:p w14:paraId="101DC4DE" w14:textId="77777777" w:rsidR="00E57DAA" w:rsidRDefault="00AC4185">
            <w:pPr>
              <w:jc w:val="center"/>
            </w:pPr>
            <w:r>
              <w:t>合计</w:t>
            </w:r>
          </w:p>
        </w:tc>
        <w:tc>
          <w:tcPr>
            <w:tcW w:w="1481" w:type="dxa"/>
          </w:tcPr>
          <w:p w14:paraId="611623B1" w14:textId="77777777" w:rsidR="00E57DAA" w:rsidRDefault="00AC4185">
            <w:pPr>
              <w:jc w:val="right"/>
            </w:pPr>
            <w:r>
              <w:t>523,033,671</w:t>
            </w:r>
          </w:p>
        </w:tc>
        <w:tc>
          <w:tcPr>
            <w:tcW w:w="1276" w:type="dxa"/>
          </w:tcPr>
          <w:p w14:paraId="296437D9" w14:textId="77777777" w:rsidR="00E57DAA" w:rsidRDefault="00AC4185">
            <w:pPr>
              <w:jc w:val="right"/>
            </w:pPr>
            <w:r>
              <w:rPr>
                <w:rFonts w:hint="eastAsia"/>
              </w:rPr>
              <w:t>0</w:t>
            </w:r>
          </w:p>
        </w:tc>
        <w:tc>
          <w:tcPr>
            <w:tcW w:w="1418" w:type="dxa"/>
          </w:tcPr>
          <w:p w14:paraId="04BF4944" w14:textId="77777777" w:rsidR="00E57DAA" w:rsidRDefault="00AC4185">
            <w:pPr>
              <w:jc w:val="right"/>
            </w:pPr>
            <w:r>
              <w:t>376,685,359</w:t>
            </w:r>
          </w:p>
        </w:tc>
        <w:tc>
          <w:tcPr>
            <w:tcW w:w="1701" w:type="dxa"/>
          </w:tcPr>
          <w:p w14:paraId="396A697B" w14:textId="77777777" w:rsidR="00E57DAA" w:rsidRDefault="00AC4185">
            <w:pPr>
              <w:jc w:val="right"/>
            </w:pPr>
            <w:r>
              <w:t>899,719,030</w:t>
            </w:r>
          </w:p>
        </w:tc>
        <w:tc>
          <w:tcPr>
            <w:tcW w:w="3969" w:type="dxa"/>
          </w:tcPr>
          <w:p w14:paraId="425D5ADE" w14:textId="77777777" w:rsidR="00E57DAA" w:rsidRDefault="00AC4185">
            <w:pPr>
              <w:jc w:val="center"/>
            </w:pPr>
            <w:r>
              <w:rPr>
                <w:rFonts w:hint="eastAsia"/>
              </w:rPr>
              <w:t>/</w:t>
            </w:r>
          </w:p>
        </w:tc>
        <w:tc>
          <w:tcPr>
            <w:tcW w:w="1534" w:type="dxa"/>
          </w:tcPr>
          <w:p w14:paraId="1273BF8F" w14:textId="77777777" w:rsidR="00E57DAA" w:rsidRDefault="00AC4185">
            <w:pPr>
              <w:jc w:val="center"/>
            </w:pPr>
            <w:r>
              <w:rPr>
                <w:rFonts w:hint="eastAsia"/>
              </w:rPr>
              <w:t>/</w:t>
            </w:r>
          </w:p>
        </w:tc>
      </w:tr>
    </w:tbl>
    <w:p w14:paraId="77C90CBA" w14:textId="77777777" w:rsidR="00E57DAA" w:rsidRDefault="00E57DAA">
      <w:pPr>
        <w:rPr>
          <w:rFonts w:ascii="Times New Roman" w:hAnsi="Times New Roman"/>
        </w:rPr>
      </w:pPr>
    </w:p>
    <w:p w14:paraId="76FA284A" w14:textId="77777777" w:rsidR="00E57DAA" w:rsidRDefault="00AC4185">
      <w:pPr>
        <w:rPr>
          <w:rFonts w:ascii="Times New Roman" w:hAnsi="Times New Roman"/>
        </w:rPr>
      </w:pPr>
      <w:r>
        <w:rPr>
          <w:rFonts w:ascii="Times New Roman" w:hAnsi="Times New Roman"/>
        </w:rPr>
        <w:t>2021</w:t>
      </w:r>
      <w:r>
        <w:rPr>
          <w:rFonts w:ascii="Times New Roman" w:hAnsi="Times New Roman"/>
        </w:rPr>
        <w:t>年限制性股票激励计划</w:t>
      </w:r>
      <w:r>
        <w:rPr>
          <w:rFonts w:ascii="Times New Roman" w:hAnsi="Times New Roman" w:hint="eastAsia"/>
        </w:rPr>
        <w:t>首次授予的限制性股票的解除限售期及各期解除限售时间安排：</w:t>
      </w:r>
    </w:p>
    <w:tbl>
      <w:tblPr>
        <w:tblStyle w:val="g4"/>
        <w:tblW w:w="13912" w:type="dxa"/>
        <w:tblLayout w:type="fixed"/>
        <w:tblLook w:val="04A0" w:firstRow="1" w:lastRow="0" w:firstColumn="1" w:lastColumn="0" w:noHBand="0" w:noVBand="1"/>
      </w:tblPr>
      <w:tblGrid>
        <w:gridCol w:w="3831"/>
        <w:gridCol w:w="6264"/>
        <w:gridCol w:w="3817"/>
      </w:tblGrid>
      <w:tr w:rsidR="00E57DAA" w14:paraId="12A6A373" w14:textId="77777777">
        <w:trPr>
          <w:trHeight w:val="293"/>
        </w:trPr>
        <w:tc>
          <w:tcPr>
            <w:tcW w:w="3831" w:type="dxa"/>
            <w:tcBorders>
              <w:top w:val="single" w:sz="4" w:space="0" w:color="auto"/>
              <w:left w:val="single" w:sz="4" w:space="0" w:color="auto"/>
              <w:bottom w:val="single" w:sz="4" w:space="0" w:color="auto"/>
              <w:right w:val="single" w:sz="4" w:space="0" w:color="auto"/>
            </w:tcBorders>
          </w:tcPr>
          <w:p w14:paraId="75E88E4C" w14:textId="77777777" w:rsidR="00E57DAA" w:rsidRDefault="00AC4185">
            <w:pPr>
              <w:jc w:val="center"/>
              <w:rPr>
                <w:rFonts w:ascii="Times New Roman" w:hAnsi="Times New Roman"/>
              </w:rPr>
            </w:pPr>
            <w:r>
              <w:rPr>
                <w:rFonts w:ascii="Times New Roman" w:hAnsi="Times New Roman" w:hint="eastAsia"/>
              </w:rPr>
              <w:t>解除限售期</w:t>
            </w:r>
          </w:p>
        </w:tc>
        <w:tc>
          <w:tcPr>
            <w:tcW w:w="6264" w:type="dxa"/>
            <w:tcBorders>
              <w:top w:val="single" w:sz="4" w:space="0" w:color="auto"/>
              <w:left w:val="single" w:sz="4" w:space="0" w:color="auto"/>
              <w:bottom w:val="single" w:sz="4" w:space="0" w:color="auto"/>
              <w:right w:val="single" w:sz="4" w:space="0" w:color="auto"/>
            </w:tcBorders>
          </w:tcPr>
          <w:p w14:paraId="75A7FDB4" w14:textId="77777777" w:rsidR="00E57DAA" w:rsidRDefault="00AC4185">
            <w:pPr>
              <w:jc w:val="center"/>
              <w:rPr>
                <w:rFonts w:ascii="Times New Roman" w:hAnsi="Times New Roman"/>
              </w:rPr>
            </w:pPr>
            <w:r>
              <w:rPr>
                <w:rFonts w:ascii="Times New Roman" w:hAnsi="Times New Roman" w:hint="eastAsia"/>
              </w:rPr>
              <w:t>解除限售时间</w:t>
            </w:r>
          </w:p>
        </w:tc>
        <w:tc>
          <w:tcPr>
            <w:tcW w:w="3817" w:type="dxa"/>
            <w:tcBorders>
              <w:top w:val="single" w:sz="4" w:space="0" w:color="auto"/>
              <w:left w:val="single" w:sz="4" w:space="0" w:color="auto"/>
              <w:bottom w:val="single" w:sz="4" w:space="0" w:color="auto"/>
              <w:right w:val="single" w:sz="4" w:space="0" w:color="auto"/>
            </w:tcBorders>
          </w:tcPr>
          <w:p w14:paraId="48BCEB96" w14:textId="77777777" w:rsidR="00E57DAA" w:rsidRDefault="00AC4185">
            <w:pPr>
              <w:jc w:val="center"/>
              <w:rPr>
                <w:rFonts w:ascii="Times New Roman" w:hAnsi="Times New Roman"/>
              </w:rPr>
            </w:pPr>
            <w:r>
              <w:rPr>
                <w:rFonts w:ascii="Times New Roman" w:hAnsi="Times New Roman" w:hint="eastAsia"/>
              </w:rPr>
              <w:t>可解除限售数量占获授权益数量比例</w:t>
            </w:r>
          </w:p>
        </w:tc>
      </w:tr>
      <w:tr w:rsidR="00E57DAA" w14:paraId="7C818FDD" w14:textId="77777777">
        <w:trPr>
          <w:trHeight w:val="579"/>
        </w:trPr>
        <w:tc>
          <w:tcPr>
            <w:tcW w:w="3831" w:type="dxa"/>
            <w:tcBorders>
              <w:top w:val="single" w:sz="4" w:space="0" w:color="auto"/>
              <w:left w:val="single" w:sz="4" w:space="0" w:color="auto"/>
              <w:bottom w:val="single" w:sz="4" w:space="0" w:color="auto"/>
              <w:right w:val="single" w:sz="4" w:space="0" w:color="auto"/>
            </w:tcBorders>
            <w:vAlign w:val="center"/>
          </w:tcPr>
          <w:p w14:paraId="1DD930F8" w14:textId="77777777" w:rsidR="00E57DAA" w:rsidRDefault="00AC4185">
            <w:pPr>
              <w:spacing w:line="276" w:lineRule="auto"/>
              <w:jc w:val="center"/>
              <w:rPr>
                <w:rFonts w:ascii="Times New Roman" w:hAnsi="Times New Roman"/>
              </w:rPr>
            </w:pPr>
            <w:r>
              <w:rPr>
                <w:rFonts w:ascii="Times New Roman" w:hAnsi="Times New Roman" w:hint="eastAsia"/>
              </w:rPr>
              <w:t>首次授予第一个解除限售期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30386ACB" w14:textId="77777777" w:rsidR="00E57DAA" w:rsidRDefault="00AC4185">
            <w:pPr>
              <w:spacing w:line="276" w:lineRule="auto"/>
              <w:rPr>
                <w:rFonts w:ascii="Times New Roman" w:hAnsi="Times New Roman"/>
                <w:bCs/>
              </w:rPr>
            </w:pPr>
            <w:r>
              <w:rPr>
                <w:rFonts w:ascii="Times New Roman" w:hAnsi="Times New Roman" w:hint="eastAsia"/>
              </w:rPr>
              <w:t>自首次授予完成登记之日起</w:t>
            </w:r>
            <w:r>
              <w:rPr>
                <w:rFonts w:ascii="Times New Roman" w:hAnsi="Times New Roman"/>
              </w:rPr>
              <w:t>24</w:t>
            </w:r>
            <w:r>
              <w:rPr>
                <w:rFonts w:ascii="Times New Roman" w:hAnsi="Times New Roman" w:hint="eastAsia"/>
              </w:rPr>
              <w:t>个月后的首个交易日起至首次授予完成登记之日起</w:t>
            </w:r>
            <w:r>
              <w:rPr>
                <w:rFonts w:ascii="Times New Roman" w:hAnsi="Times New Roman"/>
              </w:rPr>
              <w:t>36</w:t>
            </w:r>
            <w:r>
              <w:rPr>
                <w:rFonts w:ascii="Times New Roman" w:hAnsi="Times New Roman"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tcPr>
          <w:p w14:paraId="7F65B945" w14:textId="77777777" w:rsidR="00E57DAA" w:rsidRDefault="00AC4185">
            <w:pPr>
              <w:jc w:val="center"/>
              <w:rPr>
                <w:rFonts w:ascii="Times New Roman" w:hAnsi="Times New Roman" w:cs="Times New Roman"/>
                <w:kern w:val="2"/>
              </w:rPr>
            </w:pPr>
            <w:r>
              <w:rPr>
                <w:rFonts w:ascii="Times New Roman" w:hAnsi="Times New Roman" w:cs="Times New Roman"/>
                <w:kern w:val="2"/>
              </w:rPr>
              <w:t>33%</w:t>
            </w:r>
          </w:p>
        </w:tc>
      </w:tr>
      <w:tr w:rsidR="00E57DAA" w14:paraId="3862B1D6" w14:textId="77777777">
        <w:trPr>
          <w:trHeight w:val="543"/>
        </w:trPr>
        <w:tc>
          <w:tcPr>
            <w:tcW w:w="3831" w:type="dxa"/>
            <w:tcBorders>
              <w:top w:val="single" w:sz="4" w:space="0" w:color="auto"/>
              <w:left w:val="single" w:sz="4" w:space="0" w:color="auto"/>
              <w:bottom w:val="single" w:sz="4" w:space="0" w:color="auto"/>
              <w:right w:val="single" w:sz="4" w:space="0" w:color="auto"/>
            </w:tcBorders>
            <w:vAlign w:val="center"/>
          </w:tcPr>
          <w:p w14:paraId="1178FE9C" w14:textId="77777777" w:rsidR="00E57DAA" w:rsidRDefault="00AC4185">
            <w:pPr>
              <w:spacing w:line="276" w:lineRule="auto"/>
              <w:jc w:val="center"/>
              <w:rPr>
                <w:rFonts w:ascii="Times New Roman" w:hAnsi="Times New Roman"/>
              </w:rPr>
            </w:pPr>
            <w:r>
              <w:rPr>
                <w:rFonts w:ascii="Times New Roman" w:hAnsi="Times New Roman" w:hint="eastAsia"/>
              </w:rPr>
              <w:t>首次授予第二个解除限售期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69CC5ABF" w14:textId="77777777" w:rsidR="00E57DAA" w:rsidRDefault="00AC4185">
            <w:pPr>
              <w:spacing w:line="276" w:lineRule="auto"/>
              <w:rPr>
                <w:rFonts w:ascii="Times New Roman" w:hAnsi="Times New Roman"/>
                <w:bCs/>
              </w:rPr>
            </w:pPr>
            <w:r>
              <w:rPr>
                <w:rFonts w:ascii="Times New Roman" w:hAnsi="Times New Roman" w:hint="eastAsia"/>
              </w:rPr>
              <w:t>自首次授予完成登记之日起</w:t>
            </w:r>
            <w:r>
              <w:rPr>
                <w:rFonts w:ascii="Times New Roman" w:hAnsi="Times New Roman" w:hint="eastAsia"/>
              </w:rPr>
              <w:t>36</w:t>
            </w:r>
            <w:r>
              <w:rPr>
                <w:rFonts w:ascii="Times New Roman" w:hAnsi="Times New Roman" w:hint="eastAsia"/>
              </w:rPr>
              <w:t>个月后的首个交易日起至首次授予完成登记之日起</w:t>
            </w:r>
            <w:r>
              <w:rPr>
                <w:rFonts w:ascii="Times New Roman" w:hAnsi="Times New Roman" w:hint="eastAsia"/>
              </w:rPr>
              <w:t>48</w:t>
            </w:r>
            <w:r>
              <w:rPr>
                <w:rFonts w:ascii="Times New Roman" w:hAnsi="Times New Roman"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tcPr>
          <w:p w14:paraId="5FC23471" w14:textId="77777777" w:rsidR="00E57DAA" w:rsidRDefault="00AC4185">
            <w:pPr>
              <w:jc w:val="center"/>
              <w:rPr>
                <w:rFonts w:ascii="Times New Roman" w:hAnsi="Times New Roman" w:cs="Times New Roman"/>
                <w:kern w:val="2"/>
              </w:rPr>
            </w:pPr>
            <w:r>
              <w:rPr>
                <w:rFonts w:ascii="Times New Roman" w:hAnsi="Times New Roman" w:cs="Times New Roman"/>
                <w:kern w:val="2"/>
              </w:rPr>
              <w:t>33%</w:t>
            </w:r>
          </w:p>
        </w:tc>
      </w:tr>
      <w:tr w:rsidR="00E57DAA" w14:paraId="006AB732" w14:textId="77777777">
        <w:trPr>
          <w:trHeight w:val="637"/>
        </w:trPr>
        <w:tc>
          <w:tcPr>
            <w:tcW w:w="3831" w:type="dxa"/>
            <w:tcBorders>
              <w:top w:val="single" w:sz="4" w:space="0" w:color="auto"/>
              <w:left w:val="single" w:sz="4" w:space="0" w:color="auto"/>
              <w:bottom w:val="single" w:sz="4" w:space="0" w:color="auto"/>
              <w:right w:val="single" w:sz="4" w:space="0" w:color="auto"/>
            </w:tcBorders>
            <w:vAlign w:val="center"/>
          </w:tcPr>
          <w:p w14:paraId="3D4D2FF7" w14:textId="77777777" w:rsidR="00E57DAA" w:rsidRDefault="00AC4185">
            <w:pPr>
              <w:spacing w:line="276" w:lineRule="auto"/>
              <w:jc w:val="center"/>
              <w:rPr>
                <w:rFonts w:ascii="Times New Roman" w:hAnsi="Times New Roman"/>
              </w:rPr>
            </w:pPr>
            <w:r>
              <w:rPr>
                <w:rFonts w:ascii="Times New Roman" w:hAnsi="Times New Roman" w:hint="eastAsia"/>
              </w:rPr>
              <w:t>首次授予第三个解除限售期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5535ECAC" w14:textId="77777777" w:rsidR="00E57DAA" w:rsidRDefault="00AC4185">
            <w:pPr>
              <w:spacing w:line="276" w:lineRule="auto"/>
              <w:rPr>
                <w:rFonts w:ascii="Times New Roman" w:hAnsi="Times New Roman"/>
                <w:bCs/>
              </w:rPr>
            </w:pPr>
            <w:r>
              <w:rPr>
                <w:rFonts w:ascii="Times New Roman" w:hAnsi="Times New Roman" w:hint="eastAsia"/>
              </w:rPr>
              <w:t>自首次授予完成登记之日起</w:t>
            </w:r>
            <w:r>
              <w:rPr>
                <w:rFonts w:ascii="Times New Roman" w:hAnsi="Times New Roman" w:hint="eastAsia"/>
              </w:rPr>
              <w:t>48</w:t>
            </w:r>
            <w:r>
              <w:rPr>
                <w:rFonts w:ascii="Times New Roman" w:hAnsi="Times New Roman" w:hint="eastAsia"/>
              </w:rPr>
              <w:t>个月后的首个交易日起至首次授予完成登记之日起</w:t>
            </w:r>
            <w:r>
              <w:rPr>
                <w:rFonts w:ascii="Times New Roman" w:hAnsi="Times New Roman" w:hint="eastAsia"/>
              </w:rPr>
              <w:t>60</w:t>
            </w:r>
            <w:r>
              <w:rPr>
                <w:rFonts w:ascii="Times New Roman" w:hAnsi="Times New Roman"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tcPr>
          <w:p w14:paraId="10C56970" w14:textId="77777777" w:rsidR="00E57DAA" w:rsidRDefault="00AC4185">
            <w:pPr>
              <w:jc w:val="center"/>
              <w:rPr>
                <w:rFonts w:ascii="Times New Roman" w:hAnsi="Times New Roman" w:cs="Times New Roman"/>
                <w:kern w:val="2"/>
              </w:rPr>
            </w:pPr>
            <w:r>
              <w:rPr>
                <w:rFonts w:ascii="Times New Roman" w:hAnsi="Times New Roman" w:cs="Times New Roman"/>
                <w:kern w:val="2"/>
              </w:rPr>
              <w:t>34%</w:t>
            </w:r>
          </w:p>
        </w:tc>
      </w:tr>
    </w:tbl>
    <w:p w14:paraId="1902B3E9" w14:textId="77777777" w:rsidR="00E57DAA" w:rsidRDefault="00E57DAA">
      <w:pPr>
        <w:rPr>
          <w:rFonts w:ascii="Times New Roman" w:hAnsi="Times New Roman"/>
        </w:rPr>
      </w:pPr>
    </w:p>
    <w:p w14:paraId="17BCB4B6" w14:textId="77777777" w:rsidR="00E57DAA" w:rsidRDefault="00AC4185">
      <w:pPr>
        <w:rPr>
          <w:rFonts w:ascii="Times New Roman" w:hAnsi="Times New Roman"/>
        </w:rPr>
      </w:pPr>
      <w:r>
        <w:rPr>
          <w:rFonts w:ascii="Times New Roman" w:hAnsi="Times New Roman" w:hint="eastAsia"/>
        </w:rPr>
        <w:t>预留授予的限制性股票解除限售期及各期解除限售时间安排：</w:t>
      </w:r>
    </w:p>
    <w:tbl>
      <w:tblPr>
        <w:tblStyle w:val="g4"/>
        <w:tblW w:w="13912" w:type="dxa"/>
        <w:tblLayout w:type="fixed"/>
        <w:tblLook w:val="04A0" w:firstRow="1" w:lastRow="0" w:firstColumn="1" w:lastColumn="0" w:noHBand="0" w:noVBand="1"/>
      </w:tblPr>
      <w:tblGrid>
        <w:gridCol w:w="3831"/>
        <w:gridCol w:w="6264"/>
        <w:gridCol w:w="3817"/>
      </w:tblGrid>
      <w:tr w:rsidR="00E57DAA" w14:paraId="201919D2" w14:textId="77777777">
        <w:trPr>
          <w:trHeight w:val="293"/>
        </w:trPr>
        <w:tc>
          <w:tcPr>
            <w:tcW w:w="3831" w:type="dxa"/>
            <w:tcBorders>
              <w:top w:val="single" w:sz="4" w:space="0" w:color="auto"/>
              <w:left w:val="single" w:sz="4" w:space="0" w:color="auto"/>
              <w:bottom w:val="single" w:sz="4" w:space="0" w:color="auto"/>
              <w:right w:val="single" w:sz="4" w:space="0" w:color="auto"/>
            </w:tcBorders>
          </w:tcPr>
          <w:p w14:paraId="3D6D5889" w14:textId="77777777" w:rsidR="00E57DAA" w:rsidRDefault="00AC4185">
            <w:pPr>
              <w:jc w:val="center"/>
              <w:rPr>
                <w:rFonts w:ascii="Times New Roman" w:hAnsi="Times New Roman"/>
              </w:rPr>
            </w:pPr>
            <w:r>
              <w:rPr>
                <w:rFonts w:ascii="Times New Roman" w:hAnsi="Times New Roman" w:hint="eastAsia"/>
              </w:rPr>
              <w:t>解除限售期</w:t>
            </w:r>
          </w:p>
        </w:tc>
        <w:tc>
          <w:tcPr>
            <w:tcW w:w="6264" w:type="dxa"/>
            <w:tcBorders>
              <w:top w:val="single" w:sz="4" w:space="0" w:color="auto"/>
              <w:left w:val="single" w:sz="4" w:space="0" w:color="auto"/>
              <w:bottom w:val="single" w:sz="4" w:space="0" w:color="auto"/>
              <w:right w:val="single" w:sz="4" w:space="0" w:color="auto"/>
            </w:tcBorders>
          </w:tcPr>
          <w:p w14:paraId="26EA5A9F" w14:textId="77777777" w:rsidR="00E57DAA" w:rsidRDefault="00AC4185">
            <w:pPr>
              <w:jc w:val="center"/>
              <w:rPr>
                <w:rFonts w:ascii="Times New Roman" w:hAnsi="Times New Roman"/>
              </w:rPr>
            </w:pPr>
            <w:r>
              <w:rPr>
                <w:rFonts w:ascii="Times New Roman" w:hAnsi="Times New Roman" w:hint="eastAsia"/>
              </w:rPr>
              <w:t>解除限售时间</w:t>
            </w:r>
          </w:p>
        </w:tc>
        <w:tc>
          <w:tcPr>
            <w:tcW w:w="3817" w:type="dxa"/>
            <w:tcBorders>
              <w:top w:val="single" w:sz="4" w:space="0" w:color="auto"/>
              <w:left w:val="single" w:sz="4" w:space="0" w:color="auto"/>
              <w:bottom w:val="single" w:sz="4" w:space="0" w:color="auto"/>
              <w:right w:val="single" w:sz="4" w:space="0" w:color="auto"/>
            </w:tcBorders>
          </w:tcPr>
          <w:p w14:paraId="07A355A4" w14:textId="77777777" w:rsidR="00E57DAA" w:rsidRDefault="00AC4185">
            <w:pPr>
              <w:jc w:val="center"/>
              <w:rPr>
                <w:rFonts w:ascii="Times New Roman" w:hAnsi="Times New Roman"/>
              </w:rPr>
            </w:pPr>
            <w:r>
              <w:rPr>
                <w:rFonts w:ascii="Times New Roman" w:hAnsi="Times New Roman" w:hint="eastAsia"/>
              </w:rPr>
              <w:t>可解除限售数量占获授权益数量比例</w:t>
            </w:r>
          </w:p>
        </w:tc>
      </w:tr>
      <w:tr w:rsidR="00E57DAA" w14:paraId="615EABF6" w14:textId="77777777">
        <w:trPr>
          <w:trHeight w:val="579"/>
        </w:trPr>
        <w:tc>
          <w:tcPr>
            <w:tcW w:w="3831" w:type="dxa"/>
            <w:tcBorders>
              <w:top w:val="single" w:sz="4" w:space="0" w:color="auto"/>
              <w:left w:val="single" w:sz="4" w:space="0" w:color="auto"/>
              <w:bottom w:val="single" w:sz="4" w:space="0" w:color="auto"/>
              <w:right w:val="single" w:sz="4" w:space="0" w:color="auto"/>
            </w:tcBorders>
            <w:vAlign w:val="center"/>
          </w:tcPr>
          <w:p w14:paraId="7E004B54" w14:textId="77777777" w:rsidR="00E57DAA" w:rsidRDefault="00AC4185">
            <w:pPr>
              <w:spacing w:line="276" w:lineRule="auto"/>
              <w:jc w:val="center"/>
              <w:rPr>
                <w:rFonts w:ascii="Times New Roman" w:hAnsi="Times New Roman"/>
              </w:rPr>
            </w:pPr>
            <w:r>
              <w:rPr>
                <w:rFonts w:ascii="Times New Roman" w:hAnsi="Times New Roman" w:hint="eastAsia"/>
              </w:rPr>
              <w:t>预留授予第一个解除限售期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6C56BEA3" w14:textId="77777777" w:rsidR="00E57DAA" w:rsidRDefault="00AC4185">
            <w:pPr>
              <w:spacing w:line="276" w:lineRule="auto"/>
              <w:rPr>
                <w:rFonts w:ascii="Times New Roman" w:hAnsi="Times New Roman"/>
                <w:bCs/>
              </w:rPr>
            </w:pPr>
            <w:r>
              <w:rPr>
                <w:rFonts w:ascii="Times New Roman" w:hAnsi="Times New Roman" w:hint="eastAsia"/>
              </w:rPr>
              <w:t>自预留授予完成登记之日起</w:t>
            </w:r>
            <w:r>
              <w:rPr>
                <w:rFonts w:ascii="Times New Roman" w:hAnsi="Times New Roman"/>
              </w:rPr>
              <w:t>24</w:t>
            </w:r>
            <w:r>
              <w:rPr>
                <w:rFonts w:ascii="Times New Roman" w:hAnsi="Times New Roman"/>
              </w:rPr>
              <w:t>个月后的首个交易日起至预留授予完成登记之日起</w:t>
            </w:r>
            <w:r>
              <w:rPr>
                <w:rFonts w:ascii="Times New Roman" w:hAnsi="Times New Roman"/>
              </w:rPr>
              <w:t>36</w:t>
            </w:r>
            <w:r>
              <w:rPr>
                <w:rFonts w:ascii="Times New Roman" w:hAnsi="Times New Roman"/>
              </w:rPr>
              <w:t>个月内的最后一个交易日当日止</w:t>
            </w:r>
            <w:r>
              <w:rPr>
                <w:rFonts w:ascii="Times New Roman" w:hAnsi="Times New Roman" w:hint="eastAsia"/>
              </w:rPr>
              <w:t>。</w:t>
            </w:r>
          </w:p>
        </w:tc>
        <w:tc>
          <w:tcPr>
            <w:tcW w:w="3817" w:type="dxa"/>
            <w:tcBorders>
              <w:top w:val="single" w:sz="4" w:space="0" w:color="auto"/>
              <w:left w:val="single" w:sz="4" w:space="0" w:color="auto"/>
              <w:bottom w:val="single" w:sz="4" w:space="0" w:color="auto"/>
              <w:right w:val="single" w:sz="4" w:space="0" w:color="auto"/>
            </w:tcBorders>
            <w:vAlign w:val="center"/>
          </w:tcPr>
          <w:p w14:paraId="56DC6D6C" w14:textId="77777777" w:rsidR="00E57DAA" w:rsidRDefault="00AC4185">
            <w:pPr>
              <w:jc w:val="center"/>
              <w:rPr>
                <w:rFonts w:ascii="Times New Roman" w:hAnsi="Times New Roman" w:cs="Times New Roman"/>
                <w:kern w:val="2"/>
              </w:rPr>
            </w:pPr>
            <w:r>
              <w:rPr>
                <w:rFonts w:ascii="Times New Roman" w:hAnsi="Times New Roman" w:cs="Times New Roman"/>
                <w:kern w:val="2"/>
              </w:rPr>
              <w:t>33%</w:t>
            </w:r>
          </w:p>
        </w:tc>
      </w:tr>
      <w:tr w:rsidR="00E57DAA" w14:paraId="309B51EB" w14:textId="77777777">
        <w:trPr>
          <w:trHeight w:val="543"/>
        </w:trPr>
        <w:tc>
          <w:tcPr>
            <w:tcW w:w="3831" w:type="dxa"/>
            <w:tcBorders>
              <w:top w:val="single" w:sz="4" w:space="0" w:color="auto"/>
              <w:left w:val="single" w:sz="4" w:space="0" w:color="auto"/>
              <w:bottom w:val="single" w:sz="4" w:space="0" w:color="auto"/>
              <w:right w:val="single" w:sz="4" w:space="0" w:color="auto"/>
            </w:tcBorders>
            <w:vAlign w:val="center"/>
          </w:tcPr>
          <w:p w14:paraId="07F7F382" w14:textId="77777777" w:rsidR="00E57DAA" w:rsidRDefault="00AC4185">
            <w:pPr>
              <w:spacing w:line="276" w:lineRule="auto"/>
              <w:jc w:val="center"/>
              <w:rPr>
                <w:rFonts w:ascii="Times New Roman" w:hAnsi="Times New Roman"/>
              </w:rPr>
            </w:pPr>
            <w:r>
              <w:rPr>
                <w:rFonts w:ascii="Times New Roman" w:hAnsi="Times New Roman" w:hint="eastAsia"/>
              </w:rPr>
              <w:lastRenderedPageBreak/>
              <w:t>预留授予第二个解除限售期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4E456E5C" w14:textId="77777777" w:rsidR="00E57DAA" w:rsidRDefault="00AC4185">
            <w:pPr>
              <w:spacing w:line="276" w:lineRule="auto"/>
              <w:rPr>
                <w:rFonts w:ascii="Times New Roman" w:hAnsi="Times New Roman"/>
                <w:bCs/>
              </w:rPr>
            </w:pPr>
            <w:r>
              <w:rPr>
                <w:rFonts w:ascii="Times New Roman" w:hAnsi="Times New Roman" w:hint="eastAsia"/>
              </w:rPr>
              <w:t>自预留授予完成登记之日起</w:t>
            </w:r>
            <w:r>
              <w:rPr>
                <w:rFonts w:ascii="Times New Roman" w:hAnsi="Times New Roman"/>
              </w:rPr>
              <w:t>36</w:t>
            </w:r>
            <w:r>
              <w:rPr>
                <w:rFonts w:ascii="Times New Roman" w:hAnsi="Times New Roman"/>
              </w:rPr>
              <w:t>个月后的首个交易日起至预留授予完成登记之日起</w:t>
            </w:r>
            <w:r>
              <w:rPr>
                <w:rFonts w:ascii="Times New Roman" w:hAnsi="Times New Roman"/>
              </w:rPr>
              <w:t>48</w:t>
            </w:r>
            <w:r>
              <w:rPr>
                <w:rFonts w:ascii="Times New Roman" w:hAnsi="Times New Roman"/>
              </w:rPr>
              <w:t>个月内的最后一个交易日当日止</w:t>
            </w:r>
            <w:r>
              <w:rPr>
                <w:rFonts w:ascii="Times New Roman" w:hAnsi="Times New Roman" w:hint="eastAsia"/>
              </w:rPr>
              <w:t>。</w:t>
            </w:r>
          </w:p>
        </w:tc>
        <w:tc>
          <w:tcPr>
            <w:tcW w:w="3817" w:type="dxa"/>
            <w:tcBorders>
              <w:top w:val="single" w:sz="4" w:space="0" w:color="auto"/>
              <w:left w:val="single" w:sz="4" w:space="0" w:color="auto"/>
              <w:bottom w:val="single" w:sz="4" w:space="0" w:color="auto"/>
              <w:right w:val="single" w:sz="4" w:space="0" w:color="auto"/>
            </w:tcBorders>
            <w:vAlign w:val="center"/>
          </w:tcPr>
          <w:p w14:paraId="58A798BC" w14:textId="77777777" w:rsidR="00E57DAA" w:rsidRDefault="00AC4185">
            <w:pPr>
              <w:jc w:val="center"/>
              <w:rPr>
                <w:rFonts w:ascii="Times New Roman" w:hAnsi="Times New Roman" w:cs="Times New Roman"/>
                <w:kern w:val="2"/>
              </w:rPr>
            </w:pPr>
            <w:r>
              <w:rPr>
                <w:rFonts w:ascii="Times New Roman" w:hAnsi="Times New Roman" w:cs="Times New Roman"/>
                <w:kern w:val="2"/>
              </w:rPr>
              <w:t>33%</w:t>
            </w:r>
          </w:p>
        </w:tc>
      </w:tr>
      <w:tr w:rsidR="00E57DAA" w14:paraId="38D037B0" w14:textId="77777777">
        <w:trPr>
          <w:trHeight w:val="637"/>
        </w:trPr>
        <w:tc>
          <w:tcPr>
            <w:tcW w:w="3831" w:type="dxa"/>
            <w:tcBorders>
              <w:top w:val="single" w:sz="4" w:space="0" w:color="auto"/>
              <w:left w:val="single" w:sz="4" w:space="0" w:color="auto"/>
              <w:bottom w:val="single" w:sz="4" w:space="0" w:color="auto"/>
              <w:right w:val="single" w:sz="4" w:space="0" w:color="auto"/>
            </w:tcBorders>
            <w:vAlign w:val="center"/>
          </w:tcPr>
          <w:p w14:paraId="51A2743E" w14:textId="77777777" w:rsidR="00E57DAA" w:rsidRDefault="00AC4185">
            <w:pPr>
              <w:spacing w:line="276" w:lineRule="auto"/>
              <w:jc w:val="center"/>
              <w:rPr>
                <w:rFonts w:ascii="Times New Roman" w:hAnsi="Times New Roman"/>
              </w:rPr>
            </w:pPr>
            <w:r>
              <w:rPr>
                <w:rFonts w:ascii="Times New Roman" w:hAnsi="Times New Roman" w:hint="eastAsia"/>
              </w:rPr>
              <w:t>预留授予第三个解除限售期</w:t>
            </w:r>
          </w:p>
        </w:tc>
        <w:tc>
          <w:tcPr>
            <w:tcW w:w="6264" w:type="dxa"/>
            <w:tcBorders>
              <w:top w:val="single" w:sz="4" w:space="0" w:color="auto"/>
              <w:left w:val="single" w:sz="4" w:space="0" w:color="auto"/>
              <w:bottom w:val="single" w:sz="4" w:space="0" w:color="auto"/>
              <w:right w:val="single" w:sz="4" w:space="0" w:color="auto"/>
            </w:tcBorders>
            <w:vAlign w:val="center"/>
          </w:tcPr>
          <w:p w14:paraId="6052607D" w14:textId="77777777" w:rsidR="00E57DAA" w:rsidRDefault="00AC4185">
            <w:pPr>
              <w:spacing w:line="276" w:lineRule="auto"/>
              <w:rPr>
                <w:rFonts w:ascii="Times New Roman" w:hAnsi="Times New Roman"/>
                <w:bCs/>
              </w:rPr>
            </w:pPr>
            <w:r>
              <w:rPr>
                <w:rFonts w:ascii="Times New Roman" w:hAnsi="Times New Roman" w:hint="eastAsia"/>
              </w:rPr>
              <w:t>自预留授予完成登记之日起</w:t>
            </w:r>
            <w:r>
              <w:rPr>
                <w:rFonts w:ascii="Times New Roman" w:hAnsi="Times New Roman"/>
              </w:rPr>
              <w:t>48</w:t>
            </w:r>
            <w:r>
              <w:rPr>
                <w:rFonts w:ascii="Times New Roman" w:hAnsi="Times New Roman"/>
              </w:rPr>
              <w:t>个月后的首个交易日起至预留授予完成登记之日起</w:t>
            </w:r>
            <w:r>
              <w:rPr>
                <w:rFonts w:ascii="Times New Roman" w:hAnsi="Times New Roman"/>
              </w:rPr>
              <w:t>60</w:t>
            </w:r>
            <w:r>
              <w:rPr>
                <w:rFonts w:ascii="Times New Roman" w:hAnsi="Times New Roman"/>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tcPr>
          <w:p w14:paraId="534C7FD0" w14:textId="77777777" w:rsidR="00E57DAA" w:rsidRDefault="00AC4185">
            <w:pPr>
              <w:jc w:val="center"/>
              <w:rPr>
                <w:rFonts w:ascii="Times New Roman" w:hAnsi="Times New Roman" w:cs="Times New Roman"/>
                <w:kern w:val="2"/>
              </w:rPr>
            </w:pPr>
            <w:r>
              <w:rPr>
                <w:rFonts w:ascii="Times New Roman" w:hAnsi="Times New Roman" w:cs="Times New Roman"/>
                <w:kern w:val="2"/>
              </w:rPr>
              <w:t>34%</w:t>
            </w:r>
          </w:p>
        </w:tc>
      </w:tr>
    </w:tbl>
    <w:p w14:paraId="26F52EB6" w14:textId="77777777" w:rsidR="00E57DAA" w:rsidRDefault="00E57DAA" w:rsidP="00C25422">
      <w:pPr>
        <w:pStyle w:val="92"/>
      </w:pPr>
    </w:p>
    <w:p w14:paraId="270DB271" w14:textId="77777777" w:rsidR="00E57DAA" w:rsidRDefault="00AC4185">
      <w:pPr>
        <w:pStyle w:val="2"/>
      </w:pPr>
      <w:r>
        <w:t>证券发行与上市情况</w:t>
      </w:r>
    </w:p>
    <w:p w14:paraId="538366FA" w14:textId="77777777" w:rsidR="00E57DAA" w:rsidRDefault="00AC4185">
      <w:pPr>
        <w:pStyle w:val="3"/>
        <w:numPr>
          <w:ilvl w:val="0"/>
          <w:numId w:val="48"/>
        </w:numPr>
      </w:pPr>
      <w:r>
        <w:t>截至</w:t>
      </w:r>
      <w:r>
        <w:rPr>
          <w:rFonts w:hint="eastAsia"/>
        </w:rPr>
        <w:t>报告期内</w:t>
      </w:r>
      <w:r>
        <w:t>证券发行情况</w:t>
      </w:r>
    </w:p>
    <w:bookmarkStart w:id="126" w:name="_Hlk89954403" w:displacedByCustomXml="next"/>
    <w:sdt>
      <w:sdtPr>
        <w:alias w:val="是否适用：截至报告期内证券发行情况[双击切换]"/>
        <w:tag w:val="_GBC_a9b53137ff4442baa307fbc68ebc8cbc"/>
        <w:id w:val="46262616"/>
        <w:placeholder>
          <w:docPart w:val="GBC22222222222222222222222222222"/>
        </w:placeholder>
      </w:sdtPr>
      <w:sdtEndPr/>
      <w:sdtContent>
        <w:p w14:paraId="73125B0F"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3C5147" w14:textId="77777777" w:rsidR="00E57DAA" w:rsidRDefault="00AC4185">
      <w:pPr>
        <w:jc w:val="right"/>
        <w:rPr>
          <w:szCs w:val="21"/>
        </w:rPr>
      </w:pPr>
      <w:r>
        <w:rPr>
          <w:rFonts w:hint="eastAsia"/>
          <w:szCs w:val="21"/>
        </w:rPr>
        <w:t>单位：</w:t>
      </w:r>
      <w:sdt>
        <w:sdtPr>
          <w:rPr>
            <w:rFonts w:hint="eastAsia"/>
            <w:szCs w:val="21"/>
          </w:rPr>
          <w:alias w:val="单位：报告期内证券发行情况"/>
          <w:tag w:val="_GBC_97a55af02d71449cafe4112d94324193"/>
          <w:id w:val="1213010998"/>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r>
        <w:rPr>
          <w:rFonts w:hint="eastAsia"/>
          <w:szCs w:val="21"/>
        </w:rPr>
        <w:t xml:space="preserve">  币种：</w:t>
      </w:r>
      <w:sdt>
        <w:sdtPr>
          <w:rPr>
            <w:rFonts w:hint="eastAsia"/>
            <w:szCs w:val="21"/>
          </w:rPr>
          <w:alias w:val="币种：报告期内证券发行情况"/>
          <w:tag w:val="_GBC_aa3ad9c328164ecba8b95d532a53b4a9"/>
          <w:id w:val="-16222993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f6"/>
        <w:tblW w:w="13887" w:type="dxa"/>
        <w:tblLook w:val="04A0" w:firstRow="1" w:lastRow="0" w:firstColumn="1" w:lastColumn="0" w:noHBand="0" w:noVBand="1"/>
      </w:tblPr>
      <w:tblGrid>
        <w:gridCol w:w="3114"/>
        <w:gridCol w:w="1559"/>
        <w:gridCol w:w="1365"/>
        <w:gridCol w:w="2179"/>
        <w:gridCol w:w="1842"/>
        <w:gridCol w:w="1985"/>
        <w:gridCol w:w="1843"/>
      </w:tblGrid>
      <w:tr w:rsidR="00E57DAA" w14:paraId="4FA124C3" w14:textId="77777777">
        <w:trPr>
          <w:trHeight w:val="165"/>
        </w:trPr>
        <w:sdt>
          <w:sdtPr>
            <w:tag w:val="_PLD_213a92a011c84e099a816a5336a450cc"/>
            <w:id w:val="-306790526"/>
          </w:sdtPr>
          <w:sdtEndPr/>
          <w:sdtContent>
            <w:tc>
              <w:tcPr>
                <w:tcW w:w="3114" w:type="dxa"/>
                <w:vAlign w:val="center"/>
              </w:tcPr>
              <w:p w14:paraId="7F06C9F6" w14:textId="77777777" w:rsidR="00E57DAA" w:rsidRDefault="00AC4185">
                <w:pPr>
                  <w:jc w:val="center"/>
                </w:pPr>
                <w:r>
                  <w:rPr>
                    <w:rFonts w:hint="eastAsia"/>
                  </w:rPr>
                  <w:t>股票及其衍生</w:t>
                </w:r>
              </w:p>
              <w:p w14:paraId="427ED2E9" w14:textId="77777777" w:rsidR="00E57DAA" w:rsidRDefault="00AC4185">
                <w:pPr>
                  <w:jc w:val="center"/>
                </w:pPr>
                <w:r>
                  <w:rPr>
                    <w:rFonts w:hint="eastAsia"/>
                  </w:rPr>
                  <w:t>证券的种类</w:t>
                </w:r>
              </w:p>
            </w:tc>
          </w:sdtContent>
        </w:sdt>
        <w:sdt>
          <w:sdtPr>
            <w:tag w:val="_PLD_076b37c9bd304e8d8d919720dff5d117"/>
            <w:id w:val="1339879739"/>
          </w:sdtPr>
          <w:sdtEndPr/>
          <w:sdtContent>
            <w:tc>
              <w:tcPr>
                <w:tcW w:w="1559" w:type="dxa"/>
                <w:vAlign w:val="center"/>
              </w:tcPr>
              <w:p w14:paraId="166E07E5" w14:textId="77777777" w:rsidR="00E57DAA" w:rsidRDefault="00AC4185">
                <w:pPr>
                  <w:jc w:val="center"/>
                </w:pPr>
                <w:r>
                  <w:rPr>
                    <w:rFonts w:hint="eastAsia"/>
                  </w:rPr>
                  <w:t>发行日期</w:t>
                </w:r>
              </w:p>
            </w:tc>
          </w:sdtContent>
        </w:sdt>
        <w:sdt>
          <w:sdtPr>
            <w:tag w:val="_PLD_83017f683fe744abb419c10516cae3b8"/>
            <w:id w:val="-526020614"/>
          </w:sdtPr>
          <w:sdtEndPr/>
          <w:sdtContent>
            <w:tc>
              <w:tcPr>
                <w:tcW w:w="1365" w:type="dxa"/>
                <w:vAlign w:val="center"/>
              </w:tcPr>
              <w:p w14:paraId="1631881A" w14:textId="77777777" w:rsidR="00E57DAA" w:rsidRDefault="00AC4185">
                <w:pPr>
                  <w:jc w:val="center"/>
                </w:pPr>
                <w:r>
                  <w:rPr>
                    <w:rFonts w:hint="eastAsia"/>
                  </w:rPr>
                  <w:t>发行价格（或利率）</w:t>
                </w:r>
              </w:p>
            </w:tc>
          </w:sdtContent>
        </w:sdt>
        <w:sdt>
          <w:sdtPr>
            <w:tag w:val="_PLD_a83f10a8fa0e4c71a8a8294cfa2f9ed7"/>
            <w:id w:val="-848721284"/>
          </w:sdtPr>
          <w:sdtEndPr/>
          <w:sdtContent>
            <w:tc>
              <w:tcPr>
                <w:tcW w:w="2179" w:type="dxa"/>
                <w:vAlign w:val="center"/>
              </w:tcPr>
              <w:p w14:paraId="053F11DC" w14:textId="77777777" w:rsidR="00E57DAA" w:rsidRDefault="00AC4185">
                <w:pPr>
                  <w:jc w:val="center"/>
                </w:pPr>
                <w:r>
                  <w:rPr>
                    <w:rFonts w:hint="eastAsia"/>
                  </w:rPr>
                  <w:t>发行数量</w:t>
                </w:r>
              </w:p>
            </w:tc>
          </w:sdtContent>
        </w:sdt>
        <w:sdt>
          <w:sdtPr>
            <w:tag w:val="_PLD_0fd8e16104e242e3a87233e9722789bc"/>
            <w:id w:val="72948036"/>
          </w:sdtPr>
          <w:sdtEndPr/>
          <w:sdtContent>
            <w:tc>
              <w:tcPr>
                <w:tcW w:w="1842" w:type="dxa"/>
                <w:vAlign w:val="center"/>
              </w:tcPr>
              <w:p w14:paraId="5F9CD22D" w14:textId="77777777" w:rsidR="00E57DAA" w:rsidRDefault="00AC4185">
                <w:pPr>
                  <w:jc w:val="center"/>
                </w:pPr>
                <w:r>
                  <w:rPr>
                    <w:rFonts w:hint="eastAsia"/>
                  </w:rPr>
                  <w:t>上市日期</w:t>
                </w:r>
              </w:p>
            </w:tc>
          </w:sdtContent>
        </w:sdt>
        <w:sdt>
          <w:sdtPr>
            <w:tag w:val="_PLD_83d2debad46441f6b48f45f45ef2c978"/>
            <w:id w:val="-1624371951"/>
          </w:sdtPr>
          <w:sdtEndPr/>
          <w:sdtContent>
            <w:tc>
              <w:tcPr>
                <w:tcW w:w="1985" w:type="dxa"/>
                <w:vAlign w:val="center"/>
              </w:tcPr>
              <w:p w14:paraId="1E37FD77" w14:textId="77777777" w:rsidR="00E57DAA" w:rsidRDefault="00AC4185">
                <w:pPr>
                  <w:jc w:val="center"/>
                </w:pPr>
                <w:r>
                  <w:rPr>
                    <w:rFonts w:hint="eastAsia"/>
                  </w:rPr>
                  <w:t>获准上市交易数量</w:t>
                </w:r>
              </w:p>
            </w:tc>
          </w:sdtContent>
        </w:sdt>
        <w:sdt>
          <w:sdtPr>
            <w:tag w:val="_PLD_9129fdf6c81e4e5cba32093c9e2901e5"/>
            <w:id w:val="-1798283542"/>
          </w:sdtPr>
          <w:sdtEndPr/>
          <w:sdtContent>
            <w:tc>
              <w:tcPr>
                <w:tcW w:w="1843" w:type="dxa"/>
                <w:vAlign w:val="center"/>
              </w:tcPr>
              <w:p w14:paraId="65036E08" w14:textId="77777777" w:rsidR="00E57DAA" w:rsidRDefault="00AC4185">
                <w:pPr>
                  <w:jc w:val="center"/>
                </w:pPr>
                <w:r>
                  <w:rPr>
                    <w:rFonts w:hint="eastAsia"/>
                  </w:rPr>
                  <w:t>交易终止日期</w:t>
                </w:r>
              </w:p>
            </w:tc>
          </w:sdtContent>
        </w:sdt>
      </w:tr>
      <w:tr w:rsidR="00E57DAA" w14:paraId="12A78234" w14:textId="77777777">
        <w:trPr>
          <w:trHeight w:val="135"/>
        </w:trPr>
        <w:sdt>
          <w:sdtPr>
            <w:tag w:val="_PLD_e6a7cdf4a4a6450fbd5d6a8c4c8d974e"/>
            <w:id w:val="-2098475003"/>
          </w:sdtPr>
          <w:sdtEndPr/>
          <w:sdtContent>
            <w:tc>
              <w:tcPr>
                <w:tcW w:w="13887" w:type="dxa"/>
                <w:gridSpan w:val="7"/>
              </w:tcPr>
              <w:p w14:paraId="740C3057" w14:textId="77777777" w:rsidR="00E57DAA" w:rsidRDefault="00AC4185" w:rsidP="00C25422">
                <w:pPr>
                  <w:pStyle w:val="92"/>
                </w:pPr>
                <w:r>
                  <w:rPr>
                    <w:rFonts w:hint="eastAsia"/>
                  </w:rPr>
                  <w:t>普通股股票类</w:t>
                </w:r>
              </w:p>
            </w:tc>
          </w:sdtContent>
        </w:sdt>
      </w:tr>
      <w:tr w:rsidR="00E57DAA" w14:paraId="55D03DF6" w14:textId="77777777">
        <w:trPr>
          <w:trHeight w:val="150"/>
        </w:trPr>
        <w:tc>
          <w:tcPr>
            <w:tcW w:w="3114" w:type="dxa"/>
          </w:tcPr>
          <w:p w14:paraId="3F3ABD76" w14:textId="77777777" w:rsidR="00E57DAA" w:rsidRDefault="00AC4185">
            <w:pPr>
              <w:jc w:val="left"/>
            </w:pPr>
            <w:r>
              <w:rPr>
                <w:rFonts w:hint="eastAsia"/>
              </w:rPr>
              <w:t>人民币普通股</w:t>
            </w:r>
          </w:p>
        </w:tc>
        <w:tc>
          <w:tcPr>
            <w:tcW w:w="1559" w:type="dxa"/>
          </w:tcPr>
          <w:p w14:paraId="4B833707" w14:textId="77777777" w:rsidR="00E57DAA" w:rsidRDefault="00AC4185">
            <w:pPr>
              <w:jc w:val="right"/>
            </w:pPr>
            <w:r>
              <w:rPr>
                <w:rFonts w:hint="eastAsia"/>
              </w:rPr>
              <w:t>2</w:t>
            </w:r>
            <w:r>
              <w:t>023-02-28</w:t>
            </w:r>
          </w:p>
        </w:tc>
        <w:tc>
          <w:tcPr>
            <w:tcW w:w="1365" w:type="dxa"/>
          </w:tcPr>
          <w:p w14:paraId="03E2D53F" w14:textId="77777777" w:rsidR="00E57DAA" w:rsidRDefault="00AC4185">
            <w:pPr>
              <w:jc w:val="right"/>
            </w:pPr>
            <w:r>
              <w:rPr>
                <w:rFonts w:hint="eastAsia"/>
              </w:rPr>
              <w:t>8</w:t>
            </w:r>
            <w:r>
              <w:t>.45</w:t>
            </w:r>
          </w:p>
        </w:tc>
        <w:tc>
          <w:tcPr>
            <w:tcW w:w="2179" w:type="dxa"/>
          </w:tcPr>
          <w:p w14:paraId="301B933A" w14:textId="77777777" w:rsidR="00E57DAA" w:rsidRDefault="00AC4185">
            <w:pPr>
              <w:jc w:val="right"/>
            </w:pPr>
            <w:r>
              <w:t>366,878,106</w:t>
            </w:r>
          </w:p>
        </w:tc>
        <w:tc>
          <w:tcPr>
            <w:tcW w:w="1842" w:type="dxa"/>
          </w:tcPr>
          <w:p w14:paraId="2CEBDA88" w14:textId="77777777" w:rsidR="00E57DAA" w:rsidRDefault="00E57DAA">
            <w:pPr>
              <w:jc w:val="right"/>
            </w:pPr>
          </w:p>
        </w:tc>
        <w:tc>
          <w:tcPr>
            <w:tcW w:w="1985" w:type="dxa"/>
          </w:tcPr>
          <w:p w14:paraId="6F2B71AA" w14:textId="77777777" w:rsidR="00E57DAA" w:rsidRDefault="00E57DAA">
            <w:pPr>
              <w:jc w:val="right"/>
            </w:pPr>
          </w:p>
        </w:tc>
        <w:tc>
          <w:tcPr>
            <w:tcW w:w="1843" w:type="dxa"/>
          </w:tcPr>
          <w:p w14:paraId="70B473ED" w14:textId="77777777" w:rsidR="00E57DAA" w:rsidRDefault="00E57DAA">
            <w:pPr>
              <w:jc w:val="right"/>
            </w:pPr>
          </w:p>
        </w:tc>
      </w:tr>
      <w:tr w:rsidR="00E57DAA" w14:paraId="3B1213FF" w14:textId="77777777">
        <w:trPr>
          <w:trHeight w:val="150"/>
        </w:trPr>
        <w:tc>
          <w:tcPr>
            <w:tcW w:w="3114" w:type="dxa"/>
          </w:tcPr>
          <w:p w14:paraId="30E5F1BE" w14:textId="77777777" w:rsidR="00E57DAA" w:rsidRDefault="00AC4185">
            <w:pPr>
              <w:jc w:val="left"/>
            </w:pPr>
            <w:r>
              <w:rPr>
                <w:rFonts w:hint="eastAsia"/>
              </w:rPr>
              <w:t>人民币普通股</w:t>
            </w:r>
          </w:p>
        </w:tc>
        <w:tc>
          <w:tcPr>
            <w:tcW w:w="1559" w:type="dxa"/>
          </w:tcPr>
          <w:p w14:paraId="0077C4AB" w14:textId="77777777" w:rsidR="00E57DAA" w:rsidRDefault="00AC4185">
            <w:pPr>
              <w:jc w:val="right"/>
            </w:pPr>
            <w:r>
              <w:t>2023-04-10</w:t>
            </w:r>
          </w:p>
        </w:tc>
        <w:tc>
          <w:tcPr>
            <w:tcW w:w="1365" w:type="dxa"/>
          </w:tcPr>
          <w:p w14:paraId="0DC081E8" w14:textId="77777777" w:rsidR="00E57DAA" w:rsidRDefault="00AC4185">
            <w:pPr>
              <w:jc w:val="right"/>
            </w:pPr>
            <w:r>
              <w:rPr>
                <w:rFonts w:hint="eastAsia"/>
              </w:rPr>
              <w:t>5</w:t>
            </w:r>
            <w:r>
              <w:t>.74</w:t>
            </w:r>
          </w:p>
        </w:tc>
        <w:tc>
          <w:tcPr>
            <w:tcW w:w="2179" w:type="dxa"/>
          </w:tcPr>
          <w:p w14:paraId="2D445416" w14:textId="77777777" w:rsidR="00E57DAA" w:rsidRDefault="00AC4185">
            <w:pPr>
              <w:jc w:val="right"/>
            </w:pPr>
            <w:r>
              <w:t>9,807,253</w:t>
            </w:r>
          </w:p>
        </w:tc>
        <w:tc>
          <w:tcPr>
            <w:tcW w:w="1842" w:type="dxa"/>
          </w:tcPr>
          <w:p w14:paraId="315A94D1" w14:textId="77777777" w:rsidR="00E57DAA" w:rsidRDefault="00E57DAA">
            <w:pPr>
              <w:jc w:val="right"/>
            </w:pPr>
          </w:p>
        </w:tc>
        <w:tc>
          <w:tcPr>
            <w:tcW w:w="1985" w:type="dxa"/>
          </w:tcPr>
          <w:p w14:paraId="7B0BD653" w14:textId="77777777" w:rsidR="00E57DAA" w:rsidRDefault="00E57DAA">
            <w:pPr>
              <w:jc w:val="right"/>
            </w:pPr>
          </w:p>
        </w:tc>
        <w:tc>
          <w:tcPr>
            <w:tcW w:w="1843" w:type="dxa"/>
          </w:tcPr>
          <w:p w14:paraId="102A1FC9" w14:textId="77777777" w:rsidR="00E57DAA" w:rsidRDefault="00E57DAA">
            <w:pPr>
              <w:jc w:val="right"/>
            </w:pPr>
          </w:p>
        </w:tc>
      </w:tr>
      <w:tr w:rsidR="00E57DAA" w14:paraId="7826EAC6" w14:textId="77777777">
        <w:trPr>
          <w:trHeight w:val="120"/>
        </w:trPr>
        <w:tc>
          <w:tcPr>
            <w:tcW w:w="13887" w:type="dxa"/>
            <w:gridSpan w:val="7"/>
          </w:tcPr>
          <w:p w14:paraId="3F95FD65" w14:textId="77777777" w:rsidR="00E57DAA" w:rsidRDefault="00EB41A1">
            <w:pPr>
              <w:jc w:val="left"/>
            </w:pPr>
            <w:sdt>
              <w:sdtPr>
                <w:rPr>
                  <w:rFonts w:hint="eastAsia"/>
                </w:rPr>
                <w:tag w:val="_PLD_1c6bcdb1eb604452a59144bc9389b40f"/>
                <w:id w:val="-1134637143"/>
              </w:sdtPr>
              <w:sdtEndPr/>
              <w:sdtContent>
                <w:r w:rsidR="00AC4185">
                  <w:rPr>
                    <w:rFonts w:hint="eastAsia"/>
                  </w:rPr>
                  <w:t>债券（包括企业债券、公司债券以及非金融企业债务融资工具）</w:t>
                </w:r>
              </w:sdtContent>
            </w:sdt>
          </w:p>
        </w:tc>
      </w:tr>
      <w:tr w:rsidR="00E57DAA" w14:paraId="4B1C71ED" w14:textId="77777777">
        <w:trPr>
          <w:trHeight w:val="120"/>
        </w:trPr>
        <w:tc>
          <w:tcPr>
            <w:tcW w:w="3114" w:type="dxa"/>
          </w:tcPr>
          <w:p w14:paraId="08099B07" w14:textId="77777777" w:rsidR="00E57DAA" w:rsidRDefault="00AC4185">
            <w:pPr>
              <w:jc w:val="left"/>
            </w:pPr>
            <w:r>
              <w:t>超短期融资券</w:t>
            </w:r>
          </w:p>
        </w:tc>
        <w:tc>
          <w:tcPr>
            <w:tcW w:w="1559" w:type="dxa"/>
          </w:tcPr>
          <w:p w14:paraId="738D2100" w14:textId="77777777" w:rsidR="00E57DAA" w:rsidRDefault="00AC4185">
            <w:pPr>
              <w:jc w:val="right"/>
            </w:pPr>
            <w:r>
              <w:t>2023-03-09</w:t>
            </w:r>
          </w:p>
        </w:tc>
        <w:tc>
          <w:tcPr>
            <w:tcW w:w="1365" w:type="dxa"/>
          </w:tcPr>
          <w:p w14:paraId="0837E574" w14:textId="77777777" w:rsidR="00E57DAA" w:rsidRDefault="00AC4185">
            <w:pPr>
              <w:jc w:val="right"/>
            </w:pPr>
            <w:r>
              <w:t>2.3%</w:t>
            </w:r>
          </w:p>
        </w:tc>
        <w:tc>
          <w:tcPr>
            <w:tcW w:w="2179" w:type="dxa"/>
          </w:tcPr>
          <w:p w14:paraId="636A4EB5" w14:textId="77777777" w:rsidR="00E57DAA" w:rsidRDefault="00AC4185">
            <w:pPr>
              <w:jc w:val="right"/>
            </w:pPr>
            <w:r>
              <w:t>500,000,000.00</w:t>
            </w:r>
          </w:p>
        </w:tc>
        <w:tc>
          <w:tcPr>
            <w:tcW w:w="1842" w:type="dxa"/>
          </w:tcPr>
          <w:p w14:paraId="005A5F1B" w14:textId="77777777" w:rsidR="00E57DAA" w:rsidRDefault="00AC4185">
            <w:pPr>
              <w:jc w:val="right"/>
            </w:pPr>
            <w:r>
              <w:t>2023-03-13</w:t>
            </w:r>
          </w:p>
        </w:tc>
        <w:tc>
          <w:tcPr>
            <w:tcW w:w="1985" w:type="dxa"/>
          </w:tcPr>
          <w:p w14:paraId="25FF511F" w14:textId="77777777" w:rsidR="00E57DAA" w:rsidRDefault="00AC4185">
            <w:pPr>
              <w:jc w:val="right"/>
            </w:pPr>
            <w:r>
              <w:t>500,000,000.00</w:t>
            </w:r>
          </w:p>
        </w:tc>
        <w:tc>
          <w:tcPr>
            <w:tcW w:w="1843" w:type="dxa"/>
          </w:tcPr>
          <w:p w14:paraId="4ED7E296" w14:textId="77777777" w:rsidR="00E57DAA" w:rsidRDefault="00AC4185">
            <w:pPr>
              <w:jc w:val="right"/>
            </w:pPr>
            <w:r>
              <w:t>2023-09-05</w:t>
            </w:r>
          </w:p>
        </w:tc>
      </w:tr>
      <w:tr w:rsidR="00E57DAA" w14:paraId="5FFED60C" w14:textId="77777777">
        <w:trPr>
          <w:trHeight w:val="120"/>
        </w:trPr>
        <w:tc>
          <w:tcPr>
            <w:tcW w:w="3114" w:type="dxa"/>
          </w:tcPr>
          <w:p w14:paraId="1D4B7E58" w14:textId="77777777" w:rsidR="00E57DAA" w:rsidRDefault="00AC4185">
            <w:pPr>
              <w:jc w:val="left"/>
            </w:pPr>
            <w:r>
              <w:t>超短期融资券</w:t>
            </w:r>
          </w:p>
        </w:tc>
        <w:tc>
          <w:tcPr>
            <w:tcW w:w="1559" w:type="dxa"/>
          </w:tcPr>
          <w:p w14:paraId="743AC95C" w14:textId="77777777" w:rsidR="00E57DAA" w:rsidRDefault="00AC4185">
            <w:pPr>
              <w:jc w:val="right"/>
            </w:pPr>
            <w:r>
              <w:t>2023-05-25</w:t>
            </w:r>
          </w:p>
        </w:tc>
        <w:tc>
          <w:tcPr>
            <w:tcW w:w="1365" w:type="dxa"/>
          </w:tcPr>
          <w:p w14:paraId="0E4BD4FF" w14:textId="77777777" w:rsidR="00E57DAA" w:rsidRDefault="00AC4185">
            <w:pPr>
              <w:jc w:val="right"/>
            </w:pPr>
            <w:r>
              <w:t>2.24%</w:t>
            </w:r>
          </w:p>
        </w:tc>
        <w:tc>
          <w:tcPr>
            <w:tcW w:w="2179" w:type="dxa"/>
          </w:tcPr>
          <w:p w14:paraId="0E36F6CF" w14:textId="77777777" w:rsidR="00E57DAA" w:rsidRDefault="00AC4185">
            <w:pPr>
              <w:jc w:val="right"/>
            </w:pPr>
            <w:r>
              <w:t>1,000,000,000.00</w:t>
            </w:r>
          </w:p>
        </w:tc>
        <w:tc>
          <w:tcPr>
            <w:tcW w:w="1842" w:type="dxa"/>
          </w:tcPr>
          <w:p w14:paraId="6DA71134" w14:textId="77777777" w:rsidR="00E57DAA" w:rsidRDefault="00AC4185">
            <w:pPr>
              <w:jc w:val="right"/>
            </w:pPr>
            <w:r>
              <w:t>   2023-05-29</w:t>
            </w:r>
          </w:p>
        </w:tc>
        <w:tc>
          <w:tcPr>
            <w:tcW w:w="1985" w:type="dxa"/>
          </w:tcPr>
          <w:p w14:paraId="3D4BE5F6" w14:textId="77777777" w:rsidR="00E57DAA" w:rsidRDefault="00AC4185">
            <w:pPr>
              <w:jc w:val="right"/>
            </w:pPr>
            <w:r>
              <w:t>1,000,000,000.00</w:t>
            </w:r>
          </w:p>
        </w:tc>
        <w:tc>
          <w:tcPr>
            <w:tcW w:w="1843" w:type="dxa"/>
          </w:tcPr>
          <w:p w14:paraId="23C1E1C4" w14:textId="77777777" w:rsidR="00E57DAA" w:rsidRDefault="00AC4185">
            <w:pPr>
              <w:jc w:val="right"/>
            </w:pPr>
            <w:r>
              <w:t>2023-11-21</w:t>
            </w:r>
          </w:p>
        </w:tc>
      </w:tr>
    </w:tbl>
    <w:p w14:paraId="4E666CE4" w14:textId="77777777" w:rsidR="00E57DAA" w:rsidRDefault="00E57DAA" w:rsidP="00C25422">
      <w:pPr>
        <w:pStyle w:val="92"/>
      </w:pPr>
    </w:p>
    <w:p w14:paraId="4A6C3B32" w14:textId="77777777" w:rsidR="00E57DAA" w:rsidRDefault="00AC4185">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595791276"/>
        <w:placeholder>
          <w:docPart w:val="GBC22222222222222222222222222222"/>
        </w:placeholder>
      </w:sdtPr>
      <w:sdtEndPr/>
      <w:sdtContent>
        <w:p w14:paraId="3527DB3C"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证券发行情况的说明"/>
        <w:tag w:val="_GBC_554181dc253a4fa496d2a732435f9c84"/>
        <w:id w:val="-177359413"/>
        <w:placeholder>
          <w:docPart w:val="GBC22222222222222222222222222222"/>
        </w:placeholder>
      </w:sdtPr>
      <w:sdtEndPr>
        <w:rPr>
          <w:b w:val="0"/>
          <w:bCs w:val="0"/>
        </w:rPr>
      </w:sdtEndPr>
      <w:sdtContent>
        <w:p w14:paraId="5512601E" w14:textId="77777777" w:rsidR="00E57DAA" w:rsidRDefault="00AC4185">
          <w:pPr>
            <w:pStyle w:val="4"/>
            <w:ind w:firstLineChars="200" w:firstLine="422"/>
            <w:rPr>
              <w:b w:val="0"/>
              <w:bCs w:val="0"/>
              <w:szCs w:val="21"/>
            </w:rPr>
          </w:pPr>
          <w:r>
            <w:rPr>
              <w:rFonts w:hint="eastAsia"/>
              <w:b w:val="0"/>
              <w:bCs w:val="0"/>
              <w:szCs w:val="21"/>
            </w:rPr>
            <w:t>报告期，公司股份发行情况，详见股份变动情况之</w:t>
          </w:r>
          <w:r>
            <w:rPr>
              <w:b w:val="0"/>
              <w:bCs w:val="0"/>
            </w:rPr>
            <w:t>股份变动情况说明</w:t>
          </w:r>
          <w:r>
            <w:rPr>
              <w:rFonts w:hint="eastAsia"/>
              <w:b w:val="0"/>
              <w:bCs w:val="0"/>
            </w:rPr>
            <w:t>；债券发行方面，</w:t>
          </w:r>
          <w:r>
            <w:rPr>
              <w:rFonts w:hint="eastAsia"/>
              <w:b w:val="0"/>
              <w:bCs w:val="0"/>
              <w:szCs w:val="21"/>
            </w:rPr>
            <w:t>公司成功发行2023年度第一期超短期融资券（科创票据）和2023年度第二期超短期融资券（科创票据），并于报告期内完成兑付。</w:t>
          </w:r>
        </w:p>
      </w:sdtContent>
    </w:sdt>
    <w:bookmarkEnd w:id="126"/>
    <w:p w14:paraId="3CFE3823" w14:textId="77777777" w:rsidR="00E57DAA" w:rsidRDefault="00E57DAA">
      <w:pPr>
        <w:rPr>
          <w:szCs w:val="21"/>
        </w:rPr>
      </w:pPr>
    </w:p>
    <w:p w14:paraId="7FBC7D5D" w14:textId="77777777" w:rsidR="00E57DAA" w:rsidRDefault="00AC4185">
      <w:pPr>
        <w:pStyle w:val="3"/>
        <w:numPr>
          <w:ilvl w:val="0"/>
          <w:numId w:val="48"/>
        </w:numPr>
      </w:pPr>
      <w:r>
        <w:rPr>
          <w:rFonts w:hint="eastAsia"/>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607794398"/>
        <w:placeholder>
          <w:docPart w:val="GBC22222222222222222222222222222"/>
        </w:placeholder>
      </w:sdtPr>
      <w:sdtEndPr/>
      <w:sdtContent>
        <w:p w14:paraId="7D22532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股份总数及结构的变动的说明"/>
        <w:tag w:val="_GBC_f052eac1038944c191b4dbc4a4fa7ea9"/>
        <w:id w:val="-1117065167"/>
        <w:placeholder>
          <w:docPart w:val="GBC22222222222222222222222222222"/>
        </w:placeholder>
      </w:sdtPr>
      <w:sdtEndPr/>
      <w:sdtContent>
        <w:p w14:paraId="28DC7DBF" w14:textId="77777777" w:rsidR="00E57DAA" w:rsidRDefault="00AC4185">
          <w:pPr>
            <w:ind w:firstLineChars="200" w:firstLine="420"/>
            <w:jc w:val="both"/>
            <w:rPr>
              <w:szCs w:val="21"/>
            </w:rPr>
          </w:pPr>
          <w:r>
            <w:rPr>
              <w:rFonts w:hint="eastAsia"/>
              <w:szCs w:val="21"/>
            </w:rPr>
            <w:t>报告期内，公司股份总数由</w:t>
          </w:r>
          <w:r>
            <w:rPr>
              <w:szCs w:val="21"/>
            </w:rPr>
            <w:t>2,265,632,064股增加至2,642,317,423股。详见本节一、（一）2、股份变动情况说明。</w:t>
          </w:r>
        </w:p>
      </w:sdtContent>
    </w:sdt>
    <w:p w14:paraId="2DD0D0FE" w14:textId="77777777" w:rsidR="00E57DAA" w:rsidRDefault="00E57DAA">
      <w:pPr>
        <w:rPr>
          <w:szCs w:val="21"/>
        </w:rPr>
      </w:pPr>
    </w:p>
    <w:p w14:paraId="3EEE7A7D" w14:textId="77777777" w:rsidR="00E57DAA" w:rsidRDefault="00AC4185">
      <w:pPr>
        <w:pStyle w:val="3"/>
        <w:numPr>
          <w:ilvl w:val="0"/>
          <w:numId w:val="48"/>
        </w:numPr>
      </w:pPr>
      <w:r>
        <w:rPr>
          <w:rFonts w:hint="eastAsia"/>
        </w:rPr>
        <w:lastRenderedPageBreak/>
        <w:t>现存的内部职工股情况</w:t>
      </w:r>
    </w:p>
    <w:sdt>
      <w:sdtPr>
        <w:alias w:val="是否适用：现存的内部职工股情况[双击切换]"/>
        <w:tag w:val="_GBC_fa5e90226e14408b891f1c5a9dbbf2c5"/>
        <w:id w:val="-463193649"/>
        <w:placeholder>
          <w:docPart w:val="GBC22222222222222222222222222222"/>
        </w:placeholder>
      </w:sdtPr>
      <w:sdtEndPr/>
      <w:sdtContent>
        <w:p w14:paraId="5DDDDB8F"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3CE819" w14:textId="77777777" w:rsidR="00E57DAA" w:rsidRDefault="00E57DAA" w:rsidP="00C25422">
      <w:pPr>
        <w:pStyle w:val="92"/>
      </w:pPr>
    </w:p>
    <w:p w14:paraId="72A0D72D" w14:textId="77777777" w:rsidR="00E57DAA" w:rsidRDefault="00AC4185">
      <w:pPr>
        <w:pStyle w:val="2"/>
      </w:pPr>
      <w:r>
        <w:t>股东</w:t>
      </w:r>
      <w:r>
        <w:rPr>
          <w:rFonts w:hint="eastAsia"/>
        </w:rPr>
        <w:t>和实际控制人</w:t>
      </w:r>
      <w:r>
        <w:t>情况</w:t>
      </w:r>
    </w:p>
    <w:p w14:paraId="1F6BE039" w14:textId="77777777" w:rsidR="00E57DAA" w:rsidRDefault="00AC4185">
      <w:pPr>
        <w:pStyle w:val="3"/>
        <w:numPr>
          <w:ilvl w:val="1"/>
          <w:numId w:val="49"/>
        </w:numPr>
      </w:pPr>
      <w:r>
        <w:rPr>
          <w:rFonts w:hint="eastAsia"/>
        </w:rPr>
        <w:t>股东总数</w:t>
      </w:r>
    </w:p>
    <w:tbl>
      <w:tblPr>
        <w:tblStyle w:val="aff6"/>
        <w:tblW w:w="13887" w:type="dxa"/>
        <w:tblLook w:val="04A0" w:firstRow="1" w:lastRow="0" w:firstColumn="1" w:lastColumn="0" w:noHBand="0" w:noVBand="1"/>
      </w:tblPr>
      <w:tblGrid>
        <w:gridCol w:w="7508"/>
        <w:gridCol w:w="6379"/>
      </w:tblGrid>
      <w:tr w:rsidR="00E57DAA" w14:paraId="45FD8566" w14:textId="77777777">
        <w:sdt>
          <w:sdtPr>
            <w:tag w:val="_PLD_34738880649c43ac9597effd663adc10"/>
            <w:id w:val="337353955"/>
          </w:sdtPr>
          <w:sdtEndPr/>
          <w:sdtContent>
            <w:tc>
              <w:tcPr>
                <w:tcW w:w="7508" w:type="dxa"/>
              </w:tcPr>
              <w:p w14:paraId="08859C63" w14:textId="77777777" w:rsidR="00E57DAA" w:rsidRDefault="00AC4185">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rFonts w:ascii="Times New Roman" w:hAnsi="Times New Roman"/>
              <w:szCs w:val="21"/>
            </w:rPr>
            <w:alias w:val="报告期末股东总数"/>
            <w:tag w:val="_GBC_510087fb1e024fb293d32127713e45f8"/>
            <w:id w:val="35944672"/>
          </w:sdtPr>
          <w:sdtEndPr/>
          <w:sdtContent>
            <w:tc>
              <w:tcPr>
                <w:tcW w:w="6379" w:type="dxa"/>
              </w:tcPr>
              <w:p w14:paraId="08CD45DB" w14:textId="77777777" w:rsidR="00E57DAA" w:rsidRDefault="00AC4185">
                <w:pPr>
                  <w:jc w:val="right"/>
                  <w:rPr>
                    <w:szCs w:val="21"/>
                  </w:rPr>
                </w:pPr>
                <w:r>
                  <w:rPr>
                    <w:szCs w:val="21"/>
                  </w:rPr>
                  <w:t>42,537</w:t>
                </w:r>
              </w:p>
            </w:tc>
          </w:sdtContent>
        </w:sdt>
      </w:tr>
      <w:tr w:rsidR="00E57DAA" w14:paraId="0A95A4C4" w14:textId="77777777">
        <w:tc>
          <w:tcPr>
            <w:tcW w:w="7508" w:type="dxa"/>
          </w:tcPr>
          <w:p w14:paraId="29F385A7" w14:textId="77777777" w:rsidR="00E57DAA" w:rsidRDefault="00AC4185">
            <w:pPr>
              <w:rPr>
                <w:szCs w:val="21"/>
              </w:rPr>
            </w:pPr>
            <w:r>
              <w:rPr>
                <w:rFonts w:hint="eastAsia"/>
                <w:szCs w:val="21"/>
              </w:rPr>
              <w:t>年度报告披露日前上一月末的普通股股东总数</w:t>
            </w:r>
            <w:r>
              <w:rPr>
                <w:szCs w:val="21"/>
              </w:rPr>
              <w:t>(户)</w:t>
            </w:r>
          </w:p>
        </w:tc>
        <w:tc>
          <w:tcPr>
            <w:tcW w:w="6379" w:type="dxa"/>
          </w:tcPr>
          <w:p w14:paraId="7E5B2B36" w14:textId="77777777" w:rsidR="00E57DAA" w:rsidRDefault="00AC4185">
            <w:pPr>
              <w:jc w:val="right"/>
              <w:rPr>
                <w:szCs w:val="21"/>
              </w:rPr>
            </w:pPr>
            <w:r>
              <w:rPr>
                <w:szCs w:val="21"/>
              </w:rPr>
              <w:t>39,948</w:t>
            </w:r>
          </w:p>
        </w:tc>
      </w:tr>
    </w:tbl>
    <w:p w14:paraId="29DEA748" w14:textId="77777777" w:rsidR="00E57DAA" w:rsidRDefault="00E57DAA">
      <w:pPr>
        <w:rPr>
          <w:szCs w:val="21"/>
        </w:rPr>
      </w:pPr>
    </w:p>
    <w:p w14:paraId="5DC431D9" w14:textId="77777777" w:rsidR="00E57DAA" w:rsidRDefault="00AC4185">
      <w:pPr>
        <w:pStyle w:val="3"/>
        <w:numPr>
          <w:ilvl w:val="1"/>
          <w:numId w:val="49"/>
        </w:numPr>
      </w:pPr>
      <w:r>
        <w:rPr>
          <w:rFonts w:hint="eastAsia"/>
        </w:rPr>
        <w:t>截至报告期末前十名股东、前十名流通股东（或无限售条件股东）持股情况表</w:t>
      </w:r>
    </w:p>
    <w:p w14:paraId="4AB9309E" w14:textId="77777777" w:rsidR="00E57DAA" w:rsidRDefault="00AC4185">
      <w:pPr>
        <w:ind w:firstLineChars="1900" w:firstLine="3990"/>
        <w:jc w:val="right"/>
        <w:rPr>
          <w:szCs w:val="21"/>
        </w:rPr>
      </w:pPr>
      <w:bookmarkStart w:id="127" w:name="_Hlk27487213"/>
      <w:r>
        <w:rPr>
          <w:bCs/>
          <w:szCs w:val="21"/>
        </w:rPr>
        <w:t>单位:</w:t>
      </w:r>
      <w:sdt>
        <w:sdtPr>
          <w:rPr>
            <w:bCs/>
            <w:szCs w:val="21"/>
          </w:rPr>
          <w:alias w:val="单位：前十名股东持股情况"/>
          <w:tag w:val="_GBC_b59e95c09d914c83b42ae5b68d0d6987"/>
          <w:id w:val="-1844462801"/>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bCs/>
              <w:szCs w:val="21"/>
            </w:rPr>
            <w:t>股</w:t>
          </w:r>
        </w:sdtContent>
      </w:sdt>
    </w:p>
    <w:tbl>
      <w:tblPr>
        <w:tblStyle w:val="g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1661"/>
        <w:gridCol w:w="1581"/>
        <w:gridCol w:w="927"/>
        <w:gridCol w:w="1678"/>
        <w:gridCol w:w="1172"/>
        <w:gridCol w:w="902"/>
        <w:gridCol w:w="436"/>
        <w:gridCol w:w="1542"/>
      </w:tblGrid>
      <w:tr w:rsidR="00E57DAA" w14:paraId="15F11FB5" w14:textId="77777777">
        <w:trPr>
          <w:cantSplit/>
        </w:trPr>
        <w:sdt>
          <w:sdtPr>
            <w:rPr>
              <w:rFonts w:ascii="宋体" w:hAnsi="宋体"/>
            </w:rPr>
            <w:tag w:val="_PLD_12180439b5ff4b00a01ff1f87b70f1de"/>
            <w:id w:val="1914437855"/>
          </w:sdtPr>
          <w:sdtEndPr/>
          <w:sdtContent>
            <w:tc>
              <w:tcPr>
                <w:tcW w:w="0" w:type="auto"/>
                <w:gridSpan w:val="9"/>
                <w:shd w:val="clear" w:color="auto" w:fill="auto"/>
                <w:vAlign w:val="center"/>
              </w:tcPr>
              <w:p w14:paraId="3D8AEE9F" w14:textId="77777777" w:rsidR="00E57DAA" w:rsidRDefault="00AC4185">
                <w:pPr>
                  <w:pStyle w:val="ad"/>
                  <w:jc w:val="center"/>
                  <w:rPr>
                    <w:rFonts w:ascii="宋体" w:hAnsi="宋体"/>
                  </w:rPr>
                </w:pPr>
                <w:r>
                  <w:rPr>
                    <w:rFonts w:ascii="宋体" w:hAnsi="宋体"/>
                  </w:rPr>
                  <w:t>前十名股东持股情况</w:t>
                </w:r>
                <w:r>
                  <w:rPr>
                    <w:rFonts w:ascii="宋体" w:hAnsi="宋体" w:hint="eastAsia"/>
                  </w:rPr>
                  <w:t>（不含通过转融通出借股份）</w:t>
                </w:r>
              </w:p>
            </w:tc>
          </w:sdtContent>
        </w:sdt>
      </w:tr>
      <w:tr w:rsidR="00E57DAA" w14:paraId="4E789E26" w14:textId="77777777">
        <w:trPr>
          <w:cantSplit/>
        </w:trPr>
        <w:sdt>
          <w:sdtPr>
            <w:tag w:val="_PLD_4e40ad86e5ee4c0cb28f819aa3924fb2"/>
            <w:id w:val="-1396051994"/>
          </w:sdtPr>
          <w:sdtEndPr/>
          <w:sdtContent>
            <w:tc>
              <w:tcPr>
                <w:tcW w:w="3964" w:type="dxa"/>
                <w:vMerge w:val="restart"/>
                <w:shd w:val="clear" w:color="auto" w:fill="auto"/>
                <w:vAlign w:val="center"/>
              </w:tcPr>
              <w:p w14:paraId="5E5A2357" w14:textId="77777777" w:rsidR="00E57DAA" w:rsidRDefault="00AC4185">
                <w:pPr>
                  <w:jc w:val="center"/>
                  <w:rPr>
                    <w:szCs w:val="21"/>
                  </w:rPr>
                </w:pPr>
                <w:r>
                  <w:rPr>
                    <w:szCs w:val="21"/>
                  </w:rPr>
                  <w:t>股东名称</w:t>
                </w:r>
              </w:p>
              <w:p w14:paraId="430AB079" w14:textId="77777777" w:rsidR="00E57DAA" w:rsidRDefault="00AC4185">
                <w:pPr>
                  <w:jc w:val="center"/>
                  <w:rPr>
                    <w:szCs w:val="21"/>
                  </w:rPr>
                </w:pPr>
                <w:r>
                  <w:rPr>
                    <w:rFonts w:hint="eastAsia"/>
                    <w:szCs w:val="21"/>
                  </w:rPr>
                  <w:t>（全称）</w:t>
                </w:r>
              </w:p>
            </w:tc>
          </w:sdtContent>
        </w:sdt>
        <w:sdt>
          <w:sdtPr>
            <w:tag w:val="_PLD_587b672a54ed4481b14f0963f010aefb"/>
            <w:id w:val="-1288898411"/>
          </w:sdtPr>
          <w:sdtEndPr/>
          <w:sdtContent>
            <w:tc>
              <w:tcPr>
                <w:tcW w:w="1661" w:type="dxa"/>
                <w:vMerge w:val="restart"/>
                <w:shd w:val="clear" w:color="auto" w:fill="auto"/>
                <w:vAlign w:val="center"/>
              </w:tcPr>
              <w:p w14:paraId="0C20F311" w14:textId="77777777" w:rsidR="00E57DAA" w:rsidRDefault="00AC4185">
                <w:pPr>
                  <w:jc w:val="center"/>
                  <w:rPr>
                    <w:szCs w:val="21"/>
                  </w:rPr>
                </w:pPr>
                <w:r>
                  <w:rPr>
                    <w:szCs w:val="21"/>
                  </w:rPr>
                  <w:t>报告期内增减</w:t>
                </w:r>
              </w:p>
            </w:tc>
          </w:sdtContent>
        </w:sdt>
        <w:sdt>
          <w:sdtPr>
            <w:tag w:val="_PLD_580f25e9dfa24c1d91f3845b6a6a42e5"/>
            <w:id w:val="-892426224"/>
          </w:sdtPr>
          <w:sdtEndPr/>
          <w:sdtContent>
            <w:tc>
              <w:tcPr>
                <w:tcW w:w="1581" w:type="dxa"/>
                <w:vMerge w:val="restart"/>
                <w:shd w:val="clear" w:color="auto" w:fill="auto"/>
                <w:vAlign w:val="center"/>
              </w:tcPr>
              <w:p w14:paraId="6719963C" w14:textId="77777777" w:rsidR="00E57DAA" w:rsidRDefault="00AC4185">
                <w:pPr>
                  <w:jc w:val="center"/>
                  <w:rPr>
                    <w:szCs w:val="21"/>
                  </w:rPr>
                </w:pPr>
                <w:r>
                  <w:rPr>
                    <w:szCs w:val="21"/>
                  </w:rPr>
                  <w:t>期末持股数量</w:t>
                </w:r>
              </w:p>
            </w:tc>
          </w:sdtContent>
        </w:sdt>
        <w:sdt>
          <w:sdtPr>
            <w:tag w:val="_PLD_e80658c5388c4bb0871489372e62334d"/>
            <w:id w:val="-674099863"/>
          </w:sdtPr>
          <w:sdtEndPr/>
          <w:sdtContent>
            <w:tc>
              <w:tcPr>
                <w:tcW w:w="927" w:type="dxa"/>
                <w:vMerge w:val="restart"/>
                <w:shd w:val="clear" w:color="auto" w:fill="auto"/>
                <w:vAlign w:val="center"/>
              </w:tcPr>
              <w:p w14:paraId="5BA56B70" w14:textId="77777777" w:rsidR="00E57DAA" w:rsidRDefault="00AC4185">
                <w:pPr>
                  <w:jc w:val="center"/>
                  <w:rPr>
                    <w:szCs w:val="21"/>
                  </w:rPr>
                </w:pPr>
                <w:r>
                  <w:rPr>
                    <w:szCs w:val="21"/>
                  </w:rPr>
                  <w:t>比例(%)</w:t>
                </w:r>
              </w:p>
            </w:tc>
          </w:sdtContent>
        </w:sdt>
        <w:sdt>
          <w:sdtPr>
            <w:rPr>
              <w:rFonts w:ascii="宋体" w:hAnsi="宋体"/>
            </w:rPr>
            <w:tag w:val="_PLD_0ed52eb839784cb0ab83b1692dc8b283"/>
            <w:id w:val="-1171172949"/>
          </w:sdtPr>
          <w:sdtEndPr/>
          <w:sdtContent>
            <w:tc>
              <w:tcPr>
                <w:tcW w:w="1678" w:type="dxa"/>
                <w:vMerge w:val="restart"/>
                <w:shd w:val="clear" w:color="auto" w:fill="auto"/>
                <w:vAlign w:val="center"/>
              </w:tcPr>
              <w:p w14:paraId="74179A40" w14:textId="77777777" w:rsidR="00E57DAA" w:rsidRDefault="00AC4185">
                <w:pPr>
                  <w:pStyle w:val="a3"/>
                  <w:rPr>
                    <w:rFonts w:ascii="宋体" w:hAnsi="宋体"/>
                    <w:bCs/>
                    <w:color w:val="00B050"/>
                  </w:rPr>
                </w:pPr>
                <w:r>
                  <w:rPr>
                    <w:rFonts w:ascii="宋体" w:hAnsi="宋体"/>
                    <w:bCs/>
                  </w:rPr>
                  <w:t>持有有限售条件股份数量</w:t>
                </w:r>
              </w:p>
            </w:tc>
          </w:sdtContent>
        </w:sdt>
        <w:sdt>
          <w:sdtPr>
            <w:tag w:val="_PLD_6d0fce9e7c914a578f4702348340f346"/>
            <w:id w:val="1661044695"/>
          </w:sdtPr>
          <w:sdtEndPr/>
          <w:sdtContent>
            <w:tc>
              <w:tcPr>
                <w:tcW w:w="2074" w:type="dxa"/>
                <w:gridSpan w:val="2"/>
                <w:shd w:val="clear" w:color="auto" w:fill="auto"/>
                <w:vAlign w:val="center"/>
              </w:tcPr>
              <w:p w14:paraId="48857F09" w14:textId="77777777" w:rsidR="00E57DAA" w:rsidRDefault="00AC4185">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1507592953"/>
          </w:sdtPr>
          <w:sdtEndPr/>
          <w:sdtContent>
            <w:tc>
              <w:tcPr>
                <w:tcW w:w="1978" w:type="dxa"/>
                <w:gridSpan w:val="2"/>
                <w:vMerge w:val="restart"/>
                <w:shd w:val="clear" w:color="auto" w:fill="auto"/>
                <w:vAlign w:val="center"/>
              </w:tcPr>
              <w:p w14:paraId="44676ACA" w14:textId="77777777" w:rsidR="00E57DAA" w:rsidRDefault="00AC4185">
                <w:pPr>
                  <w:jc w:val="center"/>
                  <w:rPr>
                    <w:szCs w:val="21"/>
                  </w:rPr>
                </w:pPr>
                <w:r>
                  <w:rPr>
                    <w:szCs w:val="21"/>
                  </w:rPr>
                  <w:t>股东性质</w:t>
                </w:r>
              </w:p>
            </w:tc>
          </w:sdtContent>
        </w:sdt>
      </w:tr>
      <w:tr w:rsidR="00E57DAA" w14:paraId="69BE2604" w14:textId="77777777">
        <w:trPr>
          <w:cantSplit/>
        </w:trPr>
        <w:tc>
          <w:tcPr>
            <w:tcW w:w="3964" w:type="dxa"/>
            <w:vMerge/>
            <w:tcBorders>
              <w:bottom w:val="single" w:sz="4" w:space="0" w:color="auto"/>
            </w:tcBorders>
            <w:shd w:val="clear" w:color="auto" w:fill="auto"/>
            <w:vAlign w:val="center"/>
          </w:tcPr>
          <w:p w14:paraId="0457FEAF" w14:textId="77777777" w:rsidR="00E57DAA" w:rsidRDefault="00E57DAA">
            <w:pPr>
              <w:jc w:val="center"/>
              <w:rPr>
                <w:szCs w:val="21"/>
              </w:rPr>
            </w:pPr>
          </w:p>
        </w:tc>
        <w:tc>
          <w:tcPr>
            <w:tcW w:w="1661" w:type="dxa"/>
            <w:vMerge/>
            <w:tcBorders>
              <w:bottom w:val="single" w:sz="4" w:space="0" w:color="auto"/>
            </w:tcBorders>
            <w:shd w:val="clear" w:color="auto" w:fill="auto"/>
            <w:vAlign w:val="center"/>
          </w:tcPr>
          <w:p w14:paraId="3ED2421C" w14:textId="77777777" w:rsidR="00E57DAA" w:rsidRDefault="00E57DAA">
            <w:pPr>
              <w:jc w:val="center"/>
              <w:rPr>
                <w:szCs w:val="21"/>
              </w:rPr>
            </w:pPr>
          </w:p>
        </w:tc>
        <w:tc>
          <w:tcPr>
            <w:tcW w:w="1581" w:type="dxa"/>
            <w:vMerge/>
            <w:tcBorders>
              <w:bottom w:val="single" w:sz="4" w:space="0" w:color="auto"/>
            </w:tcBorders>
            <w:shd w:val="clear" w:color="auto" w:fill="auto"/>
            <w:vAlign w:val="center"/>
          </w:tcPr>
          <w:p w14:paraId="233F1167" w14:textId="77777777" w:rsidR="00E57DAA" w:rsidRDefault="00E57DAA">
            <w:pPr>
              <w:jc w:val="center"/>
              <w:rPr>
                <w:szCs w:val="21"/>
              </w:rPr>
            </w:pPr>
          </w:p>
        </w:tc>
        <w:tc>
          <w:tcPr>
            <w:tcW w:w="927" w:type="dxa"/>
            <w:vMerge/>
            <w:tcBorders>
              <w:bottom w:val="single" w:sz="4" w:space="0" w:color="auto"/>
            </w:tcBorders>
            <w:shd w:val="clear" w:color="auto" w:fill="auto"/>
            <w:vAlign w:val="center"/>
          </w:tcPr>
          <w:p w14:paraId="458B5F1B" w14:textId="77777777" w:rsidR="00E57DAA" w:rsidRDefault="00E57DAA">
            <w:pPr>
              <w:jc w:val="center"/>
              <w:rPr>
                <w:szCs w:val="21"/>
              </w:rPr>
            </w:pPr>
          </w:p>
        </w:tc>
        <w:tc>
          <w:tcPr>
            <w:tcW w:w="1678" w:type="dxa"/>
            <w:vMerge/>
            <w:tcBorders>
              <w:bottom w:val="single" w:sz="4" w:space="0" w:color="auto"/>
            </w:tcBorders>
            <w:shd w:val="clear" w:color="auto" w:fill="auto"/>
            <w:vAlign w:val="center"/>
          </w:tcPr>
          <w:p w14:paraId="0ECC5B9D" w14:textId="77777777" w:rsidR="00E57DAA" w:rsidRDefault="00E57DAA">
            <w:pPr>
              <w:jc w:val="center"/>
              <w:rPr>
                <w:szCs w:val="21"/>
              </w:rPr>
            </w:pPr>
          </w:p>
        </w:tc>
        <w:sdt>
          <w:sdtPr>
            <w:tag w:val="_PLD_72b090b1925c46349c7beb3ca6c0032f"/>
            <w:id w:val="1822539816"/>
          </w:sdtPr>
          <w:sdtEndPr/>
          <w:sdtContent>
            <w:tc>
              <w:tcPr>
                <w:tcW w:w="1172" w:type="dxa"/>
                <w:tcBorders>
                  <w:bottom w:val="single" w:sz="4" w:space="0" w:color="auto"/>
                </w:tcBorders>
                <w:shd w:val="clear" w:color="auto" w:fill="auto"/>
                <w:vAlign w:val="center"/>
              </w:tcPr>
              <w:p w14:paraId="50E3507B" w14:textId="77777777" w:rsidR="00E57DAA" w:rsidRDefault="00AC4185">
                <w:pPr>
                  <w:jc w:val="center"/>
                  <w:rPr>
                    <w:szCs w:val="21"/>
                  </w:rPr>
                </w:pPr>
                <w:r>
                  <w:rPr>
                    <w:szCs w:val="21"/>
                  </w:rPr>
                  <w:t>股份状态</w:t>
                </w:r>
              </w:p>
            </w:tc>
          </w:sdtContent>
        </w:sdt>
        <w:sdt>
          <w:sdtPr>
            <w:tag w:val="_PLD_76e0ca0392384ff795b7613d764041da"/>
            <w:id w:val="474338377"/>
          </w:sdtPr>
          <w:sdtEndPr/>
          <w:sdtContent>
            <w:tc>
              <w:tcPr>
                <w:tcW w:w="902" w:type="dxa"/>
                <w:tcBorders>
                  <w:bottom w:val="single" w:sz="4" w:space="0" w:color="auto"/>
                </w:tcBorders>
                <w:shd w:val="clear" w:color="auto" w:fill="auto"/>
                <w:vAlign w:val="center"/>
              </w:tcPr>
              <w:p w14:paraId="3B934C3C" w14:textId="77777777" w:rsidR="00E57DAA" w:rsidRDefault="00AC4185">
                <w:pPr>
                  <w:jc w:val="center"/>
                  <w:rPr>
                    <w:szCs w:val="21"/>
                  </w:rPr>
                </w:pPr>
                <w:r>
                  <w:rPr>
                    <w:szCs w:val="21"/>
                  </w:rPr>
                  <w:t>数量</w:t>
                </w:r>
              </w:p>
            </w:tc>
          </w:sdtContent>
        </w:sdt>
        <w:tc>
          <w:tcPr>
            <w:tcW w:w="1978" w:type="dxa"/>
            <w:gridSpan w:val="2"/>
            <w:vMerge/>
            <w:shd w:val="clear" w:color="auto" w:fill="auto"/>
            <w:vAlign w:val="center"/>
          </w:tcPr>
          <w:p w14:paraId="1CE07390" w14:textId="77777777" w:rsidR="00E57DAA" w:rsidRDefault="00E57DAA">
            <w:pPr>
              <w:jc w:val="center"/>
              <w:rPr>
                <w:szCs w:val="21"/>
              </w:rPr>
            </w:pPr>
          </w:p>
        </w:tc>
      </w:tr>
      <w:tr w:rsidR="00E57DAA" w14:paraId="490B18B0" w14:textId="77777777">
        <w:trPr>
          <w:cantSplit/>
        </w:trPr>
        <w:tc>
          <w:tcPr>
            <w:tcW w:w="3964" w:type="dxa"/>
            <w:shd w:val="clear" w:color="auto" w:fill="auto"/>
            <w:vAlign w:val="center"/>
          </w:tcPr>
          <w:p w14:paraId="3EC544F7" w14:textId="77777777" w:rsidR="00E57DAA" w:rsidRDefault="00AC4185">
            <w:pPr>
              <w:rPr>
                <w:szCs w:val="21"/>
              </w:rPr>
            </w:pPr>
            <w:r>
              <w:rPr>
                <w:rFonts w:hint="eastAsia"/>
                <w:szCs w:val="21"/>
              </w:rPr>
              <w:t>中国建材股份有限公司</w:t>
            </w:r>
          </w:p>
        </w:tc>
        <w:tc>
          <w:tcPr>
            <w:tcW w:w="1661" w:type="dxa"/>
            <w:shd w:val="clear" w:color="auto" w:fill="auto"/>
            <w:vAlign w:val="center"/>
          </w:tcPr>
          <w:p w14:paraId="30F38595" w14:textId="77777777" w:rsidR="00E57DAA" w:rsidRDefault="00AC4185">
            <w:pPr>
              <w:jc w:val="right"/>
              <w:rPr>
                <w:szCs w:val="21"/>
              </w:rPr>
            </w:pPr>
            <w:r>
              <w:rPr>
                <w:szCs w:val="21"/>
              </w:rPr>
              <w:t>0</w:t>
            </w:r>
          </w:p>
        </w:tc>
        <w:tc>
          <w:tcPr>
            <w:tcW w:w="1581" w:type="dxa"/>
            <w:shd w:val="clear" w:color="auto" w:fill="auto"/>
            <w:vAlign w:val="center"/>
          </w:tcPr>
          <w:p w14:paraId="09587468" w14:textId="77777777" w:rsidR="00E57DAA" w:rsidRDefault="00AC4185">
            <w:pPr>
              <w:jc w:val="right"/>
              <w:rPr>
                <w:szCs w:val="21"/>
              </w:rPr>
            </w:pPr>
            <w:r>
              <w:rPr>
                <w:szCs w:val="21"/>
              </w:rPr>
              <w:t>1,082,389,012</w:t>
            </w:r>
          </w:p>
        </w:tc>
        <w:tc>
          <w:tcPr>
            <w:tcW w:w="927" w:type="dxa"/>
            <w:shd w:val="clear" w:color="auto" w:fill="auto"/>
            <w:vAlign w:val="center"/>
          </w:tcPr>
          <w:p w14:paraId="21767401" w14:textId="77777777" w:rsidR="00E57DAA" w:rsidRDefault="00AC4185">
            <w:pPr>
              <w:jc w:val="right"/>
              <w:rPr>
                <w:szCs w:val="21"/>
              </w:rPr>
            </w:pPr>
            <w:r>
              <w:rPr>
                <w:szCs w:val="21"/>
              </w:rPr>
              <w:t>40.96</w:t>
            </w:r>
          </w:p>
        </w:tc>
        <w:tc>
          <w:tcPr>
            <w:tcW w:w="1678" w:type="dxa"/>
            <w:shd w:val="clear" w:color="auto" w:fill="auto"/>
            <w:vAlign w:val="center"/>
          </w:tcPr>
          <w:p w14:paraId="584D0302" w14:textId="77777777" w:rsidR="00E57DAA" w:rsidRDefault="00AC4185">
            <w:pPr>
              <w:jc w:val="right"/>
              <w:rPr>
                <w:szCs w:val="21"/>
              </w:rPr>
            </w:pPr>
            <w:r>
              <w:rPr>
                <w:szCs w:val="21"/>
              </w:rPr>
              <w:t>385,994,184</w:t>
            </w:r>
          </w:p>
        </w:tc>
        <w:sdt>
          <w:sdtPr>
            <w:rPr>
              <w:szCs w:val="21"/>
            </w:rPr>
            <w:alias w:val="前十名股东持有股份状态"/>
            <w:tag w:val="_GBC_46a2e2b7fded452b84eec75a5e47296b"/>
            <w:id w:val="1732584398"/>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1D7949DB" w14:textId="77777777" w:rsidR="00E57DAA" w:rsidRDefault="00AC4185">
                <w:pPr>
                  <w:jc w:val="center"/>
                  <w:rPr>
                    <w:color w:val="FF9900"/>
                    <w:szCs w:val="21"/>
                  </w:rPr>
                </w:pPr>
                <w:r>
                  <w:rPr>
                    <w:szCs w:val="21"/>
                  </w:rPr>
                  <w:t>无</w:t>
                </w:r>
              </w:p>
            </w:tc>
          </w:sdtContent>
        </w:sdt>
        <w:tc>
          <w:tcPr>
            <w:tcW w:w="902" w:type="dxa"/>
            <w:shd w:val="clear" w:color="auto" w:fill="auto"/>
            <w:vAlign w:val="center"/>
          </w:tcPr>
          <w:p w14:paraId="51132023" w14:textId="77777777" w:rsidR="00E57DAA" w:rsidRDefault="00E57DAA">
            <w:pPr>
              <w:jc w:val="right"/>
              <w:rPr>
                <w:szCs w:val="21"/>
              </w:rPr>
            </w:pPr>
          </w:p>
        </w:tc>
        <w:sdt>
          <w:sdtPr>
            <w:rPr>
              <w:szCs w:val="21"/>
            </w:rPr>
            <w:alias w:val="前十名股东的股东性质"/>
            <w:tag w:val="_GBC_84391eccdbd14aa7bbd07a260ff9d747"/>
            <w:id w:val="-73886309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65C4C6CA" w14:textId="77777777" w:rsidR="00E57DAA" w:rsidRDefault="00AC4185">
                <w:pPr>
                  <w:rPr>
                    <w:color w:val="FF9900"/>
                    <w:szCs w:val="21"/>
                  </w:rPr>
                </w:pPr>
                <w:r>
                  <w:rPr>
                    <w:szCs w:val="21"/>
                  </w:rPr>
                  <w:t>国有法人</w:t>
                </w:r>
              </w:p>
            </w:tc>
          </w:sdtContent>
        </w:sdt>
      </w:tr>
      <w:tr w:rsidR="00E57DAA" w14:paraId="03EDD640" w14:textId="77777777">
        <w:trPr>
          <w:cantSplit/>
        </w:trPr>
        <w:tc>
          <w:tcPr>
            <w:tcW w:w="3964" w:type="dxa"/>
            <w:shd w:val="clear" w:color="auto" w:fill="auto"/>
            <w:vAlign w:val="center"/>
          </w:tcPr>
          <w:p w14:paraId="49BEE197" w14:textId="77777777" w:rsidR="00E57DAA" w:rsidRDefault="00AC4185">
            <w:pPr>
              <w:rPr>
                <w:szCs w:val="21"/>
              </w:rPr>
            </w:pPr>
            <w:r>
              <w:rPr>
                <w:rFonts w:hint="eastAsia"/>
                <w:szCs w:val="21"/>
              </w:rPr>
              <w:t>中国建筑材料科学研究总院有限公司</w:t>
            </w:r>
          </w:p>
        </w:tc>
        <w:tc>
          <w:tcPr>
            <w:tcW w:w="1661" w:type="dxa"/>
            <w:shd w:val="clear" w:color="auto" w:fill="auto"/>
            <w:vAlign w:val="center"/>
          </w:tcPr>
          <w:p w14:paraId="3AE14CE6" w14:textId="77777777" w:rsidR="00E57DAA" w:rsidRDefault="00AC4185">
            <w:pPr>
              <w:jc w:val="right"/>
              <w:rPr>
                <w:szCs w:val="21"/>
              </w:rPr>
            </w:pPr>
            <w:r>
              <w:rPr>
                <w:szCs w:val="21"/>
              </w:rPr>
              <w:t>366,878,106</w:t>
            </w:r>
          </w:p>
        </w:tc>
        <w:tc>
          <w:tcPr>
            <w:tcW w:w="1581" w:type="dxa"/>
            <w:shd w:val="clear" w:color="auto" w:fill="auto"/>
            <w:vAlign w:val="center"/>
          </w:tcPr>
          <w:p w14:paraId="704FF4BC" w14:textId="77777777" w:rsidR="00E57DAA" w:rsidRDefault="00AC4185">
            <w:pPr>
              <w:jc w:val="right"/>
              <w:rPr>
                <w:szCs w:val="21"/>
              </w:rPr>
            </w:pPr>
            <w:r>
              <w:rPr>
                <w:szCs w:val="21"/>
              </w:rPr>
              <w:t>412,123,292</w:t>
            </w:r>
          </w:p>
        </w:tc>
        <w:tc>
          <w:tcPr>
            <w:tcW w:w="927" w:type="dxa"/>
            <w:shd w:val="clear" w:color="auto" w:fill="auto"/>
            <w:vAlign w:val="center"/>
          </w:tcPr>
          <w:p w14:paraId="466CC0B0" w14:textId="77777777" w:rsidR="00E57DAA" w:rsidRDefault="00AC4185">
            <w:pPr>
              <w:jc w:val="right"/>
              <w:rPr>
                <w:szCs w:val="21"/>
              </w:rPr>
            </w:pPr>
            <w:r>
              <w:rPr>
                <w:szCs w:val="21"/>
              </w:rPr>
              <w:t>15.60</w:t>
            </w:r>
          </w:p>
        </w:tc>
        <w:tc>
          <w:tcPr>
            <w:tcW w:w="1678" w:type="dxa"/>
            <w:shd w:val="clear" w:color="auto" w:fill="auto"/>
            <w:vAlign w:val="center"/>
          </w:tcPr>
          <w:p w14:paraId="55290B75" w14:textId="77777777" w:rsidR="00E57DAA" w:rsidRDefault="00AC4185">
            <w:pPr>
              <w:jc w:val="right"/>
              <w:rPr>
                <w:szCs w:val="21"/>
              </w:rPr>
            </w:pPr>
            <w:r>
              <w:rPr>
                <w:szCs w:val="21"/>
              </w:rPr>
              <w:t>412,123,292</w:t>
            </w:r>
          </w:p>
        </w:tc>
        <w:sdt>
          <w:sdtPr>
            <w:rPr>
              <w:szCs w:val="21"/>
            </w:rPr>
            <w:alias w:val="前十名股东持有股份状态"/>
            <w:tag w:val="_GBC_46a2e2b7fded452b84eec75a5e47296b"/>
            <w:id w:val="202280929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22A97A72" w14:textId="77777777" w:rsidR="00E57DAA" w:rsidRDefault="00AC4185">
                <w:pPr>
                  <w:jc w:val="center"/>
                  <w:rPr>
                    <w:color w:val="FF9900"/>
                    <w:szCs w:val="21"/>
                  </w:rPr>
                </w:pPr>
                <w:r>
                  <w:rPr>
                    <w:szCs w:val="21"/>
                  </w:rPr>
                  <w:t>无</w:t>
                </w:r>
              </w:p>
            </w:tc>
          </w:sdtContent>
        </w:sdt>
        <w:tc>
          <w:tcPr>
            <w:tcW w:w="902" w:type="dxa"/>
            <w:shd w:val="clear" w:color="auto" w:fill="auto"/>
            <w:vAlign w:val="center"/>
          </w:tcPr>
          <w:p w14:paraId="5ACB3351" w14:textId="77777777" w:rsidR="00E57DAA" w:rsidRDefault="00E57DAA">
            <w:pPr>
              <w:jc w:val="right"/>
              <w:rPr>
                <w:szCs w:val="21"/>
              </w:rPr>
            </w:pPr>
          </w:p>
        </w:tc>
        <w:sdt>
          <w:sdtPr>
            <w:rPr>
              <w:szCs w:val="21"/>
            </w:rPr>
            <w:alias w:val="前十名股东的股东性质"/>
            <w:tag w:val="_GBC_84391eccdbd14aa7bbd07a260ff9d747"/>
            <w:id w:val="-88594453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407C8457" w14:textId="77777777" w:rsidR="00E57DAA" w:rsidRDefault="00AC4185">
                <w:pPr>
                  <w:rPr>
                    <w:color w:val="FF9900"/>
                    <w:szCs w:val="21"/>
                  </w:rPr>
                </w:pPr>
                <w:r>
                  <w:rPr>
                    <w:szCs w:val="21"/>
                  </w:rPr>
                  <w:t>国有法人</w:t>
                </w:r>
              </w:p>
            </w:tc>
          </w:sdtContent>
        </w:sdt>
      </w:tr>
      <w:tr w:rsidR="00E57DAA" w14:paraId="56C2974E" w14:textId="77777777">
        <w:trPr>
          <w:cantSplit/>
        </w:trPr>
        <w:tc>
          <w:tcPr>
            <w:tcW w:w="3964" w:type="dxa"/>
            <w:shd w:val="clear" w:color="auto" w:fill="auto"/>
            <w:vAlign w:val="center"/>
          </w:tcPr>
          <w:p w14:paraId="56410427" w14:textId="77777777" w:rsidR="00E57DAA" w:rsidRDefault="00AC4185">
            <w:pPr>
              <w:rPr>
                <w:szCs w:val="21"/>
              </w:rPr>
            </w:pPr>
            <w:r>
              <w:rPr>
                <w:rFonts w:hint="eastAsia"/>
                <w:szCs w:val="21"/>
              </w:rPr>
              <w:t>香港中央结算有限公司</w:t>
            </w:r>
          </w:p>
        </w:tc>
        <w:tc>
          <w:tcPr>
            <w:tcW w:w="1661" w:type="dxa"/>
            <w:shd w:val="clear" w:color="auto" w:fill="auto"/>
            <w:vAlign w:val="center"/>
          </w:tcPr>
          <w:p w14:paraId="17494122" w14:textId="77777777" w:rsidR="00E57DAA" w:rsidRDefault="00AC4185">
            <w:pPr>
              <w:jc w:val="right"/>
              <w:rPr>
                <w:szCs w:val="21"/>
              </w:rPr>
            </w:pPr>
            <w:r>
              <w:rPr>
                <w:szCs w:val="21"/>
              </w:rPr>
              <w:t>54,269,525</w:t>
            </w:r>
          </w:p>
        </w:tc>
        <w:tc>
          <w:tcPr>
            <w:tcW w:w="1581" w:type="dxa"/>
            <w:shd w:val="clear" w:color="auto" w:fill="auto"/>
            <w:vAlign w:val="center"/>
          </w:tcPr>
          <w:p w14:paraId="70547D94" w14:textId="77777777" w:rsidR="00E57DAA" w:rsidRDefault="00AC4185">
            <w:pPr>
              <w:jc w:val="right"/>
              <w:rPr>
                <w:szCs w:val="21"/>
              </w:rPr>
            </w:pPr>
            <w:r>
              <w:rPr>
                <w:szCs w:val="21"/>
              </w:rPr>
              <w:t>81,374,040</w:t>
            </w:r>
          </w:p>
        </w:tc>
        <w:tc>
          <w:tcPr>
            <w:tcW w:w="927" w:type="dxa"/>
            <w:shd w:val="clear" w:color="auto" w:fill="auto"/>
            <w:vAlign w:val="center"/>
          </w:tcPr>
          <w:p w14:paraId="74629ADD" w14:textId="77777777" w:rsidR="00E57DAA" w:rsidRDefault="00AC4185">
            <w:pPr>
              <w:jc w:val="right"/>
              <w:rPr>
                <w:szCs w:val="21"/>
              </w:rPr>
            </w:pPr>
            <w:r>
              <w:rPr>
                <w:szCs w:val="21"/>
              </w:rPr>
              <w:t>3.08</w:t>
            </w:r>
          </w:p>
        </w:tc>
        <w:tc>
          <w:tcPr>
            <w:tcW w:w="1678" w:type="dxa"/>
            <w:shd w:val="clear" w:color="auto" w:fill="auto"/>
            <w:vAlign w:val="center"/>
          </w:tcPr>
          <w:p w14:paraId="05DBF31F"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1901243321"/>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620A8FDA" w14:textId="77777777" w:rsidR="00E57DAA" w:rsidRDefault="00AC4185">
                <w:pPr>
                  <w:jc w:val="center"/>
                  <w:rPr>
                    <w:color w:val="FF9900"/>
                    <w:szCs w:val="21"/>
                  </w:rPr>
                </w:pPr>
                <w:r>
                  <w:rPr>
                    <w:szCs w:val="21"/>
                  </w:rPr>
                  <w:t>无</w:t>
                </w:r>
              </w:p>
            </w:tc>
          </w:sdtContent>
        </w:sdt>
        <w:tc>
          <w:tcPr>
            <w:tcW w:w="902" w:type="dxa"/>
            <w:shd w:val="clear" w:color="auto" w:fill="auto"/>
            <w:vAlign w:val="center"/>
          </w:tcPr>
          <w:p w14:paraId="4A3D82C0" w14:textId="77777777" w:rsidR="00E57DAA" w:rsidRDefault="00E57DAA">
            <w:pPr>
              <w:jc w:val="right"/>
              <w:rPr>
                <w:szCs w:val="21"/>
              </w:rPr>
            </w:pPr>
          </w:p>
        </w:tc>
        <w:sdt>
          <w:sdtPr>
            <w:rPr>
              <w:szCs w:val="21"/>
            </w:rPr>
            <w:alias w:val="前十名股东的股东性质"/>
            <w:tag w:val="_GBC_84391eccdbd14aa7bbd07a260ff9d747"/>
            <w:id w:val="114932592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34CDD073" w14:textId="77777777" w:rsidR="00E57DAA" w:rsidRDefault="00AC4185">
                <w:pPr>
                  <w:rPr>
                    <w:color w:val="FF9900"/>
                    <w:szCs w:val="21"/>
                  </w:rPr>
                </w:pPr>
                <w:r>
                  <w:rPr>
                    <w:szCs w:val="21"/>
                  </w:rPr>
                  <w:t>境外法人</w:t>
                </w:r>
              </w:p>
            </w:tc>
          </w:sdtContent>
        </w:sdt>
      </w:tr>
      <w:tr w:rsidR="00E57DAA" w14:paraId="58CA71F6" w14:textId="77777777">
        <w:trPr>
          <w:cantSplit/>
        </w:trPr>
        <w:tc>
          <w:tcPr>
            <w:tcW w:w="3964" w:type="dxa"/>
            <w:shd w:val="clear" w:color="auto" w:fill="auto"/>
            <w:vAlign w:val="center"/>
          </w:tcPr>
          <w:p w14:paraId="023368C7" w14:textId="77777777" w:rsidR="00E57DAA" w:rsidRDefault="00AC4185">
            <w:pPr>
              <w:rPr>
                <w:szCs w:val="21"/>
              </w:rPr>
            </w:pPr>
            <w:r>
              <w:rPr>
                <w:rFonts w:hint="eastAsia"/>
                <w:szCs w:val="21"/>
              </w:rPr>
              <w:t>中国建材国际工程集团有限公司</w:t>
            </w:r>
          </w:p>
        </w:tc>
        <w:tc>
          <w:tcPr>
            <w:tcW w:w="1661" w:type="dxa"/>
            <w:shd w:val="clear" w:color="auto" w:fill="auto"/>
            <w:vAlign w:val="center"/>
          </w:tcPr>
          <w:p w14:paraId="09473AD1" w14:textId="77777777" w:rsidR="00E57DAA" w:rsidRDefault="00AC4185">
            <w:pPr>
              <w:jc w:val="right"/>
              <w:rPr>
                <w:szCs w:val="21"/>
              </w:rPr>
            </w:pPr>
            <w:r>
              <w:rPr>
                <w:szCs w:val="21"/>
              </w:rPr>
              <w:t>0</w:t>
            </w:r>
          </w:p>
        </w:tc>
        <w:tc>
          <w:tcPr>
            <w:tcW w:w="1581" w:type="dxa"/>
            <w:shd w:val="clear" w:color="auto" w:fill="auto"/>
            <w:vAlign w:val="center"/>
          </w:tcPr>
          <w:p w14:paraId="0CA810F7" w14:textId="77777777" w:rsidR="00E57DAA" w:rsidRDefault="00AC4185">
            <w:pPr>
              <w:jc w:val="right"/>
              <w:rPr>
                <w:szCs w:val="21"/>
              </w:rPr>
            </w:pPr>
            <w:r>
              <w:rPr>
                <w:szCs w:val="21"/>
              </w:rPr>
              <w:t>45,245,186</w:t>
            </w:r>
          </w:p>
        </w:tc>
        <w:tc>
          <w:tcPr>
            <w:tcW w:w="927" w:type="dxa"/>
            <w:shd w:val="clear" w:color="auto" w:fill="auto"/>
            <w:vAlign w:val="center"/>
          </w:tcPr>
          <w:p w14:paraId="269F7E35" w14:textId="77777777" w:rsidR="00E57DAA" w:rsidRDefault="00AC4185">
            <w:pPr>
              <w:jc w:val="right"/>
              <w:rPr>
                <w:szCs w:val="21"/>
              </w:rPr>
            </w:pPr>
            <w:r>
              <w:rPr>
                <w:szCs w:val="21"/>
              </w:rPr>
              <w:t>1.71</w:t>
            </w:r>
          </w:p>
        </w:tc>
        <w:tc>
          <w:tcPr>
            <w:tcW w:w="1678" w:type="dxa"/>
            <w:shd w:val="clear" w:color="auto" w:fill="auto"/>
            <w:vAlign w:val="center"/>
          </w:tcPr>
          <w:p w14:paraId="4FB98176" w14:textId="77777777" w:rsidR="00E57DAA" w:rsidRDefault="00AC4185">
            <w:pPr>
              <w:jc w:val="right"/>
              <w:rPr>
                <w:szCs w:val="21"/>
              </w:rPr>
            </w:pPr>
            <w:r>
              <w:rPr>
                <w:szCs w:val="21"/>
              </w:rPr>
              <w:t>45,245,186</w:t>
            </w:r>
          </w:p>
        </w:tc>
        <w:sdt>
          <w:sdtPr>
            <w:rPr>
              <w:szCs w:val="21"/>
            </w:rPr>
            <w:alias w:val="前十名股东持有股份状态"/>
            <w:tag w:val="_GBC_46a2e2b7fded452b84eec75a5e47296b"/>
            <w:id w:val="3200496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1AA86662"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496C8143" w14:textId="77777777" w:rsidR="00E57DAA" w:rsidRDefault="00E57DAA">
            <w:pPr>
              <w:jc w:val="right"/>
              <w:rPr>
                <w:szCs w:val="21"/>
              </w:rPr>
            </w:pPr>
          </w:p>
        </w:tc>
        <w:sdt>
          <w:sdtPr>
            <w:rPr>
              <w:szCs w:val="21"/>
            </w:rPr>
            <w:alias w:val="前十名股东的股东性质"/>
            <w:tag w:val="_GBC_84391eccdbd14aa7bbd07a260ff9d747"/>
            <w:id w:val="-194237164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62A7C200" w14:textId="77777777" w:rsidR="00E57DAA" w:rsidRDefault="00AC4185">
                <w:pPr>
                  <w:rPr>
                    <w:color w:val="FF9900"/>
                    <w:szCs w:val="21"/>
                  </w:rPr>
                </w:pPr>
                <w:r>
                  <w:rPr>
                    <w:szCs w:val="21"/>
                  </w:rPr>
                  <w:t>国有法人</w:t>
                </w:r>
              </w:p>
            </w:tc>
          </w:sdtContent>
        </w:sdt>
      </w:tr>
      <w:tr w:rsidR="00E57DAA" w14:paraId="5E422B57" w14:textId="77777777">
        <w:trPr>
          <w:cantSplit/>
        </w:trPr>
        <w:tc>
          <w:tcPr>
            <w:tcW w:w="3964" w:type="dxa"/>
            <w:shd w:val="clear" w:color="auto" w:fill="auto"/>
            <w:vAlign w:val="center"/>
          </w:tcPr>
          <w:p w14:paraId="6982BCC9" w14:textId="77777777" w:rsidR="00E57DAA" w:rsidRDefault="00AC4185">
            <w:pPr>
              <w:rPr>
                <w:szCs w:val="21"/>
              </w:rPr>
            </w:pPr>
            <w:r>
              <w:rPr>
                <w:rFonts w:hint="eastAsia"/>
                <w:szCs w:val="21"/>
              </w:rPr>
              <w:t>王琴英</w:t>
            </w:r>
          </w:p>
        </w:tc>
        <w:tc>
          <w:tcPr>
            <w:tcW w:w="1661" w:type="dxa"/>
            <w:shd w:val="clear" w:color="auto" w:fill="auto"/>
            <w:vAlign w:val="center"/>
          </w:tcPr>
          <w:p w14:paraId="579163BA" w14:textId="77777777" w:rsidR="00E57DAA" w:rsidRDefault="00AC4185">
            <w:pPr>
              <w:jc w:val="right"/>
              <w:rPr>
                <w:szCs w:val="21"/>
              </w:rPr>
            </w:pPr>
            <w:r>
              <w:rPr>
                <w:szCs w:val="21"/>
              </w:rPr>
              <w:t>-13,153,875</w:t>
            </w:r>
          </w:p>
        </w:tc>
        <w:tc>
          <w:tcPr>
            <w:tcW w:w="1581" w:type="dxa"/>
            <w:shd w:val="clear" w:color="auto" w:fill="auto"/>
            <w:vAlign w:val="center"/>
          </w:tcPr>
          <w:p w14:paraId="7FABC84F" w14:textId="77777777" w:rsidR="00E57DAA" w:rsidRDefault="00AC4185">
            <w:pPr>
              <w:jc w:val="right"/>
              <w:rPr>
                <w:szCs w:val="21"/>
              </w:rPr>
            </w:pPr>
            <w:r>
              <w:rPr>
                <w:szCs w:val="21"/>
              </w:rPr>
              <w:t>37,113,018</w:t>
            </w:r>
          </w:p>
        </w:tc>
        <w:tc>
          <w:tcPr>
            <w:tcW w:w="927" w:type="dxa"/>
            <w:shd w:val="clear" w:color="auto" w:fill="auto"/>
            <w:vAlign w:val="center"/>
          </w:tcPr>
          <w:p w14:paraId="7C30748F" w14:textId="77777777" w:rsidR="00E57DAA" w:rsidRDefault="00AC4185">
            <w:pPr>
              <w:jc w:val="right"/>
              <w:rPr>
                <w:szCs w:val="21"/>
              </w:rPr>
            </w:pPr>
            <w:r>
              <w:rPr>
                <w:szCs w:val="21"/>
              </w:rPr>
              <w:t>1.40</w:t>
            </w:r>
          </w:p>
        </w:tc>
        <w:tc>
          <w:tcPr>
            <w:tcW w:w="1678" w:type="dxa"/>
            <w:shd w:val="clear" w:color="auto" w:fill="auto"/>
            <w:vAlign w:val="center"/>
          </w:tcPr>
          <w:p w14:paraId="69F48782"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40195531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64FF8647"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39CF3BE4" w14:textId="77777777" w:rsidR="00E57DAA" w:rsidRDefault="00E57DAA">
            <w:pPr>
              <w:jc w:val="right"/>
              <w:rPr>
                <w:szCs w:val="21"/>
              </w:rPr>
            </w:pPr>
          </w:p>
        </w:tc>
        <w:sdt>
          <w:sdtPr>
            <w:rPr>
              <w:szCs w:val="21"/>
            </w:rPr>
            <w:alias w:val="前十名股东的股东性质"/>
            <w:tag w:val="_GBC_84391eccdbd14aa7bbd07a260ff9d747"/>
            <w:id w:val="52537657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5E397B75" w14:textId="77777777" w:rsidR="00E57DAA" w:rsidRDefault="00AC4185">
                <w:pPr>
                  <w:rPr>
                    <w:color w:val="FF9900"/>
                    <w:szCs w:val="21"/>
                  </w:rPr>
                </w:pPr>
                <w:r>
                  <w:rPr>
                    <w:szCs w:val="21"/>
                  </w:rPr>
                  <w:t>境内自然人</w:t>
                </w:r>
              </w:p>
            </w:tc>
          </w:sdtContent>
        </w:sdt>
      </w:tr>
      <w:tr w:rsidR="00E57DAA" w14:paraId="626335C3" w14:textId="77777777">
        <w:trPr>
          <w:cantSplit/>
        </w:trPr>
        <w:tc>
          <w:tcPr>
            <w:tcW w:w="3964" w:type="dxa"/>
            <w:shd w:val="clear" w:color="auto" w:fill="auto"/>
            <w:vAlign w:val="center"/>
          </w:tcPr>
          <w:p w14:paraId="2B85A1C4" w14:textId="77777777" w:rsidR="00E57DAA" w:rsidRDefault="00AC4185">
            <w:pPr>
              <w:rPr>
                <w:szCs w:val="21"/>
              </w:rPr>
            </w:pPr>
            <w:r>
              <w:rPr>
                <w:rFonts w:hint="eastAsia"/>
                <w:szCs w:val="21"/>
              </w:rPr>
              <w:t>兴业银行股份有限公司－天弘永利债券型证券投资基金</w:t>
            </w:r>
          </w:p>
        </w:tc>
        <w:tc>
          <w:tcPr>
            <w:tcW w:w="1661" w:type="dxa"/>
            <w:shd w:val="clear" w:color="auto" w:fill="auto"/>
            <w:vAlign w:val="center"/>
          </w:tcPr>
          <w:p w14:paraId="409BAB07" w14:textId="77777777" w:rsidR="00E57DAA" w:rsidRDefault="00AC4185">
            <w:pPr>
              <w:jc w:val="right"/>
              <w:rPr>
                <w:szCs w:val="21"/>
              </w:rPr>
            </w:pPr>
            <w:r>
              <w:rPr>
                <w:szCs w:val="21"/>
              </w:rPr>
              <w:t>20,876,350</w:t>
            </w:r>
          </w:p>
        </w:tc>
        <w:tc>
          <w:tcPr>
            <w:tcW w:w="1581" w:type="dxa"/>
            <w:shd w:val="clear" w:color="auto" w:fill="auto"/>
            <w:vAlign w:val="center"/>
          </w:tcPr>
          <w:p w14:paraId="2EFD08AE" w14:textId="77777777" w:rsidR="00E57DAA" w:rsidRDefault="00AC4185">
            <w:pPr>
              <w:jc w:val="right"/>
              <w:rPr>
                <w:szCs w:val="21"/>
              </w:rPr>
            </w:pPr>
            <w:r>
              <w:rPr>
                <w:szCs w:val="21"/>
              </w:rPr>
              <w:t>22,956,050</w:t>
            </w:r>
          </w:p>
        </w:tc>
        <w:tc>
          <w:tcPr>
            <w:tcW w:w="927" w:type="dxa"/>
            <w:shd w:val="clear" w:color="auto" w:fill="auto"/>
            <w:vAlign w:val="center"/>
          </w:tcPr>
          <w:p w14:paraId="3C42CC95" w14:textId="77777777" w:rsidR="00E57DAA" w:rsidRDefault="00AC4185">
            <w:pPr>
              <w:jc w:val="right"/>
              <w:rPr>
                <w:szCs w:val="21"/>
              </w:rPr>
            </w:pPr>
            <w:r>
              <w:rPr>
                <w:szCs w:val="21"/>
              </w:rPr>
              <w:t>0.87</w:t>
            </w:r>
          </w:p>
        </w:tc>
        <w:tc>
          <w:tcPr>
            <w:tcW w:w="1678" w:type="dxa"/>
            <w:shd w:val="clear" w:color="auto" w:fill="auto"/>
            <w:vAlign w:val="center"/>
          </w:tcPr>
          <w:p w14:paraId="69AF5402"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407845111"/>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0636AF71"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7AF525F0" w14:textId="77777777" w:rsidR="00E57DAA" w:rsidRDefault="00E57DAA">
            <w:pPr>
              <w:jc w:val="right"/>
              <w:rPr>
                <w:szCs w:val="21"/>
              </w:rPr>
            </w:pPr>
          </w:p>
        </w:tc>
        <w:sdt>
          <w:sdtPr>
            <w:rPr>
              <w:szCs w:val="21"/>
            </w:rPr>
            <w:alias w:val="前十名股东的股东性质"/>
            <w:tag w:val="_GBC_84391eccdbd14aa7bbd07a260ff9d747"/>
            <w:id w:val="13576261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29BD689E" w14:textId="77777777" w:rsidR="00E57DAA" w:rsidRDefault="00AC4185">
                <w:pPr>
                  <w:rPr>
                    <w:color w:val="FF9900"/>
                    <w:szCs w:val="21"/>
                  </w:rPr>
                </w:pPr>
                <w:r>
                  <w:rPr>
                    <w:szCs w:val="21"/>
                  </w:rPr>
                  <w:t>未知</w:t>
                </w:r>
              </w:p>
            </w:tc>
          </w:sdtContent>
        </w:sdt>
      </w:tr>
      <w:tr w:rsidR="00E57DAA" w14:paraId="7A1BABD1" w14:textId="77777777">
        <w:trPr>
          <w:cantSplit/>
        </w:trPr>
        <w:tc>
          <w:tcPr>
            <w:tcW w:w="3964" w:type="dxa"/>
            <w:shd w:val="clear" w:color="auto" w:fill="auto"/>
            <w:vAlign w:val="center"/>
          </w:tcPr>
          <w:p w14:paraId="131254CE" w14:textId="77777777" w:rsidR="00E57DAA" w:rsidRDefault="00AC4185">
            <w:pPr>
              <w:rPr>
                <w:szCs w:val="21"/>
              </w:rPr>
            </w:pPr>
            <w:r>
              <w:rPr>
                <w:rFonts w:hint="eastAsia"/>
                <w:szCs w:val="21"/>
              </w:rPr>
              <w:t>刘玮巍</w:t>
            </w:r>
          </w:p>
        </w:tc>
        <w:tc>
          <w:tcPr>
            <w:tcW w:w="1661" w:type="dxa"/>
            <w:shd w:val="clear" w:color="auto" w:fill="auto"/>
            <w:vAlign w:val="center"/>
          </w:tcPr>
          <w:p w14:paraId="414C29F1" w14:textId="77777777" w:rsidR="00E57DAA" w:rsidRDefault="00AC4185">
            <w:pPr>
              <w:jc w:val="right"/>
              <w:rPr>
                <w:szCs w:val="21"/>
              </w:rPr>
            </w:pPr>
            <w:r>
              <w:rPr>
                <w:szCs w:val="21"/>
              </w:rPr>
              <w:t>400,000</w:t>
            </w:r>
          </w:p>
        </w:tc>
        <w:tc>
          <w:tcPr>
            <w:tcW w:w="1581" w:type="dxa"/>
            <w:shd w:val="clear" w:color="auto" w:fill="auto"/>
            <w:vAlign w:val="center"/>
          </w:tcPr>
          <w:p w14:paraId="21F1EADA" w14:textId="77777777" w:rsidR="00E57DAA" w:rsidRDefault="00AC4185">
            <w:pPr>
              <w:jc w:val="right"/>
              <w:rPr>
                <w:szCs w:val="21"/>
              </w:rPr>
            </w:pPr>
            <w:r>
              <w:rPr>
                <w:szCs w:val="21"/>
              </w:rPr>
              <w:t>22,739,082</w:t>
            </w:r>
          </w:p>
        </w:tc>
        <w:tc>
          <w:tcPr>
            <w:tcW w:w="927" w:type="dxa"/>
            <w:shd w:val="clear" w:color="auto" w:fill="auto"/>
            <w:vAlign w:val="center"/>
          </w:tcPr>
          <w:p w14:paraId="58CB810A" w14:textId="77777777" w:rsidR="00E57DAA" w:rsidRDefault="00AC4185">
            <w:pPr>
              <w:jc w:val="right"/>
              <w:rPr>
                <w:szCs w:val="21"/>
              </w:rPr>
            </w:pPr>
            <w:r>
              <w:rPr>
                <w:szCs w:val="21"/>
              </w:rPr>
              <w:t>0.86</w:t>
            </w:r>
          </w:p>
        </w:tc>
        <w:tc>
          <w:tcPr>
            <w:tcW w:w="1678" w:type="dxa"/>
            <w:shd w:val="clear" w:color="auto" w:fill="auto"/>
            <w:vAlign w:val="center"/>
          </w:tcPr>
          <w:p w14:paraId="1222404A"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1866323756"/>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470920B0"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4437D68E" w14:textId="77777777" w:rsidR="00E57DAA" w:rsidRDefault="00E57DAA">
            <w:pPr>
              <w:jc w:val="right"/>
              <w:rPr>
                <w:szCs w:val="21"/>
              </w:rPr>
            </w:pPr>
          </w:p>
        </w:tc>
        <w:sdt>
          <w:sdtPr>
            <w:rPr>
              <w:szCs w:val="21"/>
            </w:rPr>
            <w:alias w:val="前十名股东的股东性质"/>
            <w:tag w:val="_GBC_84391eccdbd14aa7bbd07a260ff9d747"/>
            <w:id w:val="28586028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2D2EDE87" w14:textId="77777777" w:rsidR="00E57DAA" w:rsidRDefault="00AC4185">
                <w:pPr>
                  <w:rPr>
                    <w:color w:val="FF9900"/>
                    <w:szCs w:val="21"/>
                  </w:rPr>
                </w:pPr>
                <w:r>
                  <w:rPr>
                    <w:szCs w:val="21"/>
                  </w:rPr>
                  <w:t>境内自然人</w:t>
                </w:r>
              </w:p>
            </w:tc>
          </w:sdtContent>
        </w:sdt>
      </w:tr>
      <w:tr w:rsidR="00E57DAA" w14:paraId="71F1BDC2" w14:textId="77777777">
        <w:trPr>
          <w:cantSplit/>
        </w:trPr>
        <w:tc>
          <w:tcPr>
            <w:tcW w:w="3964" w:type="dxa"/>
            <w:shd w:val="clear" w:color="auto" w:fill="auto"/>
            <w:vAlign w:val="center"/>
          </w:tcPr>
          <w:p w14:paraId="129B7BC5" w14:textId="77777777" w:rsidR="00E57DAA" w:rsidRDefault="00AC4185">
            <w:pPr>
              <w:rPr>
                <w:szCs w:val="21"/>
              </w:rPr>
            </w:pPr>
            <w:r>
              <w:rPr>
                <w:rFonts w:hint="eastAsia"/>
                <w:szCs w:val="21"/>
              </w:rPr>
              <w:t>国新投资有限公司</w:t>
            </w:r>
          </w:p>
        </w:tc>
        <w:tc>
          <w:tcPr>
            <w:tcW w:w="1661" w:type="dxa"/>
            <w:shd w:val="clear" w:color="auto" w:fill="auto"/>
            <w:vAlign w:val="center"/>
          </w:tcPr>
          <w:p w14:paraId="71E7FE5E" w14:textId="77777777" w:rsidR="00E57DAA" w:rsidRDefault="00AC4185">
            <w:pPr>
              <w:jc w:val="right"/>
              <w:rPr>
                <w:szCs w:val="21"/>
              </w:rPr>
            </w:pPr>
            <w:r>
              <w:rPr>
                <w:szCs w:val="21"/>
              </w:rPr>
              <w:t>18,878,393</w:t>
            </w:r>
          </w:p>
        </w:tc>
        <w:tc>
          <w:tcPr>
            <w:tcW w:w="1581" w:type="dxa"/>
            <w:shd w:val="clear" w:color="auto" w:fill="auto"/>
            <w:vAlign w:val="center"/>
          </w:tcPr>
          <w:p w14:paraId="6C165920" w14:textId="77777777" w:rsidR="00E57DAA" w:rsidRDefault="00AC4185">
            <w:pPr>
              <w:jc w:val="right"/>
              <w:rPr>
                <w:szCs w:val="21"/>
              </w:rPr>
            </w:pPr>
            <w:r>
              <w:rPr>
                <w:szCs w:val="21"/>
              </w:rPr>
              <w:t>21,657,243</w:t>
            </w:r>
          </w:p>
        </w:tc>
        <w:tc>
          <w:tcPr>
            <w:tcW w:w="927" w:type="dxa"/>
            <w:shd w:val="clear" w:color="auto" w:fill="auto"/>
            <w:vAlign w:val="center"/>
          </w:tcPr>
          <w:p w14:paraId="30661FEE" w14:textId="77777777" w:rsidR="00E57DAA" w:rsidRDefault="00AC4185">
            <w:pPr>
              <w:jc w:val="right"/>
              <w:rPr>
                <w:szCs w:val="21"/>
              </w:rPr>
            </w:pPr>
            <w:r>
              <w:rPr>
                <w:szCs w:val="21"/>
              </w:rPr>
              <w:t>0.82</w:t>
            </w:r>
          </w:p>
        </w:tc>
        <w:tc>
          <w:tcPr>
            <w:tcW w:w="1678" w:type="dxa"/>
            <w:shd w:val="clear" w:color="auto" w:fill="auto"/>
            <w:vAlign w:val="center"/>
          </w:tcPr>
          <w:p w14:paraId="58E3B850"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41450540"/>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3322C083"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57402732" w14:textId="77777777" w:rsidR="00E57DAA" w:rsidRDefault="00E57DAA">
            <w:pPr>
              <w:jc w:val="right"/>
              <w:rPr>
                <w:szCs w:val="21"/>
              </w:rPr>
            </w:pPr>
          </w:p>
        </w:tc>
        <w:sdt>
          <w:sdtPr>
            <w:rPr>
              <w:szCs w:val="21"/>
            </w:rPr>
            <w:alias w:val="前十名股东的股东性质"/>
            <w:tag w:val="_GBC_84391eccdbd14aa7bbd07a260ff9d747"/>
            <w:id w:val="-127863345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532C9F8D" w14:textId="77777777" w:rsidR="00E57DAA" w:rsidRDefault="00AC4185">
                <w:pPr>
                  <w:rPr>
                    <w:color w:val="FF9900"/>
                    <w:szCs w:val="21"/>
                  </w:rPr>
                </w:pPr>
                <w:r>
                  <w:rPr>
                    <w:szCs w:val="21"/>
                  </w:rPr>
                  <w:t>国有法人</w:t>
                </w:r>
              </w:p>
            </w:tc>
          </w:sdtContent>
        </w:sdt>
      </w:tr>
      <w:tr w:rsidR="00E57DAA" w14:paraId="2761CA6F" w14:textId="77777777">
        <w:trPr>
          <w:cantSplit/>
        </w:trPr>
        <w:tc>
          <w:tcPr>
            <w:tcW w:w="3964" w:type="dxa"/>
            <w:shd w:val="clear" w:color="auto" w:fill="auto"/>
            <w:vAlign w:val="center"/>
          </w:tcPr>
          <w:p w14:paraId="6209BE00" w14:textId="77777777" w:rsidR="00E57DAA" w:rsidRDefault="00AC4185">
            <w:pPr>
              <w:rPr>
                <w:szCs w:val="21"/>
              </w:rPr>
            </w:pPr>
            <w:r>
              <w:rPr>
                <w:rFonts w:hint="eastAsia"/>
                <w:szCs w:val="21"/>
              </w:rPr>
              <w:t>全国社保基金一一零组合</w:t>
            </w:r>
          </w:p>
        </w:tc>
        <w:tc>
          <w:tcPr>
            <w:tcW w:w="1661" w:type="dxa"/>
            <w:shd w:val="clear" w:color="auto" w:fill="auto"/>
            <w:vAlign w:val="center"/>
          </w:tcPr>
          <w:p w14:paraId="2ACAF006" w14:textId="77777777" w:rsidR="00E57DAA" w:rsidRDefault="00AC4185">
            <w:pPr>
              <w:jc w:val="right"/>
              <w:rPr>
                <w:szCs w:val="21"/>
              </w:rPr>
            </w:pPr>
            <w:r>
              <w:rPr>
                <w:szCs w:val="21"/>
              </w:rPr>
              <w:t>19,518,317</w:t>
            </w:r>
          </w:p>
        </w:tc>
        <w:tc>
          <w:tcPr>
            <w:tcW w:w="1581" w:type="dxa"/>
            <w:shd w:val="clear" w:color="auto" w:fill="auto"/>
            <w:vAlign w:val="center"/>
          </w:tcPr>
          <w:p w14:paraId="4666F0D8" w14:textId="77777777" w:rsidR="00E57DAA" w:rsidRDefault="00AC4185">
            <w:pPr>
              <w:jc w:val="right"/>
              <w:rPr>
                <w:szCs w:val="21"/>
              </w:rPr>
            </w:pPr>
            <w:r>
              <w:rPr>
                <w:szCs w:val="21"/>
              </w:rPr>
              <w:t>19,518,317</w:t>
            </w:r>
          </w:p>
        </w:tc>
        <w:tc>
          <w:tcPr>
            <w:tcW w:w="927" w:type="dxa"/>
            <w:shd w:val="clear" w:color="auto" w:fill="auto"/>
            <w:vAlign w:val="center"/>
          </w:tcPr>
          <w:p w14:paraId="76326010" w14:textId="77777777" w:rsidR="00E57DAA" w:rsidRDefault="00AC4185">
            <w:pPr>
              <w:jc w:val="right"/>
              <w:rPr>
                <w:szCs w:val="21"/>
              </w:rPr>
            </w:pPr>
            <w:r>
              <w:rPr>
                <w:szCs w:val="21"/>
              </w:rPr>
              <w:t>0.74</w:t>
            </w:r>
          </w:p>
        </w:tc>
        <w:tc>
          <w:tcPr>
            <w:tcW w:w="1678" w:type="dxa"/>
            <w:shd w:val="clear" w:color="auto" w:fill="auto"/>
            <w:vAlign w:val="center"/>
          </w:tcPr>
          <w:p w14:paraId="059C3E9A"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1649508844"/>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561A45ED"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48F986D7" w14:textId="77777777" w:rsidR="00E57DAA" w:rsidRDefault="00E57DAA">
            <w:pPr>
              <w:jc w:val="right"/>
              <w:rPr>
                <w:szCs w:val="21"/>
              </w:rPr>
            </w:pPr>
          </w:p>
        </w:tc>
        <w:sdt>
          <w:sdtPr>
            <w:rPr>
              <w:szCs w:val="21"/>
            </w:rPr>
            <w:alias w:val="前十名股东的股东性质"/>
            <w:tag w:val="_GBC_84391eccdbd14aa7bbd07a260ff9d747"/>
            <w:id w:val="44389293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27B6B59B" w14:textId="77777777" w:rsidR="00E57DAA" w:rsidRDefault="00AC4185">
                <w:pPr>
                  <w:rPr>
                    <w:color w:val="FF9900"/>
                    <w:szCs w:val="21"/>
                  </w:rPr>
                </w:pPr>
                <w:r>
                  <w:rPr>
                    <w:szCs w:val="21"/>
                  </w:rPr>
                  <w:t>未知</w:t>
                </w:r>
              </w:p>
            </w:tc>
          </w:sdtContent>
        </w:sdt>
      </w:tr>
      <w:tr w:rsidR="00E57DAA" w14:paraId="68F6408E" w14:textId="77777777">
        <w:trPr>
          <w:cantSplit/>
        </w:trPr>
        <w:tc>
          <w:tcPr>
            <w:tcW w:w="3964" w:type="dxa"/>
            <w:shd w:val="clear" w:color="auto" w:fill="auto"/>
            <w:vAlign w:val="center"/>
          </w:tcPr>
          <w:p w14:paraId="6D9FD6F8" w14:textId="77777777" w:rsidR="00E57DAA" w:rsidRDefault="00AC4185">
            <w:pPr>
              <w:rPr>
                <w:szCs w:val="21"/>
              </w:rPr>
            </w:pPr>
            <w:r>
              <w:rPr>
                <w:rFonts w:hint="eastAsia"/>
                <w:szCs w:val="21"/>
              </w:rPr>
              <w:t>中欧基金－农业银行－中国太平洋人寿股票相对收益型产品（保额分红）委托投资计划</w:t>
            </w:r>
          </w:p>
        </w:tc>
        <w:tc>
          <w:tcPr>
            <w:tcW w:w="1661" w:type="dxa"/>
            <w:shd w:val="clear" w:color="auto" w:fill="auto"/>
            <w:vAlign w:val="center"/>
          </w:tcPr>
          <w:p w14:paraId="2806CF59" w14:textId="77777777" w:rsidR="00E57DAA" w:rsidRDefault="00AC4185">
            <w:pPr>
              <w:jc w:val="right"/>
              <w:rPr>
                <w:szCs w:val="21"/>
              </w:rPr>
            </w:pPr>
            <w:r>
              <w:rPr>
                <w:szCs w:val="21"/>
              </w:rPr>
              <w:t>-1,544,100</w:t>
            </w:r>
          </w:p>
        </w:tc>
        <w:tc>
          <w:tcPr>
            <w:tcW w:w="1581" w:type="dxa"/>
            <w:shd w:val="clear" w:color="auto" w:fill="auto"/>
            <w:vAlign w:val="center"/>
          </w:tcPr>
          <w:p w14:paraId="284D4880" w14:textId="77777777" w:rsidR="00E57DAA" w:rsidRDefault="00AC4185">
            <w:pPr>
              <w:jc w:val="right"/>
              <w:rPr>
                <w:szCs w:val="21"/>
              </w:rPr>
            </w:pPr>
            <w:r>
              <w:rPr>
                <w:szCs w:val="21"/>
              </w:rPr>
              <w:t>15,454,856</w:t>
            </w:r>
          </w:p>
        </w:tc>
        <w:tc>
          <w:tcPr>
            <w:tcW w:w="927" w:type="dxa"/>
            <w:shd w:val="clear" w:color="auto" w:fill="auto"/>
            <w:vAlign w:val="center"/>
          </w:tcPr>
          <w:p w14:paraId="37E30EB2" w14:textId="77777777" w:rsidR="00E57DAA" w:rsidRDefault="00AC4185">
            <w:pPr>
              <w:jc w:val="right"/>
              <w:rPr>
                <w:szCs w:val="21"/>
              </w:rPr>
            </w:pPr>
            <w:r>
              <w:rPr>
                <w:szCs w:val="21"/>
              </w:rPr>
              <w:t>0.58</w:t>
            </w:r>
          </w:p>
        </w:tc>
        <w:tc>
          <w:tcPr>
            <w:tcW w:w="1678" w:type="dxa"/>
            <w:shd w:val="clear" w:color="auto" w:fill="auto"/>
            <w:vAlign w:val="center"/>
          </w:tcPr>
          <w:p w14:paraId="1CB7A559" w14:textId="77777777" w:rsidR="00E57DAA" w:rsidRDefault="00AC4185">
            <w:pPr>
              <w:jc w:val="right"/>
              <w:rPr>
                <w:szCs w:val="21"/>
              </w:rPr>
            </w:pPr>
            <w:r>
              <w:rPr>
                <w:rFonts w:hint="eastAsia"/>
                <w:szCs w:val="21"/>
              </w:rPr>
              <w:t>0</w:t>
            </w:r>
          </w:p>
        </w:tc>
        <w:sdt>
          <w:sdtPr>
            <w:rPr>
              <w:szCs w:val="21"/>
            </w:rPr>
            <w:alias w:val="前十名股东持有股份状态"/>
            <w:tag w:val="_GBC_46a2e2b7fded452b84eec75a5e47296b"/>
            <w:id w:val="66483162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172" w:type="dxa"/>
                <w:shd w:val="clear" w:color="auto" w:fill="auto"/>
                <w:vAlign w:val="center"/>
              </w:tcPr>
              <w:p w14:paraId="4C4F0346" w14:textId="77777777" w:rsidR="00E57DAA" w:rsidRDefault="00AC4185">
                <w:pPr>
                  <w:jc w:val="center"/>
                  <w:rPr>
                    <w:color w:val="FF9900"/>
                    <w:szCs w:val="21"/>
                  </w:rPr>
                </w:pPr>
                <w:r>
                  <w:rPr>
                    <w:rFonts w:hint="eastAsia"/>
                    <w:szCs w:val="21"/>
                  </w:rPr>
                  <w:t>无</w:t>
                </w:r>
              </w:p>
            </w:tc>
          </w:sdtContent>
        </w:sdt>
        <w:tc>
          <w:tcPr>
            <w:tcW w:w="902" w:type="dxa"/>
            <w:shd w:val="clear" w:color="auto" w:fill="auto"/>
            <w:vAlign w:val="center"/>
          </w:tcPr>
          <w:p w14:paraId="0E3D7A43" w14:textId="77777777" w:rsidR="00E57DAA" w:rsidRDefault="00E57DAA">
            <w:pPr>
              <w:jc w:val="right"/>
              <w:rPr>
                <w:szCs w:val="21"/>
              </w:rPr>
            </w:pPr>
          </w:p>
        </w:tc>
        <w:sdt>
          <w:sdtPr>
            <w:rPr>
              <w:szCs w:val="21"/>
            </w:rPr>
            <w:alias w:val="前十名股东的股东性质"/>
            <w:tag w:val="_GBC_84391eccdbd14aa7bbd07a260ff9d747"/>
            <w:id w:val="-164295160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978" w:type="dxa"/>
                <w:gridSpan w:val="2"/>
                <w:shd w:val="clear" w:color="auto" w:fill="auto"/>
                <w:vAlign w:val="center"/>
              </w:tcPr>
              <w:p w14:paraId="67880A0B" w14:textId="77777777" w:rsidR="00E57DAA" w:rsidRDefault="00AC4185">
                <w:pPr>
                  <w:rPr>
                    <w:color w:val="FF9900"/>
                    <w:szCs w:val="21"/>
                  </w:rPr>
                </w:pPr>
                <w:r>
                  <w:rPr>
                    <w:szCs w:val="21"/>
                  </w:rPr>
                  <w:t>未知</w:t>
                </w:r>
              </w:p>
            </w:tc>
          </w:sdtContent>
        </w:sdt>
      </w:tr>
      <w:tr w:rsidR="00E57DAA" w14:paraId="7F7FB311" w14:textId="77777777">
        <w:trPr>
          <w:cantSplit/>
        </w:trPr>
        <w:sdt>
          <w:sdtPr>
            <w:tag w:val="_PLD_7f241e5dc05a4ae7b61268f4f1627ca0"/>
            <w:id w:val="485752963"/>
          </w:sdtPr>
          <w:sdtEndPr/>
          <w:sdtContent>
            <w:tc>
              <w:tcPr>
                <w:tcW w:w="0" w:type="auto"/>
                <w:gridSpan w:val="9"/>
                <w:shd w:val="clear" w:color="auto" w:fill="auto"/>
                <w:vAlign w:val="center"/>
              </w:tcPr>
              <w:p w14:paraId="4A176B64" w14:textId="77777777" w:rsidR="00E57DAA" w:rsidRDefault="00AC4185">
                <w:pPr>
                  <w:jc w:val="center"/>
                  <w:rPr>
                    <w:color w:val="FF9900"/>
                    <w:szCs w:val="21"/>
                  </w:rPr>
                </w:pPr>
                <w:r>
                  <w:rPr>
                    <w:szCs w:val="21"/>
                  </w:rPr>
                  <w:t>前十名无限售条件股东持股情况</w:t>
                </w:r>
              </w:p>
            </w:tc>
          </w:sdtContent>
        </w:sdt>
      </w:tr>
      <w:tr w:rsidR="00E57DAA" w14:paraId="7F50C940" w14:textId="77777777">
        <w:trPr>
          <w:cantSplit/>
        </w:trPr>
        <w:sdt>
          <w:sdtPr>
            <w:tag w:val="_PLD_0443ad39720a4d59be87cdf7b0bc4970"/>
            <w:id w:val="-565724368"/>
          </w:sdtPr>
          <w:sdtEndPr/>
          <w:sdtContent>
            <w:tc>
              <w:tcPr>
                <w:tcW w:w="5625" w:type="dxa"/>
                <w:gridSpan w:val="2"/>
                <w:vMerge w:val="restart"/>
                <w:shd w:val="clear" w:color="auto" w:fill="auto"/>
                <w:vAlign w:val="center"/>
              </w:tcPr>
              <w:p w14:paraId="610587EA" w14:textId="77777777" w:rsidR="00E57DAA" w:rsidRDefault="00AC4185">
                <w:pPr>
                  <w:jc w:val="center"/>
                  <w:rPr>
                    <w:color w:val="FF9900"/>
                    <w:szCs w:val="21"/>
                  </w:rPr>
                </w:pPr>
                <w:r>
                  <w:t>股东名称</w:t>
                </w:r>
              </w:p>
            </w:tc>
          </w:sdtContent>
        </w:sdt>
        <w:sdt>
          <w:sdtPr>
            <w:tag w:val="_PLD_a7f143afa2b94466a44af03e770016b0"/>
            <w:id w:val="-1858496856"/>
          </w:sdtPr>
          <w:sdtEndPr/>
          <w:sdtContent>
            <w:tc>
              <w:tcPr>
                <w:tcW w:w="4186" w:type="dxa"/>
                <w:gridSpan w:val="3"/>
                <w:vMerge w:val="restart"/>
                <w:shd w:val="clear" w:color="auto" w:fill="auto"/>
                <w:vAlign w:val="center"/>
              </w:tcPr>
              <w:p w14:paraId="2C3BF5D9" w14:textId="77777777" w:rsidR="00E57DAA" w:rsidRDefault="00AC4185">
                <w:pPr>
                  <w:jc w:val="center"/>
                  <w:rPr>
                    <w:color w:val="FF9900"/>
                    <w:szCs w:val="21"/>
                  </w:rPr>
                </w:pPr>
                <w:r>
                  <w:t>持有无限售条件流通股的数量</w:t>
                </w:r>
              </w:p>
            </w:tc>
          </w:sdtContent>
        </w:sdt>
        <w:sdt>
          <w:sdtPr>
            <w:tag w:val="_PLD_fa97ca004a544042af7e1d7463bea345"/>
            <w:id w:val="293187076"/>
          </w:sdtPr>
          <w:sdtEndPr/>
          <w:sdtContent>
            <w:tc>
              <w:tcPr>
                <w:tcW w:w="4052" w:type="dxa"/>
                <w:gridSpan w:val="4"/>
                <w:tcBorders>
                  <w:bottom w:val="single" w:sz="4" w:space="0" w:color="auto"/>
                </w:tcBorders>
                <w:shd w:val="clear" w:color="auto" w:fill="auto"/>
                <w:vAlign w:val="center"/>
              </w:tcPr>
              <w:p w14:paraId="13535782" w14:textId="77777777" w:rsidR="00E57DAA" w:rsidRDefault="00AC4185">
                <w:pPr>
                  <w:jc w:val="center"/>
                  <w:rPr>
                    <w:color w:val="FF9900"/>
                    <w:szCs w:val="21"/>
                  </w:rPr>
                </w:pPr>
                <w:r>
                  <w:rPr>
                    <w:szCs w:val="21"/>
                  </w:rPr>
                  <w:t>股份种类</w:t>
                </w:r>
                <w:r>
                  <w:rPr>
                    <w:rFonts w:hint="eastAsia"/>
                    <w:szCs w:val="21"/>
                  </w:rPr>
                  <w:t>及数量</w:t>
                </w:r>
              </w:p>
            </w:tc>
          </w:sdtContent>
        </w:sdt>
      </w:tr>
      <w:tr w:rsidR="00E57DAA" w14:paraId="29394F35" w14:textId="77777777">
        <w:trPr>
          <w:cantSplit/>
        </w:trPr>
        <w:tc>
          <w:tcPr>
            <w:tcW w:w="5625" w:type="dxa"/>
            <w:gridSpan w:val="2"/>
            <w:vMerge/>
            <w:shd w:val="clear" w:color="auto" w:fill="auto"/>
            <w:vAlign w:val="center"/>
          </w:tcPr>
          <w:p w14:paraId="594590D6" w14:textId="77777777" w:rsidR="00E57DAA" w:rsidRDefault="00E57DAA">
            <w:pPr>
              <w:jc w:val="center"/>
              <w:rPr>
                <w:color w:val="FF9900"/>
                <w:szCs w:val="21"/>
              </w:rPr>
            </w:pPr>
          </w:p>
        </w:tc>
        <w:tc>
          <w:tcPr>
            <w:tcW w:w="4186" w:type="dxa"/>
            <w:gridSpan w:val="3"/>
            <w:vMerge/>
            <w:shd w:val="clear" w:color="auto" w:fill="auto"/>
            <w:vAlign w:val="center"/>
          </w:tcPr>
          <w:p w14:paraId="5CD253DB" w14:textId="77777777" w:rsidR="00E57DAA" w:rsidRDefault="00E57DAA">
            <w:pPr>
              <w:jc w:val="center"/>
              <w:rPr>
                <w:color w:val="FF9900"/>
                <w:szCs w:val="21"/>
              </w:rPr>
            </w:pPr>
          </w:p>
        </w:tc>
        <w:sdt>
          <w:sdtPr>
            <w:tag w:val="_PLD_e67773187f2f4233a6666596947248e8"/>
            <w:id w:val="859696908"/>
          </w:sdtPr>
          <w:sdtEndPr/>
          <w:sdtContent>
            <w:tc>
              <w:tcPr>
                <w:tcW w:w="2510" w:type="dxa"/>
                <w:gridSpan w:val="3"/>
                <w:shd w:val="clear" w:color="auto" w:fill="auto"/>
                <w:vAlign w:val="center"/>
              </w:tcPr>
              <w:p w14:paraId="0BE7EAE7" w14:textId="77777777" w:rsidR="00E57DAA" w:rsidRDefault="00AC4185">
                <w:pPr>
                  <w:jc w:val="center"/>
                  <w:rPr>
                    <w:color w:val="008000"/>
                    <w:szCs w:val="21"/>
                  </w:rPr>
                </w:pPr>
                <w:r>
                  <w:rPr>
                    <w:rFonts w:hint="eastAsia"/>
                    <w:szCs w:val="21"/>
                  </w:rPr>
                  <w:t>种类</w:t>
                </w:r>
              </w:p>
            </w:tc>
          </w:sdtContent>
        </w:sdt>
        <w:sdt>
          <w:sdtPr>
            <w:tag w:val="_PLD_2f2fd5088a82440f9265e00f4e298be0"/>
            <w:id w:val="309753447"/>
          </w:sdtPr>
          <w:sdtEndPr/>
          <w:sdtContent>
            <w:tc>
              <w:tcPr>
                <w:tcW w:w="0" w:type="auto"/>
                <w:shd w:val="clear" w:color="auto" w:fill="auto"/>
                <w:vAlign w:val="center"/>
              </w:tcPr>
              <w:p w14:paraId="5B2B5A70" w14:textId="77777777" w:rsidR="00E57DAA" w:rsidRDefault="00AC4185">
                <w:pPr>
                  <w:jc w:val="center"/>
                  <w:rPr>
                    <w:color w:val="008000"/>
                    <w:szCs w:val="21"/>
                  </w:rPr>
                </w:pPr>
                <w:r>
                  <w:rPr>
                    <w:rFonts w:hint="eastAsia"/>
                    <w:szCs w:val="21"/>
                  </w:rPr>
                  <w:t>数量</w:t>
                </w:r>
              </w:p>
            </w:tc>
          </w:sdtContent>
        </w:sdt>
      </w:tr>
      <w:tr w:rsidR="00E57DAA" w14:paraId="47E7CBA1" w14:textId="77777777">
        <w:trPr>
          <w:cantSplit/>
        </w:trPr>
        <w:tc>
          <w:tcPr>
            <w:tcW w:w="5625" w:type="dxa"/>
            <w:gridSpan w:val="2"/>
            <w:shd w:val="clear" w:color="auto" w:fill="auto"/>
            <w:vAlign w:val="center"/>
          </w:tcPr>
          <w:p w14:paraId="16A079E6" w14:textId="77777777" w:rsidR="00E57DAA" w:rsidRDefault="00AC4185">
            <w:pPr>
              <w:rPr>
                <w:szCs w:val="21"/>
              </w:rPr>
            </w:pPr>
            <w:r>
              <w:rPr>
                <w:rFonts w:hint="eastAsia"/>
                <w:szCs w:val="21"/>
              </w:rPr>
              <w:t>中国建材股份有限公司</w:t>
            </w:r>
          </w:p>
        </w:tc>
        <w:tc>
          <w:tcPr>
            <w:tcW w:w="4186" w:type="dxa"/>
            <w:gridSpan w:val="3"/>
            <w:shd w:val="clear" w:color="auto" w:fill="auto"/>
            <w:vAlign w:val="center"/>
          </w:tcPr>
          <w:p w14:paraId="257137A3" w14:textId="77777777" w:rsidR="00E57DAA" w:rsidRDefault="00AC4185">
            <w:pPr>
              <w:jc w:val="right"/>
              <w:rPr>
                <w:szCs w:val="21"/>
              </w:rPr>
            </w:pPr>
            <w:r>
              <w:rPr>
                <w:szCs w:val="21"/>
              </w:rPr>
              <w:t>696,394,828</w:t>
            </w:r>
          </w:p>
        </w:tc>
        <w:sdt>
          <w:sdtPr>
            <w:rPr>
              <w:bCs/>
              <w:szCs w:val="21"/>
            </w:rPr>
            <w:alias w:val="前十名无限售条件股东期末持有流通股的种类"/>
            <w:tag w:val="_GBC_b35ef493948141e0b9d0c3fd14aad59a"/>
            <w:id w:val="-1606419632"/>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510" w:type="dxa"/>
                <w:gridSpan w:val="3"/>
                <w:shd w:val="clear" w:color="auto" w:fill="auto"/>
                <w:vAlign w:val="center"/>
              </w:tcPr>
              <w:p w14:paraId="03701BD8" w14:textId="77777777" w:rsidR="00E57DAA" w:rsidRDefault="00AC4185">
                <w:pPr>
                  <w:jc w:val="center"/>
                  <w:rPr>
                    <w:bCs/>
                    <w:szCs w:val="21"/>
                  </w:rPr>
                </w:pPr>
                <w:r>
                  <w:rPr>
                    <w:bCs/>
                    <w:szCs w:val="21"/>
                  </w:rPr>
                  <w:t>人民币普通股</w:t>
                </w:r>
              </w:p>
            </w:tc>
          </w:sdtContent>
        </w:sdt>
        <w:tc>
          <w:tcPr>
            <w:tcW w:w="0" w:type="auto"/>
            <w:shd w:val="clear" w:color="auto" w:fill="auto"/>
            <w:vAlign w:val="center"/>
          </w:tcPr>
          <w:p w14:paraId="7EE8E6B6" w14:textId="77777777" w:rsidR="00E57DAA" w:rsidRDefault="00AC4185">
            <w:pPr>
              <w:jc w:val="right"/>
              <w:rPr>
                <w:szCs w:val="21"/>
              </w:rPr>
            </w:pPr>
            <w:r>
              <w:rPr>
                <w:szCs w:val="21"/>
              </w:rPr>
              <w:t>696,394,828</w:t>
            </w:r>
          </w:p>
        </w:tc>
      </w:tr>
      <w:tr w:rsidR="00E57DAA" w14:paraId="08F12304" w14:textId="77777777">
        <w:trPr>
          <w:cantSplit/>
        </w:trPr>
        <w:tc>
          <w:tcPr>
            <w:tcW w:w="5625" w:type="dxa"/>
            <w:gridSpan w:val="2"/>
            <w:shd w:val="clear" w:color="auto" w:fill="auto"/>
            <w:vAlign w:val="center"/>
          </w:tcPr>
          <w:p w14:paraId="227BAE8A" w14:textId="77777777" w:rsidR="00E57DAA" w:rsidRDefault="00AC4185">
            <w:pPr>
              <w:rPr>
                <w:szCs w:val="21"/>
              </w:rPr>
            </w:pPr>
            <w:r>
              <w:rPr>
                <w:rFonts w:hint="eastAsia"/>
                <w:szCs w:val="21"/>
              </w:rPr>
              <w:t>香港中央结算有限公司</w:t>
            </w:r>
          </w:p>
        </w:tc>
        <w:tc>
          <w:tcPr>
            <w:tcW w:w="4186" w:type="dxa"/>
            <w:gridSpan w:val="3"/>
            <w:shd w:val="clear" w:color="auto" w:fill="auto"/>
            <w:vAlign w:val="center"/>
          </w:tcPr>
          <w:p w14:paraId="7DE3AFCF" w14:textId="77777777" w:rsidR="00E57DAA" w:rsidRDefault="00AC4185">
            <w:pPr>
              <w:jc w:val="right"/>
              <w:rPr>
                <w:szCs w:val="21"/>
              </w:rPr>
            </w:pPr>
            <w:r>
              <w:rPr>
                <w:szCs w:val="21"/>
              </w:rPr>
              <w:t>81,374,040</w:t>
            </w:r>
          </w:p>
        </w:tc>
        <w:sdt>
          <w:sdtPr>
            <w:rPr>
              <w:bCs/>
              <w:szCs w:val="21"/>
            </w:rPr>
            <w:alias w:val="前十名无限售条件股东期末持有流通股的种类"/>
            <w:tag w:val="_GBC_b35ef493948141e0b9d0c3fd14aad59a"/>
            <w:id w:val="-190667563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2510" w:type="dxa"/>
                <w:gridSpan w:val="3"/>
                <w:shd w:val="clear" w:color="auto" w:fill="auto"/>
                <w:vAlign w:val="center"/>
              </w:tcPr>
              <w:p w14:paraId="22DC8393" w14:textId="77777777" w:rsidR="00E57DAA" w:rsidRDefault="00AC4185">
                <w:pPr>
                  <w:jc w:val="center"/>
                  <w:rPr>
                    <w:bCs/>
                    <w:szCs w:val="21"/>
                  </w:rPr>
                </w:pPr>
                <w:r>
                  <w:rPr>
                    <w:rFonts w:hint="eastAsia"/>
                    <w:bCs/>
                    <w:szCs w:val="21"/>
                  </w:rPr>
                  <w:t>人民币普通股</w:t>
                </w:r>
              </w:p>
            </w:tc>
          </w:sdtContent>
        </w:sdt>
        <w:tc>
          <w:tcPr>
            <w:tcW w:w="0" w:type="auto"/>
            <w:shd w:val="clear" w:color="auto" w:fill="auto"/>
            <w:vAlign w:val="center"/>
          </w:tcPr>
          <w:p w14:paraId="00B05D1F" w14:textId="77777777" w:rsidR="00E57DAA" w:rsidRDefault="00AC4185">
            <w:pPr>
              <w:jc w:val="right"/>
              <w:rPr>
                <w:szCs w:val="21"/>
              </w:rPr>
            </w:pPr>
            <w:r>
              <w:rPr>
                <w:szCs w:val="21"/>
              </w:rPr>
              <w:t>81,374,040</w:t>
            </w:r>
          </w:p>
        </w:tc>
      </w:tr>
      <w:tr w:rsidR="00E57DAA" w14:paraId="2DE1857A" w14:textId="77777777">
        <w:trPr>
          <w:cantSplit/>
        </w:trPr>
        <w:tc>
          <w:tcPr>
            <w:tcW w:w="5625" w:type="dxa"/>
            <w:gridSpan w:val="2"/>
            <w:shd w:val="clear" w:color="auto" w:fill="auto"/>
            <w:vAlign w:val="center"/>
          </w:tcPr>
          <w:p w14:paraId="25D8FF23" w14:textId="77777777" w:rsidR="00E57DAA" w:rsidRDefault="00AC4185">
            <w:pPr>
              <w:rPr>
                <w:szCs w:val="21"/>
              </w:rPr>
            </w:pPr>
            <w:r>
              <w:rPr>
                <w:rFonts w:hint="eastAsia"/>
                <w:szCs w:val="21"/>
              </w:rPr>
              <w:t>王琴英</w:t>
            </w:r>
          </w:p>
        </w:tc>
        <w:tc>
          <w:tcPr>
            <w:tcW w:w="4186" w:type="dxa"/>
            <w:gridSpan w:val="3"/>
            <w:shd w:val="clear" w:color="auto" w:fill="auto"/>
            <w:vAlign w:val="center"/>
          </w:tcPr>
          <w:p w14:paraId="10C0A6EA" w14:textId="77777777" w:rsidR="00E57DAA" w:rsidRDefault="00AC4185">
            <w:pPr>
              <w:jc w:val="right"/>
              <w:rPr>
                <w:szCs w:val="21"/>
              </w:rPr>
            </w:pPr>
            <w:r>
              <w:rPr>
                <w:szCs w:val="21"/>
              </w:rPr>
              <w:t>37,113,018</w:t>
            </w:r>
          </w:p>
        </w:tc>
        <w:tc>
          <w:tcPr>
            <w:tcW w:w="2510" w:type="dxa"/>
            <w:gridSpan w:val="3"/>
            <w:shd w:val="clear" w:color="auto" w:fill="auto"/>
            <w:vAlign w:val="center"/>
          </w:tcPr>
          <w:p w14:paraId="49D01BE3"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4FCAB07D" w14:textId="77777777" w:rsidR="00E57DAA" w:rsidRDefault="00AC4185">
            <w:pPr>
              <w:jc w:val="right"/>
              <w:rPr>
                <w:szCs w:val="21"/>
              </w:rPr>
            </w:pPr>
            <w:r>
              <w:t>37,113,018</w:t>
            </w:r>
          </w:p>
        </w:tc>
      </w:tr>
      <w:tr w:rsidR="00E57DAA" w14:paraId="1FB219FA" w14:textId="77777777">
        <w:trPr>
          <w:cantSplit/>
        </w:trPr>
        <w:tc>
          <w:tcPr>
            <w:tcW w:w="5625" w:type="dxa"/>
            <w:gridSpan w:val="2"/>
            <w:shd w:val="clear" w:color="auto" w:fill="auto"/>
            <w:vAlign w:val="center"/>
          </w:tcPr>
          <w:p w14:paraId="3FCA5989" w14:textId="77777777" w:rsidR="00E57DAA" w:rsidRDefault="00AC4185">
            <w:pPr>
              <w:rPr>
                <w:szCs w:val="21"/>
              </w:rPr>
            </w:pPr>
            <w:r>
              <w:rPr>
                <w:rFonts w:hint="eastAsia"/>
                <w:szCs w:val="21"/>
              </w:rPr>
              <w:t>兴业银行股份有限公司－天弘永利债券型证券投资基金</w:t>
            </w:r>
          </w:p>
        </w:tc>
        <w:tc>
          <w:tcPr>
            <w:tcW w:w="4186" w:type="dxa"/>
            <w:gridSpan w:val="3"/>
            <w:shd w:val="clear" w:color="auto" w:fill="auto"/>
            <w:vAlign w:val="center"/>
          </w:tcPr>
          <w:p w14:paraId="50D9A9CC" w14:textId="77777777" w:rsidR="00E57DAA" w:rsidRDefault="00AC4185">
            <w:pPr>
              <w:jc w:val="right"/>
              <w:rPr>
                <w:szCs w:val="21"/>
              </w:rPr>
            </w:pPr>
            <w:r>
              <w:rPr>
                <w:szCs w:val="21"/>
              </w:rPr>
              <w:t>22,956,050</w:t>
            </w:r>
          </w:p>
        </w:tc>
        <w:tc>
          <w:tcPr>
            <w:tcW w:w="2510" w:type="dxa"/>
            <w:gridSpan w:val="3"/>
            <w:shd w:val="clear" w:color="auto" w:fill="auto"/>
            <w:vAlign w:val="center"/>
          </w:tcPr>
          <w:p w14:paraId="4953C675"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2DF15E0E" w14:textId="77777777" w:rsidR="00E57DAA" w:rsidRDefault="00AC4185">
            <w:pPr>
              <w:jc w:val="right"/>
              <w:rPr>
                <w:szCs w:val="21"/>
              </w:rPr>
            </w:pPr>
            <w:r>
              <w:t>22,956,050</w:t>
            </w:r>
          </w:p>
        </w:tc>
      </w:tr>
      <w:tr w:rsidR="00E57DAA" w14:paraId="133E7CED" w14:textId="77777777">
        <w:trPr>
          <w:cantSplit/>
        </w:trPr>
        <w:tc>
          <w:tcPr>
            <w:tcW w:w="5625" w:type="dxa"/>
            <w:gridSpan w:val="2"/>
            <w:shd w:val="clear" w:color="auto" w:fill="auto"/>
            <w:vAlign w:val="center"/>
          </w:tcPr>
          <w:p w14:paraId="0E9B4BF6" w14:textId="77777777" w:rsidR="00E57DAA" w:rsidRDefault="00AC4185">
            <w:pPr>
              <w:rPr>
                <w:szCs w:val="21"/>
              </w:rPr>
            </w:pPr>
            <w:r>
              <w:rPr>
                <w:rFonts w:hint="eastAsia"/>
                <w:szCs w:val="21"/>
              </w:rPr>
              <w:t>刘玮巍</w:t>
            </w:r>
          </w:p>
        </w:tc>
        <w:tc>
          <w:tcPr>
            <w:tcW w:w="4186" w:type="dxa"/>
            <w:gridSpan w:val="3"/>
            <w:shd w:val="clear" w:color="auto" w:fill="auto"/>
            <w:vAlign w:val="center"/>
          </w:tcPr>
          <w:p w14:paraId="76BDE26C" w14:textId="77777777" w:rsidR="00E57DAA" w:rsidRDefault="00AC4185">
            <w:pPr>
              <w:jc w:val="right"/>
              <w:rPr>
                <w:szCs w:val="21"/>
              </w:rPr>
            </w:pPr>
            <w:r>
              <w:rPr>
                <w:szCs w:val="21"/>
              </w:rPr>
              <w:t>22,739,082</w:t>
            </w:r>
          </w:p>
        </w:tc>
        <w:tc>
          <w:tcPr>
            <w:tcW w:w="2510" w:type="dxa"/>
            <w:gridSpan w:val="3"/>
            <w:shd w:val="clear" w:color="auto" w:fill="auto"/>
            <w:vAlign w:val="center"/>
          </w:tcPr>
          <w:p w14:paraId="6DA44311"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51ADCA80" w14:textId="77777777" w:rsidR="00E57DAA" w:rsidRDefault="00AC4185">
            <w:pPr>
              <w:jc w:val="right"/>
              <w:rPr>
                <w:szCs w:val="21"/>
              </w:rPr>
            </w:pPr>
            <w:r>
              <w:t>22,739,082</w:t>
            </w:r>
          </w:p>
        </w:tc>
      </w:tr>
      <w:tr w:rsidR="00E57DAA" w14:paraId="056F1C59" w14:textId="77777777">
        <w:trPr>
          <w:cantSplit/>
        </w:trPr>
        <w:tc>
          <w:tcPr>
            <w:tcW w:w="5625" w:type="dxa"/>
            <w:gridSpan w:val="2"/>
            <w:shd w:val="clear" w:color="auto" w:fill="auto"/>
            <w:vAlign w:val="center"/>
          </w:tcPr>
          <w:p w14:paraId="5F4B3D34" w14:textId="77777777" w:rsidR="00E57DAA" w:rsidRDefault="00AC4185">
            <w:pPr>
              <w:rPr>
                <w:szCs w:val="21"/>
              </w:rPr>
            </w:pPr>
            <w:r>
              <w:rPr>
                <w:rFonts w:hint="eastAsia"/>
                <w:szCs w:val="21"/>
              </w:rPr>
              <w:t>国新投资有限公司</w:t>
            </w:r>
          </w:p>
        </w:tc>
        <w:tc>
          <w:tcPr>
            <w:tcW w:w="4186" w:type="dxa"/>
            <w:gridSpan w:val="3"/>
            <w:shd w:val="clear" w:color="auto" w:fill="auto"/>
            <w:vAlign w:val="center"/>
          </w:tcPr>
          <w:p w14:paraId="6477DB11" w14:textId="77777777" w:rsidR="00E57DAA" w:rsidRDefault="00AC4185">
            <w:pPr>
              <w:jc w:val="right"/>
              <w:rPr>
                <w:szCs w:val="21"/>
              </w:rPr>
            </w:pPr>
            <w:r>
              <w:rPr>
                <w:szCs w:val="21"/>
              </w:rPr>
              <w:t>21,657,243</w:t>
            </w:r>
          </w:p>
        </w:tc>
        <w:tc>
          <w:tcPr>
            <w:tcW w:w="2510" w:type="dxa"/>
            <w:gridSpan w:val="3"/>
            <w:shd w:val="clear" w:color="auto" w:fill="auto"/>
            <w:vAlign w:val="center"/>
          </w:tcPr>
          <w:p w14:paraId="651BF995"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7D42C43C" w14:textId="77777777" w:rsidR="00E57DAA" w:rsidRDefault="00AC4185">
            <w:pPr>
              <w:jc w:val="right"/>
              <w:rPr>
                <w:szCs w:val="21"/>
              </w:rPr>
            </w:pPr>
            <w:r>
              <w:t>21,657,243</w:t>
            </w:r>
          </w:p>
        </w:tc>
      </w:tr>
      <w:tr w:rsidR="00E57DAA" w14:paraId="5BD57CC8" w14:textId="77777777">
        <w:trPr>
          <w:cantSplit/>
        </w:trPr>
        <w:tc>
          <w:tcPr>
            <w:tcW w:w="5625" w:type="dxa"/>
            <w:gridSpan w:val="2"/>
            <w:shd w:val="clear" w:color="auto" w:fill="auto"/>
            <w:vAlign w:val="center"/>
          </w:tcPr>
          <w:p w14:paraId="129F4133" w14:textId="77777777" w:rsidR="00E57DAA" w:rsidRDefault="00AC4185">
            <w:pPr>
              <w:rPr>
                <w:szCs w:val="21"/>
              </w:rPr>
            </w:pPr>
            <w:r>
              <w:rPr>
                <w:rFonts w:hint="eastAsia"/>
                <w:szCs w:val="21"/>
              </w:rPr>
              <w:t>全国社保基金一一零组合</w:t>
            </w:r>
          </w:p>
        </w:tc>
        <w:tc>
          <w:tcPr>
            <w:tcW w:w="4186" w:type="dxa"/>
            <w:gridSpan w:val="3"/>
            <w:shd w:val="clear" w:color="auto" w:fill="auto"/>
            <w:vAlign w:val="center"/>
          </w:tcPr>
          <w:p w14:paraId="02950438" w14:textId="77777777" w:rsidR="00E57DAA" w:rsidRDefault="00AC4185">
            <w:pPr>
              <w:jc w:val="right"/>
              <w:rPr>
                <w:szCs w:val="21"/>
              </w:rPr>
            </w:pPr>
            <w:r>
              <w:rPr>
                <w:szCs w:val="21"/>
              </w:rPr>
              <w:t>19,518,317</w:t>
            </w:r>
          </w:p>
        </w:tc>
        <w:tc>
          <w:tcPr>
            <w:tcW w:w="2510" w:type="dxa"/>
            <w:gridSpan w:val="3"/>
            <w:shd w:val="clear" w:color="auto" w:fill="auto"/>
            <w:vAlign w:val="center"/>
          </w:tcPr>
          <w:p w14:paraId="29CF7EC9"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183F9F78" w14:textId="77777777" w:rsidR="00E57DAA" w:rsidRDefault="00AC4185">
            <w:pPr>
              <w:jc w:val="right"/>
              <w:rPr>
                <w:szCs w:val="21"/>
              </w:rPr>
            </w:pPr>
            <w:r>
              <w:t>19,518,317</w:t>
            </w:r>
          </w:p>
        </w:tc>
      </w:tr>
      <w:tr w:rsidR="00E57DAA" w14:paraId="2D17274B" w14:textId="77777777">
        <w:trPr>
          <w:cantSplit/>
        </w:trPr>
        <w:tc>
          <w:tcPr>
            <w:tcW w:w="5625" w:type="dxa"/>
            <w:gridSpan w:val="2"/>
            <w:shd w:val="clear" w:color="auto" w:fill="auto"/>
            <w:vAlign w:val="center"/>
          </w:tcPr>
          <w:p w14:paraId="2820FBB8" w14:textId="77777777" w:rsidR="00E57DAA" w:rsidRDefault="00AC4185">
            <w:pPr>
              <w:rPr>
                <w:szCs w:val="21"/>
              </w:rPr>
            </w:pPr>
            <w:r>
              <w:rPr>
                <w:rFonts w:hint="eastAsia"/>
                <w:szCs w:val="21"/>
              </w:rPr>
              <w:t>中欧基金－农业银行－中国太平洋人寿股票相对收益型产品（保额分红）委托投资计划</w:t>
            </w:r>
          </w:p>
        </w:tc>
        <w:tc>
          <w:tcPr>
            <w:tcW w:w="4186" w:type="dxa"/>
            <w:gridSpan w:val="3"/>
            <w:shd w:val="clear" w:color="auto" w:fill="auto"/>
            <w:vAlign w:val="center"/>
          </w:tcPr>
          <w:p w14:paraId="14658D60" w14:textId="77777777" w:rsidR="00E57DAA" w:rsidRDefault="00AC4185">
            <w:pPr>
              <w:jc w:val="right"/>
              <w:rPr>
                <w:szCs w:val="21"/>
              </w:rPr>
            </w:pPr>
            <w:r>
              <w:rPr>
                <w:szCs w:val="21"/>
              </w:rPr>
              <w:t>15,454,856</w:t>
            </w:r>
          </w:p>
        </w:tc>
        <w:tc>
          <w:tcPr>
            <w:tcW w:w="2510" w:type="dxa"/>
            <w:gridSpan w:val="3"/>
            <w:shd w:val="clear" w:color="auto" w:fill="auto"/>
            <w:vAlign w:val="center"/>
          </w:tcPr>
          <w:p w14:paraId="16ED52F3"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2993FB29" w14:textId="77777777" w:rsidR="00E57DAA" w:rsidRDefault="00AC4185">
            <w:pPr>
              <w:jc w:val="right"/>
              <w:rPr>
                <w:szCs w:val="21"/>
              </w:rPr>
            </w:pPr>
            <w:r>
              <w:t>15,454,856</w:t>
            </w:r>
          </w:p>
        </w:tc>
      </w:tr>
      <w:tr w:rsidR="00E57DAA" w14:paraId="0F1B4BFE" w14:textId="77777777">
        <w:trPr>
          <w:cantSplit/>
        </w:trPr>
        <w:tc>
          <w:tcPr>
            <w:tcW w:w="5625" w:type="dxa"/>
            <w:gridSpan w:val="2"/>
            <w:shd w:val="clear" w:color="auto" w:fill="auto"/>
          </w:tcPr>
          <w:p w14:paraId="6C4B2217" w14:textId="77777777" w:rsidR="00E57DAA" w:rsidRDefault="00AC4185">
            <w:pPr>
              <w:rPr>
                <w:szCs w:val="21"/>
              </w:rPr>
            </w:pPr>
            <w:r>
              <w:rPr>
                <w:rFonts w:hint="eastAsia"/>
              </w:rPr>
              <w:t>招商银行股份有限公司－中欧红利优享灵活配置混合型证券投资基金</w:t>
            </w:r>
          </w:p>
        </w:tc>
        <w:tc>
          <w:tcPr>
            <w:tcW w:w="4186" w:type="dxa"/>
            <w:gridSpan w:val="3"/>
            <w:shd w:val="clear" w:color="auto" w:fill="auto"/>
            <w:vAlign w:val="center"/>
          </w:tcPr>
          <w:p w14:paraId="1967AEE4" w14:textId="77777777" w:rsidR="00E57DAA" w:rsidRDefault="00AC4185">
            <w:pPr>
              <w:jc w:val="right"/>
              <w:rPr>
                <w:szCs w:val="21"/>
              </w:rPr>
            </w:pPr>
            <w:r>
              <w:t>13,878,584</w:t>
            </w:r>
          </w:p>
        </w:tc>
        <w:tc>
          <w:tcPr>
            <w:tcW w:w="2510" w:type="dxa"/>
            <w:gridSpan w:val="3"/>
            <w:shd w:val="clear" w:color="auto" w:fill="auto"/>
            <w:vAlign w:val="center"/>
          </w:tcPr>
          <w:p w14:paraId="39AD0EE9"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3F21CF52" w14:textId="77777777" w:rsidR="00E57DAA" w:rsidRDefault="00AC4185">
            <w:pPr>
              <w:jc w:val="right"/>
              <w:rPr>
                <w:szCs w:val="21"/>
              </w:rPr>
            </w:pPr>
            <w:r>
              <w:t>13,878,584</w:t>
            </w:r>
          </w:p>
        </w:tc>
      </w:tr>
      <w:tr w:rsidR="00E57DAA" w14:paraId="07040716" w14:textId="77777777">
        <w:trPr>
          <w:cantSplit/>
        </w:trPr>
        <w:tc>
          <w:tcPr>
            <w:tcW w:w="5625" w:type="dxa"/>
            <w:gridSpan w:val="2"/>
            <w:shd w:val="clear" w:color="auto" w:fill="auto"/>
          </w:tcPr>
          <w:p w14:paraId="253F0287" w14:textId="77777777" w:rsidR="00E57DAA" w:rsidRDefault="00AC4185">
            <w:pPr>
              <w:rPr>
                <w:szCs w:val="21"/>
              </w:rPr>
            </w:pPr>
            <w:r>
              <w:rPr>
                <w:rFonts w:hint="eastAsia"/>
              </w:rPr>
              <w:t>傅晓林</w:t>
            </w:r>
          </w:p>
        </w:tc>
        <w:tc>
          <w:tcPr>
            <w:tcW w:w="4186" w:type="dxa"/>
            <w:gridSpan w:val="3"/>
            <w:shd w:val="clear" w:color="auto" w:fill="auto"/>
            <w:vAlign w:val="center"/>
          </w:tcPr>
          <w:p w14:paraId="7D50B1CE" w14:textId="77777777" w:rsidR="00E57DAA" w:rsidRDefault="00AC4185">
            <w:pPr>
              <w:jc w:val="right"/>
              <w:rPr>
                <w:szCs w:val="21"/>
              </w:rPr>
            </w:pPr>
            <w:r>
              <w:t>12,696,100</w:t>
            </w:r>
          </w:p>
        </w:tc>
        <w:tc>
          <w:tcPr>
            <w:tcW w:w="2510" w:type="dxa"/>
            <w:gridSpan w:val="3"/>
            <w:shd w:val="clear" w:color="auto" w:fill="auto"/>
            <w:vAlign w:val="center"/>
          </w:tcPr>
          <w:p w14:paraId="1BC237F4" w14:textId="77777777" w:rsidR="00E57DAA" w:rsidRDefault="00AC4185">
            <w:pPr>
              <w:jc w:val="center"/>
              <w:rPr>
                <w:bCs/>
                <w:szCs w:val="21"/>
              </w:rPr>
            </w:pPr>
            <w:r>
              <w:rPr>
                <w:rFonts w:hint="eastAsia"/>
                <w:bCs/>
                <w:szCs w:val="21"/>
              </w:rPr>
              <w:t>人民币普通股</w:t>
            </w:r>
          </w:p>
        </w:tc>
        <w:tc>
          <w:tcPr>
            <w:tcW w:w="0" w:type="auto"/>
            <w:shd w:val="clear" w:color="auto" w:fill="auto"/>
            <w:vAlign w:val="center"/>
          </w:tcPr>
          <w:p w14:paraId="04E958E5" w14:textId="77777777" w:rsidR="00E57DAA" w:rsidRDefault="00AC4185">
            <w:pPr>
              <w:jc w:val="right"/>
              <w:rPr>
                <w:szCs w:val="21"/>
              </w:rPr>
            </w:pPr>
            <w:r>
              <w:t>12,696,100</w:t>
            </w:r>
          </w:p>
        </w:tc>
      </w:tr>
      <w:tr w:rsidR="00E57DAA" w14:paraId="26074F20" w14:textId="77777777">
        <w:trPr>
          <w:cantSplit/>
        </w:trPr>
        <w:tc>
          <w:tcPr>
            <w:tcW w:w="5625" w:type="dxa"/>
            <w:gridSpan w:val="2"/>
            <w:shd w:val="clear" w:color="auto" w:fill="auto"/>
            <w:vAlign w:val="center"/>
          </w:tcPr>
          <w:p w14:paraId="40908BD1" w14:textId="77777777" w:rsidR="00E57DAA" w:rsidRDefault="00AC4185">
            <w:pPr>
              <w:rPr>
                <w:szCs w:val="21"/>
              </w:rPr>
            </w:pPr>
            <w:r>
              <w:rPr>
                <w:rFonts w:hint="eastAsia"/>
              </w:rPr>
              <w:t>前十名股东中回购专户情况说明</w:t>
            </w:r>
          </w:p>
        </w:tc>
        <w:tc>
          <w:tcPr>
            <w:tcW w:w="8238" w:type="dxa"/>
            <w:gridSpan w:val="7"/>
            <w:shd w:val="clear" w:color="auto" w:fill="auto"/>
            <w:vAlign w:val="center"/>
          </w:tcPr>
          <w:p w14:paraId="0450ACF1" w14:textId="77777777" w:rsidR="00E57DAA" w:rsidRDefault="00AC4185">
            <w:pPr>
              <w:rPr>
                <w:szCs w:val="21"/>
              </w:rPr>
            </w:pPr>
            <w:r>
              <w:rPr>
                <w:rFonts w:hint="eastAsia"/>
                <w:szCs w:val="21"/>
              </w:rPr>
              <w:t>不适用</w:t>
            </w:r>
          </w:p>
        </w:tc>
      </w:tr>
      <w:tr w:rsidR="00E57DAA" w14:paraId="759CFA6A" w14:textId="77777777">
        <w:trPr>
          <w:cantSplit/>
        </w:trPr>
        <w:tc>
          <w:tcPr>
            <w:tcW w:w="5625" w:type="dxa"/>
            <w:gridSpan w:val="2"/>
            <w:shd w:val="clear" w:color="auto" w:fill="auto"/>
            <w:vAlign w:val="center"/>
          </w:tcPr>
          <w:p w14:paraId="01735399" w14:textId="77777777" w:rsidR="00E57DAA" w:rsidRDefault="00AC4185" w:rsidP="00C25422">
            <w:pPr>
              <w:pStyle w:val="92"/>
            </w:pPr>
            <w:r>
              <w:t>上述股东</w:t>
            </w:r>
            <w:r>
              <w:rPr>
                <w:rFonts w:hint="eastAsia"/>
              </w:rPr>
              <w:t>委托表决权、受托表决权、放弃表决权</w:t>
            </w:r>
            <w:r>
              <w:t>的说明</w:t>
            </w:r>
          </w:p>
        </w:tc>
        <w:tc>
          <w:tcPr>
            <w:tcW w:w="8238" w:type="dxa"/>
            <w:gridSpan w:val="7"/>
            <w:shd w:val="clear" w:color="auto" w:fill="auto"/>
            <w:vAlign w:val="center"/>
          </w:tcPr>
          <w:p w14:paraId="405AC74F" w14:textId="77777777" w:rsidR="00E57DAA" w:rsidRDefault="00AC4185">
            <w:pPr>
              <w:rPr>
                <w:szCs w:val="21"/>
              </w:rPr>
            </w:pPr>
            <w:r>
              <w:rPr>
                <w:rFonts w:hint="eastAsia"/>
                <w:szCs w:val="21"/>
              </w:rPr>
              <w:t>不适用</w:t>
            </w:r>
          </w:p>
        </w:tc>
      </w:tr>
      <w:tr w:rsidR="00E57DAA" w14:paraId="481C8B86" w14:textId="77777777">
        <w:trPr>
          <w:cantSplit/>
        </w:trPr>
        <w:tc>
          <w:tcPr>
            <w:tcW w:w="5625" w:type="dxa"/>
            <w:gridSpan w:val="2"/>
            <w:shd w:val="clear" w:color="auto" w:fill="auto"/>
            <w:vAlign w:val="center"/>
          </w:tcPr>
          <w:p w14:paraId="223F9C36" w14:textId="77777777" w:rsidR="00E57DAA" w:rsidRDefault="00AC4185">
            <w:pPr>
              <w:rPr>
                <w:szCs w:val="21"/>
              </w:rPr>
            </w:pPr>
            <w:r>
              <w:rPr>
                <w:szCs w:val="21"/>
              </w:rPr>
              <w:t>上述股东关联关系或一致行动的说明</w:t>
            </w:r>
          </w:p>
        </w:tc>
        <w:tc>
          <w:tcPr>
            <w:tcW w:w="8238" w:type="dxa"/>
            <w:gridSpan w:val="7"/>
            <w:shd w:val="clear" w:color="auto" w:fill="auto"/>
            <w:vAlign w:val="center"/>
          </w:tcPr>
          <w:p w14:paraId="7D588613" w14:textId="77777777" w:rsidR="00E57DAA" w:rsidRDefault="00AC4185">
            <w:pPr>
              <w:rPr>
                <w:szCs w:val="21"/>
              </w:rPr>
            </w:pPr>
            <w:r>
              <w:rPr>
                <w:rFonts w:hint="eastAsia"/>
                <w:szCs w:val="21"/>
              </w:rPr>
              <w:t>中国建材股份有限公司、中国建筑材料科学研究总院有限公司和中国建材国际工程集团有限公司同受中国建材集团有限公司控制，三者之间存在一致行动关系。公司未知其他股东之间是否存在关联关系或一致行动。</w:t>
            </w:r>
          </w:p>
        </w:tc>
      </w:tr>
      <w:tr w:rsidR="00E57DAA" w14:paraId="46AD46DF" w14:textId="77777777">
        <w:trPr>
          <w:cantSplit/>
        </w:trPr>
        <w:tc>
          <w:tcPr>
            <w:tcW w:w="5625" w:type="dxa"/>
            <w:gridSpan w:val="2"/>
            <w:shd w:val="clear" w:color="auto" w:fill="auto"/>
            <w:vAlign w:val="center"/>
          </w:tcPr>
          <w:p w14:paraId="0A218101" w14:textId="77777777" w:rsidR="00E57DAA" w:rsidRDefault="00AC4185">
            <w:pPr>
              <w:rPr>
                <w:szCs w:val="21"/>
              </w:rPr>
            </w:pPr>
            <w:r>
              <w:rPr>
                <w:rFonts w:hint="eastAsia"/>
                <w:szCs w:val="21"/>
              </w:rPr>
              <w:t>表决权恢复的优先股股东及持股数量的说明</w:t>
            </w:r>
          </w:p>
        </w:tc>
        <w:tc>
          <w:tcPr>
            <w:tcW w:w="8238" w:type="dxa"/>
            <w:gridSpan w:val="7"/>
            <w:shd w:val="clear" w:color="auto" w:fill="auto"/>
            <w:vAlign w:val="center"/>
          </w:tcPr>
          <w:p w14:paraId="425EB75D" w14:textId="77777777" w:rsidR="00E57DAA" w:rsidRDefault="00AC4185">
            <w:pPr>
              <w:rPr>
                <w:szCs w:val="21"/>
              </w:rPr>
            </w:pPr>
            <w:r>
              <w:rPr>
                <w:rFonts w:hint="eastAsia"/>
                <w:szCs w:val="21"/>
              </w:rPr>
              <w:t>不适用</w:t>
            </w:r>
          </w:p>
        </w:tc>
      </w:tr>
    </w:tbl>
    <w:p w14:paraId="0084BBEC" w14:textId="77777777" w:rsidR="00E57DAA" w:rsidRDefault="00E57DAA">
      <w:pPr>
        <w:rPr>
          <w:szCs w:val="21"/>
        </w:rPr>
      </w:pPr>
    </w:p>
    <w:p w14:paraId="7F29F737" w14:textId="77777777" w:rsidR="00E57DAA" w:rsidRDefault="00AC4185">
      <w:pPr>
        <w:rPr>
          <w:color w:val="C00000"/>
          <w:szCs w:val="21"/>
        </w:rPr>
      </w:pPr>
      <w:r>
        <w:rPr>
          <w:szCs w:val="21"/>
        </w:rPr>
        <w:t>前十名股东</w:t>
      </w:r>
      <w:r>
        <w:rPr>
          <w:rFonts w:hint="eastAsia"/>
          <w:szCs w:val="21"/>
        </w:rPr>
        <w:t>参与转融通业务出借股份情况</w:t>
      </w:r>
    </w:p>
    <w:bookmarkStart w:id="128" w:name="_Hlk155094173" w:displacedByCustomXml="next"/>
    <w:sdt>
      <w:sdtPr>
        <w:rPr>
          <w:bCs/>
          <w:szCs w:val="21"/>
        </w:rPr>
        <w:alias w:val="是否适用：前十名股东参与转融通业务出借股份情况[双击切换]"/>
        <w:tag w:val="_GBC_2d74b1abb153475cb0679c2ab4305c0d"/>
        <w:id w:val="1278755616"/>
        <w:placeholder>
          <w:docPart w:val="GBC22222222222222222222222222222"/>
        </w:placeholder>
      </w:sdtPr>
      <w:sdtEndPr/>
      <w:sdtContent>
        <w:p w14:paraId="07FDF8D0" w14:textId="77777777" w:rsidR="00E57DAA" w:rsidRDefault="00AC4185">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bookmarkEnd w:id="128"/>
    <w:p w14:paraId="353EFDEF" w14:textId="77777777" w:rsidR="00E57DAA" w:rsidRDefault="00E57DAA" w:rsidP="00C25422">
      <w:pPr>
        <w:pStyle w:val="92"/>
      </w:pPr>
    </w:p>
    <w:p w14:paraId="4CA08068" w14:textId="77777777" w:rsidR="00E57DAA" w:rsidRDefault="00AC4185">
      <w:pPr>
        <w:rPr>
          <w:szCs w:val="21"/>
        </w:rPr>
      </w:pPr>
      <w:r>
        <w:rPr>
          <w:szCs w:val="21"/>
        </w:rPr>
        <w:t>前十名股东</w:t>
      </w:r>
      <w:r>
        <w:rPr>
          <w:rFonts w:hint="eastAsia"/>
          <w:szCs w:val="21"/>
        </w:rPr>
        <w:t>较上期发生变化</w:t>
      </w:r>
    </w:p>
    <w:bookmarkStart w:id="129" w:name="_Hlk155094189" w:displacedByCustomXml="next"/>
    <w:sdt>
      <w:sdtPr>
        <w:rPr>
          <w:rFonts w:hint="eastAsia"/>
          <w:szCs w:val="21"/>
        </w:rPr>
        <w:alias w:val="是否适用：前十名股东较上期发生变化[双击切换]"/>
        <w:tag w:val="_GBC_610830f75bf04d59a67019ded47646e5"/>
        <w:id w:val="2123879486"/>
        <w:placeholder>
          <w:docPart w:val="GBC22222222222222222222222222222"/>
        </w:placeholder>
      </w:sdtPr>
      <w:sdtEndPr/>
      <w:sdtContent>
        <w:p w14:paraId="446AF3AB"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12B173" w14:textId="77777777" w:rsidR="00E57DAA" w:rsidRDefault="00AC4185">
      <w:pPr>
        <w:ind w:firstLineChars="1900" w:firstLine="3990"/>
        <w:jc w:val="right"/>
        <w:rPr>
          <w:szCs w:val="21"/>
        </w:rPr>
      </w:pPr>
      <w:r>
        <w:rPr>
          <w:bCs/>
          <w:szCs w:val="21"/>
        </w:rPr>
        <w:t>单位:</w:t>
      </w:r>
      <w:sdt>
        <w:sdtPr>
          <w:rPr>
            <w:bCs/>
            <w:szCs w:val="21"/>
          </w:rPr>
          <w:alias w:val="单位：前十名股东较上期发生变化"/>
          <w:tag w:val="_GBC_2e2345e201c045cbaec550c5344158ba"/>
          <w:id w:val="-1158770656"/>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bCs/>
              <w:szCs w:val="21"/>
            </w:rPr>
            <w:t>股</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7"/>
        <w:gridCol w:w="1533"/>
        <w:gridCol w:w="1422"/>
        <w:gridCol w:w="1275"/>
        <w:gridCol w:w="2199"/>
        <w:gridCol w:w="1747"/>
      </w:tblGrid>
      <w:tr w:rsidR="00E57DAA" w14:paraId="5D9E0CA7" w14:textId="77777777">
        <w:trPr>
          <w:cantSplit/>
        </w:trPr>
        <w:sdt>
          <w:sdtPr>
            <w:rPr>
              <w:rFonts w:ascii="宋体" w:hAnsi="宋体"/>
            </w:rPr>
            <w:tag w:val="_PLD_51eb60cfc0e345eda1874e4575b3c0bb"/>
            <w:id w:val="-2049438264"/>
          </w:sdtPr>
          <w:sdtEndPr/>
          <w:sdtContent>
            <w:tc>
              <w:tcPr>
                <w:tcW w:w="5000" w:type="pct"/>
                <w:gridSpan w:val="6"/>
              </w:tcPr>
              <w:p w14:paraId="262E69D0" w14:textId="77777777" w:rsidR="00E57DAA" w:rsidRDefault="00AC4185">
                <w:pPr>
                  <w:pStyle w:val="ad"/>
                  <w:jc w:val="center"/>
                </w:pPr>
                <w:r>
                  <w:rPr>
                    <w:rFonts w:ascii="宋体" w:hAnsi="宋体"/>
                  </w:rPr>
                  <w:t>前十名股东</w:t>
                </w:r>
                <w:r>
                  <w:rPr>
                    <w:rFonts w:ascii="宋体" w:hAnsi="宋体" w:hint="eastAsia"/>
                  </w:rPr>
                  <w:t>较上期末变化</w:t>
                </w:r>
                <w:r>
                  <w:rPr>
                    <w:rFonts w:ascii="宋体" w:hAnsi="宋体"/>
                  </w:rPr>
                  <w:t>情况</w:t>
                </w:r>
              </w:p>
            </w:tc>
          </w:sdtContent>
        </w:sdt>
      </w:tr>
      <w:tr w:rsidR="00E57DAA" w14:paraId="62591880" w14:textId="77777777">
        <w:trPr>
          <w:cantSplit/>
          <w:trHeight w:val="555"/>
        </w:trPr>
        <w:sdt>
          <w:sdtPr>
            <w:rPr>
              <w:szCs w:val="21"/>
            </w:rPr>
            <w:tag w:val="_PLD_7a9fa5bc6c434f078e8093637cfd2dcb"/>
            <w:id w:val="196359847"/>
          </w:sdtPr>
          <w:sdtEndPr>
            <w:rPr>
              <w:rFonts w:hint="eastAsia"/>
            </w:rPr>
          </w:sdtEndPr>
          <w:sdtContent>
            <w:tc>
              <w:tcPr>
                <w:tcW w:w="2051" w:type="pct"/>
                <w:vMerge w:val="restart"/>
                <w:shd w:val="clear" w:color="auto" w:fill="auto"/>
                <w:vAlign w:val="center"/>
              </w:tcPr>
              <w:p w14:paraId="1358566F" w14:textId="77777777" w:rsidR="00E57DAA" w:rsidRDefault="00AC4185">
                <w:pPr>
                  <w:jc w:val="center"/>
                  <w:rPr>
                    <w:szCs w:val="21"/>
                  </w:rPr>
                </w:pPr>
                <w:r>
                  <w:rPr>
                    <w:szCs w:val="21"/>
                  </w:rPr>
                  <w:t>股东名称</w:t>
                </w:r>
                <w:r>
                  <w:rPr>
                    <w:rFonts w:hint="eastAsia"/>
                    <w:szCs w:val="21"/>
                  </w:rPr>
                  <w:t>（全称）</w:t>
                </w:r>
              </w:p>
            </w:tc>
          </w:sdtContent>
        </w:sdt>
        <w:sdt>
          <w:sdtPr>
            <w:rPr>
              <w:rFonts w:hint="eastAsia"/>
              <w:szCs w:val="21"/>
            </w:rPr>
            <w:tag w:val="_PLD_e3ee28fd5d6448a186c343b94bb825b8"/>
            <w:id w:val="-303083462"/>
          </w:sdtPr>
          <w:sdtEndPr/>
          <w:sdtContent>
            <w:tc>
              <w:tcPr>
                <w:tcW w:w="553" w:type="pct"/>
                <w:vMerge w:val="restart"/>
                <w:shd w:val="clear" w:color="auto" w:fill="auto"/>
                <w:vAlign w:val="center"/>
              </w:tcPr>
              <w:p w14:paraId="3EF8AC27" w14:textId="77777777" w:rsidR="00E57DAA" w:rsidRDefault="00AC4185">
                <w:pPr>
                  <w:jc w:val="center"/>
                  <w:rPr>
                    <w:szCs w:val="21"/>
                  </w:rPr>
                </w:pPr>
                <w:r>
                  <w:rPr>
                    <w:rFonts w:hint="eastAsia"/>
                    <w:szCs w:val="21"/>
                  </w:rPr>
                  <w:t>本报告期新增/退出</w:t>
                </w:r>
              </w:p>
            </w:tc>
          </w:sdtContent>
        </w:sdt>
        <w:sdt>
          <w:sdtPr>
            <w:rPr>
              <w:rFonts w:hint="eastAsia"/>
              <w:szCs w:val="21"/>
            </w:rPr>
            <w:tag w:val="_PLD_cfec23d275a1487ea21e1d9f193811de"/>
            <w:id w:val="540249043"/>
          </w:sdtPr>
          <w:sdtEndPr/>
          <w:sdtContent>
            <w:tc>
              <w:tcPr>
                <w:tcW w:w="973" w:type="pct"/>
                <w:gridSpan w:val="2"/>
                <w:shd w:val="clear" w:color="auto" w:fill="auto"/>
                <w:vAlign w:val="center"/>
              </w:tcPr>
              <w:p w14:paraId="64F1271D" w14:textId="77777777" w:rsidR="00E57DAA" w:rsidRDefault="00AC4185">
                <w:pPr>
                  <w:jc w:val="center"/>
                  <w:rPr>
                    <w:szCs w:val="21"/>
                  </w:rPr>
                </w:pPr>
                <w:r>
                  <w:rPr>
                    <w:rFonts w:hint="eastAsia"/>
                    <w:szCs w:val="21"/>
                  </w:rPr>
                  <w:t>期末转融通出借股份且尚未归还数量</w:t>
                </w:r>
              </w:p>
            </w:tc>
          </w:sdtContent>
        </w:sdt>
        <w:sdt>
          <w:sdtPr>
            <w:rPr>
              <w:rFonts w:hint="eastAsia"/>
              <w:szCs w:val="21"/>
            </w:rPr>
            <w:tag w:val="_PLD_97598607938142ba9df407815c42c99e"/>
            <w:id w:val="-2038262906"/>
          </w:sdtPr>
          <w:sdtEndPr/>
          <w:sdtContent>
            <w:tc>
              <w:tcPr>
                <w:tcW w:w="1423" w:type="pct"/>
                <w:gridSpan w:val="2"/>
                <w:vAlign w:val="center"/>
              </w:tcPr>
              <w:p w14:paraId="1276604D" w14:textId="77777777" w:rsidR="00E57DAA" w:rsidRDefault="00AC4185">
                <w:pPr>
                  <w:jc w:val="center"/>
                  <w:rPr>
                    <w:szCs w:val="21"/>
                  </w:rPr>
                </w:pPr>
                <w:r>
                  <w:rPr>
                    <w:rFonts w:hint="eastAsia"/>
                    <w:szCs w:val="21"/>
                  </w:rPr>
                  <w:t>期末股东普通账户、信用账户持股以及转融通出借尚未归还的股份数量</w:t>
                </w:r>
              </w:p>
            </w:tc>
          </w:sdtContent>
        </w:sdt>
      </w:tr>
      <w:tr w:rsidR="00E57DAA" w14:paraId="35CB7FEA" w14:textId="77777777">
        <w:trPr>
          <w:cantSplit/>
          <w:trHeight w:val="70"/>
        </w:trPr>
        <w:tc>
          <w:tcPr>
            <w:tcW w:w="2051" w:type="pct"/>
            <w:vMerge/>
            <w:shd w:val="clear" w:color="auto" w:fill="auto"/>
            <w:vAlign w:val="center"/>
          </w:tcPr>
          <w:p w14:paraId="0F0DDEFD" w14:textId="77777777" w:rsidR="00E57DAA" w:rsidRDefault="00E57DAA">
            <w:pPr>
              <w:rPr>
                <w:szCs w:val="21"/>
              </w:rPr>
            </w:pPr>
          </w:p>
        </w:tc>
        <w:tc>
          <w:tcPr>
            <w:tcW w:w="553" w:type="pct"/>
            <w:vMerge/>
            <w:shd w:val="clear" w:color="auto" w:fill="auto"/>
            <w:vAlign w:val="center"/>
          </w:tcPr>
          <w:p w14:paraId="22304663" w14:textId="77777777" w:rsidR="00E57DAA" w:rsidRDefault="00E57DAA">
            <w:pPr>
              <w:jc w:val="right"/>
              <w:rPr>
                <w:color w:val="FF9900"/>
                <w:szCs w:val="21"/>
              </w:rPr>
            </w:pPr>
          </w:p>
        </w:tc>
        <w:sdt>
          <w:sdtPr>
            <w:tag w:val="_PLD_d1f1e669417848eba2ff4f136060710d"/>
            <w:id w:val="-333995536"/>
          </w:sdtPr>
          <w:sdtEndPr/>
          <w:sdtContent>
            <w:tc>
              <w:tcPr>
                <w:tcW w:w="513" w:type="pct"/>
                <w:shd w:val="clear" w:color="auto" w:fill="auto"/>
                <w:vAlign w:val="center"/>
              </w:tcPr>
              <w:p w14:paraId="3108F977" w14:textId="77777777" w:rsidR="00E57DAA" w:rsidRDefault="00AC4185">
                <w:pPr>
                  <w:jc w:val="center"/>
                  <w:rPr>
                    <w:szCs w:val="21"/>
                  </w:rPr>
                </w:pPr>
                <w:r>
                  <w:t>数量合计</w:t>
                </w:r>
              </w:p>
            </w:tc>
          </w:sdtContent>
        </w:sdt>
        <w:sdt>
          <w:sdtPr>
            <w:tag w:val="_PLD_93d96facd39f42369d9eb75dbaabd84a"/>
            <w:id w:val="-454953073"/>
          </w:sdtPr>
          <w:sdtEndPr/>
          <w:sdtContent>
            <w:tc>
              <w:tcPr>
                <w:tcW w:w="460" w:type="pct"/>
                <w:shd w:val="clear" w:color="auto" w:fill="auto"/>
                <w:vAlign w:val="center"/>
              </w:tcPr>
              <w:p w14:paraId="4057183B" w14:textId="77777777" w:rsidR="00E57DAA" w:rsidRDefault="00AC4185">
                <w:pPr>
                  <w:jc w:val="center"/>
                  <w:rPr>
                    <w:szCs w:val="21"/>
                  </w:rPr>
                </w:pPr>
                <w:r>
                  <w:t>比例（%）</w:t>
                </w:r>
              </w:p>
            </w:tc>
          </w:sdtContent>
        </w:sdt>
        <w:sdt>
          <w:sdtPr>
            <w:tag w:val="_PLD_abb18a49da9944b29de9515b911fb9d0"/>
            <w:id w:val="-1667322131"/>
          </w:sdtPr>
          <w:sdtEndPr/>
          <w:sdtContent>
            <w:tc>
              <w:tcPr>
                <w:tcW w:w="793" w:type="pct"/>
                <w:vAlign w:val="center"/>
              </w:tcPr>
              <w:p w14:paraId="68496CA4" w14:textId="77777777" w:rsidR="00E57DAA" w:rsidRDefault="00AC4185">
                <w:pPr>
                  <w:jc w:val="center"/>
                  <w:rPr>
                    <w:szCs w:val="21"/>
                  </w:rPr>
                </w:pPr>
                <w:r>
                  <w:t>数量合计</w:t>
                </w:r>
              </w:p>
            </w:tc>
          </w:sdtContent>
        </w:sdt>
        <w:sdt>
          <w:sdtPr>
            <w:tag w:val="_PLD_ddee7e13ede244949eadc75aa0e166db"/>
            <w:id w:val="636065928"/>
          </w:sdtPr>
          <w:sdtEndPr/>
          <w:sdtContent>
            <w:tc>
              <w:tcPr>
                <w:tcW w:w="630" w:type="pct"/>
                <w:vAlign w:val="center"/>
              </w:tcPr>
              <w:p w14:paraId="63D9CE48" w14:textId="77777777" w:rsidR="00E57DAA" w:rsidRDefault="00AC4185">
                <w:pPr>
                  <w:jc w:val="center"/>
                  <w:rPr>
                    <w:szCs w:val="21"/>
                  </w:rPr>
                </w:pPr>
                <w:r>
                  <w:t>比例（%）</w:t>
                </w:r>
              </w:p>
            </w:tc>
          </w:sdtContent>
        </w:sdt>
      </w:tr>
      <w:tr w:rsidR="00E57DAA" w14:paraId="6325D8E9" w14:textId="77777777">
        <w:trPr>
          <w:cantSplit/>
          <w:trHeight w:val="70"/>
        </w:trPr>
        <w:tc>
          <w:tcPr>
            <w:tcW w:w="2051" w:type="pct"/>
            <w:shd w:val="clear" w:color="auto" w:fill="auto"/>
            <w:vAlign w:val="center"/>
          </w:tcPr>
          <w:p w14:paraId="5AF71317" w14:textId="77777777" w:rsidR="00E57DAA" w:rsidRDefault="00AC4185">
            <w:pPr>
              <w:rPr>
                <w:szCs w:val="21"/>
              </w:rPr>
            </w:pPr>
            <w:r>
              <w:rPr>
                <w:rFonts w:hint="eastAsia"/>
                <w:szCs w:val="21"/>
              </w:rPr>
              <w:lastRenderedPageBreak/>
              <w:t>交通银行股份有限公司-广发中证基建工程交易型开放式指数证券投资基金</w:t>
            </w:r>
          </w:p>
        </w:tc>
        <w:tc>
          <w:tcPr>
            <w:tcW w:w="553" w:type="pct"/>
            <w:shd w:val="clear" w:color="auto" w:fill="auto"/>
            <w:vAlign w:val="center"/>
          </w:tcPr>
          <w:p w14:paraId="53A44673" w14:textId="77777777" w:rsidR="00E57DAA" w:rsidRDefault="00AC4185">
            <w:pPr>
              <w:wordWrap w:val="0"/>
              <w:ind w:right="630"/>
              <w:jc w:val="right"/>
              <w:rPr>
                <w:szCs w:val="21"/>
              </w:rPr>
            </w:pPr>
            <w:r>
              <w:rPr>
                <w:rFonts w:hint="eastAsia"/>
                <w:szCs w:val="21"/>
              </w:rPr>
              <w:t>退出</w:t>
            </w:r>
          </w:p>
        </w:tc>
        <w:tc>
          <w:tcPr>
            <w:tcW w:w="513" w:type="pct"/>
            <w:shd w:val="clear" w:color="auto" w:fill="auto"/>
            <w:vAlign w:val="center"/>
          </w:tcPr>
          <w:p w14:paraId="602F9599" w14:textId="77777777" w:rsidR="00E57DAA" w:rsidRDefault="00AC4185">
            <w:pPr>
              <w:jc w:val="right"/>
              <w:rPr>
                <w:szCs w:val="21"/>
              </w:rPr>
            </w:pPr>
            <w:r>
              <w:rPr>
                <w:rFonts w:hint="eastAsia"/>
                <w:szCs w:val="21"/>
              </w:rPr>
              <w:t>501,200</w:t>
            </w:r>
          </w:p>
        </w:tc>
        <w:tc>
          <w:tcPr>
            <w:tcW w:w="460" w:type="pct"/>
            <w:shd w:val="clear" w:color="auto" w:fill="auto"/>
            <w:vAlign w:val="center"/>
          </w:tcPr>
          <w:p w14:paraId="1C8AF709" w14:textId="77777777" w:rsidR="00E57DAA" w:rsidRDefault="00AC4185">
            <w:pPr>
              <w:jc w:val="right"/>
              <w:rPr>
                <w:szCs w:val="21"/>
              </w:rPr>
            </w:pPr>
            <w:r>
              <w:rPr>
                <w:rFonts w:hint="eastAsia"/>
                <w:szCs w:val="21"/>
              </w:rPr>
              <w:t>0.02</w:t>
            </w:r>
          </w:p>
        </w:tc>
        <w:tc>
          <w:tcPr>
            <w:tcW w:w="793" w:type="pct"/>
          </w:tcPr>
          <w:p w14:paraId="1A33CFB1" w14:textId="77777777" w:rsidR="00E57DAA" w:rsidRDefault="00E57DAA">
            <w:pPr>
              <w:jc w:val="right"/>
              <w:rPr>
                <w:szCs w:val="21"/>
              </w:rPr>
            </w:pPr>
          </w:p>
          <w:p w14:paraId="50B36E59" w14:textId="77777777" w:rsidR="00E57DAA" w:rsidRDefault="00AC4185">
            <w:pPr>
              <w:jc w:val="right"/>
              <w:rPr>
                <w:szCs w:val="21"/>
              </w:rPr>
            </w:pPr>
            <w:r>
              <w:rPr>
                <w:rFonts w:hint="eastAsia"/>
                <w:szCs w:val="21"/>
              </w:rPr>
              <w:t>8,231,050</w:t>
            </w:r>
          </w:p>
          <w:p w14:paraId="0E9D3D41" w14:textId="77777777" w:rsidR="00E57DAA" w:rsidRDefault="00E57DAA">
            <w:pPr>
              <w:jc w:val="right"/>
              <w:rPr>
                <w:szCs w:val="21"/>
              </w:rPr>
            </w:pPr>
          </w:p>
        </w:tc>
        <w:tc>
          <w:tcPr>
            <w:tcW w:w="630" w:type="pct"/>
          </w:tcPr>
          <w:p w14:paraId="41438FD3" w14:textId="77777777" w:rsidR="00E57DAA" w:rsidRDefault="00E57DAA">
            <w:pPr>
              <w:jc w:val="right"/>
              <w:rPr>
                <w:szCs w:val="21"/>
              </w:rPr>
            </w:pPr>
          </w:p>
          <w:p w14:paraId="57F167BE" w14:textId="77777777" w:rsidR="00E57DAA" w:rsidRDefault="00AC4185">
            <w:pPr>
              <w:jc w:val="right"/>
              <w:rPr>
                <w:szCs w:val="21"/>
              </w:rPr>
            </w:pPr>
            <w:r>
              <w:rPr>
                <w:rFonts w:hint="eastAsia"/>
                <w:szCs w:val="21"/>
              </w:rPr>
              <w:t>0.31</w:t>
            </w:r>
          </w:p>
        </w:tc>
      </w:tr>
      <w:tr w:rsidR="00E57DAA" w14:paraId="4E3DACA5" w14:textId="77777777">
        <w:trPr>
          <w:cantSplit/>
          <w:trHeight w:val="70"/>
        </w:trPr>
        <w:tc>
          <w:tcPr>
            <w:tcW w:w="2051" w:type="pct"/>
            <w:shd w:val="clear" w:color="auto" w:fill="auto"/>
            <w:vAlign w:val="center"/>
          </w:tcPr>
          <w:p w14:paraId="3DFF4A45" w14:textId="77777777" w:rsidR="00E57DAA" w:rsidRDefault="00AC4185">
            <w:pPr>
              <w:rPr>
                <w:szCs w:val="21"/>
              </w:rPr>
            </w:pPr>
            <w:r>
              <w:rPr>
                <w:rFonts w:hint="eastAsia"/>
                <w:szCs w:val="21"/>
              </w:rPr>
              <w:t>徐佳伟</w:t>
            </w:r>
          </w:p>
        </w:tc>
        <w:tc>
          <w:tcPr>
            <w:tcW w:w="553" w:type="pct"/>
            <w:shd w:val="clear" w:color="auto" w:fill="auto"/>
            <w:vAlign w:val="center"/>
          </w:tcPr>
          <w:p w14:paraId="05D11AED" w14:textId="77777777" w:rsidR="00E57DAA" w:rsidRDefault="00AC4185">
            <w:pPr>
              <w:wordWrap w:val="0"/>
              <w:ind w:right="630"/>
              <w:jc w:val="right"/>
              <w:rPr>
                <w:szCs w:val="21"/>
              </w:rPr>
            </w:pPr>
            <w:r>
              <w:rPr>
                <w:rFonts w:hint="eastAsia"/>
                <w:szCs w:val="21"/>
              </w:rPr>
              <w:t>退出</w:t>
            </w:r>
          </w:p>
        </w:tc>
        <w:tc>
          <w:tcPr>
            <w:tcW w:w="513" w:type="pct"/>
            <w:shd w:val="clear" w:color="auto" w:fill="auto"/>
            <w:vAlign w:val="center"/>
          </w:tcPr>
          <w:p w14:paraId="4202B21E" w14:textId="77777777" w:rsidR="00E57DAA" w:rsidRDefault="00AC4185">
            <w:pPr>
              <w:jc w:val="right"/>
              <w:rPr>
                <w:szCs w:val="21"/>
              </w:rPr>
            </w:pPr>
            <w:r>
              <w:rPr>
                <w:rFonts w:hint="eastAsia"/>
                <w:szCs w:val="21"/>
              </w:rPr>
              <w:t>0</w:t>
            </w:r>
          </w:p>
        </w:tc>
        <w:tc>
          <w:tcPr>
            <w:tcW w:w="460" w:type="pct"/>
            <w:shd w:val="clear" w:color="auto" w:fill="auto"/>
            <w:vAlign w:val="center"/>
          </w:tcPr>
          <w:p w14:paraId="7C77EF54" w14:textId="77777777" w:rsidR="00E57DAA" w:rsidRDefault="00AC4185">
            <w:pPr>
              <w:jc w:val="right"/>
              <w:rPr>
                <w:szCs w:val="21"/>
              </w:rPr>
            </w:pPr>
            <w:r>
              <w:rPr>
                <w:rFonts w:hint="eastAsia"/>
                <w:szCs w:val="21"/>
              </w:rPr>
              <w:t>0</w:t>
            </w:r>
          </w:p>
        </w:tc>
        <w:tc>
          <w:tcPr>
            <w:tcW w:w="793" w:type="pct"/>
          </w:tcPr>
          <w:p w14:paraId="20255FD4" w14:textId="77777777" w:rsidR="00E57DAA" w:rsidRDefault="00AC4185">
            <w:pPr>
              <w:jc w:val="right"/>
              <w:rPr>
                <w:szCs w:val="21"/>
              </w:rPr>
            </w:pPr>
            <w:r>
              <w:rPr>
                <w:rFonts w:hint="eastAsia"/>
                <w:szCs w:val="21"/>
              </w:rPr>
              <w:t>0</w:t>
            </w:r>
          </w:p>
        </w:tc>
        <w:tc>
          <w:tcPr>
            <w:tcW w:w="630" w:type="pct"/>
          </w:tcPr>
          <w:p w14:paraId="54DA1AA9" w14:textId="77777777" w:rsidR="00E57DAA" w:rsidRDefault="00AC4185">
            <w:pPr>
              <w:jc w:val="right"/>
              <w:rPr>
                <w:szCs w:val="21"/>
              </w:rPr>
            </w:pPr>
            <w:r>
              <w:rPr>
                <w:rFonts w:hint="eastAsia"/>
                <w:szCs w:val="21"/>
              </w:rPr>
              <w:t>0.00</w:t>
            </w:r>
          </w:p>
        </w:tc>
      </w:tr>
      <w:tr w:rsidR="00E57DAA" w14:paraId="2C078E05" w14:textId="77777777">
        <w:trPr>
          <w:cantSplit/>
          <w:trHeight w:val="70"/>
        </w:trPr>
        <w:tc>
          <w:tcPr>
            <w:tcW w:w="2051" w:type="pct"/>
            <w:shd w:val="clear" w:color="auto" w:fill="auto"/>
            <w:vAlign w:val="center"/>
          </w:tcPr>
          <w:p w14:paraId="2F151B52" w14:textId="77777777" w:rsidR="00E57DAA" w:rsidRDefault="00AC4185">
            <w:pPr>
              <w:rPr>
                <w:szCs w:val="21"/>
              </w:rPr>
            </w:pPr>
            <w:r>
              <w:rPr>
                <w:rFonts w:hint="eastAsia"/>
                <w:szCs w:val="21"/>
              </w:rPr>
              <w:t>中欧基金-兴业银行-新华人寿保险股份有限公司委托中欧基金管理有限公司价值均衡型组合</w:t>
            </w:r>
          </w:p>
        </w:tc>
        <w:tc>
          <w:tcPr>
            <w:tcW w:w="553" w:type="pct"/>
            <w:shd w:val="clear" w:color="auto" w:fill="auto"/>
            <w:vAlign w:val="center"/>
          </w:tcPr>
          <w:p w14:paraId="57C5E969" w14:textId="77777777" w:rsidR="00E57DAA" w:rsidRDefault="00AC4185">
            <w:pPr>
              <w:wordWrap w:val="0"/>
              <w:ind w:right="630"/>
              <w:jc w:val="right"/>
              <w:rPr>
                <w:szCs w:val="21"/>
              </w:rPr>
            </w:pPr>
            <w:r>
              <w:rPr>
                <w:rFonts w:hint="eastAsia"/>
                <w:szCs w:val="21"/>
              </w:rPr>
              <w:t>退出</w:t>
            </w:r>
          </w:p>
        </w:tc>
        <w:tc>
          <w:tcPr>
            <w:tcW w:w="513" w:type="pct"/>
            <w:shd w:val="clear" w:color="auto" w:fill="auto"/>
            <w:vAlign w:val="center"/>
          </w:tcPr>
          <w:p w14:paraId="5E984C11" w14:textId="77777777" w:rsidR="00E57DAA" w:rsidRDefault="00AC4185">
            <w:pPr>
              <w:jc w:val="right"/>
              <w:rPr>
                <w:szCs w:val="21"/>
              </w:rPr>
            </w:pPr>
            <w:r>
              <w:rPr>
                <w:rFonts w:hint="eastAsia"/>
                <w:szCs w:val="21"/>
              </w:rPr>
              <w:t>0</w:t>
            </w:r>
          </w:p>
        </w:tc>
        <w:tc>
          <w:tcPr>
            <w:tcW w:w="460" w:type="pct"/>
            <w:shd w:val="clear" w:color="auto" w:fill="auto"/>
            <w:vAlign w:val="center"/>
          </w:tcPr>
          <w:p w14:paraId="13AB09BC" w14:textId="77777777" w:rsidR="00E57DAA" w:rsidRDefault="00AC4185">
            <w:pPr>
              <w:jc w:val="right"/>
              <w:rPr>
                <w:szCs w:val="21"/>
              </w:rPr>
            </w:pPr>
            <w:r>
              <w:rPr>
                <w:rFonts w:hint="eastAsia"/>
                <w:szCs w:val="21"/>
              </w:rPr>
              <w:t>0</w:t>
            </w:r>
          </w:p>
        </w:tc>
        <w:tc>
          <w:tcPr>
            <w:tcW w:w="793" w:type="pct"/>
          </w:tcPr>
          <w:p w14:paraId="23A137CE" w14:textId="77777777" w:rsidR="00E57DAA" w:rsidRDefault="00E57DAA">
            <w:pPr>
              <w:jc w:val="right"/>
              <w:rPr>
                <w:szCs w:val="21"/>
              </w:rPr>
            </w:pPr>
          </w:p>
          <w:p w14:paraId="7AE6B0C0" w14:textId="77777777" w:rsidR="00E57DAA" w:rsidRDefault="00AC4185">
            <w:pPr>
              <w:jc w:val="right"/>
              <w:rPr>
                <w:szCs w:val="21"/>
              </w:rPr>
            </w:pPr>
            <w:r>
              <w:rPr>
                <w:rFonts w:hint="eastAsia"/>
                <w:szCs w:val="21"/>
              </w:rPr>
              <w:t>11,048,299</w:t>
            </w:r>
          </w:p>
        </w:tc>
        <w:tc>
          <w:tcPr>
            <w:tcW w:w="630" w:type="pct"/>
          </w:tcPr>
          <w:p w14:paraId="7F17AA8F" w14:textId="77777777" w:rsidR="00E57DAA" w:rsidRDefault="00E57DAA">
            <w:pPr>
              <w:jc w:val="right"/>
              <w:rPr>
                <w:szCs w:val="21"/>
              </w:rPr>
            </w:pPr>
          </w:p>
          <w:p w14:paraId="49F7370B" w14:textId="77777777" w:rsidR="00E57DAA" w:rsidRDefault="00AC4185">
            <w:pPr>
              <w:jc w:val="right"/>
              <w:rPr>
                <w:szCs w:val="21"/>
              </w:rPr>
            </w:pPr>
            <w:r>
              <w:rPr>
                <w:rFonts w:hint="eastAsia"/>
                <w:szCs w:val="21"/>
              </w:rPr>
              <w:t>0.42</w:t>
            </w:r>
          </w:p>
        </w:tc>
      </w:tr>
      <w:tr w:rsidR="00E57DAA" w14:paraId="06223747" w14:textId="77777777">
        <w:trPr>
          <w:cantSplit/>
          <w:trHeight w:val="70"/>
        </w:trPr>
        <w:tc>
          <w:tcPr>
            <w:tcW w:w="2051" w:type="pct"/>
            <w:shd w:val="clear" w:color="auto" w:fill="auto"/>
            <w:vAlign w:val="center"/>
          </w:tcPr>
          <w:p w14:paraId="38E0144F" w14:textId="77777777" w:rsidR="00E57DAA" w:rsidRDefault="00AC4185">
            <w:pPr>
              <w:rPr>
                <w:szCs w:val="21"/>
              </w:rPr>
            </w:pPr>
            <w:r>
              <w:rPr>
                <w:rFonts w:hint="eastAsia"/>
                <w:szCs w:val="21"/>
              </w:rPr>
              <w:t>兴业银行股份有限公司-天弘永利债券型证券投资基金</w:t>
            </w:r>
          </w:p>
        </w:tc>
        <w:tc>
          <w:tcPr>
            <w:tcW w:w="553" w:type="pct"/>
            <w:shd w:val="clear" w:color="auto" w:fill="auto"/>
            <w:vAlign w:val="center"/>
          </w:tcPr>
          <w:p w14:paraId="0777E0E9" w14:textId="77777777" w:rsidR="00E57DAA" w:rsidRDefault="00AC4185">
            <w:pPr>
              <w:wordWrap w:val="0"/>
              <w:ind w:right="630"/>
              <w:jc w:val="right"/>
              <w:rPr>
                <w:szCs w:val="21"/>
              </w:rPr>
            </w:pPr>
            <w:r>
              <w:rPr>
                <w:rFonts w:hint="eastAsia"/>
                <w:szCs w:val="21"/>
              </w:rPr>
              <w:t>新增</w:t>
            </w:r>
          </w:p>
        </w:tc>
        <w:tc>
          <w:tcPr>
            <w:tcW w:w="513" w:type="pct"/>
            <w:shd w:val="clear" w:color="auto" w:fill="auto"/>
            <w:vAlign w:val="center"/>
          </w:tcPr>
          <w:p w14:paraId="1CFC05B1" w14:textId="77777777" w:rsidR="00E57DAA" w:rsidRDefault="00AC4185">
            <w:pPr>
              <w:jc w:val="right"/>
              <w:rPr>
                <w:szCs w:val="21"/>
              </w:rPr>
            </w:pPr>
            <w:r>
              <w:rPr>
                <w:rFonts w:hint="eastAsia"/>
                <w:szCs w:val="21"/>
              </w:rPr>
              <w:t>0</w:t>
            </w:r>
          </w:p>
        </w:tc>
        <w:tc>
          <w:tcPr>
            <w:tcW w:w="460" w:type="pct"/>
            <w:shd w:val="clear" w:color="auto" w:fill="auto"/>
            <w:vAlign w:val="center"/>
          </w:tcPr>
          <w:p w14:paraId="0B730FE0" w14:textId="77777777" w:rsidR="00E57DAA" w:rsidRDefault="00AC4185">
            <w:pPr>
              <w:jc w:val="right"/>
              <w:rPr>
                <w:szCs w:val="21"/>
              </w:rPr>
            </w:pPr>
            <w:r>
              <w:rPr>
                <w:rFonts w:hint="eastAsia"/>
                <w:szCs w:val="21"/>
              </w:rPr>
              <w:t>0</w:t>
            </w:r>
          </w:p>
        </w:tc>
        <w:tc>
          <w:tcPr>
            <w:tcW w:w="793" w:type="pct"/>
            <w:vAlign w:val="center"/>
          </w:tcPr>
          <w:p w14:paraId="5834BD2B" w14:textId="77777777" w:rsidR="00E57DAA" w:rsidRDefault="00AC4185">
            <w:pPr>
              <w:jc w:val="right"/>
              <w:rPr>
                <w:szCs w:val="21"/>
              </w:rPr>
            </w:pPr>
            <w:r>
              <w:t>22,956,050</w:t>
            </w:r>
          </w:p>
        </w:tc>
        <w:tc>
          <w:tcPr>
            <w:tcW w:w="630" w:type="pct"/>
            <w:vAlign w:val="center"/>
          </w:tcPr>
          <w:p w14:paraId="7A4A0EAF" w14:textId="77777777" w:rsidR="00E57DAA" w:rsidRDefault="00AC4185">
            <w:pPr>
              <w:jc w:val="right"/>
              <w:rPr>
                <w:szCs w:val="21"/>
              </w:rPr>
            </w:pPr>
            <w:r>
              <w:t>0.87</w:t>
            </w:r>
          </w:p>
        </w:tc>
      </w:tr>
      <w:tr w:rsidR="00E57DAA" w14:paraId="52DC1FBF" w14:textId="77777777">
        <w:trPr>
          <w:cantSplit/>
          <w:trHeight w:val="70"/>
        </w:trPr>
        <w:tc>
          <w:tcPr>
            <w:tcW w:w="2051" w:type="pct"/>
            <w:shd w:val="clear" w:color="auto" w:fill="auto"/>
            <w:vAlign w:val="center"/>
          </w:tcPr>
          <w:p w14:paraId="69AF6141" w14:textId="77777777" w:rsidR="00E57DAA" w:rsidRDefault="00AC4185">
            <w:pPr>
              <w:rPr>
                <w:szCs w:val="21"/>
              </w:rPr>
            </w:pPr>
            <w:r>
              <w:rPr>
                <w:rFonts w:hint="eastAsia"/>
                <w:szCs w:val="21"/>
              </w:rPr>
              <w:t>全国社保基金一一零组合</w:t>
            </w:r>
          </w:p>
        </w:tc>
        <w:tc>
          <w:tcPr>
            <w:tcW w:w="553" w:type="pct"/>
            <w:shd w:val="clear" w:color="auto" w:fill="auto"/>
            <w:vAlign w:val="center"/>
          </w:tcPr>
          <w:p w14:paraId="0832D8E0" w14:textId="77777777" w:rsidR="00E57DAA" w:rsidRDefault="00AC4185">
            <w:pPr>
              <w:wordWrap w:val="0"/>
              <w:ind w:right="630"/>
              <w:jc w:val="right"/>
              <w:rPr>
                <w:szCs w:val="21"/>
              </w:rPr>
            </w:pPr>
            <w:r>
              <w:rPr>
                <w:rFonts w:hint="eastAsia"/>
                <w:szCs w:val="21"/>
              </w:rPr>
              <w:t>新增</w:t>
            </w:r>
          </w:p>
        </w:tc>
        <w:tc>
          <w:tcPr>
            <w:tcW w:w="513" w:type="pct"/>
            <w:shd w:val="clear" w:color="auto" w:fill="auto"/>
            <w:vAlign w:val="center"/>
          </w:tcPr>
          <w:p w14:paraId="21B6D02F" w14:textId="77777777" w:rsidR="00E57DAA" w:rsidRDefault="00AC4185">
            <w:pPr>
              <w:jc w:val="right"/>
              <w:rPr>
                <w:szCs w:val="21"/>
              </w:rPr>
            </w:pPr>
            <w:r>
              <w:rPr>
                <w:rFonts w:hint="eastAsia"/>
                <w:szCs w:val="21"/>
              </w:rPr>
              <w:t>0</w:t>
            </w:r>
          </w:p>
        </w:tc>
        <w:tc>
          <w:tcPr>
            <w:tcW w:w="460" w:type="pct"/>
            <w:shd w:val="clear" w:color="auto" w:fill="auto"/>
            <w:vAlign w:val="center"/>
          </w:tcPr>
          <w:p w14:paraId="7D5D677F" w14:textId="77777777" w:rsidR="00E57DAA" w:rsidRDefault="00AC4185">
            <w:pPr>
              <w:jc w:val="right"/>
              <w:rPr>
                <w:szCs w:val="21"/>
              </w:rPr>
            </w:pPr>
            <w:r>
              <w:rPr>
                <w:rFonts w:hint="eastAsia"/>
                <w:szCs w:val="21"/>
              </w:rPr>
              <w:t>0</w:t>
            </w:r>
          </w:p>
        </w:tc>
        <w:tc>
          <w:tcPr>
            <w:tcW w:w="793" w:type="pct"/>
            <w:vAlign w:val="center"/>
          </w:tcPr>
          <w:p w14:paraId="03587DD5" w14:textId="77777777" w:rsidR="00E57DAA" w:rsidRDefault="00AC4185">
            <w:pPr>
              <w:jc w:val="right"/>
              <w:rPr>
                <w:szCs w:val="21"/>
              </w:rPr>
            </w:pPr>
            <w:r>
              <w:t>19,518,317</w:t>
            </w:r>
          </w:p>
        </w:tc>
        <w:tc>
          <w:tcPr>
            <w:tcW w:w="630" w:type="pct"/>
            <w:vAlign w:val="center"/>
          </w:tcPr>
          <w:p w14:paraId="74E0103E" w14:textId="77777777" w:rsidR="00E57DAA" w:rsidRDefault="00AC4185">
            <w:pPr>
              <w:jc w:val="right"/>
              <w:rPr>
                <w:szCs w:val="21"/>
              </w:rPr>
            </w:pPr>
            <w:r>
              <w:t>0.74</w:t>
            </w:r>
          </w:p>
        </w:tc>
      </w:tr>
      <w:tr w:rsidR="00E57DAA" w14:paraId="548186D2" w14:textId="77777777">
        <w:trPr>
          <w:cantSplit/>
          <w:trHeight w:val="70"/>
        </w:trPr>
        <w:tc>
          <w:tcPr>
            <w:tcW w:w="2051" w:type="pct"/>
            <w:shd w:val="clear" w:color="auto" w:fill="auto"/>
            <w:vAlign w:val="center"/>
          </w:tcPr>
          <w:p w14:paraId="61BABABA" w14:textId="77777777" w:rsidR="00E57DAA" w:rsidRDefault="00AC4185">
            <w:pPr>
              <w:rPr>
                <w:szCs w:val="21"/>
              </w:rPr>
            </w:pPr>
            <w:r>
              <w:rPr>
                <w:rFonts w:hint="eastAsia"/>
                <w:szCs w:val="21"/>
              </w:rPr>
              <w:t>国新投资有限公司</w:t>
            </w:r>
          </w:p>
        </w:tc>
        <w:tc>
          <w:tcPr>
            <w:tcW w:w="553" w:type="pct"/>
            <w:shd w:val="clear" w:color="auto" w:fill="auto"/>
            <w:vAlign w:val="center"/>
          </w:tcPr>
          <w:p w14:paraId="539A5154" w14:textId="77777777" w:rsidR="00E57DAA" w:rsidRDefault="00AC4185">
            <w:pPr>
              <w:wordWrap w:val="0"/>
              <w:ind w:right="630"/>
              <w:jc w:val="right"/>
              <w:rPr>
                <w:szCs w:val="21"/>
              </w:rPr>
            </w:pPr>
            <w:r>
              <w:rPr>
                <w:rFonts w:hint="eastAsia"/>
                <w:szCs w:val="21"/>
              </w:rPr>
              <w:t>新增</w:t>
            </w:r>
          </w:p>
        </w:tc>
        <w:tc>
          <w:tcPr>
            <w:tcW w:w="513" w:type="pct"/>
            <w:shd w:val="clear" w:color="auto" w:fill="auto"/>
            <w:vAlign w:val="center"/>
          </w:tcPr>
          <w:p w14:paraId="622EE299" w14:textId="77777777" w:rsidR="00E57DAA" w:rsidRDefault="00AC4185">
            <w:pPr>
              <w:jc w:val="right"/>
              <w:rPr>
                <w:szCs w:val="21"/>
              </w:rPr>
            </w:pPr>
            <w:r>
              <w:rPr>
                <w:rFonts w:hint="eastAsia"/>
                <w:szCs w:val="21"/>
              </w:rPr>
              <w:t>0</w:t>
            </w:r>
          </w:p>
        </w:tc>
        <w:tc>
          <w:tcPr>
            <w:tcW w:w="460" w:type="pct"/>
            <w:shd w:val="clear" w:color="auto" w:fill="auto"/>
            <w:vAlign w:val="center"/>
          </w:tcPr>
          <w:p w14:paraId="3BB7F4AE" w14:textId="77777777" w:rsidR="00E57DAA" w:rsidRDefault="00AC4185">
            <w:pPr>
              <w:jc w:val="right"/>
              <w:rPr>
                <w:szCs w:val="21"/>
              </w:rPr>
            </w:pPr>
            <w:r>
              <w:rPr>
                <w:rFonts w:hint="eastAsia"/>
                <w:szCs w:val="21"/>
              </w:rPr>
              <w:t>0</w:t>
            </w:r>
          </w:p>
        </w:tc>
        <w:tc>
          <w:tcPr>
            <w:tcW w:w="793" w:type="pct"/>
            <w:vAlign w:val="center"/>
          </w:tcPr>
          <w:p w14:paraId="1B327CAC" w14:textId="77777777" w:rsidR="00E57DAA" w:rsidRDefault="00AC4185">
            <w:pPr>
              <w:jc w:val="right"/>
              <w:rPr>
                <w:szCs w:val="21"/>
              </w:rPr>
            </w:pPr>
            <w:r>
              <w:t>21,657,243</w:t>
            </w:r>
          </w:p>
        </w:tc>
        <w:tc>
          <w:tcPr>
            <w:tcW w:w="630" w:type="pct"/>
            <w:vAlign w:val="center"/>
          </w:tcPr>
          <w:p w14:paraId="7AE59491" w14:textId="77777777" w:rsidR="00E57DAA" w:rsidRDefault="00AC4185">
            <w:pPr>
              <w:jc w:val="right"/>
              <w:rPr>
                <w:szCs w:val="21"/>
              </w:rPr>
            </w:pPr>
            <w:r>
              <w:t>0.82</w:t>
            </w:r>
          </w:p>
        </w:tc>
      </w:tr>
      <w:bookmarkEnd w:id="129"/>
    </w:tbl>
    <w:p w14:paraId="081E01C8" w14:textId="77777777" w:rsidR="00E57DAA" w:rsidRDefault="00E57DAA">
      <w:pPr>
        <w:rPr>
          <w:szCs w:val="21"/>
        </w:rPr>
      </w:pPr>
    </w:p>
    <w:p w14:paraId="023700D2" w14:textId="77777777" w:rsidR="00E57DAA" w:rsidRDefault="00AC4185">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340700864"/>
        <w:placeholder>
          <w:docPart w:val="GBC22222222222222222222222222222"/>
        </w:placeholder>
      </w:sdtPr>
      <w:sdtEndPr/>
      <w:sdtContent>
        <w:p w14:paraId="13271D62" w14:textId="77777777" w:rsidR="00E57DAA" w:rsidRDefault="00AC4185">
          <w:pPr>
            <w:rPr>
              <w:bCs/>
              <w:szCs w:val="21"/>
            </w:rPr>
          </w:pPr>
          <w:r>
            <w:rPr>
              <w:bCs/>
              <w:szCs w:val="21"/>
            </w:rPr>
            <w:fldChar w:fldCharType="begin"/>
          </w:r>
          <w:r>
            <w:rPr>
              <w:rFonts w:hint="eastAsia"/>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5E9EE8B5" w14:textId="77777777" w:rsidR="00E57DAA" w:rsidRDefault="00AC4185">
      <w:pPr>
        <w:jc w:val="right"/>
        <w:rPr>
          <w:szCs w:val="21"/>
        </w:rPr>
      </w:pPr>
      <w:r>
        <w:rPr>
          <w:szCs w:val="21"/>
        </w:rPr>
        <w:t>单位：</w:t>
      </w:r>
      <w:sdt>
        <w:sdtPr>
          <w:rPr>
            <w:szCs w:val="21"/>
          </w:rPr>
          <w:alias w:val="单位：前十名有限售条件股东持股数量及限售条件"/>
          <w:tag w:val="_GBC_ccabf48d11fc4d67b71762bd50ae5faf"/>
          <w:id w:val="129879227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szCs w:val="21"/>
            </w:rPr>
            <w:t>股</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7"/>
        <w:gridCol w:w="3713"/>
        <w:gridCol w:w="1664"/>
        <w:gridCol w:w="1403"/>
        <w:gridCol w:w="1256"/>
        <w:gridCol w:w="4830"/>
      </w:tblGrid>
      <w:tr w:rsidR="00E57DAA" w14:paraId="4F88CB86" w14:textId="77777777">
        <w:trPr>
          <w:cantSplit/>
        </w:trPr>
        <w:sdt>
          <w:sdtPr>
            <w:tag w:val="_PLD_d6b46c3e64c74877a86ed16591d841cb"/>
            <w:id w:val="1352137542"/>
          </w:sdtPr>
          <w:sdtEndPr/>
          <w:sdtContent>
            <w:tc>
              <w:tcPr>
                <w:tcW w:w="360" w:type="pct"/>
                <w:vMerge w:val="restart"/>
                <w:shd w:val="clear" w:color="auto" w:fill="auto"/>
                <w:vAlign w:val="center"/>
              </w:tcPr>
              <w:p w14:paraId="115249C3" w14:textId="77777777" w:rsidR="00E57DAA" w:rsidRDefault="00AC4185">
                <w:pPr>
                  <w:jc w:val="center"/>
                  <w:rPr>
                    <w:szCs w:val="21"/>
                  </w:rPr>
                </w:pPr>
                <w:r>
                  <w:rPr>
                    <w:szCs w:val="21"/>
                  </w:rPr>
                  <w:t>序号</w:t>
                </w:r>
              </w:p>
            </w:tc>
          </w:sdtContent>
        </w:sdt>
        <w:sdt>
          <w:sdtPr>
            <w:tag w:val="_PLD_158549a651c94037ae0e8f138b766d22"/>
            <w:id w:val="402105585"/>
          </w:sdtPr>
          <w:sdtEndPr/>
          <w:sdtContent>
            <w:tc>
              <w:tcPr>
                <w:tcW w:w="1339" w:type="pct"/>
                <w:vMerge w:val="restart"/>
                <w:shd w:val="clear" w:color="auto" w:fill="auto"/>
                <w:vAlign w:val="center"/>
              </w:tcPr>
              <w:p w14:paraId="1CE487CC" w14:textId="77777777" w:rsidR="00E57DAA" w:rsidRDefault="00AC4185">
                <w:pPr>
                  <w:jc w:val="center"/>
                  <w:rPr>
                    <w:szCs w:val="21"/>
                  </w:rPr>
                </w:pPr>
                <w:r>
                  <w:rPr>
                    <w:szCs w:val="21"/>
                  </w:rPr>
                  <w:t>有限售条件股东名称</w:t>
                </w:r>
              </w:p>
            </w:tc>
          </w:sdtContent>
        </w:sdt>
        <w:sdt>
          <w:sdtPr>
            <w:tag w:val="_PLD_367a1586e9074c6791b647b1d91d08f0"/>
            <w:id w:val="467400734"/>
          </w:sdtPr>
          <w:sdtEndPr/>
          <w:sdtContent>
            <w:tc>
              <w:tcPr>
                <w:tcW w:w="600" w:type="pct"/>
                <w:vMerge w:val="restart"/>
                <w:shd w:val="clear" w:color="auto" w:fill="auto"/>
                <w:vAlign w:val="center"/>
              </w:tcPr>
              <w:p w14:paraId="063A5B4E" w14:textId="77777777" w:rsidR="00E57DAA" w:rsidRDefault="00AC4185">
                <w:pPr>
                  <w:jc w:val="center"/>
                  <w:rPr>
                    <w:szCs w:val="21"/>
                  </w:rPr>
                </w:pPr>
                <w:r>
                  <w:rPr>
                    <w:szCs w:val="21"/>
                  </w:rPr>
                  <w:t>持有的有限售条件股份数量</w:t>
                </w:r>
              </w:p>
            </w:tc>
          </w:sdtContent>
        </w:sdt>
        <w:sdt>
          <w:sdtPr>
            <w:tag w:val="_PLD_5fb0b4bcfdf54b5e822c8e6186b6a7d2"/>
            <w:id w:val="282848183"/>
          </w:sdtPr>
          <w:sdtEndPr/>
          <w:sdtContent>
            <w:tc>
              <w:tcPr>
                <w:tcW w:w="959" w:type="pct"/>
                <w:gridSpan w:val="2"/>
                <w:shd w:val="clear" w:color="auto" w:fill="auto"/>
                <w:vAlign w:val="center"/>
              </w:tcPr>
              <w:p w14:paraId="07CD69AD" w14:textId="77777777" w:rsidR="00E57DAA" w:rsidRDefault="00AC4185">
                <w:pPr>
                  <w:jc w:val="center"/>
                  <w:rPr>
                    <w:szCs w:val="21"/>
                  </w:rPr>
                </w:pPr>
                <w:r>
                  <w:rPr>
                    <w:szCs w:val="21"/>
                  </w:rPr>
                  <w:t>有限售条件股份可上市交易情况</w:t>
                </w:r>
              </w:p>
            </w:tc>
          </w:sdtContent>
        </w:sdt>
        <w:sdt>
          <w:sdtPr>
            <w:tag w:val="_PLD_54c0ff189b7843d9a5ae49ddbb583e3d"/>
            <w:id w:val="1190568410"/>
          </w:sdtPr>
          <w:sdtEndPr/>
          <w:sdtContent>
            <w:tc>
              <w:tcPr>
                <w:tcW w:w="1742" w:type="pct"/>
                <w:vMerge w:val="restart"/>
                <w:shd w:val="clear" w:color="auto" w:fill="auto"/>
                <w:vAlign w:val="center"/>
              </w:tcPr>
              <w:p w14:paraId="6E5BB702" w14:textId="77777777" w:rsidR="00E57DAA" w:rsidRDefault="00AC4185">
                <w:pPr>
                  <w:jc w:val="center"/>
                  <w:rPr>
                    <w:szCs w:val="21"/>
                  </w:rPr>
                </w:pPr>
                <w:r>
                  <w:rPr>
                    <w:szCs w:val="21"/>
                  </w:rPr>
                  <w:t>限售条件</w:t>
                </w:r>
              </w:p>
            </w:tc>
          </w:sdtContent>
        </w:sdt>
      </w:tr>
      <w:tr w:rsidR="00E57DAA" w14:paraId="38E03265" w14:textId="77777777">
        <w:trPr>
          <w:cantSplit/>
        </w:trPr>
        <w:tc>
          <w:tcPr>
            <w:tcW w:w="360" w:type="pct"/>
            <w:vMerge/>
            <w:shd w:val="clear" w:color="auto" w:fill="auto"/>
          </w:tcPr>
          <w:p w14:paraId="4DF4C100" w14:textId="77777777" w:rsidR="00E57DAA" w:rsidRDefault="00E57DAA">
            <w:pPr>
              <w:jc w:val="center"/>
              <w:rPr>
                <w:szCs w:val="21"/>
              </w:rPr>
            </w:pPr>
          </w:p>
        </w:tc>
        <w:tc>
          <w:tcPr>
            <w:tcW w:w="1339" w:type="pct"/>
            <w:vMerge/>
            <w:shd w:val="clear" w:color="auto" w:fill="auto"/>
          </w:tcPr>
          <w:p w14:paraId="419CF75D" w14:textId="77777777" w:rsidR="00E57DAA" w:rsidRDefault="00E57DAA">
            <w:pPr>
              <w:jc w:val="center"/>
              <w:rPr>
                <w:szCs w:val="21"/>
              </w:rPr>
            </w:pPr>
          </w:p>
        </w:tc>
        <w:tc>
          <w:tcPr>
            <w:tcW w:w="600" w:type="pct"/>
            <w:vMerge/>
            <w:shd w:val="clear" w:color="auto" w:fill="auto"/>
          </w:tcPr>
          <w:p w14:paraId="3DCA86DF" w14:textId="77777777" w:rsidR="00E57DAA" w:rsidRDefault="00E57DAA">
            <w:pPr>
              <w:jc w:val="center"/>
              <w:rPr>
                <w:szCs w:val="21"/>
              </w:rPr>
            </w:pPr>
          </w:p>
        </w:tc>
        <w:sdt>
          <w:sdtPr>
            <w:tag w:val="_PLD_8b19569e4d664678885f9348aa052bc0"/>
            <w:id w:val="-1672251885"/>
          </w:sdtPr>
          <w:sdtEndPr/>
          <w:sdtContent>
            <w:tc>
              <w:tcPr>
                <w:tcW w:w="506" w:type="pct"/>
                <w:shd w:val="clear" w:color="auto" w:fill="auto"/>
                <w:vAlign w:val="center"/>
              </w:tcPr>
              <w:p w14:paraId="1DA4FBEB" w14:textId="77777777" w:rsidR="00E57DAA" w:rsidRDefault="00AC4185">
                <w:pPr>
                  <w:jc w:val="center"/>
                  <w:rPr>
                    <w:szCs w:val="21"/>
                  </w:rPr>
                </w:pPr>
                <w:r>
                  <w:rPr>
                    <w:szCs w:val="21"/>
                  </w:rPr>
                  <w:t>可上市交易时间</w:t>
                </w:r>
              </w:p>
            </w:tc>
          </w:sdtContent>
        </w:sdt>
        <w:sdt>
          <w:sdtPr>
            <w:tag w:val="_PLD_1b5fddbd7f52465db9e65269733ef622"/>
            <w:id w:val="186184698"/>
          </w:sdtPr>
          <w:sdtEndPr/>
          <w:sdtContent>
            <w:tc>
              <w:tcPr>
                <w:tcW w:w="453" w:type="pct"/>
                <w:shd w:val="clear" w:color="auto" w:fill="auto"/>
                <w:vAlign w:val="center"/>
              </w:tcPr>
              <w:p w14:paraId="5D613738" w14:textId="77777777" w:rsidR="00E57DAA" w:rsidRDefault="00AC4185">
                <w:pPr>
                  <w:jc w:val="center"/>
                  <w:rPr>
                    <w:szCs w:val="21"/>
                  </w:rPr>
                </w:pPr>
                <w:r>
                  <w:rPr>
                    <w:szCs w:val="21"/>
                  </w:rPr>
                  <w:t>新增可上市交易股份数量</w:t>
                </w:r>
              </w:p>
            </w:tc>
          </w:sdtContent>
        </w:sdt>
        <w:tc>
          <w:tcPr>
            <w:tcW w:w="1742" w:type="pct"/>
            <w:vMerge/>
            <w:shd w:val="clear" w:color="auto" w:fill="auto"/>
          </w:tcPr>
          <w:p w14:paraId="759038CE" w14:textId="77777777" w:rsidR="00E57DAA" w:rsidRDefault="00E57DAA">
            <w:pPr>
              <w:jc w:val="center"/>
              <w:rPr>
                <w:szCs w:val="21"/>
              </w:rPr>
            </w:pPr>
          </w:p>
        </w:tc>
      </w:tr>
      <w:tr w:rsidR="00E57DAA" w14:paraId="2199A626" w14:textId="77777777">
        <w:trPr>
          <w:cantSplit/>
          <w:trHeight w:val="345"/>
        </w:trPr>
        <w:tc>
          <w:tcPr>
            <w:tcW w:w="360" w:type="pct"/>
            <w:shd w:val="clear" w:color="auto" w:fill="auto"/>
          </w:tcPr>
          <w:p w14:paraId="0BFA1467" w14:textId="77777777" w:rsidR="00E57DAA" w:rsidRDefault="00AC4185">
            <w:pPr>
              <w:pStyle w:val="ad"/>
              <w:rPr>
                <w:rFonts w:ascii="宋体" w:hAnsi="宋体"/>
              </w:rPr>
            </w:pPr>
            <w:r>
              <w:rPr>
                <w:rFonts w:ascii="宋体" w:hAnsi="宋体"/>
              </w:rPr>
              <w:t>1</w:t>
            </w:r>
          </w:p>
        </w:tc>
        <w:tc>
          <w:tcPr>
            <w:tcW w:w="1339" w:type="pct"/>
            <w:shd w:val="clear" w:color="auto" w:fill="auto"/>
          </w:tcPr>
          <w:p w14:paraId="13ED6061" w14:textId="77777777" w:rsidR="00E57DAA" w:rsidRDefault="00AC4185">
            <w:pPr>
              <w:rPr>
                <w:szCs w:val="21"/>
              </w:rPr>
            </w:pPr>
            <w:r>
              <w:rPr>
                <w:rFonts w:hint="eastAsia"/>
              </w:rPr>
              <w:t>中国建材股份有限公司</w:t>
            </w:r>
          </w:p>
        </w:tc>
        <w:tc>
          <w:tcPr>
            <w:tcW w:w="600" w:type="pct"/>
            <w:shd w:val="clear" w:color="auto" w:fill="auto"/>
            <w:vAlign w:val="center"/>
          </w:tcPr>
          <w:p w14:paraId="14971C1E" w14:textId="77777777" w:rsidR="00E57DAA" w:rsidRDefault="00AC4185">
            <w:pPr>
              <w:jc w:val="right"/>
              <w:rPr>
                <w:szCs w:val="21"/>
              </w:rPr>
            </w:pPr>
            <w:r>
              <w:t>385,994,184</w:t>
            </w:r>
          </w:p>
        </w:tc>
        <w:tc>
          <w:tcPr>
            <w:tcW w:w="506" w:type="pct"/>
            <w:shd w:val="clear" w:color="auto" w:fill="auto"/>
            <w:vAlign w:val="center"/>
          </w:tcPr>
          <w:p w14:paraId="041E6B31" w14:textId="77777777" w:rsidR="00E57DAA" w:rsidRDefault="00AC4185">
            <w:pPr>
              <w:rPr>
                <w:szCs w:val="21"/>
              </w:rPr>
            </w:pPr>
            <w:r>
              <w:t>2024-10-29</w:t>
            </w:r>
          </w:p>
        </w:tc>
        <w:tc>
          <w:tcPr>
            <w:tcW w:w="453" w:type="pct"/>
            <w:shd w:val="clear" w:color="auto" w:fill="auto"/>
            <w:vAlign w:val="center"/>
          </w:tcPr>
          <w:p w14:paraId="1E02E46F" w14:textId="77777777" w:rsidR="00E57DAA" w:rsidRDefault="00AC4185">
            <w:pPr>
              <w:jc w:val="right"/>
              <w:rPr>
                <w:szCs w:val="21"/>
              </w:rPr>
            </w:pPr>
            <w:r>
              <w:rPr>
                <w:rFonts w:hint="eastAsia"/>
              </w:rPr>
              <w:t>0</w:t>
            </w:r>
          </w:p>
        </w:tc>
        <w:tc>
          <w:tcPr>
            <w:tcW w:w="1742" w:type="pct"/>
            <w:shd w:val="clear" w:color="auto" w:fill="auto"/>
            <w:vAlign w:val="center"/>
          </w:tcPr>
          <w:p w14:paraId="7002418D" w14:textId="77777777" w:rsidR="00E57DAA" w:rsidRDefault="00AC4185">
            <w:pPr>
              <w:rPr>
                <w:szCs w:val="21"/>
              </w:rPr>
            </w:pPr>
            <w:r>
              <w:rPr>
                <w:rFonts w:hint="eastAsia"/>
              </w:rPr>
              <w:t>因收购北京凯盛</w:t>
            </w:r>
            <w:r>
              <w:t>100%股权、南京凯盛98%股权、中材矿山100%股权而取得的股份自发行结束之日起36个月内不得转让；在此之后将按中国证监会及上海交易所的有关规定执行。</w:t>
            </w:r>
          </w:p>
        </w:tc>
      </w:tr>
      <w:tr w:rsidR="00E57DAA" w14:paraId="340E546B" w14:textId="77777777">
        <w:trPr>
          <w:cantSplit/>
          <w:trHeight w:val="345"/>
        </w:trPr>
        <w:tc>
          <w:tcPr>
            <w:tcW w:w="360" w:type="pct"/>
            <w:vMerge w:val="restart"/>
            <w:shd w:val="clear" w:color="auto" w:fill="auto"/>
          </w:tcPr>
          <w:p w14:paraId="1E87D740" w14:textId="77777777" w:rsidR="00E57DAA" w:rsidRDefault="00AC4185">
            <w:pPr>
              <w:pStyle w:val="ad"/>
              <w:rPr>
                <w:rFonts w:ascii="宋体" w:hAnsi="宋体"/>
              </w:rPr>
            </w:pPr>
            <w:r>
              <w:rPr>
                <w:rFonts w:ascii="宋体" w:hAnsi="宋体"/>
              </w:rPr>
              <w:t>2</w:t>
            </w:r>
          </w:p>
        </w:tc>
        <w:tc>
          <w:tcPr>
            <w:tcW w:w="1339" w:type="pct"/>
            <w:vMerge w:val="restart"/>
            <w:shd w:val="clear" w:color="auto" w:fill="auto"/>
          </w:tcPr>
          <w:p w14:paraId="5C5964C0" w14:textId="77777777" w:rsidR="00E57DAA" w:rsidRDefault="00AC4185">
            <w:pPr>
              <w:rPr>
                <w:szCs w:val="21"/>
              </w:rPr>
            </w:pPr>
            <w:r>
              <w:rPr>
                <w:rFonts w:hint="eastAsia"/>
              </w:rPr>
              <w:t>中国建筑材料科学研究总院有限公司</w:t>
            </w:r>
          </w:p>
        </w:tc>
        <w:tc>
          <w:tcPr>
            <w:tcW w:w="600" w:type="pct"/>
            <w:shd w:val="clear" w:color="auto" w:fill="auto"/>
            <w:vAlign w:val="center"/>
          </w:tcPr>
          <w:p w14:paraId="6C7B03EC" w14:textId="77777777" w:rsidR="00E57DAA" w:rsidRDefault="00AC4185">
            <w:pPr>
              <w:jc w:val="right"/>
              <w:rPr>
                <w:szCs w:val="21"/>
              </w:rPr>
            </w:pPr>
            <w:r>
              <w:t>366,878,106</w:t>
            </w:r>
          </w:p>
        </w:tc>
        <w:tc>
          <w:tcPr>
            <w:tcW w:w="506" w:type="pct"/>
            <w:shd w:val="clear" w:color="auto" w:fill="auto"/>
            <w:vAlign w:val="center"/>
          </w:tcPr>
          <w:p w14:paraId="46525D56" w14:textId="77777777" w:rsidR="00E57DAA" w:rsidRDefault="00AC4185">
            <w:pPr>
              <w:rPr>
                <w:szCs w:val="21"/>
              </w:rPr>
            </w:pPr>
            <w:r>
              <w:rPr>
                <w:rFonts w:hint="eastAsia"/>
              </w:rPr>
              <w:t>2</w:t>
            </w:r>
            <w:r>
              <w:t>026-03-02</w:t>
            </w:r>
          </w:p>
        </w:tc>
        <w:tc>
          <w:tcPr>
            <w:tcW w:w="453" w:type="pct"/>
            <w:shd w:val="clear" w:color="auto" w:fill="auto"/>
            <w:vAlign w:val="center"/>
          </w:tcPr>
          <w:p w14:paraId="60D37598" w14:textId="77777777" w:rsidR="00E57DAA" w:rsidRDefault="00AC4185">
            <w:pPr>
              <w:jc w:val="right"/>
              <w:rPr>
                <w:szCs w:val="21"/>
              </w:rPr>
            </w:pPr>
            <w:r>
              <w:rPr>
                <w:rFonts w:hint="eastAsia"/>
              </w:rPr>
              <w:t>0</w:t>
            </w:r>
          </w:p>
        </w:tc>
        <w:tc>
          <w:tcPr>
            <w:tcW w:w="1742" w:type="pct"/>
            <w:shd w:val="clear" w:color="auto" w:fill="auto"/>
            <w:vAlign w:val="center"/>
          </w:tcPr>
          <w:p w14:paraId="2B5341C1" w14:textId="77777777" w:rsidR="00E57DAA" w:rsidRDefault="00AC4185">
            <w:pPr>
              <w:rPr>
                <w:szCs w:val="21"/>
              </w:rPr>
            </w:pPr>
            <w:r>
              <w:rPr>
                <w:rFonts w:hint="eastAsia"/>
              </w:rPr>
              <w:t>因收购合肥院1</w:t>
            </w:r>
            <w:r>
              <w:t>00%</w:t>
            </w:r>
            <w:r>
              <w:rPr>
                <w:rFonts w:hint="eastAsia"/>
              </w:rPr>
              <w:t>股权而取得的股份自发行结束之日起</w:t>
            </w:r>
            <w:r>
              <w:t>36个月内不得转让；</w:t>
            </w:r>
            <w:r>
              <w:rPr>
                <w:rFonts w:hint="eastAsia"/>
              </w:rPr>
              <w:t>在此之后将按中国证监会及上海交易所的有关规定执行。</w:t>
            </w:r>
          </w:p>
        </w:tc>
      </w:tr>
      <w:tr w:rsidR="00E57DAA" w14:paraId="3BC68C6A" w14:textId="77777777">
        <w:trPr>
          <w:cantSplit/>
          <w:trHeight w:val="345"/>
        </w:trPr>
        <w:tc>
          <w:tcPr>
            <w:tcW w:w="360" w:type="pct"/>
            <w:vMerge/>
            <w:shd w:val="clear" w:color="auto" w:fill="auto"/>
          </w:tcPr>
          <w:p w14:paraId="24C95567" w14:textId="77777777" w:rsidR="00E57DAA" w:rsidRDefault="00E57DAA">
            <w:pPr>
              <w:pStyle w:val="ad"/>
              <w:rPr>
                <w:rFonts w:ascii="宋体" w:hAnsi="宋体"/>
              </w:rPr>
            </w:pPr>
          </w:p>
        </w:tc>
        <w:tc>
          <w:tcPr>
            <w:tcW w:w="1339" w:type="pct"/>
            <w:vMerge/>
            <w:shd w:val="clear" w:color="auto" w:fill="auto"/>
          </w:tcPr>
          <w:p w14:paraId="5ADE23A9" w14:textId="77777777" w:rsidR="00E57DAA" w:rsidRDefault="00E57DAA">
            <w:pPr>
              <w:rPr>
                <w:szCs w:val="21"/>
              </w:rPr>
            </w:pPr>
          </w:p>
        </w:tc>
        <w:tc>
          <w:tcPr>
            <w:tcW w:w="600" w:type="pct"/>
            <w:shd w:val="clear" w:color="auto" w:fill="auto"/>
            <w:vAlign w:val="center"/>
          </w:tcPr>
          <w:p w14:paraId="170B0308" w14:textId="77777777" w:rsidR="00E57DAA" w:rsidRDefault="00AC4185">
            <w:pPr>
              <w:jc w:val="right"/>
              <w:rPr>
                <w:szCs w:val="21"/>
              </w:rPr>
            </w:pPr>
            <w:r>
              <w:t>45,245,186</w:t>
            </w:r>
          </w:p>
        </w:tc>
        <w:tc>
          <w:tcPr>
            <w:tcW w:w="506" w:type="pct"/>
            <w:shd w:val="clear" w:color="auto" w:fill="auto"/>
            <w:vAlign w:val="center"/>
          </w:tcPr>
          <w:p w14:paraId="1C800E51" w14:textId="77777777" w:rsidR="00E57DAA" w:rsidRDefault="00AC4185">
            <w:pPr>
              <w:rPr>
                <w:szCs w:val="21"/>
              </w:rPr>
            </w:pPr>
            <w:r>
              <w:t>2024-10-29</w:t>
            </w:r>
          </w:p>
        </w:tc>
        <w:tc>
          <w:tcPr>
            <w:tcW w:w="453" w:type="pct"/>
            <w:shd w:val="clear" w:color="auto" w:fill="auto"/>
            <w:vAlign w:val="center"/>
          </w:tcPr>
          <w:p w14:paraId="77B20D0B" w14:textId="77777777" w:rsidR="00E57DAA" w:rsidRDefault="00AC4185">
            <w:pPr>
              <w:jc w:val="right"/>
              <w:rPr>
                <w:szCs w:val="21"/>
              </w:rPr>
            </w:pPr>
            <w:r>
              <w:rPr>
                <w:rFonts w:hint="eastAsia"/>
              </w:rPr>
              <w:t>0</w:t>
            </w:r>
          </w:p>
        </w:tc>
        <w:tc>
          <w:tcPr>
            <w:tcW w:w="1742" w:type="pct"/>
            <w:shd w:val="clear" w:color="auto" w:fill="auto"/>
            <w:vAlign w:val="center"/>
          </w:tcPr>
          <w:p w14:paraId="04AB541D" w14:textId="77777777" w:rsidR="00E57DAA" w:rsidRDefault="00AC4185">
            <w:pPr>
              <w:rPr>
                <w:szCs w:val="21"/>
              </w:rPr>
            </w:pPr>
            <w:r>
              <w:rPr>
                <w:rFonts w:hint="eastAsia"/>
              </w:rPr>
              <w:t>因收购北京凯盛</w:t>
            </w:r>
            <w:r>
              <w:t>100%股权、南京凯盛98%股权、中材矿山100%股权而取得的股份自发行结束之日起36个月内不得转让；在此之后将按中国证监会及上海交易所的有关规定执行。</w:t>
            </w:r>
          </w:p>
        </w:tc>
      </w:tr>
      <w:tr w:rsidR="00E57DAA" w14:paraId="713A7E57" w14:textId="77777777">
        <w:trPr>
          <w:cantSplit/>
          <w:trHeight w:val="345"/>
        </w:trPr>
        <w:tc>
          <w:tcPr>
            <w:tcW w:w="360" w:type="pct"/>
            <w:shd w:val="clear" w:color="auto" w:fill="auto"/>
          </w:tcPr>
          <w:p w14:paraId="4B059AF8" w14:textId="77777777" w:rsidR="00E57DAA" w:rsidRDefault="00AC4185">
            <w:pPr>
              <w:pStyle w:val="ad"/>
              <w:rPr>
                <w:rFonts w:ascii="宋体" w:hAnsi="宋体"/>
              </w:rPr>
            </w:pPr>
            <w:r>
              <w:t>3</w:t>
            </w:r>
          </w:p>
        </w:tc>
        <w:tc>
          <w:tcPr>
            <w:tcW w:w="1339" w:type="pct"/>
            <w:shd w:val="clear" w:color="auto" w:fill="auto"/>
          </w:tcPr>
          <w:p w14:paraId="3116FB7B" w14:textId="77777777" w:rsidR="00E57DAA" w:rsidRDefault="00AC4185">
            <w:pPr>
              <w:rPr>
                <w:szCs w:val="21"/>
              </w:rPr>
            </w:pPr>
            <w:r>
              <w:rPr>
                <w:rFonts w:hint="eastAsia"/>
              </w:rPr>
              <w:t>中国建材国际工程集团有限公司</w:t>
            </w:r>
          </w:p>
        </w:tc>
        <w:tc>
          <w:tcPr>
            <w:tcW w:w="600" w:type="pct"/>
            <w:shd w:val="clear" w:color="auto" w:fill="auto"/>
            <w:vAlign w:val="center"/>
          </w:tcPr>
          <w:p w14:paraId="59BA59ED" w14:textId="77777777" w:rsidR="00E57DAA" w:rsidRDefault="00AC4185">
            <w:pPr>
              <w:jc w:val="right"/>
              <w:rPr>
                <w:szCs w:val="21"/>
              </w:rPr>
            </w:pPr>
            <w:r>
              <w:t>45,245,186</w:t>
            </w:r>
          </w:p>
        </w:tc>
        <w:tc>
          <w:tcPr>
            <w:tcW w:w="506" w:type="pct"/>
            <w:shd w:val="clear" w:color="auto" w:fill="auto"/>
            <w:vAlign w:val="center"/>
          </w:tcPr>
          <w:p w14:paraId="5D18B46F" w14:textId="77777777" w:rsidR="00E57DAA" w:rsidRDefault="00AC4185">
            <w:pPr>
              <w:rPr>
                <w:szCs w:val="21"/>
              </w:rPr>
            </w:pPr>
            <w:r>
              <w:t>2024-10-29</w:t>
            </w:r>
          </w:p>
        </w:tc>
        <w:tc>
          <w:tcPr>
            <w:tcW w:w="453" w:type="pct"/>
            <w:shd w:val="clear" w:color="auto" w:fill="auto"/>
            <w:vAlign w:val="center"/>
          </w:tcPr>
          <w:p w14:paraId="17CEF047" w14:textId="77777777" w:rsidR="00E57DAA" w:rsidRDefault="00AC4185">
            <w:pPr>
              <w:jc w:val="right"/>
              <w:rPr>
                <w:szCs w:val="21"/>
              </w:rPr>
            </w:pPr>
            <w:r>
              <w:t>0</w:t>
            </w:r>
          </w:p>
        </w:tc>
        <w:tc>
          <w:tcPr>
            <w:tcW w:w="1742" w:type="pct"/>
            <w:shd w:val="clear" w:color="auto" w:fill="auto"/>
            <w:vAlign w:val="center"/>
          </w:tcPr>
          <w:p w14:paraId="78E4811F" w14:textId="77777777" w:rsidR="00E57DAA" w:rsidRDefault="00AC4185">
            <w:pPr>
              <w:rPr>
                <w:szCs w:val="21"/>
              </w:rPr>
            </w:pPr>
            <w:r>
              <w:rPr>
                <w:rFonts w:hint="eastAsia"/>
              </w:rPr>
              <w:t>同上</w:t>
            </w:r>
          </w:p>
        </w:tc>
      </w:tr>
      <w:tr w:rsidR="00E57DAA" w14:paraId="2B288DAD" w14:textId="77777777">
        <w:trPr>
          <w:cantSplit/>
          <w:trHeight w:val="345"/>
        </w:trPr>
        <w:tc>
          <w:tcPr>
            <w:tcW w:w="360" w:type="pct"/>
            <w:shd w:val="clear" w:color="auto" w:fill="auto"/>
          </w:tcPr>
          <w:p w14:paraId="6C0DC803" w14:textId="77777777" w:rsidR="00E57DAA" w:rsidRDefault="00AC4185">
            <w:pPr>
              <w:pStyle w:val="ad"/>
              <w:rPr>
                <w:rFonts w:ascii="宋体" w:hAnsi="宋体"/>
              </w:rPr>
            </w:pPr>
            <w:r>
              <w:lastRenderedPageBreak/>
              <w:t>4</w:t>
            </w:r>
          </w:p>
        </w:tc>
        <w:tc>
          <w:tcPr>
            <w:tcW w:w="1339" w:type="pct"/>
            <w:shd w:val="clear" w:color="auto" w:fill="auto"/>
          </w:tcPr>
          <w:p w14:paraId="67BF1765" w14:textId="77777777" w:rsidR="00E57DAA" w:rsidRDefault="00AC4185">
            <w:pPr>
              <w:rPr>
                <w:szCs w:val="21"/>
              </w:rPr>
            </w:pPr>
            <w:r>
              <w:rPr>
                <w:rFonts w:hint="eastAsia"/>
              </w:rPr>
              <w:t>童来苟</w:t>
            </w:r>
          </w:p>
        </w:tc>
        <w:tc>
          <w:tcPr>
            <w:tcW w:w="600" w:type="pct"/>
            <w:shd w:val="clear" w:color="auto" w:fill="auto"/>
            <w:vAlign w:val="center"/>
          </w:tcPr>
          <w:p w14:paraId="28F164B8" w14:textId="77777777" w:rsidR="00E57DAA" w:rsidRDefault="00AC4185">
            <w:pPr>
              <w:jc w:val="right"/>
              <w:rPr>
                <w:szCs w:val="21"/>
              </w:rPr>
            </w:pPr>
            <w:r>
              <w:t>560,000</w:t>
            </w:r>
          </w:p>
        </w:tc>
        <w:tc>
          <w:tcPr>
            <w:tcW w:w="506" w:type="pct"/>
            <w:shd w:val="clear" w:color="auto" w:fill="auto"/>
            <w:vAlign w:val="center"/>
          </w:tcPr>
          <w:p w14:paraId="4FB1B751" w14:textId="77777777" w:rsidR="00E57DAA" w:rsidRDefault="00AC4185">
            <w:pPr>
              <w:rPr>
                <w:szCs w:val="21"/>
              </w:rPr>
            </w:pPr>
            <w:r>
              <w:t>不适用</w:t>
            </w:r>
          </w:p>
        </w:tc>
        <w:tc>
          <w:tcPr>
            <w:tcW w:w="453" w:type="pct"/>
            <w:shd w:val="clear" w:color="auto" w:fill="auto"/>
            <w:vAlign w:val="center"/>
          </w:tcPr>
          <w:p w14:paraId="6FD27B69" w14:textId="77777777" w:rsidR="00E57DAA" w:rsidRDefault="00AC4185">
            <w:pPr>
              <w:jc w:val="right"/>
              <w:rPr>
                <w:szCs w:val="21"/>
              </w:rPr>
            </w:pPr>
            <w:r>
              <w:t>0</w:t>
            </w:r>
          </w:p>
        </w:tc>
        <w:tc>
          <w:tcPr>
            <w:tcW w:w="1742" w:type="pct"/>
            <w:shd w:val="clear" w:color="auto" w:fill="auto"/>
            <w:vAlign w:val="center"/>
          </w:tcPr>
          <w:p w14:paraId="78D554F1" w14:textId="77777777" w:rsidR="00E57DAA" w:rsidRDefault="00AC4185">
            <w:pPr>
              <w:rPr>
                <w:szCs w:val="21"/>
              </w:rPr>
            </w:pPr>
            <w:r>
              <w:t>按激励计划要求分批次解除限售</w:t>
            </w:r>
          </w:p>
        </w:tc>
      </w:tr>
      <w:tr w:rsidR="00E57DAA" w14:paraId="1E5E99E0" w14:textId="77777777">
        <w:trPr>
          <w:cantSplit/>
          <w:trHeight w:val="345"/>
        </w:trPr>
        <w:tc>
          <w:tcPr>
            <w:tcW w:w="360" w:type="pct"/>
            <w:shd w:val="clear" w:color="auto" w:fill="auto"/>
          </w:tcPr>
          <w:p w14:paraId="4DCFDD85" w14:textId="77777777" w:rsidR="00E57DAA" w:rsidRDefault="00AC4185">
            <w:pPr>
              <w:pStyle w:val="ad"/>
              <w:rPr>
                <w:rFonts w:ascii="宋体" w:hAnsi="宋体"/>
              </w:rPr>
            </w:pPr>
            <w:r>
              <w:t>5</w:t>
            </w:r>
          </w:p>
        </w:tc>
        <w:tc>
          <w:tcPr>
            <w:tcW w:w="1339" w:type="pct"/>
            <w:shd w:val="clear" w:color="auto" w:fill="auto"/>
          </w:tcPr>
          <w:p w14:paraId="3A720F95" w14:textId="77777777" w:rsidR="00E57DAA" w:rsidRDefault="00AC4185">
            <w:pPr>
              <w:rPr>
                <w:szCs w:val="21"/>
              </w:rPr>
            </w:pPr>
            <w:r>
              <w:rPr>
                <w:rFonts w:hint="eastAsia"/>
              </w:rPr>
              <w:t>刘剑英</w:t>
            </w:r>
          </w:p>
        </w:tc>
        <w:tc>
          <w:tcPr>
            <w:tcW w:w="600" w:type="pct"/>
            <w:shd w:val="clear" w:color="auto" w:fill="auto"/>
            <w:vAlign w:val="center"/>
          </w:tcPr>
          <w:p w14:paraId="44CC9FEB" w14:textId="77777777" w:rsidR="00E57DAA" w:rsidRDefault="00AC4185">
            <w:pPr>
              <w:jc w:val="right"/>
              <w:rPr>
                <w:szCs w:val="21"/>
              </w:rPr>
            </w:pPr>
            <w:r>
              <w:t>460,000</w:t>
            </w:r>
          </w:p>
        </w:tc>
        <w:tc>
          <w:tcPr>
            <w:tcW w:w="506" w:type="pct"/>
            <w:shd w:val="clear" w:color="auto" w:fill="auto"/>
            <w:vAlign w:val="center"/>
          </w:tcPr>
          <w:p w14:paraId="791FDD93" w14:textId="77777777" w:rsidR="00E57DAA" w:rsidRDefault="00AC4185">
            <w:pPr>
              <w:rPr>
                <w:szCs w:val="21"/>
              </w:rPr>
            </w:pPr>
            <w:r>
              <w:t>不适用</w:t>
            </w:r>
          </w:p>
        </w:tc>
        <w:tc>
          <w:tcPr>
            <w:tcW w:w="453" w:type="pct"/>
            <w:shd w:val="clear" w:color="auto" w:fill="auto"/>
            <w:vAlign w:val="center"/>
          </w:tcPr>
          <w:p w14:paraId="56843D1F" w14:textId="77777777" w:rsidR="00E57DAA" w:rsidRDefault="00AC4185">
            <w:pPr>
              <w:jc w:val="right"/>
              <w:rPr>
                <w:szCs w:val="21"/>
              </w:rPr>
            </w:pPr>
            <w:r>
              <w:t>0</w:t>
            </w:r>
          </w:p>
        </w:tc>
        <w:tc>
          <w:tcPr>
            <w:tcW w:w="1742" w:type="pct"/>
            <w:shd w:val="clear" w:color="auto" w:fill="auto"/>
            <w:vAlign w:val="center"/>
          </w:tcPr>
          <w:p w14:paraId="2A29BDAF" w14:textId="77777777" w:rsidR="00E57DAA" w:rsidRDefault="00AC4185">
            <w:pPr>
              <w:rPr>
                <w:szCs w:val="21"/>
              </w:rPr>
            </w:pPr>
            <w:r>
              <w:t>按激励计划要求分批次解除限售</w:t>
            </w:r>
          </w:p>
        </w:tc>
      </w:tr>
      <w:tr w:rsidR="00E57DAA" w14:paraId="179FF28E" w14:textId="77777777">
        <w:trPr>
          <w:cantSplit/>
          <w:trHeight w:val="345"/>
        </w:trPr>
        <w:tc>
          <w:tcPr>
            <w:tcW w:w="360" w:type="pct"/>
            <w:shd w:val="clear" w:color="auto" w:fill="auto"/>
          </w:tcPr>
          <w:p w14:paraId="2E41DBCD" w14:textId="77777777" w:rsidR="00E57DAA" w:rsidRDefault="00AC4185">
            <w:pPr>
              <w:pStyle w:val="ad"/>
              <w:rPr>
                <w:rFonts w:ascii="宋体" w:hAnsi="宋体"/>
              </w:rPr>
            </w:pPr>
            <w:r>
              <w:t>6</w:t>
            </w:r>
          </w:p>
        </w:tc>
        <w:tc>
          <w:tcPr>
            <w:tcW w:w="1339" w:type="pct"/>
            <w:shd w:val="clear" w:color="auto" w:fill="auto"/>
          </w:tcPr>
          <w:p w14:paraId="2F9A0E82" w14:textId="77777777" w:rsidR="00E57DAA" w:rsidRDefault="00AC4185">
            <w:pPr>
              <w:rPr>
                <w:szCs w:val="21"/>
              </w:rPr>
            </w:pPr>
            <w:r>
              <w:rPr>
                <w:rFonts w:hint="eastAsia"/>
              </w:rPr>
              <w:t>张思才</w:t>
            </w:r>
          </w:p>
        </w:tc>
        <w:tc>
          <w:tcPr>
            <w:tcW w:w="600" w:type="pct"/>
            <w:shd w:val="clear" w:color="auto" w:fill="auto"/>
            <w:vAlign w:val="center"/>
          </w:tcPr>
          <w:p w14:paraId="442B4C32" w14:textId="77777777" w:rsidR="00E57DAA" w:rsidRDefault="00AC4185">
            <w:pPr>
              <w:jc w:val="right"/>
              <w:rPr>
                <w:szCs w:val="21"/>
              </w:rPr>
            </w:pPr>
            <w:r>
              <w:t>460,000</w:t>
            </w:r>
          </w:p>
        </w:tc>
        <w:tc>
          <w:tcPr>
            <w:tcW w:w="506" w:type="pct"/>
            <w:shd w:val="clear" w:color="auto" w:fill="auto"/>
            <w:vAlign w:val="center"/>
          </w:tcPr>
          <w:p w14:paraId="4C16F221" w14:textId="77777777" w:rsidR="00E57DAA" w:rsidRDefault="00AC4185">
            <w:pPr>
              <w:rPr>
                <w:szCs w:val="21"/>
              </w:rPr>
            </w:pPr>
            <w:r>
              <w:t>不适用</w:t>
            </w:r>
          </w:p>
        </w:tc>
        <w:tc>
          <w:tcPr>
            <w:tcW w:w="453" w:type="pct"/>
            <w:shd w:val="clear" w:color="auto" w:fill="auto"/>
            <w:vAlign w:val="center"/>
          </w:tcPr>
          <w:p w14:paraId="2753BF45" w14:textId="77777777" w:rsidR="00E57DAA" w:rsidRDefault="00AC4185">
            <w:pPr>
              <w:jc w:val="right"/>
              <w:rPr>
                <w:szCs w:val="21"/>
              </w:rPr>
            </w:pPr>
            <w:r>
              <w:t>0</w:t>
            </w:r>
          </w:p>
        </w:tc>
        <w:tc>
          <w:tcPr>
            <w:tcW w:w="1742" w:type="pct"/>
            <w:shd w:val="clear" w:color="auto" w:fill="auto"/>
            <w:vAlign w:val="center"/>
          </w:tcPr>
          <w:p w14:paraId="52DD8764" w14:textId="77777777" w:rsidR="00E57DAA" w:rsidRDefault="00AC4185">
            <w:pPr>
              <w:rPr>
                <w:szCs w:val="21"/>
              </w:rPr>
            </w:pPr>
            <w:r>
              <w:t>按激励计划要求分批次解除限售</w:t>
            </w:r>
          </w:p>
        </w:tc>
      </w:tr>
      <w:tr w:rsidR="00E57DAA" w14:paraId="25DF8F78" w14:textId="77777777">
        <w:trPr>
          <w:cantSplit/>
          <w:trHeight w:val="345"/>
        </w:trPr>
        <w:tc>
          <w:tcPr>
            <w:tcW w:w="360" w:type="pct"/>
            <w:shd w:val="clear" w:color="auto" w:fill="auto"/>
          </w:tcPr>
          <w:p w14:paraId="6E28E249" w14:textId="77777777" w:rsidR="00E57DAA" w:rsidRDefault="00AC4185">
            <w:pPr>
              <w:pStyle w:val="ad"/>
              <w:rPr>
                <w:rFonts w:ascii="宋体" w:hAnsi="宋体"/>
              </w:rPr>
            </w:pPr>
            <w:r>
              <w:t>7</w:t>
            </w:r>
          </w:p>
        </w:tc>
        <w:tc>
          <w:tcPr>
            <w:tcW w:w="1339" w:type="pct"/>
            <w:shd w:val="clear" w:color="auto" w:fill="auto"/>
          </w:tcPr>
          <w:p w14:paraId="317E0D45" w14:textId="77777777" w:rsidR="00E57DAA" w:rsidRDefault="00AC4185">
            <w:pPr>
              <w:rPr>
                <w:szCs w:val="21"/>
              </w:rPr>
            </w:pPr>
            <w:r>
              <w:rPr>
                <w:rFonts w:hint="eastAsia"/>
              </w:rPr>
              <w:t>李</w:t>
            </w:r>
            <w:r>
              <w:t xml:space="preserve">  明</w:t>
            </w:r>
          </w:p>
        </w:tc>
        <w:tc>
          <w:tcPr>
            <w:tcW w:w="600" w:type="pct"/>
            <w:shd w:val="clear" w:color="auto" w:fill="auto"/>
            <w:vAlign w:val="center"/>
          </w:tcPr>
          <w:p w14:paraId="4BCFE88E" w14:textId="77777777" w:rsidR="00E57DAA" w:rsidRDefault="00AC4185">
            <w:pPr>
              <w:jc w:val="right"/>
              <w:rPr>
                <w:szCs w:val="21"/>
              </w:rPr>
            </w:pPr>
            <w:r>
              <w:t>460,000</w:t>
            </w:r>
          </w:p>
        </w:tc>
        <w:tc>
          <w:tcPr>
            <w:tcW w:w="506" w:type="pct"/>
            <w:shd w:val="clear" w:color="auto" w:fill="auto"/>
            <w:vAlign w:val="center"/>
          </w:tcPr>
          <w:p w14:paraId="02197D49" w14:textId="77777777" w:rsidR="00E57DAA" w:rsidRDefault="00AC4185">
            <w:pPr>
              <w:rPr>
                <w:szCs w:val="21"/>
              </w:rPr>
            </w:pPr>
            <w:r>
              <w:t>不适用</w:t>
            </w:r>
          </w:p>
        </w:tc>
        <w:tc>
          <w:tcPr>
            <w:tcW w:w="453" w:type="pct"/>
            <w:shd w:val="clear" w:color="auto" w:fill="auto"/>
            <w:vAlign w:val="center"/>
          </w:tcPr>
          <w:p w14:paraId="26E80A00" w14:textId="77777777" w:rsidR="00E57DAA" w:rsidRDefault="00AC4185">
            <w:pPr>
              <w:jc w:val="right"/>
              <w:rPr>
                <w:szCs w:val="21"/>
              </w:rPr>
            </w:pPr>
            <w:r>
              <w:t>0</w:t>
            </w:r>
          </w:p>
        </w:tc>
        <w:tc>
          <w:tcPr>
            <w:tcW w:w="1742" w:type="pct"/>
            <w:shd w:val="clear" w:color="auto" w:fill="auto"/>
            <w:vAlign w:val="center"/>
          </w:tcPr>
          <w:p w14:paraId="2ED4697C" w14:textId="77777777" w:rsidR="00E57DAA" w:rsidRDefault="00AC4185">
            <w:pPr>
              <w:rPr>
                <w:szCs w:val="21"/>
              </w:rPr>
            </w:pPr>
            <w:r>
              <w:t>按激励计划要求分批次解除限售</w:t>
            </w:r>
          </w:p>
        </w:tc>
      </w:tr>
      <w:tr w:rsidR="00E57DAA" w14:paraId="7719D1C3" w14:textId="77777777">
        <w:trPr>
          <w:cantSplit/>
          <w:trHeight w:val="345"/>
        </w:trPr>
        <w:tc>
          <w:tcPr>
            <w:tcW w:w="360" w:type="pct"/>
            <w:shd w:val="clear" w:color="auto" w:fill="auto"/>
          </w:tcPr>
          <w:p w14:paraId="0C8FA4C5" w14:textId="77777777" w:rsidR="00E57DAA" w:rsidRDefault="00AC4185">
            <w:pPr>
              <w:pStyle w:val="ad"/>
              <w:rPr>
                <w:rFonts w:ascii="宋体" w:hAnsi="宋体"/>
              </w:rPr>
            </w:pPr>
            <w:r>
              <w:t>8</w:t>
            </w:r>
          </w:p>
        </w:tc>
        <w:tc>
          <w:tcPr>
            <w:tcW w:w="1339" w:type="pct"/>
            <w:shd w:val="clear" w:color="auto" w:fill="auto"/>
          </w:tcPr>
          <w:p w14:paraId="7DB0D98D" w14:textId="77777777" w:rsidR="00E57DAA" w:rsidRDefault="00AC4185">
            <w:pPr>
              <w:rPr>
                <w:szCs w:val="21"/>
              </w:rPr>
            </w:pPr>
            <w:r>
              <w:rPr>
                <w:rFonts w:hint="eastAsia"/>
              </w:rPr>
              <w:t>刘仁越</w:t>
            </w:r>
          </w:p>
        </w:tc>
        <w:tc>
          <w:tcPr>
            <w:tcW w:w="600" w:type="pct"/>
            <w:shd w:val="clear" w:color="auto" w:fill="auto"/>
            <w:vAlign w:val="center"/>
          </w:tcPr>
          <w:p w14:paraId="0496FB13" w14:textId="77777777" w:rsidR="00E57DAA" w:rsidRDefault="00AC4185">
            <w:pPr>
              <w:jc w:val="right"/>
              <w:rPr>
                <w:szCs w:val="21"/>
              </w:rPr>
            </w:pPr>
            <w:r>
              <w:t>415,911</w:t>
            </w:r>
          </w:p>
        </w:tc>
        <w:tc>
          <w:tcPr>
            <w:tcW w:w="506" w:type="pct"/>
            <w:shd w:val="clear" w:color="auto" w:fill="auto"/>
            <w:vAlign w:val="center"/>
          </w:tcPr>
          <w:p w14:paraId="2F2ABD54" w14:textId="77777777" w:rsidR="00E57DAA" w:rsidRDefault="00AC4185">
            <w:pPr>
              <w:rPr>
                <w:szCs w:val="21"/>
              </w:rPr>
            </w:pPr>
            <w:r>
              <w:t>不适用</w:t>
            </w:r>
          </w:p>
        </w:tc>
        <w:tc>
          <w:tcPr>
            <w:tcW w:w="453" w:type="pct"/>
            <w:shd w:val="clear" w:color="auto" w:fill="auto"/>
            <w:vAlign w:val="center"/>
          </w:tcPr>
          <w:p w14:paraId="15AE068D" w14:textId="77777777" w:rsidR="00E57DAA" w:rsidRDefault="00AC4185">
            <w:pPr>
              <w:jc w:val="right"/>
              <w:rPr>
                <w:szCs w:val="21"/>
              </w:rPr>
            </w:pPr>
            <w:r>
              <w:t>0</w:t>
            </w:r>
          </w:p>
        </w:tc>
        <w:tc>
          <w:tcPr>
            <w:tcW w:w="1742" w:type="pct"/>
            <w:shd w:val="clear" w:color="auto" w:fill="auto"/>
            <w:vAlign w:val="center"/>
          </w:tcPr>
          <w:p w14:paraId="503E0A31" w14:textId="77777777" w:rsidR="00E57DAA" w:rsidRDefault="00AC4185">
            <w:pPr>
              <w:rPr>
                <w:szCs w:val="21"/>
              </w:rPr>
            </w:pPr>
            <w:r>
              <w:t>按激励计划要求分批次解除限售</w:t>
            </w:r>
          </w:p>
        </w:tc>
      </w:tr>
      <w:tr w:rsidR="00E57DAA" w14:paraId="213C85B1" w14:textId="77777777">
        <w:trPr>
          <w:cantSplit/>
          <w:trHeight w:val="345"/>
        </w:trPr>
        <w:tc>
          <w:tcPr>
            <w:tcW w:w="360" w:type="pct"/>
            <w:shd w:val="clear" w:color="auto" w:fill="auto"/>
          </w:tcPr>
          <w:p w14:paraId="34912F7C" w14:textId="77777777" w:rsidR="00E57DAA" w:rsidRDefault="00AC4185">
            <w:pPr>
              <w:pStyle w:val="ad"/>
              <w:rPr>
                <w:rFonts w:ascii="宋体" w:hAnsi="宋体"/>
              </w:rPr>
            </w:pPr>
            <w:r>
              <w:t>9</w:t>
            </w:r>
          </w:p>
        </w:tc>
        <w:tc>
          <w:tcPr>
            <w:tcW w:w="1339" w:type="pct"/>
            <w:shd w:val="clear" w:color="auto" w:fill="auto"/>
          </w:tcPr>
          <w:p w14:paraId="40D77573" w14:textId="77777777" w:rsidR="00E57DAA" w:rsidRDefault="00AC4185">
            <w:pPr>
              <w:rPr>
                <w:szCs w:val="21"/>
              </w:rPr>
            </w:pPr>
            <w:r>
              <w:rPr>
                <w:rFonts w:hint="eastAsia"/>
              </w:rPr>
              <w:t>朱宝华</w:t>
            </w:r>
          </w:p>
        </w:tc>
        <w:tc>
          <w:tcPr>
            <w:tcW w:w="600" w:type="pct"/>
            <w:shd w:val="clear" w:color="auto" w:fill="auto"/>
            <w:vAlign w:val="center"/>
          </w:tcPr>
          <w:p w14:paraId="24C1889B" w14:textId="77777777" w:rsidR="00E57DAA" w:rsidRDefault="00AC4185">
            <w:pPr>
              <w:jc w:val="right"/>
              <w:rPr>
                <w:szCs w:val="21"/>
              </w:rPr>
            </w:pPr>
            <w:r>
              <w:t>390,000</w:t>
            </w:r>
          </w:p>
        </w:tc>
        <w:tc>
          <w:tcPr>
            <w:tcW w:w="506" w:type="pct"/>
            <w:shd w:val="clear" w:color="auto" w:fill="auto"/>
            <w:vAlign w:val="center"/>
          </w:tcPr>
          <w:p w14:paraId="2FA27541" w14:textId="77777777" w:rsidR="00E57DAA" w:rsidRDefault="00AC4185">
            <w:pPr>
              <w:rPr>
                <w:szCs w:val="21"/>
              </w:rPr>
            </w:pPr>
            <w:r>
              <w:t>不适用</w:t>
            </w:r>
          </w:p>
        </w:tc>
        <w:tc>
          <w:tcPr>
            <w:tcW w:w="453" w:type="pct"/>
            <w:shd w:val="clear" w:color="auto" w:fill="auto"/>
            <w:vAlign w:val="center"/>
          </w:tcPr>
          <w:p w14:paraId="06791B61" w14:textId="77777777" w:rsidR="00E57DAA" w:rsidRDefault="00AC4185">
            <w:pPr>
              <w:jc w:val="right"/>
              <w:rPr>
                <w:szCs w:val="21"/>
              </w:rPr>
            </w:pPr>
            <w:r>
              <w:t>0</w:t>
            </w:r>
          </w:p>
        </w:tc>
        <w:tc>
          <w:tcPr>
            <w:tcW w:w="1742" w:type="pct"/>
            <w:shd w:val="clear" w:color="auto" w:fill="auto"/>
            <w:vAlign w:val="center"/>
          </w:tcPr>
          <w:p w14:paraId="6F1C06C4" w14:textId="77777777" w:rsidR="00E57DAA" w:rsidRDefault="00AC4185">
            <w:pPr>
              <w:rPr>
                <w:szCs w:val="21"/>
              </w:rPr>
            </w:pPr>
            <w:r>
              <w:t>按激励计划要求分批次解除限售</w:t>
            </w:r>
          </w:p>
        </w:tc>
      </w:tr>
      <w:tr w:rsidR="00E57DAA" w14:paraId="6C3C4C01" w14:textId="77777777">
        <w:trPr>
          <w:cantSplit/>
          <w:trHeight w:val="345"/>
        </w:trPr>
        <w:tc>
          <w:tcPr>
            <w:tcW w:w="360" w:type="pct"/>
            <w:shd w:val="clear" w:color="auto" w:fill="auto"/>
          </w:tcPr>
          <w:p w14:paraId="29E18DC6" w14:textId="77777777" w:rsidR="00E57DAA" w:rsidRDefault="00AC4185">
            <w:pPr>
              <w:pStyle w:val="ad"/>
              <w:rPr>
                <w:rFonts w:ascii="宋体" w:hAnsi="宋体"/>
              </w:rPr>
            </w:pPr>
            <w:r>
              <w:t>10</w:t>
            </w:r>
          </w:p>
        </w:tc>
        <w:tc>
          <w:tcPr>
            <w:tcW w:w="1339" w:type="pct"/>
            <w:shd w:val="clear" w:color="auto" w:fill="auto"/>
          </w:tcPr>
          <w:p w14:paraId="4D08C0CB" w14:textId="77777777" w:rsidR="00E57DAA" w:rsidRDefault="00AC4185" w:rsidP="00C25422">
            <w:pPr>
              <w:pStyle w:val="92"/>
            </w:pPr>
            <w:r>
              <w:rPr>
                <w:rFonts w:hint="eastAsia"/>
              </w:rPr>
              <w:t>林</w:t>
            </w:r>
            <w:r>
              <w:t xml:space="preserve">  忠</w:t>
            </w:r>
          </w:p>
        </w:tc>
        <w:tc>
          <w:tcPr>
            <w:tcW w:w="600" w:type="pct"/>
            <w:shd w:val="clear" w:color="auto" w:fill="auto"/>
            <w:vAlign w:val="center"/>
          </w:tcPr>
          <w:p w14:paraId="63D8F9BF" w14:textId="77777777" w:rsidR="00E57DAA" w:rsidRDefault="00AC4185">
            <w:pPr>
              <w:jc w:val="right"/>
              <w:rPr>
                <w:szCs w:val="21"/>
              </w:rPr>
            </w:pPr>
            <w:r>
              <w:t>374,375</w:t>
            </w:r>
          </w:p>
        </w:tc>
        <w:tc>
          <w:tcPr>
            <w:tcW w:w="506" w:type="pct"/>
            <w:shd w:val="clear" w:color="auto" w:fill="auto"/>
            <w:vAlign w:val="center"/>
          </w:tcPr>
          <w:p w14:paraId="15F1F19A" w14:textId="77777777" w:rsidR="00E57DAA" w:rsidRDefault="00AC4185">
            <w:pPr>
              <w:rPr>
                <w:szCs w:val="21"/>
              </w:rPr>
            </w:pPr>
            <w:r>
              <w:t>不适用</w:t>
            </w:r>
          </w:p>
        </w:tc>
        <w:tc>
          <w:tcPr>
            <w:tcW w:w="453" w:type="pct"/>
            <w:shd w:val="clear" w:color="auto" w:fill="auto"/>
            <w:vAlign w:val="center"/>
          </w:tcPr>
          <w:p w14:paraId="7DCE52EB" w14:textId="77777777" w:rsidR="00E57DAA" w:rsidRDefault="00AC4185">
            <w:pPr>
              <w:jc w:val="right"/>
              <w:rPr>
                <w:szCs w:val="21"/>
              </w:rPr>
            </w:pPr>
            <w:r>
              <w:t>0</w:t>
            </w:r>
          </w:p>
        </w:tc>
        <w:tc>
          <w:tcPr>
            <w:tcW w:w="1742" w:type="pct"/>
            <w:shd w:val="clear" w:color="auto" w:fill="auto"/>
            <w:vAlign w:val="center"/>
          </w:tcPr>
          <w:p w14:paraId="6F50077D" w14:textId="77777777" w:rsidR="00E57DAA" w:rsidRDefault="00AC4185">
            <w:pPr>
              <w:rPr>
                <w:szCs w:val="21"/>
              </w:rPr>
            </w:pPr>
            <w:r>
              <w:t>按激励计划要求分批次解除限售</w:t>
            </w:r>
          </w:p>
        </w:tc>
      </w:tr>
      <w:tr w:rsidR="00E57DAA" w14:paraId="66E26C88" w14:textId="77777777">
        <w:trPr>
          <w:cantSplit/>
        </w:trPr>
        <w:tc>
          <w:tcPr>
            <w:tcW w:w="1699" w:type="pct"/>
            <w:gridSpan w:val="2"/>
            <w:shd w:val="clear" w:color="auto" w:fill="auto"/>
          </w:tcPr>
          <w:p w14:paraId="603CBD78" w14:textId="77777777" w:rsidR="00E57DAA" w:rsidRDefault="00AC4185">
            <w:pPr>
              <w:ind w:rightChars="46" w:right="97"/>
              <w:rPr>
                <w:szCs w:val="21"/>
              </w:rPr>
            </w:pPr>
            <w:r>
              <w:rPr>
                <w:rFonts w:hint="eastAsia"/>
                <w:szCs w:val="21"/>
              </w:rPr>
              <w:t>上述股东关联关系或一致行动的说明</w:t>
            </w:r>
          </w:p>
        </w:tc>
        <w:tc>
          <w:tcPr>
            <w:tcW w:w="3301" w:type="pct"/>
            <w:gridSpan w:val="4"/>
            <w:shd w:val="clear" w:color="auto" w:fill="auto"/>
          </w:tcPr>
          <w:p w14:paraId="153D8F38" w14:textId="77777777" w:rsidR="00E57DAA" w:rsidRDefault="00AC4185">
            <w:pPr>
              <w:ind w:rightChars="46" w:right="97"/>
              <w:rPr>
                <w:rFonts w:cs="Arial"/>
                <w:szCs w:val="21"/>
              </w:rPr>
            </w:pPr>
            <w:r>
              <w:rPr>
                <w:rFonts w:cs="Arial" w:hint="eastAsia"/>
                <w:szCs w:val="21"/>
              </w:rPr>
              <w:t>中国建材股份有限公司、中国建筑材料科学研究总院有限公司和中国建材国际工程集团有限公司同受中国建材集团有限公司控制，三者之间存在一致行动关系。</w:t>
            </w:r>
          </w:p>
          <w:p w14:paraId="75AC1D06" w14:textId="77777777" w:rsidR="00E57DAA" w:rsidRDefault="00AC4185">
            <w:pPr>
              <w:ind w:rightChars="46" w:right="97"/>
              <w:rPr>
                <w:rFonts w:cs="Arial"/>
                <w:szCs w:val="21"/>
              </w:rPr>
            </w:pPr>
            <w:r>
              <w:rPr>
                <w:rFonts w:cs="Arial" w:hint="eastAsia"/>
                <w:szCs w:val="21"/>
              </w:rPr>
              <w:t>上述自然人股东为公司</w:t>
            </w:r>
            <w:r>
              <w:rPr>
                <w:rFonts w:cs="Arial"/>
                <w:szCs w:val="21"/>
              </w:rPr>
              <w:t>2021年限制性股票激励计划授予对象，该限制性股票的限售条件详见本节限售股份变动部分内容。</w:t>
            </w:r>
          </w:p>
        </w:tc>
      </w:tr>
    </w:tbl>
    <w:p w14:paraId="176A9944" w14:textId="77777777" w:rsidR="00E57DAA" w:rsidRDefault="00AC4185">
      <w:pPr>
        <w:pStyle w:val="3"/>
        <w:numPr>
          <w:ilvl w:val="1"/>
          <w:numId w:val="49"/>
        </w:numPr>
      </w:pPr>
      <w:r>
        <w:t>战略投资者或一般法人因配售新股成为前</w:t>
      </w:r>
      <w:r>
        <w:t>10</w:t>
      </w:r>
      <w:r>
        <w:t>名股东</w:t>
      </w:r>
    </w:p>
    <w:bookmarkEnd w:id="127" w:displacedByCustomXml="next"/>
    <w:sdt>
      <w:sdtPr>
        <w:alias w:val="是否适用：战略投资者或一般法人因配售新股成为前10名股东[双击切换]"/>
        <w:tag w:val="_GBC_f3c63aafb8134fdcbdeb39fd33c2cd8d"/>
        <w:id w:val="1031141057"/>
        <w:placeholder>
          <w:docPart w:val="GBC22222222222222222222222222222"/>
        </w:placeholder>
      </w:sdtPr>
      <w:sdtEndPr/>
      <w:sdtContent>
        <w:p w14:paraId="6F8682D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567AB4" w14:textId="77777777" w:rsidR="00E57DAA" w:rsidRDefault="00E57DAA">
      <w:pPr>
        <w:sectPr w:rsidR="00E57DAA" w:rsidSect="00226547">
          <w:pgSz w:w="16838" w:h="11906" w:orient="landscape"/>
          <w:pgMar w:top="1797" w:right="1525" w:bottom="1276" w:left="1440" w:header="855" w:footer="992" w:gutter="0"/>
          <w:cols w:space="425"/>
          <w:docGrid w:type="lines" w:linePitch="312"/>
        </w:sectPr>
      </w:pPr>
    </w:p>
    <w:p w14:paraId="0EAE03F7" w14:textId="77777777" w:rsidR="00E57DAA" w:rsidRDefault="00E57DAA" w:rsidP="00C25422">
      <w:pPr>
        <w:pStyle w:val="92"/>
      </w:pPr>
    </w:p>
    <w:p w14:paraId="44DAD387" w14:textId="77777777" w:rsidR="00E57DAA" w:rsidRDefault="00AC4185">
      <w:pPr>
        <w:pStyle w:val="2"/>
      </w:pPr>
      <w:r>
        <w:rPr>
          <w:rFonts w:hint="eastAsia"/>
        </w:rPr>
        <w:t>控股股东及实际控制人情况</w:t>
      </w:r>
    </w:p>
    <w:p w14:paraId="19F1AFBF" w14:textId="77777777" w:rsidR="00E57DAA" w:rsidRDefault="00AC4185">
      <w:pPr>
        <w:pStyle w:val="3"/>
        <w:numPr>
          <w:ilvl w:val="0"/>
          <w:numId w:val="50"/>
        </w:numPr>
      </w:pPr>
      <w:r>
        <w:t>控股股东情况</w:t>
      </w:r>
    </w:p>
    <w:p w14:paraId="67EFF3B9" w14:textId="77777777" w:rsidR="00E57DAA" w:rsidRDefault="00AC4185">
      <w:pPr>
        <w:pStyle w:val="4"/>
        <w:numPr>
          <w:ilvl w:val="0"/>
          <w:numId w:val="51"/>
        </w:numPr>
      </w:pPr>
      <w:r>
        <w:t>法人</w:t>
      </w:r>
    </w:p>
    <w:sdt>
      <w:sdtPr>
        <w:alias w:val="是否适用：法人_控股股东情况[双击切换]"/>
        <w:tag w:val="_GBC_eab2d7c8478645dbae996b49d203b0d9"/>
        <w:id w:val="-899664968"/>
        <w:placeholder>
          <w:docPart w:val="GBC22222222222222222222222222222"/>
        </w:placeholder>
      </w:sdtPr>
      <w:sdtEndPr/>
      <w:sdtContent>
        <w:p w14:paraId="7B65E90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0" w:type="auto"/>
        <w:tblLook w:val="04A0" w:firstRow="1" w:lastRow="0" w:firstColumn="1" w:lastColumn="0" w:noHBand="0" w:noVBand="1"/>
      </w:tblPr>
      <w:tblGrid>
        <w:gridCol w:w="3290"/>
        <w:gridCol w:w="5533"/>
      </w:tblGrid>
      <w:tr w:rsidR="00E57DAA" w14:paraId="2D0C4621" w14:textId="77777777">
        <w:trPr>
          <w:trHeight w:val="117"/>
        </w:trPr>
        <w:sdt>
          <w:sdtPr>
            <w:tag w:val="_PLD_e1d45d230e0e4c06bc451af63b51d4e2"/>
            <w:id w:val="1922363094"/>
          </w:sdtPr>
          <w:sdtEndPr/>
          <w:sdtContent>
            <w:tc>
              <w:tcPr>
                <w:tcW w:w="3290" w:type="dxa"/>
              </w:tcPr>
              <w:p w14:paraId="0FA9B62B" w14:textId="77777777" w:rsidR="00E57DAA" w:rsidRDefault="00AC4185">
                <w:pPr>
                  <w:rPr>
                    <w:szCs w:val="21"/>
                  </w:rPr>
                </w:pPr>
                <w:r>
                  <w:rPr>
                    <w:rFonts w:hint="eastAsia"/>
                    <w:szCs w:val="21"/>
                  </w:rPr>
                  <w:t>名称</w:t>
                </w:r>
              </w:p>
            </w:tc>
          </w:sdtContent>
        </w:sdt>
        <w:tc>
          <w:tcPr>
            <w:tcW w:w="5533" w:type="dxa"/>
            <w:vAlign w:val="center"/>
          </w:tcPr>
          <w:p w14:paraId="7CBE5693" w14:textId="77777777" w:rsidR="00E57DAA" w:rsidRDefault="00AC4185">
            <w:pPr>
              <w:rPr>
                <w:szCs w:val="21"/>
              </w:rPr>
            </w:pPr>
            <w:r>
              <w:t>中国建材股份有限公司</w:t>
            </w:r>
          </w:p>
        </w:tc>
      </w:tr>
      <w:tr w:rsidR="00E57DAA" w14:paraId="642FB4D4" w14:textId="77777777">
        <w:trPr>
          <w:trHeight w:val="75"/>
        </w:trPr>
        <w:tc>
          <w:tcPr>
            <w:tcW w:w="3290" w:type="dxa"/>
          </w:tcPr>
          <w:p w14:paraId="4AEB3C3A" w14:textId="77777777" w:rsidR="00E57DAA" w:rsidRDefault="00AC4185">
            <w:pPr>
              <w:rPr>
                <w:szCs w:val="21"/>
              </w:rPr>
            </w:pPr>
            <w:r>
              <w:rPr>
                <w:rFonts w:hint="eastAsia"/>
                <w:szCs w:val="21"/>
              </w:rPr>
              <w:t>单位负责人或法定代表人</w:t>
            </w:r>
          </w:p>
        </w:tc>
        <w:tc>
          <w:tcPr>
            <w:tcW w:w="5533" w:type="dxa"/>
            <w:vAlign w:val="center"/>
          </w:tcPr>
          <w:p w14:paraId="3D72478D" w14:textId="77777777" w:rsidR="00E57DAA" w:rsidRDefault="00AC4185">
            <w:pPr>
              <w:rPr>
                <w:szCs w:val="21"/>
              </w:rPr>
            </w:pPr>
            <w:r>
              <w:t>周育先</w:t>
            </w:r>
          </w:p>
        </w:tc>
      </w:tr>
      <w:tr w:rsidR="00E57DAA" w14:paraId="26788B47" w14:textId="77777777">
        <w:trPr>
          <w:trHeight w:val="225"/>
        </w:trPr>
        <w:tc>
          <w:tcPr>
            <w:tcW w:w="3290" w:type="dxa"/>
          </w:tcPr>
          <w:p w14:paraId="1539033B" w14:textId="77777777" w:rsidR="00E57DAA" w:rsidRDefault="00AC4185">
            <w:pPr>
              <w:rPr>
                <w:szCs w:val="21"/>
              </w:rPr>
            </w:pPr>
            <w:r>
              <w:rPr>
                <w:rFonts w:hint="eastAsia"/>
                <w:szCs w:val="21"/>
              </w:rPr>
              <w:t>成立日期</w:t>
            </w:r>
          </w:p>
        </w:tc>
        <w:tc>
          <w:tcPr>
            <w:tcW w:w="5533" w:type="dxa"/>
            <w:vAlign w:val="center"/>
          </w:tcPr>
          <w:p w14:paraId="473DBC95" w14:textId="77777777" w:rsidR="00E57DAA" w:rsidRDefault="00AC4185">
            <w:pPr>
              <w:rPr>
                <w:szCs w:val="21"/>
              </w:rPr>
            </w:pPr>
            <w:r>
              <w:t>1985年6月24日</w:t>
            </w:r>
          </w:p>
        </w:tc>
      </w:tr>
      <w:tr w:rsidR="00E57DAA" w14:paraId="5715BC48" w14:textId="77777777">
        <w:trPr>
          <w:trHeight w:val="150"/>
        </w:trPr>
        <w:tc>
          <w:tcPr>
            <w:tcW w:w="3290" w:type="dxa"/>
          </w:tcPr>
          <w:p w14:paraId="7983F2E3" w14:textId="77777777" w:rsidR="00E57DAA" w:rsidRDefault="00AC4185">
            <w:pPr>
              <w:rPr>
                <w:szCs w:val="21"/>
              </w:rPr>
            </w:pPr>
            <w:r>
              <w:rPr>
                <w:rFonts w:hint="eastAsia"/>
                <w:szCs w:val="21"/>
              </w:rPr>
              <w:t>主要经营业务</w:t>
            </w:r>
          </w:p>
        </w:tc>
        <w:tc>
          <w:tcPr>
            <w:tcW w:w="5533" w:type="dxa"/>
            <w:vAlign w:val="center"/>
          </w:tcPr>
          <w:p w14:paraId="5609F556" w14:textId="77777777" w:rsidR="00E57DAA" w:rsidRDefault="00AC4185">
            <w:pPr>
              <w:rPr>
                <w:szCs w:val="21"/>
              </w:rPr>
            </w:pPr>
            <w:r>
              <w:t>许可项目：建设工程设计；建设工程施工。（依法须经批准的项目，经相关部门批准后方可开展经营活动，具体经营项目以相关部门批准文件或许可证件为准）一般项目：新型建筑材料制造（不含危险化学品）；建筑材料销售；非金属矿物制品制造；非金属矿及制品销售；轻质建筑材料制造；轻质建筑材料销售；水泥制品销售；玻璃纤维及制品制造；玻璃纤维及制品销售；高性能纤维及复合材料制造；高性能纤维及复合材料销售；新材料技术研发；工业工程设计服务；工程管理服务；对外承包工程；技术服务、技术开发、技术咨询、技术交流、技术转让、技术推广；普通货物仓储服务（不含危险化学品等需许可审批的项目）；国内货物运输代理；石墨及碳素制品制造；石墨及碳素制品销售；矿物洗选加工；机械设备研发；建筑材料生产专用机械制造；机械设备销售；机械设备租赁；货物进出口；进出口代理；技术进出口；新型膜材料制造；新型膜材料销售。（除依法须经批准的项目外，凭营业执照依法自主开展经营活动）（不得从事国家和本市产业政策禁止和限制类项目的经营活动。）</w:t>
            </w:r>
          </w:p>
        </w:tc>
      </w:tr>
      <w:tr w:rsidR="00E57DAA" w14:paraId="5E41D538" w14:textId="77777777">
        <w:trPr>
          <w:trHeight w:val="132"/>
        </w:trPr>
        <w:tc>
          <w:tcPr>
            <w:tcW w:w="3290" w:type="dxa"/>
          </w:tcPr>
          <w:p w14:paraId="77E50067" w14:textId="77777777" w:rsidR="00E57DAA" w:rsidRDefault="00AC4185">
            <w:pPr>
              <w:rPr>
                <w:szCs w:val="21"/>
              </w:rPr>
            </w:pPr>
            <w:r>
              <w:rPr>
                <w:rFonts w:hint="eastAsia"/>
                <w:szCs w:val="21"/>
              </w:rPr>
              <w:t>报告期内控股和参股的其他境内外上市公司的股权情况</w:t>
            </w:r>
          </w:p>
        </w:tc>
        <w:tc>
          <w:tcPr>
            <w:tcW w:w="5533" w:type="dxa"/>
            <w:vAlign w:val="center"/>
          </w:tcPr>
          <w:p w14:paraId="274D5EFD" w14:textId="77777777" w:rsidR="00E57DAA" w:rsidRDefault="00AC4185">
            <w:pPr>
              <w:rPr>
                <w:szCs w:val="21"/>
              </w:rPr>
            </w:pPr>
            <w:r>
              <w:t>截至2023年12月31日，</w:t>
            </w:r>
            <w:r>
              <w:rPr>
                <w:rFonts w:hint="eastAsia"/>
              </w:rPr>
              <w:t>直接控股中国巨石（</w:t>
            </w:r>
            <w:r>
              <w:t>600176）26.97%股权；控股北新建材（000786）37.83%股权；</w:t>
            </w:r>
            <w:r>
              <w:rPr>
                <w:rFonts w:hint="eastAsia"/>
              </w:rPr>
              <w:t>直接控股宁夏建材</w:t>
            </w:r>
            <w:r>
              <w:t>600449）49.03%股权；直接控股天山股份（000877）84.52%股权；直接控股中材科技（002080）60.24%股权；直接及间接持有中交设计（600720）10.06%股权。通过下属全资子公司参股山水水泥（00691）12.94%股权；通过下属全资子公司参股红星美凯龙（01528）4.33%股权；通过下属全资子公司参股联想控股（03396）0.71%股权；通过下属全资子公司参股海螺</w:t>
            </w:r>
            <w:r>
              <w:rPr>
                <w:rFonts w:hint="eastAsia"/>
              </w:rPr>
              <w:t>创业（</w:t>
            </w:r>
            <w:r>
              <w:t>00586）3.03%股权；通过下属全资子公司参股海螺环保（00587）3.01%股权；通过下属全资子公司参股城发环境（000885）9.72%股权；通过下属全资子公司参股耀皮玻璃(600819) 12.74%股权；通过下属全资子公司参股万年青（000789）4.89%股权；通过下属全资子公司参股金隅集团（601992）4.31%股权。通过下属公司参股上峰水泥（000672）14.5%股权；通过下属公司参股亚泰集团（600881）3.99%股权;通过下属公司参股理工光科(300557) 10.53%股</w:t>
            </w:r>
            <w:r>
              <w:rPr>
                <w:rFonts w:hint="eastAsia"/>
              </w:rPr>
              <w:t>权；通过下属公司参股西部建设（</w:t>
            </w:r>
            <w:r>
              <w:t>002302）1.06%股权；通过下属公司参股冀东水泥(000401) 1.68%股权；通过下属公司参股泸天化（000912）0.0026%股权（泸天化为新三板企业）</w:t>
            </w:r>
            <w:r>
              <w:rPr>
                <w:rFonts w:hint="eastAsia"/>
              </w:rPr>
              <w:t>。</w:t>
            </w:r>
            <w:r>
              <w:rPr>
                <w:szCs w:val="21"/>
              </w:rPr>
              <w:t xml:space="preserve"> </w:t>
            </w:r>
          </w:p>
        </w:tc>
      </w:tr>
      <w:tr w:rsidR="00E57DAA" w14:paraId="4DA6F4CB" w14:textId="77777777">
        <w:trPr>
          <w:trHeight w:val="147"/>
        </w:trPr>
        <w:tc>
          <w:tcPr>
            <w:tcW w:w="3290" w:type="dxa"/>
          </w:tcPr>
          <w:p w14:paraId="1E9D9FDC" w14:textId="77777777" w:rsidR="00E57DAA" w:rsidRDefault="00AC4185" w:rsidP="00C25422">
            <w:pPr>
              <w:pStyle w:val="92"/>
            </w:pPr>
            <w:r>
              <w:rPr>
                <w:rFonts w:hint="eastAsia"/>
              </w:rPr>
              <w:t>其他情况说明</w:t>
            </w:r>
          </w:p>
        </w:tc>
        <w:tc>
          <w:tcPr>
            <w:tcW w:w="5533" w:type="dxa"/>
          </w:tcPr>
          <w:p w14:paraId="200A7E96" w14:textId="77777777" w:rsidR="00E57DAA" w:rsidRDefault="00AC4185" w:rsidP="00C25422">
            <w:pPr>
              <w:pStyle w:val="92"/>
            </w:pPr>
            <w:r>
              <w:rPr>
                <w:rFonts w:hint="eastAsia"/>
              </w:rPr>
              <w:t>无</w:t>
            </w:r>
          </w:p>
        </w:tc>
      </w:tr>
    </w:tbl>
    <w:p w14:paraId="1909E159" w14:textId="77777777" w:rsidR="00E57DAA" w:rsidRDefault="00E57DAA" w:rsidP="00C25422">
      <w:pPr>
        <w:pStyle w:val="92"/>
      </w:pPr>
    </w:p>
    <w:p w14:paraId="2B16BF64" w14:textId="77777777" w:rsidR="00E57DAA" w:rsidRDefault="00AC4185">
      <w:pPr>
        <w:pStyle w:val="4"/>
        <w:numPr>
          <w:ilvl w:val="0"/>
          <w:numId w:val="51"/>
        </w:numPr>
      </w:pPr>
      <w:r>
        <w:t>自然人</w:t>
      </w:r>
    </w:p>
    <w:sdt>
      <w:sdtPr>
        <w:alias w:val="是否适用：自然人_控股股东情况[双击切换]"/>
        <w:tag w:val="_GBC_050e33c59070475b9b048117126cc6ba"/>
        <w:id w:val="-261770982"/>
        <w:placeholder>
          <w:docPart w:val="GBC22222222222222222222222222222"/>
        </w:placeholder>
      </w:sdtPr>
      <w:sdtEndPr/>
      <w:sdtContent>
        <w:p w14:paraId="22B931AD"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B3853A" w14:textId="77777777" w:rsidR="00E57DAA" w:rsidRDefault="00E57DAA" w:rsidP="00C25422">
      <w:pPr>
        <w:pStyle w:val="92"/>
      </w:pPr>
    </w:p>
    <w:p w14:paraId="430AD192" w14:textId="77777777" w:rsidR="00E57DAA" w:rsidRDefault="00AC4185">
      <w:pPr>
        <w:pStyle w:val="4"/>
        <w:numPr>
          <w:ilvl w:val="0"/>
          <w:numId w:val="51"/>
        </w:numPr>
      </w:pPr>
      <w:r>
        <w:rPr>
          <w:rFonts w:hint="eastAsia"/>
        </w:rPr>
        <w:t>公司不存在控股股东情况的特别说明</w:t>
      </w:r>
    </w:p>
    <w:sdt>
      <w:sdtPr>
        <w:rPr>
          <w:rFonts w:hint="eastAsia"/>
        </w:rPr>
        <w:alias w:val="是否适用：公司不存在控股股东情况的特别说明[双击切换]"/>
        <w:tag w:val="_GBC_2c420ad8f9bd455b89ad3a0d10597af2"/>
        <w:id w:val="-1860884071"/>
        <w:placeholder>
          <w:docPart w:val="GBC22222222222222222222222222222"/>
        </w:placeholder>
      </w:sdtPr>
      <w:sdtEndPr/>
      <w:sdtContent>
        <w:p w14:paraId="11169D2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9826E8" w14:textId="77777777" w:rsidR="00E57DAA" w:rsidRDefault="00E57DAA">
      <w:pPr>
        <w:rPr>
          <w:szCs w:val="21"/>
        </w:rPr>
      </w:pPr>
    </w:p>
    <w:p w14:paraId="0719532C" w14:textId="77777777" w:rsidR="00E57DAA" w:rsidRDefault="00AC4185">
      <w:pPr>
        <w:pStyle w:val="4"/>
        <w:numPr>
          <w:ilvl w:val="0"/>
          <w:numId w:val="51"/>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849455462"/>
        <w:placeholder>
          <w:docPart w:val="GBC22222222222222222222222222222"/>
        </w:placeholder>
      </w:sdtPr>
      <w:sdtEndPr/>
      <w:sdtContent>
        <w:p w14:paraId="71987DF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2696A0" w14:textId="77777777" w:rsidR="00E57DAA" w:rsidRDefault="00E57DAA">
      <w:pPr>
        <w:rPr>
          <w:szCs w:val="21"/>
        </w:rPr>
      </w:pPr>
    </w:p>
    <w:p w14:paraId="1D6D3CB0" w14:textId="77777777" w:rsidR="00E57DAA" w:rsidRDefault="00AC4185">
      <w:pPr>
        <w:pStyle w:val="4"/>
        <w:numPr>
          <w:ilvl w:val="0"/>
          <w:numId w:val="51"/>
        </w:numPr>
      </w:pPr>
      <w:r>
        <w:rPr>
          <w:rFonts w:hint="eastAsia"/>
        </w:rPr>
        <w:t>公司与控股股东之间的产权及控制关系的方框图</w:t>
      </w:r>
    </w:p>
    <w:sdt>
      <w:sdtPr>
        <w:alias w:val="是否适用：公司与控股股东之间的产权及控制关系的方框图[双击切换]"/>
        <w:tag w:val="_GBC_aa1ed4124bd443219ac5782763143cd7"/>
        <w:id w:val="274221519"/>
        <w:placeholder>
          <w:docPart w:val="GBC22222222222222222222222222222"/>
        </w:placeholder>
      </w:sdtPr>
      <w:sdtEndPr/>
      <w:sdtContent>
        <w:p w14:paraId="02BDE723"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503281194"/>
        <w:placeholder>
          <w:docPart w:val="GBC22222222222222222222222222222"/>
        </w:placeholder>
        <w:picture/>
      </w:sdtPr>
      <w:sdtEndPr/>
      <w:sdtContent>
        <w:p w14:paraId="4A58E0DD" w14:textId="77777777" w:rsidR="00E57DAA" w:rsidRDefault="00AC4185">
          <w:pPr>
            <w:rPr>
              <w:szCs w:val="21"/>
            </w:rPr>
          </w:pPr>
          <w:r>
            <w:rPr>
              <w:rFonts w:hint="eastAsia"/>
              <w:noProof/>
              <w:szCs w:val="21"/>
            </w:rPr>
            <w:drawing>
              <wp:inline distT="0" distB="0" distL="0" distR="0" wp14:anchorId="4DBAF115">
                <wp:extent cx="2743200" cy="1920875"/>
                <wp:effectExtent l="0" t="0" r="0"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1"/>
                        <a:stretch>
                          <a:fillRect/>
                        </a:stretch>
                      </pic:blipFill>
                      <pic:spPr>
                        <a:xfrm>
                          <a:off x="0" y="0"/>
                          <a:ext cx="2754618" cy="1929205"/>
                        </a:xfrm>
                        <a:prstGeom prst="rect">
                          <a:avLst/>
                        </a:prstGeom>
                        <a:noFill/>
                        <a:ln w="9525">
                          <a:noFill/>
                          <a:miter lim="800000"/>
                          <a:headEnd/>
                          <a:tailEnd/>
                        </a:ln>
                      </pic:spPr>
                    </pic:pic>
                  </a:graphicData>
                </a:graphic>
              </wp:inline>
            </w:drawing>
          </w:r>
        </w:p>
      </w:sdtContent>
    </w:sdt>
    <w:p w14:paraId="4EB74C23" w14:textId="77777777" w:rsidR="00E57DAA" w:rsidRDefault="00E57DAA">
      <w:pPr>
        <w:rPr>
          <w:szCs w:val="21"/>
        </w:rPr>
      </w:pPr>
    </w:p>
    <w:p w14:paraId="68F0C0FD" w14:textId="77777777" w:rsidR="00E57DAA" w:rsidRDefault="00AC4185">
      <w:pPr>
        <w:pStyle w:val="3"/>
        <w:numPr>
          <w:ilvl w:val="0"/>
          <w:numId w:val="50"/>
        </w:numPr>
      </w:pPr>
      <w:r>
        <w:rPr>
          <w:rFonts w:hint="eastAsia"/>
        </w:rPr>
        <w:t>实际控制人情况</w:t>
      </w:r>
    </w:p>
    <w:p w14:paraId="7728A7C9" w14:textId="77777777" w:rsidR="00E57DAA" w:rsidRDefault="00AC4185">
      <w:pPr>
        <w:pStyle w:val="4"/>
        <w:numPr>
          <w:ilvl w:val="0"/>
          <w:numId w:val="52"/>
        </w:numPr>
      </w:pPr>
      <w:r>
        <w:rPr>
          <w:rFonts w:hint="eastAsia"/>
        </w:rPr>
        <w:t>法人</w:t>
      </w:r>
    </w:p>
    <w:sdt>
      <w:sdtPr>
        <w:alias w:val="是否适用：法人_实际控制人情况[双击切换]"/>
        <w:tag w:val="_GBC_6cb3195cd6c545489bd6151d0ee57d58"/>
        <w:id w:val="837510284"/>
        <w:placeholder>
          <w:docPart w:val="GBC22222222222222222222222222222"/>
        </w:placeholder>
      </w:sdtPr>
      <w:sdtEndPr/>
      <w:sdtContent>
        <w:p w14:paraId="6DB9D03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6"/>
        <w:tblW w:w="5000" w:type="pct"/>
        <w:tblLook w:val="04A0" w:firstRow="1" w:lastRow="0" w:firstColumn="1" w:lastColumn="0" w:noHBand="0" w:noVBand="1"/>
      </w:tblPr>
      <w:tblGrid>
        <w:gridCol w:w="3319"/>
        <w:gridCol w:w="5504"/>
      </w:tblGrid>
      <w:tr w:rsidR="00E57DAA" w14:paraId="6FE810B2" w14:textId="77777777">
        <w:trPr>
          <w:trHeight w:val="90"/>
        </w:trPr>
        <w:sdt>
          <w:sdtPr>
            <w:tag w:val="_PLD_9fd7942883b74d698fa4ca37d86c3d17"/>
            <w:id w:val="-1477838318"/>
          </w:sdtPr>
          <w:sdtEndPr/>
          <w:sdtContent>
            <w:tc>
              <w:tcPr>
                <w:tcW w:w="1881" w:type="pct"/>
              </w:tcPr>
              <w:p w14:paraId="0C75B41C" w14:textId="77777777" w:rsidR="00E57DAA" w:rsidRDefault="00AC4185">
                <w:pPr>
                  <w:rPr>
                    <w:szCs w:val="21"/>
                  </w:rPr>
                </w:pPr>
                <w:r>
                  <w:rPr>
                    <w:szCs w:val="21"/>
                  </w:rPr>
                  <w:t>名称</w:t>
                </w:r>
              </w:p>
            </w:tc>
          </w:sdtContent>
        </w:sdt>
        <w:sdt>
          <w:sdtPr>
            <w:rPr>
              <w:rFonts w:ascii="Times New Roman" w:hAnsi="Times New Roman" w:hint="eastAsia"/>
              <w:szCs w:val="21"/>
            </w:rPr>
            <w:alias w:val="法人实际控制人名称"/>
            <w:tag w:val="_GBC_09078fe67bb948e3b338136f227f90f6"/>
            <w:id w:val="-416249863"/>
          </w:sdtPr>
          <w:sdtEndPr/>
          <w:sdtContent>
            <w:tc>
              <w:tcPr>
                <w:tcW w:w="3119" w:type="pct"/>
              </w:tcPr>
              <w:p w14:paraId="1A8B5FD4" w14:textId="77777777" w:rsidR="00E57DAA" w:rsidRDefault="00AC4185">
                <w:pPr>
                  <w:rPr>
                    <w:szCs w:val="21"/>
                  </w:rPr>
                </w:pPr>
                <w:r>
                  <w:rPr>
                    <w:rFonts w:hint="eastAsia"/>
                    <w:szCs w:val="21"/>
                  </w:rPr>
                  <w:t>国务院国有资产监督管理委员会</w:t>
                </w:r>
              </w:p>
            </w:tc>
          </w:sdtContent>
        </w:sdt>
      </w:tr>
    </w:tbl>
    <w:p w14:paraId="34D55DD9" w14:textId="77777777" w:rsidR="00E57DAA" w:rsidRDefault="00E57DAA" w:rsidP="00C25422">
      <w:pPr>
        <w:pStyle w:val="92"/>
      </w:pPr>
    </w:p>
    <w:p w14:paraId="787E17EF" w14:textId="77777777" w:rsidR="00E57DAA" w:rsidRDefault="00AC4185">
      <w:pPr>
        <w:pStyle w:val="4"/>
        <w:numPr>
          <w:ilvl w:val="0"/>
          <w:numId w:val="52"/>
        </w:numPr>
      </w:pPr>
      <w:r>
        <w:rPr>
          <w:rFonts w:hint="eastAsia"/>
        </w:rPr>
        <w:t>自然人</w:t>
      </w:r>
    </w:p>
    <w:sdt>
      <w:sdtPr>
        <w:alias w:val="是否适用：自然人_实际控制人情况[双击切换]"/>
        <w:tag w:val="_GBC_359229fa8cca4506ac3cec3de8b5e99b"/>
        <w:id w:val="1117727477"/>
        <w:placeholder>
          <w:docPart w:val="GBC22222222222222222222222222222"/>
        </w:placeholder>
      </w:sdtPr>
      <w:sdtEndPr/>
      <w:sdtContent>
        <w:p w14:paraId="18691E51"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BCD1E2" w14:textId="77777777" w:rsidR="00E57DAA" w:rsidRDefault="00E57DAA">
      <w:pPr>
        <w:rPr>
          <w:szCs w:val="21"/>
        </w:rPr>
      </w:pPr>
    </w:p>
    <w:p w14:paraId="4DCC9761" w14:textId="77777777" w:rsidR="00E57DAA" w:rsidRDefault="00AC4185">
      <w:pPr>
        <w:pStyle w:val="4"/>
        <w:numPr>
          <w:ilvl w:val="0"/>
          <w:numId w:val="52"/>
        </w:numPr>
      </w:pPr>
      <w:r>
        <w:t>公司不存在实际控制人情况的特别说明</w:t>
      </w:r>
    </w:p>
    <w:sdt>
      <w:sdtPr>
        <w:rPr>
          <w:rFonts w:hint="eastAsia"/>
        </w:rPr>
        <w:alias w:val="是否适用：公司不存在实际控制人情况的特别说明[双击切换]"/>
        <w:tag w:val="_GBC_7380ff5e0fc6471583dc22db2252e039"/>
        <w:id w:val="1343904442"/>
        <w:placeholder>
          <w:docPart w:val="GBC22222222222222222222222222222"/>
        </w:placeholder>
      </w:sdtPr>
      <w:sdtEndPr/>
      <w:sdtContent>
        <w:p w14:paraId="3CD83AA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4E1CE3" w14:textId="77777777" w:rsidR="00E57DAA" w:rsidRDefault="00E57DAA">
      <w:pPr>
        <w:rPr>
          <w:szCs w:val="21"/>
        </w:rPr>
      </w:pPr>
    </w:p>
    <w:p w14:paraId="25B7079C" w14:textId="77777777" w:rsidR="00E57DAA" w:rsidRDefault="00AC4185">
      <w:pPr>
        <w:pStyle w:val="4"/>
        <w:numPr>
          <w:ilvl w:val="0"/>
          <w:numId w:val="52"/>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223912147"/>
        <w:placeholder>
          <w:docPart w:val="GBC22222222222222222222222222222"/>
        </w:placeholder>
      </w:sdtPr>
      <w:sdtEndPr/>
      <w:sdtContent>
        <w:p w14:paraId="79ABA8A9"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72560D" w14:textId="77777777" w:rsidR="00E57DAA" w:rsidRDefault="00E57DAA" w:rsidP="00C25422">
      <w:pPr>
        <w:pStyle w:val="92"/>
      </w:pPr>
    </w:p>
    <w:p w14:paraId="425C17E6" w14:textId="77777777" w:rsidR="00E57DAA" w:rsidRDefault="00AC4185">
      <w:pPr>
        <w:pStyle w:val="4"/>
        <w:numPr>
          <w:ilvl w:val="0"/>
          <w:numId w:val="52"/>
        </w:numPr>
      </w:pPr>
      <w:r>
        <w:t>公司与实际控制人之间的产权及控制关系的方框图</w:t>
      </w:r>
    </w:p>
    <w:sdt>
      <w:sdtPr>
        <w:alias w:val="是否适用：公司与实际控制人之间的产权及控制关系的方框图[双击切换]"/>
        <w:tag w:val="_GBC_8ddc5ba6a04141dc94582029460f81bd"/>
        <w:id w:val="-1929641675"/>
        <w:placeholder>
          <w:docPart w:val="GBC22222222222222222222222222222"/>
        </w:placeholder>
      </w:sdtPr>
      <w:sdtEndPr/>
      <w:sdtContent>
        <w:p w14:paraId="620DB0F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24AC879" w14:textId="77777777" w:rsidR="00E57DAA" w:rsidRDefault="00EB41A1" w:rsidP="00C25422">
      <w:pPr>
        <w:pStyle w:val="92"/>
      </w:pPr>
      <w:sdt>
        <w:sdtPr>
          <w:rPr>
            <w:rFonts w:hint="eastAsia"/>
          </w:rPr>
          <w:alias w:val="图片：公司与实际控制人之间的产权及控制关系的方框图"/>
          <w:tag w:val="_GBC_538f0b25ae684717a3c8362262a5a004"/>
          <w:id w:val="-1525005480"/>
          <w:placeholder>
            <w:docPart w:val="GBC22222222222222222222222222222"/>
          </w:placeholder>
          <w:picture/>
        </w:sdtPr>
        <w:sdtEndPr/>
        <w:sdtContent>
          <w:r w:rsidR="00AC4185">
            <w:rPr>
              <w:rFonts w:hint="eastAsia"/>
              <w:noProof/>
            </w:rPr>
            <w:drawing>
              <wp:inline distT="0" distB="0" distL="0" distR="0" wp14:anchorId="17BF9935">
                <wp:extent cx="5666740" cy="4102735"/>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2"/>
                        <a:stretch>
                          <a:fillRect/>
                        </a:stretch>
                      </pic:blipFill>
                      <pic:spPr>
                        <a:xfrm>
                          <a:off x="0" y="0"/>
                          <a:ext cx="5683183" cy="4114673"/>
                        </a:xfrm>
                        <a:prstGeom prst="rect">
                          <a:avLst/>
                        </a:prstGeom>
                        <a:noFill/>
                        <a:ln>
                          <a:noFill/>
                        </a:ln>
                      </pic:spPr>
                    </pic:pic>
                  </a:graphicData>
                </a:graphic>
              </wp:inline>
            </w:drawing>
          </w:r>
        </w:sdtContent>
      </w:sdt>
    </w:p>
    <w:p w14:paraId="49F9B481" w14:textId="77777777" w:rsidR="00E57DAA" w:rsidRDefault="00E57DAA" w:rsidP="00C25422">
      <w:pPr>
        <w:pStyle w:val="92"/>
      </w:pPr>
    </w:p>
    <w:p w14:paraId="0B8E9DF2" w14:textId="77777777" w:rsidR="00E57DAA" w:rsidRDefault="00AC4185">
      <w:pPr>
        <w:pStyle w:val="4"/>
        <w:numPr>
          <w:ilvl w:val="0"/>
          <w:numId w:val="52"/>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323897321"/>
        <w:placeholder>
          <w:docPart w:val="GBC22222222222222222222222222222"/>
        </w:placeholder>
      </w:sdtPr>
      <w:sdtEndPr/>
      <w:sdtContent>
        <w:p w14:paraId="794E01A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A2ABCD" w14:textId="77777777" w:rsidR="00E57DAA" w:rsidRDefault="00E57DAA">
      <w:pPr>
        <w:rPr>
          <w:szCs w:val="21"/>
        </w:rPr>
      </w:pPr>
    </w:p>
    <w:p w14:paraId="3BA5B79B" w14:textId="77777777" w:rsidR="00E57DAA" w:rsidRDefault="00AC4185">
      <w:pPr>
        <w:pStyle w:val="3"/>
        <w:numPr>
          <w:ilvl w:val="0"/>
          <w:numId w:val="50"/>
        </w:numPr>
      </w:pPr>
      <w:r>
        <w:t>控股股东及实际控制人其他情况介绍</w:t>
      </w:r>
    </w:p>
    <w:sdt>
      <w:sdtPr>
        <w:rPr>
          <w:rFonts w:hint="eastAsia"/>
        </w:rPr>
        <w:alias w:val="是否适用：控股股东及实际控制人其他情况介绍[双击切换]"/>
        <w:tag w:val="_GBC_f45ea2fa04e04b71a116fba6ba3bff32"/>
        <w:id w:val="-1173570788"/>
        <w:placeholder>
          <w:docPart w:val="GBC22222222222222222222222222222"/>
        </w:placeholder>
      </w:sdtPr>
      <w:sdtEndPr/>
      <w:sdtContent>
        <w:p w14:paraId="5F8190D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9F9381" w14:textId="77777777" w:rsidR="00E57DAA" w:rsidRDefault="00E57DAA" w:rsidP="00C25422">
      <w:pPr>
        <w:pStyle w:val="92"/>
      </w:pPr>
    </w:p>
    <w:p w14:paraId="6CEA8331" w14:textId="77777777" w:rsidR="00E57DAA" w:rsidRDefault="00AC4185">
      <w:pPr>
        <w:pStyle w:val="2"/>
      </w:pPr>
      <w:bookmarkStart w:id="130" w:name="_Hlk89353035"/>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2098404977"/>
        <w:placeholder>
          <w:docPart w:val="5BB43AA0372A4B00B8B277C1C401239B"/>
        </w:placeholder>
      </w:sdtPr>
      <w:sdtEndPr/>
      <w:sdtContent>
        <w:p w14:paraId="7BB7EC0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0"/>
    <w:p w14:paraId="59E5D048" w14:textId="77777777" w:rsidR="00E57DAA" w:rsidRDefault="00E57DAA">
      <w:pPr>
        <w:rPr>
          <w:szCs w:val="21"/>
        </w:rPr>
      </w:pPr>
    </w:p>
    <w:p w14:paraId="607445FA" w14:textId="77777777" w:rsidR="00E57DAA" w:rsidRDefault="00AC4185">
      <w:pPr>
        <w:pStyle w:val="2"/>
      </w:pPr>
      <w:r>
        <w:rPr>
          <w:rFonts w:hint="eastAsia"/>
        </w:rPr>
        <w:t>其他持股在百分之十以上的法人股东</w:t>
      </w:r>
    </w:p>
    <w:sdt>
      <w:sdtPr>
        <w:alias w:val="是否适用：其他持股在百分之十以上的法人股东[双击切换]"/>
        <w:tag w:val="_GBC_7c5d05f2d72d4d3c9ef6e9b93777b39f"/>
        <w:id w:val="-1658460615"/>
        <w:placeholder>
          <w:docPart w:val="GBC22222222222222222222222222222"/>
        </w:placeholder>
      </w:sdtPr>
      <w:sdtEndPr/>
      <w:sdtContent>
        <w:p w14:paraId="67AD704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3B8E8DA" w14:textId="77777777" w:rsidR="00E57DAA" w:rsidRDefault="00AC4185">
      <w:pPr>
        <w:jc w:val="right"/>
        <w:rPr>
          <w:szCs w:val="21"/>
        </w:rPr>
      </w:pPr>
      <w:r>
        <w:rPr>
          <w:rFonts w:hint="eastAsia"/>
          <w:szCs w:val="21"/>
        </w:rPr>
        <w:t>单位：</w:t>
      </w:r>
      <w:sdt>
        <w:sdtPr>
          <w:rPr>
            <w:rFonts w:hint="eastAsia"/>
            <w:szCs w:val="21"/>
          </w:rPr>
          <w:alias w:val="单位：其他持股在百分之十以上的法人股东"/>
          <w:tag w:val="_GBC_96249d5b9b5d401f85ae1d2c478a8b00"/>
          <w:id w:val="21388345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其他持股在百分之十以上的法人股东"/>
          <w:tag w:val="_GBC_c8099277f9b8407b883c303f0289ea2a"/>
          <w:id w:val="-6923055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f6"/>
        <w:tblW w:w="5000" w:type="pct"/>
        <w:tblLook w:val="04A0" w:firstRow="1" w:lastRow="0" w:firstColumn="1" w:lastColumn="0" w:noHBand="0" w:noVBand="1"/>
      </w:tblPr>
      <w:tblGrid>
        <w:gridCol w:w="1440"/>
        <w:gridCol w:w="1333"/>
        <w:gridCol w:w="1196"/>
        <w:gridCol w:w="2106"/>
        <w:gridCol w:w="1266"/>
        <w:gridCol w:w="1482"/>
      </w:tblGrid>
      <w:tr w:rsidR="00E57DAA" w14:paraId="257F6D2E" w14:textId="77777777">
        <w:trPr>
          <w:trHeight w:val="165"/>
        </w:trPr>
        <w:sdt>
          <w:sdtPr>
            <w:tag w:val="_PLD_62a4f7830a1d48bd87619401509e3a97"/>
            <w:id w:val="-2091153551"/>
          </w:sdtPr>
          <w:sdtEndPr/>
          <w:sdtContent>
            <w:tc>
              <w:tcPr>
                <w:tcW w:w="922" w:type="pct"/>
                <w:vAlign w:val="center"/>
              </w:tcPr>
              <w:p w14:paraId="67C9A83E" w14:textId="77777777" w:rsidR="00E57DAA" w:rsidRDefault="00AC4185">
                <w:pPr>
                  <w:jc w:val="center"/>
                  <w:rPr>
                    <w:szCs w:val="21"/>
                  </w:rPr>
                </w:pPr>
                <w:r>
                  <w:rPr>
                    <w:szCs w:val="21"/>
                  </w:rPr>
                  <w:t>法人股东名称</w:t>
                </w:r>
              </w:p>
            </w:tc>
          </w:sdtContent>
        </w:sdt>
        <w:sdt>
          <w:sdtPr>
            <w:tag w:val="_PLD_a5f47ae4150442f996c0c70f3df051bf"/>
            <w:id w:val="1190876441"/>
          </w:sdtPr>
          <w:sdtEndPr/>
          <w:sdtContent>
            <w:tc>
              <w:tcPr>
                <w:tcW w:w="861" w:type="pct"/>
                <w:vAlign w:val="center"/>
              </w:tcPr>
              <w:p w14:paraId="3E484371" w14:textId="77777777" w:rsidR="00E57DAA" w:rsidRDefault="00AC4185">
                <w:pPr>
                  <w:jc w:val="center"/>
                  <w:rPr>
                    <w:szCs w:val="21"/>
                  </w:rPr>
                </w:pPr>
                <w:r>
                  <w:rPr>
                    <w:szCs w:val="21"/>
                  </w:rPr>
                  <w:t>单位负责人或法定代表人</w:t>
                </w:r>
              </w:p>
            </w:tc>
          </w:sdtContent>
        </w:sdt>
        <w:sdt>
          <w:sdtPr>
            <w:tag w:val="_PLD_3df6b10726f941e8807e3256d0c71881"/>
            <w:id w:val="17746642"/>
          </w:sdtPr>
          <w:sdtEndPr/>
          <w:sdtContent>
            <w:tc>
              <w:tcPr>
                <w:tcW w:w="783" w:type="pct"/>
                <w:vAlign w:val="center"/>
              </w:tcPr>
              <w:p w14:paraId="7550159F" w14:textId="77777777" w:rsidR="00E57DAA" w:rsidRDefault="00AC4185">
                <w:pPr>
                  <w:jc w:val="center"/>
                  <w:rPr>
                    <w:szCs w:val="21"/>
                  </w:rPr>
                </w:pPr>
                <w:r>
                  <w:rPr>
                    <w:szCs w:val="21"/>
                  </w:rPr>
                  <w:t>成立日期</w:t>
                </w:r>
              </w:p>
            </w:tc>
          </w:sdtContent>
        </w:sdt>
        <w:sdt>
          <w:sdtPr>
            <w:tag w:val="_PLD_950b5d368e344b50ae1b05367c43739a"/>
            <w:id w:val="950048758"/>
          </w:sdtPr>
          <w:sdtEndPr/>
          <w:sdtContent>
            <w:tc>
              <w:tcPr>
                <w:tcW w:w="784" w:type="pct"/>
                <w:vAlign w:val="center"/>
              </w:tcPr>
              <w:p w14:paraId="1C5A7138" w14:textId="77777777" w:rsidR="00E57DAA" w:rsidRDefault="00AC4185">
                <w:pPr>
                  <w:jc w:val="center"/>
                  <w:rPr>
                    <w:szCs w:val="21"/>
                  </w:rPr>
                </w:pPr>
                <w:r>
                  <w:rPr>
                    <w:szCs w:val="21"/>
                  </w:rPr>
                  <w:t>组织机构</w:t>
                </w:r>
              </w:p>
              <w:p w14:paraId="54B63FF1" w14:textId="77777777" w:rsidR="00E57DAA" w:rsidRDefault="00AC4185">
                <w:pPr>
                  <w:jc w:val="center"/>
                  <w:rPr>
                    <w:szCs w:val="21"/>
                  </w:rPr>
                </w:pPr>
                <w:r>
                  <w:rPr>
                    <w:szCs w:val="21"/>
                  </w:rPr>
                  <w:t>代码</w:t>
                </w:r>
              </w:p>
            </w:tc>
          </w:sdtContent>
        </w:sdt>
        <w:sdt>
          <w:sdtPr>
            <w:tag w:val="_PLD_8a3650f52ffa48c7a626a3ccd9b4e147"/>
            <w:id w:val="578260646"/>
          </w:sdtPr>
          <w:sdtEndPr/>
          <w:sdtContent>
            <w:tc>
              <w:tcPr>
                <w:tcW w:w="705" w:type="pct"/>
                <w:vAlign w:val="center"/>
              </w:tcPr>
              <w:p w14:paraId="6EBFEF24" w14:textId="77777777" w:rsidR="00E57DAA" w:rsidRDefault="00AC4185">
                <w:pPr>
                  <w:jc w:val="center"/>
                  <w:rPr>
                    <w:szCs w:val="21"/>
                  </w:rPr>
                </w:pPr>
                <w:r>
                  <w:rPr>
                    <w:szCs w:val="21"/>
                  </w:rPr>
                  <w:t>注册资本</w:t>
                </w:r>
              </w:p>
            </w:tc>
          </w:sdtContent>
        </w:sdt>
        <w:sdt>
          <w:sdtPr>
            <w:tag w:val="_PLD_40ebdad4964e4cd3a78cee43cc6931df"/>
            <w:id w:val="-505907523"/>
          </w:sdtPr>
          <w:sdtEndPr/>
          <w:sdtContent>
            <w:tc>
              <w:tcPr>
                <w:tcW w:w="945" w:type="pct"/>
                <w:vAlign w:val="center"/>
              </w:tcPr>
              <w:p w14:paraId="54463C2D" w14:textId="77777777" w:rsidR="00E57DAA" w:rsidRDefault="00AC4185">
                <w:pPr>
                  <w:jc w:val="center"/>
                  <w:rPr>
                    <w:szCs w:val="21"/>
                  </w:rPr>
                </w:pPr>
                <w:r>
                  <w:rPr>
                    <w:szCs w:val="21"/>
                  </w:rPr>
                  <w:t>主要经营业务或管理活动等情况</w:t>
                </w:r>
              </w:p>
            </w:tc>
          </w:sdtContent>
        </w:sdt>
      </w:tr>
      <w:tr w:rsidR="00E57DAA" w14:paraId="22EDAE02" w14:textId="77777777">
        <w:trPr>
          <w:trHeight w:val="195"/>
        </w:trPr>
        <w:tc>
          <w:tcPr>
            <w:tcW w:w="922" w:type="pct"/>
          </w:tcPr>
          <w:p w14:paraId="248C4798" w14:textId="77777777" w:rsidR="00E57DAA" w:rsidRDefault="00AC4185">
            <w:pPr>
              <w:rPr>
                <w:szCs w:val="21"/>
              </w:rPr>
            </w:pPr>
            <w:r>
              <w:rPr>
                <w:rFonts w:hint="eastAsia"/>
                <w:szCs w:val="21"/>
              </w:rPr>
              <w:t>中国建筑材料科学研究总院有限公司</w:t>
            </w:r>
          </w:p>
        </w:tc>
        <w:tc>
          <w:tcPr>
            <w:tcW w:w="861" w:type="pct"/>
          </w:tcPr>
          <w:p w14:paraId="34A34971" w14:textId="77777777" w:rsidR="00E57DAA" w:rsidRDefault="00AC4185">
            <w:pPr>
              <w:rPr>
                <w:szCs w:val="21"/>
              </w:rPr>
            </w:pPr>
            <w:r>
              <w:rPr>
                <w:rFonts w:hint="eastAsia"/>
                <w:szCs w:val="21"/>
              </w:rPr>
              <w:t>郅晓</w:t>
            </w:r>
          </w:p>
        </w:tc>
        <w:tc>
          <w:tcPr>
            <w:tcW w:w="783" w:type="pct"/>
          </w:tcPr>
          <w:p w14:paraId="774548DE" w14:textId="77777777" w:rsidR="00E57DAA" w:rsidRDefault="00AC4185">
            <w:pPr>
              <w:rPr>
                <w:szCs w:val="21"/>
              </w:rPr>
            </w:pPr>
            <w:r>
              <w:rPr>
                <w:szCs w:val="21"/>
              </w:rPr>
              <w:t>2000-04-11</w:t>
            </w:r>
          </w:p>
        </w:tc>
        <w:tc>
          <w:tcPr>
            <w:tcW w:w="784" w:type="pct"/>
          </w:tcPr>
          <w:p w14:paraId="38095E2A" w14:textId="77777777" w:rsidR="00E57DAA" w:rsidRDefault="00AC4185">
            <w:pPr>
              <w:rPr>
                <w:szCs w:val="21"/>
              </w:rPr>
            </w:pPr>
            <w:r>
              <w:rPr>
                <w:szCs w:val="21"/>
              </w:rPr>
              <w:t>91110000400001045N</w:t>
            </w:r>
          </w:p>
        </w:tc>
        <w:tc>
          <w:tcPr>
            <w:tcW w:w="705" w:type="pct"/>
          </w:tcPr>
          <w:p w14:paraId="5A6E524A" w14:textId="77777777" w:rsidR="00E57DAA" w:rsidRDefault="00AC4185">
            <w:pPr>
              <w:jc w:val="right"/>
              <w:rPr>
                <w:szCs w:val="21"/>
              </w:rPr>
            </w:pPr>
            <w:r>
              <w:rPr>
                <w:szCs w:val="21"/>
              </w:rPr>
              <w:t>266,274.56</w:t>
            </w:r>
          </w:p>
        </w:tc>
        <w:tc>
          <w:tcPr>
            <w:tcW w:w="945" w:type="pct"/>
          </w:tcPr>
          <w:p w14:paraId="5557C356" w14:textId="77777777" w:rsidR="00E57DAA" w:rsidRDefault="00AC4185">
            <w:pPr>
              <w:rPr>
                <w:szCs w:val="21"/>
              </w:rPr>
            </w:pPr>
            <w:r>
              <w:rPr>
                <w:rFonts w:hint="eastAsia"/>
                <w:szCs w:val="21"/>
              </w:rPr>
              <w:t>主要从事特种功能材料研发与产业化、高端装备研发制造、高技术服务等业务</w:t>
            </w:r>
          </w:p>
        </w:tc>
      </w:tr>
      <w:tr w:rsidR="00E57DAA" w14:paraId="1EF4EE2B" w14:textId="77777777">
        <w:trPr>
          <w:trHeight w:val="102"/>
        </w:trPr>
        <w:tc>
          <w:tcPr>
            <w:tcW w:w="922" w:type="pct"/>
          </w:tcPr>
          <w:p w14:paraId="13394E8F" w14:textId="77777777" w:rsidR="00E57DAA" w:rsidRDefault="00AC4185">
            <w:pPr>
              <w:rPr>
                <w:szCs w:val="21"/>
              </w:rPr>
            </w:pPr>
            <w:r>
              <w:rPr>
                <w:szCs w:val="21"/>
              </w:rPr>
              <w:lastRenderedPageBreak/>
              <w:t>情况说明</w:t>
            </w:r>
          </w:p>
        </w:tc>
        <w:tc>
          <w:tcPr>
            <w:tcW w:w="4078" w:type="pct"/>
            <w:gridSpan w:val="5"/>
          </w:tcPr>
          <w:p w14:paraId="18877089" w14:textId="77777777" w:rsidR="00E57DAA" w:rsidRDefault="00AC4185">
            <w:pPr>
              <w:rPr>
                <w:szCs w:val="21"/>
              </w:rPr>
            </w:pPr>
            <w:r>
              <w:rPr>
                <w:rFonts w:hint="eastAsia"/>
                <w:szCs w:val="21"/>
              </w:rPr>
              <w:t>无</w:t>
            </w:r>
          </w:p>
        </w:tc>
      </w:tr>
    </w:tbl>
    <w:p w14:paraId="3561BC84" w14:textId="77777777" w:rsidR="00E57DAA" w:rsidRDefault="00E57DAA" w:rsidP="00C25422">
      <w:pPr>
        <w:pStyle w:val="92"/>
      </w:pPr>
    </w:p>
    <w:p w14:paraId="0189E614" w14:textId="77777777" w:rsidR="00E57DAA" w:rsidRDefault="00AC4185">
      <w:pPr>
        <w:pStyle w:val="2"/>
      </w:pPr>
      <w:r>
        <w:rPr>
          <w:rFonts w:hint="eastAsia"/>
        </w:rPr>
        <w:t>股份限制减持情况说明</w:t>
      </w:r>
    </w:p>
    <w:p w14:paraId="224C43BE" w14:textId="77777777" w:rsidR="00E57DAA" w:rsidRDefault="00EB41A1" w:rsidP="00C25422">
      <w:pPr>
        <w:pStyle w:val="92"/>
      </w:pPr>
      <w:sdt>
        <w:sdtPr>
          <w:rPr>
            <w:rFonts w:hint="eastAsia"/>
          </w:rPr>
          <w:alias w:val="是否适用：股份限制减持情况说明[双击切换]"/>
          <w:tag w:val="_GBC_38db60098ddc4e12bffd328b521e0c35"/>
          <w:id w:val="-1806690545"/>
          <w:placeholder>
            <w:docPart w:val="GBC22222222222222222222222222222"/>
          </w:placeholder>
        </w:sdtPr>
        <w:sdtEndPr>
          <w:rPr>
            <w:rFonts w:hint="default"/>
          </w:r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2CF8586" w14:textId="77777777" w:rsidR="00E57DAA" w:rsidRDefault="00E57DAA" w:rsidP="00C25422">
      <w:pPr>
        <w:pStyle w:val="92"/>
      </w:pPr>
    </w:p>
    <w:p w14:paraId="4E423F2E" w14:textId="77777777" w:rsidR="00E57DAA" w:rsidRDefault="00AC4185">
      <w:pPr>
        <w:pStyle w:val="2"/>
      </w:pPr>
      <w:r>
        <w:rPr>
          <w:rFonts w:hint="eastAsia"/>
        </w:rPr>
        <w:t>股份回购在报告期的具体实施情况</w:t>
      </w:r>
    </w:p>
    <w:bookmarkStart w:id="131" w:name="_Hlk89353439" w:displacedByCustomXml="next"/>
    <w:bookmarkStart w:id="132" w:name="_Hlk90042255" w:displacedByCustomXml="next"/>
    <w:sdt>
      <w:sdtPr>
        <w:rPr>
          <w:rFonts w:hint="eastAsia"/>
        </w:rPr>
        <w:alias w:val="是否适用：股份回购在报告期的具体实施情况[双击切换]"/>
        <w:tag w:val="_GBC_382f884c74d74cfd9a74c18c52645b0e"/>
        <w:id w:val="-500434785"/>
        <w:placeholder>
          <w:docPart w:val="GBC22222222222222222222222222222"/>
        </w:placeholder>
      </w:sdtPr>
      <w:sdtEndPr/>
      <w:sdtContent>
        <w:p w14:paraId="5E7EB39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2"/>
    <w:bookmarkEnd w:id="131"/>
    <w:p w14:paraId="3DBD30BA" w14:textId="77777777" w:rsidR="00E57DAA" w:rsidRDefault="00E57DAA" w:rsidP="00C25422">
      <w:pPr>
        <w:pStyle w:val="92"/>
      </w:pPr>
    </w:p>
    <w:p w14:paraId="1E032D3C" w14:textId="77777777" w:rsidR="00E57DAA" w:rsidRDefault="00AC4185" w:rsidP="00E76E97">
      <w:pPr>
        <w:pStyle w:val="1"/>
      </w:pPr>
      <w:bookmarkStart w:id="133" w:name="_Toc437440714"/>
      <w:bookmarkStart w:id="134" w:name="_Toc409437608"/>
      <w:bookmarkStart w:id="135" w:name="_Toc89790255"/>
      <w:r>
        <w:rPr>
          <w:rFonts w:hint="eastAsia"/>
        </w:rPr>
        <w:t>优先股相关情况</w:t>
      </w:r>
      <w:bookmarkEnd w:id="133"/>
      <w:bookmarkEnd w:id="134"/>
      <w:bookmarkEnd w:id="135"/>
    </w:p>
    <w:sdt>
      <w:sdtPr>
        <w:alias w:val="是否适用：优先股相关情况[双击切换]"/>
        <w:tag w:val="_GBC_0076278996ac412e9bff14977615c2e3"/>
        <w:id w:val="1544325661"/>
        <w:placeholder>
          <w:docPart w:val="GBC22222222222222222222222222222"/>
        </w:placeholder>
      </w:sdtPr>
      <w:sdtEndPr/>
      <w:sdtContent>
        <w:p w14:paraId="7AEB0C3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40ADBE" w14:textId="77777777" w:rsidR="00E57DAA" w:rsidRDefault="00E57DAA" w:rsidP="00C25422">
      <w:pPr>
        <w:pStyle w:val="92"/>
      </w:pPr>
      <w:bookmarkStart w:id="136" w:name="_Toc342566003"/>
    </w:p>
    <w:p w14:paraId="1A560CFF" w14:textId="77777777" w:rsidR="00E57DAA" w:rsidRDefault="00E57DAA" w:rsidP="00C25422">
      <w:pPr>
        <w:pStyle w:val="92"/>
      </w:pPr>
    </w:p>
    <w:p w14:paraId="723D443D" w14:textId="77777777" w:rsidR="00E57DAA" w:rsidRDefault="00E57DAA">
      <w:pPr>
        <w:sectPr w:rsidR="00E57DAA" w:rsidSect="00226547">
          <w:pgSz w:w="11906" w:h="16838"/>
          <w:pgMar w:top="1525" w:right="1276" w:bottom="1440" w:left="1797" w:header="855" w:footer="992" w:gutter="0"/>
          <w:cols w:space="425"/>
          <w:docGrid w:type="lines" w:linePitch="312"/>
        </w:sectPr>
      </w:pPr>
    </w:p>
    <w:p w14:paraId="336FBB71" w14:textId="77777777" w:rsidR="00E57DAA" w:rsidRDefault="00AC4185" w:rsidP="00E76E97">
      <w:pPr>
        <w:pStyle w:val="1"/>
      </w:pPr>
      <w:bookmarkStart w:id="137" w:name="_Toc437440717"/>
      <w:bookmarkStart w:id="138" w:name="_Toc89790256"/>
      <w:bookmarkStart w:id="139" w:name="_Hlk90555499"/>
      <w:bookmarkEnd w:id="136"/>
      <w:r>
        <w:rPr>
          <w:rFonts w:hint="eastAsia"/>
        </w:rPr>
        <w:lastRenderedPageBreak/>
        <w:t>债券相关情况</w:t>
      </w:r>
      <w:bookmarkEnd w:id="137"/>
      <w:bookmarkEnd w:id="138"/>
    </w:p>
    <w:p w14:paraId="6076AB73" w14:textId="77777777" w:rsidR="00E57DAA" w:rsidRDefault="00AC4185">
      <w:pPr>
        <w:pStyle w:val="2"/>
        <w:numPr>
          <w:ilvl w:val="0"/>
          <w:numId w:val="53"/>
        </w:numPr>
      </w:pPr>
      <w:bookmarkStart w:id="140" w:name="_Hlk89353982"/>
      <w:bookmarkStart w:id="141" w:name="_Hlk89955979"/>
      <w:bookmarkStart w:id="142" w:name="_Hlk90042478"/>
      <w:r>
        <w:rPr>
          <w:rFonts w:hint="eastAsia"/>
        </w:rPr>
        <w:t>企业债券、公司债券和非金融企业债务融资工具</w:t>
      </w:r>
    </w:p>
    <w:bookmarkStart w:id="143" w:name="_Hlk73352152" w:displacedByCustomXml="next"/>
    <w:sdt>
      <w:sdtPr>
        <w:rPr>
          <w:szCs w:val="21"/>
        </w:rPr>
        <w:alias w:val="是否适用：债券相关情况[双击切换]"/>
        <w:tag w:val="_GBC_804ac0b5f8c94edbbb148299204e0a43"/>
        <w:id w:val="-506588450"/>
        <w:lock w:val="contentLocked"/>
        <w:placeholder>
          <w:docPart w:val="GBC22222222222222222222222222222"/>
        </w:placeholder>
      </w:sdtPr>
      <w:sdtEndPr/>
      <w:sdtContent>
        <w:p w14:paraId="439C4CF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43"/>
    <w:p w14:paraId="5E41990A" w14:textId="77777777" w:rsidR="00E57DAA" w:rsidRDefault="00E57DAA" w:rsidP="00C25422">
      <w:pPr>
        <w:pStyle w:val="92"/>
      </w:pPr>
    </w:p>
    <w:p w14:paraId="1598F166" w14:textId="77777777" w:rsidR="00E57DAA" w:rsidRDefault="00AC4185">
      <w:pPr>
        <w:pStyle w:val="3"/>
        <w:numPr>
          <w:ilvl w:val="0"/>
          <w:numId w:val="54"/>
        </w:numPr>
      </w:pPr>
      <w:r>
        <w:rPr>
          <w:rFonts w:hint="eastAsia"/>
        </w:rPr>
        <w:t>企业债券</w:t>
      </w:r>
    </w:p>
    <w:sdt>
      <w:sdtPr>
        <w:rPr>
          <w:rFonts w:cs="Times New Roman" w:hint="eastAsia"/>
          <w:bCs/>
          <w:kern w:val="2"/>
          <w:szCs w:val="21"/>
        </w:rPr>
        <w:alias w:val="是否适用：企业债券相关情况[双击切换]"/>
        <w:tag w:val="_GBC_59ea52cccb5743b8993b033f15a125ce"/>
        <w:id w:val="370266535"/>
        <w:placeholder>
          <w:docPart w:val="GBC22222222222222222222222222222"/>
        </w:placeholder>
      </w:sdtPr>
      <w:sdtEndPr/>
      <w:sdtContent>
        <w:p w14:paraId="27718496"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48F8409D" w14:textId="77777777" w:rsidR="00E57DAA" w:rsidRDefault="00E57DAA">
      <w:pPr>
        <w:rPr>
          <w:rFonts w:cs="Times New Roman"/>
          <w:bCs/>
          <w:kern w:val="2"/>
          <w:szCs w:val="21"/>
        </w:rPr>
      </w:pPr>
    </w:p>
    <w:p w14:paraId="76D3A3DE" w14:textId="77777777" w:rsidR="00E57DAA" w:rsidRDefault="00E57DAA">
      <w:pPr>
        <w:rPr>
          <w:szCs w:val="21"/>
        </w:rPr>
      </w:pPr>
    </w:p>
    <w:p w14:paraId="30427DE0" w14:textId="77777777" w:rsidR="00E57DAA" w:rsidRDefault="00AC4185">
      <w:pPr>
        <w:pStyle w:val="3"/>
        <w:numPr>
          <w:ilvl w:val="0"/>
          <w:numId w:val="54"/>
        </w:numPr>
      </w:pPr>
      <w:r>
        <w:rPr>
          <w:rFonts w:hint="eastAsia"/>
        </w:rPr>
        <w:t>公司债券</w:t>
      </w:r>
    </w:p>
    <w:sdt>
      <w:sdtPr>
        <w:rPr>
          <w:szCs w:val="21"/>
        </w:rPr>
        <w:alias w:val="是否适用：公司债券相关情况[双击切换]"/>
        <w:tag w:val="_GBC_bcf1d09cd7a14ac8aa0f16e88665e56b"/>
        <w:id w:val="1734741910"/>
        <w:lock w:val="contentLocked"/>
        <w:placeholder>
          <w:docPart w:val="GBC22222222222222222222222222222"/>
        </w:placeholder>
      </w:sdtPr>
      <w:sdtEndPr/>
      <w:sdtContent>
        <w:p w14:paraId="01E3C88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90A7D4" w14:textId="77777777" w:rsidR="00E57DAA" w:rsidRDefault="00E57DAA" w:rsidP="00C25422">
      <w:pPr>
        <w:pStyle w:val="92"/>
      </w:pPr>
    </w:p>
    <w:p w14:paraId="3A83401E" w14:textId="77777777" w:rsidR="00E57DAA" w:rsidRDefault="00AC4185">
      <w:pPr>
        <w:pStyle w:val="4"/>
        <w:numPr>
          <w:ilvl w:val="0"/>
          <w:numId w:val="55"/>
        </w:numPr>
        <w:ind w:left="425" w:hanging="425"/>
        <w:rPr>
          <w:rFonts w:ascii="宋体" w:hAnsi="宋体"/>
        </w:rPr>
      </w:pPr>
      <w:r>
        <w:rPr>
          <w:rFonts w:ascii="宋体" w:hAnsi="宋体" w:hint="eastAsia"/>
        </w:rPr>
        <w:t>公司债券基本情况</w:t>
      </w:r>
    </w:p>
    <w:p w14:paraId="583F900B" w14:textId="77777777" w:rsidR="00E57DAA" w:rsidRDefault="00AC4185">
      <w:pPr>
        <w:jc w:val="right"/>
        <w:rPr>
          <w:szCs w:val="21"/>
        </w:rPr>
      </w:pPr>
      <w:r>
        <w:rPr>
          <w:rFonts w:hint="eastAsia"/>
          <w:szCs w:val="21"/>
        </w:rPr>
        <w:t>单位</w:t>
      </w:r>
      <w:r>
        <w:rPr>
          <w:szCs w:val="21"/>
        </w:rPr>
        <w:t>：</w:t>
      </w:r>
      <w:sdt>
        <w:sdtPr>
          <w:rPr>
            <w:szCs w:val="21"/>
          </w:rPr>
          <w:alias w:val="单位：财务附注：公司债券基本情况"/>
          <w:tag w:val="_GBC_bd9547b45c6c4594a8094d44a7fe6279"/>
          <w:id w:val="9277011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szCs w:val="21"/>
            </w:rPr>
            <w:t>亿元</w:t>
          </w:r>
        </w:sdtContent>
      </w:sdt>
      <w:r>
        <w:rPr>
          <w:rFonts w:hint="eastAsia"/>
          <w:szCs w:val="21"/>
        </w:rPr>
        <w:t xml:space="preserve">  币种</w:t>
      </w:r>
      <w:r>
        <w:rPr>
          <w:szCs w:val="21"/>
        </w:rPr>
        <w:t>：</w:t>
      </w:r>
      <w:sdt>
        <w:sdtPr>
          <w:rPr>
            <w:szCs w:val="21"/>
          </w:rPr>
          <w:alias w:val="币种：财务附注：公司债券基本情况"/>
          <w:tag w:val="_GBC_cdc5d151ddda45a4bf98da66209e91bd"/>
          <w:id w:val="-14978779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1"/>
        <w:gridCol w:w="572"/>
        <w:gridCol w:w="771"/>
        <w:gridCol w:w="635"/>
        <w:gridCol w:w="701"/>
        <w:gridCol w:w="415"/>
        <w:gridCol w:w="731"/>
        <w:gridCol w:w="671"/>
        <w:gridCol w:w="425"/>
        <w:gridCol w:w="651"/>
        <w:gridCol w:w="425"/>
        <w:gridCol w:w="561"/>
      </w:tblGrid>
      <w:tr w:rsidR="00E57DAA" w14:paraId="30EC6AA7" w14:textId="77777777" w:rsidTr="009D1C07">
        <w:sdt>
          <w:sdtPr>
            <w:tag w:val="_PLD_e7da7a2ab4d9487487eed9325da55f63"/>
            <w:id w:val="1659733569"/>
          </w:sdtPr>
          <w:sdtEndPr/>
          <w:sdtContent>
            <w:tc>
              <w:tcPr>
                <w:tcW w:w="802" w:type="pct"/>
                <w:vAlign w:val="center"/>
              </w:tcPr>
              <w:p w14:paraId="1985EB56" w14:textId="77777777" w:rsidR="00E57DAA" w:rsidRDefault="00AC4185">
                <w:pPr>
                  <w:jc w:val="center"/>
                  <w:rPr>
                    <w:rFonts w:cs="Times New Roman"/>
                    <w:b/>
                    <w:bCs/>
                    <w:szCs w:val="21"/>
                  </w:rPr>
                </w:pPr>
                <w:r>
                  <w:rPr>
                    <w:rFonts w:hint="eastAsia"/>
                    <w:szCs w:val="21"/>
                  </w:rPr>
                  <w:t>债券名称</w:t>
                </w:r>
              </w:p>
            </w:tc>
          </w:sdtContent>
        </w:sdt>
        <w:sdt>
          <w:sdtPr>
            <w:tag w:val="_PLD_11bd1f589bed4bc18a8ec5a9925add95"/>
            <w:id w:val="-625999386"/>
          </w:sdtPr>
          <w:sdtEndPr/>
          <w:sdtContent>
            <w:tc>
              <w:tcPr>
                <w:tcW w:w="482" w:type="pct"/>
                <w:vAlign w:val="center"/>
              </w:tcPr>
              <w:p w14:paraId="41A206F4" w14:textId="77777777" w:rsidR="00E57DAA" w:rsidRDefault="00AC4185">
                <w:pPr>
                  <w:jc w:val="center"/>
                  <w:rPr>
                    <w:szCs w:val="21"/>
                  </w:rPr>
                </w:pPr>
                <w:r>
                  <w:rPr>
                    <w:rFonts w:hint="eastAsia"/>
                    <w:szCs w:val="21"/>
                  </w:rPr>
                  <w:t>简称</w:t>
                </w:r>
              </w:p>
            </w:tc>
          </w:sdtContent>
        </w:sdt>
        <w:sdt>
          <w:sdtPr>
            <w:tag w:val="_PLD_78acbd6549f34f9abcdaaadc793f5c20"/>
            <w:id w:val="810057051"/>
          </w:sdtPr>
          <w:sdtEndPr/>
          <w:sdtContent>
            <w:tc>
              <w:tcPr>
                <w:tcW w:w="324" w:type="pct"/>
                <w:vAlign w:val="center"/>
              </w:tcPr>
              <w:p w14:paraId="7FF187C4" w14:textId="77777777" w:rsidR="00E57DAA" w:rsidRDefault="00AC4185">
                <w:pPr>
                  <w:jc w:val="center"/>
                  <w:rPr>
                    <w:szCs w:val="21"/>
                  </w:rPr>
                </w:pPr>
                <w:r>
                  <w:rPr>
                    <w:rFonts w:hint="eastAsia"/>
                    <w:szCs w:val="21"/>
                  </w:rPr>
                  <w:t>代码</w:t>
                </w:r>
              </w:p>
            </w:tc>
          </w:sdtContent>
        </w:sdt>
        <w:sdt>
          <w:sdtPr>
            <w:tag w:val="_PLD_17245b360fb24f3f9e4e4b2064d98b11"/>
            <w:id w:val="1656721306"/>
          </w:sdtPr>
          <w:sdtEndPr/>
          <w:sdtContent>
            <w:tc>
              <w:tcPr>
                <w:tcW w:w="437" w:type="pct"/>
                <w:vAlign w:val="center"/>
              </w:tcPr>
              <w:p w14:paraId="6FF27531" w14:textId="77777777" w:rsidR="00E57DAA" w:rsidRDefault="00AC4185">
                <w:pPr>
                  <w:jc w:val="center"/>
                  <w:rPr>
                    <w:szCs w:val="21"/>
                  </w:rPr>
                </w:pPr>
                <w:r>
                  <w:rPr>
                    <w:rFonts w:hint="eastAsia"/>
                    <w:szCs w:val="21"/>
                  </w:rPr>
                  <w:t>发行日</w:t>
                </w:r>
              </w:p>
            </w:tc>
          </w:sdtContent>
        </w:sdt>
        <w:tc>
          <w:tcPr>
            <w:tcW w:w="360" w:type="pct"/>
            <w:vAlign w:val="center"/>
          </w:tcPr>
          <w:sdt>
            <w:sdtPr>
              <w:rPr>
                <w:rFonts w:hint="eastAsia"/>
              </w:rPr>
              <w:tag w:val="_PLD_d07b74f43b114a5d8dd9c9bfc1a10d25"/>
              <w:id w:val="1444647121"/>
            </w:sdtPr>
            <w:sdtEndPr/>
            <w:sdtContent>
              <w:p w14:paraId="4386D6E8" w14:textId="77777777" w:rsidR="00E57DAA" w:rsidRDefault="00AC4185">
                <w:pPr>
                  <w:jc w:val="center"/>
                </w:pPr>
                <w:r>
                  <w:rPr>
                    <w:rFonts w:hint="eastAsia"/>
                  </w:rPr>
                  <w:t>起息日</w:t>
                </w:r>
              </w:p>
            </w:sdtContent>
          </w:sdt>
        </w:tc>
        <w:sdt>
          <w:sdtPr>
            <w:tag w:val="_PLD_b77c02cfe81e4fc9b3325bc5d34007af"/>
            <w:id w:val="104934597"/>
          </w:sdtPr>
          <w:sdtEndPr/>
          <w:sdtContent>
            <w:tc>
              <w:tcPr>
                <w:tcW w:w="397" w:type="pct"/>
                <w:vAlign w:val="center"/>
              </w:tcPr>
              <w:p w14:paraId="26EF50BC" w14:textId="77777777" w:rsidR="00E57DAA" w:rsidRDefault="00AC4185">
                <w:pPr>
                  <w:jc w:val="center"/>
                  <w:rPr>
                    <w:szCs w:val="21"/>
                  </w:rPr>
                </w:pPr>
                <w:r>
                  <w:rPr>
                    <w:rFonts w:hint="eastAsia"/>
                    <w:szCs w:val="21"/>
                  </w:rPr>
                  <w:t>到期日</w:t>
                </w:r>
              </w:p>
            </w:tc>
          </w:sdtContent>
        </w:sdt>
        <w:sdt>
          <w:sdtPr>
            <w:tag w:val="_PLD_ddabbd6a5a154d0db01a295ed374ada8"/>
            <w:id w:val="-698856567"/>
          </w:sdtPr>
          <w:sdtEndPr/>
          <w:sdtContent>
            <w:tc>
              <w:tcPr>
                <w:tcW w:w="235" w:type="pct"/>
                <w:vAlign w:val="center"/>
              </w:tcPr>
              <w:p w14:paraId="45F8F697" w14:textId="77777777" w:rsidR="00E57DAA" w:rsidRDefault="00AC4185">
                <w:pPr>
                  <w:jc w:val="center"/>
                  <w:rPr>
                    <w:szCs w:val="21"/>
                  </w:rPr>
                </w:pPr>
                <w:r>
                  <w:rPr>
                    <w:rFonts w:hint="eastAsia"/>
                    <w:szCs w:val="21"/>
                  </w:rPr>
                  <w:t>债券余额</w:t>
                </w:r>
              </w:p>
            </w:tc>
          </w:sdtContent>
        </w:sdt>
        <w:sdt>
          <w:sdtPr>
            <w:tag w:val="_PLD_7a4d04536fb8466c9d878f02a399fdab"/>
            <w:id w:val="197671479"/>
          </w:sdtPr>
          <w:sdtEndPr/>
          <w:sdtContent>
            <w:tc>
              <w:tcPr>
                <w:tcW w:w="414" w:type="pct"/>
                <w:vAlign w:val="center"/>
              </w:tcPr>
              <w:p w14:paraId="7B18E4D4" w14:textId="77777777" w:rsidR="00E57DAA" w:rsidRDefault="00AC4185">
                <w:pPr>
                  <w:jc w:val="center"/>
                  <w:rPr>
                    <w:szCs w:val="21"/>
                  </w:rPr>
                </w:pPr>
                <w:r>
                  <w:rPr>
                    <w:rFonts w:hint="eastAsia"/>
                    <w:szCs w:val="21"/>
                  </w:rPr>
                  <w:t>利率（%）</w:t>
                </w:r>
              </w:p>
            </w:tc>
          </w:sdtContent>
        </w:sdt>
        <w:sdt>
          <w:sdtPr>
            <w:tag w:val="_PLD_f204dbab170f429ba365dce2837b35b2"/>
            <w:id w:val="-1375458523"/>
          </w:sdtPr>
          <w:sdtEndPr/>
          <w:sdtContent>
            <w:tc>
              <w:tcPr>
                <w:tcW w:w="380" w:type="pct"/>
                <w:vAlign w:val="center"/>
              </w:tcPr>
              <w:p w14:paraId="050FA164" w14:textId="77777777" w:rsidR="00E57DAA" w:rsidRDefault="00AC4185">
                <w:pPr>
                  <w:jc w:val="center"/>
                  <w:rPr>
                    <w:szCs w:val="21"/>
                  </w:rPr>
                </w:pPr>
                <w:r>
                  <w:rPr>
                    <w:rFonts w:hint="eastAsia"/>
                    <w:szCs w:val="21"/>
                  </w:rPr>
                  <w:t>还本付息方式</w:t>
                </w:r>
              </w:p>
            </w:tc>
          </w:sdtContent>
        </w:sdt>
        <w:sdt>
          <w:sdtPr>
            <w:tag w:val="_PLD_e5d7cc66ded84cdfaba8023c751a3a9c"/>
            <w:id w:val="2060131279"/>
          </w:sdtPr>
          <w:sdtEndPr/>
          <w:sdtContent>
            <w:tc>
              <w:tcPr>
                <w:tcW w:w="241" w:type="pct"/>
                <w:vAlign w:val="center"/>
              </w:tcPr>
              <w:p w14:paraId="43AF1CEB" w14:textId="77777777" w:rsidR="00E57DAA" w:rsidRDefault="00AC4185">
                <w:pPr>
                  <w:jc w:val="center"/>
                  <w:rPr>
                    <w:szCs w:val="21"/>
                  </w:rPr>
                </w:pPr>
                <w:r>
                  <w:rPr>
                    <w:rFonts w:hint="eastAsia"/>
                    <w:szCs w:val="21"/>
                  </w:rPr>
                  <w:t>交易场所</w:t>
                </w:r>
              </w:p>
            </w:tc>
          </w:sdtContent>
        </w:sdt>
        <w:sdt>
          <w:sdtPr>
            <w:rPr>
              <w:rFonts w:hint="eastAsia"/>
              <w:szCs w:val="21"/>
            </w:rPr>
            <w:tag w:val="_PLD_29405e73912c4131a608327cc9683d5c"/>
            <w:id w:val="326870009"/>
          </w:sdtPr>
          <w:sdtEndPr/>
          <w:sdtContent>
            <w:tc>
              <w:tcPr>
                <w:tcW w:w="369" w:type="pct"/>
                <w:vAlign w:val="center"/>
              </w:tcPr>
              <w:p w14:paraId="2FF547ED" w14:textId="77777777" w:rsidR="00E57DAA" w:rsidRDefault="00AC4185">
                <w:pPr>
                  <w:jc w:val="center"/>
                </w:pPr>
                <w:r>
                  <w:rPr>
                    <w:rFonts w:hint="eastAsia"/>
                    <w:szCs w:val="21"/>
                  </w:rPr>
                  <w:t>投资者适当性安排（如有）</w:t>
                </w:r>
              </w:p>
            </w:tc>
          </w:sdtContent>
        </w:sdt>
        <w:tc>
          <w:tcPr>
            <w:tcW w:w="241" w:type="pct"/>
            <w:vAlign w:val="center"/>
          </w:tcPr>
          <w:sdt>
            <w:sdtPr>
              <w:rPr>
                <w:rFonts w:hint="eastAsia"/>
              </w:rPr>
              <w:tag w:val="_PLD_853e2280c63c4a369f764c5ea37c54c1"/>
              <w:id w:val="-439991033"/>
            </w:sdtPr>
            <w:sdtEndPr/>
            <w:sdtContent>
              <w:p w14:paraId="6FD51FCB" w14:textId="77777777" w:rsidR="00E57DAA" w:rsidRDefault="00AC4185">
                <w:pPr>
                  <w:jc w:val="center"/>
                </w:pPr>
                <w:r>
                  <w:rPr>
                    <w:rFonts w:hint="eastAsia"/>
                  </w:rPr>
                  <w:t>交易机制</w:t>
                </w:r>
              </w:p>
            </w:sdtContent>
          </w:sdt>
        </w:tc>
        <w:sdt>
          <w:sdtPr>
            <w:rPr>
              <w:rFonts w:hint="eastAsia"/>
              <w:szCs w:val="21"/>
            </w:rPr>
            <w:tag w:val="_PLD_ad0d14743b8a4838a5157f3566368946"/>
            <w:id w:val="1631514982"/>
          </w:sdtPr>
          <w:sdtEndPr/>
          <w:sdtContent>
            <w:tc>
              <w:tcPr>
                <w:tcW w:w="318" w:type="pct"/>
              </w:tcPr>
              <w:p w14:paraId="5E31A0A3" w14:textId="77777777" w:rsidR="00E57DAA" w:rsidRDefault="00AC4185">
                <w:pPr>
                  <w:jc w:val="center"/>
                </w:pPr>
                <w:r>
                  <w:rPr>
                    <w:rFonts w:hint="eastAsia"/>
                    <w:szCs w:val="21"/>
                  </w:rPr>
                  <w:t>是否存在终止上市交易的风险</w:t>
                </w:r>
              </w:p>
            </w:tc>
          </w:sdtContent>
        </w:sdt>
      </w:tr>
      <w:tr w:rsidR="00E57DAA" w14:paraId="2A2D3EDC" w14:textId="77777777" w:rsidTr="009D1C07">
        <w:tc>
          <w:tcPr>
            <w:tcW w:w="802" w:type="pct"/>
            <w:vAlign w:val="center"/>
          </w:tcPr>
          <w:p w14:paraId="78C44F8C" w14:textId="77777777" w:rsidR="00E57DAA" w:rsidRDefault="00AC4185">
            <w:pPr>
              <w:jc w:val="both"/>
              <w:rPr>
                <w:szCs w:val="21"/>
              </w:rPr>
            </w:pPr>
            <w:r>
              <w:t>中国中材国际工程股份 有限公司 2021 年面向专业投资者公开发行公司债券（第一期）</w:t>
            </w:r>
          </w:p>
        </w:tc>
        <w:tc>
          <w:tcPr>
            <w:tcW w:w="482" w:type="pct"/>
            <w:vAlign w:val="center"/>
          </w:tcPr>
          <w:p w14:paraId="1E2CA79F" w14:textId="77777777" w:rsidR="00E57DAA" w:rsidRDefault="00AC4185">
            <w:pPr>
              <w:rPr>
                <w:szCs w:val="21"/>
              </w:rPr>
            </w:pPr>
            <w:r>
              <w:t>21 国工 01</w:t>
            </w:r>
          </w:p>
        </w:tc>
        <w:tc>
          <w:tcPr>
            <w:tcW w:w="324" w:type="pct"/>
            <w:vAlign w:val="center"/>
          </w:tcPr>
          <w:p w14:paraId="322738AF" w14:textId="77777777" w:rsidR="00E57DAA" w:rsidRDefault="00AC4185">
            <w:pPr>
              <w:rPr>
                <w:szCs w:val="21"/>
              </w:rPr>
            </w:pPr>
            <w:r>
              <w:t>188717</w:t>
            </w:r>
          </w:p>
        </w:tc>
        <w:tc>
          <w:tcPr>
            <w:tcW w:w="437" w:type="pct"/>
            <w:vAlign w:val="center"/>
          </w:tcPr>
          <w:p w14:paraId="25B654B6" w14:textId="77777777" w:rsidR="00E57DAA" w:rsidRDefault="00AC4185">
            <w:pPr>
              <w:rPr>
                <w:szCs w:val="21"/>
              </w:rPr>
            </w:pPr>
            <w:r>
              <w:t xml:space="preserve">2021 </w:t>
            </w:r>
            <w:r>
              <w:rPr>
                <w:rFonts w:hint="eastAsia"/>
              </w:rPr>
              <w:t>-0</w:t>
            </w:r>
            <w:r>
              <w:t>9</w:t>
            </w:r>
            <w:r>
              <w:rPr>
                <w:rFonts w:hint="eastAsia"/>
              </w:rPr>
              <w:t>-0</w:t>
            </w:r>
            <w:r>
              <w:t xml:space="preserve"> 9</w:t>
            </w:r>
          </w:p>
        </w:tc>
        <w:tc>
          <w:tcPr>
            <w:tcW w:w="360" w:type="pct"/>
            <w:vAlign w:val="center"/>
          </w:tcPr>
          <w:p w14:paraId="5EDC9A5D" w14:textId="77777777" w:rsidR="00E57DAA" w:rsidRDefault="00AC4185">
            <w:pPr>
              <w:rPr>
                <w:szCs w:val="21"/>
              </w:rPr>
            </w:pPr>
            <w:r>
              <w:t xml:space="preserve">2021 </w:t>
            </w:r>
            <w:r>
              <w:rPr>
                <w:rFonts w:hint="eastAsia"/>
              </w:rPr>
              <w:t>-0</w:t>
            </w:r>
            <w:r>
              <w:t>9</w:t>
            </w:r>
            <w:r>
              <w:rPr>
                <w:rFonts w:hint="eastAsia"/>
              </w:rPr>
              <w:t>-</w:t>
            </w:r>
            <w:r>
              <w:t xml:space="preserve">10 </w:t>
            </w:r>
          </w:p>
        </w:tc>
        <w:tc>
          <w:tcPr>
            <w:tcW w:w="397" w:type="pct"/>
            <w:vAlign w:val="center"/>
          </w:tcPr>
          <w:p w14:paraId="501AD03B" w14:textId="77777777" w:rsidR="00E57DAA" w:rsidRDefault="00AC4185">
            <w:pPr>
              <w:rPr>
                <w:szCs w:val="21"/>
              </w:rPr>
            </w:pPr>
            <w:r>
              <w:t>2024</w:t>
            </w:r>
            <w:r>
              <w:rPr>
                <w:rFonts w:hint="eastAsia"/>
              </w:rPr>
              <w:t>-0</w:t>
            </w:r>
            <w:r>
              <w:t xml:space="preserve">9 </w:t>
            </w:r>
            <w:r>
              <w:rPr>
                <w:rFonts w:hint="eastAsia"/>
              </w:rPr>
              <w:t>-</w:t>
            </w:r>
            <w:r>
              <w:t>10</w:t>
            </w:r>
          </w:p>
        </w:tc>
        <w:tc>
          <w:tcPr>
            <w:tcW w:w="235" w:type="pct"/>
            <w:vAlign w:val="center"/>
          </w:tcPr>
          <w:p w14:paraId="2FB3373C" w14:textId="77777777" w:rsidR="00E57DAA" w:rsidRDefault="00AC4185">
            <w:pPr>
              <w:jc w:val="right"/>
              <w:rPr>
                <w:szCs w:val="21"/>
              </w:rPr>
            </w:pPr>
            <w:r>
              <w:t>5</w:t>
            </w:r>
          </w:p>
        </w:tc>
        <w:tc>
          <w:tcPr>
            <w:tcW w:w="414" w:type="pct"/>
            <w:vAlign w:val="center"/>
          </w:tcPr>
          <w:p w14:paraId="095ABD6F" w14:textId="77777777" w:rsidR="00E57DAA" w:rsidRDefault="00AC4185">
            <w:pPr>
              <w:jc w:val="right"/>
              <w:rPr>
                <w:szCs w:val="21"/>
              </w:rPr>
            </w:pPr>
            <w:r>
              <w:t>3.28</w:t>
            </w:r>
          </w:p>
        </w:tc>
        <w:tc>
          <w:tcPr>
            <w:tcW w:w="380" w:type="pct"/>
            <w:vAlign w:val="center"/>
          </w:tcPr>
          <w:p w14:paraId="79220D7C" w14:textId="77777777" w:rsidR="00E57DAA" w:rsidRDefault="00AC4185">
            <w:pPr>
              <w:jc w:val="both"/>
              <w:rPr>
                <w:szCs w:val="21"/>
              </w:rPr>
            </w:pPr>
            <w:r>
              <w:t>按年付息、到期一次还本</w:t>
            </w:r>
          </w:p>
        </w:tc>
        <w:tc>
          <w:tcPr>
            <w:tcW w:w="241" w:type="pct"/>
            <w:vAlign w:val="center"/>
          </w:tcPr>
          <w:p w14:paraId="2A6C36CC" w14:textId="77777777" w:rsidR="00E57DAA" w:rsidRDefault="00AC4185">
            <w:pPr>
              <w:rPr>
                <w:szCs w:val="21"/>
              </w:rPr>
            </w:pPr>
            <w:r>
              <w:t>上海证券交易所</w:t>
            </w:r>
          </w:p>
        </w:tc>
        <w:tc>
          <w:tcPr>
            <w:tcW w:w="369" w:type="pct"/>
            <w:vAlign w:val="center"/>
          </w:tcPr>
          <w:p w14:paraId="147F078E" w14:textId="77777777" w:rsidR="00E57DAA" w:rsidRDefault="00AC4185">
            <w:pPr>
              <w:rPr>
                <w:szCs w:val="21"/>
              </w:rPr>
            </w:pPr>
            <w:r>
              <w:t>面向专业投资者的公开发行</w:t>
            </w:r>
          </w:p>
        </w:tc>
        <w:tc>
          <w:tcPr>
            <w:tcW w:w="241" w:type="pct"/>
            <w:vAlign w:val="center"/>
          </w:tcPr>
          <w:p w14:paraId="68518516" w14:textId="77777777" w:rsidR="00E57DAA" w:rsidRDefault="00AC4185">
            <w:pPr>
              <w:rPr>
                <w:szCs w:val="21"/>
              </w:rPr>
            </w:pPr>
            <w:r>
              <w:t>询价</w:t>
            </w:r>
          </w:p>
        </w:tc>
        <w:sdt>
          <w:sdtPr>
            <w:rPr>
              <w:szCs w:val="21"/>
            </w:rPr>
            <w:alias w:val="公司债券基本情况明细_是否存在终止上市交易的风险 "/>
            <w:tag w:val="_GBC_1728d49fd57e42db97293e563a8f0153"/>
            <w:id w:val="1302202904"/>
            <w:comboBox>
              <w:listItem w:displayText="是" w:value="是"/>
              <w:listItem w:displayText="否" w:value="否"/>
            </w:comboBox>
          </w:sdtPr>
          <w:sdtEndPr/>
          <w:sdtContent>
            <w:tc>
              <w:tcPr>
                <w:tcW w:w="318" w:type="pct"/>
                <w:vAlign w:val="center"/>
              </w:tcPr>
              <w:p w14:paraId="1A6B872B" w14:textId="77777777" w:rsidR="00E57DAA" w:rsidRDefault="00AC4185">
                <w:pPr>
                  <w:rPr>
                    <w:szCs w:val="21"/>
                  </w:rPr>
                </w:pPr>
                <w:r>
                  <w:rPr>
                    <w:szCs w:val="21"/>
                  </w:rPr>
                  <w:t>否</w:t>
                </w:r>
              </w:p>
            </w:tc>
          </w:sdtContent>
        </w:sdt>
      </w:tr>
    </w:tbl>
    <w:p w14:paraId="24D14747" w14:textId="77777777" w:rsidR="00E57DAA" w:rsidRDefault="00E57DAA" w:rsidP="00C25422">
      <w:pPr>
        <w:pStyle w:val="92"/>
      </w:pPr>
    </w:p>
    <w:p w14:paraId="0BA841F8" w14:textId="77777777" w:rsidR="00E57DAA" w:rsidRDefault="00AC4185" w:rsidP="00C25422">
      <w:pPr>
        <w:pStyle w:val="92"/>
      </w:pPr>
      <w:r>
        <w:rPr>
          <w:rFonts w:hint="eastAsia"/>
        </w:rPr>
        <w:t>公司对债券终止上市交易风险的应对措施</w:t>
      </w:r>
    </w:p>
    <w:sdt>
      <w:sdtPr>
        <w:rPr>
          <w:rFonts w:cs="Times New Roman"/>
          <w:bCs/>
          <w:color w:val="000000" w:themeColor="text1"/>
          <w:kern w:val="2"/>
          <w:szCs w:val="21"/>
        </w:rPr>
        <w:alias w:val="是否适用：公司对债券终止上市交易风险的应对措施 [双击切换]"/>
        <w:tag w:val="_GBC_8b78dd47ac3c4f1eb39b850ff54adbdf"/>
        <w:id w:val="-2115501287"/>
        <w:placeholder>
          <w:docPart w:val="GBC22222222222222222222222222222"/>
        </w:placeholder>
      </w:sdtPr>
      <w:sdtEndPr/>
      <w:sdtContent>
        <w:p w14:paraId="50F76C08" w14:textId="77777777" w:rsidR="00E57DAA" w:rsidRDefault="00AC4185">
          <w:pPr>
            <w:rPr>
              <w:color w:val="000000" w:themeColor="text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3EF85DCD" w14:textId="77777777" w:rsidR="00E57DAA" w:rsidRDefault="00E57DAA">
      <w:pPr>
        <w:rPr>
          <w:rFonts w:cs="Times New Roman"/>
          <w:bCs/>
          <w:color w:val="000000" w:themeColor="text1"/>
          <w:kern w:val="2"/>
          <w:szCs w:val="21"/>
        </w:rPr>
      </w:pPr>
    </w:p>
    <w:p w14:paraId="593354B7" w14:textId="77777777" w:rsidR="00E57DAA" w:rsidRDefault="00AC4185" w:rsidP="00C25422">
      <w:pPr>
        <w:pStyle w:val="92"/>
      </w:pPr>
      <w:r>
        <w:t>逾期未偿还债券</w:t>
      </w:r>
    </w:p>
    <w:bookmarkStart w:id="144" w:name="_Hlk41317655" w:displacedByCustomXml="next"/>
    <w:sdt>
      <w:sdtPr>
        <w:rPr>
          <w:rFonts w:hint="eastAsia"/>
        </w:rPr>
        <w:alias w:val="是否适用：逾期未偿还债券[双击切换]"/>
        <w:tag w:val="_GBC_771bbda794af4682b3b36e7817d7e78a"/>
        <w:id w:val="529692293"/>
        <w:placeholder>
          <w:docPart w:val="GBC22222222222222222222222222222"/>
        </w:placeholder>
      </w:sdtPr>
      <w:sdtEndPr/>
      <w:sdtContent>
        <w:p w14:paraId="2145E91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44"/>
    <w:p w14:paraId="120CE850" w14:textId="77777777" w:rsidR="00E57DAA" w:rsidRDefault="00E57DAA">
      <w:pPr>
        <w:rPr>
          <w:rFonts w:cs="Times New Roman"/>
          <w:b/>
          <w:bCs/>
          <w:kern w:val="2"/>
          <w:szCs w:val="21"/>
        </w:rPr>
      </w:pPr>
    </w:p>
    <w:p w14:paraId="1438F252" w14:textId="77777777" w:rsidR="00E57DAA" w:rsidRDefault="00AC4185">
      <w:pPr>
        <w:rPr>
          <w:rFonts w:ascii="Arial" w:hAnsi="Arial" w:cs="Times New Roman"/>
          <w:bCs/>
          <w:kern w:val="2"/>
          <w:szCs w:val="21"/>
        </w:rPr>
      </w:pPr>
      <w:r>
        <w:rPr>
          <w:rFonts w:ascii="Arial" w:hAnsi="Arial" w:cs="Times New Roman" w:hint="eastAsia"/>
          <w:bCs/>
          <w:kern w:val="2"/>
          <w:szCs w:val="21"/>
        </w:rPr>
        <w:t>报告期内债券付息兑付情况</w:t>
      </w:r>
    </w:p>
    <w:bookmarkStart w:id="145" w:name="_Hlk89418944" w:displacedByCustomXml="next"/>
    <w:sdt>
      <w:sdtPr>
        <w:rPr>
          <w:rFonts w:cs="Times New Roman"/>
          <w:bCs/>
          <w:kern w:val="2"/>
          <w:szCs w:val="21"/>
        </w:rPr>
        <w:alias w:val="是否适用：公司债券付息兑付情况 [双击切换]"/>
        <w:tag w:val="_GBC_3ab037329d174b6ba7ef825552874d7e"/>
        <w:id w:val="738291467"/>
        <w:placeholder>
          <w:docPart w:val="GBC22222222222222222222222222222"/>
        </w:placeholder>
      </w:sdtPr>
      <w:sdtEndPr/>
      <w:sdtContent>
        <w:p w14:paraId="67B50289"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292"/>
      </w:tblGrid>
      <w:tr w:rsidR="00E57DAA" w14:paraId="2EF0E9BD" w14:textId="77777777">
        <w:sdt>
          <w:sdtPr>
            <w:rPr>
              <w:rFonts w:ascii="Arial" w:hAnsi="Arial" w:cs="Times New Roman"/>
              <w:bCs/>
              <w:szCs w:val="21"/>
            </w:rPr>
            <w:tag w:val="_PLD_378324e3e6a042f98f4d50d0e9db2c6f"/>
            <w:id w:val="1201055383"/>
          </w:sdtPr>
          <w:sdtEndPr/>
          <w:sdtContent>
            <w:tc>
              <w:tcPr>
                <w:tcW w:w="2568" w:type="pct"/>
              </w:tcPr>
              <w:p w14:paraId="262F3E4D" w14:textId="77777777" w:rsidR="00E57DAA" w:rsidRDefault="00AC4185">
                <w:pPr>
                  <w:jc w:val="center"/>
                  <w:rPr>
                    <w:rFonts w:ascii="Arial" w:hAnsi="Arial" w:cs="Times New Roman"/>
                    <w:bCs/>
                    <w:szCs w:val="21"/>
                  </w:rPr>
                </w:pPr>
                <w:r>
                  <w:rPr>
                    <w:rFonts w:ascii="Arial" w:hAnsi="Arial" w:cs="Times New Roman"/>
                    <w:bCs/>
                    <w:szCs w:val="21"/>
                  </w:rPr>
                  <w:t>债券名称</w:t>
                </w:r>
              </w:p>
            </w:tc>
          </w:sdtContent>
        </w:sdt>
        <w:sdt>
          <w:sdtPr>
            <w:rPr>
              <w:rFonts w:ascii="Arial" w:hAnsi="Arial" w:cs="Times New Roman" w:hint="eastAsia"/>
              <w:bCs/>
              <w:szCs w:val="21"/>
            </w:rPr>
            <w:tag w:val="_PLD_0eb8eec89a514cc5be484dbdd9927ba9"/>
            <w:id w:val="1602456824"/>
          </w:sdtPr>
          <w:sdtEndPr/>
          <w:sdtContent>
            <w:tc>
              <w:tcPr>
                <w:tcW w:w="2432" w:type="pct"/>
              </w:tcPr>
              <w:p w14:paraId="7D75E576" w14:textId="77777777" w:rsidR="00E57DAA" w:rsidRDefault="00AC4185">
                <w:pPr>
                  <w:jc w:val="center"/>
                  <w:rPr>
                    <w:rFonts w:ascii="Arial" w:hAnsi="Arial" w:cs="Times New Roman"/>
                    <w:bCs/>
                    <w:szCs w:val="21"/>
                  </w:rPr>
                </w:pPr>
                <w:r>
                  <w:rPr>
                    <w:rFonts w:ascii="Arial" w:hAnsi="Arial" w:cs="Times New Roman" w:hint="eastAsia"/>
                    <w:bCs/>
                    <w:szCs w:val="21"/>
                  </w:rPr>
                  <w:t>付息兑付情况的说明</w:t>
                </w:r>
              </w:p>
            </w:tc>
          </w:sdtContent>
        </w:sdt>
      </w:tr>
      <w:tr w:rsidR="00E57DAA" w14:paraId="203A1643" w14:textId="77777777">
        <w:tc>
          <w:tcPr>
            <w:tcW w:w="2568" w:type="pct"/>
            <w:tcBorders>
              <w:top w:val="single" w:sz="4" w:space="0" w:color="auto"/>
              <w:left w:val="single" w:sz="4" w:space="0" w:color="auto"/>
              <w:bottom w:val="single" w:sz="4" w:space="0" w:color="auto"/>
              <w:right w:val="single" w:sz="4" w:space="0" w:color="auto"/>
            </w:tcBorders>
          </w:tcPr>
          <w:p w14:paraId="6B43B387" w14:textId="77777777" w:rsidR="00E57DAA" w:rsidRDefault="00AC4185">
            <w:pPr>
              <w:rPr>
                <w:rFonts w:cs="Times New Roman"/>
                <w:szCs w:val="21"/>
              </w:rPr>
            </w:pPr>
            <w:r>
              <w:t>中国中材国际工程股份有限公司 2021 年面向专业投资者公开发行公司债券（第一期）</w:t>
            </w:r>
          </w:p>
        </w:tc>
        <w:tc>
          <w:tcPr>
            <w:tcW w:w="2432" w:type="pct"/>
            <w:tcBorders>
              <w:top w:val="single" w:sz="4" w:space="0" w:color="auto"/>
              <w:left w:val="single" w:sz="4" w:space="0" w:color="auto"/>
              <w:bottom w:val="single" w:sz="4" w:space="0" w:color="auto"/>
              <w:right w:val="single" w:sz="4" w:space="0" w:color="auto"/>
            </w:tcBorders>
          </w:tcPr>
          <w:p w14:paraId="1F4B20E8" w14:textId="77777777" w:rsidR="00E57DAA" w:rsidRDefault="00AC4185">
            <w:pPr>
              <w:rPr>
                <w:rFonts w:cs="Times New Roman"/>
                <w:szCs w:val="21"/>
              </w:rPr>
            </w:pPr>
            <w:r>
              <w:t>报告期内支付利息1640万元，无欠息。</w:t>
            </w:r>
          </w:p>
        </w:tc>
      </w:tr>
    </w:tbl>
    <w:p w14:paraId="6F74C1BB" w14:textId="77777777" w:rsidR="00E57DAA" w:rsidRDefault="00E57DAA" w:rsidP="00C25422">
      <w:pPr>
        <w:pStyle w:val="92"/>
      </w:pPr>
    </w:p>
    <w:p w14:paraId="6D392861" w14:textId="77777777" w:rsidR="00E57DAA" w:rsidRDefault="00AC4185">
      <w:pPr>
        <w:pStyle w:val="4"/>
        <w:numPr>
          <w:ilvl w:val="0"/>
          <w:numId w:val="55"/>
        </w:numPr>
        <w:ind w:left="425" w:hanging="425"/>
        <w:rPr>
          <w:rFonts w:ascii="宋体" w:hAnsi="宋体"/>
        </w:rPr>
      </w:pPr>
      <w:r>
        <w:rPr>
          <w:rFonts w:ascii="宋体" w:hAnsi="宋体" w:hint="eastAsia"/>
        </w:rPr>
        <w:lastRenderedPageBreak/>
        <w:t>发行人或投资者选择权条款、投资者保护条款的触发和执行情况</w:t>
      </w:r>
    </w:p>
    <w:bookmarkEnd w:id="145" w:displacedByCustomXml="next"/>
    <w:bookmarkStart w:id="146" w:name="_Hlk41317963" w:displacedByCustomXml="next"/>
    <w:sdt>
      <w:sdtPr>
        <w:rPr>
          <w:rFonts w:cs="Times New Roman"/>
          <w:bCs/>
          <w:color w:val="000000" w:themeColor="text1"/>
          <w:kern w:val="2"/>
          <w:szCs w:val="21"/>
        </w:rPr>
        <w:alias w:val="是否适用：发行人或投资者选择权条款、投资者保护条款的触发和执行情况[双击切换]"/>
        <w:tag w:val="_GBC_8b15a1a762ae4ed2bce62d5804aeb63e"/>
        <w:id w:val="1842582135"/>
        <w:placeholder>
          <w:docPart w:val="GBC22222222222222222222222222222"/>
        </w:placeholder>
      </w:sdtPr>
      <w:sdtEndPr/>
      <w:sdtContent>
        <w:p w14:paraId="44CEFE69" w14:textId="77777777" w:rsidR="00E57DAA" w:rsidRDefault="00AC4185">
          <w:pPr>
            <w:rPr>
              <w:rFonts w:cs="Times New Roman"/>
              <w:bCs/>
              <w:color w:val="000000" w:themeColor="text1"/>
              <w:kern w:val="2"/>
              <w:szCs w:val="2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bookmarkEnd w:id="146"/>
    <w:p w14:paraId="5402CEA5" w14:textId="77777777" w:rsidR="00E57DAA" w:rsidRDefault="00E57DAA">
      <w:pPr>
        <w:rPr>
          <w:color w:val="000000" w:themeColor="text1"/>
          <w:szCs w:val="21"/>
        </w:rPr>
      </w:pPr>
    </w:p>
    <w:p w14:paraId="0ABE7B3E" w14:textId="77777777" w:rsidR="00E57DAA" w:rsidRDefault="00AC4185">
      <w:pPr>
        <w:pStyle w:val="4"/>
        <w:numPr>
          <w:ilvl w:val="0"/>
          <w:numId w:val="55"/>
        </w:numPr>
        <w:ind w:left="425" w:hanging="425"/>
        <w:rPr>
          <w:rFonts w:ascii="宋体" w:hAnsi="宋体" w:cs="宋体"/>
          <w:kern w:val="0"/>
          <w:szCs w:val="24"/>
        </w:rPr>
      </w:pPr>
      <w:r>
        <w:rPr>
          <w:rFonts w:ascii="宋体" w:hAnsi="宋体" w:cs="宋体"/>
          <w:kern w:val="0"/>
          <w:szCs w:val="24"/>
        </w:rPr>
        <w:t>为债券发行及存续期业务提供服务的中介机构</w:t>
      </w:r>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2342"/>
        <w:gridCol w:w="1842"/>
        <w:gridCol w:w="1108"/>
        <w:gridCol w:w="1765"/>
      </w:tblGrid>
      <w:tr w:rsidR="00E57DAA" w14:paraId="4928C0C4" w14:textId="77777777" w:rsidTr="00D2158E">
        <w:trPr>
          <w:trHeight w:val="350"/>
        </w:trPr>
        <w:bookmarkStart w:id="147" w:name="_Hlk89419052" w:displacedByCustomXml="next"/>
        <w:sdt>
          <w:sdtPr>
            <w:tag w:val="_PLD_54ab8ae12edd455da8babdd2e2ab5698"/>
            <w:id w:val="1196809604"/>
          </w:sdtPr>
          <w:sdtEndPr>
            <w:rPr>
              <w:rFonts w:hint="eastAsia"/>
              <w:szCs w:val="21"/>
            </w:rPr>
          </w:sdtEndPr>
          <w:sdtContent>
            <w:tc>
              <w:tcPr>
                <w:tcW w:w="1000" w:type="pct"/>
                <w:vAlign w:val="center"/>
              </w:tcPr>
              <w:p w14:paraId="488AB132" w14:textId="77777777" w:rsidR="00E57DAA" w:rsidRDefault="00AC4185">
                <w:pPr>
                  <w:jc w:val="center"/>
                  <w:rPr>
                    <w:szCs w:val="21"/>
                  </w:rPr>
                </w:pPr>
                <w:r>
                  <w:t>中介</w:t>
                </w:r>
                <w:r>
                  <w:rPr>
                    <w:rFonts w:hint="eastAsia"/>
                    <w:szCs w:val="21"/>
                  </w:rPr>
                  <w:t>机构名称</w:t>
                </w:r>
              </w:p>
            </w:tc>
          </w:sdtContent>
        </w:sdt>
        <w:sdt>
          <w:sdtPr>
            <w:tag w:val="_PLD_8492b834223a461f8d344918d030f6b8"/>
            <w:id w:val="1878661578"/>
          </w:sdtPr>
          <w:sdtEndPr/>
          <w:sdtContent>
            <w:tc>
              <w:tcPr>
                <w:tcW w:w="1327" w:type="pct"/>
                <w:vAlign w:val="center"/>
              </w:tcPr>
              <w:p w14:paraId="0BBCA36F" w14:textId="77777777" w:rsidR="00E57DAA" w:rsidRDefault="00AC4185">
                <w:pPr>
                  <w:jc w:val="center"/>
                  <w:rPr>
                    <w:szCs w:val="21"/>
                  </w:rPr>
                </w:pPr>
                <w:r>
                  <w:t>办公地址</w:t>
                </w:r>
              </w:p>
            </w:tc>
          </w:sdtContent>
        </w:sdt>
        <w:sdt>
          <w:sdtPr>
            <w:tag w:val="_PLD_e556c32b1e664b37a60bde70039a7d7e"/>
            <w:id w:val="-1204547941"/>
          </w:sdtPr>
          <w:sdtEndPr/>
          <w:sdtContent>
            <w:tc>
              <w:tcPr>
                <w:tcW w:w="1044" w:type="pct"/>
                <w:vAlign w:val="center"/>
              </w:tcPr>
              <w:p w14:paraId="5ED68BC0" w14:textId="77777777" w:rsidR="00E57DAA" w:rsidRDefault="00AC4185">
                <w:pPr>
                  <w:jc w:val="center"/>
                  <w:rPr>
                    <w:szCs w:val="21"/>
                  </w:rPr>
                </w:pPr>
                <w:r>
                  <w:t>签字会计师姓名</w:t>
                </w:r>
              </w:p>
            </w:tc>
          </w:sdtContent>
        </w:sdt>
        <w:sdt>
          <w:sdtPr>
            <w:tag w:val="_PLD_b5bd6ba320c64e5799677eed2e7352a3"/>
            <w:id w:val="-1625997679"/>
          </w:sdtPr>
          <w:sdtEndPr/>
          <w:sdtContent>
            <w:tc>
              <w:tcPr>
                <w:tcW w:w="628" w:type="pct"/>
                <w:vAlign w:val="center"/>
              </w:tcPr>
              <w:p w14:paraId="67BC27F4" w14:textId="77777777" w:rsidR="00E57DAA" w:rsidRDefault="00AC4185">
                <w:pPr>
                  <w:jc w:val="center"/>
                  <w:rPr>
                    <w:szCs w:val="21"/>
                  </w:rPr>
                </w:pPr>
                <w:r>
                  <w:t>联系人</w:t>
                </w:r>
              </w:p>
            </w:tc>
          </w:sdtContent>
        </w:sdt>
        <w:sdt>
          <w:sdtPr>
            <w:tag w:val="_PLD_5718e39fad6141cc9151355350f9e5d0"/>
            <w:id w:val="-1879393299"/>
          </w:sdtPr>
          <w:sdtEndPr/>
          <w:sdtContent>
            <w:tc>
              <w:tcPr>
                <w:tcW w:w="1000" w:type="pct"/>
                <w:vAlign w:val="center"/>
              </w:tcPr>
              <w:p w14:paraId="3855A85D" w14:textId="77777777" w:rsidR="00E57DAA" w:rsidRDefault="00AC4185">
                <w:pPr>
                  <w:jc w:val="center"/>
                </w:pPr>
                <w:r>
                  <w:t>联系电话</w:t>
                </w:r>
              </w:p>
            </w:tc>
          </w:sdtContent>
        </w:sdt>
      </w:tr>
      <w:tr w:rsidR="00E57DAA" w14:paraId="36049E32" w14:textId="77777777" w:rsidTr="00D2158E">
        <w:tc>
          <w:tcPr>
            <w:tcW w:w="1000" w:type="pct"/>
          </w:tcPr>
          <w:p w14:paraId="3B77F5E5" w14:textId="77777777" w:rsidR="00E57DAA" w:rsidRDefault="00AC4185">
            <w:pPr>
              <w:rPr>
                <w:rFonts w:cs="Times New Roman"/>
                <w:szCs w:val="21"/>
              </w:rPr>
            </w:pPr>
            <w:r>
              <w:t>信永中和会计师 事务所</w:t>
            </w:r>
          </w:p>
        </w:tc>
        <w:tc>
          <w:tcPr>
            <w:tcW w:w="1327" w:type="pct"/>
          </w:tcPr>
          <w:p w14:paraId="0421321B" w14:textId="77777777" w:rsidR="00E57DAA" w:rsidRDefault="00AC4185">
            <w:pPr>
              <w:rPr>
                <w:rFonts w:cs="Times New Roman"/>
                <w:szCs w:val="21"/>
              </w:rPr>
            </w:pPr>
            <w:r>
              <w:t>北京市东城区朝阳门北大街 8 号富华大厦 A 座 8 层</w:t>
            </w:r>
          </w:p>
        </w:tc>
        <w:tc>
          <w:tcPr>
            <w:tcW w:w="1044" w:type="pct"/>
          </w:tcPr>
          <w:p w14:paraId="088BD61B" w14:textId="77777777" w:rsidR="00E57DAA" w:rsidRDefault="00AC4185">
            <w:pPr>
              <w:rPr>
                <w:rFonts w:cs="Times New Roman"/>
                <w:szCs w:val="21"/>
              </w:rPr>
            </w:pPr>
            <w:r>
              <w:t>王欣、闫欢、詹 军</w:t>
            </w:r>
          </w:p>
        </w:tc>
        <w:tc>
          <w:tcPr>
            <w:tcW w:w="628" w:type="pct"/>
          </w:tcPr>
          <w:p w14:paraId="77A1884C" w14:textId="77777777" w:rsidR="00E57DAA" w:rsidRDefault="00AC4185">
            <w:pPr>
              <w:rPr>
                <w:rFonts w:cs="Times New Roman"/>
                <w:szCs w:val="21"/>
              </w:rPr>
            </w:pPr>
            <w:r>
              <w:t>闫欢</w:t>
            </w:r>
          </w:p>
        </w:tc>
        <w:tc>
          <w:tcPr>
            <w:tcW w:w="1000" w:type="pct"/>
          </w:tcPr>
          <w:p w14:paraId="0AF6B82F" w14:textId="77777777" w:rsidR="00E57DAA" w:rsidRDefault="00AC4185">
            <w:pPr>
              <w:rPr>
                <w:rFonts w:cs="Times New Roman"/>
                <w:szCs w:val="21"/>
              </w:rPr>
            </w:pPr>
            <w:r>
              <w:t>13845082422</w:t>
            </w:r>
          </w:p>
        </w:tc>
      </w:tr>
      <w:tr w:rsidR="00E57DAA" w14:paraId="4A20BBA4" w14:textId="77777777" w:rsidTr="00D2158E">
        <w:tc>
          <w:tcPr>
            <w:tcW w:w="1000" w:type="pct"/>
          </w:tcPr>
          <w:p w14:paraId="6A35A3B3" w14:textId="77777777" w:rsidR="00E57DAA" w:rsidRDefault="00AC4185">
            <w:pPr>
              <w:rPr>
                <w:rFonts w:cs="Times New Roman"/>
                <w:szCs w:val="21"/>
              </w:rPr>
            </w:pPr>
            <w:r>
              <w:t>北京市嘉源律师 事务所</w:t>
            </w:r>
          </w:p>
        </w:tc>
        <w:tc>
          <w:tcPr>
            <w:tcW w:w="1327" w:type="pct"/>
          </w:tcPr>
          <w:p w14:paraId="26D60B6E" w14:textId="77777777" w:rsidR="00E57DAA" w:rsidRDefault="00AC4185">
            <w:pPr>
              <w:rPr>
                <w:rFonts w:cs="Times New Roman"/>
                <w:szCs w:val="21"/>
              </w:rPr>
            </w:pPr>
            <w:r>
              <w:t>北京市西城区复兴门内大街 158 号远洋大厦 F408 室</w:t>
            </w:r>
          </w:p>
        </w:tc>
        <w:tc>
          <w:tcPr>
            <w:tcW w:w="1044" w:type="pct"/>
          </w:tcPr>
          <w:p w14:paraId="7C814908" w14:textId="77777777" w:rsidR="00E57DAA" w:rsidRDefault="00AC4185">
            <w:pPr>
              <w:rPr>
                <w:rFonts w:cs="Times New Roman"/>
                <w:szCs w:val="21"/>
              </w:rPr>
            </w:pPr>
            <w:r>
              <w:t> </w:t>
            </w:r>
          </w:p>
        </w:tc>
        <w:tc>
          <w:tcPr>
            <w:tcW w:w="628" w:type="pct"/>
          </w:tcPr>
          <w:p w14:paraId="06DBC274" w14:textId="77777777" w:rsidR="00E57DAA" w:rsidRDefault="00AC4185">
            <w:pPr>
              <w:rPr>
                <w:rFonts w:cs="Times New Roman"/>
                <w:szCs w:val="21"/>
              </w:rPr>
            </w:pPr>
            <w:r>
              <w:t>张玲</w:t>
            </w:r>
          </w:p>
        </w:tc>
        <w:tc>
          <w:tcPr>
            <w:tcW w:w="1000" w:type="pct"/>
          </w:tcPr>
          <w:p w14:paraId="37BF8A13" w14:textId="77777777" w:rsidR="00E57DAA" w:rsidRDefault="00AC4185">
            <w:pPr>
              <w:rPr>
                <w:rFonts w:cs="Times New Roman"/>
                <w:szCs w:val="21"/>
              </w:rPr>
            </w:pPr>
            <w:r>
              <w:t>18513175098</w:t>
            </w:r>
          </w:p>
        </w:tc>
      </w:tr>
      <w:tr w:rsidR="00E57DAA" w14:paraId="7470BB21" w14:textId="77777777" w:rsidTr="00D2158E">
        <w:tc>
          <w:tcPr>
            <w:tcW w:w="1000" w:type="pct"/>
          </w:tcPr>
          <w:p w14:paraId="64CB5A04" w14:textId="77777777" w:rsidR="00E57DAA" w:rsidRDefault="00AC4185" w:rsidP="00C25422">
            <w:pPr>
              <w:pStyle w:val="92"/>
            </w:pPr>
            <w:r>
              <w:t>联合资信评估股 份有限公司</w:t>
            </w:r>
          </w:p>
        </w:tc>
        <w:tc>
          <w:tcPr>
            <w:tcW w:w="1327" w:type="pct"/>
          </w:tcPr>
          <w:p w14:paraId="68494AAE" w14:textId="77777777" w:rsidR="00E57DAA" w:rsidRDefault="00AC4185" w:rsidP="00C25422">
            <w:pPr>
              <w:pStyle w:val="92"/>
            </w:pPr>
            <w:r>
              <w:t>天津市南开区水上公园北道 38 号爱俪园公寓 508</w:t>
            </w:r>
          </w:p>
        </w:tc>
        <w:tc>
          <w:tcPr>
            <w:tcW w:w="1044" w:type="pct"/>
          </w:tcPr>
          <w:p w14:paraId="5EC2DF62" w14:textId="77777777" w:rsidR="00E57DAA" w:rsidRDefault="00AC4185" w:rsidP="00C25422">
            <w:pPr>
              <w:pStyle w:val="92"/>
            </w:pPr>
            <w:r>
              <w:t> </w:t>
            </w:r>
          </w:p>
        </w:tc>
        <w:tc>
          <w:tcPr>
            <w:tcW w:w="628" w:type="pct"/>
          </w:tcPr>
          <w:p w14:paraId="75009B33" w14:textId="77777777" w:rsidR="00E57DAA" w:rsidRDefault="00AC4185" w:rsidP="00C25422">
            <w:pPr>
              <w:pStyle w:val="92"/>
            </w:pPr>
            <w:r>
              <w:t>夏妍妍</w:t>
            </w:r>
          </w:p>
        </w:tc>
        <w:tc>
          <w:tcPr>
            <w:tcW w:w="1000" w:type="pct"/>
          </w:tcPr>
          <w:p w14:paraId="334EE33F" w14:textId="77777777" w:rsidR="00E57DAA" w:rsidRDefault="00AC4185" w:rsidP="00C25422">
            <w:pPr>
              <w:pStyle w:val="92"/>
            </w:pPr>
            <w:r>
              <w:t>010-85172818</w:t>
            </w:r>
          </w:p>
        </w:tc>
      </w:tr>
    </w:tbl>
    <w:p w14:paraId="23C7D9A0" w14:textId="77777777" w:rsidR="00E57DAA" w:rsidRDefault="00E57DAA" w:rsidP="00C25422">
      <w:pPr>
        <w:pStyle w:val="92"/>
      </w:pPr>
    </w:p>
    <w:p w14:paraId="44F493AF" w14:textId="77777777" w:rsidR="00E57DAA" w:rsidRDefault="00AC4185" w:rsidP="00C25422">
      <w:pPr>
        <w:pStyle w:val="92"/>
      </w:pPr>
      <w:r>
        <w:t>上述中介机构发生变更的情况</w:t>
      </w:r>
    </w:p>
    <w:sdt>
      <w:sdtPr>
        <w:rPr>
          <w:rFonts w:cs="Times New Roman" w:hint="eastAsia"/>
          <w:bCs/>
          <w:kern w:val="2"/>
          <w:szCs w:val="21"/>
        </w:rPr>
        <w:alias w:val="是否适用：中介机构发生变更的情况[双击切换]"/>
        <w:tag w:val="_GBC_406adc2f253341959c4229009060293e"/>
        <w:id w:val="-606815361"/>
        <w:placeholder>
          <w:docPart w:val="GBC22222222222222222222222222222"/>
        </w:placeholder>
      </w:sdtPr>
      <w:sdtEndPr/>
      <w:sdtContent>
        <w:p w14:paraId="75D28221"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27D718DC" w14:textId="77777777" w:rsidR="00E57DAA" w:rsidRDefault="00E57DAA">
      <w:pPr>
        <w:rPr>
          <w:szCs w:val="21"/>
        </w:rPr>
      </w:pPr>
    </w:p>
    <w:p w14:paraId="01E186EB" w14:textId="77777777" w:rsidR="00E57DAA" w:rsidRDefault="00AC4185">
      <w:pPr>
        <w:pStyle w:val="4"/>
        <w:numPr>
          <w:ilvl w:val="0"/>
          <w:numId w:val="55"/>
        </w:numPr>
        <w:ind w:left="425" w:hanging="425"/>
        <w:rPr>
          <w:rFonts w:ascii="宋体" w:hAnsi="宋体" w:cs="宋体"/>
          <w:kern w:val="0"/>
          <w:szCs w:val="24"/>
        </w:rPr>
      </w:pPr>
      <w:r>
        <w:rPr>
          <w:rFonts w:ascii="宋体" w:hAnsi="宋体" w:cs="宋体" w:hint="eastAsia"/>
          <w:kern w:val="0"/>
          <w:szCs w:val="24"/>
        </w:rPr>
        <w:t>报告期末募集资金使用情况</w:t>
      </w:r>
    </w:p>
    <w:sdt>
      <w:sdtPr>
        <w:rPr>
          <w:rFonts w:cs="Times New Roman" w:hint="eastAsia"/>
          <w:bCs/>
          <w:kern w:val="2"/>
          <w:szCs w:val="21"/>
        </w:rPr>
        <w:alias w:val="是否适用：报告期末募集资金使用情况[双击切换]"/>
        <w:tag w:val="_GBC_5bfa849717394dc0ad442fda41b0c67f"/>
        <w:id w:val="1807194349"/>
        <w:placeholder>
          <w:docPart w:val="GBC22222222222222222222222222222"/>
        </w:placeholder>
      </w:sdtPr>
      <w:sdtEndPr/>
      <w:sdtContent>
        <w:p w14:paraId="4401946D"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w:instrText>
          </w:r>
          <w:r>
            <w:rPr>
              <w:rFonts w:cs="Times New Roman" w:hint="eastAsia"/>
              <w:bCs/>
              <w:kern w:val="2"/>
              <w:szCs w:val="21"/>
            </w:rPr>
            <w:instrText>MACROBUTTON  SnrToggleCheckbox √适用</w:instrText>
          </w:r>
          <w:r>
            <w:rPr>
              <w:rFonts w:cs="Times New Roman"/>
              <w:bCs/>
              <w:kern w:val="2"/>
              <w:szCs w:val="21"/>
            </w:rPr>
            <w:instrText xml:space="preserve">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0BA7F624" w14:textId="77777777" w:rsidR="00E57DAA" w:rsidRDefault="00AC4185">
      <w:pPr>
        <w:jc w:val="right"/>
        <w:rPr>
          <w:szCs w:val="21"/>
        </w:rPr>
      </w:pPr>
      <w:r>
        <w:rPr>
          <w:rFonts w:hint="eastAsia"/>
          <w:szCs w:val="21"/>
        </w:rPr>
        <w:t>单位</w:t>
      </w:r>
      <w:r>
        <w:rPr>
          <w:szCs w:val="21"/>
        </w:rPr>
        <w:t>:</w:t>
      </w:r>
      <w:sdt>
        <w:sdtPr>
          <w:rPr>
            <w:szCs w:val="21"/>
          </w:rPr>
          <w:alias w:val="单位：报告期末募集资金使用情况"/>
          <w:tag w:val="_GBC_89f379bc57be4b8e931b55b2cc76212e"/>
          <w:id w:val="48050257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亿元</w:t>
          </w:r>
        </w:sdtContent>
      </w:sdt>
      <w:r>
        <w:rPr>
          <w:rFonts w:hint="eastAsia"/>
          <w:szCs w:val="21"/>
        </w:rPr>
        <w:t xml:space="preserve">  币种</w:t>
      </w:r>
      <w:r>
        <w:rPr>
          <w:szCs w:val="21"/>
        </w:rPr>
        <w:t>:</w:t>
      </w:r>
      <w:sdt>
        <w:sdtPr>
          <w:rPr>
            <w:szCs w:val="21"/>
          </w:rPr>
          <w:alias w:val="币种：报告期末募集资金使用情况"/>
          <w:tag w:val="_GBC_11c03ab8e01c4f559c9935ed6251987b"/>
          <w:id w:val="20889648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992"/>
        <w:gridCol w:w="993"/>
        <w:gridCol w:w="709"/>
        <w:gridCol w:w="1136"/>
        <w:gridCol w:w="1136"/>
        <w:gridCol w:w="1451"/>
      </w:tblGrid>
      <w:tr w:rsidR="00E57DAA" w14:paraId="1ADE0DFB" w14:textId="77777777" w:rsidTr="00D2158E">
        <w:sdt>
          <w:sdtPr>
            <w:rPr>
              <w:rFonts w:ascii="Arial" w:hAnsi="Arial" w:cs="Times New Roman"/>
              <w:bCs/>
              <w:szCs w:val="21"/>
            </w:rPr>
            <w:tag w:val="_PLD_dee2f8093b3b4d749703e356482b028e"/>
            <w:id w:val="-1881016154"/>
          </w:sdtPr>
          <w:sdtEndPr/>
          <w:sdtContent>
            <w:tc>
              <w:tcPr>
                <w:tcW w:w="1363" w:type="pct"/>
                <w:vAlign w:val="center"/>
              </w:tcPr>
              <w:p w14:paraId="459A73B5" w14:textId="77777777" w:rsidR="00E57DAA" w:rsidRDefault="00AC4185">
                <w:pPr>
                  <w:jc w:val="center"/>
                  <w:rPr>
                    <w:rFonts w:ascii="Arial" w:hAnsi="Arial" w:cs="Times New Roman"/>
                    <w:bCs/>
                    <w:szCs w:val="21"/>
                  </w:rPr>
                </w:pPr>
                <w:r>
                  <w:rPr>
                    <w:rFonts w:ascii="Arial" w:hAnsi="Arial" w:cs="Times New Roman"/>
                    <w:bCs/>
                    <w:szCs w:val="21"/>
                  </w:rPr>
                  <w:t>债券名称</w:t>
                </w:r>
              </w:p>
            </w:tc>
          </w:sdtContent>
        </w:sdt>
        <w:sdt>
          <w:sdtPr>
            <w:rPr>
              <w:rFonts w:ascii="Arial" w:hAnsi="Arial" w:cs="Times New Roman" w:hint="eastAsia"/>
              <w:bCs/>
              <w:szCs w:val="21"/>
            </w:rPr>
            <w:tag w:val="_PLD_3ac5aca17fd24662947ff8d86bb1706f"/>
            <w:id w:val="1505326984"/>
          </w:sdtPr>
          <w:sdtEndPr/>
          <w:sdtContent>
            <w:tc>
              <w:tcPr>
                <w:tcW w:w="562" w:type="pct"/>
                <w:vAlign w:val="center"/>
              </w:tcPr>
              <w:p w14:paraId="5155BC2C" w14:textId="77777777" w:rsidR="00E57DAA" w:rsidRDefault="00AC4185">
                <w:pPr>
                  <w:jc w:val="center"/>
                  <w:rPr>
                    <w:rFonts w:ascii="Arial" w:hAnsi="Arial" w:cs="Times New Roman"/>
                    <w:bCs/>
                    <w:szCs w:val="21"/>
                  </w:rPr>
                </w:pPr>
                <w:r>
                  <w:rPr>
                    <w:rFonts w:ascii="Arial" w:hAnsi="Arial" w:cs="Times New Roman" w:hint="eastAsia"/>
                    <w:bCs/>
                    <w:szCs w:val="21"/>
                  </w:rPr>
                  <w:t>募集资金总金额</w:t>
                </w:r>
              </w:p>
            </w:tc>
          </w:sdtContent>
        </w:sdt>
        <w:sdt>
          <w:sdtPr>
            <w:rPr>
              <w:rFonts w:ascii="Arial" w:hAnsi="Arial" w:cs="Times New Roman" w:hint="eastAsia"/>
              <w:bCs/>
              <w:szCs w:val="21"/>
            </w:rPr>
            <w:tag w:val="_PLD_be7f027aa2814674bff74f7c6a101e78"/>
            <w:id w:val="-370533891"/>
          </w:sdtPr>
          <w:sdtEndPr/>
          <w:sdtContent>
            <w:tc>
              <w:tcPr>
                <w:tcW w:w="563" w:type="pct"/>
                <w:vAlign w:val="center"/>
              </w:tcPr>
              <w:p w14:paraId="6120C085" w14:textId="77777777" w:rsidR="00E57DAA" w:rsidRDefault="00AC4185">
                <w:pPr>
                  <w:jc w:val="center"/>
                  <w:rPr>
                    <w:rFonts w:ascii="Arial" w:hAnsi="Arial" w:cs="Times New Roman"/>
                    <w:bCs/>
                    <w:szCs w:val="21"/>
                  </w:rPr>
                </w:pPr>
                <w:r>
                  <w:rPr>
                    <w:rFonts w:ascii="Arial" w:hAnsi="Arial" w:cs="Times New Roman" w:hint="eastAsia"/>
                    <w:bCs/>
                    <w:szCs w:val="21"/>
                  </w:rPr>
                  <w:t>已使用金额</w:t>
                </w:r>
              </w:p>
            </w:tc>
          </w:sdtContent>
        </w:sdt>
        <w:sdt>
          <w:sdtPr>
            <w:rPr>
              <w:rFonts w:ascii="Arial" w:hAnsi="Arial" w:cs="Times New Roman" w:hint="eastAsia"/>
              <w:bCs/>
              <w:szCs w:val="21"/>
            </w:rPr>
            <w:tag w:val="_PLD_1782934a9e104651a2e6b518769d183f"/>
            <w:id w:val="1048801344"/>
          </w:sdtPr>
          <w:sdtEndPr/>
          <w:sdtContent>
            <w:tc>
              <w:tcPr>
                <w:tcW w:w="402" w:type="pct"/>
                <w:vAlign w:val="center"/>
              </w:tcPr>
              <w:p w14:paraId="408694AB" w14:textId="77777777" w:rsidR="00E57DAA" w:rsidRDefault="00AC4185">
                <w:pPr>
                  <w:jc w:val="center"/>
                  <w:rPr>
                    <w:rFonts w:ascii="Arial" w:hAnsi="Arial" w:cs="Times New Roman"/>
                    <w:bCs/>
                    <w:szCs w:val="21"/>
                  </w:rPr>
                </w:pPr>
                <w:r>
                  <w:rPr>
                    <w:rFonts w:ascii="Arial" w:hAnsi="Arial" w:cs="Times New Roman" w:hint="eastAsia"/>
                    <w:bCs/>
                    <w:szCs w:val="21"/>
                  </w:rPr>
                  <w:t>未使用金额</w:t>
                </w:r>
              </w:p>
            </w:tc>
          </w:sdtContent>
        </w:sdt>
        <w:sdt>
          <w:sdtPr>
            <w:rPr>
              <w:rFonts w:ascii="Arial" w:hAnsi="Arial" w:cs="Times New Roman" w:hint="eastAsia"/>
              <w:bCs/>
              <w:szCs w:val="21"/>
            </w:rPr>
            <w:tag w:val="_PLD_7fd5fb5e596546ffa27ad392a4694c9b"/>
            <w:id w:val="-1374604060"/>
          </w:sdtPr>
          <w:sdtEndPr/>
          <w:sdtContent>
            <w:tc>
              <w:tcPr>
                <w:tcW w:w="644" w:type="pct"/>
                <w:vAlign w:val="center"/>
              </w:tcPr>
              <w:p w14:paraId="0602429C" w14:textId="77777777" w:rsidR="00E57DAA" w:rsidRDefault="00AC4185">
                <w:pPr>
                  <w:jc w:val="center"/>
                  <w:rPr>
                    <w:rFonts w:ascii="Arial" w:hAnsi="Arial" w:cs="Times New Roman"/>
                    <w:bCs/>
                    <w:szCs w:val="21"/>
                  </w:rPr>
                </w:pPr>
                <w:r>
                  <w:rPr>
                    <w:rFonts w:ascii="Arial" w:hAnsi="Arial" w:cs="Times New Roman" w:hint="eastAsia"/>
                    <w:bCs/>
                    <w:szCs w:val="21"/>
                  </w:rPr>
                  <w:t>募集资金专项账户运作情况（如有）</w:t>
                </w:r>
              </w:p>
            </w:tc>
          </w:sdtContent>
        </w:sdt>
        <w:sdt>
          <w:sdtPr>
            <w:rPr>
              <w:rFonts w:ascii="Arial" w:hAnsi="Arial" w:cs="Times New Roman" w:hint="eastAsia"/>
              <w:bCs/>
              <w:szCs w:val="21"/>
            </w:rPr>
            <w:tag w:val="_PLD_9ef0d3f6c71a4a8daa55bcd6332487b8"/>
            <w:id w:val="1549722734"/>
          </w:sdtPr>
          <w:sdtEndPr/>
          <w:sdtContent>
            <w:tc>
              <w:tcPr>
                <w:tcW w:w="644" w:type="pct"/>
                <w:vAlign w:val="center"/>
              </w:tcPr>
              <w:p w14:paraId="1FC21006" w14:textId="77777777" w:rsidR="00E57DAA" w:rsidRDefault="00AC4185">
                <w:pPr>
                  <w:jc w:val="center"/>
                  <w:rPr>
                    <w:rFonts w:ascii="Arial" w:hAnsi="Arial" w:cs="Times New Roman"/>
                    <w:bCs/>
                    <w:szCs w:val="21"/>
                  </w:rPr>
                </w:pPr>
                <w:r>
                  <w:rPr>
                    <w:rFonts w:ascii="Arial" w:hAnsi="Arial" w:cs="Times New Roman" w:hint="eastAsia"/>
                    <w:bCs/>
                    <w:szCs w:val="21"/>
                  </w:rPr>
                  <w:t>募集资金违规使用的整改情况（如有）</w:t>
                </w:r>
              </w:p>
            </w:tc>
          </w:sdtContent>
        </w:sdt>
        <w:sdt>
          <w:sdtPr>
            <w:rPr>
              <w:rFonts w:ascii="Arial" w:hAnsi="Arial" w:cs="Times New Roman" w:hint="eastAsia"/>
              <w:bCs/>
              <w:szCs w:val="21"/>
            </w:rPr>
            <w:tag w:val="_PLD_ae4b6dc45c6046eeb4d116cfc3ded7b7"/>
            <w:id w:val="-909230781"/>
          </w:sdtPr>
          <w:sdtEndPr/>
          <w:sdtContent>
            <w:tc>
              <w:tcPr>
                <w:tcW w:w="823" w:type="pct"/>
                <w:vAlign w:val="center"/>
              </w:tcPr>
              <w:p w14:paraId="72ED763E" w14:textId="77777777" w:rsidR="00E57DAA" w:rsidRDefault="00AC4185">
                <w:pPr>
                  <w:jc w:val="center"/>
                  <w:rPr>
                    <w:rFonts w:ascii="Arial" w:hAnsi="Arial" w:cs="Times New Roman"/>
                    <w:bCs/>
                    <w:szCs w:val="21"/>
                  </w:rPr>
                </w:pPr>
                <w:r>
                  <w:rPr>
                    <w:rFonts w:ascii="Arial" w:hAnsi="Arial" w:cs="Times New Roman" w:hint="eastAsia"/>
                    <w:bCs/>
                    <w:szCs w:val="21"/>
                  </w:rPr>
                  <w:t>是否与募集说明书承诺的用途、使用计划及其他约定一致</w:t>
                </w:r>
              </w:p>
            </w:tc>
          </w:sdtContent>
        </w:sdt>
      </w:tr>
      <w:tr w:rsidR="00E57DAA" w14:paraId="115C356D" w14:textId="77777777" w:rsidTr="00D2158E">
        <w:tc>
          <w:tcPr>
            <w:tcW w:w="1363" w:type="pct"/>
            <w:vAlign w:val="center"/>
          </w:tcPr>
          <w:p w14:paraId="53CB078F" w14:textId="77777777" w:rsidR="00E57DAA" w:rsidRDefault="00AC4185">
            <w:pPr>
              <w:rPr>
                <w:rFonts w:cs="Times New Roman"/>
                <w:bCs/>
                <w:szCs w:val="21"/>
              </w:rPr>
            </w:pPr>
            <w:r>
              <w:t>中国中材国际工程股份有限公司 2021 年面向专业投资者公开发行公司债券（第一期）</w:t>
            </w:r>
          </w:p>
        </w:tc>
        <w:tc>
          <w:tcPr>
            <w:tcW w:w="562" w:type="pct"/>
            <w:vAlign w:val="center"/>
          </w:tcPr>
          <w:p w14:paraId="2EEDEDB0" w14:textId="77777777" w:rsidR="00E57DAA" w:rsidRDefault="00AC4185">
            <w:pPr>
              <w:jc w:val="right"/>
              <w:rPr>
                <w:rFonts w:cs="Times New Roman"/>
                <w:bCs/>
                <w:szCs w:val="21"/>
              </w:rPr>
            </w:pPr>
            <w:r>
              <w:t>5</w:t>
            </w:r>
          </w:p>
        </w:tc>
        <w:tc>
          <w:tcPr>
            <w:tcW w:w="563" w:type="pct"/>
            <w:vAlign w:val="center"/>
          </w:tcPr>
          <w:p w14:paraId="78C452A0" w14:textId="77777777" w:rsidR="00E57DAA" w:rsidRDefault="00AC4185">
            <w:pPr>
              <w:jc w:val="right"/>
              <w:rPr>
                <w:rFonts w:cs="Times New Roman"/>
                <w:bCs/>
                <w:szCs w:val="21"/>
              </w:rPr>
            </w:pPr>
            <w:r>
              <w:t>5</w:t>
            </w:r>
          </w:p>
        </w:tc>
        <w:tc>
          <w:tcPr>
            <w:tcW w:w="402" w:type="pct"/>
            <w:vAlign w:val="center"/>
          </w:tcPr>
          <w:p w14:paraId="1EA2AE3A" w14:textId="77777777" w:rsidR="00E57DAA" w:rsidRDefault="00AC4185">
            <w:pPr>
              <w:jc w:val="right"/>
              <w:rPr>
                <w:rFonts w:cs="Times New Roman"/>
                <w:bCs/>
                <w:szCs w:val="21"/>
              </w:rPr>
            </w:pPr>
            <w:r>
              <w:t>0</w:t>
            </w:r>
          </w:p>
        </w:tc>
        <w:tc>
          <w:tcPr>
            <w:tcW w:w="644" w:type="pct"/>
            <w:vAlign w:val="center"/>
          </w:tcPr>
          <w:p w14:paraId="6202A256" w14:textId="77777777" w:rsidR="00E57DAA" w:rsidRDefault="00AC4185">
            <w:pPr>
              <w:rPr>
                <w:rFonts w:cs="Times New Roman"/>
                <w:bCs/>
                <w:szCs w:val="21"/>
              </w:rPr>
            </w:pPr>
            <w:r>
              <w:t>无</w:t>
            </w:r>
          </w:p>
        </w:tc>
        <w:tc>
          <w:tcPr>
            <w:tcW w:w="644" w:type="pct"/>
            <w:vAlign w:val="center"/>
          </w:tcPr>
          <w:p w14:paraId="1A1AB115" w14:textId="77777777" w:rsidR="00E57DAA" w:rsidRDefault="00AC4185">
            <w:pPr>
              <w:rPr>
                <w:rFonts w:cs="Times New Roman"/>
                <w:bCs/>
                <w:szCs w:val="21"/>
              </w:rPr>
            </w:pPr>
            <w:r>
              <w:t>无</w:t>
            </w:r>
          </w:p>
        </w:tc>
        <w:sdt>
          <w:sdtPr>
            <w:rPr>
              <w:rFonts w:cs="Times New Roman" w:hint="eastAsia"/>
              <w:bCs/>
              <w:szCs w:val="21"/>
            </w:rPr>
            <w:alias w:val="报告期末募集资金使用情况明细_是否与募集说明书承诺的用途、使用计划及其他约定一致"/>
            <w:tag w:val="_GBC_ca4f37b37ff4437cb92b814b31ba09cb"/>
            <w:id w:val="2043323112"/>
            <w:comboBox>
              <w:listItem w:displayText="是" w:value="是"/>
              <w:listItem w:displayText="否" w:value="否"/>
            </w:comboBox>
          </w:sdtPr>
          <w:sdtEndPr/>
          <w:sdtContent>
            <w:tc>
              <w:tcPr>
                <w:tcW w:w="823" w:type="pct"/>
                <w:vAlign w:val="center"/>
              </w:tcPr>
              <w:p w14:paraId="0D08456E" w14:textId="77777777" w:rsidR="00E57DAA" w:rsidRDefault="00AC4185">
                <w:pPr>
                  <w:rPr>
                    <w:rFonts w:cs="Times New Roman"/>
                    <w:bCs/>
                    <w:szCs w:val="21"/>
                  </w:rPr>
                </w:pPr>
                <w:r>
                  <w:rPr>
                    <w:rFonts w:cs="Times New Roman" w:hint="eastAsia"/>
                    <w:bCs/>
                    <w:szCs w:val="21"/>
                  </w:rPr>
                  <w:t>是</w:t>
                </w:r>
              </w:p>
            </w:tc>
          </w:sdtContent>
        </w:sdt>
      </w:tr>
    </w:tbl>
    <w:p w14:paraId="197A4D5F" w14:textId="77777777" w:rsidR="00E57DAA" w:rsidRDefault="00E57DAA" w:rsidP="00C25422">
      <w:pPr>
        <w:pStyle w:val="92"/>
      </w:pPr>
    </w:p>
    <w:p w14:paraId="03F706E3" w14:textId="77777777" w:rsidR="00E57DAA" w:rsidRDefault="00AC4185">
      <w:pPr>
        <w:rPr>
          <w:rFonts w:hAnsi="Arial" w:cs="Times New Roman"/>
          <w:bCs/>
          <w:kern w:val="2"/>
          <w:szCs w:val="21"/>
        </w:rPr>
      </w:pPr>
      <w:r>
        <w:rPr>
          <w:rFonts w:hAnsi="Arial" w:cs="Times New Roman" w:hint="eastAsia"/>
          <w:bCs/>
          <w:kern w:val="2"/>
          <w:szCs w:val="21"/>
        </w:rPr>
        <w:t>募集资金用于建设项目的进展情况及运营效益</w:t>
      </w:r>
    </w:p>
    <w:sdt>
      <w:sdtPr>
        <w:rPr>
          <w:szCs w:val="21"/>
        </w:rPr>
        <w:alias w:val="是否适用：募集资金用于建设项目的进展情况及运营效益[双击切换]"/>
        <w:tag w:val="_GBC_80d98802e5144cc8a2360c64630d77c1"/>
        <w:id w:val="-141815253"/>
        <w:placeholder>
          <w:docPart w:val="GBC22222222222222222222222222222"/>
        </w:placeholder>
      </w:sdtPr>
      <w:sdtEndPr/>
      <w:sdtContent>
        <w:p w14:paraId="36CFEFFB" w14:textId="77777777" w:rsidR="00E57DAA" w:rsidRDefault="00AC4185">
          <w:pPr>
            <w:rPr>
              <w:rFonts w:cs="Times New Roman"/>
              <w:bCs/>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364EE4" w14:textId="77777777" w:rsidR="00E57DAA" w:rsidRDefault="00E57DAA">
      <w:pPr>
        <w:rPr>
          <w:rFonts w:cs="Times New Roman"/>
          <w:bCs/>
          <w:kern w:val="2"/>
          <w:szCs w:val="21"/>
        </w:rPr>
      </w:pPr>
    </w:p>
    <w:p w14:paraId="587D7172" w14:textId="77777777" w:rsidR="00E57DAA" w:rsidRDefault="00AC4185">
      <w:pPr>
        <w:rPr>
          <w:rFonts w:hAnsi="Arial" w:cs="Times New Roman"/>
          <w:bCs/>
          <w:kern w:val="2"/>
          <w:szCs w:val="21"/>
        </w:rPr>
      </w:pPr>
      <w:r>
        <w:rPr>
          <w:rFonts w:hAnsi="Arial" w:cs="Times New Roman" w:hint="eastAsia"/>
          <w:bCs/>
          <w:kern w:val="2"/>
          <w:szCs w:val="21"/>
        </w:rPr>
        <w:t>报告期内变更上述债券募集资金用途的说明</w:t>
      </w:r>
    </w:p>
    <w:sdt>
      <w:sdtPr>
        <w:rPr>
          <w:szCs w:val="21"/>
        </w:rPr>
        <w:alias w:val="是否适用：报告期内变更上述债券募集资金用途的说明 [双击切换]"/>
        <w:tag w:val="_GBC_7fab15946d6947bea688ca5fbdb5d673"/>
        <w:id w:val="1379209272"/>
        <w:placeholder>
          <w:docPart w:val="GBC22222222222222222222222222222"/>
        </w:placeholder>
      </w:sdtPr>
      <w:sdtEndPr/>
      <w:sdtContent>
        <w:p w14:paraId="5F75FC7A" w14:textId="77777777" w:rsidR="00E57DAA" w:rsidRDefault="00AC4185">
          <w:pPr>
            <w:rPr>
              <w:rFonts w:cs="Times New Roman"/>
              <w:bCs/>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63BAE6" w14:textId="77777777" w:rsidR="00E57DAA" w:rsidRDefault="00E57DAA">
      <w:pPr>
        <w:rPr>
          <w:rFonts w:cs="Times New Roman"/>
          <w:bCs/>
          <w:kern w:val="2"/>
          <w:szCs w:val="21"/>
        </w:rPr>
      </w:pPr>
    </w:p>
    <w:p w14:paraId="2905D695" w14:textId="77777777" w:rsidR="00E57DAA" w:rsidRDefault="00AC4185">
      <w:pPr>
        <w:adjustRightInd w:val="0"/>
        <w:snapToGrid w:val="0"/>
        <w:rPr>
          <w:rFonts w:hAnsi="Arial" w:cs="Times New Roman"/>
          <w:bCs/>
          <w:kern w:val="2"/>
          <w:szCs w:val="21"/>
        </w:rPr>
      </w:pPr>
      <w:r>
        <w:rPr>
          <w:rFonts w:ascii="Arial" w:hAnsi="Arial" w:cs="Times New Roman" w:hint="eastAsia"/>
          <w:bCs/>
          <w:kern w:val="2"/>
          <w:szCs w:val="21"/>
        </w:rPr>
        <w:t>其他</w:t>
      </w:r>
      <w:r>
        <w:rPr>
          <w:rFonts w:hAnsi="Arial" w:cs="Times New Roman" w:hint="eastAsia"/>
          <w:bCs/>
          <w:kern w:val="2"/>
          <w:szCs w:val="21"/>
        </w:rPr>
        <w:t>说明</w:t>
      </w:r>
    </w:p>
    <w:sdt>
      <w:sdtPr>
        <w:rPr>
          <w:rFonts w:hAnsi="Arial" w:cs="Times New Roman"/>
          <w:bCs/>
          <w:kern w:val="2"/>
          <w:szCs w:val="21"/>
        </w:rPr>
        <w:alias w:val="是否适用：报告期末募集资金使用情况其他说明[双击切换]"/>
        <w:tag w:val="_GBC_d86b4dacccce4ec9b9ab25d66d2a6efe"/>
        <w:id w:val="2082009485"/>
        <w:placeholder>
          <w:docPart w:val="GBC22222222222222222222222222222"/>
        </w:placeholder>
      </w:sdtPr>
      <w:sdtEndPr/>
      <w:sdtContent>
        <w:p w14:paraId="6005E17A" w14:textId="77777777" w:rsidR="00E57DAA" w:rsidRDefault="00AC4185">
          <w:pPr>
            <w:adjustRightInd w:val="0"/>
            <w:snapToGrid w:val="0"/>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5CA7ECDF" w14:textId="77777777" w:rsidR="00E57DAA" w:rsidRDefault="00E57DAA">
      <w:pPr>
        <w:rPr>
          <w:rFonts w:cs="Times New Roman"/>
          <w:b/>
          <w:bCs/>
          <w:kern w:val="2"/>
          <w:szCs w:val="21"/>
        </w:rPr>
      </w:pPr>
    </w:p>
    <w:p w14:paraId="313701E7" w14:textId="77777777" w:rsidR="00E57DAA" w:rsidRDefault="00AC4185">
      <w:pPr>
        <w:pStyle w:val="4"/>
        <w:numPr>
          <w:ilvl w:val="0"/>
          <w:numId w:val="55"/>
        </w:numPr>
        <w:ind w:left="425" w:hanging="425"/>
        <w:rPr>
          <w:rFonts w:ascii="宋体" w:hAnsi="宋体" w:cs="宋体"/>
          <w:kern w:val="0"/>
          <w:szCs w:val="24"/>
        </w:rPr>
      </w:pPr>
      <w:r>
        <w:rPr>
          <w:rFonts w:ascii="宋体" w:hAnsi="宋体" w:cs="宋体" w:hint="eastAsia"/>
          <w:kern w:val="0"/>
          <w:szCs w:val="24"/>
        </w:rPr>
        <w:t>信用评级结果调整</w:t>
      </w:r>
      <w:r>
        <w:rPr>
          <w:rFonts w:ascii="宋体" w:eastAsia="宋体" w:hAnsi="宋体" w:cs="宋体" w:hint="eastAsia"/>
          <w:kern w:val="0"/>
          <w:szCs w:val="24"/>
        </w:rPr>
        <w:t>情况</w:t>
      </w:r>
    </w:p>
    <w:bookmarkStart w:id="148" w:name="_Hlk89419436" w:displacedByCustomXml="next"/>
    <w:sdt>
      <w:sdtPr>
        <w:rPr>
          <w:rFonts w:cs="Times New Roman" w:hint="eastAsia"/>
          <w:bCs/>
          <w:color w:val="000000" w:themeColor="text1"/>
          <w:kern w:val="2"/>
          <w:szCs w:val="21"/>
        </w:rPr>
        <w:alias w:val="是否适用：公司债券评级情况[双击切换]"/>
        <w:tag w:val="_GBC_345df0453cf941d0a16bc6d740748aa0"/>
        <w:id w:val="601533804"/>
        <w:placeholder>
          <w:docPart w:val="GBC22222222222222222222222222222"/>
        </w:placeholder>
      </w:sdtPr>
      <w:sdtEndPr/>
      <w:sdtContent>
        <w:p w14:paraId="2650BB0F" w14:textId="77777777" w:rsidR="00E57DAA" w:rsidRDefault="00AC4185">
          <w:pPr>
            <w:rPr>
              <w:rFonts w:cs="Times New Roman"/>
              <w:bCs/>
              <w:color w:val="000000" w:themeColor="text1"/>
              <w:kern w:val="2"/>
              <w:szCs w:val="2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0224F483" w14:textId="77777777" w:rsidR="00E57DAA" w:rsidRDefault="00E57DAA">
      <w:pPr>
        <w:rPr>
          <w:color w:val="000000" w:themeColor="text1"/>
          <w:szCs w:val="21"/>
        </w:rPr>
      </w:pPr>
    </w:p>
    <w:p w14:paraId="5EC4F2B2" w14:textId="77777777" w:rsidR="00E57DAA" w:rsidRDefault="00AC4185">
      <w:pPr>
        <w:adjustRightInd w:val="0"/>
        <w:snapToGrid w:val="0"/>
        <w:rPr>
          <w:rFonts w:hAnsi="Arial" w:cs="Times New Roman"/>
          <w:bCs/>
          <w:kern w:val="2"/>
          <w:szCs w:val="21"/>
        </w:rPr>
      </w:pPr>
      <w:r>
        <w:rPr>
          <w:rFonts w:ascii="Arial" w:hAnsi="Arial" w:cs="Times New Roman" w:hint="eastAsia"/>
          <w:bCs/>
          <w:kern w:val="2"/>
          <w:szCs w:val="21"/>
        </w:rPr>
        <w:t>其他</w:t>
      </w:r>
      <w:r>
        <w:rPr>
          <w:rFonts w:hAnsi="Arial" w:cs="Times New Roman" w:hint="eastAsia"/>
          <w:bCs/>
          <w:kern w:val="2"/>
          <w:szCs w:val="21"/>
        </w:rPr>
        <w:t>说明</w:t>
      </w:r>
    </w:p>
    <w:sdt>
      <w:sdtPr>
        <w:rPr>
          <w:rFonts w:hAnsi="Arial" w:cs="Times New Roman" w:hint="eastAsia"/>
          <w:bCs/>
          <w:kern w:val="2"/>
          <w:szCs w:val="21"/>
        </w:rPr>
        <w:alias w:val="是否适用：信用评级结果调整情况其他说明[双击切换]"/>
        <w:tag w:val="_GBC_53eb0e10841145bb837764aa43265bb6"/>
        <w:id w:val="1955821728"/>
        <w:placeholder>
          <w:docPart w:val="GBC22222222222222222222222222222"/>
        </w:placeholder>
      </w:sdtPr>
      <w:sdtEndPr/>
      <w:sdtContent>
        <w:p w14:paraId="449F7DD8" w14:textId="77777777" w:rsidR="00E57DAA" w:rsidRDefault="00AC4185">
          <w:pPr>
            <w:adjustRightInd w:val="0"/>
            <w:snapToGrid w:val="0"/>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35AB9685" w14:textId="77777777" w:rsidR="00E57DAA" w:rsidRDefault="00E57DAA">
      <w:pPr>
        <w:rPr>
          <w:rFonts w:cs="Times New Roman"/>
          <w:b/>
          <w:bCs/>
          <w:kern w:val="2"/>
          <w:szCs w:val="21"/>
        </w:rPr>
      </w:pPr>
    </w:p>
    <w:p w14:paraId="12BA37FF" w14:textId="77777777" w:rsidR="00E57DAA" w:rsidRDefault="00AC4185">
      <w:pPr>
        <w:pStyle w:val="4"/>
        <w:numPr>
          <w:ilvl w:val="0"/>
          <w:numId w:val="55"/>
        </w:numPr>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color w:val="000000" w:themeColor="text1"/>
          <w:kern w:val="2"/>
          <w:szCs w:val="21"/>
        </w:rPr>
        <w:alias w:val="是否适用：担保情况、偿债计划及其他偿债保障措施在报告期内的执行情况和变化情况及对债券投资者权益的影响[双击切换]"/>
        <w:tag w:val="_GBC_794f04656be94d198b6d2f05b3c3e272"/>
        <w:id w:val="-298372850"/>
        <w:placeholder>
          <w:docPart w:val="GBC22222222222222222222222222222"/>
        </w:placeholder>
      </w:sdtPr>
      <w:sdtEndPr/>
      <w:sdtContent>
        <w:p w14:paraId="0D02F6A6" w14:textId="77777777" w:rsidR="00E57DAA" w:rsidRDefault="00AC4185">
          <w:pPr>
            <w:rPr>
              <w:rFonts w:cs="Times New Roman"/>
              <w:bCs/>
              <w:color w:val="000000" w:themeColor="text1"/>
              <w:kern w:val="2"/>
              <w:szCs w:val="2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45BCFCF2" w14:textId="77777777" w:rsidR="00E57DAA" w:rsidRDefault="00E57DAA">
      <w:pPr>
        <w:rPr>
          <w:rFonts w:cs="Times New Roman"/>
          <w:bCs/>
          <w:color w:val="000000" w:themeColor="text1"/>
          <w:kern w:val="2"/>
          <w:szCs w:val="21"/>
        </w:rPr>
      </w:pPr>
    </w:p>
    <w:p w14:paraId="7E40A40E" w14:textId="77777777" w:rsidR="00E57DAA" w:rsidRDefault="00AC4185">
      <w:pPr>
        <w:pStyle w:val="4"/>
        <w:numPr>
          <w:ilvl w:val="0"/>
          <w:numId w:val="55"/>
        </w:numPr>
        <w:ind w:left="425" w:hanging="425"/>
        <w:rPr>
          <w:rFonts w:ascii="宋体" w:hAnsi="宋体"/>
        </w:rPr>
      </w:pPr>
      <w:r>
        <w:rPr>
          <w:rFonts w:ascii="宋体" w:hAnsi="宋体" w:hint="eastAsia"/>
        </w:rPr>
        <w:t>公司债券其他情况的说明</w:t>
      </w:r>
    </w:p>
    <w:bookmarkEnd w:id="147" w:displacedByCustomXml="next"/>
    <w:bookmarkEnd w:id="148" w:displacedByCustomXml="next"/>
    <w:bookmarkStart w:id="149" w:name="_Hlk41317937" w:displacedByCustomXml="next"/>
    <w:sdt>
      <w:sdtPr>
        <w:rPr>
          <w:rFonts w:cs="Times New Roman"/>
          <w:bCs/>
          <w:kern w:val="2"/>
          <w:szCs w:val="21"/>
        </w:rPr>
        <w:alias w:val="是否适用：公司债券其他情况的说明[双击切换]"/>
        <w:tag w:val="_GBC_4ba8044ae73b46baa058ab9b64d5ae9b"/>
        <w:id w:val="780617097"/>
        <w:placeholder>
          <w:docPart w:val="GBC22222222222222222222222222222"/>
        </w:placeholder>
      </w:sdtPr>
      <w:sdtEndPr/>
      <w:sdtContent>
        <w:p w14:paraId="10E2AC9E"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sdt>
      <w:sdtPr>
        <w:rPr>
          <w:rFonts w:hint="eastAsia"/>
          <w:szCs w:val="21"/>
        </w:rPr>
        <w:alias w:val="公司债券其他情况的说明"/>
        <w:tag w:val="_GBC_f2b70df239934b86b5cca03a691e04d2"/>
        <w:id w:val="-624536292"/>
        <w:placeholder>
          <w:docPart w:val="GBC22222222222222222222222222222"/>
        </w:placeholder>
      </w:sdtPr>
      <w:sdtEndPr/>
      <w:sdtContent>
        <w:p w14:paraId="6304E2DE" w14:textId="77777777" w:rsidR="00E57DAA" w:rsidRDefault="00AC4185">
          <w:pPr>
            <w:ind w:firstLineChars="200" w:firstLine="420"/>
            <w:rPr>
              <w:rFonts w:cs="Times New Roman"/>
              <w:bCs/>
              <w:kern w:val="2"/>
              <w:szCs w:val="21"/>
            </w:rPr>
          </w:pPr>
          <w:r>
            <w:rPr>
              <w:szCs w:val="21"/>
            </w:rPr>
            <w:t>2021 年 10 月 25 日，公司第七届董事会第九次会议审议通过《关于制定&lt;中国中材国际工程股份有限公司债券信息披露管理制度&gt;的议案》，详见 2021 年 10 月 27 日公司发布的《中国中材国际工程股份有限公司债券信息披露管理制度》。</w:t>
          </w:r>
        </w:p>
      </w:sdtContent>
    </w:sdt>
    <w:bookmarkEnd w:id="149"/>
    <w:p w14:paraId="4D8044B3" w14:textId="77777777" w:rsidR="00E57DAA" w:rsidRDefault="00E57DAA" w:rsidP="00C25422">
      <w:pPr>
        <w:pStyle w:val="92"/>
      </w:pPr>
    </w:p>
    <w:p w14:paraId="4CD87000" w14:textId="77777777" w:rsidR="00E57DAA" w:rsidRDefault="00AC4185">
      <w:pPr>
        <w:pStyle w:val="3"/>
        <w:numPr>
          <w:ilvl w:val="0"/>
          <w:numId w:val="54"/>
        </w:numPr>
      </w:pPr>
      <w:r>
        <w:t>银行间债券市场非金融企业债务融资工具</w:t>
      </w:r>
    </w:p>
    <w:sdt>
      <w:sdtPr>
        <w:rPr>
          <w:rFonts w:hint="eastAsia"/>
          <w:szCs w:val="21"/>
        </w:rPr>
        <w:alias w:val="是否适用：银行间债券市场非金融企业债务融资工具相关情况[双击切换]"/>
        <w:tag w:val="_GBC_21de753b4a2c4a71b5fb871bd9451069"/>
        <w:id w:val="1673445653"/>
        <w:lock w:val="contentLocked"/>
        <w:placeholder>
          <w:docPart w:val="GBC22222222222222222222222222222"/>
        </w:placeholder>
      </w:sdtPr>
      <w:sdtEndPr/>
      <w:sdtContent>
        <w:p w14:paraId="264D9C33"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6E0F19" w14:textId="77777777" w:rsidR="00E57DAA" w:rsidRDefault="00AC4185">
      <w:pPr>
        <w:pStyle w:val="4"/>
        <w:numPr>
          <w:ilvl w:val="0"/>
          <w:numId w:val="56"/>
        </w:numPr>
        <w:ind w:left="425" w:hanging="425"/>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基本情况</w:t>
      </w:r>
    </w:p>
    <w:p w14:paraId="3B45D8E5" w14:textId="77777777" w:rsidR="00E57DAA" w:rsidRDefault="00AC4185">
      <w:pPr>
        <w:jc w:val="right"/>
        <w:rPr>
          <w:szCs w:val="21"/>
        </w:rPr>
      </w:pPr>
      <w:r>
        <w:rPr>
          <w:rFonts w:hint="eastAsia"/>
          <w:szCs w:val="21"/>
        </w:rPr>
        <w:t>单位</w:t>
      </w:r>
      <w:r>
        <w:rPr>
          <w:szCs w:val="21"/>
        </w:rPr>
        <w:t>：</w:t>
      </w:r>
      <w:bookmarkStart w:id="150" w:name="_Hlk74747055"/>
      <w:sdt>
        <w:sdtPr>
          <w:rPr>
            <w:szCs w:val="21"/>
          </w:rPr>
          <w:alias w:val="单位：财务附注：公司债券基本情况"/>
          <w:tag w:val="_GBC_884e3d17a93d4f28a17e15b6f3ab2280"/>
          <w:id w:val="-11956844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szCs w:val="21"/>
            </w:rPr>
            <w:t>亿元</w:t>
          </w:r>
        </w:sdtContent>
      </w:sdt>
      <w:r>
        <w:rPr>
          <w:rFonts w:hint="eastAsia"/>
          <w:szCs w:val="21"/>
        </w:rPr>
        <w:t xml:space="preserve">  币种</w:t>
      </w:r>
      <w:r>
        <w:rPr>
          <w:szCs w:val="21"/>
        </w:rPr>
        <w:t>：</w:t>
      </w:r>
      <w:sdt>
        <w:sdtPr>
          <w:rPr>
            <w:szCs w:val="21"/>
          </w:rPr>
          <w:alias w:val="币种：财务附注：公司债券基本情况"/>
          <w:tag w:val="_GBC_7485d3364dbe460ba4ab478688eb2ad1"/>
          <w:id w:val="990689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992"/>
        <w:gridCol w:w="852"/>
        <w:gridCol w:w="709"/>
        <w:gridCol w:w="709"/>
        <w:gridCol w:w="711"/>
        <w:gridCol w:w="570"/>
        <w:gridCol w:w="709"/>
        <w:gridCol w:w="566"/>
        <w:gridCol w:w="424"/>
        <w:gridCol w:w="471"/>
        <w:gridCol w:w="424"/>
        <w:gridCol w:w="415"/>
      </w:tblGrid>
      <w:tr w:rsidR="00E57DAA" w14:paraId="4C72740C" w14:textId="77777777">
        <w:bookmarkEnd w:id="150" w:displacedByCustomXml="next"/>
        <w:sdt>
          <w:sdtPr>
            <w:tag w:val="_PLD_8f0a05f67a83409b99fda919cd29213d"/>
            <w:id w:val="-162943381"/>
          </w:sdtPr>
          <w:sdtEndPr/>
          <w:sdtContent>
            <w:tc>
              <w:tcPr>
                <w:tcW w:w="720" w:type="pct"/>
                <w:vAlign w:val="center"/>
              </w:tcPr>
              <w:p w14:paraId="019EA67B" w14:textId="77777777" w:rsidR="00E57DAA" w:rsidRDefault="00AC4185">
                <w:pPr>
                  <w:jc w:val="center"/>
                  <w:rPr>
                    <w:rFonts w:cs="Times New Roman"/>
                    <w:b/>
                    <w:bCs/>
                    <w:szCs w:val="21"/>
                  </w:rPr>
                </w:pPr>
                <w:r>
                  <w:rPr>
                    <w:rFonts w:hint="eastAsia"/>
                    <w:szCs w:val="21"/>
                  </w:rPr>
                  <w:t>债券名称</w:t>
                </w:r>
              </w:p>
            </w:tc>
          </w:sdtContent>
        </w:sdt>
        <w:sdt>
          <w:sdtPr>
            <w:tag w:val="_PLD_f840e40a8c6e4a3f8eb2abff05004188"/>
            <w:id w:val="-1409215013"/>
          </w:sdtPr>
          <w:sdtEndPr/>
          <w:sdtContent>
            <w:tc>
              <w:tcPr>
                <w:tcW w:w="561" w:type="pct"/>
                <w:vAlign w:val="center"/>
              </w:tcPr>
              <w:p w14:paraId="3E6575A1" w14:textId="77777777" w:rsidR="00E57DAA" w:rsidRDefault="00AC4185">
                <w:pPr>
                  <w:jc w:val="center"/>
                  <w:rPr>
                    <w:szCs w:val="21"/>
                  </w:rPr>
                </w:pPr>
                <w:r>
                  <w:rPr>
                    <w:rFonts w:hint="eastAsia"/>
                    <w:szCs w:val="21"/>
                  </w:rPr>
                  <w:t>简称</w:t>
                </w:r>
              </w:p>
            </w:tc>
          </w:sdtContent>
        </w:sdt>
        <w:sdt>
          <w:sdtPr>
            <w:tag w:val="_PLD_8052789b8bbd4ddbb695042d9af8f699"/>
            <w:id w:val="-1052383094"/>
          </w:sdtPr>
          <w:sdtEndPr/>
          <w:sdtContent>
            <w:tc>
              <w:tcPr>
                <w:tcW w:w="482" w:type="pct"/>
                <w:vAlign w:val="center"/>
              </w:tcPr>
              <w:p w14:paraId="555E7D20" w14:textId="77777777" w:rsidR="00E57DAA" w:rsidRDefault="00AC4185">
                <w:pPr>
                  <w:jc w:val="center"/>
                  <w:rPr>
                    <w:szCs w:val="21"/>
                  </w:rPr>
                </w:pPr>
                <w:r>
                  <w:rPr>
                    <w:rFonts w:hint="eastAsia"/>
                    <w:szCs w:val="21"/>
                  </w:rPr>
                  <w:t>代码</w:t>
                </w:r>
              </w:p>
            </w:tc>
          </w:sdtContent>
        </w:sdt>
        <w:sdt>
          <w:sdtPr>
            <w:tag w:val="_PLD_8bb0b38ba9994ed99cdf8389dd1f9b11"/>
            <w:id w:val="1481583651"/>
          </w:sdtPr>
          <w:sdtEndPr/>
          <w:sdtContent>
            <w:tc>
              <w:tcPr>
                <w:tcW w:w="401" w:type="pct"/>
                <w:vAlign w:val="center"/>
              </w:tcPr>
              <w:p w14:paraId="24F31F8D" w14:textId="77777777" w:rsidR="00E57DAA" w:rsidRDefault="00AC4185">
                <w:pPr>
                  <w:jc w:val="center"/>
                  <w:rPr>
                    <w:szCs w:val="21"/>
                  </w:rPr>
                </w:pPr>
                <w:r>
                  <w:rPr>
                    <w:rFonts w:hint="eastAsia"/>
                    <w:szCs w:val="21"/>
                  </w:rPr>
                  <w:t>发行日</w:t>
                </w:r>
              </w:p>
            </w:tc>
          </w:sdtContent>
        </w:sdt>
        <w:tc>
          <w:tcPr>
            <w:tcW w:w="401" w:type="pct"/>
            <w:vAlign w:val="center"/>
          </w:tcPr>
          <w:sdt>
            <w:sdtPr>
              <w:rPr>
                <w:rFonts w:hint="eastAsia"/>
              </w:rPr>
              <w:tag w:val="_PLD_1c93ddf494a446caacfe1a94f229a619"/>
              <w:id w:val="-1725599992"/>
            </w:sdtPr>
            <w:sdtEndPr/>
            <w:sdtContent>
              <w:p w14:paraId="1E0E1F6B" w14:textId="77777777" w:rsidR="00E57DAA" w:rsidRDefault="00AC4185">
                <w:pPr>
                  <w:jc w:val="center"/>
                </w:pPr>
                <w:r>
                  <w:rPr>
                    <w:rFonts w:hint="eastAsia"/>
                  </w:rPr>
                  <w:t>起息日</w:t>
                </w:r>
              </w:p>
            </w:sdtContent>
          </w:sdt>
        </w:tc>
        <w:sdt>
          <w:sdtPr>
            <w:tag w:val="_PLD_e571f53a22c844f6a390d396c52a7c81"/>
            <w:id w:val="-369608029"/>
          </w:sdtPr>
          <w:sdtEndPr/>
          <w:sdtContent>
            <w:tc>
              <w:tcPr>
                <w:tcW w:w="402" w:type="pct"/>
                <w:vAlign w:val="center"/>
              </w:tcPr>
              <w:p w14:paraId="1ED81262" w14:textId="77777777" w:rsidR="00E57DAA" w:rsidRDefault="00AC4185">
                <w:pPr>
                  <w:jc w:val="center"/>
                  <w:rPr>
                    <w:szCs w:val="21"/>
                  </w:rPr>
                </w:pPr>
                <w:r>
                  <w:rPr>
                    <w:rFonts w:hint="eastAsia"/>
                    <w:szCs w:val="21"/>
                  </w:rPr>
                  <w:t>到期日</w:t>
                </w:r>
              </w:p>
            </w:tc>
          </w:sdtContent>
        </w:sdt>
        <w:sdt>
          <w:sdtPr>
            <w:tag w:val="_PLD_a234d351ca9640a2aecec10fb026b4a2"/>
            <w:id w:val="-924494391"/>
          </w:sdtPr>
          <w:sdtEndPr/>
          <w:sdtContent>
            <w:tc>
              <w:tcPr>
                <w:tcW w:w="322" w:type="pct"/>
                <w:vAlign w:val="center"/>
              </w:tcPr>
              <w:p w14:paraId="6245EA27" w14:textId="77777777" w:rsidR="00E57DAA" w:rsidRDefault="00AC4185">
                <w:pPr>
                  <w:jc w:val="center"/>
                  <w:rPr>
                    <w:szCs w:val="21"/>
                  </w:rPr>
                </w:pPr>
                <w:r>
                  <w:rPr>
                    <w:rFonts w:hint="eastAsia"/>
                    <w:szCs w:val="21"/>
                  </w:rPr>
                  <w:t>债券余额</w:t>
                </w:r>
              </w:p>
            </w:tc>
          </w:sdtContent>
        </w:sdt>
        <w:sdt>
          <w:sdtPr>
            <w:tag w:val="_PLD_9064aedb5abb4dc38f8caba56b1b3507"/>
            <w:id w:val="1426306421"/>
          </w:sdtPr>
          <w:sdtEndPr/>
          <w:sdtContent>
            <w:tc>
              <w:tcPr>
                <w:tcW w:w="401" w:type="pct"/>
                <w:vAlign w:val="center"/>
              </w:tcPr>
              <w:p w14:paraId="2F34CEFC" w14:textId="77777777" w:rsidR="00E57DAA" w:rsidRDefault="00AC4185">
                <w:pPr>
                  <w:jc w:val="center"/>
                  <w:rPr>
                    <w:szCs w:val="21"/>
                  </w:rPr>
                </w:pPr>
                <w:r>
                  <w:rPr>
                    <w:rFonts w:hint="eastAsia"/>
                    <w:szCs w:val="21"/>
                  </w:rPr>
                  <w:t>利率（%）</w:t>
                </w:r>
              </w:p>
            </w:tc>
          </w:sdtContent>
        </w:sdt>
        <w:sdt>
          <w:sdtPr>
            <w:tag w:val="_PLD_16a3a7fd70dd4a89bde0c9892d103999"/>
            <w:id w:val="-1119215802"/>
          </w:sdtPr>
          <w:sdtEndPr/>
          <w:sdtContent>
            <w:tc>
              <w:tcPr>
                <w:tcW w:w="320" w:type="pct"/>
                <w:vAlign w:val="center"/>
              </w:tcPr>
              <w:p w14:paraId="17F553D8" w14:textId="77777777" w:rsidR="00E57DAA" w:rsidRDefault="00AC4185">
                <w:pPr>
                  <w:jc w:val="center"/>
                  <w:rPr>
                    <w:szCs w:val="21"/>
                  </w:rPr>
                </w:pPr>
                <w:r>
                  <w:rPr>
                    <w:rFonts w:hint="eastAsia"/>
                    <w:szCs w:val="21"/>
                  </w:rPr>
                  <w:t>还本付息方式</w:t>
                </w:r>
              </w:p>
            </w:tc>
          </w:sdtContent>
        </w:sdt>
        <w:sdt>
          <w:sdtPr>
            <w:tag w:val="_PLD_769ac0cce9ce4794b21d2e6cfe529969"/>
            <w:id w:val="-45605116"/>
          </w:sdtPr>
          <w:sdtEndPr/>
          <w:sdtContent>
            <w:tc>
              <w:tcPr>
                <w:tcW w:w="240" w:type="pct"/>
                <w:vAlign w:val="center"/>
              </w:tcPr>
              <w:p w14:paraId="399E4515" w14:textId="77777777" w:rsidR="00E57DAA" w:rsidRDefault="00AC4185">
                <w:pPr>
                  <w:jc w:val="center"/>
                  <w:rPr>
                    <w:szCs w:val="21"/>
                  </w:rPr>
                </w:pPr>
                <w:r>
                  <w:rPr>
                    <w:rFonts w:hint="eastAsia"/>
                    <w:szCs w:val="21"/>
                  </w:rPr>
                  <w:t>交易场所</w:t>
                </w:r>
              </w:p>
            </w:tc>
          </w:sdtContent>
        </w:sdt>
        <w:sdt>
          <w:sdtPr>
            <w:rPr>
              <w:rFonts w:hint="eastAsia"/>
              <w:szCs w:val="21"/>
            </w:rPr>
            <w:tag w:val="_PLD_f9bbde59ac554797a95320642a460be5"/>
            <w:id w:val="817921501"/>
          </w:sdtPr>
          <w:sdtEndPr/>
          <w:sdtContent>
            <w:tc>
              <w:tcPr>
                <w:tcW w:w="267" w:type="pct"/>
                <w:vAlign w:val="center"/>
              </w:tcPr>
              <w:p w14:paraId="07CD18A4" w14:textId="77777777" w:rsidR="00E57DAA" w:rsidRDefault="00AC4185">
                <w:pPr>
                  <w:jc w:val="center"/>
                </w:pPr>
                <w:r>
                  <w:rPr>
                    <w:rFonts w:hint="eastAsia"/>
                    <w:szCs w:val="21"/>
                  </w:rPr>
                  <w:t>投资者适当性安排（如有）</w:t>
                </w:r>
              </w:p>
            </w:tc>
          </w:sdtContent>
        </w:sdt>
        <w:tc>
          <w:tcPr>
            <w:tcW w:w="240" w:type="pct"/>
            <w:vAlign w:val="center"/>
          </w:tcPr>
          <w:sdt>
            <w:sdtPr>
              <w:rPr>
                <w:rFonts w:hint="eastAsia"/>
              </w:rPr>
              <w:tag w:val="_PLD_7adae684e69647689e0a42964f78f8b6"/>
              <w:id w:val="-170643266"/>
            </w:sdtPr>
            <w:sdtEndPr/>
            <w:sdtContent>
              <w:p w14:paraId="6236EF2B" w14:textId="77777777" w:rsidR="00E57DAA" w:rsidRDefault="00AC4185">
                <w:pPr>
                  <w:jc w:val="center"/>
                </w:pPr>
                <w:r>
                  <w:rPr>
                    <w:rFonts w:hint="eastAsia"/>
                  </w:rPr>
                  <w:t>交易机制</w:t>
                </w:r>
              </w:p>
            </w:sdtContent>
          </w:sdt>
        </w:tc>
        <w:sdt>
          <w:sdtPr>
            <w:rPr>
              <w:rFonts w:hint="eastAsia"/>
              <w:szCs w:val="21"/>
            </w:rPr>
            <w:tag w:val="_PLD_8ec47c08dab24217a5e9861e5d0791f5"/>
            <w:id w:val="812916420"/>
          </w:sdtPr>
          <w:sdtEndPr/>
          <w:sdtContent>
            <w:tc>
              <w:tcPr>
                <w:tcW w:w="235" w:type="pct"/>
              </w:tcPr>
              <w:p w14:paraId="7082292C" w14:textId="77777777" w:rsidR="00E57DAA" w:rsidRDefault="00AC4185">
                <w:pPr>
                  <w:jc w:val="center"/>
                </w:pPr>
                <w:r>
                  <w:rPr>
                    <w:rFonts w:hint="eastAsia"/>
                    <w:szCs w:val="21"/>
                  </w:rPr>
                  <w:t>是否存在终止上市交易的风险</w:t>
                </w:r>
              </w:p>
            </w:tc>
          </w:sdtContent>
        </w:sdt>
      </w:tr>
      <w:tr w:rsidR="00E57DAA" w14:paraId="234AE237" w14:textId="77777777">
        <w:tc>
          <w:tcPr>
            <w:tcW w:w="720" w:type="pct"/>
            <w:vAlign w:val="center"/>
          </w:tcPr>
          <w:p w14:paraId="5DDABBF6" w14:textId="77777777" w:rsidR="00E57DAA" w:rsidRDefault="00AC4185">
            <w:pPr>
              <w:jc w:val="both"/>
              <w:rPr>
                <w:szCs w:val="21"/>
              </w:rPr>
            </w:pPr>
            <w:r>
              <w:t>中国中材国际工程股份有限公司2022年度第一期中期票据(科创票据)</w:t>
            </w:r>
          </w:p>
        </w:tc>
        <w:tc>
          <w:tcPr>
            <w:tcW w:w="561" w:type="pct"/>
            <w:vAlign w:val="center"/>
          </w:tcPr>
          <w:p w14:paraId="2B69B0C6" w14:textId="77777777" w:rsidR="00E57DAA" w:rsidRDefault="00AC4185">
            <w:pPr>
              <w:rPr>
                <w:szCs w:val="21"/>
              </w:rPr>
            </w:pPr>
            <w:r>
              <w:t>22中材国工MTN001(科创票据)</w:t>
            </w:r>
          </w:p>
        </w:tc>
        <w:tc>
          <w:tcPr>
            <w:tcW w:w="482" w:type="pct"/>
            <w:vAlign w:val="center"/>
          </w:tcPr>
          <w:p w14:paraId="10AF5EB2" w14:textId="77777777" w:rsidR="00E57DAA" w:rsidRDefault="00AC4185">
            <w:pPr>
              <w:rPr>
                <w:szCs w:val="21"/>
              </w:rPr>
            </w:pPr>
            <w:r>
              <w:t>102282436</w:t>
            </w:r>
          </w:p>
        </w:tc>
        <w:tc>
          <w:tcPr>
            <w:tcW w:w="401" w:type="pct"/>
            <w:vAlign w:val="center"/>
          </w:tcPr>
          <w:p w14:paraId="32D08012" w14:textId="77777777" w:rsidR="00E57DAA" w:rsidRDefault="00AC4185">
            <w:pPr>
              <w:rPr>
                <w:szCs w:val="21"/>
              </w:rPr>
            </w:pPr>
            <w:r>
              <w:t>2022-11-01</w:t>
            </w:r>
          </w:p>
        </w:tc>
        <w:tc>
          <w:tcPr>
            <w:tcW w:w="401" w:type="pct"/>
            <w:vAlign w:val="center"/>
          </w:tcPr>
          <w:p w14:paraId="03CE0F3B" w14:textId="77777777" w:rsidR="00E57DAA" w:rsidRDefault="00AC4185">
            <w:pPr>
              <w:rPr>
                <w:szCs w:val="21"/>
              </w:rPr>
            </w:pPr>
            <w:r>
              <w:t>2022-11-02</w:t>
            </w:r>
          </w:p>
        </w:tc>
        <w:tc>
          <w:tcPr>
            <w:tcW w:w="402" w:type="pct"/>
            <w:vAlign w:val="center"/>
          </w:tcPr>
          <w:p w14:paraId="132AF200" w14:textId="77777777" w:rsidR="00E57DAA" w:rsidRDefault="00AC4185">
            <w:pPr>
              <w:rPr>
                <w:szCs w:val="21"/>
              </w:rPr>
            </w:pPr>
            <w:r>
              <w:t>2025-11-02</w:t>
            </w:r>
          </w:p>
        </w:tc>
        <w:tc>
          <w:tcPr>
            <w:tcW w:w="322" w:type="pct"/>
            <w:vAlign w:val="center"/>
          </w:tcPr>
          <w:p w14:paraId="719299E0" w14:textId="77777777" w:rsidR="00E57DAA" w:rsidRDefault="00AC4185">
            <w:pPr>
              <w:jc w:val="right"/>
              <w:rPr>
                <w:szCs w:val="21"/>
              </w:rPr>
            </w:pPr>
            <w:r>
              <w:t>10</w:t>
            </w:r>
          </w:p>
        </w:tc>
        <w:tc>
          <w:tcPr>
            <w:tcW w:w="401" w:type="pct"/>
            <w:vAlign w:val="center"/>
          </w:tcPr>
          <w:p w14:paraId="20262934" w14:textId="77777777" w:rsidR="00E57DAA" w:rsidRDefault="00AC4185">
            <w:pPr>
              <w:jc w:val="right"/>
              <w:rPr>
                <w:szCs w:val="21"/>
              </w:rPr>
            </w:pPr>
            <w:r>
              <w:t>2.68</w:t>
            </w:r>
          </w:p>
        </w:tc>
        <w:tc>
          <w:tcPr>
            <w:tcW w:w="320" w:type="pct"/>
            <w:vAlign w:val="center"/>
          </w:tcPr>
          <w:p w14:paraId="7307690F" w14:textId="77777777" w:rsidR="00E57DAA" w:rsidRDefault="00AC4185">
            <w:pPr>
              <w:rPr>
                <w:szCs w:val="21"/>
              </w:rPr>
            </w:pPr>
            <w:r>
              <w:t>按年付息、到期一次还本</w:t>
            </w:r>
          </w:p>
        </w:tc>
        <w:tc>
          <w:tcPr>
            <w:tcW w:w="240" w:type="pct"/>
            <w:vAlign w:val="center"/>
          </w:tcPr>
          <w:p w14:paraId="7E5654FD" w14:textId="77777777" w:rsidR="00E57DAA" w:rsidRDefault="00AC4185">
            <w:pPr>
              <w:rPr>
                <w:szCs w:val="21"/>
              </w:rPr>
            </w:pPr>
            <w:r>
              <w:t>银行间</w:t>
            </w:r>
          </w:p>
        </w:tc>
        <w:tc>
          <w:tcPr>
            <w:tcW w:w="267" w:type="pct"/>
            <w:vAlign w:val="center"/>
          </w:tcPr>
          <w:p w14:paraId="51076785" w14:textId="77777777" w:rsidR="00E57DAA" w:rsidRDefault="00AC4185">
            <w:pPr>
              <w:rPr>
                <w:szCs w:val="21"/>
              </w:rPr>
            </w:pPr>
            <w:r>
              <w:rPr>
                <w:rFonts w:hint="eastAsia"/>
              </w:rPr>
              <w:t>面向机构投资者发行</w:t>
            </w:r>
          </w:p>
        </w:tc>
        <w:tc>
          <w:tcPr>
            <w:tcW w:w="240" w:type="pct"/>
            <w:vAlign w:val="center"/>
          </w:tcPr>
          <w:p w14:paraId="241B2BAA" w14:textId="77777777" w:rsidR="00E57DAA" w:rsidRDefault="00AC4185">
            <w:pPr>
              <w:rPr>
                <w:szCs w:val="21"/>
              </w:rPr>
            </w:pPr>
            <w:r>
              <w:t>询价</w:t>
            </w:r>
          </w:p>
        </w:tc>
        <w:sdt>
          <w:sdtPr>
            <w:rPr>
              <w:szCs w:val="21"/>
            </w:rPr>
            <w:alias w:val="公司债券基本情况明细_是否存在终止上市交易的风险 "/>
            <w:tag w:val="_GBC_84566e03e8f34420b9b1e1fc13683b26"/>
            <w:id w:val="-1777629312"/>
            <w:comboBox>
              <w:listItem w:displayText="是" w:value="是"/>
              <w:listItem w:displayText="否" w:value="否"/>
            </w:comboBox>
          </w:sdtPr>
          <w:sdtEndPr/>
          <w:sdtContent>
            <w:tc>
              <w:tcPr>
                <w:tcW w:w="235" w:type="pct"/>
                <w:vAlign w:val="center"/>
              </w:tcPr>
              <w:p w14:paraId="4166E423" w14:textId="77777777" w:rsidR="00E57DAA" w:rsidRDefault="00AC4185">
                <w:pPr>
                  <w:rPr>
                    <w:szCs w:val="21"/>
                  </w:rPr>
                </w:pPr>
                <w:r>
                  <w:rPr>
                    <w:szCs w:val="21"/>
                  </w:rPr>
                  <w:t>否</w:t>
                </w:r>
              </w:p>
            </w:tc>
          </w:sdtContent>
        </w:sdt>
      </w:tr>
      <w:tr w:rsidR="00E57DAA" w14:paraId="2AAB2195" w14:textId="77777777">
        <w:tc>
          <w:tcPr>
            <w:tcW w:w="720" w:type="pct"/>
            <w:vAlign w:val="center"/>
          </w:tcPr>
          <w:p w14:paraId="0AD5271C" w14:textId="77777777" w:rsidR="00E57DAA" w:rsidRPr="00FE3205" w:rsidRDefault="00AC4185">
            <w:pPr>
              <w:jc w:val="both"/>
            </w:pPr>
            <w:r w:rsidRPr="00FE3205">
              <w:t>中国中材国际工程股份有限公司202</w:t>
            </w:r>
            <w:r w:rsidRPr="00FE3205">
              <w:rPr>
                <w:rFonts w:hint="eastAsia"/>
              </w:rPr>
              <w:t>4</w:t>
            </w:r>
            <w:r w:rsidRPr="00FE3205">
              <w:t>年度第一期</w:t>
            </w:r>
            <w:r w:rsidRPr="00FE3205">
              <w:rPr>
                <w:rFonts w:hint="eastAsia"/>
              </w:rPr>
              <w:t>超短期融资券</w:t>
            </w:r>
          </w:p>
        </w:tc>
        <w:tc>
          <w:tcPr>
            <w:tcW w:w="561" w:type="pct"/>
            <w:vAlign w:val="center"/>
          </w:tcPr>
          <w:p w14:paraId="2E4A0975" w14:textId="77777777" w:rsidR="00E57DAA" w:rsidRPr="00FE3205" w:rsidRDefault="00AC4185">
            <w:r w:rsidRPr="00FE3205">
              <w:rPr>
                <w:rFonts w:hint="eastAsia"/>
              </w:rPr>
              <w:t>24中材国工SCP001</w:t>
            </w:r>
          </w:p>
        </w:tc>
        <w:tc>
          <w:tcPr>
            <w:tcW w:w="482" w:type="pct"/>
            <w:vAlign w:val="center"/>
          </w:tcPr>
          <w:p w14:paraId="69598E64" w14:textId="77777777" w:rsidR="00E57DAA" w:rsidRPr="00FE3205" w:rsidRDefault="00AC4185">
            <w:r w:rsidRPr="00FE3205">
              <w:rPr>
                <w:rFonts w:ascii="仿宋" w:hAnsi="仿宋" w:cs="Times New Roman" w:hint="eastAsia"/>
                <w:color w:val="000000"/>
                <w:szCs w:val="21"/>
              </w:rPr>
              <w:t>012480043</w:t>
            </w:r>
          </w:p>
        </w:tc>
        <w:tc>
          <w:tcPr>
            <w:tcW w:w="401" w:type="pct"/>
            <w:vAlign w:val="center"/>
          </w:tcPr>
          <w:p w14:paraId="2BB877B5" w14:textId="77777777" w:rsidR="00E57DAA" w:rsidRPr="00FE3205" w:rsidRDefault="00AC4185">
            <w:pPr>
              <w:spacing w:line="400" w:lineRule="exact"/>
            </w:pPr>
            <w:r w:rsidRPr="00FE3205">
              <w:rPr>
                <w:rFonts w:ascii="仿宋" w:hAnsi="仿宋" w:cs="Times New Roman" w:hint="eastAsia"/>
                <w:color w:val="000000"/>
                <w:szCs w:val="21"/>
              </w:rPr>
              <w:t>2024-01-04</w:t>
            </w:r>
          </w:p>
        </w:tc>
        <w:tc>
          <w:tcPr>
            <w:tcW w:w="401" w:type="pct"/>
            <w:vAlign w:val="center"/>
          </w:tcPr>
          <w:p w14:paraId="5ED52B60" w14:textId="77777777" w:rsidR="00E57DAA" w:rsidRPr="00FE3205" w:rsidRDefault="00AC4185">
            <w:pPr>
              <w:spacing w:line="400" w:lineRule="exact"/>
              <w:jc w:val="center"/>
            </w:pPr>
            <w:r w:rsidRPr="00FE3205">
              <w:rPr>
                <w:rFonts w:ascii="仿宋" w:hAnsi="仿宋" w:cs="Times New Roman" w:hint="eastAsia"/>
                <w:color w:val="000000"/>
                <w:szCs w:val="21"/>
              </w:rPr>
              <w:t>2024-01-05</w:t>
            </w:r>
          </w:p>
        </w:tc>
        <w:tc>
          <w:tcPr>
            <w:tcW w:w="402" w:type="pct"/>
            <w:vAlign w:val="center"/>
          </w:tcPr>
          <w:p w14:paraId="32EDECCC" w14:textId="77777777" w:rsidR="00E57DAA" w:rsidRPr="00FE3205" w:rsidRDefault="00AC4185">
            <w:pPr>
              <w:spacing w:line="400" w:lineRule="exact"/>
              <w:jc w:val="center"/>
            </w:pPr>
            <w:r w:rsidRPr="00FE3205">
              <w:rPr>
                <w:rFonts w:ascii="仿宋" w:hAnsi="仿宋" w:cs="Times New Roman" w:hint="eastAsia"/>
                <w:color w:val="000000"/>
                <w:szCs w:val="21"/>
              </w:rPr>
              <w:t>2024-04-03</w:t>
            </w:r>
          </w:p>
        </w:tc>
        <w:tc>
          <w:tcPr>
            <w:tcW w:w="322" w:type="pct"/>
            <w:vAlign w:val="center"/>
          </w:tcPr>
          <w:p w14:paraId="6CA22FAA" w14:textId="77777777" w:rsidR="00E57DAA" w:rsidRPr="00FE3205" w:rsidRDefault="00AC4185">
            <w:pPr>
              <w:jc w:val="right"/>
            </w:pPr>
            <w:r w:rsidRPr="00FE3205">
              <w:rPr>
                <w:rFonts w:hint="eastAsia"/>
              </w:rPr>
              <w:t>10</w:t>
            </w:r>
          </w:p>
        </w:tc>
        <w:tc>
          <w:tcPr>
            <w:tcW w:w="401" w:type="pct"/>
            <w:vAlign w:val="center"/>
          </w:tcPr>
          <w:p w14:paraId="250B79A1" w14:textId="77777777" w:rsidR="00E57DAA" w:rsidRPr="00FE3205" w:rsidRDefault="00AC4185">
            <w:pPr>
              <w:jc w:val="right"/>
            </w:pPr>
            <w:r w:rsidRPr="00FE3205">
              <w:rPr>
                <w:rFonts w:hint="eastAsia"/>
              </w:rPr>
              <w:t>2.31</w:t>
            </w:r>
          </w:p>
        </w:tc>
        <w:tc>
          <w:tcPr>
            <w:tcW w:w="320" w:type="pct"/>
            <w:vAlign w:val="center"/>
          </w:tcPr>
          <w:p w14:paraId="4445EC7B" w14:textId="77777777" w:rsidR="00E57DAA" w:rsidRPr="00FE3205" w:rsidRDefault="00AC4185">
            <w:r w:rsidRPr="00FE3205">
              <w:rPr>
                <w:rFonts w:ascii="仿宋" w:hAnsi="仿宋" w:cs="Times New Roman" w:hint="eastAsia"/>
                <w:color w:val="000000"/>
                <w:szCs w:val="21"/>
              </w:rPr>
              <w:t>到期一次还本付息</w:t>
            </w:r>
          </w:p>
        </w:tc>
        <w:tc>
          <w:tcPr>
            <w:tcW w:w="240" w:type="pct"/>
            <w:vAlign w:val="center"/>
          </w:tcPr>
          <w:p w14:paraId="498E001A" w14:textId="77777777" w:rsidR="00E57DAA" w:rsidRPr="00FE3205" w:rsidRDefault="00AC4185">
            <w:r w:rsidRPr="00FE3205">
              <w:t>银行间</w:t>
            </w:r>
          </w:p>
        </w:tc>
        <w:tc>
          <w:tcPr>
            <w:tcW w:w="267" w:type="pct"/>
            <w:vAlign w:val="center"/>
          </w:tcPr>
          <w:p w14:paraId="67A6C1FB" w14:textId="77777777" w:rsidR="00E57DAA" w:rsidRPr="00FE3205" w:rsidRDefault="00AC4185">
            <w:r w:rsidRPr="00FE3205">
              <w:rPr>
                <w:rFonts w:hint="eastAsia"/>
              </w:rPr>
              <w:t>面向机构投资者发行</w:t>
            </w:r>
          </w:p>
        </w:tc>
        <w:tc>
          <w:tcPr>
            <w:tcW w:w="240" w:type="pct"/>
            <w:vAlign w:val="center"/>
          </w:tcPr>
          <w:p w14:paraId="036CA08A" w14:textId="77777777" w:rsidR="00E57DAA" w:rsidRPr="00FE3205" w:rsidRDefault="00AC4185">
            <w:pPr>
              <w:rPr>
                <w:szCs w:val="21"/>
              </w:rPr>
            </w:pPr>
            <w:r w:rsidRPr="00FE3205">
              <w:t>询价</w:t>
            </w:r>
          </w:p>
        </w:tc>
        <w:tc>
          <w:tcPr>
            <w:tcW w:w="235" w:type="pct"/>
            <w:vAlign w:val="center"/>
          </w:tcPr>
          <w:sdt>
            <w:sdtPr>
              <w:rPr>
                <w:szCs w:val="21"/>
              </w:rPr>
              <w:alias w:val="公司债券基本情况明细_是否存在终止上市交易的风险 "/>
              <w:tag w:val="_GBC_84566e03e8f34420b9b1e1fc13683b26"/>
              <w:id w:val="664981140"/>
              <w:comboBox>
                <w:listItem w:displayText="是" w:value="是"/>
                <w:listItem w:displayText="否" w:value="否"/>
              </w:comboBox>
            </w:sdtPr>
            <w:sdtEndPr/>
            <w:sdtContent>
              <w:p w14:paraId="79578640" w14:textId="77777777" w:rsidR="00E57DAA" w:rsidRPr="00FE3205" w:rsidRDefault="00AC4185">
                <w:pPr>
                  <w:rPr>
                    <w:szCs w:val="21"/>
                  </w:rPr>
                </w:pPr>
                <w:r w:rsidRPr="00FE3205">
                  <w:rPr>
                    <w:szCs w:val="21"/>
                  </w:rPr>
                  <w:t>否</w:t>
                </w:r>
              </w:p>
            </w:sdtContent>
          </w:sdt>
          <w:p w14:paraId="2DC64754" w14:textId="77777777" w:rsidR="00E57DAA" w:rsidRPr="00FE3205" w:rsidRDefault="00E57DAA">
            <w:pPr>
              <w:rPr>
                <w:szCs w:val="21"/>
              </w:rPr>
            </w:pPr>
          </w:p>
        </w:tc>
      </w:tr>
    </w:tbl>
    <w:p w14:paraId="02341039" w14:textId="77777777" w:rsidR="00E57DAA" w:rsidRDefault="00E57DAA" w:rsidP="00C25422">
      <w:pPr>
        <w:pStyle w:val="92"/>
      </w:pPr>
    </w:p>
    <w:p w14:paraId="225F0BF0" w14:textId="77777777" w:rsidR="00E57DAA" w:rsidRDefault="00AC4185" w:rsidP="00C25422">
      <w:pPr>
        <w:pStyle w:val="92"/>
      </w:pPr>
      <w:r>
        <w:rPr>
          <w:rFonts w:hint="eastAsia"/>
        </w:rPr>
        <w:t>公司对债券终止上市交易风险的应对措施</w:t>
      </w:r>
    </w:p>
    <w:bookmarkStart w:id="151" w:name="_Hlk74747078" w:displacedByCustomXml="next"/>
    <w:sdt>
      <w:sdtPr>
        <w:rPr>
          <w:rFonts w:cs="Times New Roman"/>
          <w:bCs/>
          <w:color w:val="000000" w:themeColor="text1"/>
          <w:kern w:val="2"/>
          <w:szCs w:val="21"/>
        </w:rPr>
        <w:alias w:val="是否适用：公司对债券终止上市交易风险的应对措施 [双击切换]"/>
        <w:tag w:val="_GBC_2de6d814ee254b998011ec6444899566"/>
        <w:id w:val="-1621370649"/>
        <w:placeholder>
          <w:docPart w:val="GBC22222222222222222222222222222"/>
        </w:placeholder>
      </w:sdtPr>
      <w:sdtEndPr/>
      <w:sdtContent>
        <w:p w14:paraId="3359B6A1" w14:textId="77777777" w:rsidR="00E57DAA" w:rsidRDefault="00AC4185">
          <w:pPr>
            <w:rPr>
              <w:color w:val="000000" w:themeColor="text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bookmarkEnd w:id="151"/>
    <w:p w14:paraId="13C01110" w14:textId="77777777" w:rsidR="00E57DAA" w:rsidRDefault="00E57DAA">
      <w:pPr>
        <w:rPr>
          <w:rFonts w:cs="Times New Roman"/>
          <w:bCs/>
          <w:color w:val="000000" w:themeColor="text1"/>
          <w:kern w:val="2"/>
          <w:szCs w:val="21"/>
        </w:rPr>
      </w:pPr>
    </w:p>
    <w:p w14:paraId="4A5B4CBB" w14:textId="77777777" w:rsidR="00E57DAA" w:rsidRDefault="00AC4185" w:rsidP="00C25422">
      <w:pPr>
        <w:pStyle w:val="92"/>
      </w:pPr>
      <w:r>
        <w:t>逾期未偿还债券</w:t>
      </w:r>
    </w:p>
    <w:bookmarkStart w:id="152" w:name="_Hlk74747105" w:displacedByCustomXml="next"/>
    <w:sdt>
      <w:sdtPr>
        <w:rPr>
          <w:rFonts w:hint="eastAsia"/>
        </w:rPr>
        <w:alias w:val="是否适用：逾期未偿还债券[双击切换]"/>
        <w:tag w:val="_GBC_502ef5710173482aa35621b500abcb28"/>
        <w:id w:val="2047715325"/>
        <w:placeholder>
          <w:docPart w:val="GBC22222222222222222222222222222"/>
        </w:placeholder>
      </w:sdtPr>
      <w:sdtEndPr/>
      <w:sdtContent>
        <w:p w14:paraId="2B9B8B6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2"/>
    <w:p w14:paraId="0940F193" w14:textId="77777777" w:rsidR="00E57DAA" w:rsidRDefault="00E57DAA">
      <w:pPr>
        <w:rPr>
          <w:rFonts w:cs="Times New Roman"/>
          <w:bCs/>
          <w:kern w:val="2"/>
          <w:szCs w:val="21"/>
        </w:rPr>
      </w:pPr>
    </w:p>
    <w:p w14:paraId="1B805C7C" w14:textId="77777777" w:rsidR="00E57DAA" w:rsidRDefault="00AC4185">
      <w:pPr>
        <w:rPr>
          <w:rFonts w:ascii="Arial" w:hAnsi="Arial" w:cs="Times New Roman"/>
          <w:bCs/>
          <w:kern w:val="2"/>
          <w:szCs w:val="21"/>
        </w:rPr>
      </w:pPr>
      <w:r>
        <w:rPr>
          <w:rFonts w:ascii="Arial" w:hAnsi="Arial" w:cs="Times New Roman" w:hint="eastAsia"/>
          <w:bCs/>
          <w:kern w:val="2"/>
          <w:szCs w:val="21"/>
        </w:rPr>
        <w:t>报告期内债券付息兑付情况</w:t>
      </w:r>
    </w:p>
    <w:bookmarkStart w:id="153" w:name="_Hlk89419795" w:displacedByCustomXml="next"/>
    <w:sdt>
      <w:sdtPr>
        <w:rPr>
          <w:rFonts w:cs="Times New Roman"/>
          <w:bCs/>
          <w:kern w:val="2"/>
          <w:szCs w:val="21"/>
        </w:rPr>
        <w:alias w:val="是否适用：公司债券付息兑付情况 [双击切换]"/>
        <w:tag w:val="_GBC_bb3e496ba9644bd4a816b75f0eb0797a"/>
        <w:id w:val="118499699"/>
        <w:placeholder>
          <w:docPart w:val="GBC22222222222222222222222222222"/>
        </w:placeholder>
      </w:sdtPr>
      <w:sdtEndPr/>
      <w:sdtContent>
        <w:p w14:paraId="2668D0D9"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292"/>
      </w:tblGrid>
      <w:tr w:rsidR="00E57DAA" w14:paraId="5461DEDD" w14:textId="77777777">
        <w:sdt>
          <w:sdtPr>
            <w:rPr>
              <w:rFonts w:ascii="Arial" w:hAnsi="Arial" w:cs="Times New Roman"/>
              <w:bCs/>
              <w:szCs w:val="21"/>
            </w:rPr>
            <w:tag w:val="_PLD_4d86024aa55d4cb7a8f2744d3311a9f0"/>
            <w:id w:val="-2106563894"/>
          </w:sdtPr>
          <w:sdtEndPr/>
          <w:sdtContent>
            <w:tc>
              <w:tcPr>
                <w:tcW w:w="2568" w:type="pct"/>
              </w:tcPr>
              <w:p w14:paraId="1E20D978" w14:textId="77777777" w:rsidR="00E57DAA" w:rsidRDefault="00AC4185">
                <w:pPr>
                  <w:jc w:val="center"/>
                  <w:rPr>
                    <w:rFonts w:ascii="Arial" w:hAnsi="Arial" w:cs="Times New Roman"/>
                    <w:bCs/>
                    <w:szCs w:val="21"/>
                  </w:rPr>
                </w:pPr>
                <w:r>
                  <w:rPr>
                    <w:rFonts w:ascii="Arial" w:hAnsi="Arial" w:cs="Times New Roman"/>
                    <w:bCs/>
                    <w:szCs w:val="21"/>
                  </w:rPr>
                  <w:t>债券名称</w:t>
                </w:r>
              </w:p>
            </w:tc>
          </w:sdtContent>
        </w:sdt>
        <w:sdt>
          <w:sdtPr>
            <w:rPr>
              <w:rFonts w:ascii="Arial" w:hAnsi="Arial" w:cs="Times New Roman" w:hint="eastAsia"/>
              <w:bCs/>
              <w:szCs w:val="21"/>
            </w:rPr>
            <w:tag w:val="_PLD_6edcb5c3fa7a4aeca0113adf49facab9"/>
            <w:id w:val="1011886203"/>
          </w:sdtPr>
          <w:sdtEndPr/>
          <w:sdtContent>
            <w:tc>
              <w:tcPr>
                <w:tcW w:w="2432" w:type="pct"/>
              </w:tcPr>
              <w:p w14:paraId="6D4392C1" w14:textId="77777777" w:rsidR="00E57DAA" w:rsidRDefault="00AC4185">
                <w:pPr>
                  <w:jc w:val="center"/>
                  <w:rPr>
                    <w:rFonts w:ascii="Arial" w:hAnsi="Arial" w:cs="Times New Roman"/>
                    <w:bCs/>
                    <w:szCs w:val="21"/>
                  </w:rPr>
                </w:pPr>
                <w:r>
                  <w:rPr>
                    <w:rFonts w:ascii="Arial" w:hAnsi="Arial" w:cs="Times New Roman" w:hint="eastAsia"/>
                    <w:bCs/>
                    <w:szCs w:val="21"/>
                  </w:rPr>
                  <w:t>付息兑付情况的说明</w:t>
                </w:r>
              </w:p>
            </w:tc>
          </w:sdtContent>
        </w:sdt>
      </w:tr>
      <w:tr w:rsidR="00E57DAA" w14:paraId="29881780" w14:textId="77777777">
        <w:tc>
          <w:tcPr>
            <w:tcW w:w="2568" w:type="pct"/>
            <w:tcBorders>
              <w:top w:val="single" w:sz="4" w:space="0" w:color="auto"/>
              <w:left w:val="single" w:sz="4" w:space="0" w:color="auto"/>
              <w:bottom w:val="single" w:sz="4" w:space="0" w:color="auto"/>
              <w:right w:val="single" w:sz="4" w:space="0" w:color="auto"/>
            </w:tcBorders>
          </w:tcPr>
          <w:p w14:paraId="49AF9BBA" w14:textId="77777777" w:rsidR="00E57DAA" w:rsidRDefault="00AC4185">
            <w:pPr>
              <w:rPr>
                <w:rFonts w:cs="Times New Roman"/>
                <w:szCs w:val="21"/>
              </w:rPr>
            </w:pPr>
            <w:r>
              <w:t>中国中材国际工程股份有限公司2022年度第一期中期票据(科创票据)</w:t>
            </w:r>
          </w:p>
        </w:tc>
        <w:tc>
          <w:tcPr>
            <w:tcW w:w="2432" w:type="pct"/>
            <w:tcBorders>
              <w:top w:val="single" w:sz="4" w:space="0" w:color="auto"/>
              <w:left w:val="single" w:sz="4" w:space="0" w:color="auto"/>
              <w:bottom w:val="single" w:sz="4" w:space="0" w:color="auto"/>
              <w:right w:val="single" w:sz="4" w:space="0" w:color="auto"/>
            </w:tcBorders>
          </w:tcPr>
          <w:p w14:paraId="70F6076F" w14:textId="77777777" w:rsidR="00E57DAA" w:rsidRDefault="00AC4185">
            <w:pPr>
              <w:rPr>
                <w:rFonts w:cs="Times New Roman"/>
                <w:szCs w:val="21"/>
              </w:rPr>
            </w:pPr>
            <w:r>
              <w:t>报告期内支付利息2680万元，无欠息。</w:t>
            </w:r>
          </w:p>
        </w:tc>
      </w:tr>
      <w:tr w:rsidR="00E57DAA" w14:paraId="084EE585" w14:textId="77777777">
        <w:tc>
          <w:tcPr>
            <w:tcW w:w="2568" w:type="pct"/>
            <w:tcBorders>
              <w:top w:val="single" w:sz="4" w:space="0" w:color="auto"/>
              <w:left w:val="single" w:sz="4" w:space="0" w:color="auto"/>
              <w:bottom w:val="single" w:sz="4" w:space="0" w:color="auto"/>
              <w:right w:val="single" w:sz="4" w:space="0" w:color="auto"/>
            </w:tcBorders>
          </w:tcPr>
          <w:p w14:paraId="64FA4BCF" w14:textId="77777777" w:rsidR="00E57DAA" w:rsidRDefault="00AC4185">
            <w:r>
              <w:t>中国中材国际工程股份有限公司</w:t>
            </w:r>
            <w:r>
              <w:rPr>
                <w:rFonts w:hint="eastAsia"/>
              </w:rPr>
              <w:t>2023年度第一期超短期融资券（科创票据）</w:t>
            </w:r>
          </w:p>
        </w:tc>
        <w:tc>
          <w:tcPr>
            <w:tcW w:w="2432" w:type="pct"/>
            <w:tcBorders>
              <w:top w:val="single" w:sz="4" w:space="0" w:color="auto"/>
              <w:left w:val="single" w:sz="4" w:space="0" w:color="auto"/>
              <w:bottom w:val="single" w:sz="4" w:space="0" w:color="auto"/>
              <w:right w:val="single" w:sz="4" w:space="0" w:color="auto"/>
            </w:tcBorders>
          </w:tcPr>
          <w:p w14:paraId="713B3AE2" w14:textId="77777777" w:rsidR="00E57DAA" w:rsidRDefault="00AC4185">
            <w:r>
              <w:rPr>
                <w:rFonts w:hint="eastAsia"/>
              </w:rPr>
              <w:t>到期一次性还本付息，详见公司《关于 2023年度第一期超短期融资券（科创票据）到期兑付的公告》（临 2023-066 ）</w:t>
            </w:r>
          </w:p>
        </w:tc>
      </w:tr>
      <w:tr w:rsidR="00E57DAA" w14:paraId="771829D0" w14:textId="77777777">
        <w:tc>
          <w:tcPr>
            <w:tcW w:w="2568" w:type="pct"/>
            <w:tcBorders>
              <w:top w:val="single" w:sz="4" w:space="0" w:color="auto"/>
              <w:left w:val="single" w:sz="4" w:space="0" w:color="auto"/>
              <w:bottom w:val="single" w:sz="4" w:space="0" w:color="auto"/>
              <w:right w:val="single" w:sz="4" w:space="0" w:color="auto"/>
            </w:tcBorders>
          </w:tcPr>
          <w:p w14:paraId="55C7C4B4" w14:textId="77777777" w:rsidR="00E57DAA" w:rsidRDefault="00AC4185">
            <w:r>
              <w:t>中国中材国际工程股份有限公司</w:t>
            </w:r>
            <w:r>
              <w:rPr>
                <w:rFonts w:hint="eastAsia"/>
              </w:rPr>
              <w:t>2023年度第二期超短期融资券（科创票据）</w:t>
            </w:r>
          </w:p>
        </w:tc>
        <w:tc>
          <w:tcPr>
            <w:tcW w:w="2432" w:type="pct"/>
            <w:tcBorders>
              <w:top w:val="single" w:sz="4" w:space="0" w:color="auto"/>
              <w:left w:val="single" w:sz="4" w:space="0" w:color="auto"/>
              <w:bottom w:val="single" w:sz="4" w:space="0" w:color="auto"/>
              <w:right w:val="single" w:sz="4" w:space="0" w:color="auto"/>
            </w:tcBorders>
          </w:tcPr>
          <w:p w14:paraId="6BD21FBB" w14:textId="77777777" w:rsidR="00E57DAA" w:rsidRDefault="00AC4185">
            <w:r>
              <w:rPr>
                <w:rFonts w:hint="eastAsia"/>
              </w:rPr>
              <w:t>到期一次性还本付息，详见公司《关于 2023年度第二期超短期融资券（科创票据）到期兑付的公告》（临 2023-080 ）</w:t>
            </w:r>
          </w:p>
        </w:tc>
      </w:tr>
    </w:tbl>
    <w:p w14:paraId="75090B84" w14:textId="77777777" w:rsidR="00E57DAA" w:rsidRDefault="00E57DAA">
      <w:pPr>
        <w:rPr>
          <w:rFonts w:cs="Times New Roman"/>
          <w:kern w:val="2"/>
          <w:szCs w:val="21"/>
        </w:rPr>
      </w:pPr>
    </w:p>
    <w:p w14:paraId="770BCA00" w14:textId="77777777" w:rsidR="00E57DAA" w:rsidRDefault="00AC4185">
      <w:pPr>
        <w:pStyle w:val="4"/>
        <w:numPr>
          <w:ilvl w:val="0"/>
          <w:numId w:val="56"/>
        </w:numPr>
        <w:ind w:left="425" w:hanging="425"/>
        <w:rPr>
          <w:rFonts w:ascii="宋体" w:hAnsi="宋体" w:cs="宋体"/>
          <w:kern w:val="0"/>
          <w:szCs w:val="24"/>
        </w:rPr>
      </w:pPr>
      <w:r>
        <w:rPr>
          <w:rFonts w:ascii="宋体" w:hAnsi="宋体" w:cs="宋体" w:hint="eastAsia"/>
          <w:kern w:val="0"/>
          <w:szCs w:val="24"/>
        </w:rPr>
        <w:t>发行人或投资者选择权条款、投资者保护条款的触发和执行情况</w:t>
      </w:r>
    </w:p>
    <w:bookmarkEnd w:id="153" w:displacedByCustomXml="next"/>
    <w:bookmarkStart w:id="154" w:name="_Hlk74747153" w:displacedByCustomXml="next"/>
    <w:sdt>
      <w:sdtPr>
        <w:rPr>
          <w:rFonts w:cs="Times New Roman"/>
          <w:bCs/>
          <w:kern w:val="2"/>
          <w:szCs w:val="21"/>
        </w:rPr>
        <w:alias w:val="是否适用：发行人或投资者选择权条款、投资者保护条款的触发和执行情况[双击切换]"/>
        <w:tag w:val="_GBC_87a338f81f0049bd9ef19274c17f1002"/>
        <w:id w:val="1216932519"/>
        <w:placeholder>
          <w:docPart w:val="GBC22222222222222222222222222222"/>
        </w:placeholder>
      </w:sdtPr>
      <w:sdtEndPr/>
      <w:sdtContent>
        <w:p w14:paraId="1A51565E"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bookmarkEnd w:id="154"/>
    <w:p w14:paraId="3D6B0B12" w14:textId="77777777" w:rsidR="00E57DAA" w:rsidRDefault="00E57DAA">
      <w:pPr>
        <w:rPr>
          <w:szCs w:val="21"/>
        </w:rPr>
      </w:pPr>
    </w:p>
    <w:p w14:paraId="4E9490D9" w14:textId="77777777" w:rsidR="00E57DAA" w:rsidRDefault="00AC4185">
      <w:pPr>
        <w:pStyle w:val="4"/>
        <w:numPr>
          <w:ilvl w:val="0"/>
          <w:numId w:val="56"/>
        </w:numPr>
        <w:ind w:left="425" w:hanging="425"/>
        <w:rPr>
          <w:rFonts w:ascii="宋体" w:hAnsi="宋体" w:cs="宋体"/>
          <w:kern w:val="0"/>
          <w:szCs w:val="24"/>
        </w:rPr>
      </w:pPr>
      <w:r>
        <w:rPr>
          <w:rFonts w:ascii="宋体" w:hAnsi="宋体" w:cs="宋体"/>
          <w:kern w:val="0"/>
          <w:szCs w:val="24"/>
        </w:rPr>
        <w:t>为债券发行及存续期业务提供服务的中介机构</w:t>
      </w:r>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2485"/>
        <w:gridCol w:w="1703"/>
        <w:gridCol w:w="1108"/>
        <w:gridCol w:w="1763"/>
      </w:tblGrid>
      <w:tr w:rsidR="00E57DAA" w14:paraId="57E33FFE" w14:textId="77777777">
        <w:trPr>
          <w:trHeight w:val="350"/>
        </w:trPr>
        <w:bookmarkStart w:id="155" w:name="_Hlk89419858" w:displacedByCustomXml="next"/>
        <w:sdt>
          <w:sdtPr>
            <w:tag w:val="_PLD_50a236e8702a43e8accc7cda8308a144"/>
            <w:id w:val="-2090065047"/>
          </w:sdtPr>
          <w:sdtEndPr>
            <w:rPr>
              <w:rFonts w:hint="eastAsia"/>
              <w:szCs w:val="21"/>
            </w:rPr>
          </w:sdtEndPr>
          <w:sdtContent>
            <w:tc>
              <w:tcPr>
                <w:tcW w:w="1000" w:type="pct"/>
                <w:vAlign w:val="center"/>
              </w:tcPr>
              <w:p w14:paraId="3485B078" w14:textId="77777777" w:rsidR="00E57DAA" w:rsidRDefault="00AC4185">
                <w:pPr>
                  <w:jc w:val="center"/>
                  <w:rPr>
                    <w:szCs w:val="21"/>
                  </w:rPr>
                </w:pPr>
                <w:r>
                  <w:t>中介</w:t>
                </w:r>
                <w:r>
                  <w:rPr>
                    <w:rFonts w:hint="eastAsia"/>
                    <w:szCs w:val="21"/>
                  </w:rPr>
                  <w:t>机构名称</w:t>
                </w:r>
              </w:p>
            </w:tc>
          </w:sdtContent>
        </w:sdt>
        <w:sdt>
          <w:sdtPr>
            <w:tag w:val="_PLD_40ba3d1e32a145a19d06e895eab3db0d"/>
            <w:id w:val="-908460450"/>
          </w:sdtPr>
          <w:sdtEndPr/>
          <w:sdtContent>
            <w:tc>
              <w:tcPr>
                <w:tcW w:w="1408" w:type="pct"/>
                <w:vAlign w:val="center"/>
              </w:tcPr>
              <w:p w14:paraId="07CFCB0E" w14:textId="77777777" w:rsidR="00E57DAA" w:rsidRDefault="00AC4185">
                <w:pPr>
                  <w:jc w:val="center"/>
                  <w:rPr>
                    <w:szCs w:val="21"/>
                  </w:rPr>
                </w:pPr>
                <w:r>
                  <w:t>办公地址</w:t>
                </w:r>
              </w:p>
            </w:tc>
          </w:sdtContent>
        </w:sdt>
        <w:sdt>
          <w:sdtPr>
            <w:tag w:val="_PLD_a23aa0b83c034b94b7a3e4c49a5edbac"/>
            <w:id w:val="-869682700"/>
          </w:sdtPr>
          <w:sdtEndPr/>
          <w:sdtContent>
            <w:tc>
              <w:tcPr>
                <w:tcW w:w="965" w:type="pct"/>
                <w:vAlign w:val="center"/>
              </w:tcPr>
              <w:p w14:paraId="49AD9B4C" w14:textId="77777777" w:rsidR="00E57DAA" w:rsidRDefault="00AC4185">
                <w:pPr>
                  <w:jc w:val="center"/>
                  <w:rPr>
                    <w:szCs w:val="21"/>
                  </w:rPr>
                </w:pPr>
                <w:r>
                  <w:t>签字会计师姓名</w:t>
                </w:r>
              </w:p>
            </w:tc>
          </w:sdtContent>
        </w:sdt>
        <w:sdt>
          <w:sdtPr>
            <w:tag w:val="_PLD_c942779388564095baf358dbd4f1fdb3"/>
            <w:id w:val="1259569010"/>
          </w:sdtPr>
          <w:sdtEndPr/>
          <w:sdtContent>
            <w:tc>
              <w:tcPr>
                <w:tcW w:w="628" w:type="pct"/>
                <w:vAlign w:val="center"/>
              </w:tcPr>
              <w:p w14:paraId="242B89D4" w14:textId="77777777" w:rsidR="00E57DAA" w:rsidRDefault="00AC4185">
                <w:pPr>
                  <w:jc w:val="center"/>
                  <w:rPr>
                    <w:szCs w:val="21"/>
                  </w:rPr>
                </w:pPr>
                <w:r>
                  <w:t>联系人</w:t>
                </w:r>
              </w:p>
            </w:tc>
          </w:sdtContent>
        </w:sdt>
        <w:sdt>
          <w:sdtPr>
            <w:tag w:val="_PLD_a22f9eb90c8a41db97c7511ff1c511a7"/>
            <w:id w:val="-2101248398"/>
          </w:sdtPr>
          <w:sdtEndPr/>
          <w:sdtContent>
            <w:tc>
              <w:tcPr>
                <w:tcW w:w="1000" w:type="pct"/>
                <w:vAlign w:val="center"/>
              </w:tcPr>
              <w:p w14:paraId="35534DFA" w14:textId="77777777" w:rsidR="00E57DAA" w:rsidRDefault="00AC4185">
                <w:pPr>
                  <w:jc w:val="center"/>
                </w:pPr>
                <w:r>
                  <w:t>联系电话</w:t>
                </w:r>
              </w:p>
            </w:tc>
          </w:sdtContent>
        </w:sdt>
      </w:tr>
      <w:tr w:rsidR="00E57DAA" w14:paraId="5836B5D3" w14:textId="77777777">
        <w:tc>
          <w:tcPr>
            <w:tcW w:w="1000" w:type="pct"/>
          </w:tcPr>
          <w:p w14:paraId="441ADAC0" w14:textId="77777777" w:rsidR="00E57DAA" w:rsidRDefault="00AC4185">
            <w:pPr>
              <w:rPr>
                <w:rFonts w:cs="Times New Roman"/>
                <w:szCs w:val="21"/>
              </w:rPr>
            </w:pPr>
            <w:r>
              <w:t>信永中和会计师事务所</w:t>
            </w:r>
          </w:p>
        </w:tc>
        <w:tc>
          <w:tcPr>
            <w:tcW w:w="1408" w:type="pct"/>
          </w:tcPr>
          <w:p w14:paraId="5546CBAB" w14:textId="77777777" w:rsidR="00E57DAA" w:rsidRDefault="00AC4185">
            <w:pPr>
              <w:rPr>
                <w:rFonts w:cs="Times New Roman"/>
                <w:szCs w:val="21"/>
              </w:rPr>
            </w:pPr>
            <w:r>
              <w:t>北京市东城区朝阳门北大街8号富华大厦A座8层</w:t>
            </w:r>
          </w:p>
        </w:tc>
        <w:tc>
          <w:tcPr>
            <w:tcW w:w="965" w:type="pct"/>
          </w:tcPr>
          <w:p w14:paraId="180049BF" w14:textId="77777777" w:rsidR="00E57DAA" w:rsidRDefault="00AC4185">
            <w:pPr>
              <w:rPr>
                <w:rFonts w:cs="Times New Roman"/>
                <w:szCs w:val="21"/>
              </w:rPr>
            </w:pPr>
            <w:r>
              <w:t>王欣、闫欢、詹 军</w:t>
            </w:r>
          </w:p>
        </w:tc>
        <w:tc>
          <w:tcPr>
            <w:tcW w:w="628" w:type="pct"/>
          </w:tcPr>
          <w:p w14:paraId="5E19EA12" w14:textId="77777777" w:rsidR="00E57DAA" w:rsidRDefault="00AC4185">
            <w:pPr>
              <w:rPr>
                <w:rFonts w:cs="Times New Roman"/>
                <w:szCs w:val="21"/>
              </w:rPr>
            </w:pPr>
            <w:r>
              <w:t>闫欢</w:t>
            </w:r>
          </w:p>
        </w:tc>
        <w:tc>
          <w:tcPr>
            <w:tcW w:w="1000" w:type="pct"/>
          </w:tcPr>
          <w:p w14:paraId="23358B88" w14:textId="77777777" w:rsidR="00E57DAA" w:rsidRDefault="00AC4185">
            <w:pPr>
              <w:rPr>
                <w:rFonts w:cs="Times New Roman"/>
                <w:szCs w:val="21"/>
              </w:rPr>
            </w:pPr>
            <w:r>
              <w:t>13845082422</w:t>
            </w:r>
          </w:p>
        </w:tc>
      </w:tr>
      <w:tr w:rsidR="00E57DAA" w14:paraId="59711F5C" w14:textId="77777777">
        <w:tc>
          <w:tcPr>
            <w:tcW w:w="1000" w:type="pct"/>
          </w:tcPr>
          <w:p w14:paraId="45EA3C30" w14:textId="77777777" w:rsidR="00E57DAA" w:rsidRDefault="00AC4185">
            <w:pPr>
              <w:rPr>
                <w:rFonts w:cs="Times New Roman"/>
                <w:szCs w:val="21"/>
              </w:rPr>
            </w:pPr>
            <w:r>
              <w:t>北京市嘉源律师事务所</w:t>
            </w:r>
          </w:p>
        </w:tc>
        <w:tc>
          <w:tcPr>
            <w:tcW w:w="1408" w:type="pct"/>
          </w:tcPr>
          <w:p w14:paraId="4613E3CA" w14:textId="77777777" w:rsidR="00E57DAA" w:rsidRDefault="00AC4185">
            <w:pPr>
              <w:rPr>
                <w:rFonts w:cs="Times New Roman"/>
                <w:szCs w:val="21"/>
              </w:rPr>
            </w:pPr>
            <w:r>
              <w:t>北京市西城区复兴门内大街158号远洋大厦F408室</w:t>
            </w:r>
          </w:p>
        </w:tc>
        <w:tc>
          <w:tcPr>
            <w:tcW w:w="965" w:type="pct"/>
          </w:tcPr>
          <w:p w14:paraId="04169ADF" w14:textId="77777777" w:rsidR="00E57DAA" w:rsidRDefault="00AC4185">
            <w:pPr>
              <w:rPr>
                <w:rFonts w:cs="Times New Roman"/>
                <w:szCs w:val="21"/>
              </w:rPr>
            </w:pPr>
            <w:r>
              <w:t> </w:t>
            </w:r>
          </w:p>
        </w:tc>
        <w:tc>
          <w:tcPr>
            <w:tcW w:w="628" w:type="pct"/>
          </w:tcPr>
          <w:p w14:paraId="7240125C" w14:textId="77777777" w:rsidR="00E57DAA" w:rsidRDefault="00AC4185">
            <w:pPr>
              <w:rPr>
                <w:rFonts w:cs="Times New Roman"/>
                <w:szCs w:val="21"/>
              </w:rPr>
            </w:pPr>
            <w:r>
              <w:t>张玲</w:t>
            </w:r>
          </w:p>
        </w:tc>
        <w:tc>
          <w:tcPr>
            <w:tcW w:w="1000" w:type="pct"/>
          </w:tcPr>
          <w:p w14:paraId="1F0D39DA" w14:textId="77777777" w:rsidR="00E57DAA" w:rsidRDefault="00AC4185">
            <w:pPr>
              <w:rPr>
                <w:rFonts w:cs="Times New Roman"/>
                <w:szCs w:val="21"/>
              </w:rPr>
            </w:pPr>
            <w:r>
              <w:t>18513175098</w:t>
            </w:r>
          </w:p>
        </w:tc>
      </w:tr>
      <w:tr w:rsidR="00E57DAA" w14:paraId="10DACC24" w14:textId="77777777">
        <w:tc>
          <w:tcPr>
            <w:tcW w:w="1000" w:type="pct"/>
          </w:tcPr>
          <w:p w14:paraId="63CCEAFB" w14:textId="77777777" w:rsidR="00E57DAA" w:rsidRDefault="00AC4185">
            <w:pPr>
              <w:rPr>
                <w:rFonts w:cs="Times New Roman"/>
                <w:szCs w:val="21"/>
              </w:rPr>
            </w:pPr>
            <w:r>
              <w:t>联合资信评估股份有限公司</w:t>
            </w:r>
          </w:p>
        </w:tc>
        <w:tc>
          <w:tcPr>
            <w:tcW w:w="1408" w:type="pct"/>
          </w:tcPr>
          <w:p w14:paraId="475F81DD" w14:textId="77777777" w:rsidR="00E57DAA" w:rsidRDefault="00AC4185">
            <w:pPr>
              <w:rPr>
                <w:rFonts w:cs="Times New Roman"/>
                <w:szCs w:val="21"/>
              </w:rPr>
            </w:pPr>
            <w:r>
              <w:t>天津市南开区水上公园北道38号爱俪园公寓508</w:t>
            </w:r>
          </w:p>
        </w:tc>
        <w:tc>
          <w:tcPr>
            <w:tcW w:w="965" w:type="pct"/>
          </w:tcPr>
          <w:p w14:paraId="3605DD98" w14:textId="77777777" w:rsidR="00E57DAA" w:rsidRDefault="00AC4185">
            <w:pPr>
              <w:rPr>
                <w:rFonts w:cs="Times New Roman"/>
                <w:szCs w:val="21"/>
              </w:rPr>
            </w:pPr>
            <w:r>
              <w:t> </w:t>
            </w:r>
          </w:p>
        </w:tc>
        <w:tc>
          <w:tcPr>
            <w:tcW w:w="628" w:type="pct"/>
          </w:tcPr>
          <w:p w14:paraId="1A12CFB0" w14:textId="77777777" w:rsidR="00E57DAA" w:rsidRDefault="00AC4185">
            <w:pPr>
              <w:rPr>
                <w:rFonts w:cs="Times New Roman"/>
                <w:szCs w:val="21"/>
              </w:rPr>
            </w:pPr>
            <w:r>
              <w:t>夏妍妍</w:t>
            </w:r>
          </w:p>
        </w:tc>
        <w:tc>
          <w:tcPr>
            <w:tcW w:w="1000" w:type="pct"/>
          </w:tcPr>
          <w:p w14:paraId="5EB640A4" w14:textId="77777777" w:rsidR="00E57DAA" w:rsidRDefault="00AC4185">
            <w:pPr>
              <w:rPr>
                <w:rFonts w:cs="Times New Roman"/>
                <w:szCs w:val="21"/>
              </w:rPr>
            </w:pPr>
            <w:r>
              <w:t>010-85172818 </w:t>
            </w:r>
          </w:p>
        </w:tc>
      </w:tr>
    </w:tbl>
    <w:p w14:paraId="34D63E85" w14:textId="77777777" w:rsidR="00E57DAA" w:rsidRDefault="00E57DAA" w:rsidP="00C25422">
      <w:pPr>
        <w:pStyle w:val="92"/>
      </w:pPr>
    </w:p>
    <w:p w14:paraId="1A294C0F" w14:textId="77777777" w:rsidR="00E57DAA" w:rsidRDefault="00AC4185" w:rsidP="00C25422">
      <w:pPr>
        <w:pStyle w:val="92"/>
      </w:pPr>
      <w:r>
        <w:t>上述中介机构发生变更的情况</w:t>
      </w:r>
    </w:p>
    <w:sdt>
      <w:sdtPr>
        <w:rPr>
          <w:rFonts w:cs="Times New Roman" w:hint="eastAsia"/>
          <w:bCs/>
          <w:kern w:val="2"/>
          <w:szCs w:val="21"/>
        </w:rPr>
        <w:alias w:val="是否适用：中介机构发生变更的情况[双击切换]"/>
        <w:tag w:val="_GBC_af3421d92d774567b9855f235dfa5a4c"/>
        <w:id w:val="972102711"/>
        <w:placeholder>
          <w:docPart w:val="GBC22222222222222222222222222222"/>
        </w:placeholder>
      </w:sdtPr>
      <w:sdtEndPr/>
      <w:sdtContent>
        <w:p w14:paraId="3D57A9D3"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671ADD57" w14:textId="77777777" w:rsidR="00E57DAA" w:rsidRDefault="00E57DAA">
      <w:pPr>
        <w:rPr>
          <w:szCs w:val="21"/>
        </w:rPr>
      </w:pPr>
    </w:p>
    <w:p w14:paraId="0CAA3CB5" w14:textId="77777777" w:rsidR="00E57DAA" w:rsidRDefault="00AC4185">
      <w:pPr>
        <w:pStyle w:val="4"/>
        <w:numPr>
          <w:ilvl w:val="0"/>
          <w:numId w:val="56"/>
        </w:numPr>
        <w:ind w:left="425" w:hanging="425"/>
        <w:rPr>
          <w:rFonts w:ascii="宋体" w:hAnsi="宋体" w:cs="宋体"/>
          <w:kern w:val="0"/>
          <w:szCs w:val="24"/>
        </w:rPr>
      </w:pPr>
      <w:r>
        <w:rPr>
          <w:rFonts w:ascii="宋体" w:hAnsi="宋体" w:cs="宋体" w:hint="eastAsia"/>
          <w:kern w:val="0"/>
          <w:szCs w:val="24"/>
        </w:rPr>
        <w:t>报告期末募集资金使用</w:t>
      </w:r>
      <w:r>
        <w:rPr>
          <w:rFonts w:ascii="宋体" w:eastAsia="宋体" w:hAnsi="宋体" w:cs="宋体" w:hint="eastAsia"/>
          <w:kern w:val="0"/>
          <w:szCs w:val="24"/>
        </w:rPr>
        <w:t>情况</w:t>
      </w:r>
    </w:p>
    <w:sdt>
      <w:sdtPr>
        <w:rPr>
          <w:rFonts w:cs="Times New Roman" w:hint="eastAsia"/>
          <w:bCs/>
          <w:kern w:val="2"/>
          <w:szCs w:val="21"/>
        </w:rPr>
        <w:alias w:val="是否适用：报告期末募集资金使用情况[双击切换]"/>
        <w:tag w:val="_GBC_2ae8a079fca5456f8f10767d48bec045"/>
        <w:id w:val="-1435436705"/>
        <w:placeholder>
          <w:docPart w:val="GBC22222222222222222222222222222"/>
        </w:placeholder>
      </w:sdtPr>
      <w:sdtEndPr/>
      <w:sdtContent>
        <w:p w14:paraId="79E7A705"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w:instrText>
          </w:r>
          <w:r>
            <w:rPr>
              <w:rFonts w:cs="Times New Roman" w:hint="eastAsia"/>
              <w:bCs/>
              <w:kern w:val="2"/>
              <w:szCs w:val="21"/>
            </w:rPr>
            <w:instrText>MACROBUTTON  SnrToggleCheckbox √适用</w:instrText>
          </w:r>
          <w:r>
            <w:rPr>
              <w:rFonts w:cs="Times New Roman"/>
              <w:bCs/>
              <w:kern w:val="2"/>
              <w:szCs w:val="21"/>
            </w:rPr>
            <w:instrText xml:space="preserve">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46FF5EA8" w14:textId="77777777" w:rsidR="00E57DAA" w:rsidRDefault="00AC4185">
      <w:pPr>
        <w:jc w:val="right"/>
        <w:rPr>
          <w:szCs w:val="21"/>
        </w:rPr>
      </w:pPr>
      <w:r>
        <w:rPr>
          <w:rFonts w:hint="eastAsia"/>
          <w:szCs w:val="21"/>
        </w:rPr>
        <w:t>单位</w:t>
      </w:r>
      <w:r>
        <w:rPr>
          <w:szCs w:val="21"/>
        </w:rPr>
        <w:t>:</w:t>
      </w:r>
      <w:sdt>
        <w:sdtPr>
          <w:rPr>
            <w:szCs w:val="21"/>
          </w:rPr>
          <w:alias w:val="单位：报告期末募集资金使用情况"/>
          <w:tag w:val="_GBC_077d4430fdf94c6b8aafc3da5e73db06"/>
          <w:id w:val="59366925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亿元</w:t>
          </w:r>
        </w:sdtContent>
      </w:sdt>
      <w:r>
        <w:rPr>
          <w:rFonts w:hint="eastAsia"/>
          <w:szCs w:val="21"/>
        </w:rPr>
        <w:t xml:space="preserve">  币种</w:t>
      </w:r>
      <w:r>
        <w:rPr>
          <w:szCs w:val="21"/>
        </w:rPr>
        <w:t>:</w:t>
      </w:r>
      <w:sdt>
        <w:sdtPr>
          <w:rPr>
            <w:szCs w:val="21"/>
          </w:rPr>
          <w:alias w:val="币种：报告期末募集资金使用情况"/>
          <w:tag w:val="_GBC_baa2c7e021514b788abd910c2a0e2caa"/>
          <w:id w:val="1740802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851"/>
        <w:gridCol w:w="992"/>
        <w:gridCol w:w="849"/>
        <w:gridCol w:w="1056"/>
        <w:gridCol w:w="1072"/>
        <w:gridCol w:w="1445"/>
      </w:tblGrid>
      <w:tr w:rsidR="00E57DAA" w14:paraId="373BF1D1" w14:textId="77777777">
        <w:sdt>
          <w:sdtPr>
            <w:rPr>
              <w:rFonts w:ascii="Arial" w:hAnsi="Arial" w:cs="Times New Roman"/>
              <w:bCs/>
              <w:szCs w:val="21"/>
            </w:rPr>
            <w:tag w:val="_PLD_f7040cff48884f5ca8a5453f3ff0559b"/>
            <w:id w:val="-622763477"/>
          </w:sdtPr>
          <w:sdtEndPr/>
          <w:sdtContent>
            <w:tc>
              <w:tcPr>
                <w:tcW w:w="1445" w:type="pct"/>
                <w:vAlign w:val="center"/>
              </w:tcPr>
              <w:p w14:paraId="4DDF25FA" w14:textId="77777777" w:rsidR="00E57DAA" w:rsidRDefault="00AC4185">
                <w:pPr>
                  <w:jc w:val="center"/>
                  <w:rPr>
                    <w:rFonts w:ascii="Arial" w:hAnsi="Arial" w:cs="Times New Roman"/>
                    <w:bCs/>
                    <w:szCs w:val="21"/>
                  </w:rPr>
                </w:pPr>
                <w:r>
                  <w:rPr>
                    <w:rFonts w:ascii="Arial" w:hAnsi="Arial" w:cs="Times New Roman"/>
                    <w:bCs/>
                    <w:szCs w:val="21"/>
                  </w:rPr>
                  <w:t>债券名称</w:t>
                </w:r>
              </w:p>
            </w:tc>
          </w:sdtContent>
        </w:sdt>
        <w:sdt>
          <w:sdtPr>
            <w:rPr>
              <w:rFonts w:ascii="Arial" w:hAnsi="Arial" w:cs="Times New Roman" w:hint="eastAsia"/>
              <w:bCs/>
              <w:szCs w:val="21"/>
            </w:rPr>
            <w:tag w:val="_PLD_fdd3244a5b664f9682d92e623a4c3dae"/>
            <w:id w:val="1701200444"/>
          </w:sdtPr>
          <w:sdtEndPr/>
          <w:sdtContent>
            <w:tc>
              <w:tcPr>
                <w:tcW w:w="483" w:type="pct"/>
                <w:vAlign w:val="center"/>
              </w:tcPr>
              <w:p w14:paraId="04C0C496" w14:textId="77777777" w:rsidR="00E57DAA" w:rsidRDefault="00AC4185">
                <w:pPr>
                  <w:jc w:val="center"/>
                  <w:rPr>
                    <w:rFonts w:ascii="Arial" w:hAnsi="Arial" w:cs="Times New Roman"/>
                    <w:bCs/>
                    <w:szCs w:val="21"/>
                  </w:rPr>
                </w:pPr>
                <w:r>
                  <w:rPr>
                    <w:rFonts w:ascii="Arial" w:hAnsi="Arial" w:cs="Times New Roman" w:hint="eastAsia"/>
                    <w:bCs/>
                    <w:szCs w:val="21"/>
                  </w:rPr>
                  <w:t>募集资金总金额</w:t>
                </w:r>
              </w:p>
            </w:tc>
          </w:sdtContent>
        </w:sdt>
        <w:sdt>
          <w:sdtPr>
            <w:rPr>
              <w:rFonts w:ascii="Arial" w:hAnsi="Arial" w:cs="Times New Roman" w:hint="eastAsia"/>
              <w:bCs/>
              <w:szCs w:val="21"/>
            </w:rPr>
            <w:tag w:val="_PLD_742ba5574f334a2ab6a9c7c022a5c812"/>
            <w:id w:val="1347372025"/>
          </w:sdtPr>
          <w:sdtEndPr/>
          <w:sdtContent>
            <w:tc>
              <w:tcPr>
                <w:tcW w:w="563" w:type="pct"/>
                <w:vAlign w:val="center"/>
              </w:tcPr>
              <w:p w14:paraId="72425D05" w14:textId="77777777" w:rsidR="00E57DAA" w:rsidRDefault="00AC4185">
                <w:pPr>
                  <w:jc w:val="center"/>
                  <w:rPr>
                    <w:rFonts w:ascii="Arial" w:hAnsi="Arial" w:cs="Times New Roman"/>
                    <w:bCs/>
                    <w:szCs w:val="21"/>
                  </w:rPr>
                </w:pPr>
                <w:r>
                  <w:rPr>
                    <w:rFonts w:ascii="Arial" w:hAnsi="Arial" w:cs="Times New Roman" w:hint="eastAsia"/>
                    <w:bCs/>
                    <w:szCs w:val="21"/>
                  </w:rPr>
                  <w:t>已使用金额</w:t>
                </w:r>
              </w:p>
            </w:tc>
          </w:sdtContent>
        </w:sdt>
        <w:sdt>
          <w:sdtPr>
            <w:rPr>
              <w:rFonts w:ascii="Arial" w:hAnsi="Arial" w:cs="Times New Roman" w:hint="eastAsia"/>
              <w:bCs/>
              <w:szCs w:val="21"/>
            </w:rPr>
            <w:tag w:val="_PLD_99c2779a81bd444fa41e34296c2bf84e"/>
            <w:id w:val="-146288674"/>
          </w:sdtPr>
          <w:sdtEndPr/>
          <w:sdtContent>
            <w:tc>
              <w:tcPr>
                <w:tcW w:w="482" w:type="pct"/>
                <w:vAlign w:val="center"/>
              </w:tcPr>
              <w:p w14:paraId="76F7814C" w14:textId="77777777" w:rsidR="00E57DAA" w:rsidRDefault="00AC4185">
                <w:pPr>
                  <w:jc w:val="center"/>
                  <w:rPr>
                    <w:rFonts w:ascii="Arial" w:hAnsi="Arial" w:cs="Times New Roman"/>
                    <w:bCs/>
                    <w:szCs w:val="21"/>
                  </w:rPr>
                </w:pPr>
                <w:r>
                  <w:rPr>
                    <w:rFonts w:ascii="Arial" w:hAnsi="Arial" w:cs="Times New Roman" w:hint="eastAsia"/>
                    <w:bCs/>
                    <w:szCs w:val="21"/>
                  </w:rPr>
                  <w:t>未使用金额</w:t>
                </w:r>
              </w:p>
            </w:tc>
          </w:sdtContent>
        </w:sdt>
        <w:sdt>
          <w:sdtPr>
            <w:rPr>
              <w:rFonts w:ascii="Arial" w:hAnsi="Arial" w:cs="Times New Roman" w:hint="eastAsia"/>
              <w:bCs/>
              <w:szCs w:val="21"/>
            </w:rPr>
            <w:tag w:val="_PLD_4a1bbeefdba84e2fa089c94c237854d0"/>
            <w:id w:val="-337854443"/>
          </w:sdtPr>
          <w:sdtEndPr/>
          <w:sdtContent>
            <w:tc>
              <w:tcPr>
                <w:tcW w:w="599" w:type="pct"/>
                <w:vAlign w:val="center"/>
              </w:tcPr>
              <w:p w14:paraId="102843D0" w14:textId="77777777" w:rsidR="00E57DAA" w:rsidRDefault="00AC4185">
                <w:pPr>
                  <w:jc w:val="center"/>
                  <w:rPr>
                    <w:rFonts w:ascii="Arial" w:hAnsi="Arial" w:cs="Times New Roman"/>
                    <w:bCs/>
                    <w:szCs w:val="21"/>
                  </w:rPr>
                </w:pPr>
                <w:r>
                  <w:rPr>
                    <w:rFonts w:ascii="Arial" w:hAnsi="Arial" w:cs="Times New Roman" w:hint="eastAsia"/>
                    <w:bCs/>
                    <w:szCs w:val="21"/>
                  </w:rPr>
                  <w:t>募集资金专项账户运作情况（如有）</w:t>
                </w:r>
              </w:p>
            </w:tc>
          </w:sdtContent>
        </w:sdt>
        <w:sdt>
          <w:sdtPr>
            <w:rPr>
              <w:rFonts w:ascii="Arial" w:hAnsi="Arial" w:cs="Times New Roman" w:hint="eastAsia"/>
              <w:bCs/>
              <w:szCs w:val="21"/>
            </w:rPr>
            <w:tag w:val="_PLD_09dba7a041b343658c7e86677587e9b9"/>
            <w:id w:val="1496840217"/>
          </w:sdtPr>
          <w:sdtEndPr/>
          <w:sdtContent>
            <w:tc>
              <w:tcPr>
                <w:tcW w:w="608" w:type="pct"/>
                <w:vAlign w:val="center"/>
              </w:tcPr>
              <w:p w14:paraId="73BE3822" w14:textId="77777777" w:rsidR="00E57DAA" w:rsidRDefault="00AC4185">
                <w:pPr>
                  <w:jc w:val="center"/>
                  <w:rPr>
                    <w:rFonts w:ascii="Arial" w:hAnsi="Arial" w:cs="Times New Roman"/>
                    <w:bCs/>
                    <w:szCs w:val="21"/>
                  </w:rPr>
                </w:pPr>
                <w:r>
                  <w:rPr>
                    <w:rFonts w:ascii="Arial" w:hAnsi="Arial" w:cs="Times New Roman" w:hint="eastAsia"/>
                    <w:bCs/>
                    <w:szCs w:val="21"/>
                  </w:rPr>
                  <w:t>募集资金违规使用的整改情况（如有）</w:t>
                </w:r>
              </w:p>
            </w:tc>
          </w:sdtContent>
        </w:sdt>
        <w:sdt>
          <w:sdtPr>
            <w:rPr>
              <w:rFonts w:ascii="Arial" w:hAnsi="Arial" w:cs="Times New Roman" w:hint="eastAsia"/>
              <w:bCs/>
              <w:szCs w:val="21"/>
            </w:rPr>
            <w:tag w:val="_PLD_9537d67d482b4503aeb1fbb5a3a56834"/>
            <w:id w:val="1472324901"/>
          </w:sdtPr>
          <w:sdtEndPr/>
          <w:sdtContent>
            <w:tc>
              <w:tcPr>
                <w:tcW w:w="820" w:type="pct"/>
                <w:vAlign w:val="center"/>
              </w:tcPr>
              <w:p w14:paraId="637C6BAF" w14:textId="77777777" w:rsidR="00E57DAA" w:rsidRDefault="00AC4185">
                <w:pPr>
                  <w:jc w:val="center"/>
                  <w:rPr>
                    <w:rFonts w:ascii="Arial" w:hAnsi="Arial" w:cs="Times New Roman"/>
                    <w:bCs/>
                    <w:szCs w:val="21"/>
                  </w:rPr>
                </w:pPr>
                <w:r>
                  <w:rPr>
                    <w:rFonts w:ascii="Arial" w:hAnsi="Arial" w:cs="Times New Roman" w:hint="eastAsia"/>
                    <w:bCs/>
                    <w:szCs w:val="21"/>
                  </w:rPr>
                  <w:t>是否与募集说明书承诺的用途、使用计划及其他约定一致</w:t>
                </w:r>
              </w:p>
            </w:tc>
          </w:sdtContent>
        </w:sdt>
      </w:tr>
      <w:tr w:rsidR="00E57DAA" w14:paraId="193D5A94" w14:textId="77777777">
        <w:tc>
          <w:tcPr>
            <w:tcW w:w="1445" w:type="pct"/>
            <w:vAlign w:val="center"/>
          </w:tcPr>
          <w:p w14:paraId="11B89F38" w14:textId="77777777" w:rsidR="00E57DAA" w:rsidRDefault="00AC4185">
            <w:pPr>
              <w:rPr>
                <w:rFonts w:cs="Times New Roman"/>
                <w:bCs/>
                <w:szCs w:val="21"/>
              </w:rPr>
            </w:pPr>
            <w:r>
              <w:t>中国中材国际工程股份有限公司2022年度第一期中期票据(科创票据)</w:t>
            </w:r>
          </w:p>
        </w:tc>
        <w:tc>
          <w:tcPr>
            <w:tcW w:w="483" w:type="pct"/>
            <w:vAlign w:val="center"/>
          </w:tcPr>
          <w:p w14:paraId="72C0D4F9" w14:textId="77777777" w:rsidR="00E57DAA" w:rsidRDefault="00AC4185">
            <w:pPr>
              <w:jc w:val="right"/>
              <w:rPr>
                <w:rFonts w:cs="Times New Roman"/>
                <w:bCs/>
                <w:szCs w:val="21"/>
              </w:rPr>
            </w:pPr>
            <w:r>
              <w:t>10</w:t>
            </w:r>
          </w:p>
        </w:tc>
        <w:tc>
          <w:tcPr>
            <w:tcW w:w="563" w:type="pct"/>
            <w:vAlign w:val="center"/>
          </w:tcPr>
          <w:p w14:paraId="6AB7460C" w14:textId="77777777" w:rsidR="00E57DAA" w:rsidRDefault="00AC4185">
            <w:pPr>
              <w:jc w:val="right"/>
              <w:rPr>
                <w:rFonts w:cs="Times New Roman"/>
                <w:bCs/>
                <w:szCs w:val="21"/>
              </w:rPr>
            </w:pPr>
            <w:r>
              <w:t>10</w:t>
            </w:r>
          </w:p>
        </w:tc>
        <w:tc>
          <w:tcPr>
            <w:tcW w:w="482" w:type="pct"/>
            <w:vAlign w:val="center"/>
          </w:tcPr>
          <w:p w14:paraId="1407224A" w14:textId="77777777" w:rsidR="00E57DAA" w:rsidRDefault="00AC4185">
            <w:pPr>
              <w:jc w:val="right"/>
              <w:rPr>
                <w:rFonts w:cs="Times New Roman"/>
                <w:bCs/>
                <w:szCs w:val="21"/>
              </w:rPr>
            </w:pPr>
            <w:r>
              <w:t>0</w:t>
            </w:r>
          </w:p>
        </w:tc>
        <w:tc>
          <w:tcPr>
            <w:tcW w:w="599" w:type="pct"/>
            <w:vAlign w:val="center"/>
          </w:tcPr>
          <w:p w14:paraId="70BB21E2" w14:textId="77777777" w:rsidR="00E57DAA" w:rsidRDefault="00AC4185">
            <w:pPr>
              <w:rPr>
                <w:rFonts w:cs="Times New Roman"/>
                <w:bCs/>
                <w:szCs w:val="21"/>
              </w:rPr>
            </w:pPr>
            <w:r>
              <w:t>无</w:t>
            </w:r>
          </w:p>
        </w:tc>
        <w:tc>
          <w:tcPr>
            <w:tcW w:w="608" w:type="pct"/>
            <w:vAlign w:val="center"/>
          </w:tcPr>
          <w:p w14:paraId="560FD35C" w14:textId="77777777" w:rsidR="00E57DAA" w:rsidRDefault="00AC4185">
            <w:pPr>
              <w:rPr>
                <w:rFonts w:cs="Times New Roman"/>
                <w:bCs/>
                <w:szCs w:val="21"/>
              </w:rPr>
            </w:pPr>
            <w:r>
              <w:t>无</w:t>
            </w:r>
          </w:p>
        </w:tc>
        <w:sdt>
          <w:sdtPr>
            <w:rPr>
              <w:rFonts w:cs="Times New Roman" w:hint="eastAsia"/>
              <w:bCs/>
              <w:szCs w:val="21"/>
            </w:rPr>
            <w:alias w:val="报告期末募集资金使用情况明细_是否与募集说明书承诺的用途、使用计划及其他约定一致"/>
            <w:tag w:val="_GBC_e3eb7d60d519419ba767f4f20c8a1f3b"/>
            <w:id w:val="854854588"/>
            <w:comboBox>
              <w:listItem w:displayText="是" w:value="是"/>
              <w:listItem w:displayText="否" w:value="否"/>
            </w:comboBox>
          </w:sdtPr>
          <w:sdtEndPr/>
          <w:sdtContent>
            <w:tc>
              <w:tcPr>
                <w:tcW w:w="820" w:type="pct"/>
                <w:vAlign w:val="center"/>
              </w:tcPr>
              <w:p w14:paraId="382C5ECB" w14:textId="77777777" w:rsidR="00E57DAA" w:rsidRDefault="00AC4185">
                <w:pPr>
                  <w:rPr>
                    <w:rFonts w:cs="Times New Roman"/>
                    <w:bCs/>
                    <w:szCs w:val="21"/>
                  </w:rPr>
                </w:pPr>
                <w:r>
                  <w:rPr>
                    <w:rFonts w:cs="Times New Roman" w:hint="eastAsia"/>
                    <w:bCs/>
                    <w:szCs w:val="21"/>
                  </w:rPr>
                  <w:t>是</w:t>
                </w:r>
              </w:p>
            </w:tc>
          </w:sdtContent>
        </w:sdt>
      </w:tr>
    </w:tbl>
    <w:p w14:paraId="61C8A885" w14:textId="77777777" w:rsidR="00E57DAA" w:rsidRDefault="00E57DAA" w:rsidP="00C25422">
      <w:pPr>
        <w:pStyle w:val="92"/>
      </w:pPr>
    </w:p>
    <w:p w14:paraId="69F5DE77" w14:textId="77777777" w:rsidR="00E57DAA" w:rsidRDefault="00AC4185">
      <w:pPr>
        <w:rPr>
          <w:rFonts w:hAnsi="Arial" w:cs="Times New Roman"/>
          <w:bCs/>
          <w:kern w:val="2"/>
          <w:szCs w:val="21"/>
        </w:rPr>
      </w:pPr>
      <w:r>
        <w:rPr>
          <w:rFonts w:hAnsi="Arial" w:cs="Times New Roman" w:hint="eastAsia"/>
          <w:bCs/>
          <w:kern w:val="2"/>
          <w:szCs w:val="21"/>
        </w:rPr>
        <w:t>募集资金用于建设项目的进展情况及运营效益</w:t>
      </w:r>
    </w:p>
    <w:sdt>
      <w:sdtPr>
        <w:rPr>
          <w:szCs w:val="21"/>
        </w:rPr>
        <w:alias w:val="是否适用：募集资金用于建设项目的进展情况及运营效益[双击切换]"/>
        <w:tag w:val="_GBC_889aa778041a40648384b93c0195efa9"/>
        <w:id w:val="-2130303396"/>
        <w:placeholder>
          <w:docPart w:val="GBC22222222222222222222222222222"/>
        </w:placeholder>
      </w:sdtPr>
      <w:sdtEndPr/>
      <w:sdtContent>
        <w:p w14:paraId="18646781" w14:textId="77777777" w:rsidR="00E57DAA" w:rsidRDefault="00AC4185">
          <w:pPr>
            <w:rPr>
              <w:rFonts w:cs="Times New Roman"/>
              <w:bCs/>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E38565" w14:textId="77777777" w:rsidR="00E57DAA" w:rsidRDefault="00E57DAA">
      <w:pPr>
        <w:rPr>
          <w:rFonts w:cs="Times New Roman"/>
          <w:bCs/>
          <w:kern w:val="2"/>
          <w:szCs w:val="21"/>
        </w:rPr>
      </w:pPr>
    </w:p>
    <w:p w14:paraId="5981631C" w14:textId="77777777" w:rsidR="00E57DAA" w:rsidRDefault="00AC4185">
      <w:pPr>
        <w:rPr>
          <w:rFonts w:hAnsi="Arial" w:cs="Times New Roman"/>
          <w:bCs/>
          <w:kern w:val="2"/>
          <w:szCs w:val="21"/>
        </w:rPr>
      </w:pPr>
      <w:r>
        <w:rPr>
          <w:rFonts w:hAnsi="Arial" w:cs="Times New Roman" w:hint="eastAsia"/>
          <w:bCs/>
          <w:kern w:val="2"/>
          <w:szCs w:val="21"/>
        </w:rPr>
        <w:t>报告期内变更上述债券募集资金用途的说明</w:t>
      </w:r>
    </w:p>
    <w:sdt>
      <w:sdtPr>
        <w:rPr>
          <w:szCs w:val="21"/>
        </w:rPr>
        <w:alias w:val="是否适用：报告期内变更上述债券募集资金用途的说明 [双击切换]"/>
        <w:tag w:val="_GBC_f466faf20dc74dc290e3745581c57bea"/>
        <w:id w:val="-338777915"/>
        <w:placeholder>
          <w:docPart w:val="GBC22222222222222222222222222222"/>
        </w:placeholder>
      </w:sdtPr>
      <w:sdtEndPr/>
      <w:sdtContent>
        <w:p w14:paraId="53C406D5" w14:textId="77777777" w:rsidR="00E57DAA" w:rsidRDefault="00AC4185">
          <w:pPr>
            <w:rPr>
              <w:rFonts w:cs="Times New Roman"/>
              <w:bCs/>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46F52B" w14:textId="77777777" w:rsidR="00E57DAA" w:rsidRDefault="00E57DAA">
      <w:pPr>
        <w:rPr>
          <w:rFonts w:cs="Times New Roman"/>
          <w:bCs/>
          <w:kern w:val="2"/>
          <w:szCs w:val="21"/>
        </w:rPr>
      </w:pPr>
    </w:p>
    <w:p w14:paraId="173839A8" w14:textId="77777777" w:rsidR="00E57DAA" w:rsidRDefault="00AC4185">
      <w:pPr>
        <w:adjustRightInd w:val="0"/>
        <w:snapToGrid w:val="0"/>
        <w:rPr>
          <w:rFonts w:hAnsi="Arial" w:cs="Times New Roman"/>
          <w:bCs/>
          <w:kern w:val="2"/>
          <w:szCs w:val="21"/>
        </w:rPr>
      </w:pPr>
      <w:r>
        <w:rPr>
          <w:rFonts w:ascii="Arial" w:hAnsi="Arial" w:cs="Times New Roman" w:hint="eastAsia"/>
          <w:bCs/>
          <w:kern w:val="2"/>
          <w:szCs w:val="21"/>
        </w:rPr>
        <w:t>其他</w:t>
      </w:r>
      <w:r>
        <w:rPr>
          <w:rFonts w:hAnsi="Arial" w:cs="Times New Roman" w:hint="eastAsia"/>
          <w:bCs/>
          <w:kern w:val="2"/>
          <w:szCs w:val="21"/>
        </w:rPr>
        <w:t>说明</w:t>
      </w:r>
    </w:p>
    <w:sdt>
      <w:sdtPr>
        <w:rPr>
          <w:rFonts w:hAnsi="Arial" w:cs="Times New Roman"/>
          <w:bCs/>
          <w:kern w:val="2"/>
          <w:szCs w:val="21"/>
        </w:rPr>
        <w:alias w:val="是否适用：报告期末募集资金使用情况其他说明[双击切换]"/>
        <w:tag w:val="_GBC_4107976095f84888a5c05787369bf005"/>
        <w:id w:val="-572594021"/>
        <w:placeholder>
          <w:docPart w:val="GBC22222222222222222222222222222"/>
        </w:placeholder>
      </w:sdtPr>
      <w:sdtEndPr/>
      <w:sdtContent>
        <w:p w14:paraId="63089CFF" w14:textId="77777777" w:rsidR="00E57DAA" w:rsidRDefault="00AC4185">
          <w:pPr>
            <w:adjustRightInd w:val="0"/>
            <w:snapToGrid w:val="0"/>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5C7BE0F7" w14:textId="77777777" w:rsidR="00E57DAA" w:rsidRDefault="00E57DAA">
      <w:pPr>
        <w:rPr>
          <w:rFonts w:cs="Times New Roman"/>
          <w:b/>
          <w:bCs/>
          <w:kern w:val="2"/>
          <w:szCs w:val="21"/>
        </w:rPr>
      </w:pPr>
    </w:p>
    <w:p w14:paraId="17724703" w14:textId="77777777" w:rsidR="00E57DAA" w:rsidRDefault="00AC4185">
      <w:pPr>
        <w:pStyle w:val="4"/>
        <w:numPr>
          <w:ilvl w:val="0"/>
          <w:numId w:val="56"/>
        </w:numPr>
        <w:ind w:left="425" w:hanging="425"/>
        <w:rPr>
          <w:rFonts w:ascii="宋体" w:hAnsi="宋体" w:cs="宋体"/>
          <w:kern w:val="0"/>
          <w:szCs w:val="24"/>
        </w:rPr>
      </w:pPr>
      <w:r>
        <w:rPr>
          <w:rFonts w:ascii="宋体" w:hAnsi="宋体" w:cs="宋体" w:hint="eastAsia"/>
          <w:kern w:val="0"/>
          <w:szCs w:val="24"/>
        </w:rPr>
        <w:t>信用评级结果调整</w:t>
      </w:r>
      <w:r>
        <w:rPr>
          <w:rFonts w:ascii="宋体" w:eastAsia="宋体" w:hAnsi="宋体" w:cs="宋体" w:hint="eastAsia"/>
          <w:kern w:val="0"/>
          <w:szCs w:val="24"/>
        </w:rPr>
        <w:t>情况</w:t>
      </w:r>
    </w:p>
    <w:bookmarkStart w:id="156" w:name="_Hlk89419990" w:displacedByCustomXml="next"/>
    <w:sdt>
      <w:sdtPr>
        <w:rPr>
          <w:rFonts w:cs="Times New Roman" w:hint="eastAsia"/>
          <w:bCs/>
          <w:color w:val="000000" w:themeColor="text1"/>
          <w:kern w:val="2"/>
          <w:szCs w:val="21"/>
        </w:rPr>
        <w:alias w:val="是否适用：公司债券评级情况[双击切换]"/>
        <w:tag w:val="_GBC_31eb39672f4546a5be5c29b18bea7009"/>
        <w:id w:val="-353579773"/>
        <w:placeholder>
          <w:docPart w:val="GBC22222222222222222222222222222"/>
        </w:placeholder>
      </w:sdtPr>
      <w:sdtEndPr/>
      <w:sdtContent>
        <w:p w14:paraId="161B0B6B" w14:textId="77777777" w:rsidR="00E57DAA" w:rsidRDefault="00AC4185">
          <w:pPr>
            <w:rPr>
              <w:rFonts w:cs="Times New Roman"/>
              <w:bCs/>
              <w:color w:val="000000" w:themeColor="text1"/>
              <w:kern w:val="2"/>
              <w:szCs w:val="2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2691CCBB" w14:textId="77777777" w:rsidR="00E57DAA" w:rsidRDefault="00E57DAA">
      <w:pPr>
        <w:rPr>
          <w:color w:val="000000" w:themeColor="text1"/>
          <w:szCs w:val="21"/>
        </w:rPr>
      </w:pPr>
    </w:p>
    <w:p w14:paraId="4267F900" w14:textId="77777777" w:rsidR="00E57DAA" w:rsidRDefault="00AC4185">
      <w:pPr>
        <w:adjustRightInd w:val="0"/>
        <w:snapToGrid w:val="0"/>
        <w:rPr>
          <w:rFonts w:hAnsi="Arial" w:cs="Times New Roman"/>
          <w:bCs/>
          <w:kern w:val="2"/>
          <w:szCs w:val="21"/>
        </w:rPr>
      </w:pPr>
      <w:r>
        <w:rPr>
          <w:rFonts w:ascii="Arial" w:hAnsi="Arial" w:cs="Times New Roman" w:hint="eastAsia"/>
          <w:bCs/>
          <w:kern w:val="2"/>
          <w:szCs w:val="21"/>
        </w:rPr>
        <w:t>其他</w:t>
      </w:r>
      <w:r>
        <w:rPr>
          <w:rFonts w:hAnsi="Arial" w:cs="Times New Roman" w:hint="eastAsia"/>
          <w:bCs/>
          <w:kern w:val="2"/>
          <w:szCs w:val="21"/>
        </w:rPr>
        <w:t>说明</w:t>
      </w:r>
    </w:p>
    <w:sdt>
      <w:sdtPr>
        <w:rPr>
          <w:rFonts w:hAnsi="Arial" w:cs="Times New Roman" w:hint="eastAsia"/>
          <w:bCs/>
          <w:kern w:val="2"/>
          <w:szCs w:val="21"/>
        </w:rPr>
        <w:alias w:val="是否适用：信用评级结果调整情况其他说明[双击切换]"/>
        <w:tag w:val="_GBC_7e4fa52d7af6424886f87928047e8b0e"/>
        <w:id w:val="1151801042"/>
        <w:placeholder>
          <w:docPart w:val="GBC22222222222222222222222222222"/>
        </w:placeholder>
      </w:sdtPr>
      <w:sdtEndPr/>
      <w:sdtContent>
        <w:p w14:paraId="29C85163" w14:textId="77777777" w:rsidR="00E57DAA" w:rsidRDefault="00AC4185">
          <w:pPr>
            <w:adjustRightInd w:val="0"/>
            <w:snapToGrid w:val="0"/>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04E71B62" w14:textId="77777777" w:rsidR="00E57DAA" w:rsidRDefault="00E57DAA">
      <w:pPr>
        <w:rPr>
          <w:rFonts w:cs="Times New Roman"/>
          <w:b/>
          <w:bCs/>
          <w:kern w:val="2"/>
          <w:szCs w:val="21"/>
        </w:rPr>
      </w:pPr>
    </w:p>
    <w:p w14:paraId="31123EF7" w14:textId="77777777" w:rsidR="00E57DAA" w:rsidRDefault="00AC4185">
      <w:pPr>
        <w:pStyle w:val="4"/>
        <w:numPr>
          <w:ilvl w:val="0"/>
          <w:numId w:val="56"/>
        </w:numPr>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color w:val="000000" w:themeColor="text1"/>
          <w:kern w:val="2"/>
          <w:szCs w:val="21"/>
        </w:rPr>
        <w:alias w:val="是否适用：担保情况、偿债计划及其他偿债保障措施在报告期内的执行情况和变化情况及对债券投资者权益的影响[双击切换]"/>
        <w:tag w:val="_GBC_d21d79497e224dacbc0e2900506c093e"/>
        <w:id w:val="-898819102"/>
        <w:placeholder>
          <w:docPart w:val="GBC22222222222222222222222222222"/>
        </w:placeholder>
      </w:sdtPr>
      <w:sdtEndPr/>
      <w:sdtContent>
        <w:p w14:paraId="240664B2" w14:textId="77777777" w:rsidR="00E57DAA" w:rsidRDefault="00AC4185">
          <w:pPr>
            <w:rPr>
              <w:rFonts w:cs="Times New Roman"/>
              <w:bCs/>
              <w:color w:val="000000" w:themeColor="text1"/>
              <w:kern w:val="2"/>
              <w:szCs w:val="21"/>
            </w:rPr>
          </w:pP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2451C7C6" w14:textId="77777777" w:rsidR="00E57DAA" w:rsidRDefault="00E57DAA">
      <w:pPr>
        <w:rPr>
          <w:rFonts w:cs="Times New Roman"/>
          <w:bCs/>
          <w:color w:val="000000" w:themeColor="text1"/>
          <w:kern w:val="2"/>
          <w:szCs w:val="21"/>
        </w:rPr>
      </w:pPr>
    </w:p>
    <w:p w14:paraId="7069B8DD" w14:textId="77777777" w:rsidR="00E57DAA" w:rsidRDefault="00AC4185">
      <w:pPr>
        <w:pStyle w:val="4"/>
        <w:numPr>
          <w:ilvl w:val="0"/>
          <w:numId w:val="56"/>
        </w:numPr>
        <w:ind w:left="425" w:hanging="425"/>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其他情况的说明</w:t>
      </w:r>
    </w:p>
    <w:bookmarkEnd w:id="155" w:displacedByCustomXml="next"/>
    <w:bookmarkEnd w:id="156" w:displacedByCustomXml="next"/>
    <w:sdt>
      <w:sdtPr>
        <w:rPr>
          <w:rFonts w:cs="Times New Roman"/>
          <w:bCs/>
          <w:kern w:val="2"/>
          <w:szCs w:val="21"/>
        </w:rPr>
        <w:alias w:val="是否适用：非金融企业债务融资工具其他情况的说明[双击切换]"/>
        <w:tag w:val="_GBC_11da1877dac545d2bac0a16dacfa0f04"/>
        <w:id w:val="-180812832"/>
        <w:placeholder>
          <w:docPart w:val="GBC22222222222222222222222222222"/>
        </w:placeholder>
      </w:sdtPr>
      <w:sdtEndPr/>
      <w:sdtContent>
        <w:p w14:paraId="22E5F07F" w14:textId="77777777" w:rsidR="00E57DAA" w:rsidRDefault="00AC4185">
          <w:pPr>
            <w:rPr>
              <w:rFonts w:cs="Times New Roman"/>
              <w:bCs/>
              <w:kern w:val="2"/>
              <w:szCs w:val="21"/>
            </w:rPr>
          </w:pPr>
          <w:r>
            <w:rPr>
              <w:rFonts w:cs="Times New Roman"/>
              <w:bCs/>
              <w:kern w:val="2"/>
              <w:szCs w:val="21"/>
            </w:rPr>
            <w:fldChar w:fldCharType="begin"/>
          </w:r>
          <w:r>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Pr>
              <w:rFonts w:cs="Times New Roman"/>
              <w:bCs/>
              <w:kern w:val="2"/>
              <w:szCs w:val="21"/>
            </w:rPr>
            <w:instrText xml:space="preserve"> MACROBUTTON  SnrToggleCheckbox □不适用 </w:instrText>
          </w:r>
          <w:r>
            <w:rPr>
              <w:rFonts w:cs="Times New Roman"/>
              <w:bCs/>
              <w:kern w:val="2"/>
              <w:szCs w:val="21"/>
            </w:rPr>
            <w:fldChar w:fldCharType="end"/>
          </w:r>
        </w:p>
      </w:sdtContent>
    </w:sdt>
    <w:sdt>
      <w:sdtPr>
        <w:rPr>
          <w:rFonts w:cs="Times New Roman"/>
          <w:bCs/>
          <w:kern w:val="2"/>
          <w:szCs w:val="21"/>
        </w:rPr>
        <w:alias w:val="非金融企业债务融资工具其他情况的说明"/>
        <w:tag w:val="_GBC_c77d82625a9048eabd030d8301b026c7"/>
        <w:id w:val="-409933918"/>
        <w:placeholder>
          <w:docPart w:val="GBC22222222222222222222222222222"/>
        </w:placeholder>
      </w:sdtPr>
      <w:sdtEndPr/>
      <w:sdtContent>
        <w:p w14:paraId="6A47F580" w14:textId="77777777" w:rsidR="00E57DAA" w:rsidRDefault="00AC4185">
          <w:pPr>
            <w:ind w:firstLineChars="200" w:firstLine="420"/>
            <w:rPr>
              <w:rFonts w:cs="Times New Roman"/>
              <w:bCs/>
              <w:kern w:val="2"/>
              <w:szCs w:val="21"/>
            </w:rPr>
          </w:pPr>
          <w:r>
            <w:rPr>
              <w:rFonts w:cs="Times New Roman"/>
              <w:bCs/>
              <w:kern w:val="2"/>
              <w:szCs w:val="21"/>
            </w:rPr>
            <w:t>2021 年 10 月 25 日，公司第七届董事会第九次会议审议通过《关于修订&lt;公司银行间债券市场债务融资工具信息披露管理制度&gt;的议案》，详见 2021 年 10 月 27 日公司发布的《中国中材国际工程股份有限公司银行间债券市场债务融资工具信息披露管理制度》。</w:t>
          </w:r>
        </w:p>
      </w:sdtContent>
    </w:sdt>
    <w:p w14:paraId="65A226A2" w14:textId="77777777" w:rsidR="00E57DAA" w:rsidRDefault="00AC4185">
      <w:pPr>
        <w:pStyle w:val="3"/>
        <w:numPr>
          <w:ilvl w:val="0"/>
          <w:numId w:val="54"/>
        </w:numPr>
      </w:pPr>
      <w:r>
        <w:t>公司报告期内合并报表范围亏损超过上年末净资产</w:t>
      </w:r>
      <w:r>
        <w:t>10%</w:t>
      </w:r>
    </w:p>
    <w:p w14:paraId="18B10DB7" w14:textId="77777777" w:rsidR="00E57DAA" w:rsidRDefault="00EB41A1">
      <w:pPr>
        <w:adjustRightInd w:val="0"/>
        <w:snapToGrid w:val="0"/>
        <w:rPr>
          <w:rFonts w:cs="Times New Roman"/>
          <w:bCs/>
          <w:kern w:val="2"/>
          <w:szCs w:val="21"/>
        </w:rPr>
      </w:pPr>
      <w:sdt>
        <w:sdtPr>
          <w:rPr>
            <w:rFonts w:cs="Times New Roman"/>
            <w:bCs/>
            <w:kern w:val="2"/>
            <w:szCs w:val="21"/>
          </w:rPr>
          <w:alias w:val="是否适用：公司报告期内合并报表范围亏损超过上年末净资产10% [双击切换]"/>
          <w:tag w:val="_GBC_a7df93b62ba940818039a51a119d0f02"/>
          <w:id w:val="-1713565617"/>
          <w:placeholder>
            <w:docPart w:val="GBC22222222222222222222222222222"/>
          </w:placeholder>
        </w:sdtPr>
        <w:sdtEndPr/>
        <w:sdtContent>
          <w:r w:rsidR="00AC4185">
            <w:rPr>
              <w:rFonts w:cs="Times New Roman"/>
              <w:bCs/>
              <w:kern w:val="2"/>
              <w:szCs w:val="21"/>
            </w:rPr>
            <w:fldChar w:fldCharType="begin"/>
          </w:r>
          <w:r w:rsidR="00AC4185">
            <w:rPr>
              <w:rFonts w:cs="Times New Roman"/>
              <w:bCs/>
              <w:kern w:val="2"/>
              <w:szCs w:val="21"/>
            </w:rPr>
            <w:instrText xml:space="preserve"> MACROBUTTON  SnrToggleCheckbox □适用 </w:instrText>
          </w:r>
          <w:r w:rsidR="00AC4185">
            <w:rPr>
              <w:rFonts w:cs="Times New Roman"/>
              <w:bCs/>
              <w:kern w:val="2"/>
              <w:szCs w:val="21"/>
            </w:rPr>
            <w:fldChar w:fldCharType="end"/>
          </w:r>
          <w:r w:rsidR="00AC4185">
            <w:rPr>
              <w:rFonts w:cs="Times New Roman"/>
              <w:bCs/>
              <w:kern w:val="2"/>
              <w:szCs w:val="21"/>
            </w:rPr>
            <w:fldChar w:fldCharType="begin"/>
          </w:r>
          <w:r w:rsidR="00AC4185">
            <w:rPr>
              <w:rFonts w:cs="Times New Roman"/>
              <w:bCs/>
              <w:kern w:val="2"/>
              <w:szCs w:val="21"/>
            </w:rPr>
            <w:instrText xml:space="preserve"> MACROBUTTON  SnrToggleCheckbox √不适用 </w:instrText>
          </w:r>
          <w:r w:rsidR="00AC4185">
            <w:rPr>
              <w:rFonts w:cs="Times New Roman"/>
              <w:bCs/>
              <w:kern w:val="2"/>
              <w:szCs w:val="21"/>
            </w:rPr>
            <w:fldChar w:fldCharType="end"/>
          </w:r>
        </w:sdtContent>
      </w:sdt>
      <w:r w:rsidR="00AC4185">
        <w:rPr>
          <w:rFonts w:cs="Times New Roman"/>
          <w:bCs/>
          <w:kern w:val="2"/>
          <w:szCs w:val="21"/>
        </w:rPr>
        <w:t xml:space="preserve"> </w:t>
      </w:r>
    </w:p>
    <w:p w14:paraId="5B67D86E" w14:textId="77777777" w:rsidR="00E57DAA" w:rsidRDefault="00E57DAA">
      <w:pPr>
        <w:adjustRightInd w:val="0"/>
        <w:snapToGrid w:val="0"/>
        <w:rPr>
          <w:rFonts w:cs="Times New Roman"/>
          <w:bCs/>
          <w:kern w:val="2"/>
          <w:szCs w:val="21"/>
        </w:rPr>
      </w:pPr>
    </w:p>
    <w:p w14:paraId="39E6E195" w14:textId="77777777" w:rsidR="00E57DAA" w:rsidRDefault="00AC4185">
      <w:pPr>
        <w:pStyle w:val="3"/>
        <w:numPr>
          <w:ilvl w:val="0"/>
          <w:numId w:val="54"/>
        </w:numPr>
      </w:pPr>
      <w:r>
        <w:rPr>
          <w:rFonts w:hint="eastAsia"/>
        </w:rPr>
        <w:t>报告期末除债券外的有息债务逾期情况</w:t>
      </w:r>
    </w:p>
    <w:bookmarkStart w:id="157" w:name="_Hlk89434058"/>
    <w:bookmarkEnd w:id="140"/>
    <w:p w14:paraId="6968E100" w14:textId="77777777" w:rsidR="00E57DAA" w:rsidRDefault="00EB41A1">
      <w:pPr>
        <w:rPr>
          <w:rFonts w:ascii="Arial" w:hAnsi="Arial" w:cs="Times New Roman"/>
          <w:bCs/>
          <w:kern w:val="2"/>
          <w:szCs w:val="21"/>
        </w:rPr>
      </w:pPr>
      <w:sdt>
        <w:sdtPr>
          <w:rPr>
            <w:rFonts w:ascii="Arial" w:hAnsi="Arial" w:cs="Times New Roman"/>
            <w:bCs/>
            <w:kern w:val="2"/>
            <w:szCs w:val="21"/>
          </w:rPr>
          <w:alias w:val="是否适用：报告期末除债券外的有息债务逾期情况[双击切换]"/>
          <w:tag w:val="_GBC_0fb37eae114040d9ac80c1e9f3088a62"/>
          <w:id w:val="9953893"/>
          <w:placeholder>
            <w:docPart w:val="GBC22222222222222222222222222222"/>
          </w:placeholder>
        </w:sdtPr>
        <w:sdtEndPr/>
        <w:sdtContent>
          <w:r w:rsidR="00AC4185">
            <w:rPr>
              <w:rFonts w:cs="Times New Roman"/>
              <w:bCs/>
              <w:kern w:val="2"/>
              <w:szCs w:val="21"/>
            </w:rPr>
            <w:fldChar w:fldCharType="begin"/>
          </w:r>
          <w:r w:rsidR="00AC4185">
            <w:rPr>
              <w:rFonts w:cs="Times New Roman"/>
              <w:bCs/>
              <w:kern w:val="2"/>
              <w:szCs w:val="21"/>
            </w:rPr>
            <w:instrText xml:space="preserve"> MACROBUTTON  SnrToggleCheckbox □适用 </w:instrText>
          </w:r>
          <w:r w:rsidR="00AC4185">
            <w:rPr>
              <w:rFonts w:cs="Times New Roman"/>
              <w:bCs/>
              <w:kern w:val="2"/>
              <w:szCs w:val="21"/>
            </w:rPr>
            <w:fldChar w:fldCharType="end"/>
          </w:r>
          <w:r w:rsidR="00AC4185">
            <w:rPr>
              <w:rFonts w:cs="Times New Roman"/>
              <w:bCs/>
              <w:kern w:val="2"/>
              <w:szCs w:val="21"/>
            </w:rPr>
            <w:fldChar w:fldCharType="begin"/>
          </w:r>
          <w:r w:rsidR="00AC4185">
            <w:rPr>
              <w:rFonts w:cs="Times New Roman"/>
              <w:bCs/>
              <w:kern w:val="2"/>
              <w:szCs w:val="21"/>
            </w:rPr>
            <w:instrText xml:space="preserve"> MACROBUTTON  SnrToggleCheckbox √不适用 </w:instrText>
          </w:r>
          <w:r w:rsidR="00AC4185">
            <w:rPr>
              <w:rFonts w:cs="Times New Roman"/>
              <w:bCs/>
              <w:kern w:val="2"/>
              <w:szCs w:val="21"/>
            </w:rPr>
            <w:fldChar w:fldCharType="end"/>
          </w:r>
        </w:sdtContent>
      </w:sdt>
      <w:r w:rsidR="00AC4185">
        <w:rPr>
          <w:rFonts w:ascii="Arial" w:hAnsi="Arial" w:cs="Times New Roman"/>
          <w:bCs/>
          <w:kern w:val="2"/>
          <w:szCs w:val="21"/>
        </w:rPr>
        <w:t xml:space="preserve"> </w:t>
      </w:r>
    </w:p>
    <w:p w14:paraId="778CAEF6" w14:textId="77777777" w:rsidR="00E57DAA" w:rsidRDefault="00E57DAA">
      <w:pPr>
        <w:rPr>
          <w:rFonts w:cs="Times New Roman"/>
          <w:bCs/>
          <w:kern w:val="2"/>
          <w:szCs w:val="21"/>
        </w:rPr>
      </w:pPr>
    </w:p>
    <w:bookmarkEnd w:id="157"/>
    <w:p w14:paraId="6B211E22" w14:textId="77777777" w:rsidR="00E57DAA" w:rsidRDefault="00AC4185">
      <w:pPr>
        <w:pStyle w:val="3"/>
        <w:numPr>
          <w:ilvl w:val="0"/>
          <w:numId w:val="54"/>
        </w:numPr>
      </w:pPr>
      <w:r>
        <w:rPr>
          <w:rFonts w:hint="eastAsia"/>
        </w:rPr>
        <w:t xml:space="preserve"> </w:t>
      </w:r>
      <w:r>
        <w:t>报告期内违反</w:t>
      </w:r>
      <w:r>
        <w:rPr>
          <w:rFonts w:hint="eastAsia"/>
        </w:rPr>
        <w:t>法律法规、公司章程、信息披露事务管理制度规定的情况以及债券募集说明书约定或承诺的情况对债券投资者权益的影响</w:t>
      </w:r>
    </w:p>
    <w:bookmarkStart w:id="158" w:name="_Hlk89434062"/>
    <w:p w14:paraId="708DE779" w14:textId="77777777" w:rsidR="00E57DAA" w:rsidRDefault="00EB41A1">
      <w:pPr>
        <w:rPr>
          <w:rFonts w:ascii="Arial" w:hAnsi="Arial" w:cs="Times New Roman"/>
          <w:bCs/>
          <w:kern w:val="2"/>
          <w:szCs w:val="21"/>
        </w:rPr>
      </w:pPr>
      <w:sdt>
        <w:sdtPr>
          <w:rPr>
            <w:rFonts w:ascii="Arial" w:hAnsi="Arial" w:cs="Times New Roman"/>
            <w:bCs/>
            <w:kern w:val="2"/>
            <w:szCs w:val="21"/>
          </w:rPr>
          <w:alias w:val="是否适用：报告期内违反情况以及对债券投资者权益的影响 [双击切换]"/>
          <w:tag w:val="_GBC_2a67f483721a40bba3fde88f6d6334e1"/>
          <w:id w:val="-1794979555"/>
          <w:placeholder>
            <w:docPart w:val="GBC22222222222222222222222222222"/>
          </w:placeholder>
        </w:sdtPr>
        <w:sdtEndPr/>
        <w:sdtContent>
          <w:r w:rsidR="00AC4185">
            <w:rPr>
              <w:rFonts w:cs="Times New Roman"/>
              <w:bCs/>
              <w:kern w:val="2"/>
              <w:szCs w:val="21"/>
            </w:rPr>
            <w:fldChar w:fldCharType="begin"/>
          </w:r>
          <w:r w:rsidR="00AC4185">
            <w:rPr>
              <w:rFonts w:cs="Times New Roman"/>
              <w:bCs/>
              <w:kern w:val="2"/>
              <w:szCs w:val="21"/>
            </w:rPr>
            <w:instrText xml:space="preserve"> MACROBUTTON  SnrToggleCheckbox □适用 </w:instrText>
          </w:r>
          <w:r w:rsidR="00AC4185">
            <w:rPr>
              <w:rFonts w:cs="Times New Roman"/>
              <w:bCs/>
              <w:kern w:val="2"/>
              <w:szCs w:val="21"/>
            </w:rPr>
            <w:fldChar w:fldCharType="end"/>
          </w:r>
          <w:r w:rsidR="00AC4185">
            <w:rPr>
              <w:rFonts w:cs="Times New Roman"/>
              <w:bCs/>
              <w:kern w:val="2"/>
              <w:szCs w:val="21"/>
            </w:rPr>
            <w:fldChar w:fldCharType="begin"/>
          </w:r>
          <w:r w:rsidR="00AC4185">
            <w:rPr>
              <w:rFonts w:cs="Times New Roman"/>
              <w:bCs/>
              <w:kern w:val="2"/>
              <w:szCs w:val="21"/>
            </w:rPr>
            <w:instrText xml:space="preserve"> MACROBUTTON  SnrToggleCheckbox √不适用 </w:instrText>
          </w:r>
          <w:r w:rsidR="00AC4185">
            <w:rPr>
              <w:rFonts w:cs="Times New Roman"/>
              <w:bCs/>
              <w:kern w:val="2"/>
              <w:szCs w:val="21"/>
            </w:rPr>
            <w:fldChar w:fldCharType="end"/>
          </w:r>
        </w:sdtContent>
      </w:sdt>
      <w:r w:rsidR="00AC4185">
        <w:rPr>
          <w:rFonts w:ascii="Arial" w:hAnsi="Arial" w:cs="Times New Roman"/>
          <w:bCs/>
          <w:kern w:val="2"/>
          <w:szCs w:val="21"/>
        </w:rPr>
        <w:t xml:space="preserve"> </w:t>
      </w:r>
    </w:p>
    <w:p w14:paraId="0EF6072B" w14:textId="77777777" w:rsidR="00E57DAA" w:rsidRDefault="00E57DAA">
      <w:pPr>
        <w:rPr>
          <w:rFonts w:cs="Times New Roman"/>
          <w:bCs/>
          <w:kern w:val="2"/>
          <w:szCs w:val="21"/>
        </w:rPr>
      </w:pPr>
    </w:p>
    <w:bookmarkEnd w:id="158"/>
    <w:p w14:paraId="0F7DB9FE" w14:textId="77777777" w:rsidR="00E57DAA" w:rsidRDefault="00AC4185">
      <w:pPr>
        <w:pStyle w:val="3"/>
        <w:numPr>
          <w:ilvl w:val="0"/>
          <w:numId w:val="54"/>
        </w:numPr>
      </w:pPr>
      <w:r>
        <w:rPr>
          <w:rFonts w:hint="eastAsia"/>
        </w:rPr>
        <w:t>截至报告期末公司近</w:t>
      </w:r>
      <w:r>
        <w:t>2</w:t>
      </w:r>
      <w:r>
        <w:t>年的会计数据和</w:t>
      </w:r>
      <w:r>
        <w:rPr>
          <w:rFonts w:hint="eastAsia"/>
        </w:rPr>
        <w:t>财务指标</w:t>
      </w:r>
    </w:p>
    <w:sdt>
      <w:sdtPr>
        <w:alias w:val="是否适用：截至报告期末公司近2年的会计数据和财务指标 [双击切换]"/>
        <w:tag w:val="_GBC_9d2e3e6ec7ce4a28bb2670635d7fa055"/>
        <w:id w:val="-1227523670"/>
        <w:placeholder>
          <w:docPart w:val="GBC22222222222222222222222222222"/>
        </w:placeholder>
      </w:sdtPr>
      <w:sdtEndPr/>
      <w:sdtContent>
        <w:p w14:paraId="6554EFA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7BDF13" w14:textId="77777777" w:rsidR="00E57DAA" w:rsidRDefault="00AC4185">
      <w:pPr>
        <w:jc w:val="right"/>
        <w:rPr>
          <w:szCs w:val="21"/>
        </w:rPr>
      </w:pPr>
      <w:r>
        <w:rPr>
          <w:rFonts w:hint="eastAsia"/>
          <w:szCs w:val="21"/>
        </w:rPr>
        <w:t>单位</w:t>
      </w:r>
      <w:r>
        <w:rPr>
          <w:szCs w:val="21"/>
        </w:rPr>
        <w:t>:</w:t>
      </w:r>
      <w:sdt>
        <w:sdtPr>
          <w:rPr>
            <w:szCs w:val="21"/>
          </w:rPr>
          <w:alias w:val="单位：财务附注：截至报告期末公司近2年的会计数据和财务指标"/>
          <w:tag w:val="_GBC_d1b00d7bc3024e3b9a201ac818fee5f1"/>
          <w:id w:val="-7953687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szCs w:val="21"/>
            </w:rPr>
            <w:t>万元</w:t>
          </w:r>
        </w:sdtContent>
      </w:sdt>
      <w:r>
        <w:rPr>
          <w:rFonts w:hint="eastAsia"/>
          <w:szCs w:val="21"/>
        </w:rPr>
        <w:t xml:space="preserve">  币种</w:t>
      </w:r>
      <w:r>
        <w:rPr>
          <w:szCs w:val="21"/>
        </w:rPr>
        <w:t>:</w:t>
      </w:r>
      <w:sdt>
        <w:sdtPr>
          <w:rPr>
            <w:szCs w:val="21"/>
          </w:rPr>
          <w:alias w:val="币种：财务附注：截至报告期末公司近2年的会计数据和财务指标"/>
          <w:tag w:val="_GBC_48f2942a11ff459dbe700f63e54bd5c3"/>
          <w:id w:val="-13877977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szCs w:val="21"/>
            </w:rPr>
            <w:t>人民币</w:t>
          </w:r>
        </w:sdtContent>
      </w:sdt>
    </w:p>
    <w:tbl>
      <w:tblPr>
        <w:tblStyle w:val="g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4"/>
        <w:gridCol w:w="1266"/>
        <w:gridCol w:w="1266"/>
        <w:gridCol w:w="1133"/>
        <w:gridCol w:w="2064"/>
      </w:tblGrid>
      <w:tr w:rsidR="00E57DAA" w14:paraId="08431977" w14:textId="77777777">
        <w:sdt>
          <w:sdtPr>
            <w:tag w:val="_PLD_c4a92f21073e443f9446ff7111fb6224"/>
            <w:id w:val="867023501"/>
          </w:sdtPr>
          <w:sdtEndPr/>
          <w:sdtContent>
            <w:tc>
              <w:tcPr>
                <w:tcW w:w="1765" w:type="pct"/>
                <w:vAlign w:val="center"/>
              </w:tcPr>
              <w:p w14:paraId="59298EDA" w14:textId="77777777" w:rsidR="00E57DAA" w:rsidRDefault="00AC4185">
                <w:pPr>
                  <w:jc w:val="center"/>
                  <w:rPr>
                    <w:rFonts w:ascii="Arial" w:hAnsi="Arial" w:cs="Times New Roman"/>
                    <w:b/>
                    <w:bCs/>
                    <w:szCs w:val="21"/>
                  </w:rPr>
                </w:pPr>
                <w:r>
                  <w:rPr>
                    <w:rFonts w:hint="eastAsia"/>
                    <w:szCs w:val="21"/>
                  </w:rPr>
                  <w:t>主要指标</w:t>
                </w:r>
              </w:p>
            </w:tc>
          </w:sdtContent>
        </w:sdt>
        <w:sdt>
          <w:sdtPr>
            <w:tag w:val="_PLD_bf5e3f06dc4c4abe895553a22a037989"/>
            <w:id w:val="579175687"/>
          </w:sdtPr>
          <w:sdtEndPr/>
          <w:sdtContent>
            <w:tc>
              <w:tcPr>
                <w:tcW w:w="700" w:type="pct"/>
                <w:vAlign w:val="center"/>
              </w:tcPr>
              <w:p w14:paraId="2A5A2ED1" w14:textId="77777777" w:rsidR="00E57DAA" w:rsidRDefault="00AC4185">
                <w:pPr>
                  <w:jc w:val="center"/>
                  <w:rPr>
                    <w:szCs w:val="21"/>
                  </w:rPr>
                </w:pPr>
                <w:r>
                  <w:rPr>
                    <w:rFonts w:hint="eastAsia"/>
                    <w:szCs w:val="21"/>
                  </w:rPr>
                  <w:t>2023年</w:t>
                </w:r>
              </w:p>
            </w:tc>
          </w:sdtContent>
        </w:sdt>
        <w:sdt>
          <w:sdtPr>
            <w:tag w:val="_PLD_69413ee8ca194bb698daae7502cf06f5"/>
            <w:id w:val="-1074664863"/>
          </w:sdtPr>
          <w:sdtEndPr/>
          <w:sdtContent>
            <w:tc>
              <w:tcPr>
                <w:tcW w:w="700" w:type="pct"/>
                <w:vAlign w:val="center"/>
              </w:tcPr>
              <w:p w14:paraId="60C2D7CC" w14:textId="77777777" w:rsidR="00E57DAA" w:rsidRDefault="00AC4185">
                <w:pPr>
                  <w:jc w:val="center"/>
                  <w:rPr>
                    <w:szCs w:val="21"/>
                  </w:rPr>
                </w:pPr>
                <w:r>
                  <w:rPr>
                    <w:rFonts w:hint="eastAsia"/>
                    <w:szCs w:val="21"/>
                  </w:rPr>
                  <w:t>2022年</w:t>
                </w:r>
              </w:p>
            </w:tc>
          </w:sdtContent>
        </w:sdt>
        <w:sdt>
          <w:sdtPr>
            <w:tag w:val="_PLD_427de963d346444483f4ac9d33260078"/>
            <w:id w:val="146787374"/>
          </w:sdtPr>
          <w:sdtEndPr/>
          <w:sdtContent>
            <w:tc>
              <w:tcPr>
                <w:tcW w:w="654" w:type="pct"/>
                <w:vAlign w:val="center"/>
              </w:tcPr>
              <w:p w14:paraId="2DDD9F14" w14:textId="77777777" w:rsidR="00E57DAA" w:rsidRDefault="00AC4185">
                <w:pPr>
                  <w:jc w:val="center"/>
                  <w:rPr>
                    <w:szCs w:val="21"/>
                  </w:rPr>
                </w:pPr>
                <w:r>
                  <w:rPr>
                    <w:rFonts w:hint="eastAsia"/>
                    <w:szCs w:val="21"/>
                  </w:rPr>
                  <w:t>本期比上年同期增减（%）</w:t>
                </w:r>
              </w:p>
            </w:tc>
          </w:sdtContent>
        </w:sdt>
        <w:sdt>
          <w:sdtPr>
            <w:tag w:val="_PLD_c6c57ba37010403daa0c6193d6d30b74"/>
            <w:id w:val="1963075742"/>
          </w:sdtPr>
          <w:sdtEndPr/>
          <w:sdtContent>
            <w:tc>
              <w:tcPr>
                <w:tcW w:w="1181" w:type="pct"/>
                <w:vAlign w:val="center"/>
              </w:tcPr>
              <w:p w14:paraId="2A2C804F" w14:textId="77777777" w:rsidR="00E57DAA" w:rsidRDefault="00AC4185">
                <w:pPr>
                  <w:jc w:val="center"/>
                  <w:rPr>
                    <w:szCs w:val="21"/>
                  </w:rPr>
                </w:pPr>
                <w:r>
                  <w:rPr>
                    <w:rFonts w:hint="eastAsia"/>
                    <w:szCs w:val="21"/>
                  </w:rPr>
                  <w:t>变动原因</w:t>
                </w:r>
              </w:p>
            </w:tc>
          </w:sdtContent>
        </w:sdt>
      </w:tr>
      <w:tr w:rsidR="00E57DAA" w14:paraId="2C909606" w14:textId="77777777">
        <w:tc>
          <w:tcPr>
            <w:tcW w:w="1765" w:type="pct"/>
          </w:tcPr>
          <w:p w14:paraId="113497A4" w14:textId="77777777" w:rsidR="00E57DAA" w:rsidRDefault="00AC4185" w:rsidP="00C25422">
            <w:pPr>
              <w:pStyle w:val="92"/>
            </w:pPr>
            <w:r>
              <w:rPr>
                <w:rFonts w:hint="eastAsia"/>
              </w:rPr>
              <w:t>归属于上市公司股东的扣除非经常性损益的净利润</w:t>
            </w:r>
          </w:p>
        </w:tc>
        <w:tc>
          <w:tcPr>
            <w:tcW w:w="700" w:type="pct"/>
            <w:vAlign w:val="center"/>
          </w:tcPr>
          <w:p w14:paraId="29AA24E7" w14:textId="77777777" w:rsidR="00E57DAA" w:rsidRDefault="00AC4185">
            <w:pPr>
              <w:jc w:val="right"/>
              <w:rPr>
                <w:szCs w:val="21"/>
              </w:rPr>
            </w:pPr>
            <w:r>
              <w:t>267,728.64</w:t>
            </w:r>
          </w:p>
        </w:tc>
        <w:tc>
          <w:tcPr>
            <w:tcW w:w="700" w:type="pct"/>
            <w:vAlign w:val="center"/>
          </w:tcPr>
          <w:p w14:paraId="7F567FD7" w14:textId="77777777" w:rsidR="00E57DAA" w:rsidRDefault="00AC4185">
            <w:pPr>
              <w:jc w:val="right"/>
              <w:rPr>
                <w:szCs w:val="21"/>
              </w:rPr>
            </w:pPr>
            <w:r>
              <w:rPr>
                <w:rFonts w:hint="eastAsia"/>
                <w:color w:val="000000"/>
                <w:szCs w:val="21"/>
              </w:rPr>
              <w:t>211,082.07</w:t>
            </w:r>
          </w:p>
        </w:tc>
        <w:tc>
          <w:tcPr>
            <w:tcW w:w="654" w:type="pct"/>
            <w:vAlign w:val="center"/>
          </w:tcPr>
          <w:p w14:paraId="347357B6" w14:textId="77777777" w:rsidR="00E57DAA" w:rsidRDefault="00AC4185">
            <w:pPr>
              <w:jc w:val="right"/>
              <w:rPr>
                <w:szCs w:val="21"/>
              </w:rPr>
            </w:pPr>
            <w:r>
              <w:t>26.84</w:t>
            </w:r>
          </w:p>
        </w:tc>
        <w:tc>
          <w:tcPr>
            <w:tcW w:w="1181" w:type="pct"/>
            <w:vAlign w:val="center"/>
          </w:tcPr>
          <w:p w14:paraId="47F8BDA7" w14:textId="77777777" w:rsidR="00E57DAA" w:rsidRDefault="00E57DAA">
            <w:pPr>
              <w:rPr>
                <w:szCs w:val="21"/>
              </w:rPr>
            </w:pPr>
          </w:p>
        </w:tc>
      </w:tr>
      <w:tr w:rsidR="00E57DAA" w14:paraId="48BD6FBC" w14:textId="77777777">
        <w:tc>
          <w:tcPr>
            <w:tcW w:w="1765" w:type="pct"/>
          </w:tcPr>
          <w:p w14:paraId="41D81C4D" w14:textId="77777777" w:rsidR="00E57DAA" w:rsidRDefault="00AC4185">
            <w:pPr>
              <w:rPr>
                <w:szCs w:val="21"/>
              </w:rPr>
            </w:pPr>
            <w:r>
              <w:rPr>
                <w:rFonts w:hint="eastAsia"/>
                <w:szCs w:val="21"/>
              </w:rPr>
              <w:t>流动比率</w:t>
            </w:r>
          </w:p>
        </w:tc>
        <w:tc>
          <w:tcPr>
            <w:tcW w:w="700" w:type="pct"/>
            <w:vAlign w:val="center"/>
          </w:tcPr>
          <w:p w14:paraId="1AC291B0" w14:textId="77777777" w:rsidR="00E57DAA" w:rsidRDefault="00AC4185">
            <w:pPr>
              <w:jc w:val="right"/>
              <w:rPr>
                <w:szCs w:val="21"/>
              </w:rPr>
            </w:pPr>
            <w:r>
              <w:t>1.32</w:t>
            </w:r>
          </w:p>
        </w:tc>
        <w:tc>
          <w:tcPr>
            <w:tcW w:w="700" w:type="pct"/>
            <w:vAlign w:val="center"/>
          </w:tcPr>
          <w:p w14:paraId="355BCD01" w14:textId="77777777" w:rsidR="00E57DAA" w:rsidRDefault="00AC4185">
            <w:pPr>
              <w:jc w:val="right"/>
              <w:rPr>
                <w:szCs w:val="21"/>
              </w:rPr>
            </w:pPr>
            <w:r>
              <w:t>1.33</w:t>
            </w:r>
          </w:p>
        </w:tc>
        <w:tc>
          <w:tcPr>
            <w:tcW w:w="654" w:type="pct"/>
            <w:vAlign w:val="center"/>
          </w:tcPr>
          <w:p w14:paraId="1DD45E75" w14:textId="77777777" w:rsidR="00E57DAA" w:rsidRDefault="00AC4185">
            <w:pPr>
              <w:jc w:val="right"/>
              <w:rPr>
                <w:szCs w:val="21"/>
              </w:rPr>
            </w:pPr>
            <w:r>
              <w:t>-0.75</w:t>
            </w:r>
          </w:p>
        </w:tc>
        <w:tc>
          <w:tcPr>
            <w:tcW w:w="1181" w:type="pct"/>
            <w:vAlign w:val="center"/>
          </w:tcPr>
          <w:p w14:paraId="77385FBB" w14:textId="77777777" w:rsidR="00E57DAA" w:rsidRDefault="00E57DAA">
            <w:pPr>
              <w:rPr>
                <w:rFonts w:ascii="Arial" w:hAnsi="Arial" w:cs="Times New Roman"/>
                <w:b/>
                <w:bCs/>
                <w:szCs w:val="21"/>
              </w:rPr>
            </w:pPr>
          </w:p>
        </w:tc>
      </w:tr>
      <w:tr w:rsidR="00E57DAA" w14:paraId="6C766860" w14:textId="77777777">
        <w:tc>
          <w:tcPr>
            <w:tcW w:w="1765" w:type="pct"/>
          </w:tcPr>
          <w:p w14:paraId="2674613B" w14:textId="77777777" w:rsidR="00E57DAA" w:rsidRDefault="00AC4185">
            <w:pPr>
              <w:rPr>
                <w:szCs w:val="21"/>
              </w:rPr>
            </w:pPr>
            <w:r>
              <w:rPr>
                <w:rFonts w:hint="eastAsia"/>
                <w:szCs w:val="21"/>
              </w:rPr>
              <w:t>速动比率</w:t>
            </w:r>
          </w:p>
        </w:tc>
        <w:tc>
          <w:tcPr>
            <w:tcW w:w="700" w:type="pct"/>
            <w:vAlign w:val="center"/>
          </w:tcPr>
          <w:p w14:paraId="59C2D76B" w14:textId="77777777" w:rsidR="00E57DAA" w:rsidRDefault="00AC4185">
            <w:pPr>
              <w:jc w:val="right"/>
              <w:rPr>
                <w:szCs w:val="21"/>
              </w:rPr>
            </w:pPr>
            <w:r>
              <w:t>1.22</w:t>
            </w:r>
          </w:p>
        </w:tc>
        <w:tc>
          <w:tcPr>
            <w:tcW w:w="700" w:type="pct"/>
            <w:vAlign w:val="center"/>
          </w:tcPr>
          <w:p w14:paraId="22CF0C8C" w14:textId="77777777" w:rsidR="00E57DAA" w:rsidRDefault="00AC4185">
            <w:pPr>
              <w:jc w:val="right"/>
              <w:rPr>
                <w:szCs w:val="21"/>
              </w:rPr>
            </w:pPr>
            <w:r>
              <w:t>1.22</w:t>
            </w:r>
          </w:p>
        </w:tc>
        <w:tc>
          <w:tcPr>
            <w:tcW w:w="654" w:type="pct"/>
            <w:vAlign w:val="center"/>
          </w:tcPr>
          <w:p w14:paraId="7C21272E" w14:textId="77777777" w:rsidR="00E57DAA" w:rsidRDefault="00AC4185">
            <w:pPr>
              <w:jc w:val="right"/>
              <w:rPr>
                <w:szCs w:val="21"/>
              </w:rPr>
            </w:pPr>
            <w:r>
              <w:t>-</w:t>
            </w:r>
          </w:p>
        </w:tc>
        <w:tc>
          <w:tcPr>
            <w:tcW w:w="1181" w:type="pct"/>
            <w:vAlign w:val="center"/>
          </w:tcPr>
          <w:p w14:paraId="1EE90520" w14:textId="77777777" w:rsidR="00E57DAA" w:rsidRDefault="00E57DAA">
            <w:pPr>
              <w:rPr>
                <w:rFonts w:ascii="Arial" w:hAnsi="Arial" w:cs="Times New Roman"/>
                <w:b/>
                <w:bCs/>
                <w:szCs w:val="21"/>
              </w:rPr>
            </w:pPr>
          </w:p>
        </w:tc>
      </w:tr>
      <w:tr w:rsidR="00E57DAA" w14:paraId="0D7CDB92" w14:textId="77777777">
        <w:tc>
          <w:tcPr>
            <w:tcW w:w="1765" w:type="pct"/>
          </w:tcPr>
          <w:p w14:paraId="158F1D38" w14:textId="77777777" w:rsidR="00E57DAA" w:rsidRDefault="00AC4185">
            <w:pPr>
              <w:rPr>
                <w:szCs w:val="21"/>
              </w:rPr>
            </w:pPr>
            <w:r>
              <w:rPr>
                <w:rFonts w:hint="eastAsia"/>
                <w:szCs w:val="21"/>
              </w:rPr>
              <w:t>资产负债率（%）</w:t>
            </w:r>
          </w:p>
        </w:tc>
        <w:tc>
          <w:tcPr>
            <w:tcW w:w="700" w:type="pct"/>
            <w:vAlign w:val="center"/>
          </w:tcPr>
          <w:p w14:paraId="2E60A804" w14:textId="77777777" w:rsidR="00E57DAA" w:rsidRDefault="00AC4185">
            <w:pPr>
              <w:jc w:val="right"/>
              <w:rPr>
                <w:szCs w:val="21"/>
              </w:rPr>
            </w:pPr>
            <w:r>
              <w:t>62.13</w:t>
            </w:r>
          </w:p>
        </w:tc>
        <w:tc>
          <w:tcPr>
            <w:tcW w:w="700" w:type="pct"/>
            <w:vAlign w:val="center"/>
          </w:tcPr>
          <w:p w14:paraId="4D1A5D8C" w14:textId="77777777" w:rsidR="00E57DAA" w:rsidRDefault="00AC4185">
            <w:pPr>
              <w:jc w:val="right"/>
              <w:rPr>
                <w:szCs w:val="21"/>
              </w:rPr>
            </w:pPr>
            <w:r>
              <w:t>62.33</w:t>
            </w:r>
          </w:p>
        </w:tc>
        <w:tc>
          <w:tcPr>
            <w:tcW w:w="654" w:type="pct"/>
            <w:vAlign w:val="center"/>
          </w:tcPr>
          <w:p w14:paraId="07839144" w14:textId="77777777" w:rsidR="00E57DAA" w:rsidRDefault="00AC4185">
            <w:pPr>
              <w:jc w:val="right"/>
              <w:rPr>
                <w:szCs w:val="21"/>
              </w:rPr>
            </w:pPr>
            <w:r>
              <w:rPr>
                <w:rFonts w:hint="eastAsia"/>
              </w:rPr>
              <w:t>减少</w:t>
            </w:r>
            <w:r>
              <w:t>0.20</w:t>
            </w:r>
            <w:r>
              <w:rPr>
                <w:rFonts w:hint="eastAsia"/>
              </w:rPr>
              <w:t>个百分点</w:t>
            </w:r>
          </w:p>
        </w:tc>
        <w:tc>
          <w:tcPr>
            <w:tcW w:w="1181" w:type="pct"/>
            <w:vAlign w:val="center"/>
          </w:tcPr>
          <w:p w14:paraId="5D68832A" w14:textId="77777777" w:rsidR="00E57DAA" w:rsidRDefault="00E57DAA">
            <w:pPr>
              <w:rPr>
                <w:rFonts w:ascii="Arial" w:hAnsi="Arial" w:cs="Times New Roman"/>
                <w:b/>
                <w:bCs/>
                <w:szCs w:val="21"/>
              </w:rPr>
            </w:pPr>
          </w:p>
        </w:tc>
      </w:tr>
      <w:tr w:rsidR="00E57DAA" w14:paraId="68DDF78F" w14:textId="77777777">
        <w:tc>
          <w:tcPr>
            <w:tcW w:w="1765" w:type="pct"/>
          </w:tcPr>
          <w:p w14:paraId="0A002671" w14:textId="77777777" w:rsidR="00E57DAA" w:rsidRDefault="00AC4185">
            <w:pPr>
              <w:rPr>
                <w:szCs w:val="21"/>
              </w:rPr>
            </w:pPr>
            <w:r>
              <w:rPr>
                <w:szCs w:val="21"/>
              </w:rPr>
              <w:t>EBITDA全部债务比</w:t>
            </w:r>
          </w:p>
        </w:tc>
        <w:tc>
          <w:tcPr>
            <w:tcW w:w="700" w:type="pct"/>
            <w:vAlign w:val="center"/>
          </w:tcPr>
          <w:p w14:paraId="42CF6B95" w14:textId="77777777" w:rsidR="00E57DAA" w:rsidRDefault="00AC4185">
            <w:pPr>
              <w:jc w:val="right"/>
              <w:rPr>
                <w:szCs w:val="21"/>
              </w:rPr>
            </w:pPr>
            <w:r>
              <w:t>0.51</w:t>
            </w:r>
          </w:p>
        </w:tc>
        <w:tc>
          <w:tcPr>
            <w:tcW w:w="700" w:type="pct"/>
            <w:vAlign w:val="center"/>
          </w:tcPr>
          <w:p w14:paraId="2A5F0541" w14:textId="77777777" w:rsidR="00E57DAA" w:rsidRDefault="00AC4185">
            <w:pPr>
              <w:jc w:val="right"/>
              <w:rPr>
                <w:szCs w:val="21"/>
              </w:rPr>
            </w:pPr>
            <w:r>
              <w:t>0.44</w:t>
            </w:r>
          </w:p>
        </w:tc>
        <w:tc>
          <w:tcPr>
            <w:tcW w:w="654" w:type="pct"/>
            <w:vAlign w:val="center"/>
          </w:tcPr>
          <w:p w14:paraId="1A594517" w14:textId="77777777" w:rsidR="00E57DAA" w:rsidRDefault="00AC4185">
            <w:pPr>
              <w:jc w:val="right"/>
              <w:rPr>
                <w:szCs w:val="21"/>
              </w:rPr>
            </w:pPr>
            <w:r>
              <w:t>15.91</w:t>
            </w:r>
          </w:p>
        </w:tc>
        <w:tc>
          <w:tcPr>
            <w:tcW w:w="1181" w:type="pct"/>
            <w:vAlign w:val="center"/>
          </w:tcPr>
          <w:p w14:paraId="6DBC38DA" w14:textId="77777777" w:rsidR="00E57DAA" w:rsidRDefault="00E57DAA">
            <w:pPr>
              <w:rPr>
                <w:rFonts w:ascii="Arial" w:hAnsi="Arial" w:cs="Times New Roman"/>
                <w:b/>
                <w:bCs/>
                <w:szCs w:val="21"/>
              </w:rPr>
            </w:pPr>
          </w:p>
        </w:tc>
      </w:tr>
      <w:tr w:rsidR="00E57DAA" w14:paraId="29D9E7B6" w14:textId="77777777">
        <w:tc>
          <w:tcPr>
            <w:tcW w:w="1765" w:type="pct"/>
          </w:tcPr>
          <w:p w14:paraId="266F063D" w14:textId="77777777" w:rsidR="00E57DAA" w:rsidRDefault="00AC4185">
            <w:pPr>
              <w:rPr>
                <w:szCs w:val="21"/>
              </w:rPr>
            </w:pPr>
            <w:r>
              <w:rPr>
                <w:rFonts w:hint="eastAsia"/>
                <w:szCs w:val="21"/>
              </w:rPr>
              <w:t>利息保障倍数</w:t>
            </w:r>
          </w:p>
        </w:tc>
        <w:tc>
          <w:tcPr>
            <w:tcW w:w="700" w:type="pct"/>
            <w:vAlign w:val="center"/>
          </w:tcPr>
          <w:p w14:paraId="0C4F0B1C" w14:textId="77777777" w:rsidR="00E57DAA" w:rsidRDefault="00AC4185">
            <w:pPr>
              <w:jc w:val="right"/>
              <w:rPr>
                <w:szCs w:val="21"/>
              </w:rPr>
            </w:pPr>
            <w:r>
              <w:t>13.53</w:t>
            </w:r>
          </w:p>
        </w:tc>
        <w:tc>
          <w:tcPr>
            <w:tcW w:w="700" w:type="pct"/>
            <w:vAlign w:val="center"/>
          </w:tcPr>
          <w:p w14:paraId="4F69E672" w14:textId="77777777" w:rsidR="00E57DAA" w:rsidRDefault="00AC4185">
            <w:pPr>
              <w:jc w:val="right"/>
              <w:rPr>
                <w:szCs w:val="21"/>
              </w:rPr>
            </w:pPr>
            <w:r>
              <w:t>14.49</w:t>
            </w:r>
          </w:p>
        </w:tc>
        <w:tc>
          <w:tcPr>
            <w:tcW w:w="654" w:type="pct"/>
            <w:vAlign w:val="center"/>
          </w:tcPr>
          <w:p w14:paraId="2CBA82E0" w14:textId="77777777" w:rsidR="00E57DAA" w:rsidRDefault="00AC4185">
            <w:pPr>
              <w:jc w:val="right"/>
              <w:rPr>
                <w:szCs w:val="21"/>
              </w:rPr>
            </w:pPr>
            <w:r>
              <w:t>-6.63</w:t>
            </w:r>
          </w:p>
        </w:tc>
        <w:tc>
          <w:tcPr>
            <w:tcW w:w="1181" w:type="pct"/>
            <w:vAlign w:val="center"/>
          </w:tcPr>
          <w:p w14:paraId="0A3B8E97" w14:textId="77777777" w:rsidR="00E57DAA" w:rsidRDefault="00E57DAA">
            <w:pPr>
              <w:rPr>
                <w:rFonts w:ascii="Arial" w:hAnsi="Arial" w:cs="Times New Roman"/>
                <w:b/>
                <w:bCs/>
                <w:szCs w:val="21"/>
              </w:rPr>
            </w:pPr>
          </w:p>
        </w:tc>
      </w:tr>
      <w:tr w:rsidR="00E57DAA" w14:paraId="65191F07" w14:textId="77777777">
        <w:tc>
          <w:tcPr>
            <w:tcW w:w="1765" w:type="pct"/>
          </w:tcPr>
          <w:p w14:paraId="279AF514" w14:textId="77777777" w:rsidR="00E57DAA" w:rsidRDefault="00AC4185">
            <w:pPr>
              <w:rPr>
                <w:szCs w:val="21"/>
              </w:rPr>
            </w:pPr>
            <w:r>
              <w:rPr>
                <w:rFonts w:hint="eastAsia"/>
                <w:szCs w:val="21"/>
              </w:rPr>
              <w:t>现金利息保障倍数</w:t>
            </w:r>
          </w:p>
        </w:tc>
        <w:tc>
          <w:tcPr>
            <w:tcW w:w="700" w:type="pct"/>
            <w:vAlign w:val="center"/>
          </w:tcPr>
          <w:p w14:paraId="7EB8D06F" w14:textId="77777777" w:rsidR="00E57DAA" w:rsidRDefault="00AC4185">
            <w:pPr>
              <w:jc w:val="right"/>
              <w:rPr>
                <w:szCs w:val="21"/>
              </w:rPr>
            </w:pPr>
            <w:r>
              <w:t>14.71</w:t>
            </w:r>
          </w:p>
        </w:tc>
        <w:tc>
          <w:tcPr>
            <w:tcW w:w="700" w:type="pct"/>
            <w:vAlign w:val="center"/>
          </w:tcPr>
          <w:p w14:paraId="1321402B" w14:textId="77777777" w:rsidR="00E57DAA" w:rsidRDefault="00AC4185">
            <w:pPr>
              <w:jc w:val="right"/>
              <w:rPr>
                <w:szCs w:val="21"/>
              </w:rPr>
            </w:pPr>
            <w:r>
              <w:t>7.51</w:t>
            </w:r>
          </w:p>
        </w:tc>
        <w:tc>
          <w:tcPr>
            <w:tcW w:w="654" w:type="pct"/>
            <w:vAlign w:val="center"/>
          </w:tcPr>
          <w:p w14:paraId="7DA75F40" w14:textId="77777777" w:rsidR="00E57DAA" w:rsidRDefault="00AC4185">
            <w:pPr>
              <w:jc w:val="right"/>
              <w:rPr>
                <w:szCs w:val="21"/>
              </w:rPr>
            </w:pPr>
            <w:r>
              <w:t>96.13</w:t>
            </w:r>
          </w:p>
        </w:tc>
        <w:tc>
          <w:tcPr>
            <w:tcW w:w="1181" w:type="pct"/>
            <w:vAlign w:val="center"/>
          </w:tcPr>
          <w:p w14:paraId="18FE0BD8" w14:textId="77777777" w:rsidR="00E57DAA" w:rsidRDefault="00AC4185">
            <w:pPr>
              <w:jc w:val="both"/>
              <w:rPr>
                <w:rFonts w:ascii="Arial" w:hAnsi="Arial" w:cs="Times New Roman"/>
                <w:b/>
                <w:bCs/>
                <w:szCs w:val="21"/>
              </w:rPr>
            </w:pPr>
            <w:r>
              <w:t>公司加强合同结算，积极督促项目回款，本期经营活动现金净流入增加。</w:t>
            </w:r>
          </w:p>
        </w:tc>
      </w:tr>
      <w:tr w:rsidR="00E57DAA" w14:paraId="72016CEA" w14:textId="77777777">
        <w:trPr>
          <w:trHeight w:val="275"/>
        </w:trPr>
        <w:tc>
          <w:tcPr>
            <w:tcW w:w="1765" w:type="pct"/>
          </w:tcPr>
          <w:p w14:paraId="0FC84D47" w14:textId="77777777" w:rsidR="00E57DAA" w:rsidRDefault="00AC4185">
            <w:pPr>
              <w:rPr>
                <w:szCs w:val="21"/>
              </w:rPr>
            </w:pPr>
            <w:r>
              <w:rPr>
                <w:szCs w:val="21"/>
              </w:rPr>
              <w:t>EBITDA利息保障倍数</w:t>
            </w:r>
          </w:p>
        </w:tc>
        <w:tc>
          <w:tcPr>
            <w:tcW w:w="700" w:type="pct"/>
            <w:vAlign w:val="center"/>
          </w:tcPr>
          <w:p w14:paraId="12494854" w14:textId="77777777" w:rsidR="00E57DAA" w:rsidRDefault="00AC4185">
            <w:pPr>
              <w:jc w:val="right"/>
              <w:rPr>
                <w:szCs w:val="21"/>
              </w:rPr>
            </w:pPr>
            <w:r>
              <w:t>15.</w:t>
            </w:r>
            <w:r>
              <w:rPr>
                <w:rFonts w:hint="eastAsia"/>
              </w:rPr>
              <w:t>40</w:t>
            </w:r>
          </w:p>
        </w:tc>
        <w:tc>
          <w:tcPr>
            <w:tcW w:w="700" w:type="pct"/>
            <w:vAlign w:val="center"/>
          </w:tcPr>
          <w:p w14:paraId="20688673" w14:textId="77777777" w:rsidR="00E57DAA" w:rsidRDefault="00AC4185">
            <w:pPr>
              <w:jc w:val="right"/>
              <w:rPr>
                <w:szCs w:val="21"/>
              </w:rPr>
            </w:pPr>
            <w:r>
              <w:t>16.50</w:t>
            </w:r>
          </w:p>
        </w:tc>
        <w:tc>
          <w:tcPr>
            <w:tcW w:w="654" w:type="pct"/>
            <w:vAlign w:val="center"/>
          </w:tcPr>
          <w:p w14:paraId="64FAABA3" w14:textId="77777777" w:rsidR="00E57DAA" w:rsidRDefault="00AC4185">
            <w:pPr>
              <w:jc w:val="right"/>
              <w:rPr>
                <w:szCs w:val="21"/>
              </w:rPr>
            </w:pPr>
            <w:r>
              <w:t>-6.</w:t>
            </w:r>
            <w:r>
              <w:rPr>
                <w:rFonts w:hint="eastAsia"/>
              </w:rPr>
              <w:t>67</w:t>
            </w:r>
          </w:p>
        </w:tc>
        <w:tc>
          <w:tcPr>
            <w:tcW w:w="1181" w:type="pct"/>
            <w:vAlign w:val="center"/>
          </w:tcPr>
          <w:p w14:paraId="7F977F73" w14:textId="77777777" w:rsidR="00E57DAA" w:rsidRDefault="00E57DAA">
            <w:pPr>
              <w:rPr>
                <w:szCs w:val="21"/>
              </w:rPr>
            </w:pPr>
          </w:p>
        </w:tc>
      </w:tr>
      <w:tr w:rsidR="00E57DAA" w14:paraId="03A30CC5" w14:textId="77777777">
        <w:tc>
          <w:tcPr>
            <w:tcW w:w="1765" w:type="pct"/>
          </w:tcPr>
          <w:p w14:paraId="3BBC3CE0" w14:textId="77777777" w:rsidR="00E57DAA" w:rsidRDefault="00AC4185">
            <w:pPr>
              <w:rPr>
                <w:szCs w:val="21"/>
              </w:rPr>
            </w:pPr>
            <w:r>
              <w:rPr>
                <w:rFonts w:hint="eastAsia"/>
                <w:szCs w:val="21"/>
              </w:rPr>
              <w:lastRenderedPageBreak/>
              <w:t>贷款偿还率（%）</w:t>
            </w:r>
          </w:p>
        </w:tc>
        <w:tc>
          <w:tcPr>
            <w:tcW w:w="700" w:type="pct"/>
            <w:vAlign w:val="center"/>
          </w:tcPr>
          <w:p w14:paraId="3F783E8F" w14:textId="77777777" w:rsidR="00E57DAA" w:rsidRDefault="00AC4185">
            <w:pPr>
              <w:jc w:val="right"/>
              <w:rPr>
                <w:szCs w:val="21"/>
              </w:rPr>
            </w:pPr>
            <w:r>
              <w:t>100%</w:t>
            </w:r>
          </w:p>
        </w:tc>
        <w:tc>
          <w:tcPr>
            <w:tcW w:w="700" w:type="pct"/>
            <w:vAlign w:val="center"/>
          </w:tcPr>
          <w:p w14:paraId="0304BDFB" w14:textId="77777777" w:rsidR="00E57DAA" w:rsidRDefault="00AC4185">
            <w:pPr>
              <w:jc w:val="right"/>
              <w:rPr>
                <w:szCs w:val="21"/>
              </w:rPr>
            </w:pPr>
            <w:r>
              <w:t>100%</w:t>
            </w:r>
          </w:p>
        </w:tc>
        <w:tc>
          <w:tcPr>
            <w:tcW w:w="654" w:type="pct"/>
            <w:vAlign w:val="center"/>
          </w:tcPr>
          <w:p w14:paraId="67F90B57" w14:textId="77777777" w:rsidR="00E57DAA" w:rsidRDefault="00E57DAA">
            <w:pPr>
              <w:jc w:val="right"/>
              <w:rPr>
                <w:szCs w:val="21"/>
              </w:rPr>
            </w:pPr>
          </w:p>
        </w:tc>
        <w:tc>
          <w:tcPr>
            <w:tcW w:w="1181" w:type="pct"/>
            <w:vAlign w:val="center"/>
          </w:tcPr>
          <w:p w14:paraId="5834FB8C" w14:textId="77777777" w:rsidR="00E57DAA" w:rsidRDefault="00E57DAA">
            <w:pPr>
              <w:rPr>
                <w:rFonts w:ascii="Arial" w:hAnsi="Arial" w:cs="Times New Roman"/>
                <w:b/>
                <w:bCs/>
                <w:szCs w:val="21"/>
              </w:rPr>
            </w:pPr>
          </w:p>
        </w:tc>
      </w:tr>
      <w:tr w:rsidR="00E57DAA" w14:paraId="24D4114F" w14:textId="77777777">
        <w:tc>
          <w:tcPr>
            <w:tcW w:w="1765" w:type="pct"/>
          </w:tcPr>
          <w:p w14:paraId="212D8C0E" w14:textId="77777777" w:rsidR="00E57DAA" w:rsidRDefault="00AC4185">
            <w:pPr>
              <w:rPr>
                <w:szCs w:val="21"/>
              </w:rPr>
            </w:pPr>
            <w:r>
              <w:rPr>
                <w:rFonts w:hint="eastAsia"/>
                <w:szCs w:val="21"/>
              </w:rPr>
              <w:t>利息偿付率（%）</w:t>
            </w:r>
          </w:p>
        </w:tc>
        <w:tc>
          <w:tcPr>
            <w:tcW w:w="700" w:type="pct"/>
            <w:vAlign w:val="center"/>
          </w:tcPr>
          <w:p w14:paraId="6B62A82F" w14:textId="77777777" w:rsidR="00E57DAA" w:rsidRDefault="00AC4185">
            <w:pPr>
              <w:jc w:val="right"/>
              <w:rPr>
                <w:szCs w:val="21"/>
              </w:rPr>
            </w:pPr>
            <w:r>
              <w:t>100%</w:t>
            </w:r>
          </w:p>
        </w:tc>
        <w:tc>
          <w:tcPr>
            <w:tcW w:w="700" w:type="pct"/>
            <w:vAlign w:val="center"/>
          </w:tcPr>
          <w:p w14:paraId="42DB0EA2" w14:textId="77777777" w:rsidR="00E57DAA" w:rsidRDefault="00AC4185">
            <w:pPr>
              <w:jc w:val="right"/>
              <w:rPr>
                <w:szCs w:val="21"/>
              </w:rPr>
            </w:pPr>
            <w:r>
              <w:t>100%</w:t>
            </w:r>
          </w:p>
        </w:tc>
        <w:tc>
          <w:tcPr>
            <w:tcW w:w="654" w:type="pct"/>
            <w:vAlign w:val="center"/>
          </w:tcPr>
          <w:p w14:paraId="68CD248E" w14:textId="77777777" w:rsidR="00E57DAA" w:rsidRDefault="00E57DAA">
            <w:pPr>
              <w:jc w:val="right"/>
              <w:rPr>
                <w:szCs w:val="21"/>
              </w:rPr>
            </w:pPr>
          </w:p>
        </w:tc>
        <w:tc>
          <w:tcPr>
            <w:tcW w:w="1181" w:type="pct"/>
            <w:vAlign w:val="center"/>
          </w:tcPr>
          <w:p w14:paraId="21005546" w14:textId="77777777" w:rsidR="00E57DAA" w:rsidRDefault="00E57DAA">
            <w:pPr>
              <w:rPr>
                <w:rFonts w:ascii="Arial" w:hAnsi="Arial" w:cs="Times New Roman"/>
                <w:b/>
                <w:bCs/>
                <w:szCs w:val="21"/>
              </w:rPr>
            </w:pPr>
          </w:p>
        </w:tc>
      </w:tr>
    </w:tbl>
    <w:p w14:paraId="76A8C3FC" w14:textId="77777777" w:rsidR="00E57DAA" w:rsidRDefault="00E57DAA" w:rsidP="00C25422">
      <w:pPr>
        <w:pStyle w:val="92"/>
      </w:pPr>
    </w:p>
    <w:bookmarkEnd w:id="141"/>
    <w:p w14:paraId="437394E8" w14:textId="77777777" w:rsidR="00E57DAA" w:rsidRDefault="00AC4185">
      <w:pPr>
        <w:pStyle w:val="2"/>
        <w:numPr>
          <w:ilvl w:val="0"/>
          <w:numId w:val="53"/>
        </w:numPr>
      </w:pPr>
      <w:r>
        <w:rPr>
          <w:rFonts w:hint="eastAsia"/>
        </w:rPr>
        <w:t>可转换公司债券情况</w:t>
      </w:r>
    </w:p>
    <w:sdt>
      <w:sdtPr>
        <w:rPr>
          <w:rFonts w:hint="eastAsia"/>
        </w:rPr>
        <w:alias w:val="是否适用：可转换公司债券情况[双击切换]"/>
        <w:tag w:val="_GBC_9680c57d3e6a4ee9b01aefbd4b8545db"/>
        <w:id w:val="2140152597"/>
        <w:placeholder>
          <w:docPart w:val="GBC22222222222222222222222222222"/>
        </w:placeholder>
      </w:sdtPr>
      <w:sdtEndPr/>
      <w:sdtContent>
        <w:p w14:paraId="44245396"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A76A06" w14:textId="77777777" w:rsidR="00E57DAA" w:rsidRDefault="00E57DAA">
      <w:pPr>
        <w:rPr>
          <w:szCs w:val="21"/>
        </w:rPr>
      </w:pPr>
    </w:p>
    <w:p w14:paraId="719B3B6C" w14:textId="77777777" w:rsidR="00D2158E" w:rsidRDefault="00D2158E">
      <w:pPr>
        <w:rPr>
          <w:szCs w:val="21"/>
        </w:rPr>
      </w:pPr>
    </w:p>
    <w:p w14:paraId="6B4396DE" w14:textId="77777777" w:rsidR="00D2158E" w:rsidRDefault="00D2158E">
      <w:pPr>
        <w:rPr>
          <w:szCs w:val="21"/>
        </w:rPr>
      </w:pPr>
    </w:p>
    <w:p w14:paraId="1AFFAD93" w14:textId="77777777" w:rsidR="00D2158E" w:rsidRDefault="00D2158E">
      <w:pPr>
        <w:rPr>
          <w:szCs w:val="21"/>
        </w:rPr>
      </w:pPr>
    </w:p>
    <w:p w14:paraId="5DB29BAB" w14:textId="77777777" w:rsidR="00D2158E" w:rsidRDefault="00D2158E">
      <w:pPr>
        <w:rPr>
          <w:szCs w:val="21"/>
        </w:rPr>
      </w:pPr>
    </w:p>
    <w:p w14:paraId="280AE2F6" w14:textId="77777777" w:rsidR="00D2158E" w:rsidRDefault="00D2158E">
      <w:pPr>
        <w:rPr>
          <w:szCs w:val="21"/>
        </w:rPr>
      </w:pPr>
    </w:p>
    <w:p w14:paraId="44B1CA2A" w14:textId="77777777" w:rsidR="00D2158E" w:rsidRDefault="00D2158E">
      <w:pPr>
        <w:rPr>
          <w:szCs w:val="21"/>
        </w:rPr>
      </w:pPr>
    </w:p>
    <w:p w14:paraId="73A57C14" w14:textId="77777777" w:rsidR="00D2158E" w:rsidRDefault="00D2158E">
      <w:pPr>
        <w:rPr>
          <w:szCs w:val="21"/>
        </w:rPr>
      </w:pPr>
    </w:p>
    <w:p w14:paraId="2E960EC4" w14:textId="77777777" w:rsidR="00D2158E" w:rsidRDefault="00D2158E">
      <w:pPr>
        <w:rPr>
          <w:szCs w:val="21"/>
        </w:rPr>
      </w:pPr>
    </w:p>
    <w:p w14:paraId="4DC146A6" w14:textId="77777777" w:rsidR="00D2158E" w:rsidRDefault="00D2158E">
      <w:pPr>
        <w:rPr>
          <w:szCs w:val="21"/>
        </w:rPr>
      </w:pPr>
    </w:p>
    <w:p w14:paraId="0AC03928" w14:textId="77777777" w:rsidR="00D2158E" w:rsidRDefault="00D2158E">
      <w:pPr>
        <w:rPr>
          <w:szCs w:val="21"/>
        </w:rPr>
      </w:pPr>
    </w:p>
    <w:p w14:paraId="0B5D67C3" w14:textId="77777777" w:rsidR="00D2158E" w:rsidRDefault="00D2158E">
      <w:pPr>
        <w:rPr>
          <w:szCs w:val="21"/>
        </w:rPr>
      </w:pPr>
    </w:p>
    <w:p w14:paraId="1962481C" w14:textId="77777777" w:rsidR="00D2158E" w:rsidRDefault="00D2158E">
      <w:pPr>
        <w:rPr>
          <w:szCs w:val="21"/>
        </w:rPr>
      </w:pPr>
    </w:p>
    <w:p w14:paraId="6A750A59" w14:textId="77777777" w:rsidR="00D2158E" w:rsidRDefault="00D2158E">
      <w:pPr>
        <w:rPr>
          <w:szCs w:val="21"/>
        </w:rPr>
      </w:pPr>
    </w:p>
    <w:p w14:paraId="271AF0AB" w14:textId="77777777" w:rsidR="00D2158E" w:rsidRDefault="00D2158E">
      <w:pPr>
        <w:rPr>
          <w:szCs w:val="21"/>
        </w:rPr>
      </w:pPr>
    </w:p>
    <w:p w14:paraId="4F8F9F05" w14:textId="77777777" w:rsidR="00D2158E" w:rsidRDefault="00D2158E">
      <w:pPr>
        <w:rPr>
          <w:szCs w:val="21"/>
        </w:rPr>
      </w:pPr>
    </w:p>
    <w:p w14:paraId="53D466EB" w14:textId="77777777" w:rsidR="00D2158E" w:rsidRDefault="00D2158E">
      <w:pPr>
        <w:rPr>
          <w:szCs w:val="21"/>
        </w:rPr>
      </w:pPr>
    </w:p>
    <w:p w14:paraId="167D38FD" w14:textId="77777777" w:rsidR="00D2158E" w:rsidRDefault="00D2158E">
      <w:pPr>
        <w:rPr>
          <w:szCs w:val="21"/>
        </w:rPr>
      </w:pPr>
    </w:p>
    <w:p w14:paraId="5CFFFFCD" w14:textId="77777777" w:rsidR="00D2158E" w:rsidRDefault="00D2158E">
      <w:pPr>
        <w:rPr>
          <w:szCs w:val="21"/>
        </w:rPr>
      </w:pPr>
    </w:p>
    <w:p w14:paraId="640536A9" w14:textId="77777777" w:rsidR="00D2158E" w:rsidRDefault="00D2158E">
      <w:pPr>
        <w:rPr>
          <w:szCs w:val="21"/>
        </w:rPr>
      </w:pPr>
    </w:p>
    <w:p w14:paraId="370ECD68" w14:textId="77777777" w:rsidR="00D2158E" w:rsidRDefault="00D2158E">
      <w:pPr>
        <w:rPr>
          <w:szCs w:val="21"/>
        </w:rPr>
      </w:pPr>
    </w:p>
    <w:p w14:paraId="4DEAEAB8" w14:textId="77777777" w:rsidR="00D2158E" w:rsidRDefault="00D2158E">
      <w:pPr>
        <w:rPr>
          <w:szCs w:val="21"/>
        </w:rPr>
      </w:pPr>
    </w:p>
    <w:p w14:paraId="483B69D0" w14:textId="77777777" w:rsidR="00D2158E" w:rsidRDefault="00D2158E">
      <w:pPr>
        <w:rPr>
          <w:szCs w:val="21"/>
        </w:rPr>
      </w:pPr>
    </w:p>
    <w:p w14:paraId="2A5729A7" w14:textId="77777777" w:rsidR="00D2158E" w:rsidRDefault="00D2158E">
      <w:pPr>
        <w:rPr>
          <w:szCs w:val="21"/>
        </w:rPr>
      </w:pPr>
    </w:p>
    <w:p w14:paraId="6CE5C461" w14:textId="77777777" w:rsidR="00D2158E" w:rsidRDefault="00D2158E">
      <w:pPr>
        <w:rPr>
          <w:szCs w:val="21"/>
        </w:rPr>
      </w:pPr>
    </w:p>
    <w:p w14:paraId="45ABBFD7" w14:textId="77777777" w:rsidR="00D2158E" w:rsidRDefault="00D2158E">
      <w:pPr>
        <w:rPr>
          <w:szCs w:val="21"/>
        </w:rPr>
      </w:pPr>
    </w:p>
    <w:p w14:paraId="68EB65A8" w14:textId="77777777" w:rsidR="00D2158E" w:rsidRDefault="00D2158E">
      <w:pPr>
        <w:rPr>
          <w:szCs w:val="21"/>
        </w:rPr>
      </w:pPr>
    </w:p>
    <w:p w14:paraId="29A7D3F8" w14:textId="77777777" w:rsidR="00D2158E" w:rsidRDefault="00D2158E">
      <w:pPr>
        <w:rPr>
          <w:szCs w:val="21"/>
        </w:rPr>
      </w:pPr>
    </w:p>
    <w:p w14:paraId="267BA730" w14:textId="77777777" w:rsidR="00D2158E" w:rsidRDefault="00D2158E">
      <w:pPr>
        <w:rPr>
          <w:szCs w:val="21"/>
        </w:rPr>
      </w:pPr>
    </w:p>
    <w:p w14:paraId="70C9AAF6" w14:textId="77777777" w:rsidR="00D2158E" w:rsidRDefault="00D2158E">
      <w:pPr>
        <w:rPr>
          <w:szCs w:val="21"/>
        </w:rPr>
      </w:pPr>
    </w:p>
    <w:p w14:paraId="03B086FF" w14:textId="77777777" w:rsidR="00D2158E" w:rsidRDefault="00D2158E">
      <w:pPr>
        <w:rPr>
          <w:szCs w:val="21"/>
        </w:rPr>
      </w:pPr>
    </w:p>
    <w:p w14:paraId="2637A035" w14:textId="77777777" w:rsidR="00D2158E" w:rsidRDefault="00D2158E">
      <w:pPr>
        <w:rPr>
          <w:szCs w:val="21"/>
        </w:rPr>
      </w:pPr>
    </w:p>
    <w:p w14:paraId="3F09D43D" w14:textId="77777777" w:rsidR="00D2158E" w:rsidRDefault="00D2158E">
      <w:pPr>
        <w:rPr>
          <w:szCs w:val="21"/>
        </w:rPr>
      </w:pPr>
    </w:p>
    <w:p w14:paraId="772010D5" w14:textId="77777777" w:rsidR="00D2158E" w:rsidRDefault="00D2158E">
      <w:pPr>
        <w:rPr>
          <w:szCs w:val="21"/>
        </w:rPr>
      </w:pPr>
    </w:p>
    <w:p w14:paraId="2432B211" w14:textId="77777777" w:rsidR="00D2158E" w:rsidRDefault="00D2158E">
      <w:pPr>
        <w:rPr>
          <w:szCs w:val="21"/>
        </w:rPr>
      </w:pPr>
    </w:p>
    <w:p w14:paraId="47E6053A" w14:textId="77777777" w:rsidR="00D2158E" w:rsidRDefault="00D2158E">
      <w:pPr>
        <w:rPr>
          <w:szCs w:val="21"/>
        </w:rPr>
      </w:pPr>
    </w:p>
    <w:p w14:paraId="5E634DBF" w14:textId="77777777" w:rsidR="00D2158E" w:rsidRDefault="00D2158E">
      <w:pPr>
        <w:rPr>
          <w:szCs w:val="21"/>
        </w:rPr>
      </w:pPr>
    </w:p>
    <w:p w14:paraId="22AA83C3" w14:textId="77777777" w:rsidR="00D2158E" w:rsidRDefault="00D2158E">
      <w:pPr>
        <w:rPr>
          <w:szCs w:val="21"/>
        </w:rPr>
      </w:pPr>
    </w:p>
    <w:p w14:paraId="028D8E7C" w14:textId="77777777" w:rsidR="00D2158E" w:rsidRDefault="00D2158E">
      <w:pPr>
        <w:rPr>
          <w:szCs w:val="21"/>
        </w:rPr>
      </w:pPr>
    </w:p>
    <w:p w14:paraId="0B9FD8D5" w14:textId="77777777" w:rsidR="00D2158E" w:rsidRDefault="00D2158E">
      <w:pPr>
        <w:rPr>
          <w:szCs w:val="21"/>
        </w:rPr>
      </w:pPr>
    </w:p>
    <w:p w14:paraId="0E4E1630" w14:textId="77777777" w:rsidR="00D2158E" w:rsidRDefault="00D2158E">
      <w:pPr>
        <w:rPr>
          <w:szCs w:val="21"/>
        </w:rPr>
      </w:pPr>
    </w:p>
    <w:p w14:paraId="64B5D963" w14:textId="77777777" w:rsidR="00E57DAA" w:rsidRDefault="00AC4185">
      <w:pPr>
        <w:pStyle w:val="112"/>
        <w:numPr>
          <w:ilvl w:val="0"/>
          <w:numId w:val="3"/>
        </w:numPr>
        <w:rPr>
          <w:bCs w:val="0"/>
          <w:szCs w:val="28"/>
        </w:rPr>
      </w:pPr>
      <w:bookmarkStart w:id="159" w:name="_Toc89790257"/>
      <w:bookmarkStart w:id="160" w:name="_Toc407111364"/>
      <w:bookmarkEnd w:id="139"/>
      <w:bookmarkEnd w:id="142"/>
      <w:r>
        <w:rPr>
          <w:bCs w:val="0"/>
          <w:szCs w:val="28"/>
        </w:rPr>
        <w:lastRenderedPageBreak/>
        <w:t>财务报告</w:t>
      </w:r>
      <w:bookmarkEnd w:id="159"/>
      <w:bookmarkEnd w:id="160"/>
    </w:p>
    <w:p w14:paraId="2F619122" w14:textId="77777777" w:rsidR="00E57DAA" w:rsidRDefault="00AC4185" w:rsidP="00C25422">
      <w:pPr>
        <w:pStyle w:val="2CharCharChar1"/>
        <w:numPr>
          <w:ilvl w:val="0"/>
          <w:numId w:val="57"/>
        </w:numPr>
      </w:pPr>
      <w:r>
        <w:rPr>
          <w:rFonts w:hint="eastAsia"/>
        </w:rPr>
        <w:t>审计报告</w:t>
      </w:r>
    </w:p>
    <w:sdt>
      <w:sdtPr>
        <w:alias w:val="是否适用：审计报告[双击切换]"/>
        <w:tag w:val="_GBC_8a37b9861aa34a8d89cae86ad0133ffb"/>
        <w:id w:val="860780889"/>
        <w:placeholder>
          <w:docPart w:val="GBC22222222222222222222222222222"/>
        </w:placeholder>
      </w:sdtPr>
      <w:sdtEndPr/>
      <w:sdtContent>
        <w:p w14:paraId="4D097F3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0"/>
        </w:rPr>
        <w:alias w:val="审计报告全文"/>
        <w:tag w:val="_GBC_08aaee8d8997491cb4fc7ef77b493e65"/>
        <w:id w:val="-1566799206"/>
        <w:placeholder>
          <w:docPart w:val="GBC22222222222222222222222222222"/>
        </w:placeholder>
      </w:sdtPr>
      <w:sdtEndPr/>
      <w:sdtContent>
        <w:p w14:paraId="006183B3" w14:textId="77777777" w:rsidR="00E57DAA" w:rsidRDefault="00E57DAA">
          <w:pPr>
            <w:keepLines/>
            <w:widowControl w:val="0"/>
            <w:adjustRightInd w:val="0"/>
            <w:snapToGrid w:val="0"/>
            <w:spacing w:line="360" w:lineRule="auto"/>
            <w:jc w:val="center"/>
            <w:outlineLvl w:val="0"/>
            <w:rPr>
              <w:sz w:val="20"/>
            </w:rPr>
          </w:pPr>
        </w:p>
        <w:p w14:paraId="38061809" w14:textId="77777777" w:rsidR="00E57DAA" w:rsidRDefault="00AC4185">
          <w:pPr>
            <w:keepLines/>
            <w:widowControl w:val="0"/>
            <w:adjustRightInd w:val="0"/>
            <w:snapToGrid w:val="0"/>
            <w:spacing w:line="360" w:lineRule="auto"/>
            <w:jc w:val="center"/>
            <w:outlineLvl w:val="0"/>
            <w:rPr>
              <w:rFonts w:ascii="Times New Roman" w:eastAsia="黑体" w:hAnsi="Times New Roman" w:cs="Times New Roman"/>
              <w:b/>
              <w:spacing w:val="80"/>
              <w:kern w:val="2"/>
              <w:sz w:val="32"/>
              <w:szCs w:val="32"/>
            </w:rPr>
          </w:pPr>
          <w:r>
            <w:rPr>
              <w:rFonts w:ascii="Times New Roman" w:eastAsia="黑体" w:hAnsi="Times New Roman" w:cs="Times New Roman"/>
              <w:b/>
              <w:spacing w:val="80"/>
              <w:kern w:val="2"/>
              <w:sz w:val="32"/>
              <w:szCs w:val="32"/>
            </w:rPr>
            <w:t>审计报告</w:t>
          </w:r>
        </w:p>
        <w:p w14:paraId="5CD4D8FA" w14:textId="77777777" w:rsidR="00E57DAA" w:rsidRDefault="00E57DAA">
          <w:pPr>
            <w:keepLines/>
            <w:widowControl w:val="0"/>
            <w:adjustRightInd w:val="0"/>
            <w:snapToGrid w:val="0"/>
            <w:spacing w:line="360" w:lineRule="atLeast"/>
            <w:jc w:val="center"/>
            <w:rPr>
              <w:rFonts w:ascii="Times New Roman" w:hAnsi="Times New Roman" w:cs="Times New Roman"/>
              <w:b/>
              <w:kern w:val="2"/>
              <w:sz w:val="32"/>
            </w:rPr>
          </w:pPr>
        </w:p>
        <w:p w14:paraId="6C94D086" w14:textId="77777777" w:rsidR="00E57DAA" w:rsidRDefault="00AC4185">
          <w:pPr>
            <w:widowControl w:val="0"/>
            <w:autoSpaceDE w:val="0"/>
            <w:autoSpaceDN w:val="0"/>
            <w:adjustRightInd w:val="0"/>
            <w:snapToGrid w:val="0"/>
            <w:spacing w:line="360" w:lineRule="auto"/>
            <w:jc w:val="right"/>
            <w:rPr>
              <w:rFonts w:cs="Times New Roman"/>
              <w:b/>
              <w:szCs w:val="21"/>
            </w:rPr>
          </w:pPr>
          <w:r>
            <w:rPr>
              <w:rFonts w:cs="Times New Roman"/>
              <w:b/>
              <w:szCs w:val="21"/>
            </w:rPr>
            <w:t>大华审字[2024]0011002988号</w:t>
          </w:r>
        </w:p>
        <w:p w14:paraId="24109F7D" w14:textId="77777777" w:rsidR="00E57DAA" w:rsidRDefault="00E57DAA">
          <w:pPr>
            <w:keepLines/>
            <w:widowControl w:val="0"/>
            <w:adjustRightInd w:val="0"/>
            <w:snapToGrid w:val="0"/>
            <w:spacing w:line="360" w:lineRule="atLeast"/>
            <w:rPr>
              <w:rFonts w:ascii="Times New Roman" w:hAnsi="Times New Roman" w:cs="Times New Roman"/>
              <w:kern w:val="2"/>
              <w:sz w:val="24"/>
            </w:rPr>
          </w:pPr>
        </w:p>
        <w:p w14:paraId="2CC34D29" w14:textId="77777777" w:rsidR="00E57DAA" w:rsidRDefault="00AC4185">
          <w:pPr>
            <w:widowControl w:val="0"/>
            <w:adjustRightInd w:val="0"/>
            <w:snapToGrid w:val="0"/>
            <w:spacing w:line="360" w:lineRule="auto"/>
            <w:rPr>
              <w:rFonts w:cs="Times New Roman"/>
              <w:b/>
              <w:kern w:val="2"/>
              <w:szCs w:val="21"/>
            </w:rPr>
          </w:pPr>
          <w:r>
            <w:rPr>
              <w:rFonts w:cs="Times New Roman" w:hint="eastAsia"/>
              <w:b/>
              <w:kern w:val="2"/>
              <w:szCs w:val="21"/>
            </w:rPr>
            <w:t>中国中材国际工程股份有限公司</w:t>
          </w:r>
          <w:r>
            <w:rPr>
              <w:rFonts w:cs="Times New Roman"/>
              <w:b/>
              <w:kern w:val="2"/>
              <w:szCs w:val="21"/>
            </w:rPr>
            <w:t>全体股东：</w:t>
          </w:r>
        </w:p>
        <w:p w14:paraId="5B73F410"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一、审计意见</w:t>
          </w:r>
        </w:p>
        <w:p w14:paraId="0A66DF4F"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我们审计了中国中材国际工程股份有限公司</w:t>
          </w:r>
          <w:r>
            <w:rPr>
              <w:rFonts w:cs="Times New Roman"/>
              <w:kern w:val="2"/>
              <w:szCs w:val="21"/>
            </w:rPr>
            <w:t xml:space="preserve"> (以下简称中材国际)财务报表，包括2023年12月31日的合并及母公司资产负债表，2023年度的合并及母公司利润表、合并及母公司现金流量表、合并及母公司股东权益变动表以及相关财务报表附注。</w:t>
          </w:r>
        </w:p>
        <w:p w14:paraId="279196D8"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我们认为，后附的财务报表在所有重大方面按照企业会计准则的规定编制，公允反映了中材国际</w:t>
          </w:r>
          <w:r>
            <w:rPr>
              <w:rFonts w:cs="Times New Roman"/>
              <w:kern w:val="2"/>
              <w:szCs w:val="21"/>
            </w:rPr>
            <w:t>2023年12月31日的合并及母公司财务状况以及2023年度的合并及母公司经营成果和现金流量。</w:t>
          </w:r>
        </w:p>
        <w:p w14:paraId="17549857"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二、形成审计意见的基础</w:t>
          </w:r>
        </w:p>
        <w:p w14:paraId="2364FA1A"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按照中国注册会计师审计准则的规定执行了审计工作。审计报告的“注册会计师对财务报表审计的责任”部分进一步阐述了我们在这些准则下的责任。按照中国注册会计师职业道德守则，我们独立于中材国际，并履行了职业道德方面的其他责任。我们相信，我们获取的审计证据是充分、适当的，为发表审计意见提供了基础。</w:t>
          </w:r>
        </w:p>
        <w:p w14:paraId="73DB8FA2"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三、关键审计事项</w:t>
          </w:r>
        </w:p>
        <w:p w14:paraId="4922320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关键审计事项是我们根据职业判断，认为对本期财务报表审计最为重要的事项。这些事项的应对以对财务报表整体进行审计并形成审计意见为背景，我们不对这些事项单独发表意见。</w:t>
          </w:r>
        </w:p>
        <w:p w14:paraId="3FE66A9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我们确定下列事项是需要在审计报告中沟通的关键审计事项。</w:t>
          </w:r>
        </w:p>
        <w:p w14:paraId="05943592"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1.商誉减值</w:t>
          </w:r>
        </w:p>
        <w:p w14:paraId="21D7C82E"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2.工程技术服务的收入确认</w:t>
          </w:r>
        </w:p>
        <w:p w14:paraId="6E2751A4"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(一)商誉减值事项</w:t>
          </w:r>
        </w:p>
        <w:p w14:paraId="757404F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1.事项描述</w:t>
          </w:r>
        </w:p>
        <w:p w14:paraId="7EEFC328" w14:textId="27706D4F"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如中材国际财务报表附注</w:t>
          </w:r>
          <w:r w:rsidR="007A5971">
            <w:rPr>
              <w:rFonts w:cs="Times New Roman" w:hint="eastAsia"/>
              <w:kern w:val="2"/>
              <w:szCs w:val="21"/>
            </w:rPr>
            <w:t>五</w:t>
          </w:r>
          <w:r>
            <w:rPr>
              <w:rFonts w:cs="Times New Roman" w:hint="eastAsia"/>
              <w:kern w:val="2"/>
              <w:szCs w:val="21"/>
            </w:rPr>
            <w:t>、</w:t>
          </w:r>
          <w:r>
            <w:rPr>
              <w:rFonts w:cs="Times New Roman"/>
              <w:kern w:val="2"/>
              <w:szCs w:val="21"/>
            </w:rPr>
            <w:t>31及附注</w:t>
          </w:r>
          <w:r w:rsidR="007A5971">
            <w:rPr>
              <w:rFonts w:cs="Times New Roman" w:hint="eastAsia"/>
              <w:kern w:val="2"/>
              <w:szCs w:val="21"/>
            </w:rPr>
            <w:t>七</w:t>
          </w:r>
          <w:r>
            <w:rPr>
              <w:rFonts w:cs="Times New Roman"/>
              <w:kern w:val="2"/>
              <w:szCs w:val="21"/>
            </w:rPr>
            <w:t>、注释27所述，于2023年12月31日，中材国际商誉净值为7.82亿元，主要为中材国际收购</w:t>
          </w:r>
          <w:proofErr w:type="spellStart"/>
          <w:r>
            <w:rPr>
              <w:rFonts w:cs="Times New Roman"/>
              <w:kern w:val="2"/>
              <w:szCs w:val="21"/>
            </w:rPr>
            <w:t>HAZEMAG&amp;EPRGmbH</w:t>
          </w:r>
          <w:proofErr w:type="spellEnd"/>
          <w:r>
            <w:rPr>
              <w:rFonts w:cs="Times New Roman"/>
              <w:kern w:val="2"/>
              <w:szCs w:val="21"/>
            </w:rPr>
            <w:t>、中材国际水务科技（合肥）有限公司、浙江博宇机电有限公司、中材智能科技（成都）有限公司形成，属于中材国际的重要资产，对财务报表整体具有重要性。</w:t>
          </w:r>
        </w:p>
        <w:p w14:paraId="4F1EDBBA"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根据《企业会计准则第</w:t>
          </w:r>
          <w:r>
            <w:rPr>
              <w:rFonts w:cs="Times New Roman"/>
              <w:kern w:val="2"/>
              <w:szCs w:val="21"/>
            </w:rPr>
            <w:t>8号-资产减值》的规定，每年年度终了，中材国际需要对商誉进行</w:t>
          </w:r>
          <w:r>
            <w:rPr>
              <w:rFonts w:cs="Times New Roman"/>
              <w:kern w:val="2"/>
              <w:szCs w:val="21"/>
            </w:rPr>
            <w:lastRenderedPageBreak/>
            <w:t>减值测试，该等减值的测试过程复杂，需要依赖管理层对收购子公司包含商誉资产组组合预计未来收入及现金流折现率等假设做出判断和估计。基于上述原因，我们将商誉减值确定为关键审计事项。</w:t>
          </w:r>
        </w:p>
        <w:p w14:paraId="6DE054B2"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2.审计应对</w:t>
          </w:r>
        </w:p>
        <w:p w14:paraId="521E209B"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我们对于商誉减值所实施的重要审计程序包括：</w:t>
          </w:r>
        </w:p>
        <w:p w14:paraId="68D5C288"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1）对与商誉减值测试相关的内部控制进行了解和评价，并测试关键内部控制执行的有效性；</w:t>
          </w:r>
        </w:p>
        <w:p w14:paraId="6B94CEA5"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2）复核管理层划分资产组及资产组组合的合理性；</w:t>
          </w:r>
        </w:p>
        <w:p w14:paraId="46C877B8"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3）结合我们对各收购子公司的业务和行业及过去的经营情况的了解，与中材国际管理层讨论，评估管理层商誉减值测试过程中所使用的方法、关键评估的假设、参数的选择、预计未来收入及现金流折现率等的合理性，评估其是否按照中材国际商誉减值测试会计政策执行，分析是否存在管理层偏向；</w:t>
          </w:r>
        </w:p>
        <w:p w14:paraId="13A5975A"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4）评价由管理层聘请的评估师的胜任能力、专业素质和客观性；并与评估师充分讨论评估方法、评估参数和关键假设等的合理性；</w:t>
          </w:r>
        </w:p>
        <w:p w14:paraId="52AC1270"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5）评估管理层对商誉及其减值估计结果、财务报表的披露是否恰当。</w:t>
          </w:r>
        </w:p>
        <w:p w14:paraId="2E4C3C1D"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基于已执行的审计工作，我们认为，管理层对商誉减值的相关判断及估计是合理的。</w:t>
          </w:r>
        </w:p>
        <w:p w14:paraId="3DAAEDD1"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(二)工程技术服务的收入确认事项</w:t>
          </w:r>
        </w:p>
        <w:p w14:paraId="61723720"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1.事项描述</w:t>
          </w:r>
        </w:p>
        <w:p w14:paraId="75B9BC6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如中材国际财务报表附注十三、注释</w:t>
          </w:r>
          <w:r>
            <w:rPr>
              <w:rFonts w:cs="Times New Roman"/>
              <w:kern w:val="2"/>
              <w:szCs w:val="21"/>
            </w:rPr>
            <w:t>61所述，中材国际的营业收入主要来自于工程技术服务收入，2023年度工程技术服务收入为2,666,494.43万元。</w:t>
          </w:r>
        </w:p>
        <w:p w14:paraId="717DF6A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如财务报表附注三（三十七）所述，中材国际工程技术服务业务，属于在某一时间段内履行的履约义务，在合同期内按照投入法确定的履约进度确认收入。管理层根据工程承包项目的合同预算，对合同预计总收入、合同预计总成本作出合理估计以确定合同的履约进度，并于合同执行过程中持续进行评估和修订，涉及管理层运用重大会计估计和判断。基于上述原因，我们将工程技术服务业务的收入确认确定为关键审计事项。</w:t>
          </w:r>
        </w:p>
        <w:p w14:paraId="086CAE9A"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2.审计应对</w:t>
          </w:r>
        </w:p>
        <w:p w14:paraId="4C731180"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我们对于工程技术业务的收入确认所实施的重要审计程序包括：</w:t>
          </w:r>
        </w:p>
        <w:p w14:paraId="7573473E"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1）测试和评价与工程建设项目预算编制和收入确认相关的关键内部控制的有效性；</w:t>
          </w:r>
        </w:p>
        <w:p w14:paraId="62811D5E"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2）抽样复核工程建设合同台账中的工程项目合同，评价管理层对在某一时点还是某一时间段内履约判断的正确性，以及评价管理层对交易价格与可变对价评估的合理性；</w:t>
          </w:r>
        </w:p>
        <w:p w14:paraId="0E508521"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3）抽样选取工程建设项目样本，检查预计总收入和预计总成本所依据的工程项目合同和成本预算资料，评价管理层所作估计是否合理，依据是否充分；</w:t>
          </w:r>
        </w:p>
        <w:p w14:paraId="420FFEA2"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4）选取样本对本年度发生的合同履约成本进行测试；</w:t>
          </w:r>
        </w:p>
        <w:p w14:paraId="7AA856CD"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w:t>
          </w:r>
          <w:r>
            <w:rPr>
              <w:rFonts w:cs="Times New Roman"/>
              <w:kern w:val="2"/>
              <w:szCs w:val="21"/>
            </w:rPr>
            <w:t>5）抽样选取工程建设项目，重新计算其履约进度，以验证其准确性；</w:t>
          </w:r>
        </w:p>
        <w:p w14:paraId="27170164"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lastRenderedPageBreak/>
            <w:t>（</w:t>
          </w:r>
          <w:r>
            <w:rPr>
              <w:rFonts w:cs="Times New Roman"/>
              <w:kern w:val="2"/>
              <w:szCs w:val="21"/>
            </w:rPr>
            <w:t>6）选取重大项目，对工程形象进度进行现场查看，并与账面记录的履约进度进行比较。</w:t>
          </w:r>
        </w:p>
        <w:p w14:paraId="389D2A2D"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基于已执行的审计工作，我们认为，管理层对工程技术服务业务收入确认的相关判断是合理的。</w:t>
          </w:r>
        </w:p>
        <w:p w14:paraId="0067D9D1"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四、其他信息</w:t>
          </w:r>
        </w:p>
        <w:p w14:paraId="2B1BD5C2"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中材国际管理层对其他信息负责。其他信息包括</w:t>
          </w:r>
          <w:r>
            <w:rPr>
              <w:rFonts w:cs="Times New Roman"/>
              <w:kern w:val="2"/>
              <w:szCs w:val="21"/>
            </w:rPr>
            <w:t>2023年年度报告中涵盖的信息，但不包括财务报表和我们的审计报告。</w:t>
          </w:r>
        </w:p>
        <w:p w14:paraId="65E43B1C"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我们对财务报表发表的审计意见不涵盖其他信息，我们也不对其他信息发表任何形式的鉴证结论。</w:t>
          </w:r>
        </w:p>
        <w:p w14:paraId="7FBC7BE8"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结合我们对财务报表的审计，我们的责任是阅读其他信息，在此过程中，考虑其他信息是否与财务报表或我们在审计过程中了解的情况存在重大不一致或者似乎存在重大错报。</w:t>
          </w:r>
        </w:p>
        <w:p w14:paraId="7CEA7235"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基于我们已执行的工作，如果我们确定其他信息存在重大错报，我们应当报告该事实。在这方面，我们无任何事项需要报告。</w:t>
          </w:r>
        </w:p>
        <w:p w14:paraId="492C5011"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五、管理层和治理层对财务报表的责任</w:t>
          </w:r>
        </w:p>
        <w:p w14:paraId="44087CE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中材国际管理层负责按照企业会计准则的规定编制财务报表，使其实现公允反映，并设计、执行和维护必要的内部控制，以使财务报表不存在由于舞弊或错误导致的重大错报。</w:t>
          </w:r>
        </w:p>
        <w:p w14:paraId="14ACBD3B"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在编制财务报表时，中材国际管理层负责评估中材国际的持续经营能力，披露与持续经营相关的事项（如适用），并运用持续经营假设，除非管理层计划清算中材国际、终止运营或别无其他现实的选择。</w:t>
          </w:r>
        </w:p>
        <w:p w14:paraId="41E437F5"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治理层负责监督中材国际的财务报告过程。</w:t>
          </w:r>
        </w:p>
        <w:p w14:paraId="6B437C55" w14:textId="77777777" w:rsidR="00E57DAA" w:rsidRDefault="00AC4185">
          <w:pPr>
            <w:widowControl w:val="0"/>
            <w:autoSpaceDE w:val="0"/>
            <w:snapToGrid w:val="0"/>
            <w:spacing w:line="360" w:lineRule="auto"/>
            <w:ind w:firstLineChars="200" w:firstLine="422"/>
            <w:jc w:val="both"/>
            <w:rPr>
              <w:rFonts w:cs="Times New Roman"/>
              <w:b/>
              <w:bCs/>
              <w:kern w:val="2"/>
              <w:szCs w:val="21"/>
            </w:rPr>
          </w:pPr>
          <w:r>
            <w:rPr>
              <w:rFonts w:cs="Times New Roman" w:hint="eastAsia"/>
              <w:b/>
              <w:bCs/>
              <w:kern w:val="2"/>
              <w:szCs w:val="21"/>
            </w:rPr>
            <w:t>六、注册会计师对财务报表审计的责任</w:t>
          </w:r>
        </w:p>
        <w:p w14:paraId="1705A9EA"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4F54322D"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在按照审计准则执行审计工作的过程中，我们运用职业判断，并保持职业怀疑。同时，我们也执行以下工作：</w:t>
          </w:r>
        </w:p>
        <w:p w14:paraId="6C15BCB7"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1.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18F5A68E"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2.了解与审计相关的内部控制，以设计恰当的审计程序。</w:t>
          </w:r>
        </w:p>
        <w:p w14:paraId="2303429F"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3.评价管理层选用会计政策的恰当性和作出会计估计及相关披露的合理性。</w:t>
          </w:r>
        </w:p>
        <w:p w14:paraId="4F1F879B"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4.对管理层使用持续经营假设的恰当性得出结论。同时，根据获取的审计证据，就可能导致对中材国际持续经营能力产生重大疑虑的事项或情况是否存在重大不确定性得出结论。如果我们</w:t>
          </w:r>
          <w:r>
            <w:rPr>
              <w:rFonts w:cs="Times New Roman"/>
              <w:kern w:val="2"/>
              <w:szCs w:val="21"/>
            </w:rPr>
            <w:lastRenderedPageBreak/>
            <w:t>得出结论认为存在重大不确定性，审计准则要求我们在审计报告中提请报告使用者注意财务报表中的相关披露；如果披露不充分，我们应当发表非无保留意见。我们的结论基于截至审计报告日可获得的信息。然而，未来的事项或情况可能导致中材国际不能持续经营。</w:t>
          </w:r>
        </w:p>
        <w:p w14:paraId="07A227D8"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5.评价财务报表的总体列报、结构和内容，并评价财务报表是否公允反映相关交易和事项。</w:t>
          </w:r>
        </w:p>
        <w:p w14:paraId="72DF377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kern w:val="2"/>
              <w:szCs w:val="21"/>
            </w:rPr>
            <w:t>6.就中材国际中实体或业务活动的财务信息获取充分、适当的审计证据，以对财务报表发表意见。我们负责指导、监督和执行集团审计，并对审计意见承担全部责任。</w:t>
          </w:r>
        </w:p>
        <w:p w14:paraId="78600B06"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我们与治理层就计划的审计范围、时间安排和重大审计发现等事项进行沟通，包括沟通我们在审计中识别出的值得关注的内部控制缺陷。</w:t>
          </w:r>
        </w:p>
        <w:p w14:paraId="1793DEF1"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我们还就已遵守与独立性相关的职业道德要求向治理层提供声明，并与治理层沟通可能被合理认为影响我们独立性的所有关系和其他事项，以及相关的防范措施（如适用）。</w:t>
          </w:r>
        </w:p>
        <w:p w14:paraId="1EDC7D79" w14:textId="77777777" w:rsidR="00E57DAA" w:rsidRDefault="00AC4185">
          <w:pPr>
            <w:widowControl w:val="0"/>
            <w:autoSpaceDE w:val="0"/>
            <w:snapToGrid w:val="0"/>
            <w:spacing w:line="360" w:lineRule="auto"/>
            <w:ind w:firstLineChars="200" w:firstLine="420"/>
            <w:jc w:val="both"/>
            <w:rPr>
              <w:rFonts w:cs="Times New Roman"/>
              <w:kern w:val="2"/>
              <w:szCs w:val="21"/>
            </w:rPr>
          </w:pPr>
          <w:r>
            <w:rPr>
              <w:rFonts w:cs="Times New Roman" w:hint="eastAsia"/>
              <w:kern w:val="2"/>
              <w:szCs w:val="21"/>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0BC64E19" w14:textId="77777777" w:rsidR="00E57DAA" w:rsidRDefault="00E57DAA">
          <w:pPr>
            <w:widowControl w:val="0"/>
            <w:autoSpaceDE w:val="0"/>
            <w:snapToGrid w:val="0"/>
            <w:spacing w:line="360" w:lineRule="auto"/>
            <w:ind w:firstLineChars="200" w:firstLine="420"/>
            <w:jc w:val="both"/>
            <w:rPr>
              <w:rFonts w:cs="Times New Roman"/>
              <w:kern w:val="2"/>
              <w:szCs w:val="21"/>
            </w:rPr>
          </w:pPr>
        </w:p>
        <w:p w14:paraId="51AEBEF7" w14:textId="77777777" w:rsidR="00E57DAA" w:rsidRDefault="00E57DAA">
          <w:pPr>
            <w:widowControl w:val="0"/>
            <w:autoSpaceDE w:val="0"/>
            <w:snapToGrid w:val="0"/>
            <w:spacing w:line="360" w:lineRule="auto"/>
            <w:ind w:firstLineChars="200" w:firstLine="420"/>
            <w:jc w:val="both"/>
            <w:rPr>
              <w:rFonts w:cs="Times New Roman"/>
              <w:kern w:val="2"/>
              <w:szCs w:val="21"/>
            </w:rPr>
          </w:pPr>
        </w:p>
        <w:p w14:paraId="37E0F82D" w14:textId="77777777" w:rsidR="00E57DAA" w:rsidRDefault="00AC4185">
          <w:pPr>
            <w:widowControl w:val="0"/>
            <w:autoSpaceDE w:val="0"/>
            <w:spacing w:line="360" w:lineRule="auto"/>
            <w:ind w:firstLineChars="200" w:firstLine="420"/>
            <w:jc w:val="both"/>
            <w:rPr>
              <w:rFonts w:cs="仿宋_GB2312"/>
              <w:kern w:val="2"/>
              <w:szCs w:val="21"/>
            </w:rPr>
          </w:pPr>
          <w:r>
            <w:rPr>
              <w:rFonts w:cs="仿宋_GB2312" w:hint="eastAsia"/>
              <w:kern w:val="2"/>
              <w:szCs w:val="21"/>
            </w:rPr>
            <w:t>（此页无正文）</w:t>
          </w:r>
        </w:p>
        <w:p w14:paraId="4C9DA625" w14:textId="77777777" w:rsidR="00E57DAA" w:rsidRDefault="00E57DAA">
          <w:pPr>
            <w:widowControl w:val="0"/>
            <w:autoSpaceDE w:val="0"/>
            <w:spacing w:line="360" w:lineRule="auto"/>
            <w:jc w:val="both"/>
            <w:rPr>
              <w:rFonts w:cs="仿宋_GB2312"/>
              <w:kern w:val="2"/>
              <w:szCs w:val="21"/>
            </w:rPr>
          </w:pPr>
        </w:p>
        <w:p w14:paraId="56FBC470" w14:textId="77777777" w:rsidR="00E57DAA" w:rsidRDefault="00E57DAA">
          <w:pPr>
            <w:widowControl w:val="0"/>
            <w:autoSpaceDE w:val="0"/>
            <w:spacing w:line="360" w:lineRule="auto"/>
            <w:jc w:val="both"/>
            <w:rPr>
              <w:rFonts w:cs="仿宋_GB2312"/>
              <w:kern w:val="2"/>
              <w:szCs w:val="21"/>
            </w:rPr>
          </w:pPr>
        </w:p>
        <w:p w14:paraId="13ABE537" w14:textId="77777777" w:rsidR="00E57DAA" w:rsidRDefault="00E57DAA">
          <w:pPr>
            <w:widowControl w:val="0"/>
            <w:autoSpaceDE w:val="0"/>
            <w:spacing w:line="360" w:lineRule="auto"/>
            <w:jc w:val="both"/>
            <w:rPr>
              <w:rFonts w:cs="仿宋_GB2312"/>
              <w:kern w:val="2"/>
              <w:szCs w:val="21"/>
            </w:rPr>
          </w:pPr>
        </w:p>
        <w:p w14:paraId="4485315E" w14:textId="77777777" w:rsidR="00E57DAA" w:rsidRDefault="00E57DAA">
          <w:pPr>
            <w:widowControl w:val="0"/>
            <w:tabs>
              <w:tab w:val="center" w:pos="5103"/>
            </w:tabs>
            <w:snapToGrid w:val="0"/>
            <w:spacing w:line="360" w:lineRule="auto"/>
            <w:rPr>
              <w:rFonts w:ascii="Times New Roman" w:hAnsi="Times New Roman" w:cs="Times New Roman"/>
              <w:kern w:val="2"/>
              <w:szCs w:val="21"/>
            </w:rPr>
          </w:pPr>
        </w:p>
        <w:tbl>
          <w:tblPr>
            <w:tblStyle w:val="g8"/>
            <w:tblW w:w="5000" w:type="pct"/>
            <w:jc w:val="center"/>
            <w:tblInd w:w="0" w:type="dxa"/>
            <w:tblLayout w:type="fixed"/>
            <w:tblLook w:val="04A0" w:firstRow="1" w:lastRow="0" w:firstColumn="1" w:lastColumn="0" w:noHBand="0" w:noVBand="1"/>
          </w:tblPr>
          <w:tblGrid>
            <w:gridCol w:w="4670"/>
            <w:gridCol w:w="350"/>
            <w:gridCol w:w="2511"/>
            <w:gridCol w:w="1302"/>
          </w:tblGrid>
          <w:tr w:rsidR="00E57DAA" w14:paraId="79EEC9B3" w14:textId="77777777">
            <w:trPr>
              <w:trHeight w:hRule="exact" w:val="454"/>
              <w:jc w:val="center"/>
            </w:trPr>
            <w:tc>
              <w:tcPr>
                <w:tcW w:w="4395" w:type="dxa"/>
                <w:vAlign w:val="center"/>
              </w:tcPr>
              <w:p w14:paraId="44C3BA71" w14:textId="77777777" w:rsidR="00E57DAA" w:rsidRDefault="00AC4185">
                <w:pPr>
                  <w:snapToGrid w:val="0"/>
                  <w:ind w:leftChars="-25" w:left="-53" w:rightChars="-25" w:right="-53"/>
                  <w:jc w:val="center"/>
                  <w:rPr>
                    <w:rFonts w:cs="Times New Roman"/>
                    <w:szCs w:val="21"/>
                  </w:rPr>
                </w:pPr>
                <w:r>
                  <w:rPr>
                    <w:rFonts w:cs="Times New Roman"/>
                    <w:szCs w:val="21"/>
                  </w:rPr>
                  <w:t>大华会计师事务所(特殊普通合伙)</w:t>
                </w:r>
              </w:p>
            </w:tc>
            <w:tc>
              <w:tcPr>
                <w:tcW w:w="329" w:type="dxa"/>
                <w:vAlign w:val="center"/>
              </w:tcPr>
              <w:p w14:paraId="23D44BFB" w14:textId="77777777" w:rsidR="00E57DAA" w:rsidRDefault="00E57DAA">
                <w:pPr>
                  <w:snapToGrid w:val="0"/>
                  <w:rPr>
                    <w:rFonts w:cs="Times New Roman"/>
                    <w:szCs w:val="21"/>
                  </w:rPr>
                </w:pPr>
              </w:p>
            </w:tc>
            <w:tc>
              <w:tcPr>
                <w:tcW w:w="2363" w:type="dxa"/>
                <w:vAlign w:val="center"/>
              </w:tcPr>
              <w:p w14:paraId="2273A83D" w14:textId="77777777" w:rsidR="00E57DAA" w:rsidRDefault="00AC4185">
                <w:pPr>
                  <w:snapToGrid w:val="0"/>
                  <w:ind w:leftChars="-25" w:left="-53" w:rightChars="-25" w:right="-53"/>
                  <w:jc w:val="center"/>
                  <w:rPr>
                    <w:rFonts w:cs="Times New Roman"/>
                    <w:szCs w:val="21"/>
                  </w:rPr>
                </w:pPr>
                <w:r>
                  <w:rPr>
                    <w:rFonts w:cs="Times New Roman"/>
                    <w:szCs w:val="21"/>
                  </w:rPr>
                  <w:t>中国注册会计师</w:t>
                </w:r>
                <w:r>
                  <w:rPr>
                    <w:rFonts w:cs="Times New Roman" w:hint="eastAsia"/>
                    <w:szCs w:val="21"/>
                  </w:rPr>
                  <w:t>：</w:t>
                </w:r>
              </w:p>
            </w:tc>
            <w:tc>
              <w:tcPr>
                <w:tcW w:w="1225" w:type="dxa"/>
                <w:tcBorders>
                  <w:bottom w:val="single" w:sz="4" w:space="0" w:color="auto"/>
                </w:tcBorders>
                <w:vAlign w:val="center"/>
              </w:tcPr>
              <w:p w14:paraId="4A09EDA6" w14:textId="77777777" w:rsidR="00E57DAA" w:rsidRDefault="00E57DAA">
                <w:pPr>
                  <w:snapToGrid w:val="0"/>
                  <w:jc w:val="center"/>
                  <w:rPr>
                    <w:rFonts w:cs="Times New Roman"/>
                    <w:szCs w:val="21"/>
                  </w:rPr>
                </w:pPr>
              </w:p>
            </w:tc>
          </w:tr>
          <w:tr w:rsidR="00E57DAA" w14:paraId="6855AC1F" w14:textId="77777777">
            <w:trPr>
              <w:trHeight w:hRule="exact" w:val="964"/>
              <w:jc w:val="center"/>
            </w:trPr>
            <w:tc>
              <w:tcPr>
                <w:tcW w:w="4395" w:type="dxa"/>
                <w:vMerge w:val="restart"/>
                <w:vAlign w:val="center"/>
              </w:tcPr>
              <w:p w14:paraId="58BCD468" w14:textId="77777777" w:rsidR="00E57DAA" w:rsidRDefault="00AC4185">
                <w:pPr>
                  <w:snapToGrid w:val="0"/>
                  <w:jc w:val="center"/>
                  <w:rPr>
                    <w:rFonts w:cs="Times New Roman"/>
                    <w:szCs w:val="21"/>
                  </w:rPr>
                </w:pPr>
                <w:r>
                  <w:rPr>
                    <w:rFonts w:cs="Times New Roman"/>
                    <w:kern w:val="2"/>
                    <w:szCs w:val="21"/>
                  </w:rPr>
                  <w:t>中国</w:t>
                </w:r>
                <w:r>
                  <w:rPr>
                    <w:rFonts w:cs="Times New Roman"/>
                    <w:b/>
                    <w:kern w:val="2"/>
                    <w:szCs w:val="21"/>
                  </w:rPr>
                  <w:t>·</w:t>
                </w:r>
                <w:r>
                  <w:rPr>
                    <w:rFonts w:cs="Times New Roman"/>
                    <w:kern w:val="2"/>
                    <w:szCs w:val="21"/>
                  </w:rPr>
                  <w:t>北京</w:t>
                </w:r>
              </w:p>
            </w:tc>
            <w:tc>
              <w:tcPr>
                <w:tcW w:w="329" w:type="dxa"/>
                <w:vAlign w:val="center"/>
              </w:tcPr>
              <w:p w14:paraId="5F2D87B3" w14:textId="77777777" w:rsidR="00E57DAA" w:rsidRDefault="00E57DAA">
                <w:pPr>
                  <w:snapToGrid w:val="0"/>
                  <w:rPr>
                    <w:rFonts w:cs="Times New Roman"/>
                    <w:szCs w:val="21"/>
                  </w:rPr>
                </w:pPr>
              </w:p>
            </w:tc>
            <w:tc>
              <w:tcPr>
                <w:tcW w:w="2363" w:type="dxa"/>
                <w:vAlign w:val="center"/>
              </w:tcPr>
              <w:p w14:paraId="70BBC9C6" w14:textId="77777777" w:rsidR="00E57DAA" w:rsidRDefault="00AC4185">
                <w:pPr>
                  <w:snapToGrid w:val="0"/>
                  <w:spacing w:afterLines="75" w:after="180"/>
                  <w:jc w:val="center"/>
                  <w:rPr>
                    <w:rFonts w:cs="Times New Roman"/>
                    <w:szCs w:val="21"/>
                  </w:rPr>
                </w:pPr>
                <w:r>
                  <w:rPr>
                    <w:rFonts w:cs="Times New Roman" w:hint="eastAsia"/>
                    <w:szCs w:val="21"/>
                  </w:rPr>
                  <w:t>（</w:t>
                </w:r>
                <w:r>
                  <w:rPr>
                    <w:rFonts w:cs="Times New Roman"/>
                    <w:szCs w:val="21"/>
                  </w:rPr>
                  <w:t>项目合伙人）</w:t>
                </w:r>
              </w:p>
            </w:tc>
            <w:tc>
              <w:tcPr>
                <w:tcW w:w="1225" w:type="dxa"/>
                <w:tcBorders>
                  <w:top w:val="single" w:sz="4" w:space="0" w:color="auto"/>
                </w:tcBorders>
                <w:vAlign w:val="center"/>
              </w:tcPr>
              <w:p w14:paraId="6F389269" w14:textId="77777777" w:rsidR="00E57DAA" w:rsidRDefault="00AC4185">
                <w:pPr>
                  <w:snapToGrid w:val="0"/>
                  <w:spacing w:afterLines="75" w:after="180"/>
                  <w:jc w:val="center"/>
                  <w:rPr>
                    <w:rFonts w:cs="Times New Roman"/>
                    <w:szCs w:val="21"/>
                  </w:rPr>
                </w:pPr>
                <w:r>
                  <w:rPr>
                    <w:rFonts w:cs="Times New Roman" w:hint="eastAsia"/>
                    <w:szCs w:val="21"/>
                  </w:rPr>
                  <w:t>范鹏飞</w:t>
                </w:r>
              </w:p>
            </w:tc>
          </w:tr>
          <w:tr w:rsidR="00E57DAA" w14:paraId="66BD4FA9" w14:textId="77777777">
            <w:trPr>
              <w:trHeight w:hRule="exact" w:val="454"/>
              <w:jc w:val="center"/>
            </w:trPr>
            <w:tc>
              <w:tcPr>
                <w:tcW w:w="4395" w:type="dxa"/>
                <w:vMerge/>
                <w:vAlign w:val="center"/>
              </w:tcPr>
              <w:p w14:paraId="39B90358" w14:textId="77777777" w:rsidR="00E57DAA" w:rsidRDefault="00E57DAA">
                <w:pPr>
                  <w:snapToGrid w:val="0"/>
                  <w:jc w:val="center"/>
                  <w:rPr>
                    <w:rFonts w:cs="Times New Roman"/>
                    <w:szCs w:val="21"/>
                  </w:rPr>
                </w:pPr>
              </w:p>
            </w:tc>
            <w:tc>
              <w:tcPr>
                <w:tcW w:w="329" w:type="dxa"/>
                <w:vAlign w:val="center"/>
              </w:tcPr>
              <w:p w14:paraId="09C217E5" w14:textId="77777777" w:rsidR="00E57DAA" w:rsidRDefault="00E57DAA">
                <w:pPr>
                  <w:snapToGrid w:val="0"/>
                  <w:rPr>
                    <w:rFonts w:cs="Times New Roman"/>
                    <w:szCs w:val="21"/>
                  </w:rPr>
                </w:pPr>
              </w:p>
            </w:tc>
            <w:tc>
              <w:tcPr>
                <w:tcW w:w="2363" w:type="dxa"/>
                <w:vAlign w:val="center"/>
              </w:tcPr>
              <w:p w14:paraId="761B6642" w14:textId="77777777" w:rsidR="00E57DAA" w:rsidRDefault="00AC4185">
                <w:pPr>
                  <w:snapToGrid w:val="0"/>
                  <w:ind w:leftChars="-25" w:left="-53" w:rightChars="-25" w:right="-53"/>
                  <w:jc w:val="center"/>
                  <w:rPr>
                    <w:rFonts w:cs="Times New Roman"/>
                    <w:szCs w:val="21"/>
                  </w:rPr>
                </w:pPr>
                <w:r>
                  <w:rPr>
                    <w:rFonts w:cs="Times New Roman"/>
                    <w:szCs w:val="21"/>
                  </w:rPr>
                  <w:t>中国注册会计师</w:t>
                </w:r>
                <w:r>
                  <w:rPr>
                    <w:rFonts w:cs="Times New Roman" w:hint="eastAsia"/>
                    <w:szCs w:val="21"/>
                  </w:rPr>
                  <w:t>：</w:t>
                </w:r>
              </w:p>
            </w:tc>
            <w:tc>
              <w:tcPr>
                <w:tcW w:w="1225" w:type="dxa"/>
                <w:tcBorders>
                  <w:bottom w:val="single" w:sz="4" w:space="0" w:color="auto"/>
                </w:tcBorders>
                <w:vAlign w:val="center"/>
              </w:tcPr>
              <w:p w14:paraId="142EE96A" w14:textId="77777777" w:rsidR="00E57DAA" w:rsidRDefault="00E57DAA">
                <w:pPr>
                  <w:snapToGrid w:val="0"/>
                  <w:jc w:val="center"/>
                  <w:rPr>
                    <w:rFonts w:cs="Times New Roman"/>
                    <w:szCs w:val="21"/>
                  </w:rPr>
                </w:pPr>
              </w:p>
            </w:tc>
          </w:tr>
          <w:tr w:rsidR="00E57DAA" w14:paraId="1364C27B" w14:textId="77777777">
            <w:trPr>
              <w:trHeight w:hRule="exact" w:val="964"/>
              <w:jc w:val="center"/>
            </w:trPr>
            <w:tc>
              <w:tcPr>
                <w:tcW w:w="4395" w:type="dxa"/>
                <w:vMerge/>
                <w:vAlign w:val="center"/>
              </w:tcPr>
              <w:p w14:paraId="07A60387" w14:textId="77777777" w:rsidR="00E57DAA" w:rsidRDefault="00E57DAA">
                <w:pPr>
                  <w:snapToGrid w:val="0"/>
                  <w:jc w:val="center"/>
                  <w:rPr>
                    <w:rFonts w:cs="Times New Roman"/>
                    <w:szCs w:val="21"/>
                  </w:rPr>
                </w:pPr>
              </w:p>
            </w:tc>
            <w:tc>
              <w:tcPr>
                <w:tcW w:w="329" w:type="dxa"/>
                <w:vAlign w:val="center"/>
              </w:tcPr>
              <w:p w14:paraId="06E2128F" w14:textId="77777777" w:rsidR="00E57DAA" w:rsidRDefault="00E57DAA">
                <w:pPr>
                  <w:snapToGrid w:val="0"/>
                  <w:rPr>
                    <w:rFonts w:cs="Times New Roman"/>
                    <w:szCs w:val="21"/>
                  </w:rPr>
                </w:pPr>
              </w:p>
            </w:tc>
            <w:tc>
              <w:tcPr>
                <w:tcW w:w="2363" w:type="dxa"/>
                <w:vAlign w:val="center"/>
              </w:tcPr>
              <w:p w14:paraId="29EEBA7D" w14:textId="77777777" w:rsidR="00E57DAA" w:rsidRDefault="00E57DAA">
                <w:pPr>
                  <w:snapToGrid w:val="0"/>
                  <w:spacing w:afterLines="75" w:after="180"/>
                  <w:jc w:val="center"/>
                  <w:rPr>
                    <w:rFonts w:cs="Times New Roman"/>
                    <w:szCs w:val="21"/>
                  </w:rPr>
                </w:pPr>
              </w:p>
            </w:tc>
            <w:tc>
              <w:tcPr>
                <w:tcW w:w="1225" w:type="dxa"/>
                <w:tcBorders>
                  <w:top w:val="single" w:sz="4" w:space="0" w:color="auto"/>
                </w:tcBorders>
                <w:vAlign w:val="center"/>
              </w:tcPr>
              <w:p w14:paraId="46750C46" w14:textId="77777777" w:rsidR="00E57DAA" w:rsidRDefault="00AC4185">
                <w:pPr>
                  <w:snapToGrid w:val="0"/>
                  <w:spacing w:afterLines="75" w:after="180"/>
                  <w:jc w:val="center"/>
                  <w:rPr>
                    <w:rFonts w:cs="Times New Roman"/>
                    <w:szCs w:val="21"/>
                  </w:rPr>
                </w:pPr>
                <w:r>
                  <w:rPr>
                    <w:rFonts w:cs="Times New Roman" w:hint="eastAsia"/>
                    <w:szCs w:val="21"/>
                  </w:rPr>
                  <w:t>谭志东</w:t>
                </w:r>
              </w:p>
            </w:tc>
          </w:tr>
          <w:tr w:rsidR="00E57DAA" w14:paraId="3E563503" w14:textId="77777777">
            <w:trPr>
              <w:trHeight w:val="567"/>
              <w:jc w:val="center"/>
            </w:trPr>
            <w:tc>
              <w:tcPr>
                <w:tcW w:w="4395" w:type="dxa"/>
                <w:vAlign w:val="center"/>
              </w:tcPr>
              <w:p w14:paraId="1B85B57D" w14:textId="77777777" w:rsidR="00E57DAA" w:rsidRDefault="00E57DAA">
                <w:pPr>
                  <w:snapToGrid w:val="0"/>
                  <w:jc w:val="center"/>
                  <w:rPr>
                    <w:rFonts w:cs="Times New Roman"/>
                    <w:szCs w:val="21"/>
                  </w:rPr>
                </w:pPr>
              </w:p>
            </w:tc>
            <w:tc>
              <w:tcPr>
                <w:tcW w:w="329" w:type="dxa"/>
                <w:vAlign w:val="center"/>
              </w:tcPr>
              <w:p w14:paraId="739036DA" w14:textId="77777777" w:rsidR="00E57DAA" w:rsidRDefault="00E57DAA">
                <w:pPr>
                  <w:snapToGrid w:val="0"/>
                  <w:rPr>
                    <w:rFonts w:cs="Times New Roman"/>
                    <w:szCs w:val="21"/>
                  </w:rPr>
                </w:pPr>
              </w:p>
            </w:tc>
            <w:tc>
              <w:tcPr>
                <w:tcW w:w="3588" w:type="dxa"/>
                <w:gridSpan w:val="2"/>
                <w:vAlign w:val="center"/>
              </w:tcPr>
              <w:p w14:paraId="7E953D1B" w14:textId="77777777" w:rsidR="00E57DAA" w:rsidRDefault="00AC4185">
                <w:pPr>
                  <w:snapToGrid w:val="0"/>
                  <w:jc w:val="center"/>
                  <w:rPr>
                    <w:rFonts w:cs="Times New Roman"/>
                    <w:szCs w:val="21"/>
                  </w:rPr>
                </w:pPr>
                <w:r>
                  <w:rPr>
                    <w:rFonts w:cs="Times New Roman"/>
                    <w:szCs w:val="21"/>
                  </w:rPr>
                  <w:t>二〇二</w:t>
                </w:r>
                <w:r>
                  <w:rPr>
                    <w:rFonts w:cs="Times New Roman" w:hint="eastAsia"/>
                    <w:szCs w:val="21"/>
                  </w:rPr>
                  <w:t>四</w:t>
                </w:r>
                <w:r>
                  <w:rPr>
                    <w:rFonts w:cs="Times New Roman"/>
                    <w:kern w:val="2"/>
                    <w:szCs w:val="21"/>
                  </w:rPr>
                  <w:t>年</w:t>
                </w:r>
                <w:r>
                  <w:rPr>
                    <w:rFonts w:cs="Times New Roman" w:hint="eastAsia"/>
                    <w:kern w:val="2"/>
                    <w:szCs w:val="21"/>
                  </w:rPr>
                  <w:t>三</w:t>
                </w:r>
                <w:r>
                  <w:rPr>
                    <w:rFonts w:cs="Times New Roman"/>
                    <w:kern w:val="2"/>
                    <w:szCs w:val="21"/>
                  </w:rPr>
                  <w:t>月</w:t>
                </w:r>
                <w:r>
                  <w:rPr>
                    <w:rFonts w:cs="Times New Roman" w:hint="eastAsia"/>
                    <w:kern w:val="2"/>
                    <w:szCs w:val="21"/>
                  </w:rPr>
                  <w:t>二十五</w:t>
                </w:r>
                <w:r>
                  <w:rPr>
                    <w:rFonts w:cs="Times New Roman"/>
                    <w:kern w:val="2"/>
                    <w:szCs w:val="21"/>
                  </w:rPr>
                  <w:t>日</w:t>
                </w:r>
              </w:p>
            </w:tc>
          </w:tr>
        </w:tbl>
        <w:p w14:paraId="0C3C85D7" w14:textId="77777777" w:rsidR="00E57DAA" w:rsidRDefault="00EB41A1" w:rsidP="00C25422">
          <w:pPr>
            <w:pStyle w:val="92"/>
          </w:pPr>
        </w:p>
      </w:sdtContent>
    </w:sdt>
    <w:p w14:paraId="08E7431B" w14:textId="77777777" w:rsidR="00E57DAA" w:rsidRDefault="00E57DAA">
      <w:pPr>
        <w:sectPr w:rsidR="00E57DAA" w:rsidSect="00226547">
          <w:pgSz w:w="11906" w:h="16838"/>
          <w:pgMar w:top="1525" w:right="1276" w:bottom="1440" w:left="1797" w:header="856" w:footer="992" w:gutter="0"/>
          <w:cols w:space="425"/>
          <w:docGrid w:linePitch="312"/>
        </w:sectPr>
      </w:pPr>
    </w:p>
    <w:p w14:paraId="2B06068D" w14:textId="77777777" w:rsidR="00E57DAA" w:rsidRDefault="00E57DAA" w:rsidP="00C25422">
      <w:pPr>
        <w:pStyle w:val="92"/>
      </w:pPr>
    </w:p>
    <w:p w14:paraId="21361B5A" w14:textId="77777777" w:rsidR="00E57DAA" w:rsidRDefault="00AC4185" w:rsidP="00C25422">
      <w:pPr>
        <w:pStyle w:val="2CharCharChar1"/>
        <w:numPr>
          <w:ilvl w:val="0"/>
          <w:numId w:val="58"/>
        </w:numPr>
      </w:pPr>
      <w:r>
        <w:rPr>
          <w:rFonts w:hint="eastAsia"/>
        </w:rPr>
        <w:t>财务报表</w:t>
      </w:r>
      <w:bookmarkStart w:id="161" w:name="_Hlk24034092"/>
    </w:p>
    <w:bookmarkEnd w:id="161" w:displacedByCustomXml="next"/>
    <w:sdt>
      <w:sdtPr>
        <w:rPr>
          <w:rFonts w:ascii="宋体" w:hAnsi="宋体" w:cs="宋体" w:hint="eastAsia"/>
          <w:b w:val="0"/>
          <w:bCs w:val="0"/>
          <w:kern w:val="0"/>
          <w:szCs w:val="24"/>
        </w:rPr>
        <w:tag w:val="_SEC_da8537716f844d348642866e2e19ed15"/>
        <w:id w:val="192271797"/>
        <w:placeholder>
          <w:docPart w:val="GBC22222222222222222222222222222"/>
        </w:placeholder>
      </w:sdtPr>
      <w:sdtEndPr>
        <w:rPr>
          <w:rFonts w:hint="default"/>
        </w:rPr>
      </w:sdtEndPr>
      <w:sdtContent>
        <w:p w14:paraId="33C41427" w14:textId="77777777" w:rsidR="00E57DAA" w:rsidRDefault="00AC4185" w:rsidP="006C3CA3">
          <w:pPr>
            <w:pStyle w:val="91"/>
            <w:jc w:val="center"/>
          </w:pPr>
          <w:r>
            <w:rPr>
              <w:rFonts w:hint="eastAsia"/>
            </w:rPr>
            <w:t>合并资产负债表</w:t>
          </w:r>
        </w:p>
        <w:p w14:paraId="0445E873" w14:textId="77777777" w:rsidR="00E57DAA" w:rsidRDefault="00AC4185">
          <w:pPr>
            <w:snapToGrid w:val="0"/>
            <w:spacing w:line="240" w:lineRule="atLeast"/>
            <w:jc w:val="center"/>
            <w:rPr>
              <w:b/>
              <w:szCs w:val="21"/>
            </w:rPr>
          </w:pPr>
          <w:r>
            <w:rPr>
              <w:szCs w:val="21"/>
            </w:rPr>
            <w:t>2023年12月31日</w:t>
          </w:r>
        </w:p>
        <w:p w14:paraId="08F333CF" w14:textId="77777777" w:rsidR="00E57DAA" w:rsidRDefault="00AC4185">
          <w:pPr>
            <w:rPr>
              <w:szCs w:val="21"/>
            </w:rPr>
          </w:pPr>
          <w:r>
            <w:rPr>
              <w:szCs w:val="21"/>
            </w:rPr>
            <w:t xml:space="preserve">编制单位: </w:t>
          </w:r>
          <w:sdt>
            <w:sdtPr>
              <w:rPr>
                <w:szCs w:val="21"/>
              </w:rPr>
              <w:alias w:val="公司法定中文名称"/>
              <w:tag w:val="_GBC_22071e1c4bb04578b94539b252cb1c67"/>
              <w:id w:val="-1880235973"/>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p>
        <w:p w14:paraId="7517503B" w14:textId="77777777" w:rsidR="00E57DAA" w:rsidRDefault="00AC4185">
          <w:pPr>
            <w:jc w:val="right"/>
            <w:rPr>
              <w:szCs w:val="21"/>
            </w:rPr>
          </w:pPr>
          <w:r>
            <w:rPr>
              <w:szCs w:val="21"/>
            </w:rPr>
            <w:t>单位:</w:t>
          </w:r>
          <w:sdt>
            <w:sdtPr>
              <w:rPr>
                <w:szCs w:val="21"/>
              </w:rPr>
              <w:alias w:val="单位：合并资产负债表"/>
              <w:tag w:val="_GBC_8c6918f285a44e0f8fb06fefffa27df4"/>
              <w:id w:val="-18698327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0953b26208a64010937af0b40efed509"/>
              <w:id w:val="-3810303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69"/>
            <w:gridCol w:w="1104"/>
            <w:gridCol w:w="2485"/>
            <w:gridCol w:w="2348"/>
          </w:tblGrid>
          <w:tr w:rsidR="00E57DAA" w14:paraId="0ECF06B2" w14:textId="77777777">
            <w:sdt>
              <w:sdtPr>
                <w:tag w:val="_PLD_84c27050653a48c5a546a57ae8416994"/>
                <w:id w:val="1588959823"/>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6DE4F1" w14:textId="77777777" w:rsidR="00E57DAA" w:rsidRDefault="00AC4185">
                    <w:pPr>
                      <w:jc w:val="center"/>
                      <w:rPr>
                        <w:b/>
                        <w:szCs w:val="21"/>
                      </w:rPr>
                    </w:pPr>
                    <w:r>
                      <w:rPr>
                        <w:b/>
                        <w:szCs w:val="21"/>
                      </w:rPr>
                      <w:t>项目</w:t>
                    </w:r>
                  </w:p>
                </w:tc>
              </w:sdtContent>
            </w:sdt>
            <w:sdt>
              <w:sdtPr>
                <w:tag w:val="_PLD_8ac07e922cfc49539af3e18b6fb1e9ef"/>
                <w:id w:val="848139765"/>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04F4AE9F" w14:textId="77777777" w:rsidR="00E57DAA" w:rsidRDefault="00AC4185">
                    <w:pPr>
                      <w:jc w:val="center"/>
                      <w:rPr>
                        <w:b/>
                        <w:szCs w:val="21"/>
                      </w:rPr>
                    </w:pPr>
                    <w:r>
                      <w:rPr>
                        <w:rFonts w:hint="eastAsia"/>
                        <w:b/>
                        <w:szCs w:val="21"/>
                      </w:rPr>
                      <w:t>附注</w:t>
                    </w:r>
                  </w:p>
                </w:tc>
              </w:sdtContent>
            </w:sdt>
            <w:sdt>
              <w:sdtPr>
                <w:tag w:val="_PLD_6a3e769a95b74706b81a9893b779573c"/>
                <w:id w:val="919758522"/>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39DBBEA9" w14:textId="77777777" w:rsidR="00E57DAA" w:rsidRDefault="00AC4185">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3c9a89d7045e40ff9c0f81ac747711c4"/>
                <w:id w:val="1397548057"/>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3E2E3C60" w14:textId="77777777" w:rsidR="00E57DAA" w:rsidRDefault="00AC4185">
                    <w:pPr>
                      <w:jc w:val="center"/>
                      <w:rPr>
                        <w:b/>
                        <w:szCs w:val="21"/>
                      </w:rPr>
                    </w:pPr>
                    <w:r>
                      <w:rPr>
                        <w:rFonts w:hint="eastAsia"/>
                        <w:b/>
                        <w:szCs w:val="21"/>
                      </w:rPr>
                      <w:t>2022年12月31日</w:t>
                    </w:r>
                  </w:p>
                </w:tc>
              </w:sdtContent>
            </w:sdt>
          </w:tr>
          <w:tr w:rsidR="00E57DAA" w14:paraId="41ED5482" w14:textId="77777777">
            <w:sdt>
              <w:sdtPr>
                <w:tag w:val="_PLD_ddefc78a30fc4d35a7bb6c1f0057e4ef"/>
                <w:id w:val="-244803791"/>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74089A5" w14:textId="77777777" w:rsidR="00E57DAA" w:rsidRDefault="00AC4185">
                    <w:pPr>
                      <w:rPr>
                        <w:b/>
                        <w:color w:val="FF00FF"/>
                        <w:szCs w:val="21"/>
                      </w:rPr>
                    </w:pPr>
                    <w:r>
                      <w:rPr>
                        <w:rFonts w:hint="eastAsia"/>
                        <w:b/>
                        <w:bCs/>
                        <w:szCs w:val="21"/>
                      </w:rPr>
                      <w:t>流动资产：</w:t>
                    </w:r>
                  </w:p>
                </w:tc>
              </w:sdtContent>
            </w:sdt>
          </w:tr>
          <w:tr w:rsidR="00E57DAA" w14:paraId="3478005E" w14:textId="77777777">
            <w:tc>
              <w:tcPr>
                <w:tcW w:w="1629" w:type="pct"/>
                <w:tcBorders>
                  <w:top w:val="outset" w:sz="6" w:space="0" w:color="auto"/>
                  <w:left w:val="outset" w:sz="6" w:space="0" w:color="auto"/>
                  <w:bottom w:val="outset" w:sz="6" w:space="0" w:color="auto"/>
                  <w:right w:val="outset" w:sz="6" w:space="0" w:color="auto"/>
                </w:tcBorders>
                <w:vAlign w:val="center"/>
              </w:tcPr>
              <w:p w14:paraId="48CFE9B3" w14:textId="77777777" w:rsidR="00E57DAA" w:rsidRDefault="00AC4185">
                <w:pPr>
                  <w:ind w:firstLineChars="100" w:firstLine="210"/>
                  <w:rPr>
                    <w:szCs w:val="21"/>
                  </w:rPr>
                </w:pPr>
                <w:r>
                  <w:rPr>
                    <w:rFonts w:hint="eastAsia"/>
                    <w:szCs w:val="2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6B455623" w14:textId="77777777" w:rsidR="00E57DAA" w:rsidRDefault="00AC4185">
                <w:pPr>
                  <w:rPr>
                    <w:szCs w:val="21"/>
                  </w:rPr>
                </w:pPr>
                <w:r>
                  <w:t>七、1</w:t>
                </w:r>
              </w:p>
            </w:tc>
            <w:tc>
              <w:tcPr>
                <w:tcW w:w="1411" w:type="pct"/>
                <w:tcBorders>
                  <w:top w:val="outset" w:sz="6" w:space="0" w:color="auto"/>
                  <w:left w:val="outset" w:sz="6" w:space="0" w:color="auto"/>
                  <w:bottom w:val="outset" w:sz="6" w:space="0" w:color="auto"/>
                  <w:right w:val="outset" w:sz="6" w:space="0" w:color="auto"/>
                </w:tcBorders>
                <w:vAlign w:val="center"/>
              </w:tcPr>
              <w:p w14:paraId="5E065BF2" w14:textId="77777777" w:rsidR="00E57DAA" w:rsidRDefault="00AC4185">
                <w:pPr>
                  <w:jc w:val="right"/>
                  <w:rPr>
                    <w:szCs w:val="21"/>
                  </w:rPr>
                </w:pPr>
                <w:r>
                  <w:t>9,638,142,838.91</w:t>
                </w:r>
              </w:p>
            </w:tc>
            <w:tc>
              <w:tcPr>
                <w:tcW w:w="1333" w:type="pct"/>
                <w:tcBorders>
                  <w:top w:val="outset" w:sz="6" w:space="0" w:color="auto"/>
                  <w:left w:val="outset" w:sz="6" w:space="0" w:color="auto"/>
                  <w:bottom w:val="outset" w:sz="6" w:space="0" w:color="auto"/>
                  <w:right w:val="outset" w:sz="6" w:space="0" w:color="auto"/>
                </w:tcBorders>
                <w:vAlign w:val="center"/>
              </w:tcPr>
              <w:p w14:paraId="35024E06" w14:textId="77777777" w:rsidR="00E57DAA" w:rsidRDefault="00AC4185">
                <w:pPr>
                  <w:jc w:val="right"/>
                  <w:rPr>
                    <w:szCs w:val="21"/>
                  </w:rPr>
                </w:pPr>
                <w:r>
                  <w:t>8,984,293,922.69</w:t>
                </w:r>
              </w:p>
            </w:tc>
          </w:tr>
          <w:tr w:rsidR="00E57DAA" w14:paraId="21A87BAD" w14:textId="77777777">
            <w:tc>
              <w:tcPr>
                <w:tcW w:w="1629" w:type="pct"/>
                <w:tcBorders>
                  <w:top w:val="outset" w:sz="6" w:space="0" w:color="auto"/>
                  <w:left w:val="outset" w:sz="6" w:space="0" w:color="auto"/>
                  <w:bottom w:val="outset" w:sz="6" w:space="0" w:color="auto"/>
                  <w:right w:val="outset" w:sz="6" w:space="0" w:color="auto"/>
                </w:tcBorders>
                <w:vAlign w:val="center"/>
              </w:tcPr>
              <w:p w14:paraId="7AB2D4DC" w14:textId="77777777" w:rsidR="00E57DAA" w:rsidRDefault="00AC4185">
                <w:pPr>
                  <w:ind w:firstLineChars="100" w:firstLine="210"/>
                  <w:rPr>
                    <w:szCs w:val="21"/>
                  </w:rPr>
                </w:pPr>
                <w:r>
                  <w:rPr>
                    <w:rFonts w:hint="eastAsia"/>
                    <w:szCs w:val="21"/>
                  </w:rPr>
                  <w:t>结算备付金</w:t>
                </w:r>
              </w:p>
            </w:tc>
            <w:tc>
              <w:tcPr>
                <w:tcW w:w="627" w:type="pct"/>
                <w:tcBorders>
                  <w:top w:val="outset" w:sz="6" w:space="0" w:color="auto"/>
                  <w:left w:val="outset" w:sz="6" w:space="0" w:color="auto"/>
                  <w:bottom w:val="outset" w:sz="6" w:space="0" w:color="auto"/>
                  <w:right w:val="outset" w:sz="6" w:space="0" w:color="auto"/>
                </w:tcBorders>
                <w:vAlign w:val="center"/>
              </w:tcPr>
              <w:p w14:paraId="399CFD6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B2071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6C72A25" w14:textId="77777777" w:rsidR="00E57DAA" w:rsidRDefault="00E57DAA">
                <w:pPr>
                  <w:jc w:val="right"/>
                  <w:rPr>
                    <w:szCs w:val="21"/>
                  </w:rPr>
                </w:pPr>
              </w:p>
            </w:tc>
          </w:tr>
          <w:tr w:rsidR="00E57DAA" w14:paraId="43CB971D" w14:textId="77777777">
            <w:tc>
              <w:tcPr>
                <w:tcW w:w="1629" w:type="pct"/>
                <w:tcBorders>
                  <w:top w:val="outset" w:sz="6" w:space="0" w:color="auto"/>
                  <w:left w:val="outset" w:sz="6" w:space="0" w:color="auto"/>
                  <w:bottom w:val="outset" w:sz="6" w:space="0" w:color="auto"/>
                  <w:right w:val="outset" w:sz="6" w:space="0" w:color="auto"/>
                </w:tcBorders>
                <w:vAlign w:val="center"/>
              </w:tcPr>
              <w:p w14:paraId="579D5218" w14:textId="77777777" w:rsidR="00E57DAA" w:rsidRDefault="00AC4185">
                <w:pPr>
                  <w:ind w:firstLineChars="100" w:firstLine="210"/>
                  <w:rPr>
                    <w:szCs w:val="21"/>
                  </w:rPr>
                </w:pPr>
                <w:r>
                  <w:rPr>
                    <w:rFonts w:hint="eastAsia"/>
                    <w:szCs w:val="21"/>
                  </w:rPr>
                  <w:t>拆出资金</w:t>
                </w:r>
              </w:p>
            </w:tc>
            <w:tc>
              <w:tcPr>
                <w:tcW w:w="627" w:type="pct"/>
                <w:tcBorders>
                  <w:top w:val="outset" w:sz="6" w:space="0" w:color="auto"/>
                  <w:left w:val="outset" w:sz="6" w:space="0" w:color="auto"/>
                  <w:bottom w:val="outset" w:sz="6" w:space="0" w:color="auto"/>
                  <w:right w:val="outset" w:sz="6" w:space="0" w:color="auto"/>
                </w:tcBorders>
                <w:vAlign w:val="center"/>
              </w:tcPr>
              <w:p w14:paraId="4963500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2026A00"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1A937BA" w14:textId="77777777" w:rsidR="00E57DAA" w:rsidRDefault="00E57DAA">
                <w:pPr>
                  <w:jc w:val="right"/>
                  <w:rPr>
                    <w:szCs w:val="21"/>
                  </w:rPr>
                </w:pPr>
              </w:p>
            </w:tc>
          </w:tr>
          <w:tr w:rsidR="00E57DAA" w14:paraId="4EC595F7" w14:textId="77777777">
            <w:tc>
              <w:tcPr>
                <w:tcW w:w="1629" w:type="pct"/>
                <w:tcBorders>
                  <w:top w:val="outset" w:sz="6" w:space="0" w:color="auto"/>
                  <w:left w:val="outset" w:sz="6" w:space="0" w:color="auto"/>
                  <w:bottom w:val="outset" w:sz="6" w:space="0" w:color="auto"/>
                  <w:right w:val="outset" w:sz="6" w:space="0" w:color="auto"/>
                </w:tcBorders>
                <w:vAlign w:val="center"/>
              </w:tcPr>
              <w:p w14:paraId="74711B62" w14:textId="77777777" w:rsidR="00E57DAA" w:rsidRDefault="00AC4185">
                <w:pPr>
                  <w:ind w:firstLineChars="100" w:firstLine="210"/>
                </w:pPr>
                <w:r>
                  <w:rPr>
                    <w:rFonts w:hint="eastAsia"/>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3234755D" w14:textId="77777777" w:rsidR="00E57DAA" w:rsidRDefault="00AC4185">
                <w:pPr>
                  <w:rPr>
                    <w:szCs w:val="21"/>
                  </w:rPr>
                </w:pPr>
                <w:r>
                  <w:t>七、2</w:t>
                </w:r>
              </w:p>
            </w:tc>
            <w:tc>
              <w:tcPr>
                <w:tcW w:w="1411" w:type="pct"/>
                <w:tcBorders>
                  <w:top w:val="outset" w:sz="6" w:space="0" w:color="auto"/>
                  <w:left w:val="outset" w:sz="6" w:space="0" w:color="auto"/>
                  <w:bottom w:val="outset" w:sz="6" w:space="0" w:color="auto"/>
                  <w:right w:val="outset" w:sz="6" w:space="0" w:color="auto"/>
                </w:tcBorders>
                <w:vAlign w:val="center"/>
              </w:tcPr>
              <w:p w14:paraId="218746E1" w14:textId="77777777" w:rsidR="00E57DAA" w:rsidRDefault="00AC4185">
                <w:pPr>
                  <w:jc w:val="right"/>
                  <w:rPr>
                    <w:szCs w:val="21"/>
                  </w:rPr>
                </w:pPr>
                <w:r>
                  <w:t>251,478,793.74</w:t>
                </w:r>
              </w:p>
            </w:tc>
            <w:tc>
              <w:tcPr>
                <w:tcW w:w="1333" w:type="pct"/>
                <w:tcBorders>
                  <w:top w:val="outset" w:sz="6" w:space="0" w:color="auto"/>
                  <w:left w:val="outset" w:sz="6" w:space="0" w:color="auto"/>
                  <w:bottom w:val="outset" w:sz="6" w:space="0" w:color="auto"/>
                  <w:right w:val="outset" w:sz="6" w:space="0" w:color="auto"/>
                </w:tcBorders>
                <w:vAlign w:val="center"/>
              </w:tcPr>
              <w:p w14:paraId="5DB6F443" w14:textId="77777777" w:rsidR="00E57DAA" w:rsidRDefault="00AC4185">
                <w:pPr>
                  <w:jc w:val="right"/>
                  <w:rPr>
                    <w:szCs w:val="21"/>
                  </w:rPr>
                </w:pPr>
                <w:r>
                  <w:t>601,169,931.64</w:t>
                </w:r>
              </w:p>
            </w:tc>
          </w:tr>
          <w:tr w:rsidR="00E57DAA" w14:paraId="2100E674" w14:textId="77777777">
            <w:tc>
              <w:tcPr>
                <w:tcW w:w="1629" w:type="pct"/>
                <w:tcBorders>
                  <w:top w:val="outset" w:sz="6" w:space="0" w:color="auto"/>
                  <w:left w:val="outset" w:sz="6" w:space="0" w:color="auto"/>
                  <w:bottom w:val="outset" w:sz="6" w:space="0" w:color="auto"/>
                  <w:right w:val="outset" w:sz="6" w:space="0" w:color="auto"/>
                </w:tcBorders>
                <w:vAlign w:val="center"/>
              </w:tcPr>
              <w:p w14:paraId="0D170697" w14:textId="77777777" w:rsidR="00E57DAA" w:rsidRDefault="00AC4185">
                <w:pPr>
                  <w:ind w:firstLineChars="100" w:firstLine="210"/>
                  <w:rPr>
                    <w:szCs w:val="21"/>
                  </w:rPr>
                </w:pPr>
                <w:r>
                  <w:rPr>
                    <w:rFonts w:hint="eastAsia"/>
                    <w:szCs w:val="2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47648ADF" w14:textId="77777777" w:rsidR="00E57DAA" w:rsidRDefault="00AC4185">
                <w:pPr>
                  <w:rPr>
                    <w:szCs w:val="21"/>
                  </w:rPr>
                </w:pPr>
                <w:r>
                  <w:t>七、3</w:t>
                </w:r>
              </w:p>
            </w:tc>
            <w:tc>
              <w:tcPr>
                <w:tcW w:w="1411" w:type="pct"/>
                <w:tcBorders>
                  <w:top w:val="outset" w:sz="6" w:space="0" w:color="auto"/>
                  <w:left w:val="outset" w:sz="6" w:space="0" w:color="auto"/>
                  <w:bottom w:val="outset" w:sz="6" w:space="0" w:color="auto"/>
                  <w:right w:val="outset" w:sz="6" w:space="0" w:color="auto"/>
                </w:tcBorders>
                <w:vAlign w:val="center"/>
              </w:tcPr>
              <w:p w14:paraId="773079CE" w14:textId="77777777" w:rsidR="00E57DAA" w:rsidRDefault="00AC4185">
                <w:pPr>
                  <w:jc w:val="right"/>
                  <w:rPr>
                    <w:szCs w:val="21"/>
                  </w:rPr>
                </w:pPr>
                <w:r>
                  <w:t>8,618,204.69</w:t>
                </w:r>
              </w:p>
            </w:tc>
            <w:tc>
              <w:tcPr>
                <w:tcW w:w="1333" w:type="pct"/>
                <w:tcBorders>
                  <w:top w:val="outset" w:sz="6" w:space="0" w:color="auto"/>
                  <w:left w:val="outset" w:sz="6" w:space="0" w:color="auto"/>
                  <w:bottom w:val="outset" w:sz="6" w:space="0" w:color="auto"/>
                  <w:right w:val="outset" w:sz="6" w:space="0" w:color="auto"/>
                </w:tcBorders>
                <w:vAlign w:val="center"/>
              </w:tcPr>
              <w:p w14:paraId="19BDCA26" w14:textId="77777777" w:rsidR="00E57DAA" w:rsidRDefault="00AC4185">
                <w:pPr>
                  <w:jc w:val="right"/>
                  <w:rPr>
                    <w:szCs w:val="21"/>
                  </w:rPr>
                </w:pPr>
                <w:r>
                  <w:t>11,056,284.55</w:t>
                </w:r>
              </w:p>
            </w:tc>
          </w:tr>
          <w:tr w:rsidR="00E57DAA" w14:paraId="5E8A0BBD" w14:textId="77777777">
            <w:tc>
              <w:tcPr>
                <w:tcW w:w="1629" w:type="pct"/>
                <w:tcBorders>
                  <w:top w:val="outset" w:sz="6" w:space="0" w:color="auto"/>
                  <w:left w:val="outset" w:sz="6" w:space="0" w:color="auto"/>
                  <w:bottom w:val="outset" w:sz="6" w:space="0" w:color="auto"/>
                  <w:right w:val="outset" w:sz="6" w:space="0" w:color="auto"/>
                </w:tcBorders>
                <w:vAlign w:val="center"/>
              </w:tcPr>
              <w:p w14:paraId="3A95B107" w14:textId="77777777" w:rsidR="00E57DAA" w:rsidRDefault="00AC4185">
                <w:pPr>
                  <w:ind w:firstLineChars="100" w:firstLine="210"/>
                  <w:rPr>
                    <w:szCs w:val="21"/>
                  </w:rPr>
                </w:pPr>
                <w:r>
                  <w:rPr>
                    <w:rFonts w:hint="eastAsia"/>
                    <w:szCs w:val="2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1BB53EEC" w14:textId="77777777" w:rsidR="00E57DAA" w:rsidRDefault="00AC4185">
                <w:pPr>
                  <w:rPr>
                    <w:szCs w:val="21"/>
                  </w:rPr>
                </w:pPr>
                <w:r>
                  <w:t>七、4</w:t>
                </w:r>
              </w:p>
            </w:tc>
            <w:tc>
              <w:tcPr>
                <w:tcW w:w="1411" w:type="pct"/>
                <w:tcBorders>
                  <w:top w:val="outset" w:sz="6" w:space="0" w:color="auto"/>
                  <w:left w:val="outset" w:sz="6" w:space="0" w:color="auto"/>
                  <w:bottom w:val="outset" w:sz="6" w:space="0" w:color="auto"/>
                  <w:right w:val="outset" w:sz="6" w:space="0" w:color="auto"/>
                </w:tcBorders>
                <w:vAlign w:val="center"/>
              </w:tcPr>
              <w:p w14:paraId="133BB45C" w14:textId="77777777" w:rsidR="00E57DAA" w:rsidRDefault="00AC4185">
                <w:pPr>
                  <w:jc w:val="right"/>
                  <w:rPr>
                    <w:szCs w:val="21"/>
                  </w:rPr>
                </w:pPr>
                <w:r>
                  <w:t>59,964,282.46</w:t>
                </w:r>
              </w:p>
            </w:tc>
            <w:tc>
              <w:tcPr>
                <w:tcW w:w="1333" w:type="pct"/>
                <w:tcBorders>
                  <w:top w:val="outset" w:sz="6" w:space="0" w:color="auto"/>
                  <w:left w:val="outset" w:sz="6" w:space="0" w:color="auto"/>
                  <w:bottom w:val="outset" w:sz="6" w:space="0" w:color="auto"/>
                  <w:right w:val="outset" w:sz="6" w:space="0" w:color="auto"/>
                </w:tcBorders>
                <w:vAlign w:val="center"/>
              </w:tcPr>
              <w:p w14:paraId="7482F1FA" w14:textId="77777777" w:rsidR="00E57DAA" w:rsidRDefault="00AC4185">
                <w:pPr>
                  <w:jc w:val="right"/>
                  <w:rPr>
                    <w:szCs w:val="21"/>
                  </w:rPr>
                </w:pPr>
                <w:r>
                  <w:t>67,118,489.26</w:t>
                </w:r>
              </w:p>
            </w:tc>
          </w:tr>
          <w:tr w:rsidR="00E57DAA" w14:paraId="0B206451" w14:textId="77777777">
            <w:tc>
              <w:tcPr>
                <w:tcW w:w="1629" w:type="pct"/>
                <w:tcBorders>
                  <w:top w:val="outset" w:sz="6" w:space="0" w:color="auto"/>
                  <w:left w:val="outset" w:sz="6" w:space="0" w:color="auto"/>
                  <w:bottom w:val="outset" w:sz="6" w:space="0" w:color="auto"/>
                  <w:right w:val="outset" w:sz="6" w:space="0" w:color="auto"/>
                </w:tcBorders>
                <w:vAlign w:val="center"/>
              </w:tcPr>
              <w:p w14:paraId="70F13EAE" w14:textId="77777777" w:rsidR="00E57DAA" w:rsidRDefault="00AC4185">
                <w:pPr>
                  <w:ind w:firstLineChars="100" w:firstLine="210"/>
                  <w:rPr>
                    <w:szCs w:val="21"/>
                  </w:rPr>
                </w:pPr>
                <w:r>
                  <w:rPr>
                    <w:rFonts w:hint="eastAsia"/>
                    <w:szCs w:val="2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71FE7E10" w14:textId="77777777" w:rsidR="00E57DAA" w:rsidRDefault="00AC4185">
                <w:pPr>
                  <w:rPr>
                    <w:szCs w:val="21"/>
                  </w:rPr>
                </w:pPr>
                <w:r>
                  <w:t>七、5</w:t>
                </w:r>
              </w:p>
            </w:tc>
            <w:tc>
              <w:tcPr>
                <w:tcW w:w="1411" w:type="pct"/>
                <w:tcBorders>
                  <w:top w:val="outset" w:sz="6" w:space="0" w:color="auto"/>
                  <w:left w:val="outset" w:sz="6" w:space="0" w:color="auto"/>
                  <w:bottom w:val="outset" w:sz="6" w:space="0" w:color="auto"/>
                  <w:right w:val="outset" w:sz="6" w:space="0" w:color="auto"/>
                </w:tcBorders>
                <w:vAlign w:val="center"/>
              </w:tcPr>
              <w:p w14:paraId="4B371888" w14:textId="77777777" w:rsidR="00E57DAA" w:rsidRDefault="00AC4185">
                <w:pPr>
                  <w:jc w:val="right"/>
                  <w:rPr>
                    <w:szCs w:val="21"/>
                  </w:rPr>
                </w:pPr>
                <w:r>
                  <w:t>10,098,310,226.00</w:t>
                </w:r>
              </w:p>
            </w:tc>
            <w:tc>
              <w:tcPr>
                <w:tcW w:w="1333" w:type="pct"/>
                <w:tcBorders>
                  <w:top w:val="outset" w:sz="6" w:space="0" w:color="auto"/>
                  <w:left w:val="outset" w:sz="6" w:space="0" w:color="auto"/>
                  <w:bottom w:val="outset" w:sz="6" w:space="0" w:color="auto"/>
                  <w:right w:val="outset" w:sz="6" w:space="0" w:color="auto"/>
                </w:tcBorders>
                <w:vAlign w:val="center"/>
              </w:tcPr>
              <w:p w14:paraId="1BB508D4" w14:textId="77777777" w:rsidR="00E57DAA" w:rsidRDefault="00AC4185">
                <w:pPr>
                  <w:jc w:val="right"/>
                  <w:rPr>
                    <w:szCs w:val="21"/>
                  </w:rPr>
                </w:pPr>
                <w:r>
                  <w:t>8,201,468,322.79</w:t>
                </w:r>
              </w:p>
            </w:tc>
          </w:tr>
          <w:tr w:rsidR="00E57DAA" w14:paraId="71352607" w14:textId="77777777">
            <w:tc>
              <w:tcPr>
                <w:tcW w:w="1629" w:type="pct"/>
                <w:tcBorders>
                  <w:top w:val="outset" w:sz="6" w:space="0" w:color="auto"/>
                  <w:left w:val="outset" w:sz="6" w:space="0" w:color="auto"/>
                  <w:bottom w:val="outset" w:sz="6" w:space="0" w:color="auto"/>
                  <w:right w:val="outset" w:sz="6" w:space="0" w:color="auto"/>
                </w:tcBorders>
                <w:vAlign w:val="center"/>
              </w:tcPr>
              <w:p w14:paraId="74B52CD9" w14:textId="77777777" w:rsidR="00E57DAA" w:rsidRDefault="00AC4185">
                <w:pPr>
                  <w:ind w:firstLineChars="100" w:firstLine="210"/>
                </w:pPr>
                <w:r>
                  <w:rPr>
                    <w:rFonts w:hint="eastAsia"/>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65866E3A" w14:textId="77777777" w:rsidR="00E57DAA" w:rsidRDefault="00AC4185">
                <w:pPr>
                  <w:rPr>
                    <w:szCs w:val="21"/>
                  </w:rPr>
                </w:pPr>
                <w:r>
                  <w:t>七、</w:t>
                </w:r>
                <w:r>
                  <w:rPr>
                    <w:rFonts w:hint="eastAsia"/>
                  </w:rPr>
                  <w:t>7</w:t>
                </w:r>
              </w:p>
            </w:tc>
            <w:tc>
              <w:tcPr>
                <w:tcW w:w="1411" w:type="pct"/>
                <w:tcBorders>
                  <w:top w:val="outset" w:sz="6" w:space="0" w:color="auto"/>
                  <w:left w:val="outset" w:sz="6" w:space="0" w:color="auto"/>
                  <w:bottom w:val="outset" w:sz="6" w:space="0" w:color="auto"/>
                  <w:right w:val="outset" w:sz="6" w:space="0" w:color="auto"/>
                </w:tcBorders>
                <w:vAlign w:val="center"/>
              </w:tcPr>
              <w:p w14:paraId="713F8866" w14:textId="77777777" w:rsidR="00E57DAA" w:rsidRDefault="00AC4185">
                <w:pPr>
                  <w:jc w:val="right"/>
                  <w:rPr>
                    <w:szCs w:val="21"/>
                  </w:rPr>
                </w:pPr>
                <w:r>
                  <w:t>1,632,442,069.33</w:t>
                </w:r>
              </w:p>
            </w:tc>
            <w:tc>
              <w:tcPr>
                <w:tcW w:w="1333" w:type="pct"/>
                <w:tcBorders>
                  <w:top w:val="outset" w:sz="6" w:space="0" w:color="auto"/>
                  <w:left w:val="outset" w:sz="6" w:space="0" w:color="auto"/>
                  <w:bottom w:val="outset" w:sz="6" w:space="0" w:color="auto"/>
                  <w:right w:val="outset" w:sz="6" w:space="0" w:color="auto"/>
                </w:tcBorders>
                <w:vAlign w:val="center"/>
              </w:tcPr>
              <w:p w14:paraId="2D60AF63" w14:textId="77777777" w:rsidR="00E57DAA" w:rsidRDefault="00AC4185">
                <w:pPr>
                  <w:jc w:val="right"/>
                  <w:rPr>
                    <w:szCs w:val="21"/>
                  </w:rPr>
                </w:pPr>
                <w:r>
                  <w:t>1,837,144,041.96</w:t>
                </w:r>
              </w:p>
            </w:tc>
          </w:tr>
          <w:tr w:rsidR="00E57DAA" w14:paraId="6BF819DD" w14:textId="77777777">
            <w:tc>
              <w:tcPr>
                <w:tcW w:w="1629" w:type="pct"/>
                <w:tcBorders>
                  <w:top w:val="outset" w:sz="6" w:space="0" w:color="auto"/>
                  <w:left w:val="outset" w:sz="6" w:space="0" w:color="auto"/>
                  <w:bottom w:val="outset" w:sz="6" w:space="0" w:color="auto"/>
                  <w:right w:val="outset" w:sz="6" w:space="0" w:color="auto"/>
                </w:tcBorders>
                <w:vAlign w:val="center"/>
              </w:tcPr>
              <w:p w14:paraId="1F00DC2C" w14:textId="77777777" w:rsidR="00E57DAA" w:rsidRDefault="00AC4185">
                <w:pPr>
                  <w:ind w:firstLineChars="100" w:firstLine="210"/>
                  <w:rPr>
                    <w:szCs w:val="21"/>
                  </w:rPr>
                </w:pPr>
                <w:r>
                  <w:rPr>
                    <w:rFonts w:hint="eastAsia"/>
                    <w:szCs w:val="2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7F0B40BF" w14:textId="77777777" w:rsidR="00E57DAA" w:rsidRDefault="00AC4185">
                <w:pPr>
                  <w:rPr>
                    <w:szCs w:val="21"/>
                  </w:rPr>
                </w:pPr>
                <w:r>
                  <w:t>七、</w:t>
                </w:r>
                <w:r>
                  <w:rPr>
                    <w:rFonts w:hint="eastAsia"/>
                  </w:rPr>
                  <w:t>8</w:t>
                </w:r>
              </w:p>
            </w:tc>
            <w:tc>
              <w:tcPr>
                <w:tcW w:w="1411" w:type="pct"/>
                <w:tcBorders>
                  <w:top w:val="outset" w:sz="6" w:space="0" w:color="auto"/>
                  <w:left w:val="outset" w:sz="6" w:space="0" w:color="auto"/>
                  <w:bottom w:val="outset" w:sz="6" w:space="0" w:color="auto"/>
                  <w:right w:val="outset" w:sz="6" w:space="0" w:color="auto"/>
                </w:tcBorders>
                <w:vAlign w:val="center"/>
              </w:tcPr>
              <w:p w14:paraId="6DBFEB80" w14:textId="77777777" w:rsidR="00E57DAA" w:rsidRDefault="00AC4185">
                <w:pPr>
                  <w:jc w:val="right"/>
                  <w:rPr>
                    <w:szCs w:val="21"/>
                  </w:rPr>
                </w:pPr>
                <w:r>
                  <w:t>5,074,477,019.45</w:t>
                </w:r>
              </w:p>
            </w:tc>
            <w:tc>
              <w:tcPr>
                <w:tcW w:w="1333" w:type="pct"/>
                <w:tcBorders>
                  <w:top w:val="outset" w:sz="6" w:space="0" w:color="auto"/>
                  <w:left w:val="outset" w:sz="6" w:space="0" w:color="auto"/>
                  <w:bottom w:val="outset" w:sz="6" w:space="0" w:color="auto"/>
                  <w:right w:val="outset" w:sz="6" w:space="0" w:color="auto"/>
                </w:tcBorders>
                <w:vAlign w:val="center"/>
              </w:tcPr>
              <w:p w14:paraId="76BA811D" w14:textId="77777777" w:rsidR="00E57DAA" w:rsidRDefault="00AC4185">
                <w:pPr>
                  <w:jc w:val="right"/>
                  <w:rPr>
                    <w:szCs w:val="21"/>
                  </w:rPr>
                </w:pPr>
                <w:r>
                  <w:t>5,395,398,324.27</w:t>
                </w:r>
              </w:p>
            </w:tc>
          </w:tr>
          <w:tr w:rsidR="00E57DAA" w14:paraId="72666F5A" w14:textId="77777777">
            <w:tc>
              <w:tcPr>
                <w:tcW w:w="1629" w:type="pct"/>
                <w:tcBorders>
                  <w:top w:val="outset" w:sz="6" w:space="0" w:color="auto"/>
                  <w:left w:val="outset" w:sz="6" w:space="0" w:color="auto"/>
                  <w:bottom w:val="outset" w:sz="6" w:space="0" w:color="auto"/>
                  <w:right w:val="outset" w:sz="6" w:space="0" w:color="auto"/>
                </w:tcBorders>
                <w:vAlign w:val="center"/>
              </w:tcPr>
              <w:p w14:paraId="28051585" w14:textId="77777777" w:rsidR="00E57DAA" w:rsidRDefault="00AC4185">
                <w:pPr>
                  <w:ind w:firstLineChars="100" w:firstLine="210"/>
                  <w:rPr>
                    <w:szCs w:val="21"/>
                  </w:rPr>
                </w:pPr>
                <w:r>
                  <w:rPr>
                    <w:rFonts w:hint="eastAsia"/>
                    <w:szCs w:val="21"/>
                  </w:rPr>
                  <w:t>应收保费</w:t>
                </w:r>
              </w:p>
            </w:tc>
            <w:tc>
              <w:tcPr>
                <w:tcW w:w="627" w:type="pct"/>
                <w:tcBorders>
                  <w:top w:val="outset" w:sz="6" w:space="0" w:color="auto"/>
                  <w:left w:val="outset" w:sz="6" w:space="0" w:color="auto"/>
                  <w:bottom w:val="outset" w:sz="6" w:space="0" w:color="auto"/>
                  <w:right w:val="outset" w:sz="6" w:space="0" w:color="auto"/>
                </w:tcBorders>
                <w:vAlign w:val="center"/>
              </w:tcPr>
              <w:p w14:paraId="661747E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62DAEA0"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190FDD3" w14:textId="77777777" w:rsidR="00E57DAA" w:rsidRDefault="00E57DAA">
                <w:pPr>
                  <w:jc w:val="right"/>
                  <w:rPr>
                    <w:szCs w:val="21"/>
                  </w:rPr>
                </w:pPr>
              </w:p>
            </w:tc>
          </w:tr>
          <w:tr w:rsidR="00E57DAA" w14:paraId="0C93688D" w14:textId="77777777">
            <w:tc>
              <w:tcPr>
                <w:tcW w:w="1629" w:type="pct"/>
                <w:tcBorders>
                  <w:top w:val="outset" w:sz="6" w:space="0" w:color="auto"/>
                  <w:left w:val="outset" w:sz="6" w:space="0" w:color="auto"/>
                  <w:bottom w:val="outset" w:sz="6" w:space="0" w:color="auto"/>
                  <w:right w:val="outset" w:sz="6" w:space="0" w:color="auto"/>
                </w:tcBorders>
                <w:vAlign w:val="center"/>
              </w:tcPr>
              <w:p w14:paraId="5ECAB885" w14:textId="77777777" w:rsidR="00E57DAA" w:rsidRDefault="00AC4185">
                <w:pPr>
                  <w:ind w:firstLineChars="100" w:firstLine="210"/>
                  <w:rPr>
                    <w:szCs w:val="21"/>
                  </w:rPr>
                </w:pPr>
                <w:r>
                  <w:rPr>
                    <w:rFonts w:hint="eastAsia"/>
                    <w:szCs w:val="21"/>
                  </w:rPr>
                  <w:t>应收分保账款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2215A4A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35A6872"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E65A5B9" w14:textId="77777777" w:rsidR="00E57DAA" w:rsidRDefault="00E57DAA">
                <w:pPr>
                  <w:jc w:val="right"/>
                  <w:rPr>
                    <w:szCs w:val="21"/>
                  </w:rPr>
                </w:pPr>
              </w:p>
            </w:tc>
          </w:tr>
          <w:tr w:rsidR="00E57DAA" w14:paraId="58741973" w14:textId="77777777">
            <w:tc>
              <w:tcPr>
                <w:tcW w:w="1629" w:type="pct"/>
                <w:tcBorders>
                  <w:top w:val="outset" w:sz="6" w:space="0" w:color="auto"/>
                  <w:left w:val="outset" w:sz="6" w:space="0" w:color="auto"/>
                  <w:bottom w:val="outset" w:sz="6" w:space="0" w:color="auto"/>
                  <w:right w:val="outset" w:sz="6" w:space="0" w:color="auto"/>
                </w:tcBorders>
                <w:vAlign w:val="center"/>
              </w:tcPr>
              <w:p w14:paraId="0E1EA17F" w14:textId="77777777" w:rsidR="00E57DAA" w:rsidRDefault="00AC4185">
                <w:pPr>
                  <w:ind w:firstLineChars="100" w:firstLine="210"/>
                  <w:rPr>
                    <w:szCs w:val="21"/>
                  </w:rPr>
                </w:pPr>
                <w:r>
                  <w:rPr>
                    <w:rFonts w:hint="eastAsia"/>
                    <w:szCs w:val="21"/>
                  </w:rPr>
                  <w:t>应收分保合同准备金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4826486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FB5356A"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5CF3012" w14:textId="77777777" w:rsidR="00E57DAA" w:rsidRDefault="00E57DAA">
                <w:pPr>
                  <w:jc w:val="right"/>
                  <w:rPr>
                    <w:szCs w:val="21"/>
                  </w:rPr>
                </w:pPr>
              </w:p>
            </w:tc>
          </w:tr>
          <w:tr w:rsidR="00E57DAA" w14:paraId="4245A865" w14:textId="77777777">
            <w:tc>
              <w:tcPr>
                <w:tcW w:w="1629" w:type="pct"/>
                <w:tcBorders>
                  <w:top w:val="outset" w:sz="6" w:space="0" w:color="auto"/>
                  <w:left w:val="outset" w:sz="6" w:space="0" w:color="auto"/>
                  <w:bottom w:val="outset" w:sz="6" w:space="0" w:color="auto"/>
                  <w:right w:val="outset" w:sz="6" w:space="0" w:color="auto"/>
                </w:tcBorders>
                <w:vAlign w:val="center"/>
              </w:tcPr>
              <w:p w14:paraId="790134BB" w14:textId="77777777" w:rsidR="00E57DAA" w:rsidRDefault="00AC4185">
                <w:pPr>
                  <w:ind w:firstLineChars="100" w:firstLine="210"/>
                  <w:rPr>
                    <w:szCs w:val="21"/>
                  </w:rPr>
                </w:pPr>
                <w:r>
                  <w:rPr>
                    <w:rFonts w:hint="eastAsia"/>
                    <w:szCs w:val="2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3E50CF9D" w14:textId="77777777" w:rsidR="00E57DAA" w:rsidRDefault="00AC4185">
                <w:pPr>
                  <w:rPr>
                    <w:szCs w:val="21"/>
                  </w:rPr>
                </w:pPr>
                <w:r>
                  <w:t>七、</w:t>
                </w:r>
                <w:r>
                  <w:rPr>
                    <w:rFonts w:hint="eastAsia"/>
                  </w:rPr>
                  <w:t>9</w:t>
                </w:r>
              </w:p>
            </w:tc>
            <w:tc>
              <w:tcPr>
                <w:tcW w:w="1411" w:type="pct"/>
                <w:tcBorders>
                  <w:top w:val="outset" w:sz="6" w:space="0" w:color="auto"/>
                  <w:left w:val="outset" w:sz="6" w:space="0" w:color="auto"/>
                  <w:bottom w:val="outset" w:sz="6" w:space="0" w:color="auto"/>
                  <w:right w:val="outset" w:sz="6" w:space="0" w:color="auto"/>
                </w:tcBorders>
                <w:vAlign w:val="center"/>
              </w:tcPr>
              <w:p w14:paraId="3D39803E" w14:textId="77777777" w:rsidR="00E57DAA" w:rsidRDefault="00AC4185">
                <w:pPr>
                  <w:jc w:val="right"/>
                  <w:rPr>
                    <w:szCs w:val="21"/>
                  </w:rPr>
                </w:pPr>
                <w:r>
                  <w:t>888,784,403.57</w:t>
                </w:r>
              </w:p>
            </w:tc>
            <w:tc>
              <w:tcPr>
                <w:tcW w:w="1333" w:type="pct"/>
                <w:tcBorders>
                  <w:top w:val="outset" w:sz="6" w:space="0" w:color="auto"/>
                  <w:left w:val="outset" w:sz="6" w:space="0" w:color="auto"/>
                  <w:bottom w:val="outset" w:sz="6" w:space="0" w:color="auto"/>
                  <w:right w:val="outset" w:sz="6" w:space="0" w:color="auto"/>
                </w:tcBorders>
                <w:vAlign w:val="center"/>
              </w:tcPr>
              <w:p w14:paraId="61F9ABEE" w14:textId="77777777" w:rsidR="00E57DAA" w:rsidRDefault="00AC4185">
                <w:pPr>
                  <w:jc w:val="right"/>
                  <w:rPr>
                    <w:szCs w:val="21"/>
                  </w:rPr>
                </w:pPr>
                <w:r>
                  <w:t>912,791,751.33</w:t>
                </w:r>
              </w:p>
            </w:tc>
          </w:tr>
          <w:tr w:rsidR="00E57DAA" w14:paraId="224074EE" w14:textId="77777777">
            <w:tc>
              <w:tcPr>
                <w:tcW w:w="1629" w:type="pct"/>
                <w:tcBorders>
                  <w:top w:val="outset" w:sz="6" w:space="0" w:color="auto"/>
                  <w:left w:val="outset" w:sz="6" w:space="0" w:color="auto"/>
                  <w:bottom w:val="outset" w:sz="6" w:space="0" w:color="auto"/>
                  <w:right w:val="outset" w:sz="6" w:space="0" w:color="auto"/>
                </w:tcBorders>
                <w:vAlign w:val="center"/>
              </w:tcPr>
              <w:p w14:paraId="055A09DB" w14:textId="77777777" w:rsidR="00E57DAA" w:rsidRDefault="00AC4185">
                <w:pPr>
                  <w:ind w:firstLineChars="100" w:firstLine="210"/>
                  <w:rPr>
                    <w:szCs w:val="21"/>
                  </w:rPr>
                </w:pPr>
                <w:r>
                  <w:rPr>
                    <w:rFonts w:hint="eastAsia"/>
                  </w:rPr>
                  <w:t>其中：</w:t>
                </w:r>
                <w:r>
                  <w:rPr>
                    <w:rFonts w:hint="eastAsia"/>
                    <w:szCs w:val="21"/>
                  </w:rPr>
                  <w:t>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6A38BDE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DD9E1E5"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ABBD0A7" w14:textId="77777777" w:rsidR="00E57DAA" w:rsidRDefault="00E57DAA">
                <w:pPr>
                  <w:jc w:val="right"/>
                  <w:rPr>
                    <w:szCs w:val="21"/>
                  </w:rPr>
                </w:pPr>
              </w:p>
            </w:tc>
          </w:tr>
          <w:tr w:rsidR="00E57DAA" w14:paraId="0F9100FD" w14:textId="77777777">
            <w:tc>
              <w:tcPr>
                <w:tcW w:w="1629" w:type="pct"/>
                <w:tcBorders>
                  <w:top w:val="outset" w:sz="6" w:space="0" w:color="auto"/>
                  <w:left w:val="outset" w:sz="6" w:space="0" w:color="auto"/>
                  <w:bottom w:val="outset" w:sz="6" w:space="0" w:color="auto"/>
                  <w:right w:val="outset" w:sz="6" w:space="0" w:color="auto"/>
                </w:tcBorders>
                <w:vAlign w:val="center"/>
              </w:tcPr>
              <w:p w14:paraId="1DD29545" w14:textId="77777777" w:rsidR="00E57DAA" w:rsidRDefault="00AC4185">
                <w:pPr>
                  <w:ind w:firstLineChars="400" w:firstLine="840"/>
                  <w:rPr>
                    <w:szCs w:val="21"/>
                  </w:rPr>
                </w:pPr>
                <w:r>
                  <w:rPr>
                    <w:rFonts w:hint="eastAsia"/>
                    <w:szCs w:val="2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32B5447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F117A1A" w14:textId="77777777" w:rsidR="00E57DAA" w:rsidRDefault="00AC4185">
                <w:pPr>
                  <w:jc w:val="right"/>
                  <w:rPr>
                    <w:szCs w:val="21"/>
                  </w:rPr>
                </w:pPr>
                <w:r>
                  <w:t>2,040,114.47</w:t>
                </w:r>
              </w:p>
            </w:tc>
            <w:tc>
              <w:tcPr>
                <w:tcW w:w="1333" w:type="pct"/>
                <w:tcBorders>
                  <w:top w:val="outset" w:sz="6" w:space="0" w:color="auto"/>
                  <w:left w:val="outset" w:sz="6" w:space="0" w:color="auto"/>
                  <w:bottom w:val="outset" w:sz="6" w:space="0" w:color="auto"/>
                  <w:right w:val="outset" w:sz="6" w:space="0" w:color="auto"/>
                </w:tcBorders>
                <w:vAlign w:val="center"/>
              </w:tcPr>
              <w:p w14:paraId="0C86199B" w14:textId="77777777" w:rsidR="00E57DAA" w:rsidRDefault="00AC4185">
                <w:pPr>
                  <w:jc w:val="right"/>
                  <w:rPr>
                    <w:szCs w:val="21"/>
                  </w:rPr>
                </w:pPr>
                <w:r>
                  <w:t>7,954,191.02</w:t>
                </w:r>
              </w:p>
            </w:tc>
          </w:tr>
          <w:tr w:rsidR="00E57DAA" w14:paraId="68AEDF54" w14:textId="77777777">
            <w:tc>
              <w:tcPr>
                <w:tcW w:w="1629" w:type="pct"/>
                <w:tcBorders>
                  <w:top w:val="outset" w:sz="6" w:space="0" w:color="auto"/>
                  <w:left w:val="outset" w:sz="6" w:space="0" w:color="auto"/>
                  <w:bottom w:val="outset" w:sz="6" w:space="0" w:color="auto"/>
                  <w:right w:val="outset" w:sz="6" w:space="0" w:color="auto"/>
                </w:tcBorders>
                <w:vAlign w:val="center"/>
              </w:tcPr>
              <w:p w14:paraId="48DFADCC" w14:textId="77777777" w:rsidR="00E57DAA" w:rsidRDefault="00AC4185">
                <w:pPr>
                  <w:ind w:firstLineChars="100" w:firstLine="210"/>
                  <w:rPr>
                    <w:szCs w:val="21"/>
                  </w:rPr>
                </w:pPr>
                <w:r>
                  <w:rPr>
                    <w:rFonts w:hint="eastAsia"/>
                    <w:szCs w:val="21"/>
                  </w:rPr>
                  <w:t>买入返售金融资产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481B345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B2CCA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46242F1" w14:textId="77777777" w:rsidR="00E57DAA" w:rsidRDefault="00E57DAA">
                <w:pPr>
                  <w:jc w:val="right"/>
                  <w:rPr>
                    <w:szCs w:val="21"/>
                  </w:rPr>
                </w:pPr>
              </w:p>
            </w:tc>
          </w:tr>
          <w:tr w:rsidR="00E57DAA" w14:paraId="0E4CC201" w14:textId="77777777">
            <w:tc>
              <w:tcPr>
                <w:tcW w:w="1629" w:type="pct"/>
                <w:tcBorders>
                  <w:top w:val="outset" w:sz="6" w:space="0" w:color="auto"/>
                  <w:left w:val="outset" w:sz="6" w:space="0" w:color="auto"/>
                  <w:bottom w:val="outset" w:sz="6" w:space="0" w:color="auto"/>
                  <w:right w:val="outset" w:sz="6" w:space="0" w:color="auto"/>
                </w:tcBorders>
                <w:vAlign w:val="center"/>
              </w:tcPr>
              <w:p w14:paraId="17BA9A2C" w14:textId="77777777" w:rsidR="00E57DAA" w:rsidRDefault="00AC4185">
                <w:pPr>
                  <w:ind w:firstLineChars="100" w:firstLine="210"/>
                  <w:rPr>
                    <w:szCs w:val="21"/>
                  </w:rPr>
                </w:pPr>
                <w:r>
                  <w:rPr>
                    <w:rFonts w:hint="eastAsia"/>
                    <w:szCs w:val="2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6CB938BD" w14:textId="77777777" w:rsidR="00E57DAA" w:rsidRDefault="00AC4185">
                <w:pPr>
                  <w:rPr>
                    <w:szCs w:val="21"/>
                  </w:rPr>
                </w:pPr>
                <w:r>
                  <w:t>七、</w:t>
                </w:r>
                <w:r>
                  <w:rPr>
                    <w:rFonts w:hint="eastAsia"/>
                  </w:rPr>
                  <w:t>10</w:t>
                </w:r>
              </w:p>
            </w:tc>
            <w:tc>
              <w:tcPr>
                <w:tcW w:w="1411" w:type="pct"/>
                <w:tcBorders>
                  <w:top w:val="outset" w:sz="6" w:space="0" w:color="auto"/>
                  <w:left w:val="outset" w:sz="6" w:space="0" w:color="auto"/>
                  <w:bottom w:val="outset" w:sz="6" w:space="0" w:color="auto"/>
                  <w:right w:val="outset" w:sz="6" w:space="0" w:color="auto"/>
                </w:tcBorders>
                <w:vAlign w:val="center"/>
              </w:tcPr>
              <w:p w14:paraId="18C291B0" w14:textId="77777777" w:rsidR="00E57DAA" w:rsidRDefault="00AC4185">
                <w:pPr>
                  <w:jc w:val="right"/>
                  <w:rPr>
                    <w:szCs w:val="21"/>
                  </w:rPr>
                </w:pPr>
                <w:r>
                  <w:t>2,879,253,934.44</w:t>
                </w:r>
              </w:p>
            </w:tc>
            <w:tc>
              <w:tcPr>
                <w:tcW w:w="1333" w:type="pct"/>
                <w:tcBorders>
                  <w:top w:val="outset" w:sz="6" w:space="0" w:color="auto"/>
                  <w:left w:val="outset" w:sz="6" w:space="0" w:color="auto"/>
                  <w:bottom w:val="outset" w:sz="6" w:space="0" w:color="auto"/>
                  <w:right w:val="outset" w:sz="6" w:space="0" w:color="auto"/>
                </w:tcBorders>
                <w:vAlign w:val="center"/>
              </w:tcPr>
              <w:p w14:paraId="7B5BDD7B" w14:textId="77777777" w:rsidR="00E57DAA" w:rsidRDefault="00AC4185">
                <w:pPr>
                  <w:jc w:val="right"/>
                  <w:rPr>
                    <w:szCs w:val="21"/>
                  </w:rPr>
                </w:pPr>
                <w:r>
                  <w:t>3,058,156,040.28</w:t>
                </w:r>
              </w:p>
            </w:tc>
          </w:tr>
          <w:tr w:rsidR="00E57DAA" w14:paraId="4BE8BD22" w14:textId="77777777">
            <w:tc>
              <w:tcPr>
                <w:tcW w:w="1629" w:type="pct"/>
                <w:tcBorders>
                  <w:top w:val="outset" w:sz="6" w:space="0" w:color="auto"/>
                  <w:left w:val="outset" w:sz="6" w:space="0" w:color="auto"/>
                  <w:bottom w:val="outset" w:sz="6" w:space="0" w:color="auto"/>
                  <w:right w:val="outset" w:sz="6" w:space="0" w:color="auto"/>
                </w:tcBorders>
                <w:vAlign w:val="center"/>
              </w:tcPr>
              <w:p w14:paraId="31BB5FD4" w14:textId="77777777" w:rsidR="00E57DAA" w:rsidRDefault="00AC4185">
                <w:pPr>
                  <w:ind w:firstLineChars="100" w:firstLine="210"/>
                </w:pPr>
                <w:r>
                  <w:rPr>
                    <w:rFonts w:hint="eastAsia"/>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7C581C15" w14:textId="77777777" w:rsidR="00E57DAA" w:rsidRDefault="00AC4185">
                <w:pPr>
                  <w:rPr>
                    <w:szCs w:val="21"/>
                  </w:rPr>
                </w:pPr>
                <w:r>
                  <w:t>七、</w:t>
                </w:r>
                <w:r>
                  <w:rPr>
                    <w:rFonts w:hint="eastAsia"/>
                  </w:rPr>
                  <w:t>6</w:t>
                </w:r>
              </w:p>
            </w:tc>
            <w:tc>
              <w:tcPr>
                <w:tcW w:w="1411" w:type="pct"/>
                <w:tcBorders>
                  <w:top w:val="outset" w:sz="6" w:space="0" w:color="auto"/>
                  <w:left w:val="outset" w:sz="6" w:space="0" w:color="auto"/>
                  <w:bottom w:val="outset" w:sz="6" w:space="0" w:color="auto"/>
                  <w:right w:val="outset" w:sz="6" w:space="0" w:color="auto"/>
                </w:tcBorders>
                <w:vAlign w:val="center"/>
              </w:tcPr>
              <w:p w14:paraId="5B3A4A30" w14:textId="77777777" w:rsidR="00E57DAA" w:rsidRDefault="00AC4185">
                <w:pPr>
                  <w:jc w:val="right"/>
                  <w:rPr>
                    <w:szCs w:val="21"/>
                  </w:rPr>
                </w:pPr>
                <w:r>
                  <w:t>6,866,238,337.56</w:t>
                </w:r>
              </w:p>
            </w:tc>
            <w:tc>
              <w:tcPr>
                <w:tcW w:w="1333" w:type="pct"/>
                <w:tcBorders>
                  <w:top w:val="outset" w:sz="6" w:space="0" w:color="auto"/>
                  <w:left w:val="outset" w:sz="6" w:space="0" w:color="auto"/>
                  <w:bottom w:val="outset" w:sz="6" w:space="0" w:color="auto"/>
                  <w:right w:val="outset" w:sz="6" w:space="0" w:color="auto"/>
                </w:tcBorders>
                <w:vAlign w:val="center"/>
              </w:tcPr>
              <w:p w14:paraId="663CF751" w14:textId="77777777" w:rsidR="00E57DAA" w:rsidRDefault="00AC4185">
                <w:pPr>
                  <w:jc w:val="right"/>
                  <w:rPr>
                    <w:szCs w:val="21"/>
                  </w:rPr>
                </w:pPr>
                <w:r>
                  <w:t>5,522,685,445.83</w:t>
                </w:r>
              </w:p>
            </w:tc>
          </w:tr>
          <w:tr w:rsidR="00E57DAA" w14:paraId="6F4F78E0" w14:textId="77777777">
            <w:tc>
              <w:tcPr>
                <w:tcW w:w="1629" w:type="pct"/>
                <w:tcBorders>
                  <w:top w:val="outset" w:sz="6" w:space="0" w:color="auto"/>
                  <w:left w:val="outset" w:sz="6" w:space="0" w:color="auto"/>
                  <w:bottom w:val="outset" w:sz="6" w:space="0" w:color="auto"/>
                  <w:right w:val="outset" w:sz="6" w:space="0" w:color="auto"/>
                </w:tcBorders>
                <w:vAlign w:val="center"/>
              </w:tcPr>
              <w:p w14:paraId="3AACB1F8" w14:textId="77777777" w:rsidR="00E57DAA" w:rsidRDefault="00AC4185">
                <w:pPr>
                  <w:ind w:firstLineChars="100" w:firstLine="210"/>
                  <w:rPr>
                    <w:szCs w:val="21"/>
                  </w:rPr>
                </w:pPr>
                <w:r>
                  <w:rPr>
                    <w:rFonts w:hint="eastAsia"/>
                    <w:szCs w:val="2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0E34512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81A521D"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4CCC932" w14:textId="77777777" w:rsidR="00E57DAA" w:rsidRDefault="00E57DAA">
                <w:pPr>
                  <w:jc w:val="right"/>
                  <w:rPr>
                    <w:szCs w:val="21"/>
                  </w:rPr>
                </w:pPr>
              </w:p>
            </w:tc>
          </w:tr>
          <w:tr w:rsidR="00E57DAA" w14:paraId="685BEB83" w14:textId="77777777">
            <w:tc>
              <w:tcPr>
                <w:tcW w:w="1629" w:type="pct"/>
                <w:tcBorders>
                  <w:top w:val="outset" w:sz="6" w:space="0" w:color="auto"/>
                  <w:left w:val="outset" w:sz="6" w:space="0" w:color="auto"/>
                  <w:bottom w:val="outset" w:sz="6" w:space="0" w:color="auto"/>
                  <w:right w:val="outset" w:sz="6" w:space="0" w:color="auto"/>
                </w:tcBorders>
                <w:vAlign w:val="center"/>
              </w:tcPr>
              <w:p w14:paraId="56DD1100" w14:textId="77777777" w:rsidR="00E57DAA" w:rsidRDefault="00AC4185">
                <w:pPr>
                  <w:ind w:firstLineChars="100" w:firstLine="210"/>
                  <w:rPr>
                    <w:szCs w:val="21"/>
                  </w:rPr>
                </w:pPr>
                <w:r>
                  <w:rPr>
                    <w:rFonts w:hint="eastAsia"/>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79E20EEE" w14:textId="77777777" w:rsidR="00E57DAA" w:rsidRDefault="00AC4185">
                <w:pPr>
                  <w:rPr>
                    <w:szCs w:val="21"/>
                  </w:rPr>
                </w:pPr>
                <w:r>
                  <w:t>七、12</w:t>
                </w:r>
              </w:p>
            </w:tc>
            <w:tc>
              <w:tcPr>
                <w:tcW w:w="1411" w:type="pct"/>
                <w:tcBorders>
                  <w:top w:val="outset" w:sz="6" w:space="0" w:color="auto"/>
                  <w:left w:val="outset" w:sz="6" w:space="0" w:color="auto"/>
                  <w:bottom w:val="outset" w:sz="6" w:space="0" w:color="auto"/>
                  <w:right w:val="outset" w:sz="6" w:space="0" w:color="auto"/>
                </w:tcBorders>
                <w:vAlign w:val="center"/>
              </w:tcPr>
              <w:p w14:paraId="7063A9CF" w14:textId="77777777" w:rsidR="00E57DAA" w:rsidRDefault="00AC4185">
                <w:pPr>
                  <w:jc w:val="right"/>
                  <w:rPr>
                    <w:szCs w:val="21"/>
                  </w:rPr>
                </w:pPr>
                <w:r>
                  <w:t>1,650,019,013.10</w:t>
                </w:r>
              </w:p>
            </w:tc>
            <w:tc>
              <w:tcPr>
                <w:tcW w:w="1333" w:type="pct"/>
                <w:tcBorders>
                  <w:top w:val="outset" w:sz="6" w:space="0" w:color="auto"/>
                  <w:left w:val="outset" w:sz="6" w:space="0" w:color="auto"/>
                  <w:bottom w:val="outset" w:sz="6" w:space="0" w:color="auto"/>
                  <w:right w:val="outset" w:sz="6" w:space="0" w:color="auto"/>
                </w:tcBorders>
                <w:vAlign w:val="center"/>
              </w:tcPr>
              <w:p w14:paraId="3A765306" w14:textId="77777777" w:rsidR="00E57DAA" w:rsidRDefault="00AC4185">
                <w:pPr>
                  <w:jc w:val="right"/>
                  <w:rPr>
                    <w:szCs w:val="21"/>
                  </w:rPr>
                </w:pPr>
                <w:r>
                  <w:t>1,069,544,728.68</w:t>
                </w:r>
              </w:p>
            </w:tc>
          </w:tr>
          <w:tr w:rsidR="00E57DAA" w14:paraId="3A762F05" w14:textId="77777777">
            <w:tc>
              <w:tcPr>
                <w:tcW w:w="1629" w:type="pct"/>
                <w:tcBorders>
                  <w:top w:val="outset" w:sz="6" w:space="0" w:color="auto"/>
                  <w:left w:val="outset" w:sz="6" w:space="0" w:color="auto"/>
                  <w:bottom w:val="outset" w:sz="6" w:space="0" w:color="auto"/>
                  <w:right w:val="outset" w:sz="6" w:space="0" w:color="auto"/>
                </w:tcBorders>
                <w:vAlign w:val="center"/>
              </w:tcPr>
              <w:p w14:paraId="2966F4BB" w14:textId="77777777" w:rsidR="00E57DAA" w:rsidRDefault="00AC4185">
                <w:pPr>
                  <w:ind w:firstLineChars="100" w:firstLine="210"/>
                  <w:rPr>
                    <w:szCs w:val="21"/>
                  </w:rPr>
                </w:pPr>
                <w:r>
                  <w:rPr>
                    <w:rFonts w:hint="eastAsia"/>
                    <w:szCs w:val="2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6DC7723D" w14:textId="77777777" w:rsidR="00E57DAA" w:rsidRDefault="00AC4185">
                <w:pPr>
                  <w:rPr>
                    <w:szCs w:val="21"/>
                  </w:rPr>
                </w:pPr>
                <w:r>
                  <w:t>七、13</w:t>
                </w:r>
              </w:p>
            </w:tc>
            <w:tc>
              <w:tcPr>
                <w:tcW w:w="1411" w:type="pct"/>
                <w:tcBorders>
                  <w:top w:val="outset" w:sz="6" w:space="0" w:color="auto"/>
                  <w:left w:val="outset" w:sz="6" w:space="0" w:color="auto"/>
                  <w:bottom w:val="outset" w:sz="6" w:space="0" w:color="auto"/>
                  <w:right w:val="outset" w:sz="6" w:space="0" w:color="auto"/>
                </w:tcBorders>
                <w:vAlign w:val="center"/>
              </w:tcPr>
              <w:p w14:paraId="177672DE" w14:textId="77777777" w:rsidR="00E57DAA" w:rsidRDefault="00AC4185">
                <w:pPr>
                  <w:jc w:val="right"/>
                  <w:rPr>
                    <w:szCs w:val="21"/>
                  </w:rPr>
                </w:pPr>
                <w:r>
                  <w:t>440,383,769.03</w:t>
                </w:r>
              </w:p>
            </w:tc>
            <w:tc>
              <w:tcPr>
                <w:tcW w:w="1333" w:type="pct"/>
                <w:tcBorders>
                  <w:top w:val="outset" w:sz="6" w:space="0" w:color="auto"/>
                  <w:left w:val="outset" w:sz="6" w:space="0" w:color="auto"/>
                  <w:bottom w:val="outset" w:sz="6" w:space="0" w:color="auto"/>
                  <w:right w:val="outset" w:sz="6" w:space="0" w:color="auto"/>
                </w:tcBorders>
                <w:vAlign w:val="center"/>
              </w:tcPr>
              <w:p w14:paraId="362166EC" w14:textId="77777777" w:rsidR="00E57DAA" w:rsidRDefault="00AC4185">
                <w:pPr>
                  <w:jc w:val="right"/>
                  <w:rPr>
                    <w:szCs w:val="21"/>
                  </w:rPr>
                </w:pPr>
                <w:r>
                  <w:t>193,770,097.81</w:t>
                </w:r>
              </w:p>
            </w:tc>
          </w:tr>
          <w:tr w:rsidR="00E57DAA" w14:paraId="549FA741" w14:textId="77777777">
            <w:tc>
              <w:tcPr>
                <w:tcW w:w="1629" w:type="pct"/>
                <w:tcBorders>
                  <w:top w:val="outset" w:sz="6" w:space="0" w:color="auto"/>
                  <w:left w:val="outset" w:sz="6" w:space="0" w:color="auto"/>
                  <w:bottom w:val="outset" w:sz="6" w:space="0" w:color="auto"/>
                  <w:right w:val="outset" w:sz="6" w:space="0" w:color="auto"/>
                </w:tcBorders>
                <w:vAlign w:val="center"/>
              </w:tcPr>
              <w:p w14:paraId="62F6B100" w14:textId="77777777" w:rsidR="00E57DAA" w:rsidRDefault="00AC4185">
                <w:pPr>
                  <w:ind w:firstLineChars="200" w:firstLine="420"/>
                  <w:rPr>
                    <w:szCs w:val="21"/>
                  </w:rPr>
                </w:pPr>
                <w:r>
                  <w:rPr>
                    <w:rFonts w:hint="eastAsia"/>
                    <w:szCs w:val="21"/>
                  </w:rPr>
                  <w:t>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2CF1333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C462270" w14:textId="77777777" w:rsidR="00E57DAA" w:rsidRDefault="00AC4185">
                <w:pPr>
                  <w:jc w:val="right"/>
                  <w:rPr>
                    <w:szCs w:val="21"/>
                  </w:rPr>
                </w:pPr>
                <w:r>
                  <w:t>39,488,112,892.28</w:t>
                </w:r>
              </w:p>
            </w:tc>
            <w:tc>
              <w:tcPr>
                <w:tcW w:w="1333" w:type="pct"/>
                <w:tcBorders>
                  <w:top w:val="outset" w:sz="6" w:space="0" w:color="auto"/>
                  <w:left w:val="outset" w:sz="6" w:space="0" w:color="auto"/>
                  <w:bottom w:val="outset" w:sz="6" w:space="0" w:color="auto"/>
                  <w:right w:val="outset" w:sz="6" w:space="0" w:color="auto"/>
                </w:tcBorders>
                <w:vAlign w:val="center"/>
              </w:tcPr>
              <w:p w14:paraId="69A406A4" w14:textId="77777777" w:rsidR="00E57DAA" w:rsidRDefault="00AC4185">
                <w:pPr>
                  <w:jc w:val="right"/>
                  <w:rPr>
                    <w:szCs w:val="21"/>
                  </w:rPr>
                </w:pPr>
                <w:r>
                  <w:t>35,854,597,381.09</w:t>
                </w:r>
              </w:p>
            </w:tc>
          </w:tr>
          <w:tr w:rsidR="00E57DAA" w14:paraId="382DED9C" w14:textId="77777777">
            <w:sdt>
              <w:sdtPr>
                <w:tag w:val="_PLD_72b86b17371840d39acb38a5d1204c0e"/>
                <w:id w:val="-1827271021"/>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BE0551D" w14:textId="77777777" w:rsidR="00E57DAA" w:rsidRDefault="00AC4185">
                    <w:pPr>
                      <w:rPr>
                        <w:color w:val="008000"/>
                        <w:szCs w:val="21"/>
                      </w:rPr>
                    </w:pPr>
                    <w:r>
                      <w:rPr>
                        <w:rFonts w:hint="eastAsia"/>
                        <w:b/>
                        <w:bCs/>
                        <w:szCs w:val="21"/>
                      </w:rPr>
                      <w:t>非流动资产：</w:t>
                    </w:r>
                  </w:p>
                </w:tc>
              </w:sdtContent>
            </w:sdt>
          </w:tr>
          <w:tr w:rsidR="00E57DAA" w14:paraId="382AAC09" w14:textId="77777777">
            <w:tc>
              <w:tcPr>
                <w:tcW w:w="1629" w:type="pct"/>
                <w:tcBorders>
                  <w:top w:val="outset" w:sz="6" w:space="0" w:color="auto"/>
                  <w:left w:val="outset" w:sz="6" w:space="0" w:color="auto"/>
                  <w:bottom w:val="outset" w:sz="6" w:space="0" w:color="auto"/>
                  <w:right w:val="outset" w:sz="6" w:space="0" w:color="auto"/>
                </w:tcBorders>
                <w:vAlign w:val="center"/>
              </w:tcPr>
              <w:p w14:paraId="55015CBA" w14:textId="77777777" w:rsidR="00E57DAA" w:rsidRDefault="00AC4185">
                <w:pPr>
                  <w:ind w:firstLineChars="100" w:firstLine="210"/>
                  <w:rPr>
                    <w:szCs w:val="21"/>
                  </w:rPr>
                </w:pPr>
                <w:r>
                  <w:rPr>
                    <w:rFonts w:hint="eastAsia"/>
                    <w:szCs w:val="21"/>
                  </w:rPr>
                  <w:t>发放贷款和垫款</w:t>
                </w:r>
              </w:p>
            </w:tc>
            <w:tc>
              <w:tcPr>
                <w:tcW w:w="627" w:type="pct"/>
                <w:tcBorders>
                  <w:top w:val="outset" w:sz="6" w:space="0" w:color="auto"/>
                  <w:left w:val="outset" w:sz="6" w:space="0" w:color="auto"/>
                  <w:bottom w:val="outset" w:sz="6" w:space="0" w:color="auto"/>
                  <w:right w:val="outset" w:sz="6" w:space="0" w:color="auto"/>
                </w:tcBorders>
                <w:vAlign w:val="center"/>
              </w:tcPr>
              <w:p w14:paraId="304F2A5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818B64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715BE1A" w14:textId="77777777" w:rsidR="00E57DAA" w:rsidRDefault="00E57DAA">
                <w:pPr>
                  <w:jc w:val="right"/>
                  <w:rPr>
                    <w:szCs w:val="21"/>
                  </w:rPr>
                </w:pPr>
              </w:p>
            </w:tc>
          </w:tr>
          <w:tr w:rsidR="00E57DAA" w14:paraId="17D901FD" w14:textId="77777777">
            <w:tc>
              <w:tcPr>
                <w:tcW w:w="1629" w:type="pct"/>
                <w:tcBorders>
                  <w:top w:val="outset" w:sz="6" w:space="0" w:color="auto"/>
                  <w:left w:val="outset" w:sz="6" w:space="0" w:color="auto"/>
                  <w:bottom w:val="outset" w:sz="6" w:space="0" w:color="auto"/>
                  <w:right w:val="outset" w:sz="6" w:space="0" w:color="auto"/>
                </w:tcBorders>
                <w:vAlign w:val="center"/>
              </w:tcPr>
              <w:p w14:paraId="58169EC6" w14:textId="77777777" w:rsidR="00E57DAA" w:rsidRDefault="00AC4185">
                <w:pPr>
                  <w:ind w:firstLineChars="100" w:firstLine="210"/>
                </w:pPr>
                <w:r>
                  <w:rPr>
                    <w:rFonts w:hint="eastAsia"/>
                  </w:rPr>
                  <w:t>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76D5F30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08D989B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C843B05" w14:textId="77777777" w:rsidR="00E57DAA" w:rsidRDefault="00E57DAA">
                <w:pPr>
                  <w:jc w:val="right"/>
                  <w:rPr>
                    <w:szCs w:val="21"/>
                  </w:rPr>
                </w:pPr>
              </w:p>
            </w:tc>
          </w:tr>
          <w:tr w:rsidR="00E57DAA" w14:paraId="324715DD" w14:textId="77777777">
            <w:tc>
              <w:tcPr>
                <w:tcW w:w="1629" w:type="pct"/>
                <w:tcBorders>
                  <w:top w:val="outset" w:sz="6" w:space="0" w:color="auto"/>
                  <w:left w:val="outset" w:sz="6" w:space="0" w:color="auto"/>
                  <w:bottom w:val="outset" w:sz="6" w:space="0" w:color="auto"/>
                  <w:right w:val="outset" w:sz="6" w:space="0" w:color="auto"/>
                </w:tcBorders>
                <w:vAlign w:val="center"/>
              </w:tcPr>
              <w:p w14:paraId="7B2E1236" w14:textId="77777777" w:rsidR="00E57DAA" w:rsidRDefault="00AC4185">
                <w:pPr>
                  <w:ind w:firstLineChars="100" w:firstLine="210"/>
                </w:pPr>
                <w:r>
                  <w:rPr>
                    <w:rFonts w:hint="eastAsia"/>
                  </w:rPr>
                  <w:t>其他债权投资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317D908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91DC4D6"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6151803" w14:textId="77777777" w:rsidR="00E57DAA" w:rsidRDefault="00E57DAA">
                <w:pPr>
                  <w:jc w:val="right"/>
                  <w:rPr>
                    <w:szCs w:val="21"/>
                  </w:rPr>
                </w:pPr>
              </w:p>
            </w:tc>
          </w:tr>
          <w:tr w:rsidR="00E57DAA" w14:paraId="310EA809" w14:textId="77777777">
            <w:tc>
              <w:tcPr>
                <w:tcW w:w="1629" w:type="pct"/>
                <w:tcBorders>
                  <w:top w:val="outset" w:sz="6" w:space="0" w:color="auto"/>
                  <w:left w:val="outset" w:sz="6" w:space="0" w:color="auto"/>
                  <w:bottom w:val="outset" w:sz="6" w:space="0" w:color="auto"/>
                  <w:right w:val="outset" w:sz="6" w:space="0" w:color="auto"/>
                </w:tcBorders>
                <w:vAlign w:val="center"/>
              </w:tcPr>
              <w:p w14:paraId="6C1E92E7" w14:textId="77777777" w:rsidR="00E57DAA" w:rsidRDefault="00AC4185">
                <w:pPr>
                  <w:ind w:firstLineChars="100" w:firstLine="210"/>
                  <w:rPr>
                    <w:szCs w:val="21"/>
                  </w:rPr>
                </w:pPr>
                <w:r>
                  <w:rPr>
                    <w:rFonts w:hint="eastAsia"/>
                    <w:szCs w:val="21"/>
                  </w:rPr>
                  <w:t>长期应收款</w:t>
                </w:r>
              </w:p>
            </w:tc>
            <w:tc>
              <w:tcPr>
                <w:tcW w:w="627" w:type="pct"/>
                <w:tcBorders>
                  <w:top w:val="outset" w:sz="6" w:space="0" w:color="auto"/>
                  <w:left w:val="outset" w:sz="6" w:space="0" w:color="auto"/>
                  <w:bottom w:val="outset" w:sz="6" w:space="0" w:color="auto"/>
                  <w:right w:val="outset" w:sz="6" w:space="0" w:color="auto"/>
                </w:tcBorders>
                <w:vAlign w:val="center"/>
              </w:tcPr>
              <w:p w14:paraId="6BF69D07" w14:textId="77777777" w:rsidR="00E57DAA" w:rsidRDefault="00AC4185">
                <w:pPr>
                  <w:rPr>
                    <w:szCs w:val="21"/>
                  </w:rPr>
                </w:pPr>
                <w:r>
                  <w:t>七、16</w:t>
                </w:r>
              </w:p>
            </w:tc>
            <w:tc>
              <w:tcPr>
                <w:tcW w:w="1411" w:type="pct"/>
                <w:tcBorders>
                  <w:top w:val="outset" w:sz="6" w:space="0" w:color="auto"/>
                  <w:left w:val="outset" w:sz="6" w:space="0" w:color="auto"/>
                  <w:bottom w:val="outset" w:sz="6" w:space="0" w:color="auto"/>
                  <w:right w:val="outset" w:sz="6" w:space="0" w:color="auto"/>
                </w:tcBorders>
                <w:vAlign w:val="center"/>
              </w:tcPr>
              <w:p w14:paraId="6EF31225" w14:textId="77777777" w:rsidR="00E57DAA" w:rsidRDefault="00AC4185">
                <w:pPr>
                  <w:jc w:val="right"/>
                  <w:rPr>
                    <w:szCs w:val="21"/>
                  </w:rPr>
                </w:pPr>
                <w:r>
                  <w:t>3,961,143,756.88</w:t>
                </w:r>
              </w:p>
            </w:tc>
            <w:tc>
              <w:tcPr>
                <w:tcW w:w="1333" w:type="pct"/>
                <w:tcBorders>
                  <w:top w:val="outset" w:sz="6" w:space="0" w:color="auto"/>
                  <w:left w:val="outset" w:sz="6" w:space="0" w:color="auto"/>
                  <w:bottom w:val="outset" w:sz="6" w:space="0" w:color="auto"/>
                  <w:right w:val="outset" w:sz="6" w:space="0" w:color="auto"/>
                </w:tcBorders>
                <w:vAlign w:val="center"/>
              </w:tcPr>
              <w:p w14:paraId="7E0C1856" w14:textId="77777777" w:rsidR="00E57DAA" w:rsidRDefault="00AC4185">
                <w:pPr>
                  <w:jc w:val="right"/>
                  <w:rPr>
                    <w:szCs w:val="21"/>
                  </w:rPr>
                </w:pPr>
                <w:r>
                  <w:t>4,073,317,990.16</w:t>
                </w:r>
              </w:p>
            </w:tc>
          </w:tr>
          <w:tr w:rsidR="00E57DAA" w14:paraId="25425532" w14:textId="77777777">
            <w:tc>
              <w:tcPr>
                <w:tcW w:w="1629" w:type="pct"/>
                <w:tcBorders>
                  <w:top w:val="outset" w:sz="6" w:space="0" w:color="auto"/>
                  <w:left w:val="outset" w:sz="6" w:space="0" w:color="auto"/>
                  <w:bottom w:val="outset" w:sz="6" w:space="0" w:color="auto"/>
                  <w:right w:val="outset" w:sz="6" w:space="0" w:color="auto"/>
                </w:tcBorders>
                <w:vAlign w:val="center"/>
              </w:tcPr>
              <w:p w14:paraId="1A512070" w14:textId="77777777" w:rsidR="00E57DAA" w:rsidRDefault="00AC4185">
                <w:pPr>
                  <w:ind w:firstLineChars="100" w:firstLine="210"/>
                  <w:rPr>
                    <w:szCs w:val="21"/>
                  </w:rPr>
                </w:pPr>
                <w:r>
                  <w:rPr>
                    <w:rFonts w:hint="eastAsia"/>
                    <w:szCs w:val="2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355620E2" w14:textId="77777777" w:rsidR="00E57DAA" w:rsidRDefault="00AC4185">
                <w:pPr>
                  <w:rPr>
                    <w:szCs w:val="21"/>
                  </w:rPr>
                </w:pPr>
                <w:r>
                  <w:t>七、17</w:t>
                </w:r>
              </w:p>
            </w:tc>
            <w:tc>
              <w:tcPr>
                <w:tcW w:w="1411" w:type="pct"/>
                <w:tcBorders>
                  <w:top w:val="outset" w:sz="6" w:space="0" w:color="auto"/>
                  <w:left w:val="outset" w:sz="6" w:space="0" w:color="auto"/>
                  <w:bottom w:val="outset" w:sz="6" w:space="0" w:color="auto"/>
                  <w:right w:val="outset" w:sz="6" w:space="0" w:color="auto"/>
                </w:tcBorders>
                <w:vAlign w:val="center"/>
              </w:tcPr>
              <w:p w14:paraId="443860C8" w14:textId="77777777" w:rsidR="00E57DAA" w:rsidRDefault="00AC4185">
                <w:pPr>
                  <w:jc w:val="right"/>
                  <w:rPr>
                    <w:szCs w:val="21"/>
                  </w:rPr>
                </w:pPr>
                <w:r>
                  <w:t>1,215,709,427.08</w:t>
                </w:r>
              </w:p>
            </w:tc>
            <w:tc>
              <w:tcPr>
                <w:tcW w:w="1333" w:type="pct"/>
                <w:tcBorders>
                  <w:top w:val="outset" w:sz="6" w:space="0" w:color="auto"/>
                  <w:left w:val="outset" w:sz="6" w:space="0" w:color="auto"/>
                  <w:bottom w:val="outset" w:sz="6" w:space="0" w:color="auto"/>
                  <w:right w:val="outset" w:sz="6" w:space="0" w:color="auto"/>
                </w:tcBorders>
                <w:vAlign w:val="center"/>
              </w:tcPr>
              <w:p w14:paraId="41E5BAF6" w14:textId="77777777" w:rsidR="00E57DAA" w:rsidRDefault="00AC4185">
                <w:pPr>
                  <w:jc w:val="right"/>
                  <w:rPr>
                    <w:szCs w:val="21"/>
                  </w:rPr>
                </w:pPr>
                <w:r>
                  <w:t>687,263,520.08</w:t>
                </w:r>
              </w:p>
            </w:tc>
          </w:tr>
          <w:tr w:rsidR="00E57DAA" w14:paraId="6EB2E1FD" w14:textId="77777777">
            <w:tc>
              <w:tcPr>
                <w:tcW w:w="1629" w:type="pct"/>
                <w:tcBorders>
                  <w:top w:val="outset" w:sz="6" w:space="0" w:color="auto"/>
                  <w:left w:val="outset" w:sz="6" w:space="0" w:color="auto"/>
                  <w:bottom w:val="outset" w:sz="6" w:space="0" w:color="auto"/>
                  <w:right w:val="outset" w:sz="6" w:space="0" w:color="auto"/>
                </w:tcBorders>
                <w:vAlign w:val="center"/>
              </w:tcPr>
              <w:p w14:paraId="7CCB333B" w14:textId="77777777" w:rsidR="00E57DAA" w:rsidRDefault="00AC4185">
                <w:pPr>
                  <w:ind w:firstLineChars="100" w:firstLine="210"/>
                </w:pPr>
                <w:r>
                  <w:rPr>
                    <w:rFonts w:hint="eastAsia"/>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1A7956F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0B322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48FE0E1" w14:textId="77777777" w:rsidR="00E57DAA" w:rsidRDefault="00E57DAA">
                <w:pPr>
                  <w:jc w:val="right"/>
                  <w:rPr>
                    <w:szCs w:val="21"/>
                  </w:rPr>
                </w:pPr>
              </w:p>
            </w:tc>
          </w:tr>
          <w:tr w:rsidR="00E57DAA" w14:paraId="3C888EE3" w14:textId="77777777">
            <w:tc>
              <w:tcPr>
                <w:tcW w:w="1629" w:type="pct"/>
                <w:tcBorders>
                  <w:top w:val="outset" w:sz="6" w:space="0" w:color="auto"/>
                  <w:left w:val="outset" w:sz="6" w:space="0" w:color="auto"/>
                  <w:bottom w:val="outset" w:sz="6" w:space="0" w:color="auto"/>
                  <w:right w:val="outset" w:sz="6" w:space="0" w:color="auto"/>
                </w:tcBorders>
                <w:vAlign w:val="center"/>
              </w:tcPr>
              <w:p w14:paraId="5F94A756" w14:textId="77777777" w:rsidR="00E57DAA" w:rsidRDefault="00AC4185">
                <w:pPr>
                  <w:ind w:firstLineChars="100" w:firstLine="210"/>
                </w:pPr>
                <w:r>
                  <w:rPr>
                    <w:rFonts w:hint="eastAsia"/>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64E474F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2B68290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5FBEB8E" w14:textId="77777777" w:rsidR="00E57DAA" w:rsidRDefault="00E57DAA">
                <w:pPr>
                  <w:jc w:val="right"/>
                  <w:rPr>
                    <w:szCs w:val="21"/>
                  </w:rPr>
                </w:pPr>
              </w:p>
            </w:tc>
          </w:tr>
          <w:tr w:rsidR="00E57DAA" w14:paraId="323956DC" w14:textId="77777777">
            <w:tc>
              <w:tcPr>
                <w:tcW w:w="1629" w:type="pct"/>
                <w:tcBorders>
                  <w:top w:val="outset" w:sz="6" w:space="0" w:color="auto"/>
                  <w:left w:val="outset" w:sz="6" w:space="0" w:color="auto"/>
                  <w:bottom w:val="outset" w:sz="6" w:space="0" w:color="auto"/>
                  <w:right w:val="outset" w:sz="6" w:space="0" w:color="auto"/>
                </w:tcBorders>
                <w:vAlign w:val="center"/>
              </w:tcPr>
              <w:p w14:paraId="5DDE6E4F" w14:textId="77777777" w:rsidR="00E57DAA" w:rsidRDefault="00AC4185">
                <w:pPr>
                  <w:ind w:firstLineChars="100" w:firstLine="210"/>
                  <w:rPr>
                    <w:szCs w:val="21"/>
                  </w:rPr>
                </w:pPr>
                <w:r>
                  <w:rPr>
                    <w:rFonts w:hint="eastAsia"/>
                    <w:szCs w:val="21"/>
                  </w:rPr>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393AB05B" w14:textId="77777777" w:rsidR="00E57DAA" w:rsidRDefault="00AC4185">
                <w:pPr>
                  <w:rPr>
                    <w:szCs w:val="21"/>
                  </w:rPr>
                </w:pPr>
                <w:r>
                  <w:t>七、20</w:t>
                </w:r>
              </w:p>
            </w:tc>
            <w:tc>
              <w:tcPr>
                <w:tcW w:w="1411" w:type="pct"/>
                <w:tcBorders>
                  <w:top w:val="outset" w:sz="6" w:space="0" w:color="auto"/>
                  <w:left w:val="outset" w:sz="6" w:space="0" w:color="auto"/>
                  <w:bottom w:val="outset" w:sz="6" w:space="0" w:color="auto"/>
                  <w:right w:val="outset" w:sz="6" w:space="0" w:color="auto"/>
                </w:tcBorders>
                <w:vAlign w:val="center"/>
              </w:tcPr>
              <w:p w14:paraId="1B8C5CDE" w14:textId="77777777" w:rsidR="00E57DAA" w:rsidRDefault="00AC4185">
                <w:pPr>
                  <w:jc w:val="right"/>
                  <w:rPr>
                    <w:szCs w:val="21"/>
                  </w:rPr>
                </w:pPr>
                <w:r>
                  <w:t>739,188,221.82</w:t>
                </w:r>
              </w:p>
            </w:tc>
            <w:tc>
              <w:tcPr>
                <w:tcW w:w="1333" w:type="pct"/>
                <w:tcBorders>
                  <w:top w:val="outset" w:sz="6" w:space="0" w:color="auto"/>
                  <w:left w:val="outset" w:sz="6" w:space="0" w:color="auto"/>
                  <w:bottom w:val="outset" w:sz="6" w:space="0" w:color="auto"/>
                  <w:right w:val="outset" w:sz="6" w:space="0" w:color="auto"/>
                </w:tcBorders>
                <w:vAlign w:val="center"/>
              </w:tcPr>
              <w:p w14:paraId="72D360E6" w14:textId="77777777" w:rsidR="00E57DAA" w:rsidRDefault="00AC4185">
                <w:pPr>
                  <w:jc w:val="right"/>
                  <w:rPr>
                    <w:szCs w:val="21"/>
                  </w:rPr>
                </w:pPr>
                <w:r>
                  <w:t>668,313,054.56</w:t>
                </w:r>
              </w:p>
            </w:tc>
          </w:tr>
          <w:tr w:rsidR="00E57DAA" w14:paraId="0296601A" w14:textId="77777777">
            <w:tc>
              <w:tcPr>
                <w:tcW w:w="1629" w:type="pct"/>
                <w:tcBorders>
                  <w:top w:val="outset" w:sz="6" w:space="0" w:color="auto"/>
                  <w:left w:val="outset" w:sz="6" w:space="0" w:color="auto"/>
                  <w:bottom w:val="outset" w:sz="6" w:space="0" w:color="auto"/>
                  <w:right w:val="outset" w:sz="6" w:space="0" w:color="auto"/>
                </w:tcBorders>
                <w:vAlign w:val="center"/>
              </w:tcPr>
              <w:p w14:paraId="5CC600C6" w14:textId="77777777" w:rsidR="00E57DAA" w:rsidRDefault="00AC4185">
                <w:pPr>
                  <w:ind w:firstLineChars="100" w:firstLine="210"/>
                  <w:rPr>
                    <w:szCs w:val="21"/>
                  </w:rPr>
                </w:pPr>
                <w:r>
                  <w:rPr>
                    <w:rFonts w:hint="eastAsia"/>
                    <w:szCs w:val="2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33189761" w14:textId="77777777" w:rsidR="00E57DAA" w:rsidRDefault="00AC4185">
                <w:pPr>
                  <w:rPr>
                    <w:szCs w:val="21"/>
                  </w:rPr>
                </w:pPr>
                <w:r>
                  <w:t>七、21</w:t>
                </w:r>
              </w:p>
            </w:tc>
            <w:tc>
              <w:tcPr>
                <w:tcW w:w="1411" w:type="pct"/>
                <w:tcBorders>
                  <w:top w:val="outset" w:sz="6" w:space="0" w:color="auto"/>
                  <w:left w:val="outset" w:sz="6" w:space="0" w:color="auto"/>
                  <w:bottom w:val="outset" w:sz="6" w:space="0" w:color="auto"/>
                  <w:right w:val="outset" w:sz="6" w:space="0" w:color="auto"/>
                </w:tcBorders>
                <w:vAlign w:val="center"/>
              </w:tcPr>
              <w:p w14:paraId="517429D9" w14:textId="77777777" w:rsidR="00E57DAA" w:rsidRDefault="00AC4185">
                <w:pPr>
                  <w:jc w:val="right"/>
                  <w:rPr>
                    <w:szCs w:val="21"/>
                  </w:rPr>
                </w:pPr>
                <w:r>
                  <w:t>5,097,022,401.40</w:t>
                </w:r>
              </w:p>
            </w:tc>
            <w:tc>
              <w:tcPr>
                <w:tcW w:w="1333" w:type="pct"/>
                <w:tcBorders>
                  <w:top w:val="outset" w:sz="6" w:space="0" w:color="auto"/>
                  <w:left w:val="outset" w:sz="6" w:space="0" w:color="auto"/>
                  <w:bottom w:val="outset" w:sz="6" w:space="0" w:color="auto"/>
                  <w:right w:val="outset" w:sz="6" w:space="0" w:color="auto"/>
                </w:tcBorders>
                <w:vAlign w:val="center"/>
              </w:tcPr>
              <w:p w14:paraId="707639DA" w14:textId="77777777" w:rsidR="00E57DAA" w:rsidRDefault="00AC4185">
                <w:pPr>
                  <w:jc w:val="right"/>
                  <w:rPr>
                    <w:szCs w:val="21"/>
                  </w:rPr>
                </w:pPr>
                <w:r>
                  <w:t>4,186,980,014.34</w:t>
                </w:r>
              </w:p>
            </w:tc>
          </w:tr>
          <w:tr w:rsidR="00E57DAA" w14:paraId="402AE3B0" w14:textId="77777777">
            <w:tc>
              <w:tcPr>
                <w:tcW w:w="1629" w:type="pct"/>
                <w:tcBorders>
                  <w:top w:val="outset" w:sz="6" w:space="0" w:color="auto"/>
                  <w:left w:val="outset" w:sz="6" w:space="0" w:color="auto"/>
                  <w:bottom w:val="outset" w:sz="6" w:space="0" w:color="auto"/>
                  <w:right w:val="outset" w:sz="6" w:space="0" w:color="auto"/>
                </w:tcBorders>
                <w:vAlign w:val="center"/>
              </w:tcPr>
              <w:p w14:paraId="5DF17B51" w14:textId="77777777" w:rsidR="00E57DAA" w:rsidRDefault="00AC4185">
                <w:pPr>
                  <w:ind w:firstLineChars="100" w:firstLine="210"/>
                  <w:rPr>
                    <w:szCs w:val="21"/>
                  </w:rPr>
                </w:pPr>
                <w:r>
                  <w:rPr>
                    <w:rFonts w:hint="eastAsia"/>
                    <w:szCs w:val="2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1414C346" w14:textId="77777777" w:rsidR="00E57DAA" w:rsidRDefault="00AC4185">
                <w:pPr>
                  <w:rPr>
                    <w:szCs w:val="21"/>
                  </w:rPr>
                </w:pPr>
                <w:r>
                  <w:t>七、22</w:t>
                </w:r>
              </w:p>
            </w:tc>
            <w:tc>
              <w:tcPr>
                <w:tcW w:w="1411" w:type="pct"/>
                <w:tcBorders>
                  <w:top w:val="outset" w:sz="6" w:space="0" w:color="auto"/>
                  <w:left w:val="outset" w:sz="6" w:space="0" w:color="auto"/>
                  <w:bottom w:val="outset" w:sz="6" w:space="0" w:color="auto"/>
                  <w:right w:val="outset" w:sz="6" w:space="0" w:color="auto"/>
                </w:tcBorders>
                <w:vAlign w:val="center"/>
              </w:tcPr>
              <w:p w14:paraId="7B940DAC" w14:textId="77777777" w:rsidR="00E57DAA" w:rsidRDefault="00AC4185">
                <w:pPr>
                  <w:jc w:val="right"/>
                  <w:rPr>
                    <w:szCs w:val="21"/>
                  </w:rPr>
                </w:pPr>
                <w:r>
                  <w:t>576,109,890.67</w:t>
                </w:r>
              </w:p>
            </w:tc>
            <w:tc>
              <w:tcPr>
                <w:tcW w:w="1333" w:type="pct"/>
                <w:tcBorders>
                  <w:top w:val="outset" w:sz="6" w:space="0" w:color="auto"/>
                  <w:left w:val="outset" w:sz="6" w:space="0" w:color="auto"/>
                  <w:bottom w:val="outset" w:sz="6" w:space="0" w:color="auto"/>
                  <w:right w:val="outset" w:sz="6" w:space="0" w:color="auto"/>
                </w:tcBorders>
                <w:vAlign w:val="center"/>
              </w:tcPr>
              <w:p w14:paraId="79DD76FE" w14:textId="77777777" w:rsidR="00E57DAA" w:rsidRDefault="00AC4185">
                <w:pPr>
                  <w:jc w:val="right"/>
                  <w:rPr>
                    <w:szCs w:val="21"/>
                  </w:rPr>
                </w:pPr>
                <w:r>
                  <w:t>850,612,077.98</w:t>
                </w:r>
              </w:p>
            </w:tc>
          </w:tr>
          <w:tr w:rsidR="00E57DAA" w14:paraId="2A4388CB" w14:textId="77777777">
            <w:tc>
              <w:tcPr>
                <w:tcW w:w="1629" w:type="pct"/>
                <w:tcBorders>
                  <w:top w:val="outset" w:sz="6" w:space="0" w:color="auto"/>
                  <w:left w:val="outset" w:sz="6" w:space="0" w:color="auto"/>
                  <w:bottom w:val="outset" w:sz="6" w:space="0" w:color="auto"/>
                  <w:right w:val="outset" w:sz="6" w:space="0" w:color="auto"/>
                </w:tcBorders>
                <w:vAlign w:val="center"/>
              </w:tcPr>
              <w:p w14:paraId="486DA2B1" w14:textId="77777777" w:rsidR="00E57DAA" w:rsidRDefault="00AC4185">
                <w:pPr>
                  <w:ind w:firstLineChars="100" w:firstLine="210"/>
                  <w:rPr>
                    <w:szCs w:val="21"/>
                  </w:rPr>
                </w:pPr>
                <w:r>
                  <w:rPr>
                    <w:rFonts w:hint="eastAsia"/>
                    <w:szCs w:val="21"/>
                  </w:rPr>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31072C4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B3A80A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E67415F" w14:textId="77777777" w:rsidR="00E57DAA" w:rsidRDefault="00E57DAA">
                <w:pPr>
                  <w:jc w:val="right"/>
                  <w:rPr>
                    <w:szCs w:val="21"/>
                  </w:rPr>
                </w:pPr>
              </w:p>
            </w:tc>
          </w:tr>
          <w:tr w:rsidR="00E57DAA" w14:paraId="424D0E5C" w14:textId="77777777">
            <w:tc>
              <w:tcPr>
                <w:tcW w:w="1629" w:type="pct"/>
                <w:tcBorders>
                  <w:top w:val="outset" w:sz="6" w:space="0" w:color="auto"/>
                  <w:left w:val="outset" w:sz="6" w:space="0" w:color="auto"/>
                  <w:bottom w:val="outset" w:sz="6" w:space="0" w:color="auto"/>
                  <w:right w:val="outset" w:sz="6" w:space="0" w:color="auto"/>
                </w:tcBorders>
                <w:vAlign w:val="center"/>
              </w:tcPr>
              <w:p w14:paraId="7BE39ED2" w14:textId="77777777" w:rsidR="00E57DAA" w:rsidRDefault="00AC4185">
                <w:pPr>
                  <w:ind w:firstLineChars="100" w:firstLine="210"/>
                  <w:rPr>
                    <w:szCs w:val="21"/>
                  </w:rPr>
                </w:pPr>
                <w:r>
                  <w:rPr>
                    <w:rFonts w:hint="eastAsia"/>
                    <w:szCs w:val="2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6650DEA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7A194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227F775" w14:textId="77777777" w:rsidR="00E57DAA" w:rsidRDefault="00E57DAA">
                <w:pPr>
                  <w:jc w:val="right"/>
                  <w:rPr>
                    <w:szCs w:val="21"/>
                  </w:rPr>
                </w:pPr>
              </w:p>
            </w:tc>
          </w:tr>
          <w:tr w:rsidR="00E57DAA" w14:paraId="1A387A30" w14:textId="77777777">
            <w:tc>
              <w:tcPr>
                <w:tcW w:w="1629" w:type="pct"/>
                <w:tcBorders>
                  <w:top w:val="outset" w:sz="6" w:space="0" w:color="auto"/>
                  <w:left w:val="outset" w:sz="6" w:space="0" w:color="auto"/>
                  <w:bottom w:val="outset" w:sz="6" w:space="0" w:color="auto"/>
                  <w:right w:val="outset" w:sz="6" w:space="0" w:color="auto"/>
                </w:tcBorders>
                <w:vAlign w:val="center"/>
              </w:tcPr>
              <w:p w14:paraId="212CA482" w14:textId="77777777" w:rsidR="00E57DAA" w:rsidRDefault="00AC4185">
                <w:pPr>
                  <w:ind w:firstLineChars="100" w:firstLine="210"/>
                </w:pPr>
                <w:r>
                  <w:rPr>
                    <w:rFonts w:hint="eastAsia"/>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48AFD4D6" w14:textId="77777777" w:rsidR="00E57DAA" w:rsidRDefault="00AC4185">
                <w:pPr>
                  <w:rPr>
                    <w:szCs w:val="21"/>
                  </w:rPr>
                </w:pPr>
                <w:r>
                  <w:t>七、25</w:t>
                </w:r>
              </w:p>
            </w:tc>
            <w:tc>
              <w:tcPr>
                <w:tcW w:w="1411" w:type="pct"/>
                <w:tcBorders>
                  <w:top w:val="outset" w:sz="6" w:space="0" w:color="auto"/>
                  <w:left w:val="outset" w:sz="6" w:space="0" w:color="auto"/>
                  <w:bottom w:val="outset" w:sz="6" w:space="0" w:color="auto"/>
                  <w:right w:val="outset" w:sz="6" w:space="0" w:color="auto"/>
                </w:tcBorders>
                <w:vAlign w:val="center"/>
              </w:tcPr>
              <w:p w14:paraId="1C84E5C5" w14:textId="77777777" w:rsidR="00E57DAA" w:rsidRDefault="00AC4185">
                <w:pPr>
                  <w:jc w:val="right"/>
                  <w:rPr>
                    <w:szCs w:val="21"/>
                  </w:rPr>
                </w:pPr>
                <w:r>
                  <w:t>128,382,833.84</w:t>
                </w:r>
              </w:p>
            </w:tc>
            <w:tc>
              <w:tcPr>
                <w:tcW w:w="1333" w:type="pct"/>
                <w:tcBorders>
                  <w:top w:val="outset" w:sz="6" w:space="0" w:color="auto"/>
                  <w:left w:val="outset" w:sz="6" w:space="0" w:color="auto"/>
                  <w:bottom w:val="outset" w:sz="6" w:space="0" w:color="auto"/>
                  <w:right w:val="outset" w:sz="6" w:space="0" w:color="auto"/>
                </w:tcBorders>
                <w:vAlign w:val="center"/>
              </w:tcPr>
              <w:p w14:paraId="316F69BE" w14:textId="77777777" w:rsidR="00E57DAA" w:rsidRDefault="00AC4185">
                <w:pPr>
                  <w:jc w:val="right"/>
                  <w:rPr>
                    <w:szCs w:val="21"/>
                  </w:rPr>
                </w:pPr>
                <w:r>
                  <w:t>97,598,835.07</w:t>
                </w:r>
              </w:p>
            </w:tc>
          </w:tr>
          <w:tr w:rsidR="00E57DAA" w14:paraId="754152B3" w14:textId="77777777">
            <w:tc>
              <w:tcPr>
                <w:tcW w:w="1629" w:type="pct"/>
                <w:tcBorders>
                  <w:top w:val="outset" w:sz="6" w:space="0" w:color="auto"/>
                  <w:left w:val="outset" w:sz="6" w:space="0" w:color="auto"/>
                  <w:bottom w:val="outset" w:sz="6" w:space="0" w:color="auto"/>
                  <w:right w:val="outset" w:sz="6" w:space="0" w:color="auto"/>
                </w:tcBorders>
                <w:vAlign w:val="center"/>
              </w:tcPr>
              <w:p w14:paraId="03B446F4" w14:textId="77777777" w:rsidR="00E57DAA" w:rsidRDefault="00AC4185">
                <w:pPr>
                  <w:ind w:firstLineChars="100" w:firstLine="210"/>
                  <w:rPr>
                    <w:szCs w:val="21"/>
                  </w:rPr>
                </w:pPr>
                <w:r>
                  <w:rPr>
                    <w:rFonts w:hint="eastAsia"/>
                    <w:szCs w:val="2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3612A501" w14:textId="77777777" w:rsidR="00E57DAA" w:rsidRDefault="00AC4185">
                <w:pPr>
                  <w:rPr>
                    <w:szCs w:val="21"/>
                  </w:rPr>
                </w:pPr>
                <w:r>
                  <w:t>七、26</w:t>
                </w:r>
              </w:p>
            </w:tc>
            <w:tc>
              <w:tcPr>
                <w:tcW w:w="1411" w:type="pct"/>
                <w:tcBorders>
                  <w:top w:val="outset" w:sz="6" w:space="0" w:color="auto"/>
                  <w:left w:val="outset" w:sz="6" w:space="0" w:color="auto"/>
                  <w:bottom w:val="outset" w:sz="6" w:space="0" w:color="auto"/>
                  <w:right w:val="outset" w:sz="6" w:space="0" w:color="auto"/>
                </w:tcBorders>
                <w:vAlign w:val="center"/>
              </w:tcPr>
              <w:p w14:paraId="0450F135" w14:textId="77777777" w:rsidR="00E57DAA" w:rsidRDefault="00AC4185">
                <w:pPr>
                  <w:jc w:val="right"/>
                  <w:rPr>
                    <w:szCs w:val="21"/>
                  </w:rPr>
                </w:pPr>
                <w:r>
                  <w:t>1,092,460,907.39</w:t>
                </w:r>
              </w:p>
            </w:tc>
            <w:tc>
              <w:tcPr>
                <w:tcW w:w="1333" w:type="pct"/>
                <w:tcBorders>
                  <w:top w:val="outset" w:sz="6" w:space="0" w:color="auto"/>
                  <w:left w:val="outset" w:sz="6" w:space="0" w:color="auto"/>
                  <w:bottom w:val="outset" w:sz="6" w:space="0" w:color="auto"/>
                  <w:right w:val="outset" w:sz="6" w:space="0" w:color="auto"/>
                </w:tcBorders>
                <w:vAlign w:val="center"/>
              </w:tcPr>
              <w:p w14:paraId="30422990" w14:textId="77777777" w:rsidR="00E57DAA" w:rsidRDefault="00AC4185">
                <w:pPr>
                  <w:jc w:val="right"/>
                  <w:rPr>
                    <w:szCs w:val="21"/>
                  </w:rPr>
                </w:pPr>
                <w:r>
                  <w:t>1,114,231,302.65</w:t>
                </w:r>
              </w:p>
            </w:tc>
          </w:tr>
          <w:tr w:rsidR="00E57DAA" w14:paraId="1D0302C0" w14:textId="77777777">
            <w:tc>
              <w:tcPr>
                <w:tcW w:w="1629" w:type="pct"/>
                <w:tcBorders>
                  <w:top w:val="outset" w:sz="6" w:space="0" w:color="auto"/>
                  <w:left w:val="outset" w:sz="6" w:space="0" w:color="auto"/>
                  <w:bottom w:val="outset" w:sz="6" w:space="0" w:color="auto"/>
                  <w:right w:val="outset" w:sz="6" w:space="0" w:color="auto"/>
                </w:tcBorders>
                <w:vAlign w:val="center"/>
              </w:tcPr>
              <w:p w14:paraId="660E919D" w14:textId="77777777" w:rsidR="00E57DAA" w:rsidRDefault="00AC4185">
                <w:pPr>
                  <w:ind w:firstLineChars="100" w:firstLine="210"/>
                  <w:rPr>
                    <w:szCs w:val="21"/>
                  </w:rPr>
                </w:pPr>
                <w:r>
                  <w:rPr>
                    <w:rFonts w:hint="eastAsia"/>
                    <w:szCs w:val="2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57F5262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C57224"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BB8D654" w14:textId="77777777" w:rsidR="00E57DAA" w:rsidRDefault="00E57DAA">
                <w:pPr>
                  <w:jc w:val="right"/>
                  <w:rPr>
                    <w:szCs w:val="21"/>
                  </w:rPr>
                </w:pPr>
              </w:p>
            </w:tc>
          </w:tr>
          <w:tr w:rsidR="00E57DAA" w14:paraId="13B697B5" w14:textId="77777777">
            <w:tc>
              <w:tcPr>
                <w:tcW w:w="1629" w:type="pct"/>
                <w:tcBorders>
                  <w:top w:val="outset" w:sz="6" w:space="0" w:color="auto"/>
                  <w:left w:val="outset" w:sz="6" w:space="0" w:color="auto"/>
                  <w:bottom w:val="outset" w:sz="6" w:space="0" w:color="auto"/>
                  <w:right w:val="outset" w:sz="6" w:space="0" w:color="auto"/>
                </w:tcBorders>
                <w:vAlign w:val="center"/>
              </w:tcPr>
              <w:p w14:paraId="178D3600" w14:textId="77777777" w:rsidR="00E57DAA" w:rsidRDefault="00AC4185">
                <w:pPr>
                  <w:ind w:firstLineChars="100" w:firstLine="210"/>
                  <w:rPr>
                    <w:szCs w:val="21"/>
                  </w:rPr>
                </w:pPr>
                <w:r>
                  <w:rPr>
                    <w:rFonts w:hint="eastAsia"/>
                    <w:szCs w:val="2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1F5D64F6" w14:textId="77777777" w:rsidR="00E57DAA" w:rsidRDefault="00AC4185">
                <w:pPr>
                  <w:rPr>
                    <w:szCs w:val="21"/>
                  </w:rPr>
                </w:pPr>
                <w:r>
                  <w:t>七、2</w:t>
                </w:r>
                <w:r>
                  <w:rPr>
                    <w:rFonts w:hint="eastAsia"/>
                  </w:rPr>
                  <w:t>7</w:t>
                </w:r>
              </w:p>
            </w:tc>
            <w:tc>
              <w:tcPr>
                <w:tcW w:w="1411" w:type="pct"/>
                <w:tcBorders>
                  <w:top w:val="outset" w:sz="6" w:space="0" w:color="auto"/>
                  <w:left w:val="outset" w:sz="6" w:space="0" w:color="auto"/>
                  <w:bottom w:val="outset" w:sz="6" w:space="0" w:color="auto"/>
                  <w:right w:val="outset" w:sz="6" w:space="0" w:color="auto"/>
                </w:tcBorders>
                <w:vAlign w:val="center"/>
              </w:tcPr>
              <w:p w14:paraId="5CF6E55E" w14:textId="77777777" w:rsidR="00E57DAA" w:rsidRDefault="00AC4185">
                <w:pPr>
                  <w:jc w:val="right"/>
                  <w:rPr>
                    <w:szCs w:val="21"/>
                  </w:rPr>
                </w:pPr>
                <w:r>
                  <w:t>782,136,689.94</w:t>
                </w:r>
              </w:p>
            </w:tc>
            <w:tc>
              <w:tcPr>
                <w:tcW w:w="1333" w:type="pct"/>
                <w:tcBorders>
                  <w:top w:val="outset" w:sz="6" w:space="0" w:color="auto"/>
                  <w:left w:val="outset" w:sz="6" w:space="0" w:color="auto"/>
                  <w:bottom w:val="outset" w:sz="6" w:space="0" w:color="auto"/>
                  <w:right w:val="outset" w:sz="6" w:space="0" w:color="auto"/>
                </w:tcBorders>
                <w:vAlign w:val="center"/>
              </w:tcPr>
              <w:p w14:paraId="06CA233D" w14:textId="77777777" w:rsidR="00E57DAA" w:rsidRDefault="00AC4185">
                <w:pPr>
                  <w:jc w:val="right"/>
                  <w:rPr>
                    <w:szCs w:val="21"/>
                  </w:rPr>
                </w:pPr>
                <w:r>
                  <w:t>897,612,332.44</w:t>
                </w:r>
              </w:p>
            </w:tc>
          </w:tr>
          <w:tr w:rsidR="00E57DAA" w14:paraId="3C3D5596" w14:textId="77777777">
            <w:tc>
              <w:tcPr>
                <w:tcW w:w="1629" w:type="pct"/>
                <w:tcBorders>
                  <w:top w:val="outset" w:sz="6" w:space="0" w:color="auto"/>
                  <w:left w:val="outset" w:sz="6" w:space="0" w:color="auto"/>
                  <w:bottom w:val="outset" w:sz="6" w:space="0" w:color="auto"/>
                  <w:right w:val="outset" w:sz="6" w:space="0" w:color="auto"/>
                </w:tcBorders>
                <w:vAlign w:val="center"/>
              </w:tcPr>
              <w:p w14:paraId="5EE6A53D" w14:textId="77777777" w:rsidR="00E57DAA" w:rsidRDefault="00AC4185">
                <w:pPr>
                  <w:ind w:firstLineChars="100" w:firstLine="210"/>
                  <w:rPr>
                    <w:szCs w:val="21"/>
                  </w:rPr>
                </w:pPr>
                <w:r>
                  <w:rPr>
                    <w:rFonts w:hint="eastAsia"/>
                    <w:szCs w:val="2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515DEEA0" w14:textId="77777777" w:rsidR="00E57DAA" w:rsidRDefault="00AC4185">
                <w:pPr>
                  <w:rPr>
                    <w:szCs w:val="21"/>
                  </w:rPr>
                </w:pPr>
                <w:r>
                  <w:t>七、2</w:t>
                </w:r>
                <w:r>
                  <w:rPr>
                    <w:rFonts w:hint="eastAsia"/>
                  </w:rPr>
                  <w:t>8</w:t>
                </w:r>
              </w:p>
            </w:tc>
            <w:tc>
              <w:tcPr>
                <w:tcW w:w="1411" w:type="pct"/>
                <w:tcBorders>
                  <w:top w:val="outset" w:sz="6" w:space="0" w:color="auto"/>
                  <w:left w:val="outset" w:sz="6" w:space="0" w:color="auto"/>
                  <w:bottom w:val="outset" w:sz="6" w:space="0" w:color="auto"/>
                  <w:right w:val="outset" w:sz="6" w:space="0" w:color="auto"/>
                </w:tcBorders>
                <w:vAlign w:val="center"/>
              </w:tcPr>
              <w:p w14:paraId="1B984552" w14:textId="77777777" w:rsidR="00E57DAA" w:rsidRDefault="00AC4185">
                <w:pPr>
                  <w:jc w:val="right"/>
                  <w:rPr>
                    <w:szCs w:val="21"/>
                  </w:rPr>
                </w:pPr>
                <w:r>
                  <w:t>195,611,029.55</w:t>
                </w:r>
              </w:p>
            </w:tc>
            <w:tc>
              <w:tcPr>
                <w:tcW w:w="1333" w:type="pct"/>
                <w:tcBorders>
                  <w:top w:val="outset" w:sz="6" w:space="0" w:color="auto"/>
                  <w:left w:val="outset" w:sz="6" w:space="0" w:color="auto"/>
                  <w:bottom w:val="outset" w:sz="6" w:space="0" w:color="auto"/>
                  <w:right w:val="outset" w:sz="6" w:space="0" w:color="auto"/>
                </w:tcBorders>
                <w:vAlign w:val="center"/>
              </w:tcPr>
              <w:p w14:paraId="3BA8226C" w14:textId="77777777" w:rsidR="00E57DAA" w:rsidRDefault="00AC4185">
                <w:pPr>
                  <w:jc w:val="right"/>
                  <w:rPr>
                    <w:szCs w:val="21"/>
                  </w:rPr>
                </w:pPr>
                <w:r>
                  <w:t>191,321,572.44</w:t>
                </w:r>
              </w:p>
            </w:tc>
          </w:tr>
          <w:tr w:rsidR="00E57DAA" w14:paraId="78F5966F" w14:textId="77777777">
            <w:tc>
              <w:tcPr>
                <w:tcW w:w="1629" w:type="pct"/>
                <w:tcBorders>
                  <w:top w:val="outset" w:sz="6" w:space="0" w:color="auto"/>
                  <w:left w:val="outset" w:sz="6" w:space="0" w:color="auto"/>
                  <w:bottom w:val="outset" w:sz="6" w:space="0" w:color="auto"/>
                  <w:right w:val="outset" w:sz="6" w:space="0" w:color="auto"/>
                </w:tcBorders>
                <w:vAlign w:val="center"/>
              </w:tcPr>
              <w:p w14:paraId="180938DB" w14:textId="77777777" w:rsidR="00E57DAA" w:rsidRDefault="00AC4185">
                <w:pPr>
                  <w:ind w:firstLineChars="100" w:firstLine="210"/>
                  <w:rPr>
                    <w:szCs w:val="21"/>
                  </w:rPr>
                </w:pPr>
                <w:r>
                  <w:rPr>
                    <w:rFonts w:hint="eastAsia"/>
                    <w:szCs w:val="21"/>
                  </w:rPr>
                  <w:lastRenderedPageBreak/>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34D6E979" w14:textId="77777777" w:rsidR="00E57DAA" w:rsidRDefault="00AC4185">
                <w:pPr>
                  <w:rPr>
                    <w:szCs w:val="21"/>
                  </w:rPr>
                </w:pPr>
                <w:r>
                  <w:t>七、</w:t>
                </w:r>
                <w:r>
                  <w:rPr>
                    <w:rFonts w:hint="eastAsia"/>
                  </w:rPr>
                  <w:t>29</w:t>
                </w:r>
              </w:p>
            </w:tc>
            <w:tc>
              <w:tcPr>
                <w:tcW w:w="1411" w:type="pct"/>
                <w:tcBorders>
                  <w:top w:val="outset" w:sz="6" w:space="0" w:color="auto"/>
                  <w:left w:val="outset" w:sz="6" w:space="0" w:color="auto"/>
                  <w:bottom w:val="outset" w:sz="6" w:space="0" w:color="auto"/>
                  <w:right w:val="outset" w:sz="6" w:space="0" w:color="auto"/>
                </w:tcBorders>
                <w:vAlign w:val="center"/>
              </w:tcPr>
              <w:p w14:paraId="33C79E79" w14:textId="77777777" w:rsidR="00E57DAA" w:rsidRDefault="00AC4185">
                <w:pPr>
                  <w:jc w:val="right"/>
                  <w:rPr>
                    <w:szCs w:val="21"/>
                  </w:rPr>
                </w:pPr>
                <w:r>
                  <w:t>592,043,970.00</w:t>
                </w:r>
              </w:p>
            </w:tc>
            <w:tc>
              <w:tcPr>
                <w:tcW w:w="1333" w:type="pct"/>
                <w:tcBorders>
                  <w:top w:val="outset" w:sz="6" w:space="0" w:color="auto"/>
                  <w:left w:val="outset" w:sz="6" w:space="0" w:color="auto"/>
                  <w:bottom w:val="outset" w:sz="6" w:space="0" w:color="auto"/>
                  <w:right w:val="outset" w:sz="6" w:space="0" w:color="auto"/>
                </w:tcBorders>
                <w:vAlign w:val="center"/>
              </w:tcPr>
              <w:p w14:paraId="0C1767CB" w14:textId="77777777" w:rsidR="00E57DAA" w:rsidRDefault="00AC4185">
                <w:pPr>
                  <w:jc w:val="right"/>
                  <w:rPr>
                    <w:szCs w:val="21"/>
                  </w:rPr>
                </w:pPr>
                <w:r>
                  <w:t>548,224,451.64</w:t>
                </w:r>
              </w:p>
            </w:tc>
          </w:tr>
          <w:tr w:rsidR="00E57DAA" w14:paraId="340EEDEA" w14:textId="77777777">
            <w:tc>
              <w:tcPr>
                <w:tcW w:w="1629" w:type="pct"/>
                <w:tcBorders>
                  <w:top w:val="outset" w:sz="6" w:space="0" w:color="auto"/>
                  <w:left w:val="outset" w:sz="6" w:space="0" w:color="auto"/>
                  <w:bottom w:val="outset" w:sz="6" w:space="0" w:color="auto"/>
                  <w:right w:val="outset" w:sz="6" w:space="0" w:color="auto"/>
                </w:tcBorders>
                <w:vAlign w:val="center"/>
              </w:tcPr>
              <w:p w14:paraId="0099094E" w14:textId="77777777" w:rsidR="00E57DAA" w:rsidRDefault="00AC4185">
                <w:pPr>
                  <w:ind w:firstLineChars="100" w:firstLine="210"/>
                  <w:rPr>
                    <w:szCs w:val="21"/>
                  </w:rPr>
                </w:pPr>
                <w:r>
                  <w:rPr>
                    <w:rFonts w:hint="eastAsia"/>
                    <w:szCs w:val="21"/>
                  </w:rPr>
                  <w:t>其他非流动资产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0A0694E2" w14:textId="77777777" w:rsidR="00E57DAA" w:rsidRDefault="00AC4185">
                <w:pPr>
                  <w:rPr>
                    <w:szCs w:val="21"/>
                  </w:rPr>
                </w:pPr>
                <w:r>
                  <w:t>七、</w:t>
                </w:r>
                <w:r>
                  <w:rPr>
                    <w:rFonts w:hint="eastAsia"/>
                  </w:rPr>
                  <w:t>30</w:t>
                </w:r>
              </w:p>
            </w:tc>
            <w:tc>
              <w:tcPr>
                <w:tcW w:w="1411" w:type="pct"/>
                <w:tcBorders>
                  <w:top w:val="outset" w:sz="6" w:space="0" w:color="auto"/>
                  <w:left w:val="outset" w:sz="6" w:space="0" w:color="auto"/>
                  <w:bottom w:val="outset" w:sz="6" w:space="0" w:color="auto"/>
                  <w:right w:val="outset" w:sz="6" w:space="0" w:color="auto"/>
                </w:tcBorders>
                <w:vAlign w:val="center"/>
              </w:tcPr>
              <w:p w14:paraId="398A67A3" w14:textId="77777777" w:rsidR="00E57DAA" w:rsidRDefault="00AC4185">
                <w:pPr>
                  <w:jc w:val="right"/>
                  <w:rPr>
                    <w:szCs w:val="21"/>
                  </w:rPr>
                </w:pPr>
                <w:r>
                  <w:t>551,622,094.90</w:t>
                </w:r>
              </w:p>
            </w:tc>
            <w:tc>
              <w:tcPr>
                <w:tcW w:w="1333" w:type="pct"/>
                <w:tcBorders>
                  <w:top w:val="outset" w:sz="6" w:space="0" w:color="auto"/>
                  <w:left w:val="outset" w:sz="6" w:space="0" w:color="auto"/>
                  <w:bottom w:val="outset" w:sz="6" w:space="0" w:color="auto"/>
                  <w:right w:val="outset" w:sz="6" w:space="0" w:color="auto"/>
                </w:tcBorders>
                <w:vAlign w:val="center"/>
              </w:tcPr>
              <w:p w14:paraId="0DB6ACC6" w14:textId="77777777" w:rsidR="00E57DAA" w:rsidRDefault="00AC4185">
                <w:pPr>
                  <w:jc w:val="right"/>
                  <w:rPr>
                    <w:szCs w:val="21"/>
                  </w:rPr>
                </w:pPr>
                <w:r>
                  <w:t>897,619,107.60</w:t>
                </w:r>
              </w:p>
            </w:tc>
          </w:tr>
          <w:tr w:rsidR="00E57DAA" w14:paraId="5B98022D" w14:textId="77777777">
            <w:tc>
              <w:tcPr>
                <w:tcW w:w="1629" w:type="pct"/>
                <w:tcBorders>
                  <w:top w:val="outset" w:sz="6" w:space="0" w:color="auto"/>
                  <w:left w:val="outset" w:sz="6" w:space="0" w:color="auto"/>
                  <w:bottom w:val="outset" w:sz="6" w:space="0" w:color="auto"/>
                  <w:right w:val="outset" w:sz="6" w:space="0" w:color="auto"/>
                </w:tcBorders>
                <w:vAlign w:val="center"/>
              </w:tcPr>
              <w:p w14:paraId="3BC9F683" w14:textId="77777777" w:rsidR="00E57DAA" w:rsidRDefault="00AC4185">
                <w:pPr>
                  <w:ind w:firstLineChars="200" w:firstLine="420"/>
                  <w:rPr>
                    <w:szCs w:val="21"/>
                  </w:rPr>
                </w:pPr>
                <w:r>
                  <w:rPr>
                    <w:rFonts w:hint="eastAsia"/>
                    <w:szCs w:val="21"/>
                  </w:rPr>
                  <w:t>非流动资产合计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4E02C48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B3A26B7" w14:textId="77777777" w:rsidR="00E57DAA" w:rsidRDefault="00AC4185">
                <w:pPr>
                  <w:jc w:val="right"/>
                  <w:rPr>
                    <w:szCs w:val="21"/>
                  </w:rPr>
                </w:pPr>
                <w:r>
                  <w:t>14,931,431,223.47</w:t>
                </w:r>
              </w:p>
            </w:tc>
            <w:tc>
              <w:tcPr>
                <w:tcW w:w="1333" w:type="pct"/>
                <w:tcBorders>
                  <w:top w:val="outset" w:sz="6" w:space="0" w:color="auto"/>
                  <w:left w:val="outset" w:sz="6" w:space="0" w:color="auto"/>
                  <w:bottom w:val="outset" w:sz="6" w:space="0" w:color="auto"/>
                  <w:right w:val="outset" w:sz="6" w:space="0" w:color="auto"/>
                </w:tcBorders>
                <w:vAlign w:val="center"/>
              </w:tcPr>
              <w:p w14:paraId="60EC12BF" w14:textId="77777777" w:rsidR="00E57DAA" w:rsidRDefault="00AC4185">
                <w:pPr>
                  <w:jc w:val="right"/>
                  <w:rPr>
                    <w:szCs w:val="21"/>
                  </w:rPr>
                </w:pPr>
                <w:r>
                  <w:t>14,213,094,258.96</w:t>
                </w:r>
              </w:p>
            </w:tc>
          </w:tr>
          <w:tr w:rsidR="00E57DAA" w14:paraId="2F932AC6" w14:textId="77777777">
            <w:tc>
              <w:tcPr>
                <w:tcW w:w="1629" w:type="pct"/>
                <w:tcBorders>
                  <w:top w:val="outset" w:sz="6" w:space="0" w:color="auto"/>
                  <w:left w:val="outset" w:sz="6" w:space="0" w:color="auto"/>
                  <w:bottom w:val="outset" w:sz="6" w:space="0" w:color="auto"/>
                  <w:right w:val="outset" w:sz="6" w:space="0" w:color="auto"/>
                </w:tcBorders>
                <w:vAlign w:val="center"/>
              </w:tcPr>
              <w:p w14:paraId="71985B8D" w14:textId="77777777" w:rsidR="00E57DAA" w:rsidRDefault="00AC4185">
                <w:pPr>
                  <w:ind w:firstLineChars="300" w:firstLine="630"/>
                  <w:rPr>
                    <w:szCs w:val="21"/>
                  </w:rPr>
                </w:pPr>
                <w:r>
                  <w:rPr>
                    <w:rFonts w:hint="eastAsia"/>
                    <w:szCs w:val="21"/>
                  </w:rPr>
                  <w:t>资产总计</w:t>
                </w:r>
              </w:p>
            </w:tc>
            <w:tc>
              <w:tcPr>
                <w:tcW w:w="627" w:type="pct"/>
                <w:tcBorders>
                  <w:top w:val="outset" w:sz="6" w:space="0" w:color="auto"/>
                  <w:left w:val="outset" w:sz="6" w:space="0" w:color="auto"/>
                  <w:bottom w:val="outset" w:sz="6" w:space="0" w:color="auto"/>
                  <w:right w:val="outset" w:sz="6" w:space="0" w:color="auto"/>
                </w:tcBorders>
                <w:vAlign w:val="center"/>
              </w:tcPr>
              <w:p w14:paraId="7CFD1CF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4C38F9" w14:textId="77777777" w:rsidR="00E57DAA" w:rsidRDefault="00AC4185">
                <w:pPr>
                  <w:jc w:val="right"/>
                  <w:rPr>
                    <w:szCs w:val="21"/>
                  </w:rPr>
                </w:pPr>
                <w:r>
                  <w:t>54,419,544,115.75</w:t>
                </w:r>
              </w:p>
            </w:tc>
            <w:tc>
              <w:tcPr>
                <w:tcW w:w="1333" w:type="pct"/>
                <w:tcBorders>
                  <w:top w:val="outset" w:sz="6" w:space="0" w:color="auto"/>
                  <w:left w:val="outset" w:sz="6" w:space="0" w:color="auto"/>
                  <w:bottom w:val="outset" w:sz="6" w:space="0" w:color="auto"/>
                  <w:right w:val="outset" w:sz="6" w:space="0" w:color="auto"/>
                </w:tcBorders>
                <w:vAlign w:val="center"/>
              </w:tcPr>
              <w:p w14:paraId="28325FD5" w14:textId="77777777" w:rsidR="00E57DAA" w:rsidRDefault="00AC4185">
                <w:pPr>
                  <w:jc w:val="right"/>
                  <w:rPr>
                    <w:szCs w:val="21"/>
                  </w:rPr>
                </w:pPr>
                <w:r>
                  <w:t>50,067,691,640.05</w:t>
                </w:r>
              </w:p>
            </w:tc>
          </w:tr>
          <w:tr w:rsidR="00E57DAA" w14:paraId="1C7909D1" w14:textId="77777777">
            <w:sdt>
              <w:sdtPr>
                <w:tag w:val="_PLD_97e1ad068b5b418999e5a3a4eadcffca"/>
                <w:id w:val="1733041672"/>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BDCB0D7" w14:textId="77777777" w:rsidR="00E57DAA" w:rsidRDefault="00AC4185">
                    <w:pPr>
                      <w:rPr>
                        <w:color w:val="FF00FF"/>
                        <w:szCs w:val="21"/>
                      </w:rPr>
                    </w:pPr>
                    <w:r>
                      <w:rPr>
                        <w:rFonts w:hint="eastAsia"/>
                        <w:b/>
                        <w:bCs/>
                        <w:szCs w:val="21"/>
                      </w:rPr>
                      <w:t>流动负债：</w:t>
                    </w:r>
                  </w:p>
                </w:tc>
              </w:sdtContent>
            </w:sdt>
          </w:tr>
          <w:tr w:rsidR="00E57DAA" w14:paraId="0D40CB18" w14:textId="77777777">
            <w:tc>
              <w:tcPr>
                <w:tcW w:w="1629" w:type="pct"/>
                <w:tcBorders>
                  <w:top w:val="outset" w:sz="6" w:space="0" w:color="auto"/>
                  <w:left w:val="outset" w:sz="6" w:space="0" w:color="auto"/>
                  <w:bottom w:val="outset" w:sz="6" w:space="0" w:color="auto"/>
                  <w:right w:val="outset" w:sz="6" w:space="0" w:color="auto"/>
                </w:tcBorders>
                <w:vAlign w:val="center"/>
              </w:tcPr>
              <w:p w14:paraId="6A7A4501" w14:textId="77777777" w:rsidR="00E57DAA" w:rsidRDefault="00AC4185">
                <w:pPr>
                  <w:ind w:firstLineChars="100" w:firstLine="210"/>
                  <w:rPr>
                    <w:szCs w:val="21"/>
                  </w:rPr>
                </w:pPr>
                <w:r>
                  <w:rPr>
                    <w:rFonts w:hint="eastAsia"/>
                    <w:szCs w:val="21"/>
                  </w:rPr>
                  <w:t>短期借款</w:t>
                </w:r>
              </w:p>
            </w:tc>
            <w:tc>
              <w:tcPr>
                <w:tcW w:w="627" w:type="pct"/>
                <w:tcBorders>
                  <w:top w:val="outset" w:sz="6" w:space="0" w:color="auto"/>
                  <w:left w:val="outset" w:sz="6" w:space="0" w:color="auto"/>
                  <w:bottom w:val="outset" w:sz="6" w:space="0" w:color="auto"/>
                  <w:right w:val="outset" w:sz="6" w:space="0" w:color="auto"/>
                </w:tcBorders>
                <w:vAlign w:val="center"/>
              </w:tcPr>
              <w:p w14:paraId="6FB62C66" w14:textId="77777777" w:rsidR="00E57DAA" w:rsidRDefault="00AC4185">
                <w:pPr>
                  <w:rPr>
                    <w:szCs w:val="21"/>
                  </w:rPr>
                </w:pPr>
                <w:r>
                  <w:t>七、32</w:t>
                </w:r>
              </w:p>
            </w:tc>
            <w:tc>
              <w:tcPr>
                <w:tcW w:w="1411" w:type="pct"/>
                <w:tcBorders>
                  <w:top w:val="outset" w:sz="6" w:space="0" w:color="auto"/>
                  <w:left w:val="outset" w:sz="6" w:space="0" w:color="auto"/>
                  <w:bottom w:val="outset" w:sz="6" w:space="0" w:color="auto"/>
                  <w:right w:val="outset" w:sz="6" w:space="0" w:color="auto"/>
                </w:tcBorders>
                <w:vAlign w:val="center"/>
              </w:tcPr>
              <w:p w14:paraId="3AD23A9E" w14:textId="77777777" w:rsidR="00E57DAA" w:rsidRDefault="00AC4185">
                <w:pPr>
                  <w:jc w:val="right"/>
                  <w:rPr>
                    <w:szCs w:val="21"/>
                  </w:rPr>
                </w:pPr>
                <w:r>
                  <w:t>2,025,697,664.84</w:t>
                </w:r>
              </w:p>
            </w:tc>
            <w:tc>
              <w:tcPr>
                <w:tcW w:w="1333" w:type="pct"/>
                <w:tcBorders>
                  <w:top w:val="outset" w:sz="6" w:space="0" w:color="auto"/>
                  <w:left w:val="outset" w:sz="6" w:space="0" w:color="auto"/>
                  <w:bottom w:val="outset" w:sz="6" w:space="0" w:color="auto"/>
                  <w:right w:val="outset" w:sz="6" w:space="0" w:color="auto"/>
                </w:tcBorders>
                <w:vAlign w:val="center"/>
              </w:tcPr>
              <w:p w14:paraId="2E1F9917" w14:textId="77777777" w:rsidR="00E57DAA" w:rsidRDefault="00AC4185">
                <w:pPr>
                  <w:jc w:val="right"/>
                  <w:rPr>
                    <w:szCs w:val="21"/>
                  </w:rPr>
                </w:pPr>
                <w:r>
                  <w:t>2,100,404,062.96</w:t>
                </w:r>
              </w:p>
            </w:tc>
          </w:tr>
          <w:tr w:rsidR="00E57DAA" w14:paraId="1BF20EE5" w14:textId="77777777">
            <w:tc>
              <w:tcPr>
                <w:tcW w:w="1629" w:type="pct"/>
                <w:tcBorders>
                  <w:top w:val="outset" w:sz="6" w:space="0" w:color="auto"/>
                  <w:left w:val="outset" w:sz="6" w:space="0" w:color="auto"/>
                  <w:bottom w:val="outset" w:sz="6" w:space="0" w:color="auto"/>
                  <w:right w:val="outset" w:sz="6" w:space="0" w:color="auto"/>
                </w:tcBorders>
                <w:vAlign w:val="center"/>
              </w:tcPr>
              <w:p w14:paraId="09BC12FE" w14:textId="77777777" w:rsidR="00E57DAA" w:rsidRDefault="00AC4185">
                <w:pPr>
                  <w:ind w:firstLineChars="100" w:firstLine="210"/>
                  <w:rPr>
                    <w:szCs w:val="21"/>
                  </w:rPr>
                </w:pPr>
                <w:r>
                  <w:rPr>
                    <w:rFonts w:hint="eastAsia"/>
                    <w:szCs w:val="21"/>
                  </w:rPr>
                  <w:t>向中央银行借款</w:t>
                </w:r>
              </w:p>
            </w:tc>
            <w:tc>
              <w:tcPr>
                <w:tcW w:w="627" w:type="pct"/>
                <w:tcBorders>
                  <w:top w:val="outset" w:sz="6" w:space="0" w:color="auto"/>
                  <w:left w:val="outset" w:sz="6" w:space="0" w:color="auto"/>
                  <w:bottom w:val="outset" w:sz="6" w:space="0" w:color="auto"/>
                  <w:right w:val="outset" w:sz="6" w:space="0" w:color="auto"/>
                </w:tcBorders>
                <w:vAlign w:val="center"/>
              </w:tcPr>
              <w:p w14:paraId="0F31416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A645C2"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8CF18AA" w14:textId="77777777" w:rsidR="00E57DAA" w:rsidRDefault="00E57DAA">
                <w:pPr>
                  <w:jc w:val="right"/>
                  <w:rPr>
                    <w:szCs w:val="21"/>
                  </w:rPr>
                </w:pPr>
              </w:p>
            </w:tc>
          </w:tr>
          <w:tr w:rsidR="00E57DAA" w14:paraId="29868D89" w14:textId="77777777">
            <w:tc>
              <w:tcPr>
                <w:tcW w:w="1629" w:type="pct"/>
                <w:tcBorders>
                  <w:top w:val="outset" w:sz="6" w:space="0" w:color="auto"/>
                  <w:left w:val="outset" w:sz="6" w:space="0" w:color="auto"/>
                  <w:bottom w:val="outset" w:sz="6" w:space="0" w:color="auto"/>
                  <w:right w:val="outset" w:sz="6" w:space="0" w:color="auto"/>
                </w:tcBorders>
                <w:vAlign w:val="center"/>
              </w:tcPr>
              <w:p w14:paraId="30323891" w14:textId="77777777" w:rsidR="00E57DAA" w:rsidRDefault="00AC4185">
                <w:pPr>
                  <w:ind w:firstLineChars="100" w:firstLine="210"/>
                  <w:rPr>
                    <w:szCs w:val="21"/>
                  </w:rPr>
                </w:pPr>
                <w:r>
                  <w:rPr>
                    <w:rFonts w:hint="eastAsia"/>
                    <w:szCs w:val="21"/>
                  </w:rPr>
                  <w:t>拆入资金</w:t>
                </w:r>
              </w:p>
            </w:tc>
            <w:tc>
              <w:tcPr>
                <w:tcW w:w="627" w:type="pct"/>
                <w:tcBorders>
                  <w:top w:val="outset" w:sz="6" w:space="0" w:color="auto"/>
                  <w:left w:val="outset" w:sz="6" w:space="0" w:color="auto"/>
                  <w:bottom w:val="outset" w:sz="6" w:space="0" w:color="auto"/>
                  <w:right w:val="outset" w:sz="6" w:space="0" w:color="auto"/>
                </w:tcBorders>
                <w:vAlign w:val="center"/>
              </w:tcPr>
              <w:p w14:paraId="11B0D032"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2FC68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EDF59D9" w14:textId="77777777" w:rsidR="00E57DAA" w:rsidRDefault="00E57DAA">
                <w:pPr>
                  <w:jc w:val="right"/>
                  <w:rPr>
                    <w:szCs w:val="21"/>
                  </w:rPr>
                </w:pPr>
              </w:p>
            </w:tc>
          </w:tr>
          <w:tr w:rsidR="00E57DAA" w14:paraId="12979403" w14:textId="77777777">
            <w:tc>
              <w:tcPr>
                <w:tcW w:w="1629" w:type="pct"/>
                <w:tcBorders>
                  <w:top w:val="outset" w:sz="6" w:space="0" w:color="auto"/>
                  <w:left w:val="outset" w:sz="6" w:space="0" w:color="auto"/>
                  <w:bottom w:val="outset" w:sz="6" w:space="0" w:color="auto"/>
                  <w:right w:val="outset" w:sz="6" w:space="0" w:color="auto"/>
                </w:tcBorders>
                <w:vAlign w:val="center"/>
              </w:tcPr>
              <w:p w14:paraId="29F080FC" w14:textId="77777777" w:rsidR="00E57DAA" w:rsidRDefault="00AC4185">
                <w:pPr>
                  <w:ind w:firstLineChars="100" w:firstLine="210"/>
                </w:pPr>
                <w:r>
                  <w:rPr>
                    <w:rFonts w:hint="eastAsia"/>
                  </w:rPr>
                  <w:t>交易性金融负债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0A911094" w14:textId="77777777" w:rsidR="00E57DAA" w:rsidRDefault="00AC4185">
                <w:pPr>
                  <w:rPr>
                    <w:szCs w:val="21"/>
                  </w:rPr>
                </w:pPr>
                <w:r>
                  <w:t>七、33</w:t>
                </w:r>
              </w:p>
            </w:tc>
            <w:tc>
              <w:tcPr>
                <w:tcW w:w="1411" w:type="pct"/>
                <w:tcBorders>
                  <w:top w:val="outset" w:sz="6" w:space="0" w:color="auto"/>
                  <w:left w:val="outset" w:sz="6" w:space="0" w:color="auto"/>
                  <w:bottom w:val="outset" w:sz="6" w:space="0" w:color="auto"/>
                  <w:right w:val="outset" w:sz="6" w:space="0" w:color="auto"/>
                </w:tcBorders>
                <w:vAlign w:val="center"/>
              </w:tcPr>
              <w:p w14:paraId="7A35A6C0" w14:textId="77777777" w:rsidR="00E57DAA" w:rsidRDefault="00AC4185">
                <w:pPr>
                  <w:jc w:val="right"/>
                  <w:rPr>
                    <w:szCs w:val="21"/>
                  </w:rPr>
                </w:pPr>
                <w:r>
                  <w:t>26,115,614.73</w:t>
                </w:r>
              </w:p>
            </w:tc>
            <w:tc>
              <w:tcPr>
                <w:tcW w:w="1333" w:type="pct"/>
                <w:tcBorders>
                  <w:top w:val="outset" w:sz="6" w:space="0" w:color="auto"/>
                  <w:left w:val="outset" w:sz="6" w:space="0" w:color="auto"/>
                  <w:bottom w:val="outset" w:sz="6" w:space="0" w:color="auto"/>
                  <w:right w:val="outset" w:sz="6" w:space="0" w:color="auto"/>
                </w:tcBorders>
                <w:vAlign w:val="center"/>
              </w:tcPr>
              <w:p w14:paraId="774AFB4C" w14:textId="77777777" w:rsidR="00E57DAA" w:rsidRDefault="00AC4185">
                <w:pPr>
                  <w:jc w:val="right"/>
                  <w:rPr>
                    <w:szCs w:val="21"/>
                  </w:rPr>
                </w:pPr>
                <w:r>
                  <w:t>4,444,855.13</w:t>
                </w:r>
              </w:p>
            </w:tc>
          </w:tr>
          <w:tr w:rsidR="00E57DAA" w14:paraId="09E4A572" w14:textId="77777777">
            <w:tc>
              <w:tcPr>
                <w:tcW w:w="1629" w:type="pct"/>
                <w:tcBorders>
                  <w:top w:val="outset" w:sz="6" w:space="0" w:color="auto"/>
                  <w:left w:val="outset" w:sz="6" w:space="0" w:color="auto"/>
                  <w:bottom w:val="outset" w:sz="6" w:space="0" w:color="auto"/>
                  <w:right w:val="outset" w:sz="6" w:space="0" w:color="auto"/>
                </w:tcBorders>
                <w:vAlign w:val="center"/>
              </w:tcPr>
              <w:p w14:paraId="5C16053D" w14:textId="77777777" w:rsidR="00E57DAA" w:rsidRDefault="00AC4185">
                <w:pPr>
                  <w:ind w:firstLineChars="100" w:firstLine="210"/>
                  <w:rPr>
                    <w:szCs w:val="21"/>
                  </w:rPr>
                </w:pPr>
                <w:r>
                  <w:rPr>
                    <w:rFonts w:hint="eastAsia"/>
                    <w:szCs w:val="21"/>
                  </w:rPr>
                  <w:t>衍生金融负债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53D3E04F" w14:textId="77777777" w:rsidR="00E57DAA" w:rsidRDefault="00AC4185">
                <w:pPr>
                  <w:rPr>
                    <w:szCs w:val="21"/>
                  </w:rPr>
                </w:pPr>
                <w:r>
                  <w:t>七、34</w:t>
                </w:r>
              </w:p>
            </w:tc>
            <w:tc>
              <w:tcPr>
                <w:tcW w:w="1411" w:type="pct"/>
                <w:tcBorders>
                  <w:top w:val="outset" w:sz="6" w:space="0" w:color="auto"/>
                  <w:left w:val="outset" w:sz="6" w:space="0" w:color="auto"/>
                  <w:bottom w:val="outset" w:sz="6" w:space="0" w:color="auto"/>
                  <w:right w:val="outset" w:sz="6" w:space="0" w:color="auto"/>
                </w:tcBorders>
                <w:vAlign w:val="center"/>
              </w:tcPr>
              <w:p w14:paraId="025106CD" w14:textId="77777777" w:rsidR="00E57DAA" w:rsidRDefault="00AC4185">
                <w:pPr>
                  <w:jc w:val="right"/>
                  <w:rPr>
                    <w:szCs w:val="21"/>
                  </w:rPr>
                </w:pPr>
                <w:r>
                  <w:t>46,418,000.00</w:t>
                </w:r>
              </w:p>
            </w:tc>
            <w:tc>
              <w:tcPr>
                <w:tcW w:w="1333" w:type="pct"/>
                <w:tcBorders>
                  <w:top w:val="outset" w:sz="6" w:space="0" w:color="auto"/>
                  <w:left w:val="outset" w:sz="6" w:space="0" w:color="auto"/>
                  <w:bottom w:val="outset" w:sz="6" w:space="0" w:color="auto"/>
                  <w:right w:val="outset" w:sz="6" w:space="0" w:color="auto"/>
                </w:tcBorders>
                <w:vAlign w:val="center"/>
              </w:tcPr>
              <w:p w14:paraId="797EA09D" w14:textId="77777777" w:rsidR="00E57DAA" w:rsidRDefault="00E57DAA">
                <w:pPr>
                  <w:jc w:val="right"/>
                  <w:rPr>
                    <w:szCs w:val="21"/>
                  </w:rPr>
                </w:pPr>
              </w:p>
            </w:tc>
          </w:tr>
          <w:tr w:rsidR="00E57DAA" w14:paraId="429D9501" w14:textId="77777777">
            <w:tc>
              <w:tcPr>
                <w:tcW w:w="1629" w:type="pct"/>
                <w:tcBorders>
                  <w:top w:val="outset" w:sz="6" w:space="0" w:color="auto"/>
                  <w:left w:val="outset" w:sz="6" w:space="0" w:color="auto"/>
                  <w:bottom w:val="outset" w:sz="6" w:space="0" w:color="auto"/>
                  <w:right w:val="outset" w:sz="6" w:space="0" w:color="auto"/>
                </w:tcBorders>
                <w:vAlign w:val="center"/>
              </w:tcPr>
              <w:p w14:paraId="23ABBAF1" w14:textId="77777777" w:rsidR="00E57DAA" w:rsidRDefault="00AC4185">
                <w:pPr>
                  <w:ind w:firstLineChars="100" w:firstLine="210"/>
                  <w:rPr>
                    <w:szCs w:val="21"/>
                  </w:rPr>
                </w:pPr>
                <w:r>
                  <w:rPr>
                    <w:rFonts w:hint="eastAsia"/>
                    <w:szCs w:val="21"/>
                  </w:rPr>
                  <w:t>应付票据</w:t>
                </w:r>
              </w:p>
            </w:tc>
            <w:tc>
              <w:tcPr>
                <w:tcW w:w="627" w:type="pct"/>
                <w:tcBorders>
                  <w:top w:val="outset" w:sz="6" w:space="0" w:color="auto"/>
                  <w:left w:val="outset" w:sz="6" w:space="0" w:color="auto"/>
                  <w:bottom w:val="outset" w:sz="6" w:space="0" w:color="auto"/>
                  <w:right w:val="outset" w:sz="6" w:space="0" w:color="auto"/>
                </w:tcBorders>
                <w:vAlign w:val="center"/>
              </w:tcPr>
              <w:p w14:paraId="0E2F6FB1" w14:textId="77777777" w:rsidR="00E57DAA" w:rsidRDefault="00AC4185">
                <w:pPr>
                  <w:rPr>
                    <w:szCs w:val="21"/>
                  </w:rPr>
                </w:pPr>
                <w:r>
                  <w:t>七、35</w:t>
                </w:r>
              </w:p>
            </w:tc>
            <w:tc>
              <w:tcPr>
                <w:tcW w:w="1411" w:type="pct"/>
                <w:tcBorders>
                  <w:top w:val="outset" w:sz="6" w:space="0" w:color="auto"/>
                  <w:left w:val="outset" w:sz="6" w:space="0" w:color="auto"/>
                  <w:bottom w:val="outset" w:sz="6" w:space="0" w:color="auto"/>
                  <w:right w:val="outset" w:sz="6" w:space="0" w:color="auto"/>
                </w:tcBorders>
                <w:vAlign w:val="center"/>
              </w:tcPr>
              <w:p w14:paraId="4CDC9F5C" w14:textId="77777777" w:rsidR="00E57DAA" w:rsidRDefault="00AC4185">
                <w:pPr>
                  <w:jc w:val="right"/>
                  <w:rPr>
                    <w:szCs w:val="21"/>
                  </w:rPr>
                </w:pPr>
                <w:r>
                  <w:t>1,872,610,214.52</w:t>
                </w:r>
              </w:p>
            </w:tc>
            <w:tc>
              <w:tcPr>
                <w:tcW w:w="1333" w:type="pct"/>
                <w:tcBorders>
                  <w:top w:val="outset" w:sz="6" w:space="0" w:color="auto"/>
                  <w:left w:val="outset" w:sz="6" w:space="0" w:color="auto"/>
                  <w:bottom w:val="outset" w:sz="6" w:space="0" w:color="auto"/>
                  <w:right w:val="outset" w:sz="6" w:space="0" w:color="auto"/>
                </w:tcBorders>
                <w:vAlign w:val="center"/>
              </w:tcPr>
              <w:p w14:paraId="46DA5FE4" w14:textId="77777777" w:rsidR="00E57DAA" w:rsidRDefault="00AC4185">
                <w:pPr>
                  <w:jc w:val="right"/>
                  <w:rPr>
                    <w:szCs w:val="21"/>
                  </w:rPr>
                </w:pPr>
                <w:r>
                  <w:t>2,373,015,181.35</w:t>
                </w:r>
              </w:p>
            </w:tc>
          </w:tr>
          <w:tr w:rsidR="00E57DAA" w14:paraId="3128A7A9" w14:textId="77777777">
            <w:tc>
              <w:tcPr>
                <w:tcW w:w="1629" w:type="pct"/>
                <w:tcBorders>
                  <w:top w:val="outset" w:sz="6" w:space="0" w:color="auto"/>
                  <w:left w:val="outset" w:sz="6" w:space="0" w:color="auto"/>
                  <w:bottom w:val="outset" w:sz="6" w:space="0" w:color="auto"/>
                  <w:right w:val="outset" w:sz="6" w:space="0" w:color="auto"/>
                </w:tcBorders>
                <w:vAlign w:val="center"/>
              </w:tcPr>
              <w:p w14:paraId="326A25C6" w14:textId="77777777" w:rsidR="00E57DAA" w:rsidRDefault="00AC4185">
                <w:pPr>
                  <w:ind w:firstLineChars="100" w:firstLine="210"/>
                  <w:rPr>
                    <w:szCs w:val="21"/>
                  </w:rPr>
                </w:pPr>
                <w:r>
                  <w:rPr>
                    <w:rFonts w:hint="eastAsia"/>
                    <w:szCs w:val="21"/>
                  </w:rPr>
                  <w:t>应付账款</w:t>
                </w:r>
              </w:p>
            </w:tc>
            <w:tc>
              <w:tcPr>
                <w:tcW w:w="627" w:type="pct"/>
                <w:tcBorders>
                  <w:top w:val="outset" w:sz="6" w:space="0" w:color="auto"/>
                  <w:left w:val="outset" w:sz="6" w:space="0" w:color="auto"/>
                  <w:bottom w:val="outset" w:sz="6" w:space="0" w:color="auto"/>
                  <w:right w:val="outset" w:sz="6" w:space="0" w:color="auto"/>
                </w:tcBorders>
                <w:vAlign w:val="center"/>
              </w:tcPr>
              <w:p w14:paraId="2D37F1AD" w14:textId="77777777" w:rsidR="00E57DAA" w:rsidRDefault="00AC4185">
                <w:pPr>
                  <w:rPr>
                    <w:szCs w:val="21"/>
                  </w:rPr>
                </w:pPr>
                <w:r>
                  <w:t>七、36</w:t>
                </w:r>
              </w:p>
            </w:tc>
            <w:tc>
              <w:tcPr>
                <w:tcW w:w="1411" w:type="pct"/>
                <w:tcBorders>
                  <w:top w:val="outset" w:sz="6" w:space="0" w:color="auto"/>
                  <w:left w:val="outset" w:sz="6" w:space="0" w:color="auto"/>
                  <w:bottom w:val="outset" w:sz="6" w:space="0" w:color="auto"/>
                  <w:right w:val="outset" w:sz="6" w:space="0" w:color="auto"/>
                </w:tcBorders>
                <w:vAlign w:val="center"/>
              </w:tcPr>
              <w:p w14:paraId="563F3E08" w14:textId="77777777" w:rsidR="00E57DAA" w:rsidRDefault="00AC4185">
                <w:pPr>
                  <w:jc w:val="right"/>
                  <w:rPr>
                    <w:szCs w:val="21"/>
                  </w:rPr>
                </w:pPr>
                <w:r>
                  <w:t>12,462,458,872.40</w:t>
                </w:r>
              </w:p>
            </w:tc>
            <w:tc>
              <w:tcPr>
                <w:tcW w:w="1333" w:type="pct"/>
                <w:tcBorders>
                  <w:top w:val="outset" w:sz="6" w:space="0" w:color="auto"/>
                  <w:left w:val="outset" w:sz="6" w:space="0" w:color="auto"/>
                  <w:bottom w:val="outset" w:sz="6" w:space="0" w:color="auto"/>
                  <w:right w:val="outset" w:sz="6" w:space="0" w:color="auto"/>
                </w:tcBorders>
                <w:vAlign w:val="center"/>
              </w:tcPr>
              <w:p w14:paraId="533B9DFC" w14:textId="77777777" w:rsidR="00E57DAA" w:rsidRDefault="00AC4185">
                <w:pPr>
                  <w:jc w:val="right"/>
                  <w:rPr>
                    <w:szCs w:val="21"/>
                  </w:rPr>
                </w:pPr>
                <w:r>
                  <w:t>10,281,592,278.87</w:t>
                </w:r>
              </w:p>
            </w:tc>
          </w:tr>
          <w:tr w:rsidR="00E57DAA" w14:paraId="1FCFF7DA" w14:textId="77777777">
            <w:tc>
              <w:tcPr>
                <w:tcW w:w="1629" w:type="pct"/>
                <w:tcBorders>
                  <w:top w:val="outset" w:sz="6" w:space="0" w:color="auto"/>
                  <w:left w:val="outset" w:sz="6" w:space="0" w:color="auto"/>
                  <w:bottom w:val="outset" w:sz="6" w:space="0" w:color="auto"/>
                  <w:right w:val="outset" w:sz="6" w:space="0" w:color="auto"/>
                </w:tcBorders>
                <w:vAlign w:val="center"/>
              </w:tcPr>
              <w:p w14:paraId="7FB4D36F" w14:textId="77777777" w:rsidR="00E57DAA" w:rsidRDefault="00AC4185">
                <w:pPr>
                  <w:ind w:firstLineChars="100" w:firstLine="210"/>
                  <w:rPr>
                    <w:szCs w:val="21"/>
                  </w:rPr>
                </w:pPr>
                <w:r>
                  <w:rPr>
                    <w:rFonts w:hint="eastAsia"/>
                    <w:szCs w:val="21"/>
                  </w:rPr>
                  <w:t>预收款项</w:t>
                </w:r>
              </w:p>
            </w:tc>
            <w:tc>
              <w:tcPr>
                <w:tcW w:w="627" w:type="pct"/>
                <w:tcBorders>
                  <w:top w:val="outset" w:sz="6" w:space="0" w:color="auto"/>
                  <w:left w:val="outset" w:sz="6" w:space="0" w:color="auto"/>
                  <w:bottom w:val="outset" w:sz="6" w:space="0" w:color="auto"/>
                  <w:right w:val="outset" w:sz="6" w:space="0" w:color="auto"/>
                </w:tcBorders>
                <w:vAlign w:val="center"/>
              </w:tcPr>
              <w:p w14:paraId="57204FBF" w14:textId="77777777" w:rsidR="00E57DAA" w:rsidRDefault="00AC4185">
                <w:pPr>
                  <w:rPr>
                    <w:szCs w:val="21"/>
                  </w:rPr>
                </w:pPr>
                <w:r>
                  <w:t>七、37</w:t>
                </w:r>
              </w:p>
            </w:tc>
            <w:tc>
              <w:tcPr>
                <w:tcW w:w="1411" w:type="pct"/>
                <w:tcBorders>
                  <w:top w:val="outset" w:sz="6" w:space="0" w:color="auto"/>
                  <w:left w:val="outset" w:sz="6" w:space="0" w:color="auto"/>
                  <w:bottom w:val="outset" w:sz="6" w:space="0" w:color="auto"/>
                  <w:right w:val="outset" w:sz="6" w:space="0" w:color="auto"/>
                </w:tcBorders>
                <w:vAlign w:val="center"/>
              </w:tcPr>
              <w:p w14:paraId="0DA02722" w14:textId="77777777" w:rsidR="00E57DAA" w:rsidRDefault="00AC4185">
                <w:pPr>
                  <w:jc w:val="right"/>
                  <w:rPr>
                    <w:szCs w:val="21"/>
                  </w:rPr>
                </w:pPr>
                <w:r>
                  <w:t>3,971,510.06</w:t>
                </w:r>
              </w:p>
            </w:tc>
            <w:tc>
              <w:tcPr>
                <w:tcW w:w="1333" w:type="pct"/>
                <w:tcBorders>
                  <w:top w:val="outset" w:sz="6" w:space="0" w:color="auto"/>
                  <w:left w:val="outset" w:sz="6" w:space="0" w:color="auto"/>
                  <w:bottom w:val="outset" w:sz="6" w:space="0" w:color="auto"/>
                  <w:right w:val="outset" w:sz="6" w:space="0" w:color="auto"/>
                </w:tcBorders>
                <w:vAlign w:val="center"/>
              </w:tcPr>
              <w:p w14:paraId="540A0789" w14:textId="77777777" w:rsidR="00E57DAA" w:rsidRDefault="00AC4185">
                <w:pPr>
                  <w:jc w:val="right"/>
                  <w:rPr>
                    <w:szCs w:val="21"/>
                  </w:rPr>
                </w:pPr>
                <w:r>
                  <w:t>844,960.53</w:t>
                </w:r>
              </w:p>
            </w:tc>
          </w:tr>
          <w:tr w:rsidR="00E57DAA" w14:paraId="5C8FC564" w14:textId="77777777">
            <w:tc>
              <w:tcPr>
                <w:tcW w:w="1629" w:type="pct"/>
                <w:tcBorders>
                  <w:top w:val="outset" w:sz="6" w:space="0" w:color="auto"/>
                  <w:left w:val="outset" w:sz="6" w:space="0" w:color="auto"/>
                  <w:bottom w:val="outset" w:sz="6" w:space="0" w:color="auto"/>
                  <w:right w:val="outset" w:sz="6" w:space="0" w:color="auto"/>
                </w:tcBorders>
                <w:vAlign w:val="center"/>
              </w:tcPr>
              <w:p w14:paraId="08641AF3" w14:textId="77777777" w:rsidR="00E57DAA" w:rsidRDefault="00AC4185">
                <w:pPr>
                  <w:ind w:firstLineChars="100" w:firstLine="210"/>
                </w:pPr>
                <w:r>
                  <w:rPr>
                    <w:rFonts w:hint="eastAsia"/>
                  </w:rPr>
                  <w:t>合同负债</w:t>
                </w:r>
              </w:p>
            </w:tc>
            <w:tc>
              <w:tcPr>
                <w:tcW w:w="627" w:type="pct"/>
                <w:tcBorders>
                  <w:top w:val="outset" w:sz="6" w:space="0" w:color="auto"/>
                  <w:left w:val="outset" w:sz="6" w:space="0" w:color="auto"/>
                  <w:bottom w:val="outset" w:sz="6" w:space="0" w:color="auto"/>
                  <w:right w:val="outset" w:sz="6" w:space="0" w:color="auto"/>
                </w:tcBorders>
                <w:vAlign w:val="center"/>
              </w:tcPr>
              <w:p w14:paraId="036A8AF6" w14:textId="77777777" w:rsidR="00E57DAA" w:rsidRDefault="00AC4185">
                <w:pPr>
                  <w:rPr>
                    <w:szCs w:val="21"/>
                  </w:rPr>
                </w:pPr>
                <w:r>
                  <w:t>七、38</w:t>
                </w:r>
              </w:p>
            </w:tc>
            <w:tc>
              <w:tcPr>
                <w:tcW w:w="1411" w:type="pct"/>
                <w:tcBorders>
                  <w:top w:val="outset" w:sz="6" w:space="0" w:color="auto"/>
                  <w:left w:val="outset" w:sz="6" w:space="0" w:color="auto"/>
                  <w:bottom w:val="outset" w:sz="6" w:space="0" w:color="auto"/>
                  <w:right w:val="outset" w:sz="6" w:space="0" w:color="auto"/>
                </w:tcBorders>
                <w:vAlign w:val="center"/>
              </w:tcPr>
              <w:p w14:paraId="2961B910" w14:textId="77777777" w:rsidR="00E57DAA" w:rsidRDefault="00AC4185">
                <w:pPr>
                  <w:jc w:val="right"/>
                  <w:rPr>
                    <w:szCs w:val="21"/>
                  </w:rPr>
                </w:pPr>
                <w:r>
                  <w:t>7,612,966,471.12</w:t>
                </w:r>
              </w:p>
            </w:tc>
            <w:tc>
              <w:tcPr>
                <w:tcW w:w="1333" w:type="pct"/>
                <w:tcBorders>
                  <w:top w:val="outset" w:sz="6" w:space="0" w:color="auto"/>
                  <w:left w:val="outset" w:sz="6" w:space="0" w:color="auto"/>
                  <w:bottom w:val="outset" w:sz="6" w:space="0" w:color="auto"/>
                  <w:right w:val="outset" w:sz="6" w:space="0" w:color="auto"/>
                </w:tcBorders>
                <w:vAlign w:val="center"/>
              </w:tcPr>
              <w:p w14:paraId="25056F69" w14:textId="77777777" w:rsidR="00E57DAA" w:rsidRDefault="00AC4185">
                <w:pPr>
                  <w:jc w:val="right"/>
                  <w:rPr>
                    <w:szCs w:val="21"/>
                  </w:rPr>
                </w:pPr>
                <w:r>
                  <w:t>6,821,033,709.14</w:t>
                </w:r>
              </w:p>
            </w:tc>
          </w:tr>
          <w:tr w:rsidR="00E57DAA" w14:paraId="3F3991BE" w14:textId="77777777">
            <w:tc>
              <w:tcPr>
                <w:tcW w:w="1629" w:type="pct"/>
                <w:tcBorders>
                  <w:top w:val="outset" w:sz="6" w:space="0" w:color="auto"/>
                  <w:left w:val="outset" w:sz="6" w:space="0" w:color="auto"/>
                  <w:bottom w:val="outset" w:sz="6" w:space="0" w:color="auto"/>
                  <w:right w:val="outset" w:sz="6" w:space="0" w:color="auto"/>
                </w:tcBorders>
                <w:vAlign w:val="center"/>
              </w:tcPr>
              <w:p w14:paraId="12947AA7" w14:textId="77777777" w:rsidR="00E57DAA" w:rsidRDefault="00AC4185">
                <w:pPr>
                  <w:ind w:firstLineChars="100" w:firstLine="210"/>
                  <w:rPr>
                    <w:szCs w:val="21"/>
                  </w:rPr>
                </w:pPr>
                <w:r>
                  <w:rPr>
                    <w:rFonts w:hint="eastAsia"/>
                    <w:szCs w:val="21"/>
                  </w:rPr>
                  <w:t>卖出回购金融资产款</w:t>
                </w:r>
              </w:p>
            </w:tc>
            <w:tc>
              <w:tcPr>
                <w:tcW w:w="627" w:type="pct"/>
                <w:tcBorders>
                  <w:top w:val="outset" w:sz="6" w:space="0" w:color="auto"/>
                  <w:left w:val="outset" w:sz="6" w:space="0" w:color="auto"/>
                  <w:bottom w:val="outset" w:sz="6" w:space="0" w:color="auto"/>
                  <w:right w:val="outset" w:sz="6" w:space="0" w:color="auto"/>
                </w:tcBorders>
                <w:vAlign w:val="center"/>
              </w:tcPr>
              <w:p w14:paraId="65320CA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C1CD835"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99F4C2A" w14:textId="77777777" w:rsidR="00E57DAA" w:rsidRDefault="00E57DAA">
                <w:pPr>
                  <w:jc w:val="right"/>
                  <w:rPr>
                    <w:szCs w:val="21"/>
                  </w:rPr>
                </w:pPr>
              </w:p>
            </w:tc>
          </w:tr>
          <w:tr w:rsidR="00E57DAA" w14:paraId="2B2AE848" w14:textId="77777777">
            <w:tc>
              <w:tcPr>
                <w:tcW w:w="1629" w:type="pct"/>
                <w:tcBorders>
                  <w:top w:val="outset" w:sz="6" w:space="0" w:color="auto"/>
                  <w:left w:val="outset" w:sz="6" w:space="0" w:color="auto"/>
                  <w:bottom w:val="outset" w:sz="6" w:space="0" w:color="auto"/>
                  <w:right w:val="outset" w:sz="6" w:space="0" w:color="auto"/>
                </w:tcBorders>
                <w:vAlign w:val="center"/>
              </w:tcPr>
              <w:p w14:paraId="1E98FF7D" w14:textId="77777777" w:rsidR="00E57DAA" w:rsidRDefault="00AC4185">
                <w:pPr>
                  <w:ind w:firstLineChars="100" w:firstLine="210"/>
                  <w:rPr>
                    <w:szCs w:val="21"/>
                  </w:rPr>
                </w:pPr>
                <w:r>
                  <w:rPr>
                    <w:rFonts w:hint="eastAsia"/>
                    <w:szCs w:val="21"/>
                  </w:rPr>
                  <w:t>吸收存款及同业存放</w:t>
                </w:r>
              </w:p>
            </w:tc>
            <w:tc>
              <w:tcPr>
                <w:tcW w:w="627" w:type="pct"/>
                <w:tcBorders>
                  <w:top w:val="outset" w:sz="6" w:space="0" w:color="auto"/>
                  <w:left w:val="outset" w:sz="6" w:space="0" w:color="auto"/>
                  <w:bottom w:val="outset" w:sz="6" w:space="0" w:color="auto"/>
                  <w:right w:val="outset" w:sz="6" w:space="0" w:color="auto"/>
                </w:tcBorders>
                <w:vAlign w:val="center"/>
              </w:tcPr>
              <w:p w14:paraId="6E8E339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05E88F0"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5B851E8" w14:textId="77777777" w:rsidR="00E57DAA" w:rsidRDefault="00E57DAA">
                <w:pPr>
                  <w:jc w:val="right"/>
                  <w:rPr>
                    <w:szCs w:val="21"/>
                  </w:rPr>
                </w:pPr>
              </w:p>
            </w:tc>
          </w:tr>
          <w:tr w:rsidR="00E57DAA" w14:paraId="5CB27D5B" w14:textId="77777777">
            <w:tc>
              <w:tcPr>
                <w:tcW w:w="1629" w:type="pct"/>
                <w:tcBorders>
                  <w:top w:val="outset" w:sz="6" w:space="0" w:color="auto"/>
                  <w:left w:val="outset" w:sz="6" w:space="0" w:color="auto"/>
                  <w:bottom w:val="outset" w:sz="6" w:space="0" w:color="auto"/>
                  <w:right w:val="outset" w:sz="6" w:space="0" w:color="auto"/>
                </w:tcBorders>
                <w:vAlign w:val="center"/>
              </w:tcPr>
              <w:p w14:paraId="281DD212" w14:textId="77777777" w:rsidR="00E57DAA" w:rsidRDefault="00AC4185">
                <w:pPr>
                  <w:ind w:firstLineChars="100" w:firstLine="210"/>
                  <w:rPr>
                    <w:szCs w:val="21"/>
                  </w:rPr>
                </w:pPr>
                <w:r>
                  <w:rPr>
                    <w:rFonts w:hint="eastAsia"/>
                    <w:szCs w:val="21"/>
                  </w:rPr>
                  <w:t>代理买卖证券款</w:t>
                </w:r>
              </w:p>
            </w:tc>
            <w:tc>
              <w:tcPr>
                <w:tcW w:w="627" w:type="pct"/>
                <w:tcBorders>
                  <w:top w:val="outset" w:sz="6" w:space="0" w:color="auto"/>
                  <w:left w:val="outset" w:sz="6" w:space="0" w:color="auto"/>
                  <w:bottom w:val="outset" w:sz="6" w:space="0" w:color="auto"/>
                  <w:right w:val="outset" w:sz="6" w:space="0" w:color="auto"/>
                </w:tcBorders>
                <w:vAlign w:val="center"/>
              </w:tcPr>
              <w:p w14:paraId="1B10D40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A3FCEB"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12AA96D" w14:textId="77777777" w:rsidR="00E57DAA" w:rsidRDefault="00E57DAA">
                <w:pPr>
                  <w:jc w:val="right"/>
                  <w:rPr>
                    <w:szCs w:val="21"/>
                  </w:rPr>
                </w:pPr>
              </w:p>
            </w:tc>
          </w:tr>
          <w:tr w:rsidR="00E57DAA" w14:paraId="05651089" w14:textId="77777777">
            <w:tc>
              <w:tcPr>
                <w:tcW w:w="1629" w:type="pct"/>
                <w:tcBorders>
                  <w:top w:val="outset" w:sz="6" w:space="0" w:color="auto"/>
                  <w:left w:val="outset" w:sz="6" w:space="0" w:color="auto"/>
                  <w:bottom w:val="outset" w:sz="6" w:space="0" w:color="auto"/>
                  <w:right w:val="outset" w:sz="6" w:space="0" w:color="auto"/>
                </w:tcBorders>
                <w:vAlign w:val="center"/>
              </w:tcPr>
              <w:p w14:paraId="46800631" w14:textId="77777777" w:rsidR="00E57DAA" w:rsidRDefault="00AC4185">
                <w:pPr>
                  <w:ind w:firstLineChars="100" w:firstLine="210"/>
                  <w:rPr>
                    <w:szCs w:val="21"/>
                  </w:rPr>
                </w:pPr>
                <w:r>
                  <w:rPr>
                    <w:rFonts w:hint="eastAsia"/>
                    <w:szCs w:val="21"/>
                  </w:rPr>
                  <w:t>代理承销证券款</w:t>
                </w:r>
              </w:p>
            </w:tc>
            <w:tc>
              <w:tcPr>
                <w:tcW w:w="627" w:type="pct"/>
                <w:tcBorders>
                  <w:top w:val="outset" w:sz="6" w:space="0" w:color="auto"/>
                  <w:left w:val="outset" w:sz="6" w:space="0" w:color="auto"/>
                  <w:bottom w:val="outset" w:sz="6" w:space="0" w:color="auto"/>
                  <w:right w:val="outset" w:sz="6" w:space="0" w:color="auto"/>
                </w:tcBorders>
                <w:vAlign w:val="center"/>
              </w:tcPr>
              <w:p w14:paraId="387A6DF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D8EF8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C6AB9C1" w14:textId="77777777" w:rsidR="00E57DAA" w:rsidRDefault="00E57DAA">
                <w:pPr>
                  <w:jc w:val="right"/>
                  <w:rPr>
                    <w:szCs w:val="21"/>
                  </w:rPr>
                </w:pPr>
              </w:p>
            </w:tc>
          </w:tr>
          <w:tr w:rsidR="00E57DAA" w14:paraId="7D06BDF2" w14:textId="77777777">
            <w:tc>
              <w:tcPr>
                <w:tcW w:w="1629" w:type="pct"/>
                <w:tcBorders>
                  <w:top w:val="outset" w:sz="6" w:space="0" w:color="auto"/>
                  <w:left w:val="outset" w:sz="6" w:space="0" w:color="auto"/>
                  <w:bottom w:val="outset" w:sz="6" w:space="0" w:color="auto"/>
                  <w:right w:val="outset" w:sz="6" w:space="0" w:color="auto"/>
                </w:tcBorders>
                <w:vAlign w:val="center"/>
              </w:tcPr>
              <w:p w14:paraId="11380F12" w14:textId="77777777" w:rsidR="00E57DAA" w:rsidRDefault="00AC4185">
                <w:pPr>
                  <w:ind w:firstLineChars="100" w:firstLine="210"/>
                  <w:rPr>
                    <w:szCs w:val="21"/>
                  </w:rPr>
                </w:pPr>
                <w:r>
                  <w:rPr>
                    <w:rFonts w:hint="eastAsia"/>
                    <w:szCs w:val="21"/>
                  </w:rPr>
                  <w:t>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2EA6DAF7" w14:textId="77777777" w:rsidR="00E57DAA" w:rsidRDefault="00AC4185">
                <w:pPr>
                  <w:rPr>
                    <w:szCs w:val="21"/>
                  </w:rPr>
                </w:pPr>
                <w:r>
                  <w:t>七、39</w:t>
                </w:r>
              </w:p>
            </w:tc>
            <w:tc>
              <w:tcPr>
                <w:tcW w:w="1411" w:type="pct"/>
                <w:tcBorders>
                  <w:top w:val="outset" w:sz="6" w:space="0" w:color="auto"/>
                  <w:left w:val="outset" w:sz="6" w:space="0" w:color="auto"/>
                  <w:bottom w:val="outset" w:sz="6" w:space="0" w:color="auto"/>
                  <w:right w:val="outset" w:sz="6" w:space="0" w:color="auto"/>
                </w:tcBorders>
                <w:vAlign w:val="center"/>
              </w:tcPr>
              <w:p w14:paraId="522AFCC3" w14:textId="77777777" w:rsidR="00E57DAA" w:rsidRDefault="00AC4185">
                <w:pPr>
                  <w:jc w:val="right"/>
                  <w:rPr>
                    <w:szCs w:val="21"/>
                  </w:rPr>
                </w:pPr>
                <w:r>
                  <w:t>897,710,561.71</w:t>
                </w:r>
              </w:p>
            </w:tc>
            <w:tc>
              <w:tcPr>
                <w:tcW w:w="1333" w:type="pct"/>
                <w:tcBorders>
                  <w:top w:val="outset" w:sz="6" w:space="0" w:color="auto"/>
                  <w:left w:val="outset" w:sz="6" w:space="0" w:color="auto"/>
                  <w:bottom w:val="outset" w:sz="6" w:space="0" w:color="auto"/>
                  <w:right w:val="outset" w:sz="6" w:space="0" w:color="auto"/>
                </w:tcBorders>
                <w:vAlign w:val="center"/>
              </w:tcPr>
              <w:p w14:paraId="562FA62C" w14:textId="77777777" w:rsidR="00E57DAA" w:rsidRDefault="00AC4185">
                <w:pPr>
                  <w:jc w:val="right"/>
                  <w:rPr>
                    <w:szCs w:val="21"/>
                  </w:rPr>
                </w:pPr>
                <w:r>
                  <w:t>930,479,204.12</w:t>
                </w:r>
              </w:p>
            </w:tc>
          </w:tr>
          <w:tr w:rsidR="00E57DAA" w14:paraId="773446E2" w14:textId="77777777">
            <w:tc>
              <w:tcPr>
                <w:tcW w:w="1629" w:type="pct"/>
                <w:tcBorders>
                  <w:top w:val="outset" w:sz="6" w:space="0" w:color="auto"/>
                  <w:left w:val="outset" w:sz="6" w:space="0" w:color="auto"/>
                  <w:bottom w:val="outset" w:sz="6" w:space="0" w:color="auto"/>
                  <w:right w:val="outset" w:sz="6" w:space="0" w:color="auto"/>
                </w:tcBorders>
                <w:vAlign w:val="center"/>
              </w:tcPr>
              <w:p w14:paraId="06B1F690" w14:textId="77777777" w:rsidR="00E57DAA" w:rsidRDefault="00AC4185">
                <w:pPr>
                  <w:ind w:firstLineChars="100" w:firstLine="210"/>
                  <w:rPr>
                    <w:szCs w:val="21"/>
                  </w:rPr>
                </w:pPr>
                <w:r>
                  <w:rPr>
                    <w:rFonts w:hint="eastAsia"/>
                    <w:szCs w:val="21"/>
                  </w:rPr>
                  <w:t>应交税费</w:t>
                </w:r>
              </w:p>
            </w:tc>
            <w:tc>
              <w:tcPr>
                <w:tcW w:w="627" w:type="pct"/>
                <w:tcBorders>
                  <w:top w:val="outset" w:sz="6" w:space="0" w:color="auto"/>
                  <w:left w:val="outset" w:sz="6" w:space="0" w:color="auto"/>
                  <w:bottom w:val="outset" w:sz="6" w:space="0" w:color="auto"/>
                  <w:right w:val="outset" w:sz="6" w:space="0" w:color="auto"/>
                </w:tcBorders>
                <w:vAlign w:val="center"/>
              </w:tcPr>
              <w:p w14:paraId="744C9959" w14:textId="77777777" w:rsidR="00E57DAA" w:rsidRDefault="00AC4185">
                <w:pPr>
                  <w:rPr>
                    <w:szCs w:val="21"/>
                  </w:rPr>
                </w:pPr>
                <w:r>
                  <w:t>七、40</w:t>
                </w:r>
              </w:p>
            </w:tc>
            <w:tc>
              <w:tcPr>
                <w:tcW w:w="1411" w:type="pct"/>
                <w:tcBorders>
                  <w:top w:val="outset" w:sz="6" w:space="0" w:color="auto"/>
                  <w:left w:val="outset" w:sz="6" w:space="0" w:color="auto"/>
                  <w:bottom w:val="outset" w:sz="6" w:space="0" w:color="auto"/>
                  <w:right w:val="outset" w:sz="6" w:space="0" w:color="auto"/>
                </w:tcBorders>
                <w:vAlign w:val="center"/>
              </w:tcPr>
              <w:p w14:paraId="39A3DD86" w14:textId="77777777" w:rsidR="00E57DAA" w:rsidRDefault="00AC4185">
                <w:pPr>
                  <w:jc w:val="right"/>
                  <w:rPr>
                    <w:szCs w:val="21"/>
                  </w:rPr>
                </w:pPr>
                <w:r>
                  <w:t>626,195,276.39</w:t>
                </w:r>
              </w:p>
            </w:tc>
            <w:tc>
              <w:tcPr>
                <w:tcW w:w="1333" w:type="pct"/>
                <w:tcBorders>
                  <w:top w:val="outset" w:sz="6" w:space="0" w:color="auto"/>
                  <w:left w:val="outset" w:sz="6" w:space="0" w:color="auto"/>
                  <w:bottom w:val="outset" w:sz="6" w:space="0" w:color="auto"/>
                  <w:right w:val="outset" w:sz="6" w:space="0" w:color="auto"/>
                </w:tcBorders>
                <w:vAlign w:val="center"/>
              </w:tcPr>
              <w:p w14:paraId="5E7630A0" w14:textId="77777777" w:rsidR="00E57DAA" w:rsidRDefault="00AC4185">
                <w:pPr>
                  <w:jc w:val="right"/>
                  <w:rPr>
                    <w:szCs w:val="21"/>
                  </w:rPr>
                </w:pPr>
                <w:r>
                  <w:t>641,039,140.60</w:t>
                </w:r>
              </w:p>
            </w:tc>
          </w:tr>
          <w:tr w:rsidR="00E57DAA" w14:paraId="0E6AC63B" w14:textId="77777777">
            <w:tc>
              <w:tcPr>
                <w:tcW w:w="1629" w:type="pct"/>
                <w:tcBorders>
                  <w:top w:val="outset" w:sz="6" w:space="0" w:color="auto"/>
                  <w:left w:val="outset" w:sz="6" w:space="0" w:color="auto"/>
                  <w:bottom w:val="outset" w:sz="6" w:space="0" w:color="auto"/>
                  <w:right w:val="outset" w:sz="6" w:space="0" w:color="auto"/>
                </w:tcBorders>
                <w:vAlign w:val="center"/>
              </w:tcPr>
              <w:p w14:paraId="2B90475C" w14:textId="77777777" w:rsidR="00E57DAA" w:rsidRDefault="00AC4185">
                <w:pPr>
                  <w:ind w:firstLineChars="100" w:firstLine="210"/>
                  <w:rPr>
                    <w:szCs w:val="21"/>
                  </w:rPr>
                </w:pPr>
                <w:r>
                  <w:rPr>
                    <w:rFonts w:hint="eastAsia"/>
                    <w:szCs w:val="21"/>
                  </w:rPr>
                  <w:t>其他应付款</w:t>
                </w:r>
              </w:p>
            </w:tc>
            <w:tc>
              <w:tcPr>
                <w:tcW w:w="627" w:type="pct"/>
                <w:tcBorders>
                  <w:top w:val="outset" w:sz="6" w:space="0" w:color="auto"/>
                  <w:left w:val="outset" w:sz="6" w:space="0" w:color="auto"/>
                  <w:bottom w:val="outset" w:sz="6" w:space="0" w:color="auto"/>
                  <w:right w:val="outset" w:sz="6" w:space="0" w:color="auto"/>
                </w:tcBorders>
                <w:vAlign w:val="center"/>
              </w:tcPr>
              <w:p w14:paraId="590E669E" w14:textId="77777777" w:rsidR="00E57DAA" w:rsidRDefault="00AC4185">
                <w:pPr>
                  <w:rPr>
                    <w:szCs w:val="21"/>
                  </w:rPr>
                </w:pPr>
                <w:r>
                  <w:t>七、41</w:t>
                </w:r>
              </w:p>
            </w:tc>
            <w:tc>
              <w:tcPr>
                <w:tcW w:w="1411" w:type="pct"/>
                <w:tcBorders>
                  <w:top w:val="outset" w:sz="6" w:space="0" w:color="auto"/>
                  <w:left w:val="outset" w:sz="6" w:space="0" w:color="auto"/>
                  <w:bottom w:val="outset" w:sz="6" w:space="0" w:color="auto"/>
                  <w:right w:val="outset" w:sz="6" w:space="0" w:color="auto"/>
                </w:tcBorders>
                <w:vAlign w:val="center"/>
              </w:tcPr>
              <w:p w14:paraId="18839F35" w14:textId="77777777" w:rsidR="00E57DAA" w:rsidRDefault="00AC4185">
                <w:pPr>
                  <w:jc w:val="right"/>
                  <w:rPr>
                    <w:szCs w:val="21"/>
                  </w:rPr>
                </w:pPr>
                <w:r>
                  <w:t>2,420,137,082.81</w:t>
                </w:r>
              </w:p>
            </w:tc>
            <w:tc>
              <w:tcPr>
                <w:tcW w:w="1333" w:type="pct"/>
                <w:tcBorders>
                  <w:top w:val="outset" w:sz="6" w:space="0" w:color="auto"/>
                  <w:left w:val="outset" w:sz="6" w:space="0" w:color="auto"/>
                  <w:bottom w:val="outset" w:sz="6" w:space="0" w:color="auto"/>
                  <w:right w:val="outset" w:sz="6" w:space="0" w:color="auto"/>
                </w:tcBorders>
                <w:vAlign w:val="center"/>
              </w:tcPr>
              <w:p w14:paraId="0C7F65A3" w14:textId="77777777" w:rsidR="00E57DAA" w:rsidRDefault="00AC4185">
                <w:pPr>
                  <w:jc w:val="right"/>
                  <w:rPr>
                    <w:szCs w:val="21"/>
                  </w:rPr>
                </w:pPr>
                <w:r>
                  <w:t>2,630,700,982.14</w:t>
                </w:r>
              </w:p>
            </w:tc>
          </w:tr>
          <w:tr w:rsidR="00E57DAA" w14:paraId="5A6E152E" w14:textId="77777777">
            <w:tc>
              <w:tcPr>
                <w:tcW w:w="1629" w:type="pct"/>
                <w:tcBorders>
                  <w:top w:val="outset" w:sz="6" w:space="0" w:color="auto"/>
                  <w:left w:val="outset" w:sz="6" w:space="0" w:color="auto"/>
                  <w:bottom w:val="outset" w:sz="6" w:space="0" w:color="auto"/>
                  <w:right w:val="outset" w:sz="6" w:space="0" w:color="auto"/>
                </w:tcBorders>
                <w:vAlign w:val="center"/>
              </w:tcPr>
              <w:p w14:paraId="314378C3" w14:textId="77777777" w:rsidR="00E57DAA" w:rsidRDefault="00AC4185">
                <w:pPr>
                  <w:ind w:firstLineChars="100" w:firstLine="210"/>
                  <w:rPr>
                    <w:szCs w:val="21"/>
                  </w:rPr>
                </w:pPr>
                <w:r>
                  <w:rPr>
                    <w:rFonts w:hint="eastAsia"/>
                  </w:rPr>
                  <w:t>其中：</w:t>
                </w:r>
                <w:r>
                  <w:rPr>
                    <w:rFonts w:hint="eastAsia"/>
                    <w:szCs w:val="21"/>
                  </w:rPr>
                  <w:t>应付利息</w:t>
                </w:r>
              </w:p>
            </w:tc>
            <w:tc>
              <w:tcPr>
                <w:tcW w:w="627" w:type="pct"/>
                <w:tcBorders>
                  <w:top w:val="outset" w:sz="6" w:space="0" w:color="auto"/>
                  <w:left w:val="outset" w:sz="6" w:space="0" w:color="auto"/>
                  <w:bottom w:val="outset" w:sz="6" w:space="0" w:color="auto"/>
                  <w:right w:val="outset" w:sz="6" w:space="0" w:color="auto"/>
                </w:tcBorders>
                <w:vAlign w:val="center"/>
              </w:tcPr>
              <w:p w14:paraId="047C949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A5CAD0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066FFC0" w14:textId="77777777" w:rsidR="00E57DAA" w:rsidRDefault="00E57DAA">
                <w:pPr>
                  <w:jc w:val="right"/>
                  <w:rPr>
                    <w:szCs w:val="21"/>
                  </w:rPr>
                </w:pPr>
              </w:p>
            </w:tc>
          </w:tr>
          <w:tr w:rsidR="00E57DAA" w14:paraId="45E61D7F" w14:textId="77777777">
            <w:tc>
              <w:tcPr>
                <w:tcW w:w="1629" w:type="pct"/>
                <w:tcBorders>
                  <w:top w:val="outset" w:sz="6" w:space="0" w:color="auto"/>
                  <w:left w:val="outset" w:sz="6" w:space="0" w:color="auto"/>
                  <w:bottom w:val="outset" w:sz="6" w:space="0" w:color="auto"/>
                  <w:right w:val="outset" w:sz="6" w:space="0" w:color="auto"/>
                </w:tcBorders>
                <w:vAlign w:val="center"/>
              </w:tcPr>
              <w:p w14:paraId="4C2F7AE6" w14:textId="77777777" w:rsidR="00E57DAA" w:rsidRDefault="00AC4185">
                <w:pPr>
                  <w:ind w:firstLineChars="400" w:firstLine="840"/>
                  <w:rPr>
                    <w:szCs w:val="21"/>
                  </w:rPr>
                </w:pPr>
                <w:r>
                  <w:rPr>
                    <w:rFonts w:hint="eastAsia"/>
                    <w:szCs w:val="21"/>
                  </w:rPr>
                  <w:t>应付股利</w:t>
                </w:r>
              </w:p>
            </w:tc>
            <w:tc>
              <w:tcPr>
                <w:tcW w:w="627" w:type="pct"/>
                <w:tcBorders>
                  <w:top w:val="outset" w:sz="6" w:space="0" w:color="auto"/>
                  <w:left w:val="outset" w:sz="6" w:space="0" w:color="auto"/>
                  <w:bottom w:val="outset" w:sz="6" w:space="0" w:color="auto"/>
                  <w:right w:val="outset" w:sz="6" w:space="0" w:color="auto"/>
                </w:tcBorders>
                <w:vAlign w:val="center"/>
              </w:tcPr>
              <w:p w14:paraId="548AA6B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29A5AC" w14:textId="77777777" w:rsidR="00E57DAA" w:rsidRDefault="00AC4185">
                <w:pPr>
                  <w:jc w:val="right"/>
                  <w:rPr>
                    <w:szCs w:val="21"/>
                  </w:rPr>
                </w:pPr>
                <w:r>
                  <w:t>363,482,902.39</w:t>
                </w:r>
              </w:p>
            </w:tc>
            <w:tc>
              <w:tcPr>
                <w:tcW w:w="1333" w:type="pct"/>
                <w:tcBorders>
                  <w:top w:val="outset" w:sz="6" w:space="0" w:color="auto"/>
                  <w:left w:val="outset" w:sz="6" w:space="0" w:color="auto"/>
                  <w:bottom w:val="outset" w:sz="6" w:space="0" w:color="auto"/>
                  <w:right w:val="outset" w:sz="6" w:space="0" w:color="auto"/>
                </w:tcBorders>
                <w:vAlign w:val="center"/>
              </w:tcPr>
              <w:p w14:paraId="66C59B5D" w14:textId="77777777" w:rsidR="00E57DAA" w:rsidRDefault="00AC4185">
                <w:pPr>
                  <w:jc w:val="right"/>
                  <w:rPr>
                    <w:szCs w:val="21"/>
                  </w:rPr>
                </w:pPr>
                <w:r>
                  <w:t>416,292,917.26</w:t>
                </w:r>
              </w:p>
            </w:tc>
          </w:tr>
          <w:tr w:rsidR="00E57DAA" w14:paraId="4C2D3E0C" w14:textId="77777777">
            <w:tc>
              <w:tcPr>
                <w:tcW w:w="1629" w:type="pct"/>
                <w:tcBorders>
                  <w:top w:val="outset" w:sz="6" w:space="0" w:color="auto"/>
                  <w:left w:val="outset" w:sz="6" w:space="0" w:color="auto"/>
                  <w:bottom w:val="outset" w:sz="6" w:space="0" w:color="auto"/>
                  <w:right w:val="outset" w:sz="6" w:space="0" w:color="auto"/>
                </w:tcBorders>
                <w:vAlign w:val="center"/>
              </w:tcPr>
              <w:p w14:paraId="28065B64" w14:textId="77777777" w:rsidR="00E57DAA" w:rsidRDefault="00AC4185">
                <w:pPr>
                  <w:ind w:firstLineChars="100" w:firstLine="210"/>
                  <w:rPr>
                    <w:szCs w:val="21"/>
                  </w:rPr>
                </w:pPr>
                <w:r>
                  <w:rPr>
                    <w:rFonts w:hint="eastAsia"/>
                    <w:szCs w:val="21"/>
                  </w:rPr>
                  <w:t>应付手续费及佣金</w:t>
                </w:r>
              </w:p>
            </w:tc>
            <w:tc>
              <w:tcPr>
                <w:tcW w:w="627" w:type="pct"/>
                <w:tcBorders>
                  <w:top w:val="outset" w:sz="6" w:space="0" w:color="auto"/>
                  <w:left w:val="outset" w:sz="6" w:space="0" w:color="auto"/>
                  <w:bottom w:val="outset" w:sz="6" w:space="0" w:color="auto"/>
                  <w:right w:val="outset" w:sz="6" w:space="0" w:color="auto"/>
                </w:tcBorders>
                <w:vAlign w:val="center"/>
              </w:tcPr>
              <w:p w14:paraId="16ECE56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92913E8"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7ED784E" w14:textId="77777777" w:rsidR="00E57DAA" w:rsidRDefault="00E57DAA">
                <w:pPr>
                  <w:jc w:val="right"/>
                  <w:rPr>
                    <w:szCs w:val="21"/>
                  </w:rPr>
                </w:pPr>
              </w:p>
            </w:tc>
          </w:tr>
          <w:tr w:rsidR="00E57DAA" w14:paraId="52B347C0" w14:textId="77777777">
            <w:tc>
              <w:tcPr>
                <w:tcW w:w="1629" w:type="pct"/>
                <w:tcBorders>
                  <w:top w:val="outset" w:sz="6" w:space="0" w:color="auto"/>
                  <w:left w:val="outset" w:sz="6" w:space="0" w:color="auto"/>
                  <w:bottom w:val="outset" w:sz="6" w:space="0" w:color="auto"/>
                  <w:right w:val="outset" w:sz="6" w:space="0" w:color="auto"/>
                </w:tcBorders>
                <w:vAlign w:val="center"/>
              </w:tcPr>
              <w:p w14:paraId="7EB239E8" w14:textId="77777777" w:rsidR="00E57DAA" w:rsidRDefault="00AC4185">
                <w:pPr>
                  <w:ind w:firstLineChars="100" w:firstLine="210"/>
                  <w:rPr>
                    <w:szCs w:val="21"/>
                  </w:rPr>
                </w:pPr>
                <w:r>
                  <w:rPr>
                    <w:rFonts w:hint="eastAsia"/>
                    <w:szCs w:val="21"/>
                  </w:rPr>
                  <w:t>应付分保账款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16647A8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BD99F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FC92593" w14:textId="77777777" w:rsidR="00E57DAA" w:rsidRDefault="00E57DAA">
                <w:pPr>
                  <w:jc w:val="right"/>
                  <w:rPr>
                    <w:szCs w:val="21"/>
                  </w:rPr>
                </w:pPr>
              </w:p>
            </w:tc>
          </w:tr>
          <w:tr w:rsidR="00E57DAA" w14:paraId="29FC0994" w14:textId="77777777">
            <w:tc>
              <w:tcPr>
                <w:tcW w:w="1629" w:type="pct"/>
                <w:tcBorders>
                  <w:top w:val="outset" w:sz="6" w:space="0" w:color="auto"/>
                  <w:left w:val="outset" w:sz="6" w:space="0" w:color="auto"/>
                  <w:bottom w:val="outset" w:sz="6" w:space="0" w:color="auto"/>
                  <w:right w:val="outset" w:sz="6" w:space="0" w:color="auto"/>
                </w:tcBorders>
                <w:vAlign w:val="center"/>
              </w:tcPr>
              <w:p w14:paraId="42D4784D" w14:textId="77777777" w:rsidR="00E57DAA" w:rsidRDefault="00AC4185">
                <w:pPr>
                  <w:ind w:firstLineChars="100" w:firstLine="210"/>
                  <w:rPr>
                    <w:szCs w:val="21"/>
                  </w:rPr>
                </w:pPr>
                <w:r>
                  <w:rPr>
                    <w:rFonts w:hint="eastAsia"/>
                    <w:szCs w:val="21"/>
                  </w:rPr>
                  <w:t>持有待售负债</w:t>
                </w:r>
              </w:p>
            </w:tc>
            <w:tc>
              <w:tcPr>
                <w:tcW w:w="627" w:type="pct"/>
                <w:tcBorders>
                  <w:top w:val="outset" w:sz="6" w:space="0" w:color="auto"/>
                  <w:left w:val="outset" w:sz="6" w:space="0" w:color="auto"/>
                  <w:bottom w:val="outset" w:sz="6" w:space="0" w:color="auto"/>
                  <w:right w:val="outset" w:sz="6" w:space="0" w:color="auto"/>
                </w:tcBorders>
                <w:vAlign w:val="center"/>
              </w:tcPr>
              <w:p w14:paraId="6C17FCD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4C6A6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19B9DA7" w14:textId="77777777" w:rsidR="00E57DAA" w:rsidRDefault="00E57DAA">
                <w:pPr>
                  <w:jc w:val="right"/>
                  <w:rPr>
                    <w:szCs w:val="21"/>
                  </w:rPr>
                </w:pPr>
              </w:p>
            </w:tc>
          </w:tr>
          <w:tr w:rsidR="00E57DAA" w14:paraId="7E62764F" w14:textId="77777777">
            <w:tc>
              <w:tcPr>
                <w:tcW w:w="1629" w:type="pct"/>
                <w:tcBorders>
                  <w:top w:val="outset" w:sz="6" w:space="0" w:color="auto"/>
                  <w:left w:val="outset" w:sz="6" w:space="0" w:color="auto"/>
                  <w:bottom w:val="outset" w:sz="6" w:space="0" w:color="auto"/>
                  <w:right w:val="outset" w:sz="6" w:space="0" w:color="auto"/>
                </w:tcBorders>
                <w:vAlign w:val="center"/>
              </w:tcPr>
              <w:p w14:paraId="45083A8C" w14:textId="77777777" w:rsidR="00E57DAA" w:rsidRDefault="00AC4185">
                <w:pPr>
                  <w:ind w:firstLineChars="100" w:firstLine="210"/>
                  <w:rPr>
                    <w:szCs w:val="21"/>
                  </w:rPr>
                </w:pPr>
                <w:r>
                  <w:rPr>
                    <w:rFonts w:hint="eastAsia"/>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67BAE725" w14:textId="77777777" w:rsidR="00E57DAA" w:rsidRDefault="00AC4185">
                <w:pPr>
                  <w:rPr>
                    <w:szCs w:val="21"/>
                  </w:rPr>
                </w:pPr>
                <w:r>
                  <w:t>七、43</w:t>
                </w:r>
              </w:p>
            </w:tc>
            <w:tc>
              <w:tcPr>
                <w:tcW w:w="1411" w:type="pct"/>
                <w:tcBorders>
                  <w:top w:val="outset" w:sz="6" w:space="0" w:color="auto"/>
                  <w:left w:val="outset" w:sz="6" w:space="0" w:color="auto"/>
                  <w:bottom w:val="outset" w:sz="6" w:space="0" w:color="auto"/>
                  <w:right w:val="outset" w:sz="6" w:space="0" w:color="auto"/>
                </w:tcBorders>
                <w:vAlign w:val="center"/>
              </w:tcPr>
              <w:p w14:paraId="084271ED" w14:textId="77777777" w:rsidR="00E57DAA" w:rsidRDefault="00AC4185">
                <w:pPr>
                  <w:jc w:val="right"/>
                  <w:rPr>
                    <w:szCs w:val="21"/>
                  </w:rPr>
                </w:pPr>
                <w:r>
                  <w:t>1,536,332,285.59</w:t>
                </w:r>
              </w:p>
            </w:tc>
            <w:tc>
              <w:tcPr>
                <w:tcW w:w="1333" w:type="pct"/>
                <w:tcBorders>
                  <w:top w:val="outset" w:sz="6" w:space="0" w:color="auto"/>
                  <w:left w:val="outset" w:sz="6" w:space="0" w:color="auto"/>
                  <w:bottom w:val="outset" w:sz="6" w:space="0" w:color="auto"/>
                  <w:right w:val="outset" w:sz="6" w:space="0" w:color="auto"/>
                </w:tcBorders>
                <w:vAlign w:val="center"/>
              </w:tcPr>
              <w:p w14:paraId="781951C2" w14:textId="77777777" w:rsidR="00E57DAA" w:rsidRDefault="00AC4185">
                <w:pPr>
                  <w:jc w:val="right"/>
                  <w:rPr>
                    <w:szCs w:val="21"/>
                  </w:rPr>
                </w:pPr>
                <w:r>
                  <w:t>786,647,659.40</w:t>
                </w:r>
              </w:p>
            </w:tc>
          </w:tr>
          <w:tr w:rsidR="00E57DAA" w14:paraId="613344B9" w14:textId="77777777">
            <w:tc>
              <w:tcPr>
                <w:tcW w:w="1629" w:type="pct"/>
                <w:tcBorders>
                  <w:top w:val="outset" w:sz="6" w:space="0" w:color="auto"/>
                  <w:left w:val="outset" w:sz="6" w:space="0" w:color="auto"/>
                  <w:bottom w:val="outset" w:sz="6" w:space="0" w:color="auto"/>
                  <w:right w:val="outset" w:sz="6" w:space="0" w:color="auto"/>
                </w:tcBorders>
                <w:vAlign w:val="center"/>
              </w:tcPr>
              <w:p w14:paraId="2261B833" w14:textId="77777777" w:rsidR="00E57DAA" w:rsidRDefault="00AC4185">
                <w:pPr>
                  <w:ind w:firstLineChars="100" w:firstLine="210"/>
                  <w:rPr>
                    <w:szCs w:val="21"/>
                  </w:rPr>
                </w:pPr>
                <w:r>
                  <w:rPr>
                    <w:rFonts w:hint="eastAsia"/>
                    <w:szCs w:val="21"/>
                  </w:rPr>
                  <w:t>其他流动负债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19E44DFA" w14:textId="77777777" w:rsidR="00E57DAA" w:rsidRDefault="00AC4185">
                <w:pPr>
                  <w:rPr>
                    <w:szCs w:val="21"/>
                  </w:rPr>
                </w:pPr>
                <w:r>
                  <w:t>七、44</w:t>
                </w:r>
              </w:p>
            </w:tc>
            <w:tc>
              <w:tcPr>
                <w:tcW w:w="1411" w:type="pct"/>
                <w:tcBorders>
                  <w:top w:val="outset" w:sz="6" w:space="0" w:color="auto"/>
                  <w:left w:val="outset" w:sz="6" w:space="0" w:color="auto"/>
                  <w:bottom w:val="outset" w:sz="6" w:space="0" w:color="auto"/>
                  <w:right w:val="outset" w:sz="6" w:space="0" w:color="auto"/>
                </w:tcBorders>
                <w:vAlign w:val="center"/>
              </w:tcPr>
              <w:p w14:paraId="6690344E" w14:textId="77777777" w:rsidR="00E57DAA" w:rsidRDefault="00AC4185">
                <w:pPr>
                  <w:jc w:val="right"/>
                  <w:rPr>
                    <w:szCs w:val="21"/>
                  </w:rPr>
                </w:pPr>
                <w:r>
                  <w:t>369,747,630.52</w:t>
                </w:r>
              </w:p>
            </w:tc>
            <w:tc>
              <w:tcPr>
                <w:tcW w:w="1333" w:type="pct"/>
                <w:tcBorders>
                  <w:top w:val="outset" w:sz="6" w:space="0" w:color="auto"/>
                  <w:left w:val="outset" w:sz="6" w:space="0" w:color="auto"/>
                  <w:bottom w:val="outset" w:sz="6" w:space="0" w:color="auto"/>
                  <w:right w:val="outset" w:sz="6" w:space="0" w:color="auto"/>
                </w:tcBorders>
                <w:vAlign w:val="center"/>
              </w:tcPr>
              <w:p w14:paraId="45336EED" w14:textId="77777777" w:rsidR="00E57DAA" w:rsidRDefault="00AC4185">
                <w:pPr>
                  <w:jc w:val="right"/>
                  <w:rPr>
                    <w:szCs w:val="21"/>
                  </w:rPr>
                </w:pPr>
                <w:r>
                  <w:t>360,700,329.74</w:t>
                </w:r>
              </w:p>
            </w:tc>
          </w:tr>
          <w:tr w:rsidR="00E57DAA" w14:paraId="1F8DDC30" w14:textId="77777777">
            <w:tc>
              <w:tcPr>
                <w:tcW w:w="1629" w:type="pct"/>
                <w:tcBorders>
                  <w:top w:val="outset" w:sz="6" w:space="0" w:color="auto"/>
                  <w:left w:val="outset" w:sz="6" w:space="0" w:color="auto"/>
                  <w:bottom w:val="outset" w:sz="6" w:space="0" w:color="auto"/>
                  <w:right w:val="outset" w:sz="6" w:space="0" w:color="auto"/>
                </w:tcBorders>
                <w:vAlign w:val="center"/>
              </w:tcPr>
              <w:p w14:paraId="06E06A1E" w14:textId="77777777" w:rsidR="00E57DAA" w:rsidRDefault="00AC4185">
                <w:pPr>
                  <w:ind w:firstLineChars="200" w:firstLine="420"/>
                  <w:rPr>
                    <w:szCs w:val="21"/>
                  </w:rPr>
                </w:pPr>
                <w:r>
                  <w:rPr>
                    <w:rFonts w:hint="eastAsia"/>
                    <w:szCs w:val="21"/>
                  </w:rPr>
                  <w:t>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6A53AC8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70DC621" w14:textId="77777777" w:rsidR="00E57DAA" w:rsidRDefault="00AC4185">
                <w:pPr>
                  <w:jc w:val="right"/>
                  <w:rPr>
                    <w:szCs w:val="21"/>
                  </w:rPr>
                </w:pPr>
                <w:r>
                  <w:t>29,900,361,184.69</w:t>
                </w:r>
              </w:p>
            </w:tc>
            <w:tc>
              <w:tcPr>
                <w:tcW w:w="1333" w:type="pct"/>
                <w:tcBorders>
                  <w:top w:val="outset" w:sz="6" w:space="0" w:color="auto"/>
                  <w:left w:val="outset" w:sz="6" w:space="0" w:color="auto"/>
                  <w:bottom w:val="outset" w:sz="6" w:space="0" w:color="auto"/>
                  <w:right w:val="outset" w:sz="6" w:space="0" w:color="auto"/>
                </w:tcBorders>
                <w:vAlign w:val="center"/>
              </w:tcPr>
              <w:p w14:paraId="56769DBA" w14:textId="77777777" w:rsidR="00E57DAA" w:rsidRDefault="00AC4185">
                <w:pPr>
                  <w:jc w:val="right"/>
                  <w:rPr>
                    <w:szCs w:val="21"/>
                  </w:rPr>
                </w:pPr>
                <w:r>
                  <w:t>26,930,902,363.98</w:t>
                </w:r>
              </w:p>
            </w:tc>
          </w:tr>
          <w:tr w:rsidR="00E57DAA" w14:paraId="0C9F00B5" w14:textId="77777777">
            <w:sdt>
              <w:sdtPr>
                <w:tag w:val="_PLD_76615034b106405f8ae606a6fc253d93"/>
                <w:id w:val="1948588894"/>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044DB55" w14:textId="77777777" w:rsidR="00E57DAA" w:rsidRDefault="00AC4185">
                    <w:pPr>
                      <w:rPr>
                        <w:color w:val="008000"/>
                        <w:szCs w:val="21"/>
                      </w:rPr>
                    </w:pPr>
                    <w:r>
                      <w:rPr>
                        <w:rFonts w:hint="eastAsia"/>
                        <w:b/>
                        <w:bCs/>
                        <w:szCs w:val="21"/>
                      </w:rPr>
                      <w:t>非流动负债：</w:t>
                    </w:r>
                  </w:p>
                </w:tc>
              </w:sdtContent>
            </w:sdt>
          </w:tr>
          <w:tr w:rsidR="00E57DAA" w14:paraId="121FE492" w14:textId="77777777">
            <w:tc>
              <w:tcPr>
                <w:tcW w:w="1629" w:type="pct"/>
                <w:tcBorders>
                  <w:top w:val="outset" w:sz="6" w:space="0" w:color="auto"/>
                  <w:left w:val="outset" w:sz="6" w:space="0" w:color="auto"/>
                  <w:bottom w:val="outset" w:sz="6" w:space="0" w:color="auto"/>
                  <w:right w:val="outset" w:sz="6" w:space="0" w:color="auto"/>
                </w:tcBorders>
                <w:vAlign w:val="center"/>
              </w:tcPr>
              <w:p w14:paraId="4AEAD567" w14:textId="77777777" w:rsidR="00E57DAA" w:rsidRDefault="00AC4185">
                <w:pPr>
                  <w:ind w:firstLineChars="100" w:firstLine="210"/>
                  <w:rPr>
                    <w:szCs w:val="21"/>
                  </w:rPr>
                </w:pPr>
                <w:r>
                  <w:rPr>
                    <w:rFonts w:hint="eastAsia"/>
                    <w:szCs w:val="21"/>
                  </w:rPr>
                  <w:t>保险合同准备金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2E09AC5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425F40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F0F89A1" w14:textId="77777777" w:rsidR="00E57DAA" w:rsidRDefault="00E57DAA">
                <w:pPr>
                  <w:jc w:val="right"/>
                  <w:rPr>
                    <w:szCs w:val="21"/>
                  </w:rPr>
                </w:pPr>
              </w:p>
            </w:tc>
          </w:tr>
          <w:tr w:rsidR="00E57DAA" w14:paraId="3F715DEC" w14:textId="77777777">
            <w:tc>
              <w:tcPr>
                <w:tcW w:w="1629" w:type="pct"/>
                <w:tcBorders>
                  <w:top w:val="outset" w:sz="6" w:space="0" w:color="auto"/>
                  <w:left w:val="outset" w:sz="6" w:space="0" w:color="auto"/>
                  <w:bottom w:val="outset" w:sz="6" w:space="0" w:color="auto"/>
                  <w:right w:val="outset" w:sz="6" w:space="0" w:color="auto"/>
                </w:tcBorders>
                <w:vAlign w:val="center"/>
              </w:tcPr>
              <w:p w14:paraId="6C906AE9" w14:textId="77777777" w:rsidR="00E57DAA" w:rsidRDefault="00AC4185">
                <w:pPr>
                  <w:ind w:firstLineChars="100" w:firstLine="210"/>
                  <w:rPr>
                    <w:szCs w:val="21"/>
                  </w:rPr>
                </w:pPr>
                <w:r>
                  <w:rPr>
                    <w:rFonts w:hint="eastAsia"/>
                    <w:szCs w:val="21"/>
                  </w:rPr>
                  <w:t>长期借款</w:t>
                </w:r>
              </w:p>
            </w:tc>
            <w:tc>
              <w:tcPr>
                <w:tcW w:w="627" w:type="pct"/>
                <w:tcBorders>
                  <w:top w:val="outset" w:sz="6" w:space="0" w:color="auto"/>
                  <w:left w:val="outset" w:sz="6" w:space="0" w:color="auto"/>
                  <w:bottom w:val="outset" w:sz="6" w:space="0" w:color="auto"/>
                  <w:right w:val="outset" w:sz="6" w:space="0" w:color="auto"/>
                </w:tcBorders>
                <w:vAlign w:val="center"/>
              </w:tcPr>
              <w:p w14:paraId="7B625D7C" w14:textId="77777777" w:rsidR="00E57DAA" w:rsidRDefault="00AC4185">
                <w:pPr>
                  <w:rPr>
                    <w:szCs w:val="21"/>
                  </w:rPr>
                </w:pPr>
                <w:r>
                  <w:t>七、45</w:t>
                </w:r>
              </w:p>
            </w:tc>
            <w:tc>
              <w:tcPr>
                <w:tcW w:w="1411" w:type="pct"/>
                <w:tcBorders>
                  <w:top w:val="outset" w:sz="6" w:space="0" w:color="auto"/>
                  <w:left w:val="outset" w:sz="6" w:space="0" w:color="auto"/>
                  <w:bottom w:val="outset" w:sz="6" w:space="0" w:color="auto"/>
                  <w:right w:val="outset" w:sz="6" w:space="0" w:color="auto"/>
                </w:tcBorders>
                <w:vAlign w:val="center"/>
              </w:tcPr>
              <w:p w14:paraId="07A94D2B" w14:textId="77777777" w:rsidR="00E57DAA" w:rsidRDefault="00AC4185">
                <w:pPr>
                  <w:jc w:val="right"/>
                  <w:rPr>
                    <w:szCs w:val="21"/>
                  </w:rPr>
                </w:pPr>
                <w:r>
                  <w:t>2,043,707,891.61</w:t>
                </w:r>
              </w:p>
            </w:tc>
            <w:tc>
              <w:tcPr>
                <w:tcW w:w="1333" w:type="pct"/>
                <w:tcBorders>
                  <w:top w:val="outset" w:sz="6" w:space="0" w:color="auto"/>
                  <w:left w:val="outset" w:sz="6" w:space="0" w:color="auto"/>
                  <w:bottom w:val="outset" w:sz="6" w:space="0" w:color="auto"/>
                  <w:right w:val="outset" w:sz="6" w:space="0" w:color="auto"/>
                </w:tcBorders>
                <w:vAlign w:val="center"/>
              </w:tcPr>
              <w:p w14:paraId="05022C7D" w14:textId="77777777" w:rsidR="00E57DAA" w:rsidRDefault="00AC4185">
                <w:pPr>
                  <w:jc w:val="right"/>
                  <w:rPr>
                    <w:szCs w:val="21"/>
                  </w:rPr>
                </w:pPr>
                <w:r>
                  <w:t>1,810,730,190.32</w:t>
                </w:r>
              </w:p>
            </w:tc>
          </w:tr>
          <w:tr w:rsidR="00E57DAA" w14:paraId="40096658" w14:textId="77777777">
            <w:tc>
              <w:tcPr>
                <w:tcW w:w="1629" w:type="pct"/>
                <w:tcBorders>
                  <w:top w:val="outset" w:sz="6" w:space="0" w:color="auto"/>
                  <w:left w:val="outset" w:sz="6" w:space="0" w:color="auto"/>
                  <w:bottom w:val="outset" w:sz="6" w:space="0" w:color="auto"/>
                  <w:right w:val="outset" w:sz="6" w:space="0" w:color="auto"/>
                </w:tcBorders>
                <w:vAlign w:val="center"/>
              </w:tcPr>
              <w:p w14:paraId="7B2D0E82" w14:textId="77777777" w:rsidR="00E57DAA" w:rsidRDefault="00AC4185">
                <w:pPr>
                  <w:ind w:firstLineChars="100" w:firstLine="210"/>
                  <w:rPr>
                    <w:szCs w:val="21"/>
                  </w:rPr>
                </w:pPr>
                <w:r>
                  <w:rPr>
                    <w:rFonts w:hint="eastAsia"/>
                    <w:szCs w:val="21"/>
                  </w:rPr>
                  <w:t>应付债券</w:t>
                </w:r>
              </w:p>
            </w:tc>
            <w:tc>
              <w:tcPr>
                <w:tcW w:w="627" w:type="pct"/>
                <w:tcBorders>
                  <w:top w:val="outset" w:sz="6" w:space="0" w:color="auto"/>
                  <w:left w:val="outset" w:sz="6" w:space="0" w:color="auto"/>
                  <w:bottom w:val="outset" w:sz="6" w:space="0" w:color="auto"/>
                  <w:right w:val="outset" w:sz="6" w:space="0" w:color="auto"/>
                </w:tcBorders>
                <w:vAlign w:val="center"/>
              </w:tcPr>
              <w:p w14:paraId="0A928106" w14:textId="77777777" w:rsidR="00E57DAA" w:rsidRDefault="00AC4185">
                <w:pPr>
                  <w:rPr>
                    <w:szCs w:val="21"/>
                  </w:rPr>
                </w:pPr>
                <w:r>
                  <w:t>七、46</w:t>
                </w:r>
              </w:p>
            </w:tc>
            <w:tc>
              <w:tcPr>
                <w:tcW w:w="1411" w:type="pct"/>
                <w:tcBorders>
                  <w:top w:val="outset" w:sz="6" w:space="0" w:color="auto"/>
                  <w:left w:val="outset" w:sz="6" w:space="0" w:color="auto"/>
                  <w:bottom w:val="outset" w:sz="6" w:space="0" w:color="auto"/>
                  <w:right w:val="outset" w:sz="6" w:space="0" w:color="auto"/>
                </w:tcBorders>
                <w:vAlign w:val="center"/>
              </w:tcPr>
              <w:p w14:paraId="316C76F5" w14:textId="77777777" w:rsidR="00E57DAA" w:rsidRDefault="00AC4185">
                <w:pPr>
                  <w:jc w:val="right"/>
                  <w:rPr>
                    <w:szCs w:val="21"/>
                  </w:rPr>
                </w:pPr>
                <w:r>
                  <w:t>1,000,000,000.00</w:t>
                </w:r>
              </w:p>
            </w:tc>
            <w:tc>
              <w:tcPr>
                <w:tcW w:w="1333" w:type="pct"/>
                <w:tcBorders>
                  <w:top w:val="outset" w:sz="6" w:space="0" w:color="auto"/>
                  <w:left w:val="outset" w:sz="6" w:space="0" w:color="auto"/>
                  <w:bottom w:val="outset" w:sz="6" w:space="0" w:color="auto"/>
                  <w:right w:val="outset" w:sz="6" w:space="0" w:color="auto"/>
                </w:tcBorders>
                <w:vAlign w:val="center"/>
              </w:tcPr>
              <w:p w14:paraId="291C5C30" w14:textId="77777777" w:rsidR="00E57DAA" w:rsidRDefault="00AC4185">
                <w:pPr>
                  <w:jc w:val="right"/>
                  <w:rPr>
                    <w:szCs w:val="21"/>
                  </w:rPr>
                </w:pPr>
                <w:r>
                  <w:t>1,500,000,000.00</w:t>
                </w:r>
              </w:p>
            </w:tc>
          </w:tr>
          <w:tr w:rsidR="00E57DAA" w14:paraId="48B274E1" w14:textId="77777777">
            <w:tc>
              <w:tcPr>
                <w:tcW w:w="1629" w:type="pct"/>
                <w:tcBorders>
                  <w:top w:val="outset" w:sz="6" w:space="0" w:color="auto"/>
                  <w:left w:val="outset" w:sz="6" w:space="0" w:color="auto"/>
                  <w:bottom w:val="outset" w:sz="6" w:space="0" w:color="auto"/>
                  <w:right w:val="outset" w:sz="6" w:space="0" w:color="auto"/>
                </w:tcBorders>
                <w:vAlign w:val="center"/>
              </w:tcPr>
              <w:p w14:paraId="43A80DB1" w14:textId="77777777" w:rsidR="00E57DAA" w:rsidRDefault="00AC4185">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2122235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B23A2A"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16E1F46" w14:textId="77777777" w:rsidR="00E57DAA" w:rsidRDefault="00E57DAA">
                <w:pPr>
                  <w:jc w:val="right"/>
                  <w:rPr>
                    <w:szCs w:val="21"/>
                  </w:rPr>
                </w:pPr>
              </w:p>
            </w:tc>
          </w:tr>
          <w:tr w:rsidR="00E57DAA" w14:paraId="1648D4C9" w14:textId="77777777">
            <w:tc>
              <w:tcPr>
                <w:tcW w:w="1629" w:type="pct"/>
                <w:tcBorders>
                  <w:top w:val="outset" w:sz="6" w:space="0" w:color="auto"/>
                  <w:left w:val="outset" w:sz="6" w:space="0" w:color="auto"/>
                  <w:bottom w:val="outset" w:sz="6" w:space="0" w:color="auto"/>
                  <w:right w:val="outset" w:sz="6" w:space="0" w:color="auto"/>
                </w:tcBorders>
                <w:vAlign w:val="center"/>
              </w:tcPr>
              <w:p w14:paraId="013ABB47" w14:textId="77777777" w:rsidR="00E57DAA" w:rsidRDefault="00AC4185">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452F369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4ED1C5"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DD2425D" w14:textId="77777777" w:rsidR="00E57DAA" w:rsidRDefault="00E57DAA">
                <w:pPr>
                  <w:jc w:val="right"/>
                  <w:rPr>
                    <w:szCs w:val="21"/>
                  </w:rPr>
                </w:pPr>
              </w:p>
            </w:tc>
          </w:tr>
          <w:tr w:rsidR="00E57DAA" w14:paraId="4C0EE200" w14:textId="77777777">
            <w:tc>
              <w:tcPr>
                <w:tcW w:w="1629" w:type="pct"/>
                <w:tcBorders>
                  <w:top w:val="outset" w:sz="6" w:space="0" w:color="auto"/>
                  <w:left w:val="outset" w:sz="6" w:space="0" w:color="auto"/>
                  <w:bottom w:val="outset" w:sz="6" w:space="0" w:color="auto"/>
                  <w:right w:val="outset" w:sz="6" w:space="0" w:color="auto"/>
                </w:tcBorders>
                <w:vAlign w:val="center"/>
              </w:tcPr>
              <w:p w14:paraId="0317E52F" w14:textId="77777777" w:rsidR="00E57DAA" w:rsidRDefault="00AC4185">
                <w:pPr>
                  <w:ind w:firstLineChars="100" w:firstLine="210"/>
                </w:pPr>
                <w:r>
                  <w:rPr>
                    <w:rFonts w:hint="eastAsia"/>
                  </w:rPr>
                  <w:t>租赁负债</w:t>
                </w:r>
              </w:p>
            </w:tc>
            <w:tc>
              <w:tcPr>
                <w:tcW w:w="627" w:type="pct"/>
                <w:tcBorders>
                  <w:top w:val="outset" w:sz="6" w:space="0" w:color="auto"/>
                  <w:left w:val="outset" w:sz="6" w:space="0" w:color="auto"/>
                  <w:bottom w:val="outset" w:sz="6" w:space="0" w:color="auto"/>
                  <w:right w:val="outset" w:sz="6" w:space="0" w:color="auto"/>
                </w:tcBorders>
                <w:vAlign w:val="center"/>
              </w:tcPr>
              <w:p w14:paraId="46BFFE76" w14:textId="77777777" w:rsidR="00E57DAA" w:rsidRDefault="00AC4185">
                <w:pPr>
                  <w:rPr>
                    <w:szCs w:val="21"/>
                  </w:rPr>
                </w:pPr>
                <w:r>
                  <w:t>七、47</w:t>
                </w:r>
              </w:p>
            </w:tc>
            <w:tc>
              <w:tcPr>
                <w:tcW w:w="1411" w:type="pct"/>
                <w:tcBorders>
                  <w:top w:val="outset" w:sz="6" w:space="0" w:color="auto"/>
                  <w:left w:val="outset" w:sz="6" w:space="0" w:color="auto"/>
                  <w:bottom w:val="outset" w:sz="6" w:space="0" w:color="auto"/>
                  <w:right w:val="outset" w:sz="6" w:space="0" w:color="auto"/>
                </w:tcBorders>
                <w:vAlign w:val="center"/>
              </w:tcPr>
              <w:p w14:paraId="4E91CC29" w14:textId="77777777" w:rsidR="00E57DAA" w:rsidRDefault="00AC4185">
                <w:pPr>
                  <w:jc w:val="right"/>
                  <w:rPr>
                    <w:szCs w:val="21"/>
                  </w:rPr>
                </w:pPr>
                <w:r>
                  <w:t>55,419,759.49</w:t>
                </w:r>
              </w:p>
            </w:tc>
            <w:tc>
              <w:tcPr>
                <w:tcW w:w="1333" w:type="pct"/>
                <w:tcBorders>
                  <w:top w:val="outset" w:sz="6" w:space="0" w:color="auto"/>
                  <w:left w:val="outset" w:sz="6" w:space="0" w:color="auto"/>
                  <w:bottom w:val="outset" w:sz="6" w:space="0" w:color="auto"/>
                  <w:right w:val="outset" w:sz="6" w:space="0" w:color="auto"/>
                </w:tcBorders>
                <w:vAlign w:val="center"/>
              </w:tcPr>
              <w:p w14:paraId="4A5222D3" w14:textId="77777777" w:rsidR="00E57DAA" w:rsidRDefault="00AC4185">
                <w:pPr>
                  <w:jc w:val="right"/>
                  <w:rPr>
                    <w:szCs w:val="21"/>
                  </w:rPr>
                </w:pPr>
                <w:r>
                  <w:t>21,836,520.44</w:t>
                </w:r>
              </w:p>
            </w:tc>
          </w:tr>
          <w:tr w:rsidR="00E57DAA" w14:paraId="43FD7570" w14:textId="77777777">
            <w:tc>
              <w:tcPr>
                <w:tcW w:w="1629" w:type="pct"/>
                <w:tcBorders>
                  <w:top w:val="outset" w:sz="6" w:space="0" w:color="auto"/>
                  <w:left w:val="outset" w:sz="6" w:space="0" w:color="auto"/>
                  <w:bottom w:val="outset" w:sz="6" w:space="0" w:color="auto"/>
                  <w:right w:val="outset" w:sz="6" w:space="0" w:color="auto"/>
                </w:tcBorders>
                <w:vAlign w:val="center"/>
              </w:tcPr>
              <w:p w14:paraId="720102AC" w14:textId="77777777" w:rsidR="00E57DAA" w:rsidRDefault="00AC4185">
                <w:pPr>
                  <w:ind w:firstLineChars="100" w:firstLine="210"/>
                  <w:rPr>
                    <w:szCs w:val="21"/>
                  </w:rPr>
                </w:pPr>
                <w:r>
                  <w:rPr>
                    <w:rFonts w:hint="eastAsia"/>
                    <w:szCs w:val="21"/>
                  </w:rPr>
                  <w:t>长期应付款</w:t>
                </w:r>
              </w:p>
            </w:tc>
            <w:tc>
              <w:tcPr>
                <w:tcW w:w="627" w:type="pct"/>
                <w:tcBorders>
                  <w:top w:val="outset" w:sz="6" w:space="0" w:color="auto"/>
                  <w:left w:val="outset" w:sz="6" w:space="0" w:color="auto"/>
                  <w:bottom w:val="outset" w:sz="6" w:space="0" w:color="auto"/>
                  <w:right w:val="outset" w:sz="6" w:space="0" w:color="auto"/>
                </w:tcBorders>
                <w:vAlign w:val="center"/>
              </w:tcPr>
              <w:p w14:paraId="2BD0772C" w14:textId="77777777" w:rsidR="00E57DAA" w:rsidRDefault="00AC4185">
                <w:pPr>
                  <w:rPr>
                    <w:szCs w:val="21"/>
                  </w:rPr>
                </w:pPr>
                <w:r>
                  <w:t>七、48</w:t>
                </w:r>
              </w:p>
            </w:tc>
            <w:tc>
              <w:tcPr>
                <w:tcW w:w="1411" w:type="pct"/>
                <w:tcBorders>
                  <w:top w:val="outset" w:sz="6" w:space="0" w:color="auto"/>
                  <w:left w:val="outset" w:sz="6" w:space="0" w:color="auto"/>
                  <w:bottom w:val="outset" w:sz="6" w:space="0" w:color="auto"/>
                  <w:right w:val="outset" w:sz="6" w:space="0" w:color="auto"/>
                </w:tcBorders>
                <w:vAlign w:val="center"/>
              </w:tcPr>
              <w:p w14:paraId="7778A208" w14:textId="77777777" w:rsidR="00E57DAA" w:rsidRDefault="00AC4185">
                <w:pPr>
                  <w:jc w:val="right"/>
                  <w:rPr>
                    <w:szCs w:val="21"/>
                  </w:rPr>
                </w:pPr>
                <w:r>
                  <w:t>49,895,510.11</w:t>
                </w:r>
              </w:p>
            </w:tc>
            <w:tc>
              <w:tcPr>
                <w:tcW w:w="1333" w:type="pct"/>
                <w:tcBorders>
                  <w:top w:val="outset" w:sz="6" w:space="0" w:color="auto"/>
                  <w:left w:val="outset" w:sz="6" w:space="0" w:color="auto"/>
                  <w:bottom w:val="outset" w:sz="6" w:space="0" w:color="auto"/>
                  <w:right w:val="outset" w:sz="6" w:space="0" w:color="auto"/>
                </w:tcBorders>
                <w:vAlign w:val="center"/>
              </w:tcPr>
              <w:p w14:paraId="69ECFEF2" w14:textId="77777777" w:rsidR="00E57DAA" w:rsidRDefault="00AC4185">
                <w:pPr>
                  <w:jc w:val="right"/>
                  <w:rPr>
                    <w:szCs w:val="21"/>
                  </w:rPr>
                </w:pPr>
                <w:r>
                  <w:t>70,927,636.51</w:t>
                </w:r>
              </w:p>
            </w:tc>
          </w:tr>
          <w:tr w:rsidR="00E57DAA" w14:paraId="5EED227D" w14:textId="77777777">
            <w:tc>
              <w:tcPr>
                <w:tcW w:w="1629" w:type="pct"/>
                <w:tcBorders>
                  <w:top w:val="outset" w:sz="6" w:space="0" w:color="auto"/>
                  <w:left w:val="outset" w:sz="6" w:space="0" w:color="auto"/>
                  <w:bottom w:val="outset" w:sz="6" w:space="0" w:color="auto"/>
                  <w:right w:val="outset" w:sz="6" w:space="0" w:color="auto"/>
                </w:tcBorders>
                <w:vAlign w:val="center"/>
              </w:tcPr>
              <w:p w14:paraId="6D8F1643" w14:textId="77777777" w:rsidR="00E57DAA" w:rsidRDefault="00AC4185">
                <w:pPr>
                  <w:ind w:firstLineChars="100" w:firstLine="210"/>
                  <w:rPr>
                    <w:szCs w:val="21"/>
                  </w:rPr>
                </w:pPr>
                <w:r>
                  <w:rPr>
                    <w:rFonts w:hint="eastAsia"/>
                    <w:szCs w:val="21"/>
                  </w:rPr>
                  <w:t>长期应付职工薪酬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2555FA9C" w14:textId="77777777" w:rsidR="00E57DAA" w:rsidRDefault="00AC4185">
                <w:pPr>
                  <w:rPr>
                    <w:szCs w:val="21"/>
                  </w:rPr>
                </w:pPr>
                <w:r>
                  <w:t>七、49</w:t>
                </w:r>
              </w:p>
            </w:tc>
            <w:tc>
              <w:tcPr>
                <w:tcW w:w="1411" w:type="pct"/>
                <w:tcBorders>
                  <w:top w:val="outset" w:sz="6" w:space="0" w:color="auto"/>
                  <w:left w:val="outset" w:sz="6" w:space="0" w:color="auto"/>
                  <w:bottom w:val="outset" w:sz="6" w:space="0" w:color="auto"/>
                  <w:right w:val="outset" w:sz="6" w:space="0" w:color="auto"/>
                </w:tcBorders>
                <w:vAlign w:val="center"/>
              </w:tcPr>
              <w:p w14:paraId="6E7BE64C" w14:textId="77777777" w:rsidR="00E57DAA" w:rsidRDefault="00AC4185">
                <w:pPr>
                  <w:jc w:val="right"/>
                  <w:rPr>
                    <w:szCs w:val="21"/>
                  </w:rPr>
                </w:pPr>
                <w:r>
                  <w:t>246,765,206.65</w:t>
                </w:r>
              </w:p>
            </w:tc>
            <w:tc>
              <w:tcPr>
                <w:tcW w:w="1333" w:type="pct"/>
                <w:tcBorders>
                  <w:top w:val="outset" w:sz="6" w:space="0" w:color="auto"/>
                  <w:left w:val="outset" w:sz="6" w:space="0" w:color="auto"/>
                  <w:bottom w:val="outset" w:sz="6" w:space="0" w:color="auto"/>
                  <w:right w:val="outset" w:sz="6" w:space="0" w:color="auto"/>
                </w:tcBorders>
                <w:vAlign w:val="center"/>
              </w:tcPr>
              <w:p w14:paraId="223ED138" w14:textId="77777777" w:rsidR="00E57DAA" w:rsidRDefault="00AC4185">
                <w:pPr>
                  <w:jc w:val="right"/>
                  <w:rPr>
                    <w:szCs w:val="21"/>
                  </w:rPr>
                </w:pPr>
                <w:r>
                  <w:t>249,169,209.50</w:t>
                </w:r>
              </w:p>
            </w:tc>
          </w:tr>
          <w:tr w:rsidR="00E57DAA" w14:paraId="653F225E" w14:textId="77777777">
            <w:tc>
              <w:tcPr>
                <w:tcW w:w="1629" w:type="pct"/>
                <w:tcBorders>
                  <w:top w:val="outset" w:sz="6" w:space="0" w:color="auto"/>
                  <w:left w:val="outset" w:sz="6" w:space="0" w:color="auto"/>
                  <w:bottom w:val="outset" w:sz="6" w:space="0" w:color="auto"/>
                  <w:right w:val="outset" w:sz="6" w:space="0" w:color="auto"/>
                </w:tcBorders>
                <w:vAlign w:val="center"/>
              </w:tcPr>
              <w:p w14:paraId="4A510ABF" w14:textId="77777777" w:rsidR="00E57DAA" w:rsidRDefault="00AC4185">
                <w:pPr>
                  <w:ind w:firstLineChars="100" w:firstLine="210"/>
                  <w:rPr>
                    <w:szCs w:val="21"/>
                  </w:rPr>
                </w:pPr>
                <w:r>
                  <w:rPr>
                    <w:rFonts w:hint="eastAsia"/>
                    <w:szCs w:val="21"/>
                  </w:rPr>
                  <w:t>预计负债</w:t>
                </w:r>
              </w:p>
            </w:tc>
            <w:tc>
              <w:tcPr>
                <w:tcW w:w="627" w:type="pct"/>
                <w:tcBorders>
                  <w:top w:val="outset" w:sz="6" w:space="0" w:color="auto"/>
                  <w:left w:val="outset" w:sz="6" w:space="0" w:color="auto"/>
                  <w:bottom w:val="outset" w:sz="6" w:space="0" w:color="auto"/>
                  <w:right w:val="outset" w:sz="6" w:space="0" w:color="auto"/>
                </w:tcBorders>
                <w:vAlign w:val="center"/>
              </w:tcPr>
              <w:p w14:paraId="22162C76" w14:textId="77777777" w:rsidR="00E57DAA" w:rsidRDefault="00AC4185">
                <w:pPr>
                  <w:rPr>
                    <w:szCs w:val="21"/>
                  </w:rPr>
                </w:pPr>
                <w:r>
                  <w:t>七、50</w:t>
                </w:r>
              </w:p>
            </w:tc>
            <w:tc>
              <w:tcPr>
                <w:tcW w:w="1411" w:type="pct"/>
                <w:tcBorders>
                  <w:top w:val="outset" w:sz="6" w:space="0" w:color="auto"/>
                  <w:left w:val="outset" w:sz="6" w:space="0" w:color="auto"/>
                  <w:bottom w:val="outset" w:sz="6" w:space="0" w:color="auto"/>
                  <w:right w:val="outset" w:sz="6" w:space="0" w:color="auto"/>
                </w:tcBorders>
                <w:vAlign w:val="center"/>
              </w:tcPr>
              <w:p w14:paraId="47B473FF" w14:textId="77777777" w:rsidR="00E57DAA" w:rsidRDefault="00AC4185">
                <w:pPr>
                  <w:jc w:val="right"/>
                  <w:rPr>
                    <w:szCs w:val="21"/>
                  </w:rPr>
                </w:pPr>
                <w:r>
                  <w:t>130,144,517.11</w:t>
                </w:r>
              </w:p>
            </w:tc>
            <w:tc>
              <w:tcPr>
                <w:tcW w:w="1333" w:type="pct"/>
                <w:tcBorders>
                  <w:top w:val="outset" w:sz="6" w:space="0" w:color="auto"/>
                  <w:left w:val="outset" w:sz="6" w:space="0" w:color="auto"/>
                  <w:bottom w:val="outset" w:sz="6" w:space="0" w:color="auto"/>
                  <w:right w:val="outset" w:sz="6" w:space="0" w:color="auto"/>
                </w:tcBorders>
                <w:vAlign w:val="center"/>
              </w:tcPr>
              <w:p w14:paraId="70D2E243" w14:textId="77777777" w:rsidR="00E57DAA" w:rsidRDefault="00AC4185">
                <w:pPr>
                  <w:jc w:val="right"/>
                  <w:rPr>
                    <w:szCs w:val="21"/>
                  </w:rPr>
                </w:pPr>
                <w:r>
                  <w:t>188,966,567.90</w:t>
                </w:r>
              </w:p>
            </w:tc>
          </w:tr>
          <w:tr w:rsidR="00E57DAA" w14:paraId="72CFD802" w14:textId="77777777">
            <w:tc>
              <w:tcPr>
                <w:tcW w:w="1629" w:type="pct"/>
                <w:tcBorders>
                  <w:top w:val="outset" w:sz="6" w:space="0" w:color="auto"/>
                  <w:left w:val="outset" w:sz="6" w:space="0" w:color="auto"/>
                  <w:bottom w:val="outset" w:sz="6" w:space="0" w:color="auto"/>
                  <w:right w:val="outset" w:sz="6" w:space="0" w:color="auto"/>
                </w:tcBorders>
                <w:vAlign w:val="center"/>
              </w:tcPr>
              <w:p w14:paraId="42165E12" w14:textId="77777777" w:rsidR="00E57DAA" w:rsidRDefault="00AC4185">
                <w:pPr>
                  <w:ind w:firstLineChars="100" w:firstLine="210"/>
                  <w:rPr>
                    <w:szCs w:val="21"/>
                  </w:rPr>
                </w:pPr>
                <w:r>
                  <w:rPr>
                    <w:rFonts w:hint="eastAsia"/>
                    <w:szCs w:val="21"/>
                  </w:rPr>
                  <w:t>递延收益</w:t>
                </w:r>
              </w:p>
            </w:tc>
            <w:tc>
              <w:tcPr>
                <w:tcW w:w="627" w:type="pct"/>
                <w:tcBorders>
                  <w:top w:val="outset" w:sz="6" w:space="0" w:color="auto"/>
                  <w:left w:val="outset" w:sz="6" w:space="0" w:color="auto"/>
                  <w:bottom w:val="outset" w:sz="6" w:space="0" w:color="auto"/>
                  <w:right w:val="outset" w:sz="6" w:space="0" w:color="auto"/>
                </w:tcBorders>
                <w:vAlign w:val="center"/>
              </w:tcPr>
              <w:p w14:paraId="6F239DEC" w14:textId="77777777" w:rsidR="00E57DAA" w:rsidRDefault="00AC4185">
                <w:pPr>
                  <w:rPr>
                    <w:szCs w:val="21"/>
                  </w:rPr>
                </w:pPr>
                <w:r>
                  <w:t>七、51</w:t>
                </w:r>
              </w:p>
            </w:tc>
            <w:tc>
              <w:tcPr>
                <w:tcW w:w="1411" w:type="pct"/>
                <w:tcBorders>
                  <w:top w:val="outset" w:sz="6" w:space="0" w:color="auto"/>
                  <w:left w:val="outset" w:sz="6" w:space="0" w:color="auto"/>
                  <w:bottom w:val="outset" w:sz="6" w:space="0" w:color="auto"/>
                  <w:right w:val="outset" w:sz="6" w:space="0" w:color="auto"/>
                </w:tcBorders>
                <w:vAlign w:val="center"/>
              </w:tcPr>
              <w:p w14:paraId="446E4837" w14:textId="77777777" w:rsidR="00E57DAA" w:rsidRDefault="00AC4185">
                <w:pPr>
                  <w:jc w:val="right"/>
                  <w:rPr>
                    <w:szCs w:val="21"/>
                  </w:rPr>
                </w:pPr>
                <w:r>
                  <w:t>301,665,663.17</w:t>
                </w:r>
              </w:p>
            </w:tc>
            <w:tc>
              <w:tcPr>
                <w:tcW w:w="1333" w:type="pct"/>
                <w:tcBorders>
                  <w:top w:val="outset" w:sz="6" w:space="0" w:color="auto"/>
                  <w:left w:val="outset" w:sz="6" w:space="0" w:color="auto"/>
                  <w:bottom w:val="outset" w:sz="6" w:space="0" w:color="auto"/>
                  <w:right w:val="outset" w:sz="6" w:space="0" w:color="auto"/>
                </w:tcBorders>
                <w:vAlign w:val="center"/>
              </w:tcPr>
              <w:p w14:paraId="55D54BF5" w14:textId="77777777" w:rsidR="00E57DAA" w:rsidRDefault="00AC4185">
                <w:pPr>
                  <w:jc w:val="right"/>
                  <w:rPr>
                    <w:szCs w:val="21"/>
                  </w:rPr>
                </w:pPr>
                <w:r>
                  <w:t>337,760,504.33</w:t>
                </w:r>
              </w:p>
            </w:tc>
          </w:tr>
          <w:tr w:rsidR="00E57DAA" w14:paraId="3808CCFB" w14:textId="77777777">
            <w:tc>
              <w:tcPr>
                <w:tcW w:w="1629" w:type="pct"/>
                <w:tcBorders>
                  <w:top w:val="outset" w:sz="6" w:space="0" w:color="auto"/>
                  <w:left w:val="outset" w:sz="6" w:space="0" w:color="auto"/>
                  <w:bottom w:val="outset" w:sz="6" w:space="0" w:color="auto"/>
                  <w:right w:val="outset" w:sz="6" w:space="0" w:color="auto"/>
                </w:tcBorders>
                <w:vAlign w:val="center"/>
              </w:tcPr>
              <w:p w14:paraId="2A9EB50C" w14:textId="77777777" w:rsidR="00E57DAA" w:rsidRDefault="00AC4185">
                <w:pPr>
                  <w:ind w:firstLineChars="100" w:firstLine="210"/>
                  <w:rPr>
                    <w:szCs w:val="21"/>
                  </w:rPr>
                </w:pPr>
                <w:r>
                  <w:rPr>
                    <w:rFonts w:hint="eastAsia"/>
                    <w:szCs w:val="21"/>
                  </w:rPr>
                  <w:t>递延所得税负债</w:t>
                </w:r>
              </w:p>
            </w:tc>
            <w:tc>
              <w:tcPr>
                <w:tcW w:w="627" w:type="pct"/>
                <w:tcBorders>
                  <w:top w:val="outset" w:sz="6" w:space="0" w:color="auto"/>
                  <w:left w:val="outset" w:sz="6" w:space="0" w:color="auto"/>
                  <w:bottom w:val="outset" w:sz="6" w:space="0" w:color="auto"/>
                  <w:right w:val="outset" w:sz="6" w:space="0" w:color="auto"/>
                </w:tcBorders>
                <w:vAlign w:val="center"/>
              </w:tcPr>
              <w:p w14:paraId="25944BA0" w14:textId="77777777" w:rsidR="00E57DAA" w:rsidRDefault="00AC4185">
                <w:pPr>
                  <w:rPr>
                    <w:szCs w:val="21"/>
                  </w:rPr>
                </w:pPr>
                <w:r>
                  <w:t>七、</w:t>
                </w:r>
                <w:r>
                  <w:rPr>
                    <w:rFonts w:hint="eastAsia"/>
                  </w:rPr>
                  <w:t>29</w:t>
                </w:r>
              </w:p>
            </w:tc>
            <w:tc>
              <w:tcPr>
                <w:tcW w:w="1411" w:type="pct"/>
                <w:tcBorders>
                  <w:top w:val="outset" w:sz="6" w:space="0" w:color="auto"/>
                  <w:left w:val="outset" w:sz="6" w:space="0" w:color="auto"/>
                  <w:bottom w:val="outset" w:sz="6" w:space="0" w:color="auto"/>
                  <w:right w:val="outset" w:sz="6" w:space="0" w:color="auto"/>
                </w:tcBorders>
                <w:vAlign w:val="center"/>
              </w:tcPr>
              <w:p w14:paraId="452610CB" w14:textId="77777777" w:rsidR="00E57DAA" w:rsidRDefault="00AC4185">
                <w:pPr>
                  <w:jc w:val="right"/>
                  <w:rPr>
                    <w:szCs w:val="21"/>
                  </w:rPr>
                </w:pPr>
                <w:r>
                  <w:t>80,461,312.26</w:t>
                </w:r>
              </w:p>
            </w:tc>
            <w:tc>
              <w:tcPr>
                <w:tcW w:w="1333" w:type="pct"/>
                <w:tcBorders>
                  <w:top w:val="outset" w:sz="6" w:space="0" w:color="auto"/>
                  <w:left w:val="outset" w:sz="6" w:space="0" w:color="auto"/>
                  <w:bottom w:val="outset" w:sz="6" w:space="0" w:color="auto"/>
                  <w:right w:val="outset" w:sz="6" w:space="0" w:color="auto"/>
                </w:tcBorders>
                <w:vAlign w:val="center"/>
              </w:tcPr>
              <w:p w14:paraId="605F0327" w14:textId="77777777" w:rsidR="00E57DAA" w:rsidRDefault="00AC4185">
                <w:pPr>
                  <w:jc w:val="right"/>
                  <w:rPr>
                    <w:szCs w:val="21"/>
                  </w:rPr>
                </w:pPr>
                <w:r>
                  <w:t>99,256,191.55</w:t>
                </w:r>
              </w:p>
            </w:tc>
          </w:tr>
          <w:tr w:rsidR="00E57DAA" w14:paraId="4FA35DE6" w14:textId="77777777">
            <w:tc>
              <w:tcPr>
                <w:tcW w:w="1629" w:type="pct"/>
                <w:tcBorders>
                  <w:top w:val="outset" w:sz="6" w:space="0" w:color="auto"/>
                  <w:left w:val="outset" w:sz="6" w:space="0" w:color="auto"/>
                  <w:bottom w:val="outset" w:sz="6" w:space="0" w:color="auto"/>
                  <w:right w:val="outset" w:sz="6" w:space="0" w:color="auto"/>
                </w:tcBorders>
                <w:vAlign w:val="center"/>
              </w:tcPr>
              <w:p w14:paraId="44AC7C8B" w14:textId="77777777" w:rsidR="00E57DAA" w:rsidRDefault="00AC4185">
                <w:pPr>
                  <w:ind w:firstLineChars="100" w:firstLine="210"/>
                  <w:rPr>
                    <w:szCs w:val="21"/>
                  </w:rPr>
                </w:pPr>
                <w:r>
                  <w:rPr>
                    <w:rFonts w:hint="eastAsia"/>
                    <w:szCs w:val="21"/>
                  </w:rPr>
                  <w:t>其他非流动负债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2832C5A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ED5536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8ECCDE4" w14:textId="77777777" w:rsidR="00E57DAA" w:rsidRDefault="00E57DAA">
                <w:pPr>
                  <w:jc w:val="right"/>
                  <w:rPr>
                    <w:szCs w:val="21"/>
                  </w:rPr>
                </w:pPr>
              </w:p>
            </w:tc>
          </w:tr>
          <w:tr w:rsidR="00E57DAA" w14:paraId="13DC0FFC" w14:textId="77777777">
            <w:tc>
              <w:tcPr>
                <w:tcW w:w="1629" w:type="pct"/>
                <w:tcBorders>
                  <w:top w:val="outset" w:sz="6" w:space="0" w:color="auto"/>
                  <w:left w:val="outset" w:sz="6" w:space="0" w:color="auto"/>
                  <w:bottom w:val="outset" w:sz="6" w:space="0" w:color="auto"/>
                  <w:right w:val="outset" w:sz="6" w:space="0" w:color="auto"/>
                </w:tcBorders>
                <w:vAlign w:val="center"/>
              </w:tcPr>
              <w:p w14:paraId="495611A0" w14:textId="77777777" w:rsidR="00E57DAA" w:rsidRDefault="00AC4185">
                <w:pPr>
                  <w:ind w:firstLineChars="200" w:firstLine="420"/>
                  <w:rPr>
                    <w:szCs w:val="21"/>
                  </w:rPr>
                </w:pPr>
                <w:r>
                  <w:rPr>
                    <w:rFonts w:hint="eastAsia"/>
                    <w:szCs w:val="21"/>
                  </w:rPr>
                  <w:t>非流动负债合计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05EF158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01871F8" w14:textId="77777777" w:rsidR="00E57DAA" w:rsidRDefault="00AC4185">
                <w:pPr>
                  <w:jc w:val="right"/>
                  <w:rPr>
                    <w:szCs w:val="21"/>
                  </w:rPr>
                </w:pPr>
                <w:r>
                  <w:t>3,908,059,860.40</w:t>
                </w:r>
              </w:p>
            </w:tc>
            <w:tc>
              <w:tcPr>
                <w:tcW w:w="1333" w:type="pct"/>
                <w:tcBorders>
                  <w:top w:val="outset" w:sz="6" w:space="0" w:color="auto"/>
                  <w:left w:val="outset" w:sz="6" w:space="0" w:color="auto"/>
                  <w:bottom w:val="outset" w:sz="6" w:space="0" w:color="auto"/>
                  <w:right w:val="outset" w:sz="6" w:space="0" w:color="auto"/>
                </w:tcBorders>
                <w:vAlign w:val="center"/>
              </w:tcPr>
              <w:p w14:paraId="04D8FFDA" w14:textId="77777777" w:rsidR="00E57DAA" w:rsidRDefault="00AC4185">
                <w:pPr>
                  <w:jc w:val="right"/>
                  <w:rPr>
                    <w:szCs w:val="21"/>
                  </w:rPr>
                </w:pPr>
                <w:r>
                  <w:t>4,278,646,820.55</w:t>
                </w:r>
              </w:p>
            </w:tc>
          </w:tr>
          <w:tr w:rsidR="00E57DAA" w14:paraId="2477BC5F" w14:textId="77777777">
            <w:tc>
              <w:tcPr>
                <w:tcW w:w="1629" w:type="pct"/>
                <w:tcBorders>
                  <w:top w:val="outset" w:sz="6" w:space="0" w:color="auto"/>
                  <w:left w:val="outset" w:sz="6" w:space="0" w:color="auto"/>
                  <w:bottom w:val="outset" w:sz="6" w:space="0" w:color="auto"/>
                  <w:right w:val="outset" w:sz="6" w:space="0" w:color="auto"/>
                </w:tcBorders>
                <w:vAlign w:val="center"/>
              </w:tcPr>
              <w:p w14:paraId="7C5DFC74" w14:textId="77777777" w:rsidR="00E57DAA" w:rsidRDefault="00AC4185">
                <w:pPr>
                  <w:ind w:firstLineChars="300" w:firstLine="630"/>
                  <w:rPr>
                    <w:szCs w:val="21"/>
                  </w:rPr>
                </w:pPr>
                <w:r>
                  <w:rPr>
                    <w:rFonts w:hint="eastAsia"/>
                    <w:szCs w:val="21"/>
                  </w:rPr>
                  <w:t>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3CAADA0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7B7AB1" w14:textId="77777777" w:rsidR="00E57DAA" w:rsidRDefault="00AC4185">
                <w:pPr>
                  <w:jc w:val="right"/>
                  <w:rPr>
                    <w:szCs w:val="21"/>
                  </w:rPr>
                </w:pPr>
                <w:r>
                  <w:t>33,808,421,045.09</w:t>
                </w:r>
              </w:p>
            </w:tc>
            <w:tc>
              <w:tcPr>
                <w:tcW w:w="1333" w:type="pct"/>
                <w:tcBorders>
                  <w:top w:val="outset" w:sz="6" w:space="0" w:color="auto"/>
                  <w:left w:val="outset" w:sz="6" w:space="0" w:color="auto"/>
                  <w:bottom w:val="outset" w:sz="6" w:space="0" w:color="auto"/>
                  <w:right w:val="outset" w:sz="6" w:space="0" w:color="auto"/>
                </w:tcBorders>
                <w:vAlign w:val="center"/>
              </w:tcPr>
              <w:p w14:paraId="791E8F98" w14:textId="77777777" w:rsidR="00E57DAA" w:rsidRDefault="00AC4185">
                <w:pPr>
                  <w:jc w:val="right"/>
                  <w:rPr>
                    <w:szCs w:val="21"/>
                  </w:rPr>
                </w:pPr>
                <w:r>
                  <w:t>31,209,549,184.53</w:t>
                </w:r>
              </w:p>
            </w:tc>
          </w:tr>
          <w:tr w:rsidR="00E57DAA" w14:paraId="43EFF4C8" w14:textId="77777777">
            <w:sdt>
              <w:sdtPr>
                <w:tag w:val="_PLD_c6760bbd367544f58c1b02c0378c7818"/>
                <w:id w:val="950588562"/>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0825B29" w14:textId="77777777" w:rsidR="00E57DAA" w:rsidRDefault="00AC4185">
                    <w:pPr>
                      <w:rPr>
                        <w:color w:val="008000"/>
                        <w:szCs w:val="21"/>
                      </w:rPr>
                    </w:pPr>
                    <w:r>
                      <w:rPr>
                        <w:rFonts w:hint="eastAsia"/>
                        <w:b/>
                        <w:bCs/>
                        <w:szCs w:val="21"/>
                      </w:rPr>
                      <w:t>所有者权益（或股东权益）：</w:t>
                    </w:r>
                  </w:p>
                </w:tc>
              </w:sdtContent>
            </w:sdt>
          </w:tr>
          <w:tr w:rsidR="00E57DAA" w14:paraId="7171B434" w14:textId="77777777">
            <w:tc>
              <w:tcPr>
                <w:tcW w:w="1629" w:type="pct"/>
                <w:tcBorders>
                  <w:top w:val="outset" w:sz="6" w:space="0" w:color="auto"/>
                  <w:left w:val="outset" w:sz="6" w:space="0" w:color="auto"/>
                  <w:bottom w:val="outset" w:sz="6" w:space="0" w:color="auto"/>
                  <w:right w:val="outset" w:sz="6" w:space="0" w:color="auto"/>
                </w:tcBorders>
                <w:vAlign w:val="center"/>
              </w:tcPr>
              <w:p w14:paraId="678E8208" w14:textId="77777777" w:rsidR="00E57DAA" w:rsidRDefault="00AC4185">
                <w:pPr>
                  <w:ind w:firstLineChars="100" w:firstLine="210"/>
                  <w:rPr>
                    <w:szCs w:val="21"/>
                  </w:rPr>
                </w:pPr>
                <w:r>
                  <w:rPr>
                    <w:rFonts w:hint="eastAsia"/>
                    <w:szCs w:val="21"/>
                  </w:rPr>
                  <w:t>实收资本（或股本）</w:t>
                </w:r>
              </w:p>
            </w:tc>
            <w:tc>
              <w:tcPr>
                <w:tcW w:w="627" w:type="pct"/>
                <w:tcBorders>
                  <w:top w:val="outset" w:sz="6" w:space="0" w:color="auto"/>
                  <w:left w:val="outset" w:sz="6" w:space="0" w:color="auto"/>
                  <w:bottom w:val="outset" w:sz="6" w:space="0" w:color="auto"/>
                  <w:right w:val="outset" w:sz="6" w:space="0" w:color="auto"/>
                </w:tcBorders>
                <w:vAlign w:val="center"/>
              </w:tcPr>
              <w:p w14:paraId="611F63E4" w14:textId="77777777" w:rsidR="00E57DAA" w:rsidRDefault="00AC4185">
                <w:pPr>
                  <w:rPr>
                    <w:szCs w:val="21"/>
                  </w:rPr>
                </w:pPr>
                <w:r>
                  <w:t>七、53</w:t>
                </w:r>
              </w:p>
            </w:tc>
            <w:tc>
              <w:tcPr>
                <w:tcW w:w="1411" w:type="pct"/>
                <w:tcBorders>
                  <w:top w:val="outset" w:sz="6" w:space="0" w:color="auto"/>
                  <w:left w:val="outset" w:sz="6" w:space="0" w:color="auto"/>
                  <w:bottom w:val="outset" w:sz="6" w:space="0" w:color="auto"/>
                  <w:right w:val="outset" w:sz="6" w:space="0" w:color="auto"/>
                </w:tcBorders>
                <w:vAlign w:val="center"/>
              </w:tcPr>
              <w:p w14:paraId="0C480CC1" w14:textId="77777777" w:rsidR="00E57DAA" w:rsidRDefault="00AC4185">
                <w:pPr>
                  <w:jc w:val="right"/>
                  <w:rPr>
                    <w:szCs w:val="21"/>
                  </w:rPr>
                </w:pPr>
                <w:r>
                  <w:t>2,642,317,423.00</w:t>
                </w:r>
              </w:p>
            </w:tc>
            <w:tc>
              <w:tcPr>
                <w:tcW w:w="1333" w:type="pct"/>
                <w:tcBorders>
                  <w:top w:val="outset" w:sz="6" w:space="0" w:color="auto"/>
                  <w:left w:val="outset" w:sz="6" w:space="0" w:color="auto"/>
                  <w:bottom w:val="outset" w:sz="6" w:space="0" w:color="auto"/>
                  <w:right w:val="outset" w:sz="6" w:space="0" w:color="auto"/>
                </w:tcBorders>
                <w:vAlign w:val="center"/>
              </w:tcPr>
              <w:p w14:paraId="431E034F" w14:textId="77777777" w:rsidR="00E57DAA" w:rsidRDefault="00AC4185">
                <w:pPr>
                  <w:jc w:val="right"/>
                  <w:rPr>
                    <w:szCs w:val="21"/>
                  </w:rPr>
                </w:pPr>
                <w:r>
                  <w:t>2,265,632,064.00</w:t>
                </w:r>
              </w:p>
            </w:tc>
          </w:tr>
          <w:tr w:rsidR="00E57DAA" w14:paraId="24F799E7" w14:textId="77777777">
            <w:tc>
              <w:tcPr>
                <w:tcW w:w="1629" w:type="pct"/>
                <w:tcBorders>
                  <w:top w:val="outset" w:sz="6" w:space="0" w:color="auto"/>
                  <w:left w:val="outset" w:sz="6" w:space="0" w:color="auto"/>
                  <w:bottom w:val="outset" w:sz="6" w:space="0" w:color="auto"/>
                  <w:right w:val="outset" w:sz="6" w:space="0" w:color="auto"/>
                </w:tcBorders>
                <w:vAlign w:val="center"/>
              </w:tcPr>
              <w:p w14:paraId="321B2C2C" w14:textId="77777777" w:rsidR="00E57DAA" w:rsidRDefault="00AC4185">
                <w:pPr>
                  <w:ind w:firstLineChars="100" w:firstLine="210"/>
                  <w:rPr>
                    <w:szCs w:val="21"/>
                  </w:rPr>
                </w:pPr>
                <w:r>
                  <w:rPr>
                    <w:rFonts w:hint="eastAsia"/>
                    <w:szCs w:val="21"/>
                  </w:rPr>
                  <w:t>其他权益工具</w:t>
                </w:r>
              </w:p>
            </w:tc>
            <w:tc>
              <w:tcPr>
                <w:tcW w:w="627" w:type="pct"/>
                <w:tcBorders>
                  <w:top w:val="outset" w:sz="6" w:space="0" w:color="auto"/>
                  <w:left w:val="outset" w:sz="6" w:space="0" w:color="auto"/>
                  <w:bottom w:val="outset" w:sz="6" w:space="0" w:color="auto"/>
                  <w:right w:val="outset" w:sz="6" w:space="0" w:color="auto"/>
                </w:tcBorders>
                <w:vAlign w:val="center"/>
              </w:tcPr>
              <w:p w14:paraId="577A626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1F1CF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DA7AF28" w14:textId="77777777" w:rsidR="00E57DAA" w:rsidRDefault="00E57DAA">
                <w:pPr>
                  <w:jc w:val="right"/>
                  <w:rPr>
                    <w:szCs w:val="21"/>
                  </w:rPr>
                </w:pPr>
              </w:p>
            </w:tc>
          </w:tr>
          <w:tr w:rsidR="00E57DAA" w14:paraId="02E94CBA" w14:textId="77777777">
            <w:tc>
              <w:tcPr>
                <w:tcW w:w="1629" w:type="pct"/>
                <w:tcBorders>
                  <w:top w:val="outset" w:sz="6" w:space="0" w:color="auto"/>
                  <w:left w:val="outset" w:sz="6" w:space="0" w:color="auto"/>
                  <w:bottom w:val="outset" w:sz="6" w:space="0" w:color="auto"/>
                  <w:right w:val="outset" w:sz="6" w:space="0" w:color="auto"/>
                </w:tcBorders>
                <w:vAlign w:val="center"/>
              </w:tcPr>
              <w:p w14:paraId="49D7FCDF" w14:textId="77777777" w:rsidR="00E57DAA" w:rsidRDefault="00AC4185">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7E0CDB9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501A5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210A07A" w14:textId="77777777" w:rsidR="00E57DAA" w:rsidRDefault="00E57DAA">
                <w:pPr>
                  <w:jc w:val="right"/>
                  <w:rPr>
                    <w:szCs w:val="21"/>
                  </w:rPr>
                </w:pPr>
              </w:p>
            </w:tc>
          </w:tr>
          <w:tr w:rsidR="00E57DAA" w14:paraId="5B862734" w14:textId="77777777">
            <w:tc>
              <w:tcPr>
                <w:tcW w:w="1629" w:type="pct"/>
                <w:tcBorders>
                  <w:top w:val="outset" w:sz="6" w:space="0" w:color="auto"/>
                  <w:left w:val="outset" w:sz="6" w:space="0" w:color="auto"/>
                  <w:bottom w:val="outset" w:sz="6" w:space="0" w:color="auto"/>
                  <w:right w:val="outset" w:sz="6" w:space="0" w:color="auto"/>
                </w:tcBorders>
                <w:vAlign w:val="center"/>
              </w:tcPr>
              <w:p w14:paraId="4B313E55" w14:textId="77777777" w:rsidR="00E57DAA" w:rsidRDefault="00AC4185">
                <w:pPr>
                  <w:ind w:leftChars="300" w:left="630" w:firstLineChars="100" w:firstLine="210"/>
                  <w:rPr>
                    <w:szCs w:val="21"/>
                  </w:rPr>
                </w:pPr>
                <w:r>
                  <w:rPr>
                    <w:rFonts w:hint="eastAsia"/>
                    <w:szCs w:val="21"/>
                  </w:rPr>
                  <w:lastRenderedPageBreak/>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3B3116A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53ED1FE"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60AE87F" w14:textId="77777777" w:rsidR="00E57DAA" w:rsidRDefault="00E57DAA">
                <w:pPr>
                  <w:jc w:val="right"/>
                  <w:rPr>
                    <w:szCs w:val="21"/>
                  </w:rPr>
                </w:pPr>
              </w:p>
            </w:tc>
          </w:tr>
          <w:tr w:rsidR="00E57DAA" w14:paraId="2A88D4EB" w14:textId="77777777">
            <w:tc>
              <w:tcPr>
                <w:tcW w:w="1629" w:type="pct"/>
                <w:tcBorders>
                  <w:top w:val="outset" w:sz="6" w:space="0" w:color="auto"/>
                  <w:left w:val="outset" w:sz="6" w:space="0" w:color="auto"/>
                  <w:bottom w:val="outset" w:sz="6" w:space="0" w:color="auto"/>
                  <w:right w:val="outset" w:sz="6" w:space="0" w:color="auto"/>
                </w:tcBorders>
                <w:vAlign w:val="center"/>
              </w:tcPr>
              <w:p w14:paraId="449AD247" w14:textId="77777777" w:rsidR="00E57DAA" w:rsidRDefault="00AC4185">
                <w:pPr>
                  <w:ind w:firstLineChars="100" w:firstLine="210"/>
                  <w:rPr>
                    <w:szCs w:val="21"/>
                  </w:rPr>
                </w:pPr>
                <w:r>
                  <w:rPr>
                    <w:rFonts w:hint="eastAsia"/>
                    <w:szCs w:val="21"/>
                  </w:rPr>
                  <w:t>资本公积</w:t>
                </w:r>
              </w:p>
            </w:tc>
            <w:tc>
              <w:tcPr>
                <w:tcW w:w="627" w:type="pct"/>
                <w:tcBorders>
                  <w:top w:val="outset" w:sz="6" w:space="0" w:color="auto"/>
                  <w:left w:val="outset" w:sz="6" w:space="0" w:color="auto"/>
                  <w:bottom w:val="outset" w:sz="6" w:space="0" w:color="auto"/>
                  <w:right w:val="outset" w:sz="6" w:space="0" w:color="auto"/>
                </w:tcBorders>
                <w:vAlign w:val="center"/>
              </w:tcPr>
              <w:p w14:paraId="0281C636" w14:textId="77777777" w:rsidR="00E57DAA" w:rsidRDefault="00AC4185">
                <w:pPr>
                  <w:rPr>
                    <w:szCs w:val="21"/>
                  </w:rPr>
                </w:pPr>
                <w:r>
                  <w:t>七、55</w:t>
                </w:r>
              </w:p>
            </w:tc>
            <w:tc>
              <w:tcPr>
                <w:tcW w:w="1411" w:type="pct"/>
                <w:tcBorders>
                  <w:top w:val="outset" w:sz="6" w:space="0" w:color="auto"/>
                  <w:left w:val="outset" w:sz="6" w:space="0" w:color="auto"/>
                  <w:bottom w:val="outset" w:sz="6" w:space="0" w:color="auto"/>
                  <w:right w:val="outset" w:sz="6" w:space="0" w:color="auto"/>
                </w:tcBorders>
                <w:vAlign w:val="center"/>
              </w:tcPr>
              <w:p w14:paraId="479DC5FB" w14:textId="77777777" w:rsidR="00E57DAA" w:rsidRDefault="00AC4185">
                <w:pPr>
                  <w:jc w:val="right"/>
                  <w:rPr>
                    <w:szCs w:val="21"/>
                  </w:rPr>
                </w:pPr>
                <w:r>
                  <w:t>409,922,211.78</w:t>
                </w:r>
              </w:p>
            </w:tc>
            <w:tc>
              <w:tcPr>
                <w:tcW w:w="1333" w:type="pct"/>
                <w:tcBorders>
                  <w:top w:val="outset" w:sz="6" w:space="0" w:color="auto"/>
                  <w:left w:val="outset" w:sz="6" w:space="0" w:color="auto"/>
                  <w:bottom w:val="outset" w:sz="6" w:space="0" w:color="auto"/>
                  <w:right w:val="outset" w:sz="6" w:space="0" w:color="auto"/>
                </w:tcBorders>
                <w:vAlign w:val="center"/>
              </w:tcPr>
              <w:p w14:paraId="0AC10927" w14:textId="77777777" w:rsidR="00E57DAA" w:rsidRDefault="00AC4185">
                <w:pPr>
                  <w:jc w:val="right"/>
                  <w:rPr>
                    <w:szCs w:val="21"/>
                  </w:rPr>
                </w:pPr>
                <w:r>
                  <w:t>1,183,877,316.88</w:t>
                </w:r>
              </w:p>
            </w:tc>
          </w:tr>
          <w:tr w:rsidR="00E57DAA" w14:paraId="0B292F6E" w14:textId="77777777">
            <w:tc>
              <w:tcPr>
                <w:tcW w:w="1629" w:type="pct"/>
                <w:tcBorders>
                  <w:top w:val="outset" w:sz="6" w:space="0" w:color="auto"/>
                  <w:left w:val="outset" w:sz="6" w:space="0" w:color="auto"/>
                  <w:bottom w:val="outset" w:sz="6" w:space="0" w:color="auto"/>
                  <w:right w:val="outset" w:sz="6" w:space="0" w:color="auto"/>
                </w:tcBorders>
                <w:vAlign w:val="center"/>
              </w:tcPr>
              <w:p w14:paraId="5E5CF43D" w14:textId="77777777" w:rsidR="00E57DAA" w:rsidRDefault="00AC4185">
                <w:pPr>
                  <w:ind w:firstLineChars="100" w:firstLine="210"/>
                  <w:rPr>
                    <w:szCs w:val="21"/>
                  </w:rPr>
                </w:pPr>
                <w:r>
                  <w:rPr>
                    <w:rFonts w:hint="eastAsia"/>
                    <w:szCs w:val="21"/>
                  </w:rPr>
                  <w:t>减：库存股</w:t>
                </w:r>
              </w:p>
            </w:tc>
            <w:tc>
              <w:tcPr>
                <w:tcW w:w="627" w:type="pct"/>
                <w:tcBorders>
                  <w:top w:val="outset" w:sz="6" w:space="0" w:color="auto"/>
                  <w:left w:val="outset" w:sz="6" w:space="0" w:color="auto"/>
                  <w:bottom w:val="outset" w:sz="6" w:space="0" w:color="auto"/>
                  <w:right w:val="outset" w:sz="6" w:space="0" w:color="auto"/>
                </w:tcBorders>
                <w:vAlign w:val="center"/>
              </w:tcPr>
              <w:p w14:paraId="2F12C332" w14:textId="77777777" w:rsidR="00E57DAA" w:rsidRDefault="00AC4185">
                <w:pPr>
                  <w:rPr>
                    <w:szCs w:val="21"/>
                  </w:rPr>
                </w:pPr>
                <w:r>
                  <w:rPr>
                    <w:rFonts w:hint="eastAsia"/>
                    <w:szCs w:val="21"/>
                  </w:rPr>
                  <w:t>七、56</w:t>
                </w:r>
              </w:p>
            </w:tc>
            <w:tc>
              <w:tcPr>
                <w:tcW w:w="1411" w:type="pct"/>
                <w:tcBorders>
                  <w:top w:val="outset" w:sz="6" w:space="0" w:color="auto"/>
                  <w:left w:val="outset" w:sz="6" w:space="0" w:color="auto"/>
                  <w:bottom w:val="outset" w:sz="6" w:space="0" w:color="auto"/>
                  <w:right w:val="outset" w:sz="6" w:space="0" w:color="auto"/>
                </w:tcBorders>
                <w:vAlign w:val="center"/>
              </w:tcPr>
              <w:p w14:paraId="7DD71261" w14:textId="77777777" w:rsidR="00E57DAA" w:rsidRDefault="00AC4185">
                <w:pPr>
                  <w:jc w:val="right"/>
                  <w:rPr>
                    <w:szCs w:val="21"/>
                  </w:rPr>
                </w:pPr>
                <w:r>
                  <w:t>306,578,642.37</w:t>
                </w:r>
              </w:p>
            </w:tc>
            <w:tc>
              <w:tcPr>
                <w:tcW w:w="1333" w:type="pct"/>
                <w:tcBorders>
                  <w:top w:val="outset" w:sz="6" w:space="0" w:color="auto"/>
                  <w:left w:val="outset" w:sz="6" w:space="0" w:color="auto"/>
                  <w:bottom w:val="outset" w:sz="6" w:space="0" w:color="auto"/>
                  <w:right w:val="outset" w:sz="6" w:space="0" w:color="auto"/>
                </w:tcBorders>
                <w:vAlign w:val="center"/>
              </w:tcPr>
              <w:p w14:paraId="3EE8FC70" w14:textId="77777777" w:rsidR="00E57DAA" w:rsidRDefault="00AC4185">
                <w:pPr>
                  <w:jc w:val="right"/>
                  <w:rPr>
                    <w:szCs w:val="21"/>
                  </w:rPr>
                </w:pPr>
                <w:r>
                  <w:t>267,191,920.55</w:t>
                </w:r>
              </w:p>
            </w:tc>
          </w:tr>
          <w:tr w:rsidR="00E57DAA" w14:paraId="3C344EDD" w14:textId="77777777">
            <w:tc>
              <w:tcPr>
                <w:tcW w:w="1629" w:type="pct"/>
                <w:tcBorders>
                  <w:top w:val="outset" w:sz="6" w:space="0" w:color="auto"/>
                  <w:left w:val="outset" w:sz="6" w:space="0" w:color="auto"/>
                  <w:bottom w:val="outset" w:sz="6" w:space="0" w:color="auto"/>
                  <w:right w:val="outset" w:sz="6" w:space="0" w:color="auto"/>
                </w:tcBorders>
                <w:vAlign w:val="center"/>
              </w:tcPr>
              <w:p w14:paraId="460D412A" w14:textId="77777777" w:rsidR="00E57DAA" w:rsidRDefault="00AC4185">
                <w:pPr>
                  <w:ind w:firstLineChars="100" w:firstLine="210"/>
                  <w:rPr>
                    <w:szCs w:val="21"/>
                  </w:rPr>
                </w:pPr>
                <w:r>
                  <w:rPr>
                    <w:rFonts w:hint="eastAsia"/>
                    <w:szCs w:val="21"/>
                  </w:rPr>
                  <w:t>其他综合收益</w:t>
                </w:r>
              </w:p>
            </w:tc>
            <w:tc>
              <w:tcPr>
                <w:tcW w:w="627" w:type="pct"/>
                <w:tcBorders>
                  <w:top w:val="outset" w:sz="6" w:space="0" w:color="auto"/>
                  <w:left w:val="outset" w:sz="6" w:space="0" w:color="auto"/>
                  <w:bottom w:val="outset" w:sz="6" w:space="0" w:color="auto"/>
                  <w:right w:val="outset" w:sz="6" w:space="0" w:color="auto"/>
                </w:tcBorders>
                <w:vAlign w:val="center"/>
              </w:tcPr>
              <w:p w14:paraId="0589B690" w14:textId="77777777" w:rsidR="00E57DAA" w:rsidRDefault="00AC4185">
                <w:pPr>
                  <w:rPr>
                    <w:szCs w:val="21"/>
                  </w:rPr>
                </w:pPr>
                <w:r>
                  <w:t>七、57</w:t>
                </w:r>
              </w:p>
            </w:tc>
            <w:tc>
              <w:tcPr>
                <w:tcW w:w="1411" w:type="pct"/>
                <w:tcBorders>
                  <w:top w:val="outset" w:sz="6" w:space="0" w:color="auto"/>
                  <w:left w:val="outset" w:sz="6" w:space="0" w:color="auto"/>
                  <w:bottom w:val="outset" w:sz="6" w:space="0" w:color="auto"/>
                  <w:right w:val="outset" w:sz="6" w:space="0" w:color="auto"/>
                </w:tcBorders>
                <w:vAlign w:val="center"/>
              </w:tcPr>
              <w:p w14:paraId="0F2D5EAC" w14:textId="77777777" w:rsidR="00E57DAA" w:rsidRDefault="00AC4185">
                <w:pPr>
                  <w:jc w:val="right"/>
                  <w:rPr>
                    <w:szCs w:val="21"/>
                  </w:rPr>
                </w:pPr>
                <w:r>
                  <w:t>-116,467,697.31</w:t>
                </w:r>
              </w:p>
            </w:tc>
            <w:tc>
              <w:tcPr>
                <w:tcW w:w="1333" w:type="pct"/>
                <w:tcBorders>
                  <w:top w:val="outset" w:sz="6" w:space="0" w:color="auto"/>
                  <w:left w:val="outset" w:sz="6" w:space="0" w:color="auto"/>
                  <w:bottom w:val="outset" w:sz="6" w:space="0" w:color="auto"/>
                  <w:right w:val="outset" w:sz="6" w:space="0" w:color="auto"/>
                </w:tcBorders>
                <w:vAlign w:val="center"/>
              </w:tcPr>
              <w:p w14:paraId="5A95B457" w14:textId="77777777" w:rsidR="00E57DAA" w:rsidRDefault="00AC4185">
                <w:pPr>
                  <w:jc w:val="right"/>
                  <w:rPr>
                    <w:szCs w:val="21"/>
                  </w:rPr>
                </w:pPr>
                <w:r>
                  <w:t>-99,677,123.23</w:t>
                </w:r>
              </w:p>
            </w:tc>
          </w:tr>
          <w:tr w:rsidR="00E57DAA" w14:paraId="7F41B147" w14:textId="77777777">
            <w:tc>
              <w:tcPr>
                <w:tcW w:w="1629" w:type="pct"/>
                <w:tcBorders>
                  <w:top w:val="outset" w:sz="6" w:space="0" w:color="auto"/>
                  <w:left w:val="outset" w:sz="6" w:space="0" w:color="auto"/>
                  <w:bottom w:val="outset" w:sz="6" w:space="0" w:color="auto"/>
                  <w:right w:val="outset" w:sz="6" w:space="0" w:color="auto"/>
                </w:tcBorders>
                <w:vAlign w:val="center"/>
              </w:tcPr>
              <w:p w14:paraId="3DC24548" w14:textId="77777777" w:rsidR="00E57DAA" w:rsidRDefault="00AC4185">
                <w:pPr>
                  <w:ind w:firstLineChars="100" w:firstLine="210"/>
                  <w:rPr>
                    <w:szCs w:val="21"/>
                  </w:rPr>
                </w:pPr>
                <w:r>
                  <w:rPr>
                    <w:rFonts w:hint="eastAsia"/>
                    <w:szCs w:val="21"/>
                  </w:rPr>
                  <w:t>专项储备</w:t>
                </w:r>
              </w:p>
            </w:tc>
            <w:tc>
              <w:tcPr>
                <w:tcW w:w="627" w:type="pct"/>
                <w:tcBorders>
                  <w:top w:val="outset" w:sz="6" w:space="0" w:color="auto"/>
                  <w:left w:val="outset" w:sz="6" w:space="0" w:color="auto"/>
                  <w:bottom w:val="outset" w:sz="6" w:space="0" w:color="auto"/>
                  <w:right w:val="outset" w:sz="6" w:space="0" w:color="auto"/>
                </w:tcBorders>
                <w:vAlign w:val="center"/>
              </w:tcPr>
              <w:p w14:paraId="60E8C28E" w14:textId="77777777" w:rsidR="00E57DAA" w:rsidRDefault="00AC4185">
                <w:pPr>
                  <w:rPr>
                    <w:szCs w:val="21"/>
                  </w:rPr>
                </w:pPr>
                <w:r>
                  <w:t>七、58</w:t>
                </w:r>
              </w:p>
            </w:tc>
            <w:tc>
              <w:tcPr>
                <w:tcW w:w="1411" w:type="pct"/>
                <w:tcBorders>
                  <w:top w:val="outset" w:sz="6" w:space="0" w:color="auto"/>
                  <w:left w:val="outset" w:sz="6" w:space="0" w:color="auto"/>
                  <w:bottom w:val="outset" w:sz="6" w:space="0" w:color="auto"/>
                  <w:right w:val="outset" w:sz="6" w:space="0" w:color="auto"/>
                </w:tcBorders>
                <w:vAlign w:val="center"/>
              </w:tcPr>
              <w:p w14:paraId="5C7CB4E6" w14:textId="77777777" w:rsidR="00E57DAA" w:rsidRDefault="00AC4185">
                <w:pPr>
                  <w:jc w:val="right"/>
                  <w:rPr>
                    <w:szCs w:val="21"/>
                  </w:rPr>
                </w:pPr>
                <w:r>
                  <w:t>291,002,743.43</w:t>
                </w:r>
              </w:p>
            </w:tc>
            <w:tc>
              <w:tcPr>
                <w:tcW w:w="1333" w:type="pct"/>
                <w:tcBorders>
                  <w:top w:val="outset" w:sz="6" w:space="0" w:color="auto"/>
                  <w:left w:val="outset" w:sz="6" w:space="0" w:color="auto"/>
                  <w:bottom w:val="outset" w:sz="6" w:space="0" w:color="auto"/>
                  <w:right w:val="outset" w:sz="6" w:space="0" w:color="auto"/>
                </w:tcBorders>
                <w:vAlign w:val="center"/>
              </w:tcPr>
              <w:p w14:paraId="3734CA4D" w14:textId="77777777" w:rsidR="00E57DAA" w:rsidRDefault="00AC4185">
                <w:pPr>
                  <w:jc w:val="right"/>
                  <w:rPr>
                    <w:szCs w:val="21"/>
                  </w:rPr>
                </w:pPr>
                <w:r>
                  <w:t>291,213,204.10</w:t>
                </w:r>
              </w:p>
            </w:tc>
          </w:tr>
          <w:tr w:rsidR="00E57DAA" w14:paraId="4076FA05" w14:textId="77777777">
            <w:tc>
              <w:tcPr>
                <w:tcW w:w="1629" w:type="pct"/>
                <w:tcBorders>
                  <w:top w:val="outset" w:sz="6" w:space="0" w:color="auto"/>
                  <w:left w:val="outset" w:sz="6" w:space="0" w:color="auto"/>
                  <w:bottom w:val="outset" w:sz="6" w:space="0" w:color="auto"/>
                  <w:right w:val="outset" w:sz="6" w:space="0" w:color="auto"/>
                </w:tcBorders>
                <w:vAlign w:val="center"/>
              </w:tcPr>
              <w:p w14:paraId="163AF1AC" w14:textId="77777777" w:rsidR="00E57DAA" w:rsidRDefault="00AC4185">
                <w:pPr>
                  <w:ind w:firstLineChars="100" w:firstLine="210"/>
                  <w:rPr>
                    <w:szCs w:val="21"/>
                  </w:rPr>
                </w:pPr>
                <w:r>
                  <w:rPr>
                    <w:rFonts w:hint="eastAsia"/>
                    <w:szCs w:val="21"/>
                  </w:rPr>
                  <w:t>盈余公积</w:t>
                </w:r>
              </w:p>
            </w:tc>
            <w:tc>
              <w:tcPr>
                <w:tcW w:w="627" w:type="pct"/>
                <w:tcBorders>
                  <w:top w:val="outset" w:sz="6" w:space="0" w:color="auto"/>
                  <w:left w:val="outset" w:sz="6" w:space="0" w:color="auto"/>
                  <w:bottom w:val="outset" w:sz="6" w:space="0" w:color="auto"/>
                  <w:right w:val="outset" w:sz="6" w:space="0" w:color="auto"/>
                </w:tcBorders>
                <w:vAlign w:val="center"/>
              </w:tcPr>
              <w:p w14:paraId="6E561724" w14:textId="77777777" w:rsidR="00E57DAA" w:rsidRDefault="00AC4185">
                <w:pPr>
                  <w:rPr>
                    <w:szCs w:val="21"/>
                  </w:rPr>
                </w:pPr>
                <w:r>
                  <w:t>七、59</w:t>
                </w:r>
              </w:p>
            </w:tc>
            <w:tc>
              <w:tcPr>
                <w:tcW w:w="1411" w:type="pct"/>
                <w:tcBorders>
                  <w:top w:val="outset" w:sz="6" w:space="0" w:color="auto"/>
                  <w:left w:val="outset" w:sz="6" w:space="0" w:color="auto"/>
                  <w:bottom w:val="outset" w:sz="6" w:space="0" w:color="auto"/>
                  <w:right w:val="outset" w:sz="6" w:space="0" w:color="auto"/>
                </w:tcBorders>
                <w:vAlign w:val="center"/>
              </w:tcPr>
              <w:p w14:paraId="77C2C11A" w14:textId="77777777" w:rsidR="00E57DAA" w:rsidRDefault="00AC4185">
                <w:pPr>
                  <w:jc w:val="right"/>
                  <w:rPr>
                    <w:szCs w:val="21"/>
                  </w:rPr>
                </w:pPr>
                <w:r>
                  <w:t>1,063,125,683.83</w:t>
                </w:r>
              </w:p>
            </w:tc>
            <w:tc>
              <w:tcPr>
                <w:tcW w:w="1333" w:type="pct"/>
                <w:tcBorders>
                  <w:top w:val="outset" w:sz="6" w:space="0" w:color="auto"/>
                  <w:left w:val="outset" w:sz="6" w:space="0" w:color="auto"/>
                  <w:bottom w:val="outset" w:sz="6" w:space="0" w:color="auto"/>
                  <w:right w:val="outset" w:sz="6" w:space="0" w:color="auto"/>
                </w:tcBorders>
                <w:vAlign w:val="center"/>
              </w:tcPr>
              <w:p w14:paraId="0576FA8F" w14:textId="77777777" w:rsidR="00E57DAA" w:rsidRDefault="00AC4185">
                <w:pPr>
                  <w:jc w:val="right"/>
                  <w:rPr>
                    <w:szCs w:val="21"/>
                  </w:rPr>
                </w:pPr>
                <w:r>
                  <w:t>976,748,193.92</w:t>
                </w:r>
              </w:p>
            </w:tc>
          </w:tr>
          <w:tr w:rsidR="00E57DAA" w14:paraId="6A7C5CAE" w14:textId="77777777">
            <w:tc>
              <w:tcPr>
                <w:tcW w:w="1629" w:type="pct"/>
                <w:tcBorders>
                  <w:top w:val="outset" w:sz="6" w:space="0" w:color="auto"/>
                  <w:left w:val="outset" w:sz="6" w:space="0" w:color="auto"/>
                  <w:bottom w:val="outset" w:sz="6" w:space="0" w:color="auto"/>
                  <w:right w:val="outset" w:sz="6" w:space="0" w:color="auto"/>
                </w:tcBorders>
                <w:vAlign w:val="center"/>
              </w:tcPr>
              <w:p w14:paraId="2F6262E4" w14:textId="77777777" w:rsidR="00E57DAA" w:rsidRDefault="00AC4185">
                <w:pPr>
                  <w:ind w:firstLineChars="100" w:firstLine="210"/>
                  <w:rPr>
                    <w:szCs w:val="21"/>
                  </w:rPr>
                </w:pPr>
                <w:r>
                  <w:rPr>
                    <w:rFonts w:hint="eastAsia"/>
                    <w:szCs w:val="21"/>
                  </w:rPr>
                  <w:t>一般风险准备</w:t>
                </w:r>
              </w:p>
            </w:tc>
            <w:tc>
              <w:tcPr>
                <w:tcW w:w="627" w:type="pct"/>
                <w:tcBorders>
                  <w:top w:val="outset" w:sz="6" w:space="0" w:color="auto"/>
                  <w:left w:val="outset" w:sz="6" w:space="0" w:color="auto"/>
                  <w:bottom w:val="outset" w:sz="6" w:space="0" w:color="auto"/>
                  <w:right w:val="outset" w:sz="6" w:space="0" w:color="auto"/>
                </w:tcBorders>
                <w:vAlign w:val="center"/>
              </w:tcPr>
              <w:p w14:paraId="6C788CD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BFB692"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0CBEE28" w14:textId="77777777" w:rsidR="00E57DAA" w:rsidRDefault="00E57DAA">
                <w:pPr>
                  <w:jc w:val="right"/>
                  <w:rPr>
                    <w:szCs w:val="21"/>
                  </w:rPr>
                </w:pPr>
              </w:p>
            </w:tc>
          </w:tr>
          <w:tr w:rsidR="00E57DAA" w14:paraId="23DC3216" w14:textId="77777777">
            <w:tc>
              <w:tcPr>
                <w:tcW w:w="1629" w:type="pct"/>
                <w:tcBorders>
                  <w:top w:val="outset" w:sz="6" w:space="0" w:color="auto"/>
                  <w:left w:val="outset" w:sz="6" w:space="0" w:color="auto"/>
                  <w:bottom w:val="outset" w:sz="6" w:space="0" w:color="auto"/>
                  <w:right w:val="outset" w:sz="6" w:space="0" w:color="auto"/>
                </w:tcBorders>
                <w:vAlign w:val="center"/>
              </w:tcPr>
              <w:p w14:paraId="3FFC6B7C" w14:textId="77777777" w:rsidR="00E57DAA" w:rsidRDefault="00AC4185">
                <w:pPr>
                  <w:ind w:firstLineChars="100" w:firstLine="210"/>
                  <w:rPr>
                    <w:szCs w:val="21"/>
                  </w:rPr>
                </w:pPr>
                <w:r>
                  <w:rPr>
                    <w:rFonts w:hint="eastAsia"/>
                    <w:szCs w:val="21"/>
                  </w:rPr>
                  <w:t>未分配利润</w:t>
                </w:r>
              </w:p>
            </w:tc>
            <w:tc>
              <w:tcPr>
                <w:tcW w:w="627" w:type="pct"/>
                <w:tcBorders>
                  <w:top w:val="outset" w:sz="6" w:space="0" w:color="auto"/>
                  <w:left w:val="outset" w:sz="6" w:space="0" w:color="auto"/>
                  <w:bottom w:val="outset" w:sz="6" w:space="0" w:color="auto"/>
                  <w:right w:val="outset" w:sz="6" w:space="0" w:color="auto"/>
                </w:tcBorders>
                <w:vAlign w:val="center"/>
              </w:tcPr>
              <w:p w14:paraId="51B43994" w14:textId="77777777" w:rsidR="00E57DAA" w:rsidRDefault="00AC4185">
                <w:pPr>
                  <w:rPr>
                    <w:szCs w:val="21"/>
                  </w:rPr>
                </w:pPr>
                <w:r>
                  <w:t>七、60</w:t>
                </w:r>
              </w:p>
            </w:tc>
            <w:tc>
              <w:tcPr>
                <w:tcW w:w="1411" w:type="pct"/>
                <w:tcBorders>
                  <w:top w:val="outset" w:sz="6" w:space="0" w:color="auto"/>
                  <w:left w:val="outset" w:sz="6" w:space="0" w:color="auto"/>
                  <w:bottom w:val="outset" w:sz="6" w:space="0" w:color="auto"/>
                  <w:right w:val="outset" w:sz="6" w:space="0" w:color="auto"/>
                </w:tcBorders>
                <w:vAlign w:val="center"/>
              </w:tcPr>
              <w:p w14:paraId="0A11D230" w14:textId="77777777" w:rsidR="00E57DAA" w:rsidRDefault="00AC4185">
                <w:pPr>
                  <w:jc w:val="right"/>
                  <w:rPr>
                    <w:szCs w:val="21"/>
                  </w:rPr>
                </w:pPr>
                <w:r>
                  <w:t>15,112,040,090.93</w:t>
                </w:r>
              </w:p>
            </w:tc>
            <w:tc>
              <w:tcPr>
                <w:tcW w:w="1333" w:type="pct"/>
                <w:tcBorders>
                  <w:top w:val="outset" w:sz="6" w:space="0" w:color="auto"/>
                  <w:left w:val="outset" w:sz="6" w:space="0" w:color="auto"/>
                  <w:bottom w:val="outset" w:sz="6" w:space="0" w:color="auto"/>
                  <w:right w:val="outset" w:sz="6" w:space="0" w:color="auto"/>
                </w:tcBorders>
                <w:vAlign w:val="center"/>
              </w:tcPr>
              <w:p w14:paraId="68B932BC" w14:textId="77777777" w:rsidR="00E57DAA" w:rsidRDefault="00AC4185">
                <w:pPr>
                  <w:jc w:val="right"/>
                  <w:rPr>
                    <w:szCs w:val="21"/>
                  </w:rPr>
                </w:pPr>
                <w:r>
                  <w:t>13,077,801,169.02</w:t>
                </w:r>
              </w:p>
            </w:tc>
          </w:tr>
          <w:tr w:rsidR="00E57DAA" w14:paraId="38BB04FA" w14:textId="77777777">
            <w:tc>
              <w:tcPr>
                <w:tcW w:w="1629" w:type="pct"/>
                <w:tcBorders>
                  <w:top w:val="outset" w:sz="6" w:space="0" w:color="auto"/>
                  <w:left w:val="outset" w:sz="6" w:space="0" w:color="auto"/>
                  <w:bottom w:val="outset" w:sz="6" w:space="0" w:color="auto"/>
                  <w:right w:val="outset" w:sz="6" w:space="0" w:color="auto"/>
                </w:tcBorders>
                <w:vAlign w:val="center"/>
              </w:tcPr>
              <w:p w14:paraId="517A3D06" w14:textId="77777777" w:rsidR="00E57DAA" w:rsidRDefault="00AC4185">
                <w:pPr>
                  <w:ind w:firstLineChars="100" w:firstLine="210"/>
                  <w:rPr>
                    <w:szCs w:val="21"/>
                  </w:rPr>
                </w:pPr>
                <w:r>
                  <w:rPr>
                    <w:rFonts w:hint="eastAsia"/>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vAlign w:val="center"/>
              </w:tcPr>
              <w:p w14:paraId="5983F08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AEA98E" w14:textId="77777777" w:rsidR="00E57DAA" w:rsidRDefault="00AC4185">
                <w:pPr>
                  <w:jc w:val="right"/>
                  <w:rPr>
                    <w:szCs w:val="21"/>
                  </w:rPr>
                </w:pPr>
                <w:r>
                  <w:t>19,095,361,813.29</w:t>
                </w:r>
              </w:p>
            </w:tc>
            <w:tc>
              <w:tcPr>
                <w:tcW w:w="1333" w:type="pct"/>
                <w:tcBorders>
                  <w:top w:val="outset" w:sz="6" w:space="0" w:color="auto"/>
                  <w:left w:val="outset" w:sz="6" w:space="0" w:color="auto"/>
                  <w:bottom w:val="outset" w:sz="6" w:space="0" w:color="auto"/>
                  <w:right w:val="outset" w:sz="6" w:space="0" w:color="auto"/>
                </w:tcBorders>
                <w:vAlign w:val="center"/>
              </w:tcPr>
              <w:p w14:paraId="08AB8FDF" w14:textId="77777777" w:rsidR="00E57DAA" w:rsidRDefault="00AC4185">
                <w:pPr>
                  <w:jc w:val="right"/>
                  <w:rPr>
                    <w:szCs w:val="21"/>
                  </w:rPr>
                </w:pPr>
                <w:r>
                  <w:t>17,428,402,904.14</w:t>
                </w:r>
              </w:p>
            </w:tc>
          </w:tr>
          <w:tr w:rsidR="00E57DAA" w14:paraId="05302023" w14:textId="77777777">
            <w:tc>
              <w:tcPr>
                <w:tcW w:w="1629" w:type="pct"/>
                <w:tcBorders>
                  <w:top w:val="outset" w:sz="6" w:space="0" w:color="auto"/>
                  <w:left w:val="outset" w:sz="6" w:space="0" w:color="auto"/>
                  <w:bottom w:val="outset" w:sz="6" w:space="0" w:color="auto"/>
                  <w:right w:val="outset" w:sz="6" w:space="0" w:color="auto"/>
                </w:tcBorders>
                <w:vAlign w:val="center"/>
              </w:tcPr>
              <w:p w14:paraId="79BAAFAD" w14:textId="77777777" w:rsidR="00E57DAA" w:rsidRDefault="00AC4185">
                <w:pPr>
                  <w:ind w:firstLineChars="100" w:firstLine="210"/>
                  <w:rPr>
                    <w:szCs w:val="21"/>
                  </w:rPr>
                </w:pPr>
                <w:r>
                  <w:rPr>
                    <w:rFonts w:hint="eastAsia"/>
                    <w:szCs w:val="21"/>
                  </w:rPr>
                  <w:t>少数股东权益</w:t>
                </w:r>
              </w:p>
            </w:tc>
            <w:tc>
              <w:tcPr>
                <w:tcW w:w="627" w:type="pct"/>
                <w:tcBorders>
                  <w:top w:val="outset" w:sz="6" w:space="0" w:color="auto"/>
                  <w:left w:val="outset" w:sz="6" w:space="0" w:color="auto"/>
                  <w:bottom w:val="outset" w:sz="6" w:space="0" w:color="auto"/>
                  <w:right w:val="outset" w:sz="6" w:space="0" w:color="auto"/>
                </w:tcBorders>
                <w:vAlign w:val="center"/>
              </w:tcPr>
              <w:p w14:paraId="09F27D4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6BCE955" w14:textId="77777777" w:rsidR="00E57DAA" w:rsidRDefault="00AC4185">
                <w:pPr>
                  <w:jc w:val="right"/>
                  <w:rPr>
                    <w:szCs w:val="21"/>
                  </w:rPr>
                </w:pPr>
                <w:r>
                  <w:t>1,515,761,257.37</w:t>
                </w:r>
              </w:p>
            </w:tc>
            <w:tc>
              <w:tcPr>
                <w:tcW w:w="1333" w:type="pct"/>
                <w:tcBorders>
                  <w:top w:val="outset" w:sz="6" w:space="0" w:color="auto"/>
                  <w:left w:val="outset" w:sz="6" w:space="0" w:color="auto"/>
                  <w:bottom w:val="outset" w:sz="6" w:space="0" w:color="auto"/>
                  <w:right w:val="outset" w:sz="6" w:space="0" w:color="auto"/>
                </w:tcBorders>
                <w:vAlign w:val="center"/>
              </w:tcPr>
              <w:p w14:paraId="085021DF" w14:textId="77777777" w:rsidR="00E57DAA" w:rsidRDefault="00AC4185">
                <w:pPr>
                  <w:jc w:val="right"/>
                  <w:rPr>
                    <w:szCs w:val="21"/>
                  </w:rPr>
                </w:pPr>
                <w:r>
                  <w:t>1,429,739,551.38</w:t>
                </w:r>
              </w:p>
            </w:tc>
          </w:tr>
          <w:tr w:rsidR="00E57DAA" w14:paraId="73CF67EC" w14:textId="77777777">
            <w:tc>
              <w:tcPr>
                <w:tcW w:w="1629" w:type="pct"/>
                <w:tcBorders>
                  <w:top w:val="outset" w:sz="6" w:space="0" w:color="auto"/>
                  <w:left w:val="outset" w:sz="6" w:space="0" w:color="auto"/>
                  <w:bottom w:val="outset" w:sz="6" w:space="0" w:color="auto"/>
                  <w:right w:val="outset" w:sz="6" w:space="0" w:color="auto"/>
                </w:tcBorders>
                <w:vAlign w:val="center"/>
              </w:tcPr>
              <w:p w14:paraId="224D9411" w14:textId="77777777" w:rsidR="00E57DAA" w:rsidRDefault="00AC4185">
                <w:pPr>
                  <w:ind w:firstLineChars="200" w:firstLine="420"/>
                  <w:rPr>
                    <w:szCs w:val="21"/>
                  </w:rPr>
                </w:pPr>
                <w:r>
                  <w:rPr>
                    <w:rFonts w:hint="eastAsia"/>
                  </w:rPr>
                  <w:t>所有者权益（或股东权益）合计</w:t>
                </w:r>
              </w:p>
            </w:tc>
            <w:tc>
              <w:tcPr>
                <w:tcW w:w="627" w:type="pct"/>
                <w:tcBorders>
                  <w:top w:val="outset" w:sz="6" w:space="0" w:color="auto"/>
                  <w:left w:val="outset" w:sz="6" w:space="0" w:color="auto"/>
                  <w:bottom w:val="outset" w:sz="6" w:space="0" w:color="auto"/>
                  <w:right w:val="outset" w:sz="6" w:space="0" w:color="auto"/>
                </w:tcBorders>
                <w:vAlign w:val="center"/>
              </w:tcPr>
              <w:p w14:paraId="1536103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19D99D" w14:textId="77777777" w:rsidR="00E57DAA" w:rsidRDefault="00AC4185">
                <w:pPr>
                  <w:jc w:val="right"/>
                  <w:rPr>
                    <w:szCs w:val="21"/>
                  </w:rPr>
                </w:pPr>
                <w:r>
                  <w:t>20,611,123,070.66</w:t>
                </w:r>
              </w:p>
            </w:tc>
            <w:tc>
              <w:tcPr>
                <w:tcW w:w="1333" w:type="pct"/>
                <w:tcBorders>
                  <w:top w:val="outset" w:sz="6" w:space="0" w:color="auto"/>
                  <w:left w:val="outset" w:sz="6" w:space="0" w:color="auto"/>
                  <w:bottom w:val="outset" w:sz="6" w:space="0" w:color="auto"/>
                  <w:right w:val="outset" w:sz="6" w:space="0" w:color="auto"/>
                </w:tcBorders>
                <w:vAlign w:val="center"/>
              </w:tcPr>
              <w:p w14:paraId="38BE33A1" w14:textId="77777777" w:rsidR="00E57DAA" w:rsidRDefault="00AC4185">
                <w:pPr>
                  <w:jc w:val="right"/>
                  <w:rPr>
                    <w:szCs w:val="21"/>
                  </w:rPr>
                </w:pPr>
                <w:r>
                  <w:t>18,858,142,455.52</w:t>
                </w:r>
              </w:p>
            </w:tc>
          </w:tr>
          <w:tr w:rsidR="00E57DAA" w14:paraId="44B08095" w14:textId="77777777">
            <w:tc>
              <w:tcPr>
                <w:tcW w:w="1629" w:type="pct"/>
                <w:tcBorders>
                  <w:top w:val="outset" w:sz="6" w:space="0" w:color="auto"/>
                  <w:left w:val="outset" w:sz="6" w:space="0" w:color="auto"/>
                  <w:bottom w:val="outset" w:sz="6" w:space="0" w:color="auto"/>
                  <w:right w:val="outset" w:sz="6" w:space="0" w:color="auto"/>
                </w:tcBorders>
                <w:vAlign w:val="center"/>
              </w:tcPr>
              <w:p w14:paraId="76D2D107" w14:textId="77777777" w:rsidR="00E57DAA" w:rsidRDefault="00AC4185">
                <w:pPr>
                  <w:ind w:firstLineChars="300" w:firstLine="630"/>
                  <w:rPr>
                    <w:szCs w:val="21"/>
                  </w:rPr>
                </w:pPr>
                <w:r>
                  <w:rPr>
                    <w:rFonts w:hint="eastAsia"/>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vAlign w:val="center"/>
              </w:tcPr>
              <w:p w14:paraId="10A9E2F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0750D72" w14:textId="77777777" w:rsidR="00E57DAA" w:rsidRDefault="00AC4185">
                <w:pPr>
                  <w:jc w:val="right"/>
                  <w:rPr>
                    <w:szCs w:val="21"/>
                  </w:rPr>
                </w:pPr>
                <w:r>
                  <w:t>54,419,544,115.75</w:t>
                </w:r>
              </w:p>
            </w:tc>
            <w:tc>
              <w:tcPr>
                <w:tcW w:w="1333" w:type="pct"/>
                <w:tcBorders>
                  <w:top w:val="outset" w:sz="6" w:space="0" w:color="auto"/>
                  <w:left w:val="outset" w:sz="6" w:space="0" w:color="auto"/>
                  <w:bottom w:val="outset" w:sz="6" w:space="0" w:color="auto"/>
                  <w:right w:val="outset" w:sz="6" w:space="0" w:color="auto"/>
                </w:tcBorders>
                <w:vAlign w:val="center"/>
              </w:tcPr>
              <w:p w14:paraId="0591C7F4" w14:textId="77777777" w:rsidR="00E57DAA" w:rsidRDefault="00AC4185">
                <w:pPr>
                  <w:jc w:val="right"/>
                  <w:rPr>
                    <w:szCs w:val="21"/>
                  </w:rPr>
                </w:pPr>
                <w:r>
                  <w:t>50,067,691,640.05</w:t>
                </w:r>
              </w:p>
            </w:tc>
          </w:tr>
        </w:tbl>
        <w:p w14:paraId="42419CA9" w14:textId="77777777" w:rsidR="00E57DAA" w:rsidRDefault="00E57DAA" w:rsidP="00C25422">
          <w:pPr>
            <w:pStyle w:val="92"/>
          </w:pPr>
        </w:p>
        <w:p w14:paraId="6A23D2A3" w14:textId="77777777" w:rsidR="00E57DAA" w:rsidRDefault="00AC4185">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1284542331"/>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1049992147"/>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665049827"/>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p w14:paraId="7B54AFD9" w14:textId="77777777" w:rsidR="00E57DAA" w:rsidRDefault="00EB41A1" w:rsidP="00C25422">
          <w:pPr>
            <w:pStyle w:val="92"/>
          </w:pPr>
        </w:p>
      </w:sdtContent>
    </w:sdt>
    <w:p w14:paraId="7AEB029A" w14:textId="77777777" w:rsidR="00E57DAA" w:rsidRDefault="00E57DAA" w:rsidP="00C25422">
      <w:pPr>
        <w:pStyle w:val="92"/>
      </w:pPr>
    </w:p>
    <w:bookmarkStart w:id="162" w:name="_Hlk24034197" w:displacedByCustomXml="next"/>
    <w:sdt>
      <w:sdtPr>
        <w:rPr>
          <w:rFonts w:ascii="宋体" w:hAnsi="宋体" w:cs="宋体" w:hint="eastAsia"/>
          <w:b w:val="0"/>
          <w:bCs w:val="0"/>
          <w:kern w:val="0"/>
          <w:sz w:val="21"/>
          <w:szCs w:val="24"/>
        </w:rPr>
        <w:tag w:val="_SEC_d76935fe25d141cfbe5d3c4ac87a2e6b"/>
        <w:id w:val="-1530246477"/>
        <w:placeholder>
          <w:docPart w:val="GBC22222222222222222222222222222"/>
        </w:placeholder>
      </w:sdtPr>
      <w:sdtEndPr>
        <w:rPr>
          <w:szCs w:val="21"/>
        </w:rPr>
      </w:sdtEndPr>
      <w:sdtContent>
        <w:p w14:paraId="24CFC801" w14:textId="77777777" w:rsidR="00E57DAA" w:rsidRDefault="00AC4185" w:rsidP="006C3CA3">
          <w:pPr>
            <w:pStyle w:val="91"/>
            <w:jc w:val="center"/>
          </w:pPr>
          <w:r>
            <w:rPr>
              <w:rFonts w:hint="eastAsia"/>
            </w:rPr>
            <w:t>母公司</w:t>
          </w:r>
          <w:r>
            <w:t>资产负债表</w:t>
          </w:r>
        </w:p>
        <w:p w14:paraId="5238A428" w14:textId="77777777" w:rsidR="00E57DAA" w:rsidRDefault="00AC4185">
          <w:pPr>
            <w:jc w:val="center"/>
            <w:rPr>
              <w:b/>
              <w:bCs/>
              <w:szCs w:val="21"/>
            </w:rPr>
          </w:pPr>
          <w:r>
            <w:rPr>
              <w:szCs w:val="21"/>
            </w:rPr>
            <w:t>2023年12月31日</w:t>
          </w:r>
        </w:p>
        <w:p w14:paraId="61FE6B8B" w14:textId="77777777" w:rsidR="00E57DAA" w:rsidRDefault="00AC4185">
          <w:pPr>
            <w:rPr>
              <w:szCs w:val="21"/>
            </w:rPr>
          </w:pPr>
          <w:r>
            <w:rPr>
              <w:szCs w:val="21"/>
            </w:rPr>
            <w:t>编制单位:</w:t>
          </w:r>
          <w:sdt>
            <w:sdtPr>
              <w:rPr>
                <w:szCs w:val="21"/>
              </w:rPr>
              <w:alias w:val="公司法定中文名称"/>
              <w:tag w:val="_GBC_476f9df1cf8d4d36868d3058a4da7d15"/>
              <w:id w:val="-51856040"/>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r>
            <w:rPr>
              <w:szCs w:val="21"/>
            </w:rPr>
            <w:t> </w:t>
          </w:r>
        </w:p>
        <w:p w14:paraId="7870AB9A" w14:textId="77777777" w:rsidR="00E57DAA" w:rsidRDefault="00AC4185">
          <w:pPr>
            <w:jc w:val="right"/>
            <w:rPr>
              <w:szCs w:val="21"/>
            </w:rPr>
          </w:pPr>
          <w:r>
            <w:rPr>
              <w:szCs w:val="21"/>
            </w:rPr>
            <w:t>单位:</w:t>
          </w:r>
          <w:sdt>
            <w:sdtPr>
              <w:rPr>
                <w:szCs w:val="21"/>
              </w:rPr>
              <w:alias w:val="单位：母公司资产负债表"/>
              <w:tag w:val="_GBC_e3e6bb2b9b89482085daf4528af32780"/>
              <w:id w:val="12049849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20761922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69"/>
            <w:gridCol w:w="1104"/>
            <w:gridCol w:w="2485"/>
            <w:gridCol w:w="2348"/>
          </w:tblGrid>
          <w:tr w:rsidR="00E57DAA" w14:paraId="33C82C3B" w14:textId="77777777">
            <w:sdt>
              <w:sdtPr>
                <w:tag w:val="_PLD_f723b67ceca442958b85c16ecbcde6c4"/>
                <w:id w:val="408275653"/>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7439AB" w14:textId="77777777" w:rsidR="00E57DAA" w:rsidRDefault="00AC4185">
                    <w:pPr>
                      <w:jc w:val="center"/>
                      <w:rPr>
                        <w:b/>
                        <w:szCs w:val="21"/>
                      </w:rPr>
                    </w:pPr>
                    <w:r>
                      <w:rPr>
                        <w:b/>
                        <w:szCs w:val="21"/>
                      </w:rPr>
                      <w:t>项目</w:t>
                    </w:r>
                  </w:p>
                </w:tc>
              </w:sdtContent>
            </w:sdt>
            <w:sdt>
              <w:sdtPr>
                <w:tag w:val="_PLD_b4b39e4179664db3908076caa97ec93e"/>
                <w:id w:val="1178468817"/>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26D51F60" w14:textId="77777777" w:rsidR="00E57DAA" w:rsidRDefault="00AC4185">
                    <w:pPr>
                      <w:jc w:val="center"/>
                      <w:rPr>
                        <w:b/>
                        <w:szCs w:val="21"/>
                      </w:rPr>
                    </w:pPr>
                    <w:r>
                      <w:rPr>
                        <w:rFonts w:hint="eastAsia"/>
                        <w:b/>
                        <w:szCs w:val="21"/>
                      </w:rPr>
                      <w:t>附注</w:t>
                    </w:r>
                  </w:p>
                </w:tc>
              </w:sdtContent>
            </w:sdt>
            <w:sdt>
              <w:sdtPr>
                <w:tag w:val="_PLD_5c114924d291471984aab4fc4a2ab196"/>
                <w:id w:val="158196931"/>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59217FF0" w14:textId="77777777" w:rsidR="00E57DAA" w:rsidRDefault="00AC4185">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09aa0ba5dd484fa6ad7dfbe2d2221c60"/>
                <w:id w:val="2087569487"/>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753600C3" w14:textId="77777777" w:rsidR="00E57DAA" w:rsidRDefault="00AC4185">
                    <w:pPr>
                      <w:jc w:val="center"/>
                      <w:rPr>
                        <w:b/>
                        <w:szCs w:val="21"/>
                      </w:rPr>
                    </w:pPr>
                    <w:r>
                      <w:rPr>
                        <w:rFonts w:hint="eastAsia"/>
                        <w:b/>
                        <w:szCs w:val="21"/>
                      </w:rPr>
                      <w:t>2022年12月31日</w:t>
                    </w:r>
                  </w:p>
                </w:tc>
              </w:sdtContent>
            </w:sdt>
          </w:tr>
          <w:tr w:rsidR="00E57DAA" w14:paraId="6D52BA34" w14:textId="77777777">
            <w:sdt>
              <w:sdtPr>
                <w:tag w:val="_PLD_75b96d9020f14b08bb8885e10bb72ed3"/>
                <w:id w:val="-580757136"/>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155A2C9" w14:textId="77777777" w:rsidR="00E57DAA" w:rsidRDefault="00AC4185">
                    <w:pPr>
                      <w:rPr>
                        <w:b/>
                        <w:color w:val="FF00FF"/>
                        <w:szCs w:val="21"/>
                      </w:rPr>
                    </w:pPr>
                    <w:r>
                      <w:rPr>
                        <w:rFonts w:hint="eastAsia"/>
                        <w:b/>
                        <w:bCs/>
                        <w:szCs w:val="21"/>
                      </w:rPr>
                      <w:t>流动资产：</w:t>
                    </w:r>
                  </w:p>
                </w:tc>
              </w:sdtContent>
            </w:sdt>
          </w:tr>
          <w:tr w:rsidR="00E57DAA" w14:paraId="0B4B0EAA" w14:textId="77777777">
            <w:tc>
              <w:tcPr>
                <w:tcW w:w="1629" w:type="pct"/>
                <w:tcBorders>
                  <w:top w:val="outset" w:sz="6" w:space="0" w:color="auto"/>
                  <w:left w:val="outset" w:sz="6" w:space="0" w:color="auto"/>
                  <w:bottom w:val="outset" w:sz="6" w:space="0" w:color="auto"/>
                  <w:right w:val="outset" w:sz="6" w:space="0" w:color="auto"/>
                </w:tcBorders>
                <w:vAlign w:val="center"/>
              </w:tcPr>
              <w:p w14:paraId="19BE5E25" w14:textId="77777777" w:rsidR="00E57DAA" w:rsidRDefault="00AC4185">
                <w:pPr>
                  <w:ind w:firstLineChars="100" w:firstLine="210"/>
                  <w:rPr>
                    <w:szCs w:val="21"/>
                  </w:rPr>
                </w:pPr>
                <w:r>
                  <w:rPr>
                    <w:rFonts w:hint="eastAsia"/>
                    <w:szCs w:val="2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372E71A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BCB0710" w14:textId="77777777" w:rsidR="00E57DAA" w:rsidRDefault="00AC4185">
                <w:pPr>
                  <w:jc w:val="right"/>
                  <w:rPr>
                    <w:szCs w:val="21"/>
                  </w:rPr>
                </w:pPr>
                <w:r>
                  <w:t>2,534,660,419.61</w:t>
                </w:r>
              </w:p>
            </w:tc>
            <w:tc>
              <w:tcPr>
                <w:tcW w:w="1333" w:type="pct"/>
                <w:tcBorders>
                  <w:top w:val="outset" w:sz="6" w:space="0" w:color="auto"/>
                  <w:left w:val="outset" w:sz="6" w:space="0" w:color="auto"/>
                  <w:bottom w:val="outset" w:sz="6" w:space="0" w:color="auto"/>
                  <w:right w:val="outset" w:sz="6" w:space="0" w:color="auto"/>
                </w:tcBorders>
                <w:vAlign w:val="center"/>
              </w:tcPr>
              <w:p w14:paraId="06DA99CD" w14:textId="77777777" w:rsidR="00E57DAA" w:rsidRDefault="00AC4185">
                <w:pPr>
                  <w:jc w:val="right"/>
                  <w:rPr>
                    <w:szCs w:val="21"/>
                  </w:rPr>
                </w:pPr>
                <w:r>
                  <w:t>2,151,446,768.19</w:t>
                </w:r>
              </w:p>
            </w:tc>
          </w:tr>
          <w:tr w:rsidR="00E57DAA" w14:paraId="7FC21DD8" w14:textId="77777777">
            <w:tc>
              <w:tcPr>
                <w:tcW w:w="1629" w:type="pct"/>
                <w:tcBorders>
                  <w:top w:val="outset" w:sz="6" w:space="0" w:color="auto"/>
                  <w:left w:val="outset" w:sz="6" w:space="0" w:color="auto"/>
                  <w:bottom w:val="outset" w:sz="6" w:space="0" w:color="auto"/>
                  <w:right w:val="outset" w:sz="6" w:space="0" w:color="auto"/>
                </w:tcBorders>
                <w:vAlign w:val="center"/>
              </w:tcPr>
              <w:p w14:paraId="597E4448" w14:textId="77777777" w:rsidR="00E57DAA" w:rsidRDefault="00AC4185">
                <w:pPr>
                  <w:ind w:firstLineChars="100" w:firstLine="210"/>
                </w:pPr>
                <w:r>
                  <w:rPr>
                    <w:rFonts w:hint="eastAsia"/>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5C0E64A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386D74" w14:textId="77777777" w:rsidR="00E57DAA" w:rsidRDefault="00AC4185">
                <w:pPr>
                  <w:jc w:val="right"/>
                  <w:rPr>
                    <w:szCs w:val="21"/>
                  </w:rPr>
                </w:pPr>
                <w:r>
                  <w:t>157,634,460.73</w:t>
                </w:r>
              </w:p>
            </w:tc>
            <w:tc>
              <w:tcPr>
                <w:tcW w:w="1333" w:type="pct"/>
                <w:tcBorders>
                  <w:top w:val="outset" w:sz="6" w:space="0" w:color="auto"/>
                  <w:left w:val="outset" w:sz="6" w:space="0" w:color="auto"/>
                  <w:bottom w:val="outset" w:sz="6" w:space="0" w:color="auto"/>
                  <w:right w:val="outset" w:sz="6" w:space="0" w:color="auto"/>
                </w:tcBorders>
                <w:vAlign w:val="center"/>
              </w:tcPr>
              <w:p w14:paraId="22CBCE9D" w14:textId="77777777" w:rsidR="00E57DAA" w:rsidRDefault="00AC4185">
                <w:pPr>
                  <w:jc w:val="right"/>
                  <w:rPr>
                    <w:szCs w:val="21"/>
                  </w:rPr>
                </w:pPr>
                <w:r>
                  <w:t>29,374,604.76</w:t>
                </w:r>
              </w:p>
            </w:tc>
          </w:tr>
          <w:tr w:rsidR="00E57DAA" w14:paraId="7B4FB771" w14:textId="77777777">
            <w:tc>
              <w:tcPr>
                <w:tcW w:w="1629" w:type="pct"/>
                <w:tcBorders>
                  <w:top w:val="outset" w:sz="6" w:space="0" w:color="auto"/>
                  <w:left w:val="outset" w:sz="6" w:space="0" w:color="auto"/>
                  <w:bottom w:val="outset" w:sz="6" w:space="0" w:color="auto"/>
                  <w:right w:val="outset" w:sz="6" w:space="0" w:color="auto"/>
                </w:tcBorders>
                <w:vAlign w:val="center"/>
              </w:tcPr>
              <w:p w14:paraId="54FFEC3E" w14:textId="77777777" w:rsidR="00E57DAA" w:rsidRDefault="00AC4185">
                <w:pPr>
                  <w:ind w:firstLineChars="100" w:firstLine="210"/>
                  <w:rPr>
                    <w:szCs w:val="21"/>
                  </w:rPr>
                </w:pPr>
                <w:r>
                  <w:rPr>
                    <w:rFonts w:hint="eastAsia"/>
                    <w:szCs w:val="2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7916DB4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CE6AA3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81E3E7B" w14:textId="77777777" w:rsidR="00E57DAA" w:rsidRDefault="00AC4185">
                <w:pPr>
                  <w:jc w:val="right"/>
                  <w:rPr>
                    <w:szCs w:val="21"/>
                  </w:rPr>
                </w:pPr>
                <w:r>
                  <w:t>2,013,847.62</w:t>
                </w:r>
              </w:p>
            </w:tc>
          </w:tr>
          <w:tr w:rsidR="00E57DAA" w14:paraId="728CB047" w14:textId="77777777">
            <w:tc>
              <w:tcPr>
                <w:tcW w:w="1629" w:type="pct"/>
                <w:tcBorders>
                  <w:top w:val="outset" w:sz="6" w:space="0" w:color="auto"/>
                  <w:left w:val="outset" w:sz="6" w:space="0" w:color="auto"/>
                  <w:bottom w:val="outset" w:sz="6" w:space="0" w:color="auto"/>
                  <w:right w:val="outset" w:sz="6" w:space="0" w:color="auto"/>
                </w:tcBorders>
                <w:vAlign w:val="center"/>
              </w:tcPr>
              <w:p w14:paraId="3C3D642F" w14:textId="77777777" w:rsidR="00E57DAA" w:rsidRDefault="00AC4185">
                <w:pPr>
                  <w:ind w:firstLineChars="100" w:firstLine="210"/>
                  <w:rPr>
                    <w:szCs w:val="21"/>
                  </w:rPr>
                </w:pPr>
                <w:r>
                  <w:rPr>
                    <w:rFonts w:hint="eastAsia"/>
                    <w:szCs w:val="2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1A393BE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0BC3582"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F5D8A39" w14:textId="77777777" w:rsidR="00E57DAA" w:rsidRDefault="00E57DAA">
                <w:pPr>
                  <w:jc w:val="right"/>
                  <w:rPr>
                    <w:szCs w:val="21"/>
                  </w:rPr>
                </w:pPr>
              </w:p>
            </w:tc>
          </w:tr>
          <w:tr w:rsidR="00E57DAA" w14:paraId="253737C8" w14:textId="77777777">
            <w:tc>
              <w:tcPr>
                <w:tcW w:w="1629" w:type="pct"/>
                <w:tcBorders>
                  <w:top w:val="outset" w:sz="6" w:space="0" w:color="auto"/>
                  <w:left w:val="outset" w:sz="6" w:space="0" w:color="auto"/>
                  <w:bottom w:val="outset" w:sz="6" w:space="0" w:color="auto"/>
                  <w:right w:val="outset" w:sz="6" w:space="0" w:color="auto"/>
                </w:tcBorders>
                <w:vAlign w:val="center"/>
              </w:tcPr>
              <w:p w14:paraId="1A539280" w14:textId="77777777" w:rsidR="00E57DAA" w:rsidRDefault="00AC4185">
                <w:pPr>
                  <w:ind w:firstLineChars="100" w:firstLine="210"/>
                  <w:rPr>
                    <w:szCs w:val="21"/>
                  </w:rPr>
                </w:pPr>
                <w:r>
                  <w:rPr>
                    <w:rFonts w:hint="eastAsia"/>
                    <w:szCs w:val="2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1327F1F9" w14:textId="77777777" w:rsidR="00E57DAA" w:rsidRDefault="00AC4185">
                <w:pPr>
                  <w:rPr>
                    <w:szCs w:val="21"/>
                  </w:rPr>
                </w:pPr>
                <w:r>
                  <w:rPr>
                    <w:rFonts w:hint="eastAsia"/>
                  </w:rPr>
                  <w:t>十九</w:t>
                </w:r>
                <w:r>
                  <w:t>、1</w:t>
                </w:r>
              </w:p>
            </w:tc>
            <w:tc>
              <w:tcPr>
                <w:tcW w:w="1411" w:type="pct"/>
                <w:tcBorders>
                  <w:top w:val="outset" w:sz="6" w:space="0" w:color="auto"/>
                  <w:left w:val="outset" w:sz="6" w:space="0" w:color="auto"/>
                  <w:bottom w:val="outset" w:sz="6" w:space="0" w:color="auto"/>
                  <w:right w:val="outset" w:sz="6" w:space="0" w:color="auto"/>
                </w:tcBorders>
                <w:vAlign w:val="center"/>
              </w:tcPr>
              <w:p w14:paraId="7E7A9D25" w14:textId="77777777" w:rsidR="00E57DAA" w:rsidRDefault="00AC4185">
                <w:pPr>
                  <w:jc w:val="right"/>
                  <w:rPr>
                    <w:szCs w:val="21"/>
                  </w:rPr>
                </w:pPr>
                <w:r>
                  <w:t>1,109,427,022.91</w:t>
                </w:r>
              </w:p>
            </w:tc>
            <w:tc>
              <w:tcPr>
                <w:tcW w:w="1333" w:type="pct"/>
                <w:tcBorders>
                  <w:top w:val="outset" w:sz="6" w:space="0" w:color="auto"/>
                  <w:left w:val="outset" w:sz="6" w:space="0" w:color="auto"/>
                  <w:bottom w:val="outset" w:sz="6" w:space="0" w:color="auto"/>
                  <w:right w:val="outset" w:sz="6" w:space="0" w:color="auto"/>
                </w:tcBorders>
                <w:vAlign w:val="center"/>
              </w:tcPr>
              <w:p w14:paraId="40EB7D6B" w14:textId="77777777" w:rsidR="00E57DAA" w:rsidRDefault="00AC4185">
                <w:pPr>
                  <w:jc w:val="right"/>
                  <w:rPr>
                    <w:szCs w:val="21"/>
                  </w:rPr>
                </w:pPr>
                <w:r>
                  <w:t>767,110,447.38</w:t>
                </w:r>
              </w:p>
            </w:tc>
          </w:tr>
          <w:tr w:rsidR="00E57DAA" w14:paraId="5E992F62" w14:textId="77777777">
            <w:tc>
              <w:tcPr>
                <w:tcW w:w="1629" w:type="pct"/>
                <w:tcBorders>
                  <w:top w:val="outset" w:sz="6" w:space="0" w:color="auto"/>
                  <w:left w:val="outset" w:sz="6" w:space="0" w:color="auto"/>
                  <w:bottom w:val="outset" w:sz="6" w:space="0" w:color="auto"/>
                  <w:right w:val="outset" w:sz="6" w:space="0" w:color="auto"/>
                </w:tcBorders>
                <w:vAlign w:val="center"/>
              </w:tcPr>
              <w:p w14:paraId="5263B930" w14:textId="77777777" w:rsidR="00E57DAA" w:rsidRDefault="00AC4185">
                <w:pPr>
                  <w:ind w:firstLineChars="100" w:firstLine="210"/>
                </w:pPr>
                <w:r>
                  <w:rPr>
                    <w:rFonts w:hint="eastAsia"/>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56C455D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51E9038" w14:textId="77777777" w:rsidR="00E57DAA" w:rsidRDefault="00AC4185">
                <w:pPr>
                  <w:jc w:val="right"/>
                  <w:rPr>
                    <w:szCs w:val="21"/>
                  </w:rPr>
                </w:pPr>
                <w:r>
                  <w:t>63,323,804.04</w:t>
                </w:r>
              </w:p>
            </w:tc>
            <w:tc>
              <w:tcPr>
                <w:tcW w:w="1333" w:type="pct"/>
                <w:tcBorders>
                  <w:top w:val="outset" w:sz="6" w:space="0" w:color="auto"/>
                  <w:left w:val="outset" w:sz="6" w:space="0" w:color="auto"/>
                  <w:bottom w:val="outset" w:sz="6" w:space="0" w:color="auto"/>
                  <w:right w:val="outset" w:sz="6" w:space="0" w:color="auto"/>
                </w:tcBorders>
                <w:vAlign w:val="center"/>
              </w:tcPr>
              <w:p w14:paraId="408F9022" w14:textId="77777777" w:rsidR="00E57DAA" w:rsidRDefault="00AC4185">
                <w:pPr>
                  <w:jc w:val="right"/>
                  <w:rPr>
                    <w:szCs w:val="21"/>
                  </w:rPr>
                </w:pPr>
                <w:r>
                  <w:t>75,586,344.27</w:t>
                </w:r>
              </w:p>
            </w:tc>
          </w:tr>
          <w:tr w:rsidR="00E57DAA" w14:paraId="6FE77EB8" w14:textId="77777777">
            <w:tc>
              <w:tcPr>
                <w:tcW w:w="1629" w:type="pct"/>
                <w:tcBorders>
                  <w:top w:val="outset" w:sz="6" w:space="0" w:color="auto"/>
                  <w:left w:val="outset" w:sz="6" w:space="0" w:color="auto"/>
                  <w:bottom w:val="outset" w:sz="6" w:space="0" w:color="auto"/>
                  <w:right w:val="outset" w:sz="6" w:space="0" w:color="auto"/>
                </w:tcBorders>
                <w:vAlign w:val="center"/>
              </w:tcPr>
              <w:p w14:paraId="35BBA3EF" w14:textId="77777777" w:rsidR="00E57DAA" w:rsidRDefault="00AC4185">
                <w:pPr>
                  <w:ind w:firstLineChars="100" w:firstLine="210"/>
                  <w:rPr>
                    <w:szCs w:val="21"/>
                  </w:rPr>
                </w:pPr>
                <w:r>
                  <w:rPr>
                    <w:rFonts w:hint="eastAsia"/>
                    <w:szCs w:val="2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7A8CDFC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9722BAB" w14:textId="77777777" w:rsidR="00E57DAA" w:rsidRDefault="00AC4185">
                <w:pPr>
                  <w:jc w:val="right"/>
                  <w:rPr>
                    <w:szCs w:val="21"/>
                  </w:rPr>
                </w:pPr>
                <w:r>
                  <w:t>1,142,522,771.45</w:t>
                </w:r>
              </w:p>
            </w:tc>
            <w:tc>
              <w:tcPr>
                <w:tcW w:w="1333" w:type="pct"/>
                <w:tcBorders>
                  <w:top w:val="outset" w:sz="6" w:space="0" w:color="auto"/>
                  <w:left w:val="outset" w:sz="6" w:space="0" w:color="auto"/>
                  <w:bottom w:val="outset" w:sz="6" w:space="0" w:color="auto"/>
                  <w:right w:val="outset" w:sz="6" w:space="0" w:color="auto"/>
                </w:tcBorders>
                <w:vAlign w:val="center"/>
              </w:tcPr>
              <w:p w14:paraId="7C01E628" w14:textId="77777777" w:rsidR="00E57DAA" w:rsidRDefault="00AC4185">
                <w:pPr>
                  <w:jc w:val="right"/>
                  <w:rPr>
                    <w:szCs w:val="21"/>
                  </w:rPr>
                </w:pPr>
                <w:r>
                  <w:t>897,531,603.29</w:t>
                </w:r>
              </w:p>
            </w:tc>
          </w:tr>
          <w:tr w:rsidR="00E57DAA" w14:paraId="0674BFC1" w14:textId="77777777">
            <w:tc>
              <w:tcPr>
                <w:tcW w:w="1629" w:type="pct"/>
                <w:tcBorders>
                  <w:top w:val="outset" w:sz="6" w:space="0" w:color="auto"/>
                  <w:left w:val="outset" w:sz="6" w:space="0" w:color="auto"/>
                  <w:bottom w:val="outset" w:sz="6" w:space="0" w:color="auto"/>
                  <w:right w:val="outset" w:sz="6" w:space="0" w:color="auto"/>
                </w:tcBorders>
                <w:vAlign w:val="center"/>
              </w:tcPr>
              <w:p w14:paraId="1EF55228" w14:textId="77777777" w:rsidR="00E57DAA" w:rsidRDefault="00AC4185">
                <w:pPr>
                  <w:ind w:firstLineChars="100" w:firstLine="210"/>
                  <w:rPr>
                    <w:szCs w:val="21"/>
                  </w:rPr>
                </w:pPr>
                <w:r>
                  <w:rPr>
                    <w:rFonts w:hint="eastAsia"/>
                    <w:szCs w:val="2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445D7F01" w14:textId="77777777" w:rsidR="00E57DAA" w:rsidRDefault="00AC4185">
                <w:pPr>
                  <w:rPr>
                    <w:szCs w:val="21"/>
                  </w:rPr>
                </w:pPr>
                <w:r>
                  <w:rPr>
                    <w:rFonts w:hint="eastAsia"/>
                  </w:rPr>
                  <w:t>十九</w:t>
                </w:r>
                <w:r>
                  <w:t>、2</w:t>
                </w:r>
              </w:p>
            </w:tc>
            <w:tc>
              <w:tcPr>
                <w:tcW w:w="1411" w:type="pct"/>
                <w:tcBorders>
                  <w:top w:val="outset" w:sz="6" w:space="0" w:color="auto"/>
                  <w:left w:val="outset" w:sz="6" w:space="0" w:color="auto"/>
                  <w:bottom w:val="outset" w:sz="6" w:space="0" w:color="auto"/>
                  <w:right w:val="outset" w:sz="6" w:space="0" w:color="auto"/>
                </w:tcBorders>
                <w:vAlign w:val="center"/>
              </w:tcPr>
              <w:p w14:paraId="51DE2539" w14:textId="77777777" w:rsidR="00E57DAA" w:rsidRDefault="00AC4185">
                <w:pPr>
                  <w:jc w:val="right"/>
                  <w:rPr>
                    <w:szCs w:val="21"/>
                  </w:rPr>
                </w:pPr>
                <w:r>
                  <w:t>3,285,631,226.73</w:t>
                </w:r>
              </w:p>
            </w:tc>
            <w:tc>
              <w:tcPr>
                <w:tcW w:w="1333" w:type="pct"/>
                <w:tcBorders>
                  <w:top w:val="outset" w:sz="6" w:space="0" w:color="auto"/>
                  <w:left w:val="outset" w:sz="6" w:space="0" w:color="auto"/>
                  <w:bottom w:val="outset" w:sz="6" w:space="0" w:color="auto"/>
                  <w:right w:val="outset" w:sz="6" w:space="0" w:color="auto"/>
                </w:tcBorders>
                <w:vAlign w:val="center"/>
              </w:tcPr>
              <w:p w14:paraId="5246F012" w14:textId="77777777" w:rsidR="00E57DAA" w:rsidRDefault="00AC4185">
                <w:pPr>
                  <w:jc w:val="right"/>
                  <w:rPr>
                    <w:szCs w:val="21"/>
                  </w:rPr>
                </w:pPr>
                <w:r>
                  <w:t>3,144,537,979.90</w:t>
                </w:r>
              </w:p>
            </w:tc>
          </w:tr>
          <w:tr w:rsidR="00E57DAA" w14:paraId="76AD5998" w14:textId="77777777">
            <w:tc>
              <w:tcPr>
                <w:tcW w:w="1629" w:type="pct"/>
                <w:tcBorders>
                  <w:top w:val="outset" w:sz="6" w:space="0" w:color="auto"/>
                  <w:left w:val="outset" w:sz="6" w:space="0" w:color="auto"/>
                  <w:bottom w:val="outset" w:sz="6" w:space="0" w:color="auto"/>
                  <w:right w:val="outset" w:sz="6" w:space="0" w:color="auto"/>
                </w:tcBorders>
                <w:vAlign w:val="center"/>
              </w:tcPr>
              <w:p w14:paraId="47ED0117" w14:textId="77777777" w:rsidR="00E57DAA" w:rsidRDefault="00AC4185">
                <w:pPr>
                  <w:ind w:firstLineChars="100" w:firstLine="210"/>
                  <w:rPr>
                    <w:szCs w:val="21"/>
                  </w:rPr>
                </w:pPr>
                <w:r>
                  <w:rPr>
                    <w:rFonts w:hint="eastAsia"/>
                  </w:rPr>
                  <w:t>其中：</w:t>
                </w:r>
                <w:r>
                  <w:rPr>
                    <w:rFonts w:hint="eastAsia"/>
                    <w:szCs w:val="21"/>
                  </w:rPr>
                  <w:t>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6A4FAF1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FDCA9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C52FC7E" w14:textId="77777777" w:rsidR="00E57DAA" w:rsidRDefault="00E57DAA">
                <w:pPr>
                  <w:jc w:val="right"/>
                  <w:rPr>
                    <w:szCs w:val="21"/>
                  </w:rPr>
                </w:pPr>
              </w:p>
            </w:tc>
          </w:tr>
          <w:tr w:rsidR="00E57DAA" w14:paraId="5AD25132" w14:textId="77777777">
            <w:tc>
              <w:tcPr>
                <w:tcW w:w="1629" w:type="pct"/>
                <w:tcBorders>
                  <w:top w:val="outset" w:sz="6" w:space="0" w:color="auto"/>
                  <w:left w:val="outset" w:sz="6" w:space="0" w:color="auto"/>
                  <w:bottom w:val="outset" w:sz="6" w:space="0" w:color="auto"/>
                  <w:right w:val="outset" w:sz="6" w:space="0" w:color="auto"/>
                </w:tcBorders>
                <w:vAlign w:val="center"/>
              </w:tcPr>
              <w:p w14:paraId="735304AA" w14:textId="77777777" w:rsidR="00E57DAA" w:rsidRDefault="00AC4185">
                <w:pPr>
                  <w:ind w:firstLineChars="400" w:firstLine="840"/>
                  <w:rPr>
                    <w:szCs w:val="21"/>
                  </w:rPr>
                </w:pPr>
                <w:r>
                  <w:rPr>
                    <w:rFonts w:hint="eastAsia"/>
                    <w:szCs w:val="2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52E6F60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7A3A27" w14:textId="77777777" w:rsidR="00E57DAA" w:rsidRDefault="00AC4185">
                <w:pPr>
                  <w:jc w:val="right"/>
                  <w:rPr>
                    <w:szCs w:val="21"/>
                  </w:rPr>
                </w:pPr>
                <w:r>
                  <w:t>617,634,826.69</w:t>
                </w:r>
              </w:p>
            </w:tc>
            <w:tc>
              <w:tcPr>
                <w:tcW w:w="1333" w:type="pct"/>
                <w:tcBorders>
                  <w:top w:val="outset" w:sz="6" w:space="0" w:color="auto"/>
                  <w:left w:val="outset" w:sz="6" w:space="0" w:color="auto"/>
                  <w:bottom w:val="outset" w:sz="6" w:space="0" w:color="auto"/>
                  <w:right w:val="outset" w:sz="6" w:space="0" w:color="auto"/>
                </w:tcBorders>
                <w:vAlign w:val="center"/>
              </w:tcPr>
              <w:p w14:paraId="49158D16" w14:textId="77777777" w:rsidR="00E57DAA" w:rsidRDefault="00AC4185">
                <w:pPr>
                  <w:jc w:val="right"/>
                  <w:rPr>
                    <w:szCs w:val="21"/>
                  </w:rPr>
                </w:pPr>
                <w:r>
                  <w:t>611,822,903.24</w:t>
                </w:r>
              </w:p>
            </w:tc>
          </w:tr>
          <w:tr w:rsidR="00E57DAA" w14:paraId="76F8328C" w14:textId="77777777">
            <w:tc>
              <w:tcPr>
                <w:tcW w:w="1629" w:type="pct"/>
                <w:tcBorders>
                  <w:top w:val="outset" w:sz="6" w:space="0" w:color="auto"/>
                  <w:left w:val="outset" w:sz="6" w:space="0" w:color="auto"/>
                  <w:bottom w:val="outset" w:sz="6" w:space="0" w:color="auto"/>
                  <w:right w:val="outset" w:sz="6" w:space="0" w:color="auto"/>
                </w:tcBorders>
                <w:vAlign w:val="center"/>
              </w:tcPr>
              <w:p w14:paraId="5181C60D" w14:textId="77777777" w:rsidR="00E57DAA" w:rsidRDefault="00AC4185">
                <w:pPr>
                  <w:ind w:firstLineChars="100" w:firstLine="210"/>
                  <w:rPr>
                    <w:szCs w:val="21"/>
                  </w:rPr>
                </w:pPr>
                <w:r>
                  <w:rPr>
                    <w:rFonts w:hint="eastAsia"/>
                    <w:szCs w:val="2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7A97C73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BC2C221" w14:textId="77777777" w:rsidR="00E57DAA" w:rsidRDefault="00AC4185">
                <w:pPr>
                  <w:jc w:val="right"/>
                  <w:rPr>
                    <w:szCs w:val="21"/>
                  </w:rPr>
                </w:pPr>
                <w:r>
                  <w:t>176,144,695.53</w:t>
                </w:r>
              </w:p>
            </w:tc>
            <w:tc>
              <w:tcPr>
                <w:tcW w:w="1333" w:type="pct"/>
                <w:tcBorders>
                  <w:top w:val="outset" w:sz="6" w:space="0" w:color="auto"/>
                  <w:left w:val="outset" w:sz="6" w:space="0" w:color="auto"/>
                  <w:bottom w:val="outset" w:sz="6" w:space="0" w:color="auto"/>
                  <w:right w:val="outset" w:sz="6" w:space="0" w:color="auto"/>
                </w:tcBorders>
                <w:vAlign w:val="center"/>
              </w:tcPr>
              <w:p w14:paraId="699E3F88" w14:textId="77777777" w:rsidR="00E57DAA" w:rsidRDefault="00AC4185">
                <w:pPr>
                  <w:jc w:val="right"/>
                  <w:rPr>
                    <w:szCs w:val="21"/>
                  </w:rPr>
                </w:pPr>
                <w:r>
                  <w:t>313,416,722.84</w:t>
                </w:r>
              </w:p>
            </w:tc>
          </w:tr>
          <w:tr w:rsidR="00E57DAA" w14:paraId="6CA55D2D" w14:textId="77777777">
            <w:tc>
              <w:tcPr>
                <w:tcW w:w="1629" w:type="pct"/>
                <w:tcBorders>
                  <w:top w:val="outset" w:sz="6" w:space="0" w:color="auto"/>
                  <w:left w:val="outset" w:sz="6" w:space="0" w:color="auto"/>
                  <w:bottom w:val="outset" w:sz="6" w:space="0" w:color="auto"/>
                  <w:right w:val="outset" w:sz="6" w:space="0" w:color="auto"/>
                </w:tcBorders>
                <w:vAlign w:val="center"/>
              </w:tcPr>
              <w:p w14:paraId="2AB82583" w14:textId="77777777" w:rsidR="00E57DAA" w:rsidRDefault="00AC4185">
                <w:pPr>
                  <w:ind w:firstLineChars="100" w:firstLine="210"/>
                </w:pPr>
                <w:r>
                  <w:rPr>
                    <w:rFonts w:hint="eastAsia"/>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7583E7C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05FD1A6" w14:textId="77777777" w:rsidR="00E57DAA" w:rsidRDefault="00AC4185">
                <w:pPr>
                  <w:jc w:val="right"/>
                  <w:rPr>
                    <w:szCs w:val="21"/>
                  </w:rPr>
                </w:pPr>
                <w:r>
                  <w:t>1,103,055,419.76</w:t>
                </w:r>
              </w:p>
            </w:tc>
            <w:tc>
              <w:tcPr>
                <w:tcW w:w="1333" w:type="pct"/>
                <w:tcBorders>
                  <w:top w:val="outset" w:sz="6" w:space="0" w:color="auto"/>
                  <w:left w:val="outset" w:sz="6" w:space="0" w:color="auto"/>
                  <w:bottom w:val="outset" w:sz="6" w:space="0" w:color="auto"/>
                  <w:right w:val="outset" w:sz="6" w:space="0" w:color="auto"/>
                </w:tcBorders>
                <w:vAlign w:val="center"/>
              </w:tcPr>
              <w:p w14:paraId="56FAC005" w14:textId="77777777" w:rsidR="00E57DAA" w:rsidRDefault="00AC4185">
                <w:pPr>
                  <w:jc w:val="right"/>
                  <w:rPr>
                    <w:szCs w:val="21"/>
                  </w:rPr>
                </w:pPr>
                <w:r>
                  <w:t>1,044,052,222.58</w:t>
                </w:r>
              </w:p>
            </w:tc>
          </w:tr>
          <w:tr w:rsidR="00E57DAA" w14:paraId="4689EE57" w14:textId="77777777">
            <w:tc>
              <w:tcPr>
                <w:tcW w:w="1629" w:type="pct"/>
                <w:tcBorders>
                  <w:top w:val="outset" w:sz="6" w:space="0" w:color="auto"/>
                  <w:left w:val="outset" w:sz="6" w:space="0" w:color="auto"/>
                  <w:bottom w:val="outset" w:sz="6" w:space="0" w:color="auto"/>
                  <w:right w:val="outset" w:sz="6" w:space="0" w:color="auto"/>
                </w:tcBorders>
                <w:vAlign w:val="center"/>
              </w:tcPr>
              <w:p w14:paraId="1EF46DA1" w14:textId="77777777" w:rsidR="00E57DAA" w:rsidRDefault="00AC4185">
                <w:pPr>
                  <w:ind w:firstLineChars="100" w:firstLine="210"/>
                  <w:rPr>
                    <w:szCs w:val="21"/>
                  </w:rPr>
                </w:pPr>
                <w:r>
                  <w:rPr>
                    <w:rFonts w:hint="eastAsia"/>
                    <w:szCs w:val="2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221E6AB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03F0D54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9330D16" w14:textId="77777777" w:rsidR="00E57DAA" w:rsidRDefault="00E57DAA">
                <w:pPr>
                  <w:jc w:val="right"/>
                  <w:rPr>
                    <w:szCs w:val="21"/>
                  </w:rPr>
                </w:pPr>
              </w:p>
            </w:tc>
          </w:tr>
          <w:tr w:rsidR="00E57DAA" w14:paraId="7F19C5D3" w14:textId="77777777">
            <w:tc>
              <w:tcPr>
                <w:tcW w:w="1629" w:type="pct"/>
                <w:tcBorders>
                  <w:top w:val="outset" w:sz="6" w:space="0" w:color="auto"/>
                  <w:left w:val="outset" w:sz="6" w:space="0" w:color="auto"/>
                  <w:bottom w:val="outset" w:sz="6" w:space="0" w:color="auto"/>
                  <w:right w:val="outset" w:sz="6" w:space="0" w:color="auto"/>
                </w:tcBorders>
                <w:vAlign w:val="center"/>
              </w:tcPr>
              <w:p w14:paraId="34896848" w14:textId="77777777" w:rsidR="00E57DAA" w:rsidRDefault="00AC4185">
                <w:pPr>
                  <w:ind w:firstLineChars="100" w:firstLine="210"/>
                  <w:rPr>
                    <w:szCs w:val="21"/>
                  </w:rPr>
                </w:pPr>
                <w:r>
                  <w:rPr>
                    <w:rFonts w:hint="eastAsia"/>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1672627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D38D7B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8B912F9" w14:textId="77777777" w:rsidR="00E57DAA" w:rsidRDefault="00E57DAA">
                <w:pPr>
                  <w:jc w:val="right"/>
                  <w:rPr>
                    <w:szCs w:val="21"/>
                  </w:rPr>
                </w:pPr>
              </w:p>
            </w:tc>
          </w:tr>
          <w:tr w:rsidR="00E57DAA" w14:paraId="6DB0D778" w14:textId="77777777">
            <w:tc>
              <w:tcPr>
                <w:tcW w:w="1629" w:type="pct"/>
                <w:tcBorders>
                  <w:top w:val="outset" w:sz="6" w:space="0" w:color="auto"/>
                  <w:left w:val="outset" w:sz="6" w:space="0" w:color="auto"/>
                  <w:bottom w:val="outset" w:sz="6" w:space="0" w:color="auto"/>
                  <w:right w:val="outset" w:sz="6" w:space="0" w:color="auto"/>
                </w:tcBorders>
                <w:vAlign w:val="center"/>
              </w:tcPr>
              <w:p w14:paraId="1AC73B06" w14:textId="77777777" w:rsidR="00E57DAA" w:rsidRDefault="00AC4185">
                <w:pPr>
                  <w:ind w:firstLineChars="100" w:firstLine="210"/>
                  <w:rPr>
                    <w:szCs w:val="21"/>
                  </w:rPr>
                </w:pPr>
                <w:r>
                  <w:rPr>
                    <w:rFonts w:hint="eastAsia"/>
                    <w:szCs w:val="2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683002F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4EE708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A5FF118" w14:textId="77777777" w:rsidR="00E57DAA" w:rsidRDefault="00AC4185">
                <w:pPr>
                  <w:jc w:val="right"/>
                  <w:rPr>
                    <w:szCs w:val="21"/>
                  </w:rPr>
                </w:pPr>
                <w:r>
                  <w:t>18,400,628.21</w:t>
                </w:r>
              </w:p>
            </w:tc>
          </w:tr>
          <w:tr w:rsidR="00E57DAA" w14:paraId="1DAE0DA7" w14:textId="77777777">
            <w:tc>
              <w:tcPr>
                <w:tcW w:w="1629" w:type="pct"/>
                <w:tcBorders>
                  <w:top w:val="outset" w:sz="6" w:space="0" w:color="auto"/>
                  <w:left w:val="outset" w:sz="6" w:space="0" w:color="auto"/>
                  <w:bottom w:val="outset" w:sz="6" w:space="0" w:color="auto"/>
                  <w:right w:val="outset" w:sz="6" w:space="0" w:color="auto"/>
                </w:tcBorders>
                <w:vAlign w:val="center"/>
              </w:tcPr>
              <w:p w14:paraId="344707D0" w14:textId="77777777" w:rsidR="00E57DAA" w:rsidRDefault="00AC4185">
                <w:pPr>
                  <w:ind w:firstLineChars="200" w:firstLine="420"/>
                  <w:rPr>
                    <w:szCs w:val="21"/>
                  </w:rPr>
                </w:pPr>
                <w:r>
                  <w:rPr>
                    <w:rFonts w:hint="eastAsia"/>
                    <w:szCs w:val="21"/>
                  </w:rPr>
                  <w:t>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24037BB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4AE34C9" w14:textId="77777777" w:rsidR="00E57DAA" w:rsidRDefault="00AC4185">
                <w:pPr>
                  <w:jc w:val="right"/>
                  <w:rPr>
                    <w:szCs w:val="21"/>
                  </w:rPr>
                </w:pPr>
                <w:r>
                  <w:t>9,572,399,820.76</w:t>
                </w:r>
              </w:p>
            </w:tc>
            <w:tc>
              <w:tcPr>
                <w:tcW w:w="1333" w:type="pct"/>
                <w:tcBorders>
                  <w:top w:val="outset" w:sz="6" w:space="0" w:color="auto"/>
                  <w:left w:val="outset" w:sz="6" w:space="0" w:color="auto"/>
                  <w:bottom w:val="outset" w:sz="6" w:space="0" w:color="auto"/>
                  <w:right w:val="outset" w:sz="6" w:space="0" w:color="auto"/>
                </w:tcBorders>
                <w:vAlign w:val="center"/>
              </w:tcPr>
              <w:p w14:paraId="1A2BCEED" w14:textId="77777777" w:rsidR="00E57DAA" w:rsidRDefault="00AC4185">
                <w:pPr>
                  <w:jc w:val="right"/>
                  <w:rPr>
                    <w:szCs w:val="21"/>
                  </w:rPr>
                </w:pPr>
                <w:r>
                  <w:t>8,443,471,169.04</w:t>
                </w:r>
              </w:p>
            </w:tc>
          </w:tr>
          <w:tr w:rsidR="00E57DAA" w14:paraId="11762630" w14:textId="77777777">
            <w:sdt>
              <w:sdtPr>
                <w:tag w:val="_PLD_df64afc7e223416b92b823e4e8fb4a3a"/>
                <w:id w:val="-2124909447"/>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94E71F2" w14:textId="77777777" w:rsidR="00E57DAA" w:rsidRDefault="00AC4185">
                    <w:pPr>
                      <w:rPr>
                        <w:color w:val="008000"/>
                        <w:szCs w:val="21"/>
                      </w:rPr>
                    </w:pPr>
                    <w:r>
                      <w:rPr>
                        <w:rFonts w:hint="eastAsia"/>
                        <w:b/>
                        <w:bCs/>
                        <w:szCs w:val="21"/>
                      </w:rPr>
                      <w:t>非流动资产：</w:t>
                    </w:r>
                  </w:p>
                </w:tc>
              </w:sdtContent>
            </w:sdt>
          </w:tr>
          <w:tr w:rsidR="00E57DAA" w14:paraId="1EF7548A" w14:textId="77777777">
            <w:tc>
              <w:tcPr>
                <w:tcW w:w="1629" w:type="pct"/>
                <w:tcBorders>
                  <w:top w:val="outset" w:sz="6" w:space="0" w:color="auto"/>
                  <w:left w:val="outset" w:sz="6" w:space="0" w:color="auto"/>
                  <w:bottom w:val="outset" w:sz="6" w:space="0" w:color="auto"/>
                  <w:right w:val="outset" w:sz="6" w:space="0" w:color="auto"/>
                </w:tcBorders>
                <w:vAlign w:val="center"/>
              </w:tcPr>
              <w:p w14:paraId="7CA3A7AC" w14:textId="77777777" w:rsidR="00E57DAA" w:rsidRDefault="00AC4185">
                <w:pPr>
                  <w:ind w:firstLineChars="100" w:firstLine="210"/>
                </w:pPr>
                <w:r>
                  <w:rPr>
                    <w:rFonts w:hint="eastAsia"/>
                  </w:rPr>
                  <w:t>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2D646014"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C6BCF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94D8BC2" w14:textId="77777777" w:rsidR="00E57DAA" w:rsidRDefault="00E57DAA">
                <w:pPr>
                  <w:jc w:val="right"/>
                  <w:rPr>
                    <w:szCs w:val="21"/>
                  </w:rPr>
                </w:pPr>
              </w:p>
            </w:tc>
          </w:tr>
          <w:tr w:rsidR="00E57DAA" w14:paraId="43D86E70" w14:textId="77777777">
            <w:tc>
              <w:tcPr>
                <w:tcW w:w="1629" w:type="pct"/>
                <w:tcBorders>
                  <w:top w:val="outset" w:sz="6" w:space="0" w:color="auto"/>
                  <w:left w:val="outset" w:sz="6" w:space="0" w:color="auto"/>
                  <w:bottom w:val="outset" w:sz="6" w:space="0" w:color="auto"/>
                  <w:right w:val="outset" w:sz="6" w:space="0" w:color="auto"/>
                </w:tcBorders>
                <w:vAlign w:val="center"/>
              </w:tcPr>
              <w:p w14:paraId="1172FB6A" w14:textId="77777777" w:rsidR="00E57DAA" w:rsidRDefault="00AC4185">
                <w:pPr>
                  <w:ind w:firstLineChars="100" w:firstLine="210"/>
                </w:pPr>
                <w:r>
                  <w:rPr>
                    <w:rFonts w:hint="eastAsia"/>
                  </w:rPr>
                  <w:t>其他债权投资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0323DDB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1FD5E8B"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020C2A8" w14:textId="77777777" w:rsidR="00E57DAA" w:rsidRDefault="00E57DAA">
                <w:pPr>
                  <w:jc w:val="right"/>
                  <w:rPr>
                    <w:szCs w:val="21"/>
                  </w:rPr>
                </w:pPr>
              </w:p>
            </w:tc>
          </w:tr>
          <w:tr w:rsidR="00E57DAA" w14:paraId="4FC27C36" w14:textId="77777777">
            <w:tc>
              <w:tcPr>
                <w:tcW w:w="1629" w:type="pct"/>
                <w:tcBorders>
                  <w:top w:val="outset" w:sz="6" w:space="0" w:color="auto"/>
                  <w:left w:val="outset" w:sz="6" w:space="0" w:color="auto"/>
                  <w:bottom w:val="outset" w:sz="6" w:space="0" w:color="auto"/>
                  <w:right w:val="outset" w:sz="6" w:space="0" w:color="auto"/>
                </w:tcBorders>
                <w:vAlign w:val="center"/>
              </w:tcPr>
              <w:p w14:paraId="61119C7F" w14:textId="77777777" w:rsidR="00E57DAA" w:rsidRDefault="00AC4185">
                <w:pPr>
                  <w:ind w:firstLineChars="100" w:firstLine="210"/>
                  <w:rPr>
                    <w:szCs w:val="21"/>
                  </w:rPr>
                </w:pPr>
                <w:r>
                  <w:rPr>
                    <w:rFonts w:hint="eastAsia"/>
                    <w:szCs w:val="21"/>
                  </w:rPr>
                  <w:t>长期应收款</w:t>
                </w:r>
              </w:p>
            </w:tc>
            <w:tc>
              <w:tcPr>
                <w:tcW w:w="627" w:type="pct"/>
                <w:tcBorders>
                  <w:top w:val="outset" w:sz="6" w:space="0" w:color="auto"/>
                  <w:left w:val="outset" w:sz="6" w:space="0" w:color="auto"/>
                  <w:bottom w:val="outset" w:sz="6" w:space="0" w:color="auto"/>
                  <w:right w:val="outset" w:sz="6" w:space="0" w:color="auto"/>
                </w:tcBorders>
                <w:vAlign w:val="center"/>
              </w:tcPr>
              <w:p w14:paraId="7BAD9DD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E8DE613" w14:textId="77777777" w:rsidR="00E57DAA" w:rsidRDefault="00AC4185">
                <w:pPr>
                  <w:jc w:val="right"/>
                  <w:rPr>
                    <w:szCs w:val="21"/>
                  </w:rPr>
                </w:pPr>
                <w:r>
                  <w:t>1,306,885,662.66</w:t>
                </w:r>
              </w:p>
            </w:tc>
            <w:tc>
              <w:tcPr>
                <w:tcW w:w="1333" w:type="pct"/>
                <w:tcBorders>
                  <w:top w:val="outset" w:sz="6" w:space="0" w:color="auto"/>
                  <w:left w:val="outset" w:sz="6" w:space="0" w:color="auto"/>
                  <w:bottom w:val="outset" w:sz="6" w:space="0" w:color="auto"/>
                  <w:right w:val="outset" w:sz="6" w:space="0" w:color="auto"/>
                </w:tcBorders>
                <w:vAlign w:val="center"/>
              </w:tcPr>
              <w:p w14:paraId="34C04922" w14:textId="77777777" w:rsidR="00E57DAA" w:rsidRDefault="00AC4185">
                <w:pPr>
                  <w:jc w:val="right"/>
                  <w:rPr>
                    <w:szCs w:val="21"/>
                  </w:rPr>
                </w:pPr>
                <w:r>
                  <w:t>1,343,614,722.70</w:t>
                </w:r>
              </w:p>
            </w:tc>
          </w:tr>
          <w:tr w:rsidR="00E57DAA" w14:paraId="6AFDCC19" w14:textId="77777777">
            <w:tc>
              <w:tcPr>
                <w:tcW w:w="1629" w:type="pct"/>
                <w:tcBorders>
                  <w:top w:val="outset" w:sz="6" w:space="0" w:color="auto"/>
                  <w:left w:val="outset" w:sz="6" w:space="0" w:color="auto"/>
                  <w:bottom w:val="outset" w:sz="6" w:space="0" w:color="auto"/>
                  <w:right w:val="outset" w:sz="6" w:space="0" w:color="auto"/>
                </w:tcBorders>
                <w:vAlign w:val="center"/>
              </w:tcPr>
              <w:p w14:paraId="7323FBCE" w14:textId="77777777" w:rsidR="00E57DAA" w:rsidRDefault="00AC4185">
                <w:pPr>
                  <w:ind w:firstLineChars="100" w:firstLine="210"/>
                  <w:rPr>
                    <w:szCs w:val="21"/>
                  </w:rPr>
                </w:pPr>
                <w:r>
                  <w:rPr>
                    <w:rFonts w:hint="eastAsia"/>
                    <w:szCs w:val="2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46800605" w14:textId="77777777" w:rsidR="00E57DAA" w:rsidRDefault="00AC4185">
                <w:pPr>
                  <w:rPr>
                    <w:szCs w:val="21"/>
                  </w:rPr>
                </w:pPr>
                <w:r>
                  <w:rPr>
                    <w:rFonts w:hint="eastAsia"/>
                  </w:rPr>
                  <w:t>十九</w:t>
                </w:r>
                <w:r>
                  <w:t>、3</w:t>
                </w:r>
              </w:p>
            </w:tc>
            <w:tc>
              <w:tcPr>
                <w:tcW w:w="1411" w:type="pct"/>
                <w:tcBorders>
                  <w:top w:val="outset" w:sz="6" w:space="0" w:color="auto"/>
                  <w:left w:val="outset" w:sz="6" w:space="0" w:color="auto"/>
                  <w:bottom w:val="outset" w:sz="6" w:space="0" w:color="auto"/>
                  <w:right w:val="outset" w:sz="6" w:space="0" w:color="auto"/>
                </w:tcBorders>
                <w:vAlign w:val="center"/>
              </w:tcPr>
              <w:p w14:paraId="3873D525" w14:textId="77777777" w:rsidR="00E57DAA" w:rsidRDefault="00AC4185">
                <w:pPr>
                  <w:jc w:val="right"/>
                  <w:rPr>
                    <w:szCs w:val="21"/>
                  </w:rPr>
                </w:pPr>
                <w:r>
                  <w:t>12,161,304,852.50</w:t>
                </w:r>
              </w:p>
            </w:tc>
            <w:tc>
              <w:tcPr>
                <w:tcW w:w="1333" w:type="pct"/>
                <w:tcBorders>
                  <w:top w:val="outset" w:sz="6" w:space="0" w:color="auto"/>
                  <w:left w:val="outset" w:sz="6" w:space="0" w:color="auto"/>
                  <w:bottom w:val="outset" w:sz="6" w:space="0" w:color="auto"/>
                  <w:right w:val="outset" w:sz="6" w:space="0" w:color="auto"/>
                </w:tcBorders>
                <w:vAlign w:val="center"/>
              </w:tcPr>
              <w:p w14:paraId="4EC4B26D" w14:textId="77777777" w:rsidR="00E57DAA" w:rsidRDefault="00AC4185">
                <w:pPr>
                  <w:jc w:val="right"/>
                  <w:rPr>
                    <w:szCs w:val="21"/>
                  </w:rPr>
                </w:pPr>
                <w:r>
                  <w:t>8,913,207,399.22</w:t>
                </w:r>
              </w:p>
            </w:tc>
          </w:tr>
          <w:tr w:rsidR="00E57DAA" w14:paraId="3917BC2A" w14:textId="77777777">
            <w:tc>
              <w:tcPr>
                <w:tcW w:w="1629" w:type="pct"/>
                <w:tcBorders>
                  <w:top w:val="outset" w:sz="6" w:space="0" w:color="auto"/>
                  <w:left w:val="outset" w:sz="6" w:space="0" w:color="auto"/>
                  <w:bottom w:val="outset" w:sz="6" w:space="0" w:color="auto"/>
                  <w:right w:val="outset" w:sz="6" w:space="0" w:color="auto"/>
                </w:tcBorders>
                <w:vAlign w:val="center"/>
              </w:tcPr>
              <w:p w14:paraId="258BC662" w14:textId="77777777" w:rsidR="00E57DAA" w:rsidRDefault="00AC4185">
                <w:pPr>
                  <w:ind w:firstLineChars="100" w:firstLine="210"/>
                </w:pPr>
                <w:r>
                  <w:rPr>
                    <w:rFonts w:hint="eastAsia"/>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7E46554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4236B1"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639239A" w14:textId="77777777" w:rsidR="00E57DAA" w:rsidRDefault="00E57DAA">
                <w:pPr>
                  <w:jc w:val="right"/>
                  <w:rPr>
                    <w:szCs w:val="21"/>
                  </w:rPr>
                </w:pPr>
              </w:p>
            </w:tc>
          </w:tr>
          <w:tr w:rsidR="00E57DAA" w14:paraId="5B82A9E5" w14:textId="77777777">
            <w:tc>
              <w:tcPr>
                <w:tcW w:w="1629" w:type="pct"/>
                <w:tcBorders>
                  <w:top w:val="outset" w:sz="6" w:space="0" w:color="auto"/>
                  <w:left w:val="outset" w:sz="6" w:space="0" w:color="auto"/>
                  <w:bottom w:val="outset" w:sz="6" w:space="0" w:color="auto"/>
                  <w:right w:val="outset" w:sz="6" w:space="0" w:color="auto"/>
                </w:tcBorders>
                <w:vAlign w:val="center"/>
              </w:tcPr>
              <w:p w14:paraId="5E9A5C57" w14:textId="77777777" w:rsidR="00E57DAA" w:rsidRDefault="00AC4185">
                <w:pPr>
                  <w:ind w:firstLineChars="100" w:firstLine="210"/>
                </w:pPr>
                <w:r>
                  <w:rPr>
                    <w:rFonts w:hint="eastAsia"/>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62D5619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0D3ACA"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99530EC" w14:textId="77777777" w:rsidR="00E57DAA" w:rsidRDefault="00E57DAA">
                <w:pPr>
                  <w:jc w:val="right"/>
                  <w:rPr>
                    <w:szCs w:val="21"/>
                  </w:rPr>
                </w:pPr>
              </w:p>
            </w:tc>
          </w:tr>
          <w:tr w:rsidR="00E57DAA" w14:paraId="05AD2633" w14:textId="77777777">
            <w:tc>
              <w:tcPr>
                <w:tcW w:w="1629" w:type="pct"/>
                <w:tcBorders>
                  <w:top w:val="outset" w:sz="6" w:space="0" w:color="auto"/>
                  <w:left w:val="outset" w:sz="6" w:space="0" w:color="auto"/>
                  <w:bottom w:val="outset" w:sz="6" w:space="0" w:color="auto"/>
                  <w:right w:val="outset" w:sz="6" w:space="0" w:color="auto"/>
                </w:tcBorders>
                <w:vAlign w:val="center"/>
              </w:tcPr>
              <w:p w14:paraId="3EBCA011" w14:textId="77777777" w:rsidR="00E57DAA" w:rsidRDefault="00AC4185">
                <w:pPr>
                  <w:ind w:firstLineChars="100" w:firstLine="210"/>
                  <w:rPr>
                    <w:szCs w:val="21"/>
                  </w:rPr>
                </w:pPr>
                <w:r>
                  <w:rPr>
                    <w:rFonts w:hint="eastAsia"/>
                    <w:szCs w:val="21"/>
                  </w:rPr>
                  <w:lastRenderedPageBreak/>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655578E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0C0FC2" w14:textId="77777777" w:rsidR="00E57DAA" w:rsidRDefault="00AC4185">
                <w:pPr>
                  <w:jc w:val="right"/>
                  <w:rPr>
                    <w:szCs w:val="21"/>
                  </w:rPr>
                </w:pPr>
                <w:r>
                  <w:t>493,480,066.52</w:t>
                </w:r>
              </w:p>
            </w:tc>
            <w:tc>
              <w:tcPr>
                <w:tcW w:w="1333" w:type="pct"/>
                <w:tcBorders>
                  <w:top w:val="outset" w:sz="6" w:space="0" w:color="auto"/>
                  <w:left w:val="outset" w:sz="6" w:space="0" w:color="auto"/>
                  <w:bottom w:val="outset" w:sz="6" w:space="0" w:color="auto"/>
                  <w:right w:val="outset" w:sz="6" w:space="0" w:color="auto"/>
                </w:tcBorders>
                <w:vAlign w:val="center"/>
              </w:tcPr>
              <w:p w14:paraId="38C55726" w14:textId="77777777" w:rsidR="00E57DAA" w:rsidRDefault="00AC4185">
                <w:pPr>
                  <w:jc w:val="right"/>
                  <w:rPr>
                    <w:szCs w:val="21"/>
                  </w:rPr>
                </w:pPr>
                <w:r>
                  <w:t>476,186,481.14</w:t>
                </w:r>
              </w:p>
            </w:tc>
          </w:tr>
          <w:tr w:rsidR="00E57DAA" w14:paraId="3DCA5652" w14:textId="77777777">
            <w:tc>
              <w:tcPr>
                <w:tcW w:w="1629" w:type="pct"/>
                <w:tcBorders>
                  <w:top w:val="outset" w:sz="6" w:space="0" w:color="auto"/>
                  <w:left w:val="outset" w:sz="6" w:space="0" w:color="auto"/>
                  <w:bottom w:val="outset" w:sz="6" w:space="0" w:color="auto"/>
                  <w:right w:val="outset" w:sz="6" w:space="0" w:color="auto"/>
                </w:tcBorders>
                <w:vAlign w:val="center"/>
              </w:tcPr>
              <w:p w14:paraId="5E9F1A63" w14:textId="77777777" w:rsidR="00E57DAA" w:rsidRDefault="00AC4185">
                <w:pPr>
                  <w:ind w:firstLineChars="100" w:firstLine="210"/>
                  <w:rPr>
                    <w:szCs w:val="21"/>
                  </w:rPr>
                </w:pPr>
                <w:r>
                  <w:rPr>
                    <w:rFonts w:hint="eastAsia"/>
                    <w:szCs w:val="2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18C43A1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AF5039B" w14:textId="77777777" w:rsidR="00E57DAA" w:rsidRDefault="00AC4185">
                <w:pPr>
                  <w:jc w:val="right"/>
                  <w:rPr>
                    <w:szCs w:val="21"/>
                  </w:rPr>
                </w:pPr>
                <w:r>
                  <w:t>337,764,369.01</w:t>
                </w:r>
              </w:p>
            </w:tc>
            <w:tc>
              <w:tcPr>
                <w:tcW w:w="1333" w:type="pct"/>
                <w:tcBorders>
                  <w:top w:val="outset" w:sz="6" w:space="0" w:color="auto"/>
                  <w:left w:val="outset" w:sz="6" w:space="0" w:color="auto"/>
                  <w:bottom w:val="outset" w:sz="6" w:space="0" w:color="auto"/>
                  <w:right w:val="outset" w:sz="6" w:space="0" w:color="auto"/>
                </w:tcBorders>
                <w:vAlign w:val="center"/>
              </w:tcPr>
              <w:p w14:paraId="64983230" w14:textId="77777777" w:rsidR="00E57DAA" w:rsidRDefault="00AC4185">
                <w:pPr>
                  <w:jc w:val="right"/>
                  <w:rPr>
                    <w:szCs w:val="21"/>
                  </w:rPr>
                </w:pPr>
                <w:r>
                  <w:t>326,236,209.58</w:t>
                </w:r>
              </w:p>
            </w:tc>
          </w:tr>
          <w:tr w:rsidR="00E57DAA" w14:paraId="061AAD7B" w14:textId="77777777">
            <w:tc>
              <w:tcPr>
                <w:tcW w:w="1629" w:type="pct"/>
                <w:tcBorders>
                  <w:top w:val="outset" w:sz="6" w:space="0" w:color="auto"/>
                  <w:left w:val="outset" w:sz="6" w:space="0" w:color="auto"/>
                  <w:bottom w:val="outset" w:sz="6" w:space="0" w:color="auto"/>
                  <w:right w:val="outset" w:sz="6" w:space="0" w:color="auto"/>
                </w:tcBorders>
                <w:vAlign w:val="center"/>
              </w:tcPr>
              <w:p w14:paraId="165E5D6F" w14:textId="77777777" w:rsidR="00E57DAA" w:rsidRDefault="00AC4185">
                <w:pPr>
                  <w:ind w:firstLineChars="100" w:firstLine="210"/>
                  <w:rPr>
                    <w:szCs w:val="21"/>
                  </w:rPr>
                </w:pPr>
                <w:r>
                  <w:rPr>
                    <w:rFonts w:hint="eastAsia"/>
                    <w:szCs w:val="2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3D33366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BAE76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D4C6064" w14:textId="77777777" w:rsidR="00E57DAA" w:rsidRDefault="00AC4185">
                <w:pPr>
                  <w:jc w:val="right"/>
                  <w:rPr>
                    <w:szCs w:val="21"/>
                  </w:rPr>
                </w:pPr>
                <w:r>
                  <w:t>8,703,418.84</w:t>
                </w:r>
              </w:p>
            </w:tc>
          </w:tr>
          <w:tr w:rsidR="00E57DAA" w14:paraId="0FC1DDBF" w14:textId="77777777">
            <w:tc>
              <w:tcPr>
                <w:tcW w:w="1629" w:type="pct"/>
                <w:tcBorders>
                  <w:top w:val="outset" w:sz="6" w:space="0" w:color="auto"/>
                  <w:left w:val="outset" w:sz="6" w:space="0" w:color="auto"/>
                  <w:bottom w:val="outset" w:sz="6" w:space="0" w:color="auto"/>
                  <w:right w:val="outset" w:sz="6" w:space="0" w:color="auto"/>
                </w:tcBorders>
                <w:vAlign w:val="center"/>
              </w:tcPr>
              <w:p w14:paraId="487DF04B" w14:textId="77777777" w:rsidR="00E57DAA" w:rsidRDefault="00AC4185">
                <w:pPr>
                  <w:ind w:firstLineChars="100" w:firstLine="210"/>
                  <w:rPr>
                    <w:szCs w:val="21"/>
                  </w:rPr>
                </w:pPr>
                <w:r>
                  <w:rPr>
                    <w:rFonts w:hint="eastAsia"/>
                    <w:szCs w:val="21"/>
                  </w:rPr>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22785852"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E10AEA"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D6CBE00" w14:textId="77777777" w:rsidR="00E57DAA" w:rsidRDefault="00E57DAA">
                <w:pPr>
                  <w:jc w:val="right"/>
                  <w:rPr>
                    <w:szCs w:val="21"/>
                  </w:rPr>
                </w:pPr>
              </w:p>
            </w:tc>
          </w:tr>
          <w:tr w:rsidR="00E57DAA" w14:paraId="242CC1AB" w14:textId="77777777">
            <w:tc>
              <w:tcPr>
                <w:tcW w:w="1629" w:type="pct"/>
                <w:tcBorders>
                  <w:top w:val="outset" w:sz="6" w:space="0" w:color="auto"/>
                  <w:left w:val="outset" w:sz="6" w:space="0" w:color="auto"/>
                  <w:bottom w:val="outset" w:sz="6" w:space="0" w:color="auto"/>
                  <w:right w:val="outset" w:sz="6" w:space="0" w:color="auto"/>
                </w:tcBorders>
                <w:vAlign w:val="center"/>
              </w:tcPr>
              <w:p w14:paraId="1B649067" w14:textId="77777777" w:rsidR="00E57DAA" w:rsidRDefault="00AC4185">
                <w:pPr>
                  <w:ind w:firstLineChars="100" w:firstLine="210"/>
                  <w:rPr>
                    <w:szCs w:val="21"/>
                  </w:rPr>
                </w:pPr>
                <w:r>
                  <w:rPr>
                    <w:rFonts w:hint="eastAsia"/>
                    <w:szCs w:val="2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7C0472B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B2CD1F"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373FFE4" w14:textId="77777777" w:rsidR="00E57DAA" w:rsidRDefault="00E57DAA">
                <w:pPr>
                  <w:jc w:val="right"/>
                  <w:rPr>
                    <w:szCs w:val="21"/>
                  </w:rPr>
                </w:pPr>
              </w:p>
            </w:tc>
          </w:tr>
          <w:tr w:rsidR="00E57DAA" w14:paraId="29AB72DA" w14:textId="77777777">
            <w:tc>
              <w:tcPr>
                <w:tcW w:w="1629" w:type="pct"/>
                <w:tcBorders>
                  <w:top w:val="outset" w:sz="6" w:space="0" w:color="auto"/>
                  <w:left w:val="outset" w:sz="6" w:space="0" w:color="auto"/>
                  <w:bottom w:val="outset" w:sz="6" w:space="0" w:color="auto"/>
                  <w:right w:val="outset" w:sz="6" w:space="0" w:color="auto"/>
                </w:tcBorders>
                <w:vAlign w:val="center"/>
              </w:tcPr>
              <w:p w14:paraId="640E8FEA" w14:textId="77777777" w:rsidR="00E57DAA" w:rsidRDefault="00AC4185">
                <w:pPr>
                  <w:ind w:firstLineChars="100" w:firstLine="210"/>
                </w:pPr>
                <w:r>
                  <w:rPr>
                    <w:rFonts w:hint="eastAsia"/>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1DB3F93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C6BD04D" w14:textId="77777777" w:rsidR="00E57DAA" w:rsidRDefault="00AC4185">
                <w:pPr>
                  <w:jc w:val="right"/>
                  <w:rPr>
                    <w:szCs w:val="21"/>
                  </w:rPr>
                </w:pPr>
                <w:r>
                  <w:t>47,123,328.47</w:t>
                </w:r>
              </w:p>
            </w:tc>
            <w:tc>
              <w:tcPr>
                <w:tcW w:w="1333" w:type="pct"/>
                <w:tcBorders>
                  <w:top w:val="outset" w:sz="6" w:space="0" w:color="auto"/>
                  <w:left w:val="outset" w:sz="6" w:space="0" w:color="auto"/>
                  <w:bottom w:val="outset" w:sz="6" w:space="0" w:color="auto"/>
                  <w:right w:val="outset" w:sz="6" w:space="0" w:color="auto"/>
                </w:tcBorders>
                <w:vAlign w:val="center"/>
              </w:tcPr>
              <w:p w14:paraId="6F22EB58" w14:textId="77777777" w:rsidR="00E57DAA" w:rsidRDefault="00AC4185">
                <w:pPr>
                  <w:jc w:val="right"/>
                  <w:rPr>
                    <w:szCs w:val="21"/>
                  </w:rPr>
                </w:pPr>
                <w:r>
                  <w:t>50,078,832.11</w:t>
                </w:r>
              </w:p>
            </w:tc>
          </w:tr>
          <w:tr w:rsidR="00E57DAA" w14:paraId="09DDDD7A" w14:textId="77777777">
            <w:tc>
              <w:tcPr>
                <w:tcW w:w="1629" w:type="pct"/>
                <w:tcBorders>
                  <w:top w:val="outset" w:sz="6" w:space="0" w:color="auto"/>
                  <w:left w:val="outset" w:sz="6" w:space="0" w:color="auto"/>
                  <w:bottom w:val="outset" w:sz="6" w:space="0" w:color="auto"/>
                  <w:right w:val="outset" w:sz="6" w:space="0" w:color="auto"/>
                </w:tcBorders>
                <w:vAlign w:val="center"/>
              </w:tcPr>
              <w:p w14:paraId="3161CD9E" w14:textId="77777777" w:rsidR="00E57DAA" w:rsidRDefault="00AC4185">
                <w:pPr>
                  <w:ind w:firstLineChars="100" w:firstLine="210"/>
                  <w:rPr>
                    <w:szCs w:val="21"/>
                  </w:rPr>
                </w:pPr>
                <w:r>
                  <w:rPr>
                    <w:rFonts w:hint="eastAsia"/>
                    <w:szCs w:val="2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1019F7A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F3D64B4" w14:textId="77777777" w:rsidR="00E57DAA" w:rsidRDefault="00AC4185">
                <w:pPr>
                  <w:jc w:val="right"/>
                  <w:rPr>
                    <w:szCs w:val="21"/>
                  </w:rPr>
                </w:pPr>
                <w:r>
                  <w:t>99,134,222.74</w:t>
                </w:r>
              </w:p>
            </w:tc>
            <w:tc>
              <w:tcPr>
                <w:tcW w:w="1333" w:type="pct"/>
                <w:tcBorders>
                  <w:top w:val="outset" w:sz="6" w:space="0" w:color="auto"/>
                  <w:left w:val="outset" w:sz="6" w:space="0" w:color="auto"/>
                  <w:bottom w:val="outset" w:sz="6" w:space="0" w:color="auto"/>
                  <w:right w:val="outset" w:sz="6" w:space="0" w:color="auto"/>
                </w:tcBorders>
                <w:vAlign w:val="center"/>
              </w:tcPr>
              <w:p w14:paraId="014D3459" w14:textId="77777777" w:rsidR="00E57DAA" w:rsidRDefault="00AC4185">
                <w:pPr>
                  <w:jc w:val="right"/>
                  <w:rPr>
                    <w:szCs w:val="21"/>
                  </w:rPr>
                </w:pPr>
                <w:r>
                  <w:t>95,217,444.55</w:t>
                </w:r>
              </w:p>
            </w:tc>
          </w:tr>
          <w:tr w:rsidR="00E57DAA" w14:paraId="3F55AF19" w14:textId="77777777">
            <w:tc>
              <w:tcPr>
                <w:tcW w:w="1629" w:type="pct"/>
                <w:tcBorders>
                  <w:top w:val="outset" w:sz="6" w:space="0" w:color="auto"/>
                  <w:left w:val="outset" w:sz="6" w:space="0" w:color="auto"/>
                  <w:bottom w:val="outset" w:sz="6" w:space="0" w:color="auto"/>
                  <w:right w:val="outset" w:sz="6" w:space="0" w:color="auto"/>
                </w:tcBorders>
                <w:vAlign w:val="center"/>
              </w:tcPr>
              <w:p w14:paraId="1F864C11" w14:textId="77777777" w:rsidR="00E57DAA" w:rsidRDefault="00AC4185">
                <w:pPr>
                  <w:ind w:firstLineChars="100" w:firstLine="210"/>
                  <w:rPr>
                    <w:szCs w:val="21"/>
                  </w:rPr>
                </w:pPr>
                <w:r>
                  <w:rPr>
                    <w:rFonts w:hint="eastAsia"/>
                    <w:szCs w:val="2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7E20F6B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A68896"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CD2D581" w14:textId="77777777" w:rsidR="00E57DAA" w:rsidRDefault="00E57DAA">
                <w:pPr>
                  <w:jc w:val="right"/>
                  <w:rPr>
                    <w:szCs w:val="21"/>
                  </w:rPr>
                </w:pPr>
              </w:p>
            </w:tc>
          </w:tr>
          <w:tr w:rsidR="00E57DAA" w14:paraId="42163F0E" w14:textId="77777777">
            <w:tc>
              <w:tcPr>
                <w:tcW w:w="1629" w:type="pct"/>
                <w:tcBorders>
                  <w:top w:val="outset" w:sz="6" w:space="0" w:color="auto"/>
                  <w:left w:val="outset" w:sz="6" w:space="0" w:color="auto"/>
                  <w:bottom w:val="outset" w:sz="6" w:space="0" w:color="auto"/>
                  <w:right w:val="outset" w:sz="6" w:space="0" w:color="auto"/>
                </w:tcBorders>
                <w:vAlign w:val="center"/>
              </w:tcPr>
              <w:p w14:paraId="552B2806" w14:textId="77777777" w:rsidR="00E57DAA" w:rsidRDefault="00AC4185">
                <w:pPr>
                  <w:ind w:firstLineChars="100" w:firstLine="210"/>
                  <w:rPr>
                    <w:szCs w:val="21"/>
                  </w:rPr>
                </w:pPr>
                <w:r>
                  <w:rPr>
                    <w:rFonts w:hint="eastAsia"/>
                    <w:szCs w:val="2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73AB552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0EEDC2D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2592CBD" w14:textId="77777777" w:rsidR="00E57DAA" w:rsidRDefault="00E57DAA">
                <w:pPr>
                  <w:jc w:val="right"/>
                  <w:rPr>
                    <w:szCs w:val="21"/>
                  </w:rPr>
                </w:pPr>
              </w:p>
            </w:tc>
          </w:tr>
          <w:tr w:rsidR="00E57DAA" w14:paraId="78DCFE36" w14:textId="77777777">
            <w:tc>
              <w:tcPr>
                <w:tcW w:w="1629" w:type="pct"/>
                <w:tcBorders>
                  <w:top w:val="outset" w:sz="6" w:space="0" w:color="auto"/>
                  <w:left w:val="outset" w:sz="6" w:space="0" w:color="auto"/>
                  <w:bottom w:val="outset" w:sz="6" w:space="0" w:color="auto"/>
                  <w:right w:val="outset" w:sz="6" w:space="0" w:color="auto"/>
                </w:tcBorders>
                <w:vAlign w:val="center"/>
              </w:tcPr>
              <w:p w14:paraId="6A7DC13E" w14:textId="77777777" w:rsidR="00E57DAA" w:rsidRDefault="00AC4185">
                <w:pPr>
                  <w:ind w:firstLineChars="100" w:firstLine="210"/>
                  <w:rPr>
                    <w:szCs w:val="21"/>
                  </w:rPr>
                </w:pPr>
                <w:r>
                  <w:rPr>
                    <w:rFonts w:hint="eastAsia"/>
                    <w:szCs w:val="2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756B5A7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27A5322" w14:textId="77777777" w:rsidR="00E57DAA" w:rsidRDefault="00AC4185">
                <w:pPr>
                  <w:jc w:val="right"/>
                  <w:rPr>
                    <w:szCs w:val="21"/>
                  </w:rPr>
                </w:pPr>
                <w:r>
                  <w:t>18,546,737.22</w:t>
                </w:r>
              </w:p>
            </w:tc>
            <w:tc>
              <w:tcPr>
                <w:tcW w:w="1333" w:type="pct"/>
                <w:tcBorders>
                  <w:top w:val="outset" w:sz="6" w:space="0" w:color="auto"/>
                  <w:left w:val="outset" w:sz="6" w:space="0" w:color="auto"/>
                  <w:bottom w:val="outset" w:sz="6" w:space="0" w:color="auto"/>
                  <w:right w:val="outset" w:sz="6" w:space="0" w:color="auto"/>
                </w:tcBorders>
                <w:vAlign w:val="center"/>
              </w:tcPr>
              <w:p w14:paraId="19D41958" w14:textId="77777777" w:rsidR="00E57DAA" w:rsidRDefault="00AC4185">
                <w:pPr>
                  <w:jc w:val="right"/>
                  <w:rPr>
                    <w:szCs w:val="21"/>
                  </w:rPr>
                </w:pPr>
                <w:r>
                  <w:t>20,331,941.10</w:t>
                </w:r>
              </w:p>
            </w:tc>
          </w:tr>
          <w:tr w:rsidR="00E57DAA" w14:paraId="21EC1E9F" w14:textId="77777777">
            <w:tc>
              <w:tcPr>
                <w:tcW w:w="1629" w:type="pct"/>
                <w:tcBorders>
                  <w:top w:val="outset" w:sz="6" w:space="0" w:color="auto"/>
                  <w:left w:val="outset" w:sz="6" w:space="0" w:color="auto"/>
                  <w:bottom w:val="outset" w:sz="6" w:space="0" w:color="auto"/>
                  <w:right w:val="outset" w:sz="6" w:space="0" w:color="auto"/>
                </w:tcBorders>
                <w:vAlign w:val="center"/>
              </w:tcPr>
              <w:p w14:paraId="51115521" w14:textId="77777777" w:rsidR="00E57DAA" w:rsidRDefault="00AC4185">
                <w:pPr>
                  <w:ind w:firstLineChars="100" w:firstLine="210"/>
                  <w:rPr>
                    <w:szCs w:val="21"/>
                  </w:rPr>
                </w:pPr>
                <w:r>
                  <w:rPr>
                    <w:rFonts w:hint="eastAsia"/>
                    <w:szCs w:val="21"/>
                  </w:rPr>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20FBA20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84254F" w14:textId="77777777" w:rsidR="00E57DAA" w:rsidRDefault="00AC4185">
                <w:pPr>
                  <w:jc w:val="right"/>
                  <w:rPr>
                    <w:szCs w:val="21"/>
                  </w:rPr>
                </w:pPr>
                <w:r>
                  <w:t>129,076,667.12</w:t>
                </w:r>
              </w:p>
            </w:tc>
            <w:tc>
              <w:tcPr>
                <w:tcW w:w="1333" w:type="pct"/>
                <w:tcBorders>
                  <w:top w:val="outset" w:sz="6" w:space="0" w:color="auto"/>
                  <w:left w:val="outset" w:sz="6" w:space="0" w:color="auto"/>
                  <w:bottom w:val="outset" w:sz="6" w:space="0" w:color="auto"/>
                  <w:right w:val="outset" w:sz="6" w:space="0" w:color="auto"/>
                </w:tcBorders>
                <w:vAlign w:val="center"/>
              </w:tcPr>
              <w:p w14:paraId="18983313" w14:textId="77777777" w:rsidR="00E57DAA" w:rsidRDefault="00AC4185">
                <w:pPr>
                  <w:jc w:val="right"/>
                  <w:rPr>
                    <w:szCs w:val="21"/>
                  </w:rPr>
                </w:pPr>
                <w:r>
                  <w:t>139,418,633.12</w:t>
                </w:r>
              </w:p>
            </w:tc>
          </w:tr>
          <w:tr w:rsidR="00E57DAA" w14:paraId="4A44BFA9" w14:textId="77777777">
            <w:tc>
              <w:tcPr>
                <w:tcW w:w="1629" w:type="pct"/>
                <w:tcBorders>
                  <w:top w:val="outset" w:sz="6" w:space="0" w:color="auto"/>
                  <w:left w:val="outset" w:sz="6" w:space="0" w:color="auto"/>
                  <w:bottom w:val="outset" w:sz="6" w:space="0" w:color="auto"/>
                  <w:right w:val="outset" w:sz="6" w:space="0" w:color="auto"/>
                </w:tcBorders>
                <w:vAlign w:val="center"/>
              </w:tcPr>
              <w:p w14:paraId="7A5F6E82" w14:textId="77777777" w:rsidR="00E57DAA" w:rsidRDefault="00AC4185">
                <w:pPr>
                  <w:ind w:firstLineChars="100" w:firstLine="210"/>
                  <w:rPr>
                    <w:szCs w:val="21"/>
                  </w:rPr>
                </w:pPr>
                <w:r>
                  <w:rPr>
                    <w:rFonts w:hint="eastAsia"/>
                    <w:szCs w:val="21"/>
                  </w:rPr>
                  <w:t>其他非流动资产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3A1F6CA2"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9762F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4BD391B" w14:textId="77777777" w:rsidR="00E57DAA" w:rsidRDefault="00E57DAA">
                <w:pPr>
                  <w:jc w:val="right"/>
                  <w:rPr>
                    <w:szCs w:val="21"/>
                  </w:rPr>
                </w:pPr>
              </w:p>
            </w:tc>
          </w:tr>
          <w:tr w:rsidR="00E57DAA" w14:paraId="789A248A" w14:textId="77777777">
            <w:tc>
              <w:tcPr>
                <w:tcW w:w="1629" w:type="pct"/>
                <w:tcBorders>
                  <w:top w:val="outset" w:sz="6" w:space="0" w:color="auto"/>
                  <w:left w:val="outset" w:sz="6" w:space="0" w:color="auto"/>
                  <w:bottom w:val="outset" w:sz="6" w:space="0" w:color="auto"/>
                  <w:right w:val="outset" w:sz="6" w:space="0" w:color="auto"/>
                </w:tcBorders>
                <w:vAlign w:val="center"/>
              </w:tcPr>
              <w:p w14:paraId="4A79A417" w14:textId="77777777" w:rsidR="00E57DAA" w:rsidRDefault="00AC4185">
                <w:pPr>
                  <w:ind w:firstLineChars="200" w:firstLine="420"/>
                  <w:rPr>
                    <w:szCs w:val="21"/>
                  </w:rPr>
                </w:pPr>
                <w:r>
                  <w:rPr>
                    <w:rFonts w:hint="eastAsia"/>
                    <w:szCs w:val="21"/>
                  </w:rPr>
                  <w:t>非流动资产合计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3798DD3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E6AB501" w14:textId="77777777" w:rsidR="00E57DAA" w:rsidRDefault="00AC4185">
                <w:pPr>
                  <w:jc w:val="right"/>
                  <w:rPr>
                    <w:szCs w:val="21"/>
                  </w:rPr>
                </w:pPr>
                <w:r>
                  <w:t>14,593,315,906.24</w:t>
                </w:r>
              </w:p>
            </w:tc>
            <w:tc>
              <w:tcPr>
                <w:tcW w:w="1333" w:type="pct"/>
                <w:tcBorders>
                  <w:top w:val="outset" w:sz="6" w:space="0" w:color="auto"/>
                  <w:left w:val="outset" w:sz="6" w:space="0" w:color="auto"/>
                  <w:bottom w:val="outset" w:sz="6" w:space="0" w:color="auto"/>
                  <w:right w:val="outset" w:sz="6" w:space="0" w:color="auto"/>
                </w:tcBorders>
                <w:vAlign w:val="center"/>
              </w:tcPr>
              <w:p w14:paraId="5EAEF281" w14:textId="77777777" w:rsidR="00E57DAA" w:rsidRDefault="00AC4185">
                <w:pPr>
                  <w:jc w:val="right"/>
                  <w:rPr>
                    <w:szCs w:val="21"/>
                  </w:rPr>
                </w:pPr>
                <w:r>
                  <w:t>11,372,995,082.36</w:t>
                </w:r>
              </w:p>
            </w:tc>
          </w:tr>
          <w:tr w:rsidR="00E57DAA" w14:paraId="5B9E4EDD" w14:textId="77777777">
            <w:tc>
              <w:tcPr>
                <w:tcW w:w="1629" w:type="pct"/>
                <w:tcBorders>
                  <w:top w:val="outset" w:sz="6" w:space="0" w:color="auto"/>
                  <w:left w:val="outset" w:sz="6" w:space="0" w:color="auto"/>
                  <w:bottom w:val="outset" w:sz="6" w:space="0" w:color="auto"/>
                  <w:right w:val="outset" w:sz="6" w:space="0" w:color="auto"/>
                </w:tcBorders>
                <w:vAlign w:val="center"/>
              </w:tcPr>
              <w:p w14:paraId="4C78AEA1" w14:textId="77777777" w:rsidR="00E57DAA" w:rsidRDefault="00AC4185">
                <w:pPr>
                  <w:ind w:firstLineChars="300" w:firstLine="630"/>
                  <w:rPr>
                    <w:szCs w:val="21"/>
                  </w:rPr>
                </w:pPr>
                <w:r>
                  <w:rPr>
                    <w:rFonts w:hint="eastAsia"/>
                    <w:szCs w:val="21"/>
                  </w:rPr>
                  <w:t>资产总计</w:t>
                </w:r>
              </w:p>
            </w:tc>
            <w:tc>
              <w:tcPr>
                <w:tcW w:w="627" w:type="pct"/>
                <w:tcBorders>
                  <w:top w:val="outset" w:sz="6" w:space="0" w:color="auto"/>
                  <w:left w:val="outset" w:sz="6" w:space="0" w:color="auto"/>
                  <w:bottom w:val="outset" w:sz="6" w:space="0" w:color="auto"/>
                  <w:right w:val="outset" w:sz="6" w:space="0" w:color="auto"/>
                </w:tcBorders>
                <w:vAlign w:val="center"/>
              </w:tcPr>
              <w:p w14:paraId="4CD030E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F1D727" w14:textId="77777777" w:rsidR="00E57DAA" w:rsidRDefault="00AC4185">
                <w:pPr>
                  <w:jc w:val="right"/>
                  <w:rPr>
                    <w:szCs w:val="21"/>
                  </w:rPr>
                </w:pPr>
                <w:r>
                  <w:t>24,165,715,727.00</w:t>
                </w:r>
              </w:p>
            </w:tc>
            <w:tc>
              <w:tcPr>
                <w:tcW w:w="1333" w:type="pct"/>
                <w:tcBorders>
                  <w:top w:val="outset" w:sz="6" w:space="0" w:color="auto"/>
                  <w:left w:val="outset" w:sz="6" w:space="0" w:color="auto"/>
                  <w:bottom w:val="outset" w:sz="6" w:space="0" w:color="auto"/>
                  <w:right w:val="outset" w:sz="6" w:space="0" w:color="auto"/>
                </w:tcBorders>
                <w:vAlign w:val="center"/>
              </w:tcPr>
              <w:p w14:paraId="7DD7D1F3" w14:textId="77777777" w:rsidR="00E57DAA" w:rsidRDefault="00AC4185">
                <w:pPr>
                  <w:jc w:val="right"/>
                  <w:rPr>
                    <w:szCs w:val="21"/>
                  </w:rPr>
                </w:pPr>
                <w:r>
                  <w:t>19,816,466,251.40</w:t>
                </w:r>
              </w:p>
            </w:tc>
          </w:tr>
          <w:tr w:rsidR="00E57DAA" w14:paraId="4DE07A05" w14:textId="77777777">
            <w:sdt>
              <w:sdtPr>
                <w:tag w:val="_PLD_097e7abf0b344d7ba64ab9a99dd2d2fa"/>
                <w:id w:val="-1605030630"/>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3444A3A" w14:textId="77777777" w:rsidR="00E57DAA" w:rsidRDefault="00AC4185">
                    <w:pPr>
                      <w:rPr>
                        <w:color w:val="FF00FF"/>
                        <w:szCs w:val="21"/>
                      </w:rPr>
                    </w:pPr>
                    <w:r>
                      <w:rPr>
                        <w:rFonts w:hint="eastAsia"/>
                        <w:b/>
                        <w:bCs/>
                        <w:szCs w:val="21"/>
                      </w:rPr>
                      <w:t>流动负债：</w:t>
                    </w:r>
                  </w:p>
                </w:tc>
              </w:sdtContent>
            </w:sdt>
          </w:tr>
          <w:tr w:rsidR="00E57DAA" w14:paraId="7361A156" w14:textId="77777777">
            <w:tc>
              <w:tcPr>
                <w:tcW w:w="1629" w:type="pct"/>
                <w:tcBorders>
                  <w:top w:val="outset" w:sz="6" w:space="0" w:color="auto"/>
                  <w:left w:val="outset" w:sz="6" w:space="0" w:color="auto"/>
                  <w:bottom w:val="outset" w:sz="6" w:space="0" w:color="auto"/>
                  <w:right w:val="outset" w:sz="6" w:space="0" w:color="auto"/>
                </w:tcBorders>
                <w:vAlign w:val="center"/>
              </w:tcPr>
              <w:p w14:paraId="37B601AF" w14:textId="77777777" w:rsidR="00E57DAA" w:rsidRDefault="00AC4185">
                <w:pPr>
                  <w:ind w:firstLineChars="100" w:firstLine="210"/>
                  <w:rPr>
                    <w:szCs w:val="21"/>
                  </w:rPr>
                </w:pPr>
                <w:r>
                  <w:rPr>
                    <w:rFonts w:hint="eastAsia"/>
                    <w:szCs w:val="21"/>
                  </w:rPr>
                  <w:t>短期借款</w:t>
                </w:r>
              </w:p>
            </w:tc>
            <w:tc>
              <w:tcPr>
                <w:tcW w:w="627" w:type="pct"/>
                <w:tcBorders>
                  <w:top w:val="outset" w:sz="6" w:space="0" w:color="auto"/>
                  <w:left w:val="outset" w:sz="6" w:space="0" w:color="auto"/>
                  <w:bottom w:val="outset" w:sz="6" w:space="0" w:color="auto"/>
                  <w:right w:val="outset" w:sz="6" w:space="0" w:color="auto"/>
                </w:tcBorders>
              </w:tcPr>
              <w:p w14:paraId="5C6B77A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1DB37A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1F2317E" w14:textId="77777777" w:rsidR="00E57DAA" w:rsidRDefault="00AC4185">
                <w:pPr>
                  <w:jc w:val="right"/>
                  <w:rPr>
                    <w:szCs w:val="21"/>
                  </w:rPr>
                </w:pPr>
                <w:r>
                  <w:t>744,563,644.44</w:t>
                </w:r>
              </w:p>
            </w:tc>
          </w:tr>
          <w:tr w:rsidR="00E57DAA" w14:paraId="6470211F" w14:textId="77777777">
            <w:tc>
              <w:tcPr>
                <w:tcW w:w="1629" w:type="pct"/>
                <w:tcBorders>
                  <w:top w:val="outset" w:sz="6" w:space="0" w:color="auto"/>
                  <w:left w:val="outset" w:sz="6" w:space="0" w:color="auto"/>
                  <w:bottom w:val="outset" w:sz="6" w:space="0" w:color="auto"/>
                  <w:right w:val="outset" w:sz="6" w:space="0" w:color="auto"/>
                </w:tcBorders>
                <w:vAlign w:val="center"/>
              </w:tcPr>
              <w:p w14:paraId="0377561C" w14:textId="77777777" w:rsidR="00E57DAA" w:rsidRDefault="00AC4185">
                <w:pPr>
                  <w:ind w:firstLineChars="100" w:firstLine="210"/>
                </w:pPr>
                <w:r>
                  <w:rPr>
                    <w:rFonts w:hint="eastAsia"/>
                  </w:rPr>
                  <w:t>交易性金融负债</w:t>
                </w:r>
              </w:p>
            </w:tc>
            <w:tc>
              <w:tcPr>
                <w:tcW w:w="627" w:type="pct"/>
                <w:tcBorders>
                  <w:top w:val="outset" w:sz="6" w:space="0" w:color="auto"/>
                  <w:left w:val="outset" w:sz="6" w:space="0" w:color="auto"/>
                  <w:bottom w:val="outset" w:sz="6" w:space="0" w:color="auto"/>
                  <w:right w:val="outset" w:sz="6" w:space="0" w:color="auto"/>
                </w:tcBorders>
              </w:tcPr>
              <w:p w14:paraId="142F190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6DDF3B5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7F45BBD" w14:textId="77777777" w:rsidR="00E57DAA" w:rsidRDefault="00E57DAA">
                <w:pPr>
                  <w:jc w:val="right"/>
                  <w:rPr>
                    <w:szCs w:val="21"/>
                  </w:rPr>
                </w:pPr>
              </w:p>
            </w:tc>
          </w:tr>
          <w:tr w:rsidR="00E57DAA" w14:paraId="29590B84" w14:textId="77777777">
            <w:tc>
              <w:tcPr>
                <w:tcW w:w="1629" w:type="pct"/>
                <w:tcBorders>
                  <w:top w:val="outset" w:sz="6" w:space="0" w:color="auto"/>
                  <w:left w:val="outset" w:sz="6" w:space="0" w:color="auto"/>
                  <w:bottom w:val="outset" w:sz="6" w:space="0" w:color="auto"/>
                  <w:right w:val="outset" w:sz="6" w:space="0" w:color="auto"/>
                </w:tcBorders>
                <w:vAlign w:val="center"/>
              </w:tcPr>
              <w:p w14:paraId="3CB39CB2" w14:textId="77777777" w:rsidR="00E57DAA" w:rsidRDefault="00AC4185">
                <w:pPr>
                  <w:ind w:firstLineChars="100" w:firstLine="210"/>
                  <w:rPr>
                    <w:szCs w:val="21"/>
                  </w:rPr>
                </w:pPr>
                <w:r>
                  <w:rPr>
                    <w:rFonts w:hint="eastAsia"/>
                    <w:szCs w:val="21"/>
                  </w:rPr>
                  <w:t>衍生金融负债</w:t>
                </w:r>
              </w:p>
            </w:tc>
            <w:tc>
              <w:tcPr>
                <w:tcW w:w="627" w:type="pct"/>
                <w:tcBorders>
                  <w:top w:val="outset" w:sz="6" w:space="0" w:color="auto"/>
                  <w:left w:val="outset" w:sz="6" w:space="0" w:color="auto"/>
                  <w:bottom w:val="outset" w:sz="6" w:space="0" w:color="auto"/>
                  <w:right w:val="outset" w:sz="6" w:space="0" w:color="auto"/>
                </w:tcBorders>
              </w:tcPr>
              <w:p w14:paraId="518F2AD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6C1DB9"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BD404F" w14:textId="77777777" w:rsidR="00E57DAA" w:rsidRDefault="00E57DAA">
                <w:pPr>
                  <w:jc w:val="right"/>
                  <w:rPr>
                    <w:szCs w:val="21"/>
                  </w:rPr>
                </w:pPr>
              </w:p>
            </w:tc>
          </w:tr>
          <w:tr w:rsidR="00E57DAA" w14:paraId="4CF21328" w14:textId="77777777">
            <w:tc>
              <w:tcPr>
                <w:tcW w:w="1629" w:type="pct"/>
                <w:tcBorders>
                  <w:top w:val="outset" w:sz="6" w:space="0" w:color="auto"/>
                  <w:left w:val="outset" w:sz="6" w:space="0" w:color="auto"/>
                  <w:bottom w:val="outset" w:sz="6" w:space="0" w:color="auto"/>
                  <w:right w:val="outset" w:sz="6" w:space="0" w:color="auto"/>
                </w:tcBorders>
                <w:vAlign w:val="center"/>
              </w:tcPr>
              <w:p w14:paraId="581B813F" w14:textId="77777777" w:rsidR="00E57DAA" w:rsidRDefault="00AC4185">
                <w:pPr>
                  <w:ind w:firstLineChars="100" w:firstLine="210"/>
                  <w:rPr>
                    <w:szCs w:val="21"/>
                  </w:rPr>
                </w:pPr>
                <w:r>
                  <w:rPr>
                    <w:rFonts w:hint="eastAsia"/>
                    <w:szCs w:val="21"/>
                  </w:rPr>
                  <w:t>应付票据</w:t>
                </w:r>
              </w:p>
            </w:tc>
            <w:tc>
              <w:tcPr>
                <w:tcW w:w="627" w:type="pct"/>
                <w:tcBorders>
                  <w:top w:val="outset" w:sz="6" w:space="0" w:color="auto"/>
                  <w:left w:val="outset" w:sz="6" w:space="0" w:color="auto"/>
                  <w:bottom w:val="outset" w:sz="6" w:space="0" w:color="auto"/>
                  <w:right w:val="outset" w:sz="6" w:space="0" w:color="auto"/>
                </w:tcBorders>
              </w:tcPr>
              <w:p w14:paraId="323A33D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DE4874A" w14:textId="77777777" w:rsidR="00E57DAA" w:rsidRDefault="00AC4185">
                <w:pPr>
                  <w:jc w:val="right"/>
                  <w:rPr>
                    <w:szCs w:val="21"/>
                  </w:rPr>
                </w:pPr>
                <w:r>
                  <w:t>310,184,850.80</w:t>
                </w:r>
              </w:p>
            </w:tc>
            <w:tc>
              <w:tcPr>
                <w:tcW w:w="1333" w:type="pct"/>
                <w:tcBorders>
                  <w:top w:val="outset" w:sz="6" w:space="0" w:color="auto"/>
                  <w:left w:val="outset" w:sz="6" w:space="0" w:color="auto"/>
                  <w:bottom w:val="outset" w:sz="6" w:space="0" w:color="auto"/>
                  <w:right w:val="outset" w:sz="6" w:space="0" w:color="auto"/>
                </w:tcBorders>
                <w:vAlign w:val="center"/>
              </w:tcPr>
              <w:p w14:paraId="43271233" w14:textId="77777777" w:rsidR="00E57DAA" w:rsidRDefault="00AC4185">
                <w:pPr>
                  <w:jc w:val="right"/>
                  <w:rPr>
                    <w:szCs w:val="21"/>
                  </w:rPr>
                </w:pPr>
                <w:r>
                  <w:t>488,854,377.26</w:t>
                </w:r>
              </w:p>
            </w:tc>
          </w:tr>
          <w:tr w:rsidR="00E57DAA" w14:paraId="0D42C873" w14:textId="77777777">
            <w:tc>
              <w:tcPr>
                <w:tcW w:w="1629" w:type="pct"/>
                <w:tcBorders>
                  <w:top w:val="outset" w:sz="6" w:space="0" w:color="auto"/>
                  <w:left w:val="outset" w:sz="6" w:space="0" w:color="auto"/>
                  <w:bottom w:val="outset" w:sz="6" w:space="0" w:color="auto"/>
                  <w:right w:val="outset" w:sz="6" w:space="0" w:color="auto"/>
                </w:tcBorders>
                <w:vAlign w:val="center"/>
              </w:tcPr>
              <w:p w14:paraId="7DD5BD32" w14:textId="77777777" w:rsidR="00E57DAA" w:rsidRDefault="00AC4185">
                <w:pPr>
                  <w:ind w:firstLineChars="100" w:firstLine="210"/>
                  <w:rPr>
                    <w:szCs w:val="21"/>
                  </w:rPr>
                </w:pPr>
                <w:r>
                  <w:rPr>
                    <w:rFonts w:hint="eastAsia"/>
                    <w:szCs w:val="21"/>
                  </w:rPr>
                  <w:t>应付账款</w:t>
                </w:r>
              </w:p>
            </w:tc>
            <w:tc>
              <w:tcPr>
                <w:tcW w:w="627" w:type="pct"/>
                <w:tcBorders>
                  <w:top w:val="outset" w:sz="6" w:space="0" w:color="auto"/>
                  <w:left w:val="outset" w:sz="6" w:space="0" w:color="auto"/>
                  <w:bottom w:val="outset" w:sz="6" w:space="0" w:color="auto"/>
                  <w:right w:val="outset" w:sz="6" w:space="0" w:color="auto"/>
                </w:tcBorders>
              </w:tcPr>
              <w:p w14:paraId="0BC814F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D7F2B6" w14:textId="77777777" w:rsidR="00E57DAA" w:rsidRDefault="00AC4185">
                <w:pPr>
                  <w:jc w:val="right"/>
                  <w:rPr>
                    <w:szCs w:val="21"/>
                  </w:rPr>
                </w:pPr>
                <w:r>
                  <w:t>3,160,302,332.78</w:t>
                </w:r>
              </w:p>
            </w:tc>
            <w:tc>
              <w:tcPr>
                <w:tcW w:w="1333" w:type="pct"/>
                <w:tcBorders>
                  <w:top w:val="outset" w:sz="6" w:space="0" w:color="auto"/>
                  <w:left w:val="outset" w:sz="6" w:space="0" w:color="auto"/>
                  <w:bottom w:val="outset" w:sz="6" w:space="0" w:color="auto"/>
                  <w:right w:val="outset" w:sz="6" w:space="0" w:color="auto"/>
                </w:tcBorders>
                <w:vAlign w:val="center"/>
              </w:tcPr>
              <w:p w14:paraId="1886FA73" w14:textId="77777777" w:rsidR="00E57DAA" w:rsidRDefault="00AC4185">
                <w:pPr>
                  <w:jc w:val="right"/>
                  <w:rPr>
                    <w:szCs w:val="21"/>
                  </w:rPr>
                </w:pPr>
                <w:r>
                  <w:t>2,887,256,221.31</w:t>
                </w:r>
              </w:p>
            </w:tc>
          </w:tr>
          <w:tr w:rsidR="00E57DAA" w14:paraId="2B9BB133" w14:textId="77777777">
            <w:tc>
              <w:tcPr>
                <w:tcW w:w="1629" w:type="pct"/>
                <w:tcBorders>
                  <w:top w:val="outset" w:sz="6" w:space="0" w:color="auto"/>
                  <w:left w:val="outset" w:sz="6" w:space="0" w:color="auto"/>
                  <w:bottom w:val="outset" w:sz="6" w:space="0" w:color="auto"/>
                  <w:right w:val="outset" w:sz="6" w:space="0" w:color="auto"/>
                </w:tcBorders>
                <w:vAlign w:val="center"/>
              </w:tcPr>
              <w:p w14:paraId="56109FDE" w14:textId="77777777" w:rsidR="00E57DAA" w:rsidRDefault="00AC4185">
                <w:pPr>
                  <w:ind w:firstLineChars="100" w:firstLine="210"/>
                  <w:rPr>
                    <w:szCs w:val="21"/>
                  </w:rPr>
                </w:pPr>
                <w:r>
                  <w:rPr>
                    <w:rFonts w:hint="eastAsia"/>
                    <w:szCs w:val="21"/>
                  </w:rPr>
                  <w:t>预收款项</w:t>
                </w:r>
              </w:p>
            </w:tc>
            <w:tc>
              <w:tcPr>
                <w:tcW w:w="627" w:type="pct"/>
                <w:tcBorders>
                  <w:top w:val="outset" w:sz="6" w:space="0" w:color="auto"/>
                  <w:left w:val="outset" w:sz="6" w:space="0" w:color="auto"/>
                  <w:bottom w:val="outset" w:sz="6" w:space="0" w:color="auto"/>
                  <w:right w:val="outset" w:sz="6" w:space="0" w:color="auto"/>
                </w:tcBorders>
              </w:tcPr>
              <w:p w14:paraId="56D1FB6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A6DD56"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C85FF30" w14:textId="77777777" w:rsidR="00E57DAA" w:rsidRDefault="00E57DAA">
                <w:pPr>
                  <w:jc w:val="right"/>
                  <w:rPr>
                    <w:szCs w:val="21"/>
                  </w:rPr>
                </w:pPr>
              </w:p>
            </w:tc>
          </w:tr>
          <w:tr w:rsidR="00E57DAA" w14:paraId="134EA217" w14:textId="77777777">
            <w:tc>
              <w:tcPr>
                <w:tcW w:w="1629" w:type="pct"/>
                <w:tcBorders>
                  <w:top w:val="outset" w:sz="6" w:space="0" w:color="auto"/>
                  <w:left w:val="outset" w:sz="6" w:space="0" w:color="auto"/>
                  <w:bottom w:val="outset" w:sz="6" w:space="0" w:color="auto"/>
                  <w:right w:val="outset" w:sz="6" w:space="0" w:color="auto"/>
                </w:tcBorders>
                <w:vAlign w:val="center"/>
              </w:tcPr>
              <w:p w14:paraId="0EE9C66D" w14:textId="77777777" w:rsidR="00E57DAA" w:rsidRDefault="00AC4185">
                <w:pPr>
                  <w:ind w:firstLineChars="100" w:firstLine="210"/>
                </w:pPr>
                <w:r>
                  <w:rPr>
                    <w:rFonts w:hint="eastAsia"/>
                  </w:rPr>
                  <w:t>合同负债</w:t>
                </w:r>
              </w:p>
            </w:tc>
            <w:tc>
              <w:tcPr>
                <w:tcW w:w="627" w:type="pct"/>
                <w:tcBorders>
                  <w:top w:val="outset" w:sz="6" w:space="0" w:color="auto"/>
                  <w:left w:val="outset" w:sz="6" w:space="0" w:color="auto"/>
                  <w:bottom w:val="outset" w:sz="6" w:space="0" w:color="auto"/>
                  <w:right w:val="outset" w:sz="6" w:space="0" w:color="auto"/>
                </w:tcBorders>
              </w:tcPr>
              <w:p w14:paraId="396DEF5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98452E5" w14:textId="77777777" w:rsidR="00E57DAA" w:rsidRDefault="00AC4185">
                <w:pPr>
                  <w:jc w:val="right"/>
                  <w:rPr>
                    <w:szCs w:val="21"/>
                  </w:rPr>
                </w:pPr>
                <w:r>
                  <w:t>1,896,869,225.95</w:t>
                </w:r>
              </w:p>
            </w:tc>
            <w:tc>
              <w:tcPr>
                <w:tcW w:w="1333" w:type="pct"/>
                <w:tcBorders>
                  <w:top w:val="outset" w:sz="6" w:space="0" w:color="auto"/>
                  <w:left w:val="outset" w:sz="6" w:space="0" w:color="auto"/>
                  <w:bottom w:val="outset" w:sz="6" w:space="0" w:color="auto"/>
                  <w:right w:val="outset" w:sz="6" w:space="0" w:color="auto"/>
                </w:tcBorders>
                <w:vAlign w:val="center"/>
              </w:tcPr>
              <w:p w14:paraId="746CF70D" w14:textId="77777777" w:rsidR="00E57DAA" w:rsidRDefault="00AC4185">
                <w:pPr>
                  <w:jc w:val="right"/>
                  <w:rPr>
                    <w:szCs w:val="21"/>
                  </w:rPr>
                </w:pPr>
                <w:r>
                  <w:t>1,163,285,923.88</w:t>
                </w:r>
              </w:p>
            </w:tc>
          </w:tr>
          <w:tr w:rsidR="00E57DAA" w14:paraId="40869191" w14:textId="77777777">
            <w:tc>
              <w:tcPr>
                <w:tcW w:w="1629" w:type="pct"/>
                <w:tcBorders>
                  <w:top w:val="outset" w:sz="6" w:space="0" w:color="auto"/>
                  <w:left w:val="outset" w:sz="6" w:space="0" w:color="auto"/>
                  <w:bottom w:val="outset" w:sz="6" w:space="0" w:color="auto"/>
                  <w:right w:val="outset" w:sz="6" w:space="0" w:color="auto"/>
                </w:tcBorders>
                <w:vAlign w:val="center"/>
              </w:tcPr>
              <w:p w14:paraId="4AAD0347" w14:textId="77777777" w:rsidR="00E57DAA" w:rsidRDefault="00AC4185">
                <w:pPr>
                  <w:ind w:firstLineChars="100" w:firstLine="210"/>
                  <w:rPr>
                    <w:szCs w:val="21"/>
                  </w:rPr>
                </w:pPr>
                <w:r>
                  <w:rPr>
                    <w:rFonts w:hint="eastAsia"/>
                    <w:szCs w:val="21"/>
                  </w:rPr>
                  <w:t>应付职工薪酬</w:t>
                </w:r>
              </w:p>
            </w:tc>
            <w:tc>
              <w:tcPr>
                <w:tcW w:w="627" w:type="pct"/>
                <w:tcBorders>
                  <w:top w:val="outset" w:sz="6" w:space="0" w:color="auto"/>
                  <w:left w:val="outset" w:sz="6" w:space="0" w:color="auto"/>
                  <w:bottom w:val="outset" w:sz="6" w:space="0" w:color="auto"/>
                  <w:right w:val="outset" w:sz="6" w:space="0" w:color="auto"/>
                </w:tcBorders>
              </w:tcPr>
              <w:p w14:paraId="6A639A1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A1BB316" w14:textId="77777777" w:rsidR="00E57DAA" w:rsidRDefault="00AC4185">
                <w:pPr>
                  <w:jc w:val="right"/>
                  <w:rPr>
                    <w:szCs w:val="21"/>
                  </w:rPr>
                </w:pPr>
                <w:r>
                  <w:t>159,354,267.41</w:t>
                </w:r>
              </w:p>
            </w:tc>
            <w:tc>
              <w:tcPr>
                <w:tcW w:w="1333" w:type="pct"/>
                <w:tcBorders>
                  <w:top w:val="outset" w:sz="6" w:space="0" w:color="auto"/>
                  <w:left w:val="outset" w:sz="6" w:space="0" w:color="auto"/>
                  <w:bottom w:val="outset" w:sz="6" w:space="0" w:color="auto"/>
                  <w:right w:val="outset" w:sz="6" w:space="0" w:color="auto"/>
                </w:tcBorders>
                <w:vAlign w:val="center"/>
              </w:tcPr>
              <w:p w14:paraId="63B20C16" w14:textId="77777777" w:rsidR="00E57DAA" w:rsidRDefault="00AC4185">
                <w:pPr>
                  <w:jc w:val="right"/>
                  <w:rPr>
                    <w:szCs w:val="21"/>
                  </w:rPr>
                </w:pPr>
                <w:r>
                  <w:t>187,217,233.68</w:t>
                </w:r>
              </w:p>
            </w:tc>
          </w:tr>
          <w:tr w:rsidR="00E57DAA" w14:paraId="18E3758D" w14:textId="77777777">
            <w:tc>
              <w:tcPr>
                <w:tcW w:w="1629" w:type="pct"/>
                <w:tcBorders>
                  <w:top w:val="outset" w:sz="6" w:space="0" w:color="auto"/>
                  <w:left w:val="outset" w:sz="6" w:space="0" w:color="auto"/>
                  <w:bottom w:val="outset" w:sz="6" w:space="0" w:color="auto"/>
                  <w:right w:val="outset" w:sz="6" w:space="0" w:color="auto"/>
                </w:tcBorders>
                <w:vAlign w:val="center"/>
              </w:tcPr>
              <w:p w14:paraId="058B3EE5" w14:textId="77777777" w:rsidR="00E57DAA" w:rsidRDefault="00AC4185">
                <w:pPr>
                  <w:ind w:firstLineChars="100" w:firstLine="210"/>
                  <w:rPr>
                    <w:szCs w:val="21"/>
                  </w:rPr>
                </w:pPr>
                <w:r>
                  <w:rPr>
                    <w:rFonts w:hint="eastAsia"/>
                    <w:szCs w:val="21"/>
                  </w:rPr>
                  <w:t>应交税费</w:t>
                </w:r>
              </w:p>
            </w:tc>
            <w:tc>
              <w:tcPr>
                <w:tcW w:w="627" w:type="pct"/>
                <w:tcBorders>
                  <w:top w:val="outset" w:sz="6" w:space="0" w:color="auto"/>
                  <w:left w:val="outset" w:sz="6" w:space="0" w:color="auto"/>
                  <w:bottom w:val="outset" w:sz="6" w:space="0" w:color="auto"/>
                  <w:right w:val="outset" w:sz="6" w:space="0" w:color="auto"/>
                </w:tcBorders>
              </w:tcPr>
              <w:p w14:paraId="49F89B2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164F757" w14:textId="77777777" w:rsidR="00E57DAA" w:rsidRDefault="00AC4185">
                <w:pPr>
                  <w:jc w:val="right"/>
                  <w:rPr>
                    <w:szCs w:val="21"/>
                  </w:rPr>
                </w:pPr>
                <w:r>
                  <w:t>50,215,256.73</w:t>
                </w:r>
              </w:p>
            </w:tc>
            <w:tc>
              <w:tcPr>
                <w:tcW w:w="1333" w:type="pct"/>
                <w:tcBorders>
                  <w:top w:val="outset" w:sz="6" w:space="0" w:color="auto"/>
                  <w:left w:val="outset" w:sz="6" w:space="0" w:color="auto"/>
                  <w:bottom w:val="outset" w:sz="6" w:space="0" w:color="auto"/>
                  <w:right w:val="outset" w:sz="6" w:space="0" w:color="auto"/>
                </w:tcBorders>
                <w:vAlign w:val="center"/>
              </w:tcPr>
              <w:p w14:paraId="7971AC14" w14:textId="77777777" w:rsidR="00E57DAA" w:rsidRDefault="00AC4185">
                <w:pPr>
                  <w:jc w:val="right"/>
                  <w:rPr>
                    <w:szCs w:val="21"/>
                  </w:rPr>
                </w:pPr>
                <w:r>
                  <w:t>81,147,842.11</w:t>
                </w:r>
              </w:p>
            </w:tc>
          </w:tr>
          <w:tr w:rsidR="00E57DAA" w14:paraId="02A2BD7E" w14:textId="77777777">
            <w:tc>
              <w:tcPr>
                <w:tcW w:w="1629" w:type="pct"/>
                <w:tcBorders>
                  <w:top w:val="outset" w:sz="6" w:space="0" w:color="auto"/>
                  <w:left w:val="outset" w:sz="6" w:space="0" w:color="auto"/>
                  <w:bottom w:val="outset" w:sz="6" w:space="0" w:color="auto"/>
                  <w:right w:val="outset" w:sz="6" w:space="0" w:color="auto"/>
                </w:tcBorders>
                <w:vAlign w:val="center"/>
              </w:tcPr>
              <w:p w14:paraId="6921667B" w14:textId="77777777" w:rsidR="00E57DAA" w:rsidRDefault="00AC4185">
                <w:pPr>
                  <w:ind w:firstLineChars="100" w:firstLine="210"/>
                  <w:rPr>
                    <w:szCs w:val="21"/>
                  </w:rPr>
                </w:pPr>
                <w:r>
                  <w:rPr>
                    <w:rFonts w:hint="eastAsia"/>
                    <w:szCs w:val="21"/>
                  </w:rPr>
                  <w:t>其他应付款</w:t>
                </w:r>
              </w:p>
            </w:tc>
            <w:tc>
              <w:tcPr>
                <w:tcW w:w="627" w:type="pct"/>
                <w:tcBorders>
                  <w:top w:val="outset" w:sz="6" w:space="0" w:color="auto"/>
                  <w:left w:val="outset" w:sz="6" w:space="0" w:color="auto"/>
                  <w:bottom w:val="outset" w:sz="6" w:space="0" w:color="auto"/>
                  <w:right w:val="outset" w:sz="6" w:space="0" w:color="auto"/>
                </w:tcBorders>
              </w:tcPr>
              <w:p w14:paraId="416568B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A6FA4EC" w14:textId="77777777" w:rsidR="00E57DAA" w:rsidRDefault="00AC4185">
                <w:pPr>
                  <w:jc w:val="right"/>
                  <w:rPr>
                    <w:szCs w:val="21"/>
                  </w:rPr>
                </w:pPr>
                <w:r>
                  <w:t>6,132,673,599.73</w:t>
                </w:r>
              </w:p>
            </w:tc>
            <w:tc>
              <w:tcPr>
                <w:tcW w:w="1333" w:type="pct"/>
                <w:tcBorders>
                  <w:top w:val="outset" w:sz="6" w:space="0" w:color="auto"/>
                  <w:left w:val="outset" w:sz="6" w:space="0" w:color="auto"/>
                  <w:bottom w:val="outset" w:sz="6" w:space="0" w:color="auto"/>
                  <w:right w:val="outset" w:sz="6" w:space="0" w:color="auto"/>
                </w:tcBorders>
                <w:vAlign w:val="center"/>
              </w:tcPr>
              <w:p w14:paraId="5816ED84" w14:textId="77777777" w:rsidR="00E57DAA" w:rsidRDefault="00AC4185">
                <w:pPr>
                  <w:jc w:val="right"/>
                  <w:rPr>
                    <w:szCs w:val="21"/>
                  </w:rPr>
                </w:pPr>
                <w:r>
                  <w:t>4,751,593,094.20</w:t>
                </w:r>
              </w:p>
            </w:tc>
          </w:tr>
          <w:tr w:rsidR="00E57DAA" w14:paraId="3CFC5C27" w14:textId="77777777">
            <w:tc>
              <w:tcPr>
                <w:tcW w:w="1629" w:type="pct"/>
                <w:tcBorders>
                  <w:top w:val="outset" w:sz="6" w:space="0" w:color="auto"/>
                  <w:left w:val="outset" w:sz="6" w:space="0" w:color="auto"/>
                  <w:bottom w:val="outset" w:sz="6" w:space="0" w:color="auto"/>
                  <w:right w:val="outset" w:sz="6" w:space="0" w:color="auto"/>
                </w:tcBorders>
                <w:vAlign w:val="center"/>
              </w:tcPr>
              <w:p w14:paraId="384C4AC3" w14:textId="77777777" w:rsidR="00E57DAA" w:rsidRDefault="00AC4185">
                <w:pPr>
                  <w:ind w:firstLineChars="100" w:firstLine="210"/>
                  <w:rPr>
                    <w:szCs w:val="21"/>
                  </w:rPr>
                </w:pPr>
                <w:r>
                  <w:rPr>
                    <w:rFonts w:hint="eastAsia"/>
                  </w:rPr>
                  <w:t>其中：</w:t>
                </w:r>
                <w:r>
                  <w:rPr>
                    <w:rFonts w:hint="eastAsia"/>
                    <w:szCs w:val="21"/>
                  </w:rPr>
                  <w:t>应付利息</w:t>
                </w:r>
              </w:p>
            </w:tc>
            <w:tc>
              <w:tcPr>
                <w:tcW w:w="627" w:type="pct"/>
                <w:tcBorders>
                  <w:top w:val="outset" w:sz="6" w:space="0" w:color="auto"/>
                  <w:left w:val="outset" w:sz="6" w:space="0" w:color="auto"/>
                  <w:bottom w:val="outset" w:sz="6" w:space="0" w:color="auto"/>
                  <w:right w:val="outset" w:sz="6" w:space="0" w:color="auto"/>
                </w:tcBorders>
              </w:tcPr>
              <w:p w14:paraId="61DCF95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555D7DD"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9473D02" w14:textId="77777777" w:rsidR="00E57DAA" w:rsidRDefault="00E57DAA">
                <w:pPr>
                  <w:jc w:val="right"/>
                  <w:rPr>
                    <w:szCs w:val="21"/>
                  </w:rPr>
                </w:pPr>
              </w:p>
            </w:tc>
          </w:tr>
          <w:tr w:rsidR="00E57DAA" w14:paraId="0CAAD9E6" w14:textId="77777777">
            <w:tc>
              <w:tcPr>
                <w:tcW w:w="1629" w:type="pct"/>
                <w:tcBorders>
                  <w:top w:val="outset" w:sz="6" w:space="0" w:color="auto"/>
                  <w:left w:val="outset" w:sz="6" w:space="0" w:color="auto"/>
                  <w:bottom w:val="outset" w:sz="6" w:space="0" w:color="auto"/>
                  <w:right w:val="outset" w:sz="6" w:space="0" w:color="auto"/>
                </w:tcBorders>
                <w:vAlign w:val="center"/>
              </w:tcPr>
              <w:p w14:paraId="386829B2" w14:textId="77777777" w:rsidR="00E57DAA" w:rsidRDefault="00AC4185">
                <w:pPr>
                  <w:ind w:firstLineChars="400" w:firstLine="840"/>
                  <w:rPr>
                    <w:szCs w:val="21"/>
                  </w:rPr>
                </w:pPr>
                <w:r>
                  <w:rPr>
                    <w:rFonts w:hint="eastAsia"/>
                    <w:szCs w:val="21"/>
                  </w:rPr>
                  <w:t>应付股利</w:t>
                </w:r>
              </w:p>
            </w:tc>
            <w:tc>
              <w:tcPr>
                <w:tcW w:w="627" w:type="pct"/>
                <w:tcBorders>
                  <w:top w:val="outset" w:sz="6" w:space="0" w:color="auto"/>
                  <w:left w:val="outset" w:sz="6" w:space="0" w:color="auto"/>
                  <w:bottom w:val="outset" w:sz="6" w:space="0" w:color="auto"/>
                  <w:right w:val="outset" w:sz="6" w:space="0" w:color="auto"/>
                </w:tcBorders>
              </w:tcPr>
              <w:p w14:paraId="0F14703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221D64" w14:textId="77777777" w:rsidR="00E57DAA" w:rsidRDefault="00AC4185">
                <w:pPr>
                  <w:jc w:val="right"/>
                  <w:rPr>
                    <w:szCs w:val="21"/>
                  </w:rPr>
                </w:pPr>
                <w:r>
                  <w:rPr>
                    <w:szCs w:val="21"/>
                  </w:rPr>
                  <w:t>14,999,550.81</w:t>
                </w:r>
              </w:p>
            </w:tc>
            <w:tc>
              <w:tcPr>
                <w:tcW w:w="1333" w:type="pct"/>
                <w:tcBorders>
                  <w:top w:val="outset" w:sz="6" w:space="0" w:color="auto"/>
                  <w:left w:val="outset" w:sz="6" w:space="0" w:color="auto"/>
                  <w:bottom w:val="outset" w:sz="6" w:space="0" w:color="auto"/>
                  <w:right w:val="outset" w:sz="6" w:space="0" w:color="auto"/>
                </w:tcBorders>
              </w:tcPr>
              <w:p w14:paraId="1DCE4146" w14:textId="77777777" w:rsidR="00E57DAA" w:rsidRDefault="00AC4185">
                <w:pPr>
                  <w:jc w:val="right"/>
                  <w:rPr>
                    <w:szCs w:val="21"/>
                  </w:rPr>
                </w:pPr>
                <w:r>
                  <w:rPr>
                    <w:szCs w:val="21"/>
                  </w:rPr>
                  <w:t>1,425,995.01</w:t>
                </w:r>
              </w:p>
            </w:tc>
          </w:tr>
          <w:tr w:rsidR="00E57DAA" w14:paraId="224CC5D2" w14:textId="77777777">
            <w:tc>
              <w:tcPr>
                <w:tcW w:w="1629" w:type="pct"/>
                <w:tcBorders>
                  <w:top w:val="outset" w:sz="6" w:space="0" w:color="auto"/>
                  <w:left w:val="outset" w:sz="6" w:space="0" w:color="auto"/>
                  <w:bottom w:val="outset" w:sz="6" w:space="0" w:color="auto"/>
                  <w:right w:val="outset" w:sz="6" w:space="0" w:color="auto"/>
                </w:tcBorders>
                <w:vAlign w:val="center"/>
              </w:tcPr>
              <w:p w14:paraId="1175FA44" w14:textId="77777777" w:rsidR="00E57DAA" w:rsidRDefault="00AC4185">
                <w:pPr>
                  <w:ind w:firstLineChars="100" w:firstLine="210"/>
                  <w:rPr>
                    <w:szCs w:val="21"/>
                  </w:rPr>
                </w:pPr>
                <w:r>
                  <w:rPr>
                    <w:rFonts w:hint="eastAsia"/>
                    <w:szCs w:val="21"/>
                  </w:rPr>
                  <w:t>持有待售负债</w:t>
                </w:r>
              </w:p>
            </w:tc>
            <w:tc>
              <w:tcPr>
                <w:tcW w:w="627" w:type="pct"/>
                <w:tcBorders>
                  <w:top w:val="outset" w:sz="6" w:space="0" w:color="auto"/>
                  <w:left w:val="outset" w:sz="6" w:space="0" w:color="auto"/>
                  <w:bottom w:val="outset" w:sz="6" w:space="0" w:color="auto"/>
                  <w:right w:val="outset" w:sz="6" w:space="0" w:color="auto"/>
                </w:tcBorders>
              </w:tcPr>
              <w:p w14:paraId="760EAE89"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2C4AA193"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255C25" w14:textId="77777777" w:rsidR="00E57DAA" w:rsidRDefault="00E57DAA">
                <w:pPr>
                  <w:jc w:val="right"/>
                  <w:rPr>
                    <w:szCs w:val="21"/>
                  </w:rPr>
                </w:pPr>
              </w:p>
            </w:tc>
          </w:tr>
          <w:tr w:rsidR="00E57DAA" w14:paraId="49FC9820" w14:textId="77777777">
            <w:tc>
              <w:tcPr>
                <w:tcW w:w="1629" w:type="pct"/>
                <w:tcBorders>
                  <w:top w:val="outset" w:sz="6" w:space="0" w:color="auto"/>
                  <w:left w:val="outset" w:sz="6" w:space="0" w:color="auto"/>
                  <w:bottom w:val="outset" w:sz="6" w:space="0" w:color="auto"/>
                  <w:right w:val="outset" w:sz="6" w:space="0" w:color="auto"/>
                </w:tcBorders>
                <w:vAlign w:val="center"/>
              </w:tcPr>
              <w:p w14:paraId="764DBC9D" w14:textId="77777777" w:rsidR="00E57DAA" w:rsidRDefault="00AC4185">
                <w:pPr>
                  <w:ind w:firstLineChars="100" w:firstLine="210"/>
                  <w:rPr>
                    <w:szCs w:val="21"/>
                  </w:rPr>
                </w:pPr>
                <w:r>
                  <w:rPr>
                    <w:rFonts w:hint="eastAsia"/>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1F49BD2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AE9A2FB" w14:textId="77777777" w:rsidR="00E57DAA" w:rsidRDefault="00AC4185">
                <w:pPr>
                  <w:jc w:val="right"/>
                  <w:rPr>
                    <w:szCs w:val="21"/>
                  </w:rPr>
                </w:pPr>
                <w:r>
                  <w:t>519,595,133.90</w:t>
                </w:r>
              </w:p>
            </w:tc>
            <w:tc>
              <w:tcPr>
                <w:tcW w:w="1333" w:type="pct"/>
                <w:tcBorders>
                  <w:top w:val="outset" w:sz="6" w:space="0" w:color="auto"/>
                  <w:left w:val="outset" w:sz="6" w:space="0" w:color="auto"/>
                  <w:bottom w:val="outset" w:sz="6" w:space="0" w:color="auto"/>
                  <w:right w:val="outset" w:sz="6" w:space="0" w:color="auto"/>
                </w:tcBorders>
                <w:vAlign w:val="center"/>
              </w:tcPr>
              <w:p w14:paraId="201E6B06" w14:textId="77777777" w:rsidR="00E57DAA" w:rsidRDefault="00AC4185">
                <w:pPr>
                  <w:jc w:val="right"/>
                  <w:rPr>
                    <w:szCs w:val="21"/>
                  </w:rPr>
                </w:pPr>
                <w:r>
                  <w:t>19,624,722.94</w:t>
                </w:r>
              </w:p>
            </w:tc>
          </w:tr>
          <w:tr w:rsidR="00E57DAA" w14:paraId="24EF3722" w14:textId="77777777">
            <w:tc>
              <w:tcPr>
                <w:tcW w:w="1629" w:type="pct"/>
                <w:tcBorders>
                  <w:top w:val="outset" w:sz="6" w:space="0" w:color="auto"/>
                  <w:left w:val="outset" w:sz="6" w:space="0" w:color="auto"/>
                  <w:bottom w:val="outset" w:sz="6" w:space="0" w:color="auto"/>
                  <w:right w:val="outset" w:sz="6" w:space="0" w:color="auto"/>
                </w:tcBorders>
                <w:vAlign w:val="center"/>
              </w:tcPr>
              <w:p w14:paraId="7A64E062" w14:textId="77777777" w:rsidR="00E57DAA" w:rsidRDefault="00AC4185">
                <w:pPr>
                  <w:ind w:firstLineChars="100" w:firstLine="210"/>
                  <w:rPr>
                    <w:szCs w:val="21"/>
                  </w:rPr>
                </w:pPr>
                <w:r>
                  <w:rPr>
                    <w:rFonts w:hint="eastAsia"/>
                    <w:szCs w:val="21"/>
                  </w:rPr>
                  <w:t>其他流动负债</w:t>
                </w:r>
              </w:p>
            </w:tc>
            <w:tc>
              <w:tcPr>
                <w:tcW w:w="627" w:type="pct"/>
                <w:tcBorders>
                  <w:top w:val="outset" w:sz="6" w:space="0" w:color="auto"/>
                  <w:left w:val="outset" w:sz="6" w:space="0" w:color="auto"/>
                  <w:bottom w:val="outset" w:sz="6" w:space="0" w:color="auto"/>
                  <w:right w:val="outset" w:sz="6" w:space="0" w:color="auto"/>
                </w:tcBorders>
              </w:tcPr>
              <w:p w14:paraId="0B010AD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20A6C1E" w14:textId="77777777" w:rsidR="00E57DAA" w:rsidRDefault="00AC4185">
                <w:pPr>
                  <w:jc w:val="right"/>
                  <w:rPr>
                    <w:szCs w:val="21"/>
                  </w:rPr>
                </w:pPr>
                <w:r>
                  <w:t>40,786,588.17</w:t>
                </w:r>
              </w:p>
            </w:tc>
            <w:tc>
              <w:tcPr>
                <w:tcW w:w="1333" w:type="pct"/>
                <w:tcBorders>
                  <w:top w:val="outset" w:sz="6" w:space="0" w:color="auto"/>
                  <w:left w:val="outset" w:sz="6" w:space="0" w:color="auto"/>
                  <w:bottom w:val="outset" w:sz="6" w:space="0" w:color="auto"/>
                  <w:right w:val="outset" w:sz="6" w:space="0" w:color="auto"/>
                </w:tcBorders>
                <w:vAlign w:val="center"/>
              </w:tcPr>
              <w:p w14:paraId="24E29EB4" w14:textId="77777777" w:rsidR="00E57DAA" w:rsidRDefault="00AC4185">
                <w:pPr>
                  <w:jc w:val="right"/>
                  <w:rPr>
                    <w:szCs w:val="21"/>
                  </w:rPr>
                </w:pPr>
                <w:r>
                  <w:t>55,304,710.44</w:t>
                </w:r>
              </w:p>
            </w:tc>
          </w:tr>
          <w:tr w:rsidR="00E57DAA" w14:paraId="32C5F33F" w14:textId="77777777">
            <w:tc>
              <w:tcPr>
                <w:tcW w:w="1629" w:type="pct"/>
                <w:tcBorders>
                  <w:top w:val="outset" w:sz="6" w:space="0" w:color="auto"/>
                  <w:left w:val="outset" w:sz="6" w:space="0" w:color="auto"/>
                  <w:bottom w:val="outset" w:sz="6" w:space="0" w:color="auto"/>
                  <w:right w:val="outset" w:sz="6" w:space="0" w:color="auto"/>
                </w:tcBorders>
                <w:vAlign w:val="center"/>
              </w:tcPr>
              <w:p w14:paraId="0822E1BB" w14:textId="77777777" w:rsidR="00E57DAA" w:rsidRDefault="00AC4185">
                <w:pPr>
                  <w:ind w:firstLineChars="200" w:firstLine="420"/>
                  <w:rPr>
                    <w:szCs w:val="21"/>
                  </w:rPr>
                </w:pPr>
                <w:r>
                  <w:rPr>
                    <w:rFonts w:hint="eastAsia"/>
                    <w:szCs w:val="21"/>
                  </w:rPr>
                  <w:t>流动负债合计</w:t>
                </w:r>
              </w:p>
            </w:tc>
            <w:tc>
              <w:tcPr>
                <w:tcW w:w="627" w:type="pct"/>
                <w:tcBorders>
                  <w:top w:val="outset" w:sz="6" w:space="0" w:color="auto"/>
                  <w:left w:val="outset" w:sz="6" w:space="0" w:color="auto"/>
                  <w:bottom w:val="outset" w:sz="6" w:space="0" w:color="auto"/>
                  <w:right w:val="outset" w:sz="6" w:space="0" w:color="auto"/>
                </w:tcBorders>
              </w:tcPr>
              <w:p w14:paraId="3D3A7643"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6D7AC14" w14:textId="77777777" w:rsidR="00E57DAA" w:rsidRDefault="00AC4185">
                <w:pPr>
                  <w:jc w:val="right"/>
                  <w:rPr>
                    <w:szCs w:val="21"/>
                  </w:rPr>
                </w:pPr>
                <w:r>
                  <w:t>12,269,981,255.47</w:t>
                </w:r>
              </w:p>
            </w:tc>
            <w:tc>
              <w:tcPr>
                <w:tcW w:w="1333" w:type="pct"/>
                <w:tcBorders>
                  <w:top w:val="outset" w:sz="6" w:space="0" w:color="auto"/>
                  <w:left w:val="outset" w:sz="6" w:space="0" w:color="auto"/>
                  <w:bottom w:val="outset" w:sz="6" w:space="0" w:color="auto"/>
                  <w:right w:val="outset" w:sz="6" w:space="0" w:color="auto"/>
                </w:tcBorders>
                <w:vAlign w:val="center"/>
              </w:tcPr>
              <w:p w14:paraId="1AF13689" w14:textId="77777777" w:rsidR="00E57DAA" w:rsidRDefault="00AC4185">
                <w:pPr>
                  <w:jc w:val="right"/>
                  <w:rPr>
                    <w:szCs w:val="21"/>
                  </w:rPr>
                </w:pPr>
                <w:r>
                  <w:t>10,378,847,770.26</w:t>
                </w:r>
              </w:p>
            </w:tc>
          </w:tr>
          <w:tr w:rsidR="00E57DAA" w14:paraId="0F022A67" w14:textId="77777777">
            <w:sdt>
              <w:sdtPr>
                <w:tag w:val="_PLD_5a8813ff8c984fc28cd8ddc8db922fd5"/>
                <w:id w:val="-2044894911"/>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F118AAE" w14:textId="77777777" w:rsidR="00E57DAA" w:rsidRDefault="00AC4185">
                    <w:pPr>
                      <w:rPr>
                        <w:color w:val="008000"/>
                        <w:szCs w:val="21"/>
                      </w:rPr>
                    </w:pPr>
                    <w:r>
                      <w:rPr>
                        <w:rFonts w:hint="eastAsia"/>
                        <w:b/>
                        <w:bCs/>
                        <w:szCs w:val="21"/>
                      </w:rPr>
                      <w:t>非流动负债：</w:t>
                    </w:r>
                  </w:p>
                </w:tc>
              </w:sdtContent>
            </w:sdt>
          </w:tr>
          <w:tr w:rsidR="00E57DAA" w14:paraId="06F4D4E5" w14:textId="77777777">
            <w:tc>
              <w:tcPr>
                <w:tcW w:w="1629" w:type="pct"/>
                <w:tcBorders>
                  <w:top w:val="outset" w:sz="6" w:space="0" w:color="auto"/>
                  <w:left w:val="outset" w:sz="6" w:space="0" w:color="auto"/>
                  <w:bottom w:val="outset" w:sz="6" w:space="0" w:color="auto"/>
                  <w:right w:val="outset" w:sz="6" w:space="0" w:color="auto"/>
                </w:tcBorders>
                <w:vAlign w:val="center"/>
              </w:tcPr>
              <w:p w14:paraId="61216830" w14:textId="77777777" w:rsidR="00E57DAA" w:rsidRDefault="00AC4185">
                <w:pPr>
                  <w:ind w:firstLineChars="100" w:firstLine="210"/>
                  <w:rPr>
                    <w:szCs w:val="21"/>
                  </w:rPr>
                </w:pPr>
                <w:r>
                  <w:rPr>
                    <w:rFonts w:hint="eastAsia"/>
                    <w:szCs w:val="21"/>
                  </w:rPr>
                  <w:t>长期借款</w:t>
                </w:r>
              </w:p>
            </w:tc>
            <w:tc>
              <w:tcPr>
                <w:tcW w:w="627" w:type="pct"/>
                <w:tcBorders>
                  <w:top w:val="outset" w:sz="6" w:space="0" w:color="auto"/>
                  <w:left w:val="outset" w:sz="6" w:space="0" w:color="auto"/>
                  <w:bottom w:val="outset" w:sz="6" w:space="0" w:color="auto"/>
                  <w:right w:val="outset" w:sz="6" w:space="0" w:color="auto"/>
                </w:tcBorders>
              </w:tcPr>
              <w:p w14:paraId="59A6F12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7F08DC" w14:textId="77777777" w:rsidR="00E57DAA" w:rsidRDefault="00AC4185">
                <w:pPr>
                  <w:jc w:val="right"/>
                  <w:rPr>
                    <w:szCs w:val="21"/>
                  </w:rPr>
                </w:pPr>
                <w:r>
                  <w:t>968,000,000.00</w:t>
                </w:r>
              </w:p>
            </w:tc>
            <w:tc>
              <w:tcPr>
                <w:tcW w:w="1333" w:type="pct"/>
                <w:tcBorders>
                  <w:top w:val="outset" w:sz="6" w:space="0" w:color="auto"/>
                  <w:left w:val="outset" w:sz="6" w:space="0" w:color="auto"/>
                  <w:bottom w:val="outset" w:sz="6" w:space="0" w:color="auto"/>
                  <w:right w:val="outset" w:sz="6" w:space="0" w:color="auto"/>
                </w:tcBorders>
                <w:vAlign w:val="center"/>
              </w:tcPr>
              <w:p w14:paraId="4883E4FF" w14:textId="77777777" w:rsidR="00E57DAA" w:rsidRDefault="00AC4185">
                <w:pPr>
                  <w:jc w:val="right"/>
                  <w:rPr>
                    <w:szCs w:val="21"/>
                  </w:rPr>
                </w:pPr>
                <w:r>
                  <w:t>469,000,000.00</w:t>
                </w:r>
              </w:p>
            </w:tc>
          </w:tr>
          <w:tr w:rsidR="00E57DAA" w14:paraId="05F91F4E" w14:textId="77777777">
            <w:tc>
              <w:tcPr>
                <w:tcW w:w="1629" w:type="pct"/>
                <w:tcBorders>
                  <w:top w:val="outset" w:sz="6" w:space="0" w:color="auto"/>
                  <w:left w:val="outset" w:sz="6" w:space="0" w:color="auto"/>
                  <w:bottom w:val="outset" w:sz="6" w:space="0" w:color="auto"/>
                  <w:right w:val="outset" w:sz="6" w:space="0" w:color="auto"/>
                </w:tcBorders>
                <w:vAlign w:val="center"/>
              </w:tcPr>
              <w:p w14:paraId="799808E4" w14:textId="77777777" w:rsidR="00E57DAA" w:rsidRDefault="00AC4185">
                <w:pPr>
                  <w:ind w:firstLineChars="100" w:firstLine="210"/>
                  <w:rPr>
                    <w:szCs w:val="21"/>
                  </w:rPr>
                </w:pPr>
                <w:r>
                  <w:rPr>
                    <w:rFonts w:hint="eastAsia"/>
                    <w:szCs w:val="21"/>
                  </w:rPr>
                  <w:t>应付债券</w:t>
                </w:r>
              </w:p>
            </w:tc>
            <w:tc>
              <w:tcPr>
                <w:tcW w:w="627" w:type="pct"/>
                <w:tcBorders>
                  <w:top w:val="outset" w:sz="6" w:space="0" w:color="auto"/>
                  <w:left w:val="outset" w:sz="6" w:space="0" w:color="auto"/>
                  <w:bottom w:val="outset" w:sz="6" w:space="0" w:color="auto"/>
                  <w:right w:val="outset" w:sz="6" w:space="0" w:color="auto"/>
                </w:tcBorders>
              </w:tcPr>
              <w:p w14:paraId="5899F96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601D7E2" w14:textId="77777777" w:rsidR="00E57DAA" w:rsidRDefault="00AC4185">
                <w:pPr>
                  <w:jc w:val="right"/>
                  <w:rPr>
                    <w:szCs w:val="21"/>
                  </w:rPr>
                </w:pPr>
                <w:r>
                  <w:t>1,000,000,000.00</w:t>
                </w:r>
              </w:p>
            </w:tc>
            <w:tc>
              <w:tcPr>
                <w:tcW w:w="1333" w:type="pct"/>
                <w:tcBorders>
                  <w:top w:val="outset" w:sz="6" w:space="0" w:color="auto"/>
                  <w:left w:val="outset" w:sz="6" w:space="0" w:color="auto"/>
                  <w:bottom w:val="outset" w:sz="6" w:space="0" w:color="auto"/>
                  <w:right w:val="outset" w:sz="6" w:space="0" w:color="auto"/>
                </w:tcBorders>
                <w:vAlign w:val="center"/>
              </w:tcPr>
              <w:p w14:paraId="2FC3CF6C" w14:textId="77777777" w:rsidR="00E57DAA" w:rsidRDefault="00AC4185">
                <w:pPr>
                  <w:jc w:val="right"/>
                  <w:rPr>
                    <w:szCs w:val="21"/>
                  </w:rPr>
                </w:pPr>
                <w:r>
                  <w:t>1,500,000,000.00</w:t>
                </w:r>
              </w:p>
            </w:tc>
          </w:tr>
          <w:tr w:rsidR="00E57DAA" w14:paraId="7BBC2A85" w14:textId="77777777">
            <w:tc>
              <w:tcPr>
                <w:tcW w:w="1629" w:type="pct"/>
                <w:tcBorders>
                  <w:top w:val="outset" w:sz="6" w:space="0" w:color="auto"/>
                  <w:left w:val="outset" w:sz="6" w:space="0" w:color="auto"/>
                  <w:bottom w:val="outset" w:sz="6" w:space="0" w:color="auto"/>
                  <w:right w:val="outset" w:sz="6" w:space="0" w:color="auto"/>
                </w:tcBorders>
                <w:vAlign w:val="center"/>
              </w:tcPr>
              <w:p w14:paraId="4132A83C" w14:textId="77777777" w:rsidR="00E57DAA" w:rsidRDefault="00AC4185">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4F6CE8C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202AF21C"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A96F184" w14:textId="77777777" w:rsidR="00E57DAA" w:rsidRDefault="00E57DAA">
                <w:pPr>
                  <w:jc w:val="right"/>
                  <w:rPr>
                    <w:szCs w:val="21"/>
                  </w:rPr>
                </w:pPr>
              </w:p>
            </w:tc>
          </w:tr>
          <w:tr w:rsidR="00E57DAA" w14:paraId="48B82F5D" w14:textId="77777777">
            <w:tc>
              <w:tcPr>
                <w:tcW w:w="1629" w:type="pct"/>
                <w:tcBorders>
                  <w:top w:val="outset" w:sz="6" w:space="0" w:color="auto"/>
                  <w:left w:val="outset" w:sz="6" w:space="0" w:color="auto"/>
                  <w:bottom w:val="outset" w:sz="6" w:space="0" w:color="auto"/>
                  <w:right w:val="outset" w:sz="6" w:space="0" w:color="auto"/>
                </w:tcBorders>
                <w:vAlign w:val="center"/>
              </w:tcPr>
              <w:p w14:paraId="7CB81AC9" w14:textId="77777777" w:rsidR="00E57DAA" w:rsidRDefault="00AC4185">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tcPr>
              <w:p w14:paraId="3DE8959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BEC1F5"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7238529" w14:textId="77777777" w:rsidR="00E57DAA" w:rsidRDefault="00E57DAA">
                <w:pPr>
                  <w:jc w:val="right"/>
                  <w:rPr>
                    <w:szCs w:val="21"/>
                  </w:rPr>
                </w:pPr>
              </w:p>
            </w:tc>
          </w:tr>
          <w:tr w:rsidR="00E57DAA" w14:paraId="4BC2EE78" w14:textId="77777777">
            <w:tc>
              <w:tcPr>
                <w:tcW w:w="1629" w:type="pct"/>
                <w:tcBorders>
                  <w:top w:val="outset" w:sz="6" w:space="0" w:color="auto"/>
                  <w:left w:val="outset" w:sz="6" w:space="0" w:color="auto"/>
                  <w:bottom w:val="outset" w:sz="6" w:space="0" w:color="auto"/>
                  <w:right w:val="outset" w:sz="6" w:space="0" w:color="auto"/>
                </w:tcBorders>
                <w:vAlign w:val="center"/>
              </w:tcPr>
              <w:p w14:paraId="5CFDE8D6" w14:textId="77777777" w:rsidR="00E57DAA" w:rsidRDefault="00AC4185">
                <w:pPr>
                  <w:ind w:firstLineChars="100" w:firstLine="210"/>
                </w:pPr>
                <w:r>
                  <w:rPr>
                    <w:rFonts w:hint="eastAsia"/>
                  </w:rPr>
                  <w:t>租赁负债</w:t>
                </w:r>
              </w:p>
            </w:tc>
            <w:tc>
              <w:tcPr>
                <w:tcW w:w="627" w:type="pct"/>
                <w:tcBorders>
                  <w:top w:val="outset" w:sz="6" w:space="0" w:color="auto"/>
                  <w:left w:val="outset" w:sz="6" w:space="0" w:color="auto"/>
                  <w:bottom w:val="outset" w:sz="6" w:space="0" w:color="auto"/>
                  <w:right w:val="outset" w:sz="6" w:space="0" w:color="auto"/>
                </w:tcBorders>
              </w:tcPr>
              <w:p w14:paraId="13DA42B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73E52AE"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CF69BC6" w14:textId="77777777" w:rsidR="00E57DAA" w:rsidRDefault="00AC4185">
                <w:pPr>
                  <w:jc w:val="right"/>
                  <w:rPr>
                    <w:szCs w:val="21"/>
                  </w:rPr>
                </w:pPr>
                <w:r>
                  <w:t>1,461,445.00</w:t>
                </w:r>
              </w:p>
            </w:tc>
          </w:tr>
          <w:tr w:rsidR="00E57DAA" w14:paraId="4626FA7F" w14:textId="77777777">
            <w:tc>
              <w:tcPr>
                <w:tcW w:w="1629" w:type="pct"/>
                <w:tcBorders>
                  <w:top w:val="outset" w:sz="6" w:space="0" w:color="auto"/>
                  <w:left w:val="outset" w:sz="6" w:space="0" w:color="auto"/>
                  <w:bottom w:val="outset" w:sz="6" w:space="0" w:color="auto"/>
                  <w:right w:val="outset" w:sz="6" w:space="0" w:color="auto"/>
                </w:tcBorders>
                <w:vAlign w:val="center"/>
              </w:tcPr>
              <w:p w14:paraId="10434F08" w14:textId="77777777" w:rsidR="00E57DAA" w:rsidRDefault="00AC4185">
                <w:pPr>
                  <w:ind w:firstLineChars="100" w:firstLine="210"/>
                  <w:rPr>
                    <w:szCs w:val="21"/>
                  </w:rPr>
                </w:pPr>
                <w:r>
                  <w:rPr>
                    <w:rFonts w:hint="eastAsia"/>
                    <w:szCs w:val="21"/>
                  </w:rPr>
                  <w:t>长期应付款</w:t>
                </w:r>
              </w:p>
            </w:tc>
            <w:tc>
              <w:tcPr>
                <w:tcW w:w="627" w:type="pct"/>
                <w:tcBorders>
                  <w:top w:val="outset" w:sz="6" w:space="0" w:color="auto"/>
                  <w:left w:val="outset" w:sz="6" w:space="0" w:color="auto"/>
                  <w:bottom w:val="outset" w:sz="6" w:space="0" w:color="auto"/>
                  <w:right w:val="outset" w:sz="6" w:space="0" w:color="auto"/>
                </w:tcBorders>
              </w:tcPr>
              <w:p w14:paraId="013BACC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6094C7" w14:textId="77777777" w:rsidR="00E57DAA" w:rsidRDefault="00AC4185">
                <w:pPr>
                  <w:jc w:val="right"/>
                  <w:rPr>
                    <w:szCs w:val="21"/>
                  </w:rPr>
                </w:pPr>
                <w:r>
                  <w:t>2,582,150.80</w:t>
                </w:r>
              </w:p>
            </w:tc>
            <w:tc>
              <w:tcPr>
                <w:tcW w:w="1333" w:type="pct"/>
                <w:tcBorders>
                  <w:top w:val="outset" w:sz="6" w:space="0" w:color="auto"/>
                  <w:left w:val="outset" w:sz="6" w:space="0" w:color="auto"/>
                  <w:bottom w:val="outset" w:sz="6" w:space="0" w:color="auto"/>
                  <w:right w:val="outset" w:sz="6" w:space="0" w:color="auto"/>
                </w:tcBorders>
                <w:vAlign w:val="center"/>
              </w:tcPr>
              <w:p w14:paraId="39387681" w14:textId="77777777" w:rsidR="00E57DAA" w:rsidRDefault="00AC4185">
                <w:pPr>
                  <w:jc w:val="right"/>
                  <w:rPr>
                    <w:szCs w:val="21"/>
                  </w:rPr>
                </w:pPr>
                <w:r>
                  <w:t>11,019,730.91</w:t>
                </w:r>
              </w:p>
            </w:tc>
          </w:tr>
          <w:tr w:rsidR="00E57DAA" w14:paraId="1A1D6562" w14:textId="77777777">
            <w:tc>
              <w:tcPr>
                <w:tcW w:w="1629" w:type="pct"/>
                <w:tcBorders>
                  <w:top w:val="outset" w:sz="6" w:space="0" w:color="auto"/>
                  <w:left w:val="outset" w:sz="6" w:space="0" w:color="auto"/>
                  <w:bottom w:val="outset" w:sz="6" w:space="0" w:color="auto"/>
                  <w:right w:val="outset" w:sz="6" w:space="0" w:color="auto"/>
                </w:tcBorders>
                <w:vAlign w:val="center"/>
              </w:tcPr>
              <w:p w14:paraId="6064A67D" w14:textId="77777777" w:rsidR="00E57DAA" w:rsidRDefault="00AC4185">
                <w:pPr>
                  <w:ind w:firstLineChars="100" w:firstLine="210"/>
                  <w:rPr>
                    <w:szCs w:val="21"/>
                  </w:rPr>
                </w:pPr>
                <w:r>
                  <w:rPr>
                    <w:rFonts w:hint="eastAsia"/>
                    <w:szCs w:val="2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1053E6C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C8F9D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225AAFD" w14:textId="77777777" w:rsidR="00E57DAA" w:rsidRDefault="00E57DAA">
                <w:pPr>
                  <w:jc w:val="right"/>
                  <w:rPr>
                    <w:szCs w:val="21"/>
                  </w:rPr>
                </w:pPr>
              </w:p>
            </w:tc>
          </w:tr>
          <w:tr w:rsidR="00E57DAA" w14:paraId="231F4A11" w14:textId="77777777">
            <w:tc>
              <w:tcPr>
                <w:tcW w:w="1629" w:type="pct"/>
                <w:tcBorders>
                  <w:top w:val="outset" w:sz="6" w:space="0" w:color="auto"/>
                  <w:left w:val="outset" w:sz="6" w:space="0" w:color="auto"/>
                  <w:bottom w:val="outset" w:sz="6" w:space="0" w:color="auto"/>
                  <w:right w:val="outset" w:sz="6" w:space="0" w:color="auto"/>
                </w:tcBorders>
                <w:vAlign w:val="center"/>
              </w:tcPr>
              <w:p w14:paraId="74C7204A" w14:textId="77777777" w:rsidR="00E57DAA" w:rsidRDefault="00AC4185">
                <w:pPr>
                  <w:ind w:firstLineChars="100" w:firstLine="210"/>
                  <w:rPr>
                    <w:szCs w:val="21"/>
                  </w:rPr>
                </w:pPr>
                <w:r>
                  <w:rPr>
                    <w:rFonts w:hint="eastAsia"/>
                    <w:szCs w:val="21"/>
                  </w:rPr>
                  <w:t>预计负债</w:t>
                </w:r>
              </w:p>
            </w:tc>
            <w:tc>
              <w:tcPr>
                <w:tcW w:w="627" w:type="pct"/>
                <w:tcBorders>
                  <w:top w:val="outset" w:sz="6" w:space="0" w:color="auto"/>
                  <w:left w:val="outset" w:sz="6" w:space="0" w:color="auto"/>
                  <w:bottom w:val="outset" w:sz="6" w:space="0" w:color="auto"/>
                  <w:right w:val="outset" w:sz="6" w:space="0" w:color="auto"/>
                </w:tcBorders>
              </w:tcPr>
              <w:p w14:paraId="162E9FDC"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B780D5" w14:textId="77777777" w:rsidR="00E57DAA" w:rsidRDefault="00AC4185">
                <w:pPr>
                  <w:jc w:val="right"/>
                  <w:rPr>
                    <w:szCs w:val="21"/>
                  </w:rPr>
                </w:pPr>
                <w:r>
                  <w:t>56,699,592.10</w:t>
                </w:r>
              </w:p>
            </w:tc>
            <w:tc>
              <w:tcPr>
                <w:tcW w:w="1333" w:type="pct"/>
                <w:tcBorders>
                  <w:top w:val="outset" w:sz="6" w:space="0" w:color="auto"/>
                  <w:left w:val="outset" w:sz="6" w:space="0" w:color="auto"/>
                  <w:bottom w:val="outset" w:sz="6" w:space="0" w:color="auto"/>
                  <w:right w:val="outset" w:sz="6" w:space="0" w:color="auto"/>
                </w:tcBorders>
                <w:vAlign w:val="center"/>
              </w:tcPr>
              <w:p w14:paraId="3BD630EA" w14:textId="77777777" w:rsidR="00E57DAA" w:rsidRDefault="00AC4185">
                <w:pPr>
                  <w:jc w:val="right"/>
                  <w:rPr>
                    <w:szCs w:val="21"/>
                  </w:rPr>
                </w:pPr>
                <w:r>
                  <w:t>56,818,428.80</w:t>
                </w:r>
              </w:p>
            </w:tc>
          </w:tr>
          <w:tr w:rsidR="00E57DAA" w14:paraId="6A905927" w14:textId="77777777">
            <w:tc>
              <w:tcPr>
                <w:tcW w:w="1629" w:type="pct"/>
                <w:tcBorders>
                  <w:top w:val="outset" w:sz="6" w:space="0" w:color="auto"/>
                  <w:left w:val="outset" w:sz="6" w:space="0" w:color="auto"/>
                  <w:bottom w:val="outset" w:sz="6" w:space="0" w:color="auto"/>
                  <w:right w:val="outset" w:sz="6" w:space="0" w:color="auto"/>
                </w:tcBorders>
                <w:vAlign w:val="center"/>
              </w:tcPr>
              <w:p w14:paraId="0269257A" w14:textId="77777777" w:rsidR="00E57DAA" w:rsidRDefault="00AC4185">
                <w:pPr>
                  <w:ind w:firstLineChars="100" w:firstLine="210"/>
                  <w:rPr>
                    <w:szCs w:val="21"/>
                  </w:rPr>
                </w:pPr>
                <w:r>
                  <w:rPr>
                    <w:rFonts w:hint="eastAsia"/>
                    <w:szCs w:val="21"/>
                  </w:rPr>
                  <w:t>递延收益</w:t>
                </w:r>
              </w:p>
            </w:tc>
            <w:tc>
              <w:tcPr>
                <w:tcW w:w="627" w:type="pct"/>
                <w:tcBorders>
                  <w:top w:val="outset" w:sz="6" w:space="0" w:color="auto"/>
                  <w:left w:val="outset" w:sz="6" w:space="0" w:color="auto"/>
                  <w:bottom w:val="outset" w:sz="6" w:space="0" w:color="auto"/>
                  <w:right w:val="outset" w:sz="6" w:space="0" w:color="auto"/>
                </w:tcBorders>
              </w:tcPr>
              <w:p w14:paraId="16CF6EB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ED85C6C" w14:textId="77777777" w:rsidR="00E57DAA" w:rsidRDefault="00AC4185">
                <w:pPr>
                  <w:jc w:val="right"/>
                  <w:rPr>
                    <w:szCs w:val="21"/>
                  </w:rPr>
                </w:pPr>
                <w:r>
                  <w:t>11,671,808.09</w:t>
                </w:r>
              </w:p>
            </w:tc>
            <w:tc>
              <w:tcPr>
                <w:tcW w:w="1333" w:type="pct"/>
                <w:tcBorders>
                  <w:top w:val="outset" w:sz="6" w:space="0" w:color="auto"/>
                  <w:left w:val="outset" w:sz="6" w:space="0" w:color="auto"/>
                  <w:bottom w:val="outset" w:sz="6" w:space="0" w:color="auto"/>
                  <w:right w:val="outset" w:sz="6" w:space="0" w:color="auto"/>
                </w:tcBorders>
                <w:vAlign w:val="center"/>
              </w:tcPr>
              <w:p w14:paraId="3D5E6D35" w14:textId="77777777" w:rsidR="00E57DAA" w:rsidRDefault="00AC4185">
                <w:pPr>
                  <w:jc w:val="right"/>
                  <w:rPr>
                    <w:szCs w:val="21"/>
                  </w:rPr>
                </w:pPr>
                <w:r>
                  <w:t>17,466,143.33</w:t>
                </w:r>
              </w:p>
            </w:tc>
          </w:tr>
          <w:tr w:rsidR="00E57DAA" w14:paraId="648816F5" w14:textId="77777777">
            <w:tc>
              <w:tcPr>
                <w:tcW w:w="1629" w:type="pct"/>
                <w:tcBorders>
                  <w:top w:val="outset" w:sz="6" w:space="0" w:color="auto"/>
                  <w:left w:val="outset" w:sz="6" w:space="0" w:color="auto"/>
                  <w:bottom w:val="outset" w:sz="6" w:space="0" w:color="auto"/>
                  <w:right w:val="outset" w:sz="6" w:space="0" w:color="auto"/>
                </w:tcBorders>
                <w:vAlign w:val="center"/>
              </w:tcPr>
              <w:p w14:paraId="3EB91146" w14:textId="77777777" w:rsidR="00E57DAA" w:rsidRDefault="00AC4185">
                <w:pPr>
                  <w:ind w:firstLineChars="100" w:firstLine="210"/>
                  <w:rPr>
                    <w:szCs w:val="21"/>
                  </w:rPr>
                </w:pPr>
                <w:r>
                  <w:rPr>
                    <w:rFonts w:hint="eastAsia"/>
                    <w:szCs w:val="21"/>
                  </w:rPr>
                  <w:t>递延所得税负债</w:t>
                </w:r>
              </w:p>
            </w:tc>
            <w:tc>
              <w:tcPr>
                <w:tcW w:w="627" w:type="pct"/>
                <w:tcBorders>
                  <w:top w:val="outset" w:sz="6" w:space="0" w:color="auto"/>
                  <w:left w:val="outset" w:sz="6" w:space="0" w:color="auto"/>
                  <w:bottom w:val="outset" w:sz="6" w:space="0" w:color="auto"/>
                  <w:right w:val="outset" w:sz="6" w:space="0" w:color="auto"/>
                </w:tcBorders>
              </w:tcPr>
              <w:p w14:paraId="5CD877A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7743276"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FC0DA6B" w14:textId="77777777" w:rsidR="00E57DAA" w:rsidRDefault="00AC4185">
                <w:pPr>
                  <w:jc w:val="right"/>
                  <w:rPr>
                    <w:szCs w:val="21"/>
                  </w:rPr>
                </w:pPr>
                <w:r>
                  <w:t>305,654.18</w:t>
                </w:r>
              </w:p>
            </w:tc>
          </w:tr>
          <w:tr w:rsidR="00E57DAA" w14:paraId="243CA0B1" w14:textId="77777777">
            <w:tc>
              <w:tcPr>
                <w:tcW w:w="1629" w:type="pct"/>
                <w:tcBorders>
                  <w:top w:val="outset" w:sz="6" w:space="0" w:color="auto"/>
                  <w:left w:val="outset" w:sz="6" w:space="0" w:color="auto"/>
                  <w:bottom w:val="outset" w:sz="6" w:space="0" w:color="auto"/>
                  <w:right w:val="outset" w:sz="6" w:space="0" w:color="auto"/>
                </w:tcBorders>
                <w:vAlign w:val="center"/>
              </w:tcPr>
              <w:p w14:paraId="53E597E9" w14:textId="77777777" w:rsidR="00E57DAA" w:rsidRDefault="00AC4185">
                <w:pPr>
                  <w:ind w:firstLineChars="100" w:firstLine="210"/>
                  <w:rPr>
                    <w:szCs w:val="21"/>
                  </w:rPr>
                </w:pPr>
                <w:r>
                  <w:rPr>
                    <w:rFonts w:hint="eastAsia"/>
                    <w:szCs w:val="21"/>
                  </w:rPr>
                  <w:t>其他非流动负债</w:t>
                </w:r>
              </w:p>
            </w:tc>
            <w:tc>
              <w:tcPr>
                <w:tcW w:w="627" w:type="pct"/>
                <w:tcBorders>
                  <w:top w:val="outset" w:sz="6" w:space="0" w:color="auto"/>
                  <w:left w:val="outset" w:sz="6" w:space="0" w:color="auto"/>
                  <w:bottom w:val="outset" w:sz="6" w:space="0" w:color="auto"/>
                  <w:right w:val="outset" w:sz="6" w:space="0" w:color="auto"/>
                </w:tcBorders>
              </w:tcPr>
              <w:p w14:paraId="2A01967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9F7393E"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C5BAE5B" w14:textId="77777777" w:rsidR="00E57DAA" w:rsidRDefault="00E57DAA">
                <w:pPr>
                  <w:jc w:val="right"/>
                  <w:rPr>
                    <w:szCs w:val="21"/>
                  </w:rPr>
                </w:pPr>
              </w:p>
            </w:tc>
          </w:tr>
          <w:tr w:rsidR="00E57DAA" w14:paraId="4230F9AB" w14:textId="77777777">
            <w:tc>
              <w:tcPr>
                <w:tcW w:w="1629" w:type="pct"/>
                <w:tcBorders>
                  <w:top w:val="outset" w:sz="6" w:space="0" w:color="auto"/>
                  <w:left w:val="outset" w:sz="6" w:space="0" w:color="auto"/>
                  <w:bottom w:val="outset" w:sz="6" w:space="0" w:color="auto"/>
                  <w:right w:val="outset" w:sz="6" w:space="0" w:color="auto"/>
                </w:tcBorders>
                <w:vAlign w:val="center"/>
              </w:tcPr>
              <w:p w14:paraId="44ED72A7" w14:textId="77777777" w:rsidR="00E57DAA" w:rsidRDefault="00AC4185">
                <w:pPr>
                  <w:ind w:firstLineChars="200" w:firstLine="420"/>
                  <w:rPr>
                    <w:szCs w:val="21"/>
                  </w:rPr>
                </w:pPr>
                <w:r>
                  <w:rPr>
                    <w:rFonts w:hint="eastAsia"/>
                    <w:szCs w:val="21"/>
                  </w:rPr>
                  <w:t>非流动负债合计</w:t>
                </w:r>
              </w:p>
            </w:tc>
            <w:tc>
              <w:tcPr>
                <w:tcW w:w="627" w:type="pct"/>
                <w:tcBorders>
                  <w:top w:val="outset" w:sz="6" w:space="0" w:color="auto"/>
                  <w:left w:val="outset" w:sz="6" w:space="0" w:color="auto"/>
                  <w:bottom w:val="outset" w:sz="6" w:space="0" w:color="auto"/>
                  <w:right w:val="outset" w:sz="6" w:space="0" w:color="auto"/>
                </w:tcBorders>
              </w:tcPr>
              <w:p w14:paraId="64544E07"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14248D3" w14:textId="77777777" w:rsidR="00E57DAA" w:rsidRDefault="00AC4185">
                <w:pPr>
                  <w:jc w:val="right"/>
                  <w:rPr>
                    <w:szCs w:val="21"/>
                  </w:rPr>
                </w:pPr>
                <w:r>
                  <w:t>2,038,953,550.99</w:t>
                </w:r>
              </w:p>
            </w:tc>
            <w:tc>
              <w:tcPr>
                <w:tcW w:w="1333" w:type="pct"/>
                <w:tcBorders>
                  <w:top w:val="outset" w:sz="6" w:space="0" w:color="auto"/>
                  <w:left w:val="outset" w:sz="6" w:space="0" w:color="auto"/>
                  <w:bottom w:val="outset" w:sz="6" w:space="0" w:color="auto"/>
                  <w:right w:val="outset" w:sz="6" w:space="0" w:color="auto"/>
                </w:tcBorders>
                <w:vAlign w:val="center"/>
              </w:tcPr>
              <w:p w14:paraId="36F077CE" w14:textId="77777777" w:rsidR="00E57DAA" w:rsidRDefault="00AC4185">
                <w:pPr>
                  <w:jc w:val="right"/>
                  <w:rPr>
                    <w:szCs w:val="21"/>
                  </w:rPr>
                </w:pPr>
                <w:r>
                  <w:t>2,056,071,402.22</w:t>
                </w:r>
              </w:p>
            </w:tc>
          </w:tr>
          <w:tr w:rsidR="00E57DAA" w14:paraId="3271EA92" w14:textId="77777777">
            <w:tc>
              <w:tcPr>
                <w:tcW w:w="1629" w:type="pct"/>
                <w:tcBorders>
                  <w:top w:val="outset" w:sz="6" w:space="0" w:color="auto"/>
                  <w:left w:val="outset" w:sz="6" w:space="0" w:color="auto"/>
                  <w:bottom w:val="outset" w:sz="6" w:space="0" w:color="auto"/>
                  <w:right w:val="outset" w:sz="6" w:space="0" w:color="auto"/>
                </w:tcBorders>
                <w:vAlign w:val="center"/>
              </w:tcPr>
              <w:p w14:paraId="6BE6FB2C" w14:textId="77777777" w:rsidR="00E57DAA" w:rsidRDefault="00AC4185">
                <w:pPr>
                  <w:ind w:firstLineChars="300" w:firstLine="630"/>
                  <w:rPr>
                    <w:szCs w:val="21"/>
                  </w:rPr>
                </w:pPr>
                <w:r>
                  <w:rPr>
                    <w:rFonts w:hint="eastAsia"/>
                    <w:szCs w:val="21"/>
                  </w:rPr>
                  <w:t>负债合计</w:t>
                </w:r>
              </w:p>
            </w:tc>
            <w:tc>
              <w:tcPr>
                <w:tcW w:w="627" w:type="pct"/>
                <w:tcBorders>
                  <w:top w:val="outset" w:sz="6" w:space="0" w:color="auto"/>
                  <w:left w:val="outset" w:sz="6" w:space="0" w:color="auto"/>
                  <w:bottom w:val="outset" w:sz="6" w:space="0" w:color="auto"/>
                  <w:right w:val="outset" w:sz="6" w:space="0" w:color="auto"/>
                </w:tcBorders>
              </w:tcPr>
              <w:p w14:paraId="173EAFF6"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F13646" w14:textId="77777777" w:rsidR="00E57DAA" w:rsidRDefault="00AC4185">
                <w:pPr>
                  <w:jc w:val="right"/>
                  <w:rPr>
                    <w:szCs w:val="21"/>
                  </w:rPr>
                </w:pPr>
                <w:r>
                  <w:t>14,308,934,806.46</w:t>
                </w:r>
              </w:p>
            </w:tc>
            <w:tc>
              <w:tcPr>
                <w:tcW w:w="1333" w:type="pct"/>
                <w:tcBorders>
                  <w:top w:val="outset" w:sz="6" w:space="0" w:color="auto"/>
                  <w:left w:val="outset" w:sz="6" w:space="0" w:color="auto"/>
                  <w:bottom w:val="outset" w:sz="6" w:space="0" w:color="auto"/>
                  <w:right w:val="outset" w:sz="6" w:space="0" w:color="auto"/>
                </w:tcBorders>
                <w:vAlign w:val="center"/>
              </w:tcPr>
              <w:p w14:paraId="72BC0753" w14:textId="77777777" w:rsidR="00E57DAA" w:rsidRDefault="00AC4185">
                <w:pPr>
                  <w:jc w:val="right"/>
                  <w:rPr>
                    <w:szCs w:val="21"/>
                  </w:rPr>
                </w:pPr>
                <w:r>
                  <w:t>12,434,919,172.48</w:t>
                </w:r>
              </w:p>
            </w:tc>
          </w:tr>
          <w:tr w:rsidR="00E57DAA" w14:paraId="6A304EAF" w14:textId="77777777">
            <w:sdt>
              <w:sdtPr>
                <w:tag w:val="_PLD_7ccfdb4b1195457b8de4211feea2cac2"/>
                <w:id w:val="1639302243"/>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740C0C6" w14:textId="77777777" w:rsidR="00E57DAA" w:rsidRDefault="00AC4185">
                    <w:pPr>
                      <w:rPr>
                        <w:color w:val="008000"/>
                        <w:szCs w:val="21"/>
                      </w:rPr>
                    </w:pPr>
                    <w:r>
                      <w:rPr>
                        <w:rFonts w:hint="eastAsia"/>
                        <w:b/>
                        <w:bCs/>
                        <w:szCs w:val="21"/>
                      </w:rPr>
                      <w:t>所有者权益（或股东权益）：</w:t>
                    </w:r>
                  </w:p>
                </w:tc>
              </w:sdtContent>
            </w:sdt>
          </w:tr>
          <w:tr w:rsidR="00E57DAA" w14:paraId="37B86941" w14:textId="77777777">
            <w:tc>
              <w:tcPr>
                <w:tcW w:w="1629" w:type="pct"/>
                <w:tcBorders>
                  <w:top w:val="outset" w:sz="6" w:space="0" w:color="auto"/>
                  <w:left w:val="outset" w:sz="6" w:space="0" w:color="auto"/>
                  <w:bottom w:val="outset" w:sz="6" w:space="0" w:color="auto"/>
                  <w:right w:val="outset" w:sz="6" w:space="0" w:color="auto"/>
                </w:tcBorders>
                <w:vAlign w:val="center"/>
              </w:tcPr>
              <w:p w14:paraId="5A4778D9" w14:textId="77777777" w:rsidR="00E57DAA" w:rsidRDefault="00AC4185">
                <w:pPr>
                  <w:ind w:firstLineChars="100" w:firstLine="210"/>
                  <w:rPr>
                    <w:szCs w:val="21"/>
                  </w:rPr>
                </w:pPr>
                <w:r>
                  <w:rPr>
                    <w:rFonts w:hint="eastAsia"/>
                    <w:szCs w:val="21"/>
                  </w:rPr>
                  <w:t>实收资本（或股本）</w:t>
                </w:r>
              </w:p>
            </w:tc>
            <w:tc>
              <w:tcPr>
                <w:tcW w:w="627" w:type="pct"/>
                <w:tcBorders>
                  <w:top w:val="outset" w:sz="6" w:space="0" w:color="auto"/>
                  <w:left w:val="outset" w:sz="6" w:space="0" w:color="auto"/>
                  <w:bottom w:val="outset" w:sz="6" w:space="0" w:color="auto"/>
                  <w:right w:val="outset" w:sz="6" w:space="0" w:color="auto"/>
                </w:tcBorders>
              </w:tcPr>
              <w:p w14:paraId="02F3FE8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578C893" w14:textId="77777777" w:rsidR="00E57DAA" w:rsidRDefault="00AC4185">
                <w:pPr>
                  <w:jc w:val="right"/>
                  <w:rPr>
                    <w:szCs w:val="21"/>
                  </w:rPr>
                </w:pPr>
                <w:r>
                  <w:t>2,642,317,423.00</w:t>
                </w:r>
              </w:p>
            </w:tc>
            <w:tc>
              <w:tcPr>
                <w:tcW w:w="1333" w:type="pct"/>
                <w:tcBorders>
                  <w:top w:val="outset" w:sz="6" w:space="0" w:color="auto"/>
                  <w:left w:val="outset" w:sz="6" w:space="0" w:color="auto"/>
                  <w:bottom w:val="outset" w:sz="6" w:space="0" w:color="auto"/>
                  <w:right w:val="outset" w:sz="6" w:space="0" w:color="auto"/>
                </w:tcBorders>
                <w:vAlign w:val="center"/>
              </w:tcPr>
              <w:p w14:paraId="65B3A471" w14:textId="77777777" w:rsidR="00E57DAA" w:rsidRDefault="00AC4185">
                <w:pPr>
                  <w:jc w:val="right"/>
                  <w:rPr>
                    <w:szCs w:val="21"/>
                  </w:rPr>
                </w:pPr>
                <w:r>
                  <w:t>2,265,632,064.00</w:t>
                </w:r>
              </w:p>
            </w:tc>
          </w:tr>
          <w:tr w:rsidR="00E57DAA" w14:paraId="082283A6" w14:textId="77777777">
            <w:tc>
              <w:tcPr>
                <w:tcW w:w="1629" w:type="pct"/>
                <w:tcBorders>
                  <w:top w:val="outset" w:sz="6" w:space="0" w:color="auto"/>
                  <w:left w:val="outset" w:sz="6" w:space="0" w:color="auto"/>
                  <w:bottom w:val="outset" w:sz="6" w:space="0" w:color="auto"/>
                  <w:right w:val="outset" w:sz="6" w:space="0" w:color="auto"/>
                </w:tcBorders>
                <w:vAlign w:val="center"/>
              </w:tcPr>
              <w:p w14:paraId="38AAB329" w14:textId="77777777" w:rsidR="00E57DAA" w:rsidRDefault="00AC4185">
                <w:pPr>
                  <w:ind w:firstLineChars="100" w:firstLine="210"/>
                  <w:rPr>
                    <w:szCs w:val="21"/>
                  </w:rPr>
                </w:pPr>
                <w:r>
                  <w:rPr>
                    <w:rFonts w:hint="eastAsia"/>
                    <w:szCs w:val="21"/>
                  </w:rPr>
                  <w:t>其他权益工具</w:t>
                </w:r>
              </w:p>
            </w:tc>
            <w:tc>
              <w:tcPr>
                <w:tcW w:w="627" w:type="pct"/>
                <w:tcBorders>
                  <w:top w:val="outset" w:sz="6" w:space="0" w:color="auto"/>
                  <w:left w:val="outset" w:sz="6" w:space="0" w:color="auto"/>
                  <w:bottom w:val="outset" w:sz="6" w:space="0" w:color="auto"/>
                  <w:right w:val="outset" w:sz="6" w:space="0" w:color="auto"/>
                </w:tcBorders>
              </w:tcPr>
              <w:p w14:paraId="07A80FD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5574DD82"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F62B0B8" w14:textId="77777777" w:rsidR="00E57DAA" w:rsidRDefault="00E57DAA">
                <w:pPr>
                  <w:jc w:val="right"/>
                  <w:rPr>
                    <w:szCs w:val="21"/>
                  </w:rPr>
                </w:pPr>
              </w:p>
            </w:tc>
          </w:tr>
          <w:tr w:rsidR="00E57DAA" w14:paraId="258705BD" w14:textId="77777777">
            <w:tc>
              <w:tcPr>
                <w:tcW w:w="1629" w:type="pct"/>
                <w:tcBorders>
                  <w:top w:val="outset" w:sz="6" w:space="0" w:color="auto"/>
                  <w:left w:val="outset" w:sz="6" w:space="0" w:color="auto"/>
                  <w:bottom w:val="outset" w:sz="6" w:space="0" w:color="auto"/>
                  <w:right w:val="outset" w:sz="6" w:space="0" w:color="auto"/>
                </w:tcBorders>
                <w:vAlign w:val="center"/>
              </w:tcPr>
              <w:p w14:paraId="2F213413" w14:textId="77777777" w:rsidR="00E57DAA" w:rsidRDefault="00AC4185">
                <w:pPr>
                  <w:ind w:firstLineChars="100" w:firstLine="210"/>
                  <w:rPr>
                    <w:szCs w:val="21"/>
                  </w:rPr>
                </w:pPr>
                <w:r>
                  <w:rPr>
                    <w:rFonts w:hint="eastAsia"/>
                    <w:szCs w:val="21"/>
                  </w:rPr>
                  <w:lastRenderedPageBreak/>
                  <w:t>其中：优先股</w:t>
                </w:r>
              </w:p>
            </w:tc>
            <w:tc>
              <w:tcPr>
                <w:tcW w:w="627" w:type="pct"/>
                <w:tcBorders>
                  <w:top w:val="outset" w:sz="6" w:space="0" w:color="auto"/>
                  <w:left w:val="outset" w:sz="6" w:space="0" w:color="auto"/>
                  <w:bottom w:val="outset" w:sz="6" w:space="0" w:color="auto"/>
                  <w:right w:val="outset" w:sz="6" w:space="0" w:color="auto"/>
                </w:tcBorders>
              </w:tcPr>
              <w:p w14:paraId="27D77C4B"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C8165A"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70E2AA6" w14:textId="77777777" w:rsidR="00E57DAA" w:rsidRDefault="00E57DAA">
                <w:pPr>
                  <w:jc w:val="right"/>
                  <w:rPr>
                    <w:szCs w:val="21"/>
                  </w:rPr>
                </w:pPr>
              </w:p>
            </w:tc>
          </w:tr>
          <w:tr w:rsidR="00E57DAA" w14:paraId="35C60349" w14:textId="77777777">
            <w:tc>
              <w:tcPr>
                <w:tcW w:w="1629" w:type="pct"/>
                <w:tcBorders>
                  <w:top w:val="outset" w:sz="6" w:space="0" w:color="auto"/>
                  <w:left w:val="outset" w:sz="6" w:space="0" w:color="auto"/>
                  <w:bottom w:val="outset" w:sz="6" w:space="0" w:color="auto"/>
                  <w:right w:val="outset" w:sz="6" w:space="0" w:color="auto"/>
                </w:tcBorders>
                <w:vAlign w:val="center"/>
              </w:tcPr>
              <w:p w14:paraId="47F3D88F" w14:textId="77777777" w:rsidR="00E57DAA" w:rsidRDefault="00AC4185">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tcPr>
              <w:p w14:paraId="70C7C8E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tcPr>
              <w:p w14:paraId="3B742A47" w14:textId="77777777" w:rsidR="00E57DAA" w:rsidRDefault="00E57DAA">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286BB22" w14:textId="77777777" w:rsidR="00E57DAA" w:rsidRDefault="00E57DAA">
                <w:pPr>
                  <w:jc w:val="right"/>
                  <w:rPr>
                    <w:szCs w:val="21"/>
                  </w:rPr>
                </w:pPr>
              </w:p>
            </w:tc>
          </w:tr>
          <w:tr w:rsidR="00E57DAA" w14:paraId="323E048A" w14:textId="77777777">
            <w:tc>
              <w:tcPr>
                <w:tcW w:w="1629" w:type="pct"/>
                <w:tcBorders>
                  <w:top w:val="outset" w:sz="6" w:space="0" w:color="auto"/>
                  <w:left w:val="outset" w:sz="6" w:space="0" w:color="auto"/>
                  <w:bottom w:val="outset" w:sz="6" w:space="0" w:color="auto"/>
                  <w:right w:val="outset" w:sz="6" w:space="0" w:color="auto"/>
                </w:tcBorders>
                <w:vAlign w:val="center"/>
              </w:tcPr>
              <w:p w14:paraId="0878CBC8" w14:textId="77777777" w:rsidR="00E57DAA" w:rsidRDefault="00AC4185">
                <w:pPr>
                  <w:ind w:firstLineChars="100" w:firstLine="210"/>
                  <w:rPr>
                    <w:szCs w:val="21"/>
                  </w:rPr>
                </w:pPr>
                <w:r>
                  <w:rPr>
                    <w:rFonts w:hint="eastAsia"/>
                    <w:szCs w:val="21"/>
                  </w:rPr>
                  <w:t>资本公积</w:t>
                </w:r>
              </w:p>
            </w:tc>
            <w:tc>
              <w:tcPr>
                <w:tcW w:w="627" w:type="pct"/>
                <w:tcBorders>
                  <w:top w:val="outset" w:sz="6" w:space="0" w:color="auto"/>
                  <w:left w:val="outset" w:sz="6" w:space="0" w:color="auto"/>
                  <w:bottom w:val="outset" w:sz="6" w:space="0" w:color="auto"/>
                  <w:right w:val="outset" w:sz="6" w:space="0" w:color="auto"/>
                </w:tcBorders>
              </w:tcPr>
              <w:p w14:paraId="1D2E7D58"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8B499A" w14:textId="77777777" w:rsidR="00E57DAA" w:rsidRDefault="00AC4185">
                <w:pPr>
                  <w:jc w:val="right"/>
                  <w:rPr>
                    <w:szCs w:val="21"/>
                  </w:rPr>
                </w:pPr>
                <w:r>
                  <w:t>5,657,145,134.77</w:t>
                </w:r>
              </w:p>
            </w:tc>
            <w:tc>
              <w:tcPr>
                <w:tcW w:w="1333" w:type="pct"/>
                <w:tcBorders>
                  <w:top w:val="outset" w:sz="6" w:space="0" w:color="auto"/>
                  <w:left w:val="outset" w:sz="6" w:space="0" w:color="auto"/>
                  <w:bottom w:val="outset" w:sz="6" w:space="0" w:color="auto"/>
                  <w:right w:val="outset" w:sz="6" w:space="0" w:color="auto"/>
                </w:tcBorders>
                <w:vAlign w:val="center"/>
              </w:tcPr>
              <w:p w14:paraId="49934800" w14:textId="77777777" w:rsidR="00E57DAA" w:rsidRDefault="00AC4185">
                <w:pPr>
                  <w:jc w:val="right"/>
                  <w:rPr>
                    <w:szCs w:val="21"/>
                  </w:rPr>
                </w:pPr>
                <w:r>
                  <w:t>3,588,174,614.41</w:t>
                </w:r>
              </w:p>
            </w:tc>
          </w:tr>
          <w:tr w:rsidR="00E57DAA" w14:paraId="6FA0F5AD" w14:textId="77777777">
            <w:tc>
              <w:tcPr>
                <w:tcW w:w="1629" w:type="pct"/>
                <w:tcBorders>
                  <w:top w:val="outset" w:sz="6" w:space="0" w:color="auto"/>
                  <w:left w:val="outset" w:sz="6" w:space="0" w:color="auto"/>
                  <w:bottom w:val="outset" w:sz="6" w:space="0" w:color="auto"/>
                  <w:right w:val="outset" w:sz="6" w:space="0" w:color="auto"/>
                </w:tcBorders>
                <w:vAlign w:val="center"/>
              </w:tcPr>
              <w:p w14:paraId="1040E220" w14:textId="77777777" w:rsidR="00E57DAA" w:rsidRDefault="00AC4185">
                <w:pPr>
                  <w:ind w:firstLineChars="100" w:firstLine="210"/>
                  <w:rPr>
                    <w:szCs w:val="21"/>
                  </w:rPr>
                </w:pPr>
                <w:r>
                  <w:rPr>
                    <w:rFonts w:hint="eastAsia"/>
                    <w:szCs w:val="21"/>
                  </w:rPr>
                  <w:t>减：库存股</w:t>
                </w:r>
              </w:p>
            </w:tc>
            <w:tc>
              <w:tcPr>
                <w:tcW w:w="627" w:type="pct"/>
                <w:tcBorders>
                  <w:top w:val="outset" w:sz="6" w:space="0" w:color="auto"/>
                  <w:left w:val="outset" w:sz="6" w:space="0" w:color="auto"/>
                  <w:bottom w:val="outset" w:sz="6" w:space="0" w:color="auto"/>
                  <w:right w:val="outset" w:sz="6" w:space="0" w:color="auto"/>
                </w:tcBorders>
              </w:tcPr>
              <w:p w14:paraId="242F9DC0"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1C38419" w14:textId="77777777" w:rsidR="00E57DAA" w:rsidRDefault="00AC4185">
                <w:pPr>
                  <w:jc w:val="right"/>
                  <w:rPr>
                    <w:szCs w:val="21"/>
                  </w:rPr>
                </w:pPr>
                <w:r>
                  <w:t>306,578,642.37</w:t>
                </w:r>
              </w:p>
            </w:tc>
            <w:tc>
              <w:tcPr>
                <w:tcW w:w="1333" w:type="pct"/>
                <w:tcBorders>
                  <w:top w:val="outset" w:sz="6" w:space="0" w:color="auto"/>
                  <w:left w:val="outset" w:sz="6" w:space="0" w:color="auto"/>
                  <w:bottom w:val="outset" w:sz="6" w:space="0" w:color="auto"/>
                  <w:right w:val="outset" w:sz="6" w:space="0" w:color="auto"/>
                </w:tcBorders>
                <w:vAlign w:val="center"/>
              </w:tcPr>
              <w:p w14:paraId="54AF9982" w14:textId="77777777" w:rsidR="00E57DAA" w:rsidRDefault="00AC4185">
                <w:pPr>
                  <w:jc w:val="right"/>
                  <w:rPr>
                    <w:szCs w:val="21"/>
                  </w:rPr>
                </w:pPr>
                <w:r>
                  <w:t>267,191,920.55</w:t>
                </w:r>
              </w:p>
            </w:tc>
          </w:tr>
          <w:tr w:rsidR="00E57DAA" w14:paraId="22FDF585" w14:textId="77777777">
            <w:tc>
              <w:tcPr>
                <w:tcW w:w="1629" w:type="pct"/>
                <w:tcBorders>
                  <w:top w:val="outset" w:sz="6" w:space="0" w:color="auto"/>
                  <w:left w:val="outset" w:sz="6" w:space="0" w:color="auto"/>
                  <w:bottom w:val="outset" w:sz="6" w:space="0" w:color="auto"/>
                  <w:right w:val="outset" w:sz="6" w:space="0" w:color="auto"/>
                </w:tcBorders>
                <w:vAlign w:val="center"/>
              </w:tcPr>
              <w:p w14:paraId="0CFDEBCE" w14:textId="77777777" w:rsidR="00E57DAA" w:rsidRDefault="00AC4185">
                <w:pPr>
                  <w:ind w:firstLineChars="100" w:firstLine="210"/>
                  <w:rPr>
                    <w:szCs w:val="21"/>
                  </w:rPr>
                </w:pPr>
                <w:r>
                  <w:rPr>
                    <w:rFonts w:hint="eastAsia"/>
                    <w:szCs w:val="21"/>
                  </w:rPr>
                  <w:t>其他综合收益</w:t>
                </w:r>
              </w:p>
            </w:tc>
            <w:tc>
              <w:tcPr>
                <w:tcW w:w="627" w:type="pct"/>
                <w:tcBorders>
                  <w:top w:val="outset" w:sz="6" w:space="0" w:color="auto"/>
                  <w:left w:val="outset" w:sz="6" w:space="0" w:color="auto"/>
                  <w:bottom w:val="outset" w:sz="6" w:space="0" w:color="auto"/>
                  <w:right w:val="outset" w:sz="6" w:space="0" w:color="auto"/>
                </w:tcBorders>
              </w:tcPr>
              <w:p w14:paraId="044BFE5A"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269853B" w14:textId="77777777" w:rsidR="00E57DAA" w:rsidRDefault="00AC4185">
                <w:pPr>
                  <w:jc w:val="right"/>
                  <w:rPr>
                    <w:szCs w:val="21"/>
                  </w:rPr>
                </w:pPr>
                <w:r>
                  <w:t>755,335.15</w:t>
                </w:r>
              </w:p>
            </w:tc>
            <w:tc>
              <w:tcPr>
                <w:tcW w:w="1333" w:type="pct"/>
                <w:tcBorders>
                  <w:top w:val="outset" w:sz="6" w:space="0" w:color="auto"/>
                  <w:left w:val="outset" w:sz="6" w:space="0" w:color="auto"/>
                  <w:bottom w:val="outset" w:sz="6" w:space="0" w:color="auto"/>
                  <w:right w:val="outset" w:sz="6" w:space="0" w:color="auto"/>
                </w:tcBorders>
                <w:vAlign w:val="center"/>
              </w:tcPr>
              <w:p w14:paraId="55290DA9" w14:textId="77777777" w:rsidR="00E57DAA" w:rsidRDefault="00AC4185">
                <w:pPr>
                  <w:jc w:val="right"/>
                  <w:rPr>
                    <w:szCs w:val="21"/>
                  </w:rPr>
                </w:pPr>
                <w:r>
                  <w:t>2,558,959.33</w:t>
                </w:r>
              </w:p>
            </w:tc>
          </w:tr>
          <w:tr w:rsidR="00E57DAA" w14:paraId="21C37B78" w14:textId="77777777">
            <w:tc>
              <w:tcPr>
                <w:tcW w:w="1629" w:type="pct"/>
                <w:tcBorders>
                  <w:top w:val="outset" w:sz="6" w:space="0" w:color="auto"/>
                  <w:left w:val="outset" w:sz="6" w:space="0" w:color="auto"/>
                  <w:bottom w:val="outset" w:sz="6" w:space="0" w:color="auto"/>
                  <w:right w:val="outset" w:sz="6" w:space="0" w:color="auto"/>
                </w:tcBorders>
                <w:vAlign w:val="center"/>
              </w:tcPr>
              <w:p w14:paraId="03C0C317" w14:textId="77777777" w:rsidR="00E57DAA" w:rsidRDefault="00AC4185">
                <w:pPr>
                  <w:ind w:firstLineChars="100" w:firstLine="210"/>
                  <w:rPr>
                    <w:szCs w:val="21"/>
                  </w:rPr>
                </w:pPr>
                <w:r>
                  <w:rPr>
                    <w:rFonts w:hint="eastAsia"/>
                    <w:szCs w:val="21"/>
                  </w:rPr>
                  <w:t>专项储备</w:t>
                </w:r>
              </w:p>
            </w:tc>
            <w:tc>
              <w:tcPr>
                <w:tcW w:w="627" w:type="pct"/>
                <w:tcBorders>
                  <w:top w:val="outset" w:sz="6" w:space="0" w:color="auto"/>
                  <w:left w:val="outset" w:sz="6" w:space="0" w:color="auto"/>
                  <w:bottom w:val="outset" w:sz="6" w:space="0" w:color="auto"/>
                  <w:right w:val="outset" w:sz="6" w:space="0" w:color="auto"/>
                </w:tcBorders>
              </w:tcPr>
              <w:p w14:paraId="1508FFAE"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458424" w14:textId="77777777" w:rsidR="00E57DAA" w:rsidRDefault="00AC4185">
                <w:pPr>
                  <w:jc w:val="right"/>
                  <w:rPr>
                    <w:szCs w:val="21"/>
                  </w:rPr>
                </w:pPr>
                <w:r>
                  <w:t>3,925,757.87</w:t>
                </w:r>
              </w:p>
            </w:tc>
            <w:tc>
              <w:tcPr>
                <w:tcW w:w="1333" w:type="pct"/>
                <w:tcBorders>
                  <w:top w:val="outset" w:sz="6" w:space="0" w:color="auto"/>
                  <w:left w:val="outset" w:sz="6" w:space="0" w:color="auto"/>
                  <w:bottom w:val="outset" w:sz="6" w:space="0" w:color="auto"/>
                  <w:right w:val="outset" w:sz="6" w:space="0" w:color="auto"/>
                </w:tcBorders>
                <w:vAlign w:val="center"/>
              </w:tcPr>
              <w:p w14:paraId="26EB08F6" w14:textId="77777777" w:rsidR="00E57DAA" w:rsidRDefault="00AC4185">
                <w:pPr>
                  <w:jc w:val="right"/>
                  <w:rPr>
                    <w:szCs w:val="21"/>
                  </w:rPr>
                </w:pPr>
                <w:r>
                  <w:t>3,668,066.48</w:t>
                </w:r>
              </w:p>
            </w:tc>
          </w:tr>
          <w:tr w:rsidR="00E57DAA" w14:paraId="0CDC9AB4" w14:textId="77777777">
            <w:tc>
              <w:tcPr>
                <w:tcW w:w="1629" w:type="pct"/>
                <w:tcBorders>
                  <w:top w:val="outset" w:sz="6" w:space="0" w:color="auto"/>
                  <w:left w:val="outset" w:sz="6" w:space="0" w:color="auto"/>
                  <w:bottom w:val="outset" w:sz="6" w:space="0" w:color="auto"/>
                  <w:right w:val="outset" w:sz="6" w:space="0" w:color="auto"/>
                </w:tcBorders>
                <w:vAlign w:val="center"/>
              </w:tcPr>
              <w:p w14:paraId="6364639D" w14:textId="77777777" w:rsidR="00E57DAA" w:rsidRDefault="00AC4185">
                <w:pPr>
                  <w:ind w:firstLineChars="100" w:firstLine="210"/>
                  <w:rPr>
                    <w:szCs w:val="21"/>
                  </w:rPr>
                </w:pPr>
                <w:r>
                  <w:rPr>
                    <w:rFonts w:hint="eastAsia"/>
                    <w:szCs w:val="21"/>
                  </w:rPr>
                  <w:t>盈余公积</w:t>
                </w:r>
              </w:p>
            </w:tc>
            <w:tc>
              <w:tcPr>
                <w:tcW w:w="627" w:type="pct"/>
                <w:tcBorders>
                  <w:top w:val="outset" w:sz="6" w:space="0" w:color="auto"/>
                  <w:left w:val="outset" w:sz="6" w:space="0" w:color="auto"/>
                  <w:bottom w:val="outset" w:sz="6" w:space="0" w:color="auto"/>
                  <w:right w:val="outset" w:sz="6" w:space="0" w:color="auto"/>
                </w:tcBorders>
              </w:tcPr>
              <w:p w14:paraId="1D4E60A5"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2DE4EEA" w14:textId="77777777" w:rsidR="00E57DAA" w:rsidRDefault="00AC4185">
                <w:pPr>
                  <w:jc w:val="right"/>
                  <w:rPr>
                    <w:szCs w:val="21"/>
                  </w:rPr>
                </w:pPr>
                <w:r>
                  <w:t>787,720,335.60</w:t>
                </w:r>
              </w:p>
            </w:tc>
            <w:tc>
              <w:tcPr>
                <w:tcW w:w="1333" w:type="pct"/>
                <w:tcBorders>
                  <w:top w:val="outset" w:sz="6" w:space="0" w:color="auto"/>
                  <w:left w:val="outset" w:sz="6" w:space="0" w:color="auto"/>
                  <w:bottom w:val="outset" w:sz="6" w:space="0" w:color="auto"/>
                  <w:right w:val="outset" w:sz="6" w:space="0" w:color="auto"/>
                </w:tcBorders>
                <w:vAlign w:val="center"/>
              </w:tcPr>
              <w:p w14:paraId="058650F6" w14:textId="77777777" w:rsidR="00E57DAA" w:rsidRDefault="00AC4185">
                <w:pPr>
                  <w:jc w:val="right"/>
                  <w:rPr>
                    <w:szCs w:val="21"/>
                  </w:rPr>
                </w:pPr>
                <w:r>
                  <w:t>701,342,845.69</w:t>
                </w:r>
              </w:p>
            </w:tc>
          </w:tr>
          <w:tr w:rsidR="00E57DAA" w14:paraId="45CA0EA5" w14:textId="77777777">
            <w:tc>
              <w:tcPr>
                <w:tcW w:w="1629" w:type="pct"/>
                <w:tcBorders>
                  <w:top w:val="outset" w:sz="6" w:space="0" w:color="auto"/>
                  <w:left w:val="outset" w:sz="6" w:space="0" w:color="auto"/>
                  <w:bottom w:val="outset" w:sz="6" w:space="0" w:color="auto"/>
                  <w:right w:val="outset" w:sz="6" w:space="0" w:color="auto"/>
                </w:tcBorders>
                <w:vAlign w:val="center"/>
              </w:tcPr>
              <w:p w14:paraId="06279AC0" w14:textId="77777777" w:rsidR="00E57DAA" w:rsidRDefault="00AC4185">
                <w:pPr>
                  <w:ind w:firstLineChars="100" w:firstLine="210"/>
                  <w:rPr>
                    <w:szCs w:val="21"/>
                  </w:rPr>
                </w:pPr>
                <w:r>
                  <w:rPr>
                    <w:rFonts w:hint="eastAsia"/>
                    <w:szCs w:val="21"/>
                  </w:rPr>
                  <w:t>未分配利润</w:t>
                </w:r>
              </w:p>
            </w:tc>
            <w:tc>
              <w:tcPr>
                <w:tcW w:w="627" w:type="pct"/>
                <w:tcBorders>
                  <w:top w:val="outset" w:sz="6" w:space="0" w:color="auto"/>
                  <w:left w:val="outset" w:sz="6" w:space="0" w:color="auto"/>
                  <w:bottom w:val="outset" w:sz="6" w:space="0" w:color="auto"/>
                  <w:right w:val="outset" w:sz="6" w:space="0" w:color="auto"/>
                </w:tcBorders>
              </w:tcPr>
              <w:p w14:paraId="3868636F"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7BB6F32" w14:textId="77777777" w:rsidR="00E57DAA" w:rsidRDefault="00AC4185">
                <w:pPr>
                  <w:jc w:val="right"/>
                  <w:rPr>
                    <w:szCs w:val="21"/>
                  </w:rPr>
                </w:pPr>
                <w:r>
                  <w:t>1,071,495,576.52</w:t>
                </w:r>
              </w:p>
            </w:tc>
            <w:tc>
              <w:tcPr>
                <w:tcW w:w="1333" w:type="pct"/>
                <w:tcBorders>
                  <w:top w:val="outset" w:sz="6" w:space="0" w:color="auto"/>
                  <w:left w:val="outset" w:sz="6" w:space="0" w:color="auto"/>
                  <w:bottom w:val="outset" w:sz="6" w:space="0" w:color="auto"/>
                  <w:right w:val="outset" w:sz="6" w:space="0" w:color="auto"/>
                </w:tcBorders>
                <w:vAlign w:val="center"/>
              </w:tcPr>
              <w:p w14:paraId="0CA58ACA" w14:textId="77777777" w:rsidR="00E57DAA" w:rsidRDefault="00AC4185">
                <w:pPr>
                  <w:jc w:val="right"/>
                  <w:rPr>
                    <w:szCs w:val="21"/>
                  </w:rPr>
                </w:pPr>
                <w:r>
                  <w:t>1,087,362,449.56</w:t>
                </w:r>
              </w:p>
            </w:tc>
          </w:tr>
          <w:tr w:rsidR="00E57DAA" w14:paraId="462B7CA7" w14:textId="77777777">
            <w:tc>
              <w:tcPr>
                <w:tcW w:w="1629" w:type="pct"/>
                <w:tcBorders>
                  <w:top w:val="outset" w:sz="6" w:space="0" w:color="auto"/>
                  <w:left w:val="outset" w:sz="6" w:space="0" w:color="auto"/>
                  <w:bottom w:val="outset" w:sz="6" w:space="0" w:color="auto"/>
                  <w:right w:val="outset" w:sz="6" w:space="0" w:color="auto"/>
                </w:tcBorders>
                <w:vAlign w:val="center"/>
              </w:tcPr>
              <w:p w14:paraId="73A0B0AC" w14:textId="77777777" w:rsidR="00E57DAA" w:rsidRDefault="00AC4185">
                <w:pPr>
                  <w:ind w:firstLineChars="200" w:firstLine="420"/>
                  <w:rPr>
                    <w:szCs w:val="21"/>
                  </w:rPr>
                </w:pPr>
                <w:r>
                  <w:rPr>
                    <w:rFonts w:hint="eastAsia"/>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76A6A36D"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1D890FE" w14:textId="77777777" w:rsidR="00E57DAA" w:rsidRDefault="00AC4185">
                <w:pPr>
                  <w:jc w:val="right"/>
                  <w:rPr>
                    <w:szCs w:val="21"/>
                  </w:rPr>
                </w:pPr>
                <w:r>
                  <w:t>9,856,780,920.54</w:t>
                </w:r>
              </w:p>
            </w:tc>
            <w:tc>
              <w:tcPr>
                <w:tcW w:w="1333" w:type="pct"/>
                <w:tcBorders>
                  <w:top w:val="outset" w:sz="6" w:space="0" w:color="auto"/>
                  <w:left w:val="outset" w:sz="6" w:space="0" w:color="auto"/>
                  <w:bottom w:val="outset" w:sz="6" w:space="0" w:color="auto"/>
                  <w:right w:val="outset" w:sz="6" w:space="0" w:color="auto"/>
                </w:tcBorders>
                <w:vAlign w:val="center"/>
              </w:tcPr>
              <w:p w14:paraId="1C3F5EFB" w14:textId="77777777" w:rsidR="00E57DAA" w:rsidRDefault="00AC4185">
                <w:pPr>
                  <w:jc w:val="right"/>
                  <w:rPr>
                    <w:szCs w:val="21"/>
                  </w:rPr>
                </w:pPr>
                <w:r>
                  <w:t>7,381,547,078.92</w:t>
                </w:r>
              </w:p>
            </w:tc>
          </w:tr>
          <w:tr w:rsidR="00E57DAA" w14:paraId="6E8FD40D" w14:textId="77777777">
            <w:tc>
              <w:tcPr>
                <w:tcW w:w="1629" w:type="pct"/>
                <w:tcBorders>
                  <w:top w:val="outset" w:sz="6" w:space="0" w:color="auto"/>
                  <w:left w:val="outset" w:sz="6" w:space="0" w:color="auto"/>
                  <w:bottom w:val="outset" w:sz="6" w:space="0" w:color="auto"/>
                  <w:right w:val="outset" w:sz="6" w:space="0" w:color="auto"/>
                </w:tcBorders>
                <w:vAlign w:val="center"/>
              </w:tcPr>
              <w:p w14:paraId="0D59F8B9" w14:textId="77777777" w:rsidR="00E57DAA" w:rsidRDefault="00AC4185">
                <w:pPr>
                  <w:ind w:firstLineChars="300" w:firstLine="630"/>
                  <w:rPr>
                    <w:szCs w:val="21"/>
                  </w:rPr>
                </w:pPr>
                <w:r>
                  <w:rPr>
                    <w:rFonts w:hint="eastAsia"/>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4FA793D1" w14:textId="77777777" w:rsidR="00E57DAA" w:rsidRDefault="00E57DAA">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ADEA51F" w14:textId="77777777" w:rsidR="00E57DAA" w:rsidRDefault="00AC4185">
                <w:pPr>
                  <w:jc w:val="right"/>
                  <w:rPr>
                    <w:szCs w:val="21"/>
                  </w:rPr>
                </w:pPr>
                <w:r>
                  <w:t>24,165,715,727.00</w:t>
                </w:r>
              </w:p>
            </w:tc>
            <w:tc>
              <w:tcPr>
                <w:tcW w:w="1333" w:type="pct"/>
                <w:tcBorders>
                  <w:top w:val="outset" w:sz="6" w:space="0" w:color="auto"/>
                  <w:left w:val="outset" w:sz="6" w:space="0" w:color="auto"/>
                  <w:bottom w:val="outset" w:sz="6" w:space="0" w:color="auto"/>
                  <w:right w:val="outset" w:sz="6" w:space="0" w:color="auto"/>
                </w:tcBorders>
                <w:vAlign w:val="center"/>
              </w:tcPr>
              <w:p w14:paraId="7A717B30" w14:textId="77777777" w:rsidR="00E57DAA" w:rsidRDefault="00AC4185">
                <w:pPr>
                  <w:jc w:val="right"/>
                  <w:rPr>
                    <w:szCs w:val="21"/>
                  </w:rPr>
                </w:pPr>
                <w:r>
                  <w:t>19,816,466,251.40</w:t>
                </w:r>
              </w:p>
            </w:tc>
          </w:tr>
        </w:tbl>
        <w:p w14:paraId="1EC6DB0E" w14:textId="77777777" w:rsidR="00E57DAA" w:rsidRDefault="00AC4185">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2081326985"/>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525709232"/>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1955979590"/>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4DCE63F4" w14:textId="77777777" w:rsidR="00E57DAA" w:rsidRDefault="00E57DAA" w:rsidP="00C25422">
      <w:pPr>
        <w:pStyle w:val="92"/>
      </w:pPr>
    </w:p>
    <w:p w14:paraId="01DD6681" w14:textId="77777777" w:rsidR="00E57DAA" w:rsidRDefault="00E57DAA">
      <w:pPr>
        <w:rPr>
          <w:color w:val="FF0000"/>
          <w:szCs w:val="21"/>
        </w:rPr>
      </w:pPr>
    </w:p>
    <w:bookmarkEnd w:id="162" w:displacedByCustomXml="next"/>
    <w:bookmarkStart w:id="163" w:name="_Hlk24038378" w:displacedByCustomXml="next"/>
    <w:sdt>
      <w:sdtPr>
        <w:rPr>
          <w:rFonts w:ascii="宋体" w:hAnsi="宋体" w:cs="宋体" w:hint="eastAsia"/>
          <w:b w:val="0"/>
          <w:bCs w:val="0"/>
          <w:kern w:val="0"/>
          <w:sz w:val="21"/>
          <w:szCs w:val="24"/>
        </w:rPr>
        <w:tag w:val="_SEC_38d2275e2dcd4f8eb0870715a2a226c7"/>
        <w:id w:val="-1340303870"/>
        <w:placeholder>
          <w:docPart w:val="GBC22222222222222222222222222222"/>
        </w:placeholder>
      </w:sdtPr>
      <w:sdtEndPr>
        <w:rPr>
          <w:szCs w:val="21"/>
        </w:rPr>
      </w:sdtEndPr>
      <w:sdtContent>
        <w:p w14:paraId="25B214B1" w14:textId="77777777" w:rsidR="00E57DAA" w:rsidRDefault="00AC4185" w:rsidP="006C3CA3">
          <w:pPr>
            <w:pStyle w:val="91"/>
            <w:jc w:val="center"/>
          </w:pPr>
          <w:r>
            <w:rPr>
              <w:rFonts w:hint="eastAsia"/>
            </w:rPr>
            <w:t>合并</w:t>
          </w:r>
          <w:r>
            <w:t>利润表</w:t>
          </w:r>
        </w:p>
        <w:p w14:paraId="3BD09C20" w14:textId="77777777" w:rsidR="00E57DAA" w:rsidRDefault="00AC4185">
          <w:pPr>
            <w:jc w:val="center"/>
            <w:rPr>
              <w:b/>
              <w:bCs/>
              <w:szCs w:val="21"/>
            </w:rPr>
          </w:pPr>
          <w:r>
            <w:rPr>
              <w:szCs w:val="21"/>
            </w:rPr>
            <w:t>2023年</w:t>
          </w:r>
          <w:r>
            <w:rPr>
              <w:rFonts w:hint="eastAsia"/>
              <w:szCs w:val="21"/>
            </w:rPr>
            <w:t>1—</w:t>
          </w:r>
          <w:r>
            <w:rPr>
              <w:szCs w:val="21"/>
            </w:rPr>
            <w:t>12月</w:t>
          </w:r>
        </w:p>
        <w:p w14:paraId="4D024F97" w14:textId="77777777" w:rsidR="00E57DAA" w:rsidRDefault="00AC4185">
          <w:pPr>
            <w:jc w:val="right"/>
            <w:rPr>
              <w:szCs w:val="21"/>
            </w:rPr>
          </w:pPr>
          <w:r>
            <w:rPr>
              <w:szCs w:val="21"/>
            </w:rPr>
            <w:t>单位:</w:t>
          </w:r>
          <w:sdt>
            <w:sdtPr>
              <w:rPr>
                <w:szCs w:val="21"/>
              </w:rPr>
              <w:alias w:val="单位：合并利润表"/>
              <w:tag w:val="_GBC_95830fead96c480388a2e386c3331383"/>
              <w:id w:val="983053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4902a1798447427ba99922213b04b39b"/>
              <w:id w:val="18409581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699"/>
            <w:gridCol w:w="1122"/>
            <w:gridCol w:w="2001"/>
            <w:gridCol w:w="2001"/>
          </w:tblGrid>
          <w:tr w:rsidR="00E57DAA" w14:paraId="603A3B83" w14:textId="77777777">
            <w:trPr>
              <w:cantSplit/>
            </w:trPr>
            <w:sdt>
              <w:sdtPr>
                <w:tag w:val="_PLD_2e3f33fcce354b339a86add10899a6c5"/>
                <w:id w:val="990061317"/>
              </w:sdtPr>
              <w:sdtEndPr/>
              <w:sdtContent>
                <w:tc>
                  <w:tcPr>
                    <w:tcW w:w="2096" w:type="pct"/>
                    <w:tcBorders>
                      <w:top w:val="outset" w:sz="4" w:space="0" w:color="auto"/>
                      <w:left w:val="outset" w:sz="4" w:space="0" w:color="auto"/>
                      <w:bottom w:val="outset" w:sz="4" w:space="0" w:color="auto"/>
                      <w:right w:val="outset" w:sz="4" w:space="0" w:color="auto"/>
                    </w:tcBorders>
                    <w:vAlign w:val="center"/>
                  </w:tcPr>
                  <w:p w14:paraId="6CB43722" w14:textId="77777777" w:rsidR="00E57DAA" w:rsidRDefault="00AC4185">
                    <w:pPr>
                      <w:ind w:leftChars="-19" w:hangingChars="19" w:hanging="40"/>
                      <w:jc w:val="center"/>
                      <w:rPr>
                        <w:b/>
                        <w:szCs w:val="21"/>
                      </w:rPr>
                    </w:pPr>
                    <w:r>
                      <w:rPr>
                        <w:b/>
                        <w:szCs w:val="21"/>
                      </w:rPr>
                      <w:t>项目</w:t>
                    </w:r>
                  </w:p>
                </w:tc>
              </w:sdtContent>
            </w:sdt>
            <w:sdt>
              <w:sdtPr>
                <w:tag w:val="_PLD_93edd7a3846d4cd58b14d043e9b33f2c"/>
                <w:id w:val="-828910751"/>
              </w:sdtPr>
              <w:sdtEndPr/>
              <w:sdtContent>
                <w:tc>
                  <w:tcPr>
                    <w:tcW w:w="636" w:type="pct"/>
                    <w:tcBorders>
                      <w:top w:val="outset" w:sz="4" w:space="0" w:color="auto"/>
                      <w:left w:val="outset" w:sz="4" w:space="0" w:color="auto"/>
                      <w:bottom w:val="outset" w:sz="4" w:space="0" w:color="auto"/>
                      <w:right w:val="outset" w:sz="4" w:space="0" w:color="auto"/>
                    </w:tcBorders>
                    <w:vAlign w:val="center"/>
                  </w:tcPr>
                  <w:p w14:paraId="58B4070A" w14:textId="77777777" w:rsidR="00E57DAA" w:rsidRDefault="00AC4185">
                    <w:pPr>
                      <w:jc w:val="center"/>
                      <w:rPr>
                        <w:b/>
                        <w:szCs w:val="21"/>
                      </w:rPr>
                    </w:pPr>
                    <w:r>
                      <w:rPr>
                        <w:rFonts w:hint="eastAsia"/>
                        <w:b/>
                        <w:szCs w:val="21"/>
                      </w:rPr>
                      <w:t>附注</w:t>
                    </w:r>
                  </w:p>
                </w:tc>
              </w:sdtContent>
            </w:sdt>
            <w:sdt>
              <w:sdtPr>
                <w:tag w:val="_PLD_49f84cca199c45e7bc0f9fea5b73078c"/>
                <w:id w:val="-1665847917"/>
              </w:sdtPr>
              <w:sdtEndPr/>
              <w:sdtContent>
                <w:tc>
                  <w:tcPr>
                    <w:tcW w:w="1134" w:type="pct"/>
                    <w:tcBorders>
                      <w:top w:val="outset" w:sz="4" w:space="0" w:color="auto"/>
                      <w:left w:val="outset" w:sz="4" w:space="0" w:color="auto"/>
                      <w:bottom w:val="outset" w:sz="4" w:space="0" w:color="auto"/>
                      <w:right w:val="outset" w:sz="4" w:space="0" w:color="auto"/>
                    </w:tcBorders>
                    <w:vAlign w:val="center"/>
                  </w:tcPr>
                  <w:p w14:paraId="0D7EF5DC" w14:textId="77777777" w:rsidR="00E57DAA" w:rsidRDefault="00AC4185">
                    <w:pPr>
                      <w:jc w:val="center"/>
                      <w:rPr>
                        <w:b/>
                        <w:szCs w:val="21"/>
                      </w:rPr>
                    </w:pPr>
                    <w:r>
                      <w:rPr>
                        <w:rFonts w:hint="eastAsia"/>
                        <w:b/>
                        <w:szCs w:val="21"/>
                      </w:rPr>
                      <w:t>2023年度</w:t>
                    </w:r>
                  </w:p>
                </w:tc>
              </w:sdtContent>
            </w:sdt>
            <w:sdt>
              <w:sdtPr>
                <w:tag w:val="_PLD_8b5fde21bc974404b892a88906dec352"/>
                <w:id w:val="-1540821036"/>
              </w:sdtPr>
              <w:sdtEndPr/>
              <w:sdtContent>
                <w:tc>
                  <w:tcPr>
                    <w:tcW w:w="1134" w:type="pct"/>
                    <w:tcBorders>
                      <w:top w:val="outset" w:sz="4" w:space="0" w:color="auto"/>
                      <w:left w:val="outset" w:sz="4" w:space="0" w:color="auto"/>
                      <w:bottom w:val="outset" w:sz="4" w:space="0" w:color="auto"/>
                      <w:right w:val="outset" w:sz="4" w:space="0" w:color="auto"/>
                    </w:tcBorders>
                    <w:vAlign w:val="center"/>
                  </w:tcPr>
                  <w:p w14:paraId="5AAAA9A0" w14:textId="77777777" w:rsidR="00E57DAA" w:rsidRDefault="00AC4185">
                    <w:pPr>
                      <w:jc w:val="center"/>
                      <w:rPr>
                        <w:b/>
                        <w:szCs w:val="21"/>
                      </w:rPr>
                    </w:pPr>
                    <w:r>
                      <w:rPr>
                        <w:rFonts w:hint="eastAsia"/>
                        <w:b/>
                        <w:szCs w:val="21"/>
                      </w:rPr>
                      <w:t>2022年度</w:t>
                    </w:r>
                  </w:p>
                </w:tc>
              </w:sdtContent>
            </w:sdt>
          </w:tr>
          <w:tr w:rsidR="00E57DAA" w14:paraId="418EF87E" w14:textId="77777777">
            <w:tc>
              <w:tcPr>
                <w:tcW w:w="2096" w:type="pct"/>
                <w:tcBorders>
                  <w:top w:val="outset" w:sz="4" w:space="0" w:color="auto"/>
                  <w:left w:val="outset" w:sz="4" w:space="0" w:color="auto"/>
                  <w:bottom w:val="outset" w:sz="4" w:space="0" w:color="auto"/>
                  <w:right w:val="outset" w:sz="4" w:space="0" w:color="auto"/>
                </w:tcBorders>
                <w:vAlign w:val="center"/>
              </w:tcPr>
              <w:p w14:paraId="3509E902" w14:textId="77777777" w:rsidR="00E57DAA" w:rsidRDefault="00AC4185">
                <w:pPr>
                  <w:rPr>
                    <w:color w:val="000000"/>
                    <w:szCs w:val="21"/>
                  </w:rPr>
                </w:pPr>
                <w:r>
                  <w:rPr>
                    <w:rFonts w:hint="eastAsia"/>
                    <w:szCs w:val="21"/>
                  </w:rPr>
                  <w:t>一、营业总收入</w:t>
                </w:r>
              </w:p>
            </w:tc>
            <w:tc>
              <w:tcPr>
                <w:tcW w:w="636" w:type="pct"/>
                <w:tcBorders>
                  <w:top w:val="outset" w:sz="4" w:space="0" w:color="auto"/>
                  <w:left w:val="outset" w:sz="4" w:space="0" w:color="auto"/>
                  <w:bottom w:val="outset" w:sz="4" w:space="0" w:color="auto"/>
                  <w:right w:val="outset" w:sz="4" w:space="0" w:color="auto"/>
                </w:tcBorders>
                <w:vAlign w:val="center"/>
              </w:tcPr>
              <w:p w14:paraId="583CB217"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B88F752" w14:textId="77777777" w:rsidR="00E57DAA" w:rsidRDefault="00AC4185">
                <w:pPr>
                  <w:jc w:val="right"/>
                  <w:rPr>
                    <w:szCs w:val="21"/>
                  </w:rPr>
                </w:pPr>
                <w:r>
                  <w:t>45,798,844,176.43</w:t>
                </w:r>
              </w:p>
            </w:tc>
            <w:tc>
              <w:tcPr>
                <w:tcW w:w="1134" w:type="pct"/>
                <w:tcBorders>
                  <w:top w:val="outset" w:sz="4" w:space="0" w:color="auto"/>
                  <w:left w:val="outset" w:sz="4" w:space="0" w:color="auto"/>
                  <w:bottom w:val="outset" w:sz="4" w:space="0" w:color="auto"/>
                  <w:right w:val="outset" w:sz="4" w:space="0" w:color="auto"/>
                </w:tcBorders>
                <w:vAlign w:val="center"/>
              </w:tcPr>
              <w:p w14:paraId="4084CBE5" w14:textId="77777777" w:rsidR="00E57DAA" w:rsidRDefault="00AC4185">
                <w:pPr>
                  <w:jc w:val="right"/>
                  <w:rPr>
                    <w:szCs w:val="21"/>
                  </w:rPr>
                </w:pPr>
                <w:r>
                  <w:t>42,825,758,012.74</w:t>
                </w:r>
              </w:p>
            </w:tc>
          </w:tr>
          <w:tr w:rsidR="00E57DAA" w14:paraId="3110EF5B" w14:textId="77777777">
            <w:tc>
              <w:tcPr>
                <w:tcW w:w="2096" w:type="pct"/>
                <w:tcBorders>
                  <w:top w:val="outset" w:sz="4" w:space="0" w:color="auto"/>
                  <w:left w:val="outset" w:sz="4" w:space="0" w:color="auto"/>
                  <w:bottom w:val="outset" w:sz="4" w:space="0" w:color="auto"/>
                  <w:right w:val="outset" w:sz="4" w:space="0" w:color="auto"/>
                </w:tcBorders>
                <w:vAlign w:val="center"/>
              </w:tcPr>
              <w:p w14:paraId="24DFCD9F" w14:textId="77777777" w:rsidR="00E57DAA" w:rsidRDefault="00AC4185">
                <w:pPr>
                  <w:rPr>
                    <w:color w:val="000000"/>
                    <w:szCs w:val="21"/>
                  </w:rPr>
                </w:pPr>
                <w:r>
                  <w:rPr>
                    <w:rFonts w:hint="eastAsia"/>
                    <w:szCs w:val="21"/>
                  </w:rPr>
                  <w:t>其中：营业收入</w:t>
                </w:r>
              </w:p>
            </w:tc>
            <w:tc>
              <w:tcPr>
                <w:tcW w:w="636" w:type="pct"/>
                <w:tcBorders>
                  <w:top w:val="outset" w:sz="4" w:space="0" w:color="auto"/>
                  <w:left w:val="outset" w:sz="4" w:space="0" w:color="auto"/>
                  <w:bottom w:val="outset" w:sz="4" w:space="0" w:color="auto"/>
                  <w:right w:val="outset" w:sz="4" w:space="0" w:color="auto"/>
                </w:tcBorders>
                <w:vAlign w:val="center"/>
              </w:tcPr>
              <w:p w14:paraId="38E00A0E" w14:textId="77777777" w:rsidR="00E57DAA" w:rsidRDefault="00AC4185">
                <w:pPr>
                  <w:rPr>
                    <w:szCs w:val="21"/>
                  </w:rPr>
                </w:pPr>
                <w:r>
                  <w:t>七、61</w:t>
                </w:r>
              </w:p>
            </w:tc>
            <w:tc>
              <w:tcPr>
                <w:tcW w:w="1134" w:type="pct"/>
                <w:tcBorders>
                  <w:top w:val="outset" w:sz="4" w:space="0" w:color="auto"/>
                  <w:left w:val="outset" w:sz="4" w:space="0" w:color="auto"/>
                  <w:bottom w:val="outset" w:sz="4" w:space="0" w:color="auto"/>
                  <w:right w:val="outset" w:sz="4" w:space="0" w:color="auto"/>
                </w:tcBorders>
                <w:vAlign w:val="center"/>
              </w:tcPr>
              <w:p w14:paraId="05EE84E5" w14:textId="77777777" w:rsidR="00E57DAA" w:rsidRDefault="00AC4185">
                <w:pPr>
                  <w:jc w:val="right"/>
                  <w:rPr>
                    <w:szCs w:val="21"/>
                  </w:rPr>
                </w:pPr>
                <w:r>
                  <w:t>45,798,844,176.43</w:t>
                </w:r>
              </w:p>
            </w:tc>
            <w:tc>
              <w:tcPr>
                <w:tcW w:w="1134" w:type="pct"/>
                <w:tcBorders>
                  <w:top w:val="outset" w:sz="4" w:space="0" w:color="auto"/>
                  <w:left w:val="outset" w:sz="4" w:space="0" w:color="auto"/>
                  <w:bottom w:val="outset" w:sz="4" w:space="0" w:color="auto"/>
                  <w:right w:val="outset" w:sz="4" w:space="0" w:color="auto"/>
                </w:tcBorders>
                <w:vAlign w:val="center"/>
              </w:tcPr>
              <w:p w14:paraId="2A6CF572" w14:textId="77777777" w:rsidR="00E57DAA" w:rsidRDefault="00AC4185">
                <w:pPr>
                  <w:jc w:val="right"/>
                  <w:rPr>
                    <w:szCs w:val="21"/>
                  </w:rPr>
                </w:pPr>
                <w:r>
                  <w:t>42,825,758,012.74</w:t>
                </w:r>
              </w:p>
            </w:tc>
          </w:tr>
          <w:tr w:rsidR="00E57DAA" w14:paraId="11236432" w14:textId="77777777">
            <w:tc>
              <w:tcPr>
                <w:tcW w:w="2096" w:type="pct"/>
                <w:tcBorders>
                  <w:top w:val="outset" w:sz="4" w:space="0" w:color="auto"/>
                  <w:left w:val="outset" w:sz="4" w:space="0" w:color="auto"/>
                  <w:bottom w:val="outset" w:sz="4" w:space="0" w:color="auto"/>
                  <w:right w:val="outset" w:sz="4" w:space="0" w:color="auto"/>
                </w:tcBorders>
                <w:vAlign w:val="center"/>
              </w:tcPr>
              <w:p w14:paraId="71BB40D6" w14:textId="77777777" w:rsidR="00E57DAA" w:rsidRDefault="00AC4185">
                <w:pPr>
                  <w:ind w:firstLineChars="300" w:firstLine="630"/>
                  <w:rPr>
                    <w:color w:val="000000"/>
                    <w:szCs w:val="21"/>
                  </w:rPr>
                </w:pPr>
                <w:r>
                  <w:rPr>
                    <w:rFonts w:hint="eastAsia"/>
                    <w:szCs w:val="21"/>
                  </w:rPr>
                  <w:t>利息收入</w:t>
                </w:r>
              </w:p>
            </w:tc>
            <w:tc>
              <w:tcPr>
                <w:tcW w:w="636" w:type="pct"/>
                <w:tcBorders>
                  <w:top w:val="outset" w:sz="4" w:space="0" w:color="auto"/>
                  <w:left w:val="outset" w:sz="4" w:space="0" w:color="auto"/>
                  <w:bottom w:val="outset" w:sz="4" w:space="0" w:color="auto"/>
                  <w:right w:val="outset" w:sz="4" w:space="0" w:color="auto"/>
                </w:tcBorders>
                <w:vAlign w:val="center"/>
              </w:tcPr>
              <w:p w14:paraId="37B33639"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7133F282"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0EB6234" w14:textId="77777777" w:rsidR="00E57DAA" w:rsidRDefault="00E57DAA">
                <w:pPr>
                  <w:jc w:val="right"/>
                  <w:rPr>
                    <w:szCs w:val="21"/>
                  </w:rPr>
                </w:pPr>
              </w:p>
            </w:tc>
          </w:tr>
          <w:tr w:rsidR="00E57DAA" w14:paraId="2983E0B7" w14:textId="77777777">
            <w:tc>
              <w:tcPr>
                <w:tcW w:w="2096" w:type="pct"/>
                <w:tcBorders>
                  <w:top w:val="outset" w:sz="4" w:space="0" w:color="auto"/>
                  <w:left w:val="outset" w:sz="4" w:space="0" w:color="auto"/>
                  <w:bottom w:val="outset" w:sz="4" w:space="0" w:color="auto"/>
                  <w:right w:val="outset" w:sz="4" w:space="0" w:color="auto"/>
                </w:tcBorders>
                <w:vAlign w:val="center"/>
              </w:tcPr>
              <w:p w14:paraId="15C79D05" w14:textId="77777777" w:rsidR="00E57DAA" w:rsidRDefault="00AC4185">
                <w:pPr>
                  <w:ind w:firstLineChars="300" w:firstLine="630"/>
                  <w:rPr>
                    <w:szCs w:val="21"/>
                  </w:rPr>
                </w:pPr>
                <w:r>
                  <w:rPr>
                    <w:rFonts w:hint="eastAsia"/>
                    <w:szCs w:val="21"/>
                  </w:rPr>
                  <w:t>已赚保费</w:t>
                </w:r>
              </w:p>
            </w:tc>
            <w:tc>
              <w:tcPr>
                <w:tcW w:w="636" w:type="pct"/>
                <w:tcBorders>
                  <w:top w:val="outset" w:sz="4" w:space="0" w:color="auto"/>
                  <w:left w:val="outset" w:sz="4" w:space="0" w:color="auto"/>
                  <w:bottom w:val="outset" w:sz="4" w:space="0" w:color="auto"/>
                  <w:right w:val="outset" w:sz="4" w:space="0" w:color="auto"/>
                </w:tcBorders>
                <w:vAlign w:val="center"/>
              </w:tcPr>
              <w:p w14:paraId="25DF8DE7"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0C539C88"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EA8B710" w14:textId="77777777" w:rsidR="00E57DAA" w:rsidRDefault="00E57DAA">
                <w:pPr>
                  <w:jc w:val="right"/>
                  <w:rPr>
                    <w:szCs w:val="21"/>
                  </w:rPr>
                </w:pPr>
              </w:p>
            </w:tc>
          </w:tr>
          <w:tr w:rsidR="00E57DAA" w14:paraId="7F720173" w14:textId="77777777">
            <w:tc>
              <w:tcPr>
                <w:tcW w:w="2096" w:type="pct"/>
                <w:tcBorders>
                  <w:top w:val="outset" w:sz="4" w:space="0" w:color="auto"/>
                  <w:left w:val="outset" w:sz="4" w:space="0" w:color="auto"/>
                  <w:bottom w:val="outset" w:sz="4" w:space="0" w:color="auto"/>
                  <w:right w:val="outset" w:sz="4" w:space="0" w:color="auto"/>
                </w:tcBorders>
                <w:vAlign w:val="center"/>
              </w:tcPr>
              <w:p w14:paraId="4350A8B8" w14:textId="77777777" w:rsidR="00E57DAA" w:rsidRDefault="00AC4185">
                <w:pPr>
                  <w:ind w:firstLineChars="300" w:firstLine="630"/>
                  <w:rPr>
                    <w:szCs w:val="21"/>
                  </w:rPr>
                </w:pPr>
                <w:r>
                  <w:rPr>
                    <w:rFonts w:hint="eastAsia"/>
                    <w:szCs w:val="21"/>
                  </w:rPr>
                  <w:t>手续费及佣金收入</w:t>
                </w:r>
              </w:p>
            </w:tc>
            <w:tc>
              <w:tcPr>
                <w:tcW w:w="636" w:type="pct"/>
                <w:tcBorders>
                  <w:top w:val="outset" w:sz="4" w:space="0" w:color="auto"/>
                  <w:left w:val="outset" w:sz="4" w:space="0" w:color="auto"/>
                  <w:bottom w:val="outset" w:sz="4" w:space="0" w:color="auto"/>
                  <w:right w:val="outset" w:sz="4" w:space="0" w:color="auto"/>
                </w:tcBorders>
                <w:vAlign w:val="center"/>
              </w:tcPr>
              <w:p w14:paraId="08656554"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34ECE9C2"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FD091B0" w14:textId="77777777" w:rsidR="00E57DAA" w:rsidRDefault="00E57DAA">
                <w:pPr>
                  <w:jc w:val="right"/>
                  <w:rPr>
                    <w:szCs w:val="21"/>
                  </w:rPr>
                </w:pPr>
              </w:p>
            </w:tc>
          </w:tr>
          <w:tr w:rsidR="00E57DAA" w14:paraId="19ACF181" w14:textId="77777777">
            <w:tc>
              <w:tcPr>
                <w:tcW w:w="2096" w:type="pct"/>
                <w:tcBorders>
                  <w:top w:val="outset" w:sz="4" w:space="0" w:color="auto"/>
                  <w:left w:val="outset" w:sz="4" w:space="0" w:color="auto"/>
                  <w:bottom w:val="outset" w:sz="4" w:space="0" w:color="auto"/>
                  <w:right w:val="outset" w:sz="4" w:space="0" w:color="auto"/>
                </w:tcBorders>
                <w:vAlign w:val="center"/>
              </w:tcPr>
              <w:p w14:paraId="53AE8400" w14:textId="77777777" w:rsidR="00E57DAA" w:rsidRDefault="00AC4185">
                <w:pPr>
                  <w:rPr>
                    <w:color w:val="000000"/>
                    <w:szCs w:val="21"/>
                  </w:rPr>
                </w:pPr>
                <w:r>
                  <w:rPr>
                    <w:rFonts w:hint="eastAsia"/>
                    <w:szCs w:val="21"/>
                  </w:rPr>
                  <w:t>二、营业总成本</w:t>
                </w:r>
              </w:p>
            </w:tc>
            <w:tc>
              <w:tcPr>
                <w:tcW w:w="636" w:type="pct"/>
                <w:tcBorders>
                  <w:top w:val="outset" w:sz="4" w:space="0" w:color="auto"/>
                  <w:left w:val="outset" w:sz="4" w:space="0" w:color="auto"/>
                  <w:bottom w:val="outset" w:sz="4" w:space="0" w:color="auto"/>
                  <w:right w:val="outset" w:sz="4" w:space="0" w:color="auto"/>
                </w:tcBorders>
                <w:vAlign w:val="center"/>
              </w:tcPr>
              <w:p w14:paraId="690ACB24"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E20076E" w14:textId="77777777" w:rsidR="00E57DAA" w:rsidRDefault="00AC4185">
                <w:pPr>
                  <w:jc w:val="right"/>
                  <w:rPr>
                    <w:szCs w:val="21"/>
                  </w:rPr>
                </w:pPr>
                <w:r>
                  <w:t>41,937,885,531.83</w:t>
                </w:r>
              </w:p>
            </w:tc>
            <w:tc>
              <w:tcPr>
                <w:tcW w:w="1134" w:type="pct"/>
                <w:tcBorders>
                  <w:top w:val="outset" w:sz="4" w:space="0" w:color="auto"/>
                  <w:left w:val="outset" w:sz="4" w:space="0" w:color="auto"/>
                  <w:bottom w:val="outset" w:sz="4" w:space="0" w:color="auto"/>
                  <w:right w:val="outset" w:sz="4" w:space="0" w:color="auto"/>
                </w:tcBorders>
                <w:vAlign w:val="center"/>
              </w:tcPr>
              <w:p w14:paraId="0DCA019F" w14:textId="77777777" w:rsidR="00E57DAA" w:rsidRDefault="00AC4185">
                <w:pPr>
                  <w:jc w:val="right"/>
                  <w:rPr>
                    <w:szCs w:val="21"/>
                  </w:rPr>
                </w:pPr>
                <w:r>
                  <w:t>39,585,723,411.72</w:t>
                </w:r>
              </w:p>
            </w:tc>
          </w:tr>
          <w:tr w:rsidR="00E57DAA" w14:paraId="47324FEB" w14:textId="77777777">
            <w:tc>
              <w:tcPr>
                <w:tcW w:w="2096" w:type="pct"/>
                <w:tcBorders>
                  <w:top w:val="outset" w:sz="4" w:space="0" w:color="auto"/>
                  <w:left w:val="outset" w:sz="4" w:space="0" w:color="auto"/>
                  <w:bottom w:val="outset" w:sz="4" w:space="0" w:color="auto"/>
                  <w:right w:val="outset" w:sz="4" w:space="0" w:color="auto"/>
                </w:tcBorders>
                <w:vAlign w:val="center"/>
              </w:tcPr>
              <w:p w14:paraId="1AB992F2" w14:textId="77777777" w:rsidR="00E57DAA" w:rsidRDefault="00AC4185">
                <w:pPr>
                  <w:rPr>
                    <w:color w:val="000000"/>
                    <w:szCs w:val="21"/>
                  </w:rPr>
                </w:pPr>
                <w:r>
                  <w:rPr>
                    <w:rFonts w:hint="eastAsia"/>
                    <w:szCs w:val="21"/>
                  </w:rPr>
                  <w:t>其中：营业成本</w:t>
                </w:r>
              </w:p>
            </w:tc>
            <w:tc>
              <w:tcPr>
                <w:tcW w:w="636" w:type="pct"/>
                <w:tcBorders>
                  <w:top w:val="outset" w:sz="4" w:space="0" w:color="auto"/>
                  <w:left w:val="outset" w:sz="4" w:space="0" w:color="auto"/>
                  <w:bottom w:val="outset" w:sz="4" w:space="0" w:color="auto"/>
                  <w:right w:val="outset" w:sz="4" w:space="0" w:color="auto"/>
                </w:tcBorders>
                <w:vAlign w:val="center"/>
              </w:tcPr>
              <w:p w14:paraId="5C47006A" w14:textId="77777777" w:rsidR="00E57DAA" w:rsidRDefault="00AC4185">
                <w:pPr>
                  <w:rPr>
                    <w:szCs w:val="21"/>
                  </w:rPr>
                </w:pPr>
                <w:r>
                  <w:t>七、61</w:t>
                </w:r>
              </w:p>
            </w:tc>
            <w:tc>
              <w:tcPr>
                <w:tcW w:w="1134" w:type="pct"/>
                <w:tcBorders>
                  <w:top w:val="outset" w:sz="4" w:space="0" w:color="auto"/>
                  <w:left w:val="outset" w:sz="4" w:space="0" w:color="auto"/>
                  <w:bottom w:val="outset" w:sz="4" w:space="0" w:color="auto"/>
                  <w:right w:val="outset" w:sz="4" w:space="0" w:color="auto"/>
                </w:tcBorders>
                <w:vAlign w:val="center"/>
              </w:tcPr>
              <w:p w14:paraId="2AE7CCAF" w14:textId="77777777" w:rsidR="00E57DAA" w:rsidRDefault="00AC4185">
                <w:pPr>
                  <w:jc w:val="right"/>
                  <w:rPr>
                    <w:szCs w:val="21"/>
                  </w:rPr>
                </w:pPr>
                <w:r>
                  <w:t>36,900,385,162.97</w:t>
                </w:r>
              </w:p>
            </w:tc>
            <w:tc>
              <w:tcPr>
                <w:tcW w:w="1134" w:type="pct"/>
                <w:tcBorders>
                  <w:top w:val="outset" w:sz="4" w:space="0" w:color="auto"/>
                  <w:left w:val="outset" w:sz="4" w:space="0" w:color="auto"/>
                  <w:bottom w:val="outset" w:sz="4" w:space="0" w:color="auto"/>
                  <w:right w:val="outset" w:sz="4" w:space="0" w:color="auto"/>
                </w:tcBorders>
                <w:vAlign w:val="center"/>
              </w:tcPr>
              <w:p w14:paraId="19A417D0" w14:textId="77777777" w:rsidR="00E57DAA" w:rsidRDefault="00AC4185">
                <w:pPr>
                  <w:jc w:val="right"/>
                  <w:rPr>
                    <w:szCs w:val="21"/>
                  </w:rPr>
                </w:pPr>
                <w:r>
                  <w:t>35,400,204,172.91</w:t>
                </w:r>
              </w:p>
            </w:tc>
          </w:tr>
          <w:tr w:rsidR="00E57DAA" w14:paraId="2931C2D6" w14:textId="77777777">
            <w:tc>
              <w:tcPr>
                <w:tcW w:w="2096" w:type="pct"/>
                <w:tcBorders>
                  <w:top w:val="outset" w:sz="4" w:space="0" w:color="auto"/>
                  <w:left w:val="outset" w:sz="4" w:space="0" w:color="auto"/>
                  <w:bottom w:val="outset" w:sz="4" w:space="0" w:color="auto"/>
                  <w:right w:val="outset" w:sz="4" w:space="0" w:color="auto"/>
                </w:tcBorders>
                <w:vAlign w:val="center"/>
              </w:tcPr>
              <w:p w14:paraId="7030BD8A" w14:textId="77777777" w:rsidR="00E57DAA" w:rsidRDefault="00AC4185">
                <w:pPr>
                  <w:ind w:firstLineChars="300" w:firstLine="630"/>
                  <w:rPr>
                    <w:szCs w:val="21"/>
                  </w:rPr>
                </w:pPr>
                <w:r>
                  <w:rPr>
                    <w:rFonts w:hint="eastAsia"/>
                    <w:szCs w:val="21"/>
                  </w:rPr>
                  <w:t>利息支出</w:t>
                </w:r>
              </w:p>
            </w:tc>
            <w:tc>
              <w:tcPr>
                <w:tcW w:w="636" w:type="pct"/>
                <w:tcBorders>
                  <w:top w:val="outset" w:sz="4" w:space="0" w:color="auto"/>
                  <w:left w:val="outset" w:sz="4" w:space="0" w:color="auto"/>
                  <w:bottom w:val="outset" w:sz="4" w:space="0" w:color="auto"/>
                  <w:right w:val="outset" w:sz="4" w:space="0" w:color="auto"/>
                </w:tcBorders>
                <w:vAlign w:val="center"/>
              </w:tcPr>
              <w:p w14:paraId="18E448CD"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08C9A915"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3B683E7B" w14:textId="77777777" w:rsidR="00E57DAA" w:rsidRDefault="00E57DAA">
                <w:pPr>
                  <w:jc w:val="right"/>
                  <w:rPr>
                    <w:szCs w:val="21"/>
                  </w:rPr>
                </w:pPr>
              </w:p>
            </w:tc>
          </w:tr>
          <w:tr w:rsidR="00E57DAA" w14:paraId="492F136A" w14:textId="77777777">
            <w:tc>
              <w:tcPr>
                <w:tcW w:w="2096" w:type="pct"/>
                <w:tcBorders>
                  <w:top w:val="outset" w:sz="4" w:space="0" w:color="auto"/>
                  <w:left w:val="outset" w:sz="4" w:space="0" w:color="auto"/>
                  <w:bottom w:val="outset" w:sz="4" w:space="0" w:color="auto"/>
                  <w:right w:val="outset" w:sz="4" w:space="0" w:color="auto"/>
                </w:tcBorders>
                <w:vAlign w:val="center"/>
              </w:tcPr>
              <w:p w14:paraId="750C5086" w14:textId="77777777" w:rsidR="00E57DAA" w:rsidRDefault="00AC4185">
                <w:pPr>
                  <w:ind w:firstLineChars="300" w:firstLine="630"/>
                  <w:rPr>
                    <w:szCs w:val="21"/>
                  </w:rPr>
                </w:pPr>
                <w:r>
                  <w:rPr>
                    <w:rFonts w:hint="eastAsia"/>
                    <w:szCs w:val="21"/>
                  </w:rPr>
                  <w:t>手续费及佣金支出</w:t>
                </w:r>
              </w:p>
            </w:tc>
            <w:tc>
              <w:tcPr>
                <w:tcW w:w="636" w:type="pct"/>
                <w:tcBorders>
                  <w:top w:val="outset" w:sz="4" w:space="0" w:color="auto"/>
                  <w:left w:val="outset" w:sz="4" w:space="0" w:color="auto"/>
                  <w:bottom w:val="outset" w:sz="4" w:space="0" w:color="auto"/>
                  <w:right w:val="outset" w:sz="4" w:space="0" w:color="auto"/>
                </w:tcBorders>
                <w:vAlign w:val="center"/>
              </w:tcPr>
              <w:p w14:paraId="747A1B23"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0B7014AA"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5D5767A" w14:textId="77777777" w:rsidR="00E57DAA" w:rsidRDefault="00E57DAA">
                <w:pPr>
                  <w:jc w:val="right"/>
                  <w:rPr>
                    <w:szCs w:val="21"/>
                  </w:rPr>
                </w:pPr>
              </w:p>
            </w:tc>
          </w:tr>
          <w:tr w:rsidR="00E57DAA" w14:paraId="558461EA" w14:textId="77777777">
            <w:tc>
              <w:tcPr>
                <w:tcW w:w="2096" w:type="pct"/>
                <w:tcBorders>
                  <w:top w:val="outset" w:sz="4" w:space="0" w:color="auto"/>
                  <w:left w:val="outset" w:sz="4" w:space="0" w:color="auto"/>
                  <w:bottom w:val="outset" w:sz="4" w:space="0" w:color="auto"/>
                  <w:right w:val="outset" w:sz="4" w:space="0" w:color="auto"/>
                </w:tcBorders>
                <w:vAlign w:val="center"/>
              </w:tcPr>
              <w:p w14:paraId="2E08B555" w14:textId="77777777" w:rsidR="00E57DAA" w:rsidRDefault="00AC4185">
                <w:pPr>
                  <w:ind w:firstLineChars="300" w:firstLine="630"/>
                  <w:rPr>
                    <w:szCs w:val="21"/>
                  </w:rPr>
                </w:pPr>
                <w:r>
                  <w:rPr>
                    <w:rFonts w:hint="eastAsia"/>
                    <w:szCs w:val="21"/>
                  </w:rPr>
                  <w:t>退保金</w:t>
                </w:r>
              </w:p>
            </w:tc>
            <w:tc>
              <w:tcPr>
                <w:tcW w:w="636" w:type="pct"/>
                <w:tcBorders>
                  <w:top w:val="outset" w:sz="4" w:space="0" w:color="auto"/>
                  <w:left w:val="outset" w:sz="4" w:space="0" w:color="auto"/>
                  <w:bottom w:val="outset" w:sz="4" w:space="0" w:color="auto"/>
                  <w:right w:val="outset" w:sz="4" w:space="0" w:color="auto"/>
                </w:tcBorders>
                <w:vAlign w:val="center"/>
              </w:tcPr>
              <w:p w14:paraId="1F213FF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599FC883"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1DC2500" w14:textId="77777777" w:rsidR="00E57DAA" w:rsidRDefault="00E57DAA">
                <w:pPr>
                  <w:jc w:val="right"/>
                  <w:rPr>
                    <w:szCs w:val="21"/>
                  </w:rPr>
                </w:pPr>
              </w:p>
            </w:tc>
          </w:tr>
          <w:tr w:rsidR="00E57DAA" w14:paraId="3FF5A13B" w14:textId="77777777">
            <w:tc>
              <w:tcPr>
                <w:tcW w:w="2096" w:type="pct"/>
                <w:tcBorders>
                  <w:top w:val="outset" w:sz="4" w:space="0" w:color="auto"/>
                  <w:left w:val="outset" w:sz="4" w:space="0" w:color="auto"/>
                  <w:bottom w:val="outset" w:sz="4" w:space="0" w:color="auto"/>
                  <w:right w:val="outset" w:sz="4" w:space="0" w:color="auto"/>
                </w:tcBorders>
                <w:vAlign w:val="center"/>
              </w:tcPr>
              <w:p w14:paraId="52AD43F2" w14:textId="77777777" w:rsidR="00E57DAA" w:rsidRDefault="00AC4185">
                <w:pPr>
                  <w:ind w:firstLineChars="300" w:firstLine="630"/>
                  <w:rPr>
                    <w:szCs w:val="21"/>
                  </w:rPr>
                </w:pPr>
                <w:r>
                  <w:rPr>
                    <w:rFonts w:hint="eastAsia"/>
                    <w:szCs w:val="21"/>
                  </w:rPr>
                  <w:t>赔付支出净额</w:t>
                </w:r>
              </w:p>
            </w:tc>
            <w:tc>
              <w:tcPr>
                <w:tcW w:w="636" w:type="pct"/>
                <w:tcBorders>
                  <w:top w:val="outset" w:sz="4" w:space="0" w:color="auto"/>
                  <w:left w:val="outset" w:sz="4" w:space="0" w:color="auto"/>
                  <w:bottom w:val="outset" w:sz="4" w:space="0" w:color="auto"/>
                  <w:right w:val="outset" w:sz="4" w:space="0" w:color="auto"/>
                </w:tcBorders>
                <w:vAlign w:val="center"/>
              </w:tcPr>
              <w:p w14:paraId="5C147101"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17402841"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35506E1" w14:textId="77777777" w:rsidR="00E57DAA" w:rsidRDefault="00E57DAA">
                <w:pPr>
                  <w:jc w:val="right"/>
                  <w:rPr>
                    <w:szCs w:val="21"/>
                  </w:rPr>
                </w:pPr>
              </w:p>
            </w:tc>
          </w:tr>
          <w:tr w:rsidR="00E57DAA" w14:paraId="4D5F27E9" w14:textId="77777777">
            <w:tc>
              <w:tcPr>
                <w:tcW w:w="2096" w:type="pct"/>
                <w:tcBorders>
                  <w:top w:val="outset" w:sz="4" w:space="0" w:color="auto"/>
                  <w:left w:val="outset" w:sz="4" w:space="0" w:color="auto"/>
                  <w:bottom w:val="outset" w:sz="4" w:space="0" w:color="auto"/>
                  <w:right w:val="outset" w:sz="4" w:space="0" w:color="auto"/>
                </w:tcBorders>
                <w:vAlign w:val="center"/>
              </w:tcPr>
              <w:p w14:paraId="4D3736D0" w14:textId="77777777" w:rsidR="00E57DAA" w:rsidRDefault="00AC4185">
                <w:pPr>
                  <w:ind w:firstLineChars="300" w:firstLine="630"/>
                  <w:rPr>
                    <w:szCs w:val="21"/>
                  </w:rPr>
                </w:pPr>
                <w:r>
                  <w:rPr>
                    <w:rFonts w:hint="eastAsia"/>
                    <w:szCs w:val="21"/>
                  </w:rPr>
                  <w:t>提取保险责任准备金净额</w:t>
                </w:r>
              </w:p>
            </w:tc>
            <w:tc>
              <w:tcPr>
                <w:tcW w:w="636" w:type="pct"/>
                <w:tcBorders>
                  <w:top w:val="outset" w:sz="4" w:space="0" w:color="auto"/>
                  <w:left w:val="outset" w:sz="4" w:space="0" w:color="auto"/>
                  <w:bottom w:val="outset" w:sz="4" w:space="0" w:color="auto"/>
                  <w:right w:val="outset" w:sz="4" w:space="0" w:color="auto"/>
                </w:tcBorders>
                <w:vAlign w:val="center"/>
              </w:tcPr>
              <w:p w14:paraId="5A3EB65B"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32E6B75F"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58158A15" w14:textId="77777777" w:rsidR="00E57DAA" w:rsidRDefault="00E57DAA">
                <w:pPr>
                  <w:jc w:val="right"/>
                  <w:rPr>
                    <w:szCs w:val="21"/>
                  </w:rPr>
                </w:pPr>
              </w:p>
            </w:tc>
          </w:tr>
          <w:tr w:rsidR="00E57DAA" w14:paraId="64EC8B20" w14:textId="77777777">
            <w:tc>
              <w:tcPr>
                <w:tcW w:w="2096" w:type="pct"/>
                <w:tcBorders>
                  <w:top w:val="outset" w:sz="4" w:space="0" w:color="auto"/>
                  <w:left w:val="outset" w:sz="4" w:space="0" w:color="auto"/>
                  <w:bottom w:val="outset" w:sz="4" w:space="0" w:color="auto"/>
                  <w:right w:val="outset" w:sz="4" w:space="0" w:color="auto"/>
                </w:tcBorders>
                <w:vAlign w:val="center"/>
              </w:tcPr>
              <w:p w14:paraId="568AFF24" w14:textId="77777777" w:rsidR="00E57DAA" w:rsidRDefault="00AC4185">
                <w:pPr>
                  <w:ind w:firstLineChars="300" w:firstLine="630"/>
                  <w:rPr>
                    <w:szCs w:val="21"/>
                  </w:rPr>
                </w:pPr>
                <w:r>
                  <w:rPr>
                    <w:rFonts w:hint="eastAsia"/>
                    <w:szCs w:val="21"/>
                  </w:rPr>
                  <w:t>保单红利支出</w:t>
                </w:r>
              </w:p>
            </w:tc>
            <w:tc>
              <w:tcPr>
                <w:tcW w:w="636" w:type="pct"/>
                <w:tcBorders>
                  <w:top w:val="outset" w:sz="4" w:space="0" w:color="auto"/>
                  <w:left w:val="outset" w:sz="4" w:space="0" w:color="auto"/>
                  <w:bottom w:val="outset" w:sz="4" w:space="0" w:color="auto"/>
                  <w:right w:val="outset" w:sz="4" w:space="0" w:color="auto"/>
                </w:tcBorders>
                <w:vAlign w:val="center"/>
              </w:tcPr>
              <w:p w14:paraId="2D6AFEB1"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7CB99461"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67E4366" w14:textId="77777777" w:rsidR="00E57DAA" w:rsidRDefault="00E57DAA">
                <w:pPr>
                  <w:jc w:val="right"/>
                  <w:rPr>
                    <w:szCs w:val="21"/>
                  </w:rPr>
                </w:pPr>
              </w:p>
            </w:tc>
          </w:tr>
          <w:tr w:rsidR="00E57DAA" w14:paraId="06F3EDDD" w14:textId="77777777">
            <w:tc>
              <w:tcPr>
                <w:tcW w:w="2096" w:type="pct"/>
                <w:tcBorders>
                  <w:top w:val="outset" w:sz="4" w:space="0" w:color="auto"/>
                  <w:left w:val="outset" w:sz="4" w:space="0" w:color="auto"/>
                  <w:bottom w:val="outset" w:sz="4" w:space="0" w:color="auto"/>
                  <w:right w:val="outset" w:sz="4" w:space="0" w:color="auto"/>
                </w:tcBorders>
                <w:vAlign w:val="center"/>
              </w:tcPr>
              <w:p w14:paraId="61A23A31" w14:textId="77777777" w:rsidR="00E57DAA" w:rsidRDefault="00AC4185">
                <w:pPr>
                  <w:ind w:firstLineChars="300" w:firstLine="630"/>
                  <w:rPr>
                    <w:szCs w:val="21"/>
                  </w:rPr>
                </w:pPr>
                <w:r>
                  <w:rPr>
                    <w:rFonts w:hint="eastAsia"/>
                    <w:szCs w:val="21"/>
                  </w:rPr>
                  <w:t>分保费用</w:t>
                </w:r>
              </w:p>
            </w:tc>
            <w:tc>
              <w:tcPr>
                <w:tcW w:w="636" w:type="pct"/>
                <w:tcBorders>
                  <w:top w:val="outset" w:sz="4" w:space="0" w:color="auto"/>
                  <w:left w:val="outset" w:sz="4" w:space="0" w:color="auto"/>
                  <w:bottom w:val="outset" w:sz="4" w:space="0" w:color="auto"/>
                  <w:right w:val="outset" w:sz="4" w:space="0" w:color="auto"/>
                </w:tcBorders>
                <w:vAlign w:val="center"/>
              </w:tcPr>
              <w:p w14:paraId="279F5566"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269BFD9A"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495CC4BA" w14:textId="77777777" w:rsidR="00E57DAA" w:rsidRDefault="00E57DAA">
                <w:pPr>
                  <w:jc w:val="right"/>
                  <w:rPr>
                    <w:szCs w:val="21"/>
                  </w:rPr>
                </w:pPr>
              </w:p>
            </w:tc>
          </w:tr>
          <w:tr w:rsidR="00E57DAA" w14:paraId="284B6CA7" w14:textId="77777777">
            <w:tc>
              <w:tcPr>
                <w:tcW w:w="2096" w:type="pct"/>
                <w:tcBorders>
                  <w:top w:val="outset" w:sz="4" w:space="0" w:color="auto"/>
                  <w:left w:val="outset" w:sz="4" w:space="0" w:color="auto"/>
                  <w:bottom w:val="outset" w:sz="4" w:space="0" w:color="auto"/>
                  <w:right w:val="outset" w:sz="4" w:space="0" w:color="auto"/>
                </w:tcBorders>
                <w:vAlign w:val="center"/>
              </w:tcPr>
              <w:p w14:paraId="56F8E60A" w14:textId="77777777" w:rsidR="00E57DAA" w:rsidRDefault="00AC4185">
                <w:pPr>
                  <w:ind w:firstLineChars="300" w:firstLine="630"/>
                  <w:rPr>
                    <w:szCs w:val="21"/>
                  </w:rPr>
                </w:pPr>
                <w:r>
                  <w:rPr>
                    <w:rFonts w:hint="eastAsia"/>
                    <w:szCs w:val="21"/>
                  </w:rPr>
                  <w:t>税金及附加</w:t>
                </w:r>
              </w:p>
            </w:tc>
            <w:tc>
              <w:tcPr>
                <w:tcW w:w="636" w:type="pct"/>
                <w:tcBorders>
                  <w:top w:val="outset" w:sz="4" w:space="0" w:color="auto"/>
                  <w:left w:val="outset" w:sz="4" w:space="0" w:color="auto"/>
                  <w:bottom w:val="outset" w:sz="4" w:space="0" w:color="auto"/>
                  <w:right w:val="outset" w:sz="4" w:space="0" w:color="auto"/>
                </w:tcBorders>
                <w:vAlign w:val="center"/>
              </w:tcPr>
              <w:p w14:paraId="259DF4A9" w14:textId="77777777" w:rsidR="00E57DAA" w:rsidRDefault="00AC4185">
                <w:pPr>
                  <w:rPr>
                    <w:szCs w:val="21"/>
                  </w:rPr>
                </w:pPr>
                <w:r>
                  <w:t>七、62</w:t>
                </w:r>
              </w:p>
            </w:tc>
            <w:tc>
              <w:tcPr>
                <w:tcW w:w="1134" w:type="pct"/>
                <w:tcBorders>
                  <w:top w:val="outset" w:sz="4" w:space="0" w:color="auto"/>
                  <w:left w:val="outset" w:sz="4" w:space="0" w:color="auto"/>
                  <w:bottom w:val="outset" w:sz="4" w:space="0" w:color="auto"/>
                  <w:right w:val="outset" w:sz="4" w:space="0" w:color="auto"/>
                </w:tcBorders>
                <w:vAlign w:val="center"/>
              </w:tcPr>
              <w:p w14:paraId="37BFC7DE" w14:textId="77777777" w:rsidR="00E57DAA" w:rsidRDefault="00AC4185">
                <w:pPr>
                  <w:jc w:val="right"/>
                  <w:rPr>
                    <w:szCs w:val="21"/>
                  </w:rPr>
                </w:pPr>
                <w:r>
                  <w:t>220,715,045.20</w:t>
                </w:r>
              </w:p>
            </w:tc>
            <w:tc>
              <w:tcPr>
                <w:tcW w:w="1134" w:type="pct"/>
                <w:tcBorders>
                  <w:top w:val="outset" w:sz="4" w:space="0" w:color="auto"/>
                  <w:left w:val="outset" w:sz="4" w:space="0" w:color="auto"/>
                  <w:bottom w:val="outset" w:sz="4" w:space="0" w:color="auto"/>
                  <w:right w:val="outset" w:sz="4" w:space="0" w:color="auto"/>
                </w:tcBorders>
                <w:vAlign w:val="center"/>
              </w:tcPr>
              <w:p w14:paraId="53636CA2" w14:textId="77777777" w:rsidR="00E57DAA" w:rsidRDefault="00AC4185">
                <w:pPr>
                  <w:jc w:val="right"/>
                  <w:rPr>
                    <w:szCs w:val="21"/>
                  </w:rPr>
                </w:pPr>
                <w:r>
                  <w:t>192,513,112.65</w:t>
                </w:r>
              </w:p>
            </w:tc>
          </w:tr>
          <w:tr w:rsidR="00E57DAA" w14:paraId="0E261FAC" w14:textId="77777777">
            <w:tc>
              <w:tcPr>
                <w:tcW w:w="2096" w:type="pct"/>
                <w:tcBorders>
                  <w:top w:val="outset" w:sz="4" w:space="0" w:color="auto"/>
                  <w:left w:val="outset" w:sz="4" w:space="0" w:color="auto"/>
                  <w:bottom w:val="outset" w:sz="4" w:space="0" w:color="auto"/>
                  <w:right w:val="outset" w:sz="4" w:space="0" w:color="auto"/>
                </w:tcBorders>
                <w:vAlign w:val="center"/>
              </w:tcPr>
              <w:p w14:paraId="7094086C" w14:textId="77777777" w:rsidR="00E57DAA" w:rsidRDefault="00AC4185">
                <w:pPr>
                  <w:ind w:firstLineChars="300" w:firstLine="630"/>
                  <w:rPr>
                    <w:szCs w:val="21"/>
                  </w:rPr>
                </w:pPr>
                <w:r>
                  <w:rPr>
                    <w:rFonts w:hint="eastAsia"/>
                    <w:szCs w:val="21"/>
                  </w:rPr>
                  <w:t>销售费用</w:t>
                </w:r>
              </w:p>
            </w:tc>
            <w:tc>
              <w:tcPr>
                <w:tcW w:w="636" w:type="pct"/>
                <w:tcBorders>
                  <w:top w:val="outset" w:sz="4" w:space="0" w:color="auto"/>
                  <w:left w:val="outset" w:sz="4" w:space="0" w:color="auto"/>
                  <w:bottom w:val="outset" w:sz="4" w:space="0" w:color="auto"/>
                  <w:right w:val="outset" w:sz="4" w:space="0" w:color="auto"/>
                </w:tcBorders>
                <w:vAlign w:val="center"/>
              </w:tcPr>
              <w:p w14:paraId="7A141B8E" w14:textId="77777777" w:rsidR="00E57DAA" w:rsidRDefault="00AC4185">
                <w:pPr>
                  <w:rPr>
                    <w:szCs w:val="21"/>
                  </w:rPr>
                </w:pPr>
                <w:r>
                  <w:t>七、63</w:t>
                </w:r>
              </w:p>
            </w:tc>
            <w:tc>
              <w:tcPr>
                <w:tcW w:w="1134" w:type="pct"/>
                <w:tcBorders>
                  <w:top w:val="outset" w:sz="4" w:space="0" w:color="auto"/>
                  <w:left w:val="outset" w:sz="4" w:space="0" w:color="auto"/>
                  <w:bottom w:val="outset" w:sz="4" w:space="0" w:color="auto"/>
                  <w:right w:val="outset" w:sz="4" w:space="0" w:color="auto"/>
                </w:tcBorders>
                <w:vAlign w:val="center"/>
              </w:tcPr>
              <w:p w14:paraId="70720E65" w14:textId="77777777" w:rsidR="00E57DAA" w:rsidRDefault="00AC4185">
                <w:pPr>
                  <w:jc w:val="right"/>
                  <w:rPr>
                    <w:szCs w:val="21"/>
                  </w:rPr>
                </w:pPr>
                <w:r>
                  <w:t>557,961,844.59</w:t>
                </w:r>
              </w:p>
            </w:tc>
            <w:tc>
              <w:tcPr>
                <w:tcW w:w="1134" w:type="pct"/>
                <w:tcBorders>
                  <w:top w:val="outset" w:sz="4" w:space="0" w:color="auto"/>
                  <w:left w:val="outset" w:sz="4" w:space="0" w:color="auto"/>
                  <w:bottom w:val="outset" w:sz="4" w:space="0" w:color="auto"/>
                  <w:right w:val="outset" w:sz="4" w:space="0" w:color="auto"/>
                </w:tcBorders>
                <w:vAlign w:val="center"/>
              </w:tcPr>
              <w:p w14:paraId="629F239D" w14:textId="77777777" w:rsidR="00E57DAA" w:rsidRDefault="00AC4185">
                <w:pPr>
                  <w:jc w:val="right"/>
                  <w:rPr>
                    <w:szCs w:val="21"/>
                  </w:rPr>
                </w:pPr>
                <w:r>
                  <w:t>509,395,823.34</w:t>
                </w:r>
              </w:p>
            </w:tc>
          </w:tr>
          <w:tr w:rsidR="00E57DAA" w14:paraId="73F3BDA6" w14:textId="77777777">
            <w:tc>
              <w:tcPr>
                <w:tcW w:w="2096" w:type="pct"/>
                <w:tcBorders>
                  <w:top w:val="outset" w:sz="4" w:space="0" w:color="auto"/>
                  <w:left w:val="outset" w:sz="4" w:space="0" w:color="auto"/>
                  <w:bottom w:val="outset" w:sz="4" w:space="0" w:color="auto"/>
                  <w:right w:val="outset" w:sz="4" w:space="0" w:color="auto"/>
                </w:tcBorders>
                <w:vAlign w:val="center"/>
              </w:tcPr>
              <w:p w14:paraId="6799B098" w14:textId="77777777" w:rsidR="00E57DAA" w:rsidRDefault="00AC4185">
                <w:pPr>
                  <w:ind w:firstLineChars="300" w:firstLine="630"/>
                  <w:rPr>
                    <w:szCs w:val="21"/>
                  </w:rPr>
                </w:pPr>
                <w:r>
                  <w:rPr>
                    <w:rFonts w:hint="eastAsia"/>
                    <w:szCs w:val="21"/>
                  </w:rPr>
                  <w:t>管理费用</w:t>
                </w:r>
              </w:p>
            </w:tc>
            <w:tc>
              <w:tcPr>
                <w:tcW w:w="636" w:type="pct"/>
                <w:tcBorders>
                  <w:top w:val="outset" w:sz="4" w:space="0" w:color="auto"/>
                  <w:left w:val="outset" w:sz="4" w:space="0" w:color="auto"/>
                  <w:bottom w:val="outset" w:sz="4" w:space="0" w:color="auto"/>
                  <w:right w:val="outset" w:sz="4" w:space="0" w:color="auto"/>
                </w:tcBorders>
                <w:vAlign w:val="center"/>
              </w:tcPr>
              <w:p w14:paraId="0E18B062" w14:textId="77777777" w:rsidR="00E57DAA" w:rsidRDefault="00AC4185">
                <w:pPr>
                  <w:rPr>
                    <w:szCs w:val="21"/>
                  </w:rPr>
                </w:pPr>
                <w:r>
                  <w:t>七、64</w:t>
                </w:r>
              </w:p>
            </w:tc>
            <w:tc>
              <w:tcPr>
                <w:tcW w:w="1134" w:type="pct"/>
                <w:tcBorders>
                  <w:top w:val="outset" w:sz="4" w:space="0" w:color="auto"/>
                  <w:left w:val="outset" w:sz="4" w:space="0" w:color="auto"/>
                  <w:bottom w:val="outset" w:sz="4" w:space="0" w:color="auto"/>
                  <w:right w:val="outset" w:sz="4" w:space="0" w:color="auto"/>
                </w:tcBorders>
                <w:vAlign w:val="center"/>
              </w:tcPr>
              <w:p w14:paraId="64334810" w14:textId="77777777" w:rsidR="00E57DAA" w:rsidRDefault="00AC4185">
                <w:pPr>
                  <w:jc w:val="right"/>
                  <w:rPr>
                    <w:szCs w:val="21"/>
                  </w:rPr>
                </w:pPr>
                <w:r>
                  <w:t>2,164,890,446.94</w:t>
                </w:r>
              </w:p>
            </w:tc>
            <w:tc>
              <w:tcPr>
                <w:tcW w:w="1134" w:type="pct"/>
                <w:tcBorders>
                  <w:top w:val="outset" w:sz="4" w:space="0" w:color="auto"/>
                  <w:left w:val="outset" w:sz="4" w:space="0" w:color="auto"/>
                  <w:bottom w:val="outset" w:sz="4" w:space="0" w:color="auto"/>
                  <w:right w:val="outset" w:sz="4" w:space="0" w:color="auto"/>
                </w:tcBorders>
                <w:vAlign w:val="center"/>
              </w:tcPr>
              <w:p w14:paraId="1E606AF3" w14:textId="77777777" w:rsidR="00E57DAA" w:rsidRDefault="00AC4185">
                <w:pPr>
                  <w:jc w:val="right"/>
                  <w:rPr>
                    <w:szCs w:val="21"/>
                  </w:rPr>
                </w:pPr>
                <w:r>
                  <w:t>2,028,048,636.58</w:t>
                </w:r>
              </w:p>
            </w:tc>
          </w:tr>
          <w:tr w:rsidR="00E57DAA" w14:paraId="10152E8E" w14:textId="77777777">
            <w:tc>
              <w:tcPr>
                <w:tcW w:w="2096" w:type="pct"/>
                <w:tcBorders>
                  <w:top w:val="outset" w:sz="4" w:space="0" w:color="auto"/>
                  <w:left w:val="outset" w:sz="4" w:space="0" w:color="auto"/>
                  <w:bottom w:val="outset" w:sz="4" w:space="0" w:color="auto"/>
                  <w:right w:val="outset" w:sz="4" w:space="0" w:color="auto"/>
                </w:tcBorders>
                <w:vAlign w:val="center"/>
              </w:tcPr>
              <w:p w14:paraId="68BF6D2F" w14:textId="77777777" w:rsidR="00E57DAA" w:rsidRDefault="00AC4185">
                <w:pPr>
                  <w:ind w:firstLineChars="300" w:firstLine="630"/>
                </w:pPr>
                <w:r>
                  <w:rPr>
                    <w:rFonts w:hint="eastAsia"/>
                  </w:rPr>
                  <w:t>研发费用</w:t>
                </w:r>
              </w:p>
            </w:tc>
            <w:tc>
              <w:tcPr>
                <w:tcW w:w="636" w:type="pct"/>
                <w:tcBorders>
                  <w:top w:val="outset" w:sz="4" w:space="0" w:color="auto"/>
                  <w:left w:val="outset" w:sz="4" w:space="0" w:color="auto"/>
                  <w:bottom w:val="outset" w:sz="4" w:space="0" w:color="auto"/>
                  <w:right w:val="outset" w:sz="4" w:space="0" w:color="auto"/>
                </w:tcBorders>
                <w:vAlign w:val="center"/>
              </w:tcPr>
              <w:p w14:paraId="12CC82DD" w14:textId="77777777" w:rsidR="00E57DAA" w:rsidRDefault="00AC4185">
                <w:pPr>
                  <w:rPr>
                    <w:szCs w:val="21"/>
                  </w:rPr>
                </w:pPr>
                <w:r>
                  <w:t>七、65</w:t>
                </w:r>
              </w:p>
            </w:tc>
            <w:tc>
              <w:tcPr>
                <w:tcW w:w="1134" w:type="pct"/>
                <w:tcBorders>
                  <w:top w:val="outset" w:sz="4" w:space="0" w:color="auto"/>
                  <w:left w:val="outset" w:sz="4" w:space="0" w:color="auto"/>
                  <w:bottom w:val="outset" w:sz="4" w:space="0" w:color="auto"/>
                  <w:right w:val="outset" w:sz="4" w:space="0" w:color="auto"/>
                </w:tcBorders>
                <w:vAlign w:val="center"/>
              </w:tcPr>
              <w:p w14:paraId="4AC50325" w14:textId="77777777" w:rsidR="00E57DAA" w:rsidRDefault="00AC4185">
                <w:pPr>
                  <w:jc w:val="right"/>
                  <w:rPr>
                    <w:szCs w:val="21"/>
                  </w:rPr>
                </w:pPr>
                <w:r>
                  <w:t>1,841,543,645.92</w:t>
                </w:r>
              </w:p>
            </w:tc>
            <w:tc>
              <w:tcPr>
                <w:tcW w:w="1134" w:type="pct"/>
                <w:tcBorders>
                  <w:top w:val="outset" w:sz="4" w:space="0" w:color="auto"/>
                  <w:left w:val="outset" w:sz="4" w:space="0" w:color="auto"/>
                  <w:bottom w:val="outset" w:sz="4" w:space="0" w:color="auto"/>
                  <w:right w:val="outset" w:sz="4" w:space="0" w:color="auto"/>
                </w:tcBorders>
                <w:vAlign w:val="center"/>
              </w:tcPr>
              <w:p w14:paraId="03167863" w14:textId="77777777" w:rsidR="00E57DAA" w:rsidRDefault="00AC4185">
                <w:pPr>
                  <w:jc w:val="right"/>
                  <w:rPr>
                    <w:szCs w:val="21"/>
                  </w:rPr>
                </w:pPr>
                <w:r>
                  <w:t>1,626,577,901.51</w:t>
                </w:r>
              </w:p>
            </w:tc>
          </w:tr>
          <w:tr w:rsidR="00E57DAA" w14:paraId="23B4D17F" w14:textId="77777777">
            <w:tc>
              <w:tcPr>
                <w:tcW w:w="2096" w:type="pct"/>
                <w:tcBorders>
                  <w:top w:val="outset" w:sz="4" w:space="0" w:color="auto"/>
                  <w:left w:val="outset" w:sz="4" w:space="0" w:color="auto"/>
                  <w:bottom w:val="outset" w:sz="4" w:space="0" w:color="auto"/>
                  <w:right w:val="outset" w:sz="4" w:space="0" w:color="auto"/>
                </w:tcBorders>
                <w:vAlign w:val="center"/>
              </w:tcPr>
              <w:p w14:paraId="17A7C719" w14:textId="77777777" w:rsidR="00E57DAA" w:rsidRDefault="00AC4185">
                <w:pPr>
                  <w:ind w:firstLineChars="300" w:firstLine="630"/>
                  <w:rPr>
                    <w:szCs w:val="21"/>
                  </w:rPr>
                </w:pPr>
                <w:r>
                  <w:rPr>
                    <w:rFonts w:hint="eastAsia"/>
                    <w:szCs w:val="21"/>
                  </w:rPr>
                  <w:t>财务费用</w:t>
                </w:r>
              </w:p>
            </w:tc>
            <w:tc>
              <w:tcPr>
                <w:tcW w:w="636" w:type="pct"/>
                <w:tcBorders>
                  <w:top w:val="outset" w:sz="4" w:space="0" w:color="auto"/>
                  <w:left w:val="outset" w:sz="4" w:space="0" w:color="auto"/>
                  <w:bottom w:val="outset" w:sz="4" w:space="0" w:color="auto"/>
                  <w:right w:val="outset" w:sz="4" w:space="0" w:color="auto"/>
                </w:tcBorders>
                <w:vAlign w:val="center"/>
              </w:tcPr>
              <w:p w14:paraId="1A8DB578" w14:textId="77777777" w:rsidR="00E57DAA" w:rsidRDefault="00AC4185">
                <w:pPr>
                  <w:rPr>
                    <w:szCs w:val="21"/>
                  </w:rPr>
                </w:pPr>
                <w:r>
                  <w:t>七、66</w:t>
                </w:r>
              </w:p>
            </w:tc>
            <w:tc>
              <w:tcPr>
                <w:tcW w:w="1134" w:type="pct"/>
                <w:tcBorders>
                  <w:top w:val="outset" w:sz="4" w:space="0" w:color="auto"/>
                  <w:left w:val="outset" w:sz="4" w:space="0" w:color="auto"/>
                  <w:bottom w:val="outset" w:sz="4" w:space="0" w:color="auto"/>
                  <w:right w:val="outset" w:sz="4" w:space="0" w:color="auto"/>
                </w:tcBorders>
                <w:vAlign w:val="center"/>
              </w:tcPr>
              <w:p w14:paraId="49777697" w14:textId="77777777" w:rsidR="00E57DAA" w:rsidRDefault="00AC4185">
                <w:pPr>
                  <w:jc w:val="right"/>
                  <w:rPr>
                    <w:szCs w:val="21"/>
                  </w:rPr>
                </w:pPr>
                <w:r>
                  <w:t>252,389,386.21</w:t>
                </w:r>
              </w:p>
            </w:tc>
            <w:tc>
              <w:tcPr>
                <w:tcW w:w="1134" w:type="pct"/>
                <w:tcBorders>
                  <w:top w:val="outset" w:sz="4" w:space="0" w:color="auto"/>
                  <w:left w:val="outset" w:sz="4" w:space="0" w:color="auto"/>
                  <w:bottom w:val="outset" w:sz="4" w:space="0" w:color="auto"/>
                  <w:right w:val="outset" w:sz="4" w:space="0" w:color="auto"/>
                </w:tcBorders>
                <w:vAlign w:val="center"/>
              </w:tcPr>
              <w:p w14:paraId="070D48F7" w14:textId="77777777" w:rsidR="00E57DAA" w:rsidRDefault="00AC4185">
                <w:pPr>
                  <w:jc w:val="right"/>
                  <w:rPr>
                    <w:szCs w:val="21"/>
                  </w:rPr>
                </w:pPr>
                <w:r>
                  <w:t>-171,016,235.27</w:t>
                </w:r>
              </w:p>
            </w:tc>
          </w:tr>
          <w:tr w:rsidR="00E57DAA" w14:paraId="06328521" w14:textId="77777777">
            <w:tc>
              <w:tcPr>
                <w:tcW w:w="2096" w:type="pct"/>
                <w:tcBorders>
                  <w:top w:val="outset" w:sz="4" w:space="0" w:color="auto"/>
                  <w:left w:val="outset" w:sz="4" w:space="0" w:color="auto"/>
                  <w:bottom w:val="outset" w:sz="4" w:space="0" w:color="auto"/>
                  <w:right w:val="outset" w:sz="4" w:space="0" w:color="auto"/>
                </w:tcBorders>
                <w:vAlign w:val="center"/>
              </w:tcPr>
              <w:p w14:paraId="6AD5BD97" w14:textId="77777777" w:rsidR="00E57DAA" w:rsidRDefault="00AC4185">
                <w:pPr>
                  <w:ind w:firstLineChars="300" w:firstLine="630"/>
                </w:pPr>
                <w:r>
                  <w:rPr>
                    <w:rFonts w:hint="eastAsia"/>
                  </w:rPr>
                  <w:t>其中：利息费用</w:t>
                </w:r>
              </w:p>
            </w:tc>
            <w:tc>
              <w:tcPr>
                <w:tcW w:w="636" w:type="pct"/>
                <w:tcBorders>
                  <w:top w:val="outset" w:sz="4" w:space="0" w:color="auto"/>
                  <w:left w:val="outset" w:sz="4" w:space="0" w:color="auto"/>
                  <w:bottom w:val="outset" w:sz="4" w:space="0" w:color="auto"/>
                  <w:right w:val="outset" w:sz="4" w:space="0" w:color="auto"/>
                </w:tcBorders>
                <w:vAlign w:val="center"/>
              </w:tcPr>
              <w:p w14:paraId="24D73C7F"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038AAAD" w14:textId="77777777" w:rsidR="00E57DAA" w:rsidRDefault="00AC4185">
                <w:pPr>
                  <w:jc w:val="right"/>
                  <w:rPr>
                    <w:szCs w:val="21"/>
                  </w:rPr>
                </w:pPr>
                <w:r>
                  <w:t>295,148,845.07</w:t>
                </w:r>
              </w:p>
            </w:tc>
            <w:tc>
              <w:tcPr>
                <w:tcW w:w="1134" w:type="pct"/>
                <w:tcBorders>
                  <w:top w:val="outset" w:sz="4" w:space="0" w:color="auto"/>
                  <w:left w:val="outset" w:sz="4" w:space="0" w:color="auto"/>
                  <w:bottom w:val="outset" w:sz="4" w:space="0" w:color="auto"/>
                  <w:right w:val="outset" w:sz="4" w:space="0" w:color="auto"/>
                </w:tcBorders>
                <w:vAlign w:val="center"/>
              </w:tcPr>
              <w:p w14:paraId="48F8A72F" w14:textId="77777777" w:rsidR="00E57DAA" w:rsidRDefault="00AC4185">
                <w:pPr>
                  <w:jc w:val="right"/>
                  <w:rPr>
                    <w:szCs w:val="21"/>
                  </w:rPr>
                </w:pPr>
                <w:r>
                  <w:t>240,839,441.61</w:t>
                </w:r>
              </w:p>
            </w:tc>
          </w:tr>
          <w:tr w:rsidR="00E57DAA" w14:paraId="3D61661C" w14:textId="77777777">
            <w:tc>
              <w:tcPr>
                <w:tcW w:w="2096" w:type="pct"/>
                <w:tcBorders>
                  <w:top w:val="outset" w:sz="4" w:space="0" w:color="auto"/>
                  <w:left w:val="outset" w:sz="4" w:space="0" w:color="auto"/>
                  <w:bottom w:val="outset" w:sz="4" w:space="0" w:color="auto"/>
                  <w:right w:val="outset" w:sz="4" w:space="0" w:color="auto"/>
                </w:tcBorders>
                <w:vAlign w:val="center"/>
              </w:tcPr>
              <w:p w14:paraId="5B29E84D" w14:textId="77777777" w:rsidR="00E57DAA" w:rsidRDefault="00AC4185">
                <w:pPr>
                  <w:ind w:firstLineChars="600" w:firstLine="1260"/>
                </w:pPr>
                <w:r>
                  <w:rPr>
                    <w:rFonts w:hint="eastAsia"/>
                  </w:rPr>
                  <w:t>利息收入</w:t>
                </w:r>
              </w:p>
            </w:tc>
            <w:tc>
              <w:tcPr>
                <w:tcW w:w="636" w:type="pct"/>
                <w:tcBorders>
                  <w:top w:val="outset" w:sz="4" w:space="0" w:color="auto"/>
                  <w:left w:val="outset" w:sz="4" w:space="0" w:color="auto"/>
                  <w:bottom w:val="outset" w:sz="4" w:space="0" w:color="auto"/>
                  <w:right w:val="outset" w:sz="4" w:space="0" w:color="auto"/>
                </w:tcBorders>
                <w:vAlign w:val="center"/>
              </w:tcPr>
              <w:p w14:paraId="71C1BD5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089BDF9" w14:textId="77777777" w:rsidR="00E57DAA" w:rsidRDefault="00AC4185">
                <w:pPr>
                  <w:jc w:val="right"/>
                  <w:rPr>
                    <w:szCs w:val="21"/>
                  </w:rPr>
                </w:pPr>
                <w:r>
                  <w:t>333,021,434.06</w:t>
                </w:r>
              </w:p>
            </w:tc>
            <w:tc>
              <w:tcPr>
                <w:tcW w:w="1134" w:type="pct"/>
                <w:tcBorders>
                  <w:top w:val="outset" w:sz="4" w:space="0" w:color="auto"/>
                  <w:left w:val="outset" w:sz="4" w:space="0" w:color="auto"/>
                  <w:bottom w:val="outset" w:sz="4" w:space="0" w:color="auto"/>
                  <w:right w:val="outset" w:sz="4" w:space="0" w:color="auto"/>
                </w:tcBorders>
                <w:vAlign w:val="center"/>
              </w:tcPr>
              <w:p w14:paraId="2F49CD9A" w14:textId="77777777" w:rsidR="00E57DAA" w:rsidRDefault="00AC4185">
                <w:pPr>
                  <w:jc w:val="right"/>
                  <w:rPr>
                    <w:szCs w:val="21"/>
                  </w:rPr>
                </w:pPr>
                <w:r>
                  <w:t>298,263,059.04</w:t>
                </w:r>
              </w:p>
            </w:tc>
          </w:tr>
          <w:tr w:rsidR="00E57DAA" w14:paraId="12095EEF" w14:textId="77777777">
            <w:tc>
              <w:tcPr>
                <w:tcW w:w="2096" w:type="pct"/>
                <w:tcBorders>
                  <w:top w:val="outset" w:sz="4" w:space="0" w:color="auto"/>
                  <w:left w:val="outset" w:sz="4" w:space="0" w:color="auto"/>
                  <w:bottom w:val="outset" w:sz="4" w:space="0" w:color="auto"/>
                  <w:right w:val="outset" w:sz="4" w:space="0" w:color="auto"/>
                </w:tcBorders>
                <w:vAlign w:val="center"/>
              </w:tcPr>
              <w:p w14:paraId="5C971FDB" w14:textId="77777777" w:rsidR="00E57DAA" w:rsidRDefault="00AC4185">
                <w:pPr>
                  <w:ind w:firstLineChars="100" w:firstLine="210"/>
                  <w:rPr>
                    <w:szCs w:val="21"/>
                  </w:rPr>
                </w:pPr>
                <w:r>
                  <w:rPr>
                    <w:rFonts w:hint="eastAsia"/>
                  </w:rPr>
                  <w:t>加：</w:t>
                </w:r>
                <w:r>
                  <w:rPr>
                    <w:rFonts w:hint="eastAsia"/>
                    <w:szCs w:val="21"/>
                  </w:rPr>
                  <w:t>其他收益</w:t>
                </w:r>
              </w:p>
            </w:tc>
            <w:tc>
              <w:tcPr>
                <w:tcW w:w="636" w:type="pct"/>
                <w:tcBorders>
                  <w:top w:val="outset" w:sz="4" w:space="0" w:color="auto"/>
                  <w:left w:val="outset" w:sz="4" w:space="0" w:color="auto"/>
                  <w:bottom w:val="outset" w:sz="4" w:space="0" w:color="auto"/>
                  <w:right w:val="outset" w:sz="4" w:space="0" w:color="auto"/>
                </w:tcBorders>
                <w:vAlign w:val="center"/>
              </w:tcPr>
              <w:p w14:paraId="2CADECAD" w14:textId="77777777" w:rsidR="00E57DAA" w:rsidRDefault="00AC4185">
                <w:pPr>
                  <w:rPr>
                    <w:szCs w:val="21"/>
                  </w:rPr>
                </w:pPr>
                <w:r>
                  <w:t>七、67</w:t>
                </w:r>
              </w:p>
            </w:tc>
            <w:tc>
              <w:tcPr>
                <w:tcW w:w="1134" w:type="pct"/>
                <w:tcBorders>
                  <w:top w:val="outset" w:sz="4" w:space="0" w:color="auto"/>
                  <w:left w:val="outset" w:sz="4" w:space="0" w:color="auto"/>
                  <w:bottom w:val="outset" w:sz="4" w:space="0" w:color="auto"/>
                  <w:right w:val="outset" w:sz="4" w:space="0" w:color="auto"/>
                </w:tcBorders>
                <w:vAlign w:val="center"/>
              </w:tcPr>
              <w:p w14:paraId="275D73B4" w14:textId="77777777" w:rsidR="00E57DAA" w:rsidRDefault="00AC4185">
                <w:pPr>
                  <w:jc w:val="right"/>
                  <w:rPr>
                    <w:szCs w:val="21"/>
                  </w:rPr>
                </w:pPr>
                <w:r>
                  <w:t>180,054,142.31</w:t>
                </w:r>
              </w:p>
            </w:tc>
            <w:tc>
              <w:tcPr>
                <w:tcW w:w="1134" w:type="pct"/>
                <w:tcBorders>
                  <w:top w:val="outset" w:sz="4" w:space="0" w:color="auto"/>
                  <w:left w:val="outset" w:sz="4" w:space="0" w:color="auto"/>
                  <w:bottom w:val="outset" w:sz="4" w:space="0" w:color="auto"/>
                  <w:right w:val="outset" w:sz="4" w:space="0" w:color="auto"/>
                </w:tcBorders>
                <w:vAlign w:val="center"/>
              </w:tcPr>
              <w:p w14:paraId="472C8579" w14:textId="77777777" w:rsidR="00E57DAA" w:rsidRDefault="00AC4185">
                <w:pPr>
                  <w:jc w:val="right"/>
                  <w:rPr>
                    <w:szCs w:val="21"/>
                  </w:rPr>
                </w:pPr>
                <w:r>
                  <w:t>92,135,885.77</w:t>
                </w:r>
              </w:p>
            </w:tc>
          </w:tr>
          <w:tr w:rsidR="00E57DAA" w14:paraId="53B11D4C" w14:textId="77777777">
            <w:tc>
              <w:tcPr>
                <w:tcW w:w="2096" w:type="pct"/>
                <w:tcBorders>
                  <w:top w:val="outset" w:sz="4" w:space="0" w:color="auto"/>
                  <w:left w:val="outset" w:sz="4" w:space="0" w:color="auto"/>
                  <w:bottom w:val="outset" w:sz="4" w:space="0" w:color="auto"/>
                  <w:right w:val="outset" w:sz="4" w:space="0" w:color="auto"/>
                </w:tcBorders>
                <w:vAlign w:val="center"/>
              </w:tcPr>
              <w:p w14:paraId="0C8BA07D" w14:textId="77777777" w:rsidR="00E57DAA" w:rsidRDefault="00AC4185">
                <w:pPr>
                  <w:ind w:firstLineChars="300" w:firstLine="630"/>
                  <w:rPr>
                    <w:szCs w:val="21"/>
                  </w:rPr>
                </w:pPr>
                <w:r>
                  <w:rPr>
                    <w:rFonts w:hint="eastAsia"/>
                    <w:szCs w:val="21"/>
                  </w:rPr>
                  <w:t>投资收益（损失以“－”号填列）</w:t>
                </w:r>
              </w:p>
            </w:tc>
            <w:tc>
              <w:tcPr>
                <w:tcW w:w="636" w:type="pct"/>
                <w:tcBorders>
                  <w:top w:val="outset" w:sz="4" w:space="0" w:color="auto"/>
                  <w:left w:val="outset" w:sz="4" w:space="0" w:color="auto"/>
                  <w:bottom w:val="outset" w:sz="4" w:space="0" w:color="auto"/>
                  <w:right w:val="outset" w:sz="4" w:space="0" w:color="auto"/>
                </w:tcBorders>
                <w:vAlign w:val="center"/>
              </w:tcPr>
              <w:p w14:paraId="63988E96" w14:textId="77777777" w:rsidR="00E57DAA" w:rsidRDefault="00AC4185">
                <w:pPr>
                  <w:rPr>
                    <w:szCs w:val="21"/>
                  </w:rPr>
                </w:pPr>
                <w:r>
                  <w:t>七、68</w:t>
                </w:r>
              </w:p>
            </w:tc>
            <w:tc>
              <w:tcPr>
                <w:tcW w:w="1134" w:type="pct"/>
                <w:tcBorders>
                  <w:top w:val="outset" w:sz="4" w:space="0" w:color="auto"/>
                  <w:left w:val="outset" w:sz="4" w:space="0" w:color="auto"/>
                  <w:bottom w:val="outset" w:sz="4" w:space="0" w:color="auto"/>
                  <w:right w:val="outset" w:sz="4" w:space="0" w:color="auto"/>
                </w:tcBorders>
                <w:vAlign w:val="center"/>
              </w:tcPr>
              <w:p w14:paraId="6EA2ECA7" w14:textId="77777777" w:rsidR="00E57DAA" w:rsidRDefault="00AC4185">
                <w:pPr>
                  <w:jc w:val="right"/>
                  <w:rPr>
                    <w:szCs w:val="21"/>
                  </w:rPr>
                </w:pPr>
                <w:r>
                  <w:t>-32,569,702.51</w:t>
                </w:r>
              </w:p>
            </w:tc>
            <w:tc>
              <w:tcPr>
                <w:tcW w:w="1134" w:type="pct"/>
                <w:tcBorders>
                  <w:top w:val="outset" w:sz="4" w:space="0" w:color="auto"/>
                  <w:left w:val="outset" w:sz="4" w:space="0" w:color="auto"/>
                  <w:bottom w:val="outset" w:sz="4" w:space="0" w:color="auto"/>
                  <w:right w:val="outset" w:sz="4" w:space="0" w:color="auto"/>
                </w:tcBorders>
                <w:vAlign w:val="center"/>
              </w:tcPr>
              <w:p w14:paraId="7B5DAC8A" w14:textId="77777777" w:rsidR="00E57DAA" w:rsidRDefault="00AC4185">
                <w:pPr>
                  <w:jc w:val="right"/>
                  <w:rPr>
                    <w:szCs w:val="21"/>
                  </w:rPr>
                </w:pPr>
                <w:r>
                  <w:t>14,642,319.22</w:t>
                </w:r>
              </w:p>
            </w:tc>
          </w:tr>
          <w:tr w:rsidR="00E57DAA" w14:paraId="610AAC6B" w14:textId="77777777">
            <w:tc>
              <w:tcPr>
                <w:tcW w:w="2096" w:type="pct"/>
                <w:tcBorders>
                  <w:top w:val="outset" w:sz="4" w:space="0" w:color="auto"/>
                  <w:left w:val="outset" w:sz="4" w:space="0" w:color="auto"/>
                  <w:bottom w:val="outset" w:sz="4" w:space="0" w:color="auto"/>
                  <w:right w:val="outset" w:sz="4" w:space="0" w:color="auto"/>
                </w:tcBorders>
                <w:vAlign w:val="center"/>
              </w:tcPr>
              <w:p w14:paraId="4CBDCD7E" w14:textId="77777777" w:rsidR="00E57DAA" w:rsidRDefault="00AC4185">
                <w:pPr>
                  <w:ind w:firstLineChars="300" w:firstLine="630"/>
                  <w:rPr>
                    <w:szCs w:val="21"/>
                  </w:rPr>
                </w:pPr>
                <w:r>
                  <w:rPr>
                    <w:rFonts w:hint="eastAsia"/>
                    <w:szCs w:val="21"/>
                  </w:rPr>
                  <w:t>其中：对联营企业和合营企业的投资收益</w:t>
                </w:r>
              </w:p>
            </w:tc>
            <w:tc>
              <w:tcPr>
                <w:tcW w:w="636" w:type="pct"/>
                <w:tcBorders>
                  <w:top w:val="outset" w:sz="4" w:space="0" w:color="auto"/>
                  <w:left w:val="outset" w:sz="4" w:space="0" w:color="auto"/>
                  <w:bottom w:val="outset" w:sz="4" w:space="0" w:color="auto"/>
                  <w:right w:val="outset" w:sz="4" w:space="0" w:color="auto"/>
                </w:tcBorders>
                <w:vAlign w:val="center"/>
              </w:tcPr>
              <w:p w14:paraId="28812F4B"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F0025E3" w14:textId="77777777" w:rsidR="00E57DAA" w:rsidRDefault="00AC4185">
                <w:pPr>
                  <w:jc w:val="right"/>
                  <w:rPr>
                    <w:szCs w:val="21"/>
                  </w:rPr>
                </w:pPr>
                <w:r>
                  <w:t>-9,521,391.15</w:t>
                </w:r>
              </w:p>
            </w:tc>
            <w:tc>
              <w:tcPr>
                <w:tcW w:w="1134" w:type="pct"/>
                <w:tcBorders>
                  <w:top w:val="outset" w:sz="4" w:space="0" w:color="auto"/>
                  <w:left w:val="outset" w:sz="4" w:space="0" w:color="auto"/>
                  <w:bottom w:val="outset" w:sz="4" w:space="0" w:color="auto"/>
                  <w:right w:val="outset" w:sz="4" w:space="0" w:color="auto"/>
                </w:tcBorders>
                <w:vAlign w:val="center"/>
              </w:tcPr>
              <w:p w14:paraId="43BA66E8" w14:textId="77777777" w:rsidR="00E57DAA" w:rsidRDefault="00AC4185">
                <w:pPr>
                  <w:jc w:val="right"/>
                  <w:rPr>
                    <w:szCs w:val="21"/>
                  </w:rPr>
                </w:pPr>
                <w:r>
                  <w:t>12,392,663.77</w:t>
                </w:r>
              </w:p>
            </w:tc>
          </w:tr>
          <w:tr w:rsidR="00E57DAA" w14:paraId="76958738" w14:textId="77777777">
            <w:tc>
              <w:tcPr>
                <w:tcW w:w="2096" w:type="pct"/>
                <w:tcBorders>
                  <w:top w:val="outset" w:sz="4" w:space="0" w:color="auto"/>
                  <w:left w:val="outset" w:sz="4" w:space="0" w:color="auto"/>
                  <w:bottom w:val="outset" w:sz="4" w:space="0" w:color="auto"/>
                  <w:right w:val="outset" w:sz="4" w:space="0" w:color="auto"/>
                </w:tcBorders>
              </w:tcPr>
              <w:p w14:paraId="7185726A" w14:textId="77777777" w:rsidR="00E57DAA" w:rsidRDefault="00AC4185">
                <w:pPr>
                  <w:ind w:firstLineChars="550" w:firstLine="1155"/>
                </w:pPr>
                <w:r>
                  <w:rPr>
                    <w:rFonts w:hint="eastAsia"/>
                  </w:rPr>
                  <w:t>以摊余成本计量的金融资产终止确认收益</w:t>
                </w:r>
              </w:p>
            </w:tc>
            <w:tc>
              <w:tcPr>
                <w:tcW w:w="636" w:type="pct"/>
                <w:tcBorders>
                  <w:top w:val="outset" w:sz="4" w:space="0" w:color="auto"/>
                  <w:left w:val="outset" w:sz="4" w:space="0" w:color="auto"/>
                  <w:bottom w:val="outset" w:sz="4" w:space="0" w:color="auto"/>
                  <w:right w:val="outset" w:sz="4" w:space="0" w:color="auto"/>
                </w:tcBorders>
                <w:vAlign w:val="center"/>
              </w:tcPr>
              <w:p w14:paraId="27833BC7"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0991117" w14:textId="77777777" w:rsidR="00E57DAA" w:rsidRDefault="00AC4185">
                <w:pPr>
                  <w:jc w:val="right"/>
                  <w:rPr>
                    <w:szCs w:val="21"/>
                  </w:rPr>
                </w:pPr>
                <w:r>
                  <w:t>47,716,843.09</w:t>
                </w:r>
              </w:p>
            </w:tc>
            <w:tc>
              <w:tcPr>
                <w:tcW w:w="1134" w:type="pct"/>
                <w:tcBorders>
                  <w:top w:val="outset" w:sz="4" w:space="0" w:color="auto"/>
                  <w:left w:val="outset" w:sz="4" w:space="0" w:color="auto"/>
                  <w:bottom w:val="outset" w:sz="4" w:space="0" w:color="auto"/>
                  <w:right w:val="outset" w:sz="4" w:space="0" w:color="auto"/>
                </w:tcBorders>
                <w:vAlign w:val="center"/>
              </w:tcPr>
              <w:p w14:paraId="3B318A5B" w14:textId="77777777" w:rsidR="00E57DAA" w:rsidRDefault="00AC4185">
                <w:pPr>
                  <w:jc w:val="right"/>
                  <w:rPr>
                    <w:szCs w:val="21"/>
                  </w:rPr>
                </w:pPr>
                <w:r>
                  <w:t>50,183,706.79</w:t>
                </w:r>
              </w:p>
            </w:tc>
          </w:tr>
          <w:tr w:rsidR="00E57DAA" w14:paraId="154301E8" w14:textId="77777777">
            <w:tc>
              <w:tcPr>
                <w:tcW w:w="2096" w:type="pct"/>
                <w:tcBorders>
                  <w:top w:val="outset" w:sz="4" w:space="0" w:color="auto"/>
                  <w:left w:val="outset" w:sz="4" w:space="0" w:color="auto"/>
                  <w:bottom w:val="outset" w:sz="4" w:space="0" w:color="auto"/>
                  <w:right w:val="outset" w:sz="4" w:space="0" w:color="auto"/>
                </w:tcBorders>
                <w:vAlign w:val="center"/>
              </w:tcPr>
              <w:p w14:paraId="61715818" w14:textId="77777777" w:rsidR="00E57DAA" w:rsidRDefault="00AC4185">
                <w:pPr>
                  <w:ind w:firstLineChars="300" w:firstLine="630"/>
                  <w:rPr>
                    <w:szCs w:val="21"/>
                  </w:rPr>
                </w:pPr>
                <w:r>
                  <w:rPr>
                    <w:rFonts w:hint="eastAsia"/>
                    <w:szCs w:val="21"/>
                  </w:rPr>
                  <w:lastRenderedPageBreak/>
                  <w:t>汇兑收益（损失以“－”号填列）</w:t>
                </w:r>
              </w:p>
            </w:tc>
            <w:tc>
              <w:tcPr>
                <w:tcW w:w="636" w:type="pct"/>
                <w:tcBorders>
                  <w:top w:val="outset" w:sz="4" w:space="0" w:color="auto"/>
                  <w:left w:val="outset" w:sz="4" w:space="0" w:color="auto"/>
                  <w:bottom w:val="outset" w:sz="4" w:space="0" w:color="auto"/>
                  <w:right w:val="outset" w:sz="4" w:space="0" w:color="auto"/>
                </w:tcBorders>
                <w:vAlign w:val="center"/>
              </w:tcPr>
              <w:p w14:paraId="544D6829"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38A1C5C3"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312C8DA7" w14:textId="77777777" w:rsidR="00E57DAA" w:rsidRDefault="00E57DAA">
                <w:pPr>
                  <w:jc w:val="right"/>
                  <w:rPr>
                    <w:szCs w:val="21"/>
                  </w:rPr>
                </w:pPr>
              </w:p>
            </w:tc>
          </w:tr>
          <w:tr w:rsidR="00E57DAA" w14:paraId="15C096B3" w14:textId="77777777">
            <w:tc>
              <w:tcPr>
                <w:tcW w:w="2096" w:type="pct"/>
                <w:tcBorders>
                  <w:top w:val="outset" w:sz="4" w:space="0" w:color="auto"/>
                  <w:left w:val="outset" w:sz="4" w:space="0" w:color="auto"/>
                  <w:bottom w:val="outset" w:sz="4" w:space="0" w:color="auto"/>
                  <w:right w:val="outset" w:sz="4" w:space="0" w:color="auto"/>
                </w:tcBorders>
                <w:vAlign w:val="center"/>
              </w:tcPr>
              <w:p w14:paraId="46ACEAA3" w14:textId="77777777" w:rsidR="00E57DAA" w:rsidRDefault="00AC4185">
                <w:pPr>
                  <w:ind w:firstLineChars="300" w:firstLine="630"/>
                </w:pPr>
                <w:r>
                  <w:rPr>
                    <w:rFonts w:hint="eastAsia"/>
                  </w:rPr>
                  <w:t>净敞口套期收益（损失以“</w:t>
                </w:r>
                <w:r>
                  <w:t>-”号填列）</w:t>
                </w:r>
              </w:p>
            </w:tc>
            <w:tc>
              <w:tcPr>
                <w:tcW w:w="636" w:type="pct"/>
                <w:tcBorders>
                  <w:top w:val="outset" w:sz="4" w:space="0" w:color="auto"/>
                  <w:left w:val="outset" w:sz="4" w:space="0" w:color="auto"/>
                  <w:bottom w:val="outset" w:sz="4" w:space="0" w:color="auto"/>
                  <w:right w:val="outset" w:sz="4" w:space="0" w:color="auto"/>
                </w:tcBorders>
                <w:vAlign w:val="center"/>
              </w:tcPr>
              <w:p w14:paraId="72B24262"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3BA99B45"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4B66EAB" w14:textId="77777777" w:rsidR="00E57DAA" w:rsidRDefault="00E57DAA">
                <w:pPr>
                  <w:jc w:val="right"/>
                  <w:rPr>
                    <w:szCs w:val="21"/>
                  </w:rPr>
                </w:pPr>
              </w:p>
            </w:tc>
          </w:tr>
          <w:tr w:rsidR="00E57DAA" w14:paraId="18756261" w14:textId="77777777">
            <w:tc>
              <w:tcPr>
                <w:tcW w:w="2096" w:type="pct"/>
                <w:tcBorders>
                  <w:top w:val="outset" w:sz="4" w:space="0" w:color="auto"/>
                  <w:left w:val="outset" w:sz="4" w:space="0" w:color="auto"/>
                  <w:bottom w:val="outset" w:sz="4" w:space="0" w:color="auto"/>
                  <w:right w:val="outset" w:sz="4" w:space="0" w:color="auto"/>
                </w:tcBorders>
                <w:vAlign w:val="center"/>
              </w:tcPr>
              <w:p w14:paraId="18621F2E" w14:textId="77777777" w:rsidR="00E57DAA" w:rsidRDefault="00AC4185">
                <w:pPr>
                  <w:ind w:firstLineChars="300" w:firstLine="630"/>
                  <w:rPr>
                    <w:color w:val="000000"/>
                    <w:szCs w:val="21"/>
                  </w:rPr>
                </w:pPr>
                <w:r>
                  <w:rPr>
                    <w:rFonts w:hint="eastAsia"/>
                    <w:szCs w:val="21"/>
                  </w:rPr>
                  <w:t>公允价值变动收益（损失以“－”号填列）</w:t>
                </w:r>
              </w:p>
            </w:tc>
            <w:tc>
              <w:tcPr>
                <w:tcW w:w="636" w:type="pct"/>
                <w:tcBorders>
                  <w:top w:val="outset" w:sz="4" w:space="0" w:color="auto"/>
                  <w:left w:val="outset" w:sz="4" w:space="0" w:color="auto"/>
                  <w:bottom w:val="outset" w:sz="4" w:space="0" w:color="auto"/>
                  <w:right w:val="outset" w:sz="4" w:space="0" w:color="auto"/>
                </w:tcBorders>
                <w:vAlign w:val="center"/>
              </w:tcPr>
              <w:p w14:paraId="0752EC80" w14:textId="77777777" w:rsidR="00E57DAA" w:rsidRDefault="00AC4185">
                <w:pPr>
                  <w:rPr>
                    <w:szCs w:val="21"/>
                  </w:rPr>
                </w:pPr>
                <w:r>
                  <w:t>七、70</w:t>
                </w:r>
              </w:p>
            </w:tc>
            <w:tc>
              <w:tcPr>
                <w:tcW w:w="1134" w:type="pct"/>
                <w:tcBorders>
                  <w:top w:val="outset" w:sz="4" w:space="0" w:color="auto"/>
                  <w:left w:val="outset" w:sz="4" w:space="0" w:color="auto"/>
                  <w:bottom w:val="outset" w:sz="4" w:space="0" w:color="auto"/>
                  <w:right w:val="outset" w:sz="4" w:space="0" w:color="auto"/>
                </w:tcBorders>
                <w:vAlign w:val="center"/>
              </w:tcPr>
              <w:p w14:paraId="1347943D" w14:textId="77777777" w:rsidR="00E57DAA" w:rsidRDefault="00AC4185">
                <w:pPr>
                  <w:jc w:val="right"/>
                  <w:rPr>
                    <w:szCs w:val="21"/>
                  </w:rPr>
                </w:pPr>
                <w:r>
                  <w:t>78,387,258.49</w:t>
                </w:r>
              </w:p>
            </w:tc>
            <w:tc>
              <w:tcPr>
                <w:tcW w:w="1134" w:type="pct"/>
                <w:tcBorders>
                  <w:top w:val="outset" w:sz="4" w:space="0" w:color="auto"/>
                  <w:left w:val="outset" w:sz="4" w:space="0" w:color="auto"/>
                  <w:bottom w:val="outset" w:sz="4" w:space="0" w:color="auto"/>
                  <w:right w:val="outset" w:sz="4" w:space="0" w:color="auto"/>
                </w:tcBorders>
                <w:vAlign w:val="center"/>
              </w:tcPr>
              <w:p w14:paraId="3C0EA24E" w14:textId="77777777" w:rsidR="00E57DAA" w:rsidRDefault="00AC4185">
                <w:pPr>
                  <w:jc w:val="right"/>
                  <w:rPr>
                    <w:szCs w:val="21"/>
                  </w:rPr>
                </w:pPr>
                <w:r>
                  <w:t>-19,652,707.15</w:t>
                </w:r>
              </w:p>
            </w:tc>
          </w:tr>
          <w:tr w:rsidR="00E57DAA" w14:paraId="719A78E8" w14:textId="77777777">
            <w:tc>
              <w:tcPr>
                <w:tcW w:w="2096" w:type="pct"/>
                <w:tcBorders>
                  <w:top w:val="outset" w:sz="4" w:space="0" w:color="auto"/>
                  <w:left w:val="outset" w:sz="4" w:space="0" w:color="auto"/>
                  <w:bottom w:val="outset" w:sz="4" w:space="0" w:color="auto"/>
                  <w:right w:val="outset" w:sz="4" w:space="0" w:color="auto"/>
                </w:tcBorders>
                <w:vAlign w:val="center"/>
              </w:tcPr>
              <w:p w14:paraId="6A4BE71F" w14:textId="77777777" w:rsidR="00E57DAA" w:rsidRDefault="00AC4185">
                <w:pPr>
                  <w:ind w:firstLineChars="300" w:firstLine="630"/>
                </w:pPr>
                <w:r>
                  <w:rPr>
                    <w:rFonts w:hint="eastAsia"/>
                  </w:rPr>
                  <w:t>信用减值损失（损失以“</w:t>
                </w:r>
                <w:r>
                  <w:t>-”号填列）</w:t>
                </w:r>
              </w:p>
            </w:tc>
            <w:tc>
              <w:tcPr>
                <w:tcW w:w="636" w:type="pct"/>
                <w:tcBorders>
                  <w:top w:val="outset" w:sz="4" w:space="0" w:color="auto"/>
                  <w:left w:val="outset" w:sz="4" w:space="0" w:color="auto"/>
                  <w:bottom w:val="outset" w:sz="4" w:space="0" w:color="auto"/>
                  <w:right w:val="outset" w:sz="4" w:space="0" w:color="auto"/>
                </w:tcBorders>
                <w:vAlign w:val="center"/>
              </w:tcPr>
              <w:p w14:paraId="7CEE7FD4" w14:textId="77777777" w:rsidR="00E57DAA" w:rsidRDefault="00AC4185">
                <w:pPr>
                  <w:rPr>
                    <w:szCs w:val="21"/>
                  </w:rPr>
                </w:pPr>
                <w:r>
                  <w:t>七、71</w:t>
                </w:r>
              </w:p>
            </w:tc>
            <w:tc>
              <w:tcPr>
                <w:tcW w:w="1134" w:type="pct"/>
                <w:tcBorders>
                  <w:top w:val="outset" w:sz="4" w:space="0" w:color="auto"/>
                  <w:left w:val="outset" w:sz="4" w:space="0" w:color="auto"/>
                  <w:bottom w:val="outset" w:sz="4" w:space="0" w:color="auto"/>
                  <w:right w:val="outset" w:sz="4" w:space="0" w:color="auto"/>
                </w:tcBorders>
                <w:vAlign w:val="center"/>
              </w:tcPr>
              <w:p w14:paraId="64AAD39C" w14:textId="77777777" w:rsidR="00E57DAA" w:rsidRDefault="00AC4185">
                <w:pPr>
                  <w:jc w:val="right"/>
                  <w:rPr>
                    <w:szCs w:val="21"/>
                  </w:rPr>
                </w:pPr>
                <w:r>
                  <w:t>-272,987,394.54</w:t>
                </w:r>
              </w:p>
            </w:tc>
            <w:tc>
              <w:tcPr>
                <w:tcW w:w="1134" w:type="pct"/>
                <w:tcBorders>
                  <w:top w:val="outset" w:sz="4" w:space="0" w:color="auto"/>
                  <w:left w:val="outset" w:sz="4" w:space="0" w:color="auto"/>
                  <w:bottom w:val="outset" w:sz="4" w:space="0" w:color="auto"/>
                  <w:right w:val="outset" w:sz="4" w:space="0" w:color="auto"/>
                </w:tcBorders>
                <w:vAlign w:val="center"/>
              </w:tcPr>
              <w:p w14:paraId="08850195" w14:textId="77777777" w:rsidR="00E57DAA" w:rsidRDefault="00AC4185">
                <w:pPr>
                  <w:jc w:val="right"/>
                  <w:rPr>
                    <w:szCs w:val="21"/>
                  </w:rPr>
                </w:pPr>
                <w:r>
                  <w:t>-88,292,504.82</w:t>
                </w:r>
              </w:p>
            </w:tc>
          </w:tr>
          <w:tr w:rsidR="00E57DAA" w14:paraId="4F141059" w14:textId="77777777">
            <w:tc>
              <w:tcPr>
                <w:tcW w:w="2096" w:type="pct"/>
                <w:tcBorders>
                  <w:top w:val="outset" w:sz="4" w:space="0" w:color="auto"/>
                  <w:left w:val="outset" w:sz="4" w:space="0" w:color="auto"/>
                  <w:bottom w:val="outset" w:sz="4" w:space="0" w:color="auto"/>
                  <w:right w:val="outset" w:sz="4" w:space="0" w:color="auto"/>
                </w:tcBorders>
                <w:vAlign w:val="center"/>
              </w:tcPr>
              <w:p w14:paraId="4E1D5CEF" w14:textId="77777777" w:rsidR="00E57DAA" w:rsidRDefault="00AC4185">
                <w:pPr>
                  <w:ind w:firstLineChars="300" w:firstLine="630"/>
                  <w:rPr>
                    <w:szCs w:val="21"/>
                  </w:rPr>
                </w:pPr>
                <w:r>
                  <w:rPr>
                    <w:rFonts w:hint="eastAsia"/>
                    <w:szCs w:val="21"/>
                  </w:rPr>
                  <w:t>资产减值损失</w:t>
                </w:r>
                <w:r>
                  <w:rPr>
                    <w:rFonts w:hint="eastAsia"/>
                  </w:rPr>
                  <w:t>（损失以“</w:t>
                </w:r>
                <w:r>
                  <w:t>-”号填列）</w:t>
                </w:r>
              </w:p>
            </w:tc>
            <w:tc>
              <w:tcPr>
                <w:tcW w:w="636" w:type="pct"/>
                <w:tcBorders>
                  <w:top w:val="outset" w:sz="4" w:space="0" w:color="auto"/>
                  <w:left w:val="outset" w:sz="4" w:space="0" w:color="auto"/>
                  <w:bottom w:val="outset" w:sz="4" w:space="0" w:color="auto"/>
                  <w:right w:val="outset" w:sz="4" w:space="0" w:color="auto"/>
                </w:tcBorders>
                <w:vAlign w:val="center"/>
              </w:tcPr>
              <w:p w14:paraId="57831204" w14:textId="77777777" w:rsidR="00E57DAA" w:rsidRDefault="00AC4185">
                <w:pPr>
                  <w:rPr>
                    <w:szCs w:val="21"/>
                  </w:rPr>
                </w:pPr>
                <w:r>
                  <w:t>七、72</w:t>
                </w:r>
              </w:p>
            </w:tc>
            <w:tc>
              <w:tcPr>
                <w:tcW w:w="1134" w:type="pct"/>
                <w:tcBorders>
                  <w:top w:val="outset" w:sz="4" w:space="0" w:color="auto"/>
                  <w:left w:val="outset" w:sz="4" w:space="0" w:color="auto"/>
                  <w:bottom w:val="outset" w:sz="4" w:space="0" w:color="auto"/>
                  <w:right w:val="outset" w:sz="4" w:space="0" w:color="auto"/>
                </w:tcBorders>
                <w:vAlign w:val="center"/>
              </w:tcPr>
              <w:p w14:paraId="5A571172" w14:textId="77777777" w:rsidR="00E57DAA" w:rsidRDefault="00AC4185">
                <w:pPr>
                  <w:jc w:val="right"/>
                  <w:rPr>
                    <w:szCs w:val="21"/>
                  </w:rPr>
                </w:pPr>
                <w:r>
                  <w:t>-218,018,117.51</w:t>
                </w:r>
              </w:p>
            </w:tc>
            <w:tc>
              <w:tcPr>
                <w:tcW w:w="1134" w:type="pct"/>
                <w:tcBorders>
                  <w:top w:val="outset" w:sz="4" w:space="0" w:color="auto"/>
                  <w:left w:val="outset" w:sz="4" w:space="0" w:color="auto"/>
                  <w:bottom w:val="outset" w:sz="4" w:space="0" w:color="auto"/>
                  <w:right w:val="outset" w:sz="4" w:space="0" w:color="auto"/>
                </w:tcBorders>
                <w:vAlign w:val="center"/>
              </w:tcPr>
              <w:p w14:paraId="59453521" w14:textId="77777777" w:rsidR="00E57DAA" w:rsidRDefault="00AC4185">
                <w:pPr>
                  <w:jc w:val="right"/>
                  <w:rPr>
                    <w:szCs w:val="21"/>
                  </w:rPr>
                </w:pPr>
                <w:r>
                  <w:t>-111,910,082.33</w:t>
                </w:r>
              </w:p>
            </w:tc>
          </w:tr>
          <w:tr w:rsidR="00E57DAA" w14:paraId="2335CDE0" w14:textId="77777777">
            <w:tc>
              <w:tcPr>
                <w:tcW w:w="2096" w:type="pct"/>
                <w:tcBorders>
                  <w:top w:val="outset" w:sz="4" w:space="0" w:color="auto"/>
                  <w:left w:val="outset" w:sz="4" w:space="0" w:color="auto"/>
                  <w:bottom w:val="outset" w:sz="4" w:space="0" w:color="auto"/>
                  <w:right w:val="outset" w:sz="4" w:space="0" w:color="auto"/>
                </w:tcBorders>
                <w:vAlign w:val="center"/>
              </w:tcPr>
              <w:p w14:paraId="4FC40C9C" w14:textId="77777777" w:rsidR="00E57DAA" w:rsidRDefault="00AC4185">
                <w:pPr>
                  <w:ind w:firstLineChars="300" w:firstLine="630"/>
                </w:pPr>
                <w:r>
                  <w:rPr>
                    <w:rFonts w:hint="eastAsia"/>
                  </w:rPr>
                  <w:t>资产处置收益（损失以“－”号填列）</w:t>
                </w:r>
              </w:p>
            </w:tc>
            <w:tc>
              <w:tcPr>
                <w:tcW w:w="636" w:type="pct"/>
                <w:tcBorders>
                  <w:top w:val="outset" w:sz="4" w:space="0" w:color="auto"/>
                  <w:left w:val="outset" w:sz="4" w:space="0" w:color="auto"/>
                  <w:bottom w:val="outset" w:sz="4" w:space="0" w:color="auto"/>
                  <w:right w:val="outset" w:sz="4" w:space="0" w:color="auto"/>
                </w:tcBorders>
                <w:vAlign w:val="center"/>
              </w:tcPr>
              <w:p w14:paraId="2F249431" w14:textId="77777777" w:rsidR="00E57DAA" w:rsidRDefault="00AC4185">
                <w:pPr>
                  <w:rPr>
                    <w:szCs w:val="21"/>
                  </w:rPr>
                </w:pPr>
                <w:r>
                  <w:t>七、73</w:t>
                </w:r>
              </w:p>
            </w:tc>
            <w:tc>
              <w:tcPr>
                <w:tcW w:w="1134" w:type="pct"/>
                <w:tcBorders>
                  <w:top w:val="outset" w:sz="4" w:space="0" w:color="auto"/>
                  <w:left w:val="outset" w:sz="4" w:space="0" w:color="auto"/>
                  <w:bottom w:val="outset" w:sz="4" w:space="0" w:color="auto"/>
                  <w:right w:val="outset" w:sz="4" w:space="0" w:color="auto"/>
                </w:tcBorders>
                <w:vAlign w:val="center"/>
              </w:tcPr>
              <w:p w14:paraId="2955D546" w14:textId="77777777" w:rsidR="00E57DAA" w:rsidRDefault="00AC4185">
                <w:pPr>
                  <w:jc w:val="right"/>
                  <w:rPr>
                    <w:szCs w:val="21"/>
                  </w:rPr>
                </w:pPr>
                <w:r>
                  <w:t>15,947,475.17</w:t>
                </w:r>
              </w:p>
            </w:tc>
            <w:tc>
              <w:tcPr>
                <w:tcW w:w="1134" w:type="pct"/>
                <w:tcBorders>
                  <w:top w:val="outset" w:sz="4" w:space="0" w:color="auto"/>
                  <w:left w:val="outset" w:sz="4" w:space="0" w:color="auto"/>
                  <w:bottom w:val="outset" w:sz="4" w:space="0" w:color="auto"/>
                  <w:right w:val="outset" w:sz="4" w:space="0" w:color="auto"/>
                </w:tcBorders>
                <w:vAlign w:val="center"/>
              </w:tcPr>
              <w:p w14:paraId="5CE39E1E" w14:textId="77777777" w:rsidR="00E57DAA" w:rsidRDefault="00AC4185">
                <w:pPr>
                  <w:jc w:val="right"/>
                  <w:rPr>
                    <w:szCs w:val="21"/>
                  </w:rPr>
                </w:pPr>
                <w:r>
                  <w:t>29,781,433.69</w:t>
                </w:r>
              </w:p>
            </w:tc>
          </w:tr>
          <w:tr w:rsidR="00E57DAA" w14:paraId="30572114" w14:textId="77777777">
            <w:tc>
              <w:tcPr>
                <w:tcW w:w="2096" w:type="pct"/>
                <w:tcBorders>
                  <w:top w:val="outset" w:sz="4" w:space="0" w:color="auto"/>
                  <w:left w:val="outset" w:sz="4" w:space="0" w:color="auto"/>
                  <w:bottom w:val="outset" w:sz="4" w:space="0" w:color="auto"/>
                  <w:right w:val="outset" w:sz="4" w:space="0" w:color="auto"/>
                </w:tcBorders>
                <w:vAlign w:val="center"/>
              </w:tcPr>
              <w:p w14:paraId="6227D035" w14:textId="77777777" w:rsidR="00E57DAA" w:rsidRDefault="00AC4185">
                <w:pPr>
                  <w:rPr>
                    <w:color w:val="000000"/>
                    <w:szCs w:val="21"/>
                  </w:rPr>
                </w:pPr>
                <w:r>
                  <w:rPr>
                    <w:rFonts w:hint="eastAsia"/>
                    <w:szCs w:val="21"/>
                  </w:rPr>
                  <w:t>三、营业利润（亏损以“－”号填列）</w:t>
                </w:r>
              </w:p>
            </w:tc>
            <w:tc>
              <w:tcPr>
                <w:tcW w:w="636" w:type="pct"/>
                <w:tcBorders>
                  <w:top w:val="outset" w:sz="4" w:space="0" w:color="auto"/>
                  <w:left w:val="outset" w:sz="4" w:space="0" w:color="auto"/>
                  <w:bottom w:val="outset" w:sz="4" w:space="0" w:color="auto"/>
                  <w:right w:val="outset" w:sz="4" w:space="0" w:color="auto"/>
                </w:tcBorders>
                <w:vAlign w:val="center"/>
              </w:tcPr>
              <w:p w14:paraId="2C6B662F"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F3BE640" w14:textId="77777777" w:rsidR="00E57DAA" w:rsidRDefault="00AC4185">
                <w:pPr>
                  <w:jc w:val="right"/>
                  <w:rPr>
                    <w:szCs w:val="21"/>
                  </w:rPr>
                </w:pPr>
                <w:r>
                  <w:t>3,611,772,306.01</w:t>
                </w:r>
              </w:p>
            </w:tc>
            <w:tc>
              <w:tcPr>
                <w:tcW w:w="1134" w:type="pct"/>
                <w:tcBorders>
                  <w:top w:val="outset" w:sz="4" w:space="0" w:color="auto"/>
                  <w:left w:val="outset" w:sz="4" w:space="0" w:color="auto"/>
                  <w:bottom w:val="outset" w:sz="4" w:space="0" w:color="auto"/>
                  <w:right w:val="outset" w:sz="4" w:space="0" w:color="auto"/>
                </w:tcBorders>
                <w:vAlign w:val="center"/>
              </w:tcPr>
              <w:p w14:paraId="27FD028A" w14:textId="77777777" w:rsidR="00E57DAA" w:rsidRDefault="00AC4185">
                <w:pPr>
                  <w:jc w:val="right"/>
                  <w:rPr>
                    <w:szCs w:val="21"/>
                  </w:rPr>
                </w:pPr>
                <w:r>
                  <w:t>3,156,738,945.40</w:t>
                </w:r>
              </w:p>
            </w:tc>
          </w:tr>
          <w:tr w:rsidR="00E57DAA" w14:paraId="1B782899" w14:textId="77777777">
            <w:tc>
              <w:tcPr>
                <w:tcW w:w="2096" w:type="pct"/>
                <w:tcBorders>
                  <w:top w:val="outset" w:sz="4" w:space="0" w:color="auto"/>
                  <w:left w:val="outset" w:sz="4" w:space="0" w:color="auto"/>
                  <w:bottom w:val="outset" w:sz="4" w:space="0" w:color="auto"/>
                  <w:right w:val="outset" w:sz="4" w:space="0" w:color="auto"/>
                </w:tcBorders>
                <w:vAlign w:val="center"/>
              </w:tcPr>
              <w:p w14:paraId="199CD7E8" w14:textId="77777777" w:rsidR="00E57DAA" w:rsidRDefault="00AC4185">
                <w:pPr>
                  <w:ind w:firstLineChars="100" w:firstLine="210"/>
                  <w:rPr>
                    <w:szCs w:val="21"/>
                  </w:rPr>
                </w:pPr>
                <w:r>
                  <w:rPr>
                    <w:rFonts w:hint="eastAsia"/>
                    <w:szCs w:val="21"/>
                  </w:rPr>
                  <w:t>加：营业外收入</w:t>
                </w:r>
              </w:p>
            </w:tc>
            <w:tc>
              <w:tcPr>
                <w:tcW w:w="636" w:type="pct"/>
                <w:tcBorders>
                  <w:top w:val="outset" w:sz="4" w:space="0" w:color="auto"/>
                  <w:left w:val="outset" w:sz="4" w:space="0" w:color="auto"/>
                  <w:bottom w:val="outset" w:sz="4" w:space="0" w:color="auto"/>
                  <w:right w:val="outset" w:sz="4" w:space="0" w:color="auto"/>
                </w:tcBorders>
                <w:vAlign w:val="center"/>
              </w:tcPr>
              <w:p w14:paraId="31139861" w14:textId="77777777" w:rsidR="00E57DAA" w:rsidRDefault="00AC4185">
                <w:pPr>
                  <w:rPr>
                    <w:szCs w:val="21"/>
                  </w:rPr>
                </w:pPr>
                <w:r>
                  <w:t>七、74</w:t>
                </w:r>
              </w:p>
            </w:tc>
            <w:tc>
              <w:tcPr>
                <w:tcW w:w="1134" w:type="pct"/>
                <w:tcBorders>
                  <w:top w:val="outset" w:sz="4" w:space="0" w:color="auto"/>
                  <w:left w:val="outset" w:sz="4" w:space="0" w:color="auto"/>
                  <w:bottom w:val="outset" w:sz="4" w:space="0" w:color="auto"/>
                  <w:right w:val="outset" w:sz="4" w:space="0" w:color="auto"/>
                </w:tcBorders>
                <w:vAlign w:val="center"/>
              </w:tcPr>
              <w:p w14:paraId="57C98473" w14:textId="77777777" w:rsidR="00E57DAA" w:rsidRDefault="00AC4185">
                <w:pPr>
                  <w:jc w:val="right"/>
                  <w:rPr>
                    <w:szCs w:val="21"/>
                  </w:rPr>
                </w:pPr>
                <w:r>
                  <w:t>118,057,348.15</w:t>
                </w:r>
              </w:p>
            </w:tc>
            <w:tc>
              <w:tcPr>
                <w:tcW w:w="1134" w:type="pct"/>
                <w:tcBorders>
                  <w:top w:val="outset" w:sz="4" w:space="0" w:color="auto"/>
                  <w:left w:val="outset" w:sz="4" w:space="0" w:color="auto"/>
                  <w:bottom w:val="outset" w:sz="4" w:space="0" w:color="auto"/>
                  <w:right w:val="outset" w:sz="4" w:space="0" w:color="auto"/>
                </w:tcBorders>
                <w:vAlign w:val="center"/>
              </w:tcPr>
              <w:p w14:paraId="68EB06FE" w14:textId="77777777" w:rsidR="00E57DAA" w:rsidRDefault="00AC4185">
                <w:pPr>
                  <w:jc w:val="right"/>
                  <w:rPr>
                    <w:szCs w:val="21"/>
                  </w:rPr>
                </w:pPr>
                <w:r>
                  <w:t>128,643,327.10</w:t>
                </w:r>
              </w:p>
            </w:tc>
          </w:tr>
          <w:tr w:rsidR="00E57DAA" w14:paraId="641D7D28" w14:textId="77777777">
            <w:tc>
              <w:tcPr>
                <w:tcW w:w="2096" w:type="pct"/>
                <w:tcBorders>
                  <w:top w:val="outset" w:sz="4" w:space="0" w:color="auto"/>
                  <w:left w:val="outset" w:sz="4" w:space="0" w:color="auto"/>
                  <w:bottom w:val="outset" w:sz="4" w:space="0" w:color="auto"/>
                  <w:right w:val="outset" w:sz="4" w:space="0" w:color="auto"/>
                </w:tcBorders>
                <w:vAlign w:val="center"/>
              </w:tcPr>
              <w:p w14:paraId="6BBA45C1" w14:textId="77777777" w:rsidR="00E57DAA" w:rsidRDefault="00AC4185">
                <w:pPr>
                  <w:ind w:firstLineChars="100" w:firstLine="210"/>
                  <w:rPr>
                    <w:szCs w:val="21"/>
                  </w:rPr>
                </w:pPr>
                <w:r>
                  <w:rPr>
                    <w:rFonts w:hint="eastAsia"/>
                    <w:szCs w:val="21"/>
                  </w:rPr>
                  <w:t>减：营业外支出</w:t>
                </w:r>
              </w:p>
            </w:tc>
            <w:tc>
              <w:tcPr>
                <w:tcW w:w="636" w:type="pct"/>
                <w:tcBorders>
                  <w:top w:val="outset" w:sz="4" w:space="0" w:color="auto"/>
                  <w:left w:val="outset" w:sz="4" w:space="0" w:color="auto"/>
                  <w:bottom w:val="outset" w:sz="4" w:space="0" w:color="auto"/>
                  <w:right w:val="outset" w:sz="4" w:space="0" w:color="auto"/>
                </w:tcBorders>
                <w:vAlign w:val="center"/>
              </w:tcPr>
              <w:p w14:paraId="6412E496" w14:textId="77777777" w:rsidR="00E57DAA" w:rsidRDefault="00AC4185">
                <w:pPr>
                  <w:rPr>
                    <w:szCs w:val="21"/>
                  </w:rPr>
                </w:pPr>
                <w:r>
                  <w:t>七、75</w:t>
                </w:r>
              </w:p>
            </w:tc>
            <w:tc>
              <w:tcPr>
                <w:tcW w:w="1134" w:type="pct"/>
                <w:tcBorders>
                  <w:top w:val="outset" w:sz="4" w:space="0" w:color="auto"/>
                  <w:left w:val="outset" w:sz="4" w:space="0" w:color="auto"/>
                  <w:bottom w:val="outset" w:sz="4" w:space="0" w:color="auto"/>
                  <w:right w:val="outset" w:sz="4" w:space="0" w:color="auto"/>
                </w:tcBorders>
                <w:vAlign w:val="center"/>
              </w:tcPr>
              <w:p w14:paraId="43D848DA" w14:textId="77777777" w:rsidR="00E57DAA" w:rsidRDefault="00AC4185">
                <w:pPr>
                  <w:jc w:val="right"/>
                  <w:rPr>
                    <w:szCs w:val="21"/>
                  </w:rPr>
                </w:pPr>
                <w:r>
                  <w:t>32,290,060.59</w:t>
                </w:r>
              </w:p>
            </w:tc>
            <w:tc>
              <w:tcPr>
                <w:tcW w:w="1134" w:type="pct"/>
                <w:tcBorders>
                  <w:top w:val="outset" w:sz="4" w:space="0" w:color="auto"/>
                  <w:left w:val="outset" w:sz="4" w:space="0" w:color="auto"/>
                  <w:bottom w:val="outset" w:sz="4" w:space="0" w:color="auto"/>
                  <w:right w:val="outset" w:sz="4" w:space="0" w:color="auto"/>
                </w:tcBorders>
                <w:vAlign w:val="center"/>
              </w:tcPr>
              <w:p w14:paraId="5B6F9E6C" w14:textId="77777777" w:rsidR="00E57DAA" w:rsidRDefault="00AC4185">
                <w:pPr>
                  <w:jc w:val="right"/>
                  <w:rPr>
                    <w:szCs w:val="21"/>
                  </w:rPr>
                </w:pPr>
                <w:r>
                  <w:t>35,788,170.01</w:t>
                </w:r>
              </w:p>
            </w:tc>
          </w:tr>
          <w:tr w:rsidR="00E57DAA" w14:paraId="2730E002" w14:textId="77777777">
            <w:tc>
              <w:tcPr>
                <w:tcW w:w="2096" w:type="pct"/>
                <w:tcBorders>
                  <w:top w:val="outset" w:sz="4" w:space="0" w:color="auto"/>
                  <w:left w:val="outset" w:sz="4" w:space="0" w:color="auto"/>
                  <w:bottom w:val="outset" w:sz="4" w:space="0" w:color="auto"/>
                  <w:right w:val="outset" w:sz="4" w:space="0" w:color="auto"/>
                </w:tcBorders>
                <w:vAlign w:val="center"/>
              </w:tcPr>
              <w:p w14:paraId="5A576542" w14:textId="77777777" w:rsidR="00E57DAA" w:rsidRDefault="00AC4185">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tc>
              <w:tcPr>
                <w:tcW w:w="636" w:type="pct"/>
                <w:tcBorders>
                  <w:top w:val="outset" w:sz="4" w:space="0" w:color="auto"/>
                  <w:left w:val="outset" w:sz="4" w:space="0" w:color="auto"/>
                  <w:bottom w:val="outset" w:sz="4" w:space="0" w:color="auto"/>
                  <w:right w:val="outset" w:sz="4" w:space="0" w:color="auto"/>
                </w:tcBorders>
                <w:vAlign w:val="center"/>
              </w:tcPr>
              <w:p w14:paraId="65D48D3C"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63B2518" w14:textId="77777777" w:rsidR="00E57DAA" w:rsidRDefault="00AC4185">
                <w:pPr>
                  <w:jc w:val="right"/>
                  <w:rPr>
                    <w:szCs w:val="21"/>
                  </w:rPr>
                </w:pPr>
                <w:r>
                  <w:t>3,697,539,593.57</w:t>
                </w:r>
              </w:p>
            </w:tc>
            <w:tc>
              <w:tcPr>
                <w:tcW w:w="1134" w:type="pct"/>
                <w:tcBorders>
                  <w:top w:val="outset" w:sz="4" w:space="0" w:color="auto"/>
                  <w:left w:val="outset" w:sz="4" w:space="0" w:color="auto"/>
                  <w:bottom w:val="outset" w:sz="4" w:space="0" w:color="auto"/>
                  <w:right w:val="outset" w:sz="4" w:space="0" w:color="auto"/>
                </w:tcBorders>
                <w:vAlign w:val="center"/>
              </w:tcPr>
              <w:p w14:paraId="460ACB95" w14:textId="77777777" w:rsidR="00E57DAA" w:rsidRDefault="00AC4185">
                <w:pPr>
                  <w:jc w:val="right"/>
                  <w:rPr>
                    <w:szCs w:val="21"/>
                  </w:rPr>
                </w:pPr>
                <w:r>
                  <w:t>3,249,594,102.49</w:t>
                </w:r>
              </w:p>
            </w:tc>
          </w:tr>
          <w:tr w:rsidR="00E57DAA" w14:paraId="2F223FC9" w14:textId="77777777">
            <w:tc>
              <w:tcPr>
                <w:tcW w:w="2096" w:type="pct"/>
                <w:tcBorders>
                  <w:top w:val="outset" w:sz="4" w:space="0" w:color="auto"/>
                  <w:left w:val="outset" w:sz="4" w:space="0" w:color="auto"/>
                  <w:bottom w:val="outset" w:sz="4" w:space="0" w:color="auto"/>
                  <w:right w:val="outset" w:sz="4" w:space="0" w:color="auto"/>
                </w:tcBorders>
                <w:vAlign w:val="center"/>
              </w:tcPr>
              <w:p w14:paraId="190E6E24" w14:textId="77777777" w:rsidR="00E57DAA" w:rsidRDefault="00AC4185">
                <w:pPr>
                  <w:ind w:firstLineChars="100" w:firstLine="210"/>
                  <w:rPr>
                    <w:color w:val="000000"/>
                    <w:szCs w:val="21"/>
                  </w:rPr>
                </w:pPr>
                <w:r>
                  <w:rPr>
                    <w:rFonts w:hint="eastAsia"/>
                    <w:szCs w:val="21"/>
                  </w:rPr>
                  <w:t>减：所得税费用</w:t>
                </w:r>
              </w:p>
            </w:tc>
            <w:tc>
              <w:tcPr>
                <w:tcW w:w="636" w:type="pct"/>
                <w:tcBorders>
                  <w:top w:val="outset" w:sz="4" w:space="0" w:color="auto"/>
                  <w:left w:val="outset" w:sz="4" w:space="0" w:color="auto"/>
                  <w:bottom w:val="outset" w:sz="4" w:space="0" w:color="auto"/>
                  <w:right w:val="outset" w:sz="4" w:space="0" w:color="auto"/>
                </w:tcBorders>
                <w:vAlign w:val="center"/>
              </w:tcPr>
              <w:p w14:paraId="59A42482" w14:textId="77777777" w:rsidR="00E57DAA" w:rsidRDefault="00AC4185">
                <w:pPr>
                  <w:rPr>
                    <w:szCs w:val="21"/>
                  </w:rPr>
                </w:pPr>
                <w:r>
                  <w:t>七、76</w:t>
                </w:r>
              </w:p>
            </w:tc>
            <w:tc>
              <w:tcPr>
                <w:tcW w:w="1134" w:type="pct"/>
                <w:tcBorders>
                  <w:top w:val="outset" w:sz="4" w:space="0" w:color="auto"/>
                  <w:left w:val="outset" w:sz="4" w:space="0" w:color="auto"/>
                  <w:bottom w:val="outset" w:sz="4" w:space="0" w:color="auto"/>
                  <w:right w:val="outset" w:sz="4" w:space="0" w:color="auto"/>
                </w:tcBorders>
                <w:vAlign w:val="center"/>
              </w:tcPr>
              <w:p w14:paraId="0919695E" w14:textId="77777777" w:rsidR="00E57DAA" w:rsidRDefault="00AC4185">
                <w:pPr>
                  <w:jc w:val="right"/>
                  <w:rPr>
                    <w:szCs w:val="21"/>
                  </w:rPr>
                </w:pPr>
                <w:r>
                  <w:t>511,419,959.29</w:t>
                </w:r>
              </w:p>
            </w:tc>
            <w:tc>
              <w:tcPr>
                <w:tcW w:w="1134" w:type="pct"/>
                <w:tcBorders>
                  <w:top w:val="outset" w:sz="4" w:space="0" w:color="auto"/>
                  <w:left w:val="outset" w:sz="4" w:space="0" w:color="auto"/>
                  <w:bottom w:val="outset" w:sz="4" w:space="0" w:color="auto"/>
                  <w:right w:val="outset" w:sz="4" w:space="0" w:color="auto"/>
                </w:tcBorders>
                <w:vAlign w:val="center"/>
              </w:tcPr>
              <w:p w14:paraId="2EEC0255" w14:textId="77777777" w:rsidR="00E57DAA" w:rsidRDefault="00AC4185">
                <w:pPr>
                  <w:jc w:val="right"/>
                  <w:rPr>
                    <w:szCs w:val="21"/>
                  </w:rPr>
                </w:pPr>
                <w:r>
                  <w:t>425,177,660.98</w:t>
                </w:r>
              </w:p>
            </w:tc>
          </w:tr>
          <w:tr w:rsidR="00E57DAA" w14:paraId="5E30BE7E" w14:textId="77777777">
            <w:tc>
              <w:tcPr>
                <w:tcW w:w="2096" w:type="pct"/>
                <w:tcBorders>
                  <w:top w:val="outset" w:sz="4" w:space="0" w:color="auto"/>
                  <w:left w:val="outset" w:sz="4" w:space="0" w:color="auto"/>
                  <w:bottom w:val="outset" w:sz="4" w:space="0" w:color="auto"/>
                  <w:right w:val="outset" w:sz="4" w:space="0" w:color="auto"/>
                </w:tcBorders>
                <w:vAlign w:val="center"/>
              </w:tcPr>
              <w:p w14:paraId="4FF5D1BE" w14:textId="77777777" w:rsidR="00E57DAA" w:rsidRDefault="00AC4185">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tc>
              <w:tcPr>
                <w:tcW w:w="636" w:type="pct"/>
                <w:tcBorders>
                  <w:top w:val="outset" w:sz="4" w:space="0" w:color="auto"/>
                  <w:left w:val="outset" w:sz="4" w:space="0" w:color="auto"/>
                  <w:bottom w:val="outset" w:sz="4" w:space="0" w:color="auto"/>
                  <w:right w:val="outset" w:sz="4" w:space="0" w:color="auto"/>
                </w:tcBorders>
              </w:tcPr>
              <w:p w14:paraId="247C4A0E"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F31C15E" w14:textId="77777777" w:rsidR="00E57DAA" w:rsidRDefault="00AC4185">
                <w:pPr>
                  <w:jc w:val="right"/>
                  <w:rPr>
                    <w:szCs w:val="21"/>
                  </w:rPr>
                </w:pPr>
                <w:r>
                  <w:t>3,186,119,634.28</w:t>
                </w:r>
              </w:p>
            </w:tc>
            <w:tc>
              <w:tcPr>
                <w:tcW w:w="1134" w:type="pct"/>
                <w:tcBorders>
                  <w:top w:val="outset" w:sz="4" w:space="0" w:color="auto"/>
                  <w:left w:val="outset" w:sz="4" w:space="0" w:color="auto"/>
                  <w:bottom w:val="outset" w:sz="4" w:space="0" w:color="auto"/>
                  <w:right w:val="outset" w:sz="4" w:space="0" w:color="auto"/>
                </w:tcBorders>
                <w:vAlign w:val="center"/>
              </w:tcPr>
              <w:p w14:paraId="42D41B86" w14:textId="77777777" w:rsidR="00E57DAA" w:rsidRDefault="00AC4185">
                <w:pPr>
                  <w:jc w:val="right"/>
                  <w:rPr>
                    <w:szCs w:val="21"/>
                  </w:rPr>
                </w:pPr>
                <w:r>
                  <w:t>2,824,416,441.51</w:t>
                </w:r>
              </w:p>
            </w:tc>
          </w:tr>
          <w:tr w:rsidR="00E57DAA" w14:paraId="5ED2EBE0" w14:textId="77777777">
            <w:sdt>
              <w:sdtPr>
                <w:tag w:val="_PLD_9445f61075384ccaafee7a9aff738d9c"/>
                <w:id w:val="-123534034"/>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F08C74F" w14:textId="77777777" w:rsidR="00E57DAA" w:rsidRDefault="00AC4185">
                    <w:pPr>
                      <w:rPr>
                        <w:szCs w:val="21"/>
                      </w:rPr>
                    </w:pPr>
                    <w:r>
                      <w:rPr>
                        <w:rFonts w:hint="eastAsia"/>
                        <w:szCs w:val="21"/>
                      </w:rPr>
                      <w:t>（一）</w:t>
                    </w:r>
                    <w:r>
                      <w:t>按经营持续性分类</w:t>
                    </w:r>
                  </w:p>
                </w:tc>
              </w:sdtContent>
            </w:sdt>
          </w:tr>
          <w:tr w:rsidR="00E57DAA" w14:paraId="7DB78C50" w14:textId="77777777">
            <w:tc>
              <w:tcPr>
                <w:tcW w:w="2096" w:type="pct"/>
                <w:tcBorders>
                  <w:top w:val="outset" w:sz="4" w:space="0" w:color="auto"/>
                  <w:left w:val="outset" w:sz="4" w:space="0" w:color="auto"/>
                  <w:bottom w:val="outset" w:sz="4" w:space="0" w:color="auto"/>
                  <w:right w:val="outset" w:sz="4" w:space="0" w:color="auto"/>
                </w:tcBorders>
                <w:vAlign w:val="center"/>
              </w:tcPr>
              <w:p w14:paraId="5CAFE9D5" w14:textId="77777777" w:rsidR="00E57DAA" w:rsidRDefault="00AC4185">
                <w:pPr>
                  <w:ind w:firstLineChars="200" w:firstLine="420"/>
                </w:pPr>
                <w:r>
                  <w:t>1.持续经营净利润（净亏损以“－”号填列）</w:t>
                </w:r>
              </w:p>
            </w:tc>
            <w:tc>
              <w:tcPr>
                <w:tcW w:w="636" w:type="pct"/>
                <w:tcBorders>
                  <w:top w:val="outset" w:sz="4" w:space="0" w:color="auto"/>
                  <w:left w:val="outset" w:sz="4" w:space="0" w:color="auto"/>
                  <w:bottom w:val="outset" w:sz="4" w:space="0" w:color="auto"/>
                  <w:right w:val="outset" w:sz="4" w:space="0" w:color="auto"/>
                </w:tcBorders>
              </w:tcPr>
              <w:p w14:paraId="63AA7B13"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E407AEB" w14:textId="77777777" w:rsidR="00E57DAA" w:rsidRDefault="00AC4185">
                <w:pPr>
                  <w:jc w:val="right"/>
                  <w:rPr>
                    <w:szCs w:val="21"/>
                  </w:rPr>
                </w:pPr>
                <w:r>
                  <w:t>3,186,119,634.28</w:t>
                </w:r>
              </w:p>
            </w:tc>
            <w:tc>
              <w:tcPr>
                <w:tcW w:w="1134" w:type="pct"/>
                <w:tcBorders>
                  <w:top w:val="outset" w:sz="4" w:space="0" w:color="auto"/>
                  <w:left w:val="outset" w:sz="4" w:space="0" w:color="auto"/>
                  <w:bottom w:val="outset" w:sz="4" w:space="0" w:color="auto"/>
                  <w:right w:val="outset" w:sz="4" w:space="0" w:color="auto"/>
                </w:tcBorders>
                <w:vAlign w:val="center"/>
              </w:tcPr>
              <w:p w14:paraId="2AB85C3E" w14:textId="77777777" w:rsidR="00E57DAA" w:rsidRDefault="00AC4185">
                <w:pPr>
                  <w:jc w:val="right"/>
                  <w:rPr>
                    <w:szCs w:val="21"/>
                  </w:rPr>
                </w:pPr>
                <w:r>
                  <w:t>2,824,416,441.51</w:t>
                </w:r>
              </w:p>
            </w:tc>
          </w:tr>
          <w:tr w:rsidR="00E57DAA" w14:paraId="04F4CA29" w14:textId="77777777">
            <w:tc>
              <w:tcPr>
                <w:tcW w:w="2096" w:type="pct"/>
                <w:tcBorders>
                  <w:top w:val="outset" w:sz="4" w:space="0" w:color="auto"/>
                  <w:left w:val="outset" w:sz="4" w:space="0" w:color="auto"/>
                  <w:bottom w:val="outset" w:sz="4" w:space="0" w:color="auto"/>
                  <w:right w:val="outset" w:sz="4" w:space="0" w:color="auto"/>
                </w:tcBorders>
                <w:vAlign w:val="center"/>
              </w:tcPr>
              <w:p w14:paraId="058ED872" w14:textId="77777777" w:rsidR="00E57DAA" w:rsidRDefault="00AC4185">
                <w:pPr>
                  <w:ind w:firstLineChars="200" w:firstLine="420"/>
                </w:pPr>
                <w:r>
                  <w:t>2.终止经营净利润（净亏损以“－”号填列）</w:t>
                </w:r>
              </w:p>
            </w:tc>
            <w:tc>
              <w:tcPr>
                <w:tcW w:w="636" w:type="pct"/>
                <w:tcBorders>
                  <w:top w:val="outset" w:sz="4" w:space="0" w:color="auto"/>
                  <w:left w:val="outset" w:sz="4" w:space="0" w:color="auto"/>
                  <w:bottom w:val="outset" w:sz="4" w:space="0" w:color="auto"/>
                  <w:right w:val="outset" w:sz="4" w:space="0" w:color="auto"/>
                </w:tcBorders>
              </w:tcPr>
              <w:p w14:paraId="541238CC"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5A19CA77"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2A7927B3" w14:textId="77777777" w:rsidR="00E57DAA" w:rsidRDefault="00E57DAA">
                <w:pPr>
                  <w:jc w:val="right"/>
                  <w:rPr>
                    <w:szCs w:val="21"/>
                  </w:rPr>
                </w:pPr>
              </w:p>
            </w:tc>
          </w:tr>
          <w:tr w:rsidR="00E57DAA" w14:paraId="0DBD3E31" w14:textId="77777777">
            <w:sdt>
              <w:sdtPr>
                <w:tag w:val="_PLD_5703d86636cb476dab82350c9f6475fc"/>
                <w:id w:val="268901451"/>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DFC28FD" w14:textId="77777777" w:rsidR="00E57DAA" w:rsidRDefault="00AC4185">
                    <w:pPr>
                      <w:rPr>
                        <w:szCs w:val="21"/>
                      </w:rPr>
                    </w:pPr>
                    <w:r>
                      <w:rPr>
                        <w:rFonts w:hint="eastAsia"/>
                        <w:szCs w:val="21"/>
                      </w:rPr>
                      <w:t>（二）</w:t>
                    </w:r>
                    <w:r>
                      <w:t>按所有权归属分类</w:t>
                    </w:r>
                  </w:p>
                </w:tc>
              </w:sdtContent>
            </w:sdt>
          </w:tr>
          <w:tr w:rsidR="00E57DAA" w14:paraId="256EC7B1" w14:textId="77777777">
            <w:tc>
              <w:tcPr>
                <w:tcW w:w="2096" w:type="pct"/>
                <w:tcBorders>
                  <w:top w:val="outset" w:sz="4" w:space="0" w:color="auto"/>
                  <w:left w:val="outset" w:sz="4" w:space="0" w:color="auto"/>
                  <w:bottom w:val="outset" w:sz="4" w:space="0" w:color="auto"/>
                  <w:right w:val="outset" w:sz="4" w:space="0" w:color="auto"/>
                </w:tcBorders>
                <w:vAlign w:val="center"/>
              </w:tcPr>
              <w:p w14:paraId="30078DD5" w14:textId="77777777" w:rsidR="00E57DAA" w:rsidRDefault="00AC4185">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tc>
              <w:tcPr>
                <w:tcW w:w="636" w:type="pct"/>
                <w:tcBorders>
                  <w:top w:val="outset" w:sz="4" w:space="0" w:color="auto"/>
                  <w:left w:val="outset" w:sz="4" w:space="0" w:color="auto"/>
                  <w:bottom w:val="outset" w:sz="4" w:space="0" w:color="auto"/>
                  <w:right w:val="outset" w:sz="4" w:space="0" w:color="auto"/>
                </w:tcBorders>
              </w:tcPr>
              <w:p w14:paraId="2CD8E86A"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85901A7" w14:textId="77777777" w:rsidR="00E57DAA" w:rsidRDefault="00AC4185">
                <w:pPr>
                  <w:jc w:val="right"/>
                  <w:rPr>
                    <w:szCs w:val="21"/>
                  </w:rPr>
                </w:pPr>
                <w:r>
                  <w:t>2,915,811,638.72</w:t>
                </w:r>
              </w:p>
            </w:tc>
            <w:tc>
              <w:tcPr>
                <w:tcW w:w="1134" w:type="pct"/>
                <w:tcBorders>
                  <w:top w:val="outset" w:sz="4" w:space="0" w:color="auto"/>
                  <w:left w:val="outset" w:sz="4" w:space="0" w:color="auto"/>
                  <w:bottom w:val="outset" w:sz="4" w:space="0" w:color="auto"/>
                  <w:right w:val="outset" w:sz="4" w:space="0" w:color="auto"/>
                </w:tcBorders>
                <w:vAlign w:val="center"/>
              </w:tcPr>
              <w:p w14:paraId="29A120A9" w14:textId="77777777" w:rsidR="00E57DAA" w:rsidRDefault="00AC4185">
                <w:pPr>
                  <w:jc w:val="right"/>
                </w:pPr>
                <w:r>
                  <w:t>2,541,219,862.18</w:t>
                </w:r>
              </w:p>
            </w:tc>
          </w:tr>
          <w:tr w:rsidR="00E57DAA" w14:paraId="30E66E38" w14:textId="77777777">
            <w:tc>
              <w:tcPr>
                <w:tcW w:w="2096" w:type="pct"/>
                <w:tcBorders>
                  <w:top w:val="outset" w:sz="4" w:space="0" w:color="auto"/>
                  <w:left w:val="outset" w:sz="4" w:space="0" w:color="auto"/>
                  <w:bottom w:val="outset" w:sz="4" w:space="0" w:color="auto"/>
                  <w:right w:val="outset" w:sz="4" w:space="0" w:color="auto"/>
                </w:tcBorders>
                <w:vAlign w:val="center"/>
              </w:tcPr>
              <w:p w14:paraId="25EF920A" w14:textId="77777777" w:rsidR="00E57DAA" w:rsidRDefault="00AC4185">
                <w:pPr>
                  <w:ind w:firstLineChars="200" w:firstLine="420"/>
                  <w:rPr>
                    <w:szCs w:val="21"/>
                  </w:rPr>
                </w:pPr>
                <w:r>
                  <w:t>2.</w:t>
                </w:r>
                <w:r>
                  <w:rPr>
                    <w:rFonts w:hint="eastAsia"/>
                    <w:szCs w:val="21"/>
                  </w:rPr>
                  <w:t>少数股东损益（净亏损以“</w:t>
                </w:r>
                <w:r>
                  <w:rPr>
                    <w:szCs w:val="21"/>
                  </w:rPr>
                  <w:t>-”号填列）</w:t>
                </w:r>
              </w:p>
            </w:tc>
            <w:tc>
              <w:tcPr>
                <w:tcW w:w="636" w:type="pct"/>
                <w:tcBorders>
                  <w:top w:val="outset" w:sz="4" w:space="0" w:color="auto"/>
                  <w:left w:val="outset" w:sz="4" w:space="0" w:color="auto"/>
                  <w:bottom w:val="outset" w:sz="4" w:space="0" w:color="auto"/>
                  <w:right w:val="outset" w:sz="4" w:space="0" w:color="auto"/>
                </w:tcBorders>
              </w:tcPr>
              <w:p w14:paraId="72C26112"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612EEC5" w14:textId="77777777" w:rsidR="00E57DAA" w:rsidRDefault="00AC4185">
                <w:pPr>
                  <w:jc w:val="right"/>
                  <w:rPr>
                    <w:szCs w:val="21"/>
                  </w:rPr>
                </w:pPr>
                <w:r>
                  <w:t>270,307,995.56</w:t>
                </w:r>
              </w:p>
            </w:tc>
            <w:tc>
              <w:tcPr>
                <w:tcW w:w="1134" w:type="pct"/>
                <w:tcBorders>
                  <w:top w:val="outset" w:sz="4" w:space="0" w:color="auto"/>
                  <w:left w:val="outset" w:sz="4" w:space="0" w:color="auto"/>
                  <w:bottom w:val="outset" w:sz="4" w:space="0" w:color="auto"/>
                  <w:right w:val="outset" w:sz="4" w:space="0" w:color="auto"/>
                </w:tcBorders>
                <w:vAlign w:val="center"/>
              </w:tcPr>
              <w:p w14:paraId="3F5EBF87" w14:textId="77777777" w:rsidR="00E57DAA" w:rsidRDefault="00AC4185">
                <w:pPr>
                  <w:jc w:val="right"/>
                </w:pPr>
                <w:r>
                  <w:t>283,196,579.33</w:t>
                </w:r>
              </w:p>
            </w:tc>
          </w:tr>
          <w:tr w:rsidR="00E57DAA" w14:paraId="44D7324D" w14:textId="77777777">
            <w:tc>
              <w:tcPr>
                <w:tcW w:w="2096" w:type="pct"/>
                <w:tcBorders>
                  <w:top w:val="outset" w:sz="4" w:space="0" w:color="auto"/>
                  <w:left w:val="outset" w:sz="4" w:space="0" w:color="auto"/>
                  <w:bottom w:val="outset" w:sz="4" w:space="0" w:color="auto"/>
                  <w:right w:val="outset" w:sz="4" w:space="0" w:color="auto"/>
                </w:tcBorders>
                <w:vAlign w:val="center"/>
              </w:tcPr>
              <w:p w14:paraId="131F1B76" w14:textId="77777777" w:rsidR="00E57DAA" w:rsidRDefault="00AC4185">
                <w:pPr>
                  <w:rPr>
                    <w:szCs w:val="21"/>
                  </w:rPr>
                </w:pPr>
                <w:r>
                  <w:rPr>
                    <w:rFonts w:hint="eastAsia"/>
                    <w:szCs w:val="21"/>
                  </w:rPr>
                  <w:t>六、其他综合收益的税后净额</w:t>
                </w:r>
              </w:p>
            </w:tc>
            <w:tc>
              <w:tcPr>
                <w:tcW w:w="636" w:type="pct"/>
                <w:tcBorders>
                  <w:top w:val="outset" w:sz="4" w:space="0" w:color="auto"/>
                  <w:left w:val="outset" w:sz="4" w:space="0" w:color="auto"/>
                  <w:bottom w:val="outset" w:sz="4" w:space="0" w:color="auto"/>
                  <w:right w:val="outset" w:sz="4" w:space="0" w:color="auto"/>
                </w:tcBorders>
              </w:tcPr>
              <w:p w14:paraId="2B6D2B6D"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627B8DC" w14:textId="77777777" w:rsidR="00E57DAA" w:rsidRDefault="00AC4185">
                <w:pPr>
                  <w:jc w:val="right"/>
                  <w:rPr>
                    <w:szCs w:val="21"/>
                  </w:rPr>
                </w:pPr>
                <w:r>
                  <w:t>-8,241,184.50</w:t>
                </w:r>
              </w:p>
            </w:tc>
            <w:tc>
              <w:tcPr>
                <w:tcW w:w="1134" w:type="pct"/>
                <w:tcBorders>
                  <w:top w:val="outset" w:sz="4" w:space="0" w:color="auto"/>
                  <w:left w:val="outset" w:sz="4" w:space="0" w:color="auto"/>
                  <w:bottom w:val="outset" w:sz="4" w:space="0" w:color="auto"/>
                  <w:right w:val="outset" w:sz="4" w:space="0" w:color="auto"/>
                </w:tcBorders>
                <w:vAlign w:val="center"/>
              </w:tcPr>
              <w:p w14:paraId="0CEB959C" w14:textId="77777777" w:rsidR="00E57DAA" w:rsidRDefault="00AC4185">
                <w:pPr>
                  <w:jc w:val="right"/>
                  <w:rPr>
                    <w:szCs w:val="21"/>
                  </w:rPr>
                </w:pPr>
                <w:r>
                  <w:t>20,772,158.75</w:t>
                </w:r>
              </w:p>
            </w:tc>
          </w:tr>
          <w:tr w:rsidR="00E57DAA" w14:paraId="2A4622BE" w14:textId="77777777">
            <w:tc>
              <w:tcPr>
                <w:tcW w:w="2096" w:type="pct"/>
                <w:tcBorders>
                  <w:top w:val="outset" w:sz="4" w:space="0" w:color="auto"/>
                  <w:left w:val="outset" w:sz="4" w:space="0" w:color="auto"/>
                  <w:bottom w:val="outset" w:sz="4" w:space="0" w:color="auto"/>
                  <w:right w:val="outset" w:sz="4" w:space="0" w:color="auto"/>
                </w:tcBorders>
                <w:vAlign w:val="center"/>
              </w:tcPr>
              <w:p w14:paraId="0EB18965" w14:textId="77777777" w:rsidR="00E57DAA" w:rsidRDefault="00AC4185">
                <w:pPr>
                  <w:ind w:firstLineChars="100" w:firstLine="210"/>
                  <w:rPr>
                    <w:szCs w:val="21"/>
                  </w:rPr>
                </w:pPr>
                <w:r>
                  <w:rPr>
                    <w:rFonts w:hint="eastAsia"/>
                    <w:szCs w:val="21"/>
                  </w:rPr>
                  <w:t>（一）归属母公司所有者的其他综合收益的税后净额</w:t>
                </w:r>
              </w:p>
            </w:tc>
            <w:tc>
              <w:tcPr>
                <w:tcW w:w="636" w:type="pct"/>
                <w:tcBorders>
                  <w:top w:val="outset" w:sz="4" w:space="0" w:color="auto"/>
                  <w:left w:val="outset" w:sz="4" w:space="0" w:color="auto"/>
                  <w:bottom w:val="outset" w:sz="4" w:space="0" w:color="auto"/>
                  <w:right w:val="outset" w:sz="4" w:space="0" w:color="auto"/>
                </w:tcBorders>
              </w:tcPr>
              <w:p w14:paraId="4BF09DDD"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8E50DA3" w14:textId="77777777" w:rsidR="00E57DAA" w:rsidRDefault="00AC4185">
                <w:pPr>
                  <w:jc w:val="right"/>
                  <w:rPr>
                    <w:szCs w:val="21"/>
                  </w:rPr>
                </w:pPr>
                <w:r>
                  <w:t>-16,790,574.08</w:t>
                </w:r>
              </w:p>
            </w:tc>
            <w:tc>
              <w:tcPr>
                <w:tcW w:w="1134" w:type="pct"/>
                <w:tcBorders>
                  <w:top w:val="outset" w:sz="4" w:space="0" w:color="auto"/>
                  <w:left w:val="outset" w:sz="4" w:space="0" w:color="auto"/>
                  <w:bottom w:val="outset" w:sz="4" w:space="0" w:color="auto"/>
                  <w:right w:val="outset" w:sz="4" w:space="0" w:color="auto"/>
                </w:tcBorders>
                <w:vAlign w:val="center"/>
              </w:tcPr>
              <w:p w14:paraId="364904B3" w14:textId="77777777" w:rsidR="00E57DAA" w:rsidRDefault="00AC4185">
                <w:pPr>
                  <w:jc w:val="right"/>
                  <w:rPr>
                    <w:szCs w:val="21"/>
                  </w:rPr>
                </w:pPr>
                <w:r>
                  <w:t>19,526,089.02</w:t>
                </w:r>
              </w:p>
            </w:tc>
          </w:tr>
          <w:tr w:rsidR="00E57DAA" w14:paraId="474ED30F" w14:textId="77777777">
            <w:tc>
              <w:tcPr>
                <w:tcW w:w="2096" w:type="pct"/>
                <w:tcBorders>
                  <w:top w:val="outset" w:sz="4" w:space="0" w:color="auto"/>
                  <w:left w:val="outset" w:sz="4" w:space="0" w:color="auto"/>
                  <w:bottom w:val="outset" w:sz="4" w:space="0" w:color="auto"/>
                  <w:right w:val="outset" w:sz="4" w:space="0" w:color="auto"/>
                </w:tcBorders>
                <w:vAlign w:val="center"/>
              </w:tcPr>
              <w:p w14:paraId="5FAF9316" w14:textId="77777777" w:rsidR="00E57DAA" w:rsidRDefault="00AC4185">
                <w:pPr>
                  <w:ind w:firstLineChars="200" w:firstLine="420"/>
                  <w:rPr>
                    <w:szCs w:val="21"/>
                  </w:rPr>
                </w:pPr>
                <w:r>
                  <w:rPr>
                    <w:szCs w:val="21"/>
                  </w:rPr>
                  <w:t>1</w:t>
                </w:r>
                <w:r>
                  <w:rPr>
                    <w:rFonts w:hint="eastAsia"/>
                    <w:szCs w:val="21"/>
                  </w:rPr>
                  <w:t>．不能重分类进损益的其他综合收益</w:t>
                </w:r>
              </w:p>
            </w:tc>
            <w:tc>
              <w:tcPr>
                <w:tcW w:w="636" w:type="pct"/>
                <w:tcBorders>
                  <w:top w:val="outset" w:sz="4" w:space="0" w:color="auto"/>
                  <w:left w:val="outset" w:sz="4" w:space="0" w:color="auto"/>
                  <w:bottom w:val="outset" w:sz="4" w:space="0" w:color="auto"/>
                  <w:right w:val="outset" w:sz="4" w:space="0" w:color="auto"/>
                </w:tcBorders>
              </w:tcPr>
              <w:p w14:paraId="6DAA9871"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4A72501" w14:textId="77777777" w:rsidR="00E57DAA" w:rsidRDefault="00AC4185">
                <w:pPr>
                  <w:jc w:val="right"/>
                  <w:rPr>
                    <w:szCs w:val="21"/>
                  </w:rPr>
                </w:pPr>
                <w:r>
                  <w:t>1,361,975.08</w:t>
                </w:r>
              </w:p>
            </w:tc>
            <w:tc>
              <w:tcPr>
                <w:tcW w:w="1134" w:type="pct"/>
                <w:tcBorders>
                  <w:top w:val="outset" w:sz="4" w:space="0" w:color="auto"/>
                  <w:left w:val="outset" w:sz="4" w:space="0" w:color="auto"/>
                  <w:bottom w:val="outset" w:sz="4" w:space="0" w:color="auto"/>
                  <w:right w:val="outset" w:sz="4" w:space="0" w:color="auto"/>
                </w:tcBorders>
                <w:vAlign w:val="center"/>
              </w:tcPr>
              <w:p w14:paraId="5B437E3D" w14:textId="77777777" w:rsidR="00E57DAA" w:rsidRDefault="00AC4185">
                <w:pPr>
                  <w:jc w:val="right"/>
                  <w:rPr>
                    <w:szCs w:val="21"/>
                  </w:rPr>
                </w:pPr>
                <w:r>
                  <w:t>-4,325,305.12</w:t>
                </w:r>
              </w:p>
            </w:tc>
          </w:tr>
          <w:tr w:rsidR="00E57DAA" w14:paraId="4981F133" w14:textId="77777777">
            <w:tc>
              <w:tcPr>
                <w:tcW w:w="2096" w:type="pct"/>
                <w:tcBorders>
                  <w:top w:val="outset" w:sz="4" w:space="0" w:color="auto"/>
                  <w:left w:val="outset" w:sz="4" w:space="0" w:color="auto"/>
                  <w:bottom w:val="outset" w:sz="4" w:space="0" w:color="auto"/>
                  <w:right w:val="outset" w:sz="4" w:space="0" w:color="auto"/>
                </w:tcBorders>
                <w:vAlign w:val="center"/>
              </w:tcPr>
              <w:p w14:paraId="3603CBAE" w14:textId="77777777" w:rsidR="00E57DAA" w:rsidRDefault="00AC4185">
                <w:pPr>
                  <w:ind w:firstLineChars="100" w:firstLine="210"/>
                  <w:rPr>
                    <w:szCs w:val="21"/>
                  </w:rPr>
                </w:pPr>
                <w:r>
                  <w:rPr>
                    <w:rFonts w:hint="eastAsia"/>
                  </w:rPr>
                  <w:t>（1）</w:t>
                </w:r>
                <w:r>
                  <w:rPr>
                    <w:szCs w:val="21"/>
                  </w:rPr>
                  <w:t>重新计量设定受益计划变动额</w:t>
                </w:r>
              </w:p>
            </w:tc>
            <w:tc>
              <w:tcPr>
                <w:tcW w:w="636" w:type="pct"/>
                <w:tcBorders>
                  <w:top w:val="outset" w:sz="4" w:space="0" w:color="auto"/>
                  <w:left w:val="outset" w:sz="4" w:space="0" w:color="auto"/>
                  <w:bottom w:val="outset" w:sz="4" w:space="0" w:color="auto"/>
                  <w:right w:val="outset" w:sz="4" w:space="0" w:color="auto"/>
                </w:tcBorders>
              </w:tcPr>
              <w:p w14:paraId="4AA994E6"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6C2085B" w14:textId="77777777" w:rsidR="00E57DAA" w:rsidRDefault="00AC4185">
                <w:pPr>
                  <w:jc w:val="right"/>
                  <w:rPr>
                    <w:szCs w:val="21"/>
                  </w:rPr>
                </w:pPr>
                <w:r>
                  <w:t>1,361,975.08</w:t>
                </w:r>
              </w:p>
            </w:tc>
            <w:tc>
              <w:tcPr>
                <w:tcW w:w="1134" w:type="pct"/>
                <w:tcBorders>
                  <w:top w:val="outset" w:sz="4" w:space="0" w:color="auto"/>
                  <w:left w:val="outset" w:sz="4" w:space="0" w:color="auto"/>
                  <w:bottom w:val="outset" w:sz="4" w:space="0" w:color="auto"/>
                  <w:right w:val="outset" w:sz="4" w:space="0" w:color="auto"/>
                </w:tcBorders>
                <w:vAlign w:val="center"/>
              </w:tcPr>
              <w:p w14:paraId="3CC76BDE" w14:textId="77777777" w:rsidR="00E57DAA" w:rsidRDefault="00AC4185">
                <w:pPr>
                  <w:jc w:val="right"/>
                  <w:rPr>
                    <w:szCs w:val="21"/>
                  </w:rPr>
                </w:pPr>
                <w:r>
                  <w:t>-4,325,305.12</w:t>
                </w:r>
              </w:p>
            </w:tc>
          </w:tr>
          <w:tr w:rsidR="00E57DAA" w14:paraId="074E9113" w14:textId="77777777">
            <w:tc>
              <w:tcPr>
                <w:tcW w:w="2096" w:type="pct"/>
                <w:tcBorders>
                  <w:top w:val="outset" w:sz="4" w:space="0" w:color="auto"/>
                  <w:left w:val="outset" w:sz="4" w:space="0" w:color="auto"/>
                  <w:bottom w:val="outset" w:sz="4" w:space="0" w:color="auto"/>
                  <w:right w:val="outset" w:sz="4" w:space="0" w:color="auto"/>
                </w:tcBorders>
                <w:vAlign w:val="center"/>
              </w:tcPr>
              <w:p w14:paraId="190F0B4B" w14:textId="77777777" w:rsidR="00E57DAA" w:rsidRDefault="00AC4185">
                <w:pPr>
                  <w:ind w:firstLineChars="100" w:firstLine="210"/>
                  <w:rPr>
                    <w:szCs w:val="21"/>
                  </w:rPr>
                </w:pPr>
                <w:r>
                  <w:rPr>
                    <w:rFonts w:hint="eastAsia"/>
                  </w:rPr>
                  <w:t>（2）</w:t>
                </w:r>
                <w:r>
                  <w:t>权益法下不能转损益的其他综合收益</w:t>
                </w:r>
              </w:p>
            </w:tc>
            <w:tc>
              <w:tcPr>
                <w:tcW w:w="636" w:type="pct"/>
                <w:tcBorders>
                  <w:top w:val="outset" w:sz="4" w:space="0" w:color="auto"/>
                  <w:left w:val="outset" w:sz="4" w:space="0" w:color="auto"/>
                  <w:bottom w:val="outset" w:sz="4" w:space="0" w:color="auto"/>
                  <w:right w:val="outset" w:sz="4" w:space="0" w:color="auto"/>
                </w:tcBorders>
              </w:tcPr>
              <w:p w14:paraId="713106F2"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00E475CB"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5787943B" w14:textId="77777777" w:rsidR="00E57DAA" w:rsidRDefault="00E57DAA">
                <w:pPr>
                  <w:jc w:val="right"/>
                  <w:rPr>
                    <w:szCs w:val="21"/>
                  </w:rPr>
                </w:pPr>
              </w:p>
            </w:tc>
          </w:tr>
          <w:tr w:rsidR="00E57DAA" w14:paraId="0B4C0673" w14:textId="77777777">
            <w:tc>
              <w:tcPr>
                <w:tcW w:w="2096" w:type="pct"/>
                <w:tcBorders>
                  <w:top w:val="outset" w:sz="4" w:space="0" w:color="auto"/>
                  <w:left w:val="outset" w:sz="4" w:space="0" w:color="auto"/>
                  <w:bottom w:val="outset" w:sz="4" w:space="0" w:color="auto"/>
                  <w:right w:val="outset" w:sz="4" w:space="0" w:color="auto"/>
                </w:tcBorders>
                <w:vAlign w:val="center"/>
              </w:tcPr>
              <w:p w14:paraId="6C204B95" w14:textId="77777777" w:rsidR="00E57DAA" w:rsidRDefault="00AC4185">
                <w:pPr>
                  <w:ind w:firstLineChars="100" w:firstLine="210"/>
                </w:pPr>
                <w:r>
                  <w:rPr>
                    <w:rFonts w:hint="eastAsia"/>
                  </w:rPr>
                  <w:t>（3）</w:t>
                </w:r>
                <w:r>
                  <w:t>其他权益工具投资公允价值变动</w:t>
                </w:r>
              </w:p>
            </w:tc>
            <w:tc>
              <w:tcPr>
                <w:tcW w:w="636" w:type="pct"/>
                <w:tcBorders>
                  <w:top w:val="outset" w:sz="4" w:space="0" w:color="auto"/>
                  <w:left w:val="outset" w:sz="4" w:space="0" w:color="auto"/>
                  <w:bottom w:val="outset" w:sz="4" w:space="0" w:color="auto"/>
                  <w:right w:val="outset" w:sz="4" w:space="0" w:color="auto"/>
                </w:tcBorders>
              </w:tcPr>
              <w:p w14:paraId="2E00907C"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66B3BA8A"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80823A4" w14:textId="77777777" w:rsidR="00E57DAA" w:rsidRDefault="00E57DAA">
                <w:pPr>
                  <w:jc w:val="right"/>
                  <w:rPr>
                    <w:szCs w:val="21"/>
                  </w:rPr>
                </w:pPr>
              </w:p>
            </w:tc>
          </w:tr>
          <w:tr w:rsidR="00E57DAA" w14:paraId="77D01F60" w14:textId="77777777">
            <w:tc>
              <w:tcPr>
                <w:tcW w:w="2096" w:type="pct"/>
                <w:tcBorders>
                  <w:top w:val="outset" w:sz="4" w:space="0" w:color="auto"/>
                  <w:left w:val="outset" w:sz="4" w:space="0" w:color="auto"/>
                  <w:bottom w:val="outset" w:sz="4" w:space="0" w:color="auto"/>
                  <w:right w:val="outset" w:sz="4" w:space="0" w:color="auto"/>
                </w:tcBorders>
                <w:vAlign w:val="center"/>
              </w:tcPr>
              <w:p w14:paraId="7EA02245" w14:textId="77777777" w:rsidR="00E57DAA" w:rsidRDefault="00AC4185">
                <w:pPr>
                  <w:ind w:firstLineChars="100" w:firstLine="210"/>
                </w:pPr>
                <w:r>
                  <w:rPr>
                    <w:rFonts w:hint="eastAsia"/>
                  </w:rPr>
                  <w:t>（4）</w:t>
                </w:r>
                <w:r>
                  <w:t>企业自身信用风险公允价值变动</w:t>
                </w:r>
              </w:p>
            </w:tc>
            <w:tc>
              <w:tcPr>
                <w:tcW w:w="636" w:type="pct"/>
                <w:tcBorders>
                  <w:top w:val="outset" w:sz="4" w:space="0" w:color="auto"/>
                  <w:left w:val="outset" w:sz="4" w:space="0" w:color="auto"/>
                  <w:bottom w:val="outset" w:sz="4" w:space="0" w:color="auto"/>
                  <w:right w:val="outset" w:sz="4" w:space="0" w:color="auto"/>
                </w:tcBorders>
              </w:tcPr>
              <w:p w14:paraId="604FAF9E"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6C1138A8"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BB77353" w14:textId="77777777" w:rsidR="00E57DAA" w:rsidRDefault="00E57DAA">
                <w:pPr>
                  <w:jc w:val="right"/>
                  <w:rPr>
                    <w:szCs w:val="21"/>
                  </w:rPr>
                </w:pPr>
              </w:p>
            </w:tc>
          </w:tr>
          <w:tr w:rsidR="00E57DAA" w14:paraId="76B98DC2" w14:textId="77777777">
            <w:tc>
              <w:tcPr>
                <w:tcW w:w="2096" w:type="pct"/>
                <w:tcBorders>
                  <w:top w:val="outset" w:sz="4" w:space="0" w:color="auto"/>
                  <w:left w:val="outset" w:sz="4" w:space="0" w:color="auto"/>
                  <w:bottom w:val="outset" w:sz="4" w:space="0" w:color="auto"/>
                  <w:right w:val="outset" w:sz="4" w:space="0" w:color="auto"/>
                </w:tcBorders>
                <w:vAlign w:val="center"/>
              </w:tcPr>
              <w:p w14:paraId="06509932" w14:textId="77777777" w:rsidR="00E57DAA" w:rsidRDefault="00AC4185">
                <w:pPr>
                  <w:ind w:firstLineChars="200" w:firstLine="420"/>
                  <w:rPr>
                    <w:szCs w:val="21"/>
                  </w:rPr>
                </w:pPr>
                <w:r>
                  <w:rPr>
                    <w:szCs w:val="21"/>
                  </w:rPr>
                  <w:t>2</w:t>
                </w:r>
                <w:r>
                  <w:rPr>
                    <w:rFonts w:hint="eastAsia"/>
                    <w:szCs w:val="21"/>
                  </w:rPr>
                  <w:t>．将重分类进损益的其他综合收益</w:t>
                </w:r>
              </w:p>
            </w:tc>
            <w:tc>
              <w:tcPr>
                <w:tcW w:w="636" w:type="pct"/>
                <w:tcBorders>
                  <w:top w:val="outset" w:sz="4" w:space="0" w:color="auto"/>
                  <w:left w:val="outset" w:sz="4" w:space="0" w:color="auto"/>
                  <w:bottom w:val="outset" w:sz="4" w:space="0" w:color="auto"/>
                  <w:right w:val="outset" w:sz="4" w:space="0" w:color="auto"/>
                </w:tcBorders>
              </w:tcPr>
              <w:p w14:paraId="5D11B541"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B637142" w14:textId="77777777" w:rsidR="00E57DAA" w:rsidRDefault="00AC4185">
                <w:pPr>
                  <w:jc w:val="right"/>
                  <w:rPr>
                    <w:szCs w:val="21"/>
                  </w:rPr>
                </w:pPr>
                <w:r>
                  <w:t>-18,152,549.16</w:t>
                </w:r>
              </w:p>
            </w:tc>
            <w:tc>
              <w:tcPr>
                <w:tcW w:w="1134" w:type="pct"/>
                <w:tcBorders>
                  <w:top w:val="outset" w:sz="4" w:space="0" w:color="auto"/>
                  <w:left w:val="outset" w:sz="4" w:space="0" w:color="auto"/>
                  <w:bottom w:val="outset" w:sz="4" w:space="0" w:color="auto"/>
                  <w:right w:val="outset" w:sz="4" w:space="0" w:color="auto"/>
                </w:tcBorders>
                <w:vAlign w:val="center"/>
              </w:tcPr>
              <w:p w14:paraId="00FCA103" w14:textId="77777777" w:rsidR="00E57DAA" w:rsidRDefault="00AC4185">
                <w:pPr>
                  <w:jc w:val="right"/>
                  <w:rPr>
                    <w:szCs w:val="21"/>
                  </w:rPr>
                </w:pPr>
                <w:r>
                  <w:t>23,851,394.14</w:t>
                </w:r>
              </w:p>
            </w:tc>
          </w:tr>
          <w:tr w:rsidR="00E57DAA" w14:paraId="4BDB5FE6" w14:textId="77777777">
            <w:tc>
              <w:tcPr>
                <w:tcW w:w="2096" w:type="pct"/>
                <w:tcBorders>
                  <w:top w:val="outset" w:sz="4" w:space="0" w:color="auto"/>
                  <w:left w:val="outset" w:sz="4" w:space="0" w:color="auto"/>
                  <w:bottom w:val="outset" w:sz="4" w:space="0" w:color="auto"/>
                  <w:right w:val="outset" w:sz="4" w:space="0" w:color="auto"/>
                </w:tcBorders>
                <w:vAlign w:val="center"/>
              </w:tcPr>
              <w:p w14:paraId="478048FC" w14:textId="77777777" w:rsidR="00E57DAA" w:rsidRDefault="00AC4185">
                <w:pPr>
                  <w:ind w:firstLineChars="100" w:firstLine="210"/>
                  <w:rPr>
                    <w:szCs w:val="21"/>
                  </w:rPr>
                </w:pPr>
                <w:r>
                  <w:rPr>
                    <w:rFonts w:hint="eastAsia"/>
                  </w:rPr>
                  <w:t>（1）</w:t>
                </w:r>
                <w:r>
                  <w:t>权益法下可转损益的其他综合收益</w:t>
                </w:r>
              </w:p>
            </w:tc>
            <w:tc>
              <w:tcPr>
                <w:tcW w:w="636" w:type="pct"/>
                <w:tcBorders>
                  <w:top w:val="outset" w:sz="4" w:space="0" w:color="auto"/>
                  <w:left w:val="outset" w:sz="4" w:space="0" w:color="auto"/>
                  <w:bottom w:val="outset" w:sz="4" w:space="0" w:color="auto"/>
                  <w:right w:val="outset" w:sz="4" w:space="0" w:color="auto"/>
                </w:tcBorders>
              </w:tcPr>
              <w:p w14:paraId="1F7CB42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E181663" w14:textId="77777777" w:rsidR="00E57DAA" w:rsidRDefault="00AC4185">
                <w:pPr>
                  <w:jc w:val="right"/>
                  <w:rPr>
                    <w:szCs w:val="21"/>
                  </w:rPr>
                </w:pPr>
                <w:r>
                  <w:t>420,446.88</w:t>
                </w:r>
              </w:p>
            </w:tc>
            <w:tc>
              <w:tcPr>
                <w:tcW w:w="1134" w:type="pct"/>
                <w:tcBorders>
                  <w:top w:val="outset" w:sz="4" w:space="0" w:color="auto"/>
                  <w:left w:val="outset" w:sz="4" w:space="0" w:color="auto"/>
                  <w:bottom w:val="outset" w:sz="4" w:space="0" w:color="auto"/>
                  <w:right w:val="outset" w:sz="4" w:space="0" w:color="auto"/>
                </w:tcBorders>
                <w:vAlign w:val="center"/>
              </w:tcPr>
              <w:p w14:paraId="4D1F7BC0" w14:textId="77777777" w:rsidR="00E57DAA" w:rsidRDefault="00AC4185">
                <w:pPr>
                  <w:jc w:val="right"/>
                  <w:rPr>
                    <w:szCs w:val="21"/>
                  </w:rPr>
                </w:pPr>
                <w:r>
                  <w:t>1,090,223.42</w:t>
                </w:r>
              </w:p>
            </w:tc>
          </w:tr>
          <w:tr w:rsidR="00E57DAA" w14:paraId="3B02FA56" w14:textId="77777777">
            <w:tc>
              <w:tcPr>
                <w:tcW w:w="2096" w:type="pct"/>
                <w:tcBorders>
                  <w:top w:val="outset" w:sz="4" w:space="0" w:color="auto"/>
                  <w:left w:val="outset" w:sz="4" w:space="0" w:color="auto"/>
                  <w:bottom w:val="outset" w:sz="4" w:space="0" w:color="auto"/>
                  <w:right w:val="outset" w:sz="4" w:space="0" w:color="auto"/>
                </w:tcBorders>
                <w:vAlign w:val="center"/>
              </w:tcPr>
              <w:p w14:paraId="39FACAA7" w14:textId="77777777" w:rsidR="00E57DAA" w:rsidRDefault="00AC4185">
                <w:pPr>
                  <w:ind w:firstLineChars="100" w:firstLine="210"/>
                </w:pPr>
                <w:r>
                  <w:rPr>
                    <w:rFonts w:hint="eastAsia"/>
                  </w:rPr>
                  <w:t>（2）</w:t>
                </w:r>
                <w:r>
                  <w:t>其他债权投资公允价值变动</w:t>
                </w:r>
              </w:p>
            </w:tc>
            <w:tc>
              <w:tcPr>
                <w:tcW w:w="636" w:type="pct"/>
                <w:tcBorders>
                  <w:top w:val="outset" w:sz="4" w:space="0" w:color="auto"/>
                  <w:left w:val="outset" w:sz="4" w:space="0" w:color="auto"/>
                  <w:bottom w:val="outset" w:sz="4" w:space="0" w:color="auto"/>
                  <w:right w:val="outset" w:sz="4" w:space="0" w:color="auto"/>
                </w:tcBorders>
              </w:tcPr>
              <w:p w14:paraId="653D492C"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7B2D1B63"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0C808F37" w14:textId="77777777" w:rsidR="00E57DAA" w:rsidRDefault="00E57DAA">
                <w:pPr>
                  <w:jc w:val="right"/>
                  <w:rPr>
                    <w:szCs w:val="21"/>
                  </w:rPr>
                </w:pPr>
              </w:p>
            </w:tc>
          </w:tr>
          <w:tr w:rsidR="00E57DAA" w14:paraId="1E401BE5" w14:textId="77777777">
            <w:tc>
              <w:tcPr>
                <w:tcW w:w="2096" w:type="pct"/>
                <w:tcBorders>
                  <w:top w:val="outset" w:sz="4" w:space="0" w:color="auto"/>
                  <w:left w:val="outset" w:sz="4" w:space="0" w:color="auto"/>
                  <w:bottom w:val="outset" w:sz="4" w:space="0" w:color="auto"/>
                  <w:right w:val="outset" w:sz="4" w:space="0" w:color="auto"/>
                </w:tcBorders>
                <w:vAlign w:val="center"/>
              </w:tcPr>
              <w:p w14:paraId="7C4A8869" w14:textId="77777777" w:rsidR="00E57DAA" w:rsidRDefault="00AC4185">
                <w:pPr>
                  <w:ind w:firstLineChars="100" w:firstLine="210"/>
                </w:pPr>
                <w:r>
                  <w:rPr>
                    <w:rFonts w:hint="eastAsia"/>
                  </w:rPr>
                  <w:lastRenderedPageBreak/>
                  <w:t>（3）</w:t>
                </w:r>
                <w:r>
                  <w:t>金融资产重分类计入其他综合收益的金额</w:t>
                </w:r>
              </w:p>
            </w:tc>
            <w:tc>
              <w:tcPr>
                <w:tcW w:w="636" w:type="pct"/>
                <w:tcBorders>
                  <w:top w:val="outset" w:sz="4" w:space="0" w:color="auto"/>
                  <w:left w:val="outset" w:sz="4" w:space="0" w:color="auto"/>
                  <w:bottom w:val="outset" w:sz="4" w:space="0" w:color="auto"/>
                  <w:right w:val="outset" w:sz="4" w:space="0" w:color="auto"/>
                </w:tcBorders>
              </w:tcPr>
              <w:p w14:paraId="526015CF"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4B31952B"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48346CD6" w14:textId="77777777" w:rsidR="00E57DAA" w:rsidRDefault="00E57DAA">
                <w:pPr>
                  <w:jc w:val="right"/>
                  <w:rPr>
                    <w:szCs w:val="21"/>
                  </w:rPr>
                </w:pPr>
              </w:p>
            </w:tc>
          </w:tr>
          <w:tr w:rsidR="00E57DAA" w14:paraId="19C7408B" w14:textId="77777777">
            <w:tc>
              <w:tcPr>
                <w:tcW w:w="2096" w:type="pct"/>
                <w:tcBorders>
                  <w:top w:val="outset" w:sz="4" w:space="0" w:color="auto"/>
                  <w:left w:val="outset" w:sz="4" w:space="0" w:color="auto"/>
                  <w:bottom w:val="outset" w:sz="4" w:space="0" w:color="auto"/>
                  <w:right w:val="outset" w:sz="4" w:space="0" w:color="auto"/>
                </w:tcBorders>
                <w:vAlign w:val="center"/>
              </w:tcPr>
              <w:p w14:paraId="1C7AE4FA" w14:textId="77777777" w:rsidR="00E57DAA" w:rsidRDefault="00AC4185">
                <w:pPr>
                  <w:ind w:firstLineChars="100" w:firstLine="210"/>
                </w:pPr>
                <w:r>
                  <w:rPr>
                    <w:rFonts w:hint="eastAsia"/>
                  </w:rPr>
                  <w:t>（4）</w:t>
                </w:r>
                <w:r>
                  <w:t>其他债权投资信用减值准备</w:t>
                </w:r>
              </w:p>
            </w:tc>
            <w:tc>
              <w:tcPr>
                <w:tcW w:w="636" w:type="pct"/>
                <w:tcBorders>
                  <w:top w:val="outset" w:sz="4" w:space="0" w:color="auto"/>
                  <w:left w:val="outset" w:sz="4" w:space="0" w:color="auto"/>
                  <w:bottom w:val="outset" w:sz="4" w:space="0" w:color="auto"/>
                  <w:right w:val="outset" w:sz="4" w:space="0" w:color="auto"/>
                </w:tcBorders>
              </w:tcPr>
              <w:p w14:paraId="31AF1AEB"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25A889E1"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4DBE54C7" w14:textId="77777777" w:rsidR="00E57DAA" w:rsidRDefault="00E57DAA">
                <w:pPr>
                  <w:jc w:val="right"/>
                  <w:rPr>
                    <w:szCs w:val="21"/>
                  </w:rPr>
                </w:pPr>
              </w:p>
            </w:tc>
          </w:tr>
          <w:tr w:rsidR="00E57DAA" w14:paraId="4AB3B8FE" w14:textId="77777777">
            <w:tc>
              <w:tcPr>
                <w:tcW w:w="2096" w:type="pct"/>
                <w:tcBorders>
                  <w:top w:val="outset" w:sz="4" w:space="0" w:color="auto"/>
                  <w:left w:val="outset" w:sz="4" w:space="0" w:color="auto"/>
                  <w:bottom w:val="outset" w:sz="4" w:space="0" w:color="auto"/>
                  <w:right w:val="outset" w:sz="4" w:space="0" w:color="auto"/>
                </w:tcBorders>
                <w:vAlign w:val="center"/>
              </w:tcPr>
              <w:p w14:paraId="0C03DDB4" w14:textId="77777777" w:rsidR="00E57DAA" w:rsidRDefault="00AC4185">
                <w:pPr>
                  <w:ind w:firstLineChars="100" w:firstLine="210"/>
                </w:pPr>
                <w:r>
                  <w:rPr>
                    <w:rFonts w:hint="eastAsia"/>
                  </w:rPr>
                  <w:t>（5）</w:t>
                </w:r>
                <w:r>
                  <w:t>现金流量套期储备</w:t>
                </w:r>
              </w:p>
            </w:tc>
            <w:tc>
              <w:tcPr>
                <w:tcW w:w="636" w:type="pct"/>
                <w:tcBorders>
                  <w:top w:val="outset" w:sz="4" w:space="0" w:color="auto"/>
                  <w:left w:val="outset" w:sz="4" w:space="0" w:color="auto"/>
                  <w:bottom w:val="outset" w:sz="4" w:space="0" w:color="auto"/>
                  <w:right w:val="outset" w:sz="4" w:space="0" w:color="auto"/>
                </w:tcBorders>
              </w:tcPr>
              <w:p w14:paraId="0B5D07A1"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AFA58AC" w14:textId="77777777" w:rsidR="00E57DAA" w:rsidRDefault="00AC4185">
                <w:pPr>
                  <w:jc w:val="right"/>
                  <w:rPr>
                    <w:szCs w:val="21"/>
                  </w:rPr>
                </w:pPr>
                <w:r>
                  <w:t>-20,874,129.96</w:t>
                </w:r>
              </w:p>
            </w:tc>
            <w:tc>
              <w:tcPr>
                <w:tcW w:w="1134" w:type="pct"/>
                <w:tcBorders>
                  <w:top w:val="outset" w:sz="4" w:space="0" w:color="auto"/>
                  <w:left w:val="outset" w:sz="4" w:space="0" w:color="auto"/>
                  <w:bottom w:val="outset" w:sz="4" w:space="0" w:color="auto"/>
                  <w:right w:val="outset" w:sz="4" w:space="0" w:color="auto"/>
                </w:tcBorders>
                <w:vAlign w:val="center"/>
              </w:tcPr>
              <w:p w14:paraId="41288644" w14:textId="77777777" w:rsidR="00E57DAA" w:rsidRDefault="00AC4185">
                <w:pPr>
                  <w:jc w:val="right"/>
                  <w:rPr>
                    <w:szCs w:val="21"/>
                  </w:rPr>
                </w:pPr>
                <w:r>
                  <w:t>15,808,909.06</w:t>
                </w:r>
              </w:p>
            </w:tc>
          </w:tr>
          <w:tr w:rsidR="00E57DAA" w14:paraId="5B69DD04" w14:textId="77777777">
            <w:tc>
              <w:tcPr>
                <w:tcW w:w="2096" w:type="pct"/>
                <w:tcBorders>
                  <w:top w:val="outset" w:sz="4" w:space="0" w:color="auto"/>
                  <w:left w:val="outset" w:sz="4" w:space="0" w:color="auto"/>
                  <w:bottom w:val="outset" w:sz="4" w:space="0" w:color="auto"/>
                  <w:right w:val="outset" w:sz="4" w:space="0" w:color="auto"/>
                </w:tcBorders>
                <w:vAlign w:val="center"/>
              </w:tcPr>
              <w:p w14:paraId="6BCCBD64" w14:textId="77777777" w:rsidR="00E57DAA" w:rsidRDefault="00AC4185">
                <w:pPr>
                  <w:ind w:firstLineChars="100" w:firstLine="210"/>
                </w:pPr>
                <w:r>
                  <w:rPr>
                    <w:rFonts w:hint="eastAsia"/>
                  </w:rPr>
                  <w:t>（6）</w:t>
                </w:r>
                <w:r>
                  <w:t>外币财务报表折算差额</w:t>
                </w:r>
              </w:p>
            </w:tc>
            <w:tc>
              <w:tcPr>
                <w:tcW w:w="636" w:type="pct"/>
                <w:tcBorders>
                  <w:top w:val="outset" w:sz="4" w:space="0" w:color="auto"/>
                  <w:left w:val="outset" w:sz="4" w:space="0" w:color="auto"/>
                  <w:bottom w:val="outset" w:sz="4" w:space="0" w:color="auto"/>
                  <w:right w:val="outset" w:sz="4" w:space="0" w:color="auto"/>
                </w:tcBorders>
              </w:tcPr>
              <w:p w14:paraId="288A8C5B"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6374F9B" w14:textId="77777777" w:rsidR="00E57DAA" w:rsidRDefault="00AC4185">
                <w:pPr>
                  <w:jc w:val="right"/>
                  <w:rPr>
                    <w:szCs w:val="21"/>
                  </w:rPr>
                </w:pPr>
                <w:r>
                  <w:t>2,301,133.92</w:t>
                </w:r>
              </w:p>
            </w:tc>
            <w:tc>
              <w:tcPr>
                <w:tcW w:w="1134" w:type="pct"/>
                <w:tcBorders>
                  <w:top w:val="outset" w:sz="4" w:space="0" w:color="auto"/>
                  <w:left w:val="outset" w:sz="4" w:space="0" w:color="auto"/>
                  <w:bottom w:val="outset" w:sz="4" w:space="0" w:color="auto"/>
                  <w:right w:val="outset" w:sz="4" w:space="0" w:color="auto"/>
                </w:tcBorders>
                <w:vAlign w:val="center"/>
              </w:tcPr>
              <w:p w14:paraId="72F5D143" w14:textId="77777777" w:rsidR="00E57DAA" w:rsidRDefault="00AC4185">
                <w:pPr>
                  <w:jc w:val="right"/>
                  <w:rPr>
                    <w:szCs w:val="21"/>
                  </w:rPr>
                </w:pPr>
                <w:r>
                  <w:t>6,952,261.66</w:t>
                </w:r>
              </w:p>
            </w:tc>
          </w:tr>
          <w:tr w:rsidR="00E57DAA" w14:paraId="44F2872D" w14:textId="77777777">
            <w:tc>
              <w:tcPr>
                <w:tcW w:w="2096" w:type="pct"/>
                <w:tcBorders>
                  <w:top w:val="outset" w:sz="4" w:space="0" w:color="auto"/>
                  <w:left w:val="outset" w:sz="4" w:space="0" w:color="auto"/>
                  <w:bottom w:val="outset" w:sz="4" w:space="0" w:color="auto"/>
                  <w:right w:val="outset" w:sz="4" w:space="0" w:color="auto"/>
                </w:tcBorders>
                <w:vAlign w:val="center"/>
              </w:tcPr>
              <w:p w14:paraId="0750CF07" w14:textId="77777777" w:rsidR="00E57DAA" w:rsidRDefault="00AC4185">
                <w:pPr>
                  <w:ind w:firstLineChars="100" w:firstLine="210"/>
                </w:pPr>
                <w:r>
                  <w:rPr>
                    <w:rFonts w:hint="eastAsia"/>
                  </w:rPr>
                  <w:t>（7）</w:t>
                </w:r>
                <w:r>
                  <w:t>其他</w:t>
                </w:r>
              </w:p>
            </w:tc>
            <w:tc>
              <w:tcPr>
                <w:tcW w:w="636" w:type="pct"/>
                <w:tcBorders>
                  <w:top w:val="outset" w:sz="4" w:space="0" w:color="auto"/>
                  <w:left w:val="outset" w:sz="4" w:space="0" w:color="auto"/>
                  <w:bottom w:val="outset" w:sz="4" w:space="0" w:color="auto"/>
                  <w:right w:val="outset" w:sz="4" w:space="0" w:color="auto"/>
                </w:tcBorders>
              </w:tcPr>
              <w:p w14:paraId="4222FA96"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tcPr>
              <w:p w14:paraId="52F42B6D" w14:textId="77777777" w:rsidR="00E57DAA" w:rsidRDefault="00E57DAA">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7C32D3C1" w14:textId="77777777" w:rsidR="00E57DAA" w:rsidRDefault="00E57DAA">
                <w:pPr>
                  <w:jc w:val="right"/>
                  <w:rPr>
                    <w:szCs w:val="21"/>
                  </w:rPr>
                </w:pPr>
              </w:p>
            </w:tc>
          </w:tr>
          <w:tr w:rsidR="00E57DAA" w14:paraId="3E165385" w14:textId="77777777">
            <w:tc>
              <w:tcPr>
                <w:tcW w:w="2096" w:type="pct"/>
                <w:tcBorders>
                  <w:top w:val="outset" w:sz="4" w:space="0" w:color="auto"/>
                  <w:left w:val="outset" w:sz="4" w:space="0" w:color="auto"/>
                  <w:bottom w:val="outset" w:sz="4" w:space="0" w:color="auto"/>
                  <w:right w:val="outset" w:sz="4" w:space="0" w:color="auto"/>
                </w:tcBorders>
                <w:vAlign w:val="center"/>
              </w:tcPr>
              <w:p w14:paraId="2738B120" w14:textId="77777777" w:rsidR="00E57DAA" w:rsidRDefault="00AC4185">
                <w:pPr>
                  <w:ind w:firstLineChars="100" w:firstLine="210"/>
                  <w:rPr>
                    <w:szCs w:val="21"/>
                  </w:rPr>
                </w:pPr>
                <w:r>
                  <w:rPr>
                    <w:szCs w:val="21"/>
                  </w:rPr>
                  <w:t>（二）</w:t>
                </w:r>
                <w:r>
                  <w:rPr>
                    <w:rFonts w:hint="eastAsia"/>
                    <w:szCs w:val="21"/>
                  </w:rPr>
                  <w:t>归属于少数股东的其他综合收益的税后净额</w:t>
                </w:r>
              </w:p>
            </w:tc>
            <w:tc>
              <w:tcPr>
                <w:tcW w:w="636" w:type="pct"/>
                <w:tcBorders>
                  <w:top w:val="outset" w:sz="4" w:space="0" w:color="auto"/>
                  <w:left w:val="outset" w:sz="4" w:space="0" w:color="auto"/>
                  <w:bottom w:val="outset" w:sz="4" w:space="0" w:color="auto"/>
                  <w:right w:val="outset" w:sz="4" w:space="0" w:color="auto"/>
                </w:tcBorders>
              </w:tcPr>
              <w:p w14:paraId="44EFE20E"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1C00D3A" w14:textId="77777777" w:rsidR="00E57DAA" w:rsidRDefault="00AC4185">
                <w:pPr>
                  <w:jc w:val="right"/>
                  <w:rPr>
                    <w:szCs w:val="21"/>
                  </w:rPr>
                </w:pPr>
                <w:r>
                  <w:t>8,549,389.58</w:t>
                </w:r>
              </w:p>
            </w:tc>
            <w:tc>
              <w:tcPr>
                <w:tcW w:w="1134" w:type="pct"/>
                <w:tcBorders>
                  <w:top w:val="outset" w:sz="4" w:space="0" w:color="auto"/>
                  <w:left w:val="outset" w:sz="4" w:space="0" w:color="auto"/>
                  <w:bottom w:val="outset" w:sz="4" w:space="0" w:color="auto"/>
                  <w:right w:val="outset" w:sz="4" w:space="0" w:color="auto"/>
                </w:tcBorders>
                <w:vAlign w:val="center"/>
              </w:tcPr>
              <w:p w14:paraId="7FC83140" w14:textId="77777777" w:rsidR="00E57DAA" w:rsidRDefault="00AC4185">
                <w:pPr>
                  <w:jc w:val="right"/>
                  <w:rPr>
                    <w:szCs w:val="21"/>
                  </w:rPr>
                </w:pPr>
                <w:r>
                  <w:t>1,246,069.73</w:t>
                </w:r>
              </w:p>
            </w:tc>
          </w:tr>
          <w:tr w:rsidR="00E57DAA" w14:paraId="2110CAC8" w14:textId="77777777">
            <w:tc>
              <w:tcPr>
                <w:tcW w:w="2096" w:type="pct"/>
                <w:tcBorders>
                  <w:top w:val="outset" w:sz="4" w:space="0" w:color="auto"/>
                  <w:left w:val="outset" w:sz="4" w:space="0" w:color="auto"/>
                  <w:bottom w:val="outset" w:sz="4" w:space="0" w:color="auto"/>
                  <w:right w:val="outset" w:sz="4" w:space="0" w:color="auto"/>
                </w:tcBorders>
                <w:vAlign w:val="center"/>
              </w:tcPr>
              <w:p w14:paraId="798EE51D" w14:textId="77777777" w:rsidR="00E57DAA" w:rsidRDefault="00AC4185">
                <w:pPr>
                  <w:rPr>
                    <w:szCs w:val="21"/>
                  </w:rPr>
                </w:pPr>
                <w:r>
                  <w:rPr>
                    <w:rFonts w:hint="eastAsia"/>
                    <w:szCs w:val="21"/>
                  </w:rPr>
                  <w:t>七、综合收益总额</w:t>
                </w:r>
              </w:p>
            </w:tc>
            <w:tc>
              <w:tcPr>
                <w:tcW w:w="636" w:type="pct"/>
                <w:tcBorders>
                  <w:top w:val="outset" w:sz="4" w:space="0" w:color="auto"/>
                  <w:left w:val="outset" w:sz="4" w:space="0" w:color="auto"/>
                  <w:bottom w:val="outset" w:sz="4" w:space="0" w:color="auto"/>
                  <w:right w:val="outset" w:sz="4" w:space="0" w:color="auto"/>
                </w:tcBorders>
              </w:tcPr>
              <w:p w14:paraId="79F8748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B9B6DEE" w14:textId="77777777" w:rsidR="00E57DAA" w:rsidRDefault="00AC4185">
                <w:pPr>
                  <w:jc w:val="right"/>
                  <w:rPr>
                    <w:szCs w:val="21"/>
                  </w:rPr>
                </w:pPr>
                <w:r>
                  <w:t>3,177,878,449.78</w:t>
                </w:r>
              </w:p>
            </w:tc>
            <w:tc>
              <w:tcPr>
                <w:tcW w:w="1134" w:type="pct"/>
                <w:tcBorders>
                  <w:top w:val="outset" w:sz="4" w:space="0" w:color="auto"/>
                  <w:left w:val="outset" w:sz="4" w:space="0" w:color="auto"/>
                  <w:bottom w:val="outset" w:sz="4" w:space="0" w:color="auto"/>
                  <w:right w:val="outset" w:sz="4" w:space="0" w:color="auto"/>
                </w:tcBorders>
                <w:vAlign w:val="center"/>
              </w:tcPr>
              <w:p w14:paraId="24D52C4A" w14:textId="77777777" w:rsidR="00E57DAA" w:rsidRDefault="00AC4185">
                <w:pPr>
                  <w:jc w:val="right"/>
                  <w:rPr>
                    <w:szCs w:val="21"/>
                  </w:rPr>
                </w:pPr>
                <w:r>
                  <w:t>2,845,188,600.26</w:t>
                </w:r>
              </w:p>
            </w:tc>
          </w:tr>
          <w:tr w:rsidR="00E57DAA" w14:paraId="29A893A9" w14:textId="77777777">
            <w:tc>
              <w:tcPr>
                <w:tcW w:w="2096" w:type="pct"/>
                <w:tcBorders>
                  <w:top w:val="outset" w:sz="4" w:space="0" w:color="auto"/>
                  <w:left w:val="outset" w:sz="4" w:space="0" w:color="auto"/>
                  <w:bottom w:val="outset" w:sz="4" w:space="0" w:color="auto"/>
                  <w:right w:val="outset" w:sz="4" w:space="0" w:color="auto"/>
                </w:tcBorders>
                <w:vAlign w:val="center"/>
              </w:tcPr>
              <w:p w14:paraId="1C402177" w14:textId="77777777" w:rsidR="00E57DAA" w:rsidRDefault="00AC4185">
                <w:pPr>
                  <w:ind w:firstLineChars="100" w:firstLine="210"/>
                  <w:rPr>
                    <w:szCs w:val="21"/>
                  </w:rPr>
                </w:pPr>
                <w:r>
                  <w:rPr>
                    <w:szCs w:val="21"/>
                  </w:rPr>
                  <w:t>（一）</w:t>
                </w:r>
                <w:r>
                  <w:rPr>
                    <w:rFonts w:hint="eastAsia"/>
                    <w:szCs w:val="21"/>
                  </w:rPr>
                  <w:t>归属于母公司所有者的综合收益总额</w:t>
                </w:r>
              </w:p>
            </w:tc>
            <w:tc>
              <w:tcPr>
                <w:tcW w:w="636" w:type="pct"/>
                <w:tcBorders>
                  <w:top w:val="outset" w:sz="4" w:space="0" w:color="auto"/>
                  <w:left w:val="outset" w:sz="4" w:space="0" w:color="auto"/>
                  <w:bottom w:val="outset" w:sz="4" w:space="0" w:color="auto"/>
                  <w:right w:val="outset" w:sz="4" w:space="0" w:color="auto"/>
                </w:tcBorders>
              </w:tcPr>
              <w:p w14:paraId="63509EA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6E3775D" w14:textId="77777777" w:rsidR="00E57DAA" w:rsidRDefault="00AC4185">
                <w:pPr>
                  <w:jc w:val="right"/>
                  <w:rPr>
                    <w:szCs w:val="21"/>
                  </w:rPr>
                </w:pPr>
                <w:r>
                  <w:t>2,899,021,064.64</w:t>
                </w:r>
              </w:p>
            </w:tc>
            <w:tc>
              <w:tcPr>
                <w:tcW w:w="1134" w:type="pct"/>
                <w:tcBorders>
                  <w:top w:val="outset" w:sz="4" w:space="0" w:color="auto"/>
                  <w:left w:val="outset" w:sz="4" w:space="0" w:color="auto"/>
                  <w:bottom w:val="outset" w:sz="4" w:space="0" w:color="auto"/>
                  <w:right w:val="outset" w:sz="4" w:space="0" w:color="auto"/>
                </w:tcBorders>
                <w:vAlign w:val="center"/>
              </w:tcPr>
              <w:p w14:paraId="7F66E693" w14:textId="77777777" w:rsidR="00E57DAA" w:rsidRDefault="00AC4185">
                <w:pPr>
                  <w:jc w:val="right"/>
                  <w:rPr>
                    <w:szCs w:val="21"/>
                  </w:rPr>
                </w:pPr>
                <w:r>
                  <w:t>2,560,745,951.20</w:t>
                </w:r>
              </w:p>
            </w:tc>
          </w:tr>
          <w:tr w:rsidR="00E57DAA" w14:paraId="72E7352C" w14:textId="77777777">
            <w:tc>
              <w:tcPr>
                <w:tcW w:w="2096" w:type="pct"/>
                <w:tcBorders>
                  <w:top w:val="outset" w:sz="4" w:space="0" w:color="auto"/>
                  <w:left w:val="outset" w:sz="4" w:space="0" w:color="auto"/>
                  <w:bottom w:val="outset" w:sz="4" w:space="0" w:color="auto"/>
                  <w:right w:val="outset" w:sz="4" w:space="0" w:color="auto"/>
                </w:tcBorders>
                <w:vAlign w:val="center"/>
              </w:tcPr>
              <w:p w14:paraId="4335706B" w14:textId="77777777" w:rsidR="00E57DAA" w:rsidRDefault="00AC4185">
                <w:pPr>
                  <w:ind w:firstLineChars="100" w:firstLine="210"/>
                  <w:rPr>
                    <w:szCs w:val="21"/>
                  </w:rPr>
                </w:pPr>
                <w:r>
                  <w:rPr>
                    <w:szCs w:val="21"/>
                  </w:rPr>
                  <w:t>（二）</w:t>
                </w:r>
                <w:r>
                  <w:rPr>
                    <w:rFonts w:hint="eastAsia"/>
                    <w:szCs w:val="21"/>
                  </w:rPr>
                  <w:t>归属于少数股东的综合收益总额</w:t>
                </w:r>
              </w:p>
            </w:tc>
            <w:tc>
              <w:tcPr>
                <w:tcW w:w="636" w:type="pct"/>
                <w:tcBorders>
                  <w:top w:val="outset" w:sz="4" w:space="0" w:color="auto"/>
                  <w:left w:val="outset" w:sz="4" w:space="0" w:color="auto"/>
                  <w:bottom w:val="outset" w:sz="4" w:space="0" w:color="auto"/>
                  <w:right w:val="outset" w:sz="4" w:space="0" w:color="auto"/>
                </w:tcBorders>
              </w:tcPr>
              <w:p w14:paraId="74269149"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6A08440" w14:textId="77777777" w:rsidR="00E57DAA" w:rsidRDefault="00AC4185">
                <w:pPr>
                  <w:jc w:val="right"/>
                  <w:rPr>
                    <w:szCs w:val="21"/>
                  </w:rPr>
                </w:pPr>
                <w:r>
                  <w:t>278,857,385.14</w:t>
                </w:r>
              </w:p>
            </w:tc>
            <w:tc>
              <w:tcPr>
                <w:tcW w:w="1134" w:type="pct"/>
                <w:tcBorders>
                  <w:top w:val="outset" w:sz="4" w:space="0" w:color="auto"/>
                  <w:left w:val="outset" w:sz="4" w:space="0" w:color="auto"/>
                  <w:bottom w:val="outset" w:sz="4" w:space="0" w:color="auto"/>
                  <w:right w:val="outset" w:sz="4" w:space="0" w:color="auto"/>
                </w:tcBorders>
                <w:vAlign w:val="center"/>
              </w:tcPr>
              <w:p w14:paraId="56FE3FEC" w14:textId="77777777" w:rsidR="00E57DAA" w:rsidRDefault="00AC4185">
                <w:pPr>
                  <w:jc w:val="right"/>
                  <w:rPr>
                    <w:szCs w:val="21"/>
                  </w:rPr>
                </w:pPr>
                <w:r>
                  <w:t>284,442,649.06</w:t>
                </w:r>
              </w:p>
            </w:tc>
          </w:tr>
          <w:tr w:rsidR="00E57DAA" w14:paraId="4A38C88D" w14:textId="77777777">
            <w:sdt>
              <w:sdtPr>
                <w:tag w:val="_PLD_6e9655fe2b7c48e3964f7a74f9c6deea"/>
                <w:id w:val="-1242482601"/>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AEFBD2A" w14:textId="77777777" w:rsidR="00E57DAA" w:rsidRDefault="00AC4185">
                    <w:pPr>
                      <w:rPr>
                        <w:color w:val="008000"/>
                        <w:szCs w:val="21"/>
                      </w:rPr>
                    </w:pPr>
                    <w:r>
                      <w:rPr>
                        <w:rFonts w:hint="eastAsia"/>
                        <w:szCs w:val="21"/>
                      </w:rPr>
                      <w:t>八、每股收益：</w:t>
                    </w:r>
                  </w:p>
                </w:tc>
              </w:sdtContent>
            </w:sdt>
          </w:tr>
          <w:tr w:rsidR="00E57DAA" w14:paraId="3A0510D6" w14:textId="77777777">
            <w:tc>
              <w:tcPr>
                <w:tcW w:w="2096" w:type="pct"/>
                <w:tcBorders>
                  <w:top w:val="outset" w:sz="4" w:space="0" w:color="auto"/>
                  <w:left w:val="outset" w:sz="4" w:space="0" w:color="auto"/>
                  <w:bottom w:val="outset" w:sz="4" w:space="0" w:color="auto"/>
                  <w:right w:val="outset" w:sz="4" w:space="0" w:color="auto"/>
                </w:tcBorders>
                <w:vAlign w:val="center"/>
              </w:tcPr>
              <w:p w14:paraId="7F72B052" w14:textId="77777777" w:rsidR="00E57DAA" w:rsidRDefault="00AC4185">
                <w:pPr>
                  <w:ind w:firstLineChars="100" w:firstLine="210"/>
                  <w:rPr>
                    <w:szCs w:val="21"/>
                  </w:rPr>
                </w:pPr>
                <w:r>
                  <w:rPr>
                    <w:szCs w:val="21"/>
                  </w:rPr>
                  <w:t>（一）基本每股收益</w:t>
                </w:r>
                <w:r>
                  <w:rPr>
                    <w:rFonts w:hint="eastAsia"/>
                    <w:szCs w:val="21"/>
                  </w:rPr>
                  <w:t>(元/股)</w:t>
                </w:r>
              </w:p>
            </w:tc>
            <w:tc>
              <w:tcPr>
                <w:tcW w:w="636" w:type="pct"/>
                <w:tcBorders>
                  <w:top w:val="outset" w:sz="4" w:space="0" w:color="auto"/>
                  <w:left w:val="outset" w:sz="4" w:space="0" w:color="auto"/>
                  <w:bottom w:val="outset" w:sz="4" w:space="0" w:color="auto"/>
                  <w:right w:val="outset" w:sz="4" w:space="0" w:color="auto"/>
                </w:tcBorders>
              </w:tcPr>
              <w:p w14:paraId="6DE33797"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0D89B29" w14:textId="77777777" w:rsidR="00E57DAA" w:rsidRDefault="00AC4185">
                <w:pPr>
                  <w:jc w:val="right"/>
                  <w:rPr>
                    <w:szCs w:val="21"/>
                  </w:rPr>
                </w:pPr>
                <w:r>
                  <w:t>1.12</w:t>
                </w:r>
              </w:p>
            </w:tc>
            <w:tc>
              <w:tcPr>
                <w:tcW w:w="1134" w:type="pct"/>
                <w:tcBorders>
                  <w:top w:val="outset" w:sz="4" w:space="0" w:color="auto"/>
                  <w:left w:val="outset" w:sz="4" w:space="0" w:color="auto"/>
                  <w:bottom w:val="outset" w:sz="4" w:space="0" w:color="auto"/>
                  <w:right w:val="outset" w:sz="4" w:space="0" w:color="auto"/>
                </w:tcBorders>
                <w:vAlign w:val="center"/>
              </w:tcPr>
              <w:p w14:paraId="50C53EBF" w14:textId="77777777" w:rsidR="00E57DAA" w:rsidRDefault="00AC4185">
                <w:pPr>
                  <w:jc w:val="right"/>
                  <w:rPr>
                    <w:szCs w:val="21"/>
                  </w:rPr>
                </w:pPr>
                <w:r>
                  <w:t>0.98</w:t>
                </w:r>
              </w:p>
            </w:tc>
          </w:tr>
          <w:tr w:rsidR="00E57DAA" w14:paraId="68B640DC" w14:textId="77777777">
            <w:tc>
              <w:tcPr>
                <w:tcW w:w="2096" w:type="pct"/>
                <w:tcBorders>
                  <w:top w:val="outset" w:sz="4" w:space="0" w:color="auto"/>
                  <w:left w:val="outset" w:sz="4" w:space="0" w:color="auto"/>
                  <w:bottom w:val="outset" w:sz="4" w:space="0" w:color="auto"/>
                  <w:right w:val="outset" w:sz="4" w:space="0" w:color="auto"/>
                </w:tcBorders>
                <w:vAlign w:val="center"/>
              </w:tcPr>
              <w:p w14:paraId="6F63A759" w14:textId="77777777" w:rsidR="00E57DAA" w:rsidRDefault="00AC4185">
                <w:pPr>
                  <w:ind w:firstLineChars="100" w:firstLine="210"/>
                  <w:rPr>
                    <w:szCs w:val="21"/>
                  </w:rPr>
                </w:pPr>
                <w:r>
                  <w:rPr>
                    <w:szCs w:val="21"/>
                  </w:rPr>
                  <w:t>（二）稀释每股收益</w:t>
                </w:r>
                <w:r>
                  <w:rPr>
                    <w:rFonts w:hint="eastAsia"/>
                    <w:szCs w:val="21"/>
                  </w:rPr>
                  <w:t>(元/股)</w:t>
                </w:r>
              </w:p>
            </w:tc>
            <w:tc>
              <w:tcPr>
                <w:tcW w:w="636" w:type="pct"/>
                <w:tcBorders>
                  <w:top w:val="outset" w:sz="4" w:space="0" w:color="auto"/>
                  <w:left w:val="outset" w:sz="4" w:space="0" w:color="auto"/>
                  <w:bottom w:val="outset" w:sz="4" w:space="0" w:color="auto"/>
                  <w:right w:val="outset" w:sz="4" w:space="0" w:color="auto"/>
                </w:tcBorders>
              </w:tcPr>
              <w:p w14:paraId="5D17F7B8" w14:textId="77777777" w:rsidR="00E57DAA" w:rsidRDefault="00E57DAA">
                <w:pPr>
                  <w:rPr>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B872761" w14:textId="77777777" w:rsidR="00E57DAA" w:rsidRDefault="00AC4185">
                <w:pPr>
                  <w:jc w:val="right"/>
                  <w:rPr>
                    <w:szCs w:val="21"/>
                  </w:rPr>
                </w:pPr>
                <w:r>
                  <w:t>1.12</w:t>
                </w:r>
              </w:p>
            </w:tc>
            <w:tc>
              <w:tcPr>
                <w:tcW w:w="1134" w:type="pct"/>
                <w:tcBorders>
                  <w:top w:val="outset" w:sz="4" w:space="0" w:color="auto"/>
                  <w:left w:val="outset" w:sz="4" w:space="0" w:color="auto"/>
                  <w:bottom w:val="outset" w:sz="4" w:space="0" w:color="auto"/>
                  <w:right w:val="outset" w:sz="4" w:space="0" w:color="auto"/>
                </w:tcBorders>
                <w:vAlign w:val="center"/>
              </w:tcPr>
              <w:p w14:paraId="0AFEB6C4" w14:textId="77777777" w:rsidR="00E57DAA" w:rsidRDefault="00AC4185">
                <w:pPr>
                  <w:jc w:val="right"/>
                  <w:rPr>
                    <w:szCs w:val="21"/>
                  </w:rPr>
                </w:pPr>
                <w:r>
                  <w:t>0.98</w:t>
                </w:r>
              </w:p>
            </w:tc>
          </w:tr>
        </w:tbl>
        <w:p w14:paraId="32E338F3" w14:textId="77777777" w:rsidR="00E57DAA" w:rsidRDefault="00E57DAA" w:rsidP="00C25422">
          <w:pPr>
            <w:pStyle w:val="92"/>
          </w:pPr>
        </w:p>
        <w:p w14:paraId="520C93E0" w14:textId="77777777" w:rsidR="00E57DAA" w:rsidRDefault="00AC4185">
          <w:pPr>
            <w:rPr>
              <w:b/>
              <w:bCs/>
              <w:color w:val="FF0000"/>
              <w:szCs w:val="21"/>
            </w:rPr>
          </w:pPr>
          <w:r>
            <w:rPr>
              <w:rFonts w:hint="eastAsia"/>
              <w:szCs w:val="21"/>
            </w:rPr>
            <w:t>本期发生同一控制下企业合并的，被合并方在合并前实现的净利润为：</w:t>
          </w:r>
          <w:sdt>
            <w:sdtPr>
              <w:rPr>
                <w:rFonts w:hint="eastAsia"/>
                <w:szCs w:val="21"/>
              </w:rPr>
              <w:alias w:val="同一控制下的企业合并中被合并方在合并前实现的净利润"/>
              <w:tag w:val="_GBC_dee3746024314be88287a46c20d21a26"/>
              <w:id w:val="-1109739525"/>
              <w:placeholder>
                <w:docPart w:val="GBC22222222222222222222222222222"/>
              </w:placeholder>
            </w:sdtPr>
            <w:sdtEndPr/>
            <w:sdtContent>
              <w:r>
                <w:rPr>
                  <w:szCs w:val="21"/>
                </w:rPr>
                <w:t>-19,936,478.05</w:t>
              </w:r>
            </w:sdtContent>
          </w:sdt>
          <w:r>
            <w:rPr>
              <w:rFonts w:hint="eastAsia"/>
              <w:szCs w:val="21"/>
            </w:rPr>
            <w:t xml:space="preserve"> 元, 上期被合并方实现的净利润为： </w:t>
          </w:r>
          <w:sdt>
            <w:sdtPr>
              <w:rPr>
                <w:rFonts w:hint="eastAsia"/>
                <w:szCs w:val="21"/>
              </w:rPr>
              <w:alias w:val="同一控制下的企业合并中被合并方在合并前实现的净利润"/>
              <w:tag w:val="_GBC_12f9ba898e4e450d82ca7ea5336921ae"/>
              <w:id w:val="2005865208"/>
              <w:placeholder>
                <w:docPart w:val="GBC22222222222222222222222222222"/>
              </w:placeholder>
            </w:sdtPr>
            <w:sdtEndPr>
              <w:rPr>
                <w:rFonts w:hint="default"/>
              </w:rPr>
            </w:sdtEndPr>
            <w:sdtContent>
              <w:r>
                <w:rPr>
                  <w:szCs w:val="21"/>
                </w:rPr>
                <w:t>482,154,078.96</w:t>
              </w:r>
            </w:sdtContent>
          </w:sdt>
          <w:r>
            <w:rPr>
              <w:rFonts w:hint="eastAsia"/>
              <w:szCs w:val="21"/>
            </w:rPr>
            <w:t xml:space="preserve"> 元。</w:t>
          </w:r>
        </w:p>
        <w:p w14:paraId="4791CACC" w14:textId="77777777" w:rsidR="00E57DAA" w:rsidRDefault="00AC4185">
          <w:pPr>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85589cdf09ed4055b8d177524f5a0df0"/>
              <w:id w:val="131912547"/>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594946883"/>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1366589628"/>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bookmarkEnd w:id="163"/>
    <w:p w14:paraId="3F1DC675" w14:textId="77777777" w:rsidR="00E57DAA" w:rsidRDefault="00E57DAA">
      <w:pPr>
        <w:rPr>
          <w:color w:val="FF0000"/>
          <w:szCs w:val="21"/>
        </w:rPr>
      </w:pPr>
    </w:p>
    <w:bookmarkStart w:id="164" w:name="_Hlk24038476" w:displacedByCustomXml="next"/>
    <w:sdt>
      <w:sdtPr>
        <w:rPr>
          <w:rFonts w:ascii="宋体" w:hAnsi="宋体" w:cs="宋体" w:hint="eastAsia"/>
          <w:b w:val="0"/>
          <w:bCs w:val="0"/>
          <w:kern w:val="0"/>
          <w:sz w:val="21"/>
          <w:szCs w:val="24"/>
        </w:rPr>
        <w:tag w:val="_SEC_7398696337e643be900ea0fa28731754"/>
        <w:id w:val="-953170834"/>
        <w:placeholder>
          <w:docPart w:val="GBC22222222222222222222222222222"/>
        </w:placeholder>
      </w:sdtPr>
      <w:sdtEndPr>
        <w:rPr>
          <w:rFonts w:cs="宋体-方正超大字符集"/>
          <w:szCs w:val="21"/>
        </w:rPr>
      </w:sdtEndPr>
      <w:sdtContent>
        <w:p w14:paraId="745341E1" w14:textId="77777777" w:rsidR="00E57DAA" w:rsidRDefault="00AC4185" w:rsidP="006C3CA3">
          <w:pPr>
            <w:pStyle w:val="91"/>
            <w:jc w:val="center"/>
          </w:pPr>
          <w:r>
            <w:rPr>
              <w:rFonts w:hint="eastAsia"/>
            </w:rPr>
            <w:t>母公司</w:t>
          </w:r>
          <w:r>
            <w:t>利润表</w:t>
          </w:r>
        </w:p>
        <w:p w14:paraId="39134A9A" w14:textId="77777777" w:rsidR="00E57DAA" w:rsidRDefault="00AC4185">
          <w:pPr>
            <w:jc w:val="center"/>
            <w:rPr>
              <w:b/>
              <w:bCs/>
              <w:szCs w:val="21"/>
            </w:rPr>
          </w:pPr>
          <w:r>
            <w:rPr>
              <w:szCs w:val="21"/>
            </w:rPr>
            <w:t>2023年</w:t>
          </w:r>
          <w:r>
            <w:rPr>
              <w:rFonts w:hint="eastAsia"/>
              <w:szCs w:val="21"/>
            </w:rPr>
            <w:t>1—</w:t>
          </w:r>
          <w:r>
            <w:rPr>
              <w:szCs w:val="21"/>
            </w:rPr>
            <w:t>12月</w:t>
          </w:r>
        </w:p>
        <w:p w14:paraId="3421C525" w14:textId="77777777" w:rsidR="00E57DAA" w:rsidRDefault="00AC4185">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5532834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514289adafbe4fe995f8f3791e23e392"/>
              <w:id w:val="-13746954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822"/>
            <w:gridCol w:w="1073"/>
            <w:gridCol w:w="1959"/>
            <w:gridCol w:w="1969"/>
          </w:tblGrid>
          <w:tr w:rsidR="00E57DAA" w14:paraId="1025D160" w14:textId="77777777">
            <w:trPr>
              <w:cantSplit/>
            </w:trPr>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1050918201"/>
                </w:sdtPr>
                <w:sdtEndPr/>
                <w:sdtContent>
                  <w:p w14:paraId="0E94F60F" w14:textId="77777777" w:rsidR="00E57DAA" w:rsidRDefault="00AC4185">
                    <w:pPr>
                      <w:ind w:leftChars="-19" w:hangingChars="19" w:hanging="40"/>
                      <w:jc w:val="center"/>
                      <w:rPr>
                        <w:b/>
                      </w:rPr>
                    </w:pPr>
                    <w:r>
                      <w:rPr>
                        <w:rFonts w:hint="eastAsia"/>
                        <w:b/>
                      </w:rPr>
                      <w:t>项目</w:t>
                    </w:r>
                  </w:p>
                </w:sdtContent>
              </w:sdt>
            </w:tc>
            <w:tc>
              <w:tcPr>
                <w:tcW w:w="60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798964314"/>
                </w:sdtPr>
                <w:sdtEndPr/>
                <w:sdtContent>
                  <w:p w14:paraId="03B05A38" w14:textId="77777777" w:rsidR="00E57DAA" w:rsidRDefault="00AC4185">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462197572"/>
                </w:sdtPr>
                <w:sdtEndPr/>
                <w:sdtContent>
                  <w:p w14:paraId="1F81D5BC" w14:textId="77777777" w:rsidR="00E57DAA" w:rsidRDefault="00AC4185">
                    <w:pPr>
                      <w:jc w:val="center"/>
                      <w:rPr>
                        <w:b/>
                      </w:rPr>
                    </w:pPr>
                    <w:r>
                      <w:rPr>
                        <w:rFonts w:hint="eastAsia"/>
                        <w:b/>
                      </w:rPr>
                      <w:t>2023年度</w:t>
                    </w:r>
                  </w:p>
                </w:sdtContent>
              </w:sdt>
            </w:tc>
            <w:tc>
              <w:tcPr>
                <w:tcW w:w="1115"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1162918914"/>
                </w:sdtPr>
                <w:sdtEndPr/>
                <w:sdtContent>
                  <w:p w14:paraId="52F15A66" w14:textId="77777777" w:rsidR="00E57DAA" w:rsidRDefault="00AC4185">
                    <w:pPr>
                      <w:jc w:val="center"/>
                      <w:rPr>
                        <w:b/>
                      </w:rPr>
                    </w:pPr>
                    <w:r>
                      <w:rPr>
                        <w:rFonts w:hint="eastAsia"/>
                        <w:b/>
                      </w:rPr>
                      <w:t>2022年度</w:t>
                    </w:r>
                  </w:p>
                </w:sdtContent>
              </w:sdt>
            </w:tc>
          </w:tr>
          <w:tr w:rsidR="00E57DAA" w14:paraId="269A0769" w14:textId="77777777">
            <w:tc>
              <w:tcPr>
                <w:tcW w:w="2166" w:type="pct"/>
                <w:tcBorders>
                  <w:top w:val="outset" w:sz="4" w:space="0" w:color="auto"/>
                  <w:left w:val="outset" w:sz="4" w:space="0" w:color="auto"/>
                  <w:bottom w:val="outset" w:sz="4" w:space="0" w:color="auto"/>
                  <w:right w:val="outset" w:sz="4" w:space="0" w:color="auto"/>
                </w:tcBorders>
                <w:vAlign w:val="center"/>
              </w:tcPr>
              <w:p w14:paraId="15DE0CF2" w14:textId="77777777" w:rsidR="00E57DAA" w:rsidRDefault="00AC4185">
                <w:pPr>
                  <w:ind w:left="-19"/>
                  <w:rPr>
                    <w:color w:val="000000"/>
                    <w:szCs w:val="21"/>
                  </w:rPr>
                </w:pPr>
                <w:r>
                  <w:rPr>
                    <w:rFonts w:hint="eastAsia"/>
                    <w:szCs w:val="21"/>
                  </w:rPr>
                  <w:t>一、营业收入</w:t>
                </w:r>
              </w:p>
            </w:tc>
            <w:tc>
              <w:tcPr>
                <w:tcW w:w="608" w:type="pct"/>
                <w:tcBorders>
                  <w:top w:val="outset" w:sz="4" w:space="0" w:color="auto"/>
                  <w:left w:val="outset" w:sz="4" w:space="0" w:color="auto"/>
                  <w:bottom w:val="outset" w:sz="4" w:space="0" w:color="auto"/>
                  <w:right w:val="outset" w:sz="4" w:space="0" w:color="auto"/>
                </w:tcBorders>
                <w:vAlign w:val="center"/>
              </w:tcPr>
              <w:p w14:paraId="02A354D1" w14:textId="77777777" w:rsidR="00E57DAA" w:rsidRDefault="00AC4185">
                <w:pPr>
                  <w:rPr>
                    <w:szCs w:val="21"/>
                  </w:rPr>
                </w:pPr>
                <w:r>
                  <w:rPr>
                    <w:rFonts w:hint="eastAsia"/>
                  </w:rPr>
                  <w:t>十九</w:t>
                </w:r>
                <w:r>
                  <w:t>、4</w:t>
                </w:r>
              </w:p>
            </w:tc>
            <w:tc>
              <w:tcPr>
                <w:tcW w:w="1110" w:type="pct"/>
                <w:tcBorders>
                  <w:top w:val="outset" w:sz="4" w:space="0" w:color="auto"/>
                  <w:left w:val="outset" w:sz="4" w:space="0" w:color="auto"/>
                  <w:bottom w:val="outset" w:sz="4" w:space="0" w:color="auto"/>
                  <w:right w:val="outset" w:sz="4" w:space="0" w:color="auto"/>
                </w:tcBorders>
                <w:vAlign w:val="center"/>
              </w:tcPr>
              <w:p w14:paraId="4EF9928B" w14:textId="77777777" w:rsidR="00E57DAA" w:rsidRDefault="00AC4185">
                <w:pPr>
                  <w:jc w:val="right"/>
                  <w:rPr>
                    <w:szCs w:val="21"/>
                  </w:rPr>
                </w:pPr>
                <w:r>
                  <w:t>5,968,593,785.15</w:t>
                </w:r>
              </w:p>
            </w:tc>
            <w:tc>
              <w:tcPr>
                <w:tcW w:w="1115" w:type="pct"/>
                <w:tcBorders>
                  <w:top w:val="outset" w:sz="4" w:space="0" w:color="auto"/>
                  <w:left w:val="outset" w:sz="4" w:space="0" w:color="auto"/>
                  <w:bottom w:val="outset" w:sz="4" w:space="0" w:color="auto"/>
                  <w:right w:val="outset" w:sz="4" w:space="0" w:color="auto"/>
                </w:tcBorders>
                <w:vAlign w:val="center"/>
              </w:tcPr>
              <w:p w14:paraId="5777B650" w14:textId="77777777" w:rsidR="00E57DAA" w:rsidRDefault="00AC4185">
                <w:pPr>
                  <w:jc w:val="right"/>
                  <w:rPr>
                    <w:szCs w:val="21"/>
                  </w:rPr>
                </w:pPr>
                <w:r>
                  <w:t>7,569,385,229.47</w:t>
                </w:r>
              </w:p>
            </w:tc>
          </w:tr>
          <w:tr w:rsidR="00E57DAA" w14:paraId="206CC0A0" w14:textId="77777777">
            <w:tc>
              <w:tcPr>
                <w:tcW w:w="2166" w:type="pct"/>
                <w:tcBorders>
                  <w:top w:val="outset" w:sz="4" w:space="0" w:color="auto"/>
                  <w:left w:val="outset" w:sz="4" w:space="0" w:color="auto"/>
                  <w:bottom w:val="outset" w:sz="4" w:space="0" w:color="auto"/>
                  <w:right w:val="outset" w:sz="4" w:space="0" w:color="auto"/>
                </w:tcBorders>
                <w:vAlign w:val="center"/>
              </w:tcPr>
              <w:p w14:paraId="7E1B13A5" w14:textId="77777777" w:rsidR="00E57DAA" w:rsidRDefault="00AC4185">
                <w:pPr>
                  <w:ind w:firstLineChars="100" w:firstLine="210"/>
                  <w:rPr>
                    <w:color w:val="000000"/>
                    <w:szCs w:val="21"/>
                  </w:rPr>
                </w:pPr>
                <w:r>
                  <w:rPr>
                    <w:rFonts w:hint="eastAsia"/>
                    <w:szCs w:val="21"/>
                  </w:rPr>
                  <w:t>减：营业成本</w:t>
                </w:r>
              </w:p>
            </w:tc>
            <w:tc>
              <w:tcPr>
                <w:tcW w:w="608" w:type="pct"/>
                <w:tcBorders>
                  <w:top w:val="outset" w:sz="4" w:space="0" w:color="auto"/>
                  <w:left w:val="outset" w:sz="4" w:space="0" w:color="auto"/>
                  <w:bottom w:val="outset" w:sz="4" w:space="0" w:color="auto"/>
                  <w:right w:val="outset" w:sz="4" w:space="0" w:color="auto"/>
                </w:tcBorders>
                <w:vAlign w:val="center"/>
              </w:tcPr>
              <w:p w14:paraId="6FCD8C3C" w14:textId="77777777" w:rsidR="00E57DAA" w:rsidRDefault="00AC4185">
                <w:pPr>
                  <w:rPr>
                    <w:szCs w:val="21"/>
                  </w:rPr>
                </w:pPr>
                <w:r>
                  <w:rPr>
                    <w:rFonts w:hint="eastAsia"/>
                  </w:rPr>
                  <w:t>十九</w:t>
                </w:r>
                <w:r>
                  <w:t>、4</w:t>
                </w:r>
              </w:p>
            </w:tc>
            <w:tc>
              <w:tcPr>
                <w:tcW w:w="1110" w:type="pct"/>
                <w:tcBorders>
                  <w:top w:val="outset" w:sz="4" w:space="0" w:color="auto"/>
                  <w:left w:val="outset" w:sz="4" w:space="0" w:color="auto"/>
                  <w:bottom w:val="outset" w:sz="4" w:space="0" w:color="auto"/>
                  <w:right w:val="outset" w:sz="4" w:space="0" w:color="auto"/>
                </w:tcBorders>
                <w:vAlign w:val="center"/>
              </w:tcPr>
              <w:p w14:paraId="3B89DE32" w14:textId="77777777" w:rsidR="00E57DAA" w:rsidRDefault="00AC4185">
                <w:pPr>
                  <w:jc w:val="right"/>
                  <w:rPr>
                    <w:szCs w:val="21"/>
                  </w:rPr>
                </w:pPr>
                <w:r>
                  <w:t>5,090,954,790.42</w:t>
                </w:r>
              </w:p>
            </w:tc>
            <w:tc>
              <w:tcPr>
                <w:tcW w:w="1115" w:type="pct"/>
                <w:tcBorders>
                  <w:top w:val="outset" w:sz="4" w:space="0" w:color="auto"/>
                  <w:left w:val="outset" w:sz="4" w:space="0" w:color="auto"/>
                  <w:bottom w:val="outset" w:sz="4" w:space="0" w:color="auto"/>
                  <w:right w:val="outset" w:sz="4" w:space="0" w:color="auto"/>
                </w:tcBorders>
                <w:vAlign w:val="center"/>
              </w:tcPr>
              <w:p w14:paraId="331DFC81" w14:textId="77777777" w:rsidR="00E57DAA" w:rsidRDefault="00AC4185">
                <w:pPr>
                  <w:jc w:val="right"/>
                  <w:rPr>
                    <w:szCs w:val="21"/>
                  </w:rPr>
                </w:pPr>
                <w:r>
                  <w:t>6,910,364,035.04</w:t>
                </w:r>
              </w:p>
            </w:tc>
          </w:tr>
          <w:tr w:rsidR="00E57DAA" w14:paraId="2D07A341" w14:textId="77777777">
            <w:tc>
              <w:tcPr>
                <w:tcW w:w="2166" w:type="pct"/>
                <w:tcBorders>
                  <w:top w:val="outset" w:sz="4" w:space="0" w:color="auto"/>
                  <w:left w:val="outset" w:sz="4" w:space="0" w:color="auto"/>
                  <w:bottom w:val="outset" w:sz="4" w:space="0" w:color="auto"/>
                  <w:right w:val="outset" w:sz="4" w:space="0" w:color="auto"/>
                </w:tcBorders>
                <w:vAlign w:val="center"/>
              </w:tcPr>
              <w:p w14:paraId="072672D9" w14:textId="77777777" w:rsidR="00E57DAA" w:rsidRDefault="00AC4185">
                <w:pPr>
                  <w:ind w:firstLineChars="300" w:firstLine="630"/>
                  <w:rPr>
                    <w:szCs w:val="21"/>
                  </w:rPr>
                </w:pPr>
                <w:r>
                  <w:rPr>
                    <w:rFonts w:hint="eastAsia"/>
                    <w:szCs w:val="21"/>
                  </w:rPr>
                  <w:t>税金及附加</w:t>
                </w:r>
              </w:p>
            </w:tc>
            <w:tc>
              <w:tcPr>
                <w:tcW w:w="608" w:type="pct"/>
                <w:tcBorders>
                  <w:top w:val="outset" w:sz="4" w:space="0" w:color="auto"/>
                  <w:left w:val="outset" w:sz="4" w:space="0" w:color="auto"/>
                  <w:bottom w:val="outset" w:sz="4" w:space="0" w:color="auto"/>
                  <w:right w:val="outset" w:sz="4" w:space="0" w:color="auto"/>
                </w:tcBorders>
                <w:vAlign w:val="center"/>
              </w:tcPr>
              <w:p w14:paraId="6910B590"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1124122" w14:textId="77777777" w:rsidR="00E57DAA" w:rsidRDefault="00AC4185">
                <w:pPr>
                  <w:jc w:val="right"/>
                  <w:rPr>
                    <w:szCs w:val="21"/>
                  </w:rPr>
                </w:pPr>
                <w:r>
                  <w:t>20,670,302.61</w:t>
                </w:r>
              </w:p>
            </w:tc>
            <w:tc>
              <w:tcPr>
                <w:tcW w:w="1115" w:type="pct"/>
                <w:tcBorders>
                  <w:top w:val="outset" w:sz="4" w:space="0" w:color="auto"/>
                  <w:left w:val="outset" w:sz="4" w:space="0" w:color="auto"/>
                  <w:bottom w:val="outset" w:sz="4" w:space="0" w:color="auto"/>
                  <w:right w:val="outset" w:sz="4" w:space="0" w:color="auto"/>
                </w:tcBorders>
                <w:vAlign w:val="center"/>
              </w:tcPr>
              <w:p w14:paraId="74599DCC" w14:textId="77777777" w:rsidR="00E57DAA" w:rsidRDefault="00AC4185">
                <w:pPr>
                  <w:jc w:val="right"/>
                  <w:rPr>
                    <w:szCs w:val="21"/>
                  </w:rPr>
                </w:pPr>
                <w:r>
                  <w:t>10,888,876.95</w:t>
                </w:r>
              </w:p>
            </w:tc>
          </w:tr>
          <w:tr w:rsidR="00E57DAA" w14:paraId="04CE0986" w14:textId="77777777">
            <w:tc>
              <w:tcPr>
                <w:tcW w:w="2166" w:type="pct"/>
                <w:tcBorders>
                  <w:top w:val="outset" w:sz="4" w:space="0" w:color="auto"/>
                  <w:left w:val="outset" w:sz="4" w:space="0" w:color="auto"/>
                  <w:bottom w:val="outset" w:sz="4" w:space="0" w:color="auto"/>
                  <w:right w:val="outset" w:sz="4" w:space="0" w:color="auto"/>
                </w:tcBorders>
                <w:vAlign w:val="center"/>
              </w:tcPr>
              <w:p w14:paraId="190ED01A" w14:textId="77777777" w:rsidR="00E57DAA" w:rsidRDefault="00AC4185">
                <w:pPr>
                  <w:ind w:firstLineChars="300" w:firstLine="630"/>
                  <w:rPr>
                    <w:szCs w:val="21"/>
                  </w:rPr>
                </w:pPr>
                <w:r>
                  <w:rPr>
                    <w:rFonts w:hint="eastAsia"/>
                    <w:szCs w:val="21"/>
                  </w:rPr>
                  <w:t>销售费用</w:t>
                </w:r>
              </w:p>
            </w:tc>
            <w:tc>
              <w:tcPr>
                <w:tcW w:w="608" w:type="pct"/>
                <w:tcBorders>
                  <w:top w:val="outset" w:sz="4" w:space="0" w:color="auto"/>
                  <w:left w:val="outset" w:sz="4" w:space="0" w:color="auto"/>
                  <w:bottom w:val="outset" w:sz="4" w:space="0" w:color="auto"/>
                  <w:right w:val="outset" w:sz="4" w:space="0" w:color="auto"/>
                </w:tcBorders>
                <w:vAlign w:val="center"/>
              </w:tcPr>
              <w:p w14:paraId="685246F7"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779638C" w14:textId="77777777" w:rsidR="00E57DAA" w:rsidRDefault="00AC4185">
                <w:pPr>
                  <w:jc w:val="right"/>
                  <w:rPr>
                    <w:szCs w:val="21"/>
                  </w:rPr>
                </w:pPr>
                <w:r>
                  <w:t>91,655,528.37</w:t>
                </w:r>
              </w:p>
            </w:tc>
            <w:tc>
              <w:tcPr>
                <w:tcW w:w="1115" w:type="pct"/>
                <w:tcBorders>
                  <w:top w:val="outset" w:sz="4" w:space="0" w:color="auto"/>
                  <w:left w:val="outset" w:sz="4" w:space="0" w:color="auto"/>
                  <w:bottom w:val="outset" w:sz="4" w:space="0" w:color="auto"/>
                  <w:right w:val="outset" w:sz="4" w:space="0" w:color="auto"/>
                </w:tcBorders>
                <w:vAlign w:val="center"/>
              </w:tcPr>
              <w:p w14:paraId="46ECC854" w14:textId="77777777" w:rsidR="00E57DAA" w:rsidRDefault="00AC4185">
                <w:pPr>
                  <w:jc w:val="right"/>
                  <w:rPr>
                    <w:szCs w:val="21"/>
                  </w:rPr>
                </w:pPr>
                <w:r>
                  <w:t>100,652,007.23</w:t>
                </w:r>
              </w:p>
            </w:tc>
          </w:tr>
          <w:tr w:rsidR="00E57DAA" w14:paraId="4216DF89" w14:textId="77777777">
            <w:tc>
              <w:tcPr>
                <w:tcW w:w="2166" w:type="pct"/>
                <w:tcBorders>
                  <w:top w:val="outset" w:sz="4" w:space="0" w:color="auto"/>
                  <w:left w:val="outset" w:sz="4" w:space="0" w:color="auto"/>
                  <w:bottom w:val="outset" w:sz="4" w:space="0" w:color="auto"/>
                  <w:right w:val="outset" w:sz="4" w:space="0" w:color="auto"/>
                </w:tcBorders>
                <w:vAlign w:val="center"/>
              </w:tcPr>
              <w:p w14:paraId="6F500656" w14:textId="77777777" w:rsidR="00E57DAA" w:rsidRDefault="00AC4185">
                <w:pPr>
                  <w:ind w:firstLineChars="300" w:firstLine="630"/>
                  <w:rPr>
                    <w:szCs w:val="21"/>
                  </w:rPr>
                </w:pPr>
                <w:r>
                  <w:rPr>
                    <w:rFonts w:hint="eastAsia"/>
                    <w:szCs w:val="21"/>
                  </w:rPr>
                  <w:t>管理费用</w:t>
                </w:r>
              </w:p>
            </w:tc>
            <w:tc>
              <w:tcPr>
                <w:tcW w:w="608" w:type="pct"/>
                <w:tcBorders>
                  <w:top w:val="outset" w:sz="4" w:space="0" w:color="auto"/>
                  <w:left w:val="outset" w:sz="4" w:space="0" w:color="auto"/>
                  <w:bottom w:val="outset" w:sz="4" w:space="0" w:color="auto"/>
                  <w:right w:val="outset" w:sz="4" w:space="0" w:color="auto"/>
                </w:tcBorders>
                <w:vAlign w:val="center"/>
              </w:tcPr>
              <w:p w14:paraId="6C0FF4F8"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B35C54E" w14:textId="77777777" w:rsidR="00E57DAA" w:rsidRDefault="00AC4185">
                <w:pPr>
                  <w:jc w:val="right"/>
                  <w:rPr>
                    <w:szCs w:val="21"/>
                  </w:rPr>
                </w:pPr>
                <w:r>
                  <w:t>314,731,758.64</w:t>
                </w:r>
              </w:p>
            </w:tc>
            <w:tc>
              <w:tcPr>
                <w:tcW w:w="1115" w:type="pct"/>
                <w:tcBorders>
                  <w:top w:val="outset" w:sz="4" w:space="0" w:color="auto"/>
                  <w:left w:val="outset" w:sz="4" w:space="0" w:color="auto"/>
                  <w:bottom w:val="outset" w:sz="4" w:space="0" w:color="auto"/>
                  <w:right w:val="outset" w:sz="4" w:space="0" w:color="auto"/>
                </w:tcBorders>
                <w:vAlign w:val="center"/>
              </w:tcPr>
              <w:p w14:paraId="18DF1AE1" w14:textId="77777777" w:rsidR="00E57DAA" w:rsidRDefault="00AC4185">
                <w:pPr>
                  <w:jc w:val="right"/>
                  <w:rPr>
                    <w:szCs w:val="21"/>
                  </w:rPr>
                </w:pPr>
                <w:r>
                  <w:t>267,419,145.51</w:t>
                </w:r>
              </w:p>
            </w:tc>
          </w:tr>
          <w:tr w:rsidR="00E57DAA" w14:paraId="7131B751" w14:textId="77777777">
            <w:tc>
              <w:tcPr>
                <w:tcW w:w="2166" w:type="pct"/>
                <w:tcBorders>
                  <w:top w:val="outset" w:sz="4" w:space="0" w:color="auto"/>
                  <w:left w:val="outset" w:sz="4" w:space="0" w:color="auto"/>
                  <w:bottom w:val="outset" w:sz="4" w:space="0" w:color="auto"/>
                  <w:right w:val="outset" w:sz="4" w:space="0" w:color="auto"/>
                </w:tcBorders>
                <w:vAlign w:val="center"/>
              </w:tcPr>
              <w:p w14:paraId="028A74A6" w14:textId="77777777" w:rsidR="00E57DAA" w:rsidRDefault="00AC4185">
                <w:pPr>
                  <w:ind w:firstLineChars="300" w:firstLine="630"/>
                </w:pPr>
                <w:r>
                  <w:rPr>
                    <w:rFonts w:hint="eastAsia"/>
                  </w:rPr>
                  <w:t>研发费用</w:t>
                </w:r>
              </w:p>
            </w:tc>
            <w:tc>
              <w:tcPr>
                <w:tcW w:w="608" w:type="pct"/>
                <w:tcBorders>
                  <w:top w:val="outset" w:sz="4" w:space="0" w:color="auto"/>
                  <w:left w:val="outset" w:sz="4" w:space="0" w:color="auto"/>
                  <w:bottom w:val="outset" w:sz="4" w:space="0" w:color="auto"/>
                  <w:right w:val="outset" w:sz="4" w:space="0" w:color="auto"/>
                </w:tcBorders>
                <w:vAlign w:val="center"/>
              </w:tcPr>
              <w:p w14:paraId="14A9AAAC"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C053BF6" w14:textId="77777777" w:rsidR="00E57DAA" w:rsidRDefault="00AC4185">
                <w:pPr>
                  <w:jc w:val="right"/>
                  <w:rPr>
                    <w:szCs w:val="21"/>
                  </w:rPr>
                </w:pPr>
                <w:r>
                  <w:t>187,520,575.19</w:t>
                </w:r>
              </w:p>
            </w:tc>
            <w:tc>
              <w:tcPr>
                <w:tcW w:w="1115" w:type="pct"/>
                <w:tcBorders>
                  <w:top w:val="outset" w:sz="4" w:space="0" w:color="auto"/>
                  <w:left w:val="outset" w:sz="4" w:space="0" w:color="auto"/>
                  <w:bottom w:val="outset" w:sz="4" w:space="0" w:color="auto"/>
                  <w:right w:val="outset" w:sz="4" w:space="0" w:color="auto"/>
                </w:tcBorders>
                <w:vAlign w:val="center"/>
              </w:tcPr>
              <w:p w14:paraId="7FDA350A" w14:textId="77777777" w:rsidR="00E57DAA" w:rsidRDefault="00AC4185">
                <w:pPr>
                  <w:jc w:val="right"/>
                  <w:rPr>
                    <w:szCs w:val="21"/>
                  </w:rPr>
                </w:pPr>
                <w:r>
                  <w:t>162,001,552.30</w:t>
                </w:r>
              </w:p>
            </w:tc>
          </w:tr>
          <w:tr w:rsidR="00E57DAA" w14:paraId="320DC235" w14:textId="77777777">
            <w:tc>
              <w:tcPr>
                <w:tcW w:w="2166" w:type="pct"/>
                <w:tcBorders>
                  <w:top w:val="outset" w:sz="4" w:space="0" w:color="auto"/>
                  <w:left w:val="outset" w:sz="4" w:space="0" w:color="auto"/>
                  <w:bottom w:val="outset" w:sz="4" w:space="0" w:color="auto"/>
                  <w:right w:val="outset" w:sz="4" w:space="0" w:color="auto"/>
                </w:tcBorders>
                <w:vAlign w:val="center"/>
              </w:tcPr>
              <w:p w14:paraId="1B5293D7" w14:textId="77777777" w:rsidR="00E57DAA" w:rsidRDefault="00AC4185">
                <w:pPr>
                  <w:ind w:firstLineChars="300" w:firstLine="630"/>
                  <w:rPr>
                    <w:szCs w:val="21"/>
                  </w:rPr>
                </w:pPr>
                <w:r>
                  <w:rPr>
                    <w:rFonts w:hint="eastAsia"/>
                    <w:szCs w:val="21"/>
                  </w:rPr>
                  <w:t>财务费用</w:t>
                </w:r>
              </w:p>
            </w:tc>
            <w:tc>
              <w:tcPr>
                <w:tcW w:w="608" w:type="pct"/>
                <w:tcBorders>
                  <w:top w:val="outset" w:sz="4" w:space="0" w:color="auto"/>
                  <w:left w:val="outset" w:sz="4" w:space="0" w:color="auto"/>
                  <w:bottom w:val="outset" w:sz="4" w:space="0" w:color="auto"/>
                  <w:right w:val="outset" w:sz="4" w:space="0" w:color="auto"/>
                </w:tcBorders>
                <w:vAlign w:val="center"/>
              </w:tcPr>
              <w:p w14:paraId="49FE6ADC"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05645E6" w14:textId="77777777" w:rsidR="00E57DAA" w:rsidRDefault="00AC4185">
                <w:pPr>
                  <w:jc w:val="right"/>
                  <w:rPr>
                    <w:szCs w:val="21"/>
                  </w:rPr>
                </w:pPr>
                <w:r>
                  <w:t>203,261,056.30</w:t>
                </w:r>
              </w:p>
            </w:tc>
            <w:tc>
              <w:tcPr>
                <w:tcW w:w="1115" w:type="pct"/>
                <w:tcBorders>
                  <w:top w:val="outset" w:sz="4" w:space="0" w:color="auto"/>
                  <w:left w:val="outset" w:sz="4" w:space="0" w:color="auto"/>
                  <w:bottom w:val="outset" w:sz="4" w:space="0" w:color="auto"/>
                  <w:right w:val="outset" w:sz="4" w:space="0" w:color="auto"/>
                </w:tcBorders>
                <w:vAlign w:val="center"/>
              </w:tcPr>
              <w:p w14:paraId="48C46970" w14:textId="77777777" w:rsidR="00E57DAA" w:rsidRDefault="00AC4185">
                <w:pPr>
                  <w:jc w:val="right"/>
                  <w:rPr>
                    <w:szCs w:val="21"/>
                  </w:rPr>
                </w:pPr>
                <w:r>
                  <w:t>66,420,799.10</w:t>
                </w:r>
              </w:p>
            </w:tc>
          </w:tr>
          <w:tr w:rsidR="00E57DAA" w14:paraId="230A42A1" w14:textId="77777777">
            <w:tc>
              <w:tcPr>
                <w:tcW w:w="2166" w:type="pct"/>
                <w:tcBorders>
                  <w:top w:val="outset" w:sz="4" w:space="0" w:color="auto"/>
                  <w:left w:val="outset" w:sz="4" w:space="0" w:color="auto"/>
                  <w:bottom w:val="outset" w:sz="4" w:space="0" w:color="auto"/>
                  <w:right w:val="outset" w:sz="4" w:space="0" w:color="auto"/>
                </w:tcBorders>
                <w:vAlign w:val="center"/>
              </w:tcPr>
              <w:p w14:paraId="54E040E5" w14:textId="77777777" w:rsidR="00E57DAA" w:rsidRDefault="00AC4185">
                <w:pPr>
                  <w:ind w:firstLineChars="300" w:firstLine="630"/>
                </w:pPr>
                <w:r>
                  <w:rPr>
                    <w:rFonts w:hint="eastAsia"/>
                  </w:rPr>
                  <w:t>其中：利息费用</w:t>
                </w:r>
              </w:p>
            </w:tc>
            <w:tc>
              <w:tcPr>
                <w:tcW w:w="608" w:type="pct"/>
                <w:tcBorders>
                  <w:top w:val="outset" w:sz="4" w:space="0" w:color="auto"/>
                  <w:left w:val="outset" w:sz="4" w:space="0" w:color="auto"/>
                  <w:bottom w:val="outset" w:sz="4" w:space="0" w:color="auto"/>
                  <w:right w:val="outset" w:sz="4" w:space="0" w:color="auto"/>
                </w:tcBorders>
                <w:vAlign w:val="center"/>
              </w:tcPr>
              <w:p w14:paraId="3A2682A2"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26E5AD6" w14:textId="77777777" w:rsidR="00E57DAA" w:rsidRDefault="00AC4185">
                <w:pPr>
                  <w:jc w:val="right"/>
                  <w:rPr>
                    <w:szCs w:val="21"/>
                  </w:rPr>
                </w:pPr>
                <w:r>
                  <w:t>162,681,969.58</w:t>
                </w:r>
              </w:p>
            </w:tc>
            <w:tc>
              <w:tcPr>
                <w:tcW w:w="1115" w:type="pct"/>
                <w:tcBorders>
                  <w:top w:val="outset" w:sz="4" w:space="0" w:color="auto"/>
                  <w:left w:val="outset" w:sz="4" w:space="0" w:color="auto"/>
                  <w:bottom w:val="outset" w:sz="4" w:space="0" w:color="auto"/>
                  <w:right w:val="outset" w:sz="4" w:space="0" w:color="auto"/>
                </w:tcBorders>
                <w:vAlign w:val="center"/>
              </w:tcPr>
              <w:p w14:paraId="0E9FC9B8" w14:textId="77777777" w:rsidR="00E57DAA" w:rsidRDefault="00AC4185">
                <w:pPr>
                  <w:jc w:val="right"/>
                  <w:rPr>
                    <w:szCs w:val="21"/>
                  </w:rPr>
                </w:pPr>
                <w:r>
                  <w:t>115,278,369.72</w:t>
                </w:r>
              </w:p>
            </w:tc>
          </w:tr>
          <w:tr w:rsidR="00E57DAA" w14:paraId="129996D9" w14:textId="77777777">
            <w:tc>
              <w:tcPr>
                <w:tcW w:w="2166" w:type="pct"/>
                <w:tcBorders>
                  <w:top w:val="outset" w:sz="4" w:space="0" w:color="auto"/>
                  <w:left w:val="outset" w:sz="4" w:space="0" w:color="auto"/>
                  <w:bottom w:val="outset" w:sz="4" w:space="0" w:color="auto"/>
                  <w:right w:val="outset" w:sz="4" w:space="0" w:color="auto"/>
                </w:tcBorders>
                <w:vAlign w:val="center"/>
              </w:tcPr>
              <w:p w14:paraId="5BAAE976" w14:textId="77777777" w:rsidR="00E57DAA" w:rsidRDefault="00AC4185">
                <w:pPr>
                  <w:ind w:firstLineChars="600" w:firstLine="1260"/>
                </w:pPr>
                <w:r>
                  <w:rPr>
                    <w:rFonts w:hint="eastAsia"/>
                  </w:rPr>
                  <w:t>利息收入</w:t>
                </w:r>
              </w:p>
            </w:tc>
            <w:tc>
              <w:tcPr>
                <w:tcW w:w="608" w:type="pct"/>
                <w:tcBorders>
                  <w:top w:val="outset" w:sz="4" w:space="0" w:color="auto"/>
                  <w:left w:val="outset" w:sz="4" w:space="0" w:color="auto"/>
                  <w:bottom w:val="outset" w:sz="4" w:space="0" w:color="auto"/>
                  <w:right w:val="outset" w:sz="4" w:space="0" w:color="auto"/>
                </w:tcBorders>
                <w:vAlign w:val="center"/>
              </w:tcPr>
              <w:p w14:paraId="46CB3EF1"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E3A6CAD" w14:textId="77777777" w:rsidR="00E57DAA" w:rsidRDefault="00AC4185">
                <w:pPr>
                  <w:jc w:val="right"/>
                  <w:rPr>
                    <w:szCs w:val="21"/>
                  </w:rPr>
                </w:pPr>
                <w:r>
                  <w:t>93,017,403.90</w:t>
                </w:r>
              </w:p>
            </w:tc>
            <w:tc>
              <w:tcPr>
                <w:tcW w:w="1115" w:type="pct"/>
                <w:tcBorders>
                  <w:top w:val="outset" w:sz="4" w:space="0" w:color="auto"/>
                  <w:left w:val="outset" w:sz="4" w:space="0" w:color="auto"/>
                  <w:bottom w:val="outset" w:sz="4" w:space="0" w:color="auto"/>
                  <w:right w:val="outset" w:sz="4" w:space="0" w:color="auto"/>
                </w:tcBorders>
                <w:vAlign w:val="center"/>
              </w:tcPr>
              <w:p w14:paraId="226833D7" w14:textId="77777777" w:rsidR="00E57DAA" w:rsidRDefault="00AC4185">
                <w:pPr>
                  <w:jc w:val="right"/>
                  <w:rPr>
                    <w:szCs w:val="21"/>
                  </w:rPr>
                </w:pPr>
                <w:r>
                  <w:t>74,647,357.20</w:t>
                </w:r>
              </w:p>
            </w:tc>
          </w:tr>
          <w:tr w:rsidR="00E57DAA" w14:paraId="5D2CF3A9" w14:textId="77777777">
            <w:tc>
              <w:tcPr>
                <w:tcW w:w="2166" w:type="pct"/>
                <w:tcBorders>
                  <w:top w:val="outset" w:sz="4" w:space="0" w:color="auto"/>
                  <w:left w:val="outset" w:sz="4" w:space="0" w:color="auto"/>
                  <w:bottom w:val="outset" w:sz="4" w:space="0" w:color="auto"/>
                  <w:right w:val="outset" w:sz="4" w:space="0" w:color="auto"/>
                </w:tcBorders>
                <w:vAlign w:val="center"/>
              </w:tcPr>
              <w:p w14:paraId="293CD135" w14:textId="77777777" w:rsidR="00E57DAA" w:rsidRDefault="00AC4185">
                <w:pPr>
                  <w:ind w:firstLineChars="100" w:firstLine="210"/>
                  <w:rPr>
                    <w:szCs w:val="21"/>
                  </w:rPr>
                </w:pPr>
                <w:r>
                  <w:rPr>
                    <w:rFonts w:hint="eastAsia"/>
                  </w:rPr>
                  <w:t>加：</w:t>
                </w:r>
                <w:r>
                  <w:rPr>
                    <w:rFonts w:hint="eastAsia"/>
                    <w:szCs w:val="21"/>
                  </w:rPr>
                  <w:t>其他收益</w:t>
                </w:r>
              </w:p>
            </w:tc>
            <w:tc>
              <w:tcPr>
                <w:tcW w:w="608" w:type="pct"/>
                <w:tcBorders>
                  <w:top w:val="outset" w:sz="4" w:space="0" w:color="auto"/>
                  <w:left w:val="outset" w:sz="4" w:space="0" w:color="auto"/>
                  <w:bottom w:val="outset" w:sz="4" w:space="0" w:color="auto"/>
                  <w:right w:val="outset" w:sz="4" w:space="0" w:color="auto"/>
                </w:tcBorders>
                <w:vAlign w:val="center"/>
              </w:tcPr>
              <w:p w14:paraId="1D32B7F2"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DC782A6" w14:textId="77777777" w:rsidR="00E57DAA" w:rsidRDefault="00AC4185">
                <w:pPr>
                  <w:jc w:val="right"/>
                  <w:rPr>
                    <w:szCs w:val="21"/>
                  </w:rPr>
                </w:pPr>
                <w:r>
                  <w:t>16,754,093.91</w:t>
                </w:r>
              </w:p>
            </w:tc>
            <w:tc>
              <w:tcPr>
                <w:tcW w:w="1115" w:type="pct"/>
                <w:tcBorders>
                  <w:top w:val="outset" w:sz="4" w:space="0" w:color="auto"/>
                  <w:left w:val="outset" w:sz="4" w:space="0" w:color="auto"/>
                  <w:bottom w:val="outset" w:sz="4" w:space="0" w:color="auto"/>
                  <w:right w:val="outset" w:sz="4" w:space="0" w:color="auto"/>
                </w:tcBorders>
                <w:vAlign w:val="center"/>
              </w:tcPr>
              <w:p w14:paraId="29EBFBF0" w14:textId="77777777" w:rsidR="00E57DAA" w:rsidRDefault="00AC4185">
                <w:pPr>
                  <w:jc w:val="right"/>
                  <w:rPr>
                    <w:szCs w:val="21"/>
                  </w:rPr>
                </w:pPr>
                <w:r>
                  <w:t>6,159,579.19</w:t>
                </w:r>
              </w:p>
            </w:tc>
          </w:tr>
          <w:tr w:rsidR="00E57DAA" w14:paraId="4DE2FFEC" w14:textId="77777777">
            <w:tc>
              <w:tcPr>
                <w:tcW w:w="2166" w:type="pct"/>
                <w:tcBorders>
                  <w:top w:val="outset" w:sz="4" w:space="0" w:color="auto"/>
                  <w:left w:val="outset" w:sz="4" w:space="0" w:color="auto"/>
                  <w:bottom w:val="outset" w:sz="4" w:space="0" w:color="auto"/>
                  <w:right w:val="outset" w:sz="4" w:space="0" w:color="auto"/>
                </w:tcBorders>
                <w:vAlign w:val="center"/>
              </w:tcPr>
              <w:p w14:paraId="208C938E" w14:textId="77777777" w:rsidR="00E57DAA" w:rsidRDefault="00AC4185">
                <w:pPr>
                  <w:ind w:firstLineChars="300" w:firstLine="630"/>
                  <w:rPr>
                    <w:szCs w:val="21"/>
                  </w:rPr>
                </w:pPr>
                <w:r>
                  <w:rPr>
                    <w:rFonts w:hint="eastAsia"/>
                    <w:szCs w:val="21"/>
                  </w:rPr>
                  <w:t>投资收益（损失以“－”号填列）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4C057D69" w14:textId="77777777" w:rsidR="00E57DAA" w:rsidRDefault="00AC4185">
                <w:pPr>
                  <w:rPr>
                    <w:szCs w:val="21"/>
                  </w:rPr>
                </w:pPr>
                <w:r>
                  <w:rPr>
                    <w:rFonts w:hint="eastAsia"/>
                  </w:rPr>
                  <w:t>十九</w:t>
                </w:r>
                <w:r>
                  <w:t>、5</w:t>
                </w:r>
              </w:p>
            </w:tc>
            <w:tc>
              <w:tcPr>
                <w:tcW w:w="1110" w:type="pct"/>
                <w:tcBorders>
                  <w:top w:val="outset" w:sz="4" w:space="0" w:color="auto"/>
                  <w:left w:val="outset" w:sz="4" w:space="0" w:color="auto"/>
                  <w:bottom w:val="outset" w:sz="4" w:space="0" w:color="auto"/>
                  <w:right w:val="outset" w:sz="4" w:space="0" w:color="auto"/>
                </w:tcBorders>
                <w:vAlign w:val="center"/>
              </w:tcPr>
              <w:p w14:paraId="09A90249" w14:textId="77777777" w:rsidR="00E57DAA" w:rsidRDefault="00AC4185">
                <w:pPr>
                  <w:jc w:val="right"/>
                  <w:rPr>
                    <w:szCs w:val="21"/>
                  </w:rPr>
                </w:pPr>
                <w:r>
                  <w:t>871,103,690.48</w:t>
                </w:r>
              </w:p>
            </w:tc>
            <w:tc>
              <w:tcPr>
                <w:tcW w:w="1115" w:type="pct"/>
                <w:tcBorders>
                  <w:top w:val="outset" w:sz="4" w:space="0" w:color="auto"/>
                  <w:left w:val="outset" w:sz="4" w:space="0" w:color="auto"/>
                  <w:bottom w:val="outset" w:sz="4" w:space="0" w:color="auto"/>
                  <w:right w:val="outset" w:sz="4" w:space="0" w:color="auto"/>
                </w:tcBorders>
                <w:vAlign w:val="center"/>
              </w:tcPr>
              <w:p w14:paraId="33C95588" w14:textId="77777777" w:rsidR="00E57DAA" w:rsidRDefault="00AC4185">
                <w:pPr>
                  <w:jc w:val="right"/>
                  <w:rPr>
                    <w:szCs w:val="21"/>
                  </w:rPr>
                </w:pPr>
                <w:r>
                  <w:t>447,753,194.17</w:t>
                </w:r>
              </w:p>
            </w:tc>
          </w:tr>
          <w:tr w:rsidR="00E57DAA" w14:paraId="0C2E94B3" w14:textId="77777777">
            <w:tc>
              <w:tcPr>
                <w:tcW w:w="2166" w:type="pct"/>
                <w:tcBorders>
                  <w:top w:val="outset" w:sz="4" w:space="0" w:color="auto"/>
                  <w:left w:val="outset" w:sz="4" w:space="0" w:color="auto"/>
                  <w:bottom w:val="outset" w:sz="4" w:space="0" w:color="auto"/>
                  <w:right w:val="outset" w:sz="4" w:space="0" w:color="auto"/>
                </w:tcBorders>
                <w:vAlign w:val="center"/>
              </w:tcPr>
              <w:p w14:paraId="1880DF72" w14:textId="77777777" w:rsidR="00E57DAA" w:rsidRDefault="00AC4185">
                <w:pPr>
                  <w:ind w:firstLineChars="300" w:firstLine="630"/>
                  <w:rPr>
                    <w:szCs w:val="21"/>
                  </w:rPr>
                </w:pPr>
                <w:r>
                  <w:rPr>
                    <w:rFonts w:hint="eastAsia"/>
                    <w:szCs w:val="21"/>
                  </w:rPr>
                  <w:t>其中：对联营企业和合营企业的投资收益</w:t>
                </w:r>
              </w:p>
            </w:tc>
            <w:tc>
              <w:tcPr>
                <w:tcW w:w="608" w:type="pct"/>
                <w:tcBorders>
                  <w:top w:val="outset" w:sz="4" w:space="0" w:color="auto"/>
                  <w:left w:val="outset" w:sz="4" w:space="0" w:color="auto"/>
                  <w:bottom w:val="outset" w:sz="4" w:space="0" w:color="auto"/>
                  <w:right w:val="outset" w:sz="4" w:space="0" w:color="auto"/>
                </w:tcBorders>
                <w:vAlign w:val="center"/>
              </w:tcPr>
              <w:p w14:paraId="2308E2AC"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6EC9430" w14:textId="77777777" w:rsidR="00E57DAA" w:rsidRDefault="00AC4185">
                <w:pPr>
                  <w:jc w:val="right"/>
                  <w:rPr>
                    <w:szCs w:val="21"/>
                  </w:rPr>
                </w:pPr>
                <w:r>
                  <w:t>-13,581,343.30</w:t>
                </w:r>
              </w:p>
            </w:tc>
            <w:tc>
              <w:tcPr>
                <w:tcW w:w="1115" w:type="pct"/>
                <w:tcBorders>
                  <w:top w:val="outset" w:sz="4" w:space="0" w:color="auto"/>
                  <w:left w:val="outset" w:sz="4" w:space="0" w:color="auto"/>
                  <w:bottom w:val="outset" w:sz="4" w:space="0" w:color="auto"/>
                  <w:right w:val="outset" w:sz="4" w:space="0" w:color="auto"/>
                </w:tcBorders>
                <w:vAlign w:val="center"/>
              </w:tcPr>
              <w:p w14:paraId="5CFDB5A6" w14:textId="77777777" w:rsidR="00E57DAA" w:rsidRDefault="00AC4185">
                <w:pPr>
                  <w:jc w:val="right"/>
                  <w:rPr>
                    <w:szCs w:val="21"/>
                  </w:rPr>
                </w:pPr>
                <w:r>
                  <w:t>-15,459,743.78</w:t>
                </w:r>
              </w:p>
            </w:tc>
          </w:tr>
          <w:tr w:rsidR="00E57DAA" w14:paraId="2BBD1523" w14:textId="77777777">
            <w:tc>
              <w:tcPr>
                <w:tcW w:w="2166" w:type="pct"/>
                <w:tcBorders>
                  <w:top w:val="outset" w:sz="4" w:space="0" w:color="auto"/>
                  <w:left w:val="outset" w:sz="4" w:space="0" w:color="auto"/>
                  <w:bottom w:val="outset" w:sz="4" w:space="0" w:color="auto"/>
                  <w:right w:val="outset" w:sz="4" w:space="0" w:color="auto"/>
                </w:tcBorders>
              </w:tcPr>
              <w:p w14:paraId="720B4003" w14:textId="77777777" w:rsidR="00E57DAA" w:rsidRDefault="00AC4185">
                <w:pPr>
                  <w:ind w:firstLineChars="550" w:firstLine="1155"/>
                </w:pPr>
                <w:r>
                  <w:rPr>
                    <w:rFonts w:hint="eastAsia"/>
                  </w:rPr>
                  <w:t>以摊余成本计量的金融资产终止确认收益</w:t>
                </w:r>
              </w:p>
            </w:tc>
            <w:tc>
              <w:tcPr>
                <w:tcW w:w="608" w:type="pct"/>
                <w:tcBorders>
                  <w:top w:val="outset" w:sz="4" w:space="0" w:color="auto"/>
                  <w:left w:val="outset" w:sz="4" w:space="0" w:color="auto"/>
                  <w:bottom w:val="outset" w:sz="4" w:space="0" w:color="auto"/>
                  <w:right w:val="outset" w:sz="4" w:space="0" w:color="auto"/>
                </w:tcBorders>
                <w:vAlign w:val="center"/>
              </w:tcPr>
              <w:p w14:paraId="34A39AA4"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0370609F"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09375B7A" w14:textId="77777777" w:rsidR="00E57DAA" w:rsidRDefault="00E57DAA">
                <w:pPr>
                  <w:jc w:val="right"/>
                  <w:rPr>
                    <w:bCs/>
                    <w:szCs w:val="21"/>
                  </w:rPr>
                </w:pPr>
              </w:p>
            </w:tc>
          </w:tr>
          <w:tr w:rsidR="00E57DAA" w14:paraId="5914D4F4" w14:textId="77777777">
            <w:tc>
              <w:tcPr>
                <w:tcW w:w="2166" w:type="pct"/>
                <w:tcBorders>
                  <w:top w:val="outset" w:sz="4" w:space="0" w:color="auto"/>
                  <w:left w:val="outset" w:sz="4" w:space="0" w:color="auto"/>
                  <w:bottom w:val="outset" w:sz="4" w:space="0" w:color="auto"/>
                  <w:right w:val="outset" w:sz="4" w:space="0" w:color="auto"/>
                </w:tcBorders>
                <w:vAlign w:val="center"/>
              </w:tcPr>
              <w:p w14:paraId="0FE0B3F0" w14:textId="77777777" w:rsidR="00E57DAA" w:rsidRDefault="00AC4185">
                <w:pPr>
                  <w:ind w:firstLineChars="300" w:firstLine="630"/>
                </w:pPr>
                <w:r>
                  <w:rPr>
                    <w:rFonts w:hint="eastAsia"/>
                  </w:rPr>
                  <w:t>净敞口套期收益（损失以“</w:t>
                </w:r>
                <w:r>
                  <w:t>-”号填列）</w:t>
                </w:r>
              </w:p>
            </w:tc>
            <w:tc>
              <w:tcPr>
                <w:tcW w:w="608" w:type="pct"/>
                <w:tcBorders>
                  <w:top w:val="outset" w:sz="4" w:space="0" w:color="auto"/>
                  <w:left w:val="outset" w:sz="4" w:space="0" w:color="auto"/>
                  <w:bottom w:val="outset" w:sz="4" w:space="0" w:color="auto"/>
                  <w:right w:val="outset" w:sz="4" w:space="0" w:color="auto"/>
                </w:tcBorders>
                <w:vAlign w:val="center"/>
              </w:tcPr>
              <w:p w14:paraId="3A63B7F5"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1E950D92"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57364C2A" w14:textId="77777777" w:rsidR="00E57DAA" w:rsidRDefault="00E57DAA">
                <w:pPr>
                  <w:jc w:val="right"/>
                  <w:rPr>
                    <w:szCs w:val="21"/>
                  </w:rPr>
                </w:pPr>
              </w:p>
            </w:tc>
          </w:tr>
          <w:tr w:rsidR="00E57DAA" w14:paraId="1D3A575C" w14:textId="77777777">
            <w:tc>
              <w:tcPr>
                <w:tcW w:w="2166" w:type="pct"/>
                <w:tcBorders>
                  <w:top w:val="outset" w:sz="4" w:space="0" w:color="auto"/>
                  <w:left w:val="outset" w:sz="4" w:space="0" w:color="auto"/>
                  <w:bottom w:val="outset" w:sz="4" w:space="0" w:color="auto"/>
                  <w:right w:val="outset" w:sz="4" w:space="0" w:color="auto"/>
                </w:tcBorders>
                <w:vAlign w:val="center"/>
              </w:tcPr>
              <w:p w14:paraId="0F3A6B7C" w14:textId="77777777" w:rsidR="00E57DAA" w:rsidRDefault="00AC4185">
                <w:pPr>
                  <w:ind w:firstLineChars="300" w:firstLine="630"/>
                  <w:rPr>
                    <w:color w:val="000000"/>
                    <w:szCs w:val="21"/>
                  </w:rPr>
                </w:pPr>
                <w:r>
                  <w:rPr>
                    <w:rFonts w:hint="eastAsia"/>
                    <w:szCs w:val="21"/>
                  </w:rPr>
                  <w:t>公允价值变动收益（损失以“－”号填列）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4F3A3B87"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80A8ED3" w14:textId="77777777" w:rsidR="00E57DAA" w:rsidRDefault="00AC4185">
                <w:pPr>
                  <w:jc w:val="right"/>
                  <w:rPr>
                    <w:szCs w:val="21"/>
                  </w:rPr>
                </w:pPr>
                <w:r>
                  <w:t>120,546,236.27</w:t>
                </w:r>
              </w:p>
            </w:tc>
            <w:tc>
              <w:tcPr>
                <w:tcW w:w="1115" w:type="pct"/>
                <w:tcBorders>
                  <w:top w:val="outset" w:sz="4" w:space="0" w:color="auto"/>
                  <w:left w:val="outset" w:sz="4" w:space="0" w:color="auto"/>
                  <w:bottom w:val="outset" w:sz="4" w:space="0" w:color="auto"/>
                  <w:right w:val="outset" w:sz="4" w:space="0" w:color="auto"/>
                </w:tcBorders>
                <w:vAlign w:val="center"/>
              </w:tcPr>
              <w:p w14:paraId="1815F3E5" w14:textId="77777777" w:rsidR="00E57DAA" w:rsidRDefault="00AC4185">
                <w:pPr>
                  <w:jc w:val="right"/>
                  <w:rPr>
                    <w:szCs w:val="21"/>
                  </w:rPr>
                </w:pPr>
                <w:r>
                  <w:t>-3,290,604.02</w:t>
                </w:r>
              </w:p>
            </w:tc>
          </w:tr>
          <w:tr w:rsidR="00E57DAA" w14:paraId="33705BB8" w14:textId="77777777">
            <w:tc>
              <w:tcPr>
                <w:tcW w:w="2166" w:type="pct"/>
                <w:tcBorders>
                  <w:top w:val="outset" w:sz="4" w:space="0" w:color="auto"/>
                  <w:left w:val="outset" w:sz="4" w:space="0" w:color="auto"/>
                  <w:bottom w:val="outset" w:sz="4" w:space="0" w:color="auto"/>
                  <w:right w:val="outset" w:sz="4" w:space="0" w:color="auto"/>
                </w:tcBorders>
                <w:vAlign w:val="center"/>
              </w:tcPr>
              <w:p w14:paraId="62361C9E" w14:textId="77777777" w:rsidR="00E57DAA" w:rsidRDefault="00AC4185">
                <w:pPr>
                  <w:ind w:firstLineChars="300" w:firstLine="630"/>
                </w:pPr>
                <w:r>
                  <w:rPr>
                    <w:rFonts w:hint="eastAsia"/>
                  </w:rPr>
                  <w:t>信用减值损失（损失以“</w:t>
                </w:r>
                <w:r>
                  <w:t>-”号填列）</w:t>
                </w:r>
              </w:p>
            </w:tc>
            <w:tc>
              <w:tcPr>
                <w:tcW w:w="608" w:type="pct"/>
                <w:tcBorders>
                  <w:top w:val="outset" w:sz="4" w:space="0" w:color="auto"/>
                  <w:left w:val="outset" w:sz="4" w:space="0" w:color="auto"/>
                  <w:bottom w:val="outset" w:sz="4" w:space="0" w:color="auto"/>
                  <w:right w:val="outset" w:sz="4" w:space="0" w:color="auto"/>
                </w:tcBorders>
                <w:vAlign w:val="center"/>
              </w:tcPr>
              <w:p w14:paraId="50F4BC14"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7E02D92" w14:textId="77777777" w:rsidR="00E57DAA" w:rsidRDefault="00AC4185">
                <w:pPr>
                  <w:jc w:val="right"/>
                  <w:rPr>
                    <w:szCs w:val="21"/>
                  </w:rPr>
                </w:pPr>
                <w:r>
                  <w:t>-22,755,600.32</w:t>
                </w:r>
              </w:p>
            </w:tc>
            <w:tc>
              <w:tcPr>
                <w:tcW w:w="1115" w:type="pct"/>
                <w:tcBorders>
                  <w:top w:val="outset" w:sz="4" w:space="0" w:color="auto"/>
                  <w:left w:val="outset" w:sz="4" w:space="0" w:color="auto"/>
                  <w:bottom w:val="outset" w:sz="4" w:space="0" w:color="auto"/>
                  <w:right w:val="outset" w:sz="4" w:space="0" w:color="auto"/>
                </w:tcBorders>
                <w:vAlign w:val="center"/>
              </w:tcPr>
              <w:p w14:paraId="4E411FDE" w14:textId="77777777" w:rsidR="00E57DAA" w:rsidRDefault="00AC4185">
                <w:pPr>
                  <w:jc w:val="right"/>
                  <w:rPr>
                    <w:szCs w:val="21"/>
                  </w:rPr>
                </w:pPr>
                <w:r>
                  <w:t>-5,759,930.83</w:t>
                </w:r>
              </w:p>
            </w:tc>
          </w:tr>
          <w:tr w:rsidR="00E57DAA" w14:paraId="3D31E1EF" w14:textId="77777777">
            <w:tc>
              <w:tcPr>
                <w:tcW w:w="2166" w:type="pct"/>
                <w:tcBorders>
                  <w:top w:val="outset" w:sz="4" w:space="0" w:color="auto"/>
                  <w:left w:val="outset" w:sz="4" w:space="0" w:color="auto"/>
                  <w:bottom w:val="outset" w:sz="4" w:space="0" w:color="auto"/>
                  <w:right w:val="outset" w:sz="4" w:space="0" w:color="auto"/>
                </w:tcBorders>
                <w:vAlign w:val="center"/>
              </w:tcPr>
              <w:p w14:paraId="787B7409" w14:textId="77777777" w:rsidR="00E57DAA" w:rsidRDefault="00AC4185">
                <w:pPr>
                  <w:ind w:firstLineChars="300" w:firstLine="630"/>
                  <w:rPr>
                    <w:szCs w:val="21"/>
                  </w:rPr>
                </w:pPr>
                <w:r>
                  <w:rPr>
                    <w:rFonts w:hint="eastAsia"/>
                    <w:szCs w:val="21"/>
                  </w:rPr>
                  <w:t>资产减值损失（损失以“</w:t>
                </w:r>
                <w:r>
                  <w:rPr>
                    <w:szCs w:val="21"/>
                  </w:rPr>
                  <w:t>-”号填列）</w:t>
                </w:r>
              </w:p>
            </w:tc>
            <w:tc>
              <w:tcPr>
                <w:tcW w:w="608" w:type="pct"/>
                <w:tcBorders>
                  <w:top w:val="outset" w:sz="4" w:space="0" w:color="auto"/>
                  <w:left w:val="outset" w:sz="4" w:space="0" w:color="auto"/>
                  <w:bottom w:val="outset" w:sz="4" w:space="0" w:color="auto"/>
                  <w:right w:val="outset" w:sz="4" w:space="0" w:color="auto"/>
                </w:tcBorders>
                <w:vAlign w:val="center"/>
              </w:tcPr>
              <w:p w14:paraId="331F8770"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B9BAB6D" w14:textId="77777777" w:rsidR="00E57DAA" w:rsidRDefault="00AC4185">
                <w:pPr>
                  <w:jc w:val="right"/>
                  <w:rPr>
                    <w:szCs w:val="21"/>
                  </w:rPr>
                </w:pPr>
                <w:r>
                  <w:t>-163,924,919.00</w:t>
                </w:r>
              </w:p>
            </w:tc>
            <w:tc>
              <w:tcPr>
                <w:tcW w:w="1115" w:type="pct"/>
                <w:tcBorders>
                  <w:top w:val="outset" w:sz="4" w:space="0" w:color="auto"/>
                  <w:left w:val="outset" w:sz="4" w:space="0" w:color="auto"/>
                  <w:bottom w:val="outset" w:sz="4" w:space="0" w:color="auto"/>
                  <w:right w:val="outset" w:sz="4" w:space="0" w:color="auto"/>
                </w:tcBorders>
                <w:vAlign w:val="center"/>
              </w:tcPr>
              <w:p w14:paraId="7E0C6955" w14:textId="77777777" w:rsidR="00E57DAA" w:rsidRDefault="00AC4185">
                <w:pPr>
                  <w:jc w:val="right"/>
                  <w:rPr>
                    <w:szCs w:val="21"/>
                  </w:rPr>
                </w:pPr>
                <w:r>
                  <w:t>-95,068,869.73</w:t>
                </w:r>
              </w:p>
            </w:tc>
          </w:tr>
          <w:tr w:rsidR="00E57DAA" w14:paraId="1BAEDFE0" w14:textId="77777777">
            <w:tc>
              <w:tcPr>
                <w:tcW w:w="2166" w:type="pct"/>
                <w:tcBorders>
                  <w:top w:val="outset" w:sz="4" w:space="0" w:color="auto"/>
                  <w:left w:val="outset" w:sz="4" w:space="0" w:color="auto"/>
                  <w:bottom w:val="outset" w:sz="4" w:space="0" w:color="auto"/>
                  <w:right w:val="outset" w:sz="4" w:space="0" w:color="auto"/>
                </w:tcBorders>
                <w:vAlign w:val="center"/>
              </w:tcPr>
              <w:p w14:paraId="3DB551A3" w14:textId="77777777" w:rsidR="00E57DAA" w:rsidRDefault="00AC4185">
                <w:pPr>
                  <w:ind w:firstLineChars="300" w:firstLine="630"/>
                </w:pPr>
                <w:r>
                  <w:rPr>
                    <w:rFonts w:hint="eastAsia"/>
                  </w:rPr>
                  <w:lastRenderedPageBreak/>
                  <w:t>资产处置收益（损失以“－”号填列）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70099C73"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3BC3D77F"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632EF661" w14:textId="77777777" w:rsidR="00E57DAA" w:rsidRDefault="00E57DAA">
                <w:pPr>
                  <w:jc w:val="right"/>
                  <w:rPr>
                    <w:szCs w:val="21"/>
                  </w:rPr>
                </w:pPr>
              </w:p>
            </w:tc>
          </w:tr>
          <w:tr w:rsidR="00E57DAA" w14:paraId="5FB4CF11" w14:textId="77777777">
            <w:tc>
              <w:tcPr>
                <w:tcW w:w="2166" w:type="pct"/>
                <w:tcBorders>
                  <w:top w:val="outset" w:sz="4" w:space="0" w:color="auto"/>
                  <w:left w:val="outset" w:sz="4" w:space="0" w:color="auto"/>
                  <w:bottom w:val="outset" w:sz="4" w:space="0" w:color="auto"/>
                  <w:right w:val="outset" w:sz="4" w:space="0" w:color="auto"/>
                </w:tcBorders>
                <w:vAlign w:val="center"/>
              </w:tcPr>
              <w:p w14:paraId="1ECF58C9" w14:textId="77777777" w:rsidR="00E57DAA" w:rsidRDefault="00AC4185">
                <w:pPr>
                  <w:ind w:left="-19"/>
                  <w:rPr>
                    <w:color w:val="000000"/>
                    <w:szCs w:val="21"/>
                  </w:rPr>
                </w:pPr>
                <w:r>
                  <w:rPr>
                    <w:rFonts w:hint="eastAsia"/>
                    <w:szCs w:val="21"/>
                  </w:rPr>
                  <w:t>二、营业利润（亏损以“－”号填列）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138DEAA4"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66F6454" w14:textId="77777777" w:rsidR="00E57DAA" w:rsidRDefault="00AC4185">
                <w:pPr>
                  <w:jc w:val="right"/>
                  <w:rPr>
                    <w:szCs w:val="21"/>
                  </w:rPr>
                </w:pPr>
                <w:r>
                  <w:t>881,523,274.96</w:t>
                </w:r>
              </w:p>
            </w:tc>
            <w:tc>
              <w:tcPr>
                <w:tcW w:w="1115" w:type="pct"/>
                <w:tcBorders>
                  <w:top w:val="outset" w:sz="4" w:space="0" w:color="auto"/>
                  <w:left w:val="outset" w:sz="4" w:space="0" w:color="auto"/>
                  <w:bottom w:val="outset" w:sz="4" w:space="0" w:color="auto"/>
                  <w:right w:val="outset" w:sz="4" w:space="0" w:color="auto"/>
                </w:tcBorders>
                <w:vAlign w:val="center"/>
              </w:tcPr>
              <w:p w14:paraId="3A68C0AF" w14:textId="77777777" w:rsidR="00E57DAA" w:rsidRDefault="00AC4185">
                <w:pPr>
                  <w:jc w:val="right"/>
                  <w:rPr>
                    <w:szCs w:val="21"/>
                  </w:rPr>
                </w:pPr>
                <w:r>
                  <w:t>401,432,182.12</w:t>
                </w:r>
              </w:p>
            </w:tc>
          </w:tr>
          <w:tr w:rsidR="00E57DAA" w14:paraId="77E65DA3" w14:textId="77777777">
            <w:tc>
              <w:tcPr>
                <w:tcW w:w="2166" w:type="pct"/>
                <w:tcBorders>
                  <w:top w:val="outset" w:sz="4" w:space="0" w:color="auto"/>
                  <w:left w:val="outset" w:sz="4" w:space="0" w:color="auto"/>
                  <w:bottom w:val="outset" w:sz="4" w:space="0" w:color="auto"/>
                  <w:right w:val="outset" w:sz="4" w:space="0" w:color="auto"/>
                </w:tcBorders>
                <w:vAlign w:val="center"/>
              </w:tcPr>
              <w:p w14:paraId="3678A2AE" w14:textId="77777777" w:rsidR="00E57DAA" w:rsidRDefault="00AC4185">
                <w:pPr>
                  <w:ind w:firstLineChars="100" w:firstLine="210"/>
                  <w:rPr>
                    <w:color w:val="000000"/>
                    <w:szCs w:val="21"/>
                  </w:rPr>
                </w:pPr>
                <w:r>
                  <w:rPr>
                    <w:rFonts w:hint="eastAsia"/>
                    <w:szCs w:val="21"/>
                  </w:rPr>
                  <w:t>加：营业外收入</w:t>
                </w:r>
              </w:p>
            </w:tc>
            <w:tc>
              <w:tcPr>
                <w:tcW w:w="608" w:type="pct"/>
                <w:tcBorders>
                  <w:top w:val="outset" w:sz="4" w:space="0" w:color="auto"/>
                  <w:left w:val="outset" w:sz="4" w:space="0" w:color="auto"/>
                  <w:bottom w:val="outset" w:sz="4" w:space="0" w:color="auto"/>
                  <w:right w:val="outset" w:sz="4" w:space="0" w:color="auto"/>
                </w:tcBorders>
                <w:vAlign w:val="center"/>
              </w:tcPr>
              <w:p w14:paraId="4D05CF71"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2F400E8" w14:textId="77777777" w:rsidR="00E57DAA" w:rsidRDefault="00AC4185">
                <w:pPr>
                  <w:jc w:val="right"/>
                  <w:rPr>
                    <w:szCs w:val="21"/>
                  </w:rPr>
                </w:pPr>
                <w:r>
                  <w:t>519,525.21</w:t>
                </w:r>
              </w:p>
            </w:tc>
            <w:tc>
              <w:tcPr>
                <w:tcW w:w="1115" w:type="pct"/>
                <w:tcBorders>
                  <w:top w:val="outset" w:sz="4" w:space="0" w:color="auto"/>
                  <w:left w:val="outset" w:sz="4" w:space="0" w:color="auto"/>
                  <w:bottom w:val="outset" w:sz="4" w:space="0" w:color="auto"/>
                  <w:right w:val="outset" w:sz="4" w:space="0" w:color="auto"/>
                </w:tcBorders>
                <w:vAlign w:val="center"/>
              </w:tcPr>
              <w:p w14:paraId="15D3C2D7" w14:textId="77777777" w:rsidR="00E57DAA" w:rsidRDefault="00AC4185">
                <w:pPr>
                  <w:jc w:val="right"/>
                  <w:rPr>
                    <w:szCs w:val="21"/>
                  </w:rPr>
                </w:pPr>
                <w:r>
                  <w:t>6,974,757.19</w:t>
                </w:r>
              </w:p>
            </w:tc>
          </w:tr>
          <w:tr w:rsidR="00E57DAA" w14:paraId="762FB7DC" w14:textId="77777777">
            <w:tc>
              <w:tcPr>
                <w:tcW w:w="2166" w:type="pct"/>
                <w:tcBorders>
                  <w:top w:val="outset" w:sz="4" w:space="0" w:color="auto"/>
                  <w:left w:val="outset" w:sz="4" w:space="0" w:color="auto"/>
                  <w:bottom w:val="outset" w:sz="4" w:space="0" w:color="auto"/>
                  <w:right w:val="outset" w:sz="4" w:space="0" w:color="auto"/>
                </w:tcBorders>
                <w:vAlign w:val="center"/>
              </w:tcPr>
              <w:p w14:paraId="5BA32482" w14:textId="77777777" w:rsidR="00E57DAA" w:rsidRDefault="00AC4185">
                <w:pPr>
                  <w:ind w:firstLineChars="100" w:firstLine="210"/>
                  <w:rPr>
                    <w:color w:val="000000"/>
                    <w:szCs w:val="21"/>
                  </w:rPr>
                </w:pPr>
                <w:r>
                  <w:rPr>
                    <w:rFonts w:hint="eastAsia"/>
                    <w:szCs w:val="21"/>
                  </w:rPr>
                  <w:t>减：营业外支出</w:t>
                </w:r>
              </w:p>
            </w:tc>
            <w:tc>
              <w:tcPr>
                <w:tcW w:w="608" w:type="pct"/>
                <w:tcBorders>
                  <w:top w:val="outset" w:sz="4" w:space="0" w:color="auto"/>
                  <w:left w:val="outset" w:sz="4" w:space="0" w:color="auto"/>
                  <w:bottom w:val="outset" w:sz="4" w:space="0" w:color="auto"/>
                  <w:right w:val="outset" w:sz="4" w:space="0" w:color="auto"/>
                </w:tcBorders>
                <w:vAlign w:val="center"/>
              </w:tcPr>
              <w:p w14:paraId="1CBC7774"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53F6A05" w14:textId="77777777" w:rsidR="00E57DAA" w:rsidRDefault="00AC4185">
                <w:pPr>
                  <w:jc w:val="right"/>
                  <w:rPr>
                    <w:szCs w:val="21"/>
                  </w:rPr>
                </w:pPr>
                <w:r>
                  <w:t>5,187,615.13</w:t>
                </w:r>
              </w:p>
            </w:tc>
            <w:tc>
              <w:tcPr>
                <w:tcW w:w="1115" w:type="pct"/>
                <w:tcBorders>
                  <w:top w:val="outset" w:sz="4" w:space="0" w:color="auto"/>
                  <w:left w:val="outset" w:sz="4" w:space="0" w:color="auto"/>
                  <w:bottom w:val="outset" w:sz="4" w:space="0" w:color="auto"/>
                  <w:right w:val="outset" w:sz="4" w:space="0" w:color="auto"/>
                </w:tcBorders>
                <w:vAlign w:val="center"/>
              </w:tcPr>
              <w:p w14:paraId="6CD3033A" w14:textId="77777777" w:rsidR="00E57DAA" w:rsidRDefault="00AC4185">
                <w:pPr>
                  <w:jc w:val="right"/>
                  <w:rPr>
                    <w:szCs w:val="21"/>
                  </w:rPr>
                </w:pPr>
                <w:r>
                  <w:t>4,267,971.98</w:t>
                </w:r>
              </w:p>
            </w:tc>
          </w:tr>
          <w:tr w:rsidR="00E57DAA" w14:paraId="5810D980" w14:textId="77777777">
            <w:tc>
              <w:tcPr>
                <w:tcW w:w="2166" w:type="pct"/>
                <w:tcBorders>
                  <w:top w:val="outset" w:sz="4" w:space="0" w:color="auto"/>
                  <w:left w:val="outset" w:sz="4" w:space="0" w:color="auto"/>
                  <w:bottom w:val="outset" w:sz="4" w:space="0" w:color="auto"/>
                  <w:right w:val="outset" w:sz="4" w:space="0" w:color="auto"/>
                </w:tcBorders>
                <w:vAlign w:val="center"/>
              </w:tcPr>
              <w:p w14:paraId="1FAD736D" w14:textId="77777777" w:rsidR="00E57DAA" w:rsidRDefault="00AC4185">
                <w:pPr>
                  <w:ind w:left="-19"/>
                  <w:rPr>
                    <w:color w:val="000000"/>
                    <w:szCs w:val="21"/>
                  </w:rPr>
                </w:pPr>
                <w:r>
                  <w:rPr>
                    <w:rFonts w:hint="eastAsia"/>
                    <w:szCs w:val="21"/>
                  </w:rPr>
                  <w:t>三、利润总额（亏损总额以“－”号填列）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5C31E3DA"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0FF1870" w14:textId="77777777" w:rsidR="00E57DAA" w:rsidRDefault="00AC4185">
                <w:pPr>
                  <w:jc w:val="right"/>
                  <w:rPr>
                    <w:szCs w:val="21"/>
                  </w:rPr>
                </w:pPr>
                <w:r>
                  <w:t>876,855,185.04</w:t>
                </w:r>
              </w:p>
            </w:tc>
            <w:tc>
              <w:tcPr>
                <w:tcW w:w="1115" w:type="pct"/>
                <w:tcBorders>
                  <w:top w:val="outset" w:sz="4" w:space="0" w:color="auto"/>
                  <w:left w:val="outset" w:sz="4" w:space="0" w:color="auto"/>
                  <w:bottom w:val="outset" w:sz="4" w:space="0" w:color="auto"/>
                  <w:right w:val="outset" w:sz="4" w:space="0" w:color="auto"/>
                </w:tcBorders>
                <w:vAlign w:val="center"/>
              </w:tcPr>
              <w:p w14:paraId="555925ED" w14:textId="77777777" w:rsidR="00E57DAA" w:rsidRDefault="00AC4185">
                <w:pPr>
                  <w:jc w:val="right"/>
                  <w:rPr>
                    <w:szCs w:val="21"/>
                  </w:rPr>
                </w:pPr>
                <w:r>
                  <w:t>404,138,967.33</w:t>
                </w:r>
              </w:p>
            </w:tc>
          </w:tr>
          <w:tr w:rsidR="00E57DAA" w14:paraId="2A775A75" w14:textId="77777777">
            <w:tc>
              <w:tcPr>
                <w:tcW w:w="2166" w:type="pct"/>
                <w:tcBorders>
                  <w:top w:val="outset" w:sz="4" w:space="0" w:color="auto"/>
                  <w:left w:val="outset" w:sz="4" w:space="0" w:color="auto"/>
                  <w:bottom w:val="outset" w:sz="4" w:space="0" w:color="auto"/>
                  <w:right w:val="outset" w:sz="4" w:space="0" w:color="auto"/>
                </w:tcBorders>
                <w:vAlign w:val="center"/>
              </w:tcPr>
              <w:p w14:paraId="1974F817" w14:textId="77777777" w:rsidR="00E57DAA" w:rsidRDefault="00AC4185">
                <w:pPr>
                  <w:ind w:left="-19" w:firstLineChars="200" w:firstLine="420"/>
                  <w:rPr>
                    <w:color w:val="000000"/>
                    <w:szCs w:val="21"/>
                  </w:rPr>
                </w:pPr>
                <w:r>
                  <w:rPr>
                    <w:rFonts w:hint="eastAsia"/>
                    <w:szCs w:val="21"/>
                  </w:rPr>
                  <w:t>减：所得税费用</w:t>
                </w:r>
              </w:p>
            </w:tc>
            <w:tc>
              <w:tcPr>
                <w:tcW w:w="608" w:type="pct"/>
                <w:tcBorders>
                  <w:top w:val="outset" w:sz="4" w:space="0" w:color="auto"/>
                  <w:left w:val="outset" w:sz="4" w:space="0" w:color="auto"/>
                  <w:bottom w:val="outset" w:sz="4" w:space="0" w:color="auto"/>
                  <w:right w:val="outset" w:sz="4" w:space="0" w:color="auto"/>
                </w:tcBorders>
                <w:vAlign w:val="center"/>
              </w:tcPr>
              <w:p w14:paraId="375E561C"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91A3C26" w14:textId="77777777" w:rsidR="00E57DAA" w:rsidRDefault="00AC4185">
                <w:pPr>
                  <w:jc w:val="right"/>
                  <w:rPr>
                    <w:szCs w:val="21"/>
                  </w:rPr>
                </w:pPr>
                <w:r>
                  <w:t>13,649,341.27</w:t>
                </w:r>
              </w:p>
            </w:tc>
            <w:tc>
              <w:tcPr>
                <w:tcW w:w="1115" w:type="pct"/>
                <w:tcBorders>
                  <w:top w:val="outset" w:sz="4" w:space="0" w:color="auto"/>
                  <w:left w:val="outset" w:sz="4" w:space="0" w:color="auto"/>
                  <w:bottom w:val="outset" w:sz="4" w:space="0" w:color="auto"/>
                  <w:right w:val="outset" w:sz="4" w:space="0" w:color="auto"/>
                </w:tcBorders>
                <w:vAlign w:val="center"/>
              </w:tcPr>
              <w:p w14:paraId="3E825EB0" w14:textId="77777777" w:rsidR="00E57DAA" w:rsidRDefault="00AC4185">
                <w:pPr>
                  <w:jc w:val="right"/>
                  <w:rPr>
                    <w:szCs w:val="21"/>
                  </w:rPr>
                </w:pPr>
                <w:r>
                  <w:t>-11,998,872.59</w:t>
                </w:r>
              </w:p>
            </w:tc>
          </w:tr>
          <w:tr w:rsidR="00E57DAA" w14:paraId="641B35E0" w14:textId="77777777">
            <w:tc>
              <w:tcPr>
                <w:tcW w:w="2166" w:type="pct"/>
                <w:tcBorders>
                  <w:top w:val="outset" w:sz="4" w:space="0" w:color="auto"/>
                  <w:left w:val="outset" w:sz="4" w:space="0" w:color="auto"/>
                  <w:bottom w:val="outset" w:sz="4" w:space="0" w:color="auto"/>
                  <w:right w:val="outset" w:sz="4" w:space="0" w:color="auto"/>
                </w:tcBorders>
                <w:vAlign w:val="center"/>
              </w:tcPr>
              <w:p w14:paraId="3FD61026" w14:textId="77777777" w:rsidR="00E57DAA" w:rsidRDefault="00AC4185">
                <w:pPr>
                  <w:ind w:left="-19"/>
                  <w:rPr>
                    <w:color w:val="000000"/>
                    <w:szCs w:val="21"/>
                  </w:rPr>
                </w:pPr>
                <w:r>
                  <w:rPr>
                    <w:rFonts w:hint="eastAsia"/>
                    <w:szCs w:val="21"/>
                  </w:rPr>
                  <w:t>四、净利润（净亏损以“－”号填列）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12364CE3"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8305417" w14:textId="77777777" w:rsidR="00E57DAA" w:rsidRDefault="00AC4185">
                <w:pPr>
                  <w:jc w:val="right"/>
                  <w:rPr>
                    <w:szCs w:val="21"/>
                  </w:rPr>
                </w:pPr>
                <w:r>
                  <w:t>863,205,843.77</w:t>
                </w:r>
              </w:p>
            </w:tc>
            <w:tc>
              <w:tcPr>
                <w:tcW w:w="1115" w:type="pct"/>
                <w:tcBorders>
                  <w:top w:val="outset" w:sz="4" w:space="0" w:color="auto"/>
                  <w:left w:val="outset" w:sz="4" w:space="0" w:color="auto"/>
                  <w:bottom w:val="outset" w:sz="4" w:space="0" w:color="auto"/>
                  <w:right w:val="outset" w:sz="4" w:space="0" w:color="auto"/>
                </w:tcBorders>
                <w:vAlign w:val="center"/>
              </w:tcPr>
              <w:p w14:paraId="0116D5F8" w14:textId="77777777" w:rsidR="00E57DAA" w:rsidRDefault="00AC4185">
                <w:pPr>
                  <w:jc w:val="right"/>
                  <w:rPr>
                    <w:szCs w:val="21"/>
                  </w:rPr>
                </w:pPr>
                <w:r>
                  <w:t>416,137,839.92</w:t>
                </w:r>
              </w:p>
            </w:tc>
          </w:tr>
          <w:tr w:rsidR="00E57DAA" w14:paraId="537C3058" w14:textId="77777777">
            <w:tc>
              <w:tcPr>
                <w:tcW w:w="2166" w:type="pct"/>
                <w:tcBorders>
                  <w:top w:val="outset" w:sz="4" w:space="0" w:color="auto"/>
                  <w:left w:val="outset" w:sz="4" w:space="0" w:color="auto"/>
                  <w:bottom w:val="outset" w:sz="4" w:space="0" w:color="auto"/>
                  <w:right w:val="outset" w:sz="4" w:space="0" w:color="auto"/>
                </w:tcBorders>
                <w:vAlign w:val="center"/>
              </w:tcPr>
              <w:p w14:paraId="02EEC7B8" w14:textId="77777777" w:rsidR="00E57DAA" w:rsidRDefault="00AC4185">
                <w:pPr>
                  <w:ind w:firstLineChars="108" w:firstLine="227"/>
                </w:pPr>
                <w:r>
                  <w:rPr>
                    <w:rFonts w:hint="eastAsia"/>
                    <w:szCs w:val="21"/>
                  </w:rPr>
                  <w:t>（一）</w:t>
                </w:r>
                <w:r>
                  <w:t>持续经营净利润（净亏损以“－”号填列）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1D7087A8"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110F927" w14:textId="77777777" w:rsidR="00E57DAA" w:rsidRDefault="00AC4185">
                <w:pPr>
                  <w:jc w:val="right"/>
                  <w:rPr>
                    <w:szCs w:val="21"/>
                  </w:rPr>
                </w:pPr>
                <w:r>
                  <w:t>863,205,843.77</w:t>
                </w:r>
              </w:p>
            </w:tc>
            <w:tc>
              <w:tcPr>
                <w:tcW w:w="1115" w:type="pct"/>
                <w:tcBorders>
                  <w:top w:val="outset" w:sz="4" w:space="0" w:color="auto"/>
                  <w:left w:val="outset" w:sz="4" w:space="0" w:color="auto"/>
                  <w:bottom w:val="outset" w:sz="4" w:space="0" w:color="auto"/>
                  <w:right w:val="outset" w:sz="4" w:space="0" w:color="auto"/>
                </w:tcBorders>
                <w:vAlign w:val="center"/>
              </w:tcPr>
              <w:p w14:paraId="0332EB5E" w14:textId="77777777" w:rsidR="00E57DAA" w:rsidRDefault="00AC4185">
                <w:pPr>
                  <w:jc w:val="right"/>
                  <w:rPr>
                    <w:szCs w:val="21"/>
                  </w:rPr>
                </w:pPr>
                <w:r>
                  <w:t>416,137,839.92</w:t>
                </w:r>
              </w:p>
            </w:tc>
          </w:tr>
          <w:tr w:rsidR="00E57DAA" w14:paraId="799B197C" w14:textId="77777777">
            <w:tc>
              <w:tcPr>
                <w:tcW w:w="2166" w:type="pct"/>
                <w:tcBorders>
                  <w:top w:val="outset" w:sz="4" w:space="0" w:color="auto"/>
                  <w:left w:val="outset" w:sz="4" w:space="0" w:color="auto"/>
                  <w:bottom w:val="outset" w:sz="4" w:space="0" w:color="auto"/>
                  <w:right w:val="outset" w:sz="4" w:space="0" w:color="auto"/>
                </w:tcBorders>
                <w:vAlign w:val="center"/>
              </w:tcPr>
              <w:p w14:paraId="5E5771F9" w14:textId="77777777" w:rsidR="00E57DAA" w:rsidRDefault="00AC4185">
                <w:pPr>
                  <w:ind w:firstLineChars="108" w:firstLine="227"/>
                </w:pPr>
                <w:r>
                  <w:rPr>
                    <w:rFonts w:hint="eastAsia"/>
                  </w:rPr>
                  <w:t>（二）终止经营净利润（净亏损以“－”号填列）</w:t>
                </w:r>
              </w:p>
            </w:tc>
            <w:tc>
              <w:tcPr>
                <w:tcW w:w="608" w:type="pct"/>
                <w:tcBorders>
                  <w:top w:val="outset" w:sz="4" w:space="0" w:color="auto"/>
                  <w:left w:val="outset" w:sz="4" w:space="0" w:color="auto"/>
                  <w:bottom w:val="outset" w:sz="4" w:space="0" w:color="auto"/>
                  <w:right w:val="outset" w:sz="4" w:space="0" w:color="auto"/>
                </w:tcBorders>
                <w:vAlign w:val="center"/>
              </w:tcPr>
              <w:p w14:paraId="5BBC526B"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62B2C177"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7EB4CFF6" w14:textId="77777777" w:rsidR="00E57DAA" w:rsidRDefault="00E57DAA">
                <w:pPr>
                  <w:jc w:val="right"/>
                  <w:rPr>
                    <w:szCs w:val="21"/>
                  </w:rPr>
                </w:pPr>
              </w:p>
            </w:tc>
          </w:tr>
          <w:tr w:rsidR="00E57DAA" w14:paraId="5F689CF9" w14:textId="77777777">
            <w:tc>
              <w:tcPr>
                <w:tcW w:w="2166" w:type="pct"/>
                <w:tcBorders>
                  <w:top w:val="outset" w:sz="4" w:space="0" w:color="auto"/>
                  <w:left w:val="outset" w:sz="4" w:space="0" w:color="auto"/>
                  <w:bottom w:val="outset" w:sz="4" w:space="0" w:color="auto"/>
                  <w:right w:val="outset" w:sz="4" w:space="0" w:color="auto"/>
                </w:tcBorders>
                <w:vAlign w:val="center"/>
              </w:tcPr>
              <w:p w14:paraId="4E2D9378" w14:textId="77777777" w:rsidR="00E57DAA" w:rsidRDefault="00AC4185">
                <w:pPr>
                  <w:ind w:leftChars="-19" w:hangingChars="19" w:hanging="40"/>
                  <w:rPr>
                    <w:szCs w:val="21"/>
                  </w:rPr>
                </w:pPr>
                <w:r>
                  <w:rPr>
                    <w:rFonts w:hint="eastAsia"/>
                    <w:szCs w:val="21"/>
                  </w:rPr>
                  <w:t>五、其他综合收益的税后净额</w:t>
                </w:r>
              </w:p>
            </w:tc>
            <w:tc>
              <w:tcPr>
                <w:tcW w:w="608" w:type="pct"/>
                <w:tcBorders>
                  <w:top w:val="outset" w:sz="4" w:space="0" w:color="auto"/>
                  <w:left w:val="outset" w:sz="4" w:space="0" w:color="auto"/>
                  <w:bottom w:val="outset" w:sz="4" w:space="0" w:color="auto"/>
                  <w:right w:val="outset" w:sz="4" w:space="0" w:color="auto"/>
                </w:tcBorders>
                <w:vAlign w:val="center"/>
              </w:tcPr>
              <w:p w14:paraId="457F5250"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0859A3C" w14:textId="77777777" w:rsidR="00E57DAA" w:rsidRDefault="00AC4185">
                <w:pPr>
                  <w:jc w:val="right"/>
                  <w:rPr>
                    <w:szCs w:val="21"/>
                  </w:rPr>
                </w:pPr>
                <w:r>
                  <w:t>-1,803,624.18</w:t>
                </w:r>
              </w:p>
            </w:tc>
            <w:tc>
              <w:tcPr>
                <w:tcW w:w="1115" w:type="pct"/>
                <w:tcBorders>
                  <w:top w:val="outset" w:sz="4" w:space="0" w:color="auto"/>
                  <w:left w:val="outset" w:sz="4" w:space="0" w:color="auto"/>
                  <w:bottom w:val="outset" w:sz="4" w:space="0" w:color="auto"/>
                  <w:right w:val="outset" w:sz="4" w:space="0" w:color="auto"/>
                </w:tcBorders>
                <w:vAlign w:val="center"/>
              </w:tcPr>
              <w:p w14:paraId="607ABB19" w14:textId="77777777" w:rsidR="00E57DAA" w:rsidRDefault="00AC4185">
                <w:pPr>
                  <w:jc w:val="right"/>
                  <w:rPr>
                    <w:szCs w:val="21"/>
                  </w:rPr>
                </w:pPr>
                <w:r>
                  <w:t>2,558,959.33</w:t>
                </w:r>
              </w:p>
            </w:tc>
          </w:tr>
          <w:tr w:rsidR="00E57DAA" w14:paraId="3B9D6B12" w14:textId="77777777">
            <w:tc>
              <w:tcPr>
                <w:tcW w:w="2166" w:type="pct"/>
                <w:tcBorders>
                  <w:top w:val="outset" w:sz="4" w:space="0" w:color="auto"/>
                  <w:left w:val="outset" w:sz="4" w:space="0" w:color="auto"/>
                  <w:bottom w:val="outset" w:sz="4" w:space="0" w:color="auto"/>
                  <w:right w:val="outset" w:sz="4" w:space="0" w:color="auto"/>
                </w:tcBorders>
                <w:vAlign w:val="center"/>
              </w:tcPr>
              <w:p w14:paraId="4B5AF611" w14:textId="77777777" w:rsidR="00E57DAA" w:rsidRDefault="00AC4185">
                <w:pPr>
                  <w:ind w:firstLineChars="100" w:firstLine="210"/>
                  <w:rPr>
                    <w:szCs w:val="21"/>
                  </w:rPr>
                </w:pPr>
                <w:r>
                  <w:rPr>
                    <w:rFonts w:hint="eastAsia"/>
                    <w:szCs w:val="21"/>
                  </w:rPr>
                  <w:t>（一）不能重分类进损益的其他综合收益</w:t>
                </w:r>
              </w:p>
            </w:tc>
            <w:tc>
              <w:tcPr>
                <w:tcW w:w="608" w:type="pct"/>
                <w:tcBorders>
                  <w:top w:val="outset" w:sz="4" w:space="0" w:color="auto"/>
                  <w:left w:val="outset" w:sz="4" w:space="0" w:color="auto"/>
                  <w:bottom w:val="outset" w:sz="4" w:space="0" w:color="auto"/>
                  <w:right w:val="outset" w:sz="4" w:space="0" w:color="auto"/>
                </w:tcBorders>
                <w:vAlign w:val="center"/>
              </w:tcPr>
              <w:p w14:paraId="7B9EBC72"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13B04C31"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6D67A121" w14:textId="77777777" w:rsidR="00E57DAA" w:rsidRDefault="00E57DAA">
                <w:pPr>
                  <w:jc w:val="right"/>
                  <w:rPr>
                    <w:szCs w:val="21"/>
                  </w:rPr>
                </w:pPr>
              </w:p>
            </w:tc>
          </w:tr>
          <w:tr w:rsidR="00E57DAA" w14:paraId="22198184" w14:textId="77777777">
            <w:tc>
              <w:tcPr>
                <w:tcW w:w="2166" w:type="pct"/>
                <w:tcBorders>
                  <w:top w:val="outset" w:sz="4" w:space="0" w:color="auto"/>
                  <w:left w:val="outset" w:sz="4" w:space="0" w:color="auto"/>
                  <w:bottom w:val="outset" w:sz="4" w:space="0" w:color="auto"/>
                  <w:right w:val="outset" w:sz="4" w:space="0" w:color="auto"/>
                </w:tcBorders>
                <w:vAlign w:val="center"/>
              </w:tcPr>
              <w:p w14:paraId="21216396" w14:textId="77777777" w:rsidR="00E57DAA" w:rsidRDefault="00AC4185">
                <w:pPr>
                  <w:ind w:firstLineChars="200" w:firstLine="420"/>
                  <w:rPr>
                    <w:szCs w:val="21"/>
                  </w:rPr>
                </w:pPr>
                <w:r>
                  <w:rPr>
                    <w:szCs w:val="21"/>
                  </w:rPr>
                  <w:t>1.重新计量设定受益计划变动额</w:t>
                </w:r>
              </w:p>
            </w:tc>
            <w:tc>
              <w:tcPr>
                <w:tcW w:w="608" w:type="pct"/>
                <w:tcBorders>
                  <w:top w:val="outset" w:sz="4" w:space="0" w:color="auto"/>
                  <w:left w:val="outset" w:sz="4" w:space="0" w:color="auto"/>
                  <w:bottom w:val="outset" w:sz="4" w:space="0" w:color="auto"/>
                  <w:right w:val="outset" w:sz="4" w:space="0" w:color="auto"/>
                </w:tcBorders>
                <w:vAlign w:val="center"/>
              </w:tcPr>
              <w:p w14:paraId="18F6475D"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3B1C7468"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4DAA8768" w14:textId="77777777" w:rsidR="00E57DAA" w:rsidRDefault="00E57DAA">
                <w:pPr>
                  <w:jc w:val="right"/>
                  <w:rPr>
                    <w:szCs w:val="21"/>
                  </w:rPr>
                </w:pPr>
              </w:p>
            </w:tc>
          </w:tr>
          <w:tr w:rsidR="00E57DAA" w14:paraId="60D14998" w14:textId="77777777">
            <w:tc>
              <w:tcPr>
                <w:tcW w:w="2166" w:type="pct"/>
                <w:tcBorders>
                  <w:top w:val="outset" w:sz="4" w:space="0" w:color="auto"/>
                  <w:left w:val="outset" w:sz="4" w:space="0" w:color="auto"/>
                  <w:bottom w:val="outset" w:sz="4" w:space="0" w:color="auto"/>
                  <w:right w:val="outset" w:sz="4" w:space="0" w:color="auto"/>
                </w:tcBorders>
                <w:vAlign w:val="center"/>
              </w:tcPr>
              <w:p w14:paraId="478A6B89" w14:textId="77777777" w:rsidR="00E57DAA" w:rsidRDefault="00AC4185">
                <w:pPr>
                  <w:ind w:firstLineChars="200" w:firstLine="420"/>
                  <w:rPr>
                    <w:szCs w:val="21"/>
                  </w:rPr>
                </w:pPr>
                <w:r>
                  <w:rPr>
                    <w:szCs w:val="21"/>
                  </w:rPr>
                  <w:t>2.权益法下不能转损益的其他综合收益</w:t>
                </w:r>
              </w:p>
            </w:tc>
            <w:tc>
              <w:tcPr>
                <w:tcW w:w="608" w:type="pct"/>
                <w:tcBorders>
                  <w:top w:val="outset" w:sz="4" w:space="0" w:color="auto"/>
                  <w:left w:val="outset" w:sz="4" w:space="0" w:color="auto"/>
                  <w:bottom w:val="outset" w:sz="4" w:space="0" w:color="auto"/>
                  <w:right w:val="outset" w:sz="4" w:space="0" w:color="auto"/>
                </w:tcBorders>
                <w:vAlign w:val="center"/>
              </w:tcPr>
              <w:p w14:paraId="244C44A8"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1CF2AB5D"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24A4C975" w14:textId="77777777" w:rsidR="00E57DAA" w:rsidRDefault="00E57DAA">
                <w:pPr>
                  <w:jc w:val="right"/>
                  <w:rPr>
                    <w:szCs w:val="21"/>
                  </w:rPr>
                </w:pPr>
              </w:p>
            </w:tc>
          </w:tr>
          <w:tr w:rsidR="00E57DAA" w14:paraId="16577F9F" w14:textId="77777777">
            <w:tc>
              <w:tcPr>
                <w:tcW w:w="2166" w:type="pct"/>
                <w:tcBorders>
                  <w:top w:val="outset" w:sz="4" w:space="0" w:color="auto"/>
                  <w:left w:val="outset" w:sz="4" w:space="0" w:color="auto"/>
                  <w:bottom w:val="outset" w:sz="4" w:space="0" w:color="auto"/>
                  <w:right w:val="outset" w:sz="4" w:space="0" w:color="auto"/>
                </w:tcBorders>
                <w:vAlign w:val="center"/>
              </w:tcPr>
              <w:p w14:paraId="58013FFB" w14:textId="77777777" w:rsidR="00E57DAA" w:rsidRDefault="00AC4185">
                <w:pPr>
                  <w:ind w:firstLineChars="200" w:firstLine="420"/>
                </w:pPr>
                <w:r>
                  <w:t>3.其他权益工具投资公允价值变动</w:t>
                </w:r>
              </w:p>
            </w:tc>
            <w:tc>
              <w:tcPr>
                <w:tcW w:w="608" w:type="pct"/>
                <w:tcBorders>
                  <w:top w:val="outset" w:sz="4" w:space="0" w:color="auto"/>
                  <w:left w:val="outset" w:sz="4" w:space="0" w:color="auto"/>
                  <w:bottom w:val="outset" w:sz="4" w:space="0" w:color="auto"/>
                  <w:right w:val="outset" w:sz="4" w:space="0" w:color="auto"/>
                </w:tcBorders>
                <w:vAlign w:val="center"/>
              </w:tcPr>
              <w:p w14:paraId="43007260"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03309FD3"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7B70180C" w14:textId="77777777" w:rsidR="00E57DAA" w:rsidRDefault="00E57DAA">
                <w:pPr>
                  <w:jc w:val="right"/>
                  <w:rPr>
                    <w:szCs w:val="21"/>
                  </w:rPr>
                </w:pPr>
              </w:p>
            </w:tc>
          </w:tr>
          <w:tr w:rsidR="00E57DAA" w14:paraId="442074C6" w14:textId="77777777">
            <w:tc>
              <w:tcPr>
                <w:tcW w:w="2166" w:type="pct"/>
                <w:tcBorders>
                  <w:top w:val="outset" w:sz="4" w:space="0" w:color="auto"/>
                  <w:left w:val="outset" w:sz="4" w:space="0" w:color="auto"/>
                  <w:bottom w:val="outset" w:sz="4" w:space="0" w:color="auto"/>
                  <w:right w:val="outset" w:sz="4" w:space="0" w:color="auto"/>
                </w:tcBorders>
                <w:vAlign w:val="center"/>
              </w:tcPr>
              <w:p w14:paraId="35C7B986" w14:textId="77777777" w:rsidR="00E57DAA" w:rsidRDefault="00AC4185">
                <w:pPr>
                  <w:ind w:firstLineChars="200" w:firstLine="420"/>
                </w:pPr>
                <w:r>
                  <w:t>4.企业自身信用风险公允价值变动</w:t>
                </w:r>
              </w:p>
            </w:tc>
            <w:tc>
              <w:tcPr>
                <w:tcW w:w="608" w:type="pct"/>
                <w:tcBorders>
                  <w:top w:val="outset" w:sz="4" w:space="0" w:color="auto"/>
                  <w:left w:val="outset" w:sz="4" w:space="0" w:color="auto"/>
                  <w:bottom w:val="outset" w:sz="4" w:space="0" w:color="auto"/>
                  <w:right w:val="outset" w:sz="4" w:space="0" w:color="auto"/>
                </w:tcBorders>
                <w:vAlign w:val="center"/>
              </w:tcPr>
              <w:p w14:paraId="4A251D73"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0CE7A178"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2D2A2028" w14:textId="77777777" w:rsidR="00E57DAA" w:rsidRDefault="00E57DAA">
                <w:pPr>
                  <w:jc w:val="right"/>
                  <w:rPr>
                    <w:szCs w:val="21"/>
                  </w:rPr>
                </w:pPr>
              </w:p>
            </w:tc>
          </w:tr>
          <w:tr w:rsidR="00E57DAA" w14:paraId="24369D72" w14:textId="77777777">
            <w:tc>
              <w:tcPr>
                <w:tcW w:w="2166" w:type="pct"/>
                <w:tcBorders>
                  <w:top w:val="outset" w:sz="4" w:space="0" w:color="auto"/>
                  <w:left w:val="outset" w:sz="4" w:space="0" w:color="auto"/>
                  <w:bottom w:val="outset" w:sz="4" w:space="0" w:color="auto"/>
                  <w:right w:val="outset" w:sz="4" w:space="0" w:color="auto"/>
                </w:tcBorders>
                <w:vAlign w:val="center"/>
              </w:tcPr>
              <w:p w14:paraId="2C2CAC65" w14:textId="77777777" w:rsidR="00E57DAA" w:rsidRDefault="00AC4185">
                <w:pPr>
                  <w:ind w:firstLineChars="100" w:firstLine="210"/>
                  <w:rPr>
                    <w:szCs w:val="21"/>
                  </w:rPr>
                </w:pPr>
                <w:r>
                  <w:rPr>
                    <w:rFonts w:hint="eastAsia"/>
                    <w:szCs w:val="21"/>
                  </w:rPr>
                  <w:t>（二）将重分类进损益的其他综合收益</w:t>
                </w:r>
              </w:p>
            </w:tc>
            <w:tc>
              <w:tcPr>
                <w:tcW w:w="608" w:type="pct"/>
                <w:tcBorders>
                  <w:top w:val="outset" w:sz="4" w:space="0" w:color="auto"/>
                  <w:left w:val="outset" w:sz="4" w:space="0" w:color="auto"/>
                  <w:bottom w:val="outset" w:sz="4" w:space="0" w:color="auto"/>
                  <w:right w:val="outset" w:sz="4" w:space="0" w:color="auto"/>
                </w:tcBorders>
                <w:vAlign w:val="center"/>
              </w:tcPr>
              <w:p w14:paraId="48DE57B6"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4D7C3BA" w14:textId="77777777" w:rsidR="00E57DAA" w:rsidRDefault="00AC4185">
                <w:pPr>
                  <w:jc w:val="right"/>
                  <w:rPr>
                    <w:szCs w:val="21"/>
                  </w:rPr>
                </w:pPr>
                <w:r>
                  <w:t>-1,803,624.18</w:t>
                </w:r>
              </w:p>
            </w:tc>
            <w:tc>
              <w:tcPr>
                <w:tcW w:w="1115" w:type="pct"/>
                <w:tcBorders>
                  <w:top w:val="outset" w:sz="4" w:space="0" w:color="auto"/>
                  <w:left w:val="outset" w:sz="4" w:space="0" w:color="auto"/>
                  <w:bottom w:val="outset" w:sz="4" w:space="0" w:color="auto"/>
                  <w:right w:val="outset" w:sz="4" w:space="0" w:color="auto"/>
                </w:tcBorders>
                <w:vAlign w:val="center"/>
              </w:tcPr>
              <w:p w14:paraId="347C6B8C" w14:textId="77777777" w:rsidR="00E57DAA" w:rsidRDefault="00AC4185">
                <w:pPr>
                  <w:jc w:val="right"/>
                  <w:rPr>
                    <w:szCs w:val="21"/>
                  </w:rPr>
                </w:pPr>
                <w:r>
                  <w:t>2,558,959.33</w:t>
                </w:r>
              </w:p>
            </w:tc>
          </w:tr>
          <w:tr w:rsidR="00E57DAA" w14:paraId="27FE26A9" w14:textId="77777777">
            <w:tc>
              <w:tcPr>
                <w:tcW w:w="2166" w:type="pct"/>
                <w:tcBorders>
                  <w:top w:val="outset" w:sz="4" w:space="0" w:color="auto"/>
                  <w:left w:val="outset" w:sz="4" w:space="0" w:color="auto"/>
                  <w:bottom w:val="outset" w:sz="4" w:space="0" w:color="auto"/>
                  <w:right w:val="outset" w:sz="4" w:space="0" w:color="auto"/>
                </w:tcBorders>
                <w:vAlign w:val="center"/>
              </w:tcPr>
              <w:p w14:paraId="5E42F21C" w14:textId="77777777" w:rsidR="00E57DAA" w:rsidRDefault="00AC4185">
                <w:pPr>
                  <w:ind w:firstLineChars="200" w:firstLine="420"/>
                  <w:rPr>
                    <w:szCs w:val="21"/>
                  </w:rPr>
                </w:pPr>
                <w:r>
                  <w:rPr>
                    <w:szCs w:val="21"/>
                  </w:rPr>
                  <w:t>1.权益法下可转损益的其他综合收益</w:t>
                </w:r>
              </w:p>
            </w:tc>
            <w:tc>
              <w:tcPr>
                <w:tcW w:w="608" w:type="pct"/>
                <w:tcBorders>
                  <w:top w:val="outset" w:sz="4" w:space="0" w:color="auto"/>
                  <w:left w:val="outset" w:sz="4" w:space="0" w:color="auto"/>
                  <w:bottom w:val="outset" w:sz="4" w:space="0" w:color="auto"/>
                  <w:right w:val="outset" w:sz="4" w:space="0" w:color="auto"/>
                </w:tcBorders>
                <w:vAlign w:val="center"/>
              </w:tcPr>
              <w:p w14:paraId="494EF1E4"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4A289DF" w14:textId="77777777" w:rsidR="00E57DAA" w:rsidRDefault="00AC4185">
                <w:pPr>
                  <w:jc w:val="right"/>
                  <w:rPr>
                    <w:szCs w:val="21"/>
                  </w:rPr>
                </w:pPr>
                <w:r>
                  <w:t>210,223.44</w:t>
                </w:r>
              </w:p>
            </w:tc>
            <w:tc>
              <w:tcPr>
                <w:tcW w:w="1115" w:type="pct"/>
                <w:tcBorders>
                  <w:top w:val="outset" w:sz="4" w:space="0" w:color="auto"/>
                  <w:left w:val="outset" w:sz="4" w:space="0" w:color="auto"/>
                  <w:bottom w:val="outset" w:sz="4" w:space="0" w:color="auto"/>
                  <w:right w:val="outset" w:sz="4" w:space="0" w:color="auto"/>
                </w:tcBorders>
                <w:vAlign w:val="center"/>
              </w:tcPr>
              <w:p w14:paraId="1A902C3F" w14:textId="77777777" w:rsidR="00E57DAA" w:rsidRDefault="00AC4185">
                <w:pPr>
                  <w:jc w:val="right"/>
                  <w:rPr>
                    <w:szCs w:val="21"/>
                  </w:rPr>
                </w:pPr>
                <w:r>
                  <w:t>545,111.71</w:t>
                </w:r>
              </w:p>
            </w:tc>
          </w:tr>
          <w:tr w:rsidR="00E57DAA" w14:paraId="61282B3E" w14:textId="77777777">
            <w:tc>
              <w:tcPr>
                <w:tcW w:w="2166" w:type="pct"/>
                <w:tcBorders>
                  <w:top w:val="outset" w:sz="4" w:space="0" w:color="auto"/>
                  <w:left w:val="outset" w:sz="4" w:space="0" w:color="auto"/>
                  <w:bottom w:val="outset" w:sz="4" w:space="0" w:color="auto"/>
                  <w:right w:val="outset" w:sz="4" w:space="0" w:color="auto"/>
                </w:tcBorders>
                <w:vAlign w:val="center"/>
              </w:tcPr>
              <w:p w14:paraId="5C1DD698" w14:textId="77777777" w:rsidR="00E57DAA" w:rsidRDefault="00AC4185">
                <w:pPr>
                  <w:ind w:firstLineChars="200" w:firstLine="420"/>
                </w:pPr>
                <w:r>
                  <w:rPr>
                    <w:szCs w:val="21"/>
                  </w:rPr>
                  <w:t>2.</w:t>
                </w:r>
                <w:r>
                  <w:t>其他债权投资公允价值变动</w:t>
                </w:r>
              </w:p>
            </w:tc>
            <w:tc>
              <w:tcPr>
                <w:tcW w:w="608" w:type="pct"/>
                <w:tcBorders>
                  <w:top w:val="outset" w:sz="4" w:space="0" w:color="auto"/>
                  <w:left w:val="outset" w:sz="4" w:space="0" w:color="auto"/>
                  <w:bottom w:val="outset" w:sz="4" w:space="0" w:color="auto"/>
                  <w:right w:val="outset" w:sz="4" w:space="0" w:color="auto"/>
                </w:tcBorders>
                <w:vAlign w:val="center"/>
              </w:tcPr>
              <w:p w14:paraId="7FBE5DB5"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451DD673"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24B8D09F" w14:textId="77777777" w:rsidR="00E57DAA" w:rsidRDefault="00E57DAA">
                <w:pPr>
                  <w:jc w:val="right"/>
                  <w:rPr>
                    <w:szCs w:val="21"/>
                  </w:rPr>
                </w:pPr>
              </w:p>
            </w:tc>
          </w:tr>
          <w:tr w:rsidR="00E57DAA" w14:paraId="0BA80C81" w14:textId="77777777">
            <w:tc>
              <w:tcPr>
                <w:tcW w:w="2166" w:type="pct"/>
                <w:tcBorders>
                  <w:top w:val="outset" w:sz="4" w:space="0" w:color="auto"/>
                  <w:left w:val="outset" w:sz="4" w:space="0" w:color="auto"/>
                  <w:bottom w:val="outset" w:sz="4" w:space="0" w:color="auto"/>
                  <w:right w:val="outset" w:sz="4" w:space="0" w:color="auto"/>
                </w:tcBorders>
                <w:vAlign w:val="center"/>
              </w:tcPr>
              <w:p w14:paraId="5D0FCE4D" w14:textId="77777777" w:rsidR="00E57DAA" w:rsidRDefault="00AC4185">
                <w:pPr>
                  <w:ind w:firstLineChars="200" w:firstLine="420"/>
                </w:pPr>
                <w:r>
                  <w:t>3.金融资产重分类计入其他综合收益的金额</w:t>
                </w:r>
              </w:p>
            </w:tc>
            <w:tc>
              <w:tcPr>
                <w:tcW w:w="608" w:type="pct"/>
                <w:tcBorders>
                  <w:top w:val="outset" w:sz="4" w:space="0" w:color="auto"/>
                  <w:left w:val="outset" w:sz="4" w:space="0" w:color="auto"/>
                  <w:bottom w:val="outset" w:sz="4" w:space="0" w:color="auto"/>
                  <w:right w:val="outset" w:sz="4" w:space="0" w:color="auto"/>
                </w:tcBorders>
                <w:vAlign w:val="center"/>
              </w:tcPr>
              <w:p w14:paraId="426A4593"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01FBFDEF"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3B497205" w14:textId="77777777" w:rsidR="00E57DAA" w:rsidRDefault="00E57DAA">
                <w:pPr>
                  <w:jc w:val="right"/>
                  <w:rPr>
                    <w:szCs w:val="21"/>
                  </w:rPr>
                </w:pPr>
              </w:p>
            </w:tc>
          </w:tr>
          <w:tr w:rsidR="00E57DAA" w14:paraId="00CBD4C8" w14:textId="77777777">
            <w:tc>
              <w:tcPr>
                <w:tcW w:w="2166" w:type="pct"/>
                <w:tcBorders>
                  <w:top w:val="outset" w:sz="4" w:space="0" w:color="auto"/>
                  <w:left w:val="outset" w:sz="4" w:space="0" w:color="auto"/>
                  <w:bottom w:val="outset" w:sz="4" w:space="0" w:color="auto"/>
                  <w:right w:val="outset" w:sz="4" w:space="0" w:color="auto"/>
                </w:tcBorders>
                <w:vAlign w:val="center"/>
              </w:tcPr>
              <w:p w14:paraId="48F45D72" w14:textId="77777777" w:rsidR="00E57DAA" w:rsidRDefault="00AC4185">
                <w:pPr>
                  <w:ind w:firstLineChars="200" w:firstLine="420"/>
                </w:pPr>
                <w:r>
                  <w:t>4.其他债权投资信用减值准备</w:t>
                </w:r>
              </w:p>
            </w:tc>
            <w:tc>
              <w:tcPr>
                <w:tcW w:w="608" w:type="pct"/>
                <w:tcBorders>
                  <w:top w:val="outset" w:sz="4" w:space="0" w:color="auto"/>
                  <w:left w:val="outset" w:sz="4" w:space="0" w:color="auto"/>
                  <w:bottom w:val="outset" w:sz="4" w:space="0" w:color="auto"/>
                  <w:right w:val="outset" w:sz="4" w:space="0" w:color="auto"/>
                </w:tcBorders>
                <w:vAlign w:val="center"/>
              </w:tcPr>
              <w:p w14:paraId="61B1BB2C"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7A66823D"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499F56A5" w14:textId="77777777" w:rsidR="00E57DAA" w:rsidRDefault="00E57DAA">
                <w:pPr>
                  <w:jc w:val="right"/>
                  <w:rPr>
                    <w:szCs w:val="21"/>
                  </w:rPr>
                </w:pPr>
              </w:p>
            </w:tc>
          </w:tr>
          <w:tr w:rsidR="00E57DAA" w14:paraId="153EFDAD" w14:textId="77777777">
            <w:tc>
              <w:tcPr>
                <w:tcW w:w="2166" w:type="pct"/>
                <w:tcBorders>
                  <w:top w:val="outset" w:sz="4" w:space="0" w:color="auto"/>
                  <w:left w:val="outset" w:sz="4" w:space="0" w:color="auto"/>
                  <w:bottom w:val="outset" w:sz="4" w:space="0" w:color="auto"/>
                  <w:right w:val="outset" w:sz="4" w:space="0" w:color="auto"/>
                </w:tcBorders>
                <w:vAlign w:val="center"/>
              </w:tcPr>
              <w:p w14:paraId="26AEB228" w14:textId="77777777" w:rsidR="00E57DAA" w:rsidRDefault="00AC4185">
                <w:pPr>
                  <w:ind w:firstLineChars="200" w:firstLine="420"/>
                </w:pPr>
                <w:r>
                  <w:t>5.现金流量套期储备</w:t>
                </w:r>
              </w:p>
            </w:tc>
            <w:tc>
              <w:tcPr>
                <w:tcW w:w="608" w:type="pct"/>
                <w:tcBorders>
                  <w:top w:val="outset" w:sz="4" w:space="0" w:color="auto"/>
                  <w:left w:val="outset" w:sz="4" w:space="0" w:color="auto"/>
                  <w:bottom w:val="outset" w:sz="4" w:space="0" w:color="auto"/>
                  <w:right w:val="outset" w:sz="4" w:space="0" w:color="auto"/>
                </w:tcBorders>
              </w:tcPr>
              <w:p w14:paraId="16F57689"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1D1281E" w14:textId="77777777" w:rsidR="00E57DAA" w:rsidRDefault="00AC4185">
                <w:pPr>
                  <w:jc w:val="right"/>
                  <w:rPr>
                    <w:szCs w:val="21"/>
                  </w:rPr>
                </w:pPr>
                <w:r>
                  <w:t>-2,013,847.62</w:t>
                </w:r>
              </w:p>
            </w:tc>
            <w:tc>
              <w:tcPr>
                <w:tcW w:w="1115" w:type="pct"/>
                <w:tcBorders>
                  <w:top w:val="outset" w:sz="4" w:space="0" w:color="auto"/>
                  <w:left w:val="outset" w:sz="4" w:space="0" w:color="auto"/>
                  <w:bottom w:val="outset" w:sz="4" w:space="0" w:color="auto"/>
                  <w:right w:val="outset" w:sz="4" w:space="0" w:color="auto"/>
                </w:tcBorders>
                <w:vAlign w:val="center"/>
              </w:tcPr>
              <w:p w14:paraId="2FFCEDE4" w14:textId="77777777" w:rsidR="00E57DAA" w:rsidRDefault="00AC4185">
                <w:pPr>
                  <w:jc w:val="right"/>
                  <w:rPr>
                    <w:szCs w:val="21"/>
                  </w:rPr>
                </w:pPr>
                <w:r>
                  <w:t>2,013,847.62</w:t>
                </w:r>
              </w:p>
            </w:tc>
          </w:tr>
          <w:tr w:rsidR="00E57DAA" w14:paraId="353C6744" w14:textId="77777777">
            <w:tc>
              <w:tcPr>
                <w:tcW w:w="2166" w:type="pct"/>
                <w:tcBorders>
                  <w:top w:val="outset" w:sz="4" w:space="0" w:color="auto"/>
                  <w:left w:val="outset" w:sz="4" w:space="0" w:color="auto"/>
                  <w:bottom w:val="outset" w:sz="4" w:space="0" w:color="auto"/>
                  <w:right w:val="outset" w:sz="4" w:space="0" w:color="auto"/>
                </w:tcBorders>
                <w:vAlign w:val="center"/>
              </w:tcPr>
              <w:p w14:paraId="2C969204" w14:textId="77777777" w:rsidR="00E57DAA" w:rsidRDefault="00AC4185">
                <w:pPr>
                  <w:ind w:firstLineChars="200" w:firstLine="420"/>
                </w:pPr>
                <w:r>
                  <w:t>6.外币财务报表折算差额</w:t>
                </w:r>
              </w:p>
            </w:tc>
            <w:tc>
              <w:tcPr>
                <w:tcW w:w="608" w:type="pct"/>
                <w:tcBorders>
                  <w:top w:val="outset" w:sz="4" w:space="0" w:color="auto"/>
                  <w:left w:val="outset" w:sz="4" w:space="0" w:color="auto"/>
                  <w:bottom w:val="outset" w:sz="4" w:space="0" w:color="auto"/>
                  <w:right w:val="outset" w:sz="4" w:space="0" w:color="auto"/>
                </w:tcBorders>
              </w:tcPr>
              <w:p w14:paraId="276C77D3"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073DA15D"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626419BE" w14:textId="77777777" w:rsidR="00E57DAA" w:rsidRDefault="00E57DAA">
                <w:pPr>
                  <w:jc w:val="right"/>
                  <w:rPr>
                    <w:szCs w:val="21"/>
                  </w:rPr>
                </w:pPr>
              </w:p>
            </w:tc>
          </w:tr>
          <w:tr w:rsidR="00E57DAA" w14:paraId="7492516C" w14:textId="77777777">
            <w:tc>
              <w:tcPr>
                <w:tcW w:w="2166" w:type="pct"/>
                <w:tcBorders>
                  <w:top w:val="outset" w:sz="4" w:space="0" w:color="auto"/>
                  <w:left w:val="outset" w:sz="4" w:space="0" w:color="auto"/>
                  <w:bottom w:val="outset" w:sz="4" w:space="0" w:color="auto"/>
                  <w:right w:val="outset" w:sz="4" w:space="0" w:color="auto"/>
                </w:tcBorders>
                <w:vAlign w:val="center"/>
              </w:tcPr>
              <w:p w14:paraId="69525BFD" w14:textId="77777777" w:rsidR="00E57DAA" w:rsidRDefault="00AC4185">
                <w:pPr>
                  <w:ind w:firstLineChars="200" w:firstLine="420"/>
                </w:pPr>
                <w:r>
                  <w:t>7.其他</w:t>
                </w:r>
              </w:p>
            </w:tc>
            <w:tc>
              <w:tcPr>
                <w:tcW w:w="608" w:type="pct"/>
                <w:tcBorders>
                  <w:top w:val="outset" w:sz="4" w:space="0" w:color="auto"/>
                  <w:left w:val="outset" w:sz="4" w:space="0" w:color="auto"/>
                  <w:bottom w:val="outset" w:sz="4" w:space="0" w:color="auto"/>
                  <w:right w:val="outset" w:sz="4" w:space="0" w:color="auto"/>
                </w:tcBorders>
              </w:tcPr>
              <w:p w14:paraId="179FF345"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6E44694B"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51884A2C" w14:textId="77777777" w:rsidR="00E57DAA" w:rsidRDefault="00E57DAA">
                <w:pPr>
                  <w:jc w:val="right"/>
                  <w:rPr>
                    <w:szCs w:val="21"/>
                  </w:rPr>
                </w:pPr>
              </w:p>
            </w:tc>
          </w:tr>
          <w:tr w:rsidR="00E57DAA" w14:paraId="449CC6D2" w14:textId="77777777">
            <w:tc>
              <w:tcPr>
                <w:tcW w:w="2166" w:type="pct"/>
                <w:tcBorders>
                  <w:top w:val="outset" w:sz="4" w:space="0" w:color="auto"/>
                  <w:left w:val="outset" w:sz="4" w:space="0" w:color="auto"/>
                  <w:bottom w:val="outset" w:sz="4" w:space="0" w:color="auto"/>
                  <w:right w:val="outset" w:sz="4" w:space="0" w:color="auto"/>
                </w:tcBorders>
                <w:vAlign w:val="center"/>
              </w:tcPr>
              <w:p w14:paraId="2C4A9B77" w14:textId="77777777" w:rsidR="00E57DAA" w:rsidRDefault="00AC4185">
                <w:pPr>
                  <w:ind w:left="-19"/>
                  <w:rPr>
                    <w:szCs w:val="21"/>
                  </w:rPr>
                </w:pPr>
                <w:r>
                  <w:rPr>
                    <w:rFonts w:hint="eastAsia"/>
                    <w:szCs w:val="21"/>
                  </w:rPr>
                  <w:t>六、综合收益总额</w:t>
                </w:r>
              </w:p>
            </w:tc>
            <w:tc>
              <w:tcPr>
                <w:tcW w:w="608" w:type="pct"/>
                <w:tcBorders>
                  <w:top w:val="outset" w:sz="4" w:space="0" w:color="auto"/>
                  <w:left w:val="outset" w:sz="4" w:space="0" w:color="auto"/>
                  <w:bottom w:val="outset" w:sz="4" w:space="0" w:color="auto"/>
                  <w:right w:val="outset" w:sz="4" w:space="0" w:color="auto"/>
                </w:tcBorders>
              </w:tcPr>
              <w:p w14:paraId="453AE831"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FEA6FF8" w14:textId="77777777" w:rsidR="00E57DAA" w:rsidRDefault="00AC4185">
                <w:pPr>
                  <w:jc w:val="right"/>
                  <w:rPr>
                    <w:szCs w:val="21"/>
                  </w:rPr>
                </w:pPr>
                <w:r>
                  <w:t>861,402,219.59</w:t>
                </w:r>
              </w:p>
            </w:tc>
            <w:tc>
              <w:tcPr>
                <w:tcW w:w="1115" w:type="pct"/>
                <w:tcBorders>
                  <w:top w:val="outset" w:sz="4" w:space="0" w:color="auto"/>
                  <w:left w:val="outset" w:sz="4" w:space="0" w:color="auto"/>
                  <w:bottom w:val="outset" w:sz="4" w:space="0" w:color="auto"/>
                  <w:right w:val="outset" w:sz="4" w:space="0" w:color="auto"/>
                </w:tcBorders>
                <w:vAlign w:val="center"/>
              </w:tcPr>
              <w:p w14:paraId="5FD68AEE" w14:textId="77777777" w:rsidR="00E57DAA" w:rsidRDefault="00AC4185">
                <w:pPr>
                  <w:jc w:val="right"/>
                  <w:rPr>
                    <w:szCs w:val="21"/>
                  </w:rPr>
                </w:pPr>
                <w:r>
                  <w:t>418,696,799.25</w:t>
                </w:r>
              </w:p>
            </w:tc>
          </w:tr>
          <w:tr w:rsidR="00E57DAA" w14:paraId="636C7CE0" w14:textId="77777777">
            <w:sdt>
              <w:sdtPr>
                <w:tag w:val="_PLD_3b0447fd122e4105bde5cc49acaea414"/>
                <w:id w:val="-1455102118"/>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D843184" w14:textId="77777777" w:rsidR="00E57DAA" w:rsidRDefault="00AC4185">
                    <w:pPr>
                      <w:rPr>
                        <w:szCs w:val="21"/>
                      </w:rPr>
                    </w:pPr>
                    <w:r>
                      <w:rPr>
                        <w:rFonts w:hint="eastAsia"/>
                        <w:szCs w:val="21"/>
                      </w:rPr>
                      <w:t>七</w:t>
                    </w:r>
                    <w:r>
                      <w:rPr>
                        <w:szCs w:val="21"/>
                      </w:rPr>
                      <w:t>、每股收益：</w:t>
                    </w:r>
                  </w:p>
                </w:tc>
              </w:sdtContent>
            </w:sdt>
          </w:tr>
          <w:tr w:rsidR="00E57DAA" w14:paraId="0E2EBD5A" w14:textId="77777777">
            <w:tc>
              <w:tcPr>
                <w:tcW w:w="2166" w:type="pct"/>
                <w:tcBorders>
                  <w:top w:val="outset" w:sz="4" w:space="0" w:color="auto"/>
                  <w:left w:val="outset" w:sz="4" w:space="0" w:color="auto"/>
                  <w:bottom w:val="outset" w:sz="4" w:space="0" w:color="auto"/>
                  <w:right w:val="outset" w:sz="4" w:space="0" w:color="auto"/>
                </w:tcBorders>
                <w:vAlign w:val="center"/>
              </w:tcPr>
              <w:p w14:paraId="53FF9B1B" w14:textId="77777777" w:rsidR="00E57DAA" w:rsidRDefault="00AC4185">
                <w:pPr>
                  <w:ind w:left="-19" w:firstLineChars="200" w:firstLine="420"/>
                  <w:rPr>
                    <w:szCs w:val="21"/>
                  </w:rPr>
                </w:pPr>
                <w:r>
                  <w:rPr>
                    <w:szCs w:val="21"/>
                  </w:rPr>
                  <w:t>（一）基本每股收益</w:t>
                </w:r>
                <w:r>
                  <w:rPr>
                    <w:rFonts w:hint="eastAsia"/>
                    <w:szCs w:val="21"/>
                  </w:rPr>
                  <w:t>(元/股)</w:t>
                </w:r>
              </w:p>
            </w:tc>
            <w:tc>
              <w:tcPr>
                <w:tcW w:w="608" w:type="pct"/>
                <w:tcBorders>
                  <w:top w:val="outset" w:sz="4" w:space="0" w:color="auto"/>
                  <w:left w:val="outset" w:sz="4" w:space="0" w:color="auto"/>
                  <w:bottom w:val="outset" w:sz="4" w:space="0" w:color="auto"/>
                  <w:right w:val="outset" w:sz="4" w:space="0" w:color="auto"/>
                </w:tcBorders>
              </w:tcPr>
              <w:p w14:paraId="0FEE2CB5"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3F35E3AF"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116C98CD" w14:textId="77777777" w:rsidR="00E57DAA" w:rsidRDefault="00E57DAA">
                <w:pPr>
                  <w:jc w:val="right"/>
                  <w:rPr>
                    <w:szCs w:val="21"/>
                  </w:rPr>
                </w:pPr>
              </w:p>
            </w:tc>
          </w:tr>
          <w:tr w:rsidR="00E57DAA" w14:paraId="4084D80A" w14:textId="77777777">
            <w:tc>
              <w:tcPr>
                <w:tcW w:w="2166" w:type="pct"/>
                <w:tcBorders>
                  <w:top w:val="outset" w:sz="4" w:space="0" w:color="auto"/>
                  <w:left w:val="outset" w:sz="4" w:space="0" w:color="auto"/>
                  <w:bottom w:val="outset" w:sz="4" w:space="0" w:color="auto"/>
                  <w:right w:val="outset" w:sz="4" w:space="0" w:color="auto"/>
                </w:tcBorders>
                <w:vAlign w:val="center"/>
              </w:tcPr>
              <w:p w14:paraId="3222E71C" w14:textId="77777777" w:rsidR="00E57DAA" w:rsidRDefault="00AC4185">
                <w:pPr>
                  <w:ind w:left="-19" w:firstLineChars="200" w:firstLine="420"/>
                  <w:rPr>
                    <w:szCs w:val="21"/>
                  </w:rPr>
                </w:pPr>
                <w:r>
                  <w:rPr>
                    <w:szCs w:val="21"/>
                  </w:rPr>
                  <w:t>（二）稀释每股收益</w:t>
                </w:r>
                <w:r>
                  <w:rPr>
                    <w:rFonts w:hint="eastAsia"/>
                    <w:szCs w:val="21"/>
                  </w:rPr>
                  <w:t>(元/股)</w:t>
                </w:r>
              </w:p>
            </w:tc>
            <w:tc>
              <w:tcPr>
                <w:tcW w:w="608" w:type="pct"/>
                <w:tcBorders>
                  <w:top w:val="outset" w:sz="4" w:space="0" w:color="auto"/>
                  <w:left w:val="outset" w:sz="4" w:space="0" w:color="auto"/>
                  <w:bottom w:val="outset" w:sz="4" w:space="0" w:color="auto"/>
                  <w:right w:val="outset" w:sz="4" w:space="0" w:color="auto"/>
                </w:tcBorders>
              </w:tcPr>
              <w:p w14:paraId="0008E69B" w14:textId="77777777" w:rsidR="00E57DAA" w:rsidRDefault="00E57DAA">
                <w:pPr>
                  <w:rPr>
                    <w:szCs w:val="21"/>
                  </w:rPr>
                </w:pPr>
              </w:p>
            </w:tc>
            <w:tc>
              <w:tcPr>
                <w:tcW w:w="1110" w:type="pct"/>
                <w:tcBorders>
                  <w:top w:val="outset" w:sz="4" w:space="0" w:color="auto"/>
                  <w:left w:val="outset" w:sz="4" w:space="0" w:color="auto"/>
                  <w:bottom w:val="outset" w:sz="4" w:space="0" w:color="auto"/>
                  <w:right w:val="outset" w:sz="4" w:space="0" w:color="auto"/>
                </w:tcBorders>
              </w:tcPr>
              <w:p w14:paraId="70837C15" w14:textId="77777777" w:rsidR="00E57DAA" w:rsidRDefault="00E57DAA">
                <w:pPr>
                  <w:jc w:val="right"/>
                  <w:rPr>
                    <w:szCs w:val="21"/>
                  </w:rPr>
                </w:pPr>
              </w:p>
            </w:tc>
            <w:tc>
              <w:tcPr>
                <w:tcW w:w="1115" w:type="pct"/>
                <w:tcBorders>
                  <w:top w:val="outset" w:sz="4" w:space="0" w:color="auto"/>
                  <w:left w:val="outset" w:sz="4" w:space="0" w:color="auto"/>
                  <w:bottom w:val="outset" w:sz="4" w:space="0" w:color="auto"/>
                  <w:right w:val="outset" w:sz="4" w:space="0" w:color="auto"/>
                </w:tcBorders>
              </w:tcPr>
              <w:p w14:paraId="7F3C1F2C" w14:textId="77777777" w:rsidR="00E57DAA" w:rsidRDefault="00E57DAA">
                <w:pPr>
                  <w:jc w:val="right"/>
                  <w:rPr>
                    <w:szCs w:val="21"/>
                  </w:rPr>
                </w:pPr>
              </w:p>
            </w:tc>
          </w:tr>
        </w:tbl>
        <w:p w14:paraId="4360D79E" w14:textId="77777777" w:rsidR="00E57DAA" w:rsidRDefault="00E57DAA" w:rsidP="00C25422">
          <w:pPr>
            <w:pStyle w:val="92"/>
          </w:pPr>
        </w:p>
        <w:p w14:paraId="753C9605" w14:textId="77777777" w:rsidR="00E57DAA" w:rsidRDefault="00AC4185">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645892648"/>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265114683"/>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233518878"/>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305444EA" w14:textId="77777777" w:rsidR="00E57DAA" w:rsidRDefault="00E57DAA">
      <w:pPr>
        <w:rPr>
          <w:color w:val="FF0000"/>
          <w:szCs w:val="21"/>
        </w:rPr>
      </w:pPr>
    </w:p>
    <w:p w14:paraId="2BE48BAB" w14:textId="77777777" w:rsidR="00E57DAA" w:rsidRDefault="00E57DAA">
      <w:pPr>
        <w:rPr>
          <w:color w:val="FF0000"/>
          <w:szCs w:val="21"/>
        </w:rPr>
      </w:pPr>
    </w:p>
    <w:bookmarkEnd w:id="164" w:displacedByCustomXml="next"/>
    <w:bookmarkStart w:id="165" w:name="_Hlk1156136" w:displacedByCustomXml="next"/>
    <w:sdt>
      <w:sdtPr>
        <w:rPr>
          <w:rFonts w:hint="eastAsia"/>
          <w:b/>
          <w:bCs/>
          <w:szCs w:val="21"/>
        </w:rPr>
        <w:tag w:val="_GBC_17c43da24c7845d3aa093910aeaf2348"/>
        <w:id w:val="-1218977226"/>
        <w:placeholder>
          <w:docPart w:val="GBC22222222222222222222222222222"/>
        </w:placeholder>
      </w:sdtPr>
      <w:sdtEndPr>
        <w:rPr>
          <w:b w:val="0"/>
          <w:bCs w:val="0"/>
        </w:rPr>
      </w:sdtEndPr>
      <w:sdtContent>
        <w:p w14:paraId="79CEDD9C" w14:textId="77777777" w:rsidR="00E57DAA" w:rsidRDefault="00AC4185">
          <w:pPr>
            <w:jc w:val="center"/>
            <w:outlineLvl w:val="2"/>
            <w:rPr>
              <w:b/>
              <w:bCs/>
              <w:szCs w:val="21"/>
            </w:rPr>
          </w:pPr>
          <w:r>
            <w:rPr>
              <w:rFonts w:hint="eastAsia"/>
              <w:b/>
              <w:bCs/>
              <w:szCs w:val="21"/>
            </w:rPr>
            <w:t>合并</w:t>
          </w:r>
          <w:r>
            <w:rPr>
              <w:b/>
              <w:bCs/>
              <w:szCs w:val="21"/>
            </w:rPr>
            <w:t>现金流量表</w:t>
          </w:r>
        </w:p>
        <w:p w14:paraId="1018963F" w14:textId="77777777" w:rsidR="00E57DAA" w:rsidRDefault="00AC4185">
          <w:pPr>
            <w:jc w:val="center"/>
            <w:rPr>
              <w:b/>
              <w:bCs/>
              <w:szCs w:val="21"/>
            </w:rPr>
          </w:pPr>
          <w:r>
            <w:rPr>
              <w:szCs w:val="21"/>
            </w:rPr>
            <w:t>2023年</w:t>
          </w:r>
          <w:r>
            <w:rPr>
              <w:rFonts w:hint="eastAsia"/>
              <w:szCs w:val="21"/>
            </w:rPr>
            <w:t>1—12</w:t>
          </w:r>
          <w:r>
            <w:rPr>
              <w:szCs w:val="21"/>
            </w:rPr>
            <w:t>月</w:t>
          </w:r>
        </w:p>
        <w:p w14:paraId="1A48AA02" w14:textId="77777777" w:rsidR="00E57DAA" w:rsidRDefault="00AC4185">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521191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2065766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699"/>
            <w:gridCol w:w="893"/>
            <w:gridCol w:w="2119"/>
            <w:gridCol w:w="2112"/>
          </w:tblGrid>
          <w:tr w:rsidR="00E57DAA" w14:paraId="49148352" w14:textId="77777777">
            <w:tc>
              <w:tcPr>
                <w:tcW w:w="2096"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2016986409"/>
                </w:sdtPr>
                <w:sdtEndPr/>
                <w:sdtContent>
                  <w:p w14:paraId="70AECE43" w14:textId="77777777" w:rsidR="00E57DAA" w:rsidRDefault="00AC4185">
                    <w:pPr>
                      <w:jc w:val="center"/>
                      <w:rPr>
                        <w:b/>
                      </w:rPr>
                    </w:pPr>
                    <w:r>
                      <w:rPr>
                        <w:rFonts w:hint="eastAsia"/>
                        <w:b/>
                      </w:rPr>
                      <w:t>项目</w:t>
                    </w:r>
                  </w:p>
                </w:sdtContent>
              </w:sdt>
            </w:tc>
            <w:tc>
              <w:tcPr>
                <w:tcW w:w="506"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1701158911"/>
                </w:sdtPr>
                <w:sdtEndPr/>
                <w:sdtContent>
                  <w:p w14:paraId="7D2BE1BD" w14:textId="77777777" w:rsidR="00E57DAA" w:rsidRDefault="00AC4185">
                    <w:pPr>
                      <w:jc w:val="center"/>
                      <w:rPr>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1855920648"/>
                </w:sdtPr>
                <w:sdtEndPr/>
                <w:sdtContent>
                  <w:p w14:paraId="1780042D" w14:textId="77777777" w:rsidR="00E57DAA" w:rsidRDefault="00AC4185">
                    <w:pPr>
                      <w:autoSpaceDE w:val="0"/>
                      <w:autoSpaceDN w:val="0"/>
                      <w:adjustRightInd w:val="0"/>
                      <w:jc w:val="center"/>
                      <w:rPr>
                        <w:b/>
                      </w:rPr>
                    </w:pPr>
                    <w:r>
                      <w:rPr>
                        <w:rFonts w:hint="eastAsia"/>
                        <w:b/>
                      </w:rPr>
                      <w:t>2023年度</w:t>
                    </w:r>
                  </w:p>
                </w:sdtContent>
              </w:sdt>
            </w:tc>
            <w:tc>
              <w:tcPr>
                <w:tcW w:w="1197"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34926678"/>
                </w:sdtPr>
                <w:sdtEndPr/>
                <w:sdtContent>
                  <w:p w14:paraId="252CF735" w14:textId="77777777" w:rsidR="00E57DAA" w:rsidRDefault="00AC4185">
                    <w:pPr>
                      <w:autoSpaceDE w:val="0"/>
                      <w:autoSpaceDN w:val="0"/>
                      <w:adjustRightInd w:val="0"/>
                      <w:jc w:val="center"/>
                      <w:rPr>
                        <w:b/>
                      </w:rPr>
                    </w:pPr>
                    <w:r>
                      <w:rPr>
                        <w:rFonts w:hint="eastAsia"/>
                        <w:b/>
                      </w:rPr>
                      <w:t>2022年度</w:t>
                    </w:r>
                  </w:p>
                </w:sdtContent>
              </w:sdt>
            </w:tc>
          </w:tr>
          <w:tr w:rsidR="00E57DAA" w14:paraId="71AC3FC3" w14:textId="77777777">
            <w:sdt>
              <w:sdtPr>
                <w:tag w:val="_PLD_c03c8258c1684fb989d96332af6834de"/>
                <w:id w:val="1891382573"/>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32FEBD2D" w14:textId="77777777" w:rsidR="00E57DAA" w:rsidRDefault="00AC4185">
                    <w:pPr>
                      <w:rPr>
                        <w:szCs w:val="21"/>
                      </w:rPr>
                    </w:pPr>
                    <w:r>
                      <w:rPr>
                        <w:rFonts w:hint="eastAsia"/>
                        <w:b/>
                        <w:bCs/>
                        <w:szCs w:val="21"/>
                      </w:rPr>
                      <w:t>一、经营活动产生的现金流量：</w:t>
                    </w:r>
                  </w:p>
                </w:tc>
              </w:sdtContent>
            </w:sdt>
          </w:tr>
          <w:tr w:rsidR="00E57DAA" w14:paraId="2A4F5151" w14:textId="77777777">
            <w:tc>
              <w:tcPr>
                <w:tcW w:w="2096" w:type="pct"/>
                <w:tcBorders>
                  <w:top w:val="outset" w:sz="4" w:space="0" w:color="auto"/>
                  <w:left w:val="outset" w:sz="4" w:space="0" w:color="auto"/>
                  <w:bottom w:val="outset" w:sz="4" w:space="0" w:color="auto"/>
                  <w:right w:val="outset" w:sz="4" w:space="0" w:color="auto"/>
                </w:tcBorders>
              </w:tcPr>
              <w:p w14:paraId="78170290" w14:textId="77777777" w:rsidR="00E57DAA" w:rsidRDefault="00AC4185">
                <w:pPr>
                  <w:ind w:firstLineChars="100" w:firstLine="210"/>
                  <w:rPr>
                    <w:color w:val="000000"/>
                    <w:szCs w:val="21"/>
                  </w:rPr>
                </w:pPr>
                <w:r>
                  <w:rPr>
                    <w:rFonts w:hint="eastAsia"/>
                    <w:szCs w:val="21"/>
                  </w:rPr>
                  <w:t>销售商品、提供劳务收到的现金</w:t>
                </w:r>
              </w:p>
            </w:tc>
            <w:tc>
              <w:tcPr>
                <w:tcW w:w="506" w:type="pct"/>
                <w:tcBorders>
                  <w:top w:val="outset" w:sz="4" w:space="0" w:color="auto"/>
                  <w:left w:val="outset" w:sz="4" w:space="0" w:color="auto"/>
                  <w:bottom w:val="outset" w:sz="4" w:space="0" w:color="auto"/>
                  <w:right w:val="outset" w:sz="4" w:space="0" w:color="auto"/>
                </w:tcBorders>
              </w:tcPr>
              <w:p w14:paraId="25CA4FB7"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D60EDA1" w14:textId="77777777" w:rsidR="00E57DAA" w:rsidRDefault="00AC4185">
                <w:pPr>
                  <w:jc w:val="right"/>
                  <w:rPr>
                    <w:szCs w:val="21"/>
                  </w:rPr>
                </w:pPr>
                <w:r>
                  <w:t>37,501,747,602.40</w:t>
                </w:r>
              </w:p>
            </w:tc>
            <w:tc>
              <w:tcPr>
                <w:tcW w:w="1197" w:type="pct"/>
                <w:tcBorders>
                  <w:top w:val="outset" w:sz="4" w:space="0" w:color="auto"/>
                  <w:left w:val="outset" w:sz="4" w:space="0" w:color="auto"/>
                  <w:bottom w:val="outset" w:sz="4" w:space="0" w:color="auto"/>
                  <w:right w:val="outset" w:sz="4" w:space="0" w:color="auto"/>
                </w:tcBorders>
                <w:vAlign w:val="center"/>
              </w:tcPr>
              <w:p w14:paraId="6A8924A2" w14:textId="77777777" w:rsidR="00E57DAA" w:rsidRDefault="00AC4185">
                <w:pPr>
                  <w:jc w:val="right"/>
                  <w:rPr>
                    <w:szCs w:val="21"/>
                  </w:rPr>
                </w:pPr>
                <w:r>
                  <w:t>35,615,168,444.25</w:t>
                </w:r>
              </w:p>
            </w:tc>
          </w:tr>
          <w:tr w:rsidR="00E57DAA" w14:paraId="7D478F20" w14:textId="77777777">
            <w:tc>
              <w:tcPr>
                <w:tcW w:w="2096" w:type="pct"/>
                <w:tcBorders>
                  <w:top w:val="outset" w:sz="4" w:space="0" w:color="auto"/>
                  <w:left w:val="outset" w:sz="4" w:space="0" w:color="auto"/>
                  <w:bottom w:val="outset" w:sz="4" w:space="0" w:color="auto"/>
                  <w:right w:val="outset" w:sz="4" w:space="0" w:color="auto"/>
                </w:tcBorders>
              </w:tcPr>
              <w:p w14:paraId="3FEF4A92" w14:textId="77777777" w:rsidR="00E57DAA" w:rsidRDefault="00AC4185">
                <w:pPr>
                  <w:ind w:firstLineChars="100" w:firstLine="210"/>
                  <w:rPr>
                    <w:szCs w:val="21"/>
                  </w:rPr>
                </w:pPr>
                <w:r>
                  <w:rPr>
                    <w:rFonts w:hint="eastAsia"/>
                    <w:szCs w:val="21"/>
                  </w:rPr>
                  <w:t>客户存款和同业存放款项净增加额</w:t>
                </w:r>
              </w:p>
            </w:tc>
            <w:tc>
              <w:tcPr>
                <w:tcW w:w="506" w:type="pct"/>
                <w:tcBorders>
                  <w:top w:val="outset" w:sz="4" w:space="0" w:color="auto"/>
                  <w:left w:val="outset" w:sz="4" w:space="0" w:color="auto"/>
                  <w:bottom w:val="outset" w:sz="4" w:space="0" w:color="auto"/>
                  <w:right w:val="outset" w:sz="4" w:space="0" w:color="auto"/>
                </w:tcBorders>
              </w:tcPr>
              <w:p w14:paraId="5A0C9B14"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30A63884"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3D2E928" w14:textId="77777777" w:rsidR="00E57DAA" w:rsidRDefault="00E57DAA">
                <w:pPr>
                  <w:jc w:val="right"/>
                  <w:rPr>
                    <w:szCs w:val="21"/>
                  </w:rPr>
                </w:pPr>
              </w:p>
            </w:tc>
          </w:tr>
          <w:tr w:rsidR="00E57DAA" w14:paraId="382CCACD" w14:textId="77777777">
            <w:tc>
              <w:tcPr>
                <w:tcW w:w="2096" w:type="pct"/>
                <w:tcBorders>
                  <w:top w:val="outset" w:sz="4" w:space="0" w:color="auto"/>
                  <w:left w:val="outset" w:sz="4" w:space="0" w:color="auto"/>
                  <w:bottom w:val="outset" w:sz="4" w:space="0" w:color="auto"/>
                  <w:right w:val="outset" w:sz="4" w:space="0" w:color="auto"/>
                </w:tcBorders>
              </w:tcPr>
              <w:p w14:paraId="3D4AB889" w14:textId="77777777" w:rsidR="00E57DAA" w:rsidRDefault="00AC4185">
                <w:pPr>
                  <w:ind w:firstLineChars="100" w:firstLine="210"/>
                  <w:rPr>
                    <w:szCs w:val="21"/>
                  </w:rPr>
                </w:pPr>
                <w:r>
                  <w:rPr>
                    <w:rFonts w:hint="eastAsia"/>
                    <w:szCs w:val="21"/>
                  </w:rPr>
                  <w:t>向中央银行借款净增加额</w:t>
                </w:r>
              </w:p>
            </w:tc>
            <w:tc>
              <w:tcPr>
                <w:tcW w:w="506" w:type="pct"/>
                <w:tcBorders>
                  <w:top w:val="outset" w:sz="4" w:space="0" w:color="auto"/>
                  <w:left w:val="outset" w:sz="4" w:space="0" w:color="auto"/>
                  <w:bottom w:val="outset" w:sz="4" w:space="0" w:color="auto"/>
                  <w:right w:val="outset" w:sz="4" w:space="0" w:color="auto"/>
                </w:tcBorders>
              </w:tcPr>
              <w:p w14:paraId="7696279F"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797B0661"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FB0AEBF" w14:textId="77777777" w:rsidR="00E57DAA" w:rsidRDefault="00E57DAA">
                <w:pPr>
                  <w:jc w:val="right"/>
                  <w:rPr>
                    <w:szCs w:val="21"/>
                  </w:rPr>
                </w:pPr>
              </w:p>
            </w:tc>
          </w:tr>
          <w:tr w:rsidR="00E57DAA" w14:paraId="1C75CAA4" w14:textId="77777777">
            <w:tc>
              <w:tcPr>
                <w:tcW w:w="2096" w:type="pct"/>
                <w:tcBorders>
                  <w:top w:val="outset" w:sz="4" w:space="0" w:color="auto"/>
                  <w:left w:val="outset" w:sz="4" w:space="0" w:color="auto"/>
                  <w:bottom w:val="outset" w:sz="4" w:space="0" w:color="auto"/>
                  <w:right w:val="outset" w:sz="4" w:space="0" w:color="auto"/>
                </w:tcBorders>
              </w:tcPr>
              <w:p w14:paraId="296CE63A" w14:textId="77777777" w:rsidR="00E57DAA" w:rsidRDefault="00AC4185">
                <w:pPr>
                  <w:ind w:firstLineChars="100" w:firstLine="210"/>
                  <w:rPr>
                    <w:szCs w:val="21"/>
                  </w:rPr>
                </w:pPr>
                <w:r>
                  <w:rPr>
                    <w:rFonts w:hint="eastAsia"/>
                    <w:szCs w:val="21"/>
                  </w:rPr>
                  <w:t>向其他金融机构拆入资金净增加额</w:t>
                </w:r>
              </w:p>
            </w:tc>
            <w:tc>
              <w:tcPr>
                <w:tcW w:w="506" w:type="pct"/>
                <w:tcBorders>
                  <w:top w:val="outset" w:sz="4" w:space="0" w:color="auto"/>
                  <w:left w:val="outset" w:sz="4" w:space="0" w:color="auto"/>
                  <w:bottom w:val="outset" w:sz="4" w:space="0" w:color="auto"/>
                  <w:right w:val="outset" w:sz="4" w:space="0" w:color="auto"/>
                </w:tcBorders>
              </w:tcPr>
              <w:p w14:paraId="51C90B0C"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28B9AC3E"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6119B0A" w14:textId="77777777" w:rsidR="00E57DAA" w:rsidRDefault="00E57DAA">
                <w:pPr>
                  <w:jc w:val="right"/>
                  <w:rPr>
                    <w:szCs w:val="21"/>
                  </w:rPr>
                </w:pPr>
              </w:p>
            </w:tc>
          </w:tr>
          <w:tr w:rsidR="00E57DAA" w14:paraId="3294A183" w14:textId="77777777">
            <w:tc>
              <w:tcPr>
                <w:tcW w:w="2096" w:type="pct"/>
                <w:tcBorders>
                  <w:top w:val="outset" w:sz="4" w:space="0" w:color="auto"/>
                  <w:left w:val="outset" w:sz="4" w:space="0" w:color="auto"/>
                  <w:bottom w:val="outset" w:sz="4" w:space="0" w:color="auto"/>
                  <w:right w:val="outset" w:sz="4" w:space="0" w:color="auto"/>
                </w:tcBorders>
              </w:tcPr>
              <w:p w14:paraId="6DEBC0BB" w14:textId="77777777" w:rsidR="00E57DAA" w:rsidRDefault="00AC4185">
                <w:pPr>
                  <w:ind w:firstLineChars="100" w:firstLine="210"/>
                  <w:rPr>
                    <w:szCs w:val="21"/>
                  </w:rPr>
                </w:pPr>
                <w:r>
                  <w:rPr>
                    <w:rFonts w:hint="eastAsia"/>
                    <w:szCs w:val="21"/>
                  </w:rPr>
                  <w:lastRenderedPageBreak/>
                  <w:t>收到原保险合同保费取得的现金</w:t>
                </w:r>
              </w:p>
            </w:tc>
            <w:tc>
              <w:tcPr>
                <w:tcW w:w="506" w:type="pct"/>
                <w:tcBorders>
                  <w:top w:val="outset" w:sz="4" w:space="0" w:color="auto"/>
                  <w:left w:val="outset" w:sz="4" w:space="0" w:color="auto"/>
                  <w:bottom w:val="outset" w:sz="4" w:space="0" w:color="auto"/>
                  <w:right w:val="outset" w:sz="4" w:space="0" w:color="auto"/>
                </w:tcBorders>
              </w:tcPr>
              <w:p w14:paraId="084DA6E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26085478"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89D38B1" w14:textId="77777777" w:rsidR="00E57DAA" w:rsidRDefault="00E57DAA">
                <w:pPr>
                  <w:jc w:val="right"/>
                  <w:rPr>
                    <w:szCs w:val="21"/>
                  </w:rPr>
                </w:pPr>
              </w:p>
            </w:tc>
          </w:tr>
          <w:tr w:rsidR="00E57DAA" w14:paraId="4C19F096" w14:textId="77777777">
            <w:tc>
              <w:tcPr>
                <w:tcW w:w="2096" w:type="pct"/>
                <w:tcBorders>
                  <w:top w:val="outset" w:sz="4" w:space="0" w:color="auto"/>
                  <w:left w:val="outset" w:sz="4" w:space="0" w:color="auto"/>
                  <w:bottom w:val="outset" w:sz="4" w:space="0" w:color="auto"/>
                  <w:right w:val="outset" w:sz="4" w:space="0" w:color="auto"/>
                </w:tcBorders>
              </w:tcPr>
              <w:p w14:paraId="0B04F5CF" w14:textId="77777777" w:rsidR="00E57DAA" w:rsidRDefault="00AC4185">
                <w:pPr>
                  <w:ind w:firstLineChars="100" w:firstLine="210"/>
                  <w:rPr>
                    <w:szCs w:val="21"/>
                  </w:rPr>
                </w:pPr>
                <w:r>
                  <w:rPr>
                    <w:rFonts w:hint="eastAsia"/>
                    <w:szCs w:val="21"/>
                  </w:rPr>
                  <w:t>收到再保业务现金净额</w:t>
                </w:r>
              </w:p>
            </w:tc>
            <w:tc>
              <w:tcPr>
                <w:tcW w:w="506" w:type="pct"/>
                <w:tcBorders>
                  <w:top w:val="outset" w:sz="4" w:space="0" w:color="auto"/>
                  <w:left w:val="outset" w:sz="4" w:space="0" w:color="auto"/>
                  <w:bottom w:val="outset" w:sz="4" w:space="0" w:color="auto"/>
                  <w:right w:val="outset" w:sz="4" w:space="0" w:color="auto"/>
                </w:tcBorders>
              </w:tcPr>
              <w:p w14:paraId="5856CA2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14965712"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6970EA6" w14:textId="77777777" w:rsidR="00E57DAA" w:rsidRDefault="00E57DAA">
                <w:pPr>
                  <w:jc w:val="right"/>
                  <w:rPr>
                    <w:szCs w:val="21"/>
                  </w:rPr>
                </w:pPr>
              </w:p>
            </w:tc>
          </w:tr>
          <w:tr w:rsidR="00E57DAA" w14:paraId="1939FDC0" w14:textId="77777777">
            <w:tc>
              <w:tcPr>
                <w:tcW w:w="2096" w:type="pct"/>
                <w:tcBorders>
                  <w:top w:val="outset" w:sz="4" w:space="0" w:color="auto"/>
                  <w:left w:val="outset" w:sz="4" w:space="0" w:color="auto"/>
                  <w:bottom w:val="outset" w:sz="4" w:space="0" w:color="auto"/>
                  <w:right w:val="outset" w:sz="4" w:space="0" w:color="auto"/>
                </w:tcBorders>
              </w:tcPr>
              <w:p w14:paraId="1A2F951E" w14:textId="77777777" w:rsidR="00E57DAA" w:rsidRDefault="00AC4185">
                <w:pPr>
                  <w:ind w:firstLineChars="100" w:firstLine="210"/>
                  <w:rPr>
                    <w:szCs w:val="21"/>
                  </w:rPr>
                </w:pPr>
                <w:r>
                  <w:rPr>
                    <w:rFonts w:hint="eastAsia"/>
                    <w:szCs w:val="21"/>
                  </w:rPr>
                  <w:t>保户储金及投资款净增加额</w:t>
                </w:r>
              </w:p>
            </w:tc>
            <w:tc>
              <w:tcPr>
                <w:tcW w:w="506" w:type="pct"/>
                <w:tcBorders>
                  <w:top w:val="outset" w:sz="4" w:space="0" w:color="auto"/>
                  <w:left w:val="outset" w:sz="4" w:space="0" w:color="auto"/>
                  <w:bottom w:val="outset" w:sz="4" w:space="0" w:color="auto"/>
                  <w:right w:val="outset" w:sz="4" w:space="0" w:color="auto"/>
                </w:tcBorders>
              </w:tcPr>
              <w:p w14:paraId="2E78659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5BDDDC1F"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95266AE" w14:textId="77777777" w:rsidR="00E57DAA" w:rsidRDefault="00E57DAA">
                <w:pPr>
                  <w:jc w:val="right"/>
                  <w:rPr>
                    <w:szCs w:val="21"/>
                  </w:rPr>
                </w:pPr>
              </w:p>
            </w:tc>
          </w:tr>
          <w:tr w:rsidR="00E57DAA" w14:paraId="6A9E54AB" w14:textId="77777777">
            <w:tc>
              <w:tcPr>
                <w:tcW w:w="2096" w:type="pct"/>
                <w:tcBorders>
                  <w:top w:val="outset" w:sz="4" w:space="0" w:color="auto"/>
                  <w:left w:val="outset" w:sz="4" w:space="0" w:color="auto"/>
                  <w:bottom w:val="outset" w:sz="4" w:space="0" w:color="auto"/>
                  <w:right w:val="outset" w:sz="4" w:space="0" w:color="auto"/>
                </w:tcBorders>
              </w:tcPr>
              <w:p w14:paraId="60C86EBD" w14:textId="77777777" w:rsidR="00E57DAA" w:rsidRDefault="00AC4185">
                <w:pPr>
                  <w:ind w:firstLineChars="100" w:firstLine="210"/>
                  <w:rPr>
                    <w:szCs w:val="21"/>
                  </w:rPr>
                </w:pPr>
                <w:r>
                  <w:rPr>
                    <w:rFonts w:hint="eastAsia"/>
                    <w:szCs w:val="21"/>
                  </w:rPr>
                  <w:t>收取利息、手续费及佣金的现金</w:t>
                </w:r>
              </w:p>
            </w:tc>
            <w:tc>
              <w:tcPr>
                <w:tcW w:w="506" w:type="pct"/>
                <w:tcBorders>
                  <w:top w:val="outset" w:sz="4" w:space="0" w:color="auto"/>
                  <w:left w:val="outset" w:sz="4" w:space="0" w:color="auto"/>
                  <w:bottom w:val="outset" w:sz="4" w:space="0" w:color="auto"/>
                  <w:right w:val="outset" w:sz="4" w:space="0" w:color="auto"/>
                </w:tcBorders>
              </w:tcPr>
              <w:p w14:paraId="044D272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1EE39228"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B6AC899" w14:textId="77777777" w:rsidR="00E57DAA" w:rsidRDefault="00E57DAA">
                <w:pPr>
                  <w:jc w:val="right"/>
                  <w:rPr>
                    <w:szCs w:val="21"/>
                  </w:rPr>
                </w:pPr>
              </w:p>
            </w:tc>
          </w:tr>
          <w:tr w:rsidR="00E57DAA" w14:paraId="1CABFE56" w14:textId="77777777">
            <w:tc>
              <w:tcPr>
                <w:tcW w:w="2096" w:type="pct"/>
                <w:tcBorders>
                  <w:top w:val="outset" w:sz="4" w:space="0" w:color="auto"/>
                  <w:left w:val="outset" w:sz="4" w:space="0" w:color="auto"/>
                  <w:bottom w:val="outset" w:sz="4" w:space="0" w:color="auto"/>
                  <w:right w:val="outset" w:sz="4" w:space="0" w:color="auto"/>
                </w:tcBorders>
              </w:tcPr>
              <w:p w14:paraId="57232213" w14:textId="77777777" w:rsidR="00E57DAA" w:rsidRDefault="00AC4185">
                <w:pPr>
                  <w:ind w:firstLineChars="100" w:firstLine="210"/>
                  <w:rPr>
                    <w:szCs w:val="21"/>
                  </w:rPr>
                </w:pPr>
                <w:r>
                  <w:rPr>
                    <w:rFonts w:hint="eastAsia"/>
                    <w:szCs w:val="21"/>
                  </w:rPr>
                  <w:t>拆入资金净增加额</w:t>
                </w:r>
              </w:p>
            </w:tc>
            <w:tc>
              <w:tcPr>
                <w:tcW w:w="506" w:type="pct"/>
                <w:tcBorders>
                  <w:top w:val="outset" w:sz="4" w:space="0" w:color="auto"/>
                  <w:left w:val="outset" w:sz="4" w:space="0" w:color="auto"/>
                  <w:bottom w:val="outset" w:sz="4" w:space="0" w:color="auto"/>
                  <w:right w:val="outset" w:sz="4" w:space="0" w:color="auto"/>
                </w:tcBorders>
              </w:tcPr>
              <w:p w14:paraId="79DF19B3"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7EE9F052"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FB56336" w14:textId="77777777" w:rsidR="00E57DAA" w:rsidRDefault="00E57DAA">
                <w:pPr>
                  <w:jc w:val="right"/>
                  <w:rPr>
                    <w:szCs w:val="21"/>
                  </w:rPr>
                </w:pPr>
              </w:p>
            </w:tc>
          </w:tr>
          <w:tr w:rsidR="00E57DAA" w14:paraId="77033D5E" w14:textId="77777777">
            <w:tc>
              <w:tcPr>
                <w:tcW w:w="2096" w:type="pct"/>
                <w:tcBorders>
                  <w:top w:val="outset" w:sz="4" w:space="0" w:color="auto"/>
                  <w:left w:val="outset" w:sz="4" w:space="0" w:color="auto"/>
                  <w:bottom w:val="outset" w:sz="4" w:space="0" w:color="auto"/>
                  <w:right w:val="outset" w:sz="4" w:space="0" w:color="auto"/>
                </w:tcBorders>
              </w:tcPr>
              <w:p w14:paraId="0D48FC7E" w14:textId="77777777" w:rsidR="00E57DAA" w:rsidRDefault="00AC4185">
                <w:pPr>
                  <w:ind w:firstLineChars="100" w:firstLine="210"/>
                  <w:rPr>
                    <w:szCs w:val="21"/>
                  </w:rPr>
                </w:pPr>
                <w:r>
                  <w:rPr>
                    <w:rFonts w:hint="eastAsia"/>
                    <w:szCs w:val="21"/>
                  </w:rPr>
                  <w:t>回购业务资金净增加额</w:t>
                </w:r>
              </w:p>
            </w:tc>
            <w:tc>
              <w:tcPr>
                <w:tcW w:w="506" w:type="pct"/>
                <w:tcBorders>
                  <w:top w:val="outset" w:sz="4" w:space="0" w:color="auto"/>
                  <w:left w:val="outset" w:sz="4" w:space="0" w:color="auto"/>
                  <w:bottom w:val="outset" w:sz="4" w:space="0" w:color="auto"/>
                  <w:right w:val="outset" w:sz="4" w:space="0" w:color="auto"/>
                </w:tcBorders>
              </w:tcPr>
              <w:p w14:paraId="440B19AE"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78E512FB"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716212C" w14:textId="77777777" w:rsidR="00E57DAA" w:rsidRDefault="00E57DAA">
                <w:pPr>
                  <w:jc w:val="right"/>
                  <w:rPr>
                    <w:szCs w:val="21"/>
                  </w:rPr>
                </w:pPr>
              </w:p>
            </w:tc>
          </w:tr>
          <w:tr w:rsidR="00E57DAA" w14:paraId="564AA480" w14:textId="77777777">
            <w:tc>
              <w:tcPr>
                <w:tcW w:w="2096" w:type="pct"/>
                <w:tcBorders>
                  <w:top w:val="outset" w:sz="4" w:space="0" w:color="auto"/>
                  <w:left w:val="outset" w:sz="4" w:space="0" w:color="auto"/>
                  <w:bottom w:val="outset" w:sz="4" w:space="0" w:color="auto"/>
                  <w:right w:val="outset" w:sz="4" w:space="0" w:color="auto"/>
                </w:tcBorders>
              </w:tcPr>
              <w:p w14:paraId="52563BAE" w14:textId="77777777" w:rsidR="00E57DAA" w:rsidRDefault="00AC4185">
                <w:pPr>
                  <w:ind w:firstLineChars="100" w:firstLine="210"/>
                </w:pPr>
                <w:r>
                  <w:rPr>
                    <w:rFonts w:hint="eastAsia"/>
                  </w:rPr>
                  <w:t>代理买卖证券收到的现金净额</w:t>
                </w:r>
              </w:p>
            </w:tc>
            <w:tc>
              <w:tcPr>
                <w:tcW w:w="506" w:type="pct"/>
                <w:tcBorders>
                  <w:top w:val="outset" w:sz="4" w:space="0" w:color="auto"/>
                  <w:left w:val="outset" w:sz="4" w:space="0" w:color="auto"/>
                  <w:bottom w:val="outset" w:sz="4" w:space="0" w:color="auto"/>
                  <w:right w:val="outset" w:sz="4" w:space="0" w:color="auto"/>
                </w:tcBorders>
              </w:tcPr>
              <w:p w14:paraId="513C57DA"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130337A4"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D7A4233" w14:textId="77777777" w:rsidR="00E57DAA" w:rsidRDefault="00E57DAA">
                <w:pPr>
                  <w:jc w:val="right"/>
                  <w:rPr>
                    <w:szCs w:val="21"/>
                  </w:rPr>
                </w:pPr>
              </w:p>
            </w:tc>
          </w:tr>
          <w:tr w:rsidR="00E57DAA" w14:paraId="31E13BCB" w14:textId="77777777">
            <w:tc>
              <w:tcPr>
                <w:tcW w:w="2096" w:type="pct"/>
                <w:tcBorders>
                  <w:top w:val="outset" w:sz="4" w:space="0" w:color="auto"/>
                  <w:left w:val="outset" w:sz="4" w:space="0" w:color="auto"/>
                  <w:bottom w:val="outset" w:sz="4" w:space="0" w:color="auto"/>
                  <w:right w:val="outset" w:sz="4" w:space="0" w:color="auto"/>
                </w:tcBorders>
              </w:tcPr>
              <w:p w14:paraId="089593A7" w14:textId="77777777" w:rsidR="00E57DAA" w:rsidRDefault="00AC4185">
                <w:pPr>
                  <w:ind w:firstLineChars="100" w:firstLine="210"/>
                  <w:rPr>
                    <w:szCs w:val="21"/>
                  </w:rPr>
                </w:pPr>
                <w:r>
                  <w:rPr>
                    <w:rFonts w:hint="eastAsia"/>
                    <w:szCs w:val="21"/>
                  </w:rPr>
                  <w:t>收到的税费返还</w:t>
                </w:r>
              </w:p>
            </w:tc>
            <w:tc>
              <w:tcPr>
                <w:tcW w:w="506" w:type="pct"/>
                <w:tcBorders>
                  <w:top w:val="outset" w:sz="4" w:space="0" w:color="auto"/>
                  <w:left w:val="outset" w:sz="4" w:space="0" w:color="auto"/>
                  <w:bottom w:val="outset" w:sz="4" w:space="0" w:color="auto"/>
                  <w:right w:val="outset" w:sz="4" w:space="0" w:color="auto"/>
                </w:tcBorders>
              </w:tcPr>
              <w:p w14:paraId="6D4E1647"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7B98CDD" w14:textId="77777777" w:rsidR="00E57DAA" w:rsidRDefault="00AC4185">
                <w:pPr>
                  <w:jc w:val="right"/>
                  <w:rPr>
                    <w:szCs w:val="21"/>
                  </w:rPr>
                </w:pPr>
                <w:r>
                  <w:t>518,538,095.63</w:t>
                </w:r>
              </w:p>
            </w:tc>
            <w:tc>
              <w:tcPr>
                <w:tcW w:w="1197" w:type="pct"/>
                <w:tcBorders>
                  <w:top w:val="outset" w:sz="4" w:space="0" w:color="auto"/>
                  <w:left w:val="outset" w:sz="4" w:space="0" w:color="auto"/>
                  <w:bottom w:val="outset" w:sz="4" w:space="0" w:color="auto"/>
                  <w:right w:val="outset" w:sz="4" w:space="0" w:color="auto"/>
                </w:tcBorders>
                <w:vAlign w:val="center"/>
              </w:tcPr>
              <w:p w14:paraId="545DE9DA" w14:textId="77777777" w:rsidR="00E57DAA" w:rsidRDefault="00AC4185">
                <w:pPr>
                  <w:jc w:val="right"/>
                  <w:rPr>
                    <w:szCs w:val="21"/>
                  </w:rPr>
                </w:pPr>
                <w:r>
                  <w:t>606,299,450.15</w:t>
                </w:r>
              </w:p>
            </w:tc>
          </w:tr>
          <w:tr w:rsidR="00E57DAA" w14:paraId="47786C2A" w14:textId="77777777">
            <w:tc>
              <w:tcPr>
                <w:tcW w:w="2096" w:type="pct"/>
                <w:tcBorders>
                  <w:top w:val="outset" w:sz="4" w:space="0" w:color="auto"/>
                  <w:left w:val="outset" w:sz="4" w:space="0" w:color="auto"/>
                  <w:bottom w:val="outset" w:sz="4" w:space="0" w:color="auto"/>
                  <w:right w:val="outset" w:sz="4" w:space="0" w:color="auto"/>
                </w:tcBorders>
              </w:tcPr>
              <w:p w14:paraId="28BFAE4B" w14:textId="77777777" w:rsidR="00E57DAA" w:rsidRDefault="00AC4185">
                <w:pPr>
                  <w:ind w:firstLineChars="100" w:firstLine="210"/>
                  <w:rPr>
                    <w:szCs w:val="21"/>
                  </w:rPr>
                </w:pPr>
                <w:r>
                  <w:rPr>
                    <w:rFonts w:hint="eastAsia"/>
                    <w:szCs w:val="21"/>
                  </w:rPr>
                  <w:t>收到其他与经营活动有关的现金</w:t>
                </w:r>
              </w:p>
            </w:tc>
            <w:tc>
              <w:tcPr>
                <w:tcW w:w="506" w:type="pct"/>
                <w:tcBorders>
                  <w:top w:val="outset" w:sz="4" w:space="0" w:color="auto"/>
                  <w:left w:val="outset" w:sz="4" w:space="0" w:color="auto"/>
                  <w:bottom w:val="outset" w:sz="4" w:space="0" w:color="auto"/>
                  <w:right w:val="outset" w:sz="4" w:space="0" w:color="auto"/>
                </w:tcBorders>
                <w:vAlign w:val="center"/>
              </w:tcPr>
              <w:p w14:paraId="5C8E3B07" w14:textId="77777777" w:rsidR="00E57DAA" w:rsidRDefault="00AC4185">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577B55D5" w14:textId="77777777" w:rsidR="00E57DAA" w:rsidRDefault="00AC4185">
                <w:pPr>
                  <w:jc w:val="right"/>
                  <w:rPr>
                    <w:szCs w:val="21"/>
                  </w:rPr>
                </w:pPr>
                <w:r>
                  <w:t>1,100,069,652.49</w:t>
                </w:r>
              </w:p>
            </w:tc>
            <w:tc>
              <w:tcPr>
                <w:tcW w:w="1197" w:type="pct"/>
                <w:tcBorders>
                  <w:top w:val="outset" w:sz="4" w:space="0" w:color="auto"/>
                  <w:left w:val="outset" w:sz="4" w:space="0" w:color="auto"/>
                  <w:bottom w:val="outset" w:sz="4" w:space="0" w:color="auto"/>
                  <w:right w:val="outset" w:sz="4" w:space="0" w:color="auto"/>
                </w:tcBorders>
                <w:vAlign w:val="center"/>
              </w:tcPr>
              <w:p w14:paraId="3198A180" w14:textId="77777777" w:rsidR="00E57DAA" w:rsidRDefault="00AC4185">
                <w:pPr>
                  <w:jc w:val="right"/>
                  <w:rPr>
                    <w:szCs w:val="21"/>
                  </w:rPr>
                </w:pPr>
                <w:r>
                  <w:t>1,124,042,745.71</w:t>
                </w:r>
              </w:p>
            </w:tc>
          </w:tr>
          <w:tr w:rsidR="00E57DAA" w14:paraId="2A0BE3E0" w14:textId="77777777">
            <w:tc>
              <w:tcPr>
                <w:tcW w:w="2096" w:type="pct"/>
                <w:tcBorders>
                  <w:top w:val="outset" w:sz="4" w:space="0" w:color="auto"/>
                  <w:left w:val="outset" w:sz="4" w:space="0" w:color="auto"/>
                  <w:bottom w:val="outset" w:sz="4" w:space="0" w:color="auto"/>
                  <w:right w:val="outset" w:sz="4" w:space="0" w:color="auto"/>
                </w:tcBorders>
              </w:tcPr>
              <w:p w14:paraId="71DA57BA" w14:textId="77777777" w:rsidR="00E57DAA" w:rsidRDefault="00AC4185">
                <w:pPr>
                  <w:ind w:firstLineChars="200" w:firstLine="420"/>
                  <w:rPr>
                    <w:color w:val="000000"/>
                    <w:szCs w:val="21"/>
                  </w:rPr>
                </w:pPr>
                <w:r>
                  <w:rPr>
                    <w:rFonts w:hint="eastAsia"/>
                    <w:szCs w:val="21"/>
                  </w:rPr>
                  <w:t>经营活动现金流入小计</w:t>
                </w:r>
              </w:p>
            </w:tc>
            <w:tc>
              <w:tcPr>
                <w:tcW w:w="506" w:type="pct"/>
                <w:tcBorders>
                  <w:top w:val="outset" w:sz="4" w:space="0" w:color="auto"/>
                  <w:left w:val="outset" w:sz="4" w:space="0" w:color="auto"/>
                  <w:bottom w:val="outset" w:sz="4" w:space="0" w:color="auto"/>
                  <w:right w:val="outset" w:sz="4" w:space="0" w:color="auto"/>
                </w:tcBorders>
                <w:vAlign w:val="center"/>
              </w:tcPr>
              <w:p w14:paraId="60647DEB"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A3F8A40" w14:textId="77777777" w:rsidR="00E57DAA" w:rsidRDefault="00AC4185">
                <w:pPr>
                  <w:jc w:val="right"/>
                  <w:rPr>
                    <w:szCs w:val="21"/>
                  </w:rPr>
                </w:pPr>
                <w:r>
                  <w:t>39,120,355,350.52</w:t>
                </w:r>
              </w:p>
            </w:tc>
            <w:tc>
              <w:tcPr>
                <w:tcW w:w="1197" w:type="pct"/>
                <w:tcBorders>
                  <w:top w:val="outset" w:sz="4" w:space="0" w:color="auto"/>
                  <w:left w:val="outset" w:sz="4" w:space="0" w:color="auto"/>
                  <w:bottom w:val="outset" w:sz="4" w:space="0" w:color="auto"/>
                  <w:right w:val="outset" w:sz="4" w:space="0" w:color="auto"/>
                </w:tcBorders>
                <w:vAlign w:val="center"/>
              </w:tcPr>
              <w:p w14:paraId="42A75F9D" w14:textId="77777777" w:rsidR="00E57DAA" w:rsidRDefault="00AC4185">
                <w:pPr>
                  <w:jc w:val="right"/>
                  <w:rPr>
                    <w:szCs w:val="21"/>
                  </w:rPr>
                </w:pPr>
                <w:r>
                  <w:t>37,345,510,640.11</w:t>
                </w:r>
              </w:p>
            </w:tc>
          </w:tr>
          <w:tr w:rsidR="00E57DAA" w14:paraId="47F66B61" w14:textId="77777777">
            <w:tc>
              <w:tcPr>
                <w:tcW w:w="2096" w:type="pct"/>
                <w:tcBorders>
                  <w:top w:val="outset" w:sz="4" w:space="0" w:color="auto"/>
                  <w:left w:val="outset" w:sz="4" w:space="0" w:color="auto"/>
                  <w:bottom w:val="outset" w:sz="4" w:space="0" w:color="auto"/>
                  <w:right w:val="outset" w:sz="4" w:space="0" w:color="auto"/>
                </w:tcBorders>
              </w:tcPr>
              <w:p w14:paraId="2531DA0C" w14:textId="77777777" w:rsidR="00E57DAA" w:rsidRDefault="00AC4185">
                <w:pPr>
                  <w:ind w:firstLineChars="100" w:firstLine="210"/>
                  <w:rPr>
                    <w:szCs w:val="21"/>
                  </w:rPr>
                </w:pPr>
                <w:r>
                  <w:rPr>
                    <w:rFonts w:hint="eastAsia"/>
                    <w:szCs w:val="21"/>
                  </w:rPr>
                  <w:t>购买商品、接受劳务支付的现金</w:t>
                </w:r>
              </w:p>
            </w:tc>
            <w:tc>
              <w:tcPr>
                <w:tcW w:w="506" w:type="pct"/>
                <w:tcBorders>
                  <w:top w:val="outset" w:sz="4" w:space="0" w:color="auto"/>
                  <w:left w:val="outset" w:sz="4" w:space="0" w:color="auto"/>
                  <w:bottom w:val="outset" w:sz="4" w:space="0" w:color="auto"/>
                  <w:right w:val="outset" w:sz="4" w:space="0" w:color="auto"/>
                </w:tcBorders>
                <w:vAlign w:val="center"/>
              </w:tcPr>
              <w:p w14:paraId="0486D7C1"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40FAEFA" w14:textId="77777777" w:rsidR="00E57DAA" w:rsidRDefault="00AC4185">
                <w:pPr>
                  <w:jc w:val="right"/>
                  <w:rPr>
                    <w:szCs w:val="21"/>
                  </w:rPr>
                </w:pPr>
                <w:r>
                  <w:t>27,505,345,438.20</w:t>
                </w:r>
              </w:p>
            </w:tc>
            <w:tc>
              <w:tcPr>
                <w:tcW w:w="1197" w:type="pct"/>
                <w:tcBorders>
                  <w:top w:val="outset" w:sz="4" w:space="0" w:color="auto"/>
                  <w:left w:val="outset" w:sz="4" w:space="0" w:color="auto"/>
                  <w:bottom w:val="outset" w:sz="4" w:space="0" w:color="auto"/>
                  <w:right w:val="outset" w:sz="4" w:space="0" w:color="auto"/>
                </w:tcBorders>
                <w:vAlign w:val="center"/>
              </w:tcPr>
              <w:p w14:paraId="28B87893" w14:textId="77777777" w:rsidR="00E57DAA" w:rsidRDefault="00AC4185">
                <w:pPr>
                  <w:jc w:val="right"/>
                  <w:rPr>
                    <w:szCs w:val="21"/>
                  </w:rPr>
                </w:pPr>
                <w:r>
                  <w:t>28,698,262,377.45</w:t>
                </w:r>
              </w:p>
            </w:tc>
          </w:tr>
          <w:tr w:rsidR="00E57DAA" w14:paraId="51D161B6" w14:textId="77777777">
            <w:tc>
              <w:tcPr>
                <w:tcW w:w="2096" w:type="pct"/>
                <w:tcBorders>
                  <w:top w:val="outset" w:sz="4" w:space="0" w:color="auto"/>
                  <w:left w:val="outset" w:sz="4" w:space="0" w:color="auto"/>
                  <w:bottom w:val="outset" w:sz="4" w:space="0" w:color="auto"/>
                  <w:right w:val="outset" w:sz="4" w:space="0" w:color="auto"/>
                </w:tcBorders>
              </w:tcPr>
              <w:p w14:paraId="5382491F" w14:textId="77777777" w:rsidR="00E57DAA" w:rsidRDefault="00AC4185">
                <w:pPr>
                  <w:ind w:firstLineChars="100" w:firstLine="210"/>
                  <w:rPr>
                    <w:szCs w:val="21"/>
                  </w:rPr>
                </w:pPr>
                <w:r>
                  <w:rPr>
                    <w:rFonts w:hint="eastAsia"/>
                    <w:szCs w:val="21"/>
                  </w:rPr>
                  <w:t>客户贷款及垫款净增加额</w:t>
                </w:r>
              </w:p>
            </w:tc>
            <w:tc>
              <w:tcPr>
                <w:tcW w:w="506" w:type="pct"/>
                <w:tcBorders>
                  <w:top w:val="outset" w:sz="4" w:space="0" w:color="auto"/>
                  <w:left w:val="outset" w:sz="4" w:space="0" w:color="auto"/>
                  <w:bottom w:val="outset" w:sz="4" w:space="0" w:color="auto"/>
                  <w:right w:val="outset" w:sz="4" w:space="0" w:color="auto"/>
                </w:tcBorders>
                <w:vAlign w:val="center"/>
              </w:tcPr>
              <w:p w14:paraId="483BFEC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40AA144D"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7D9990D" w14:textId="77777777" w:rsidR="00E57DAA" w:rsidRDefault="00E57DAA">
                <w:pPr>
                  <w:jc w:val="right"/>
                  <w:rPr>
                    <w:szCs w:val="21"/>
                  </w:rPr>
                </w:pPr>
              </w:p>
            </w:tc>
          </w:tr>
          <w:tr w:rsidR="00E57DAA" w14:paraId="50858D21" w14:textId="77777777">
            <w:tc>
              <w:tcPr>
                <w:tcW w:w="2096" w:type="pct"/>
                <w:tcBorders>
                  <w:top w:val="outset" w:sz="4" w:space="0" w:color="auto"/>
                  <w:left w:val="outset" w:sz="4" w:space="0" w:color="auto"/>
                  <w:bottom w:val="outset" w:sz="4" w:space="0" w:color="auto"/>
                  <w:right w:val="outset" w:sz="4" w:space="0" w:color="auto"/>
                </w:tcBorders>
              </w:tcPr>
              <w:p w14:paraId="689E62B9" w14:textId="77777777" w:rsidR="00E57DAA" w:rsidRDefault="00AC4185">
                <w:pPr>
                  <w:ind w:firstLineChars="100" w:firstLine="210"/>
                  <w:rPr>
                    <w:szCs w:val="21"/>
                  </w:rPr>
                </w:pPr>
                <w:r>
                  <w:rPr>
                    <w:rFonts w:hint="eastAsia"/>
                    <w:szCs w:val="21"/>
                  </w:rPr>
                  <w:t>存放中央银行和同业款项净增加额</w:t>
                </w:r>
              </w:p>
            </w:tc>
            <w:tc>
              <w:tcPr>
                <w:tcW w:w="506" w:type="pct"/>
                <w:tcBorders>
                  <w:top w:val="outset" w:sz="4" w:space="0" w:color="auto"/>
                  <w:left w:val="outset" w:sz="4" w:space="0" w:color="auto"/>
                  <w:bottom w:val="outset" w:sz="4" w:space="0" w:color="auto"/>
                  <w:right w:val="outset" w:sz="4" w:space="0" w:color="auto"/>
                </w:tcBorders>
                <w:vAlign w:val="center"/>
              </w:tcPr>
              <w:p w14:paraId="1F3E4AB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33C543D2"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1C79400" w14:textId="77777777" w:rsidR="00E57DAA" w:rsidRDefault="00E57DAA">
                <w:pPr>
                  <w:jc w:val="right"/>
                  <w:rPr>
                    <w:szCs w:val="21"/>
                  </w:rPr>
                </w:pPr>
              </w:p>
            </w:tc>
          </w:tr>
          <w:tr w:rsidR="00E57DAA" w14:paraId="5706B0E9" w14:textId="77777777">
            <w:tc>
              <w:tcPr>
                <w:tcW w:w="2096" w:type="pct"/>
                <w:tcBorders>
                  <w:top w:val="outset" w:sz="4" w:space="0" w:color="auto"/>
                  <w:left w:val="outset" w:sz="4" w:space="0" w:color="auto"/>
                  <w:bottom w:val="outset" w:sz="4" w:space="0" w:color="auto"/>
                  <w:right w:val="outset" w:sz="4" w:space="0" w:color="auto"/>
                </w:tcBorders>
              </w:tcPr>
              <w:p w14:paraId="2E840F9E" w14:textId="77777777" w:rsidR="00E57DAA" w:rsidRDefault="00AC4185">
                <w:pPr>
                  <w:ind w:firstLineChars="100" w:firstLine="210"/>
                  <w:rPr>
                    <w:szCs w:val="21"/>
                  </w:rPr>
                </w:pPr>
                <w:r>
                  <w:rPr>
                    <w:rFonts w:hint="eastAsia"/>
                    <w:szCs w:val="21"/>
                  </w:rPr>
                  <w:t>支付原保险合同赔付款项的现金</w:t>
                </w:r>
              </w:p>
            </w:tc>
            <w:tc>
              <w:tcPr>
                <w:tcW w:w="506" w:type="pct"/>
                <w:tcBorders>
                  <w:top w:val="outset" w:sz="4" w:space="0" w:color="auto"/>
                  <w:left w:val="outset" w:sz="4" w:space="0" w:color="auto"/>
                  <w:bottom w:val="outset" w:sz="4" w:space="0" w:color="auto"/>
                  <w:right w:val="outset" w:sz="4" w:space="0" w:color="auto"/>
                </w:tcBorders>
                <w:vAlign w:val="center"/>
              </w:tcPr>
              <w:p w14:paraId="1B57F811"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18D46B96"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83010F1" w14:textId="77777777" w:rsidR="00E57DAA" w:rsidRDefault="00E57DAA">
                <w:pPr>
                  <w:jc w:val="right"/>
                  <w:rPr>
                    <w:szCs w:val="21"/>
                  </w:rPr>
                </w:pPr>
              </w:p>
            </w:tc>
          </w:tr>
          <w:tr w:rsidR="00E57DAA" w14:paraId="7B3194B9" w14:textId="77777777">
            <w:tc>
              <w:tcPr>
                <w:tcW w:w="2096" w:type="pct"/>
                <w:tcBorders>
                  <w:top w:val="outset" w:sz="4" w:space="0" w:color="auto"/>
                  <w:left w:val="outset" w:sz="4" w:space="0" w:color="auto"/>
                  <w:bottom w:val="outset" w:sz="4" w:space="0" w:color="auto"/>
                  <w:right w:val="outset" w:sz="4" w:space="0" w:color="auto"/>
                </w:tcBorders>
              </w:tcPr>
              <w:p w14:paraId="36BDBFCC" w14:textId="77777777" w:rsidR="00E57DAA" w:rsidRDefault="00AC4185">
                <w:pPr>
                  <w:ind w:firstLineChars="100" w:firstLine="210"/>
                </w:pPr>
                <w:r>
                  <w:rPr>
                    <w:rFonts w:hint="eastAsia"/>
                  </w:rPr>
                  <w:t>拆出资金净增加额</w:t>
                </w:r>
              </w:p>
            </w:tc>
            <w:tc>
              <w:tcPr>
                <w:tcW w:w="506" w:type="pct"/>
                <w:tcBorders>
                  <w:top w:val="outset" w:sz="4" w:space="0" w:color="auto"/>
                  <w:left w:val="outset" w:sz="4" w:space="0" w:color="auto"/>
                  <w:bottom w:val="outset" w:sz="4" w:space="0" w:color="auto"/>
                  <w:right w:val="outset" w:sz="4" w:space="0" w:color="auto"/>
                </w:tcBorders>
                <w:vAlign w:val="center"/>
              </w:tcPr>
              <w:p w14:paraId="2873D731"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7F1343B8"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119F0A4" w14:textId="77777777" w:rsidR="00E57DAA" w:rsidRDefault="00E57DAA">
                <w:pPr>
                  <w:jc w:val="right"/>
                  <w:rPr>
                    <w:szCs w:val="21"/>
                  </w:rPr>
                </w:pPr>
              </w:p>
            </w:tc>
          </w:tr>
          <w:tr w:rsidR="00E57DAA" w14:paraId="3BE19452" w14:textId="77777777">
            <w:tc>
              <w:tcPr>
                <w:tcW w:w="2096" w:type="pct"/>
                <w:tcBorders>
                  <w:top w:val="outset" w:sz="4" w:space="0" w:color="auto"/>
                  <w:left w:val="outset" w:sz="4" w:space="0" w:color="auto"/>
                  <w:bottom w:val="outset" w:sz="4" w:space="0" w:color="auto"/>
                  <w:right w:val="outset" w:sz="4" w:space="0" w:color="auto"/>
                </w:tcBorders>
              </w:tcPr>
              <w:p w14:paraId="3823728C" w14:textId="77777777" w:rsidR="00E57DAA" w:rsidRDefault="00AC4185">
                <w:pPr>
                  <w:ind w:firstLineChars="100" w:firstLine="210"/>
                  <w:rPr>
                    <w:szCs w:val="21"/>
                  </w:rPr>
                </w:pPr>
                <w:r>
                  <w:rPr>
                    <w:rFonts w:hint="eastAsia"/>
                    <w:szCs w:val="21"/>
                  </w:rPr>
                  <w:t>支付利息、手续费及佣金的现金</w:t>
                </w:r>
              </w:p>
            </w:tc>
            <w:tc>
              <w:tcPr>
                <w:tcW w:w="506" w:type="pct"/>
                <w:tcBorders>
                  <w:top w:val="outset" w:sz="4" w:space="0" w:color="auto"/>
                  <w:left w:val="outset" w:sz="4" w:space="0" w:color="auto"/>
                  <w:bottom w:val="outset" w:sz="4" w:space="0" w:color="auto"/>
                  <w:right w:val="outset" w:sz="4" w:space="0" w:color="auto"/>
                </w:tcBorders>
                <w:vAlign w:val="center"/>
              </w:tcPr>
              <w:p w14:paraId="42EE29B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45C34EE9"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0B71D07" w14:textId="77777777" w:rsidR="00E57DAA" w:rsidRDefault="00E57DAA">
                <w:pPr>
                  <w:jc w:val="right"/>
                  <w:rPr>
                    <w:szCs w:val="21"/>
                  </w:rPr>
                </w:pPr>
              </w:p>
            </w:tc>
          </w:tr>
          <w:tr w:rsidR="00E57DAA" w14:paraId="5E66E39B" w14:textId="77777777">
            <w:tc>
              <w:tcPr>
                <w:tcW w:w="2096" w:type="pct"/>
                <w:tcBorders>
                  <w:top w:val="outset" w:sz="4" w:space="0" w:color="auto"/>
                  <w:left w:val="outset" w:sz="4" w:space="0" w:color="auto"/>
                  <w:bottom w:val="outset" w:sz="4" w:space="0" w:color="auto"/>
                  <w:right w:val="outset" w:sz="4" w:space="0" w:color="auto"/>
                </w:tcBorders>
              </w:tcPr>
              <w:p w14:paraId="5803F484" w14:textId="77777777" w:rsidR="00E57DAA" w:rsidRDefault="00AC4185">
                <w:pPr>
                  <w:ind w:firstLineChars="100" w:firstLine="210"/>
                  <w:rPr>
                    <w:szCs w:val="21"/>
                  </w:rPr>
                </w:pPr>
                <w:r>
                  <w:rPr>
                    <w:rFonts w:hint="eastAsia"/>
                    <w:szCs w:val="21"/>
                  </w:rPr>
                  <w:t>支付保单红利的现金</w:t>
                </w:r>
              </w:p>
            </w:tc>
            <w:tc>
              <w:tcPr>
                <w:tcW w:w="506" w:type="pct"/>
                <w:tcBorders>
                  <w:top w:val="outset" w:sz="4" w:space="0" w:color="auto"/>
                  <w:left w:val="outset" w:sz="4" w:space="0" w:color="auto"/>
                  <w:bottom w:val="outset" w:sz="4" w:space="0" w:color="auto"/>
                  <w:right w:val="outset" w:sz="4" w:space="0" w:color="auto"/>
                </w:tcBorders>
                <w:vAlign w:val="center"/>
              </w:tcPr>
              <w:p w14:paraId="2AC846EB"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60556C7A"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82F6C9F" w14:textId="77777777" w:rsidR="00E57DAA" w:rsidRDefault="00E57DAA">
                <w:pPr>
                  <w:jc w:val="right"/>
                  <w:rPr>
                    <w:szCs w:val="21"/>
                  </w:rPr>
                </w:pPr>
              </w:p>
            </w:tc>
          </w:tr>
          <w:tr w:rsidR="00E57DAA" w14:paraId="16E66810" w14:textId="77777777">
            <w:tc>
              <w:tcPr>
                <w:tcW w:w="2096" w:type="pct"/>
                <w:tcBorders>
                  <w:top w:val="outset" w:sz="4" w:space="0" w:color="auto"/>
                  <w:left w:val="outset" w:sz="4" w:space="0" w:color="auto"/>
                  <w:bottom w:val="outset" w:sz="4" w:space="0" w:color="auto"/>
                  <w:right w:val="outset" w:sz="4" w:space="0" w:color="auto"/>
                </w:tcBorders>
              </w:tcPr>
              <w:p w14:paraId="2C3694F7" w14:textId="77777777" w:rsidR="00E57DAA" w:rsidRDefault="00AC4185">
                <w:pPr>
                  <w:ind w:firstLineChars="100" w:firstLine="210"/>
                  <w:rPr>
                    <w:szCs w:val="21"/>
                  </w:rPr>
                </w:pPr>
                <w:r>
                  <w:rPr>
                    <w:rFonts w:hint="eastAsia"/>
                    <w:szCs w:val="21"/>
                  </w:rPr>
                  <w:t>支付给职工及为职工支付的现金</w:t>
                </w:r>
              </w:p>
            </w:tc>
            <w:tc>
              <w:tcPr>
                <w:tcW w:w="506" w:type="pct"/>
                <w:tcBorders>
                  <w:top w:val="outset" w:sz="4" w:space="0" w:color="auto"/>
                  <w:left w:val="outset" w:sz="4" w:space="0" w:color="auto"/>
                  <w:bottom w:val="outset" w:sz="4" w:space="0" w:color="auto"/>
                  <w:right w:val="outset" w:sz="4" w:space="0" w:color="auto"/>
                </w:tcBorders>
                <w:vAlign w:val="center"/>
              </w:tcPr>
              <w:p w14:paraId="44FD9189"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EC50B63" w14:textId="77777777" w:rsidR="00E57DAA" w:rsidRDefault="00AC4185">
                <w:pPr>
                  <w:jc w:val="right"/>
                  <w:rPr>
                    <w:szCs w:val="21"/>
                  </w:rPr>
                </w:pPr>
                <w:r>
                  <w:t>4,534,382,129.41</w:t>
                </w:r>
              </w:p>
            </w:tc>
            <w:tc>
              <w:tcPr>
                <w:tcW w:w="1197" w:type="pct"/>
                <w:tcBorders>
                  <w:top w:val="outset" w:sz="4" w:space="0" w:color="auto"/>
                  <w:left w:val="outset" w:sz="4" w:space="0" w:color="auto"/>
                  <w:bottom w:val="outset" w:sz="4" w:space="0" w:color="auto"/>
                  <w:right w:val="outset" w:sz="4" w:space="0" w:color="auto"/>
                </w:tcBorders>
                <w:vAlign w:val="center"/>
              </w:tcPr>
              <w:p w14:paraId="7852ADE7" w14:textId="77777777" w:rsidR="00E57DAA" w:rsidRDefault="00AC4185">
                <w:pPr>
                  <w:jc w:val="right"/>
                  <w:rPr>
                    <w:szCs w:val="21"/>
                  </w:rPr>
                </w:pPr>
                <w:r>
                  <w:t>4,125,074,834.87</w:t>
                </w:r>
              </w:p>
            </w:tc>
          </w:tr>
          <w:tr w:rsidR="00E57DAA" w14:paraId="5B3C273F" w14:textId="77777777">
            <w:tc>
              <w:tcPr>
                <w:tcW w:w="2096" w:type="pct"/>
                <w:tcBorders>
                  <w:top w:val="outset" w:sz="4" w:space="0" w:color="auto"/>
                  <w:left w:val="outset" w:sz="4" w:space="0" w:color="auto"/>
                  <w:bottom w:val="outset" w:sz="4" w:space="0" w:color="auto"/>
                  <w:right w:val="outset" w:sz="4" w:space="0" w:color="auto"/>
                </w:tcBorders>
              </w:tcPr>
              <w:p w14:paraId="2032EC15" w14:textId="77777777" w:rsidR="00E57DAA" w:rsidRDefault="00AC4185">
                <w:pPr>
                  <w:ind w:firstLineChars="100" w:firstLine="210"/>
                  <w:rPr>
                    <w:szCs w:val="21"/>
                  </w:rPr>
                </w:pPr>
                <w:r>
                  <w:rPr>
                    <w:rFonts w:hint="eastAsia"/>
                    <w:szCs w:val="21"/>
                  </w:rPr>
                  <w:t>支付的各项税费</w:t>
                </w:r>
              </w:p>
            </w:tc>
            <w:tc>
              <w:tcPr>
                <w:tcW w:w="506" w:type="pct"/>
                <w:tcBorders>
                  <w:top w:val="outset" w:sz="4" w:space="0" w:color="auto"/>
                  <w:left w:val="outset" w:sz="4" w:space="0" w:color="auto"/>
                  <w:bottom w:val="outset" w:sz="4" w:space="0" w:color="auto"/>
                  <w:right w:val="outset" w:sz="4" w:space="0" w:color="auto"/>
                </w:tcBorders>
                <w:vAlign w:val="center"/>
              </w:tcPr>
              <w:p w14:paraId="5C9792EE"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DECA23B" w14:textId="77777777" w:rsidR="00E57DAA" w:rsidRDefault="00AC4185">
                <w:pPr>
                  <w:jc w:val="right"/>
                  <w:rPr>
                    <w:szCs w:val="21"/>
                  </w:rPr>
                </w:pPr>
                <w:r>
                  <w:t>1,789,592,334.51</w:t>
                </w:r>
              </w:p>
            </w:tc>
            <w:tc>
              <w:tcPr>
                <w:tcW w:w="1197" w:type="pct"/>
                <w:tcBorders>
                  <w:top w:val="outset" w:sz="4" w:space="0" w:color="auto"/>
                  <w:left w:val="outset" w:sz="4" w:space="0" w:color="auto"/>
                  <w:bottom w:val="outset" w:sz="4" w:space="0" w:color="auto"/>
                  <w:right w:val="outset" w:sz="4" w:space="0" w:color="auto"/>
                </w:tcBorders>
                <w:vAlign w:val="center"/>
              </w:tcPr>
              <w:p w14:paraId="3A188F3F" w14:textId="77777777" w:rsidR="00E57DAA" w:rsidRDefault="00AC4185">
                <w:pPr>
                  <w:jc w:val="right"/>
                  <w:rPr>
                    <w:szCs w:val="21"/>
                  </w:rPr>
                </w:pPr>
                <w:r>
                  <w:t>1,658,348,761.18</w:t>
                </w:r>
              </w:p>
            </w:tc>
          </w:tr>
          <w:tr w:rsidR="00E57DAA" w14:paraId="680B4A44" w14:textId="77777777">
            <w:tc>
              <w:tcPr>
                <w:tcW w:w="2096" w:type="pct"/>
                <w:tcBorders>
                  <w:top w:val="outset" w:sz="4" w:space="0" w:color="auto"/>
                  <w:left w:val="outset" w:sz="4" w:space="0" w:color="auto"/>
                  <w:bottom w:val="outset" w:sz="4" w:space="0" w:color="auto"/>
                  <w:right w:val="outset" w:sz="4" w:space="0" w:color="auto"/>
                </w:tcBorders>
              </w:tcPr>
              <w:p w14:paraId="2DBA810B" w14:textId="77777777" w:rsidR="00E57DAA" w:rsidRDefault="00AC4185">
                <w:pPr>
                  <w:ind w:firstLineChars="100" w:firstLine="210"/>
                  <w:rPr>
                    <w:szCs w:val="21"/>
                  </w:rPr>
                </w:pPr>
                <w:r>
                  <w:rPr>
                    <w:rFonts w:hint="eastAsia"/>
                    <w:szCs w:val="21"/>
                  </w:rPr>
                  <w:t>支付其他与经营活动有关的现金</w:t>
                </w:r>
              </w:p>
            </w:tc>
            <w:tc>
              <w:tcPr>
                <w:tcW w:w="506" w:type="pct"/>
                <w:tcBorders>
                  <w:top w:val="outset" w:sz="4" w:space="0" w:color="auto"/>
                  <w:left w:val="outset" w:sz="4" w:space="0" w:color="auto"/>
                  <w:bottom w:val="outset" w:sz="4" w:space="0" w:color="auto"/>
                  <w:right w:val="outset" w:sz="4" w:space="0" w:color="auto"/>
                </w:tcBorders>
                <w:vAlign w:val="center"/>
              </w:tcPr>
              <w:p w14:paraId="66F53EB6" w14:textId="77777777" w:rsidR="00E57DAA" w:rsidRDefault="00AC4185">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6973C367" w14:textId="77777777" w:rsidR="00E57DAA" w:rsidRDefault="00AC4185">
                <w:pPr>
                  <w:jc w:val="right"/>
                  <w:rPr>
                    <w:szCs w:val="21"/>
                  </w:rPr>
                </w:pPr>
                <w:r>
                  <w:t>1,755,177,306.62</w:t>
                </w:r>
              </w:p>
            </w:tc>
            <w:tc>
              <w:tcPr>
                <w:tcW w:w="1197" w:type="pct"/>
                <w:tcBorders>
                  <w:top w:val="outset" w:sz="4" w:space="0" w:color="auto"/>
                  <w:left w:val="outset" w:sz="4" w:space="0" w:color="auto"/>
                  <w:bottom w:val="outset" w:sz="4" w:space="0" w:color="auto"/>
                  <w:right w:val="outset" w:sz="4" w:space="0" w:color="auto"/>
                </w:tcBorders>
                <w:vAlign w:val="center"/>
              </w:tcPr>
              <w:p w14:paraId="191C26DA" w14:textId="77777777" w:rsidR="00E57DAA" w:rsidRDefault="00AC4185">
                <w:pPr>
                  <w:jc w:val="right"/>
                  <w:rPr>
                    <w:szCs w:val="21"/>
                  </w:rPr>
                </w:pPr>
                <w:r>
                  <w:t>1,723,542,077.76</w:t>
                </w:r>
              </w:p>
            </w:tc>
          </w:tr>
          <w:tr w:rsidR="00E57DAA" w14:paraId="2333DC49" w14:textId="77777777">
            <w:tc>
              <w:tcPr>
                <w:tcW w:w="2096" w:type="pct"/>
                <w:tcBorders>
                  <w:top w:val="outset" w:sz="4" w:space="0" w:color="auto"/>
                  <w:left w:val="outset" w:sz="4" w:space="0" w:color="auto"/>
                  <w:bottom w:val="outset" w:sz="4" w:space="0" w:color="auto"/>
                  <w:right w:val="outset" w:sz="4" w:space="0" w:color="auto"/>
                </w:tcBorders>
              </w:tcPr>
              <w:p w14:paraId="142D0113" w14:textId="77777777" w:rsidR="00E57DAA" w:rsidRDefault="00AC4185">
                <w:pPr>
                  <w:ind w:firstLineChars="200" w:firstLine="420"/>
                  <w:rPr>
                    <w:color w:val="000000"/>
                    <w:szCs w:val="21"/>
                  </w:rPr>
                </w:pPr>
                <w:r>
                  <w:rPr>
                    <w:rFonts w:hint="eastAsia"/>
                    <w:szCs w:val="21"/>
                  </w:rPr>
                  <w:t>经营活动现金流出小计</w:t>
                </w:r>
              </w:p>
            </w:tc>
            <w:tc>
              <w:tcPr>
                <w:tcW w:w="506" w:type="pct"/>
                <w:tcBorders>
                  <w:top w:val="outset" w:sz="4" w:space="0" w:color="auto"/>
                  <w:left w:val="outset" w:sz="4" w:space="0" w:color="auto"/>
                  <w:bottom w:val="outset" w:sz="4" w:space="0" w:color="auto"/>
                  <w:right w:val="outset" w:sz="4" w:space="0" w:color="auto"/>
                </w:tcBorders>
                <w:vAlign w:val="center"/>
              </w:tcPr>
              <w:p w14:paraId="1D8EFEBC"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1CF3B0E" w14:textId="77777777" w:rsidR="00E57DAA" w:rsidRDefault="00AC4185">
                <w:pPr>
                  <w:jc w:val="right"/>
                  <w:rPr>
                    <w:szCs w:val="21"/>
                  </w:rPr>
                </w:pPr>
                <w:r>
                  <w:t>35,584,497,208.74</w:t>
                </w:r>
              </w:p>
            </w:tc>
            <w:tc>
              <w:tcPr>
                <w:tcW w:w="1197" w:type="pct"/>
                <w:tcBorders>
                  <w:top w:val="outset" w:sz="4" w:space="0" w:color="auto"/>
                  <w:left w:val="outset" w:sz="4" w:space="0" w:color="auto"/>
                  <w:bottom w:val="outset" w:sz="4" w:space="0" w:color="auto"/>
                  <w:right w:val="outset" w:sz="4" w:space="0" w:color="auto"/>
                </w:tcBorders>
                <w:vAlign w:val="center"/>
              </w:tcPr>
              <w:p w14:paraId="561949DF" w14:textId="77777777" w:rsidR="00E57DAA" w:rsidRDefault="00AC4185">
                <w:pPr>
                  <w:jc w:val="right"/>
                  <w:rPr>
                    <w:szCs w:val="21"/>
                  </w:rPr>
                </w:pPr>
                <w:r>
                  <w:t>36,205,228,051.26</w:t>
                </w:r>
              </w:p>
            </w:tc>
          </w:tr>
          <w:tr w:rsidR="00E57DAA" w14:paraId="1AFA36D0" w14:textId="77777777">
            <w:tc>
              <w:tcPr>
                <w:tcW w:w="2096" w:type="pct"/>
                <w:tcBorders>
                  <w:top w:val="outset" w:sz="4" w:space="0" w:color="auto"/>
                  <w:left w:val="outset" w:sz="4" w:space="0" w:color="auto"/>
                  <w:bottom w:val="outset" w:sz="4" w:space="0" w:color="auto"/>
                  <w:right w:val="outset" w:sz="4" w:space="0" w:color="auto"/>
                </w:tcBorders>
              </w:tcPr>
              <w:p w14:paraId="1796A20E" w14:textId="77777777" w:rsidR="00E57DAA" w:rsidRDefault="00AC4185">
                <w:pPr>
                  <w:ind w:firstLineChars="300" w:firstLine="630"/>
                  <w:rPr>
                    <w:color w:val="000000"/>
                    <w:szCs w:val="21"/>
                  </w:rPr>
                </w:pPr>
                <w:r>
                  <w:rPr>
                    <w:rFonts w:hint="eastAsia"/>
                    <w:szCs w:val="21"/>
                  </w:rPr>
                  <w:t>经营活动产生的现金流量净额</w:t>
                </w:r>
              </w:p>
            </w:tc>
            <w:tc>
              <w:tcPr>
                <w:tcW w:w="506" w:type="pct"/>
                <w:tcBorders>
                  <w:top w:val="outset" w:sz="4" w:space="0" w:color="auto"/>
                  <w:left w:val="outset" w:sz="4" w:space="0" w:color="auto"/>
                  <w:bottom w:val="outset" w:sz="4" w:space="0" w:color="auto"/>
                  <w:right w:val="outset" w:sz="4" w:space="0" w:color="auto"/>
                </w:tcBorders>
                <w:vAlign w:val="center"/>
              </w:tcPr>
              <w:p w14:paraId="08D3BC2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DE58EBD" w14:textId="77777777" w:rsidR="00E57DAA" w:rsidRDefault="00AC4185">
                <w:pPr>
                  <w:jc w:val="right"/>
                  <w:rPr>
                    <w:szCs w:val="21"/>
                  </w:rPr>
                </w:pPr>
                <w:r>
                  <w:t>3,535,858,141.78</w:t>
                </w:r>
              </w:p>
            </w:tc>
            <w:tc>
              <w:tcPr>
                <w:tcW w:w="1197" w:type="pct"/>
                <w:tcBorders>
                  <w:top w:val="outset" w:sz="4" w:space="0" w:color="auto"/>
                  <w:left w:val="outset" w:sz="4" w:space="0" w:color="auto"/>
                  <w:bottom w:val="outset" w:sz="4" w:space="0" w:color="auto"/>
                  <w:right w:val="outset" w:sz="4" w:space="0" w:color="auto"/>
                </w:tcBorders>
                <w:vAlign w:val="center"/>
              </w:tcPr>
              <w:p w14:paraId="2AA1C473" w14:textId="77777777" w:rsidR="00E57DAA" w:rsidRDefault="00AC4185">
                <w:pPr>
                  <w:jc w:val="right"/>
                  <w:rPr>
                    <w:szCs w:val="21"/>
                  </w:rPr>
                </w:pPr>
                <w:r>
                  <w:t>1,140,282,588.85</w:t>
                </w:r>
              </w:p>
            </w:tc>
          </w:tr>
          <w:tr w:rsidR="00E57DAA" w14:paraId="308A2D60" w14:textId="77777777">
            <w:sdt>
              <w:sdtPr>
                <w:tag w:val="_PLD_cb59aa0e2bd944b8ba7271368c6da00a"/>
                <w:id w:val="1259954894"/>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C158489" w14:textId="77777777" w:rsidR="00E57DAA" w:rsidRDefault="00AC4185">
                    <w:pPr>
                      <w:rPr>
                        <w:color w:val="008000"/>
                        <w:szCs w:val="21"/>
                      </w:rPr>
                    </w:pPr>
                    <w:r>
                      <w:rPr>
                        <w:rFonts w:hint="eastAsia"/>
                        <w:b/>
                        <w:bCs/>
                        <w:szCs w:val="21"/>
                      </w:rPr>
                      <w:t>二、投资活动产生的现金流量：</w:t>
                    </w:r>
                  </w:p>
                </w:tc>
              </w:sdtContent>
            </w:sdt>
          </w:tr>
          <w:tr w:rsidR="00E57DAA" w14:paraId="51D16DAB" w14:textId="77777777">
            <w:tc>
              <w:tcPr>
                <w:tcW w:w="2096" w:type="pct"/>
                <w:tcBorders>
                  <w:top w:val="outset" w:sz="4" w:space="0" w:color="auto"/>
                  <w:left w:val="outset" w:sz="4" w:space="0" w:color="auto"/>
                  <w:bottom w:val="outset" w:sz="4" w:space="0" w:color="auto"/>
                  <w:right w:val="outset" w:sz="4" w:space="0" w:color="auto"/>
                </w:tcBorders>
              </w:tcPr>
              <w:p w14:paraId="3FFB78CB" w14:textId="77777777" w:rsidR="00E57DAA" w:rsidRDefault="00AC4185">
                <w:pPr>
                  <w:ind w:firstLineChars="100" w:firstLine="210"/>
                  <w:rPr>
                    <w:szCs w:val="21"/>
                  </w:rPr>
                </w:pPr>
                <w:r>
                  <w:rPr>
                    <w:rFonts w:hint="eastAsia"/>
                    <w:szCs w:val="21"/>
                  </w:rPr>
                  <w:t>收回投资收到的现金</w:t>
                </w:r>
              </w:p>
            </w:tc>
            <w:tc>
              <w:tcPr>
                <w:tcW w:w="506" w:type="pct"/>
                <w:tcBorders>
                  <w:top w:val="outset" w:sz="4" w:space="0" w:color="auto"/>
                  <w:left w:val="outset" w:sz="4" w:space="0" w:color="auto"/>
                  <w:bottom w:val="outset" w:sz="4" w:space="0" w:color="auto"/>
                  <w:right w:val="outset" w:sz="4" w:space="0" w:color="auto"/>
                </w:tcBorders>
              </w:tcPr>
              <w:p w14:paraId="2D55D113"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0428AC3" w14:textId="77777777" w:rsidR="00E57DAA" w:rsidRDefault="00AC4185">
                <w:pPr>
                  <w:jc w:val="right"/>
                  <w:rPr>
                    <w:szCs w:val="21"/>
                  </w:rPr>
                </w:pPr>
                <w:r>
                  <w:t>36,701,986.61</w:t>
                </w:r>
              </w:p>
            </w:tc>
            <w:tc>
              <w:tcPr>
                <w:tcW w:w="1197" w:type="pct"/>
                <w:tcBorders>
                  <w:top w:val="outset" w:sz="4" w:space="0" w:color="auto"/>
                  <w:left w:val="outset" w:sz="4" w:space="0" w:color="auto"/>
                  <w:bottom w:val="outset" w:sz="4" w:space="0" w:color="auto"/>
                  <w:right w:val="outset" w:sz="4" w:space="0" w:color="auto"/>
                </w:tcBorders>
                <w:vAlign w:val="center"/>
              </w:tcPr>
              <w:p w14:paraId="23D231E9" w14:textId="77777777" w:rsidR="00E57DAA" w:rsidRDefault="00AC4185">
                <w:pPr>
                  <w:jc w:val="right"/>
                  <w:rPr>
                    <w:szCs w:val="21"/>
                  </w:rPr>
                </w:pPr>
                <w:r>
                  <w:t>2,808,225.53</w:t>
                </w:r>
              </w:p>
            </w:tc>
          </w:tr>
          <w:tr w:rsidR="00E57DAA" w14:paraId="328DC786" w14:textId="77777777">
            <w:tc>
              <w:tcPr>
                <w:tcW w:w="2096" w:type="pct"/>
                <w:tcBorders>
                  <w:top w:val="outset" w:sz="4" w:space="0" w:color="auto"/>
                  <w:left w:val="outset" w:sz="4" w:space="0" w:color="auto"/>
                  <w:bottom w:val="outset" w:sz="4" w:space="0" w:color="auto"/>
                  <w:right w:val="outset" w:sz="4" w:space="0" w:color="auto"/>
                </w:tcBorders>
              </w:tcPr>
              <w:p w14:paraId="6A691189" w14:textId="77777777" w:rsidR="00E57DAA" w:rsidRDefault="00AC4185">
                <w:pPr>
                  <w:ind w:firstLineChars="100" w:firstLine="210"/>
                  <w:rPr>
                    <w:szCs w:val="21"/>
                  </w:rPr>
                </w:pPr>
                <w:r>
                  <w:rPr>
                    <w:rFonts w:hint="eastAsia"/>
                    <w:szCs w:val="21"/>
                  </w:rPr>
                  <w:t>取得投资收益收到的现金</w:t>
                </w:r>
              </w:p>
            </w:tc>
            <w:tc>
              <w:tcPr>
                <w:tcW w:w="506" w:type="pct"/>
                <w:tcBorders>
                  <w:top w:val="outset" w:sz="4" w:space="0" w:color="auto"/>
                  <w:left w:val="outset" w:sz="4" w:space="0" w:color="auto"/>
                  <w:bottom w:val="outset" w:sz="4" w:space="0" w:color="auto"/>
                  <w:right w:val="outset" w:sz="4" w:space="0" w:color="auto"/>
                </w:tcBorders>
              </w:tcPr>
              <w:p w14:paraId="5BD29B7F"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9A4321A" w14:textId="77777777" w:rsidR="00E57DAA" w:rsidRDefault="00AC4185">
                <w:pPr>
                  <w:jc w:val="right"/>
                  <w:rPr>
                    <w:szCs w:val="21"/>
                  </w:rPr>
                </w:pPr>
                <w:r>
                  <w:t>16,938,822.05</w:t>
                </w:r>
              </w:p>
            </w:tc>
            <w:tc>
              <w:tcPr>
                <w:tcW w:w="1197" w:type="pct"/>
                <w:tcBorders>
                  <w:top w:val="outset" w:sz="4" w:space="0" w:color="auto"/>
                  <w:left w:val="outset" w:sz="4" w:space="0" w:color="auto"/>
                  <w:bottom w:val="outset" w:sz="4" w:space="0" w:color="auto"/>
                  <w:right w:val="outset" w:sz="4" w:space="0" w:color="auto"/>
                </w:tcBorders>
                <w:vAlign w:val="center"/>
              </w:tcPr>
              <w:p w14:paraId="6B22D68D" w14:textId="77777777" w:rsidR="00E57DAA" w:rsidRDefault="00AC4185">
                <w:pPr>
                  <w:jc w:val="right"/>
                  <w:rPr>
                    <w:szCs w:val="21"/>
                  </w:rPr>
                </w:pPr>
                <w:r>
                  <w:t>83,847,824.56</w:t>
                </w:r>
              </w:p>
            </w:tc>
          </w:tr>
          <w:tr w:rsidR="00E57DAA" w14:paraId="2C7079C3" w14:textId="77777777">
            <w:tc>
              <w:tcPr>
                <w:tcW w:w="2096" w:type="pct"/>
                <w:tcBorders>
                  <w:top w:val="outset" w:sz="4" w:space="0" w:color="auto"/>
                  <w:left w:val="outset" w:sz="4" w:space="0" w:color="auto"/>
                  <w:bottom w:val="outset" w:sz="4" w:space="0" w:color="auto"/>
                  <w:right w:val="outset" w:sz="4" w:space="0" w:color="auto"/>
                </w:tcBorders>
              </w:tcPr>
              <w:p w14:paraId="042C3387" w14:textId="77777777" w:rsidR="00E57DAA" w:rsidRDefault="00AC4185">
                <w:pPr>
                  <w:ind w:firstLineChars="100" w:firstLine="210"/>
                  <w:rPr>
                    <w:szCs w:val="21"/>
                  </w:rPr>
                </w:pPr>
                <w:r>
                  <w:rPr>
                    <w:rFonts w:hint="eastAsia"/>
                    <w:szCs w:val="21"/>
                  </w:rPr>
                  <w:t>处置固定资产、无形资产和其他长期资产收回的现金净额</w:t>
                </w:r>
              </w:p>
            </w:tc>
            <w:tc>
              <w:tcPr>
                <w:tcW w:w="506" w:type="pct"/>
                <w:tcBorders>
                  <w:top w:val="outset" w:sz="4" w:space="0" w:color="auto"/>
                  <w:left w:val="outset" w:sz="4" w:space="0" w:color="auto"/>
                  <w:bottom w:val="outset" w:sz="4" w:space="0" w:color="auto"/>
                  <w:right w:val="outset" w:sz="4" w:space="0" w:color="auto"/>
                </w:tcBorders>
              </w:tcPr>
              <w:p w14:paraId="2EC17F5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03ED00C" w14:textId="77777777" w:rsidR="00E57DAA" w:rsidRDefault="00AC4185">
                <w:pPr>
                  <w:jc w:val="right"/>
                  <w:rPr>
                    <w:szCs w:val="21"/>
                  </w:rPr>
                </w:pPr>
                <w:r>
                  <w:t>42,332,248.29</w:t>
                </w:r>
              </w:p>
            </w:tc>
            <w:tc>
              <w:tcPr>
                <w:tcW w:w="1197" w:type="pct"/>
                <w:tcBorders>
                  <w:top w:val="outset" w:sz="4" w:space="0" w:color="auto"/>
                  <w:left w:val="outset" w:sz="4" w:space="0" w:color="auto"/>
                  <w:bottom w:val="outset" w:sz="4" w:space="0" w:color="auto"/>
                  <w:right w:val="outset" w:sz="4" w:space="0" w:color="auto"/>
                </w:tcBorders>
                <w:vAlign w:val="center"/>
              </w:tcPr>
              <w:p w14:paraId="14C032FB" w14:textId="77777777" w:rsidR="00E57DAA" w:rsidRDefault="00AC4185">
                <w:pPr>
                  <w:jc w:val="right"/>
                  <w:rPr>
                    <w:szCs w:val="21"/>
                  </w:rPr>
                </w:pPr>
                <w:r>
                  <w:t>17,137,827.54</w:t>
                </w:r>
              </w:p>
            </w:tc>
          </w:tr>
          <w:tr w:rsidR="00E57DAA" w14:paraId="6CEAE679" w14:textId="77777777">
            <w:tc>
              <w:tcPr>
                <w:tcW w:w="2096" w:type="pct"/>
                <w:tcBorders>
                  <w:top w:val="outset" w:sz="4" w:space="0" w:color="auto"/>
                  <w:left w:val="outset" w:sz="4" w:space="0" w:color="auto"/>
                  <w:bottom w:val="outset" w:sz="4" w:space="0" w:color="auto"/>
                  <w:right w:val="outset" w:sz="4" w:space="0" w:color="auto"/>
                </w:tcBorders>
              </w:tcPr>
              <w:p w14:paraId="71FBF89E" w14:textId="77777777" w:rsidR="00E57DAA" w:rsidRDefault="00AC4185">
                <w:pPr>
                  <w:ind w:firstLineChars="100" w:firstLine="210"/>
                  <w:rPr>
                    <w:szCs w:val="21"/>
                  </w:rPr>
                </w:pPr>
                <w:r>
                  <w:rPr>
                    <w:rFonts w:hint="eastAsia"/>
                    <w:szCs w:val="21"/>
                  </w:rPr>
                  <w:t>处置子公司及其他营业单位收到的现金净额</w:t>
                </w:r>
              </w:p>
            </w:tc>
            <w:tc>
              <w:tcPr>
                <w:tcW w:w="506" w:type="pct"/>
                <w:tcBorders>
                  <w:top w:val="outset" w:sz="4" w:space="0" w:color="auto"/>
                  <w:left w:val="outset" w:sz="4" w:space="0" w:color="auto"/>
                  <w:bottom w:val="outset" w:sz="4" w:space="0" w:color="auto"/>
                  <w:right w:val="outset" w:sz="4" w:space="0" w:color="auto"/>
                </w:tcBorders>
              </w:tcPr>
              <w:p w14:paraId="6A7DA9E0"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1EAE68A" w14:textId="77777777" w:rsidR="00E57DAA" w:rsidRDefault="00AC4185">
                <w:pPr>
                  <w:jc w:val="right"/>
                  <w:rPr>
                    <w:szCs w:val="21"/>
                  </w:rPr>
                </w:pPr>
                <w:r>
                  <w:t>1,086,294.16</w:t>
                </w:r>
              </w:p>
            </w:tc>
            <w:tc>
              <w:tcPr>
                <w:tcW w:w="1197" w:type="pct"/>
                <w:tcBorders>
                  <w:top w:val="outset" w:sz="4" w:space="0" w:color="auto"/>
                  <w:left w:val="outset" w:sz="4" w:space="0" w:color="auto"/>
                  <w:bottom w:val="outset" w:sz="4" w:space="0" w:color="auto"/>
                  <w:right w:val="outset" w:sz="4" w:space="0" w:color="auto"/>
                </w:tcBorders>
                <w:vAlign w:val="center"/>
              </w:tcPr>
              <w:p w14:paraId="5B9B391D" w14:textId="77777777" w:rsidR="00E57DAA" w:rsidRDefault="00AC4185">
                <w:pPr>
                  <w:jc w:val="right"/>
                  <w:rPr>
                    <w:szCs w:val="21"/>
                  </w:rPr>
                </w:pPr>
                <w:r>
                  <w:t>442,421.00</w:t>
                </w:r>
              </w:p>
            </w:tc>
          </w:tr>
          <w:tr w:rsidR="00E57DAA" w14:paraId="79CC2668" w14:textId="77777777">
            <w:tc>
              <w:tcPr>
                <w:tcW w:w="2096" w:type="pct"/>
                <w:tcBorders>
                  <w:top w:val="outset" w:sz="4" w:space="0" w:color="auto"/>
                  <w:left w:val="outset" w:sz="4" w:space="0" w:color="auto"/>
                  <w:bottom w:val="outset" w:sz="4" w:space="0" w:color="auto"/>
                  <w:right w:val="outset" w:sz="4" w:space="0" w:color="auto"/>
                </w:tcBorders>
              </w:tcPr>
              <w:p w14:paraId="0A98A11A" w14:textId="77777777" w:rsidR="00E57DAA" w:rsidRDefault="00AC4185">
                <w:pPr>
                  <w:ind w:firstLineChars="100" w:firstLine="210"/>
                  <w:rPr>
                    <w:szCs w:val="21"/>
                  </w:rPr>
                </w:pPr>
                <w:r>
                  <w:rPr>
                    <w:rFonts w:hint="eastAsia"/>
                    <w:szCs w:val="21"/>
                  </w:rPr>
                  <w:t>收到其他与投资活动有关的现金</w:t>
                </w:r>
              </w:p>
            </w:tc>
            <w:tc>
              <w:tcPr>
                <w:tcW w:w="506" w:type="pct"/>
                <w:tcBorders>
                  <w:top w:val="outset" w:sz="4" w:space="0" w:color="auto"/>
                  <w:left w:val="outset" w:sz="4" w:space="0" w:color="auto"/>
                  <w:bottom w:val="outset" w:sz="4" w:space="0" w:color="auto"/>
                  <w:right w:val="outset" w:sz="4" w:space="0" w:color="auto"/>
                </w:tcBorders>
                <w:vAlign w:val="center"/>
              </w:tcPr>
              <w:p w14:paraId="1C6920B7" w14:textId="77777777" w:rsidR="00E57DAA" w:rsidRDefault="00AC4185">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0818BDC9" w14:textId="77777777" w:rsidR="00E57DAA" w:rsidRDefault="00AC4185">
                <w:pPr>
                  <w:jc w:val="right"/>
                  <w:rPr>
                    <w:szCs w:val="21"/>
                  </w:rPr>
                </w:pPr>
                <w:r>
                  <w:t>935,789,637.71</w:t>
                </w:r>
              </w:p>
            </w:tc>
            <w:tc>
              <w:tcPr>
                <w:tcW w:w="1197" w:type="pct"/>
                <w:tcBorders>
                  <w:top w:val="outset" w:sz="4" w:space="0" w:color="auto"/>
                  <w:left w:val="outset" w:sz="4" w:space="0" w:color="auto"/>
                  <w:bottom w:val="outset" w:sz="4" w:space="0" w:color="auto"/>
                  <w:right w:val="outset" w:sz="4" w:space="0" w:color="auto"/>
                </w:tcBorders>
                <w:vAlign w:val="center"/>
              </w:tcPr>
              <w:p w14:paraId="38358F6D" w14:textId="77777777" w:rsidR="00E57DAA" w:rsidRDefault="00AC4185">
                <w:pPr>
                  <w:jc w:val="right"/>
                  <w:rPr>
                    <w:szCs w:val="21"/>
                  </w:rPr>
                </w:pPr>
                <w:r>
                  <w:t>5,936,573,819.16</w:t>
                </w:r>
              </w:p>
            </w:tc>
          </w:tr>
          <w:tr w:rsidR="00E57DAA" w14:paraId="613A40F0" w14:textId="77777777">
            <w:tc>
              <w:tcPr>
                <w:tcW w:w="2096" w:type="pct"/>
                <w:tcBorders>
                  <w:top w:val="outset" w:sz="4" w:space="0" w:color="auto"/>
                  <w:left w:val="outset" w:sz="4" w:space="0" w:color="auto"/>
                  <w:bottom w:val="outset" w:sz="4" w:space="0" w:color="auto"/>
                  <w:right w:val="outset" w:sz="4" w:space="0" w:color="auto"/>
                </w:tcBorders>
              </w:tcPr>
              <w:p w14:paraId="27EA4D82" w14:textId="77777777" w:rsidR="00E57DAA" w:rsidRDefault="00AC4185">
                <w:pPr>
                  <w:ind w:firstLineChars="200" w:firstLine="420"/>
                  <w:rPr>
                    <w:color w:val="000000"/>
                    <w:szCs w:val="21"/>
                  </w:rPr>
                </w:pPr>
                <w:r>
                  <w:rPr>
                    <w:rFonts w:hint="eastAsia"/>
                    <w:szCs w:val="21"/>
                  </w:rPr>
                  <w:t>投资活动现金流入小计</w:t>
                </w:r>
              </w:p>
            </w:tc>
            <w:tc>
              <w:tcPr>
                <w:tcW w:w="506" w:type="pct"/>
                <w:tcBorders>
                  <w:top w:val="outset" w:sz="4" w:space="0" w:color="auto"/>
                  <w:left w:val="outset" w:sz="4" w:space="0" w:color="auto"/>
                  <w:bottom w:val="outset" w:sz="4" w:space="0" w:color="auto"/>
                  <w:right w:val="outset" w:sz="4" w:space="0" w:color="auto"/>
                </w:tcBorders>
                <w:vAlign w:val="center"/>
              </w:tcPr>
              <w:p w14:paraId="62AC3317"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330E269" w14:textId="77777777" w:rsidR="00E57DAA" w:rsidRDefault="00AC4185">
                <w:pPr>
                  <w:jc w:val="right"/>
                  <w:rPr>
                    <w:szCs w:val="21"/>
                  </w:rPr>
                </w:pPr>
                <w:r>
                  <w:t>1,032,848,988.82</w:t>
                </w:r>
              </w:p>
            </w:tc>
            <w:tc>
              <w:tcPr>
                <w:tcW w:w="1197" w:type="pct"/>
                <w:tcBorders>
                  <w:top w:val="outset" w:sz="4" w:space="0" w:color="auto"/>
                  <w:left w:val="outset" w:sz="4" w:space="0" w:color="auto"/>
                  <w:bottom w:val="outset" w:sz="4" w:space="0" w:color="auto"/>
                  <w:right w:val="outset" w:sz="4" w:space="0" w:color="auto"/>
                </w:tcBorders>
                <w:vAlign w:val="center"/>
              </w:tcPr>
              <w:p w14:paraId="056A7C96" w14:textId="77777777" w:rsidR="00E57DAA" w:rsidRDefault="00AC4185">
                <w:pPr>
                  <w:jc w:val="right"/>
                  <w:rPr>
                    <w:szCs w:val="21"/>
                  </w:rPr>
                </w:pPr>
                <w:r>
                  <w:t>6,040,810,117.79</w:t>
                </w:r>
              </w:p>
            </w:tc>
          </w:tr>
          <w:tr w:rsidR="00E57DAA" w14:paraId="6F5D9B2E" w14:textId="77777777">
            <w:tc>
              <w:tcPr>
                <w:tcW w:w="2096" w:type="pct"/>
                <w:tcBorders>
                  <w:top w:val="outset" w:sz="4" w:space="0" w:color="auto"/>
                  <w:left w:val="outset" w:sz="4" w:space="0" w:color="auto"/>
                  <w:bottom w:val="outset" w:sz="4" w:space="0" w:color="auto"/>
                  <w:right w:val="outset" w:sz="4" w:space="0" w:color="auto"/>
                </w:tcBorders>
              </w:tcPr>
              <w:p w14:paraId="12DA1BBC" w14:textId="77777777" w:rsidR="00E57DAA" w:rsidRDefault="00AC4185">
                <w:pPr>
                  <w:ind w:firstLineChars="100" w:firstLine="210"/>
                  <w:rPr>
                    <w:color w:val="000000"/>
                    <w:szCs w:val="21"/>
                  </w:rPr>
                </w:pPr>
                <w:r>
                  <w:rPr>
                    <w:rFonts w:hint="eastAsia"/>
                    <w:szCs w:val="21"/>
                  </w:rPr>
                  <w:t>购建固定资产、无形资产和其他长期资产支付的现金</w:t>
                </w:r>
              </w:p>
            </w:tc>
            <w:tc>
              <w:tcPr>
                <w:tcW w:w="506" w:type="pct"/>
                <w:tcBorders>
                  <w:top w:val="outset" w:sz="4" w:space="0" w:color="auto"/>
                  <w:left w:val="outset" w:sz="4" w:space="0" w:color="auto"/>
                  <w:bottom w:val="outset" w:sz="4" w:space="0" w:color="auto"/>
                  <w:right w:val="outset" w:sz="4" w:space="0" w:color="auto"/>
                </w:tcBorders>
                <w:vAlign w:val="center"/>
              </w:tcPr>
              <w:p w14:paraId="5466BCB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4625B8D" w14:textId="77777777" w:rsidR="00E57DAA" w:rsidRDefault="00AC4185">
                <w:pPr>
                  <w:jc w:val="right"/>
                  <w:rPr>
                    <w:szCs w:val="21"/>
                  </w:rPr>
                </w:pPr>
                <w:r>
                  <w:t>958,435,296.62</w:t>
                </w:r>
              </w:p>
            </w:tc>
            <w:tc>
              <w:tcPr>
                <w:tcW w:w="1197" w:type="pct"/>
                <w:tcBorders>
                  <w:top w:val="outset" w:sz="4" w:space="0" w:color="auto"/>
                  <w:left w:val="outset" w:sz="4" w:space="0" w:color="auto"/>
                  <w:bottom w:val="outset" w:sz="4" w:space="0" w:color="auto"/>
                  <w:right w:val="outset" w:sz="4" w:space="0" w:color="auto"/>
                </w:tcBorders>
                <w:vAlign w:val="center"/>
              </w:tcPr>
              <w:p w14:paraId="4C5EE3FF" w14:textId="77777777" w:rsidR="00E57DAA" w:rsidRDefault="00AC4185">
                <w:pPr>
                  <w:jc w:val="right"/>
                  <w:rPr>
                    <w:szCs w:val="21"/>
                  </w:rPr>
                </w:pPr>
                <w:r>
                  <w:t>1,219,186,518.62</w:t>
                </w:r>
              </w:p>
            </w:tc>
          </w:tr>
          <w:tr w:rsidR="00E57DAA" w14:paraId="07FD6F71" w14:textId="77777777">
            <w:tc>
              <w:tcPr>
                <w:tcW w:w="2096" w:type="pct"/>
                <w:tcBorders>
                  <w:top w:val="outset" w:sz="4" w:space="0" w:color="auto"/>
                  <w:left w:val="outset" w:sz="4" w:space="0" w:color="auto"/>
                  <w:bottom w:val="outset" w:sz="4" w:space="0" w:color="auto"/>
                  <w:right w:val="outset" w:sz="4" w:space="0" w:color="auto"/>
                </w:tcBorders>
              </w:tcPr>
              <w:p w14:paraId="751722FA" w14:textId="77777777" w:rsidR="00E57DAA" w:rsidRDefault="00AC4185">
                <w:pPr>
                  <w:ind w:firstLineChars="100" w:firstLine="210"/>
                  <w:rPr>
                    <w:szCs w:val="21"/>
                  </w:rPr>
                </w:pPr>
                <w:r>
                  <w:rPr>
                    <w:rFonts w:hint="eastAsia"/>
                    <w:szCs w:val="21"/>
                  </w:rPr>
                  <w:t>投资支付的现金</w:t>
                </w:r>
              </w:p>
            </w:tc>
            <w:tc>
              <w:tcPr>
                <w:tcW w:w="506" w:type="pct"/>
                <w:tcBorders>
                  <w:top w:val="outset" w:sz="4" w:space="0" w:color="auto"/>
                  <w:left w:val="outset" w:sz="4" w:space="0" w:color="auto"/>
                  <w:bottom w:val="outset" w:sz="4" w:space="0" w:color="auto"/>
                  <w:right w:val="outset" w:sz="4" w:space="0" w:color="auto"/>
                </w:tcBorders>
                <w:vAlign w:val="center"/>
              </w:tcPr>
              <w:p w14:paraId="13A5C6FC"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9CF7641" w14:textId="77777777" w:rsidR="00E57DAA" w:rsidRDefault="00AC4185">
                <w:pPr>
                  <w:jc w:val="right"/>
                  <w:rPr>
                    <w:szCs w:val="21"/>
                  </w:rPr>
                </w:pPr>
                <w:r>
                  <w:t>592,781,790.18</w:t>
                </w:r>
              </w:p>
            </w:tc>
            <w:tc>
              <w:tcPr>
                <w:tcW w:w="1197" w:type="pct"/>
                <w:tcBorders>
                  <w:top w:val="outset" w:sz="4" w:space="0" w:color="auto"/>
                  <w:left w:val="outset" w:sz="4" w:space="0" w:color="auto"/>
                  <w:bottom w:val="outset" w:sz="4" w:space="0" w:color="auto"/>
                  <w:right w:val="outset" w:sz="4" w:space="0" w:color="auto"/>
                </w:tcBorders>
                <w:vAlign w:val="center"/>
              </w:tcPr>
              <w:p w14:paraId="06F88B1C" w14:textId="77777777" w:rsidR="00E57DAA" w:rsidRDefault="00AC4185">
                <w:pPr>
                  <w:jc w:val="right"/>
                  <w:rPr>
                    <w:szCs w:val="21"/>
                  </w:rPr>
                </w:pPr>
                <w:r>
                  <w:t>135,802,480.97</w:t>
                </w:r>
              </w:p>
            </w:tc>
          </w:tr>
          <w:tr w:rsidR="00E57DAA" w14:paraId="2135AD37" w14:textId="77777777">
            <w:tc>
              <w:tcPr>
                <w:tcW w:w="2096" w:type="pct"/>
                <w:tcBorders>
                  <w:top w:val="outset" w:sz="4" w:space="0" w:color="auto"/>
                  <w:left w:val="outset" w:sz="4" w:space="0" w:color="auto"/>
                  <w:bottom w:val="outset" w:sz="4" w:space="0" w:color="auto"/>
                  <w:right w:val="outset" w:sz="4" w:space="0" w:color="auto"/>
                </w:tcBorders>
              </w:tcPr>
              <w:p w14:paraId="20A8F35B" w14:textId="77777777" w:rsidR="00E57DAA" w:rsidRDefault="00AC4185">
                <w:pPr>
                  <w:ind w:firstLineChars="100" w:firstLine="210"/>
                  <w:rPr>
                    <w:szCs w:val="21"/>
                  </w:rPr>
                </w:pPr>
                <w:r>
                  <w:rPr>
                    <w:rFonts w:hint="eastAsia"/>
                    <w:szCs w:val="21"/>
                  </w:rPr>
                  <w:t>质押贷款净增加额</w:t>
                </w:r>
              </w:p>
            </w:tc>
            <w:tc>
              <w:tcPr>
                <w:tcW w:w="506" w:type="pct"/>
                <w:tcBorders>
                  <w:top w:val="outset" w:sz="4" w:space="0" w:color="auto"/>
                  <w:left w:val="outset" w:sz="4" w:space="0" w:color="auto"/>
                  <w:bottom w:val="outset" w:sz="4" w:space="0" w:color="auto"/>
                  <w:right w:val="outset" w:sz="4" w:space="0" w:color="auto"/>
                </w:tcBorders>
                <w:vAlign w:val="center"/>
              </w:tcPr>
              <w:p w14:paraId="0C8CB17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0C81000B"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BEB695B" w14:textId="77777777" w:rsidR="00E57DAA" w:rsidRDefault="00E57DAA">
                <w:pPr>
                  <w:jc w:val="right"/>
                  <w:rPr>
                    <w:szCs w:val="21"/>
                  </w:rPr>
                </w:pPr>
              </w:p>
            </w:tc>
          </w:tr>
          <w:tr w:rsidR="00E57DAA" w14:paraId="238D35CF" w14:textId="77777777">
            <w:tc>
              <w:tcPr>
                <w:tcW w:w="2096" w:type="pct"/>
                <w:tcBorders>
                  <w:top w:val="outset" w:sz="4" w:space="0" w:color="auto"/>
                  <w:left w:val="outset" w:sz="4" w:space="0" w:color="auto"/>
                  <w:bottom w:val="outset" w:sz="4" w:space="0" w:color="auto"/>
                  <w:right w:val="outset" w:sz="4" w:space="0" w:color="auto"/>
                </w:tcBorders>
              </w:tcPr>
              <w:p w14:paraId="2342D2B3" w14:textId="77777777" w:rsidR="00E57DAA" w:rsidRDefault="00AC4185">
                <w:pPr>
                  <w:ind w:firstLineChars="100" w:firstLine="210"/>
                  <w:rPr>
                    <w:szCs w:val="21"/>
                  </w:rPr>
                </w:pPr>
                <w:r>
                  <w:rPr>
                    <w:rFonts w:hint="eastAsia"/>
                    <w:szCs w:val="21"/>
                  </w:rPr>
                  <w:t>取得子公司及其他营业单位支付的现金净额</w:t>
                </w:r>
              </w:p>
            </w:tc>
            <w:tc>
              <w:tcPr>
                <w:tcW w:w="506" w:type="pct"/>
                <w:tcBorders>
                  <w:top w:val="outset" w:sz="4" w:space="0" w:color="auto"/>
                  <w:left w:val="outset" w:sz="4" w:space="0" w:color="auto"/>
                  <w:bottom w:val="outset" w:sz="4" w:space="0" w:color="auto"/>
                  <w:right w:val="outset" w:sz="4" w:space="0" w:color="auto"/>
                </w:tcBorders>
                <w:vAlign w:val="center"/>
              </w:tcPr>
              <w:p w14:paraId="5599EDF3"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D4A63B7"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9E00E30" w14:textId="77777777" w:rsidR="00E57DAA" w:rsidRDefault="00AC4185">
                <w:pPr>
                  <w:jc w:val="right"/>
                  <w:rPr>
                    <w:szCs w:val="21"/>
                  </w:rPr>
                </w:pPr>
                <w:r>
                  <w:t>439,217,615.42</w:t>
                </w:r>
              </w:p>
            </w:tc>
          </w:tr>
          <w:tr w:rsidR="00E57DAA" w14:paraId="14CA5B79" w14:textId="77777777">
            <w:tc>
              <w:tcPr>
                <w:tcW w:w="2096" w:type="pct"/>
                <w:tcBorders>
                  <w:top w:val="outset" w:sz="4" w:space="0" w:color="auto"/>
                  <w:left w:val="outset" w:sz="4" w:space="0" w:color="auto"/>
                  <w:bottom w:val="outset" w:sz="4" w:space="0" w:color="auto"/>
                  <w:right w:val="outset" w:sz="4" w:space="0" w:color="auto"/>
                </w:tcBorders>
              </w:tcPr>
              <w:p w14:paraId="7B560F1A" w14:textId="77777777" w:rsidR="00E57DAA" w:rsidRDefault="00AC4185">
                <w:pPr>
                  <w:ind w:firstLineChars="100" w:firstLine="210"/>
                  <w:rPr>
                    <w:szCs w:val="21"/>
                  </w:rPr>
                </w:pPr>
                <w:r>
                  <w:rPr>
                    <w:rFonts w:hint="eastAsia"/>
                    <w:szCs w:val="21"/>
                  </w:rPr>
                  <w:t>支付其他与投资活动有关的现金</w:t>
                </w:r>
              </w:p>
            </w:tc>
            <w:tc>
              <w:tcPr>
                <w:tcW w:w="506" w:type="pct"/>
                <w:tcBorders>
                  <w:top w:val="outset" w:sz="4" w:space="0" w:color="auto"/>
                  <w:left w:val="outset" w:sz="4" w:space="0" w:color="auto"/>
                  <w:bottom w:val="outset" w:sz="4" w:space="0" w:color="auto"/>
                  <w:right w:val="outset" w:sz="4" w:space="0" w:color="auto"/>
                </w:tcBorders>
                <w:vAlign w:val="center"/>
              </w:tcPr>
              <w:p w14:paraId="2F8E4E89" w14:textId="77777777" w:rsidR="00E57DAA" w:rsidRDefault="00AC4185">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01679B71" w14:textId="77777777" w:rsidR="00E57DAA" w:rsidRDefault="00AC4185">
                <w:pPr>
                  <w:jc w:val="right"/>
                  <w:rPr>
                    <w:szCs w:val="21"/>
                  </w:rPr>
                </w:pPr>
                <w:r>
                  <w:t>385,182,080.54</w:t>
                </w:r>
              </w:p>
            </w:tc>
            <w:tc>
              <w:tcPr>
                <w:tcW w:w="1197" w:type="pct"/>
                <w:tcBorders>
                  <w:top w:val="outset" w:sz="4" w:space="0" w:color="auto"/>
                  <w:left w:val="outset" w:sz="4" w:space="0" w:color="auto"/>
                  <w:bottom w:val="outset" w:sz="4" w:space="0" w:color="auto"/>
                  <w:right w:val="outset" w:sz="4" w:space="0" w:color="auto"/>
                </w:tcBorders>
                <w:vAlign w:val="center"/>
              </w:tcPr>
              <w:p w14:paraId="7EC2DDF7" w14:textId="77777777" w:rsidR="00E57DAA" w:rsidRDefault="00AC4185">
                <w:pPr>
                  <w:jc w:val="right"/>
                  <w:rPr>
                    <w:szCs w:val="21"/>
                  </w:rPr>
                </w:pPr>
                <w:r>
                  <w:t>5,398,734,171.21</w:t>
                </w:r>
              </w:p>
            </w:tc>
          </w:tr>
          <w:tr w:rsidR="00E57DAA" w14:paraId="0777CC50" w14:textId="77777777">
            <w:tc>
              <w:tcPr>
                <w:tcW w:w="2096" w:type="pct"/>
                <w:tcBorders>
                  <w:top w:val="outset" w:sz="4" w:space="0" w:color="auto"/>
                  <w:left w:val="outset" w:sz="4" w:space="0" w:color="auto"/>
                  <w:bottom w:val="outset" w:sz="4" w:space="0" w:color="auto"/>
                  <w:right w:val="outset" w:sz="4" w:space="0" w:color="auto"/>
                </w:tcBorders>
              </w:tcPr>
              <w:p w14:paraId="3223F106" w14:textId="77777777" w:rsidR="00E57DAA" w:rsidRDefault="00AC4185">
                <w:pPr>
                  <w:ind w:firstLineChars="200" w:firstLine="420"/>
                  <w:rPr>
                    <w:color w:val="000000"/>
                    <w:szCs w:val="21"/>
                  </w:rPr>
                </w:pPr>
                <w:r>
                  <w:rPr>
                    <w:rFonts w:hint="eastAsia"/>
                    <w:szCs w:val="21"/>
                  </w:rPr>
                  <w:t>投资活动现金流出小计</w:t>
                </w:r>
              </w:p>
            </w:tc>
            <w:tc>
              <w:tcPr>
                <w:tcW w:w="506" w:type="pct"/>
                <w:tcBorders>
                  <w:top w:val="outset" w:sz="4" w:space="0" w:color="auto"/>
                  <w:left w:val="outset" w:sz="4" w:space="0" w:color="auto"/>
                  <w:bottom w:val="outset" w:sz="4" w:space="0" w:color="auto"/>
                  <w:right w:val="outset" w:sz="4" w:space="0" w:color="auto"/>
                </w:tcBorders>
              </w:tcPr>
              <w:p w14:paraId="27E2324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BAF58A9" w14:textId="77777777" w:rsidR="00E57DAA" w:rsidRDefault="00AC4185">
                <w:pPr>
                  <w:jc w:val="right"/>
                  <w:rPr>
                    <w:szCs w:val="21"/>
                  </w:rPr>
                </w:pPr>
                <w:r>
                  <w:t>1,936,399,167.34</w:t>
                </w:r>
              </w:p>
            </w:tc>
            <w:tc>
              <w:tcPr>
                <w:tcW w:w="1197" w:type="pct"/>
                <w:tcBorders>
                  <w:top w:val="outset" w:sz="4" w:space="0" w:color="auto"/>
                  <w:left w:val="outset" w:sz="4" w:space="0" w:color="auto"/>
                  <w:bottom w:val="outset" w:sz="4" w:space="0" w:color="auto"/>
                  <w:right w:val="outset" w:sz="4" w:space="0" w:color="auto"/>
                </w:tcBorders>
                <w:vAlign w:val="center"/>
              </w:tcPr>
              <w:p w14:paraId="00E90BD6" w14:textId="77777777" w:rsidR="00E57DAA" w:rsidRDefault="00AC4185">
                <w:pPr>
                  <w:jc w:val="right"/>
                  <w:rPr>
                    <w:szCs w:val="21"/>
                  </w:rPr>
                </w:pPr>
                <w:r>
                  <w:t>7,192,940,786.22</w:t>
                </w:r>
              </w:p>
            </w:tc>
          </w:tr>
          <w:tr w:rsidR="00E57DAA" w14:paraId="16CC0DE9" w14:textId="77777777">
            <w:tc>
              <w:tcPr>
                <w:tcW w:w="2096" w:type="pct"/>
                <w:tcBorders>
                  <w:top w:val="outset" w:sz="4" w:space="0" w:color="auto"/>
                  <w:left w:val="outset" w:sz="4" w:space="0" w:color="auto"/>
                  <w:bottom w:val="outset" w:sz="4" w:space="0" w:color="auto"/>
                  <w:right w:val="outset" w:sz="4" w:space="0" w:color="auto"/>
                </w:tcBorders>
              </w:tcPr>
              <w:p w14:paraId="19E5DC0D" w14:textId="77777777" w:rsidR="00E57DAA" w:rsidRDefault="00AC4185">
                <w:pPr>
                  <w:ind w:firstLineChars="300" w:firstLine="630"/>
                  <w:rPr>
                    <w:color w:val="000000"/>
                    <w:szCs w:val="21"/>
                  </w:rPr>
                </w:pPr>
                <w:r>
                  <w:rPr>
                    <w:rFonts w:hint="eastAsia"/>
                    <w:szCs w:val="21"/>
                  </w:rPr>
                  <w:t>投资活动产生的现金流量净额</w:t>
                </w:r>
              </w:p>
            </w:tc>
            <w:tc>
              <w:tcPr>
                <w:tcW w:w="506" w:type="pct"/>
                <w:tcBorders>
                  <w:top w:val="outset" w:sz="4" w:space="0" w:color="auto"/>
                  <w:left w:val="outset" w:sz="4" w:space="0" w:color="auto"/>
                  <w:bottom w:val="outset" w:sz="4" w:space="0" w:color="auto"/>
                  <w:right w:val="outset" w:sz="4" w:space="0" w:color="auto"/>
                </w:tcBorders>
              </w:tcPr>
              <w:p w14:paraId="2237AC8A"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CE2E2BE" w14:textId="77777777" w:rsidR="00E57DAA" w:rsidRDefault="00AC4185">
                <w:pPr>
                  <w:jc w:val="right"/>
                  <w:rPr>
                    <w:szCs w:val="21"/>
                  </w:rPr>
                </w:pPr>
                <w:r>
                  <w:t>-903,550,178.52</w:t>
                </w:r>
              </w:p>
            </w:tc>
            <w:tc>
              <w:tcPr>
                <w:tcW w:w="1197" w:type="pct"/>
                <w:tcBorders>
                  <w:top w:val="outset" w:sz="4" w:space="0" w:color="auto"/>
                  <w:left w:val="outset" w:sz="4" w:space="0" w:color="auto"/>
                  <w:bottom w:val="outset" w:sz="4" w:space="0" w:color="auto"/>
                  <w:right w:val="outset" w:sz="4" w:space="0" w:color="auto"/>
                </w:tcBorders>
                <w:vAlign w:val="center"/>
              </w:tcPr>
              <w:p w14:paraId="3721627C" w14:textId="77777777" w:rsidR="00E57DAA" w:rsidRDefault="00AC4185">
                <w:pPr>
                  <w:jc w:val="right"/>
                  <w:rPr>
                    <w:szCs w:val="21"/>
                  </w:rPr>
                </w:pPr>
                <w:r>
                  <w:t>-1,152,130,668.43</w:t>
                </w:r>
              </w:p>
            </w:tc>
          </w:tr>
          <w:tr w:rsidR="00E57DAA" w14:paraId="4B61D4C7" w14:textId="77777777">
            <w:sdt>
              <w:sdtPr>
                <w:tag w:val="_PLD_8e0d926902804b5baefad8990e4523b4"/>
                <w:id w:val="-1094715225"/>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2D3E5579" w14:textId="77777777" w:rsidR="00E57DAA" w:rsidRDefault="00AC4185">
                    <w:pPr>
                      <w:rPr>
                        <w:color w:val="008000"/>
                        <w:szCs w:val="21"/>
                      </w:rPr>
                    </w:pPr>
                    <w:r>
                      <w:rPr>
                        <w:rFonts w:hint="eastAsia"/>
                        <w:b/>
                        <w:bCs/>
                        <w:szCs w:val="21"/>
                      </w:rPr>
                      <w:t>三、筹资活动产生的现金流量：</w:t>
                    </w:r>
                  </w:p>
                </w:tc>
              </w:sdtContent>
            </w:sdt>
          </w:tr>
          <w:tr w:rsidR="00E57DAA" w14:paraId="2477AF40" w14:textId="77777777">
            <w:tc>
              <w:tcPr>
                <w:tcW w:w="2096" w:type="pct"/>
                <w:tcBorders>
                  <w:top w:val="outset" w:sz="4" w:space="0" w:color="auto"/>
                  <w:left w:val="outset" w:sz="4" w:space="0" w:color="auto"/>
                  <w:bottom w:val="outset" w:sz="4" w:space="0" w:color="auto"/>
                  <w:right w:val="outset" w:sz="4" w:space="0" w:color="auto"/>
                </w:tcBorders>
              </w:tcPr>
              <w:p w14:paraId="032CBDA0" w14:textId="77777777" w:rsidR="00E57DAA" w:rsidRDefault="00AC4185">
                <w:pPr>
                  <w:ind w:firstLineChars="100" w:firstLine="210"/>
                  <w:rPr>
                    <w:color w:val="000000"/>
                    <w:szCs w:val="21"/>
                  </w:rPr>
                </w:pPr>
                <w:r>
                  <w:rPr>
                    <w:rFonts w:hint="eastAsia"/>
                    <w:szCs w:val="21"/>
                  </w:rPr>
                  <w:t>吸收投资收到的现金</w:t>
                </w:r>
              </w:p>
            </w:tc>
            <w:tc>
              <w:tcPr>
                <w:tcW w:w="506" w:type="pct"/>
                <w:tcBorders>
                  <w:top w:val="outset" w:sz="4" w:space="0" w:color="auto"/>
                  <w:left w:val="outset" w:sz="4" w:space="0" w:color="auto"/>
                  <w:bottom w:val="outset" w:sz="4" w:space="0" w:color="auto"/>
                  <w:right w:val="outset" w:sz="4" w:space="0" w:color="auto"/>
                </w:tcBorders>
              </w:tcPr>
              <w:p w14:paraId="667342BE"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ED465E3" w14:textId="77777777" w:rsidR="00E57DAA" w:rsidRDefault="00AC4185">
                <w:pPr>
                  <w:jc w:val="right"/>
                  <w:rPr>
                    <w:szCs w:val="21"/>
                  </w:rPr>
                </w:pPr>
                <w:r>
                  <w:t>56,293,632.22</w:t>
                </w:r>
              </w:p>
            </w:tc>
            <w:tc>
              <w:tcPr>
                <w:tcW w:w="1197" w:type="pct"/>
                <w:tcBorders>
                  <w:top w:val="outset" w:sz="4" w:space="0" w:color="auto"/>
                  <w:left w:val="outset" w:sz="4" w:space="0" w:color="auto"/>
                  <w:bottom w:val="outset" w:sz="4" w:space="0" w:color="auto"/>
                  <w:right w:val="outset" w:sz="4" w:space="0" w:color="auto"/>
                </w:tcBorders>
                <w:vAlign w:val="center"/>
              </w:tcPr>
              <w:p w14:paraId="6555B7C3" w14:textId="77777777" w:rsidR="00E57DAA" w:rsidRDefault="00AC4185">
                <w:pPr>
                  <w:jc w:val="right"/>
                  <w:rPr>
                    <w:szCs w:val="21"/>
                  </w:rPr>
                </w:pPr>
                <w:r>
                  <w:t>282,969,716.55</w:t>
                </w:r>
              </w:p>
            </w:tc>
          </w:tr>
          <w:tr w:rsidR="00E57DAA" w14:paraId="194EFD2E" w14:textId="77777777">
            <w:tc>
              <w:tcPr>
                <w:tcW w:w="2096" w:type="pct"/>
                <w:tcBorders>
                  <w:top w:val="outset" w:sz="4" w:space="0" w:color="auto"/>
                  <w:left w:val="outset" w:sz="4" w:space="0" w:color="auto"/>
                  <w:bottom w:val="outset" w:sz="4" w:space="0" w:color="auto"/>
                  <w:right w:val="outset" w:sz="4" w:space="0" w:color="auto"/>
                </w:tcBorders>
              </w:tcPr>
              <w:p w14:paraId="1E8AE3F2" w14:textId="77777777" w:rsidR="00E57DAA" w:rsidRDefault="00AC4185">
                <w:pPr>
                  <w:ind w:firstLineChars="100" w:firstLine="210"/>
                  <w:rPr>
                    <w:color w:val="000000"/>
                    <w:szCs w:val="21"/>
                  </w:rPr>
                </w:pPr>
                <w:r>
                  <w:rPr>
                    <w:rFonts w:hint="eastAsia"/>
                    <w:szCs w:val="21"/>
                  </w:rPr>
                  <w:t>其中：子公司吸收少数股东投资收到的现金</w:t>
                </w:r>
              </w:p>
            </w:tc>
            <w:tc>
              <w:tcPr>
                <w:tcW w:w="506" w:type="pct"/>
                <w:tcBorders>
                  <w:top w:val="outset" w:sz="4" w:space="0" w:color="auto"/>
                  <w:left w:val="outset" w:sz="4" w:space="0" w:color="auto"/>
                  <w:bottom w:val="outset" w:sz="4" w:space="0" w:color="auto"/>
                  <w:right w:val="outset" w:sz="4" w:space="0" w:color="auto"/>
                </w:tcBorders>
              </w:tcPr>
              <w:p w14:paraId="51578F82"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7294AD7"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628E10F" w14:textId="77777777" w:rsidR="00E57DAA" w:rsidRDefault="00AC4185">
                <w:pPr>
                  <w:jc w:val="right"/>
                  <w:rPr>
                    <w:szCs w:val="21"/>
                  </w:rPr>
                </w:pPr>
                <w:r>
                  <w:t>5,071,500.00</w:t>
                </w:r>
              </w:p>
            </w:tc>
          </w:tr>
          <w:tr w:rsidR="00E57DAA" w14:paraId="759602B1" w14:textId="77777777">
            <w:tc>
              <w:tcPr>
                <w:tcW w:w="2096" w:type="pct"/>
                <w:tcBorders>
                  <w:top w:val="outset" w:sz="4" w:space="0" w:color="auto"/>
                  <w:left w:val="outset" w:sz="4" w:space="0" w:color="auto"/>
                  <w:bottom w:val="outset" w:sz="4" w:space="0" w:color="auto"/>
                  <w:right w:val="outset" w:sz="4" w:space="0" w:color="auto"/>
                </w:tcBorders>
              </w:tcPr>
              <w:p w14:paraId="06538397" w14:textId="77777777" w:rsidR="00E57DAA" w:rsidRDefault="00AC4185">
                <w:pPr>
                  <w:ind w:firstLineChars="100" w:firstLine="210"/>
                  <w:rPr>
                    <w:color w:val="000000"/>
                    <w:szCs w:val="21"/>
                  </w:rPr>
                </w:pPr>
                <w:r>
                  <w:rPr>
                    <w:rFonts w:hint="eastAsia"/>
                    <w:szCs w:val="21"/>
                  </w:rPr>
                  <w:t>取得借款收到的现金</w:t>
                </w:r>
              </w:p>
            </w:tc>
            <w:tc>
              <w:tcPr>
                <w:tcW w:w="506" w:type="pct"/>
                <w:tcBorders>
                  <w:top w:val="outset" w:sz="4" w:space="0" w:color="auto"/>
                  <w:left w:val="outset" w:sz="4" w:space="0" w:color="auto"/>
                  <w:bottom w:val="outset" w:sz="4" w:space="0" w:color="auto"/>
                  <w:right w:val="outset" w:sz="4" w:space="0" w:color="auto"/>
                </w:tcBorders>
              </w:tcPr>
              <w:p w14:paraId="4CEBDBF8"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F62A811" w14:textId="77777777" w:rsidR="00E57DAA" w:rsidRDefault="00AC4185">
                <w:pPr>
                  <w:jc w:val="right"/>
                  <w:rPr>
                    <w:szCs w:val="21"/>
                  </w:rPr>
                </w:pPr>
                <w:r>
                  <w:t>4,626,298,328.43</w:t>
                </w:r>
              </w:p>
            </w:tc>
            <w:tc>
              <w:tcPr>
                <w:tcW w:w="1197" w:type="pct"/>
                <w:tcBorders>
                  <w:top w:val="outset" w:sz="4" w:space="0" w:color="auto"/>
                  <w:left w:val="outset" w:sz="4" w:space="0" w:color="auto"/>
                  <w:bottom w:val="outset" w:sz="4" w:space="0" w:color="auto"/>
                  <w:right w:val="outset" w:sz="4" w:space="0" w:color="auto"/>
                </w:tcBorders>
                <w:vAlign w:val="center"/>
              </w:tcPr>
              <w:p w14:paraId="56D64806" w14:textId="77777777" w:rsidR="00E57DAA" w:rsidRDefault="00AC4185">
                <w:pPr>
                  <w:jc w:val="right"/>
                  <w:rPr>
                    <w:szCs w:val="21"/>
                  </w:rPr>
                </w:pPr>
                <w:r>
                  <w:t>7,713,774,452.75</w:t>
                </w:r>
              </w:p>
            </w:tc>
          </w:tr>
          <w:tr w:rsidR="00E57DAA" w14:paraId="7CBB18BB" w14:textId="77777777">
            <w:tc>
              <w:tcPr>
                <w:tcW w:w="2096" w:type="pct"/>
                <w:tcBorders>
                  <w:top w:val="outset" w:sz="4" w:space="0" w:color="auto"/>
                  <w:left w:val="outset" w:sz="4" w:space="0" w:color="auto"/>
                  <w:bottom w:val="outset" w:sz="4" w:space="0" w:color="auto"/>
                  <w:right w:val="outset" w:sz="4" w:space="0" w:color="auto"/>
                </w:tcBorders>
              </w:tcPr>
              <w:p w14:paraId="16F22B73" w14:textId="77777777" w:rsidR="00E57DAA" w:rsidRDefault="00AC4185">
                <w:pPr>
                  <w:ind w:firstLineChars="100" w:firstLine="210"/>
                  <w:rPr>
                    <w:color w:val="000000"/>
                    <w:szCs w:val="21"/>
                  </w:rPr>
                </w:pPr>
                <w:r>
                  <w:rPr>
                    <w:rFonts w:hint="eastAsia"/>
                    <w:szCs w:val="21"/>
                  </w:rPr>
                  <w:t>收到其他与筹资活动有关的现金</w:t>
                </w:r>
              </w:p>
            </w:tc>
            <w:tc>
              <w:tcPr>
                <w:tcW w:w="506" w:type="pct"/>
                <w:tcBorders>
                  <w:top w:val="outset" w:sz="4" w:space="0" w:color="auto"/>
                  <w:left w:val="outset" w:sz="4" w:space="0" w:color="auto"/>
                  <w:bottom w:val="outset" w:sz="4" w:space="0" w:color="auto"/>
                  <w:right w:val="outset" w:sz="4" w:space="0" w:color="auto"/>
                </w:tcBorders>
              </w:tcPr>
              <w:p w14:paraId="6379AB0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tcPr>
              <w:p w14:paraId="4DA2F3A0" w14:textId="77777777" w:rsidR="00E57DAA" w:rsidRDefault="00E57DAA">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F6910EC" w14:textId="77777777" w:rsidR="00E57DAA" w:rsidRDefault="00E57DAA">
                <w:pPr>
                  <w:jc w:val="right"/>
                  <w:rPr>
                    <w:szCs w:val="21"/>
                  </w:rPr>
                </w:pPr>
              </w:p>
            </w:tc>
          </w:tr>
          <w:tr w:rsidR="00E57DAA" w14:paraId="6FC215F2" w14:textId="77777777">
            <w:tc>
              <w:tcPr>
                <w:tcW w:w="2096" w:type="pct"/>
                <w:tcBorders>
                  <w:top w:val="outset" w:sz="4" w:space="0" w:color="auto"/>
                  <w:left w:val="outset" w:sz="4" w:space="0" w:color="auto"/>
                  <w:bottom w:val="outset" w:sz="4" w:space="0" w:color="auto"/>
                  <w:right w:val="outset" w:sz="4" w:space="0" w:color="auto"/>
                </w:tcBorders>
              </w:tcPr>
              <w:p w14:paraId="30B0A676" w14:textId="77777777" w:rsidR="00E57DAA" w:rsidRDefault="00AC4185">
                <w:pPr>
                  <w:ind w:firstLineChars="200" w:firstLine="420"/>
                  <w:rPr>
                    <w:color w:val="000000"/>
                    <w:szCs w:val="21"/>
                  </w:rPr>
                </w:pPr>
                <w:r>
                  <w:rPr>
                    <w:rFonts w:hint="eastAsia"/>
                    <w:szCs w:val="21"/>
                  </w:rPr>
                  <w:t>筹资活动现金流入小计</w:t>
                </w:r>
              </w:p>
            </w:tc>
            <w:tc>
              <w:tcPr>
                <w:tcW w:w="506" w:type="pct"/>
                <w:tcBorders>
                  <w:top w:val="outset" w:sz="4" w:space="0" w:color="auto"/>
                  <w:left w:val="outset" w:sz="4" w:space="0" w:color="auto"/>
                  <w:bottom w:val="outset" w:sz="4" w:space="0" w:color="auto"/>
                  <w:right w:val="outset" w:sz="4" w:space="0" w:color="auto"/>
                </w:tcBorders>
              </w:tcPr>
              <w:p w14:paraId="03EEBF55"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92ED7C6" w14:textId="77777777" w:rsidR="00E57DAA" w:rsidRDefault="00AC4185">
                <w:pPr>
                  <w:jc w:val="right"/>
                  <w:rPr>
                    <w:szCs w:val="21"/>
                  </w:rPr>
                </w:pPr>
                <w:r>
                  <w:t>4,682,591,960.65</w:t>
                </w:r>
              </w:p>
            </w:tc>
            <w:tc>
              <w:tcPr>
                <w:tcW w:w="1197" w:type="pct"/>
                <w:tcBorders>
                  <w:top w:val="outset" w:sz="4" w:space="0" w:color="auto"/>
                  <w:left w:val="outset" w:sz="4" w:space="0" w:color="auto"/>
                  <w:bottom w:val="outset" w:sz="4" w:space="0" w:color="auto"/>
                  <w:right w:val="outset" w:sz="4" w:space="0" w:color="auto"/>
                </w:tcBorders>
                <w:vAlign w:val="center"/>
              </w:tcPr>
              <w:p w14:paraId="1518B41A" w14:textId="77777777" w:rsidR="00E57DAA" w:rsidRDefault="00AC4185">
                <w:pPr>
                  <w:jc w:val="right"/>
                  <w:rPr>
                    <w:szCs w:val="21"/>
                  </w:rPr>
                </w:pPr>
                <w:r>
                  <w:t>7,996,744,169.30</w:t>
                </w:r>
              </w:p>
            </w:tc>
          </w:tr>
          <w:tr w:rsidR="00E57DAA" w14:paraId="138975FC" w14:textId="77777777">
            <w:tc>
              <w:tcPr>
                <w:tcW w:w="2096" w:type="pct"/>
                <w:tcBorders>
                  <w:top w:val="outset" w:sz="4" w:space="0" w:color="auto"/>
                  <w:left w:val="outset" w:sz="4" w:space="0" w:color="auto"/>
                  <w:bottom w:val="outset" w:sz="4" w:space="0" w:color="auto"/>
                  <w:right w:val="outset" w:sz="4" w:space="0" w:color="auto"/>
                </w:tcBorders>
              </w:tcPr>
              <w:p w14:paraId="03D0D037" w14:textId="77777777" w:rsidR="00E57DAA" w:rsidRDefault="00AC4185">
                <w:pPr>
                  <w:ind w:firstLineChars="100" w:firstLine="210"/>
                  <w:rPr>
                    <w:color w:val="000000"/>
                    <w:szCs w:val="21"/>
                  </w:rPr>
                </w:pPr>
                <w:r>
                  <w:rPr>
                    <w:rFonts w:hint="eastAsia"/>
                    <w:szCs w:val="21"/>
                  </w:rPr>
                  <w:t>偿还债务支付的现金</w:t>
                </w:r>
              </w:p>
            </w:tc>
            <w:tc>
              <w:tcPr>
                <w:tcW w:w="506" w:type="pct"/>
                <w:tcBorders>
                  <w:top w:val="outset" w:sz="4" w:space="0" w:color="auto"/>
                  <w:left w:val="outset" w:sz="4" w:space="0" w:color="auto"/>
                  <w:bottom w:val="outset" w:sz="4" w:space="0" w:color="auto"/>
                  <w:right w:val="outset" w:sz="4" w:space="0" w:color="auto"/>
                </w:tcBorders>
              </w:tcPr>
              <w:p w14:paraId="7CD085A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6A42FEE" w14:textId="77777777" w:rsidR="00E57DAA" w:rsidRDefault="00AC4185">
                <w:pPr>
                  <w:jc w:val="right"/>
                  <w:rPr>
                    <w:szCs w:val="21"/>
                  </w:rPr>
                </w:pPr>
                <w:r>
                  <w:t>4,347,844,973.13</w:t>
                </w:r>
              </w:p>
            </w:tc>
            <w:tc>
              <w:tcPr>
                <w:tcW w:w="1197" w:type="pct"/>
                <w:tcBorders>
                  <w:top w:val="outset" w:sz="4" w:space="0" w:color="auto"/>
                  <w:left w:val="outset" w:sz="4" w:space="0" w:color="auto"/>
                  <w:bottom w:val="outset" w:sz="4" w:space="0" w:color="auto"/>
                  <w:right w:val="outset" w:sz="4" w:space="0" w:color="auto"/>
                </w:tcBorders>
                <w:vAlign w:val="center"/>
              </w:tcPr>
              <w:p w14:paraId="43CFBCC4" w14:textId="77777777" w:rsidR="00E57DAA" w:rsidRDefault="00AC4185">
                <w:pPr>
                  <w:jc w:val="right"/>
                  <w:rPr>
                    <w:szCs w:val="21"/>
                  </w:rPr>
                </w:pPr>
                <w:r>
                  <w:t>7,032,822,053.36</w:t>
                </w:r>
              </w:p>
            </w:tc>
          </w:tr>
          <w:tr w:rsidR="00E57DAA" w14:paraId="518FABFE" w14:textId="77777777">
            <w:tc>
              <w:tcPr>
                <w:tcW w:w="2096" w:type="pct"/>
                <w:tcBorders>
                  <w:top w:val="outset" w:sz="4" w:space="0" w:color="auto"/>
                  <w:left w:val="outset" w:sz="4" w:space="0" w:color="auto"/>
                  <w:bottom w:val="outset" w:sz="4" w:space="0" w:color="auto"/>
                  <w:right w:val="outset" w:sz="4" w:space="0" w:color="auto"/>
                </w:tcBorders>
              </w:tcPr>
              <w:p w14:paraId="1B8002AA" w14:textId="77777777" w:rsidR="00E57DAA" w:rsidRDefault="00AC4185">
                <w:pPr>
                  <w:ind w:firstLineChars="100" w:firstLine="210"/>
                  <w:rPr>
                    <w:szCs w:val="21"/>
                  </w:rPr>
                </w:pPr>
                <w:r>
                  <w:rPr>
                    <w:rFonts w:hint="eastAsia"/>
                    <w:szCs w:val="21"/>
                  </w:rPr>
                  <w:lastRenderedPageBreak/>
                  <w:t>分配股利、利润或偿付利息支付的现金</w:t>
                </w:r>
              </w:p>
            </w:tc>
            <w:tc>
              <w:tcPr>
                <w:tcW w:w="506" w:type="pct"/>
                <w:tcBorders>
                  <w:top w:val="outset" w:sz="4" w:space="0" w:color="auto"/>
                  <w:left w:val="outset" w:sz="4" w:space="0" w:color="auto"/>
                  <w:bottom w:val="outset" w:sz="4" w:space="0" w:color="auto"/>
                  <w:right w:val="outset" w:sz="4" w:space="0" w:color="auto"/>
                </w:tcBorders>
              </w:tcPr>
              <w:p w14:paraId="18F2FD7D"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CF3740F" w14:textId="77777777" w:rsidR="00E57DAA" w:rsidRDefault="00AC4185">
                <w:pPr>
                  <w:jc w:val="right"/>
                  <w:rPr>
                    <w:szCs w:val="21"/>
                  </w:rPr>
                </w:pPr>
                <w:r>
                  <w:t>1,292,571,556.51</w:t>
                </w:r>
              </w:p>
            </w:tc>
            <w:tc>
              <w:tcPr>
                <w:tcW w:w="1197" w:type="pct"/>
                <w:tcBorders>
                  <w:top w:val="outset" w:sz="4" w:space="0" w:color="auto"/>
                  <w:left w:val="outset" w:sz="4" w:space="0" w:color="auto"/>
                  <w:bottom w:val="outset" w:sz="4" w:space="0" w:color="auto"/>
                  <w:right w:val="outset" w:sz="4" w:space="0" w:color="auto"/>
                </w:tcBorders>
                <w:vAlign w:val="center"/>
              </w:tcPr>
              <w:p w14:paraId="62B84082" w14:textId="77777777" w:rsidR="00E57DAA" w:rsidRDefault="00AC4185">
                <w:pPr>
                  <w:jc w:val="right"/>
                  <w:rPr>
                    <w:szCs w:val="21"/>
                  </w:rPr>
                </w:pPr>
                <w:r>
                  <w:t>1,466,380,837.51</w:t>
                </w:r>
              </w:p>
            </w:tc>
          </w:tr>
          <w:tr w:rsidR="00E57DAA" w14:paraId="7D8B6B1C" w14:textId="77777777">
            <w:tc>
              <w:tcPr>
                <w:tcW w:w="2096" w:type="pct"/>
                <w:tcBorders>
                  <w:top w:val="outset" w:sz="4" w:space="0" w:color="auto"/>
                  <w:left w:val="outset" w:sz="4" w:space="0" w:color="auto"/>
                  <w:bottom w:val="outset" w:sz="4" w:space="0" w:color="auto"/>
                  <w:right w:val="outset" w:sz="4" w:space="0" w:color="auto"/>
                </w:tcBorders>
              </w:tcPr>
              <w:p w14:paraId="0FC61747" w14:textId="77777777" w:rsidR="00E57DAA" w:rsidRDefault="00AC4185">
                <w:pPr>
                  <w:ind w:firstLineChars="100" w:firstLine="210"/>
                  <w:rPr>
                    <w:szCs w:val="21"/>
                  </w:rPr>
                </w:pPr>
                <w:r>
                  <w:rPr>
                    <w:rFonts w:hint="eastAsia"/>
                    <w:szCs w:val="21"/>
                  </w:rPr>
                  <w:t>其中：子公司支付给少数股东的股利、利润</w:t>
                </w:r>
              </w:p>
            </w:tc>
            <w:tc>
              <w:tcPr>
                <w:tcW w:w="506" w:type="pct"/>
                <w:tcBorders>
                  <w:top w:val="outset" w:sz="4" w:space="0" w:color="auto"/>
                  <w:left w:val="outset" w:sz="4" w:space="0" w:color="auto"/>
                  <w:bottom w:val="outset" w:sz="4" w:space="0" w:color="auto"/>
                  <w:right w:val="outset" w:sz="4" w:space="0" w:color="auto"/>
                </w:tcBorders>
              </w:tcPr>
              <w:p w14:paraId="3D77B6C4"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4AB4AFB" w14:textId="77777777" w:rsidR="00E57DAA" w:rsidRDefault="00AC4185">
                <w:pPr>
                  <w:jc w:val="right"/>
                  <w:rPr>
                    <w:szCs w:val="21"/>
                  </w:rPr>
                </w:pPr>
                <w:r>
                  <w:t>145,015,569.88</w:t>
                </w:r>
              </w:p>
            </w:tc>
            <w:tc>
              <w:tcPr>
                <w:tcW w:w="1197" w:type="pct"/>
                <w:tcBorders>
                  <w:top w:val="outset" w:sz="4" w:space="0" w:color="auto"/>
                  <w:left w:val="outset" w:sz="4" w:space="0" w:color="auto"/>
                  <w:bottom w:val="outset" w:sz="4" w:space="0" w:color="auto"/>
                  <w:right w:val="outset" w:sz="4" w:space="0" w:color="auto"/>
                </w:tcBorders>
                <w:vAlign w:val="center"/>
              </w:tcPr>
              <w:p w14:paraId="2A68477E" w14:textId="77777777" w:rsidR="00E57DAA" w:rsidRDefault="00AC4185">
                <w:pPr>
                  <w:jc w:val="right"/>
                  <w:rPr>
                    <w:szCs w:val="21"/>
                  </w:rPr>
                </w:pPr>
                <w:r>
                  <w:t>109,532,290.16</w:t>
                </w:r>
              </w:p>
            </w:tc>
          </w:tr>
          <w:tr w:rsidR="00E57DAA" w14:paraId="22CB45E5" w14:textId="77777777">
            <w:tc>
              <w:tcPr>
                <w:tcW w:w="2096" w:type="pct"/>
                <w:tcBorders>
                  <w:top w:val="outset" w:sz="4" w:space="0" w:color="auto"/>
                  <w:left w:val="outset" w:sz="4" w:space="0" w:color="auto"/>
                  <w:bottom w:val="outset" w:sz="4" w:space="0" w:color="auto"/>
                  <w:right w:val="outset" w:sz="4" w:space="0" w:color="auto"/>
                </w:tcBorders>
              </w:tcPr>
              <w:p w14:paraId="6899162B" w14:textId="77777777" w:rsidR="00E57DAA" w:rsidRDefault="00AC4185">
                <w:pPr>
                  <w:ind w:firstLineChars="100" w:firstLine="210"/>
                  <w:rPr>
                    <w:szCs w:val="21"/>
                  </w:rPr>
                </w:pPr>
                <w:r>
                  <w:rPr>
                    <w:rFonts w:hint="eastAsia"/>
                    <w:szCs w:val="21"/>
                  </w:rPr>
                  <w:t>支付其他与筹资活动有关的现金</w:t>
                </w:r>
              </w:p>
            </w:tc>
            <w:tc>
              <w:tcPr>
                <w:tcW w:w="506" w:type="pct"/>
                <w:tcBorders>
                  <w:top w:val="outset" w:sz="4" w:space="0" w:color="auto"/>
                  <w:left w:val="outset" w:sz="4" w:space="0" w:color="auto"/>
                  <w:bottom w:val="outset" w:sz="4" w:space="0" w:color="auto"/>
                  <w:right w:val="outset" w:sz="4" w:space="0" w:color="auto"/>
                </w:tcBorders>
              </w:tcPr>
              <w:p w14:paraId="53F45958" w14:textId="77777777" w:rsidR="00E57DAA" w:rsidRDefault="00AC4185">
                <w:pPr>
                  <w:rPr>
                    <w:szCs w:val="21"/>
                  </w:rPr>
                </w:pPr>
                <w:r>
                  <w:rPr>
                    <w:rFonts w:hint="eastAsia"/>
                    <w:szCs w:val="21"/>
                  </w:rPr>
                  <w:t>七、</w:t>
                </w:r>
                <w:r>
                  <w:rPr>
                    <w:szCs w:val="21"/>
                  </w:rPr>
                  <w:t>78</w:t>
                </w:r>
              </w:p>
            </w:tc>
            <w:tc>
              <w:tcPr>
                <w:tcW w:w="1201" w:type="pct"/>
                <w:tcBorders>
                  <w:top w:val="outset" w:sz="4" w:space="0" w:color="auto"/>
                  <w:left w:val="outset" w:sz="4" w:space="0" w:color="auto"/>
                  <w:bottom w:val="outset" w:sz="4" w:space="0" w:color="auto"/>
                  <w:right w:val="outset" w:sz="4" w:space="0" w:color="auto"/>
                </w:tcBorders>
                <w:vAlign w:val="center"/>
              </w:tcPr>
              <w:p w14:paraId="60146A1F" w14:textId="77777777" w:rsidR="00E57DAA" w:rsidRDefault="00AC4185">
                <w:pPr>
                  <w:jc w:val="right"/>
                  <w:rPr>
                    <w:szCs w:val="21"/>
                  </w:rPr>
                </w:pPr>
                <w:r>
                  <w:t>750,202,853.63</w:t>
                </w:r>
              </w:p>
            </w:tc>
            <w:tc>
              <w:tcPr>
                <w:tcW w:w="1197" w:type="pct"/>
                <w:tcBorders>
                  <w:top w:val="outset" w:sz="4" w:space="0" w:color="auto"/>
                  <w:left w:val="outset" w:sz="4" w:space="0" w:color="auto"/>
                  <w:bottom w:val="outset" w:sz="4" w:space="0" w:color="auto"/>
                  <w:right w:val="outset" w:sz="4" w:space="0" w:color="auto"/>
                </w:tcBorders>
                <w:vAlign w:val="center"/>
              </w:tcPr>
              <w:p w14:paraId="0A380959" w14:textId="77777777" w:rsidR="00E57DAA" w:rsidRDefault="00AC4185">
                <w:pPr>
                  <w:jc w:val="right"/>
                  <w:rPr>
                    <w:szCs w:val="21"/>
                  </w:rPr>
                </w:pPr>
                <w:r>
                  <w:t>213,462,210.06</w:t>
                </w:r>
              </w:p>
            </w:tc>
          </w:tr>
          <w:tr w:rsidR="00E57DAA" w14:paraId="3629A8B5" w14:textId="77777777">
            <w:tc>
              <w:tcPr>
                <w:tcW w:w="2096" w:type="pct"/>
                <w:tcBorders>
                  <w:top w:val="outset" w:sz="4" w:space="0" w:color="auto"/>
                  <w:left w:val="outset" w:sz="4" w:space="0" w:color="auto"/>
                  <w:bottom w:val="outset" w:sz="4" w:space="0" w:color="auto"/>
                  <w:right w:val="outset" w:sz="4" w:space="0" w:color="auto"/>
                </w:tcBorders>
              </w:tcPr>
              <w:p w14:paraId="6B451C42" w14:textId="77777777" w:rsidR="00E57DAA" w:rsidRDefault="00AC4185">
                <w:pPr>
                  <w:ind w:firstLineChars="200" w:firstLine="420"/>
                  <w:rPr>
                    <w:color w:val="000000"/>
                    <w:szCs w:val="21"/>
                  </w:rPr>
                </w:pPr>
                <w:r>
                  <w:rPr>
                    <w:rFonts w:hint="eastAsia"/>
                    <w:szCs w:val="21"/>
                  </w:rPr>
                  <w:t>筹资活动现金流出小计</w:t>
                </w:r>
              </w:p>
            </w:tc>
            <w:tc>
              <w:tcPr>
                <w:tcW w:w="506" w:type="pct"/>
                <w:tcBorders>
                  <w:top w:val="outset" w:sz="4" w:space="0" w:color="auto"/>
                  <w:left w:val="outset" w:sz="4" w:space="0" w:color="auto"/>
                  <w:bottom w:val="outset" w:sz="4" w:space="0" w:color="auto"/>
                  <w:right w:val="outset" w:sz="4" w:space="0" w:color="auto"/>
                </w:tcBorders>
              </w:tcPr>
              <w:p w14:paraId="555A0769"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9DB35A9" w14:textId="77777777" w:rsidR="00E57DAA" w:rsidRDefault="00AC4185">
                <w:pPr>
                  <w:jc w:val="right"/>
                  <w:rPr>
                    <w:szCs w:val="21"/>
                  </w:rPr>
                </w:pPr>
                <w:r>
                  <w:t>6,390,619,383.27</w:t>
                </w:r>
              </w:p>
            </w:tc>
            <w:tc>
              <w:tcPr>
                <w:tcW w:w="1197" w:type="pct"/>
                <w:tcBorders>
                  <w:top w:val="outset" w:sz="4" w:space="0" w:color="auto"/>
                  <w:left w:val="outset" w:sz="4" w:space="0" w:color="auto"/>
                  <w:bottom w:val="outset" w:sz="4" w:space="0" w:color="auto"/>
                  <w:right w:val="outset" w:sz="4" w:space="0" w:color="auto"/>
                </w:tcBorders>
                <w:vAlign w:val="center"/>
              </w:tcPr>
              <w:p w14:paraId="69A69186" w14:textId="77777777" w:rsidR="00E57DAA" w:rsidRDefault="00AC4185">
                <w:pPr>
                  <w:jc w:val="right"/>
                  <w:rPr>
                    <w:szCs w:val="21"/>
                  </w:rPr>
                </w:pPr>
                <w:r>
                  <w:t>8,712,665,100.93</w:t>
                </w:r>
              </w:p>
            </w:tc>
          </w:tr>
          <w:tr w:rsidR="00E57DAA" w14:paraId="3E11048F" w14:textId="77777777">
            <w:tc>
              <w:tcPr>
                <w:tcW w:w="2096" w:type="pct"/>
                <w:tcBorders>
                  <w:top w:val="outset" w:sz="4" w:space="0" w:color="auto"/>
                  <w:left w:val="outset" w:sz="4" w:space="0" w:color="auto"/>
                  <w:bottom w:val="outset" w:sz="4" w:space="0" w:color="auto"/>
                  <w:right w:val="outset" w:sz="4" w:space="0" w:color="auto"/>
                </w:tcBorders>
              </w:tcPr>
              <w:p w14:paraId="7739F839" w14:textId="77777777" w:rsidR="00E57DAA" w:rsidRDefault="00AC4185">
                <w:pPr>
                  <w:ind w:firstLineChars="300" w:firstLine="630"/>
                  <w:rPr>
                    <w:color w:val="000000"/>
                    <w:szCs w:val="21"/>
                  </w:rPr>
                </w:pPr>
                <w:r>
                  <w:rPr>
                    <w:rFonts w:hint="eastAsia"/>
                    <w:szCs w:val="21"/>
                  </w:rPr>
                  <w:t>筹资活动产生的现金流量净额</w:t>
                </w:r>
              </w:p>
            </w:tc>
            <w:tc>
              <w:tcPr>
                <w:tcW w:w="506" w:type="pct"/>
                <w:tcBorders>
                  <w:top w:val="outset" w:sz="4" w:space="0" w:color="auto"/>
                  <w:left w:val="outset" w:sz="4" w:space="0" w:color="auto"/>
                  <w:bottom w:val="outset" w:sz="4" w:space="0" w:color="auto"/>
                  <w:right w:val="outset" w:sz="4" w:space="0" w:color="auto"/>
                </w:tcBorders>
              </w:tcPr>
              <w:p w14:paraId="05F4A60F"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59350F6" w14:textId="77777777" w:rsidR="00E57DAA" w:rsidRDefault="00AC4185">
                <w:pPr>
                  <w:jc w:val="right"/>
                  <w:rPr>
                    <w:szCs w:val="21"/>
                  </w:rPr>
                </w:pPr>
                <w:r>
                  <w:t>-1,708,027,422.62</w:t>
                </w:r>
              </w:p>
            </w:tc>
            <w:tc>
              <w:tcPr>
                <w:tcW w:w="1197" w:type="pct"/>
                <w:tcBorders>
                  <w:top w:val="outset" w:sz="4" w:space="0" w:color="auto"/>
                  <w:left w:val="outset" w:sz="4" w:space="0" w:color="auto"/>
                  <w:bottom w:val="outset" w:sz="4" w:space="0" w:color="auto"/>
                  <w:right w:val="outset" w:sz="4" w:space="0" w:color="auto"/>
                </w:tcBorders>
                <w:vAlign w:val="center"/>
              </w:tcPr>
              <w:p w14:paraId="4F95BA18" w14:textId="77777777" w:rsidR="00E57DAA" w:rsidRDefault="00AC4185">
                <w:pPr>
                  <w:jc w:val="right"/>
                  <w:rPr>
                    <w:szCs w:val="21"/>
                  </w:rPr>
                </w:pPr>
                <w:r>
                  <w:t>-715,920,931.63</w:t>
                </w:r>
              </w:p>
            </w:tc>
          </w:tr>
          <w:tr w:rsidR="00E57DAA" w14:paraId="3AA83164" w14:textId="77777777">
            <w:tc>
              <w:tcPr>
                <w:tcW w:w="2096" w:type="pct"/>
                <w:tcBorders>
                  <w:top w:val="outset" w:sz="4" w:space="0" w:color="auto"/>
                  <w:left w:val="outset" w:sz="4" w:space="0" w:color="auto"/>
                  <w:bottom w:val="outset" w:sz="4" w:space="0" w:color="auto"/>
                  <w:right w:val="outset" w:sz="4" w:space="0" w:color="auto"/>
                </w:tcBorders>
              </w:tcPr>
              <w:p w14:paraId="2DE8B39F" w14:textId="77777777" w:rsidR="00E57DAA" w:rsidRDefault="00AC4185">
                <w:pPr>
                  <w:rPr>
                    <w:color w:val="000000"/>
                    <w:szCs w:val="21"/>
                  </w:rPr>
                </w:pPr>
                <w:r>
                  <w:rPr>
                    <w:rFonts w:hint="eastAsia"/>
                    <w:b/>
                    <w:bCs/>
                    <w:szCs w:val="21"/>
                  </w:rPr>
                  <w:t>四、汇率变动对现金及现金等价物的影响</w:t>
                </w:r>
              </w:p>
            </w:tc>
            <w:tc>
              <w:tcPr>
                <w:tcW w:w="506" w:type="pct"/>
                <w:tcBorders>
                  <w:top w:val="outset" w:sz="4" w:space="0" w:color="auto"/>
                  <w:left w:val="outset" w:sz="4" w:space="0" w:color="auto"/>
                  <w:bottom w:val="outset" w:sz="4" w:space="0" w:color="auto"/>
                  <w:right w:val="outset" w:sz="4" w:space="0" w:color="auto"/>
                </w:tcBorders>
              </w:tcPr>
              <w:p w14:paraId="533FB42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DEF0A65" w14:textId="77777777" w:rsidR="00E57DAA" w:rsidRDefault="00AC4185">
                <w:pPr>
                  <w:jc w:val="right"/>
                  <w:rPr>
                    <w:szCs w:val="21"/>
                  </w:rPr>
                </w:pPr>
                <w:r>
                  <w:t>-158,638,326.60</w:t>
                </w:r>
              </w:p>
            </w:tc>
            <w:tc>
              <w:tcPr>
                <w:tcW w:w="1197" w:type="pct"/>
                <w:tcBorders>
                  <w:top w:val="outset" w:sz="4" w:space="0" w:color="auto"/>
                  <w:left w:val="outset" w:sz="4" w:space="0" w:color="auto"/>
                  <w:bottom w:val="outset" w:sz="4" w:space="0" w:color="auto"/>
                  <w:right w:val="outset" w:sz="4" w:space="0" w:color="auto"/>
                </w:tcBorders>
                <w:vAlign w:val="center"/>
              </w:tcPr>
              <w:p w14:paraId="666E9071" w14:textId="77777777" w:rsidR="00E57DAA" w:rsidRDefault="00AC4185">
                <w:pPr>
                  <w:jc w:val="right"/>
                  <w:rPr>
                    <w:szCs w:val="21"/>
                  </w:rPr>
                </w:pPr>
                <w:r>
                  <w:t>142,846,498.31</w:t>
                </w:r>
              </w:p>
            </w:tc>
          </w:tr>
          <w:tr w:rsidR="00E57DAA" w14:paraId="66D9E67D" w14:textId="77777777">
            <w:tc>
              <w:tcPr>
                <w:tcW w:w="2096" w:type="pct"/>
                <w:tcBorders>
                  <w:top w:val="outset" w:sz="4" w:space="0" w:color="auto"/>
                  <w:left w:val="outset" w:sz="4" w:space="0" w:color="auto"/>
                  <w:bottom w:val="outset" w:sz="4" w:space="0" w:color="auto"/>
                  <w:right w:val="outset" w:sz="4" w:space="0" w:color="auto"/>
                </w:tcBorders>
              </w:tcPr>
              <w:p w14:paraId="617BAA35" w14:textId="77777777" w:rsidR="00E57DAA" w:rsidRDefault="00AC4185">
                <w:pPr>
                  <w:rPr>
                    <w:color w:val="000000"/>
                    <w:szCs w:val="21"/>
                  </w:rPr>
                </w:pPr>
                <w:r>
                  <w:rPr>
                    <w:rFonts w:hint="eastAsia"/>
                    <w:b/>
                    <w:bCs/>
                    <w:szCs w:val="21"/>
                  </w:rPr>
                  <w:t>五、现金及现金等价物净增加额</w:t>
                </w:r>
              </w:p>
            </w:tc>
            <w:tc>
              <w:tcPr>
                <w:tcW w:w="506" w:type="pct"/>
                <w:tcBorders>
                  <w:top w:val="outset" w:sz="4" w:space="0" w:color="auto"/>
                  <w:left w:val="outset" w:sz="4" w:space="0" w:color="auto"/>
                  <w:bottom w:val="outset" w:sz="4" w:space="0" w:color="auto"/>
                  <w:right w:val="outset" w:sz="4" w:space="0" w:color="auto"/>
                </w:tcBorders>
              </w:tcPr>
              <w:p w14:paraId="603DAE22"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94E4A5C" w14:textId="77777777" w:rsidR="00E57DAA" w:rsidRDefault="00AC4185">
                <w:pPr>
                  <w:jc w:val="right"/>
                  <w:rPr>
                    <w:szCs w:val="21"/>
                  </w:rPr>
                </w:pPr>
                <w:r>
                  <w:t>765,642,214.04</w:t>
                </w:r>
              </w:p>
            </w:tc>
            <w:tc>
              <w:tcPr>
                <w:tcW w:w="1197" w:type="pct"/>
                <w:tcBorders>
                  <w:top w:val="outset" w:sz="4" w:space="0" w:color="auto"/>
                  <w:left w:val="outset" w:sz="4" w:space="0" w:color="auto"/>
                  <w:bottom w:val="outset" w:sz="4" w:space="0" w:color="auto"/>
                  <w:right w:val="outset" w:sz="4" w:space="0" w:color="auto"/>
                </w:tcBorders>
                <w:vAlign w:val="center"/>
              </w:tcPr>
              <w:p w14:paraId="0B877681" w14:textId="77777777" w:rsidR="00E57DAA" w:rsidRDefault="00AC4185">
                <w:pPr>
                  <w:jc w:val="right"/>
                  <w:rPr>
                    <w:szCs w:val="21"/>
                  </w:rPr>
                </w:pPr>
                <w:r>
                  <w:t>-584,922,512.90</w:t>
                </w:r>
              </w:p>
            </w:tc>
          </w:tr>
          <w:tr w:rsidR="00E57DAA" w14:paraId="512C9D5C" w14:textId="77777777">
            <w:tc>
              <w:tcPr>
                <w:tcW w:w="2096" w:type="pct"/>
                <w:tcBorders>
                  <w:top w:val="outset" w:sz="4" w:space="0" w:color="auto"/>
                  <w:left w:val="outset" w:sz="4" w:space="0" w:color="auto"/>
                  <w:bottom w:val="outset" w:sz="4" w:space="0" w:color="auto"/>
                  <w:right w:val="outset" w:sz="4" w:space="0" w:color="auto"/>
                </w:tcBorders>
              </w:tcPr>
              <w:p w14:paraId="506C2905" w14:textId="77777777" w:rsidR="00E57DAA" w:rsidRDefault="00AC4185">
                <w:pPr>
                  <w:ind w:firstLineChars="100" w:firstLine="210"/>
                  <w:rPr>
                    <w:color w:val="000000"/>
                    <w:szCs w:val="21"/>
                  </w:rPr>
                </w:pPr>
                <w:r>
                  <w:rPr>
                    <w:rFonts w:hint="eastAsia"/>
                    <w:szCs w:val="21"/>
                  </w:rPr>
                  <w:t>加：期初现金及现金等价物余额</w:t>
                </w:r>
              </w:p>
            </w:tc>
            <w:tc>
              <w:tcPr>
                <w:tcW w:w="506" w:type="pct"/>
                <w:tcBorders>
                  <w:top w:val="outset" w:sz="4" w:space="0" w:color="auto"/>
                  <w:left w:val="outset" w:sz="4" w:space="0" w:color="auto"/>
                  <w:bottom w:val="outset" w:sz="4" w:space="0" w:color="auto"/>
                  <w:right w:val="outset" w:sz="4" w:space="0" w:color="auto"/>
                </w:tcBorders>
              </w:tcPr>
              <w:p w14:paraId="606E75F6"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8B053B5" w14:textId="77777777" w:rsidR="00E57DAA" w:rsidRDefault="00AC4185">
                <w:pPr>
                  <w:jc w:val="right"/>
                  <w:rPr>
                    <w:szCs w:val="21"/>
                  </w:rPr>
                </w:pPr>
                <w:r>
                  <w:t>7,873,518,289.12</w:t>
                </w:r>
              </w:p>
            </w:tc>
            <w:tc>
              <w:tcPr>
                <w:tcW w:w="1197" w:type="pct"/>
                <w:tcBorders>
                  <w:top w:val="outset" w:sz="4" w:space="0" w:color="auto"/>
                  <w:left w:val="outset" w:sz="4" w:space="0" w:color="auto"/>
                  <w:bottom w:val="outset" w:sz="4" w:space="0" w:color="auto"/>
                  <w:right w:val="outset" w:sz="4" w:space="0" w:color="auto"/>
                </w:tcBorders>
                <w:vAlign w:val="center"/>
              </w:tcPr>
              <w:p w14:paraId="6F880B76" w14:textId="77777777" w:rsidR="00E57DAA" w:rsidRDefault="00AC4185">
                <w:pPr>
                  <w:jc w:val="right"/>
                  <w:rPr>
                    <w:szCs w:val="21"/>
                  </w:rPr>
                </w:pPr>
                <w:r>
                  <w:t>8,458,440,802.02</w:t>
                </w:r>
              </w:p>
            </w:tc>
          </w:tr>
          <w:tr w:rsidR="00E57DAA" w14:paraId="24B60B89" w14:textId="77777777">
            <w:tc>
              <w:tcPr>
                <w:tcW w:w="2096" w:type="pct"/>
                <w:tcBorders>
                  <w:top w:val="outset" w:sz="4" w:space="0" w:color="auto"/>
                  <w:left w:val="outset" w:sz="4" w:space="0" w:color="auto"/>
                  <w:bottom w:val="outset" w:sz="4" w:space="0" w:color="auto"/>
                  <w:right w:val="outset" w:sz="4" w:space="0" w:color="auto"/>
                </w:tcBorders>
              </w:tcPr>
              <w:p w14:paraId="379DB70D" w14:textId="77777777" w:rsidR="00E57DAA" w:rsidRDefault="00AC4185">
                <w:pPr>
                  <w:rPr>
                    <w:color w:val="000000"/>
                    <w:szCs w:val="21"/>
                  </w:rPr>
                </w:pPr>
                <w:r>
                  <w:rPr>
                    <w:rFonts w:hint="eastAsia"/>
                    <w:b/>
                    <w:bCs/>
                    <w:szCs w:val="21"/>
                  </w:rPr>
                  <w:t>六、期末现金及现金等价物余额</w:t>
                </w:r>
              </w:p>
            </w:tc>
            <w:tc>
              <w:tcPr>
                <w:tcW w:w="506" w:type="pct"/>
                <w:tcBorders>
                  <w:top w:val="outset" w:sz="4" w:space="0" w:color="auto"/>
                  <w:left w:val="outset" w:sz="4" w:space="0" w:color="auto"/>
                  <w:bottom w:val="outset" w:sz="4" w:space="0" w:color="auto"/>
                  <w:right w:val="outset" w:sz="4" w:space="0" w:color="auto"/>
                </w:tcBorders>
              </w:tcPr>
              <w:p w14:paraId="38844564" w14:textId="77777777" w:rsidR="00E57DAA" w:rsidRDefault="00E57DAA">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566D4BC" w14:textId="77777777" w:rsidR="00E57DAA" w:rsidRDefault="00AC4185">
                <w:pPr>
                  <w:jc w:val="right"/>
                  <w:rPr>
                    <w:szCs w:val="21"/>
                  </w:rPr>
                </w:pPr>
                <w:r>
                  <w:t>8,639,160,503.16</w:t>
                </w:r>
              </w:p>
            </w:tc>
            <w:tc>
              <w:tcPr>
                <w:tcW w:w="1197" w:type="pct"/>
                <w:tcBorders>
                  <w:top w:val="outset" w:sz="4" w:space="0" w:color="auto"/>
                  <w:left w:val="outset" w:sz="4" w:space="0" w:color="auto"/>
                  <w:bottom w:val="outset" w:sz="4" w:space="0" w:color="auto"/>
                  <w:right w:val="outset" w:sz="4" w:space="0" w:color="auto"/>
                </w:tcBorders>
                <w:vAlign w:val="center"/>
              </w:tcPr>
              <w:p w14:paraId="14FC0E1C" w14:textId="77777777" w:rsidR="00E57DAA" w:rsidRDefault="00AC4185">
                <w:pPr>
                  <w:jc w:val="right"/>
                  <w:rPr>
                    <w:szCs w:val="21"/>
                  </w:rPr>
                </w:pPr>
                <w:r>
                  <w:t>7,873,518,289.12</w:t>
                </w:r>
              </w:p>
            </w:tc>
          </w:tr>
        </w:tbl>
        <w:p w14:paraId="76E5458E" w14:textId="77777777" w:rsidR="00E57DAA" w:rsidRDefault="00E57DAA" w:rsidP="00C25422">
          <w:pPr>
            <w:pStyle w:val="92"/>
          </w:pPr>
        </w:p>
        <w:p w14:paraId="54AA6108" w14:textId="77777777" w:rsidR="00E57DAA" w:rsidRDefault="00AC4185">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2104750706"/>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564223279"/>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2011354817"/>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275940E8" w14:textId="77777777" w:rsidR="00E57DAA" w:rsidRDefault="00E57DAA">
      <w:pPr>
        <w:rPr>
          <w:szCs w:val="21"/>
        </w:rPr>
      </w:pPr>
    </w:p>
    <w:p w14:paraId="261BC552" w14:textId="77777777" w:rsidR="00E57DAA" w:rsidRDefault="00E57DAA">
      <w:pPr>
        <w:jc w:val="center"/>
        <w:rPr>
          <w:b/>
          <w:bCs/>
          <w:szCs w:val="21"/>
        </w:rPr>
        <w:sectPr w:rsidR="00E57DAA" w:rsidSect="00226547">
          <w:pgSz w:w="11906" w:h="16838"/>
          <w:pgMar w:top="1525" w:right="1276" w:bottom="1440" w:left="1797" w:header="856" w:footer="992" w:gutter="0"/>
          <w:cols w:space="425"/>
          <w:docGrid w:linePitch="312"/>
        </w:sectPr>
      </w:pPr>
    </w:p>
    <w:sdt>
      <w:sdtPr>
        <w:rPr>
          <w:rFonts w:hint="eastAsia"/>
          <w:b/>
          <w:bCs/>
          <w:szCs w:val="21"/>
        </w:rPr>
        <w:tag w:val="_GBC_fa07832b39b14b348ba105d6cedbd7b8"/>
        <w:id w:val="792488467"/>
        <w:placeholder>
          <w:docPart w:val="GBC22222222222222222222222222222"/>
        </w:placeholder>
      </w:sdtPr>
      <w:sdtEndPr>
        <w:rPr>
          <w:b w:val="0"/>
          <w:bCs w:val="0"/>
        </w:rPr>
      </w:sdtEndPr>
      <w:sdtContent>
        <w:p w14:paraId="126DA7BE" w14:textId="77777777" w:rsidR="00E57DAA" w:rsidRDefault="00AC4185">
          <w:pPr>
            <w:jc w:val="center"/>
            <w:outlineLvl w:val="2"/>
            <w:rPr>
              <w:b/>
              <w:bCs/>
              <w:szCs w:val="21"/>
            </w:rPr>
          </w:pPr>
          <w:r>
            <w:rPr>
              <w:rFonts w:hint="eastAsia"/>
              <w:b/>
              <w:bCs/>
              <w:szCs w:val="21"/>
            </w:rPr>
            <w:t>母公司</w:t>
          </w:r>
          <w:r>
            <w:rPr>
              <w:b/>
              <w:bCs/>
              <w:szCs w:val="21"/>
            </w:rPr>
            <w:t>现金流量表</w:t>
          </w:r>
        </w:p>
        <w:p w14:paraId="13C8EC68" w14:textId="77777777" w:rsidR="00E57DAA" w:rsidRDefault="00AC4185">
          <w:pPr>
            <w:jc w:val="center"/>
            <w:rPr>
              <w:b/>
              <w:bCs/>
              <w:szCs w:val="21"/>
            </w:rPr>
          </w:pPr>
          <w:r>
            <w:rPr>
              <w:szCs w:val="21"/>
            </w:rPr>
            <w:t>2023年</w:t>
          </w:r>
          <w:r>
            <w:rPr>
              <w:rFonts w:hint="eastAsia"/>
              <w:szCs w:val="21"/>
            </w:rPr>
            <w:t>1—12</w:t>
          </w:r>
          <w:r>
            <w:rPr>
              <w:szCs w:val="21"/>
            </w:rPr>
            <w:t>月</w:t>
          </w:r>
        </w:p>
        <w:p w14:paraId="1E221718" w14:textId="77777777" w:rsidR="00E57DAA" w:rsidRDefault="00AC4185">
          <w:pPr>
            <w:jc w:val="right"/>
            <w:rPr>
              <w:szCs w:val="21"/>
            </w:rPr>
          </w:pPr>
          <w:r>
            <w:rPr>
              <w:szCs w:val="21"/>
            </w:rPr>
            <w:t>单位:</w:t>
          </w:r>
          <w:sdt>
            <w:sdtPr>
              <w:rPr>
                <w:szCs w:val="21"/>
              </w:rPr>
              <w:alias w:val="单位：母公司现金流量表"/>
              <w:tag w:val="_GBC_993ead81b27a41dfaccaacfaec8b7c78"/>
              <w:id w:val="-16845818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现金流量表"/>
              <w:tag w:val="_GBC_2dd4b706d0a244a4b4c21166025356cc"/>
              <w:id w:val="-13613518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976"/>
            <w:gridCol w:w="697"/>
            <w:gridCol w:w="2040"/>
            <w:gridCol w:w="2110"/>
          </w:tblGrid>
          <w:tr w:rsidR="00E57DAA" w14:paraId="62A57EEA" w14:textId="77777777">
            <w:tc>
              <w:tcPr>
                <w:tcW w:w="2253"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536019051"/>
                </w:sdtPr>
                <w:sdtEndPr/>
                <w:sdtContent>
                  <w:p w14:paraId="1CDCA7DF" w14:textId="77777777" w:rsidR="00E57DAA" w:rsidRDefault="00AC4185">
                    <w:pPr>
                      <w:jc w:val="center"/>
                      <w:rPr>
                        <w:b/>
                      </w:rPr>
                    </w:pPr>
                    <w:r>
                      <w:rPr>
                        <w:rFonts w:hint="eastAsia"/>
                        <w:b/>
                      </w:rPr>
                      <w:t>项目</w:t>
                    </w:r>
                  </w:p>
                </w:sdtContent>
              </w:sdt>
            </w:tc>
            <w:tc>
              <w:tcPr>
                <w:tcW w:w="395"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377898839"/>
                </w:sdtPr>
                <w:sdtEndPr/>
                <w:sdtContent>
                  <w:p w14:paraId="5820D9AC" w14:textId="77777777" w:rsidR="00E57DAA" w:rsidRDefault="00AC4185">
                    <w:pPr>
                      <w:autoSpaceDE w:val="0"/>
                      <w:autoSpaceDN w:val="0"/>
                      <w:adjustRightInd w:val="0"/>
                      <w:jc w:val="center"/>
                      <w:rPr>
                        <w:b/>
                      </w:rPr>
                    </w:pPr>
                    <w:r>
                      <w:rPr>
                        <w:rFonts w:hint="eastAsia"/>
                        <w:b/>
                      </w:rPr>
                      <w:t>附注</w:t>
                    </w:r>
                  </w:p>
                </w:sdtContent>
              </w:sdt>
            </w:tc>
            <w:tc>
              <w:tcPr>
                <w:tcW w:w="1156"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2009631593"/>
                </w:sdtPr>
                <w:sdtEndPr/>
                <w:sdtContent>
                  <w:p w14:paraId="7F4B7625" w14:textId="77777777" w:rsidR="00E57DAA" w:rsidRDefault="00AC4185">
                    <w:pPr>
                      <w:autoSpaceDE w:val="0"/>
                      <w:autoSpaceDN w:val="0"/>
                      <w:adjustRightInd w:val="0"/>
                      <w:jc w:val="center"/>
                      <w:rPr>
                        <w:b/>
                      </w:rPr>
                    </w:pPr>
                    <w:r>
                      <w:rPr>
                        <w:rFonts w:hint="eastAsia"/>
                        <w:b/>
                      </w:rPr>
                      <w:t>2023年度</w:t>
                    </w:r>
                  </w:p>
                </w:sdtContent>
              </w:sdt>
            </w:tc>
            <w:tc>
              <w:tcPr>
                <w:tcW w:w="1196"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1902744765"/>
                </w:sdtPr>
                <w:sdtEndPr/>
                <w:sdtContent>
                  <w:p w14:paraId="0D006168" w14:textId="77777777" w:rsidR="00E57DAA" w:rsidRDefault="00AC4185">
                    <w:pPr>
                      <w:autoSpaceDE w:val="0"/>
                      <w:autoSpaceDN w:val="0"/>
                      <w:adjustRightInd w:val="0"/>
                      <w:jc w:val="center"/>
                      <w:rPr>
                        <w:b/>
                      </w:rPr>
                    </w:pPr>
                    <w:r>
                      <w:rPr>
                        <w:rFonts w:hint="eastAsia"/>
                        <w:b/>
                      </w:rPr>
                      <w:t>2022年度</w:t>
                    </w:r>
                  </w:p>
                </w:sdtContent>
              </w:sdt>
            </w:tc>
          </w:tr>
          <w:tr w:rsidR="00E57DAA" w14:paraId="3C332769" w14:textId="77777777">
            <w:sdt>
              <w:sdtPr>
                <w:tag w:val="_PLD_d5384e7a1c2841c78793ee2e647fdb97"/>
                <w:id w:val="1412435811"/>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202B054" w14:textId="77777777" w:rsidR="00E57DAA" w:rsidRDefault="00AC4185">
                    <w:pPr>
                      <w:rPr>
                        <w:szCs w:val="21"/>
                      </w:rPr>
                    </w:pPr>
                    <w:r>
                      <w:rPr>
                        <w:rFonts w:hint="eastAsia"/>
                        <w:b/>
                        <w:bCs/>
                        <w:szCs w:val="21"/>
                      </w:rPr>
                      <w:t>一、经营活动产生的现金流量：</w:t>
                    </w:r>
                  </w:p>
                </w:tc>
              </w:sdtContent>
            </w:sdt>
          </w:tr>
          <w:tr w:rsidR="00E57DAA" w14:paraId="71768A9A" w14:textId="77777777">
            <w:tc>
              <w:tcPr>
                <w:tcW w:w="2253" w:type="pct"/>
                <w:tcBorders>
                  <w:top w:val="outset" w:sz="4" w:space="0" w:color="auto"/>
                  <w:left w:val="outset" w:sz="4" w:space="0" w:color="auto"/>
                  <w:bottom w:val="outset" w:sz="4" w:space="0" w:color="auto"/>
                  <w:right w:val="outset" w:sz="4" w:space="0" w:color="auto"/>
                </w:tcBorders>
              </w:tcPr>
              <w:p w14:paraId="117BB706" w14:textId="77777777" w:rsidR="00E57DAA" w:rsidRDefault="00AC4185">
                <w:pPr>
                  <w:ind w:firstLineChars="100" w:firstLine="210"/>
                  <w:rPr>
                    <w:color w:val="000000"/>
                    <w:szCs w:val="21"/>
                  </w:rPr>
                </w:pPr>
                <w:r>
                  <w:rPr>
                    <w:rFonts w:hint="eastAsia"/>
                    <w:szCs w:val="21"/>
                  </w:rPr>
                  <w:t>销售商品、提供劳务收到的现金</w:t>
                </w:r>
              </w:p>
            </w:tc>
            <w:tc>
              <w:tcPr>
                <w:tcW w:w="395" w:type="pct"/>
                <w:tcBorders>
                  <w:top w:val="outset" w:sz="4" w:space="0" w:color="auto"/>
                  <w:left w:val="outset" w:sz="4" w:space="0" w:color="auto"/>
                  <w:bottom w:val="outset" w:sz="4" w:space="0" w:color="auto"/>
                  <w:right w:val="outset" w:sz="4" w:space="0" w:color="auto"/>
                </w:tcBorders>
              </w:tcPr>
              <w:p w14:paraId="52291D6C"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0E5A9393" w14:textId="77777777" w:rsidR="00E57DAA" w:rsidRDefault="00AC4185">
                <w:pPr>
                  <w:jc w:val="right"/>
                  <w:rPr>
                    <w:szCs w:val="21"/>
                  </w:rPr>
                </w:pPr>
                <w:r>
                  <w:t>5,049,063,761.09</w:t>
                </w:r>
              </w:p>
            </w:tc>
            <w:tc>
              <w:tcPr>
                <w:tcW w:w="1196" w:type="pct"/>
                <w:tcBorders>
                  <w:top w:val="outset" w:sz="4" w:space="0" w:color="auto"/>
                  <w:left w:val="outset" w:sz="4" w:space="0" w:color="auto"/>
                  <w:bottom w:val="outset" w:sz="4" w:space="0" w:color="auto"/>
                  <w:right w:val="outset" w:sz="4" w:space="0" w:color="auto"/>
                </w:tcBorders>
                <w:vAlign w:val="center"/>
              </w:tcPr>
              <w:p w14:paraId="43DC31FD" w14:textId="77777777" w:rsidR="00E57DAA" w:rsidRDefault="00AC4185">
                <w:pPr>
                  <w:jc w:val="right"/>
                  <w:rPr>
                    <w:szCs w:val="21"/>
                  </w:rPr>
                </w:pPr>
                <w:r>
                  <w:t>5,226,351,488.88</w:t>
                </w:r>
              </w:p>
            </w:tc>
          </w:tr>
          <w:tr w:rsidR="00E57DAA" w14:paraId="5A71F277" w14:textId="77777777">
            <w:tc>
              <w:tcPr>
                <w:tcW w:w="2253" w:type="pct"/>
                <w:tcBorders>
                  <w:top w:val="outset" w:sz="4" w:space="0" w:color="auto"/>
                  <w:left w:val="outset" w:sz="4" w:space="0" w:color="auto"/>
                  <w:bottom w:val="outset" w:sz="4" w:space="0" w:color="auto"/>
                  <w:right w:val="outset" w:sz="4" w:space="0" w:color="auto"/>
                </w:tcBorders>
              </w:tcPr>
              <w:p w14:paraId="6BB03206" w14:textId="77777777" w:rsidR="00E57DAA" w:rsidRDefault="00AC4185">
                <w:pPr>
                  <w:ind w:firstLineChars="100" w:firstLine="210"/>
                  <w:rPr>
                    <w:color w:val="000000"/>
                    <w:szCs w:val="21"/>
                  </w:rPr>
                </w:pPr>
                <w:r>
                  <w:rPr>
                    <w:rFonts w:hint="eastAsia"/>
                    <w:szCs w:val="21"/>
                  </w:rPr>
                  <w:t>收到的税费返还</w:t>
                </w:r>
              </w:p>
            </w:tc>
            <w:tc>
              <w:tcPr>
                <w:tcW w:w="395" w:type="pct"/>
                <w:tcBorders>
                  <w:top w:val="outset" w:sz="4" w:space="0" w:color="auto"/>
                  <w:left w:val="outset" w:sz="4" w:space="0" w:color="auto"/>
                  <w:bottom w:val="outset" w:sz="4" w:space="0" w:color="auto"/>
                  <w:right w:val="outset" w:sz="4" w:space="0" w:color="auto"/>
                </w:tcBorders>
              </w:tcPr>
              <w:p w14:paraId="617C0896"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E625ECC" w14:textId="77777777" w:rsidR="00E57DAA" w:rsidRDefault="00AC4185">
                <w:pPr>
                  <w:jc w:val="right"/>
                  <w:rPr>
                    <w:szCs w:val="21"/>
                  </w:rPr>
                </w:pPr>
                <w:r>
                  <w:t>95,097,913.60</w:t>
                </w:r>
              </w:p>
            </w:tc>
            <w:tc>
              <w:tcPr>
                <w:tcW w:w="1196" w:type="pct"/>
                <w:tcBorders>
                  <w:top w:val="outset" w:sz="4" w:space="0" w:color="auto"/>
                  <w:left w:val="outset" w:sz="4" w:space="0" w:color="auto"/>
                  <w:bottom w:val="outset" w:sz="4" w:space="0" w:color="auto"/>
                  <w:right w:val="outset" w:sz="4" w:space="0" w:color="auto"/>
                </w:tcBorders>
                <w:vAlign w:val="center"/>
              </w:tcPr>
              <w:p w14:paraId="4EDB9F0F" w14:textId="77777777" w:rsidR="00E57DAA" w:rsidRDefault="00AC4185">
                <w:pPr>
                  <w:jc w:val="right"/>
                  <w:rPr>
                    <w:szCs w:val="21"/>
                  </w:rPr>
                </w:pPr>
                <w:r>
                  <w:t>193,657,984.07</w:t>
                </w:r>
              </w:p>
            </w:tc>
          </w:tr>
          <w:tr w:rsidR="00E57DAA" w14:paraId="711499D1" w14:textId="77777777">
            <w:tc>
              <w:tcPr>
                <w:tcW w:w="2253" w:type="pct"/>
                <w:tcBorders>
                  <w:top w:val="outset" w:sz="4" w:space="0" w:color="auto"/>
                  <w:left w:val="outset" w:sz="4" w:space="0" w:color="auto"/>
                  <w:bottom w:val="outset" w:sz="4" w:space="0" w:color="auto"/>
                  <w:right w:val="outset" w:sz="4" w:space="0" w:color="auto"/>
                </w:tcBorders>
              </w:tcPr>
              <w:p w14:paraId="606FAE46" w14:textId="77777777" w:rsidR="00E57DAA" w:rsidRDefault="00AC4185">
                <w:pPr>
                  <w:ind w:firstLineChars="100" w:firstLine="210"/>
                  <w:rPr>
                    <w:color w:val="000000"/>
                    <w:szCs w:val="21"/>
                  </w:rPr>
                </w:pPr>
                <w:r>
                  <w:rPr>
                    <w:rFonts w:hint="eastAsia"/>
                    <w:szCs w:val="21"/>
                  </w:rPr>
                  <w:t>收到其他与经营活动有关的现金</w:t>
                </w:r>
              </w:p>
            </w:tc>
            <w:tc>
              <w:tcPr>
                <w:tcW w:w="395" w:type="pct"/>
                <w:tcBorders>
                  <w:top w:val="outset" w:sz="4" w:space="0" w:color="auto"/>
                  <w:left w:val="outset" w:sz="4" w:space="0" w:color="auto"/>
                  <w:bottom w:val="outset" w:sz="4" w:space="0" w:color="auto"/>
                  <w:right w:val="outset" w:sz="4" w:space="0" w:color="auto"/>
                </w:tcBorders>
              </w:tcPr>
              <w:p w14:paraId="377D949D"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7BB1510" w14:textId="77777777" w:rsidR="00E57DAA" w:rsidRDefault="00AC4185">
                <w:pPr>
                  <w:jc w:val="right"/>
                  <w:rPr>
                    <w:szCs w:val="21"/>
                  </w:rPr>
                </w:pPr>
                <w:r>
                  <w:t>2,779,394,542.76</w:t>
                </w:r>
              </w:p>
            </w:tc>
            <w:tc>
              <w:tcPr>
                <w:tcW w:w="1196" w:type="pct"/>
                <w:tcBorders>
                  <w:top w:val="outset" w:sz="4" w:space="0" w:color="auto"/>
                  <w:left w:val="outset" w:sz="4" w:space="0" w:color="auto"/>
                  <w:bottom w:val="outset" w:sz="4" w:space="0" w:color="auto"/>
                  <w:right w:val="outset" w:sz="4" w:space="0" w:color="auto"/>
                </w:tcBorders>
                <w:vAlign w:val="center"/>
              </w:tcPr>
              <w:p w14:paraId="0F23F257" w14:textId="77777777" w:rsidR="00E57DAA" w:rsidRDefault="00AC4185">
                <w:pPr>
                  <w:jc w:val="right"/>
                  <w:rPr>
                    <w:szCs w:val="21"/>
                  </w:rPr>
                </w:pPr>
                <w:r>
                  <w:t>2,657,144,566.85</w:t>
                </w:r>
              </w:p>
            </w:tc>
          </w:tr>
          <w:tr w:rsidR="00E57DAA" w14:paraId="120C1D36" w14:textId="77777777">
            <w:tc>
              <w:tcPr>
                <w:tcW w:w="2253" w:type="pct"/>
                <w:tcBorders>
                  <w:top w:val="outset" w:sz="4" w:space="0" w:color="auto"/>
                  <w:left w:val="outset" w:sz="4" w:space="0" w:color="auto"/>
                  <w:bottom w:val="outset" w:sz="4" w:space="0" w:color="auto"/>
                  <w:right w:val="outset" w:sz="4" w:space="0" w:color="auto"/>
                </w:tcBorders>
              </w:tcPr>
              <w:p w14:paraId="3E5DD931" w14:textId="77777777" w:rsidR="00E57DAA" w:rsidRDefault="00AC4185">
                <w:pPr>
                  <w:ind w:firstLineChars="200" w:firstLine="420"/>
                  <w:rPr>
                    <w:color w:val="000000"/>
                    <w:szCs w:val="21"/>
                  </w:rPr>
                </w:pPr>
                <w:r>
                  <w:rPr>
                    <w:rFonts w:hint="eastAsia"/>
                    <w:szCs w:val="21"/>
                  </w:rPr>
                  <w:t>经营活动现金流入小计</w:t>
                </w:r>
              </w:p>
            </w:tc>
            <w:tc>
              <w:tcPr>
                <w:tcW w:w="395" w:type="pct"/>
                <w:tcBorders>
                  <w:top w:val="outset" w:sz="4" w:space="0" w:color="auto"/>
                  <w:left w:val="outset" w:sz="4" w:space="0" w:color="auto"/>
                  <w:bottom w:val="outset" w:sz="4" w:space="0" w:color="auto"/>
                  <w:right w:val="outset" w:sz="4" w:space="0" w:color="auto"/>
                </w:tcBorders>
              </w:tcPr>
              <w:p w14:paraId="316206CA"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8AB52FE" w14:textId="77777777" w:rsidR="00E57DAA" w:rsidRDefault="00AC4185">
                <w:pPr>
                  <w:jc w:val="right"/>
                  <w:rPr>
                    <w:szCs w:val="21"/>
                  </w:rPr>
                </w:pPr>
                <w:r>
                  <w:t>7,923,556,217.45</w:t>
                </w:r>
              </w:p>
            </w:tc>
            <w:tc>
              <w:tcPr>
                <w:tcW w:w="1196" w:type="pct"/>
                <w:tcBorders>
                  <w:top w:val="outset" w:sz="4" w:space="0" w:color="auto"/>
                  <w:left w:val="outset" w:sz="4" w:space="0" w:color="auto"/>
                  <w:bottom w:val="outset" w:sz="4" w:space="0" w:color="auto"/>
                  <w:right w:val="outset" w:sz="4" w:space="0" w:color="auto"/>
                </w:tcBorders>
                <w:vAlign w:val="center"/>
              </w:tcPr>
              <w:p w14:paraId="7F9BAB6B" w14:textId="77777777" w:rsidR="00E57DAA" w:rsidRDefault="00AC4185">
                <w:pPr>
                  <w:jc w:val="right"/>
                  <w:rPr>
                    <w:szCs w:val="21"/>
                  </w:rPr>
                </w:pPr>
                <w:r>
                  <w:t>8,077,154,039.80</w:t>
                </w:r>
              </w:p>
            </w:tc>
          </w:tr>
          <w:tr w:rsidR="00E57DAA" w14:paraId="77D79FAD" w14:textId="77777777">
            <w:tc>
              <w:tcPr>
                <w:tcW w:w="2253" w:type="pct"/>
                <w:tcBorders>
                  <w:top w:val="outset" w:sz="4" w:space="0" w:color="auto"/>
                  <w:left w:val="outset" w:sz="4" w:space="0" w:color="auto"/>
                  <w:bottom w:val="outset" w:sz="4" w:space="0" w:color="auto"/>
                  <w:right w:val="outset" w:sz="4" w:space="0" w:color="auto"/>
                </w:tcBorders>
              </w:tcPr>
              <w:p w14:paraId="75C96579" w14:textId="77777777" w:rsidR="00E57DAA" w:rsidRDefault="00AC4185">
                <w:pPr>
                  <w:ind w:firstLineChars="100" w:firstLine="210"/>
                  <w:rPr>
                    <w:szCs w:val="21"/>
                  </w:rPr>
                </w:pPr>
                <w:r>
                  <w:rPr>
                    <w:rFonts w:hint="eastAsia"/>
                    <w:szCs w:val="21"/>
                  </w:rPr>
                  <w:t>购买商品、接受劳务支付的现金</w:t>
                </w:r>
              </w:p>
            </w:tc>
            <w:tc>
              <w:tcPr>
                <w:tcW w:w="395" w:type="pct"/>
                <w:tcBorders>
                  <w:top w:val="outset" w:sz="4" w:space="0" w:color="auto"/>
                  <w:left w:val="outset" w:sz="4" w:space="0" w:color="auto"/>
                  <w:bottom w:val="outset" w:sz="4" w:space="0" w:color="auto"/>
                  <w:right w:val="outset" w:sz="4" w:space="0" w:color="auto"/>
                </w:tcBorders>
              </w:tcPr>
              <w:p w14:paraId="4A46D063"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9B54281" w14:textId="77777777" w:rsidR="00E57DAA" w:rsidRDefault="00AC4185">
                <w:pPr>
                  <w:jc w:val="right"/>
                  <w:rPr>
                    <w:szCs w:val="21"/>
                  </w:rPr>
                </w:pPr>
                <w:r>
                  <w:t>4,165,752,415.97</w:t>
                </w:r>
              </w:p>
            </w:tc>
            <w:tc>
              <w:tcPr>
                <w:tcW w:w="1196" w:type="pct"/>
                <w:tcBorders>
                  <w:top w:val="outset" w:sz="4" w:space="0" w:color="auto"/>
                  <w:left w:val="outset" w:sz="4" w:space="0" w:color="auto"/>
                  <w:bottom w:val="outset" w:sz="4" w:space="0" w:color="auto"/>
                  <w:right w:val="outset" w:sz="4" w:space="0" w:color="auto"/>
                </w:tcBorders>
                <w:vAlign w:val="center"/>
              </w:tcPr>
              <w:p w14:paraId="59C50EDA" w14:textId="77777777" w:rsidR="00E57DAA" w:rsidRDefault="00AC4185">
                <w:pPr>
                  <w:jc w:val="right"/>
                  <w:rPr>
                    <w:szCs w:val="21"/>
                  </w:rPr>
                </w:pPr>
                <w:r>
                  <w:t>5,785,583,097.72</w:t>
                </w:r>
              </w:p>
            </w:tc>
          </w:tr>
          <w:tr w:rsidR="00E57DAA" w14:paraId="57B34C89" w14:textId="77777777">
            <w:tc>
              <w:tcPr>
                <w:tcW w:w="2253" w:type="pct"/>
                <w:tcBorders>
                  <w:top w:val="outset" w:sz="4" w:space="0" w:color="auto"/>
                  <w:left w:val="outset" w:sz="4" w:space="0" w:color="auto"/>
                  <w:bottom w:val="outset" w:sz="4" w:space="0" w:color="auto"/>
                  <w:right w:val="outset" w:sz="4" w:space="0" w:color="auto"/>
                </w:tcBorders>
              </w:tcPr>
              <w:p w14:paraId="2615B1ED" w14:textId="77777777" w:rsidR="00E57DAA" w:rsidRDefault="00AC4185">
                <w:pPr>
                  <w:ind w:firstLineChars="100" w:firstLine="210"/>
                  <w:rPr>
                    <w:szCs w:val="21"/>
                  </w:rPr>
                </w:pPr>
                <w:r>
                  <w:rPr>
                    <w:rFonts w:hint="eastAsia"/>
                    <w:szCs w:val="21"/>
                  </w:rPr>
                  <w:t>支付给职工及为职工支付的现金</w:t>
                </w:r>
              </w:p>
            </w:tc>
            <w:tc>
              <w:tcPr>
                <w:tcW w:w="395" w:type="pct"/>
                <w:tcBorders>
                  <w:top w:val="outset" w:sz="4" w:space="0" w:color="auto"/>
                  <w:left w:val="outset" w:sz="4" w:space="0" w:color="auto"/>
                  <w:bottom w:val="outset" w:sz="4" w:space="0" w:color="auto"/>
                  <w:right w:val="outset" w:sz="4" w:space="0" w:color="auto"/>
                </w:tcBorders>
              </w:tcPr>
              <w:p w14:paraId="2957912A"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F68B75A" w14:textId="77777777" w:rsidR="00E57DAA" w:rsidRDefault="00AC4185">
                <w:pPr>
                  <w:jc w:val="right"/>
                  <w:rPr>
                    <w:szCs w:val="21"/>
                  </w:rPr>
                </w:pPr>
                <w:r>
                  <w:t>425,551,890.77</w:t>
                </w:r>
              </w:p>
            </w:tc>
            <w:tc>
              <w:tcPr>
                <w:tcW w:w="1196" w:type="pct"/>
                <w:tcBorders>
                  <w:top w:val="outset" w:sz="4" w:space="0" w:color="auto"/>
                  <w:left w:val="outset" w:sz="4" w:space="0" w:color="auto"/>
                  <w:bottom w:val="outset" w:sz="4" w:space="0" w:color="auto"/>
                  <w:right w:val="outset" w:sz="4" w:space="0" w:color="auto"/>
                </w:tcBorders>
                <w:vAlign w:val="center"/>
              </w:tcPr>
              <w:p w14:paraId="0F4EA8ED" w14:textId="77777777" w:rsidR="00E57DAA" w:rsidRDefault="00AC4185">
                <w:pPr>
                  <w:jc w:val="right"/>
                  <w:rPr>
                    <w:szCs w:val="21"/>
                  </w:rPr>
                </w:pPr>
                <w:r>
                  <w:t>434,375,497.24</w:t>
                </w:r>
              </w:p>
            </w:tc>
          </w:tr>
          <w:tr w:rsidR="00E57DAA" w14:paraId="2702FAE9" w14:textId="77777777">
            <w:tc>
              <w:tcPr>
                <w:tcW w:w="2253" w:type="pct"/>
                <w:tcBorders>
                  <w:top w:val="outset" w:sz="4" w:space="0" w:color="auto"/>
                  <w:left w:val="outset" w:sz="4" w:space="0" w:color="auto"/>
                  <w:bottom w:val="outset" w:sz="4" w:space="0" w:color="auto"/>
                  <w:right w:val="outset" w:sz="4" w:space="0" w:color="auto"/>
                </w:tcBorders>
              </w:tcPr>
              <w:p w14:paraId="148C05B4" w14:textId="77777777" w:rsidR="00E57DAA" w:rsidRDefault="00AC4185">
                <w:pPr>
                  <w:ind w:firstLineChars="100" w:firstLine="210"/>
                  <w:rPr>
                    <w:szCs w:val="21"/>
                  </w:rPr>
                </w:pPr>
                <w:r>
                  <w:rPr>
                    <w:rFonts w:hint="eastAsia"/>
                    <w:szCs w:val="21"/>
                  </w:rPr>
                  <w:t>支付的各项税费</w:t>
                </w:r>
              </w:p>
            </w:tc>
            <w:tc>
              <w:tcPr>
                <w:tcW w:w="395" w:type="pct"/>
                <w:tcBorders>
                  <w:top w:val="outset" w:sz="4" w:space="0" w:color="auto"/>
                  <w:left w:val="outset" w:sz="4" w:space="0" w:color="auto"/>
                  <w:bottom w:val="outset" w:sz="4" w:space="0" w:color="auto"/>
                  <w:right w:val="outset" w:sz="4" w:space="0" w:color="auto"/>
                </w:tcBorders>
              </w:tcPr>
              <w:p w14:paraId="5AC38D60"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B13848D" w14:textId="77777777" w:rsidR="00E57DAA" w:rsidRDefault="00AC4185">
                <w:pPr>
                  <w:jc w:val="right"/>
                  <w:rPr>
                    <w:szCs w:val="21"/>
                  </w:rPr>
                </w:pPr>
                <w:r>
                  <w:t>171,433,573.97</w:t>
                </w:r>
              </w:p>
            </w:tc>
            <w:tc>
              <w:tcPr>
                <w:tcW w:w="1196" w:type="pct"/>
                <w:tcBorders>
                  <w:top w:val="outset" w:sz="4" w:space="0" w:color="auto"/>
                  <w:left w:val="outset" w:sz="4" w:space="0" w:color="auto"/>
                  <w:bottom w:val="outset" w:sz="4" w:space="0" w:color="auto"/>
                  <w:right w:val="outset" w:sz="4" w:space="0" w:color="auto"/>
                </w:tcBorders>
                <w:vAlign w:val="center"/>
              </w:tcPr>
              <w:p w14:paraId="56D0E58B" w14:textId="77777777" w:rsidR="00E57DAA" w:rsidRDefault="00AC4185">
                <w:pPr>
                  <w:jc w:val="right"/>
                  <w:rPr>
                    <w:szCs w:val="21"/>
                  </w:rPr>
                </w:pPr>
                <w:r>
                  <w:t>119,409,548.78</w:t>
                </w:r>
              </w:p>
            </w:tc>
          </w:tr>
          <w:tr w:rsidR="00E57DAA" w14:paraId="4C7C0D31" w14:textId="77777777">
            <w:tc>
              <w:tcPr>
                <w:tcW w:w="2253" w:type="pct"/>
                <w:tcBorders>
                  <w:top w:val="outset" w:sz="4" w:space="0" w:color="auto"/>
                  <w:left w:val="outset" w:sz="4" w:space="0" w:color="auto"/>
                  <w:bottom w:val="outset" w:sz="4" w:space="0" w:color="auto"/>
                  <w:right w:val="outset" w:sz="4" w:space="0" w:color="auto"/>
                </w:tcBorders>
              </w:tcPr>
              <w:p w14:paraId="38608853" w14:textId="77777777" w:rsidR="00E57DAA" w:rsidRDefault="00AC4185">
                <w:pPr>
                  <w:ind w:firstLineChars="100" w:firstLine="210"/>
                  <w:rPr>
                    <w:szCs w:val="21"/>
                  </w:rPr>
                </w:pPr>
                <w:r>
                  <w:rPr>
                    <w:rFonts w:hint="eastAsia"/>
                    <w:szCs w:val="21"/>
                  </w:rPr>
                  <w:t>支付其他与经营活动有关的现金</w:t>
                </w:r>
              </w:p>
            </w:tc>
            <w:tc>
              <w:tcPr>
                <w:tcW w:w="395" w:type="pct"/>
                <w:tcBorders>
                  <w:top w:val="outset" w:sz="4" w:space="0" w:color="auto"/>
                  <w:left w:val="outset" w:sz="4" w:space="0" w:color="auto"/>
                  <w:bottom w:val="outset" w:sz="4" w:space="0" w:color="auto"/>
                  <w:right w:val="outset" w:sz="4" w:space="0" w:color="auto"/>
                </w:tcBorders>
              </w:tcPr>
              <w:p w14:paraId="6A5A9D29"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314C12E6" w14:textId="77777777" w:rsidR="00E57DAA" w:rsidRDefault="00AC4185">
                <w:pPr>
                  <w:jc w:val="right"/>
                  <w:rPr>
                    <w:szCs w:val="21"/>
                  </w:rPr>
                </w:pPr>
                <w:r>
                  <w:t>1,075,839,912.85</w:t>
                </w:r>
              </w:p>
            </w:tc>
            <w:tc>
              <w:tcPr>
                <w:tcW w:w="1196" w:type="pct"/>
                <w:tcBorders>
                  <w:top w:val="outset" w:sz="4" w:space="0" w:color="auto"/>
                  <w:left w:val="outset" w:sz="4" w:space="0" w:color="auto"/>
                  <w:bottom w:val="outset" w:sz="4" w:space="0" w:color="auto"/>
                  <w:right w:val="outset" w:sz="4" w:space="0" w:color="auto"/>
                </w:tcBorders>
                <w:vAlign w:val="center"/>
              </w:tcPr>
              <w:p w14:paraId="4E7DD5B3" w14:textId="77777777" w:rsidR="00E57DAA" w:rsidRDefault="00AC4185">
                <w:pPr>
                  <w:jc w:val="right"/>
                  <w:rPr>
                    <w:szCs w:val="21"/>
                  </w:rPr>
                </w:pPr>
                <w:r>
                  <w:t>2,362,734,174.16</w:t>
                </w:r>
              </w:p>
            </w:tc>
          </w:tr>
          <w:tr w:rsidR="00E57DAA" w14:paraId="05AF7986" w14:textId="77777777">
            <w:tc>
              <w:tcPr>
                <w:tcW w:w="2253" w:type="pct"/>
                <w:tcBorders>
                  <w:top w:val="outset" w:sz="4" w:space="0" w:color="auto"/>
                  <w:left w:val="outset" w:sz="4" w:space="0" w:color="auto"/>
                  <w:bottom w:val="outset" w:sz="4" w:space="0" w:color="auto"/>
                  <w:right w:val="outset" w:sz="4" w:space="0" w:color="auto"/>
                </w:tcBorders>
              </w:tcPr>
              <w:p w14:paraId="4E12F07C" w14:textId="77777777" w:rsidR="00E57DAA" w:rsidRDefault="00AC4185">
                <w:pPr>
                  <w:ind w:firstLineChars="200" w:firstLine="420"/>
                  <w:rPr>
                    <w:color w:val="000000"/>
                    <w:szCs w:val="21"/>
                  </w:rPr>
                </w:pPr>
                <w:r>
                  <w:rPr>
                    <w:rFonts w:hint="eastAsia"/>
                    <w:szCs w:val="21"/>
                  </w:rPr>
                  <w:t>经营活动现金流出小计</w:t>
                </w:r>
              </w:p>
            </w:tc>
            <w:tc>
              <w:tcPr>
                <w:tcW w:w="395" w:type="pct"/>
                <w:tcBorders>
                  <w:top w:val="outset" w:sz="4" w:space="0" w:color="auto"/>
                  <w:left w:val="outset" w:sz="4" w:space="0" w:color="auto"/>
                  <w:bottom w:val="outset" w:sz="4" w:space="0" w:color="auto"/>
                  <w:right w:val="outset" w:sz="4" w:space="0" w:color="auto"/>
                </w:tcBorders>
              </w:tcPr>
              <w:p w14:paraId="47A09D2A"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77BA1F1C" w14:textId="77777777" w:rsidR="00E57DAA" w:rsidRDefault="00AC4185">
                <w:pPr>
                  <w:jc w:val="right"/>
                  <w:rPr>
                    <w:szCs w:val="21"/>
                  </w:rPr>
                </w:pPr>
                <w:r>
                  <w:t>5,838,577,793.56</w:t>
                </w:r>
              </w:p>
            </w:tc>
            <w:tc>
              <w:tcPr>
                <w:tcW w:w="1196" w:type="pct"/>
                <w:tcBorders>
                  <w:top w:val="outset" w:sz="4" w:space="0" w:color="auto"/>
                  <w:left w:val="outset" w:sz="4" w:space="0" w:color="auto"/>
                  <w:bottom w:val="outset" w:sz="4" w:space="0" w:color="auto"/>
                  <w:right w:val="outset" w:sz="4" w:space="0" w:color="auto"/>
                </w:tcBorders>
                <w:vAlign w:val="center"/>
              </w:tcPr>
              <w:p w14:paraId="3A48609F" w14:textId="77777777" w:rsidR="00E57DAA" w:rsidRDefault="00AC4185">
                <w:pPr>
                  <w:jc w:val="right"/>
                  <w:rPr>
                    <w:szCs w:val="21"/>
                  </w:rPr>
                </w:pPr>
                <w:r>
                  <w:t>8,702,102,317.90</w:t>
                </w:r>
              </w:p>
            </w:tc>
          </w:tr>
          <w:tr w:rsidR="00E57DAA" w14:paraId="1A7D19A7" w14:textId="77777777">
            <w:tc>
              <w:tcPr>
                <w:tcW w:w="2253" w:type="pct"/>
                <w:tcBorders>
                  <w:top w:val="outset" w:sz="4" w:space="0" w:color="auto"/>
                  <w:left w:val="outset" w:sz="4" w:space="0" w:color="auto"/>
                  <w:bottom w:val="outset" w:sz="4" w:space="0" w:color="auto"/>
                  <w:right w:val="outset" w:sz="4" w:space="0" w:color="auto"/>
                </w:tcBorders>
              </w:tcPr>
              <w:p w14:paraId="37D5C147" w14:textId="77777777" w:rsidR="00E57DAA" w:rsidRDefault="00AC4185">
                <w:pPr>
                  <w:ind w:firstLineChars="100" w:firstLine="210"/>
                  <w:rPr>
                    <w:color w:val="000000"/>
                    <w:szCs w:val="21"/>
                  </w:rPr>
                </w:pPr>
                <w:r>
                  <w:rPr>
                    <w:rFonts w:hint="eastAsia"/>
                    <w:szCs w:val="21"/>
                  </w:rPr>
                  <w:t>经营活动产生的现金流量净额</w:t>
                </w:r>
              </w:p>
            </w:tc>
            <w:tc>
              <w:tcPr>
                <w:tcW w:w="395" w:type="pct"/>
                <w:tcBorders>
                  <w:top w:val="outset" w:sz="4" w:space="0" w:color="auto"/>
                  <w:left w:val="outset" w:sz="4" w:space="0" w:color="auto"/>
                  <w:bottom w:val="outset" w:sz="4" w:space="0" w:color="auto"/>
                  <w:right w:val="outset" w:sz="4" w:space="0" w:color="auto"/>
                </w:tcBorders>
              </w:tcPr>
              <w:p w14:paraId="1E649218"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3455945" w14:textId="77777777" w:rsidR="00E57DAA" w:rsidRDefault="00AC4185">
                <w:pPr>
                  <w:jc w:val="right"/>
                  <w:rPr>
                    <w:szCs w:val="21"/>
                  </w:rPr>
                </w:pPr>
                <w:r>
                  <w:t>2,084,978,423.89</w:t>
                </w:r>
              </w:p>
            </w:tc>
            <w:tc>
              <w:tcPr>
                <w:tcW w:w="1196" w:type="pct"/>
                <w:tcBorders>
                  <w:top w:val="outset" w:sz="4" w:space="0" w:color="auto"/>
                  <w:left w:val="outset" w:sz="4" w:space="0" w:color="auto"/>
                  <w:bottom w:val="outset" w:sz="4" w:space="0" w:color="auto"/>
                  <w:right w:val="outset" w:sz="4" w:space="0" w:color="auto"/>
                </w:tcBorders>
                <w:vAlign w:val="center"/>
              </w:tcPr>
              <w:p w14:paraId="667E6888" w14:textId="77777777" w:rsidR="00E57DAA" w:rsidRDefault="00AC4185">
                <w:pPr>
                  <w:jc w:val="right"/>
                  <w:rPr>
                    <w:szCs w:val="21"/>
                  </w:rPr>
                </w:pPr>
                <w:r>
                  <w:t>-624,948,278.10</w:t>
                </w:r>
              </w:p>
            </w:tc>
          </w:tr>
          <w:tr w:rsidR="00E57DAA" w14:paraId="60A049A5" w14:textId="77777777">
            <w:sdt>
              <w:sdtPr>
                <w:tag w:val="_PLD_ea89a8f6b76943769d484d535b94417c"/>
                <w:id w:val="-1681661091"/>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4C4DD2E4" w14:textId="77777777" w:rsidR="00E57DAA" w:rsidRDefault="00AC4185">
                    <w:pPr>
                      <w:rPr>
                        <w:color w:val="008000"/>
                        <w:szCs w:val="21"/>
                      </w:rPr>
                    </w:pPr>
                    <w:r>
                      <w:rPr>
                        <w:rFonts w:hint="eastAsia"/>
                        <w:b/>
                        <w:bCs/>
                        <w:szCs w:val="21"/>
                      </w:rPr>
                      <w:t>二、投资活动产生的现金流量：</w:t>
                    </w:r>
                  </w:p>
                </w:tc>
              </w:sdtContent>
            </w:sdt>
          </w:tr>
          <w:tr w:rsidR="00E57DAA" w14:paraId="7E28C1BF" w14:textId="77777777">
            <w:tc>
              <w:tcPr>
                <w:tcW w:w="2253" w:type="pct"/>
                <w:tcBorders>
                  <w:top w:val="outset" w:sz="4" w:space="0" w:color="auto"/>
                  <w:left w:val="outset" w:sz="4" w:space="0" w:color="auto"/>
                  <w:bottom w:val="outset" w:sz="4" w:space="0" w:color="auto"/>
                  <w:right w:val="outset" w:sz="4" w:space="0" w:color="auto"/>
                </w:tcBorders>
              </w:tcPr>
              <w:p w14:paraId="00363076" w14:textId="77777777" w:rsidR="00E57DAA" w:rsidRDefault="00AC4185">
                <w:pPr>
                  <w:ind w:firstLineChars="100" w:firstLine="210"/>
                  <w:rPr>
                    <w:szCs w:val="21"/>
                  </w:rPr>
                </w:pPr>
                <w:r>
                  <w:rPr>
                    <w:rFonts w:hint="eastAsia"/>
                    <w:szCs w:val="21"/>
                  </w:rPr>
                  <w:t>收回投资收到的现金</w:t>
                </w:r>
              </w:p>
            </w:tc>
            <w:tc>
              <w:tcPr>
                <w:tcW w:w="395" w:type="pct"/>
                <w:tcBorders>
                  <w:top w:val="outset" w:sz="4" w:space="0" w:color="auto"/>
                  <w:left w:val="outset" w:sz="4" w:space="0" w:color="auto"/>
                  <w:bottom w:val="outset" w:sz="4" w:space="0" w:color="auto"/>
                  <w:right w:val="outset" w:sz="4" w:space="0" w:color="auto"/>
                </w:tcBorders>
              </w:tcPr>
              <w:p w14:paraId="39EDD976"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74BC5F5A" w14:textId="77777777" w:rsidR="00E57DAA" w:rsidRDefault="00AC4185">
                <w:pPr>
                  <w:jc w:val="right"/>
                  <w:rPr>
                    <w:szCs w:val="21"/>
                  </w:rPr>
                </w:pPr>
                <w:r>
                  <w:t>36,701,986.61</w:t>
                </w:r>
              </w:p>
            </w:tc>
            <w:tc>
              <w:tcPr>
                <w:tcW w:w="1196" w:type="pct"/>
                <w:tcBorders>
                  <w:top w:val="outset" w:sz="4" w:space="0" w:color="auto"/>
                  <w:left w:val="outset" w:sz="4" w:space="0" w:color="auto"/>
                  <w:bottom w:val="outset" w:sz="4" w:space="0" w:color="auto"/>
                  <w:right w:val="outset" w:sz="4" w:space="0" w:color="auto"/>
                </w:tcBorders>
                <w:vAlign w:val="center"/>
              </w:tcPr>
              <w:p w14:paraId="79A305F7" w14:textId="77777777" w:rsidR="00E57DAA" w:rsidRDefault="00AC4185">
                <w:pPr>
                  <w:jc w:val="right"/>
                  <w:rPr>
                    <w:szCs w:val="21"/>
                  </w:rPr>
                </w:pPr>
                <w:r>
                  <w:t>2,808,225.53</w:t>
                </w:r>
              </w:p>
            </w:tc>
          </w:tr>
          <w:tr w:rsidR="00E57DAA" w14:paraId="20EB43AF" w14:textId="77777777">
            <w:tc>
              <w:tcPr>
                <w:tcW w:w="2253" w:type="pct"/>
                <w:tcBorders>
                  <w:top w:val="outset" w:sz="4" w:space="0" w:color="auto"/>
                  <w:left w:val="outset" w:sz="4" w:space="0" w:color="auto"/>
                  <w:bottom w:val="outset" w:sz="4" w:space="0" w:color="auto"/>
                  <w:right w:val="outset" w:sz="4" w:space="0" w:color="auto"/>
                </w:tcBorders>
              </w:tcPr>
              <w:p w14:paraId="7C9DC7AD" w14:textId="77777777" w:rsidR="00E57DAA" w:rsidRDefault="00AC4185">
                <w:pPr>
                  <w:ind w:firstLineChars="100" w:firstLine="210"/>
                  <w:rPr>
                    <w:szCs w:val="21"/>
                  </w:rPr>
                </w:pPr>
                <w:r>
                  <w:rPr>
                    <w:rFonts w:hint="eastAsia"/>
                    <w:szCs w:val="21"/>
                  </w:rPr>
                  <w:t>取得投资收益收到的现金</w:t>
                </w:r>
              </w:p>
            </w:tc>
            <w:tc>
              <w:tcPr>
                <w:tcW w:w="395" w:type="pct"/>
                <w:tcBorders>
                  <w:top w:val="outset" w:sz="4" w:space="0" w:color="auto"/>
                  <w:left w:val="outset" w:sz="4" w:space="0" w:color="auto"/>
                  <w:bottom w:val="outset" w:sz="4" w:space="0" w:color="auto"/>
                  <w:right w:val="outset" w:sz="4" w:space="0" w:color="auto"/>
                </w:tcBorders>
              </w:tcPr>
              <w:p w14:paraId="4C022B76"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0A4A3233" w14:textId="77777777" w:rsidR="00E57DAA" w:rsidRDefault="00AC4185">
                <w:pPr>
                  <w:jc w:val="right"/>
                  <w:rPr>
                    <w:szCs w:val="21"/>
                  </w:rPr>
                </w:pPr>
                <w:r>
                  <w:t>853,755,320.57</w:t>
                </w:r>
              </w:p>
            </w:tc>
            <w:tc>
              <w:tcPr>
                <w:tcW w:w="1196" w:type="pct"/>
                <w:tcBorders>
                  <w:top w:val="outset" w:sz="4" w:space="0" w:color="auto"/>
                  <w:left w:val="outset" w:sz="4" w:space="0" w:color="auto"/>
                  <w:bottom w:val="outset" w:sz="4" w:space="0" w:color="auto"/>
                  <w:right w:val="outset" w:sz="4" w:space="0" w:color="auto"/>
                </w:tcBorders>
                <w:vAlign w:val="center"/>
              </w:tcPr>
              <w:p w14:paraId="5B748A52" w14:textId="77777777" w:rsidR="00E57DAA" w:rsidRDefault="00AC4185">
                <w:pPr>
                  <w:jc w:val="right"/>
                  <w:rPr>
                    <w:szCs w:val="21"/>
                  </w:rPr>
                </w:pPr>
                <w:r>
                  <w:t>557,148,632.72</w:t>
                </w:r>
              </w:p>
            </w:tc>
          </w:tr>
          <w:tr w:rsidR="00E57DAA" w14:paraId="669F4560" w14:textId="77777777">
            <w:tc>
              <w:tcPr>
                <w:tcW w:w="2253" w:type="pct"/>
                <w:tcBorders>
                  <w:top w:val="outset" w:sz="4" w:space="0" w:color="auto"/>
                  <w:left w:val="outset" w:sz="4" w:space="0" w:color="auto"/>
                  <w:bottom w:val="outset" w:sz="4" w:space="0" w:color="auto"/>
                  <w:right w:val="outset" w:sz="4" w:space="0" w:color="auto"/>
                </w:tcBorders>
              </w:tcPr>
              <w:p w14:paraId="7C904685" w14:textId="77777777" w:rsidR="00E57DAA" w:rsidRDefault="00AC4185">
                <w:pPr>
                  <w:ind w:firstLineChars="100" w:firstLine="210"/>
                  <w:rPr>
                    <w:szCs w:val="21"/>
                  </w:rPr>
                </w:pPr>
                <w:r>
                  <w:rPr>
                    <w:rFonts w:hint="eastAsia"/>
                    <w:szCs w:val="21"/>
                  </w:rPr>
                  <w:t>处置固定资产、无形资产和其他长期资产收回的现金净额</w:t>
                </w:r>
              </w:p>
            </w:tc>
            <w:tc>
              <w:tcPr>
                <w:tcW w:w="395" w:type="pct"/>
                <w:tcBorders>
                  <w:top w:val="outset" w:sz="4" w:space="0" w:color="auto"/>
                  <w:left w:val="outset" w:sz="4" w:space="0" w:color="auto"/>
                  <w:bottom w:val="outset" w:sz="4" w:space="0" w:color="auto"/>
                  <w:right w:val="outset" w:sz="4" w:space="0" w:color="auto"/>
                </w:tcBorders>
              </w:tcPr>
              <w:p w14:paraId="45EE5420"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31E3A8C" w14:textId="77777777" w:rsidR="00E57DAA" w:rsidRDefault="00E57DAA">
                <w:pPr>
                  <w:jc w:val="right"/>
                  <w:rPr>
                    <w:szCs w:val="21"/>
                  </w:rPr>
                </w:pPr>
              </w:p>
            </w:tc>
            <w:tc>
              <w:tcPr>
                <w:tcW w:w="1196" w:type="pct"/>
                <w:tcBorders>
                  <w:top w:val="outset" w:sz="4" w:space="0" w:color="auto"/>
                  <w:left w:val="outset" w:sz="4" w:space="0" w:color="auto"/>
                  <w:bottom w:val="outset" w:sz="4" w:space="0" w:color="auto"/>
                  <w:right w:val="outset" w:sz="4" w:space="0" w:color="auto"/>
                </w:tcBorders>
                <w:vAlign w:val="center"/>
              </w:tcPr>
              <w:p w14:paraId="19B8EE6B" w14:textId="77777777" w:rsidR="00E57DAA" w:rsidRDefault="00AC4185">
                <w:pPr>
                  <w:jc w:val="right"/>
                  <w:rPr>
                    <w:szCs w:val="21"/>
                  </w:rPr>
                </w:pPr>
                <w:r>
                  <w:t>8,230.00</w:t>
                </w:r>
              </w:p>
            </w:tc>
          </w:tr>
          <w:tr w:rsidR="00E57DAA" w14:paraId="6EAB4FA2" w14:textId="77777777">
            <w:tc>
              <w:tcPr>
                <w:tcW w:w="2253" w:type="pct"/>
                <w:tcBorders>
                  <w:top w:val="outset" w:sz="4" w:space="0" w:color="auto"/>
                  <w:left w:val="outset" w:sz="4" w:space="0" w:color="auto"/>
                  <w:bottom w:val="outset" w:sz="4" w:space="0" w:color="auto"/>
                  <w:right w:val="outset" w:sz="4" w:space="0" w:color="auto"/>
                </w:tcBorders>
              </w:tcPr>
              <w:p w14:paraId="07357129" w14:textId="77777777" w:rsidR="00E57DAA" w:rsidRDefault="00AC4185">
                <w:pPr>
                  <w:ind w:firstLineChars="100" w:firstLine="210"/>
                  <w:rPr>
                    <w:szCs w:val="21"/>
                  </w:rPr>
                </w:pPr>
                <w:r>
                  <w:rPr>
                    <w:rFonts w:hint="eastAsia"/>
                    <w:szCs w:val="21"/>
                  </w:rPr>
                  <w:t>处置子公司及其他营业单位收到的现金净额</w:t>
                </w:r>
              </w:p>
            </w:tc>
            <w:tc>
              <w:tcPr>
                <w:tcW w:w="395" w:type="pct"/>
                <w:tcBorders>
                  <w:top w:val="outset" w:sz="4" w:space="0" w:color="auto"/>
                  <w:left w:val="outset" w:sz="4" w:space="0" w:color="auto"/>
                  <w:bottom w:val="outset" w:sz="4" w:space="0" w:color="auto"/>
                  <w:right w:val="outset" w:sz="4" w:space="0" w:color="auto"/>
                </w:tcBorders>
              </w:tcPr>
              <w:p w14:paraId="2842D9FC"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27B152D8" w14:textId="77777777" w:rsidR="00E57DAA" w:rsidRDefault="00E57DAA">
                <w:pPr>
                  <w:jc w:val="right"/>
                  <w:rPr>
                    <w:szCs w:val="21"/>
                  </w:rPr>
                </w:pPr>
              </w:p>
            </w:tc>
            <w:tc>
              <w:tcPr>
                <w:tcW w:w="1196" w:type="pct"/>
                <w:tcBorders>
                  <w:top w:val="outset" w:sz="4" w:space="0" w:color="auto"/>
                  <w:left w:val="outset" w:sz="4" w:space="0" w:color="auto"/>
                  <w:bottom w:val="outset" w:sz="4" w:space="0" w:color="auto"/>
                  <w:right w:val="outset" w:sz="4" w:space="0" w:color="auto"/>
                </w:tcBorders>
                <w:vAlign w:val="center"/>
              </w:tcPr>
              <w:p w14:paraId="58C3E815" w14:textId="77777777" w:rsidR="00E57DAA" w:rsidRDefault="00E57DAA">
                <w:pPr>
                  <w:jc w:val="right"/>
                  <w:rPr>
                    <w:szCs w:val="21"/>
                  </w:rPr>
                </w:pPr>
              </w:p>
            </w:tc>
          </w:tr>
          <w:tr w:rsidR="00E57DAA" w14:paraId="7CD00C1A" w14:textId="77777777">
            <w:tc>
              <w:tcPr>
                <w:tcW w:w="2253" w:type="pct"/>
                <w:tcBorders>
                  <w:top w:val="outset" w:sz="4" w:space="0" w:color="auto"/>
                  <w:left w:val="outset" w:sz="4" w:space="0" w:color="auto"/>
                  <w:bottom w:val="outset" w:sz="4" w:space="0" w:color="auto"/>
                  <w:right w:val="outset" w:sz="4" w:space="0" w:color="auto"/>
                </w:tcBorders>
              </w:tcPr>
              <w:p w14:paraId="3D1AEA2B" w14:textId="77777777" w:rsidR="00E57DAA" w:rsidRDefault="00AC4185">
                <w:pPr>
                  <w:ind w:firstLineChars="100" w:firstLine="210"/>
                  <w:rPr>
                    <w:szCs w:val="21"/>
                  </w:rPr>
                </w:pPr>
                <w:r>
                  <w:rPr>
                    <w:rFonts w:hint="eastAsia"/>
                    <w:szCs w:val="21"/>
                  </w:rPr>
                  <w:t>收到其他与投资活动有关的现金</w:t>
                </w:r>
              </w:p>
            </w:tc>
            <w:tc>
              <w:tcPr>
                <w:tcW w:w="395" w:type="pct"/>
                <w:tcBorders>
                  <w:top w:val="outset" w:sz="4" w:space="0" w:color="auto"/>
                  <w:left w:val="outset" w:sz="4" w:space="0" w:color="auto"/>
                  <w:bottom w:val="outset" w:sz="4" w:space="0" w:color="auto"/>
                  <w:right w:val="outset" w:sz="4" w:space="0" w:color="auto"/>
                </w:tcBorders>
              </w:tcPr>
              <w:p w14:paraId="4C965840"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3EC466EB" w14:textId="77777777" w:rsidR="00E57DAA" w:rsidRDefault="00E57DAA">
                <w:pPr>
                  <w:jc w:val="right"/>
                  <w:rPr>
                    <w:szCs w:val="21"/>
                  </w:rPr>
                </w:pPr>
              </w:p>
            </w:tc>
            <w:tc>
              <w:tcPr>
                <w:tcW w:w="1196" w:type="pct"/>
                <w:tcBorders>
                  <w:top w:val="outset" w:sz="4" w:space="0" w:color="auto"/>
                  <w:left w:val="outset" w:sz="4" w:space="0" w:color="auto"/>
                  <w:bottom w:val="outset" w:sz="4" w:space="0" w:color="auto"/>
                  <w:right w:val="outset" w:sz="4" w:space="0" w:color="auto"/>
                </w:tcBorders>
                <w:vAlign w:val="center"/>
              </w:tcPr>
              <w:p w14:paraId="0FAD0CC8" w14:textId="77777777" w:rsidR="00E57DAA" w:rsidRDefault="00AC4185">
                <w:pPr>
                  <w:jc w:val="right"/>
                  <w:rPr>
                    <w:szCs w:val="21"/>
                  </w:rPr>
                </w:pPr>
                <w:r>
                  <w:t>3,345,141,200.00</w:t>
                </w:r>
              </w:p>
            </w:tc>
          </w:tr>
          <w:tr w:rsidR="00E57DAA" w14:paraId="59865E77" w14:textId="77777777">
            <w:tc>
              <w:tcPr>
                <w:tcW w:w="2253" w:type="pct"/>
                <w:tcBorders>
                  <w:top w:val="outset" w:sz="4" w:space="0" w:color="auto"/>
                  <w:left w:val="outset" w:sz="4" w:space="0" w:color="auto"/>
                  <w:bottom w:val="outset" w:sz="4" w:space="0" w:color="auto"/>
                  <w:right w:val="outset" w:sz="4" w:space="0" w:color="auto"/>
                </w:tcBorders>
              </w:tcPr>
              <w:p w14:paraId="546D2B2B" w14:textId="77777777" w:rsidR="00E57DAA" w:rsidRDefault="00AC4185">
                <w:pPr>
                  <w:ind w:firstLineChars="200" w:firstLine="420"/>
                  <w:rPr>
                    <w:color w:val="000000"/>
                    <w:szCs w:val="21"/>
                  </w:rPr>
                </w:pPr>
                <w:r>
                  <w:rPr>
                    <w:rFonts w:hint="eastAsia"/>
                    <w:szCs w:val="21"/>
                  </w:rPr>
                  <w:t>投资活动现金流入小计</w:t>
                </w:r>
              </w:p>
            </w:tc>
            <w:tc>
              <w:tcPr>
                <w:tcW w:w="395" w:type="pct"/>
                <w:tcBorders>
                  <w:top w:val="outset" w:sz="4" w:space="0" w:color="auto"/>
                  <w:left w:val="outset" w:sz="4" w:space="0" w:color="auto"/>
                  <w:bottom w:val="outset" w:sz="4" w:space="0" w:color="auto"/>
                  <w:right w:val="outset" w:sz="4" w:space="0" w:color="auto"/>
                </w:tcBorders>
              </w:tcPr>
              <w:p w14:paraId="7B1DF5D9"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476D6EE2" w14:textId="77777777" w:rsidR="00E57DAA" w:rsidRDefault="00AC4185">
                <w:pPr>
                  <w:jc w:val="right"/>
                  <w:rPr>
                    <w:szCs w:val="21"/>
                  </w:rPr>
                </w:pPr>
                <w:r>
                  <w:t>890,457,307.18</w:t>
                </w:r>
              </w:p>
            </w:tc>
            <w:tc>
              <w:tcPr>
                <w:tcW w:w="1196" w:type="pct"/>
                <w:tcBorders>
                  <w:top w:val="outset" w:sz="4" w:space="0" w:color="auto"/>
                  <w:left w:val="outset" w:sz="4" w:space="0" w:color="auto"/>
                  <w:bottom w:val="outset" w:sz="4" w:space="0" w:color="auto"/>
                  <w:right w:val="outset" w:sz="4" w:space="0" w:color="auto"/>
                </w:tcBorders>
                <w:vAlign w:val="center"/>
              </w:tcPr>
              <w:p w14:paraId="4C43A10D" w14:textId="77777777" w:rsidR="00E57DAA" w:rsidRDefault="00AC4185">
                <w:pPr>
                  <w:jc w:val="right"/>
                  <w:rPr>
                    <w:szCs w:val="21"/>
                  </w:rPr>
                </w:pPr>
                <w:r>
                  <w:t>3,905,106,288.25</w:t>
                </w:r>
              </w:p>
            </w:tc>
          </w:tr>
          <w:tr w:rsidR="00E57DAA" w14:paraId="5406BA5D" w14:textId="77777777">
            <w:tc>
              <w:tcPr>
                <w:tcW w:w="2253" w:type="pct"/>
                <w:tcBorders>
                  <w:top w:val="outset" w:sz="4" w:space="0" w:color="auto"/>
                  <w:left w:val="outset" w:sz="4" w:space="0" w:color="auto"/>
                  <w:bottom w:val="outset" w:sz="4" w:space="0" w:color="auto"/>
                  <w:right w:val="outset" w:sz="4" w:space="0" w:color="auto"/>
                </w:tcBorders>
              </w:tcPr>
              <w:p w14:paraId="12E2E6E8" w14:textId="77777777" w:rsidR="00E57DAA" w:rsidRDefault="00AC4185">
                <w:pPr>
                  <w:ind w:firstLineChars="100" w:firstLine="210"/>
                  <w:rPr>
                    <w:szCs w:val="21"/>
                  </w:rPr>
                </w:pPr>
                <w:r>
                  <w:rPr>
                    <w:rFonts w:hint="eastAsia"/>
                    <w:szCs w:val="21"/>
                  </w:rPr>
                  <w:t>购建固定资产、无形资产和其他长期资产支付的现金</w:t>
                </w:r>
              </w:p>
            </w:tc>
            <w:tc>
              <w:tcPr>
                <w:tcW w:w="395" w:type="pct"/>
                <w:tcBorders>
                  <w:top w:val="outset" w:sz="4" w:space="0" w:color="auto"/>
                  <w:left w:val="outset" w:sz="4" w:space="0" w:color="auto"/>
                  <w:bottom w:val="outset" w:sz="4" w:space="0" w:color="auto"/>
                  <w:right w:val="outset" w:sz="4" w:space="0" w:color="auto"/>
                </w:tcBorders>
              </w:tcPr>
              <w:p w14:paraId="25C1066F"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792093FB" w14:textId="77777777" w:rsidR="00E57DAA" w:rsidRDefault="00AC4185">
                <w:pPr>
                  <w:jc w:val="right"/>
                  <w:rPr>
                    <w:szCs w:val="21"/>
                  </w:rPr>
                </w:pPr>
                <w:r>
                  <w:t>40,042,408.33</w:t>
                </w:r>
              </w:p>
            </w:tc>
            <w:tc>
              <w:tcPr>
                <w:tcW w:w="1196" w:type="pct"/>
                <w:tcBorders>
                  <w:top w:val="outset" w:sz="4" w:space="0" w:color="auto"/>
                  <w:left w:val="outset" w:sz="4" w:space="0" w:color="auto"/>
                  <w:bottom w:val="outset" w:sz="4" w:space="0" w:color="auto"/>
                  <w:right w:val="outset" w:sz="4" w:space="0" w:color="auto"/>
                </w:tcBorders>
                <w:vAlign w:val="center"/>
              </w:tcPr>
              <w:p w14:paraId="71DA0535" w14:textId="77777777" w:rsidR="00E57DAA" w:rsidRDefault="00AC4185">
                <w:pPr>
                  <w:jc w:val="right"/>
                  <w:rPr>
                    <w:szCs w:val="21"/>
                  </w:rPr>
                </w:pPr>
                <w:r>
                  <w:t>77,803,327.25</w:t>
                </w:r>
              </w:p>
            </w:tc>
          </w:tr>
          <w:tr w:rsidR="00E57DAA" w14:paraId="7A6E84CB" w14:textId="77777777">
            <w:tc>
              <w:tcPr>
                <w:tcW w:w="2253" w:type="pct"/>
                <w:tcBorders>
                  <w:top w:val="outset" w:sz="4" w:space="0" w:color="auto"/>
                  <w:left w:val="outset" w:sz="4" w:space="0" w:color="auto"/>
                  <w:bottom w:val="outset" w:sz="4" w:space="0" w:color="auto"/>
                  <w:right w:val="outset" w:sz="4" w:space="0" w:color="auto"/>
                </w:tcBorders>
              </w:tcPr>
              <w:p w14:paraId="21286238" w14:textId="77777777" w:rsidR="00E57DAA" w:rsidRDefault="00AC4185">
                <w:pPr>
                  <w:ind w:firstLineChars="100" w:firstLine="210"/>
                  <w:rPr>
                    <w:szCs w:val="21"/>
                  </w:rPr>
                </w:pPr>
                <w:r>
                  <w:rPr>
                    <w:rFonts w:hint="eastAsia"/>
                    <w:szCs w:val="21"/>
                  </w:rPr>
                  <w:t>投资支付的现金</w:t>
                </w:r>
              </w:p>
            </w:tc>
            <w:tc>
              <w:tcPr>
                <w:tcW w:w="395" w:type="pct"/>
                <w:tcBorders>
                  <w:top w:val="outset" w:sz="4" w:space="0" w:color="auto"/>
                  <w:left w:val="outset" w:sz="4" w:space="0" w:color="auto"/>
                  <w:bottom w:val="outset" w:sz="4" w:space="0" w:color="auto"/>
                  <w:right w:val="outset" w:sz="4" w:space="0" w:color="auto"/>
                </w:tcBorders>
              </w:tcPr>
              <w:p w14:paraId="254CCF6B"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0EBE03E1" w14:textId="77777777" w:rsidR="00E57DAA" w:rsidRDefault="00AC4185">
                <w:pPr>
                  <w:jc w:val="right"/>
                  <w:rPr>
                    <w:szCs w:val="21"/>
                  </w:rPr>
                </w:pPr>
                <w:r>
                  <w:t>1,276,896,328.89</w:t>
                </w:r>
              </w:p>
            </w:tc>
            <w:tc>
              <w:tcPr>
                <w:tcW w:w="1196" w:type="pct"/>
                <w:tcBorders>
                  <w:top w:val="outset" w:sz="4" w:space="0" w:color="auto"/>
                  <w:left w:val="outset" w:sz="4" w:space="0" w:color="auto"/>
                  <w:bottom w:val="outset" w:sz="4" w:space="0" w:color="auto"/>
                  <w:right w:val="outset" w:sz="4" w:space="0" w:color="auto"/>
                </w:tcBorders>
                <w:vAlign w:val="center"/>
              </w:tcPr>
              <w:p w14:paraId="2AA79792" w14:textId="77777777" w:rsidR="00E57DAA" w:rsidRDefault="00AC4185">
                <w:pPr>
                  <w:jc w:val="right"/>
                  <w:rPr>
                    <w:szCs w:val="21"/>
                  </w:rPr>
                </w:pPr>
                <w:r>
                  <w:t>715,444,233.57</w:t>
                </w:r>
              </w:p>
            </w:tc>
          </w:tr>
          <w:tr w:rsidR="00E57DAA" w14:paraId="658765EE" w14:textId="77777777">
            <w:tc>
              <w:tcPr>
                <w:tcW w:w="2253" w:type="pct"/>
                <w:tcBorders>
                  <w:top w:val="outset" w:sz="4" w:space="0" w:color="auto"/>
                  <w:left w:val="outset" w:sz="4" w:space="0" w:color="auto"/>
                  <w:bottom w:val="outset" w:sz="4" w:space="0" w:color="auto"/>
                  <w:right w:val="outset" w:sz="4" w:space="0" w:color="auto"/>
                </w:tcBorders>
              </w:tcPr>
              <w:p w14:paraId="7CE947E5" w14:textId="77777777" w:rsidR="00E57DAA" w:rsidRDefault="00AC4185">
                <w:pPr>
                  <w:ind w:firstLineChars="100" w:firstLine="210"/>
                  <w:rPr>
                    <w:szCs w:val="21"/>
                  </w:rPr>
                </w:pPr>
                <w:r>
                  <w:rPr>
                    <w:rFonts w:hint="eastAsia"/>
                    <w:szCs w:val="21"/>
                  </w:rPr>
                  <w:t>取得子公司及其他营业单位支付的现金净额</w:t>
                </w:r>
              </w:p>
            </w:tc>
            <w:tc>
              <w:tcPr>
                <w:tcW w:w="395" w:type="pct"/>
                <w:tcBorders>
                  <w:top w:val="outset" w:sz="4" w:space="0" w:color="auto"/>
                  <w:left w:val="outset" w:sz="4" w:space="0" w:color="auto"/>
                  <w:bottom w:val="outset" w:sz="4" w:space="0" w:color="auto"/>
                  <w:right w:val="outset" w:sz="4" w:space="0" w:color="auto"/>
                </w:tcBorders>
              </w:tcPr>
              <w:p w14:paraId="1C78089D"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43EF4295" w14:textId="77777777" w:rsidR="00E57DAA" w:rsidRDefault="00E57DAA">
                <w:pPr>
                  <w:jc w:val="right"/>
                  <w:rPr>
                    <w:szCs w:val="21"/>
                  </w:rPr>
                </w:pPr>
              </w:p>
            </w:tc>
            <w:tc>
              <w:tcPr>
                <w:tcW w:w="1196" w:type="pct"/>
                <w:tcBorders>
                  <w:top w:val="outset" w:sz="4" w:space="0" w:color="auto"/>
                  <w:left w:val="outset" w:sz="4" w:space="0" w:color="auto"/>
                  <w:bottom w:val="outset" w:sz="4" w:space="0" w:color="auto"/>
                  <w:right w:val="outset" w:sz="4" w:space="0" w:color="auto"/>
                </w:tcBorders>
                <w:vAlign w:val="center"/>
              </w:tcPr>
              <w:p w14:paraId="4CDA15E9" w14:textId="77777777" w:rsidR="00E57DAA" w:rsidRDefault="00E57DAA">
                <w:pPr>
                  <w:jc w:val="right"/>
                  <w:rPr>
                    <w:szCs w:val="21"/>
                  </w:rPr>
                </w:pPr>
              </w:p>
            </w:tc>
          </w:tr>
          <w:tr w:rsidR="00E57DAA" w14:paraId="72E98A3D" w14:textId="77777777">
            <w:tc>
              <w:tcPr>
                <w:tcW w:w="2253" w:type="pct"/>
                <w:tcBorders>
                  <w:top w:val="outset" w:sz="4" w:space="0" w:color="auto"/>
                  <w:left w:val="outset" w:sz="4" w:space="0" w:color="auto"/>
                  <w:bottom w:val="outset" w:sz="4" w:space="0" w:color="auto"/>
                  <w:right w:val="outset" w:sz="4" w:space="0" w:color="auto"/>
                </w:tcBorders>
              </w:tcPr>
              <w:p w14:paraId="165E56F2" w14:textId="77777777" w:rsidR="00E57DAA" w:rsidRDefault="00AC4185">
                <w:pPr>
                  <w:ind w:firstLineChars="100" w:firstLine="210"/>
                  <w:rPr>
                    <w:szCs w:val="21"/>
                  </w:rPr>
                </w:pPr>
                <w:r>
                  <w:rPr>
                    <w:rFonts w:hint="eastAsia"/>
                    <w:szCs w:val="21"/>
                  </w:rPr>
                  <w:t>支付其他与投资活动有关的现金</w:t>
                </w:r>
              </w:p>
            </w:tc>
            <w:tc>
              <w:tcPr>
                <w:tcW w:w="395" w:type="pct"/>
                <w:tcBorders>
                  <w:top w:val="outset" w:sz="4" w:space="0" w:color="auto"/>
                  <w:left w:val="outset" w:sz="4" w:space="0" w:color="auto"/>
                  <w:bottom w:val="outset" w:sz="4" w:space="0" w:color="auto"/>
                  <w:right w:val="outset" w:sz="4" w:space="0" w:color="auto"/>
                </w:tcBorders>
              </w:tcPr>
              <w:p w14:paraId="3C3A4294"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2218F83E" w14:textId="77777777" w:rsidR="00E57DAA" w:rsidRDefault="00AC4185">
                <w:pPr>
                  <w:jc w:val="right"/>
                  <w:rPr>
                    <w:szCs w:val="21"/>
                  </w:rPr>
                </w:pPr>
                <w:r>
                  <w:t>35,263,000.00</w:t>
                </w:r>
              </w:p>
            </w:tc>
            <w:tc>
              <w:tcPr>
                <w:tcW w:w="1196" w:type="pct"/>
                <w:tcBorders>
                  <w:top w:val="outset" w:sz="4" w:space="0" w:color="auto"/>
                  <w:left w:val="outset" w:sz="4" w:space="0" w:color="auto"/>
                  <w:bottom w:val="outset" w:sz="4" w:space="0" w:color="auto"/>
                  <w:right w:val="outset" w:sz="4" w:space="0" w:color="auto"/>
                </w:tcBorders>
                <w:vAlign w:val="center"/>
              </w:tcPr>
              <w:p w14:paraId="32F81926" w14:textId="77777777" w:rsidR="00E57DAA" w:rsidRDefault="00AC4185">
                <w:pPr>
                  <w:jc w:val="right"/>
                  <w:rPr>
                    <w:szCs w:val="21"/>
                  </w:rPr>
                </w:pPr>
                <w:r>
                  <w:t>3,102,477,600.00</w:t>
                </w:r>
              </w:p>
            </w:tc>
          </w:tr>
          <w:tr w:rsidR="00E57DAA" w14:paraId="5AA104EF" w14:textId="77777777">
            <w:tc>
              <w:tcPr>
                <w:tcW w:w="2253" w:type="pct"/>
                <w:tcBorders>
                  <w:top w:val="outset" w:sz="4" w:space="0" w:color="auto"/>
                  <w:left w:val="outset" w:sz="4" w:space="0" w:color="auto"/>
                  <w:bottom w:val="outset" w:sz="4" w:space="0" w:color="auto"/>
                  <w:right w:val="outset" w:sz="4" w:space="0" w:color="auto"/>
                </w:tcBorders>
              </w:tcPr>
              <w:p w14:paraId="04693249" w14:textId="77777777" w:rsidR="00E57DAA" w:rsidRDefault="00AC4185">
                <w:pPr>
                  <w:ind w:firstLineChars="200" w:firstLine="420"/>
                  <w:rPr>
                    <w:color w:val="000000"/>
                    <w:szCs w:val="21"/>
                  </w:rPr>
                </w:pPr>
                <w:r>
                  <w:rPr>
                    <w:rFonts w:hint="eastAsia"/>
                    <w:szCs w:val="21"/>
                  </w:rPr>
                  <w:t>投资活动现金流出小计</w:t>
                </w:r>
              </w:p>
            </w:tc>
            <w:tc>
              <w:tcPr>
                <w:tcW w:w="395" w:type="pct"/>
                <w:tcBorders>
                  <w:top w:val="outset" w:sz="4" w:space="0" w:color="auto"/>
                  <w:left w:val="outset" w:sz="4" w:space="0" w:color="auto"/>
                  <w:bottom w:val="outset" w:sz="4" w:space="0" w:color="auto"/>
                  <w:right w:val="outset" w:sz="4" w:space="0" w:color="auto"/>
                </w:tcBorders>
              </w:tcPr>
              <w:p w14:paraId="52BAD231"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41E7A10" w14:textId="77777777" w:rsidR="00E57DAA" w:rsidRDefault="00AC4185">
                <w:pPr>
                  <w:jc w:val="right"/>
                  <w:rPr>
                    <w:szCs w:val="21"/>
                  </w:rPr>
                </w:pPr>
                <w:r>
                  <w:t>1,352,201,737.22</w:t>
                </w:r>
              </w:p>
            </w:tc>
            <w:tc>
              <w:tcPr>
                <w:tcW w:w="1196" w:type="pct"/>
                <w:tcBorders>
                  <w:top w:val="outset" w:sz="4" w:space="0" w:color="auto"/>
                  <w:left w:val="outset" w:sz="4" w:space="0" w:color="auto"/>
                  <w:bottom w:val="outset" w:sz="4" w:space="0" w:color="auto"/>
                  <w:right w:val="outset" w:sz="4" w:space="0" w:color="auto"/>
                </w:tcBorders>
                <w:vAlign w:val="center"/>
              </w:tcPr>
              <w:p w14:paraId="003DB6F8" w14:textId="77777777" w:rsidR="00E57DAA" w:rsidRDefault="00AC4185">
                <w:pPr>
                  <w:jc w:val="right"/>
                  <w:rPr>
                    <w:szCs w:val="21"/>
                  </w:rPr>
                </w:pPr>
                <w:r>
                  <w:t>3,895,725,160.82</w:t>
                </w:r>
              </w:p>
            </w:tc>
          </w:tr>
          <w:tr w:rsidR="00E57DAA" w14:paraId="3C17B930" w14:textId="77777777">
            <w:tc>
              <w:tcPr>
                <w:tcW w:w="2253" w:type="pct"/>
                <w:tcBorders>
                  <w:top w:val="outset" w:sz="4" w:space="0" w:color="auto"/>
                  <w:left w:val="outset" w:sz="4" w:space="0" w:color="auto"/>
                  <w:bottom w:val="outset" w:sz="4" w:space="0" w:color="auto"/>
                  <w:right w:val="outset" w:sz="4" w:space="0" w:color="auto"/>
                </w:tcBorders>
              </w:tcPr>
              <w:p w14:paraId="6E47318B" w14:textId="77777777" w:rsidR="00E57DAA" w:rsidRDefault="00AC4185">
                <w:pPr>
                  <w:ind w:firstLineChars="300" w:firstLine="630"/>
                  <w:rPr>
                    <w:color w:val="000000"/>
                    <w:szCs w:val="21"/>
                  </w:rPr>
                </w:pPr>
                <w:r>
                  <w:rPr>
                    <w:rFonts w:hint="eastAsia"/>
                    <w:szCs w:val="21"/>
                  </w:rPr>
                  <w:t>投资活动产生的现金流量净额</w:t>
                </w:r>
              </w:p>
            </w:tc>
            <w:tc>
              <w:tcPr>
                <w:tcW w:w="395" w:type="pct"/>
                <w:tcBorders>
                  <w:top w:val="outset" w:sz="4" w:space="0" w:color="auto"/>
                  <w:left w:val="outset" w:sz="4" w:space="0" w:color="auto"/>
                  <w:bottom w:val="outset" w:sz="4" w:space="0" w:color="auto"/>
                  <w:right w:val="outset" w:sz="4" w:space="0" w:color="auto"/>
                </w:tcBorders>
              </w:tcPr>
              <w:p w14:paraId="3C449F3A"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2F9D461E" w14:textId="77777777" w:rsidR="00E57DAA" w:rsidRDefault="00AC4185">
                <w:pPr>
                  <w:jc w:val="right"/>
                  <w:rPr>
                    <w:szCs w:val="21"/>
                  </w:rPr>
                </w:pPr>
                <w:r>
                  <w:t>-461,744,430.04</w:t>
                </w:r>
              </w:p>
            </w:tc>
            <w:tc>
              <w:tcPr>
                <w:tcW w:w="1196" w:type="pct"/>
                <w:tcBorders>
                  <w:top w:val="outset" w:sz="4" w:space="0" w:color="auto"/>
                  <w:left w:val="outset" w:sz="4" w:space="0" w:color="auto"/>
                  <w:bottom w:val="outset" w:sz="4" w:space="0" w:color="auto"/>
                  <w:right w:val="outset" w:sz="4" w:space="0" w:color="auto"/>
                </w:tcBorders>
                <w:vAlign w:val="center"/>
              </w:tcPr>
              <w:p w14:paraId="3F97C2C4" w14:textId="77777777" w:rsidR="00E57DAA" w:rsidRDefault="00AC4185">
                <w:pPr>
                  <w:jc w:val="right"/>
                  <w:rPr>
                    <w:szCs w:val="21"/>
                  </w:rPr>
                </w:pPr>
                <w:r>
                  <w:t>9,381,127.43</w:t>
                </w:r>
              </w:p>
            </w:tc>
          </w:tr>
          <w:tr w:rsidR="00E57DAA" w14:paraId="22622A8C" w14:textId="77777777">
            <w:sdt>
              <w:sdtPr>
                <w:tag w:val="_PLD_8b6929c78db14ee1bde1ca4b9a47a65c"/>
                <w:id w:val="-935362933"/>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528340F" w14:textId="77777777" w:rsidR="00E57DAA" w:rsidRDefault="00AC4185">
                    <w:pPr>
                      <w:rPr>
                        <w:color w:val="008000"/>
                        <w:szCs w:val="21"/>
                      </w:rPr>
                    </w:pPr>
                    <w:r>
                      <w:rPr>
                        <w:rFonts w:hint="eastAsia"/>
                        <w:b/>
                        <w:bCs/>
                        <w:szCs w:val="21"/>
                      </w:rPr>
                      <w:t>三、筹资活动产生的现金流量：</w:t>
                    </w:r>
                  </w:p>
                </w:tc>
              </w:sdtContent>
            </w:sdt>
          </w:tr>
          <w:tr w:rsidR="00E57DAA" w14:paraId="72487D5F" w14:textId="77777777">
            <w:tc>
              <w:tcPr>
                <w:tcW w:w="2253" w:type="pct"/>
                <w:tcBorders>
                  <w:top w:val="outset" w:sz="4" w:space="0" w:color="auto"/>
                  <w:left w:val="outset" w:sz="4" w:space="0" w:color="auto"/>
                  <w:bottom w:val="outset" w:sz="4" w:space="0" w:color="auto"/>
                  <w:right w:val="outset" w:sz="4" w:space="0" w:color="auto"/>
                </w:tcBorders>
              </w:tcPr>
              <w:p w14:paraId="2B070385" w14:textId="77777777" w:rsidR="00E57DAA" w:rsidRDefault="00AC4185">
                <w:pPr>
                  <w:ind w:firstLineChars="100" w:firstLine="210"/>
                  <w:rPr>
                    <w:color w:val="000000"/>
                    <w:szCs w:val="21"/>
                  </w:rPr>
                </w:pPr>
                <w:r>
                  <w:rPr>
                    <w:rFonts w:hint="eastAsia"/>
                    <w:szCs w:val="21"/>
                  </w:rPr>
                  <w:t>吸收投资收到的现金</w:t>
                </w:r>
              </w:p>
            </w:tc>
            <w:tc>
              <w:tcPr>
                <w:tcW w:w="395" w:type="pct"/>
                <w:tcBorders>
                  <w:top w:val="outset" w:sz="4" w:space="0" w:color="auto"/>
                  <w:left w:val="outset" w:sz="4" w:space="0" w:color="auto"/>
                  <w:bottom w:val="outset" w:sz="4" w:space="0" w:color="auto"/>
                  <w:right w:val="outset" w:sz="4" w:space="0" w:color="auto"/>
                </w:tcBorders>
              </w:tcPr>
              <w:p w14:paraId="471EC3CE"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024AA269" w14:textId="77777777" w:rsidR="00E57DAA" w:rsidRDefault="00AC4185">
                <w:pPr>
                  <w:jc w:val="right"/>
                  <w:rPr>
                    <w:szCs w:val="21"/>
                  </w:rPr>
                </w:pPr>
                <w:r>
                  <w:t>56,293,632.22</w:t>
                </w:r>
              </w:p>
            </w:tc>
            <w:tc>
              <w:tcPr>
                <w:tcW w:w="1196" w:type="pct"/>
                <w:tcBorders>
                  <w:top w:val="outset" w:sz="4" w:space="0" w:color="auto"/>
                  <w:left w:val="outset" w:sz="4" w:space="0" w:color="auto"/>
                  <w:bottom w:val="outset" w:sz="4" w:space="0" w:color="auto"/>
                  <w:right w:val="outset" w:sz="4" w:space="0" w:color="auto"/>
                </w:tcBorders>
                <w:vAlign w:val="center"/>
              </w:tcPr>
              <w:p w14:paraId="04455131" w14:textId="77777777" w:rsidR="00E57DAA" w:rsidRDefault="00AC4185">
                <w:pPr>
                  <w:jc w:val="right"/>
                  <w:rPr>
                    <w:szCs w:val="21"/>
                  </w:rPr>
                </w:pPr>
                <w:r>
                  <w:t>277,898,216.55</w:t>
                </w:r>
              </w:p>
            </w:tc>
          </w:tr>
          <w:tr w:rsidR="00E57DAA" w14:paraId="095115DD" w14:textId="77777777">
            <w:tc>
              <w:tcPr>
                <w:tcW w:w="2253" w:type="pct"/>
                <w:tcBorders>
                  <w:top w:val="outset" w:sz="4" w:space="0" w:color="auto"/>
                  <w:left w:val="outset" w:sz="4" w:space="0" w:color="auto"/>
                  <w:bottom w:val="outset" w:sz="4" w:space="0" w:color="auto"/>
                  <w:right w:val="outset" w:sz="4" w:space="0" w:color="auto"/>
                </w:tcBorders>
              </w:tcPr>
              <w:p w14:paraId="61FE9BAA" w14:textId="77777777" w:rsidR="00E57DAA" w:rsidRDefault="00AC4185">
                <w:pPr>
                  <w:ind w:firstLineChars="100" w:firstLine="210"/>
                  <w:rPr>
                    <w:color w:val="000000"/>
                    <w:szCs w:val="21"/>
                  </w:rPr>
                </w:pPr>
                <w:r>
                  <w:rPr>
                    <w:rFonts w:hint="eastAsia"/>
                    <w:szCs w:val="21"/>
                  </w:rPr>
                  <w:t>取得借款收到的现金</w:t>
                </w:r>
              </w:p>
            </w:tc>
            <w:tc>
              <w:tcPr>
                <w:tcW w:w="395" w:type="pct"/>
                <w:tcBorders>
                  <w:top w:val="outset" w:sz="4" w:space="0" w:color="auto"/>
                  <w:left w:val="outset" w:sz="4" w:space="0" w:color="auto"/>
                  <w:bottom w:val="outset" w:sz="4" w:space="0" w:color="auto"/>
                  <w:right w:val="outset" w:sz="4" w:space="0" w:color="auto"/>
                </w:tcBorders>
              </w:tcPr>
              <w:p w14:paraId="7FA6A48B"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370355E4" w14:textId="77777777" w:rsidR="00E57DAA" w:rsidRDefault="00AC4185">
                <w:pPr>
                  <w:jc w:val="right"/>
                  <w:rPr>
                    <w:szCs w:val="21"/>
                  </w:rPr>
                </w:pPr>
                <w:r>
                  <w:t>2,000,000,000.00</w:t>
                </w:r>
              </w:p>
            </w:tc>
            <w:tc>
              <w:tcPr>
                <w:tcW w:w="1196" w:type="pct"/>
                <w:tcBorders>
                  <w:top w:val="outset" w:sz="4" w:space="0" w:color="auto"/>
                  <w:left w:val="outset" w:sz="4" w:space="0" w:color="auto"/>
                  <w:bottom w:val="outset" w:sz="4" w:space="0" w:color="auto"/>
                  <w:right w:val="outset" w:sz="4" w:space="0" w:color="auto"/>
                </w:tcBorders>
                <w:vAlign w:val="center"/>
              </w:tcPr>
              <w:p w14:paraId="1602ED2A" w14:textId="77777777" w:rsidR="00E57DAA" w:rsidRDefault="00AC4185">
                <w:pPr>
                  <w:jc w:val="right"/>
                  <w:rPr>
                    <w:szCs w:val="21"/>
                  </w:rPr>
                </w:pPr>
                <w:r>
                  <w:t>5,212,290,000.00</w:t>
                </w:r>
              </w:p>
            </w:tc>
          </w:tr>
          <w:tr w:rsidR="00E57DAA" w14:paraId="56A8758A" w14:textId="77777777">
            <w:tc>
              <w:tcPr>
                <w:tcW w:w="2253" w:type="pct"/>
                <w:tcBorders>
                  <w:top w:val="outset" w:sz="4" w:space="0" w:color="auto"/>
                  <w:left w:val="outset" w:sz="4" w:space="0" w:color="auto"/>
                  <w:bottom w:val="outset" w:sz="4" w:space="0" w:color="auto"/>
                  <w:right w:val="outset" w:sz="4" w:space="0" w:color="auto"/>
                </w:tcBorders>
              </w:tcPr>
              <w:p w14:paraId="06C07C35" w14:textId="77777777" w:rsidR="00E57DAA" w:rsidRDefault="00AC4185">
                <w:pPr>
                  <w:ind w:firstLineChars="100" w:firstLine="210"/>
                  <w:rPr>
                    <w:color w:val="000000"/>
                    <w:szCs w:val="21"/>
                  </w:rPr>
                </w:pPr>
                <w:r>
                  <w:rPr>
                    <w:rFonts w:hint="eastAsia"/>
                    <w:szCs w:val="21"/>
                  </w:rPr>
                  <w:t>收到其他与筹资活动有关的现金</w:t>
                </w:r>
              </w:p>
            </w:tc>
            <w:tc>
              <w:tcPr>
                <w:tcW w:w="395" w:type="pct"/>
                <w:tcBorders>
                  <w:top w:val="outset" w:sz="4" w:space="0" w:color="auto"/>
                  <w:left w:val="outset" w:sz="4" w:space="0" w:color="auto"/>
                  <w:bottom w:val="outset" w:sz="4" w:space="0" w:color="auto"/>
                  <w:right w:val="outset" w:sz="4" w:space="0" w:color="auto"/>
                </w:tcBorders>
              </w:tcPr>
              <w:p w14:paraId="2169A438"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CCDBD33" w14:textId="77777777" w:rsidR="00E57DAA" w:rsidRDefault="00E57DAA">
                <w:pPr>
                  <w:jc w:val="right"/>
                  <w:rPr>
                    <w:szCs w:val="21"/>
                  </w:rPr>
                </w:pPr>
              </w:p>
            </w:tc>
            <w:tc>
              <w:tcPr>
                <w:tcW w:w="1196" w:type="pct"/>
                <w:tcBorders>
                  <w:top w:val="outset" w:sz="4" w:space="0" w:color="auto"/>
                  <w:left w:val="outset" w:sz="4" w:space="0" w:color="auto"/>
                  <w:bottom w:val="outset" w:sz="4" w:space="0" w:color="auto"/>
                  <w:right w:val="outset" w:sz="4" w:space="0" w:color="auto"/>
                </w:tcBorders>
                <w:vAlign w:val="center"/>
              </w:tcPr>
              <w:p w14:paraId="2BE04AF5" w14:textId="77777777" w:rsidR="00E57DAA" w:rsidRDefault="00E57DAA">
                <w:pPr>
                  <w:jc w:val="right"/>
                  <w:rPr>
                    <w:szCs w:val="21"/>
                  </w:rPr>
                </w:pPr>
              </w:p>
            </w:tc>
          </w:tr>
          <w:tr w:rsidR="00E57DAA" w14:paraId="60D64F9B" w14:textId="77777777">
            <w:tc>
              <w:tcPr>
                <w:tcW w:w="2253" w:type="pct"/>
                <w:tcBorders>
                  <w:top w:val="outset" w:sz="4" w:space="0" w:color="auto"/>
                  <w:left w:val="outset" w:sz="4" w:space="0" w:color="auto"/>
                  <w:bottom w:val="outset" w:sz="4" w:space="0" w:color="auto"/>
                  <w:right w:val="outset" w:sz="4" w:space="0" w:color="auto"/>
                </w:tcBorders>
              </w:tcPr>
              <w:p w14:paraId="17B2157D" w14:textId="77777777" w:rsidR="00E57DAA" w:rsidRDefault="00AC4185">
                <w:pPr>
                  <w:ind w:firstLineChars="200" w:firstLine="420"/>
                  <w:rPr>
                    <w:color w:val="000000"/>
                    <w:szCs w:val="21"/>
                  </w:rPr>
                </w:pPr>
                <w:r>
                  <w:rPr>
                    <w:rFonts w:hint="eastAsia"/>
                    <w:szCs w:val="21"/>
                  </w:rPr>
                  <w:t>筹资活动现金流入小计</w:t>
                </w:r>
              </w:p>
            </w:tc>
            <w:tc>
              <w:tcPr>
                <w:tcW w:w="395" w:type="pct"/>
                <w:tcBorders>
                  <w:top w:val="outset" w:sz="4" w:space="0" w:color="auto"/>
                  <w:left w:val="outset" w:sz="4" w:space="0" w:color="auto"/>
                  <w:bottom w:val="outset" w:sz="4" w:space="0" w:color="auto"/>
                  <w:right w:val="outset" w:sz="4" w:space="0" w:color="auto"/>
                </w:tcBorders>
              </w:tcPr>
              <w:p w14:paraId="25EF1489"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5FF3811E" w14:textId="77777777" w:rsidR="00E57DAA" w:rsidRDefault="00AC4185">
                <w:pPr>
                  <w:jc w:val="right"/>
                  <w:rPr>
                    <w:szCs w:val="21"/>
                  </w:rPr>
                </w:pPr>
                <w:r>
                  <w:t>2,056,293,632.22</w:t>
                </w:r>
              </w:p>
            </w:tc>
            <w:tc>
              <w:tcPr>
                <w:tcW w:w="1196" w:type="pct"/>
                <w:tcBorders>
                  <w:top w:val="outset" w:sz="4" w:space="0" w:color="auto"/>
                  <w:left w:val="outset" w:sz="4" w:space="0" w:color="auto"/>
                  <w:bottom w:val="outset" w:sz="4" w:space="0" w:color="auto"/>
                  <w:right w:val="outset" w:sz="4" w:space="0" w:color="auto"/>
                </w:tcBorders>
                <w:vAlign w:val="center"/>
              </w:tcPr>
              <w:p w14:paraId="1BAD4254" w14:textId="77777777" w:rsidR="00E57DAA" w:rsidRDefault="00AC4185">
                <w:pPr>
                  <w:tabs>
                    <w:tab w:val="center" w:pos="989"/>
                    <w:tab w:val="right" w:pos="1979"/>
                  </w:tabs>
                  <w:jc w:val="right"/>
                  <w:rPr>
                    <w:szCs w:val="21"/>
                  </w:rPr>
                </w:pPr>
                <w:r>
                  <w:t>5,490,188,216.55</w:t>
                </w:r>
              </w:p>
            </w:tc>
          </w:tr>
          <w:tr w:rsidR="00E57DAA" w14:paraId="6835F1A6" w14:textId="77777777">
            <w:tc>
              <w:tcPr>
                <w:tcW w:w="2253" w:type="pct"/>
                <w:tcBorders>
                  <w:top w:val="outset" w:sz="4" w:space="0" w:color="auto"/>
                  <w:left w:val="outset" w:sz="4" w:space="0" w:color="auto"/>
                  <w:bottom w:val="outset" w:sz="4" w:space="0" w:color="auto"/>
                  <w:right w:val="outset" w:sz="4" w:space="0" w:color="auto"/>
                </w:tcBorders>
              </w:tcPr>
              <w:p w14:paraId="18B8C4E7" w14:textId="77777777" w:rsidR="00E57DAA" w:rsidRDefault="00AC4185">
                <w:pPr>
                  <w:ind w:firstLineChars="100" w:firstLine="210"/>
                  <w:rPr>
                    <w:szCs w:val="21"/>
                  </w:rPr>
                </w:pPr>
                <w:r>
                  <w:rPr>
                    <w:rFonts w:hint="eastAsia"/>
                    <w:szCs w:val="21"/>
                  </w:rPr>
                  <w:t>偿还债务支付的现金</w:t>
                </w:r>
              </w:p>
            </w:tc>
            <w:tc>
              <w:tcPr>
                <w:tcW w:w="395" w:type="pct"/>
                <w:tcBorders>
                  <w:top w:val="outset" w:sz="4" w:space="0" w:color="auto"/>
                  <w:left w:val="outset" w:sz="4" w:space="0" w:color="auto"/>
                  <w:bottom w:val="outset" w:sz="4" w:space="0" w:color="auto"/>
                  <w:right w:val="outset" w:sz="4" w:space="0" w:color="auto"/>
                </w:tcBorders>
              </w:tcPr>
              <w:p w14:paraId="0366925C"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1098EFE" w14:textId="77777777" w:rsidR="00E57DAA" w:rsidRDefault="00AC4185">
                <w:pPr>
                  <w:jc w:val="right"/>
                  <w:rPr>
                    <w:szCs w:val="21"/>
                  </w:rPr>
                </w:pPr>
                <w:r>
                  <w:t>2,288,400,000.00</w:t>
                </w:r>
              </w:p>
            </w:tc>
            <w:tc>
              <w:tcPr>
                <w:tcW w:w="1196" w:type="pct"/>
                <w:tcBorders>
                  <w:top w:val="outset" w:sz="4" w:space="0" w:color="auto"/>
                  <w:left w:val="outset" w:sz="4" w:space="0" w:color="auto"/>
                  <w:bottom w:val="outset" w:sz="4" w:space="0" w:color="auto"/>
                  <w:right w:val="outset" w:sz="4" w:space="0" w:color="auto"/>
                </w:tcBorders>
                <w:vAlign w:val="center"/>
              </w:tcPr>
              <w:p w14:paraId="36BF6943" w14:textId="77777777" w:rsidR="00E57DAA" w:rsidRDefault="00AC4185">
                <w:pPr>
                  <w:jc w:val="right"/>
                  <w:rPr>
                    <w:szCs w:val="21"/>
                  </w:rPr>
                </w:pPr>
                <w:r>
                  <w:t>4,999,650,305.70</w:t>
                </w:r>
              </w:p>
            </w:tc>
          </w:tr>
          <w:tr w:rsidR="00E57DAA" w14:paraId="123C95DD" w14:textId="77777777">
            <w:tc>
              <w:tcPr>
                <w:tcW w:w="2253" w:type="pct"/>
                <w:tcBorders>
                  <w:top w:val="outset" w:sz="4" w:space="0" w:color="auto"/>
                  <w:left w:val="outset" w:sz="4" w:space="0" w:color="auto"/>
                  <w:bottom w:val="outset" w:sz="4" w:space="0" w:color="auto"/>
                  <w:right w:val="outset" w:sz="4" w:space="0" w:color="auto"/>
                </w:tcBorders>
              </w:tcPr>
              <w:p w14:paraId="788463FD" w14:textId="77777777" w:rsidR="00E57DAA" w:rsidRDefault="00AC4185">
                <w:pPr>
                  <w:ind w:firstLineChars="100" w:firstLine="210"/>
                  <w:rPr>
                    <w:szCs w:val="21"/>
                  </w:rPr>
                </w:pPr>
                <w:r>
                  <w:rPr>
                    <w:rFonts w:hint="eastAsia"/>
                    <w:szCs w:val="21"/>
                  </w:rPr>
                  <w:t>分配股利、利润或偿付利息支付的现金</w:t>
                </w:r>
              </w:p>
            </w:tc>
            <w:tc>
              <w:tcPr>
                <w:tcW w:w="395" w:type="pct"/>
                <w:tcBorders>
                  <w:top w:val="outset" w:sz="4" w:space="0" w:color="auto"/>
                  <w:left w:val="outset" w:sz="4" w:space="0" w:color="auto"/>
                  <w:bottom w:val="outset" w:sz="4" w:space="0" w:color="auto"/>
                  <w:right w:val="outset" w:sz="4" w:space="0" w:color="auto"/>
                </w:tcBorders>
              </w:tcPr>
              <w:p w14:paraId="09FCD654"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43B6F9E8" w14:textId="77777777" w:rsidR="00E57DAA" w:rsidRDefault="00AC4185">
                <w:pPr>
                  <w:jc w:val="right"/>
                  <w:rPr>
                    <w:szCs w:val="21"/>
                  </w:rPr>
                </w:pPr>
                <w:r>
                  <w:t>920,873,678.49</w:t>
                </w:r>
              </w:p>
            </w:tc>
            <w:tc>
              <w:tcPr>
                <w:tcW w:w="1196" w:type="pct"/>
                <w:tcBorders>
                  <w:top w:val="outset" w:sz="4" w:space="0" w:color="auto"/>
                  <w:left w:val="outset" w:sz="4" w:space="0" w:color="auto"/>
                  <w:bottom w:val="outset" w:sz="4" w:space="0" w:color="auto"/>
                  <w:right w:val="outset" w:sz="4" w:space="0" w:color="auto"/>
                </w:tcBorders>
                <w:vAlign w:val="center"/>
              </w:tcPr>
              <w:p w14:paraId="5D9E0542" w14:textId="77777777" w:rsidR="00E57DAA" w:rsidRDefault="00AC4185">
                <w:pPr>
                  <w:jc w:val="right"/>
                  <w:rPr>
                    <w:szCs w:val="21"/>
                  </w:rPr>
                </w:pPr>
                <w:r>
                  <w:t>556,176,547.09</w:t>
                </w:r>
              </w:p>
            </w:tc>
          </w:tr>
          <w:tr w:rsidR="00E57DAA" w14:paraId="70EDF970" w14:textId="77777777">
            <w:tc>
              <w:tcPr>
                <w:tcW w:w="2253" w:type="pct"/>
                <w:tcBorders>
                  <w:top w:val="outset" w:sz="4" w:space="0" w:color="auto"/>
                  <w:left w:val="outset" w:sz="4" w:space="0" w:color="auto"/>
                  <w:bottom w:val="outset" w:sz="4" w:space="0" w:color="auto"/>
                  <w:right w:val="outset" w:sz="4" w:space="0" w:color="auto"/>
                </w:tcBorders>
              </w:tcPr>
              <w:p w14:paraId="394DED71" w14:textId="77777777" w:rsidR="00E57DAA" w:rsidRDefault="00AC4185">
                <w:pPr>
                  <w:ind w:firstLineChars="100" w:firstLine="210"/>
                  <w:rPr>
                    <w:color w:val="000000"/>
                    <w:szCs w:val="21"/>
                  </w:rPr>
                </w:pPr>
                <w:r>
                  <w:rPr>
                    <w:rFonts w:hint="eastAsia"/>
                    <w:szCs w:val="21"/>
                  </w:rPr>
                  <w:t>支付其他与筹资活动有关的现金</w:t>
                </w:r>
              </w:p>
            </w:tc>
            <w:tc>
              <w:tcPr>
                <w:tcW w:w="395" w:type="pct"/>
                <w:tcBorders>
                  <w:top w:val="outset" w:sz="4" w:space="0" w:color="auto"/>
                  <w:left w:val="outset" w:sz="4" w:space="0" w:color="auto"/>
                  <w:bottom w:val="outset" w:sz="4" w:space="0" w:color="auto"/>
                  <w:right w:val="outset" w:sz="4" w:space="0" w:color="auto"/>
                </w:tcBorders>
              </w:tcPr>
              <w:p w14:paraId="7D9ADDB1"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3937C0BE" w14:textId="77777777" w:rsidR="00E57DAA" w:rsidRDefault="00AC4185">
                <w:pPr>
                  <w:jc w:val="right"/>
                  <w:rPr>
                    <w:szCs w:val="21"/>
                  </w:rPr>
                </w:pPr>
                <w:r>
                  <w:t>2,400,247.98</w:t>
                </w:r>
              </w:p>
            </w:tc>
            <w:tc>
              <w:tcPr>
                <w:tcW w:w="1196" w:type="pct"/>
                <w:tcBorders>
                  <w:top w:val="outset" w:sz="4" w:space="0" w:color="auto"/>
                  <w:left w:val="outset" w:sz="4" w:space="0" w:color="auto"/>
                  <w:bottom w:val="outset" w:sz="4" w:space="0" w:color="auto"/>
                  <w:right w:val="outset" w:sz="4" w:space="0" w:color="auto"/>
                </w:tcBorders>
                <w:vAlign w:val="center"/>
              </w:tcPr>
              <w:p w14:paraId="2AEA132A" w14:textId="77777777" w:rsidR="00E57DAA" w:rsidRDefault="00AC4185">
                <w:pPr>
                  <w:jc w:val="right"/>
                  <w:rPr>
                    <w:szCs w:val="21"/>
                  </w:rPr>
                </w:pPr>
                <w:r>
                  <w:t>46,549.12</w:t>
                </w:r>
              </w:p>
            </w:tc>
          </w:tr>
          <w:tr w:rsidR="00E57DAA" w14:paraId="52B93614" w14:textId="77777777">
            <w:tc>
              <w:tcPr>
                <w:tcW w:w="2253" w:type="pct"/>
                <w:tcBorders>
                  <w:top w:val="outset" w:sz="4" w:space="0" w:color="auto"/>
                  <w:left w:val="outset" w:sz="4" w:space="0" w:color="auto"/>
                  <w:bottom w:val="outset" w:sz="4" w:space="0" w:color="auto"/>
                  <w:right w:val="outset" w:sz="4" w:space="0" w:color="auto"/>
                </w:tcBorders>
              </w:tcPr>
              <w:p w14:paraId="74872CF4" w14:textId="77777777" w:rsidR="00E57DAA" w:rsidRDefault="00AC4185">
                <w:pPr>
                  <w:ind w:firstLineChars="200" w:firstLine="420"/>
                  <w:rPr>
                    <w:color w:val="000000"/>
                    <w:szCs w:val="21"/>
                  </w:rPr>
                </w:pPr>
                <w:r>
                  <w:rPr>
                    <w:rFonts w:hint="eastAsia"/>
                    <w:szCs w:val="21"/>
                  </w:rPr>
                  <w:t>筹资活动现金流出小计</w:t>
                </w:r>
              </w:p>
            </w:tc>
            <w:tc>
              <w:tcPr>
                <w:tcW w:w="395" w:type="pct"/>
                <w:tcBorders>
                  <w:top w:val="outset" w:sz="4" w:space="0" w:color="auto"/>
                  <w:left w:val="outset" w:sz="4" w:space="0" w:color="auto"/>
                  <w:bottom w:val="outset" w:sz="4" w:space="0" w:color="auto"/>
                  <w:right w:val="outset" w:sz="4" w:space="0" w:color="auto"/>
                </w:tcBorders>
              </w:tcPr>
              <w:p w14:paraId="00D482CF"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73AADD8B" w14:textId="77777777" w:rsidR="00E57DAA" w:rsidRDefault="00AC4185">
                <w:pPr>
                  <w:jc w:val="right"/>
                  <w:rPr>
                    <w:szCs w:val="21"/>
                  </w:rPr>
                </w:pPr>
                <w:r>
                  <w:t>3,211,673,926.47</w:t>
                </w:r>
              </w:p>
            </w:tc>
            <w:tc>
              <w:tcPr>
                <w:tcW w:w="1196" w:type="pct"/>
                <w:tcBorders>
                  <w:top w:val="outset" w:sz="4" w:space="0" w:color="auto"/>
                  <w:left w:val="outset" w:sz="4" w:space="0" w:color="auto"/>
                  <w:bottom w:val="outset" w:sz="4" w:space="0" w:color="auto"/>
                  <w:right w:val="outset" w:sz="4" w:space="0" w:color="auto"/>
                </w:tcBorders>
                <w:vAlign w:val="center"/>
              </w:tcPr>
              <w:p w14:paraId="7D020CFD" w14:textId="77777777" w:rsidR="00E57DAA" w:rsidRDefault="00AC4185">
                <w:pPr>
                  <w:jc w:val="right"/>
                  <w:rPr>
                    <w:szCs w:val="21"/>
                  </w:rPr>
                </w:pPr>
                <w:r>
                  <w:t>5,555,873,401.91</w:t>
                </w:r>
              </w:p>
            </w:tc>
          </w:tr>
          <w:tr w:rsidR="00E57DAA" w14:paraId="083A133F" w14:textId="77777777">
            <w:tc>
              <w:tcPr>
                <w:tcW w:w="2253" w:type="pct"/>
                <w:tcBorders>
                  <w:top w:val="outset" w:sz="4" w:space="0" w:color="auto"/>
                  <w:left w:val="outset" w:sz="4" w:space="0" w:color="auto"/>
                  <w:bottom w:val="outset" w:sz="4" w:space="0" w:color="auto"/>
                  <w:right w:val="outset" w:sz="4" w:space="0" w:color="auto"/>
                </w:tcBorders>
              </w:tcPr>
              <w:p w14:paraId="265C73F6" w14:textId="77777777" w:rsidR="00E57DAA" w:rsidRDefault="00AC4185">
                <w:pPr>
                  <w:ind w:firstLineChars="300" w:firstLine="630"/>
                  <w:rPr>
                    <w:color w:val="000000"/>
                    <w:szCs w:val="21"/>
                  </w:rPr>
                </w:pPr>
                <w:r>
                  <w:rPr>
                    <w:rFonts w:hint="eastAsia"/>
                    <w:szCs w:val="21"/>
                  </w:rPr>
                  <w:t>筹资活动产生的现金流量净额</w:t>
                </w:r>
              </w:p>
            </w:tc>
            <w:tc>
              <w:tcPr>
                <w:tcW w:w="395" w:type="pct"/>
                <w:tcBorders>
                  <w:top w:val="outset" w:sz="4" w:space="0" w:color="auto"/>
                  <w:left w:val="outset" w:sz="4" w:space="0" w:color="auto"/>
                  <w:bottom w:val="outset" w:sz="4" w:space="0" w:color="auto"/>
                  <w:right w:val="outset" w:sz="4" w:space="0" w:color="auto"/>
                </w:tcBorders>
              </w:tcPr>
              <w:p w14:paraId="43D95DEA"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04F4A0AB" w14:textId="77777777" w:rsidR="00E57DAA" w:rsidRDefault="00AC4185">
                <w:pPr>
                  <w:jc w:val="right"/>
                  <w:rPr>
                    <w:szCs w:val="21"/>
                  </w:rPr>
                </w:pPr>
                <w:r>
                  <w:t>-1,155,380,294.25</w:t>
                </w:r>
              </w:p>
            </w:tc>
            <w:tc>
              <w:tcPr>
                <w:tcW w:w="1196" w:type="pct"/>
                <w:tcBorders>
                  <w:top w:val="outset" w:sz="4" w:space="0" w:color="auto"/>
                  <w:left w:val="outset" w:sz="4" w:space="0" w:color="auto"/>
                  <w:bottom w:val="outset" w:sz="4" w:space="0" w:color="auto"/>
                  <w:right w:val="outset" w:sz="4" w:space="0" w:color="auto"/>
                </w:tcBorders>
                <w:vAlign w:val="center"/>
              </w:tcPr>
              <w:p w14:paraId="37C47E9D" w14:textId="77777777" w:rsidR="00E57DAA" w:rsidRDefault="00AC4185">
                <w:pPr>
                  <w:jc w:val="right"/>
                  <w:rPr>
                    <w:szCs w:val="21"/>
                  </w:rPr>
                </w:pPr>
                <w:r>
                  <w:t>-65,685,185.36</w:t>
                </w:r>
              </w:p>
            </w:tc>
          </w:tr>
          <w:tr w:rsidR="00E57DAA" w14:paraId="6355F8E4" w14:textId="77777777">
            <w:tc>
              <w:tcPr>
                <w:tcW w:w="2253" w:type="pct"/>
                <w:tcBorders>
                  <w:top w:val="outset" w:sz="4" w:space="0" w:color="auto"/>
                  <w:left w:val="outset" w:sz="4" w:space="0" w:color="auto"/>
                  <w:bottom w:val="outset" w:sz="4" w:space="0" w:color="auto"/>
                  <w:right w:val="outset" w:sz="4" w:space="0" w:color="auto"/>
                </w:tcBorders>
              </w:tcPr>
              <w:p w14:paraId="370112EE" w14:textId="77777777" w:rsidR="00E57DAA" w:rsidRDefault="00AC4185">
                <w:pPr>
                  <w:rPr>
                    <w:color w:val="000000"/>
                    <w:szCs w:val="21"/>
                  </w:rPr>
                </w:pPr>
                <w:r>
                  <w:rPr>
                    <w:rFonts w:hint="eastAsia"/>
                    <w:b/>
                    <w:bCs/>
                    <w:szCs w:val="21"/>
                  </w:rPr>
                  <w:t>四、汇率变动对现金及现金等价物的影响</w:t>
                </w:r>
              </w:p>
            </w:tc>
            <w:tc>
              <w:tcPr>
                <w:tcW w:w="395" w:type="pct"/>
                <w:tcBorders>
                  <w:top w:val="outset" w:sz="4" w:space="0" w:color="auto"/>
                  <w:left w:val="outset" w:sz="4" w:space="0" w:color="auto"/>
                  <w:bottom w:val="outset" w:sz="4" w:space="0" w:color="auto"/>
                  <w:right w:val="outset" w:sz="4" w:space="0" w:color="auto"/>
                </w:tcBorders>
              </w:tcPr>
              <w:p w14:paraId="3F401365"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1834E8DA" w14:textId="77777777" w:rsidR="00E57DAA" w:rsidRDefault="00AC4185">
                <w:pPr>
                  <w:jc w:val="right"/>
                  <w:rPr>
                    <w:szCs w:val="21"/>
                  </w:rPr>
                </w:pPr>
                <w:r>
                  <w:t>-54,686,991.79</w:t>
                </w:r>
              </w:p>
            </w:tc>
            <w:tc>
              <w:tcPr>
                <w:tcW w:w="1196" w:type="pct"/>
                <w:tcBorders>
                  <w:top w:val="outset" w:sz="4" w:space="0" w:color="auto"/>
                  <w:left w:val="outset" w:sz="4" w:space="0" w:color="auto"/>
                  <w:bottom w:val="outset" w:sz="4" w:space="0" w:color="auto"/>
                  <w:right w:val="outset" w:sz="4" w:space="0" w:color="auto"/>
                </w:tcBorders>
                <w:vAlign w:val="center"/>
              </w:tcPr>
              <w:p w14:paraId="40D5C0E5" w14:textId="77777777" w:rsidR="00E57DAA" w:rsidRDefault="00AC4185">
                <w:pPr>
                  <w:jc w:val="right"/>
                  <w:rPr>
                    <w:szCs w:val="21"/>
                  </w:rPr>
                </w:pPr>
                <w:r>
                  <w:t>32,848,735.21</w:t>
                </w:r>
              </w:p>
            </w:tc>
          </w:tr>
          <w:tr w:rsidR="00E57DAA" w14:paraId="626678C1" w14:textId="77777777">
            <w:tc>
              <w:tcPr>
                <w:tcW w:w="2253" w:type="pct"/>
                <w:tcBorders>
                  <w:top w:val="outset" w:sz="4" w:space="0" w:color="auto"/>
                  <w:left w:val="outset" w:sz="4" w:space="0" w:color="auto"/>
                  <w:bottom w:val="outset" w:sz="4" w:space="0" w:color="auto"/>
                  <w:right w:val="outset" w:sz="4" w:space="0" w:color="auto"/>
                </w:tcBorders>
              </w:tcPr>
              <w:p w14:paraId="743A2BA6" w14:textId="77777777" w:rsidR="00E57DAA" w:rsidRDefault="00AC4185">
                <w:pPr>
                  <w:rPr>
                    <w:color w:val="000000"/>
                    <w:szCs w:val="21"/>
                  </w:rPr>
                </w:pPr>
                <w:r>
                  <w:rPr>
                    <w:rFonts w:hint="eastAsia"/>
                    <w:b/>
                    <w:bCs/>
                    <w:szCs w:val="21"/>
                  </w:rPr>
                  <w:t>五、现金及现金等价物净增加额</w:t>
                </w:r>
              </w:p>
            </w:tc>
            <w:tc>
              <w:tcPr>
                <w:tcW w:w="395" w:type="pct"/>
                <w:tcBorders>
                  <w:top w:val="outset" w:sz="4" w:space="0" w:color="auto"/>
                  <w:left w:val="outset" w:sz="4" w:space="0" w:color="auto"/>
                  <w:bottom w:val="outset" w:sz="4" w:space="0" w:color="auto"/>
                  <w:right w:val="outset" w:sz="4" w:space="0" w:color="auto"/>
                </w:tcBorders>
              </w:tcPr>
              <w:p w14:paraId="76A983ED"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6037086B" w14:textId="77777777" w:rsidR="00E57DAA" w:rsidRDefault="00AC4185">
                <w:pPr>
                  <w:jc w:val="right"/>
                  <w:rPr>
                    <w:szCs w:val="21"/>
                  </w:rPr>
                </w:pPr>
                <w:r>
                  <w:t>413,166,707.81</w:t>
                </w:r>
              </w:p>
            </w:tc>
            <w:tc>
              <w:tcPr>
                <w:tcW w:w="1196" w:type="pct"/>
                <w:tcBorders>
                  <w:top w:val="outset" w:sz="4" w:space="0" w:color="auto"/>
                  <w:left w:val="outset" w:sz="4" w:space="0" w:color="auto"/>
                  <w:bottom w:val="outset" w:sz="4" w:space="0" w:color="auto"/>
                  <w:right w:val="outset" w:sz="4" w:space="0" w:color="auto"/>
                </w:tcBorders>
                <w:vAlign w:val="center"/>
              </w:tcPr>
              <w:p w14:paraId="3A4ACB4F" w14:textId="77777777" w:rsidR="00E57DAA" w:rsidRDefault="00AC4185">
                <w:pPr>
                  <w:jc w:val="right"/>
                  <w:rPr>
                    <w:szCs w:val="21"/>
                  </w:rPr>
                </w:pPr>
                <w:r>
                  <w:t>-648,403,600.82</w:t>
                </w:r>
              </w:p>
            </w:tc>
          </w:tr>
          <w:tr w:rsidR="00E57DAA" w14:paraId="5308B541" w14:textId="77777777">
            <w:tc>
              <w:tcPr>
                <w:tcW w:w="2253" w:type="pct"/>
                <w:tcBorders>
                  <w:top w:val="outset" w:sz="4" w:space="0" w:color="auto"/>
                  <w:left w:val="outset" w:sz="4" w:space="0" w:color="auto"/>
                  <w:bottom w:val="outset" w:sz="4" w:space="0" w:color="auto"/>
                  <w:right w:val="outset" w:sz="4" w:space="0" w:color="auto"/>
                </w:tcBorders>
              </w:tcPr>
              <w:p w14:paraId="103362E7" w14:textId="77777777" w:rsidR="00E57DAA" w:rsidRDefault="00AC4185">
                <w:pPr>
                  <w:ind w:firstLineChars="100" w:firstLine="210"/>
                  <w:rPr>
                    <w:color w:val="000000"/>
                    <w:szCs w:val="21"/>
                  </w:rPr>
                </w:pPr>
                <w:r>
                  <w:rPr>
                    <w:rFonts w:hint="eastAsia"/>
                    <w:szCs w:val="21"/>
                  </w:rPr>
                  <w:t>加：期初现金及现金等价物余额</w:t>
                </w:r>
              </w:p>
            </w:tc>
            <w:tc>
              <w:tcPr>
                <w:tcW w:w="395" w:type="pct"/>
                <w:tcBorders>
                  <w:top w:val="outset" w:sz="4" w:space="0" w:color="auto"/>
                  <w:left w:val="outset" w:sz="4" w:space="0" w:color="auto"/>
                  <w:bottom w:val="outset" w:sz="4" w:space="0" w:color="auto"/>
                  <w:right w:val="outset" w:sz="4" w:space="0" w:color="auto"/>
                </w:tcBorders>
              </w:tcPr>
              <w:p w14:paraId="1E65E2C8"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45B9C23C" w14:textId="77777777" w:rsidR="00E57DAA" w:rsidRDefault="00AC4185">
                <w:pPr>
                  <w:jc w:val="right"/>
                  <w:rPr>
                    <w:szCs w:val="21"/>
                  </w:rPr>
                </w:pPr>
                <w:r>
                  <w:t>2,109,880,110.19</w:t>
                </w:r>
              </w:p>
            </w:tc>
            <w:tc>
              <w:tcPr>
                <w:tcW w:w="1196" w:type="pct"/>
                <w:tcBorders>
                  <w:top w:val="outset" w:sz="4" w:space="0" w:color="auto"/>
                  <w:left w:val="outset" w:sz="4" w:space="0" w:color="auto"/>
                  <w:bottom w:val="outset" w:sz="4" w:space="0" w:color="auto"/>
                  <w:right w:val="outset" w:sz="4" w:space="0" w:color="auto"/>
                </w:tcBorders>
                <w:vAlign w:val="center"/>
              </w:tcPr>
              <w:p w14:paraId="025D5EC1" w14:textId="77777777" w:rsidR="00E57DAA" w:rsidRDefault="00AC4185">
                <w:pPr>
                  <w:jc w:val="right"/>
                  <w:rPr>
                    <w:szCs w:val="21"/>
                  </w:rPr>
                </w:pPr>
                <w:r>
                  <w:t>2,758,283,711.01</w:t>
                </w:r>
              </w:p>
            </w:tc>
          </w:tr>
          <w:tr w:rsidR="00E57DAA" w14:paraId="1EA9DA64" w14:textId="77777777">
            <w:tc>
              <w:tcPr>
                <w:tcW w:w="2253" w:type="pct"/>
                <w:tcBorders>
                  <w:top w:val="outset" w:sz="4" w:space="0" w:color="auto"/>
                  <w:left w:val="outset" w:sz="4" w:space="0" w:color="auto"/>
                  <w:bottom w:val="outset" w:sz="4" w:space="0" w:color="auto"/>
                  <w:right w:val="outset" w:sz="4" w:space="0" w:color="auto"/>
                </w:tcBorders>
              </w:tcPr>
              <w:p w14:paraId="101E5FBA" w14:textId="77777777" w:rsidR="00E57DAA" w:rsidRDefault="00AC4185">
                <w:pPr>
                  <w:rPr>
                    <w:color w:val="000000"/>
                    <w:szCs w:val="21"/>
                  </w:rPr>
                </w:pPr>
                <w:r>
                  <w:rPr>
                    <w:rFonts w:hint="eastAsia"/>
                    <w:b/>
                    <w:bCs/>
                    <w:szCs w:val="21"/>
                  </w:rPr>
                  <w:t>六、期末现金及现金等价物余额</w:t>
                </w:r>
              </w:p>
            </w:tc>
            <w:tc>
              <w:tcPr>
                <w:tcW w:w="395" w:type="pct"/>
                <w:tcBorders>
                  <w:top w:val="outset" w:sz="4" w:space="0" w:color="auto"/>
                  <w:left w:val="outset" w:sz="4" w:space="0" w:color="auto"/>
                  <w:bottom w:val="outset" w:sz="4" w:space="0" w:color="auto"/>
                  <w:right w:val="outset" w:sz="4" w:space="0" w:color="auto"/>
                </w:tcBorders>
              </w:tcPr>
              <w:p w14:paraId="784B1645" w14:textId="77777777" w:rsidR="00E57DAA" w:rsidRDefault="00E57DAA">
                <w:pPr>
                  <w:rPr>
                    <w:szCs w:val="21"/>
                  </w:rPr>
                </w:pPr>
              </w:p>
            </w:tc>
            <w:tc>
              <w:tcPr>
                <w:tcW w:w="1156" w:type="pct"/>
                <w:tcBorders>
                  <w:top w:val="outset" w:sz="4" w:space="0" w:color="auto"/>
                  <w:left w:val="outset" w:sz="4" w:space="0" w:color="auto"/>
                  <w:bottom w:val="outset" w:sz="4" w:space="0" w:color="auto"/>
                  <w:right w:val="outset" w:sz="4" w:space="0" w:color="auto"/>
                </w:tcBorders>
                <w:vAlign w:val="center"/>
              </w:tcPr>
              <w:p w14:paraId="73A23BA4" w14:textId="77777777" w:rsidR="00E57DAA" w:rsidRDefault="00AC4185">
                <w:pPr>
                  <w:jc w:val="right"/>
                  <w:rPr>
                    <w:szCs w:val="21"/>
                  </w:rPr>
                </w:pPr>
                <w:r>
                  <w:t>2,523,046,818.00</w:t>
                </w:r>
              </w:p>
            </w:tc>
            <w:tc>
              <w:tcPr>
                <w:tcW w:w="1196" w:type="pct"/>
                <w:tcBorders>
                  <w:top w:val="outset" w:sz="4" w:space="0" w:color="auto"/>
                  <w:left w:val="outset" w:sz="4" w:space="0" w:color="auto"/>
                  <w:bottom w:val="outset" w:sz="4" w:space="0" w:color="auto"/>
                  <w:right w:val="outset" w:sz="4" w:space="0" w:color="auto"/>
                </w:tcBorders>
                <w:vAlign w:val="center"/>
              </w:tcPr>
              <w:p w14:paraId="31D6F60B" w14:textId="77777777" w:rsidR="00E57DAA" w:rsidRDefault="00AC4185">
                <w:pPr>
                  <w:jc w:val="right"/>
                  <w:rPr>
                    <w:szCs w:val="21"/>
                  </w:rPr>
                </w:pPr>
                <w:r>
                  <w:t>2,109,880,110.19</w:t>
                </w:r>
              </w:p>
            </w:tc>
          </w:tr>
        </w:tbl>
        <w:p w14:paraId="752BF25C" w14:textId="77777777" w:rsidR="00E57DAA" w:rsidRDefault="00AC4185">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287353765"/>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923322280"/>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947075776"/>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bookmarkEnd w:id="165"/>
    <w:p w14:paraId="31FDB0EE" w14:textId="77777777" w:rsidR="00E57DAA" w:rsidRDefault="00E57DAA">
      <w:pPr>
        <w:snapToGrid w:val="0"/>
        <w:spacing w:line="240" w:lineRule="atLeast"/>
        <w:ind w:rightChars="-73" w:right="-153"/>
        <w:rPr>
          <w:szCs w:val="21"/>
        </w:rPr>
        <w:sectPr w:rsidR="00E57DAA" w:rsidSect="00226547">
          <w:pgSz w:w="11906" w:h="16838"/>
          <w:pgMar w:top="1525" w:right="1276" w:bottom="1440" w:left="1797" w:header="856" w:footer="992" w:gutter="0"/>
          <w:cols w:space="425"/>
          <w:docGrid w:linePitch="312"/>
        </w:sectPr>
      </w:pPr>
    </w:p>
    <w:p w14:paraId="6C795786" w14:textId="77777777" w:rsidR="00E57DAA" w:rsidRDefault="00E57DAA">
      <w:pPr>
        <w:tabs>
          <w:tab w:val="left" w:pos="10080"/>
        </w:tabs>
        <w:snapToGrid w:val="0"/>
        <w:spacing w:line="240" w:lineRule="atLeast"/>
        <w:ind w:rightChars="12" w:right="25"/>
        <w:jc w:val="center"/>
        <w:rPr>
          <w:b/>
          <w:szCs w:val="21"/>
        </w:rPr>
      </w:pPr>
    </w:p>
    <w:bookmarkStart w:id="166" w:name="_Hlk533930052" w:displacedByCustomXml="next"/>
    <w:sdt>
      <w:sdtPr>
        <w:rPr>
          <w:b/>
          <w:szCs w:val="21"/>
        </w:rPr>
        <w:tag w:val="_GBC_3eeab460b9b64d53b91f5e0ddcd3030f"/>
        <w:id w:val="1093588997"/>
        <w:placeholder>
          <w:docPart w:val="GBC22222222222222222222222222222"/>
        </w:placeholder>
      </w:sdtPr>
      <w:sdtEndPr>
        <w:rPr>
          <w:rFonts w:hint="eastAsia"/>
          <w:b w:val="0"/>
        </w:rPr>
      </w:sdtEndPr>
      <w:sdtContent>
        <w:p w14:paraId="061FB14F" w14:textId="77777777" w:rsidR="00E57DAA" w:rsidRDefault="00AC4185">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08E1E078" w14:textId="77777777" w:rsidR="00E57DAA" w:rsidRDefault="00AC4185">
          <w:pPr>
            <w:tabs>
              <w:tab w:val="left" w:pos="10080"/>
            </w:tabs>
            <w:snapToGrid w:val="0"/>
            <w:spacing w:line="240" w:lineRule="atLeast"/>
            <w:ind w:rightChars="12" w:right="25"/>
            <w:jc w:val="center"/>
            <w:rPr>
              <w:szCs w:val="21"/>
            </w:rPr>
          </w:pPr>
          <w:r>
            <w:rPr>
              <w:szCs w:val="21"/>
            </w:rPr>
            <w:t>2023年</w:t>
          </w:r>
          <w:r>
            <w:rPr>
              <w:rFonts w:hint="eastAsia"/>
              <w:szCs w:val="21"/>
            </w:rPr>
            <w:t>1—12月</w:t>
          </w:r>
        </w:p>
        <w:p w14:paraId="5C6D1AFB" w14:textId="77777777" w:rsidR="00E57DAA" w:rsidRDefault="00AC4185">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0071348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股东权益调节表"/>
              <w:tag w:val="_GBC_cef77704267643d794145c73763360e5"/>
              <w:id w:val="4852958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1096"/>
            <w:gridCol w:w="326"/>
            <w:gridCol w:w="326"/>
            <w:gridCol w:w="326"/>
            <w:gridCol w:w="1191"/>
            <w:gridCol w:w="987"/>
            <w:gridCol w:w="987"/>
            <w:gridCol w:w="987"/>
            <w:gridCol w:w="1096"/>
            <w:gridCol w:w="327"/>
            <w:gridCol w:w="1151"/>
            <w:gridCol w:w="335"/>
            <w:gridCol w:w="1151"/>
            <w:gridCol w:w="1096"/>
            <w:gridCol w:w="1151"/>
          </w:tblGrid>
          <w:tr w:rsidR="00E57DAA" w14:paraId="28506731" w14:textId="77777777">
            <w:trPr>
              <w:cantSplit/>
            </w:trPr>
            <w:tc>
              <w:tcPr>
                <w:tcW w:w="480" w:type="pct"/>
                <w:vMerge w:val="restart"/>
                <w:vAlign w:val="center"/>
              </w:tcPr>
              <w:sdt>
                <w:sdtPr>
                  <w:rPr>
                    <w:rFonts w:hint="eastAsia"/>
                    <w:sz w:val="11"/>
                    <w:szCs w:val="11"/>
                  </w:rPr>
                  <w:tag w:val="_PLD_245a9e71ca1b403fad3a821efeb272de"/>
                  <w:id w:val="-211501466"/>
                </w:sdtPr>
                <w:sdtEndPr/>
                <w:sdtContent>
                  <w:p w14:paraId="60B102A5" w14:textId="77777777" w:rsidR="00E57DAA" w:rsidRDefault="00AC4185">
                    <w:pPr>
                      <w:snapToGrid w:val="0"/>
                      <w:spacing w:line="240" w:lineRule="atLeast"/>
                      <w:jc w:val="center"/>
                      <w:rPr>
                        <w:sz w:val="11"/>
                        <w:szCs w:val="11"/>
                      </w:rPr>
                    </w:pPr>
                    <w:r>
                      <w:rPr>
                        <w:rFonts w:hint="eastAsia"/>
                        <w:sz w:val="11"/>
                        <w:szCs w:val="11"/>
                      </w:rPr>
                      <w:t>项目</w:t>
                    </w:r>
                  </w:p>
                </w:sdtContent>
              </w:sdt>
            </w:tc>
            <w:tc>
              <w:tcPr>
                <w:tcW w:w="4520" w:type="pct"/>
                <w:gridSpan w:val="15"/>
                <w:vAlign w:val="center"/>
              </w:tcPr>
              <w:p w14:paraId="01BF70A0" w14:textId="77777777" w:rsidR="00E57DAA" w:rsidRDefault="00AC4185">
                <w:pPr>
                  <w:snapToGrid w:val="0"/>
                  <w:spacing w:line="240" w:lineRule="atLeast"/>
                  <w:ind w:rightChars="-759" w:right="-1594"/>
                  <w:jc w:val="center"/>
                  <w:rPr>
                    <w:sz w:val="11"/>
                    <w:szCs w:val="11"/>
                  </w:rPr>
                </w:pPr>
                <w:r>
                  <w:rPr>
                    <w:rFonts w:hint="eastAsia"/>
                    <w:sz w:val="11"/>
                    <w:szCs w:val="11"/>
                  </w:rPr>
                  <w:t xml:space="preserve"> </w:t>
                </w:r>
                <w:sdt>
                  <w:sdtPr>
                    <w:rPr>
                      <w:rFonts w:hint="eastAsia"/>
                      <w:sz w:val="11"/>
                      <w:szCs w:val="11"/>
                    </w:rPr>
                    <w:tag w:val="_PLD_74b2c30f72fb403387c8b0e2a353f994"/>
                    <w:id w:val="-1264224462"/>
                  </w:sdtPr>
                  <w:sdtEndPr/>
                  <w:sdtContent>
                    <w:r>
                      <w:rPr>
                        <w:rFonts w:hint="eastAsia"/>
                        <w:sz w:val="11"/>
                        <w:szCs w:val="11"/>
                      </w:rPr>
                      <w:t>2023年度</w:t>
                    </w:r>
                  </w:sdtContent>
                </w:sdt>
              </w:p>
            </w:tc>
          </w:tr>
          <w:tr w:rsidR="00E57DAA" w14:paraId="14D15700" w14:textId="77777777">
            <w:trPr>
              <w:cantSplit/>
              <w:trHeight w:val="540"/>
            </w:trPr>
            <w:tc>
              <w:tcPr>
                <w:tcW w:w="480" w:type="pct"/>
                <w:vMerge/>
              </w:tcPr>
              <w:p w14:paraId="2F939E11" w14:textId="77777777" w:rsidR="00E57DAA" w:rsidRDefault="00E57DAA">
                <w:pPr>
                  <w:snapToGrid w:val="0"/>
                  <w:spacing w:line="240" w:lineRule="atLeast"/>
                  <w:ind w:rightChars="-759" w:right="-1594"/>
                  <w:rPr>
                    <w:sz w:val="11"/>
                    <w:szCs w:val="11"/>
                  </w:rPr>
                </w:pPr>
              </w:p>
            </w:tc>
            <w:sdt>
              <w:sdtPr>
                <w:rPr>
                  <w:sz w:val="11"/>
                  <w:szCs w:val="11"/>
                </w:rPr>
                <w:tag w:val="_PLD_48b1c4daa55343f0a820ecc94c441958"/>
                <w:id w:val="182027111"/>
              </w:sdtPr>
              <w:sdtEndPr/>
              <w:sdtContent>
                <w:tc>
                  <w:tcPr>
                    <w:tcW w:w="3710" w:type="pct"/>
                    <w:gridSpan w:val="13"/>
                    <w:vAlign w:val="center"/>
                  </w:tcPr>
                  <w:p w14:paraId="4D23C5CC" w14:textId="77777777" w:rsidR="00E57DAA" w:rsidRDefault="00AC4185">
                    <w:pPr>
                      <w:jc w:val="center"/>
                      <w:rPr>
                        <w:sz w:val="11"/>
                        <w:szCs w:val="11"/>
                      </w:rPr>
                    </w:pPr>
                    <w:r>
                      <w:rPr>
                        <w:sz w:val="11"/>
                        <w:szCs w:val="11"/>
                      </w:rPr>
                      <w:t>归属于母公司所有者权益</w:t>
                    </w:r>
                  </w:p>
                </w:tc>
              </w:sdtContent>
            </w:sdt>
            <w:sdt>
              <w:sdtPr>
                <w:rPr>
                  <w:sz w:val="11"/>
                  <w:szCs w:val="11"/>
                </w:rPr>
                <w:tag w:val="_PLD_de4010a56d78401ebd4bb48e62167082"/>
                <w:id w:val="1492907320"/>
              </w:sdtPr>
              <w:sdtEndPr/>
              <w:sdtContent>
                <w:tc>
                  <w:tcPr>
                    <w:tcW w:w="395" w:type="pct"/>
                    <w:vMerge w:val="restart"/>
                    <w:vAlign w:val="center"/>
                  </w:tcPr>
                  <w:p w14:paraId="7067F1DB" w14:textId="77777777" w:rsidR="00E57DAA" w:rsidRDefault="00AC4185">
                    <w:pPr>
                      <w:jc w:val="center"/>
                      <w:rPr>
                        <w:sz w:val="11"/>
                        <w:szCs w:val="11"/>
                      </w:rPr>
                    </w:pPr>
                    <w:r>
                      <w:rPr>
                        <w:sz w:val="11"/>
                        <w:szCs w:val="11"/>
                      </w:rPr>
                      <w:t>少数股东权益</w:t>
                    </w:r>
                  </w:p>
                </w:tc>
              </w:sdtContent>
            </w:sdt>
            <w:sdt>
              <w:sdtPr>
                <w:rPr>
                  <w:sz w:val="11"/>
                  <w:szCs w:val="11"/>
                </w:rPr>
                <w:tag w:val="_PLD_ff9bc6143ed9429e80e1ed144f5ff16d"/>
                <w:id w:val="-569049451"/>
              </w:sdtPr>
              <w:sdtEndPr/>
              <w:sdtContent>
                <w:tc>
                  <w:tcPr>
                    <w:tcW w:w="415" w:type="pct"/>
                    <w:vMerge w:val="restart"/>
                    <w:vAlign w:val="center"/>
                  </w:tcPr>
                  <w:p w14:paraId="5EB65B16" w14:textId="77777777" w:rsidR="00E57DAA" w:rsidRDefault="00AC4185">
                    <w:pPr>
                      <w:jc w:val="center"/>
                      <w:rPr>
                        <w:sz w:val="11"/>
                        <w:szCs w:val="11"/>
                      </w:rPr>
                    </w:pPr>
                    <w:r>
                      <w:rPr>
                        <w:sz w:val="11"/>
                        <w:szCs w:val="11"/>
                      </w:rPr>
                      <w:t>所有者权益合计</w:t>
                    </w:r>
                  </w:p>
                </w:tc>
              </w:sdtContent>
            </w:sdt>
          </w:tr>
          <w:tr w:rsidR="00E57DAA" w14:paraId="335E788B" w14:textId="77777777">
            <w:trPr>
              <w:cantSplit/>
              <w:trHeight w:val="352"/>
            </w:trPr>
            <w:tc>
              <w:tcPr>
                <w:tcW w:w="480" w:type="pct"/>
                <w:vMerge/>
              </w:tcPr>
              <w:p w14:paraId="3E036614" w14:textId="77777777" w:rsidR="00E57DAA" w:rsidRDefault="00E57DAA">
                <w:pPr>
                  <w:snapToGrid w:val="0"/>
                  <w:spacing w:line="240" w:lineRule="atLeast"/>
                  <w:ind w:rightChars="-759" w:right="-1594"/>
                  <w:rPr>
                    <w:sz w:val="11"/>
                    <w:szCs w:val="11"/>
                  </w:rPr>
                </w:pPr>
              </w:p>
            </w:tc>
            <w:sdt>
              <w:sdtPr>
                <w:rPr>
                  <w:sz w:val="11"/>
                  <w:szCs w:val="11"/>
                </w:rPr>
                <w:tag w:val="_PLD_2a43f0f223d141f0855f6cbb9e60b12f"/>
                <w:id w:val="-84689555"/>
              </w:sdtPr>
              <w:sdtEndPr/>
              <w:sdtContent>
                <w:tc>
                  <w:tcPr>
                    <w:tcW w:w="395" w:type="pct"/>
                    <w:vMerge w:val="restart"/>
                    <w:vAlign w:val="center"/>
                  </w:tcPr>
                  <w:p w14:paraId="236FE742" w14:textId="77777777" w:rsidR="00E57DAA" w:rsidRDefault="00AC4185">
                    <w:pPr>
                      <w:snapToGrid w:val="0"/>
                      <w:spacing w:line="240" w:lineRule="atLeast"/>
                      <w:jc w:val="center"/>
                      <w:rPr>
                        <w:sz w:val="11"/>
                        <w:szCs w:val="11"/>
                      </w:rPr>
                    </w:pPr>
                    <w:r>
                      <w:rPr>
                        <w:rFonts w:hint="eastAsia"/>
                        <w:sz w:val="11"/>
                        <w:szCs w:val="11"/>
                      </w:rPr>
                      <w:t>实收资本(或股本)</w:t>
                    </w:r>
                  </w:p>
                </w:tc>
              </w:sdtContent>
            </w:sdt>
            <w:sdt>
              <w:sdtPr>
                <w:rPr>
                  <w:sz w:val="11"/>
                  <w:szCs w:val="11"/>
                </w:rPr>
                <w:tag w:val="_PLD_39cb94703877409e9e50d4bf964d43e4"/>
                <w:id w:val="1440875771"/>
              </w:sdtPr>
              <w:sdtEndPr/>
              <w:sdtContent>
                <w:tc>
                  <w:tcPr>
                    <w:tcW w:w="353" w:type="pct"/>
                    <w:gridSpan w:val="3"/>
                    <w:vAlign w:val="center"/>
                  </w:tcPr>
                  <w:p w14:paraId="17078839" w14:textId="77777777" w:rsidR="00E57DAA" w:rsidRDefault="00AC4185">
                    <w:pPr>
                      <w:snapToGrid w:val="0"/>
                      <w:spacing w:line="240" w:lineRule="atLeast"/>
                      <w:jc w:val="center"/>
                      <w:rPr>
                        <w:sz w:val="11"/>
                        <w:szCs w:val="11"/>
                      </w:rPr>
                    </w:pPr>
                    <w:r>
                      <w:rPr>
                        <w:rFonts w:hint="eastAsia"/>
                        <w:sz w:val="11"/>
                        <w:szCs w:val="11"/>
                      </w:rPr>
                      <w:t>其他权益工具</w:t>
                    </w:r>
                  </w:p>
                </w:tc>
              </w:sdtContent>
            </w:sdt>
            <w:sdt>
              <w:sdtPr>
                <w:rPr>
                  <w:sz w:val="11"/>
                  <w:szCs w:val="11"/>
                </w:rPr>
                <w:tag w:val="_PLD_0a2a84969d8f4cc5ab2f59451a4cf45c"/>
                <w:id w:val="1637220524"/>
              </w:sdtPr>
              <w:sdtEndPr/>
              <w:sdtContent>
                <w:tc>
                  <w:tcPr>
                    <w:tcW w:w="430" w:type="pct"/>
                    <w:vMerge w:val="restart"/>
                    <w:vAlign w:val="center"/>
                  </w:tcPr>
                  <w:p w14:paraId="1701C3DB" w14:textId="77777777" w:rsidR="00E57DAA" w:rsidRDefault="00AC4185">
                    <w:pPr>
                      <w:snapToGrid w:val="0"/>
                      <w:spacing w:line="240" w:lineRule="atLeast"/>
                      <w:jc w:val="center"/>
                      <w:rPr>
                        <w:sz w:val="11"/>
                        <w:szCs w:val="11"/>
                      </w:rPr>
                    </w:pPr>
                    <w:r>
                      <w:rPr>
                        <w:rFonts w:hint="eastAsia"/>
                        <w:sz w:val="11"/>
                        <w:szCs w:val="11"/>
                      </w:rPr>
                      <w:t>资本公积</w:t>
                    </w:r>
                  </w:p>
                </w:tc>
              </w:sdtContent>
            </w:sdt>
            <w:sdt>
              <w:sdtPr>
                <w:rPr>
                  <w:sz w:val="11"/>
                  <w:szCs w:val="11"/>
                </w:rPr>
                <w:tag w:val="_PLD_3eb4af6d758d4787987e21e90e79351d"/>
                <w:id w:val="97836664"/>
              </w:sdtPr>
              <w:sdtEndPr/>
              <w:sdtContent>
                <w:tc>
                  <w:tcPr>
                    <w:tcW w:w="356" w:type="pct"/>
                    <w:vMerge w:val="restart"/>
                    <w:vAlign w:val="center"/>
                  </w:tcPr>
                  <w:p w14:paraId="39C37789" w14:textId="77777777" w:rsidR="00E57DAA" w:rsidRDefault="00AC4185">
                    <w:pPr>
                      <w:snapToGrid w:val="0"/>
                      <w:spacing w:line="240" w:lineRule="atLeast"/>
                      <w:jc w:val="center"/>
                      <w:rPr>
                        <w:sz w:val="11"/>
                        <w:szCs w:val="11"/>
                      </w:rPr>
                    </w:pPr>
                    <w:r>
                      <w:rPr>
                        <w:rFonts w:hint="eastAsia"/>
                        <w:sz w:val="11"/>
                        <w:szCs w:val="11"/>
                      </w:rPr>
                      <w:t>减：库存股</w:t>
                    </w:r>
                  </w:p>
                </w:tc>
              </w:sdtContent>
            </w:sdt>
            <w:sdt>
              <w:sdtPr>
                <w:rPr>
                  <w:sz w:val="11"/>
                  <w:szCs w:val="11"/>
                </w:rPr>
                <w:tag w:val="_PLD_63b36aa6d5e74a289a4f2e40e95da929"/>
                <w:id w:val="253861790"/>
              </w:sdtPr>
              <w:sdtEndPr/>
              <w:sdtContent>
                <w:tc>
                  <w:tcPr>
                    <w:tcW w:w="356" w:type="pct"/>
                    <w:vMerge w:val="restart"/>
                    <w:vAlign w:val="center"/>
                  </w:tcPr>
                  <w:p w14:paraId="1ACD877B" w14:textId="77777777" w:rsidR="00E57DAA" w:rsidRDefault="00AC4185">
                    <w:pPr>
                      <w:snapToGrid w:val="0"/>
                      <w:spacing w:line="240" w:lineRule="atLeast"/>
                      <w:jc w:val="center"/>
                      <w:rPr>
                        <w:sz w:val="11"/>
                        <w:szCs w:val="11"/>
                      </w:rPr>
                    </w:pPr>
                    <w:r>
                      <w:rPr>
                        <w:rFonts w:hint="eastAsia"/>
                        <w:sz w:val="11"/>
                        <w:szCs w:val="11"/>
                      </w:rPr>
                      <w:t>其他综合收益</w:t>
                    </w:r>
                  </w:p>
                </w:tc>
              </w:sdtContent>
            </w:sdt>
            <w:sdt>
              <w:sdtPr>
                <w:rPr>
                  <w:sz w:val="11"/>
                  <w:szCs w:val="11"/>
                </w:rPr>
                <w:tag w:val="_PLD_1560331b8c2f411cb5a844cb35b3d2b6"/>
                <w:id w:val="-1003272534"/>
              </w:sdtPr>
              <w:sdtEndPr/>
              <w:sdtContent>
                <w:tc>
                  <w:tcPr>
                    <w:tcW w:w="356" w:type="pct"/>
                    <w:vMerge w:val="restart"/>
                    <w:vAlign w:val="center"/>
                  </w:tcPr>
                  <w:p w14:paraId="59D342D0" w14:textId="77777777" w:rsidR="00E57DAA" w:rsidRDefault="00AC4185">
                    <w:pPr>
                      <w:snapToGrid w:val="0"/>
                      <w:spacing w:line="240" w:lineRule="atLeast"/>
                      <w:jc w:val="center"/>
                      <w:rPr>
                        <w:sz w:val="11"/>
                        <w:szCs w:val="11"/>
                      </w:rPr>
                    </w:pPr>
                    <w:r>
                      <w:rPr>
                        <w:rFonts w:hint="eastAsia"/>
                        <w:sz w:val="11"/>
                        <w:szCs w:val="11"/>
                      </w:rPr>
                      <w:t>专项储备</w:t>
                    </w:r>
                  </w:p>
                </w:tc>
              </w:sdtContent>
            </w:sdt>
            <w:sdt>
              <w:sdtPr>
                <w:rPr>
                  <w:sz w:val="11"/>
                  <w:szCs w:val="11"/>
                </w:rPr>
                <w:tag w:val="_PLD_6f43f79cacca48dca49685537156084f"/>
                <w:id w:val="1281074272"/>
              </w:sdtPr>
              <w:sdtEndPr/>
              <w:sdtContent>
                <w:tc>
                  <w:tcPr>
                    <w:tcW w:w="395" w:type="pct"/>
                    <w:vMerge w:val="restart"/>
                    <w:vAlign w:val="center"/>
                  </w:tcPr>
                  <w:p w14:paraId="18B70A32" w14:textId="77777777" w:rsidR="00E57DAA" w:rsidRDefault="00AC4185">
                    <w:pPr>
                      <w:snapToGrid w:val="0"/>
                      <w:spacing w:line="240" w:lineRule="atLeast"/>
                      <w:jc w:val="center"/>
                      <w:rPr>
                        <w:sz w:val="11"/>
                        <w:szCs w:val="11"/>
                      </w:rPr>
                    </w:pPr>
                    <w:r>
                      <w:rPr>
                        <w:rFonts w:hint="eastAsia"/>
                        <w:sz w:val="11"/>
                        <w:szCs w:val="11"/>
                      </w:rPr>
                      <w:t>盈余公积</w:t>
                    </w:r>
                  </w:p>
                </w:tc>
              </w:sdtContent>
            </w:sdt>
            <w:sdt>
              <w:sdtPr>
                <w:rPr>
                  <w:sz w:val="11"/>
                  <w:szCs w:val="11"/>
                </w:rPr>
                <w:tag w:val="_PLD_56a430dce9564c199812862caead59b2"/>
                <w:id w:val="1610004011"/>
              </w:sdtPr>
              <w:sdtEndPr/>
              <w:sdtContent>
                <w:tc>
                  <w:tcPr>
                    <w:tcW w:w="118" w:type="pct"/>
                    <w:vMerge w:val="restart"/>
                    <w:vAlign w:val="center"/>
                  </w:tcPr>
                  <w:p w14:paraId="410ED178" w14:textId="77777777" w:rsidR="00E57DAA" w:rsidRDefault="00AC4185">
                    <w:pPr>
                      <w:snapToGrid w:val="0"/>
                      <w:spacing w:line="240" w:lineRule="atLeast"/>
                      <w:jc w:val="center"/>
                      <w:rPr>
                        <w:sz w:val="11"/>
                        <w:szCs w:val="11"/>
                      </w:rPr>
                    </w:pPr>
                    <w:r>
                      <w:rPr>
                        <w:rFonts w:hint="eastAsia"/>
                        <w:sz w:val="11"/>
                        <w:szCs w:val="11"/>
                      </w:rPr>
                      <w:t>一般风险准备</w:t>
                    </w:r>
                  </w:p>
                </w:tc>
              </w:sdtContent>
            </w:sdt>
            <w:sdt>
              <w:sdtPr>
                <w:rPr>
                  <w:sz w:val="11"/>
                  <w:szCs w:val="11"/>
                </w:rPr>
                <w:tag w:val="_PLD_cbc8cc4f323b4146bc3e0b624cb6a030"/>
                <w:id w:val="-103423878"/>
              </w:sdtPr>
              <w:sdtEndPr/>
              <w:sdtContent>
                <w:tc>
                  <w:tcPr>
                    <w:tcW w:w="415" w:type="pct"/>
                    <w:vMerge w:val="restart"/>
                    <w:vAlign w:val="center"/>
                  </w:tcPr>
                  <w:p w14:paraId="7086AFFF" w14:textId="77777777" w:rsidR="00E57DAA" w:rsidRDefault="00AC4185">
                    <w:pPr>
                      <w:snapToGrid w:val="0"/>
                      <w:spacing w:line="240" w:lineRule="atLeast"/>
                      <w:jc w:val="center"/>
                      <w:rPr>
                        <w:sz w:val="11"/>
                        <w:szCs w:val="11"/>
                      </w:rPr>
                    </w:pPr>
                    <w:r>
                      <w:rPr>
                        <w:rFonts w:hint="eastAsia"/>
                        <w:sz w:val="11"/>
                        <w:szCs w:val="11"/>
                      </w:rPr>
                      <w:t>未分配利润</w:t>
                    </w:r>
                  </w:p>
                </w:tc>
              </w:sdtContent>
            </w:sdt>
            <w:tc>
              <w:tcPr>
                <w:tcW w:w="121" w:type="pct"/>
                <w:vMerge w:val="restart"/>
                <w:vAlign w:val="center"/>
              </w:tcPr>
              <w:sdt>
                <w:sdtPr>
                  <w:rPr>
                    <w:rFonts w:hint="eastAsia"/>
                    <w:sz w:val="11"/>
                    <w:szCs w:val="11"/>
                  </w:rPr>
                  <w:tag w:val="_PLD_b504a77359e042b99ce9a2513e44008d"/>
                  <w:id w:val="639463097"/>
                </w:sdtPr>
                <w:sdtEndPr/>
                <w:sdtContent>
                  <w:p w14:paraId="7A1ACDCF" w14:textId="77777777" w:rsidR="00E57DAA" w:rsidRDefault="00AC4185">
                    <w:pPr>
                      <w:jc w:val="center"/>
                      <w:rPr>
                        <w:sz w:val="11"/>
                        <w:szCs w:val="11"/>
                      </w:rPr>
                    </w:pPr>
                    <w:r>
                      <w:rPr>
                        <w:rFonts w:hint="eastAsia"/>
                        <w:sz w:val="11"/>
                        <w:szCs w:val="11"/>
                      </w:rPr>
                      <w:t>其他</w:t>
                    </w:r>
                  </w:p>
                </w:sdtContent>
              </w:sdt>
            </w:tc>
            <w:tc>
              <w:tcPr>
                <w:tcW w:w="415" w:type="pct"/>
                <w:vMerge w:val="restart"/>
                <w:vAlign w:val="center"/>
              </w:tcPr>
              <w:sdt>
                <w:sdtPr>
                  <w:rPr>
                    <w:rFonts w:hint="eastAsia"/>
                    <w:sz w:val="11"/>
                    <w:szCs w:val="11"/>
                  </w:rPr>
                  <w:tag w:val="_PLD_30b039ff7c714652865f3029df27082b"/>
                  <w:id w:val="337666795"/>
                </w:sdtPr>
                <w:sdtEndPr/>
                <w:sdtContent>
                  <w:p w14:paraId="715667EC" w14:textId="77777777" w:rsidR="00E57DAA" w:rsidRDefault="00AC4185">
                    <w:pPr>
                      <w:jc w:val="center"/>
                      <w:rPr>
                        <w:sz w:val="11"/>
                        <w:szCs w:val="11"/>
                      </w:rPr>
                    </w:pPr>
                    <w:r>
                      <w:rPr>
                        <w:rFonts w:hint="eastAsia"/>
                        <w:sz w:val="11"/>
                        <w:szCs w:val="11"/>
                      </w:rPr>
                      <w:t>小计</w:t>
                    </w:r>
                  </w:p>
                </w:sdtContent>
              </w:sdt>
            </w:tc>
            <w:tc>
              <w:tcPr>
                <w:tcW w:w="395" w:type="pct"/>
                <w:vMerge/>
              </w:tcPr>
              <w:p w14:paraId="1ADDADF7" w14:textId="77777777" w:rsidR="00E57DAA" w:rsidRDefault="00E57DAA">
                <w:pPr>
                  <w:jc w:val="center"/>
                  <w:rPr>
                    <w:sz w:val="11"/>
                    <w:szCs w:val="11"/>
                  </w:rPr>
                </w:pPr>
              </w:p>
            </w:tc>
            <w:tc>
              <w:tcPr>
                <w:tcW w:w="415" w:type="pct"/>
                <w:vMerge/>
              </w:tcPr>
              <w:p w14:paraId="45679F7E" w14:textId="77777777" w:rsidR="00E57DAA" w:rsidRDefault="00E57DAA">
                <w:pPr>
                  <w:jc w:val="center"/>
                  <w:rPr>
                    <w:sz w:val="11"/>
                    <w:szCs w:val="11"/>
                  </w:rPr>
                </w:pPr>
              </w:p>
            </w:tc>
          </w:tr>
          <w:tr w:rsidR="00E57DAA" w14:paraId="6B780633" w14:textId="77777777">
            <w:trPr>
              <w:cantSplit/>
              <w:trHeight w:val="345"/>
            </w:trPr>
            <w:tc>
              <w:tcPr>
                <w:tcW w:w="480" w:type="pct"/>
                <w:vMerge/>
              </w:tcPr>
              <w:p w14:paraId="4A43492F" w14:textId="77777777" w:rsidR="00E57DAA" w:rsidRDefault="00E57DAA">
                <w:pPr>
                  <w:snapToGrid w:val="0"/>
                  <w:spacing w:line="240" w:lineRule="atLeast"/>
                  <w:ind w:rightChars="-759" w:right="-1594"/>
                  <w:rPr>
                    <w:sz w:val="11"/>
                    <w:szCs w:val="11"/>
                  </w:rPr>
                </w:pPr>
              </w:p>
            </w:tc>
            <w:tc>
              <w:tcPr>
                <w:tcW w:w="395" w:type="pct"/>
                <w:vMerge/>
              </w:tcPr>
              <w:p w14:paraId="125B5E01" w14:textId="77777777" w:rsidR="00E57DAA" w:rsidRDefault="00E57DAA">
                <w:pPr>
                  <w:snapToGrid w:val="0"/>
                  <w:spacing w:line="240" w:lineRule="atLeast"/>
                  <w:jc w:val="center"/>
                  <w:rPr>
                    <w:sz w:val="11"/>
                    <w:szCs w:val="11"/>
                  </w:rPr>
                </w:pPr>
              </w:p>
            </w:tc>
            <w:sdt>
              <w:sdtPr>
                <w:rPr>
                  <w:sz w:val="11"/>
                  <w:szCs w:val="11"/>
                </w:rPr>
                <w:tag w:val="_PLD_b607c17c743149d295a2a79708dbacd2"/>
                <w:id w:val="838739104"/>
              </w:sdtPr>
              <w:sdtEndPr/>
              <w:sdtContent>
                <w:tc>
                  <w:tcPr>
                    <w:tcW w:w="118" w:type="pct"/>
                    <w:vAlign w:val="center"/>
                  </w:tcPr>
                  <w:p w14:paraId="5631FC3E" w14:textId="77777777" w:rsidR="00E57DAA" w:rsidRDefault="00AC4185">
                    <w:pPr>
                      <w:snapToGrid w:val="0"/>
                      <w:spacing w:line="240" w:lineRule="atLeast"/>
                      <w:jc w:val="center"/>
                      <w:rPr>
                        <w:sz w:val="11"/>
                        <w:szCs w:val="11"/>
                      </w:rPr>
                    </w:pPr>
                    <w:r>
                      <w:rPr>
                        <w:rFonts w:hint="eastAsia"/>
                        <w:sz w:val="11"/>
                        <w:szCs w:val="11"/>
                      </w:rPr>
                      <w:t>优先股</w:t>
                    </w:r>
                  </w:p>
                </w:tc>
              </w:sdtContent>
            </w:sdt>
            <w:sdt>
              <w:sdtPr>
                <w:rPr>
                  <w:sz w:val="11"/>
                  <w:szCs w:val="11"/>
                </w:rPr>
                <w:tag w:val="_PLD_ff95d9a5f43c439aac9ba6d07675d878"/>
                <w:id w:val="1621262715"/>
              </w:sdtPr>
              <w:sdtEndPr/>
              <w:sdtContent>
                <w:tc>
                  <w:tcPr>
                    <w:tcW w:w="118" w:type="pct"/>
                    <w:vAlign w:val="center"/>
                  </w:tcPr>
                  <w:p w14:paraId="56A6B2FC" w14:textId="77777777" w:rsidR="00E57DAA" w:rsidRDefault="00AC4185">
                    <w:pPr>
                      <w:snapToGrid w:val="0"/>
                      <w:spacing w:line="240" w:lineRule="atLeast"/>
                      <w:jc w:val="center"/>
                      <w:rPr>
                        <w:sz w:val="11"/>
                        <w:szCs w:val="11"/>
                      </w:rPr>
                    </w:pPr>
                    <w:r>
                      <w:rPr>
                        <w:rFonts w:hint="eastAsia"/>
                        <w:sz w:val="11"/>
                        <w:szCs w:val="11"/>
                      </w:rPr>
                      <w:t>永续债</w:t>
                    </w:r>
                  </w:p>
                </w:tc>
              </w:sdtContent>
            </w:sdt>
            <w:sdt>
              <w:sdtPr>
                <w:rPr>
                  <w:sz w:val="11"/>
                  <w:szCs w:val="11"/>
                </w:rPr>
                <w:tag w:val="_PLD_172b1cd40c094b6fa71aba6fe6a10f81"/>
                <w:id w:val="-1220272954"/>
              </w:sdtPr>
              <w:sdtEndPr/>
              <w:sdtContent>
                <w:tc>
                  <w:tcPr>
                    <w:tcW w:w="118" w:type="pct"/>
                    <w:vAlign w:val="center"/>
                  </w:tcPr>
                  <w:p w14:paraId="542D4CEE" w14:textId="77777777" w:rsidR="00E57DAA" w:rsidRDefault="00AC4185">
                    <w:pPr>
                      <w:snapToGrid w:val="0"/>
                      <w:spacing w:line="240" w:lineRule="atLeast"/>
                      <w:jc w:val="center"/>
                      <w:rPr>
                        <w:sz w:val="11"/>
                        <w:szCs w:val="11"/>
                      </w:rPr>
                    </w:pPr>
                    <w:r>
                      <w:rPr>
                        <w:rFonts w:hint="eastAsia"/>
                        <w:sz w:val="11"/>
                        <w:szCs w:val="11"/>
                      </w:rPr>
                      <w:t>其他</w:t>
                    </w:r>
                  </w:p>
                </w:tc>
              </w:sdtContent>
            </w:sdt>
            <w:tc>
              <w:tcPr>
                <w:tcW w:w="430" w:type="pct"/>
                <w:vMerge/>
              </w:tcPr>
              <w:p w14:paraId="68ED2910" w14:textId="77777777" w:rsidR="00E57DAA" w:rsidRDefault="00E57DAA">
                <w:pPr>
                  <w:snapToGrid w:val="0"/>
                  <w:spacing w:line="240" w:lineRule="atLeast"/>
                  <w:jc w:val="center"/>
                  <w:rPr>
                    <w:sz w:val="11"/>
                    <w:szCs w:val="11"/>
                  </w:rPr>
                </w:pPr>
              </w:p>
            </w:tc>
            <w:tc>
              <w:tcPr>
                <w:tcW w:w="356" w:type="pct"/>
                <w:vMerge/>
              </w:tcPr>
              <w:p w14:paraId="6D4D4C83" w14:textId="77777777" w:rsidR="00E57DAA" w:rsidRDefault="00E57DAA">
                <w:pPr>
                  <w:snapToGrid w:val="0"/>
                  <w:spacing w:line="240" w:lineRule="atLeast"/>
                  <w:jc w:val="center"/>
                  <w:rPr>
                    <w:sz w:val="11"/>
                    <w:szCs w:val="11"/>
                  </w:rPr>
                </w:pPr>
              </w:p>
            </w:tc>
            <w:tc>
              <w:tcPr>
                <w:tcW w:w="356" w:type="pct"/>
                <w:vMerge/>
              </w:tcPr>
              <w:p w14:paraId="497D278A" w14:textId="77777777" w:rsidR="00E57DAA" w:rsidRDefault="00E57DAA">
                <w:pPr>
                  <w:snapToGrid w:val="0"/>
                  <w:spacing w:line="240" w:lineRule="atLeast"/>
                  <w:jc w:val="center"/>
                  <w:rPr>
                    <w:sz w:val="11"/>
                    <w:szCs w:val="11"/>
                  </w:rPr>
                </w:pPr>
              </w:p>
            </w:tc>
            <w:tc>
              <w:tcPr>
                <w:tcW w:w="356" w:type="pct"/>
                <w:vMerge/>
              </w:tcPr>
              <w:p w14:paraId="6162ACFA" w14:textId="77777777" w:rsidR="00E57DAA" w:rsidRDefault="00E57DAA">
                <w:pPr>
                  <w:snapToGrid w:val="0"/>
                  <w:spacing w:line="240" w:lineRule="atLeast"/>
                  <w:jc w:val="center"/>
                  <w:rPr>
                    <w:sz w:val="11"/>
                    <w:szCs w:val="11"/>
                  </w:rPr>
                </w:pPr>
              </w:p>
            </w:tc>
            <w:tc>
              <w:tcPr>
                <w:tcW w:w="395" w:type="pct"/>
                <w:vMerge/>
              </w:tcPr>
              <w:p w14:paraId="2192D67A" w14:textId="77777777" w:rsidR="00E57DAA" w:rsidRDefault="00E57DAA">
                <w:pPr>
                  <w:snapToGrid w:val="0"/>
                  <w:spacing w:line="240" w:lineRule="atLeast"/>
                  <w:jc w:val="center"/>
                  <w:rPr>
                    <w:sz w:val="11"/>
                    <w:szCs w:val="11"/>
                  </w:rPr>
                </w:pPr>
              </w:p>
            </w:tc>
            <w:tc>
              <w:tcPr>
                <w:tcW w:w="118" w:type="pct"/>
                <w:vMerge/>
              </w:tcPr>
              <w:p w14:paraId="193AD021" w14:textId="77777777" w:rsidR="00E57DAA" w:rsidRDefault="00E57DAA">
                <w:pPr>
                  <w:snapToGrid w:val="0"/>
                  <w:spacing w:line="240" w:lineRule="atLeast"/>
                  <w:jc w:val="center"/>
                  <w:rPr>
                    <w:sz w:val="11"/>
                    <w:szCs w:val="11"/>
                  </w:rPr>
                </w:pPr>
              </w:p>
            </w:tc>
            <w:tc>
              <w:tcPr>
                <w:tcW w:w="415" w:type="pct"/>
                <w:vMerge/>
              </w:tcPr>
              <w:p w14:paraId="004F323F" w14:textId="77777777" w:rsidR="00E57DAA" w:rsidRDefault="00E57DAA">
                <w:pPr>
                  <w:snapToGrid w:val="0"/>
                  <w:spacing w:line="240" w:lineRule="atLeast"/>
                  <w:jc w:val="center"/>
                  <w:rPr>
                    <w:sz w:val="11"/>
                    <w:szCs w:val="11"/>
                  </w:rPr>
                </w:pPr>
              </w:p>
            </w:tc>
            <w:tc>
              <w:tcPr>
                <w:tcW w:w="121" w:type="pct"/>
                <w:vMerge/>
              </w:tcPr>
              <w:p w14:paraId="79474D76" w14:textId="77777777" w:rsidR="00E57DAA" w:rsidRDefault="00E57DAA">
                <w:pPr>
                  <w:jc w:val="center"/>
                  <w:rPr>
                    <w:sz w:val="11"/>
                    <w:szCs w:val="11"/>
                  </w:rPr>
                </w:pPr>
              </w:p>
            </w:tc>
            <w:tc>
              <w:tcPr>
                <w:tcW w:w="415" w:type="pct"/>
                <w:vMerge/>
              </w:tcPr>
              <w:p w14:paraId="3F739903" w14:textId="77777777" w:rsidR="00E57DAA" w:rsidRDefault="00E57DAA">
                <w:pPr>
                  <w:jc w:val="center"/>
                  <w:rPr>
                    <w:sz w:val="11"/>
                    <w:szCs w:val="11"/>
                  </w:rPr>
                </w:pPr>
              </w:p>
            </w:tc>
            <w:tc>
              <w:tcPr>
                <w:tcW w:w="395" w:type="pct"/>
                <w:vMerge/>
              </w:tcPr>
              <w:p w14:paraId="50C1D497" w14:textId="77777777" w:rsidR="00E57DAA" w:rsidRDefault="00E57DAA">
                <w:pPr>
                  <w:jc w:val="center"/>
                  <w:rPr>
                    <w:sz w:val="11"/>
                    <w:szCs w:val="11"/>
                  </w:rPr>
                </w:pPr>
              </w:p>
            </w:tc>
            <w:tc>
              <w:tcPr>
                <w:tcW w:w="415" w:type="pct"/>
                <w:vMerge/>
                <w:tcBorders>
                  <w:bottom w:val="nil"/>
                </w:tcBorders>
              </w:tcPr>
              <w:p w14:paraId="37059027" w14:textId="77777777" w:rsidR="00E57DAA" w:rsidRDefault="00E57DAA">
                <w:pPr>
                  <w:jc w:val="center"/>
                  <w:rPr>
                    <w:sz w:val="11"/>
                    <w:szCs w:val="11"/>
                  </w:rPr>
                </w:pPr>
              </w:p>
            </w:tc>
          </w:tr>
          <w:tr w:rsidR="00E57DAA" w14:paraId="611ACF22" w14:textId="77777777">
            <w:sdt>
              <w:sdtPr>
                <w:rPr>
                  <w:sz w:val="11"/>
                  <w:szCs w:val="11"/>
                </w:rPr>
                <w:tag w:val="_PLD_4fdfc5e6b5c34cfdb08e5d5e3943966e"/>
                <w:id w:val="699284477"/>
              </w:sdtPr>
              <w:sdtEndPr/>
              <w:sdtContent>
                <w:tc>
                  <w:tcPr>
                    <w:tcW w:w="480" w:type="pct"/>
                  </w:tcPr>
                  <w:p w14:paraId="7692D127" w14:textId="77777777" w:rsidR="00E57DAA" w:rsidRDefault="00AC4185">
                    <w:pPr>
                      <w:rPr>
                        <w:sz w:val="11"/>
                        <w:szCs w:val="11"/>
                      </w:rPr>
                    </w:pPr>
                    <w:r>
                      <w:rPr>
                        <w:sz w:val="11"/>
                        <w:szCs w:val="11"/>
                      </w:rPr>
                      <w:t>一、上年</w:t>
                    </w:r>
                    <w:r>
                      <w:rPr>
                        <w:rFonts w:hint="eastAsia"/>
                        <w:sz w:val="11"/>
                        <w:szCs w:val="11"/>
                      </w:rPr>
                      <w:t>年</w:t>
                    </w:r>
                    <w:r>
                      <w:rPr>
                        <w:sz w:val="11"/>
                        <w:szCs w:val="11"/>
                      </w:rPr>
                      <w:t>末余额</w:t>
                    </w:r>
                  </w:p>
                </w:tc>
              </w:sdtContent>
            </w:sdt>
            <w:tc>
              <w:tcPr>
                <w:tcW w:w="395" w:type="pct"/>
                <w:vAlign w:val="center"/>
              </w:tcPr>
              <w:p w14:paraId="796EC478" w14:textId="77777777" w:rsidR="00E57DAA" w:rsidRDefault="00AC4185">
                <w:pPr>
                  <w:jc w:val="right"/>
                  <w:rPr>
                    <w:sz w:val="11"/>
                    <w:szCs w:val="11"/>
                  </w:rPr>
                </w:pPr>
                <w:r>
                  <w:rPr>
                    <w:sz w:val="11"/>
                    <w:szCs w:val="11"/>
                  </w:rPr>
                  <w:t>2,265,632,064.00</w:t>
                </w:r>
              </w:p>
            </w:tc>
            <w:tc>
              <w:tcPr>
                <w:tcW w:w="118" w:type="pct"/>
                <w:vAlign w:val="center"/>
              </w:tcPr>
              <w:p w14:paraId="297420D0" w14:textId="77777777" w:rsidR="00E57DAA" w:rsidRDefault="00E57DAA">
                <w:pPr>
                  <w:jc w:val="right"/>
                  <w:rPr>
                    <w:sz w:val="11"/>
                    <w:szCs w:val="11"/>
                  </w:rPr>
                </w:pPr>
              </w:p>
            </w:tc>
            <w:tc>
              <w:tcPr>
                <w:tcW w:w="118" w:type="pct"/>
                <w:vAlign w:val="center"/>
              </w:tcPr>
              <w:p w14:paraId="671B90B8" w14:textId="77777777" w:rsidR="00E57DAA" w:rsidRDefault="00E57DAA">
                <w:pPr>
                  <w:jc w:val="right"/>
                  <w:rPr>
                    <w:sz w:val="11"/>
                    <w:szCs w:val="11"/>
                  </w:rPr>
                </w:pPr>
              </w:p>
            </w:tc>
            <w:tc>
              <w:tcPr>
                <w:tcW w:w="118" w:type="pct"/>
                <w:vAlign w:val="center"/>
              </w:tcPr>
              <w:p w14:paraId="278BD5C9" w14:textId="77777777" w:rsidR="00E57DAA" w:rsidRDefault="00E57DAA">
                <w:pPr>
                  <w:jc w:val="right"/>
                  <w:rPr>
                    <w:sz w:val="11"/>
                    <w:szCs w:val="11"/>
                  </w:rPr>
                </w:pPr>
              </w:p>
            </w:tc>
            <w:tc>
              <w:tcPr>
                <w:tcW w:w="430" w:type="pct"/>
                <w:vAlign w:val="center"/>
              </w:tcPr>
              <w:p w14:paraId="3A954BEC" w14:textId="77777777" w:rsidR="00E57DAA" w:rsidRDefault="00AC4185">
                <w:pPr>
                  <w:jc w:val="right"/>
                  <w:rPr>
                    <w:sz w:val="11"/>
                    <w:szCs w:val="11"/>
                  </w:rPr>
                </w:pPr>
                <w:r>
                  <w:rPr>
                    <w:sz w:val="11"/>
                    <w:szCs w:val="11"/>
                  </w:rPr>
                  <w:t>1,183,877,316.88</w:t>
                </w:r>
              </w:p>
            </w:tc>
            <w:tc>
              <w:tcPr>
                <w:tcW w:w="356" w:type="pct"/>
                <w:vAlign w:val="center"/>
              </w:tcPr>
              <w:p w14:paraId="0C8E76A7" w14:textId="77777777" w:rsidR="00E57DAA" w:rsidRDefault="00AC4185">
                <w:pPr>
                  <w:jc w:val="right"/>
                  <w:rPr>
                    <w:sz w:val="11"/>
                    <w:szCs w:val="11"/>
                  </w:rPr>
                </w:pPr>
                <w:r>
                  <w:rPr>
                    <w:sz w:val="11"/>
                    <w:szCs w:val="11"/>
                  </w:rPr>
                  <w:t>267,191,920.55</w:t>
                </w:r>
              </w:p>
            </w:tc>
            <w:tc>
              <w:tcPr>
                <w:tcW w:w="356" w:type="pct"/>
                <w:vAlign w:val="center"/>
              </w:tcPr>
              <w:p w14:paraId="506A96F2" w14:textId="77777777" w:rsidR="00E57DAA" w:rsidRDefault="00AC4185">
                <w:pPr>
                  <w:jc w:val="right"/>
                  <w:rPr>
                    <w:sz w:val="11"/>
                    <w:szCs w:val="11"/>
                  </w:rPr>
                </w:pPr>
                <w:r>
                  <w:rPr>
                    <w:sz w:val="11"/>
                    <w:szCs w:val="11"/>
                  </w:rPr>
                  <w:t>-99,677,123.23</w:t>
                </w:r>
              </w:p>
            </w:tc>
            <w:tc>
              <w:tcPr>
                <w:tcW w:w="356" w:type="pct"/>
                <w:vAlign w:val="center"/>
              </w:tcPr>
              <w:p w14:paraId="242D972F" w14:textId="77777777" w:rsidR="00E57DAA" w:rsidRDefault="00AC4185">
                <w:pPr>
                  <w:jc w:val="right"/>
                  <w:rPr>
                    <w:sz w:val="11"/>
                    <w:szCs w:val="11"/>
                  </w:rPr>
                </w:pPr>
                <w:r>
                  <w:rPr>
                    <w:sz w:val="11"/>
                    <w:szCs w:val="11"/>
                  </w:rPr>
                  <w:t>291,213,204.10</w:t>
                </w:r>
              </w:p>
            </w:tc>
            <w:tc>
              <w:tcPr>
                <w:tcW w:w="395" w:type="pct"/>
                <w:vAlign w:val="center"/>
              </w:tcPr>
              <w:p w14:paraId="040DB4AE" w14:textId="77777777" w:rsidR="00E57DAA" w:rsidRDefault="00AC4185">
                <w:pPr>
                  <w:jc w:val="right"/>
                  <w:rPr>
                    <w:sz w:val="11"/>
                    <w:szCs w:val="11"/>
                  </w:rPr>
                </w:pPr>
                <w:r>
                  <w:rPr>
                    <w:sz w:val="11"/>
                    <w:szCs w:val="11"/>
                  </w:rPr>
                  <w:t>976,748,193.92</w:t>
                </w:r>
              </w:p>
            </w:tc>
            <w:tc>
              <w:tcPr>
                <w:tcW w:w="118" w:type="pct"/>
                <w:vAlign w:val="center"/>
              </w:tcPr>
              <w:p w14:paraId="1CD91915" w14:textId="77777777" w:rsidR="00E57DAA" w:rsidRDefault="00E57DAA">
                <w:pPr>
                  <w:jc w:val="right"/>
                  <w:rPr>
                    <w:sz w:val="11"/>
                    <w:szCs w:val="11"/>
                  </w:rPr>
                </w:pPr>
              </w:p>
            </w:tc>
            <w:tc>
              <w:tcPr>
                <w:tcW w:w="415" w:type="pct"/>
                <w:vAlign w:val="center"/>
              </w:tcPr>
              <w:p w14:paraId="4FA3F200" w14:textId="77777777" w:rsidR="00E57DAA" w:rsidRDefault="00AC4185">
                <w:pPr>
                  <w:jc w:val="right"/>
                  <w:rPr>
                    <w:sz w:val="11"/>
                    <w:szCs w:val="11"/>
                  </w:rPr>
                </w:pPr>
                <w:r>
                  <w:rPr>
                    <w:sz w:val="11"/>
                    <w:szCs w:val="11"/>
                  </w:rPr>
                  <w:t>13,077,801,169.02</w:t>
                </w:r>
              </w:p>
            </w:tc>
            <w:tc>
              <w:tcPr>
                <w:tcW w:w="121" w:type="pct"/>
                <w:vAlign w:val="center"/>
              </w:tcPr>
              <w:p w14:paraId="5F87CCC1" w14:textId="77777777" w:rsidR="00E57DAA" w:rsidRDefault="00E57DAA">
                <w:pPr>
                  <w:jc w:val="right"/>
                  <w:rPr>
                    <w:sz w:val="11"/>
                    <w:szCs w:val="11"/>
                  </w:rPr>
                </w:pPr>
              </w:p>
            </w:tc>
            <w:tc>
              <w:tcPr>
                <w:tcW w:w="415" w:type="pct"/>
                <w:vAlign w:val="center"/>
              </w:tcPr>
              <w:p w14:paraId="77C6F162" w14:textId="77777777" w:rsidR="00E57DAA" w:rsidRDefault="00AC4185">
                <w:pPr>
                  <w:jc w:val="right"/>
                  <w:rPr>
                    <w:sz w:val="11"/>
                    <w:szCs w:val="11"/>
                  </w:rPr>
                </w:pPr>
                <w:r>
                  <w:rPr>
                    <w:sz w:val="11"/>
                    <w:szCs w:val="11"/>
                  </w:rPr>
                  <w:t>17,428,402,904.14</w:t>
                </w:r>
              </w:p>
            </w:tc>
            <w:tc>
              <w:tcPr>
                <w:tcW w:w="395" w:type="pct"/>
                <w:vAlign w:val="center"/>
              </w:tcPr>
              <w:p w14:paraId="262744AC" w14:textId="77777777" w:rsidR="00E57DAA" w:rsidRDefault="00AC4185">
                <w:pPr>
                  <w:jc w:val="right"/>
                  <w:rPr>
                    <w:sz w:val="11"/>
                    <w:szCs w:val="11"/>
                  </w:rPr>
                </w:pPr>
                <w:r>
                  <w:rPr>
                    <w:sz w:val="11"/>
                    <w:szCs w:val="11"/>
                  </w:rPr>
                  <w:t>1,429,739,551.38</w:t>
                </w:r>
              </w:p>
            </w:tc>
            <w:tc>
              <w:tcPr>
                <w:tcW w:w="415" w:type="pct"/>
                <w:vAlign w:val="center"/>
              </w:tcPr>
              <w:p w14:paraId="4B824EEE" w14:textId="77777777" w:rsidR="00E57DAA" w:rsidRDefault="00AC4185">
                <w:pPr>
                  <w:jc w:val="right"/>
                  <w:rPr>
                    <w:sz w:val="11"/>
                    <w:szCs w:val="11"/>
                  </w:rPr>
                </w:pPr>
                <w:r>
                  <w:rPr>
                    <w:sz w:val="11"/>
                    <w:szCs w:val="11"/>
                  </w:rPr>
                  <w:t>18,858,142,455.52</w:t>
                </w:r>
              </w:p>
            </w:tc>
          </w:tr>
          <w:tr w:rsidR="00E57DAA" w14:paraId="7DE5617E" w14:textId="77777777">
            <w:sdt>
              <w:sdtPr>
                <w:rPr>
                  <w:sz w:val="11"/>
                  <w:szCs w:val="11"/>
                </w:rPr>
                <w:tag w:val="_PLD_90f04cf20717467298c2824a1c7b2f71"/>
                <w:id w:val="-1724742394"/>
              </w:sdtPr>
              <w:sdtEndPr/>
              <w:sdtContent>
                <w:tc>
                  <w:tcPr>
                    <w:tcW w:w="480" w:type="pct"/>
                  </w:tcPr>
                  <w:p w14:paraId="5C8940EA" w14:textId="77777777" w:rsidR="00E57DAA" w:rsidRDefault="00AC4185">
                    <w:pPr>
                      <w:rPr>
                        <w:sz w:val="11"/>
                        <w:szCs w:val="11"/>
                      </w:rPr>
                    </w:pPr>
                    <w:r>
                      <w:rPr>
                        <w:rFonts w:hint="eastAsia"/>
                        <w:sz w:val="11"/>
                        <w:szCs w:val="11"/>
                      </w:rPr>
                      <w:t>加：</w:t>
                    </w:r>
                    <w:r>
                      <w:rPr>
                        <w:sz w:val="11"/>
                        <w:szCs w:val="11"/>
                      </w:rPr>
                      <w:t>会计政策变更</w:t>
                    </w:r>
                  </w:p>
                </w:tc>
              </w:sdtContent>
            </w:sdt>
            <w:tc>
              <w:tcPr>
                <w:tcW w:w="395" w:type="pct"/>
                <w:vAlign w:val="center"/>
              </w:tcPr>
              <w:p w14:paraId="188C2AA0" w14:textId="77777777" w:rsidR="00E57DAA" w:rsidRDefault="00E57DAA">
                <w:pPr>
                  <w:jc w:val="right"/>
                  <w:rPr>
                    <w:sz w:val="11"/>
                    <w:szCs w:val="11"/>
                  </w:rPr>
                </w:pPr>
              </w:p>
            </w:tc>
            <w:tc>
              <w:tcPr>
                <w:tcW w:w="118" w:type="pct"/>
                <w:vAlign w:val="center"/>
              </w:tcPr>
              <w:p w14:paraId="544BF8E4" w14:textId="77777777" w:rsidR="00E57DAA" w:rsidRDefault="00E57DAA">
                <w:pPr>
                  <w:jc w:val="right"/>
                  <w:rPr>
                    <w:sz w:val="11"/>
                    <w:szCs w:val="11"/>
                  </w:rPr>
                </w:pPr>
              </w:p>
            </w:tc>
            <w:tc>
              <w:tcPr>
                <w:tcW w:w="118" w:type="pct"/>
                <w:vAlign w:val="center"/>
              </w:tcPr>
              <w:p w14:paraId="01982896" w14:textId="77777777" w:rsidR="00E57DAA" w:rsidRDefault="00E57DAA">
                <w:pPr>
                  <w:jc w:val="right"/>
                  <w:rPr>
                    <w:sz w:val="11"/>
                    <w:szCs w:val="11"/>
                  </w:rPr>
                </w:pPr>
              </w:p>
            </w:tc>
            <w:tc>
              <w:tcPr>
                <w:tcW w:w="118" w:type="pct"/>
                <w:vAlign w:val="center"/>
              </w:tcPr>
              <w:p w14:paraId="4559A93B" w14:textId="77777777" w:rsidR="00E57DAA" w:rsidRDefault="00E57DAA">
                <w:pPr>
                  <w:jc w:val="right"/>
                  <w:rPr>
                    <w:sz w:val="11"/>
                    <w:szCs w:val="11"/>
                  </w:rPr>
                </w:pPr>
              </w:p>
            </w:tc>
            <w:tc>
              <w:tcPr>
                <w:tcW w:w="430" w:type="pct"/>
                <w:vAlign w:val="center"/>
              </w:tcPr>
              <w:p w14:paraId="1BBE12C1" w14:textId="77777777" w:rsidR="00E57DAA" w:rsidRDefault="00E57DAA">
                <w:pPr>
                  <w:jc w:val="right"/>
                  <w:rPr>
                    <w:sz w:val="11"/>
                    <w:szCs w:val="11"/>
                  </w:rPr>
                </w:pPr>
              </w:p>
            </w:tc>
            <w:tc>
              <w:tcPr>
                <w:tcW w:w="356" w:type="pct"/>
                <w:vAlign w:val="center"/>
              </w:tcPr>
              <w:p w14:paraId="65E23EA4" w14:textId="77777777" w:rsidR="00E57DAA" w:rsidRDefault="00E57DAA">
                <w:pPr>
                  <w:jc w:val="right"/>
                  <w:rPr>
                    <w:sz w:val="11"/>
                    <w:szCs w:val="11"/>
                  </w:rPr>
                </w:pPr>
              </w:p>
            </w:tc>
            <w:tc>
              <w:tcPr>
                <w:tcW w:w="356" w:type="pct"/>
                <w:vAlign w:val="center"/>
              </w:tcPr>
              <w:p w14:paraId="338A1330" w14:textId="77777777" w:rsidR="00E57DAA" w:rsidRDefault="00E57DAA">
                <w:pPr>
                  <w:jc w:val="right"/>
                  <w:rPr>
                    <w:sz w:val="11"/>
                    <w:szCs w:val="11"/>
                  </w:rPr>
                </w:pPr>
              </w:p>
            </w:tc>
            <w:tc>
              <w:tcPr>
                <w:tcW w:w="356" w:type="pct"/>
                <w:vAlign w:val="center"/>
              </w:tcPr>
              <w:p w14:paraId="530EEAB5" w14:textId="77777777" w:rsidR="00E57DAA" w:rsidRDefault="00E57DAA">
                <w:pPr>
                  <w:jc w:val="right"/>
                  <w:rPr>
                    <w:sz w:val="11"/>
                    <w:szCs w:val="11"/>
                  </w:rPr>
                </w:pPr>
              </w:p>
            </w:tc>
            <w:tc>
              <w:tcPr>
                <w:tcW w:w="395" w:type="pct"/>
                <w:vAlign w:val="center"/>
              </w:tcPr>
              <w:p w14:paraId="7E4F0C86" w14:textId="77777777" w:rsidR="00E57DAA" w:rsidRDefault="00E57DAA">
                <w:pPr>
                  <w:jc w:val="right"/>
                  <w:rPr>
                    <w:sz w:val="11"/>
                    <w:szCs w:val="11"/>
                  </w:rPr>
                </w:pPr>
              </w:p>
            </w:tc>
            <w:tc>
              <w:tcPr>
                <w:tcW w:w="118" w:type="pct"/>
                <w:vAlign w:val="center"/>
              </w:tcPr>
              <w:p w14:paraId="39A06AAA" w14:textId="77777777" w:rsidR="00E57DAA" w:rsidRDefault="00E57DAA">
                <w:pPr>
                  <w:jc w:val="right"/>
                  <w:rPr>
                    <w:sz w:val="11"/>
                    <w:szCs w:val="11"/>
                  </w:rPr>
                </w:pPr>
              </w:p>
            </w:tc>
            <w:tc>
              <w:tcPr>
                <w:tcW w:w="415" w:type="pct"/>
                <w:vAlign w:val="center"/>
              </w:tcPr>
              <w:p w14:paraId="5A28CA82" w14:textId="77777777" w:rsidR="00E57DAA" w:rsidRDefault="00E57DAA">
                <w:pPr>
                  <w:jc w:val="right"/>
                  <w:rPr>
                    <w:sz w:val="11"/>
                    <w:szCs w:val="11"/>
                  </w:rPr>
                </w:pPr>
              </w:p>
            </w:tc>
            <w:tc>
              <w:tcPr>
                <w:tcW w:w="121" w:type="pct"/>
                <w:vAlign w:val="center"/>
              </w:tcPr>
              <w:p w14:paraId="69EDB364" w14:textId="77777777" w:rsidR="00E57DAA" w:rsidRDefault="00E57DAA">
                <w:pPr>
                  <w:jc w:val="right"/>
                  <w:rPr>
                    <w:sz w:val="11"/>
                    <w:szCs w:val="11"/>
                  </w:rPr>
                </w:pPr>
              </w:p>
            </w:tc>
            <w:tc>
              <w:tcPr>
                <w:tcW w:w="415" w:type="pct"/>
                <w:vAlign w:val="center"/>
              </w:tcPr>
              <w:p w14:paraId="5F07FF2F" w14:textId="77777777" w:rsidR="00E57DAA" w:rsidRDefault="00E57DAA">
                <w:pPr>
                  <w:jc w:val="right"/>
                  <w:rPr>
                    <w:sz w:val="11"/>
                    <w:szCs w:val="11"/>
                  </w:rPr>
                </w:pPr>
              </w:p>
            </w:tc>
            <w:tc>
              <w:tcPr>
                <w:tcW w:w="395" w:type="pct"/>
                <w:vAlign w:val="center"/>
              </w:tcPr>
              <w:p w14:paraId="50D59194" w14:textId="77777777" w:rsidR="00E57DAA" w:rsidRDefault="00E57DAA">
                <w:pPr>
                  <w:jc w:val="right"/>
                  <w:rPr>
                    <w:sz w:val="11"/>
                    <w:szCs w:val="11"/>
                  </w:rPr>
                </w:pPr>
              </w:p>
            </w:tc>
            <w:tc>
              <w:tcPr>
                <w:tcW w:w="415" w:type="pct"/>
                <w:vAlign w:val="center"/>
              </w:tcPr>
              <w:p w14:paraId="2C3EBD00" w14:textId="77777777" w:rsidR="00E57DAA" w:rsidRDefault="00E57DAA">
                <w:pPr>
                  <w:jc w:val="right"/>
                  <w:rPr>
                    <w:sz w:val="11"/>
                    <w:szCs w:val="11"/>
                  </w:rPr>
                </w:pPr>
              </w:p>
            </w:tc>
          </w:tr>
          <w:tr w:rsidR="00E57DAA" w14:paraId="6E242957" w14:textId="77777777">
            <w:sdt>
              <w:sdtPr>
                <w:rPr>
                  <w:sz w:val="11"/>
                  <w:szCs w:val="11"/>
                </w:rPr>
                <w:tag w:val="_PLD_d724580d38484f718fafd008f24a7505"/>
                <w:id w:val="-2064242336"/>
              </w:sdtPr>
              <w:sdtEndPr/>
              <w:sdtContent>
                <w:tc>
                  <w:tcPr>
                    <w:tcW w:w="480" w:type="pct"/>
                  </w:tcPr>
                  <w:p w14:paraId="63DA1D53" w14:textId="77777777" w:rsidR="00E57DAA" w:rsidRDefault="00AC4185">
                    <w:pPr>
                      <w:ind w:firstLineChars="200" w:firstLine="220"/>
                      <w:rPr>
                        <w:sz w:val="11"/>
                        <w:szCs w:val="11"/>
                      </w:rPr>
                    </w:pPr>
                    <w:r>
                      <w:rPr>
                        <w:sz w:val="11"/>
                        <w:szCs w:val="11"/>
                      </w:rPr>
                      <w:t>前期差错更正</w:t>
                    </w:r>
                  </w:p>
                </w:tc>
              </w:sdtContent>
            </w:sdt>
            <w:tc>
              <w:tcPr>
                <w:tcW w:w="395" w:type="pct"/>
                <w:vAlign w:val="center"/>
              </w:tcPr>
              <w:p w14:paraId="41A3F16A" w14:textId="77777777" w:rsidR="00E57DAA" w:rsidRDefault="00E57DAA">
                <w:pPr>
                  <w:jc w:val="right"/>
                  <w:rPr>
                    <w:sz w:val="11"/>
                    <w:szCs w:val="11"/>
                  </w:rPr>
                </w:pPr>
              </w:p>
            </w:tc>
            <w:tc>
              <w:tcPr>
                <w:tcW w:w="118" w:type="pct"/>
                <w:vAlign w:val="center"/>
              </w:tcPr>
              <w:p w14:paraId="49713770" w14:textId="77777777" w:rsidR="00E57DAA" w:rsidRDefault="00E57DAA">
                <w:pPr>
                  <w:jc w:val="right"/>
                  <w:rPr>
                    <w:sz w:val="11"/>
                    <w:szCs w:val="11"/>
                  </w:rPr>
                </w:pPr>
              </w:p>
            </w:tc>
            <w:tc>
              <w:tcPr>
                <w:tcW w:w="118" w:type="pct"/>
                <w:vAlign w:val="center"/>
              </w:tcPr>
              <w:p w14:paraId="1768ABEA" w14:textId="77777777" w:rsidR="00E57DAA" w:rsidRDefault="00E57DAA">
                <w:pPr>
                  <w:jc w:val="right"/>
                  <w:rPr>
                    <w:sz w:val="11"/>
                    <w:szCs w:val="11"/>
                  </w:rPr>
                </w:pPr>
              </w:p>
            </w:tc>
            <w:tc>
              <w:tcPr>
                <w:tcW w:w="118" w:type="pct"/>
                <w:vAlign w:val="center"/>
              </w:tcPr>
              <w:p w14:paraId="2597FCE3" w14:textId="77777777" w:rsidR="00E57DAA" w:rsidRDefault="00E57DAA">
                <w:pPr>
                  <w:jc w:val="right"/>
                  <w:rPr>
                    <w:sz w:val="11"/>
                    <w:szCs w:val="11"/>
                  </w:rPr>
                </w:pPr>
              </w:p>
            </w:tc>
            <w:tc>
              <w:tcPr>
                <w:tcW w:w="430" w:type="pct"/>
                <w:vAlign w:val="center"/>
              </w:tcPr>
              <w:p w14:paraId="52CD51E0" w14:textId="77777777" w:rsidR="00E57DAA" w:rsidRDefault="00E57DAA">
                <w:pPr>
                  <w:jc w:val="right"/>
                  <w:rPr>
                    <w:sz w:val="11"/>
                    <w:szCs w:val="11"/>
                  </w:rPr>
                </w:pPr>
              </w:p>
            </w:tc>
            <w:tc>
              <w:tcPr>
                <w:tcW w:w="356" w:type="pct"/>
                <w:vAlign w:val="center"/>
              </w:tcPr>
              <w:p w14:paraId="29CAEE2B" w14:textId="77777777" w:rsidR="00E57DAA" w:rsidRDefault="00E57DAA">
                <w:pPr>
                  <w:jc w:val="right"/>
                  <w:rPr>
                    <w:sz w:val="11"/>
                    <w:szCs w:val="11"/>
                  </w:rPr>
                </w:pPr>
              </w:p>
            </w:tc>
            <w:tc>
              <w:tcPr>
                <w:tcW w:w="356" w:type="pct"/>
                <w:vAlign w:val="center"/>
              </w:tcPr>
              <w:p w14:paraId="691FC1C2" w14:textId="77777777" w:rsidR="00E57DAA" w:rsidRDefault="00E57DAA">
                <w:pPr>
                  <w:jc w:val="right"/>
                  <w:rPr>
                    <w:sz w:val="11"/>
                    <w:szCs w:val="11"/>
                  </w:rPr>
                </w:pPr>
              </w:p>
            </w:tc>
            <w:tc>
              <w:tcPr>
                <w:tcW w:w="356" w:type="pct"/>
                <w:vAlign w:val="center"/>
              </w:tcPr>
              <w:p w14:paraId="02591D07" w14:textId="77777777" w:rsidR="00E57DAA" w:rsidRDefault="00E57DAA">
                <w:pPr>
                  <w:jc w:val="right"/>
                  <w:rPr>
                    <w:sz w:val="11"/>
                    <w:szCs w:val="11"/>
                  </w:rPr>
                </w:pPr>
              </w:p>
            </w:tc>
            <w:tc>
              <w:tcPr>
                <w:tcW w:w="395" w:type="pct"/>
                <w:vAlign w:val="center"/>
              </w:tcPr>
              <w:p w14:paraId="2FBB3816" w14:textId="77777777" w:rsidR="00E57DAA" w:rsidRDefault="00E57DAA">
                <w:pPr>
                  <w:jc w:val="right"/>
                  <w:rPr>
                    <w:sz w:val="11"/>
                    <w:szCs w:val="11"/>
                  </w:rPr>
                </w:pPr>
              </w:p>
            </w:tc>
            <w:tc>
              <w:tcPr>
                <w:tcW w:w="118" w:type="pct"/>
                <w:vAlign w:val="center"/>
              </w:tcPr>
              <w:p w14:paraId="3C6373B8" w14:textId="77777777" w:rsidR="00E57DAA" w:rsidRDefault="00E57DAA">
                <w:pPr>
                  <w:jc w:val="right"/>
                  <w:rPr>
                    <w:sz w:val="11"/>
                    <w:szCs w:val="11"/>
                  </w:rPr>
                </w:pPr>
              </w:p>
            </w:tc>
            <w:tc>
              <w:tcPr>
                <w:tcW w:w="415" w:type="pct"/>
                <w:vAlign w:val="center"/>
              </w:tcPr>
              <w:p w14:paraId="4E5B2E83" w14:textId="77777777" w:rsidR="00E57DAA" w:rsidRDefault="00E57DAA">
                <w:pPr>
                  <w:jc w:val="right"/>
                  <w:rPr>
                    <w:sz w:val="11"/>
                    <w:szCs w:val="11"/>
                  </w:rPr>
                </w:pPr>
              </w:p>
            </w:tc>
            <w:tc>
              <w:tcPr>
                <w:tcW w:w="121" w:type="pct"/>
                <w:vAlign w:val="center"/>
              </w:tcPr>
              <w:p w14:paraId="1B143B2C" w14:textId="77777777" w:rsidR="00E57DAA" w:rsidRDefault="00E57DAA">
                <w:pPr>
                  <w:jc w:val="right"/>
                  <w:rPr>
                    <w:sz w:val="11"/>
                    <w:szCs w:val="11"/>
                  </w:rPr>
                </w:pPr>
              </w:p>
            </w:tc>
            <w:tc>
              <w:tcPr>
                <w:tcW w:w="415" w:type="pct"/>
                <w:vAlign w:val="center"/>
              </w:tcPr>
              <w:p w14:paraId="722EC9D1" w14:textId="77777777" w:rsidR="00E57DAA" w:rsidRDefault="00E57DAA">
                <w:pPr>
                  <w:jc w:val="right"/>
                  <w:rPr>
                    <w:sz w:val="11"/>
                    <w:szCs w:val="11"/>
                  </w:rPr>
                </w:pPr>
              </w:p>
            </w:tc>
            <w:tc>
              <w:tcPr>
                <w:tcW w:w="395" w:type="pct"/>
                <w:vAlign w:val="center"/>
              </w:tcPr>
              <w:p w14:paraId="08015808" w14:textId="77777777" w:rsidR="00E57DAA" w:rsidRDefault="00E57DAA">
                <w:pPr>
                  <w:jc w:val="right"/>
                  <w:rPr>
                    <w:sz w:val="11"/>
                    <w:szCs w:val="11"/>
                  </w:rPr>
                </w:pPr>
              </w:p>
            </w:tc>
            <w:tc>
              <w:tcPr>
                <w:tcW w:w="415" w:type="pct"/>
                <w:vAlign w:val="center"/>
              </w:tcPr>
              <w:p w14:paraId="369ADD2F" w14:textId="77777777" w:rsidR="00E57DAA" w:rsidRDefault="00E57DAA">
                <w:pPr>
                  <w:jc w:val="right"/>
                  <w:rPr>
                    <w:sz w:val="11"/>
                    <w:szCs w:val="11"/>
                  </w:rPr>
                </w:pPr>
              </w:p>
            </w:tc>
          </w:tr>
          <w:tr w:rsidR="00E57DAA" w14:paraId="1BA70297" w14:textId="77777777">
            <w:sdt>
              <w:sdtPr>
                <w:rPr>
                  <w:sz w:val="11"/>
                  <w:szCs w:val="11"/>
                </w:rPr>
                <w:tag w:val="_PLD_122e3287ddd140fb9d031a4dab8a8b13"/>
                <w:id w:val="-1559390662"/>
              </w:sdtPr>
              <w:sdtEndPr/>
              <w:sdtContent>
                <w:tc>
                  <w:tcPr>
                    <w:tcW w:w="480" w:type="pct"/>
                  </w:tcPr>
                  <w:p w14:paraId="7C52E391" w14:textId="77777777" w:rsidR="00E57DAA" w:rsidRDefault="00AC4185">
                    <w:pPr>
                      <w:ind w:firstLineChars="200" w:firstLine="220"/>
                      <w:rPr>
                        <w:sz w:val="11"/>
                        <w:szCs w:val="11"/>
                      </w:rPr>
                    </w:pPr>
                    <w:r>
                      <w:rPr>
                        <w:rFonts w:hint="eastAsia"/>
                        <w:sz w:val="11"/>
                        <w:szCs w:val="11"/>
                      </w:rPr>
                      <w:t>其他</w:t>
                    </w:r>
                  </w:p>
                </w:tc>
              </w:sdtContent>
            </w:sdt>
            <w:tc>
              <w:tcPr>
                <w:tcW w:w="395" w:type="pct"/>
                <w:vAlign w:val="center"/>
              </w:tcPr>
              <w:p w14:paraId="12F12059" w14:textId="77777777" w:rsidR="00E57DAA" w:rsidRDefault="00E57DAA">
                <w:pPr>
                  <w:jc w:val="right"/>
                  <w:rPr>
                    <w:sz w:val="11"/>
                    <w:szCs w:val="11"/>
                  </w:rPr>
                </w:pPr>
              </w:p>
            </w:tc>
            <w:tc>
              <w:tcPr>
                <w:tcW w:w="118" w:type="pct"/>
                <w:vAlign w:val="center"/>
              </w:tcPr>
              <w:p w14:paraId="4772B4BF" w14:textId="77777777" w:rsidR="00E57DAA" w:rsidRDefault="00E57DAA">
                <w:pPr>
                  <w:jc w:val="right"/>
                  <w:rPr>
                    <w:sz w:val="11"/>
                    <w:szCs w:val="11"/>
                  </w:rPr>
                </w:pPr>
              </w:p>
            </w:tc>
            <w:tc>
              <w:tcPr>
                <w:tcW w:w="118" w:type="pct"/>
                <w:vAlign w:val="center"/>
              </w:tcPr>
              <w:p w14:paraId="168CE8FE" w14:textId="77777777" w:rsidR="00E57DAA" w:rsidRDefault="00E57DAA">
                <w:pPr>
                  <w:jc w:val="right"/>
                  <w:rPr>
                    <w:sz w:val="11"/>
                    <w:szCs w:val="11"/>
                  </w:rPr>
                </w:pPr>
              </w:p>
            </w:tc>
            <w:tc>
              <w:tcPr>
                <w:tcW w:w="118" w:type="pct"/>
                <w:vAlign w:val="center"/>
              </w:tcPr>
              <w:p w14:paraId="36D31770" w14:textId="77777777" w:rsidR="00E57DAA" w:rsidRDefault="00E57DAA">
                <w:pPr>
                  <w:jc w:val="right"/>
                  <w:rPr>
                    <w:sz w:val="11"/>
                    <w:szCs w:val="11"/>
                  </w:rPr>
                </w:pPr>
              </w:p>
            </w:tc>
            <w:tc>
              <w:tcPr>
                <w:tcW w:w="430" w:type="pct"/>
                <w:vAlign w:val="center"/>
              </w:tcPr>
              <w:p w14:paraId="5B37023F" w14:textId="77777777" w:rsidR="00E57DAA" w:rsidRDefault="00E57DAA">
                <w:pPr>
                  <w:jc w:val="right"/>
                  <w:rPr>
                    <w:sz w:val="11"/>
                    <w:szCs w:val="11"/>
                  </w:rPr>
                </w:pPr>
              </w:p>
            </w:tc>
            <w:tc>
              <w:tcPr>
                <w:tcW w:w="356" w:type="pct"/>
                <w:vAlign w:val="center"/>
              </w:tcPr>
              <w:p w14:paraId="685E0D91" w14:textId="77777777" w:rsidR="00E57DAA" w:rsidRDefault="00E57DAA">
                <w:pPr>
                  <w:jc w:val="right"/>
                  <w:rPr>
                    <w:sz w:val="11"/>
                    <w:szCs w:val="11"/>
                  </w:rPr>
                </w:pPr>
              </w:p>
            </w:tc>
            <w:tc>
              <w:tcPr>
                <w:tcW w:w="356" w:type="pct"/>
                <w:vAlign w:val="center"/>
              </w:tcPr>
              <w:p w14:paraId="7B3B55FA" w14:textId="77777777" w:rsidR="00E57DAA" w:rsidRDefault="00E57DAA">
                <w:pPr>
                  <w:jc w:val="right"/>
                  <w:rPr>
                    <w:sz w:val="11"/>
                    <w:szCs w:val="11"/>
                  </w:rPr>
                </w:pPr>
              </w:p>
            </w:tc>
            <w:tc>
              <w:tcPr>
                <w:tcW w:w="356" w:type="pct"/>
                <w:vAlign w:val="center"/>
              </w:tcPr>
              <w:p w14:paraId="2E5E6403" w14:textId="77777777" w:rsidR="00E57DAA" w:rsidRDefault="00E57DAA">
                <w:pPr>
                  <w:jc w:val="right"/>
                  <w:rPr>
                    <w:sz w:val="11"/>
                    <w:szCs w:val="11"/>
                  </w:rPr>
                </w:pPr>
              </w:p>
            </w:tc>
            <w:tc>
              <w:tcPr>
                <w:tcW w:w="395" w:type="pct"/>
                <w:vAlign w:val="center"/>
              </w:tcPr>
              <w:p w14:paraId="762F9B3B" w14:textId="77777777" w:rsidR="00E57DAA" w:rsidRDefault="00E57DAA">
                <w:pPr>
                  <w:jc w:val="right"/>
                  <w:rPr>
                    <w:sz w:val="11"/>
                    <w:szCs w:val="11"/>
                  </w:rPr>
                </w:pPr>
              </w:p>
            </w:tc>
            <w:tc>
              <w:tcPr>
                <w:tcW w:w="118" w:type="pct"/>
                <w:vAlign w:val="center"/>
              </w:tcPr>
              <w:p w14:paraId="1B6325F7" w14:textId="77777777" w:rsidR="00E57DAA" w:rsidRDefault="00E57DAA">
                <w:pPr>
                  <w:jc w:val="right"/>
                  <w:rPr>
                    <w:sz w:val="11"/>
                    <w:szCs w:val="11"/>
                  </w:rPr>
                </w:pPr>
              </w:p>
            </w:tc>
            <w:tc>
              <w:tcPr>
                <w:tcW w:w="415" w:type="pct"/>
                <w:vAlign w:val="center"/>
              </w:tcPr>
              <w:p w14:paraId="45B42E33" w14:textId="77777777" w:rsidR="00E57DAA" w:rsidRDefault="00E57DAA">
                <w:pPr>
                  <w:jc w:val="right"/>
                  <w:rPr>
                    <w:sz w:val="11"/>
                    <w:szCs w:val="11"/>
                  </w:rPr>
                </w:pPr>
              </w:p>
            </w:tc>
            <w:tc>
              <w:tcPr>
                <w:tcW w:w="121" w:type="pct"/>
                <w:vAlign w:val="center"/>
              </w:tcPr>
              <w:p w14:paraId="2C5D4095" w14:textId="77777777" w:rsidR="00E57DAA" w:rsidRDefault="00E57DAA">
                <w:pPr>
                  <w:jc w:val="right"/>
                  <w:rPr>
                    <w:sz w:val="11"/>
                    <w:szCs w:val="11"/>
                  </w:rPr>
                </w:pPr>
              </w:p>
            </w:tc>
            <w:tc>
              <w:tcPr>
                <w:tcW w:w="415" w:type="pct"/>
                <w:vAlign w:val="center"/>
              </w:tcPr>
              <w:p w14:paraId="108356BE" w14:textId="77777777" w:rsidR="00E57DAA" w:rsidRDefault="00E57DAA">
                <w:pPr>
                  <w:jc w:val="right"/>
                  <w:rPr>
                    <w:sz w:val="11"/>
                    <w:szCs w:val="11"/>
                  </w:rPr>
                </w:pPr>
              </w:p>
            </w:tc>
            <w:tc>
              <w:tcPr>
                <w:tcW w:w="395" w:type="pct"/>
                <w:vAlign w:val="center"/>
              </w:tcPr>
              <w:p w14:paraId="19A37CDC" w14:textId="77777777" w:rsidR="00E57DAA" w:rsidRDefault="00E57DAA">
                <w:pPr>
                  <w:jc w:val="right"/>
                  <w:rPr>
                    <w:sz w:val="11"/>
                    <w:szCs w:val="11"/>
                  </w:rPr>
                </w:pPr>
              </w:p>
            </w:tc>
            <w:tc>
              <w:tcPr>
                <w:tcW w:w="415" w:type="pct"/>
                <w:vAlign w:val="center"/>
              </w:tcPr>
              <w:p w14:paraId="2FF9C27D" w14:textId="77777777" w:rsidR="00E57DAA" w:rsidRDefault="00E57DAA">
                <w:pPr>
                  <w:jc w:val="right"/>
                  <w:rPr>
                    <w:sz w:val="11"/>
                    <w:szCs w:val="11"/>
                  </w:rPr>
                </w:pPr>
              </w:p>
            </w:tc>
          </w:tr>
          <w:tr w:rsidR="00E57DAA" w14:paraId="1A70BFA3" w14:textId="77777777">
            <w:sdt>
              <w:sdtPr>
                <w:rPr>
                  <w:sz w:val="11"/>
                  <w:szCs w:val="11"/>
                </w:rPr>
                <w:tag w:val="_PLD_04db836e110543eab1bb1c6fb46bd857"/>
                <w:id w:val="-1885477620"/>
              </w:sdtPr>
              <w:sdtEndPr/>
              <w:sdtContent>
                <w:tc>
                  <w:tcPr>
                    <w:tcW w:w="480" w:type="pct"/>
                  </w:tcPr>
                  <w:p w14:paraId="711B11C6" w14:textId="77777777" w:rsidR="00E57DAA" w:rsidRDefault="00AC4185">
                    <w:pPr>
                      <w:rPr>
                        <w:sz w:val="11"/>
                        <w:szCs w:val="11"/>
                      </w:rPr>
                    </w:pPr>
                    <w:r>
                      <w:rPr>
                        <w:sz w:val="11"/>
                        <w:szCs w:val="11"/>
                      </w:rPr>
                      <w:t>二、本年</w:t>
                    </w:r>
                    <w:r>
                      <w:rPr>
                        <w:rFonts w:hint="eastAsia"/>
                        <w:sz w:val="11"/>
                        <w:szCs w:val="11"/>
                      </w:rPr>
                      <w:t>期</w:t>
                    </w:r>
                    <w:r>
                      <w:rPr>
                        <w:sz w:val="11"/>
                        <w:szCs w:val="11"/>
                      </w:rPr>
                      <w:t>初余额</w:t>
                    </w:r>
                  </w:p>
                </w:tc>
              </w:sdtContent>
            </w:sdt>
            <w:tc>
              <w:tcPr>
                <w:tcW w:w="395" w:type="pct"/>
                <w:vAlign w:val="center"/>
              </w:tcPr>
              <w:p w14:paraId="3685DE9A" w14:textId="77777777" w:rsidR="00E57DAA" w:rsidRDefault="00AC4185">
                <w:pPr>
                  <w:jc w:val="right"/>
                  <w:rPr>
                    <w:sz w:val="11"/>
                    <w:szCs w:val="11"/>
                  </w:rPr>
                </w:pPr>
                <w:r>
                  <w:rPr>
                    <w:sz w:val="11"/>
                    <w:szCs w:val="11"/>
                  </w:rPr>
                  <w:t>2,265,632,064.00</w:t>
                </w:r>
              </w:p>
            </w:tc>
            <w:tc>
              <w:tcPr>
                <w:tcW w:w="118" w:type="pct"/>
                <w:vAlign w:val="center"/>
              </w:tcPr>
              <w:p w14:paraId="48B99595" w14:textId="77777777" w:rsidR="00E57DAA" w:rsidRDefault="00E57DAA">
                <w:pPr>
                  <w:jc w:val="right"/>
                  <w:rPr>
                    <w:sz w:val="11"/>
                    <w:szCs w:val="11"/>
                  </w:rPr>
                </w:pPr>
              </w:p>
            </w:tc>
            <w:tc>
              <w:tcPr>
                <w:tcW w:w="118" w:type="pct"/>
                <w:vAlign w:val="center"/>
              </w:tcPr>
              <w:p w14:paraId="12AC5497" w14:textId="77777777" w:rsidR="00E57DAA" w:rsidRDefault="00E57DAA">
                <w:pPr>
                  <w:jc w:val="right"/>
                  <w:rPr>
                    <w:sz w:val="11"/>
                    <w:szCs w:val="11"/>
                  </w:rPr>
                </w:pPr>
              </w:p>
            </w:tc>
            <w:tc>
              <w:tcPr>
                <w:tcW w:w="118" w:type="pct"/>
                <w:vAlign w:val="center"/>
              </w:tcPr>
              <w:p w14:paraId="7835E810" w14:textId="77777777" w:rsidR="00E57DAA" w:rsidRDefault="00E57DAA">
                <w:pPr>
                  <w:jc w:val="right"/>
                  <w:rPr>
                    <w:sz w:val="11"/>
                    <w:szCs w:val="11"/>
                  </w:rPr>
                </w:pPr>
              </w:p>
            </w:tc>
            <w:tc>
              <w:tcPr>
                <w:tcW w:w="430" w:type="pct"/>
                <w:vAlign w:val="center"/>
              </w:tcPr>
              <w:p w14:paraId="4714AB64" w14:textId="77777777" w:rsidR="00E57DAA" w:rsidRDefault="00AC4185">
                <w:pPr>
                  <w:jc w:val="right"/>
                  <w:rPr>
                    <w:sz w:val="11"/>
                    <w:szCs w:val="11"/>
                  </w:rPr>
                </w:pPr>
                <w:r>
                  <w:rPr>
                    <w:sz w:val="11"/>
                    <w:szCs w:val="11"/>
                  </w:rPr>
                  <w:t>1,183,877,316.88</w:t>
                </w:r>
              </w:p>
            </w:tc>
            <w:tc>
              <w:tcPr>
                <w:tcW w:w="356" w:type="pct"/>
                <w:vAlign w:val="center"/>
              </w:tcPr>
              <w:p w14:paraId="7F0005A6" w14:textId="77777777" w:rsidR="00E57DAA" w:rsidRDefault="00AC4185">
                <w:pPr>
                  <w:jc w:val="right"/>
                  <w:rPr>
                    <w:sz w:val="11"/>
                    <w:szCs w:val="11"/>
                  </w:rPr>
                </w:pPr>
                <w:r>
                  <w:rPr>
                    <w:sz w:val="11"/>
                    <w:szCs w:val="11"/>
                  </w:rPr>
                  <w:t>267,191,920.55</w:t>
                </w:r>
              </w:p>
            </w:tc>
            <w:tc>
              <w:tcPr>
                <w:tcW w:w="356" w:type="pct"/>
                <w:vAlign w:val="center"/>
              </w:tcPr>
              <w:p w14:paraId="3EE5A7D7" w14:textId="77777777" w:rsidR="00E57DAA" w:rsidRDefault="00AC4185">
                <w:pPr>
                  <w:jc w:val="right"/>
                  <w:rPr>
                    <w:sz w:val="11"/>
                    <w:szCs w:val="11"/>
                  </w:rPr>
                </w:pPr>
                <w:r>
                  <w:rPr>
                    <w:sz w:val="11"/>
                    <w:szCs w:val="11"/>
                  </w:rPr>
                  <w:t>-99,677,123.23</w:t>
                </w:r>
              </w:p>
            </w:tc>
            <w:tc>
              <w:tcPr>
                <w:tcW w:w="356" w:type="pct"/>
                <w:vAlign w:val="center"/>
              </w:tcPr>
              <w:p w14:paraId="0B64CABC" w14:textId="77777777" w:rsidR="00E57DAA" w:rsidRDefault="00AC4185">
                <w:pPr>
                  <w:jc w:val="right"/>
                  <w:rPr>
                    <w:sz w:val="11"/>
                    <w:szCs w:val="11"/>
                  </w:rPr>
                </w:pPr>
                <w:r>
                  <w:rPr>
                    <w:sz w:val="11"/>
                    <w:szCs w:val="11"/>
                  </w:rPr>
                  <w:t>291,213,204.10</w:t>
                </w:r>
              </w:p>
            </w:tc>
            <w:tc>
              <w:tcPr>
                <w:tcW w:w="395" w:type="pct"/>
                <w:vAlign w:val="center"/>
              </w:tcPr>
              <w:p w14:paraId="34C249CA" w14:textId="77777777" w:rsidR="00E57DAA" w:rsidRDefault="00AC4185">
                <w:pPr>
                  <w:jc w:val="right"/>
                  <w:rPr>
                    <w:sz w:val="11"/>
                    <w:szCs w:val="11"/>
                  </w:rPr>
                </w:pPr>
                <w:r>
                  <w:rPr>
                    <w:sz w:val="11"/>
                    <w:szCs w:val="11"/>
                  </w:rPr>
                  <w:t>976,748,193.92</w:t>
                </w:r>
              </w:p>
            </w:tc>
            <w:tc>
              <w:tcPr>
                <w:tcW w:w="118" w:type="pct"/>
                <w:vAlign w:val="center"/>
              </w:tcPr>
              <w:p w14:paraId="1C95ACC4" w14:textId="77777777" w:rsidR="00E57DAA" w:rsidRDefault="00E57DAA">
                <w:pPr>
                  <w:jc w:val="right"/>
                  <w:rPr>
                    <w:sz w:val="11"/>
                    <w:szCs w:val="11"/>
                  </w:rPr>
                </w:pPr>
              </w:p>
            </w:tc>
            <w:tc>
              <w:tcPr>
                <w:tcW w:w="415" w:type="pct"/>
                <w:vAlign w:val="center"/>
              </w:tcPr>
              <w:p w14:paraId="3511A1A3" w14:textId="77777777" w:rsidR="00E57DAA" w:rsidRDefault="00AC4185">
                <w:pPr>
                  <w:jc w:val="right"/>
                  <w:rPr>
                    <w:sz w:val="11"/>
                    <w:szCs w:val="11"/>
                  </w:rPr>
                </w:pPr>
                <w:r>
                  <w:rPr>
                    <w:sz w:val="11"/>
                    <w:szCs w:val="11"/>
                  </w:rPr>
                  <w:t>13,077,801,169.02</w:t>
                </w:r>
              </w:p>
            </w:tc>
            <w:tc>
              <w:tcPr>
                <w:tcW w:w="121" w:type="pct"/>
                <w:vAlign w:val="center"/>
              </w:tcPr>
              <w:p w14:paraId="0072BA2B" w14:textId="77777777" w:rsidR="00E57DAA" w:rsidRDefault="00E57DAA">
                <w:pPr>
                  <w:jc w:val="right"/>
                  <w:rPr>
                    <w:sz w:val="11"/>
                    <w:szCs w:val="11"/>
                  </w:rPr>
                </w:pPr>
              </w:p>
            </w:tc>
            <w:tc>
              <w:tcPr>
                <w:tcW w:w="415" w:type="pct"/>
                <w:vAlign w:val="center"/>
              </w:tcPr>
              <w:p w14:paraId="4C5CAFD4" w14:textId="77777777" w:rsidR="00E57DAA" w:rsidRDefault="00AC4185">
                <w:pPr>
                  <w:jc w:val="right"/>
                  <w:rPr>
                    <w:sz w:val="11"/>
                    <w:szCs w:val="11"/>
                  </w:rPr>
                </w:pPr>
                <w:r>
                  <w:rPr>
                    <w:sz w:val="11"/>
                    <w:szCs w:val="11"/>
                  </w:rPr>
                  <w:t>17,428,402,904.14</w:t>
                </w:r>
              </w:p>
            </w:tc>
            <w:tc>
              <w:tcPr>
                <w:tcW w:w="395" w:type="pct"/>
                <w:vAlign w:val="center"/>
              </w:tcPr>
              <w:p w14:paraId="1AD2384D" w14:textId="77777777" w:rsidR="00E57DAA" w:rsidRDefault="00AC4185">
                <w:pPr>
                  <w:jc w:val="right"/>
                  <w:rPr>
                    <w:sz w:val="11"/>
                    <w:szCs w:val="11"/>
                  </w:rPr>
                </w:pPr>
                <w:r>
                  <w:rPr>
                    <w:sz w:val="11"/>
                    <w:szCs w:val="11"/>
                  </w:rPr>
                  <w:t>1,429,739,551.38</w:t>
                </w:r>
              </w:p>
            </w:tc>
            <w:tc>
              <w:tcPr>
                <w:tcW w:w="415" w:type="pct"/>
                <w:vAlign w:val="center"/>
              </w:tcPr>
              <w:p w14:paraId="0DC6B093" w14:textId="77777777" w:rsidR="00E57DAA" w:rsidRDefault="00AC4185">
                <w:pPr>
                  <w:jc w:val="right"/>
                  <w:rPr>
                    <w:sz w:val="11"/>
                    <w:szCs w:val="11"/>
                  </w:rPr>
                </w:pPr>
                <w:r>
                  <w:rPr>
                    <w:sz w:val="11"/>
                    <w:szCs w:val="11"/>
                  </w:rPr>
                  <w:t>18,858,142,455.52</w:t>
                </w:r>
              </w:p>
            </w:tc>
          </w:tr>
          <w:tr w:rsidR="00E57DAA" w14:paraId="6552A224" w14:textId="77777777">
            <w:sdt>
              <w:sdtPr>
                <w:rPr>
                  <w:sz w:val="11"/>
                  <w:szCs w:val="11"/>
                </w:rPr>
                <w:tag w:val="_PLD_1ca4768a663c4afc8e9fee3a8dc71bc6"/>
                <w:id w:val="1607385869"/>
              </w:sdtPr>
              <w:sdtEndPr/>
              <w:sdtContent>
                <w:tc>
                  <w:tcPr>
                    <w:tcW w:w="480" w:type="pct"/>
                  </w:tcPr>
                  <w:p w14:paraId="72748796" w14:textId="77777777" w:rsidR="00E57DAA" w:rsidRDefault="00AC4185">
                    <w:pPr>
                      <w:rPr>
                        <w:sz w:val="11"/>
                        <w:szCs w:val="11"/>
                      </w:rPr>
                    </w:pPr>
                    <w:r>
                      <w:rPr>
                        <w:sz w:val="11"/>
                        <w:szCs w:val="11"/>
                      </w:rPr>
                      <w:t>三、本</w:t>
                    </w:r>
                    <w:r>
                      <w:rPr>
                        <w:rFonts w:hint="eastAsia"/>
                        <w:sz w:val="11"/>
                        <w:szCs w:val="11"/>
                      </w:rPr>
                      <w:t>期</w:t>
                    </w:r>
                    <w:r>
                      <w:rPr>
                        <w:sz w:val="11"/>
                        <w:szCs w:val="11"/>
                      </w:rPr>
                      <w:t>增减变动金额（减少以“－”号填列）</w:t>
                    </w:r>
                  </w:p>
                </w:tc>
              </w:sdtContent>
            </w:sdt>
            <w:tc>
              <w:tcPr>
                <w:tcW w:w="395" w:type="pct"/>
                <w:vAlign w:val="center"/>
              </w:tcPr>
              <w:p w14:paraId="7B82683F" w14:textId="77777777" w:rsidR="00E57DAA" w:rsidRDefault="00AC4185">
                <w:pPr>
                  <w:jc w:val="right"/>
                  <w:rPr>
                    <w:sz w:val="11"/>
                    <w:szCs w:val="11"/>
                  </w:rPr>
                </w:pPr>
                <w:r>
                  <w:rPr>
                    <w:sz w:val="11"/>
                    <w:szCs w:val="11"/>
                  </w:rPr>
                  <w:t>376,685,359.00</w:t>
                </w:r>
              </w:p>
            </w:tc>
            <w:tc>
              <w:tcPr>
                <w:tcW w:w="118" w:type="pct"/>
                <w:vAlign w:val="center"/>
              </w:tcPr>
              <w:p w14:paraId="54E6224F" w14:textId="77777777" w:rsidR="00E57DAA" w:rsidRDefault="00E57DAA">
                <w:pPr>
                  <w:jc w:val="right"/>
                  <w:rPr>
                    <w:sz w:val="11"/>
                    <w:szCs w:val="11"/>
                  </w:rPr>
                </w:pPr>
              </w:p>
            </w:tc>
            <w:tc>
              <w:tcPr>
                <w:tcW w:w="118" w:type="pct"/>
                <w:vAlign w:val="center"/>
              </w:tcPr>
              <w:p w14:paraId="1BBF206B" w14:textId="77777777" w:rsidR="00E57DAA" w:rsidRDefault="00E57DAA">
                <w:pPr>
                  <w:jc w:val="right"/>
                  <w:rPr>
                    <w:sz w:val="11"/>
                    <w:szCs w:val="11"/>
                  </w:rPr>
                </w:pPr>
              </w:p>
            </w:tc>
            <w:tc>
              <w:tcPr>
                <w:tcW w:w="118" w:type="pct"/>
                <w:vAlign w:val="center"/>
              </w:tcPr>
              <w:p w14:paraId="0E4B7C0B" w14:textId="77777777" w:rsidR="00E57DAA" w:rsidRDefault="00E57DAA">
                <w:pPr>
                  <w:jc w:val="right"/>
                  <w:rPr>
                    <w:sz w:val="11"/>
                    <w:szCs w:val="11"/>
                  </w:rPr>
                </w:pPr>
              </w:p>
            </w:tc>
            <w:tc>
              <w:tcPr>
                <w:tcW w:w="430" w:type="pct"/>
                <w:vAlign w:val="center"/>
              </w:tcPr>
              <w:p w14:paraId="00E27D4E" w14:textId="77777777" w:rsidR="00E57DAA" w:rsidRDefault="00AC4185">
                <w:pPr>
                  <w:jc w:val="right"/>
                  <w:rPr>
                    <w:sz w:val="11"/>
                    <w:szCs w:val="11"/>
                  </w:rPr>
                </w:pPr>
                <w:r>
                  <w:rPr>
                    <w:sz w:val="11"/>
                    <w:szCs w:val="11"/>
                  </w:rPr>
                  <w:t>-773,955,105.10</w:t>
                </w:r>
              </w:p>
            </w:tc>
            <w:tc>
              <w:tcPr>
                <w:tcW w:w="356" w:type="pct"/>
                <w:vAlign w:val="center"/>
              </w:tcPr>
              <w:p w14:paraId="0BEDBB82" w14:textId="77777777" w:rsidR="00E57DAA" w:rsidRDefault="00AC4185">
                <w:pPr>
                  <w:jc w:val="right"/>
                  <w:rPr>
                    <w:sz w:val="11"/>
                    <w:szCs w:val="11"/>
                  </w:rPr>
                </w:pPr>
                <w:r>
                  <w:rPr>
                    <w:sz w:val="11"/>
                    <w:szCs w:val="11"/>
                  </w:rPr>
                  <w:t>39,386,721.82</w:t>
                </w:r>
              </w:p>
            </w:tc>
            <w:tc>
              <w:tcPr>
                <w:tcW w:w="356" w:type="pct"/>
                <w:vAlign w:val="center"/>
              </w:tcPr>
              <w:p w14:paraId="3A3F171C" w14:textId="77777777" w:rsidR="00E57DAA" w:rsidRDefault="00AC4185">
                <w:pPr>
                  <w:jc w:val="right"/>
                  <w:rPr>
                    <w:sz w:val="11"/>
                    <w:szCs w:val="11"/>
                  </w:rPr>
                </w:pPr>
                <w:r>
                  <w:rPr>
                    <w:sz w:val="11"/>
                    <w:szCs w:val="11"/>
                  </w:rPr>
                  <w:t>-16,790,574.08</w:t>
                </w:r>
              </w:p>
            </w:tc>
            <w:tc>
              <w:tcPr>
                <w:tcW w:w="356" w:type="pct"/>
                <w:vAlign w:val="center"/>
              </w:tcPr>
              <w:p w14:paraId="21666AF2" w14:textId="77777777" w:rsidR="00E57DAA" w:rsidRDefault="00AC4185">
                <w:pPr>
                  <w:jc w:val="right"/>
                  <w:rPr>
                    <w:sz w:val="11"/>
                    <w:szCs w:val="11"/>
                  </w:rPr>
                </w:pPr>
                <w:r>
                  <w:rPr>
                    <w:sz w:val="11"/>
                    <w:szCs w:val="11"/>
                  </w:rPr>
                  <w:t>-210,460.67</w:t>
                </w:r>
              </w:p>
            </w:tc>
            <w:tc>
              <w:tcPr>
                <w:tcW w:w="395" w:type="pct"/>
                <w:vAlign w:val="center"/>
              </w:tcPr>
              <w:p w14:paraId="712198EF" w14:textId="77777777" w:rsidR="00E57DAA" w:rsidRDefault="00AC4185">
                <w:pPr>
                  <w:jc w:val="right"/>
                  <w:rPr>
                    <w:sz w:val="11"/>
                    <w:szCs w:val="11"/>
                  </w:rPr>
                </w:pPr>
                <w:r>
                  <w:rPr>
                    <w:sz w:val="11"/>
                    <w:szCs w:val="11"/>
                  </w:rPr>
                  <w:t>86,377,489.91</w:t>
                </w:r>
              </w:p>
            </w:tc>
            <w:tc>
              <w:tcPr>
                <w:tcW w:w="118" w:type="pct"/>
                <w:vAlign w:val="center"/>
              </w:tcPr>
              <w:p w14:paraId="30F4EC8E" w14:textId="77777777" w:rsidR="00E57DAA" w:rsidRDefault="00E57DAA">
                <w:pPr>
                  <w:jc w:val="right"/>
                  <w:rPr>
                    <w:sz w:val="11"/>
                    <w:szCs w:val="11"/>
                  </w:rPr>
                </w:pPr>
              </w:p>
            </w:tc>
            <w:tc>
              <w:tcPr>
                <w:tcW w:w="415" w:type="pct"/>
                <w:vAlign w:val="center"/>
              </w:tcPr>
              <w:p w14:paraId="3F23D46F" w14:textId="77777777" w:rsidR="00E57DAA" w:rsidRDefault="00AC4185">
                <w:pPr>
                  <w:jc w:val="right"/>
                  <w:rPr>
                    <w:sz w:val="11"/>
                    <w:szCs w:val="11"/>
                  </w:rPr>
                </w:pPr>
                <w:r>
                  <w:rPr>
                    <w:sz w:val="11"/>
                    <w:szCs w:val="11"/>
                  </w:rPr>
                  <w:t>2,034,238,921.91</w:t>
                </w:r>
              </w:p>
            </w:tc>
            <w:tc>
              <w:tcPr>
                <w:tcW w:w="121" w:type="pct"/>
                <w:vAlign w:val="center"/>
              </w:tcPr>
              <w:p w14:paraId="5C997FCA" w14:textId="77777777" w:rsidR="00E57DAA" w:rsidRDefault="00E57DAA">
                <w:pPr>
                  <w:jc w:val="right"/>
                  <w:rPr>
                    <w:sz w:val="11"/>
                    <w:szCs w:val="11"/>
                  </w:rPr>
                </w:pPr>
              </w:p>
            </w:tc>
            <w:tc>
              <w:tcPr>
                <w:tcW w:w="415" w:type="pct"/>
                <w:vAlign w:val="center"/>
              </w:tcPr>
              <w:p w14:paraId="07C83D94" w14:textId="77777777" w:rsidR="00E57DAA" w:rsidRDefault="00AC4185">
                <w:pPr>
                  <w:jc w:val="right"/>
                  <w:rPr>
                    <w:sz w:val="11"/>
                    <w:szCs w:val="11"/>
                  </w:rPr>
                </w:pPr>
                <w:r>
                  <w:rPr>
                    <w:sz w:val="11"/>
                    <w:szCs w:val="11"/>
                  </w:rPr>
                  <w:t>1,666,958,909.15</w:t>
                </w:r>
              </w:p>
            </w:tc>
            <w:tc>
              <w:tcPr>
                <w:tcW w:w="395" w:type="pct"/>
                <w:vAlign w:val="center"/>
              </w:tcPr>
              <w:p w14:paraId="27EF1E66" w14:textId="77777777" w:rsidR="00E57DAA" w:rsidRDefault="00AC4185">
                <w:pPr>
                  <w:jc w:val="right"/>
                  <w:rPr>
                    <w:sz w:val="11"/>
                    <w:szCs w:val="11"/>
                  </w:rPr>
                </w:pPr>
                <w:r>
                  <w:rPr>
                    <w:sz w:val="11"/>
                    <w:szCs w:val="11"/>
                  </w:rPr>
                  <w:t>86,021,705.99</w:t>
                </w:r>
              </w:p>
            </w:tc>
            <w:tc>
              <w:tcPr>
                <w:tcW w:w="415" w:type="pct"/>
                <w:vAlign w:val="center"/>
              </w:tcPr>
              <w:p w14:paraId="1B6DFB69" w14:textId="77777777" w:rsidR="00E57DAA" w:rsidRDefault="00AC4185">
                <w:pPr>
                  <w:jc w:val="right"/>
                  <w:rPr>
                    <w:sz w:val="11"/>
                    <w:szCs w:val="11"/>
                  </w:rPr>
                </w:pPr>
                <w:r>
                  <w:rPr>
                    <w:sz w:val="11"/>
                    <w:szCs w:val="11"/>
                  </w:rPr>
                  <w:t>1,752,980,615.14</w:t>
                </w:r>
              </w:p>
            </w:tc>
          </w:tr>
          <w:tr w:rsidR="00E57DAA" w14:paraId="737DD83B" w14:textId="77777777">
            <w:sdt>
              <w:sdtPr>
                <w:rPr>
                  <w:sz w:val="11"/>
                  <w:szCs w:val="11"/>
                </w:rPr>
                <w:tag w:val="_PLD_55a20255a0a245fd951d5eb42c559389"/>
                <w:id w:val="986285152"/>
              </w:sdtPr>
              <w:sdtEndPr/>
              <w:sdtContent>
                <w:tc>
                  <w:tcPr>
                    <w:tcW w:w="480" w:type="pct"/>
                  </w:tcPr>
                  <w:p w14:paraId="2E23255B" w14:textId="77777777" w:rsidR="00E57DAA" w:rsidRDefault="00AC4185">
                    <w:pPr>
                      <w:rPr>
                        <w:sz w:val="11"/>
                        <w:szCs w:val="11"/>
                      </w:rPr>
                    </w:pPr>
                    <w:r>
                      <w:rPr>
                        <w:rFonts w:hint="eastAsia"/>
                        <w:sz w:val="11"/>
                        <w:szCs w:val="11"/>
                      </w:rPr>
                      <w:t>（一）综合收益总额</w:t>
                    </w:r>
                  </w:p>
                </w:tc>
              </w:sdtContent>
            </w:sdt>
            <w:tc>
              <w:tcPr>
                <w:tcW w:w="395" w:type="pct"/>
                <w:vAlign w:val="center"/>
              </w:tcPr>
              <w:p w14:paraId="155CEB94" w14:textId="77777777" w:rsidR="00E57DAA" w:rsidRDefault="00E57DAA">
                <w:pPr>
                  <w:jc w:val="right"/>
                  <w:rPr>
                    <w:sz w:val="11"/>
                    <w:szCs w:val="11"/>
                  </w:rPr>
                </w:pPr>
              </w:p>
            </w:tc>
            <w:tc>
              <w:tcPr>
                <w:tcW w:w="118" w:type="pct"/>
                <w:vAlign w:val="center"/>
              </w:tcPr>
              <w:p w14:paraId="28C6463D" w14:textId="77777777" w:rsidR="00E57DAA" w:rsidRDefault="00E57DAA">
                <w:pPr>
                  <w:jc w:val="right"/>
                  <w:rPr>
                    <w:sz w:val="11"/>
                    <w:szCs w:val="11"/>
                  </w:rPr>
                </w:pPr>
              </w:p>
            </w:tc>
            <w:tc>
              <w:tcPr>
                <w:tcW w:w="118" w:type="pct"/>
                <w:vAlign w:val="center"/>
              </w:tcPr>
              <w:p w14:paraId="598151D9" w14:textId="77777777" w:rsidR="00E57DAA" w:rsidRDefault="00E57DAA">
                <w:pPr>
                  <w:jc w:val="right"/>
                  <w:rPr>
                    <w:sz w:val="11"/>
                    <w:szCs w:val="11"/>
                  </w:rPr>
                </w:pPr>
              </w:p>
            </w:tc>
            <w:tc>
              <w:tcPr>
                <w:tcW w:w="118" w:type="pct"/>
                <w:vAlign w:val="center"/>
              </w:tcPr>
              <w:p w14:paraId="512DDACE" w14:textId="77777777" w:rsidR="00E57DAA" w:rsidRDefault="00E57DAA">
                <w:pPr>
                  <w:jc w:val="right"/>
                  <w:rPr>
                    <w:sz w:val="11"/>
                    <w:szCs w:val="11"/>
                  </w:rPr>
                </w:pPr>
              </w:p>
            </w:tc>
            <w:tc>
              <w:tcPr>
                <w:tcW w:w="430" w:type="pct"/>
                <w:vAlign w:val="center"/>
              </w:tcPr>
              <w:p w14:paraId="672FFD08" w14:textId="77777777" w:rsidR="00E57DAA" w:rsidRDefault="00E57DAA">
                <w:pPr>
                  <w:jc w:val="right"/>
                  <w:rPr>
                    <w:sz w:val="11"/>
                    <w:szCs w:val="11"/>
                  </w:rPr>
                </w:pPr>
              </w:p>
            </w:tc>
            <w:tc>
              <w:tcPr>
                <w:tcW w:w="356" w:type="pct"/>
                <w:vAlign w:val="center"/>
              </w:tcPr>
              <w:p w14:paraId="370B00D6" w14:textId="77777777" w:rsidR="00E57DAA" w:rsidRDefault="00E57DAA">
                <w:pPr>
                  <w:jc w:val="right"/>
                  <w:rPr>
                    <w:sz w:val="11"/>
                    <w:szCs w:val="11"/>
                  </w:rPr>
                </w:pPr>
              </w:p>
            </w:tc>
            <w:tc>
              <w:tcPr>
                <w:tcW w:w="356" w:type="pct"/>
                <w:vAlign w:val="center"/>
              </w:tcPr>
              <w:p w14:paraId="3C2BDEEB" w14:textId="77777777" w:rsidR="00E57DAA" w:rsidRDefault="00AC4185">
                <w:pPr>
                  <w:jc w:val="right"/>
                  <w:rPr>
                    <w:sz w:val="11"/>
                    <w:szCs w:val="11"/>
                  </w:rPr>
                </w:pPr>
                <w:r>
                  <w:rPr>
                    <w:sz w:val="11"/>
                    <w:szCs w:val="11"/>
                  </w:rPr>
                  <w:t>-16,790,574.08</w:t>
                </w:r>
              </w:p>
            </w:tc>
            <w:tc>
              <w:tcPr>
                <w:tcW w:w="356" w:type="pct"/>
                <w:vAlign w:val="center"/>
              </w:tcPr>
              <w:p w14:paraId="7A13BAA7" w14:textId="77777777" w:rsidR="00E57DAA" w:rsidRDefault="00E57DAA">
                <w:pPr>
                  <w:jc w:val="right"/>
                  <w:rPr>
                    <w:sz w:val="11"/>
                    <w:szCs w:val="11"/>
                  </w:rPr>
                </w:pPr>
              </w:p>
            </w:tc>
            <w:tc>
              <w:tcPr>
                <w:tcW w:w="395" w:type="pct"/>
                <w:vAlign w:val="center"/>
              </w:tcPr>
              <w:p w14:paraId="61EC9E57" w14:textId="77777777" w:rsidR="00E57DAA" w:rsidRDefault="00E57DAA">
                <w:pPr>
                  <w:jc w:val="right"/>
                  <w:rPr>
                    <w:sz w:val="11"/>
                    <w:szCs w:val="11"/>
                  </w:rPr>
                </w:pPr>
              </w:p>
            </w:tc>
            <w:tc>
              <w:tcPr>
                <w:tcW w:w="118" w:type="pct"/>
                <w:vAlign w:val="center"/>
              </w:tcPr>
              <w:p w14:paraId="4D834B3E" w14:textId="77777777" w:rsidR="00E57DAA" w:rsidRDefault="00E57DAA">
                <w:pPr>
                  <w:jc w:val="right"/>
                  <w:rPr>
                    <w:sz w:val="11"/>
                    <w:szCs w:val="11"/>
                  </w:rPr>
                </w:pPr>
              </w:p>
            </w:tc>
            <w:tc>
              <w:tcPr>
                <w:tcW w:w="415" w:type="pct"/>
                <w:vAlign w:val="center"/>
              </w:tcPr>
              <w:p w14:paraId="40EA68FB" w14:textId="77777777" w:rsidR="00E57DAA" w:rsidRDefault="00AC4185">
                <w:pPr>
                  <w:jc w:val="right"/>
                  <w:rPr>
                    <w:sz w:val="11"/>
                    <w:szCs w:val="11"/>
                  </w:rPr>
                </w:pPr>
                <w:r>
                  <w:rPr>
                    <w:sz w:val="11"/>
                    <w:szCs w:val="11"/>
                  </w:rPr>
                  <w:t>2,915,811,638.72</w:t>
                </w:r>
              </w:p>
            </w:tc>
            <w:tc>
              <w:tcPr>
                <w:tcW w:w="121" w:type="pct"/>
                <w:vAlign w:val="center"/>
              </w:tcPr>
              <w:p w14:paraId="7BCA4EC1" w14:textId="77777777" w:rsidR="00E57DAA" w:rsidRDefault="00E57DAA">
                <w:pPr>
                  <w:jc w:val="right"/>
                  <w:rPr>
                    <w:sz w:val="11"/>
                    <w:szCs w:val="11"/>
                  </w:rPr>
                </w:pPr>
              </w:p>
            </w:tc>
            <w:tc>
              <w:tcPr>
                <w:tcW w:w="415" w:type="pct"/>
                <w:vAlign w:val="center"/>
              </w:tcPr>
              <w:p w14:paraId="1B3C3FB2" w14:textId="77777777" w:rsidR="00E57DAA" w:rsidRDefault="00AC4185">
                <w:pPr>
                  <w:jc w:val="right"/>
                  <w:rPr>
                    <w:sz w:val="11"/>
                    <w:szCs w:val="11"/>
                  </w:rPr>
                </w:pPr>
                <w:r>
                  <w:rPr>
                    <w:sz w:val="11"/>
                    <w:szCs w:val="11"/>
                  </w:rPr>
                  <w:t>2,899,021,064.64</w:t>
                </w:r>
              </w:p>
            </w:tc>
            <w:tc>
              <w:tcPr>
                <w:tcW w:w="395" w:type="pct"/>
                <w:vAlign w:val="center"/>
              </w:tcPr>
              <w:p w14:paraId="7164539F" w14:textId="77777777" w:rsidR="00E57DAA" w:rsidRDefault="00AC4185">
                <w:pPr>
                  <w:jc w:val="right"/>
                  <w:rPr>
                    <w:sz w:val="11"/>
                    <w:szCs w:val="11"/>
                  </w:rPr>
                </w:pPr>
                <w:r>
                  <w:rPr>
                    <w:sz w:val="11"/>
                    <w:szCs w:val="11"/>
                  </w:rPr>
                  <w:t>278,857,385.14</w:t>
                </w:r>
              </w:p>
            </w:tc>
            <w:tc>
              <w:tcPr>
                <w:tcW w:w="415" w:type="pct"/>
                <w:vAlign w:val="center"/>
              </w:tcPr>
              <w:p w14:paraId="30E8F14D" w14:textId="77777777" w:rsidR="00E57DAA" w:rsidRDefault="00AC4185">
                <w:pPr>
                  <w:jc w:val="right"/>
                  <w:rPr>
                    <w:sz w:val="11"/>
                    <w:szCs w:val="11"/>
                  </w:rPr>
                </w:pPr>
                <w:r>
                  <w:rPr>
                    <w:sz w:val="11"/>
                    <w:szCs w:val="11"/>
                  </w:rPr>
                  <w:t>3,177,878,449.78</w:t>
                </w:r>
              </w:p>
            </w:tc>
          </w:tr>
          <w:tr w:rsidR="00E57DAA" w14:paraId="079294B5" w14:textId="77777777">
            <w:sdt>
              <w:sdtPr>
                <w:rPr>
                  <w:sz w:val="11"/>
                  <w:szCs w:val="11"/>
                </w:rPr>
                <w:tag w:val="_PLD_cabd5a3f22a849b08cf8df11a07115b5"/>
                <w:id w:val="-1295063293"/>
              </w:sdtPr>
              <w:sdtEndPr/>
              <w:sdtContent>
                <w:tc>
                  <w:tcPr>
                    <w:tcW w:w="480" w:type="pct"/>
                  </w:tcPr>
                  <w:p w14:paraId="3DDD57A7" w14:textId="77777777" w:rsidR="00E57DAA" w:rsidRDefault="00AC4185">
                    <w:pPr>
                      <w:rPr>
                        <w:sz w:val="11"/>
                        <w:szCs w:val="11"/>
                      </w:rPr>
                    </w:pPr>
                    <w:r>
                      <w:rPr>
                        <w:sz w:val="11"/>
                        <w:szCs w:val="11"/>
                      </w:rPr>
                      <w:t>（</w:t>
                    </w:r>
                    <w:r>
                      <w:rPr>
                        <w:rFonts w:hint="eastAsia"/>
                        <w:sz w:val="11"/>
                        <w:szCs w:val="11"/>
                      </w:rPr>
                      <w:t>二</w:t>
                    </w:r>
                    <w:r>
                      <w:rPr>
                        <w:sz w:val="11"/>
                        <w:szCs w:val="11"/>
                      </w:rPr>
                      <w:t>）所有者投入和减少资本</w:t>
                    </w:r>
                  </w:p>
                </w:tc>
              </w:sdtContent>
            </w:sdt>
            <w:tc>
              <w:tcPr>
                <w:tcW w:w="395" w:type="pct"/>
                <w:vAlign w:val="center"/>
              </w:tcPr>
              <w:p w14:paraId="6F788432" w14:textId="77777777" w:rsidR="00E57DAA" w:rsidRDefault="00AC4185">
                <w:pPr>
                  <w:jc w:val="right"/>
                  <w:rPr>
                    <w:sz w:val="11"/>
                    <w:szCs w:val="11"/>
                  </w:rPr>
                </w:pPr>
                <w:r>
                  <w:rPr>
                    <w:sz w:val="11"/>
                    <w:szCs w:val="11"/>
                  </w:rPr>
                  <w:t>376,685,359.00</w:t>
                </w:r>
              </w:p>
            </w:tc>
            <w:tc>
              <w:tcPr>
                <w:tcW w:w="118" w:type="pct"/>
                <w:vAlign w:val="center"/>
              </w:tcPr>
              <w:p w14:paraId="7D746CE5" w14:textId="77777777" w:rsidR="00E57DAA" w:rsidRDefault="00E57DAA">
                <w:pPr>
                  <w:jc w:val="right"/>
                  <w:rPr>
                    <w:sz w:val="11"/>
                    <w:szCs w:val="11"/>
                  </w:rPr>
                </w:pPr>
              </w:p>
            </w:tc>
            <w:tc>
              <w:tcPr>
                <w:tcW w:w="118" w:type="pct"/>
                <w:vAlign w:val="center"/>
              </w:tcPr>
              <w:p w14:paraId="76827B68" w14:textId="77777777" w:rsidR="00E57DAA" w:rsidRDefault="00E57DAA">
                <w:pPr>
                  <w:jc w:val="right"/>
                  <w:rPr>
                    <w:sz w:val="11"/>
                    <w:szCs w:val="11"/>
                  </w:rPr>
                </w:pPr>
              </w:p>
            </w:tc>
            <w:tc>
              <w:tcPr>
                <w:tcW w:w="118" w:type="pct"/>
                <w:vAlign w:val="center"/>
              </w:tcPr>
              <w:p w14:paraId="06C54C7B" w14:textId="77777777" w:rsidR="00E57DAA" w:rsidRDefault="00E57DAA">
                <w:pPr>
                  <w:jc w:val="right"/>
                  <w:rPr>
                    <w:sz w:val="11"/>
                    <w:szCs w:val="11"/>
                  </w:rPr>
                </w:pPr>
              </w:p>
            </w:tc>
            <w:tc>
              <w:tcPr>
                <w:tcW w:w="430" w:type="pct"/>
                <w:vAlign w:val="center"/>
              </w:tcPr>
              <w:p w14:paraId="5A13BC5C" w14:textId="77777777" w:rsidR="00E57DAA" w:rsidRDefault="00AC4185">
                <w:pPr>
                  <w:jc w:val="right"/>
                  <w:rPr>
                    <w:sz w:val="11"/>
                    <w:szCs w:val="11"/>
                  </w:rPr>
                </w:pPr>
                <w:r>
                  <w:rPr>
                    <w:sz w:val="11"/>
                    <w:szCs w:val="11"/>
                  </w:rPr>
                  <w:t>-773,953,742.39</w:t>
                </w:r>
              </w:p>
            </w:tc>
            <w:tc>
              <w:tcPr>
                <w:tcW w:w="356" w:type="pct"/>
                <w:vAlign w:val="center"/>
              </w:tcPr>
              <w:p w14:paraId="422DFFAC" w14:textId="77777777" w:rsidR="00E57DAA" w:rsidRDefault="00AC4185">
                <w:pPr>
                  <w:jc w:val="right"/>
                  <w:rPr>
                    <w:sz w:val="11"/>
                    <w:szCs w:val="11"/>
                  </w:rPr>
                </w:pPr>
                <w:r>
                  <w:rPr>
                    <w:sz w:val="11"/>
                    <w:szCs w:val="11"/>
                  </w:rPr>
                  <w:t>39,386,721.82</w:t>
                </w:r>
              </w:p>
            </w:tc>
            <w:tc>
              <w:tcPr>
                <w:tcW w:w="356" w:type="pct"/>
                <w:vAlign w:val="center"/>
              </w:tcPr>
              <w:p w14:paraId="79B632B0" w14:textId="77777777" w:rsidR="00E57DAA" w:rsidRDefault="00E57DAA">
                <w:pPr>
                  <w:jc w:val="right"/>
                  <w:rPr>
                    <w:sz w:val="11"/>
                    <w:szCs w:val="11"/>
                  </w:rPr>
                </w:pPr>
              </w:p>
            </w:tc>
            <w:tc>
              <w:tcPr>
                <w:tcW w:w="356" w:type="pct"/>
                <w:vAlign w:val="center"/>
              </w:tcPr>
              <w:p w14:paraId="5DC37588" w14:textId="77777777" w:rsidR="00E57DAA" w:rsidRDefault="00E57DAA">
                <w:pPr>
                  <w:jc w:val="right"/>
                  <w:rPr>
                    <w:sz w:val="11"/>
                    <w:szCs w:val="11"/>
                  </w:rPr>
                </w:pPr>
              </w:p>
            </w:tc>
            <w:tc>
              <w:tcPr>
                <w:tcW w:w="395" w:type="pct"/>
                <w:vAlign w:val="center"/>
              </w:tcPr>
              <w:p w14:paraId="2E80DC51" w14:textId="77777777" w:rsidR="00E57DAA" w:rsidRDefault="00E57DAA">
                <w:pPr>
                  <w:jc w:val="right"/>
                  <w:rPr>
                    <w:sz w:val="11"/>
                    <w:szCs w:val="11"/>
                  </w:rPr>
                </w:pPr>
              </w:p>
            </w:tc>
            <w:tc>
              <w:tcPr>
                <w:tcW w:w="118" w:type="pct"/>
                <w:vAlign w:val="center"/>
              </w:tcPr>
              <w:p w14:paraId="2090D736" w14:textId="77777777" w:rsidR="00E57DAA" w:rsidRDefault="00E57DAA">
                <w:pPr>
                  <w:jc w:val="right"/>
                  <w:rPr>
                    <w:sz w:val="11"/>
                    <w:szCs w:val="11"/>
                  </w:rPr>
                </w:pPr>
              </w:p>
            </w:tc>
            <w:tc>
              <w:tcPr>
                <w:tcW w:w="415" w:type="pct"/>
                <w:vAlign w:val="center"/>
              </w:tcPr>
              <w:p w14:paraId="6F9CE68A" w14:textId="77777777" w:rsidR="00E57DAA" w:rsidRDefault="00E57DAA">
                <w:pPr>
                  <w:jc w:val="right"/>
                  <w:rPr>
                    <w:sz w:val="11"/>
                    <w:szCs w:val="11"/>
                  </w:rPr>
                </w:pPr>
              </w:p>
            </w:tc>
            <w:tc>
              <w:tcPr>
                <w:tcW w:w="121" w:type="pct"/>
                <w:vAlign w:val="center"/>
              </w:tcPr>
              <w:p w14:paraId="7145379D" w14:textId="77777777" w:rsidR="00E57DAA" w:rsidRDefault="00E57DAA">
                <w:pPr>
                  <w:jc w:val="right"/>
                  <w:rPr>
                    <w:sz w:val="11"/>
                    <w:szCs w:val="11"/>
                  </w:rPr>
                </w:pPr>
              </w:p>
            </w:tc>
            <w:tc>
              <w:tcPr>
                <w:tcW w:w="415" w:type="pct"/>
                <w:vAlign w:val="center"/>
              </w:tcPr>
              <w:p w14:paraId="07736911" w14:textId="77777777" w:rsidR="00E57DAA" w:rsidRDefault="00AC4185">
                <w:pPr>
                  <w:jc w:val="right"/>
                  <w:rPr>
                    <w:sz w:val="11"/>
                    <w:szCs w:val="11"/>
                  </w:rPr>
                </w:pPr>
                <w:r>
                  <w:rPr>
                    <w:sz w:val="11"/>
                    <w:szCs w:val="11"/>
                  </w:rPr>
                  <w:t>-436,655,105.21</w:t>
                </w:r>
              </w:p>
            </w:tc>
            <w:tc>
              <w:tcPr>
                <w:tcW w:w="395" w:type="pct"/>
                <w:vAlign w:val="center"/>
              </w:tcPr>
              <w:p w14:paraId="71925B5C" w14:textId="77777777" w:rsidR="00E57DAA" w:rsidRDefault="00AC4185">
                <w:pPr>
                  <w:jc w:val="right"/>
                  <w:rPr>
                    <w:sz w:val="11"/>
                    <w:szCs w:val="11"/>
                  </w:rPr>
                </w:pPr>
                <w:r>
                  <w:rPr>
                    <w:sz w:val="11"/>
                    <w:szCs w:val="11"/>
                  </w:rPr>
                  <w:t>-53,055,352.21</w:t>
                </w:r>
              </w:p>
            </w:tc>
            <w:tc>
              <w:tcPr>
                <w:tcW w:w="415" w:type="pct"/>
                <w:vAlign w:val="center"/>
              </w:tcPr>
              <w:p w14:paraId="16C7BC61" w14:textId="77777777" w:rsidR="00E57DAA" w:rsidRDefault="00AC4185">
                <w:pPr>
                  <w:jc w:val="right"/>
                  <w:rPr>
                    <w:sz w:val="11"/>
                    <w:szCs w:val="11"/>
                  </w:rPr>
                </w:pPr>
                <w:r>
                  <w:rPr>
                    <w:sz w:val="11"/>
                    <w:szCs w:val="11"/>
                  </w:rPr>
                  <w:t>-489,710,457.42</w:t>
                </w:r>
              </w:p>
            </w:tc>
          </w:tr>
          <w:tr w:rsidR="00E57DAA" w14:paraId="2FCCDB3D" w14:textId="77777777">
            <w:sdt>
              <w:sdtPr>
                <w:rPr>
                  <w:sz w:val="11"/>
                  <w:szCs w:val="11"/>
                </w:rPr>
                <w:tag w:val="_PLD_4d4d24462cb048579eb01f9b1c8956b1"/>
                <w:id w:val="-757138634"/>
              </w:sdtPr>
              <w:sdtEndPr/>
              <w:sdtContent>
                <w:tc>
                  <w:tcPr>
                    <w:tcW w:w="480" w:type="pct"/>
                  </w:tcPr>
                  <w:p w14:paraId="1D5F9176" w14:textId="77777777" w:rsidR="00E57DAA" w:rsidRDefault="00AC4185">
                    <w:pPr>
                      <w:rPr>
                        <w:sz w:val="11"/>
                        <w:szCs w:val="11"/>
                      </w:rPr>
                    </w:pPr>
                    <w:r>
                      <w:rPr>
                        <w:rFonts w:hint="eastAsia"/>
                        <w:sz w:val="11"/>
                        <w:szCs w:val="11"/>
                      </w:rPr>
                      <w:t>1．所有者投入的普通股</w:t>
                    </w:r>
                  </w:p>
                </w:tc>
              </w:sdtContent>
            </w:sdt>
            <w:tc>
              <w:tcPr>
                <w:tcW w:w="395" w:type="pct"/>
                <w:vAlign w:val="center"/>
              </w:tcPr>
              <w:p w14:paraId="765C2E0F" w14:textId="77777777" w:rsidR="00E57DAA" w:rsidRDefault="00AC4185">
                <w:pPr>
                  <w:jc w:val="right"/>
                  <w:rPr>
                    <w:sz w:val="11"/>
                    <w:szCs w:val="11"/>
                  </w:rPr>
                </w:pPr>
                <w:r>
                  <w:rPr>
                    <w:sz w:val="11"/>
                    <w:szCs w:val="11"/>
                  </w:rPr>
                  <w:t>366,878,106.00</w:t>
                </w:r>
              </w:p>
            </w:tc>
            <w:tc>
              <w:tcPr>
                <w:tcW w:w="118" w:type="pct"/>
                <w:vAlign w:val="center"/>
              </w:tcPr>
              <w:p w14:paraId="495FFF9E" w14:textId="77777777" w:rsidR="00E57DAA" w:rsidRDefault="00E57DAA">
                <w:pPr>
                  <w:jc w:val="right"/>
                  <w:rPr>
                    <w:sz w:val="11"/>
                    <w:szCs w:val="11"/>
                  </w:rPr>
                </w:pPr>
              </w:p>
            </w:tc>
            <w:tc>
              <w:tcPr>
                <w:tcW w:w="118" w:type="pct"/>
                <w:vAlign w:val="center"/>
              </w:tcPr>
              <w:p w14:paraId="02DE2825" w14:textId="77777777" w:rsidR="00E57DAA" w:rsidRDefault="00E57DAA">
                <w:pPr>
                  <w:jc w:val="right"/>
                  <w:rPr>
                    <w:sz w:val="11"/>
                    <w:szCs w:val="11"/>
                  </w:rPr>
                </w:pPr>
              </w:p>
            </w:tc>
            <w:tc>
              <w:tcPr>
                <w:tcW w:w="118" w:type="pct"/>
                <w:vAlign w:val="center"/>
              </w:tcPr>
              <w:p w14:paraId="1FB6BB75" w14:textId="77777777" w:rsidR="00E57DAA" w:rsidRDefault="00E57DAA">
                <w:pPr>
                  <w:jc w:val="right"/>
                  <w:rPr>
                    <w:sz w:val="11"/>
                    <w:szCs w:val="11"/>
                  </w:rPr>
                </w:pPr>
              </w:p>
            </w:tc>
            <w:tc>
              <w:tcPr>
                <w:tcW w:w="430" w:type="pct"/>
                <w:vAlign w:val="center"/>
              </w:tcPr>
              <w:p w14:paraId="40422AD5" w14:textId="77777777" w:rsidR="00E57DAA" w:rsidRDefault="00AC4185">
                <w:pPr>
                  <w:jc w:val="right"/>
                  <w:rPr>
                    <w:sz w:val="11"/>
                    <w:szCs w:val="11"/>
                  </w:rPr>
                </w:pPr>
                <w:r>
                  <w:rPr>
                    <w:sz w:val="11"/>
                    <w:szCs w:val="11"/>
                  </w:rPr>
                  <w:t>2,732,895,778.28</w:t>
                </w:r>
              </w:p>
            </w:tc>
            <w:tc>
              <w:tcPr>
                <w:tcW w:w="356" w:type="pct"/>
                <w:vAlign w:val="center"/>
              </w:tcPr>
              <w:p w14:paraId="4572081E" w14:textId="77777777" w:rsidR="00E57DAA" w:rsidRDefault="00E57DAA">
                <w:pPr>
                  <w:jc w:val="right"/>
                  <w:rPr>
                    <w:sz w:val="11"/>
                    <w:szCs w:val="11"/>
                  </w:rPr>
                </w:pPr>
              </w:p>
            </w:tc>
            <w:tc>
              <w:tcPr>
                <w:tcW w:w="356" w:type="pct"/>
                <w:vAlign w:val="center"/>
              </w:tcPr>
              <w:p w14:paraId="42AE3F77" w14:textId="77777777" w:rsidR="00E57DAA" w:rsidRDefault="00E57DAA">
                <w:pPr>
                  <w:jc w:val="right"/>
                  <w:rPr>
                    <w:sz w:val="11"/>
                    <w:szCs w:val="11"/>
                  </w:rPr>
                </w:pPr>
              </w:p>
            </w:tc>
            <w:tc>
              <w:tcPr>
                <w:tcW w:w="356" w:type="pct"/>
                <w:vAlign w:val="center"/>
              </w:tcPr>
              <w:p w14:paraId="31C58688" w14:textId="77777777" w:rsidR="00E57DAA" w:rsidRDefault="00E57DAA">
                <w:pPr>
                  <w:jc w:val="right"/>
                  <w:rPr>
                    <w:sz w:val="11"/>
                    <w:szCs w:val="11"/>
                  </w:rPr>
                </w:pPr>
              </w:p>
            </w:tc>
            <w:tc>
              <w:tcPr>
                <w:tcW w:w="395" w:type="pct"/>
                <w:vAlign w:val="center"/>
              </w:tcPr>
              <w:p w14:paraId="01C6E222" w14:textId="77777777" w:rsidR="00E57DAA" w:rsidRDefault="00E57DAA">
                <w:pPr>
                  <w:jc w:val="right"/>
                  <w:rPr>
                    <w:sz w:val="11"/>
                    <w:szCs w:val="11"/>
                  </w:rPr>
                </w:pPr>
              </w:p>
            </w:tc>
            <w:tc>
              <w:tcPr>
                <w:tcW w:w="118" w:type="pct"/>
                <w:vAlign w:val="center"/>
              </w:tcPr>
              <w:p w14:paraId="45DDD3D8" w14:textId="77777777" w:rsidR="00E57DAA" w:rsidRDefault="00E57DAA">
                <w:pPr>
                  <w:jc w:val="right"/>
                  <w:rPr>
                    <w:sz w:val="11"/>
                    <w:szCs w:val="11"/>
                  </w:rPr>
                </w:pPr>
              </w:p>
            </w:tc>
            <w:tc>
              <w:tcPr>
                <w:tcW w:w="415" w:type="pct"/>
                <w:vAlign w:val="center"/>
              </w:tcPr>
              <w:p w14:paraId="6A14E6BA" w14:textId="77777777" w:rsidR="00E57DAA" w:rsidRDefault="00E57DAA">
                <w:pPr>
                  <w:jc w:val="right"/>
                  <w:rPr>
                    <w:sz w:val="11"/>
                    <w:szCs w:val="11"/>
                  </w:rPr>
                </w:pPr>
              </w:p>
            </w:tc>
            <w:tc>
              <w:tcPr>
                <w:tcW w:w="121" w:type="pct"/>
                <w:vAlign w:val="center"/>
              </w:tcPr>
              <w:p w14:paraId="3EE45592" w14:textId="77777777" w:rsidR="00E57DAA" w:rsidRDefault="00E57DAA">
                <w:pPr>
                  <w:jc w:val="right"/>
                  <w:rPr>
                    <w:sz w:val="11"/>
                    <w:szCs w:val="11"/>
                  </w:rPr>
                </w:pPr>
              </w:p>
            </w:tc>
            <w:tc>
              <w:tcPr>
                <w:tcW w:w="415" w:type="pct"/>
                <w:vAlign w:val="center"/>
              </w:tcPr>
              <w:p w14:paraId="58B3A05F" w14:textId="77777777" w:rsidR="00E57DAA" w:rsidRDefault="00AC4185">
                <w:pPr>
                  <w:jc w:val="right"/>
                  <w:rPr>
                    <w:sz w:val="11"/>
                    <w:szCs w:val="11"/>
                  </w:rPr>
                </w:pPr>
                <w:r>
                  <w:rPr>
                    <w:sz w:val="11"/>
                    <w:szCs w:val="11"/>
                  </w:rPr>
                  <w:t>3,099,773,884.28</w:t>
                </w:r>
              </w:p>
            </w:tc>
            <w:tc>
              <w:tcPr>
                <w:tcW w:w="395" w:type="pct"/>
                <w:vAlign w:val="center"/>
              </w:tcPr>
              <w:p w14:paraId="7E1C50A6" w14:textId="77777777" w:rsidR="00E57DAA" w:rsidRDefault="00AC4185">
                <w:pPr>
                  <w:jc w:val="right"/>
                  <w:rPr>
                    <w:sz w:val="11"/>
                    <w:szCs w:val="11"/>
                  </w:rPr>
                </w:pPr>
                <w:r>
                  <w:rPr>
                    <w:sz w:val="11"/>
                    <w:szCs w:val="11"/>
                  </w:rPr>
                  <w:t>-24,002,667.00</w:t>
                </w:r>
              </w:p>
            </w:tc>
            <w:tc>
              <w:tcPr>
                <w:tcW w:w="415" w:type="pct"/>
                <w:vAlign w:val="center"/>
              </w:tcPr>
              <w:p w14:paraId="1F4EDEFA" w14:textId="77777777" w:rsidR="00E57DAA" w:rsidRDefault="00AC4185">
                <w:pPr>
                  <w:jc w:val="right"/>
                  <w:rPr>
                    <w:sz w:val="11"/>
                    <w:szCs w:val="11"/>
                  </w:rPr>
                </w:pPr>
                <w:r>
                  <w:rPr>
                    <w:sz w:val="11"/>
                    <w:szCs w:val="11"/>
                  </w:rPr>
                  <w:t>3,075,771,217.28</w:t>
                </w:r>
              </w:p>
            </w:tc>
          </w:tr>
          <w:tr w:rsidR="00E57DAA" w14:paraId="4A835B88" w14:textId="77777777">
            <w:sdt>
              <w:sdtPr>
                <w:rPr>
                  <w:sz w:val="11"/>
                  <w:szCs w:val="11"/>
                </w:rPr>
                <w:tag w:val="_PLD_2b1df3030d9b41699f4a3e651f6c74e7"/>
                <w:id w:val="-1281110549"/>
              </w:sdtPr>
              <w:sdtEndPr/>
              <w:sdtContent>
                <w:tc>
                  <w:tcPr>
                    <w:tcW w:w="480" w:type="pct"/>
                  </w:tcPr>
                  <w:p w14:paraId="61037266" w14:textId="77777777" w:rsidR="00E57DAA" w:rsidRDefault="00AC4185">
                    <w:pPr>
                      <w:rPr>
                        <w:sz w:val="11"/>
                        <w:szCs w:val="11"/>
                      </w:rPr>
                    </w:pPr>
                    <w:r>
                      <w:rPr>
                        <w:rFonts w:hint="eastAsia"/>
                        <w:sz w:val="11"/>
                        <w:szCs w:val="11"/>
                      </w:rPr>
                      <w:t>2．其他权益工具持有者投入资本</w:t>
                    </w:r>
                  </w:p>
                </w:tc>
              </w:sdtContent>
            </w:sdt>
            <w:tc>
              <w:tcPr>
                <w:tcW w:w="395" w:type="pct"/>
                <w:vAlign w:val="center"/>
              </w:tcPr>
              <w:p w14:paraId="5C489895" w14:textId="77777777" w:rsidR="00E57DAA" w:rsidRDefault="00E57DAA">
                <w:pPr>
                  <w:jc w:val="right"/>
                  <w:rPr>
                    <w:sz w:val="11"/>
                    <w:szCs w:val="11"/>
                  </w:rPr>
                </w:pPr>
              </w:p>
            </w:tc>
            <w:tc>
              <w:tcPr>
                <w:tcW w:w="118" w:type="pct"/>
                <w:vAlign w:val="center"/>
              </w:tcPr>
              <w:p w14:paraId="68126AB0" w14:textId="77777777" w:rsidR="00E57DAA" w:rsidRDefault="00E57DAA">
                <w:pPr>
                  <w:jc w:val="right"/>
                  <w:rPr>
                    <w:sz w:val="11"/>
                    <w:szCs w:val="11"/>
                  </w:rPr>
                </w:pPr>
              </w:p>
            </w:tc>
            <w:tc>
              <w:tcPr>
                <w:tcW w:w="118" w:type="pct"/>
                <w:vAlign w:val="center"/>
              </w:tcPr>
              <w:p w14:paraId="2593C49F" w14:textId="77777777" w:rsidR="00E57DAA" w:rsidRDefault="00E57DAA">
                <w:pPr>
                  <w:jc w:val="right"/>
                  <w:rPr>
                    <w:sz w:val="11"/>
                    <w:szCs w:val="11"/>
                  </w:rPr>
                </w:pPr>
              </w:p>
            </w:tc>
            <w:tc>
              <w:tcPr>
                <w:tcW w:w="118" w:type="pct"/>
                <w:vAlign w:val="center"/>
              </w:tcPr>
              <w:p w14:paraId="30EAC3B5" w14:textId="77777777" w:rsidR="00E57DAA" w:rsidRDefault="00E57DAA">
                <w:pPr>
                  <w:jc w:val="right"/>
                  <w:rPr>
                    <w:sz w:val="11"/>
                    <w:szCs w:val="11"/>
                  </w:rPr>
                </w:pPr>
              </w:p>
            </w:tc>
            <w:tc>
              <w:tcPr>
                <w:tcW w:w="430" w:type="pct"/>
                <w:vAlign w:val="center"/>
              </w:tcPr>
              <w:p w14:paraId="3962B638" w14:textId="77777777" w:rsidR="00E57DAA" w:rsidRDefault="00E57DAA">
                <w:pPr>
                  <w:jc w:val="right"/>
                  <w:rPr>
                    <w:sz w:val="11"/>
                    <w:szCs w:val="11"/>
                  </w:rPr>
                </w:pPr>
              </w:p>
            </w:tc>
            <w:tc>
              <w:tcPr>
                <w:tcW w:w="356" w:type="pct"/>
                <w:vAlign w:val="center"/>
              </w:tcPr>
              <w:p w14:paraId="1AF5566A" w14:textId="77777777" w:rsidR="00E57DAA" w:rsidRDefault="00E57DAA">
                <w:pPr>
                  <w:jc w:val="right"/>
                  <w:rPr>
                    <w:sz w:val="11"/>
                    <w:szCs w:val="11"/>
                  </w:rPr>
                </w:pPr>
              </w:p>
            </w:tc>
            <w:tc>
              <w:tcPr>
                <w:tcW w:w="356" w:type="pct"/>
                <w:vAlign w:val="center"/>
              </w:tcPr>
              <w:p w14:paraId="5100F2B4" w14:textId="77777777" w:rsidR="00E57DAA" w:rsidRDefault="00E57DAA">
                <w:pPr>
                  <w:jc w:val="right"/>
                  <w:rPr>
                    <w:sz w:val="11"/>
                    <w:szCs w:val="11"/>
                  </w:rPr>
                </w:pPr>
              </w:p>
            </w:tc>
            <w:tc>
              <w:tcPr>
                <w:tcW w:w="356" w:type="pct"/>
                <w:vAlign w:val="center"/>
              </w:tcPr>
              <w:p w14:paraId="2C6BC732" w14:textId="77777777" w:rsidR="00E57DAA" w:rsidRDefault="00E57DAA">
                <w:pPr>
                  <w:jc w:val="right"/>
                  <w:rPr>
                    <w:sz w:val="11"/>
                    <w:szCs w:val="11"/>
                  </w:rPr>
                </w:pPr>
              </w:p>
            </w:tc>
            <w:tc>
              <w:tcPr>
                <w:tcW w:w="395" w:type="pct"/>
                <w:vAlign w:val="center"/>
              </w:tcPr>
              <w:p w14:paraId="3DC5A0E8" w14:textId="77777777" w:rsidR="00E57DAA" w:rsidRDefault="00E57DAA">
                <w:pPr>
                  <w:jc w:val="right"/>
                  <w:rPr>
                    <w:sz w:val="11"/>
                    <w:szCs w:val="11"/>
                  </w:rPr>
                </w:pPr>
              </w:p>
            </w:tc>
            <w:tc>
              <w:tcPr>
                <w:tcW w:w="118" w:type="pct"/>
                <w:vAlign w:val="center"/>
              </w:tcPr>
              <w:p w14:paraId="61BAB2A8" w14:textId="77777777" w:rsidR="00E57DAA" w:rsidRDefault="00E57DAA">
                <w:pPr>
                  <w:jc w:val="right"/>
                  <w:rPr>
                    <w:sz w:val="11"/>
                    <w:szCs w:val="11"/>
                  </w:rPr>
                </w:pPr>
              </w:p>
            </w:tc>
            <w:tc>
              <w:tcPr>
                <w:tcW w:w="415" w:type="pct"/>
                <w:vAlign w:val="center"/>
              </w:tcPr>
              <w:p w14:paraId="5264B0B8" w14:textId="77777777" w:rsidR="00E57DAA" w:rsidRDefault="00E57DAA">
                <w:pPr>
                  <w:jc w:val="right"/>
                  <w:rPr>
                    <w:sz w:val="11"/>
                    <w:szCs w:val="11"/>
                  </w:rPr>
                </w:pPr>
              </w:p>
            </w:tc>
            <w:tc>
              <w:tcPr>
                <w:tcW w:w="121" w:type="pct"/>
                <w:vAlign w:val="center"/>
              </w:tcPr>
              <w:p w14:paraId="7BDC6CF0" w14:textId="77777777" w:rsidR="00E57DAA" w:rsidRDefault="00E57DAA">
                <w:pPr>
                  <w:jc w:val="right"/>
                  <w:rPr>
                    <w:sz w:val="11"/>
                    <w:szCs w:val="11"/>
                  </w:rPr>
                </w:pPr>
              </w:p>
            </w:tc>
            <w:tc>
              <w:tcPr>
                <w:tcW w:w="415" w:type="pct"/>
                <w:vAlign w:val="center"/>
              </w:tcPr>
              <w:p w14:paraId="524C3B2E" w14:textId="77777777" w:rsidR="00E57DAA" w:rsidRDefault="00E57DAA">
                <w:pPr>
                  <w:jc w:val="right"/>
                  <w:rPr>
                    <w:sz w:val="11"/>
                    <w:szCs w:val="11"/>
                  </w:rPr>
                </w:pPr>
              </w:p>
            </w:tc>
            <w:tc>
              <w:tcPr>
                <w:tcW w:w="395" w:type="pct"/>
                <w:vAlign w:val="center"/>
              </w:tcPr>
              <w:p w14:paraId="518747A0" w14:textId="77777777" w:rsidR="00E57DAA" w:rsidRDefault="00E57DAA">
                <w:pPr>
                  <w:jc w:val="right"/>
                  <w:rPr>
                    <w:sz w:val="11"/>
                    <w:szCs w:val="11"/>
                  </w:rPr>
                </w:pPr>
              </w:p>
            </w:tc>
            <w:tc>
              <w:tcPr>
                <w:tcW w:w="415" w:type="pct"/>
                <w:vAlign w:val="center"/>
              </w:tcPr>
              <w:p w14:paraId="4DD39EE3" w14:textId="77777777" w:rsidR="00E57DAA" w:rsidRDefault="00E57DAA">
                <w:pPr>
                  <w:jc w:val="right"/>
                  <w:rPr>
                    <w:sz w:val="11"/>
                    <w:szCs w:val="11"/>
                  </w:rPr>
                </w:pPr>
              </w:p>
            </w:tc>
          </w:tr>
          <w:tr w:rsidR="00E57DAA" w14:paraId="2F2EAE25" w14:textId="77777777">
            <w:sdt>
              <w:sdtPr>
                <w:rPr>
                  <w:sz w:val="11"/>
                  <w:szCs w:val="11"/>
                </w:rPr>
                <w:tag w:val="_PLD_bf20c7d29dbe4ecc8acea7b1a1149bd3"/>
                <w:id w:val="284159413"/>
              </w:sdtPr>
              <w:sdtEndPr/>
              <w:sdtContent>
                <w:tc>
                  <w:tcPr>
                    <w:tcW w:w="480" w:type="pct"/>
                  </w:tcPr>
                  <w:p w14:paraId="2C5B4DEB" w14:textId="77777777" w:rsidR="00E57DAA" w:rsidRDefault="00AC4185">
                    <w:pPr>
                      <w:rPr>
                        <w:sz w:val="11"/>
                        <w:szCs w:val="11"/>
                      </w:rPr>
                    </w:pPr>
                    <w:r>
                      <w:rPr>
                        <w:rFonts w:hint="eastAsia"/>
                        <w:sz w:val="11"/>
                        <w:szCs w:val="11"/>
                      </w:rPr>
                      <w:t>3</w:t>
                    </w:r>
                    <w:r>
                      <w:rPr>
                        <w:sz w:val="11"/>
                        <w:szCs w:val="11"/>
                      </w:rPr>
                      <w:t>．股份支付计入所有者权益的金额</w:t>
                    </w:r>
                  </w:p>
                </w:tc>
              </w:sdtContent>
            </w:sdt>
            <w:tc>
              <w:tcPr>
                <w:tcW w:w="395" w:type="pct"/>
                <w:vAlign w:val="center"/>
              </w:tcPr>
              <w:p w14:paraId="45C8FE39" w14:textId="77777777" w:rsidR="00E57DAA" w:rsidRDefault="00AC4185">
                <w:pPr>
                  <w:jc w:val="right"/>
                  <w:rPr>
                    <w:sz w:val="11"/>
                    <w:szCs w:val="11"/>
                  </w:rPr>
                </w:pPr>
                <w:r>
                  <w:rPr>
                    <w:sz w:val="11"/>
                    <w:szCs w:val="11"/>
                  </w:rPr>
                  <w:t>9,807,253.00</w:t>
                </w:r>
              </w:p>
            </w:tc>
            <w:tc>
              <w:tcPr>
                <w:tcW w:w="118" w:type="pct"/>
                <w:vAlign w:val="center"/>
              </w:tcPr>
              <w:p w14:paraId="4ACD9FFB" w14:textId="77777777" w:rsidR="00E57DAA" w:rsidRDefault="00E57DAA">
                <w:pPr>
                  <w:jc w:val="right"/>
                  <w:rPr>
                    <w:sz w:val="11"/>
                    <w:szCs w:val="11"/>
                  </w:rPr>
                </w:pPr>
              </w:p>
            </w:tc>
            <w:tc>
              <w:tcPr>
                <w:tcW w:w="118" w:type="pct"/>
                <w:vAlign w:val="center"/>
              </w:tcPr>
              <w:p w14:paraId="4D7F40C4" w14:textId="77777777" w:rsidR="00E57DAA" w:rsidRDefault="00E57DAA">
                <w:pPr>
                  <w:jc w:val="right"/>
                  <w:rPr>
                    <w:sz w:val="11"/>
                    <w:szCs w:val="11"/>
                  </w:rPr>
                </w:pPr>
              </w:p>
            </w:tc>
            <w:tc>
              <w:tcPr>
                <w:tcW w:w="118" w:type="pct"/>
                <w:vAlign w:val="center"/>
              </w:tcPr>
              <w:p w14:paraId="25E47E37" w14:textId="77777777" w:rsidR="00E57DAA" w:rsidRDefault="00E57DAA">
                <w:pPr>
                  <w:jc w:val="right"/>
                  <w:rPr>
                    <w:sz w:val="11"/>
                    <w:szCs w:val="11"/>
                  </w:rPr>
                </w:pPr>
              </w:p>
            </w:tc>
            <w:tc>
              <w:tcPr>
                <w:tcW w:w="430" w:type="pct"/>
                <w:vAlign w:val="center"/>
              </w:tcPr>
              <w:p w14:paraId="49CAC3BF" w14:textId="77777777" w:rsidR="00E57DAA" w:rsidRDefault="00AC4185">
                <w:pPr>
                  <w:jc w:val="right"/>
                  <w:rPr>
                    <w:sz w:val="11"/>
                    <w:szCs w:val="11"/>
                  </w:rPr>
                </w:pPr>
                <w:r>
                  <w:rPr>
                    <w:sz w:val="11"/>
                    <w:szCs w:val="11"/>
                  </w:rPr>
                  <w:t>114,050,211.65</w:t>
                </w:r>
              </w:p>
            </w:tc>
            <w:tc>
              <w:tcPr>
                <w:tcW w:w="356" w:type="pct"/>
                <w:vAlign w:val="center"/>
              </w:tcPr>
              <w:p w14:paraId="02C43FF8" w14:textId="77777777" w:rsidR="00E57DAA" w:rsidRDefault="00E57DAA">
                <w:pPr>
                  <w:jc w:val="right"/>
                  <w:rPr>
                    <w:sz w:val="11"/>
                    <w:szCs w:val="11"/>
                  </w:rPr>
                </w:pPr>
              </w:p>
            </w:tc>
            <w:tc>
              <w:tcPr>
                <w:tcW w:w="356" w:type="pct"/>
                <w:vAlign w:val="center"/>
              </w:tcPr>
              <w:p w14:paraId="3DD6CECE" w14:textId="77777777" w:rsidR="00E57DAA" w:rsidRDefault="00E57DAA">
                <w:pPr>
                  <w:jc w:val="right"/>
                  <w:rPr>
                    <w:sz w:val="11"/>
                    <w:szCs w:val="11"/>
                  </w:rPr>
                </w:pPr>
              </w:p>
            </w:tc>
            <w:tc>
              <w:tcPr>
                <w:tcW w:w="356" w:type="pct"/>
                <w:vAlign w:val="center"/>
              </w:tcPr>
              <w:p w14:paraId="74C89A23" w14:textId="77777777" w:rsidR="00E57DAA" w:rsidRDefault="00E57DAA">
                <w:pPr>
                  <w:jc w:val="right"/>
                  <w:rPr>
                    <w:sz w:val="11"/>
                    <w:szCs w:val="11"/>
                  </w:rPr>
                </w:pPr>
              </w:p>
            </w:tc>
            <w:tc>
              <w:tcPr>
                <w:tcW w:w="395" w:type="pct"/>
                <w:vAlign w:val="center"/>
              </w:tcPr>
              <w:p w14:paraId="4ECE37BC" w14:textId="77777777" w:rsidR="00E57DAA" w:rsidRDefault="00E57DAA">
                <w:pPr>
                  <w:jc w:val="right"/>
                  <w:rPr>
                    <w:sz w:val="11"/>
                    <w:szCs w:val="11"/>
                  </w:rPr>
                </w:pPr>
              </w:p>
            </w:tc>
            <w:tc>
              <w:tcPr>
                <w:tcW w:w="118" w:type="pct"/>
                <w:vAlign w:val="center"/>
              </w:tcPr>
              <w:p w14:paraId="583D0D6C" w14:textId="77777777" w:rsidR="00E57DAA" w:rsidRDefault="00E57DAA">
                <w:pPr>
                  <w:jc w:val="right"/>
                  <w:rPr>
                    <w:sz w:val="11"/>
                    <w:szCs w:val="11"/>
                  </w:rPr>
                </w:pPr>
              </w:p>
            </w:tc>
            <w:tc>
              <w:tcPr>
                <w:tcW w:w="415" w:type="pct"/>
                <w:vAlign w:val="center"/>
              </w:tcPr>
              <w:p w14:paraId="3938D82E" w14:textId="77777777" w:rsidR="00E57DAA" w:rsidRDefault="00E57DAA">
                <w:pPr>
                  <w:jc w:val="right"/>
                  <w:rPr>
                    <w:sz w:val="11"/>
                    <w:szCs w:val="11"/>
                  </w:rPr>
                </w:pPr>
              </w:p>
            </w:tc>
            <w:tc>
              <w:tcPr>
                <w:tcW w:w="121" w:type="pct"/>
                <w:vAlign w:val="center"/>
              </w:tcPr>
              <w:p w14:paraId="54CA1E6C" w14:textId="77777777" w:rsidR="00E57DAA" w:rsidRDefault="00E57DAA">
                <w:pPr>
                  <w:jc w:val="right"/>
                  <w:rPr>
                    <w:sz w:val="11"/>
                    <w:szCs w:val="11"/>
                  </w:rPr>
                </w:pPr>
              </w:p>
            </w:tc>
            <w:tc>
              <w:tcPr>
                <w:tcW w:w="415" w:type="pct"/>
                <w:vAlign w:val="center"/>
              </w:tcPr>
              <w:p w14:paraId="68FDFA89" w14:textId="77777777" w:rsidR="00E57DAA" w:rsidRDefault="00AC4185">
                <w:pPr>
                  <w:jc w:val="right"/>
                  <w:rPr>
                    <w:sz w:val="11"/>
                    <w:szCs w:val="11"/>
                  </w:rPr>
                </w:pPr>
                <w:r>
                  <w:rPr>
                    <w:sz w:val="11"/>
                    <w:szCs w:val="11"/>
                  </w:rPr>
                  <w:t>123,857,464.65</w:t>
                </w:r>
              </w:p>
            </w:tc>
            <w:tc>
              <w:tcPr>
                <w:tcW w:w="395" w:type="pct"/>
                <w:vAlign w:val="center"/>
              </w:tcPr>
              <w:p w14:paraId="728149C9" w14:textId="77777777" w:rsidR="00E57DAA" w:rsidRDefault="00AC4185">
                <w:pPr>
                  <w:jc w:val="right"/>
                  <w:rPr>
                    <w:sz w:val="11"/>
                    <w:szCs w:val="11"/>
                  </w:rPr>
                </w:pPr>
                <w:r>
                  <w:rPr>
                    <w:sz w:val="11"/>
                    <w:szCs w:val="11"/>
                  </w:rPr>
                  <w:t>37,776.46</w:t>
                </w:r>
              </w:p>
            </w:tc>
            <w:tc>
              <w:tcPr>
                <w:tcW w:w="415" w:type="pct"/>
                <w:vAlign w:val="center"/>
              </w:tcPr>
              <w:p w14:paraId="64F89310" w14:textId="77777777" w:rsidR="00E57DAA" w:rsidRDefault="00AC4185">
                <w:pPr>
                  <w:jc w:val="right"/>
                  <w:rPr>
                    <w:sz w:val="11"/>
                    <w:szCs w:val="11"/>
                  </w:rPr>
                </w:pPr>
                <w:r>
                  <w:rPr>
                    <w:sz w:val="11"/>
                    <w:szCs w:val="11"/>
                  </w:rPr>
                  <w:t>123,895,241.11</w:t>
                </w:r>
              </w:p>
            </w:tc>
          </w:tr>
          <w:tr w:rsidR="00E57DAA" w14:paraId="0BA38373" w14:textId="77777777">
            <w:sdt>
              <w:sdtPr>
                <w:rPr>
                  <w:sz w:val="11"/>
                  <w:szCs w:val="11"/>
                </w:rPr>
                <w:tag w:val="_PLD_d3ce563048a9409f9366506e205c4124"/>
                <w:id w:val="-1224214995"/>
              </w:sdtPr>
              <w:sdtEndPr/>
              <w:sdtContent>
                <w:tc>
                  <w:tcPr>
                    <w:tcW w:w="480" w:type="pct"/>
                  </w:tcPr>
                  <w:p w14:paraId="2CDB9969" w14:textId="77777777" w:rsidR="00E57DAA" w:rsidRDefault="00AC4185">
                    <w:pPr>
                      <w:rPr>
                        <w:sz w:val="11"/>
                        <w:szCs w:val="11"/>
                      </w:rPr>
                    </w:pPr>
                    <w:r>
                      <w:rPr>
                        <w:rFonts w:hint="eastAsia"/>
                        <w:sz w:val="11"/>
                        <w:szCs w:val="11"/>
                      </w:rPr>
                      <w:t>4</w:t>
                    </w:r>
                    <w:r>
                      <w:rPr>
                        <w:sz w:val="11"/>
                        <w:szCs w:val="11"/>
                      </w:rPr>
                      <w:t>．其他</w:t>
                    </w:r>
                  </w:p>
                </w:tc>
              </w:sdtContent>
            </w:sdt>
            <w:tc>
              <w:tcPr>
                <w:tcW w:w="395" w:type="pct"/>
                <w:vAlign w:val="center"/>
              </w:tcPr>
              <w:p w14:paraId="7F990E0F" w14:textId="77777777" w:rsidR="00E57DAA" w:rsidRDefault="00E57DAA">
                <w:pPr>
                  <w:jc w:val="right"/>
                  <w:rPr>
                    <w:sz w:val="11"/>
                    <w:szCs w:val="11"/>
                  </w:rPr>
                </w:pPr>
              </w:p>
            </w:tc>
            <w:tc>
              <w:tcPr>
                <w:tcW w:w="118" w:type="pct"/>
                <w:vAlign w:val="center"/>
              </w:tcPr>
              <w:p w14:paraId="2DBD4924" w14:textId="77777777" w:rsidR="00E57DAA" w:rsidRDefault="00E57DAA">
                <w:pPr>
                  <w:jc w:val="right"/>
                  <w:rPr>
                    <w:sz w:val="11"/>
                    <w:szCs w:val="11"/>
                  </w:rPr>
                </w:pPr>
              </w:p>
            </w:tc>
            <w:tc>
              <w:tcPr>
                <w:tcW w:w="118" w:type="pct"/>
                <w:vAlign w:val="center"/>
              </w:tcPr>
              <w:p w14:paraId="51ABAEF0" w14:textId="77777777" w:rsidR="00E57DAA" w:rsidRDefault="00E57DAA">
                <w:pPr>
                  <w:jc w:val="right"/>
                  <w:rPr>
                    <w:sz w:val="11"/>
                    <w:szCs w:val="11"/>
                  </w:rPr>
                </w:pPr>
              </w:p>
            </w:tc>
            <w:tc>
              <w:tcPr>
                <w:tcW w:w="118" w:type="pct"/>
                <w:vAlign w:val="center"/>
              </w:tcPr>
              <w:p w14:paraId="42630441" w14:textId="77777777" w:rsidR="00E57DAA" w:rsidRDefault="00E57DAA">
                <w:pPr>
                  <w:jc w:val="right"/>
                  <w:rPr>
                    <w:sz w:val="11"/>
                    <w:szCs w:val="11"/>
                  </w:rPr>
                </w:pPr>
              </w:p>
            </w:tc>
            <w:tc>
              <w:tcPr>
                <w:tcW w:w="430" w:type="pct"/>
                <w:vAlign w:val="center"/>
              </w:tcPr>
              <w:p w14:paraId="6BA70DFF" w14:textId="77777777" w:rsidR="00E57DAA" w:rsidRDefault="00AC4185">
                <w:pPr>
                  <w:jc w:val="right"/>
                  <w:rPr>
                    <w:sz w:val="11"/>
                    <w:szCs w:val="11"/>
                  </w:rPr>
                </w:pPr>
                <w:r>
                  <w:rPr>
                    <w:sz w:val="11"/>
                    <w:szCs w:val="11"/>
                  </w:rPr>
                  <w:t>-3,620,899,732.32</w:t>
                </w:r>
              </w:p>
            </w:tc>
            <w:tc>
              <w:tcPr>
                <w:tcW w:w="356" w:type="pct"/>
                <w:vAlign w:val="center"/>
              </w:tcPr>
              <w:p w14:paraId="02D0EE6B" w14:textId="77777777" w:rsidR="00E57DAA" w:rsidRDefault="00AC4185">
                <w:pPr>
                  <w:jc w:val="right"/>
                  <w:rPr>
                    <w:sz w:val="11"/>
                    <w:szCs w:val="11"/>
                  </w:rPr>
                </w:pPr>
                <w:r>
                  <w:rPr>
                    <w:sz w:val="11"/>
                    <w:szCs w:val="11"/>
                  </w:rPr>
                  <w:t>39,386,721.82</w:t>
                </w:r>
              </w:p>
            </w:tc>
            <w:tc>
              <w:tcPr>
                <w:tcW w:w="356" w:type="pct"/>
                <w:vAlign w:val="center"/>
              </w:tcPr>
              <w:p w14:paraId="24573F3D" w14:textId="77777777" w:rsidR="00E57DAA" w:rsidRDefault="00E57DAA">
                <w:pPr>
                  <w:jc w:val="right"/>
                  <w:rPr>
                    <w:sz w:val="11"/>
                    <w:szCs w:val="11"/>
                  </w:rPr>
                </w:pPr>
              </w:p>
            </w:tc>
            <w:tc>
              <w:tcPr>
                <w:tcW w:w="356" w:type="pct"/>
                <w:vAlign w:val="center"/>
              </w:tcPr>
              <w:p w14:paraId="4221BBC3" w14:textId="77777777" w:rsidR="00E57DAA" w:rsidRDefault="00E57DAA">
                <w:pPr>
                  <w:jc w:val="right"/>
                  <w:rPr>
                    <w:sz w:val="11"/>
                    <w:szCs w:val="11"/>
                  </w:rPr>
                </w:pPr>
              </w:p>
            </w:tc>
            <w:tc>
              <w:tcPr>
                <w:tcW w:w="395" w:type="pct"/>
                <w:vAlign w:val="center"/>
              </w:tcPr>
              <w:p w14:paraId="232D05F4" w14:textId="77777777" w:rsidR="00E57DAA" w:rsidRDefault="00E57DAA">
                <w:pPr>
                  <w:jc w:val="right"/>
                  <w:rPr>
                    <w:sz w:val="11"/>
                    <w:szCs w:val="11"/>
                  </w:rPr>
                </w:pPr>
              </w:p>
            </w:tc>
            <w:tc>
              <w:tcPr>
                <w:tcW w:w="118" w:type="pct"/>
                <w:vAlign w:val="center"/>
              </w:tcPr>
              <w:p w14:paraId="114A1A84" w14:textId="77777777" w:rsidR="00E57DAA" w:rsidRDefault="00E57DAA">
                <w:pPr>
                  <w:jc w:val="right"/>
                  <w:rPr>
                    <w:sz w:val="11"/>
                    <w:szCs w:val="11"/>
                  </w:rPr>
                </w:pPr>
              </w:p>
            </w:tc>
            <w:tc>
              <w:tcPr>
                <w:tcW w:w="415" w:type="pct"/>
                <w:vAlign w:val="center"/>
              </w:tcPr>
              <w:p w14:paraId="62E7E842" w14:textId="77777777" w:rsidR="00E57DAA" w:rsidRDefault="00E57DAA">
                <w:pPr>
                  <w:jc w:val="right"/>
                  <w:rPr>
                    <w:sz w:val="11"/>
                    <w:szCs w:val="11"/>
                  </w:rPr>
                </w:pPr>
              </w:p>
            </w:tc>
            <w:tc>
              <w:tcPr>
                <w:tcW w:w="121" w:type="pct"/>
                <w:vAlign w:val="center"/>
              </w:tcPr>
              <w:p w14:paraId="75C60F8E" w14:textId="77777777" w:rsidR="00E57DAA" w:rsidRDefault="00E57DAA">
                <w:pPr>
                  <w:jc w:val="right"/>
                  <w:rPr>
                    <w:sz w:val="11"/>
                    <w:szCs w:val="11"/>
                  </w:rPr>
                </w:pPr>
              </w:p>
            </w:tc>
            <w:tc>
              <w:tcPr>
                <w:tcW w:w="415" w:type="pct"/>
                <w:vAlign w:val="center"/>
              </w:tcPr>
              <w:p w14:paraId="4A4FA3C9" w14:textId="77777777" w:rsidR="00E57DAA" w:rsidRDefault="00AC4185">
                <w:pPr>
                  <w:jc w:val="right"/>
                  <w:rPr>
                    <w:sz w:val="11"/>
                    <w:szCs w:val="11"/>
                  </w:rPr>
                </w:pPr>
                <w:r>
                  <w:rPr>
                    <w:sz w:val="11"/>
                    <w:szCs w:val="11"/>
                  </w:rPr>
                  <w:t>-3,660,286,454.14</w:t>
                </w:r>
              </w:p>
            </w:tc>
            <w:tc>
              <w:tcPr>
                <w:tcW w:w="395" w:type="pct"/>
                <w:vAlign w:val="center"/>
              </w:tcPr>
              <w:p w14:paraId="6C4B30C1" w14:textId="77777777" w:rsidR="00E57DAA" w:rsidRDefault="00AC4185">
                <w:pPr>
                  <w:jc w:val="right"/>
                  <w:rPr>
                    <w:sz w:val="11"/>
                    <w:szCs w:val="11"/>
                  </w:rPr>
                </w:pPr>
                <w:r>
                  <w:rPr>
                    <w:sz w:val="11"/>
                    <w:szCs w:val="11"/>
                  </w:rPr>
                  <w:t>-29,090,461.67</w:t>
                </w:r>
              </w:p>
            </w:tc>
            <w:tc>
              <w:tcPr>
                <w:tcW w:w="415" w:type="pct"/>
                <w:vAlign w:val="center"/>
              </w:tcPr>
              <w:p w14:paraId="1B9A5B0B" w14:textId="77777777" w:rsidR="00E57DAA" w:rsidRDefault="00AC4185">
                <w:pPr>
                  <w:jc w:val="right"/>
                  <w:rPr>
                    <w:sz w:val="11"/>
                    <w:szCs w:val="11"/>
                  </w:rPr>
                </w:pPr>
                <w:r>
                  <w:rPr>
                    <w:sz w:val="11"/>
                    <w:szCs w:val="11"/>
                  </w:rPr>
                  <w:t>-3,689,376,915.81</w:t>
                </w:r>
              </w:p>
            </w:tc>
          </w:tr>
          <w:tr w:rsidR="00E57DAA" w14:paraId="027E9991" w14:textId="77777777">
            <w:sdt>
              <w:sdtPr>
                <w:rPr>
                  <w:sz w:val="11"/>
                  <w:szCs w:val="11"/>
                </w:rPr>
                <w:tag w:val="_PLD_e5ace973797c4072b589e43841b34142"/>
                <w:id w:val="-1661453091"/>
              </w:sdtPr>
              <w:sdtEndPr/>
              <w:sdtContent>
                <w:tc>
                  <w:tcPr>
                    <w:tcW w:w="480" w:type="pct"/>
                  </w:tcPr>
                  <w:p w14:paraId="1AF68D13" w14:textId="77777777" w:rsidR="00E57DAA" w:rsidRDefault="00AC4185">
                    <w:pPr>
                      <w:rPr>
                        <w:sz w:val="11"/>
                        <w:szCs w:val="11"/>
                      </w:rPr>
                    </w:pPr>
                    <w:r>
                      <w:rPr>
                        <w:sz w:val="11"/>
                        <w:szCs w:val="11"/>
                      </w:rPr>
                      <w:t>（</w:t>
                    </w:r>
                    <w:r>
                      <w:rPr>
                        <w:rFonts w:hint="eastAsia"/>
                        <w:sz w:val="11"/>
                        <w:szCs w:val="11"/>
                      </w:rPr>
                      <w:t>三</w:t>
                    </w:r>
                    <w:r>
                      <w:rPr>
                        <w:sz w:val="11"/>
                        <w:szCs w:val="11"/>
                      </w:rPr>
                      <w:t>）利润分配</w:t>
                    </w:r>
                  </w:p>
                </w:tc>
              </w:sdtContent>
            </w:sdt>
            <w:tc>
              <w:tcPr>
                <w:tcW w:w="395" w:type="pct"/>
                <w:vAlign w:val="center"/>
              </w:tcPr>
              <w:p w14:paraId="7F8ED183" w14:textId="77777777" w:rsidR="00E57DAA" w:rsidRDefault="00E57DAA">
                <w:pPr>
                  <w:jc w:val="right"/>
                  <w:rPr>
                    <w:sz w:val="11"/>
                    <w:szCs w:val="11"/>
                  </w:rPr>
                </w:pPr>
              </w:p>
            </w:tc>
            <w:tc>
              <w:tcPr>
                <w:tcW w:w="118" w:type="pct"/>
                <w:vAlign w:val="center"/>
              </w:tcPr>
              <w:p w14:paraId="250896F6" w14:textId="77777777" w:rsidR="00E57DAA" w:rsidRDefault="00E57DAA">
                <w:pPr>
                  <w:jc w:val="right"/>
                  <w:rPr>
                    <w:sz w:val="11"/>
                    <w:szCs w:val="11"/>
                  </w:rPr>
                </w:pPr>
              </w:p>
            </w:tc>
            <w:tc>
              <w:tcPr>
                <w:tcW w:w="118" w:type="pct"/>
                <w:vAlign w:val="center"/>
              </w:tcPr>
              <w:p w14:paraId="55942552" w14:textId="77777777" w:rsidR="00E57DAA" w:rsidRDefault="00E57DAA">
                <w:pPr>
                  <w:jc w:val="right"/>
                  <w:rPr>
                    <w:sz w:val="11"/>
                    <w:szCs w:val="11"/>
                  </w:rPr>
                </w:pPr>
              </w:p>
            </w:tc>
            <w:tc>
              <w:tcPr>
                <w:tcW w:w="118" w:type="pct"/>
                <w:vAlign w:val="center"/>
              </w:tcPr>
              <w:p w14:paraId="2F689F58" w14:textId="77777777" w:rsidR="00E57DAA" w:rsidRDefault="00E57DAA">
                <w:pPr>
                  <w:jc w:val="right"/>
                  <w:rPr>
                    <w:sz w:val="11"/>
                    <w:szCs w:val="11"/>
                  </w:rPr>
                </w:pPr>
              </w:p>
            </w:tc>
            <w:tc>
              <w:tcPr>
                <w:tcW w:w="430" w:type="pct"/>
                <w:vAlign w:val="center"/>
              </w:tcPr>
              <w:p w14:paraId="5BB5C3AA" w14:textId="77777777" w:rsidR="00E57DAA" w:rsidRDefault="00E57DAA">
                <w:pPr>
                  <w:jc w:val="right"/>
                  <w:rPr>
                    <w:sz w:val="11"/>
                    <w:szCs w:val="11"/>
                  </w:rPr>
                </w:pPr>
              </w:p>
            </w:tc>
            <w:tc>
              <w:tcPr>
                <w:tcW w:w="356" w:type="pct"/>
                <w:vAlign w:val="center"/>
              </w:tcPr>
              <w:p w14:paraId="672042A6" w14:textId="77777777" w:rsidR="00E57DAA" w:rsidRDefault="00E57DAA">
                <w:pPr>
                  <w:jc w:val="right"/>
                  <w:rPr>
                    <w:sz w:val="11"/>
                    <w:szCs w:val="11"/>
                  </w:rPr>
                </w:pPr>
              </w:p>
            </w:tc>
            <w:tc>
              <w:tcPr>
                <w:tcW w:w="356" w:type="pct"/>
                <w:vAlign w:val="center"/>
              </w:tcPr>
              <w:p w14:paraId="5BA9B7BD" w14:textId="77777777" w:rsidR="00E57DAA" w:rsidRDefault="00E57DAA">
                <w:pPr>
                  <w:jc w:val="right"/>
                  <w:rPr>
                    <w:sz w:val="11"/>
                    <w:szCs w:val="11"/>
                  </w:rPr>
                </w:pPr>
              </w:p>
            </w:tc>
            <w:tc>
              <w:tcPr>
                <w:tcW w:w="356" w:type="pct"/>
                <w:vAlign w:val="center"/>
              </w:tcPr>
              <w:p w14:paraId="18FABAE9" w14:textId="77777777" w:rsidR="00E57DAA" w:rsidRDefault="00E57DAA">
                <w:pPr>
                  <w:jc w:val="right"/>
                  <w:rPr>
                    <w:sz w:val="11"/>
                    <w:szCs w:val="11"/>
                  </w:rPr>
                </w:pPr>
              </w:p>
            </w:tc>
            <w:tc>
              <w:tcPr>
                <w:tcW w:w="395" w:type="pct"/>
                <w:vAlign w:val="center"/>
              </w:tcPr>
              <w:p w14:paraId="65E129AD" w14:textId="77777777" w:rsidR="00E57DAA" w:rsidRDefault="00AC4185">
                <w:pPr>
                  <w:jc w:val="right"/>
                  <w:rPr>
                    <w:sz w:val="11"/>
                    <w:szCs w:val="11"/>
                  </w:rPr>
                </w:pPr>
                <w:r>
                  <w:rPr>
                    <w:sz w:val="11"/>
                    <w:szCs w:val="11"/>
                  </w:rPr>
                  <w:t>86,377,489.91</w:t>
                </w:r>
              </w:p>
            </w:tc>
            <w:tc>
              <w:tcPr>
                <w:tcW w:w="118" w:type="pct"/>
                <w:vAlign w:val="center"/>
              </w:tcPr>
              <w:p w14:paraId="0A08B20F" w14:textId="77777777" w:rsidR="00E57DAA" w:rsidRDefault="00E57DAA">
                <w:pPr>
                  <w:jc w:val="right"/>
                  <w:rPr>
                    <w:sz w:val="11"/>
                    <w:szCs w:val="11"/>
                  </w:rPr>
                </w:pPr>
              </w:p>
            </w:tc>
            <w:tc>
              <w:tcPr>
                <w:tcW w:w="415" w:type="pct"/>
                <w:vAlign w:val="center"/>
              </w:tcPr>
              <w:p w14:paraId="0AA3A59F" w14:textId="77777777" w:rsidR="00E57DAA" w:rsidRDefault="00AC4185">
                <w:pPr>
                  <w:jc w:val="right"/>
                  <w:rPr>
                    <w:sz w:val="11"/>
                    <w:szCs w:val="11"/>
                  </w:rPr>
                </w:pPr>
                <w:r>
                  <w:rPr>
                    <w:sz w:val="11"/>
                    <w:szCs w:val="11"/>
                  </w:rPr>
                  <w:t>-881,572,716.81</w:t>
                </w:r>
              </w:p>
            </w:tc>
            <w:tc>
              <w:tcPr>
                <w:tcW w:w="121" w:type="pct"/>
                <w:vAlign w:val="center"/>
              </w:tcPr>
              <w:p w14:paraId="431572C5" w14:textId="77777777" w:rsidR="00E57DAA" w:rsidRDefault="00E57DAA">
                <w:pPr>
                  <w:jc w:val="right"/>
                  <w:rPr>
                    <w:sz w:val="11"/>
                    <w:szCs w:val="11"/>
                  </w:rPr>
                </w:pPr>
              </w:p>
            </w:tc>
            <w:tc>
              <w:tcPr>
                <w:tcW w:w="415" w:type="pct"/>
                <w:vAlign w:val="center"/>
              </w:tcPr>
              <w:p w14:paraId="28E0B746" w14:textId="77777777" w:rsidR="00E57DAA" w:rsidRDefault="00AC4185">
                <w:pPr>
                  <w:jc w:val="right"/>
                  <w:rPr>
                    <w:sz w:val="11"/>
                    <w:szCs w:val="11"/>
                  </w:rPr>
                </w:pPr>
                <w:r>
                  <w:rPr>
                    <w:sz w:val="11"/>
                    <w:szCs w:val="11"/>
                  </w:rPr>
                  <w:t>-795,195,226.90</w:t>
                </w:r>
              </w:p>
            </w:tc>
            <w:tc>
              <w:tcPr>
                <w:tcW w:w="395" w:type="pct"/>
                <w:vAlign w:val="center"/>
              </w:tcPr>
              <w:p w14:paraId="4FE3CBC0" w14:textId="77777777" w:rsidR="00E57DAA" w:rsidRDefault="00AC4185">
                <w:pPr>
                  <w:jc w:val="right"/>
                  <w:rPr>
                    <w:sz w:val="11"/>
                    <w:szCs w:val="11"/>
                  </w:rPr>
                </w:pPr>
                <w:r>
                  <w:rPr>
                    <w:sz w:val="11"/>
                    <w:szCs w:val="11"/>
                  </w:rPr>
                  <w:t>-138,598,044.03</w:t>
                </w:r>
              </w:p>
            </w:tc>
            <w:tc>
              <w:tcPr>
                <w:tcW w:w="415" w:type="pct"/>
                <w:vAlign w:val="center"/>
              </w:tcPr>
              <w:p w14:paraId="710C5DFD" w14:textId="77777777" w:rsidR="00E57DAA" w:rsidRDefault="00AC4185">
                <w:pPr>
                  <w:jc w:val="right"/>
                  <w:rPr>
                    <w:sz w:val="11"/>
                    <w:szCs w:val="11"/>
                  </w:rPr>
                </w:pPr>
                <w:r>
                  <w:rPr>
                    <w:sz w:val="11"/>
                    <w:szCs w:val="11"/>
                  </w:rPr>
                  <w:t>-933,793,270.93</w:t>
                </w:r>
              </w:p>
            </w:tc>
          </w:tr>
          <w:tr w:rsidR="00E57DAA" w14:paraId="361569AF" w14:textId="77777777">
            <w:sdt>
              <w:sdtPr>
                <w:rPr>
                  <w:sz w:val="11"/>
                  <w:szCs w:val="11"/>
                </w:rPr>
                <w:tag w:val="_PLD_56984731c08d48a08692b6a589fbe555"/>
                <w:id w:val="848834606"/>
              </w:sdtPr>
              <w:sdtEndPr/>
              <w:sdtContent>
                <w:tc>
                  <w:tcPr>
                    <w:tcW w:w="480" w:type="pct"/>
                  </w:tcPr>
                  <w:p w14:paraId="4DD5FD75" w14:textId="77777777" w:rsidR="00E57DAA" w:rsidRDefault="00AC4185">
                    <w:pPr>
                      <w:rPr>
                        <w:sz w:val="11"/>
                        <w:szCs w:val="11"/>
                      </w:rPr>
                    </w:pPr>
                    <w:r>
                      <w:rPr>
                        <w:sz w:val="11"/>
                        <w:szCs w:val="11"/>
                      </w:rPr>
                      <w:t>1．提取盈余公积</w:t>
                    </w:r>
                  </w:p>
                </w:tc>
              </w:sdtContent>
            </w:sdt>
            <w:tc>
              <w:tcPr>
                <w:tcW w:w="395" w:type="pct"/>
                <w:vAlign w:val="center"/>
              </w:tcPr>
              <w:p w14:paraId="25694AAC" w14:textId="77777777" w:rsidR="00E57DAA" w:rsidRDefault="00E57DAA">
                <w:pPr>
                  <w:jc w:val="right"/>
                  <w:rPr>
                    <w:sz w:val="11"/>
                    <w:szCs w:val="11"/>
                  </w:rPr>
                </w:pPr>
              </w:p>
            </w:tc>
            <w:tc>
              <w:tcPr>
                <w:tcW w:w="118" w:type="pct"/>
                <w:vAlign w:val="center"/>
              </w:tcPr>
              <w:p w14:paraId="536278CF" w14:textId="77777777" w:rsidR="00E57DAA" w:rsidRDefault="00E57DAA">
                <w:pPr>
                  <w:jc w:val="right"/>
                  <w:rPr>
                    <w:sz w:val="11"/>
                    <w:szCs w:val="11"/>
                  </w:rPr>
                </w:pPr>
              </w:p>
            </w:tc>
            <w:tc>
              <w:tcPr>
                <w:tcW w:w="118" w:type="pct"/>
                <w:vAlign w:val="center"/>
              </w:tcPr>
              <w:p w14:paraId="03C16C41" w14:textId="77777777" w:rsidR="00E57DAA" w:rsidRDefault="00E57DAA">
                <w:pPr>
                  <w:jc w:val="right"/>
                  <w:rPr>
                    <w:sz w:val="11"/>
                    <w:szCs w:val="11"/>
                  </w:rPr>
                </w:pPr>
              </w:p>
            </w:tc>
            <w:tc>
              <w:tcPr>
                <w:tcW w:w="118" w:type="pct"/>
                <w:vAlign w:val="center"/>
              </w:tcPr>
              <w:p w14:paraId="2E629EEE" w14:textId="77777777" w:rsidR="00E57DAA" w:rsidRDefault="00E57DAA">
                <w:pPr>
                  <w:jc w:val="right"/>
                  <w:rPr>
                    <w:sz w:val="11"/>
                    <w:szCs w:val="11"/>
                  </w:rPr>
                </w:pPr>
              </w:p>
            </w:tc>
            <w:tc>
              <w:tcPr>
                <w:tcW w:w="430" w:type="pct"/>
                <w:vAlign w:val="center"/>
              </w:tcPr>
              <w:p w14:paraId="1877D579" w14:textId="77777777" w:rsidR="00E57DAA" w:rsidRDefault="00E57DAA">
                <w:pPr>
                  <w:jc w:val="right"/>
                  <w:rPr>
                    <w:sz w:val="11"/>
                    <w:szCs w:val="11"/>
                  </w:rPr>
                </w:pPr>
              </w:p>
            </w:tc>
            <w:tc>
              <w:tcPr>
                <w:tcW w:w="356" w:type="pct"/>
                <w:vAlign w:val="center"/>
              </w:tcPr>
              <w:p w14:paraId="48454199" w14:textId="77777777" w:rsidR="00E57DAA" w:rsidRDefault="00E57DAA">
                <w:pPr>
                  <w:jc w:val="right"/>
                  <w:rPr>
                    <w:sz w:val="11"/>
                    <w:szCs w:val="11"/>
                  </w:rPr>
                </w:pPr>
              </w:p>
            </w:tc>
            <w:tc>
              <w:tcPr>
                <w:tcW w:w="356" w:type="pct"/>
                <w:vAlign w:val="center"/>
              </w:tcPr>
              <w:p w14:paraId="23F25EBB" w14:textId="77777777" w:rsidR="00E57DAA" w:rsidRDefault="00E57DAA">
                <w:pPr>
                  <w:jc w:val="right"/>
                  <w:rPr>
                    <w:sz w:val="11"/>
                    <w:szCs w:val="11"/>
                  </w:rPr>
                </w:pPr>
              </w:p>
            </w:tc>
            <w:tc>
              <w:tcPr>
                <w:tcW w:w="356" w:type="pct"/>
                <w:vAlign w:val="center"/>
              </w:tcPr>
              <w:p w14:paraId="2428DEBD" w14:textId="77777777" w:rsidR="00E57DAA" w:rsidRDefault="00E57DAA">
                <w:pPr>
                  <w:jc w:val="right"/>
                  <w:rPr>
                    <w:sz w:val="11"/>
                    <w:szCs w:val="11"/>
                  </w:rPr>
                </w:pPr>
              </w:p>
            </w:tc>
            <w:tc>
              <w:tcPr>
                <w:tcW w:w="395" w:type="pct"/>
                <w:vAlign w:val="center"/>
              </w:tcPr>
              <w:p w14:paraId="4EF5B1FB" w14:textId="77777777" w:rsidR="00E57DAA" w:rsidRDefault="00AC4185">
                <w:pPr>
                  <w:jc w:val="right"/>
                  <w:rPr>
                    <w:sz w:val="11"/>
                    <w:szCs w:val="11"/>
                  </w:rPr>
                </w:pPr>
                <w:r>
                  <w:rPr>
                    <w:sz w:val="11"/>
                    <w:szCs w:val="11"/>
                  </w:rPr>
                  <w:t>86,377,489.91</w:t>
                </w:r>
              </w:p>
            </w:tc>
            <w:tc>
              <w:tcPr>
                <w:tcW w:w="118" w:type="pct"/>
                <w:vAlign w:val="center"/>
              </w:tcPr>
              <w:p w14:paraId="42B9C24D" w14:textId="77777777" w:rsidR="00E57DAA" w:rsidRDefault="00E57DAA">
                <w:pPr>
                  <w:jc w:val="right"/>
                  <w:rPr>
                    <w:sz w:val="11"/>
                    <w:szCs w:val="11"/>
                  </w:rPr>
                </w:pPr>
              </w:p>
            </w:tc>
            <w:tc>
              <w:tcPr>
                <w:tcW w:w="415" w:type="pct"/>
                <w:vAlign w:val="center"/>
              </w:tcPr>
              <w:p w14:paraId="6B5FCED3" w14:textId="77777777" w:rsidR="00E57DAA" w:rsidRDefault="00AC4185">
                <w:pPr>
                  <w:jc w:val="right"/>
                  <w:rPr>
                    <w:sz w:val="11"/>
                    <w:szCs w:val="11"/>
                  </w:rPr>
                </w:pPr>
                <w:r>
                  <w:rPr>
                    <w:sz w:val="11"/>
                    <w:szCs w:val="11"/>
                  </w:rPr>
                  <w:t>-86,377,489.91</w:t>
                </w:r>
              </w:p>
            </w:tc>
            <w:tc>
              <w:tcPr>
                <w:tcW w:w="121" w:type="pct"/>
                <w:vAlign w:val="center"/>
              </w:tcPr>
              <w:p w14:paraId="558E6019" w14:textId="77777777" w:rsidR="00E57DAA" w:rsidRDefault="00E57DAA">
                <w:pPr>
                  <w:jc w:val="right"/>
                  <w:rPr>
                    <w:sz w:val="11"/>
                    <w:szCs w:val="11"/>
                  </w:rPr>
                </w:pPr>
              </w:p>
            </w:tc>
            <w:tc>
              <w:tcPr>
                <w:tcW w:w="415" w:type="pct"/>
                <w:vAlign w:val="center"/>
              </w:tcPr>
              <w:p w14:paraId="52098B34" w14:textId="77777777" w:rsidR="00E57DAA" w:rsidRDefault="00E57DAA">
                <w:pPr>
                  <w:jc w:val="right"/>
                  <w:rPr>
                    <w:sz w:val="11"/>
                    <w:szCs w:val="11"/>
                  </w:rPr>
                </w:pPr>
              </w:p>
            </w:tc>
            <w:tc>
              <w:tcPr>
                <w:tcW w:w="395" w:type="pct"/>
                <w:vAlign w:val="center"/>
              </w:tcPr>
              <w:p w14:paraId="532E27DA" w14:textId="77777777" w:rsidR="00E57DAA" w:rsidRDefault="00E57DAA">
                <w:pPr>
                  <w:jc w:val="right"/>
                  <w:rPr>
                    <w:sz w:val="11"/>
                    <w:szCs w:val="11"/>
                  </w:rPr>
                </w:pPr>
              </w:p>
            </w:tc>
            <w:tc>
              <w:tcPr>
                <w:tcW w:w="415" w:type="pct"/>
                <w:vAlign w:val="center"/>
              </w:tcPr>
              <w:p w14:paraId="2CBBA77E" w14:textId="77777777" w:rsidR="00E57DAA" w:rsidRDefault="00E57DAA">
                <w:pPr>
                  <w:jc w:val="right"/>
                  <w:rPr>
                    <w:sz w:val="11"/>
                    <w:szCs w:val="11"/>
                  </w:rPr>
                </w:pPr>
              </w:p>
            </w:tc>
          </w:tr>
          <w:tr w:rsidR="00E57DAA" w14:paraId="5DC01B39" w14:textId="77777777">
            <w:sdt>
              <w:sdtPr>
                <w:rPr>
                  <w:sz w:val="11"/>
                  <w:szCs w:val="11"/>
                </w:rPr>
                <w:tag w:val="_PLD_d30e7cefb4de4113b5c1abddf8a241d4"/>
                <w:id w:val="-1828979712"/>
              </w:sdtPr>
              <w:sdtEndPr/>
              <w:sdtContent>
                <w:tc>
                  <w:tcPr>
                    <w:tcW w:w="480" w:type="pct"/>
                  </w:tcPr>
                  <w:p w14:paraId="6E844167" w14:textId="77777777" w:rsidR="00E57DAA" w:rsidRDefault="00AC4185">
                    <w:pPr>
                      <w:rPr>
                        <w:sz w:val="11"/>
                        <w:szCs w:val="11"/>
                      </w:rPr>
                    </w:pPr>
                    <w:r>
                      <w:rPr>
                        <w:sz w:val="11"/>
                        <w:szCs w:val="11"/>
                      </w:rPr>
                      <w:t>2．提取一般风险准备</w:t>
                    </w:r>
                  </w:p>
                </w:tc>
              </w:sdtContent>
            </w:sdt>
            <w:tc>
              <w:tcPr>
                <w:tcW w:w="395" w:type="pct"/>
                <w:vAlign w:val="center"/>
              </w:tcPr>
              <w:p w14:paraId="62CDFCA9" w14:textId="77777777" w:rsidR="00E57DAA" w:rsidRDefault="00E57DAA">
                <w:pPr>
                  <w:jc w:val="right"/>
                  <w:rPr>
                    <w:sz w:val="11"/>
                    <w:szCs w:val="11"/>
                  </w:rPr>
                </w:pPr>
              </w:p>
            </w:tc>
            <w:tc>
              <w:tcPr>
                <w:tcW w:w="118" w:type="pct"/>
                <w:vAlign w:val="center"/>
              </w:tcPr>
              <w:p w14:paraId="1362BD22" w14:textId="77777777" w:rsidR="00E57DAA" w:rsidRDefault="00E57DAA">
                <w:pPr>
                  <w:jc w:val="right"/>
                  <w:rPr>
                    <w:sz w:val="11"/>
                    <w:szCs w:val="11"/>
                  </w:rPr>
                </w:pPr>
              </w:p>
            </w:tc>
            <w:tc>
              <w:tcPr>
                <w:tcW w:w="118" w:type="pct"/>
                <w:vAlign w:val="center"/>
              </w:tcPr>
              <w:p w14:paraId="4DFE7DBE" w14:textId="77777777" w:rsidR="00E57DAA" w:rsidRDefault="00E57DAA">
                <w:pPr>
                  <w:jc w:val="right"/>
                  <w:rPr>
                    <w:sz w:val="11"/>
                    <w:szCs w:val="11"/>
                  </w:rPr>
                </w:pPr>
              </w:p>
            </w:tc>
            <w:tc>
              <w:tcPr>
                <w:tcW w:w="118" w:type="pct"/>
                <w:vAlign w:val="center"/>
              </w:tcPr>
              <w:p w14:paraId="372ACB4C" w14:textId="77777777" w:rsidR="00E57DAA" w:rsidRDefault="00E57DAA">
                <w:pPr>
                  <w:jc w:val="right"/>
                  <w:rPr>
                    <w:sz w:val="11"/>
                    <w:szCs w:val="11"/>
                  </w:rPr>
                </w:pPr>
              </w:p>
            </w:tc>
            <w:tc>
              <w:tcPr>
                <w:tcW w:w="430" w:type="pct"/>
                <w:vAlign w:val="center"/>
              </w:tcPr>
              <w:p w14:paraId="7FC60450" w14:textId="77777777" w:rsidR="00E57DAA" w:rsidRDefault="00E57DAA">
                <w:pPr>
                  <w:jc w:val="right"/>
                  <w:rPr>
                    <w:sz w:val="11"/>
                    <w:szCs w:val="11"/>
                  </w:rPr>
                </w:pPr>
              </w:p>
            </w:tc>
            <w:tc>
              <w:tcPr>
                <w:tcW w:w="356" w:type="pct"/>
                <w:vAlign w:val="center"/>
              </w:tcPr>
              <w:p w14:paraId="6AA06BDE" w14:textId="77777777" w:rsidR="00E57DAA" w:rsidRDefault="00E57DAA">
                <w:pPr>
                  <w:jc w:val="right"/>
                  <w:rPr>
                    <w:sz w:val="11"/>
                    <w:szCs w:val="11"/>
                  </w:rPr>
                </w:pPr>
              </w:p>
            </w:tc>
            <w:tc>
              <w:tcPr>
                <w:tcW w:w="356" w:type="pct"/>
                <w:vAlign w:val="center"/>
              </w:tcPr>
              <w:p w14:paraId="275718C3" w14:textId="77777777" w:rsidR="00E57DAA" w:rsidRDefault="00E57DAA">
                <w:pPr>
                  <w:jc w:val="right"/>
                  <w:rPr>
                    <w:sz w:val="11"/>
                    <w:szCs w:val="11"/>
                  </w:rPr>
                </w:pPr>
              </w:p>
            </w:tc>
            <w:tc>
              <w:tcPr>
                <w:tcW w:w="356" w:type="pct"/>
                <w:vAlign w:val="center"/>
              </w:tcPr>
              <w:p w14:paraId="535DC702" w14:textId="77777777" w:rsidR="00E57DAA" w:rsidRDefault="00E57DAA">
                <w:pPr>
                  <w:jc w:val="right"/>
                  <w:rPr>
                    <w:sz w:val="11"/>
                    <w:szCs w:val="11"/>
                  </w:rPr>
                </w:pPr>
              </w:p>
            </w:tc>
            <w:tc>
              <w:tcPr>
                <w:tcW w:w="395" w:type="pct"/>
                <w:vAlign w:val="center"/>
              </w:tcPr>
              <w:p w14:paraId="4FA86D38" w14:textId="77777777" w:rsidR="00E57DAA" w:rsidRDefault="00E57DAA">
                <w:pPr>
                  <w:jc w:val="right"/>
                  <w:rPr>
                    <w:sz w:val="11"/>
                    <w:szCs w:val="11"/>
                  </w:rPr>
                </w:pPr>
              </w:p>
            </w:tc>
            <w:tc>
              <w:tcPr>
                <w:tcW w:w="118" w:type="pct"/>
                <w:vAlign w:val="center"/>
              </w:tcPr>
              <w:p w14:paraId="0B72E0DA" w14:textId="77777777" w:rsidR="00E57DAA" w:rsidRDefault="00E57DAA">
                <w:pPr>
                  <w:jc w:val="right"/>
                  <w:rPr>
                    <w:sz w:val="11"/>
                    <w:szCs w:val="11"/>
                  </w:rPr>
                </w:pPr>
              </w:p>
            </w:tc>
            <w:tc>
              <w:tcPr>
                <w:tcW w:w="415" w:type="pct"/>
                <w:vAlign w:val="center"/>
              </w:tcPr>
              <w:p w14:paraId="5128C710" w14:textId="77777777" w:rsidR="00E57DAA" w:rsidRDefault="00E57DAA">
                <w:pPr>
                  <w:jc w:val="right"/>
                  <w:rPr>
                    <w:sz w:val="11"/>
                    <w:szCs w:val="11"/>
                  </w:rPr>
                </w:pPr>
              </w:p>
            </w:tc>
            <w:tc>
              <w:tcPr>
                <w:tcW w:w="121" w:type="pct"/>
                <w:vAlign w:val="center"/>
              </w:tcPr>
              <w:p w14:paraId="24698FAC" w14:textId="77777777" w:rsidR="00E57DAA" w:rsidRDefault="00E57DAA">
                <w:pPr>
                  <w:jc w:val="right"/>
                  <w:rPr>
                    <w:sz w:val="11"/>
                    <w:szCs w:val="11"/>
                  </w:rPr>
                </w:pPr>
              </w:p>
            </w:tc>
            <w:tc>
              <w:tcPr>
                <w:tcW w:w="415" w:type="pct"/>
                <w:vAlign w:val="center"/>
              </w:tcPr>
              <w:p w14:paraId="00B991AE" w14:textId="77777777" w:rsidR="00E57DAA" w:rsidRDefault="00E57DAA">
                <w:pPr>
                  <w:jc w:val="right"/>
                  <w:rPr>
                    <w:sz w:val="11"/>
                    <w:szCs w:val="11"/>
                  </w:rPr>
                </w:pPr>
              </w:p>
            </w:tc>
            <w:tc>
              <w:tcPr>
                <w:tcW w:w="395" w:type="pct"/>
                <w:vAlign w:val="center"/>
              </w:tcPr>
              <w:p w14:paraId="6A166BAB" w14:textId="77777777" w:rsidR="00E57DAA" w:rsidRDefault="00E57DAA">
                <w:pPr>
                  <w:jc w:val="right"/>
                  <w:rPr>
                    <w:sz w:val="11"/>
                    <w:szCs w:val="11"/>
                  </w:rPr>
                </w:pPr>
              </w:p>
            </w:tc>
            <w:tc>
              <w:tcPr>
                <w:tcW w:w="415" w:type="pct"/>
                <w:vAlign w:val="center"/>
              </w:tcPr>
              <w:p w14:paraId="792D6672" w14:textId="77777777" w:rsidR="00E57DAA" w:rsidRDefault="00E57DAA">
                <w:pPr>
                  <w:jc w:val="right"/>
                  <w:rPr>
                    <w:sz w:val="11"/>
                    <w:szCs w:val="11"/>
                  </w:rPr>
                </w:pPr>
              </w:p>
            </w:tc>
          </w:tr>
          <w:tr w:rsidR="00E57DAA" w14:paraId="6F17846E" w14:textId="77777777">
            <w:sdt>
              <w:sdtPr>
                <w:rPr>
                  <w:sz w:val="11"/>
                  <w:szCs w:val="11"/>
                </w:rPr>
                <w:tag w:val="_PLD_6d573481d9af49e2a8ab22ecd061ccf7"/>
                <w:id w:val="-49002636"/>
              </w:sdtPr>
              <w:sdtEndPr/>
              <w:sdtContent>
                <w:tc>
                  <w:tcPr>
                    <w:tcW w:w="480" w:type="pct"/>
                  </w:tcPr>
                  <w:p w14:paraId="2DE144A2" w14:textId="77777777" w:rsidR="00E57DAA" w:rsidRDefault="00AC4185">
                    <w:pPr>
                      <w:rPr>
                        <w:sz w:val="11"/>
                        <w:szCs w:val="11"/>
                      </w:rPr>
                    </w:pPr>
                    <w:r>
                      <w:rPr>
                        <w:sz w:val="11"/>
                        <w:szCs w:val="11"/>
                      </w:rPr>
                      <w:t>3．对所有者（或股东）的分配</w:t>
                    </w:r>
                  </w:p>
                </w:tc>
              </w:sdtContent>
            </w:sdt>
            <w:tc>
              <w:tcPr>
                <w:tcW w:w="395" w:type="pct"/>
                <w:vAlign w:val="center"/>
              </w:tcPr>
              <w:p w14:paraId="3612B60C" w14:textId="77777777" w:rsidR="00E57DAA" w:rsidRDefault="00E57DAA">
                <w:pPr>
                  <w:jc w:val="right"/>
                  <w:rPr>
                    <w:sz w:val="11"/>
                    <w:szCs w:val="11"/>
                  </w:rPr>
                </w:pPr>
              </w:p>
            </w:tc>
            <w:tc>
              <w:tcPr>
                <w:tcW w:w="118" w:type="pct"/>
                <w:vAlign w:val="center"/>
              </w:tcPr>
              <w:p w14:paraId="06DEB0DF" w14:textId="77777777" w:rsidR="00E57DAA" w:rsidRDefault="00E57DAA">
                <w:pPr>
                  <w:jc w:val="right"/>
                  <w:rPr>
                    <w:sz w:val="11"/>
                    <w:szCs w:val="11"/>
                  </w:rPr>
                </w:pPr>
              </w:p>
            </w:tc>
            <w:tc>
              <w:tcPr>
                <w:tcW w:w="118" w:type="pct"/>
                <w:vAlign w:val="center"/>
              </w:tcPr>
              <w:p w14:paraId="28340B91" w14:textId="77777777" w:rsidR="00E57DAA" w:rsidRDefault="00E57DAA">
                <w:pPr>
                  <w:jc w:val="right"/>
                  <w:rPr>
                    <w:sz w:val="11"/>
                    <w:szCs w:val="11"/>
                  </w:rPr>
                </w:pPr>
              </w:p>
            </w:tc>
            <w:tc>
              <w:tcPr>
                <w:tcW w:w="118" w:type="pct"/>
                <w:vAlign w:val="center"/>
              </w:tcPr>
              <w:p w14:paraId="6FAC8820" w14:textId="77777777" w:rsidR="00E57DAA" w:rsidRDefault="00E57DAA">
                <w:pPr>
                  <w:jc w:val="right"/>
                  <w:rPr>
                    <w:sz w:val="11"/>
                    <w:szCs w:val="11"/>
                  </w:rPr>
                </w:pPr>
              </w:p>
            </w:tc>
            <w:tc>
              <w:tcPr>
                <w:tcW w:w="430" w:type="pct"/>
                <w:vAlign w:val="center"/>
              </w:tcPr>
              <w:p w14:paraId="48EF1448" w14:textId="77777777" w:rsidR="00E57DAA" w:rsidRDefault="00E57DAA">
                <w:pPr>
                  <w:jc w:val="right"/>
                  <w:rPr>
                    <w:sz w:val="11"/>
                    <w:szCs w:val="11"/>
                  </w:rPr>
                </w:pPr>
              </w:p>
            </w:tc>
            <w:tc>
              <w:tcPr>
                <w:tcW w:w="356" w:type="pct"/>
                <w:vAlign w:val="center"/>
              </w:tcPr>
              <w:p w14:paraId="16E9F449" w14:textId="77777777" w:rsidR="00E57DAA" w:rsidRDefault="00E57DAA">
                <w:pPr>
                  <w:jc w:val="right"/>
                  <w:rPr>
                    <w:sz w:val="11"/>
                    <w:szCs w:val="11"/>
                  </w:rPr>
                </w:pPr>
              </w:p>
            </w:tc>
            <w:tc>
              <w:tcPr>
                <w:tcW w:w="356" w:type="pct"/>
                <w:vAlign w:val="center"/>
              </w:tcPr>
              <w:p w14:paraId="284D5E1A" w14:textId="77777777" w:rsidR="00E57DAA" w:rsidRDefault="00E57DAA">
                <w:pPr>
                  <w:jc w:val="right"/>
                  <w:rPr>
                    <w:sz w:val="11"/>
                    <w:szCs w:val="11"/>
                  </w:rPr>
                </w:pPr>
              </w:p>
            </w:tc>
            <w:tc>
              <w:tcPr>
                <w:tcW w:w="356" w:type="pct"/>
                <w:vAlign w:val="center"/>
              </w:tcPr>
              <w:p w14:paraId="3B1FCD28" w14:textId="77777777" w:rsidR="00E57DAA" w:rsidRDefault="00E57DAA">
                <w:pPr>
                  <w:jc w:val="right"/>
                  <w:rPr>
                    <w:sz w:val="11"/>
                    <w:szCs w:val="11"/>
                  </w:rPr>
                </w:pPr>
              </w:p>
            </w:tc>
            <w:tc>
              <w:tcPr>
                <w:tcW w:w="395" w:type="pct"/>
                <w:vAlign w:val="center"/>
              </w:tcPr>
              <w:p w14:paraId="4E0E5CD5" w14:textId="77777777" w:rsidR="00E57DAA" w:rsidRDefault="00E57DAA">
                <w:pPr>
                  <w:jc w:val="right"/>
                  <w:rPr>
                    <w:sz w:val="11"/>
                    <w:szCs w:val="11"/>
                  </w:rPr>
                </w:pPr>
              </w:p>
            </w:tc>
            <w:tc>
              <w:tcPr>
                <w:tcW w:w="118" w:type="pct"/>
                <w:vAlign w:val="center"/>
              </w:tcPr>
              <w:p w14:paraId="180C4766" w14:textId="77777777" w:rsidR="00E57DAA" w:rsidRDefault="00E57DAA">
                <w:pPr>
                  <w:jc w:val="right"/>
                  <w:rPr>
                    <w:sz w:val="11"/>
                    <w:szCs w:val="11"/>
                  </w:rPr>
                </w:pPr>
              </w:p>
            </w:tc>
            <w:tc>
              <w:tcPr>
                <w:tcW w:w="415" w:type="pct"/>
                <w:vAlign w:val="center"/>
              </w:tcPr>
              <w:p w14:paraId="2A1BDCBD" w14:textId="77777777" w:rsidR="00E57DAA" w:rsidRDefault="00AC4185">
                <w:pPr>
                  <w:jc w:val="right"/>
                  <w:rPr>
                    <w:sz w:val="11"/>
                    <w:szCs w:val="11"/>
                  </w:rPr>
                </w:pPr>
                <w:r>
                  <w:rPr>
                    <w:sz w:val="11"/>
                    <w:szCs w:val="11"/>
                  </w:rPr>
                  <w:t>-792,695,226.90</w:t>
                </w:r>
              </w:p>
            </w:tc>
            <w:tc>
              <w:tcPr>
                <w:tcW w:w="121" w:type="pct"/>
                <w:vAlign w:val="center"/>
              </w:tcPr>
              <w:p w14:paraId="09EFF97C" w14:textId="77777777" w:rsidR="00E57DAA" w:rsidRDefault="00E57DAA">
                <w:pPr>
                  <w:jc w:val="right"/>
                  <w:rPr>
                    <w:sz w:val="11"/>
                    <w:szCs w:val="11"/>
                  </w:rPr>
                </w:pPr>
              </w:p>
            </w:tc>
            <w:tc>
              <w:tcPr>
                <w:tcW w:w="415" w:type="pct"/>
                <w:vAlign w:val="center"/>
              </w:tcPr>
              <w:p w14:paraId="5642ADB6" w14:textId="77777777" w:rsidR="00E57DAA" w:rsidRDefault="00AC4185">
                <w:pPr>
                  <w:jc w:val="right"/>
                  <w:rPr>
                    <w:sz w:val="11"/>
                    <w:szCs w:val="11"/>
                  </w:rPr>
                </w:pPr>
                <w:r>
                  <w:rPr>
                    <w:sz w:val="11"/>
                    <w:szCs w:val="11"/>
                  </w:rPr>
                  <w:t>-792,695,226.90</w:t>
                </w:r>
              </w:p>
            </w:tc>
            <w:tc>
              <w:tcPr>
                <w:tcW w:w="395" w:type="pct"/>
                <w:vAlign w:val="center"/>
              </w:tcPr>
              <w:p w14:paraId="570F0AA3" w14:textId="77777777" w:rsidR="00E57DAA" w:rsidRDefault="00AC4185">
                <w:pPr>
                  <w:jc w:val="right"/>
                  <w:rPr>
                    <w:sz w:val="11"/>
                    <w:szCs w:val="11"/>
                  </w:rPr>
                </w:pPr>
                <w:r>
                  <w:rPr>
                    <w:sz w:val="11"/>
                    <w:szCs w:val="11"/>
                  </w:rPr>
                  <w:t>-138,598,044.03</w:t>
                </w:r>
              </w:p>
            </w:tc>
            <w:tc>
              <w:tcPr>
                <w:tcW w:w="415" w:type="pct"/>
                <w:vAlign w:val="center"/>
              </w:tcPr>
              <w:p w14:paraId="77180227" w14:textId="77777777" w:rsidR="00E57DAA" w:rsidRDefault="00AC4185">
                <w:pPr>
                  <w:jc w:val="right"/>
                  <w:rPr>
                    <w:sz w:val="11"/>
                    <w:szCs w:val="11"/>
                  </w:rPr>
                </w:pPr>
                <w:r>
                  <w:rPr>
                    <w:sz w:val="11"/>
                    <w:szCs w:val="11"/>
                  </w:rPr>
                  <w:t>-931,293,270.93</w:t>
                </w:r>
              </w:p>
            </w:tc>
          </w:tr>
          <w:tr w:rsidR="00E57DAA" w14:paraId="16AE9D5A" w14:textId="77777777">
            <w:sdt>
              <w:sdtPr>
                <w:rPr>
                  <w:sz w:val="11"/>
                  <w:szCs w:val="11"/>
                </w:rPr>
                <w:tag w:val="_PLD_dd87d5b565c74b3faf2e05ed9840875a"/>
                <w:id w:val="2019657610"/>
              </w:sdtPr>
              <w:sdtEndPr/>
              <w:sdtContent>
                <w:tc>
                  <w:tcPr>
                    <w:tcW w:w="480" w:type="pct"/>
                  </w:tcPr>
                  <w:p w14:paraId="7440704F" w14:textId="77777777" w:rsidR="00E57DAA" w:rsidRDefault="00AC4185">
                    <w:pPr>
                      <w:rPr>
                        <w:sz w:val="11"/>
                        <w:szCs w:val="11"/>
                      </w:rPr>
                    </w:pPr>
                    <w:r>
                      <w:rPr>
                        <w:sz w:val="11"/>
                        <w:szCs w:val="11"/>
                      </w:rPr>
                      <w:t>4．其他</w:t>
                    </w:r>
                  </w:p>
                </w:tc>
              </w:sdtContent>
            </w:sdt>
            <w:tc>
              <w:tcPr>
                <w:tcW w:w="395" w:type="pct"/>
                <w:vAlign w:val="center"/>
              </w:tcPr>
              <w:p w14:paraId="67218CBE" w14:textId="77777777" w:rsidR="00E57DAA" w:rsidRDefault="00E57DAA">
                <w:pPr>
                  <w:jc w:val="right"/>
                  <w:rPr>
                    <w:sz w:val="11"/>
                    <w:szCs w:val="11"/>
                  </w:rPr>
                </w:pPr>
              </w:p>
            </w:tc>
            <w:tc>
              <w:tcPr>
                <w:tcW w:w="118" w:type="pct"/>
                <w:vAlign w:val="center"/>
              </w:tcPr>
              <w:p w14:paraId="0D215395" w14:textId="77777777" w:rsidR="00E57DAA" w:rsidRDefault="00E57DAA">
                <w:pPr>
                  <w:jc w:val="right"/>
                  <w:rPr>
                    <w:sz w:val="11"/>
                    <w:szCs w:val="11"/>
                  </w:rPr>
                </w:pPr>
              </w:p>
            </w:tc>
            <w:tc>
              <w:tcPr>
                <w:tcW w:w="118" w:type="pct"/>
                <w:vAlign w:val="center"/>
              </w:tcPr>
              <w:p w14:paraId="52902696" w14:textId="77777777" w:rsidR="00E57DAA" w:rsidRDefault="00E57DAA">
                <w:pPr>
                  <w:jc w:val="right"/>
                  <w:rPr>
                    <w:sz w:val="11"/>
                    <w:szCs w:val="11"/>
                  </w:rPr>
                </w:pPr>
              </w:p>
            </w:tc>
            <w:tc>
              <w:tcPr>
                <w:tcW w:w="118" w:type="pct"/>
                <w:vAlign w:val="center"/>
              </w:tcPr>
              <w:p w14:paraId="7F252FD1" w14:textId="77777777" w:rsidR="00E57DAA" w:rsidRDefault="00E57DAA">
                <w:pPr>
                  <w:jc w:val="right"/>
                  <w:rPr>
                    <w:sz w:val="11"/>
                    <w:szCs w:val="11"/>
                  </w:rPr>
                </w:pPr>
              </w:p>
            </w:tc>
            <w:tc>
              <w:tcPr>
                <w:tcW w:w="430" w:type="pct"/>
                <w:vAlign w:val="center"/>
              </w:tcPr>
              <w:p w14:paraId="50A85145" w14:textId="77777777" w:rsidR="00E57DAA" w:rsidRDefault="00E57DAA">
                <w:pPr>
                  <w:jc w:val="right"/>
                  <w:rPr>
                    <w:sz w:val="11"/>
                    <w:szCs w:val="11"/>
                  </w:rPr>
                </w:pPr>
              </w:p>
            </w:tc>
            <w:tc>
              <w:tcPr>
                <w:tcW w:w="356" w:type="pct"/>
                <w:vAlign w:val="center"/>
              </w:tcPr>
              <w:p w14:paraId="6442B714" w14:textId="77777777" w:rsidR="00E57DAA" w:rsidRDefault="00E57DAA">
                <w:pPr>
                  <w:jc w:val="right"/>
                  <w:rPr>
                    <w:sz w:val="11"/>
                    <w:szCs w:val="11"/>
                  </w:rPr>
                </w:pPr>
              </w:p>
            </w:tc>
            <w:tc>
              <w:tcPr>
                <w:tcW w:w="356" w:type="pct"/>
                <w:vAlign w:val="center"/>
              </w:tcPr>
              <w:p w14:paraId="6E76737F" w14:textId="77777777" w:rsidR="00E57DAA" w:rsidRDefault="00E57DAA">
                <w:pPr>
                  <w:jc w:val="right"/>
                  <w:rPr>
                    <w:sz w:val="11"/>
                    <w:szCs w:val="11"/>
                  </w:rPr>
                </w:pPr>
              </w:p>
            </w:tc>
            <w:tc>
              <w:tcPr>
                <w:tcW w:w="356" w:type="pct"/>
                <w:vAlign w:val="center"/>
              </w:tcPr>
              <w:p w14:paraId="5139CB4B" w14:textId="77777777" w:rsidR="00E57DAA" w:rsidRDefault="00E57DAA">
                <w:pPr>
                  <w:jc w:val="right"/>
                  <w:rPr>
                    <w:sz w:val="11"/>
                    <w:szCs w:val="11"/>
                  </w:rPr>
                </w:pPr>
              </w:p>
            </w:tc>
            <w:tc>
              <w:tcPr>
                <w:tcW w:w="395" w:type="pct"/>
                <w:vAlign w:val="center"/>
              </w:tcPr>
              <w:p w14:paraId="3138D556" w14:textId="77777777" w:rsidR="00E57DAA" w:rsidRDefault="00E57DAA">
                <w:pPr>
                  <w:jc w:val="right"/>
                  <w:rPr>
                    <w:sz w:val="11"/>
                    <w:szCs w:val="11"/>
                  </w:rPr>
                </w:pPr>
              </w:p>
            </w:tc>
            <w:tc>
              <w:tcPr>
                <w:tcW w:w="118" w:type="pct"/>
                <w:vAlign w:val="center"/>
              </w:tcPr>
              <w:p w14:paraId="6C5D1CF4" w14:textId="77777777" w:rsidR="00E57DAA" w:rsidRDefault="00E57DAA">
                <w:pPr>
                  <w:jc w:val="right"/>
                  <w:rPr>
                    <w:sz w:val="11"/>
                    <w:szCs w:val="11"/>
                  </w:rPr>
                </w:pPr>
              </w:p>
            </w:tc>
            <w:tc>
              <w:tcPr>
                <w:tcW w:w="415" w:type="pct"/>
                <w:vAlign w:val="center"/>
              </w:tcPr>
              <w:p w14:paraId="4B2CBF3E" w14:textId="77777777" w:rsidR="00E57DAA" w:rsidRDefault="00AC4185">
                <w:pPr>
                  <w:jc w:val="right"/>
                  <w:rPr>
                    <w:sz w:val="11"/>
                    <w:szCs w:val="11"/>
                  </w:rPr>
                </w:pPr>
                <w:r>
                  <w:rPr>
                    <w:sz w:val="11"/>
                    <w:szCs w:val="11"/>
                  </w:rPr>
                  <w:t>-2,500,000.00</w:t>
                </w:r>
              </w:p>
            </w:tc>
            <w:tc>
              <w:tcPr>
                <w:tcW w:w="121" w:type="pct"/>
                <w:vAlign w:val="center"/>
              </w:tcPr>
              <w:p w14:paraId="0EB17815" w14:textId="77777777" w:rsidR="00E57DAA" w:rsidRDefault="00E57DAA">
                <w:pPr>
                  <w:jc w:val="right"/>
                  <w:rPr>
                    <w:sz w:val="11"/>
                    <w:szCs w:val="11"/>
                  </w:rPr>
                </w:pPr>
              </w:p>
            </w:tc>
            <w:tc>
              <w:tcPr>
                <w:tcW w:w="415" w:type="pct"/>
                <w:vAlign w:val="center"/>
              </w:tcPr>
              <w:p w14:paraId="495866D7" w14:textId="77777777" w:rsidR="00E57DAA" w:rsidRDefault="00AC4185">
                <w:pPr>
                  <w:jc w:val="right"/>
                  <w:rPr>
                    <w:sz w:val="11"/>
                    <w:szCs w:val="11"/>
                  </w:rPr>
                </w:pPr>
                <w:r>
                  <w:rPr>
                    <w:sz w:val="11"/>
                    <w:szCs w:val="11"/>
                  </w:rPr>
                  <w:t>-2,500,000.00</w:t>
                </w:r>
              </w:p>
            </w:tc>
            <w:tc>
              <w:tcPr>
                <w:tcW w:w="395" w:type="pct"/>
                <w:vAlign w:val="center"/>
              </w:tcPr>
              <w:p w14:paraId="5F6E1C32" w14:textId="77777777" w:rsidR="00E57DAA" w:rsidRDefault="00E57DAA">
                <w:pPr>
                  <w:jc w:val="right"/>
                  <w:rPr>
                    <w:sz w:val="11"/>
                    <w:szCs w:val="11"/>
                  </w:rPr>
                </w:pPr>
              </w:p>
            </w:tc>
            <w:tc>
              <w:tcPr>
                <w:tcW w:w="415" w:type="pct"/>
                <w:vAlign w:val="center"/>
              </w:tcPr>
              <w:p w14:paraId="1E3C9F0E" w14:textId="77777777" w:rsidR="00E57DAA" w:rsidRDefault="00AC4185">
                <w:pPr>
                  <w:jc w:val="right"/>
                  <w:rPr>
                    <w:sz w:val="11"/>
                    <w:szCs w:val="11"/>
                  </w:rPr>
                </w:pPr>
                <w:r>
                  <w:rPr>
                    <w:sz w:val="11"/>
                    <w:szCs w:val="11"/>
                  </w:rPr>
                  <w:t>-2,500,000.00</w:t>
                </w:r>
              </w:p>
            </w:tc>
          </w:tr>
          <w:tr w:rsidR="00E57DAA" w14:paraId="1CEFA3A3" w14:textId="77777777">
            <w:sdt>
              <w:sdtPr>
                <w:rPr>
                  <w:sz w:val="11"/>
                  <w:szCs w:val="11"/>
                </w:rPr>
                <w:tag w:val="_PLD_92da940e723e49d8b19944c326b0a372"/>
                <w:id w:val="166990869"/>
              </w:sdtPr>
              <w:sdtEndPr/>
              <w:sdtContent>
                <w:tc>
                  <w:tcPr>
                    <w:tcW w:w="480" w:type="pct"/>
                  </w:tcPr>
                  <w:p w14:paraId="43D74130" w14:textId="77777777" w:rsidR="00E57DAA" w:rsidRDefault="00AC4185">
                    <w:pPr>
                      <w:rPr>
                        <w:sz w:val="11"/>
                        <w:szCs w:val="11"/>
                      </w:rPr>
                    </w:pPr>
                    <w:r>
                      <w:rPr>
                        <w:sz w:val="11"/>
                        <w:szCs w:val="11"/>
                      </w:rPr>
                      <w:t>（</w:t>
                    </w:r>
                    <w:r>
                      <w:rPr>
                        <w:rFonts w:hint="eastAsia"/>
                        <w:sz w:val="11"/>
                        <w:szCs w:val="11"/>
                      </w:rPr>
                      <w:t>四</w:t>
                    </w:r>
                    <w:r>
                      <w:rPr>
                        <w:sz w:val="11"/>
                        <w:szCs w:val="11"/>
                      </w:rPr>
                      <w:t>）所有者权益内部结转</w:t>
                    </w:r>
                  </w:p>
                </w:tc>
              </w:sdtContent>
            </w:sdt>
            <w:tc>
              <w:tcPr>
                <w:tcW w:w="395" w:type="pct"/>
                <w:vAlign w:val="center"/>
              </w:tcPr>
              <w:p w14:paraId="33ECB0D2" w14:textId="77777777" w:rsidR="00E57DAA" w:rsidRDefault="00E57DAA">
                <w:pPr>
                  <w:jc w:val="right"/>
                  <w:rPr>
                    <w:sz w:val="11"/>
                    <w:szCs w:val="11"/>
                  </w:rPr>
                </w:pPr>
              </w:p>
            </w:tc>
            <w:tc>
              <w:tcPr>
                <w:tcW w:w="118" w:type="pct"/>
                <w:vAlign w:val="center"/>
              </w:tcPr>
              <w:p w14:paraId="1A482EB9" w14:textId="77777777" w:rsidR="00E57DAA" w:rsidRDefault="00E57DAA">
                <w:pPr>
                  <w:jc w:val="right"/>
                  <w:rPr>
                    <w:sz w:val="11"/>
                    <w:szCs w:val="11"/>
                  </w:rPr>
                </w:pPr>
              </w:p>
            </w:tc>
            <w:tc>
              <w:tcPr>
                <w:tcW w:w="118" w:type="pct"/>
                <w:vAlign w:val="center"/>
              </w:tcPr>
              <w:p w14:paraId="5E353F27" w14:textId="77777777" w:rsidR="00E57DAA" w:rsidRDefault="00E57DAA">
                <w:pPr>
                  <w:jc w:val="right"/>
                  <w:rPr>
                    <w:sz w:val="11"/>
                    <w:szCs w:val="11"/>
                  </w:rPr>
                </w:pPr>
              </w:p>
            </w:tc>
            <w:tc>
              <w:tcPr>
                <w:tcW w:w="118" w:type="pct"/>
                <w:vAlign w:val="center"/>
              </w:tcPr>
              <w:p w14:paraId="3BC4B41A" w14:textId="77777777" w:rsidR="00E57DAA" w:rsidRDefault="00E57DAA">
                <w:pPr>
                  <w:jc w:val="right"/>
                  <w:rPr>
                    <w:sz w:val="11"/>
                    <w:szCs w:val="11"/>
                  </w:rPr>
                </w:pPr>
              </w:p>
            </w:tc>
            <w:tc>
              <w:tcPr>
                <w:tcW w:w="430" w:type="pct"/>
                <w:vAlign w:val="center"/>
              </w:tcPr>
              <w:p w14:paraId="043E29BB" w14:textId="77777777" w:rsidR="00E57DAA" w:rsidRDefault="00E57DAA">
                <w:pPr>
                  <w:jc w:val="right"/>
                  <w:rPr>
                    <w:sz w:val="11"/>
                    <w:szCs w:val="11"/>
                  </w:rPr>
                </w:pPr>
              </w:p>
            </w:tc>
            <w:tc>
              <w:tcPr>
                <w:tcW w:w="356" w:type="pct"/>
                <w:vAlign w:val="center"/>
              </w:tcPr>
              <w:p w14:paraId="5FD3AE11" w14:textId="77777777" w:rsidR="00E57DAA" w:rsidRDefault="00E57DAA">
                <w:pPr>
                  <w:jc w:val="right"/>
                  <w:rPr>
                    <w:sz w:val="11"/>
                    <w:szCs w:val="11"/>
                  </w:rPr>
                </w:pPr>
              </w:p>
            </w:tc>
            <w:tc>
              <w:tcPr>
                <w:tcW w:w="356" w:type="pct"/>
                <w:vAlign w:val="center"/>
              </w:tcPr>
              <w:p w14:paraId="56C9B8C9" w14:textId="77777777" w:rsidR="00E57DAA" w:rsidRDefault="00E57DAA">
                <w:pPr>
                  <w:jc w:val="right"/>
                  <w:rPr>
                    <w:sz w:val="11"/>
                    <w:szCs w:val="11"/>
                  </w:rPr>
                </w:pPr>
              </w:p>
            </w:tc>
            <w:tc>
              <w:tcPr>
                <w:tcW w:w="356" w:type="pct"/>
                <w:vAlign w:val="center"/>
              </w:tcPr>
              <w:p w14:paraId="13C2E578" w14:textId="77777777" w:rsidR="00E57DAA" w:rsidRDefault="00E57DAA">
                <w:pPr>
                  <w:jc w:val="right"/>
                  <w:rPr>
                    <w:sz w:val="11"/>
                    <w:szCs w:val="11"/>
                  </w:rPr>
                </w:pPr>
              </w:p>
            </w:tc>
            <w:tc>
              <w:tcPr>
                <w:tcW w:w="395" w:type="pct"/>
                <w:vAlign w:val="center"/>
              </w:tcPr>
              <w:p w14:paraId="36E9D608" w14:textId="77777777" w:rsidR="00E57DAA" w:rsidRDefault="00E57DAA">
                <w:pPr>
                  <w:jc w:val="right"/>
                  <w:rPr>
                    <w:sz w:val="11"/>
                    <w:szCs w:val="11"/>
                  </w:rPr>
                </w:pPr>
              </w:p>
            </w:tc>
            <w:tc>
              <w:tcPr>
                <w:tcW w:w="118" w:type="pct"/>
                <w:vAlign w:val="center"/>
              </w:tcPr>
              <w:p w14:paraId="43C4B58A" w14:textId="77777777" w:rsidR="00E57DAA" w:rsidRDefault="00E57DAA">
                <w:pPr>
                  <w:jc w:val="right"/>
                  <w:rPr>
                    <w:sz w:val="11"/>
                    <w:szCs w:val="11"/>
                  </w:rPr>
                </w:pPr>
              </w:p>
            </w:tc>
            <w:tc>
              <w:tcPr>
                <w:tcW w:w="415" w:type="pct"/>
                <w:vAlign w:val="center"/>
              </w:tcPr>
              <w:p w14:paraId="6C7557A8" w14:textId="77777777" w:rsidR="00E57DAA" w:rsidRDefault="00E57DAA">
                <w:pPr>
                  <w:jc w:val="right"/>
                  <w:rPr>
                    <w:sz w:val="11"/>
                    <w:szCs w:val="11"/>
                  </w:rPr>
                </w:pPr>
              </w:p>
            </w:tc>
            <w:tc>
              <w:tcPr>
                <w:tcW w:w="121" w:type="pct"/>
                <w:vAlign w:val="center"/>
              </w:tcPr>
              <w:p w14:paraId="6CB0B0C7" w14:textId="77777777" w:rsidR="00E57DAA" w:rsidRDefault="00E57DAA">
                <w:pPr>
                  <w:jc w:val="right"/>
                  <w:rPr>
                    <w:sz w:val="11"/>
                    <w:szCs w:val="11"/>
                  </w:rPr>
                </w:pPr>
              </w:p>
            </w:tc>
            <w:tc>
              <w:tcPr>
                <w:tcW w:w="415" w:type="pct"/>
                <w:vAlign w:val="center"/>
              </w:tcPr>
              <w:p w14:paraId="517AC019" w14:textId="77777777" w:rsidR="00E57DAA" w:rsidRDefault="00E57DAA">
                <w:pPr>
                  <w:jc w:val="right"/>
                  <w:rPr>
                    <w:sz w:val="11"/>
                    <w:szCs w:val="11"/>
                  </w:rPr>
                </w:pPr>
              </w:p>
            </w:tc>
            <w:tc>
              <w:tcPr>
                <w:tcW w:w="395" w:type="pct"/>
                <w:vAlign w:val="center"/>
              </w:tcPr>
              <w:p w14:paraId="6D285805" w14:textId="77777777" w:rsidR="00E57DAA" w:rsidRDefault="00E57DAA">
                <w:pPr>
                  <w:jc w:val="right"/>
                  <w:rPr>
                    <w:sz w:val="11"/>
                    <w:szCs w:val="11"/>
                  </w:rPr>
                </w:pPr>
              </w:p>
            </w:tc>
            <w:tc>
              <w:tcPr>
                <w:tcW w:w="415" w:type="pct"/>
                <w:vAlign w:val="center"/>
              </w:tcPr>
              <w:p w14:paraId="3FC5A8F5" w14:textId="77777777" w:rsidR="00E57DAA" w:rsidRDefault="00E57DAA">
                <w:pPr>
                  <w:jc w:val="right"/>
                  <w:rPr>
                    <w:sz w:val="11"/>
                    <w:szCs w:val="11"/>
                  </w:rPr>
                </w:pPr>
              </w:p>
            </w:tc>
          </w:tr>
          <w:tr w:rsidR="00E57DAA" w14:paraId="4D0CAEB7" w14:textId="77777777">
            <w:sdt>
              <w:sdtPr>
                <w:rPr>
                  <w:sz w:val="11"/>
                  <w:szCs w:val="11"/>
                </w:rPr>
                <w:tag w:val="_PLD_88fb253c66e143fa8d6fda4d400657ec"/>
                <w:id w:val="-1265995749"/>
              </w:sdtPr>
              <w:sdtEndPr/>
              <w:sdtContent>
                <w:tc>
                  <w:tcPr>
                    <w:tcW w:w="480" w:type="pct"/>
                  </w:tcPr>
                  <w:p w14:paraId="30655585" w14:textId="77777777" w:rsidR="00E57DAA" w:rsidRDefault="00AC4185">
                    <w:pPr>
                      <w:rPr>
                        <w:sz w:val="11"/>
                        <w:szCs w:val="11"/>
                      </w:rPr>
                    </w:pPr>
                    <w:r>
                      <w:rPr>
                        <w:sz w:val="11"/>
                        <w:szCs w:val="11"/>
                      </w:rPr>
                      <w:t>1．资本公积转增资本（或股本）</w:t>
                    </w:r>
                  </w:p>
                </w:tc>
              </w:sdtContent>
            </w:sdt>
            <w:tc>
              <w:tcPr>
                <w:tcW w:w="395" w:type="pct"/>
                <w:vAlign w:val="center"/>
              </w:tcPr>
              <w:p w14:paraId="3A8E96B9" w14:textId="77777777" w:rsidR="00E57DAA" w:rsidRDefault="00E57DAA">
                <w:pPr>
                  <w:jc w:val="right"/>
                  <w:rPr>
                    <w:sz w:val="11"/>
                    <w:szCs w:val="11"/>
                  </w:rPr>
                </w:pPr>
              </w:p>
            </w:tc>
            <w:tc>
              <w:tcPr>
                <w:tcW w:w="118" w:type="pct"/>
                <w:vAlign w:val="center"/>
              </w:tcPr>
              <w:p w14:paraId="0B391505" w14:textId="77777777" w:rsidR="00E57DAA" w:rsidRDefault="00E57DAA">
                <w:pPr>
                  <w:jc w:val="right"/>
                  <w:rPr>
                    <w:sz w:val="11"/>
                    <w:szCs w:val="11"/>
                  </w:rPr>
                </w:pPr>
              </w:p>
            </w:tc>
            <w:tc>
              <w:tcPr>
                <w:tcW w:w="118" w:type="pct"/>
                <w:vAlign w:val="center"/>
              </w:tcPr>
              <w:p w14:paraId="27E8242E" w14:textId="77777777" w:rsidR="00E57DAA" w:rsidRDefault="00E57DAA">
                <w:pPr>
                  <w:jc w:val="right"/>
                  <w:rPr>
                    <w:sz w:val="11"/>
                    <w:szCs w:val="11"/>
                  </w:rPr>
                </w:pPr>
              </w:p>
            </w:tc>
            <w:tc>
              <w:tcPr>
                <w:tcW w:w="118" w:type="pct"/>
                <w:vAlign w:val="center"/>
              </w:tcPr>
              <w:p w14:paraId="0FC0B781" w14:textId="77777777" w:rsidR="00E57DAA" w:rsidRDefault="00E57DAA">
                <w:pPr>
                  <w:jc w:val="right"/>
                  <w:rPr>
                    <w:sz w:val="11"/>
                    <w:szCs w:val="11"/>
                  </w:rPr>
                </w:pPr>
              </w:p>
            </w:tc>
            <w:tc>
              <w:tcPr>
                <w:tcW w:w="430" w:type="pct"/>
                <w:vAlign w:val="center"/>
              </w:tcPr>
              <w:p w14:paraId="6F4C8B94" w14:textId="77777777" w:rsidR="00E57DAA" w:rsidRDefault="00E57DAA">
                <w:pPr>
                  <w:jc w:val="right"/>
                  <w:rPr>
                    <w:sz w:val="11"/>
                    <w:szCs w:val="11"/>
                  </w:rPr>
                </w:pPr>
              </w:p>
            </w:tc>
            <w:tc>
              <w:tcPr>
                <w:tcW w:w="356" w:type="pct"/>
                <w:vAlign w:val="center"/>
              </w:tcPr>
              <w:p w14:paraId="6693A40D" w14:textId="77777777" w:rsidR="00E57DAA" w:rsidRDefault="00E57DAA">
                <w:pPr>
                  <w:jc w:val="right"/>
                  <w:rPr>
                    <w:sz w:val="11"/>
                    <w:szCs w:val="11"/>
                  </w:rPr>
                </w:pPr>
              </w:p>
            </w:tc>
            <w:tc>
              <w:tcPr>
                <w:tcW w:w="356" w:type="pct"/>
                <w:vAlign w:val="center"/>
              </w:tcPr>
              <w:p w14:paraId="49096728" w14:textId="77777777" w:rsidR="00E57DAA" w:rsidRDefault="00E57DAA">
                <w:pPr>
                  <w:jc w:val="right"/>
                  <w:rPr>
                    <w:sz w:val="11"/>
                    <w:szCs w:val="11"/>
                  </w:rPr>
                </w:pPr>
              </w:p>
            </w:tc>
            <w:tc>
              <w:tcPr>
                <w:tcW w:w="356" w:type="pct"/>
                <w:vAlign w:val="center"/>
              </w:tcPr>
              <w:p w14:paraId="08C73A9B" w14:textId="77777777" w:rsidR="00E57DAA" w:rsidRDefault="00E57DAA">
                <w:pPr>
                  <w:jc w:val="right"/>
                  <w:rPr>
                    <w:sz w:val="11"/>
                    <w:szCs w:val="11"/>
                  </w:rPr>
                </w:pPr>
              </w:p>
            </w:tc>
            <w:tc>
              <w:tcPr>
                <w:tcW w:w="395" w:type="pct"/>
                <w:vAlign w:val="center"/>
              </w:tcPr>
              <w:p w14:paraId="5E201450" w14:textId="77777777" w:rsidR="00E57DAA" w:rsidRDefault="00E57DAA">
                <w:pPr>
                  <w:jc w:val="right"/>
                  <w:rPr>
                    <w:sz w:val="11"/>
                    <w:szCs w:val="11"/>
                  </w:rPr>
                </w:pPr>
              </w:p>
            </w:tc>
            <w:tc>
              <w:tcPr>
                <w:tcW w:w="118" w:type="pct"/>
                <w:vAlign w:val="center"/>
              </w:tcPr>
              <w:p w14:paraId="0FB83042" w14:textId="77777777" w:rsidR="00E57DAA" w:rsidRDefault="00E57DAA">
                <w:pPr>
                  <w:jc w:val="right"/>
                  <w:rPr>
                    <w:sz w:val="11"/>
                    <w:szCs w:val="11"/>
                  </w:rPr>
                </w:pPr>
              </w:p>
            </w:tc>
            <w:tc>
              <w:tcPr>
                <w:tcW w:w="415" w:type="pct"/>
                <w:vAlign w:val="center"/>
              </w:tcPr>
              <w:p w14:paraId="28201CBC" w14:textId="77777777" w:rsidR="00E57DAA" w:rsidRDefault="00E57DAA">
                <w:pPr>
                  <w:jc w:val="right"/>
                  <w:rPr>
                    <w:sz w:val="11"/>
                    <w:szCs w:val="11"/>
                  </w:rPr>
                </w:pPr>
              </w:p>
            </w:tc>
            <w:tc>
              <w:tcPr>
                <w:tcW w:w="121" w:type="pct"/>
                <w:vAlign w:val="center"/>
              </w:tcPr>
              <w:p w14:paraId="72FB1A15" w14:textId="77777777" w:rsidR="00E57DAA" w:rsidRDefault="00E57DAA">
                <w:pPr>
                  <w:jc w:val="right"/>
                  <w:rPr>
                    <w:sz w:val="11"/>
                    <w:szCs w:val="11"/>
                  </w:rPr>
                </w:pPr>
              </w:p>
            </w:tc>
            <w:tc>
              <w:tcPr>
                <w:tcW w:w="415" w:type="pct"/>
                <w:vAlign w:val="center"/>
              </w:tcPr>
              <w:p w14:paraId="262483E7" w14:textId="77777777" w:rsidR="00E57DAA" w:rsidRDefault="00E57DAA">
                <w:pPr>
                  <w:jc w:val="right"/>
                  <w:rPr>
                    <w:sz w:val="11"/>
                    <w:szCs w:val="11"/>
                  </w:rPr>
                </w:pPr>
              </w:p>
            </w:tc>
            <w:tc>
              <w:tcPr>
                <w:tcW w:w="395" w:type="pct"/>
                <w:vAlign w:val="center"/>
              </w:tcPr>
              <w:p w14:paraId="61E4FA86" w14:textId="77777777" w:rsidR="00E57DAA" w:rsidRDefault="00E57DAA">
                <w:pPr>
                  <w:jc w:val="right"/>
                  <w:rPr>
                    <w:sz w:val="11"/>
                    <w:szCs w:val="11"/>
                  </w:rPr>
                </w:pPr>
              </w:p>
            </w:tc>
            <w:tc>
              <w:tcPr>
                <w:tcW w:w="415" w:type="pct"/>
                <w:vAlign w:val="center"/>
              </w:tcPr>
              <w:p w14:paraId="286BDD11" w14:textId="77777777" w:rsidR="00E57DAA" w:rsidRDefault="00E57DAA">
                <w:pPr>
                  <w:jc w:val="right"/>
                  <w:rPr>
                    <w:sz w:val="11"/>
                    <w:szCs w:val="11"/>
                  </w:rPr>
                </w:pPr>
              </w:p>
            </w:tc>
          </w:tr>
          <w:tr w:rsidR="00E57DAA" w14:paraId="029B49AF" w14:textId="77777777">
            <w:sdt>
              <w:sdtPr>
                <w:rPr>
                  <w:sz w:val="11"/>
                  <w:szCs w:val="11"/>
                </w:rPr>
                <w:tag w:val="_PLD_15cc23aa9ca343c08333ba7ee1b1325c"/>
                <w:id w:val="442496196"/>
              </w:sdtPr>
              <w:sdtEndPr/>
              <w:sdtContent>
                <w:tc>
                  <w:tcPr>
                    <w:tcW w:w="480" w:type="pct"/>
                  </w:tcPr>
                  <w:p w14:paraId="7A977EA4" w14:textId="77777777" w:rsidR="00E57DAA" w:rsidRDefault="00AC4185">
                    <w:pPr>
                      <w:rPr>
                        <w:sz w:val="11"/>
                        <w:szCs w:val="11"/>
                      </w:rPr>
                    </w:pPr>
                    <w:r>
                      <w:rPr>
                        <w:sz w:val="11"/>
                        <w:szCs w:val="11"/>
                      </w:rPr>
                      <w:t>2．盈余公积转增资本（或股本）</w:t>
                    </w:r>
                  </w:p>
                </w:tc>
              </w:sdtContent>
            </w:sdt>
            <w:tc>
              <w:tcPr>
                <w:tcW w:w="395" w:type="pct"/>
                <w:vAlign w:val="center"/>
              </w:tcPr>
              <w:p w14:paraId="20E24374" w14:textId="77777777" w:rsidR="00E57DAA" w:rsidRDefault="00E57DAA">
                <w:pPr>
                  <w:jc w:val="right"/>
                  <w:rPr>
                    <w:sz w:val="11"/>
                    <w:szCs w:val="11"/>
                  </w:rPr>
                </w:pPr>
              </w:p>
            </w:tc>
            <w:tc>
              <w:tcPr>
                <w:tcW w:w="118" w:type="pct"/>
                <w:vAlign w:val="center"/>
              </w:tcPr>
              <w:p w14:paraId="234285F2" w14:textId="77777777" w:rsidR="00E57DAA" w:rsidRDefault="00E57DAA">
                <w:pPr>
                  <w:jc w:val="right"/>
                  <w:rPr>
                    <w:sz w:val="11"/>
                    <w:szCs w:val="11"/>
                  </w:rPr>
                </w:pPr>
              </w:p>
            </w:tc>
            <w:tc>
              <w:tcPr>
                <w:tcW w:w="118" w:type="pct"/>
                <w:vAlign w:val="center"/>
              </w:tcPr>
              <w:p w14:paraId="4A194F5C" w14:textId="77777777" w:rsidR="00E57DAA" w:rsidRDefault="00E57DAA">
                <w:pPr>
                  <w:jc w:val="right"/>
                  <w:rPr>
                    <w:sz w:val="11"/>
                    <w:szCs w:val="11"/>
                  </w:rPr>
                </w:pPr>
              </w:p>
            </w:tc>
            <w:tc>
              <w:tcPr>
                <w:tcW w:w="118" w:type="pct"/>
                <w:vAlign w:val="center"/>
              </w:tcPr>
              <w:p w14:paraId="480649F9" w14:textId="77777777" w:rsidR="00E57DAA" w:rsidRDefault="00E57DAA">
                <w:pPr>
                  <w:jc w:val="right"/>
                  <w:rPr>
                    <w:sz w:val="11"/>
                    <w:szCs w:val="11"/>
                  </w:rPr>
                </w:pPr>
              </w:p>
            </w:tc>
            <w:tc>
              <w:tcPr>
                <w:tcW w:w="430" w:type="pct"/>
                <w:vAlign w:val="center"/>
              </w:tcPr>
              <w:p w14:paraId="3450AF39" w14:textId="77777777" w:rsidR="00E57DAA" w:rsidRDefault="00E57DAA">
                <w:pPr>
                  <w:jc w:val="right"/>
                  <w:rPr>
                    <w:sz w:val="11"/>
                    <w:szCs w:val="11"/>
                  </w:rPr>
                </w:pPr>
              </w:p>
            </w:tc>
            <w:tc>
              <w:tcPr>
                <w:tcW w:w="356" w:type="pct"/>
                <w:vAlign w:val="center"/>
              </w:tcPr>
              <w:p w14:paraId="165EE86A" w14:textId="77777777" w:rsidR="00E57DAA" w:rsidRDefault="00E57DAA">
                <w:pPr>
                  <w:jc w:val="right"/>
                  <w:rPr>
                    <w:sz w:val="11"/>
                    <w:szCs w:val="11"/>
                  </w:rPr>
                </w:pPr>
              </w:p>
            </w:tc>
            <w:tc>
              <w:tcPr>
                <w:tcW w:w="356" w:type="pct"/>
                <w:vAlign w:val="center"/>
              </w:tcPr>
              <w:p w14:paraId="5206E1A7" w14:textId="77777777" w:rsidR="00E57DAA" w:rsidRDefault="00E57DAA">
                <w:pPr>
                  <w:jc w:val="right"/>
                  <w:rPr>
                    <w:sz w:val="11"/>
                    <w:szCs w:val="11"/>
                  </w:rPr>
                </w:pPr>
              </w:p>
            </w:tc>
            <w:tc>
              <w:tcPr>
                <w:tcW w:w="356" w:type="pct"/>
                <w:vAlign w:val="center"/>
              </w:tcPr>
              <w:p w14:paraId="6D0BB7E1" w14:textId="77777777" w:rsidR="00E57DAA" w:rsidRDefault="00E57DAA">
                <w:pPr>
                  <w:jc w:val="right"/>
                  <w:rPr>
                    <w:sz w:val="11"/>
                    <w:szCs w:val="11"/>
                  </w:rPr>
                </w:pPr>
              </w:p>
            </w:tc>
            <w:tc>
              <w:tcPr>
                <w:tcW w:w="395" w:type="pct"/>
                <w:vAlign w:val="center"/>
              </w:tcPr>
              <w:p w14:paraId="759A285F" w14:textId="77777777" w:rsidR="00E57DAA" w:rsidRDefault="00E57DAA">
                <w:pPr>
                  <w:jc w:val="right"/>
                  <w:rPr>
                    <w:sz w:val="11"/>
                    <w:szCs w:val="11"/>
                  </w:rPr>
                </w:pPr>
              </w:p>
            </w:tc>
            <w:tc>
              <w:tcPr>
                <w:tcW w:w="118" w:type="pct"/>
                <w:vAlign w:val="center"/>
              </w:tcPr>
              <w:p w14:paraId="360BCB9C" w14:textId="77777777" w:rsidR="00E57DAA" w:rsidRDefault="00E57DAA">
                <w:pPr>
                  <w:jc w:val="right"/>
                  <w:rPr>
                    <w:sz w:val="11"/>
                    <w:szCs w:val="11"/>
                  </w:rPr>
                </w:pPr>
              </w:p>
            </w:tc>
            <w:tc>
              <w:tcPr>
                <w:tcW w:w="415" w:type="pct"/>
                <w:vAlign w:val="center"/>
              </w:tcPr>
              <w:p w14:paraId="7D8EE653" w14:textId="77777777" w:rsidR="00E57DAA" w:rsidRDefault="00E57DAA">
                <w:pPr>
                  <w:jc w:val="right"/>
                  <w:rPr>
                    <w:sz w:val="11"/>
                    <w:szCs w:val="11"/>
                  </w:rPr>
                </w:pPr>
              </w:p>
            </w:tc>
            <w:tc>
              <w:tcPr>
                <w:tcW w:w="121" w:type="pct"/>
                <w:vAlign w:val="center"/>
              </w:tcPr>
              <w:p w14:paraId="6E27095E" w14:textId="77777777" w:rsidR="00E57DAA" w:rsidRDefault="00E57DAA">
                <w:pPr>
                  <w:jc w:val="right"/>
                  <w:rPr>
                    <w:sz w:val="11"/>
                    <w:szCs w:val="11"/>
                  </w:rPr>
                </w:pPr>
              </w:p>
            </w:tc>
            <w:tc>
              <w:tcPr>
                <w:tcW w:w="415" w:type="pct"/>
                <w:vAlign w:val="center"/>
              </w:tcPr>
              <w:p w14:paraId="6A9F47DE" w14:textId="77777777" w:rsidR="00E57DAA" w:rsidRDefault="00E57DAA">
                <w:pPr>
                  <w:jc w:val="right"/>
                  <w:rPr>
                    <w:sz w:val="11"/>
                    <w:szCs w:val="11"/>
                  </w:rPr>
                </w:pPr>
              </w:p>
            </w:tc>
            <w:tc>
              <w:tcPr>
                <w:tcW w:w="395" w:type="pct"/>
                <w:vAlign w:val="center"/>
              </w:tcPr>
              <w:p w14:paraId="7B94FF10" w14:textId="77777777" w:rsidR="00E57DAA" w:rsidRDefault="00E57DAA">
                <w:pPr>
                  <w:jc w:val="right"/>
                  <w:rPr>
                    <w:sz w:val="11"/>
                    <w:szCs w:val="11"/>
                  </w:rPr>
                </w:pPr>
              </w:p>
            </w:tc>
            <w:tc>
              <w:tcPr>
                <w:tcW w:w="415" w:type="pct"/>
                <w:vAlign w:val="center"/>
              </w:tcPr>
              <w:p w14:paraId="1E0A0CD7" w14:textId="77777777" w:rsidR="00E57DAA" w:rsidRDefault="00E57DAA">
                <w:pPr>
                  <w:jc w:val="right"/>
                  <w:rPr>
                    <w:sz w:val="11"/>
                    <w:szCs w:val="11"/>
                  </w:rPr>
                </w:pPr>
              </w:p>
            </w:tc>
          </w:tr>
          <w:tr w:rsidR="00E57DAA" w14:paraId="52782327" w14:textId="77777777">
            <w:sdt>
              <w:sdtPr>
                <w:rPr>
                  <w:sz w:val="11"/>
                  <w:szCs w:val="11"/>
                </w:rPr>
                <w:tag w:val="_PLD_9db953ff4eb242bd9b2d516481ce5c51"/>
                <w:id w:val="1694728515"/>
              </w:sdtPr>
              <w:sdtEndPr/>
              <w:sdtContent>
                <w:tc>
                  <w:tcPr>
                    <w:tcW w:w="480" w:type="pct"/>
                  </w:tcPr>
                  <w:p w14:paraId="1A666D2F" w14:textId="77777777" w:rsidR="00E57DAA" w:rsidRDefault="00AC4185">
                    <w:pPr>
                      <w:rPr>
                        <w:sz w:val="11"/>
                        <w:szCs w:val="11"/>
                      </w:rPr>
                    </w:pPr>
                    <w:r>
                      <w:rPr>
                        <w:sz w:val="11"/>
                        <w:szCs w:val="11"/>
                      </w:rPr>
                      <w:t>3．盈余公积弥补亏损</w:t>
                    </w:r>
                  </w:p>
                </w:tc>
              </w:sdtContent>
            </w:sdt>
            <w:tc>
              <w:tcPr>
                <w:tcW w:w="395" w:type="pct"/>
                <w:vAlign w:val="center"/>
              </w:tcPr>
              <w:p w14:paraId="667756CD" w14:textId="77777777" w:rsidR="00E57DAA" w:rsidRDefault="00E57DAA">
                <w:pPr>
                  <w:jc w:val="right"/>
                  <w:rPr>
                    <w:sz w:val="11"/>
                    <w:szCs w:val="11"/>
                  </w:rPr>
                </w:pPr>
              </w:p>
            </w:tc>
            <w:tc>
              <w:tcPr>
                <w:tcW w:w="118" w:type="pct"/>
                <w:vAlign w:val="center"/>
              </w:tcPr>
              <w:p w14:paraId="0B49E632" w14:textId="77777777" w:rsidR="00E57DAA" w:rsidRDefault="00E57DAA">
                <w:pPr>
                  <w:jc w:val="right"/>
                  <w:rPr>
                    <w:sz w:val="11"/>
                    <w:szCs w:val="11"/>
                  </w:rPr>
                </w:pPr>
              </w:p>
            </w:tc>
            <w:tc>
              <w:tcPr>
                <w:tcW w:w="118" w:type="pct"/>
                <w:vAlign w:val="center"/>
              </w:tcPr>
              <w:p w14:paraId="2D10B8F9" w14:textId="77777777" w:rsidR="00E57DAA" w:rsidRDefault="00E57DAA">
                <w:pPr>
                  <w:jc w:val="right"/>
                  <w:rPr>
                    <w:sz w:val="11"/>
                    <w:szCs w:val="11"/>
                  </w:rPr>
                </w:pPr>
              </w:p>
            </w:tc>
            <w:tc>
              <w:tcPr>
                <w:tcW w:w="118" w:type="pct"/>
                <w:vAlign w:val="center"/>
              </w:tcPr>
              <w:p w14:paraId="7594F3C2" w14:textId="77777777" w:rsidR="00E57DAA" w:rsidRDefault="00E57DAA">
                <w:pPr>
                  <w:jc w:val="right"/>
                  <w:rPr>
                    <w:sz w:val="11"/>
                    <w:szCs w:val="11"/>
                  </w:rPr>
                </w:pPr>
              </w:p>
            </w:tc>
            <w:tc>
              <w:tcPr>
                <w:tcW w:w="430" w:type="pct"/>
                <w:vAlign w:val="center"/>
              </w:tcPr>
              <w:p w14:paraId="6E58485E" w14:textId="77777777" w:rsidR="00E57DAA" w:rsidRDefault="00E57DAA">
                <w:pPr>
                  <w:jc w:val="right"/>
                  <w:rPr>
                    <w:sz w:val="11"/>
                    <w:szCs w:val="11"/>
                  </w:rPr>
                </w:pPr>
              </w:p>
            </w:tc>
            <w:tc>
              <w:tcPr>
                <w:tcW w:w="356" w:type="pct"/>
                <w:vAlign w:val="center"/>
              </w:tcPr>
              <w:p w14:paraId="4BDD37C2" w14:textId="77777777" w:rsidR="00E57DAA" w:rsidRDefault="00E57DAA">
                <w:pPr>
                  <w:jc w:val="right"/>
                  <w:rPr>
                    <w:sz w:val="11"/>
                    <w:szCs w:val="11"/>
                  </w:rPr>
                </w:pPr>
              </w:p>
            </w:tc>
            <w:tc>
              <w:tcPr>
                <w:tcW w:w="356" w:type="pct"/>
                <w:vAlign w:val="center"/>
              </w:tcPr>
              <w:p w14:paraId="00B0DFD4" w14:textId="77777777" w:rsidR="00E57DAA" w:rsidRDefault="00E57DAA">
                <w:pPr>
                  <w:jc w:val="right"/>
                  <w:rPr>
                    <w:sz w:val="11"/>
                    <w:szCs w:val="11"/>
                  </w:rPr>
                </w:pPr>
              </w:p>
            </w:tc>
            <w:tc>
              <w:tcPr>
                <w:tcW w:w="356" w:type="pct"/>
                <w:vAlign w:val="center"/>
              </w:tcPr>
              <w:p w14:paraId="1C876D08" w14:textId="77777777" w:rsidR="00E57DAA" w:rsidRDefault="00E57DAA">
                <w:pPr>
                  <w:jc w:val="right"/>
                  <w:rPr>
                    <w:sz w:val="11"/>
                    <w:szCs w:val="11"/>
                  </w:rPr>
                </w:pPr>
              </w:p>
            </w:tc>
            <w:tc>
              <w:tcPr>
                <w:tcW w:w="395" w:type="pct"/>
                <w:vAlign w:val="center"/>
              </w:tcPr>
              <w:p w14:paraId="126E9B69" w14:textId="77777777" w:rsidR="00E57DAA" w:rsidRDefault="00E57DAA">
                <w:pPr>
                  <w:jc w:val="right"/>
                  <w:rPr>
                    <w:sz w:val="11"/>
                    <w:szCs w:val="11"/>
                  </w:rPr>
                </w:pPr>
              </w:p>
            </w:tc>
            <w:tc>
              <w:tcPr>
                <w:tcW w:w="118" w:type="pct"/>
                <w:vAlign w:val="center"/>
              </w:tcPr>
              <w:p w14:paraId="384CBF68" w14:textId="77777777" w:rsidR="00E57DAA" w:rsidRDefault="00E57DAA">
                <w:pPr>
                  <w:jc w:val="right"/>
                  <w:rPr>
                    <w:sz w:val="11"/>
                    <w:szCs w:val="11"/>
                  </w:rPr>
                </w:pPr>
              </w:p>
            </w:tc>
            <w:tc>
              <w:tcPr>
                <w:tcW w:w="415" w:type="pct"/>
                <w:vAlign w:val="center"/>
              </w:tcPr>
              <w:p w14:paraId="7357DA13" w14:textId="77777777" w:rsidR="00E57DAA" w:rsidRDefault="00E57DAA">
                <w:pPr>
                  <w:jc w:val="right"/>
                  <w:rPr>
                    <w:sz w:val="11"/>
                    <w:szCs w:val="11"/>
                  </w:rPr>
                </w:pPr>
              </w:p>
            </w:tc>
            <w:tc>
              <w:tcPr>
                <w:tcW w:w="121" w:type="pct"/>
                <w:vAlign w:val="center"/>
              </w:tcPr>
              <w:p w14:paraId="0C55F29B" w14:textId="77777777" w:rsidR="00E57DAA" w:rsidRDefault="00E57DAA">
                <w:pPr>
                  <w:jc w:val="right"/>
                  <w:rPr>
                    <w:sz w:val="11"/>
                    <w:szCs w:val="11"/>
                  </w:rPr>
                </w:pPr>
              </w:p>
            </w:tc>
            <w:tc>
              <w:tcPr>
                <w:tcW w:w="415" w:type="pct"/>
                <w:vAlign w:val="center"/>
              </w:tcPr>
              <w:p w14:paraId="5848E6C5" w14:textId="77777777" w:rsidR="00E57DAA" w:rsidRDefault="00E57DAA">
                <w:pPr>
                  <w:jc w:val="right"/>
                  <w:rPr>
                    <w:sz w:val="11"/>
                    <w:szCs w:val="11"/>
                  </w:rPr>
                </w:pPr>
              </w:p>
            </w:tc>
            <w:tc>
              <w:tcPr>
                <w:tcW w:w="395" w:type="pct"/>
                <w:vAlign w:val="center"/>
              </w:tcPr>
              <w:p w14:paraId="7FC9F1D3" w14:textId="77777777" w:rsidR="00E57DAA" w:rsidRDefault="00E57DAA">
                <w:pPr>
                  <w:jc w:val="right"/>
                  <w:rPr>
                    <w:sz w:val="11"/>
                    <w:szCs w:val="11"/>
                  </w:rPr>
                </w:pPr>
              </w:p>
            </w:tc>
            <w:tc>
              <w:tcPr>
                <w:tcW w:w="415" w:type="pct"/>
                <w:vAlign w:val="center"/>
              </w:tcPr>
              <w:p w14:paraId="014F18D4" w14:textId="77777777" w:rsidR="00E57DAA" w:rsidRDefault="00E57DAA">
                <w:pPr>
                  <w:jc w:val="right"/>
                  <w:rPr>
                    <w:sz w:val="11"/>
                    <w:szCs w:val="11"/>
                  </w:rPr>
                </w:pPr>
              </w:p>
            </w:tc>
          </w:tr>
          <w:tr w:rsidR="00E57DAA" w14:paraId="31FE13E8" w14:textId="77777777">
            <w:tc>
              <w:tcPr>
                <w:tcW w:w="480" w:type="pct"/>
              </w:tcPr>
              <w:sdt>
                <w:sdtPr>
                  <w:rPr>
                    <w:sz w:val="11"/>
                    <w:szCs w:val="11"/>
                  </w:rPr>
                  <w:tag w:val="_PLD_4cff15a1162840c480701077d824f063"/>
                  <w:id w:val="1335025617"/>
                </w:sdtPr>
                <w:sdtEndPr/>
                <w:sdtContent>
                  <w:p w14:paraId="65E97A77" w14:textId="77777777" w:rsidR="00E57DAA" w:rsidRDefault="00AC4185">
                    <w:pPr>
                      <w:rPr>
                        <w:sz w:val="11"/>
                        <w:szCs w:val="11"/>
                      </w:rPr>
                    </w:pPr>
                    <w:r>
                      <w:rPr>
                        <w:sz w:val="11"/>
                        <w:szCs w:val="11"/>
                      </w:rPr>
                      <w:t>4．设定受益计划变动额结转留存收益</w:t>
                    </w:r>
                  </w:p>
                </w:sdtContent>
              </w:sdt>
            </w:tc>
            <w:tc>
              <w:tcPr>
                <w:tcW w:w="395" w:type="pct"/>
                <w:vAlign w:val="center"/>
              </w:tcPr>
              <w:p w14:paraId="490C10BB" w14:textId="77777777" w:rsidR="00E57DAA" w:rsidRDefault="00E57DAA">
                <w:pPr>
                  <w:jc w:val="right"/>
                  <w:rPr>
                    <w:sz w:val="11"/>
                    <w:szCs w:val="11"/>
                  </w:rPr>
                </w:pPr>
              </w:p>
            </w:tc>
            <w:tc>
              <w:tcPr>
                <w:tcW w:w="118" w:type="pct"/>
                <w:vAlign w:val="center"/>
              </w:tcPr>
              <w:p w14:paraId="6EEAA62E" w14:textId="77777777" w:rsidR="00E57DAA" w:rsidRDefault="00E57DAA">
                <w:pPr>
                  <w:jc w:val="right"/>
                  <w:rPr>
                    <w:sz w:val="11"/>
                    <w:szCs w:val="11"/>
                  </w:rPr>
                </w:pPr>
              </w:p>
            </w:tc>
            <w:tc>
              <w:tcPr>
                <w:tcW w:w="118" w:type="pct"/>
                <w:vAlign w:val="center"/>
              </w:tcPr>
              <w:p w14:paraId="3AF62128" w14:textId="77777777" w:rsidR="00E57DAA" w:rsidRDefault="00E57DAA">
                <w:pPr>
                  <w:jc w:val="right"/>
                  <w:rPr>
                    <w:sz w:val="11"/>
                    <w:szCs w:val="11"/>
                  </w:rPr>
                </w:pPr>
              </w:p>
            </w:tc>
            <w:tc>
              <w:tcPr>
                <w:tcW w:w="118" w:type="pct"/>
                <w:vAlign w:val="center"/>
              </w:tcPr>
              <w:p w14:paraId="0F62CB7C" w14:textId="77777777" w:rsidR="00E57DAA" w:rsidRDefault="00E57DAA">
                <w:pPr>
                  <w:jc w:val="right"/>
                  <w:rPr>
                    <w:sz w:val="11"/>
                    <w:szCs w:val="11"/>
                  </w:rPr>
                </w:pPr>
              </w:p>
            </w:tc>
            <w:tc>
              <w:tcPr>
                <w:tcW w:w="430" w:type="pct"/>
                <w:vAlign w:val="center"/>
              </w:tcPr>
              <w:p w14:paraId="5C250041" w14:textId="77777777" w:rsidR="00E57DAA" w:rsidRDefault="00E57DAA">
                <w:pPr>
                  <w:jc w:val="right"/>
                  <w:rPr>
                    <w:sz w:val="11"/>
                    <w:szCs w:val="11"/>
                  </w:rPr>
                </w:pPr>
              </w:p>
            </w:tc>
            <w:tc>
              <w:tcPr>
                <w:tcW w:w="356" w:type="pct"/>
                <w:vAlign w:val="center"/>
              </w:tcPr>
              <w:p w14:paraId="12879DE6" w14:textId="77777777" w:rsidR="00E57DAA" w:rsidRDefault="00E57DAA">
                <w:pPr>
                  <w:jc w:val="right"/>
                  <w:rPr>
                    <w:sz w:val="11"/>
                    <w:szCs w:val="11"/>
                  </w:rPr>
                </w:pPr>
              </w:p>
            </w:tc>
            <w:tc>
              <w:tcPr>
                <w:tcW w:w="356" w:type="pct"/>
                <w:vAlign w:val="center"/>
              </w:tcPr>
              <w:p w14:paraId="77C143B0" w14:textId="77777777" w:rsidR="00E57DAA" w:rsidRDefault="00E57DAA">
                <w:pPr>
                  <w:jc w:val="right"/>
                  <w:rPr>
                    <w:sz w:val="11"/>
                    <w:szCs w:val="11"/>
                  </w:rPr>
                </w:pPr>
              </w:p>
            </w:tc>
            <w:tc>
              <w:tcPr>
                <w:tcW w:w="356" w:type="pct"/>
                <w:vAlign w:val="center"/>
              </w:tcPr>
              <w:p w14:paraId="4C4EAD8C" w14:textId="77777777" w:rsidR="00E57DAA" w:rsidRDefault="00E57DAA">
                <w:pPr>
                  <w:jc w:val="right"/>
                  <w:rPr>
                    <w:sz w:val="11"/>
                    <w:szCs w:val="11"/>
                  </w:rPr>
                </w:pPr>
              </w:p>
            </w:tc>
            <w:tc>
              <w:tcPr>
                <w:tcW w:w="395" w:type="pct"/>
                <w:vAlign w:val="center"/>
              </w:tcPr>
              <w:p w14:paraId="0164C262" w14:textId="77777777" w:rsidR="00E57DAA" w:rsidRDefault="00E57DAA">
                <w:pPr>
                  <w:jc w:val="right"/>
                  <w:rPr>
                    <w:sz w:val="11"/>
                    <w:szCs w:val="11"/>
                  </w:rPr>
                </w:pPr>
              </w:p>
            </w:tc>
            <w:tc>
              <w:tcPr>
                <w:tcW w:w="118" w:type="pct"/>
                <w:vAlign w:val="center"/>
              </w:tcPr>
              <w:p w14:paraId="1181DA02" w14:textId="77777777" w:rsidR="00E57DAA" w:rsidRDefault="00E57DAA">
                <w:pPr>
                  <w:jc w:val="right"/>
                  <w:rPr>
                    <w:sz w:val="11"/>
                    <w:szCs w:val="11"/>
                  </w:rPr>
                </w:pPr>
              </w:p>
            </w:tc>
            <w:tc>
              <w:tcPr>
                <w:tcW w:w="415" w:type="pct"/>
                <w:vAlign w:val="center"/>
              </w:tcPr>
              <w:p w14:paraId="3D953F3E" w14:textId="77777777" w:rsidR="00E57DAA" w:rsidRDefault="00E57DAA">
                <w:pPr>
                  <w:jc w:val="right"/>
                  <w:rPr>
                    <w:sz w:val="11"/>
                    <w:szCs w:val="11"/>
                  </w:rPr>
                </w:pPr>
              </w:p>
            </w:tc>
            <w:tc>
              <w:tcPr>
                <w:tcW w:w="121" w:type="pct"/>
                <w:vAlign w:val="center"/>
              </w:tcPr>
              <w:p w14:paraId="21A7FB90" w14:textId="77777777" w:rsidR="00E57DAA" w:rsidRDefault="00E57DAA">
                <w:pPr>
                  <w:jc w:val="right"/>
                  <w:rPr>
                    <w:sz w:val="11"/>
                    <w:szCs w:val="11"/>
                  </w:rPr>
                </w:pPr>
              </w:p>
            </w:tc>
            <w:tc>
              <w:tcPr>
                <w:tcW w:w="415" w:type="pct"/>
                <w:vAlign w:val="center"/>
              </w:tcPr>
              <w:p w14:paraId="446A90CA" w14:textId="77777777" w:rsidR="00E57DAA" w:rsidRDefault="00E57DAA">
                <w:pPr>
                  <w:jc w:val="right"/>
                  <w:rPr>
                    <w:sz w:val="11"/>
                    <w:szCs w:val="11"/>
                  </w:rPr>
                </w:pPr>
              </w:p>
            </w:tc>
            <w:tc>
              <w:tcPr>
                <w:tcW w:w="395" w:type="pct"/>
                <w:vAlign w:val="center"/>
              </w:tcPr>
              <w:p w14:paraId="4741682E" w14:textId="77777777" w:rsidR="00E57DAA" w:rsidRDefault="00E57DAA">
                <w:pPr>
                  <w:jc w:val="right"/>
                  <w:rPr>
                    <w:sz w:val="11"/>
                    <w:szCs w:val="11"/>
                  </w:rPr>
                </w:pPr>
              </w:p>
            </w:tc>
            <w:tc>
              <w:tcPr>
                <w:tcW w:w="415" w:type="pct"/>
                <w:vAlign w:val="center"/>
              </w:tcPr>
              <w:p w14:paraId="33467B89" w14:textId="77777777" w:rsidR="00E57DAA" w:rsidRDefault="00E57DAA">
                <w:pPr>
                  <w:jc w:val="right"/>
                  <w:rPr>
                    <w:sz w:val="11"/>
                    <w:szCs w:val="11"/>
                  </w:rPr>
                </w:pPr>
              </w:p>
            </w:tc>
          </w:tr>
          <w:tr w:rsidR="00E57DAA" w14:paraId="4DB9DB60" w14:textId="77777777">
            <w:tc>
              <w:tcPr>
                <w:tcW w:w="480" w:type="pct"/>
              </w:tcPr>
              <w:sdt>
                <w:sdtPr>
                  <w:rPr>
                    <w:sz w:val="11"/>
                    <w:szCs w:val="11"/>
                  </w:rPr>
                  <w:tag w:val="_PLD_01b44dab85214948b610b65ce91a85dd"/>
                  <w:id w:val="-802463578"/>
                </w:sdtPr>
                <w:sdtEndPr/>
                <w:sdtContent>
                  <w:p w14:paraId="7B4E7CA6" w14:textId="77777777" w:rsidR="00E57DAA" w:rsidRDefault="00AC4185">
                    <w:pPr>
                      <w:rPr>
                        <w:sz w:val="11"/>
                        <w:szCs w:val="11"/>
                      </w:rPr>
                    </w:pPr>
                    <w:r>
                      <w:rPr>
                        <w:sz w:val="11"/>
                        <w:szCs w:val="11"/>
                      </w:rPr>
                      <w:t>5．其他综合收益结转留存收益</w:t>
                    </w:r>
                  </w:p>
                </w:sdtContent>
              </w:sdt>
            </w:tc>
            <w:tc>
              <w:tcPr>
                <w:tcW w:w="395" w:type="pct"/>
                <w:vAlign w:val="center"/>
              </w:tcPr>
              <w:p w14:paraId="0D10F68D" w14:textId="77777777" w:rsidR="00E57DAA" w:rsidRDefault="00E57DAA">
                <w:pPr>
                  <w:jc w:val="right"/>
                  <w:rPr>
                    <w:sz w:val="11"/>
                    <w:szCs w:val="11"/>
                  </w:rPr>
                </w:pPr>
              </w:p>
            </w:tc>
            <w:tc>
              <w:tcPr>
                <w:tcW w:w="118" w:type="pct"/>
                <w:vAlign w:val="center"/>
              </w:tcPr>
              <w:p w14:paraId="5ECF37A4" w14:textId="77777777" w:rsidR="00E57DAA" w:rsidRDefault="00E57DAA">
                <w:pPr>
                  <w:jc w:val="right"/>
                  <w:rPr>
                    <w:sz w:val="11"/>
                    <w:szCs w:val="11"/>
                  </w:rPr>
                </w:pPr>
              </w:p>
            </w:tc>
            <w:tc>
              <w:tcPr>
                <w:tcW w:w="118" w:type="pct"/>
                <w:vAlign w:val="center"/>
              </w:tcPr>
              <w:p w14:paraId="4E96862A" w14:textId="77777777" w:rsidR="00E57DAA" w:rsidRDefault="00E57DAA">
                <w:pPr>
                  <w:jc w:val="right"/>
                  <w:rPr>
                    <w:sz w:val="11"/>
                    <w:szCs w:val="11"/>
                  </w:rPr>
                </w:pPr>
              </w:p>
            </w:tc>
            <w:tc>
              <w:tcPr>
                <w:tcW w:w="118" w:type="pct"/>
                <w:vAlign w:val="center"/>
              </w:tcPr>
              <w:p w14:paraId="7FA5CF32" w14:textId="77777777" w:rsidR="00E57DAA" w:rsidRDefault="00E57DAA">
                <w:pPr>
                  <w:jc w:val="right"/>
                  <w:rPr>
                    <w:sz w:val="11"/>
                    <w:szCs w:val="11"/>
                  </w:rPr>
                </w:pPr>
              </w:p>
            </w:tc>
            <w:tc>
              <w:tcPr>
                <w:tcW w:w="430" w:type="pct"/>
                <w:vAlign w:val="center"/>
              </w:tcPr>
              <w:p w14:paraId="170ABE7B" w14:textId="77777777" w:rsidR="00E57DAA" w:rsidRDefault="00E57DAA">
                <w:pPr>
                  <w:jc w:val="right"/>
                  <w:rPr>
                    <w:sz w:val="11"/>
                    <w:szCs w:val="11"/>
                  </w:rPr>
                </w:pPr>
              </w:p>
            </w:tc>
            <w:tc>
              <w:tcPr>
                <w:tcW w:w="356" w:type="pct"/>
                <w:vAlign w:val="center"/>
              </w:tcPr>
              <w:p w14:paraId="123A3E57" w14:textId="77777777" w:rsidR="00E57DAA" w:rsidRDefault="00E57DAA">
                <w:pPr>
                  <w:jc w:val="right"/>
                  <w:rPr>
                    <w:sz w:val="11"/>
                    <w:szCs w:val="11"/>
                  </w:rPr>
                </w:pPr>
              </w:p>
            </w:tc>
            <w:tc>
              <w:tcPr>
                <w:tcW w:w="356" w:type="pct"/>
                <w:vAlign w:val="center"/>
              </w:tcPr>
              <w:p w14:paraId="5F765849" w14:textId="77777777" w:rsidR="00E57DAA" w:rsidRDefault="00E57DAA">
                <w:pPr>
                  <w:jc w:val="right"/>
                  <w:rPr>
                    <w:sz w:val="11"/>
                    <w:szCs w:val="11"/>
                  </w:rPr>
                </w:pPr>
              </w:p>
            </w:tc>
            <w:tc>
              <w:tcPr>
                <w:tcW w:w="356" w:type="pct"/>
                <w:vAlign w:val="center"/>
              </w:tcPr>
              <w:p w14:paraId="5A25C9B3" w14:textId="77777777" w:rsidR="00E57DAA" w:rsidRDefault="00E57DAA">
                <w:pPr>
                  <w:jc w:val="right"/>
                  <w:rPr>
                    <w:sz w:val="11"/>
                    <w:szCs w:val="11"/>
                  </w:rPr>
                </w:pPr>
              </w:p>
            </w:tc>
            <w:tc>
              <w:tcPr>
                <w:tcW w:w="395" w:type="pct"/>
                <w:vAlign w:val="center"/>
              </w:tcPr>
              <w:p w14:paraId="76B7C86B" w14:textId="77777777" w:rsidR="00E57DAA" w:rsidRDefault="00E57DAA">
                <w:pPr>
                  <w:jc w:val="right"/>
                  <w:rPr>
                    <w:sz w:val="11"/>
                    <w:szCs w:val="11"/>
                  </w:rPr>
                </w:pPr>
              </w:p>
            </w:tc>
            <w:tc>
              <w:tcPr>
                <w:tcW w:w="118" w:type="pct"/>
                <w:vAlign w:val="center"/>
              </w:tcPr>
              <w:p w14:paraId="03909C66" w14:textId="77777777" w:rsidR="00E57DAA" w:rsidRDefault="00E57DAA">
                <w:pPr>
                  <w:jc w:val="right"/>
                  <w:rPr>
                    <w:sz w:val="11"/>
                    <w:szCs w:val="11"/>
                  </w:rPr>
                </w:pPr>
              </w:p>
            </w:tc>
            <w:tc>
              <w:tcPr>
                <w:tcW w:w="415" w:type="pct"/>
                <w:vAlign w:val="center"/>
              </w:tcPr>
              <w:p w14:paraId="5DCC9B57" w14:textId="77777777" w:rsidR="00E57DAA" w:rsidRDefault="00E57DAA">
                <w:pPr>
                  <w:jc w:val="right"/>
                  <w:rPr>
                    <w:sz w:val="11"/>
                    <w:szCs w:val="11"/>
                  </w:rPr>
                </w:pPr>
              </w:p>
            </w:tc>
            <w:tc>
              <w:tcPr>
                <w:tcW w:w="121" w:type="pct"/>
                <w:vAlign w:val="center"/>
              </w:tcPr>
              <w:p w14:paraId="0D7051D8" w14:textId="77777777" w:rsidR="00E57DAA" w:rsidRDefault="00E57DAA">
                <w:pPr>
                  <w:jc w:val="right"/>
                  <w:rPr>
                    <w:sz w:val="11"/>
                    <w:szCs w:val="11"/>
                  </w:rPr>
                </w:pPr>
              </w:p>
            </w:tc>
            <w:tc>
              <w:tcPr>
                <w:tcW w:w="415" w:type="pct"/>
                <w:vAlign w:val="center"/>
              </w:tcPr>
              <w:p w14:paraId="29007AE6" w14:textId="77777777" w:rsidR="00E57DAA" w:rsidRDefault="00E57DAA">
                <w:pPr>
                  <w:jc w:val="right"/>
                  <w:rPr>
                    <w:sz w:val="11"/>
                    <w:szCs w:val="11"/>
                  </w:rPr>
                </w:pPr>
              </w:p>
            </w:tc>
            <w:tc>
              <w:tcPr>
                <w:tcW w:w="395" w:type="pct"/>
                <w:vAlign w:val="center"/>
              </w:tcPr>
              <w:p w14:paraId="1277A293" w14:textId="77777777" w:rsidR="00E57DAA" w:rsidRDefault="00E57DAA">
                <w:pPr>
                  <w:jc w:val="right"/>
                  <w:rPr>
                    <w:sz w:val="11"/>
                    <w:szCs w:val="11"/>
                  </w:rPr>
                </w:pPr>
              </w:p>
            </w:tc>
            <w:tc>
              <w:tcPr>
                <w:tcW w:w="415" w:type="pct"/>
                <w:vAlign w:val="center"/>
              </w:tcPr>
              <w:p w14:paraId="12A48CCA" w14:textId="77777777" w:rsidR="00E57DAA" w:rsidRDefault="00E57DAA">
                <w:pPr>
                  <w:jc w:val="right"/>
                  <w:rPr>
                    <w:sz w:val="11"/>
                    <w:szCs w:val="11"/>
                  </w:rPr>
                </w:pPr>
              </w:p>
            </w:tc>
          </w:tr>
          <w:tr w:rsidR="00E57DAA" w14:paraId="17D3D3D9" w14:textId="77777777">
            <w:sdt>
              <w:sdtPr>
                <w:rPr>
                  <w:sz w:val="11"/>
                  <w:szCs w:val="11"/>
                </w:rPr>
                <w:tag w:val="_PLD_3ac599075bf24593ba41b1bec2fb0e9e"/>
                <w:id w:val="493765476"/>
              </w:sdtPr>
              <w:sdtEndPr/>
              <w:sdtContent>
                <w:tc>
                  <w:tcPr>
                    <w:tcW w:w="480" w:type="pct"/>
                  </w:tcPr>
                  <w:p w14:paraId="6E21E257" w14:textId="77777777" w:rsidR="00E57DAA" w:rsidRDefault="00AC4185">
                    <w:pPr>
                      <w:rPr>
                        <w:sz w:val="11"/>
                        <w:szCs w:val="11"/>
                      </w:rPr>
                    </w:pPr>
                    <w:r>
                      <w:rPr>
                        <w:sz w:val="11"/>
                        <w:szCs w:val="11"/>
                      </w:rPr>
                      <w:t>6．其他</w:t>
                    </w:r>
                  </w:p>
                </w:tc>
              </w:sdtContent>
            </w:sdt>
            <w:tc>
              <w:tcPr>
                <w:tcW w:w="395" w:type="pct"/>
                <w:vAlign w:val="center"/>
              </w:tcPr>
              <w:p w14:paraId="24F51619" w14:textId="77777777" w:rsidR="00E57DAA" w:rsidRDefault="00E57DAA">
                <w:pPr>
                  <w:jc w:val="right"/>
                  <w:rPr>
                    <w:sz w:val="11"/>
                    <w:szCs w:val="11"/>
                  </w:rPr>
                </w:pPr>
              </w:p>
            </w:tc>
            <w:tc>
              <w:tcPr>
                <w:tcW w:w="118" w:type="pct"/>
                <w:vAlign w:val="center"/>
              </w:tcPr>
              <w:p w14:paraId="695D8589" w14:textId="77777777" w:rsidR="00E57DAA" w:rsidRDefault="00E57DAA">
                <w:pPr>
                  <w:jc w:val="right"/>
                  <w:rPr>
                    <w:sz w:val="11"/>
                    <w:szCs w:val="11"/>
                  </w:rPr>
                </w:pPr>
              </w:p>
            </w:tc>
            <w:tc>
              <w:tcPr>
                <w:tcW w:w="118" w:type="pct"/>
                <w:vAlign w:val="center"/>
              </w:tcPr>
              <w:p w14:paraId="43D8CB69" w14:textId="77777777" w:rsidR="00E57DAA" w:rsidRDefault="00E57DAA">
                <w:pPr>
                  <w:jc w:val="right"/>
                  <w:rPr>
                    <w:sz w:val="11"/>
                    <w:szCs w:val="11"/>
                  </w:rPr>
                </w:pPr>
              </w:p>
            </w:tc>
            <w:tc>
              <w:tcPr>
                <w:tcW w:w="118" w:type="pct"/>
                <w:vAlign w:val="center"/>
              </w:tcPr>
              <w:p w14:paraId="6F005189" w14:textId="77777777" w:rsidR="00E57DAA" w:rsidRDefault="00E57DAA">
                <w:pPr>
                  <w:jc w:val="right"/>
                  <w:rPr>
                    <w:sz w:val="11"/>
                    <w:szCs w:val="11"/>
                  </w:rPr>
                </w:pPr>
              </w:p>
            </w:tc>
            <w:tc>
              <w:tcPr>
                <w:tcW w:w="430" w:type="pct"/>
                <w:vAlign w:val="center"/>
              </w:tcPr>
              <w:p w14:paraId="7A44DF2A" w14:textId="77777777" w:rsidR="00E57DAA" w:rsidRDefault="00E57DAA">
                <w:pPr>
                  <w:jc w:val="right"/>
                  <w:rPr>
                    <w:sz w:val="11"/>
                    <w:szCs w:val="11"/>
                  </w:rPr>
                </w:pPr>
              </w:p>
            </w:tc>
            <w:tc>
              <w:tcPr>
                <w:tcW w:w="356" w:type="pct"/>
                <w:vAlign w:val="center"/>
              </w:tcPr>
              <w:p w14:paraId="3F324BC3" w14:textId="77777777" w:rsidR="00E57DAA" w:rsidRDefault="00E57DAA">
                <w:pPr>
                  <w:jc w:val="right"/>
                  <w:rPr>
                    <w:sz w:val="11"/>
                    <w:szCs w:val="11"/>
                  </w:rPr>
                </w:pPr>
              </w:p>
            </w:tc>
            <w:tc>
              <w:tcPr>
                <w:tcW w:w="356" w:type="pct"/>
                <w:vAlign w:val="center"/>
              </w:tcPr>
              <w:p w14:paraId="07915B46" w14:textId="77777777" w:rsidR="00E57DAA" w:rsidRDefault="00E57DAA">
                <w:pPr>
                  <w:jc w:val="right"/>
                  <w:rPr>
                    <w:sz w:val="11"/>
                    <w:szCs w:val="11"/>
                  </w:rPr>
                </w:pPr>
              </w:p>
            </w:tc>
            <w:tc>
              <w:tcPr>
                <w:tcW w:w="356" w:type="pct"/>
                <w:vAlign w:val="center"/>
              </w:tcPr>
              <w:p w14:paraId="6E674154" w14:textId="77777777" w:rsidR="00E57DAA" w:rsidRDefault="00E57DAA">
                <w:pPr>
                  <w:jc w:val="right"/>
                  <w:rPr>
                    <w:sz w:val="11"/>
                    <w:szCs w:val="11"/>
                  </w:rPr>
                </w:pPr>
              </w:p>
            </w:tc>
            <w:tc>
              <w:tcPr>
                <w:tcW w:w="395" w:type="pct"/>
                <w:vAlign w:val="center"/>
              </w:tcPr>
              <w:p w14:paraId="0A421680" w14:textId="77777777" w:rsidR="00E57DAA" w:rsidRDefault="00E57DAA">
                <w:pPr>
                  <w:jc w:val="right"/>
                  <w:rPr>
                    <w:sz w:val="11"/>
                    <w:szCs w:val="11"/>
                  </w:rPr>
                </w:pPr>
              </w:p>
            </w:tc>
            <w:tc>
              <w:tcPr>
                <w:tcW w:w="118" w:type="pct"/>
                <w:vAlign w:val="center"/>
              </w:tcPr>
              <w:p w14:paraId="2465DE08" w14:textId="77777777" w:rsidR="00E57DAA" w:rsidRDefault="00E57DAA">
                <w:pPr>
                  <w:jc w:val="right"/>
                  <w:rPr>
                    <w:sz w:val="11"/>
                    <w:szCs w:val="11"/>
                  </w:rPr>
                </w:pPr>
              </w:p>
            </w:tc>
            <w:tc>
              <w:tcPr>
                <w:tcW w:w="415" w:type="pct"/>
                <w:vAlign w:val="center"/>
              </w:tcPr>
              <w:p w14:paraId="73038EDA" w14:textId="77777777" w:rsidR="00E57DAA" w:rsidRDefault="00E57DAA">
                <w:pPr>
                  <w:jc w:val="right"/>
                  <w:rPr>
                    <w:sz w:val="11"/>
                    <w:szCs w:val="11"/>
                  </w:rPr>
                </w:pPr>
              </w:p>
            </w:tc>
            <w:tc>
              <w:tcPr>
                <w:tcW w:w="121" w:type="pct"/>
                <w:vAlign w:val="center"/>
              </w:tcPr>
              <w:p w14:paraId="6A8C3901" w14:textId="77777777" w:rsidR="00E57DAA" w:rsidRDefault="00E57DAA">
                <w:pPr>
                  <w:jc w:val="right"/>
                  <w:rPr>
                    <w:sz w:val="11"/>
                    <w:szCs w:val="11"/>
                  </w:rPr>
                </w:pPr>
              </w:p>
            </w:tc>
            <w:tc>
              <w:tcPr>
                <w:tcW w:w="415" w:type="pct"/>
                <w:vAlign w:val="center"/>
              </w:tcPr>
              <w:p w14:paraId="2073C64A" w14:textId="77777777" w:rsidR="00E57DAA" w:rsidRDefault="00E57DAA">
                <w:pPr>
                  <w:jc w:val="right"/>
                  <w:rPr>
                    <w:sz w:val="11"/>
                    <w:szCs w:val="11"/>
                  </w:rPr>
                </w:pPr>
              </w:p>
            </w:tc>
            <w:tc>
              <w:tcPr>
                <w:tcW w:w="395" w:type="pct"/>
                <w:vAlign w:val="center"/>
              </w:tcPr>
              <w:p w14:paraId="148AC014" w14:textId="77777777" w:rsidR="00E57DAA" w:rsidRDefault="00E57DAA">
                <w:pPr>
                  <w:jc w:val="right"/>
                  <w:rPr>
                    <w:sz w:val="11"/>
                    <w:szCs w:val="11"/>
                  </w:rPr>
                </w:pPr>
              </w:p>
            </w:tc>
            <w:tc>
              <w:tcPr>
                <w:tcW w:w="415" w:type="pct"/>
                <w:vAlign w:val="center"/>
              </w:tcPr>
              <w:p w14:paraId="29F785C6" w14:textId="77777777" w:rsidR="00E57DAA" w:rsidRDefault="00E57DAA">
                <w:pPr>
                  <w:jc w:val="right"/>
                  <w:rPr>
                    <w:sz w:val="11"/>
                    <w:szCs w:val="11"/>
                  </w:rPr>
                </w:pPr>
              </w:p>
            </w:tc>
          </w:tr>
          <w:tr w:rsidR="00E57DAA" w14:paraId="1B87E593" w14:textId="77777777">
            <w:sdt>
              <w:sdtPr>
                <w:rPr>
                  <w:sz w:val="11"/>
                  <w:szCs w:val="11"/>
                </w:rPr>
                <w:tag w:val="_PLD_e606d8680d944e6999b3743f1fcf75f9"/>
                <w:id w:val="-1726829653"/>
              </w:sdtPr>
              <w:sdtEndPr/>
              <w:sdtContent>
                <w:tc>
                  <w:tcPr>
                    <w:tcW w:w="480" w:type="pct"/>
                  </w:tcPr>
                  <w:p w14:paraId="3472FA48" w14:textId="77777777" w:rsidR="00E57DAA" w:rsidRDefault="00AC4185">
                    <w:pPr>
                      <w:rPr>
                        <w:sz w:val="11"/>
                        <w:szCs w:val="11"/>
                      </w:rPr>
                    </w:pPr>
                    <w:r>
                      <w:rPr>
                        <w:rFonts w:hint="eastAsia"/>
                        <w:sz w:val="11"/>
                        <w:szCs w:val="11"/>
                      </w:rPr>
                      <w:t>（五）专项储备</w:t>
                    </w:r>
                  </w:p>
                </w:tc>
              </w:sdtContent>
            </w:sdt>
            <w:tc>
              <w:tcPr>
                <w:tcW w:w="395" w:type="pct"/>
                <w:vAlign w:val="center"/>
              </w:tcPr>
              <w:p w14:paraId="39F87CD0" w14:textId="77777777" w:rsidR="00E57DAA" w:rsidRDefault="00E57DAA">
                <w:pPr>
                  <w:jc w:val="right"/>
                  <w:rPr>
                    <w:sz w:val="11"/>
                    <w:szCs w:val="11"/>
                  </w:rPr>
                </w:pPr>
              </w:p>
            </w:tc>
            <w:tc>
              <w:tcPr>
                <w:tcW w:w="118" w:type="pct"/>
                <w:vAlign w:val="center"/>
              </w:tcPr>
              <w:p w14:paraId="0CD91D8B" w14:textId="77777777" w:rsidR="00E57DAA" w:rsidRDefault="00E57DAA">
                <w:pPr>
                  <w:jc w:val="right"/>
                  <w:rPr>
                    <w:sz w:val="11"/>
                    <w:szCs w:val="11"/>
                  </w:rPr>
                </w:pPr>
              </w:p>
            </w:tc>
            <w:tc>
              <w:tcPr>
                <w:tcW w:w="118" w:type="pct"/>
                <w:vAlign w:val="center"/>
              </w:tcPr>
              <w:p w14:paraId="004F1925" w14:textId="77777777" w:rsidR="00E57DAA" w:rsidRDefault="00E57DAA">
                <w:pPr>
                  <w:jc w:val="right"/>
                  <w:rPr>
                    <w:sz w:val="11"/>
                    <w:szCs w:val="11"/>
                  </w:rPr>
                </w:pPr>
              </w:p>
            </w:tc>
            <w:tc>
              <w:tcPr>
                <w:tcW w:w="118" w:type="pct"/>
                <w:vAlign w:val="center"/>
              </w:tcPr>
              <w:p w14:paraId="75844408" w14:textId="77777777" w:rsidR="00E57DAA" w:rsidRDefault="00E57DAA">
                <w:pPr>
                  <w:jc w:val="right"/>
                  <w:rPr>
                    <w:sz w:val="11"/>
                    <w:szCs w:val="11"/>
                  </w:rPr>
                </w:pPr>
              </w:p>
            </w:tc>
            <w:tc>
              <w:tcPr>
                <w:tcW w:w="430" w:type="pct"/>
                <w:vAlign w:val="center"/>
              </w:tcPr>
              <w:p w14:paraId="6E32CB76" w14:textId="77777777" w:rsidR="00E57DAA" w:rsidRDefault="00E57DAA">
                <w:pPr>
                  <w:jc w:val="right"/>
                  <w:rPr>
                    <w:sz w:val="11"/>
                    <w:szCs w:val="11"/>
                  </w:rPr>
                </w:pPr>
              </w:p>
            </w:tc>
            <w:tc>
              <w:tcPr>
                <w:tcW w:w="356" w:type="pct"/>
                <w:vAlign w:val="center"/>
              </w:tcPr>
              <w:p w14:paraId="2DB44CF4" w14:textId="77777777" w:rsidR="00E57DAA" w:rsidRDefault="00E57DAA">
                <w:pPr>
                  <w:jc w:val="right"/>
                  <w:rPr>
                    <w:sz w:val="11"/>
                    <w:szCs w:val="11"/>
                  </w:rPr>
                </w:pPr>
              </w:p>
            </w:tc>
            <w:tc>
              <w:tcPr>
                <w:tcW w:w="356" w:type="pct"/>
                <w:vAlign w:val="center"/>
              </w:tcPr>
              <w:p w14:paraId="78F8F372" w14:textId="77777777" w:rsidR="00E57DAA" w:rsidRDefault="00E57DAA">
                <w:pPr>
                  <w:jc w:val="right"/>
                  <w:rPr>
                    <w:sz w:val="11"/>
                    <w:szCs w:val="11"/>
                  </w:rPr>
                </w:pPr>
              </w:p>
            </w:tc>
            <w:tc>
              <w:tcPr>
                <w:tcW w:w="356" w:type="pct"/>
                <w:vAlign w:val="center"/>
              </w:tcPr>
              <w:p w14:paraId="01A04F35" w14:textId="77777777" w:rsidR="00E57DAA" w:rsidRDefault="00AC4185">
                <w:pPr>
                  <w:jc w:val="right"/>
                  <w:rPr>
                    <w:sz w:val="11"/>
                    <w:szCs w:val="11"/>
                  </w:rPr>
                </w:pPr>
                <w:r>
                  <w:rPr>
                    <w:sz w:val="11"/>
                    <w:szCs w:val="11"/>
                  </w:rPr>
                  <w:t>-210,460.67</w:t>
                </w:r>
              </w:p>
            </w:tc>
            <w:tc>
              <w:tcPr>
                <w:tcW w:w="395" w:type="pct"/>
                <w:vAlign w:val="center"/>
              </w:tcPr>
              <w:p w14:paraId="7E0B6237" w14:textId="77777777" w:rsidR="00E57DAA" w:rsidRDefault="00E57DAA">
                <w:pPr>
                  <w:jc w:val="right"/>
                  <w:rPr>
                    <w:sz w:val="11"/>
                    <w:szCs w:val="11"/>
                  </w:rPr>
                </w:pPr>
              </w:p>
            </w:tc>
            <w:tc>
              <w:tcPr>
                <w:tcW w:w="118" w:type="pct"/>
                <w:vAlign w:val="center"/>
              </w:tcPr>
              <w:p w14:paraId="15C3E081" w14:textId="77777777" w:rsidR="00E57DAA" w:rsidRDefault="00E57DAA">
                <w:pPr>
                  <w:jc w:val="right"/>
                  <w:rPr>
                    <w:sz w:val="11"/>
                    <w:szCs w:val="11"/>
                  </w:rPr>
                </w:pPr>
              </w:p>
            </w:tc>
            <w:tc>
              <w:tcPr>
                <w:tcW w:w="415" w:type="pct"/>
                <w:vAlign w:val="center"/>
              </w:tcPr>
              <w:p w14:paraId="168871EF" w14:textId="77777777" w:rsidR="00E57DAA" w:rsidRDefault="00E57DAA">
                <w:pPr>
                  <w:jc w:val="right"/>
                  <w:rPr>
                    <w:sz w:val="11"/>
                    <w:szCs w:val="11"/>
                  </w:rPr>
                </w:pPr>
              </w:p>
            </w:tc>
            <w:tc>
              <w:tcPr>
                <w:tcW w:w="121" w:type="pct"/>
                <w:vAlign w:val="center"/>
              </w:tcPr>
              <w:p w14:paraId="0B8792BA" w14:textId="77777777" w:rsidR="00E57DAA" w:rsidRDefault="00E57DAA">
                <w:pPr>
                  <w:jc w:val="right"/>
                  <w:rPr>
                    <w:sz w:val="11"/>
                    <w:szCs w:val="11"/>
                  </w:rPr>
                </w:pPr>
              </w:p>
            </w:tc>
            <w:tc>
              <w:tcPr>
                <w:tcW w:w="415" w:type="pct"/>
                <w:vAlign w:val="center"/>
              </w:tcPr>
              <w:p w14:paraId="6B14A62F" w14:textId="77777777" w:rsidR="00E57DAA" w:rsidRDefault="00AC4185">
                <w:pPr>
                  <w:jc w:val="right"/>
                  <w:rPr>
                    <w:sz w:val="11"/>
                    <w:szCs w:val="11"/>
                  </w:rPr>
                </w:pPr>
                <w:r>
                  <w:rPr>
                    <w:sz w:val="11"/>
                    <w:szCs w:val="11"/>
                  </w:rPr>
                  <w:t>-210,460.67</w:t>
                </w:r>
              </w:p>
            </w:tc>
            <w:tc>
              <w:tcPr>
                <w:tcW w:w="395" w:type="pct"/>
                <w:vAlign w:val="center"/>
              </w:tcPr>
              <w:p w14:paraId="12385742" w14:textId="77777777" w:rsidR="00E57DAA" w:rsidRDefault="00AC4185">
                <w:pPr>
                  <w:jc w:val="right"/>
                  <w:rPr>
                    <w:sz w:val="11"/>
                    <w:szCs w:val="11"/>
                  </w:rPr>
                </w:pPr>
                <w:r>
                  <w:rPr>
                    <w:sz w:val="11"/>
                    <w:szCs w:val="11"/>
                  </w:rPr>
                  <w:t>-1,182,282.91</w:t>
                </w:r>
              </w:p>
            </w:tc>
            <w:tc>
              <w:tcPr>
                <w:tcW w:w="415" w:type="pct"/>
                <w:vAlign w:val="center"/>
              </w:tcPr>
              <w:p w14:paraId="16782DF6" w14:textId="77777777" w:rsidR="00E57DAA" w:rsidRDefault="00AC4185">
                <w:pPr>
                  <w:jc w:val="right"/>
                  <w:rPr>
                    <w:sz w:val="11"/>
                    <w:szCs w:val="11"/>
                  </w:rPr>
                </w:pPr>
                <w:r>
                  <w:rPr>
                    <w:sz w:val="11"/>
                    <w:szCs w:val="11"/>
                  </w:rPr>
                  <w:t>-1,392,743.58</w:t>
                </w:r>
              </w:p>
            </w:tc>
          </w:tr>
          <w:tr w:rsidR="00E57DAA" w14:paraId="35802DCD" w14:textId="77777777">
            <w:sdt>
              <w:sdtPr>
                <w:rPr>
                  <w:sz w:val="11"/>
                  <w:szCs w:val="11"/>
                </w:rPr>
                <w:tag w:val="_PLD_c1e7a107b4eb42c48000b98a786d499c"/>
                <w:id w:val="475350980"/>
              </w:sdtPr>
              <w:sdtEndPr/>
              <w:sdtContent>
                <w:tc>
                  <w:tcPr>
                    <w:tcW w:w="480" w:type="pct"/>
                  </w:tcPr>
                  <w:p w14:paraId="477EFC83" w14:textId="77777777" w:rsidR="00E57DAA" w:rsidRDefault="00AC4185">
                    <w:pPr>
                      <w:rPr>
                        <w:sz w:val="11"/>
                        <w:szCs w:val="11"/>
                      </w:rPr>
                    </w:pPr>
                    <w:r>
                      <w:rPr>
                        <w:rFonts w:hint="eastAsia"/>
                        <w:sz w:val="11"/>
                        <w:szCs w:val="11"/>
                      </w:rPr>
                      <w:t>1．本期提取</w:t>
                    </w:r>
                  </w:p>
                </w:tc>
              </w:sdtContent>
            </w:sdt>
            <w:tc>
              <w:tcPr>
                <w:tcW w:w="395" w:type="pct"/>
                <w:vAlign w:val="center"/>
              </w:tcPr>
              <w:p w14:paraId="6DAA0BB3" w14:textId="77777777" w:rsidR="00E57DAA" w:rsidRDefault="00E57DAA">
                <w:pPr>
                  <w:jc w:val="right"/>
                  <w:rPr>
                    <w:sz w:val="11"/>
                    <w:szCs w:val="11"/>
                  </w:rPr>
                </w:pPr>
              </w:p>
            </w:tc>
            <w:tc>
              <w:tcPr>
                <w:tcW w:w="118" w:type="pct"/>
                <w:vAlign w:val="center"/>
              </w:tcPr>
              <w:p w14:paraId="2F8FB143" w14:textId="77777777" w:rsidR="00E57DAA" w:rsidRDefault="00E57DAA">
                <w:pPr>
                  <w:jc w:val="right"/>
                  <w:rPr>
                    <w:sz w:val="11"/>
                    <w:szCs w:val="11"/>
                  </w:rPr>
                </w:pPr>
              </w:p>
            </w:tc>
            <w:tc>
              <w:tcPr>
                <w:tcW w:w="118" w:type="pct"/>
                <w:vAlign w:val="center"/>
              </w:tcPr>
              <w:p w14:paraId="36902C16" w14:textId="77777777" w:rsidR="00E57DAA" w:rsidRDefault="00E57DAA">
                <w:pPr>
                  <w:jc w:val="right"/>
                  <w:rPr>
                    <w:sz w:val="11"/>
                    <w:szCs w:val="11"/>
                  </w:rPr>
                </w:pPr>
              </w:p>
            </w:tc>
            <w:tc>
              <w:tcPr>
                <w:tcW w:w="118" w:type="pct"/>
                <w:vAlign w:val="center"/>
              </w:tcPr>
              <w:p w14:paraId="53F80C2D" w14:textId="77777777" w:rsidR="00E57DAA" w:rsidRDefault="00E57DAA">
                <w:pPr>
                  <w:jc w:val="right"/>
                  <w:rPr>
                    <w:sz w:val="11"/>
                    <w:szCs w:val="11"/>
                  </w:rPr>
                </w:pPr>
              </w:p>
            </w:tc>
            <w:tc>
              <w:tcPr>
                <w:tcW w:w="430" w:type="pct"/>
                <w:vAlign w:val="center"/>
              </w:tcPr>
              <w:p w14:paraId="6DF7FF6C" w14:textId="77777777" w:rsidR="00E57DAA" w:rsidRDefault="00E57DAA">
                <w:pPr>
                  <w:jc w:val="right"/>
                  <w:rPr>
                    <w:sz w:val="11"/>
                    <w:szCs w:val="11"/>
                  </w:rPr>
                </w:pPr>
              </w:p>
            </w:tc>
            <w:tc>
              <w:tcPr>
                <w:tcW w:w="356" w:type="pct"/>
                <w:vAlign w:val="center"/>
              </w:tcPr>
              <w:p w14:paraId="5E0ED3B5" w14:textId="77777777" w:rsidR="00E57DAA" w:rsidRDefault="00E57DAA">
                <w:pPr>
                  <w:jc w:val="right"/>
                  <w:rPr>
                    <w:sz w:val="11"/>
                    <w:szCs w:val="11"/>
                  </w:rPr>
                </w:pPr>
              </w:p>
            </w:tc>
            <w:tc>
              <w:tcPr>
                <w:tcW w:w="356" w:type="pct"/>
                <w:vAlign w:val="center"/>
              </w:tcPr>
              <w:p w14:paraId="79DCC228" w14:textId="77777777" w:rsidR="00E57DAA" w:rsidRDefault="00E57DAA">
                <w:pPr>
                  <w:jc w:val="right"/>
                  <w:rPr>
                    <w:sz w:val="11"/>
                    <w:szCs w:val="11"/>
                  </w:rPr>
                </w:pPr>
              </w:p>
            </w:tc>
            <w:tc>
              <w:tcPr>
                <w:tcW w:w="356" w:type="pct"/>
                <w:vAlign w:val="center"/>
              </w:tcPr>
              <w:p w14:paraId="25117EF4" w14:textId="77777777" w:rsidR="00E57DAA" w:rsidRDefault="00AC4185">
                <w:pPr>
                  <w:jc w:val="right"/>
                  <w:rPr>
                    <w:sz w:val="11"/>
                    <w:szCs w:val="11"/>
                  </w:rPr>
                </w:pPr>
                <w:r>
                  <w:rPr>
                    <w:sz w:val="11"/>
                    <w:szCs w:val="11"/>
                  </w:rPr>
                  <w:t>474,609,504.83</w:t>
                </w:r>
              </w:p>
            </w:tc>
            <w:tc>
              <w:tcPr>
                <w:tcW w:w="395" w:type="pct"/>
                <w:vAlign w:val="center"/>
              </w:tcPr>
              <w:p w14:paraId="2B402B63" w14:textId="77777777" w:rsidR="00E57DAA" w:rsidRDefault="00E57DAA">
                <w:pPr>
                  <w:jc w:val="right"/>
                  <w:rPr>
                    <w:sz w:val="11"/>
                    <w:szCs w:val="11"/>
                  </w:rPr>
                </w:pPr>
              </w:p>
            </w:tc>
            <w:tc>
              <w:tcPr>
                <w:tcW w:w="118" w:type="pct"/>
                <w:vAlign w:val="center"/>
              </w:tcPr>
              <w:p w14:paraId="57CD3926" w14:textId="77777777" w:rsidR="00E57DAA" w:rsidRDefault="00E57DAA">
                <w:pPr>
                  <w:jc w:val="right"/>
                  <w:rPr>
                    <w:sz w:val="11"/>
                    <w:szCs w:val="11"/>
                  </w:rPr>
                </w:pPr>
              </w:p>
            </w:tc>
            <w:tc>
              <w:tcPr>
                <w:tcW w:w="415" w:type="pct"/>
                <w:vAlign w:val="center"/>
              </w:tcPr>
              <w:p w14:paraId="77164BE1" w14:textId="77777777" w:rsidR="00E57DAA" w:rsidRDefault="00E57DAA">
                <w:pPr>
                  <w:jc w:val="right"/>
                  <w:rPr>
                    <w:sz w:val="11"/>
                    <w:szCs w:val="11"/>
                  </w:rPr>
                </w:pPr>
              </w:p>
            </w:tc>
            <w:tc>
              <w:tcPr>
                <w:tcW w:w="121" w:type="pct"/>
                <w:vAlign w:val="center"/>
              </w:tcPr>
              <w:p w14:paraId="2D69F837" w14:textId="77777777" w:rsidR="00E57DAA" w:rsidRDefault="00E57DAA">
                <w:pPr>
                  <w:jc w:val="right"/>
                  <w:rPr>
                    <w:sz w:val="11"/>
                    <w:szCs w:val="11"/>
                  </w:rPr>
                </w:pPr>
              </w:p>
            </w:tc>
            <w:tc>
              <w:tcPr>
                <w:tcW w:w="415" w:type="pct"/>
                <w:vAlign w:val="center"/>
              </w:tcPr>
              <w:p w14:paraId="55642B06" w14:textId="77777777" w:rsidR="00E57DAA" w:rsidRDefault="00AC4185">
                <w:pPr>
                  <w:jc w:val="right"/>
                  <w:rPr>
                    <w:sz w:val="11"/>
                    <w:szCs w:val="11"/>
                  </w:rPr>
                </w:pPr>
                <w:r>
                  <w:rPr>
                    <w:sz w:val="11"/>
                    <w:szCs w:val="11"/>
                  </w:rPr>
                  <w:t>474,609,504.83</w:t>
                </w:r>
              </w:p>
            </w:tc>
            <w:tc>
              <w:tcPr>
                <w:tcW w:w="395" w:type="pct"/>
                <w:vAlign w:val="center"/>
              </w:tcPr>
              <w:p w14:paraId="7ED3653C" w14:textId="77777777" w:rsidR="00E57DAA" w:rsidRDefault="00AC4185">
                <w:pPr>
                  <w:jc w:val="right"/>
                  <w:rPr>
                    <w:sz w:val="11"/>
                    <w:szCs w:val="11"/>
                  </w:rPr>
                </w:pPr>
                <w:r>
                  <w:rPr>
                    <w:sz w:val="11"/>
                    <w:szCs w:val="11"/>
                  </w:rPr>
                  <w:t>23,623,600.23</w:t>
                </w:r>
              </w:p>
            </w:tc>
            <w:tc>
              <w:tcPr>
                <w:tcW w:w="415" w:type="pct"/>
                <w:vAlign w:val="center"/>
              </w:tcPr>
              <w:p w14:paraId="0EDFA9C2" w14:textId="77777777" w:rsidR="00E57DAA" w:rsidRDefault="00AC4185">
                <w:pPr>
                  <w:jc w:val="right"/>
                  <w:rPr>
                    <w:sz w:val="11"/>
                    <w:szCs w:val="11"/>
                  </w:rPr>
                </w:pPr>
                <w:r>
                  <w:rPr>
                    <w:sz w:val="11"/>
                    <w:szCs w:val="11"/>
                  </w:rPr>
                  <w:t>498,233,105.06</w:t>
                </w:r>
              </w:p>
            </w:tc>
          </w:tr>
          <w:tr w:rsidR="00E57DAA" w14:paraId="7B942FF8" w14:textId="77777777">
            <w:sdt>
              <w:sdtPr>
                <w:rPr>
                  <w:sz w:val="11"/>
                  <w:szCs w:val="11"/>
                </w:rPr>
                <w:tag w:val="_PLD_69b59bbd4f7a49708a1fc0c2a96e3869"/>
                <w:id w:val="-2051372506"/>
              </w:sdtPr>
              <w:sdtEndPr/>
              <w:sdtContent>
                <w:tc>
                  <w:tcPr>
                    <w:tcW w:w="480" w:type="pct"/>
                  </w:tcPr>
                  <w:p w14:paraId="1169DF67" w14:textId="77777777" w:rsidR="00E57DAA" w:rsidRDefault="00AC4185">
                    <w:pPr>
                      <w:rPr>
                        <w:sz w:val="11"/>
                        <w:szCs w:val="11"/>
                      </w:rPr>
                    </w:pPr>
                    <w:r>
                      <w:rPr>
                        <w:rFonts w:hint="eastAsia"/>
                        <w:sz w:val="11"/>
                        <w:szCs w:val="11"/>
                      </w:rPr>
                      <w:t>2．本期使用</w:t>
                    </w:r>
                  </w:p>
                </w:tc>
              </w:sdtContent>
            </w:sdt>
            <w:tc>
              <w:tcPr>
                <w:tcW w:w="395" w:type="pct"/>
                <w:vAlign w:val="center"/>
              </w:tcPr>
              <w:p w14:paraId="25AC224D" w14:textId="77777777" w:rsidR="00E57DAA" w:rsidRDefault="00E57DAA">
                <w:pPr>
                  <w:jc w:val="right"/>
                  <w:rPr>
                    <w:sz w:val="11"/>
                    <w:szCs w:val="11"/>
                  </w:rPr>
                </w:pPr>
              </w:p>
            </w:tc>
            <w:tc>
              <w:tcPr>
                <w:tcW w:w="118" w:type="pct"/>
                <w:vAlign w:val="center"/>
              </w:tcPr>
              <w:p w14:paraId="57AC9A12" w14:textId="77777777" w:rsidR="00E57DAA" w:rsidRDefault="00E57DAA">
                <w:pPr>
                  <w:jc w:val="right"/>
                  <w:rPr>
                    <w:sz w:val="11"/>
                    <w:szCs w:val="11"/>
                  </w:rPr>
                </w:pPr>
              </w:p>
            </w:tc>
            <w:tc>
              <w:tcPr>
                <w:tcW w:w="118" w:type="pct"/>
                <w:vAlign w:val="center"/>
              </w:tcPr>
              <w:p w14:paraId="139F83ED" w14:textId="77777777" w:rsidR="00E57DAA" w:rsidRDefault="00E57DAA">
                <w:pPr>
                  <w:jc w:val="right"/>
                  <w:rPr>
                    <w:sz w:val="11"/>
                    <w:szCs w:val="11"/>
                  </w:rPr>
                </w:pPr>
              </w:p>
            </w:tc>
            <w:tc>
              <w:tcPr>
                <w:tcW w:w="118" w:type="pct"/>
                <w:vAlign w:val="center"/>
              </w:tcPr>
              <w:p w14:paraId="6994D756" w14:textId="77777777" w:rsidR="00E57DAA" w:rsidRDefault="00E57DAA">
                <w:pPr>
                  <w:jc w:val="right"/>
                  <w:rPr>
                    <w:sz w:val="11"/>
                    <w:szCs w:val="11"/>
                  </w:rPr>
                </w:pPr>
              </w:p>
            </w:tc>
            <w:tc>
              <w:tcPr>
                <w:tcW w:w="430" w:type="pct"/>
                <w:vAlign w:val="center"/>
              </w:tcPr>
              <w:p w14:paraId="0E15FFF2" w14:textId="77777777" w:rsidR="00E57DAA" w:rsidRDefault="00E57DAA">
                <w:pPr>
                  <w:jc w:val="right"/>
                  <w:rPr>
                    <w:sz w:val="11"/>
                    <w:szCs w:val="11"/>
                  </w:rPr>
                </w:pPr>
              </w:p>
            </w:tc>
            <w:tc>
              <w:tcPr>
                <w:tcW w:w="356" w:type="pct"/>
                <w:vAlign w:val="center"/>
              </w:tcPr>
              <w:p w14:paraId="7D08AA7F" w14:textId="77777777" w:rsidR="00E57DAA" w:rsidRDefault="00E57DAA">
                <w:pPr>
                  <w:jc w:val="right"/>
                  <w:rPr>
                    <w:sz w:val="11"/>
                    <w:szCs w:val="11"/>
                  </w:rPr>
                </w:pPr>
              </w:p>
            </w:tc>
            <w:tc>
              <w:tcPr>
                <w:tcW w:w="356" w:type="pct"/>
                <w:vAlign w:val="center"/>
              </w:tcPr>
              <w:p w14:paraId="5081C432" w14:textId="77777777" w:rsidR="00E57DAA" w:rsidRDefault="00E57DAA">
                <w:pPr>
                  <w:jc w:val="right"/>
                  <w:rPr>
                    <w:sz w:val="11"/>
                    <w:szCs w:val="11"/>
                  </w:rPr>
                </w:pPr>
              </w:p>
            </w:tc>
            <w:tc>
              <w:tcPr>
                <w:tcW w:w="356" w:type="pct"/>
                <w:vAlign w:val="center"/>
              </w:tcPr>
              <w:p w14:paraId="1D5087F6" w14:textId="77777777" w:rsidR="00E57DAA" w:rsidRDefault="00AC4185">
                <w:pPr>
                  <w:jc w:val="right"/>
                  <w:rPr>
                    <w:sz w:val="11"/>
                    <w:szCs w:val="11"/>
                  </w:rPr>
                </w:pPr>
                <w:r>
                  <w:rPr>
                    <w:sz w:val="11"/>
                    <w:szCs w:val="11"/>
                  </w:rPr>
                  <w:t>474,819,965.50</w:t>
                </w:r>
              </w:p>
            </w:tc>
            <w:tc>
              <w:tcPr>
                <w:tcW w:w="395" w:type="pct"/>
                <w:vAlign w:val="center"/>
              </w:tcPr>
              <w:p w14:paraId="357C9B05" w14:textId="77777777" w:rsidR="00E57DAA" w:rsidRDefault="00E57DAA">
                <w:pPr>
                  <w:jc w:val="right"/>
                  <w:rPr>
                    <w:sz w:val="11"/>
                    <w:szCs w:val="11"/>
                  </w:rPr>
                </w:pPr>
              </w:p>
            </w:tc>
            <w:tc>
              <w:tcPr>
                <w:tcW w:w="118" w:type="pct"/>
                <w:vAlign w:val="center"/>
              </w:tcPr>
              <w:p w14:paraId="0853E091" w14:textId="77777777" w:rsidR="00E57DAA" w:rsidRDefault="00E57DAA">
                <w:pPr>
                  <w:jc w:val="right"/>
                  <w:rPr>
                    <w:sz w:val="11"/>
                    <w:szCs w:val="11"/>
                  </w:rPr>
                </w:pPr>
              </w:p>
            </w:tc>
            <w:tc>
              <w:tcPr>
                <w:tcW w:w="415" w:type="pct"/>
                <w:vAlign w:val="center"/>
              </w:tcPr>
              <w:p w14:paraId="14DAD4AC" w14:textId="77777777" w:rsidR="00E57DAA" w:rsidRDefault="00E57DAA">
                <w:pPr>
                  <w:jc w:val="right"/>
                  <w:rPr>
                    <w:sz w:val="11"/>
                    <w:szCs w:val="11"/>
                  </w:rPr>
                </w:pPr>
              </w:p>
            </w:tc>
            <w:tc>
              <w:tcPr>
                <w:tcW w:w="121" w:type="pct"/>
                <w:vAlign w:val="center"/>
              </w:tcPr>
              <w:p w14:paraId="2A1D9497" w14:textId="77777777" w:rsidR="00E57DAA" w:rsidRDefault="00E57DAA">
                <w:pPr>
                  <w:jc w:val="right"/>
                  <w:rPr>
                    <w:sz w:val="11"/>
                    <w:szCs w:val="11"/>
                  </w:rPr>
                </w:pPr>
              </w:p>
            </w:tc>
            <w:tc>
              <w:tcPr>
                <w:tcW w:w="415" w:type="pct"/>
                <w:vAlign w:val="center"/>
              </w:tcPr>
              <w:p w14:paraId="4BDA30FB" w14:textId="77777777" w:rsidR="00E57DAA" w:rsidRDefault="00AC4185">
                <w:pPr>
                  <w:jc w:val="right"/>
                  <w:rPr>
                    <w:sz w:val="11"/>
                    <w:szCs w:val="11"/>
                  </w:rPr>
                </w:pPr>
                <w:r>
                  <w:rPr>
                    <w:sz w:val="11"/>
                    <w:szCs w:val="11"/>
                  </w:rPr>
                  <w:t>474,819,965.50</w:t>
                </w:r>
              </w:p>
            </w:tc>
            <w:tc>
              <w:tcPr>
                <w:tcW w:w="395" w:type="pct"/>
                <w:vAlign w:val="center"/>
              </w:tcPr>
              <w:p w14:paraId="0C95FC02" w14:textId="77777777" w:rsidR="00E57DAA" w:rsidRDefault="00AC4185">
                <w:pPr>
                  <w:jc w:val="right"/>
                  <w:rPr>
                    <w:sz w:val="11"/>
                    <w:szCs w:val="11"/>
                  </w:rPr>
                </w:pPr>
                <w:r>
                  <w:rPr>
                    <w:sz w:val="11"/>
                    <w:szCs w:val="11"/>
                  </w:rPr>
                  <w:t>24,805,883.14</w:t>
                </w:r>
              </w:p>
            </w:tc>
            <w:tc>
              <w:tcPr>
                <w:tcW w:w="415" w:type="pct"/>
                <w:vAlign w:val="center"/>
              </w:tcPr>
              <w:p w14:paraId="70F17EA3" w14:textId="77777777" w:rsidR="00E57DAA" w:rsidRDefault="00AC4185">
                <w:pPr>
                  <w:jc w:val="right"/>
                  <w:rPr>
                    <w:sz w:val="11"/>
                    <w:szCs w:val="11"/>
                  </w:rPr>
                </w:pPr>
                <w:r>
                  <w:rPr>
                    <w:sz w:val="11"/>
                    <w:szCs w:val="11"/>
                  </w:rPr>
                  <w:t>499,625,848.64</w:t>
                </w:r>
              </w:p>
            </w:tc>
          </w:tr>
          <w:tr w:rsidR="00E57DAA" w14:paraId="22FBAEB8" w14:textId="77777777">
            <w:sdt>
              <w:sdtPr>
                <w:rPr>
                  <w:sz w:val="11"/>
                  <w:szCs w:val="11"/>
                </w:rPr>
                <w:tag w:val="_PLD_8e6f5912872d41cc910f3bdca18b82d0"/>
                <w:id w:val="1031452513"/>
              </w:sdtPr>
              <w:sdtEndPr/>
              <w:sdtContent>
                <w:tc>
                  <w:tcPr>
                    <w:tcW w:w="480" w:type="pct"/>
                  </w:tcPr>
                  <w:p w14:paraId="7F012790" w14:textId="77777777" w:rsidR="00E57DAA" w:rsidRDefault="00AC4185">
                    <w:pPr>
                      <w:rPr>
                        <w:sz w:val="11"/>
                        <w:szCs w:val="11"/>
                      </w:rPr>
                    </w:pPr>
                    <w:r>
                      <w:rPr>
                        <w:rFonts w:hint="eastAsia"/>
                        <w:sz w:val="11"/>
                        <w:szCs w:val="11"/>
                      </w:rPr>
                      <w:t>（六）其他</w:t>
                    </w:r>
                  </w:p>
                </w:tc>
              </w:sdtContent>
            </w:sdt>
            <w:tc>
              <w:tcPr>
                <w:tcW w:w="395" w:type="pct"/>
                <w:vAlign w:val="center"/>
              </w:tcPr>
              <w:p w14:paraId="6A57C3DC" w14:textId="77777777" w:rsidR="00E57DAA" w:rsidRDefault="00E57DAA">
                <w:pPr>
                  <w:jc w:val="right"/>
                  <w:rPr>
                    <w:sz w:val="11"/>
                    <w:szCs w:val="11"/>
                  </w:rPr>
                </w:pPr>
              </w:p>
            </w:tc>
            <w:tc>
              <w:tcPr>
                <w:tcW w:w="118" w:type="pct"/>
                <w:vAlign w:val="center"/>
              </w:tcPr>
              <w:p w14:paraId="4401B533" w14:textId="77777777" w:rsidR="00E57DAA" w:rsidRDefault="00E57DAA">
                <w:pPr>
                  <w:jc w:val="right"/>
                  <w:rPr>
                    <w:sz w:val="11"/>
                    <w:szCs w:val="11"/>
                  </w:rPr>
                </w:pPr>
              </w:p>
            </w:tc>
            <w:tc>
              <w:tcPr>
                <w:tcW w:w="118" w:type="pct"/>
                <w:vAlign w:val="center"/>
              </w:tcPr>
              <w:p w14:paraId="10913D0C" w14:textId="77777777" w:rsidR="00E57DAA" w:rsidRDefault="00E57DAA">
                <w:pPr>
                  <w:jc w:val="right"/>
                  <w:rPr>
                    <w:sz w:val="11"/>
                    <w:szCs w:val="11"/>
                  </w:rPr>
                </w:pPr>
              </w:p>
            </w:tc>
            <w:tc>
              <w:tcPr>
                <w:tcW w:w="118" w:type="pct"/>
                <w:vAlign w:val="center"/>
              </w:tcPr>
              <w:p w14:paraId="2EDFAED5" w14:textId="77777777" w:rsidR="00E57DAA" w:rsidRDefault="00E57DAA">
                <w:pPr>
                  <w:jc w:val="right"/>
                  <w:rPr>
                    <w:sz w:val="11"/>
                    <w:szCs w:val="11"/>
                  </w:rPr>
                </w:pPr>
              </w:p>
            </w:tc>
            <w:tc>
              <w:tcPr>
                <w:tcW w:w="430" w:type="pct"/>
                <w:vAlign w:val="center"/>
              </w:tcPr>
              <w:p w14:paraId="5642E111" w14:textId="77777777" w:rsidR="00E57DAA" w:rsidRDefault="00AC4185">
                <w:pPr>
                  <w:jc w:val="right"/>
                  <w:rPr>
                    <w:sz w:val="11"/>
                    <w:szCs w:val="11"/>
                  </w:rPr>
                </w:pPr>
                <w:r>
                  <w:rPr>
                    <w:sz w:val="11"/>
                    <w:szCs w:val="11"/>
                  </w:rPr>
                  <w:t>-1,362.71</w:t>
                </w:r>
              </w:p>
            </w:tc>
            <w:tc>
              <w:tcPr>
                <w:tcW w:w="356" w:type="pct"/>
                <w:vAlign w:val="center"/>
              </w:tcPr>
              <w:p w14:paraId="5EC13226" w14:textId="77777777" w:rsidR="00E57DAA" w:rsidRDefault="00E57DAA">
                <w:pPr>
                  <w:jc w:val="right"/>
                  <w:rPr>
                    <w:sz w:val="11"/>
                    <w:szCs w:val="11"/>
                  </w:rPr>
                </w:pPr>
              </w:p>
            </w:tc>
            <w:tc>
              <w:tcPr>
                <w:tcW w:w="356" w:type="pct"/>
                <w:vAlign w:val="center"/>
              </w:tcPr>
              <w:p w14:paraId="34ADC801" w14:textId="77777777" w:rsidR="00E57DAA" w:rsidRDefault="00E57DAA">
                <w:pPr>
                  <w:jc w:val="right"/>
                  <w:rPr>
                    <w:sz w:val="11"/>
                    <w:szCs w:val="11"/>
                  </w:rPr>
                </w:pPr>
              </w:p>
            </w:tc>
            <w:tc>
              <w:tcPr>
                <w:tcW w:w="356" w:type="pct"/>
                <w:vAlign w:val="center"/>
              </w:tcPr>
              <w:p w14:paraId="09DE8CEF" w14:textId="77777777" w:rsidR="00E57DAA" w:rsidRDefault="00E57DAA">
                <w:pPr>
                  <w:jc w:val="right"/>
                  <w:rPr>
                    <w:sz w:val="11"/>
                    <w:szCs w:val="11"/>
                  </w:rPr>
                </w:pPr>
              </w:p>
            </w:tc>
            <w:tc>
              <w:tcPr>
                <w:tcW w:w="395" w:type="pct"/>
                <w:vAlign w:val="center"/>
              </w:tcPr>
              <w:p w14:paraId="39D153A3" w14:textId="77777777" w:rsidR="00E57DAA" w:rsidRDefault="00E57DAA">
                <w:pPr>
                  <w:jc w:val="right"/>
                  <w:rPr>
                    <w:sz w:val="11"/>
                    <w:szCs w:val="11"/>
                  </w:rPr>
                </w:pPr>
              </w:p>
            </w:tc>
            <w:tc>
              <w:tcPr>
                <w:tcW w:w="118" w:type="pct"/>
                <w:vAlign w:val="center"/>
              </w:tcPr>
              <w:p w14:paraId="2E827181" w14:textId="77777777" w:rsidR="00E57DAA" w:rsidRDefault="00E57DAA">
                <w:pPr>
                  <w:jc w:val="right"/>
                  <w:rPr>
                    <w:sz w:val="11"/>
                    <w:szCs w:val="11"/>
                  </w:rPr>
                </w:pPr>
              </w:p>
            </w:tc>
            <w:tc>
              <w:tcPr>
                <w:tcW w:w="415" w:type="pct"/>
                <w:vAlign w:val="center"/>
              </w:tcPr>
              <w:p w14:paraId="5D491ACF" w14:textId="77777777" w:rsidR="00E57DAA" w:rsidRDefault="00E57DAA">
                <w:pPr>
                  <w:jc w:val="right"/>
                  <w:rPr>
                    <w:sz w:val="11"/>
                    <w:szCs w:val="11"/>
                  </w:rPr>
                </w:pPr>
              </w:p>
            </w:tc>
            <w:tc>
              <w:tcPr>
                <w:tcW w:w="121" w:type="pct"/>
                <w:vAlign w:val="center"/>
              </w:tcPr>
              <w:p w14:paraId="589652D6" w14:textId="77777777" w:rsidR="00E57DAA" w:rsidRDefault="00E57DAA">
                <w:pPr>
                  <w:jc w:val="right"/>
                  <w:rPr>
                    <w:sz w:val="11"/>
                    <w:szCs w:val="11"/>
                  </w:rPr>
                </w:pPr>
              </w:p>
            </w:tc>
            <w:tc>
              <w:tcPr>
                <w:tcW w:w="415" w:type="pct"/>
                <w:vAlign w:val="center"/>
              </w:tcPr>
              <w:p w14:paraId="19F4BB34" w14:textId="77777777" w:rsidR="00E57DAA" w:rsidRDefault="00AC4185">
                <w:pPr>
                  <w:jc w:val="right"/>
                  <w:rPr>
                    <w:sz w:val="11"/>
                    <w:szCs w:val="11"/>
                  </w:rPr>
                </w:pPr>
                <w:r>
                  <w:rPr>
                    <w:sz w:val="11"/>
                    <w:szCs w:val="11"/>
                  </w:rPr>
                  <w:t>-1,362.71</w:t>
                </w:r>
              </w:p>
            </w:tc>
            <w:tc>
              <w:tcPr>
                <w:tcW w:w="395" w:type="pct"/>
                <w:vAlign w:val="center"/>
              </w:tcPr>
              <w:p w14:paraId="5CBE7D1A" w14:textId="77777777" w:rsidR="00E57DAA" w:rsidRDefault="00E57DAA">
                <w:pPr>
                  <w:jc w:val="right"/>
                  <w:rPr>
                    <w:sz w:val="11"/>
                    <w:szCs w:val="11"/>
                  </w:rPr>
                </w:pPr>
              </w:p>
            </w:tc>
            <w:tc>
              <w:tcPr>
                <w:tcW w:w="415" w:type="pct"/>
                <w:vAlign w:val="center"/>
              </w:tcPr>
              <w:p w14:paraId="12D225AA" w14:textId="77777777" w:rsidR="00E57DAA" w:rsidRDefault="00AC4185">
                <w:pPr>
                  <w:jc w:val="right"/>
                  <w:rPr>
                    <w:sz w:val="11"/>
                    <w:szCs w:val="11"/>
                  </w:rPr>
                </w:pPr>
                <w:r>
                  <w:rPr>
                    <w:sz w:val="11"/>
                    <w:szCs w:val="11"/>
                  </w:rPr>
                  <w:t>-1,362.71</w:t>
                </w:r>
              </w:p>
            </w:tc>
          </w:tr>
          <w:tr w:rsidR="00E57DAA" w14:paraId="2BC86AAF" w14:textId="77777777">
            <w:sdt>
              <w:sdtPr>
                <w:rPr>
                  <w:sz w:val="11"/>
                  <w:szCs w:val="11"/>
                </w:rPr>
                <w:tag w:val="_PLD_f6ec7abefe954758b48497b1b1440546"/>
                <w:id w:val="1730188249"/>
              </w:sdtPr>
              <w:sdtEndPr/>
              <w:sdtContent>
                <w:tc>
                  <w:tcPr>
                    <w:tcW w:w="480" w:type="pct"/>
                  </w:tcPr>
                  <w:p w14:paraId="2C6A9905" w14:textId="77777777" w:rsidR="00E57DAA" w:rsidRDefault="00AC4185">
                    <w:pPr>
                      <w:rPr>
                        <w:sz w:val="11"/>
                        <w:szCs w:val="11"/>
                      </w:rPr>
                    </w:pPr>
                    <w:r>
                      <w:rPr>
                        <w:sz w:val="11"/>
                        <w:szCs w:val="11"/>
                      </w:rPr>
                      <w:t>四、本期期末余额</w:t>
                    </w:r>
                  </w:p>
                </w:tc>
              </w:sdtContent>
            </w:sdt>
            <w:tc>
              <w:tcPr>
                <w:tcW w:w="395" w:type="pct"/>
                <w:vAlign w:val="center"/>
              </w:tcPr>
              <w:p w14:paraId="107D15EF" w14:textId="77777777" w:rsidR="00E57DAA" w:rsidRDefault="00AC4185">
                <w:pPr>
                  <w:jc w:val="right"/>
                  <w:rPr>
                    <w:sz w:val="11"/>
                    <w:szCs w:val="11"/>
                  </w:rPr>
                </w:pPr>
                <w:r>
                  <w:rPr>
                    <w:sz w:val="11"/>
                    <w:szCs w:val="11"/>
                  </w:rPr>
                  <w:t>2,642,317,423.00</w:t>
                </w:r>
              </w:p>
            </w:tc>
            <w:tc>
              <w:tcPr>
                <w:tcW w:w="118" w:type="pct"/>
                <w:vAlign w:val="center"/>
              </w:tcPr>
              <w:p w14:paraId="29BF1F62" w14:textId="77777777" w:rsidR="00E57DAA" w:rsidRDefault="00E57DAA">
                <w:pPr>
                  <w:jc w:val="right"/>
                  <w:rPr>
                    <w:sz w:val="11"/>
                    <w:szCs w:val="11"/>
                  </w:rPr>
                </w:pPr>
              </w:p>
            </w:tc>
            <w:tc>
              <w:tcPr>
                <w:tcW w:w="118" w:type="pct"/>
                <w:vAlign w:val="center"/>
              </w:tcPr>
              <w:p w14:paraId="2423B6DD" w14:textId="77777777" w:rsidR="00E57DAA" w:rsidRDefault="00E57DAA">
                <w:pPr>
                  <w:jc w:val="right"/>
                  <w:rPr>
                    <w:sz w:val="11"/>
                    <w:szCs w:val="11"/>
                  </w:rPr>
                </w:pPr>
              </w:p>
            </w:tc>
            <w:tc>
              <w:tcPr>
                <w:tcW w:w="118" w:type="pct"/>
                <w:vAlign w:val="center"/>
              </w:tcPr>
              <w:p w14:paraId="092B01F9" w14:textId="77777777" w:rsidR="00E57DAA" w:rsidRDefault="00E57DAA">
                <w:pPr>
                  <w:jc w:val="right"/>
                  <w:rPr>
                    <w:sz w:val="11"/>
                    <w:szCs w:val="11"/>
                  </w:rPr>
                </w:pPr>
              </w:p>
            </w:tc>
            <w:tc>
              <w:tcPr>
                <w:tcW w:w="430" w:type="pct"/>
                <w:vAlign w:val="center"/>
              </w:tcPr>
              <w:p w14:paraId="51F75E16" w14:textId="77777777" w:rsidR="00E57DAA" w:rsidRDefault="00AC4185">
                <w:pPr>
                  <w:jc w:val="right"/>
                  <w:rPr>
                    <w:sz w:val="11"/>
                    <w:szCs w:val="11"/>
                  </w:rPr>
                </w:pPr>
                <w:r>
                  <w:rPr>
                    <w:sz w:val="11"/>
                    <w:szCs w:val="11"/>
                  </w:rPr>
                  <w:t>409,922,211.78</w:t>
                </w:r>
              </w:p>
            </w:tc>
            <w:tc>
              <w:tcPr>
                <w:tcW w:w="356" w:type="pct"/>
                <w:vAlign w:val="center"/>
              </w:tcPr>
              <w:p w14:paraId="19E1476A" w14:textId="77777777" w:rsidR="00E57DAA" w:rsidRDefault="00AC4185">
                <w:pPr>
                  <w:jc w:val="right"/>
                  <w:rPr>
                    <w:sz w:val="11"/>
                    <w:szCs w:val="11"/>
                  </w:rPr>
                </w:pPr>
                <w:r>
                  <w:rPr>
                    <w:sz w:val="11"/>
                    <w:szCs w:val="11"/>
                  </w:rPr>
                  <w:t>306,578,642.37</w:t>
                </w:r>
              </w:p>
            </w:tc>
            <w:tc>
              <w:tcPr>
                <w:tcW w:w="356" w:type="pct"/>
                <w:vAlign w:val="center"/>
              </w:tcPr>
              <w:p w14:paraId="727D63AE" w14:textId="77777777" w:rsidR="00E57DAA" w:rsidRDefault="00AC4185">
                <w:pPr>
                  <w:jc w:val="right"/>
                  <w:rPr>
                    <w:sz w:val="11"/>
                    <w:szCs w:val="11"/>
                  </w:rPr>
                </w:pPr>
                <w:r>
                  <w:rPr>
                    <w:sz w:val="11"/>
                    <w:szCs w:val="11"/>
                  </w:rPr>
                  <w:t>-116,467,697.31</w:t>
                </w:r>
              </w:p>
            </w:tc>
            <w:tc>
              <w:tcPr>
                <w:tcW w:w="356" w:type="pct"/>
                <w:vAlign w:val="center"/>
              </w:tcPr>
              <w:p w14:paraId="4F65F090" w14:textId="77777777" w:rsidR="00E57DAA" w:rsidRDefault="00AC4185">
                <w:pPr>
                  <w:jc w:val="right"/>
                  <w:rPr>
                    <w:sz w:val="11"/>
                    <w:szCs w:val="11"/>
                  </w:rPr>
                </w:pPr>
                <w:r>
                  <w:rPr>
                    <w:sz w:val="11"/>
                    <w:szCs w:val="11"/>
                  </w:rPr>
                  <w:t>291,002,743.43</w:t>
                </w:r>
              </w:p>
            </w:tc>
            <w:tc>
              <w:tcPr>
                <w:tcW w:w="395" w:type="pct"/>
                <w:vAlign w:val="center"/>
              </w:tcPr>
              <w:p w14:paraId="14CAA2F3" w14:textId="77777777" w:rsidR="00E57DAA" w:rsidRDefault="00AC4185">
                <w:pPr>
                  <w:jc w:val="right"/>
                  <w:rPr>
                    <w:sz w:val="11"/>
                    <w:szCs w:val="11"/>
                  </w:rPr>
                </w:pPr>
                <w:r>
                  <w:rPr>
                    <w:sz w:val="11"/>
                    <w:szCs w:val="11"/>
                  </w:rPr>
                  <w:t>1,063,125,683.83</w:t>
                </w:r>
              </w:p>
            </w:tc>
            <w:tc>
              <w:tcPr>
                <w:tcW w:w="118" w:type="pct"/>
                <w:vAlign w:val="center"/>
              </w:tcPr>
              <w:p w14:paraId="3CDA0790" w14:textId="77777777" w:rsidR="00E57DAA" w:rsidRDefault="00E57DAA">
                <w:pPr>
                  <w:jc w:val="right"/>
                  <w:rPr>
                    <w:sz w:val="11"/>
                    <w:szCs w:val="11"/>
                  </w:rPr>
                </w:pPr>
              </w:p>
            </w:tc>
            <w:tc>
              <w:tcPr>
                <w:tcW w:w="415" w:type="pct"/>
                <w:vAlign w:val="center"/>
              </w:tcPr>
              <w:p w14:paraId="1360FD80" w14:textId="77777777" w:rsidR="00E57DAA" w:rsidRDefault="00AC4185">
                <w:pPr>
                  <w:jc w:val="right"/>
                  <w:rPr>
                    <w:sz w:val="11"/>
                    <w:szCs w:val="11"/>
                  </w:rPr>
                </w:pPr>
                <w:r>
                  <w:rPr>
                    <w:sz w:val="11"/>
                    <w:szCs w:val="11"/>
                  </w:rPr>
                  <w:t>15,112,040,090.93</w:t>
                </w:r>
              </w:p>
            </w:tc>
            <w:tc>
              <w:tcPr>
                <w:tcW w:w="121" w:type="pct"/>
                <w:vAlign w:val="center"/>
              </w:tcPr>
              <w:p w14:paraId="0AE9D758" w14:textId="77777777" w:rsidR="00E57DAA" w:rsidRDefault="00E57DAA">
                <w:pPr>
                  <w:jc w:val="right"/>
                  <w:rPr>
                    <w:sz w:val="11"/>
                    <w:szCs w:val="11"/>
                  </w:rPr>
                </w:pPr>
              </w:p>
            </w:tc>
            <w:tc>
              <w:tcPr>
                <w:tcW w:w="415" w:type="pct"/>
                <w:vAlign w:val="center"/>
              </w:tcPr>
              <w:p w14:paraId="47F6F527" w14:textId="77777777" w:rsidR="00E57DAA" w:rsidRDefault="00AC4185">
                <w:pPr>
                  <w:jc w:val="right"/>
                  <w:rPr>
                    <w:sz w:val="11"/>
                    <w:szCs w:val="11"/>
                  </w:rPr>
                </w:pPr>
                <w:r>
                  <w:rPr>
                    <w:sz w:val="11"/>
                    <w:szCs w:val="11"/>
                  </w:rPr>
                  <w:t>19,095,361,813.29</w:t>
                </w:r>
              </w:p>
            </w:tc>
            <w:tc>
              <w:tcPr>
                <w:tcW w:w="395" w:type="pct"/>
                <w:vAlign w:val="center"/>
              </w:tcPr>
              <w:p w14:paraId="6827BD1F" w14:textId="77777777" w:rsidR="00E57DAA" w:rsidRDefault="00AC4185">
                <w:pPr>
                  <w:jc w:val="right"/>
                  <w:rPr>
                    <w:sz w:val="11"/>
                    <w:szCs w:val="11"/>
                  </w:rPr>
                </w:pPr>
                <w:r>
                  <w:rPr>
                    <w:sz w:val="11"/>
                    <w:szCs w:val="11"/>
                  </w:rPr>
                  <w:t>1,515,761,257.37</w:t>
                </w:r>
              </w:p>
            </w:tc>
            <w:tc>
              <w:tcPr>
                <w:tcW w:w="415" w:type="pct"/>
                <w:vAlign w:val="center"/>
              </w:tcPr>
              <w:p w14:paraId="578F33F0" w14:textId="77777777" w:rsidR="00E57DAA" w:rsidRDefault="00AC4185">
                <w:pPr>
                  <w:jc w:val="right"/>
                  <w:rPr>
                    <w:sz w:val="11"/>
                    <w:szCs w:val="11"/>
                  </w:rPr>
                </w:pPr>
                <w:r>
                  <w:rPr>
                    <w:sz w:val="11"/>
                    <w:szCs w:val="11"/>
                  </w:rPr>
                  <w:t>20,611,123,070.66</w:t>
                </w:r>
              </w:p>
            </w:tc>
          </w:tr>
        </w:tbl>
        <w:p w14:paraId="42B19603" w14:textId="77777777" w:rsidR="00E57DAA" w:rsidRDefault="00E57DAA">
          <w:pPr>
            <w:rPr>
              <w:sz w:val="11"/>
              <w:szCs w:val="11"/>
            </w:rPr>
          </w:pPr>
        </w:p>
        <w:p w14:paraId="31D4D425" w14:textId="77777777" w:rsidR="00E57DAA" w:rsidRDefault="00E57DAA">
          <w:pPr>
            <w:snapToGrid w:val="0"/>
            <w:spacing w:line="240" w:lineRule="atLeast"/>
            <w:ind w:rightChars="-759" w:right="-1594"/>
            <w:rPr>
              <w:sz w:val="11"/>
              <w:szCs w:val="11"/>
            </w:rPr>
          </w:pPr>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0"/>
            <w:gridCol w:w="1096"/>
            <w:gridCol w:w="329"/>
            <w:gridCol w:w="329"/>
            <w:gridCol w:w="332"/>
            <w:gridCol w:w="1096"/>
            <w:gridCol w:w="987"/>
            <w:gridCol w:w="1051"/>
            <w:gridCol w:w="987"/>
            <w:gridCol w:w="987"/>
            <w:gridCol w:w="327"/>
            <w:gridCol w:w="1151"/>
            <w:gridCol w:w="413"/>
            <w:gridCol w:w="1151"/>
            <w:gridCol w:w="1096"/>
            <w:gridCol w:w="1151"/>
          </w:tblGrid>
          <w:tr w:rsidR="00E57DAA" w14:paraId="0DB3AB31" w14:textId="77777777">
            <w:trPr>
              <w:cantSplit/>
            </w:trPr>
            <w:tc>
              <w:tcPr>
                <w:tcW w:w="498" w:type="pct"/>
                <w:vMerge w:val="restart"/>
                <w:vAlign w:val="center"/>
              </w:tcPr>
              <w:sdt>
                <w:sdtPr>
                  <w:rPr>
                    <w:rFonts w:hint="eastAsia"/>
                    <w:sz w:val="11"/>
                    <w:szCs w:val="11"/>
                  </w:rPr>
                  <w:tag w:val="_PLD_229212c664af43faa41821d5eec551b8"/>
                  <w:id w:val="1006484848"/>
                </w:sdtPr>
                <w:sdtEndPr/>
                <w:sdtContent>
                  <w:p w14:paraId="4CDB6E3A" w14:textId="77777777" w:rsidR="00E57DAA" w:rsidRDefault="00AC4185">
                    <w:pPr>
                      <w:snapToGrid w:val="0"/>
                      <w:spacing w:line="240" w:lineRule="atLeast"/>
                      <w:jc w:val="center"/>
                      <w:rPr>
                        <w:sz w:val="11"/>
                        <w:szCs w:val="11"/>
                      </w:rPr>
                    </w:pPr>
                    <w:r>
                      <w:rPr>
                        <w:rFonts w:hint="eastAsia"/>
                        <w:sz w:val="11"/>
                        <w:szCs w:val="11"/>
                      </w:rPr>
                      <w:t>项目</w:t>
                    </w:r>
                  </w:p>
                </w:sdtContent>
              </w:sdt>
            </w:tc>
            <w:tc>
              <w:tcPr>
                <w:tcW w:w="4502" w:type="pct"/>
                <w:gridSpan w:val="15"/>
              </w:tcPr>
              <w:p w14:paraId="1920784C" w14:textId="77777777" w:rsidR="00E57DAA" w:rsidRDefault="00AC4185">
                <w:pPr>
                  <w:snapToGrid w:val="0"/>
                  <w:spacing w:line="240" w:lineRule="atLeast"/>
                  <w:ind w:rightChars="-759" w:right="-1594"/>
                  <w:jc w:val="center"/>
                  <w:rPr>
                    <w:sz w:val="11"/>
                    <w:szCs w:val="11"/>
                  </w:rPr>
                </w:pPr>
                <w:r>
                  <w:rPr>
                    <w:rFonts w:hint="eastAsia"/>
                    <w:sz w:val="11"/>
                    <w:szCs w:val="11"/>
                  </w:rPr>
                  <w:t xml:space="preserve"> </w:t>
                </w:r>
                <w:sdt>
                  <w:sdtPr>
                    <w:rPr>
                      <w:rFonts w:hint="eastAsia"/>
                      <w:sz w:val="11"/>
                      <w:szCs w:val="11"/>
                    </w:rPr>
                    <w:tag w:val="_PLD_5c8dcea3749f4f92b2d283c717162a73"/>
                    <w:id w:val="-837607318"/>
                  </w:sdtPr>
                  <w:sdtEndPr/>
                  <w:sdtContent>
                    <w:r>
                      <w:rPr>
                        <w:rFonts w:hint="eastAsia"/>
                        <w:sz w:val="11"/>
                        <w:szCs w:val="11"/>
                      </w:rPr>
                      <w:t>2022年度</w:t>
                    </w:r>
                  </w:sdtContent>
                </w:sdt>
              </w:p>
            </w:tc>
          </w:tr>
          <w:tr w:rsidR="00E57DAA" w14:paraId="63779D3C" w14:textId="77777777">
            <w:trPr>
              <w:cantSplit/>
              <w:trHeight w:val="471"/>
            </w:trPr>
            <w:tc>
              <w:tcPr>
                <w:tcW w:w="498" w:type="pct"/>
                <w:vMerge/>
              </w:tcPr>
              <w:p w14:paraId="40BB3764" w14:textId="77777777" w:rsidR="00E57DAA" w:rsidRDefault="00E57DAA">
                <w:pPr>
                  <w:snapToGrid w:val="0"/>
                  <w:spacing w:line="240" w:lineRule="atLeast"/>
                  <w:ind w:rightChars="-759" w:right="-1594"/>
                  <w:rPr>
                    <w:sz w:val="11"/>
                    <w:szCs w:val="11"/>
                  </w:rPr>
                </w:pPr>
              </w:p>
            </w:tc>
            <w:sdt>
              <w:sdtPr>
                <w:rPr>
                  <w:sz w:val="11"/>
                  <w:szCs w:val="11"/>
                </w:rPr>
                <w:tag w:val="_PLD_e725a8cacf9d4d1abedbfeae17c394e0"/>
                <w:id w:val="-668326602"/>
              </w:sdtPr>
              <w:sdtEndPr/>
              <w:sdtContent>
                <w:tc>
                  <w:tcPr>
                    <w:tcW w:w="3692" w:type="pct"/>
                    <w:gridSpan w:val="13"/>
                    <w:vAlign w:val="center"/>
                  </w:tcPr>
                  <w:p w14:paraId="6948C0D5" w14:textId="77777777" w:rsidR="00E57DAA" w:rsidRDefault="00AC4185">
                    <w:pPr>
                      <w:jc w:val="center"/>
                      <w:rPr>
                        <w:sz w:val="11"/>
                        <w:szCs w:val="11"/>
                      </w:rPr>
                    </w:pPr>
                    <w:r>
                      <w:rPr>
                        <w:sz w:val="11"/>
                        <w:szCs w:val="11"/>
                      </w:rPr>
                      <w:t>归属于母公司所有者权益</w:t>
                    </w:r>
                  </w:p>
                </w:tc>
              </w:sdtContent>
            </w:sdt>
            <w:sdt>
              <w:sdtPr>
                <w:rPr>
                  <w:sz w:val="11"/>
                  <w:szCs w:val="11"/>
                </w:rPr>
                <w:tag w:val="_PLD_fe6c49384f0941088b29ad945caeb72b"/>
                <w:id w:val="-507914349"/>
              </w:sdtPr>
              <w:sdtEndPr/>
              <w:sdtContent>
                <w:tc>
                  <w:tcPr>
                    <w:tcW w:w="395" w:type="pct"/>
                    <w:vMerge w:val="restart"/>
                    <w:vAlign w:val="center"/>
                  </w:tcPr>
                  <w:p w14:paraId="271A8C7D" w14:textId="77777777" w:rsidR="00E57DAA" w:rsidRDefault="00AC4185">
                    <w:pPr>
                      <w:jc w:val="center"/>
                      <w:rPr>
                        <w:sz w:val="11"/>
                        <w:szCs w:val="11"/>
                      </w:rPr>
                    </w:pPr>
                    <w:r>
                      <w:rPr>
                        <w:sz w:val="11"/>
                        <w:szCs w:val="11"/>
                      </w:rPr>
                      <w:t>少数股东权益</w:t>
                    </w:r>
                  </w:p>
                </w:tc>
              </w:sdtContent>
            </w:sdt>
            <w:sdt>
              <w:sdtPr>
                <w:rPr>
                  <w:sz w:val="11"/>
                  <w:szCs w:val="11"/>
                </w:rPr>
                <w:tag w:val="_PLD_bbe71d4307504d648ce52638ee90ccd4"/>
                <w:id w:val="-2079591850"/>
              </w:sdtPr>
              <w:sdtEndPr/>
              <w:sdtContent>
                <w:tc>
                  <w:tcPr>
                    <w:tcW w:w="415" w:type="pct"/>
                    <w:vMerge w:val="restart"/>
                    <w:vAlign w:val="center"/>
                  </w:tcPr>
                  <w:p w14:paraId="408C5A79" w14:textId="77777777" w:rsidR="00E57DAA" w:rsidRDefault="00AC4185">
                    <w:pPr>
                      <w:jc w:val="center"/>
                      <w:rPr>
                        <w:sz w:val="11"/>
                        <w:szCs w:val="11"/>
                      </w:rPr>
                    </w:pPr>
                    <w:r>
                      <w:rPr>
                        <w:sz w:val="11"/>
                        <w:szCs w:val="11"/>
                      </w:rPr>
                      <w:t>所有者权益合计</w:t>
                    </w:r>
                  </w:p>
                </w:tc>
              </w:sdtContent>
            </w:sdt>
          </w:tr>
          <w:tr w:rsidR="00E57DAA" w14:paraId="0C0FD8C1" w14:textId="77777777">
            <w:trPr>
              <w:cantSplit/>
              <w:trHeight w:val="383"/>
            </w:trPr>
            <w:tc>
              <w:tcPr>
                <w:tcW w:w="498" w:type="pct"/>
                <w:vMerge/>
              </w:tcPr>
              <w:p w14:paraId="7ED7F95C" w14:textId="77777777" w:rsidR="00E57DAA" w:rsidRDefault="00E57DAA">
                <w:pPr>
                  <w:snapToGrid w:val="0"/>
                  <w:spacing w:line="240" w:lineRule="atLeast"/>
                  <w:ind w:rightChars="-759" w:right="-1594"/>
                  <w:rPr>
                    <w:sz w:val="11"/>
                    <w:szCs w:val="11"/>
                  </w:rPr>
                </w:pPr>
              </w:p>
            </w:tc>
            <w:sdt>
              <w:sdtPr>
                <w:rPr>
                  <w:sz w:val="11"/>
                  <w:szCs w:val="11"/>
                </w:rPr>
                <w:tag w:val="_PLD_941585ba85eb48fa931876151974e425"/>
                <w:id w:val="1177161920"/>
              </w:sdtPr>
              <w:sdtEndPr/>
              <w:sdtContent>
                <w:tc>
                  <w:tcPr>
                    <w:tcW w:w="395" w:type="pct"/>
                    <w:vMerge w:val="restart"/>
                    <w:vAlign w:val="center"/>
                  </w:tcPr>
                  <w:p w14:paraId="3E863436" w14:textId="77777777" w:rsidR="00E57DAA" w:rsidRDefault="00AC4185">
                    <w:pPr>
                      <w:snapToGrid w:val="0"/>
                      <w:spacing w:line="240" w:lineRule="atLeast"/>
                      <w:jc w:val="center"/>
                      <w:rPr>
                        <w:sz w:val="11"/>
                        <w:szCs w:val="11"/>
                      </w:rPr>
                    </w:pPr>
                    <w:r>
                      <w:rPr>
                        <w:sz w:val="11"/>
                        <w:szCs w:val="11"/>
                      </w:rPr>
                      <w:t>实收资本 (或股本)</w:t>
                    </w:r>
                  </w:p>
                </w:tc>
              </w:sdtContent>
            </w:sdt>
            <w:sdt>
              <w:sdtPr>
                <w:rPr>
                  <w:sz w:val="11"/>
                  <w:szCs w:val="11"/>
                </w:rPr>
                <w:tag w:val="_PLD_4097b1c4c4f449ef94e9dedb67cf7c3a"/>
                <w:id w:val="-811399638"/>
              </w:sdtPr>
              <w:sdtEndPr/>
              <w:sdtContent>
                <w:tc>
                  <w:tcPr>
                    <w:tcW w:w="357" w:type="pct"/>
                    <w:gridSpan w:val="3"/>
                    <w:vAlign w:val="center"/>
                  </w:tcPr>
                  <w:p w14:paraId="3D8DC3C6" w14:textId="77777777" w:rsidR="00E57DAA" w:rsidRDefault="00AC4185">
                    <w:pPr>
                      <w:snapToGrid w:val="0"/>
                      <w:spacing w:line="240" w:lineRule="atLeast"/>
                      <w:jc w:val="center"/>
                      <w:rPr>
                        <w:sz w:val="11"/>
                        <w:szCs w:val="11"/>
                      </w:rPr>
                    </w:pPr>
                    <w:r>
                      <w:rPr>
                        <w:rFonts w:hint="eastAsia"/>
                        <w:sz w:val="11"/>
                        <w:szCs w:val="11"/>
                      </w:rPr>
                      <w:t>其他权益工具</w:t>
                    </w:r>
                  </w:p>
                </w:tc>
              </w:sdtContent>
            </w:sdt>
            <w:sdt>
              <w:sdtPr>
                <w:rPr>
                  <w:sz w:val="11"/>
                  <w:szCs w:val="11"/>
                </w:rPr>
                <w:tag w:val="_PLD_f8441471f9a041ac884142e2c9e87055"/>
                <w:id w:val="-816563234"/>
              </w:sdtPr>
              <w:sdtEndPr/>
              <w:sdtContent>
                <w:tc>
                  <w:tcPr>
                    <w:tcW w:w="395" w:type="pct"/>
                    <w:vMerge w:val="restart"/>
                    <w:vAlign w:val="center"/>
                  </w:tcPr>
                  <w:p w14:paraId="029C59B3" w14:textId="77777777" w:rsidR="00E57DAA" w:rsidRDefault="00AC4185">
                    <w:pPr>
                      <w:snapToGrid w:val="0"/>
                      <w:spacing w:line="240" w:lineRule="atLeast"/>
                      <w:jc w:val="center"/>
                      <w:rPr>
                        <w:sz w:val="11"/>
                        <w:szCs w:val="11"/>
                      </w:rPr>
                    </w:pPr>
                    <w:r>
                      <w:rPr>
                        <w:rFonts w:hint="eastAsia"/>
                        <w:sz w:val="11"/>
                        <w:szCs w:val="11"/>
                      </w:rPr>
                      <w:t>资本公积</w:t>
                    </w:r>
                  </w:p>
                </w:tc>
              </w:sdtContent>
            </w:sdt>
            <w:sdt>
              <w:sdtPr>
                <w:rPr>
                  <w:sz w:val="11"/>
                  <w:szCs w:val="11"/>
                </w:rPr>
                <w:tag w:val="_PLD_f972a7ccc15d4f409243ecc02ea77629"/>
                <w:id w:val="89671394"/>
              </w:sdtPr>
              <w:sdtEndPr/>
              <w:sdtContent>
                <w:tc>
                  <w:tcPr>
                    <w:tcW w:w="356" w:type="pct"/>
                    <w:vMerge w:val="restart"/>
                    <w:vAlign w:val="center"/>
                  </w:tcPr>
                  <w:p w14:paraId="4329E88A" w14:textId="77777777" w:rsidR="00E57DAA" w:rsidRDefault="00AC4185">
                    <w:pPr>
                      <w:snapToGrid w:val="0"/>
                      <w:spacing w:line="240" w:lineRule="atLeast"/>
                      <w:jc w:val="center"/>
                      <w:rPr>
                        <w:sz w:val="11"/>
                        <w:szCs w:val="11"/>
                      </w:rPr>
                    </w:pPr>
                    <w:r>
                      <w:rPr>
                        <w:rFonts w:hint="eastAsia"/>
                        <w:sz w:val="11"/>
                        <w:szCs w:val="11"/>
                      </w:rPr>
                      <w:t>减：库存股</w:t>
                    </w:r>
                  </w:p>
                </w:tc>
              </w:sdtContent>
            </w:sdt>
            <w:sdt>
              <w:sdtPr>
                <w:rPr>
                  <w:sz w:val="11"/>
                  <w:szCs w:val="11"/>
                </w:rPr>
                <w:tag w:val="_PLD_32394603dc124fdb904af0ad8606aa79"/>
                <w:id w:val="-1735080040"/>
              </w:sdtPr>
              <w:sdtEndPr/>
              <w:sdtContent>
                <w:tc>
                  <w:tcPr>
                    <w:tcW w:w="379" w:type="pct"/>
                    <w:vMerge w:val="restart"/>
                    <w:vAlign w:val="center"/>
                  </w:tcPr>
                  <w:p w14:paraId="39CADF09" w14:textId="77777777" w:rsidR="00E57DAA" w:rsidRDefault="00AC4185">
                    <w:pPr>
                      <w:snapToGrid w:val="0"/>
                      <w:spacing w:line="240" w:lineRule="atLeast"/>
                      <w:jc w:val="center"/>
                      <w:rPr>
                        <w:sz w:val="11"/>
                        <w:szCs w:val="11"/>
                      </w:rPr>
                    </w:pPr>
                    <w:r>
                      <w:rPr>
                        <w:rFonts w:hint="eastAsia"/>
                        <w:sz w:val="11"/>
                        <w:szCs w:val="11"/>
                      </w:rPr>
                      <w:t>其他综合收益</w:t>
                    </w:r>
                  </w:p>
                </w:tc>
              </w:sdtContent>
            </w:sdt>
            <w:sdt>
              <w:sdtPr>
                <w:rPr>
                  <w:sz w:val="11"/>
                  <w:szCs w:val="11"/>
                </w:rPr>
                <w:tag w:val="_PLD_af29ec23e072452c89c8447237a4831e"/>
                <w:id w:val="1816299675"/>
              </w:sdtPr>
              <w:sdtEndPr/>
              <w:sdtContent>
                <w:tc>
                  <w:tcPr>
                    <w:tcW w:w="356" w:type="pct"/>
                    <w:vMerge w:val="restart"/>
                    <w:vAlign w:val="center"/>
                  </w:tcPr>
                  <w:p w14:paraId="36DB3223" w14:textId="77777777" w:rsidR="00E57DAA" w:rsidRDefault="00AC4185">
                    <w:pPr>
                      <w:snapToGrid w:val="0"/>
                      <w:spacing w:line="240" w:lineRule="atLeast"/>
                      <w:jc w:val="center"/>
                      <w:rPr>
                        <w:sz w:val="11"/>
                        <w:szCs w:val="11"/>
                      </w:rPr>
                    </w:pPr>
                    <w:r>
                      <w:rPr>
                        <w:rFonts w:hint="eastAsia"/>
                        <w:sz w:val="11"/>
                        <w:szCs w:val="11"/>
                      </w:rPr>
                      <w:t>专项储备</w:t>
                    </w:r>
                  </w:p>
                </w:tc>
              </w:sdtContent>
            </w:sdt>
            <w:sdt>
              <w:sdtPr>
                <w:rPr>
                  <w:sz w:val="11"/>
                  <w:szCs w:val="11"/>
                </w:rPr>
                <w:tag w:val="_PLD_81a68447a616402b99500dae3d54a22d"/>
                <w:id w:val="-313178404"/>
              </w:sdtPr>
              <w:sdtEndPr/>
              <w:sdtContent>
                <w:tc>
                  <w:tcPr>
                    <w:tcW w:w="356" w:type="pct"/>
                    <w:vMerge w:val="restart"/>
                    <w:vAlign w:val="center"/>
                  </w:tcPr>
                  <w:p w14:paraId="121F48B3" w14:textId="77777777" w:rsidR="00E57DAA" w:rsidRDefault="00AC4185">
                    <w:pPr>
                      <w:snapToGrid w:val="0"/>
                      <w:spacing w:line="240" w:lineRule="atLeast"/>
                      <w:jc w:val="center"/>
                      <w:rPr>
                        <w:sz w:val="11"/>
                        <w:szCs w:val="11"/>
                      </w:rPr>
                    </w:pPr>
                    <w:r>
                      <w:rPr>
                        <w:rFonts w:hint="eastAsia"/>
                        <w:sz w:val="11"/>
                        <w:szCs w:val="11"/>
                      </w:rPr>
                      <w:t>盈余公积</w:t>
                    </w:r>
                  </w:p>
                </w:tc>
              </w:sdtContent>
            </w:sdt>
            <w:sdt>
              <w:sdtPr>
                <w:rPr>
                  <w:sz w:val="11"/>
                  <w:szCs w:val="11"/>
                </w:rPr>
                <w:tag w:val="_PLD_ad0dadbaf28f45779fefb69d05b7215d"/>
                <w:id w:val="-1422636340"/>
              </w:sdtPr>
              <w:sdtEndPr/>
              <w:sdtContent>
                <w:tc>
                  <w:tcPr>
                    <w:tcW w:w="118" w:type="pct"/>
                    <w:vMerge w:val="restart"/>
                    <w:vAlign w:val="center"/>
                  </w:tcPr>
                  <w:p w14:paraId="5534C8A7" w14:textId="77777777" w:rsidR="00E57DAA" w:rsidRDefault="00AC4185">
                    <w:pPr>
                      <w:snapToGrid w:val="0"/>
                      <w:spacing w:line="240" w:lineRule="atLeast"/>
                      <w:jc w:val="center"/>
                      <w:rPr>
                        <w:sz w:val="11"/>
                        <w:szCs w:val="11"/>
                      </w:rPr>
                    </w:pPr>
                    <w:r>
                      <w:rPr>
                        <w:rFonts w:hint="eastAsia"/>
                        <w:sz w:val="11"/>
                        <w:szCs w:val="11"/>
                      </w:rPr>
                      <w:t>一般风险准备</w:t>
                    </w:r>
                  </w:p>
                </w:tc>
              </w:sdtContent>
            </w:sdt>
            <w:sdt>
              <w:sdtPr>
                <w:rPr>
                  <w:sz w:val="11"/>
                  <w:szCs w:val="11"/>
                </w:rPr>
                <w:tag w:val="_PLD_a51f5c6bdac744979b275b09b6a9d1d8"/>
                <w:id w:val="-1064716297"/>
              </w:sdtPr>
              <w:sdtEndPr/>
              <w:sdtContent>
                <w:tc>
                  <w:tcPr>
                    <w:tcW w:w="415" w:type="pct"/>
                    <w:vMerge w:val="restart"/>
                    <w:vAlign w:val="center"/>
                  </w:tcPr>
                  <w:p w14:paraId="65028F66" w14:textId="77777777" w:rsidR="00E57DAA" w:rsidRDefault="00AC4185">
                    <w:pPr>
                      <w:snapToGrid w:val="0"/>
                      <w:spacing w:line="240" w:lineRule="atLeast"/>
                      <w:jc w:val="center"/>
                      <w:rPr>
                        <w:sz w:val="11"/>
                        <w:szCs w:val="11"/>
                      </w:rPr>
                    </w:pPr>
                    <w:r>
                      <w:rPr>
                        <w:rFonts w:hint="eastAsia"/>
                        <w:sz w:val="11"/>
                        <w:szCs w:val="11"/>
                      </w:rPr>
                      <w:t>未分配利润</w:t>
                    </w:r>
                  </w:p>
                </w:tc>
              </w:sdtContent>
            </w:sdt>
            <w:tc>
              <w:tcPr>
                <w:tcW w:w="149" w:type="pct"/>
                <w:vMerge w:val="restart"/>
                <w:vAlign w:val="center"/>
              </w:tcPr>
              <w:sdt>
                <w:sdtPr>
                  <w:rPr>
                    <w:rFonts w:hint="eastAsia"/>
                    <w:sz w:val="11"/>
                    <w:szCs w:val="11"/>
                  </w:rPr>
                  <w:tag w:val="_PLD_ae449a7a80f64d56b34968f1f21d2198"/>
                  <w:id w:val="-1641180185"/>
                </w:sdtPr>
                <w:sdtEndPr/>
                <w:sdtContent>
                  <w:sdt>
                    <w:sdtPr>
                      <w:rPr>
                        <w:rFonts w:hint="eastAsia"/>
                        <w:sz w:val="11"/>
                        <w:szCs w:val="11"/>
                      </w:rPr>
                      <w:tag w:val="_PLD_c4da6a74366840789b623f0d61440178"/>
                      <w:id w:val="-264460040"/>
                      <w:placeholder>
                        <w:docPart w:val="GBC11111111111111111111111111111"/>
                      </w:placeholder>
                    </w:sdtPr>
                    <w:sdtEndPr/>
                    <w:sdtContent>
                      <w:p w14:paraId="2E442900" w14:textId="77777777" w:rsidR="00E57DAA" w:rsidRDefault="00AC4185">
                        <w:pPr>
                          <w:jc w:val="center"/>
                          <w:rPr>
                            <w:sz w:val="11"/>
                            <w:szCs w:val="11"/>
                          </w:rPr>
                        </w:pPr>
                        <w:r>
                          <w:rPr>
                            <w:rFonts w:hint="eastAsia"/>
                            <w:sz w:val="11"/>
                            <w:szCs w:val="11"/>
                          </w:rPr>
                          <w:t>其他</w:t>
                        </w:r>
                      </w:p>
                    </w:sdtContent>
                  </w:sdt>
                </w:sdtContent>
              </w:sdt>
            </w:tc>
            <w:tc>
              <w:tcPr>
                <w:tcW w:w="415" w:type="pct"/>
                <w:vMerge w:val="restart"/>
                <w:vAlign w:val="center"/>
              </w:tcPr>
              <w:sdt>
                <w:sdtPr>
                  <w:rPr>
                    <w:rFonts w:hint="eastAsia"/>
                    <w:sz w:val="11"/>
                    <w:szCs w:val="11"/>
                  </w:rPr>
                  <w:tag w:val="_PLD_f2691f33b2164ad8b83415f8cd404dea"/>
                  <w:id w:val="1705520090"/>
                </w:sdtPr>
                <w:sdtEndPr/>
                <w:sdtContent>
                  <w:p w14:paraId="07E5C2E4" w14:textId="77777777" w:rsidR="00E57DAA" w:rsidRDefault="00AC4185">
                    <w:pPr>
                      <w:jc w:val="center"/>
                      <w:rPr>
                        <w:sz w:val="11"/>
                        <w:szCs w:val="11"/>
                      </w:rPr>
                    </w:pPr>
                    <w:r>
                      <w:rPr>
                        <w:rFonts w:hint="eastAsia"/>
                        <w:sz w:val="11"/>
                        <w:szCs w:val="11"/>
                      </w:rPr>
                      <w:t>小计</w:t>
                    </w:r>
                  </w:p>
                </w:sdtContent>
              </w:sdt>
            </w:tc>
            <w:tc>
              <w:tcPr>
                <w:tcW w:w="395" w:type="pct"/>
                <w:vMerge/>
              </w:tcPr>
              <w:p w14:paraId="147248CC" w14:textId="77777777" w:rsidR="00E57DAA" w:rsidRDefault="00E57DAA">
                <w:pPr>
                  <w:jc w:val="center"/>
                  <w:rPr>
                    <w:sz w:val="11"/>
                    <w:szCs w:val="11"/>
                  </w:rPr>
                </w:pPr>
              </w:p>
            </w:tc>
            <w:tc>
              <w:tcPr>
                <w:tcW w:w="415" w:type="pct"/>
                <w:vMerge/>
              </w:tcPr>
              <w:p w14:paraId="7F5F74C6" w14:textId="77777777" w:rsidR="00E57DAA" w:rsidRDefault="00E57DAA">
                <w:pPr>
                  <w:jc w:val="center"/>
                  <w:rPr>
                    <w:sz w:val="11"/>
                    <w:szCs w:val="11"/>
                  </w:rPr>
                </w:pPr>
              </w:p>
            </w:tc>
          </w:tr>
          <w:tr w:rsidR="00E57DAA" w14:paraId="36AE1314" w14:textId="77777777">
            <w:trPr>
              <w:cantSplit/>
              <w:trHeight w:val="303"/>
            </w:trPr>
            <w:tc>
              <w:tcPr>
                <w:tcW w:w="498" w:type="pct"/>
                <w:vMerge/>
              </w:tcPr>
              <w:p w14:paraId="56FB0B4D" w14:textId="77777777" w:rsidR="00E57DAA" w:rsidRDefault="00E57DAA">
                <w:pPr>
                  <w:snapToGrid w:val="0"/>
                  <w:spacing w:line="240" w:lineRule="atLeast"/>
                  <w:ind w:rightChars="-759" w:right="-1594"/>
                  <w:rPr>
                    <w:sz w:val="11"/>
                    <w:szCs w:val="11"/>
                  </w:rPr>
                </w:pPr>
              </w:p>
            </w:tc>
            <w:tc>
              <w:tcPr>
                <w:tcW w:w="395" w:type="pct"/>
                <w:vMerge/>
              </w:tcPr>
              <w:p w14:paraId="77ED62BC" w14:textId="77777777" w:rsidR="00E57DAA" w:rsidRDefault="00E57DAA">
                <w:pPr>
                  <w:snapToGrid w:val="0"/>
                  <w:spacing w:line="240" w:lineRule="atLeast"/>
                  <w:jc w:val="center"/>
                  <w:rPr>
                    <w:sz w:val="11"/>
                    <w:szCs w:val="11"/>
                  </w:rPr>
                </w:pPr>
              </w:p>
            </w:tc>
            <w:sdt>
              <w:sdtPr>
                <w:rPr>
                  <w:sz w:val="11"/>
                  <w:szCs w:val="11"/>
                </w:rPr>
                <w:tag w:val="_PLD_c8e4e3f938444f399262729a0267aa59"/>
                <w:id w:val="-1872375949"/>
              </w:sdtPr>
              <w:sdtEndPr/>
              <w:sdtContent>
                <w:tc>
                  <w:tcPr>
                    <w:tcW w:w="119" w:type="pct"/>
                    <w:vAlign w:val="center"/>
                  </w:tcPr>
                  <w:p w14:paraId="68F1B75D" w14:textId="77777777" w:rsidR="00E57DAA" w:rsidRDefault="00AC4185">
                    <w:pPr>
                      <w:jc w:val="center"/>
                      <w:rPr>
                        <w:sz w:val="11"/>
                        <w:szCs w:val="11"/>
                      </w:rPr>
                    </w:pPr>
                    <w:r>
                      <w:rPr>
                        <w:rFonts w:hint="eastAsia"/>
                        <w:sz w:val="11"/>
                        <w:szCs w:val="11"/>
                      </w:rPr>
                      <w:t>优先股</w:t>
                    </w:r>
                  </w:p>
                </w:tc>
              </w:sdtContent>
            </w:sdt>
            <w:sdt>
              <w:sdtPr>
                <w:rPr>
                  <w:sz w:val="11"/>
                  <w:szCs w:val="11"/>
                </w:rPr>
                <w:tag w:val="_PLD_70f3796cf4ab4ecbb92343a346942a09"/>
                <w:id w:val="-460649687"/>
              </w:sdtPr>
              <w:sdtEndPr/>
              <w:sdtContent>
                <w:tc>
                  <w:tcPr>
                    <w:tcW w:w="119" w:type="pct"/>
                    <w:vAlign w:val="center"/>
                  </w:tcPr>
                  <w:p w14:paraId="1C144860" w14:textId="77777777" w:rsidR="00E57DAA" w:rsidRDefault="00AC4185">
                    <w:pPr>
                      <w:jc w:val="center"/>
                      <w:rPr>
                        <w:sz w:val="11"/>
                        <w:szCs w:val="11"/>
                      </w:rPr>
                    </w:pPr>
                    <w:r>
                      <w:rPr>
                        <w:rFonts w:hint="eastAsia"/>
                        <w:sz w:val="11"/>
                        <w:szCs w:val="11"/>
                      </w:rPr>
                      <w:t>永续债</w:t>
                    </w:r>
                  </w:p>
                </w:tc>
              </w:sdtContent>
            </w:sdt>
            <w:sdt>
              <w:sdtPr>
                <w:rPr>
                  <w:sz w:val="11"/>
                  <w:szCs w:val="11"/>
                </w:rPr>
                <w:tag w:val="_PLD_a3d4853d11ed4217a1c5e27cfc45c1c9"/>
                <w:id w:val="1798948847"/>
              </w:sdtPr>
              <w:sdtEndPr/>
              <w:sdtContent>
                <w:tc>
                  <w:tcPr>
                    <w:tcW w:w="120" w:type="pct"/>
                    <w:vAlign w:val="center"/>
                  </w:tcPr>
                  <w:p w14:paraId="51293954" w14:textId="77777777" w:rsidR="00E57DAA" w:rsidRDefault="00AC4185">
                    <w:pPr>
                      <w:jc w:val="center"/>
                      <w:rPr>
                        <w:sz w:val="11"/>
                        <w:szCs w:val="11"/>
                      </w:rPr>
                    </w:pPr>
                    <w:r>
                      <w:rPr>
                        <w:rFonts w:hint="eastAsia"/>
                        <w:sz w:val="11"/>
                        <w:szCs w:val="11"/>
                      </w:rPr>
                      <w:t>其他</w:t>
                    </w:r>
                  </w:p>
                </w:tc>
              </w:sdtContent>
            </w:sdt>
            <w:tc>
              <w:tcPr>
                <w:tcW w:w="395" w:type="pct"/>
                <w:vMerge/>
              </w:tcPr>
              <w:p w14:paraId="35893D08" w14:textId="77777777" w:rsidR="00E57DAA" w:rsidRDefault="00E57DAA">
                <w:pPr>
                  <w:snapToGrid w:val="0"/>
                  <w:spacing w:line="240" w:lineRule="atLeast"/>
                  <w:jc w:val="center"/>
                  <w:rPr>
                    <w:sz w:val="11"/>
                    <w:szCs w:val="11"/>
                  </w:rPr>
                </w:pPr>
              </w:p>
            </w:tc>
            <w:tc>
              <w:tcPr>
                <w:tcW w:w="356" w:type="pct"/>
                <w:vMerge/>
              </w:tcPr>
              <w:p w14:paraId="6CF73CDC" w14:textId="77777777" w:rsidR="00E57DAA" w:rsidRDefault="00E57DAA">
                <w:pPr>
                  <w:snapToGrid w:val="0"/>
                  <w:spacing w:line="240" w:lineRule="atLeast"/>
                  <w:jc w:val="center"/>
                  <w:rPr>
                    <w:sz w:val="11"/>
                    <w:szCs w:val="11"/>
                  </w:rPr>
                </w:pPr>
              </w:p>
            </w:tc>
            <w:tc>
              <w:tcPr>
                <w:tcW w:w="379" w:type="pct"/>
                <w:vMerge/>
              </w:tcPr>
              <w:p w14:paraId="63E6C5C5" w14:textId="77777777" w:rsidR="00E57DAA" w:rsidRDefault="00E57DAA">
                <w:pPr>
                  <w:snapToGrid w:val="0"/>
                  <w:spacing w:line="240" w:lineRule="atLeast"/>
                  <w:jc w:val="center"/>
                  <w:rPr>
                    <w:sz w:val="11"/>
                    <w:szCs w:val="11"/>
                  </w:rPr>
                </w:pPr>
              </w:p>
            </w:tc>
            <w:tc>
              <w:tcPr>
                <w:tcW w:w="356" w:type="pct"/>
                <w:vMerge/>
              </w:tcPr>
              <w:p w14:paraId="273E0E87" w14:textId="77777777" w:rsidR="00E57DAA" w:rsidRDefault="00E57DAA">
                <w:pPr>
                  <w:snapToGrid w:val="0"/>
                  <w:spacing w:line="240" w:lineRule="atLeast"/>
                  <w:jc w:val="center"/>
                  <w:rPr>
                    <w:sz w:val="11"/>
                    <w:szCs w:val="11"/>
                  </w:rPr>
                </w:pPr>
              </w:p>
            </w:tc>
            <w:tc>
              <w:tcPr>
                <w:tcW w:w="356" w:type="pct"/>
                <w:vMerge/>
              </w:tcPr>
              <w:p w14:paraId="12C02378" w14:textId="77777777" w:rsidR="00E57DAA" w:rsidRDefault="00E57DAA">
                <w:pPr>
                  <w:snapToGrid w:val="0"/>
                  <w:spacing w:line="240" w:lineRule="atLeast"/>
                  <w:jc w:val="center"/>
                  <w:rPr>
                    <w:sz w:val="11"/>
                    <w:szCs w:val="11"/>
                  </w:rPr>
                </w:pPr>
              </w:p>
            </w:tc>
            <w:tc>
              <w:tcPr>
                <w:tcW w:w="118" w:type="pct"/>
                <w:vMerge/>
              </w:tcPr>
              <w:p w14:paraId="701D5E93" w14:textId="77777777" w:rsidR="00E57DAA" w:rsidRDefault="00E57DAA">
                <w:pPr>
                  <w:snapToGrid w:val="0"/>
                  <w:spacing w:line="240" w:lineRule="atLeast"/>
                  <w:jc w:val="center"/>
                  <w:rPr>
                    <w:sz w:val="11"/>
                    <w:szCs w:val="11"/>
                  </w:rPr>
                </w:pPr>
              </w:p>
            </w:tc>
            <w:tc>
              <w:tcPr>
                <w:tcW w:w="415" w:type="pct"/>
                <w:vMerge/>
              </w:tcPr>
              <w:p w14:paraId="31C21F25" w14:textId="77777777" w:rsidR="00E57DAA" w:rsidRDefault="00E57DAA">
                <w:pPr>
                  <w:snapToGrid w:val="0"/>
                  <w:spacing w:line="240" w:lineRule="atLeast"/>
                  <w:jc w:val="center"/>
                  <w:rPr>
                    <w:sz w:val="11"/>
                    <w:szCs w:val="11"/>
                  </w:rPr>
                </w:pPr>
              </w:p>
            </w:tc>
            <w:tc>
              <w:tcPr>
                <w:tcW w:w="149" w:type="pct"/>
                <w:vMerge/>
              </w:tcPr>
              <w:p w14:paraId="7F319E16" w14:textId="77777777" w:rsidR="00E57DAA" w:rsidRDefault="00E57DAA">
                <w:pPr>
                  <w:jc w:val="center"/>
                  <w:rPr>
                    <w:sz w:val="11"/>
                    <w:szCs w:val="11"/>
                  </w:rPr>
                </w:pPr>
              </w:p>
            </w:tc>
            <w:tc>
              <w:tcPr>
                <w:tcW w:w="415" w:type="pct"/>
                <w:vMerge/>
              </w:tcPr>
              <w:p w14:paraId="2D8AB56B" w14:textId="77777777" w:rsidR="00E57DAA" w:rsidRDefault="00E57DAA">
                <w:pPr>
                  <w:jc w:val="center"/>
                  <w:rPr>
                    <w:sz w:val="11"/>
                    <w:szCs w:val="11"/>
                  </w:rPr>
                </w:pPr>
              </w:p>
            </w:tc>
            <w:tc>
              <w:tcPr>
                <w:tcW w:w="395" w:type="pct"/>
                <w:vMerge/>
              </w:tcPr>
              <w:p w14:paraId="3D5E946D" w14:textId="77777777" w:rsidR="00E57DAA" w:rsidRDefault="00E57DAA">
                <w:pPr>
                  <w:jc w:val="center"/>
                  <w:rPr>
                    <w:sz w:val="11"/>
                    <w:szCs w:val="11"/>
                  </w:rPr>
                </w:pPr>
              </w:p>
            </w:tc>
            <w:tc>
              <w:tcPr>
                <w:tcW w:w="415" w:type="pct"/>
                <w:vMerge/>
                <w:tcBorders>
                  <w:bottom w:val="nil"/>
                </w:tcBorders>
              </w:tcPr>
              <w:p w14:paraId="7070E92B" w14:textId="77777777" w:rsidR="00E57DAA" w:rsidRDefault="00E57DAA">
                <w:pPr>
                  <w:jc w:val="center"/>
                  <w:rPr>
                    <w:sz w:val="11"/>
                    <w:szCs w:val="11"/>
                  </w:rPr>
                </w:pPr>
              </w:p>
            </w:tc>
          </w:tr>
          <w:tr w:rsidR="00E57DAA" w14:paraId="30F0B2E1" w14:textId="77777777">
            <w:sdt>
              <w:sdtPr>
                <w:rPr>
                  <w:sz w:val="11"/>
                  <w:szCs w:val="11"/>
                </w:rPr>
                <w:tag w:val="_PLD_24c39056f5874862855dc37ef7f0d558"/>
                <w:id w:val="1877190800"/>
              </w:sdtPr>
              <w:sdtEndPr/>
              <w:sdtContent>
                <w:tc>
                  <w:tcPr>
                    <w:tcW w:w="498" w:type="pct"/>
                  </w:tcPr>
                  <w:p w14:paraId="4F1EB4DD" w14:textId="77777777" w:rsidR="00E57DAA" w:rsidRDefault="00AC4185">
                    <w:pPr>
                      <w:rPr>
                        <w:sz w:val="11"/>
                        <w:szCs w:val="11"/>
                      </w:rPr>
                    </w:pPr>
                    <w:r>
                      <w:rPr>
                        <w:sz w:val="11"/>
                        <w:szCs w:val="11"/>
                      </w:rPr>
                      <w:t>一、上年</w:t>
                    </w:r>
                    <w:r>
                      <w:rPr>
                        <w:rFonts w:hint="eastAsia"/>
                        <w:sz w:val="11"/>
                        <w:szCs w:val="11"/>
                      </w:rPr>
                      <w:t>年</w:t>
                    </w:r>
                    <w:r>
                      <w:rPr>
                        <w:sz w:val="11"/>
                        <w:szCs w:val="11"/>
                      </w:rPr>
                      <w:t>末余额</w:t>
                    </w:r>
                  </w:p>
                </w:tc>
              </w:sdtContent>
            </w:sdt>
            <w:tc>
              <w:tcPr>
                <w:tcW w:w="395" w:type="pct"/>
                <w:vAlign w:val="center"/>
              </w:tcPr>
              <w:p w14:paraId="680D70E1" w14:textId="77777777" w:rsidR="00E57DAA" w:rsidRDefault="00AC4185">
                <w:pPr>
                  <w:jc w:val="right"/>
                  <w:rPr>
                    <w:sz w:val="11"/>
                    <w:szCs w:val="11"/>
                  </w:rPr>
                </w:pPr>
                <w:r>
                  <w:rPr>
                    <w:sz w:val="11"/>
                    <w:szCs w:val="11"/>
                  </w:rPr>
                  <w:t>2,219,082,949.00</w:t>
                </w:r>
              </w:p>
            </w:tc>
            <w:tc>
              <w:tcPr>
                <w:tcW w:w="119" w:type="pct"/>
                <w:vAlign w:val="center"/>
              </w:tcPr>
              <w:p w14:paraId="66B04579" w14:textId="77777777" w:rsidR="00E57DAA" w:rsidRDefault="00E57DAA">
                <w:pPr>
                  <w:jc w:val="right"/>
                  <w:rPr>
                    <w:sz w:val="11"/>
                    <w:szCs w:val="11"/>
                  </w:rPr>
                </w:pPr>
              </w:p>
            </w:tc>
            <w:tc>
              <w:tcPr>
                <w:tcW w:w="119" w:type="pct"/>
                <w:vAlign w:val="center"/>
              </w:tcPr>
              <w:p w14:paraId="136615B7" w14:textId="77777777" w:rsidR="00E57DAA" w:rsidRDefault="00E57DAA">
                <w:pPr>
                  <w:jc w:val="right"/>
                  <w:rPr>
                    <w:sz w:val="11"/>
                    <w:szCs w:val="11"/>
                  </w:rPr>
                </w:pPr>
              </w:p>
            </w:tc>
            <w:tc>
              <w:tcPr>
                <w:tcW w:w="120" w:type="pct"/>
                <w:vAlign w:val="center"/>
              </w:tcPr>
              <w:p w14:paraId="4E5BD064" w14:textId="77777777" w:rsidR="00E57DAA" w:rsidRDefault="00E57DAA">
                <w:pPr>
                  <w:jc w:val="right"/>
                  <w:rPr>
                    <w:sz w:val="11"/>
                    <w:szCs w:val="11"/>
                  </w:rPr>
                </w:pPr>
              </w:p>
            </w:tc>
            <w:tc>
              <w:tcPr>
                <w:tcW w:w="395" w:type="pct"/>
                <w:vAlign w:val="center"/>
              </w:tcPr>
              <w:p w14:paraId="33566E09" w14:textId="77777777" w:rsidR="00E57DAA" w:rsidRDefault="00AC4185">
                <w:pPr>
                  <w:jc w:val="right"/>
                  <w:rPr>
                    <w:sz w:val="11"/>
                    <w:szCs w:val="11"/>
                  </w:rPr>
                </w:pPr>
                <w:r>
                  <w:rPr>
                    <w:sz w:val="11"/>
                    <w:szCs w:val="11"/>
                  </w:rPr>
                  <w:t>302,276,065.24</w:t>
                </w:r>
              </w:p>
            </w:tc>
            <w:tc>
              <w:tcPr>
                <w:tcW w:w="356" w:type="pct"/>
                <w:vAlign w:val="center"/>
              </w:tcPr>
              <w:p w14:paraId="15C823B7" w14:textId="77777777" w:rsidR="00E57DAA" w:rsidRDefault="00E57DAA">
                <w:pPr>
                  <w:jc w:val="right"/>
                  <w:rPr>
                    <w:sz w:val="11"/>
                    <w:szCs w:val="11"/>
                  </w:rPr>
                </w:pPr>
              </w:p>
            </w:tc>
            <w:tc>
              <w:tcPr>
                <w:tcW w:w="379" w:type="pct"/>
                <w:vAlign w:val="center"/>
              </w:tcPr>
              <w:p w14:paraId="3A0EF228" w14:textId="77777777" w:rsidR="00E57DAA" w:rsidRDefault="00AC4185">
                <w:pPr>
                  <w:jc w:val="right"/>
                  <w:rPr>
                    <w:sz w:val="11"/>
                    <w:szCs w:val="11"/>
                  </w:rPr>
                </w:pPr>
                <w:r>
                  <w:rPr>
                    <w:sz w:val="11"/>
                    <w:szCs w:val="11"/>
                  </w:rPr>
                  <w:t>-113,006,712.25</w:t>
                </w:r>
              </w:p>
            </w:tc>
            <w:tc>
              <w:tcPr>
                <w:tcW w:w="356" w:type="pct"/>
                <w:vAlign w:val="center"/>
              </w:tcPr>
              <w:p w14:paraId="6A6CB7BA" w14:textId="77777777" w:rsidR="00E57DAA" w:rsidRDefault="00AC4185">
                <w:pPr>
                  <w:jc w:val="right"/>
                  <w:rPr>
                    <w:sz w:val="11"/>
                    <w:szCs w:val="11"/>
                  </w:rPr>
                </w:pPr>
                <w:r>
                  <w:rPr>
                    <w:sz w:val="11"/>
                    <w:szCs w:val="11"/>
                  </w:rPr>
                  <w:t>236,592,612.10</w:t>
                </w:r>
              </w:p>
            </w:tc>
            <w:tc>
              <w:tcPr>
                <w:tcW w:w="356" w:type="pct"/>
                <w:vAlign w:val="center"/>
              </w:tcPr>
              <w:p w14:paraId="67D15A8C" w14:textId="77777777" w:rsidR="00E57DAA" w:rsidRDefault="00AC4185">
                <w:pPr>
                  <w:jc w:val="right"/>
                  <w:rPr>
                    <w:sz w:val="11"/>
                    <w:szCs w:val="11"/>
                  </w:rPr>
                </w:pPr>
                <w:r>
                  <w:rPr>
                    <w:sz w:val="11"/>
                    <w:szCs w:val="11"/>
                  </w:rPr>
                  <w:t>813,319,077.62</w:t>
                </w:r>
              </w:p>
            </w:tc>
            <w:tc>
              <w:tcPr>
                <w:tcW w:w="118" w:type="pct"/>
                <w:vAlign w:val="center"/>
              </w:tcPr>
              <w:p w14:paraId="658B8FFD" w14:textId="77777777" w:rsidR="00E57DAA" w:rsidRDefault="00E57DAA">
                <w:pPr>
                  <w:jc w:val="right"/>
                  <w:rPr>
                    <w:sz w:val="11"/>
                    <w:szCs w:val="11"/>
                  </w:rPr>
                </w:pPr>
              </w:p>
            </w:tc>
            <w:tc>
              <w:tcPr>
                <w:tcW w:w="415" w:type="pct"/>
                <w:vAlign w:val="center"/>
              </w:tcPr>
              <w:p w14:paraId="361FC2AA" w14:textId="77777777" w:rsidR="00E57DAA" w:rsidRDefault="00AC4185">
                <w:pPr>
                  <w:jc w:val="right"/>
                  <w:rPr>
                    <w:sz w:val="11"/>
                    <w:szCs w:val="11"/>
                  </w:rPr>
                </w:pPr>
                <w:r>
                  <w:rPr>
                    <w:sz w:val="11"/>
                    <w:szCs w:val="11"/>
                  </w:rPr>
                  <w:t>9,808,777,429.66</w:t>
                </w:r>
              </w:p>
            </w:tc>
            <w:tc>
              <w:tcPr>
                <w:tcW w:w="149" w:type="pct"/>
                <w:vAlign w:val="center"/>
              </w:tcPr>
              <w:p w14:paraId="7B7BC0DB" w14:textId="77777777" w:rsidR="00E57DAA" w:rsidRDefault="00E57DAA">
                <w:pPr>
                  <w:jc w:val="right"/>
                  <w:rPr>
                    <w:sz w:val="11"/>
                    <w:szCs w:val="11"/>
                  </w:rPr>
                </w:pPr>
              </w:p>
            </w:tc>
            <w:tc>
              <w:tcPr>
                <w:tcW w:w="415" w:type="pct"/>
                <w:vAlign w:val="center"/>
              </w:tcPr>
              <w:p w14:paraId="55A28E3D" w14:textId="77777777" w:rsidR="00E57DAA" w:rsidRDefault="00AC4185">
                <w:pPr>
                  <w:jc w:val="right"/>
                  <w:rPr>
                    <w:sz w:val="11"/>
                    <w:szCs w:val="11"/>
                  </w:rPr>
                </w:pPr>
                <w:r>
                  <w:rPr>
                    <w:sz w:val="11"/>
                    <w:szCs w:val="11"/>
                  </w:rPr>
                  <w:t>13,267,041,421.37</w:t>
                </w:r>
              </w:p>
            </w:tc>
            <w:tc>
              <w:tcPr>
                <w:tcW w:w="395" w:type="pct"/>
                <w:vAlign w:val="center"/>
              </w:tcPr>
              <w:p w14:paraId="58379D97" w14:textId="77777777" w:rsidR="00E57DAA" w:rsidRDefault="00AC4185">
                <w:pPr>
                  <w:jc w:val="right"/>
                  <w:rPr>
                    <w:sz w:val="11"/>
                    <w:szCs w:val="11"/>
                  </w:rPr>
                </w:pPr>
                <w:r>
                  <w:rPr>
                    <w:sz w:val="11"/>
                    <w:szCs w:val="11"/>
                  </w:rPr>
                  <w:t>561,614,562.03</w:t>
                </w:r>
              </w:p>
            </w:tc>
            <w:tc>
              <w:tcPr>
                <w:tcW w:w="415" w:type="pct"/>
                <w:vAlign w:val="center"/>
              </w:tcPr>
              <w:p w14:paraId="68A5851E" w14:textId="77777777" w:rsidR="00E57DAA" w:rsidRDefault="00AC4185">
                <w:pPr>
                  <w:jc w:val="right"/>
                  <w:rPr>
                    <w:sz w:val="11"/>
                    <w:szCs w:val="11"/>
                  </w:rPr>
                </w:pPr>
                <w:r>
                  <w:rPr>
                    <w:sz w:val="11"/>
                    <w:szCs w:val="11"/>
                  </w:rPr>
                  <w:t>13,828,655,983.40</w:t>
                </w:r>
              </w:p>
            </w:tc>
          </w:tr>
          <w:tr w:rsidR="00E57DAA" w14:paraId="678F6A18" w14:textId="77777777">
            <w:sdt>
              <w:sdtPr>
                <w:rPr>
                  <w:sz w:val="11"/>
                  <w:szCs w:val="11"/>
                </w:rPr>
                <w:tag w:val="_PLD_5feb351bb250466a8fad5b20d2922c70"/>
                <w:id w:val="-39521533"/>
              </w:sdtPr>
              <w:sdtEndPr/>
              <w:sdtContent>
                <w:tc>
                  <w:tcPr>
                    <w:tcW w:w="498" w:type="pct"/>
                  </w:tcPr>
                  <w:p w14:paraId="1D0B398F" w14:textId="77777777" w:rsidR="00E57DAA" w:rsidRDefault="00AC4185">
                    <w:pPr>
                      <w:rPr>
                        <w:sz w:val="11"/>
                        <w:szCs w:val="11"/>
                      </w:rPr>
                    </w:pPr>
                    <w:r>
                      <w:rPr>
                        <w:rFonts w:hint="eastAsia"/>
                        <w:sz w:val="11"/>
                        <w:szCs w:val="11"/>
                      </w:rPr>
                      <w:t>加：</w:t>
                    </w:r>
                    <w:r>
                      <w:rPr>
                        <w:sz w:val="11"/>
                        <w:szCs w:val="11"/>
                      </w:rPr>
                      <w:t>会计政策变更</w:t>
                    </w:r>
                  </w:p>
                </w:tc>
              </w:sdtContent>
            </w:sdt>
            <w:tc>
              <w:tcPr>
                <w:tcW w:w="395" w:type="pct"/>
                <w:vAlign w:val="center"/>
              </w:tcPr>
              <w:p w14:paraId="52ABD1EE" w14:textId="77777777" w:rsidR="00E57DAA" w:rsidRDefault="00E57DAA">
                <w:pPr>
                  <w:jc w:val="right"/>
                  <w:rPr>
                    <w:sz w:val="11"/>
                    <w:szCs w:val="11"/>
                  </w:rPr>
                </w:pPr>
              </w:p>
            </w:tc>
            <w:tc>
              <w:tcPr>
                <w:tcW w:w="119" w:type="pct"/>
                <w:vAlign w:val="center"/>
              </w:tcPr>
              <w:p w14:paraId="24A16D08" w14:textId="77777777" w:rsidR="00E57DAA" w:rsidRDefault="00E57DAA">
                <w:pPr>
                  <w:jc w:val="right"/>
                  <w:rPr>
                    <w:sz w:val="11"/>
                    <w:szCs w:val="11"/>
                  </w:rPr>
                </w:pPr>
              </w:p>
            </w:tc>
            <w:tc>
              <w:tcPr>
                <w:tcW w:w="119" w:type="pct"/>
                <w:vAlign w:val="center"/>
              </w:tcPr>
              <w:p w14:paraId="5FE09004" w14:textId="77777777" w:rsidR="00E57DAA" w:rsidRDefault="00E57DAA">
                <w:pPr>
                  <w:jc w:val="right"/>
                  <w:rPr>
                    <w:sz w:val="11"/>
                    <w:szCs w:val="11"/>
                  </w:rPr>
                </w:pPr>
              </w:p>
            </w:tc>
            <w:tc>
              <w:tcPr>
                <w:tcW w:w="120" w:type="pct"/>
                <w:vAlign w:val="center"/>
              </w:tcPr>
              <w:p w14:paraId="4501C790" w14:textId="77777777" w:rsidR="00E57DAA" w:rsidRDefault="00E57DAA">
                <w:pPr>
                  <w:jc w:val="right"/>
                  <w:rPr>
                    <w:sz w:val="11"/>
                    <w:szCs w:val="11"/>
                  </w:rPr>
                </w:pPr>
              </w:p>
            </w:tc>
            <w:tc>
              <w:tcPr>
                <w:tcW w:w="395" w:type="pct"/>
                <w:vAlign w:val="center"/>
              </w:tcPr>
              <w:p w14:paraId="7051BE8B" w14:textId="77777777" w:rsidR="00E57DAA" w:rsidRDefault="00E57DAA">
                <w:pPr>
                  <w:jc w:val="right"/>
                  <w:rPr>
                    <w:sz w:val="11"/>
                    <w:szCs w:val="11"/>
                  </w:rPr>
                </w:pPr>
              </w:p>
            </w:tc>
            <w:tc>
              <w:tcPr>
                <w:tcW w:w="356" w:type="pct"/>
                <w:vAlign w:val="center"/>
              </w:tcPr>
              <w:p w14:paraId="0B07D588" w14:textId="77777777" w:rsidR="00E57DAA" w:rsidRDefault="00E57DAA">
                <w:pPr>
                  <w:jc w:val="right"/>
                  <w:rPr>
                    <w:sz w:val="11"/>
                    <w:szCs w:val="11"/>
                  </w:rPr>
                </w:pPr>
              </w:p>
            </w:tc>
            <w:tc>
              <w:tcPr>
                <w:tcW w:w="379" w:type="pct"/>
                <w:vAlign w:val="center"/>
              </w:tcPr>
              <w:p w14:paraId="46977FC6" w14:textId="77777777" w:rsidR="00E57DAA" w:rsidRDefault="00E57DAA">
                <w:pPr>
                  <w:jc w:val="right"/>
                  <w:rPr>
                    <w:sz w:val="11"/>
                    <w:szCs w:val="11"/>
                  </w:rPr>
                </w:pPr>
              </w:p>
            </w:tc>
            <w:tc>
              <w:tcPr>
                <w:tcW w:w="356" w:type="pct"/>
                <w:vAlign w:val="center"/>
              </w:tcPr>
              <w:p w14:paraId="3D0D9FB4" w14:textId="77777777" w:rsidR="00E57DAA" w:rsidRDefault="00E57DAA">
                <w:pPr>
                  <w:jc w:val="right"/>
                  <w:rPr>
                    <w:sz w:val="11"/>
                    <w:szCs w:val="11"/>
                  </w:rPr>
                </w:pPr>
              </w:p>
            </w:tc>
            <w:tc>
              <w:tcPr>
                <w:tcW w:w="356" w:type="pct"/>
                <w:vAlign w:val="center"/>
              </w:tcPr>
              <w:p w14:paraId="4EB48EE3" w14:textId="77777777" w:rsidR="00E57DAA" w:rsidRDefault="00AC4185">
                <w:pPr>
                  <w:jc w:val="right"/>
                  <w:rPr>
                    <w:sz w:val="11"/>
                    <w:szCs w:val="11"/>
                  </w:rPr>
                </w:pPr>
                <w:r>
                  <w:rPr>
                    <w:sz w:val="11"/>
                    <w:szCs w:val="11"/>
                  </w:rPr>
                  <w:t>-10,311.46</w:t>
                </w:r>
              </w:p>
            </w:tc>
            <w:tc>
              <w:tcPr>
                <w:tcW w:w="118" w:type="pct"/>
                <w:vAlign w:val="center"/>
              </w:tcPr>
              <w:p w14:paraId="7FDA73C7" w14:textId="77777777" w:rsidR="00E57DAA" w:rsidRDefault="00E57DAA">
                <w:pPr>
                  <w:jc w:val="right"/>
                  <w:rPr>
                    <w:sz w:val="11"/>
                    <w:szCs w:val="11"/>
                  </w:rPr>
                </w:pPr>
              </w:p>
            </w:tc>
            <w:tc>
              <w:tcPr>
                <w:tcW w:w="415" w:type="pct"/>
                <w:vAlign w:val="center"/>
              </w:tcPr>
              <w:p w14:paraId="7A9886E9" w14:textId="77777777" w:rsidR="00E57DAA" w:rsidRDefault="00AC4185">
                <w:pPr>
                  <w:jc w:val="right"/>
                  <w:rPr>
                    <w:sz w:val="11"/>
                    <w:szCs w:val="11"/>
                  </w:rPr>
                </w:pPr>
                <w:r>
                  <w:rPr>
                    <w:sz w:val="11"/>
                    <w:szCs w:val="11"/>
                  </w:rPr>
                  <w:t>105,191.88</w:t>
                </w:r>
              </w:p>
            </w:tc>
            <w:tc>
              <w:tcPr>
                <w:tcW w:w="149" w:type="pct"/>
                <w:vAlign w:val="center"/>
              </w:tcPr>
              <w:p w14:paraId="487C8EF5" w14:textId="77777777" w:rsidR="00E57DAA" w:rsidRDefault="00E57DAA">
                <w:pPr>
                  <w:jc w:val="right"/>
                  <w:rPr>
                    <w:sz w:val="11"/>
                    <w:szCs w:val="11"/>
                  </w:rPr>
                </w:pPr>
              </w:p>
            </w:tc>
            <w:tc>
              <w:tcPr>
                <w:tcW w:w="415" w:type="pct"/>
                <w:vAlign w:val="center"/>
              </w:tcPr>
              <w:p w14:paraId="6D851FA6" w14:textId="77777777" w:rsidR="00E57DAA" w:rsidRDefault="00AC4185">
                <w:pPr>
                  <w:jc w:val="right"/>
                  <w:rPr>
                    <w:sz w:val="11"/>
                    <w:szCs w:val="11"/>
                  </w:rPr>
                </w:pPr>
                <w:r>
                  <w:rPr>
                    <w:sz w:val="11"/>
                    <w:szCs w:val="11"/>
                  </w:rPr>
                  <w:t>94,880.42</w:t>
                </w:r>
              </w:p>
            </w:tc>
            <w:tc>
              <w:tcPr>
                <w:tcW w:w="395" w:type="pct"/>
                <w:vAlign w:val="center"/>
              </w:tcPr>
              <w:p w14:paraId="271C0A8F" w14:textId="77777777" w:rsidR="00E57DAA" w:rsidRDefault="00AC4185">
                <w:pPr>
                  <w:jc w:val="right"/>
                  <w:rPr>
                    <w:sz w:val="11"/>
                    <w:szCs w:val="11"/>
                  </w:rPr>
                </w:pPr>
                <w:r>
                  <w:rPr>
                    <w:sz w:val="11"/>
                    <w:szCs w:val="11"/>
                  </w:rPr>
                  <w:t>110,278.29</w:t>
                </w:r>
              </w:p>
            </w:tc>
            <w:tc>
              <w:tcPr>
                <w:tcW w:w="415" w:type="pct"/>
                <w:vAlign w:val="center"/>
              </w:tcPr>
              <w:p w14:paraId="79CDCF1C" w14:textId="77777777" w:rsidR="00E57DAA" w:rsidRDefault="00AC4185">
                <w:pPr>
                  <w:jc w:val="right"/>
                  <w:rPr>
                    <w:sz w:val="11"/>
                    <w:szCs w:val="11"/>
                  </w:rPr>
                </w:pPr>
                <w:r>
                  <w:rPr>
                    <w:sz w:val="11"/>
                    <w:szCs w:val="11"/>
                  </w:rPr>
                  <w:t>205,158.71</w:t>
                </w:r>
              </w:p>
            </w:tc>
          </w:tr>
          <w:tr w:rsidR="00E57DAA" w14:paraId="74D876E1" w14:textId="77777777">
            <w:sdt>
              <w:sdtPr>
                <w:rPr>
                  <w:sz w:val="11"/>
                  <w:szCs w:val="11"/>
                </w:rPr>
                <w:tag w:val="_PLD_b3480764b7144ae885e5b5b29f4f4705"/>
                <w:id w:val="679005683"/>
              </w:sdtPr>
              <w:sdtEndPr/>
              <w:sdtContent>
                <w:tc>
                  <w:tcPr>
                    <w:tcW w:w="498" w:type="pct"/>
                  </w:tcPr>
                  <w:p w14:paraId="03E5FD8E" w14:textId="77777777" w:rsidR="00E57DAA" w:rsidRDefault="00AC4185">
                    <w:pPr>
                      <w:ind w:firstLineChars="200" w:firstLine="220"/>
                      <w:rPr>
                        <w:sz w:val="11"/>
                        <w:szCs w:val="11"/>
                      </w:rPr>
                    </w:pPr>
                    <w:r>
                      <w:rPr>
                        <w:sz w:val="11"/>
                        <w:szCs w:val="11"/>
                      </w:rPr>
                      <w:t>前期差错更正</w:t>
                    </w:r>
                  </w:p>
                </w:tc>
              </w:sdtContent>
            </w:sdt>
            <w:tc>
              <w:tcPr>
                <w:tcW w:w="395" w:type="pct"/>
                <w:vAlign w:val="center"/>
              </w:tcPr>
              <w:p w14:paraId="293CD41B" w14:textId="77777777" w:rsidR="00E57DAA" w:rsidRDefault="00E57DAA">
                <w:pPr>
                  <w:jc w:val="right"/>
                  <w:rPr>
                    <w:sz w:val="11"/>
                    <w:szCs w:val="11"/>
                  </w:rPr>
                </w:pPr>
              </w:p>
            </w:tc>
            <w:tc>
              <w:tcPr>
                <w:tcW w:w="119" w:type="pct"/>
                <w:vAlign w:val="center"/>
              </w:tcPr>
              <w:p w14:paraId="1DA1C708" w14:textId="77777777" w:rsidR="00E57DAA" w:rsidRDefault="00E57DAA">
                <w:pPr>
                  <w:jc w:val="right"/>
                  <w:rPr>
                    <w:sz w:val="11"/>
                    <w:szCs w:val="11"/>
                  </w:rPr>
                </w:pPr>
              </w:p>
            </w:tc>
            <w:tc>
              <w:tcPr>
                <w:tcW w:w="119" w:type="pct"/>
                <w:vAlign w:val="center"/>
              </w:tcPr>
              <w:p w14:paraId="625D52B9" w14:textId="77777777" w:rsidR="00E57DAA" w:rsidRDefault="00E57DAA">
                <w:pPr>
                  <w:jc w:val="right"/>
                  <w:rPr>
                    <w:sz w:val="11"/>
                    <w:szCs w:val="11"/>
                  </w:rPr>
                </w:pPr>
              </w:p>
            </w:tc>
            <w:tc>
              <w:tcPr>
                <w:tcW w:w="120" w:type="pct"/>
                <w:vAlign w:val="center"/>
              </w:tcPr>
              <w:p w14:paraId="313B74BA" w14:textId="77777777" w:rsidR="00E57DAA" w:rsidRDefault="00E57DAA">
                <w:pPr>
                  <w:jc w:val="right"/>
                  <w:rPr>
                    <w:sz w:val="11"/>
                    <w:szCs w:val="11"/>
                  </w:rPr>
                </w:pPr>
              </w:p>
            </w:tc>
            <w:tc>
              <w:tcPr>
                <w:tcW w:w="395" w:type="pct"/>
                <w:vAlign w:val="center"/>
              </w:tcPr>
              <w:p w14:paraId="50F9BE2A" w14:textId="77777777" w:rsidR="00E57DAA" w:rsidRDefault="00E57DAA">
                <w:pPr>
                  <w:jc w:val="right"/>
                  <w:rPr>
                    <w:sz w:val="11"/>
                    <w:szCs w:val="11"/>
                  </w:rPr>
                </w:pPr>
              </w:p>
            </w:tc>
            <w:tc>
              <w:tcPr>
                <w:tcW w:w="356" w:type="pct"/>
                <w:vAlign w:val="center"/>
              </w:tcPr>
              <w:p w14:paraId="18012CBF" w14:textId="77777777" w:rsidR="00E57DAA" w:rsidRDefault="00E57DAA">
                <w:pPr>
                  <w:jc w:val="right"/>
                  <w:rPr>
                    <w:sz w:val="11"/>
                    <w:szCs w:val="11"/>
                  </w:rPr>
                </w:pPr>
              </w:p>
            </w:tc>
            <w:tc>
              <w:tcPr>
                <w:tcW w:w="379" w:type="pct"/>
                <w:vAlign w:val="center"/>
              </w:tcPr>
              <w:p w14:paraId="001E6CEA" w14:textId="77777777" w:rsidR="00E57DAA" w:rsidRDefault="00E57DAA">
                <w:pPr>
                  <w:jc w:val="right"/>
                  <w:rPr>
                    <w:sz w:val="11"/>
                    <w:szCs w:val="11"/>
                  </w:rPr>
                </w:pPr>
              </w:p>
            </w:tc>
            <w:tc>
              <w:tcPr>
                <w:tcW w:w="356" w:type="pct"/>
                <w:vAlign w:val="center"/>
              </w:tcPr>
              <w:p w14:paraId="2A44F219" w14:textId="77777777" w:rsidR="00E57DAA" w:rsidRDefault="00E57DAA">
                <w:pPr>
                  <w:jc w:val="right"/>
                  <w:rPr>
                    <w:sz w:val="11"/>
                    <w:szCs w:val="11"/>
                  </w:rPr>
                </w:pPr>
              </w:p>
            </w:tc>
            <w:tc>
              <w:tcPr>
                <w:tcW w:w="356" w:type="pct"/>
                <w:vAlign w:val="center"/>
              </w:tcPr>
              <w:p w14:paraId="32087F8D" w14:textId="77777777" w:rsidR="00E57DAA" w:rsidRDefault="00E57DAA">
                <w:pPr>
                  <w:jc w:val="right"/>
                  <w:rPr>
                    <w:sz w:val="11"/>
                    <w:szCs w:val="11"/>
                  </w:rPr>
                </w:pPr>
              </w:p>
            </w:tc>
            <w:tc>
              <w:tcPr>
                <w:tcW w:w="118" w:type="pct"/>
                <w:vAlign w:val="center"/>
              </w:tcPr>
              <w:p w14:paraId="0B121D9E" w14:textId="77777777" w:rsidR="00E57DAA" w:rsidRDefault="00E57DAA">
                <w:pPr>
                  <w:jc w:val="right"/>
                  <w:rPr>
                    <w:sz w:val="11"/>
                    <w:szCs w:val="11"/>
                  </w:rPr>
                </w:pPr>
              </w:p>
            </w:tc>
            <w:tc>
              <w:tcPr>
                <w:tcW w:w="415" w:type="pct"/>
                <w:vAlign w:val="center"/>
              </w:tcPr>
              <w:p w14:paraId="5106DE42" w14:textId="77777777" w:rsidR="00E57DAA" w:rsidRDefault="00E57DAA">
                <w:pPr>
                  <w:jc w:val="right"/>
                  <w:rPr>
                    <w:sz w:val="11"/>
                    <w:szCs w:val="11"/>
                  </w:rPr>
                </w:pPr>
              </w:p>
            </w:tc>
            <w:tc>
              <w:tcPr>
                <w:tcW w:w="149" w:type="pct"/>
                <w:vAlign w:val="center"/>
              </w:tcPr>
              <w:p w14:paraId="0F897C18" w14:textId="77777777" w:rsidR="00E57DAA" w:rsidRDefault="00E57DAA">
                <w:pPr>
                  <w:jc w:val="right"/>
                  <w:rPr>
                    <w:sz w:val="11"/>
                    <w:szCs w:val="11"/>
                  </w:rPr>
                </w:pPr>
              </w:p>
            </w:tc>
            <w:tc>
              <w:tcPr>
                <w:tcW w:w="415" w:type="pct"/>
                <w:vAlign w:val="center"/>
              </w:tcPr>
              <w:p w14:paraId="286A70B3" w14:textId="77777777" w:rsidR="00E57DAA" w:rsidRDefault="00E57DAA">
                <w:pPr>
                  <w:jc w:val="right"/>
                  <w:rPr>
                    <w:sz w:val="11"/>
                    <w:szCs w:val="11"/>
                  </w:rPr>
                </w:pPr>
              </w:p>
            </w:tc>
            <w:tc>
              <w:tcPr>
                <w:tcW w:w="395" w:type="pct"/>
                <w:vAlign w:val="center"/>
              </w:tcPr>
              <w:p w14:paraId="16723D8D" w14:textId="77777777" w:rsidR="00E57DAA" w:rsidRDefault="00E57DAA">
                <w:pPr>
                  <w:jc w:val="right"/>
                  <w:rPr>
                    <w:sz w:val="11"/>
                    <w:szCs w:val="11"/>
                  </w:rPr>
                </w:pPr>
              </w:p>
            </w:tc>
            <w:tc>
              <w:tcPr>
                <w:tcW w:w="415" w:type="pct"/>
                <w:vAlign w:val="center"/>
              </w:tcPr>
              <w:p w14:paraId="37AFF861" w14:textId="77777777" w:rsidR="00E57DAA" w:rsidRDefault="00E57DAA">
                <w:pPr>
                  <w:jc w:val="right"/>
                  <w:rPr>
                    <w:sz w:val="11"/>
                    <w:szCs w:val="11"/>
                  </w:rPr>
                </w:pPr>
              </w:p>
            </w:tc>
          </w:tr>
          <w:tr w:rsidR="00E57DAA" w14:paraId="417CBFC5" w14:textId="77777777">
            <w:sdt>
              <w:sdtPr>
                <w:rPr>
                  <w:sz w:val="11"/>
                  <w:szCs w:val="11"/>
                </w:rPr>
                <w:tag w:val="_PLD_3226061f12cf4cf887adc2639edc13d6"/>
                <w:id w:val="1005326755"/>
              </w:sdtPr>
              <w:sdtEndPr/>
              <w:sdtContent>
                <w:tc>
                  <w:tcPr>
                    <w:tcW w:w="498" w:type="pct"/>
                  </w:tcPr>
                  <w:p w14:paraId="2F55872E" w14:textId="77777777" w:rsidR="00E57DAA" w:rsidRDefault="00AC4185">
                    <w:pPr>
                      <w:ind w:firstLineChars="200" w:firstLine="220"/>
                      <w:rPr>
                        <w:sz w:val="11"/>
                        <w:szCs w:val="11"/>
                      </w:rPr>
                    </w:pPr>
                    <w:r>
                      <w:rPr>
                        <w:rFonts w:hint="eastAsia"/>
                        <w:sz w:val="11"/>
                        <w:szCs w:val="11"/>
                      </w:rPr>
                      <w:t>其他</w:t>
                    </w:r>
                  </w:p>
                </w:tc>
              </w:sdtContent>
            </w:sdt>
            <w:tc>
              <w:tcPr>
                <w:tcW w:w="395" w:type="pct"/>
                <w:vAlign w:val="center"/>
              </w:tcPr>
              <w:p w14:paraId="7F2FC9D9" w14:textId="77777777" w:rsidR="00E57DAA" w:rsidRDefault="00E57DAA">
                <w:pPr>
                  <w:jc w:val="right"/>
                  <w:rPr>
                    <w:sz w:val="11"/>
                    <w:szCs w:val="11"/>
                  </w:rPr>
                </w:pPr>
              </w:p>
            </w:tc>
            <w:tc>
              <w:tcPr>
                <w:tcW w:w="119" w:type="pct"/>
                <w:vAlign w:val="center"/>
              </w:tcPr>
              <w:p w14:paraId="675F7760" w14:textId="77777777" w:rsidR="00E57DAA" w:rsidRDefault="00E57DAA">
                <w:pPr>
                  <w:jc w:val="right"/>
                  <w:rPr>
                    <w:sz w:val="11"/>
                    <w:szCs w:val="11"/>
                  </w:rPr>
                </w:pPr>
              </w:p>
            </w:tc>
            <w:tc>
              <w:tcPr>
                <w:tcW w:w="119" w:type="pct"/>
                <w:vAlign w:val="center"/>
              </w:tcPr>
              <w:p w14:paraId="54738D4B" w14:textId="77777777" w:rsidR="00E57DAA" w:rsidRDefault="00E57DAA">
                <w:pPr>
                  <w:jc w:val="right"/>
                  <w:rPr>
                    <w:sz w:val="11"/>
                    <w:szCs w:val="11"/>
                  </w:rPr>
                </w:pPr>
              </w:p>
            </w:tc>
            <w:tc>
              <w:tcPr>
                <w:tcW w:w="120" w:type="pct"/>
                <w:vAlign w:val="center"/>
              </w:tcPr>
              <w:p w14:paraId="700053E7" w14:textId="77777777" w:rsidR="00E57DAA" w:rsidRDefault="00E57DAA">
                <w:pPr>
                  <w:jc w:val="right"/>
                  <w:rPr>
                    <w:sz w:val="11"/>
                    <w:szCs w:val="11"/>
                  </w:rPr>
                </w:pPr>
              </w:p>
            </w:tc>
            <w:tc>
              <w:tcPr>
                <w:tcW w:w="395" w:type="pct"/>
                <w:vAlign w:val="center"/>
              </w:tcPr>
              <w:p w14:paraId="579FC711" w14:textId="77777777" w:rsidR="00E57DAA" w:rsidRDefault="00AC4185">
                <w:pPr>
                  <w:jc w:val="right"/>
                  <w:rPr>
                    <w:sz w:val="11"/>
                    <w:szCs w:val="11"/>
                  </w:rPr>
                </w:pPr>
                <w:r>
                  <w:rPr>
                    <w:sz w:val="11"/>
                    <w:szCs w:val="11"/>
                  </w:rPr>
                  <w:t>982,602,992.88</w:t>
                </w:r>
              </w:p>
            </w:tc>
            <w:tc>
              <w:tcPr>
                <w:tcW w:w="356" w:type="pct"/>
                <w:vAlign w:val="center"/>
              </w:tcPr>
              <w:p w14:paraId="27A4C4A6" w14:textId="77777777" w:rsidR="00E57DAA" w:rsidRDefault="00E57DAA">
                <w:pPr>
                  <w:jc w:val="right"/>
                  <w:rPr>
                    <w:sz w:val="11"/>
                    <w:szCs w:val="11"/>
                  </w:rPr>
                </w:pPr>
              </w:p>
            </w:tc>
            <w:tc>
              <w:tcPr>
                <w:tcW w:w="379" w:type="pct"/>
                <w:vAlign w:val="center"/>
              </w:tcPr>
              <w:p w14:paraId="7718D63D" w14:textId="77777777" w:rsidR="00E57DAA" w:rsidRDefault="00AC4185">
                <w:pPr>
                  <w:jc w:val="right"/>
                  <w:rPr>
                    <w:sz w:val="11"/>
                    <w:szCs w:val="11"/>
                  </w:rPr>
                </w:pPr>
                <w:r>
                  <w:rPr>
                    <w:sz w:val="11"/>
                    <w:szCs w:val="11"/>
                  </w:rPr>
                  <w:t>-6,196,500.00</w:t>
                </w:r>
              </w:p>
            </w:tc>
            <w:tc>
              <w:tcPr>
                <w:tcW w:w="356" w:type="pct"/>
                <w:vAlign w:val="center"/>
              </w:tcPr>
              <w:p w14:paraId="0EDFDC5F" w14:textId="77777777" w:rsidR="00E57DAA" w:rsidRDefault="00AC4185">
                <w:pPr>
                  <w:jc w:val="right"/>
                  <w:rPr>
                    <w:sz w:val="11"/>
                    <w:szCs w:val="11"/>
                  </w:rPr>
                </w:pPr>
                <w:r>
                  <w:rPr>
                    <w:sz w:val="11"/>
                    <w:szCs w:val="11"/>
                  </w:rPr>
                  <w:t>24,586,400.88</w:t>
                </w:r>
              </w:p>
            </w:tc>
            <w:tc>
              <w:tcPr>
                <w:tcW w:w="356" w:type="pct"/>
                <w:vAlign w:val="center"/>
              </w:tcPr>
              <w:p w14:paraId="3D15E5E1" w14:textId="77777777" w:rsidR="00E57DAA" w:rsidRDefault="00AC4185">
                <w:pPr>
                  <w:jc w:val="right"/>
                  <w:rPr>
                    <w:sz w:val="11"/>
                    <w:szCs w:val="11"/>
                  </w:rPr>
                </w:pPr>
                <w:r>
                  <w:rPr>
                    <w:sz w:val="11"/>
                    <w:szCs w:val="11"/>
                  </w:rPr>
                  <w:t>94,714,204.05</w:t>
                </w:r>
              </w:p>
            </w:tc>
            <w:tc>
              <w:tcPr>
                <w:tcW w:w="118" w:type="pct"/>
                <w:vAlign w:val="center"/>
              </w:tcPr>
              <w:p w14:paraId="0C20B984" w14:textId="77777777" w:rsidR="00E57DAA" w:rsidRDefault="00E57DAA">
                <w:pPr>
                  <w:jc w:val="right"/>
                  <w:rPr>
                    <w:sz w:val="11"/>
                    <w:szCs w:val="11"/>
                  </w:rPr>
                </w:pPr>
              </w:p>
            </w:tc>
            <w:tc>
              <w:tcPr>
                <w:tcW w:w="415" w:type="pct"/>
                <w:vAlign w:val="center"/>
              </w:tcPr>
              <w:p w14:paraId="5E79A916" w14:textId="77777777" w:rsidR="00E57DAA" w:rsidRDefault="00AC4185">
                <w:pPr>
                  <w:jc w:val="right"/>
                  <w:rPr>
                    <w:sz w:val="11"/>
                    <w:szCs w:val="11"/>
                  </w:rPr>
                </w:pPr>
                <w:r>
                  <w:rPr>
                    <w:sz w:val="11"/>
                    <w:szCs w:val="11"/>
                  </w:rPr>
                  <w:t>1,943,899,927.39</w:t>
                </w:r>
              </w:p>
            </w:tc>
            <w:tc>
              <w:tcPr>
                <w:tcW w:w="149" w:type="pct"/>
                <w:vAlign w:val="center"/>
              </w:tcPr>
              <w:p w14:paraId="7C588A4E" w14:textId="77777777" w:rsidR="00E57DAA" w:rsidRDefault="00E57DAA">
                <w:pPr>
                  <w:jc w:val="right"/>
                  <w:rPr>
                    <w:sz w:val="11"/>
                    <w:szCs w:val="11"/>
                  </w:rPr>
                </w:pPr>
              </w:p>
            </w:tc>
            <w:tc>
              <w:tcPr>
                <w:tcW w:w="415" w:type="pct"/>
                <w:vAlign w:val="center"/>
              </w:tcPr>
              <w:p w14:paraId="6BBEBFF4" w14:textId="77777777" w:rsidR="00E57DAA" w:rsidRDefault="00AC4185">
                <w:pPr>
                  <w:jc w:val="right"/>
                  <w:rPr>
                    <w:sz w:val="11"/>
                    <w:szCs w:val="11"/>
                  </w:rPr>
                </w:pPr>
                <w:r>
                  <w:rPr>
                    <w:sz w:val="11"/>
                    <w:szCs w:val="11"/>
                  </w:rPr>
                  <w:t>3,039,607,025.20</w:t>
                </w:r>
              </w:p>
            </w:tc>
            <w:tc>
              <w:tcPr>
                <w:tcW w:w="395" w:type="pct"/>
                <w:vAlign w:val="center"/>
              </w:tcPr>
              <w:p w14:paraId="0FD6E9F5" w14:textId="77777777" w:rsidR="00E57DAA" w:rsidRDefault="00AC4185">
                <w:pPr>
                  <w:jc w:val="right"/>
                  <w:rPr>
                    <w:sz w:val="11"/>
                    <w:szCs w:val="11"/>
                  </w:rPr>
                </w:pPr>
                <w:r>
                  <w:rPr>
                    <w:sz w:val="11"/>
                    <w:szCs w:val="11"/>
                  </w:rPr>
                  <w:t>429,471,111.09</w:t>
                </w:r>
              </w:p>
            </w:tc>
            <w:tc>
              <w:tcPr>
                <w:tcW w:w="415" w:type="pct"/>
                <w:vAlign w:val="center"/>
              </w:tcPr>
              <w:p w14:paraId="42DA0849" w14:textId="77777777" w:rsidR="00E57DAA" w:rsidRDefault="00AC4185">
                <w:pPr>
                  <w:jc w:val="right"/>
                  <w:rPr>
                    <w:sz w:val="11"/>
                    <w:szCs w:val="11"/>
                  </w:rPr>
                </w:pPr>
                <w:r>
                  <w:rPr>
                    <w:sz w:val="11"/>
                    <w:szCs w:val="11"/>
                  </w:rPr>
                  <w:t>3,469,078,136.29</w:t>
                </w:r>
              </w:p>
            </w:tc>
          </w:tr>
          <w:tr w:rsidR="00E57DAA" w14:paraId="074814C6" w14:textId="77777777">
            <w:sdt>
              <w:sdtPr>
                <w:rPr>
                  <w:sz w:val="11"/>
                  <w:szCs w:val="11"/>
                </w:rPr>
                <w:tag w:val="_PLD_6438083d485a4ed1a2cb2a35b3d400f3"/>
                <w:id w:val="-263840577"/>
              </w:sdtPr>
              <w:sdtEndPr/>
              <w:sdtContent>
                <w:tc>
                  <w:tcPr>
                    <w:tcW w:w="498" w:type="pct"/>
                  </w:tcPr>
                  <w:p w14:paraId="69D5CDF1" w14:textId="77777777" w:rsidR="00E57DAA" w:rsidRDefault="00AC4185">
                    <w:pPr>
                      <w:rPr>
                        <w:sz w:val="11"/>
                        <w:szCs w:val="11"/>
                      </w:rPr>
                    </w:pPr>
                    <w:r>
                      <w:rPr>
                        <w:sz w:val="11"/>
                        <w:szCs w:val="11"/>
                      </w:rPr>
                      <w:t>二、本年</w:t>
                    </w:r>
                    <w:r>
                      <w:rPr>
                        <w:rFonts w:hint="eastAsia"/>
                        <w:sz w:val="11"/>
                        <w:szCs w:val="11"/>
                      </w:rPr>
                      <w:t>期</w:t>
                    </w:r>
                    <w:r>
                      <w:rPr>
                        <w:sz w:val="11"/>
                        <w:szCs w:val="11"/>
                      </w:rPr>
                      <w:t>初余额</w:t>
                    </w:r>
                  </w:p>
                </w:tc>
              </w:sdtContent>
            </w:sdt>
            <w:tc>
              <w:tcPr>
                <w:tcW w:w="395" w:type="pct"/>
                <w:vAlign w:val="center"/>
              </w:tcPr>
              <w:p w14:paraId="4A4A8D89" w14:textId="77777777" w:rsidR="00E57DAA" w:rsidRDefault="00AC4185">
                <w:pPr>
                  <w:jc w:val="right"/>
                  <w:rPr>
                    <w:sz w:val="11"/>
                    <w:szCs w:val="11"/>
                  </w:rPr>
                </w:pPr>
                <w:r>
                  <w:rPr>
                    <w:sz w:val="11"/>
                    <w:szCs w:val="11"/>
                  </w:rPr>
                  <w:t>2,219,082,949.00</w:t>
                </w:r>
              </w:p>
            </w:tc>
            <w:tc>
              <w:tcPr>
                <w:tcW w:w="119" w:type="pct"/>
                <w:vAlign w:val="center"/>
              </w:tcPr>
              <w:p w14:paraId="2924ABB2" w14:textId="77777777" w:rsidR="00E57DAA" w:rsidRDefault="00E57DAA">
                <w:pPr>
                  <w:jc w:val="right"/>
                  <w:rPr>
                    <w:sz w:val="11"/>
                    <w:szCs w:val="11"/>
                  </w:rPr>
                </w:pPr>
              </w:p>
            </w:tc>
            <w:tc>
              <w:tcPr>
                <w:tcW w:w="119" w:type="pct"/>
                <w:vAlign w:val="center"/>
              </w:tcPr>
              <w:p w14:paraId="7EDB86DB" w14:textId="77777777" w:rsidR="00E57DAA" w:rsidRDefault="00E57DAA">
                <w:pPr>
                  <w:jc w:val="right"/>
                  <w:rPr>
                    <w:sz w:val="11"/>
                    <w:szCs w:val="11"/>
                  </w:rPr>
                </w:pPr>
              </w:p>
            </w:tc>
            <w:tc>
              <w:tcPr>
                <w:tcW w:w="120" w:type="pct"/>
                <w:vAlign w:val="center"/>
              </w:tcPr>
              <w:p w14:paraId="46D16C6E" w14:textId="77777777" w:rsidR="00E57DAA" w:rsidRDefault="00E57DAA">
                <w:pPr>
                  <w:jc w:val="right"/>
                  <w:rPr>
                    <w:sz w:val="11"/>
                    <w:szCs w:val="11"/>
                  </w:rPr>
                </w:pPr>
              </w:p>
            </w:tc>
            <w:tc>
              <w:tcPr>
                <w:tcW w:w="395" w:type="pct"/>
                <w:vAlign w:val="center"/>
              </w:tcPr>
              <w:p w14:paraId="6B398EF3" w14:textId="77777777" w:rsidR="00E57DAA" w:rsidRDefault="00AC4185">
                <w:pPr>
                  <w:jc w:val="right"/>
                  <w:rPr>
                    <w:sz w:val="11"/>
                    <w:szCs w:val="11"/>
                  </w:rPr>
                </w:pPr>
                <w:r>
                  <w:rPr>
                    <w:sz w:val="11"/>
                    <w:szCs w:val="11"/>
                  </w:rPr>
                  <w:t>1,284,879,058.12</w:t>
                </w:r>
              </w:p>
            </w:tc>
            <w:tc>
              <w:tcPr>
                <w:tcW w:w="356" w:type="pct"/>
                <w:vAlign w:val="center"/>
              </w:tcPr>
              <w:p w14:paraId="1A2DFC10" w14:textId="77777777" w:rsidR="00E57DAA" w:rsidRDefault="00E57DAA">
                <w:pPr>
                  <w:jc w:val="right"/>
                  <w:rPr>
                    <w:sz w:val="11"/>
                    <w:szCs w:val="11"/>
                  </w:rPr>
                </w:pPr>
              </w:p>
            </w:tc>
            <w:tc>
              <w:tcPr>
                <w:tcW w:w="379" w:type="pct"/>
                <w:vAlign w:val="center"/>
              </w:tcPr>
              <w:p w14:paraId="712BA7FC" w14:textId="77777777" w:rsidR="00E57DAA" w:rsidRDefault="00AC4185">
                <w:pPr>
                  <w:jc w:val="right"/>
                  <w:rPr>
                    <w:sz w:val="11"/>
                    <w:szCs w:val="11"/>
                  </w:rPr>
                </w:pPr>
                <w:r>
                  <w:rPr>
                    <w:sz w:val="11"/>
                    <w:szCs w:val="11"/>
                  </w:rPr>
                  <w:t>-119,203,212.25</w:t>
                </w:r>
              </w:p>
            </w:tc>
            <w:tc>
              <w:tcPr>
                <w:tcW w:w="356" w:type="pct"/>
                <w:vAlign w:val="center"/>
              </w:tcPr>
              <w:p w14:paraId="32D854E6" w14:textId="77777777" w:rsidR="00E57DAA" w:rsidRDefault="00AC4185">
                <w:pPr>
                  <w:jc w:val="right"/>
                  <w:rPr>
                    <w:sz w:val="11"/>
                    <w:szCs w:val="11"/>
                  </w:rPr>
                </w:pPr>
                <w:r>
                  <w:rPr>
                    <w:sz w:val="11"/>
                    <w:szCs w:val="11"/>
                  </w:rPr>
                  <w:t>261,179,012.98</w:t>
                </w:r>
              </w:p>
            </w:tc>
            <w:tc>
              <w:tcPr>
                <w:tcW w:w="356" w:type="pct"/>
                <w:vAlign w:val="center"/>
              </w:tcPr>
              <w:p w14:paraId="303DDA31" w14:textId="77777777" w:rsidR="00E57DAA" w:rsidRDefault="00AC4185">
                <w:pPr>
                  <w:jc w:val="right"/>
                  <w:rPr>
                    <w:sz w:val="11"/>
                    <w:szCs w:val="11"/>
                  </w:rPr>
                </w:pPr>
                <w:r>
                  <w:rPr>
                    <w:sz w:val="11"/>
                    <w:szCs w:val="11"/>
                  </w:rPr>
                  <w:t>908,022,970.21</w:t>
                </w:r>
              </w:p>
            </w:tc>
            <w:tc>
              <w:tcPr>
                <w:tcW w:w="118" w:type="pct"/>
                <w:vAlign w:val="center"/>
              </w:tcPr>
              <w:p w14:paraId="4FE84D16" w14:textId="77777777" w:rsidR="00E57DAA" w:rsidRDefault="00E57DAA">
                <w:pPr>
                  <w:jc w:val="right"/>
                  <w:rPr>
                    <w:sz w:val="11"/>
                    <w:szCs w:val="11"/>
                  </w:rPr>
                </w:pPr>
              </w:p>
            </w:tc>
            <w:tc>
              <w:tcPr>
                <w:tcW w:w="415" w:type="pct"/>
                <w:vAlign w:val="center"/>
              </w:tcPr>
              <w:p w14:paraId="1DE2232E" w14:textId="77777777" w:rsidR="00E57DAA" w:rsidRDefault="00AC4185">
                <w:pPr>
                  <w:jc w:val="right"/>
                  <w:rPr>
                    <w:sz w:val="11"/>
                    <w:szCs w:val="11"/>
                  </w:rPr>
                </w:pPr>
                <w:r>
                  <w:rPr>
                    <w:sz w:val="11"/>
                    <w:szCs w:val="11"/>
                  </w:rPr>
                  <w:t>11,752,782,548.93</w:t>
                </w:r>
              </w:p>
            </w:tc>
            <w:tc>
              <w:tcPr>
                <w:tcW w:w="149" w:type="pct"/>
                <w:vAlign w:val="center"/>
              </w:tcPr>
              <w:p w14:paraId="076C5B8E" w14:textId="77777777" w:rsidR="00E57DAA" w:rsidRDefault="00E57DAA">
                <w:pPr>
                  <w:jc w:val="right"/>
                  <w:rPr>
                    <w:sz w:val="11"/>
                    <w:szCs w:val="11"/>
                  </w:rPr>
                </w:pPr>
              </w:p>
            </w:tc>
            <w:tc>
              <w:tcPr>
                <w:tcW w:w="415" w:type="pct"/>
                <w:vAlign w:val="center"/>
              </w:tcPr>
              <w:p w14:paraId="630100C5" w14:textId="77777777" w:rsidR="00E57DAA" w:rsidRDefault="00AC4185">
                <w:pPr>
                  <w:jc w:val="right"/>
                  <w:rPr>
                    <w:sz w:val="11"/>
                    <w:szCs w:val="11"/>
                  </w:rPr>
                </w:pPr>
                <w:r>
                  <w:rPr>
                    <w:sz w:val="11"/>
                    <w:szCs w:val="11"/>
                  </w:rPr>
                  <w:t>16,306,743,326.99</w:t>
                </w:r>
              </w:p>
            </w:tc>
            <w:tc>
              <w:tcPr>
                <w:tcW w:w="395" w:type="pct"/>
                <w:vAlign w:val="center"/>
              </w:tcPr>
              <w:p w14:paraId="38876986" w14:textId="77777777" w:rsidR="00E57DAA" w:rsidRDefault="00AC4185">
                <w:pPr>
                  <w:jc w:val="right"/>
                  <w:rPr>
                    <w:sz w:val="11"/>
                    <w:szCs w:val="11"/>
                  </w:rPr>
                </w:pPr>
                <w:r>
                  <w:rPr>
                    <w:sz w:val="11"/>
                    <w:szCs w:val="11"/>
                  </w:rPr>
                  <w:t>991,195,951.41</w:t>
                </w:r>
              </w:p>
            </w:tc>
            <w:tc>
              <w:tcPr>
                <w:tcW w:w="415" w:type="pct"/>
                <w:vAlign w:val="center"/>
              </w:tcPr>
              <w:p w14:paraId="3DE7F8FF" w14:textId="77777777" w:rsidR="00E57DAA" w:rsidRDefault="00AC4185">
                <w:pPr>
                  <w:jc w:val="right"/>
                  <w:rPr>
                    <w:sz w:val="11"/>
                    <w:szCs w:val="11"/>
                  </w:rPr>
                </w:pPr>
                <w:r>
                  <w:rPr>
                    <w:sz w:val="11"/>
                    <w:szCs w:val="11"/>
                  </w:rPr>
                  <w:t>17,297,939,278.40</w:t>
                </w:r>
              </w:p>
            </w:tc>
          </w:tr>
          <w:tr w:rsidR="00E57DAA" w14:paraId="1A6982FD" w14:textId="77777777">
            <w:sdt>
              <w:sdtPr>
                <w:rPr>
                  <w:sz w:val="11"/>
                  <w:szCs w:val="11"/>
                </w:rPr>
                <w:tag w:val="_PLD_a0d70a8ecfa64251bc0240cb363e3dd7"/>
                <w:id w:val="690341067"/>
              </w:sdtPr>
              <w:sdtEndPr/>
              <w:sdtContent>
                <w:tc>
                  <w:tcPr>
                    <w:tcW w:w="498" w:type="pct"/>
                  </w:tcPr>
                  <w:p w14:paraId="7351A401" w14:textId="77777777" w:rsidR="00E57DAA" w:rsidRDefault="00AC4185">
                    <w:pPr>
                      <w:rPr>
                        <w:sz w:val="11"/>
                        <w:szCs w:val="11"/>
                      </w:rPr>
                    </w:pPr>
                    <w:r>
                      <w:rPr>
                        <w:sz w:val="11"/>
                        <w:szCs w:val="11"/>
                      </w:rPr>
                      <w:t>三、本</w:t>
                    </w:r>
                    <w:r>
                      <w:rPr>
                        <w:rFonts w:hint="eastAsia"/>
                        <w:sz w:val="11"/>
                        <w:szCs w:val="11"/>
                      </w:rPr>
                      <w:t>期</w:t>
                    </w:r>
                    <w:r>
                      <w:rPr>
                        <w:sz w:val="11"/>
                        <w:szCs w:val="11"/>
                      </w:rPr>
                      <w:t>增减变动金额（减少以“－”号填列）</w:t>
                    </w:r>
                  </w:p>
                </w:tc>
              </w:sdtContent>
            </w:sdt>
            <w:tc>
              <w:tcPr>
                <w:tcW w:w="395" w:type="pct"/>
                <w:vAlign w:val="center"/>
              </w:tcPr>
              <w:p w14:paraId="1E0D9D6C" w14:textId="77777777" w:rsidR="00E57DAA" w:rsidRDefault="00AC4185">
                <w:pPr>
                  <w:jc w:val="right"/>
                  <w:rPr>
                    <w:sz w:val="11"/>
                    <w:szCs w:val="11"/>
                  </w:rPr>
                </w:pPr>
                <w:r>
                  <w:rPr>
                    <w:sz w:val="11"/>
                    <w:szCs w:val="11"/>
                  </w:rPr>
                  <w:t>46,549,115.00</w:t>
                </w:r>
              </w:p>
            </w:tc>
            <w:tc>
              <w:tcPr>
                <w:tcW w:w="119" w:type="pct"/>
                <w:vAlign w:val="center"/>
              </w:tcPr>
              <w:p w14:paraId="0B5CF0CF" w14:textId="77777777" w:rsidR="00E57DAA" w:rsidRDefault="00E57DAA">
                <w:pPr>
                  <w:jc w:val="right"/>
                  <w:rPr>
                    <w:sz w:val="11"/>
                    <w:szCs w:val="11"/>
                  </w:rPr>
                </w:pPr>
              </w:p>
            </w:tc>
            <w:tc>
              <w:tcPr>
                <w:tcW w:w="119" w:type="pct"/>
                <w:vAlign w:val="center"/>
              </w:tcPr>
              <w:p w14:paraId="078EEE00" w14:textId="77777777" w:rsidR="00E57DAA" w:rsidRDefault="00E57DAA">
                <w:pPr>
                  <w:jc w:val="right"/>
                  <w:rPr>
                    <w:sz w:val="11"/>
                    <w:szCs w:val="11"/>
                  </w:rPr>
                </w:pPr>
              </w:p>
            </w:tc>
            <w:tc>
              <w:tcPr>
                <w:tcW w:w="120" w:type="pct"/>
                <w:vAlign w:val="center"/>
              </w:tcPr>
              <w:p w14:paraId="114D1D57" w14:textId="77777777" w:rsidR="00E57DAA" w:rsidRDefault="00E57DAA">
                <w:pPr>
                  <w:jc w:val="right"/>
                  <w:rPr>
                    <w:sz w:val="11"/>
                    <w:szCs w:val="11"/>
                  </w:rPr>
                </w:pPr>
              </w:p>
            </w:tc>
            <w:tc>
              <w:tcPr>
                <w:tcW w:w="395" w:type="pct"/>
                <w:vAlign w:val="center"/>
              </w:tcPr>
              <w:p w14:paraId="566B53F1" w14:textId="77777777" w:rsidR="00E57DAA" w:rsidRDefault="00AC4185">
                <w:pPr>
                  <w:jc w:val="right"/>
                  <w:rPr>
                    <w:sz w:val="11"/>
                    <w:szCs w:val="11"/>
                  </w:rPr>
                </w:pPr>
                <w:r>
                  <w:rPr>
                    <w:sz w:val="11"/>
                    <w:szCs w:val="11"/>
                  </w:rPr>
                  <w:t>-101,001,741.24</w:t>
                </w:r>
              </w:p>
            </w:tc>
            <w:tc>
              <w:tcPr>
                <w:tcW w:w="356" w:type="pct"/>
                <w:vAlign w:val="center"/>
              </w:tcPr>
              <w:p w14:paraId="6E802D5F" w14:textId="77777777" w:rsidR="00E57DAA" w:rsidRDefault="00AC4185">
                <w:pPr>
                  <w:jc w:val="right"/>
                  <w:rPr>
                    <w:sz w:val="11"/>
                    <w:szCs w:val="11"/>
                  </w:rPr>
                </w:pPr>
                <w:r>
                  <w:rPr>
                    <w:sz w:val="11"/>
                    <w:szCs w:val="11"/>
                  </w:rPr>
                  <w:t>267,191,920.55</w:t>
                </w:r>
              </w:p>
            </w:tc>
            <w:tc>
              <w:tcPr>
                <w:tcW w:w="379" w:type="pct"/>
                <w:vAlign w:val="center"/>
              </w:tcPr>
              <w:p w14:paraId="46599A22" w14:textId="77777777" w:rsidR="00E57DAA" w:rsidRDefault="00AC4185">
                <w:pPr>
                  <w:jc w:val="right"/>
                  <w:rPr>
                    <w:sz w:val="11"/>
                    <w:szCs w:val="11"/>
                  </w:rPr>
                </w:pPr>
                <w:r>
                  <w:rPr>
                    <w:sz w:val="11"/>
                    <w:szCs w:val="11"/>
                  </w:rPr>
                  <w:t>19,526,089.02</w:t>
                </w:r>
              </w:p>
            </w:tc>
            <w:tc>
              <w:tcPr>
                <w:tcW w:w="356" w:type="pct"/>
                <w:vAlign w:val="center"/>
              </w:tcPr>
              <w:p w14:paraId="767AF7AB" w14:textId="77777777" w:rsidR="00E57DAA" w:rsidRDefault="00AC4185">
                <w:pPr>
                  <w:jc w:val="right"/>
                  <w:rPr>
                    <w:sz w:val="11"/>
                    <w:szCs w:val="11"/>
                  </w:rPr>
                </w:pPr>
                <w:r>
                  <w:rPr>
                    <w:sz w:val="11"/>
                    <w:szCs w:val="11"/>
                  </w:rPr>
                  <w:t>30,034,191.12</w:t>
                </w:r>
              </w:p>
            </w:tc>
            <w:tc>
              <w:tcPr>
                <w:tcW w:w="356" w:type="pct"/>
                <w:vAlign w:val="center"/>
              </w:tcPr>
              <w:p w14:paraId="667C5BD9" w14:textId="77777777" w:rsidR="00E57DAA" w:rsidRDefault="00AC4185">
                <w:pPr>
                  <w:jc w:val="right"/>
                  <w:rPr>
                    <w:sz w:val="11"/>
                    <w:szCs w:val="11"/>
                  </w:rPr>
                </w:pPr>
                <w:r>
                  <w:rPr>
                    <w:sz w:val="11"/>
                    <w:szCs w:val="11"/>
                  </w:rPr>
                  <w:t>68,725,223.71</w:t>
                </w:r>
              </w:p>
            </w:tc>
            <w:tc>
              <w:tcPr>
                <w:tcW w:w="118" w:type="pct"/>
                <w:vAlign w:val="center"/>
              </w:tcPr>
              <w:p w14:paraId="4BDC7012" w14:textId="77777777" w:rsidR="00E57DAA" w:rsidRDefault="00E57DAA">
                <w:pPr>
                  <w:jc w:val="right"/>
                  <w:rPr>
                    <w:sz w:val="11"/>
                    <w:szCs w:val="11"/>
                  </w:rPr>
                </w:pPr>
              </w:p>
            </w:tc>
            <w:tc>
              <w:tcPr>
                <w:tcW w:w="415" w:type="pct"/>
                <w:vAlign w:val="center"/>
              </w:tcPr>
              <w:p w14:paraId="62C42D04" w14:textId="77777777" w:rsidR="00E57DAA" w:rsidRDefault="00AC4185">
                <w:pPr>
                  <w:jc w:val="right"/>
                  <w:rPr>
                    <w:sz w:val="11"/>
                    <w:szCs w:val="11"/>
                  </w:rPr>
                </w:pPr>
                <w:r>
                  <w:rPr>
                    <w:sz w:val="11"/>
                    <w:szCs w:val="11"/>
                  </w:rPr>
                  <w:t>1,325,018,620.09</w:t>
                </w:r>
              </w:p>
            </w:tc>
            <w:tc>
              <w:tcPr>
                <w:tcW w:w="149" w:type="pct"/>
                <w:vAlign w:val="center"/>
              </w:tcPr>
              <w:p w14:paraId="1AFFE16D" w14:textId="77777777" w:rsidR="00E57DAA" w:rsidRDefault="00E57DAA">
                <w:pPr>
                  <w:jc w:val="right"/>
                  <w:rPr>
                    <w:sz w:val="11"/>
                    <w:szCs w:val="11"/>
                  </w:rPr>
                </w:pPr>
              </w:p>
            </w:tc>
            <w:tc>
              <w:tcPr>
                <w:tcW w:w="415" w:type="pct"/>
                <w:vAlign w:val="center"/>
              </w:tcPr>
              <w:p w14:paraId="6577C672" w14:textId="77777777" w:rsidR="00E57DAA" w:rsidRDefault="00AC4185">
                <w:pPr>
                  <w:jc w:val="right"/>
                  <w:rPr>
                    <w:sz w:val="11"/>
                    <w:szCs w:val="11"/>
                  </w:rPr>
                </w:pPr>
                <w:r>
                  <w:rPr>
                    <w:sz w:val="11"/>
                    <w:szCs w:val="11"/>
                  </w:rPr>
                  <w:t>1,121,659,577.15</w:t>
                </w:r>
              </w:p>
            </w:tc>
            <w:tc>
              <w:tcPr>
                <w:tcW w:w="395" w:type="pct"/>
                <w:vAlign w:val="center"/>
              </w:tcPr>
              <w:p w14:paraId="3F04F7EE" w14:textId="77777777" w:rsidR="00E57DAA" w:rsidRDefault="00AC4185">
                <w:pPr>
                  <w:jc w:val="right"/>
                  <w:rPr>
                    <w:sz w:val="11"/>
                    <w:szCs w:val="11"/>
                  </w:rPr>
                </w:pPr>
                <w:r>
                  <w:rPr>
                    <w:sz w:val="11"/>
                    <w:szCs w:val="11"/>
                  </w:rPr>
                  <w:t>438,543,599.97</w:t>
                </w:r>
              </w:p>
            </w:tc>
            <w:tc>
              <w:tcPr>
                <w:tcW w:w="415" w:type="pct"/>
                <w:vAlign w:val="center"/>
              </w:tcPr>
              <w:p w14:paraId="3CA82A3F" w14:textId="77777777" w:rsidR="00E57DAA" w:rsidRDefault="00AC4185">
                <w:pPr>
                  <w:jc w:val="right"/>
                  <w:rPr>
                    <w:sz w:val="11"/>
                    <w:szCs w:val="11"/>
                  </w:rPr>
                </w:pPr>
                <w:r>
                  <w:rPr>
                    <w:sz w:val="11"/>
                    <w:szCs w:val="11"/>
                  </w:rPr>
                  <w:t>1,560,203,177.12</w:t>
                </w:r>
              </w:p>
            </w:tc>
          </w:tr>
          <w:tr w:rsidR="00E57DAA" w14:paraId="37288A1E" w14:textId="77777777">
            <w:sdt>
              <w:sdtPr>
                <w:rPr>
                  <w:sz w:val="11"/>
                  <w:szCs w:val="11"/>
                </w:rPr>
                <w:tag w:val="_PLD_d3b5283bf10a4a3c8882e3f3c30046c5"/>
                <w:id w:val="296888748"/>
              </w:sdtPr>
              <w:sdtEndPr/>
              <w:sdtContent>
                <w:tc>
                  <w:tcPr>
                    <w:tcW w:w="498" w:type="pct"/>
                  </w:tcPr>
                  <w:p w14:paraId="5CD2DE0E" w14:textId="77777777" w:rsidR="00E57DAA" w:rsidRDefault="00AC4185">
                    <w:pPr>
                      <w:rPr>
                        <w:sz w:val="11"/>
                        <w:szCs w:val="11"/>
                      </w:rPr>
                    </w:pPr>
                    <w:r>
                      <w:rPr>
                        <w:rFonts w:hint="eastAsia"/>
                        <w:sz w:val="11"/>
                        <w:szCs w:val="11"/>
                      </w:rPr>
                      <w:t>（一）综合收益总额</w:t>
                    </w:r>
                  </w:p>
                </w:tc>
              </w:sdtContent>
            </w:sdt>
            <w:tc>
              <w:tcPr>
                <w:tcW w:w="395" w:type="pct"/>
                <w:vAlign w:val="center"/>
              </w:tcPr>
              <w:p w14:paraId="209D9721" w14:textId="77777777" w:rsidR="00E57DAA" w:rsidRDefault="00E57DAA">
                <w:pPr>
                  <w:jc w:val="right"/>
                  <w:rPr>
                    <w:sz w:val="11"/>
                    <w:szCs w:val="11"/>
                  </w:rPr>
                </w:pPr>
              </w:p>
            </w:tc>
            <w:tc>
              <w:tcPr>
                <w:tcW w:w="119" w:type="pct"/>
                <w:vAlign w:val="center"/>
              </w:tcPr>
              <w:p w14:paraId="58BB90DF" w14:textId="77777777" w:rsidR="00E57DAA" w:rsidRDefault="00E57DAA">
                <w:pPr>
                  <w:jc w:val="right"/>
                  <w:rPr>
                    <w:sz w:val="11"/>
                    <w:szCs w:val="11"/>
                  </w:rPr>
                </w:pPr>
              </w:p>
            </w:tc>
            <w:tc>
              <w:tcPr>
                <w:tcW w:w="119" w:type="pct"/>
                <w:vAlign w:val="center"/>
              </w:tcPr>
              <w:p w14:paraId="2EB1AA95" w14:textId="77777777" w:rsidR="00E57DAA" w:rsidRDefault="00E57DAA">
                <w:pPr>
                  <w:jc w:val="right"/>
                  <w:rPr>
                    <w:sz w:val="11"/>
                    <w:szCs w:val="11"/>
                  </w:rPr>
                </w:pPr>
              </w:p>
            </w:tc>
            <w:tc>
              <w:tcPr>
                <w:tcW w:w="120" w:type="pct"/>
                <w:vAlign w:val="center"/>
              </w:tcPr>
              <w:p w14:paraId="70E9DB5C" w14:textId="77777777" w:rsidR="00E57DAA" w:rsidRDefault="00E57DAA">
                <w:pPr>
                  <w:jc w:val="right"/>
                  <w:rPr>
                    <w:sz w:val="11"/>
                    <w:szCs w:val="11"/>
                  </w:rPr>
                </w:pPr>
              </w:p>
            </w:tc>
            <w:tc>
              <w:tcPr>
                <w:tcW w:w="395" w:type="pct"/>
                <w:vAlign w:val="center"/>
              </w:tcPr>
              <w:p w14:paraId="56915254" w14:textId="77777777" w:rsidR="00E57DAA" w:rsidRDefault="00E57DAA">
                <w:pPr>
                  <w:jc w:val="right"/>
                  <w:rPr>
                    <w:sz w:val="11"/>
                    <w:szCs w:val="11"/>
                  </w:rPr>
                </w:pPr>
              </w:p>
            </w:tc>
            <w:tc>
              <w:tcPr>
                <w:tcW w:w="356" w:type="pct"/>
                <w:vAlign w:val="center"/>
              </w:tcPr>
              <w:p w14:paraId="20104EBD" w14:textId="77777777" w:rsidR="00E57DAA" w:rsidRDefault="00E57DAA">
                <w:pPr>
                  <w:jc w:val="right"/>
                  <w:rPr>
                    <w:sz w:val="11"/>
                    <w:szCs w:val="11"/>
                  </w:rPr>
                </w:pPr>
              </w:p>
            </w:tc>
            <w:tc>
              <w:tcPr>
                <w:tcW w:w="379" w:type="pct"/>
                <w:vAlign w:val="center"/>
              </w:tcPr>
              <w:p w14:paraId="2CA9638E" w14:textId="77777777" w:rsidR="00E57DAA" w:rsidRDefault="00AC4185">
                <w:pPr>
                  <w:jc w:val="right"/>
                  <w:rPr>
                    <w:sz w:val="11"/>
                    <w:szCs w:val="11"/>
                  </w:rPr>
                </w:pPr>
                <w:r>
                  <w:rPr>
                    <w:sz w:val="11"/>
                    <w:szCs w:val="11"/>
                  </w:rPr>
                  <w:t>19,526,089.02</w:t>
                </w:r>
              </w:p>
            </w:tc>
            <w:tc>
              <w:tcPr>
                <w:tcW w:w="356" w:type="pct"/>
                <w:vAlign w:val="center"/>
              </w:tcPr>
              <w:p w14:paraId="795D0F95" w14:textId="77777777" w:rsidR="00E57DAA" w:rsidRDefault="00E57DAA">
                <w:pPr>
                  <w:jc w:val="right"/>
                  <w:rPr>
                    <w:sz w:val="11"/>
                    <w:szCs w:val="11"/>
                  </w:rPr>
                </w:pPr>
              </w:p>
            </w:tc>
            <w:tc>
              <w:tcPr>
                <w:tcW w:w="356" w:type="pct"/>
                <w:vAlign w:val="center"/>
              </w:tcPr>
              <w:p w14:paraId="022BAE89" w14:textId="77777777" w:rsidR="00E57DAA" w:rsidRDefault="00E57DAA">
                <w:pPr>
                  <w:jc w:val="right"/>
                  <w:rPr>
                    <w:sz w:val="11"/>
                    <w:szCs w:val="11"/>
                  </w:rPr>
                </w:pPr>
              </w:p>
            </w:tc>
            <w:tc>
              <w:tcPr>
                <w:tcW w:w="118" w:type="pct"/>
                <w:vAlign w:val="center"/>
              </w:tcPr>
              <w:p w14:paraId="60D3645B" w14:textId="77777777" w:rsidR="00E57DAA" w:rsidRDefault="00E57DAA">
                <w:pPr>
                  <w:jc w:val="right"/>
                  <w:rPr>
                    <w:sz w:val="11"/>
                    <w:szCs w:val="11"/>
                  </w:rPr>
                </w:pPr>
              </w:p>
            </w:tc>
            <w:tc>
              <w:tcPr>
                <w:tcW w:w="415" w:type="pct"/>
                <w:vAlign w:val="center"/>
              </w:tcPr>
              <w:p w14:paraId="28BDE5CF" w14:textId="77777777" w:rsidR="00E57DAA" w:rsidRDefault="00AC4185">
                <w:pPr>
                  <w:jc w:val="right"/>
                  <w:rPr>
                    <w:sz w:val="11"/>
                    <w:szCs w:val="11"/>
                  </w:rPr>
                </w:pPr>
                <w:r>
                  <w:rPr>
                    <w:sz w:val="11"/>
                    <w:szCs w:val="11"/>
                  </w:rPr>
                  <w:t>2,541,219,862.18</w:t>
                </w:r>
              </w:p>
            </w:tc>
            <w:tc>
              <w:tcPr>
                <w:tcW w:w="149" w:type="pct"/>
                <w:vAlign w:val="center"/>
              </w:tcPr>
              <w:p w14:paraId="1825EC26" w14:textId="77777777" w:rsidR="00E57DAA" w:rsidRDefault="00E57DAA">
                <w:pPr>
                  <w:jc w:val="right"/>
                  <w:rPr>
                    <w:sz w:val="11"/>
                    <w:szCs w:val="11"/>
                  </w:rPr>
                </w:pPr>
              </w:p>
            </w:tc>
            <w:tc>
              <w:tcPr>
                <w:tcW w:w="415" w:type="pct"/>
                <w:vAlign w:val="center"/>
              </w:tcPr>
              <w:p w14:paraId="01E13F41" w14:textId="77777777" w:rsidR="00E57DAA" w:rsidRDefault="00AC4185">
                <w:pPr>
                  <w:jc w:val="right"/>
                  <w:rPr>
                    <w:sz w:val="11"/>
                    <w:szCs w:val="11"/>
                  </w:rPr>
                </w:pPr>
                <w:r>
                  <w:rPr>
                    <w:sz w:val="11"/>
                    <w:szCs w:val="11"/>
                  </w:rPr>
                  <w:t>2,560,745,951.20</w:t>
                </w:r>
              </w:p>
            </w:tc>
            <w:tc>
              <w:tcPr>
                <w:tcW w:w="395" w:type="pct"/>
                <w:vAlign w:val="center"/>
              </w:tcPr>
              <w:p w14:paraId="39446519" w14:textId="77777777" w:rsidR="00E57DAA" w:rsidRDefault="00AC4185">
                <w:pPr>
                  <w:jc w:val="right"/>
                  <w:rPr>
                    <w:sz w:val="11"/>
                    <w:szCs w:val="11"/>
                  </w:rPr>
                </w:pPr>
                <w:r>
                  <w:rPr>
                    <w:sz w:val="11"/>
                    <w:szCs w:val="11"/>
                  </w:rPr>
                  <w:t>284,442,649.06</w:t>
                </w:r>
              </w:p>
            </w:tc>
            <w:tc>
              <w:tcPr>
                <w:tcW w:w="415" w:type="pct"/>
                <w:vAlign w:val="center"/>
              </w:tcPr>
              <w:p w14:paraId="0FE74AAD" w14:textId="77777777" w:rsidR="00E57DAA" w:rsidRDefault="00AC4185">
                <w:pPr>
                  <w:jc w:val="right"/>
                  <w:rPr>
                    <w:sz w:val="11"/>
                    <w:szCs w:val="11"/>
                  </w:rPr>
                </w:pPr>
                <w:r>
                  <w:rPr>
                    <w:sz w:val="11"/>
                    <w:szCs w:val="11"/>
                  </w:rPr>
                  <w:t>2,845,188,600.26</w:t>
                </w:r>
              </w:p>
            </w:tc>
          </w:tr>
          <w:tr w:rsidR="00E57DAA" w14:paraId="18FE29BE" w14:textId="77777777">
            <w:sdt>
              <w:sdtPr>
                <w:rPr>
                  <w:sz w:val="11"/>
                  <w:szCs w:val="11"/>
                </w:rPr>
                <w:tag w:val="_PLD_ecb1a0919fe148e5893e9977ac112e36"/>
                <w:id w:val="-133187025"/>
              </w:sdtPr>
              <w:sdtEndPr/>
              <w:sdtContent>
                <w:tc>
                  <w:tcPr>
                    <w:tcW w:w="498" w:type="pct"/>
                  </w:tcPr>
                  <w:p w14:paraId="29476E60" w14:textId="77777777" w:rsidR="00E57DAA" w:rsidRDefault="00AC4185">
                    <w:pPr>
                      <w:rPr>
                        <w:sz w:val="11"/>
                        <w:szCs w:val="11"/>
                      </w:rPr>
                    </w:pPr>
                    <w:r>
                      <w:rPr>
                        <w:sz w:val="11"/>
                        <w:szCs w:val="11"/>
                      </w:rPr>
                      <w:t>（</w:t>
                    </w:r>
                    <w:r>
                      <w:rPr>
                        <w:rFonts w:hint="eastAsia"/>
                        <w:sz w:val="11"/>
                        <w:szCs w:val="11"/>
                      </w:rPr>
                      <w:t>二</w:t>
                    </w:r>
                    <w:r>
                      <w:rPr>
                        <w:sz w:val="11"/>
                        <w:szCs w:val="11"/>
                      </w:rPr>
                      <w:t>）所有者投入和减少资本</w:t>
                    </w:r>
                  </w:p>
                </w:tc>
              </w:sdtContent>
            </w:sdt>
            <w:tc>
              <w:tcPr>
                <w:tcW w:w="395" w:type="pct"/>
                <w:vAlign w:val="center"/>
              </w:tcPr>
              <w:p w14:paraId="34622BAC" w14:textId="77777777" w:rsidR="00E57DAA" w:rsidRDefault="00AC4185">
                <w:pPr>
                  <w:jc w:val="right"/>
                  <w:rPr>
                    <w:sz w:val="11"/>
                    <w:szCs w:val="11"/>
                  </w:rPr>
                </w:pPr>
                <w:r>
                  <w:rPr>
                    <w:sz w:val="11"/>
                    <w:szCs w:val="11"/>
                  </w:rPr>
                  <w:t>46,549,115.00</w:t>
                </w:r>
              </w:p>
            </w:tc>
            <w:tc>
              <w:tcPr>
                <w:tcW w:w="119" w:type="pct"/>
                <w:vAlign w:val="center"/>
              </w:tcPr>
              <w:p w14:paraId="3532344F" w14:textId="77777777" w:rsidR="00E57DAA" w:rsidRDefault="00E57DAA">
                <w:pPr>
                  <w:jc w:val="right"/>
                  <w:rPr>
                    <w:sz w:val="11"/>
                    <w:szCs w:val="11"/>
                  </w:rPr>
                </w:pPr>
              </w:p>
            </w:tc>
            <w:tc>
              <w:tcPr>
                <w:tcW w:w="119" w:type="pct"/>
                <w:vAlign w:val="center"/>
              </w:tcPr>
              <w:p w14:paraId="620D97D5" w14:textId="77777777" w:rsidR="00E57DAA" w:rsidRDefault="00E57DAA">
                <w:pPr>
                  <w:jc w:val="right"/>
                  <w:rPr>
                    <w:sz w:val="11"/>
                    <w:szCs w:val="11"/>
                  </w:rPr>
                </w:pPr>
              </w:p>
            </w:tc>
            <w:tc>
              <w:tcPr>
                <w:tcW w:w="120" w:type="pct"/>
                <w:vAlign w:val="center"/>
              </w:tcPr>
              <w:p w14:paraId="3E86BE1D" w14:textId="77777777" w:rsidR="00E57DAA" w:rsidRDefault="00E57DAA">
                <w:pPr>
                  <w:jc w:val="right"/>
                  <w:rPr>
                    <w:sz w:val="11"/>
                    <w:szCs w:val="11"/>
                  </w:rPr>
                </w:pPr>
              </w:p>
            </w:tc>
            <w:tc>
              <w:tcPr>
                <w:tcW w:w="395" w:type="pct"/>
                <w:vAlign w:val="center"/>
              </w:tcPr>
              <w:p w14:paraId="5238426A" w14:textId="77777777" w:rsidR="00E57DAA" w:rsidRDefault="00AC4185">
                <w:pPr>
                  <w:jc w:val="right"/>
                  <w:rPr>
                    <w:sz w:val="11"/>
                    <w:szCs w:val="11"/>
                  </w:rPr>
                </w:pPr>
                <w:r>
                  <w:rPr>
                    <w:sz w:val="11"/>
                    <w:szCs w:val="11"/>
                  </w:rPr>
                  <w:t>-101,003,488.68</w:t>
                </w:r>
              </w:p>
            </w:tc>
            <w:tc>
              <w:tcPr>
                <w:tcW w:w="356" w:type="pct"/>
                <w:vAlign w:val="center"/>
              </w:tcPr>
              <w:p w14:paraId="5358BB37" w14:textId="77777777" w:rsidR="00E57DAA" w:rsidRDefault="00AC4185">
                <w:pPr>
                  <w:jc w:val="right"/>
                  <w:rPr>
                    <w:sz w:val="11"/>
                    <w:szCs w:val="11"/>
                  </w:rPr>
                </w:pPr>
                <w:r>
                  <w:rPr>
                    <w:sz w:val="11"/>
                    <w:szCs w:val="11"/>
                  </w:rPr>
                  <w:t>267,191,920.55</w:t>
                </w:r>
              </w:p>
            </w:tc>
            <w:tc>
              <w:tcPr>
                <w:tcW w:w="379" w:type="pct"/>
                <w:vAlign w:val="center"/>
              </w:tcPr>
              <w:p w14:paraId="0E131D9A" w14:textId="77777777" w:rsidR="00E57DAA" w:rsidRDefault="00E57DAA">
                <w:pPr>
                  <w:jc w:val="right"/>
                  <w:rPr>
                    <w:sz w:val="11"/>
                    <w:szCs w:val="11"/>
                  </w:rPr>
                </w:pPr>
              </w:p>
            </w:tc>
            <w:tc>
              <w:tcPr>
                <w:tcW w:w="356" w:type="pct"/>
                <w:vAlign w:val="center"/>
              </w:tcPr>
              <w:p w14:paraId="0E6350A6" w14:textId="77777777" w:rsidR="00E57DAA" w:rsidRDefault="00E57DAA">
                <w:pPr>
                  <w:jc w:val="right"/>
                  <w:rPr>
                    <w:sz w:val="11"/>
                    <w:szCs w:val="11"/>
                  </w:rPr>
                </w:pPr>
              </w:p>
            </w:tc>
            <w:tc>
              <w:tcPr>
                <w:tcW w:w="356" w:type="pct"/>
                <w:vAlign w:val="center"/>
              </w:tcPr>
              <w:p w14:paraId="1319B085" w14:textId="77777777" w:rsidR="00E57DAA" w:rsidRDefault="00E57DAA">
                <w:pPr>
                  <w:jc w:val="right"/>
                  <w:rPr>
                    <w:sz w:val="11"/>
                    <w:szCs w:val="11"/>
                  </w:rPr>
                </w:pPr>
              </w:p>
            </w:tc>
            <w:tc>
              <w:tcPr>
                <w:tcW w:w="118" w:type="pct"/>
                <w:vAlign w:val="center"/>
              </w:tcPr>
              <w:p w14:paraId="5B95AB57" w14:textId="77777777" w:rsidR="00E57DAA" w:rsidRDefault="00E57DAA">
                <w:pPr>
                  <w:jc w:val="right"/>
                  <w:rPr>
                    <w:sz w:val="11"/>
                    <w:szCs w:val="11"/>
                  </w:rPr>
                </w:pPr>
              </w:p>
            </w:tc>
            <w:tc>
              <w:tcPr>
                <w:tcW w:w="415" w:type="pct"/>
                <w:vAlign w:val="center"/>
              </w:tcPr>
              <w:p w14:paraId="17DB1E52" w14:textId="77777777" w:rsidR="00E57DAA" w:rsidRDefault="00AC4185">
                <w:pPr>
                  <w:jc w:val="right"/>
                  <w:rPr>
                    <w:sz w:val="11"/>
                    <w:szCs w:val="11"/>
                  </w:rPr>
                </w:pPr>
                <w:r>
                  <w:rPr>
                    <w:sz w:val="11"/>
                    <w:szCs w:val="11"/>
                  </w:rPr>
                  <w:t>-140,643.67</w:t>
                </w:r>
              </w:p>
            </w:tc>
            <w:tc>
              <w:tcPr>
                <w:tcW w:w="149" w:type="pct"/>
                <w:vAlign w:val="center"/>
              </w:tcPr>
              <w:p w14:paraId="4C26F0FA" w14:textId="77777777" w:rsidR="00E57DAA" w:rsidRDefault="00E57DAA">
                <w:pPr>
                  <w:jc w:val="right"/>
                  <w:rPr>
                    <w:sz w:val="11"/>
                    <w:szCs w:val="11"/>
                  </w:rPr>
                </w:pPr>
              </w:p>
            </w:tc>
            <w:tc>
              <w:tcPr>
                <w:tcW w:w="415" w:type="pct"/>
                <w:vAlign w:val="center"/>
              </w:tcPr>
              <w:p w14:paraId="0CF781B6" w14:textId="77777777" w:rsidR="00E57DAA" w:rsidRDefault="00AC4185">
                <w:pPr>
                  <w:jc w:val="right"/>
                  <w:rPr>
                    <w:sz w:val="11"/>
                    <w:szCs w:val="11"/>
                  </w:rPr>
                </w:pPr>
                <w:r>
                  <w:rPr>
                    <w:sz w:val="11"/>
                    <w:szCs w:val="11"/>
                  </w:rPr>
                  <w:t>-321,786,937.90</w:t>
                </w:r>
              </w:p>
            </w:tc>
            <w:tc>
              <w:tcPr>
                <w:tcW w:w="395" w:type="pct"/>
                <w:vAlign w:val="center"/>
              </w:tcPr>
              <w:p w14:paraId="0E37E342" w14:textId="77777777" w:rsidR="00E57DAA" w:rsidRDefault="00AC4185">
                <w:pPr>
                  <w:jc w:val="right"/>
                  <w:rPr>
                    <w:sz w:val="11"/>
                    <w:szCs w:val="11"/>
                  </w:rPr>
                </w:pPr>
                <w:r>
                  <w:rPr>
                    <w:sz w:val="11"/>
                    <w:szCs w:val="11"/>
                  </w:rPr>
                  <w:t>320,210,359.11</w:t>
                </w:r>
              </w:p>
            </w:tc>
            <w:tc>
              <w:tcPr>
                <w:tcW w:w="415" w:type="pct"/>
                <w:vAlign w:val="center"/>
              </w:tcPr>
              <w:p w14:paraId="1116210A" w14:textId="77777777" w:rsidR="00E57DAA" w:rsidRDefault="00AC4185">
                <w:pPr>
                  <w:jc w:val="right"/>
                  <w:rPr>
                    <w:sz w:val="11"/>
                    <w:szCs w:val="11"/>
                  </w:rPr>
                </w:pPr>
                <w:r>
                  <w:rPr>
                    <w:sz w:val="11"/>
                    <w:szCs w:val="11"/>
                  </w:rPr>
                  <w:t>-1,576,578.79</w:t>
                </w:r>
              </w:p>
            </w:tc>
          </w:tr>
          <w:tr w:rsidR="00E57DAA" w14:paraId="77277412" w14:textId="77777777">
            <w:sdt>
              <w:sdtPr>
                <w:rPr>
                  <w:sz w:val="11"/>
                  <w:szCs w:val="11"/>
                </w:rPr>
                <w:tag w:val="_PLD_611ba2ed8c6b439788c9acf67433da0c"/>
                <w:id w:val="256175855"/>
              </w:sdtPr>
              <w:sdtEndPr/>
              <w:sdtContent>
                <w:tc>
                  <w:tcPr>
                    <w:tcW w:w="498" w:type="pct"/>
                  </w:tcPr>
                  <w:p w14:paraId="69941ED6" w14:textId="77777777" w:rsidR="00E57DAA" w:rsidRDefault="00AC4185">
                    <w:pPr>
                      <w:rPr>
                        <w:sz w:val="11"/>
                        <w:szCs w:val="11"/>
                      </w:rPr>
                    </w:pPr>
                    <w:r>
                      <w:rPr>
                        <w:rFonts w:hint="eastAsia"/>
                        <w:sz w:val="11"/>
                        <w:szCs w:val="11"/>
                      </w:rPr>
                      <w:t>1．所有者投入的普通股</w:t>
                    </w:r>
                  </w:p>
                </w:tc>
              </w:sdtContent>
            </w:sdt>
            <w:tc>
              <w:tcPr>
                <w:tcW w:w="395" w:type="pct"/>
                <w:vAlign w:val="center"/>
              </w:tcPr>
              <w:p w14:paraId="726FD626" w14:textId="77777777" w:rsidR="00E57DAA" w:rsidRDefault="00E57DAA">
                <w:pPr>
                  <w:jc w:val="right"/>
                  <w:rPr>
                    <w:sz w:val="11"/>
                    <w:szCs w:val="11"/>
                  </w:rPr>
                </w:pPr>
              </w:p>
            </w:tc>
            <w:tc>
              <w:tcPr>
                <w:tcW w:w="119" w:type="pct"/>
                <w:vAlign w:val="center"/>
              </w:tcPr>
              <w:p w14:paraId="47776AE9" w14:textId="77777777" w:rsidR="00E57DAA" w:rsidRDefault="00E57DAA">
                <w:pPr>
                  <w:jc w:val="right"/>
                  <w:rPr>
                    <w:sz w:val="11"/>
                    <w:szCs w:val="11"/>
                  </w:rPr>
                </w:pPr>
              </w:p>
            </w:tc>
            <w:tc>
              <w:tcPr>
                <w:tcW w:w="119" w:type="pct"/>
                <w:vAlign w:val="center"/>
              </w:tcPr>
              <w:p w14:paraId="4B4D5744" w14:textId="77777777" w:rsidR="00E57DAA" w:rsidRDefault="00E57DAA">
                <w:pPr>
                  <w:jc w:val="right"/>
                  <w:rPr>
                    <w:sz w:val="11"/>
                    <w:szCs w:val="11"/>
                  </w:rPr>
                </w:pPr>
              </w:p>
            </w:tc>
            <w:tc>
              <w:tcPr>
                <w:tcW w:w="120" w:type="pct"/>
                <w:vAlign w:val="center"/>
              </w:tcPr>
              <w:p w14:paraId="7119B7BF" w14:textId="77777777" w:rsidR="00E57DAA" w:rsidRDefault="00E57DAA">
                <w:pPr>
                  <w:jc w:val="right"/>
                  <w:rPr>
                    <w:sz w:val="11"/>
                    <w:szCs w:val="11"/>
                  </w:rPr>
                </w:pPr>
              </w:p>
            </w:tc>
            <w:tc>
              <w:tcPr>
                <w:tcW w:w="395" w:type="pct"/>
                <w:vAlign w:val="center"/>
              </w:tcPr>
              <w:p w14:paraId="02AB17BF" w14:textId="77777777" w:rsidR="00E57DAA" w:rsidRDefault="00E57DAA">
                <w:pPr>
                  <w:jc w:val="right"/>
                  <w:rPr>
                    <w:sz w:val="11"/>
                    <w:szCs w:val="11"/>
                  </w:rPr>
                </w:pPr>
              </w:p>
            </w:tc>
            <w:tc>
              <w:tcPr>
                <w:tcW w:w="356" w:type="pct"/>
                <w:vAlign w:val="center"/>
              </w:tcPr>
              <w:p w14:paraId="78BAA983" w14:textId="77777777" w:rsidR="00E57DAA" w:rsidRDefault="00E57DAA">
                <w:pPr>
                  <w:jc w:val="right"/>
                  <w:rPr>
                    <w:sz w:val="11"/>
                    <w:szCs w:val="11"/>
                  </w:rPr>
                </w:pPr>
              </w:p>
            </w:tc>
            <w:tc>
              <w:tcPr>
                <w:tcW w:w="379" w:type="pct"/>
                <w:vAlign w:val="center"/>
              </w:tcPr>
              <w:p w14:paraId="2C061076" w14:textId="77777777" w:rsidR="00E57DAA" w:rsidRDefault="00E57DAA">
                <w:pPr>
                  <w:jc w:val="right"/>
                  <w:rPr>
                    <w:sz w:val="11"/>
                    <w:szCs w:val="11"/>
                  </w:rPr>
                </w:pPr>
              </w:p>
            </w:tc>
            <w:tc>
              <w:tcPr>
                <w:tcW w:w="356" w:type="pct"/>
                <w:vAlign w:val="center"/>
              </w:tcPr>
              <w:p w14:paraId="7FB251CF" w14:textId="77777777" w:rsidR="00E57DAA" w:rsidRDefault="00E57DAA">
                <w:pPr>
                  <w:jc w:val="right"/>
                  <w:rPr>
                    <w:sz w:val="11"/>
                    <w:szCs w:val="11"/>
                  </w:rPr>
                </w:pPr>
              </w:p>
            </w:tc>
            <w:tc>
              <w:tcPr>
                <w:tcW w:w="356" w:type="pct"/>
                <w:vAlign w:val="center"/>
              </w:tcPr>
              <w:p w14:paraId="76F97552" w14:textId="77777777" w:rsidR="00E57DAA" w:rsidRDefault="00E57DAA">
                <w:pPr>
                  <w:jc w:val="right"/>
                  <w:rPr>
                    <w:sz w:val="11"/>
                    <w:szCs w:val="11"/>
                  </w:rPr>
                </w:pPr>
              </w:p>
            </w:tc>
            <w:tc>
              <w:tcPr>
                <w:tcW w:w="118" w:type="pct"/>
                <w:vAlign w:val="center"/>
              </w:tcPr>
              <w:p w14:paraId="5B16C632" w14:textId="77777777" w:rsidR="00E57DAA" w:rsidRDefault="00E57DAA">
                <w:pPr>
                  <w:jc w:val="right"/>
                  <w:rPr>
                    <w:sz w:val="11"/>
                    <w:szCs w:val="11"/>
                  </w:rPr>
                </w:pPr>
              </w:p>
            </w:tc>
            <w:tc>
              <w:tcPr>
                <w:tcW w:w="415" w:type="pct"/>
                <w:vAlign w:val="center"/>
              </w:tcPr>
              <w:p w14:paraId="13BE4C4D" w14:textId="77777777" w:rsidR="00E57DAA" w:rsidRDefault="00E57DAA">
                <w:pPr>
                  <w:jc w:val="right"/>
                  <w:rPr>
                    <w:sz w:val="11"/>
                    <w:szCs w:val="11"/>
                  </w:rPr>
                </w:pPr>
              </w:p>
            </w:tc>
            <w:tc>
              <w:tcPr>
                <w:tcW w:w="149" w:type="pct"/>
                <w:vAlign w:val="center"/>
              </w:tcPr>
              <w:p w14:paraId="0681DB2D" w14:textId="77777777" w:rsidR="00E57DAA" w:rsidRDefault="00E57DAA">
                <w:pPr>
                  <w:jc w:val="right"/>
                  <w:rPr>
                    <w:sz w:val="11"/>
                    <w:szCs w:val="11"/>
                  </w:rPr>
                </w:pPr>
              </w:p>
            </w:tc>
            <w:tc>
              <w:tcPr>
                <w:tcW w:w="415" w:type="pct"/>
                <w:vAlign w:val="center"/>
              </w:tcPr>
              <w:p w14:paraId="3EC1FF7A" w14:textId="77777777" w:rsidR="00E57DAA" w:rsidRDefault="00E57DAA">
                <w:pPr>
                  <w:jc w:val="right"/>
                  <w:rPr>
                    <w:sz w:val="11"/>
                    <w:szCs w:val="11"/>
                  </w:rPr>
                </w:pPr>
              </w:p>
            </w:tc>
            <w:tc>
              <w:tcPr>
                <w:tcW w:w="395" w:type="pct"/>
                <w:vAlign w:val="center"/>
              </w:tcPr>
              <w:p w14:paraId="3372B2A7" w14:textId="77777777" w:rsidR="00E57DAA" w:rsidRDefault="00AC4185">
                <w:pPr>
                  <w:jc w:val="right"/>
                  <w:rPr>
                    <w:sz w:val="11"/>
                    <w:szCs w:val="11"/>
                  </w:rPr>
                </w:pPr>
                <w:r>
                  <w:rPr>
                    <w:sz w:val="11"/>
                    <w:szCs w:val="11"/>
                  </w:rPr>
                  <w:t>2,831,418.45</w:t>
                </w:r>
              </w:p>
            </w:tc>
            <w:tc>
              <w:tcPr>
                <w:tcW w:w="415" w:type="pct"/>
                <w:vAlign w:val="center"/>
              </w:tcPr>
              <w:p w14:paraId="523C8782" w14:textId="77777777" w:rsidR="00E57DAA" w:rsidRDefault="00AC4185">
                <w:pPr>
                  <w:jc w:val="right"/>
                  <w:rPr>
                    <w:sz w:val="11"/>
                    <w:szCs w:val="11"/>
                  </w:rPr>
                </w:pPr>
                <w:r>
                  <w:rPr>
                    <w:sz w:val="11"/>
                    <w:szCs w:val="11"/>
                  </w:rPr>
                  <w:t>2,831,418.45</w:t>
                </w:r>
              </w:p>
            </w:tc>
          </w:tr>
          <w:tr w:rsidR="00E57DAA" w14:paraId="092E583E" w14:textId="77777777">
            <w:sdt>
              <w:sdtPr>
                <w:rPr>
                  <w:sz w:val="11"/>
                  <w:szCs w:val="11"/>
                </w:rPr>
                <w:tag w:val="_PLD_c90ad87987d54aec9ebb059ca9fe2d83"/>
                <w:id w:val="-1369449446"/>
              </w:sdtPr>
              <w:sdtEndPr/>
              <w:sdtContent>
                <w:tc>
                  <w:tcPr>
                    <w:tcW w:w="498" w:type="pct"/>
                  </w:tcPr>
                  <w:p w14:paraId="3F9CBB51" w14:textId="77777777" w:rsidR="00E57DAA" w:rsidRDefault="00AC4185">
                    <w:pPr>
                      <w:rPr>
                        <w:sz w:val="11"/>
                        <w:szCs w:val="11"/>
                      </w:rPr>
                    </w:pPr>
                    <w:r>
                      <w:rPr>
                        <w:rFonts w:hint="eastAsia"/>
                        <w:sz w:val="11"/>
                        <w:szCs w:val="11"/>
                      </w:rPr>
                      <w:t>2．其他权益工具持有者投入资本</w:t>
                    </w:r>
                  </w:p>
                </w:tc>
              </w:sdtContent>
            </w:sdt>
            <w:tc>
              <w:tcPr>
                <w:tcW w:w="395" w:type="pct"/>
                <w:vAlign w:val="center"/>
              </w:tcPr>
              <w:p w14:paraId="7ACAF81A" w14:textId="77777777" w:rsidR="00E57DAA" w:rsidRDefault="00E57DAA">
                <w:pPr>
                  <w:jc w:val="right"/>
                  <w:rPr>
                    <w:sz w:val="11"/>
                    <w:szCs w:val="11"/>
                  </w:rPr>
                </w:pPr>
              </w:p>
            </w:tc>
            <w:tc>
              <w:tcPr>
                <w:tcW w:w="119" w:type="pct"/>
                <w:vAlign w:val="center"/>
              </w:tcPr>
              <w:p w14:paraId="579CE9F1" w14:textId="77777777" w:rsidR="00E57DAA" w:rsidRDefault="00E57DAA">
                <w:pPr>
                  <w:jc w:val="right"/>
                  <w:rPr>
                    <w:sz w:val="11"/>
                    <w:szCs w:val="11"/>
                  </w:rPr>
                </w:pPr>
              </w:p>
            </w:tc>
            <w:tc>
              <w:tcPr>
                <w:tcW w:w="119" w:type="pct"/>
                <w:vAlign w:val="center"/>
              </w:tcPr>
              <w:p w14:paraId="39C79CFD" w14:textId="77777777" w:rsidR="00E57DAA" w:rsidRDefault="00E57DAA">
                <w:pPr>
                  <w:jc w:val="right"/>
                  <w:rPr>
                    <w:sz w:val="11"/>
                    <w:szCs w:val="11"/>
                  </w:rPr>
                </w:pPr>
              </w:p>
            </w:tc>
            <w:tc>
              <w:tcPr>
                <w:tcW w:w="120" w:type="pct"/>
                <w:vAlign w:val="center"/>
              </w:tcPr>
              <w:p w14:paraId="39DE78F7" w14:textId="77777777" w:rsidR="00E57DAA" w:rsidRDefault="00E57DAA">
                <w:pPr>
                  <w:jc w:val="right"/>
                  <w:rPr>
                    <w:sz w:val="11"/>
                    <w:szCs w:val="11"/>
                  </w:rPr>
                </w:pPr>
              </w:p>
            </w:tc>
            <w:tc>
              <w:tcPr>
                <w:tcW w:w="395" w:type="pct"/>
                <w:vAlign w:val="center"/>
              </w:tcPr>
              <w:p w14:paraId="26D37A84" w14:textId="77777777" w:rsidR="00E57DAA" w:rsidRDefault="00E57DAA">
                <w:pPr>
                  <w:jc w:val="right"/>
                  <w:rPr>
                    <w:sz w:val="11"/>
                    <w:szCs w:val="11"/>
                  </w:rPr>
                </w:pPr>
              </w:p>
            </w:tc>
            <w:tc>
              <w:tcPr>
                <w:tcW w:w="356" w:type="pct"/>
                <w:vAlign w:val="center"/>
              </w:tcPr>
              <w:p w14:paraId="1A0FEB2E" w14:textId="77777777" w:rsidR="00E57DAA" w:rsidRDefault="00E57DAA">
                <w:pPr>
                  <w:jc w:val="right"/>
                  <w:rPr>
                    <w:sz w:val="11"/>
                    <w:szCs w:val="11"/>
                  </w:rPr>
                </w:pPr>
              </w:p>
            </w:tc>
            <w:tc>
              <w:tcPr>
                <w:tcW w:w="379" w:type="pct"/>
                <w:vAlign w:val="center"/>
              </w:tcPr>
              <w:p w14:paraId="6FBDF34A" w14:textId="77777777" w:rsidR="00E57DAA" w:rsidRDefault="00E57DAA">
                <w:pPr>
                  <w:jc w:val="right"/>
                  <w:rPr>
                    <w:sz w:val="11"/>
                    <w:szCs w:val="11"/>
                  </w:rPr>
                </w:pPr>
              </w:p>
            </w:tc>
            <w:tc>
              <w:tcPr>
                <w:tcW w:w="356" w:type="pct"/>
                <w:vAlign w:val="center"/>
              </w:tcPr>
              <w:p w14:paraId="652B44D5" w14:textId="77777777" w:rsidR="00E57DAA" w:rsidRDefault="00E57DAA">
                <w:pPr>
                  <w:jc w:val="right"/>
                  <w:rPr>
                    <w:sz w:val="11"/>
                    <w:szCs w:val="11"/>
                  </w:rPr>
                </w:pPr>
              </w:p>
            </w:tc>
            <w:tc>
              <w:tcPr>
                <w:tcW w:w="356" w:type="pct"/>
                <w:vAlign w:val="center"/>
              </w:tcPr>
              <w:p w14:paraId="47FC8F66" w14:textId="77777777" w:rsidR="00E57DAA" w:rsidRDefault="00E57DAA">
                <w:pPr>
                  <w:jc w:val="right"/>
                  <w:rPr>
                    <w:sz w:val="11"/>
                    <w:szCs w:val="11"/>
                  </w:rPr>
                </w:pPr>
              </w:p>
            </w:tc>
            <w:tc>
              <w:tcPr>
                <w:tcW w:w="118" w:type="pct"/>
                <w:vAlign w:val="center"/>
              </w:tcPr>
              <w:p w14:paraId="3F1604BC" w14:textId="77777777" w:rsidR="00E57DAA" w:rsidRDefault="00E57DAA">
                <w:pPr>
                  <w:jc w:val="right"/>
                  <w:rPr>
                    <w:sz w:val="11"/>
                    <w:szCs w:val="11"/>
                  </w:rPr>
                </w:pPr>
              </w:p>
            </w:tc>
            <w:tc>
              <w:tcPr>
                <w:tcW w:w="415" w:type="pct"/>
                <w:vAlign w:val="center"/>
              </w:tcPr>
              <w:p w14:paraId="4AC0817B" w14:textId="77777777" w:rsidR="00E57DAA" w:rsidRDefault="00E57DAA">
                <w:pPr>
                  <w:jc w:val="right"/>
                  <w:rPr>
                    <w:sz w:val="11"/>
                    <w:szCs w:val="11"/>
                  </w:rPr>
                </w:pPr>
              </w:p>
            </w:tc>
            <w:tc>
              <w:tcPr>
                <w:tcW w:w="149" w:type="pct"/>
                <w:vAlign w:val="center"/>
              </w:tcPr>
              <w:p w14:paraId="563415B6" w14:textId="77777777" w:rsidR="00E57DAA" w:rsidRDefault="00E57DAA">
                <w:pPr>
                  <w:jc w:val="right"/>
                  <w:rPr>
                    <w:sz w:val="11"/>
                    <w:szCs w:val="11"/>
                  </w:rPr>
                </w:pPr>
              </w:p>
            </w:tc>
            <w:tc>
              <w:tcPr>
                <w:tcW w:w="415" w:type="pct"/>
                <w:vAlign w:val="center"/>
              </w:tcPr>
              <w:p w14:paraId="2731D2A4" w14:textId="77777777" w:rsidR="00E57DAA" w:rsidRDefault="00E57DAA">
                <w:pPr>
                  <w:jc w:val="right"/>
                  <w:rPr>
                    <w:sz w:val="11"/>
                    <w:szCs w:val="11"/>
                  </w:rPr>
                </w:pPr>
              </w:p>
            </w:tc>
            <w:tc>
              <w:tcPr>
                <w:tcW w:w="395" w:type="pct"/>
                <w:vAlign w:val="center"/>
              </w:tcPr>
              <w:p w14:paraId="3D6AAA28" w14:textId="77777777" w:rsidR="00E57DAA" w:rsidRDefault="00E57DAA">
                <w:pPr>
                  <w:jc w:val="right"/>
                  <w:rPr>
                    <w:sz w:val="11"/>
                    <w:szCs w:val="11"/>
                  </w:rPr>
                </w:pPr>
              </w:p>
            </w:tc>
            <w:tc>
              <w:tcPr>
                <w:tcW w:w="415" w:type="pct"/>
                <w:vAlign w:val="center"/>
              </w:tcPr>
              <w:p w14:paraId="400E8C6F" w14:textId="77777777" w:rsidR="00E57DAA" w:rsidRDefault="00E57DAA">
                <w:pPr>
                  <w:jc w:val="right"/>
                  <w:rPr>
                    <w:sz w:val="11"/>
                    <w:szCs w:val="11"/>
                  </w:rPr>
                </w:pPr>
              </w:p>
            </w:tc>
          </w:tr>
          <w:tr w:rsidR="00E57DAA" w14:paraId="499C2AA7" w14:textId="77777777">
            <w:sdt>
              <w:sdtPr>
                <w:rPr>
                  <w:sz w:val="11"/>
                  <w:szCs w:val="11"/>
                </w:rPr>
                <w:tag w:val="_PLD_d73580ad15ab461695606b09453b2233"/>
                <w:id w:val="1259946320"/>
              </w:sdtPr>
              <w:sdtEndPr/>
              <w:sdtContent>
                <w:tc>
                  <w:tcPr>
                    <w:tcW w:w="498" w:type="pct"/>
                  </w:tcPr>
                  <w:p w14:paraId="51FBF4CD" w14:textId="77777777" w:rsidR="00E57DAA" w:rsidRDefault="00AC4185">
                    <w:pPr>
                      <w:rPr>
                        <w:sz w:val="11"/>
                        <w:szCs w:val="11"/>
                      </w:rPr>
                    </w:pPr>
                    <w:r>
                      <w:rPr>
                        <w:rFonts w:hint="eastAsia"/>
                        <w:sz w:val="11"/>
                        <w:szCs w:val="11"/>
                      </w:rPr>
                      <w:t>3</w:t>
                    </w:r>
                    <w:r>
                      <w:rPr>
                        <w:sz w:val="11"/>
                        <w:szCs w:val="11"/>
                      </w:rPr>
                      <w:t>．股份支付计入所有者权益的金额</w:t>
                    </w:r>
                  </w:p>
                </w:tc>
              </w:sdtContent>
            </w:sdt>
            <w:tc>
              <w:tcPr>
                <w:tcW w:w="395" w:type="pct"/>
                <w:vAlign w:val="center"/>
              </w:tcPr>
              <w:p w14:paraId="49EB31BE" w14:textId="77777777" w:rsidR="00E57DAA" w:rsidRDefault="00AC4185">
                <w:pPr>
                  <w:jc w:val="right"/>
                  <w:rPr>
                    <w:sz w:val="11"/>
                    <w:szCs w:val="11"/>
                  </w:rPr>
                </w:pPr>
                <w:r>
                  <w:rPr>
                    <w:sz w:val="11"/>
                    <w:szCs w:val="11"/>
                  </w:rPr>
                  <w:t>46,549,115.00</w:t>
                </w:r>
              </w:p>
            </w:tc>
            <w:tc>
              <w:tcPr>
                <w:tcW w:w="119" w:type="pct"/>
                <w:vAlign w:val="center"/>
              </w:tcPr>
              <w:p w14:paraId="5EE0149F" w14:textId="77777777" w:rsidR="00E57DAA" w:rsidRDefault="00E57DAA">
                <w:pPr>
                  <w:jc w:val="right"/>
                  <w:rPr>
                    <w:sz w:val="11"/>
                    <w:szCs w:val="11"/>
                  </w:rPr>
                </w:pPr>
              </w:p>
            </w:tc>
            <w:tc>
              <w:tcPr>
                <w:tcW w:w="119" w:type="pct"/>
                <w:vAlign w:val="center"/>
              </w:tcPr>
              <w:p w14:paraId="5584065B" w14:textId="77777777" w:rsidR="00E57DAA" w:rsidRDefault="00E57DAA">
                <w:pPr>
                  <w:jc w:val="right"/>
                  <w:rPr>
                    <w:sz w:val="11"/>
                    <w:szCs w:val="11"/>
                  </w:rPr>
                </w:pPr>
              </w:p>
            </w:tc>
            <w:tc>
              <w:tcPr>
                <w:tcW w:w="120" w:type="pct"/>
                <w:vAlign w:val="center"/>
              </w:tcPr>
              <w:p w14:paraId="44F4AECB" w14:textId="77777777" w:rsidR="00E57DAA" w:rsidRDefault="00E57DAA">
                <w:pPr>
                  <w:jc w:val="right"/>
                  <w:rPr>
                    <w:sz w:val="11"/>
                    <w:szCs w:val="11"/>
                  </w:rPr>
                </w:pPr>
              </w:p>
            </w:tc>
            <w:tc>
              <w:tcPr>
                <w:tcW w:w="395" w:type="pct"/>
                <w:vAlign w:val="center"/>
              </w:tcPr>
              <w:p w14:paraId="79E28480" w14:textId="77777777" w:rsidR="00E57DAA" w:rsidRDefault="00AC4185">
                <w:pPr>
                  <w:jc w:val="right"/>
                  <w:rPr>
                    <w:sz w:val="11"/>
                    <w:szCs w:val="11"/>
                  </w:rPr>
                </w:pPr>
                <w:r>
                  <w:rPr>
                    <w:sz w:val="11"/>
                    <w:szCs w:val="11"/>
                  </w:rPr>
                  <w:t>274,010,447.41</w:t>
                </w:r>
              </w:p>
            </w:tc>
            <w:tc>
              <w:tcPr>
                <w:tcW w:w="356" w:type="pct"/>
                <w:vAlign w:val="center"/>
              </w:tcPr>
              <w:p w14:paraId="02020BC7" w14:textId="77777777" w:rsidR="00E57DAA" w:rsidRDefault="00E57DAA">
                <w:pPr>
                  <w:jc w:val="right"/>
                  <w:rPr>
                    <w:sz w:val="11"/>
                    <w:szCs w:val="11"/>
                  </w:rPr>
                </w:pPr>
              </w:p>
            </w:tc>
            <w:tc>
              <w:tcPr>
                <w:tcW w:w="379" w:type="pct"/>
                <w:vAlign w:val="center"/>
              </w:tcPr>
              <w:p w14:paraId="238A8CB7" w14:textId="77777777" w:rsidR="00E57DAA" w:rsidRDefault="00E57DAA">
                <w:pPr>
                  <w:jc w:val="right"/>
                  <w:rPr>
                    <w:sz w:val="11"/>
                    <w:szCs w:val="11"/>
                  </w:rPr>
                </w:pPr>
              </w:p>
            </w:tc>
            <w:tc>
              <w:tcPr>
                <w:tcW w:w="356" w:type="pct"/>
                <w:vAlign w:val="center"/>
              </w:tcPr>
              <w:p w14:paraId="1544FD89" w14:textId="77777777" w:rsidR="00E57DAA" w:rsidRDefault="00E57DAA">
                <w:pPr>
                  <w:jc w:val="right"/>
                  <w:rPr>
                    <w:sz w:val="11"/>
                    <w:szCs w:val="11"/>
                  </w:rPr>
                </w:pPr>
              </w:p>
            </w:tc>
            <w:tc>
              <w:tcPr>
                <w:tcW w:w="356" w:type="pct"/>
                <w:vAlign w:val="center"/>
              </w:tcPr>
              <w:p w14:paraId="12BF2BF7" w14:textId="77777777" w:rsidR="00E57DAA" w:rsidRDefault="00E57DAA">
                <w:pPr>
                  <w:jc w:val="right"/>
                  <w:rPr>
                    <w:sz w:val="11"/>
                    <w:szCs w:val="11"/>
                  </w:rPr>
                </w:pPr>
              </w:p>
            </w:tc>
            <w:tc>
              <w:tcPr>
                <w:tcW w:w="118" w:type="pct"/>
                <w:vAlign w:val="center"/>
              </w:tcPr>
              <w:p w14:paraId="4B06693D" w14:textId="77777777" w:rsidR="00E57DAA" w:rsidRDefault="00E57DAA">
                <w:pPr>
                  <w:jc w:val="right"/>
                  <w:rPr>
                    <w:sz w:val="11"/>
                    <w:szCs w:val="11"/>
                  </w:rPr>
                </w:pPr>
              </w:p>
            </w:tc>
            <w:tc>
              <w:tcPr>
                <w:tcW w:w="415" w:type="pct"/>
                <w:vAlign w:val="center"/>
              </w:tcPr>
              <w:p w14:paraId="50002014" w14:textId="77777777" w:rsidR="00E57DAA" w:rsidRDefault="00E57DAA">
                <w:pPr>
                  <w:jc w:val="right"/>
                  <w:rPr>
                    <w:sz w:val="11"/>
                    <w:szCs w:val="11"/>
                  </w:rPr>
                </w:pPr>
              </w:p>
            </w:tc>
            <w:tc>
              <w:tcPr>
                <w:tcW w:w="149" w:type="pct"/>
                <w:vAlign w:val="center"/>
              </w:tcPr>
              <w:p w14:paraId="2FDB6DB8" w14:textId="77777777" w:rsidR="00E57DAA" w:rsidRDefault="00E57DAA">
                <w:pPr>
                  <w:jc w:val="right"/>
                  <w:rPr>
                    <w:sz w:val="11"/>
                    <w:szCs w:val="11"/>
                  </w:rPr>
                </w:pPr>
              </w:p>
            </w:tc>
            <w:tc>
              <w:tcPr>
                <w:tcW w:w="415" w:type="pct"/>
                <w:vAlign w:val="center"/>
              </w:tcPr>
              <w:p w14:paraId="100CE624" w14:textId="77777777" w:rsidR="00E57DAA" w:rsidRDefault="00AC4185">
                <w:pPr>
                  <w:jc w:val="right"/>
                  <w:rPr>
                    <w:sz w:val="11"/>
                    <w:szCs w:val="11"/>
                  </w:rPr>
                </w:pPr>
                <w:r>
                  <w:rPr>
                    <w:sz w:val="11"/>
                    <w:szCs w:val="11"/>
                  </w:rPr>
                  <w:t>320,559,562.41</w:t>
                </w:r>
              </w:p>
            </w:tc>
            <w:tc>
              <w:tcPr>
                <w:tcW w:w="395" w:type="pct"/>
                <w:vAlign w:val="center"/>
              </w:tcPr>
              <w:p w14:paraId="59E5B2B1" w14:textId="77777777" w:rsidR="00E57DAA" w:rsidRDefault="00AC4185">
                <w:pPr>
                  <w:jc w:val="right"/>
                  <w:rPr>
                    <w:sz w:val="11"/>
                    <w:szCs w:val="11"/>
                  </w:rPr>
                </w:pPr>
                <w:r>
                  <w:rPr>
                    <w:sz w:val="11"/>
                    <w:szCs w:val="11"/>
                  </w:rPr>
                  <w:t>20,062.08</w:t>
                </w:r>
              </w:p>
            </w:tc>
            <w:tc>
              <w:tcPr>
                <w:tcW w:w="415" w:type="pct"/>
                <w:vAlign w:val="center"/>
              </w:tcPr>
              <w:p w14:paraId="5C05124E" w14:textId="77777777" w:rsidR="00E57DAA" w:rsidRDefault="00AC4185">
                <w:pPr>
                  <w:jc w:val="right"/>
                  <w:rPr>
                    <w:sz w:val="11"/>
                    <w:szCs w:val="11"/>
                  </w:rPr>
                </w:pPr>
                <w:r>
                  <w:rPr>
                    <w:sz w:val="11"/>
                    <w:szCs w:val="11"/>
                  </w:rPr>
                  <w:t>320,579,624.49</w:t>
                </w:r>
              </w:p>
            </w:tc>
          </w:tr>
          <w:tr w:rsidR="00E57DAA" w14:paraId="6D532885" w14:textId="77777777">
            <w:sdt>
              <w:sdtPr>
                <w:rPr>
                  <w:sz w:val="11"/>
                  <w:szCs w:val="11"/>
                </w:rPr>
                <w:tag w:val="_PLD_32d1c7d278224bfa80a28845c7639c86"/>
                <w:id w:val="-321198894"/>
              </w:sdtPr>
              <w:sdtEndPr/>
              <w:sdtContent>
                <w:tc>
                  <w:tcPr>
                    <w:tcW w:w="498" w:type="pct"/>
                  </w:tcPr>
                  <w:p w14:paraId="071D2D3A" w14:textId="77777777" w:rsidR="00E57DAA" w:rsidRDefault="00AC4185">
                    <w:pPr>
                      <w:rPr>
                        <w:sz w:val="11"/>
                        <w:szCs w:val="11"/>
                      </w:rPr>
                    </w:pPr>
                    <w:r>
                      <w:rPr>
                        <w:rFonts w:hint="eastAsia"/>
                        <w:sz w:val="11"/>
                        <w:szCs w:val="11"/>
                      </w:rPr>
                      <w:t>4</w:t>
                    </w:r>
                    <w:r>
                      <w:rPr>
                        <w:sz w:val="11"/>
                        <w:szCs w:val="11"/>
                      </w:rPr>
                      <w:t>．其他</w:t>
                    </w:r>
                  </w:p>
                </w:tc>
              </w:sdtContent>
            </w:sdt>
            <w:tc>
              <w:tcPr>
                <w:tcW w:w="395" w:type="pct"/>
                <w:vAlign w:val="center"/>
              </w:tcPr>
              <w:p w14:paraId="055CB469" w14:textId="77777777" w:rsidR="00E57DAA" w:rsidRDefault="00E57DAA">
                <w:pPr>
                  <w:jc w:val="right"/>
                  <w:rPr>
                    <w:sz w:val="11"/>
                    <w:szCs w:val="11"/>
                  </w:rPr>
                </w:pPr>
              </w:p>
            </w:tc>
            <w:tc>
              <w:tcPr>
                <w:tcW w:w="119" w:type="pct"/>
                <w:vAlign w:val="center"/>
              </w:tcPr>
              <w:p w14:paraId="5081C54F" w14:textId="77777777" w:rsidR="00E57DAA" w:rsidRDefault="00E57DAA">
                <w:pPr>
                  <w:jc w:val="right"/>
                  <w:rPr>
                    <w:sz w:val="11"/>
                    <w:szCs w:val="11"/>
                  </w:rPr>
                </w:pPr>
              </w:p>
            </w:tc>
            <w:tc>
              <w:tcPr>
                <w:tcW w:w="119" w:type="pct"/>
                <w:vAlign w:val="center"/>
              </w:tcPr>
              <w:p w14:paraId="1D7B4523" w14:textId="77777777" w:rsidR="00E57DAA" w:rsidRDefault="00E57DAA">
                <w:pPr>
                  <w:jc w:val="right"/>
                  <w:rPr>
                    <w:sz w:val="11"/>
                    <w:szCs w:val="11"/>
                  </w:rPr>
                </w:pPr>
              </w:p>
            </w:tc>
            <w:tc>
              <w:tcPr>
                <w:tcW w:w="120" w:type="pct"/>
                <w:vAlign w:val="center"/>
              </w:tcPr>
              <w:p w14:paraId="1D181699" w14:textId="77777777" w:rsidR="00E57DAA" w:rsidRDefault="00E57DAA">
                <w:pPr>
                  <w:jc w:val="right"/>
                  <w:rPr>
                    <w:sz w:val="11"/>
                    <w:szCs w:val="11"/>
                  </w:rPr>
                </w:pPr>
              </w:p>
            </w:tc>
            <w:tc>
              <w:tcPr>
                <w:tcW w:w="395" w:type="pct"/>
                <w:vAlign w:val="center"/>
              </w:tcPr>
              <w:p w14:paraId="4027BEFA" w14:textId="77777777" w:rsidR="00E57DAA" w:rsidRDefault="00AC4185">
                <w:pPr>
                  <w:jc w:val="right"/>
                  <w:rPr>
                    <w:sz w:val="11"/>
                    <w:szCs w:val="11"/>
                  </w:rPr>
                </w:pPr>
                <w:r>
                  <w:rPr>
                    <w:sz w:val="11"/>
                    <w:szCs w:val="11"/>
                  </w:rPr>
                  <w:t>-375,013,936.09</w:t>
                </w:r>
              </w:p>
            </w:tc>
            <w:tc>
              <w:tcPr>
                <w:tcW w:w="356" w:type="pct"/>
                <w:vAlign w:val="center"/>
              </w:tcPr>
              <w:p w14:paraId="4FD65D07" w14:textId="77777777" w:rsidR="00E57DAA" w:rsidRDefault="00AC4185">
                <w:pPr>
                  <w:jc w:val="right"/>
                  <w:rPr>
                    <w:sz w:val="11"/>
                    <w:szCs w:val="11"/>
                  </w:rPr>
                </w:pPr>
                <w:r>
                  <w:rPr>
                    <w:sz w:val="11"/>
                    <w:szCs w:val="11"/>
                  </w:rPr>
                  <w:t>267,191,920.55</w:t>
                </w:r>
              </w:p>
            </w:tc>
            <w:tc>
              <w:tcPr>
                <w:tcW w:w="379" w:type="pct"/>
                <w:vAlign w:val="center"/>
              </w:tcPr>
              <w:p w14:paraId="6DBBB812" w14:textId="77777777" w:rsidR="00E57DAA" w:rsidRDefault="00E57DAA">
                <w:pPr>
                  <w:jc w:val="right"/>
                  <w:rPr>
                    <w:sz w:val="11"/>
                    <w:szCs w:val="11"/>
                  </w:rPr>
                </w:pPr>
              </w:p>
            </w:tc>
            <w:tc>
              <w:tcPr>
                <w:tcW w:w="356" w:type="pct"/>
                <w:vAlign w:val="center"/>
              </w:tcPr>
              <w:p w14:paraId="55918545" w14:textId="77777777" w:rsidR="00E57DAA" w:rsidRDefault="00E57DAA">
                <w:pPr>
                  <w:jc w:val="right"/>
                  <w:rPr>
                    <w:sz w:val="11"/>
                    <w:szCs w:val="11"/>
                  </w:rPr>
                </w:pPr>
              </w:p>
            </w:tc>
            <w:tc>
              <w:tcPr>
                <w:tcW w:w="356" w:type="pct"/>
                <w:vAlign w:val="center"/>
              </w:tcPr>
              <w:p w14:paraId="4AB29649" w14:textId="77777777" w:rsidR="00E57DAA" w:rsidRDefault="00E57DAA">
                <w:pPr>
                  <w:jc w:val="right"/>
                  <w:rPr>
                    <w:sz w:val="11"/>
                    <w:szCs w:val="11"/>
                  </w:rPr>
                </w:pPr>
              </w:p>
            </w:tc>
            <w:tc>
              <w:tcPr>
                <w:tcW w:w="118" w:type="pct"/>
                <w:vAlign w:val="center"/>
              </w:tcPr>
              <w:p w14:paraId="403C4FC7" w14:textId="77777777" w:rsidR="00E57DAA" w:rsidRDefault="00E57DAA">
                <w:pPr>
                  <w:jc w:val="right"/>
                  <w:rPr>
                    <w:sz w:val="11"/>
                    <w:szCs w:val="11"/>
                  </w:rPr>
                </w:pPr>
              </w:p>
            </w:tc>
            <w:tc>
              <w:tcPr>
                <w:tcW w:w="415" w:type="pct"/>
                <w:vAlign w:val="center"/>
              </w:tcPr>
              <w:p w14:paraId="64CD564A" w14:textId="77777777" w:rsidR="00E57DAA" w:rsidRDefault="00AC4185">
                <w:pPr>
                  <w:jc w:val="right"/>
                  <w:rPr>
                    <w:sz w:val="11"/>
                    <w:szCs w:val="11"/>
                  </w:rPr>
                </w:pPr>
                <w:r>
                  <w:rPr>
                    <w:sz w:val="11"/>
                    <w:szCs w:val="11"/>
                  </w:rPr>
                  <w:t>-140,643.67</w:t>
                </w:r>
              </w:p>
            </w:tc>
            <w:tc>
              <w:tcPr>
                <w:tcW w:w="149" w:type="pct"/>
                <w:vAlign w:val="center"/>
              </w:tcPr>
              <w:p w14:paraId="34743C49" w14:textId="77777777" w:rsidR="00E57DAA" w:rsidRDefault="00E57DAA">
                <w:pPr>
                  <w:jc w:val="right"/>
                  <w:rPr>
                    <w:sz w:val="11"/>
                    <w:szCs w:val="11"/>
                  </w:rPr>
                </w:pPr>
              </w:p>
            </w:tc>
            <w:tc>
              <w:tcPr>
                <w:tcW w:w="415" w:type="pct"/>
                <w:vAlign w:val="center"/>
              </w:tcPr>
              <w:p w14:paraId="6A398978" w14:textId="77777777" w:rsidR="00E57DAA" w:rsidRDefault="00AC4185">
                <w:pPr>
                  <w:jc w:val="right"/>
                  <w:rPr>
                    <w:sz w:val="11"/>
                    <w:szCs w:val="11"/>
                  </w:rPr>
                </w:pPr>
                <w:r>
                  <w:rPr>
                    <w:sz w:val="11"/>
                    <w:szCs w:val="11"/>
                  </w:rPr>
                  <w:t>-642,346,500.31</w:t>
                </w:r>
              </w:p>
            </w:tc>
            <w:tc>
              <w:tcPr>
                <w:tcW w:w="395" w:type="pct"/>
                <w:vAlign w:val="center"/>
              </w:tcPr>
              <w:p w14:paraId="3C5BAF57" w14:textId="77777777" w:rsidR="00E57DAA" w:rsidRDefault="00AC4185">
                <w:pPr>
                  <w:jc w:val="right"/>
                  <w:rPr>
                    <w:sz w:val="11"/>
                    <w:szCs w:val="11"/>
                  </w:rPr>
                </w:pPr>
                <w:r>
                  <w:rPr>
                    <w:sz w:val="11"/>
                    <w:szCs w:val="11"/>
                  </w:rPr>
                  <w:t>317,358,878.58</w:t>
                </w:r>
              </w:p>
            </w:tc>
            <w:tc>
              <w:tcPr>
                <w:tcW w:w="415" w:type="pct"/>
                <w:vAlign w:val="center"/>
              </w:tcPr>
              <w:p w14:paraId="246261EB" w14:textId="77777777" w:rsidR="00E57DAA" w:rsidRDefault="00AC4185">
                <w:pPr>
                  <w:jc w:val="right"/>
                  <w:rPr>
                    <w:sz w:val="11"/>
                    <w:szCs w:val="11"/>
                  </w:rPr>
                </w:pPr>
                <w:r>
                  <w:rPr>
                    <w:sz w:val="11"/>
                    <w:szCs w:val="11"/>
                  </w:rPr>
                  <w:t>-324,987,621.73</w:t>
                </w:r>
              </w:p>
            </w:tc>
          </w:tr>
          <w:tr w:rsidR="00E57DAA" w14:paraId="20E78ADB" w14:textId="77777777">
            <w:sdt>
              <w:sdtPr>
                <w:rPr>
                  <w:sz w:val="11"/>
                  <w:szCs w:val="11"/>
                </w:rPr>
                <w:tag w:val="_PLD_4f4c1a0d22784a4a81a90a7b772560b9"/>
                <w:id w:val="-1111051144"/>
              </w:sdtPr>
              <w:sdtEndPr/>
              <w:sdtContent>
                <w:tc>
                  <w:tcPr>
                    <w:tcW w:w="498" w:type="pct"/>
                  </w:tcPr>
                  <w:p w14:paraId="2A466057" w14:textId="77777777" w:rsidR="00E57DAA" w:rsidRDefault="00AC4185">
                    <w:pPr>
                      <w:rPr>
                        <w:sz w:val="11"/>
                        <w:szCs w:val="11"/>
                      </w:rPr>
                    </w:pPr>
                    <w:r>
                      <w:rPr>
                        <w:sz w:val="11"/>
                        <w:szCs w:val="11"/>
                      </w:rPr>
                      <w:t>（</w:t>
                    </w:r>
                    <w:r>
                      <w:rPr>
                        <w:rFonts w:hint="eastAsia"/>
                        <w:sz w:val="11"/>
                        <w:szCs w:val="11"/>
                      </w:rPr>
                      <w:t>三</w:t>
                    </w:r>
                    <w:r>
                      <w:rPr>
                        <w:sz w:val="11"/>
                        <w:szCs w:val="11"/>
                      </w:rPr>
                      <w:t>）利润分配</w:t>
                    </w:r>
                  </w:p>
                </w:tc>
              </w:sdtContent>
            </w:sdt>
            <w:tc>
              <w:tcPr>
                <w:tcW w:w="395" w:type="pct"/>
                <w:vAlign w:val="center"/>
              </w:tcPr>
              <w:p w14:paraId="68EAC457" w14:textId="77777777" w:rsidR="00E57DAA" w:rsidRDefault="00E57DAA">
                <w:pPr>
                  <w:jc w:val="right"/>
                  <w:rPr>
                    <w:sz w:val="11"/>
                    <w:szCs w:val="11"/>
                  </w:rPr>
                </w:pPr>
              </w:p>
            </w:tc>
            <w:tc>
              <w:tcPr>
                <w:tcW w:w="119" w:type="pct"/>
                <w:vAlign w:val="center"/>
              </w:tcPr>
              <w:p w14:paraId="117B3C8A" w14:textId="77777777" w:rsidR="00E57DAA" w:rsidRDefault="00E57DAA">
                <w:pPr>
                  <w:jc w:val="right"/>
                  <w:rPr>
                    <w:sz w:val="11"/>
                    <w:szCs w:val="11"/>
                  </w:rPr>
                </w:pPr>
              </w:p>
            </w:tc>
            <w:tc>
              <w:tcPr>
                <w:tcW w:w="119" w:type="pct"/>
                <w:vAlign w:val="center"/>
              </w:tcPr>
              <w:p w14:paraId="3FCE2212" w14:textId="77777777" w:rsidR="00E57DAA" w:rsidRDefault="00E57DAA">
                <w:pPr>
                  <w:jc w:val="right"/>
                  <w:rPr>
                    <w:sz w:val="11"/>
                    <w:szCs w:val="11"/>
                  </w:rPr>
                </w:pPr>
              </w:p>
            </w:tc>
            <w:tc>
              <w:tcPr>
                <w:tcW w:w="120" w:type="pct"/>
                <w:vAlign w:val="center"/>
              </w:tcPr>
              <w:p w14:paraId="61FDDF42" w14:textId="77777777" w:rsidR="00E57DAA" w:rsidRDefault="00E57DAA">
                <w:pPr>
                  <w:jc w:val="right"/>
                  <w:rPr>
                    <w:sz w:val="11"/>
                    <w:szCs w:val="11"/>
                  </w:rPr>
                </w:pPr>
              </w:p>
            </w:tc>
            <w:tc>
              <w:tcPr>
                <w:tcW w:w="395" w:type="pct"/>
                <w:vAlign w:val="center"/>
              </w:tcPr>
              <w:p w14:paraId="636AD532" w14:textId="77777777" w:rsidR="00E57DAA" w:rsidRDefault="00E57DAA">
                <w:pPr>
                  <w:jc w:val="right"/>
                  <w:rPr>
                    <w:sz w:val="11"/>
                    <w:szCs w:val="11"/>
                  </w:rPr>
                </w:pPr>
              </w:p>
            </w:tc>
            <w:tc>
              <w:tcPr>
                <w:tcW w:w="356" w:type="pct"/>
                <w:vAlign w:val="center"/>
              </w:tcPr>
              <w:p w14:paraId="1481C06D" w14:textId="77777777" w:rsidR="00E57DAA" w:rsidRDefault="00E57DAA">
                <w:pPr>
                  <w:jc w:val="right"/>
                  <w:rPr>
                    <w:sz w:val="11"/>
                    <w:szCs w:val="11"/>
                  </w:rPr>
                </w:pPr>
              </w:p>
            </w:tc>
            <w:tc>
              <w:tcPr>
                <w:tcW w:w="379" w:type="pct"/>
                <w:vAlign w:val="center"/>
              </w:tcPr>
              <w:p w14:paraId="50BFC03B" w14:textId="77777777" w:rsidR="00E57DAA" w:rsidRDefault="00E57DAA">
                <w:pPr>
                  <w:jc w:val="right"/>
                  <w:rPr>
                    <w:sz w:val="11"/>
                    <w:szCs w:val="11"/>
                  </w:rPr>
                </w:pPr>
              </w:p>
            </w:tc>
            <w:tc>
              <w:tcPr>
                <w:tcW w:w="356" w:type="pct"/>
                <w:vAlign w:val="center"/>
              </w:tcPr>
              <w:p w14:paraId="673E7ED5" w14:textId="77777777" w:rsidR="00E57DAA" w:rsidRDefault="00E57DAA">
                <w:pPr>
                  <w:jc w:val="right"/>
                  <w:rPr>
                    <w:sz w:val="11"/>
                    <w:szCs w:val="11"/>
                  </w:rPr>
                </w:pPr>
              </w:p>
            </w:tc>
            <w:tc>
              <w:tcPr>
                <w:tcW w:w="356" w:type="pct"/>
                <w:vAlign w:val="center"/>
              </w:tcPr>
              <w:p w14:paraId="6394A4B1" w14:textId="77777777" w:rsidR="00E57DAA" w:rsidRDefault="00AC4185">
                <w:pPr>
                  <w:jc w:val="right"/>
                  <w:rPr>
                    <w:sz w:val="11"/>
                    <w:szCs w:val="11"/>
                  </w:rPr>
                </w:pPr>
                <w:r>
                  <w:rPr>
                    <w:sz w:val="11"/>
                    <w:szCs w:val="11"/>
                  </w:rPr>
                  <w:t>68,725,223.71</w:t>
                </w:r>
              </w:p>
            </w:tc>
            <w:tc>
              <w:tcPr>
                <w:tcW w:w="118" w:type="pct"/>
                <w:vAlign w:val="center"/>
              </w:tcPr>
              <w:p w14:paraId="587F090B" w14:textId="77777777" w:rsidR="00E57DAA" w:rsidRDefault="00E57DAA">
                <w:pPr>
                  <w:jc w:val="right"/>
                  <w:rPr>
                    <w:sz w:val="11"/>
                    <w:szCs w:val="11"/>
                  </w:rPr>
                </w:pPr>
              </w:p>
            </w:tc>
            <w:tc>
              <w:tcPr>
                <w:tcW w:w="415" w:type="pct"/>
                <w:vAlign w:val="center"/>
              </w:tcPr>
              <w:p w14:paraId="1C8AD6AC" w14:textId="77777777" w:rsidR="00E57DAA" w:rsidRDefault="00AC4185">
                <w:pPr>
                  <w:jc w:val="right"/>
                  <w:rPr>
                    <w:sz w:val="11"/>
                    <w:szCs w:val="11"/>
                  </w:rPr>
                </w:pPr>
                <w:r>
                  <w:rPr>
                    <w:sz w:val="11"/>
                    <w:szCs w:val="11"/>
                  </w:rPr>
                  <w:t>-1,216,060,598.42</w:t>
                </w:r>
              </w:p>
            </w:tc>
            <w:tc>
              <w:tcPr>
                <w:tcW w:w="149" w:type="pct"/>
                <w:vAlign w:val="center"/>
              </w:tcPr>
              <w:p w14:paraId="155A38A3" w14:textId="77777777" w:rsidR="00E57DAA" w:rsidRDefault="00E57DAA">
                <w:pPr>
                  <w:jc w:val="right"/>
                  <w:rPr>
                    <w:sz w:val="11"/>
                    <w:szCs w:val="11"/>
                  </w:rPr>
                </w:pPr>
              </w:p>
            </w:tc>
            <w:tc>
              <w:tcPr>
                <w:tcW w:w="415" w:type="pct"/>
                <w:vAlign w:val="center"/>
              </w:tcPr>
              <w:p w14:paraId="413B88E0" w14:textId="77777777" w:rsidR="00E57DAA" w:rsidRDefault="00AC4185">
                <w:pPr>
                  <w:jc w:val="right"/>
                  <w:rPr>
                    <w:sz w:val="11"/>
                    <w:szCs w:val="11"/>
                  </w:rPr>
                </w:pPr>
                <w:r>
                  <w:rPr>
                    <w:sz w:val="11"/>
                    <w:szCs w:val="11"/>
                  </w:rPr>
                  <w:t>-1,147,335,374.71</w:t>
                </w:r>
              </w:p>
            </w:tc>
            <w:tc>
              <w:tcPr>
                <w:tcW w:w="395" w:type="pct"/>
                <w:vAlign w:val="center"/>
              </w:tcPr>
              <w:p w14:paraId="23FED40A" w14:textId="77777777" w:rsidR="00E57DAA" w:rsidRDefault="00AC4185">
                <w:pPr>
                  <w:jc w:val="right"/>
                  <w:rPr>
                    <w:sz w:val="11"/>
                    <w:szCs w:val="11"/>
                  </w:rPr>
                </w:pPr>
                <w:r>
                  <w:rPr>
                    <w:sz w:val="11"/>
                    <w:szCs w:val="11"/>
                  </w:rPr>
                  <w:t>-165,341,262.09</w:t>
                </w:r>
              </w:p>
            </w:tc>
            <w:tc>
              <w:tcPr>
                <w:tcW w:w="415" w:type="pct"/>
                <w:vAlign w:val="center"/>
              </w:tcPr>
              <w:p w14:paraId="0219553C" w14:textId="77777777" w:rsidR="00E57DAA" w:rsidRDefault="00AC4185">
                <w:pPr>
                  <w:jc w:val="right"/>
                  <w:rPr>
                    <w:sz w:val="11"/>
                    <w:szCs w:val="11"/>
                  </w:rPr>
                </w:pPr>
                <w:r>
                  <w:rPr>
                    <w:sz w:val="11"/>
                    <w:szCs w:val="11"/>
                  </w:rPr>
                  <w:t>-1,312,676,636.80</w:t>
                </w:r>
              </w:p>
            </w:tc>
          </w:tr>
          <w:tr w:rsidR="00E57DAA" w14:paraId="0BEAD004" w14:textId="77777777">
            <w:sdt>
              <w:sdtPr>
                <w:rPr>
                  <w:sz w:val="11"/>
                  <w:szCs w:val="11"/>
                </w:rPr>
                <w:tag w:val="_PLD_73a49eb420a24cdbb4f7f5ce05660344"/>
                <w:id w:val="-959028684"/>
              </w:sdtPr>
              <w:sdtEndPr/>
              <w:sdtContent>
                <w:tc>
                  <w:tcPr>
                    <w:tcW w:w="498" w:type="pct"/>
                  </w:tcPr>
                  <w:p w14:paraId="6DC6C5E8" w14:textId="77777777" w:rsidR="00E57DAA" w:rsidRDefault="00AC4185">
                    <w:pPr>
                      <w:rPr>
                        <w:sz w:val="11"/>
                        <w:szCs w:val="11"/>
                      </w:rPr>
                    </w:pPr>
                    <w:r>
                      <w:rPr>
                        <w:sz w:val="11"/>
                        <w:szCs w:val="11"/>
                      </w:rPr>
                      <w:t>1．提取盈余公积</w:t>
                    </w:r>
                  </w:p>
                </w:tc>
              </w:sdtContent>
            </w:sdt>
            <w:tc>
              <w:tcPr>
                <w:tcW w:w="395" w:type="pct"/>
                <w:vAlign w:val="center"/>
              </w:tcPr>
              <w:p w14:paraId="7DA337A9" w14:textId="77777777" w:rsidR="00E57DAA" w:rsidRDefault="00E57DAA">
                <w:pPr>
                  <w:jc w:val="right"/>
                  <w:rPr>
                    <w:sz w:val="11"/>
                    <w:szCs w:val="11"/>
                  </w:rPr>
                </w:pPr>
              </w:p>
            </w:tc>
            <w:tc>
              <w:tcPr>
                <w:tcW w:w="119" w:type="pct"/>
                <w:vAlign w:val="center"/>
              </w:tcPr>
              <w:p w14:paraId="799B3B43" w14:textId="77777777" w:rsidR="00E57DAA" w:rsidRDefault="00E57DAA">
                <w:pPr>
                  <w:jc w:val="right"/>
                  <w:rPr>
                    <w:sz w:val="11"/>
                    <w:szCs w:val="11"/>
                  </w:rPr>
                </w:pPr>
              </w:p>
            </w:tc>
            <w:tc>
              <w:tcPr>
                <w:tcW w:w="119" w:type="pct"/>
                <w:vAlign w:val="center"/>
              </w:tcPr>
              <w:p w14:paraId="533D76B2" w14:textId="77777777" w:rsidR="00E57DAA" w:rsidRDefault="00E57DAA">
                <w:pPr>
                  <w:jc w:val="right"/>
                  <w:rPr>
                    <w:sz w:val="11"/>
                    <w:szCs w:val="11"/>
                  </w:rPr>
                </w:pPr>
              </w:p>
            </w:tc>
            <w:tc>
              <w:tcPr>
                <w:tcW w:w="120" w:type="pct"/>
                <w:vAlign w:val="center"/>
              </w:tcPr>
              <w:p w14:paraId="77FF6027" w14:textId="77777777" w:rsidR="00E57DAA" w:rsidRDefault="00E57DAA">
                <w:pPr>
                  <w:jc w:val="right"/>
                  <w:rPr>
                    <w:sz w:val="11"/>
                    <w:szCs w:val="11"/>
                  </w:rPr>
                </w:pPr>
              </w:p>
            </w:tc>
            <w:tc>
              <w:tcPr>
                <w:tcW w:w="395" w:type="pct"/>
                <w:vAlign w:val="center"/>
              </w:tcPr>
              <w:p w14:paraId="1B18C20A" w14:textId="77777777" w:rsidR="00E57DAA" w:rsidRDefault="00E57DAA">
                <w:pPr>
                  <w:jc w:val="right"/>
                  <w:rPr>
                    <w:sz w:val="11"/>
                    <w:szCs w:val="11"/>
                  </w:rPr>
                </w:pPr>
              </w:p>
            </w:tc>
            <w:tc>
              <w:tcPr>
                <w:tcW w:w="356" w:type="pct"/>
                <w:vAlign w:val="center"/>
              </w:tcPr>
              <w:p w14:paraId="1FD8B581" w14:textId="77777777" w:rsidR="00E57DAA" w:rsidRDefault="00E57DAA">
                <w:pPr>
                  <w:jc w:val="right"/>
                  <w:rPr>
                    <w:sz w:val="11"/>
                    <w:szCs w:val="11"/>
                  </w:rPr>
                </w:pPr>
              </w:p>
            </w:tc>
            <w:tc>
              <w:tcPr>
                <w:tcW w:w="379" w:type="pct"/>
                <w:vAlign w:val="center"/>
              </w:tcPr>
              <w:p w14:paraId="57B7CE5C" w14:textId="77777777" w:rsidR="00E57DAA" w:rsidRDefault="00E57DAA">
                <w:pPr>
                  <w:jc w:val="right"/>
                  <w:rPr>
                    <w:sz w:val="11"/>
                    <w:szCs w:val="11"/>
                  </w:rPr>
                </w:pPr>
              </w:p>
            </w:tc>
            <w:tc>
              <w:tcPr>
                <w:tcW w:w="356" w:type="pct"/>
                <w:vAlign w:val="center"/>
              </w:tcPr>
              <w:p w14:paraId="4174779D" w14:textId="77777777" w:rsidR="00E57DAA" w:rsidRDefault="00E57DAA">
                <w:pPr>
                  <w:jc w:val="right"/>
                  <w:rPr>
                    <w:sz w:val="11"/>
                    <w:szCs w:val="11"/>
                  </w:rPr>
                </w:pPr>
              </w:p>
            </w:tc>
            <w:tc>
              <w:tcPr>
                <w:tcW w:w="356" w:type="pct"/>
                <w:vAlign w:val="center"/>
              </w:tcPr>
              <w:p w14:paraId="2C1D93DC" w14:textId="77777777" w:rsidR="00E57DAA" w:rsidRDefault="00AC4185">
                <w:pPr>
                  <w:jc w:val="right"/>
                  <w:rPr>
                    <w:sz w:val="11"/>
                    <w:szCs w:val="11"/>
                  </w:rPr>
                </w:pPr>
                <w:r>
                  <w:rPr>
                    <w:sz w:val="11"/>
                    <w:szCs w:val="11"/>
                  </w:rPr>
                  <w:t>68,725,223.71</w:t>
                </w:r>
              </w:p>
            </w:tc>
            <w:tc>
              <w:tcPr>
                <w:tcW w:w="118" w:type="pct"/>
                <w:vAlign w:val="center"/>
              </w:tcPr>
              <w:p w14:paraId="05BE1FE3" w14:textId="77777777" w:rsidR="00E57DAA" w:rsidRDefault="00E57DAA">
                <w:pPr>
                  <w:jc w:val="right"/>
                  <w:rPr>
                    <w:sz w:val="11"/>
                    <w:szCs w:val="11"/>
                  </w:rPr>
                </w:pPr>
              </w:p>
            </w:tc>
            <w:tc>
              <w:tcPr>
                <w:tcW w:w="415" w:type="pct"/>
                <w:vAlign w:val="center"/>
              </w:tcPr>
              <w:p w14:paraId="69DA0D72" w14:textId="77777777" w:rsidR="00E57DAA" w:rsidRDefault="00AC4185">
                <w:pPr>
                  <w:jc w:val="right"/>
                  <w:rPr>
                    <w:sz w:val="11"/>
                    <w:szCs w:val="11"/>
                  </w:rPr>
                </w:pPr>
                <w:r>
                  <w:rPr>
                    <w:sz w:val="11"/>
                    <w:szCs w:val="11"/>
                  </w:rPr>
                  <w:t>-68,725,223.71</w:t>
                </w:r>
              </w:p>
            </w:tc>
            <w:tc>
              <w:tcPr>
                <w:tcW w:w="149" w:type="pct"/>
                <w:vAlign w:val="center"/>
              </w:tcPr>
              <w:p w14:paraId="6D42C147" w14:textId="77777777" w:rsidR="00E57DAA" w:rsidRDefault="00E57DAA">
                <w:pPr>
                  <w:jc w:val="right"/>
                  <w:rPr>
                    <w:sz w:val="11"/>
                    <w:szCs w:val="11"/>
                  </w:rPr>
                </w:pPr>
              </w:p>
            </w:tc>
            <w:tc>
              <w:tcPr>
                <w:tcW w:w="415" w:type="pct"/>
                <w:vAlign w:val="center"/>
              </w:tcPr>
              <w:p w14:paraId="34FDAC17" w14:textId="77777777" w:rsidR="00E57DAA" w:rsidRDefault="00E57DAA">
                <w:pPr>
                  <w:jc w:val="right"/>
                  <w:rPr>
                    <w:sz w:val="11"/>
                    <w:szCs w:val="11"/>
                  </w:rPr>
                </w:pPr>
              </w:p>
            </w:tc>
            <w:tc>
              <w:tcPr>
                <w:tcW w:w="395" w:type="pct"/>
                <w:vAlign w:val="center"/>
              </w:tcPr>
              <w:p w14:paraId="02BFCC65" w14:textId="77777777" w:rsidR="00E57DAA" w:rsidRDefault="00E57DAA">
                <w:pPr>
                  <w:jc w:val="right"/>
                  <w:rPr>
                    <w:sz w:val="11"/>
                    <w:szCs w:val="11"/>
                  </w:rPr>
                </w:pPr>
              </w:p>
            </w:tc>
            <w:tc>
              <w:tcPr>
                <w:tcW w:w="415" w:type="pct"/>
                <w:vAlign w:val="center"/>
              </w:tcPr>
              <w:p w14:paraId="1310F099" w14:textId="77777777" w:rsidR="00E57DAA" w:rsidRDefault="00E57DAA">
                <w:pPr>
                  <w:jc w:val="right"/>
                  <w:rPr>
                    <w:sz w:val="11"/>
                    <w:szCs w:val="11"/>
                  </w:rPr>
                </w:pPr>
              </w:p>
            </w:tc>
          </w:tr>
          <w:tr w:rsidR="00E57DAA" w14:paraId="06128CB6" w14:textId="77777777">
            <w:sdt>
              <w:sdtPr>
                <w:rPr>
                  <w:sz w:val="11"/>
                  <w:szCs w:val="11"/>
                </w:rPr>
                <w:tag w:val="_PLD_230083ca1b684aa0b92b69b31995ea1b"/>
                <w:id w:val="-124011507"/>
              </w:sdtPr>
              <w:sdtEndPr/>
              <w:sdtContent>
                <w:tc>
                  <w:tcPr>
                    <w:tcW w:w="498" w:type="pct"/>
                  </w:tcPr>
                  <w:p w14:paraId="4A3AD6EF" w14:textId="77777777" w:rsidR="00E57DAA" w:rsidRDefault="00AC4185">
                    <w:pPr>
                      <w:rPr>
                        <w:sz w:val="11"/>
                        <w:szCs w:val="11"/>
                      </w:rPr>
                    </w:pPr>
                    <w:r>
                      <w:rPr>
                        <w:sz w:val="11"/>
                        <w:szCs w:val="11"/>
                      </w:rPr>
                      <w:t>2．提取一般风险准备</w:t>
                    </w:r>
                  </w:p>
                </w:tc>
              </w:sdtContent>
            </w:sdt>
            <w:tc>
              <w:tcPr>
                <w:tcW w:w="395" w:type="pct"/>
                <w:vAlign w:val="center"/>
              </w:tcPr>
              <w:p w14:paraId="4E54727A" w14:textId="77777777" w:rsidR="00E57DAA" w:rsidRDefault="00E57DAA">
                <w:pPr>
                  <w:jc w:val="right"/>
                  <w:rPr>
                    <w:sz w:val="11"/>
                    <w:szCs w:val="11"/>
                  </w:rPr>
                </w:pPr>
              </w:p>
            </w:tc>
            <w:tc>
              <w:tcPr>
                <w:tcW w:w="119" w:type="pct"/>
                <w:vAlign w:val="center"/>
              </w:tcPr>
              <w:p w14:paraId="18B8A27E" w14:textId="77777777" w:rsidR="00E57DAA" w:rsidRDefault="00E57DAA">
                <w:pPr>
                  <w:jc w:val="right"/>
                  <w:rPr>
                    <w:sz w:val="11"/>
                    <w:szCs w:val="11"/>
                  </w:rPr>
                </w:pPr>
              </w:p>
            </w:tc>
            <w:tc>
              <w:tcPr>
                <w:tcW w:w="119" w:type="pct"/>
                <w:vAlign w:val="center"/>
              </w:tcPr>
              <w:p w14:paraId="7E3E6C06" w14:textId="77777777" w:rsidR="00E57DAA" w:rsidRDefault="00E57DAA">
                <w:pPr>
                  <w:jc w:val="right"/>
                  <w:rPr>
                    <w:sz w:val="11"/>
                    <w:szCs w:val="11"/>
                  </w:rPr>
                </w:pPr>
              </w:p>
            </w:tc>
            <w:tc>
              <w:tcPr>
                <w:tcW w:w="120" w:type="pct"/>
                <w:vAlign w:val="center"/>
              </w:tcPr>
              <w:p w14:paraId="3BC3217C" w14:textId="77777777" w:rsidR="00E57DAA" w:rsidRDefault="00E57DAA">
                <w:pPr>
                  <w:jc w:val="right"/>
                  <w:rPr>
                    <w:sz w:val="11"/>
                    <w:szCs w:val="11"/>
                  </w:rPr>
                </w:pPr>
              </w:p>
            </w:tc>
            <w:tc>
              <w:tcPr>
                <w:tcW w:w="395" w:type="pct"/>
                <w:vAlign w:val="center"/>
              </w:tcPr>
              <w:p w14:paraId="47E85CE6" w14:textId="77777777" w:rsidR="00E57DAA" w:rsidRDefault="00E57DAA">
                <w:pPr>
                  <w:jc w:val="right"/>
                  <w:rPr>
                    <w:sz w:val="11"/>
                    <w:szCs w:val="11"/>
                  </w:rPr>
                </w:pPr>
              </w:p>
            </w:tc>
            <w:tc>
              <w:tcPr>
                <w:tcW w:w="356" w:type="pct"/>
                <w:vAlign w:val="center"/>
              </w:tcPr>
              <w:p w14:paraId="3840CF01" w14:textId="77777777" w:rsidR="00E57DAA" w:rsidRDefault="00E57DAA">
                <w:pPr>
                  <w:jc w:val="right"/>
                  <w:rPr>
                    <w:sz w:val="11"/>
                    <w:szCs w:val="11"/>
                  </w:rPr>
                </w:pPr>
              </w:p>
            </w:tc>
            <w:tc>
              <w:tcPr>
                <w:tcW w:w="379" w:type="pct"/>
                <w:vAlign w:val="center"/>
              </w:tcPr>
              <w:p w14:paraId="29521EF9" w14:textId="77777777" w:rsidR="00E57DAA" w:rsidRDefault="00E57DAA">
                <w:pPr>
                  <w:jc w:val="right"/>
                  <w:rPr>
                    <w:sz w:val="11"/>
                    <w:szCs w:val="11"/>
                  </w:rPr>
                </w:pPr>
              </w:p>
            </w:tc>
            <w:tc>
              <w:tcPr>
                <w:tcW w:w="356" w:type="pct"/>
                <w:vAlign w:val="center"/>
              </w:tcPr>
              <w:p w14:paraId="4E7B067B" w14:textId="77777777" w:rsidR="00E57DAA" w:rsidRDefault="00E57DAA">
                <w:pPr>
                  <w:jc w:val="right"/>
                  <w:rPr>
                    <w:sz w:val="11"/>
                    <w:szCs w:val="11"/>
                  </w:rPr>
                </w:pPr>
              </w:p>
            </w:tc>
            <w:tc>
              <w:tcPr>
                <w:tcW w:w="356" w:type="pct"/>
                <w:vAlign w:val="center"/>
              </w:tcPr>
              <w:p w14:paraId="60B47639" w14:textId="77777777" w:rsidR="00E57DAA" w:rsidRDefault="00E57DAA">
                <w:pPr>
                  <w:jc w:val="right"/>
                  <w:rPr>
                    <w:sz w:val="11"/>
                    <w:szCs w:val="11"/>
                  </w:rPr>
                </w:pPr>
              </w:p>
            </w:tc>
            <w:tc>
              <w:tcPr>
                <w:tcW w:w="118" w:type="pct"/>
                <w:vAlign w:val="center"/>
              </w:tcPr>
              <w:p w14:paraId="062844DF" w14:textId="77777777" w:rsidR="00E57DAA" w:rsidRDefault="00E57DAA">
                <w:pPr>
                  <w:jc w:val="right"/>
                  <w:rPr>
                    <w:sz w:val="11"/>
                    <w:szCs w:val="11"/>
                  </w:rPr>
                </w:pPr>
              </w:p>
            </w:tc>
            <w:tc>
              <w:tcPr>
                <w:tcW w:w="415" w:type="pct"/>
                <w:vAlign w:val="center"/>
              </w:tcPr>
              <w:p w14:paraId="51E6E285" w14:textId="77777777" w:rsidR="00E57DAA" w:rsidRDefault="00E57DAA">
                <w:pPr>
                  <w:jc w:val="right"/>
                  <w:rPr>
                    <w:sz w:val="11"/>
                    <w:szCs w:val="11"/>
                  </w:rPr>
                </w:pPr>
              </w:p>
            </w:tc>
            <w:tc>
              <w:tcPr>
                <w:tcW w:w="149" w:type="pct"/>
                <w:vAlign w:val="center"/>
              </w:tcPr>
              <w:p w14:paraId="218CFB69" w14:textId="77777777" w:rsidR="00E57DAA" w:rsidRDefault="00E57DAA">
                <w:pPr>
                  <w:jc w:val="right"/>
                  <w:rPr>
                    <w:sz w:val="11"/>
                    <w:szCs w:val="11"/>
                  </w:rPr>
                </w:pPr>
              </w:p>
            </w:tc>
            <w:tc>
              <w:tcPr>
                <w:tcW w:w="415" w:type="pct"/>
                <w:vAlign w:val="center"/>
              </w:tcPr>
              <w:p w14:paraId="38959E9F" w14:textId="77777777" w:rsidR="00E57DAA" w:rsidRDefault="00E57DAA">
                <w:pPr>
                  <w:jc w:val="right"/>
                  <w:rPr>
                    <w:sz w:val="11"/>
                    <w:szCs w:val="11"/>
                  </w:rPr>
                </w:pPr>
              </w:p>
            </w:tc>
            <w:tc>
              <w:tcPr>
                <w:tcW w:w="395" w:type="pct"/>
                <w:vAlign w:val="center"/>
              </w:tcPr>
              <w:p w14:paraId="5EF30B6F" w14:textId="77777777" w:rsidR="00E57DAA" w:rsidRDefault="00E57DAA">
                <w:pPr>
                  <w:jc w:val="right"/>
                  <w:rPr>
                    <w:sz w:val="11"/>
                    <w:szCs w:val="11"/>
                  </w:rPr>
                </w:pPr>
              </w:p>
            </w:tc>
            <w:tc>
              <w:tcPr>
                <w:tcW w:w="415" w:type="pct"/>
                <w:vAlign w:val="center"/>
              </w:tcPr>
              <w:p w14:paraId="2D0A7AB7" w14:textId="77777777" w:rsidR="00E57DAA" w:rsidRDefault="00E57DAA">
                <w:pPr>
                  <w:jc w:val="right"/>
                  <w:rPr>
                    <w:sz w:val="11"/>
                    <w:szCs w:val="11"/>
                  </w:rPr>
                </w:pPr>
              </w:p>
            </w:tc>
          </w:tr>
          <w:tr w:rsidR="00E57DAA" w14:paraId="618526DF" w14:textId="77777777">
            <w:sdt>
              <w:sdtPr>
                <w:rPr>
                  <w:sz w:val="11"/>
                  <w:szCs w:val="11"/>
                </w:rPr>
                <w:tag w:val="_PLD_d19b1d04bab14e67b22ee23afd215d76"/>
                <w:id w:val="-1764834198"/>
              </w:sdtPr>
              <w:sdtEndPr/>
              <w:sdtContent>
                <w:tc>
                  <w:tcPr>
                    <w:tcW w:w="498" w:type="pct"/>
                  </w:tcPr>
                  <w:p w14:paraId="10ACC782" w14:textId="77777777" w:rsidR="00E57DAA" w:rsidRDefault="00AC4185">
                    <w:pPr>
                      <w:rPr>
                        <w:sz w:val="11"/>
                        <w:szCs w:val="11"/>
                      </w:rPr>
                    </w:pPr>
                    <w:r>
                      <w:rPr>
                        <w:sz w:val="11"/>
                        <w:szCs w:val="11"/>
                      </w:rPr>
                      <w:t>3．对所有者（或股东）的分配</w:t>
                    </w:r>
                  </w:p>
                </w:tc>
              </w:sdtContent>
            </w:sdt>
            <w:tc>
              <w:tcPr>
                <w:tcW w:w="395" w:type="pct"/>
                <w:vAlign w:val="center"/>
              </w:tcPr>
              <w:p w14:paraId="4F6E9234" w14:textId="77777777" w:rsidR="00E57DAA" w:rsidRDefault="00E57DAA">
                <w:pPr>
                  <w:jc w:val="right"/>
                  <w:rPr>
                    <w:sz w:val="11"/>
                    <w:szCs w:val="11"/>
                  </w:rPr>
                </w:pPr>
              </w:p>
            </w:tc>
            <w:tc>
              <w:tcPr>
                <w:tcW w:w="119" w:type="pct"/>
                <w:vAlign w:val="center"/>
              </w:tcPr>
              <w:p w14:paraId="5FEBB5C5" w14:textId="77777777" w:rsidR="00E57DAA" w:rsidRDefault="00E57DAA">
                <w:pPr>
                  <w:jc w:val="right"/>
                  <w:rPr>
                    <w:sz w:val="11"/>
                    <w:szCs w:val="11"/>
                  </w:rPr>
                </w:pPr>
              </w:p>
            </w:tc>
            <w:tc>
              <w:tcPr>
                <w:tcW w:w="119" w:type="pct"/>
                <w:vAlign w:val="center"/>
              </w:tcPr>
              <w:p w14:paraId="70A94172" w14:textId="77777777" w:rsidR="00E57DAA" w:rsidRDefault="00E57DAA">
                <w:pPr>
                  <w:jc w:val="right"/>
                  <w:rPr>
                    <w:sz w:val="11"/>
                    <w:szCs w:val="11"/>
                  </w:rPr>
                </w:pPr>
              </w:p>
            </w:tc>
            <w:tc>
              <w:tcPr>
                <w:tcW w:w="120" w:type="pct"/>
                <w:vAlign w:val="center"/>
              </w:tcPr>
              <w:p w14:paraId="2840AE6C" w14:textId="77777777" w:rsidR="00E57DAA" w:rsidRDefault="00E57DAA">
                <w:pPr>
                  <w:jc w:val="right"/>
                  <w:rPr>
                    <w:sz w:val="11"/>
                    <w:szCs w:val="11"/>
                  </w:rPr>
                </w:pPr>
              </w:p>
            </w:tc>
            <w:tc>
              <w:tcPr>
                <w:tcW w:w="395" w:type="pct"/>
                <w:vAlign w:val="center"/>
              </w:tcPr>
              <w:p w14:paraId="54703063" w14:textId="77777777" w:rsidR="00E57DAA" w:rsidRDefault="00E57DAA">
                <w:pPr>
                  <w:jc w:val="right"/>
                  <w:rPr>
                    <w:sz w:val="11"/>
                    <w:szCs w:val="11"/>
                  </w:rPr>
                </w:pPr>
              </w:p>
            </w:tc>
            <w:tc>
              <w:tcPr>
                <w:tcW w:w="356" w:type="pct"/>
                <w:vAlign w:val="center"/>
              </w:tcPr>
              <w:p w14:paraId="6EFD26EB" w14:textId="77777777" w:rsidR="00E57DAA" w:rsidRDefault="00E57DAA">
                <w:pPr>
                  <w:jc w:val="right"/>
                  <w:rPr>
                    <w:sz w:val="11"/>
                    <w:szCs w:val="11"/>
                  </w:rPr>
                </w:pPr>
              </w:p>
            </w:tc>
            <w:tc>
              <w:tcPr>
                <w:tcW w:w="379" w:type="pct"/>
                <w:vAlign w:val="center"/>
              </w:tcPr>
              <w:p w14:paraId="00CB073A" w14:textId="77777777" w:rsidR="00E57DAA" w:rsidRDefault="00E57DAA">
                <w:pPr>
                  <w:jc w:val="right"/>
                  <w:rPr>
                    <w:sz w:val="11"/>
                    <w:szCs w:val="11"/>
                  </w:rPr>
                </w:pPr>
              </w:p>
            </w:tc>
            <w:tc>
              <w:tcPr>
                <w:tcW w:w="356" w:type="pct"/>
                <w:vAlign w:val="center"/>
              </w:tcPr>
              <w:p w14:paraId="07E0E74F" w14:textId="77777777" w:rsidR="00E57DAA" w:rsidRDefault="00E57DAA">
                <w:pPr>
                  <w:jc w:val="right"/>
                  <w:rPr>
                    <w:sz w:val="11"/>
                    <w:szCs w:val="11"/>
                  </w:rPr>
                </w:pPr>
              </w:p>
            </w:tc>
            <w:tc>
              <w:tcPr>
                <w:tcW w:w="356" w:type="pct"/>
                <w:vAlign w:val="center"/>
              </w:tcPr>
              <w:p w14:paraId="5A166DC2" w14:textId="77777777" w:rsidR="00E57DAA" w:rsidRDefault="00E57DAA">
                <w:pPr>
                  <w:jc w:val="right"/>
                  <w:rPr>
                    <w:sz w:val="11"/>
                    <w:szCs w:val="11"/>
                  </w:rPr>
                </w:pPr>
              </w:p>
            </w:tc>
            <w:tc>
              <w:tcPr>
                <w:tcW w:w="118" w:type="pct"/>
                <w:vAlign w:val="center"/>
              </w:tcPr>
              <w:p w14:paraId="297D8953" w14:textId="77777777" w:rsidR="00E57DAA" w:rsidRDefault="00E57DAA">
                <w:pPr>
                  <w:jc w:val="right"/>
                  <w:rPr>
                    <w:sz w:val="11"/>
                    <w:szCs w:val="11"/>
                  </w:rPr>
                </w:pPr>
              </w:p>
            </w:tc>
            <w:tc>
              <w:tcPr>
                <w:tcW w:w="415" w:type="pct"/>
                <w:vAlign w:val="center"/>
              </w:tcPr>
              <w:p w14:paraId="500A0F37" w14:textId="77777777" w:rsidR="00E57DAA" w:rsidRDefault="00AC4185">
                <w:pPr>
                  <w:jc w:val="right"/>
                  <w:rPr>
                    <w:sz w:val="11"/>
                    <w:szCs w:val="11"/>
                  </w:rPr>
                </w:pPr>
                <w:r>
                  <w:rPr>
                    <w:sz w:val="11"/>
                    <w:szCs w:val="11"/>
                  </w:rPr>
                  <w:t>-1,144,595,374.71</w:t>
                </w:r>
              </w:p>
            </w:tc>
            <w:tc>
              <w:tcPr>
                <w:tcW w:w="149" w:type="pct"/>
                <w:vAlign w:val="center"/>
              </w:tcPr>
              <w:p w14:paraId="2CF6978F" w14:textId="77777777" w:rsidR="00E57DAA" w:rsidRDefault="00E57DAA">
                <w:pPr>
                  <w:jc w:val="right"/>
                  <w:rPr>
                    <w:sz w:val="11"/>
                    <w:szCs w:val="11"/>
                  </w:rPr>
                </w:pPr>
              </w:p>
            </w:tc>
            <w:tc>
              <w:tcPr>
                <w:tcW w:w="415" w:type="pct"/>
                <w:vAlign w:val="center"/>
              </w:tcPr>
              <w:p w14:paraId="0B2115FB" w14:textId="77777777" w:rsidR="00E57DAA" w:rsidRDefault="00AC4185">
                <w:pPr>
                  <w:jc w:val="right"/>
                  <w:rPr>
                    <w:sz w:val="11"/>
                    <w:szCs w:val="11"/>
                  </w:rPr>
                </w:pPr>
                <w:r>
                  <w:rPr>
                    <w:sz w:val="11"/>
                    <w:szCs w:val="11"/>
                  </w:rPr>
                  <w:t>-1,144,595,374.71</w:t>
                </w:r>
              </w:p>
            </w:tc>
            <w:tc>
              <w:tcPr>
                <w:tcW w:w="395" w:type="pct"/>
                <w:vAlign w:val="center"/>
              </w:tcPr>
              <w:p w14:paraId="0F54E72C" w14:textId="77777777" w:rsidR="00E57DAA" w:rsidRDefault="00AC4185">
                <w:pPr>
                  <w:jc w:val="right"/>
                  <w:rPr>
                    <w:sz w:val="11"/>
                    <w:szCs w:val="11"/>
                  </w:rPr>
                </w:pPr>
                <w:r>
                  <w:rPr>
                    <w:sz w:val="11"/>
                    <w:szCs w:val="11"/>
                  </w:rPr>
                  <w:t>-165,341,262.09</w:t>
                </w:r>
              </w:p>
            </w:tc>
            <w:tc>
              <w:tcPr>
                <w:tcW w:w="415" w:type="pct"/>
                <w:vAlign w:val="center"/>
              </w:tcPr>
              <w:p w14:paraId="4735442C" w14:textId="77777777" w:rsidR="00E57DAA" w:rsidRDefault="00AC4185">
                <w:pPr>
                  <w:jc w:val="right"/>
                  <w:rPr>
                    <w:sz w:val="11"/>
                    <w:szCs w:val="11"/>
                  </w:rPr>
                </w:pPr>
                <w:r>
                  <w:rPr>
                    <w:sz w:val="11"/>
                    <w:szCs w:val="11"/>
                  </w:rPr>
                  <w:t>-1,309,936,636.80</w:t>
                </w:r>
              </w:p>
            </w:tc>
          </w:tr>
          <w:tr w:rsidR="00E57DAA" w14:paraId="3ED6BB6E" w14:textId="77777777">
            <w:sdt>
              <w:sdtPr>
                <w:rPr>
                  <w:sz w:val="11"/>
                  <w:szCs w:val="11"/>
                </w:rPr>
                <w:tag w:val="_PLD_6e5628e129d04d23a2d71da503cecfdd"/>
                <w:id w:val="-2001643808"/>
              </w:sdtPr>
              <w:sdtEndPr/>
              <w:sdtContent>
                <w:tc>
                  <w:tcPr>
                    <w:tcW w:w="498" w:type="pct"/>
                  </w:tcPr>
                  <w:p w14:paraId="4C311F83" w14:textId="77777777" w:rsidR="00E57DAA" w:rsidRDefault="00AC4185">
                    <w:pPr>
                      <w:rPr>
                        <w:sz w:val="11"/>
                        <w:szCs w:val="11"/>
                      </w:rPr>
                    </w:pPr>
                    <w:r>
                      <w:rPr>
                        <w:sz w:val="11"/>
                        <w:szCs w:val="11"/>
                      </w:rPr>
                      <w:t>4．其他</w:t>
                    </w:r>
                  </w:p>
                </w:tc>
              </w:sdtContent>
            </w:sdt>
            <w:tc>
              <w:tcPr>
                <w:tcW w:w="395" w:type="pct"/>
                <w:vAlign w:val="center"/>
              </w:tcPr>
              <w:p w14:paraId="1392D104" w14:textId="77777777" w:rsidR="00E57DAA" w:rsidRDefault="00E57DAA">
                <w:pPr>
                  <w:jc w:val="right"/>
                  <w:rPr>
                    <w:sz w:val="11"/>
                    <w:szCs w:val="11"/>
                  </w:rPr>
                </w:pPr>
              </w:p>
            </w:tc>
            <w:tc>
              <w:tcPr>
                <w:tcW w:w="119" w:type="pct"/>
                <w:vAlign w:val="center"/>
              </w:tcPr>
              <w:p w14:paraId="02693390" w14:textId="77777777" w:rsidR="00E57DAA" w:rsidRDefault="00E57DAA">
                <w:pPr>
                  <w:jc w:val="right"/>
                  <w:rPr>
                    <w:sz w:val="11"/>
                    <w:szCs w:val="11"/>
                  </w:rPr>
                </w:pPr>
              </w:p>
            </w:tc>
            <w:tc>
              <w:tcPr>
                <w:tcW w:w="119" w:type="pct"/>
                <w:vAlign w:val="center"/>
              </w:tcPr>
              <w:p w14:paraId="18EBDC21" w14:textId="77777777" w:rsidR="00E57DAA" w:rsidRDefault="00E57DAA">
                <w:pPr>
                  <w:jc w:val="right"/>
                  <w:rPr>
                    <w:sz w:val="11"/>
                    <w:szCs w:val="11"/>
                  </w:rPr>
                </w:pPr>
              </w:p>
            </w:tc>
            <w:tc>
              <w:tcPr>
                <w:tcW w:w="120" w:type="pct"/>
                <w:vAlign w:val="center"/>
              </w:tcPr>
              <w:p w14:paraId="2B68960A" w14:textId="77777777" w:rsidR="00E57DAA" w:rsidRDefault="00E57DAA">
                <w:pPr>
                  <w:jc w:val="right"/>
                  <w:rPr>
                    <w:sz w:val="11"/>
                    <w:szCs w:val="11"/>
                  </w:rPr>
                </w:pPr>
              </w:p>
            </w:tc>
            <w:tc>
              <w:tcPr>
                <w:tcW w:w="395" w:type="pct"/>
                <w:vAlign w:val="center"/>
              </w:tcPr>
              <w:p w14:paraId="6650C304" w14:textId="77777777" w:rsidR="00E57DAA" w:rsidRDefault="00E57DAA">
                <w:pPr>
                  <w:jc w:val="right"/>
                  <w:rPr>
                    <w:sz w:val="11"/>
                    <w:szCs w:val="11"/>
                  </w:rPr>
                </w:pPr>
              </w:p>
            </w:tc>
            <w:tc>
              <w:tcPr>
                <w:tcW w:w="356" w:type="pct"/>
                <w:vAlign w:val="center"/>
              </w:tcPr>
              <w:p w14:paraId="435651EF" w14:textId="77777777" w:rsidR="00E57DAA" w:rsidRDefault="00E57DAA">
                <w:pPr>
                  <w:jc w:val="right"/>
                  <w:rPr>
                    <w:sz w:val="11"/>
                    <w:szCs w:val="11"/>
                  </w:rPr>
                </w:pPr>
              </w:p>
            </w:tc>
            <w:tc>
              <w:tcPr>
                <w:tcW w:w="379" w:type="pct"/>
                <w:vAlign w:val="center"/>
              </w:tcPr>
              <w:p w14:paraId="619223BA" w14:textId="77777777" w:rsidR="00E57DAA" w:rsidRDefault="00E57DAA">
                <w:pPr>
                  <w:jc w:val="right"/>
                  <w:rPr>
                    <w:sz w:val="11"/>
                    <w:szCs w:val="11"/>
                  </w:rPr>
                </w:pPr>
              </w:p>
            </w:tc>
            <w:tc>
              <w:tcPr>
                <w:tcW w:w="356" w:type="pct"/>
                <w:vAlign w:val="center"/>
              </w:tcPr>
              <w:p w14:paraId="3E71719C" w14:textId="77777777" w:rsidR="00E57DAA" w:rsidRDefault="00E57DAA">
                <w:pPr>
                  <w:jc w:val="right"/>
                  <w:rPr>
                    <w:sz w:val="11"/>
                    <w:szCs w:val="11"/>
                  </w:rPr>
                </w:pPr>
              </w:p>
            </w:tc>
            <w:tc>
              <w:tcPr>
                <w:tcW w:w="356" w:type="pct"/>
                <w:vAlign w:val="center"/>
              </w:tcPr>
              <w:p w14:paraId="21203BC0" w14:textId="77777777" w:rsidR="00E57DAA" w:rsidRDefault="00E57DAA">
                <w:pPr>
                  <w:jc w:val="right"/>
                  <w:rPr>
                    <w:sz w:val="11"/>
                    <w:szCs w:val="11"/>
                  </w:rPr>
                </w:pPr>
              </w:p>
            </w:tc>
            <w:tc>
              <w:tcPr>
                <w:tcW w:w="118" w:type="pct"/>
                <w:vAlign w:val="center"/>
              </w:tcPr>
              <w:p w14:paraId="6CA0F290" w14:textId="77777777" w:rsidR="00E57DAA" w:rsidRDefault="00E57DAA">
                <w:pPr>
                  <w:jc w:val="right"/>
                  <w:rPr>
                    <w:sz w:val="11"/>
                    <w:szCs w:val="11"/>
                  </w:rPr>
                </w:pPr>
              </w:p>
            </w:tc>
            <w:tc>
              <w:tcPr>
                <w:tcW w:w="415" w:type="pct"/>
                <w:vAlign w:val="center"/>
              </w:tcPr>
              <w:p w14:paraId="758678E4" w14:textId="77777777" w:rsidR="00E57DAA" w:rsidRDefault="00AC4185">
                <w:pPr>
                  <w:jc w:val="right"/>
                  <w:rPr>
                    <w:sz w:val="11"/>
                    <w:szCs w:val="11"/>
                  </w:rPr>
                </w:pPr>
                <w:r>
                  <w:rPr>
                    <w:sz w:val="11"/>
                    <w:szCs w:val="11"/>
                  </w:rPr>
                  <w:t>-2,740,000.00</w:t>
                </w:r>
              </w:p>
            </w:tc>
            <w:tc>
              <w:tcPr>
                <w:tcW w:w="149" w:type="pct"/>
                <w:vAlign w:val="center"/>
              </w:tcPr>
              <w:p w14:paraId="42D8C953" w14:textId="77777777" w:rsidR="00E57DAA" w:rsidRDefault="00E57DAA">
                <w:pPr>
                  <w:jc w:val="right"/>
                  <w:rPr>
                    <w:sz w:val="11"/>
                    <w:szCs w:val="11"/>
                  </w:rPr>
                </w:pPr>
              </w:p>
            </w:tc>
            <w:tc>
              <w:tcPr>
                <w:tcW w:w="415" w:type="pct"/>
                <w:vAlign w:val="center"/>
              </w:tcPr>
              <w:p w14:paraId="11B050CB" w14:textId="77777777" w:rsidR="00E57DAA" w:rsidRDefault="00AC4185">
                <w:pPr>
                  <w:jc w:val="right"/>
                  <w:rPr>
                    <w:sz w:val="11"/>
                    <w:szCs w:val="11"/>
                  </w:rPr>
                </w:pPr>
                <w:r>
                  <w:rPr>
                    <w:sz w:val="11"/>
                    <w:szCs w:val="11"/>
                  </w:rPr>
                  <w:t>-2,740,000.00</w:t>
                </w:r>
              </w:p>
            </w:tc>
            <w:tc>
              <w:tcPr>
                <w:tcW w:w="395" w:type="pct"/>
                <w:vAlign w:val="center"/>
              </w:tcPr>
              <w:p w14:paraId="341834D8" w14:textId="77777777" w:rsidR="00E57DAA" w:rsidRDefault="00E57DAA">
                <w:pPr>
                  <w:jc w:val="right"/>
                  <w:rPr>
                    <w:sz w:val="11"/>
                    <w:szCs w:val="11"/>
                  </w:rPr>
                </w:pPr>
              </w:p>
            </w:tc>
            <w:tc>
              <w:tcPr>
                <w:tcW w:w="415" w:type="pct"/>
                <w:vAlign w:val="center"/>
              </w:tcPr>
              <w:p w14:paraId="1FB005AF" w14:textId="77777777" w:rsidR="00E57DAA" w:rsidRDefault="00AC4185">
                <w:pPr>
                  <w:jc w:val="right"/>
                  <w:rPr>
                    <w:sz w:val="11"/>
                    <w:szCs w:val="11"/>
                  </w:rPr>
                </w:pPr>
                <w:r>
                  <w:rPr>
                    <w:sz w:val="11"/>
                    <w:szCs w:val="11"/>
                  </w:rPr>
                  <w:t>-2,740,000.00</w:t>
                </w:r>
              </w:p>
            </w:tc>
          </w:tr>
          <w:tr w:rsidR="00E57DAA" w14:paraId="7CFC2444" w14:textId="77777777">
            <w:sdt>
              <w:sdtPr>
                <w:rPr>
                  <w:sz w:val="11"/>
                  <w:szCs w:val="11"/>
                </w:rPr>
                <w:tag w:val="_PLD_a953b61d69004a7a91974afa1318df0a"/>
                <w:id w:val="684561740"/>
              </w:sdtPr>
              <w:sdtEndPr/>
              <w:sdtContent>
                <w:tc>
                  <w:tcPr>
                    <w:tcW w:w="498" w:type="pct"/>
                  </w:tcPr>
                  <w:p w14:paraId="4EE12EEC" w14:textId="77777777" w:rsidR="00E57DAA" w:rsidRDefault="00AC4185">
                    <w:pPr>
                      <w:rPr>
                        <w:sz w:val="11"/>
                        <w:szCs w:val="11"/>
                      </w:rPr>
                    </w:pPr>
                    <w:r>
                      <w:rPr>
                        <w:sz w:val="11"/>
                        <w:szCs w:val="11"/>
                      </w:rPr>
                      <w:t>（</w:t>
                    </w:r>
                    <w:r>
                      <w:rPr>
                        <w:rFonts w:hint="eastAsia"/>
                        <w:sz w:val="11"/>
                        <w:szCs w:val="11"/>
                      </w:rPr>
                      <w:t>四</w:t>
                    </w:r>
                    <w:r>
                      <w:rPr>
                        <w:sz w:val="11"/>
                        <w:szCs w:val="11"/>
                      </w:rPr>
                      <w:t>）所有者权益内部结转</w:t>
                    </w:r>
                  </w:p>
                </w:tc>
              </w:sdtContent>
            </w:sdt>
            <w:tc>
              <w:tcPr>
                <w:tcW w:w="395" w:type="pct"/>
                <w:vAlign w:val="center"/>
              </w:tcPr>
              <w:p w14:paraId="2FD1E3E9" w14:textId="77777777" w:rsidR="00E57DAA" w:rsidRDefault="00E57DAA">
                <w:pPr>
                  <w:jc w:val="right"/>
                  <w:rPr>
                    <w:sz w:val="11"/>
                    <w:szCs w:val="11"/>
                  </w:rPr>
                </w:pPr>
              </w:p>
            </w:tc>
            <w:tc>
              <w:tcPr>
                <w:tcW w:w="119" w:type="pct"/>
                <w:vAlign w:val="center"/>
              </w:tcPr>
              <w:p w14:paraId="222122C2" w14:textId="77777777" w:rsidR="00E57DAA" w:rsidRDefault="00E57DAA">
                <w:pPr>
                  <w:jc w:val="right"/>
                  <w:rPr>
                    <w:sz w:val="11"/>
                    <w:szCs w:val="11"/>
                  </w:rPr>
                </w:pPr>
              </w:p>
            </w:tc>
            <w:tc>
              <w:tcPr>
                <w:tcW w:w="119" w:type="pct"/>
                <w:vAlign w:val="center"/>
              </w:tcPr>
              <w:p w14:paraId="6C3F4065" w14:textId="77777777" w:rsidR="00E57DAA" w:rsidRDefault="00E57DAA">
                <w:pPr>
                  <w:jc w:val="right"/>
                  <w:rPr>
                    <w:sz w:val="11"/>
                    <w:szCs w:val="11"/>
                  </w:rPr>
                </w:pPr>
              </w:p>
            </w:tc>
            <w:tc>
              <w:tcPr>
                <w:tcW w:w="120" w:type="pct"/>
                <w:vAlign w:val="center"/>
              </w:tcPr>
              <w:p w14:paraId="51964D50" w14:textId="77777777" w:rsidR="00E57DAA" w:rsidRDefault="00E57DAA">
                <w:pPr>
                  <w:jc w:val="right"/>
                  <w:rPr>
                    <w:sz w:val="11"/>
                    <w:szCs w:val="11"/>
                  </w:rPr>
                </w:pPr>
              </w:p>
            </w:tc>
            <w:tc>
              <w:tcPr>
                <w:tcW w:w="395" w:type="pct"/>
                <w:vAlign w:val="center"/>
              </w:tcPr>
              <w:p w14:paraId="0E20E230" w14:textId="77777777" w:rsidR="00E57DAA" w:rsidRDefault="00E57DAA">
                <w:pPr>
                  <w:jc w:val="right"/>
                  <w:rPr>
                    <w:sz w:val="11"/>
                    <w:szCs w:val="11"/>
                  </w:rPr>
                </w:pPr>
              </w:p>
            </w:tc>
            <w:tc>
              <w:tcPr>
                <w:tcW w:w="356" w:type="pct"/>
                <w:vAlign w:val="center"/>
              </w:tcPr>
              <w:p w14:paraId="1E920309" w14:textId="77777777" w:rsidR="00E57DAA" w:rsidRDefault="00E57DAA">
                <w:pPr>
                  <w:jc w:val="right"/>
                  <w:rPr>
                    <w:sz w:val="11"/>
                    <w:szCs w:val="11"/>
                  </w:rPr>
                </w:pPr>
              </w:p>
            </w:tc>
            <w:tc>
              <w:tcPr>
                <w:tcW w:w="379" w:type="pct"/>
                <w:vAlign w:val="center"/>
              </w:tcPr>
              <w:p w14:paraId="628B4191" w14:textId="77777777" w:rsidR="00E57DAA" w:rsidRDefault="00E57DAA">
                <w:pPr>
                  <w:jc w:val="right"/>
                  <w:rPr>
                    <w:sz w:val="11"/>
                    <w:szCs w:val="11"/>
                  </w:rPr>
                </w:pPr>
              </w:p>
            </w:tc>
            <w:tc>
              <w:tcPr>
                <w:tcW w:w="356" w:type="pct"/>
                <w:vAlign w:val="center"/>
              </w:tcPr>
              <w:p w14:paraId="135F3497" w14:textId="77777777" w:rsidR="00E57DAA" w:rsidRDefault="00E57DAA">
                <w:pPr>
                  <w:jc w:val="right"/>
                  <w:rPr>
                    <w:sz w:val="11"/>
                    <w:szCs w:val="11"/>
                  </w:rPr>
                </w:pPr>
              </w:p>
            </w:tc>
            <w:tc>
              <w:tcPr>
                <w:tcW w:w="356" w:type="pct"/>
                <w:vAlign w:val="center"/>
              </w:tcPr>
              <w:p w14:paraId="46714153" w14:textId="77777777" w:rsidR="00E57DAA" w:rsidRDefault="00E57DAA">
                <w:pPr>
                  <w:jc w:val="right"/>
                  <w:rPr>
                    <w:sz w:val="11"/>
                    <w:szCs w:val="11"/>
                  </w:rPr>
                </w:pPr>
              </w:p>
            </w:tc>
            <w:tc>
              <w:tcPr>
                <w:tcW w:w="118" w:type="pct"/>
                <w:vAlign w:val="center"/>
              </w:tcPr>
              <w:p w14:paraId="01E3D709" w14:textId="77777777" w:rsidR="00E57DAA" w:rsidRDefault="00E57DAA">
                <w:pPr>
                  <w:jc w:val="right"/>
                  <w:rPr>
                    <w:sz w:val="11"/>
                    <w:szCs w:val="11"/>
                  </w:rPr>
                </w:pPr>
              </w:p>
            </w:tc>
            <w:tc>
              <w:tcPr>
                <w:tcW w:w="415" w:type="pct"/>
                <w:vAlign w:val="center"/>
              </w:tcPr>
              <w:p w14:paraId="1CBD2B7F" w14:textId="77777777" w:rsidR="00E57DAA" w:rsidRDefault="00E57DAA">
                <w:pPr>
                  <w:jc w:val="right"/>
                  <w:rPr>
                    <w:sz w:val="11"/>
                    <w:szCs w:val="11"/>
                  </w:rPr>
                </w:pPr>
              </w:p>
            </w:tc>
            <w:tc>
              <w:tcPr>
                <w:tcW w:w="149" w:type="pct"/>
                <w:vAlign w:val="center"/>
              </w:tcPr>
              <w:p w14:paraId="203A5599" w14:textId="77777777" w:rsidR="00E57DAA" w:rsidRDefault="00E57DAA">
                <w:pPr>
                  <w:jc w:val="right"/>
                  <w:rPr>
                    <w:sz w:val="11"/>
                    <w:szCs w:val="11"/>
                  </w:rPr>
                </w:pPr>
              </w:p>
            </w:tc>
            <w:tc>
              <w:tcPr>
                <w:tcW w:w="415" w:type="pct"/>
                <w:vAlign w:val="center"/>
              </w:tcPr>
              <w:p w14:paraId="78F28A5F" w14:textId="77777777" w:rsidR="00E57DAA" w:rsidRDefault="00E57DAA">
                <w:pPr>
                  <w:jc w:val="right"/>
                  <w:rPr>
                    <w:sz w:val="11"/>
                    <w:szCs w:val="11"/>
                  </w:rPr>
                </w:pPr>
              </w:p>
            </w:tc>
            <w:tc>
              <w:tcPr>
                <w:tcW w:w="395" w:type="pct"/>
                <w:vAlign w:val="center"/>
              </w:tcPr>
              <w:p w14:paraId="0BB35CC5" w14:textId="77777777" w:rsidR="00E57DAA" w:rsidRDefault="00E57DAA">
                <w:pPr>
                  <w:jc w:val="right"/>
                  <w:rPr>
                    <w:sz w:val="11"/>
                    <w:szCs w:val="11"/>
                  </w:rPr>
                </w:pPr>
              </w:p>
            </w:tc>
            <w:tc>
              <w:tcPr>
                <w:tcW w:w="415" w:type="pct"/>
                <w:vAlign w:val="center"/>
              </w:tcPr>
              <w:p w14:paraId="7AFAA796" w14:textId="77777777" w:rsidR="00E57DAA" w:rsidRDefault="00E57DAA">
                <w:pPr>
                  <w:jc w:val="right"/>
                  <w:rPr>
                    <w:sz w:val="11"/>
                    <w:szCs w:val="11"/>
                  </w:rPr>
                </w:pPr>
              </w:p>
            </w:tc>
          </w:tr>
          <w:tr w:rsidR="00E57DAA" w14:paraId="1509F3C8" w14:textId="77777777">
            <w:sdt>
              <w:sdtPr>
                <w:rPr>
                  <w:sz w:val="11"/>
                  <w:szCs w:val="11"/>
                </w:rPr>
                <w:tag w:val="_PLD_278fa3d290b3473aacd1d849016a2959"/>
                <w:id w:val="-732700977"/>
              </w:sdtPr>
              <w:sdtEndPr/>
              <w:sdtContent>
                <w:tc>
                  <w:tcPr>
                    <w:tcW w:w="498" w:type="pct"/>
                  </w:tcPr>
                  <w:p w14:paraId="700851CA" w14:textId="77777777" w:rsidR="00E57DAA" w:rsidRDefault="00AC4185">
                    <w:pPr>
                      <w:rPr>
                        <w:sz w:val="11"/>
                        <w:szCs w:val="11"/>
                      </w:rPr>
                    </w:pPr>
                    <w:r>
                      <w:rPr>
                        <w:sz w:val="11"/>
                        <w:szCs w:val="11"/>
                      </w:rPr>
                      <w:t>1．资本公积转增资本（或股本）</w:t>
                    </w:r>
                  </w:p>
                </w:tc>
              </w:sdtContent>
            </w:sdt>
            <w:tc>
              <w:tcPr>
                <w:tcW w:w="395" w:type="pct"/>
                <w:vAlign w:val="center"/>
              </w:tcPr>
              <w:p w14:paraId="0A36B3CA" w14:textId="77777777" w:rsidR="00E57DAA" w:rsidRDefault="00E57DAA">
                <w:pPr>
                  <w:jc w:val="right"/>
                  <w:rPr>
                    <w:sz w:val="11"/>
                    <w:szCs w:val="11"/>
                  </w:rPr>
                </w:pPr>
              </w:p>
            </w:tc>
            <w:tc>
              <w:tcPr>
                <w:tcW w:w="119" w:type="pct"/>
                <w:vAlign w:val="center"/>
              </w:tcPr>
              <w:p w14:paraId="6F9BF42B" w14:textId="77777777" w:rsidR="00E57DAA" w:rsidRDefault="00E57DAA">
                <w:pPr>
                  <w:jc w:val="right"/>
                  <w:rPr>
                    <w:sz w:val="11"/>
                    <w:szCs w:val="11"/>
                  </w:rPr>
                </w:pPr>
              </w:p>
            </w:tc>
            <w:tc>
              <w:tcPr>
                <w:tcW w:w="119" w:type="pct"/>
                <w:vAlign w:val="center"/>
              </w:tcPr>
              <w:p w14:paraId="4CF300C5" w14:textId="77777777" w:rsidR="00E57DAA" w:rsidRDefault="00E57DAA">
                <w:pPr>
                  <w:jc w:val="right"/>
                  <w:rPr>
                    <w:sz w:val="11"/>
                    <w:szCs w:val="11"/>
                  </w:rPr>
                </w:pPr>
              </w:p>
            </w:tc>
            <w:tc>
              <w:tcPr>
                <w:tcW w:w="120" w:type="pct"/>
                <w:vAlign w:val="center"/>
              </w:tcPr>
              <w:p w14:paraId="217155D1" w14:textId="77777777" w:rsidR="00E57DAA" w:rsidRDefault="00E57DAA">
                <w:pPr>
                  <w:jc w:val="right"/>
                  <w:rPr>
                    <w:sz w:val="11"/>
                    <w:szCs w:val="11"/>
                  </w:rPr>
                </w:pPr>
              </w:p>
            </w:tc>
            <w:tc>
              <w:tcPr>
                <w:tcW w:w="395" w:type="pct"/>
                <w:vAlign w:val="center"/>
              </w:tcPr>
              <w:p w14:paraId="13F5FB03" w14:textId="77777777" w:rsidR="00E57DAA" w:rsidRDefault="00E57DAA">
                <w:pPr>
                  <w:jc w:val="right"/>
                  <w:rPr>
                    <w:sz w:val="11"/>
                    <w:szCs w:val="11"/>
                  </w:rPr>
                </w:pPr>
              </w:p>
            </w:tc>
            <w:tc>
              <w:tcPr>
                <w:tcW w:w="356" w:type="pct"/>
                <w:vAlign w:val="center"/>
              </w:tcPr>
              <w:p w14:paraId="5EAB4B86" w14:textId="77777777" w:rsidR="00E57DAA" w:rsidRDefault="00E57DAA">
                <w:pPr>
                  <w:jc w:val="right"/>
                  <w:rPr>
                    <w:sz w:val="11"/>
                    <w:szCs w:val="11"/>
                  </w:rPr>
                </w:pPr>
              </w:p>
            </w:tc>
            <w:tc>
              <w:tcPr>
                <w:tcW w:w="379" w:type="pct"/>
                <w:vAlign w:val="center"/>
              </w:tcPr>
              <w:p w14:paraId="6C7D3EAD" w14:textId="77777777" w:rsidR="00E57DAA" w:rsidRDefault="00E57DAA">
                <w:pPr>
                  <w:jc w:val="right"/>
                  <w:rPr>
                    <w:sz w:val="11"/>
                    <w:szCs w:val="11"/>
                  </w:rPr>
                </w:pPr>
              </w:p>
            </w:tc>
            <w:tc>
              <w:tcPr>
                <w:tcW w:w="356" w:type="pct"/>
                <w:vAlign w:val="center"/>
              </w:tcPr>
              <w:p w14:paraId="1BDA5B60" w14:textId="77777777" w:rsidR="00E57DAA" w:rsidRDefault="00E57DAA">
                <w:pPr>
                  <w:jc w:val="right"/>
                  <w:rPr>
                    <w:sz w:val="11"/>
                    <w:szCs w:val="11"/>
                  </w:rPr>
                </w:pPr>
              </w:p>
            </w:tc>
            <w:tc>
              <w:tcPr>
                <w:tcW w:w="356" w:type="pct"/>
                <w:vAlign w:val="center"/>
              </w:tcPr>
              <w:p w14:paraId="22F03457" w14:textId="77777777" w:rsidR="00E57DAA" w:rsidRDefault="00E57DAA">
                <w:pPr>
                  <w:jc w:val="right"/>
                  <w:rPr>
                    <w:sz w:val="11"/>
                    <w:szCs w:val="11"/>
                  </w:rPr>
                </w:pPr>
              </w:p>
            </w:tc>
            <w:tc>
              <w:tcPr>
                <w:tcW w:w="118" w:type="pct"/>
                <w:vAlign w:val="center"/>
              </w:tcPr>
              <w:p w14:paraId="7414A580" w14:textId="77777777" w:rsidR="00E57DAA" w:rsidRDefault="00E57DAA">
                <w:pPr>
                  <w:jc w:val="right"/>
                  <w:rPr>
                    <w:sz w:val="11"/>
                    <w:szCs w:val="11"/>
                  </w:rPr>
                </w:pPr>
              </w:p>
            </w:tc>
            <w:tc>
              <w:tcPr>
                <w:tcW w:w="415" w:type="pct"/>
                <w:vAlign w:val="center"/>
              </w:tcPr>
              <w:p w14:paraId="571E0CAB" w14:textId="77777777" w:rsidR="00E57DAA" w:rsidRDefault="00E57DAA">
                <w:pPr>
                  <w:jc w:val="right"/>
                  <w:rPr>
                    <w:sz w:val="11"/>
                    <w:szCs w:val="11"/>
                  </w:rPr>
                </w:pPr>
              </w:p>
            </w:tc>
            <w:tc>
              <w:tcPr>
                <w:tcW w:w="149" w:type="pct"/>
                <w:vAlign w:val="center"/>
              </w:tcPr>
              <w:p w14:paraId="36D8EEFD" w14:textId="77777777" w:rsidR="00E57DAA" w:rsidRDefault="00E57DAA">
                <w:pPr>
                  <w:jc w:val="right"/>
                  <w:rPr>
                    <w:sz w:val="11"/>
                    <w:szCs w:val="11"/>
                  </w:rPr>
                </w:pPr>
              </w:p>
            </w:tc>
            <w:tc>
              <w:tcPr>
                <w:tcW w:w="415" w:type="pct"/>
                <w:vAlign w:val="center"/>
              </w:tcPr>
              <w:p w14:paraId="3B5524D8" w14:textId="77777777" w:rsidR="00E57DAA" w:rsidRDefault="00E57DAA">
                <w:pPr>
                  <w:jc w:val="right"/>
                  <w:rPr>
                    <w:sz w:val="11"/>
                    <w:szCs w:val="11"/>
                  </w:rPr>
                </w:pPr>
              </w:p>
            </w:tc>
            <w:tc>
              <w:tcPr>
                <w:tcW w:w="395" w:type="pct"/>
                <w:vAlign w:val="center"/>
              </w:tcPr>
              <w:p w14:paraId="4C735081" w14:textId="77777777" w:rsidR="00E57DAA" w:rsidRDefault="00E57DAA">
                <w:pPr>
                  <w:jc w:val="right"/>
                  <w:rPr>
                    <w:sz w:val="11"/>
                    <w:szCs w:val="11"/>
                  </w:rPr>
                </w:pPr>
              </w:p>
            </w:tc>
            <w:tc>
              <w:tcPr>
                <w:tcW w:w="415" w:type="pct"/>
                <w:vAlign w:val="center"/>
              </w:tcPr>
              <w:p w14:paraId="7EE43D20" w14:textId="77777777" w:rsidR="00E57DAA" w:rsidRDefault="00E57DAA">
                <w:pPr>
                  <w:jc w:val="right"/>
                  <w:rPr>
                    <w:sz w:val="11"/>
                    <w:szCs w:val="11"/>
                  </w:rPr>
                </w:pPr>
              </w:p>
            </w:tc>
          </w:tr>
          <w:tr w:rsidR="00E57DAA" w14:paraId="6F5FA707" w14:textId="77777777">
            <w:sdt>
              <w:sdtPr>
                <w:rPr>
                  <w:sz w:val="11"/>
                  <w:szCs w:val="11"/>
                </w:rPr>
                <w:tag w:val="_PLD_2dbeb2e6cbbd4ba2a65e4f369c7e7929"/>
                <w:id w:val="134920261"/>
              </w:sdtPr>
              <w:sdtEndPr/>
              <w:sdtContent>
                <w:tc>
                  <w:tcPr>
                    <w:tcW w:w="498" w:type="pct"/>
                  </w:tcPr>
                  <w:p w14:paraId="39D9FC93" w14:textId="77777777" w:rsidR="00E57DAA" w:rsidRDefault="00AC4185">
                    <w:pPr>
                      <w:rPr>
                        <w:sz w:val="11"/>
                        <w:szCs w:val="11"/>
                      </w:rPr>
                    </w:pPr>
                    <w:r>
                      <w:rPr>
                        <w:sz w:val="11"/>
                        <w:szCs w:val="11"/>
                      </w:rPr>
                      <w:t>2．盈余公积转增资本（或股本）</w:t>
                    </w:r>
                  </w:p>
                </w:tc>
              </w:sdtContent>
            </w:sdt>
            <w:tc>
              <w:tcPr>
                <w:tcW w:w="395" w:type="pct"/>
                <w:vAlign w:val="center"/>
              </w:tcPr>
              <w:p w14:paraId="7ABB60BA" w14:textId="77777777" w:rsidR="00E57DAA" w:rsidRDefault="00E57DAA">
                <w:pPr>
                  <w:jc w:val="right"/>
                  <w:rPr>
                    <w:sz w:val="11"/>
                    <w:szCs w:val="11"/>
                  </w:rPr>
                </w:pPr>
              </w:p>
            </w:tc>
            <w:tc>
              <w:tcPr>
                <w:tcW w:w="119" w:type="pct"/>
                <w:vAlign w:val="center"/>
              </w:tcPr>
              <w:p w14:paraId="017AAACC" w14:textId="77777777" w:rsidR="00E57DAA" w:rsidRDefault="00E57DAA">
                <w:pPr>
                  <w:jc w:val="right"/>
                  <w:rPr>
                    <w:sz w:val="11"/>
                    <w:szCs w:val="11"/>
                  </w:rPr>
                </w:pPr>
              </w:p>
            </w:tc>
            <w:tc>
              <w:tcPr>
                <w:tcW w:w="119" w:type="pct"/>
                <w:vAlign w:val="center"/>
              </w:tcPr>
              <w:p w14:paraId="59F704E3" w14:textId="77777777" w:rsidR="00E57DAA" w:rsidRDefault="00E57DAA">
                <w:pPr>
                  <w:jc w:val="right"/>
                  <w:rPr>
                    <w:sz w:val="11"/>
                    <w:szCs w:val="11"/>
                  </w:rPr>
                </w:pPr>
              </w:p>
            </w:tc>
            <w:tc>
              <w:tcPr>
                <w:tcW w:w="120" w:type="pct"/>
                <w:vAlign w:val="center"/>
              </w:tcPr>
              <w:p w14:paraId="74835BD1" w14:textId="77777777" w:rsidR="00E57DAA" w:rsidRDefault="00E57DAA">
                <w:pPr>
                  <w:jc w:val="right"/>
                  <w:rPr>
                    <w:sz w:val="11"/>
                    <w:szCs w:val="11"/>
                  </w:rPr>
                </w:pPr>
              </w:p>
            </w:tc>
            <w:tc>
              <w:tcPr>
                <w:tcW w:w="395" w:type="pct"/>
                <w:vAlign w:val="center"/>
              </w:tcPr>
              <w:p w14:paraId="6E66670C" w14:textId="77777777" w:rsidR="00E57DAA" w:rsidRDefault="00E57DAA">
                <w:pPr>
                  <w:jc w:val="right"/>
                  <w:rPr>
                    <w:sz w:val="11"/>
                    <w:szCs w:val="11"/>
                  </w:rPr>
                </w:pPr>
              </w:p>
            </w:tc>
            <w:tc>
              <w:tcPr>
                <w:tcW w:w="356" w:type="pct"/>
                <w:vAlign w:val="center"/>
              </w:tcPr>
              <w:p w14:paraId="698C1697" w14:textId="77777777" w:rsidR="00E57DAA" w:rsidRDefault="00E57DAA">
                <w:pPr>
                  <w:jc w:val="right"/>
                  <w:rPr>
                    <w:sz w:val="11"/>
                    <w:szCs w:val="11"/>
                  </w:rPr>
                </w:pPr>
              </w:p>
            </w:tc>
            <w:tc>
              <w:tcPr>
                <w:tcW w:w="379" w:type="pct"/>
                <w:vAlign w:val="center"/>
              </w:tcPr>
              <w:p w14:paraId="3E4B99F7" w14:textId="77777777" w:rsidR="00E57DAA" w:rsidRDefault="00E57DAA">
                <w:pPr>
                  <w:jc w:val="right"/>
                  <w:rPr>
                    <w:sz w:val="11"/>
                    <w:szCs w:val="11"/>
                  </w:rPr>
                </w:pPr>
              </w:p>
            </w:tc>
            <w:tc>
              <w:tcPr>
                <w:tcW w:w="356" w:type="pct"/>
                <w:vAlign w:val="center"/>
              </w:tcPr>
              <w:p w14:paraId="755E5CEA" w14:textId="77777777" w:rsidR="00E57DAA" w:rsidRDefault="00E57DAA">
                <w:pPr>
                  <w:jc w:val="right"/>
                  <w:rPr>
                    <w:sz w:val="11"/>
                    <w:szCs w:val="11"/>
                  </w:rPr>
                </w:pPr>
              </w:p>
            </w:tc>
            <w:tc>
              <w:tcPr>
                <w:tcW w:w="356" w:type="pct"/>
                <w:vAlign w:val="center"/>
              </w:tcPr>
              <w:p w14:paraId="401F6216" w14:textId="77777777" w:rsidR="00E57DAA" w:rsidRDefault="00E57DAA">
                <w:pPr>
                  <w:jc w:val="right"/>
                  <w:rPr>
                    <w:sz w:val="11"/>
                    <w:szCs w:val="11"/>
                  </w:rPr>
                </w:pPr>
              </w:p>
            </w:tc>
            <w:tc>
              <w:tcPr>
                <w:tcW w:w="118" w:type="pct"/>
                <w:vAlign w:val="center"/>
              </w:tcPr>
              <w:p w14:paraId="0F02C12F" w14:textId="77777777" w:rsidR="00E57DAA" w:rsidRDefault="00E57DAA">
                <w:pPr>
                  <w:jc w:val="right"/>
                  <w:rPr>
                    <w:sz w:val="11"/>
                    <w:szCs w:val="11"/>
                  </w:rPr>
                </w:pPr>
              </w:p>
            </w:tc>
            <w:tc>
              <w:tcPr>
                <w:tcW w:w="415" w:type="pct"/>
                <w:vAlign w:val="center"/>
              </w:tcPr>
              <w:p w14:paraId="77B9DDB8" w14:textId="77777777" w:rsidR="00E57DAA" w:rsidRDefault="00E57DAA">
                <w:pPr>
                  <w:jc w:val="right"/>
                  <w:rPr>
                    <w:sz w:val="11"/>
                    <w:szCs w:val="11"/>
                  </w:rPr>
                </w:pPr>
              </w:p>
            </w:tc>
            <w:tc>
              <w:tcPr>
                <w:tcW w:w="149" w:type="pct"/>
                <w:vAlign w:val="center"/>
              </w:tcPr>
              <w:p w14:paraId="307BDE25" w14:textId="77777777" w:rsidR="00E57DAA" w:rsidRDefault="00E57DAA">
                <w:pPr>
                  <w:jc w:val="right"/>
                  <w:rPr>
                    <w:sz w:val="11"/>
                    <w:szCs w:val="11"/>
                  </w:rPr>
                </w:pPr>
              </w:p>
            </w:tc>
            <w:tc>
              <w:tcPr>
                <w:tcW w:w="415" w:type="pct"/>
                <w:vAlign w:val="center"/>
              </w:tcPr>
              <w:p w14:paraId="1B06067D" w14:textId="77777777" w:rsidR="00E57DAA" w:rsidRDefault="00E57DAA">
                <w:pPr>
                  <w:jc w:val="right"/>
                  <w:rPr>
                    <w:sz w:val="11"/>
                    <w:szCs w:val="11"/>
                  </w:rPr>
                </w:pPr>
              </w:p>
            </w:tc>
            <w:tc>
              <w:tcPr>
                <w:tcW w:w="395" w:type="pct"/>
                <w:vAlign w:val="center"/>
              </w:tcPr>
              <w:p w14:paraId="5133A31B" w14:textId="77777777" w:rsidR="00E57DAA" w:rsidRDefault="00E57DAA">
                <w:pPr>
                  <w:jc w:val="right"/>
                  <w:rPr>
                    <w:sz w:val="11"/>
                    <w:szCs w:val="11"/>
                  </w:rPr>
                </w:pPr>
              </w:p>
            </w:tc>
            <w:tc>
              <w:tcPr>
                <w:tcW w:w="415" w:type="pct"/>
                <w:vAlign w:val="center"/>
              </w:tcPr>
              <w:p w14:paraId="45051767" w14:textId="77777777" w:rsidR="00E57DAA" w:rsidRDefault="00E57DAA">
                <w:pPr>
                  <w:jc w:val="right"/>
                  <w:rPr>
                    <w:sz w:val="11"/>
                    <w:szCs w:val="11"/>
                  </w:rPr>
                </w:pPr>
              </w:p>
            </w:tc>
          </w:tr>
          <w:tr w:rsidR="00E57DAA" w14:paraId="1A8FC1EF" w14:textId="77777777">
            <w:sdt>
              <w:sdtPr>
                <w:rPr>
                  <w:sz w:val="11"/>
                  <w:szCs w:val="11"/>
                </w:rPr>
                <w:tag w:val="_PLD_58f2b570df754e85bb72c0f63cdd3f1c"/>
                <w:id w:val="-1737313590"/>
              </w:sdtPr>
              <w:sdtEndPr/>
              <w:sdtContent>
                <w:tc>
                  <w:tcPr>
                    <w:tcW w:w="498" w:type="pct"/>
                  </w:tcPr>
                  <w:p w14:paraId="4397A4DD" w14:textId="77777777" w:rsidR="00E57DAA" w:rsidRDefault="00AC4185">
                    <w:pPr>
                      <w:rPr>
                        <w:sz w:val="11"/>
                        <w:szCs w:val="11"/>
                      </w:rPr>
                    </w:pPr>
                    <w:r>
                      <w:rPr>
                        <w:sz w:val="11"/>
                        <w:szCs w:val="11"/>
                      </w:rPr>
                      <w:t>3．盈余公积弥补亏损</w:t>
                    </w:r>
                  </w:p>
                </w:tc>
              </w:sdtContent>
            </w:sdt>
            <w:tc>
              <w:tcPr>
                <w:tcW w:w="395" w:type="pct"/>
                <w:vAlign w:val="center"/>
              </w:tcPr>
              <w:p w14:paraId="2B9C8CBA" w14:textId="77777777" w:rsidR="00E57DAA" w:rsidRDefault="00E57DAA">
                <w:pPr>
                  <w:jc w:val="right"/>
                  <w:rPr>
                    <w:sz w:val="11"/>
                    <w:szCs w:val="11"/>
                  </w:rPr>
                </w:pPr>
              </w:p>
            </w:tc>
            <w:tc>
              <w:tcPr>
                <w:tcW w:w="119" w:type="pct"/>
                <w:vAlign w:val="center"/>
              </w:tcPr>
              <w:p w14:paraId="2FCF7843" w14:textId="77777777" w:rsidR="00E57DAA" w:rsidRDefault="00E57DAA">
                <w:pPr>
                  <w:jc w:val="right"/>
                  <w:rPr>
                    <w:sz w:val="11"/>
                    <w:szCs w:val="11"/>
                  </w:rPr>
                </w:pPr>
              </w:p>
            </w:tc>
            <w:tc>
              <w:tcPr>
                <w:tcW w:w="119" w:type="pct"/>
                <w:vAlign w:val="center"/>
              </w:tcPr>
              <w:p w14:paraId="45458120" w14:textId="77777777" w:rsidR="00E57DAA" w:rsidRDefault="00E57DAA">
                <w:pPr>
                  <w:jc w:val="right"/>
                  <w:rPr>
                    <w:sz w:val="11"/>
                    <w:szCs w:val="11"/>
                  </w:rPr>
                </w:pPr>
              </w:p>
            </w:tc>
            <w:tc>
              <w:tcPr>
                <w:tcW w:w="120" w:type="pct"/>
                <w:vAlign w:val="center"/>
              </w:tcPr>
              <w:p w14:paraId="167779DA" w14:textId="77777777" w:rsidR="00E57DAA" w:rsidRDefault="00E57DAA">
                <w:pPr>
                  <w:jc w:val="right"/>
                  <w:rPr>
                    <w:sz w:val="11"/>
                    <w:szCs w:val="11"/>
                  </w:rPr>
                </w:pPr>
              </w:p>
            </w:tc>
            <w:tc>
              <w:tcPr>
                <w:tcW w:w="395" w:type="pct"/>
                <w:vAlign w:val="center"/>
              </w:tcPr>
              <w:p w14:paraId="008A4FC7" w14:textId="77777777" w:rsidR="00E57DAA" w:rsidRDefault="00E57DAA">
                <w:pPr>
                  <w:jc w:val="right"/>
                  <w:rPr>
                    <w:sz w:val="11"/>
                    <w:szCs w:val="11"/>
                  </w:rPr>
                </w:pPr>
              </w:p>
            </w:tc>
            <w:tc>
              <w:tcPr>
                <w:tcW w:w="356" w:type="pct"/>
                <w:vAlign w:val="center"/>
              </w:tcPr>
              <w:p w14:paraId="552345E1" w14:textId="77777777" w:rsidR="00E57DAA" w:rsidRDefault="00E57DAA">
                <w:pPr>
                  <w:jc w:val="right"/>
                  <w:rPr>
                    <w:sz w:val="11"/>
                    <w:szCs w:val="11"/>
                  </w:rPr>
                </w:pPr>
              </w:p>
            </w:tc>
            <w:tc>
              <w:tcPr>
                <w:tcW w:w="379" w:type="pct"/>
                <w:vAlign w:val="center"/>
              </w:tcPr>
              <w:p w14:paraId="453CB89B" w14:textId="77777777" w:rsidR="00E57DAA" w:rsidRDefault="00E57DAA">
                <w:pPr>
                  <w:jc w:val="right"/>
                  <w:rPr>
                    <w:sz w:val="11"/>
                    <w:szCs w:val="11"/>
                  </w:rPr>
                </w:pPr>
              </w:p>
            </w:tc>
            <w:tc>
              <w:tcPr>
                <w:tcW w:w="356" w:type="pct"/>
                <w:vAlign w:val="center"/>
              </w:tcPr>
              <w:p w14:paraId="4582FEE1" w14:textId="77777777" w:rsidR="00E57DAA" w:rsidRDefault="00E57DAA">
                <w:pPr>
                  <w:jc w:val="right"/>
                  <w:rPr>
                    <w:sz w:val="11"/>
                    <w:szCs w:val="11"/>
                  </w:rPr>
                </w:pPr>
              </w:p>
            </w:tc>
            <w:tc>
              <w:tcPr>
                <w:tcW w:w="356" w:type="pct"/>
                <w:vAlign w:val="center"/>
              </w:tcPr>
              <w:p w14:paraId="4D78DF25" w14:textId="77777777" w:rsidR="00E57DAA" w:rsidRDefault="00E57DAA">
                <w:pPr>
                  <w:jc w:val="right"/>
                  <w:rPr>
                    <w:sz w:val="11"/>
                    <w:szCs w:val="11"/>
                  </w:rPr>
                </w:pPr>
              </w:p>
            </w:tc>
            <w:tc>
              <w:tcPr>
                <w:tcW w:w="118" w:type="pct"/>
                <w:vAlign w:val="center"/>
              </w:tcPr>
              <w:p w14:paraId="31156D60" w14:textId="77777777" w:rsidR="00E57DAA" w:rsidRDefault="00E57DAA">
                <w:pPr>
                  <w:jc w:val="right"/>
                  <w:rPr>
                    <w:sz w:val="11"/>
                    <w:szCs w:val="11"/>
                  </w:rPr>
                </w:pPr>
              </w:p>
            </w:tc>
            <w:tc>
              <w:tcPr>
                <w:tcW w:w="415" w:type="pct"/>
                <w:vAlign w:val="center"/>
              </w:tcPr>
              <w:p w14:paraId="1E11DB09" w14:textId="77777777" w:rsidR="00E57DAA" w:rsidRDefault="00E57DAA">
                <w:pPr>
                  <w:jc w:val="right"/>
                  <w:rPr>
                    <w:sz w:val="11"/>
                    <w:szCs w:val="11"/>
                  </w:rPr>
                </w:pPr>
              </w:p>
            </w:tc>
            <w:tc>
              <w:tcPr>
                <w:tcW w:w="149" w:type="pct"/>
                <w:vAlign w:val="center"/>
              </w:tcPr>
              <w:p w14:paraId="2E0CB5F9" w14:textId="77777777" w:rsidR="00E57DAA" w:rsidRDefault="00E57DAA">
                <w:pPr>
                  <w:jc w:val="right"/>
                  <w:rPr>
                    <w:sz w:val="11"/>
                    <w:szCs w:val="11"/>
                  </w:rPr>
                </w:pPr>
              </w:p>
            </w:tc>
            <w:tc>
              <w:tcPr>
                <w:tcW w:w="415" w:type="pct"/>
                <w:vAlign w:val="center"/>
              </w:tcPr>
              <w:p w14:paraId="38ADD2CC" w14:textId="77777777" w:rsidR="00E57DAA" w:rsidRDefault="00E57DAA">
                <w:pPr>
                  <w:jc w:val="right"/>
                  <w:rPr>
                    <w:sz w:val="11"/>
                    <w:szCs w:val="11"/>
                  </w:rPr>
                </w:pPr>
              </w:p>
            </w:tc>
            <w:tc>
              <w:tcPr>
                <w:tcW w:w="395" w:type="pct"/>
                <w:vAlign w:val="center"/>
              </w:tcPr>
              <w:p w14:paraId="7F7C9E91" w14:textId="77777777" w:rsidR="00E57DAA" w:rsidRDefault="00E57DAA">
                <w:pPr>
                  <w:jc w:val="right"/>
                  <w:rPr>
                    <w:sz w:val="11"/>
                    <w:szCs w:val="11"/>
                  </w:rPr>
                </w:pPr>
              </w:p>
            </w:tc>
            <w:tc>
              <w:tcPr>
                <w:tcW w:w="415" w:type="pct"/>
                <w:vAlign w:val="center"/>
              </w:tcPr>
              <w:p w14:paraId="6ADC254C" w14:textId="77777777" w:rsidR="00E57DAA" w:rsidRDefault="00E57DAA">
                <w:pPr>
                  <w:jc w:val="right"/>
                  <w:rPr>
                    <w:sz w:val="11"/>
                    <w:szCs w:val="11"/>
                  </w:rPr>
                </w:pPr>
              </w:p>
            </w:tc>
          </w:tr>
          <w:tr w:rsidR="00E57DAA" w14:paraId="55512B6F" w14:textId="77777777">
            <w:tc>
              <w:tcPr>
                <w:tcW w:w="498" w:type="pct"/>
              </w:tcPr>
              <w:sdt>
                <w:sdtPr>
                  <w:rPr>
                    <w:sz w:val="11"/>
                    <w:szCs w:val="11"/>
                  </w:rPr>
                  <w:tag w:val="_PLD_88022ba02c7c4775ba5e9f75f6b07fa4"/>
                  <w:id w:val="1406492986"/>
                </w:sdtPr>
                <w:sdtEndPr/>
                <w:sdtContent>
                  <w:p w14:paraId="180FA1E7" w14:textId="77777777" w:rsidR="00E57DAA" w:rsidRDefault="00AC4185">
                    <w:pPr>
                      <w:rPr>
                        <w:sz w:val="11"/>
                        <w:szCs w:val="11"/>
                      </w:rPr>
                    </w:pPr>
                    <w:r>
                      <w:rPr>
                        <w:sz w:val="11"/>
                        <w:szCs w:val="11"/>
                      </w:rPr>
                      <w:t>4．设定受益计划变动额结转留存收益</w:t>
                    </w:r>
                  </w:p>
                </w:sdtContent>
              </w:sdt>
            </w:tc>
            <w:tc>
              <w:tcPr>
                <w:tcW w:w="395" w:type="pct"/>
                <w:vAlign w:val="center"/>
              </w:tcPr>
              <w:p w14:paraId="2AC2D79D" w14:textId="77777777" w:rsidR="00E57DAA" w:rsidRDefault="00E57DAA">
                <w:pPr>
                  <w:jc w:val="right"/>
                  <w:rPr>
                    <w:sz w:val="11"/>
                    <w:szCs w:val="11"/>
                  </w:rPr>
                </w:pPr>
              </w:p>
            </w:tc>
            <w:tc>
              <w:tcPr>
                <w:tcW w:w="119" w:type="pct"/>
                <w:vAlign w:val="center"/>
              </w:tcPr>
              <w:p w14:paraId="0FD65A76" w14:textId="77777777" w:rsidR="00E57DAA" w:rsidRDefault="00E57DAA">
                <w:pPr>
                  <w:jc w:val="right"/>
                  <w:rPr>
                    <w:sz w:val="11"/>
                    <w:szCs w:val="11"/>
                  </w:rPr>
                </w:pPr>
              </w:p>
            </w:tc>
            <w:tc>
              <w:tcPr>
                <w:tcW w:w="119" w:type="pct"/>
                <w:vAlign w:val="center"/>
              </w:tcPr>
              <w:p w14:paraId="2D590BBA" w14:textId="77777777" w:rsidR="00E57DAA" w:rsidRDefault="00E57DAA">
                <w:pPr>
                  <w:jc w:val="right"/>
                  <w:rPr>
                    <w:sz w:val="11"/>
                    <w:szCs w:val="11"/>
                  </w:rPr>
                </w:pPr>
              </w:p>
            </w:tc>
            <w:tc>
              <w:tcPr>
                <w:tcW w:w="120" w:type="pct"/>
                <w:vAlign w:val="center"/>
              </w:tcPr>
              <w:p w14:paraId="4C23B483" w14:textId="77777777" w:rsidR="00E57DAA" w:rsidRDefault="00E57DAA">
                <w:pPr>
                  <w:jc w:val="right"/>
                  <w:rPr>
                    <w:sz w:val="11"/>
                    <w:szCs w:val="11"/>
                  </w:rPr>
                </w:pPr>
              </w:p>
            </w:tc>
            <w:tc>
              <w:tcPr>
                <w:tcW w:w="395" w:type="pct"/>
                <w:vAlign w:val="center"/>
              </w:tcPr>
              <w:p w14:paraId="10D0EC8B" w14:textId="77777777" w:rsidR="00E57DAA" w:rsidRDefault="00E57DAA">
                <w:pPr>
                  <w:jc w:val="right"/>
                  <w:rPr>
                    <w:sz w:val="11"/>
                    <w:szCs w:val="11"/>
                  </w:rPr>
                </w:pPr>
              </w:p>
            </w:tc>
            <w:tc>
              <w:tcPr>
                <w:tcW w:w="356" w:type="pct"/>
                <w:vAlign w:val="center"/>
              </w:tcPr>
              <w:p w14:paraId="3A0F5A00" w14:textId="77777777" w:rsidR="00E57DAA" w:rsidRDefault="00E57DAA">
                <w:pPr>
                  <w:jc w:val="right"/>
                  <w:rPr>
                    <w:sz w:val="11"/>
                    <w:szCs w:val="11"/>
                  </w:rPr>
                </w:pPr>
              </w:p>
            </w:tc>
            <w:tc>
              <w:tcPr>
                <w:tcW w:w="379" w:type="pct"/>
                <w:vAlign w:val="center"/>
              </w:tcPr>
              <w:p w14:paraId="79FC931B" w14:textId="77777777" w:rsidR="00E57DAA" w:rsidRDefault="00E57DAA">
                <w:pPr>
                  <w:jc w:val="right"/>
                  <w:rPr>
                    <w:sz w:val="11"/>
                    <w:szCs w:val="11"/>
                  </w:rPr>
                </w:pPr>
              </w:p>
            </w:tc>
            <w:tc>
              <w:tcPr>
                <w:tcW w:w="356" w:type="pct"/>
                <w:vAlign w:val="center"/>
              </w:tcPr>
              <w:p w14:paraId="69A45C3B" w14:textId="77777777" w:rsidR="00E57DAA" w:rsidRDefault="00E57DAA">
                <w:pPr>
                  <w:jc w:val="right"/>
                  <w:rPr>
                    <w:sz w:val="11"/>
                    <w:szCs w:val="11"/>
                  </w:rPr>
                </w:pPr>
              </w:p>
            </w:tc>
            <w:tc>
              <w:tcPr>
                <w:tcW w:w="356" w:type="pct"/>
                <w:vAlign w:val="center"/>
              </w:tcPr>
              <w:p w14:paraId="61733326" w14:textId="77777777" w:rsidR="00E57DAA" w:rsidRDefault="00E57DAA">
                <w:pPr>
                  <w:jc w:val="right"/>
                  <w:rPr>
                    <w:sz w:val="11"/>
                    <w:szCs w:val="11"/>
                  </w:rPr>
                </w:pPr>
              </w:p>
            </w:tc>
            <w:tc>
              <w:tcPr>
                <w:tcW w:w="118" w:type="pct"/>
                <w:vAlign w:val="center"/>
              </w:tcPr>
              <w:p w14:paraId="1B7E3257" w14:textId="77777777" w:rsidR="00E57DAA" w:rsidRDefault="00E57DAA">
                <w:pPr>
                  <w:jc w:val="right"/>
                  <w:rPr>
                    <w:sz w:val="11"/>
                    <w:szCs w:val="11"/>
                  </w:rPr>
                </w:pPr>
              </w:p>
            </w:tc>
            <w:tc>
              <w:tcPr>
                <w:tcW w:w="415" w:type="pct"/>
                <w:vAlign w:val="center"/>
              </w:tcPr>
              <w:p w14:paraId="535DFEE8" w14:textId="77777777" w:rsidR="00E57DAA" w:rsidRDefault="00E57DAA">
                <w:pPr>
                  <w:jc w:val="right"/>
                  <w:rPr>
                    <w:sz w:val="11"/>
                    <w:szCs w:val="11"/>
                  </w:rPr>
                </w:pPr>
              </w:p>
            </w:tc>
            <w:tc>
              <w:tcPr>
                <w:tcW w:w="149" w:type="pct"/>
                <w:vAlign w:val="center"/>
              </w:tcPr>
              <w:p w14:paraId="5808F92D" w14:textId="77777777" w:rsidR="00E57DAA" w:rsidRDefault="00E57DAA">
                <w:pPr>
                  <w:jc w:val="right"/>
                  <w:rPr>
                    <w:sz w:val="11"/>
                    <w:szCs w:val="11"/>
                  </w:rPr>
                </w:pPr>
              </w:p>
            </w:tc>
            <w:tc>
              <w:tcPr>
                <w:tcW w:w="415" w:type="pct"/>
                <w:vAlign w:val="center"/>
              </w:tcPr>
              <w:p w14:paraId="6B4C0697" w14:textId="77777777" w:rsidR="00E57DAA" w:rsidRDefault="00E57DAA">
                <w:pPr>
                  <w:jc w:val="right"/>
                  <w:rPr>
                    <w:sz w:val="11"/>
                    <w:szCs w:val="11"/>
                  </w:rPr>
                </w:pPr>
              </w:p>
            </w:tc>
            <w:tc>
              <w:tcPr>
                <w:tcW w:w="395" w:type="pct"/>
                <w:vAlign w:val="center"/>
              </w:tcPr>
              <w:p w14:paraId="5EA5C77D" w14:textId="77777777" w:rsidR="00E57DAA" w:rsidRDefault="00E57DAA">
                <w:pPr>
                  <w:jc w:val="right"/>
                  <w:rPr>
                    <w:sz w:val="11"/>
                    <w:szCs w:val="11"/>
                  </w:rPr>
                </w:pPr>
              </w:p>
            </w:tc>
            <w:tc>
              <w:tcPr>
                <w:tcW w:w="415" w:type="pct"/>
                <w:vAlign w:val="center"/>
              </w:tcPr>
              <w:p w14:paraId="18E2F156" w14:textId="77777777" w:rsidR="00E57DAA" w:rsidRDefault="00E57DAA">
                <w:pPr>
                  <w:jc w:val="right"/>
                  <w:rPr>
                    <w:sz w:val="11"/>
                    <w:szCs w:val="11"/>
                  </w:rPr>
                </w:pPr>
              </w:p>
            </w:tc>
          </w:tr>
          <w:tr w:rsidR="00E57DAA" w14:paraId="5D257CF0" w14:textId="77777777">
            <w:tc>
              <w:tcPr>
                <w:tcW w:w="498" w:type="pct"/>
              </w:tcPr>
              <w:sdt>
                <w:sdtPr>
                  <w:rPr>
                    <w:sz w:val="11"/>
                    <w:szCs w:val="11"/>
                  </w:rPr>
                  <w:tag w:val="_PLD_0259028a18dd4c059a8b77a9e4fe86f9"/>
                  <w:id w:val="1204056405"/>
                </w:sdtPr>
                <w:sdtEndPr/>
                <w:sdtContent>
                  <w:p w14:paraId="25FC2E32" w14:textId="77777777" w:rsidR="00E57DAA" w:rsidRDefault="00AC4185">
                    <w:pPr>
                      <w:rPr>
                        <w:sz w:val="11"/>
                        <w:szCs w:val="11"/>
                      </w:rPr>
                    </w:pPr>
                    <w:r>
                      <w:rPr>
                        <w:sz w:val="11"/>
                        <w:szCs w:val="11"/>
                      </w:rPr>
                      <w:t>5．其他综合收益结转留存收益</w:t>
                    </w:r>
                  </w:p>
                </w:sdtContent>
              </w:sdt>
            </w:tc>
            <w:tc>
              <w:tcPr>
                <w:tcW w:w="395" w:type="pct"/>
                <w:vAlign w:val="center"/>
              </w:tcPr>
              <w:p w14:paraId="56850B14" w14:textId="77777777" w:rsidR="00E57DAA" w:rsidRDefault="00E57DAA">
                <w:pPr>
                  <w:jc w:val="right"/>
                  <w:rPr>
                    <w:sz w:val="11"/>
                    <w:szCs w:val="11"/>
                  </w:rPr>
                </w:pPr>
              </w:p>
            </w:tc>
            <w:tc>
              <w:tcPr>
                <w:tcW w:w="119" w:type="pct"/>
                <w:vAlign w:val="center"/>
              </w:tcPr>
              <w:p w14:paraId="4906F314" w14:textId="77777777" w:rsidR="00E57DAA" w:rsidRDefault="00E57DAA">
                <w:pPr>
                  <w:jc w:val="right"/>
                  <w:rPr>
                    <w:sz w:val="11"/>
                    <w:szCs w:val="11"/>
                  </w:rPr>
                </w:pPr>
              </w:p>
            </w:tc>
            <w:tc>
              <w:tcPr>
                <w:tcW w:w="119" w:type="pct"/>
                <w:vAlign w:val="center"/>
              </w:tcPr>
              <w:p w14:paraId="2AA826ED" w14:textId="77777777" w:rsidR="00E57DAA" w:rsidRDefault="00E57DAA">
                <w:pPr>
                  <w:jc w:val="right"/>
                  <w:rPr>
                    <w:sz w:val="11"/>
                    <w:szCs w:val="11"/>
                  </w:rPr>
                </w:pPr>
              </w:p>
            </w:tc>
            <w:tc>
              <w:tcPr>
                <w:tcW w:w="120" w:type="pct"/>
                <w:vAlign w:val="center"/>
              </w:tcPr>
              <w:p w14:paraId="0FEA11B7" w14:textId="77777777" w:rsidR="00E57DAA" w:rsidRDefault="00E57DAA">
                <w:pPr>
                  <w:jc w:val="right"/>
                  <w:rPr>
                    <w:sz w:val="11"/>
                    <w:szCs w:val="11"/>
                  </w:rPr>
                </w:pPr>
              </w:p>
            </w:tc>
            <w:tc>
              <w:tcPr>
                <w:tcW w:w="395" w:type="pct"/>
                <w:vAlign w:val="center"/>
              </w:tcPr>
              <w:p w14:paraId="21B65520" w14:textId="77777777" w:rsidR="00E57DAA" w:rsidRDefault="00E57DAA">
                <w:pPr>
                  <w:jc w:val="right"/>
                  <w:rPr>
                    <w:sz w:val="11"/>
                    <w:szCs w:val="11"/>
                  </w:rPr>
                </w:pPr>
              </w:p>
            </w:tc>
            <w:tc>
              <w:tcPr>
                <w:tcW w:w="356" w:type="pct"/>
                <w:vAlign w:val="center"/>
              </w:tcPr>
              <w:p w14:paraId="6AEC7694" w14:textId="77777777" w:rsidR="00E57DAA" w:rsidRDefault="00E57DAA">
                <w:pPr>
                  <w:jc w:val="right"/>
                  <w:rPr>
                    <w:sz w:val="11"/>
                    <w:szCs w:val="11"/>
                  </w:rPr>
                </w:pPr>
              </w:p>
            </w:tc>
            <w:tc>
              <w:tcPr>
                <w:tcW w:w="379" w:type="pct"/>
                <w:vAlign w:val="center"/>
              </w:tcPr>
              <w:p w14:paraId="0C8DF053" w14:textId="77777777" w:rsidR="00E57DAA" w:rsidRDefault="00E57DAA">
                <w:pPr>
                  <w:jc w:val="right"/>
                  <w:rPr>
                    <w:sz w:val="11"/>
                    <w:szCs w:val="11"/>
                  </w:rPr>
                </w:pPr>
              </w:p>
            </w:tc>
            <w:tc>
              <w:tcPr>
                <w:tcW w:w="356" w:type="pct"/>
                <w:vAlign w:val="center"/>
              </w:tcPr>
              <w:p w14:paraId="3C494AA3" w14:textId="77777777" w:rsidR="00E57DAA" w:rsidRDefault="00E57DAA">
                <w:pPr>
                  <w:jc w:val="right"/>
                  <w:rPr>
                    <w:sz w:val="11"/>
                    <w:szCs w:val="11"/>
                  </w:rPr>
                </w:pPr>
              </w:p>
            </w:tc>
            <w:tc>
              <w:tcPr>
                <w:tcW w:w="356" w:type="pct"/>
                <w:vAlign w:val="center"/>
              </w:tcPr>
              <w:p w14:paraId="62C128AD" w14:textId="77777777" w:rsidR="00E57DAA" w:rsidRDefault="00E57DAA">
                <w:pPr>
                  <w:jc w:val="right"/>
                  <w:rPr>
                    <w:sz w:val="11"/>
                    <w:szCs w:val="11"/>
                  </w:rPr>
                </w:pPr>
              </w:p>
            </w:tc>
            <w:tc>
              <w:tcPr>
                <w:tcW w:w="118" w:type="pct"/>
                <w:vAlign w:val="center"/>
              </w:tcPr>
              <w:p w14:paraId="27427068" w14:textId="77777777" w:rsidR="00E57DAA" w:rsidRDefault="00E57DAA">
                <w:pPr>
                  <w:jc w:val="right"/>
                  <w:rPr>
                    <w:sz w:val="11"/>
                    <w:szCs w:val="11"/>
                  </w:rPr>
                </w:pPr>
              </w:p>
            </w:tc>
            <w:tc>
              <w:tcPr>
                <w:tcW w:w="415" w:type="pct"/>
                <w:vAlign w:val="center"/>
              </w:tcPr>
              <w:p w14:paraId="3ADF0D6A" w14:textId="77777777" w:rsidR="00E57DAA" w:rsidRDefault="00E57DAA">
                <w:pPr>
                  <w:jc w:val="right"/>
                  <w:rPr>
                    <w:sz w:val="11"/>
                    <w:szCs w:val="11"/>
                  </w:rPr>
                </w:pPr>
              </w:p>
            </w:tc>
            <w:tc>
              <w:tcPr>
                <w:tcW w:w="149" w:type="pct"/>
                <w:vAlign w:val="center"/>
              </w:tcPr>
              <w:p w14:paraId="1A1267DD" w14:textId="77777777" w:rsidR="00E57DAA" w:rsidRDefault="00E57DAA">
                <w:pPr>
                  <w:jc w:val="right"/>
                  <w:rPr>
                    <w:sz w:val="11"/>
                    <w:szCs w:val="11"/>
                  </w:rPr>
                </w:pPr>
              </w:p>
            </w:tc>
            <w:tc>
              <w:tcPr>
                <w:tcW w:w="415" w:type="pct"/>
                <w:vAlign w:val="center"/>
              </w:tcPr>
              <w:p w14:paraId="4F274048" w14:textId="77777777" w:rsidR="00E57DAA" w:rsidRDefault="00E57DAA">
                <w:pPr>
                  <w:jc w:val="right"/>
                  <w:rPr>
                    <w:sz w:val="11"/>
                    <w:szCs w:val="11"/>
                  </w:rPr>
                </w:pPr>
              </w:p>
            </w:tc>
            <w:tc>
              <w:tcPr>
                <w:tcW w:w="395" w:type="pct"/>
                <w:vAlign w:val="center"/>
              </w:tcPr>
              <w:p w14:paraId="2FD9F06F" w14:textId="77777777" w:rsidR="00E57DAA" w:rsidRDefault="00E57DAA">
                <w:pPr>
                  <w:jc w:val="right"/>
                  <w:rPr>
                    <w:sz w:val="11"/>
                    <w:szCs w:val="11"/>
                  </w:rPr>
                </w:pPr>
              </w:p>
            </w:tc>
            <w:tc>
              <w:tcPr>
                <w:tcW w:w="415" w:type="pct"/>
                <w:vAlign w:val="center"/>
              </w:tcPr>
              <w:p w14:paraId="56E9A9D7" w14:textId="77777777" w:rsidR="00E57DAA" w:rsidRDefault="00E57DAA">
                <w:pPr>
                  <w:jc w:val="right"/>
                  <w:rPr>
                    <w:sz w:val="11"/>
                    <w:szCs w:val="11"/>
                  </w:rPr>
                </w:pPr>
              </w:p>
            </w:tc>
          </w:tr>
          <w:tr w:rsidR="00E57DAA" w14:paraId="5F692153" w14:textId="77777777">
            <w:sdt>
              <w:sdtPr>
                <w:rPr>
                  <w:sz w:val="11"/>
                  <w:szCs w:val="11"/>
                </w:rPr>
                <w:tag w:val="_PLD_5844253ac18b45ceaa765e5b2f55d052"/>
                <w:id w:val="926612020"/>
              </w:sdtPr>
              <w:sdtEndPr/>
              <w:sdtContent>
                <w:tc>
                  <w:tcPr>
                    <w:tcW w:w="498" w:type="pct"/>
                  </w:tcPr>
                  <w:p w14:paraId="0236E93E" w14:textId="77777777" w:rsidR="00E57DAA" w:rsidRDefault="00AC4185">
                    <w:pPr>
                      <w:rPr>
                        <w:sz w:val="11"/>
                        <w:szCs w:val="11"/>
                      </w:rPr>
                    </w:pPr>
                    <w:r>
                      <w:rPr>
                        <w:sz w:val="11"/>
                        <w:szCs w:val="11"/>
                      </w:rPr>
                      <w:t>6．其他</w:t>
                    </w:r>
                  </w:p>
                </w:tc>
              </w:sdtContent>
            </w:sdt>
            <w:tc>
              <w:tcPr>
                <w:tcW w:w="395" w:type="pct"/>
                <w:vAlign w:val="center"/>
              </w:tcPr>
              <w:p w14:paraId="0F9EB223" w14:textId="77777777" w:rsidR="00E57DAA" w:rsidRDefault="00E57DAA">
                <w:pPr>
                  <w:jc w:val="right"/>
                  <w:rPr>
                    <w:sz w:val="11"/>
                    <w:szCs w:val="11"/>
                  </w:rPr>
                </w:pPr>
              </w:p>
            </w:tc>
            <w:tc>
              <w:tcPr>
                <w:tcW w:w="119" w:type="pct"/>
                <w:vAlign w:val="center"/>
              </w:tcPr>
              <w:p w14:paraId="5624AE8D" w14:textId="77777777" w:rsidR="00E57DAA" w:rsidRDefault="00E57DAA">
                <w:pPr>
                  <w:jc w:val="right"/>
                  <w:rPr>
                    <w:sz w:val="11"/>
                    <w:szCs w:val="11"/>
                  </w:rPr>
                </w:pPr>
              </w:p>
            </w:tc>
            <w:tc>
              <w:tcPr>
                <w:tcW w:w="119" w:type="pct"/>
                <w:vAlign w:val="center"/>
              </w:tcPr>
              <w:p w14:paraId="58492CCA" w14:textId="77777777" w:rsidR="00E57DAA" w:rsidRDefault="00E57DAA">
                <w:pPr>
                  <w:jc w:val="right"/>
                  <w:rPr>
                    <w:sz w:val="11"/>
                    <w:szCs w:val="11"/>
                  </w:rPr>
                </w:pPr>
              </w:p>
            </w:tc>
            <w:tc>
              <w:tcPr>
                <w:tcW w:w="120" w:type="pct"/>
                <w:vAlign w:val="center"/>
              </w:tcPr>
              <w:p w14:paraId="0A482BDC" w14:textId="77777777" w:rsidR="00E57DAA" w:rsidRDefault="00E57DAA">
                <w:pPr>
                  <w:jc w:val="right"/>
                  <w:rPr>
                    <w:sz w:val="11"/>
                    <w:szCs w:val="11"/>
                  </w:rPr>
                </w:pPr>
              </w:p>
            </w:tc>
            <w:tc>
              <w:tcPr>
                <w:tcW w:w="395" w:type="pct"/>
                <w:vAlign w:val="center"/>
              </w:tcPr>
              <w:p w14:paraId="0DC74EAC" w14:textId="77777777" w:rsidR="00E57DAA" w:rsidRDefault="00E57DAA">
                <w:pPr>
                  <w:jc w:val="right"/>
                  <w:rPr>
                    <w:sz w:val="11"/>
                    <w:szCs w:val="11"/>
                  </w:rPr>
                </w:pPr>
              </w:p>
            </w:tc>
            <w:tc>
              <w:tcPr>
                <w:tcW w:w="356" w:type="pct"/>
                <w:vAlign w:val="center"/>
              </w:tcPr>
              <w:p w14:paraId="3221D55B" w14:textId="77777777" w:rsidR="00E57DAA" w:rsidRDefault="00E57DAA">
                <w:pPr>
                  <w:jc w:val="right"/>
                  <w:rPr>
                    <w:sz w:val="11"/>
                    <w:szCs w:val="11"/>
                  </w:rPr>
                </w:pPr>
              </w:p>
            </w:tc>
            <w:tc>
              <w:tcPr>
                <w:tcW w:w="379" w:type="pct"/>
                <w:vAlign w:val="center"/>
              </w:tcPr>
              <w:p w14:paraId="5702D8BA" w14:textId="77777777" w:rsidR="00E57DAA" w:rsidRDefault="00E57DAA">
                <w:pPr>
                  <w:jc w:val="right"/>
                  <w:rPr>
                    <w:sz w:val="11"/>
                    <w:szCs w:val="11"/>
                  </w:rPr>
                </w:pPr>
              </w:p>
            </w:tc>
            <w:tc>
              <w:tcPr>
                <w:tcW w:w="356" w:type="pct"/>
                <w:vAlign w:val="center"/>
              </w:tcPr>
              <w:p w14:paraId="23413B27" w14:textId="77777777" w:rsidR="00E57DAA" w:rsidRDefault="00E57DAA">
                <w:pPr>
                  <w:jc w:val="right"/>
                  <w:rPr>
                    <w:sz w:val="11"/>
                    <w:szCs w:val="11"/>
                  </w:rPr>
                </w:pPr>
              </w:p>
            </w:tc>
            <w:tc>
              <w:tcPr>
                <w:tcW w:w="356" w:type="pct"/>
                <w:vAlign w:val="center"/>
              </w:tcPr>
              <w:p w14:paraId="18870A02" w14:textId="77777777" w:rsidR="00E57DAA" w:rsidRDefault="00E57DAA">
                <w:pPr>
                  <w:jc w:val="right"/>
                  <w:rPr>
                    <w:sz w:val="11"/>
                    <w:szCs w:val="11"/>
                  </w:rPr>
                </w:pPr>
              </w:p>
            </w:tc>
            <w:tc>
              <w:tcPr>
                <w:tcW w:w="118" w:type="pct"/>
                <w:vAlign w:val="center"/>
              </w:tcPr>
              <w:p w14:paraId="0F97A31B" w14:textId="77777777" w:rsidR="00E57DAA" w:rsidRDefault="00E57DAA">
                <w:pPr>
                  <w:jc w:val="right"/>
                  <w:rPr>
                    <w:sz w:val="11"/>
                    <w:szCs w:val="11"/>
                  </w:rPr>
                </w:pPr>
              </w:p>
            </w:tc>
            <w:tc>
              <w:tcPr>
                <w:tcW w:w="415" w:type="pct"/>
                <w:vAlign w:val="center"/>
              </w:tcPr>
              <w:p w14:paraId="4758F503" w14:textId="77777777" w:rsidR="00E57DAA" w:rsidRDefault="00E57DAA">
                <w:pPr>
                  <w:jc w:val="right"/>
                  <w:rPr>
                    <w:sz w:val="11"/>
                    <w:szCs w:val="11"/>
                  </w:rPr>
                </w:pPr>
              </w:p>
            </w:tc>
            <w:tc>
              <w:tcPr>
                <w:tcW w:w="149" w:type="pct"/>
                <w:vAlign w:val="center"/>
              </w:tcPr>
              <w:p w14:paraId="3ABC4264" w14:textId="77777777" w:rsidR="00E57DAA" w:rsidRDefault="00E57DAA">
                <w:pPr>
                  <w:jc w:val="right"/>
                  <w:rPr>
                    <w:sz w:val="11"/>
                    <w:szCs w:val="11"/>
                  </w:rPr>
                </w:pPr>
              </w:p>
            </w:tc>
            <w:tc>
              <w:tcPr>
                <w:tcW w:w="415" w:type="pct"/>
                <w:vAlign w:val="center"/>
              </w:tcPr>
              <w:p w14:paraId="634BC90C" w14:textId="77777777" w:rsidR="00E57DAA" w:rsidRDefault="00E57DAA">
                <w:pPr>
                  <w:jc w:val="right"/>
                  <w:rPr>
                    <w:sz w:val="11"/>
                    <w:szCs w:val="11"/>
                  </w:rPr>
                </w:pPr>
              </w:p>
            </w:tc>
            <w:tc>
              <w:tcPr>
                <w:tcW w:w="395" w:type="pct"/>
                <w:vAlign w:val="center"/>
              </w:tcPr>
              <w:p w14:paraId="6D6CBF94" w14:textId="77777777" w:rsidR="00E57DAA" w:rsidRDefault="00E57DAA">
                <w:pPr>
                  <w:jc w:val="right"/>
                  <w:rPr>
                    <w:sz w:val="11"/>
                    <w:szCs w:val="11"/>
                  </w:rPr>
                </w:pPr>
              </w:p>
            </w:tc>
            <w:tc>
              <w:tcPr>
                <w:tcW w:w="415" w:type="pct"/>
                <w:vAlign w:val="center"/>
              </w:tcPr>
              <w:p w14:paraId="7FFE7205" w14:textId="77777777" w:rsidR="00E57DAA" w:rsidRDefault="00E57DAA">
                <w:pPr>
                  <w:jc w:val="right"/>
                  <w:rPr>
                    <w:sz w:val="11"/>
                    <w:szCs w:val="11"/>
                  </w:rPr>
                </w:pPr>
              </w:p>
            </w:tc>
          </w:tr>
          <w:tr w:rsidR="00E57DAA" w14:paraId="262F6E74" w14:textId="77777777">
            <w:sdt>
              <w:sdtPr>
                <w:rPr>
                  <w:sz w:val="11"/>
                  <w:szCs w:val="11"/>
                </w:rPr>
                <w:tag w:val="_PLD_3bbf2260615f4991a49bda77fd1fc28b"/>
                <w:id w:val="-19775886"/>
              </w:sdtPr>
              <w:sdtEndPr/>
              <w:sdtContent>
                <w:tc>
                  <w:tcPr>
                    <w:tcW w:w="498" w:type="pct"/>
                  </w:tcPr>
                  <w:p w14:paraId="5F306290" w14:textId="77777777" w:rsidR="00E57DAA" w:rsidRDefault="00AC4185">
                    <w:pPr>
                      <w:rPr>
                        <w:sz w:val="11"/>
                        <w:szCs w:val="11"/>
                      </w:rPr>
                    </w:pPr>
                    <w:r>
                      <w:rPr>
                        <w:rFonts w:hint="eastAsia"/>
                        <w:sz w:val="11"/>
                        <w:szCs w:val="11"/>
                      </w:rPr>
                      <w:t>（五）专项储备</w:t>
                    </w:r>
                  </w:p>
                </w:tc>
              </w:sdtContent>
            </w:sdt>
            <w:tc>
              <w:tcPr>
                <w:tcW w:w="395" w:type="pct"/>
                <w:vAlign w:val="center"/>
              </w:tcPr>
              <w:p w14:paraId="5E42205A" w14:textId="77777777" w:rsidR="00E57DAA" w:rsidRDefault="00E57DAA">
                <w:pPr>
                  <w:jc w:val="right"/>
                  <w:rPr>
                    <w:sz w:val="11"/>
                    <w:szCs w:val="11"/>
                  </w:rPr>
                </w:pPr>
              </w:p>
            </w:tc>
            <w:tc>
              <w:tcPr>
                <w:tcW w:w="119" w:type="pct"/>
                <w:vAlign w:val="center"/>
              </w:tcPr>
              <w:p w14:paraId="29E00812" w14:textId="77777777" w:rsidR="00E57DAA" w:rsidRDefault="00E57DAA">
                <w:pPr>
                  <w:jc w:val="right"/>
                  <w:rPr>
                    <w:sz w:val="11"/>
                    <w:szCs w:val="11"/>
                  </w:rPr>
                </w:pPr>
              </w:p>
            </w:tc>
            <w:tc>
              <w:tcPr>
                <w:tcW w:w="119" w:type="pct"/>
                <w:vAlign w:val="center"/>
              </w:tcPr>
              <w:p w14:paraId="12A2592F" w14:textId="77777777" w:rsidR="00E57DAA" w:rsidRDefault="00E57DAA">
                <w:pPr>
                  <w:jc w:val="right"/>
                  <w:rPr>
                    <w:sz w:val="11"/>
                    <w:szCs w:val="11"/>
                  </w:rPr>
                </w:pPr>
              </w:p>
            </w:tc>
            <w:tc>
              <w:tcPr>
                <w:tcW w:w="120" w:type="pct"/>
                <w:vAlign w:val="center"/>
              </w:tcPr>
              <w:p w14:paraId="79440DDA" w14:textId="77777777" w:rsidR="00E57DAA" w:rsidRDefault="00E57DAA">
                <w:pPr>
                  <w:jc w:val="right"/>
                  <w:rPr>
                    <w:sz w:val="11"/>
                    <w:szCs w:val="11"/>
                  </w:rPr>
                </w:pPr>
              </w:p>
            </w:tc>
            <w:tc>
              <w:tcPr>
                <w:tcW w:w="395" w:type="pct"/>
                <w:vAlign w:val="center"/>
              </w:tcPr>
              <w:p w14:paraId="42D463B9" w14:textId="77777777" w:rsidR="00E57DAA" w:rsidRDefault="00AC4185">
                <w:pPr>
                  <w:jc w:val="right"/>
                  <w:rPr>
                    <w:sz w:val="11"/>
                    <w:szCs w:val="11"/>
                  </w:rPr>
                </w:pPr>
                <w:r>
                  <w:rPr>
                    <w:sz w:val="11"/>
                    <w:szCs w:val="11"/>
                  </w:rPr>
                  <w:t>1,747.44</w:t>
                </w:r>
              </w:p>
            </w:tc>
            <w:tc>
              <w:tcPr>
                <w:tcW w:w="356" w:type="pct"/>
                <w:vAlign w:val="center"/>
              </w:tcPr>
              <w:p w14:paraId="6902900A" w14:textId="77777777" w:rsidR="00E57DAA" w:rsidRDefault="00E57DAA">
                <w:pPr>
                  <w:jc w:val="right"/>
                  <w:rPr>
                    <w:sz w:val="11"/>
                    <w:szCs w:val="11"/>
                  </w:rPr>
                </w:pPr>
              </w:p>
            </w:tc>
            <w:tc>
              <w:tcPr>
                <w:tcW w:w="379" w:type="pct"/>
                <w:vAlign w:val="center"/>
              </w:tcPr>
              <w:p w14:paraId="225CB5B0" w14:textId="77777777" w:rsidR="00E57DAA" w:rsidRDefault="00E57DAA">
                <w:pPr>
                  <w:jc w:val="right"/>
                  <w:rPr>
                    <w:sz w:val="11"/>
                    <w:szCs w:val="11"/>
                  </w:rPr>
                </w:pPr>
              </w:p>
            </w:tc>
            <w:tc>
              <w:tcPr>
                <w:tcW w:w="356" w:type="pct"/>
                <w:vAlign w:val="center"/>
              </w:tcPr>
              <w:p w14:paraId="59B2E38C" w14:textId="77777777" w:rsidR="00E57DAA" w:rsidRDefault="00AC4185">
                <w:pPr>
                  <w:jc w:val="right"/>
                  <w:rPr>
                    <w:sz w:val="11"/>
                    <w:szCs w:val="11"/>
                  </w:rPr>
                </w:pPr>
                <w:r>
                  <w:rPr>
                    <w:sz w:val="11"/>
                    <w:szCs w:val="11"/>
                  </w:rPr>
                  <w:t>30,034,191.12</w:t>
                </w:r>
              </w:p>
            </w:tc>
            <w:tc>
              <w:tcPr>
                <w:tcW w:w="356" w:type="pct"/>
                <w:vAlign w:val="center"/>
              </w:tcPr>
              <w:p w14:paraId="3ED05E0E" w14:textId="77777777" w:rsidR="00E57DAA" w:rsidRDefault="00E57DAA">
                <w:pPr>
                  <w:jc w:val="right"/>
                  <w:rPr>
                    <w:sz w:val="11"/>
                    <w:szCs w:val="11"/>
                  </w:rPr>
                </w:pPr>
              </w:p>
            </w:tc>
            <w:tc>
              <w:tcPr>
                <w:tcW w:w="118" w:type="pct"/>
                <w:vAlign w:val="center"/>
              </w:tcPr>
              <w:p w14:paraId="5AB52403" w14:textId="77777777" w:rsidR="00E57DAA" w:rsidRDefault="00E57DAA">
                <w:pPr>
                  <w:jc w:val="right"/>
                  <w:rPr>
                    <w:sz w:val="11"/>
                    <w:szCs w:val="11"/>
                  </w:rPr>
                </w:pPr>
              </w:p>
            </w:tc>
            <w:tc>
              <w:tcPr>
                <w:tcW w:w="415" w:type="pct"/>
                <w:vAlign w:val="center"/>
              </w:tcPr>
              <w:p w14:paraId="72337AA0" w14:textId="77777777" w:rsidR="00E57DAA" w:rsidRDefault="00E57DAA">
                <w:pPr>
                  <w:jc w:val="right"/>
                  <w:rPr>
                    <w:sz w:val="11"/>
                    <w:szCs w:val="11"/>
                  </w:rPr>
                </w:pPr>
              </w:p>
            </w:tc>
            <w:tc>
              <w:tcPr>
                <w:tcW w:w="149" w:type="pct"/>
                <w:vAlign w:val="center"/>
              </w:tcPr>
              <w:p w14:paraId="3BF44FC6" w14:textId="77777777" w:rsidR="00E57DAA" w:rsidRDefault="00E57DAA">
                <w:pPr>
                  <w:jc w:val="right"/>
                  <w:rPr>
                    <w:sz w:val="11"/>
                    <w:szCs w:val="11"/>
                  </w:rPr>
                </w:pPr>
              </w:p>
            </w:tc>
            <w:tc>
              <w:tcPr>
                <w:tcW w:w="415" w:type="pct"/>
                <w:vAlign w:val="center"/>
              </w:tcPr>
              <w:p w14:paraId="26A53E51" w14:textId="77777777" w:rsidR="00E57DAA" w:rsidRDefault="00AC4185">
                <w:pPr>
                  <w:jc w:val="right"/>
                  <w:rPr>
                    <w:sz w:val="11"/>
                    <w:szCs w:val="11"/>
                  </w:rPr>
                </w:pPr>
                <w:r>
                  <w:rPr>
                    <w:sz w:val="11"/>
                    <w:szCs w:val="11"/>
                  </w:rPr>
                  <w:t>30,035,938.56</w:t>
                </w:r>
              </w:p>
            </w:tc>
            <w:tc>
              <w:tcPr>
                <w:tcW w:w="395" w:type="pct"/>
                <w:vAlign w:val="center"/>
              </w:tcPr>
              <w:p w14:paraId="2C5465AB" w14:textId="77777777" w:rsidR="00E57DAA" w:rsidRDefault="00AC4185">
                <w:pPr>
                  <w:jc w:val="right"/>
                  <w:rPr>
                    <w:sz w:val="11"/>
                    <w:szCs w:val="11"/>
                  </w:rPr>
                </w:pPr>
                <w:r>
                  <w:rPr>
                    <w:sz w:val="11"/>
                    <w:szCs w:val="11"/>
                  </w:rPr>
                  <w:t>-768,146.11</w:t>
                </w:r>
              </w:p>
            </w:tc>
            <w:tc>
              <w:tcPr>
                <w:tcW w:w="415" w:type="pct"/>
                <w:vAlign w:val="center"/>
              </w:tcPr>
              <w:p w14:paraId="3CCD2C76" w14:textId="77777777" w:rsidR="00E57DAA" w:rsidRDefault="00AC4185">
                <w:pPr>
                  <w:jc w:val="right"/>
                  <w:rPr>
                    <w:sz w:val="11"/>
                    <w:szCs w:val="11"/>
                  </w:rPr>
                </w:pPr>
                <w:r>
                  <w:rPr>
                    <w:sz w:val="11"/>
                    <w:szCs w:val="11"/>
                  </w:rPr>
                  <w:t>29,267,792.45</w:t>
                </w:r>
              </w:p>
            </w:tc>
          </w:tr>
          <w:tr w:rsidR="00E57DAA" w14:paraId="27DE55AD" w14:textId="77777777">
            <w:sdt>
              <w:sdtPr>
                <w:rPr>
                  <w:sz w:val="11"/>
                  <w:szCs w:val="11"/>
                </w:rPr>
                <w:tag w:val="_PLD_f1e833fa15ec452384f3784c7a9b36fe"/>
                <w:id w:val="-472456054"/>
              </w:sdtPr>
              <w:sdtEndPr/>
              <w:sdtContent>
                <w:tc>
                  <w:tcPr>
                    <w:tcW w:w="498" w:type="pct"/>
                  </w:tcPr>
                  <w:p w14:paraId="04AD2BD7" w14:textId="77777777" w:rsidR="00E57DAA" w:rsidRDefault="00AC4185">
                    <w:pPr>
                      <w:rPr>
                        <w:sz w:val="11"/>
                        <w:szCs w:val="11"/>
                      </w:rPr>
                    </w:pPr>
                    <w:r>
                      <w:rPr>
                        <w:rFonts w:hint="eastAsia"/>
                        <w:sz w:val="11"/>
                        <w:szCs w:val="11"/>
                      </w:rPr>
                      <w:t>1．本期提取</w:t>
                    </w:r>
                  </w:p>
                </w:tc>
              </w:sdtContent>
            </w:sdt>
            <w:tc>
              <w:tcPr>
                <w:tcW w:w="395" w:type="pct"/>
                <w:vAlign w:val="center"/>
              </w:tcPr>
              <w:p w14:paraId="02778677" w14:textId="77777777" w:rsidR="00E57DAA" w:rsidRDefault="00E57DAA">
                <w:pPr>
                  <w:jc w:val="right"/>
                  <w:rPr>
                    <w:sz w:val="11"/>
                    <w:szCs w:val="11"/>
                  </w:rPr>
                </w:pPr>
              </w:p>
            </w:tc>
            <w:tc>
              <w:tcPr>
                <w:tcW w:w="119" w:type="pct"/>
                <w:vAlign w:val="center"/>
              </w:tcPr>
              <w:p w14:paraId="3E6E2EEA" w14:textId="77777777" w:rsidR="00E57DAA" w:rsidRDefault="00E57DAA">
                <w:pPr>
                  <w:jc w:val="right"/>
                  <w:rPr>
                    <w:sz w:val="11"/>
                    <w:szCs w:val="11"/>
                  </w:rPr>
                </w:pPr>
              </w:p>
            </w:tc>
            <w:tc>
              <w:tcPr>
                <w:tcW w:w="119" w:type="pct"/>
                <w:vAlign w:val="center"/>
              </w:tcPr>
              <w:p w14:paraId="240A9CE1" w14:textId="77777777" w:rsidR="00E57DAA" w:rsidRDefault="00E57DAA">
                <w:pPr>
                  <w:jc w:val="right"/>
                  <w:rPr>
                    <w:sz w:val="11"/>
                    <w:szCs w:val="11"/>
                  </w:rPr>
                </w:pPr>
              </w:p>
            </w:tc>
            <w:tc>
              <w:tcPr>
                <w:tcW w:w="120" w:type="pct"/>
                <w:vAlign w:val="center"/>
              </w:tcPr>
              <w:p w14:paraId="4631345C" w14:textId="77777777" w:rsidR="00E57DAA" w:rsidRDefault="00E57DAA">
                <w:pPr>
                  <w:jc w:val="right"/>
                  <w:rPr>
                    <w:sz w:val="11"/>
                    <w:szCs w:val="11"/>
                  </w:rPr>
                </w:pPr>
              </w:p>
            </w:tc>
            <w:tc>
              <w:tcPr>
                <w:tcW w:w="395" w:type="pct"/>
                <w:vAlign w:val="center"/>
              </w:tcPr>
              <w:p w14:paraId="68B29858" w14:textId="77777777" w:rsidR="00E57DAA" w:rsidRDefault="00AC4185">
                <w:pPr>
                  <w:jc w:val="right"/>
                  <w:rPr>
                    <w:sz w:val="11"/>
                    <w:szCs w:val="11"/>
                  </w:rPr>
                </w:pPr>
                <w:r>
                  <w:rPr>
                    <w:sz w:val="11"/>
                    <w:szCs w:val="11"/>
                  </w:rPr>
                  <w:t>1,747.44</w:t>
                </w:r>
              </w:p>
            </w:tc>
            <w:tc>
              <w:tcPr>
                <w:tcW w:w="356" w:type="pct"/>
                <w:vAlign w:val="center"/>
              </w:tcPr>
              <w:p w14:paraId="268B4987" w14:textId="77777777" w:rsidR="00E57DAA" w:rsidRDefault="00E57DAA">
                <w:pPr>
                  <w:jc w:val="right"/>
                  <w:rPr>
                    <w:sz w:val="11"/>
                    <w:szCs w:val="11"/>
                  </w:rPr>
                </w:pPr>
              </w:p>
            </w:tc>
            <w:tc>
              <w:tcPr>
                <w:tcW w:w="379" w:type="pct"/>
                <w:vAlign w:val="center"/>
              </w:tcPr>
              <w:p w14:paraId="4890868D" w14:textId="77777777" w:rsidR="00E57DAA" w:rsidRDefault="00E57DAA">
                <w:pPr>
                  <w:jc w:val="right"/>
                  <w:rPr>
                    <w:sz w:val="11"/>
                    <w:szCs w:val="11"/>
                  </w:rPr>
                </w:pPr>
              </w:p>
            </w:tc>
            <w:tc>
              <w:tcPr>
                <w:tcW w:w="356" w:type="pct"/>
                <w:vAlign w:val="center"/>
              </w:tcPr>
              <w:p w14:paraId="6B86A623" w14:textId="77777777" w:rsidR="00E57DAA" w:rsidRDefault="00AC4185">
                <w:pPr>
                  <w:jc w:val="right"/>
                  <w:rPr>
                    <w:sz w:val="11"/>
                    <w:szCs w:val="11"/>
                  </w:rPr>
                </w:pPr>
                <w:r>
                  <w:rPr>
                    <w:sz w:val="11"/>
                    <w:szCs w:val="11"/>
                  </w:rPr>
                  <w:t>350,121,127.84</w:t>
                </w:r>
              </w:p>
            </w:tc>
            <w:tc>
              <w:tcPr>
                <w:tcW w:w="356" w:type="pct"/>
                <w:vAlign w:val="center"/>
              </w:tcPr>
              <w:p w14:paraId="27A08188" w14:textId="77777777" w:rsidR="00E57DAA" w:rsidRDefault="00E57DAA">
                <w:pPr>
                  <w:jc w:val="right"/>
                  <w:rPr>
                    <w:sz w:val="11"/>
                    <w:szCs w:val="11"/>
                  </w:rPr>
                </w:pPr>
              </w:p>
            </w:tc>
            <w:tc>
              <w:tcPr>
                <w:tcW w:w="118" w:type="pct"/>
                <w:vAlign w:val="center"/>
              </w:tcPr>
              <w:p w14:paraId="5395F8C6" w14:textId="77777777" w:rsidR="00E57DAA" w:rsidRDefault="00E57DAA">
                <w:pPr>
                  <w:jc w:val="right"/>
                  <w:rPr>
                    <w:sz w:val="11"/>
                    <w:szCs w:val="11"/>
                  </w:rPr>
                </w:pPr>
              </w:p>
            </w:tc>
            <w:tc>
              <w:tcPr>
                <w:tcW w:w="415" w:type="pct"/>
                <w:vAlign w:val="center"/>
              </w:tcPr>
              <w:p w14:paraId="3B75B0E0" w14:textId="77777777" w:rsidR="00E57DAA" w:rsidRDefault="00E57DAA">
                <w:pPr>
                  <w:jc w:val="right"/>
                  <w:rPr>
                    <w:sz w:val="11"/>
                    <w:szCs w:val="11"/>
                  </w:rPr>
                </w:pPr>
              </w:p>
            </w:tc>
            <w:tc>
              <w:tcPr>
                <w:tcW w:w="149" w:type="pct"/>
                <w:vAlign w:val="center"/>
              </w:tcPr>
              <w:p w14:paraId="2D0F5F43" w14:textId="77777777" w:rsidR="00E57DAA" w:rsidRDefault="00E57DAA">
                <w:pPr>
                  <w:jc w:val="right"/>
                  <w:rPr>
                    <w:sz w:val="11"/>
                    <w:szCs w:val="11"/>
                  </w:rPr>
                </w:pPr>
              </w:p>
            </w:tc>
            <w:tc>
              <w:tcPr>
                <w:tcW w:w="415" w:type="pct"/>
                <w:vAlign w:val="center"/>
              </w:tcPr>
              <w:p w14:paraId="41C657AB" w14:textId="77777777" w:rsidR="00E57DAA" w:rsidRDefault="00AC4185">
                <w:pPr>
                  <w:jc w:val="right"/>
                  <w:rPr>
                    <w:sz w:val="11"/>
                    <w:szCs w:val="11"/>
                  </w:rPr>
                </w:pPr>
                <w:r>
                  <w:rPr>
                    <w:sz w:val="11"/>
                    <w:szCs w:val="11"/>
                  </w:rPr>
                  <w:t>350,122,875.28</w:t>
                </w:r>
              </w:p>
            </w:tc>
            <w:tc>
              <w:tcPr>
                <w:tcW w:w="395" w:type="pct"/>
                <w:vAlign w:val="center"/>
              </w:tcPr>
              <w:p w14:paraId="711E1C27" w14:textId="77777777" w:rsidR="00E57DAA" w:rsidRDefault="00AC4185">
                <w:pPr>
                  <w:jc w:val="right"/>
                  <w:rPr>
                    <w:sz w:val="11"/>
                    <w:szCs w:val="11"/>
                  </w:rPr>
                </w:pPr>
                <w:r>
                  <w:rPr>
                    <w:sz w:val="11"/>
                    <w:szCs w:val="11"/>
                  </w:rPr>
                  <w:t>18,622,912.58</w:t>
                </w:r>
              </w:p>
            </w:tc>
            <w:tc>
              <w:tcPr>
                <w:tcW w:w="415" w:type="pct"/>
                <w:vAlign w:val="center"/>
              </w:tcPr>
              <w:p w14:paraId="2B2AE6A0" w14:textId="77777777" w:rsidR="00E57DAA" w:rsidRDefault="00AC4185">
                <w:pPr>
                  <w:jc w:val="right"/>
                  <w:rPr>
                    <w:sz w:val="11"/>
                    <w:szCs w:val="11"/>
                  </w:rPr>
                </w:pPr>
                <w:r>
                  <w:rPr>
                    <w:sz w:val="11"/>
                    <w:szCs w:val="11"/>
                  </w:rPr>
                  <w:t>368,745,787.86</w:t>
                </w:r>
              </w:p>
            </w:tc>
          </w:tr>
          <w:tr w:rsidR="00E57DAA" w14:paraId="0B11B443" w14:textId="77777777">
            <w:sdt>
              <w:sdtPr>
                <w:rPr>
                  <w:sz w:val="11"/>
                  <w:szCs w:val="11"/>
                </w:rPr>
                <w:tag w:val="_PLD_301fc21ab7954268be9851ddd0cf2d8a"/>
                <w:id w:val="-166867601"/>
              </w:sdtPr>
              <w:sdtEndPr/>
              <w:sdtContent>
                <w:tc>
                  <w:tcPr>
                    <w:tcW w:w="498" w:type="pct"/>
                  </w:tcPr>
                  <w:p w14:paraId="1789A79D" w14:textId="77777777" w:rsidR="00E57DAA" w:rsidRDefault="00AC4185">
                    <w:pPr>
                      <w:rPr>
                        <w:sz w:val="11"/>
                        <w:szCs w:val="11"/>
                      </w:rPr>
                    </w:pPr>
                    <w:r>
                      <w:rPr>
                        <w:rFonts w:hint="eastAsia"/>
                        <w:sz w:val="11"/>
                        <w:szCs w:val="11"/>
                      </w:rPr>
                      <w:t>2．本期使用</w:t>
                    </w:r>
                  </w:p>
                </w:tc>
              </w:sdtContent>
            </w:sdt>
            <w:tc>
              <w:tcPr>
                <w:tcW w:w="395" w:type="pct"/>
                <w:vAlign w:val="center"/>
              </w:tcPr>
              <w:p w14:paraId="16EFFCBE" w14:textId="77777777" w:rsidR="00E57DAA" w:rsidRDefault="00E57DAA">
                <w:pPr>
                  <w:jc w:val="right"/>
                  <w:rPr>
                    <w:sz w:val="11"/>
                    <w:szCs w:val="11"/>
                  </w:rPr>
                </w:pPr>
              </w:p>
            </w:tc>
            <w:tc>
              <w:tcPr>
                <w:tcW w:w="119" w:type="pct"/>
                <w:vAlign w:val="center"/>
              </w:tcPr>
              <w:p w14:paraId="0FBFBC2D" w14:textId="77777777" w:rsidR="00E57DAA" w:rsidRDefault="00E57DAA">
                <w:pPr>
                  <w:jc w:val="right"/>
                  <w:rPr>
                    <w:sz w:val="11"/>
                    <w:szCs w:val="11"/>
                  </w:rPr>
                </w:pPr>
              </w:p>
            </w:tc>
            <w:tc>
              <w:tcPr>
                <w:tcW w:w="119" w:type="pct"/>
                <w:vAlign w:val="center"/>
              </w:tcPr>
              <w:p w14:paraId="49A2B1D6" w14:textId="77777777" w:rsidR="00E57DAA" w:rsidRDefault="00E57DAA">
                <w:pPr>
                  <w:jc w:val="right"/>
                  <w:rPr>
                    <w:sz w:val="11"/>
                    <w:szCs w:val="11"/>
                  </w:rPr>
                </w:pPr>
              </w:p>
            </w:tc>
            <w:tc>
              <w:tcPr>
                <w:tcW w:w="120" w:type="pct"/>
                <w:vAlign w:val="center"/>
              </w:tcPr>
              <w:p w14:paraId="018D2E05" w14:textId="77777777" w:rsidR="00E57DAA" w:rsidRDefault="00E57DAA">
                <w:pPr>
                  <w:jc w:val="right"/>
                  <w:rPr>
                    <w:sz w:val="11"/>
                    <w:szCs w:val="11"/>
                  </w:rPr>
                </w:pPr>
              </w:p>
            </w:tc>
            <w:tc>
              <w:tcPr>
                <w:tcW w:w="395" w:type="pct"/>
                <w:vAlign w:val="center"/>
              </w:tcPr>
              <w:p w14:paraId="202B300A" w14:textId="77777777" w:rsidR="00E57DAA" w:rsidRDefault="00E57DAA">
                <w:pPr>
                  <w:jc w:val="right"/>
                  <w:rPr>
                    <w:sz w:val="11"/>
                    <w:szCs w:val="11"/>
                  </w:rPr>
                </w:pPr>
              </w:p>
            </w:tc>
            <w:tc>
              <w:tcPr>
                <w:tcW w:w="356" w:type="pct"/>
                <w:vAlign w:val="center"/>
              </w:tcPr>
              <w:p w14:paraId="33DEA848" w14:textId="77777777" w:rsidR="00E57DAA" w:rsidRDefault="00E57DAA">
                <w:pPr>
                  <w:jc w:val="right"/>
                  <w:rPr>
                    <w:sz w:val="11"/>
                    <w:szCs w:val="11"/>
                  </w:rPr>
                </w:pPr>
              </w:p>
            </w:tc>
            <w:tc>
              <w:tcPr>
                <w:tcW w:w="379" w:type="pct"/>
                <w:vAlign w:val="center"/>
              </w:tcPr>
              <w:p w14:paraId="7FEA9D6B" w14:textId="77777777" w:rsidR="00E57DAA" w:rsidRDefault="00E57DAA">
                <w:pPr>
                  <w:jc w:val="right"/>
                  <w:rPr>
                    <w:sz w:val="11"/>
                    <w:szCs w:val="11"/>
                  </w:rPr>
                </w:pPr>
              </w:p>
            </w:tc>
            <w:tc>
              <w:tcPr>
                <w:tcW w:w="356" w:type="pct"/>
                <w:vAlign w:val="center"/>
              </w:tcPr>
              <w:p w14:paraId="66A61076" w14:textId="77777777" w:rsidR="00E57DAA" w:rsidRDefault="00AC4185">
                <w:pPr>
                  <w:jc w:val="right"/>
                  <w:rPr>
                    <w:sz w:val="11"/>
                    <w:szCs w:val="11"/>
                  </w:rPr>
                </w:pPr>
                <w:r>
                  <w:rPr>
                    <w:sz w:val="11"/>
                    <w:szCs w:val="11"/>
                  </w:rPr>
                  <w:t>320,086,936.72</w:t>
                </w:r>
              </w:p>
            </w:tc>
            <w:tc>
              <w:tcPr>
                <w:tcW w:w="356" w:type="pct"/>
                <w:vAlign w:val="center"/>
              </w:tcPr>
              <w:p w14:paraId="0BD26765" w14:textId="77777777" w:rsidR="00E57DAA" w:rsidRDefault="00E57DAA">
                <w:pPr>
                  <w:jc w:val="right"/>
                  <w:rPr>
                    <w:sz w:val="11"/>
                    <w:szCs w:val="11"/>
                  </w:rPr>
                </w:pPr>
              </w:p>
            </w:tc>
            <w:tc>
              <w:tcPr>
                <w:tcW w:w="118" w:type="pct"/>
                <w:vAlign w:val="center"/>
              </w:tcPr>
              <w:p w14:paraId="21D55014" w14:textId="77777777" w:rsidR="00E57DAA" w:rsidRDefault="00E57DAA">
                <w:pPr>
                  <w:jc w:val="right"/>
                  <w:rPr>
                    <w:sz w:val="11"/>
                    <w:szCs w:val="11"/>
                  </w:rPr>
                </w:pPr>
              </w:p>
            </w:tc>
            <w:tc>
              <w:tcPr>
                <w:tcW w:w="415" w:type="pct"/>
                <w:vAlign w:val="center"/>
              </w:tcPr>
              <w:p w14:paraId="0F6DE68F" w14:textId="77777777" w:rsidR="00E57DAA" w:rsidRDefault="00E57DAA">
                <w:pPr>
                  <w:jc w:val="right"/>
                  <w:rPr>
                    <w:sz w:val="11"/>
                    <w:szCs w:val="11"/>
                  </w:rPr>
                </w:pPr>
              </w:p>
            </w:tc>
            <w:tc>
              <w:tcPr>
                <w:tcW w:w="149" w:type="pct"/>
                <w:vAlign w:val="center"/>
              </w:tcPr>
              <w:p w14:paraId="0632C6E2" w14:textId="77777777" w:rsidR="00E57DAA" w:rsidRDefault="00E57DAA">
                <w:pPr>
                  <w:jc w:val="right"/>
                  <w:rPr>
                    <w:sz w:val="11"/>
                    <w:szCs w:val="11"/>
                  </w:rPr>
                </w:pPr>
              </w:p>
            </w:tc>
            <w:tc>
              <w:tcPr>
                <w:tcW w:w="415" w:type="pct"/>
                <w:vAlign w:val="center"/>
              </w:tcPr>
              <w:p w14:paraId="650471CA" w14:textId="77777777" w:rsidR="00E57DAA" w:rsidRDefault="00AC4185">
                <w:pPr>
                  <w:jc w:val="right"/>
                  <w:rPr>
                    <w:sz w:val="11"/>
                    <w:szCs w:val="11"/>
                  </w:rPr>
                </w:pPr>
                <w:r>
                  <w:rPr>
                    <w:sz w:val="11"/>
                    <w:szCs w:val="11"/>
                  </w:rPr>
                  <w:t>320,086,936.72</w:t>
                </w:r>
              </w:p>
            </w:tc>
            <w:tc>
              <w:tcPr>
                <w:tcW w:w="395" w:type="pct"/>
                <w:vAlign w:val="center"/>
              </w:tcPr>
              <w:p w14:paraId="768E3A3B" w14:textId="77777777" w:rsidR="00E57DAA" w:rsidRDefault="00AC4185">
                <w:pPr>
                  <w:jc w:val="right"/>
                  <w:rPr>
                    <w:sz w:val="11"/>
                    <w:szCs w:val="11"/>
                  </w:rPr>
                </w:pPr>
                <w:r>
                  <w:rPr>
                    <w:sz w:val="11"/>
                    <w:szCs w:val="11"/>
                  </w:rPr>
                  <w:t>19,391,058.69</w:t>
                </w:r>
              </w:p>
            </w:tc>
            <w:tc>
              <w:tcPr>
                <w:tcW w:w="415" w:type="pct"/>
                <w:vAlign w:val="center"/>
              </w:tcPr>
              <w:p w14:paraId="495CE032" w14:textId="77777777" w:rsidR="00E57DAA" w:rsidRDefault="00AC4185">
                <w:pPr>
                  <w:jc w:val="right"/>
                  <w:rPr>
                    <w:sz w:val="11"/>
                    <w:szCs w:val="11"/>
                  </w:rPr>
                </w:pPr>
                <w:r>
                  <w:rPr>
                    <w:sz w:val="11"/>
                    <w:szCs w:val="11"/>
                  </w:rPr>
                  <w:t>339,477,995.41</w:t>
                </w:r>
              </w:p>
            </w:tc>
          </w:tr>
          <w:tr w:rsidR="00E57DAA" w14:paraId="52EC9E30" w14:textId="77777777">
            <w:sdt>
              <w:sdtPr>
                <w:rPr>
                  <w:sz w:val="11"/>
                  <w:szCs w:val="11"/>
                </w:rPr>
                <w:tag w:val="_PLD_43b1e5b489b047e98cf38f8c5f130759"/>
                <w:id w:val="2121340343"/>
              </w:sdtPr>
              <w:sdtEndPr/>
              <w:sdtContent>
                <w:tc>
                  <w:tcPr>
                    <w:tcW w:w="498" w:type="pct"/>
                  </w:tcPr>
                  <w:p w14:paraId="413D1680" w14:textId="77777777" w:rsidR="00E57DAA" w:rsidRDefault="00AC4185">
                    <w:pPr>
                      <w:rPr>
                        <w:sz w:val="11"/>
                        <w:szCs w:val="11"/>
                      </w:rPr>
                    </w:pPr>
                    <w:r>
                      <w:rPr>
                        <w:rFonts w:hint="eastAsia"/>
                        <w:sz w:val="11"/>
                        <w:szCs w:val="11"/>
                      </w:rPr>
                      <w:t>（六）其他</w:t>
                    </w:r>
                  </w:p>
                </w:tc>
              </w:sdtContent>
            </w:sdt>
            <w:tc>
              <w:tcPr>
                <w:tcW w:w="395" w:type="pct"/>
                <w:vAlign w:val="center"/>
              </w:tcPr>
              <w:p w14:paraId="5F951420" w14:textId="77777777" w:rsidR="00E57DAA" w:rsidRDefault="00E57DAA">
                <w:pPr>
                  <w:jc w:val="right"/>
                  <w:rPr>
                    <w:sz w:val="11"/>
                    <w:szCs w:val="11"/>
                  </w:rPr>
                </w:pPr>
              </w:p>
            </w:tc>
            <w:tc>
              <w:tcPr>
                <w:tcW w:w="119" w:type="pct"/>
                <w:vAlign w:val="center"/>
              </w:tcPr>
              <w:p w14:paraId="7531F17A" w14:textId="77777777" w:rsidR="00E57DAA" w:rsidRDefault="00E57DAA">
                <w:pPr>
                  <w:jc w:val="right"/>
                  <w:rPr>
                    <w:sz w:val="11"/>
                    <w:szCs w:val="11"/>
                  </w:rPr>
                </w:pPr>
              </w:p>
            </w:tc>
            <w:tc>
              <w:tcPr>
                <w:tcW w:w="119" w:type="pct"/>
                <w:vAlign w:val="center"/>
              </w:tcPr>
              <w:p w14:paraId="1809DE11" w14:textId="77777777" w:rsidR="00E57DAA" w:rsidRDefault="00E57DAA">
                <w:pPr>
                  <w:jc w:val="right"/>
                  <w:rPr>
                    <w:sz w:val="11"/>
                    <w:szCs w:val="11"/>
                  </w:rPr>
                </w:pPr>
              </w:p>
            </w:tc>
            <w:tc>
              <w:tcPr>
                <w:tcW w:w="120" w:type="pct"/>
                <w:vAlign w:val="center"/>
              </w:tcPr>
              <w:p w14:paraId="4D98F8AF" w14:textId="77777777" w:rsidR="00E57DAA" w:rsidRDefault="00E57DAA">
                <w:pPr>
                  <w:jc w:val="right"/>
                  <w:rPr>
                    <w:sz w:val="11"/>
                    <w:szCs w:val="11"/>
                  </w:rPr>
                </w:pPr>
              </w:p>
            </w:tc>
            <w:tc>
              <w:tcPr>
                <w:tcW w:w="395" w:type="pct"/>
                <w:vAlign w:val="center"/>
              </w:tcPr>
              <w:p w14:paraId="0089287F" w14:textId="77777777" w:rsidR="00E57DAA" w:rsidRDefault="00E57DAA">
                <w:pPr>
                  <w:jc w:val="right"/>
                  <w:rPr>
                    <w:sz w:val="11"/>
                    <w:szCs w:val="11"/>
                  </w:rPr>
                </w:pPr>
              </w:p>
            </w:tc>
            <w:tc>
              <w:tcPr>
                <w:tcW w:w="356" w:type="pct"/>
                <w:vAlign w:val="center"/>
              </w:tcPr>
              <w:p w14:paraId="28E3383A" w14:textId="77777777" w:rsidR="00E57DAA" w:rsidRDefault="00E57DAA">
                <w:pPr>
                  <w:jc w:val="right"/>
                  <w:rPr>
                    <w:sz w:val="11"/>
                    <w:szCs w:val="11"/>
                  </w:rPr>
                </w:pPr>
              </w:p>
            </w:tc>
            <w:tc>
              <w:tcPr>
                <w:tcW w:w="379" w:type="pct"/>
                <w:vAlign w:val="center"/>
              </w:tcPr>
              <w:p w14:paraId="2FF0C35E" w14:textId="77777777" w:rsidR="00E57DAA" w:rsidRDefault="00E57DAA">
                <w:pPr>
                  <w:jc w:val="right"/>
                  <w:rPr>
                    <w:sz w:val="11"/>
                    <w:szCs w:val="11"/>
                  </w:rPr>
                </w:pPr>
              </w:p>
            </w:tc>
            <w:tc>
              <w:tcPr>
                <w:tcW w:w="356" w:type="pct"/>
                <w:vAlign w:val="center"/>
              </w:tcPr>
              <w:p w14:paraId="4283B844" w14:textId="77777777" w:rsidR="00E57DAA" w:rsidRDefault="00E57DAA">
                <w:pPr>
                  <w:jc w:val="right"/>
                  <w:rPr>
                    <w:sz w:val="11"/>
                    <w:szCs w:val="11"/>
                  </w:rPr>
                </w:pPr>
              </w:p>
            </w:tc>
            <w:tc>
              <w:tcPr>
                <w:tcW w:w="356" w:type="pct"/>
                <w:vAlign w:val="center"/>
              </w:tcPr>
              <w:p w14:paraId="5240D2FE" w14:textId="77777777" w:rsidR="00E57DAA" w:rsidRDefault="00E57DAA">
                <w:pPr>
                  <w:jc w:val="right"/>
                  <w:rPr>
                    <w:sz w:val="11"/>
                    <w:szCs w:val="11"/>
                  </w:rPr>
                </w:pPr>
              </w:p>
            </w:tc>
            <w:tc>
              <w:tcPr>
                <w:tcW w:w="118" w:type="pct"/>
                <w:vAlign w:val="center"/>
              </w:tcPr>
              <w:p w14:paraId="1BEB4AF8" w14:textId="77777777" w:rsidR="00E57DAA" w:rsidRDefault="00E57DAA">
                <w:pPr>
                  <w:jc w:val="right"/>
                  <w:rPr>
                    <w:sz w:val="11"/>
                    <w:szCs w:val="11"/>
                  </w:rPr>
                </w:pPr>
              </w:p>
            </w:tc>
            <w:tc>
              <w:tcPr>
                <w:tcW w:w="415" w:type="pct"/>
                <w:vAlign w:val="center"/>
              </w:tcPr>
              <w:p w14:paraId="2CA7C6C4" w14:textId="77777777" w:rsidR="00E57DAA" w:rsidRDefault="00E57DAA">
                <w:pPr>
                  <w:jc w:val="right"/>
                  <w:rPr>
                    <w:sz w:val="11"/>
                    <w:szCs w:val="11"/>
                  </w:rPr>
                </w:pPr>
              </w:p>
            </w:tc>
            <w:tc>
              <w:tcPr>
                <w:tcW w:w="149" w:type="pct"/>
                <w:vAlign w:val="center"/>
              </w:tcPr>
              <w:p w14:paraId="3B81094C" w14:textId="77777777" w:rsidR="00E57DAA" w:rsidRDefault="00E57DAA">
                <w:pPr>
                  <w:jc w:val="right"/>
                  <w:rPr>
                    <w:sz w:val="11"/>
                    <w:szCs w:val="11"/>
                  </w:rPr>
                </w:pPr>
              </w:p>
            </w:tc>
            <w:tc>
              <w:tcPr>
                <w:tcW w:w="415" w:type="pct"/>
                <w:vAlign w:val="center"/>
              </w:tcPr>
              <w:p w14:paraId="604E7602" w14:textId="77777777" w:rsidR="00E57DAA" w:rsidRDefault="00E57DAA">
                <w:pPr>
                  <w:jc w:val="right"/>
                  <w:rPr>
                    <w:sz w:val="11"/>
                    <w:szCs w:val="11"/>
                  </w:rPr>
                </w:pPr>
              </w:p>
            </w:tc>
            <w:tc>
              <w:tcPr>
                <w:tcW w:w="395" w:type="pct"/>
                <w:vAlign w:val="center"/>
              </w:tcPr>
              <w:p w14:paraId="3D121CEB" w14:textId="77777777" w:rsidR="00E57DAA" w:rsidRDefault="00E57DAA">
                <w:pPr>
                  <w:jc w:val="right"/>
                  <w:rPr>
                    <w:sz w:val="11"/>
                    <w:szCs w:val="11"/>
                  </w:rPr>
                </w:pPr>
              </w:p>
            </w:tc>
            <w:tc>
              <w:tcPr>
                <w:tcW w:w="415" w:type="pct"/>
                <w:vAlign w:val="center"/>
              </w:tcPr>
              <w:p w14:paraId="7AEC3650" w14:textId="77777777" w:rsidR="00E57DAA" w:rsidRDefault="00E57DAA">
                <w:pPr>
                  <w:jc w:val="right"/>
                  <w:rPr>
                    <w:sz w:val="11"/>
                    <w:szCs w:val="11"/>
                  </w:rPr>
                </w:pPr>
              </w:p>
            </w:tc>
          </w:tr>
          <w:tr w:rsidR="00E57DAA" w14:paraId="1758CF43" w14:textId="77777777">
            <w:sdt>
              <w:sdtPr>
                <w:rPr>
                  <w:sz w:val="11"/>
                  <w:szCs w:val="11"/>
                </w:rPr>
                <w:tag w:val="_PLD_7355d7c321c84166a15737d2581911bf"/>
                <w:id w:val="1739280599"/>
              </w:sdtPr>
              <w:sdtEndPr/>
              <w:sdtContent>
                <w:tc>
                  <w:tcPr>
                    <w:tcW w:w="498" w:type="pct"/>
                  </w:tcPr>
                  <w:p w14:paraId="5A7D6C7B" w14:textId="77777777" w:rsidR="00E57DAA" w:rsidRDefault="00AC4185">
                    <w:pPr>
                      <w:rPr>
                        <w:sz w:val="11"/>
                        <w:szCs w:val="11"/>
                      </w:rPr>
                    </w:pPr>
                    <w:r>
                      <w:rPr>
                        <w:sz w:val="11"/>
                        <w:szCs w:val="11"/>
                      </w:rPr>
                      <w:t>四、本期期末余额</w:t>
                    </w:r>
                  </w:p>
                </w:tc>
              </w:sdtContent>
            </w:sdt>
            <w:tc>
              <w:tcPr>
                <w:tcW w:w="395" w:type="pct"/>
                <w:vAlign w:val="center"/>
              </w:tcPr>
              <w:p w14:paraId="18B78ABF" w14:textId="77777777" w:rsidR="00E57DAA" w:rsidRDefault="00AC4185">
                <w:pPr>
                  <w:jc w:val="right"/>
                  <w:rPr>
                    <w:sz w:val="11"/>
                    <w:szCs w:val="11"/>
                  </w:rPr>
                </w:pPr>
                <w:r>
                  <w:rPr>
                    <w:sz w:val="11"/>
                    <w:szCs w:val="11"/>
                  </w:rPr>
                  <w:t>2,265,632,064.00</w:t>
                </w:r>
              </w:p>
            </w:tc>
            <w:tc>
              <w:tcPr>
                <w:tcW w:w="119" w:type="pct"/>
                <w:vAlign w:val="center"/>
              </w:tcPr>
              <w:p w14:paraId="54526F9E" w14:textId="77777777" w:rsidR="00E57DAA" w:rsidRDefault="00E57DAA">
                <w:pPr>
                  <w:jc w:val="right"/>
                  <w:rPr>
                    <w:sz w:val="11"/>
                    <w:szCs w:val="11"/>
                  </w:rPr>
                </w:pPr>
              </w:p>
            </w:tc>
            <w:tc>
              <w:tcPr>
                <w:tcW w:w="119" w:type="pct"/>
                <w:vAlign w:val="center"/>
              </w:tcPr>
              <w:p w14:paraId="7990DD02" w14:textId="77777777" w:rsidR="00E57DAA" w:rsidRDefault="00E57DAA">
                <w:pPr>
                  <w:jc w:val="right"/>
                  <w:rPr>
                    <w:sz w:val="11"/>
                    <w:szCs w:val="11"/>
                  </w:rPr>
                </w:pPr>
              </w:p>
            </w:tc>
            <w:tc>
              <w:tcPr>
                <w:tcW w:w="120" w:type="pct"/>
                <w:vAlign w:val="center"/>
              </w:tcPr>
              <w:p w14:paraId="457B830C" w14:textId="77777777" w:rsidR="00E57DAA" w:rsidRDefault="00E57DAA">
                <w:pPr>
                  <w:jc w:val="right"/>
                  <w:rPr>
                    <w:sz w:val="11"/>
                    <w:szCs w:val="11"/>
                  </w:rPr>
                </w:pPr>
              </w:p>
            </w:tc>
            <w:tc>
              <w:tcPr>
                <w:tcW w:w="395" w:type="pct"/>
                <w:vAlign w:val="center"/>
              </w:tcPr>
              <w:p w14:paraId="2E5F3DCD" w14:textId="77777777" w:rsidR="00E57DAA" w:rsidRDefault="00AC4185">
                <w:pPr>
                  <w:jc w:val="right"/>
                  <w:rPr>
                    <w:sz w:val="11"/>
                    <w:szCs w:val="11"/>
                  </w:rPr>
                </w:pPr>
                <w:r>
                  <w:rPr>
                    <w:sz w:val="11"/>
                    <w:szCs w:val="11"/>
                  </w:rPr>
                  <w:t>1,183,877,316.88</w:t>
                </w:r>
              </w:p>
            </w:tc>
            <w:tc>
              <w:tcPr>
                <w:tcW w:w="356" w:type="pct"/>
                <w:vAlign w:val="center"/>
              </w:tcPr>
              <w:p w14:paraId="16D29E2B" w14:textId="77777777" w:rsidR="00E57DAA" w:rsidRDefault="00AC4185">
                <w:pPr>
                  <w:jc w:val="right"/>
                  <w:rPr>
                    <w:sz w:val="11"/>
                    <w:szCs w:val="11"/>
                  </w:rPr>
                </w:pPr>
                <w:r>
                  <w:rPr>
                    <w:sz w:val="11"/>
                    <w:szCs w:val="11"/>
                  </w:rPr>
                  <w:t>267,191,920.55</w:t>
                </w:r>
              </w:p>
            </w:tc>
            <w:tc>
              <w:tcPr>
                <w:tcW w:w="379" w:type="pct"/>
                <w:vAlign w:val="center"/>
              </w:tcPr>
              <w:p w14:paraId="290A900B" w14:textId="77777777" w:rsidR="00E57DAA" w:rsidRDefault="00AC4185">
                <w:pPr>
                  <w:jc w:val="right"/>
                  <w:rPr>
                    <w:sz w:val="11"/>
                    <w:szCs w:val="11"/>
                  </w:rPr>
                </w:pPr>
                <w:r>
                  <w:rPr>
                    <w:sz w:val="11"/>
                    <w:szCs w:val="11"/>
                  </w:rPr>
                  <w:t>-99,677,123.23</w:t>
                </w:r>
              </w:p>
            </w:tc>
            <w:tc>
              <w:tcPr>
                <w:tcW w:w="356" w:type="pct"/>
                <w:vAlign w:val="center"/>
              </w:tcPr>
              <w:p w14:paraId="1544C739" w14:textId="77777777" w:rsidR="00E57DAA" w:rsidRDefault="00AC4185">
                <w:pPr>
                  <w:jc w:val="right"/>
                  <w:rPr>
                    <w:sz w:val="11"/>
                    <w:szCs w:val="11"/>
                  </w:rPr>
                </w:pPr>
                <w:r>
                  <w:rPr>
                    <w:sz w:val="11"/>
                    <w:szCs w:val="11"/>
                  </w:rPr>
                  <w:t>291,213,204.10</w:t>
                </w:r>
              </w:p>
            </w:tc>
            <w:tc>
              <w:tcPr>
                <w:tcW w:w="356" w:type="pct"/>
                <w:vAlign w:val="center"/>
              </w:tcPr>
              <w:p w14:paraId="0A9B854A" w14:textId="77777777" w:rsidR="00E57DAA" w:rsidRDefault="00AC4185">
                <w:pPr>
                  <w:jc w:val="right"/>
                  <w:rPr>
                    <w:sz w:val="11"/>
                    <w:szCs w:val="11"/>
                  </w:rPr>
                </w:pPr>
                <w:r>
                  <w:rPr>
                    <w:sz w:val="11"/>
                    <w:szCs w:val="11"/>
                  </w:rPr>
                  <w:t>976,748,193.92</w:t>
                </w:r>
              </w:p>
            </w:tc>
            <w:tc>
              <w:tcPr>
                <w:tcW w:w="118" w:type="pct"/>
                <w:vAlign w:val="center"/>
              </w:tcPr>
              <w:p w14:paraId="0B552879" w14:textId="77777777" w:rsidR="00E57DAA" w:rsidRDefault="00E57DAA">
                <w:pPr>
                  <w:jc w:val="right"/>
                  <w:rPr>
                    <w:sz w:val="11"/>
                    <w:szCs w:val="11"/>
                  </w:rPr>
                </w:pPr>
              </w:p>
            </w:tc>
            <w:tc>
              <w:tcPr>
                <w:tcW w:w="415" w:type="pct"/>
                <w:vAlign w:val="center"/>
              </w:tcPr>
              <w:p w14:paraId="5CFE7376" w14:textId="77777777" w:rsidR="00E57DAA" w:rsidRDefault="00AC4185">
                <w:pPr>
                  <w:jc w:val="right"/>
                  <w:rPr>
                    <w:sz w:val="11"/>
                    <w:szCs w:val="11"/>
                  </w:rPr>
                </w:pPr>
                <w:r>
                  <w:rPr>
                    <w:sz w:val="11"/>
                    <w:szCs w:val="11"/>
                  </w:rPr>
                  <w:t>13,077,801,169.02</w:t>
                </w:r>
              </w:p>
            </w:tc>
            <w:tc>
              <w:tcPr>
                <w:tcW w:w="149" w:type="pct"/>
                <w:vAlign w:val="center"/>
              </w:tcPr>
              <w:p w14:paraId="28A056FA" w14:textId="77777777" w:rsidR="00E57DAA" w:rsidRDefault="00E57DAA">
                <w:pPr>
                  <w:jc w:val="right"/>
                  <w:rPr>
                    <w:sz w:val="11"/>
                    <w:szCs w:val="11"/>
                  </w:rPr>
                </w:pPr>
              </w:p>
            </w:tc>
            <w:tc>
              <w:tcPr>
                <w:tcW w:w="415" w:type="pct"/>
                <w:vAlign w:val="center"/>
              </w:tcPr>
              <w:p w14:paraId="2A3577E2" w14:textId="77777777" w:rsidR="00E57DAA" w:rsidRDefault="00AC4185">
                <w:pPr>
                  <w:jc w:val="right"/>
                  <w:rPr>
                    <w:sz w:val="11"/>
                    <w:szCs w:val="11"/>
                  </w:rPr>
                </w:pPr>
                <w:r>
                  <w:rPr>
                    <w:sz w:val="11"/>
                    <w:szCs w:val="11"/>
                  </w:rPr>
                  <w:t>17,428,402,904.14</w:t>
                </w:r>
              </w:p>
            </w:tc>
            <w:tc>
              <w:tcPr>
                <w:tcW w:w="395" w:type="pct"/>
                <w:vAlign w:val="center"/>
              </w:tcPr>
              <w:p w14:paraId="6044E261" w14:textId="77777777" w:rsidR="00E57DAA" w:rsidRDefault="00AC4185">
                <w:pPr>
                  <w:jc w:val="right"/>
                  <w:rPr>
                    <w:sz w:val="11"/>
                    <w:szCs w:val="11"/>
                  </w:rPr>
                </w:pPr>
                <w:r>
                  <w:rPr>
                    <w:sz w:val="11"/>
                    <w:szCs w:val="11"/>
                  </w:rPr>
                  <w:t>1,429,739,551.38</w:t>
                </w:r>
              </w:p>
            </w:tc>
            <w:tc>
              <w:tcPr>
                <w:tcW w:w="415" w:type="pct"/>
                <w:vAlign w:val="center"/>
              </w:tcPr>
              <w:p w14:paraId="4DAD95CE" w14:textId="77777777" w:rsidR="00E57DAA" w:rsidRDefault="00AC4185">
                <w:pPr>
                  <w:jc w:val="right"/>
                  <w:rPr>
                    <w:sz w:val="11"/>
                    <w:szCs w:val="11"/>
                  </w:rPr>
                </w:pPr>
                <w:r>
                  <w:rPr>
                    <w:sz w:val="11"/>
                    <w:szCs w:val="11"/>
                  </w:rPr>
                  <w:t>18,858,142,455.52</w:t>
                </w:r>
              </w:p>
            </w:tc>
          </w:tr>
        </w:tbl>
        <w:p w14:paraId="4514057F" w14:textId="77777777" w:rsidR="00E57DAA" w:rsidRDefault="00AC4185">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1354949416"/>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812095496"/>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214048678"/>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2C23AFE8" w14:textId="77777777" w:rsidR="00E57DAA" w:rsidRDefault="00E57DAA">
      <w:pPr>
        <w:rPr>
          <w:szCs w:val="21"/>
        </w:rPr>
      </w:pPr>
    </w:p>
    <w:p w14:paraId="702017CB" w14:textId="77777777" w:rsidR="00E57DAA" w:rsidRDefault="00E57DAA">
      <w:pPr>
        <w:rPr>
          <w:szCs w:val="21"/>
        </w:rPr>
      </w:pPr>
    </w:p>
    <w:sdt>
      <w:sdtPr>
        <w:rPr>
          <w:b/>
          <w:szCs w:val="21"/>
        </w:rPr>
        <w:tag w:val="_GBC_24560eea01804b8b9d3678736eb60ca8"/>
        <w:id w:val="-557316856"/>
        <w:placeholder>
          <w:docPart w:val="GBC22222222222222222222222222222"/>
        </w:placeholder>
      </w:sdtPr>
      <w:sdtEndPr>
        <w:rPr>
          <w:rFonts w:hint="eastAsia"/>
          <w:b w:val="0"/>
        </w:rPr>
      </w:sdtEndPr>
      <w:sdtContent>
        <w:p w14:paraId="1A3DAFA6" w14:textId="77777777" w:rsidR="00E57DAA" w:rsidRDefault="00AC4185">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4B88322B" w14:textId="77777777" w:rsidR="00E57DAA" w:rsidRDefault="00AC4185">
          <w:pPr>
            <w:tabs>
              <w:tab w:val="left" w:pos="10080"/>
            </w:tabs>
            <w:snapToGrid w:val="0"/>
            <w:spacing w:line="240" w:lineRule="atLeast"/>
            <w:ind w:rightChars="12" w:right="25"/>
            <w:jc w:val="center"/>
            <w:rPr>
              <w:b/>
              <w:bCs/>
              <w:szCs w:val="21"/>
            </w:rPr>
          </w:pPr>
          <w:r>
            <w:rPr>
              <w:szCs w:val="21"/>
            </w:rPr>
            <w:t>2023年</w:t>
          </w:r>
          <w:r>
            <w:rPr>
              <w:rFonts w:hint="eastAsia"/>
              <w:szCs w:val="21"/>
            </w:rPr>
            <w:t>1—12</w:t>
          </w:r>
          <w:r>
            <w:rPr>
              <w:szCs w:val="21"/>
            </w:rPr>
            <w:t>月</w:t>
          </w:r>
        </w:p>
        <w:p w14:paraId="42F984AC" w14:textId="77777777" w:rsidR="00E57DAA" w:rsidRDefault="00AC4185">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6085711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19937095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8"/>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321"/>
            <w:gridCol w:w="567"/>
            <w:gridCol w:w="567"/>
            <w:gridCol w:w="567"/>
            <w:gridCol w:w="1134"/>
            <w:gridCol w:w="1134"/>
            <w:gridCol w:w="992"/>
            <w:gridCol w:w="992"/>
            <w:gridCol w:w="1134"/>
            <w:gridCol w:w="1559"/>
            <w:gridCol w:w="1543"/>
          </w:tblGrid>
          <w:tr w:rsidR="00E57DAA" w14:paraId="7E965010" w14:textId="77777777">
            <w:trPr>
              <w:trHeight w:val="20"/>
            </w:trPr>
            <w:sdt>
              <w:sdtPr>
                <w:rPr>
                  <w:sz w:val="11"/>
                  <w:szCs w:val="11"/>
                </w:rPr>
                <w:tag w:val="_PLD_6243181199ca48faaab1b52ea7b6f562"/>
                <w:id w:val="770985020"/>
              </w:sdtPr>
              <w:sdtEndPr/>
              <w:sdtContent>
                <w:tc>
                  <w:tcPr>
                    <w:tcW w:w="2450" w:type="dxa"/>
                    <w:vMerge w:val="restart"/>
                    <w:vAlign w:val="center"/>
                  </w:tcPr>
                  <w:p w14:paraId="79638748" w14:textId="77777777" w:rsidR="00E57DAA" w:rsidRDefault="00AC4185">
                    <w:pPr>
                      <w:adjustRightInd w:val="0"/>
                      <w:snapToGrid w:val="0"/>
                      <w:jc w:val="center"/>
                      <w:rPr>
                        <w:sz w:val="11"/>
                        <w:szCs w:val="11"/>
                      </w:rPr>
                    </w:pPr>
                    <w:r>
                      <w:rPr>
                        <w:rFonts w:hint="eastAsia"/>
                        <w:sz w:val="11"/>
                        <w:szCs w:val="11"/>
                      </w:rPr>
                      <w:t>项目</w:t>
                    </w:r>
                  </w:p>
                </w:tc>
              </w:sdtContent>
            </w:sdt>
            <w:tc>
              <w:tcPr>
                <w:tcW w:w="11510" w:type="dxa"/>
                <w:gridSpan w:val="11"/>
                <w:vAlign w:val="center"/>
              </w:tcPr>
              <w:p w14:paraId="7A49DC53" w14:textId="77777777" w:rsidR="00E57DAA" w:rsidRDefault="00AC4185">
                <w:pPr>
                  <w:adjustRightInd w:val="0"/>
                  <w:snapToGrid w:val="0"/>
                  <w:jc w:val="center"/>
                  <w:rPr>
                    <w:sz w:val="11"/>
                    <w:szCs w:val="11"/>
                  </w:rPr>
                </w:pPr>
                <w:r>
                  <w:rPr>
                    <w:rFonts w:hint="eastAsia"/>
                    <w:sz w:val="11"/>
                    <w:szCs w:val="11"/>
                  </w:rPr>
                  <w:t xml:space="preserve"> </w:t>
                </w:r>
                <w:sdt>
                  <w:sdtPr>
                    <w:rPr>
                      <w:rFonts w:hint="eastAsia"/>
                      <w:sz w:val="11"/>
                      <w:szCs w:val="11"/>
                    </w:rPr>
                    <w:tag w:val="_PLD_53ebc36a4faa4485960520df843f0c63"/>
                    <w:id w:val="-228465091"/>
                  </w:sdtPr>
                  <w:sdtEndPr/>
                  <w:sdtContent>
                    <w:r>
                      <w:rPr>
                        <w:rFonts w:hint="eastAsia"/>
                        <w:sz w:val="11"/>
                        <w:szCs w:val="11"/>
                      </w:rPr>
                      <w:t>2023年度</w:t>
                    </w:r>
                  </w:sdtContent>
                </w:sdt>
              </w:p>
            </w:tc>
          </w:tr>
          <w:tr w:rsidR="00E57DAA" w14:paraId="0670B7E8" w14:textId="77777777">
            <w:trPr>
              <w:trHeight w:val="315"/>
            </w:trPr>
            <w:tc>
              <w:tcPr>
                <w:tcW w:w="2450" w:type="dxa"/>
                <w:vMerge/>
              </w:tcPr>
              <w:p w14:paraId="678A7603" w14:textId="77777777" w:rsidR="00E57DAA" w:rsidRDefault="00E57DAA">
                <w:pPr>
                  <w:adjustRightInd w:val="0"/>
                  <w:snapToGrid w:val="0"/>
                  <w:rPr>
                    <w:sz w:val="11"/>
                    <w:szCs w:val="11"/>
                  </w:rPr>
                </w:pPr>
              </w:p>
            </w:tc>
            <w:sdt>
              <w:sdtPr>
                <w:rPr>
                  <w:sz w:val="11"/>
                  <w:szCs w:val="11"/>
                </w:rPr>
                <w:tag w:val="_PLD_d42b0ce5c44e4777bd36491652f20dd8"/>
                <w:id w:val="486684030"/>
              </w:sdtPr>
              <w:sdtEndPr/>
              <w:sdtContent>
                <w:tc>
                  <w:tcPr>
                    <w:tcW w:w="1321" w:type="dxa"/>
                    <w:vMerge w:val="restart"/>
                    <w:tcBorders>
                      <w:right w:val="single" w:sz="4" w:space="0" w:color="auto"/>
                    </w:tcBorders>
                    <w:vAlign w:val="center"/>
                  </w:tcPr>
                  <w:p w14:paraId="45DE4933" w14:textId="77777777" w:rsidR="00E57DAA" w:rsidRDefault="00AC4185">
                    <w:pPr>
                      <w:adjustRightInd w:val="0"/>
                      <w:snapToGrid w:val="0"/>
                      <w:jc w:val="center"/>
                      <w:rPr>
                        <w:sz w:val="11"/>
                        <w:szCs w:val="11"/>
                      </w:rPr>
                    </w:pPr>
                    <w:r>
                      <w:rPr>
                        <w:sz w:val="11"/>
                        <w:szCs w:val="11"/>
                      </w:rPr>
                      <w:t>实收资本 (或股本)</w:t>
                    </w:r>
                  </w:p>
                </w:tc>
              </w:sdtContent>
            </w:sdt>
            <w:sdt>
              <w:sdtPr>
                <w:rPr>
                  <w:sz w:val="11"/>
                  <w:szCs w:val="11"/>
                </w:rPr>
                <w:tag w:val="_PLD_2b96b9233b354a859329aa59fac6fc9e"/>
                <w:id w:val="1965385838"/>
              </w:sdtPr>
              <w:sdtEndPr/>
              <w:sdtContent>
                <w:tc>
                  <w:tcPr>
                    <w:tcW w:w="1701" w:type="dxa"/>
                    <w:gridSpan w:val="3"/>
                    <w:tcBorders>
                      <w:left w:val="single" w:sz="4" w:space="0" w:color="auto"/>
                      <w:bottom w:val="single" w:sz="4" w:space="0" w:color="auto"/>
                    </w:tcBorders>
                    <w:vAlign w:val="center"/>
                  </w:tcPr>
                  <w:p w14:paraId="7BAB09E2" w14:textId="77777777" w:rsidR="00E57DAA" w:rsidRDefault="00AC4185">
                    <w:pPr>
                      <w:adjustRightInd w:val="0"/>
                      <w:snapToGrid w:val="0"/>
                      <w:jc w:val="center"/>
                      <w:rPr>
                        <w:sz w:val="11"/>
                        <w:szCs w:val="11"/>
                      </w:rPr>
                    </w:pPr>
                    <w:r>
                      <w:rPr>
                        <w:rFonts w:hint="eastAsia"/>
                        <w:sz w:val="11"/>
                        <w:szCs w:val="11"/>
                      </w:rPr>
                      <w:t>其他权益工具</w:t>
                    </w:r>
                  </w:p>
                </w:tc>
              </w:sdtContent>
            </w:sdt>
            <w:sdt>
              <w:sdtPr>
                <w:rPr>
                  <w:sz w:val="11"/>
                  <w:szCs w:val="11"/>
                </w:rPr>
                <w:tag w:val="_PLD_dafb11707213467d9f285bde7429767a"/>
                <w:id w:val="-1447219934"/>
              </w:sdtPr>
              <w:sdtEndPr/>
              <w:sdtContent>
                <w:tc>
                  <w:tcPr>
                    <w:tcW w:w="1134" w:type="dxa"/>
                    <w:vMerge w:val="restart"/>
                    <w:vAlign w:val="center"/>
                  </w:tcPr>
                  <w:p w14:paraId="6BA71391" w14:textId="77777777" w:rsidR="00E57DAA" w:rsidRDefault="00AC4185">
                    <w:pPr>
                      <w:adjustRightInd w:val="0"/>
                      <w:snapToGrid w:val="0"/>
                      <w:jc w:val="center"/>
                      <w:rPr>
                        <w:sz w:val="11"/>
                        <w:szCs w:val="11"/>
                      </w:rPr>
                    </w:pPr>
                    <w:r>
                      <w:rPr>
                        <w:sz w:val="11"/>
                        <w:szCs w:val="11"/>
                      </w:rPr>
                      <w:t>资本公积</w:t>
                    </w:r>
                  </w:p>
                </w:tc>
              </w:sdtContent>
            </w:sdt>
            <w:sdt>
              <w:sdtPr>
                <w:rPr>
                  <w:sz w:val="11"/>
                  <w:szCs w:val="11"/>
                </w:rPr>
                <w:tag w:val="_PLD_2fb702eaa01c41839715d0f477a28608"/>
                <w:id w:val="-937444771"/>
              </w:sdtPr>
              <w:sdtEndPr/>
              <w:sdtContent>
                <w:tc>
                  <w:tcPr>
                    <w:tcW w:w="1134" w:type="dxa"/>
                    <w:vMerge w:val="restart"/>
                    <w:vAlign w:val="center"/>
                  </w:tcPr>
                  <w:p w14:paraId="03A6943F" w14:textId="77777777" w:rsidR="00E57DAA" w:rsidRDefault="00AC4185">
                    <w:pPr>
                      <w:adjustRightInd w:val="0"/>
                      <w:snapToGrid w:val="0"/>
                      <w:jc w:val="center"/>
                      <w:rPr>
                        <w:sz w:val="11"/>
                        <w:szCs w:val="11"/>
                      </w:rPr>
                    </w:pPr>
                    <w:r>
                      <w:rPr>
                        <w:sz w:val="11"/>
                        <w:szCs w:val="11"/>
                      </w:rPr>
                      <w:t>减：库存股</w:t>
                    </w:r>
                  </w:p>
                </w:tc>
              </w:sdtContent>
            </w:sdt>
            <w:sdt>
              <w:sdtPr>
                <w:rPr>
                  <w:sz w:val="11"/>
                  <w:szCs w:val="11"/>
                </w:rPr>
                <w:tag w:val="_PLD_01fd07c61bdc4289ad848770e21829f0"/>
                <w:id w:val="-564801070"/>
              </w:sdtPr>
              <w:sdtEndPr/>
              <w:sdtContent>
                <w:tc>
                  <w:tcPr>
                    <w:tcW w:w="992" w:type="dxa"/>
                    <w:vMerge w:val="restart"/>
                    <w:vAlign w:val="center"/>
                  </w:tcPr>
                  <w:p w14:paraId="2891DE06" w14:textId="77777777" w:rsidR="00E57DAA" w:rsidRDefault="00AC4185">
                    <w:pPr>
                      <w:jc w:val="center"/>
                      <w:rPr>
                        <w:sz w:val="11"/>
                        <w:szCs w:val="11"/>
                      </w:rPr>
                    </w:pPr>
                    <w:r>
                      <w:rPr>
                        <w:rFonts w:hint="eastAsia"/>
                        <w:sz w:val="11"/>
                        <w:szCs w:val="11"/>
                      </w:rPr>
                      <w:t>其他综合收益</w:t>
                    </w:r>
                  </w:p>
                </w:tc>
              </w:sdtContent>
            </w:sdt>
            <w:sdt>
              <w:sdtPr>
                <w:rPr>
                  <w:sz w:val="11"/>
                  <w:szCs w:val="11"/>
                </w:rPr>
                <w:tag w:val="_PLD_90a7206226784441ae3a059bd6e2aeb9"/>
                <w:id w:val="-611599505"/>
              </w:sdtPr>
              <w:sdtEndPr/>
              <w:sdtContent>
                <w:tc>
                  <w:tcPr>
                    <w:tcW w:w="992" w:type="dxa"/>
                    <w:vMerge w:val="restart"/>
                    <w:vAlign w:val="center"/>
                  </w:tcPr>
                  <w:p w14:paraId="7EFF5B4D" w14:textId="77777777" w:rsidR="00E57DAA" w:rsidRDefault="00AC4185">
                    <w:pPr>
                      <w:adjustRightInd w:val="0"/>
                      <w:snapToGrid w:val="0"/>
                      <w:jc w:val="center"/>
                      <w:rPr>
                        <w:sz w:val="11"/>
                        <w:szCs w:val="11"/>
                      </w:rPr>
                    </w:pPr>
                    <w:r>
                      <w:rPr>
                        <w:rFonts w:hint="eastAsia"/>
                        <w:sz w:val="11"/>
                        <w:szCs w:val="11"/>
                      </w:rPr>
                      <w:t>专项储备</w:t>
                    </w:r>
                  </w:p>
                </w:tc>
              </w:sdtContent>
            </w:sdt>
            <w:sdt>
              <w:sdtPr>
                <w:rPr>
                  <w:sz w:val="11"/>
                  <w:szCs w:val="11"/>
                </w:rPr>
                <w:tag w:val="_PLD_e9a70df1813948df997635772bea7de3"/>
                <w:id w:val="-188302758"/>
              </w:sdtPr>
              <w:sdtEndPr/>
              <w:sdtContent>
                <w:tc>
                  <w:tcPr>
                    <w:tcW w:w="1134" w:type="dxa"/>
                    <w:vMerge w:val="restart"/>
                    <w:vAlign w:val="center"/>
                  </w:tcPr>
                  <w:p w14:paraId="255E91FC" w14:textId="77777777" w:rsidR="00E57DAA" w:rsidRDefault="00AC4185">
                    <w:pPr>
                      <w:adjustRightInd w:val="0"/>
                      <w:snapToGrid w:val="0"/>
                      <w:jc w:val="center"/>
                      <w:rPr>
                        <w:sz w:val="11"/>
                        <w:szCs w:val="11"/>
                      </w:rPr>
                    </w:pPr>
                    <w:r>
                      <w:rPr>
                        <w:sz w:val="11"/>
                        <w:szCs w:val="11"/>
                      </w:rPr>
                      <w:t>盈余公积</w:t>
                    </w:r>
                  </w:p>
                </w:tc>
              </w:sdtContent>
            </w:sdt>
            <w:sdt>
              <w:sdtPr>
                <w:rPr>
                  <w:sz w:val="11"/>
                  <w:szCs w:val="11"/>
                </w:rPr>
                <w:tag w:val="_PLD_9b2be5c2b4a3447c85cf695b1da440fa"/>
                <w:id w:val="1663974683"/>
              </w:sdtPr>
              <w:sdtEndPr/>
              <w:sdtContent>
                <w:tc>
                  <w:tcPr>
                    <w:tcW w:w="1559" w:type="dxa"/>
                    <w:vMerge w:val="restart"/>
                    <w:vAlign w:val="center"/>
                  </w:tcPr>
                  <w:p w14:paraId="38133183" w14:textId="77777777" w:rsidR="00E57DAA" w:rsidRDefault="00AC4185">
                    <w:pPr>
                      <w:adjustRightInd w:val="0"/>
                      <w:snapToGrid w:val="0"/>
                      <w:jc w:val="center"/>
                      <w:rPr>
                        <w:sz w:val="11"/>
                        <w:szCs w:val="11"/>
                      </w:rPr>
                    </w:pPr>
                    <w:r>
                      <w:rPr>
                        <w:sz w:val="11"/>
                        <w:szCs w:val="11"/>
                      </w:rPr>
                      <w:t>未分配利润</w:t>
                    </w:r>
                  </w:p>
                </w:tc>
              </w:sdtContent>
            </w:sdt>
            <w:sdt>
              <w:sdtPr>
                <w:rPr>
                  <w:sz w:val="11"/>
                  <w:szCs w:val="11"/>
                </w:rPr>
                <w:tag w:val="_PLD_61dd0378fbe645dfb87cfecfbc846206"/>
                <w:id w:val="2106616392"/>
              </w:sdtPr>
              <w:sdtEndPr/>
              <w:sdtContent>
                <w:tc>
                  <w:tcPr>
                    <w:tcW w:w="1543" w:type="dxa"/>
                    <w:vMerge w:val="restart"/>
                    <w:vAlign w:val="center"/>
                  </w:tcPr>
                  <w:p w14:paraId="535F3492" w14:textId="77777777" w:rsidR="00E57DAA" w:rsidRDefault="00AC4185">
                    <w:pPr>
                      <w:adjustRightInd w:val="0"/>
                      <w:snapToGrid w:val="0"/>
                      <w:jc w:val="center"/>
                      <w:rPr>
                        <w:sz w:val="11"/>
                        <w:szCs w:val="11"/>
                      </w:rPr>
                    </w:pPr>
                    <w:r>
                      <w:rPr>
                        <w:sz w:val="11"/>
                        <w:szCs w:val="11"/>
                      </w:rPr>
                      <w:t>所有者权益合计</w:t>
                    </w:r>
                  </w:p>
                </w:tc>
              </w:sdtContent>
            </w:sdt>
          </w:tr>
          <w:tr w:rsidR="00E57DAA" w14:paraId="56604878" w14:textId="77777777">
            <w:trPr>
              <w:trHeight w:val="294"/>
            </w:trPr>
            <w:tc>
              <w:tcPr>
                <w:tcW w:w="2450" w:type="dxa"/>
                <w:vMerge/>
              </w:tcPr>
              <w:p w14:paraId="2D4C0437" w14:textId="77777777" w:rsidR="00E57DAA" w:rsidRDefault="00E57DAA">
                <w:pPr>
                  <w:adjustRightInd w:val="0"/>
                  <w:snapToGrid w:val="0"/>
                  <w:rPr>
                    <w:sz w:val="11"/>
                    <w:szCs w:val="11"/>
                  </w:rPr>
                </w:pPr>
              </w:p>
            </w:tc>
            <w:tc>
              <w:tcPr>
                <w:tcW w:w="1321" w:type="dxa"/>
                <w:vMerge/>
                <w:tcBorders>
                  <w:right w:val="single" w:sz="4" w:space="0" w:color="auto"/>
                </w:tcBorders>
                <w:vAlign w:val="center"/>
              </w:tcPr>
              <w:p w14:paraId="584A9004" w14:textId="77777777" w:rsidR="00E57DAA" w:rsidRDefault="00E57DAA">
                <w:pPr>
                  <w:adjustRightInd w:val="0"/>
                  <w:snapToGrid w:val="0"/>
                  <w:jc w:val="center"/>
                  <w:rPr>
                    <w:sz w:val="11"/>
                    <w:szCs w:val="11"/>
                  </w:rPr>
                </w:pPr>
              </w:p>
            </w:tc>
            <w:sdt>
              <w:sdtPr>
                <w:rPr>
                  <w:sz w:val="11"/>
                  <w:szCs w:val="11"/>
                </w:rPr>
                <w:tag w:val="_PLD_506dd395f17d4bea92c50a0850471ea4"/>
                <w:id w:val="-1704471725"/>
              </w:sdtPr>
              <w:sdtEndPr/>
              <w:sdtContent>
                <w:tc>
                  <w:tcPr>
                    <w:tcW w:w="567" w:type="dxa"/>
                    <w:tcBorders>
                      <w:top w:val="single" w:sz="4" w:space="0" w:color="auto"/>
                      <w:left w:val="single" w:sz="4" w:space="0" w:color="auto"/>
                      <w:right w:val="single" w:sz="4" w:space="0" w:color="auto"/>
                    </w:tcBorders>
                    <w:vAlign w:val="center"/>
                  </w:tcPr>
                  <w:p w14:paraId="3F83C1B8" w14:textId="77777777" w:rsidR="00E57DAA" w:rsidRDefault="00AC4185">
                    <w:pPr>
                      <w:adjustRightInd w:val="0"/>
                      <w:snapToGrid w:val="0"/>
                      <w:jc w:val="center"/>
                      <w:rPr>
                        <w:sz w:val="11"/>
                        <w:szCs w:val="11"/>
                      </w:rPr>
                    </w:pPr>
                    <w:r>
                      <w:rPr>
                        <w:rFonts w:hint="eastAsia"/>
                        <w:sz w:val="11"/>
                        <w:szCs w:val="11"/>
                      </w:rPr>
                      <w:t>优先股</w:t>
                    </w:r>
                  </w:p>
                </w:tc>
              </w:sdtContent>
            </w:sdt>
            <w:sdt>
              <w:sdtPr>
                <w:rPr>
                  <w:sz w:val="11"/>
                  <w:szCs w:val="11"/>
                </w:rPr>
                <w:tag w:val="_PLD_d66ebd59f659426db31ba0d488ae47d0"/>
                <w:id w:val="2041316440"/>
              </w:sdtPr>
              <w:sdtEndPr/>
              <w:sdtContent>
                <w:tc>
                  <w:tcPr>
                    <w:tcW w:w="567" w:type="dxa"/>
                    <w:tcBorders>
                      <w:top w:val="single" w:sz="4" w:space="0" w:color="auto"/>
                      <w:left w:val="single" w:sz="4" w:space="0" w:color="auto"/>
                      <w:right w:val="single" w:sz="4" w:space="0" w:color="auto"/>
                    </w:tcBorders>
                    <w:vAlign w:val="center"/>
                  </w:tcPr>
                  <w:p w14:paraId="3CAB88A2" w14:textId="77777777" w:rsidR="00E57DAA" w:rsidRDefault="00AC4185">
                    <w:pPr>
                      <w:adjustRightInd w:val="0"/>
                      <w:snapToGrid w:val="0"/>
                      <w:jc w:val="center"/>
                      <w:rPr>
                        <w:sz w:val="11"/>
                        <w:szCs w:val="11"/>
                      </w:rPr>
                    </w:pPr>
                    <w:r>
                      <w:rPr>
                        <w:rFonts w:hint="eastAsia"/>
                        <w:sz w:val="11"/>
                        <w:szCs w:val="11"/>
                      </w:rPr>
                      <w:t>永续债</w:t>
                    </w:r>
                  </w:p>
                </w:tc>
              </w:sdtContent>
            </w:sdt>
            <w:sdt>
              <w:sdtPr>
                <w:rPr>
                  <w:sz w:val="11"/>
                  <w:szCs w:val="11"/>
                </w:rPr>
                <w:tag w:val="_PLD_997e05d9124249eeb1a10ac094efcb41"/>
                <w:id w:val="-257295400"/>
              </w:sdtPr>
              <w:sdtEndPr/>
              <w:sdtContent>
                <w:tc>
                  <w:tcPr>
                    <w:tcW w:w="567" w:type="dxa"/>
                    <w:tcBorders>
                      <w:top w:val="single" w:sz="4" w:space="0" w:color="auto"/>
                      <w:left w:val="single" w:sz="4" w:space="0" w:color="auto"/>
                    </w:tcBorders>
                    <w:vAlign w:val="center"/>
                  </w:tcPr>
                  <w:p w14:paraId="1BA5920F" w14:textId="77777777" w:rsidR="00E57DAA" w:rsidRDefault="00AC4185">
                    <w:pPr>
                      <w:adjustRightInd w:val="0"/>
                      <w:snapToGrid w:val="0"/>
                      <w:jc w:val="center"/>
                      <w:rPr>
                        <w:sz w:val="11"/>
                        <w:szCs w:val="11"/>
                      </w:rPr>
                    </w:pPr>
                    <w:r>
                      <w:rPr>
                        <w:rFonts w:hint="eastAsia"/>
                        <w:sz w:val="11"/>
                        <w:szCs w:val="11"/>
                      </w:rPr>
                      <w:t>其他</w:t>
                    </w:r>
                  </w:p>
                </w:tc>
              </w:sdtContent>
            </w:sdt>
            <w:tc>
              <w:tcPr>
                <w:tcW w:w="1134" w:type="dxa"/>
                <w:vMerge/>
              </w:tcPr>
              <w:p w14:paraId="39E10FCF" w14:textId="77777777" w:rsidR="00E57DAA" w:rsidRDefault="00E57DAA">
                <w:pPr>
                  <w:adjustRightInd w:val="0"/>
                  <w:snapToGrid w:val="0"/>
                  <w:jc w:val="center"/>
                  <w:rPr>
                    <w:sz w:val="11"/>
                    <w:szCs w:val="11"/>
                  </w:rPr>
                </w:pPr>
              </w:p>
            </w:tc>
            <w:tc>
              <w:tcPr>
                <w:tcW w:w="1134" w:type="dxa"/>
                <w:vMerge/>
              </w:tcPr>
              <w:p w14:paraId="0A28412F" w14:textId="77777777" w:rsidR="00E57DAA" w:rsidRDefault="00E57DAA">
                <w:pPr>
                  <w:adjustRightInd w:val="0"/>
                  <w:snapToGrid w:val="0"/>
                  <w:jc w:val="center"/>
                  <w:rPr>
                    <w:sz w:val="11"/>
                    <w:szCs w:val="11"/>
                  </w:rPr>
                </w:pPr>
              </w:p>
            </w:tc>
            <w:tc>
              <w:tcPr>
                <w:tcW w:w="992" w:type="dxa"/>
                <w:vMerge/>
              </w:tcPr>
              <w:p w14:paraId="45595867" w14:textId="77777777" w:rsidR="00E57DAA" w:rsidRDefault="00E57DAA">
                <w:pPr>
                  <w:jc w:val="center"/>
                  <w:rPr>
                    <w:sz w:val="11"/>
                    <w:szCs w:val="11"/>
                  </w:rPr>
                </w:pPr>
              </w:p>
            </w:tc>
            <w:tc>
              <w:tcPr>
                <w:tcW w:w="992" w:type="dxa"/>
                <w:vMerge/>
              </w:tcPr>
              <w:p w14:paraId="0FA14754" w14:textId="77777777" w:rsidR="00E57DAA" w:rsidRDefault="00E57DAA">
                <w:pPr>
                  <w:adjustRightInd w:val="0"/>
                  <w:snapToGrid w:val="0"/>
                  <w:jc w:val="center"/>
                  <w:rPr>
                    <w:sz w:val="11"/>
                    <w:szCs w:val="11"/>
                  </w:rPr>
                </w:pPr>
              </w:p>
            </w:tc>
            <w:tc>
              <w:tcPr>
                <w:tcW w:w="1134" w:type="dxa"/>
                <w:vMerge/>
              </w:tcPr>
              <w:p w14:paraId="393A282C" w14:textId="77777777" w:rsidR="00E57DAA" w:rsidRDefault="00E57DAA">
                <w:pPr>
                  <w:adjustRightInd w:val="0"/>
                  <w:snapToGrid w:val="0"/>
                  <w:jc w:val="center"/>
                  <w:rPr>
                    <w:sz w:val="11"/>
                    <w:szCs w:val="11"/>
                  </w:rPr>
                </w:pPr>
              </w:p>
            </w:tc>
            <w:tc>
              <w:tcPr>
                <w:tcW w:w="1559" w:type="dxa"/>
                <w:vMerge/>
              </w:tcPr>
              <w:p w14:paraId="072404D7" w14:textId="77777777" w:rsidR="00E57DAA" w:rsidRDefault="00E57DAA">
                <w:pPr>
                  <w:adjustRightInd w:val="0"/>
                  <w:snapToGrid w:val="0"/>
                  <w:jc w:val="center"/>
                  <w:rPr>
                    <w:sz w:val="11"/>
                    <w:szCs w:val="11"/>
                  </w:rPr>
                </w:pPr>
              </w:p>
            </w:tc>
            <w:tc>
              <w:tcPr>
                <w:tcW w:w="1543" w:type="dxa"/>
                <w:vMerge/>
              </w:tcPr>
              <w:p w14:paraId="0BDA7251" w14:textId="77777777" w:rsidR="00E57DAA" w:rsidRDefault="00E57DAA">
                <w:pPr>
                  <w:adjustRightInd w:val="0"/>
                  <w:snapToGrid w:val="0"/>
                  <w:jc w:val="center"/>
                  <w:rPr>
                    <w:sz w:val="11"/>
                    <w:szCs w:val="11"/>
                  </w:rPr>
                </w:pPr>
              </w:p>
            </w:tc>
          </w:tr>
          <w:tr w:rsidR="00E57DAA" w14:paraId="5716AD8A" w14:textId="77777777">
            <w:trPr>
              <w:trHeight w:val="20"/>
            </w:trPr>
            <w:sdt>
              <w:sdtPr>
                <w:rPr>
                  <w:sz w:val="11"/>
                  <w:szCs w:val="11"/>
                </w:rPr>
                <w:tag w:val="_PLD_08f8c5f19f2b42f7ae650f62c6878570"/>
                <w:id w:val="150805321"/>
              </w:sdtPr>
              <w:sdtEndPr/>
              <w:sdtContent>
                <w:tc>
                  <w:tcPr>
                    <w:tcW w:w="2450" w:type="dxa"/>
                  </w:tcPr>
                  <w:p w14:paraId="46C90287" w14:textId="77777777" w:rsidR="00E57DAA" w:rsidRDefault="00AC4185">
                    <w:pPr>
                      <w:rPr>
                        <w:sz w:val="11"/>
                        <w:szCs w:val="11"/>
                      </w:rPr>
                    </w:pPr>
                    <w:r>
                      <w:rPr>
                        <w:sz w:val="11"/>
                        <w:szCs w:val="11"/>
                      </w:rPr>
                      <w:t>一、上年</w:t>
                    </w:r>
                    <w:r>
                      <w:rPr>
                        <w:rFonts w:hint="eastAsia"/>
                        <w:sz w:val="11"/>
                        <w:szCs w:val="11"/>
                      </w:rPr>
                      <w:t>年</w:t>
                    </w:r>
                    <w:r>
                      <w:rPr>
                        <w:sz w:val="11"/>
                        <w:szCs w:val="11"/>
                      </w:rPr>
                      <w:t>末余额</w:t>
                    </w:r>
                  </w:p>
                </w:tc>
              </w:sdtContent>
            </w:sdt>
            <w:tc>
              <w:tcPr>
                <w:tcW w:w="1321" w:type="dxa"/>
                <w:tcBorders>
                  <w:right w:val="single" w:sz="4" w:space="0" w:color="auto"/>
                </w:tcBorders>
                <w:vAlign w:val="center"/>
              </w:tcPr>
              <w:p w14:paraId="2872D434" w14:textId="77777777" w:rsidR="00E57DAA" w:rsidRDefault="00AC4185">
                <w:pPr>
                  <w:jc w:val="right"/>
                  <w:rPr>
                    <w:sz w:val="11"/>
                    <w:szCs w:val="11"/>
                  </w:rPr>
                </w:pPr>
                <w:r>
                  <w:rPr>
                    <w:sz w:val="11"/>
                    <w:szCs w:val="11"/>
                  </w:rPr>
                  <w:t>2,265,632,064.00</w:t>
                </w:r>
              </w:p>
            </w:tc>
            <w:tc>
              <w:tcPr>
                <w:tcW w:w="567" w:type="dxa"/>
                <w:tcBorders>
                  <w:left w:val="single" w:sz="4" w:space="0" w:color="auto"/>
                  <w:right w:val="single" w:sz="4" w:space="0" w:color="auto"/>
                </w:tcBorders>
                <w:vAlign w:val="center"/>
              </w:tcPr>
              <w:p w14:paraId="58439C9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4DB348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87C1469" w14:textId="77777777" w:rsidR="00E57DAA" w:rsidRDefault="00E57DAA">
                <w:pPr>
                  <w:jc w:val="right"/>
                  <w:rPr>
                    <w:sz w:val="11"/>
                    <w:szCs w:val="11"/>
                  </w:rPr>
                </w:pPr>
              </w:p>
            </w:tc>
            <w:tc>
              <w:tcPr>
                <w:tcW w:w="1134" w:type="dxa"/>
                <w:tcBorders>
                  <w:left w:val="single" w:sz="4" w:space="0" w:color="auto"/>
                </w:tcBorders>
                <w:vAlign w:val="center"/>
              </w:tcPr>
              <w:p w14:paraId="2B27DE68" w14:textId="77777777" w:rsidR="00E57DAA" w:rsidRDefault="00AC4185">
                <w:pPr>
                  <w:jc w:val="right"/>
                  <w:rPr>
                    <w:sz w:val="11"/>
                    <w:szCs w:val="11"/>
                  </w:rPr>
                </w:pPr>
                <w:r>
                  <w:rPr>
                    <w:sz w:val="11"/>
                    <w:szCs w:val="11"/>
                  </w:rPr>
                  <w:t>3,588,174,614.41</w:t>
                </w:r>
              </w:p>
            </w:tc>
            <w:tc>
              <w:tcPr>
                <w:tcW w:w="1134" w:type="dxa"/>
                <w:vAlign w:val="center"/>
              </w:tcPr>
              <w:p w14:paraId="338C0297" w14:textId="77777777" w:rsidR="00E57DAA" w:rsidRDefault="00AC4185">
                <w:pPr>
                  <w:jc w:val="right"/>
                  <w:rPr>
                    <w:sz w:val="11"/>
                    <w:szCs w:val="11"/>
                  </w:rPr>
                </w:pPr>
                <w:r>
                  <w:rPr>
                    <w:sz w:val="11"/>
                    <w:szCs w:val="11"/>
                  </w:rPr>
                  <w:t>267,191,920.55</w:t>
                </w:r>
              </w:p>
            </w:tc>
            <w:tc>
              <w:tcPr>
                <w:tcW w:w="992" w:type="dxa"/>
                <w:vAlign w:val="center"/>
              </w:tcPr>
              <w:p w14:paraId="1D4C2749" w14:textId="77777777" w:rsidR="00E57DAA" w:rsidRDefault="00AC4185">
                <w:pPr>
                  <w:jc w:val="right"/>
                  <w:rPr>
                    <w:sz w:val="11"/>
                    <w:szCs w:val="11"/>
                  </w:rPr>
                </w:pPr>
                <w:r>
                  <w:rPr>
                    <w:sz w:val="11"/>
                    <w:szCs w:val="11"/>
                  </w:rPr>
                  <w:t>2,558,959.33</w:t>
                </w:r>
              </w:p>
            </w:tc>
            <w:tc>
              <w:tcPr>
                <w:tcW w:w="992" w:type="dxa"/>
                <w:vAlign w:val="center"/>
              </w:tcPr>
              <w:p w14:paraId="0D8BD97D" w14:textId="77777777" w:rsidR="00E57DAA" w:rsidRDefault="00AC4185">
                <w:pPr>
                  <w:jc w:val="right"/>
                  <w:rPr>
                    <w:sz w:val="11"/>
                    <w:szCs w:val="11"/>
                  </w:rPr>
                </w:pPr>
                <w:r>
                  <w:rPr>
                    <w:sz w:val="11"/>
                    <w:szCs w:val="11"/>
                  </w:rPr>
                  <w:t>3,668,066.48</w:t>
                </w:r>
              </w:p>
            </w:tc>
            <w:tc>
              <w:tcPr>
                <w:tcW w:w="1134" w:type="dxa"/>
                <w:vAlign w:val="center"/>
              </w:tcPr>
              <w:p w14:paraId="49234C34" w14:textId="77777777" w:rsidR="00E57DAA" w:rsidRDefault="00AC4185">
                <w:pPr>
                  <w:jc w:val="right"/>
                  <w:rPr>
                    <w:sz w:val="11"/>
                    <w:szCs w:val="11"/>
                  </w:rPr>
                </w:pPr>
                <w:r>
                  <w:rPr>
                    <w:sz w:val="11"/>
                    <w:szCs w:val="11"/>
                  </w:rPr>
                  <w:t>701,342,845.69</w:t>
                </w:r>
              </w:p>
            </w:tc>
            <w:tc>
              <w:tcPr>
                <w:tcW w:w="1559" w:type="dxa"/>
                <w:vAlign w:val="center"/>
              </w:tcPr>
              <w:p w14:paraId="6A2F3EC7" w14:textId="77777777" w:rsidR="00E57DAA" w:rsidRDefault="00AC4185">
                <w:pPr>
                  <w:jc w:val="right"/>
                  <w:rPr>
                    <w:sz w:val="11"/>
                    <w:szCs w:val="11"/>
                  </w:rPr>
                </w:pPr>
                <w:r>
                  <w:rPr>
                    <w:sz w:val="11"/>
                    <w:szCs w:val="11"/>
                  </w:rPr>
                  <w:t>1,087,362,449.56</w:t>
                </w:r>
              </w:p>
            </w:tc>
            <w:tc>
              <w:tcPr>
                <w:tcW w:w="1543" w:type="dxa"/>
                <w:vAlign w:val="center"/>
              </w:tcPr>
              <w:p w14:paraId="31885AF8" w14:textId="77777777" w:rsidR="00E57DAA" w:rsidRDefault="00AC4185">
                <w:pPr>
                  <w:jc w:val="right"/>
                  <w:rPr>
                    <w:sz w:val="11"/>
                    <w:szCs w:val="11"/>
                  </w:rPr>
                </w:pPr>
                <w:r>
                  <w:rPr>
                    <w:sz w:val="11"/>
                    <w:szCs w:val="11"/>
                  </w:rPr>
                  <w:t>7,381,547,078.92</w:t>
                </w:r>
              </w:p>
            </w:tc>
          </w:tr>
          <w:tr w:rsidR="00E57DAA" w14:paraId="2ACE0590" w14:textId="77777777">
            <w:trPr>
              <w:trHeight w:val="20"/>
            </w:trPr>
            <w:sdt>
              <w:sdtPr>
                <w:rPr>
                  <w:sz w:val="11"/>
                  <w:szCs w:val="11"/>
                </w:rPr>
                <w:tag w:val="_PLD_f977aa291b254801929edbd8e09eff6f"/>
                <w:id w:val="-47764959"/>
              </w:sdtPr>
              <w:sdtEndPr/>
              <w:sdtContent>
                <w:tc>
                  <w:tcPr>
                    <w:tcW w:w="2450" w:type="dxa"/>
                  </w:tcPr>
                  <w:p w14:paraId="1C0C71FC" w14:textId="77777777" w:rsidR="00E57DAA" w:rsidRDefault="00AC4185">
                    <w:pPr>
                      <w:rPr>
                        <w:sz w:val="11"/>
                        <w:szCs w:val="11"/>
                      </w:rPr>
                    </w:pPr>
                    <w:r>
                      <w:rPr>
                        <w:sz w:val="11"/>
                        <w:szCs w:val="11"/>
                      </w:rPr>
                      <w:t>加：会计政策变更</w:t>
                    </w:r>
                  </w:p>
                </w:tc>
              </w:sdtContent>
            </w:sdt>
            <w:tc>
              <w:tcPr>
                <w:tcW w:w="1321" w:type="dxa"/>
                <w:tcBorders>
                  <w:right w:val="single" w:sz="4" w:space="0" w:color="auto"/>
                </w:tcBorders>
                <w:vAlign w:val="center"/>
              </w:tcPr>
              <w:p w14:paraId="247D84C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E5B6A8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413C67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5B2A1D2" w14:textId="77777777" w:rsidR="00E57DAA" w:rsidRDefault="00E57DAA">
                <w:pPr>
                  <w:jc w:val="right"/>
                  <w:rPr>
                    <w:sz w:val="11"/>
                    <w:szCs w:val="11"/>
                  </w:rPr>
                </w:pPr>
              </w:p>
            </w:tc>
            <w:tc>
              <w:tcPr>
                <w:tcW w:w="1134" w:type="dxa"/>
                <w:tcBorders>
                  <w:left w:val="single" w:sz="4" w:space="0" w:color="auto"/>
                </w:tcBorders>
                <w:vAlign w:val="center"/>
              </w:tcPr>
              <w:p w14:paraId="40F6CB28" w14:textId="77777777" w:rsidR="00E57DAA" w:rsidRDefault="00E57DAA">
                <w:pPr>
                  <w:jc w:val="right"/>
                  <w:rPr>
                    <w:sz w:val="11"/>
                    <w:szCs w:val="11"/>
                  </w:rPr>
                </w:pPr>
              </w:p>
            </w:tc>
            <w:tc>
              <w:tcPr>
                <w:tcW w:w="1134" w:type="dxa"/>
                <w:vAlign w:val="center"/>
              </w:tcPr>
              <w:p w14:paraId="56DC9D83" w14:textId="77777777" w:rsidR="00E57DAA" w:rsidRDefault="00E57DAA">
                <w:pPr>
                  <w:jc w:val="right"/>
                  <w:rPr>
                    <w:sz w:val="11"/>
                    <w:szCs w:val="11"/>
                  </w:rPr>
                </w:pPr>
              </w:p>
            </w:tc>
            <w:tc>
              <w:tcPr>
                <w:tcW w:w="992" w:type="dxa"/>
                <w:vAlign w:val="center"/>
              </w:tcPr>
              <w:p w14:paraId="68939E94" w14:textId="77777777" w:rsidR="00E57DAA" w:rsidRDefault="00E57DAA">
                <w:pPr>
                  <w:jc w:val="right"/>
                  <w:rPr>
                    <w:sz w:val="11"/>
                    <w:szCs w:val="11"/>
                  </w:rPr>
                </w:pPr>
              </w:p>
            </w:tc>
            <w:tc>
              <w:tcPr>
                <w:tcW w:w="992" w:type="dxa"/>
                <w:vAlign w:val="center"/>
              </w:tcPr>
              <w:p w14:paraId="02377481" w14:textId="77777777" w:rsidR="00E57DAA" w:rsidRDefault="00E57DAA">
                <w:pPr>
                  <w:jc w:val="right"/>
                  <w:rPr>
                    <w:sz w:val="11"/>
                    <w:szCs w:val="11"/>
                  </w:rPr>
                </w:pPr>
              </w:p>
            </w:tc>
            <w:tc>
              <w:tcPr>
                <w:tcW w:w="1134" w:type="dxa"/>
                <w:vAlign w:val="center"/>
              </w:tcPr>
              <w:p w14:paraId="247D1916" w14:textId="77777777" w:rsidR="00E57DAA" w:rsidRDefault="00E57DAA">
                <w:pPr>
                  <w:jc w:val="right"/>
                  <w:rPr>
                    <w:sz w:val="11"/>
                    <w:szCs w:val="11"/>
                  </w:rPr>
                </w:pPr>
              </w:p>
            </w:tc>
            <w:tc>
              <w:tcPr>
                <w:tcW w:w="1559" w:type="dxa"/>
                <w:vAlign w:val="center"/>
              </w:tcPr>
              <w:p w14:paraId="6E381884" w14:textId="77777777" w:rsidR="00E57DAA" w:rsidRDefault="00E57DAA">
                <w:pPr>
                  <w:jc w:val="right"/>
                  <w:rPr>
                    <w:sz w:val="11"/>
                    <w:szCs w:val="11"/>
                  </w:rPr>
                </w:pPr>
              </w:p>
            </w:tc>
            <w:tc>
              <w:tcPr>
                <w:tcW w:w="1543" w:type="dxa"/>
                <w:vAlign w:val="center"/>
              </w:tcPr>
              <w:p w14:paraId="79116148" w14:textId="77777777" w:rsidR="00E57DAA" w:rsidRDefault="00E57DAA">
                <w:pPr>
                  <w:jc w:val="right"/>
                  <w:rPr>
                    <w:sz w:val="11"/>
                    <w:szCs w:val="11"/>
                  </w:rPr>
                </w:pPr>
              </w:p>
            </w:tc>
          </w:tr>
          <w:tr w:rsidR="00E57DAA" w14:paraId="2B7B7D9A" w14:textId="77777777">
            <w:trPr>
              <w:trHeight w:val="20"/>
            </w:trPr>
            <w:sdt>
              <w:sdtPr>
                <w:rPr>
                  <w:sz w:val="11"/>
                  <w:szCs w:val="11"/>
                </w:rPr>
                <w:tag w:val="_PLD_1dcd3d26f66745c0b48a5fac832ef867"/>
                <w:id w:val="-1891797172"/>
              </w:sdtPr>
              <w:sdtEndPr/>
              <w:sdtContent>
                <w:tc>
                  <w:tcPr>
                    <w:tcW w:w="2450" w:type="dxa"/>
                  </w:tcPr>
                  <w:p w14:paraId="3CB82946" w14:textId="77777777" w:rsidR="00E57DAA" w:rsidRDefault="00AC4185">
                    <w:pPr>
                      <w:ind w:firstLineChars="200" w:firstLine="220"/>
                      <w:rPr>
                        <w:sz w:val="11"/>
                        <w:szCs w:val="11"/>
                      </w:rPr>
                    </w:pPr>
                    <w:r>
                      <w:rPr>
                        <w:sz w:val="11"/>
                        <w:szCs w:val="11"/>
                      </w:rPr>
                      <w:t>前期差错更正</w:t>
                    </w:r>
                  </w:p>
                </w:tc>
              </w:sdtContent>
            </w:sdt>
            <w:tc>
              <w:tcPr>
                <w:tcW w:w="1321" w:type="dxa"/>
                <w:tcBorders>
                  <w:right w:val="single" w:sz="4" w:space="0" w:color="auto"/>
                </w:tcBorders>
                <w:vAlign w:val="center"/>
              </w:tcPr>
              <w:p w14:paraId="0014329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1E6256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5367429"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512F46D" w14:textId="77777777" w:rsidR="00E57DAA" w:rsidRDefault="00E57DAA">
                <w:pPr>
                  <w:jc w:val="right"/>
                  <w:rPr>
                    <w:sz w:val="11"/>
                    <w:szCs w:val="11"/>
                  </w:rPr>
                </w:pPr>
              </w:p>
            </w:tc>
            <w:tc>
              <w:tcPr>
                <w:tcW w:w="1134" w:type="dxa"/>
                <w:tcBorders>
                  <w:left w:val="single" w:sz="4" w:space="0" w:color="auto"/>
                </w:tcBorders>
                <w:vAlign w:val="center"/>
              </w:tcPr>
              <w:p w14:paraId="2337E7E5" w14:textId="77777777" w:rsidR="00E57DAA" w:rsidRDefault="00E57DAA">
                <w:pPr>
                  <w:jc w:val="right"/>
                  <w:rPr>
                    <w:sz w:val="11"/>
                    <w:szCs w:val="11"/>
                  </w:rPr>
                </w:pPr>
              </w:p>
            </w:tc>
            <w:tc>
              <w:tcPr>
                <w:tcW w:w="1134" w:type="dxa"/>
                <w:vAlign w:val="center"/>
              </w:tcPr>
              <w:p w14:paraId="32C7FE0E" w14:textId="77777777" w:rsidR="00E57DAA" w:rsidRDefault="00E57DAA">
                <w:pPr>
                  <w:jc w:val="right"/>
                  <w:rPr>
                    <w:sz w:val="11"/>
                    <w:szCs w:val="11"/>
                  </w:rPr>
                </w:pPr>
              </w:p>
            </w:tc>
            <w:tc>
              <w:tcPr>
                <w:tcW w:w="992" w:type="dxa"/>
                <w:vAlign w:val="center"/>
              </w:tcPr>
              <w:p w14:paraId="3D6A2BF6" w14:textId="77777777" w:rsidR="00E57DAA" w:rsidRDefault="00E57DAA">
                <w:pPr>
                  <w:jc w:val="right"/>
                  <w:rPr>
                    <w:sz w:val="11"/>
                    <w:szCs w:val="11"/>
                  </w:rPr>
                </w:pPr>
              </w:p>
            </w:tc>
            <w:tc>
              <w:tcPr>
                <w:tcW w:w="992" w:type="dxa"/>
                <w:vAlign w:val="center"/>
              </w:tcPr>
              <w:p w14:paraId="2D256425" w14:textId="77777777" w:rsidR="00E57DAA" w:rsidRDefault="00E57DAA">
                <w:pPr>
                  <w:jc w:val="right"/>
                  <w:rPr>
                    <w:sz w:val="11"/>
                    <w:szCs w:val="11"/>
                  </w:rPr>
                </w:pPr>
              </w:p>
            </w:tc>
            <w:tc>
              <w:tcPr>
                <w:tcW w:w="1134" w:type="dxa"/>
                <w:vAlign w:val="center"/>
              </w:tcPr>
              <w:p w14:paraId="0E7FA8E0" w14:textId="77777777" w:rsidR="00E57DAA" w:rsidRDefault="00E57DAA">
                <w:pPr>
                  <w:jc w:val="right"/>
                  <w:rPr>
                    <w:sz w:val="11"/>
                    <w:szCs w:val="11"/>
                  </w:rPr>
                </w:pPr>
              </w:p>
            </w:tc>
            <w:tc>
              <w:tcPr>
                <w:tcW w:w="1559" w:type="dxa"/>
                <w:vAlign w:val="center"/>
              </w:tcPr>
              <w:p w14:paraId="527E4D26" w14:textId="77777777" w:rsidR="00E57DAA" w:rsidRDefault="00E57DAA">
                <w:pPr>
                  <w:jc w:val="right"/>
                  <w:rPr>
                    <w:sz w:val="11"/>
                    <w:szCs w:val="11"/>
                  </w:rPr>
                </w:pPr>
              </w:p>
            </w:tc>
            <w:tc>
              <w:tcPr>
                <w:tcW w:w="1543" w:type="dxa"/>
                <w:vAlign w:val="center"/>
              </w:tcPr>
              <w:p w14:paraId="52629859" w14:textId="77777777" w:rsidR="00E57DAA" w:rsidRDefault="00E57DAA">
                <w:pPr>
                  <w:jc w:val="right"/>
                  <w:rPr>
                    <w:sz w:val="11"/>
                    <w:szCs w:val="11"/>
                  </w:rPr>
                </w:pPr>
              </w:p>
            </w:tc>
          </w:tr>
          <w:tr w:rsidR="00E57DAA" w14:paraId="7AC4CC4A" w14:textId="77777777">
            <w:trPr>
              <w:trHeight w:val="20"/>
            </w:trPr>
            <w:sdt>
              <w:sdtPr>
                <w:rPr>
                  <w:sz w:val="11"/>
                  <w:szCs w:val="11"/>
                </w:rPr>
                <w:tag w:val="_PLD_1e1d4d884e6e401b8c40d08e9d6c5d32"/>
                <w:id w:val="-6141314"/>
              </w:sdtPr>
              <w:sdtEndPr/>
              <w:sdtContent>
                <w:tc>
                  <w:tcPr>
                    <w:tcW w:w="2450" w:type="dxa"/>
                  </w:tcPr>
                  <w:p w14:paraId="3B8E4CAB" w14:textId="77777777" w:rsidR="00E57DAA" w:rsidRDefault="00AC4185">
                    <w:pPr>
                      <w:ind w:firstLineChars="200" w:firstLine="220"/>
                      <w:rPr>
                        <w:sz w:val="11"/>
                        <w:szCs w:val="11"/>
                      </w:rPr>
                    </w:pPr>
                    <w:r>
                      <w:rPr>
                        <w:rFonts w:hint="eastAsia"/>
                        <w:sz w:val="11"/>
                        <w:szCs w:val="11"/>
                      </w:rPr>
                      <w:t>其他</w:t>
                    </w:r>
                  </w:p>
                </w:tc>
              </w:sdtContent>
            </w:sdt>
            <w:tc>
              <w:tcPr>
                <w:tcW w:w="1321" w:type="dxa"/>
                <w:tcBorders>
                  <w:right w:val="single" w:sz="4" w:space="0" w:color="auto"/>
                </w:tcBorders>
                <w:vAlign w:val="center"/>
              </w:tcPr>
              <w:p w14:paraId="5D20202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47E3E74"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A2EAA2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B4274FC" w14:textId="77777777" w:rsidR="00E57DAA" w:rsidRDefault="00E57DAA">
                <w:pPr>
                  <w:jc w:val="right"/>
                  <w:rPr>
                    <w:sz w:val="11"/>
                    <w:szCs w:val="11"/>
                  </w:rPr>
                </w:pPr>
              </w:p>
            </w:tc>
            <w:tc>
              <w:tcPr>
                <w:tcW w:w="1134" w:type="dxa"/>
                <w:tcBorders>
                  <w:left w:val="single" w:sz="4" w:space="0" w:color="auto"/>
                </w:tcBorders>
                <w:vAlign w:val="center"/>
              </w:tcPr>
              <w:p w14:paraId="5F8EA0B7" w14:textId="77777777" w:rsidR="00E57DAA" w:rsidRDefault="00E57DAA">
                <w:pPr>
                  <w:jc w:val="right"/>
                  <w:rPr>
                    <w:sz w:val="11"/>
                    <w:szCs w:val="11"/>
                  </w:rPr>
                </w:pPr>
              </w:p>
            </w:tc>
            <w:tc>
              <w:tcPr>
                <w:tcW w:w="1134" w:type="dxa"/>
                <w:vAlign w:val="center"/>
              </w:tcPr>
              <w:p w14:paraId="7DB87D05" w14:textId="77777777" w:rsidR="00E57DAA" w:rsidRDefault="00E57DAA">
                <w:pPr>
                  <w:jc w:val="right"/>
                  <w:rPr>
                    <w:sz w:val="11"/>
                    <w:szCs w:val="11"/>
                  </w:rPr>
                </w:pPr>
              </w:p>
            </w:tc>
            <w:tc>
              <w:tcPr>
                <w:tcW w:w="992" w:type="dxa"/>
                <w:vAlign w:val="center"/>
              </w:tcPr>
              <w:p w14:paraId="29A12247" w14:textId="77777777" w:rsidR="00E57DAA" w:rsidRDefault="00E57DAA">
                <w:pPr>
                  <w:jc w:val="right"/>
                  <w:rPr>
                    <w:sz w:val="11"/>
                    <w:szCs w:val="11"/>
                  </w:rPr>
                </w:pPr>
              </w:p>
            </w:tc>
            <w:tc>
              <w:tcPr>
                <w:tcW w:w="992" w:type="dxa"/>
                <w:vAlign w:val="center"/>
              </w:tcPr>
              <w:p w14:paraId="25ACC234" w14:textId="77777777" w:rsidR="00E57DAA" w:rsidRDefault="00E57DAA">
                <w:pPr>
                  <w:jc w:val="right"/>
                  <w:rPr>
                    <w:sz w:val="11"/>
                    <w:szCs w:val="11"/>
                  </w:rPr>
                </w:pPr>
              </w:p>
            </w:tc>
            <w:tc>
              <w:tcPr>
                <w:tcW w:w="1134" w:type="dxa"/>
                <w:vAlign w:val="center"/>
              </w:tcPr>
              <w:p w14:paraId="6FA31882" w14:textId="77777777" w:rsidR="00E57DAA" w:rsidRDefault="00E57DAA">
                <w:pPr>
                  <w:jc w:val="right"/>
                  <w:rPr>
                    <w:sz w:val="11"/>
                    <w:szCs w:val="11"/>
                  </w:rPr>
                </w:pPr>
              </w:p>
            </w:tc>
            <w:tc>
              <w:tcPr>
                <w:tcW w:w="1559" w:type="dxa"/>
                <w:vAlign w:val="center"/>
              </w:tcPr>
              <w:p w14:paraId="5EF02857" w14:textId="77777777" w:rsidR="00E57DAA" w:rsidRDefault="00E57DAA">
                <w:pPr>
                  <w:jc w:val="right"/>
                  <w:rPr>
                    <w:sz w:val="11"/>
                    <w:szCs w:val="11"/>
                  </w:rPr>
                </w:pPr>
              </w:p>
            </w:tc>
            <w:tc>
              <w:tcPr>
                <w:tcW w:w="1543" w:type="dxa"/>
                <w:vAlign w:val="center"/>
              </w:tcPr>
              <w:p w14:paraId="3E4867D9" w14:textId="77777777" w:rsidR="00E57DAA" w:rsidRDefault="00E57DAA">
                <w:pPr>
                  <w:jc w:val="right"/>
                  <w:rPr>
                    <w:sz w:val="11"/>
                    <w:szCs w:val="11"/>
                  </w:rPr>
                </w:pPr>
              </w:p>
            </w:tc>
          </w:tr>
          <w:tr w:rsidR="00E57DAA" w14:paraId="1207E9CF" w14:textId="77777777">
            <w:trPr>
              <w:trHeight w:val="20"/>
            </w:trPr>
            <w:sdt>
              <w:sdtPr>
                <w:rPr>
                  <w:sz w:val="11"/>
                  <w:szCs w:val="11"/>
                </w:rPr>
                <w:tag w:val="_PLD_abc6effbbaad4f92a93b112da199425f"/>
                <w:id w:val="267512048"/>
              </w:sdtPr>
              <w:sdtEndPr/>
              <w:sdtContent>
                <w:tc>
                  <w:tcPr>
                    <w:tcW w:w="2450" w:type="dxa"/>
                  </w:tcPr>
                  <w:p w14:paraId="6ADE38A1" w14:textId="77777777" w:rsidR="00E57DAA" w:rsidRDefault="00AC4185">
                    <w:pPr>
                      <w:rPr>
                        <w:sz w:val="11"/>
                        <w:szCs w:val="11"/>
                      </w:rPr>
                    </w:pPr>
                    <w:r>
                      <w:rPr>
                        <w:sz w:val="11"/>
                        <w:szCs w:val="11"/>
                      </w:rPr>
                      <w:t>二、本年</w:t>
                    </w:r>
                    <w:r>
                      <w:rPr>
                        <w:rFonts w:hint="eastAsia"/>
                        <w:sz w:val="11"/>
                        <w:szCs w:val="11"/>
                      </w:rPr>
                      <w:t>期</w:t>
                    </w:r>
                    <w:r>
                      <w:rPr>
                        <w:sz w:val="11"/>
                        <w:szCs w:val="11"/>
                      </w:rPr>
                      <w:t>初余额</w:t>
                    </w:r>
                  </w:p>
                </w:tc>
              </w:sdtContent>
            </w:sdt>
            <w:tc>
              <w:tcPr>
                <w:tcW w:w="1321" w:type="dxa"/>
                <w:tcBorders>
                  <w:right w:val="single" w:sz="4" w:space="0" w:color="auto"/>
                </w:tcBorders>
                <w:vAlign w:val="center"/>
              </w:tcPr>
              <w:p w14:paraId="6A2F5B2B" w14:textId="77777777" w:rsidR="00E57DAA" w:rsidRDefault="00AC4185">
                <w:pPr>
                  <w:jc w:val="right"/>
                  <w:rPr>
                    <w:sz w:val="11"/>
                    <w:szCs w:val="11"/>
                  </w:rPr>
                </w:pPr>
                <w:r>
                  <w:rPr>
                    <w:sz w:val="11"/>
                    <w:szCs w:val="11"/>
                  </w:rPr>
                  <w:t>2,265,632,064.00</w:t>
                </w:r>
              </w:p>
            </w:tc>
            <w:tc>
              <w:tcPr>
                <w:tcW w:w="567" w:type="dxa"/>
                <w:tcBorders>
                  <w:left w:val="single" w:sz="4" w:space="0" w:color="auto"/>
                  <w:right w:val="single" w:sz="4" w:space="0" w:color="auto"/>
                </w:tcBorders>
                <w:vAlign w:val="center"/>
              </w:tcPr>
              <w:p w14:paraId="35C9630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9E7E3C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01AD90F" w14:textId="77777777" w:rsidR="00E57DAA" w:rsidRDefault="00E57DAA">
                <w:pPr>
                  <w:jc w:val="right"/>
                  <w:rPr>
                    <w:sz w:val="11"/>
                    <w:szCs w:val="11"/>
                  </w:rPr>
                </w:pPr>
              </w:p>
            </w:tc>
            <w:tc>
              <w:tcPr>
                <w:tcW w:w="1134" w:type="dxa"/>
                <w:tcBorders>
                  <w:left w:val="single" w:sz="4" w:space="0" w:color="auto"/>
                </w:tcBorders>
                <w:vAlign w:val="center"/>
              </w:tcPr>
              <w:p w14:paraId="4105E705" w14:textId="77777777" w:rsidR="00E57DAA" w:rsidRDefault="00AC4185">
                <w:pPr>
                  <w:jc w:val="right"/>
                  <w:rPr>
                    <w:sz w:val="11"/>
                    <w:szCs w:val="11"/>
                  </w:rPr>
                </w:pPr>
                <w:r>
                  <w:rPr>
                    <w:sz w:val="11"/>
                    <w:szCs w:val="11"/>
                  </w:rPr>
                  <w:t>3,588,174,614.41</w:t>
                </w:r>
              </w:p>
            </w:tc>
            <w:tc>
              <w:tcPr>
                <w:tcW w:w="1134" w:type="dxa"/>
                <w:vAlign w:val="center"/>
              </w:tcPr>
              <w:p w14:paraId="1A7C8B1A" w14:textId="77777777" w:rsidR="00E57DAA" w:rsidRDefault="00AC4185">
                <w:pPr>
                  <w:jc w:val="right"/>
                  <w:rPr>
                    <w:sz w:val="11"/>
                    <w:szCs w:val="11"/>
                  </w:rPr>
                </w:pPr>
                <w:r>
                  <w:rPr>
                    <w:sz w:val="11"/>
                    <w:szCs w:val="11"/>
                  </w:rPr>
                  <w:t>267,191,920.55</w:t>
                </w:r>
              </w:p>
            </w:tc>
            <w:tc>
              <w:tcPr>
                <w:tcW w:w="992" w:type="dxa"/>
                <w:vAlign w:val="center"/>
              </w:tcPr>
              <w:p w14:paraId="36F12795" w14:textId="77777777" w:rsidR="00E57DAA" w:rsidRDefault="00AC4185">
                <w:pPr>
                  <w:jc w:val="right"/>
                  <w:rPr>
                    <w:sz w:val="11"/>
                    <w:szCs w:val="11"/>
                  </w:rPr>
                </w:pPr>
                <w:r>
                  <w:rPr>
                    <w:sz w:val="11"/>
                    <w:szCs w:val="11"/>
                  </w:rPr>
                  <w:t>2,558,959.33</w:t>
                </w:r>
              </w:p>
            </w:tc>
            <w:tc>
              <w:tcPr>
                <w:tcW w:w="992" w:type="dxa"/>
                <w:vAlign w:val="center"/>
              </w:tcPr>
              <w:p w14:paraId="5C884F60" w14:textId="77777777" w:rsidR="00E57DAA" w:rsidRDefault="00AC4185">
                <w:pPr>
                  <w:jc w:val="right"/>
                  <w:rPr>
                    <w:sz w:val="11"/>
                    <w:szCs w:val="11"/>
                  </w:rPr>
                </w:pPr>
                <w:r>
                  <w:rPr>
                    <w:sz w:val="11"/>
                    <w:szCs w:val="11"/>
                  </w:rPr>
                  <w:t>3,668,066.48</w:t>
                </w:r>
              </w:p>
            </w:tc>
            <w:tc>
              <w:tcPr>
                <w:tcW w:w="1134" w:type="dxa"/>
                <w:vAlign w:val="center"/>
              </w:tcPr>
              <w:p w14:paraId="745A0451" w14:textId="77777777" w:rsidR="00E57DAA" w:rsidRDefault="00AC4185">
                <w:pPr>
                  <w:jc w:val="right"/>
                  <w:rPr>
                    <w:sz w:val="11"/>
                    <w:szCs w:val="11"/>
                  </w:rPr>
                </w:pPr>
                <w:r>
                  <w:rPr>
                    <w:sz w:val="11"/>
                    <w:szCs w:val="11"/>
                  </w:rPr>
                  <w:t>701,342,845.69</w:t>
                </w:r>
              </w:p>
            </w:tc>
            <w:tc>
              <w:tcPr>
                <w:tcW w:w="1559" w:type="dxa"/>
                <w:vAlign w:val="center"/>
              </w:tcPr>
              <w:p w14:paraId="3C648D97" w14:textId="77777777" w:rsidR="00E57DAA" w:rsidRDefault="00AC4185">
                <w:pPr>
                  <w:jc w:val="right"/>
                  <w:rPr>
                    <w:sz w:val="11"/>
                    <w:szCs w:val="11"/>
                  </w:rPr>
                </w:pPr>
                <w:r>
                  <w:rPr>
                    <w:sz w:val="11"/>
                    <w:szCs w:val="11"/>
                  </w:rPr>
                  <w:t>1,087,362,449.56</w:t>
                </w:r>
              </w:p>
            </w:tc>
            <w:tc>
              <w:tcPr>
                <w:tcW w:w="1543" w:type="dxa"/>
                <w:vAlign w:val="center"/>
              </w:tcPr>
              <w:p w14:paraId="78989E90" w14:textId="77777777" w:rsidR="00E57DAA" w:rsidRDefault="00AC4185">
                <w:pPr>
                  <w:jc w:val="right"/>
                  <w:rPr>
                    <w:sz w:val="11"/>
                    <w:szCs w:val="11"/>
                  </w:rPr>
                </w:pPr>
                <w:r>
                  <w:rPr>
                    <w:sz w:val="11"/>
                    <w:szCs w:val="11"/>
                  </w:rPr>
                  <w:t>7,381,547,078.92</w:t>
                </w:r>
              </w:p>
            </w:tc>
          </w:tr>
          <w:tr w:rsidR="00E57DAA" w14:paraId="7770C8C0" w14:textId="77777777">
            <w:trPr>
              <w:trHeight w:val="20"/>
            </w:trPr>
            <w:sdt>
              <w:sdtPr>
                <w:rPr>
                  <w:sz w:val="11"/>
                  <w:szCs w:val="11"/>
                </w:rPr>
                <w:tag w:val="_PLD_22eea8f5bd284adbb011ea489737927b"/>
                <w:id w:val="-1338926276"/>
              </w:sdtPr>
              <w:sdtEndPr/>
              <w:sdtContent>
                <w:tc>
                  <w:tcPr>
                    <w:tcW w:w="2450" w:type="dxa"/>
                  </w:tcPr>
                  <w:p w14:paraId="54A16877" w14:textId="77777777" w:rsidR="00E57DAA" w:rsidRDefault="00AC4185">
                    <w:pPr>
                      <w:rPr>
                        <w:sz w:val="11"/>
                        <w:szCs w:val="11"/>
                      </w:rPr>
                    </w:pPr>
                    <w:r>
                      <w:rPr>
                        <w:sz w:val="11"/>
                        <w:szCs w:val="11"/>
                      </w:rPr>
                      <w:t>三、本</w:t>
                    </w:r>
                    <w:r>
                      <w:rPr>
                        <w:rFonts w:hint="eastAsia"/>
                        <w:sz w:val="11"/>
                        <w:szCs w:val="11"/>
                      </w:rPr>
                      <w:t>期</w:t>
                    </w:r>
                    <w:r>
                      <w:rPr>
                        <w:sz w:val="11"/>
                        <w:szCs w:val="11"/>
                      </w:rPr>
                      <w:t>增减变动金额（减少以“－”号填列）</w:t>
                    </w:r>
                  </w:p>
                </w:tc>
              </w:sdtContent>
            </w:sdt>
            <w:tc>
              <w:tcPr>
                <w:tcW w:w="1321" w:type="dxa"/>
                <w:tcBorders>
                  <w:right w:val="single" w:sz="4" w:space="0" w:color="auto"/>
                </w:tcBorders>
                <w:vAlign w:val="center"/>
              </w:tcPr>
              <w:p w14:paraId="4F3174E5" w14:textId="77777777" w:rsidR="00E57DAA" w:rsidRDefault="00AC4185">
                <w:pPr>
                  <w:jc w:val="right"/>
                  <w:rPr>
                    <w:sz w:val="11"/>
                    <w:szCs w:val="11"/>
                  </w:rPr>
                </w:pPr>
                <w:r>
                  <w:rPr>
                    <w:sz w:val="11"/>
                    <w:szCs w:val="11"/>
                  </w:rPr>
                  <w:t>376,685,359.00</w:t>
                </w:r>
              </w:p>
            </w:tc>
            <w:tc>
              <w:tcPr>
                <w:tcW w:w="567" w:type="dxa"/>
                <w:tcBorders>
                  <w:left w:val="single" w:sz="4" w:space="0" w:color="auto"/>
                  <w:right w:val="single" w:sz="4" w:space="0" w:color="auto"/>
                </w:tcBorders>
                <w:vAlign w:val="center"/>
              </w:tcPr>
              <w:p w14:paraId="375E62F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B07552E" w14:textId="77777777" w:rsidR="00E57DAA" w:rsidRDefault="00E57DAA">
                <w:pPr>
                  <w:jc w:val="right"/>
                  <w:rPr>
                    <w:sz w:val="11"/>
                    <w:szCs w:val="11"/>
                  </w:rPr>
                </w:pPr>
              </w:p>
            </w:tc>
            <w:tc>
              <w:tcPr>
                <w:tcW w:w="567" w:type="dxa"/>
                <w:tcBorders>
                  <w:left w:val="single" w:sz="4" w:space="0" w:color="auto"/>
                </w:tcBorders>
                <w:vAlign w:val="center"/>
              </w:tcPr>
              <w:p w14:paraId="235B8913" w14:textId="77777777" w:rsidR="00E57DAA" w:rsidRDefault="00E57DAA">
                <w:pPr>
                  <w:jc w:val="right"/>
                  <w:rPr>
                    <w:sz w:val="11"/>
                    <w:szCs w:val="11"/>
                  </w:rPr>
                </w:pPr>
              </w:p>
            </w:tc>
            <w:tc>
              <w:tcPr>
                <w:tcW w:w="1134" w:type="dxa"/>
                <w:vAlign w:val="center"/>
              </w:tcPr>
              <w:p w14:paraId="09A65CB2" w14:textId="77777777" w:rsidR="00E57DAA" w:rsidRDefault="00AC4185">
                <w:pPr>
                  <w:jc w:val="right"/>
                  <w:rPr>
                    <w:sz w:val="11"/>
                    <w:szCs w:val="11"/>
                  </w:rPr>
                </w:pPr>
                <w:r>
                  <w:rPr>
                    <w:sz w:val="11"/>
                    <w:szCs w:val="11"/>
                  </w:rPr>
                  <w:t>2,068,970,520.36</w:t>
                </w:r>
              </w:p>
            </w:tc>
            <w:tc>
              <w:tcPr>
                <w:tcW w:w="1134" w:type="dxa"/>
                <w:vAlign w:val="center"/>
              </w:tcPr>
              <w:p w14:paraId="4E3ED462" w14:textId="77777777" w:rsidR="00E57DAA" w:rsidRDefault="00AC4185">
                <w:pPr>
                  <w:jc w:val="right"/>
                  <w:rPr>
                    <w:sz w:val="11"/>
                    <w:szCs w:val="11"/>
                  </w:rPr>
                </w:pPr>
                <w:r>
                  <w:rPr>
                    <w:sz w:val="11"/>
                    <w:szCs w:val="11"/>
                  </w:rPr>
                  <w:t>39,386,721.82</w:t>
                </w:r>
              </w:p>
            </w:tc>
            <w:tc>
              <w:tcPr>
                <w:tcW w:w="992" w:type="dxa"/>
                <w:vAlign w:val="center"/>
              </w:tcPr>
              <w:p w14:paraId="5B668486" w14:textId="77777777" w:rsidR="00E57DAA" w:rsidRDefault="00AC4185">
                <w:pPr>
                  <w:jc w:val="right"/>
                  <w:rPr>
                    <w:sz w:val="11"/>
                    <w:szCs w:val="11"/>
                  </w:rPr>
                </w:pPr>
                <w:r>
                  <w:rPr>
                    <w:sz w:val="11"/>
                    <w:szCs w:val="11"/>
                  </w:rPr>
                  <w:t>-1,803,624.18</w:t>
                </w:r>
              </w:p>
            </w:tc>
            <w:tc>
              <w:tcPr>
                <w:tcW w:w="992" w:type="dxa"/>
                <w:vAlign w:val="center"/>
              </w:tcPr>
              <w:p w14:paraId="06F6E91E" w14:textId="77777777" w:rsidR="00E57DAA" w:rsidRDefault="00AC4185">
                <w:pPr>
                  <w:jc w:val="right"/>
                  <w:rPr>
                    <w:sz w:val="11"/>
                    <w:szCs w:val="11"/>
                  </w:rPr>
                </w:pPr>
                <w:r>
                  <w:rPr>
                    <w:sz w:val="11"/>
                    <w:szCs w:val="11"/>
                  </w:rPr>
                  <w:t>257,691.39</w:t>
                </w:r>
              </w:p>
            </w:tc>
            <w:tc>
              <w:tcPr>
                <w:tcW w:w="1134" w:type="dxa"/>
                <w:vAlign w:val="center"/>
              </w:tcPr>
              <w:p w14:paraId="4959CE9B" w14:textId="77777777" w:rsidR="00E57DAA" w:rsidRDefault="00AC4185">
                <w:pPr>
                  <w:jc w:val="right"/>
                  <w:rPr>
                    <w:sz w:val="11"/>
                    <w:szCs w:val="11"/>
                  </w:rPr>
                </w:pPr>
                <w:r>
                  <w:rPr>
                    <w:sz w:val="11"/>
                    <w:szCs w:val="11"/>
                  </w:rPr>
                  <w:t>86,377,489.91</w:t>
                </w:r>
              </w:p>
            </w:tc>
            <w:tc>
              <w:tcPr>
                <w:tcW w:w="1559" w:type="dxa"/>
                <w:vAlign w:val="center"/>
              </w:tcPr>
              <w:p w14:paraId="1557FEAE" w14:textId="77777777" w:rsidR="00E57DAA" w:rsidRDefault="00AC4185">
                <w:pPr>
                  <w:jc w:val="right"/>
                  <w:rPr>
                    <w:sz w:val="11"/>
                    <w:szCs w:val="11"/>
                  </w:rPr>
                </w:pPr>
                <w:r>
                  <w:rPr>
                    <w:sz w:val="11"/>
                    <w:szCs w:val="11"/>
                  </w:rPr>
                  <w:t>-15,866,873.04</w:t>
                </w:r>
              </w:p>
            </w:tc>
            <w:tc>
              <w:tcPr>
                <w:tcW w:w="1543" w:type="dxa"/>
                <w:vAlign w:val="center"/>
              </w:tcPr>
              <w:p w14:paraId="6BD2220A" w14:textId="77777777" w:rsidR="00E57DAA" w:rsidRDefault="00AC4185">
                <w:pPr>
                  <w:jc w:val="right"/>
                  <w:rPr>
                    <w:sz w:val="11"/>
                    <w:szCs w:val="11"/>
                  </w:rPr>
                </w:pPr>
                <w:r>
                  <w:rPr>
                    <w:sz w:val="11"/>
                    <w:szCs w:val="11"/>
                  </w:rPr>
                  <w:t>2,475,233,841.62</w:t>
                </w:r>
              </w:p>
            </w:tc>
          </w:tr>
          <w:tr w:rsidR="00E57DAA" w14:paraId="0FAFF23C" w14:textId="77777777">
            <w:trPr>
              <w:trHeight w:val="20"/>
            </w:trPr>
            <w:sdt>
              <w:sdtPr>
                <w:rPr>
                  <w:sz w:val="11"/>
                  <w:szCs w:val="11"/>
                </w:rPr>
                <w:tag w:val="_PLD_16bc7260292e4c19ad140bdfdf1ee46c"/>
                <w:id w:val="-1376002635"/>
              </w:sdtPr>
              <w:sdtEndPr/>
              <w:sdtContent>
                <w:tc>
                  <w:tcPr>
                    <w:tcW w:w="2450" w:type="dxa"/>
                  </w:tcPr>
                  <w:p w14:paraId="3CD255FA" w14:textId="77777777" w:rsidR="00E57DAA" w:rsidRDefault="00AC4185">
                    <w:pPr>
                      <w:rPr>
                        <w:sz w:val="11"/>
                        <w:szCs w:val="11"/>
                      </w:rPr>
                    </w:pPr>
                    <w:r>
                      <w:rPr>
                        <w:rFonts w:hint="eastAsia"/>
                        <w:sz w:val="11"/>
                        <w:szCs w:val="11"/>
                      </w:rPr>
                      <w:t>（一）综合收益总额</w:t>
                    </w:r>
                  </w:p>
                </w:tc>
              </w:sdtContent>
            </w:sdt>
            <w:tc>
              <w:tcPr>
                <w:tcW w:w="1321" w:type="dxa"/>
                <w:tcBorders>
                  <w:right w:val="single" w:sz="4" w:space="0" w:color="auto"/>
                </w:tcBorders>
                <w:vAlign w:val="center"/>
              </w:tcPr>
              <w:p w14:paraId="6C3924C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744884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B2E2A85" w14:textId="77777777" w:rsidR="00E57DAA" w:rsidRDefault="00E57DAA">
                <w:pPr>
                  <w:jc w:val="right"/>
                  <w:rPr>
                    <w:sz w:val="11"/>
                    <w:szCs w:val="11"/>
                  </w:rPr>
                </w:pPr>
              </w:p>
            </w:tc>
            <w:tc>
              <w:tcPr>
                <w:tcW w:w="567" w:type="dxa"/>
                <w:tcBorders>
                  <w:left w:val="single" w:sz="4" w:space="0" w:color="auto"/>
                </w:tcBorders>
                <w:vAlign w:val="center"/>
              </w:tcPr>
              <w:p w14:paraId="452218C4" w14:textId="77777777" w:rsidR="00E57DAA" w:rsidRDefault="00E57DAA">
                <w:pPr>
                  <w:jc w:val="right"/>
                  <w:rPr>
                    <w:sz w:val="11"/>
                    <w:szCs w:val="11"/>
                  </w:rPr>
                </w:pPr>
              </w:p>
            </w:tc>
            <w:tc>
              <w:tcPr>
                <w:tcW w:w="1134" w:type="dxa"/>
                <w:vAlign w:val="center"/>
              </w:tcPr>
              <w:p w14:paraId="481CF8FC" w14:textId="77777777" w:rsidR="00E57DAA" w:rsidRDefault="00E57DAA">
                <w:pPr>
                  <w:jc w:val="right"/>
                  <w:rPr>
                    <w:sz w:val="11"/>
                    <w:szCs w:val="11"/>
                  </w:rPr>
                </w:pPr>
              </w:p>
            </w:tc>
            <w:tc>
              <w:tcPr>
                <w:tcW w:w="1134" w:type="dxa"/>
                <w:vAlign w:val="center"/>
              </w:tcPr>
              <w:p w14:paraId="1A88B6F6" w14:textId="77777777" w:rsidR="00E57DAA" w:rsidRDefault="00E57DAA">
                <w:pPr>
                  <w:jc w:val="right"/>
                  <w:rPr>
                    <w:sz w:val="11"/>
                    <w:szCs w:val="11"/>
                  </w:rPr>
                </w:pPr>
              </w:p>
            </w:tc>
            <w:tc>
              <w:tcPr>
                <w:tcW w:w="992" w:type="dxa"/>
                <w:vAlign w:val="center"/>
              </w:tcPr>
              <w:p w14:paraId="09DFC5ED" w14:textId="77777777" w:rsidR="00E57DAA" w:rsidRDefault="00AC4185">
                <w:pPr>
                  <w:jc w:val="right"/>
                  <w:rPr>
                    <w:sz w:val="11"/>
                    <w:szCs w:val="11"/>
                  </w:rPr>
                </w:pPr>
                <w:r>
                  <w:rPr>
                    <w:sz w:val="11"/>
                    <w:szCs w:val="11"/>
                  </w:rPr>
                  <w:t>-1,803,624.18</w:t>
                </w:r>
              </w:p>
            </w:tc>
            <w:tc>
              <w:tcPr>
                <w:tcW w:w="992" w:type="dxa"/>
                <w:vAlign w:val="center"/>
              </w:tcPr>
              <w:p w14:paraId="68B8BE4E" w14:textId="77777777" w:rsidR="00E57DAA" w:rsidRDefault="00E57DAA">
                <w:pPr>
                  <w:jc w:val="right"/>
                  <w:rPr>
                    <w:sz w:val="11"/>
                    <w:szCs w:val="11"/>
                  </w:rPr>
                </w:pPr>
              </w:p>
            </w:tc>
            <w:tc>
              <w:tcPr>
                <w:tcW w:w="1134" w:type="dxa"/>
                <w:vAlign w:val="center"/>
              </w:tcPr>
              <w:p w14:paraId="1269B2CC" w14:textId="77777777" w:rsidR="00E57DAA" w:rsidRDefault="00E57DAA">
                <w:pPr>
                  <w:jc w:val="right"/>
                  <w:rPr>
                    <w:sz w:val="11"/>
                    <w:szCs w:val="11"/>
                  </w:rPr>
                </w:pPr>
              </w:p>
            </w:tc>
            <w:tc>
              <w:tcPr>
                <w:tcW w:w="1559" w:type="dxa"/>
                <w:vAlign w:val="center"/>
              </w:tcPr>
              <w:p w14:paraId="7BFCE445" w14:textId="77777777" w:rsidR="00E57DAA" w:rsidRDefault="00AC4185">
                <w:pPr>
                  <w:jc w:val="right"/>
                  <w:rPr>
                    <w:sz w:val="11"/>
                    <w:szCs w:val="11"/>
                  </w:rPr>
                </w:pPr>
                <w:r>
                  <w:rPr>
                    <w:sz w:val="11"/>
                    <w:szCs w:val="11"/>
                  </w:rPr>
                  <w:t>863,205,843.77</w:t>
                </w:r>
              </w:p>
            </w:tc>
            <w:tc>
              <w:tcPr>
                <w:tcW w:w="1543" w:type="dxa"/>
                <w:vAlign w:val="center"/>
              </w:tcPr>
              <w:p w14:paraId="2FCE12B2" w14:textId="77777777" w:rsidR="00E57DAA" w:rsidRDefault="00AC4185">
                <w:pPr>
                  <w:jc w:val="right"/>
                  <w:rPr>
                    <w:sz w:val="11"/>
                    <w:szCs w:val="11"/>
                  </w:rPr>
                </w:pPr>
                <w:r>
                  <w:rPr>
                    <w:sz w:val="11"/>
                    <w:szCs w:val="11"/>
                  </w:rPr>
                  <w:t>861,402,219.59</w:t>
                </w:r>
              </w:p>
            </w:tc>
          </w:tr>
          <w:tr w:rsidR="00E57DAA" w14:paraId="038A2888" w14:textId="77777777">
            <w:trPr>
              <w:trHeight w:val="20"/>
            </w:trPr>
            <w:sdt>
              <w:sdtPr>
                <w:rPr>
                  <w:sz w:val="11"/>
                  <w:szCs w:val="11"/>
                </w:rPr>
                <w:tag w:val="_PLD_878006a38fe64d8788706ec54fa4a47b"/>
                <w:id w:val="-503748969"/>
              </w:sdtPr>
              <w:sdtEndPr/>
              <w:sdtContent>
                <w:tc>
                  <w:tcPr>
                    <w:tcW w:w="2450" w:type="dxa"/>
                  </w:tcPr>
                  <w:p w14:paraId="6BECAAC8" w14:textId="77777777" w:rsidR="00E57DAA" w:rsidRDefault="00AC4185">
                    <w:pPr>
                      <w:rPr>
                        <w:sz w:val="11"/>
                        <w:szCs w:val="11"/>
                      </w:rPr>
                    </w:pPr>
                    <w:r>
                      <w:rPr>
                        <w:sz w:val="11"/>
                        <w:szCs w:val="11"/>
                      </w:rPr>
                      <w:t>（</w:t>
                    </w:r>
                    <w:r>
                      <w:rPr>
                        <w:rFonts w:hint="eastAsia"/>
                        <w:sz w:val="11"/>
                        <w:szCs w:val="11"/>
                      </w:rPr>
                      <w:t>二</w:t>
                    </w:r>
                    <w:r>
                      <w:rPr>
                        <w:sz w:val="11"/>
                        <w:szCs w:val="11"/>
                      </w:rPr>
                      <w:t>）所有者投入和减少资本</w:t>
                    </w:r>
                  </w:p>
                </w:tc>
              </w:sdtContent>
            </w:sdt>
            <w:tc>
              <w:tcPr>
                <w:tcW w:w="1321" w:type="dxa"/>
                <w:tcBorders>
                  <w:right w:val="single" w:sz="4" w:space="0" w:color="auto"/>
                </w:tcBorders>
                <w:vAlign w:val="center"/>
              </w:tcPr>
              <w:p w14:paraId="7160A354" w14:textId="77777777" w:rsidR="00E57DAA" w:rsidRDefault="00AC4185">
                <w:pPr>
                  <w:jc w:val="right"/>
                  <w:rPr>
                    <w:sz w:val="11"/>
                    <w:szCs w:val="11"/>
                  </w:rPr>
                </w:pPr>
                <w:r>
                  <w:rPr>
                    <w:sz w:val="11"/>
                    <w:szCs w:val="11"/>
                  </w:rPr>
                  <w:t>376,685,359.00</w:t>
                </w:r>
              </w:p>
            </w:tc>
            <w:tc>
              <w:tcPr>
                <w:tcW w:w="567" w:type="dxa"/>
                <w:tcBorders>
                  <w:left w:val="single" w:sz="4" w:space="0" w:color="auto"/>
                  <w:right w:val="single" w:sz="4" w:space="0" w:color="auto"/>
                </w:tcBorders>
                <w:vAlign w:val="center"/>
              </w:tcPr>
              <w:p w14:paraId="2366C44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884ADE3" w14:textId="77777777" w:rsidR="00E57DAA" w:rsidRDefault="00E57DAA">
                <w:pPr>
                  <w:jc w:val="right"/>
                  <w:rPr>
                    <w:sz w:val="11"/>
                    <w:szCs w:val="11"/>
                  </w:rPr>
                </w:pPr>
              </w:p>
            </w:tc>
            <w:tc>
              <w:tcPr>
                <w:tcW w:w="567" w:type="dxa"/>
                <w:tcBorders>
                  <w:left w:val="single" w:sz="4" w:space="0" w:color="auto"/>
                </w:tcBorders>
                <w:vAlign w:val="center"/>
              </w:tcPr>
              <w:p w14:paraId="550FABFD" w14:textId="77777777" w:rsidR="00E57DAA" w:rsidRDefault="00E57DAA">
                <w:pPr>
                  <w:jc w:val="right"/>
                  <w:rPr>
                    <w:sz w:val="11"/>
                    <w:szCs w:val="11"/>
                  </w:rPr>
                </w:pPr>
              </w:p>
            </w:tc>
            <w:tc>
              <w:tcPr>
                <w:tcW w:w="1134" w:type="dxa"/>
                <w:vAlign w:val="center"/>
              </w:tcPr>
              <w:p w14:paraId="5545F089" w14:textId="77777777" w:rsidR="00E57DAA" w:rsidRDefault="00AC4185">
                <w:pPr>
                  <w:jc w:val="right"/>
                  <w:rPr>
                    <w:sz w:val="11"/>
                    <w:szCs w:val="11"/>
                  </w:rPr>
                </w:pPr>
                <w:r>
                  <w:rPr>
                    <w:sz w:val="11"/>
                    <w:szCs w:val="11"/>
                  </w:rPr>
                  <w:t>2,068,970,520.36</w:t>
                </w:r>
              </w:p>
            </w:tc>
            <w:tc>
              <w:tcPr>
                <w:tcW w:w="1134" w:type="dxa"/>
                <w:vAlign w:val="center"/>
              </w:tcPr>
              <w:p w14:paraId="7729999F" w14:textId="77777777" w:rsidR="00E57DAA" w:rsidRDefault="00AC4185">
                <w:pPr>
                  <w:jc w:val="right"/>
                  <w:rPr>
                    <w:sz w:val="11"/>
                    <w:szCs w:val="11"/>
                  </w:rPr>
                </w:pPr>
                <w:r>
                  <w:rPr>
                    <w:sz w:val="11"/>
                    <w:szCs w:val="11"/>
                  </w:rPr>
                  <w:t>39,386,721.82</w:t>
                </w:r>
              </w:p>
            </w:tc>
            <w:tc>
              <w:tcPr>
                <w:tcW w:w="992" w:type="dxa"/>
                <w:vAlign w:val="center"/>
              </w:tcPr>
              <w:p w14:paraId="11F77182" w14:textId="77777777" w:rsidR="00E57DAA" w:rsidRDefault="00E57DAA">
                <w:pPr>
                  <w:jc w:val="right"/>
                  <w:rPr>
                    <w:sz w:val="11"/>
                    <w:szCs w:val="11"/>
                  </w:rPr>
                </w:pPr>
              </w:p>
            </w:tc>
            <w:tc>
              <w:tcPr>
                <w:tcW w:w="992" w:type="dxa"/>
                <w:vAlign w:val="center"/>
              </w:tcPr>
              <w:p w14:paraId="5CCA4EBC" w14:textId="77777777" w:rsidR="00E57DAA" w:rsidRDefault="00E57DAA">
                <w:pPr>
                  <w:jc w:val="right"/>
                  <w:rPr>
                    <w:sz w:val="11"/>
                    <w:szCs w:val="11"/>
                  </w:rPr>
                </w:pPr>
              </w:p>
            </w:tc>
            <w:tc>
              <w:tcPr>
                <w:tcW w:w="1134" w:type="dxa"/>
                <w:vAlign w:val="center"/>
              </w:tcPr>
              <w:p w14:paraId="583B5936" w14:textId="77777777" w:rsidR="00E57DAA" w:rsidRDefault="00E57DAA">
                <w:pPr>
                  <w:jc w:val="right"/>
                  <w:rPr>
                    <w:sz w:val="11"/>
                    <w:szCs w:val="11"/>
                  </w:rPr>
                </w:pPr>
              </w:p>
            </w:tc>
            <w:tc>
              <w:tcPr>
                <w:tcW w:w="1559" w:type="dxa"/>
                <w:vAlign w:val="center"/>
              </w:tcPr>
              <w:p w14:paraId="77DA616D" w14:textId="77777777" w:rsidR="00E57DAA" w:rsidRDefault="00E57DAA">
                <w:pPr>
                  <w:jc w:val="right"/>
                  <w:rPr>
                    <w:sz w:val="11"/>
                    <w:szCs w:val="11"/>
                  </w:rPr>
                </w:pPr>
              </w:p>
            </w:tc>
            <w:tc>
              <w:tcPr>
                <w:tcW w:w="1543" w:type="dxa"/>
                <w:vAlign w:val="center"/>
              </w:tcPr>
              <w:p w14:paraId="0FD8999F" w14:textId="77777777" w:rsidR="00E57DAA" w:rsidRDefault="00AC4185">
                <w:pPr>
                  <w:jc w:val="right"/>
                  <w:rPr>
                    <w:sz w:val="11"/>
                    <w:szCs w:val="11"/>
                  </w:rPr>
                </w:pPr>
                <w:r>
                  <w:rPr>
                    <w:sz w:val="11"/>
                    <w:szCs w:val="11"/>
                  </w:rPr>
                  <w:t>2,406,269,157.54</w:t>
                </w:r>
              </w:p>
            </w:tc>
          </w:tr>
          <w:tr w:rsidR="00E57DAA" w14:paraId="1375FF4C" w14:textId="77777777">
            <w:trPr>
              <w:trHeight w:val="20"/>
            </w:trPr>
            <w:sdt>
              <w:sdtPr>
                <w:rPr>
                  <w:sz w:val="11"/>
                  <w:szCs w:val="11"/>
                </w:rPr>
                <w:tag w:val="_PLD_87b7ce2356df4876b71161948845f6e6"/>
                <w:id w:val="92901426"/>
              </w:sdtPr>
              <w:sdtEndPr/>
              <w:sdtContent>
                <w:tc>
                  <w:tcPr>
                    <w:tcW w:w="2450" w:type="dxa"/>
                  </w:tcPr>
                  <w:p w14:paraId="66418C9F" w14:textId="77777777" w:rsidR="00E57DAA" w:rsidRDefault="00AC4185">
                    <w:pPr>
                      <w:rPr>
                        <w:sz w:val="11"/>
                        <w:szCs w:val="11"/>
                      </w:rPr>
                    </w:pPr>
                    <w:r>
                      <w:rPr>
                        <w:rFonts w:hint="eastAsia"/>
                        <w:sz w:val="11"/>
                        <w:szCs w:val="11"/>
                      </w:rPr>
                      <w:t>1．所有者投入的普通股</w:t>
                    </w:r>
                  </w:p>
                </w:tc>
              </w:sdtContent>
            </w:sdt>
            <w:tc>
              <w:tcPr>
                <w:tcW w:w="1321" w:type="dxa"/>
                <w:tcBorders>
                  <w:right w:val="single" w:sz="4" w:space="0" w:color="auto"/>
                </w:tcBorders>
                <w:vAlign w:val="center"/>
              </w:tcPr>
              <w:p w14:paraId="7BBC97D5" w14:textId="77777777" w:rsidR="00E57DAA" w:rsidRDefault="00AC4185">
                <w:pPr>
                  <w:jc w:val="right"/>
                  <w:rPr>
                    <w:sz w:val="11"/>
                    <w:szCs w:val="11"/>
                  </w:rPr>
                </w:pPr>
                <w:r>
                  <w:rPr>
                    <w:sz w:val="11"/>
                    <w:szCs w:val="11"/>
                  </w:rPr>
                  <w:t>366,878,106.00</w:t>
                </w:r>
              </w:p>
            </w:tc>
            <w:tc>
              <w:tcPr>
                <w:tcW w:w="567" w:type="dxa"/>
                <w:tcBorders>
                  <w:left w:val="single" w:sz="4" w:space="0" w:color="auto"/>
                  <w:right w:val="single" w:sz="4" w:space="0" w:color="auto"/>
                </w:tcBorders>
                <w:vAlign w:val="center"/>
              </w:tcPr>
              <w:p w14:paraId="0D19D20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29BE004" w14:textId="77777777" w:rsidR="00E57DAA" w:rsidRDefault="00E57DAA">
                <w:pPr>
                  <w:jc w:val="right"/>
                  <w:rPr>
                    <w:sz w:val="11"/>
                    <w:szCs w:val="11"/>
                  </w:rPr>
                </w:pPr>
              </w:p>
            </w:tc>
            <w:tc>
              <w:tcPr>
                <w:tcW w:w="567" w:type="dxa"/>
                <w:tcBorders>
                  <w:left w:val="single" w:sz="4" w:space="0" w:color="auto"/>
                </w:tcBorders>
                <w:vAlign w:val="center"/>
              </w:tcPr>
              <w:p w14:paraId="20EDC223" w14:textId="77777777" w:rsidR="00E57DAA" w:rsidRDefault="00E57DAA">
                <w:pPr>
                  <w:jc w:val="right"/>
                  <w:rPr>
                    <w:sz w:val="11"/>
                    <w:szCs w:val="11"/>
                  </w:rPr>
                </w:pPr>
              </w:p>
            </w:tc>
            <w:tc>
              <w:tcPr>
                <w:tcW w:w="1134" w:type="dxa"/>
                <w:vAlign w:val="center"/>
              </w:tcPr>
              <w:p w14:paraId="5C3D7388" w14:textId="77777777" w:rsidR="00E57DAA" w:rsidRDefault="00AC4185">
                <w:pPr>
                  <w:jc w:val="right"/>
                  <w:rPr>
                    <w:sz w:val="11"/>
                    <w:szCs w:val="11"/>
                  </w:rPr>
                </w:pPr>
                <w:r>
                  <w:rPr>
                    <w:sz w:val="11"/>
                    <w:szCs w:val="11"/>
                  </w:rPr>
                  <w:t>2,732,895,778.28</w:t>
                </w:r>
              </w:p>
            </w:tc>
            <w:tc>
              <w:tcPr>
                <w:tcW w:w="1134" w:type="dxa"/>
                <w:vAlign w:val="center"/>
              </w:tcPr>
              <w:p w14:paraId="3C8618CD" w14:textId="77777777" w:rsidR="00E57DAA" w:rsidRDefault="00E57DAA">
                <w:pPr>
                  <w:jc w:val="right"/>
                  <w:rPr>
                    <w:sz w:val="11"/>
                    <w:szCs w:val="11"/>
                  </w:rPr>
                </w:pPr>
              </w:p>
            </w:tc>
            <w:tc>
              <w:tcPr>
                <w:tcW w:w="992" w:type="dxa"/>
                <w:vAlign w:val="center"/>
              </w:tcPr>
              <w:p w14:paraId="7F7235A1" w14:textId="77777777" w:rsidR="00E57DAA" w:rsidRDefault="00E57DAA">
                <w:pPr>
                  <w:jc w:val="right"/>
                  <w:rPr>
                    <w:sz w:val="11"/>
                    <w:szCs w:val="11"/>
                  </w:rPr>
                </w:pPr>
              </w:p>
            </w:tc>
            <w:tc>
              <w:tcPr>
                <w:tcW w:w="992" w:type="dxa"/>
                <w:vAlign w:val="center"/>
              </w:tcPr>
              <w:p w14:paraId="5B80546D" w14:textId="77777777" w:rsidR="00E57DAA" w:rsidRDefault="00E57DAA">
                <w:pPr>
                  <w:jc w:val="right"/>
                  <w:rPr>
                    <w:sz w:val="11"/>
                    <w:szCs w:val="11"/>
                  </w:rPr>
                </w:pPr>
              </w:p>
            </w:tc>
            <w:tc>
              <w:tcPr>
                <w:tcW w:w="1134" w:type="dxa"/>
                <w:vAlign w:val="center"/>
              </w:tcPr>
              <w:p w14:paraId="6533CC03" w14:textId="77777777" w:rsidR="00E57DAA" w:rsidRDefault="00E57DAA">
                <w:pPr>
                  <w:jc w:val="right"/>
                  <w:rPr>
                    <w:sz w:val="11"/>
                    <w:szCs w:val="11"/>
                  </w:rPr>
                </w:pPr>
              </w:p>
            </w:tc>
            <w:tc>
              <w:tcPr>
                <w:tcW w:w="1559" w:type="dxa"/>
                <w:vAlign w:val="center"/>
              </w:tcPr>
              <w:p w14:paraId="0F2676F2" w14:textId="77777777" w:rsidR="00E57DAA" w:rsidRDefault="00E57DAA">
                <w:pPr>
                  <w:jc w:val="right"/>
                  <w:rPr>
                    <w:sz w:val="11"/>
                    <w:szCs w:val="11"/>
                  </w:rPr>
                </w:pPr>
              </w:p>
            </w:tc>
            <w:tc>
              <w:tcPr>
                <w:tcW w:w="1543" w:type="dxa"/>
                <w:vAlign w:val="center"/>
              </w:tcPr>
              <w:p w14:paraId="51ADCBF3" w14:textId="77777777" w:rsidR="00E57DAA" w:rsidRDefault="00AC4185">
                <w:pPr>
                  <w:jc w:val="right"/>
                  <w:rPr>
                    <w:sz w:val="11"/>
                    <w:szCs w:val="11"/>
                  </w:rPr>
                </w:pPr>
                <w:r>
                  <w:rPr>
                    <w:sz w:val="11"/>
                    <w:szCs w:val="11"/>
                  </w:rPr>
                  <w:t>3,099,773,884.28</w:t>
                </w:r>
              </w:p>
            </w:tc>
          </w:tr>
          <w:tr w:rsidR="00E57DAA" w14:paraId="5ADD4687" w14:textId="77777777">
            <w:trPr>
              <w:trHeight w:val="20"/>
            </w:trPr>
            <w:sdt>
              <w:sdtPr>
                <w:rPr>
                  <w:sz w:val="11"/>
                  <w:szCs w:val="11"/>
                </w:rPr>
                <w:tag w:val="_PLD_364b722055ed48639a8a73b5223e270d"/>
                <w:id w:val="950129979"/>
              </w:sdtPr>
              <w:sdtEndPr/>
              <w:sdtContent>
                <w:tc>
                  <w:tcPr>
                    <w:tcW w:w="2450" w:type="dxa"/>
                  </w:tcPr>
                  <w:p w14:paraId="30CFCE2B" w14:textId="77777777" w:rsidR="00E57DAA" w:rsidRDefault="00AC4185">
                    <w:pPr>
                      <w:rPr>
                        <w:sz w:val="11"/>
                        <w:szCs w:val="11"/>
                      </w:rPr>
                    </w:pPr>
                    <w:r>
                      <w:rPr>
                        <w:rFonts w:hint="eastAsia"/>
                        <w:sz w:val="11"/>
                        <w:szCs w:val="11"/>
                      </w:rPr>
                      <w:t>2．其他权益工具持有者投入资本</w:t>
                    </w:r>
                  </w:p>
                </w:tc>
              </w:sdtContent>
            </w:sdt>
            <w:tc>
              <w:tcPr>
                <w:tcW w:w="1321" w:type="dxa"/>
                <w:tcBorders>
                  <w:right w:val="single" w:sz="4" w:space="0" w:color="auto"/>
                </w:tcBorders>
                <w:vAlign w:val="center"/>
              </w:tcPr>
              <w:p w14:paraId="2F250D02"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B70C0D8"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FA3045E" w14:textId="77777777" w:rsidR="00E57DAA" w:rsidRDefault="00E57DAA">
                <w:pPr>
                  <w:jc w:val="right"/>
                  <w:rPr>
                    <w:sz w:val="11"/>
                    <w:szCs w:val="11"/>
                  </w:rPr>
                </w:pPr>
              </w:p>
            </w:tc>
            <w:tc>
              <w:tcPr>
                <w:tcW w:w="567" w:type="dxa"/>
                <w:tcBorders>
                  <w:left w:val="single" w:sz="4" w:space="0" w:color="auto"/>
                </w:tcBorders>
                <w:vAlign w:val="center"/>
              </w:tcPr>
              <w:p w14:paraId="5BEB8B8C" w14:textId="77777777" w:rsidR="00E57DAA" w:rsidRDefault="00E57DAA">
                <w:pPr>
                  <w:jc w:val="right"/>
                  <w:rPr>
                    <w:sz w:val="11"/>
                    <w:szCs w:val="11"/>
                  </w:rPr>
                </w:pPr>
              </w:p>
            </w:tc>
            <w:tc>
              <w:tcPr>
                <w:tcW w:w="1134" w:type="dxa"/>
                <w:vAlign w:val="center"/>
              </w:tcPr>
              <w:p w14:paraId="76556E5F" w14:textId="77777777" w:rsidR="00E57DAA" w:rsidRDefault="00E57DAA">
                <w:pPr>
                  <w:jc w:val="right"/>
                  <w:rPr>
                    <w:sz w:val="11"/>
                    <w:szCs w:val="11"/>
                  </w:rPr>
                </w:pPr>
              </w:p>
            </w:tc>
            <w:tc>
              <w:tcPr>
                <w:tcW w:w="1134" w:type="dxa"/>
                <w:vAlign w:val="center"/>
              </w:tcPr>
              <w:p w14:paraId="46781DA9" w14:textId="77777777" w:rsidR="00E57DAA" w:rsidRDefault="00E57DAA">
                <w:pPr>
                  <w:jc w:val="right"/>
                  <w:rPr>
                    <w:sz w:val="11"/>
                    <w:szCs w:val="11"/>
                  </w:rPr>
                </w:pPr>
              </w:p>
            </w:tc>
            <w:tc>
              <w:tcPr>
                <w:tcW w:w="992" w:type="dxa"/>
                <w:vAlign w:val="center"/>
              </w:tcPr>
              <w:p w14:paraId="0916ACA5" w14:textId="77777777" w:rsidR="00E57DAA" w:rsidRDefault="00E57DAA">
                <w:pPr>
                  <w:jc w:val="right"/>
                  <w:rPr>
                    <w:sz w:val="11"/>
                    <w:szCs w:val="11"/>
                  </w:rPr>
                </w:pPr>
              </w:p>
            </w:tc>
            <w:tc>
              <w:tcPr>
                <w:tcW w:w="992" w:type="dxa"/>
                <w:vAlign w:val="center"/>
              </w:tcPr>
              <w:p w14:paraId="45E9FE06" w14:textId="77777777" w:rsidR="00E57DAA" w:rsidRDefault="00E57DAA">
                <w:pPr>
                  <w:jc w:val="right"/>
                  <w:rPr>
                    <w:sz w:val="11"/>
                    <w:szCs w:val="11"/>
                  </w:rPr>
                </w:pPr>
              </w:p>
            </w:tc>
            <w:tc>
              <w:tcPr>
                <w:tcW w:w="1134" w:type="dxa"/>
                <w:vAlign w:val="center"/>
              </w:tcPr>
              <w:p w14:paraId="3CC2FBFB" w14:textId="77777777" w:rsidR="00E57DAA" w:rsidRDefault="00E57DAA">
                <w:pPr>
                  <w:jc w:val="right"/>
                  <w:rPr>
                    <w:sz w:val="11"/>
                    <w:szCs w:val="11"/>
                  </w:rPr>
                </w:pPr>
              </w:p>
            </w:tc>
            <w:tc>
              <w:tcPr>
                <w:tcW w:w="1559" w:type="dxa"/>
                <w:vAlign w:val="center"/>
              </w:tcPr>
              <w:p w14:paraId="1F4990D2" w14:textId="77777777" w:rsidR="00E57DAA" w:rsidRDefault="00E57DAA">
                <w:pPr>
                  <w:jc w:val="right"/>
                  <w:rPr>
                    <w:sz w:val="11"/>
                    <w:szCs w:val="11"/>
                  </w:rPr>
                </w:pPr>
              </w:p>
            </w:tc>
            <w:tc>
              <w:tcPr>
                <w:tcW w:w="1543" w:type="dxa"/>
                <w:vAlign w:val="center"/>
              </w:tcPr>
              <w:p w14:paraId="64458A73" w14:textId="77777777" w:rsidR="00E57DAA" w:rsidRDefault="00E57DAA">
                <w:pPr>
                  <w:jc w:val="right"/>
                  <w:rPr>
                    <w:sz w:val="11"/>
                    <w:szCs w:val="11"/>
                  </w:rPr>
                </w:pPr>
              </w:p>
            </w:tc>
          </w:tr>
          <w:tr w:rsidR="00E57DAA" w14:paraId="67F7F03F" w14:textId="77777777">
            <w:trPr>
              <w:trHeight w:val="20"/>
            </w:trPr>
            <w:sdt>
              <w:sdtPr>
                <w:rPr>
                  <w:sz w:val="11"/>
                  <w:szCs w:val="11"/>
                </w:rPr>
                <w:tag w:val="_PLD_224ee219054e4248b57b186593db85a6"/>
                <w:id w:val="-1668464366"/>
              </w:sdtPr>
              <w:sdtEndPr/>
              <w:sdtContent>
                <w:tc>
                  <w:tcPr>
                    <w:tcW w:w="2450" w:type="dxa"/>
                  </w:tcPr>
                  <w:p w14:paraId="75E78055" w14:textId="77777777" w:rsidR="00E57DAA" w:rsidRDefault="00AC4185">
                    <w:pPr>
                      <w:rPr>
                        <w:sz w:val="11"/>
                        <w:szCs w:val="11"/>
                      </w:rPr>
                    </w:pPr>
                    <w:r>
                      <w:rPr>
                        <w:rFonts w:hint="eastAsia"/>
                        <w:sz w:val="11"/>
                        <w:szCs w:val="11"/>
                      </w:rPr>
                      <w:t>3</w:t>
                    </w:r>
                    <w:r>
                      <w:rPr>
                        <w:sz w:val="11"/>
                        <w:szCs w:val="11"/>
                      </w:rPr>
                      <w:t>．股份支付计入所有者权益的金额</w:t>
                    </w:r>
                  </w:p>
                </w:tc>
              </w:sdtContent>
            </w:sdt>
            <w:tc>
              <w:tcPr>
                <w:tcW w:w="1321" w:type="dxa"/>
                <w:tcBorders>
                  <w:right w:val="single" w:sz="4" w:space="0" w:color="auto"/>
                </w:tcBorders>
                <w:vAlign w:val="center"/>
              </w:tcPr>
              <w:p w14:paraId="4D332E2C" w14:textId="77777777" w:rsidR="00E57DAA" w:rsidRDefault="00AC4185">
                <w:pPr>
                  <w:jc w:val="right"/>
                  <w:rPr>
                    <w:sz w:val="11"/>
                    <w:szCs w:val="11"/>
                  </w:rPr>
                </w:pPr>
                <w:r>
                  <w:rPr>
                    <w:sz w:val="11"/>
                    <w:szCs w:val="11"/>
                  </w:rPr>
                  <w:t>9,807,253.00</w:t>
                </w:r>
              </w:p>
            </w:tc>
            <w:tc>
              <w:tcPr>
                <w:tcW w:w="567" w:type="dxa"/>
                <w:tcBorders>
                  <w:left w:val="single" w:sz="4" w:space="0" w:color="auto"/>
                  <w:right w:val="single" w:sz="4" w:space="0" w:color="auto"/>
                </w:tcBorders>
                <w:vAlign w:val="center"/>
              </w:tcPr>
              <w:p w14:paraId="3F7F1A09"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A16B320" w14:textId="77777777" w:rsidR="00E57DAA" w:rsidRDefault="00E57DAA">
                <w:pPr>
                  <w:jc w:val="right"/>
                  <w:rPr>
                    <w:sz w:val="11"/>
                    <w:szCs w:val="11"/>
                  </w:rPr>
                </w:pPr>
              </w:p>
            </w:tc>
            <w:tc>
              <w:tcPr>
                <w:tcW w:w="567" w:type="dxa"/>
                <w:tcBorders>
                  <w:left w:val="single" w:sz="4" w:space="0" w:color="auto"/>
                </w:tcBorders>
                <w:vAlign w:val="center"/>
              </w:tcPr>
              <w:p w14:paraId="23E27CA9" w14:textId="77777777" w:rsidR="00E57DAA" w:rsidRDefault="00E57DAA">
                <w:pPr>
                  <w:jc w:val="right"/>
                  <w:rPr>
                    <w:sz w:val="11"/>
                    <w:szCs w:val="11"/>
                  </w:rPr>
                </w:pPr>
              </w:p>
            </w:tc>
            <w:tc>
              <w:tcPr>
                <w:tcW w:w="1134" w:type="dxa"/>
                <w:vAlign w:val="center"/>
              </w:tcPr>
              <w:p w14:paraId="42D5356A" w14:textId="77777777" w:rsidR="00E57DAA" w:rsidRDefault="00AC4185">
                <w:pPr>
                  <w:jc w:val="right"/>
                  <w:rPr>
                    <w:sz w:val="11"/>
                    <w:szCs w:val="11"/>
                  </w:rPr>
                </w:pPr>
                <w:r>
                  <w:rPr>
                    <w:sz w:val="11"/>
                    <w:szCs w:val="11"/>
                  </w:rPr>
                  <w:t>114,087,988.11</w:t>
                </w:r>
              </w:p>
            </w:tc>
            <w:tc>
              <w:tcPr>
                <w:tcW w:w="1134" w:type="dxa"/>
                <w:vAlign w:val="center"/>
              </w:tcPr>
              <w:p w14:paraId="086EEB11" w14:textId="77777777" w:rsidR="00E57DAA" w:rsidRDefault="00E57DAA">
                <w:pPr>
                  <w:jc w:val="right"/>
                  <w:rPr>
                    <w:sz w:val="11"/>
                    <w:szCs w:val="11"/>
                  </w:rPr>
                </w:pPr>
              </w:p>
            </w:tc>
            <w:tc>
              <w:tcPr>
                <w:tcW w:w="992" w:type="dxa"/>
                <w:vAlign w:val="center"/>
              </w:tcPr>
              <w:p w14:paraId="223CB090" w14:textId="77777777" w:rsidR="00E57DAA" w:rsidRDefault="00E57DAA">
                <w:pPr>
                  <w:jc w:val="right"/>
                  <w:rPr>
                    <w:sz w:val="11"/>
                    <w:szCs w:val="11"/>
                  </w:rPr>
                </w:pPr>
              </w:p>
            </w:tc>
            <w:tc>
              <w:tcPr>
                <w:tcW w:w="992" w:type="dxa"/>
                <w:vAlign w:val="center"/>
              </w:tcPr>
              <w:p w14:paraId="0D4E3F6F" w14:textId="77777777" w:rsidR="00E57DAA" w:rsidRDefault="00E57DAA">
                <w:pPr>
                  <w:jc w:val="right"/>
                  <w:rPr>
                    <w:sz w:val="11"/>
                    <w:szCs w:val="11"/>
                  </w:rPr>
                </w:pPr>
              </w:p>
            </w:tc>
            <w:tc>
              <w:tcPr>
                <w:tcW w:w="1134" w:type="dxa"/>
                <w:vAlign w:val="center"/>
              </w:tcPr>
              <w:p w14:paraId="0DE444DE" w14:textId="77777777" w:rsidR="00E57DAA" w:rsidRDefault="00E57DAA">
                <w:pPr>
                  <w:jc w:val="right"/>
                  <w:rPr>
                    <w:sz w:val="11"/>
                    <w:szCs w:val="11"/>
                  </w:rPr>
                </w:pPr>
              </w:p>
            </w:tc>
            <w:tc>
              <w:tcPr>
                <w:tcW w:w="1559" w:type="dxa"/>
                <w:vAlign w:val="center"/>
              </w:tcPr>
              <w:p w14:paraId="0932AD54" w14:textId="77777777" w:rsidR="00E57DAA" w:rsidRDefault="00E57DAA">
                <w:pPr>
                  <w:jc w:val="right"/>
                  <w:rPr>
                    <w:sz w:val="11"/>
                    <w:szCs w:val="11"/>
                  </w:rPr>
                </w:pPr>
              </w:p>
            </w:tc>
            <w:tc>
              <w:tcPr>
                <w:tcW w:w="1543" w:type="dxa"/>
                <w:vAlign w:val="center"/>
              </w:tcPr>
              <w:p w14:paraId="78301739" w14:textId="77777777" w:rsidR="00E57DAA" w:rsidRDefault="00AC4185">
                <w:pPr>
                  <w:jc w:val="right"/>
                  <w:rPr>
                    <w:sz w:val="11"/>
                    <w:szCs w:val="11"/>
                  </w:rPr>
                </w:pPr>
                <w:r>
                  <w:rPr>
                    <w:sz w:val="11"/>
                    <w:szCs w:val="11"/>
                  </w:rPr>
                  <w:t>123,895,241.11</w:t>
                </w:r>
              </w:p>
            </w:tc>
          </w:tr>
          <w:tr w:rsidR="00E57DAA" w14:paraId="076A2ED9" w14:textId="77777777">
            <w:trPr>
              <w:trHeight w:val="20"/>
            </w:trPr>
            <w:sdt>
              <w:sdtPr>
                <w:rPr>
                  <w:sz w:val="11"/>
                  <w:szCs w:val="11"/>
                </w:rPr>
                <w:tag w:val="_PLD_2bb07b8c813f401e9b889121fc03b9bd"/>
                <w:id w:val="-1748562520"/>
              </w:sdtPr>
              <w:sdtEndPr/>
              <w:sdtContent>
                <w:tc>
                  <w:tcPr>
                    <w:tcW w:w="2450" w:type="dxa"/>
                  </w:tcPr>
                  <w:p w14:paraId="2DC89B8C" w14:textId="77777777" w:rsidR="00E57DAA" w:rsidRDefault="00AC4185">
                    <w:pPr>
                      <w:rPr>
                        <w:sz w:val="11"/>
                        <w:szCs w:val="11"/>
                      </w:rPr>
                    </w:pPr>
                    <w:r>
                      <w:rPr>
                        <w:rFonts w:hint="eastAsia"/>
                        <w:sz w:val="11"/>
                        <w:szCs w:val="11"/>
                      </w:rPr>
                      <w:t>4</w:t>
                    </w:r>
                    <w:r>
                      <w:rPr>
                        <w:sz w:val="11"/>
                        <w:szCs w:val="11"/>
                      </w:rPr>
                      <w:t>．其他</w:t>
                    </w:r>
                  </w:p>
                </w:tc>
              </w:sdtContent>
            </w:sdt>
            <w:tc>
              <w:tcPr>
                <w:tcW w:w="1321" w:type="dxa"/>
                <w:tcBorders>
                  <w:right w:val="single" w:sz="4" w:space="0" w:color="auto"/>
                </w:tcBorders>
                <w:vAlign w:val="center"/>
              </w:tcPr>
              <w:p w14:paraId="04040A9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A17670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ED82A0B" w14:textId="77777777" w:rsidR="00E57DAA" w:rsidRDefault="00E57DAA">
                <w:pPr>
                  <w:jc w:val="right"/>
                  <w:rPr>
                    <w:sz w:val="11"/>
                    <w:szCs w:val="11"/>
                  </w:rPr>
                </w:pPr>
              </w:p>
            </w:tc>
            <w:tc>
              <w:tcPr>
                <w:tcW w:w="567" w:type="dxa"/>
                <w:tcBorders>
                  <w:left w:val="single" w:sz="4" w:space="0" w:color="auto"/>
                </w:tcBorders>
                <w:vAlign w:val="center"/>
              </w:tcPr>
              <w:p w14:paraId="25D1D22C" w14:textId="77777777" w:rsidR="00E57DAA" w:rsidRDefault="00E57DAA">
                <w:pPr>
                  <w:jc w:val="right"/>
                  <w:rPr>
                    <w:sz w:val="11"/>
                    <w:szCs w:val="11"/>
                  </w:rPr>
                </w:pPr>
              </w:p>
            </w:tc>
            <w:tc>
              <w:tcPr>
                <w:tcW w:w="1134" w:type="dxa"/>
                <w:vAlign w:val="center"/>
              </w:tcPr>
              <w:p w14:paraId="7D78A438" w14:textId="77777777" w:rsidR="00E57DAA" w:rsidRDefault="00AC4185">
                <w:pPr>
                  <w:jc w:val="right"/>
                  <w:rPr>
                    <w:sz w:val="11"/>
                    <w:szCs w:val="11"/>
                  </w:rPr>
                </w:pPr>
                <w:r>
                  <w:rPr>
                    <w:sz w:val="11"/>
                    <w:szCs w:val="11"/>
                  </w:rPr>
                  <w:t>-778,013,246.03</w:t>
                </w:r>
              </w:p>
            </w:tc>
            <w:tc>
              <w:tcPr>
                <w:tcW w:w="1134" w:type="dxa"/>
                <w:vAlign w:val="center"/>
              </w:tcPr>
              <w:p w14:paraId="1840E811" w14:textId="77777777" w:rsidR="00E57DAA" w:rsidRDefault="00AC4185">
                <w:pPr>
                  <w:jc w:val="right"/>
                  <w:rPr>
                    <w:sz w:val="11"/>
                    <w:szCs w:val="11"/>
                  </w:rPr>
                </w:pPr>
                <w:r>
                  <w:rPr>
                    <w:sz w:val="11"/>
                    <w:szCs w:val="11"/>
                  </w:rPr>
                  <w:t>39,386,721.82</w:t>
                </w:r>
              </w:p>
            </w:tc>
            <w:tc>
              <w:tcPr>
                <w:tcW w:w="992" w:type="dxa"/>
                <w:vAlign w:val="center"/>
              </w:tcPr>
              <w:p w14:paraId="0D138110" w14:textId="77777777" w:rsidR="00E57DAA" w:rsidRDefault="00E57DAA">
                <w:pPr>
                  <w:jc w:val="right"/>
                  <w:rPr>
                    <w:sz w:val="11"/>
                    <w:szCs w:val="11"/>
                  </w:rPr>
                </w:pPr>
              </w:p>
            </w:tc>
            <w:tc>
              <w:tcPr>
                <w:tcW w:w="992" w:type="dxa"/>
                <w:vAlign w:val="center"/>
              </w:tcPr>
              <w:p w14:paraId="404AEEB9" w14:textId="77777777" w:rsidR="00E57DAA" w:rsidRDefault="00E57DAA">
                <w:pPr>
                  <w:jc w:val="right"/>
                  <w:rPr>
                    <w:sz w:val="11"/>
                    <w:szCs w:val="11"/>
                  </w:rPr>
                </w:pPr>
              </w:p>
            </w:tc>
            <w:tc>
              <w:tcPr>
                <w:tcW w:w="1134" w:type="dxa"/>
                <w:vAlign w:val="center"/>
              </w:tcPr>
              <w:p w14:paraId="15B4F39F" w14:textId="77777777" w:rsidR="00E57DAA" w:rsidRDefault="00E57DAA">
                <w:pPr>
                  <w:jc w:val="right"/>
                  <w:rPr>
                    <w:sz w:val="11"/>
                    <w:szCs w:val="11"/>
                  </w:rPr>
                </w:pPr>
              </w:p>
            </w:tc>
            <w:tc>
              <w:tcPr>
                <w:tcW w:w="1559" w:type="dxa"/>
                <w:vAlign w:val="center"/>
              </w:tcPr>
              <w:p w14:paraId="59F2C804" w14:textId="77777777" w:rsidR="00E57DAA" w:rsidRDefault="00E57DAA">
                <w:pPr>
                  <w:jc w:val="right"/>
                  <w:rPr>
                    <w:sz w:val="11"/>
                    <w:szCs w:val="11"/>
                  </w:rPr>
                </w:pPr>
              </w:p>
            </w:tc>
            <w:tc>
              <w:tcPr>
                <w:tcW w:w="1543" w:type="dxa"/>
                <w:vAlign w:val="center"/>
              </w:tcPr>
              <w:p w14:paraId="51F03691" w14:textId="77777777" w:rsidR="00E57DAA" w:rsidRDefault="00AC4185">
                <w:pPr>
                  <w:jc w:val="right"/>
                  <w:rPr>
                    <w:sz w:val="11"/>
                    <w:szCs w:val="11"/>
                  </w:rPr>
                </w:pPr>
                <w:r>
                  <w:rPr>
                    <w:sz w:val="11"/>
                    <w:szCs w:val="11"/>
                  </w:rPr>
                  <w:t>-817,399,967.85</w:t>
                </w:r>
              </w:p>
            </w:tc>
          </w:tr>
          <w:tr w:rsidR="00E57DAA" w14:paraId="3B0BFFF0" w14:textId="77777777">
            <w:trPr>
              <w:trHeight w:val="20"/>
            </w:trPr>
            <w:sdt>
              <w:sdtPr>
                <w:rPr>
                  <w:sz w:val="11"/>
                  <w:szCs w:val="11"/>
                </w:rPr>
                <w:tag w:val="_PLD_b280cf7ceeaa4dd8b4b782055ca20607"/>
                <w:id w:val="651019350"/>
              </w:sdtPr>
              <w:sdtEndPr/>
              <w:sdtContent>
                <w:tc>
                  <w:tcPr>
                    <w:tcW w:w="2450" w:type="dxa"/>
                  </w:tcPr>
                  <w:p w14:paraId="0F93E9F7" w14:textId="77777777" w:rsidR="00E57DAA" w:rsidRDefault="00AC4185">
                    <w:pPr>
                      <w:rPr>
                        <w:sz w:val="11"/>
                        <w:szCs w:val="11"/>
                      </w:rPr>
                    </w:pPr>
                    <w:r>
                      <w:rPr>
                        <w:sz w:val="11"/>
                        <w:szCs w:val="11"/>
                      </w:rPr>
                      <w:t>（</w:t>
                    </w:r>
                    <w:r>
                      <w:rPr>
                        <w:rFonts w:hint="eastAsia"/>
                        <w:sz w:val="11"/>
                        <w:szCs w:val="11"/>
                      </w:rPr>
                      <w:t>三</w:t>
                    </w:r>
                    <w:r>
                      <w:rPr>
                        <w:sz w:val="11"/>
                        <w:szCs w:val="11"/>
                      </w:rPr>
                      <w:t>）利润分配</w:t>
                    </w:r>
                  </w:p>
                </w:tc>
              </w:sdtContent>
            </w:sdt>
            <w:tc>
              <w:tcPr>
                <w:tcW w:w="1321" w:type="dxa"/>
                <w:tcBorders>
                  <w:right w:val="single" w:sz="4" w:space="0" w:color="auto"/>
                </w:tcBorders>
                <w:vAlign w:val="center"/>
              </w:tcPr>
              <w:p w14:paraId="388365D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3E7FE3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6116F63" w14:textId="77777777" w:rsidR="00E57DAA" w:rsidRDefault="00E57DAA">
                <w:pPr>
                  <w:jc w:val="right"/>
                  <w:rPr>
                    <w:sz w:val="11"/>
                    <w:szCs w:val="11"/>
                  </w:rPr>
                </w:pPr>
              </w:p>
            </w:tc>
            <w:tc>
              <w:tcPr>
                <w:tcW w:w="567" w:type="dxa"/>
                <w:tcBorders>
                  <w:left w:val="single" w:sz="4" w:space="0" w:color="auto"/>
                </w:tcBorders>
                <w:vAlign w:val="center"/>
              </w:tcPr>
              <w:p w14:paraId="35EADACB" w14:textId="77777777" w:rsidR="00E57DAA" w:rsidRDefault="00E57DAA">
                <w:pPr>
                  <w:jc w:val="right"/>
                  <w:rPr>
                    <w:sz w:val="11"/>
                    <w:szCs w:val="11"/>
                  </w:rPr>
                </w:pPr>
              </w:p>
            </w:tc>
            <w:tc>
              <w:tcPr>
                <w:tcW w:w="1134" w:type="dxa"/>
                <w:vAlign w:val="center"/>
              </w:tcPr>
              <w:p w14:paraId="0DD86F92" w14:textId="77777777" w:rsidR="00E57DAA" w:rsidRDefault="00E57DAA">
                <w:pPr>
                  <w:jc w:val="right"/>
                  <w:rPr>
                    <w:sz w:val="11"/>
                    <w:szCs w:val="11"/>
                  </w:rPr>
                </w:pPr>
              </w:p>
            </w:tc>
            <w:tc>
              <w:tcPr>
                <w:tcW w:w="1134" w:type="dxa"/>
                <w:vAlign w:val="center"/>
              </w:tcPr>
              <w:p w14:paraId="433CF501" w14:textId="77777777" w:rsidR="00E57DAA" w:rsidRDefault="00E57DAA">
                <w:pPr>
                  <w:jc w:val="right"/>
                  <w:rPr>
                    <w:sz w:val="11"/>
                    <w:szCs w:val="11"/>
                  </w:rPr>
                </w:pPr>
              </w:p>
            </w:tc>
            <w:tc>
              <w:tcPr>
                <w:tcW w:w="992" w:type="dxa"/>
                <w:vAlign w:val="center"/>
              </w:tcPr>
              <w:p w14:paraId="148FED59" w14:textId="77777777" w:rsidR="00E57DAA" w:rsidRDefault="00E57DAA">
                <w:pPr>
                  <w:jc w:val="right"/>
                  <w:rPr>
                    <w:sz w:val="11"/>
                    <w:szCs w:val="11"/>
                  </w:rPr>
                </w:pPr>
              </w:p>
            </w:tc>
            <w:tc>
              <w:tcPr>
                <w:tcW w:w="992" w:type="dxa"/>
                <w:vAlign w:val="center"/>
              </w:tcPr>
              <w:p w14:paraId="70913BD5" w14:textId="77777777" w:rsidR="00E57DAA" w:rsidRDefault="00E57DAA">
                <w:pPr>
                  <w:jc w:val="right"/>
                  <w:rPr>
                    <w:sz w:val="11"/>
                    <w:szCs w:val="11"/>
                  </w:rPr>
                </w:pPr>
              </w:p>
            </w:tc>
            <w:tc>
              <w:tcPr>
                <w:tcW w:w="1134" w:type="dxa"/>
                <w:vAlign w:val="center"/>
              </w:tcPr>
              <w:p w14:paraId="0EB145AE" w14:textId="77777777" w:rsidR="00E57DAA" w:rsidRDefault="00AC4185">
                <w:pPr>
                  <w:jc w:val="right"/>
                  <w:rPr>
                    <w:sz w:val="11"/>
                    <w:szCs w:val="11"/>
                  </w:rPr>
                </w:pPr>
                <w:r>
                  <w:rPr>
                    <w:sz w:val="11"/>
                    <w:szCs w:val="11"/>
                  </w:rPr>
                  <w:t>86,377,489.91</w:t>
                </w:r>
              </w:p>
            </w:tc>
            <w:tc>
              <w:tcPr>
                <w:tcW w:w="1559" w:type="dxa"/>
                <w:vAlign w:val="center"/>
              </w:tcPr>
              <w:p w14:paraId="41CADBE2" w14:textId="77777777" w:rsidR="00E57DAA" w:rsidRDefault="00AC4185">
                <w:pPr>
                  <w:jc w:val="right"/>
                  <w:rPr>
                    <w:sz w:val="11"/>
                    <w:szCs w:val="11"/>
                  </w:rPr>
                </w:pPr>
                <w:r>
                  <w:rPr>
                    <w:sz w:val="11"/>
                    <w:szCs w:val="11"/>
                  </w:rPr>
                  <w:t>-879,072,716.81</w:t>
                </w:r>
              </w:p>
            </w:tc>
            <w:tc>
              <w:tcPr>
                <w:tcW w:w="1543" w:type="dxa"/>
                <w:vAlign w:val="center"/>
              </w:tcPr>
              <w:p w14:paraId="1E62455F" w14:textId="77777777" w:rsidR="00E57DAA" w:rsidRDefault="00AC4185">
                <w:pPr>
                  <w:jc w:val="right"/>
                  <w:rPr>
                    <w:sz w:val="11"/>
                    <w:szCs w:val="11"/>
                  </w:rPr>
                </w:pPr>
                <w:r>
                  <w:rPr>
                    <w:sz w:val="11"/>
                    <w:szCs w:val="11"/>
                  </w:rPr>
                  <w:t>-792,695,226.90</w:t>
                </w:r>
              </w:p>
            </w:tc>
          </w:tr>
          <w:tr w:rsidR="00E57DAA" w14:paraId="4C5B8184" w14:textId="77777777">
            <w:trPr>
              <w:trHeight w:val="20"/>
            </w:trPr>
            <w:sdt>
              <w:sdtPr>
                <w:rPr>
                  <w:sz w:val="11"/>
                  <w:szCs w:val="11"/>
                </w:rPr>
                <w:tag w:val="_PLD_bae08be416ce4c01886da1cc65a38bd8"/>
                <w:id w:val="-2074964295"/>
              </w:sdtPr>
              <w:sdtEndPr/>
              <w:sdtContent>
                <w:tc>
                  <w:tcPr>
                    <w:tcW w:w="2450" w:type="dxa"/>
                  </w:tcPr>
                  <w:p w14:paraId="56667D64" w14:textId="77777777" w:rsidR="00E57DAA" w:rsidRDefault="00AC4185">
                    <w:pPr>
                      <w:rPr>
                        <w:sz w:val="11"/>
                        <w:szCs w:val="11"/>
                      </w:rPr>
                    </w:pPr>
                    <w:r>
                      <w:rPr>
                        <w:sz w:val="11"/>
                        <w:szCs w:val="11"/>
                      </w:rPr>
                      <w:t>1．提取盈余公积</w:t>
                    </w:r>
                  </w:p>
                </w:tc>
              </w:sdtContent>
            </w:sdt>
            <w:tc>
              <w:tcPr>
                <w:tcW w:w="1321" w:type="dxa"/>
                <w:tcBorders>
                  <w:right w:val="single" w:sz="4" w:space="0" w:color="auto"/>
                </w:tcBorders>
                <w:vAlign w:val="center"/>
              </w:tcPr>
              <w:p w14:paraId="34E5520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C8985B4"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2DB2116" w14:textId="77777777" w:rsidR="00E57DAA" w:rsidRDefault="00E57DAA">
                <w:pPr>
                  <w:jc w:val="right"/>
                  <w:rPr>
                    <w:sz w:val="11"/>
                    <w:szCs w:val="11"/>
                  </w:rPr>
                </w:pPr>
              </w:p>
            </w:tc>
            <w:tc>
              <w:tcPr>
                <w:tcW w:w="567" w:type="dxa"/>
                <w:tcBorders>
                  <w:left w:val="single" w:sz="4" w:space="0" w:color="auto"/>
                </w:tcBorders>
                <w:vAlign w:val="center"/>
              </w:tcPr>
              <w:p w14:paraId="4B910289" w14:textId="77777777" w:rsidR="00E57DAA" w:rsidRDefault="00E57DAA">
                <w:pPr>
                  <w:jc w:val="right"/>
                  <w:rPr>
                    <w:sz w:val="11"/>
                    <w:szCs w:val="11"/>
                  </w:rPr>
                </w:pPr>
              </w:p>
            </w:tc>
            <w:tc>
              <w:tcPr>
                <w:tcW w:w="1134" w:type="dxa"/>
                <w:vAlign w:val="center"/>
              </w:tcPr>
              <w:p w14:paraId="151B2ECB" w14:textId="77777777" w:rsidR="00E57DAA" w:rsidRDefault="00E57DAA">
                <w:pPr>
                  <w:jc w:val="right"/>
                  <w:rPr>
                    <w:sz w:val="11"/>
                    <w:szCs w:val="11"/>
                  </w:rPr>
                </w:pPr>
              </w:p>
            </w:tc>
            <w:tc>
              <w:tcPr>
                <w:tcW w:w="1134" w:type="dxa"/>
                <w:vAlign w:val="center"/>
              </w:tcPr>
              <w:p w14:paraId="4EDEE03C" w14:textId="77777777" w:rsidR="00E57DAA" w:rsidRDefault="00E57DAA">
                <w:pPr>
                  <w:jc w:val="right"/>
                  <w:rPr>
                    <w:sz w:val="11"/>
                    <w:szCs w:val="11"/>
                  </w:rPr>
                </w:pPr>
              </w:p>
            </w:tc>
            <w:tc>
              <w:tcPr>
                <w:tcW w:w="992" w:type="dxa"/>
                <w:vAlign w:val="center"/>
              </w:tcPr>
              <w:p w14:paraId="574D4A5E" w14:textId="77777777" w:rsidR="00E57DAA" w:rsidRDefault="00E57DAA">
                <w:pPr>
                  <w:jc w:val="right"/>
                  <w:rPr>
                    <w:sz w:val="11"/>
                    <w:szCs w:val="11"/>
                  </w:rPr>
                </w:pPr>
              </w:p>
            </w:tc>
            <w:tc>
              <w:tcPr>
                <w:tcW w:w="992" w:type="dxa"/>
                <w:vAlign w:val="center"/>
              </w:tcPr>
              <w:p w14:paraId="4B2AD98E" w14:textId="77777777" w:rsidR="00E57DAA" w:rsidRDefault="00E57DAA">
                <w:pPr>
                  <w:jc w:val="right"/>
                  <w:rPr>
                    <w:sz w:val="11"/>
                    <w:szCs w:val="11"/>
                  </w:rPr>
                </w:pPr>
              </w:p>
            </w:tc>
            <w:tc>
              <w:tcPr>
                <w:tcW w:w="1134" w:type="dxa"/>
                <w:vAlign w:val="center"/>
              </w:tcPr>
              <w:p w14:paraId="45E8FB85" w14:textId="77777777" w:rsidR="00E57DAA" w:rsidRDefault="00AC4185">
                <w:pPr>
                  <w:jc w:val="right"/>
                  <w:rPr>
                    <w:sz w:val="11"/>
                    <w:szCs w:val="11"/>
                  </w:rPr>
                </w:pPr>
                <w:r>
                  <w:rPr>
                    <w:sz w:val="11"/>
                    <w:szCs w:val="11"/>
                  </w:rPr>
                  <w:t>86,377,489.91</w:t>
                </w:r>
              </w:p>
            </w:tc>
            <w:tc>
              <w:tcPr>
                <w:tcW w:w="1559" w:type="dxa"/>
                <w:vAlign w:val="center"/>
              </w:tcPr>
              <w:p w14:paraId="1605FC7A" w14:textId="77777777" w:rsidR="00E57DAA" w:rsidRDefault="00AC4185">
                <w:pPr>
                  <w:jc w:val="right"/>
                  <w:rPr>
                    <w:sz w:val="11"/>
                    <w:szCs w:val="11"/>
                  </w:rPr>
                </w:pPr>
                <w:r>
                  <w:rPr>
                    <w:sz w:val="11"/>
                    <w:szCs w:val="11"/>
                  </w:rPr>
                  <w:t>-86,377,489.91</w:t>
                </w:r>
              </w:p>
            </w:tc>
            <w:tc>
              <w:tcPr>
                <w:tcW w:w="1543" w:type="dxa"/>
                <w:vAlign w:val="center"/>
              </w:tcPr>
              <w:p w14:paraId="7EB3A204" w14:textId="77777777" w:rsidR="00E57DAA" w:rsidRDefault="00E57DAA">
                <w:pPr>
                  <w:jc w:val="right"/>
                  <w:rPr>
                    <w:sz w:val="11"/>
                    <w:szCs w:val="11"/>
                  </w:rPr>
                </w:pPr>
              </w:p>
            </w:tc>
          </w:tr>
          <w:tr w:rsidR="00E57DAA" w14:paraId="508186FF" w14:textId="77777777">
            <w:trPr>
              <w:trHeight w:val="20"/>
            </w:trPr>
            <w:sdt>
              <w:sdtPr>
                <w:rPr>
                  <w:sz w:val="11"/>
                  <w:szCs w:val="11"/>
                </w:rPr>
                <w:tag w:val="_PLD_4deac8941f8344f99337c17d7e8feb6f"/>
                <w:id w:val="-1343850449"/>
              </w:sdtPr>
              <w:sdtEndPr/>
              <w:sdtContent>
                <w:tc>
                  <w:tcPr>
                    <w:tcW w:w="2450" w:type="dxa"/>
                  </w:tcPr>
                  <w:p w14:paraId="6D848DC6" w14:textId="77777777" w:rsidR="00E57DAA" w:rsidRDefault="00AC4185">
                    <w:pPr>
                      <w:rPr>
                        <w:sz w:val="11"/>
                        <w:szCs w:val="11"/>
                      </w:rPr>
                    </w:pPr>
                    <w:r>
                      <w:rPr>
                        <w:rFonts w:hint="eastAsia"/>
                        <w:sz w:val="11"/>
                        <w:szCs w:val="11"/>
                      </w:rPr>
                      <w:t>2</w:t>
                    </w:r>
                    <w:r>
                      <w:rPr>
                        <w:sz w:val="11"/>
                        <w:szCs w:val="11"/>
                      </w:rPr>
                      <w:t>．对所有者（或股东）的分配</w:t>
                    </w:r>
                  </w:p>
                </w:tc>
              </w:sdtContent>
            </w:sdt>
            <w:tc>
              <w:tcPr>
                <w:tcW w:w="1321" w:type="dxa"/>
                <w:tcBorders>
                  <w:right w:val="single" w:sz="4" w:space="0" w:color="auto"/>
                </w:tcBorders>
                <w:vAlign w:val="center"/>
              </w:tcPr>
              <w:p w14:paraId="113FE98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BEFB38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5C7B5DD" w14:textId="77777777" w:rsidR="00E57DAA" w:rsidRDefault="00E57DAA">
                <w:pPr>
                  <w:jc w:val="right"/>
                  <w:rPr>
                    <w:sz w:val="11"/>
                    <w:szCs w:val="11"/>
                  </w:rPr>
                </w:pPr>
              </w:p>
            </w:tc>
            <w:tc>
              <w:tcPr>
                <w:tcW w:w="567" w:type="dxa"/>
                <w:tcBorders>
                  <w:left w:val="single" w:sz="4" w:space="0" w:color="auto"/>
                </w:tcBorders>
                <w:vAlign w:val="center"/>
              </w:tcPr>
              <w:p w14:paraId="29989503" w14:textId="77777777" w:rsidR="00E57DAA" w:rsidRDefault="00E57DAA">
                <w:pPr>
                  <w:jc w:val="right"/>
                  <w:rPr>
                    <w:sz w:val="11"/>
                    <w:szCs w:val="11"/>
                  </w:rPr>
                </w:pPr>
              </w:p>
            </w:tc>
            <w:tc>
              <w:tcPr>
                <w:tcW w:w="1134" w:type="dxa"/>
                <w:vAlign w:val="center"/>
              </w:tcPr>
              <w:p w14:paraId="5D9950A1" w14:textId="77777777" w:rsidR="00E57DAA" w:rsidRDefault="00E57DAA">
                <w:pPr>
                  <w:jc w:val="right"/>
                  <w:rPr>
                    <w:sz w:val="11"/>
                    <w:szCs w:val="11"/>
                  </w:rPr>
                </w:pPr>
              </w:p>
            </w:tc>
            <w:tc>
              <w:tcPr>
                <w:tcW w:w="1134" w:type="dxa"/>
                <w:vAlign w:val="center"/>
              </w:tcPr>
              <w:p w14:paraId="5DB727B3" w14:textId="77777777" w:rsidR="00E57DAA" w:rsidRDefault="00E57DAA">
                <w:pPr>
                  <w:jc w:val="right"/>
                  <w:rPr>
                    <w:sz w:val="11"/>
                    <w:szCs w:val="11"/>
                  </w:rPr>
                </w:pPr>
              </w:p>
            </w:tc>
            <w:tc>
              <w:tcPr>
                <w:tcW w:w="992" w:type="dxa"/>
                <w:vAlign w:val="center"/>
              </w:tcPr>
              <w:p w14:paraId="567AD77E" w14:textId="77777777" w:rsidR="00E57DAA" w:rsidRDefault="00E57DAA">
                <w:pPr>
                  <w:jc w:val="right"/>
                  <w:rPr>
                    <w:sz w:val="11"/>
                    <w:szCs w:val="11"/>
                  </w:rPr>
                </w:pPr>
              </w:p>
            </w:tc>
            <w:tc>
              <w:tcPr>
                <w:tcW w:w="992" w:type="dxa"/>
                <w:vAlign w:val="center"/>
              </w:tcPr>
              <w:p w14:paraId="41A9D1F8" w14:textId="77777777" w:rsidR="00E57DAA" w:rsidRDefault="00E57DAA">
                <w:pPr>
                  <w:jc w:val="right"/>
                  <w:rPr>
                    <w:sz w:val="11"/>
                    <w:szCs w:val="11"/>
                  </w:rPr>
                </w:pPr>
              </w:p>
            </w:tc>
            <w:tc>
              <w:tcPr>
                <w:tcW w:w="1134" w:type="dxa"/>
                <w:vAlign w:val="center"/>
              </w:tcPr>
              <w:p w14:paraId="2AE8DEBA" w14:textId="77777777" w:rsidR="00E57DAA" w:rsidRDefault="00E57DAA">
                <w:pPr>
                  <w:jc w:val="right"/>
                  <w:rPr>
                    <w:sz w:val="11"/>
                    <w:szCs w:val="11"/>
                  </w:rPr>
                </w:pPr>
              </w:p>
            </w:tc>
            <w:tc>
              <w:tcPr>
                <w:tcW w:w="1559" w:type="dxa"/>
                <w:vAlign w:val="center"/>
              </w:tcPr>
              <w:p w14:paraId="42B551EC" w14:textId="77777777" w:rsidR="00E57DAA" w:rsidRDefault="00AC4185">
                <w:pPr>
                  <w:jc w:val="right"/>
                  <w:rPr>
                    <w:sz w:val="11"/>
                    <w:szCs w:val="11"/>
                  </w:rPr>
                </w:pPr>
                <w:r>
                  <w:rPr>
                    <w:sz w:val="11"/>
                    <w:szCs w:val="11"/>
                  </w:rPr>
                  <w:t>-792,695,226.90</w:t>
                </w:r>
              </w:p>
            </w:tc>
            <w:tc>
              <w:tcPr>
                <w:tcW w:w="1543" w:type="dxa"/>
                <w:vAlign w:val="center"/>
              </w:tcPr>
              <w:p w14:paraId="4114A818" w14:textId="77777777" w:rsidR="00E57DAA" w:rsidRDefault="00AC4185">
                <w:pPr>
                  <w:jc w:val="right"/>
                  <w:rPr>
                    <w:sz w:val="11"/>
                    <w:szCs w:val="11"/>
                  </w:rPr>
                </w:pPr>
                <w:r>
                  <w:rPr>
                    <w:sz w:val="11"/>
                    <w:szCs w:val="11"/>
                  </w:rPr>
                  <w:t>-792,695,226.90</w:t>
                </w:r>
              </w:p>
            </w:tc>
          </w:tr>
          <w:tr w:rsidR="00E57DAA" w14:paraId="6B74BEB0" w14:textId="77777777">
            <w:trPr>
              <w:trHeight w:val="20"/>
            </w:trPr>
            <w:sdt>
              <w:sdtPr>
                <w:rPr>
                  <w:sz w:val="11"/>
                  <w:szCs w:val="11"/>
                </w:rPr>
                <w:tag w:val="_PLD_ff58a7e98f194ea88a1175d96b9527b1"/>
                <w:id w:val="282156969"/>
              </w:sdtPr>
              <w:sdtEndPr/>
              <w:sdtContent>
                <w:tc>
                  <w:tcPr>
                    <w:tcW w:w="2450" w:type="dxa"/>
                  </w:tcPr>
                  <w:p w14:paraId="1424BC28" w14:textId="77777777" w:rsidR="00E57DAA" w:rsidRDefault="00AC4185">
                    <w:pPr>
                      <w:rPr>
                        <w:sz w:val="11"/>
                        <w:szCs w:val="11"/>
                      </w:rPr>
                    </w:pPr>
                    <w:r>
                      <w:rPr>
                        <w:rFonts w:hint="eastAsia"/>
                        <w:sz w:val="11"/>
                        <w:szCs w:val="11"/>
                      </w:rPr>
                      <w:t>3</w:t>
                    </w:r>
                    <w:r>
                      <w:rPr>
                        <w:sz w:val="11"/>
                        <w:szCs w:val="11"/>
                      </w:rPr>
                      <w:t>．其他</w:t>
                    </w:r>
                  </w:p>
                </w:tc>
              </w:sdtContent>
            </w:sdt>
            <w:tc>
              <w:tcPr>
                <w:tcW w:w="1321" w:type="dxa"/>
                <w:tcBorders>
                  <w:right w:val="single" w:sz="4" w:space="0" w:color="auto"/>
                </w:tcBorders>
                <w:vAlign w:val="center"/>
              </w:tcPr>
              <w:p w14:paraId="60530400"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BCD5A0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0048DB3" w14:textId="77777777" w:rsidR="00E57DAA" w:rsidRDefault="00E57DAA">
                <w:pPr>
                  <w:jc w:val="right"/>
                  <w:rPr>
                    <w:sz w:val="11"/>
                    <w:szCs w:val="11"/>
                  </w:rPr>
                </w:pPr>
              </w:p>
            </w:tc>
            <w:tc>
              <w:tcPr>
                <w:tcW w:w="567" w:type="dxa"/>
                <w:tcBorders>
                  <w:left w:val="single" w:sz="4" w:space="0" w:color="auto"/>
                </w:tcBorders>
                <w:vAlign w:val="center"/>
              </w:tcPr>
              <w:p w14:paraId="09BCD1F0" w14:textId="77777777" w:rsidR="00E57DAA" w:rsidRDefault="00E57DAA">
                <w:pPr>
                  <w:jc w:val="right"/>
                  <w:rPr>
                    <w:sz w:val="11"/>
                    <w:szCs w:val="11"/>
                  </w:rPr>
                </w:pPr>
              </w:p>
            </w:tc>
            <w:tc>
              <w:tcPr>
                <w:tcW w:w="1134" w:type="dxa"/>
                <w:vAlign w:val="center"/>
              </w:tcPr>
              <w:p w14:paraId="2BCEA9B9" w14:textId="77777777" w:rsidR="00E57DAA" w:rsidRDefault="00E57DAA">
                <w:pPr>
                  <w:jc w:val="right"/>
                  <w:rPr>
                    <w:sz w:val="11"/>
                    <w:szCs w:val="11"/>
                  </w:rPr>
                </w:pPr>
              </w:p>
            </w:tc>
            <w:tc>
              <w:tcPr>
                <w:tcW w:w="1134" w:type="dxa"/>
                <w:vAlign w:val="center"/>
              </w:tcPr>
              <w:p w14:paraId="3251E743" w14:textId="77777777" w:rsidR="00E57DAA" w:rsidRDefault="00E57DAA">
                <w:pPr>
                  <w:jc w:val="right"/>
                  <w:rPr>
                    <w:sz w:val="11"/>
                    <w:szCs w:val="11"/>
                  </w:rPr>
                </w:pPr>
              </w:p>
            </w:tc>
            <w:tc>
              <w:tcPr>
                <w:tcW w:w="992" w:type="dxa"/>
                <w:vAlign w:val="center"/>
              </w:tcPr>
              <w:p w14:paraId="0B21D301" w14:textId="77777777" w:rsidR="00E57DAA" w:rsidRDefault="00E57DAA">
                <w:pPr>
                  <w:jc w:val="right"/>
                  <w:rPr>
                    <w:sz w:val="11"/>
                    <w:szCs w:val="11"/>
                  </w:rPr>
                </w:pPr>
              </w:p>
            </w:tc>
            <w:tc>
              <w:tcPr>
                <w:tcW w:w="992" w:type="dxa"/>
                <w:vAlign w:val="center"/>
              </w:tcPr>
              <w:p w14:paraId="2BA882CA" w14:textId="77777777" w:rsidR="00E57DAA" w:rsidRDefault="00E57DAA">
                <w:pPr>
                  <w:jc w:val="right"/>
                  <w:rPr>
                    <w:sz w:val="11"/>
                    <w:szCs w:val="11"/>
                  </w:rPr>
                </w:pPr>
              </w:p>
            </w:tc>
            <w:tc>
              <w:tcPr>
                <w:tcW w:w="1134" w:type="dxa"/>
                <w:vAlign w:val="center"/>
              </w:tcPr>
              <w:p w14:paraId="7AAE4669" w14:textId="77777777" w:rsidR="00E57DAA" w:rsidRDefault="00E57DAA">
                <w:pPr>
                  <w:jc w:val="right"/>
                  <w:rPr>
                    <w:sz w:val="11"/>
                    <w:szCs w:val="11"/>
                  </w:rPr>
                </w:pPr>
              </w:p>
            </w:tc>
            <w:tc>
              <w:tcPr>
                <w:tcW w:w="1559" w:type="dxa"/>
                <w:vAlign w:val="center"/>
              </w:tcPr>
              <w:p w14:paraId="0AD031D8" w14:textId="77777777" w:rsidR="00E57DAA" w:rsidRDefault="00E57DAA">
                <w:pPr>
                  <w:jc w:val="right"/>
                  <w:rPr>
                    <w:sz w:val="11"/>
                    <w:szCs w:val="11"/>
                  </w:rPr>
                </w:pPr>
              </w:p>
            </w:tc>
            <w:tc>
              <w:tcPr>
                <w:tcW w:w="1543" w:type="dxa"/>
                <w:vAlign w:val="center"/>
              </w:tcPr>
              <w:p w14:paraId="7014DD25" w14:textId="77777777" w:rsidR="00E57DAA" w:rsidRDefault="00E57DAA">
                <w:pPr>
                  <w:jc w:val="right"/>
                  <w:rPr>
                    <w:sz w:val="11"/>
                    <w:szCs w:val="11"/>
                  </w:rPr>
                </w:pPr>
              </w:p>
            </w:tc>
          </w:tr>
          <w:tr w:rsidR="00E57DAA" w14:paraId="13E5A8E0" w14:textId="77777777">
            <w:trPr>
              <w:trHeight w:val="20"/>
            </w:trPr>
            <w:sdt>
              <w:sdtPr>
                <w:rPr>
                  <w:sz w:val="11"/>
                  <w:szCs w:val="11"/>
                </w:rPr>
                <w:tag w:val="_PLD_8938fb7f04ef4f54b6183645ffa42f40"/>
                <w:id w:val="566848496"/>
              </w:sdtPr>
              <w:sdtEndPr/>
              <w:sdtContent>
                <w:tc>
                  <w:tcPr>
                    <w:tcW w:w="2450" w:type="dxa"/>
                  </w:tcPr>
                  <w:p w14:paraId="78C455A7" w14:textId="77777777" w:rsidR="00E57DAA" w:rsidRDefault="00AC4185">
                    <w:pPr>
                      <w:rPr>
                        <w:sz w:val="11"/>
                        <w:szCs w:val="11"/>
                      </w:rPr>
                    </w:pPr>
                    <w:r>
                      <w:rPr>
                        <w:sz w:val="11"/>
                        <w:szCs w:val="11"/>
                      </w:rPr>
                      <w:t>（</w:t>
                    </w:r>
                    <w:r>
                      <w:rPr>
                        <w:rFonts w:hint="eastAsia"/>
                        <w:sz w:val="11"/>
                        <w:szCs w:val="11"/>
                      </w:rPr>
                      <w:t>四</w:t>
                    </w:r>
                    <w:r>
                      <w:rPr>
                        <w:sz w:val="11"/>
                        <w:szCs w:val="11"/>
                      </w:rPr>
                      <w:t>）所有者权益内部结转</w:t>
                    </w:r>
                  </w:p>
                </w:tc>
              </w:sdtContent>
            </w:sdt>
            <w:tc>
              <w:tcPr>
                <w:tcW w:w="1321" w:type="dxa"/>
                <w:tcBorders>
                  <w:right w:val="single" w:sz="4" w:space="0" w:color="auto"/>
                </w:tcBorders>
                <w:vAlign w:val="center"/>
              </w:tcPr>
              <w:p w14:paraId="1F16E14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BCD3324"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A2FB775" w14:textId="77777777" w:rsidR="00E57DAA" w:rsidRDefault="00E57DAA">
                <w:pPr>
                  <w:jc w:val="right"/>
                  <w:rPr>
                    <w:sz w:val="11"/>
                    <w:szCs w:val="11"/>
                  </w:rPr>
                </w:pPr>
              </w:p>
            </w:tc>
            <w:tc>
              <w:tcPr>
                <w:tcW w:w="567" w:type="dxa"/>
                <w:tcBorders>
                  <w:left w:val="single" w:sz="4" w:space="0" w:color="auto"/>
                </w:tcBorders>
                <w:vAlign w:val="center"/>
              </w:tcPr>
              <w:p w14:paraId="339DD301" w14:textId="77777777" w:rsidR="00E57DAA" w:rsidRDefault="00E57DAA">
                <w:pPr>
                  <w:jc w:val="right"/>
                  <w:rPr>
                    <w:sz w:val="11"/>
                    <w:szCs w:val="11"/>
                  </w:rPr>
                </w:pPr>
              </w:p>
            </w:tc>
            <w:tc>
              <w:tcPr>
                <w:tcW w:w="1134" w:type="dxa"/>
                <w:vAlign w:val="center"/>
              </w:tcPr>
              <w:p w14:paraId="48B49C7D" w14:textId="77777777" w:rsidR="00E57DAA" w:rsidRDefault="00E57DAA">
                <w:pPr>
                  <w:jc w:val="right"/>
                  <w:rPr>
                    <w:sz w:val="11"/>
                    <w:szCs w:val="11"/>
                  </w:rPr>
                </w:pPr>
              </w:p>
            </w:tc>
            <w:tc>
              <w:tcPr>
                <w:tcW w:w="1134" w:type="dxa"/>
                <w:vAlign w:val="center"/>
              </w:tcPr>
              <w:p w14:paraId="53E43A0E" w14:textId="77777777" w:rsidR="00E57DAA" w:rsidRDefault="00E57DAA">
                <w:pPr>
                  <w:jc w:val="right"/>
                  <w:rPr>
                    <w:sz w:val="11"/>
                    <w:szCs w:val="11"/>
                  </w:rPr>
                </w:pPr>
              </w:p>
            </w:tc>
            <w:tc>
              <w:tcPr>
                <w:tcW w:w="992" w:type="dxa"/>
                <w:vAlign w:val="center"/>
              </w:tcPr>
              <w:p w14:paraId="75941256" w14:textId="77777777" w:rsidR="00E57DAA" w:rsidRDefault="00E57DAA">
                <w:pPr>
                  <w:jc w:val="right"/>
                  <w:rPr>
                    <w:sz w:val="11"/>
                    <w:szCs w:val="11"/>
                  </w:rPr>
                </w:pPr>
              </w:p>
            </w:tc>
            <w:tc>
              <w:tcPr>
                <w:tcW w:w="992" w:type="dxa"/>
                <w:vAlign w:val="center"/>
              </w:tcPr>
              <w:p w14:paraId="4C90529F" w14:textId="77777777" w:rsidR="00E57DAA" w:rsidRDefault="00E57DAA">
                <w:pPr>
                  <w:jc w:val="right"/>
                  <w:rPr>
                    <w:sz w:val="11"/>
                    <w:szCs w:val="11"/>
                  </w:rPr>
                </w:pPr>
              </w:p>
            </w:tc>
            <w:tc>
              <w:tcPr>
                <w:tcW w:w="1134" w:type="dxa"/>
                <w:vAlign w:val="center"/>
              </w:tcPr>
              <w:p w14:paraId="57BE6E75" w14:textId="77777777" w:rsidR="00E57DAA" w:rsidRDefault="00E57DAA">
                <w:pPr>
                  <w:jc w:val="right"/>
                  <w:rPr>
                    <w:sz w:val="11"/>
                    <w:szCs w:val="11"/>
                  </w:rPr>
                </w:pPr>
              </w:p>
            </w:tc>
            <w:tc>
              <w:tcPr>
                <w:tcW w:w="1559" w:type="dxa"/>
                <w:vAlign w:val="center"/>
              </w:tcPr>
              <w:p w14:paraId="3FA07065" w14:textId="77777777" w:rsidR="00E57DAA" w:rsidRDefault="00E57DAA">
                <w:pPr>
                  <w:jc w:val="right"/>
                  <w:rPr>
                    <w:sz w:val="11"/>
                    <w:szCs w:val="11"/>
                  </w:rPr>
                </w:pPr>
              </w:p>
            </w:tc>
            <w:tc>
              <w:tcPr>
                <w:tcW w:w="1543" w:type="dxa"/>
                <w:vAlign w:val="center"/>
              </w:tcPr>
              <w:p w14:paraId="0904B021" w14:textId="77777777" w:rsidR="00E57DAA" w:rsidRDefault="00E57DAA">
                <w:pPr>
                  <w:jc w:val="right"/>
                  <w:rPr>
                    <w:sz w:val="11"/>
                    <w:szCs w:val="11"/>
                  </w:rPr>
                </w:pPr>
              </w:p>
            </w:tc>
          </w:tr>
          <w:tr w:rsidR="00E57DAA" w14:paraId="09AE7099" w14:textId="77777777">
            <w:trPr>
              <w:trHeight w:val="20"/>
            </w:trPr>
            <w:sdt>
              <w:sdtPr>
                <w:rPr>
                  <w:sz w:val="11"/>
                  <w:szCs w:val="11"/>
                </w:rPr>
                <w:tag w:val="_PLD_805f473e3b5c4efd99b4c472dc99ddb5"/>
                <w:id w:val="617882371"/>
              </w:sdtPr>
              <w:sdtEndPr/>
              <w:sdtContent>
                <w:tc>
                  <w:tcPr>
                    <w:tcW w:w="2450" w:type="dxa"/>
                  </w:tcPr>
                  <w:p w14:paraId="6C8C4668" w14:textId="77777777" w:rsidR="00E57DAA" w:rsidRDefault="00AC4185">
                    <w:pPr>
                      <w:rPr>
                        <w:sz w:val="11"/>
                        <w:szCs w:val="11"/>
                      </w:rPr>
                    </w:pPr>
                    <w:r>
                      <w:rPr>
                        <w:sz w:val="11"/>
                        <w:szCs w:val="11"/>
                      </w:rPr>
                      <w:t>1．资本公积转增资本（或股本）</w:t>
                    </w:r>
                  </w:p>
                </w:tc>
              </w:sdtContent>
            </w:sdt>
            <w:tc>
              <w:tcPr>
                <w:tcW w:w="1321" w:type="dxa"/>
                <w:tcBorders>
                  <w:right w:val="single" w:sz="4" w:space="0" w:color="auto"/>
                </w:tcBorders>
                <w:vAlign w:val="center"/>
              </w:tcPr>
              <w:p w14:paraId="5C75E3F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1B8437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5001A6D" w14:textId="77777777" w:rsidR="00E57DAA" w:rsidRDefault="00E57DAA">
                <w:pPr>
                  <w:jc w:val="right"/>
                  <w:rPr>
                    <w:sz w:val="11"/>
                    <w:szCs w:val="11"/>
                  </w:rPr>
                </w:pPr>
              </w:p>
            </w:tc>
            <w:tc>
              <w:tcPr>
                <w:tcW w:w="567" w:type="dxa"/>
                <w:tcBorders>
                  <w:left w:val="single" w:sz="4" w:space="0" w:color="auto"/>
                </w:tcBorders>
                <w:vAlign w:val="center"/>
              </w:tcPr>
              <w:p w14:paraId="700268F0" w14:textId="77777777" w:rsidR="00E57DAA" w:rsidRDefault="00E57DAA">
                <w:pPr>
                  <w:jc w:val="right"/>
                  <w:rPr>
                    <w:sz w:val="11"/>
                    <w:szCs w:val="11"/>
                  </w:rPr>
                </w:pPr>
              </w:p>
            </w:tc>
            <w:tc>
              <w:tcPr>
                <w:tcW w:w="1134" w:type="dxa"/>
                <w:vAlign w:val="center"/>
              </w:tcPr>
              <w:p w14:paraId="2780B8DF" w14:textId="77777777" w:rsidR="00E57DAA" w:rsidRDefault="00E57DAA">
                <w:pPr>
                  <w:jc w:val="right"/>
                  <w:rPr>
                    <w:sz w:val="11"/>
                    <w:szCs w:val="11"/>
                  </w:rPr>
                </w:pPr>
              </w:p>
            </w:tc>
            <w:tc>
              <w:tcPr>
                <w:tcW w:w="1134" w:type="dxa"/>
                <w:vAlign w:val="center"/>
              </w:tcPr>
              <w:p w14:paraId="10411C41" w14:textId="77777777" w:rsidR="00E57DAA" w:rsidRDefault="00E57DAA">
                <w:pPr>
                  <w:jc w:val="right"/>
                  <w:rPr>
                    <w:sz w:val="11"/>
                    <w:szCs w:val="11"/>
                  </w:rPr>
                </w:pPr>
              </w:p>
            </w:tc>
            <w:tc>
              <w:tcPr>
                <w:tcW w:w="992" w:type="dxa"/>
                <w:vAlign w:val="center"/>
              </w:tcPr>
              <w:p w14:paraId="2CE5A9E7" w14:textId="77777777" w:rsidR="00E57DAA" w:rsidRDefault="00E57DAA">
                <w:pPr>
                  <w:jc w:val="right"/>
                  <w:rPr>
                    <w:sz w:val="11"/>
                    <w:szCs w:val="11"/>
                  </w:rPr>
                </w:pPr>
              </w:p>
            </w:tc>
            <w:tc>
              <w:tcPr>
                <w:tcW w:w="992" w:type="dxa"/>
                <w:vAlign w:val="center"/>
              </w:tcPr>
              <w:p w14:paraId="01B3D6EB" w14:textId="77777777" w:rsidR="00E57DAA" w:rsidRDefault="00E57DAA">
                <w:pPr>
                  <w:jc w:val="right"/>
                  <w:rPr>
                    <w:sz w:val="11"/>
                    <w:szCs w:val="11"/>
                  </w:rPr>
                </w:pPr>
              </w:p>
            </w:tc>
            <w:tc>
              <w:tcPr>
                <w:tcW w:w="1134" w:type="dxa"/>
                <w:vAlign w:val="center"/>
              </w:tcPr>
              <w:p w14:paraId="6B489A3C" w14:textId="77777777" w:rsidR="00E57DAA" w:rsidRDefault="00E57DAA">
                <w:pPr>
                  <w:jc w:val="right"/>
                  <w:rPr>
                    <w:sz w:val="11"/>
                    <w:szCs w:val="11"/>
                  </w:rPr>
                </w:pPr>
              </w:p>
            </w:tc>
            <w:tc>
              <w:tcPr>
                <w:tcW w:w="1559" w:type="dxa"/>
                <w:vAlign w:val="center"/>
              </w:tcPr>
              <w:p w14:paraId="5B51D7B9" w14:textId="77777777" w:rsidR="00E57DAA" w:rsidRDefault="00E57DAA">
                <w:pPr>
                  <w:jc w:val="right"/>
                  <w:rPr>
                    <w:sz w:val="11"/>
                    <w:szCs w:val="11"/>
                  </w:rPr>
                </w:pPr>
              </w:p>
            </w:tc>
            <w:tc>
              <w:tcPr>
                <w:tcW w:w="1543" w:type="dxa"/>
                <w:vAlign w:val="center"/>
              </w:tcPr>
              <w:p w14:paraId="6DCDC293" w14:textId="77777777" w:rsidR="00E57DAA" w:rsidRDefault="00E57DAA">
                <w:pPr>
                  <w:jc w:val="right"/>
                  <w:rPr>
                    <w:sz w:val="11"/>
                    <w:szCs w:val="11"/>
                  </w:rPr>
                </w:pPr>
              </w:p>
            </w:tc>
          </w:tr>
          <w:tr w:rsidR="00E57DAA" w14:paraId="01D0806F" w14:textId="77777777">
            <w:trPr>
              <w:trHeight w:val="20"/>
            </w:trPr>
            <w:sdt>
              <w:sdtPr>
                <w:rPr>
                  <w:sz w:val="11"/>
                  <w:szCs w:val="11"/>
                </w:rPr>
                <w:tag w:val="_PLD_c2dd17db22d54e02ba5942412d96f3ac"/>
                <w:id w:val="1857149899"/>
              </w:sdtPr>
              <w:sdtEndPr/>
              <w:sdtContent>
                <w:tc>
                  <w:tcPr>
                    <w:tcW w:w="2450" w:type="dxa"/>
                  </w:tcPr>
                  <w:p w14:paraId="04226657" w14:textId="77777777" w:rsidR="00E57DAA" w:rsidRDefault="00AC4185">
                    <w:pPr>
                      <w:rPr>
                        <w:sz w:val="11"/>
                        <w:szCs w:val="11"/>
                      </w:rPr>
                    </w:pPr>
                    <w:r>
                      <w:rPr>
                        <w:sz w:val="11"/>
                        <w:szCs w:val="11"/>
                      </w:rPr>
                      <w:t>2．盈余公积转增资本（或股本）</w:t>
                    </w:r>
                  </w:p>
                </w:tc>
              </w:sdtContent>
            </w:sdt>
            <w:tc>
              <w:tcPr>
                <w:tcW w:w="1321" w:type="dxa"/>
                <w:tcBorders>
                  <w:right w:val="single" w:sz="4" w:space="0" w:color="auto"/>
                </w:tcBorders>
                <w:vAlign w:val="center"/>
              </w:tcPr>
              <w:p w14:paraId="36BCD96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5ECBD9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632827A" w14:textId="77777777" w:rsidR="00E57DAA" w:rsidRDefault="00E57DAA">
                <w:pPr>
                  <w:jc w:val="right"/>
                  <w:rPr>
                    <w:sz w:val="11"/>
                    <w:szCs w:val="11"/>
                  </w:rPr>
                </w:pPr>
              </w:p>
            </w:tc>
            <w:tc>
              <w:tcPr>
                <w:tcW w:w="567" w:type="dxa"/>
                <w:tcBorders>
                  <w:left w:val="single" w:sz="4" w:space="0" w:color="auto"/>
                </w:tcBorders>
                <w:vAlign w:val="center"/>
              </w:tcPr>
              <w:p w14:paraId="3AC471BD" w14:textId="77777777" w:rsidR="00E57DAA" w:rsidRDefault="00E57DAA">
                <w:pPr>
                  <w:jc w:val="right"/>
                  <w:rPr>
                    <w:sz w:val="11"/>
                    <w:szCs w:val="11"/>
                  </w:rPr>
                </w:pPr>
              </w:p>
            </w:tc>
            <w:tc>
              <w:tcPr>
                <w:tcW w:w="1134" w:type="dxa"/>
                <w:vAlign w:val="center"/>
              </w:tcPr>
              <w:p w14:paraId="1D4C3D53" w14:textId="77777777" w:rsidR="00E57DAA" w:rsidRDefault="00E57DAA">
                <w:pPr>
                  <w:jc w:val="right"/>
                  <w:rPr>
                    <w:sz w:val="11"/>
                    <w:szCs w:val="11"/>
                  </w:rPr>
                </w:pPr>
              </w:p>
            </w:tc>
            <w:tc>
              <w:tcPr>
                <w:tcW w:w="1134" w:type="dxa"/>
                <w:vAlign w:val="center"/>
              </w:tcPr>
              <w:p w14:paraId="10D94E94" w14:textId="77777777" w:rsidR="00E57DAA" w:rsidRDefault="00E57DAA">
                <w:pPr>
                  <w:jc w:val="right"/>
                  <w:rPr>
                    <w:sz w:val="11"/>
                    <w:szCs w:val="11"/>
                  </w:rPr>
                </w:pPr>
              </w:p>
            </w:tc>
            <w:tc>
              <w:tcPr>
                <w:tcW w:w="992" w:type="dxa"/>
                <w:vAlign w:val="center"/>
              </w:tcPr>
              <w:p w14:paraId="7BA84ACB" w14:textId="77777777" w:rsidR="00E57DAA" w:rsidRDefault="00E57DAA">
                <w:pPr>
                  <w:jc w:val="right"/>
                  <w:rPr>
                    <w:sz w:val="11"/>
                    <w:szCs w:val="11"/>
                  </w:rPr>
                </w:pPr>
              </w:p>
            </w:tc>
            <w:tc>
              <w:tcPr>
                <w:tcW w:w="992" w:type="dxa"/>
                <w:vAlign w:val="center"/>
              </w:tcPr>
              <w:p w14:paraId="024A5572" w14:textId="77777777" w:rsidR="00E57DAA" w:rsidRDefault="00E57DAA">
                <w:pPr>
                  <w:jc w:val="right"/>
                  <w:rPr>
                    <w:sz w:val="11"/>
                    <w:szCs w:val="11"/>
                  </w:rPr>
                </w:pPr>
              </w:p>
            </w:tc>
            <w:tc>
              <w:tcPr>
                <w:tcW w:w="1134" w:type="dxa"/>
                <w:vAlign w:val="center"/>
              </w:tcPr>
              <w:p w14:paraId="78BCA817" w14:textId="77777777" w:rsidR="00E57DAA" w:rsidRDefault="00E57DAA">
                <w:pPr>
                  <w:jc w:val="right"/>
                  <w:rPr>
                    <w:sz w:val="11"/>
                    <w:szCs w:val="11"/>
                  </w:rPr>
                </w:pPr>
              </w:p>
            </w:tc>
            <w:tc>
              <w:tcPr>
                <w:tcW w:w="1559" w:type="dxa"/>
                <w:vAlign w:val="center"/>
              </w:tcPr>
              <w:p w14:paraId="7889649A" w14:textId="77777777" w:rsidR="00E57DAA" w:rsidRDefault="00E57DAA">
                <w:pPr>
                  <w:jc w:val="right"/>
                  <w:rPr>
                    <w:sz w:val="11"/>
                    <w:szCs w:val="11"/>
                  </w:rPr>
                </w:pPr>
              </w:p>
            </w:tc>
            <w:tc>
              <w:tcPr>
                <w:tcW w:w="1543" w:type="dxa"/>
                <w:vAlign w:val="center"/>
              </w:tcPr>
              <w:p w14:paraId="49E56E97" w14:textId="77777777" w:rsidR="00E57DAA" w:rsidRDefault="00E57DAA">
                <w:pPr>
                  <w:jc w:val="right"/>
                  <w:rPr>
                    <w:sz w:val="11"/>
                    <w:szCs w:val="11"/>
                  </w:rPr>
                </w:pPr>
              </w:p>
            </w:tc>
          </w:tr>
          <w:tr w:rsidR="00E57DAA" w14:paraId="424F742D" w14:textId="77777777">
            <w:trPr>
              <w:trHeight w:val="20"/>
            </w:trPr>
            <w:sdt>
              <w:sdtPr>
                <w:rPr>
                  <w:sz w:val="11"/>
                  <w:szCs w:val="11"/>
                </w:rPr>
                <w:tag w:val="_PLD_de8855f6aaf94578a33d614865e23362"/>
                <w:id w:val="1925684503"/>
              </w:sdtPr>
              <w:sdtEndPr/>
              <w:sdtContent>
                <w:tc>
                  <w:tcPr>
                    <w:tcW w:w="2450" w:type="dxa"/>
                  </w:tcPr>
                  <w:p w14:paraId="36DBD32E" w14:textId="77777777" w:rsidR="00E57DAA" w:rsidRDefault="00AC4185">
                    <w:pPr>
                      <w:rPr>
                        <w:sz w:val="11"/>
                        <w:szCs w:val="11"/>
                      </w:rPr>
                    </w:pPr>
                    <w:r>
                      <w:rPr>
                        <w:sz w:val="11"/>
                        <w:szCs w:val="11"/>
                      </w:rPr>
                      <w:t>3．盈余公积弥补亏损</w:t>
                    </w:r>
                  </w:p>
                </w:tc>
              </w:sdtContent>
            </w:sdt>
            <w:tc>
              <w:tcPr>
                <w:tcW w:w="1321" w:type="dxa"/>
                <w:tcBorders>
                  <w:right w:val="single" w:sz="4" w:space="0" w:color="auto"/>
                </w:tcBorders>
                <w:vAlign w:val="center"/>
              </w:tcPr>
              <w:p w14:paraId="2A414FA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69A60A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B7B11CF" w14:textId="77777777" w:rsidR="00E57DAA" w:rsidRDefault="00E57DAA">
                <w:pPr>
                  <w:jc w:val="right"/>
                  <w:rPr>
                    <w:sz w:val="11"/>
                    <w:szCs w:val="11"/>
                  </w:rPr>
                </w:pPr>
              </w:p>
            </w:tc>
            <w:tc>
              <w:tcPr>
                <w:tcW w:w="567" w:type="dxa"/>
                <w:tcBorders>
                  <w:left w:val="single" w:sz="4" w:space="0" w:color="auto"/>
                </w:tcBorders>
                <w:vAlign w:val="center"/>
              </w:tcPr>
              <w:p w14:paraId="0B66E095" w14:textId="77777777" w:rsidR="00E57DAA" w:rsidRDefault="00E57DAA">
                <w:pPr>
                  <w:jc w:val="right"/>
                  <w:rPr>
                    <w:sz w:val="11"/>
                    <w:szCs w:val="11"/>
                  </w:rPr>
                </w:pPr>
              </w:p>
            </w:tc>
            <w:tc>
              <w:tcPr>
                <w:tcW w:w="1134" w:type="dxa"/>
                <w:vAlign w:val="center"/>
              </w:tcPr>
              <w:p w14:paraId="04C27851" w14:textId="77777777" w:rsidR="00E57DAA" w:rsidRDefault="00E57DAA">
                <w:pPr>
                  <w:jc w:val="right"/>
                  <w:rPr>
                    <w:sz w:val="11"/>
                    <w:szCs w:val="11"/>
                  </w:rPr>
                </w:pPr>
              </w:p>
            </w:tc>
            <w:tc>
              <w:tcPr>
                <w:tcW w:w="1134" w:type="dxa"/>
                <w:vAlign w:val="center"/>
              </w:tcPr>
              <w:p w14:paraId="338E7A24" w14:textId="77777777" w:rsidR="00E57DAA" w:rsidRDefault="00E57DAA">
                <w:pPr>
                  <w:jc w:val="right"/>
                  <w:rPr>
                    <w:sz w:val="11"/>
                    <w:szCs w:val="11"/>
                  </w:rPr>
                </w:pPr>
              </w:p>
            </w:tc>
            <w:tc>
              <w:tcPr>
                <w:tcW w:w="992" w:type="dxa"/>
                <w:vAlign w:val="center"/>
              </w:tcPr>
              <w:p w14:paraId="7BF09230" w14:textId="77777777" w:rsidR="00E57DAA" w:rsidRDefault="00E57DAA">
                <w:pPr>
                  <w:jc w:val="right"/>
                  <w:rPr>
                    <w:sz w:val="11"/>
                    <w:szCs w:val="11"/>
                  </w:rPr>
                </w:pPr>
              </w:p>
            </w:tc>
            <w:tc>
              <w:tcPr>
                <w:tcW w:w="992" w:type="dxa"/>
                <w:vAlign w:val="center"/>
              </w:tcPr>
              <w:p w14:paraId="572536D8" w14:textId="77777777" w:rsidR="00E57DAA" w:rsidRDefault="00E57DAA">
                <w:pPr>
                  <w:jc w:val="right"/>
                  <w:rPr>
                    <w:sz w:val="11"/>
                    <w:szCs w:val="11"/>
                  </w:rPr>
                </w:pPr>
              </w:p>
            </w:tc>
            <w:tc>
              <w:tcPr>
                <w:tcW w:w="1134" w:type="dxa"/>
                <w:vAlign w:val="center"/>
              </w:tcPr>
              <w:p w14:paraId="49B5DC9A" w14:textId="77777777" w:rsidR="00E57DAA" w:rsidRDefault="00E57DAA">
                <w:pPr>
                  <w:jc w:val="right"/>
                  <w:rPr>
                    <w:sz w:val="11"/>
                    <w:szCs w:val="11"/>
                  </w:rPr>
                </w:pPr>
              </w:p>
            </w:tc>
            <w:tc>
              <w:tcPr>
                <w:tcW w:w="1559" w:type="dxa"/>
                <w:vAlign w:val="center"/>
              </w:tcPr>
              <w:p w14:paraId="60DCDB82" w14:textId="77777777" w:rsidR="00E57DAA" w:rsidRDefault="00E57DAA">
                <w:pPr>
                  <w:jc w:val="right"/>
                  <w:rPr>
                    <w:sz w:val="11"/>
                    <w:szCs w:val="11"/>
                  </w:rPr>
                </w:pPr>
              </w:p>
            </w:tc>
            <w:tc>
              <w:tcPr>
                <w:tcW w:w="1543" w:type="dxa"/>
                <w:vAlign w:val="center"/>
              </w:tcPr>
              <w:p w14:paraId="13DDE2B8" w14:textId="77777777" w:rsidR="00E57DAA" w:rsidRDefault="00E57DAA">
                <w:pPr>
                  <w:jc w:val="right"/>
                  <w:rPr>
                    <w:sz w:val="11"/>
                    <w:szCs w:val="11"/>
                  </w:rPr>
                </w:pPr>
              </w:p>
            </w:tc>
          </w:tr>
          <w:tr w:rsidR="00E57DAA" w14:paraId="3FBF4B26" w14:textId="77777777">
            <w:trPr>
              <w:trHeight w:val="20"/>
            </w:trPr>
            <w:tc>
              <w:tcPr>
                <w:tcW w:w="2450" w:type="dxa"/>
              </w:tcPr>
              <w:sdt>
                <w:sdtPr>
                  <w:rPr>
                    <w:sz w:val="11"/>
                    <w:szCs w:val="11"/>
                  </w:rPr>
                  <w:tag w:val="_PLD_0a2eca501c544dfc9dfd8d666c32970b"/>
                  <w:id w:val="-863447753"/>
                </w:sdtPr>
                <w:sdtEndPr/>
                <w:sdtContent>
                  <w:p w14:paraId="7D28B930" w14:textId="77777777" w:rsidR="00E57DAA" w:rsidRDefault="00AC4185">
                    <w:pPr>
                      <w:rPr>
                        <w:sz w:val="11"/>
                        <w:szCs w:val="11"/>
                      </w:rPr>
                    </w:pPr>
                    <w:r>
                      <w:rPr>
                        <w:sz w:val="11"/>
                        <w:szCs w:val="11"/>
                      </w:rPr>
                      <w:t>4．设定受益计划变动额结转留存收益</w:t>
                    </w:r>
                  </w:p>
                </w:sdtContent>
              </w:sdt>
            </w:tc>
            <w:tc>
              <w:tcPr>
                <w:tcW w:w="1321" w:type="dxa"/>
                <w:tcBorders>
                  <w:right w:val="single" w:sz="4" w:space="0" w:color="auto"/>
                </w:tcBorders>
                <w:vAlign w:val="center"/>
              </w:tcPr>
              <w:p w14:paraId="1E555449"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A8F331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2A7A02A" w14:textId="77777777" w:rsidR="00E57DAA" w:rsidRDefault="00E57DAA">
                <w:pPr>
                  <w:jc w:val="right"/>
                  <w:rPr>
                    <w:sz w:val="11"/>
                    <w:szCs w:val="11"/>
                  </w:rPr>
                </w:pPr>
              </w:p>
            </w:tc>
            <w:tc>
              <w:tcPr>
                <w:tcW w:w="567" w:type="dxa"/>
                <w:tcBorders>
                  <w:left w:val="single" w:sz="4" w:space="0" w:color="auto"/>
                </w:tcBorders>
                <w:vAlign w:val="center"/>
              </w:tcPr>
              <w:p w14:paraId="23B86EE9" w14:textId="77777777" w:rsidR="00E57DAA" w:rsidRDefault="00E57DAA">
                <w:pPr>
                  <w:jc w:val="right"/>
                  <w:rPr>
                    <w:sz w:val="11"/>
                    <w:szCs w:val="11"/>
                  </w:rPr>
                </w:pPr>
              </w:p>
            </w:tc>
            <w:tc>
              <w:tcPr>
                <w:tcW w:w="1134" w:type="dxa"/>
                <w:vAlign w:val="center"/>
              </w:tcPr>
              <w:p w14:paraId="758399A9" w14:textId="77777777" w:rsidR="00E57DAA" w:rsidRDefault="00E57DAA">
                <w:pPr>
                  <w:jc w:val="right"/>
                  <w:rPr>
                    <w:sz w:val="11"/>
                    <w:szCs w:val="11"/>
                  </w:rPr>
                </w:pPr>
              </w:p>
            </w:tc>
            <w:tc>
              <w:tcPr>
                <w:tcW w:w="1134" w:type="dxa"/>
                <w:vAlign w:val="center"/>
              </w:tcPr>
              <w:p w14:paraId="54AAF15D" w14:textId="77777777" w:rsidR="00E57DAA" w:rsidRDefault="00E57DAA">
                <w:pPr>
                  <w:jc w:val="right"/>
                  <w:rPr>
                    <w:sz w:val="11"/>
                    <w:szCs w:val="11"/>
                  </w:rPr>
                </w:pPr>
              </w:p>
            </w:tc>
            <w:tc>
              <w:tcPr>
                <w:tcW w:w="992" w:type="dxa"/>
                <w:vAlign w:val="center"/>
              </w:tcPr>
              <w:p w14:paraId="3CFA5820" w14:textId="77777777" w:rsidR="00E57DAA" w:rsidRDefault="00E57DAA">
                <w:pPr>
                  <w:jc w:val="right"/>
                  <w:rPr>
                    <w:sz w:val="11"/>
                    <w:szCs w:val="11"/>
                  </w:rPr>
                </w:pPr>
              </w:p>
            </w:tc>
            <w:tc>
              <w:tcPr>
                <w:tcW w:w="992" w:type="dxa"/>
                <w:vAlign w:val="center"/>
              </w:tcPr>
              <w:p w14:paraId="6B138735" w14:textId="77777777" w:rsidR="00E57DAA" w:rsidRDefault="00E57DAA">
                <w:pPr>
                  <w:jc w:val="right"/>
                  <w:rPr>
                    <w:sz w:val="11"/>
                    <w:szCs w:val="11"/>
                  </w:rPr>
                </w:pPr>
              </w:p>
            </w:tc>
            <w:tc>
              <w:tcPr>
                <w:tcW w:w="1134" w:type="dxa"/>
                <w:vAlign w:val="center"/>
              </w:tcPr>
              <w:p w14:paraId="6736F64F" w14:textId="77777777" w:rsidR="00E57DAA" w:rsidRDefault="00E57DAA">
                <w:pPr>
                  <w:jc w:val="right"/>
                  <w:rPr>
                    <w:sz w:val="11"/>
                    <w:szCs w:val="11"/>
                  </w:rPr>
                </w:pPr>
              </w:p>
            </w:tc>
            <w:tc>
              <w:tcPr>
                <w:tcW w:w="1559" w:type="dxa"/>
                <w:vAlign w:val="center"/>
              </w:tcPr>
              <w:p w14:paraId="429430DB" w14:textId="77777777" w:rsidR="00E57DAA" w:rsidRDefault="00E57DAA">
                <w:pPr>
                  <w:jc w:val="right"/>
                  <w:rPr>
                    <w:sz w:val="11"/>
                    <w:szCs w:val="11"/>
                  </w:rPr>
                </w:pPr>
              </w:p>
            </w:tc>
            <w:tc>
              <w:tcPr>
                <w:tcW w:w="1543" w:type="dxa"/>
                <w:vAlign w:val="center"/>
              </w:tcPr>
              <w:p w14:paraId="4A231A93" w14:textId="77777777" w:rsidR="00E57DAA" w:rsidRDefault="00E57DAA">
                <w:pPr>
                  <w:jc w:val="right"/>
                  <w:rPr>
                    <w:sz w:val="11"/>
                    <w:szCs w:val="11"/>
                  </w:rPr>
                </w:pPr>
              </w:p>
            </w:tc>
          </w:tr>
          <w:tr w:rsidR="00E57DAA" w14:paraId="0C03B597" w14:textId="77777777">
            <w:trPr>
              <w:trHeight w:val="20"/>
            </w:trPr>
            <w:tc>
              <w:tcPr>
                <w:tcW w:w="2450" w:type="dxa"/>
              </w:tcPr>
              <w:sdt>
                <w:sdtPr>
                  <w:rPr>
                    <w:sz w:val="11"/>
                    <w:szCs w:val="11"/>
                  </w:rPr>
                  <w:tag w:val="_PLD_e2c794a3876347288864cf2ea4ed53e5"/>
                  <w:id w:val="-21404462"/>
                </w:sdtPr>
                <w:sdtEndPr/>
                <w:sdtContent>
                  <w:p w14:paraId="28B2D12A" w14:textId="77777777" w:rsidR="00E57DAA" w:rsidRDefault="00AC4185">
                    <w:pPr>
                      <w:rPr>
                        <w:sz w:val="11"/>
                        <w:szCs w:val="11"/>
                      </w:rPr>
                    </w:pPr>
                    <w:r>
                      <w:rPr>
                        <w:sz w:val="11"/>
                        <w:szCs w:val="11"/>
                      </w:rPr>
                      <w:t>5．其他综合收益结转留存收益</w:t>
                    </w:r>
                  </w:p>
                </w:sdtContent>
              </w:sdt>
            </w:tc>
            <w:tc>
              <w:tcPr>
                <w:tcW w:w="1321" w:type="dxa"/>
                <w:tcBorders>
                  <w:right w:val="single" w:sz="4" w:space="0" w:color="auto"/>
                </w:tcBorders>
                <w:vAlign w:val="center"/>
              </w:tcPr>
              <w:p w14:paraId="6F0F025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DDA75E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0EA5A77" w14:textId="77777777" w:rsidR="00E57DAA" w:rsidRDefault="00E57DAA">
                <w:pPr>
                  <w:jc w:val="right"/>
                  <w:rPr>
                    <w:sz w:val="11"/>
                    <w:szCs w:val="11"/>
                  </w:rPr>
                </w:pPr>
              </w:p>
            </w:tc>
            <w:tc>
              <w:tcPr>
                <w:tcW w:w="567" w:type="dxa"/>
                <w:tcBorders>
                  <w:left w:val="single" w:sz="4" w:space="0" w:color="auto"/>
                </w:tcBorders>
                <w:vAlign w:val="center"/>
              </w:tcPr>
              <w:p w14:paraId="299D5382" w14:textId="77777777" w:rsidR="00E57DAA" w:rsidRDefault="00E57DAA">
                <w:pPr>
                  <w:jc w:val="right"/>
                  <w:rPr>
                    <w:sz w:val="11"/>
                    <w:szCs w:val="11"/>
                  </w:rPr>
                </w:pPr>
              </w:p>
            </w:tc>
            <w:tc>
              <w:tcPr>
                <w:tcW w:w="1134" w:type="dxa"/>
                <w:vAlign w:val="center"/>
              </w:tcPr>
              <w:p w14:paraId="1399789F" w14:textId="77777777" w:rsidR="00E57DAA" w:rsidRDefault="00E57DAA">
                <w:pPr>
                  <w:jc w:val="right"/>
                  <w:rPr>
                    <w:sz w:val="11"/>
                    <w:szCs w:val="11"/>
                  </w:rPr>
                </w:pPr>
              </w:p>
            </w:tc>
            <w:tc>
              <w:tcPr>
                <w:tcW w:w="1134" w:type="dxa"/>
                <w:vAlign w:val="center"/>
              </w:tcPr>
              <w:p w14:paraId="01B52FCD" w14:textId="77777777" w:rsidR="00E57DAA" w:rsidRDefault="00E57DAA">
                <w:pPr>
                  <w:jc w:val="right"/>
                  <w:rPr>
                    <w:sz w:val="11"/>
                    <w:szCs w:val="11"/>
                  </w:rPr>
                </w:pPr>
              </w:p>
            </w:tc>
            <w:tc>
              <w:tcPr>
                <w:tcW w:w="992" w:type="dxa"/>
                <w:vAlign w:val="center"/>
              </w:tcPr>
              <w:p w14:paraId="1EF77C41" w14:textId="77777777" w:rsidR="00E57DAA" w:rsidRDefault="00E57DAA">
                <w:pPr>
                  <w:jc w:val="right"/>
                  <w:rPr>
                    <w:sz w:val="11"/>
                    <w:szCs w:val="11"/>
                  </w:rPr>
                </w:pPr>
              </w:p>
            </w:tc>
            <w:tc>
              <w:tcPr>
                <w:tcW w:w="992" w:type="dxa"/>
                <w:vAlign w:val="center"/>
              </w:tcPr>
              <w:p w14:paraId="1766869C" w14:textId="77777777" w:rsidR="00E57DAA" w:rsidRDefault="00E57DAA">
                <w:pPr>
                  <w:jc w:val="right"/>
                  <w:rPr>
                    <w:sz w:val="11"/>
                    <w:szCs w:val="11"/>
                  </w:rPr>
                </w:pPr>
              </w:p>
            </w:tc>
            <w:tc>
              <w:tcPr>
                <w:tcW w:w="1134" w:type="dxa"/>
                <w:vAlign w:val="center"/>
              </w:tcPr>
              <w:p w14:paraId="5346D39B" w14:textId="77777777" w:rsidR="00E57DAA" w:rsidRDefault="00E57DAA">
                <w:pPr>
                  <w:jc w:val="right"/>
                  <w:rPr>
                    <w:sz w:val="11"/>
                    <w:szCs w:val="11"/>
                  </w:rPr>
                </w:pPr>
              </w:p>
            </w:tc>
            <w:tc>
              <w:tcPr>
                <w:tcW w:w="1559" w:type="dxa"/>
                <w:vAlign w:val="center"/>
              </w:tcPr>
              <w:p w14:paraId="5F30BF58" w14:textId="77777777" w:rsidR="00E57DAA" w:rsidRDefault="00E57DAA">
                <w:pPr>
                  <w:jc w:val="right"/>
                  <w:rPr>
                    <w:sz w:val="11"/>
                    <w:szCs w:val="11"/>
                  </w:rPr>
                </w:pPr>
              </w:p>
            </w:tc>
            <w:tc>
              <w:tcPr>
                <w:tcW w:w="1543" w:type="dxa"/>
                <w:vAlign w:val="center"/>
              </w:tcPr>
              <w:p w14:paraId="6C296B3B" w14:textId="77777777" w:rsidR="00E57DAA" w:rsidRDefault="00E57DAA">
                <w:pPr>
                  <w:jc w:val="right"/>
                  <w:rPr>
                    <w:sz w:val="11"/>
                    <w:szCs w:val="11"/>
                  </w:rPr>
                </w:pPr>
              </w:p>
            </w:tc>
          </w:tr>
          <w:tr w:rsidR="00E57DAA" w14:paraId="762325BB" w14:textId="77777777">
            <w:trPr>
              <w:trHeight w:val="20"/>
            </w:trPr>
            <w:tc>
              <w:tcPr>
                <w:tcW w:w="2450" w:type="dxa"/>
              </w:tcPr>
              <w:sdt>
                <w:sdtPr>
                  <w:rPr>
                    <w:sz w:val="11"/>
                    <w:szCs w:val="11"/>
                  </w:rPr>
                  <w:tag w:val="_PLD_921b15a12ec54658b00654a6a398aa0c"/>
                  <w:id w:val="508647923"/>
                </w:sdtPr>
                <w:sdtEndPr/>
                <w:sdtContent>
                  <w:p w14:paraId="055A1EC7" w14:textId="77777777" w:rsidR="00E57DAA" w:rsidRDefault="00AC4185">
                    <w:pPr>
                      <w:rPr>
                        <w:sz w:val="11"/>
                        <w:szCs w:val="11"/>
                      </w:rPr>
                    </w:pPr>
                    <w:r>
                      <w:rPr>
                        <w:sz w:val="11"/>
                        <w:szCs w:val="11"/>
                      </w:rPr>
                      <w:t>6．其他</w:t>
                    </w:r>
                  </w:p>
                </w:sdtContent>
              </w:sdt>
            </w:tc>
            <w:tc>
              <w:tcPr>
                <w:tcW w:w="1321" w:type="dxa"/>
                <w:tcBorders>
                  <w:right w:val="single" w:sz="4" w:space="0" w:color="auto"/>
                </w:tcBorders>
                <w:vAlign w:val="center"/>
              </w:tcPr>
              <w:p w14:paraId="6D5B5F4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5622BD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23887E3" w14:textId="77777777" w:rsidR="00E57DAA" w:rsidRDefault="00E57DAA">
                <w:pPr>
                  <w:jc w:val="right"/>
                  <w:rPr>
                    <w:sz w:val="11"/>
                    <w:szCs w:val="11"/>
                  </w:rPr>
                </w:pPr>
              </w:p>
            </w:tc>
            <w:tc>
              <w:tcPr>
                <w:tcW w:w="567" w:type="dxa"/>
                <w:tcBorders>
                  <w:left w:val="single" w:sz="4" w:space="0" w:color="auto"/>
                </w:tcBorders>
                <w:vAlign w:val="center"/>
              </w:tcPr>
              <w:p w14:paraId="4DC1CC75" w14:textId="77777777" w:rsidR="00E57DAA" w:rsidRDefault="00E57DAA">
                <w:pPr>
                  <w:jc w:val="right"/>
                  <w:rPr>
                    <w:sz w:val="11"/>
                    <w:szCs w:val="11"/>
                  </w:rPr>
                </w:pPr>
              </w:p>
            </w:tc>
            <w:tc>
              <w:tcPr>
                <w:tcW w:w="1134" w:type="dxa"/>
                <w:vAlign w:val="center"/>
              </w:tcPr>
              <w:p w14:paraId="1ECD78CE" w14:textId="77777777" w:rsidR="00E57DAA" w:rsidRDefault="00E57DAA">
                <w:pPr>
                  <w:jc w:val="right"/>
                  <w:rPr>
                    <w:sz w:val="11"/>
                    <w:szCs w:val="11"/>
                  </w:rPr>
                </w:pPr>
              </w:p>
            </w:tc>
            <w:tc>
              <w:tcPr>
                <w:tcW w:w="1134" w:type="dxa"/>
                <w:vAlign w:val="center"/>
              </w:tcPr>
              <w:p w14:paraId="4BA02837" w14:textId="77777777" w:rsidR="00E57DAA" w:rsidRDefault="00E57DAA">
                <w:pPr>
                  <w:jc w:val="right"/>
                  <w:rPr>
                    <w:sz w:val="11"/>
                    <w:szCs w:val="11"/>
                  </w:rPr>
                </w:pPr>
              </w:p>
            </w:tc>
            <w:tc>
              <w:tcPr>
                <w:tcW w:w="992" w:type="dxa"/>
                <w:vAlign w:val="center"/>
              </w:tcPr>
              <w:p w14:paraId="5A33945B" w14:textId="77777777" w:rsidR="00E57DAA" w:rsidRDefault="00E57DAA">
                <w:pPr>
                  <w:jc w:val="right"/>
                  <w:rPr>
                    <w:sz w:val="11"/>
                    <w:szCs w:val="11"/>
                  </w:rPr>
                </w:pPr>
              </w:p>
            </w:tc>
            <w:tc>
              <w:tcPr>
                <w:tcW w:w="992" w:type="dxa"/>
                <w:vAlign w:val="center"/>
              </w:tcPr>
              <w:p w14:paraId="07CF40C0" w14:textId="77777777" w:rsidR="00E57DAA" w:rsidRDefault="00E57DAA">
                <w:pPr>
                  <w:jc w:val="right"/>
                  <w:rPr>
                    <w:sz w:val="11"/>
                    <w:szCs w:val="11"/>
                  </w:rPr>
                </w:pPr>
              </w:p>
            </w:tc>
            <w:tc>
              <w:tcPr>
                <w:tcW w:w="1134" w:type="dxa"/>
                <w:vAlign w:val="center"/>
              </w:tcPr>
              <w:p w14:paraId="34F3C97C" w14:textId="77777777" w:rsidR="00E57DAA" w:rsidRDefault="00E57DAA">
                <w:pPr>
                  <w:jc w:val="right"/>
                  <w:rPr>
                    <w:sz w:val="11"/>
                    <w:szCs w:val="11"/>
                  </w:rPr>
                </w:pPr>
              </w:p>
            </w:tc>
            <w:tc>
              <w:tcPr>
                <w:tcW w:w="1559" w:type="dxa"/>
                <w:vAlign w:val="center"/>
              </w:tcPr>
              <w:p w14:paraId="07857BAF" w14:textId="77777777" w:rsidR="00E57DAA" w:rsidRDefault="00E57DAA">
                <w:pPr>
                  <w:jc w:val="right"/>
                  <w:rPr>
                    <w:sz w:val="11"/>
                    <w:szCs w:val="11"/>
                  </w:rPr>
                </w:pPr>
              </w:p>
            </w:tc>
            <w:tc>
              <w:tcPr>
                <w:tcW w:w="1543" w:type="dxa"/>
                <w:vAlign w:val="center"/>
              </w:tcPr>
              <w:p w14:paraId="26E68FB0" w14:textId="77777777" w:rsidR="00E57DAA" w:rsidRDefault="00E57DAA">
                <w:pPr>
                  <w:jc w:val="right"/>
                  <w:rPr>
                    <w:sz w:val="11"/>
                    <w:szCs w:val="11"/>
                  </w:rPr>
                </w:pPr>
              </w:p>
            </w:tc>
          </w:tr>
          <w:tr w:rsidR="00E57DAA" w14:paraId="01E62922" w14:textId="77777777">
            <w:trPr>
              <w:trHeight w:val="20"/>
            </w:trPr>
            <w:sdt>
              <w:sdtPr>
                <w:rPr>
                  <w:sz w:val="11"/>
                  <w:szCs w:val="11"/>
                </w:rPr>
                <w:tag w:val="_PLD_ea236cbce24c48eabfeb2f3f4a19c5a8"/>
                <w:id w:val="398785451"/>
              </w:sdtPr>
              <w:sdtEndPr/>
              <w:sdtContent>
                <w:tc>
                  <w:tcPr>
                    <w:tcW w:w="2450" w:type="dxa"/>
                    <w:vAlign w:val="center"/>
                  </w:tcPr>
                  <w:p w14:paraId="3D6B6C1F" w14:textId="77777777" w:rsidR="00E57DAA" w:rsidRDefault="00AC4185">
                    <w:pPr>
                      <w:rPr>
                        <w:sz w:val="11"/>
                        <w:szCs w:val="11"/>
                      </w:rPr>
                    </w:pPr>
                    <w:r>
                      <w:rPr>
                        <w:rFonts w:hint="eastAsia"/>
                        <w:sz w:val="11"/>
                        <w:szCs w:val="11"/>
                      </w:rPr>
                      <w:t>（五）专项储备</w:t>
                    </w:r>
                  </w:p>
                </w:tc>
              </w:sdtContent>
            </w:sdt>
            <w:tc>
              <w:tcPr>
                <w:tcW w:w="1321" w:type="dxa"/>
                <w:tcBorders>
                  <w:right w:val="single" w:sz="4" w:space="0" w:color="auto"/>
                </w:tcBorders>
                <w:vAlign w:val="center"/>
              </w:tcPr>
              <w:p w14:paraId="5D1FBE6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5D8206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F60D979" w14:textId="77777777" w:rsidR="00E57DAA" w:rsidRDefault="00E57DAA">
                <w:pPr>
                  <w:jc w:val="right"/>
                  <w:rPr>
                    <w:sz w:val="11"/>
                    <w:szCs w:val="11"/>
                  </w:rPr>
                </w:pPr>
              </w:p>
            </w:tc>
            <w:tc>
              <w:tcPr>
                <w:tcW w:w="567" w:type="dxa"/>
                <w:tcBorders>
                  <w:left w:val="single" w:sz="4" w:space="0" w:color="auto"/>
                </w:tcBorders>
                <w:vAlign w:val="center"/>
              </w:tcPr>
              <w:p w14:paraId="7183FC07" w14:textId="77777777" w:rsidR="00E57DAA" w:rsidRDefault="00E57DAA">
                <w:pPr>
                  <w:jc w:val="right"/>
                  <w:rPr>
                    <w:sz w:val="11"/>
                    <w:szCs w:val="11"/>
                  </w:rPr>
                </w:pPr>
              </w:p>
            </w:tc>
            <w:tc>
              <w:tcPr>
                <w:tcW w:w="1134" w:type="dxa"/>
                <w:vAlign w:val="center"/>
              </w:tcPr>
              <w:p w14:paraId="6F688928" w14:textId="77777777" w:rsidR="00E57DAA" w:rsidRDefault="00E57DAA">
                <w:pPr>
                  <w:jc w:val="right"/>
                  <w:rPr>
                    <w:sz w:val="11"/>
                    <w:szCs w:val="11"/>
                  </w:rPr>
                </w:pPr>
              </w:p>
            </w:tc>
            <w:tc>
              <w:tcPr>
                <w:tcW w:w="1134" w:type="dxa"/>
                <w:vAlign w:val="center"/>
              </w:tcPr>
              <w:p w14:paraId="1862C409" w14:textId="77777777" w:rsidR="00E57DAA" w:rsidRDefault="00E57DAA">
                <w:pPr>
                  <w:jc w:val="right"/>
                  <w:rPr>
                    <w:sz w:val="11"/>
                    <w:szCs w:val="11"/>
                  </w:rPr>
                </w:pPr>
              </w:p>
            </w:tc>
            <w:tc>
              <w:tcPr>
                <w:tcW w:w="992" w:type="dxa"/>
                <w:vAlign w:val="center"/>
              </w:tcPr>
              <w:p w14:paraId="20075487" w14:textId="77777777" w:rsidR="00E57DAA" w:rsidRDefault="00E57DAA">
                <w:pPr>
                  <w:jc w:val="right"/>
                  <w:rPr>
                    <w:sz w:val="11"/>
                    <w:szCs w:val="11"/>
                  </w:rPr>
                </w:pPr>
              </w:p>
            </w:tc>
            <w:tc>
              <w:tcPr>
                <w:tcW w:w="992" w:type="dxa"/>
                <w:vAlign w:val="center"/>
              </w:tcPr>
              <w:p w14:paraId="54428EEA" w14:textId="77777777" w:rsidR="00E57DAA" w:rsidRDefault="00AC4185">
                <w:pPr>
                  <w:jc w:val="right"/>
                  <w:rPr>
                    <w:sz w:val="11"/>
                    <w:szCs w:val="11"/>
                  </w:rPr>
                </w:pPr>
                <w:r>
                  <w:rPr>
                    <w:sz w:val="11"/>
                    <w:szCs w:val="11"/>
                  </w:rPr>
                  <w:t>257,691.39</w:t>
                </w:r>
              </w:p>
            </w:tc>
            <w:tc>
              <w:tcPr>
                <w:tcW w:w="1134" w:type="dxa"/>
                <w:vAlign w:val="center"/>
              </w:tcPr>
              <w:p w14:paraId="187198FA" w14:textId="77777777" w:rsidR="00E57DAA" w:rsidRDefault="00E57DAA">
                <w:pPr>
                  <w:jc w:val="right"/>
                  <w:rPr>
                    <w:sz w:val="11"/>
                    <w:szCs w:val="11"/>
                  </w:rPr>
                </w:pPr>
              </w:p>
            </w:tc>
            <w:tc>
              <w:tcPr>
                <w:tcW w:w="1559" w:type="dxa"/>
                <w:vAlign w:val="center"/>
              </w:tcPr>
              <w:p w14:paraId="59066CDC" w14:textId="77777777" w:rsidR="00E57DAA" w:rsidRDefault="00E57DAA">
                <w:pPr>
                  <w:jc w:val="right"/>
                  <w:rPr>
                    <w:sz w:val="11"/>
                    <w:szCs w:val="11"/>
                  </w:rPr>
                </w:pPr>
              </w:p>
            </w:tc>
            <w:tc>
              <w:tcPr>
                <w:tcW w:w="1543" w:type="dxa"/>
                <w:vAlign w:val="center"/>
              </w:tcPr>
              <w:p w14:paraId="668B1D0B" w14:textId="77777777" w:rsidR="00E57DAA" w:rsidRDefault="00AC4185">
                <w:pPr>
                  <w:jc w:val="right"/>
                  <w:rPr>
                    <w:sz w:val="11"/>
                    <w:szCs w:val="11"/>
                  </w:rPr>
                </w:pPr>
                <w:r>
                  <w:rPr>
                    <w:sz w:val="11"/>
                    <w:szCs w:val="11"/>
                  </w:rPr>
                  <w:t>257,691.39</w:t>
                </w:r>
              </w:p>
            </w:tc>
          </w:tr>
          <w:tr w:rsidR="00E57DAA" w14:paraId="54EAAAE8" w14:textId="77777777">
            <w:trPr>
              <w:trHeight w:val="20"/>
            </w:trPr>
            <w:sdt>
              <w:sdtPr>
                <w:rPr>
                  <w:sz w:val="11"/>
                  <w:szCs w:val="11"/>
                </w:rPr>
                <w:tag w:val="_PLD_f798cf6aa8f24816a06eab77e71e6a42"/>
                <w:id w:val="909888551"/>
              </w:sdtPr>
              <w:sdtEndPr/>
              <w:sdtContent>
                <w:tc>
                  <w:tcPr>
                    <w:tcW w:w="2450" w:type="dxa"/>
                    <w:vAlign w:val="center"/>
                  </w:tcPr>
                  <w:p w14:paraId="75C4B3AC" w14:textId="77777777" w:rsidR="00E57DAA" w:rsidRDefault="00AC4185">
                    <w:pPr>
                      <w:rPr>
                        <w:sz w:val="11"/>
                        <w:szCs w:val="11"/>
                      </w:rPr>
                    </w:pPr>
                    <w:r>
                      <w:rPr>
                        <w:rFonts w:hint="eastAsia"/>
                        <w:sz w:val="11"/>
                        <w:szCs w:val="11"/>
                      </w:rPr>
                      <w:t>1．本期提取</w:t>
                    </w:r>
                  </w:p>
                </w:tc>
              </w:sdtContent>
            </w:sdt>
            <w:tc>
              <w:tcPr>
                <w:tcW w:w="1321" w:type="dxa"/>
                <w:tcBorders>
                  <w:right w:val="single" w:sz="4" w:space="0" w:color="auto"/>
                </w:tcBorders>
                <w:vAlign w:val="center"/>
              </w:tcPr>
              <w:p w14:paraId="162DC1C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46FB63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CAF8F9C" w14:textId="77777777" w:rsidR="00E57DAA" w:rsidRDefault="00E57DAA">
                <w:pPr>
                  <w:jc w:val="right"/>
                  <w:rPr>
                    <w:sz w:val="11"/>
                    <w:szCs w:val="11"/>
                  </w:rPr>
                </w:pPr>
              </w:p>
            </w:tc>
            <w:tc>
              <w:tcPr>
                <w:tcW w:w="567" w:type="dxa"/>
                <w:tcBorders>
                  <w:left w:val="single" w:sz="4" w:space="0" w:color="auto"/>
                </w:tcBorders>
                <w:vAlign w:val="center"/>
              </w:tcPr>
              <w:p w14:paraId="76255645" w14:textId="77777777" w:rsidR="00E57DAA" w:rsidRDefault="00E57DAA">
                <w:pPr>
                  <w:jc w:val="right"/>
                  <w:rPr>
                    <w:sz w:val="11"/>
                    <w:szCs w:val="11"/>
                  </w:rPr>
                </w:pPr>
              </w:p>
            </w:tc>
            <w:tc>
              <w:tcPr>
                <w:tcW w:w="1134" w:type="dxa"/>
                <w:vAlign w:val="center"/>
              </w:tcPr>
              <w:p w14:paraId="116B85FD" w14:textId="77777777" w:rsidR="00E57DAA" w:rsidRDefault="00E57DAA">
                <w:pPr>
                  <w:jc w:val="right"/>
                  <w:rPr>
                    <w:sz w:val="11"/>
                    <w:szCs w:val="11"/>
                  </w:rPr>
                </w:pPr>
              </w:p>
            </w:tc>
            <w:tc>
              <w:tcPr>
                <w:tcW w:w="1134" w:type="dxa"/>
                <w:vAlign w:val="center"/>
              </w:tcPr>
              <w:p w14:paraId="64FFE432" w14:textId="77777777" w:rsidR="00E57DAA" w:rsidRDefault="00E57DAA">
                <w:pPr>
                  <w:jc w:val="right"/>
                  <w:rPr>
                    <w:sz w:val="11"/>
                    <w:szCs w:val="11"/>
                  </w:rPr>
                </w:pPr>
              </w:p>
            </w:tc>
            <w:tc>
              <w:tcPr>
                <w:tcW w:w="992" w:type="dxa"/>
                <w:vAlign w:val="center"/>
              </w:tcPr>
              <w:p w14:paraId="47E22F3A" w14:textId="77777777" w:rsidR="00E57DAA" w:rsidRDefault="00E57DAA">
                <w:pPr>
                  <w:jc w:val="right"/>
                  <w:rPr>
                    <w:sz w:val="11"/>
                    <w:szCs w:val="11"/>
                  </w:rPr>
                </w:pPr>
              </w:p>
            </w:tc>
            <w:tc>
              <w:tcPr>
                <w:tcW w:w="992" w:type="dxa"/>
                <w:vAlign w:val="center"/>
              </w:tcPr>
              <w:p w14:paraId="4B3A8E79" w14:textId="77777777" w:rsidR="00E57DAA" w:rsidRDefault="00AC4185">
                <w:pPr>
                  <w:jc w:val="right"/>
                  <w:rPr>
                    <w:sz w:val="11"/>
                    <w:szCs w:val="11"/>
                  </w:rPr>
                </w:pPr>
                <w:r>
                  <w:rPr>
                    <w:sz w:val="11"/>
                    <w:szCs w:val="11"/>
                  </w:rPr>
                  <w:t>11,018,145.40</w:t>
                </w:r>
              </w:p>
            </w:tc>
            <w:tc>
              <w:tcPr>
                <w:tcW w:w="1134" w:type="dxa"/>
                <w:vAlign w:val="center"/>
              </w:tcPr>
              <w:p w14:paraId="20789FF6" w14:textId="77777777" w:rsidR="00E57DAA" w:rsidRDefault="00E57DAA">
                <w:pPr>
                  <w:jc w:val="right"/>
                  <w:rPr>
                    <w:sz w:val="11"/>
                    <w:szCs w:val="11"/>
                  </w:rPr>
                </w:pPr>
              </w:p>
            </w:tc>
            <w:tc>
              <w:tcPr>
                <w:tcW w:w="1559" w:type="dxa"/>
                <w:vAlign w:val="center"/>
              </w:tcPr>
              <w:p w14:paraId="4E9D5857" w14:textId="77777777" w:rsidR="00E57DAA" w:rsidRDefault="00E57DAA">
                <w:pPr>
                  <w:jc w:val="right"/>
                  <w:rPr>
                    <w:sz w:val="11"/>
                    <w:szCs w:val="11"/>
                  </w:rPr>
                </w:pPr>
              </w:p>
            </w:tc>
            <w:tc>
              <w:tcPr>
                <w:tcW w:w="1543" w:type="dxa"/>
                <w:vAlign w:val="center"/>
              </w:tcPr>
              <w:p w14:paraId="0552CF63" w14:textId="77777777" w:rsidR="00E57DAA" w:rsidRDefault="00AC4185">
                <w:pPr>
                  <w:jc w:val="right"/>
                  <w:rPr>
                    <w:sz w:val="11"/>
                    <w:szCs w:val="11"/>
                  </w:rPr>
                </w:pPr>
                <w:r>
                  <w:rPr>
                    <w:sz w:val="11"/>
                    <w:szCs w:val="11"/>
                  </w:rPr>
                  <w:t>11,018,145.40</w:t>
                </w:r>
              </w:p>
            </w:tc>
          </w:tr>
          <w:tr w:rsidR="00E57DAA" w14:paraId="47F8BFC3" w14:textId="77777777">
            <w:trPr>
              <w:trHeight w:val="20"/>
            </w:trPr>
            <w:sdt>
              <w:sdtPr>
                <w:rPr>
                  <w:sz w:val="11"/>
                  <w:szCs w:val="11"/>
                </w:rPr>
                <w:tag w:val="_PLD_294f6f5256724757ad52c27b29a0bb7d"/>
                <w:id w:val="1624032129"/>
              </w:sdtPr>
              <w:sdtEndPr/>
              <w:sdtContent>
                <w:tc>
                  <w:tcPr>
                    <w:tcW w:w="2450" w:type="dxa"/>
                    <w:vAlign w:val="center"/>
                  </w:tcPr>
                  <w:p w14:paraId="49AB6AFC" w14:textId="77777777" w:rsidR="00E57DAA" w:rsidRDefault="00AC4185">
                    <w:pPr>
                      <w:rPr>
                        <w:sz w:val="11"/>
                        <w:szCs w:val="11"/>
                      </w:rPr>
                    </w:pPr>
                    <w:r>
                      <w:rPr>
                        <w:rFonts w:hint="eastAsia"/>
                        <w:sz w:val="11"/>
                        <w:szCs w:val="11"/>
                      </w:rPr>
                      <w:t>2．本期使用</w:t>
                    </w:r>
                  </w:p>
                </w:tc>
              </w:sdtContent>
            </w:sdt>
            <w:tc>
              <w:tcPr>
                <w:tcW w:w="1321" w:type="dxa"/>
                <w:tcBorders>
                  <w:right w:val="single" w:sz="4" w:space="0" w:color="auto"/>
                </w:tcBorders>
                <w:vAlign w:val="center"/>
              </w:tcPr>
              <w:p w14:paraId="5034242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B5CE25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564C19C" w14:textId="77777777" w:rsidR="00E57DAA" w:rsidRDefault="00E57DAA">
                <w:pPr>
                  <w:jc w:val="right"/>
                  <w:rPr>
                    <w:sz w:val="11"/>
                    <w:szCs w:val="11"/>
                  </w:rPr>
                </w:pPr>
              </w:p>
            </w:tc>
            <w:tc>
              <w:tcPr>
                <w:tcW w:w="567" w:type="dxa"/>
                <w:tcBorders>
                  <w:left w:val="single" w:sz="4" w:space="0" w:color="auto"/>
                </w:tcBorders>
                <w:vAlign w:val="center"/>
              </w:tcPr>
              <w:p w14:paraId="75643D95" w14:textId="77777777" w:rsidR="00E57DAA" w:rsidRDefault="00E57DAA">
                <w:pPr>
                  <w:jc w:val="right"/>
                  <w:rPr>
                    <w:sz w:val="11"/>
                    <w:szCs w:val="11"/>
                  </w:rPr>
                </w:pPr>
              </w:p>
            </w:tc>
            <w:tc>
              <w:tcPr>
                <w:tcW w:w="1134" w:type="dxa"/>
                <w:vAlign w:val="center"/>
              </w:tcPr>
              <w:p w14:paraId="219B7B03" w14:textId="77777777" w:rsidR="00E57DAA" w:rsidRDefault="00E57DAA">
                <w:pPr>
                  <w:jc w:val="right"/>
                  <w:rPr>
                    <w:sz w:val="11"/>
                    <w:szCs w:val="11"/>
                  </w:rPr>
                </w:pPr>
              </w:p>
            </w:tc>
            <w:tc>
              <w:tcPr>
                <w:tcW w:w="1134" w:type="dxa"/>
                <w:vAlign w:val="center"/>
              </w:tcPr>
              <w:p w14:paraId="64CADB8F" w14:textId="77777777" w:rsidR="00E57DAA" w:rsidRDefault="00E57DAA">
                <w:pPr>
                  <w:jc w:val="right"/>
                  <w:rPr>
                    <w:sz w:val="11"/>
                    <w:szCs w:val="11"/>
                  </w:rPr>
                </w:pPr>
              </w:p>
            </w:tc>
            <w:tc>
              <w:tcPr>
                <w:tcW w:w="992" w:type="dxa"/>
                <w:vAlign w:val="center"/>
              </w:tcPr>
              <w:p w14:paraId="5555E300" w14:textId="77777777" w:rsidR="00E57DAA" w:rsidRDefault="00E57DAA">
                <w:pPr>
                  <w:jc w:val="right"/>
                  <w:rPr>
                    <w:sz w:val="11"/>
                    <w:szCs w:val="11"/>
                  </w:rPr>
                </w:pPr>
              </w:p>
            </w:tc>
            <w:tc>
              <w:tcPr>
                <w:tcW w:w="992" w:type="dxa"/>
                <w:vAlign w:val="center"/>
              </w:tcPr>
              <w:p w14:paraId="5AF25FF9" w14:textId="77777777" w:rsidR="00E57DAA" w:rsidRDefault="00AC4185">
                <w:pPr>
                  <w:jc w:val="right"/>
                  <w:rPr>
                    <w:sz w:val="11"/>
                    <w:szCs w:val="11"/>
                  </w:rPr>
                </w:pPr>
                <w:r>
                  <w:rPr>
                    <w:sz w:val="11"/>
                    <w:szCs w:val="11"/>
                  </w:rPr>
                  <w:t>10,760,454.01</w:t>
                </w:r>
              </w:p>
            </w:tc>
            <w:tc>
              <w:tcPr>
                <w:tcW w:w="1134" w:type="dxa"/>
                <w:vAlign w:val="center"/>
              </w:tcPr>
              <w:p w14:paraId="1F58BFA8" w14:textId="77777777" w:rsidR="00E57DAA" w:rsidRDefault="00E57DAA">
                <w:pPr>
                  <w:jc w:val="right"/>
                  <w:rPr>
                    <w:sz w:val="11"/>
                    <w:szCs w:val="11"/>
                  </w:rPr>
                </w:pPr>
              </w:p>
            </w:tc>
            <w:tc>
              <w:tcPr>
                <w:tcW w:w="1559" w:type="dxa"/>
                <w:vAlign w:val="center"/>
              </w:tcPr>
              <w:p w14:paraId="2ABD4E99" w14:textId="77777777" w:rsidR="00E57DAA" w:rsidRDefault="00E57DAA">
                <w:pPr>
                  <w:jc w:val="right"/>
                  <w:rPr>
                    <w:sz w:val="11"/>
                    <w:szCs w:val="11"/>
                  </w:rPr>
                </w:pPr>
              </w:p>
            </w:tc>
            <w:tc>
              <w:tcPr>
                <w:tcW w:w="1543" w:type="dxa"/>
                <w:vAlign w:val="center"/>
              </w:tcPr>
              <w:p w14:paraId="3B7D10C2" w14:textId="77777777" w:rsidR="00E57DAA" w:rsidRDefault="00AC4185">
                <w:pPr>
                  <w:jc w:val="right"/>
                  <w:rPr>
                    <w:sz w:val="11"/>
                    <w:szCs w:val="11"/>
                  </w:rPr>
                </w:pPr>
                <w:r>
                  <w:rPr>
                    <w:sz w:val="11"/>
                    <w:szCs w:val="11"/>
                  </w:rPr>
                  <w:t>10,760,454.01</w:t>
                </w:r>
              </w:p>
            </w:tc>
          </w:tr>
          <w:tr w:rsidR="00E57DAA" w14:paraId="01A8DBD1" w14:textId="77777777">
            <w:trPr>
              <w:trHeight w:val="20"/>
            </w:trPr>
            <w:sdt>
              <w:sdtPr>
                <w:rPr>
                  <w:sz w:val="11"/>
                  <w:szCs w:val="11"/>
                </w:rPr>
                <w:tag w:val="_PLD_6633049a29464fd58ed8f9bdc82f6c7b"/>
                <w:id w:val="-1956934826"/>
              </w:sdtPr>
              <w:sdtEndPr/>
              <w:sdtContent>
                <w:tc>
                  <w:tcPr>
                    <w:tcW w:w="2450" w:type="dxa"/>
                  </w:tcPr>
                  <w:p w14:paraId="2CE17B26" w14:textId="77777777" w:rsidR="00E57DAA" w:rsidRDefault="00AC4185">
                    <w:pPr>
                      <w:rPr>
                        <w:sz w:val="11"/>
                        <w:szCs w:val="11"/>
                      </w:rPr>
                    </w:pPr>
                    <w:r>
                      <w:rPr>
                        <w:rFonts w:hint="eastAsia"/>
                        <w:sz w:val="11"/>
                        <w:szCs w:val="11"/>
                      </w:rPr>
                      <w:t>（六）其他</w:t>
                    </w:r>
                  </w:p>
                </w:tc>
              </w:sdtContent>
            </w:sdt>
            <w:tc>
              <w:tcPr>
                <w:tcW w:w="1321" w:type="dxa"/>
                <w:tcBorders>
                  <w:right w:val="single" w:sz="4" w:space="0" w:color="auto"/>
                </w:tcBorders>
                <w:vAlign w:val="center"/>
              </w:tcPr>
              <w:p w14:paraId="613E3C7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BA19A8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1B156CC" w14:textId="77777777" w:rsidR="00E57DAA" w:rsidRDefault="00E57DAA">
                <w:pPr>
                  <w:jc w:val="right"/>
                  <w:rPr>
                    <w:sz w:val="11"/>
                    <w:szCs w:val="11"/>
                  </w:rPr>
                </w:pPr>
              </w:p>
            </w:tc>
            <w:tc>
              <w:tcPr>
                <w:tcW w:w="567" w:type="dxa"/>
                <w:tcBorders>
                  <w:left w:val="single" w:sz="4" w:space="0" w:color="auto"/>
                </w:tcBorders>
                <w:vAlign w:val="center"/>
              </w:tcPr>
              <w:p w14:paraId="3B5BCDB1" w14:textId="77777777" w:rsidR="00E57DAA" w:rsidRDefault="00E57DAA">
                <w:pPr>
                  <w:jc w:val="right"/>
                  <w:rPr>
                    <w:sz w:val="11"/>
                    <w:szCs w:val="11"/>
                  </w:rPr>
                </w:pPr>
              </w:p>
            </w:tc>
            <w:tc>
              <w:tcPr>
                <w:tcW w:w="1134" w:type="dxa"/>
                <w:vAlign w:val="center"/>
              </w:tcPr>
              <w:p w14:paraId="4BEEC343" w14:textId="77777777" w:rsidR="00E57DAA" w:rsidRDefault="00E57DAA">
                <w:pPr>
                  <w:jc w:val="right"/>
                  <w:rPr>
                    <w:sz w:val="11"/>
                    <w:szCs w:val="11"/>
                  </w:rPr>
                </w:pPr>
              </w:p>
            </w:tc>
            <w:tc>
              <w:tcPr>
                <w:tcW w:w="1134" w:type="dxa"/>
                <w:vAlign w:val="center"/>
              </w:tcPr>
              <w:p w14:paraId="21C5B184" w14:textId="77777777" w:rsidR="00E57DAA" w:rsidRDefault="00E57DAA">
                <w:pPr>
                  <w:jc w:val="right"/>
                  <w:rPr>
                    <w:sz w:val="11"/>
                    <w:szCs w:val="11"/>
                  </w:rPr>
                </w:pPr>
              </w:p>
            </w:tc>
            <w:tc>
              <w:tcPr>
                <w:tcW w:w="992" w:type="dxa"/>
                <w:vAlign w:val="center"/>
              </w:tcPr>
              <w:p w14:paraId="3837D611" w14:textId="77777777" w:rsidR="00E57DAA" w:rsidRDefault="00E57DAA">
                <w:pPr>
                  <w:jc w:val="right"/>
                  <w:rPr>
                    <w:sz w:val="11"/>
                    <w:szCs w:val="11"/>
                  </w:rPr>
                </w:pPr>
              </w:p>
            </w:tc>
            <w:tc>
              <w:tcPr>
                <w:tcW w:w="992" w:type="dxa"/>
                <w:vAlign w:val="center"/>
              </w:tcPr>
              <w:p w14:paraId="511C1E18" w14:textId="77777777" w:rsidR="00E57DAA" w:rsidRDefault="00E57DAA">
                <w:pPr>
                  <w:jc w:val="right"/>
                  <w:rPr>
                    <w:sz w:val="11"/>
                    <w:szCs w:val="11"/>
                  </w:rPr>
                </w:pPr>
              </w:p>
            </w:tc>
            <w:tc>
              <w:tcPr>
                <w:tcW w:w="1134" w:type="dxa"/>
                <w:vAlign w:val="center"/>
              </w:tcPr>
              <w:p w14:paraId="3EBB6958" w14:textId="77777777" w:rsidR="00E57DAA" w:rsidRDefault="00E57DAA">
                <w:pPr>
                  <w:jc w:val="right"/>
                  <w:rPr>
                    <w:sz w:val="11"/>
                    <w:szCs w:val="11"/>
                  </w:rPr>
                </w:pPr>
              </w:p>
            </w:tc>
            <w:tc>
              <w:tcPr>
                <w:tcW w:w="1559" w:type="dxa"/>
                <w:vAlign w:val="center"/>
              </w:tcPr>
              <w:p w14:paraId="36C51AA7" w14:textId="77777777" w:rsidR="00E57DAA" w:rsidRDefault="00E57DAA">
                <w:pPr>
                  <w:jc w:val="right"/>
                  <w:rPr>
                    <w:sz w:val="11"/>
                    <w:szCs w:val="11"/>
                  </w:rPr>
                </w:pPr>
              </w:p>
            </w:tc>
            <w:tc>
              <w:tcPr>
                <w:tcW w:w="1543" w:type="dxa"/>
                <w:vAlign w:val="center"/>
              </w:tcPr>
              <w:p w14:paraId="429C4FA9" w14:textId="77777777" w:rsidR="00E57DAA" w:rsidRDefault="00E57DAA">
                <w:pPr>
                  <w:jc w:val="right"/>
                  <w:rPr>
                    <w:sz w:val="11"/>
                    <w:szCs w:val="11"/>
                  </w:rPr>
                </w:pPr>
              </w:p>
            </w:tc>
          </w:tr>
          <w:tr w:rsidR="00E57DAA" w14:paraId="1070B392" w14:textId="77777777">
            <w:trPr>
              <w:trHeight w:val="20"/>
            </w:trPr>
            <w:sdt>
              <w:sdtPr>
                <w:rPr>
                  <w:sz w:val="11"/>
                  <w:szCs w:val="11"/>
                </w:rPr>
                <w:tag w:val="_PLD_0d209cea233c428da026233fffdd75cf"/>
                <w:id w:val="-1078211420"/>
              </w:sdtPr>
              <w:sdtEndPr/>
              <w:sdtContent>
                <w:tc>
                  <w:tcPr>
                    <w:tcW w:w="2450" w:type="dxa"/>
                  </w:tcPr>
                  <w:p w14:paraId="46059719" w14:textId="77777777" w:rsidR="00E57DAA" w:rsidRDefault="00AC4185">
                    <w:pPr>
                      <w:rPr>
                        <w:sz w:val="11"/>
                        <w:szCs w:val="11"/>
                      </w:rPr>
                    </w:pPr>
                    <w:r>
                      <w:rPr>
                        <w:sz w:val="11"/>
                        <w:szCs w:val="11"/>
                      </w:rPr>
                      <w:t>四、本期期末余额</w:t>
                    </w:r>
                  </w:p>
                </w:tc>
              </w:sdtContent>
            </w:sdt>
            <w:tc>
              <w:tcPr>
                <w:tcW w:w="1321" w:type="dxa"/>
                <w:tcBorders>
                  <w:right w:val="single" w:sz="4" w:space="0" w:color="auto"/>
                </w:tcBorders>
                <w:vAlign w:val="center"/>
              </w:tcPr>
              <w:p w14:paraId="5F82806F" w14:textId="77777777" w:rsidR="00E57DAA" w:rsidRDefault="00AC4185">
                <w:pPr>
                  <w:jc w:val="right"/>
                  <w:rPr>
                    <w:sz w:val="11"/>
                    <w:szCs w:val="11"/>
                  </w:rPr>
                </w:pPr>
                <w:r>
                  <w:rPr>
                    <w:sz w:val="11"/>
                    <w:szCs w:val="11"/>
                  </w:rPr>
                  <w:t>2,642,317,423.00</w:t>
                </w:r>
              </w:p>
            </w:tc>
            <w:tc>
              <w:tcPr>
                <w:tcW w:w="567" w:type="dxa"/>
                <w:tcBorders>
                  <w:left w:val="single" w:sz="4" w:space="0" w:color="auto"/>
                  <w:right w:val="single" w:sz="4" w:space="0" w:color="auto"/>
                </w:tcBorders>
                <w:vAlign w:val="center"/>
              </w:tcPr>
              <w:p w14:paraId="2C860C4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D91AD20" w14:textId="77777777" w:rsidR="00E57DAA" w:rsidRDefault="00E57DAA">
                <w:pPr>
                  <w:jc w:val="right"/>
                  <w:rPr>
                    <w:sz w:val="11"/>
                    <w:szCs w:val="11"/>
                  </w:rPr>
                </w:pPr>
              </w:p>
            </w:tc>
            <w:tc>
              <w:tcPr>
                <w:tcW w:w="567" w:type="dxa"/>
                <w:tcBorders>
                  <w:left w:val="single" w:sz="4" w:space="0" w:color="auto"/>
                </w:tcBorders>
                <w:vAlign w:val="center"/>
              </w:tcPr>
              <w:p w14:paraId="48AB7A58" w14:textId="77777777" w:rsidR="00E57DAA" w:rsidRDefault="00E57DAA">
                <w:pPr>
                  <w:jc w:val="right"/>
                  <w:rPr>
                    <w:sz w:val="11"/>
                    <w:szCs w:val="11"/>
                  </w:rPr>
                </w:pPr>
              </w:p>
            </w:tc>
            <w:tc>
              <w:tcPr>
                <w:tcW w:w="1134" w:type="dxa"/>
                <w:vAlign w:val="center"/>
              </w:tcPr>
              <w:p w14:paraId="75815403" w14:textId="77777777" w:rsidR="00E57DAA" w:rsidRDefault="00AC4185">
                <w:pPr>
                  <w:jc w:val="right"/>
                  <w:rPr>
                    <w:sz w:val="11"/>
                    <w:szCs w:val="11"/>
                  </w:rPr>
                </w:pPr>
                <w:r>
                  <w:rPr>
                    <w:sz w:val="11"/>
                    <w:szCs w:val="11"/>
                  </w:rPr>
                  <w:t>5,657,145,134.77</w:t>
                </w:r>
              </w:p>
            </w:tc>
            <w:tc>
              <w:tcPr>
                <w:tcW w:w="1134" w:type="dxa"/>
                <w:vAlign w:val="center"/>
              </w:tcPr>
              <w:p w14:paraId="7D80F351" w14:textId="77777777" w:rsidR="00E57DAA" w:rsidRDefault="00AC4185">
                <w:pPr>
                  <w:jc w:val="right"/>
                  <w:rPr>
                    <w:sz w:val="11"/>
                    <w:szCs w:val="11"/>
                  </w:rPr>
                </w:pPr>
                <w:r>
                  <w:rPr>
                    <w:sz w:val="11"/>
                    <w:szCs w:val="11"/>
                  </w:rPr>
                  <w:t>306,578,642.37</w:t>
                </w:r>
              </w:p>
            </w:tc>
            <w:tc>
              <w:tcPr>
                <w:tcW w:w="992" w:type="dxa"/>
                <w:vAlign w:val="center"/>
              </w:tcPr>
              <w:p w14:paraId="570370EC" w14:textId="77777777" w:rsidR="00E57DAA" w:rsidRDefault="00AC4185">
                <w:pPr>
                  <w:jc w:val="right"/>
                  <w:rPr>
                    <w:sz w:val="11"/>
                    <w:szCs w:val="11"/>
                  </w:rPr>
                </w:pPr>
                <w:r>
                  <w:rPr>
                    <w:sz w:val="11"/>
                    <w:szCs w:val="11"/>
                  </w:rPr>
                  <w:t>755,335.15</w:t>
                </w:r>
              </w:p>
            </w:tc>
            <w:tc>
              <w:tcPr>
                <w:tcW w:w="992" w:type="dxa"/>
                <w:vAlign w:val="center"/>
              </w:tcPr>
              <w:p w14:paraId="3A0FE95F" w14:textId="77777777" w:rsidR="00E57DAA" w:rsidRDefault="00AC4185">
                <w:pPr>
                  <w:jc w:val="right"/>
                  <w:rPr>
                    <w:sz w:val="11"/>
                    <w:szCs w:val="11"/>
                  </w:rPr>
                </w:pPr>
                <w:r>
                  <w:rPr>
                    <w:sz w:val="11"/>
                    <w:szCs w:val="11"/>
                  </w:rPr>
                  <w:t>3,925,757.87</w:t>
                </w:r>
              </w:p>
            </w:tc>
            <w:tc>
              <w:tcPr>
                <w:tcW w:w="1134" w:type="dxa"/>
                <w:vAlign w:val="center"/>
              </w:tcPr>
              <w:p w14:paraId="0F78C0F9" w14:textId="77777777" w:rsidR="00E57DAA" w:rsidRDefault="00AC4185">
                <w:pPr>
                  <w:jc w:val="right"/>
                  <w:rPr>
                    <w:sz w:val="11"/>
                    <w:szCs w:val="11"/>
                  </w:rPr>
                </w:pPr>
                <w:r>
                  <w:rPr>
                    <w:sz w:val="11"/>
                    <w:szCs w:val="11"/>
                  </w:rPr>
                  <w:t>787,720,335.60</w:t>
                </w:r>
              </w:p>
            </w:tc>
            <w:tc>
              <w:tcPr>
                <w:tcW w:w="1559" w:type="dxa"/>
                <w:vAlign w:val="center"/>
              </w:tcPr>
              <w:p w14:paraId="268FD3AB" w14:textId="77777777" w:rsidR="00E57DAA" w:rsidRDefault="00AC4185">
                <w:pPr>
                  <w:jc w:val="right"/>
                  <w:rPr>
                    <w:sz w:val="11"/>
                    <w:szCs w:val="11"/>
                  </w:rPr>
                </w:pPr>
                <w:r>
                  <w:rPr>
                    <w:sz w:val="11"/>
                    <w:szCs w:val="11"/>
                  </w:rPr>
                  <w:t>1,071,495,576.52</w:t>
                </w:r>
              </w:p>
            </w:tc>
            <w:tc>
              <w:tcPr>
                <w:tcW w:w="1543" w:type="dxa"/>
                <w:vAlign w:val="center"/>
              </w:tcPr>
              <w:p w14:paraId="76B81E56" w14:textId="77777777" w:rsidR="00E57DAA" w:rsidRDefault="00AC4185">
                <w:pPr>
                  <w:jc w:val="right"/>
                  <w:rPr>
                    <w:sz w:val="11"/>
                    <w:szCs w:val="11"/>
                  </w:rPr>
                </w:pPr>
                <w:r>
                  <w:rPr>
                    <w:sz w:val="11"/>
                    <w:szCs w:val="11"/>
                  </w:rPr>
                  <w:t>9,856,780,920.54</w:t>
                </w:r>
              </w:p>
            </w:tc>
          </w:tr>
        </w:tbl>
        <w:p w14:paraId="4EA591EC" w14:textId="77777777" w:rsidR="00E57DAA" w:rsidRDefault="00E57DAA">
          <w:pPr>
            <w:rPr>
              <w:sz w:val="11"/>
              <w:szCs w:val="11"/>
            </w:rPr>
          </w:pPr>
        </w:p>
        <w:p w14:paraId="40DBF92E" w14:textId="77777777" w:rsidR="00E57DAA" w:rsidRDefault="00E57DAA">
          <w:pPr>
            <w:rPr>
              <w:sz w:val="11"/>
              <w:szCs w:val="11"/>
            </w:rPr>
          </w:pPr>
        </w:p>
        <w:tbl>
          <w:tblPr>
            <w:tblStyle w:val="g8"/>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318"/>
            <w:gridCol w:w="567"/>
            <w:gridCol w:w="567"/>
            <w:gridCol w:w="567"/>
            <w:gridCol w:w="1134"/>
            <w:gridCol w:w="992"/>
            <w:gridCol w:w="992"/>
            <w:gridCol w:w="992"/>
            <w:gridCol w:w="1418"/>
            <w:gridCol w:w="1417"/>
            <w:gridCol w:w="1546"/>
          </w:tblGrid>
          <w:tr w:rsidR="00E57DAA" w14:paraId="392EB23C" w14:textId="77777777">
            <w:trPr>
              <w:trHeight w:val="20"/>
            </w:trPr>
            <w:tc>
              <w:tcPr>
                <w:tcW w:w="2394" w:type="dxa"/>
                <w:vMerge w:val="restart"/>
                <w:vAlign w:val="center"/>
              </w:tcPr>
              <w:sdt>
                <w:sdtPr>
                  <w:rPr>
                    <w:rFonts w:hint="eastAsia"/>
                    <w:sz w:val="11"/>
                    <w:szCs w:val="11"/>
                  </w:rPr>
                  <w:tag w:val="_PLD_64a794ab75214f6d9d66748804bee4e8"/>
                  <w:id w:val="339126822"/>
                </w:sdtPr>
                <w:sdtEndPr/>
                <w:sdtContent>
                  <w:p w14:paraId="51F32982" w14:textId="77777777" w:rsidR="00E57DAA" w:rsidRDefault="00AC4185">
                    <w:pPr>
                      <w:adjustRightInd w:val="0"/>
                      <w:snapToGrid w:val="0"/>
                      <w:jc w:val="center"/>
                      <w:rPr>
                        <w:sz w:val="11"/>
                        <w:szCs w:val="11"/>
                      </w:rPr>
                    </w:pPr>
                    <w:r>
                      <w:rPr>
                        <w:rFonts w:hint="eastAsia"/>
                        <w:sz w:val="11"/>
                        <w:szCs w:val="11"/>
                      </w:rPr>
                      <w:t>项目</w:t>
                    </w:r>
                  </w:p>
                </w:sdtContent>
              </w:sdt>
            </w:tc>
            <w:tc>
              <w:tcPr>
                <w:tcW w:w="11510" w:type="dxa"/>
                <w:gridSpan w:val="11"/>
              </w:tcPr>
              <w:p w14:paraId="788C4B39" w14:textId="77777777" w:rsidR="00E57DAA" w:rsidRDefault="00AC4185">
                <w:pPr>
                  <w:adjustRightInd w:val="0"/>
                  <w:snapToGrid w:val="0"/>
                  <w:jc w:val="center"/>
                  <w:rPr>
                    <w:sz w:val="11"/>
                    <w:szCs w:val="11"/>
                  </w:rPr>
                </w:pPr>
                <w:r>
                  <w:rPr>
                    <w:rFonts w:hint="eastAsia"/>
                    <w:sz w:val="11"/>
                    <w:szCs w:val="11"/>
                  </w:rPr>
                  <w:t xml:space="preserve"> </w:t>
                </w:r>
                <w:sdt>
                  <w:sdtPr>
                    <w:rPr>
                      <w:rFonts w:hint="eastAsia"/>
                      <w:sz w:val="11"/>
                      <w:szCs w:val="11"/>
                    </w:rPr>
                    <w:tag w:val="_PLD_6226137cffd442dfb505b8cfe7d1f423"/>
                    <w:id w:val="-916476245"/>
                  </w:sdtPr>
                  <w:sdtEndPr/>
                  <w:sdtContent>
                    <w:r>
                      <w:rPr>
                        <w:rFonts w:hint="eastAsia"/>
                        <w:sz w:val="11"/>
                        <w:szCs w:val="11"/>
                      </w:rPr>
                      <w:t>2022年度</w:t>
                    </w:r>
                  </w:sdtContent>
                </w:sdt>
              </w:p>
            </w:tc>
          </w:tr>
          <w:tr w:rsidR="00E57DAA" w14:paraId="0572843D" w14:textId="77777777">
            <w:trPr>
              <w:trHeight w:val="315"/>
            </w:trPr>
            <w:tc>
              <w:tcPr>
                <w:tcW w:w="2394" w:type="dxa"/>
                <w:vMerge/>
              </w:tcPr>
              <w:p w14:paraId="4F786A42" w14:textId="77777777" w:rsidR="00E57DAA" w:rsidRDefault="00E57DAA">
                <w:pPr>
                  <w:adjustRightInd w:val="0"/>
                  <w:snapToGrid w:val="0"/>
                  <w:rPr>
                    <w:sz w:val="11"/>
                    <w:szCs w:val="11"/>
                  </w:rPr>
                </w:pPr>
              </w:p>
            </w:tc>
            <w:sdt>
              <w:sdtPr>
                <w:rPr>
                  <w:sz w:val="11"/>
                  <w:szCs w:val="11"/>
                </w:rPr>
                <w:tag w:val="_PLD_e0e316f064db43a38ddec14c349b4dfa"/>
                <w:id w:val="917136983"/>
              </w:sdtPr>
              <w:sdtEndPr/>
              <w:sdtContent>
                <w:tc>
                  <w:tcPr>
                    <w:tcW w:w="1318" w:type="dxa"/>
                    <w:vMerge w:val="restart"/>
                    <w:tcBorders>
                      <w:right w:val="single" w:sz="4" w:space="0" w:color="auto"/>
                    </w:tcBorders>
                    <w:vAlign w:val="center"/>
                  </w:tcPr>
                  <w:p w14:paraId="5991443C" w14:textId="77777777" w:rsidR="00E57DAA" w:rsidRDefault="00AC4185">
                    <w:pPr>
                      <w:adjustRightInd w:val="0"/>
                      <w:snapToGrid w:val="0"/>
                      <w:jc w:val="center"/>
                      <w:rPr>
                        <w:sz w:val="11"/>
                        <w:szCs w:val="11"/>
                      </w:rPr>
                    </w:pPr>
                    <w:r>
                      <w:rPr>
                        <w:sz w:val="11"/>
                        <w:szCs w:val="11"/>
                      </w:rPr>
                      <w:t>实收资本 (或股本)</w:t>
                    </w:r>
                  </w:p>
                </w:tc>
              </w:sdtContent>
            </w:sdt>
            <w:sdt>
              <w:sdtPr>
                <w:rPr>
                  <w:sz w:val="11"/>
                  <w:szCs w:val="11"/>
                </w:rPr>
                <w:tag w:val="_PLD_2c82747108ee4c518651265b45dbebcd"/>
                <w:id w:val="1905561477"/>
              </w:sdtPr>
              <w:sdtEndPr/>
              <w:sdtContent>
                <w:tc>
                  <w:tcPr>
                    <w:tcW w:w="1701" w:type="dxa"/>
                    <w:gridSpan w:val="3"/>
                    <w:tcBorders>
                      <w:left w:val="single" w:sz="4" w:space="0" w:color="auto"/>
                      <w:bottom w:val="single" w:sz="4" w:space="0" w:color="auto"/>
                    </w:tcBorders>
                    <w:vAlign w:val="center"/>
                  </w:tcPr>
                  <w:p w14:paraId="34F39EF8" w14:textId="77777777" w:rsidR="00E57DAA" w:rsidRDefault="00AC4185">
                    <w:pPr>
                      <w:adjustRightInd w:val="0"/>
                      <w:snapToGrid w:val="0"/>
                      <w:jc w:val="center"/>
                      <w:rPr>
                        <w:sz w:val="11"/>
                        <w:szCs w:val="11"/>
                      </w:rPr>
                    </w:pPr>
                    <w:r>
                      <w:rPr>
                        <w:rFonts w:hint="eastAsia"/>
                        <w:sz w:val="11"/>
                        <w:szCs w:val="11"/>
                      </w:rPr>
                      <w:t>其他权益工具</w:t>
                    </w:r>
                  </w:p>
                </w:tc>
              </w:sdtContent>
            </w:sdt>
            <w:sdt>
              <w:sdtPr>
                <w:rPr>
                  <w:sz w:val="11"/>
                  <w:szCs w:val="11"/>
                </w:rPr>
                <w:tag w:val="_PLD_c459549b516242be83fce2e92cc794e6"/>
                <w:id w:val="1217700859"/>
              </w:sdtPr>
              <w:sdtEndPr/>
              <w:sdtContent>
                <w:tc>
                  <w:tcPr>
                    <w:tcW w:w="1134" w:type="dxa"/>
                    <w:vMerge w:val="restart"/>
                    <w:vAlign w:val="center"/>
                  </w:tcPr>
                  <w:p w14:paraId="01265C86" w14:textId="77777777" w:rsidR="00E57DAA" w:rsidRDefault="00AC4185">
                    <w:pPr>
                      <w:adjustRightInd w:val="0"/>
                      <w:snapToGrid w:val="0"/>
                      <w:jc w:val="center"/>
                      <w:rPr>
                        <w:sz w:val="11"/>
                        <w:szCs w:val="11"/>
                      </w:rPr>
                    </w:pPr>
                    <w:r>
                      <w:rPr>
                        <w:sz w:val="11"/>
                        <w:szCs w:val="11"/>
                      </w:rPr>
                      <w:t>资本公积</w:t>
                    </w:r>
                  </w:p>
                </w:tc>
              </w:sdtContent>
            </w:sdt>
            <w:sdt>
              <w:sdtPr>
                <w:rPr>
                  <w:sz w:val="11"/>
                  <w:szCs w:val="11"/>
                </w:rPr>
                <w:tag w:val="_PLD_9979085a666a4b7a9ee698268b0bb615"/>
                <w:id w:val="970405643"/>
              </w:sdtPr>
              <w:sdtEndPr/>
              <w:sdtContent>
                <w:tc>
                  <w:tcPr>
                    <w:tcW w:w="992" w:type="dxa"/>
                    <w:vMerge w:val="restart"/>
                    <w:vAlign w:val="center"/>
                  </w:tcPr>
                  <w:p w14:paraId="37B83EA5" w14:textId="77777777" w:rsidR="00E57DAA" w:rsidRDefault="00AC4185">
                    <w:pPr>
                      <w:adjustRightInd w:val="0"/>
                      <w:snapToGrid w:val="0"/>
                      <w:jc w:val="center"/>
                      <w:rPr>
                        <w:sz w:val="11"/>
                        <w:szCs w:val="11"/>
                      </w:rPr>
                    </w:pPr>
                    <w:r>
                      <w:rPr>
                        <w:sz w:val="11"/>
                        <w:szCs w:val="11"/>
                      </w:rPr>
                      <w:t>减：库存股</w:t>
                    </w:r>
                  </w:p>
                </w:tc>
              </w:sdtContent>
            </w:sdt>
            <w:sdt>
              <w:sdtPr>
                <w:rPr>
                  <w:sz w:val="11"/>
                  <w:szCs w:val="11"/>
                </w:rPr>
                <w:tag w:val="_PLD_3b870c2efbdc421980e0e6ed21bc828a"/>
                <w:id w:val="-482698595"/>
              </w:sdtPr>
              <w:sdtEndPr/>
              <w:sdtContent>
                <w:tc>
                  <w:tcPr>
                    <w:tcW w:w="992" w:type="dxa"/>
                    <w:vMerge w:val="restart"/>
                    <w:vAlign w:val="center"/>
                  </w:tcPr>
                  <w:p w14:paraId="3248221A" w14:textId="77777777" w:rsidR="00E57DAA" w:rsidRDefault="00AC4185">
                    <w:pPr>
                      <w:jc w:val="center"/>
                      <w:rPr>
                        <w:sz w:val="11"/>
                        <w:szCs w:val="11"/>
                      </w:rPr>
                    </w:pPr>
                    <w:r>
                      <w:rPr>
                        <w:rFonts w:hint="eastAsia"/>
                        <w:sz w:val="11"/>
                        <w:szCs w:val="11"/>
                      </w:rPr>
                      <w:t>其他综合收益</w:t>
                    </w:r>
                  </w:p>
                </w:tc>
              </w:sdtContent>
            </w:sdt>
            <w:sdt>
              <w:sdtPr>
                <w:rPr>
                  <w:sz w:val="11"/>
                  <w:szCs w:val="11"/>
                </w:rPr>
                <w:tag w:val="_PLD_68a9918174cf4752ad67388e59bb3c51"/>
                <w:id w:val="-686759609"/>
              </w:sdtPr>
              <w:sdtEndPr/>
              <w:sdtContent>
                <w:tc>
                  <w:tcPr>
                    <w:tcW w:w="992" w:type="dxa"/>
                    <w:vMerge w:val="restart"/>
                    <w:vAlign w:val="center"/>
                  </w:tcPr>
                  <w:p w14:paraId="1450FC71" w14:textId="77777777" w:rsidR="00E57DAA" w:rsidRDefault="00AC4185">
                    <w:pPr>
                      <w:adjustRightInd w:val="0"/>
                      <w:snapToGrid w:val="0"/>
                      <w:jc w:val="center"/>
                      <w:rPr>
                        <w:sz w:val="11"/>
                        <w:szCs w:val="11"/>
                      </w:rPr>
                    </w:pPr>
                    <w:r>
                      <w:rPr>
                        <w:rFonts w:hint="eastAsia"/>
                        <w:sz w:val="11"/>
                        <w:szCs w:val="11"/>
                      </w:rPr>
                      <w:t>专项储备</w:t>
                    </w:r>
                  </w:p>
                </w:tc>
              </w:sdtContent>
            </w:sdt>
            <w:sdt>
              <w:sdtPr>
                <w:rPr>
                  <w:sz w:val="11"/>
                  <w:szCs w:val="11"/>
                </w:rPr>
                <w:tag w:val="_PLD_eddda9b1710646a5811c9efb65bf8703"/>
                <w:id w:val="-1170322712"/>
              </w:sdtPr>
              <w:sdtEndPr/>
              <w:sdtContent>
                <w:tc>
                  <w:tcPr>
                    <w:tcW w:w="1418" w:type="dxa"/>
                    <w:vMerge w:val="restart"/>
                    <w:vAlign w:val="center"/>
                  </w:tcPr>
                  <w:p w14:paraId="01F128FC" w14:textId="77777777" w:rsidR="00E57DAA" w:rsidRDefault="00AC4185">
                    <w:pPr>
                      <w:adjustRightInd w:val="0"/>
                      <w:snapToGrid w:val="0"/>
                      <w:jc w:val="center"/>
                      <w:rPr>
                        <w:sz w:val="11"/>
                        <w:szCs w:val="11"/>
                      </w:rPr>
                    </w:pPr>
                    <w:r>
                      <w:rPr>
                        <w:sz w:val="11"/>
                        <w:szCs w:val="11"/>
                      </w:rPr>
                      <w:t>盈余公积</w:t>
                    </w:r>
                  </w:p>
                </w:tc>
              </w:sdtContent>
            </w:sdt>
            <w:sdt>
              <w:sdtPr>
                <w:rPr>
                  <w:sz w:val="11"/>
                  <w:szCs w:val="11"/>
                </w:rPr>
                <w:tag w:val="_PLD_d210b1f3e63743b7b7ad078da7c00997"/>
                <w:id w:val="150640626"/>
              </w:sdtPr>
              <w:sdtEndPr/>
              <w:sdtContent>
                <w:tc>
                  <w:tcPr>
                    <w:tcW w:w="1417" w:type="dxa"/>
                    <w:vMerge w:val="restart"/>
                    <w:vAlign w:val="center"/>
                  </w:tcPr>
                  <w:p w14:paraId="1BBE0C4A" w14:textId="77777777" w:rsidR="00E57DAA" w:rsidRDefault="00AC4185">
                    <w:pPr>
                      <w:adjustRightInd w:val="0"/>
                      <w:snapToGrid w:val="0"/>
                      <w:jc w:val="center"/>
                      <w:rPr>
                        <w:sz w:val="11"/>
                        <w:szCs w:val="11"/>
                      </w:rPr>
                    </w:pPr>
                    <w:r>
                      <w:rPr>
                        <w:sz w:val="11"/>
                        <w:szCs w:val="11"/>
                      </w:rPr>
                      <w:t>未分配利润</w:t>
                    </w:r>
                  </w:p>
                </w:tc>
              </w:sdtContent>
            </w:sdt>
            <w:sdt>
              <w:sdtPr>
                <w:rPr>
                  <w:sz w:val="11"/>
                  <w:szCs w:val="11"/>
                </w:rPr>
                <w:tag w:val="_PLD_d0efa115b304401592a693cab0f3a46a"/>
                <w:id w:val="-1982446681"/>
              </w:sdtPr>
              <w:sdtEndPr/>
              <w:sdtContent>
                <w:tc>
                  <w:tcPr>
                    <w:tcW w:w="1546" w:type="dxa"/>
                    <w:vMerge w:val="restart"/>
                    <w:vAlign w:val="center"/>
                  </w:tcPr>
                  <w:p w14:paraId="64EA23F6" w14:textId="77777777" w:rsidR="00E57DAA" w:rsidRDefault="00AC4185">
                    <w:pPr>
                      <w:adjustRightInd w:val="0"/>
                      <w:snapToGrid w:val="0"/>
                      <w:jc w:val="center"/>
                      <w:rPr>
                        <w:sz w:val="11"/>
                        <w:szCs w:val="11"/>
                      </w:rPr>
                    </w:pPr>
                    <w:r>
                      <w:rPr>
                        <w:sz w:val="11"/>
                        <w:szCs w:val="11"/>
                      </w:rPr>
                      <w:t>所有者权益合计</w:t>
                    </w:r>
                  </w:p>
                </w:tc>
              </w:sdtContent>
            </w:sdt>
          </w:tr>
          <w:tr w:rsidR="00E57DAA" w14:paraId="127E2B71" w14:textId="77777777">
            <w:trPr>
              <w:trHeight w:val="294"/>
            </w:trPr>
            <w:tc>
              <w:tcPr>
                <w:tcW w:w="2394" w:type="dxa"/>
                <w:vMerge/>
              </w:tcPr>
              <w:p w14:paraId="1547D2E8" w14:textId="77777777" w:rsidR="00E57DAA" w:rsidRDefault="00E57DAA">
                <w:pPr>
                  <w:adjustRightInd w:val="0"/>
                  <w:snapToGrid w:val="0"/>
                  <w:rPr>
                    <w:sz w:val="11"/>
                    <w:szCs w:val="11"/>
                  </w:rPr>
                </w:pPr>
              </w:p>
            </w:tc>
            <w:tc>
              <w:tcPr>
                <w:tcW w:w="1318" w:type="dxa"/>
                <w:vMerge/>
                <w:tcBorders>
                  <w:right w:val="single" w:sz="4" w:space="0" w:color="auto"/>
                </w:tcBorders>
              </w:tcPr>
              <w:p w14:paraId="7F72D157" w14:textId="77777777" w:rsidR="00E57DAA" w:rsidRDefault="00E57DAA">
                <w:pPr>
                  <w:adjustRightInd w:val="0"/>
                  <w:snapToGrid w:val="0"/>
                  <w:jc w:val="center"/>
                  <w:rPr>
                    <w:sz w:val="11"/>
                    <w:szCs w:val="11"/>
                  </w:rPr>
                </w:pPr>
              </w:p>
            </w:tc>
            <w:sdt>
              <w:sdtPr>
                <w:rPr>
                  <w:sz w:val="11"/>
                  <w:szCs w:val="11"/>
                </w:rPr>
                <w:tag w:val="_PLD_f219b4732c3e4bd5a67b8c298432fd3d"/>
                <w:id w:val="-1428891186"/>
              </w:sdtPr>
              <w:sdtEndPr/>
              <w:sdtContent>
                <w:tc>
                  <w:tcPr>
                    <w:tcW w:w="567" w:type="dxa"/>
                    <w:tcBorders>
                      <w:top w:val="single" w:sz="4" w:space="0" w:color="auto"/>
                      <w:left w:val="single" w:sz="4" w:space="0" w:color="auto"/>
                      <w:right w:val="single" w:sz="4" w:space="0" w:color="auto"/>
                    </w:tcBorders>
                    <w:vAlign w:val="center"/>
                  </w:tcPr>
                  <w:p w14:paraId="72D5E63F" w14:textId="77777777" w:rsidR="00E57DAA" w:rsidRDefault="00AC4185">
                    <w:pPr>
                      <w:adjustRightInd w:val="0"/>
                      <w:snapToGrid w:val="0"/>
                      <w:jc w:val="center"/>
                      <w:rPr>
                        <w:sz w:val="11"/>
                        <w:szCs w:val="11"/>
                      </w:rPr>
                    </w:pPr>
                    <w:r>
                      <w:rPr>
                        <w:rFonts w:hint="eastAsia"/>
                        <w:sz w:val="11"/>
                        <w:szCs w:val="11"/>
                      </w:rPr>
                      <w:t>优先股</w:t>
                    </w:r>
                  </w:p>
                </w:tc>
              </w:sdtContent>
            </w:sdt>
            <w:sdt>
              <w:sdtPr>
                <w:rPr>
                  <w:sz w:val="11"/>
                  <w:szCs w:val="11"/>
                </w:rPr>
                <w:tag w:val="_PLD_9c8ca36c728447658d99fee93d742edf"/>
                <w:id w:val="681859369"/>
              </w:sdtPr>
              <w:sdtEndPr/>
              <w:sdtContent>
                <w:tc>
                  <w:tcPr>
                    <w:tcW w:w="567" w:type="dxa"/>
                    <w:tcBorders>
                      <w:top w:val="single" w:sz="4" w:space="0" w:color="auto"/>
                      <w:left w:val="single" w:sz="4" w:space="0" w:color="auto"/>
                      <w:right w:val="single" w:sz="4" w:space="0" w:color="auto"/>
                    </w:tcBorders>
                    <w:vAlign w:val="center"/>
                  </w:tcPr>
                  <w:p w14:paraId="12EEF19B" w14:textId="77777777" w:rsidR="00E57DAA" w:rsidRDefault="00AC4185">
                    <w:pPr>
                      <w:adjustRightInd w:val="0"/>
                      <w:snapToGrid w:val="0"/>
                      <w:jc w:val="center"/>
                      <w:rPr>
                        <w:sz w:val="11"/>
                        <w:szCs w:val="11"/>
                      </w:rPr>
                    </w:pPr>
                    <w:r>
                      <w:rPr>
                        <w:rFonts w:hint="eastAsia"/>
                        <w:sz w:val="11"/>
                        <w:szCs w:val="11"/>
                      </w:rPr>
                      <w:t>永续债</w:t>
                    </w:r>
                  </w:p>
                </w:tc>
              </w:sdtContent>
            </w:sdt>
            <w:sdt>
              <w:sdtPr>
                <w:rPr>
                  <w:sz w:val="11"/>
                  <w:szCs w:val="11"/>
                </w:rPr>
                <w:tag w:val="_PLD_d053abd77b574111883b8fafe3a173d2"/>
                <w:id w:val="-722980957"/>
              </w:sdtPr>
              <w:sdtEndPr/>
              <w:sdtContent>
                <w:tc>
                  <w:tcPr>
                    <w:tcW w:w="567" w:type="dxa"/>
                    <w:tcBorders>
                      <w:top w:val="single" w:sz="4" w:space="0" w:color="auto"/>
                      <w:left w:val="single" w:sz="4" w:space="0" w:color="auto"/>
                    </w:tcBorders>
                    <w:vAlign w:val="center"/>
                  </w:tcPr>
                  <w:p w14:paraId="73B77E61" w14:textId="77777777" w:rsidR="00E57DAA" w:rsidRDefault="00AC4185">
                    <w:pPr>
                      <w:adjustRightInd w:val="0"/>
                      <w:snapToGrid w:val="0"/>
                      <w:jc w:val="center"/>
                      <w:rPr>
                        <w:sz w:val="11"/>
                        <w:szCs w:val="11"/>
                      </w:rPr>
                    </w:pPr>
                    <w:r>
                      <w:rPr>
                        <w:rFonts w:hint="eastAsia"/>
                        <w:sz w:val="11"/>
                        <w:szCs w:val="11"/>
                      </w:rPr>
                      <w:t>其他</w:t>
                    </w:r>
                  </w:p>
                </w:tc>
              </w:sdtContent>
            </w:sdt>
            <w:tc>
              <w:tcPr>
                <w:tcW w:w="1134" w:type="dxa"/>
                <w:vMerge/>
              </w:tcPr>
              <w:p w14:paraId="61783C7B" w14:textId="77777777" w:rsidR="00E57DAA" w:rsidRDefault="00E57DAA">
                <w:pPr>
                  <w:adjustRightInd w:val="0"/>
                  <w:snapToGrid w:val="0"/>
                  <w:jc w:val="center"/>
                  <w:rPr>
                    <w:sz w:val="11"/>
                    <w:szCs w:val="11"/>
                  </w:rPr>
                </w:pPr>
              </w:p>
            </w:tc>
            <w:tc>
              <w:tcPr>
                <w:tcW w:w="992" w:type="dxa"/>
                <w:vMerge/>
              </w:tcPr>
              <w:p w14:paraId="5CB53497" w14:textId="77777777" w:rsidR="00E57DAA" w:rsidRDefault="00E57DAA">
                <w:pPr>
                  <w:adjustRightInd w:val="0"/>
                  <w:snapToGrid w:val="0"/>
                  <w:jc w:val="center"/>
                  <w:rPr>
                    <w:sz w:val="11"/>
                    <w:szCs w:val="11"/>
                  </w:rPr>
                </w:pPr>
              </w:p>
            </w:tc>
            <w:tc>
              <w:tcPr>
                <w:tcW w:w="992" w:type="dxa"/>
                <w:vMerge/>
              </w:tcPr>
              <w:p w14:paraId="2EAF7300" w14:textId="77777777" w:rsidR="00E57DAA" w:rsidRDefault="00E57DAA">
                <w:pPr>
                  <w:jc w:val="center"/>
                  <w:rPr>
                    <w:sz w:val="11"/>
                    <w:szCs w:val="11"/>
                  </w:rPr>
                </w:pPr>
              </w:p>
            </w:tc>
            <w:tc>
              <w:tcPr>
                <w:tcW w:w="992" w:type="dxa"/>
                <w:vMerge/>
              </w:tcPr>
              <w:p w14:paraId="1BDBA14B" w14:textId="77777777" w:rsidR="00E57DAA" w:rsidRDefault="00E57DAA">
                <w:pPr>
                  <w:adjustRightInd w:val="0"/>
                  <w:snapToGrid w:val="0"/>
                  <w:jc w:val="center"/>
                  <w:rPr>
                    <w:sz w:val="11"/>
                    <w:szCs w:val="11"/>
                  </w:rPr>
                </w:pPr>
              </w:p>
            </w:tc>
            <w:tc>
              <w:tcPr>
                <w:tcW w:w="1418" w:type="dxa"/>
                <w:vMerge/>
              </w:tcPr>
              <w:p w14:paraId="53C76900" w14:textId="77777777" w:rsidR="00E57DAA" w:rsidRDefault="00E57DAA">
                <w:pPr>
                  <w:adjustRightInd w:val="0"/>
                  <w:snapToGrid w:val="0"/>
                  <w:jc w:val="center"/>
                  <w:rPr>
                    <w:sz w:val="11"/>
                    <w:szCs w:val="11"/>
                  </w:rPr>
                </w:pPr>
              </w:p>
            </w:tc>
            <w:tc>
              <w:tcPr>
                <w:tcW w:w="1417" w:type="dxa"/>
                <w:vMerge/>
              </w:tcPr>
              <w:p w14:paraId="24140C07" w14:textId="77777777" w:rsidR="00E57DAA" w:rsidRDefault="00E57DAA">
                <w:pPr>
                  <w:adjustRightInd w:val="0"/>
                  <w:snapToGrid w:val="0"/>
                  <w:jc w:val="center"/>
                  <w:rPr>
                    <w:sz w:val="11"/>
                    <w:szCs w:val="11"/>
                  </w:rPr>
                </w:pPr>
              </w:p>
            </w:tc>
            <w:tc>
              <w:tcPr>
                <w:tcW w:w="1546" w:type="dxa"/>
                <w:vMerge/>
              </w:tcPr>
              <w:p w14:paraId="301E3904" w14:textId="77777777" w:rsidR="00E57DAA" w:rsidRDefault="00E57DAA">
                <w:pPr>
                  <w:adjustRightInd w:val="0"/>
                  <w:snapToGrid w:val="0"/>
                  <w:jc w:val="center"/>
                  <w:rPr>
                    <w:sz w:val="11"/>
                    <w:szCs w:val="11"/>
                  </w:rPr>
                </w:pPr>
              </w:p>
            </w:tc>
          </w:tr>
          <w:tr w:rsidR="00E57DAA" w14:paraId="755685B9" w14:textId="77777777">
            <w:trPr>
              <w:trHeight w:val="20"/>
            </w:trPr>
            <w:sdt>
              <w:sdtPr>
                <w:rPr>
                  <w:sz w:val="11"/>
                  <w:szCs w:val="11"/>
                </w:rPr>
                <w:tag w:val="_PLD_4b9f68f704bb4acfae62b3d3cbf0d790"/>
                <w:id w:val="-1023858167"/>
              </w:sdtPr>
              <w:sdtEndPr/>
              <w:sdtContent>
                <w:tc>
                  <w:tcPr>
                    <w:tcW w:w="2394" w:type="dxa"/>
                  </w:tcPr>
                  <w:p w14:paraId="0D55517D" w14:textId="77777777" w:rsidR="00E57DAA" w:rsidRDefault="00AC4185">
                    <w:pPr>
                      <w:rPr>
                        <w:sz w:val="11"/>
                        <w:szCs w:val="11"/>
                      </w:rPr>
                    </w:pPr>
                    <w:r>
                      <w:rPr>
                        <w:sz w:val="11"/>
                        <w:szCs w:val="11"/>
                      </w:rPr>
                      <w:t>一、上年</w:t>
                    </w:r>
                    <w:r>
                      <w:rPr>
                        <w:rFonts w:hint="eastAsia"/>
                        <w:sz w:val="11"/>
                        <w:szCs w:val="11"/>
                      </w:rPr>
                      <w:t>年</w:t>
                    </w:r>
                    <w:r>
                      <w:rPr>
                        <w:sz w:val="11"/>
                        <w:szCs w:val="11"/>
                      </w:rPr>
                      <w:t>末余额</w:t>
                    </w:r>
                  </w:p>
                </w:tc>
              </w:sdtContent>
            </w:sdt>
            <w:tc>
              <w:tcPr>
                <w:tcW w:w="1318" w:type="dxa"/>
                <w:tcBorders>
                  <w:right w:val="single" w:sz="4" w:space="0" w:color="auto"/>
                </w:tcBorders>
                <w:vAlign w:val="center"/>
              </w:tcPr>
              <w:p w14:paraId="1D23EE2C" w14:textId="77777777" w:rsidR="00E57DAA" w:rsidRDefault="00AC4185">
                <w:pPr>
                  <w:jc w:val="right"/>
                  <w:rPr>
                    <w:sz w:val="11"/>
                    <w:szCs w:val="11"/>
                  </w:rPr>
                </w:pPr>
                <w:r>
                  <w:rPr>
                    <w:sz w:val="11"/>
                    <w:szCs w:val="11"/>
                  </w:rPr>
                  <w:t>2,219,082,949.00</w:t>
                </w:r>
              </w:p>
            </w:tc>
            <w:tc>
              <w:tcPr>
                <w:tcW w:w="567" w:type="dxa"/>
                <w:tcBorders>
                  <w:left w:val="single" w:sz="4" w:space="0" w:color="auto"/>
                  <w:right w:val="single" w:sz="4" w:space="0" w:color="auto"/>
                </w:tcBorders>
                <w:vAlign w:val="center"/>
              </w:tcPr>
              <w:p w14:paraId="0674C59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8CCB66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07F5082" w14:textId="77777777" w:rsidR="00E57DAA" w:rsidRDefault="00E57DAA">
                <w:pPr>
                  <w:jc w:val="right"/>
                  <w:rPr>
                    <w:sz w:val="11"/>
                    <w:szCs w:val="11"/>
                  </w:rPr>
                </w:pPr>
              </w:p>
            </w:tc>
            <w:tc>
              <w:tcPr>
                <w:tcW w:w="1134" w:type="dxa"/>
                <w:tcBorders>
                  <w:left w:val="single" w:sz="4" w:space="0" w:color="auto"/>
                </w:tcBorders>
                <w:vAlign w:val="center"/>
              </w:tcPr>
              <w:p w14:paraId="5F406E0E" w14:textId="77777777" w:rsidR="00E57DAA" w:rsidRDefault="00AC4185">
                <w:pPr>
                  <w:jc w:val="right"/>
                  <w:rPr>
                    <w:sz w:val="11"/>
                    <w:szCs w:val="11"/>
                  </w:rPr>
                </w:pPr>
                <w:r>
                  <w:rPr>
                    <w:sz w:val="11"/>
                    <w:szCs w:val="11"/>
                  </w:rPr>
                  <w:t>3,486,078,080.18</w:t>
                </w:r>
              </w:p>
            </w:tc>
            <w:tc>
              <w:tcPr>
                <w:tcW w:w="992" w:type="dxa"/>
                <w:vAlign w:val="center"/>
              </w:tcPr>
              <w:p w14:paraId="45CAFF67" w14:textId="77777777" w:rsidR="00E57DAA" w:rsidRDefault="00E57DAA">
                <w:pPr>
                  <w:jc w:val="right"/>
                  <w:rPr>
                    <w:sz w:val="11"/>
                    <w:szCs w:val="11"/>
                  </w:rPr>
                </w:pPr>
              </w:p>
            </w:tc>
            <w:tc>
              <w:tcPr>
                <w:tcW w:w="992" w:type="dxa"/>
                <w:vAlign w:val="center"/>
              </w:tcPr>
              <w:p w14:paraId="17B4F6F9" w14:textId="77777777" w:rsidR="00E57DAA" w:rsidRDefault="00E57DAA">
                <w:pPr>
                  <w:jc w:val="right"/>
                  <w:rPr>
                    <w:sz w:val="11"/>
                    <w:szCs w:val="11"/>
                  </w:rPr>
                </w:pPr>
              </w:p>
            </w:tc>
            <w:tc>
              <w:tcPr>
                <w:tcW w:w="992" w:type="dxa"/>
                <w:vAlign w:val="center"/>
              </w:tcPr>
              <w:p w14:paraId="14737F28" w14:textId="77777777" w:rsidR="00E57DAA" w:rsidRDefault="00AC4185">
                <w:pPr>
                  <w:jc w:val="right"/>
                  <w:rPr>
                    <w:sz w:val="11"/>
                    <w:szCs w:val="11"/>
                  </w:rPr>
                </w:pPr>
                <w:r>
                  <w:rPr>
                    <w:sz w:val="11"/>
                    <w:szCs w:val="11"/>
                  </w:rPr>
                  <w:t>3,550,025.85</w:t>
                </w:r>
              </w:p>
            </w:tc>
            <w:tc>
              <w:tcPr>
                <w:tcW w:w="1418" w:type="dxa"/>
                <w:vAlign w:val="center"/>
              </w:tcPr>
              <w:p w14:paraId="2DE1ED0F" w14:textId="77777777" w:rsidR="00E57DAA" w:rsidRDefault="00AC4185">
                <w:pPr>
                  <w:jc w:val="right"/>
                  <w:rPr>
                    <w:sz w:val="11"/>
                    <w:szCs w:val="11"/>
                  </w:rPr>
                </w:pPr>
                <w:r>
                  <w:rPr>
                    <w:sz w:val="11"/>
                    <w:szCs w:val="11"/>
                  </w:rPr>
                  <w:t>659,739,373.16</w:t>
                </w:r>
              </w:p>
            </w:tc>
            <w:tc>
              <w:tcPr>
                <w:tcW w:w="1417" w:type="dxa"/>
                <w:vAlign w:val="center"/>
              </w:tcPr>
              <w:p w14:paraId="4F5035E2" w14:textId="77777777" w:rsidR="00E57DAA" w:rsidRDefault="00AC4185">
                <w:pPr>
                  <w:jc w:val="right"/>
                  <w:rPr>
                    <w:sz w:val="11"/>
                    <w:szCs w:val="11"/>
                  </w:rPr>
                </w:pPr>
                <w:r>
                  <w:rPr>
                    <w:sz w:val="11"/>
                    <w:szCs w:val="11"/>
                  </w:rPr>
                  <w:t>1,234,026,571.51</w:t>
                </w:r>
              </w:p>
            </w:tc>
            <w:tc>
              <w:tcPr>
                <w:tcW w:w="1546" w:type="dxa"/>
                <w:vAlign w:val="center"/>
              </w:tcPr>
              <w:p w14:paraId="53300C59" w14:textId="77777777" w:rsidR="00E57DAA" w:rsidRDefault="00AC4185">
                <w:pPr>
                  <w:jc w:val="right"/>
                  <w:rPr>
                    <w:sz w:val="11"/>
                    <w:szCs w:val="11"/>
                  </w:rPr>
                </w:pPr>
                <w:r>
                  <w:rPr>
                    <w:sz w:val="11"/>
                    <w:szCs w:val="11"/>
                  </w:rPr>
                  <w:t>7,602,476,999.70</w:t>
                </w:r>
              </w:p>
            </w:tc>
          </w:tr>
          <w:tr w:rsidR="00E57DAA" w14:paraId="4A2C88E1" w14:textId="77777777">
            <w:trPr>
              <w:trHeight w:val="20"/>
            </w:trPr>
            <w:sdt>
              <w:sdtPr>
                <w:rPr>
                  <w:sz w:val="11"/>
                  <w:szCs w:val="11"/>
                </w:rPr>
                <w:tag w:val="_PLD_f7c284bf05bc4bb48bad7c818c157aa9"/>
                <w:id w:val="-212894401"/>
              </w:sdtPr>
              <w:sdtEndPr/>
              <w:sdtContent>
                <w:tc>
                  <w:tcPr>
                    <w:tcW w:w="2394" w:type="dxa"/>
                  </w:tcPr>
                  <w:p w14:paraId="135510C8" w14:textId="77777777" w:rsidR="00E57DAA" w:rsidRDefault="00AC4185">
                    <w:pPr>
                      <w:rPr>
                        <w:sz w:val="11"/>
                        <w:szCs w:val="11"/>
                      </w:rPr>
                    </w:pPr>
                    <w:r>
                      <w:rPr>
                        <w:sz w:val="11"/>
                        <w:szCs w:val="11"/>
                      </w:rPr>
                      <w:t>加：会计政策变更</w:t>
                    </w:r>
                  </w:p>
                </w:tc>
              </w:sdtContent>
            </w:sdt>
            <w:tc>
              <w:tcPr>
                <w:tcW w:w="1318" w:type="dxa"/>
                <w:tcBorders>
                  <w:right w:val="single" w:sz="4" w:space="0" w:color="auto"/>
                </w:tcBorders>
                <w:vAlign w:val="center"/>
              </w:tcPr>
              <w:p w14:paraId="417184D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B01670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FDA18E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CF98FC9" w14:textId="77777777" w:rsidR="00E57DAA" w:rsidRDefault="00E57DAA">
                <w:pPr>
                  <w:jc w:val="right"/>
                  <w:rPr>
                    <w:sz w:val="11"/>
                    <w:szCs w:val="11"/>
                  </w:rPr>
                </w:pPr>
              </w:p>
            </w:tc>
            <w:tc>
              <w:tcPr>
                <w:tcW w:w="1134" w:type="dxa"/>
                <w:tcBorders>
                  <w:left w:val="single" w:sz="4" w:space="0" w:color="auto"/>
                </w:tcBorders>
                <w:vAlign w:val="center"/>
              </w:tcPr>
              <w:p w14:paraId="7D0DEB41" w14:textId="77777777" w:rsidR="00E57DAA" w:rsidRDefault="00E57DAA">
                <w:pPr>
                  <w:jc w:val="right"/>
                  <w:rPr>
                    <w:sz w:val="11"/>
                    <w:szCs w:val="11"/>
                  </w:rPr>
                </w:pPr>
              </w:p>
            </w:tc>
            <w:tc>
              <w:tcPr>
                <w:tcW w:w="992" w:type="dxa"/>
                <w:vAlign w:val="center"/>
              </w:tcPr>
              <w:p w14:paraId="1A0729A2" w14:textId="77777777" w:rsidR="00E57DAA" w:rsidRDefault="00E57DAA">
                <w:pPr>
                  <w:jc w:val="right"/>
                  <w:rPr>
                    <w:sz w:val="11"/>
                    <w:szCs w:val="11"/>
                  </w:rPr>
                </w:pPr>
              </w:p>
            </w:tc>
            <w:tc>
              <w:tcPr>
                <w:tcW w:w="992" w:type="dxa"/>
                <w:vAlign w:val="center"/>
              </w:tcPr>
              <w:p w14:paraId="1FD4D9A3" w14:textId="77777777" w:rsidR="00E57DAA" w:rsidRDefault="00E57DAA">
                <w:pPr>
                  <w:jc w:val="right"/>
                  <w:rPr>
                    <w:sz w:val="11"/>
                    <w:szCs w:val="11"/>
                  </w:rPr>
                </w:pPr>
              </w:p>
            </w:tc>
            <w:tc>
              <w:tcPr>
                <w:tcW w:w="992" w:type="dxa"/>
                <w:vAlign w:val="center"/>
              </w:tcPr>
              <w:p w14:paraId="43ADF504" w14:textId="77777777" w:rsidR="00E57DAA" w:rsidRDefault="00E57DAA">
                <w:pPr>
                  <w:jc w:val="right"/>
                  <w:rPr>
                    <w:sz w:val="11"/>
                    <w:szCs w:val="11"/>
                  </w:rPr>
                </w:pPr>
              </w:p>
            </w:tc>
            <w:tc>
              <w:tcPr>
                <w:tcW w:w="1418" w:type="dxa"/>
                <w:vAlign w:val="center"/>
              </w:tcPr>
              <w:p w14:paraId="039D7A24" w14:textId="77777777" w:rsidR="00E57DAA" w:rsidRDefault="00AC4185">
                <w:pPr>
                  <w:jc w:val="right"/>
                  <w:rPr>
                    <w:sz w:val="11"/>
                    <w:szCs w:val="11"/>
                  </w:rPr>
                </w:pPr>
                <w:r>
                  <w:rPr>
                    <w:sz w:val="11"/>
                    <w:szCs w:val="11"/>
                  </w:rPr>
                  <w:t>-10,311.46</w:t>
                </w:r>
              </w:p>
            </w:tc>
            <w:tc>
              <w:tcPr>
                <w:tcW w:w="1417" w:type="dxa"/>
                <w:vAlign w:val="center"/>
              </w:tcPr>
              <w:p w14:paraId="4B6368D5" w14:textId="77777777" w:rsidR="00E57DAA" w:rsidRDefault="00AC4185">
                <w:pPr>
                  <w:jc w:val="right"/>
                  <w:rPr>
                    <w:sz w:val="11"/>
                    <w:szCs w:val="11"/>
                  </w:rPr>
                </w:pPr>
                <w:r>
                  <w:rPr>
                    <w:sz w:val="11"/>
                    <w:szCs w:val="11"/>
                  </w:rPr>
                  <w:t>-92,803.17</w:t>
                </w:r>
              </w:p>
            </w:tc>
            <w:tc>
              <w:tcPr>
                <w:tcW w:w="1546" w:type="dxa"/>
                <w:vAlign w:val="center"/>
              </w:tcPr>
              <w:p w14:paraId="3FB97E3C" w14:textId="77777777" w:rsidR="00E57DAA" w:rsidRDefault="00AC4185">
                <w:pPr>
                  <w:jc w:val="right"/>
                  <w:rPr>
                    <w:sz w:val="11"/>
                    <w:szCs w:val="11"/>
                  </w:rPr>
                </w:pPr>
                <w:r>
                  <w:rPr>
                    <w:sz w:val="11"/>
                    <w:szCs w:val="11"/>
                  </w:rPr>
                  <w:t>-103,114.63</w:t>
                </w:r>
              </w:p>
            </w:tc>
          </w:tr>
          <w:tr w:rsidR="00E57DAA" w14:paraId="43A3AC08" w14:textId="77777777">
            <w:trPr>
              <w:trHeight w:val="20"/>
            </w:trPr>
            <w:sdt>
              <w:sdtPr>
                <w:rPr>
                  <w:sz w:val="11"/>
                  <w:szCs w:val="11"/>
                </w:rPr>
                <w:tag w:val="_PLD_b84d86ae618141938210b68f81aeafe0"/>
                <w:id w:val="1017126668"/>
              </w:sdtPr>
              <w:sdtEndPr/>
              <w:sdtContent>
                <w:tc>
                  <w:tcPr>
                    <w:tcW w:w="2394" w:type="dxa"/>
                  </w:tcPr>
                  <w:p w14:paraId="298C0BB6" w14:textId="77777777" w:rsidR="00E57DAA" w:rsidRDefault="00AC4185">
                    <w:pPr>
                      <w:ind w:firstLineChars="200" w:firstLine="220"/>
                      <w:rPr>
                        <w:sz w:val="11"/>
                        <w:szCs w:val="11"/>
                      </w:rPr>
                    </w:pPr>
                    <w:r>
                      <w:rPr>
                        <w:sz w:val="11"/>
                        <w:szCs w:val="11"/>
                      </w:rPr>
                      <w:t>前期差错更正</w:t>
                    </w:r>
                  </w:p>
                </w:tc>
              </w:sdtContent>
            </w:sdt>
            <w:tc>
              <w:tcPr>
                <w:tcW w:w="1318" w:type="dxa"/>
                <w:tcBorders>
                  <w:right w:val="single" w:sz="4" w:space="0" w:color="auto"/>
                </w:tcBorders>
                <w:vAlign w:val="center"/>
              </w:tcPr>
              <w:p w14:paraId="7CAA152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3F9DF9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4048CA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D9413B1" w14:textId="77777777" w:rsidR="00E57DAA" w:rsidRDefault="00E57DAA">
                <w:pPr>
                  <w:jc w:val="right"/>
                  <w:rPr>
                    <w:sz w:val="11"/>
                    <w:szCs w:val="11"/>
                  </w:rPr>
                </w:pPr>
              </w:p>
            </w:tc>
            <w:tc>
              <w:tcPr>
                <w:tcW w:w="1134" w:type="dxa"/>
                <w:tcBorders>
                  <w:left w:val="single" w:sz="4" w:space="0" w:color="auto"/>
                </w:tcBorders>
                <w:vAlign w:val="center"/>
              </w:tcPr>
              <w:p w14:paraId="34C45C45" w14:textId="77777777" w:rsidR="00E57DAA" w:rsidRDefault="00E57DAA">
                <w:pPr>
                  <w:jc w:val="right"/>
                  <w:rPr>
                    <w:sz w:val="11"/>
                    <w:szCs w:val="11"/>
                  </w:rPr>
                </w:pPr>
              </w:p>
            </w:tc>
            <w:tc>
              <w:tcPr>
                <w:tcW w:w="992" w:type="dxa"/>
                <w:vAlign w:val="center"/>
              </w:tcPr>
              <w:p w14:paraId="6C149D5A" w14:textId="77777777" w:rsidR="00E57DAA" w:rsidRDefault="00E57DAA">
                <w:pPr>
                  <w:jc w:val="right"/>
                  <w:rPr>
                    <w:sz w:val="11"/>
                    <w:szCs w:val="11"/>
                  </w:rPr>
                </w:pPr>
              </w:p>
            </w:tc>
            <w:tc>
              <w:tcPr>
                <w:tcW w:w="992" w:type="dxa"/>
                <w:vAlign w:val="center"/>
              </w:tcPr>
              <w:p w14:paraId="6DE5812D" w14:textId="77777777" w:rsidR="00E57DAA" w:rsidRDefault="00E57DAA">
                <w:pPr>
                  <w:jc w:val="right"/>
                  <w:rPr>
                    <w:sz w:val="11"/>
                    <w:szCs w:val="11"/>
                  </w:rPr>
                </w:pPr>
              </w:p>
            </w:tc>
            <w:tc>
              <w:tcPr>
                <w:tcW w:w="992" w:type="dxa"/>
                <w:vAlign w:val="center"/>
              </w:tcPr>
              <w:p w14:paraId="18998260" w14:textId="77777777" w:rsidR="00E57DAA" w:rsidRDefault="00E57DAA">
                <w:pPr>
                  <w:jc w:val="right"/>
                  <w:rPr>
                    <w:sz w:val="11"/>
                    <w:szCs w:val="11"/>
                  </w:rPr>
                </w:pPr>
              </w:p>
            </w:tc>
            <w:tc>
              <w:tcPr>
                <w:tcW w:w="1418" w:type="dxa"/>
                <w:vAlign w:val="center"/>
              </w:tcPr>
              <w:p w14:paraId="542B6D6C" w14:textId="77777777" w:rsidR="00E57DAA" w:rsidRDefault="00E57DAA">
                <w:pPr>
                  <w:jc w:val="right"/>
                  <w:rPr>
                    <w:sz w:val="11"/>
                    <w:szCs w:val="11"/>
                  </w:rPr>
                </w:pPr>
              </w:p>
            </w:tc>
            <w:tc>
              <w:tcPr>
                <w:tcW w:w="1417" w:type="dxa"/>
                <w:vAlign w:val="center"/>
              </w:tcPr>
              <w:p w14:paraId="2111AC31" w14:textId="77777777" w:rsidR="00E57DAA" w:rsidRDefault="00E57DAA">
                <w:pPr>
                  <w:jc w:val="right"/>
                  <w:rPr>
                    <w:sz w:val="11"/>
                    <w:szCs w:val="11"/>
                  </w:rPr>
                </w:pPr>
              </w:p>
            </w:tc>
            <w:tc>
              <w:tcPr>
                <w:tcW w:w="1546" w:type="dxa"/>
                <w:vAlign w:val="center"/>
              </w:tcPr>
              <w:p w14:paraId="3E07931E" w14:textId="77777777" w:rsidR="00E57DAA" w:rsidRDefault="00E57DAA">
                <w:pPr>
                  <w:jc w:val="right"/>
                  <w:rPr>
                    <w:sz w:val="11"/>
                    <w:szCs w:val="11"/>
                  </w:rPr>
                </w:pPr>
              </w:p>
            </w:tc>
          </w:tr>
          <w:tr w:rsidR="00E57DAA" w14:paraId="1D82837B" w14:textId="77777777">
            <w:trPr>
              <w:trHeight w:val="20"/>
            </w:trPr>
            <w:sdt>
              <w:sdtPr>
                <w:rPr>
                  <w:sz w:val="11"/>
                  <w:szCs w:val="11"/>
                </w:rPr>
                <w:tag w:val="_PLD_ae13695d51ae418dba0671a598b76ffb"/>
                <w:id w:val="1300891403"/>
              </w:sdtPr>
              <w:sdtEndPr/>
              <w:sdtContent>
                <w:tc>
                  <w:tcPr>
                    <w:tcW w:w="2394" w:type="dxa"/>
                  </w:tcPr>
                  <w:p w14:paraId="790B8957" w14:textId="77777777" w:rsidR="00E57DAA" w:rsidRDefault="00AC4185">
                    <w:pPr>
                      <w:ind w:firstLineChars="200" w:firstLine="220"/>
                      <w:rPr>
                        <w:sz w:val="11"/>
                        <w:szCs w:val="11"/>
                      </w:rPr>
                    </w:pPr>
                    <w:r>
                      <w:rPr>
                        <w:rFonts w:hint="eastAsia"/>
                        <w:sz w:val="11"/>
                        <w:szCs w:val="11"/>
                      </w:rPr>
                      <w:t>其他</w:t>
                    </w:r>
                  </w:p>
                </w:tc>
              </w:sdtContent>
            </w:sdt>
            <w:tc>
              <w:tcPr>
                <w:tcW w:w="1318" w:type="dxa"/>
                <w:tcBorders>
                  <w:right w:val="single" w:sz="4" w:space="0" w:color="auto"/>
                </w:tcBorders>
                <w:vAlign w:val="center"/>
              </w:tcPr>
              <w:p w14:paraId="4AA0D80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78C3D1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A1160B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7B75A5E" w14:textId="77777777" w:rsidR="00E57DAA" w:rsidRDefault="00E57DAA">
                <w:pPr>
                  <w:jc w:val="right"/>
                  <w:rPr>
                    <w:sz w:val="11"/>
                    <w:szCs w:val="11"/>
                  </w:rPr>
                </w:pPr>
              </w:p>
            </w:tc>
            <w:tc>
              <w:tcPr>
                <w:tcW w:w="1134" w:type="dxa"/>
                <w:tcBorders>
                  <w:left w:val="single" w:sz="4" w:space="0" w:color="auto"/>
                </w:tcBorders>
                <w:vAlign w:val="center"/>
              </w:tcPr>
              <w:p w14:paraId="20128990" w14:textId="77777777" w:rsidR="00E57DAA" w:rsidRDefault="00E57DAA">
                <w:pPr>
                  <w:jc w:val="right"/>
                  <w:rPr>
                    <w:sz w:val="11"/>
                    <w:szCs w:val="11"/>
                  </w:rPr>
                </w:pPr>
              </w:p>
            </w:tc>
            <w:tc>
              <w:tcPr>
                <w:tcW w:w="992" w:type="dxa"/>
                <w:vAlign w:val="center"/>
              </w:tcPr>
              <w:p w14:paraId="023422BF" w14:textId="77777777" w:rsidR="00E57DAA" w:rsidRDefault="00E57DAA">
                <w:pPr>
                  <w:jc w:val="right"/>
                  <w:rPr>
                    <w:sz w:val="11"/>
                    <w:szCs w:val="11"/>
                  </w:rPr>
                </w:pPr>
              </w:p>
            </w:tc>
            <w:tc>
              <w:tcPr>
                <w:tcW w:w="992" w:type="dxa"/>
                <w:vAlign w:val="center"/>
              </w:tcPr>
              <w:p w14:paraId="2525AD2A" w14:textId="77777777" w:rsidR="00E57DAA" w:rsidRDefault="00E57DAA">
                <w:pPr>
                  <w:jc w:val="right"/>
                  <w:rPr>
                    <w:sz w:val="11"/>
                    <w:szCs w:val="11"/>
                  </w:rPr>
                </w:pPr>
              </w:p>
            </w:tc>
            <w:tc>
              <w:tcPr>
                <w:tcW w:w="992" w:type="dxa"/>
                <w:vAlign w:val="center"/>
              </w:tcPr>
              <w:p w14:paraId="3170EB71" w14:textId="77777777" w:rsidR="00E57DAA" w:rsidRDefault="00E57DAA">
                <w:pPr>
                  <w:jc w:val="right"/>
                  <w:rPr>
                    <w:sz w:val="11"/>
                    <w:szCs w:val="11"/>
                  </w:rPr>
                </w:pPr>
              </w:p>
            </w:tc>
            <w:tc>
              <w:tcPr>
                <w:tcW w:w="1418" w:type="dxa"/>
                <w:vAlign w:val="center"/>
              </w:tcPr>
              <w:p w14:paraId="54052DF5" w14:textId="77777777" w:rsidR="00E57DAA" w:rsidRDefault="00E57DAA">
                <w:pPr>
                  <w:jc w:val="right"/>
                  <w:rPr>
                    <w:sz w:val="11"/>
                    <w:szCs w:val="11"/>
                  </w:rPr>
                </w:pPr>
              </w:p>
            </w:tc>
            <w:tc>
              <w:tcPr>
                <w:tcW w:w="1417" w:type="dxa"/>
                <w:vAlign w:val="center"/>
              </w:tcPr>
              <w:p w14:paraId="65C0FD06" w14:textId="77777777" w:rsidR="00E57DAA" w:rsidRDefault="00E57DAA">
                <w:pPr>
                  <w:jc w:val="right"/>
                  <w:rPr>
                    <w:sz w:val="11"/>
                    <w:szCs w:val="11"/>
                  </w:rPr>
                </w:pPr>
              </w:p>
            </w:tc>
            <w:tc>
              <w:tcPr>
                <w:tcW w:w="1546" w:type="dxa"/>
                <w:vAlign w:val="center"/>
              </w:tcPr>
              <w:p w14:paraId="37B7B409" w14:textId="77777777" w:rsidR="00E57DAA" w:rsidRDefault="00E57DAA">
                <w:pPr>
                  <w:jc w:val="right"/>
                  <w:rPr>
                    <w:sz w:val="11"/>
                    <w:szCs w:val="11"/>
                  </w:rPr>
                </w:pPr>
              </w:p>
            </w:tc>
          </w:tr>
          <w:tr w:rsidR="00E57DAA" w14:paraId="0BD4602F" w14:textId="77777777">
            <w:trPr>
              <w:trHeight w:val="20"/>
            </w:trPr>
            <w:sdt>
              <w:sdtPr>
                <w:rPr>
                  <w:sz w:val="11"/>
                  <w:szCs w:val="11"/>
                </w:rPr>
                <w:tag w:val="_PLD_4841ceb909a14a2abffb67eeb3435694"/>
                <w:id w:val="-1930497020"/>
              </w:sdtPr>
              <w:sdtEndPr/>
              <w:sdtContent>
                <w:tc>
                  <w:tcPr>
                    <w:tcW w:w="2394" w:type="dxa"/>
                  </w:tcPr>
                  <w:p w14:paraId="32FAC0BA" w14:textId="77777777" w:rsidR="00E57DAA" w:rsidRDefault="00AC4185">
                    <w:pPr>
                      <w:rPr>
                        <w:sz w:val="11"/>
                        <w:szCs w:val="11"/>
                      </w:rPr>
                    </w:pPr>
                    <w:r>
                      <w:rPr>
                        <w:sz w:val="11"/>
                        <w:szCs w:val="11"/>
                      </w:rPr>
                      <w:t>二、本年</w:t>
                    </w:r>
                    <w:r>
                      <w:rPr>
                        <w:rFonts w:hint="eastAsia"/>
                        <w:sz w:val="11"/>
                        <w:szCs w:val="11"/>
                      </w:rPr>
                      <w:t>期</w:t>
                    </w:r>
                    <w:r>
                      <w:rPr>
                        <w:sz w:val="11"/>
                        <w:szCs w:val="11"/>
                      </w:rPr>
                      <w:t>初余额</w:t>
                    </w:r>
                  </w:p>
                </w:tc>
              </w:sdtContent>
            </w:sdt>
            <w:tc>
              <w:tcPr>
                <w:tcW w:w="1318" w:type="dxa"/>
                <w:tcBorders>
                  <w:right w:val="single" w:sz="4" w:space="0" w:color="auto"/>
                </w:tcBorders>
                <w:vAlign w:val="center"/>
              </w:tcPr>
              <w:p w14:paraId="58C07E81" w14:textId="77777777" w:rsidR="00E57DAA" w:rsidRDefault="00AC4185">
                <w:pPr>
                  <w:jc w:val="right"/>
                  <w:rPr>
                    <w:sz w:val="11"/>
                    <w:szCs w:val="11"/>
                  </w:rPr>
                </w:pPr>
                <w:r>
                  <w:rPr>
                    <w:sz w:val="11"/>
                    <w:szCs w:val="11"/>
                  </w:rPr>
                  <w:t>2,219,082,949.00</w:t>
                </w:r>
              </w:p>
            </w:tc>
            <w:tc>
              <w:tcPr>
                <w:tcW w:w="567" w:type="dxa"/>
                <w:tcBorders>
                  <w:left w:val="single" w:sz="4" w:space="0" w:color="auto"/>
                  <w:right w:val="single" w:sz="4" w:space="0" w:color="auto"/>
                </w:tcBorders>
                <w:vAlign w:val="center"/>
              </w:tcPr>
              <w:p w14:paraId="6BC1FA0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BA185E2"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E99F083" w14:textId="77777777" w:rsidR="00E57DAA" w:rsidRDefault="00E57DAA">
                <w:pPr>
                  <w:jc w:val="right"/>
                  <w:rPr>
                    <w:sz w:val="11"/>
                    <w:szCs w:val="11"/>
                  </w:rPr>
                </w:pPr>
              </w:p>
            </w:tc>
            <w:tc>
              <w:tcPr>
                <w:tcW w:w="1134" w:type="dxa"/>
                <w:tcBorders>
                  <w:left w:val="single" w:sz="4" w:space="0" w:color="auto"/>
                </w:tcBorders>
                <w:vAlign w:val="center"/>
              </w:tcPr>
              <w:p w14:paraId="02ACC163" w14:textId="77777777" w:rsidR="00E57DAA" w:rsidRDefault="00AC4185">
                <w:pPr>
                  <w:jc w:val="right"/>
                  <w:rPr>
                    <w:sz w:val="11"/>
                    <w:szCs w:val="11"/>
                  </w:rPr>
                </w:pPr>
                <w:r>
                  <w:rPr>
                    <w:sz w:val="11"/>
                    <w:szCs w:val="11"/>
                  </w:rPr>
                  <w:t>3,486,078,080.18</w:t>
                </w:r>
              </w:p>
            </w:tc>
            <w:tc>
              <w:tcPr>
                <w:tcW w:w="992" w:type="dxa"/>
                <w:vAlign w:val="center"/>
              </w:tcPr>
              <w:p w14:paraId="3883A6BE" w14:textId="77777777" w:rsidR="00E57DAA" w:rsidRDefault="00E57DAA">
                <w:pPr>
                  <w:jc w:val="right"/>
                  <w:rPr>
                    <w:sz w:val="11"/>
                    <w:szCs w:val="11"/>
                  </w:rPr>
                </w:pPr>
              </w:p>
            </w:tc>
            <w:tc>
              <w:tcPr>
                <w:tcW w:w="992" w:type="dxa"/>
                <w:vAlign w:val="center"/>
              </w:tcPr>
              <w:p w14:paraId="2DA08E36" w14:textId="77777777" w:rsidR="00E57DAA" w:rsidRDefault="00E57DAA">
                <w:pPr>
                  <w:jc w:val="right"/>
                  <w:rPr>
                    <w:sz w:val="11"/>
                    <w:szCs w:val="11"/>
                  </w:rPr>
                </w:pPr>
              </w:p>
            </w:tc>
            <w:tc>
              <w:tcPr>
                <w:tcW w:w="992" w:type="dxa"/>
                <w:vAlign w:val="center"/>
              </w:tcPr>
              <w:p w14:paraId="037C672B" w14:textId="77777777" w:rsidR="00E57DAA" w:rsidRDefault="00AC4185">
                <w:pPr>
                  <w:jc w:val="right"/>
                  <w:rPr>
                    <w:sz w:val="11"/>
                    <w:szCs w:val="11"/>
                  </w:rPr>
                </w:pPr>
                <w:r>
                  <w:rPr>
                    <w:sz w:val="11"/>
                    <w:szCs w:val="11"/>
                  </w:rPr>
                  <w:t>3,550,025.85</w:t>
                </w:r>
              </w:p>
            </w:tc>
            <w:tc>
              <w:tcPr>
                <w:tcW w:w="1418" w:type="dxa"/>
                <w:vAlign w:val="center"/>
              </w:tcPr>
              <w:p w14:paraId="568E7CEA" w14:textId="77777777" w:rsidR="00E57DAA" w:rsidRDefault="00AC4185">
                <w:pPr>
                  <w:jc w:val="right"/>
                  <w:rPr>
                    <w:sz w:val="11"/>
                    <w:szCs w:val="11"/>
                  </w:rPr>
                </w:pPr>
                <w:r>
                  <w:rPr>
                    <w:sz w:val="11"/>
                    <w:szCs w:val="11"/>
                  </w:rPr>
                  <w:t>659,729,061.70</w:t>
                </w:r>
              </w:p>
            </w:tc>
            <w:tc>
              <w:tcPr>
                <w:tcW w:w="1417" w:type="dxa"/>
                <w:vAlign w:val="center"/>
              </w:tcPr>
              <w:p w14:paraId="335B01DD" w14:textId="77777777" w:rsidR="00E57DAA" w:rsidRDefault="00AC4185">
                <w:pPr>
                  <w:jc w:val="right"/>
                  <w:rPr>
                    <w:sz w:val="11"/>
                    <w:szCs w:val="11"/>
                  </w:rPr>
                </w:pPr>
                <w:r>
                  <w:rPr>
                    <w:sz w:val="11"/>
                    <w:szCs w:val="11"/>
                  </w:rPr>
                  <w:t>1,233,933,768.34</w:t>
                </w:r>
              </w:p>
            </w:tc>
            <w:tc>
              <w:tcPr>
                <w:tcW w:w="1546" w:type="dxa"/>
                <w:vAlign w:val="center"/>
              </w:tcPr>
              <w:p w14:paraId="4563417E" w14:textId="77777777" w:rsidR="00E57DAA" w:rsidRDefault="00AC4185">
                <w:pPr>
                  <w:jc w:val="right"/>
                  <w:rPr>
                    <w:sz w:val="11"/>
                    <w:szCs w:val="11"/>
                  </w:rPr>
                </w:pPr>
                <w:r>
                  <w:rPr>
                    <w:sz w:val="11"/>
                    <w:szCs w:val="11"/>
                  </w:rPr>
                  <w:t>7,602,373,885.07</w:t>
                </w:r>
              </w:p>
            </w:tc>
          </w:tr>
          <w:tr w:rsidR="00E57DAA" w14:paraId="46D34E4A" w14:textId="77777777">
            <w:trPr>
              <w:trHeight w:val="20"/>
            </w:trPr>
            <w:sdt>
              <w:sdtPr>
                <w:rPr>
                  <w:sz w:val="11"/>
                  <w:szCs w:val="11"/>
                </w:rPr>
                <w:tag w:val="_PLD_302909e63784410386a25e7b0c2339c7"/>
                <w:id w:val="-1734533499"/>
              </w:sdtPr>
              <w:sdtEndPr/>
              <w:sdtContent>
                <w:tc>
                  <w:tcPr>
                    <w:tcW w:w="2394" w:type="dxa"/>
                  </w:tcPr>
                  <w:p w14:paraId="6D7AA3A5" w14:textId="77777777" w:rsidR="00E57DAA" w:rsidRDefault="00AC4185">
                    <w:pPr>
                      <w:rPr>
                        <w:sz w:val="11"/>
                        <w:szCs w:val="11"/>
                      </w:rPr>
                    </w:pPr>
                    <w:r>
                      <w:rPr>
                        <w:sz w:val="11"/>
                        <w:szCs w:val="11"/>
                      </w:rPr>
                      <w:t>三、本</w:t>
                    </w:r>
                    <w:r>
                      <w:rPr>
                        <w:rFonts w:hint="eastAsia"/>
                        <w:sz w:val="11"/>
                        <w:szCs w:val="11"/>
                      </w:rPr>
                      <w:t>期</w:t>
                    </w:r>
                    <w:r>
                      <w:rPr>
                        <w:sz w:val="11"/>
                        <w:szCs w:val="11"/>
                      </w:rPr>
                      <w:t>增减变动金额（减少以“－”号填列）</w:t>
                    </w:r>
                  </w:p>
                </w:tc>
              </w:sdtContent>
            </w:sdt>
            <w:tc>
              <w:tcPr>
                <w:tcW w:w="1318" w:type="dxa"/>
                <w:tcBorders>
                  <w:right w:val="single" w:sz="4" w:space="0" w:color="auto"/>
                </w:tcBorders>
                <w:vAlign w:val="center"/>
              </w:tcPr>
              <w:p w14:paraId="14E4D01A" w14:textId="77777777" w:rsidR="00E57DAA" w:rsidRDefault="00AC4185">
                <w:pPr>
                  <w:jc w:val="right"/>
                  <w:rPr>
                    <w:sz w:val="11"/>
                    <w:szCs w:val="11"/>
                  </w:rPr>
                </w:pPr>
                <w:r>
                  <w:rPr>
                    <w:sz w:val="11"/>
                    <w:szCs w:val="11"/>
                  </w:rPr>
                  <w:t>46,549,115.00</w:t>
                </w:r>
              </w:p>
            </w:tc>
            <w:tc>
              <w:tcPr>
                <w:tcW w:w="567" w:type="dxa"/>
                <w:tcBorders>
                  <w:left w:val="single" w:sz="4" w:space="0" w:color="auto"/>
                  <w:right w:val="single" w:sz="4" w:space="0" w:color="auto"/>
                </w:tcBorders>
                <w:vAlign w:val="center"/>
              </w:tcPr>
              <w:p w14:paraId="2910434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6FF289E2" w14:textId="77777777" w:rsidR="00E57DAA" w:rsidRDefault="00E57DAA">
                <w:pPr>
                  <w:jc w:val="right"/>
                  <w:rPr>
                    <w:sz w:val="11"/>
                    <w:szCs w:val="11"/>
                  </w:rPr>
                </w:pPr>
              </w:p>
            </w:tc>
            <w:tc>
              <w:tcPr>
                <w:tcW w:w="567" w:type="dxa"/>
                <w:tcBorders>
                  <w:left w:val="single" w:sz="4" w:space="0" w:color="auto"/>
                </w:tcBorders>
                <w:vAlign w:val="center"/>
              </w:tcPr>
              <w:p w14:paraId="46A083AF" w14:textId="77777777" w:rsidR="00E57DAA" w:rsidRDefault="00E57DAA">
                <w:pPr>
                  <w:jc w:val="right"/>
                  <w:rPr>
                    <w:sz w:val="11"/>
                    <w:szCs w:val="11"/>
                  </w:rPr>
                </w:pPr>
              </w:p>
            </w:tc>
            <w:tc>
              <w:tcPr>
                <w:tcW w:w="1134" w:type="dxa"/>
                <w:vAlign w:val="center"/>
              </w:tcPr>
              <w:p w14:paraId="16E8AFA9" w14:textId="77777777" w:rsidR="00E57DAA" w:rsidRDefault="00AC4185">
                <w:pPr>
                  <w:jc w:val="right"/>
                  <w:rPr>
                    <w:sz w:val="11"/>
                    <w:szCs w:val="11"/>
                  </w:rPr>
                </w:pPr>
                <w:r>
                  <w:rPr>
                    <w:sz w:val="11"/>
                    <w:szCs w:val="11"/>
                  </w:rPr>
                  <w:t>102,096,534.23</w:t>
                </w:r>
              </w:p>
            </w:tc>
            <w:tc>
              <w:tcPr>
                <w:tcW w:w="992" w:type="dxa"/>
                <w:vAlign w:val="center"/>
              </w:tcPr>
              <w:p w14:paraId="77A7AD20" w14:textId="77777777" w:rsidR="00E57DAA" w:rsidRDefault="00AC4185">
                <w:pPr>
                  <w:jc w:val="right"/>
                  <w:rPr>
                    <w:sz w:val="11"/>
                    <w:szCs w:val="11"/>
                  </w:rPr>
                </w:pPr>
                <w:r>
                  <w:rPr>
                    <w:sz w:val="11"/>
                    <w:szCs w:val="11"/>
                  </w:rPr>
                  <w:t>267,191,920.55</w:t>
                </w:r>
              </w:p>
            </w:tc>
            <w:tc>
              <w:tcPr>
                <w:tcW w:w="992" w:type="dxa"/>
                <w:vAlign w:val="center"/>
              </w:tcPr>
              <w:p w14:paraId="76A99072" w14:textId="77777777" w:rsidR="00E57DAA" w:rsidRDefault="00AC4185">
                <w:pPr>
                  <w:jc w:val="right"/>
                  <w:rPr>
                    <w:sz w:val="11"/>
                    <w:szCs w:val="11"/>
                  </w:rPr>
                </w:pPr>
                <w:r>
                  <w:rPr>
                    <w:sz w:val="11"/>
                    <w:szCs w:val="11"/>
                  </w:rPr>
                  <w:t>2,558,959.33</w:t>
                </w:r>
              </w:p>
            </w:tc>
            <w:tc>
              <w:tcPr>
                <w:tcW w:w="992" w:type="dxa"/>
                <w:vAlign w:val="center"/>
              </w:tcPr>
              <w:p w14:paraId="62174DF0" w14:textId="77777777" w:rsidR="00E57DAA" w:rsidRDefault="00AC4185">
                <w:pPr>
                  <w:jc w:val="right"/>
                  <w:rPr>
                    <w:sz w:val="11"/>
                    <w:szCs w:val="11"/>
                  </w:rPr>
                </w:pPr>
                <w:r>
                  <w:rPr>
                    <w:sz w:val="11"/>
                    <w:szCs w:val="11"/>
                  </w:rPr>
                  <w:t>118,040.63</w:t>
                </w:r>
              </w:p>
            </w:tc>
            <w:tc>
              <w:tcPr>
                <w:tcW w:w="1418" w:type="dxa"/>
                <w:vAlign w:val="center"/>
              </w:tcPr>
              <w:p w14:paraId="3315D903" w14:textId="77777777" w:rsidR="00E57DAA" w:rsidRDefault="00AC4185">
                <w:pPr>
                  <w:jc w:val="right"/>
                  <w:rPr>
                    <w:sz w:val="11"/>
                    <w:szCs w:val="11"/>
                  </w:rPr>
                </w:pPr>
                <w:r>
                  <w:rPr>
                    <w:sz w:val="11"/>
                    <w:szCs w:val="11"/>
                  </w:rPr>
                  <w:t>41,613,783.99</w:t>
                </w:r>
              </w:p>
            </w:tc>
            <w:tc>
              <w:tcPr>
                <w:tcW w:w="1417" w:type="dxa"/>
                <w:vAlign w:val="center"/>
              </w:tcPr>
              <w:p w14:paraId="68332659" w14:textId="77777777" w:rsidR="00E57DAA" w:rsidRDefault="00AC4185">
                <w:pPr>
                  <w:jc w:val="right"/>
                  <w:rPr>
                    <w:sz w:val="11"/>
                    <w:szCs w:val="11"/>
                  </w:rPr>
                </w:pPr>
                <w:r>
                  <w:rPr>
                    <w:sz w:val="11"/>
                    <w:szCs w:val="11"/>
                  </w:rPr>
                  <w:t>-146,571,318.78</w:t>
                </w:r>
              </w:p>
            </w:tc>
            <w:tc>
              <w:tcPr>
                <w:tcW w:w="1546" w:type="dxa"/>
                <w:vAlign w:val="center"/>
              </w:tcPr>
              <w:p w14:paraId="0D531182" w14:textId="77777777" w:rsidR="00E57DAA" w:rsidRDefault="00AC4185">
                <w:pPr>
                  <w:jc w:val="right"/>
                  <w:rPr>
                    <w:sz w:val="11"/>
                    <w:szCs w:val="11"/>
                  </w:rPr>
                </w:pPr>
                <w:r>
                  <w:rPr>
                    <w:sz w:val="11"/>
                    <w:szCs w:val="11"/>
                  </w:rPr>
                  <w:t>-220,826,806.15</w:t>
                </w:r>
              </w:p>
            </w:tc>
          </w:tr>
          <w:tr w:rsidR="00E57DAA" w14:paraId="46B99592" w14:textId="77777777">
            <w:trPr>
              <w:trHeight w:val="20"/>
            </w:trPr>
            <w:sdt>
              <w:sdtPr>
                <w:rPr>
                  <w:sz w:val="11"/>
                  <w:szCs w:val="11"/>
                </w:rPr>
                <w:tag w:val="_PLD_565b6c314fb34fb6b0c677b992754d48"/>
                <w:id w:val="719793120"/>
              </w:sdtPr>
              <w:sdtEndPr/>
              <w:sdtContent>
                <w:tc>
                  <w:tcPr>
                    <w:tcW w:w="2394" w:type="dxa"/>
                  </w:tcPr>
                  <w:p w14:paraId="336F5136" w14:textId="77777777" w:rsidR="00E57DAA" w:rsidRDefault="00AC4185">
                    <w:pPr>
                      <w:rPr>
                        <w:sz w:val="11"/>
                        <w:szCs w:val="11"/>
                      </w:rPr>
                    </w:pPr>
                    <w:r>
                      <w:rPr>
                        <w:rFonts w:hint="eastAsia"/>
                        <w:sz w:val="11"/>
                        <w:szCs w:val="11"/>
                      </w:rPr>
                      <w:t>（一）综合收益总额</w:t>
                    </w:r>
                  </w:p>
                </w:tc>
              </w:sdtContent>
            </w:sdt>
            <w:tc>
              <w:tcPr>
                <w:tcW w:w="1318" w:type="dxa"/>
                <w:tcBorders>
                  <w:right w:val="single" w:sz="4" w:space="0" w:color="auto"/>
                </w:tcBorders>
                <w:vAlign w:val="center"/>
              </w:tcPr>
              <w:p w14:paraId="508B66C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EF291D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AD1019B" w14:textId="77777777" w:rsidR="00E57DAA" w:rsidRDefault="00E57DAA">
                <w:pPr>
                  <w:jc w:val="right"/>
                  <w:rPr>
                    <w:sz w:val="11"/>
                    <w:szCs w:val="11"/>
                  </w:rPr>
                </w:pPr>
              </w:p>
            </w:tc>
            <w:tc>
              <w:tcPr>
                <w:tcW w:w="567" w:type="dxa"/>
                <w:tcBorders>
                  <w:left w:val="single" w:sz="4" w:space="0" w:color="auto"/>
                </w:tcBorders>
                <w:vAlign w:val="center"/>
              </w:tcPr>
              <w:p w14:paraId="0F374265" w14:textId="77777777" w:rsidR="00E57DAA" w:rsidRDefault="00E57DAA">
                <w:pPr>
                  <w:jc w:val="right"/>
                  <w:rPr>
                    <w:sz w:val="11"/>
                    <w:szCs w:val="11"/>
                  </w:rPr>
                </w:pPr>
              </w:p>
            </w:tc>
            <w:tc>
              <w:tcPr>
                <w:tcW w:w="1134" w:type="dxa"/>
                <w:vAlign w:val="center"/>
              </w:tcPr>
              <w:p w14:paraId="55FAE12D" w14:textId="77777777" w:rsidR="00E57DAA" w:rsidRDefault="00E57DAA">
                <w:pPr>
                  <w:jc w:val="right"/>
                  <w:rPr>
                    <w:sz w:val="11"/>
                    <w:szCs w:val="11"/>
                  </w:rPr>
                </w:pPr>
              </w:p>
            </w:tc>
            <w:tc>
              <w:tcPr>
                <w:tcW w:w="992" w:type="dxa"/>
                <w:vAlign w:val="center"/>
              </w:tcPr>
              <w:p w14:paraId="149D55F0" w14:textId="77777777" w:rsidR="00E57DAA" w:rsidRDefault="00E57DAA">
                <w:pPr>
                  <w:jc w:val="right"/>
                  <w:rPr>
                    <w:sz w:val="11"/>
                    <w:szCs w:val="11"/>
                  </w:rPr>
                </w:pPr>
              </w:p>
            </w:tc>
            <w:tc>
              <w:tcPr>
                <w:tcW w:w="992" w:type="dxa"/>
                <w:vAlign w:val="center"/>
              </w:tcPr>
              <w:p w14:paraId="72F6A2D0" w14:textId="77777777" w:rsidR="00E57DAA" w:rsidRDefault="00AC4185">
                <w:pPr>
                  <w:jc w:val="right"/>
                  <w:rPr>
                    <w:sz w:val="11"/>
                    <w:szCs w:val="11"/>
                  </w:rPr>
                </w:pPr>
                <w:r>
                  <w:rPr>
                    <w:sz w:val="11"/>
                    <w:szCs w:val="11"/>
                  </w:rPr>
                  <w:t>2,558,959.33</w:t>
                </w:r>
              </w:p>
            </w:tc>
            <w:tc>
              <w:tcPr>
                <w:tcW w:w="992" w:type="dxa"/>
                <w:vAlign w:val="center"/>
              </w:tcPr>
              <w:p w14:paraId="7AD10277" w14:textId="77777777" w:rsidR="00E57DAA" w:rsidRDefault="00E57DAA">
                <w:pPr>
                  <w:jc w:val="right"/>
                  <w:rPr>
                    <w:sz w:val="11"/>
                    <w:szCs w:val="11"/>
                  </w:rPr>
                </w:pPr>
              </w:p>
            </w:tc>
            <w:tc>
              <w:tcPr>
                <w:tcW w:w="1418" w:type="dxa"/>
                <w:vAlign w:val="center"/>
              </w:tcPr>
              <w:p w14:paraId="3F5887A4" w14:textId="77777777" w:rsidR="00E57DAA" w:rsidRDefault="00E57DAA">
                <w:pPr>
                  <w:jc w:val="right"/>
                  <w:rPr>
                    <w:sz w:val="11"/>
                    <w:szCs w:val="11"/>
                  </w:rPr>
                </w:pPr>
              </w:p>
            </w:tc>
            <w:tc>
              <w:tcPr>
                <w:tcW w:w="1417" w:type="dxa"/>
                <w:vAlign w:val="center"/>
              </w:tcPr>
              <w:p w14:paraId="42587485" w14:textId="77777777" w:rsidR="00E57DAA" w:rsidRDefault="00AC4185">
                <w:pPr>
                  <w:jc w:val="right"/>
                  <w:rPr>
                    <w:sz w:val="11"/>
                    <w:szCs w:val="11"/>
                  </w:rPr>
                </w:pPr>
                <w:r>
                  <w:rPr>
                    <w:sz w:val="11"/>
                    <w:szCs w:val="11"/>
                  </w:rPr>
                  <w:t>416,137,839.92</w:t>
                </w:r>
              </w:p>
            </w:tc>
            <w:tc>
              <w:tcPr>
                <w:tcW w:w="1546" w:type="dxa"/>
                <w:vAlign w:val="center"/>
              </w:tcPr>
              <w:p w14:paraId="567AF944" w14:textId="77777777" w:rsidR="00E57DAA" w:rsidRDefault="00AC4185">
                <w:pPr>
                  <w:jc w:val="right"/>
                  <w:rPr>
                    <w:sz w:val="11"/>
                    <w:szCs w:val="11"/>
                  </w:rPr>
                </w:pPr>
                <w:r>
                  <w:rPr>
                    <w:sz w:val="11"/>
                    <w:szCs w:val="11"/>
                  </w:rPr>
                  <w:t>418,696,799.25</w:t>
                </w:r>
              </w:p>
            </w:tc>
          </w:tr>
          <w:tr w:rsidR="00E57DAA" w14:paraId="3FEE93C0" w14:textId="77777777">
            <w:trPr>
              <w:trHeight w:val="20"/>
            </w:trPr>
            <w:sdt>
              <w:sdtPr>
                <w:rPr>
                  <w:sz w:val="11"/>
                  <w:szCs w:val="11"/>
                </w:rPr>
                <w:tag w:val="_PLD_4f759bcfeb8744e79a2c846685bf5bf7"/>
                <w:id w:val="-1857886220"/>
              </w:sdtPr>
              <w:sdtEndPr/>
              <w:sdtContent>
                <w:tc>
                  <w:tcPr>
                    <w:tcW w:w="2394" w:type="dxa"/>
                  </w:tcPr>
                  <w:p w14:paraId="58ABE325" w14:textId="77777777" w:rsidR="00E57DAA" w:rsidRDefault="00AC4185">
                    <w:pPr>
                      <w:rPr>
                        <w:sz w:val="11"/>
                        <w:szCs w:val="11"/>
                      </w:rPr>
                    </w:pPr>
                    <w:r>
                      <w:rPr>
                        <w:sz w:val="11"/>
                        <w:szCs w:val="11"/>
                      </w:rPr>
                      <w:t>（</w:t>
                    </w:r>
                    <w:r>
                      <w:rPr>
                        <w:rFonts w:hint="eastAsia"/>
                        <w:sz w:val="11"/>
                        <w:szCs w:val="11"/>
                      </w:rPr>
                      <w:t>二</w:t>
                    </w:r>
                    <w:r>
                      <w:rPr>
                        <w:sz w:val="11"/>
                        <w:szCs w:val="11"/>
                      </w:rPr>
                      <w:t>）所有者投入和减少资本</w:t>
                    </w:r>
                  </w:p>
                </w:tc>
              </w:sdtContent>
            </w:sdt>
            <w:tc>
              <w:tcPr>
                <w:tcW w:w="1318" w:type="dxa"/>
                <w:tcBorders>
                  <w:right w:val="single" w:sz="4" w:space="0" w:color="auto"/>
                </w:tcBorders>
                <w:vAlign w:val="center"/>
              </w:tcPr>
              <w:p w14:paraId="5535EBDD" w14:textId="77777777" w:rsidR="00E57DAA" w:rsidRDefault="00AC4185">
                <w:pPr>
                  <w:jc w:val="right"/>
                  <w:rPr>
                    <w:sz w:val="11"/>
                    <w:szCs w:val="11"/>
                  </w:rPr>
                </w:pPr>
                <w:r>
                  <w:rPr>
                    <w:sz w:val="11"/>
                    <w:szCs w:val="11"/>
                  </w:rPr>
                  <w:t>46,549,115.00</w:t>
                </w:r>
              </w:p>
            </w:tc>
            <w:tc>
              <w:tcPr>
                <w:tcW w:w="567" w:type="dxa"/>
                <w:tcBorders>
                  <w:left w:val="single" w:sz="4" w:space="0" w:color="auto"/>
                  <w:right w:val="single" w:sz="4" w:space="0" w:color="auto"/>
                </w:tcBorders>
                <w:vAlign w:val="center"/>
              </w:tcPr>
              <w:p w14:paraId="10A66CE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BADB2A9" w14:textId="77777777" w:rsidR="00E57DAA" w:rsidRDefault="00E57DAA">
                <w:pPr>
                  <w:jc w:val="right"/>
                  <w:rPr>
                    <w:sz w:val="11"/>
                    <w:szCs w:val="11"/>
                  </w:rPr>
                </w:pPr>
              </w:p>
            </w:tc>
            <w:tc>
              <w:tcPr>
                <w:tcW w:w="567" w:type="dxa"/>
                <w:tcBorders>
                  <w:left w:val="single" w:sz="4" w:space="0" w:color="auto"/>
                </w:tcBorders>
                <w:vAlign w:val="center"/>
              </w:tcPr>
              <w:p w14:paraId="31ABF32F" w14:textId="77777777" w:rsidR="00E57DAA" w:rsidRDefault="00E57DAA">
                <w:pPr>
                  <w:jc w:val="right"/>
                  <w:rPr>
                    <w:sz w:val="11"/>
                    <w:szCs w:val="11"/>
                  </w:rPr>
                </w:pPr>
              </w:p>
            </w:tc>
            <w:tc>
              <w:tcPr>
                <w:tcW w:w="1134" w:type="dxa"/>
                <w:vAlign w:val="center"/>
              </w:tcPr>
              <w:p w14:paraId="2C9D1A3B" w14:textId="77777777" w:rsidR="00E57DAA" w:rsidRDefault="00AC4185">
                <w:pPr>
                  <w:jc w:val="right"/>
                  <w:rPr>
                    <w:sz w:val="11"/>
                    <w:szCs w:val="11"/>
                  </w:rPr>
                </w:pPr>
                <w:r>
                  <w:rPr>
                    <w:sz w:val="11"/>
                    <w:szCs w:val="11"/>
                  </w:rPr>
                  <w:t>102,096,534.23</w:t>
                </w:r>
              </w:p>
            </w:tc>
            <w:tc>
              <w:tcPr>
                <w:tcW w:w="992" w:type="dxa"/>
                <w:vAlign w:val="center"/>
              </w:tcPr>
              <w:p w14:paraId="22042034" w14:textId="77777777" w:rsidR="00E57DAA" w:rsidRDefault="00AC4185">
                <w:pPr>
                  <w:jc w:val="right"/>
                  <w:rPr>
                    <w:sz w:val="11"/>
                    <w:szCs w:val="11"/>
                  </w:rPr>
                </w:pPr>
                <w:r>
                  <w:rPr>
                    <w:sz w:val="11"/>
                    <w:szCs w:val="11"/>
                  </w:rPr>
                  <w:t>267,191,920.55</w:t>
                </w:r>
              </w:p>
            </w:tc>
            <w:tc>
              <w:tcPr>
                <w:tcW w:w="992" w:type="dxa"/>
                <w:vAlign w:val="center"/>
              </w:tcPr>
              <w:p w14:paraId="13542B68" w14:textId="77777777" w:rsidR="00E57DAA" w:rsidRDefault="00E57DAA">
                <w:pPr>
                  <w:jc w:val="right"/>
                  <w:rPr>
                    <w:sz w:val="11"/>
                    <w:szCs w:val="11"/>
                  </w:rPr>
                </w:pPr>
              </w:p>
            </w:tc>
            <w:tc>
              <w:tcPr>
                <w:tcW w:w="992" w:type="dxa"/>
                <w:vAlign w:val="center"/>
              </w:tcPr>
              <w:p w14:paraId="1F11F752" w14:textId="77777777" w:rsidR="00E57DAA" w:rsidRDefault="00E57DAA">
                <w:pPr>
                  <w:jc w:val="right"/>
                  <w:rPr>
                    <w:sz w:val="11"/>
                    <w:szCs w:val="11"/>
                  </w:rPr>
                </w:pPr>
              </w:p>
            </w:tc>
            <w:tc>
              <w:tcPr>
                <w:tcW w:w="1418" w:type="dxa"/>
                <w:vAlign w:val="center"/>
              </w:tcPr>
              <w:p w14:paraId="0F49C3A8" w14:textId="77777777" w:rsidR="00E57DAA" w:rsidRDefault="00E57DAA">
                <w:pPr>
                  <w:jc w:val="right"/>
                  <w:rPr>
                    <w:sz w:val="11"/>
                    <w:szCs w:val="11"/>
                  </w:rPr>
                </w:pPr>
              </w:p>
            </w:tc>
            <w:tc>
              <w:tcPr>
                <w:tcW w:w="1417" w:type="dxa"/>
                <w:vAlign w:val="center"/>
              </w:tcPr>
              <w:p w14:paraId="1BE3C6B8" w14:textId="77777777" w:rsidR="00E57DAA" w:rsidRDefault="00E57DAA">
                <w:pPr>
                  <w:jc w:val="right"/>
                  <w:rPr>
                    <w:sz w:val="11"/>
                    <w:szCs w:val="11"/>
                  </w:rPr>
                </w:pPr>
              </w:p>
            </w:tc>
            <w:tc>
              <w:tcPr>
                <w:tcW w:w="1546" w:type="dxa"/>
                <w:vAlign w:val="center"/>
              </w:tcPr>
              <w:p w14:paraId="0C4B4DA6" w14:textId="77777777" w:rsidR="00E57DAA" w:rsidRDefault="00AC4185">
                <w:pPr>
                  <w:jc w:val="right"/>
                  <w:rPr>
                    <w:sz w:val="11"/>
                    <w:szCs w:val="11"/>
                  </w:rPr>
                </w:pPr>
                <w:r>
                  <w:rPr>
                    <w:sz w:val="11"/>
                    <w:szCs w:val="11"/>
                  </w:rPr>
                  <w:t>-118,546,271.32</w:t>
                </w:r>
              </w:p>
            </w:tc>
          </w:tr>
          <w:tr w:rsidR="00E57DAA" w14:paraId="08EFA535" w14:textId="77777777">
            <w:trPr>
              <w:trHeight w:val="20"/>
            </w:trPr>
            <w:sdt>
              <w:sdtPr>
                <w:rPr>
                  <w:sz w:val="11"/>
                  <w:szCs w:val="11"/>
                </w:rPr>
                <w:tag w:val="_PLD_2ca71442ff4441faa275f28e1236357f"/>
                <w:id w:val="-414699047"/>
              </w:sdtPr>
              <w:sdtEndPr/>
              <w:sdtContent>
                <w:tc>
                  <w:tcPr>
                    <w:tcW w:w="2394" w:type="dxa"/>
                  </w:tcPr>
                  <w:p w14:paraId="3EA6FA4D" w14:textId="77777777" w:rsidR="00E57DAA" w:rsidRDefault="00AC4185">
                    <w:pPr>
                      <w:rPr>
                        <w:sz w:val="11"/>
                        <w:szCs w:val="11"/>
                      </w:rPr>
                    </w:pPr>
                    <w:r>
                      <w:rPr>
                        <w:rFonts w:hint="eastAsia"/>
                        <w:sz w:val="11"/>
                        <w:szCs w:val="11"/>
                      </w:rPr>
                      <w:t>1．所有者投入的普通股</w:t>
                    </w:r>
                  </w:p>
                </w:tc>
              </w:sdtContent>
            </w:sdt>
            <w:tc>
              <w:tcPr>
                <w:tcW w:w="1318" w:type="dxa"/>
                <w:tcBorders>
                  <w:right w:val="single" w:sz="4" w:space="0" w:color="auto"/>
                </w:tcBorders>
                <w:vAlign w:val="center"/>
              </w:tcPr>
              <w:p w14:paraId="26DD35B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F635E5E"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227F34B" w14:textId="77777777" w:rsidR="00E57DAA" w:rsidRDefault="00E57DAA">
                <w:pPr>
                  <w:jc w:val="right"/>
                  <w:rPr>
                    <w:sz w:val="11"/>
                    <w:szCs w:val="11"/>
                  </w:rPr>
                </w:pPr>
              </w:p>
            </w:tc>
            <w:tc>
              <w:tcPr>
                <w:tcW w:w="567" w:type="dxa"/>
                <w:tcBorders>
                  <w:left w:val="single" w:sz="4" w:space="0" w:color="auto"/>
                </w:tcBorders>
                <w:vAlign w:val="center"/>
              </w:tcPr>
              <w:p w14:paraId="01AD7877" w14:textId="77777777" w:rsidR="00E57DAA" w:rsidRDefault="00E57DAA">
                <w:pPr>
                  <w:jc w:val="right"/>
                  <w:rPr>
                    <w:sz w:val="11"/>
                    <w:szCs w:val="11"/>
                  </w:rPr>
                </w:pPr>
              </w:p>
            </w:tc>
            <w:tc>
              <w:tcPr>
                <w:tcW w:w="1134" w:type="dxa"/>
                <w:vAlign w:val="center"/>
              </w:tcPr>
              <w:p w14:paraId="76F31637" w14:textId="77777777" w:rsidR="00E57DAA" w:rsidRDefault="00E57DAA">
                <w:pPr>
                  <w:jc w:val="right"/>
                  <w:rPr>
                    <w:sz w:val="11"/>
                    <w:szCs w:val="11"/>
                  </w:rPr>
                </w:pPr>
              </w:p>
            </w:tc>
            <w:tc>
              <w:tcPr>
                <w:tcW w:w="992" w:type="dxa"/>
                <w:vAlign w:val="center"/>
              </w:tcPr>
              <w:p w14:paraId="66A82388" w14:textId="77777777" w:rsidR="00E57DAA" w:rsidRDefault="00E57DAA">
                <w:pPr>
                  <w:jc w:val="right"/>
                  <w:rPr>
                    <w:sz w:val="11"/>
                    <w:szCs w:val="11"/>
                  </w:rPr>
                </w:pPr>
              </w:p>
            </w:tc>
            <w:tc>
              <w:tcPr>
                <w:tcW w:w="992" w:type="dxa"/>
                <w:vAlign w:val="center"/>
              </w:tcPr>
              <w:p w14:paraId="5B680A5F" w14:textId="77777777" w:rsidR="00E57DAA" w:rsidRDefault="00E57DAA">
                <w:pPr>
                  <w:jc w:val="right"/>
                  <w:rPr>
                    <w:sz w:val="11"/>
                    <w:szCs w:val="11"/>
                  </w:rPr>
                </w:pPr>
              </w:p>
            </w:tc>
            <w:tc>
              <w:tcPr>
                <w:tcW w:w="992" w:type="dxa"/>
                <w:vAlign w:val="center"/>
              </w:tcPr>
              <w:p w14:paraId="4162C2EA" w14:textId="77777777" w:rsidR="00E57DAA" w:rsidRDefault="00E57DAA">
                <w:pPr>
                  <w:jc w:val="right"/>
                  <w:rPr>
                    <w:sz w:val="11"/>
                    <w:szCs w:val="11"/>
                  </w:rPr>
                </w:pPr>
              </w:p>
            </w:tc>
            <w:tc>
              <w:tcPr>
                <w:tcW w:w="1418" w:type="dxa"/>
                <w:vAlign w:val="center"/>
              </w:tcPr>
              <w:p w14:paraId="04DC7423" w14:textId="77777777" w:rsidR="00E57DAA" w:rsidRDefault="00E57DAA">
                <w:pPr>
                  <w:jc w:val="right"/>
                  <w:rPr>
                    <w:sz w:val="11"/>
                    <w:szCs w:val="11"/>
                  </w:rPr>
                </w:pPr>
              </w:p>
            </w:tc>
            <w:tc>
              <w:tcPr>
                <w:tcW w:w="1417" w:type="dxa"/>
                <w:vAlign w:val="center"/>
              </w:tcPr>
              <w:p w14:paraId="18601020" w14:textId="77777777" w:rsidR="00E57DAA" w:rsidRDefault="00E57DAA">
                <w:pPr>
                  <w:jc w:val="right"/>
                  <w:rPr>
                    <w:sz w:val="11"/>
                    <w:szCs w:val="11"/>
                  </w:rPr>
                </w:pPr>
              </w:p>
            </w:tc>
            <w:tc>
              <w:tcPr>
                <w:tcW w:w="1546" w:type="dxa"/>
                <w:vAlign w:val="center"/>
              </w:tcPr>
              <w:p w14:paraId="385751F3" w14:textId="77777777" w:rsidR="00E57DAA" w:rsidRDefault="00E57DAA">
                <w:pPr>
                  <w:jc w:val="right"/>
                  <w:rPr>
                    <w:sz w:val="11"/>
                    <w:szCs w:val="11"/>
                  </w:rPr>
                </w:pPr>
              </w:p>
            </w:tc>
          </w:tr>
          <w:tr w:rsidR="00E57DAA" w14:paraId="24AEB9C1" w14:textId="77777777">
            <w:trPr>
              <w:trHeight w:val="20"/>
            </w:trPr>
            <w:sdt>
              <w:sdtPr>
                <w:rPr>
                  <w:sz w:val="11"/>
                  <w:szCs w:val="11"/>
                </w:rPr>
                <w:tag w:val="_PLD_c9217abeeb6e46ac8415ee33ff13a461"/>
                <w:id w:val="-1493638480"/>
              </w:sdtPr>
              <w:sdtEndPr/>
              <w:sdtContent>
                <w:tc>
                  <w:tcPr>
                    <w:tcW w:w="2394" w:type="dxa"/>
                  </w:tcPr>
                  <w:p w14:paraId="6CA19221" w14:textId="77777777" w:rsidR="00E57DAA" w:rsidRDefault="00AC4185">
                    <w:pPr>
                      <w:rPr>
                        <w:sz w:val="11"/>
                        <w:szCs w:val="11"/>
                      </w:rPr>
                    </w:pPr>
                    <w:r>
                      <w:rPr>
                        <w:rFonts w:hint="eastAsia"/>
                        <w:sz w:val="11"/>
                        <w:szCs w:val="11"/>
                      </w:rPr>
                      <w:t>2．其他权益工具持有者投入资本</w:t>
                    </w:r>
                  </w:p>
                </w:tc>
              </w:sdtContent>
            </w:sdt>
            <w:tc>
              <w:tcPr>
                <w:tcW w:w="1318" w:type="dxa"/>
                <w:tcBorders>
                  <w:right w:val="single" w:sz="4" w:space="0" w:color="auto"/>
                </w:tcBorders>
                <w:vAlign w:val="center"/>
              </w:tcPr>
              <w:p w14:paraId="0D6FFED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C8F5119"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126F643" w14:textId="77777777" w:rsidR="00E57DAA" w:rsidRDefault="00E57DAA">
                <w:pPr>
                  <w:jc w:val="right"/>
                  <w:rPr>
                    <w:sz w:val="11"/>
                    <w:szCs w:val="11"/>
                  </w:rPr>
                </w:pPr>
              </w:p>
            </w:tc>
            <w:tc>
              <w:tcPr>
                <w:tcW w:w="567" w:type="dxa"/>
                <w:tcBorders>
                  <w:left w:val="single" w:sz="4" w:space="0" w:color="auto"/>
                </w:tcBorders>
                <w:vAlign w:val="center"/>
              </w:tcPr>
              <w:p w14:paraId="0EC23B70" w14:textId="77777777" w:rsidR="00E57DAA" w:rsidRDefault="00E57DAA">
                <w:pPr>
                  <w:jc w:val="right"/>
                  <w:rPr>
                    <w:sz w:val="11"/>
                    <w:szCs w:val="11"/>
                  </w:rPr>
                </w:pPr>
              </w:p>
            </w:tc>
            <w:tc>
              <w:tcPr>
                <w:tcW w:w="1134" w:type="dxa"/>
                <w:vAlign w:val="center"/>
              </w:tcPr>
              <w:p w14:paraId="4C6EFC06" w14:textId="77777777" w:rsidR="00E57DAA" w:rsidRDefault="00E57DAA">
                <w:pPr>
                  <w:jc w:val="right"/>
                  <w:rPr>
                    <w:sz w:val="11"/>
                    <w:szCs w:val="11"/>
                  </w:rPr>
                </w:pPr>
              </w:p>
            </w:tc>
            <w:tc>
              <w:tcPr>
                <w:tcW w:w="992" w:type="dxa"/>
                <w:vAlign w:val="center"/>
              </w:tcPr>
              <w:p w14:paraId="58C73ED5" w14:textId="77777777" w:rsidR="00E57DAA" w:rsidRDefault="00E57DAA">
                <w:pPr>
                  <w:jc w:val="right"/>
                  <w:rPr>
                    <w:sz w:val="11"/>
                    <w:szCs w:val="11"/>
                  </w:rPr>
                </w:pPr>
              </w:p>
            </w:tc>
            <w:tc>
              <w:tcPr>
                <w:tcW w:w="992" w:type="dxa"/>
                <w:vAlign w:val="center"/>
              </w:tcPr>
              <w:p w14:paraId="6EC2443F" w14:textId="77777777" w:rsidR="00E57DAA" w:rsidRDefault="00E57DAA">
                <w:pPr>
                  <w:jc w:val="right"/>
                  <w:rPr>
                    <w:sz w:val="11"/>
                    <w:szCs w:val="11"/>
                  </w:rPr>
                </w:pPr>
              </w:p>
            </w:tc>
            <w:tc>
              <w:tcPr>
                <w:tcW w:w="992" w:type="dxa"/>
                <w:vAlign w:val="center"/>
              </w:tcPr>
              <w:p w14:paraId="2DC1210B" w14:textId="77777777" w:rsidR="00E57DAA" w:rsidRDefault="00E57DAA">
                <w:pPr>
                  <w:jc w:val="right"/>
                  <w:rPr>
                    <w:sz w:val="11"/>
                    <w:szCs w:val="11"/>
                  </w:rPr>
                </w:pPr>
              </w:p>
            </w:tc>
            <w:tc>
              <w:tcPr>
                <w:tcW w:w="1418" w:type="dxa"/>
                <w:vAlign w:val="center"/>
              </w:tcPr>
              <w:p w14:paraId="651D7C15" w14:textId="77777777" w:rsidR="00E57DAA" w:rsidRDefault="00E57DAA">
                <w:pPr>
                  <w:jc w:val="right"/>
                  <w:rPr>
                    <w:sz w:val="11"/>
                    <w:szCs w:val="11"/>
                  </w:rPr>
                </w:pPr>
              </w:p>
            </w:tc>
            <w:tc>
              <w:tcPr>
                <w:tcW w:w="1417" w:type="dxa"/>
                <w:vAlign w:val="center"/>
              </w:tcPr>
              <w:p w14:paraId="372E30B5" w14:textId="77777777" w:rsidR="00E57DAA" w:rsidRDefault="00E57DAA">
                <w:pPr>
                  <w:jc w:val="right"/>
                  <w:rPr>
                    <w:sz w:val="11"/>
                    <w:szCs w:val="11"/>
                  </w:rPr>
                </w:pPr>
              </w:p>
            </w:tc>
            <w:tc>
              <w:tcPr>
                <w:tcW w:w="1546" w:type="dxa"/>
                <w:vAlign w:val="center"/>
              </w:tcPr>
              <w:p w14:paraId="020F6BFF" w14:textId="77777777" w:rsidR="00E57DAA" w:rsidRDefault="00E57DAA">
                <w:pPr>
                  <w:jc w:val="right"/>
                  <w:rPr>
                    <w:sz w:val="11"/>
                    <w:szCs w:val="11"/>
                  </w:rPr>
                </w:pPr>
              </w:p>
            </w:tc>
          </w:tr>
          <w:tr w:rsidR="00E57DAA" w14:paraId="657822A8" w14:textId="77777777">
            <w:trPr>
              <w:trHeight w:val="20"/>
            </w:trPr>
            <w:sdt>
              <w:sdtPr>
                <w:rPr>
                  <w:sz w:val="11"/>
                  <w:szCs w:val="11"/>
                </w:rPr>
                <w:tag w:val="_PLD_5b62e12f39a04fa3a5e1647793ab3e5e"/>
                <w:id w:val="-163091141"/>
              </w:sdtPr>
              <w:sdtEndPr/>
              <w:sdtContent>
                <w:tc>
                  <w:tcPr>
                    <w:tcW w:w="2394" w:type="dxa"/>
                  </w:tcPr>
                  <w:p w14:paraId="5E18E9B8" w14:textId="77777777" w:rsidR="00E57DAA" w:rsidRDefault="00AC4185">
                    <w:pPr>
                      <w:rPr>
                        <w:sz w:val="11"/>
                        <w:szCs w:val="11"/>
                      </w:rPr>
                    </w:pPr>
                    <w:r>
                      <w:rPr>
                        <w:rFonts w:hint="eastAsia"/>
                        <w:sz w:val="11"/>
                        <w:szCs w:val="11"/>
                      </w:rPr>
                      <w:t>3</w:t>
                    </w:r>
                    <w:r>
                      <w:rPr>
                        <w:sz w:val="11"/>
                        <w:szCs w:val="11"/>
                      </w:rPr>
                      <w:t>．股份支付计入所有者权益的金额</w:t>
                    </w:r>
                  </w:p>
                </w:tc>
              </w:sdtContent>
            </w:sdt>
            <w:tc>
              <w:tcPr>
                <w:tcW w:w="1318" w:type="dxa"/>
                <w:tcBorders>
                  <w:right w:val="single" w:sz="4" w:space="0" w:color="auto"/>
                </w:tcBorders>
                <w:vAlign w:val="center"/>
              </w:tcPr>
              <w:p w14:paraId="7CCB290F" w14:textId="77777777" w:rsidR="00E57DAA" w:rsidRDefault="00AC4185">
                <w:pPr>
                  <w:jc w:val="right"/>
                  <w:rPr>
                    <w:sz w:val="11"/>
                    <w:szCs w:val="11"/>
                  </w:rPr>
                </w:pPr>
                <w:r>
                  <w:rPr>
                    <w:sz w:val="11"/>
                    <w:szCs w:val="11"/>
                  </w:rPr>
                  <w:t>46,549,115.00</w:t>
                </w:r>
              </w:p>
            </w:tc>
            <w:tc>
              <w:tcPr>
                <w:tcW w:w="567" w:type="dxa"/>
                <w:tcBorders>
                  <w:left w:val="single" w:sz="4" w:space="0" w:color="auto"/>
                  <w:right w:val="single" w:sz="4" w:space="0" w:color="auto"/>
                </w:tcBorders>
                <w:vAlign w:val="center"/>
              </w:tcPr>
              <w:p w14:paraId="18F30FE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FB5B050" w14:textId="77777777" w:rsidR="00E57DAA" w:rsidRDefault="00E57DAA">
                <w:pPr>
                  <w:jc w:val="right"/>
                  <w:rPr>
                    <w:sz w:val="11"/>
                    <w:szCs w:val="11"/>
                  </w:rPr>
                </w:pPr>
              </w:p>
            </w:tc>
            <w:tc>
              <w:tcPr>
                <w:tcW w:w="567" w:type="dxa"/>
                <w:tcBorders>
                  <w:left w:val="single" w:sz="4" w:space="0" w:color="auto"/>
                </w:tcBorders>
                <w:vAlign w:val="center"/>
              </w:tcPr>
              <w:p w14:paraId="3839CB06" w14:textId="77777777" w:rsidR="00E57DAA" w:rsidRDefault="00E57DAA">
                <w:pPr>
                  <w:jc w:val="right"/>
                  <w:rPr>
                    <w:sz w:val="11"/>
                    <w:szCs w:val="11"/>
                  </w:rPr>
                </w:pPr>
              </w:p>
            </w:tc>
            <w:tc>
              <w:tcPr>
                <w:tcW w:w="1134" w:type="dxa"/>
                <w:vAlign w:val="center"/>
              </w:tcPr>
              <w:p w14:paraId="1C2E767B" w14:textId="77777777" w:rsidR="00E57DAA" w:rsidRDefault="00AC4185">
                <w:pPr>
                  <w:jc w:val="right"/>
                  <w:rPr>
                    <w:sz w:val="11"/>
                    <w:szCs w:val="11"/>
                  </w:rPr>
                </w:pPr>
                <w:r>
                  <w:rPr>
                    <w:sz w:val="11"/>
                    <w:szCs w:val="11"/>
                  </w:rPr>
                  <w:t>274,030,509.49</w:t>
                </w:r>
              </w:p>
            </w:tc>
            <w:tc>
              <w:tcPr>
                <w:tcW w:w="992" w:type="dxa"/>
                <w:vAlign w:val="center"/>
              </w:tcPr>
              <w:p w14:paraId="3D84033B" w14:textId="77777777" w:rsidR="00E57DAA" w:rsidRDefault="00E57DAA">
                <w:pPr>
                  <w:jc w:val="right"/>
                  <w:rPr>
                    <w:sz w:val="11"/>
                    <w:szCs w:val="11"/>
                  </w:rPr>
                </w:pPr>
              </w:p>
            </w:tc>
            <w:tc>
              <w:tcPr>
                <w:tcW w:w="992" w:type="dxa"/>
                <w:vAlign w:val="center"/>
              </w:tcPr>
              <w:p w14:paraId="0C7CD144" w14:textId="77777777" w:rsidR="00E57DAA" w:rsidRDefault="00E57DAA">
                <w:pPr>
                  <w:jc w:val="right"/>
                  <w:rPr>
                    <w:sz w:val="11"/>
                    <w:szCs w:val="11"/>
                  </w:rPr>
                </w:pPr>
              </w:p>
            </w:tc>
            <w:tc>
              <w:tcPr>
                <w:tcW w:w="992" w:type="dxa"/>
                <w:vAlign w:val="center"/>
              </w:tcPr>
              <w:p w14:paraId="2B74E796" w14:textId="77777777" w:rsidR="00E57DAA" w:rsidRDefault="00E57DAA">
                <w:pPr>
                  <w:jc w:val="right"/>
                  <w:rPr>
                    <w:sz w:val="11"/>
                    <w:szCs w:val="11"/>
                  </w:rPr>
                </w:pPr>
              </w:p>
            </w:tc>
            <w:tc>
              <w:tcPr>
                <w:tcW w:w="1418" w:type="dxa"/>
                <w:vAlign w:val="center"/>
              </w:tcPr>
              <w:p w14:paraId="3EE51CB7" w14:textId="77777777" w:rsidR="00E57DAA" w:rsidRDefault="00E57DAA">
                <w:pPr>
                  <w:jc w:val="right"/>
                  <w:rPr>
                    <w:sz w:val="11"/>
                    <w:szCs w:val="11"/>
                  </w:rPr>
                </w:pPr>
              </w:p>
            </w:tc>
            <w:tc>
              <w:tcPr>
                <w:tcW w:w="1417" w:type="dxa"/>
                <w:vAlign w:val="center"/>
              </w:tcPr>
              <w:p w14:paraId="768B6D4C" w14:textId="77777777" w:rsidR="00E57DAA" w:rsidRDefault="00E57DAA">
                <w:pPr>
                  <w:jc w:val="right"/>
                  <w:rPr>
                    <w:sz w:val="11"/>
                    <w:szCs w:val="11"/>
                  </w:rPr>
                </w:pPr>
              </w:p>
            </w:tc>
            <w:tc>
              <w:tcPr>
                <w:tcW w:w="1546" w:type="dxa"/>
                <w:vAlign w:val="center"/>
              </w:tcPr>
              <w:p w14:paraId="5DECEE20" w14:textId="77777777" w:rsidR="00E57DAA" w:rsidRDefault="00AC4185">
                <w:pPr>
                  <w:jc w:val="right"/>
                  <w:rPr>
                    <w:sz w:val="11"/>
                    <w:szCs w:val="11"/>
                  </w:rPr>
                </w:pPr>
                <w:r>
                  <w:rPr>
                    <w:sz w:val="11"/>
                    <w:szCs w:val="11"/>
                  </w:rPr>
                  <w:t>320,579,624.49</w:t>
                </w:r>
              </w:p>
            </w:tc>
          </w:tr>
          <w:tr w:rsidR="00E57DAA" w14:paraId="63B543EF" w14:textId="77777777">
            <w:trPr>
              <w:trHeight w:val="20"/>
            </w:trPr>
            <w:sdt>
              <w:sdtPr>
                <w:rPr>
                  <w:sz w:val="11"/>
                  <w:szCs w:val="11"/>
                </w:rPr>
                <w:tag w:val="_PLD_09a354c759244b168ea7e28904658be8"/>
                <w:id w:val="-725605724"/>
              </w:sdtPr>
              <w:sdtEndPr/>
              <w:sdtContent>
                <w:tc>
                  <w:tcPr>
                    <w:tcW w:w="2394" w:type="dxa"/>
                  </w:tcPr>
                  <w:p w14:paraId="4CD6697D" w14:textId="77777777" w:rsidR="00E57DAA" w:rsidRDefault="00AC4185">
                    <w:pPr>
                      <w:rPr>
                        <w:sz w:val="11"/>
                        <w:szCs w:val="11"/>
                      </w:rPr>
                    </w:pPr>
                    <w:r>
                      <w:rPr>
                        <w:rFonts w:hint="eastAsia"/>
                        <w:sz w:val="11"/>
                        <w:szCs w:val="11"/>
                      </w:rPr>
                      <w:t>4</w:t>
                    </w:r>
                    <w:r>
                      <w:rPr>
                        <w:sz w:val="11"/>
                        <w:szCs w:val="11"/>
                      </w:rPr>
                      <w:t>．其他</w:t>
                    </w:r>
                  </w:p>
                </w:tc>
              </w:sdtContent>
            </w:sdt>
            <w:tc>
              <w:tcPr>
                <w:tcW w:w="1318" w:type="dxa"/>
                <w:tcBorders>
                  <w:right w:val="single" w:sz="4" w:space="0" w:color="auto"/>
                </w:tcBorders>
                <w:vAlign w:val="center"/>
              </w:tcPr>
              <w:p w14:paraId="5899ADC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AADD064"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9205F47" w14:textId="77777777" w:rsidR="00E57DAA" w:rsidRDefault="00E57DAA">
                <w:pPr>
                  <w:jc w:val="right"/>
                  <w:rPr>
                    <w:sz w:val="11"/>
                    <w:szCs w:val="11"/>
                  </w:rPr>
                </w:pPr>
              </w:p>
            </w:tc>
            <w:tc>
              <w:tcPr>
                <w:tcW w:w="567" w:type="dxa"/>
                <w:tcBorders>
                  <w:left w:val="single" w:sz="4" w:space="0" w:color="auto"/>
                </w:tcBorders>
                <w:vAlign w:val="center"/>
              </w:tcPr>
              <w:p w14:paraId="09F3DD32" w14:textId="77777777" w:rsidR="00E57DAA" w:rsidRDefault="00E57DAA">
                <w:pPr>
                  <w:jc w:val="right"/>
                  <w:rPr>
                    <w:sz w:val="11"/>
                    <w:szCs w:val="11"/>
                  </w:rPr>
                </w:pPr>
              </w:p>
            </w:tc>
            <w:tc>
              <w:tcPr>
                <w:tcW w:w="1134" w:type="dxa"/>
                <w:vAlign w:val="center"/>
              </w:tcPr>
              <w:p w14:paraId="6B7975B1" w14:textId="77777777" w:rsidR="00E57DAA" w:rsidRDefault="00AC4185">
                <w:pPr>
                  <w:jc w:val="right"/>
                  <w:rPr>
                    <w:sz w:val="11"/>
                    <w:szCs w:val="11"/>
                  </w:rPr>
                </w:pPr>
                <w:r>
                  <w:rPr>
                    <w:sz w:val="11"/>
                    <w:szCs w:val="11"/>
                  </w:rPr>
                  <w:t>-171,933,975.26</w:t>
                </w:r>
              </w:p>
            </w:tc>
            <w:tc>
              <w:tcPr>
                <w:tcW w:w="992" w:type="dxa"/>
                <w:vAlign w:val="center"/>
              </w:tcPr>
              <w:p w14:paraId="2DA4FFC9" w14:textId="77777777" w:rsidR="00E57DAA" w:rsidRDefault="00AC4185">
                <w:pPr>
                  <w:jc w:val="right"/>
                  <w:rPr>
                    <w:sz w:val="11"/>
                    <w:szCs w:val="11"/>
                  </w:rPr>
                </w:pPr>
                <w:r>
                  <w:rPr>
                    <w:sz w:val="11"/>
                    <w:szCs w:val="11"/>
                  </w:rPr>
                  <w:t>267,191,920.55</w:t>
                </w:r>
              </w:p>
            </w:tc>
            <w:tc>
              <w:tcPr>
                <w:tcW w:w="992" w:type="dxa"/>
                <w:vAlign w:val="center"/>
              </w:tcPr>
              <w:p w14:paraId="2DF59EDB" w14:textId="77777777" w:rsidR="00E57DAA" w:rsidRDefault="00E57DAA">
                <w:pPr>
                  <w:jc w:val="right"/>
                  <w:rPr>
                    <w:sz w:val="11"/>
                    <w:szCs w:val="11"/>
                  </w:rPr>
                </w:pPr>
              </w:p>
            </w:tc>
            <w:tc>
              <w:tcPr>
                <w:tcW w:w="992" w:type="dxa"/>
                <w:vAlign w:val="center"/>
              </w:tcPr>
              <w:p w14:paraId="42DC136C" w14:textId="77777777" w:rsidR="00E57DAA" w:rsidRDefault="00E57DAA">
                <w:pPr>
                  <w:jc w:val="right"/>
                  <w:rPr>
                    <w:sz w:val="11"/>
                    <w:szCs w:val="11"/>
                  </w:rPr>
                </w:pPr>
              </w:p>
            </w:tc>
            <w:tc>
              <w:tcPr>
                <w:tcW w:w="1418" w:type="dxa"/>
                <w:vAlign w:val="center"/>
              </w:tcPr>
              <w:p w14:paraId="0FE1E43D" w14:textId="77777777" w:rsidR="00E57DAA" w:rsidRDefault="00E57DAA">
                <w:pPr>
                  <w:jc w:val="right"/>
                  <w:rPr>
                    <w:sz w:val="11"/>
                    <w:szCs w:val="11"/>
                  </w:rPr>
                </w:pPr>
              </w:p>
            </w:tc>
            <w:tc>
              <w:tcPr>
                <w:tcW w:w="1417" w:type="dxa"/>
                <w:vAlign w:val="center"/>
              </w:tcPr>
              <w:p w14:paraId="67FDAF01" w14:textId="77777777" w:rsidR="00E57DAA" w:rsidRDefault="00E57DAA">
                <w:pPr>
                  <w:jc w:val="right"/>
                  <w:rPr>
                    <w:sz w:val="11"/>
                    <w:szCs w:val="11"/>
                  </w:rPr>
                </w:pPr>
              </w:p>
            </w:tc>
            <w:tc>
              <w:tcPr>
                <w:tcW w:w="1546" w:type="dxa"/>
                <w:vAlign w:val="center"/>
              </w:tcPr>
              <w:p w14:paraId="0A2FB812" w14:textId="77777777" w:rsidR="00E57DAA" w:rsidRDefault="00AC4185">
                <w:pPr>
                  <w:jc w:val="right"/>
                  <w:rPr>
                    <w:sz w:val="11"/>
                    <w:szCs w:val="11"/>
                  </w:rPr>
                </w:pPr>
                <w:r>
                  <w:rPr>
                    <w:sz w:val="11"/>
                    <w:szCs w:val="11"/>
                  </w:rPr>
                  <w:t>-439,125,895.81</w:t>
                </w:r>
              </w:p>
            </w:tc>
          </w:tr>
          <w:tr w:rsidR="00E57DAA" w14:paraId="443E935F" w14:textId="77777777">
            <w:trPr>
              <w:trHeight w:val="20"/>
            </w:trPr>
            <w:sdt>
              <w:sdtPr>
                <w:rPr>
                  <w:sz w:val="11"/>
                  <w:szCs w:val="11"/>
                </w:rPr>
                <w:tag w:val="_PLD_806901fee79c40f688fa2f02ab1d596d"/>
                <w:id w:val="1184174782"/>
              </w:sdtPr>
              <w:sdtEndPr/>
              <w:sdtContent>
                <w:tc>
                  <w:tcPr>
                    <w:tcW w:w="2394" w:type="dxa"/>
                  </w:tcPr>
                  <w:p w14:paraId="3BFC06E9" w14:textId="77777777" w:rsidR="00E57DAA" w:rsidRDefault="00AC4185">
                    <w:pPr>
                      <w:rPr>
                        <w:sz w:val="11"/>
                        <w:szCs w:val="11"/>
                      </w:rPr>
                    </w:pPr>
                    <w:r>
                      <w:rPr>
                        <w:sz w:val="11"/>
                        <w:szCs w:val="11"/>
                      </w:rPr>
                      <w:t>（</w:t>
                    </w:r>
                    <w:r>
                      <w:rPr>
                        <w:rFonts w:hint="eastAsia"/>
                        <w:sz w:val="11"/>
                        <w:szCs w:val="11"/>
                      </w:rPr>
                      <w:t>三</w:t>
                    </w:r>
                    <w:r>
                      <w:rPr>
                        <w:sz w:val="11"/>
                        <w:szCs w:val="11"/>
                      </w:rPr>
                      <w:t>）利润分配</w:t>
                    </w:r>
                  </w:p>
                </w:tc>
              </w:sdtContent>
            </w:sdt>
            <w:tc>
              <w:tcPr>
                <w:tcW w:w="1318" w:type="dxa"/>
                <w:tcBorders>
                  <w:right w:val="single" w:sz="4" w:space="0" w:color="auto"/>
                </w:tcBorders>
                <w:vAlign w:val="center"/>
              </w:tcPr>
              <w:p w14:paraId="4EA1DF60"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30351B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162021E" w14:textId="77777777" w:rsidR="00E57DAA" w:rsidRDefault="00E57DAA">
                <w:pPr>
                  <w:jc w:val="right"/>
                  <w:rPr>
                    <w:sz w:val="11"/>
                    <w:szCs w:val="11"/>
                  </w:rPr>
                </w:pPr>
              </w:p>
            </w:tc>
            <w:tc>
              <w:tcPr>
                <w:tcW w:w="567" w:type="dxa"/>
                <w:tcBorders>
                  <w:left w:val="single" w:sz="4" w:space="0" w:color="auto"/>
                </w:tcBorders>
                <w:vAlign w:val="center"/>
              </w:tcPr>
              <w:p w14:paraId="47F7F451" w14:textId="77777777" w:rsidR="00E57DAA" w:rsidRDefault="00E57DAA">
                <w:pPr>
                  <w:jc w:val="right"/>
                  <w:rPr>
                    <w:sz w:val="11"/>
                    <w:szCs w:val="11"/>
                  </w:rPr>
                </w:pPr>
              </w:p>
            </w:tc>
            <w:tc>
              <w:tcPr>
                <w:tcW w:w="1134" w:type="dxa"/>
                <w:vAlign w:val="center"/>
              </w:tcPr>
              <w:p w14:paraId="0E64A2D7" w14:textId="77777777" w:rsidR="00E57DAA" w:rsidRDefault="00E57DAA">
                <w:pPr>
                  <w:jc w:val="right"/>
                  <w:rPr>
                    <w:sz w:val="11"/>
                    <w:szCs w:val="11"/>
                  </w:rPr>
                </w:pPr>
              </w:p>
            </w:tc>
            <w:tc>
              <w:tcPr>
                <w:tcW w:w="992" w:type="dxa"/>
                <w:vAlign w:val="center"/>
              </w:tcPr>
              <w:p w14:paraId="45C7DCA9" w14:textId="77777777" w:rsidR="00E57DAA" w:rsidRDefault="00E57DAA">
                <w:pPr>
                  <w:jc w:val="right"/>
                  <w:rPr>
                    <w:sz w:val="11"/>
                    <w:szCs w:val="11"/>
                  </w:rPr>
                </w:pPr>
              </w:p>
            </w:tc>
            <w:tc>
              <w:tcPr>
                <w:tcW w:w="992" w:type="dxa"/>
                <w:vAlign w:val="center"/>
              </w:tcPr>
              <w:p w14:paraId="1F690EF8" w14:textId="77777777" w:rsidR="00E57DAA" w:rsidRDefault="00E57DAA">
                <w:pPr>
                  <w:jc w:val="right"/>
                  <w:rPr>
                    <w:sz w:val="11"/>
                    <w:szCs w:val="11"/>
                  </w:rPr>
                </w:pPr>
              </w:p>
            </w:tc>
            <w:tc>
              <w:tcPr>
                <w:tcW w:w="992" w:type="dxa"/>
                <w:vAlign w:val="center"/>
              </w:tcPr>
              <w:p w14:paraId="1C701630" w14:textId="77777777" w:rsidR="00E57DAA" w:rsidRDefault="00E57DAA">
                <w:pPr>
                  <w:jc w:val="right"/>
                  <w:rPr>
                    <w:sz w:val="11"/>
                    <w:szCs w:val="11"/>
                  </w:rPr>
                </w:pPr>
              </w:p>
            </w:tc>
            <w:tc>
              <w:tcPr>
                <w:tcW w:w="1418" w:type="dxa"/>
                <w:vAlign w:val="center"/>
              </w:tcPr>
              <w:p w14:paraId="130FFDF7" w14:textId="77777777" w:rsidR="00E57DAA" w:rsidRDefault="00AC4185">
                <w:pPr>
                  <w:jc w:val="right"/>
                  <w:rPr>
                    <w:sz w:val="11"/>
                    <w:szCs w:val="11"/>
                  </w:rPr>
                </w:pPr>
                <w:r>
                  <w:rPr>
                    <w:sz w:val="11"/>
                    <w:szCs w:val="11"/>
                  </w:rPr>
                  <w:t>41,613,783.99</w:t>
                </w:r>
              </w:p>
            </w:tc>
            <w:tc>
              <w:tcPr>
                <w:tcW w:w="1417" w:type="dxa"/>
                <w:vAlign w:val="center"/>
              </w:tcPr>
              <w:p w14:paraId="678EADFE" w14:textId="77777777" w:rsidR="00E57DAA" w:rsidRDefault="00AC4185">
                <w:pPr>
                  <w:jc w:val="right"/>
                  <w:rPr>
                    <w:sz w:val="11"/>
                    <w:szCs w:val="11"/>
                  </w:rPr>
                </w:pPr>
                <w:r>
                  <w:rPr>
                    <w:sz w:val="11"/>
                    <w:szCs w:val="11"/>
                  </w:rPr>
                  <w:t>-562,709,158.70</w:t>
                </w:r>
              </w:p>
            </w:tc>
            <w:tc>
              <w:tcPr>
                <w:tcW w:w="1546" w:type="dxa"/>
                <w:vAlign w:val="center"/>
              </w:tcPr>
              <w:p w14:paraId="67B5CB21" w14:textId="77777777" w:rsidR="00E57DAA" w:rsidRDefault="00AC4185">
                <w:pPr>
                  <w:jc w:val="right"/>
                  <w:rPr>
                    <w:sz w:val="11"/>
                    <w:szCs w:val="11"/>
                  </w:rPr>
                </w:pPr>
                <w:r>
                  <w:rPr>
                    <w:sz w:val="11"/>
                    <w:szCs w:val="11"/>
                  </w:rPr>
                  <w:t>-521,095,374.71</w:t>
                </w:r>
              </w:p>
            </w:tc>
          </w:tr>
          <w:tr w:rsidR="00E57DAA" w14:paraId="7F3F719C" w14:textId="77777777">
            <w:trPr>
              <w:trHeight w:val="20"/>
            </w:trPr>
            <w:sdt>
              <w:sdtPr>
                <w:rPr>
                  <w:sz w:val="11"/>
                  <w:szCs w:val="11"/>
                </w:rPr>
                <w:tag w:val="_PLD_5936c2d33e22476597644c98158847c6"/>
                <w:id w:val="1128821163"/>
              </w:sdtPr>
              <w:sdtEndPr/>
              <w:sdtContent>
                <w:tc>
                  <w:tcPr>
                    <w:tcW w:w="2394" w:type="dxa"/>
                  </w:tcPr>
                  <w:p w14:paraId="2FA869F2" w14:textId="77777777" w:rsidR="00E57DAA" w:rsidRDefault="00AC4185">
                    <w:pPr>
                      <w:rPr>
                        <w:sz w:val="11"/>
                        <w:szCs w:val="11"/>
                      </w:rPr>
                    </w:pPr>
                    <w:r>
                      <w:rPr>
                        <w:sz w:val="11"/>
                        <w:szCs w:val="11"/>
                      </w:rPr>
                      <w:t>1．提取盈余公积</w:t>
                    </w:r>
                  </w:p>
                </w:tc>
              </w:sdtContent>
            </w:sdt>
            <w:tc>
              <w:tcPr>
                <w:tcW w:w="1318" w:type="dxa"/>
                <w:tcBorders>
                  <w:right w:val="single" w:sz="4" w:space="0" w:color="auto"/>
                </w:tcBorders>
                <w:vAlign w:val="center"/>
              </w:tcPr>
              <w:p w14:paraId="6AF538D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C9348D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95ED9FE" w14:textId="77777777" w:rsidR="00E57DAA" w:rsidRDefault="00E57DAA">
                <w:pPr>
                  <w:jc w:val="right"/>
                  <w:rPr>
                    <w:sz w:val="11"/>
                    <w:szCs w:val="11"/>
                  </w:rPr>
                </w:pPr>
              </w:p>
            </w:tc>
            <w:tc>
              <w:tcPr>
                <w:tcW w:w="567" w:type="dxa"/>
                <w:tcBorders>
                  <w:left w:val="single" w:sz="4" w:space="0" w:color="auto"/>
                </w:tcBorders>
                <w:vAlign w:val="center"/>
              </w:tcPr>
              <w:p w14:paraId="66DDB658" w14:textId="77777777" w:rsidR="00E57DAA" w:rsidRDefault="00E57DAA">
                <w:pPr>
                  <w:jc w:val="right"/>
                  <w:rPr>
                    <w:sz w:val="11"/>
                    <w:szCs w:val="11"/>
                  </w:rPr>
                </w:pPr>
              </w:p>
            </w:tc>
            <w:tc>
              <w:tcPr>
                <w:tcW w:w="1134" w:type="dxa"/>
                <w:vAlign w:val="center"/>
              </w:tcPr>
              <w:p w14:paraId="62A93C56" w14:textId="77777777" w:rsidR="00E57DAA" w:rsidRDefault="00E57DAA">
                <w:pPr>
                  <w:jc w:val="right"/>
                  <w:rPr>
                    <w:sz w:val="11"/>
                    <w:szCs w:val="11"/>
                  </w:rPr>
                </w:pPr>
              </w:p>
            </w:tc>
            <w:tc>
              <w:tcPr>
                <w:tcW w:w="992" w:type="dxa"/>
                <w:vAlign w:val="center"/>
              </w:tcPr>
              <w:p w14:paraId="117C9E70" w14:textId="77777777" w:rsidR="00E57DAA" w:rsidRDefault="00E57DAA">
                <w:pPr>
                  <w:jc w:val="right"/>
                  <w:rPr>
                    <w:sz w:val="11"/>
                    <w:szCs w:val="11"/>
                  </w:rPr>
                </w:pPr>
              </w:p>
            </w:tc>
            <w:tc>
              <w:tcPr>
                <w:tcW w:w="992" w:type="dxa"/>
                <w:vAlign w:val="center"/>
              </w:tcPr>
              <w:p w14:paraId="74D6F771" w14:textId="77777777" w:rsidR="00E57DAA" w:rsidRDefault="00E57DAA">
                <w:pPr>
                  <w:jc w:val="right"/>
                  <w:rPr>
                    <w:sz w:val="11"/>
                    <w:szCs w:val="11"/>
                  </w:rPr>
                </w:pPr>
              </w:p>
            </w:tc>
            <w:tc>
              <w:tcPr>
                <w:tcW w:w="992" w:type="dxa"/>
                <w:vAlign w:val="center"/>
              </w:tcPr>
              <w:p w14:paraId="75DF9233" w14:textId="77777777" w:rsidR="00E57DAA" w:rsidRDefault="00E57DAA">
                <w:pPr>
                  <w:jc w:val="right"/>
                  <w:rPr>
                    <w:sz w:val="11"/>
                    <w:szCs w:val="11"/>
                  </w:rPr>
                </w:pPr>
              </w:p>
            </w:tc>
            <w:tc>
              <w:tcPr>
                <w:tcW w:w="1418" w:type="dxa"/>
                <w:vAlign w:val="center"/>
              </w:tcPr>
              <w:p w14:paraId="1CF89AF3" w14:textId="77777777" w:rsidR="00E57DAA" w:rsidRDefault="00AC4185">
                <w:pPr>
                  <w:jc w:val="right"/>
                  <w:rPr>
                    <w:sz w:val="11"/>
                    <w:szCs w:val="11"/>
                  </w:rPr>
                </w:pPr>
                <w:r>
                  <w:rPr>
                    <w:sz w:val="11"/>
                    <w:szCs w:val="11"/>
                  </w:rPr>
                  <w:t>41,613,783.99</w:t>
                </w:r>
              </w:p>
            </w:tc>
            <w:tc>
              <w:tcPr>
                <w:tcW w:w="1417" w:type="dxa"/>
                <w:vAlign w:val="center"/>
              </w:tcPr>
              <w:p w14:paraId="085D2FD3" w14:textId="77777777" w:rsidR="00E57DAA" w:rsidRDefault="00AC4185">
                <w:pPr>
                  <w:jc w:val="right"/>
                  <w:rPr>
                    <w:sz w:val="11"/>
                    <w:szCs w:val="11"/>
                  </w:rPr>
                </w:pPr>
                <w:r>
                  <w:rPr>
                    <w:sz w:val="11"/>
                    <w:szCs w:val="11"/>
                  </w:rPr>
                  <w:t>-41,613,783.99</w:t>
                </w:r>
              </w:p>
            </w:tc>
            <w:tc>
              <w:tcPr>
                <w:tcW w:w="1546" w:type="dxa"/>
                <w:vAlign w:val="center"/>
              </w:tcPr>
              <w:p w14:paraId="7A00796E" w14:textId="77777777" w:rsidR="00E57DAA" w:rsidRDefault="00E57DAA">
                <w:pPr>
                  <w:jc w:val="right"/>
                  <w:rPr>
                    <w:sz w:val="11"/>
                    <w:szCs w:val="11"/>
                  </w:rPr>
                </w:pPr>
              </w:p>
            </w:tc>
          </w:tr>
          <w:tr w:rsidR="00E57DAA" w14:paraId="24203EB1" w14:textId="77777777">
            <w:trPr>
              <w:trHeight w:val="20"/>
            </w:trPr>
            <w:sdt>
              <w:sdtPr>
                <w:rPr>
                  <w:sz w:val="11"/>
                  <w:szCs w:val="11"/>
                </w:rPr>
                <w:tag w:val="_PLD_210044b047ac492dbe47ba7aedd16fad"/>
                <w:id w:val="128369474"/>
              </w:sdtPr>
              <w:sdtEndPr/>
              <w:sdtContent>
                <w:tc>
                  <w:tcPr>
                    <w:tcW w:w="2394" w:type="dxa"/>
                  </w:tcPr>
                  <w:p w14:paraId="3FF6693B" w14:textId="77777777" w:rsidR="00E57DAA" w:rsidRDefault="00AC4185">
                    <w:pPr>
                      <w:rPr>
                        <w:sz w:val="11"/>
                        <w:szCs w:val="11"/>
                      </w:rPr>
                    </w:pPr>
                    <w:r>
                      <w:rPr>
                        <w:rFonts w:hint="eastAsia"/>
                        <w:sz w:val="11"/>
                        <w:szCs w:val="11"/>
                      </w:rPr>
                      <w:t>2</w:t>
                    </w:r>
                    <w:r>
                      <w:rPr>
                        <w:sz w:val="11"/>
                        <w:szCs w:val="11"/>
                      </w:rPr>
                      <w:t>．对所有者（或股东）的分配</w:t>
                    </w:r>
                  </w:p>
                </w:tc>
              </w:sdtContent>
            </w:sdt>
            <w:tc>
              <w:tcPr>
                <w:tcW w:w="1318" w:type="dxa"/>
                <w:tcBorders>
                  <w:right w:val="single" w:sz="4" w:space="0" w:color="auto"/>
                </w:tcBorders>
                <w:vAlign w:val="center"/>
              </w:tcPr>
              <w:p w14:paraId="6B2FC42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2846C6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D3F5E4B" w14:textId="77777777" w:rsidR="00E57DAA" w:rsidRDefault="00E57DAA">
                <w:pPr>
                  <w:jc w:val="right"/>
                  <w:rPr>
                    <w:sz w:val="11"/>
                    <w:szCs w:val="11"/>
                  </w:rPr>
                </w:pPr>
              </w:p>
            </w:tc>
            <w:tc>
              <w:tcPr>
                <w:tcW w:w="567" w:type="dxa"/>
                <w:tcBorders>
                  <w:left w:val="single" w:sz="4" w:space="0" w:color="auto"/>
                </w:tcBorders>
                <w:vAlign w:val="center"/>
              </w:tcPr>
              <w:p w14:paraId="131149E7" w14:textId="77777777" w:rsidR="00E57DAA" w:rsidRDefault="00E57DAA">
                <w:pPr>
                  <w:jc w:val="right"/>
                  <w:rPr>
                    <w:sz w:val="11"/>
                    <w:szCs w:val="11"/>
                  </w:rPr>
                </w:pPr>
              </w:p>
            </w:tc>
            <w:tc>
              <w:tcPr>
                <w:tcW w:w="1134" w:type="dxa"/>
                <w:vAlign w:val="center"/>
              </w:tcPr>
              <w:p w14:paraId="194CD08D" w14:textId="77777777" w:rsidR="00E57DAA" w:rsidRDefault="00E57DAA">
                <w:pPr>
                  <w:jc w:val="right"/>
                  <w:rPr>
                    <w:sz w:val="11"/>
                    <w:szCs w:val="11"/>
                  </w:rPr>
                </w:pPr>
              </w:p>
            </w:tc>
            <w:tc>
              <w:tcPr>
                <w:tcW w:w="992" w:type="dxa"/>
                <w:vAlign w:val="center"/>
              </w:tcPr>
              <w:p w14:paraId="32E97C74" w14:textId="77777777" w:rsidR="00E57DAA" w:rsidRDefault="00E57DAA">
                <w:pPr>
                  <w:jc w:val="right"/>
                  <w:rPr>
                    <w:sz w:val="11"/>
                    <w:szCs w:val="11"/>
                  </w:rPr>
                </w:pPr>
              </w:p>
            </w:tc>
            <w:tc>
              <w:tcPr>
                <w:tcW w:w="992" w:type="dxa"/>
                <w:vAlign w:val="center"/>
              </w:tcPr>
              <w:p w14:paraId="42582FB4" w14:textId="77777777" w:rsidR="00E57DAA" w:rsidRDefault="00E57DAA">
                <w:pPr>
                  <w:jc w:val="right"/>
                  <w:rPr>
                    <w:sz w:val="11"/>
                    <w:szCs w:val="11"/>
                  </w:rPr>
                </w:pPr>
              </w:p>
            </w:tc>
            <w:tc>
              <w:tcPr>
                <w:tcW w:w="992" w:type="dxa"/>
                <w:vAlign w:val="center"/>
              </w:tcPr>
              <w:p w14:paraId="4C2AE3C2" w14:textId="77777777" w:rsidR="00E57DAA" w:rsidRDefault="00E57DAA">
                <w:pPr>
                  <w:jc w:val="right"/>
                  <w:rPr>
                    <w:sz w:val="11"/>
                    <w:szCs w:val="11"/>
                  </w:rPr>
                </w:pPr>
              </w:p>
            </w:tc>
            <w:tc>
              <w:tcPr>
                <w:tcW w:w="1418" w:type="dxa"/>
                <w:vAlign w:val="center"/>
              </w:tcPr>
              <w:p w14:paraId="24705B60" w14:textId="77777777" w:rsidR="00E57DAA" w:rsidRDefault="00E57DAA">
                <w:pPr>
                  <w:jc w:val="right"/>
                  <w:rPr>
                    <w:sz w:val="11"/>
                    <w:szCs w:val="11"/>
                  </w:rPr>
                </w:pPr>
              </w:p>
            </w:tc>
            <w:tc>
              <w:tcPr>
                <w:tcW w:w="1417" w:type="dxa"/>
                <w:vAlign w:val="center"/>
              </w:tcPr>
              <w:p w14:paraId="056E39CF" w14:textId="77777777" w:rsidR="00E57DAA" w:rsidRDefault="00AC4185">
                <w:pPr>
                  <w:jc w:val="right"/>
                  <w:rPr>
                    <w:sz w:val="11"/>
                    <w:szCs w:val="11"/>
                  </w:rPr>
                </w:pPr>
                <w:r>
                  <w:rPr>
                    <w:sz w:val="11"/>
                    <w:szCs w:val="11"/>
                  </w:rPr>
                  <w:t>-521,095,374.71</w:t>
                </w:r>
              </w:p>
            </w:tc>
            <w:tc>
              <w:tcPr>
                <w:tcW w:w="1546" w:type="dxa"/>
                <w:vAlign w:val="center"/>
              </w:tcPr>
              <w:p w14:paraId="70AC7C0F" w14:textId="77777777" w:rsidR="00E57DAA" w:rsidRDefault="00AC4185">
                <w:pPr>
                  <w:jc w:val="right"/>
                  <w:rPr>
                    <w:sz w:val="11"/>
                    <w:szCs w:val="11"/>
                  </w:rPr>
                </w:pPr>
                <w:r>
                  <w:rPr>
                    <w:sz w:val="11"/>
                    <w:szCs w:val="11"/>
                  </w:rPr>
                  <w:t>-521,095,374.71</w:t>
                </w:r>
              </w:p>
            </w:tc>
          </w:tr>
          <w:tr w:rsidR="00E57DAA" w14:paraId="047A31B0" w14:textId="77777777">
            <w:trPr>
              <w:trHeight w:val="20"/>
            </w:trPr>
            <w:sdt>
              <w:sdtPr>
                <w:rPr>
                  <w:sz w:val="11"/>
                  <w:szCs w:val="11"/>
                </w:rPr>
                <w:tag w:val="_PLD_65affb7384874e8facf889d04ab4dd24"/>
                <w:id w:val="262191932"/>
              </w:sdtPr>
              <w:sdtEndPr/>
              <w:sdtContent>
                <w:tc>
                  <w:tcPr>
                    <w:tcW w:w="2394" w:type="dxa"/>
                  </w:tcPr>
                  <w:p w14:paraId="0411CDDE" w14:textId="77777777" w:rsidR="00E57DAA" w:rsidRDefault="00AC4185">
                    <w:pPr>
                      <w:rPr>
                        <w:sz w:val="11"/>
                        <w:szCs w:val="11"/>
                      </w:rPr>
                    </w:pPr>
                    <w:r>
                      <w:rPr>
                        <w:rFonts w:hint="eastAsia"/>
                        <w:sz w:val="11"/>
                        <w:szCs w:val="11"/>
                      </w:rPr>
                      <w:t>3</w:t>
                    </w:r>
                    <w:r>
                      <w:rPr>
                        <w:sz w:val="11"/>
                        <w:szCs w:val="11"/>
                      </w:rPr>
                      <w:t>．其他</w:t>
                    </w:r>
                  </w:p>
                </w:tc>
              </w:sdtContent>
            </w:sdt>
            <w:tc>
              <w:tcPr>
                <w:tcW w:w="1318" w:type="dxa"/>
                <w:tcBorders>
                  <w:right w:val="single" w:sz="4" w:space="0" w:color="auto"/>
                </w:tcBorders>
                <w:vAlign w:val="center"/>
              </w:tcPr>
              <w:p w14:paraId="3A136EA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688CE9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969589C" w14:textId="77777777" w:rsidR="00E57DAA" w:rsidRDefault="00E57DAA">
                <w:pPr>
                  <w:jc w:val="right"/>
                  <w:rPr>
                    <w:sz w:val="11"/>
                    <w:szCs w:val="11"/>
                  </w:rPr>
                </w:pPr>
              </w:p>
            </w:tc>
            <w:tc>
              <w:tcPr>
                <w:tcW w:w="567" w:type="dxa"/>
                <w:tcBorders>
                  <w:left w:val="single" w:sz="4" w:space="0" w:color="auto"/>
                </w:tcBorders>
                <w:vAlign w:val="center"/>
              </w:tcPr>
              <w:p w14:paraId="79791A88" w14:textId="77777777" w:rsidR="00E57DAA" w:rsidRDefault="00E57DAA">
                <w:pPr>
                  <w:jc w:val="right"/>
                  <w:rPr>
                    <w:sz w:val="11"/>
                    <w:szCs w:val="11"/>
                  </w:rPr>
                </w:pPr>
              </w:p>
            </w:tc>
            <w:tc>
              <w:tcPr>
                <w:tcW w:w="1134" w:type="dxa"/>
                <w:vAlign w:val="center"/>
              </w:tcPr>
              <w:p w14:paraId="35FBC6A6" w14:textId="77777777" w:rsidR="00E57DAA" w:rsidRDefault="00E57DAA">
                <w:pPr>
                  <w:jc w:val="right"/>
                  <w:rPr>
                    <w:sz w:val="11"/>
                    <w:szCs w:val="11"/>
                  </w:rPr>
                </w:pPr>
              </w:p>
            </w:tc>
            <w:tc>
              <w:tcPr>
                <w:tcW w:w="992" w:type="dxa"/>
                <w:vAlign w:val="center"/>
              </w:tcPr>
              <w:p w14:paraId="17008FDF" w14:textId="77777777" w:rsidR="00E57DAA" w:rsidRDefault="00E57DAA">
                <w:pPr>
                  <w:jc w:val="right"/>
                  <w:rPr>
                    <w:sz w:val="11"/>
                    <w:szCs w:val="11"/>
                  </w:rPr>
                </w:pPr>
              </w:p>
            </w:tc>
            <w:tc>
              <w:tcPr>
                <w:tcW w:w="992" w:type="dxa"/>
                <w:vAlign w:val="center"/>
              </w:tcPr>
              <w:p w14:paraId="0B9C0F05" w14:textId="77777777" w:rsidR="00E57DAA" w:rsidRDefault="00E57DAA">
                <w:pPr>
                  <w:jc w:val="right"/>
                  <w:rPr>
                    <w:sz w:val="11"/>
                    <w:szCs w:val="11"/>
                  </w:rPr>
                </w:pPr>
              </w:p>
            </w:tc>
            <w:tc>
              <w:tcPr>
                <w:tcW w:w="992" w:type="dxa"/>
                <w:vAlign w:val="center"/>
              </w:tcPr>
              <w:p w14:paraId="7CF8DE59" w14:textId="77777777" w:rsidR="00E57DAA" w:rsidRDefault="00E57DAA">
                <w:pPr>
                  <w:jc w:val="right"/>
                  <w:rPr>
                    <w:sz w:val="11"/>
                    <w:szCs w:val="11"/>
                  </w:rPr>
                </w:pPr>
              </w:p>
            </w:tc>
            <w:tc>
              <w:tcPr>
                <w:tcW w:w="1418" w:type="dxa"/>
                <w:vAlign w:val="center"/>
              </w:tcPr>
              <w:p w14:paraId="7276EAA0" w14:textId="77777777" w:rsidR="00E57DAA" w:rsidRDefault="00E57DAA">
                <w:pPr>
                  <w:jc w:val="right"/>
                  <w:rPr>
                    <w:sz w:val="11"/>
                    <w:szCs w:val="11"/>
                  </w:rPr>
                </w:pPr>
              </w:p>
            </w:tc>
            <w:tc>
              <w:tcPr>
                <w:tcW w:w="1417" w:type="dxa"/>
                <w:vAlign w:val="center"/>
              </w:tcPr>
              <w:p w14:paraId="5713E459" w14:textId="77777777" w:rsidR="00E57DAA" w:rsidRDefault="00E57DAA">
                <w:pPr>
                  <w:jc w:val="right"/>
                  <w:rPr>
                    <w:sz w:val="11"/>
                    <w:szCs w:val="11"/>
                  </w:rPr>
                </w:pPr>
              </w:p>
            </w:tc>
            <w:tc>
              <w:tcPr>
                <w:tcW w:w="1546" w:type="dxa"/>
                <w:vAlign w:val="center"/>
              </w:tcPr>
              <w:p w14:paraId="312C1DA6" w14:textId="77777777" w:rsidR="00E57DAA" w:rsidRDefault="00E57DAA">
                <w:pPr>
                  <w:jc w:val="right"/>
                  <w:rPr>
                    <w:sz w:val="11"/>
                    <w:szCs w:val="11"/>
                  </w:rPr>
                </w:pPr>
              </w:p>
            </w:tc>
          </w:tr>
          <w:tr w:rsidR="00E57DAA" w14:paraId="3910BC3D" w14:textId="77777777">
            <w:trPr>
              <w:trHeight w:val="20"/>
            </w:trPr>
            <w:sdt>
              <w:sdtPr>
                <w:rPr>
                  <w:sz w:val="11"/>
                  <w:szCs w:val="11"/>
                </w:rPr>
                <w:tag w:val="_PLD_ed39015638e6485d9ecad98bd3aaac6b"/>
                <w:id w:val="1462148130"/>
              </w:sdtPr>
              <w:sdtEndPr/>
              <w:sdtContent>
                <w:tc>
                  <w:tcPr>
                    <w:tcW w:w="2394" w:type="dxa"/>
                  </w:tcPr>
                  <w:p w14:paraId="5ED0F23F" w14:textId="77777777" w:rsidR="00E57DAA" w:rsidRDefault="00AC4185">
                    <w:pPr>
                      <w:rPr>
                        <w:sz w:val="11"/>
                        <w:szCs w:val="11"/>
                      </w:rPr>
                    </w:pPr>
                    <w:r>
                      <w:rPr>
                        <w:sz w:val="11"/>
                        <w:szCs w:val="11"/>
                      </w:rPr>
                      <w:t>（</w:t>
                    </w:r>
                    <w:r>
                      <w:rPr>
                        <w:rFonts w:hint="eastAsia"/>
                        <w:sz w:val="11"/>
                        <w:szCs w:val="11"/>
                      </w:rPr>
                      <w:t>四</w:t>
                    </w:r>
                    <w:r>
                      <w:rPr>
                        <w:sz w:val="11"/>
                        <w:szCs w:val="11"/>
                      </w:rPr>
                      <w:t>）所有者权益内部结转</w:t>
                    </w:r>
                  </w:p>
                </w:tc>
              </w:sdtContent>
            </w:sdt>
            <w:tc>
              <w:tcPr>
                <w:tcW w:w="1318" w:type="dxa"/>
                <w:tcBorders>
                  <w:right w:val="single" w:sz="4" w:space="0" w:color="auto"/>
                </w:tcBorders>
                <w:vAlign w:val="center"/>
              </w:tcPr>
              <w:p w14:paraId="10EA356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40F741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FE4FDED" w14:textId="77777777" w:rsidR="00E57DAA" w:rsidRDefault="00E57DAA">
                <w:pPr>
                  <w:jc w:val="right"/>
                  <w:rPr>
                    <w:sz w:val="11"/>
                    <w:szCs w:val="11"/>
                  </w:rPr>
                </w:pPr>
              </w:p>
            </w:tc>
            <w:tc>
              <w:tcPr>
                <w:tcW w:w="567" w:type="dxa"/>
                <w:tcBorders>
                  <w:left w:val="single" w:sz="4" w:space="0" w:color="auto"/>
                </w:tcBorders>
                <w:vAlign w:val="center"/>
              </w:tcPr>
              <w:p w14:paraId="6EEE650E" w14:textId="77777777" w:rsidR="00E57DAA" w:rsidRDefault="00E57DAA">
                <w:pPr>
                  <w:jc w:val="right"/>
                  <w:rPr>
                    <w:sz w:val="11"/>
                    <w:szCs w:val="11"/>
                  </w:rPr>
                </w:pPr>
              </w:p>
            </w:tc>
            <w:tc>
              <w:tcPr>
                <w:tcW w:w="1134" w:type="dxa"/>
                <w:vAlign w:val="center"/>
              </w:tcPr>
              <w:p w14:paraId="4AA7C2DF" w14:textId="77777777" w:rsidR="00E57DAA" w:rsidRDefault="00E57DAA">
                <w:pPr>
                  <w:jc w:val="right"/>
                  <w:rPr>
                    <w:sz w:val="11"/>
                    <w:szCs w:val="11"/>
                  </w:rPr>
                </w:pPr>
              </w:p>
            </w:tc>
            <w:tc>
              <w:tcPr>
                <w:tcW w:w="992" w:type="dxa"/>
                <w:vAlign w:val="center"/>
              </w:tcPr>
              <w:p w14:paraId="20EBB75C" w14:textId="77777777" w:rsidR="00E57DAA" w:rsidRDefault="00E57DAA">
                <w:pPr>
                  <w:jc w:val="right"/>
                  <w:rPr>
                    <w:sz w:val="11"/>
                    <w:szCs w:val="11"/>
                  </w:rPr>
                </w:pPr>
              </w:p>
            </w:tc>
            <w:tc>
              <w:tcPr>
                <w:tcW w:w="992" w:type="dxa"/>
                <w:vAlign w:val="center"/>
              </w:tcPr>
              <w:p w14:paraId="0DE60FCE" w14:textId="77777777" w:rsidR="00E57DAA" w:rsidRDefault="00E57DAA">
                <w:pPr>
                  <w:jc w:val="right"/>
                  <w:rPr>
                    <w:sz w:val="11"/>
                    <w:szCs w:val="11"/>
                  </w:rPr>
                </w:pPr>
              </w:p>
            </w:tc>
            <w:tc>
              <w:tcPr>
                <w:tcW w:w="992" w:type="dxa"/>
                <w:vAlign w:val="center"/>
              </w:tcPr>
              <w:p w14:paraId="4DF8FAF9" w14:textId="77777777" w:rsidR="00E57DAA" w:rsidRDefault="00E57DAA">
                <w:pPr>
                  <w:jc w:val="right"/>
                  <w:rPr>
                    <w:sz w:val="11"/>
                    <w:szCs w:val="11"/>
                  </w:rPr>
                </w:pPr>
              </w:p>
            </w:tc>
            <w:tc>
              <w:tcPr>
                <w:tcW w:w="1418" w:type="dxa"/>
                <w:vAlign w:val="center"/>
              </w:tcPr>
              <w:p w14:paraId="63C0F194" w14:textId="77777777" w:rsidR="00E57DAA" w:rsidRDefault="00E57DAA">
                <w:pPr>
                  <w:jc w:val="right"/>
                  <w:rPr>
                    <w:sz w:val="11"/>
                    <w:szCs w:val="11"/>
                  </w:rPr>
                </w:pPr>
              </w:p>
            </w:tc>
            <w:tc>
              <w:tcPr>
                <w:tcW w:w="1417" w:type="dxa"/>
                <w:vAlign w:val="center"/>
              </w:tcPr>
              <w:p w14:paraId="7C00B3C5" w14:textId="77777777" w:rsidR="00E57DAA" w:rsidRDefault="00E57DAA">
                <w:pPr>
                  <w:jc w:val="right"/>
                  <w:rPr>
                    <w:sz w:val="11"/>
                    <w:szCs w:val="11"/>
                  </w:rPr>
                </w:pPr>
              </w:p>
            </w:tc>
            <w:tc>
              <w:tcPr>
                <w:tcW w:w="1546" w:type="dxa"/>
                <w:vAlign w:val="center"/>
              </w:tcPr>
              <w:p w14:paraId="41FD9A2E" w14:textId="77777777" w:rsidR="00E57DAA" w:rsidRDefault="00E57DAA">
                <w:pPr>
                  <w:jc w:val="right"/>
                  <w:rPr>
                    <w:sz w:val="11"/>
                    <w:szCs w:val="11"/>
                  </w:rPr>
                </w:pPr>
              </w:p>
            </w:tc>
          </w:tr>
          <w:tr w:rsidR="00E57DAA" w14:paraId="2AD7FF28" w14:textId="77777777">
            <w:trPr>
              <w:trHeight w:val="20"/>
            </w:trPr>
            <w:sdt>
              <w:sdtPr>
                <w:rPr>
                  <w:sz w:val="11"/>
                  <w:szCs w:val="11"/>
                </w:rPr>
                <w:tag w:val="_PLD_16ddc46b3a95453788bdcaaebfae99fa"/>
                <w:id w:val="664603954"/>
              </w:sdtPr>
              <w:sdtEndPr/>
              <w:sdtContent>
                <w:tc>
                  <w:tcPr>
                    <w:tcW w:w="2394" w:type="dxa"/>
                  </w:tcPr>
                  <w:p w14:paraId="52124EB8" w14:textId="77777777" w:rsidR="00E57DAA" w:rsidRDefault="00AC4185">
                    <w:pPr>
                      <w:rPr>
                        <w:sz w:val="11"/>
                        <w:szCs w:val="11"/>
                      </w:rPr>
                    </w:pPr>
                    <w:r>
                      <w:rPr>
                        <w:sz w:val="11"/>
                        <w:szCs w:val="11"/>
                      </w:rPr>
                      <w:t>1．资本公积转增资本（或股本）</w:t>
                    </w:r>
                  </w:p>
                </w:tc>
              </w:sdtContent>
            </w:sdt>
            <w:tc>
              <w:tcPr>
                <w:tcW w:w="1318" w:type="dxa"/>
                <w:tcBorders>
                  <w:right w:val="single" w:sz="4" w:space="0" w:color="auto"/>
                </w:tcBorders>
                <w:vAlign w:val="center"/>
              </w:tcPr>
              <w:p w14:paraId="2362CB8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026B5F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8206A61" w14:textId="77777777" w:rsidR="00E57DAA" w:rsidRDefault="00E57DAA">
                <w:pPr>
                  <w:jc w:val="right"/>
                  <w:rPr>
                    <w:sz w:val="11"/>
                    <w:szCs w:val="11"/>
                  </w:rPr>
                </w:pPr>
              </w:p>
            </w:tc>
            <w:tc>
              <w:tcPr>
                <w:tcW w:w="567" w:type="dxa"/>
                <w:tcBorders>
                  <w:left w:val="single" w:sz="4" w:space="0" w:color="auto"/>
                </w:tcBorders>
                <w:vAlign w:val="center"/>
              </w:tcPr>
              <w:p w14:paraId="5E9DB8F1" w14:textId="77777777" w:rsidR="00E57DAA" w:rsidRDefault="00E57DAA">
                <w:pPr>
                  <w:jc w:val="right"/>
                  <w:rPr>
                    <w:sz w:val="11"/>
                    <w:szCs w:val="11"/>
                  </w:rPr>
                </w:pPr>
              </w:p>
            </w:tc>
            <w:tc>
              <w:tcPr>
                <w:tcW w:w="1134" w:type="dxa"/>
                <w:vAlign w:val="center"/>
              </w:tcPr>
              <w:p w14:paraId="63CCEE1C" w14:textId="77777777" w:rsidR="00E57DAA" w:rsidRDefault="00E57DAA">
                <w:pPr>
                  <w:jc w:val="right"/>
                  <w:rPr>
                    <w:sz w:val="11"/>
                    <w:szCs w:val="11"/>
                  </w:rPr>
                </w:pPr>
              </w:p>
            </w:tc>
            <w:tc>
              <w:tcPr>
                <w:tcW w:w="992" w:type="dxa"/>
                <w:vAlign w:val="center"/>
              </w:tcPr>
              <w:p w14:paraId="47D78BFA" w14:textId="77777777" w:rsidR="00E57DAA" w:rsidRDefault="00E57DAA">
                <w:pPr>
                  <w:jc w:val="right"/>
                  <w:rPr>
                    <w:sz w:val="11"/>
                    <w:szCs w:val="11"/>
                  </w:rPr>
                </w:pPr>
              </w:p>
            </w:tc>
            <w:tc>
              <w:tcPr>
                <w:tcW w:w="992" w:type="dxa"/>
                <w:vAlign w:val="center"/>
              </w:tcPr>
              <w:p w14:paraId="3321CD90" w14:textId="77777777" w:rsidR="00E57DAA" w:rsidRDefault="00E57DAA">
                <w:pPr>
                  <w:jc w:val="right"/>
                  <w:rPr>
                    <w:sz w:val="11"/>
                    <w:szCs w:val="11"/>
                  </w:rPr>
                </w:pPr>
              </w:p>
            </w:tc>
            <w:tc>
              <w:tcPr>
                <w:tcW w:w="992" w:type="dxa"/>
                <w:vAlign w:val="center"/>
              </w:tcPr>
              <w:p w14:paraId="32D7DBB0" w14:textId="77777777" w:rsidR="00E57DAA" w:rsidRDefault="00E57DAA">
                <w:pPr>
                  <w:jc w:val="right"/>
                  <w:rPr>
                    <w:sz w:val="11"/>
                    <w:szCs w:val="11"/>
                  </w:rPr>
                </w:pPr>
              </w:p>
            </w:tc>
            <w:tc>
              <w:tcPr>
                <w:tcW w:w="1418" w:type="dxa"/>
                <w:vAlign w:val="center"/>
              </w:tcPr>
              <w:p w14:paraId="1E13C8A1" w14:textId="77777777" w:rsidR="00E57DAA" w:rsidRDefault="00E57DAA">
                <w:pPr>
                  <w:jc w:val="right"/>
                  <w:rPr>
                    <w:sz w:val="11"/>
                    <w:szCs w:val="11"/>
                  </w:rPr>
                </w:pPr>
              </w:p>
            </w:tc>
            <w:tc>
              <w:tcPr>
                <w:tcW w:w="1417" w:type="dxa"/>
                <w:vAlign w:val="center"/>
              </w:tcPr>
              <w:p w14:paraId="78048C38" w14:textId="77777777" w:rsidR="00E57DAA" w:rsidRDefault="00E57DAA">
                <w:pPr>
                  <w:jc w:val="right"/>
                  <w:rPr>
                    <w:sz w:val="11"/>
                    <w:szCs w:val="11"/>
                  </w:rPr>
                </w:pPr>
              </w:p>
            </w:tc>
            <w:tc>
              <w:tcPr>
                <w:tcW w:w="1546" w:type="dxa"/>
                <w:vAlign w:val="center"/>
              </w:tcPr>
              <w:p w14:paraId="61844856" w14:textId="77777777" w:rsidR="00E57DAA" w:rsidRDefault="00E57DAA">
                <w:pPr>
                  <w:jc w:val="right"/>
                  <w:rPr>
                    <w:sz w:val="11"/>
                    <w:szCs w:val="11"/>
                  </w:rPr>
                </w:pPr>
              </w:p>
            </w:tc>
          </w:tr>
          <w:tr w:rsidR="00E57DAA" w14:paraId="21A68641" w14:textId="77777777">
            <w:trPr>
              <w:trHeight w:val="20"/>
            </w:trPr>
            <w:sdt>
              <w:sdtPr>
                <w:rPr>
                  <w:sz w:val="11"/>
                  <w:szCs w:val="11"/>
                </w:rPr>
                <w:tag w:val="_PLD_5f2b4bbca85e4693b990e3e25811eeab"/>
                <w:id w:val="-1929878587"/>
              </w:sdtPr>
              <w:sdtEndPr/>
              <w:sdtContent>
                <w:tc>
                  <w:tcPr>
                    <w:tcW w:w="2394" w:type="dxa"/>
                  </w:tcPr>
                  <w:p w14:paraId="3B647B4C" w14:textId="77777777" w:rsidR="00E57DAA" w:rsidRDefault="00AC4185">
                    <w:pPr>
                      <w:rPr>
                        <w:sz w:val="11"/>
                        <w:szCs w:val="11"/>
                      </w:rPr>
                    </w:pPr>
                    <w:r>
                      <w:rPr>
                        <w:sz w:val="11"/>
                        <w:szCs w:val="11"/>
                      </w:rPr>
                      <w:t>2．盈余公积转增资本（或股本）</w:t>
                    </w:r>
                  </w:p>
                </w:tc>
              </w:sdtContent>
            </w:sdt>
            <w:tc>
              <w:tcPr>
                <w:tcW w:w="1318" w:type="dxa"/>
                <w:tcBorders>
                  <w:right w:val="single" w:sz="4" w:space="0" w:color="auto"/>
                </w:tcBorders>
                <w:vAlign w:val="center"/>
              </w:tcPr>
              <w:p w14:paraId="18DADD5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F692393"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F868C41" w14:textId="77777777" w:rsidR="00E57DAA" w:rsidRDefault="00E57DAA">
                <w:pPr>
                  <w:jc w:val="right"/>
                  <w:rPr>
                    <w:sz w:val="11"/>
                    <w:szCs w:val="11"/>
                  </w:rPr>
                </w:pPr>
              </w:p>
            </w:tc>
            <w:tc>
              <w:tcPr>
                <w:tcW w:w="567" w:type="dxa"/>
                <w:tcBorders>
                  <w:left w:val="single" w:sz="4" w:space="0" w:color="auto"/>
                </w:tcBorders>
                <w:vAlign w:val="center"/>
              </w:tcPr>
              <w:p w14:paraId="07BF68E4" w14:textId="77777777" w:rsidR="00E57DAA" w:rsidRDefault="00E57DAA">
                <w:pPr>
                  <w:jc w:val="right"/>
                  <w:rPr>
                    <w:sz w:val="11"/>
                    <w:szCs w:val="11"/>
                  </w:rPr>
                </w:pPr>
              </w:p>
            </w:tc>
            <w:tc>
              <w:tcPr>
                <w:tcW w:w="1134" w:type="dxa"/>
                <w:vAlign w:val="center"/>
              </w:tcPr>
              <w:p w14:paraId="5527AD0C" w14:textId="77777777" w:rsidR="00E57DAA" w:rsidRDefault="00E57DAA">
                <w:pPr>
                  <w:jc w:val="right"/>
                  <w:rPr>
                    <w:sz w:val="11"/>
                    <w:szCs w:val="11"/>
                  </w:rPr>
                </w:pPr>
              </w:p>
            </w:tc>
            <w:tc>
              <w:tcPr>
                <w:tcW w:w="992" w:type="dxa"/>
                <w:vAlign w:val="center"/>
              </w:tcPr>
              <w:p w14:paraId="6E26845E" w14:textId="77777777" w:rsidR="00E57DAA" w:rsidRDefault="00E57DAA">
                <w:pPr>
                  <w:jc w:val="right"/>
                  <w:rPr>
                    <w:sz w:val="11"/>
                    <w:szCs w:val="11"/>
                  </w:rPr>
                </w:pPr>
              </w:p>
            </w:tc>
            <w:tc>
              <w:tcPr>
                <w:tcW w:w="992" w:type="dxa"/>
                <w:vAlign w:val="center"/>
              </w:tcPr>
              <w:p w14:paraId="56B0F046" w14:textId="77777777" w:rsidR="00E57DAA" w:rsidRDefault="00E57DAA">
                <w:pPr>
                  <w:jc w:val="right"/>
                  <w:rPr>
                    <w:sz w:val="11"/>
                    <w:szCs w:val="11"/>
                  </w:rPr>
                </w:pPr>
              </w:p>
            </w:tc>
            <w:tc>
              <w:tcPr>
                <w:tcW w:w="992" w:type="dxa"/>
                <w:vAlign w:val="center"/>
              </w:tcPr>
              <w:p w14:paraId="5CFE9D72" w14:textId="77777777" w:rsidR="00E57DAA" w:rsidRDefault="00E57DAA">
                <w:pPr>
                  <w:jc w:val="right"/>
                  <w:rPr>
                    <w:sz w:val="11"/>
                    <w:szCs w:val="11"/>
                  </w:rPr>
                </w:pPr>
              </w:p>
            </w:tc>
            <w:tc>
              <w:tcPr>
                <w:tcW w:w="1418" w:type="dxa"/>
                <w:vAlign w:val="center"/>
              </w:tcPr>
              <w:p w14:paraId="2EEB0D76" w14:textId="77777777" w:rsidR="00E57DAA" w:rsidRDefault="00E57DAA">
                <w:pPr>
                  <w:jc w:val="right"/>
                  <w:rPr>
                    <w:sz w:val="11"/>
                    <w:szCs w:val="11"/>
                  </w:rPr>
                </w:pPr>
              </w:p>
            </w:tc>
            <w:tc>
              <w:tcPr>
                <w:tcW w:w="1417" w:type="dxa"/>
                <w:vAlign w:val="center"/>
              </w:tcPr>
              <w:p w14:paraId="0A7022B1" w14:textId="77777777" w:rsidR="00E57DAA" w:rsidRDefault="00E57DAA">
                <w:pPr>
                  <w:jc w:val="right"/>
                  <w:rPr>
                    <w:sz w:val="11"/>
                    <w:szCs w:val="11"/>
                  </w:rPr>
                </w:pPr>
              </w:p>
            </w:tc>
            <w:tc>
              <w:tcPr>
                <w:tcW w:w="1546" w:type="dxa"/>
                <w:vAlign w:val="center"/>
              </w:tcPr>
              <w:p w14:paraId="0AEF83F8" w14:textId="77777777" w:rsidR="00E57DAA" w:rsidRDefault="00E57DAA">
                <w:pPr>
                  <w:jc w:val="right"/>
                  <w:rPr>
                    <w:sz w:val="11"/>
                    <w:szCs w:val="11"/>
                  </w:rPr>
                </w:pPr>
              </w:p>
            </w:tc>
          </w:tr>
          <w:tr w:rsidR="00E57DAA" w14:paraId="6A012A2B" w14:textId="77777777">
            <w:trPr>
              <w:trHeight w:val="20"/>
            </w:trPr>
            <w:sdt>
              <w:sdtPr>
                <w:rPr>
                  <w:sz w:val="11"/>
                  <w:szCs w:val="11"/>
                </w:rPr>
                <w:tag w:val="_PLD_15d6c710562e41cc9b0f916bb42a3ecd"/>
                <w:id w:val="-481928775"/>
              </w:sdtPr>
              <w:sdtEndPr/>
              <w:sdtContent>
                <w:tc>
                  <w:tcPr>
                    <w:tcW w:w="2394" w:type="dxa"/>
                  </w:tcPr>
                  <w:p w14:paraId="0C793832" w14:textId="77777777" w:rsidR="00E57DAA" w:rsidRDefault="00AC4185">
                    <w:pPr>
                      <w:rPr>
                        <w:sz w:val="11"/>
                        <w:szCs w:val="11"/>
                      </w:rPr>
                    </w:pPr>
                    <w:r>
                      <w:rPr>
                        <w:sz w:val="11"/>
                        <w:szCs w:val="11"/>
                      </w:rPr>
                      <w:t>3．盈余公积弥补亏损</w:t>
                    </w:r>
                  </w:p>
                </w:tc>
              </w:sdtContent>
            </w:sdt>
            <w:tc>
              <w:tcPr>
                <w:tcW w:w="1318" w:type="dxa"/>
                <w:tcBorders>
                  <w:right w:val="single" w:sz="4" w:space="0" w:color="auto"/>
                </w:tcBorders>
                <w:vAlign w:val="center"/>
              </w:tcPr>
              <w:p w14:paraId="216D7BB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02F824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9A6C2FA" w14:textId="77777777" w:rsidR="00E57DAA" w:rsidRDefault="00E57DAA">
                <w:pPr>
                  <w:jc w:val="right"/>
                  <w:rPr>
                    <w:sz w:val="11"/>
                    <w:szCs w:val="11"/>
                  </w:rPr>
                </w:pPr>
              </w:p>
            </w:tc>
            <w:tc>
              <w:tcPr>
                <w:tcW w:w="567" w:type="dxa"/>
                <w:tcBorders>
                  <w:left w:val="single" w:sz="4" w:space="0" w:color="auto"/>
                </w:tcBorders>
                <w:vAlign w:val="center"/>
              </w:tcPr>
              <w:p w14:paraId="4D92C617" w14:textId="77777777" w:rsidR="00E57DAA" w:rsidRDefault="00E57DAA">
                <w:pPr>
                  <w:jc w:val="right"/>
                  <w:rPr>
                    <w:sz w:val="11"/>
                    <w:szCs w:val="11"/>
                  </w:rPr>
                </w:pPr>
              </w:p>
            </w:tc>
            <w:tc>
              <w:tcPr>
                <w:tcW w:w="1134" w:type="dxa"/>
                <w:vAlign w:val="center"/>
              </w:tcPr>
              <w:p w14:paraId="12C63D58" w14:textId="77777777" w:rsidR="00E57DAA" w:rsidRDefault="00E57DAA">
                <w:pPr>
                  <w:jc w:val="right"/>
                  <w:rPr>
                    <w:sz w:val="11"/>
                    <w:szCs w:val="11"/>
                  </w:rPr>
                </w:pPr>
              </w:p>
            </w:tc>
            <w:tc>
              <w:tcPr>
                <w:tcW w:w="992" w:type="dxa"/>
                <w:vAlign w:val="center"/>
              </w:tcPr>
              <w:p w14:paraId="5A2C1C67" w14:textId="77777777" w:rsidR="00E57DAA" w:rsidRDefault="00E57DAA">
                <w:pPr>
                  <w:jc w:val="right"/>
                  <w:rPr>
                    <w:sz w:val="11"/>
                    <w:szCs w:val="11"/>
                  </w:rPr>
                </w:pPr>
              </w:p>
            </w:tc>
            <w:tc>
              <w:tcPr>
                <w:tcW w:w="992" w:type="dxa"/>
                <w:vAlign w:val="center"/>
              </w:tcPr>
              <w:p w14:paraId="694A878A" w14:textId="77777777" w:rsidR="00E57DAA" w:rsidRDefault="00E57DAA">
                <w:pPr>
                  <w:jc w:val="right"/>
                  <w:rPr>
                    <w:sz w:val="11"/>
                    <w:szCs w:val="11"/>
                  </w:rPr>
                </w:pPr>
              </w:p>
            </w:tc>
            <w:tc>
              <w:tcPr>
                <w:tcW w:w="992" w:type="dxa"/>
                <w:vAlign w:val="center"/>
              </w:tcPr>
              <w:p w14:paraId="6B3E9717" w14:textId="77777777" w:rsidR="00E57DAA" w:rsidRDefault="00E57DAA">
                <w:pPr>
                  <w:jc w:val="right"/>
                  <w:rPr>
                    <w:sz w:val="11"/>
                    <w:szCs w:val="11"/>
                  </w:rPr>
                </w:pPr>
              </w:p>
            </w:tc>
            <w:tc>
              <w:tcPr>
                <w:tcW w:w="1418" w:type="dxa"/>
                <w:vAlign w:val="center"/>
              </w:tcPr>
              <w:p w14:paraId="5B374504" w14:textId="77777777" w:rsidR="00E57DAA" w:rsidRDefault="00E57DAA">
                <w:pPr>
                  <w:jc w:val="right"/>
                  <w:rPr>
                    <w:sz w:val="11"/>
                    <w:szCs w:val="11"/>
                  </w:rPr>
                </w:pPr>
              </w:p>
            </w:tc>
            <w:tc>
              <w:tcPr>
                <w:tcW w:w="1417" w:type="dxa"/>
                <w:vAlign w:val="center"/>
              </w:tcPr>
              <w:p w14:paraId="725F8770" w14:textId="77777777" w:rsidR="00E57DAA" w:rsidRDefault="00E57DAA">
                <w:pPr>
                  <w:jc w:val="right"/>
                  <w:rPr>
                    <w:sz w:val="11"/>
                    <w:szCs w:val="11"/>
                  </w:rPr>
                </w:pPr>
              </w:p>
            </w:tc>
            <w:tc>
              <w:tcPr>
                <w:tcW w:w="1546" w:type="dxa"/>
                <w:vAlign w:val="center"/>
              </w:tcPr>
              <w:p w14:paraId="55DBBD7C" w14:textId="77777777" w:rsidR="00E57DAA" w:rsidRDefault="00E57DAA">
                <w:pPr>
                  <w:jc w:val="right"/>
                  <w:rPr>
                    <w:sz w:val="11"/>
                    <w:szCs w:val="11"/>
                  </w:rPr>
                </w:pPr>
              </w:p>
            </w:tc>
          </w:tr>
          <w:tr w:rsidR="00E57DAA" w14:paraId="406CAB07" w14:textId="77777777">
            <w:trPr>
              <w:trHeight w:val="20"/>
            </w:trPr>
            <w:tc>
              <w:tcPr>
                <w:tcW w:w="2394" w:type="dxa"/>
              </w:tcPr>
              <w:sdt>
                <w:sdtPr>
                  <w:rPr>
                    <w:sz w:val="11"/>
                    <w:szCs w:val="11"/>
                  </w:rPr>
                  <w:tag w:val="_PLD_f4cb17050ad540c1b6765bbc5ef1d185"/>
                  <w:id w:val="1817139498"/>
                </w:sdtPr>
                <w:sdtEndPr/>
                <w:sdtContent>
                  <w:p w14:paraId="49BB9195" w14:textId="77777777" w:rsidR="00E57DAA" w:rsidRDefault="00AC4185">
                    <w:pPr>
                      <w:rPr>
                        <w:sz w:val="11"/>
                        <w:szCs w:val="11"/>
                      </w:rPr>
                    </w:pPr>
                    <w:r>
                      <w:rPr>
                        <w:sz w:val="11"/>
                        <w:szCs w:val="11"/>
                      </w:rPr>
                      <w:t>4．设定受益计划变动额结转留存收益</w:t>
                    </w:r>
                  </w:p>
                </w:sdtContent>
              </w:sdt>
            </w:tc>
            <w:tc>
              <w:tcPr>
                <w:tcW w:w="1318" w:type="dxa"/>
                <w:tcBorders>
                  <w:right w:val="single" w:sz="4" w:space="0" w:color="auto"/>
                </w:tcBorders>
                <w:vAlign w:val="center"/>
              </w:tcPr>
              <w:p w14:paraId="3BCCD26D"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3BB17C82"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3026A0F" w14:textId="77777777" w:rsidR="00E57DAA" w:rsidRDefault="00E57DAA">
                <w:pPr>
                  <w:jc w:val="right"/>
                  <w:rPr>
                    <w:sz w:val="11"/>
                    <w:szCs w:val="11"/>
                  </w:rPr>
                </w:pPr>
              </w:p>
            </w:tc>
            <w:tc>
              <w:tcPr>
                <w:tcW w:w="567" w:type="dxa"/>
                <w:tcBorders>
                  <w:left w:val="single" w:sz="4" w:space="0" w:color="auto"/>
                </w:tcBorders>
                <w:vAlign w:val="center"/>
              </w:tcPr>
              <w:p w14:paraId="2EAB8B54" w14:textId="77777777" w:rsidR="00E57DAA" w:rsidRDefault="00E57DAA">
                <w:pPr>
                  <w:jc w:val="right"/>
                  <w:rPr>
                    <w:sz w:val="11"/>
                    <w:szCs w:val="11"/>
                  </w:rPr>
                </w:pPr>
              </w:p>
            </w:tc>
            <w:tc>
              <w:tcPr>
                <w:tcW w:w="1134" w:type="dxa"/>
                <w:vAlign w:val="center"/>
              </w:tcPr>
              <w:p w14:paraId="060CF31B" w14:textId="77777777" w:rsidR="00E57DAA" w:rsidRDefault="00E57DAA">
                <w:pPr>
                  <w:jc w:val="right"/>
                  <w:rPr>
                    <w:sz w:val="11"/>
                    <w:szCs w:val="11"/>
                  </w:rPr>
                </w:pPr>
              </w:p>
            </w:tc>
            <w:tc>
              <w:tcPr>
                <w:tcW w:w="992" w:type="dxa"/>
                <w:vAlign w:val="center"/>
              </w:tcPr>
              <w:p w14:paraId="39D70144" w14:textId="77777777" w:rsidR="00E57DAA" w:rsidRDefault="00E57DAA">
                <w:pPr>
                  <w:jc w:val="right"/>
                  <w:rPr>
                    <w:sz w:val="11"/>
                    <w:szCs w:val="11"/>
                  </w:rPr>
                </w:pPr>
              </w:p>
            </w:tc>
            <w:tc>
              <w:tcPr>
                <w:tcW w:w="992" w:type="dxa"/>
                <w:vAlign w:val="center"/>
              </w:tcPr>
              <w:p w14:paraId="085858DC" w14:textId="77777777" w:rsidR="00E57DAA" w:rsidRDefault="00E57DAA">
                <w:pPr>
                  <w:jc w:val="right"/>
                  <w:rPr>
                    <w:sz w:val="11"/>
                    <w:szCs w:val="11"/>
                  </w:rPr>
                </w:pPr>
              </w:p>
            </w:tc>
            <w:tc>
              <w:tcPr>
                <w:tcW w:w="992" w:type="dxa"/>
                <w:vAlign w:val="center"/>
              </w:tcPr>
              <w:p w14:paraId="4055AA84" w14:textId="77777777" w:rsidR="00E57DAA" w:rsidRDefault="00E57DAA">
                <w:pPr>
                  <w:jc w:val="right"/>
                  <w:rPr>
                    <w:sz w:val="11"/>
                    <w:szCs w:val="11"/>
                  </w:rPr>
                </w:pPr>
              </w:p>
            </w:tc>
            <w:tc>
              <w:tcPr>
                <w:tcW w:w="1418" w:type="dxa"/>
                <w:vAlign w:val="center"/>
              </w:tcPr>
              <w:p w14:paraId="317B6571" w14:textId="77777777" w:rsidR="00E57DAA" w:rsidRDefault="00E57DAA">
                <w:pPr>
                  <w:jc w:val="right"/>
                  <w:rPr>
                    <w:sz w:val="11"/>
                    <w:szCs w:val="11"/>
                  </w:rPr>
                </w:pPr>
              </w:p>
            </w:tc>
            <w:tc>
              <w:tcPr>
                <w:tcW w:w="1417" w:type="dxa"/>
                <w:vAlign w:val="center"/>
              </w:tcPr>
              <w:p w14:paraId="65EF7192" w14:textId="77777777" w:rsidR="00E57DAA" w:rsidRDefault="00E57DAA">
                <w:pPr>
                  <w:jc w:val="right"/>
                  <w:rPr>
                    <w:sz w:val="11"/>
                    <w:szCs w:val="11"/>
                  </w:rPr>
                </w:pPr>
              </w:p>
            </w:tc>
            <w:tc>
              <w:tcPr>
                <w:tcW w:w="1546" w:type="dxa"/>
                <w:vAlign w:val="center"/>
              </w:tcPr>
              <w:p w14:paraId="2DE4DFDB" w14:textId="77777777" w:rsidR="00E57DAA" w:rsidRDefault="00E57DAA">
                <w:pPr>
                  <w:jc w:val="right"/>
                  <w:rPr>
                    <w:sz w:val="11"/>
                    <w:szCs w:val="11"/>
                  </w:rPr>
                </w:pPr>
              </w:p>
            </w:tc>
          </w:tr>
          <w:tr w:rsidR="00E57DAA" w14:paraId="25C837BB" w14:textId="77777777">
            <w:trPr>
              <w:trHeight w:val="20"/>
            </w:trPr>
            <w:tc>
              <w:tcPr>
                <w:tcW w:w="2394" w:type="dxa"/>
              </w:tcPr>
              <w:sdt>
                <w:sdtPr>
                  <w:rPr>
                    <w:sz w:val="11"/>
                    <w:szCs w:val="11"/>
                  </w:rPr>
                  <w:tag w:val="_PLD_d570b02e3d674dc1a938a4710387119c"/>
                  <w:id w:val="136384949"/>
                </w:sdtPr>
                <w:sdtEndPr/>
                <w:sdtContent>
                  <w:p w14:paraId="23E9F68C" w14:textId="77777777" w:rsidR="00E57DAA" w:rsidRDefault="00AC4185">
                    <w:pPr>
                      <w:rPr>
                        <w:sz w:val="11"/>
                        <w:szCs w:val="11"/>
                      </w:rPr>
                    </w:pPr>
                    <w:r>
                      <w:rPr>
                        <w:sz w:val="11"/>
                        <w:szCs w:val="11"/>
                      </w:rPr>
                      <w:t>5．其他综合收益结转留存收益</w:t>
                    </w:r>
                  </w:p>
                </w:sdtContent>
              </w:sdt>
            </w:tc>
            <w:tc>
              <w:tcPr>
                <w:tcW w:w="1318" w:type="dxa"/>
                <w:tcBorders>
                  <w:right w:val="single" w:sz="4" w:space="0" w:color="auto"/>
                </w:tcBorders>
                <w:vAlign w:val="center"/>
              </w:tcPr>
              <w:p w14:paraId="61A42BE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72343A7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8B3DE5E" w14:textId="77777777" w:rsidR="00E57DAA" w:rsidRDefault="00E57DAA">
                <w:pPr>
                  <w:jc w:val="right"/>
                  <w:rPr>
                    <w:sz w:val="11"/>
                    <w:szCs w:val="11"/>
                  </w:rPr>
                </w:pPr>
              </w:p>
            </w:tc>
            <w:tc>
              <w:tcPr>
                <w:tcW w:w="567" w:type="dxa"/>
                <w:tcBorders>
                  <w:left w:val="single" w:sz="4" w:space="0" w:color="auto"/>
                </w:tcBorders>
                <w:vAlign w:val="center"/>
              </w:tcPr>
              <w:p w14:paraId="07668ECC" w14:textId="77777777" w:rsidR="00E57DAA" w:rsidRDefault="00E57DAA">
                <w:pPr>
                  <w:jc w:val="right"/>
                  <w:rPr>
                    <w:sz w:val="11"/>
                    <w:szCs w:val="11"/>
                  </w:rPr>
                </w:pPr>
              </w:p>
            </w:tc>
            <w:tc>
              <w:tcPr>
                <w:tcW w:w="1134" w:type="dxa"/>
                <w:vAlign w:val="center"/>
              </w:tcPr>
              <w:p w14:paraId="0480E900" w14:textId="77777777" w:rsidR="00E57DAA" w:rsidRDefault="00E57DAA">
                <w:pPr>
                  <w:jc w:val="right"/>
                  <w:rPr>
                    <w:sz w:val="11"/>
                    <w:szCs w:val="11"/>
                  </w:rPr>
                </w:pPr>
              </w:p>
            </w:tc>
            <w:tc>
              <w:tcPr>
                <w:tcW w:w="992" w:type="dxa"/>
                <w:vAlign w:val="center"/>
              </w:tcPr>
              <w:p w14:paraId="60776403" w14:textId="77777777" w:rsidR="00E57DAA" w:rsidRDefault="00E57DAA">
                <w:pPr>
                  <w:jc w:val="right"/>
                  <w:rPr>
                    <w:sz w:val="11"/>
                    <w:szCs w:val="11"/>
                  </w:rPr>
                </w:pPr>
              </w:p>
            </w:tc>
            <w:tc>
              <w:tcPr>
                <w:tcW w:w="992" w:type="dxa"/>
                <w:vAlign w:val="center"/>
              </w:tcPr>
              <w:p w14:paraId="5F44BE13" w14:textId="77777777" w:rsidR="00E57DAA" w:rsidRDefault="00E57DAA">
                <w:pPr>
                  <w:jc w:val="right"/>
                  <w:rPr>
                    <w:sz w:val="11"/>
                    <w:szCs w:val="11"/>
                  </w:rPr>
                </w:pPr>
              </w:p>
            </w:tc>
            <w:tc>
              <w:tcPr>
                <w:tcW w:w="992" w:type="dxa"/>
                <w:vAlign w:val="center"/>
              </w:tcPr>
              <w:p w14:paraId="6B3CC9D3" w14:textId="77777777" w:rsidR="00E57DAA" w:rsidRDefault="00E57DAA">
                <w:pPr>
                  <w:jc w:val="right"/>
                  <w:rPr>
                    <w:sz w:val="11"/>
                    <w:szCs w:val="11"/>
                  </w:rPr>
                </w:pPr>
              </w:p>
            </w:tc>
            <w:tc>
              <w:tcPr>
                <w:tcW w:w="1418" w:type="dxa"/>
                <w:vAlign w:val="center"/>
              </w:tcPr>
              <w:p w14:paraId="16178536" w14:textId="77777777" w:rsidR="00E57DAA" w:rsidRDefault="00E57DAA">
                <w:pPr>
                  <w:jc w:val="right"/>
                  <w:rPr>
                    <w:sz w:val="11"/>
                    <w:szCs w:val="11"/>
                  </w:rPr>
                </w:pPr>
              </w:p>
            </w:tc>
            <w:tc>
              <w:tcPr>
                <w:tcW w:w="1417" w:type="dxa"/>
                <w:vAlign w:val="center"/>
              </w:tcPr>
              <w:p w14:paraId="1F5E2F47" w14:textId="77777777" w:rsidR="00E57DAA" w:rsidRDefault="00E57DAA">
                <w:pPr>
                  <w:jc w:val="right"/>
                  <w:rPr>
                    <w:sz w:val="11"/>
                    <w:szCs w:val="11"/>
                  </w:rPr>
                </w:pPr>
              </w:p>
            </w:tc>
            <w:tc>
              <w:tcPr>
                <w:tcW w:w="1546" w:type="dxa"/>
                <w:vAlign w:val="center"/>
              </w:tcPr>
              <w:p w14:paraId="7B487548" w14:textId="77777777" w:rsidR="00E57DAA" w:rsidRDefault="00E57DAA">
                <w:pPr>
                  <w:jc w:val="right"/>
                  <w:rPr>
                    <w:sz w:val="11"/>
                    <w:szCs w:val="11"/>
                  </w:rPr>
                </w:pPr>
              </w:p>
            </w:tc>
          </w:tr>
          <w:tr w:rsidR="00E57DAA" w14:paraId="26F58B53" w14:textId="77777777">
            <w:trPr>
              <w:trHeight w:val="20"/>
            </w:trPr>
            <w:tc>
              <w:tcPr>
                <w:tcW w:w="2394" w:type="dxa"/>
              </w:tcPr>
              <w:sdt>
                <w:sdtPr>
                  <w:rPr>
                    <w:sz w:val="11"/>
                    <w:szCs w:val="11"/>
                  </w:rPr>
                  <w:tag w:val="_PLD_a5cd874c23c44b928dffd9bc4a74c38d"/>
                  <w:id w:val="-1619130871"/>
                </w:sdtPr>
                <w:sdtEndPr/>
                <w:sdtContent>
                  <w:p w14:paraId="0D0EBC0E" w14:textId="77777777" w:rsidR="00E57DAA" w:rsidRDefault="00AC4185">
                    <w:pPr>
                      <w:rPr>
                        <w:sz w:val="11"/>
                        <w:szCs w:val="11"/>
                      </w:rPr>
                    </w:pPr>
                    <w:r>
                      <w:rPr>
                        <w:sz w:val="11"/>
                        <w:szCs w:val="11"/>
                      </w:rPr>
                      <w:t>6．其他</w:t>
                    </w:r>
                  </w:p>
                </w:sdtContent>
              </w:sdt>
            </w:tc>
            <w:tc>
              <w:tcPr>
                <w:tcW w:w="1318" w:type="dxa"/>
                <w:tcBorders>
                  <w:right w:val="single" w:sz="4" w:space="0" w:color="auto"/>
                </w:tcBorders>
                <w:vAlign w:val="center"/>
              </w:tcPr>
              <w:p w14:paraId="095124A1"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8F6E92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35BBE56" w14:textId="77777777" w:rsidR="00E57DAA" w:rsidRDefault="00E57DAA">
                <w:pPr>
                  <w:jc w:val="right"/>
                  <w:rPr>
                    <w:sz w:val="11"/>
                    <w:szCs w:val="11"/>
                  </w:rPr>
                </w:pPr>
              </w:p>
            </w:tc>
            <w:tc>
              <w:tcPr>
                <w:tcW w:w="567" w:type="dxa"/>
                <w:tcBorders>
                  <w:left w:val="single" w:sz="4" w:space="0" w:color="auto"/>
                </w:tcBorders>
                <w:vAlign w:val="center"/>
              </w:tcPr>
              <w:p w14:paraId="71A1A70E" w14:textId="77777777" w:rsidR="00E57DAA" w:rsidRDefault="00E57DAA">
                <w:pPr>
                  <w:jc w:val="right"/>
                  <w:rPr>
                    <w:sz w:val="11"/>
                    <w:szCs w:val="11"/>
                  </w:rPr>
                </w:pPr>
              </w:p>
            </w:tc>
            <w:tc>
              <w:tcPr>
                <w:tcW w:w="1134" w:type="dxa"/>
                <w:vAlign w:val="center"/>
              </w:tcPr>
              <w:p w14:paraId="6192BEAB" w14:textId="77777777" w:rsidR="00E57DAA" w:rsidRDefault="00E57DAA">
                <w:pPr>
                  <w:jc w:val="right"/>
                  <w:rPr>
                    <w:sz w:val="11"/>
                    <w:szCs w:val="11"/>
                  </w:rPr>
                </w:pPr>
              </w:p>
            </w:tc>
            <w:tc>
              <w:tcPr>
                <w:tcW w:w="992" w:type="dxa"/>
                <w:vAlign w:val="center"/>
              </w:tcPr>
              <w:p w14:paraId="55A98641" w14:textId="77777777" w:rsidR="00E57DAA" w:rsidRDefault="00E57DAA">
                <w:pPr>
                  <w:jc w:val="right"/>
                  <w:rPr>
                    <w:sz w:val="11"/>
                    <w:szCs w:val="11"/>
                  </w:rPr>
                </w:pPr>
              </w:p>
            </w:tc>
            <w:tc>
              <w:tcPr>
                <w:tcW w:w="992" w:type="dxa"/>
                <w:vAlign w:val="center"/>
              </w:tcPr>
              <w:p w14:paraId="6390472C" w14:textId="77777777" w:rsidR="00E57DAA" w:rsidRDefault="00E57DAA">
                <w:pPr>
                  <w:jc w:val="right"/>
                  <w:rPr>
                    <w:sz w:val="11"/>
                    <w:szCs w:val="11"/>
                  </w:rPr>
                </w:pPr>
              </w:p>
            </w:tc>
            <w:tc>
              <w:tcPr>
                <w:tcW w:w="992" w:type="dxa"/>
                <w:vAlign w:val="center"/>
              </w:tcPr>
              <w:p w14:paraId="310761D7" w14:textId="77777777" w:rsidR="00E57DAA" w:rsidRDefault="00E57DAA">
                <w:pPr>
                  <w:jc w:val="right"/>
                  <w:rPr>
                    <w:sz w:val="11"/>
                    <w:szCs w:val="11"/>
                  </w:rPr>
                </w:pPr>
              </w:p>
            </w:tc>
            <w:tc>
              <w:tcPr>
                <w:tcW w:w="1418" w:type="dxa"/>
                <w:vAlign w:val="center"/>
              </w:tcPr>
              <w:p w14:paraId="03413C71" w14:textId="77777777" w:rsidR="00E57DAA" w:rsidRDefault="00E57DAA">
                <w:pPr>
                  <w:jc w:val="right"/>
                  <w:rPr>
                    <w:sz w:val="11"/>
                    <w:szCs w:val="11"/>
                  </w:rPr>
                </w:pPr>
              </w:p>
            </w:tc>
            <w:tc>
              <w:tcPr>
                <w:tcW w:w="1417" w:type="dxa"/>
                <w:vAlign w:val="center"/>
              </w:tcPr>
              <w:p w14:paraId="78B86B87" w14:textId="77777777" w:rsidR="00E57DAA" w:rsidRDefault="00E57DAA">
                <w:pPr>
                  <w:jc w:val="right"/>
                  <w:rPr>
                    <w:sz w:val="11"/>
                    <w:szCs w:val="11"/>
                  </w:rPr>
                </w:pPr>
              </w:p>
            </w:tc>
            <w:tc>
              <w:tcPr>
                <w:tcW w:w="1546" w:type="dxa"/>
                <w:vAlign w:val="center"/>
              </w:tcPr>
              <w:p w14:paraId="560207E4" w14:textId="77777777" w:rsidR="00E57DAA" w:rsidRDefault="00E57DAA">
                <w:pPr>
                  <w:jc w:val="right"/>
                  <w:rPr>
                    <w:sz w:val="11"/>
                    <w:szCs w:val="11"/>
                  </w:rPr>
                </w:pPr>
              </w:p>
            </w:tc>
          </w:tr>
          <w:tr w:rsidR="00E57DAA" w14:paraId="5DBDAB38" w14:textId="77777777">
            <w:trPr>
              <w:trHeight w:val="20"/>
            </w:trPr>
            <w:sdt>
              <w:sdtPr>
                <w:rPr>
                  <w:sz w:val="11"/>
                  <w:szCs w:val="11"/>
                </w:rPr>
                <w:tag w:val="_PLD_b6b13ecec0044452bf1609cb679a8ac5"/>
                <w:id w:val="-1886402665"/>
              </w:sdtPr>
              <w:sdtEndPr/>
              <w:sdtContent>
                <w:tc>
                  <w:tcPr>
                    <w:tcW w:w="2394" w:type="dxa"/>
                    <w:vAlign w:val="center"/>
                  </w:tcPr>
                  <w:p w14:paraId="34EEAC4B" w14:textId="77777777" w:rsidR="00E57DAA" w:rsidRDefault="00AC4185">
                    <w:pPr>
                      <w:rPr>
                        <w:sz w:val="11"/>
                        <w:szCs w:val="11"/>
                      </w:rPr>
                    </w:pPr>
                    <w:r>
                      <w:rPr>
                        <w:rFonts w:hint="eastAsia"/>
                        <w:sz w:val="11"/>
                        <w:szCs w:val="11"/>
                      </w:rPr>
                      <w:t>（五）专项储备</w:t>
                    </w:r>
                  </w:p>
                </w:tc>
              </w:sdtContent>
            </w:sdt>
            <w:tc>
              <w:tcPr>
                <w:tcW w:w="1318" w:type="dxa"/>
                <w:tcBorders>
                  <w:right w:val="single" w:sz="4" w:space="0" w:color="auto"/>
                </w:tcBorders>
                <w:vAlign w:val="center"/>
              </w:tcPr>
              <w:p w14:paraId="43549B7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1FDD762F"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0E0B9AE8" w14:textId="77777777" w:rsidR="00E57DAA" w:rsidRDefault="00E57DAA">
                <w:pPr>
                  <w:jc w:val="right"/>
                  <w:rPr>
                    <w:sz w:val="11"/>
                    <w:szCs w:val="11"/>
                  </w:rPr>
                </w:pPr>
              </w:p>
            </w:tc>
            <w:tc>
              <w:tcPr>
                <w:tcW w:w="567" w:type="dxa"/>
                <w:tcBorders>
                  <w:left w:val="single" w:sz="4" w:space="0" w:color="auto"/>
                </w:tcBorders>
                <w:vAlign w:val="center"/>
              </w:tcPr>
              <w:p w14:paraId="6E4261BD" w14:textId="77777777" w:rsidR="00E57DAA" w:rsidRDefault="00E57DAA">
                <w:pPr>
                  <w:jc w:val="right"/>
                  <w:rPr>
                    <w:sz w:val="11"/>
                    <w:szCs w:val="11"/>
                  </w:rPr>
                </w:pPr>
              </w:p>
            </w:tc>
            <w:tc>
              <w:tcPr>
                <w:tcW w:w="1134" w:type="dxa"/>
                <w:vAlign w:val="center"/>
              </w:tcPr>
              <w:p w14:paraId="03AC76FE" w14:textId="77777777" w:rsidR="00E57DAA" w:rsidRDefault="00E57DAA">
                <w:pPr>
                  <w:jc w:val="right"/>
                  <w:rPr>
                    <w:sz w:val="11"/>
                    <w:szCs w:val="11"/>
                  </w:rPr>
                </w:pPr>
              </w:p>
            </w:tc>
            <w:tc>
              <w:tcPr>
                <w:tcW w:w="992" w:type="dxa"/>
                <w:vAlign w:val="center"/>
              </w:tcPr>
              <w:p w14:paraId="0A5D8DF9" w14:textId="77777777" w:rsidR="00E57DAA" w:rsidRDefault="00E57DAA">
                <w:pPr>
                  <w:jc w:val="right"/>
                  <w:rPr>
                    <w:sz w:val="11"/>
                    <w:szCs w:val="11"/>
                  </w:rPr>
                </w:pPr>
              </w:p>
            </w:tc>
            <w:tc>
              <w:tcPr>
                <w:tcW w:w="992" w:type="dxa"/>
                <w:vAlign w:val="center"/>
              </w:tcPr>
              <w:p w14:paraId="421C3690" w14:textId="77777777" w:rsidR="00E57DAA" w:rsidRDefault="00E57DAA">
                <w:pPr>
                  <w:jc w:val="right"/>
                  <w:rPr>
                    <w:sz w:val="11"/>
                    <w:szCs w:val="11"/>
                  </w:rPr>
                </w:pPr>
              </w:p>
            </w:tc>
            <w:tc>
              <w:tcPr>
                <w:tcW w:w="992" w:type="dxa"/>
                <w:vAlign w:val="center"/>
              </w:tcPr>
              <w:p w14:paraId="4F66197D" w14:textId="77777777" w:rsidR="00E57DAA" w:rsidRDefault="00AC4185">
                <w:pPr>
                  <w:jc w:val="right"/>
                  <w:rPr>
                    <w:sz w:val="11"/>
                    <w:szCs w:val="11"/>
                  </w:rPr>
                </w:pPr>
                <w:r>
                  <w:rPr>
                    <w:sz w:val="11"/>
                    <w:szCs w:val="11"/>
                  </w:rPr>
                  <w:t>118,040.63</w:t>
                </w:r>
              </w:p>
            </w:tc>
            <w:tc>
              <w:tcPr>
                <w:tcW w:w="1418" w:type="dxa"/>
                <w:vAlign w:val="center"/>
              </w:tcPr>
              <w:p w14:paraId="1AECAED3" w14:textId="77777777" w:rsidR="00E57DAA" w:rsidRDefault="00E57DAA">
                <w:pPr>
                  <w:jc w:val="right"/>
                  <w:rPr>
                    <w:sz w:val="11"/>
                    <w:szCs w:val="11"/>
                  </w:rPr>
                </w:pPr>
              </w:p>
            </w:tc>
            <w:tc>
              <w:tcPr>
                <w:tcW w:w="1417" w:type="dxa"/>
                <w:vAlign w:val="center"/>
              </w:tcPr>
              <w:p w14:paraId="04FB8309" w14:textId="77777777" w:rsidR="00E57DAA" w:rsidRDefault="00E57DAA">
                <w:pPr>
                  <w:jc w:val="right"/>
                  <w:rPr>
                    <w:sz w:val="11"/>
                    <w:szCs w:val="11"/>
                  </w:rPr>
                </w:pPr>
              </w:p>
            </w:tc>
            <w:tc>
              <w:tcPr>
                <w:tcW w:w="1546" w:type="dxa"/>
                <w:vAlign w:val="center"/>
              </w:tcPr>
              <w:p w14:paraId="3FDEB474" w14:textId="77777777" w:rsidR="00E57DAA" w:rsidRDefault="00AC4185">
                <w:pPr>
                  <w:jc w:val="right"/>
                  <w:rPr>
                    <w:sz w:val="11"/>
                    <w:szCs w:val="11"/>
                  </w:rPr>
                </w:pPr>
                <w:r>
                  <w:rPr>
                    <w:sz w:val="11"/>
                    <w:szCs w:val="11"/>
                  </w:rPr>
                  <w:t>118,040.63</w:t>
                </w:r>
              </w:p>
            </w:tc>
          </w:tr>
          <w:tr w:rsidR="00E57DAA" w14:paraId="2CF53BD7" w14:textId="77777777">
            <w:trPr>
              <w:trHeight w:val="20"/>
            </w:trPr>
            <w:sdt>
              <w:sdtPr>
                <w:rPr>
                  <w:sz w:val="11"/>
                  <w:szCs w:val="11"/>
                </w:rPr>
                <w:tag w:val="_PLD_cbede54ab9934d5ea45cda3f59593c28"/>
                <w:id w:val="1274899733"/>
              </w:sdtPr>
              <w:sdtEndPr/>
              <w:sdtContent>
                <w:tc>
                  <w:tcPr>
                    <w:tcW w:w="2394" w:type="dxa"/>
                    <w:vAlign w:val="center"/>
                  </w:tcPr>
                  <w:p w14:paraId="505E5E75" w14:textId="77777777" w:rsidR="00E57DAA" w:rsidRDefault="00AC4185">
                    <w:pPr>
                      <w:rPr>
                        <w:sz w:val="11"/>
                        <w:szCs w:val="11"/>
                      </w:rPr>
                    </w:pPr>
                    <w:r>
                      <w:rPr>
                        <w:rFonts w:hint="eastAsia"/>
                        <w:sz w:val="11"/>
                        <w:szCs w:val="11"/>
                      </w:rPr>
                      <w:t>1．本期提取</w:t>
                    </w:r>
                  </w:p>
                </w:tc>
              </w:sdtContent>
            </w:sdt>
            <w:tc>
              <w:tcPr>
                <w:tcW w:w="1318" w:type="dxa"/>
                <w:tcBorders>
                  <w:right w:val="single" w:sz="4" w:space="0" w:color="auto"/>
                </w:tcBorders>
                <w:vAlign w:val="center"/>
              </w:tcPr>
              <w:p w14:paraId="4F5A838C"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E7571EA"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AA018F7" w14:textId="77777777" w:rsidR="00E57DAA" w:rsidRDefault="00E57DAA">
                <w:pPr>
                  <w:jc w:val="right"/>
                  <w:rPr>
                    <w:sz w:val="11"/>
                    <w:szCs w:val="11"/>
                  </w:rPr>
                </w:pPr>
              </w:p>
            </w:tc>
            <w:tc>
              <w:tcPr>
                <w:tcW w:w="567" w:type="dxa"/>
                <w:tcBorders>
                  <w:left w:val="single" w:sz="4" w:space="0" w:color="auto"/>
                </w:tcBorders>
                <w:vAlign w:val="center"/>
              </w:tcPr>
              <w:p w14:paraId="4AEA9857" w14:textId="77777777" w:rsidR="00E57DAA" w:rsidRDefault="00E57DAA">
                <w:pPr>
                  <w:jc w:val="right"/>
                  <w:rPr>
                    <w:sz w:val="11"/>
                    <w:szCs w:val="11"/>
                  </w:rPr>
                </w:pPr>
              </w:p>
            </w:tc>
            <w:tc>
              <w:tcPr>
                <w:tcW w:w="1134" w:type="dxa"/>
                <w:vAlign w:val="center"/>
              </w:tcPr>
              <w:p w14:paraId="24E32EEE" w14:textId="77777777" w:rsidR="00E57DAA" w:rsidRDefault="00E57DAA">
                <w:pPr>
                  <w:jc w:val="right"/>
                  <w:rPr>
                    <w:sz w:val="11"/>
                    <w:szCs w:val="11"/>
                  </w:rPr>
                </w:pPr>
              </w:p>
            </w:tc>
            <w:tc>
              <w:tcPr>
                <w:tcW w:w="992" w:type="dxa"/>
                <w:vAlign w:val="center"/>
              </w:tcPr>
              <w:p w14:paraId="3A8C1476" w14:textId="77777777" w:rsidR="00E57DAA" w:rsidRDefault="00E57DAA">
                <w:pPr>
                  <w:jc w:val="right"/>
                  <w:rPr>
                    <w:sz w:val="11"/>
                    <w:szCs w:val="11"/>
                  </w:rPr>
                </w:pPr>
              </w:p>
            </w:tc>
            <w:tc>
              <w:tcPr>
                <w:tcW w:w="992" w:type="dxa"/>
                <w:vAlign w:val="center"/>
              </w:tcPr>
              <w:p w14:paraId="2AF9CEF5" w14:textId="77777777" w:rsidR="00E57DAA" w:rsidRDefault="00E57DAA">
                <w:pPr>
                  <w:jc w:val="right"/>
                  <w:rPr>
                    <w:sz w:val="11"/>
                    <w:szCs w:val="11"/>
                  </w:rPr>
                </w:pPr>
              </w:p>
            </w:tc>
            <w:tc>
              <w:tcPr>
                <w:tcW w:w="992" w:type="dxa"/>
                <w:vAlign w:val="center"/>
              </w:tcPr>
              <w:p w14:paraId="4C85498C" w14:textId="77777777" w:rsidR="00E57DAA" w:rsidRDefault="00AC4185">
                <w:pPr>
                  <w:jc w:val="right"/>
                  <w:rPr>
                    <w:sz w:val="11"/>
                    <w:szCs w:val="11"/>
                  </w:rPr>
                </w:pPr>
                <w:r>
                  <w:rPr>
                    <w:sz w:val="11"/>
                    <w:szCs w:val="11"/>
                  </w:rPr>
                  <w:t>11,158,149.92</w:t>
                </w:r>
              </w:p>
            </w:tc>
            <w:tc>
              <w:tcPr>
                <w:tcW w:w="1418" w:type="dxa"/>
                <w:vAlign w:val="center"/>
              </w:tcPr>
              <w:p w14:paraId="306350B5" w14:textId="77777777" w:rsidR="00E57DAA" w:rsidRDefault="00E57DAA">
                <w:pPr>
                  <w:jc w:val="right"/>
                  <w:rPr>
                    <w:sz w:val="11"/>
                    <w:szCs w:val="11"/>
                  </w:rPr>
                </w:pPr>
              </w:p>
            </w:tc>
            <w:tc>
              <w:tcPr>
                <w:tcW w:w="1417" w:type="dxa"/>
                <w:vAlign w:val="center"/>
              </w:tcPr>
              <w:p w14:paraId="6D1C0937" w14:textId="77777777" w:rsidR="00E57DAA" w:rsidRDefault="00E57DAA">
                <w:pPr>
                  <w:jc w:val="right"/>
                  <w:rPr>
                    <w:sz w:val="11"/>
                    <w:szCs w:val="11"/>
                  </w:rPr>
                </w:pPr>
              </w:p>
            </w:tc>
            <w:tc>
              <w:tcPr>
                <w:tcW w:w="1546" w:type="dxa"/>
                <w:vAlign w:val="center"/>
              </w:tcPr>
              <w:p w14:paraId="679A7E89" w14:textId="77777777" w:rsidR="00E57DAA" w:rsidRDefault="00AC4185">
                <w:pPr>
                  <w:jc w:val="right"/>
                  <w:rPr>
                    <w:sz w:val="11"/>
                    <w:szCs w:val="11"/>
                  </w:rPr>
                </w:pPr>
                <w:r>
                  <w:rPr>
                    <w:sz w:val="11"/>
                    <w:szCs w:val="11"/>
                  </w:rPr>
                  <w:t>11,158,149.92</w:t>
                </w:r>
              </w:p>
            </w:tc>
          </w:tr>
          <w:tr w:rsidR="00E57DAA" w14:paraId="1C9FD3D1" w14:textId="77777777">
            <w:trPr>
              <w:trHeight w:val="20"/>
            </w:trPr>
            <w:sdt>
              <w:sdtPr>
                <w:rPr>
                  <w:sz w:val="11"/>
                  <w:szCs w:val="11"/>
                </w:rPr>
                <w:tag w:val="_PLD_7900abe823e94277be091b3f1c7a54a5"/>
                <w:id w:val="700983552"/>
              </w:sdtPr>
              <w:sdtEndPr/>
              <w:sdtContent>
                <w:tc>
                  <w:tcPr>
                    <w:tcW w:w="2394" w:type="dxa"/>
                    <w:vAlign w:val="center"/>
                  </w:tcPr>
                  <w:p w14:paraId="57057A6D" w14:textId="77777777" w:rsidR="00E57DAA" w:rsidRDefault="00AC4185">
                    <w:pPr>
                      <w:rPr>
                        <w:sz w:val="11"/>
                        <w:szCs w:val="11"/>
                      </w:rPr>
                    </w:pPr>
                    <w:r>
                      <w:rPr>
                        <w:rFonts w:hint="eastAsia"/>
                        <w:sz w:val="11"/>
                        <w:szCs w:val="11"/>
                      </w:rPr>
                      <w:t>2．本期使用</w:t>
                    </w:r>
                  </w:p>
                </w:tc>
              </w:sdtContent>
            </w:sdt>
            <w:tc>
              <w:tcPr>
                <w:tcW w:w="1318" w:type="dxa"/>
                <w:tcBorders>
                  <w:right w:val="single" w:sz="4" w:space="0" w:color="auto"/>
                </w:tcBorders>
                <w:vAlign w:val="center"/>
              </w:tcPr>
              <w:p w14:paraId="083680D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2DF97865"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568C8EAF" w14:textId="77777777" w:rsidR="00E57DAA" w:rsidRDefault="00E57DAA">
                <w:pPr>
                  <w:jc w:val="right"/>
                  <w:rPr>
                    <w:sz w:val="11"/>
                    <w:szCs w:val="11"/>
                  </w:rPr>
                </w:pPr>
              </w:p>
            </w:tc>
            <w:tc>
              <w:tcPr>
                <w:tcW w:w="567" w:type="dxa"/>
                <w:tcBorders>
                  <w:left w:val="single" w:sz="4" w:space="0" w:color="auto"/>
                </w:tcBorders>
                <w:vAlign w:val="center"/>
              </w:tcPr>
              <w:p w14:paraId="694AC12A" w14:textId="77777777" w:rsidR="00E57DAA" w:rsidRDefault="00E57DAA">
                <w:pPr>
                  <w:jc w:val="right"/>
                  <w:rPr>
                    <w:sz w:val="11"/>
                    <w:szCs w:val="11"/>
                  </w:rPr>
                </w:pPr>
              </w:p>
            </w:tc>
            <w:tc>
              <w:tcPr>
                <w:tcW w:w="1134" w:type="dxa"/>
                <w:vAlign w:val="center"/>
              </w:tcPr>
              <w:p w14:paraId="73E1502E" w14:textId="77777777" w:rsidR="00E57DAA" w:rsidRDefault="00E57DAA">
                <w:pPr>
                  <w:jc w:val="right"/>
                  <w:rPr>
                    <w:sz w:val="11"/>
                    <w:szCs w:val="11"/>
                  </w:rPr>
                </w:pPr>
              </w:p>
            </w:tc>
            <w:tc>
              <w:tcPr>
                <w:tcW w:w="992" w:type="dxa"/>
                <w:vAlign w:val="center"/>
              </w:tcPr>
              <w:p w14:paraId="25CDF271" w14:textId="77777777" w:rsidR="00E57DAA" w:rsidRDefault="00E57DAA">
                <w:pPr>
                  <w:jc w:val="right"/>
                  <w:rPr>
                    <w:sz w:val="11"/>
                    <w:szCs w:val="11"/>
                  </w:rPr>
                </w:pPr>
              </w:p>
            </w:tc>
            <w:tc>
              <w:tcPr>
                <w:tcW w:w="992" w:type="dxa"/>
                <w:vAlign w:val="center"/>
              </w:tcPr>
              <w:p w14:paraId="68DAAB18" w14:textId="77777777" w:rsidR="00E57DAA" w:rsidRDefault="00E57DAA">
                <w:pPr>
                  <w:jc w:val="right"/>
                  <w:rPr>
                    <w:sz w:val="11"/>
                    <w:szCs w:val="11"/>
                  </w:rPr>
                </w:pPr>
              </w:p>
            </w:tc>
            <w:tc>
              <w:tcPr>
                <w:tcW w:w="992" w:type="dxa"/>
                <w:vAlign w:val="center"/>
              </w:tcPr>
              <w:p w14:paraId="27E2B3F4" w14:textId="77777777" w:rsidR="00E57DAA" w:rsidRDefault="00AC4185">
                <w:pPr>
                  <w:jc w:val="right"/>
                  <w:rPr>
                    <w:sz w:val="11"/>
                    <w:szCs w:val="11"/>
                  </w:rPr>
                </w:pPr>
                <w:r>
                  <w:rPr>
                    <w:sz w:val="11"/>
                    <w:szCs w:val="11"/>
                  </w:rPr>
                  <w:t>11,040,109.29</w:t>
                </w:r>
              </w:p>
            </w:tc>
            <w:tc>
              <w:tcPr>
                <w:tcW w:w="1418" w:type="dxa"/>
                <w:vAlign w:val="center"/>
              </w:tcPr>
              <w:p w14:paraId="3F1E5143" w14:textId="77777777" w:rsidR="00E57DAA" w:rsidRDefault="00E57DAA">
                <w:pPr>
                  <w:jc w:val="right"/>
                  <w:rPr>
                    <w:sz w:val="11"/>
                    <w:szCs w:val="11"/>
                  </w:rPr>
                </w:pPr>
              </w:p>
            </w:tc>
            <w:tc>
              <w:tcPr>
                <w:tcW w:w="1417" w:type="dxa"/>
                <w:vAlign w:val="center"/>
              </w:tcPr>
              <w:p w14:paraId="092044F8" w14:textId="77777777" w:rsidR="00E57DAA" w:rsidRDefault="00E57DAA">
                <w:pPr>
                  <w:jc w:val="right"/>
                  <w:rPr>
                    <w:sz w:val="11"/>
                    <w:szCs w:val="11"/>
                  </w:rPr>
                </w:pPr>
              </w:p>
            </w:tc>
            <w:tc>
              <w:tcPr>
                <w:tcW w:w="1546" w:type="dxa"/>
                <w:vAlign w:val="center"/>
              </w:tcPr>
              <w:p w14:paraId="36029877" w14:textId="77777777" w:rsidR="00E57DAA" w:rsidRDefault="00AC4185">
                <w:pPr>
                  <w:jc w:val="right"/>
                  <w:rPr>
                    <w:sz w:val="11"/>
                    <w:szCs w:val="11"/>
                  </w:rPr>
                </w:pPr>
                <w:r>
                  <w:rPr>
                    <w:sz w:val="11"/>
                    <w:szCs w:val="11"/>
                  </w:rPr>
                  <w:t>11,040,109.29</w:t>
                </w:r>
              </w:p>
            </w:tc>
          </w:tr>
          <w:tr w:rsidR="00E57DAA" w14:paraId="0BB2FC84" w14:textId="77777777">
            <w:trPr>
              <w:trHeight w:val="20"/>
            </w:trPr>
            <w:sdt>
              <w:sdtPr>
                <w:rPr>
                  <w:sz w:val="11"/>
                  <w:szCs w:val="11"/>
                </w:rPr>
                <w:tag w:val="_PLD_7cf659a70268475ea7233d8b82adad5a"/>
                <w:id w:val="794257874"/>
              </w:sdtPr>
              <w:sdtEndPr/>
              <w:sdtContent>
                <w:tc>
                  <w:tcPr>
                    <w:tcW w:w="2394" w:type="dxa"/>
                  </w:tcPr>
                  <w:p w14:paraId="3A8DB073" w14:textId="77777777" w:rsidR="00E57DAA" w:rsidRDefault="00AC4185">
                    <w:pPr>
                      <w:rPr>
                        <w:sz w:val="11"/>
                        <w:szCs w:val="11"/>
                      </w:rPr>
                    </w:pPr>
                    <w:r>
                      <w:rPr>
                        <w:rFonts w:hint="eastAsia"/>
                        <w:sz w:val="11"/>
                        <w:szCs w:val="11"/>
                      </w:rPr>
                      <w:t>（六）其他</w:t>
                    </w:r>
                  </w:p>
                </w:tc>
              </w:sdtContent>
            </w:sdt>
            <w:tc>
              <w:tcPr>
                <w:tcW w:w="1318" w:type="dxa"/>
                <w:tcBorders>
                  <w:right w:val="single" w:sz="4" w:space="0" w:color="auto"/>
                </w:tcBorders>
                <w:vAlign w:val="center"/>
              </w:tcPr>
              <w:p w14:paraId="68B6F61B"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E0C4AD7"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89FFC90" w14:textId="77777777" w:rsidR="00E57DAA" w:rsidRDefault="00E57DAA">
                <w:pPr>
                  <w:jc w:val="right"/>
                  <w:rPr>
                    <w:sz w:val="11"/>
                    <w:szCs w:val="11"/>
                  </w:rPr>
                </w:pPr>
              </w:p>
            </w:tc>
            <w:tc>
              <w:tcPr>
                <w:tcW w:w="567" w:type="dxa"/>
                <w:tcBorders>
                  <w:left w:val="single" w:sz="4" w:space="0" w:color="auto"/>
                </w:tcBorders>
                <w:vAlign w:val="center"/>
              </w:tcPr>
              <w:p w14:paraId="3CA8EDB7" w14:textId="77777777" w:rsidR="00E57DAA" w:rsidRDefault="00E57DAA">
                <w:pPr>
                  <w:jc w:val="right"/>
                  <w:rPr>
                    <w:sz w:val="11"/>
                    <w:szCs w:val="11"/>
                  </w:rPr>
                </w:pPr>
              </w:p>
            </w:tc>
            <w:tc>
              <w:tcPr>
                <w:tcW w:w="1134" w:type="dxa"/>
                <w:vAlign w:val="center"/>
              </w:tcPr>
              <w:p w14:paraId="37B4514F" w14:textId="77777777" w:rsidR="00E57DAA" w:rsidRDefault="00E57DAA">
                <w:pPr>
                  <w:jc w:val="right"/>
                  <w:rPr>
                    <w:sz w:val="11"/>
                    <w:szCs w:val="11"/>
                  </w:rPr>
                </w:pPr>
              </w:p>
            </w:tc>
            <w:tc>
              <w:tcPr>
                <w:tcW w:w="992" w:type="dxa"/>
                <w:vAlign w:val="center"/>
              </w:tcPr>
              <w:p w14:paraId="1BA016A6" w14:textId="77777777" w:rsidR="00E57DAA" w:rsidRDefault="00E57DAA">
                <w:pPr>
                  <w:jc w:val="right"/>
                  <w:rPr>
                    <w:sz w:val="11"/>
                    <w:szCs w:val="11"/>
                  </w:rPr>
                </w:pPr>
              </w:p>
            </w:tc>
            <w:tc>
              <w:tcPr>
                <w:tcW w:w="992" w:type="dxa"/>
                <w:vAlign w:val="center"/>
              </w:tcPr>
              <w:p w14:paraId="679194B3" w14:textId="77777777" w:rsidR="00E57DAA" w:rsidRDefault="00E57DAA">
                <w:pPr>
                  <w:jc w:val="right"/>
                  <w:rPr>
                    <w:sz w:val="11"/>
                    <w:szCs w:val="11"/>
                  </w:rPr>
                </w:pPr>
              </w:p>
            </w:tc>
            <w:tc>
              <w:tcPr>
                <w:tcW w:w="992" w:type="dxa"/>
                <w:vAlign w:val="center"/>
              </w:tcPr>
              <w:p w14:paraId="57029249" w14:textId="77777777" w:rsidR="00E57DAA" w:rsidRDefault="00E57DAA">
                <w:pPr>
                  <w:jc w:val="right"/>
                  <w:rPr>
                    <w:sz w:val="11"/>
                    <w:szCs w:val="11"/>
                  </w:rPr>
                </w:pPr>
              </w:p>
            </w:tc>
            <w:tc>
              <w:tcPr>
                <w:tcW w:w="1418" w:type="dxa"/>
                <w:vAlign w:val="center"/>
              </w:tcPr>
              <w:p w14:paraId="18B2CCA5" w14:textId="77777777" w:rsidR="00E57DAA" w:rsidRDefault="00E57DAA">
                <w:pPr>
                  <w:jc w:val="right"/>
                  <w:rPr>
                    <w:sz w:val="11"/>
                    <w:szCs w:val="11"/>
                  </w:rPr>
                </w:pPr>
              </w:p>
            </w:tc>
            <w:tc>
              <w:tcPr>
                <w:tcW w:w="1417" w:type="dxa"/>
                <w:vAlign w:val="center"/>
              </w:tcPr>
              <w:p w14:paraId="1E618C6B" w14:textId="77777777" w:rsidR="00E57DAA" w:rsidRDefault="00E57DAA">
                <w:pPr>
                  <w:jc w:val="right"/>
                  <w:rPr>
                    <w:sz w:val="11"/>
                    <w:szCs w:val="11"/>
                  </w:rPr>
                </w:pPr>
              </w:p>
            </w:tc>
            <w:tc>
              <w:tcPr>
                <w:tcW w:w="1546" w:type="dxa"/>
                <w:vAlign w:val="center"/>
              </w:tcPr>
              <w:p w14:paraId="1F549A5F" w14:textId="77777777" w:rsidR="00E57DAA" w:rsidRDefault="00E57DAA">
                <w:pPr>
                  <w:jc w:val="right"/>
                  <w:rPr>
                    <w:sz w:val="11"/>
                    <w:szCs w:val="11"/>
                  </w:rPr>
                </w:pPr>
              </w:p>
            </w:tc>
          </w:tr>
          <w:tr w:rsidR="00E57DAA" w14:paraId="5DCCE2AE" w14:textId="77777777">
            <w:trPr>
              <w:trHeight w:val="20"/>
            </w:trPr>
            <w:sdt>
              <w:sdtPr>
                <w:rPr>
                  <w:sz w:val="11"/>
                  <w:szCs w:val="11"/>
                </w:rPr>
                <w:tag w:val="_PLD_56eacf5a90be4746898504dda5c8a2c0"/>
                <w:id w:val="90827270"/>
              </w:sdtPr>
              <w:sdtEndPr/>
              <w:sdtContent>
                <w:tc>
                  <w:tcPr>
                    <w:tcW w:w="2394" w:type="dxa"/>
                  </w:tcPr>
                  <w:p w14:paraId="6C8E0ACC" w14:textId="77777777" w:rsidR="00E57DAA" w:rsidRDefault="00AC4185">
                    <w:pPr>
                      <w:rPr>
                        <w:sz w:val="11"/>
                        <w:szCs w:val="11"/>
                      </w:rPr>
                    </w:pPr>
                    <w:r>
                      <w:rPr>
                        <w:sz w:val="11"/>
                        <w:szCs w:val="11"/>
                      </w:rPr>
                      <w:t>四、本期期末余额</w:t>
                    </w:r>
                  </w:p>
                </w:tc>
              </w:sdtContent>
            </w:sdt>
            <w:tc>
              <w:tcPr>
                <w:tcW w:w="1318" w:type="dxa"/>
                <w:tcBorders>
                  <w:right w:val="single" w:sz="4" w:space="0" w:color="auto"/>
                </w:tcBorders>
                <w:vAlign w:val="center"/>
              </w:tcPr>
              <w:p w14:paraId="204132D1" w14:textId="77777777" w:rsidR="00E57DAA" w:rsidRDefault="00AC4185">
                <w:pPr>
                  <w:jc w:val="right"/>
                  <w:rPr>
                    <w:sz w:val="11"/>
                    <w:szCs w:val="11"/>
                  </w:rPr>
                </w:pPr>
                <w:r>
                  <w:rPr>
                    <w:sz w:val="11"/>
                    <w:szCs w:val="11"/>
                  </w:rPr>
                  <w:t>2,265,632,064.00</w:t>
                </w:r>
              </w:p>
            </w:tc>
            <w:tc>
              <w:tcPr>
                <w:tcW w:w="567" w:type="dxa"/>
                <w:tcBorders>
                  <w:left w:val="single" w:sz="4" w:space="0" w:color="auto"/>
                  <w:right w:val="single" w:sz="4" w:space="0" w:color="auto"/>
                </w:tcBorders>
                <w:vAlign w:val="center"/>
              </w:tcPr>
              <w:p w14:paraId="00473566" w14:textId="77777777" w:rsidR="00E57DAA" w:rsidRDefault="00E57DAA">
                <w:pPr>
                  <w:jc w:val="right"/>
                  <w:rPr>
                    <w:sz w:val="11"/>
                    <w:szCs w:val="11"/>
                  </w:rPr>
                </w:pPr>
              </w:p>
            </w:tc>
            <w:tc>
              <w:tcPr>
                <w:tcW w:w="567" w:type="dxa"/>
                <w:tcBorders>
                  <w:left w:val="single" w:sz="4" w:space="0" w:color="auto"/>
                  <w:right w:val="single" w:sz="4" w:space="0" w:color="auto"/>
                </w:tcBorders>
                <w:vAlign w:val="center"/>
              </w:tcPr>
              <w:p w14:paraId="46D849BE" w14:textId="77777777" w:rsidR="00E57DAA" w:rsidRDefault="00E57DAA">
                <w:pPr>
                  <w:jc w:val="right"/>
                  <w:rPr>
                    <w:sz w:val="11"/>
                    <w:szCs w:val="11"/>
                  </w:rPr>
                </w:pPr>
              </w:p>
            </w:tc>
            <w:tc>
              <w:tcPr>
                <w:tcW w:w="567" w:type="dxa"/>
                <w:tcBorders>
                  <w:left w:val="single" w:sz="4" w:space="0" w:color="auto"/>
                </w:tcBorders>
                <w:vAlign w:val="center"/>
              </w:tcPr>
              <w:p w14:paraId="7291E6FF" w14:textId="77777777" w:rsidR="00E57DAA" w:rsidRDefault="00E57DAA">
                <w:pPr>
                  <w:jc w:val="right"/>
                  <w:rPr>
                    <w:sz w:val="11"/>
                    <w:szCs w:val="11"/>
                  </w:rPr>
                </w:pPr>
              </w:p>
            </w:tc>
            <w:tc>
              <w:tcPr>
                <w:tcW w:w="1134" w:type="dxa"/>
                <w:vAlign w:val="center"/>
              </w:tcPr>
              <w:p w14:paraId="6257BF38" w14:textId="77777777" w:rsidR="00E57DAA" w:rsidRDefault="00AC4185">
                <w:pPr>
                  <w:jc w:val="right"/>
                  <w:rPr>
                    <w:sz w:val="11"/>
                    <w:szCs w:val="11"/>
                  </w:rPr>
                </w:pPr>
                <w:r>
                  <w:rPr>
                    <w:sz w:val="11"/>
                    <w:szCs w:val="11"/>
                  </w:rPr>
                  <w:t>3,588,174,614.41</w:t>
                </w:r>
              </w:p>
            </w:tc>
            <w:tc>
              <w:tcPr>
                <w:tcW w:w="992" w:type="dxa"/>
                <w:vAlign w:val="center"/>
              </w:tcPr>
              <w:p w14:paraId="5B4FA77A" w14:textId="77777777" w:rsidR="00E57DAA" w:rsidRDefault="00AC4185">
                <w:pPr>
                  <w:jc w:val="right"/>
                  <w:rPr>
                    <w:sz w:val="11"/>
                    <w:szCs w:val="11"/>
                  </w:rPr>
                </w:pPr>
                <w:r>
                  <w:rPr>
                    <w:sz w:val="11"/>
                    <w:szCs w:val="11"/>
                  </w:rPr>
                  <w:t>267,191,920.55</w:t>
                </w:r>
              </w:p>
            </w:tc>
            <w:tc>
              <w:tcPr>
                <w:tcW w:w="992" w:type="dxa"/>
                <w:vAlign w:val="center"/>
              </w:tcPr>
              <w:p w14:paraId="19D8CEE3" w14:textId="77777777" w:rsidR="00E57DAA" w:rsidRDefault="00AC4185">
                <w:pPr>
                  <w:jc w:val="right"/>
                  <w:rPr>
                    <w:sz w:val="11"/>
                    <w:szCs w:val="11"/>
                  </w:rPr>
                </w:pPr>
                <w:r>
                  <w:rPr>
                    <w:sz w:val="11"/>
                    <w:szCs w:val="11"/>
                  </w:rPr>
                  <w:t>2,558,959.33</w:t>
                </w:r>
              </w:p>
            </w:tc>
            <w:tc>
              <w:tcPr>
                <w:tcW w:w="992" w:type="dxa"/>
                <w:vAlign w:val="center"/>
              </w:tcPr>
              <w:p w14:paraId="2D858C98" w14:textId="77777777" w:rsidR="00E57DAA" w:rsidRDefault="00AC4185">
                <w:pPr>
                  <w:jc w:val="right"/>
                  <w:rPr>
                    <w:sz w:val="11"/>
                    <w:szCs w:val="11"/>
                  </w:rPr>
                </w:pPr>
                <w:r>
                  <w:rPr>
                    <w:sz w:val="11"/>
                    <w:szCs w:val="11"/>
                  </w:rPr>
                  <w:t>3,668,066.48</w:t>
                </w:r>
              </w:p>
            </w:tc>
            <w:tc>
              <w:tcPr>
                <w:tcW w:w="1418" w:type="dxa"/>
                <w:vAlign w:val="center"/>
              </w:tcPr>
              <w:p w14:paraId="776F6A8C" w14:textId="77777777" w:rsidR="00E57DAA" w:rsidRDefault="00AC4185">
                <w:pPr>
                  <w:jc w:val="right"/>
                  <w:rPr>
                    <w:sz w:val="11"/>
                    <w:szCs w:val="11"/>
                  </w:rPr>
                </w:pPr>
                <w:r>
                  <w:rPr>
                    <w:sz w:val="11"/>
                    <w:szCs w:val="11"/>
                  </w:rPr>
                  <w:t>701,342,845.69</w:t>
                </w:r>
              </w:p>
            </w:tc>
            <w:tc>
              <w:tcPr>
                <w:tcW w:w="1417" w:type="dxa"/>
                <w:vAlign w:val="center"/>
              </w:tcPr>
              <w:p w14:paraId="08577A11" w14:textId="77777777" w:rsidR="00E57DAA" w:rsidRDefault="00AC4185">
                <w:pPr>
                  <w:jc w:val="right"/>
                  <w:rPr>
                    <w:sz w:val="11"/>
                    <w:szCs w:val="11"/>
                  </w:rPr>
                </w:pPr>
                <w:r>
                  <w:rPr>
                    <w:sz w:val="11"/>
                    <w:szCs w:val="11"/>
                  </w:rPr>
                  <w:t>1,087,362,449.56</w:t>
                </w:r>
              </w:p>
            </w:tc>
            <w:tc>
              <w:tcPr>
                <w:tcW w:w="1546" w:type="dxa"/>
                <w:vAlign w:val="center"/>
              </w:tcPr>
              <w:p w14:paraId="1EF2A5BC" w14:textId="77777777" w:rsidR="00E57DAA" w:rsidRDefault="00AC4185">
                <w:pPr>
                  <w:jc w:val="right"/>
                  <w:rPr>
                    <w:sz w:val="11"/>
                    <w:szCs w:val="11"/>
                  </w:rPr>
                </w:pPr>
                <w:r>
                  <w:rPr>
                    <w:sz w:val="11"/>
                    <w:szCs w:val="11"/>
                  </w:rPr>
                  <w:t>7,381,547,078.92</w:t>
                </w:r>
              </w:p>
            </w:tc>
          </w:tr>
        </w:tbl>
        <w:p w14:paraId="18210EB2" w14:textId="77777777" w:rsidR="00E57DAA" w:rsidRDefault="00AC4185">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223093447"/>
              <w:placeholder>
                <w:docPart w:val="GBC22222222222222222222222222222"/>
              </w:placeholder>
              <w:dataBinding w:prefixMappings="xmlns:clcid-mr='clcid-mr'" w:xpath="/*/clcid-mr:GongSiFuZeRenXingMing[not(@periodRef)]" w:storeItemID="{89EBAB94-44A0-46A2-B712-30D997D04A6D}"/>
              <w:text/>
            </w:sdtPr>
            <w:sdtEndPr/>
            <w:sdtContent>
              <w:r>
                <w:rPr>
                  <w:rFonts w:hint="eastAsia"/>
                  <w:szCs w:val="21"/>
                </w:rPr>
                <w:t>印志松</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91606676"/>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644034571"/>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bookmarkEnd w:id="166"/>
    <w:p w14:paraId="473D8234" w14:textId="77777777" w:rsidR="00E57DAA" w:rsidRDefault="00E57DAA">
      <w:pPr>
        <w:rPr>
          <w:color w:val="FF0000"/>
        </w:rPr>
      </w:pPr>
    </w:p>
    <w:p w14:paraId="1DB8DFEE" w14:textId="77777777" w:rsidR="00E57DAA" w:rsidRDefault="00E57DAA">
      <w:pPr>
        <w:snapToGrid w:val="0"/>
        <w:spacing w:line="240" w:lineRule="atLeast"/>
        <w:ind w:rightChars="-73" w:right="-153"/>
        <w:rPr>
          <w:b/>
          <w:bCs/>
          <w:color w:val="FF0000"/>
          <w:szCs w:val="21"/>
        </w:rPr>
      </w:pPr>
    </w:p>
    <w:p w14:paraId="58737B89" w14:textId="77777777" w:rsidR="00E57DAA" w:rsidRDefault="00E57DAA">
      <w:pPr>
        <w:snapToGrid w:val="0"/>
        <w:spacing w:line="240" w:lineRule="atLeast"/>
        <w:ind w:rightChars="-73" w:right="-153"/>
        <w:rPr>
          <w:b/>
          <w:bCs/>
          <w:color w:val="FF0000"/>
          <w:szCs w:val="21"/>
        </w:rPr>
      </w:pPr>
    </w:p>
    <w:p w14:paraId="61571AF2" w14:textId="77777777" w:rsidR="00E57DAA" w:rsidRDefault="00E57DAA">
      <w:pPr>
        <w:snapToGrid w:val="0"/>
        <w:spacing w:line="240" w:lineRule="atLeast"/>
        <w:rPr>
          <w:szCs w:val="21"/>
        </w:rPr>
        <w:sectPr w:rsidR="00E57DAA" w:rsidSect="00226547">
          <w:pgSz w:w="16838" w:h="11906" w:orient="landscape"/>
          <w:pgMar w:top="1276" w:right="1440" w:bottom="1797" w:left="1525" w:header="856" w:footer="992" w:gutter="0"/>
          <w:cols w:space="425"/>
          <w:docGrid w:linePitch="312"/>
        </w:sectPr>
      </w:pPr>
      <w:bookmarkStart w:id="167" w:name="_Hlk533930396"/>
    </w:p>
    <w:p w14:paraId="65B1B07F" w14:textId="77777777" w:rsidR="00E57DAA" w:rsidRDefault="00AC4185" w:rsidP="00C25422">
      <w:pPr>
        <w:pStyle w:val="2CharCharChar1"/>
        <w:numPr>
          <w:ilvl w:val="0"/>
          <w:numId w:val="58"/>
        </w:numPr>
      </w:pPr>
      <w:r>
        <w:lastRenderedPageBreak/>
        <w:t>公司基本情况</w:t>
      </w:r>
    </w:p>
    <w:p w14:paraId="6CCCD844" w14:textId="77777777" w:rsidR="00E57DAA" w:rsidRDefault="00AC4185" w:rsidP="00C25422">
      <w:pPr>
        <w:pStyle w:val="91"/>
        <w:numPr>
          <w:ilvl w:val="0"/>
          <w:numId w:val="59"/>
        </w:numPr>
      </w:pPr>
      <w:r>
        <w:rPr>
          <w:rFonts w:hint="eastAsia"/>
        </w:rPr>
        <w:t>公司概况</w:t>
      </w:r>
    </w:p>
    <w:bookmarkEnd w:id="167" w:displacedByCustomXml="next"/>
    <w:sdt>
      <w:sdtPr>
        <w:rPr>
          <w:rFonts w:hint="eastAsia"/>
          <w:szCs w:val="21"/>
        </w:rPr>
        <w:alias w:val="是否适用：公司概况[双击切换]"/>
        <w:tag w:val="_GBC_7b613deb8c7f4027b73602e5cd1d4a2e"/>
        <w:id w:val="1361252954"/>
        <w:placeholder>
          <w:docPart w:val="GBC22222222222222222222222222222"/>
        </w:placeholder>
      </w:sdtPr>
      <w:sdtEndPr/>
      <w:sdtContent>
        <w:p w14:paraId="0991AAA2"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1292785860"/>
        <w:placeholder>
          <w:docPart w:val="GBC22222222222222222222222222222"/>
        </w:placeholder>
      </w:sdtPr>
      <w:sdtEndPr/>
      <w:sdtContent>
        <w:p w14:paraId="344BBB21" w14:textId="77777777" w:rsidR="00E57DAA" w:rsidRDefault="00AC4185">
          <w:pPr>
            <w:ind w:firstLineChars="200" w:firstLine="420"/>
            <w:rPr>
              <w:szCs w:val="21"/>
            </w:rPr>
          </w:pPr>
          <w:r>
            <w:rPr>
              <w:szCs w:val="21"/>
            </w:rPr>
            <w:t>(一)</w:t>
          </w:r>
          <w:r>
            <w:rPr>
              <w:szCs w:val="21"/>
            </w:rPr>
            <w:tab/>
            <w:t>公司注册地、组织形式和总部地址</w:t>
          </w:r>
        </w:p>
        <w:p w14:paraId="5856B641" w14:textId="77777777" w:rsidR="00E57DAA" w:rsidRDefault="00AC4185">
          <w:pPr>
            <w:ind w:firstLineChars="200" w:firstLine="420"/>
            <w:rPr>
              <w:szCs w:val="21"/>
            </w:rPr>
          </w:pPr>
          <w:r>
            <w:rPr>
              <w:rFonts w:hint="eastAsia"/>
              <w:szCs w:val="21"/>
            </w:rPr>
            <w:t>中国中材国际工程股份有限公司（以下简称“公司”或“本公司”）前身为中材国际工程股份有限公司</w:t>
          </w:r>
          <w:r>
            <w:rPr>
              <w:szCs w:val="21"/>
            </w:rPr>
            <w:t>,系于2001年11月29日经中华人民共和国国家经济贸易委员会国经贸企改〔2010〕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公司于2005年4月12日在上海证券交易所上市，现持有统一社会信用代</w:t>
          </w:r>
          <w:r>
            <w:rPr>
              <w:rFonts w:hint="eastAsia"/>
              <w:szCs w:val="21"/>
            </w:rPr>
            <w:t>码为</w:t>
          </w:r>
          <w:r>
            <w:rPr>
              <w:szCs w:val="21"/>
            </w:rPr>
            <w:t>91320000710929340E的营业执照。</w:t>
          </w:r>
        </w:p>
        <w:p w14:paraId="119AD094" w14:textId="77777777" w:rsidR="00E57DAA" w:rsidRDefault="00AC4185">
          <w:pPr>
            <w:ind w:firstLineChars="200" w:firstLine="420"/>
            <w:rPr>
              <w:szCs w:val="21"/>
            </w:rPr>
          </w:pPr>
          <w:r>
            <w:rPr>
              <w:rFonts w:hint="eastAsia"/>
              <w:szCs w:val="21"/>
            </w:rPr>
            <w:t>经过历年的派送红股、配售新股、转增股本及增发新股，截至</w:t>
          </w:r>
          <w:r>
            <w:rPr>
              <w:szCs w:val="21"/>
            </w:rPr>
            <w:t>2023年12月31日，本公司累计发行股份总数264,231.7423万股，注册资本为264,231.7423万元，注册地址：江苏省南京市江宁开发区临淮街32号，总部地址：北京市朝阳区望京北路16号中材国际大厦，母公司为中国建材股份有限公司，最终控制方为中国建材集团有限公司。</w:t>
          </w:r>
        </w:p>
        <w:p w14:paraId="7B4085FE" w14:textId="77777777" w:rsidR="00E57DAA" w:rsidRDefault="00AC4185">
          <w:pPr>
            <w:ind w:firstLineChars="200" w:firstLine="420"/>
            <w:rPr>
              <w:szCs w:val="21"/>
            </w:rPr>
          </w:pPr>
          <w:r>
            <w:rPr>
              <w:szCs w:val="21"/>
            </w:rPr>
            <w:t>(二)</w:t>
          </w:r>
          <w:r>
            <w:rPr>
              <w:szCs w:val="21"/>
            </w:rPr>
            <w:tab/>
            <w:t>公司业务性质和主要经营活动</w:t>
          </w:r>
        </w:p>
        <w:p w14:paraId="7561655E" w14:textId="77777777" w:rsidR="00E57DAA" w:rsidRDefault="00AC4185">
          <w:pPr>
            <w:ind w:firstLineChars="200" w:firstLine="420"/>
            <w:rPr>
              <w:szCs w:val="21"/>
            </w:rPr>
          </w:pPr>
          <w:r>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国内贸易。</w:t>
          </w:r>
        </w:p>
        <w:p w14:paraId="347AD058" w14:textId="77777777" w:rsidR="00E57DAA" w:rsidRDefault="00AC4185">
          <w:pPr>
            <w:ind w:firstLineChars="200" w:firstLine="420"/>
            <w:rPr>
              <w:szCs w:val="21"/>
            </w:rPr>
          </w:pPr>
          <w:r>
            <w:rPr>
              <w:szCs w:val="21"/>
            </w:rPr>
            <w:t>(三)</w:t>
          </w:r>
          <w:r>
            <w:rPr>
              <w:szCs w:val="21"/>
            </w:rPr>
            <w:tab/>
            <w:t>合并财务报表范围</w:t>
          </w:r>
        </w:p>
        <w:p w14:paraId="669789EC" w14:textId="77777777" w:rsidR="00E57DAA" w:rsidRDefault="00AC4185">
          <w:pPr>
            <w:ind w:firstLineChars="200" w:firstLine="420"/>
            <w:rPr>
              <w:szCs w:val="21"/>
            </w:rPr>
          </w:pPr>
          <w:r>
            <w:rPr>
              <w:rFonts w:hint="eastAsia"/>
              <w:szCs w:val="21"/>
            </w:rPr>
            <w:t>本公司本期纳入合并范围的二级子公司共</w:t>
          </w:r>
          <w:r>
            <w:rPr>
              <w:szCs w:val="21"/>
            </w:rPr>
            <w:t>24户，详见附注</w:t>
          </w:r>
          <w:r w:rsidR="008D1578">
            <w:rPr>
              <w:rFonts w:hint="eastAsia"/>
              <w:szCs w:val="21"/>
            </w:rPr>
            <w:t>十</w:t>
          </w:r>
          <w:r>
            <w:rPr>
              <w:szCs w:val="21"/>
            </w:rPr>
            <w:t>、在其他主体中的权益。本期纳入合并财务报表范围的主体较上期相比，增加17户，减少1户，合并范围变更主体的具体信息详见附注</w:t>
          </w:r>
          <w:r w:rsidR="00B46EFA">
            <w:rPr>
              <w:rFonts w:hint="eastAsia"/>
              <w:szCs w:val="21"/>
            </w:rPr>
            <w:t>九</w:t>
          </w:r>
          <w:r>
            <w:rPr>
              <w:szCs w:val="21"/>
            </w:rPr>
            <w:t>、合并范围的变更。</w:t>
          </w:r>
        </w:p>
        <w:p w14:paraId="5E930749" w14:textId="77777777" w:rsidR="00E57DAA" w:rsidRDefault="00AC4185">
          <w:pPr>
            <w:ind w:firstLineChars="200" w:firstLine="420"/>
            <w:rPr>
              <w:szCs w:val="21"/>
            </w:rPr>
          </w:pPr>
          <w:r>
            <w:rPr>
              <w:szCs w:val="21"/>
            </w:rPr>
            <w:t>(四)</w:t>
          </w:r>
          <w:r>
            <w:rPr>
              <w:szCs w:val="21"/>
            </w:rPr>
            <w:tab/>
            <w:t>财务报表的批准报出</w:t>
          </w:r>
        </w:p>
        <w:p w14:paraId="498B7295" w14:textId="77777777" w:rsidR="00E57DAA" w:rsidRDefault="00AC4185">
          <w:pPr>
            <w:ind w:firstLineChars="200" w:firstLine="420"/>
            <w:rPr>
              <w:szCs w:val="21"/>
            </w:rPr>
          </w:pPr>
          <w:r>
            <w:rPr>
              <w:rFonts w:hint="eastAsia"/>
              <w:szCs w:val="21"/>
            </w:rPr>
            <w:t>本财务报表业经公司董事会于</w:t>
          </w:r>
          <w:r>
            <w:rPr>
              <w:szCs w:val="21"/>
            </w:rPr>
            <w:t>2024年3月25日批准报出。</w:t>
          </w:r>
        </w:p>
      </w:sdtContent>
    </w:sdt>
    <w:p w14:paraId="05B789A9" w14:textId="77777777" w:rsidR="00E57DAA" w:rsidRDefault="00E57DAA">
      <w:pPr>
        <w:rPr>
          <w:szCs w:val="21"/>
        </w:rPr>
      </w:pPr>
    </w:p>
    <w:p w14:paraId="6D28CF77" w14:textId="77777777" w:rsidR="00E57DAA" w:rsidRDefault="00AC4185" w:rsidP="00C25422">
      <w:pPr>
        <w:pStyle w:val="2CharCharChar1"/>
        <w:numPr>
          <w:ilvl w:val="0"/>
          <w:numId w:val="58"/>
        </w:numPr>
      </w:pPr>
      <w:r>
        <w:rPr>
          <w:rFonts w:hint="eastAsia"/>
        </w:rPr>
        <w:t>财务报表的编制基础</w:t>
      </w:r>
    </w:p>
    <w:p w14:paraId="51ABF57A" w14:textId="77777777" w:rsidR="00E57DAA" w:rsidRDefault="00AC4185" w:rsidP="00C25422">
      <w:pPr>
        <w:pStyle w:val="91"/>
        <w:numPr>
          <w:ilvl w:val="0"/>
          <w:numId w:val="60"/>
        </w:numPr>
      </w:pPr>
      <w:r>
        <w:t>编制基础</w:t>
      </w:r>
    </w:p>
    <w:p w14:paraId="4CF51CDD" w14:textId="77777777" w:rsidR="00E57DAA" w:rsidRDefault="00AC4185">
      <w:pPr>
        <w:ind w:firstLineChars="200" w:firstLine="420"/>
        <w:rPr>
          <w:szCs w:val="21"/>
        </w:rPr>
      </w:pPr>
      <w:r>
        <w:rPr>
          <w:rFonts w:hint="eastAsia"/>
          <w:szCs w:val="21"/>
        </w:rPr>
        <w:t>本公司根据实际发生的交易和事项，按照财政部颁布的《企业会计准则——基本准则》和具体企业会计准则、企业会计准则应用指南、企业会计准则解释及其他相关规定（以下合称“企业会计准则”）进行确认和计量，在此基础上，结合中国证券监督管理委员会《公开发行证券的公司信息披露编报规则第</w:t>
      </w:r>
      <w:r>
        <w:rPr>
          <w:szCs w:val="21"/>
        </w:rPr>
        <w:t>15号——财务报告的一般规定》（2023年修订）的规定，编制财务报表。</w:t>
      </w:r>
    </w:p>
    <w:p w14:paraId="7261386D" w14:textId="77777777" w:rsidR="00E57DAA" w:rsidRDefault="00AC4185" w:rsidP="00C25422">
      <w:pPr>
        <w:pStyle w:val="91"/>
        <w:numPr>
          <w:ilvl w:val="0"/>
          <w:numId w:val="60"/>
        </w:numPr>
      </w:pPr>
      <w:r>
        <w:rPr>
          <w:rFonts w:hint="eastAsia"/>
        </w:rPr>
        <w:t>持续经营</w:t>
      </w:r>
    </w:p>
    <w:sdt>
      <w:sdtPr>
        <w:rPr>
          <w:rFonts w:hint="eastAsia"/>
          <w:szCs w:val="21"/>
        </w:rPr>
        <w:alias w:val="是否适用：持续经营[双击切换]"/>
        <w:tag w:val="_GBC_fa7177dc4f164e56b4df7bebc60acf50"/>
        <w:id w:val="-1514138809"/>
        <w:placeholder>
          <w:docPart w:val="GBC22222222222222222222222222222"/>
        </w:placeholder>
      </w:sdtPr>
      <w:sdtEndPr/>
      <w:sdtContent>
        <w:p w14:paraId="16BEAE41"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757441221"/>
        <w:placeholder>
          <w:docPart w:val="GBC22222222222222222222222222222"/>
        </w:placeholder>
      </w:sdtPr>
      <w:sdtEndPr/>
      <w:sdtContent>
        <w:p w14:paraId="2C2FA272" w14:textId="77777777" w:rsidR="00E57DAA" w:rsidRDefault="00AC4185">
          <w:pPr>
            <w:ind w:firstLineChars="200" w:firstLine="420"/>
            <w:rPr>
              <w:szCs w:val="21"/>
            </w:rPr>
          </w:pPr>
          <w:r>
            <w:rPr>
              <w:rFonts w:hint="eastAsia"/>
              <w:szCs w:val="21"/>
            </w:rPr>
            <w:t>本公司对报告期末起</w:t>
          </w:r>
          <w:r>
            <w:rPr>
              <w:szCs w:val="21"/>
            </w:rPr>
            <w:t>12个月的持续经营能力进行了评价，未发现对持续经营能力产生重大怀疑的事项或情况。因此，本财务报表系在持续经营假设的基础上编制。</w:t>
          </w:r>
        </w:p>
      </w:sdtContent>
    </w:sdt>
    <w:p w14:paraId="3A77B70C" w14:textId="77777777" w:rsidR="00E57DAA" w:rsidRDefault="00E57DAA">
      <w:pPr>
        <w:rPr>
          <w:szCs w:val="21"/>
        </w:rPr>
      </w:pPr>
    </w:p>
    <w:p w14:paraId="1DB613B7" w14:textId="77777777" w:rsidR="00E57DAA" w:rsidRDefault="00AC4185" w:rsidP="00C25422">
      <w:pPr>
        <w:pStyle w:val="2CharCharChar1"/>
        <w:numPr>
          <w:ilvl w:val="0"/>
          <w:numId w:val="58"/>
        </w:numPr>
      </w:pPr>
      <w:r>
        <w:rPr>
          <w:rFonts w:hint="eastAsia"/>
        </w:rPr>
        <w:t>重</w:t>
      </w:r>
      <w:r>
        <w:t>要会计政策</w:t>
      </w:r>
      <w:r>
        <w:rPr>
          <w:rFonts w:hint="eastAsia"/>
        </w:rPr>
        <w:t>及</w:t>
      </w:r>
      <w:r>
        <w:t>会计估计</w:t>
      </w:r>
    </w:p>
    <w:p w14:paraId="6D1F0A7A" w14:textId="77777777" w:rsidR="00E57DAA" w:rsidRDefault="00AC4185" w:rsidP="00C25422">
      <w:pPr>
        <w:pStyle w:val="92"/>
      </w:pPr>
      <w:r>
        <w:rPr>
          <w:rFonts w:hint="eastAsia"/>
        </w:rPr>
        <w:t>具体会计政策和会计估计提示：</w:t>
      </w:r>
    </w:p>
    <w:sdt>
      <w:sdtPr>
        <w:alias w:val="是否适用：具体会计政策和会计估计提示[双击切换]"/>
        <w:tag w:val="_GBC_86fd142a599649f8a3574e6ddaba5f71"/>
        <w:id w:val="159432219"/>
        <w:placeholder>
          <w:docPart w:val="GBC22222222222222222222222222222"/>
        </w:placeholder>
      </w:sdtPr>
      <w:sdtEndPr/>
      <w:sdtContent>
        <w:p w14:paraId="5AE1D099"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0C552D" w14:textId="77777777" w:rsidR="00E57DAA" w:rsidRDefault="00E57DAA" w:rsidP="00C25422">
      <w:pPr>
        <w:pStyle w:val="92"/>
      </w:pPr>
    </w:p>
    <w:p w14:paraId="082C5FCA" w14:textId="77777777" w:rsidR="00E57DAA" w:rsidRDefault="00AC4185" w:rsidP="00C25422">
      <w:pPr>
        <w:pStyle w:val="91"/>
        <w:numPr>
          <w:ilvl w:val="0"/>
          <w:numId w:val="61"/>
        </w:numPr>
      </w:pPr>
      <w:r>
        <w:t>遵循企业会计准则的声明</w:t>
      </w:r>
    </w:p>
    <w:sdt>
      <w:sdtPr>
        <w:rPr>
          <w:rFonts w:hint="eastAsia"/>
          <w:szCs w:val="21"/>
        </w:rPr>
        <w:alias w:val="会计准则和会计制度"/>
        <w:tag w:val="_GBC_a350b889163a4ef3bb500c021e6a6b47"/>
        <w:id w:val="-2128151899"/>
        <w:placeholder>
          <w:docPart w:val="GBC22222222222222222222222222222"/>
        </w:placeholder>
      </w:sdtPr>
      <w:sdtEndPr/>
      <w:sdtContent>
        <w:p w14:paraId="296383F4" w14:textId="77777777" w:rsidR="00E57DAA" w:rsidRDefault="00AC4185">
          <w:pPr>
            <w:rPr>
              <w:szCs w:val="21"/>
            </w:rPr>
          </w:pPr>
          <w:r>
            <w:rPr>
              <w:szCs w:val="21"/>
            </w:rPr>
            <w:t>本公司所编制的财务报表符合企业会计准则的要求，真实、完整地反映了公司的财务状况、经营成果、股东权益变动和现金流量等有关信息。</w:t>
          </w:r>
        </w:p>
      </w:sdtContent>
    </w:sdt>
    <w:p w14:paraId="69C9EAA0" w14:textId="77777777" w:rsidR="00E57DAA" w:rsidRDefault="00E57DAA">
      <w:pPr>
        <w:rPr>
          <w:szCs w:val="21"/>
        </w:rPr>
      </w:pPr>
    </w:p>
    <w:p w14:paraId="023AE4CE" w14:textId="77777777" w:rsidR="00E57DAA" w:rsidRDefault="00AC4185" w:rsidP="00C25422">
      <w:pPr>
        <w:pStyle w:val="91"/>
        <w:numPr>
          <w:ilvl w:val="0"/>
          <w:numId w:val="61"/>
        </w:numPr>
      </w:pPr>
      <w:r>
        <w:lastRenderedPageBreak/>
        <w:t>会计期间</w:t>
      </w:r>
    </w:p>
    <w:sdt>
      <w:sdtPr>
        <w:rPr>
          <w:rFonts w:hint="eastAsia"/>
          <w:szCs w:val="21"/>
        </w:rPr>
        <w:alias w:val="会计年度"/>
        <w:tag w:val="_GBC_fc896fba50b143f8a06984831f5d5600"/>
        <w:id w:val="-42912287"/>
        <w:placeholder>
          <w:docPart w:val="GBC22222222222222222222222222222"/>
        </w:placeholder>
      </w:sdtPr>
      <w:sdtEndPr/>
      <w:sdtContent>
        <w:p w14:paraId="28685CCC" w14:textId="77777777" w:rsidR="00E57DAA" w:rsidRDefault="00AC4185">
          <w:pPr>
            <w:rPr>
              <w:szCs w:val="21"/>
            </w:rPr>
          </w:pPr>
          <w:r>
            <w:rPr>
              <w:szCs w:val="21"/>
            </w:rPr>
            <w:t>本公司会计年度自公历1月1日起至12月31日止。</w:t>
          </w:r>
        </w:p>
      </w:sdtContent>
    </w:sdt>
    <w:p w14:paraId="46BCCD29" w14:textId="77777777" w:rsidR="00E57DAA" w:rsidRDefault="00E57DAA">
      <w:pPr>
        <w:rPr>
          <w:szCs w:val="21"/>
        </w:rPr>
      </w:pPr>
    </w:p>
    <w:p w14:paraId="54178093" w14:textId="77777777" w:rsidR="00E57DAA" w:rsidRDefault="00AC4185" w:rsidP="00C25422">
      <w:pPr>
        <w:pStyle w:val="91"/>
        <w:numPr>
          <w:ilvl w:val="0"/>
          <w:numId w:val="61"/>
        </w:numPr>
      </w:pPr>
      <w:r>
        <w:rPr>
          <w:rFonts w:hint="eastAsia"/>
        </w:rPr>
        <w:t>营业周期</w:t>
      </w:r>
    </w:p>
    <w:sdt>
      <w:sdtPr>
        <w:rPr>
          <w:rFonts w:hint="eastAsia"/>
          <w:szCs w:val="21"/>
        </w:rPr>
        <w:alias w:val="是否适用：营业周期[双击切换]"/>
        <w:tag w:val="_GBC_41bd09d0a4bd429996597e58a613259e"/>
        <w:id w:val="1561137036"/>
        <w:placeholder>
          <w:docPart w:val="GBC22222222222222222222222222222"/>
        </w:placeholder>
      </w:sdtPr>
      <w:sdtEndPr/>
      <w:sdtContent>
        <w:p w14:paraId="24AC69B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309944009"/>
        <w:placeholder>
          <w:docPart w:val="GBC22222222222222222222222222222"/>
        </w:placeholder>
      </w:sdtPr>
      <w:sdtEndPr/>
      <w:sdtContent>
        <w:p w14:paraId="05602A96" w14:textId="77777777" w:rsidR="00E57DAA" w:rsidRDefault="00AC4185">
          <w:pPr>
            <w:ind w:firstLineChars="200" w:firstLine="420"/>
            <w:rPr>
              <w:rFonts w:cs="Times New Roman"/>
              <w:kern w:val="2"/>
              <w:szCs w:val="21"/>
            </w:rPr>
          </w:pPr>
          <w:r>
            <w:rPr>
              <w:rFonts w:hint="eastAsia"/>
              <w:szCs w:val="21"/>
            </w:rPr>
            <w:t>营业周期是指企业从购买用于加工的资产起至实现现金或现金等价物的期间。本公司以</w:t>
          </w:r>
          <w:r>
            <w:rPr>
              <w:szCs w:val="21"/>
            </w:rPr>
            <w:t>12个月作为一个营业周期，并以其作为资产和负债的流动性划分标准。</w:t>
          </w:r>
        </w:p>
      </w:sdtContent>
    </w:sdt>
    <w:p w14:paraId="554E6A33" w14:textId="77777777" w:rsidR="00E57DAA" w:rsidRDefault="00E57DAA">
      <w:pPr>
        <w:rPr>
          <w:szCs w:val="21"/>
        </w:rPr>
      </w:pPr>
    </w:p>
    <w:p w14:paraId="3C4CF8B9" w14:textId="77777777" w:rsidR="00E57DAA" w:rsidRDefault="00AC4185" w:rsidP="00C25422">
      <w:pPr>
        <w:pStyle w:val="91"/>
        <w:numPr>
          <w:ilvl w:val="0"/>
          <w:numId w:val="61"/>
        </w:numPr>
      </w:pPr>
      <w:r>
        <w:t>记账本位币</w:t>
      </w:r>
    </w:p>
    <w:sdt>
      <w:sdtPr>
        <w:rPr>
          <w:rFonts w:hint="eastAsia"/>
          <w:szCs w:val="21"/>
        </w:rPr>
        <w:alias w:val="记账本位币"/>
        <w:tag w:val="_GBC_3749a2357eba44e8b968cb41cda75ff1"/>
        <w:id w:val="-960560953"/>
        <w:placeholder>
          <w:docPart w:val="GBC22222222222222222222222222222"/>
        </w:placeholder>
      </w:sdtPr>
      <w:sdtEndPr/>
      <w:sdtContent>
        <w:p w14:paraId="6FEEB502" w14:textId="77777777" w:rsidR="00E57DAA" w:rsidRDefault="00AC4185">
          <w:pPr>
            <w:ind w:firstLineChars="200" w:firstLine="420"/>
            <w:rPr>
              <w:szCs w:val="21"/>
            </w:rPr>
          </w:pPr>
          <w:r>
            <w:rPr>
              <w:rFonts w:hint="eastAsia"/>
              <w:szCs w:val="21"/>
            </w:rPr>
            <w:t>采用人民币为记账本位币。</w:t>
          </w:r>
        </w:p>
        <w:p w14:paraId="33A30BD5" w14:textId="77777777" w:rsidR="00E57DAA" w:rsidRDefault="00AC4185">
          <w:pPr>
            <w:ind w:firstLineChars="200" w:firstLine="420"/>
            <w:jc w:val="both"/>
            <w:rPr>
              <w:szCs w:val="21"/>
            </w:rPr>
          </w:pPr>
          <w:r>
            <w:rPr>
              <w:rFonts w:hint="eastAsia"/>
              <w:szCs w:val="21"/>
            </w:rPr>
            <w:t>本公司之子公司德国</w:t>
          </w:r>
          <w:r>
            <w:rPr>
              <w:szCs w:val="21"/>
            </w:rPr>
            <w:t>HAZEMAG公司注册地在德国，记账本位币为欧元；能源和基建有限公司注册地在沙特阿拉伯，记账本位币为里亚尔；印度LNVT私人有限公司注册地在印度，记账本位币为卢比；波兰凯盛公司注册地在波兰，记账本位币为兹罗提；中材装备集团有限公司迪拜公司注册地在阿联酋，记账本位币为美元；CITEC印度尼西亚工程公司注册地在印度尼西亚，记账本位币为印尼盾；中材国际工业工程（马）有限公司注册地在马来西亚，记账本位币为林吉特；FABCOM STRUCTURAL LTD注册地在尼日利亚，记账本位币为尼日利亚奈拉；</w:t>
          </w:r>
          <w:r>
            <w:rPr>
              <w:rFonts w:hint="eastAsia"/>
              <w:szCs w:val="21"/>
            </w:rPr>
            <w:t>中材宁锐（南京）国际物流尼日利亚子公司注册地在尼日利亚，记账本位币为尼日利亚奈拉；中建材智慧工业埃塞公司注册地在埃塞俄比亚，记账本位币为比尔；中材宁锐（南京）国际物流越南子公司注册地在越南，记账本位币为越南盾；</w:t>
          </w:r>
          <w:r>
            <w:rPr>
              <w:szCs w:val="21"/>
            </w:rPr>
            <w:t>"SINOMA GBM" FE LLC和GREEN BASIC MATERIALS注册地在乌兹别克斯坦，记账本位币为苏姆；除此之外，本公司及其他所属公司的记账本位币均为人民币。</w:t>
          </w:r>
        </w:p>
      </w:sdtContent>
    </w:sdt>
    <w:p w14:paraId="1109B8D5" w14:textId="77777777" w:rsidR="00E57DAA" w:rsidRDefault="00E57DAA">
      <w:pPr>
        <w:rPr>
          <w:rFonts w:cs="Times New Roman"/>
          <w:kern w:val="2"/>
          <w:szCs w:val="21"/>
        </w:rPr>
      </w:pPr>
    </w:p>
    <w:p w14:paraId="3D047DAC" w14:textId="77777777" w:rsidR="00E57DAA" w:rsidRDefault="00AC4185" w:rsidP="00C25422">
      <w:pPr>
        <w:pStyle w:val="91"/>
        <w:numPr>
          <w:ilvl w:val="0"/>
          <w:numId w:val="61"/>
        </w:numPr>
      </w:pPr>
      <w:r>
        <w:rPr>
          <w:rFonts w:hint="eastAsia"/>
        </w:rPr>
        <w:t>重要性标准确定方法和选择依据</w:t>
      </w:r>
    </w:p>
    <w:sdt>
      <w:sdtPr>
        <w:rPr>
          <w:szCs w:val="21"/>
        </w:rPr>
        <w:alias w:val="是否适用：重要性标准确定方法和选择依据[双击切换]"/>
        <w:tag w:val="_GBC_66b24b4e2070411c88bbdeaf4b0ac338"/>
        <w:id w:val="163823452"/>
        <w:placeholder>
          <w:docPart w:val="GBC22222222222222222222222222222"/>
        </w:placeholder>
      </w:sdtPr>
      <w:sdtEndPr/>
      <w:sdtContent>
        <w:p w14:paraId="7056157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9"/>
        <w:tblW w:w="0" w:type="auto"/>
        <w:tblLook w:val="04A0" w:firstRow="1" w:lastRow="0" w:firstColumn="1" w:lastColumn="0" w:noHBand="0" w:noVBand="1"/>
      </w:tblPr>
      <w:tblGrid>
        <w:gridCol w:w="4411"/>
        <w:gridCol w:w="4412"/>
      </w:tblGrid>
      <w:tr w:rsidR="00E57DAA" w14:paraId="68D80311" w14:textId="77777777">
        <w:sdt>
          <w:sdtPr>
            <w:rPr>
              <w:rFonts w:ascii="Times New Roman" w:hAnsi="Times New Roman" w:hint="eastAsia"/>
            </w:rPr>
            <w:tag w:val="_PLD_9f124ba78a1f4011868edb08cb914673"/>
            <w:id w:val="-2086216227"/>
          </w:sdtPr>
          <w:sdtEndPr/>
          <w:sdtContent>
            <w:tc>
              <w:tcPr>
                <w:tcW w:w="4411" w:type="dxa"/>
              </w:tcPr>
              <w:p w14:paraId="318231E0" w14:textId="77777777" w:rsidR="00E57DAA" w:rsidRDefault="00AC4185">
                <w:pPr>
                  <w:jc w:val="center"/>
                </w:pPr>
                <w:r>
                  <w:rPr>
                    <w:rFonts w:hint="eastAsia"/>
                  </w:rPr>
                  <w:t>项目</w:t>
                </w:r>
              </w:p>
            </w:tc>
          </w:sdtContent>
        </w:sdt>
        <w:sdt>
          <w:sdtPr>
            <w:tag w:val="_PLD_c9e9f6dfae4c43e0b08da57b23829dd8"/>
            <w:id w:val="-832377461"/>
          </w:sdtPr>
          <w:sdtEndPr/>
          <w:sdtContent>
            <w:tc>
              <w:tcPr>
                <w:tcW w:w="4412" w:type="dxa"/>
              </w:tcPr>
              <w:p w14:paraId="6AC02854" w14:textId="77777777" w:rsidR="00E57DAA" w:rsidRDefault="00AC4185">
                <w:pPr>
                  <w:jc w:val="center"/>
                </w:pPr>
                <w:r>
                  <w:t>重要性标准</w:t>
                </w:r>
              </w:p>
            </w:tc>
          </w:sdtContent>
        </w:sdt>
      </w:tr>
      <w:tr w:rsidR="00E57DAA" w14:paraId="6B0DFA5F" w14:textId="77777777">
        <w:tc>
          <w:tcPr>
            <w:tcW w:w="4411" w:type="dxa"/>
          </w:tcPr>
          <w:p w14:paraId="41FA9A3D" w14:textId="77777777" w:rsidR="00E57DAA" w:rsidRDefault="00AC4185" w:rsidP="00C25422">
            <w:pPr>
              <w:pStyle w:val="92"/>
            </w:pPr>
            <w:r>
              <w:t>重要的应收款项坏账准备收回或转回</w:t>
            </w:r>
          </w:p>
        </w:tc>
        <w:tc>
          <w:tcPr>
            <w:tcW w:w="4412" w:type="dxa"/>
          </w:tcPr>
          <w:p w14:paraId="45FBE1B0" w14:textId="77777777" w:rsidR="00E57DAA" w:rsidRDefault="00AC4185" w:rsidP="00C25422">
            <w:pPr>
              <w:pStyle w:val="92"/>
            </w:pPr>
            <w:r>
              <w:t>单项收回或转回金额大于200.00万元</w:t>
            </w:r>
          </w:p>
        </w:tc>
      </w:tr>
      <w:tr w:rsidR="00E57DAA" w14:paraId="2E984EF6" w14:textId="77777777">
        <w:tc>
          <w:tcPr>
            <w:tcW w:w="4411" w:type="dxa"/>
          </w:tcPr>
          <w:p w14:paraId="124AFBC3" w14:textId="77777777" w:rsidR="00E57DAA" w:rsidRDefault="00AC4185" w:rsidP="00C25422">
            <w:pPr>
              <w:pStyle w:val="92"/>
            </w:pPr>
            <w:r>
              <w:t>重要的应收款项实际核销</w:t>
            </w:r>
          </w:p>
        </w:tc>
        <w:tc>
          <w:tcPr>
            <w:tcW w:w="4412" w:type="dxa"/>
          </w:tcPr>
          <w:p w14:paraId="61A91505" w14:textId="77777777" w:rsidR="00E57DAA" w:rsidRDefault="00AC4185" w:rsidP="00C25422">
            <w:pPr>
              <w:pStyle w:val="92"/>
            </w:pPr>
            <w:r>
              <w:t>单项核销金额大于200.00万元</w:t>
            </w:r>
          </w:p>
        </w:tc>
      </w:tr>
      <w:tr w:rsidR="00E57DAA" w14:paraId="633A87D4" w14:textId="77777777">
        <w:tc>
          <w:tcPr>
            <w:tcW w:w="4411" w:type="dxa"/>
          </w:tcPr>
          <w:p w14:paraId="241A0DA8" w14:textId="77777777" w:rsidR="00E57DAA" w:rsidRDefault="00AC4185" w:rsidP="00C25422">
            <w:pPr>
              <w:pStyle w:val="92"/>
            </w:pPr>
            <w:r>
              <w:t>重要的预付款项</w:t>
            </w:r>
          </w:p>
        </w:tc>
        <w:tc>
          <w:tcPr>
            <w:tcW w:w="4412" w:type="dxa"/>
          </w:tcPr>
          <w:p w14:paraId="168ABB27" w14:textId="77777777" w:rsidR="00E57DAA" w:rsidRDefault="00AC4185" w:rsidP="00C25422">
            <w:pPr>
              <w:pStyle w:val="92"/>
            </w:pPr>
            <w:r>
              <w:t>单项账龄超过1年的预付款项占预付款项总额5%以上且金额大于1,000.00万元。</w:t>
            </w:r>
          </w:p>
        </w:tc>
      </w:tr>
      <w:tr w:rsidR="00E57DAA" w14:paraId="0C98AC83" w14:textId="77777777">
        <w:tc>
          <w:tcPr>
            <w:tcW w:w="4411" w:type="dxa"/>
          </w:tcPr>
          <w:p w14:paraId="5779C6DA" w14:textId="77777777" w:rsidR="00E57DAA" w:rsidRDefault="00AC4185" w:rsidP="00C25422">
            <w:pPr>
              <w:pStyle w:val="92"/>
            </w:pPr>
            <w:r>
              <w:t>重要的在建工程</w:t>
            </w:r>
          </w:p>
        </w:tc>
        <w:tc>
          <w:tcPr>
            <w:tcW w:w="4412" w:type="dxa"/>
          </w:tcPr>
          <w:p w14:paraId="75CE762E" w14:textId="77777777" w:rsidR="00E57DAA" w:rsidRDefault="00AC4185" w:rsidP="00C25422">
            <w:pPr>
              <w:pStyle w:val="92"/>
            </w:pPr>
            <w:r>
              <w:t>单个项目的期初或期末余额大于500万元</w:t>
            </w:r>
          </w:p>
        </w:tc>
      </w:tr>
      <w:tr w:rsidR="00E57DAA" w14:paraId="322C2D8B" w14:textId="77777777">
        <w:tc>
          <w:tcPr>
            <w:tcW w:w="4411" w:type="dxa"/>
          </w:tcPr>
          <w:p w14:paraId="581EE359" w14:textId="77777777" w:rsidR="00E57DAA" w:rsidRDefault="00AC4185" w:rsidP="00C25422">
            <w:pPr>
              <w:pStyle w:val="92"/>
            </w:pPr>
            <w:r>
              <w:t>重要的非全资子公司</w:t>
            </w:r>
          </w:p>
        </w:tc>
        <w:tc>
          <w:tcPr>
            <w:tcW w:w="4412" w:type="dxa"/>
          </w:tcPr>
          <w:p w14:paraId="3404AB4B" w14:textId="77777777" w:rsidR="00E57DAA" w:rsidRDefault="00AC4185" w:rsidP="00C25422">
            <w:pPr>
              <w:pStyle w:val="92"/>
            </w:pPr>
            <w:r>
              <w:t>子公司净资产占合并财务报表净资产2%以上</w:t>
            </w:r>
          </w:p>
        </w:tc>
      </w:tr>
    </w:tbl>
    <w:p w14:paraId="63DC0A68" w14:textId="77777777" w:rsidR="00E57DAA" w:rsidRDefault="00E57DAA"/>
    <w:p w14:paraId="0B881A9D" w14:textId="77777777" w:rsidR="00E57DAA" w:rsidRDefault="00AC4185" w:rsidP="00C25422">
      <w:pPr>
        <w:pStyle w:val="91"/>
        <w:numPr>
          <w:ilvl w:val="0"/>
          <w:numId w:val="61"/>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449738777"/>
        <w:placeholder>
          <w:docPart w:val="GBC22222222222222222222222222222"/>
        </w:placeholder>
      </w:sdtPr>
      <w:sdtEndPr/>
      <w:sdtContent>
        <w:p w14:paraId="7F71C2E9"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8370038"/>
        <w:placeholder>
          <w:docPart w:val="GBC22222222222222222222222222222"/>
        </w:placeholder>
      </w:sdtPr>
      <w:sdtEndPr/>
      <w:sdtContent>
        <w:p w14:paraId="4A4F6898" w14:textId="77777777" w:rsidR="00E57DAA" w:rsidRDefault="00AC4185">
          <w:pPr>
            <w:ind w:firstLineChars="200" w:firstLine="420"/>
            <w:rPr>
              <w:szCs w:val="21"/>
            </w:rPr>
          </w:pPr>
          <w:r>
            <w:rPr>
              <w:szCs w:val="21"/>
            </w:rPr>
            <w:t>1．分步实现企业合并过程中的各项交易的条款、条件以及经济影响符合以下一种或多种情况，将多次交易事项作为一揽子交易进行会计处理</w:t>
          </w:r>
        </w:p>
        <w:p w14:paraId="636C641C" w14:textId="77777777" w:rsidR="00E57DAA" w:rsidRDefault="00AC4185">
          <w:pPr>
            <w:ind w:firstLineChars="200" w:firstLine="420"/>
            <w:rPr>
              <w:szCs w:val="21"/>
            </w:rPr>
          </w:pPr>
          <w:r>
            <w:rPr>
              <w:rFonts w:hint="eastAsia"/>
              <w:szCs w:val="21"/>
            </w:rPr>
            <w:t>（</w:t>
          </w:r>
          <w:r>
            <w:rPr>
              <w:szCs w:val="21"/>
            </w:rPr>
            <w:t>1）</w:t>
          </w:r>
          <w:r>
            <w:rPr>
              <w:szCs w:val="21"/>
            </w:rPr>
            <w:tab/>
            <w:t>这些交易是同时或者在考虑了彼此影响的情况下订立的；</w:t>
          </w:r>
        </w:p>
        <w:p w14:paraId="50497EA8" w14:textId="77777777" w:rsidR="00E57DAA" w:rsidRDefault="00AC4185">
          <w:pPr>
            <w:ind w:firstLineChars="200" w:firstLine="420"/>
            <w:rPr>
              <w:szCs w:val="21"/>
            </w:rPr>
          </w:pPr>
          <w:r>
            <w:rPr>
              <w:rFonts w:hint="eastAsia"/>
              <w:szCs w:val="21"/>
            </w:rPr>
            <w:t>（</w:t>
          </w:r>
          <w:r>
            <w:rPr>
              <w:szCs w:val="21"/>
            </w:rPr>
            <w:t>2）</w:t>
          </w:r>
          <w:r>
            <w:rPr>
              <w:szCs w:val="21"/>
            </w:rPr>
            <w:tab/>
            <w:t>这些交易整体才能达成一项完整的商业结果；</w:t>
          </w:r>
        </w:p>
        <w:p w14:paraId="2E8CCFDE" w14:textId="77777777" w:rsidR="00E57DAA" w:rsidRDefault="00AC4185">
          <w:pPr>
            <w:ind w:firstLineChars="200" w:firstLine="420"/>
            <w:rPr>
              <w:szCs w:val="21"/>
            </w:rPr>
          </w:pPr>
          <w:r>
            <w:rPr>
              <w:rFonts w:hint="eastAsia"/>
              <w:szCs w:val="21"/>
            </w:rPr>
            <w:t>（</w:t>
          </w:r>
          <w:r>
            <w:rPr>
              <w:szCs w:val="21"/>
            </w:rPr>
            <w:t>3）</w:t>
          </w:r>
          <w:r>
            <w:rPr>
              <w:szCs w:val="21"/>
            </w:rPr>
            <w:tab/>
            <w:t>一项交易的发生取决于其他至少一项交易的发生；</w:t>
          </w:r>
        </w:p>
        <w:p w14:paraId="6B0F5382" w14:textId="77777777" w:rsidR="00E57DAA" w:rsidRDefault="00AC4185">
          <w:pPr>
            <w:ind w:firstLineChars="200" w:firstLine="420"/>
            <w:rPr>
              <w:szCs w:val="21"/>
            </w:rPr>
          </w:pPr>
          <w:r>
            <w:rPr>
              <w:rFonts w:hint="eastAsia"/>
              <w:szCs w:val="21"/>
            </w:rPr>
            <w:t>（</w:t>
          </w:r>
          <w:r>
            <w:rPr>
              <w:szCs w:val="21"/>
            </w:rPr>
            <w:t>4）</w:t>
          </w:r>
          <w:r>
            <w:rPr>
              <w:szCs w:val="21"/>
            </w:rPr>
            <w:tab/>
            <w:t>一项交易单独看是不经济的，但是和其他交易一并考虑时是经济的。</w:t>
          </w:r>
        </w:p>
        <w:p w14:paraId="46039697" w14:textId="77777777" w:rsidR="00E57DAA" w:rsidRDefault="00AC4185">
          <w:pPr>
            <w:ind w:firstLineChars="200" w:firstLine="420"/>
            <w:rPr>
              <w:szCs w:val="21"/>
            </w:rPr>
          </w:pPr>
          <w:r>
            <w:rPr>
              <w:szCs w:val="21"/>
            </w:rPr>
            <w:t>2．同一控制下的企业合并</w:t>
          </w:r>
        </w:p>
        <w:p w14:paraId="12B4FC25" w14:textId="77777777" w:rsidR="00E57DAA" w:rsidRDefault="00AC4185">
          <w:pPr>
            <w:ind w:firstLineChars="200" w:firstLine="420"/>
            <w:rPr>
              <w:szCs w:val="21"/>
            </w:rPr>
          </w:pPr>
          <w:r>
            <w:rPr>
              <w:rFonts w:hint="eastAsia"/>
              <w:szCs w:val="21"/>
            </w:rPr>
            <w:t>参与合并的企业在合并前后均受同一方或相同的多方最终控制，且该控制并非暂时性的，为同一控制下的企业合并。</w:t>
          </w:r>
        </w:p>
        <w:p w14:paraId="4439D063" w14:textId="77777777" w:rsidR="00E57DAA" w:rsidRDefault="00AC4185">
          <w:pPr>
            <w:ind w:firstLineChars="200" w:firstLine="420"/>
            <w:rPr>
              <w:szCs w:val="21"/>
            </w:rPr>
          </w:pPr>
          <w:r>
            <w:rPr>
              <w:rFonts w:hint="eastAsia"/>
              <w:szCs w:val="21"/>
            </w:rPr>
            <w:t>本公司在企业合并中取得的资产和负债，按照合并日在被合并方资产、负债（包括最终控制方收购被合并方而形成的商誉）在最终控制方合并财务报表中的账面价值计量。在合并中取得的净资产账面价值与支付的合并对价账面价值（或发行股份面值总额）的差额，调整资本公积中的股本溢价，资本公积中的股本溢价不足冲减的，调整留存收益。</w:t>
          </w:r>
        </w:p>
        <w:p w14:paraId="78FC4199" w14:textId="77777777" w:rsidR="00E57DAA" w:rsidRDefault="00AC4185">
          <w:pPr>
            <w:ind w:firstLineChars="200" w:firstLine="420"/>
            <w:rPr>
              <w:szCs w:val="21"/>
            </w:rPr>
          </w:pPr>
          <w:r>
            <w:rPr>
              <w:rFonts w:hint="eastAsia"/>
              <w:szCs w:val="21"/>
            </w:rPr>
            <w:t>如果存在或有对价并需要确认预计负债或资产，该预计负债或资产金额与后续或有对价结算金额的差额，调整资本公积（资本溢价或股本溢价），资本公积不足的，调整留存收益。</w:t>
          </w:r>
        </w:p>
        <w:p w14:paraId="006D9068" w14:textId="77777777" w:rsidR="00E57DAA" w:rsidRDefault="00AC4185">
          <w:pPr>
            <w:ind w:firstLineChars="200" w:firstLine="420"/>
            <w:rPr>
              <w:szCs w:val="21"/>
            </w:rPr>
          </w:pPr>
          <w:r>
            <w:rPr>
              <w:rFonts w:hint="eastAsia"/>
              <w:szCs w:val="21"/>
            </w:rPr>
            <w:lastRenderedPageBreak/>
            <w:t>对于通过多次交易最终实现企业合并的，属于一揽子交易的，将各项交易作为一项取得控制权的交易进行会计处理；不属于一揽子交易的，在取得控制权日，长期股权投资初始投资成本，与达到合并前的长期股权投资账面价值加上合并日进一步取得股份新支付对价的账面价值之和的差额，调整资本公积；资本公积不足冲减的，调整留存收益。对于合并日之前持有的股权投资，因采用权益法核算或金融工具确认和计量准则核算而确认的其他综合收益，暂不进行会计处理，直至处置该项投资时采用与被投资单位直接处置相关资产或负债相同的基础进行会计处理；因采用权益法核算而确认的被投资单位净资产中除净损益、其他综合收益和利润分配以外的所有者权益其他变动，暂不进行会计处理，直至处置该项投资时转入当期损益。</w:t>
          </w:r>
        </w:p>
        <w:p w14:paraId="0649A925" w14:textId="77777777" w:rsidR="00E57DAA" w:rsidRDefault="00AC4185">
          <w:pPr>
            <w:ind w:firstLineChars="200" w:firstLine="420"/>
            <w:rPr>
              <w:szCs w:val="21"/>
            </w:rPr>
          </w:pPr>
          <w:r>
            <w:rPr>
              <w:szCs w:val="21"/>
            </w:rPr>
            <w:t>3．非同一控制下的企业合并</w:t>
          </w:r>
        </w:p>
        <w:p w14:paraId="52EAAF3B" w14:textId="77777777" w:rsidR="00E57DAA" w:rsidRDefault="00AC4185">
          <w:pPr>
            <w:ind w:firstLineChars="200" w:firstLine="420"/>
            <w:rPr>
              <w:szCs w:val="21"/>
            </w:rPr>
          </w:pPr>
          <w:r>
            <w:rPr>
              <w:rFonts w:hint="eastAsia"/>
              <w:szCs w:val="21"/>
            </w:rPr>
            <w:t>参与合并的企业在合并前后不受同一方或相同的多方最终控制，为非同一控制下的企业合并。</w:t>
          </w:r>
        </w:p>
        <w:p w14:paraId="10515804" w14:textId="77777777" w:rsidR="00E57DAA" w:rsidRDefault="00AC4185">
          <w:pPr>
            <w:ind w:firstLineChars="200" w:firstLine="420"/>
            <w:rPr>
              <w:szCs w:val="21"/>
            </w:rPr>
          </w:pPr>
          <w:r>
            <w:rPr>
              <w:rFonts w:hint="eastAsia"/>
              <w:szCs w:val="21"/>
            </w:rPr>
            <w:t>本公司在购买日对作为企业合并对价付出的资产、发生或承担的负债按照公允价值计量，公允价值与其账面价值的差额，计入当期损益。</w:t>
          </w:r>
        </w:p>
        <w:p w14:paraId="1BAA430F" w14:textId="77777777" w:rsidR="00E57DAA" w:rsidRDefault="00AC4185">
          <w:pPr>
            <w:ind w:firstLineChars="200" w:firstLine="420"/>
            <w:rPr>
              <w:szCs w:val="21"/>
            </w:rPr>
          </w:pPr>
          <w:r>
            <w:rPr>
              <w:rFonts w:hint="eastAsia"/>
              <w:szCs w:val="21"/>
            </w:rPr>
            <w:t>本公司对合并成本大于合并中取得的被购买方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  小于合并中取得的被购买方可辨认净资产公允价值份额的，计入当期损益。</w:t>
          </w:r>
        </w:p>
        <w:p w14:paraId="6DDB535D" w14:textId="77777777" w:rsidR="00E57DAA" w:rsidRDefault="00AC4185">
          <w:pPr>
            <w:ind w:firstLineChars="200" w:firstLine="420"/>
            <w:rPr>
              <w:szCs w:val="21"/>
            </w:rPr>
          </w:pPr>
          <w:r>
            <w:rPr>
              <w:rFonts w:hint="eastAsia"/>
              <w:szCs w:val="21"/>
            </w:rPr>
            <w:t>通过多次交换交易分步实现的非同一控制下企业合并，属于一揽子交易的，将各项交易作为一项取得控制权的交易进行会计处理；不属于一揽子交易的，合并日之前持有的股权投资采用权益法核算的，以购买日之前所持被购买方的股权投资的账面价值与购买日新增投资成本之和，作为该项投资的初始投资成本；购买日之前持有的股权投资因采用权益法核算而确认的其他综合收益，在处置该项投资时采用与被投资单位直接处置相关资产或负债相同的基础进行会计处理。合并日之前持有的股权投资采用金融工具确认和计量准则核算的，以该股权投资在合并日的公允价值加上新增投资成本之和，作为合并日的初始投资成本。原持有股权的公允价值与账面价值之间的差额以及原计入其他综合收益的累计公允价值变动应全部转入合并日当期的投资收益。</w:t>
          </w:r>
        </w:p>
        <w:p w14:paraId="121A0A7A" w14:textId="77777777" w:rsidR="00E57DAA" w:rsidRDefault="00AC4185">
          <w:pPr>
            <w:ind w:firstLineChars="200" w:firstLine="420"/>
            <w:rPr>
              <w:szCs w:val="21"/>
            </w:rPr>
          </w:pPr>
          <w:r>
            <w:rPr>
              <w:szCs w:val="21"/>
            </w:rPr>
            <w:t>4．为合并发生的相关费用</w:t>
          </w:r>
        </w:p>
        <w:p w14:paraId="0C10AF2F" w14:textId="77777777" w:rsidR="00E57DAA" w:rsidRDefault="00AC4185">
          <w:pPr>
            <w:ind w:firstLineChars="200" w:firstLine="420"/>
            <w:rPr>
              <w:rFonts w:cs="Times New Roman"/>
              <w:kern w:val="2"/>
              <w:szCs w:val="21"/>
            </w:rPr>
          </w:pPr>
          <w:r>
            <w:rPr>
              <w:rFonts w:hint="eastAsia"/>
              <w:szCs w:val="21"/>
            </w:rPr>
            <w:t>为企业合并发生的审计、法律服务、评估咨询等中介费用以及其他直接相关费用，于发生时计入当期损益；为企业合并而发行权益性证券的交易费用，可直接归属于权益性交易的从权益中扣减。</w:t>
          </w:r>
        </w:p>
      </w:sdtContent>
    </w:sdt>
    <w:p w14:paraId="771D4EC6" w14:textId="77777777" w:rsidR="00E57DAA" w:rsidRDefault="00E57DAA">
      <w:pPr>
        <w:rPr>
          <w:szCs w:val="21"/>
        </w:rPr>
      </w:pPr>
    </w:p>
    <w:p w14:paraId="3A6404AE" w14:textId="77777777" w:rsidR="00E57DAA" w:rsidRDefault="00AC4185" w:rsidP="00C25422">
      <w:pPr>
        <w:pStyle w:val="91"/>
        <w:numPr>
          <w:ilvl w:val="0"/>
          <w:numId w:val="61"/>
        </w:numPr>
      </w:pPr>
      <w:r>
        <w:rPr>
          <w:rFonts w:ascii="宋体" w:hAnsi="宋体" w:cs="宋体" w:hint="eastAsia"/>
          <w:kern w:val="0"/>
          <w:szCs w:val="24"/>
        </w:rPr>
        <w:t>控制的判断标准和</w:t>
      </w:r>
      <w:r>
        <w:t>合并财务报表的编制方法</w:t>
      </w:r>
    </w:p>
    <w:sdt>
      <w:sdtPr>
        <w:rPr>
          <w:rFonts w:hint="eastAsia"/>
          <w:szCs w:val="21"/>
        </w:rPr>
        <w:alias w:val="是否适用：控制的判断标准和合并财务报表的编制方法[双击切换]"/>
        <w:tag w:val="_GBC_d8312ea572e647a59b796bf708b54713"/>
        <w:id w:val="894936168"/>
        <w:placeholder>
          <w:docPart w:val="GBC22222222222222222222222222222"/>
        </w:placeholder>
      </w:sdtPr>
      <w:sdtEndPr/>
      <w:sdtContent>
        <w:p w14:paraId="2A145FB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控制的判断标准和合并财务报表的编制方法"/>
        <w:tag w:val="_GBC_5201beca0c0944939b4a0d8d100d6fcf"/>
        <w:id w:val="-1739846197"/>
        <w:placeholder>
          <w:docPart w:val="GBC22222222222222222222222222222"/>
        </w:placeholder>
      </w:sdtPr>
      <w:sdtEndPr/>
      <w:sdtContent>
        <w:p w14:paraId="6AA843B8" w14:textId="77777777" w:rsidR="00E57DAA" w:rsidRDefault="00AC4185">
          <w:pPr>
            <w:ind w:firstLineChars="200" w:firstLine="420"/>
            <w:rPr>
              <w:szCs w:val="21"/>
            </w:rPr>
          </w:pPr>
          <w:r>
            <w:rPr>
              <w:szCs w:val="21"/>
            </w:rPr>
            <w:t>1．</w:t>
          </w:r>
          <w:r>
            <w:rPr>
              <w:szCs w:val="21"/>
            </w:rPr>
            <w:tab/>
            <w:t>控制的判断标准</w:t>
          </w:r>
        </w:p>
        <w:p w14:paraId="543AE70C" w14:textId="77777777" w:rsidR="00E57DAA" w:rsidRDefault="00AC4185">
          <w:pPr>
            <w:ind w:firstLineChars="200" w:firstLine="420"/>
            <w:rPr>
              <w:szCs w:val="21"/>
            </w:rPr>
          </w:pPr>
          <w:r>
            <w:rPr>
              <w:rFonts w:hint="eastAsia"/>
              <w:szCs w:val="21"/>
            </w:rPr>
            <w:t>控制，是指投资方拥有对被投资方的权力</w:t>
          </w:r>
          <w:r>
            <w:rPr>
              <w:szCs w:val="21"/>
            </w:rPr>
            <w:t>,通过参与被投资方的相关活动而享有可变回报，并且有能力运用对被投资方的权力影响其回报金额。</w:t>
          </w:r>
        </w:p>
        <w:p w14:paraId="72BEA534" w14:textId="77777777" w:rsidR="00E57DAA" w:rsidRDefault="00AC4185">
          <w:pPr>
            <w:ind w:firstLineChars="200" w:firstLine="420"/>
            <w:rPr>
              <w:szCs w:val="21"/>
            </w:rPr>
          </w:pPr>
          <w:r>
            <w:rPr>
              <w:rFonts w:hint="eastAsia"/>
              <w:szCs w:val="21"/>
            </w:rPr>
            <w:t>本公司在综合考虑所有相关事实和情况的基础上对是否控制被投资方进行判断。一旦相关事实和情况的变化导致对控制定义所涉及的相关要素发生变化的，本公司会进行重新评估。相关事实和情况主要包括：</w:t>
          </w:r>
        </w:p>
        <w:p w14:paraId="16D4A0AC" w14:textId="77777777" w:rsidR="00E57DAA" w:rsidRDefault="00AC4185">
          <w:pPr>
            <w:ind w:firstLineChars="200" w:firstLine="420"/>
            <w:rPr>
              <w:szCs w:val="21"/>
            </w:rPr>
          </w:pPr>
          <w:r>
            <w:rPr>
              <w:rFonts w:hint="eastAsia"/>
              <w:szCs w:val="21"/>
            </w:rPr>
            <w:t>（</w:t>
          </w:r>
          <w:r>
            <w:rPr>
              <w:szCs w:val="21"/>
            </w:rPr>
            <w:t>1）被投资方的设立目的。</w:t>
          </w:r>
        </w:p>
        <w:p w14:paraId="7624A5CC" w14:textId="77777777" w:rsidR="00E57DAA" w:rsidRDefault="00AC4185">
          <w:pPr>
            <w:ind w:firstLineChars="200" w:firstLine="420"/>
            <w:rPr>
              <w:szCs w:val="21"/>
            </w:rPr>
          </w:pPr>
          <w:r>
            <w:rPr>
              <w:rFonts w:hint="eastAsia"/>
              <w:szCs w:val="21"/>
            </w:rPr>
            <w:t>（</w:t>
          </w:r>
          <w:r>
            <w:rPr>
              <w:szCs w:val="21"/>
            </w:rPr>
            <w:t>2）被投资方的相关活动以及如何对相关活动作出决策。</w:t>
          </w:r>
        </w:p>
        <w:p w14:paraId="76F96F9A" w14:textId="77777777" w:rsidR="00E57DAA" w:rsidRDefault="00AC4185">
          <w:pPr>
            <w:ind w:firstLineChars="200" w:firstLine="420"/>
            <w:rPr>
              <w:szCs w:val="21"/>
            </w:rPr>
          </w:pPr>
          <w:r>
            <w:rPr>
              <w:rFonts w:hint="eastAsia"/>
              <w:szCs w:val="21"/>
            </w:rPr>
            <w:t>（</w:t>
          </w:r>
          <w:r>
            <w:rPr>
              <w:szCs w:val="21"/>
            </w:rPr>
            <w:t>3）投资方享有的权利是否使其目前有能力主导被投资方的相关活动。</w:t>
          </w:r>
        </w:p>
        <w:p w14:paraId="5A3B67BF" w14:textId="77777777" w:rsidR="00E57DAA" w:rsidRDefault="00AC4185">
          <w:pPr>
            <w:ind w:firstLineChars="200" w:firstLine="420"/>
            <w:rPr>
              <w:szCs w:val="21"/>
            </w:rPr>
          </w:pPr>
          <w:r>
            <w:rPr>
              <w:rFonts w:hint="eastAsia"/>
              <w:szCs w:val="21"/>
            </w:rPr>
            <w:t>（</w:t>
          </w:r>
          <w:r>
            <w:rPr>
              <w:szCs w:val="21"/>
            </w:rPr>
            <w:t>4）投资方是否通过参与被投资方的相关活动而享有可变回报。</w:t>
          </w:r>
        </w:p>
        <w:p w14:paraId="3407ED85" w14:textId="77777777" w:rsidR="00E57DAA" w:rsidRDefault="00AC4185">
          <w:pPr>
            <w:ind w:firstLineChars="200" w:firstLine="420"/>
            <w:rPr>
              <w:szCs w:val="21"/>
            </w:rPr>
          </w:pPr>
          <w:r>
            <w:rPr>
              <w:rFonts w:hint="eastAsia"/>
              <w:szCs w:val="21"/>
            </w:rPr>
            <w:t>（</w:t>
          </w:r>
          <w:r>
            <w:rPr>
              <w:szCs w:val="21"/>
            </w:rPr>
            <w:t>5）投资方是否有能力运用对被投资方的权力影响其回报金额。</w:t>
          </w:r>
        </w:p>
        <w:p w14:paraId="2F2FC6B5" w14:textId="77777777" w:rsidR="00E57DAA" w:rsidRDefault="00AC4185">
          <w:pPr>
            <w:ind w:firstLineChars="200" w:firstLine="420"/>
            <w:rPr>
              <w:szCs w:val="21"/>
            </w:rPr>
          </w:pPr>
          <w:r>
            <w:rPr>
              <w:rFonts w:hint="eastAsia"/>
              <w:szCs w:val="21"/>
            </w:rPr>
            <w:t>（</w:t>
          </w:r>
          <w:r>
            <w:rPr>
              <w:szCs w:val="21"/>
            </w:rPr>
            <w:t>6）投资方与其他方的关系。</w:t>
          </w:r>
        </w:p>
        <w:p w14:paraId="56E6DADB" w14:textId="77777777" w:rsidR="00E57DAA" w:rsidRDefault="00AC4185">
          <w:pPr>
            <w:ind w:firstLineChars="200" w:firstLine="420"/>
            <w:rPr>
              <w:szCs w:val="21"/>
            </w:rPr>
          </w:pPr>
          <w:r>
            <w:rPr>
              <w:szCs w:val="21"/>
            </w:rPr>
            <w:t>2．</w:t>
          </w:r>
          <w:r>
            <w:rPr>
              <w:szCs w:val="21"/>
            </w:rPr>
            <w:tab/>
            <w:t>合并范围</w:t>
          </w:r>
        </w:p>
        <w:p w14:paraId="7166D9E0" w14:textId="77777777" w:rsidR="00E57DAA" w:rsidRDefault="00AC4185">
          <w:pPr>
            <w:ind w:firstLineChars="200" w:firstLine="420"/>
            <w:rPr>
              <w:szCs w:val="21"/>
            </w:rPr>
          </w:pPr>
          <w:r>
            <w:rPr>
              <w:rFonts w:hint="eastAsia"/>
              <w:szCs w:val="21"/>
            </w:rPr>
            <w:t>本公司合并财务报表的合并范围以控制为基础确定，所有子公司（包括本公司所控制的单独主体）均纳入合并财务报表。</w:t>
          </w:r>
        </w:p>
        <w:p w14:paraId="11C149CF" w14:textId="77777777" w:rsidR="00E57DAA" w:rsidRDefault="00AC4185">
          <w:pPr>
            <w:ind w:firstLineChars="200" w:firstLine="420"/>
            <w:rPr>
              <w:szCs w:val="21"/>
            </w:rPr>
          </w:pPr>
          <w:r>
            <w:rPr>
              <w:szCs w:val="21"/>
            </w:rPr>
            <w:t>3．</w:t>
          </w:r>
          <w:r>
            <w:rPr>
              <w:szCs w:val="21"/>
            </w:rPr>
            <w:tab/>
            <w:t>合并程序</w:t>
          </w:r>
        </w:p>
        <w:p w14:paraId="3F393F2D" w14:textId="77777777" w:rsidR="00E57DAA" w:rsidRDefault="00AC4185">
          <w:pPr>
            <w:ind w:firstLineChars="200" w:firstLine="420"/>
            <w:rPr>
              <w:szCs w:val="21"/>
            </w:rPr>
          </w:pPr>
          <w:r>
            <w:rPr>
              <w:rFonts w:hint="eastAsia"/>
              <w:szCs w:val="21"/>
            </w:rPr>
            <w:lastRenderedPageBreak/>
            <w:t>本公司以自身和各子公司的财务报表为基础，根据其他有关资料，编制合并财务报表。本公司编制合并财务报表，将整个企业集团视为一个会计主体，依据相关企业会计准则的确认、计量和列报要求，按照统一的会计政策，反映本企业集团整体财务状况、经营成果和现金流量。</w:t>
          </w:r>
        </w:p>
        <w:p w14:paraId="123964F0" w14:textId="77777777" w:rsidR="00E57DAA" w:rsidRDefault="00AC4185">
          <w:pPr>
            <w:ind w:firstLineChars="200" w:firstLine="420"/>
            <w:rPr>
              <w:szCs w:val="21"/>
            </w:rPr>
          </w:pPr>
          <w:r>
            <w:rPr>
              <w:rFonts w:hint="eastAsia"/>
              <w:szCs w:val="21"/>
            </w:rPr>
            <w:t>所有纳入合并财务报表合并范围的子公司所采用的会计政策、会计期间与本公司一致，如子公司采用的会计政策、会计期间与本公司不一致的，在编制合并财务报表时，按本公司的会计政策、会计期间进行必要的调整。</w:t>
          </w:r>
        </w:p>
        <w:p w14:paraId="3EE1F885" w14:textId="77777777" w:rsidR="00E57DAA" w:rsidRDefault="00AC4185">
          <w:pPr>
            <w:ind w:firstLineChars="200" w:firstLine="420"/>
            <w:rPr>
              <w:szCs w:val="21"/>
            </w:rPr>
          </w:pPr>
          <w:r>
            <w:rPr>
              <w:rFonts w:hint="eastAsia"/>
              <w:szCs w:val="21"/>
            </w:rPr>
            <w:t>合并财务报表时抵销本公司与各子公司、各子公司相互之间发生的内部交易对合并资产负债表、合并利润表、合并现金流量表、合并股东权益变动表的影响。如果站在企业集团合并财务报表角度与以本公司或子公司为会计主体对同一交易的认定不同时，从企业集团的角度对该交易予以调整。</w:t>
          </w:r>
        </w:p>
        <w:p w14:paraId="7E07DC08" w14:textId="77777777" w:rsidR="00E57DAA" w:rsidRDefault="00AC4185">
          <w:pPr>
            <w:ind w:firstLineChars="200" w:firstLine="420"/>
            <w:rPr>
              <w:szCs w:val="21"/>
            </w:rPr>
          </w:pPr>
          <w:r>
            <w:rPr>
              <w:rFonts w:hint="eastAsia"/>
              <w:szCs w:val="21"/>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0E911752" w14:textId="77777777" w:rsidR="00E57DAA" w:rsidRDefault="00AC4185">
          <w:pPr>
            <w:ind w:firstLineChars="200" w:firstLine="420"/>
            <w:rPr>
              <w:szCs w:val="21"/>
            </w:rPr>
          </w:pPr>
          <w:r>
            <w:rPr>
              <w:rFonts w:hint="eastAsia"/>
              <w:szCs w:val="21"/>
            </w:rPr>
            <w:t>对于同一控制下企业合并取得的子公司，以其资产、负债（包括最终控制方收购该子公司而形成的商誉）在最终控制方财务报表中的账面价值为基础对其财务报表进行调整。</w:t>
          </w:r>
        </w:p>
        <w:p w14:paraId="6F38545E" w14:textId="77777777" w:rsidR="00E57DAA" w:rsidRDefault="00AC4185">
          <w:pPr>
            <w:ind w:firstLineChars="200" w:firstLine="420"/>
            <w:rPr>
              <w:szCs w:val="21"/>
            </w:rPr>
          </w:pPr>
          <w:r>
            <w:rPr>
              <w:rFonts w:hint="eastAsia"/>
              <w:szCs w:val="21"/>
            </w:rPr>
            <w:t>对于非同一控制下企业合并取得的子公司，以购买日可辨认净资产公允价值为基础对其财务报表进行调整</w:t>
          </w:r>
        </w:p>
        <w:p w14:paraId="5F098119" w14:textId="77777777" w:rsidR="00E57DAA" w:rsidRDefault="00AC4185">
          <w:pPr>
            <w:ind w:firstLineChars="200" w:firstLine="420"/>
            <w:rPr>
              <w:szCs w:val="21"/>
            </w:rPr>
          </w:pPr>
          <w:r>
            <w:rPr>
              <w:rFonts w:hint="eastAsia"/>
              <w:szCs w:val="21"/>
            </w:rPr>
            <w:t>（</w:t>
          </w:r>
          <w:r>
            <w:rPr>
              <w:szCs w:val="21"/>
            </w:rPr>
            <w:t>1）</w:t>
          </w:r>
          <w:r>
            <w:rPr>
              <w:szCs w:val="21"/>
            </w:rPr>
            <w:tab/>
            <w:t>增加子公司或业务</w:t>
          </w:r>
        </w:p>
        <w:p w14:paraId="0AAA8C1A" w14:textId="77777777" w:rsidR="00E57DAA" w:rsidRDefault="00AC4185">
          <w:pPr>
            <w:ind w:firstLineChars="200" w:firstLine="420"/>
            <w:rPr>
              <w:szCs w:val="21"/>
            </w:rPr>
          </w:pPr>
          <w:r>
            <w:rPr>
              <w:rFonts w:hint="eastAsia"/>
              <w:szCs w:val="21"/>
            </w:rPr>
            <w:t>在报告期内，若因同一控制下企业合并增加子公司或业务的，则调整合并资产负债表的期初数；将子公司或业务合并当期期初至报告期末的收入、费用、利润纳入合并利润表；将子公司或业务合并当期期初至报告期末的现金流量纳入合并现金流量表，同时对比较报表的相关项目进行调整，视同合并后的报告主体自最终控制方开始控制时点起一直存在。</w:t>
          </w:r>
        </w:p>
        <w:p w14:paraId="4BCD8A20" w14:textId="77777777" w:rsidR="00E57DAA" w:rsidRDefault="00AC4185">
          <w:pPr>
            <w:ind w:firstLineChars="200" w:firstLine="420"/>
            <w:rPr>
              <w:szCs w:val="21"/>
            </w:rPr>
          </w:pPr>
          <w:r>
            <w:rPr>
              <w:rFonts w:hint="eastAsia"/>
              <w:szCs w:val="21"/>
            </w:rPr>
            <w:t>因追加投资等原因能够对同一控制下的被投资方实施控制的，视同参与合并的各方在最终控制方开始控制时即以目前的状态存在进行调整。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2738CECF" w14:textId="77777777" w:rsidR="00E57DAA" w:rsidRDefault="00AC4185">
          <w:pPr>
            <w:ind w:firstLineChars="200" w:firstLine="420"/>
            <w:rPr>
              <w:szCs w:val="21"/>
            </w:rPr>
          </w:pPr>
          <w:r>
            <w:rPr>
              <w:rFonts w:hint="eastAsia"/>
              <w:szCs w:val="21"/>
            </w:rPr>
            <w:t>在报告期内，若因非同一控制下企业合并增加子公司或业务的，则不调整合并资产负债表期初数；将该子公司或业务自购买日至报告期末的收入、费用、利润纳入合并利润表；该子公司或业务自购买日至报告期末的现金流量纳入合并现金流量表。</w:t>
          </w:r>
        </w:p>
        <w:p w14:paraId="4962A53A" w14:textId="77777777" w:rsidR="00E57DAA" w:rsidRDefault="00AC4185">
          <w:pPr>
            <w:ind w:firstLineChars="200" w:firstLine="420"/>
            <w:rPr>
              <w:szCs w:val="21"/>
            </w:rPr>
          </w:pPr>
          <w:r>
            <w:rPr>
              <w:rFonts w:hint="eastAsia"/>
              <w:szCs w:val="21"/>
            </w:rPr>
            <w:t>因追加投资等原因能够对非同一控制下的被投资方实施控制的，对于购买日之前持有的被购买方的股权，本公司按照该股权在购买日的公允价值进行重新计量，公允价值与其账面价值的差额计入当期投资收益。购买日之前持有的被购买方的股权涉及权益法核算下的其他综合收益以及除净损益、其他综合收益和利润分配之外的其他所有者权益变动的，与其相关的其他综合收益、其他所有者权益变动转为购买日所属当期投资收益，由于被投资方重新计量设定受益计划净负债或净资产变动而产生的其他综合收益除外。</w:t>
          </w:r>
        </w:p>
        <w:p w14:paraId="68698D97" w14:textId="77777777" w:rsidR="00E57DAA" w:rsidRDefault="00AC4185">
          <w:pPr>
            <w:ind w:firstLineChars="200" w:firstLine="420"/>
            <w:rPr>
              <w:szCs w:val="21"/>
            </w:rPr>
          </w:pPr>
          <w:r>
            <w:rPr>
              <w:rFonts w:hint="eastAsia"/>
              <w:szCs w:val="21"/>
            </w:rPr>
            <w:t>（</w:t>
          </w:r>
          <w:r>
            <w:rPr>
              <w:szCs w:val="21"/>
            </w:rPr>
            <w:t>2）</w:t>
          </w:r>
          <w:r>
            <w:rPr>
              <w:szCs w:val="21"/>
            </w:rPr>
            <w:tab/>
            <w:t>处置子公司或业务</w:t>
          </w:r>
        </w:p>
        <w:p w14:paraId="3469CCCC" w14:textId="77777777" w:rsidR="00E57DAA" w:rsidRDefault="00AC4185">
          <w:pPr>
            <w:ind w:firstLineChars="200" w:firstLine="420"/>
            <w:rPr>
              <w:szCs w:val="21"/>
            </w:rPr>
          </w:pPr>
          <w:r>
            <w:rPr>
              <w:szCs w:val="21"/>
            </w:rPr>
            <w:t>1）一般处理方法</w:t>
          </w:r>
        </w:p>
        <w:p w14:paraId="59E27A03" w14:textId="77777777" w:rsidR="00E57DAA" w:rsidRDefault="00AC4185">
          <w:pPr>
            <w:ind w:firstLineChars="200" w:firstLine="420"/>
            <w:rPr>
              <w:szCs w:val="21"/>
            </w:rPr>
          </w:pPr>
          <w:r>
            <w:rPr>
              <w:rFonts w:hint="eastAsia"/>
              <w:szCs w:val="21"/>
            </w:rPr>
            <w:t>在报告期内，本公司处置子公司或业务，则该子公司或业务期初至处置日的收入、费用、利润纳入合并利润表；该子公司或业务期初至处置日的现金流量纳入合并现金流量表。</w:t>
          </w:r>
        </w:p>
        <w:p w14:paraId="606F9F01" w14:textId="77777777" w:rsidR="00E57DAA" w:rsidRDefault="00AC4185">
          <w:pPr>
            <w:ind w:firstLineChars="200" w:firstLine="420"/>
            <w:rPr>
              <w:szCs w:val="21"/>
            </w:rPr>
          </w:pPr>
          <w:r>
            <w:rPr>
              <w:rFonts w:hint="eastAsia"/>
              <w:szCs w:val="21"/>
            </w:rPr>
            <w:t>因处置部分股权投资或其他原因丧失了对被投资方控制权时，对于处置后的剩余股权投资，本公司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其他综合收益或除净损益、其他综合收益及利润分配之外的其他所有者权益变动，在丧失控制权时转为当期投资收益，由于被投资方重新计量设定受益计划净负债或净资产变动而产生的其他综合收益除外。</w:t>
          </w:r>
        </w:p>
        <w:p w14:paraId="3533C201" w14:textId="77777777" w:rsidR="00E57DAA" w:rsidRDefault="00AC4185">
          <w:pPr>
            <w:ind w:firstLineChars="200" w:firstLine="420"/>
            <w:rPr>
              <w:szCs w:val="21"/>
            </w:rPr>
          </w:pPr>
          <w:r>
            <w:rPr>
              <w:szCs w:val="21"/>
            </w:rPr>
            <w:t>2）分步处置子公司</w:t>
          </w:r>
        </w:p>
        <w:p w14:paraId="1DA675A2" w14:textId="77777777" w:rsidR="00E57DAA" w:rsidRDefault="00AC4185">
          <w:pPr>
            <w:ind w:firstLineChars="200" w:firstLine="420"/>
            <w:rPr>
              <w:szCs w:val="21"/>
            </w:rPr>
          </w:pPr>
          <w:r>
            <w:rPr>
              <w:rFonts w:hint="eastAsia"/>
              <w:szCs w:val="21"/>
            </w:rPr>
            <w:lastRenderedPageBreak/>
            <w:t>通过多次交易分步处置对子公司股权投资直至丧失控制权的，处置对子公司股权投资的各项交易的条款、条件以及经济影响符合以下一种或多种情况，通常表明应将多次交易事项作为一揽子交易进行会计处理：</w:t>
          </w:r>
        </w:p>
        <w:p w14:paraId="15FB9674" w14:textId="77777777" w:rsidR="00E57DAA" w:rsidRDefault="00AC4185">
          <w:pPr>
            <w:ind w:firstLineChars="200" w:firstLine="420"/>
            <w:rPr>
              <w:szCs w:val="21"/>
            </w:rPr>
          </w:pPr>
          <w:r>
            <w:rPr>
              <w:szCs w:val="21"/>
            </w:rPr>
            <w:t>A.这些交易是同时或者在考虑了彼此影响的情况下订立的；</w:t>
          </w:r>
        </w:p>
        <w:p w14:paraId="6FC7A85E" w14:textId="77777777" w:rsidR="00E57DAA" w:rsidRDefault="00AC4185">
          <w:pPr>
            <w:ind w:firstLineChars="200" w:firstLine="420"/>
            <w:rPr>
              <w:szCs w:val="21"/>
            </w:rPr>
          </w:pPr>
          <w:r>
            <w:rPr>
              <w:szCs w:val="21"/>
            </w:rPr>
            <w:t>B.这些交易整体才能达成一项完整的商业结果；</w:t>
          </w:r>
        </w:p>
        <w:p w14:paraId="5993223F" w14:textId="77777777" w:rsidR="00E57DAA" w:rsidRDefault="00AC4185">
          <w:pPr>
            <w:ind w:firstLineChars="200" w:firstLine="420"/>
            <w:rPr>
              <w:szCs w:val="21"/>
            </w:rPr>
          </w:pPr>
          <w:r>
            <w:rPr>
              <w:szCs w:val="21"/>
            </w:rPr>
            <w:t>C.一项交易的发生取决于其他至少一项交易的发生；</w:t>
          </w:r>
        </w:p>
        <w:p w14:paraId="7C95ADB7" w14:textId="77777777" w:rsidR="00E57DAA" w:rsidRDefault="00AC4185">
          <w:pPr>
            <w:ind w:firstLineChars="200" w:firstLine="420"/>
            <w:rPr>
              <w:szCs w:val="21"/>
            </w:rPr>
          </w:pPr>
          <w:r>
            <w:rPr>
              <w:szCs w:val="21"/>
            </w:rPr>
            <w:t>D.一项交易单独看是不经济的，但是和其他交易一并考虑时是经济的。</w:t>
          </w:r>
        </w:p>
        <w:p w14:paraId="153635BA" w14:textId="77777777" w:rsidR="00E57DAA" w:rsidRDefault="00AC4185">
          <w:pPr>
            <w:ind w:firstLineChars="200" w:firstLine="420"/>
            <w:rPr>
              <w:szCs w:val="21"/>
            </w:rPr>
          </w:pPr>
          <w:r>
            <w:rPr>
              <w:rFonts w:hint="eastAsia"/>
              <w:szCs w:val="21"/>
            </w:rPr>
            <w:t>处置对子公司股权投资直至丧失控制权的各项交易属于一揽子交易的，本公司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5BB7D7F1" w14:textId="77777777" w:rsidR="00E57DAA" w:rsidRDefault="00AC4185">
          <w:pPr>
            <w:ind w:firstLineChars="200" w:firstLine="420"/>
            <w:rPr>
              <w:szCs w:val="21"/>
            </w:rPr>
          </w:pPr>
          <w:r>
            <w:rPr>
              <w:rFonts w:hint="eastAsia"/>
              <w:szCs w:val="21"/>
            </w:rPr>
            <w:t>处置对子公司股权投资直至丧失控制权的各项交易不属于一揽子交易的，在丧失控制权之前，按不丧失控制权的情况下部分处置对子公司的股权投资的相关政策进行会计处理；在丧失控制权时，按处置子公司一般处理方法进行会计处理。</w:t>
          </w:r>
        </w:p>
        <w:p w14:paraId="36E41B4F" w14:textId="77777777" w:rsidR="00E57DAA" w:rsidRDefault="00AC4185">
          <w:pPr>
            <w:ind w:firstLineChars="200" w:firstLine="420"/>
            <w:rPr>
              <w:szCs w:val="21"/>
            </w:rPr>
          </w:pPr>
          <w:r>
            <w:rPr>
              <w:rFonts w:hint="eastAsia"/>
              <w:szCs w:val="21"/>
            </w:rPr>
            <w:t>（</w:t>
          </w:r>
          <w:r>
            <w:rPr>
              <w:szCs w:val="21"/>
            </w:rPr>
            <w:t>3）</w:t>
          </w:r>
          <w:r>
            <w:rPr>
              <w:szCs w:val="21"/>
            </w:rPr>
            <w:tab/>
            <w:t>购买子公司少数股权</w:t>
          </w:r>
        </w:p>
        <w:p w14:paraId="67F8689C" w14:textId="77777777" w:rsidR="00E57DAA" w:rsidRDefault="00AC4185">
          <w:pPr>
            <w:ind w:firstLineChars="200" w:firstLine="420"/>
            <w:rPr>
              <w:szCs w:val="21"/>
            </w:rPr>
          </w:pPr>
          <w:r>
            <w:rPr>
              <w:rFonts w:hint="eastAsia"/>
              <w:szCs w:val="21"/>
            </w:rPr>
            <w:t>本公司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3FD20A61" w14:textId="77777777" w:rsidR="00E57DAA" w:rsidRDefault="00AC4185">
          <w:pPr>
            <w:ind w:firstLineChars="200" w:firstLine="420"/>
            <w:rPr>
              <w:szCs w:val="21"/>
            </w:rPr>
          </w:pPr>
          <w:r>
            <w:rPr>
              <w:rFonts w:hint="eastAsia"/>
              <w:szCs w:val="21"/>
            </w:rPr>
            <w:t>（</w:t>
          </w:r>
          <w:r>
            <w:rPr>
              <w:szCs w:val="21"/>
            </w:rPr>
            <w:t>4）</w:t>
          </w:r>
          <w:r>
            <w:rPr>
              <w:szCs w:val="21"/>
            </w:rPr>
            <w:tab/>
            <w:t>不丧失控制权的情况下部分处置对子公司的股权投资</w:t>
          </w:r>
        </w:p>
        <w:p w14:paraId="77E4FFAE" w14:textId="77777777" w:rsidR="00E57DAA" w:rsidRDefault="00AC4185">
          <w:pPr>
            <w:ind w:firstLineChars="200" w:firstLine="420"/>
            <w:rPr>
              <w:szCs w:val="21"/>
            </w:rPr>
          </w:pPr>
          <w:r>
            <w:rPr>
              <w:rFonts w:hint="eastAsia"/>
              <w:szCs w:val="21"/>
            </w:rPr>
            <w:t>在不丧失控制权的情况下因部分处置对子公司的长期股权投资而取得的处置价款与处置长期股权投资相对应享有子公司自购买日或合并日开始持续计算的净资产份额之间的差额，调整合并资产负债表中的资本公积中的股本溢价，资本公积中的股本溢价不足冲减的，调整留存收益。</w:t>
          </w:r>
        </w:p>
      </w:sdtContent>
    </w:sdt>
    <w:p w14:paraId="2731AB40" w14:textId="77777777" w:rsidR="00E57DAA" w:rsidRDefault="00E57DAA">
      <w:pPr>
        <w:rPr>
          <w:szCs w:val="21"/>
        </w:rPr>
      </w:pPr>
    </w:p>
    <w:p w14:paraId="3783859A" w14:textId="77777777" w:rsidR="00E57DAA" w:rsidRDefault="00AC4185" w:rsidP="00C25422">
      <w:pPr>
        <w:pStyle w:val="91"/>
        <w:numPr>
          <w:ilvl w:val="0"/>
          <w:numId w:val="61"/>
        </w:numPr>
      </w:pPr>
      <w:r>
        <w:rPr>
          <w:rFonts w:hint="eastAsia"/>
        </w:rPr>
        <w:t>合营安排分类及共同经营会计处理方法</w:t>
      </w:r>
    </w:p>
    <w:sdt>
      <w:sdtPr>
        <w:rPr>
          <w:rFonts w:hint="eastAsia"/>
        </w:rPr>
        <w:alias w:val="是否适用：合营安排分类及共同经营会计处理方法[双击切换]"/>
        <w:tag w:val="_GBC_e5a2f4bbc77f437e880fdd380b417236"/>
        <w:id w:val="1973547994"/>
        <w:placeholder>
          <w:docPart w:val="GBC22222222222222222222222222222"/>
        </w:placeholder>
      </w:sdtPr>
      <w:sdtEndPr/>
      <w:sdtContent>
        <w:p w14:paraId="4BA92622"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339118302"/>
        <w:placeholder>
          <w:docPart w:val="GBC22222222222222222222222222222"/>
        </w:placeholder>
      </w:sdtPr>
      <w:sdtEndPr/>
      <w:sdtContent>
        <w:p w14:paraId="3328C13E" w14:textId="77777777" w:rsidR="00E57DAA" w:rsidRDefault="00AC4185">
          <w:pPr>
            <w:ind w:firstLineChars="200" w:firstLine="420"/>
          </w:pPr>
          <w:r>
            <w:t>1．</w:t>
          </w:r>
          <w:r>
            <w:tab/>
            <w:t>合营安排的分类</w:t>
          </w:r>
        </w:p>
        <w:p w14:paraId="3D8A27AA" w14:textId="77777777" w:rsidR="00E57DAA" w:rsidRDefault="00AC4185">
          <w:pPr>
            <w:ind w:firstLineChars="200" w:firstLine="420"/>
          </w:pPr>
          <w:r>
            <w:rPr>
              <w:rFonts w:hint="eastAsia"/>
            </w:rPr>
            <w:t>本公司根据合营安排的结构、法律形式以及合营安排中约定的条款、其他相关事实和情况等因素，将合营安排分为共同经营和合营企业。共同经营，是指合营方享有该安排相关资产且承担该安排相关负债的合营安排。合营企业是指合营方仅对该安排的净资产享有权利的合营安排。</w:t>
          </w:r>
        </w:p>
        <w:p w14:paraId="78206AD0" w14:textId="77777777" w:rsidR="00E57DAA" w:rsidRDefault="00AC4185">
          <w:pPr>
            <w:ind w:firstLineChars="200" w:firstLine="420"/>
          </w:pPr>
          <w:r>
            <w:t>2．</w:t>
          </w:r>
          <w:r>
            <w:tab/>
            <w:t>共同经营会计处理方法</w:t>
          </w:r>
        </w:p>
        <w:p w14:paraId="0EAEA766" w14:textId="77777777" w:rsidR="00E57DAA" w:rsidRDefault="00AC4185">
          <w:pPr>
            <w:ind w:firstLineChars="200" w:firstLine="420"/>
          </w:pPr>
          <w:r>
            <w:rPr>
              <w:rFonts w:hint="eastAsia"/>
            </w:rPr>
            <w:t>本公司确认共同经营中利益份额中与本公司相关的下列项目，并按照相关企业会计准则的规定进行会计处理：</w:t>
          </w:r>
        </w:p>
        <w:p w14:paraId="5D58B504" w14:textId="77777777" w:rsidR="00E57DAA" w:rsidRDefault="00AC4185">
          <w:pPr>
            <w:ind w:firstLineChars="200" w:firstLine="420"/>
          </w:pPr>
          <w:r>
            <w:rPr>
              <w:rFonts w:hint="eastAsia"/>
            </w:rPr>
            <w:t>（</w:t>
          </w:r>
          <w:r>
            <w:t>1）</w:t>
          </w:r>
          <w:r>
            <w:tab/>
            <w:t>确认单独所持有的资产，以及按其份额确认共同持有的资产；</w:t>
          </w:r>
        </w:p>
        <w:p w14:paraId="2F2546CD" w14:textId="77777777" w:rsidR="00E57DAA" w:rsidRDefault="00AC4185">
          <w:pPr>
            <w:ind w:firstLineChars="200" w:firstLine="420"/>
          </w:pPr>
          <w:r>
            <w:rPr>
              <w:rFonts w:hint="eastAsia"/>
            </w:rPr>
            <w:t>（</w:t>
          </w:r>
          <w:r>
            <w:t>2）</w:t>
          </w:r>
          <w:r>
            <w:tab/>
            <w:t>确认单独所承担的负债，以及按其份额确认共同承担的负债；</w:t>
          </w:r>
        </w:p>
        <w:p w14:paraId="4419F2F9" w14:textId="77777777" w:rsidR="00E57DAA" w:rsidRDefault="00AC4185">
          <w:pPr>
            <w:ind w:firstLineChars="200" w:firstLine="420"/>
          </w:pPr>
          <w:r>
            <w:rPr>
              <w:rFonts w:hint="eastAsia"/>
            </w:rPr>
            <w:t>（</w:t>
          </w:r>
          <w:r>
            <w:t>3）</w:t>
          </w:r>
          <w:r>
            <w:tab/>
            <w:t>确认出售其享有的共同经营产出份额所产生的收入；</w:t>
          </w:r>
        </w:p>
        <w:p w14:paraId="328B25C1" w14:textId="77777777" w:rsidR="00E57DAA" w:rsidRDefault="00AC4185">
          <w:pPr>
            <w:ind w:firstLineChars="200" w:firstLine="420"/>
          </w:pPr>
          <w:r>
            <w:rPr>
              <w:rFonts w:hint="eastAsia"/>
            </w:rPr>
            <w:t>（</w:t>
          </w:r>
          <w:r>
            <w:t>4）</w:t>
          </w:r>
          <w:r>
            <w:tab/>
            <w:t>按其份额确认共同经营因出售产出所产生的收入；</w:t>
          </w:r>
        </w:p>
        <w:p w14:paraId="1F343B27" w14:textId="77777777" w:rsidR="00E57DAA" w:rsidRDefault="00AC4185">
          <w:pPr>
            <w:ind w:firstLineChars="200" w:firstLine="420"/>
          </w:pPr>
          <w:r>
            <w:rPr>
              <w:rFonts w:hint="eastAsia"/>
            </w:rPr>
            <w:t>（</w:t>
          </w:r>
          <w:r>
            <w:t>5）</w:t>
          </w:r>
          <w:r>
            <w:tab/>
            <w:t>确认单独所发生的费用，以及按其份额确认共同经营发生的费用。</w:t>
          </w:r>
        </w:p>
        <w:p w14:paraId="31CDF912" w14:textId="77777777" w:rsidR="00E57DAA" w:rsidRDefault="00AC4185">
          <w:pPr>
            <w:ind w:firstLineChars="200" w:firstLine="420"/>
          </w:pPr>
          <w:r>
            <w:rPr>
              <w:rFonts w:hint="eastAsia"/>
            </w:rPr>
            <w:t>本公司向共同经营投出或出售资产等（该资产构成业务的除外），在该资产等由共同经营出售给第三方之前，仅确认因该交易产生的损益中归属于共同经营其他参与方的部分。投出或出售的资产发生资产减值损失的，本公司全额确认该损失。</w:t>
          </w:r>
        </w:p>
        <w:p w14:paraId="45D90054" w14:textId="77777777" w:rsidR="00E57DAA" w:rsidRDefault="00AC4185">
          <w:pPr>
            <w:ind w:firstLineChars="200" w:firstLine="420"/>
            <w:rPr>
              <w:b/>
              <w:bCs/>
              <w:szCs w:val="21"/>
            </w:rPr>
          </w:pPr>
          <w:r>
            <w:rPr>
              <w:rFonts w:hint="eastAsia"/>
            </w:rPr>
            <w:t>本公司自共同经营购买资产等（该资产构成业务的除外），在将该资产等出售给第三方之前，仅确认因该交易产生的损益中归属于共同经营其他参与方的部分。购入的资产发生资产减值损失的，本公司按承担的份额确认该部分损失。</w:t>
          </w:r>
        </w:p>
      </w:sdtContent>
    </w:sdt>
    <w:p w14:paraId="30EE79B9" w14:textId="77777777" w:rsidR="00E57DAA" w:rsidRDefault="00E57DAA" w:rsidP="00C25422">
      <w:pPr>
        <w:pStyle w:val="92"/>
      </w:pPr>
    </w:p>
    <w:p w14:paraId="47C07491" w14:textId="77777777" w:rsidR="00E57DAA" w:rsidRDefault="00AC4185" w:rsidP="00C25422">
      <w:pPr>
        <w:pStyle w:val="91"/>
        <w:numPr>
          <w:ilvl w:val="0"/>
          <w:numId w:val="61"/>
        </w:numPr>
      </w:pPr>
      <w:r>
        <w:t>现金及现金等价物的确定标准</w:t>
      </w:r>
    </w:p>
    <w:sdt>
      <w:sdtPr>
        <w:rPr>
          <w:rFonts w:hint="eastAsia"/>
          <w:szCs w:val="21"/>
        </w:rPr>
        <w:alias w:val="现金及现金等价物的确定标准"/>
        <w:tag w:val="_GBC_54f6bc3e44e840bc85cb3872600823b5"/>
        <w:id w:val="1963691801"/>
        <w:placeholder>
          <w:docPart w:val="GBC22222222222222222222222222222"/>
        </w:placeholder>
      </w:sdtPr>
      <w:sdtEndPr/>
      <w:sdtContent>
        <w:p w14:paraId="3D44A7A8" w14:textId="77777777" w:rsidR="00E57DAA" w:rsidRDefault="00AC4185">
          <w:pPr>
            <w:ind w:firstLineChars="200" w:firstLine="420"/>
            <w:rPr>
              <w:szCs w:val="21"/>
            </w:rPr>
          </w:pPr>
          <w:r>
            <w:rPr>
              <w:rFonts w:hint="eastAsia"/>
              <w:szCs w:val="21"/>
            </w:rPr>
            <w:t>在编制现金流量表时，本公司将库存现金以及可以随时用于支付的存款确认为现金，将同时具备期限短（一般从购买日起三个月内到期）、流动性强、易于转换为已知金额的现金、价值变动风险很小四个条件的投资，确定为现金等价物。</w:t>
          </w:r>
        </w:p>
      </w:sdtContent>
    </w:sdt>
    <w:p w14:paraId="0DE0AEBA" w14:textId="77777777" w:rsidR="00E57DAA" w:rsidRDefault="00E57DAA">
      <w:pPr>
        <w:rPr>
          <w:szCs w:val="21"/>
        </w:rPr>
      </w:pPr>
    </w:p>
    <w:p w14:paraId="7F9BCF1D" w14:textId="77777777" w:rsidR="00E57DAA" w:rsidRDefault="00AC4185" w:rsidP="00C25422">
      <w:pPr>
        <w:pStyle w:val="91"/>
        <w:numPr>
          <w:ilvl w:val="0"/>
          <w:numId w:val="61"/>
        </w:numPr>
      </w:pPr>
      <w:r>
        <w:lastRenderedPageBreak/>
        <w:t>外币业务和外币报表折算</w:t>
      </w:r>
    </w:p>
    <w:sdt>
      <w:sdtPr>
        <w:rPr>
          <w:rFonts w:hint="eastAsia"/>
          <w:szCs w:val="21"/>
        </w:rPr>
        <w:alias w:val="是否适用：外币业务和外币报表折算[双击切换]"/>
        <w:tag w:val="_GBC_9c9def5a1d2241b5a3ee696d03433778"/>
        <w:id w:val="80575834"/>
        <w:placeholder>
          <w:docPart w:val="GBC22222222222222222222222222222"/>
        </w:placeholder>
      </w:sdtPr>
      <w:sdtEndPr/>
      <w:sdtContent>
        <w:p w14:paraId="1765788F"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193111512"/>
        <w:placeholder>
          <w:docPart w:val="GBC22222222222222222222222222222"/>
        </w:placeholder>
      </w:sdtPr>
      <w:sdtEndPr/>
      <w:sdtContent>
        <w:p w14:paraId="2ACEC484" w14:textId="77777777" w:rsidR="00E57DAA" w:rsidRDefault="00AC4185">
          <w:pPr>
            <w:ind w:firstLineChars="200" w:firstLine="420"/>
            <w:rPr>
              <w:szCs w:val="21"/>
            </w:rPr>
          </w:pPr>
          <w:r>
            <w:rPr>
              <w:szCs w:val="21"/>
            </w:rPr>
            <w:t>1．外币业务</w:t>
          </w:r>
        </w:p>
        <w:p w14:paraId="5955C921" w14:textId="77777777" w:rsidR="00E57DAA" w:rsidRDefault="00AC4185">
          <w:pPr>
            <w:ind w:firstLineChars="200" w:firstLine="420"/>
            <w:rPr>
              <w:szCs w:val="21"/>
            </w:rPr>
          </w:pPr>
          <w:r>
            <w:rPr>
              <w:rFonts w:hint="eastAsia"/>
              <w:szCs w:val="21"/>
            </w:rPr>
            <w:t>外币业务交易在初始确认时，采用交易发生日的即期汇率作为折算汇率折合成人民币记账。</w:t>
          </w:r>
        </w:p>
        <w:p w14:paraId="4B11D446" w14:textId="77777777" w:rsidR="00E57DAA" w:rsidRDefault="00AC4185">
          <w:pPr>
            <w:ind w:firstLineChars="200" w:firstLine="420"/>
            <w:rPr>
              <w:szCs w:val="21"/>
            </w:rPr>
          </w:pPr>
          <w:r>
            <w:rPr>
              <w:rFonts w:hint="eastAsia"/>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060960BE" w14:textId="77777777" w:rsidR="00E57DAA" w:rsidRDefault="00AC4185">
          <w:pPr>
            <w:ind w:firstLineChars="200" w:firstLine="420"/>
            <w:rPr>
              <w:szCs w:val="21"/>
            </w:rPr>
          </w:pPr>
          <w:r>
            <w:rPr>
              <w:rFonts w:hint="eastAsia"/>
              <w:szCs w:val="21"/>
            </w:rPr>
            <w:t>以公允价值计量的外币非货币性项目，采用公允价值确定日的即期汇率折算，折算后的记账本位币金额与原记账本位币金额的差额，作为公允价值变动</w:t>
          </w:r>
          <w:r>
            <w:rPr>
              <w:szCs w:val="21"/>
            </w:rPr>
            <w:t>(含汇率变动)处理，计入当期损益或确认为其他综合收益。</w:t>
          </w:r>
        </w:p>
        <w:p w14:paraId="30D10E4C" w14:textId="77777777" w:rsidR="00E57DAA" w:rsidRDefault="00AC4185">
          <w:pPr>
            <w:ind w:firstLineChars="200" w:firstLine="420"/>
            <w:rPr>
              <w:szCs w:val="21"/>
            </w:rPr>
          </w:pPr>
          <w:r>
            <w:rPr>
              <w:szCs w:val="21"/>
            </w:rPr>
            <w:t>2．外币财务报表的折算</w:t>
          </w:r>
        </w:p>
        <w:p w14:paraId="5F1E5911" w14:textId="77777777" w:rsidR="00E57DAA" w:rsidRDefault="00AC4185">
          <w:pPr>
            <w:ind w:firstLineChars="200" w:firstLine="420"/>
            <w:rPr>
              <w:szCs w:val="21"/>
            </w:rPr>
          </w:pPr>
          <w:r>
            <w:rPr>
              <w:rFonts w:hint="eastAsia"/>
              <w:szCs w:val="21"/>
            </w:rPr>
            <w:t>资产负债表中的资产和负债项目，采用资产负债表日的即期汇率折算；所有者权益项目除“未分配利润”项目外，其他项目采用发生时的即期汇率折算。利润表中的收入和费用项目，采用交易发生日的即期汇率折算。按照上述折算产生的外币财务报表折算差额计入其他综合收益。</w:t>
          </w:r>
        </w:p>
        <w:p w14:paraId="2A4BCAC0" w14:textId="77777777" w:rsidR="00E57DAA" w:rsidRDefault="00AC4185">
          <w:pPr>
            <w:ind w:firstLineChars="200" w:firstLine="420"/>
            <w:rPr>
              <w:rFonts w:cs="Times New Roman"/>
              <w:kern w:val="2"/>
              <w:szCs w:val="21"/>
            </w:rPr>
          </w:pPr>
          <w:r>
            <w:rPr>
              <w:rFonts w:hint="eastAsia"/>
              <w:szCs w:val="21"/>
            </w:rPr>
            <w:t>处置境外经营时，将资产负债表中其他综合收益项目中列示的、与该境外经营相关的外币财务报表折算差额，自其他综合收益项目转入处置当期损益；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sdtContent>
    </w:sdt>
    <w:p w14:paraId="38ADFEF8" w14:textId="77777777" w:rsidR="00E57DAA" w:rsidRDefault="00E57DAA">
      <w:pPr>
        <w:rPr>
          <w:szCs w:val="21"/>
        </w:rPr>
      </w:pPr>
    </w:p>
    <w:p w14:paraId="061B340F" w14:textId="77777777" w:rsidR="00E57DAA" w:rsidRDefault="00AC4185" w:rsidP="00C25422">
      <w:pPr>
        <w:pStyle w:val="91"/>
        <w:numPr>
          <w:ilvl w:val="0"/>
          <w:numId w:val="61"/>
        </w:numPr>
      </w:pPr>
      <w:r>
        <w:t>金融工具</w:t>
      </w:r>
    </w:p>
    <w:sdt>
      <w:sdtPr>
        <w:rPr>
          <w:rFonts w:hint="eastAsia"/>
          <w:szCs w:val="21"/>
        </w:rPr>
        <w:alias w:val="是否适用：金融工具_重要会计政策和估计[双击切换]"/>
        <w:tag w:val="_GBC_1537cea503f244c2af870a2a0d5fd7a9"/>
        <w:id w:val="294344303"/>
        <w:placeholder>
          <w:docPart w:val="GBC22222222222222222222222222222"/>
        </w:placeholder>
      </w:sdtPr>
      <w:sdtEndPr/>
      <w:sdtContent>
        <w:p w14:paraId="5CA8CD42"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031842012"/>
        <w:placeholder>
          <w:docPart w:val="GBC22222222222222222222222222222"/>
        </w:placeholder>
      </w:sdtPr>
      <w:sdtEndPr/>
      <w:sdtContent>
        <w:p w14:paraId="52D74474" w14:textId="77777777" w:rsidR="00E57DAA" w:rsidRDefault="00AC4185">
          <w:pPr>
            <w:ind w:firstLineChars="200" w:firstLine="420"/>
            <w:rPr>
              <w:szCs w:val="21"/>
            </w:rPr>
          </w:pPr>
          <w:r>
            <w:rPr>
              <w:rFonts w:hint="eastAsia"/>
              <w:szCs w:val="21"/>
            </w:rPr>
            <w:t>本公司在成为金融工具合同的一方时确认一项金融资产或金融负债。</w:t>
          </w:r>
        </w:p>
        <w:p w14:paraId="2769EA10" w14:textId="77777777" w:rsidR="00E57DAA" w:rsidRDefault="00AC4185">
          <w:pPr>
            <w:ind w:firstLineChars="200" w:firstLine="420"/>
            <w:rPr>
              <w:szCs w:val="21"/>
            </w:rPr>
          </w:pPr>
          <w:r>
            <w:rPr>
              <w:rFonts w:hint="eastAsia"/>
              <w:szCs w:val="21"/>
            </w:rPr>
            <w:t>实际利率法是指计算金融资产或金融负债的摊余成本以及将利息收入或利息费用分摊计入各会计期间的方法。</w:t>
          </w:r>
        </w:p>
        <w:p w14:paraId="25452C13" w14:textId="77777777" w:rsidR="00E57DAA" w:rsidRDefault="00AC4185">
          <w:pPr>
            <w:ind w:firstLineChars="200" w:firstLine="420"/>
            <w:rPr>
              <w:szCs w:val="21"/>
            </w:rPr>
          </w:pPr>
          <w:r>
            <w:rPr>
              <w:rFonts w:hint="eastAsia"/>
              <w:szCs w:val="21"/>
            </w:rPr>
            <w:t>实际利率，是指将金融资产或金融负债在预计存续期的估计未来现金流量，折现为该金融资产账面余额或该金融负债摊余成本所使用的利率。在确定实际利率时，在考虑金融资产或金融负债所有合同条款</w:t>
          </w:r>
          <w:r>
            <w:rPr>
              <w:szCs w:val="21"/>
            </w:rPr>
            <w:t>(如提前还款、展期、看涨期权或其他类似期权等)的基础上估计预期现金流量，但不考虑预期信用损失。</w:t>
          </w:r>
        </w:p>
        <w:p w14:paraId="69B89A95" w14:textId="77777777" w:rsidR="00E57DAA" w:rsidRDefault="00AC4185">
          <w:pPr>
            <w:ind w:firstLineChars="200" w:firstLine="420"/>
            <w:rPr>
              <w:szCs w:val="21"/>
            </w:rPr>
          </w:pPr>
          <w:r>
            <w:rPr>
              <w:rFonts w:hint="eastAsia"/>
              <w:szCs w:val="21"/>
            </w:rPr>
            <w:t>金融资产或金融负债的摊余成本是以该金融资产或金融负债的初始确认金额扣除已偿还的本金，加上或减去采用实际利率法将该初始确认金额与到期日金额之间的差额进行摊销形成的累计摊销额，再扣除累计计提的损失准备</w:t>
          </w:r>
          <w:r>
            <w:rPr>
              <w:szCs w:val="21"/>
            </w:rPr>
            <w:t>(仅适用于金融资产)。</w:t>
          </w:r>
        </w:p>
        <w:p w14:paraId="6A0F437B" w14:textId="77777777" w:rsidR="00E57DAA" w:rsidRDefault="00AC4185">
          <w:pPr>
            <w:ind w:firstLineChars="200" w:firstLine="420"/>
            <w:rPr>
              <w:szCs w:val="21"/>
            </w:rPr>
          </w:pPr>
          <w:r>
            <w:rPr>
              <w:szCs w:val="21"/>
            </w:rPr>
            <w:t>1．金融资产的分类、确认和计量</w:t>
          </w:r>
        </w:p>
        <w:p w14:paraId="669CC177" w14:textId="77777777" w:rsidR="00E57DAA" w:rsidRDefault="00AC4185">
          <w:pPr>
            <w:ind w:firstLineChars="200" w:firstLine="420"/>
            <w:rPr>
              <w:szCs w:val="21"/>
            </w:rPr>
          </w:pPr>
          <w:r>
            <w:rPr>
              <w:rFonts w:hint="eastAsia"/>
              <w:szCs w:val="21"/>
            </w:rPr>
            <w:t>本公司根据所管理金融资产的业务模式和金融资产的合同现金流量特征，将金融资产划分为以下三类：</w:t>
          </w:r>
        </w:p>
        <w:p w14:paraId="26B6CEC5" w14:textId="77777777" w:rsidR="00E57DAA" w:rsidRDefault="00AC4185">
          <w:pPr>
            <w:ind w:firstLineChars="200" w:firstLine="420"/>
            <w:rPr>
              <w:szCs w:val="21"/>
            </w:rPr>
          </w:pPr>
          <w:r>
            <w:rPr>
              <w:rFonts w:hint="eastAsia"/>
              <w:szCs w:val="21"/>
            </w:rPr>
            <w:t>（</w:t>
          </w:r>
          <w:r>
            <w:rPr>
              <w:szCs w:val="21"/>
            </w:rPr>
            <w:t>1）</w:t>
          </w:r>
          <w:r>
            <w:rPr>
              <w:szCs w:val="21"/>
            </w:rPr>
            <w:tab/>
            <w:t>以摊余成本计量的金融资产。</w:t>
          </w:r>
        </w:p>
        <w:p w14:paraId="4E271B8E" w14:textId="77777777" w:rsidR="00E57DAA" w:rsidRDefault="00AC4185">
          <w:pPr>
            <w:ind w:firstLineChars="200" w:firstLine="420"/>
            <w:rPr>
              <w:szCs w:val="21"/>
            </w:rPr>
          </w:pPr>
          <w:r>
            <w:rPr>
              <w:rFonts w:hint="eastAsia"/>
              <w:szCs w:val="21"/>
            </w:rPr>
            <w:t>（</w:t>
          </w:r>
          <w:r>
            <w:rPr>
              <w:szCs w:val="21"/>
            </w:rPr>
            <w:t>2）</w:t>
          </w:r>
          <w:r>
            <w:rPr>
              <w:szCs w:val="21"/>
            </w:rPr>
            <w:tab/>
            <w:t>以公允价值计量且其变动计入其他综合收益的金融资产。</w:t>
          </w:r>
        </w:p>
        <w:p w14:paraId="4D58F512" w14:textId="77777777" w:rsidR="00E57DAA" w:rsidRDefault="00AC4185">
          <w:pPr>
            <w:ind w:firstLineChars="200" w:firstLine="420"/>
            <w:rPr>
              <w:szCs w:val="21"/>
            </w:rPr>
          </w:pPr>
          <w:r>
            <w:rPr>
              <w:rFonts w:hint="eastAsia"/>
              <w:szCs w:val="21"/>
            </w:rPr>
            <w:t>（</w:t>
          </w:r>
          <w:r>
            <w:rPr>
              <w:szCs w:val="21"/>
            </w:rPr>
            <w:t>3）</w:t>
          </w:r>
          <w:r>
            <w:rPr>
              <w:szCs w:val="21"/>
            </w:rPr>
            <w:tab/>
            <w:t>以公允价值计量且其变动计入当期损益的金融资产。</w:t>
          </w:r>
        </w:p>
        <w:p w14:paraId="68BE8F40" w14:textId="77777777" w:rsidR="00E57DAA" w:rsidRDefault="00AC4185">
          <w:pPr>
            <w:ind w:firstLineChars="200" w:firstLine="420"/>
            <w:rPr>
              <w:szCs w:val="21"/>
            </w:rPr>
          </w:pPr>
          <w:r>
            <w:rPr>
              <w:rFonts w:hint="eastAsia"/>
              <w:szCs w:val="21"/>
            </w:rPr>
            <w:t>金融资产在初始确认时以公允价值计量，但是因销售商品或提供服务等产生的应收账款或应收票据未包含重大融资成分或不考虑不超过一年的融资成分的，按照交易价格进行初始计量。</w:t>
          </w:r>
        </w:p>
        <w:p w14:paraId="718A70AD" w14:textId="77777777" w:rsidR="00E57DAA" w:rsidRDefault="00AC4185">
          <w:pPr>
            <w:ind w:firstLineChars="200" w:firstLine="420"/>
            <w:rPr>
              <w:szCs w:val="21"/>
            </w:rPr>
          </w:pPr>
          <w:r>
            <w:rPr>
              <w:rFonts w:hint="eastAsia"/>
              <w:szCs w:val="21"/>
            </w:rPr>
            <w:t>对于以公允价值计量且其变动计入当期损益的金融资产，相关交易费用直接计入当期损益，其他类别的金融资产相关交易费用计入其初始确认金额。</w:t>
          </w:r>
        </w:p>
        <w:p w14:paraId="6711824C" w14:textId="77777777" w:rsidR="00E57DAA" w:rsidRDefault="00AC4185">
          <w:pPr>
            <w:ind w:firstLineChars="200" w:firstLine="420"/>
            <w:rPr>
              <w:szCs w:val="21"/>
            </w:rPr>
          </w:pPr>
          <w:r>
            <w:rPr>
              <w:rFonts w:hint="eastAsia"/>
              <w:szCs w:val="21"/>
            </w:rPr>
            <w:t>金融资产的后续计量取决于其分类，当且仅当本公司改变管理金融资产的业务模式时，才对所有受影响的相关金融资产进行重分类。</w:t>
          </w:r>
        </w:p>
        <w:p w14:paraId="25C09BB7" w14:textId="77777777" w:rsidR="00E57DAA" w:rsidRDefault="00AC4185">
          <w:pPr>
            <w:ind w:firstLineChars="200" w:firstLine="420"/>
            <w:rPr>
              <w:szCs w:val="21"/>
            </w:rPr>
          </w:pPr>
          <w:r>
            <w:rPr>
              <w:rFonts w:hint="eastAsia"/>
              <w:szCs w:val="21"/>
            </w:rPr>
            <w:t>（</w:t>
          </w:r>
          <w:r>
            <w:rPr>
              <w:szCs w:val="21"/>
            </w:rPr>
            <w:t>1）</w:t>
          </w:r>
          <w:r>
            <w:rPr>
              <w:szCs w:val="21"/>
            </w:rPr>
            <w:tab/>
            <w:t>分类为以摊余成本计量的金融资产</w:t>
          </w:r>
        </w:p>
        <w:p w14:paraId="692289DA" w14:textId="77777777" w:rsidR="00E57DAA" w:rsidRDefault="00AC4185">
          <w:pPr>
            <w:ind w:firstLineChars="200" w:firstLine="420"/>
            <w:rPr>
              <w:szCs w:val="21"/>
            </w:rPr>
          </w:pPr>
          <w:r>
            <w:rPr>
              <w:rFonts w:hint="eastAsia"/>
              <w:szCs w:val="21"/>
            </w:rPr>
            <w:t>金融资产的合同条款规定在特定日期产生的现金流量仅为对本金和以未偿付本金金额为基础的利息的支付，且管理该金融资产的业务模式是以收取合同现金流量为目标，则本公司将该金融</w:t>
          </w:r>
          <w:r>
            <w:rPr>
              <w:rFonts w:hint="eastAsia"/>
              <w:szCs w:val="21"/>
            </w:rPr>
            <w:lastRenderedPageBreak/>
            <w:t>资产分类为以摊余成本计量的金融资产。本公司分类为以摊余成本计量的金融资产包括货币资金、应收票据、应收账款、其他应收款和长期应收款等。</w:t>
          </w:r>
        </w:p>
        <w:p w14:paraId="6D0F703F" w14:textId="77777777" w:rsidR="00E57DAA" w:rsidRDefault="00AC4185">
          <w:pPr>
            <w:ind w:firstLineChars="200" w:firstLine="420"/>
            <w:rPr>
              <w:szCs w:val="21"/>
            </w:rPr>
          </w:pPr>
          <w:r>
            <w:rPr>
              <w:rFonts w:hint="eastAsia"/>
              <w:szCs w:val="21"/>
            </w:rPr>
            <w:t>本公司对此类金融资产采用实际利率法确认利息收入，按摊余成本进行后续计量，其发生减值时或终止确认、修改产生的利得或损失，计入当期损益。除下列情况外，本公司根据金融资产账面余额乘以实际利率计算确定利息收入：</w:t>
          </w:r>
        </w:p>
        <w:p w14:paraId="04520AFD" w14:textId="77777777" w:rsidR="00E57DAA" w:rsidRDefault="00AC4185">
          <w:pPr>
            <w:ind w:firstLineChars="200" w:firstLine="420"/>
            <w:rPr>
              <w:szCs w:val="21"/>
            </w:rPr>
          </w:pPr>
          <w:r>
            <w:rPr>
              <w:szCs w:val="21"/>
            </w:rPr>
            <w:t>1）对于购入或源生的已发生信用减值的金融资产，本公司自初始确认起，按照该金融资产的摊余成本和经信用调整的实际利率计算确定其利息收入。</w:t>
          </w:r>
        </w:p>
        <w:p w14:paraId="5A7C472D" w14:textId="77777777" w:rsidR="00E57DAA" w:rsidRDefault="00AC4185">
          <w:pPr>
            <w:ind w:firstLineChars="200" w:firstLine="420"/>
            <w:rPr>
              <w:szCs w:val="21"/>
            </w:rPr>
          </w:pPr>
          <w:r>
            <w:rPr>
              <w:szCs w:val="21"/>
            </w:rPr>
            <w:t>2） 对于购入或源生的未发生信用减值、但在后续期间成为已发生信用减值的金融资产，本公司在后续期间，按照该金融资产的摊余成本和实际利率计算确定其利息收入。若该金融工具在后续期间因其信用风险有所改善而不再存在信用减值，本公司转按实际利率乘以该金融资产账面余额来计算确定利息收入。</w:t>
          </w:r>
        </w:p>
        <w:p w14:paraId="6CC37D2F" w14:textId="77777777" w:rsidR="00E57DAA" w:rsidRDefault="00AC4185">
          <w:pPr>
            <w:ind w:firstLineChars="200" w:firstLine="420"/>
            <w:rPr>
              <w:szCs w:val="21"/>
            </w:rPr>
          </w:pPr>
          <w:r>
            <w:rPr>
              <w:rFonts w:hint="eastAsia"/>
              <w:szCs w:val="21"/>
            </w:rPr>
            <w:t>（</w:t>
          </w:r>
          <w:r>
            <w:rPr>
              <w:szCs w:val="21"/>
            </w:rPr>
            <w:t>2）</w:t>
          </w:r>
          <w:r>
            <w:rPr>
              <w:szCs w:val="21"/>
            </w:rPr>
            <w:tab/>
            <w:t>分类为以公允价值计量且其变动计入其他综合收益的金融资产</w:t>
          </w:r>
        </w:p>
        <w:p w14:paraId="22A66D3C" w14:textId="77777777" w:rsidR="00E57DAA" w:rsidRDefault="00AC4185">
          <w:pPr>
            <w:ind w:firstLineChars="200" w:firstLine="420"/>
            <w:rPr>
              <w:szCs w:val="21"/>
            </w:rPr>
          </w:pPr>
          <w:r>
            <w:rPr>
              <w:rFonts w:hint="eastAsia"/>
              <w:szCs w:val="21"/>
            </w:rPr>
            <w:t>金融资产的合同条款规定在特定日期产生的现金流量仅为对本金和以未偿付本金金额为基础的利息的支付，且管理该金融资产的业务模式既以收取合同现金流量为目标又以出售该金融资产为目标，则本公司将该金融资产分类为以公允价值计量且其变动计入其他综合收益的金融资产。</w:t>
          </w:r>
        </w:p>
        <w:p w14:paraId="65B965B2" w14:textId="77777777" w:rsidR="00E57DAA" w:rsidRDefault="00AC4185">
          <w:pPr>
            <w:ind w:firstLineChars="200" w:firstLine="420"/>
            <w:rPr>
              <w:szCs w:val="21"/>
            </w:rPr>
          </w:pPr>
          <w:r>
            <w:rPr>
              <w:rFonts w:hint="eastAsia"/>
              <w:szCs w:val="21"/>
            </w:rPr>
            <w:t>本公司对此类金融资产采用实际利率法确认利息收入。除利息收入、减值损失及汇兑差额确认为当期损益外，其余公允价值变动计入其他综合收益。当该金融资产终止确认时，之前计入其他综合收益的累计利得或损失从其他综合收益中转出，计入当期损益。</w:t>
          </w:r>
        </w:p>
        <w:p w14:paraId="147F41C5" w14:textId="77777777" w:rsidR="00E57DAA" w:rsidRDefault="00AC4185">
          <w:pPr>
            <w:ind w:firstLineChars="200" w:firstLine="420"/>
            <w:rPr>
              <w:szCs w:val="21"/>
            </w:rPr>
          </w:pPr>
          <w:r>
            <w:rPr>
              <w:rFonts w:hint="eastAsia"/>
              <w:szCs w:val="21"/>
            </w:rPr>
            <w:t>以公允价值计量且变动计入其他综合收益的应收票据及应收账款列报为应收款项融资，其他此类金融资产列报为其他债权投资，其中：自资产负债表日起一年内到期的其他债权投资列报为一年内到期的非流动资产，原到期日在一年以内的其他债权投资列报为其他流动资产。</w:t>
          </w:r>
        </w:p>
        <w:p w14:paraId="710AEFD1" w14:textId="77777777" w:rsidR="00E57DAA" w:rsidRDefault="00AC4185">
          <w:pPr>
            <w:ind w:firstLineChars="200" w:firstLine="420"/>
            <w:rPr>
              <w:szCs w:val="21"/>
            </w:rPr>
          </w:pPr>
          <w:r>
            <w:rPr>
              <w:rFonts w:hint="eastAsia"/>
              <w:szCs w:val="21"/>
            </w:rPr>
            <w:t>（</w:t>
          </w:r>
          <w:r>
            <w:rPr>
              <w:szCs w:val="21"/>
            </w:rPr>
            <w:t>3）</w:t>
          </w:r>
          <w:r>
            <w:rPr>
              <w:szCs w:val="21"/>
            </w:rPr>
            <w:tab/>
            <w:t>指定为以公允价值计量且其变动计入其他综合收益的金融资产</w:t>
          </w:r>
        </w:p>
        <w:p w14:paraId="4B9F092E" w14:textId="77777777" w:rsidR="00E57DAA" w:rsidRDefault="00AC4185">
          <w:pPr>
            <w:ind w:firstLineChars="200" w:firstLine="420"/>
            <w:rPr>
              <w:szCs w:val="21"/>
            </w:rPr>
          </w:pPr>
          <w:r>
            <w:rPr>
              <w:rFonts w:hint="eastAsia"/>
              <w:szCs w:val="21"/>
            </w:rPr>
            <w:t>在初始确认时，本公司可以单项金融资产为基础不可撤销地将非交易性权益工具投资指定为以公允价值计量且其变动计入其他综合收益的金融资产。</w:t>
          </w:r>
        </w:p>
        <w:p w14:paraId="2F30050D" w14:textId="77777777" w:rsidR="00E57DAA" w:rsidRDefault="00AC4185">
          <w:pPr>
            <w:ind w:firstLineChars="200" w:firstLine="420"/>
            <w:rPr>
              <w:szCs w:val="21"/>
            </w:rPr>
          </w:pPr>
          <w:r>
            <w:rPr>
              <w:rFonts w:hint="eastAsia"/>
              <w:szCs w:val="21"/>
            </w:rPr>
            <w:t>此类金融资产的公允价值变动计入其他综合收益，不需计提减值准备。该金融资产终止确认时，之前计入其他综合收益的累计利得或损失从其他综合收益中转出，计入留存收益。本公司持有该权益工具投资期间，在本公司收取股利的权利已经确立，与股利相关的经济利益很可能流入本公司，且股利的金额能够可靠计量时，确认股利收入并计入当期损益。本公司对此类金融资产在其他权益工具投资项目下列报。</w:t>
          </w:r>
        </w:p>
        <w:p w14:paraId="603E874E" w14:textId="77777777" w:rsidR="00E57DAA" w:rsidRDefault="00AC4185">
          <w:pPr>
            <w:ind w:firstLineChars="200" w:firstLine="420"/>
            <w:rPr>
              <w:szCs w:val="21"/>
            </w:rPr>
          </w:pPr>
          <w:r>
            <w:rPr>
              <w:rFonts w:hint="eastAsia"/>
              <w:szCs w:val="21"/>
            </w:rPr>
            <w:t>权益工具投资满足下列条件之一的，属于以公允价值计量且其变动计入当期损益的金融资产：取得该金融资产的目的主要是为了近期出售；初始确认时属于集中管理的可辨认金融资产工具组合的一部分，且有客观证据表明近期实际存在短期获利模式；属于衍生工具（符合财务担保合同定义的以及被指定为有效套期工具的衍生工具除外）。</w:t>
          </w:r>
        </w:p>
        <w:p w14:paraId="59D9B565" w14:textId="77777777" w:rsidR="00E57DAA" w:rsidRDefault="00AC4185">
          <w:pPr>
            <w:ind w:firstLineChars="200" w:firstLine="420"/>
            <w:rPr>
              <w:szCs w:val="21"/>
            </w:rPr>
          </w:pPr>
          <w:r>
            <w:rPr>
              <w:rFonts w:hint="eastAsia"/>
              <w:szCs w:val="21"/>
            </w:rPr>
            <w:t>（</w:t>
          </w:r>
          <w:r>
            <w:rPr>
              <w:szCs w:val="21"/>
            </w:rPr>
            <w:t>4）</w:t>
          </w:r>
          <w:r>
            <w:rPr>
              <w:szCs w:val="21"/>
            </w:rPr>
            <w:tab/>
            <w:t>分类为以公允价值计量且其变动计入当期损益的金融资产</w:t>
          </w:r>
        </w:p>
        <w:p w14:paraId="1010B96A" w14:textId="77777777" w:rsidR="00E57DAA" w:rsidRDefault="00AC4185">
          <w:pPr>
            <w:ind w:firstLineChars="200" w:firstLine="420"/>
            <w:rPr>
              <w:szCs w:val="21"/>
            </w:rPr>
          </w:pPr>
          <w:r>
            <w:rPr>
              <w:rFonts w:hint="eastAsia"/>
              <w:szCs w:val="21"/>
            </w:rPr>
            <w:t>不符合分类为以摊余成本计量或以公允价值计量且其变动计入其他综合收益的金融资产条件、亦不指定为以公允价值计量且其变动计入其他综合收益的金融资产均分类为以公允价值计量且其变动计入当期损益的金融资产。</w:t>
          </w:r>
        </w:p>
        <w:p w14:paraId="6CA5C330" w14:textId="77777777" w:rsidR="00E57DAA" w:rsidRDefault="00AC4185">
          <w:pPr>
            <w:ind w:firstLineChars="200" w:firstLine="420"/>
            <w:rPr>
              <w:szCs w:val="21"/>
            </w:rPr>
          </w:pPr>
          <w:r>
            <w:rPr>
              <w:rFonts w:hint="eastAsia"/>
              <w:szCs w:val="21"/>
            </w:rPr>
            <w:t>本公司对此类金融资产采用公允价值进行后续计量，将公允价值变动形成的利得或损失以及与此类金融资产相关的股利和利息收入计入当期损益。</w:t>
          </w:r>
        </w:p>
        <w:p w14:paraId="2E3E04AC" w14:textId="77777777" w:rsidR="00E57DAA" w:rsidRDefault="00AC4185">
          <w:pPr>
            <w:ind w:firstLineChars="200" w:firstLine="420"/>
            <w:rPr>
              <w:szCs w:val="21"/>
            </w:rPr>
          </w:pPr>
          <w:r>
            <w:rPr>
              <w:rFonts w:hint="eastAsia"/>
              <w:szCs w:val="21"/>
            </w:rPr>
            <w:t>本公司对此类金融资产根据其流动性在交易性金融资产、其他非流动金融资产项目列报。</w:t>
          </w:r>
        </w:p>
        <w:p w14:paraId="1C45F442" w14:textId="77777777" w:rsidR="00E57DAA" w:rsidRDefault="00AC4185">
          <w:pPr>
            <w:ind w:firstLineChars="200" w:firstLine="420"/>
            <w:rPr>
              <w:szCs w:val="21"/>
            </w:rPr>
          </w:pPr>
          <w:r>
            <w:rPr>
              <w:rFonts w:hint="eastAsia"/>
              <w:szCs w:val="21"/>
            </w:rPr>
            <w:t>（</w:t>
          </w:r>
          <w:r>
            <w:rPr>
              <w:szCs w:val="21"/>
            </w:rPr>
            <w:t>5）</w:t>
          </w:r>
          <w:r>
            <w:rPr>
              <w:szCs w:val="21"/>
            </w:rPr>
            <w:tab/>
            <w:t>指定为以公允价值计量且其变动计入当期损益的金融资产</w:t>
          </w:r>
        </w:p>
        <w:p w14:paraId="42B83D2D" w14:textId="77777777" w:rsidR="00E57DAA" w:rsidRDefault="00AC4185">
          <w:pPr>
            <w:ind w:firstLineChars="200" w:firstLine="420"/>
            <w:rPr>
              <w:szCs w:val="21"/>
            </w:rPr>
          </w:pPr>
          <w:r>
            <w:rPr>
              <w:rFonts w:hint="eastAsia"/>
              <w:szCs w:val="21"/>
            </w:rPr>
            <w:t>在初始确认时，本公司为了消除或显著减少会计错配，可以单项金融资产为基础不可撤销地将金融资产指定为以公允价值计量且其变动计入当期损益的金融资产。</w:t>
          </w:r>
        </w:p>
        <w:p w14:paraId="310FBFD7" w14:textId="77777777" w:rsidR="00E57DAA" w:rsidRDefault="00AC4185">
          <w:pPr>
            <w:ind w:firstLineChars="200" w:firstLine="420"/>
            <w:rPr>
              <w:szCs w:val="21"/>
            </w:rPr>
          </w:pPr>
          <w:r>
            <w:rPr>
              <w:rFonts w:hint="eastAsia"/>
              <w:szCs w:val="21"/>
            </w:rPr>
            <w:t>混合合同包含一项或多项嵌入衍生工具，且其主合同不属于以上金融资产的，本公司可以将其整体指定为以公允价值计量且其变动计入当期损益的金融工具。但下列情况除外：</w:t>
          </w:r>
          <w:r>
            <w:rPr>
              <w:szCs w:val="21"/>
            </w:rPr>
            <w:t xml:space="preserve"> </w:t>
          </w:r>
        </w:p>
        <w:p w14:paraId="443F6270" w14:textId="77777777" w:rsidR="00E57DAA" w:rsidRDefault="00AC4185">
          <w:pPr>
            <w:ind w:firstLineChars="200" w:firstLine="420"/>
            <w:rPr>
              <w:szCs w:val="21"/>
            </w:rPr>
          </w:pPr>
          <w:r>
            <w:rPr>
              <w:szCs w:val="21"/>
            </w:rPr>
            <w:t>1）</w:t>
          </w:r>
          <w:r>
            <w:rPr>
              <w:szCs w:val="21"/>
            </w:rPr>
            <w:tab/>
            <w:t>嵌入衍生工具不会对混合合同的现金流量产生重大改变。</w:t>
          </w:r>
        </w:p>
        <w:p w14:paraId="4EB03987" w14:textId="77777777" w:rsidR="00E57DAA" w:rsidRDefault="00AC4185">
          <w:pPr>
            <w:ind w:firstLineChars="200" w:firstLine="420"/>
            <w:rPr>
              <w:szCs w:val="21"/>
            </w:rPr>
          </w:pPr>
          <w:r>
            <w:rPr>
              <w:szCs w:val="21"/>
            </w:rPr>
            <w:t>2）</w:t>
          </w:r>
          <w:r>
            <w:rPr>
              <w:szCs w:val="21"/>
            </w:rPr>
            <w:tab/>
            <w:t>在初次确定类似的混合合同是否需要分拆时，几乎不需分析就能明确其包含的嵌入衍生工具不应分拆。如嵌入贷款的提前还款权，允许持有人以接近摊余成本的金额提前偿还贷款，该提前还款权不需要分拆。</w:t>
          </w:r>
        </w:p>
        <w:p w14:paraId="599BDDE3" w14:textId="77777777" w:rsidR="00E57DAA" w:rsidRDefault="00AC4185">
          <w:pPr>
            <w:ind w:firstLineChars="200" w:firstLine="420"/>
            <w:rPr>
              <w:szCs w:val="21"/>
            </w:rPr>
          </w:pPr>
          <w:r>
            <w:rPr>
              <w:rFonts w:hint="eastAsia"/>
              <w:szCs w:val="21"/>
            </w:rPr>
            <w:lastRenderedPageBreak/>
            <w:t>本公司对此类金融资产采用公允价值进行后续计量，将公允价值变动形成的利得或损失以及与此类金融资产相关的股利和利息收入计入当期损益。</w:t>
          </w:r>
        </w:p>
        <w:p w14:paraId="4B9C323E" w14:textId="77777777" w:rsidR="00E57DAA" w:rsidRDefault="00AC4185">
          <w:pPr>
            <w:ind w:firstLineChars="200" w:firstLine="420"/>
            <w:rPr>
              <w:szCs w:val="21"/>
            </w:rPr>
          </w:pPr>
          <w:r>
            <w:rPr>
              <w:rFonts w:hint="eastAsia"/>
              <w:szCs w:val="21"/>
            </w:rPr>
            <w:t>本公司对此类金融资产根据其流动性在交易性金融资产、其他非流动金融资产项目列报。</w:t>
          </w:r>
        </w:p>
        <w:p w14:paraId="42405A20" w14:textId="77777777" w:rsidR="00E57DAA" w:rsidRDefault="00AC4185">
          <w:pPr>
            <w:ind w:firstLineChars="200" w:firstLine="420"/>
            <w:rPr>
              <w:szCs w:val="21"/>
            </w:rPr>
          </w:pPr>
          <w:r>
            <w:rPr>
              <w:szCs w:val="21"/>
            </w:rPr>
            <w:t>2．金融负债的分类、确认和计量</w:t>
          </w:r>
        </w:p>
        <w:p w14:paraId="39CE6327" w14:textId="77777777" w:rsidR="00E57DAA" w:rsidRDefault="00AC4185">
          <w:pPr>
            <w:ind w:firstLineChars="200" w:firstLine="420"/>
            <w:rPr>
              <w:szCs w:val="21"/>
            </w:rPr>
          </w:pPr>
          <w:r>
            <w:rPr>
              <w:rFonts w:hint="eastAsia"/>
              <w:szCs w:val="21"/>
            </w:rPr>
            <w:t>本公司根据所发行金融工具的合同条款及其所反映的经济实质而非仅以法律形式，结合金融负债和权益工具的定义，在初始确认时将该金融工具或其组成部分分类为金融负债或权益工具。金融负债在初始确认时分类为：以公允价值计量且其变动计入当期损益的金融负债、其他金融负债、被指定为有效套期工具的衍生工具。</w:t>
          </w:r>
        </w:p>
        <w:p w14:paraId="3DBEADBA" w14:textId="77777777" w:rsidR="00E57DAA" w:rsidRDefault="00AC4185">
          <w:pPr>
            <w:ind w:firstLineChars="200" w:firstLine="420"/>
            <w:rPr>
              <w:szCs w:val="21"/>
            </w:rPr>
          </w:pPr>
          <w:r>
            <w:rPr>
              <w:rFonts w:hint="eastAsia"/>
              <w:szCs w:val="21"/>
            </w:rPr>
            <w:t>金融负债在初始确认时以公允价值计量。对于以公允价值计量且其变动计入当期损益的金融负债，相关的交易费用直接计入当期损益；对于其他类别的金融负债，相关交易费用计入初始确认金额。</w:t>
          </w:r>
        </w:p>
        <w:p w14:paraId="571B9B40" w14:textId="77777777" w:rsidR="00E57DAA" w:rsidRDefault="00AC4185">
          <w:pPr>
            <w:ind w:firstLineChars="200" w:firstLine="420"/>
            <w:rPr>
              <w:szCs w:val="21"/>
            </w:rPr>
          </w:pPr>
          <w:r>
            <w:rPr>
              <w:rFonts w:hint="eastAsia"/>
              <w:szCs w:val="21"/>
            </w:rPr>
            <w:t>金融负债的后续计量取决于其分类：</w:t>
          </w:r>
        </w:p>
        <w:p w14:paraId="591FC88E" w14:textId="77777777" w:rsidR="00E57DAA" w:rsidRDefault="00AC4185">
          <w:pPr>
            <w:ind w:firstLineChars="200" w:firstLine="420"/>
            <w:rPr>
              <w:szCs w:val="21"/>
            </w:rPr>
          </w:pPr>
          <w:r>
            <w:rPr>
              <w:rFonts w:hint="eastAsia"/>
              <w:szCs w:val="21"/>
            </w:rPr>
            <w:t>（</w:t>
          </w:r>
          <w:r>
            <w:rPr>
              <w:szCs w:val="21"/>
            </w:rPr>
            <w:t>1）</w:t>
          </w:r>
          <w:r>
            <w:rPr>
              <w:szCs w:val="21"/>
            </w:rPr>
            <w:tab/>
            <w:t>以公允价值计量且其变动计入当期损益的金融负债</w:t>
          </w:r>
        </w:p>
        <w:p w14:paraId="335DD56A" w14:textId="77777777" w:rsidR="00E57DAA" w:rsidRDefault="00AC4185">
          <w:pPr>
            <w:ind w:firstLineChars="200" w:firstLine="420"/>
            <w:rPr>
              <w:szCs w:val="21"/>
            </w:rPr>
          </w:pPr>
          <w:r>
            <w:rPr>
              <w:rFonts w:hint="eastAsia"/>
              <w:szCs w:val="21"/>
            </w:rPr>
            <w:t>此类金融负债包括交易性金融负债（含属于金融负债的衍生工具）和初始确认时指定为以公允价值计量且其变动计入当期损益的金融负债。</w:t>
          </w:r>
        </w:p>
        <w:p w14:paraId="31D11794" w14:textId="77777777" w:rsidR="00E57DAA" w:rsidRDefault="00AC4185">
          <w:pPr>
            <w:ind w:firstLineChars="200" w:firstLine="420"/>
            <w:rPr>
              <w:szCs w:val="21"/>
            </w:rPr>
          </w:pPr>
          <w:r>
            <w:rPr>
              <w:rFonts w:hint="eastAsia"/>
              <w:szCs w:val="21"/>
            </w:rPr>
            <w:t>满足下列条件之一的，属于交易性金融负债：承担相关金融负债的目的主要是为了在近期内出售或回购；属于集中管理的可辨认金融工具组合的一部分，且有客观证据表明企业近期采用短期获利方式模式；属于衍生工具，但是，被指定且为有效套期工具的衍生工具、符合财务担保合同的衍生工具除外。交易性金融负债（含属于金融负债的衍生工具），按照公允价值进行后续计量，除与套期会计有关外，所有公允价值变动均计入当期损益。</w:t>
          </w:r>
        </w:p>
        <w:p w14:paraId="3D825AF6" w14:textId="77777777" w:rsidR="00E57DAA" w:rsidRDefault="00AC4185">
          <w:pPr>
            <w:ind w:firstLineChars="200" w:firstLine="420"/>
            <w:rPr>
              <w:szCs w:val="21"/>
            </w:rPr>
          </w:pPr>
          <w:r>
            <w:rPr>
              <w:rFonts w:hint="eastAsia"/>
              <w:szCs w:val="21"/>
            </w:rPr>
            <w:t>在初始确认时，为了提供更相关的会计信息，本公司将满足下列条件之一的金融负债不可撤销地指定为以公允价值计量且其变动计入当期损益的金融负债：</w:t>
          </w:r>
        </w:p>
        <w:p w14:paraId="4CE8732C" w14:textId="77777777" w:rsidR="00E57DAA" w:rsidRDefault="00AC4185">
          <w:pPr>
            <w:ind w:firstLineChars="200" w:firstLine="420"/>
            <w:rPr>
              <w:szCs w:val="21"/>
            </w:rPr>
          </w:pPr>
          <w:r>
            <w:rPr>
              <w:szCs w:val="21"/>
            </w:rPr>
            <w:t>1）</w:t>
          </w:r>
          <w:r>
            <w:rPr>
              <w:szCs w:val="21"/>
            </w:rPr>
            <w:tab/>
            <w:t>能够消除或显著减少会计错配。</w:t>
          </w:r>
        </w:p>
        <w:p w14:paraId="0C9736BB" w14:textId="77777777" w:rsidR="00E57DAA" w:rsidRDefault="00AC4185">
          <w:pPr>
            <w:ind w:firstLineChars="200" w:firstLine="420"/>
            <w:rPr>
              <w:szCs w:val="21"/>
            </w:rPr>
          </w:pPr>
          <w:r>
            <w:rPr>
              <w:szCs w:val="21"/>
            </w:rPr>
            <w:t>2）</w:t>
          </w:r>
          <w:r>
            <w:rPr>
              <w:szCs w:val="21"/>
            </w:rPr>
            <w:tab/>
            <w:t>根据正式书面文件载明的企业风险管理或投资策略，以公允价值为基础对金融负债组合或金融资产和金融负债组合进行管理和业绩评价，并在企业内部以此为基础向关键管理人员报告。</w:t>
          </w:r>
        </w:p>
        <w:p w14:paraId="201B4BF3" w14:textId="77777777" w:rsidR="00E57DAA" w:rsidRDefault="00AC4185">
          <w:pPr>
            <w:ind w:firstLineChars="200" w:firstLine="420"/>
            <w:rPr>
              <w:szCs w:val="21"/>
            </w:rPr>
          </w:pPr>
          <w:r>
            <w:rPr>
              <w:rFonts w:hint="eastAsia"/>
              <w:szCs w:val="21"/>
            </w:rPr>
            <w:t>本公司对此类金融负债采用公允价值进行后续计量，除由本公司自身信用风险变动引起的公允价值变动计入其他综合收益之外，其他公允价值变动计入当期损益。除非由本公司自身信用风险变动引起的公允价值变动计入其他综合收益会造成或扩大损益中的会计错配，本公司将所有公允价值变动（包括自身信用风险变动的影响金额）计入当期损益。</w:t>
          </w:r>
        </w:p>
        <w:p w14:paraId="523D5C9A" w14:textId="77777777" w:rsidR="00E57DAA" w:rsidRDefault="00AC4185">
          <w:pPr>
            <w:ind w:firstLineChars="200" w:firstLine="420"/>
            <w:rPr>
              <w:szCs w:val="21"/>
            </w:rPr>
          </w:pPr>
          <w:r>
            <w:rPr>
              <w:rFonts w:hint="eastAsia"/>
              <w:szCs w:val="21"/>
            </w:rPr>
            <w:t>（</w:t>
          </w:r>
          <w:r>
            <w:rPr>
              <w:szCs w:val="21"/>
            </w:rPr>
            <w:t>2）</w:t>
          </w:r>
          <w:r>
            <w:rPr>
              <w:szCs w:val="21"/>
            </w:rPr>
            <w:tab/>
            <w:t>其他金融负债</w:t>
          </w:r>
        </w:p>
        <w:p w14:paraId="17166A0C" w14:textId="77777777" w:rsidR="00E57DAA" w:rsidRDefault="00AC4185">
          <w:pPr>
            <w:ind w:firstLineChars="200" w:firstLine="420"/>
            <w:rPr>
              <w:szCs w:val="21"/>
            </w:rPr>
          </w:pPr>
          <w:r>
            <w:rPr>
              <w:rFonts w:hint="eastAsia"/>
              <w:szCs w:val="21"/>
            </w:rPr>
            <w:t>除下列各项外，公司将金融负债分类为以摊余成本计量的金融负债，对此类金融负债采用实际利率法，按照摊余成本进行后续计量，终止确认或摊销产生的利得或损失计入当期损益：</w:t>
          </w:r>
        </w:p>
        <w:p w14:paraId="51EF09A0" w14:textId="77777777" w:rsidR="00E57DAA" w:rsidRDefault="00AC4185">
          <w:pPr>
            <w:ind w:firstLineChars="200" w:firstLine="420"/>
            <w:rPr>
              <w:szCs w:val="21"/>
            </w:rPr>
          </w:pPr>
          <w:r>
            <w:rPr>
              <w:szCs w:val="21"/>
            </w:rPr>
            <w:t>1）</w:t>
          </w:r>
          <w:r>
            <w:rPr>
              <w:szCs w:val="21"/>
            </w:rPr>
            <w:tab/>
            <w:t>以公允价值计量且其变动计入当期损益的金融负债。</w:t>
          </w:r>
        </w:p>
        <w:p w14:paraId="5A5132F6" w14:textId="77777777" w:rsidR="00E57DAA" w:rsidRDefault="00AC4185">
          <w:pPr>
            <w:ind w:firstLineChars="200" w:firstLine="420"/>
            <w:rPr>
              <w:szCs w:val="21"/>
            </w:rPr>
          </w:pPr>
          <w:r>
            <w:rPr>
              <w:szCs w:val="21"/>
            </w:rPr>
            <w:t>2）</w:t>
          </w:r>
          <w:r>
            <w:rPr>
              <w:szCs w:val="21"/>
            </w:rPr>
            <w:tab/>
            <w:t>金融资产转移不符合终止确认条件或继续涉入被转移金融资产所形成的金融负债。</w:t>
          </w:r>
        </w:p>
        <w:p w14:paraId="781D0086" w14:textId="77777777" w:rsidR="00E57DAA" w:rsidRDefault="00AC4185">
          <w:pPr>
            <w:ind w:firstLineChars="200" w:firstLine="420"/>
            <w:rPr>
              <w:szCs w:val="21"/>
            </w:rPr>
          </w:pPr>
          <w:r>
            <w:rPr>
              <w:szCs w:val="21"/>
            </w:rPr>
            <w:t>3）</w:t>
          </w:r>
          <w:r>
            <w:rPr>
              <w:szCs w:val="21"/>
            </w:rPr>
            <w:tab/>
            <w:t>不属于本条前两类情形的财务担保合同，以及不属于本条第1）类情形的以低于市场利率贷款的贷款承诺。</w:t>
          </w:r>
        </w:p>
        <w:p w14:paraId="0BAA09DF" w14:textId="77777777" w:rsidR="00E57DAA" w:rsidRDefault="00AC4185">
          <w:pPr>
            <w:ind w:firstLineChars="200" w:firstLine="420"/>
            <w:rPr>
              <w:szCs w:val="21"/>
            </w:rPr>
          </w:pPr>
          <w:r>
            <w:rPr>
              <w:rFonts w:hint="eastAsia"/>
              <w:szCs w:val="21"/>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担保期内的累计摊销额后的余额孰高进行计量。</w:t>
          </w:r>
        </w:p>
        <w:p w14:paraId="154966CA" w14:textId="77777777" w:rsidR="00E57DAA" w:rsidRDefault="00AC4185">
          <w:pPr>
            <w:ind w:firstLineChars="200" w:firstLine="420"/>
            <w:rPr>
              <w:szCs w:val="21"/>
            </w:rPr>
          </w:pPr>
          <w:r>
            <w:rPr>
              <w:szCs w:val="21"/>
            </w:rPr>
            <w:t>3．金融资产和金融负债的终止确认</w:t>
          </w:r>
        </w:p>
        <w:p w14:paraId="3BF8FE64" w14:textId="77777777" w:rsidR="00E57DAA" w:rsidRDefault="00AC4185">
          <w:pPr>
            <w:ind w:firstLineChars="200" w:firstLine="420"/>
            <w:rPr>
              <w:szCs w:val="21"/>
            </w:rPr>
          </w:pPr>
          <w:r>
            <w:rPr>
              <w:rFonts w:hint="eastAsia"/>
              <w:szCs w:val="21"/>
            </w:rPr>
            <w:t>（</w:t>
          </w:r>
          <w:r>
            <w:rPr>
              <w:szCs w:val="21"/>
            </w:rPr>
            <w:t>1）金融资产满足下列条件之一的，终止确认金融资产，即从其账户和资产负债表内予以转销：</w:t>
          </w:r>
        </w:p>
        <w:p w14:paraId="5A442635" w14:textId="77777777" w:rsidR="00E57DAA" w:rsidRDefault="00AC4185">
          <w:pPr>
            <w:ind w:firstLineChars="200" w:firstLine="420"/>
            <w:rPr>
              <w:szCs w:val="21"/>
            </w:rPr>
          </w:pPr>
          <w:r>
            <w:rPr>
              <w:szCs w:val="21"/>
            </w:rPr>
            <w:t>1）</w:t>
          </w:r>
          <w:r>
            <w:rPr>
              <w:szCs w:val="21"/>
            </w:rPr>
            <w:tab/>
            <w:t>收取该金融资产现金流量的合同权利终止。</w:t>
          </w:r>
        </w:p>
        <w:p w14:paraId="037A9DF8" w14:textId="77777777" w:rsidR="00E57DAA" w:rsidRDefault="00AC4185">
          <w:pPr>
            <w:ind w:firstLineChars="200" w:firstLine="420"/>
            <w:rPr>
              <w:szCs w:val="21"/>
            </w:rPr>
          </w:pPr>
          <w:r>
            <w:rPr>
              <w:szCs w:val="21"/>
            </w:rPr>
            <w:t>2）</w:t>
          </w:r>
          <w:r>
            <w:rPr>
              <w:szCs w:val="21"/>
            </w:rPr>
            <w:tab/>
            <w:t>该金融资产已转移，且该转移满足金融资产终止确认的规定。</w:t>
          </w:r>
        </w:p>
        <w:p w14:paraId="120AD6FD" w14:textId="77777777" w:rsidR="00E57DAA" w:rsidRDefault="00AC4185">
          <w:pPr>
            <w:ind w:firstLineChars="200" w:firstLine="420"/>
            <w:rPr>
              <w:szCs w:val="21"/>
            </w:rPr>
          </w:pPr>
          <w:r>
            <w:rPr>
              <w:rFonts w:hint="eastAsia"/>
              <w:szCs w:val="21"/>
            </w:rPr>
            <w:t>（</w:t>
          </w:r>
          <w:r>
            <w:rPr>
              <w:szCs w:val="21"/>
            </w:rPr>
            <w:t>2）金融负债终止确认条件</w:t>
          </w:r>
        </w:p>
        <w:p w14:paraId="44E65B9C" w14:textId="77777777" w:rsidR="00E57DAA" w:rsidRDefault="00AC4185">
          <w:pPr>
            <w:ind w:firstLineChars="200" w:firstLine="420"/>
            <w:rPr>
              <w:szCs w:val="21"/>
            </w:rPr>
          </w:pPr>
          <w:r>
            <w:rPr>
              <w:rFonts w:hint="eastAsia"/>
              <w:szCs w:val="21"/>
            </w:rPr>
            <w:t>金融负债（或其一部分）的现时义务已经解除的，则终止确认该金融负债（或该部分金融负债）。</w:t>
          </w:r>
        </w:p>
        <w:p w14:paraId="5455563F" w14:textId="77777777" w:rsidR="00E57DAA" w:rsidRDefault="00AC4185">
          <w:pPr>
            <w:ind w:firstLineChars="200" w:firstLine="420"/>
            <w:rPr>
              <w:szCs w:val="21"/>
            </w:rPr>
          </w:pPr>
          <w:r>
            <w:rPr>
              <w:rFonts w:hint="eastAsia"/>
              <w:szCs w:val="21"/>
            </w:rPr>
            <w:lastRenderedPageBreak/>
            <w:t>本公司与借出方之间签订协议，以承担新金融负债方式替换原金融负债，且新金融负债与原金融负债的合同条款实质上不同的，或对原金融负债（或其一部分）的合同条款做出实质性修改的，则终止确认原金融负债，同时确认一项新金融负债，账面价值与支付的对价（包括转出的非现金资产或承担的负债）之间的差额，计入当期损益。</w:t>
          </w:r>
        </w:p>
        <w:p w14:paraId="68DAA246" w14:textId="77777777" w:rsidR="00E57DAA" w:rsidRDefault="00AC4185">
          <w:pPr>
            <w:ind w:firstLineChars="200" w:firstLine="420"/>
            <w:rPr>
              <w:szCs w:val="21"/>
            </w:rPr>
          </w:pPr>
          <w:r>
            <w:rPr>
              <w:rFonts w:hint="eastAsia"/>
              <w:szCs w:val="21"/>
            </w:rPr>
            <w:t>本公司回购金融负债一部分的，按照继续确认部分和终止确认部分在回购日各自的公允价值占整体公允价值的比例，对该金融负债整体的账面价值进行分配。分配给终止确认部分的账面价值与支付的对价（包括转出的非现金资产或承担的负债）之间的差额，应当计入当期损益。</w:t>
          </w:r>
        </w:p>
        <w:p w14:paraId="26904D25" w14:textId="77777777" w:rsidR="00E57DAA" w:rsidRDefault="00AC4185">
          <w:pPr>
            <w:ind w:firstLineChars="200" w:firstLine="420"/>
            <w:rPr>
              <w:szCs w:val="21"/>
            </w:rPr>
          </w:pPr>
          <w:r>
            <w:rPr>
              <w:szCs w:val="21"/>
            </w:rPr>
            <w:t>4．金融资产转移的确认依据和计量方法</w:t>
          </w:r>
        </w:p>
        <w:p w14:paraId="08EC45A2" w14:textId="77777777" w:rsidR="00E57DAA" w:rsidRDefault="00AC4185">
          <w:pPr>
            <w:ind w:firstLineChars="200" w:firstLine="420"/>
            <w:rPr>
              <w:szCs w:val="21"/>
            </w:rPr>
          </w:pPr>
          <w:r>
            <w:rPr>
              <w:rFonts w:hint="eastAsia"/>
              <w:szCs w:val="21"/>
            </w:rPr>
            <w:t>本公司在发生金融资产转移时，评估其保留金融资产所有权上的风险和报酬的程度，并分别下列情形处理：</w:t>
          </w:r>
        </w:p>
        <w:p w14:paraId="6B380C60" w14:textId="77777777" w:rsidR="00E57DAA" w:rsidRDefault="00AC4185">
          <w:pPr>
            <w:ind w:firstLineChars="200" w:firstLine="420"/>
            <w:rPr>
              <w:szCs w:val="21"/>
            </w:rPr>
          </w:pPr>
          <w:r>
            <w:rPr>
              <w:rFonts w:hint="eastAsia"/>
              <w:szCs w:val="21"/>
            </w:rPr>
            <w:t>（</w:t>
          </w:r>
          <w:r>
            <w:rPr>
              <w:szCs w:val="21"/>
            </w:rPr>
            <w:t>1）</w:t>
          </w:r>
          <w:r>
            <w:rPr>
              <w:szCs w:val="21"/>
            </w:rPr>
            <w:tab/>
            <w:t>转移了金融资产所有权上几乎所有风险和报酬的，则终止确认该金融资产，并将转移中产生或保留的权利和义务单独确认为资产或负债。</w:t>
          </w:r>
        </w:p>
        <w:p w14:paraId="603FA560" w14:textId="77777777" w:rsidR="00E57DAA" w:rsidRDefault="00AC4185">
          <w:pPr>
            <w:ind w:firstLineChars="200" w:firstLine="420"/>
            <w:rPr>
              <w:szCs w:val="21"/>
            </w:rPr>
          </w:pPr>
          <w:r>
            <w:rPr>
              <w:rFonts w:hint="eastAsia"/>
              <w:szCs w:val="21"/>
            </w:rPr>
            <w:t>（</w:t>
          </w:r>
          <w:r>
            <w:rPr>
              <w:szCs w:val="21"/>
            </w:rPr>
            <w:t>2）</w:t>
          </w:r>
          <w:r>
            <w:rPr>
              <w:szCs w:val="21"/>
            </w:rPr>
            <w:tab/>
            <w:t>保留了金融资产所有权上几乎所有风险和报酬的，则继续确认该金融资产。</w:t>
          </w:r>
        </w:p>
        <w:p w14:paraId="04B8404D" w14:textId="77777777" w:rsidR="00E57DAA" w:rsidRDefault="00AC4185">
          <w:pPr>
            <w:ind w:firstLineChars="200" w:firstLine="420"/>
            <w:rPr>
              <w:szCs w:val="21"/>
            </w:rPr>
          </w:pPr>
          <w:r>
            <w:rPr>
              <w:rFonts w:hint="eastAsia"/>
              <w:szCs w:val="21"/>
            </w:rPr>
            <w:t>（</w:t>
          </w:r>
          <w:r>
            <w:rPr>
              <w:szCs w:val="21"/>
            </w:rPr>
            <w:t>3）</w:t>
          </w:r>
          <w:r>
            <w:rPr>
              <w:szCs w:val="21"/>
            </w:rPr>
            <w:tab/>
            <w:t>既没有转移也没有保留金融资产所有权上几乎所有风险和报酬的（即除本条（1）、（2）之外的其他情形），则根据其是否保留了对金融资产的控制，分别下列情形处理：</w:t>
          </w:r>
        </w:p>
        <w:p w14:paraId="2B877715" w14:textId="77777777" w:rsidR="00E57DAA" w:rsidRDefault="00AC4185">
          <w:pPr>
            <w:ind w:firstLineChars="200" w:firstLine="420"/>
            <w:rPr>
              <w:szCs w:val="21"/>
            </w:rPr>
          </w:pPr>
          <w:r>
            <w:rPr>
              <w:szCs w:val="21"/>
            </w:rPr>
            <w:t>1）</w:t>
          </w:r>
          <w:r>
            <w:rPr>
              <w:szCs w:val="21"/>
            </w:rPr>
            <w:tab/>
            <w:t>未保留对该金融资产控制的，则终止确认该金融资产，并将转移中产生或保留的权利和义务单独确认为资产或负债。</w:t>
          </w:r>
        </w:p>
        <w:p w14:paraId="06F02172" w14:textId="77777777" w:rsidR="00E57DAA" w:rsidRDefault="00AC4185">
          <w:pPr>
            <w:ind w:firstLineChars="200" w:firstLine="420"/>
            <w:rPr>
              <w:szCs w:val="21"/>
            </w:rPr>
          </w:pPr>
          <w:r>
            <w:rPr>
              <w:szCs w:val="21"/>
            </w:rPr>
            <w:t>2）</w:t>
          </w:r>
          <w:r>
            <w:rPr>
              <w:szCs w:val="21"/>
            </w:rPr>
            <w:tab/>
            <w:t>保留了对该金融资产控制的，则按照其继续涉入被转移金融资产的程度继续确认有关金融资产，并相应确认相关负债。继续涉入被转移金融资产的程度，是指本公司承担的被转移金融资产价值变动风险或报酬的程度。</w:t>
          </w:r>
        </w:p>
        <w:p w14:paraId="453FCA76" w14:textId="77777777" w:rsidR="00E57DAA" w:rsidRDefault="00AC4185">
          <w:pPr>
            <w:ind w:firstLineChars="200" w:firstLine="420"/>
            <w:rPr>
              <w:szCs w:val="21"/>
            </w:rPr>
          </w:pPr>
          <w:r>
            <w:rPr>
              <w:rFonts w:hint="eastAsia"/>
              <w:szCs w:val="21"/>
            </w:rPr>
            <w:t>在判断金融资产转移是否满足上述金融资产终止确认条件时，采用实质重于形式的原则。公司将金融资产转移区分为金融资产整体转移和部分转移。</w:t>
          </w:r>
        </w:p>
        <w:p w14:paraId="3B46E59D" w14:textId="77777777" w:rsidR="00E57DAA" w:rsidRDefault="00AC4185">
          <w:pPr>
            <w:ind w:firstLineChars="200" w:firstLine="420"/>
            <w:rPr>
              <w:szCs w:val="21"/>
            </w:rPr>
          </w:pPr>
          <w:r>
            <w:rPr>
              <w:rFonts w:hint="eastAsia"/>
              <w:szCs w:val="21"/>
            </w:rPr>
            <w:t>（</w:t>
          </w:r>
          <w:r>
            <w:rPr>
              <w:szCs w:val="21"/>
            </w:rPr>
            <w:t>1）</w:t>
          </w:r>
          <w:r>
            <w:rPr>
              <w:szCs w:val="21"/>
            </w:rPr>
            <w:tab/>
            <w:t>金融资产整体转移满足终止确认条件的，将下列两项金额的差额计入当期损益：</w:t>
          </w:r>
        </w:p>
        <w:p w14:paraId="29E37C39" w14:textId="77777777" w:rsidR="00E57DAA" w:rsidRDefault="00AC4185">
          <w:pPr>
            <w:ind w:firstLineChars="200" w:firstLine="420"/>
            <w:rPr>
              <w:szCs w:val="21"/>
            </w:rPr>
          </w:pPr>
          <w:r>
            <w:rPr>
              <w:szCs w:val="21"/>
            </w:rPr>
            <w:t>1）</w:t>
          </w:r>
          <w:r>
            <w:rPr>
              <w:szCs w:val="21"/>
            </w:rPr>
            <w:tab/>
            <w:t>被转移金融资产在终止确认日的账面价值。</w:t>
          </w:r>
        </w:p>
        <w:p w14:paraId="1721556D" w14:textId="77777777" w:rsidR="00E57DAA" w:rsidRDefault="00AC4185">
          <w:pPr>
            <w:ind w:firstLineChars="200" w:firstLine="420"/>
            <w:rPr>
              <w:szCs w:val="21"/>
            </w:rPr>
          </w:pPr>
          <w:r>
            <w:rPr>
              <w:szCs w:val="21"/>
            </w:rPr>
            <w:t>2）</w:t>
          </w:r>
          <w:r>
            <w:rPr>
              <w:szCs w:val="21"/>
            </w:rPr>
            <w:tab/>
            <w:t>因转移金融资产而收到的对价，与原直接计入其他综合收益的公允价值变动累计额中对应终止确认部分的金额（涉及转移的金融资产为以公允价值计量且其变动计入其他综合收益的金融资产）之和。</w:t>
          </w:r>
        </w:p>
        <w:p w14:paraId="74D6EB58" w14:textId="77777777" w:rsidR="00E57DAA" w:rsidRDefault="00AC4185">
          <w:pPr>
            <w:ind w:firstLineChars="200" w:firstLine="420"/>
            <w:rPr>
              <w:szCs w:val="21"/>
            </w:rPr>
          </w:pPr>
          <w:r>
            <w:rPr>
              <w:rFonts w:hint="eastAsia"/>
              <w:szCs w:val="21"/>
            </w:rPr>
            <w:t>（</w:t>
          </w:r>
          <w:r>
            <w:rPr>
              <w:szCs w:val="21"/>
            </w:rPr>
            <w:t>2）</w:t>
          </w:r>
          <w:r>
            <w:rPr>
              <w:szCs w:val="21"/>
            </w:rPr>
            <w:tab/>
            <w:t>金融资产部分转移且该被转移部分整体满足终止确认条件的，将转移前金融资产整体的账面价值，在终止确认部分和继续确认部分（在此种情形下，所保留的服务资产应当视同继续确认金融资产的一部分）之间，按照转移日各自的相对公允价值进行分摊，并将下列两项金额的差额计入当期损益：</w:t>
          </w:r>
        </w:p>
        <w:p w14:paraId="740F8A5F" w14:textId="77777777" w:rsidR="00E57DAA" w:rsidRDefault="00AC4185">
          <w:pPr>
            <w:ind w:firstLineChars="200" w:firstLine="420"/>
            <w:rPr>
              <w:szCs w:val="21"/>
            </w:rPr>
          </w:pPr>
          <w:r>
            <w:rPr>
              <w:szCs w:val="21"/>
            </w:rPr>
            <w:t>1）</w:t>
          </w:r>
          <w:r>
            <w:rPr>
              <w:szCs w:val="21"/>
            </w:rPr>
            <w:tab/>
            <w:t>终止确认部分在终止确认日的账面价值。</w:t>
          </w:r>
        </w:p>
        <w:p w14:paraId="133C6503" w14:textId="77777777" w:rsidR="00E57DAA" w:rsidRDefault="00AC4185">
          <w:pPr>
            <w:ind w:firstLineChars="200" w:firstLine="420"/>
            <w:rPr>
              <w:szCs w:val="21"/>
            </w:rPr>
          </w:pPr>
          <w:r>
            <w:rPr>
              <w:szCs w:val="21"/>
            </w:rPr>
            <w:t>2）</w:t>
          </w:r>
          <w:r>
            <w:rPr>
              <w:szCs w:val="21"/>
            </w:rPr>
            <w:tab/>
            <w:t>终止确认部分收到的对价，与原计入其他综合收益的公允价值变动累计额中对应终止确认部分的金额（涉及转移的金融资产为以公允价值计量且其变动计入其他综合收益的金融资产）之和。</w:t>
          </w:r>
        </w:p>
        <w:p w14:paraId="0EFBD95E" w14:textId="77777777" w:rsidR="00E57DAA" w:rsidRDefault="00AC4185">
          <w:pPr>
            <w:ind w:firstLineChars="200" w:firstLine="420"/>
            <w:rPr>
              <w:szCs w:val="21"/>
            </w:rPr>
          </w:pPr>
          <w:r>
            <w:rPr>
              <w:rFonts w:hint="eastAsia"/>
              <w:szCs w:val="21"/>
            </w:rPr>
            <w:t>金融资产转移不满足终止确认条件的，继续确认该金融资产，所收到的对价确认为一项金融负债。</w:t>
          </w:r>
        </w:p>
        <w:p w14:paraId="6ECEA43E" w14:textId="77777777" w:rsidR="00E57DAA" w:rsidRDefault="00AC4185">
          <w:pPr>
            <w:ind w:firstLineChars="200" w:firstLine="420"/>
            <w:rPr>
              <w:szCs w:val="21"/>
            </w:rPr>
          </w:pPr>
          <w:r>
            <w:rPr>
              <w:szCs w:val="21"/>
            </w:rPr>
            <w:t>5．金融资产和金融负债公允价值的确定方法</w:t>
          </w:r>
        </w:p>
        <w:p w14:paraId="087FC81A" w14:textId="77777777" w:rsidR="00E57DAA" w:rsidRDefault="00AC4185">
          <w:pPr>
            <w:ind w:firstLineChars="200" w:firstLine="420"/>
            <w:rPr>
              <w:szCs w:val="21"/>
            </w:rPr>
          </w:pPr>
          <w:r>
            <w:rPr>
              <w:rFonts w:hint="eastAsia"/>
              <w:szCs w:val="21"/>
            </w:rPr>
            <w:t>存在活跃市场的金融资产或金融负债，以活跃市场的报价确定其公允价值，除非该项金融资产存在针对资产本身的限售期。对于针对资产本身的限售的金融资产，按照活跃市场的报价扣除市场参与者因承担指定期间内无法在公开市场上出售该金融资产的风险而要求获得的补偿金额后确定。活跃市场的报价包括易于且可定期从交易所、交易商、经纪人、行业集团、定价机构或监管机构等获得相关资产或负债的报价，且能代表在公平交易基础上实际并经常发生的市场交易。</w:t>
          </w:r>
        </w:p>
        <w:p w14:paraId="292C3E60" w14:textId="77777777" w:rsidR="00E57DAA" w:rsidRDefault="00AC4185">
          <w:pPr>
            <w:ind w:firstLineChars="200" w:firstLine="420"/>
            <w:rPr>
              <w:szCs w:val="21"/>
            </w:rPr>
          </w:pPr>
          <w:r>
            <w:rPr>
              <w:rFonts w:hint="eastAsia"/>
              <w:szCs w:val="21"/>
            </w:rPr>
            <w:t>初始取得或衍生的金融资产或承担的金融负债，以市场交易价格作为确定其公允价值的基础。</w:t>
          </w:r>
        </w:p>
        <w:p w14:paraId="2161B3CE" w14:textId="77777777" w:rsidR="00E57DAA" w:rsidRDefault="00AC4185">
          <w:pPr>
            <w:ind w:firstLineChars="200" w:firstLine="420"/>
            <w:rPr>
              <w:szCs w:val="21"/>
            </w:rPr>
          </w:pPr>
          <w:r>
            <w:rPr>
              <w:rFonts w:hint="eastAsia"/>
              <w:szCs w:val="21"/>
            </w:rPr>
            <w:t>不存在活跃市场的金融资产或金融负债，采用估值技术确定其公允价值。在估值时，本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14:paraId="3C3BB1E4" w14:textId="77777777" w:rsidR="00E57DAA" w:rsidRDefault="00AC4185">
          <w:pPr>
            <w:ind w:firstLineChars="200" w:firstLine="420"/>
            <w:rPr>
              <w:szCs w:val="21"/>
            </w:rPr>
          </w:pPr>
          <w:r>
            <w:rPr>
              <w:szCs w:val="21"/>
            </w:rPr>
            <w:t>6．金融工具减值</w:t>
          </w:r>
        </w:p>
        <w:p w14:paraId="59243950" w14:textId="77777777" w:rsidR="00E57DAA" w:rsidRDefault="00AC4185">
          <w:pPr>
            <w:ind w:firstLineChars="200" w:firstLine="420"/>
            <w:rPr>
              <w:szCs w:val="21"/>
            </w:rPr>
          </w:pPr>
          <w:r>
            <w:rPr>
              <w:rFonts w:hint="eastAsia"/>
              <w:szCs w:val="21"/>
            </w:rPr>
            <w:lastRenderedPageBreak/>
            <w:t>本公司对以摊余成本计量的金融资产以预期信用损失为基础进行减值会计处理并确认损失准备。</w:t>
          </w:r>
        </w:p>
        <w:p w14:paraId="5DB7A8D3" w14:textId="77777777" w:rsidR="00E57DAA" w:rsidRDefault="00AC4185">
          <w:pPr>
            <w:ind w:firstLineChars="200" w:firstLine="420"/>
            <w:rPr>
              <w:szCs w:val="21"/>
            </w:rPr>
          </w:pPr>
          <w:r>
            <w:rPr>
              <w:rFonts w:hint="eastAsia"/>
              <w:szCs w:val="21"/>
            </w:rPr>
            <w:t>预期信用损失，是指以发生违约的风险为权重的金融工具信用损失的加权平均值。信用损失，是指本公司按照原实际利率折现的、根据合同应收的所有合同现金流量与预期收取的所有现金流量之间的差额，即全部现金短缺的现值。其中，对于本公司购买或源生的已发生信用减值的金融资产，应按照该金融资产经信用调整的实际利率折现。</w:t>
          </w:r>
        </w:p>
        <w:p w14:paraId="69D47CAB" w14:textId="77777777" w:rsidR="00E57DAA" w:rsidRDefault="00AC4185">
          <w:pPr>
            <w:ind w:firstLineChars="200" w:firstLine="420"/>
            <w:rPr>
              <w:szCs w:val="21"/>
            </w:rPr>
          </w:pPr>
          <w:r>
            <w:rPr>
              <w:rFonts w:hint="eastAsia"/>
              <w:szCs w:val="21"/>
            </w:rPr>
            <w:t>对于购买或源生的已发生信用减值的金融资产，在资产负债表日仅将自初始确认后整个存续期内预期信用损失的累计变动确认为损失准备。在每个资产负债表日，将整个存续期内预期信用损失的变动金额作为减值损失或利得计入当期损益。即使该资产负债表日确定的整个存续期内预期信用损失小于初始确认时估计现金流量所反映的预期信用损失的金额，也将预期信用损失的有利变动确认为减值利得。</w:t>
          </w:r>
        </w:p>
        <w:p w14:paraId="17BF9A0B" w14:textId="77777777" w:rsidR="00E57DAA" w:rsidRDefault="00AC4185">
          <w:pPr>
            <w:ind w:firstLineChars="200" w:firstLine="420"/>
            <w:rPr>
              <w:szCs w:val="21"/>
            </w:rPr>
          </w:pPr>
          <w:r>
            <w:rPr>
              <w:rFonts w:hint="eastAsia"/>
              <w:szCs w:val="21"/>
            </w:rPr>
            <w:t>除上述采用简化计量方法和购买或源生的已发生信用减值以外的其他金融资产，本公司在每个资产负债表日评估相关金融工具的信用风险自初始确认后是否已显著增加，并按照下列情形分别计量其损失准备、确认预期信用损失及其变动：</w:t>
          </w:r>
        </w:p>
        <w:p w14:paraId="2C855D62" w14:textId="77777777" w:rsidR="00E57DAA" w:rsidRDefault="00AC4185">
          <w:pPr>
            <w:ind w:firstLineChars="200" w:firstLine="420"/>
            <w:rPr>
              <w:szCs w:val="21"/>
            </w:rPr>
          </w:pPr>
          <w:r>
            <w:rPr>
              <w:rFonts w:hint="eastAsia"/>
              <w:szCs w:val="21"/>
            </w:rPr>
            <w:t>（</w:t>
          </w:r>
          <w:r>
            <w:rPr>
              <w:szCs w:val="21"/>
            </w:rPr>
            <w:t>1）</w:t>
          </w:r>
          <w:r>
            <w:rPr>
              <w:szCs w:val="21"/>
            </w:rPr>
            <w:tab/>
            <w:t>如果该金融工具的信用风险自初始确认后并未显著增加，处于第一阶段，则按照相当于该金融工具未来12个月内预期信用损失的金额计量其损失准备，并按照账面余额和实际利率计算利息收入。</w:t>
          </w:r>
        </w:p>
        <w:p w14:paraId="135C33B9" w14:textId="77777777" w:rsidR="00E57DAA" w:rsidRDefault="00AC4185">
          <w:pPr>
            <w:ind w:firstLineChars="200" w:firstLine="420"/>
            <w:rPr>
              <w:szCs w:val="21"/>
            </w:rPr>
          </w:pPr>
          <w:r>
            <w:rPr>
              <w:rFonts w:hint="eastAsia"/>
              <w:szCs w:val="21"/>
            </w:rPr>
            <w:t>（</w:t>
          </w:r>
          <w:r>
            <w:rPr>
              <w:szCs w:val="21"/>
            </w:rPr>
            <w:t>2）</w:t>
          </w:r>
          <w:r>
            <w:rPr>
              <w:szCs w:val="21"/>
            </w:rPr>
            <w:tab/>
            <w:t>如果该金融工具的信用风险自初始确认后已显著增加但尚未发生信用减值的，处于第二阶段，则按照相当于该金融工具整个存续期内预期信用损失的金额计量其损失准备，并按照账面余额和实际利率计算利息收入。</w:t>
          </w:r>
        </w:p>
        <w:p w14:paraId="5338FFBF" w14:textId="77777777" w:rsidR="00E57DAA" w:rsidRDefault="00AC4185">
          <w:pPr>
            <w:ind w:firstLineChars="200" w:firstLine="420"/>
            <w:rPr>
              <w:szCs w:val="21"/>
            </w:rPr>
          </w:pPr>
          <w:r>
            <w:rPr>
              <w:rFonts w:hint="eastAsia"/>
              <w:szCs w:val="21"/>
            </w:rPr>
            <w:t>（</w:t>
          </w:r>
          <w:r>
            <w:rPr>
              <w:szCs w:val="21"/>
            </w:rPr>
            <w:t>3）</w:t>
          </w:r>
          <w:r>
            <w:rPr>
              <w:szCs w:val="21"/>
            </w:rPr>
            <w:tab/>
            <w:t>如果该金融工具自初始确认后已经发生信用减值的，处于第三阶段，本公司按照相当于该金融工具整个存续期内预期信用损失的金额计量其损失准备，并按照摊余成本和实际利率计算利息收入。</w:t>
          </w:r>
        </w:p>
        <w:p w14:paraId="4CB81D6D" w14:textId="77777777" w:rsidR="00E57DAA" w:rsidRDefault="00AC4185">
          <w:pPr>
            <w:ind w:firstLineChars="200" w:firstLine="420"/>
            <w:rPr>
              <w:szCs w:val="21"/>
            </w:rPr>
          </w:pPr>
          <w:r>
            <w:rPr>
              <w:rFonts w:hint="eastAsia"/>
              <w:szCs w:val="21"/>
            </w:rPr>
            <w:t>金融工具信用损失准备的增加或转回金额，作为减值损失或利得计入当期损益。除分类为以公允价值计量且其变动计入其他综合收益的金融资产外，信用损失准备抵减金融资产的账面余额。对于分类为以公允价值计量且其变动计入其他综合收益的金融资产，本公司在其他综合收益中确认其信用损失准备，不减少该金融资产在资产负债表中列示的账面价值。</w:t>
          </w:r>
        </w:p>
        <w:p w14:paraId="4E4DACAC" w14:textId="77777777" w:rsidR="00E57DAA" w:rsidRDefault="00AC4185">
          <w:pPr>
            <w:ind w:firstLineChars="200" w:firstLine="420"/>
            <w:rPr>
              <w:szCs w:val="21"/>
            </w:rPr>
          </w:pPr>
          <w:r>
            <w:rPr>
              <w:rFonts w:hint="eastAsia"/>
              <w:szCs w:val="21"/>
            </w:rPr>
            <w:t>本公司在前一会计期间已经按照相当于金融工具整个存续期内预期信用损失的金额计量了损失准备，但在当期资产负债表日，该金融工具已不再属于自初始确认后信用风险显著增加的情形的，本公司在当期资产负债表日按照相当于未来</w:t>
          </w:r>
          <w:r>
            <w:rPr>
              <w:szCs w:val="21"/>
            </w:rPr>
            <w:t>12个月内预期信用损失的金额计量该金融工具的损失准备，由此形成的损失准备的转回金额作为减值利得计入当期损益。</w:t>
          </w:r>
        </w:p>
        <w:p w14:paraId="14E626AB" w14:textId="77777777" w:rsidR="00E57DAA" w:rsidRDefault="00AC4185">
          <w:pPr>
            <w:ind w:firstLineChars="200" w:firstLine="420"/>
            <w:rPr>
              <w:szCs w:val="21"/>
            </w:rPr>
          </w:pPr>
          <w:r>
            <w:rPr>
              <w:rFonts w:hint="eastAsia"/>
              <w:szCs w:val="21"/>
            </w:rPr>
            <w:t>（</w:t>
          </w:r>
          <w:r>
            <w:rPr>
              <w:szCs w:val="21"/>
            </w:rPr>
            <w:t>1）</w:t>
          </w:r>
          <w:r>
            <w:rPr>
              <w:szCs w:val="21"/>
            </w:rPr>
            <w:tab/>
            <w:t>信用风险显著增加</w:t>
          </w:r>
        </w:p>
        <w:p w14:paraId="5C661BFA" w14:textId="77777777" w:rsidR="00E57DAA" w:rsidRDefault="00AC4185">
          <w:pPr>
            <w:ind w:firstLineChars="200" w:firstLine="420"/>
            <w:rPr>
              <w:szCs w:val="21"/>
            </w:rPr>
          </w:pPr>
          <w:r>
            <w:rPr>
              <w:rFonts w:hint="eastAsia"/>
              <w:szCs w:val="21"/>
            </w:rPr>
            <w:t>本公司利用可获得的合理且有依据的前瞻性信息，通过比较金融工具在资产负债表日发生违约的风险与在初始确认日发生违约的风险，以确定金融工具的信用风险自初始确认后是否已显著增加。对于财务担保合同，本公司在应用金融工具减值规定时，将本公司成为做出不可撤销承诺的一方之日作为初始确认日。</w:t>
          </w:r>
        </w:p>
        <w:p w14:paraId="544C25F4" w14:textId="77777777" w:rsidR="00E57DAA" w:rsidRDefault="00AC4185">
          <w:pPr>
            <w:ind w:firstLineChars="200" w:firstLine="420"/>
            <w:rPr>
              <w:szCs w:val="21"/>
            </w:rPr>
          </w:pPr>
          <w:r>
            <w:rPr>
              <w:rFonts w:hint="eastAsia"/>
              <w:szCs w:val="21"/>
            </w:rPr>
            <w:t>本公司在评估信用风险是否显著增加时会考虑如下因素：</w:t>
          </w:r>
        </w:p>
        <w:p w14:paraId="0858DD35" w14:textId="77777777" w:rsidR="00E57DAA" w:rsidRDefault="00AC4185">
          <w:pPr>
            <w:ind w:firstLineChars="200" w:firstLine="420"/>
            <w:rPr>
              <w:szCs w:val="21"/>
            </w:rPr>
          </w:pPr>
          <w:r>
            <w:rPr>
              <w:szCs w:val="21"/>
            </w:rPr>
            <w:t>1）</w:t>
          </w:r>
          <w:r>
            <w:rPr>
              <w:szCs w:val="21"/>
            </w:rPr>
            <w:tab/>
            <w:t>债务人经营成果实际或预期是否发生显著变化；</w:t>
          </w:r>
        </w:p>
        <w:p w14:paraId="542AEC61" w14:textId="77777777" w:rsidR="00E57DAA" w:rsidRDefault="00AC4185">
          <w:pPr>
            <w:ind w:firstLineChars="200" w:firstLine="420"/>
            <w:rPr>
              <w:szCs w:val="21"/>
            </w:rPr>
          </w:pPr>
          <w:r>
            <w:rPr>
              <w:szCs w:val="21"/>
            </w:rPr>
            <w:t>2）</w:t>
          </w:r>
          <w:r>
            <w:rPr>
              <w:szCs w:val="21"/>
            </w:rPr>
            <w:tab/>
            <w:t>债务人所处的监管、经济或技术环境是否发生显著不利变化；</w:t>
          </w:r>
        </w:p>
        <w:p w14:paraId="0DBB32F0" w14:textId="77777777" w:rsidR="00E57DAA" w:rsidRDefault="00AC4185">
          <w:pPr>
            <w:ind w:firstLineChars="200" w:firstLine="420"/>
            <w:rPr>
              <w:szCs w:val="21"/>
            </w:rPr>
          </w:pPr>
          <w:r>
            <w:rPr>
              <w:szCs w:val="21"/>
            </w:rPr>
            <w:t>3）</w:t>
          </w:r>
          <w:r>
            <w:rPr>
              <w:szCs w:val="21"/>
            </w:rPr>
            <w:tab/>
            <w:t>作为债务抵押的担保物价值或第三方提供的担保或信用增级质量是否发生显著变化，这些变化预期将降低债务人按合同规定期限还款的经济动机或者影响违约概率；</w:t>
          </w:r>
        </w:p>
        <w:p w14:paraId="619DD1AA" w14:textId="77777777" w:rsidR="00E57DAA" w:rsidRDefault="00AC4185">
          <w:pPr>
            <w:ind w:firstLineChars="200" w:firstLine="420"/>
            <w:rPr>
              <w:szCs w:val="21"/>
            </w:rPr>
          </w:pPr>
          <w:r>
            <w:rPr>
              <w:szCs w:val="21"/>
            </w:rPr>
            <w:t>4）</w:t>
          </w:r>
          <w:r>
            <w:rPr>
              <w:szCs w:val="21"/>
            </w:rPr>
            <w:tab/>
            <w:t>债务人预期表现和还款行为是否发生显著变化；</w:t>
          </w:r>
        </w:p>
        <w:p w14:paraId="7E815499" w14:textId="77777777" w:rsidR="00E57DAA" w:rsidRDefault="00AC4185">
          <w:pPr>
            <w:ind w:firstLineChars="200" w:firstLine="420"/>
            <w:rPr>
              <w:szCs w:val="21"/>
            </w:rPr>
          </w:pPr>
          <w:r>
            <w:rPr>
              <w:szCs w:val="21"/>
            </w:rPr>
            <w:t>5）</w:t>
          </w:r>
          <w:r>
            <w:rPr>
              <w:szCs w:val="21"/>
            </w:rPr>
            <w:tab/>
            <w:t>本公司对金融工具信用管理方法是否发生变化等。</w:t>
          </w:r>
        </w:p>
        <w:p w14:paraId="42977CB9" w14:textId="77777777" w:rsidR="00E57DAA" w:rsidRDefault="00AC4185">
          <w:pPr>
            <w:ind w:firstLineChars="200" w:firstLine="420"/>
            <w:rPr>
              <w:szCs w:val="21"/>
            </w:rPr>
          </w:pPr>
          <w:r>
            <w:rPr>
              <w:rFonts w:hint="eastAsia"/>
              <w:szCs w:val="21"/>
            </w:rPr>
            <w:t>于资产负债表日，若本公司判断金融工具只具有较低的信用风险，则本公司假定该金融工具的信用风险自初始确认后并未显著增加。如果金融工具的违约风险较低，借款人在短期内履行其合同现金流量义务的能力很强，并且即使较长时期内经济形势和经营环境存在不利变化，但未必一定降低借款人履行其合同现金流量义务的能力，则该金融工具被视为具有较低的信用风险。</w:t>
          </w:r>
        </w:p>
        <w:p w14:paraId="4898AAE2" w14:textId="77777777" w:rsidR="00E57DAA" w:rsidRDefault="00AC4185">
          <w:pPr>
            <w:ind w:firstLineChars="200" w:firstLine="420"/>
            <w:rPr>
              <w:szCs w:val="21"/>
            </w:rPr>
          </w:pPr>
          <w:r>
            <w:rPr>
              <w:rFonts w:hint="eastAsia"/>
              <w:szCs w:val="21"/>
            </w:rPr>
            <w:t>（</w:t>
          </w:r>
          <w:r>
            <w:rPr>
              <w:szCs w:val="21"/>
            </w:rPr>
            <w:t>2）</w:t>
          </w:r>
          <w:r>
            <w:rPr>
              <w:szCs w:val="21"/>
            </w:rPr>
            <w:tab/>
            <w:t>已发生信用减值的金融资产</w:t>
          </w:r>
        </w:p>
        <w:p w14:paraId="23E08C9A" w14:textId="77777777" w:rsidR="00E57DAA" w:rsidRDefault="00AC4185">
          <w:pPr>
            <w:ind w:firstLineChars="200" w:firstLine="420"/>
            <w:rPr>
              <w:szCs w:val="21"/>
            </w:rPr>
          </w:pPr>
          <w:r>
            <w:rPr>
              <w:rFonts w:hint="eastAsia"/>
              <w:szCs w:val="21"/>
            </w:rPr>
            <w:t>当对金融资产预期未来现金流量具有不利影响的一项或多项事件发生时，该金融资产成为已发生信用减值的金融资产。金融资产已发生信用减值的证据包括下列可观察信息：</w:t>
          </w:r>
        </w:p>
        <w:p w14:paraId="787EA404" w14:textId="77777777" w:rsidR="00E57DAA" w:rsidRDefault="00AC4185">
          <w:pPr>
            <w:ind w:firstLineChars="200" w:firstLine="420"/>
            <w:rPr>
              <w:szCs w:val="21"/>
            </w:rPr>
          </w:pPr>
          <w:r>
            <w:rPr>
              <w:szCs w:val="21"/>
            </w:rPr>
            <w:lastRenderedPageBreak/>
            <w:t>1）</w:t>
          </w:r>
          <w:r>
            <w:rPr>
              <w:szCs w:val="21"/>
            </w:rPr>
            <w:tab/>
            <w:t>发行方或债务人发生重大财务困难；</w:t>
          </w:r>
        </w:p>
        <w:p w14:paraId="2D6736E0" w14:textId="77777777" w:rsidR="00E57DAA" w:rsidRDefault="00AC4185">
          <w:pPr>
            <w:ind w:firstLineChars="200" w:firstLine="420"/>
            <w:rPr>
              <w:szCs w:val="21"/>
            </w:rPr>
          </w:pPr>
          <w:r>
            <w:rPr>
              <w:szCs w:val="21"/>
            </w:rPr>
            <w:t>2）</w:t>
          </w:r>
          <w:r>
            <w:rPr>
              <w:szCs w:val="21"/>
            </w:rPr>
            <w:tab/>
            <w:t>债务人违反合同，如偿付利息或本金违约或逾期等；</w:t>
          </w:r>
        </w:p>
        <w:p w14:paraId="6BB0E7F2" w14:textId="77777777" w:rsidR="00E57DAA" w:rsidRDefault="00AC4185">
          <w:pPr>
            <w:ind w:firstLineChars="200" w:firstLine="420"/>
            <w:rPr>
              <w:szCs w:val="21"/>
            </w:rPr>
          </w:pPr>
          <w:r>
            <w:rPr>
              <w:szCs w:val="21"/>
            </w:rPr>
            <w:t>3）</w:t>
          </w:r>
          <w:r>
            <w:rPr>
              <w:szCs w:val="21"/>
            </w:rPr>
            <w:tab/>
            <w:t>债权人出于与债务人财务困难有关的经济或合同考虑，给予债务人在任何其他情况下都不会做出的让步；</w:t>
          </w:r>
        </w:p>
        <w:p w14:paraId="7CBF0E12" w14:textId="77777777" w:rsidR="00E57DAA" w:rsidRDefault="00AC4185">
          <w:pPr>
            <w:ind w:firstLineChars="200" w:firstLine="420"/>
            <w:rPr>
              <w:szCs w:val="21"/>
            </w:rPr>
          </w:pPr>
          <w:r>
            <w:rPr>
              <w:szCs w:val="21"/>
            </w:rPr>
            <w:t>4）</w:t>
          </w:r>
          <w:r>
            <w:rPr>
              <w:szCs w:val="21"/>
            </w:rPr>
            <w:tab/>
            <w:t>债务人很可能破产或进行其他财务重组；</w:t>
          </w:r>
        </w:p>
        <w:p w14:paraId="488BBCC1" w14:textId="77777777" w:rsidR="00E57DAA" w:rsidRDefault="00AC4185">
          <w:pPr>
            <w:ind w:firstLineChars="200" w:firstLine="420"/>
            <w:rPr>
              <w:szCs w:val="21"/>
            </w:rPr>
          </w:pPr>
          <w:r>
            <w:rPr>
              <w:szCs w:val="21"/>
            </w:rPr>
            <w:t>5）</w:t>
          </w:r>
          <w:r>
            <w:rPr>
              <w:szCs w:val="21"/>
            </w:rPr>
            <w:tab/>
            <w:t>发行方或债务人财务困难导致该金融资产的活跃市场消失；</w:t>
          </w:r>
        </w:p>
        <w:p w14:paraId="33D50777" w14:textId="77777777" w:rsidR="00E57DAA" w:rsidRDefault="00AC4185">
          <w:pPr>
            <w:ind w:firstLineChars="200" w:firstLine="420"/>
            <w:rPr>
              <w:szCs w:val="21"/>
            </w:rPr>
          </w:pPr>
          <w:r>
            <w:rPr>
              <w:szCs w:val="21"/>
            </w:rPr>
            <w:t>6）</w:t>
          </w:r>
          <w:r>
            <w:rPr>
              <w:szCs w:val="21"/>
            </w:rPr>
            <w:tab/>
            <w:t>以大幅折扣购买或源生一项金融资产，该折扣反映了发生信用损失的事实。</w:t>
          </w:r>
        </w:p>
        <w:p w14:paraId="0E8C216C" w14:textId="77777777" w:rsidR="00E57DAA" w:rsidRDefault="00AC4185">
          <w:pPr>
            <w:ind w:firstLineChars="200" w:firstLine="420"/>
            <w:rPr>
              <w:szCs w:val="21"/>
            </w:rPr>
          </w:pPr>
          <w:r>
            <w:rPr>
              <w:rFonts w:hint="eastAsia"/>
              <w:szCs w:val="21"/>
            </w:rPr>
            <w:t>金融资产发生信用减值，有可能是多个事件的共同作用所致，未必是可单独识别的事件所致。</w:t>
          </w:r>
        </w:p>
        <w:p w14:paraId="30EAE0C3" w14:textId="77777777" w:rsidR="00E57DAA" w:rsidRDefault="00AC4185">
          <w:pPr>
            <w:ind w:firstLineChars="200" w:firstLine="420"/>
            <w:rPr>
              <w:szCs w:val="21"/>
            </w:rPr>
          </w:pPr>
          <w:r>
            <w:rPr>
              <w:rFonts w:hint="eastAsia"/>
              <w:szCs w:val="21"/>
            </w:rPr>
            <w:t>（</w:t>
          </w:r>
          <w:r>
            <w:rPr>
              <w:szCs w:val="21"/>
            </w:rPr>
            <w:t>3）</w:t>
          </w:r>
          <w:r>
            <w:rPr>
              <w:szCs w:val="21"/>
            </w:rPr>
            <w:tab/>
            <w:t>预期信用损失的确定</w:t>
          </w:r>
        </w:p>
        <w:p w14:paraId="3DBD58FB" w14:textId="77777777" w:rsidR="00E57DAA" w:rsidRDefault="00AC4185">
          <w:pPr>
            <w:ind w:firstLineChars="200" w:firstLine="420"/>
            <w:rPr>
              <w:szCs w:val="21"/>
            </w:rPr>
          </w:pPr>
          <w:r>
            <w:rPr>
              <w:rFonts w:hint="eastAsia"/>
              <w:szCs w:val="21"/>
            </w:rPr>
            <w:t>本公司基于单项和组合评估金融工具的预期信用损失，在评估预期信用损失时，考虑有关过去事项、当前状况以及未来经济状况预测的合理且有依据的信息。</w:t>
          </w:r>
        </w:p>
        <w:p w14:paraId="240B5B3E" w14:textId="77777777" w:rsidR="00E57DAA" w:rsidRDefault="00AC4185">
          <w:pPr>
            <w:ind w:firstLineChars="200" w:firstLine="420"/>
            <w:rPr>
              <w:szCs w:val="21"/>
            </w:rPr>
          </w:pPr>
          <w:r>
            <w:rPr>
              <w:rFonts w:hint="eastAsia"/>
              <w:szCs w:val="21"/>
            </w:rPr>
            <w:t>本公司以共同信用风险特征为依据，将金融工具分为不同组合。本公司采用的共同信用风险特征包括：金融工具类型、信用风险评级、账龄组合、逾期账龄组合、合同结算周期等。相关金融工具的单项评估标准和组合信用风险特征详见相关金融工具的会计政策。</w:t>
          </w:r>
        </w:p>
        <w:p w14:paraId="62B82CFE" w14:textId="77777777" w:rsidR="00E57DAA" w:rsidRDefault="00AC4185">
          <w:pPr>
            <w:ind w:firstLineChars="200" w:firstLine="420"/>
            <w:rPr>
              <w:szCs w:val="21"/>
            </w:rPr>
          </w:pPr>
          <w:r>
            <w:rPr>
              <w:rFonts w:hint="eastAsia"/>
              <w:szCs w:val="21"/>
            </w:rPr>
            <w:t>本公司按照下列方法确定相关金融工具的预期信用损失：</w:t>
          </w:r>
        </w:p>
        <w:p w14:paraId="4EA2F373" w14:textId="77777777" w:rsidR="00E57DAA" w:rsidRDefault="00AC4185">
          <w:pPr>
            <w:ind w:firstLineChars="200" w:firstLine="420"/>
            <w:rPr>
              <w:szCs w:val="21"/>
            </w:rPr>
          </w:pPr>
          <w:r>
            <w:rPr>
              <w:szCs w:val="21"/>
            </w:rPr>
            <w:t>1）对于金融资产，信用损失为本公司应收取的合同现金流量与预期收取的现金流量之间差额的现值。</w:t>
          </w:r>
        </w:p>
        <w:p w14:paraId="5C626130" w14:textId="77777777" w:rsidR="00E57DAA" w:rsidRDefault="00AC4185">
          <w:pPr>
            <w:ind w:firstLineChars="200" w:firstLine="420"/>
            <w:rPr>
              <w:szCs w:val="21"/>
            </w:rPr>
          </w:pPr>
          <w:r>
            <w:rPr>
              <w:szCs w:val="21"/>
            </w:rPr>
            <w:t>2）对于租赁应收款项，信用损失为本公司应收取的合同现金流量与预期收取的现金流量之间差额的现值。</w:t>
          </w:r>
        </w:p>
        <w:p w14:paraId="4537432E" w14:textId="77777777" w:rsidR="00E57DAA" w:rsidRDefault="00AC4185">
          <w:pPr>
            <w:ind w:firstLineChars="200" w:firstLine="420"/>
            <w:rPr>
              <w:szCs w:val="21"/>
            </w:rPr>
          </w:pPr>
          <w:r>
            <w:rPr>
              <w:szCs w:val="21"/>
            </w:rPr>
            <w:t>3）对于财务担保合同，信用损失为本公司就该合同持有人发生的信用损失向其做出赔付的预计付款额，减去本公司预期向该合同持有人、债务人或任何其他方收取的金额之间差额的现值。</w:t>
          </w:r>
        </w:p>
        <w:p w14:paraId="74192642" w14:textId="77777777" w:rsidR="00E57DAA" w:rsidRDefault="00AC4185">
          <w:pPr>
            <w:ind w:firstLineChars="200" w:firstLine="420"/>
            <w:rPr>
              <w:szCs w:val="21"/>
            </w:rPr>
          </w:pPr>
          <w:r>
            <w:rPr>
              <w:szCs w:val="21"/>
            </w:rPr>
            <w:t>4）对于资产负债表日已发生信用减值但并非购买或源生已发生信用减值的金融资产，信用损失为该金融资产账面余额与按原实际利率折现的估计未来现金流量的现值之间的差额。</w:t>
          </w:r>
        </w:p>
        <w:p w14:paraId="03DD970F" w14:textId="77777777" w:rsidR="00E57DAA" w:rsidRDefault="00AC4185">
          <w:pPr>
            <w:ind w:firstLineChars="200" w:firstLine="420"/>
            <w:rPr>
              <w:szCs w:val="21"/>
            </w:rPr>
          </w:pPr>
          <w:r>
            <w:rPr>
              <w:rFonts w:hint="eastAsia"/>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66F8CF46" w14:textId="77777777" w:rsidR="00E57DAA" w:rsidRDefault="00AC4185">
          <w:pPr>
            <w:ind w:firstLineChars="200" w:firstLine="420"/>
            <w:rPr>
              <w:szCs w:val="21"/>
            </w:rPr>
          </w:pPr>
          <w:r>
            <w:rPr>
              <w:rFonts w:hint="eastAsia"/>
              <w:szCs w:val="21"/>
            </w:rPr>
            <w:t>（</w:t>
          </w:r>
          <w:r>
            <w:rPr>
              <w:szCs w:val="21"/>
            </w:rPr>
            <w:t>4）</w:t>
          </w:r>
          <w:r>
            <w:rPr>
              <w:szCs w:val="21"/>
            </w:rPr>
            <w:tab/>
            <w:t>减记金融资产</w:t>
          </w:r>
        </w:p>
        <w:p w14:paraId="72348C70" w14:textId="77777777" w:rsidR="00E57DAA" w:rsidRDefault="00AC4185">
          <w:pPr>
            <w:ind w:firstLineChars="200" w:firstLine="420"/>
            <w:rPr>
              <w:szCs w:val="21"/>
            </w:rPr>
          </w:pPr>
          <w:r>
            <w:rPr>
              <w:rFonts w:hint="eastAsia"/>
              <w:szCs w:val="21"/>
            </w:rPr>
            <w:t>当本公司不再合理预期金融资产合同现金流量能够全部或部分收回的，直接减记该金融资产的账面余额。这种减记构成相关金融资产的终止确认。</w:t>
          </w:r>
        </w:p>
        <w:p w14:paraId="64FCA6FC" w14:textId="77777777" w:rsidR="00E57DAA" w:rsidRDefault="00AC4185">
          <w:pPr>
            <w:ind w:firstLineChars="200" w:firstLine="420"/>
            <w:rPr>
              <w:szCs w:val="21"/>
            </w:rPr>
          </w:pPr>
          <w:r>
            <w:rPr>
              <w:szCs w:val="21"/>
            </w:rPr>
            <w:t>7．金融资产及金融负债的抵销</w:t>
          </w:r>
        </w:p>
        <w:p w14:paraId="4B9F0CF4" w14:textId="77777777" w:rsidR="00E57DAA" w:rsidRDefault="00AC4185">
          <w:pPr>
            <w:ind w:firstLineChars="200" w:firstLine="420"/>
            <w:rPr>
              <w:szCs w:val="21"/>
            </w:rPr>
          </w:pPr>
          <w:r>
            <w:rPr>
              <w:rFonts w:hint="eastAsia"/>
              <w:szCs w:val="21"/>
            </w:rPr>
            <w:t>金融资产和金融负债在资产负债表内分别列示，没有相互抵销。但是，同时满足下列条件的，以相互抵销后的净额在资产负债表内列示：</w:t>
          </w:r>
        </w:p>
        <w:p w14:paraId="2FC0CCB3" w14:textId="77777777" w:rsidR="00E57DAA" w:rsidRDefault="00AC4185">
          <w:pPr>
            <w:ind w:firstLineChars="200" w:firstLine="420"/>
            <w:rPr>
              <w:szCs w:val="21"/>
            </w:rPr>
          </w:pPr>
          <w:r>
            <w:rPr>
              <w:rFonts w:hint="eastAsia"/>
              <w:szCs w:val="21"/>
            </w:rPr>
            <w:t>（</w:t>
          </w:r>
          <w:r>
            <w:rPr>
              <w:szCs w:val="21"/>
            </w:rPr>
            <w:t>1）本公司具有抵销已确认金额的法定权利，且该种法定权利是当前可执行的；</w:t>
          </w:r>
        </w:p>
        <w:p w14:paraId="1279C3A0" w14:textId="77777777" w:rsidR="00E57DAA" w:rsidRDefault="00AC4185">
          <w:pPr>
            <w:ind w:firstLineChars="200" w:firstLine="420"/>
            <w:rPr>
              <w:szCs w:val="21"/>
            </w:rPr>
          </w:pPr>
          <w:r>
            <w:rPr>
              <w:rFonts w:hint="eastAsia"/>
              <w:szCs w:val="21"/>
            </w:rPr>
            <w:t>（</w:t>
          </w:r>
          <w:r>
            <w:rPr>
              <w:szCs w:val="21"/>
            </w:rPr>
            <w:t>2）本公司计划以净额结算，或同时变现该金融资产和清偿该金融负债。</w:t>
          </w:r>
        </w:p>
      </w:sdtContent>
    </w:sdt>
    <w:p w14:paraId="6452875F" w14:textId="77777777" w:rsidR="00E57DAA" w:rsidRDefault="00E57DAA">
      <w:pPr>
        <w:rPr>
          <w:szCs w:val="21"/>
        </w:rPr>
      </w:pPr>
    </w:p>
    <w:p w14:paraId="4D2034D5" w14:textId="77777777" w:rsidR="00E57DAA" w:rsidRDefault="00AC4185" w:rsidP="00C25422">
      <w:pPr>
        <w:pStyle w:val="91"/>
        <w:numPr>
          <w:ilvl w:val="0"/>
          <w:numId w:val="61"/>
        </w:numPr>
      </w:pPr>
      <w:bookmarkStart w:id="168" w:name="_Hlk533667757"/>
      <w:r>
        <w:rPr>
          <w:rFonts w:hint="eastAsia"/>
        </w:rPr>
        <w:t>应收票据</w:t>
      </w:r>
    </w:p>
    <w:sdt>
      <w:sdtPr>
        <w:alias w:val="是否适用：应收票据_重要会计政策和估计[双击切换]"/>
        <w:tag w:val="_GBC_71282cbeee2f4e2784a0766b8ae627ef"/>
        <w:id w:val="1786848440"/>
        <w:placeholder>
          <w:docPart w:val="GBC22222222222222222222222222222"/>
        </w:placeholder>
      </w:sdtPr>
      <w:sdtEndPr/>
      <w:sdtContent>
        <w:p w14:paraId="6797A9B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57BA1C" w14:textId="77777777" w:rsidR="00E57DAA" w:rsidRDefault="00AC4185">
      <w:pPr>
        <w:rPr>
          <w:rFonts w:cs="Times New Roman"/>
          <w:b/>
          <w:kern w:val="2"/>
          <w:szCs w:val="28"/>
        </w:rPr>
      </w:pPr>
      <w:r>
        <w:rPr>
          <w:rFonts w:cs="Times New Roman" w:hint="eastAsia"/>
          <w:b/>
          <w:kern w:val="2"/>
          <w:szCs w:val="28"/>
        </w:rPr>
        <w:t>应收票据的预期信用损失的确定方法及会计处理方法</w:t>
      </w:r>
    </w:p>
    <w:bookmarkStart w:id="169" w:name="_Hlk152690276" w:displacedByCustomXml="next"/>
    <w:sdt>
      <w:sdtPr>
        <w:rPr>
          <w:rFonts w:hint="eastAsia"/>
          <w:szCs w:val="21"/>
        </w:rPr>
        <w:alias w:val="是否适用：应收票据的预期信用损失的确定方法及会计处理方法[双击切换]"/>
        <w:tag w:val="_GBC_b76500bf5ece4a0190aa82e1d37678af"/>
        <w:id w:val="-324290502"/>
        <w:placeholder>
          <w:docPart w:val="GBC22222222222222222222222222222"/>
        </w:placeholder>
      </w:sdtPr>
      <w:sdtEndPr/>
      <w:sdtContent>
        <w:p w14:paraId="008BA715" w14:textId="77777777" w:rsidR="00E57DAA" w:rsidRDefault="00AC418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f71dbe4e212946138d1b162f7cf661a2"/>
        <w:id w:val="-518312321"/>
        <w:placeholder>
          <w:docPart w:val="GBC22222222222222222222222222222"/>
        </w:placeholder>
      </w:sdtPr>
      <w:sdtEndPr/>
      <w:sdtContent>
        <w:p w14:paraId="08957B1E" w14:textId="77777777" w:rsidR="00E57DAA" w:rsidRDefault="00AC4185">
          <w:pPr>
            <w:ind w:firstLineChars="200" w:firstLine="420"/>
            <w:rPr>
              <w:szCs w:val="21"/>
            </w:rPr>
          </w:pPr>
          <w:r>
            <w:rPr>
              <w:rFonts w:hint="eastAsia"/>
              <w:szCs w:val="21"/>
            </w:rPr>
            <w:t>本公司对</w:t>
          </w:r>
          <w:r>
            <w:rPr>
              <w:szCs w:val="21"/>
            </w:rPr>
            <w:t>应收票据的预期信用损失的确定方法及会计处理方法详见本附注</w:t>
          </w:r>
          <w:r>
            <w:rPr>
              <w:rFonts w:hint="eastAsia"/>
              <w:szCs w:val="21"/>
            </w:rPr>
            <w:t>11、</w:t>
          </w:r>
          <w:r>
            <w:rPr>
              <w:szCs w:val="21"/>
            </w:rPr>
            <w:t>6.金融工具减值。</w:t>
          </w:r>
        </w:p>
      </w:sdtContent>
    </w:sdt>
    <w:p w14:paraId="69A0E100" w14:textId="77777777" w:rsidR="00E57DAA" w:rsidRDefault="00E57DAA">
      <w:pPr>
        <w:rPr>
          <w:szCs w:val="21"/>
        </w:rPr>
      </w:pPr>
    </w:p>
    <w:p w14:paraId="5BE49DB2" w14:textId="77777777" w:rsidR="00E57DAA" w:rsidRDefault="00AC4185">
      <w:pPr>
        <w:rPr>
          <w:rFonts w:cs="Times New Roman"/>
          <w:b/>
          <w:kern w:val="2"/>
          <w:szCs w:val="28"/>
        </w:rPr>
      </w:pPr>
      <w:r>
        <w:rPr>
          <w:rFonts w:cs="Times New Roman"/>
          <w:b/>
          <w:kern w:val="2"/>
          <w:szCs w:val="28"/>
        </w:rPr>
        <w:t>按照信用风险特征组合计提坏账准备的组合类别及确定依据</w:t>
      </w:r>
    </w:p>
    <w:bookmarkEnd w:id="168" w:displacedByCustomXml="next"/>
    <w:bookmarkEnd w:id="169" w:displacedByCustomXml="next"/>
    <w:sdt>
      <w:sdtPr>
        <w:alias w:val="是否适用：应收票据按照信用风险特征组合计提坏账准备的组合类别及确定依据[双击切换]"/>
        <w:tag w:val="_GBC_bdbc02d09982499a9db8e87f1e92519c"/>
        <w:id w:val="36631174"/>
        <w:placeholder>
          <w:docPart w:val="GBC22222222222222222222222222222"/>
        </w:placeholder>
      </w:sdtPr>
      <w:sdtEndPr/>
      <w:sdtContent>
        <w:p w14:paraId="6C828BF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按照信用风险特征组合计提坏账准备的组合类别及确定依据"/>
        <w:tag w:val="_GBC_753a33a28cdc45e4b5d0420bf9282a36"/>
        <w:id w:val="2051347963"/>
        <w:placeholder>
          <w:docPart w:val="GBC22222222222222222222222222222"/>
        </w:placeholder>
      </w:sdtPr>
      <w:sdtEndPr/>
      <w:sdtContent>
        <w:p w14:paraId="6740FF9D" w14:textId="77777777" w:rsidR="00E57DAA" w:rsidRDefault="00AC4185">
          <w:pPr>
            <w:ind w:firstLineChars="200" w:firstLine="420"/>
            <w:rPr>
              <w:szCs w:val="21"/>
            </w:rPr>
          </w:pPr>
          <w:r>
            <w:rPr>
              <w:rFonts w:hint="eastAsia"/>
              <w:szCs w:val="21"/>
            </w:rPr>
            <w:t>本公司对在单项工具层面能以合理成本评估预期信用损失的充分证据的</w:t>
          </w:r>
          <w:r>
            <w:rPr>
              <w:szCs w:val="21"/>
            </w:rPr>
            <w:t>应收票据单独确定其信用损失。</w:t>
          </w:r>
        </w:p>
        <w:p w14:paraId="439B055F" w14:textId="77777777" w:rsidR="00E57DAA" w:rsidRDefault="00AC4185">
          <w:pPr>
            <w:ind w:firstLineChars="200" w:firstLine="420"/>
            <w:rPr>
              <w:szCs w:val="21"/>
            </w:rPr>
          </w:pPr>
          <w:r>
            <w:rPr>
              <w:rFonts w:hint="eastAsia"/>
              <w:szCs w:val="21"/>
            </w:rPr>
            <w:lastRenderedPageBreak/>
            <w:t>当在单项工具层面无法以合理成本评估预期信用损失的充分证据时，本公司参考历史信用损失经验，结合当前状况以及对未来经济状况的判断，依据信用风险特征将</w:t>
          </w:r>
          <w:r>
            <w:rPr>
              <w:szCs w:val="21"/>
            </w:rPr>
            <w:tab/>
            <w:t>应收票据划分为若干组合，在组合基础上计算预期信用损失。确定组合的依据如下：</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392"/>
            <w:gridCol w:w="4447"/>
            <w:gridCol w:w="2994"/>
          </w:tblGrid>
          <w:tr w:rsidR="00E57DAA" w14:paraId="21026BF4" w14:textId="77777777">
            <w:trPr>
              <w:trHeight w:val="340"/>
            </w:trPr>
            <w:tc>
              <w:tcPr>
                <w:tcW w:w="1344" w:type="dxa"/>
                <w:shd w:val="clear" w:color="auto" w:fill="auto"/>
                <w:vAlign w:val="center"/>
              </w:tcPr>
              <w:p w14:paraId="2D29F776"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组合名称</w:t>
                </w:r>
              </w:p>
            </w:tc>
            <w:tc>
              <w:tcPr>
                <w:tcW w:w="4293" w:type="dxa"/>
                <w:shd w:val="clear" w:color="auto" w:fill="auto"/>
                <w:vAlign w:val="center"/>
              </w:tcPr>
              <w:p w14:paraId="3E073D90"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确定组合的依据</w:t>
                </w:r>
              </w:p>
            </w:tc>
            <w:tc>
              <w:tcPr>
                <w:tcW w:w="2891" w:type="dxa"/>
                <w:vAlign w:val="center"/>
              </w:tcPr>
              <w:p w14:paraId="36D19308"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计提方法</w:t>
                </w:r>
              </w:p>
            </w:tc>
          </w:tr>
          <w:tr w:rsidR="00E57DAA" w14:paraId="1DF20821" w14:textId="77777777">
            <w:trPr>
              <w:trHeight w:val="238"/>
            </w:trPr>
            <w:tc>
              <w:tcPr>
                <w:tcW w:w="1344" w:type="dxa"/>
                <w:shd w:val="clear" w:color="auto" w:fill="auto"/>
                <w:vAlign w:val="center"/>
              </w:tcPr>
              <w:p w14:paraId="74F44581"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银行承兑汇票（持有到期）</w:t>
                </w:r>
              </w:p>
            </w:tc>
            <w:tc>
              <w:tcPr>
                <w:tcW w:w="4293" w:type="dxa"/>
                <w:shd w:val="clear" w:color="auto" w:fill="auto"/>
                <w:vAlign w:val="center"/>
              </w:tcPr>
              <w:p w14:paraId="5A1B6C35"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承兑人具有较高的信用评级，历史上未发生票据违约，信用损失风险极低，在短期内履行其支付合同现金流量义务的能力很强。</w:t>
                </w:r>
              </w:p>
            </w:tc>
            <w:tc>
              <w:tcPr>
                <w:tcW w:w="2891" w:type="dxa"/>
                <w:vAlign w:val="center"/>
              </w:tcPr>
              <w:p w14:paraId="69132151" w14:textId="77777777" w:rsidR="00E57DAA" w:rsidRDefault="00AC4185">
                <w:pPr>
                  <w:widowControl w:val="0"/>
                  <w:tabs>
                    <w:tab w:val="left" w:pos="196"/>
                    <w:tab w:val="left" w:pos="426"/>
                  </w:tabs>
                  <w:snapToGrid w:val="0"/>
                  <w:rPr>
                    <w:rFonts w:ascii="Arial Narrow" w:hAnsi="Arial Narrow" w:cs="Times New Roman"/>
                    <w:kern w:val="2"/>
                    <w:sz w:val="18"/>
                    <w:szCs w:val="18"/>
                  </w:rPr>
                </w:pPr>
                <w:r>
                  <w:rPr>
                    <w:rFonts w:ascii="Arial Narrow" w:hAnsi="Arial Narrow" w:cs="Times New Roman" w:hint="eastAsia"/>
                    <w:kern w:val="2"/>
                    <w:sz w:val="18"/>
                    <w:szCs w:val="18"/>
                  </w:rPr>
                  <w:t>未发生信用减值，不计提</w:t>
                </w:r>
              </w:p>
            </w:tc>
          </w:tr>
          <w:tr w:rsidR="00E57DAA" w14:paraId="034E9F7B" w14:textId="77777777">
            <w:trPr>
              <w:trHeight w:val="238"/>
            </w:trPr>
            <w:tc>
              <w:tcPr>
                <w:tcW w:w="1344" w:type="dxa"/>
                <w:shd w:val="clear" w:color="auto" w:fill="auto"/>
                <w:vAlign w:val="center"/>
              </w:tcPr>
              <w:p w14:paraId="692E9C73"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商业承兑汇票</w:t>
                </w:r>
              </w:p>
            </w:tc>
            <w:tc>
              <w:tcPr>
                <w:tcW w:w="4293" w:type="dxa"/>
                <w:shd w:val="clear" w:color="auto" w:fill="auto"/>
                <w:vAlign w:val="center"/>
              </w:tcPr>
              <w:p w14:paraId="3C34C60A"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出票人存在信用风险和延期支付风险</w:t>
                </w:r>
              </w:p>
            </w:tc>
            <w:tc>
              <w:tcPr>
                <w:tcW w:w="2891" w:type="dxa"/>
                <w:vAlign w:val="center"/>
              </w:tcPr>
              <w:p w14:paraId="4F9E3470" w14:textId="77777777" w:rsidR="00E57DAA" w:rsidRDefault="00AC4185">
                <w:pPr>
                  <w:widowControl w:val="0"/>
                  <w:tabs>
                    <w:tab w:val="left" w:pos="196"/>
                    <w:tab w:val="left" w:pos="426"/>
                  </w:tabs>
                  <w:snapToGrid w:val="0"/>
                  <w:rPr>
                    <w:rFonts w:ascii="Arial Narrow" w:hAnsi="Arial Narrow" w:cs="Times New Roman"/>
                    <w:kern w:val="2"/>
                    <w:sz w:val="18"/>
                    <w:szCs w:val="18"/>
                  </w:rPr>
                </w:pPr>
                <w:r>
                  <w:rPr>
                    <w:rFonts w:ascii="Arial Narrow" w:hAnsi="Arial Narrow" w:cs="Times New Roman" w:hint="eastAsia"/>
                    <w:kern w:val="2"/>
                    <w:sz w:val="18"/>
                    <w:szCs w:val="18"/>
                  </w:rPr>
                  <w:t>组合为基础计量违约损失率计提</w:t>
                </w:r>
              </w:p>
            </w:tc>
          </w:tr>
        </w:tbl>
        <w:p w14:paraId="7A48EFA5" w14:textId="77777777" w:rsidR="00E57DAA" w:rsidRDefault="00EB41A1">
          <w:pPr>
            <w:rPr>
              <w:szCs w:val="21"/>
            </w:rPr>
          </w:pPr>
        </w:p>
      </w:sdtContent>
    </w:sdt>
    <w:p w14:paraId="5B1E9576" w14:textId="77777777" w:rsidR="00E57DAA" w:rsidRDefault="00E57DAA">
      <w:pPr>
        <w:rPr>
          <w:rFonts w:cs="Times New Roman"/>
          <w:b/>
          <w:bCs/>
          <w:kern w:val="2"/>
          <w:szCs w:val="28"/>
        </w:rPr>
      </w:pPr>
    </w:p>
    <w:p w14:paraId="3F58BED6" w14:textId="77777777" w:rsidR="00E57DAA" w:rsidRDefault="00AC418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票据基于账龄确认信用风险特征组合的账龄计算方法[双击切换]"/>
        <w:tag w:val="_GBC_4d2b71d4b5534e67ac5cf99b5efc3674"/>
        <w:id w:val="-1945218775"/>
        <w:placeholder>
          <w:docPart w:val="GBC22222222222222222222222222222"/>
        </w:placeholder>
      </w:sdtPr>
      <w:sdtEndPr/>
      <w:sdtContent>
        <w:p w14:paraId="4A9DF1F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581228" w14:textId="77777777" w:rsidR="00E57DAA" w:rsidRDefault="00E57DAA">
      <w:pPr>
        <w:rPr>
          <w:rFonts w:cs="Times New Roman"/>
          <w:b/>
          <w:bCs/>
          <w:kern w:val="2"/>
          <w:szCs w:val="28"/>
        </w:rPr>
      </w:pPr>
    </w:p>
    <w:p w14:paraId="55BD4D50" w14:textId="77777777" w:rsidR="00E57DAA" w:rsidRDefault="00AC4185">
      <w:pPr>
        <w:rPr>
          <w:rFonts w:cs="Times New Roman"/>
          <w:b/>
          <w:kern w:val="2"/>
          <w:szCs w:val="28"/>
        </w:rPr>
      </w:pPr>
      <w:r>
        <w:rPr>
          <w:rFonts w:cs="Times New Roman"/>
          <w:b/>
          <w:kern w:val="2"/>
          <w:szCs w:val="28"/>
        </w:rPr>
        <w:t>按照单项计提坏账准备的单项计提判断标准</w:t>
      </w:r>
    </w:p>
    <w:sdt>
      <w:sdtPr>
        <w:rPr>
          <w:szCs w:val="21"/>
        </w:rPr>
        <w:alias w:val="是否适用：应收票据按照单项计提坏账准备的单项计提判断标准[双击切换]"/>
        <w:tag w:val="_GBC_acad24dddcfb47cb8bf9995785bdb5ca"/>
        <w:id w:val="-240873892"/>
        <w:placeholder>
          <w:docPart w:val="GBC22222222222222222222222222222"/>
        </w:placeholder>
      </w:sdtPr>
      <w:sdtEndPr/>
      <w:sdtContent>
        <w:p w14:paraId="5A4BEC8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BDB130" w14:textId="77777777" w:rsidR="00E57DAA" w:rsidRDefault="00E57DAA">
      <w:pPr>
        <w:rPr>
          <w:szCs w:val="21"/>
        </w:rPr>
      </w:pPr>
    </w:p>
    <w:p w14:paraId="6143567A" w14:textId="77777777" w:rsidR="00E57DAA" w:rsidRDefault="00AC4185" w:rsidP="00C25422">
      <w:pPr>
        <w:pStyle w:val="91"/>
        <w:numPr>
          <w:ilvl w:val="0"/>
          <w:numId w:val="61"/>
        </w:numPr>
      </w:pPr>
      <w:bookmarkStart w:id="170" w:name="_Hlk533667783"/>
      <w:bookmarkStart w:id="171" w:name="_Hlk152690378"/>
      <w:r>
        <w:rPr>
          <w:rFonts w:hint="eastAsia"/>
        </w:rPr>
        <w:t>应收账款</w:t>
      </w:r>
    </w:p>
    <w:sdt>
      <w:sdtPr>
        <w:rPr>
          <w:rFonts w:hint="eastAsia"/>
        </w:rPr>
        <w:alias w:val="是否适用：应收账款_重要会计政策和估计[双击切换]"/>
        <w:tag w:val="_GBC_d0c8b3edf5e1401fa6e5edeeb4e121b6"/>
        <w:id w:val="-1378006057"/>
        <w:placeholder>
          <w:docPart w:val="GBC22222222222222222222222222222"/>
        </w:placeholder>
      </w:sdtPr>
      <w:sdtEndPr/>
      <w:sdtContent>
        <w:p w14:paraId="6F597091" w14:textId="77777777" w:rsidR="00E57DAA" w:rsidRDefault="00AC4185" w:rsidP="00C25422">
          <w:pPr>
            <w:pStyle w:val="92"/>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55405A3E" w14:textId="77777777" w:rsidR="00E57DAA" w:rsidRDefault="00AC4185">
      <w:pPr>
        <w:rPr>
          <w:rFonts w:cs="Times New Roman"/>
          <w:b/>
          <w:kern w:val="2"/>
          <w:szCs w:val="28"/>
        </w:rPr>
      </w:pPr>
      <w:r>
        <w:rPr>
          <w:rFonts w:cs="Times New Roman" w:hint="eastAsia"/>
          <w:b/>
          <w:kern w:val="2"/>
          <w:szCs w:val="28"/>
        </w:rPr>
        <w:t>应收账款的预期信用损失的确定方法及会计处理方法</w:t>
      </w:r>
    </w:p>
    <w:sdt>
      <w:sdtPr>
        <w:rPr>
          <w:szCs w:val="21"/>
        </w:rPr>
        <w:alias w:val="是否适用：应收账款的预期信用损失的确定方法及会计处理方法[双击切换]"/>
        <w:tag w:val="_GBC_479aecc603f54e2f890eb00e4d87411d"/>
        <w:id w:val="-630477400"/>
        <w:placeholder>
          <w:docPart w:val="GBC22222222222222222222222222222"/>
        </w:placeholder>
      </w:sdtPr>
      <w:sdtEndPr/>
      <w:sdtContent>
        <w:p w14:paraId="20D2E83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85f7acffebe447d585138c00d17d515c"/>
        <w:id w:val="1862008088"/>
        <w:placeholder>
          <w:docPart w:val="GBC22222222222222222222222222222"/>
        </w:placeholder>
      </w:sdtPr>
      <w:sdtEndPr/>
      <w:sdtContent>
        <w:p w14:paraId="5622A0AD" w14:textId="77777777" w:rsidR="00E57DAA" w:rsidRDefault="00AC4185">
          <w:pPr>
            <w:ind w:firstLineChars="200" w:firstLine="420"/>
            <w:rPr>
              <w:szCs w:val="21"/>
            </w:rPr>
          </w:pPr>
          <w:r>
            <w:rPr>
              <w:rFonts w:hint="eastAsia"/>
              <w:szCs w:val="21"/>
            </w:rPr>
            <w:t>本公司对应收账款的预期信用损失的确定方法及会计处理方法详见本附注11、</w:t>
          </w:r>
          <w:r>
            <w:rPr>
              <w:szCs w:val="21"/>
            </w:rPr>
            <w:t>6.金融工具减值。</w:t>
          </w:r>
        </w:p>
      </w:sdtContent>
    </w:sdt>
    <w:p w14:paraId="097AF6E0" w14:textId="77777777" w:rsidR="00E57DAA" w:rsidRDefault="00E57DAA">
      <w:pPr>
        <w:rPr>
          <w:szCs w:val="21"/>
        </w:rPr>
      </w:pPr>
    </w:p>
    <w:p w14:paraId="4D5DA3AD" w14:textId="77777777" w:rsidR="00E57DAA" w:rsidRDefault="00AC4185">
      <w:pPr>
        <w:rPr>
          <w:rFonts w:cs="Times New Roman"/>
          <w:b/>
          <w:kern w:val="2"/>
          <w:szCs w:val="28"/>
        </w:rPr>
      </w:pPr>
      <w:r>
        <w:rPr>
          <w:rFonts w:cs="Times New Roman"/>
          <w:b/>
          <w:kern w:val="2"/>
          <w:szCs w:val="28"/>
        </w:rPr>
        <w:t>按照信用风险特征组合计提坏账准备的组合类别及确定依据</w:t>
      </w:r>
    </w:p>
    <w:bookmarkEnd w:id="171" w:displacedByCustomXml="next"/>
    <w:bookmarkEnd w:id="170" w:displacedByCustomXml="next"/>
    <w:sdt>
      <w:sdtPr>
        <w:rPr>
          <w:szCs w:val="21"/>
        </w:rPr>
        <w:alias w:val="是否适用：应收账款按照信用风险特征组合计提坏账准备的组合类别及确定依据[双击切换]"/>
        <w:tag w:val="_GBC_bbe660c8a4484f56bb4d8ca560cf5f0d"/>
        <w:id w:val="-172496588"/>
        <w:placeholder>
          <w:docPart w:val="GBC22222222222222222222222222222"/>
        </w:placeholder>
      </w:sdtPr>
      <w:sdtEndPr/>
      <w:sdtContent>
        <w:p w14:paraId="1C5CF57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信用风险特征组合计提坏账准备的组合类别及确定依据"/>
        <w:tag w:val="_GBC_dc9b9edff6424bb9a8c3e45ddef1456d"/>
        <w:id w:val="-739018983"/>
        <w:placeholder>
          <w:docPart w:val="GBC22222222222222222222222222222"/>
        </w:placeholder>
      </w:sdtPr>
      <w:sdtEndPr/>
      <w:sdtContent>
        <w:p w14:paraId="3540E8D6" w14:textId="77777777" w:rsidR="00E57DAA" w:rsidRDefault="00AC4185">
          <w:pPr>
            <w:ind w:firstLineChars="200" w:firstLine="420"/>
            <w:rPr>
              <w:szCs w:val="21"/>
            </w:rPr>
          </w:pPr>
          <w:r>
            <w:rPr>
              <w:rFonts w:hint="eastAsia"/>
              <w:szCs w:val="21"/>
            </w:rPr>
            <w:t>本公司对在单项工具层面能以合理成本评估预期信用损失的充分证据的应收账款单独确定其信用损失。</w:t>
          </w:r>
        </w:p>
        <w:p w14:paraId="16312C17" w14:textId="77777777" w:rsidR="00E57DAA" w:rsidRDefault="00AC4185">
          <w:pPr>
            <w:ind w:firstLineChars="200" w:firstLine="420"/>
            <w:rPr>
              <w:szCs w:val="21"/>
            </w:rPr>
          </w:pPr>
          <w:r>
            <w:rPr>
              <w:rFonts w:hint="eastAsia"/>
              <w:szCs w:val="21"/>
            </w:rPr>
            <w:t>当在单项工具层面无法以合理成本评估预期信用损失的充分证据时，本公司参考历史信用损失经验，结合当前状况以及对未来经济状况的判断，依据信用风险特征将应收账款划分为若干组合，在组合基础上计算预期信用损失。确定组合的依据如下：</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874"/>
            <w:gridCol w:w="3965"/>
            <w:gridCol w:w="2994"/>
          </w:tblGrid>
          <w:tr w:rsidR="00E57DAA" w14:paraId="288F1D51" w14:textId="77777777">
            <w:trPr>
              <w:trHeight w:val="340"/>
            </w:trPr>
            <w:tc>
              <w:tcPr>
                <w:tcW w:w="1809" w:type="dxa"/>
                <w:shd w:val="clear" w:color="auto" w:fill="auto"/>
                <w:vAlign w:val="center"/>
              </w:tcPr>
              <w:p w14:paraId="777539BB"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组合名称</w:t>
                </w:r>
              </w:p>
            </w:tc>
            <w:tc>
              <w:tcPr>
                <w:tcW w:w="3828" w:type="dxa"/>
                <w:shd w:val="clear" w:color="auto" w:fill="auto"/>
                <w:vAlign w:val="center"/>
              </w:tcPr>
              <w:p w14:paraId="6734B0CB"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确定组合的依据</w:t>
                </w:r>
              </w:p>
            </w:tc>
            <w:tc>
              <w:tcPr>
                <w:tcW w:w="2891" w:type="dxa"/>
                <w:vAlign w:val="center"/>
              </w:tcPr>
              <w:p w14:paraId="6B6F514E" w14:textId="77777777" w:rsidR="00E57DAA" w:rsidRDefault="00AC4185">
                <w:pPr>
                  <w:widowControl w:val="0"/>
                  <w:tabs>
                    <w:tab w:val="left" w:pos="196"/>
                    <w:tab w:val="left" w:pos="426"/>
                  </w:tabs>
                  <w:snapToGrid w:val="0"/>
                  <w:jc w:val="center"/>
                  <w:rPr>
                    <w:rFonts w:ascii="Arial Narrow" w:hAnsi="Arial Narrow" w:cs="Times New Roman"/>
                    <w:kern w:val="2"/>
                    <w:sz w:val="18"/>
                    <w:szCs w:val="18"/>
                  </w:rPr>
                </w:pPr>
                <w:r>
                  <w:rPr>
                    <w:rFonts w:ascii="Arial Narrow" w:hAnsi="Arial Narrow" w:cs="Times New Roman" w:hint="eastAsia"/>
                    <w:kern w:val="2"/>
                    <w:sz w:val="18"/>
                    <w:szCs w:val="18"/>
                  </w:rPr>
                  <w:t>计提方法</w:t>
                </w:r>
              </w:p>
            </w:tc>
          </w:tr>
          <w:tr w:rsidR="00E57DAA" w14:paraId="246B6C42" w14:textId="77777777">
            <w:trPr>
              <w:trHeight w:val="340"/>
            </w:trPr>
            <w:tc>
              <w:tcPr>
                <w:tcW w:w="1809" w:type="dxa"/>
                <w:shd w:val="clear" w:color="auto" w:fill="auto"/>
                <w:vAlign w:val="center"/>
              </w:tcPr>
              <w:p w14:paraId="15646932"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合并范围内关联方</w:t>
                </w:r>
              </w:p>
            </w:tc>
            <w:tc>
              <w:tcPr>
                <w:tcW w:w="3828" w:type="dxa"/>
                <w:shd w:val="clear" w:color="auto" w:fill="auto"/>
                <w:vAlign w:val="center"/>
              </w:tcPr>
              <w:p w14:paraId="4824628E"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本公司合并范围内各关联方之间的应收账款</w:t>
                </w:r>
              </w:p>
            </w:tc>
            <w:tc>
              <w:tcPr>
                <w:tcW w:w="2891" w:type="dxa"/>
                <w:vAlign w:val="center"/>
              </w:tcPr>
              <w:p w14:paraId="36E5AEB0" w14:textId="77777777" w:rsidR="00E57DAA" w:rsidRDefault="00AC4185">
                <w:pPr>
                  <w:widowControl w:val="0"/>
                  <w:tabs>
                    <w:tab w:val="left" w:pos="196"/>
                    <w:tab w:val="left" w:pos="426"/>
                  </w:tabs>
                  <w:snapToGrid w:val="0"/>
                  <w:rPr>
                    <w:rFonts w:ascii="Arial Narrow" w:hAnsi="Arial Narrow" w:cs="Times New Roman"/>
                    <w:kern w:val="2"/>
                    <w:sz w:val="18"/>
                    <w:szCs w:val="18"/>
                  </w:rPr>
                </w:pPr>
                <w:r>
                  <w:rPr>
                    <w:rFonts w:ascii="Arial Narrow" w:hAnsi="Arial Narrow" w:cs="Times New Roman" w:hint="eastAsia"/>
                    <w:kern w:val="2"/>
                    <w:sz w:val="18"/>
                    <w:szCs w:val="18"/>
                  </w:rPr>
                  <w:t>未发生信用减值，不计提</w:t>
                </w:r>
              </w:p>
            </w:tc>
          </w:tr>
          <w:tr w:rsidR="00E57DAA" w14:paraId="62DC16D1" w14:textId="77777777">
            <w:trPr>
              <w:trHeight w:val="340"/>
            </w:trPr>
            <w:tc>
              <w:tcPr>
                <w:tcW w:w="1809" w:type="dxa"/>
                <w:shd w:val="clear" w:color="auto" w:fill="auto"/>
                <w:vAlign w:val="center"/>
              </w:tcPr>
              <w:p w14:paraId="4824DD0B"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账龄组合</w:t>
                </w:r>
              </w:p>
            </w:tc>
            <w:tc>
              <w:tcPr>
                <w:tcW w:w="3828" w:type="dxa"/>
                <w:shd w:val="clear" w:color="auto" w:fill="auto"/>
                <w:vAlign w:val="center"/>
              </w:tcPr>
              <w:p w14:paraId="4940CA42" w14:textId="77777777" w:rsidR="00E57DAA" w:rsidRDefault="00AC4185">
                <w:pPr>
                  <w:widowControl w:val="0"/>
                  <w:tabs>
                    <w:tab w:val="left" w:pos="196"/>
                    <w:tab w:val="left" w:pos="426"/>
                  </w:tabs>
                  <w:snapToGrid w:val="0"/>
                  <w:jc w:val="both"/>
                  <w:rPr>
                    <w:rFonts w:ascii="Arial Narrow" w:hAnsi="Arial Narrow" w:cs="Times New Roman"/>
                    <w:kern w:val="2"/>
                    <w:sz w:val="18"/>
                    <w:szCs w:val="18"/>
                  </w:rPr>
                </w:pPr>
                <w:r>
                  <w:rPr>
                    <w:rFonts w:ascii="Arial Narrow" w:hAnsi="Arial Narrow" w:cs="Times New Roman" w:hint="eastAsia"/>
                    <w:kern w:val="2"/>
                    <w:sz w:val="18"/>
                    <w:szCs w:val="18"/>
                  </w:rPr>
                  <w:t>非合并范围内关联方应收账款</w:t>
                </w:r>
              </w:p>
            </w:tc>
            <w:tc>
              <w:tcPr>
                <w:tcW w:w="2891" w:type="dxa"/>
                <w:vAlign w:val="center"/>
              </w:tcPr>
              <w:p w14:paraId="559C28F5" w14:textId="77777777" w:rsidR="00E57DAA" w:rsidRDefault="00AC4185">
                <w:pPr>
                  <w:widowControl w:val="0"/>
                  <w:tabs>
                    <w:tab w:val="left" w:pos="196"/>
                    <w:tab w:val="left" w:pos="426"/>
                  </w:tabs>
                  <w:snapToGrid w:val="0"/>
                  <w:rPr>
                    <w:rFonts w:ascii="Arial Narrow" w:hAnsi="Arial Narrow" w:cs="Times New Roman"/>
                    <w:kern w:val="2"/>
                    <w:sz w:val="18"/>
                    <w:szCs w:val="18"/>
                  </w:rPr>
                </w:pPr>
                <w:r>
                  <w:rPr>
                    <w:rFonts w:ascii="Arial Narrow" w:hAnsi="Arial Narrow" w:cs="Times New Roman" w:hint="eastAsia"/>
                    <w:kern w:val="2"/>
                    <w:sz w:val="18"/>
                    <w:szCs w:val="18"/>
                  </w:rPr>
                  <w:t>组合为基础计量违约损失率计提</w:t>
                </w:r>
              </w:p>
            </w:tc>
          </w:tr>
        </w:tbl>
        <w:p w14:paraId="30644BA2" w14:textId="77777777" w:rsidR="00E57DAA" w:rsidRDefault="00EB41A1">
          <w:pPr>
            <w:rPr>
              <w:szCs w:val="21"/>
            </w:rPr>
          </w:pPr>
        </w:p>
      </w:sdtContent>
    </w:sdt>
    <w:p w14:paraId="12B65B6C" w14:textId="77777777" w:rsidR="00E57DAA" w:rsidRDefault="00AC418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账款基于账龄确认信用风险特征组合的账龄计算方法[双击切换]"/>
        <w:tag w:val="_GBC_a894190385984ab79eb47091bc48cf44"/>
        <w:id w:val="1609240550"/>
        <w:placeholder>
          <w:docPart w:val="GBC22222222222222222222222222222"/>
        </w:placeholder>
      </w:sdtPr>
      <w:sdtEndPr/>
      <w:sdtContent>
        <w:p w14:paraId="78DE025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0CC813" w14:textId="77777777" w:rsidR="00E57DAA" w:rsidRDefault="00E57DAA">
      <w:pPr>
        <w:rPr>
          <w:rFonts w:cs="Times New Roman"/>
          <w:b/>
          <w:bCs/>
          <w:kern w:val="2"/>
          <w:szCs w:val="28"/>
        </w:rPr>
      </w:pPr>
    </w:p>
    <w:p w14:paraId="1D648680" w14:textId="77777777" w:rsidR="00E57DAA" w:rsidRDefault="00AC4185">
      <w:pPr>
        <w:rPr>
          <w:rFonts w:cs="Times New Roman"/>
          <w:b/>
          <w:kern w:val="2"/>
          <w:szCs w:val="28"/>
        </w:rPr>
      </w:pPr>
      <w:r>
        <w:rPr>
          <w:rFonts w:cs="Times New Roman"/>
          <w:b/>
          <w:kern w:val="2"/>
          <w:szCs w:val="28"/>
        </w:rPr>
        <w:t>按照单项计提坏账准备的认定单项计提判断标准</w:t>
      </w:r>
    </w:p>
    <w:sdt>
      <w:sdtPr>
        <w:rPr>
          <w:szCs w:val="21"/>
        </w:rPr>
        <w:alias w:val="是否适用：应收账款按照单项计提坏账准备的单项计提判断标准[双击切换]"/>
        <w:tag w:val="_GBC_f7afe786f25942689e4acaa1b3bcb415"/>
        <w:id w:val="1126439461"/>
        <w:placeholder>
          <w:docPart w:val="GBC22222222222222222222222222222"/>
        </w:placeholder>
      </w:sdtPr>
      <w:sdtEndPr/>
      <w:sdtContent>
        <w:p w14:paraId="3488B13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048211" w14:textId="77777777" w:rsidR="00E57DAA" w:rsidRDefault="00E57DAA">
      <w:pPr>
        <w:rPr>
          <w:szCs w:val="21"/>
        </w:rPr>
      </w:pPr>
    </w:p>
    <w:p w14:paraId="76FED19D" w14:textId="77777777" w:rsidR="00E57DAA" w:rsidRDefault="00AC4185" w:rsidP="00C25422">
      <w:pPr>
        <w:pStyle w:val="91"/>
        <w:numPr>
          <w:ilvl w:val="0"/>
          <w:numId w:val="61"/>
        </w:numPr>
      </w:pPr>
      <w:bookmarkStart w:id="172" w:name="_Hlk24102310"/>
      <w:bookmarkStart w:id="173" w:name="_Hlk152690443"/>
      <w:r>
        <w:rPr>
          <w:rFonts w:hint="eastAsia"/>
        </w:rPr>
        <w:t>应收款项融资</w:t>
      </w:r>
    </w:p>
    <w:sdt>
      <w:sdtPr>
        <w:alias w:val="是否适用：应收款项融资_重要会计政策和估计[双击切换]"/>
        <w:tag w:val="_GBC_a2e41ba19b9541d683d17977f5a0e631"/>
        <w:id w:val="1245075432"/>
        <w:placeholder>
          <w:docPart w:val="GBC22222222222222222222222222222"/>
        </w:placeholder>
      </w:sdtPr>
      <w:sdtEndPr/>
      <w:sdtContent>
        <w:p w14:paraId="28BC759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2"/>
    <w:p w14:paraId="60F7D794" w14:textId="77777777" w:rsidR="00E57DAA" w:rsidRDefault="00AC4185">
      <w:pPr>
        <w:rPr>
          <w:b/>
        </w:rPr>
      </w:pPr>
      <w:r>
        <w:rPr>
          <w:rFonts w:hint="eastAsia"/>
          <w:b/>
        </w:rPr>
        <w:t>应收款项融资预期信用损失的确定方法及会计处理方法</w:t>
      </w:r>
    </w:p>
    <w:sdt>
      <w:sdtPr>
        <w:alias w:val="是否适用：应收款项融资预期信用损失的确定方法及会计处理方法[双击切换]"/>
        <w:tag w:val="_GBC_9205d8eaf1c5457692563a4254ccea71"/>
        <w:id w:val="-1005671208"/>
        <w:placeholder>
          <w:docPart w:val="GBC22222222222222222222222222222"/>
        </w:placeholder>
      </w:sdtPr>
      <w:sdtEndPr/>
      <w:sdtContent>
        <w:p w14:paraId="1F162BA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预期信用损失的确定方法及会计处理方法"/>
        <w:tag w:val="_GBC_d494628058d042838722bba8257b3e12"/>
        <w:id w:val="1185094662"/>
        <w:placeholder>
          <w:docPart w:val="GBC22222222222222222222222222222"/>
        </w:placeholder>
      </w:sdtPr>
      <w:sdtEndPr/>
      <w:sdtContent>
        <w:p w14:paraId="30963655" w14:textId="77777777" w:rsidR="00E57DAA" w:rsidRDefault="00AC4185">
          <w:pPr>
            <w:ind w:firstLineChars="200" w:firstLine="420"/>
          </w:pPr>
          <w:r>
            <w:rPr>
              <w:rFonts w:hint="eastAsia"/>
            </w:rPr>
            <w:t>分类为以公允价值计量且其变动计入其他综合收益的应收票据，自初始确认日起到期期限在一年内（含一年）的，列示为应收款项融资；自初始确认日起到期期限在一年以上的，列示为其他债权投资。其相关会计政策详见本附注11。</w:t>
          </w:r>
        </w:p>
      </w:sdtContent>
    </w:sdt>
    <w:p w14:paraId="0DAF3459" w14:textId="77777777" w:rsidR="00E57DAA" w:rsidRDefault="00E57DAA" w:rsidP="00C25422">
      <w:pPr>
        <w:pStyle w:val="92"/>
      </w:pPr>
    </w:p>
    <w:p w14:paraId="1577E92A" w14:textId="77777777" w:rsidR="00E57DAA" w:rsidRDefault="00AC4185">
      <w:pPr>
        <w:rPr>
          <w:rFonts w:cs="Times New Roman"/>
          <w:b/>
          <w:kern w:val="2"/>
          <w:szCs w:val="28"/>
        </w:rPr>
      </w:pPr>
      <w:r>
        <w:rPr>
          <w:rFonts w:cs="Times New Roman"/>
          <w:b/>
          <w:kern w:val="2"/>
          <w:szCs w:val="28"/>
        </w:rPr>
        <w:t>按照信用风险特征组合计提坏账准备的组合类别及确定依据</w:t>
      </w:r>
    </w:p>
    <w:bookmarkEnd w:id="173" w:displacedByCustomXml="next"/>
    <w:sdt>
      <w:sdtPr>
        <w:rPr>
          <w:szCs w:val="21"/>
        </w:rPr>
        <w:alias w:val="是否适用：应收款项融资按照信用风险特征组合计提坏账准备的组合类别及确定依据[双击切换]"/>
        <w:tag w:val="_GBC_96c4eeead8b040d79bbd069f3f4f2aec"/>
        <w:id w:val="1851601238"/>
        <w:placeholder>
          <w:docPart w:val="GBC22222222222222222222222222222"/>
        </w:placeholder>
      </w:sdtPr>
      <w:sdtEndPr/>
      <w:sdtContent>
        <w:p w14:paraId="3438B7E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信用风险特征组合计提坏账准备的组合类别及确定依据"/>
        <w:tag w:val="_GBC_37ff5d8320ca45f099eeaeeaaf6f1232"/>
        <w:id w:val="73026220"/>
        <w:placeholder>
          <w:docPart w:val="GBC22222222222222222222222222222"/>
        </w:placeholder>
      </w:sdtPr>
      <w:sdtEndPr/>
      <w:sdtContent>
        <w:p w14:paraId="7EF3722D" w14:textId="77777777" w:rsidR="00E57DAA" w:rsidRDefault="00AC4185">
          <w:pPr>
            <w:ind w:firstLineChars="200" w:firstLine="420"/>
            <w:rPr>
              <w:szCs w:val="21"/>
            </w:rPr>
          </w:pPr>
          <w:r>
            <w:rPr>
              <w:rFonts w:hint="eastAsia"/>
              <w:szCs w:val="21"/>
            </w:rPr>
            <w:t>本公司对应收款项融资的预期信用损失的确定方法及会计处理方法详见本附注11、</w:t>
          </w:r>
          <w:r>
            <w:rPr>
              <w:szCs w:val="21"/>
            </w:rPr>
            <w:t>6.金融工具减值。</w:t>
          </w:r>
        </w:p>
      </w:sdtContent>
    </w:sdt>
    <w:p w14:paraId="5C702C12" w14:textId="77777777" w:rsidR="00E57DAA" w:rsidRDefault="00E57DAA">
      <w:pPr>
        <w:rPr>
          <w:rFonts w:cs="Times New Roman"/>
          <w:b/>
          <w:bCs/>
          <w:kern w:val="2"/>
          <w:szCs w:val="28"/>
        </w:rPr>
      </w:pPr>
    </w:p>
    <w:p w14:paraId="565794F7" w14:textId="77777777" w:rsidR="00E57DAA" w:rsidRDefault="00AC418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款项融资基于账龄确认信用风险特征组合的账龄计算方法[双击切换]"/>
        <w:tag w:val="_GBC_6088373057ea4aacb1a49ee381004fee"/>
        <w:id w:val="253940903"/>
        <w:placeholder>
          <w:docPart w:val="GBC22222222222222222222222222222"/>
        </w:placeholder>
      </w:sdtPr>
      <w:sdtEndPr/>
      <w:sdtContent>
        <w:p w14:paraId="78FAAD2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D2BBAA" w14:textId="77777777" w:rsidR="00E57DAA" w:rsidRDefault="00E57DAA">
      <w:pPr>
        <w:rPr>
          <w:rFonts w:cs="Times New Roman"/>
          <w:b/>
          <w:bCs/>
          <w:kern w:val="2"/>
          <w:szCs w:val="28"/>
        </w:rPr>
      </w:pPr>
    </w:p>
    <w:p w14:paraId="06764FA3" w14:textId="77777777" w:rsidR="00E57DAA" w:rsidRDefault="00AC4185">
      <w:pPr>
        <w:rPr>
          <w:rFonts w:cs="Times New Roman"/>
          <w:b/>
          <w:kern w:val="2"/>
          <w:szCs w:val="28"/>
        </w:rPr>
      </w:pPr>
      <w:r>
        <w:rPr>
          <w:rFonts w:cs="Times New Roman"/>
          <w:b/>
          <w:kern w:val="2"/>
          <w:szCs w:val="28"/>
        </w:rPr>
        <w:t>按照单项计提坏账准备的单项计提判断标准</w:t>
      </w:r>
    </w:p>
    <w:sdt>
      <w:sdtPr>
        <w:rPr>
          <w:szCs w:val="21"/>
        </w:rPr>
        <w:alias w:val="是否适用：应收款项融资按照单项计提坏账准备的单项计提判断标准[双击切换]"/>
        <w:tag w:val="_GBC_ee8c0fdee21e477387bf47d167b126ff"/>
        <w:id w:val="1808657206"/>
        <w:placeholder>
          <w:docPart w:val="GBC22222222222222222222222222222"/>
        </w:placeholder>
      </w:sdtPr>
      <w:sdtEndPr/>
      <w:sdtContent>
        <w:p w14:paraId="03D9E2C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DCC4FA" w14:textId="77777777" w:rsidR="00E57DAA" w:rsidRDefault="00E57DAA" w:rsidP="00C25422">
      <w:pPr>
        <w:pStyle w:val="92"/>
      </w:pPr>
    </w:p>
    <w:p w14:paraId="287D93DF" w14:textId="77777777" w:rsidR="00E57DAA" w:rsidRDefault="00AC4185" w:rsidP="00C25422">
      <w:pPr>
        <w:pStyle w:val="91"/>
        <w:numPr>
          <w:ilvl w:val="0"/>
          <w:numId w:val="61"/>
        </w:numPr>
      </w:pPr>
      <w:bookmarkStart w:id="174" w:name="_Hlk533667836"/>
      <w:r>
        <w:rPr>
          <w:rFonts w:hint="eastAsia"/>
        </w:rPr>
        <w:t>其他应收款</w:t>
      </w:r>
    </w:p>
    <w:sdt>
      <w:sdtPr>
        <w:rPr>
          <w:rFonts w:hint="eastAsia"/>
        </w:rPr>
        <w:alias w:val="是否适用：其他应收款_重要会计政策和估计[双击切换]"/>
        <w:tag w:val="_GBC_bd9572d7068940d78105aa21662a4f54"/>
        <w:id w:val="-542676905"/>
        <w:placeholder>
          <w:docPart w:val="GBC22222222222222222222222222222"/>
        </w:placeholder>
      </w:sdtPr>
      <w:sdtEndPr/>
      <w:sdtContent>
        <w:p w14:paraId="749E9ECF" w14:textId="77777777" w:rsidR="00E57DAA" w:rsidRDefault="00AC4185" w:rsidP="00C25422">
          <w:pPr>
            <w:pStyle w:val="92"/>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43F7260" w14:textId="77777777" w:rsidR="00E57DAA" w:rsidRDefault="00AC4185">
      <w:pPr>
        <w:rPr>
          <w:rFonts w:cs="Times New Roman"/>
          <w:b/>
          <w:kern w:val="2"/>
          <w:szCs w:val="28"/>
        </w:rPr>
      </w:pPr>
      <w:r>
        <w:rPr>
          <w:rFonts w:cs="Times New Roman" w:hint="eastAsia"/>
          <w:b/>
          <w:kern w:val="2"/>
          <w:szCs w:val="28"/>
        </w:rPr>
        <w:t>其他应收款</w:t>
      </w:r>
      <w:r>
        <w:rPr>
          <w:rFonts w:cs="Times New Roman"/>
          <w:b/>
          <w:kern w:val="2"/>
          <w:szCs w:val="28"/>
        </w:rPr>
        <w:t>预期信用损失的确定方法及会计处理方法</w:t>
      </w:r>
    </w:p>
    <w:sdt>
      <w:sdtPr>
        <w:rPr>
          <w:szCs w:val="21"/>
        </w:rPr>
        <w:alias w:val="是否适用：其他应收款预期信用损失的确定方法及会计处理方法[双击切换]"/>
        <w:tag w:val="_GBC_d0c5c796c0ac47848c0907121820cf83"/>
        <w:id w:val="546414824"/>
        <w:placeholder>
          <w:docPart w:val="GBC22222222222222222222222222222"/>
        </w:placeholder>
      </w:sdtPr>
      <w:sdtEndPr/>
      <w:sdtContent>
        <w:p w14:paraId="1113741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586394" w14:textId="77777777" w:rsidR="00E57DAA" w:rsidRDefault="00EB41A1">
      <w:pPr>
        <w:ind w:firstLineChars="200" w:firstLine="420"/>
        <w:rPr>
          <w:szCs w:val="21"/>
        </w:rPr>
      </w:pPr>
      <w:sdt>
        <w:sdtPr>
          <w:rPr>
            <w:szCs w:val="21"/>
          </w:rPr>
          <w:alias w:val="其他应收款预期信用损失的确定方法及会计处理方法"/>
          <w:tag w:val="_GBC_d89fd8b99fb74b308080a3d007b66530"/>
          <w:id w:val="935488174"/>
          <w:placeholder>
            <w:docPart w:val="GBC22222222222222222222222222222"/>
          </w:placeholder>
        </w:sdtPr>
        <w:sdtEndPr/>
        <w:sdtContent>
          <w:r w:rsidR="00AC4185">
            <w:rPr>
              <w:rFonts w:hint="eastAsia"/>
              <w:szCs w:val="21"/>
            </w:rPr>
            <w:t>本公司对其他应收款的预期信用损失的确定方法及会计处理方法详见本附注11、</w:t>
          </w:r>
          <w:r w:rsidR="00AC4185">
            <w:rPr>
              <w:szCs w:val="21"/>
            </w:rPr>
            <w:t>6.金融工具减值。</w:t>
          </w:r>
        </w:sdtContent>
      </w:sdt>
    </w:p>
    <w:p w14:paraId="03F0EF79" w14:textId="77777777" w:rsidR="00E57DAA" w:rsidRDefault="00E57DAA">
      <w:pPr>
        <w:rPr>
          <w:szCs w:val="21"/>
        </w:rPr>
      </w:pPr>
    </w:p>
    <w:p w14:paraId="4D1FAC1B" w14:textId="77777777" w:rsidR="00E57DAA" w:rsidRDefault="00AC4185">
      <w:pPr>
        <w:rPr>
          <w:rFonts w:cs="Times New Roman"/>
          <w:b/>
          <w:kern w:val="2"/>
          <w:szCs w:val="28"/>
        </w:rPr>
      </w:pPr>
      <w:r>
        <w:rPr>
          <w:rFonts w:cs="Times New Roman"/>
          <w:b/>
          <w:kern w:val="2"/>
          <w:szCs w:val="28"/>
        </w:rPr>
        <w:t>按照信用风险特征组合计提坏账准备的组合类别及确定依据</w:t>
      </w:r>
    </w:p>
    <w:bookmarkEnd w:id="174" w:displacedByCustomXml="next"/>
    <w:sdt>
      <w:sdtPr>
        <w:rPr>
          <w:szCs w:val="21"/>
        </w:rPr>
        <w:alias w:val="是否适用：其他应收款按照信用风险特征组合计提坏账准备的组合类别及确定依据[双击切换]"/>
        <w:tag w:val="_GBC_f39444fc293a46c5ae832091674d34c9"/>
        <w:id w:val="-252205569"/>
        <w:placeholder>
          <w:docPart w:val="GBC22222222222222222222222222222"/>
        </w:placeholder>
      </w:sdtPr>
      <w:sdtEndPr/>
      <w:sdtContent>
        <w:p w14:paraId="531A55A9"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信用风险特征组合计提坏账准备的组合类别及确定依据"/>
        <w:tag w:val="_GBC_6ff0352272b24125ac1ff7ce3ba2aa3b"/>
        <w:id w:val="-1982222747"/>
        <w:placeholder>
          <w:docPart w:val="GBC22222222222222222222222222222"/>
        </w:placeholder>
      </w:sdtPr>
      <w:sdtEndPr/>
      <w:sdtContent>
        <w:p w14:paraId="345503AB" w14:textId="77777777" w:rsidR="00E57DAA" w:rsidRDefault="00AC4185">
          <w:pPr>
            <w:ind w:firstLineChars="200" w:firstLine="420"/>
            <w:rPr>
              <w:szCs w:val="21"/>
            </w:rPr>
          </w:pPr>
          <w:r>
            <w:rPr>
              <w:rFonts w:hint="eastAsia"/>
              <w:szCs w:val="21"/>
            </w:rPr>
            <w:t>本公司对在单项工具层面能以合理成本评估预期信用损失的充分证据的其他应收款单独确定其信用损失。</w:t>
          </w:r>
        </w:p>
        <w:p w14:paraId="3C7A97B4" w14:textId="77777777" w:rsidR="00E57DAA" w:rsidRDefault="00AC4185">
          <w:pPr>
            <w:ind w:firstLineChars="200" w:firstLine="420"/>
            <w:rPr>
              <w:szCs w:val="21"/>
            </w:rPr>
          </w:pPr>
          <w:r>
            <w:rPr>
              <w:rFonts w:hint="eastAsia"/>
              <w:szCs w:val="21"/>
            </w:rPr>
            <w:t>当在单项工具层面无法以合理成本评估预期信用损失的充分证据时，本公司参考历史信用损失经验，结合当前状况以及对未来经济状况的判断，依据信用风险特征将其他应收款划分为若干组合，在组合基础上计算预期信用损失。确定组合的依据如下：</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321"/>
            <w:gridCol w:w="3320"/>
            <w:gridCol w:w="3192"/>
          </w:tblGrid>
          <w:tr w:rsidR="00E57DAA" w14:paraId="4F0358BE" w14:textId="77777777">
            <w:trPr>
              <w:trHeight w:val="340"/>
            </w:trPr>
            <w:tc>
              <w:tcPr>
                <w:tcW w:w="2376" w:type="dxa"/>
                <w:shd w:val="clear" w:color="auto" w:fill="auto"/>
                <w:vAlign w:val="center"/>
              </w:tcPr>
              <w:p w14:paraId="461AB366" w14:textId="77777777" w:rsidR="00E57DAA" w:rsidRDefault="00AC4185">
                <w:pPr>
                  <w:rPr>
                    <w:szCs w:val="21"/>
                  </w:rPr>
                </w:pPr>
                <w:r>
                  <w:rPr>
                    <w:rFonts w:hint="eastAsia"/>
                    <w:szCs w:val="21"/>
                  </w:rPr>
                  <w:t>组合名称</w:t>
                </w:r>
              </w:p>
            </w:tc>
            <w:tc>
              <w:tcPr>
                <w:tcW w:w="3402" w:type="dxa"/>
                <w:shd w:val="clear" w:color="auto" w:fill="auto"/>
                <w:vAlign w:val="center"/>
              </w:tcPr>
              <w:p w14:paraId="09613630" w14:textId="77777777" w:rsidR="00E57DAA" w:rsidRDefault="00AC4185">
                <w:pPr>
                  <w:rPr>
                    <w:szCs w:val="21"/>
                  </w:rPr>
                </w:pPr>
                <w:r>
                  <w:rPr>
                    <w:rFonts w:hint="eastAsia"/>
                    <w:szCs w:val="21"/>
                  </w:rPr>
                  <w:t>确定组合的依据</w:t>
                </w:r>
              </w:p>
            </w:tc>
            <w:tc>
              <w:tcPr>
                <w:tcW w:w="3271" w:type="dxa"/>
                <w:vAlign w:val="center"/>
              </w:tcPr>
              <w:p w14:paraId="716872A7" w14:textId="77777777" w:rsidR="00E57DAA" w:rsidRDefault="00AC4185">
                <w:pPr>
                  <w:rPr>
                    <w:szCs w:val="21"/>
                  </w:rPr>
                </w:pPr>
                <w:r>
                  <w:rPr>
                    <w:rFonts w:hint="eastAsia"/>
                    <w:szCs w:val="21"/>
                  </w:rPr>
                  <w:t>计提方法</w:t>
                </w:r>
              </w:p>
            </w:tc>
          </w:tr>
          <w:tr w:rsidR="00E57DAA" w14:paraId="24EA9925" w14:textId="77777777">
            <w:trPr>
              <w:trHeight w:val="340"/>
            </w:trPr>
            <w:tc>
              <w:tcPr>
                <w:tcW w:w="2376" w:type="dxa"/>
                <w:shd w:val="clear" w:color="auto" w:fill="auto"/>
                <w:vAlign w:val="center"/>
              </w:tcPr>
              <w:p w14:paraId="4E705667" w14:textId="77777777" w:rsidR="00E57DAA" w:rsidRDefault="00AC4185">
                <w:pPr>
                  <w:rPr>
                    <w:szCs w:val="21"/>
                  </w:rPr>
                </w:pPr>
                <w:r>
                  <w:rPr>
                    <w:rFonts w:hint="eastAsia"/>
                    <w:szCs w:val="21"/>
                  </w:rPr>
                  <w:t>应收股利、应收利息</w:t>
                </w:r>
              </w:p>
            </w:tc>
            <w:tc>
              <w:tcPr>
                <w:tcW w:w="3402" w:type="dxa"/>
                <w:shd w:val="clear" w:color="auto" w:fill="auto"/>
                <w:vAlign w:val="center"/>
              </w:tcPr>
              <w:p w14:paraId="46AF7E0A" w14:textId="77777777" w:rsidR="00E57DAA" w:rsidRDefault="00AC4185">
                <w:pPr>
                  <w:rPr>
                    <w:szCs w:val="21"/>
                  </w:rPr>
                </w:pPr>
                <w:r>
                  <w:rPr>
                    <w:rFonts w:hint="eastAsia"/>
                    <w:szCs w:val="21"/>
                  </w:rPr>
                  <w:t>信用损失风险极低</w:t>
                </w:r>
              </w:p>
            </w:tc>
            <w:tc>
              <w:tcPr>
                <w:tcW w:w="3271" w:type="dxa"/>
                <w:vAlign w:val="center"/>
              </w:tcPr>
              <w:p w14:paraId="5583308E" w14:textId="77777777" w:rsidR="00E57DAA" w:rsidRDefault="00AC4185">
                <w:pPr>
                  <w:rPr>
                    <w:szCs w:val="21"/>
                  </w:rPr>
                </w:pPr>
                <w:r>
                  <w:rPr>
                    <w:rFonts w:hint="eastAsia"/>
                    <w:szCs w:val="21"/>
                  </w:rPr>
                  <w:t>未发生信用减值，不计提</w:t>
                </w:r>
              </w:p>
            </w:tc>
          </w:tr>
          <w:tr w:rsidR="00E57DAA" w14:paraId="6B2E8AC4" w14:textId="77777777">
            <w:trPr>
              <w:trHeight w:val="340"/>
            </w:trPr>
            <w:tc>
              <w:tcPr>
                <w:tcW w:w="2376" w:type="dxa"/>
                <w:shd w:val="clear" w:color="auto" w:fill="auto"/>
                <w:vAlign w:val="center"/>
              </w:tcPr>
              <w:p w14:paraId="5701E6F3" w14:textId="77777777" w:rsidR="00E57DAA" w:rsidRDefault="00AC4185">
                <w:pPr>
                  <w:rPr>
                    <w:szCs w:val="21"/>
                  </w:rPr>
                </w:pPr>
                <w:r>
                  <w:rPr>
                    <w:rFonts w:hint="eastAsia"/>
                    <w:szCs w:val="21"/>
                  </w:rPr>
                  <w:t>合并范围内关联方</w:t>
                </w:r>
              </w:p>
            </w:tc>
            <w:tc>
              <w:tcPr>
                <w:tcW w:w="3402" w:type="dxa"/>
                <w:shd w:val="clear" w:color="auto" w:fill="auto"/>
                <w:vAlign w:val="center"/>
              </w:tcPr>
              <w:p w14:paraId="7F05CF31" w14:textId="77777777" w:rsidR="00E57DAA" w:rsidRDefault="00AC4185">
                <w:pPr>
                  <w:rPr>
                    <w:szCs w:val="21"/>
                  </w:rPr>
                </w:pPr>
                <w:r>
                  <w:rPr>
                    <w:rFonts w:hint="eastAsia"/>
                    <w:szCs w:val="21"/>
                  </w:rPr>
                  <w:t>本公司合并范围内关联方之间的其他应收款</w:t>
                </w:r>
              </w:p>
            </w:tc>
            <w:tc>
              <w:tcPr>
                <w:tcW w:w="3271" w:type="dxa"/>
                <w:vAlign w:val="center"/>
              </w:tcPr>
              <w:p w14:paraId="1CEA7F9E" w14:textId="77777777" w:rsidR="00E57DAA" w:rsidRDefault="00AC4185">
                <w:pPr>
                  <w:rPr>
                    <w:szCs w:val="21"/>
                  </w:rPr>
                </w:pPr>
                <w:r>
                  <w:rPr>
                    <w:rFonts w:hint="eastAsia"/>
                    <w:szCs w:val="21"/>
                  </w:rPr>
                  <w:t>未发生信用减值，不计提</w:t>
                </w:r>
              </w:p>
            </w:tc>
          </w:tr>
          <w:tr w:rsidR="00E57DAA" w14:paraId="02BA322D" w14:textId="77777777">
            <w:trPr>
              <w:trHeight w:val="340"/>
            </w:trPr>
            <w:tc>
              <w:tcPr>
                <w:tcW w:w="2376" w:type="dxa"/>
                <w:shd w:val="clear" w:color="auto" w:fill="auto"/>
                <w:vAlign w:val="center"/>
              </w:tcPr>
              <w:p w14:paraId="738E6E25" w14:textId="77777777" w:rsidR="00E57DAA" w:rsidRDefault="00AC4185">
                <w:pPr>
                  <w:rPr>
                    <w:szCs w:val="21"/>
                  </w:rPr>
                </w:pPr>
                <w:r>
                  <w:rPr>
                    <w:rFonts w:hint="eastAsia"/>
                    <w:szCs w:val="21"/>
                  </w:rPr>
                  <w:t>账龄组合</w:t>
                </w:r>
              </w:p>
            </w:tc>
            <w:tc>
              <w:tcPr>
                <w:tcW w:w="3402" w:type="dxa"/>
                <w:shd w:val="clear" w:color="auto" w:fill="auto"/>
                <w:vAlign w:val="center"/>
              </w:tcPr>
              <w:p w14:paraId="3A2485D7" w14:textId="77777777" w:rsidR="00E57DAA" w:rsidRDefault="00AC4185">
                <w:pPr>
                  <w:rPr>
                    <w:szCs w:val="21"/>
                  </w:rPr>
                </w:pPr>
                <w:r>
                  <w:rPr>
                    <w:rFonts w:hint="eastAsia"/>
                    <w:szCs w:val="21"/>
                  </w:rPr>
                  <w:t>非合并范围内关联方其他应收款</w:t>
                </w:r>
              </w:p>
            </w:tc>
            <w:tc>
              <w:tcPr>
                <w:tcW w:w="3271" w:type="dxa"/>
                <w:vAlign w:val="center"/>
              </w:tcPr>
              <w:p w14:paraId="262F6173" w14:textId="77777777" w:rsidR="00E57DAA" w:rsidRDefault="00AC4185">
                <w:pPr>
                  <w:rPr>
                    <w:szCs w:val="21"/>
                  </w:rPr>
                </w:pPr>
                <w:r>
                  <w:rPr>
                    <w:rFonts w:hint="eastAsia"/>
                    <w:szCs w:val="21"/>
                  </w:rPr>
                  <w:t>组合为基础计量违约损失率计提</w:t>
                </w:r>
              </w:p>
            </w:tc>
          </w:tr>
        </w:tbl>
        <w:p w14:paraId="3C23A112" w14:textId="77777777" w:rsidR="00E57DAA" w:rsidRDefault="00EB41A1">
          <w:pPr>
            <w:rPr>
              <w:szCs w:val="21"/>
            </w:rPr>
          </w:pPr>
        </w:p>
      </w:sdtContent>
    </w:sdt>
    <w:p w14:paraId="3DE6F646" w14:textId="77777777" w:rsidR="00E57DAA" w:rsidRDefault="00E57DAA">
      <w:pPr>
        <w:rPr>
          <w:rFonts w:cs="Times New Roman"/>
          <w:b/>
          <w:bCs/>
          <w:kern w:val="2"/>
          <w:szCs w:val="28"/>
        </w:rPr>
      </w:pPr>
    </w:p>
    <w:p w14:paraId="6082B7E4" w14:textId="77777777" w:rsidR="00E57DAA" w:rsidRDefault="00AC4185">
      <w:pPr>
        <w:rPr>
          <w:rFonts w:cs="Times New Roman"/>
          <w:b/>
          <w:kern w:val="2"/>
          <w:szCs w:val="28"/>
        </w:rPr>
      </w:pPr>
      <w:r>
        <w:rPr>
          <w:rFonts w:cs="Times New Roman"/>
          <w:b/>
          <w:kern w:val="2"/>
          <w:szCs w:val="28"/>
        </w:rPr>
        <w:t>基于账龄确认信用风险特征组合的账龄计算方法</w:t>
      </w:r>
    </w:p>
    <w:sdt>
      <w:sdtPr>
        <w:rPr>
          <w:szCs w:val="21"/>
        </w:rPr>
        <w:alias w:val="是否适用：其他应收款基于账龄确认信用风险特征组合的账龄计算方法[双击切换]"/>
        <w:tag w:val="_GBC_212b4fcf685f4b098f47723f38f926d2"/>
        <w:id w:val="-1129470583"/>
        <w:placeholder>
          <w:docPart w:val="GBC22222222222222222222222222222"/>
        </w:placeholder>
      </w:sdtPr>
      <w:sdtEndPr/>
      <w:sdtContent>
        <w:p w14:paraId="11D5853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644B39" w14:textId="77777777" w:rsidR="00E57DAA" w:rsidRDefault="00E57DAA">
      <w:pPr>
        <w:rPr>
          <w:rFonts w:cs="Times New Roman"/>
          <w:b/>
          <w:bCs/>
          <w:kern w:val="2"/>
          <w:szCs w:val="28"/>
        </w:rPr>
      </w:pPr>
    </w:p>
    <w:p w14:paraId="6DA6A50B" w14:textId="77777777" w:rsidR="00E57DAA" w:rsidRDefault="00AC4185">
      <w:pPr>
        <w:rPr>
          <w:rFonts w:cs="Times New Roman"/>
          <w:b/>
          <w:kern w:val="2"/>
          <w:szCs w:val="28"/>
        </w:rPr>
      </w:pPr>
      <w:r>
        <w:rPr>
          <w:rFonts w:cs="Times New Roman"/>
          <w:b/>
          <w:kern w:val="2"/>
          <w:szCs w:val="28"/>
        </w:rPr>
        <w:t>按照单项计提坏账准备的单项计提判断标准</w:t>
      </w:r>
    </w:p>
    <w:sdt>
      <w:sdtPr>
        <w:rPr>
          <w:szCs w:val="21"/>
        </w:rPr>
        <w:alias w:val="是否适用：其他应收款按照单项计提坏账准备的单项计提判断标准[双击切换]"/>
        <w:tag w:val="_GBC_ba17d337469a42e78d387da6c2afd4e3"/>
        <w:id w:val="-892111256"/>
        <w:placeholder>
          <w:docPart w:val="GBC22222222222222222222222222222"/>
        </w:placeholder>
      </w:sdtPr>
      <w:sdtEndPr/>
      <w:sdtContent>
        <w:p w14:paraId="2D1680F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5D97C2" w14:textId="77777777" w:rsidR="00E57DAA" w:rsidRDefault="00E57DAA">
      <w:pPr>
        <w:rPr>
          <w:szCs w:val="21"/>
        </w:rPr>
      </w:pPr>
    </w:p>
    <w:p w14:paraId="4893D122" w14:textId="77777777" w:rsidR="00E57DAA" w:rsidRDefault="00AC4185" w:rsidP="00C25422">
      <w:pPr>
        <w:pStyle w:val="91"/>
        <w:numPr>
          <w:ilvl w:val="0"/>
          <w:numId w:val="61"/>
        </w:numPr>
      </w:pPr>
      <w:r>
        <w:t>存货</w:t>
      </w:r>
    </w:p>
    <w:sdt>
      <w:sdtPr>
        <w:rPr>
          <w:rFonts w:hint="eastAsia"/>
          <w:szCs w:val="21"/>
        </w:rPr>
        <w:alias w:val="是否适用：存货_重要会计政策和估计[双击切换]"/>
        <w:tag w:val="_GBC_dcacbe0db27e4ea5b80fa4aefb3bdbac"/>
        <w:id w:val="-711571482"/>
        <w:placeholder>
          <w:docPart w:val="GBC22222222222222222222222222222"/>
        </w:placeholder>
      </w:sdtPr>
      <w:sdtEndPr/>
      <w:sdtContent>
        <w:p w14:paraId="69CACF27"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7A0826" w14:textId="77777777" w:rsidR="00E57DAA" w:rsidRDefault="00AC4185">
      <w:pPr>
        <w:rPr>
          <w:rFonts w:cs="Times New Roman"/>
          <w:b/>
          <w:kern w:val="2"/>
          <w:szCs w:val="28"/>
        </w:rPr>
      </w:pPr>
      <w:r>
        <w:rPr>
          <w:rFonts w:cs="Times New Roman"/>
          <w:b/>
          <w:kern w:val="2"/>
          <w:szCs w:val="28"/>
        </w:rPr>
        <w:t>存货</w:t>
      </w:r>
      <w:r>
        <w:rPr>
          <w:rFonts w:cs="Times New Roman" w:hint="eastAsia"/>
          <w:b/>
          <w:kern w:val="2"/>
          <w:szCs w:val="28"/>
        </w:rPr>
        <w:t>类别、发出计价方法、盘存制度、低值易耗品和包装物的摊销方法</w:t>
      </w:r>
    </w:p>
    <w:bookmarkStart w:id="175" w:name="_Hlk152678121" w:displacedByCustomXml="next"/>
    <w:bookmarkEnd w:id="175" w:displacedByCustomXml="next"/>
    <w:sdt>
      <w:sdtPr>
        <w:rPr>
          <w:szCs w:val="21"/>
        </w:rPr>
        <w:alias w:val="是否适用：存货类别、发出计价方法、盘存制度、低值易耗品和包装物的摊销方法[双击切换]"/>
        <w:tag w:val="_GBC_7a24117441bd45edbee63ef5c75fa013"/>
        <w:id w:val="-1725674476"/>
        <w:placeholder>
          <w:docPart w:val="GBC22222222222222222222222222222"/>
        </w:placeholder>
      </w:sdtPr>
      <w:sdtEndPr/>
      <w:sdtContent>
        <w:p w14:paraId="789772B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类别、发出计价方法、盘存制度、低值易耗品和包装物的摊销方法"/>
        <w:tag w:val="_GBC_3fcd1bdad070400f9c9e3e5d4c064f2b"/>
        <w:id w:val="-400448122"/>
        <w:placeholder>
          <w:docPart w:val="GBC22222222222222222222222222222"/>
        </w:placeholder>
      </w:sdtPr>
      <w:sdtEndPr/>
      <w:sdtContent>
        <w:p w14:paraId="6519D42A" w14:textId="77777777" w:rsidR="00E57DAA" w:rsidRDefault="00AC4185">
          <w:pPr>
            <w:ind w:firstLineChars="200" w:firstLine="420"/>
            <w:rPr>
              <w:szCs w:val="21"/>
            </w:rPr>
          </w:pPr>
          <w:r>
            <w:rPr>
              <w:rFonts w:hint="eastAsia"/>
              <w:szCs w:val="21"/>
            </w:rPr>
            <w:t>（</w:t>
          </w:r>
          <w:r>
            <w:rPr>
              <w:szCs w:val="21"/>
            </w:rPr>
            <w:t>1）</w:t>
          </w:r>
          <w:r>
            <w:rPr>
              <w:szCs w:val="21"/>
            </w:rPr>
            <w:tab/>
            <w:t>存货类别</w:t>
          </w:r>
        </w:p>
        <w:p w14:paraId="2AED33E3" w14:textId="77777777" w:rsidR="00E57DAA" w:rsidRDefault="00AC4185">
          <w:pPr>
            <w:ind w:firstLineChars="200" w:firstLine="420"/>
            <w:rPr>
              <w:szCs w:val="21"/>
            </w:rPr>
          </w:pPr>
          <w:r>
            <w:rPr>
              <w:rFonts w:hint="eastAsia"/>
              <w:szCs w:val="21"/>
            </w:rPr>
            <w:t>存货是指本公司在日常活动中持有以备出售的产成品或商品、处在生产过程中的在产品、在生产过程或提供劳务过程中耗用的材料和物料等。主要包括原材料、周转材料、委托加工材料、在产品、自制半成品、产成品（库存商品）、发出商品、合同履约成本等。</w:t>
          </w:r>
        </w:p>
        <w:p w14:paraId="68EC6321" w14:textId="77777777" w:rsidR="00E57DAA" w:rsidRDefault="00AC4185">
          <w:pPr>
            <w:ind w:firstLineChars="200" w:firstLine="420"/>
            <w:rPr>
              <w:szCs w:val="21"/>
            </w:rPr>
          </w:pPr>
          <w:r>
            <w:rPr>
              <w:rFonts w:hint="eastAsia"/>
              <w:szCs w:val="21"/>
            </w:rPr>
            <w:t>（</w:t>
          </w:r>
          <w:r>
            <w:rPr>
              <w:szCs w:val="21"/>
            </w:rPr>
            <w:t>2）</w:t>
          </w:r>
          <w:r>
            <w:rPr>
              <w:szCs w:val="21"/>
            </w:rPr>
            <w:tab/>
            <w:t>存货发出计价方法</w:t>
          </w:r>
        </w:p>
        <w:p w14:paraId="4FA3D6C2" w14:textId="77777777" w:rsidR="00E57DAA" w:rsidRDefault="00AC4185">
          <w:pPr>
            <w:ind w:firstLineChars="200" w:firstLine="420"/>
            <w:rPr>
              <w:szCs w:val="21"/>
            </w:rPr>
          </w:pPr>
          <w:r>
            <w:rPr>
              <w:rFonts w:hint="eastAsia"/>
              <w:szCs w:val="21"/>
            </w:rPr>
            <w:t>存货在取得时，按成本进行初始计量，包括采购成本、加工成本和其他成本。存货发出时按月末一次加权平均法</w:t>
          </w:r>
          <w:r>
            <w:rPr>
              <w:szCs w:val="21"/>
            </w:rPr>
            <w:t>/个别认定法计价。</w:t>
          </w:r>
        </w:p>
        <w:p w14:paraId="5B72AE49" w14:textId="77777777" w:rsidR="00E57DAA" w:rsidRDefault="00AC4185">
          <w:pPr>
            <w:ind w:firstLineChars="200" w:firstLine="420"/>
            <w:rPr>
              <w:szCs w:val="21"/>
            </w:rPr>
          </w:pPr>
          <w:r>
            <w:rPr>
              <w:rFonts w:hint="eastAsia"/>
              <w:szCs w:val="21"/>
            </w:rPr>
            <w:t>（</w:t>
          </w:r>
          <w:r>
            <w:rPr>
              <w:szCs w:val="21"/>
            </w:rPr>
            <w:t>3）</w:t>
          </w:r>
          <w:r>
            <w:rPr>
              <w:szCs w:val="21"/>
            </w:rPr>
            <w:tab/>
            <w:t>存货的盘存制度</w:t>
          </w:r>
        </w:p>
        <w:p w14:paraId="5995103E" w14:textId="77777777" w:rsidR="00E57DAA" w:rsidRDefault="00AC4185">
          <w:pPr>
            <w:ind w:firstLineChars="200" w:firstLine="420"/>
            <w:rPr>
              <w:szCs w:val="21"/>
            </w:rPr>
          </w:pPr>
          <w:r>
            <w:rPr>
              <w:rFonts w:hint="eastAsia"/>
              <w:szCs w:val="21"/>
            </w:rPr>
            <w:lastRenderedPageBreak/>
            <w:t>存货盘存制度为永续盘存制。</w:t>
          </w:r>
        </w:p>
        <w:p w14:paraId="469CFFAD" w14:textId="77777777" w:rsidR="00E57DAA" w:rsidRDefault="00AC4185">
          <w:pPr>
            <w:ind w:firstLineChars="200" w:firstLine="420"/>
            <w:rPr>
              <w:szCs w:val="21"/>
            </w:rPr>
          </w:pPr>
          <w:r>
            <w:rPr>
              <w:rFonts w:hint="eastAsia"/>
              <w:szCs w:val="21"/>
            </w:rPr>
            <w:t>（</w:t>
          </w:r>
          <w:r>
            <w:rPr>
              <w:szCs w:val="21"/>
            </w:rPr>
            <w:t>4）</w:t>
          </w:r>
          <w:r>
            <w:rPr>
              <w:szCs w:val="21"/>
            </w:rPr>
            <w:tab/>
            <w:t>低值易耗品和包装物的摊销方法</w:t>
          </w:r>
        </w:p>
        <w:p w14:paraId="100971EF" w14:textId="77777777" w:rsidR="00E57DAA" w:rsidRDefault="00AC4185">
          <w:pPr>
            <w:ind w:firstLineChars="200" w:firstLine="420"/>
            <w:rPr>
              <w:szCs w:val="21"/>
            </w:rPr>
          </w:pPr>
          <w:r>
            <w:rPr>
              <w:szCs w:val="21"/>
            </w:rPr>
            <w:t>1）低值易耗品采用一次转销法进行摊销；</w:t>
          </w:r>
        </w:p>
        <w:p w14:paraId="55648862" w14:textId="77777777" w:rsidR="00E57DAA" w:rsidRDefault="00AC4185">
          <w:pPr>
            <w:ind w:firstLineChars="200" w:firstLine="420"/>
            <w:rPr>
              <w:szCs w:val="21"/>
            </w:rPr>
          </w:pPr>
          <w:r>
            <w:rPr>
              <w:szCs w:val="21"/>
            </w:rPr>
            <w:t>2）包装物采用一次转销法进行摊销；</w:t>
          </w:r>
        </w:p>
        <w:p w14:paraId="0CD0F80A" w14:textId="77777777" w:rsidR="00E57DAA" w:rsidRDefault="00AC4185">
          <w:pPr>
            <w:ind w:firstLineChars="200" w:firstLine="420"/>
            <w:rPr>
              <w:szCs w:val="21"/>
            </w:rPr>
          </w:pPr>
          <w:r>
            <w:rPr>
              <w:szCs w:val="21"/>
            </w:rPr>
            <w:t>3）其他周转材料采用一次转销法进行摊销。</w:t>
          </w:r>
        </w:p>
      </w:sdtContent>
    </w:sdt>
    <w:p w14:paraId="47C84257" w14:textId="77777777" w:rsidR="00E57DAA" w:rsidRDefault="00E57DAA">
      <w:pPr>
        <w:rPr>
          <w:rFonts w:cs="Times New Roman"/>
          <w:szCs w:val="21"/>
        </w:rPr>
      </w:pPr>
    </w:p>
    <w:p w14:paraId="68A5F1F9" w14:textId="77777777" w:rsidR="00E57DAA" w:rsidRDefault="00AC4185">
      <w:pPr>
        <w:rPr>
          <w:rFonts w:cs="Times New Roman"/>
          <w:b/>
          <w:kern w:val="2"/>
          <w:szCs w:val="28"/>
        </w:rPr>
      </w:pPr>
      <w:r>
        <w:rPr>
          <w:rFonts w:cs="Times New Roman"/>
          <w:b/>
          <w:kern w:val="2"/>
          <w:szCs w:val="28"/>
        </w:rPr>
        <w:t>存货跌价准备的确认标准和计提方法</w:t>
      </w:r>
    </w:p>
    <w:sdt>
      <w:sdtPr>
        <w:rPr>
          <w:szCs w:val="21"/>
        </w:rPr>
        <w:alias w:val="是否适用：存货跌价准备的确认标准和计提方法[双击切换]"/>
        <w:tag w:val="_GBC_6e8ebb9994fe404dba2a12ec5c785d83"/>
        <w:id w:val="1612395323"/>
        <w:placeholder>
          <w:docPart w:val="GBC22222222222222222222222222222"/>
        </w:placeholder>
      </w:sdtPr>
      <w:sdtEndPr/>
      <w:sdtContent>
        <w:p w14:paraId="4140CCA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跌价准备的确认标准和计提方法"/>
        <w:tag w:val="_GBC_94e79c0b2c2f4552b5ec962b8df1c2f0"/>
        <w:id w:val="-1535195516"/>
        <w:placeholder>
          <w:docPart w:val="GBC22222222222222222222222222222"/>
        </w:placeholder>
      </w:sdtPr>
      <w:sdtEndPr/>
      <w:sdtContent>
        <w:p w14:paraId="6DF7EB6C" w14:textId="77777777" w:rsidR="00E57DAA" w:rsidRDefault="00AC4185">
          <w:pPr>
            <w:ind w:firstLineChars="200" w:firstLine="420"/>
            <w:rPr>
              <w:szCs w:val="21"/>
            </w:rPr>
          </w:pPr>
          <w:r>
            <w:rPr>
              <w:rFonts w:hint="eastAsia"/>
              <w:szCs w:val="21"/>
            </w:rPr>
            <w:t>期末对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5B0F7662" w14:textId="77777777" w:rsidR="00E57DAA" w:rsidRDefault="00AC4185">
          <w:pPr>
            <w:ind w:firstLineChars="200" w:firstLine="420"/>
            <w:rPr>
              <w:szCs w:val="21"/>
            </w:rPr>
          </w:pPr>
          <w:r>
            <w:rPr>
              <w:rFonts w:hint="eastAsia"/>
              <w:szCs w:val="21"/>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7B3D7A05" w14:textId="77777777" w:rsidR="00E57DAA" w:rsidRDefault="00AC4185">
          <w:pPr>
            <w:ind w:firstLineChars="200" w:firstLine="420"/>
            <w:rPr>
              <w:szCs w:val="21"/>
            </w:rPr>
          </w:pPr>
          <w:r>
            <w:rPr>
              <w:rFonts w:hint="eastAsia"/>
              <w:szCs w:val="21"/>
            </w:rPr>
            <w:t>以前减记存货价值的影响因素已经消失的，减记的金额予以恢复，并在原已计提的存货跌价准备金额内转回，转回的金额计入当期损益。</w:t>
          </w:r>
        </w:p>
      </w:sdtContent>
    </w:sdt>
    <w:p w14:paraId="007F0BA7" w14:textId="77777777" w:rsidR="00E57DAA" w:rsidRDefault="00E57DAA">
      <w:pPr>
        <w:rPr>
          <w:rFonts w:cs="Times New Roman"/>
          <w:b/>
          <w:kern w:val="2"/>
          <w:szCs w:val="28"/>
        </w:rPr>
      </w:pPr>
    </w:p>
    <w:p w14:paraId="24EEC6A2" w14:textId="77777777" w:rsidR="00E57DAA" w:rsidRDefault="00AC4185">
      <w:pPr>
        <w:rPr>
          <w:rFonts w:cs="Times New Roman"/>
          <w:b/>
          <w:kern w:val="2"/>
          <w:szCs w:val="28"/>
        </w:rPr>
      </w:pPr>
      <w:r>
        <w:rPr>
          <w:rFonts w:cs="Times New Roman"/>
          <w:b/>
          <w:kern w:val="2"/>
          <w:szCs w:val="28"/>
        </w:rPr>
        <w:t>按照组合计提存货跌价准备的组合类别及确定依据</w:t>
      </w:r>
      <w:r>
        <w:rPr>
          <w:rFonts w:cs="Times New Roman" w:hint="eastAsia"/>
          <w:b/>
          <w:bCs/>
          <w:kern w:val="2"/>
          <w:szCs w:val="28"/>
        </w:rPr>
        <w:t>、</w:t>
      </w:r>
      <w:r>
        <w:rPr>
          <w:rFonts w:hint="eastAsia"/>
          <w:b/>
          <w:bCs/>
        </w:rPr>
        <w:t>不同类别存货可变现净值的确定依据</w:t>
      </w:r>
    </w:p>
    <w:sdt>
      <w:sdtPr>
        <w:rPr>
          <w:szCs w:val="21"/>
        </w:rPr>
        <w:alias w:val="是否适用：按照组合计提存货跌价准备的组合类别及确定依据、不同类别存货可变现净值的确定依据[双击切换]"/>
        <w:tag w:val="_GBC_497390f68e764f2baa3b06eda7d6c944"/>
        <w:id w:val="203600852"/>
        <w:placeholder>
          <w:docPart w:val="GBC22222222222222222222222222222"/>
        </w:placeholder>
      </w:sdtPr>
      <w:sdtEndPr/>
      <w:sdtContent>
        <w:p w14:paraId="7746FAD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11BBBE" w14:textId="77777777" w:rsidR="00E57DAA" w:rsidRDefault="00E57DAA">
      <w:pPr>
        <w:rPr>
          <w:rFonts w:cs="Times New Roman"/>
          <w:b/>
          <w:kern w:val="2"/>
          <w:szCs w:val="28"/>
        </w:rPr>
      </w:pPr>
    </w:p>
    <w:p w14:paraId="385C6215" w14:textId="77777777" w:rsidR="00E57DAA" w:rsidRDefault="00AC4185">
      <w:pPr>
        <w:rPr>
          <w:rFonts w:cs="Times New Roman"/>
          <w:b/>
          <w:kern w:val="2"/>
          <w:szCs w:val="28"/>
        </w:rPr>
      </w:pPr>
      <w:r>
        <w:rPr>
          <w:rFonts w:cs="Times New Roman"/>
          <w:b/>
          <w:kern w:val="2"/>
          <w:szCs w:val="28"/>
        </w:rPr>
        <w:t>基于库龄确认存货可变现净值的各库龄组合可变现净值的计算方法和确定依据</w:t>
      </w:r>
    </w:p>
    <w:sdt>
      <w:sdtPr>
        <w:rPr>
          <w:szCs w:val="21"/>
        </w:rPr>
        <w:alias w:val="是否适用：基于库龄确认存货可变现净值的各库龄组合可变现净值的计算方法和确定依据[双击切换]"/>
        <w:tag w:val="_GBC_9d365dfe8a544c55a4c1edb1470b656d"/>
        <w:id w:val="634296422"/>
        <w:placeholder>
          <w:docPart w:val="GBC22222222222222222222222222222"/>
        </w:placeholder>
      </w:sdtPr>
      <w:sdtEndPr/>
      <w:sdtContent>
        <w:p w14:paraId="4B2B956C"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10293F" w14:textId="77777777" w:rsidR="00E57DAA" w:rsidRDefault="00E57DAA">
      <w:pPr>
        <w:rPr>
          <w:rFonts w:cs="Times New Roman"/>
          <w:szCs w:val="21"/>
        </w:rPr>
      </w:pPr>
    </w:p>
    <w:p w14:paraId="210B4E00" w14:textId="77777777" w:rsidR="00E57DAA" w:rsidRDefault="00AC4185" w:rsidP="00C25422">
      <w:pPr>
        <w:pStyle w:val="91"/>
        <w:numPr>
          <w:ilvl w:val="0"/>
          <w:numId w:val="61"/>
        </w:numPr>
      </w:pPr>
      <w:bookmarkStart w:id="176" w:name="_Hlk533667851"/>
      <w:r>
        <w:rPr>
          <w:rFonts w:hint="eastAsia"/>
        </w:rPr>
        <w:t>合同资产</w:t>
      </w:r>
    </w:p>
    <w:sdt>
      <w:sdtPr>
        <w:rPr>
          <w:rFonts w:hint="eastAsia"/>
        </w:rPr>
        <w:alias w:val="是否适用：合同资产_重要会计政策和估计[双击切换]"/>
        <w:tag w:val="_GBC_5a88c6aff74e4eb184d0541279c7f45e"/>
        <w:id w:val="-448697448"/>
        <w:placeholder>
          <w:docPart w:val="GBC22222222222222222222222222222"/>
        </w:placeholder>
      </w:sdtPr>
      <w:sdtEndPr/>
      <w:sdtContent>
        <w:p w14:paraId="49BC0FFF" w14:textId="77777777" w:rsidR="00E57DAA" w:rsidRDefault="00AC4185" w:rsidP="00C25422">
          <w:pPr>
            <w:pStyle w:val="92"/>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4EBE73BD" w14:textId="77777777" w:rsidR="00E57DAA" w:rsidRDefault="00AC4185">
      <w:pPr>
        <w:rPr>
          <w:rFonts w:cs="Times New Roman"/>
          <w:b/>
          <w:kern w:val="2"/>
          <w:szCs w:val="28"/>
        </w:rPr>
      </w:pPr>
      <w:r>
        <w:rPr>
          <w:rFonts w:cs="Times New Roman" w:hint="eastAsia"/>
          <w:b/>
          <w:kern w:val="2"/>
          <w:szCs w:val="28"/>
        </w:rPr>
        <w:t>合同资产的确认方法及标准</w:t>
      </w:r>
    </w:p>
    <w:sdt>
      <w:sdtPr>
        <w:rPr>
          <w:szCs w:val="21"/>
        </w:rPr>
        <w:alias w:val="是否适用：合同资产的确定方法、摊销方法和减值测试方法[双击切换]"/>
        <w:tag w:val="_GBC_1b5df72f15664694ad46f712f5c33e91"/>
        <w:id w:val="-234322573"/>
        <w:placeholder>
          <w:docPart w:val="GBC22222222222222222222222222222"/>
        </w:placeholder>
      </w:sdtPr>
      <w:sdtEndPr/>
      <w:sdtContent>
        <w:p w14:paraId="7B6B0C2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BDFC9F" w14:textId="77777777" w:rsidR="00E57DAA" w:rsidRDefault="00EB41A1">
      <w:pPr>
        <w:ind w:firstLineChars="200" w:firstLine="420"/>
        <w:rPr>
          <w:szCs w:val="21"/>
        </w:rPr>
      </w:pPr>
      <w:sdt>
        <w:sdtPr>
          <w:rPr>
            <w:szCs w:val="21"/>
          </w:rPr>
          <w:alias w:val="合同资产的确定方法、摊销方法和减值测试方法"/>
          <w:tag w:val="_GBC_82d4491d0bbc4d81ab154bd0c0c35176"/>
          <w:id w:val="-462808505"/>
          <w:placeholder>
            <w:docPart w:val="GBC22222222222222222222222222222"/>
          </w:placeholder>
        </w:sdtPr>
        <w:sdtEndPr/>
        <w:sdtContent>
          <w:r w:rsidR="00AC4185">
            <w:rPr>
              <w:rFonts w:hint="eastAsia"/>
              <w:szCs w:val="21"/>
            </w:rPr>
            <w:t>本公司已向客户转让商品而有权收取对价的权利，且该权利取决于时间流逝之外的其他因素的，确认为合同资产。本公司拥有的无条件</w:t>
          </w:r>
          <w:r w:rsidR="00AC4185">
            <w:rPr>
              <w:szCs w:val="21"/>
            </w:rPr>
            <w:t>(即，仅取决于时间流逝)向客户收取对价的权利作为应收款项单独列示。</w:t>
          </w:r>
        </w:sdtContent>
      </w:sdt>
    </w:p>
    <w:p w14:paraId="1791527B" w14:textId="77777777" w:rsidR="00E57DAA" w:rsidRDefault="00E57DAA">
      <w:pPr>
        <w:rPr>
          <w:szCs w:val="21"/>
        </w:rPr>
      </w:pPr>
    </w:p>
    <w:p w14:paraId="3D15EFAE" w14:textId="77777777" w:rsidR="00E57DAA" w:rsidRDefault="00AC4185">
      <w:pPr>
        <w:rPr>
          <w:rFonts w:cs="Times New Roman"/>
          <w:b/>
          <w:kern w:val="2"/>
          <w:szCs w:val="28"/>
        </w:rPr>
      </w:pPr>
      <w:r>
        <w:rPr>
          <w:rFonts w:cs="Times New Roman" w:hint="eastAsia"/>
          <w:b/>
          <w:kern w:val="2"/>
          <w:szCs w:val="28"/>
        </w:rPr>
        <w:t>合同资产预期信用损失的确定方法及会计处理方法</w:t>
      </w:r>
    </w:p>
    <w:bookmarkEnd w:id="176" w:displacedByCustomXml="next"/>
    <w:bookmarkStart w:id="177" w:name="_Hlk533667866" w:displacedByCustomXml="next"/>
    <w:sdt>
      <w:sdtPr>
        <w:rPr>
          <w:szCs w:val="21"/>
        </w:rPr>
        <w:alias w:val="是否适用：合同资产预期信用损失的确定方法及会计处理方法[双击切换]"/>
        <w:tag w:val="_GBC_8c12b6b1febf4f9ab1540f119bcd3247"/>
        <w:id w:val="1595901118"/>
        <w:placeholder>
          <w:docPart w:val="GBC22222222222222222222222222222"/>
        </w:placeholder>
      </w:sdtPr>
      <w:sdtEndPr/>
      <w:sdtContent>
        <w:p w14:paraId="0D98CC7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E9AEED" w14:textId="77777777" w:rsidR="00E57DAA" w:rsidRDefault="00EB41A1">
      <w:pPr>
        <w:ind w:firstLineChars="200" w:firstLine="420"/>
        <w:rPr>
          <w:szCs w:val="21"/>
        </w:rPr>
      </w:pPr>
      <w:sdt>
        <w:sdtPr>
          <w:rPr>
            <w:szCs w:val="21"/>
          </w:rPr>
          <w:alias w:val="合同资产预期信用损失的确定方法及会计处理方法"/>
          <w:tag w:val="_GBC_a33a78a57f894e77bd6990a3c0899519"/>
          <w:id w:val="-818109497"/>
          <w:placeholder>
            <w:docPart w:val="GBC22222222222222222222222222222"/>
          </w:placeholder>
        </w:sdtPr>
        <w:sdtEndPr/>
        <w:sdtContent>
          <w:r w:rsidR="00AC4185">
            <w:rPr>
              <w:rFonts w:hint="eastAsia"/>
              <w:szCs w:val="21"/>
            </w:rPr>
            <w:t>本公司对合同资产的预期信用损失的确定方法及会计处理方法详见本附注11、</w:t>
          </w:r>
          <w:r w:rsidR="00AC4185">
            <w:rPr>
              <w:szCs w:val="21"/>
            </w:rPr>
            <w:t>6.金融工具减值。</w:t>
          </w:r>
        </w:sdtContent>
      </w:sdt>
    </w:p>
    <w:bookmarkEnd w:id="177"/>
    <w:p w14:paraId="54E899EE" w14:textId="77777777" w:rsidR="00E57DAA" w:rsidRDefault="00E57DAA">
      <w:pPr>
        <w:rPr>
          <w:szCs w:val="21"/>
        </w:rPr>
      </w:pPr>
    </w:p>
    <w:p w14:paraId="7A662583" w14:textId="77777777" w:rsidR="00E57DAA" w:rsidRDefault="00AC418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合同资产按照信用风险特征组合计提坏账准备的组合类别及确定依据[双击切换]"/>
        <w:tag w:val="_GBC_ebbe09c3657c4b539cc844981adf91e4"/>
        <w:id w:val="1737810746"/>
        <w:placeholder>
          <w:docPart w:val="GBC22222222222222222222222222222"/>
        </w:placeholder>
      </w:sdtPr>
      <w:sdtEndPr/>
      <w:sdtContent>
        <w:p w14:paraId="3BB9FB9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F4AF95" w14:textId="77777777" w:rsidR="00E57DAA" w:rsidRDefault="00E57DAA">
      <w:pPr>
        <w:rPr>
          <w:rFonts w:cs="Times New Roman"/>
          <w:b/>
          <w:bCs/>
          <w:kern w:val="2"/>
          <w:szCs w:val="28"/>
        </w:rPr>
      </w:pPr>
    </w:p>
    <w:p w14:paraId="0E00D307" w14:textId="77777777" w:rsidR="00E57DAA" w:rsidRDefault="00AC4185">
      <w:pPr>
        <w:rPr>
          <w:rFonts w:cs="Times New Roman"/>
          <w:b/>
          <w:kern w:val="2"/>
          <w:szCs w:val="28"/>
        </w:rPr>
      </w:pPr>
      <w:r>
        <w:rPr>
          <w:rFonts w:cs="Times New Roman"/>
          <w:b/>
          <w:kern w:val="2"/>
          <w:szCs w:val="28"/>
        </w:rPr>
        <w:t>基于账龄确认信用风险特征组合的账龄计算方法</w:t>
      </w:r>
    </w:p>
    <w:sdt>
      <w:sdtPr>
        <w:rPr>
          <w:szCs w:val="21"/>
        </w:rPr>
        <w:alias w:val="是否适用：合同资产基于账龄确认信用风险特征组合的账龄计算方法[双击切换]"/>
        <w:tag w:val="_GBC_3400ff02bc46467bac74fee97f4388c5"/>
        <w:id w:val="-2074114057"/>
        <w:placeholder>
          <w:docPart w:val="GBC22222222222222222222222222222"/>
        </w:placeholder>
      </w:sdtPr>
      <w:sdtEndPr/>
      <w:sdtContent>
        <w:p w14:paraId="50AC7C99"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434D73F" w14:textId="77777777" w:rsidR="00E57DAA" w:rsidRDefault="00E57DAA">
      <w:pPr>
        <w:rPr>
          <w:rFonts w:cs="Times New Roman"/>
          <w:b/>
          <w:bCs/>
          <w:kern w:val="2"/>
          <w:szCs w:val="28"/>
        </w:rPr>
      </w:pPr>
    </w:p>
    <w:p w14:paraId="7A32414F" w14:textId="77777777" w:rsidR="00E57DAA" w:rsidRDefault="00AC4185">
      <w:pPr>
        <w:rPr>
          <w:rFonts w:cs="Times New Roman"/>
          <w:b/>
          <w:kern w:val="2"/>
          <w:szCs w:val="28"/>
        </w:rPr>
      </w:pPr>
      <w:r>
        <w:rPr>
          <w:rFonts w:cs="Times New Roman"/>
          <w:b/>
          <w:kern w:val="2"/>
          <w:szCs w:val="28"/>
        </w:rPr>
        <w:t>按照单项计提坏账准备的认定单项计提判断标准</w:t>
      </w:r>
    </w:p>
    <w:sdt>
      <w:sdtPr>
        <w:rPr>
          <w:szCs w:val="21"/>
        </w:rPr>
        <w:alias w:val="是否适用：合同资产按照单项计提坏账准备的单项计提判断标准[双击切换]"/>
        <w:tag w:val="_GBC_aec9a536d61144fa91c2f954c8ff8473"/>
        <w:id w:val="1616633137"/>
        <w:placeholder>
          <w:docPart w:val="GBC22222222222222222222222222222"/>
        </w:placeholder>
      </w:sdtPr>
      <w:sdtEndPr/>
      <w:sdtContent>
        <w:p w14:paraId="7500611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99B70D" w14:textId="77777777" w:rsidR="00E57DAA" w:rsidRDefault="00E57DAA">
      <w:pPr>
        <w:rPr>
          <w:szCs w:val="21"/>
        </w:rPr>
      </w:pPr>
    </w:p>
    <w:p w14:paraId="661045C3" w14:textId="77777777" w:rsidR="00E57DAA" w:rsidRDefault="00AC4185" w:rsidP="00C25422">
      <w:pPr>
        <w:pStyle w:val="91"/>
        <w:numPr>
          <w:ilvl w:val="0"/>
          <w:numId w:val="61"/>
        </w:numPr>
      </w:pPr>
      <w:r>
        <w:rPr>
          <w:rFonts w:hint="eastAsia"/>
        </w:rPr>
        <w:lastRenderedPageBreak/>
        <w:t>持有待</w:t>
      </w:r>
      <w:r>
        <w:t>售的非流动资产或处置组</w:t>
      </w:r>
    </w:p>
    <w:bookmarkStart w:id="178" w:name="_Hlk533151067" w:displacedByCustomXml="next"/>
    <w:sdt>
      <w:sdtPr>
        <w:rPr>
          <w:szCs w:val="21"/>
        </w:rPr>
        <w:alias w:val="是否适用：持有待售的非流动资产或处置组[双击切换]"/>
        <w:tag w:val="_GBC_e7f5369a15ba4034bd2498c40687a411"/>
        <w:id w:val="-51389159"/>
        <w:placeholder>
          <w:docPart w:val="GBC22222222222222222222222222222"/>
        </w:placeholder>
      </w:sdtPr>
      <w:sdtEndPr/>
      <w:sdtContent>
        <w:p w14:paraId="1951341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481F8F" w14:textId="77777777" w:rsidR="00E57DAA" w:rsidRDefault="00E57DAA">
      <w:pPr>
        <w:rPr>
          <w:szCs w:val="21"/>
        </w:rPr>
      </w:pPr>
    </w:p>
    <w:p w14:paraId="78EF9C8B" w14:textId="77777777" w:rsidR="00E57DAA" w:rsidRDefault="00AC4185">
      <w:pPr>
        <w:rPr>
          <w:rFonts w:cs="Times New Roman"/>
          <w:b/>
          <w:kern w:val="2"/>
          <w:szCs w:val="21"/>
        </w:rPr>
      </w:pPr>
      <w:r>
        <w:rPr>
          <w:rFonts w:cs="Times New Roman" w:hint="eastAsia"/>
          <w:b/>
          <w:kern w:val="2"/>
          <w:szCs w:val="21"/>
        </w:rPr>
        <w:t>划分为持有待售的非流动资产或处置组的确认标准和会计处理方法</w:t>
      </w:r>
    </w:p>
    <w:bookmarkEnd w:id="178" w:displacedByCustomXml="next"/>
    <w:sdt>
      <w:sdtPr>
        <w:rPr>
          <w:szCs w:val="21"/>
        </w:rPr>
        <w:alias w:val="是否适用：划分为持有待售的非流动资产或处置组的确认标准和会计处理方法[双击切换]"/>
        <w:tag w:val="_GBC_cf8b05c4ada54b2aac5743b74b5fdb45"/>
        <w:id w:val="-2061546389"/>
        <w:placeholder>
          <w:docPart w:val="GBC22222222222222222222222222222"/>
        </w:placeholder>
      </w:sdtPr>
      <w:sdtEndPr/>
      <w:sdtContent>
        <w:p w14:paraId="1B557A6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的非流动资产或处置组的确认标准和会计处理方法"/>
        <w:tag w:val="_GBC_c6470b887f9546e5999bdc424f840526"/>
        <w:id w:val="-164862714"/>
        <w:placeholder>
          <w:docPart w:val="GBC22222222222222222222222222222"/>
        </w:placeholder>
      </w:sdtPr>
      <w:sdtEndPr/>
      <w:sdtContent>
        <w:p w14:paraId="3945AFA3" w14:textId="77777777" w:rsidR="00E57DAA" w:rsidRDefault="00AC4185">
          <w:pPr>
            <w:ind w:firstLineChars="200" w:firstLine="420"/>
            <w:rPr>
              <w:szCs w:val="21"/>
            </w:rPr>
          </w:pPr>
          <w:r>
            <w:rPr>
              <w:szCs w:val="21"/>
            </w:rPr>
            <w:t>1．划分为持有待售确认标准</w:t>
          </w:r>
        </w:p>
        <w:p w14:paraId="416FE179" w14:textId="77777777" w:rsidR="00E57DAA" w:rsidRDefault="00AC4185">
          <w:pPr>
            <w:ind w:firstLineChars="200" w:firstLine="420"/>
            <w:rPr>
              <w:szCs w:val="21"/>
            </w:rPr>
          </w:pPr>
          <w:r>
            <w:rPr>
              <w:rFonts w:hint="eastAsia"/>
              <w:szCs w:val="21"/>
            </w:rPr>
            <w:t>本公司将同时满足下列条件的非流动资产或处置组确认为持有待售组成部分：</w:t>
          </w:r>
        </w:p>
        <w:p w14:paraId="7C29AFF3" w14:textId="77777777" w:rsidR="00E57DAA" w:rsidRDefault="00AC4185">
          <w:pPr>
            <w:ind w:firstLineChars="200" w:firstLine="420"/>
            <w:rPr>
              <w:szCs w:val="21"/>
            </w:rPr>
          </w:pPr>
          <w:r>
            <w:rPr>
              <w:rFonts w:hint="eastAsia"/>
              <w:szCs w:val="21"/>
            </w:rPr>
            <w:t>（</w:t>
          </w:r>
          <w:r>
            <w:rPr>
              <w:szCs w:val="21"/>
            </w:rPr>
            <w:t>1）根据类似交易中出售此类资产或处置组的惯例，在当前状况下即可立即出售；</w:t>
          </w:r>
        </w:p>
        <w:p w14:paraId="66500B0A" w14:textId="77777777" w:rsidR="00E57DAA" w:rsidRDefault="00AC4185">
          <w:pPr>
            <w:ind w:firstLineChars="200" w:firstLine="420"/>
            <w:jc w:val="both"/>
            <w:rPr>
              <w:szCs w:val="21"/>
            </w:rPr>
          </w:pPr>
          <w:r>
            <w:rPr>
              <w:rFonts w:hint="eastAsia"/>
              <w:szCs w:val="21"/>
            </w:rPr>
            <w:t>（</w:t>
          </w:r>
          <w:r>
            <w:rPr>
              <w:szCs w:val="21"/>
            </w:rPr>
            <w:t>2）出售极可能发生，即本公司已经就一项出售计划作出决议，并已获得监管部门批准（如适用），且获得确定的购买承诺，预计出售将在一年内完成。</w:t>
          </w:r>
        </w:p>
        <w:p w14:paraId="27C471F3" w14:textId="77777777" w:rsidR="00E57DAA" w:rsidRDefault="00AC4185">
          <w:pPr>
            <w:ind w:firstLineChars="200" w:firstLine="420"/>
            <w:jc w:val="both"/>
            <w:rPr>
              <w:szCs w:val="21"/>
            </w:rPr>
          </w:pPr>
          <w:r>
            <w:rPr>
              <w:rFonts w:hint="eastAsia"/>
              <w:szCs w:val="21"/>
            </w:rPr>
            <w:t>确定的购买承诺，是指本公司与其他方签订的具有法律约束力的购买协议，该协议包含交易价格、时间和足够严厉的违约惩罚等重要条款，使协议出现重大调整或者撤销的可能性极小。</w:t>
          </w:r>
        </w:p>
        <w:p w14:paraId="36543FA9" w14:textId="77777777" w:rsidR="00E57DAA" w:rsidRDefault="00AC4185">
          <w:pPr>
            <w:ind w:firstLineChars="200" w:firstLine="420"/>
            <w:jc w:val="both"/>
            <w:rPr>
              <w:szCs w:val="21"/>
            </w:rPr>
          </w:pPr>
          <w:r>
            <w:rPr>
              <w:szCs w:val="21"/>
            </w:rPr>
            <w:t>2．持有待售核算方法</w:t>
          </w:r>
        </w:p>
        <w:p w14:paraId="591AFBB4" w14:textId="77777777" w:rsidR="00E57DAA" w:rsidRDefault="00AC4185">
          <w:pPr>
            <w:ind w:firstLineChars="200" w:firstLine="420"/>
            <w:jc w:val="both"/>
            <w:rPr>
              <w:szCs w:val="21"/>
            </w:rPr>
          </w:pPr>
          <w:r>
            <w:rPr>
              <w:rFonts w:hint="eastAsia"/>
              <w:szCs w:val="21"/>
            </w:rPr>
            <w:t>本公司对于持有待售的非流动资产或处置组不计提折旧或摊销，其账面价值高于公允价值减去出售费用后的净额的，应当将账面价值减记至公允价值减去出售费用后的净额，减记的金额确认为资产减值损失，计入当期损益，同时计提持有待售资产减值准备。</w:t>
          </w:r>
        </w:p>
        <w:p w14:paraId="7B3702E7" w14:textId="77777777" w:rsidR="00E57DAA" w:rsidRDefault="00AC4185">
          <w:pPr>
            <w:ind w:firstLineChars="200" w:firstLine="420"/>
            <w:jc w:val="both"/>
            <w:rPr>
              <w:szCs w:val="21"/>
            </w:rPr>
          </w:pPr>
          <w:r>
            <w:rPr>
              <w:rFonts w:hint="eastAsia"/>
              <w:szCs w:val="21"/>
            </w:rPr>
            <w:t>对于取得日划分为持有待售类别的非流动资产或处置组，在初始计量时比较假定其不划分为持有待售类别情况下的初始计量金额和公允价值减去出售费用后的净额，以两者孰低计量。</w:t>
          </w:r>
        </w:p>
        <w:p w14:paraId="087741F2" w14:textId="77777777" w:rsidR="00E57DAA" w:rsidRDefault="00AC4185">
          <w:pPr>
            <w:ind w:firstLineChars="200" w:firstLine="420"/>
            <w:jc w:val="both"/>
            <w:rPr>
              <w:szCs w:val="21"/>
            </w:rPr>
          </w:pPr>
          <w:r>
            <w:rPr>
              <w:rFonts w:hint="eastAsia"/>
              <w:szCs w:val="21"/>
            </w:rPr>
            <w:t>上述原则适用于所有非流动资产，但不包括采用公允价值模式进行后续计量的投资性房地产、采用公允价值减去出售费用后的净额计量的生物资产、职工薪酬形成的资产、递延所得税资产、由金融工具相关会计准则规范的金融资产、由保险合同相关会计准则规范的保险合同所产生的权利。</w:t>
          </w:r>
        </w:p>
      </w:sdtContent>
    </w:sdt>
    <w:p w14:paraId="6229954A" w14:textId="77777777" w:rsidR="00E57DAA" w:rsidRDefault="00E57DAA">
      <w:pPr>
        <w:jc w:val="both"/>
        <w:rPr>
          <w:szCs w:val="21"/>
        </w:rPr>
      </w:pPr>
    </w:p>
    <w:p w14:paraId="70511072" w14:textId="77777777" w:rsidR="00E57DAA" w:rsidRDefault="00AC4185">
      <w:pPr>
        <w:rPr>
          <w:rFonts w:cs="Times New Roman"/>
          <w:b/>
          <w:kern w:val="2"/>
          <w:szCs w:val="21"/>
        </w:rPr>
      </w:pPr>
      <w:r>
        <w:rPr>
          <w:rFonts w:cs="Times New Roman"/>
          <w:b/>
          <w:kern w:val="2"/>
          <w:szCs w:val="21"/>
        </w:rPr>
        <w:t>终止经营的认定标准和列报方法</w:t>
      </w:r>
    </w:p>
    <w:sdt>
      <w:sdtPr>
        <w:rPr>
          <w:szCs w:val="21"/>
        </w:rPr>
        <w:alias w:val="是否适用：终止经营的认定标准和列报方法[双击切换]"/>
        <w:tag w:val="_GBC_a323dd7cc84c4bd1bc42320036ce854b"/>
        <w:id w:val="-330529632"/>
        <w:placeholder>
          <w:docPart w:val="GBC22222222222222222222222222222"/>
        </w:placeholder>
      </w:sdtPr>
      <w:sdtEndPr/>
      <w:sdtContent>
        <w:p w14:paraId="70F0DA1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EB040F" w14:textId="77777777" w:rsidR="00E57DAA" w:rsidRDefault="00E57DAA">
      <w:pPr>
        <w:rPr>
          <w:szCs w:val="21"/>
        </w:rPr>
      </w:pPr>
    </w:p>
    <w:p w14:paraId="6D07A8B6" w14:textId="77777777" w:rsidR="00E57DAA" w:rsidRDefault="00AC4185" w:rsidP="00C25422">
      <w:pPr>
        <w:pStyle w:val="91"/>
        <w:numPr>
          <w:ilvl w:val="0"/>
          <w:numId w:val="61"/>
        </w:numPr>
      </w:pPr>
      <w:r>
        <w:rPr>
          <w:rFonts w:hint="eastAsia"/>
        </w:rPr>
        <w:t>债权投资</w:t>
      </w:r>
    </w:p>
    <w:p w14:paraId="59E03238" w14:textId="77777777" w:rsidR="00E57DAA" w:rsidRDefault="00AC4185">
      <w:pPr>
        <w:ind w:firstLineChars="200" w:firstLine="420"/>
      </w:pPr>
      <w:r>
        <w:rPr>
          <w:rFonts w:hint="eastAsia"/>
        </w:rPr>
        <w:t>本公司对债权投资的预期信用损失的确定方法及会计处理方法详见本附注11、</w:t>
      </w:r>
      <w:r>
        <w:t>6.金融工具减值。</w:t>
      </w:r>
    </w:p>
    <w:p w14:paraId="08F381F6" w14:textId="77777777" w:rsidR="00E57DAA" w:rsidRDefault="00AC4185" w:rsidP="00C25422">
      <w:pPr>
        <w:pStyle w:val="91"/>
        <w:numPr>
          <w:ilvl w:val="0"/>
          <w:numId w:val="61"/>
        </w:numPr>
      </w:pPr>
      <w:r>
        <w:rPr>
          <w:rFonts w:hint="eastAsia"/>
        </w:rPr>
        <w:t>其他债权投资</w:t>
      </w:r>
    </w:p>
    <w:p w14:paraId="00CD7843" w14:textId="77777777" w:rsidR="00E57DAA" w:rsidRDefault="00AC4185">
      <w:pPr>
        <w:ind w:firstLineChars="200" w:firstLine="420"/>
      </w:pPr>
      <w:r>
        <w:rPr>
          <w:rFonts w:hint="eastAsia"/>
        </w:rPr>
        <w:t>本公司对其他债权投资的预期信用损失的确定方法及会计处理方法详见本附注11、</w:t>
      </w:r>
      <w:r>
        <w:t>6.金融工具减值。</w:t>
      </w:r>
    </w:p>
    <w:p w14:paraId="658B572A" w14:textId="77777777" w:rsidR="00E57DAA" w:rsidRDefault="00AC4185" w:rsidP="00C25422">
      <w:pPr>
        <w:pStyle w:val="91"/>
        <w:numPr>
          <w:ilvl w:val="0"/>
          <w:numId w:val="61"/>
        </w:numPr>
      </w:pPr>
      <w:r>
        <w:rPr>
          <w:rFonts w:hint="eastAsia"/>
        </w:rPr>
        <w:t>长期应收款</w:t>
      </w:r>
    </w:p>
    <w:p w14:paraId="2D9BC246" w14:textId="77777777" w:rsidR="00E57DAA" w:rsidRDefault="00AC4185">
      <w:pPr>
        <w:ind w:firstLineChars="200" w:firstLine="420"/>
        <w:jc w:val="both"/>
      </w:pPr>
      <w:r>
        <w:rPr>
          <w:rFonts w:hint="eastAsia"/>
        </w:rPr>
        <w:t>本公司对长期应收款的预期信用损失的确定方法及会计处理方法详见本附注11、</w:t>
      </w:r>
      <w:r>
        <w:t>6.金融工具减值。</w:t>
      </w:r>
    </w:p>
    <w:p w14:paraId="4B78B878" w14:textId="77777777" w:rsidR="00E57DAA" w:rsidRDefault="00AC4185">
      <w:pPr>
        <w:ind w:firstLineChars="200" w:firstLine="420"/>
        <w:jc w:val="both"/>
      </w:pPr>
      <w:r>
        <w:rPr>
          <w:rFonts w:hint="eastAsia"/>
        </w:rPr>
        <w:t>本公司对在单项工具层面能以合理成本评估预期信用损失的充分证据的长期应收款单独确定其信用损失。</w:t>
      </w:r>
    </w:p>
    <w:p w14:paraId="7149A08B" w14:textId="77777777" w:rsidR="00E57DAA" w:rsidRDefault="00AC4185">
      <w:pPr>
        <w:ind w:firstLineChars="200" w:firstLine="420"/>
        <w:jc w:val="both"/>
      </w:pPr>
      <w:r>
        <w:rPr>
          <w:rFonts w:hint="eastAsia"/>
        </w:rPr>
        <w:t>当在单项工具层面无法以合理成本评估预期信用损失的充分证据时，本公司参考历史信用损失经验，结合当前状况以及对未来经济状况的判断，依据信用风险特征将长期应收款划分为若干组合，在组合基础上计算预期信用损失。确定组合的依据如下：</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608"/>
        <w:gridCol w:w="3033"/>
        <w:gridCol w:w="3192"/>
      </w:tblGrid>
      <w:tr w:rsidR="00E57DAA" w14:paraId="781EAFA1" w14:textId="77777777">
        <w:trPr>
          <w:trHeight w:val="340"/>
        </w:trPr>
        <w:tc>
          <w:tcPr>
            <w:tcW w:w="2671" w:type="dxa"/>
            <w:shd w:val="clear" w:color="auto" w:fill="auto"/>
            <w:vAlign w:val="center"/>
          </w:tcPr>
          <w:p w14:paraId="30A0E33E" w14:textId="77777777" w:rsidR="00E57DAA" w:rsidRDefault="00AC4185">
            <w:pPr>
              <w:ind w:firstLineChars="200" w:firstLine="420"/>
            </w:pPr>
            <w:r>
              <w:rPr>
                <w:rFonts w:hint="eastAsia"/>
              </w:rPr>
              <w:t>组合名称</w:t>
            </w:r>
          </w:p>
        </w:tc>
        <w:tc>
          <w:tcPr>
            <w:tcW w:w="3107" w:type="dxa"/>
            <w:shd w:val="clear" w:color="auto" w:fill="auto"/>
            <w:vAlign w:val="center"/>
          </w:tcPr>
          <w:p w14:paraId="273A86FC" w14:textId="77777777" w:rsidR="00E57DAA" w:rsidRDefault="00AC4185">
            <w:pPr>
              <w:ind w:firstLineChars="200" w:firstLine="420"/>
            </w:pPr>
            <w:r>
              <w:rPr>
                <w:rFonts w:hint="eastAsia"/>
              </w:rPr>
              <w:t>确定组合的依据</w:t>
            </w:r>
          </w:p>
        </w:tc>
        <w:tc>
          <w:tcPr>
            <w:tcW w:w="3271" w:type="dxa"/>
            <w:vAlign w:val="center"/>
          </w:tcPr>
          <w:p w14:paraId="0B5933A3" w14:textId="77777777" w:rsidR="00E57DAA" w:rsidRDefault="00AC4185">
            <w:pPr>
              <w:ind w:firstLineChars="200" w:firstLine="420"/>
            </w:pPr>
            <w:r>
              <w:rPr>
                <w:rFonts w:hint="eastAsia"/>
              </w:rPr>
              <w:t>计提方法</w:t>
            </w:r>
          </w:p>
        </w:tc>
      </w:tr>
      <w:tr w:rsidR="00E57DAA" w14:paraId="2C0C9A52" w14:textId="77777777">
        <w:trPr>
          <w:trHeight w:val="340"/>
        </w:trPr>
        <w:tc>
          <w:tcPr>
            <w:tcW w:w="2671" w:type="dxa"/>
            <w:shd w:val="clear" w:color="auto" w:fill="auto"/>
            <w:vAlign w:val="center"/>
          </w:tcPr>
          <w:p w14:paraId="4C44B543" w14:textId="77777777" w:rsidR="00E57DAA" w:rsidRDefault="00AC4185">
            <w:r>
              <w:rPr>
                <w:rFonts w:hint="eastAsia"/>
              </w:rPr>
              <w:t>未到还款期且具有较低的信用风险</w:t>
            </w:r>
          </w:p>
        </w:tc>
        <w:tc>
          <w:tcPr>
            <w:tcW w:w="3107" w:type="dxa"/>
            <w:shd w:val="clear" w:color="auto" w:fill="auto"/>
            <w:vAlign w:val="center"/>
          </w:tcPr>
          <w:p w14:paraId="02EABC43" w14:textId="77777777" w:rsidR="00E57DAA" w:rsidRDefault="00AC4185">
            <w:r>
              <w:rPr>
                <w:rFonts w:hint="eastAsia"/>
              </w:rPr>
              <w:t>未逾期的长期应收款</w:t>
            </w:r>
          </w:p>
        </w:tc>
        <w:tc>
          <w:tcPr>
            <w:tcW w:w="3271" w:type="dxa"/>
            <w:vAlign w:val="center"/>
          </w:tcPr>
          <w:p w14:paraId="0244FF8E" w14:textId="77777777" w:rsidR="00E57DAA" w:rsidRDefault="00AC4185">
            <w:r>
              <w:rPr>
                <w:rFonts w:hint="eastAsia"/>
              </w:rPr>
              <w:t>未发生信用减值，不计提</w:t>
            </w:r>
          </w:p>
        </w:tc>
      </w:tr>
      <w:tr w:rsidR="00E57DAA" w14:paraId="2071EEC5" w14:textId="77777777">
        <w:trPr>
          <w:trHeight w:val="340"/>
        </w:trPr>
        <w:tc>
          <w:tcPr>
            <w:tcW w:w="2671" w:type="dxa"/>
            <w:shd w:val="clear" w:color="auto" w:fill="auto"/>
            <w:vAlign w:val="center"/>
          </w:tcPr>
          <w:p w14:paraId="7A88FAF2" w14:textId="77777777" w:rsidR="00E57DAA" w:rsidRDefault="00AC4185">
            <w:r>
              <w:rPr>
                <w:rFonts w:hint="eastAsia"/>
              </w:rPr>
              <w:t>已到还款期且信用风险自初始确认后仍未显著增加</w:t>
            </w:r>
          </w:p>
        </w:tc>
        <w:tc>
          <w:tcPr>
            <w:tcW w:w="3107" w:type="dxa"/>
            <w:shd w:val="clear" w:color="auto" w:fill="auto"/>
            <w:vAlign w:val="center"/>
          </w:tcPr>
          <w:p w14:paraId="74101331" w14:textId="77777777" w:rsidR="00E57DAA" w:rsidRDefault="00AC4185">
            <w:r>
              <w:rPr>
                <w:rFonts w:hint="eastAsia"/>
              </w:rPr>
              <w:t>已逾期的长期应收款，债务人无债务恶化趋势</w:t>
            </w:r>
          </w:p>
        </w:tc>
        <w:tc>
          <w:tcPr>
            <w:tcW w:w="3271" w:type="dxa"/>
            <w:vAlign w:val="center"/>
          </w:tcPr>
          <w:p w14:paraId="27BD339E" w14:textId="77777777" w:rsidR="00E57DAA" w:rsidRDefault="00AC4185">
            <w:r>
              <w:rPr>
                <w:rFonts w:hint="eastAsia"/>
              </w:rPr>
              <w:t>组合为基础计量违约损失率计提</w:t>
            </w:r>
          </w:p>
        </w:tc>
      </w:tr>
    </w:tbl>
    <w:p w14:paraId="4DE1C226" w14:textId="77777777" w:rsidR="00E57DAA" w:rsidRDefault="00E57DAA">
      <w:pPr>
        <w:ind w:firstLineChars="200" w:firstLine="420"/>
      </w:pPr>
    </w:p>
    <w:p w14:paraId="68E209B0" w14:textId="77777777" w:rsidR="00E57DAA" w:rsidRDefault="00AC4185" w:rsidP="00C25422">
      <w:pPr>
        <w:pStyle w:val="91"/>
        <w:numPr>
          <w:ilvl w:val="0"/>
          <w:numId w:val="61"/>
        </w:numPr>
      </w:pPr>
      <w:r>
        <w:t>长期股权投资</w:t>
      </w:r>
    </w:p>
    <w:sdt>
      <w:sdtPr>
        <w:rPr>
          <w:rFonts w:hint="eastAsia"/>
          <w:szCs w:val="21"/>
        </w:rPr>
        <w:alias w:val="是否适用：长期股权投资_重要会计政策和估计[双击切换]"/>
        <w:tag w:val="_GBC_990faa4da4e64a5389a573293ba4981b"/>
        <w:id w:val="1387909988"/>
        <w:placeholder>
          <w:docPart w:val="GBC22222222222222222222222222222"/>
        </w:placeholder>
      </w:sdtPr>
      <w:sdtEndPr/>
      <w:sdtContent>
        <w:p w14:paraId="429A95A1"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337512188"/>
        <w:placeholder>
          <w:docPart w:val="GBC22222222222222222222222222222"/>
        </w:placeholder>
      </w:sdtPr>
      <w:sdtEndPr/>
      <w:sdtContent>
        <w:p w14:paraId="3F6B2285" w14:textId="77777777" w:rsidR="00E57DAA" w:rsidRDefault="00AC4185">
          <w:pPr>
            <w:ind w:firstLineChars="200" w:firstLine="420"/>
            <w:rPr>
              <w:szCs w:val="21"/>
            </w:rPr>
          </w:pPr>
          <w:r>
            <w:rPr>
              <w:szCs w:val="21"/>
            </w:rPr>
            <w:t>1．初始投资成本的确定</w:t>
          </w:r>
        </w:p>
        <w:p w14:paraId="0C182AC7" w14:textId="77777777" w:rsidR="00E57DAA" w:rsidRDefault="00AC4185">
          <w:pPr>
            <w:ind w:firstLineChars="200" w:firstLine="420"/>
            <w:rPr>
              <w:szCs w:val="21"/>
            </w:rPr>
          </w:pPr>
          <w:r>
            <w:rPr>
              <w:rFonts w:hint="eastAsia"/>
              <w:szCs w:val="21"/>
            </w:rPr>
            <w:t>（</w:t>
          </w:r>
          <w:r>
            <w:rPr>
              <w:szCs w:val="21"/>
            </w:rPr>
            <w:t>1）企业合并形成的长期股权投资，具体会计政策详见本附注（六）同一控制下和非同一控制下企业合并的会计处理方法。</w:t>
          </w:r>
        </w:p>
        <w:p w14:paraId="162DBB55" w14:textId="77777777" w:rsidR="00E57DAA" w:rsidRDefault="00AC4185">
          <w:pPr>
            <w:ind w:firstLineChars="200" w:firstLine="420"/>
            <w:rPr>
              <w:szCs w:val="21"/>
            </w:rPr>
          </w:pPr>
          <w:r>
            <w:rPr>
              <w:rFonts w:hint="eastAsia"/>
              <w:szCs w:val="21"/>
            </w:rPr>
            <w:t>（</w:t>
          </w:r>
          <w:r>
            <w:rPr>
              <w:szCs w:val="21"/>
            </w:rPr>
            <w:t>2）其他方式取得的长期股权投资</w:t>
          </w:r>
        </w:p>
        <w:p w14:paraId="737877B4" w14:textId="77777777" w:rsidR="00E57DAA" w:rsidRDefault="00AC4185">
          <w:pPr>
            <w:ind w:firstLineChars="200" w:firstLine="420"/>
            <w:rPr>
              <w:szCs w:val="21"/>
            </w:rPr>
          </w:pPr>
          <w:r>
            <w:rPr>
              <w:rFonts w:hint="eastAsia"/>
              <w:szCs w:val="21"/>
            </w:rPr>
            <w:t>以支付现金方式取得的长期股权投资，按照实际支付的购买价款作为初始投资成本。初始投资成本包括与取得长期股权投资直接相关的费用、税金及其他必要支出。</w:t>
          </w:r>
        </w:p>
        <w:p w14:paraId="6F952DB2" w14:textId="77777777" w:rsidR="00E57DAA" w:rsidRDefault="00AC4185">
          <w:pPr>
            <w:ind w:firstLineChars="200" w:firstLine="420"/>
            <w:jc w:val="both"/>
            <w:rPr>
              <w:szCs w:val="21"/>
            </w:rPr>
          </w:pPr>
          <w:r>
            <w:rPr>
              <w:rFonts w:hint="eastAsia"/>
              <w:szCs w:val="21"/>
            </w:rPr>
            <w:t>以发行权益性证券取得的长期股权投资，按照发行权益性证券的公允价值作为初始投资成本；发行或取得自身权益工具时发生的交易费用，可直接归属于权益性交易的从权益中扣减。</w:t>
          </w:r>
        </w:p>
        <w:p w14:paraId="490708DD" w14:textId="77777777" w:rsidR="00E57DAA" w:rsidRDefault="00AC4185">
          <w:pPr>
            <w:ind w:firstLineChars="200" w:firstLine="420"/>
            <w:jc w:val="both"/>
            <w:rPr>
              <w:szCs w:val="21"/>
            </w:rPr>
          </w:pPr>
          <w:r>
            <w:rPr>
              <w:rFonts w:hint="eastAsia"/>
              <w:szCs w:val="21"/>
            </w:rPr>
            <w:t>在非货币性资产交换具备商业实质和换入资产或换出资产的公允价值能够可靠计量的前提下，非货币性资产交换换入的长期股权投资以换出资产的公允价值为基础确定其初始投资成本，除非有确凿证据表明换入资产的公允价值更加可靠；不满足上述前提的非货币性资产交换，以换出资产的账面价值和应支付的相关税费作为换入长期股权投资的初始投资成本。</w:t>
          </w:r>
        </w:p>
        <w:p w14:paraId="2DEBE239" w14:textId="77777777" w:rsidR="00E57DAA" w:rsidRDefault="00AC4185">
          <w:pPr>
            <w:ind w:firstLineChars="200" w:firstLine="420"/>
            <w:rPr>
              <w:szCs w:val="21"/>
            </w:rPr>
          </w:pPr>
          <w:r>
            <w:rPr>
              <w:rFonts w:hint="eastAsia"/>
              <w:szCs w:val="21"/>
            </w:rPr>
            <w:t>通过债务重组取得的长期股权投资，其初始投资成本按照公允价值为基础确定。</w:t>
          </w:r>
        </w:p>
        <w:p w14:paraId="4D5279AD" w14:textId="77777777" w:rsidR="00E57DAA" w:rsidRDefault="00AC4185">
          <w:pPr>
            <w:ind w:firstLineChars="200" w:firstLine="420"/>
            <w:rPr>
              <w:szCs w:val="21"/>
            </w:rPr>
          </w:pPr>
          <w:r>
            <w:rPr>
              <w:szCs w:val="21"/>
            </w:rPr>
            <w:t>2．后续计量及损益确认</w:t>
          </w:r>
        </w:p>
        <w:p w14:paraId="7012BAEF" w14:textId="77777777" w:rsidR="00E57DAA" w:rsidRDefault="00AC4185">
          <w:pPr>
            <w:ind w:firstLineChars="200" w:firstLine="420"/>
            <w:rPr>
              <w:szCs w:val="21"/>
            </w:rPr>
          </w:pPr>
          <w:r>
            <w:rPr>
              <w:rFonts w:hint="eastAsia"/>
              <w:szCs w:val="21"/>
            </w:rPr>
            <w:t>（</w:t>
          </w:r>
          <w:r>
            <w:rPr>
              <w:szCs w:val="21"/>
            </w:rPr>
            <w:t>1）成本法</w:t>
          </w:r>
        </w:p>
        <w:p w14:paraId="199A61E8" w14:textId="77777777" w:rsidR="00E57DAA" w:rsidRDefault="00AC4185">
          <w:pPr>
            <w:ind w:firstLineChars="200" w:firstLine="420"/>
            <w:rPr>
              <w:szCs w:val="21"/>
            </w:rPr>
          </w:pPr>
          <w:r>
            <w:rPr>
              <w:rFonts w:hint="eastAsia"/>
              <w:szCs w:val="21"/>
            </w:rPr>
            <w:t>本公司能够对被投资单位实施控制的长期股权投资采用成本法核算，并按照初始投资成本计价，追加或收回投资调整长期股权投资的成本。</w:t>
          </w:r>
        </w:p>
        <w:p w14:paraId="52AAB727" w14:textId="77777777" w:rsidR="00E57DAA" w:rsidRDefault="00AC4185">
          <w:pPr>
            <w:ind w:firstLineChars="200" w:firstLine="420"/>
            <w:rPr>
              <w:szCs w:val="21"/>
            </w:rPr>
          </w:pPr>
          <w:r>
            <w:rPr>
              <w:rFonts w:hint="eastAsia"/>
              <w:szCs w:val="21"/>
            </w:rPr>
            <w:t>除取得投资时实际支付的价款或对价中包含的已宣告但尚未发放的现金股利或利润外，本公司按照享有被投资单位宣告分派的现金股利或利润确认为当期投资收益。</w:t>
          </w:r>
        </w:p>
        <w:p w14:paraId="7A414402" w14:textId="77777777" w:rsidR="00E57DAA" w:rsidRDefault="00AC4185">
          <w:pPr>
            <w:ind w:firstLineChars="200" w:firstLine="420"/>
            <w:rPr>
              <w:szCs w:val="21"/>
            </w:rPr>
          </w:pPr>
          <w:r>
            <w:rPr>
              <w:rFonts w:hint="eastAsia"/>
              <w:szCs w:val="21"/>
            </w:rPr>
            <w:t>（</w:t>
          </w:r>
          <w:r>
            <w:rPr>
              <w:szCs w:val="21"/>
            </w:rPr>
            <w:t>2）权益法</w:t>
          </w:r>
        </w:p>
        <w:p w14:paraId="34DAEFB2" w14:textId="77777777" w:rsidR="00E57DAA" w:rsidRDefault="00AC4185">
          <w:pPr>
            <w:ind w:firstLineChars="200" w:firstLine="420"/>
            <w:rPr>
              <w:szCs w:val="21"/>
            </w:rPr>
          </w:pPr>
          <w:r>
            <w:rPr>
              <w:rFonts w:hint="eastAsia"/>
              <w:szCs w:val="21"/>
            </w:rPr>
            <w:t>本公司对联营企业和合营企业的长期股权投资采用权益法核算；对于其中一部分通过风险投资机构、共同基金、信托公司或包括投连险基金在内的类似主体间接持有的联营企业的权益性投资，采用公允价值计量且其变动计入损益。</w:t>
          </w:r>
        </w:p>
        <w:p w14:paraId="4E2A59F4" w14:textId="77777777" w:rsidR="00E57DAA" w:rsidRDefault="00AC4185">
          <w:pPr>
            <w:ind w:firstLineChars="200" w:firstLine="420"/>
            <w:rPr>
              <w:szCs w:val="21"/>
            </w:rPr>
          </w:pPr>
          <w:r>
            <w:rPr>
              <w:rFonts w:hint="eastAsia"/>
              <w:szCs w:val="21"/>
            </w:rPr>
            <w:t>长期股权投资的初始投资成本大于投资时应享有被投资单位可辨认净资产公允价值份额的差额，不调整长期股权投资的初始投资成本；初始投资成本小于投资时应享有被投资单位可辨认净资产公允价值份额的差额，计入当期损益。</w:t>
          </w:r>
        </w:p>
        <w:p w14:paraId="49C9BAC2" w14:textId="77777777" w:rsidR="00E57DAA" w:rsidRDefault="00AC4185">
          <w:pPr>
            <w:ind w:firstLineChars="200" w:firstLine="420"/>
            <w:rPr>
              <w:szCs w:val="21"/>
            </w:rPr>
          </w:pPr>
          <w:r>
            <w:rPr>
              <w:rFonts w:hint="eastAsia"/>
              <w:szCs w:val="21"/>
            </w:rPr>
            <w:t>本公司取得长期股权投资后，按照应享有或应分担的被投资单位实现的净损益和其他综合收益的份额，分别确认投资收益和其他综合收益，同时调整长期股权投资的账面价值；并按照被投资单位宣告分派的利润或现金股利计算应享有的部分，相应减少长期股权投资的账面价值；对于被投资单位除净损益、其他综合收益和利润分配以外所有者权益的其他变动，调整长期股权投资的账面价值并计入所有者权益。</w:t>
          </w:r>
        </w:p>
        <w:p w14:paraId="5B0E8B80" w14:textId="77777777" w:rsidR="00E57DAA" w:rsidRDefault="00AC4185">
          <w:pPr>
            <w:ind w:firstLineChars="200" w:firstLine="420"/>
            <w:rPr>
              <w:szCs w:val="21"/>
            </w:rPr>
          </w:pPr>
          <w:r>
            <w:rPr>
              <w:rFonts w:hint="eastAsia"/>
              <w:szCs w:val="21"/>
            </w:rPr>
            <w:t>本公司在确认应享有被投资单位净损益的份额时，以取得投资时被投资单位各项可辨认资产等的公允价值为基础，对被投资单位的净利润进行调整后确认。本公司与联营企业、合营企业之间发生的未实现内部交易损益按照应享有的比例计算归属于本公司的部分予以抵销，在此基础上确认投资损益。</w:t>
          </w:r>
        </w:p>
        <w:p w14:paraId="580AA456" w14:textId="77777777" w:rsidR="00E57DAA" w:rsidRDefault="00AC4185">
          <w:pPr>
            <w:ind w:firstLineChars="200" w:firstLine="420"/>
            <w:rPr>
              <w:szCs w:val="21"/>
            </w:rPr>
          </w:pPr>
          <w:r>
            <w:rPr>
              <w:rFonts w:hint="eastAsia"/>
              <w:szCs w:val="21"/>
            </w:rPr>
            <w:t>本公司确认应分担被投资单位发生的亏损时，按照以下顺序进行处理：首先，冲减长期股权投资的账面价值。其次，长期股权投资的账面价值不足以冲减的，以其他实质上构成对被投资单位净投资的长期权益账面价值为限继续确认投资损失，冲减长期应收项目等的账面价值。最后，经过上述处理，按照投资合同或协议约定企业仍承担额外义务的，按预计承担的义务确认预计负债，计入当期投资损失。</w:t>
          </w:r>
        </w:p>
        <w:p w14:paraId="2B4F543B" w14:textId="77777777" w:rsidR="00E57DAA" w:rsidRDefault="00AC4185">
          <w:pPr>
            <w:ind w:firstLineChars="200" w:firstLine="420"/>
            <w:rPr>
              <w:szCs w:val="21"/>
            </w:rPr>
          </w:pPr>
          <w:r>
            <w:rPr>
              <w:rFonts w:hint="eastAsia"/>
              <w:szCs w:val="21"/>
            </w:rPr>
            <w:t>被投资单位以后期间实现盈利的，公司在扣除未确认的亏损分担额后，按与上述相反的顺序处理，减记已确认预计负债的账面余额、恢复其他实质上构成对被投资单位净投资的长期权益及长期股权投资的账面价值后，恢复确认投资收益。</w:t>
          </w:r>
        </w:p>
        <w:p w14:paraId="1D5F1EDF" w14:textId="77777777" w:rsidR="00E57DAA" w:rsidRDefault="00AC4185">
          <w:pPr>
            <w:ind w:firstLineChars="200" w:firstLine="420"/>
            <w:rPr>
              <w:szCs w:val="21"/>
            </w:rPr>
          </w:pPr>
          <w:r>
            <w:rPr>
              <w:szCs w:val="21"/>
            </w:rPr>
            <w:t>3．长期股权投资核算方法的转换</w:t>
          </w:r>
        </w:p>
        <w:p w14:paraId="653016C5" w14:textId="77777777" w:rsidR="00E57DAA" w:rsidRDefault="00AC4185">
          <w:pPr>
            <w:ind w:firstLineChars="200" w:firstLine="420"/>
            <w:rPr>
              <w:szCs w:val="21"/>
            </w:rPr>
          </w:pPr>
          <w:r>
            <w:rPr>
              <w:rFonts w:hint="eastAsia"/>
              <w:szCs w:val="21"/>
            </w:rPr>
            <w:t>（</w:t>
          </w:r>
          <w:r>
            <w:rPr>
              <w:szCs w:val="21"/>
            </w:rPr>
            <w:t>1）</w:t>
          </w:r>
          <w:r>
            <w:rPr>
              <w:szCs w:val="21"/>
            </w:rPr>
            <w:tab/>
            <w:t>公允价值计量转权益法核算</w:t>
          </w:r>
        </w:p>
        <w:p w14:paraId="00E66188" w14:textId="77777777" w:rsidR="00E57DAA" w:rsidRDefault="00AC4185">
          <w:pPr>
            <w:ind w:firstLineChars="200" w:firstLine="420"/>
            <w:rPr>
              <w:szCs w:val="21"/>
            </w:rPr>
          </w:pPr>
          <w:r>
            <w:rPr>
              <w:rFonts w:hint="eastAsia"/>
              <w:szCs w:val="21"/>
            </w:rPr>
            <w:t>本公司原持有的对被投资单位不具有控制、共同控制或重大影响的按金融工具确认和计量准则进行会计处理的权益性投资，因追加投资等原因能够对被投资单位施加重大影响或实施共同控制但不构成控制的，按照《企业会计准则第</w:t>
          </w:r>
          <w:r>
            <w:rPr>
              <w:szCs w:val="21"/>
            </w:rPr>
            <w:t>22号——金融工具确认和计量》确定的原持有的股权投资的公允价值加上新增投资成本之和，作为改按权益法核算的初始投资成本。</w:t>
          </w:r>
        </w:p>
        <w:p w14:paraId="21384958" w14:textId="77777777" w:rsidR="00E57DAA" w:rsidRDefault="00AC4185">
          <w:pPr>
            <w:ind w:firstLineChars="200" w:firstLine="420"/>
            <w:rPr>
              <w:szCs w:val="21"/>
            </w:rPr>
          </w:pPr>
          <w:r>
            <w:rPr>
              <w:rFonts w:hint="eastAsia"/>
              <w:szCs w:val="21"/>
            </w:rPr>
            <w:lastRenderedPageBreak/>
            <w:t>按权益法核算的初始投资成本小于按照追加投资后全新的持股比例计算确定的应享有被投资单位在追加投资日可辨认净资产公允价值份额之间的差额，调整长期股权投资的账面价值，并计入当期营业外收入。</w:t>
          </w:r>
        </w:p>
        <w:p w14:paraId="07626B86" w14:textId="77777777" w:rsidR="00E57DAA" w:rsidRDefault="00AC4185">
          <w:pPr>
            <w:ind w:firstLineChars="200" w:firstLine="420"/>
            <w:rPr>
              <w:szCs w:val="21"/>
            </w:rPr>
          </w:pPr>
          <w:r>
            <w:rPr>
              <w:rFonts w:hint="eastAsia"/>
              <w:szCs w:val="21"/>
            </w:rPr>
            <w:t>（</w:t>
          </w:r>
          <w:r>
            <w:rPr>
              <w:szCs w:val="21"/>
            </w:rPr>
            <w:t>2）</w:t>
          </w:r>
          <w:r>
            <w:rPr>
              <w:szCs w:val="21"/>
            </w:rPr>
            <w:tab/>
            <w:t>公允价值计量或权益法核算转成本法核算</w:t>
          </w:r>
        </w:p>
        <w:p w14:paraId="65C39548" w14:textId="77777777" w:rsidR="00E57DAA" w:rsidRDefault="00AC4185">
          <w:pPr>
            <w:ind w:firstLineChars="200" w:firstLine="420"/>
            <w:rPr>
              <w:szCs w:val="21"/>
            </w:rPr>
          </w:pPr>
          <w:r>
            <w:rPr>
              <w:rFonts w:hint="eastAsia"/>
              <w:szCs w:val="21"/>
            </w:rPr>
            <w:t>本公司原持有的对被投资单位不具有控制、共同控制或重大影响的按金融工具确认和计量准则进行会计处理的权益性投资，或原持有对联营企业、合营企业的长期股权投资，因追加投资等原因能够对非同一控制下的被投资单位实施控制的，在编制个别财务报表时，按照原持有的股权投资账面价值加上新增投资成本之和，作为改按成本法核算的初始投资成本。</w:t>
          </w:r>
        </w:p>
        <w:p w14:paraId="1B42EA0D" w14:textId="77777777" w:rsidR="00E57DAA" w:rsidRDefault="00AC4185">
          <w:pPr>
            <w:ind w:firstLineChars="200" w:firstLine="420"/>
            <w:jc w:val="both"/>
            <w:rPr>
              <w:szCs w:val="21"/>
            </w:rPr>
          </w:pPr>
          <w:r>
            <w:rPr>
              <w:rFonts w:hint="eastAsia"/>
              <w:szCs w:val="21"/>
            </w:rPr>
            <w:t>购买日之前持有的股权投资因采用权益法核算而确认的其他综合收益，在处置该项投资时采用与被投资单位直接处置相关资产或负债相同的基础进行会计处理。</w:t>
          </w:r>
        </w:p>
        <w:p w14:paraId="7119AC51" w14:textId="77777777" w:rsidR="00E57DAA" w:rsidRDefault="00AC4185">
          <w:pPr>
            <w:ind w:firstLineChars="200" w:firstLine="420"/>
            <w:jc w:val="both"/>
            <w:rPr>
              <w:szCs w:val="21"/>
            </w:rPr>
          </w:pPr>
          <w:r>
            <w:rPr>
              <w:rFonts w:hint="eastAsia"/>
              <w:szCs w:val="21"/>
            </w:rPr>
            <w:t>购买日之前持有的股权投资按照《企业会计准则第</w:t>
          </w:r>
          <w:r>
            <w:rPr>
              <w:szCs w:val="21"/>
            </w:rPr>
            <w:t>22号——金融工具确认和计量》的有关规定进行会计处理的，原计入其他综合收益的累计公允价值变动在改按成本法核算时转入当期损益。</w:t>
          </w:r>
        </w:p>
        <w:p w14:paraId="00F49717" w14:textId="77777777" w:rsidR="00E57DAA" w:rsidRDefault="00AC4185">
          <w:pPr>
            <w:ind w:firstLineChars="200" w:firstLine="420"/>
            <w:rPr>
              <w:szCs w:val="21"/>
            </w:rPr>
          </w:pPr>
          <w:r>
            <w:rPr>
              <w:rFonts w:hint="eastAsia"/>
              <w:szCs w:val="21"/>
            </w:rPr>
            <w:t>（</w:t>
          </w:r>
          <w:r>
            <w:rPr>
              <w:szCs w:val="21"/>
            </w:rPr>
            <w:t>3）</w:t>
          </w:r>
          <w:r>
            <w:rPr>
              <w:szCs w:val="21"/>
            </w:rPr>
            <w:tab/>
            <w:t>权益法核算转公允价值计量</w:t>
          </w:r>
        </w:p>
        <w:p w14:paraId="425503FA" w14:textId="77777777" w:rsidR="00E57DAA" w:rsidRDefault="00AC4185">
          <w:pPr>
            <w:ind w:firstLineChars="200" w:firstLine="420"/>
            <w:jc w:val="both"/>
            <w:rPr>
              <w:szCs w:val="21"/>
            </w:rPr>
          </w:pPr>
          <w:r>
            <w:rPr>
              <w:rFonts w:hint="eastAsia"/>
              <w:szCs w:val="21"/>
            </w:rPr>
            <w:t>本公司因处置部分股权投资等原因丧失了对被投资单位的共同控制或重大影响的，处置后的剩余股权改按《企业会计准则第</w:t>
          </w:r>
          <w:r>
            <w:rPr>
              <w:szCs w:val="21"/>
            </w:rPr>
            <w:t>22号——金融工具确认和计量》核算，其在丧失共同控制或重大影响之日的公允价值与账面价值之间的差额计入当期损益。</w:t>
          </w:r>
        </w:p>
        <w:p w14:paraId="5286779F" w14:textId="77777777" w:rsidR="00E57DAA" w:rsidRDefault="00AC4185">
          <w:pPr>
            <w:ind w:firstLineChars="200" w:firstLine="420"/>
            <w:jc w:val="both"/>
            <w:rPr>
              <w:szCs w:val="21"/>
            </w:rPr>
          </w:pPr>
          <w:r>
            <w:rPr>
              <w:rFonts w:hint="eastAsia"/>
              <w:szCs w:val="21"/>
            </w:rPr>
            <w:t>原股权投资因采用权益法核算而确认的其他综合收益，在终止采用权益法核算时采用与被投资单位直接处置相关资产或负债相同的基础进行会计处理。</w:t>
          </w:r>
        </w:p>
        <w:p w14:paraId="0BA7DFFD" w14:textId="77777777" w:rsidR="00E57DAA" w:rsidRDefault="00AC4185">
          <w:pPr>
            <w:ind w:firstLineChars="200" w:firstLine="420"/>
            <w:rPr>
              <w:szCs w:val="21"/>
            </w:rPr>
          </w:pPr>
          <w:r>
            <w:rPr>
              <w:rFonts w:hint="eastAsia"/>
              <w:szCs w:val="21"/>
            </w:rPr>
            <w:t>（</w:t>
          </w:r>
          <w:r>
            <w:rPr>
              <w:szCs w:val="21"/>
            </w:rPr>
            <w:t>4）</w:t>
          </w:r>
          <w:r>
            <w:rPr>
              <w:szCs w:val="21"/>
            </w:rPr>
            <w:tab/>
            <w:t>成本法转权益法</w:t>
          </w:r>
        </w:p>
        <w:p w14:paraId="42489C7D" w14:textId="77777777" w:rsidR="00E57DAA" w:rsidRDefault="00AC4185">
          <w:pPr>
            <w:ind w:firstLineChars="200" w:firstLine="420"/>
            <w:jc w:val="both"/>
            <w:rPr>
              <w:szCs w:val="21"/>
            </w:rPr>
          </w:pPr>
          <w:r>
            <w:rPr>
              <w:rFonts w:hint="eastAsia"/>
              <w:szCs w:val="21"/>
            </w:rPr>
            <w:t>本公司因处置部分权益性投资等原因丧失了对被投资单位的控制的，在编制个别财务报表时，处置后的剩余股权能够对被投资单位实施共同控制或施加重大影响的，改按权益法核算，并对该剩余股权视同自取得时即采用权益法核算进行调整。</w:t>
          </w:r>
        </w:p>
        <w:p w14:paraId="76A84E5C" w14:textId="77777777" w:rsidR="00E57DAA" w:rsidRDefault="00AC4185">
          <w:pPr>
            <w:ind w:firstLineChars="200" w:firstLine="420"/>
            <w:jc w:val="both"/>
            <w:rPr>
              <w:szCs w:val="21"/>
            </w:rPr>
          </w:pPr>
          <w:r>
            <w:rPr>
              <w:rFonts w:hint="eastAsia"/>
              <w:szCs w:val="21"/>
            </w:rPr>
            <w:t>（</w:t>
          </w:r>
          <w:r>
            <w:rPr>
              <w:szCs w:val="21"/>
            </w:rPr>
            <w:t>5）</w:t>
          </w:r>
          <w:r>
            <w:rPr>
              <w:szCs w:val="21"/>
            </w:rPr>
            <w:tab/>
            <w:t>成本法转公允价值计量</w:t>
          </w:r>
        </w:p>
        <w:p w14:paraId="31D30F4A" w14:textId="77777777" w:rsidR="00E57DAA" w:rsidRDefault="00AC4185">
          <w:pPr>
            <w:ind w:firstLineChars="200" w:firstLine="420"/>
            <w:jc w:val="both"/>
            <w:rPr>
              <w:szCs w:val="21"/>
            </w:rPr>
          </w:pPr>
          <w:r>
            <w:rPr>
              <w:rFonts w:hint="eastAsia"/>
              <w:szCs w:val="21"/>
            </w:rPr>
            <w:t>本公司因处置部分权益性投资等原因丧失了对被投资单位的控制的，在编制个别财务报表时，处置后的剩余股权不能对被投资单位实施共同控制或施加重大影响的，改按《企业会计准则第</w:t>
          </w:r>
          <w:r>
            <w:rPr>
              <w:szCs w:val="21"/>
            </w:rPr>
            <w:t>22号——金融工具确认和计量》的有关规定进行会计处理，其在丧失控制之日的公允价值与账面价值间的差额计入当期损益。</w:t>
          </w:r>
        </w:p>
        <w:p w14:paraId="08FE6B12" w14:textId="77777777" w:rsidR="00E57DAA" w:rsidRDefault="00AC4185">
          <w:pPr>
            <w:ind w:firstLineChars="200" w:firstLine="420"/>
            <w:jc w:val="both"/>
            <w:rPr>
              <w:szCs w:val="21"/>
            </w:rPr>
          </w:pPr>
          <w:r>
            <w:rPr>
              <w:szCs w:val="21"/>
            </w:rPr>
            <w:t>4．长期股权投资的处置</w:t>
          </w:r>
        </w:p>
        <w:p w14:paraId="235E3535" w14:textId="77777777" w:rsidR="00E57DAA" w:rsidRDefault="00AC4185">
          <w:pPr>
            <w:ind w:firstLineChars="200" w:firstLine="420"/>
            <w:jc w:val="both"/>
            <w:rPr>
              <w:szCs w:val="21"/>
            </w:rPr>
          </w:pPr>
          <w:r>
            <w:rPr>
              <w:rFonts w:hint="eastAsia"/>
              <w:szCs w:val="21"/>
            </w:rPr>
            <w:t>处置长期股权投资，其账面价值与实际取得价款之间的差额，应当计入当期损益。采用权益法核算的长期股权投资，在处置该项投资时，采用与被投资单位直接处置相关资产或负债相同的基础，按相应比例对原计入其他综合收益的部分进行会计处理。</w:t>
          </w:r>
        </w:p>
        <w:p w14:paraId="702BF769" w14:textId="77777777" w:rsidR="00E57DAA" w:rsidRDefault="00AC4185">
          <w:pPr>
            <w:ind w:firstLineChars="200" w:firstLine="420"/>
            <w:rPr>
              <w:szCs w:val="21"/>
            </w:rPr>
          </w:pPr>
          <w:r>
            <w:rPr>
              <w:rFonts w:hint="eastAsia"/>
              <w:szCs w:val="21"/>
            </w:rPr>
            <w:t>处置对子公司股权投资的各项交易的条款、条件以及经济影响符合以下一种或多种情况，将多次交易事项作为一揽子交易进行会计处理：</w:t>
          </w:r>
        </w:p>
        <w:p w14:paraId="61BF6A15" w14:textId="77777777" w:rsidR="00E57DAA" w:rsidRDefault="00AC4185">
          <w:pPr>
            <w:ind w:firstLineChars="200" w:firstLine="420"/>
            <w:rPr>
              <w:szCs w:val="21"/>
            </w:rPr>
          </w:pPr>
          <w:r>
            <w:rPr>
              <w:rFonts w:hint="eastAsia"/>
              <w:szCs w:val="21"/>
            </w:rPr>
            <w:t>（</w:t>
          </w:r>
          <w:r>
            <w:rPr>
              <w:szCs w:val="21"/>
            </w:rPr>
            <w:t>1）</w:t>
          </w:r>
          <w:r>
            <w:rPr>
              <w:szCs w:val="21"/>
            </w:rPr>
            <w:tab/>
            <w:t>这些交易是同时或者在考虑了彼此影响的情况下订立的；</w:t>
          </w:r>
        </w:p>
        <w:p w14:paraId="07559A0C" w14:textId="77777777" w:rsidR="00E57DAA" w:rsidRDefault="00AC4185">
          <w:pPr>
            <w:ind w:firstLineChars="200" w:firstLine="420"/>
            <w:rPr>
              <w:szCs w:val="21"/>
            </w:rPr>
          </w:pPr>
          <w:r>
            <w:rPr>
              <w:rFonts w:hint="eastAsia"/>
              <w:szCs w:val="21"/>
            </w:rPr>
            <w:t>（</w:t>
          </w:r>
          <w:r>
            <w:rPr>
              <w:szCs w:val="21"/>
            </w:rPr>
            <w:t>2）</w:t>
          </w:r>
          <w:r>
            <w:rPr>
              <w:szCs w:val="21"/>
            </w:rPr>
            <w:tab/>
            <w:t>这些交易整体才能达成一项完整的商业结果；</w:t>
          </w:r>
        </w:p>
        <w:p w14:paraId="7A037FD8" w14:textId="77777777" w:rsidR="00E57DAA" w:rsidRDefault="00AC4185">
          <w:pPr>
            <w:ind w:firstLineChars="200" w:firstLine="420"/>
            <w:rPr>
              <w:szCs w:val="21"/>
            </w:rPr>
          </w:pPr>
          <w:r>
            <w:rPr>
              <w:rFonts w:hint="eastAsia"/>
              <w:szCs w:val="21"/>
            </w:rPr>
            <w:t>（</w:t>
          </w:r>
          <w:r>
            <w:rPr>
              <w:szCs w:val="21"/>
            </w:rPr>
            <w:t>3）</w:t>
          </w:r>
          <w:r>
            <w:rPr>
              <w:szCs w:val="21"/>
            </w:rPr>
            <w:tab/>
            <w:t>一项交易的发生取决于其他至少一项交易的发生；</w:t>
          </w:r>
        </w:p>
        <w:p w14:paraId="734C783A" w14:textId="77777777" w:rsidR="00E57DAA" w:rsidRDefault="00AC4185">
          <w:pPr>
            <w:ind w:firstLineChars="200" w:firstLine="420"/>
            <w:rPr>
              <w:szCs w:val="21"/>
            </w:rPr>
          </w:pPr>
          <w:r>
            <w:rPr>
              <w:rFonts w:hint="eastAsia"/>
              <w:szCs w:val="21"/>
            </w:rPr>
            <w:t>（</w:t>
          </w:r>
          <w:r>
            <w:rPr>
              <w:szCs w:val="21"/>
            </w:rPr>
            <w:t>4）</w:t>
          </w:r>
          <w:r>
            <w:rPr>
              <w:szCs w:val="21"/>
            </w:rPr>
            <w:tab/>
            <w:t>一项交易单独看是不经济的，但是和其他交易一并考虑时是经济的。</w:t>
          </w:r>
        </w:p>
        <w:p w14:paraId="57AD4586" w14:textId="77777777" w:rsidR="00E57DAA" w:rsidRDefault="00AC4185">
          <w:pPr>
            <w:ind w:firstLineChars="200" w:firstLine="420"/>
            <w:jc w:val="both"/>
            <w:rPr>
              <w:szCs w:val="21"/>
            </w:rPr>
          </w:pPr>
          <w:r>
            <w:rPr>
              <w:rFonts w:hint="eastAsia"/>
              <w:szCs w:val="21"/>
            </w:rPr>
            <w:t>因处置部分股权投资或其他原因丧失了对原有子公司控制权的，不属于一揽子交易的，区分个别财务报表和合并财务报表进行相关会计处理：</w:t>
          </w:r>
        </w:p>
        <w:p w14:paraId="2D511AA5" w14:textId="77777777" w:rsidR="00E57DAA" w:rsidRDefault="00AC4185">
          <w:pPr>
            <w:ind w:firstLineChars="200" w:firstLine="420"/>
            <w:jc w:val="both"/>
            <w:rPr>
              <w:szCs w:val="21"/>
            </w:rPr>
          </w:pPr>
          <w:r>
            <w:rPr>
              <w:rFonts w:hint="eastAsia"/>
              <w:szCs w:val="21"/>
            </w:rPr>
            <w:t>（</w:t>
          </w:r>
          <w:r>
            <w:rPr>
              <w:szCs w:val="21"/>
            </w:rPr>
            <w:t>1）在个别财务报表中，对于处置的股权，其账面价值与实际取得价款之间的差额计入当期损益。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1B77F42D" w14:textId="77777777" w:rsidR="00E57DAA" w:rsidRDefault="00AC4185">
          <w:pPr>
            <w:ind w:firstLineChars="200" w:firstLine="420"/>
            <w:jc w:val="both"/>
            <w:rPr>
              <w:szCs w:val="21"/>
            </w:rPr>
          </w:pPr>
          <w:r>
            <w:rPr>
              <w:rFonts w:hint="eastAsia"/>
              <w:szCs w:val="21"/>
            </w:rPr>
            <w:t>（</w:t>
          </w:r>
          <w:r>
            <w:rPr>
              <w:szCs w:val="21"/>
            </w:rPr>
            <w:t>2）在合并财务报表中，对于在丧失对子公司控制权以前的各项交易，处置价款与处置长期股权投资相应对享有子公司自购买日或合并日开始持续计算的净资产份额之间的差额，调整资本公积（股本溢价），资本公积不足冲减的，调整留存收益；在丧失对子公司控制权时，对于剩余股权，按照其在丧失控制权日的公允价值进行重新计量。处置股权取得的对价与剩余股权公允价值之和，减去按原持股比例计算应享有原有子公司自购买日开始持续计算的净资产的份额之间</w:t>
          </w:r>
          <w:r>
            <w:rPr>
              <w:szCs w:val="21"/>
            </w:rPr>
            <w:lastRenderedPageBreak/>
            <w:t>的差额，计入丧失控制权当期的投资收益，同时冲减商誉。与原有子公司股权投资相关的其他综合收益等，在</w:t>
          </w:r>
          <w:r>
            <w:rPr>
              <w:rFonts w:hint="eastAsia"/>
              <w:szCs w:val="21"/>
            </w:rPr>
            <w:t>丧失控制权时转为当期投资收益。</w:t>
          </w:r>
        </w:p>
        <w:p w14:paraId="63DF19B8" w14:textId="77777777" w:rsidR="00E57DAA" w:rsidRDefault="00AC4185">
          <w:pPr>
            <w:ind w:firstLineChars="200" w:firstLine="420"/>
            <w:jc w:val="both"/>
            <w:rPr>
              <w:szCs w:val="21"/>
            </w:rPr>
          </w:pPr>
          <w:r>
            <w:rPr>
              <w:rFonts w:hint="eastAsia"/>
              <w:szCs w:val="21"/>
            </w:rPr>
            <w:t>处置对子公司股权投资直至丧失控制权的各项交易属于一揽子交易的，将各项交易作为一项处置子公司股权投资并丧失控制权的交易进行会计处理，区分个别财务报表和合并财务报表进行相关会计处理：</w:t>
          </w:r>
        </w:p>
        <w:p w14:paraId="00EA8A9A" w14:textId="77777777" w:rsidR="00E57DAA" w:rsidRDefault="00AC4185">
          <w:pPr>
            <w:ind w:firstLineChars="200" w:firstLine="420"/>
            <w:jc w:val="both"/>
            <w:rPr>
              <w:szCs w:val="21"/>
            </w:rPr>
          </w:pPr>
          <w:r>
            <w:rPr>
              <w:rFonts w:hint="eastAsia"/>
              <w:szCs w:val="21"/>
            </w:rPr>
            <w:t>（</w:t>
          </w:r>
          <w:r>
            <w:rPr>
              <w:szCs w:val="21"/>
            </w:rPr>
            <w:t>1）在个别财务报表中，在丧失控制权之前每一次处置价款与处置的股权对应的长期股权投资账面价值之间的差额，确认为其他综合收益，在丧失控制权时一并转入丧失控制权当期的损益。</w:t>
          </w:r>
        </w:p>
        <w:p w14:paraId="40D3F8DB" w14:textId="77777777" w:rsidR="00E57DAA" w:rsidRDefault="00AC4185">
          <w:pPr>
            <w:ind w:firstLineChars="200" w:firstLine="420"/>
            <w:jc w:val="both"/>
            <w:rPr>
              <w:szCs w:val="21"/>
            </w:rPr>
          </w:pPr>
          <w:r>
            <w:rPr>
              <w:rFonts w:hint="eastAsia"/>
              <w:szCs w:val="21"/>
            </w:rPr>
            <w:t>（</w:t>
          </w:r>
          <w:r>
            <w:rPr>
              <w:szCs w:val="21"/>
            </w:rPr>
            <w:t>2）在合并财务报表中，在丧失控制权之前每一次处置价款与处置投资对应的享有该子公司净资产份额的差额，确认为其他综合收益，在丧失控制权时一并转入丧失控制权当期的损益。</w:t>
          </w:r>
        </w:p>
        <w:p w14:paraId="1EFECB45" w14:textId="77777777" w:rsidR="00E57DAA" w:rsidRDefault="00AC4185">
          <w:pPr>
            <w:ind w:firstLineChars="200" w:firstLine="420"/>
            <w:jc w:val="both"/>
            <w:rPr>
              <w:szCs w:val="21"/>
            </w:rPr>
          </w:pPr>
          <w:r>
            <w:rPr>
              <w:szCs w:val="21"/>
            </w:rPr>
            <w:t>5．共同控制、重大影响的判断标准</w:t>
          </w:r>
        </w:p>
        <w:p w14:paraId="2FC8CF9D" w14:textId="77777777" w:rsidR="00E57DAA" w:rsidRDefault="00AC4185">
          <w:pPr>
            <w:ind w:firstLineChars="200" w:firstLine="420"/>
            <w:jc w:val="both"/>
            <w:rPr>
              <w:szCs w:val="21"/>
            </w:rPr>
          </w:pPr>
          <w:r>
            <w:rPr>
              <w:rFonts w:hint="eastAsia"/>
              <w:szCs w:val="21"/>
            </w:rPr>
            <w:t>如果本公司按照相关约定与其他参与方集体控制某项安排，并且对该安排回报具有重大影响的活动决策，需要经过分享控制权的参与方一致同意时才存在，则视为本公司与其他参与方共同控制某项安排，该安排即属于合营安排。</w:t>
          </w:r>
        </w:p>
        <w:p w14:paraId="45D180B1" w14:textId="77777777" w:rsidR="00E57DAA" w:rsidRDefault="00AC4185">
          <w:pPr>
            <w:ind w:firstLineChars="200" w:firstLine="420"/>
            <w:jc w:val="both"/>
            <w:rPr>
              <w:szCs w:val="21"/>
            </w:rPr>
          </w:pPr>
          <w:r>
            <w:rPr>
              <w:rFonts w:hint="eastAsia"/>
              <w:szCs w:val="21"/>
            </w:rPr>
            <w:t>合营安排通过单独主体达成的，根据相关约定判断本公司对该单独主体的净资产享有权利时，将该单独主体作为合营企业，采用权益法核算。若根据相关约定判断本公司并非对该单独主体的净资产享有权利时，该单独主体作为共同经营，本公司确认与共同经营利益份额相关的项目，并按照相关企业会计准则的规定进行会计处理。</w:t>
          </w:r>
        </w:p>
        <w:p w14:paraId="1142EB28" w14:textId="77777777" w:rsidR="00E57DAA" w:rsidRDefault="00AC4185">
          <w:pPr>
            <w:ind w:firstLineChars="200" w:firstLine="420"/>
            <w:jc w:val="both"/>
            <w:rPr>
              <w:szCs w:val="21"/>
            </w:rPr>
          </w:pPr>
          <w:r>
            <w:rPr>
              <w:rFonts w:hint="eastAsia"/>
              <w:szCs w:val="21"/>
            </w:rPr>
            <w:t>重大影响，是指投资方对被投资单位的财务和经营政策有参与决策的权力，但并不能够控制或者与其他方一起共同控制这些政策的制定。本公司通过以下一种或多种情形，并综合考虑所有事实和情况后，判断对被投资单位具有重大影响：（</w:t>
          </w:r>
          <w:r>
            <w:rPr>
              <w:szCs w:val="21"/>
            </w:rPr>
            <w:t>1）在被投资单位的董事会或类似权力机构中派有代表；（2）参与被投资单位财务和经营政策制定过程；（3）与被投资单位之间发生重要交易；（4）向被投资单位派出管理人员；（5）向被投资单位提供关键技术资料。</w:t>
          </w:r>
        </w:p>
      </w:sdtContent>
    </w:sdt>
    <w:p w14:paraId="4F4423BD" w14:textId="77777777" w:rsidR="00E57DAA" w:rsidRDefault="00E57DAA">
      <w:pPr>
        <w:rPr>
          <w:szCs w:val="21"/>
        </w:rPr>
      </w:pPr>
    </w:p>
    <w:p w14:paraId="041BEB12" w14:textId="77777777" w:rsidR="00E57DAA" w:rsidRDefault="00AC4185" w:rsidP="00C25422">
      <w:pPr>
        <w:pStyle w:val="91"/>
        <w:numPr>
          <w:ilvl w:val="0"/>
          <w:numId w:val="61"/>
        </w:numPr>
      </w:pPr>
      <w:r>
        <w:t>投资性房地产</w:t>
      </w:r>
    </w:p>
    <w:p w14:paraId="3E15CA1C" w14:textId="77777777" w:rsidR="00E57DAA" w:rsidRDefault="00AC4185">
      <w:pPr>
        <w:pStyle w:val="4"/>
        <w:numPr>
          <w:ilvl w:val="0"/>
          <w:numId w:val="62"/>
        </w:numPr>
      </w:pPr>
      <w:r>
        <w:rPr>
          <w:rFonts w:ascii="宋体" w:hAnsi="宋体" w:cs="宋体" w:hint="eastAsia"/>
          <w:kern w:val="0"/>
          <w:szCs w:val="24"/>
        </w:rPr>
        <w:t>如果</w:t>
      </w:r>
      <w:r>
        <w:rPr>
          <w:rFonts w:hint="eastAsia"/>
        </w:rPr>
        <w:t>采用成本计量模式的：</w:t>
      </w:r>
    </w:p>
    <w:p w14:paraId="64F77354" w14:textId="77777777" w:rsidR="00E57DAA" w:rsidRDefault="00AC4185" w:rsidP="00C25422">
      <w:pPr>
        <w:pStyle w:val="710"/>
      </w:pPr>
      <w:r>
        <w:rPr>
          <w:rFonts w:hint="eastAsia"/>
        </w:rPr>
        <w:t>折旧或摊销方法</w:t>
      </w:r>
    </w:p>
    <w:sdt>
      <w:sdtPr>
        <w:rPr>
          <w:szCs w:val="21"/>
        </w:rPr>
        <w:alias w:val="采用成本计量模式的折旧或摊销方法"/>
        <w:tag w:val="_GBC_5b2898357289426780691d99ea19aa67"/>
        <w:id w:val="1143311801"/>
        <w:placeholder>
          <w:docPart w:val="GBC22222222222222222222222222222"/>
        </w:placeholder>
      </w:sdtPr>
      <w:sdtEndPr/>
      <w:sdtContent>
        <w:p w14:paraId="04105195" w14:textId="77777777" w:rsidR="00E57DAA" w:rsidRDefault="00AC4185">
          <w:pPr>
            <w:ind w:firstLineChars="200" w:firstLine="420"/>
            <w:rPr>
              <w:szCs w:val="21"/>
            </w:rPr>
          </w:pPr>
          <w:r>
            <w:rPr>
              <w:rFonts w:hint="eastAsia"/>
              <w:szCs w:val="21"/>
            </w:rPr>
            <w:t>投资性房地产是指为赚取租金或资本增值，或两者兼有而持有的房地产，包括已出租的土地使用权、持有并准备增值后转让的土地使用权、已出租的建筑物。此外，对于本公司持有以备经营出租的空置建筑物，若董事会作出书面决议，明确表示将其用于经营出租且持有意图短期内不再发生变化的，也作为投资性房地产列报。</w:t>
          </w:r>
        </w:p>
        <w:p w14:paraId="01168278" w14:textId="77777777" w:rsidR="00E57DAA" w:rsidRDefault="00AC4185">
          <w:pPr>
            <w:ind w:firstLineChars="200" w:firstLine="420"/>
            <w:rPr>
              <w:szCs w:val="21"/>
            </w:rPr>
          </w:pPr>
          <w:r>
            <w:rPr>
              <w:rFonts w:hint="eastAsia"/>
              <w:szCs w:val="21"/>
            </w:rPr>
            <w:t>本公司的投资性房地产按其成本作为入账价值，外购投资性房地产的成本包括购买价款、相关税费和可直接归属于该资产的其他支出；自行建造投资性房地产的成本，由建造该项资产达到预定可使用状态前所发生的必要支出构成。</w:t>
          </w:r>
        </w:p>
        <w:p w14:paraId="5797F80E" w14:textId="77777777" w:rsidR="00E57DAA" w:rsidRDefault="00AC4185">
          <w:pPr>
            <w:ind w:firstLineChars="200" w:firstLine="420"/>
            <w:rPr>
              <w:szCs w:val="21"/>
            </w:rPr>
          </w:pPr>
          <w:r>
            <w:rPr>
              <w:rFonts w:hint="eastAsia"/>
              <w:szCs w:val="21"/>
            </w:rPr>
            <w:t>本公司对投资性房地产采用成本模式进行后续计量，按其预计使用寿命及净残值率对建筑物和土地使用权计提折旧或摊销。投资性房地产的预计使用寿命、净残值率及年折旧（摊销）率列示如下：</w:t>
          </w:r>
        </w:p>
        <w:tbl>
          <w:tblPr>
            <w:tblStyle w:val="g8"/>
            <w:tblW w:w="8528" w:type="dxa"/>
            <w:jc w:val="center"/>
            <w:tblInd w:w="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825"/>
            <w:gridCol w:w="1843"/>
            <w:gridCol w:w="1711"/>
            <w:gridCol w:w="2149"/>
          </w:tblGrid>
          <w:tr w:rsidR="00E57DAA" w14:paraId="3A50E1C2" w14:textId="77777777">
            <w:trPr>
              <w:trHeight w:val="340"/>
              <w:tblHeader/>
              <w:jc w:val="center"/>
            </w:trPr>
            <w:tc>
              <w:tcPr>
                <w:tcW w:w="2825" w:type="dxa"/>
                <w:shd w:val="clear" w:color="auto" w:fill="auto"/>
                <w:vAlign w:val="center"/>
              </w:tcPr>
              <w:p w14:paraId="7C140F58" w14:textId="77777777" w:rsidR="00E57DAA" w:rsidRDefault="00AC4185">
                <w:pPr>
                  <w:ind w:firstLineChars="200" w:firstLine="420"/>
                  <w:rPr>
                    <w:bCs/>
                    <w:szCs w:val="21"/>
                  </w:rPr>
                </w:pPr>
                <w:r>
                  <w:rPr>
                    <w:bCs/>
                    <w:szCs w:val="21"/>
                  </w:rPr>
                  <w:t>类别</w:t>
                </w:r>
              </w:p>
            </w:tc>
            <w:tc>
              <w:tcPr>
                <w:tcW w:w="1843" w:type="dxa"/>
                <w:shd w:val="clear" w:color="auto" w:fill="auto"/>
                <w:vAlign w:val="center"/>
              </w:tcPr>
              <w:p w14:paraId="289D9B9B" w14:textId="77777777" w:rsidR="00E57DAA" w:rsidRDefault="00AC4185">
                <w:pPr>
                  <w:rPr>
                    <w:bCs/>
                    <w:szCs w:val="21"/>
                  </w:rPr>
                </w:pPr>
                <w:r>
                  <w:rPr>
                    <w:bCs/>
                    <w:szCs w:val="21"/>
                  </w:rPr>
                  <w:t>预计使用寿命</w:t>
                </w:r>
              </w:p>
              <w:p w14:paraId="41674DDE" w14:textId="77777777" w:rsidR="00E57DAA" w:rsidRDefault="00AC4185">
                <w:pPr>
                  <w:ind w:firstLineChars="150" w:firstLine="315"/>
                  <w:rPr>
                    <w:bCs/>
                    <w:szCs w:val="21"/>
                  </w:rPr>
                </w:pPr>
                <w:r>
                  <w:rPr>
                    <w:bCs/>
                    <w:szCs w:val="21"/>
                  </w:rPr>
                  <w:t>（年）</w:t>
                </w:r>
              </w:p>
            </w:tc>
            <w:tc>
              <w:tcPr>
                <w:tcW w:w="1711" w:type="dxa"/>
                <w:shd w:val="clear" w:color="auto" w:fill="auto"/>
                <w:vAlign w:val="center"/>
              </w:tcPr>
              <w:p w14:paraId="33231F35" w14:textId="77777777" w:rsidR="00E57DAA" w:rsidRDefault="00AC4185">
                <w:pPr>
                  <w:ind w:left="420" w:hangingChars="200" w:hanging="420"/>
                  <w:rPr>
                    <w:bCs/>
                    <w:szCs w:val="21"/>
                  </w:rPr>
                </w:pPr>
                <w:r>
                  <w:rPr>
                    <w:bCs/>
                    <w:szCs w:val="21"/>
                  </w:rPr>
                  <w:t>预计净残值率</w:t>
                </w:r>
                <w:r>
                  <w:rPr>
                    <w:szCs w:val="21"/>
                  </w:rPr>
                  <w:t>（%）</w:t>
                </w:r>
              </w:p>
            </w:tc>
            <w:tc>
              <w:tcPr>
                <w:tcW w:w="2149" w:type="dxa"/>
                <w:shd w:val="clear" w:color="auto" w:fill="auto"/>
                <w:vAlign w:val="center"/>
              </w:tcPr>
              <w:p w14:paraId="6570FAC2" w14:textId="77777777" w:rsidR="00E57DAA" w:rsidRDefault="00AC4185">
                <w:pPr>
                  <w:ind w:left="525" w:hangingChars="250" w:hanging="525"/>
                  <w:rPr>
                    <w:bCs/>
                    <w:szCs w:val="21"/>
                  </w:rPr>
                </w:pPr>
                <w:r>
                  <w:rPr>
                    <w:bCs/>
                    <w:szCs w:val="21"/>
                  </w:rPr>
                  <w:t>年折旧（摊销）率</w:t>
                </w:r>
                <w:r>
                  <w:rPr>
                    <w:szCs w:val="21"/>
                  </w:rPr>
                  <w:t>（%）</w:t>
                </w:r>
              </w:p>
            </w:tc>
          </w:tr>
          <w:tr w:rsidR="00E57DAA" w14:paraId="56DF40BD" w14:textId="77777777">
            <w:trPr>
              <w:trHeight w:val="340"/>
              <w:jc w:val="center"/>
            </w:trPr>
            <w:tc>
              <w:tcPr>
                <w:tcW w:w="2825" w:type="dxa"/>
                <w:shd w:val="clear" w:color="auto" w:fill="auto"/>
                <w:vAlign w:val="center"/>
              </w:tcPr>
              <w:p w14:paraId="4BF19DED" w14:textId="77777777" w:rsidR="00E57DAA" w:rsidRDefault="00AC4185">
                <w:pPr>
                  <w:ind w:firstLineChars="200" w:firstLine="420"/>
                  <w:rPr>
                    <w:bCs/>
                    <w:szCs w:val="21"/>
                  </w:rPr>
                </w:pPr>
                <w:r>
                  <w:rPr>
                    <w:bCs/>
                    <w:szCs w:val="21"/>
                  </w:rPr>
                  <w:t>土地使用权</w:t>
                </w:r>
              </w:p>
            </w:tc>
            <w:tc>
              <w:tcPr>
                <w:tcW w:w="1843" w:type="dxa"/>
                <w:shd w:val="clear" w:color="auto" w:fill="auto"/>
                <w:vAlign w:val="center"/>
              </w:tcPr>
              <w:p w14:paraId="0F446DC2" w14:textId="77777777" w:rsidR="00E57DAA" w:rsidRDefault="00AC4185">
                <w:pPr>
                  <w:rPr>
                    <w:bCs/>
                    <w:szCs w:val="21"/>
                  </w:rPr>
                </w:pPr>
                <w:r>
                  <w:rPr>
                    <w:rFonts w:hint="eastAsia"/>
                    <w:bCs/>
                    <w:szCs w:val="21"/>
                  </w:rPr>
                  <w:t>权证有效期</w:t>
                </w:r>
              </w:p>
            </w:tc>
            <w:tc>
              <w:tcPr>
                <w:tcW w:w="1711" w:type="dxa"/>
                <w:shd w:val="clear" w:color="auto" w:fill="auto"/>
                <w:vAlign w:val="center"/>
              </w:tcPr>
              <w:p w14:paraId="4F336B17" w14:textId="77777777" w:rsidR="00E57DAA" w:rsidRDefault="00AC4185">
                <w:pPr>
                  <w:ind w:firstLineChars="200" w:firstLine="420"/>
                  <w:rPr>
                    <w:bCs/>
                    <w:szCs w:val="21"/>
                  </w:rPr>
                </w:pPr>
                <w:r>
                  <w:rPr>
                    <w:rFonts w:hint="eastAsia"/>
                    <w:bCs/>
                    <w:szCs w:val="21"/>
                  </w:rPr>
                  <w:t>无</w:t>
                </w:r>
              </w:p>
            </w:tc>
            <w:tc>
              <w:tcPr>
                <w:tcW w:w="2149" w:type="dxa"/>
                <w:shd w:val="clear" w:color="auto" w:fill="auto"/>
                <w:vAlign w:val="center"/>
              </w:tcPr>
              <w:p w14:paraId="02A0335E" w14:textId="77777777" w:rsidR="00E57DAA" w:rsidRDefault="00AC4185">
                <w:pPr>
                  <w:ind w:firstLineChars="200" w:firstLine="420"/>
                  <w:rPr>
                    <w:bCs/>
                    <w:szCs w:val="21"/>
                  </w:rPr>
                </w:pPr>
                <w:r>
                  <w:rPr>
                    <w:rFonts w:hint="eastAsia"/>
                    <w:bCs/>
                    <w:szCs w:val="21"/>
                  </w:rPr>
                  <w:t>——</w:t>
                </w:r>
              </w:p>
            </w:tc>
          </w:tr>
          <w:tr w:rsidR="00E57DAA" w14:paraId="35E3DF37" w14:textId="77777777">
            <w:trPr>
              <w:trHeight w:val="340"/>
              <w:jc w:val="center"/>
            </w:trPr>
            <w:tc>
              <w:tcPr>
                <w:tcW w:w="2825" w:type="dxa"/>
                <w:shd w:val="clear" w:color="auto" w:fill="auto"/>
                <w:vAlign w:val="center"/>
              </w:tcPr>
              <w:p w14:paraId="4DC37737" w14:textId="77777777" w:rsidR="00E57DAA" w:rsidRDefault="00AC4185">
                <w:pPr>
                  <w:ind w:firstLineChars="200" w:firstLine="420"/>
                  <w:rPr>
                    <w:bCs/>
                    <w:szCs w:val="21"/>
                  </w:rPr>
                </w:pPr>
                <w:r>
                  <w:rPr>
                    <w:bCs/>
                    <w:szCs w:val="21"/>
                  </w:rPr>
                  <w:t>房屋建筑物</w:t>
                </w:r>
              </w:p>
            </w:tc>
            <w:tc>
              <w:tcPr>
                <w:tcW w:w="1843" w:type="dxa"/>
                <w:shd w:val="clear" w:color="auto" w:fill="auto"/>
                <w:vAlign w:val="center"/>
              </w:tcPr>
              <w:p w14:paraId="5EC160AE" w14:textId="77777777" w:rsidR="00E57DAA" w:rsidRDefault="00AC4185">
                <w:pPr>
                  <w:ind w:firstLineChars="200" w:firstLine="420"/>
                  <w:rPr>
                    <w:bCs/>
                    <w:szCs w:val="21"/>
                  </w:rPr>
                </w:pPr>
                <w:r>
                  <w:rPr>
                    <w:bCs/>
                    <w:szCs w:val="21"/>
                  </w:rPr>
                  <w:t>40</w:t>
                </w:r>
              </w:p>
            </w:tc>
            <w:tc>
              <w:tcPr>
                <w:tcW w:w="1711" w:type="dxa"/>
                <w:shd w:val="clear" w:color="auto" w:fill="auto"/>
                <w:vAlign w:val="center"/>
              </w:tcPr>
              <w:p w14:paraId="3BA6DC09" w14:textId="77777777" w:rsidR="00E57DAA" w:rsidRDefault="00AC4185">
                <w:pPr>
                  <w:ind w:firstLineChars="200" w:firstLine="420"/>
                  <w:rPr>
                    <w:bCs/>
                    <w:szCs w:val="21"/>
                  </w:rPr>
                </w:pPr>
                <w:r>
                  <w:rPr>
                    <w:rFonts w:hint="eastAsia"/>
                    <w:bCs/>
                    <w:szCs w:val="21"/>
                  </w:rPr>
                  <w:t>5</w:t>
                </w:r>
                <w:r>
                  <w:rPr>
                    <w:bCs/>
                    <w:szCs w:val="21"/>
                  </w:rPr>
                  <w:t>.00</w:t>
                </w:r>
              </w:p>
            </w:tc>
            <w:tc>
              <w:tcPr>
                <w:tcW w:w="2149" w:type="dxa"/>
                <w:shd w:val="clear" w:color="auto" w:fill="auto"/>
                <w:vAlign w:val="center"/>
              </w:tcPr>
              <w:p w14:paraId="0B542388" w14:textId="77777777" w:rsidR="00E57DAA" w:rsidRDefault="00AC4185">
                <w:pPr>
                  <w:ind w:firstLineChars="200" w:firstLine="420"/>
                  <w:rPr>
                    <w:bCs/>
                    <w:szCs w:val="21"/>
                  </w:rPr>
                </w:pPr>
                <w:r>
                  <w:rPr>
                    <w:rFonts w:hint="eastAsia"/>
                    <w:bCs/>
                    <w:szCs w:val="21"/>
                  </w:rPr>
                  <w:t>2</w:t>
                </w:r>
                <w:r>
                  <w:rPr>
                    <w:bCs/>
                    <w:szCs w:val="21"/>
                  </w:rPr>
                  <w:t>.38</w:t>
                </w:r>
              </w:p>
            </w:tc>
          </w:tr>
        </w:tbl>
        <w:p w14:paraId="01F70D69" w14:textId="77777777" w:rsidR="00E57DAA" w:rsidRDefault="00AC4185">
          <w:pPr>
            <w:ind w:firstLineChars="200" w:firstLine="420"/>
            <w:rPr>
              <w:szCs w:val="21"/>
            </w:rPr>
          </w:pPr>
          <w:r>
            <w:rPr>
              <w:rFonts w:hint="eastAsia"/>
              <w:szCs w:val="21"/>
            </w:rPr>
            <w:t>投资性房地产的减值测试方法和减值准备计提方法详见本附注31.长期资产减值。</w:t>
          </w:r>
        </w:p>
        <w:p w14:paraId="7DCA331B" w14:textId="77777777" w:rsidR="00E57DAA" w:rsidRDefault="00AC4185">
          <w:pPr>
            <w:ind w:firstLineChars="200" w:firstLine="420"/>
            <w:jc w:val="both"/>
            <w:rPr>
              <w:szCs w:val="21"/>
            </w:rPr>
          </w:pPr>
          <w:r>
            <w:rPr>
              <w:rFonts w:hint="eastAsia"/>
              <w:szCs w:val="21"/>
            </w:rPr>
            <w:t>投资性房地产的用途改变为自用时，自改变之日起，本公司将该投资性房地产转换为固定资产或无形资产。自用房地产的用途改变为赚取租金或资本增值时，自改变之日起，本公司将固定资产或无形资产转换为投资性房地产。发生转换时，以转换前的账面价值作为转换后的入账价值。</w:t>
          </w:r>
        </w:p>
        <w:p w14:paraId="51179B54" w14:textId="77777777" w:rsidR="00E57DAA" w:rsidRDefault="00AC4185">
          <w:pPr>
            <w:ind w:firstLineChars="200" w:firstLine="420"/>
            <w:jc w:val="both"/>
            <w:rPr>
              <w:szCs w:val="21"/>
            </w:rPr>
          </w:pPr>
          <w:r>
            <w:rPr>
              <w:rFonts w:hint="eastAsia"/>
              <w:szCs w:val="21"/>
            </w:rPr>
            <w:t>当投资性房地产被处置，或者永久退出使用且预计不能从其处置中取得经济利益时，终止确认该项投资性房地产。投资性房地产出售、转让、报废或毁损的处置收入扣除其账面价值和相关税费后的金额计入当期损益。</w:t>
          </w:r>
        </w:p>
      </w:sdtContent>
    </w:sdt>
    <w:p w14:paraId="11AED47D" w14:textId="77777777" w:rsidR="00E57DAA" w:rsidRDefault="00E57DAA">
      <w:pPr>
        <w:rPr>
          <w:szCs w:val="21"/>
        </w:rPr>
      </w:pPr>
    </w:p>
    <w:p w14:paraId="7B1A7342" w14:textId="77777777" w:rsidR="00E57DAA" w:rsidRDefault="00AC4185" w:rsidP="00C25422">
      <w:pPr>
        <w:pStyle w:val="91"/>
        <w:numPr>
          <w:ilvl w:val="0"/>
          <w:numId w:val="61"/>
        </w:numPr>
      </w:pPr>
      <w:r>
        <w:lastRenderedPageBreak/>
        <w:t>固定资产</w:t>
      </w:r>
    </w:p>
    <w:p w14:paraId="40C49F7E" w14:textId="77777777" w:rsidR="00E57DAA" w:rsidRDefault="00AC4185">
      <w:pPr>
        <w:pStyle w:val="4"/>
        <w:numPr>
          <w:ilvl w:val="0"/>
          <w:numId w:val="63"/>
        </w:numPr>
      </w:pPr>
      <w:r>
        <w:rPr>
          <w:rFonts w:hint="eastAsia"/>
        </w:rPr>
        <w:t>确认条件</w:t>
      </w:r>
    </w:p>
    <w:sdt>
      <w:sdtPr>
        <w:alias w:val="是否适用：固定资产确认条件[双击切换]"/>
        <w:tag w:val="_GBC_4c768c6eca804bab9e4fc027185bcda6"/>
        <w:id w:val="1321084205"/>
        <w:placeholder>
          <w:docPart w:val="GBC22222222222222222222222222222"/>
        </w:placeholder>
      </w:sdtPr>
      <w:sdtEndPr/>
      <w:sdtContent>
        <w:p w14:paraId="522769A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840958926"/>
        <w:placeholder>
          <w:docPart w:val="GBC22222222222222222222222222222"/>
        </w:placeholder>
      </w:sdtPr>
      <w:sdtEndPr>
        <w:rPr>
          <w:b/>
        </w:rPr>
      </w:sdtEndPr>
      <w:sdtContent>
        <w:p w14:paraId="4D0C42EB" w14:textId="77777777" w:rsidR="00E57DAA" w:rsidRDefault="00AC4185">
          <w:pPr>
            <w:ind w:firstLineChars="200" w:firstLine="420"/>
            <w:rPr>
              <w:bCs/>
              <w:szCs w:val="21"/>
            </w:rPr>
          </w:pPr>
          <w:r>
            <w:rPr>
              <w:bCs/>
              <w:szCs w:val="21"/>
            </w:rPr>
            <w:t>1．固定资产确认条件</w:t>
          </w:r>
        </w:p>
        <w:p w14:paraId="6A700DC1" w14:textId="77777777" w:rsidR="00E57DAA" w:rsidRDefault="00AC4185">
          <w:pPr>
            <w:ind w:firstLineChars="200" w:firstLine="420"/>
            <w:rPr>
              <w:bCs/>
              <w:szCs w:val="21"/>
            </w:rPr>
          </w:pPr>
          <w:r>
            <w:rPr>
              <w:rFonts w:hint="eastAsia"/>
              <w:bCs/>
              <w:szCs w:val="21"/>
            </w:rPr>
            <w:t>固定资产指为生产商品、提供劳务、出租或经营管理而持有，并且使用寿命超过一个会计年度的有形资产。固定资产在同时满足下列条件时予以确认：</w:t>
          </w:r>
        </w:p>
        <w:p w14:paraId="67CCA3E4" w14:textId="77777777" w:rsidR="00E57DAA" w:rsidRDefault="00AC4185">
          <w:pPr>
            <w:ind w:firstLineChars="200" w:firstLine="420"/>
            <w:rPr>
              <w:bCs/>
              <w:szCs w:val="21"/>
            </w:rPr>
          </w:pPr>
          <w:r>
            <w:rPr>
              <w:rFonts w:hint="eastAsia"/>
              <w:bCs/>
              <w:szCs w:val="21"/>
            </w:rPr>
            <w:t>（</w:t>
          </w:r>
          <w:r>
            <w:rPr>
              <w:bCs/>
              <w:szCs w:val="21"/>
            </w:rPr>
            <w:t>1）与该固定资产有关的经济利益很可能流入企业；</w:t>
          </w:r>
        </w:p>
        <w:p w14:paraId="30B8488E" w14:textId="77777777" w:rsidR="00E57DAA" w:rsidRDefault="00AC4185">
          <w:pPr>
            <w:ind w:firstLineChars="200" w:firstLine="420"/>
            <w:rPr>
              <w:bCs/>
              <w:szCs w:val="21"/>
            </w:rPr>
          </w:pPr>
          <w:r>
            <w:rPr>
              <w:rFonts w:hint="eastAsia"/>
              <w:bCs/>
              <w:szCs w:val="21"/>
            </w:rPr>
            <w:t>（</w:t>
          </w:r>
          <w:r>
            <w:rPr>
              <w:bCs/>
              <w:szCs w:val="21"/>
            </w:rPr>
            <w:t>2）该固定资产的成本能够可靠地计量。</w:t>
          </w:r>
        </w:p>
        <w:p w14:paraId="28C44A8D" w14:textId="77777777" w:rsidR="00E57DAA" w:rsidRDefault="00AC4185">
          <w:pPr>
            <w:ind w:firstLineChars="200" w:firstLine="420"/>
            <w:rPr>
              <w:bCs/>
              <w:szCs w:val="21"/>
            </w:rPr>
          </w:pPr>
          <w:r>
            <w:rPr>
              <w:bCs/>
              <w:szCs w:val="21"/>
            </w:rPr>
            <w:t>2．固定资产初始计量</w:t>
          </w:r>
        </w:p>
        <w:p w14:paraId="0D6CCA55" w14:textId="77777777" w:rsidR="00E57DAA" w:rsidRDefault="00AC4185">
          <w:pPr>
            <w:ind w:firstLineChars="200" w:firstLine="420"/>
            <w:rPr>
              <w:bCs/>
              <w:szCs w:val="21"/>
            </w:rPr>
          </w:pPr>
          <w:r>
            <w:rPr>
              <w:rFonts w:hint="eastAsia"/>
              <w:bCs/>
              <w:szCs w:val="21"/>
            </w:rPr>
            <w:t>本公司固定资产按成本进行初始计量。</w:t>
          </w:r>
        </w:p>
        <w:p w14:paraId="219AE0D1" w14:textId="77777777" w:rsidR="00E57DAA" w:rsidRDefault="00AC4185">
          <w:pPr>
            <w:ind w:firstLineChars="200" w:firstLine="420"/>
            <w:rPr>
              <w:bCs/>
              <w:szCs w:val="21"/>
            </w:rPr>
          </w:pPr>
          <w:r>
            <w:rPr>
              <w:rFonts w:hint="eastAsia"/>
              <w:bCs/>
              <w:szCs w:val="21"/>
            </w:rPr>
            <w:t>（</w:t>
          </w:r>
          <w:r>
            <w:rPr>
              <w:bCs/>
              <w:szCs w:val="21"/>
            </w:rPr>
            <w:t>1）</w:t>
          </w:r>
          <w:r>
            <w:rPr>
              <w:bCs/>
              <w:szCs w:val="21"/>
            </w:rPr>
            <w:tab/>
            <w:t>外购的固定资产的成本包括买价、进口关税等相关税费，以及为使固定资产达到预定可使用状态前所发生的可直接归属于该资产的其他支出。</w:t>
          </w:r>
        </w:p>
        <w:p w14:paraId="4DAF85C5" w14:textId="77777777" w:rsidR="00E57DAA" w:rsidRDefault="00AC4185">
          <w:pPr>
            <w:ind w:firstLineChars="200" w:firstLine="420"/>
            <w:rPr>
              <w:bCs/>
              <w:szCs w:val="21"/>
            </w:rPr>
          </w:pPr>
          <w:r>
            <w:rPr>
              <w:rFonts w:hint="eastAsia"/>
              <w:bCs/>
              <w:szCs w:val="21"/>
            </w:rPr>
            <w:t>（</w:t>
          </w:r>
          <w:r>
            <w:rPr>
              <w:bCs/>
              <w:szCs w:val="21"/>
            </w:rPr>
            <w:t>2）</w:t>
          </w:r>
          <w:r>
            <w:rPr>
              <w:bCs/>
              <w:szCs w:val="21"/>
            </w:rPr>
            <w:tab/>
            <w:t>自行建造固定资产的成本，由建造该项资产达到预定可使用状态前所发生的必要支出构成。</w:t>
          </w:r>
        </w:p>
        <w:p w14:paraId="61ABBA38" w14:textId="77777777" w:rsidR="00E57DAA" w:rsidRDefault="00AC4185">
          <w:pPr>
            <w:ind w:firstLineChars="200" w:firstLine="420"/>
            <w:rPr>
              <w:bCs/>
              <w:szCs w:val="21"/>
            </w:rPr>
          </w:pPr>
          <w:r>
            <w:rPr>
              <w:rFonts w:hint="eastAsia"/>
              <w:bCs/>
              <w:szCs w:val="21"/>
            </w:rPr>
            <w:t>（</w:t>
          </w:r>
          <w:r>
            <w:rPr>
              <w:bCs/>
              <w:szCs w:val="21"/>
            </w:rPr>
            <w:t>3）</w:t>
          </w:r>
          <w:r>
            <w:rPr>
              <w:bCs/>
              <w:szCs w:val="21"/>
            </w:rPr>
            <w:tab/>
            <w:t>投资者投入的固定资产，按投资合同或协议约定的价值作为入账价值，但合同或协议约定价值不公允的按公允价值入账。</w:t>
          </w:r>
        </w:p>
        <w:p w14:paraId="1413E684" w14:textId="77777777" w:rsidR="00E57DAA" w:rsidRDefault="00AC4185">
          <w:pPr>
            <w:ind w:firstLineChars="200" w:firstLine="420"/>
            <w:rPr>
              <w:bCs/>
              <w:szCs w:val="21"/>
            </w:rPr>
          </w:pPr>
          <w:r>
            <w:rPr>
              <w:rFonts w:hint="eastAsia"/>
              <w:bCs/>
              <w:szCs w:val="21"/>
            </w:rPr>
            <w:t>（</w:t>
          </w:r>
          <w:r>
            <w:rPr>
              <w:bCs/>
              <w:szCs w:val="21"/>
            </w:rPr>
            <w:t>4）</w:t>
          </w:r>
          <w:r>
            <w:rPr>
              <w:bCs/>
              <w:szCs w:val="21"/>
            </w:rPr>
            <w:tab/>
            <w:t>购买固定资产的价款超过正常信用条件延期支付，实质上具有融资性质的，固定资产的成本以购买价款的现值为基础确定。实际支付的价款与购买价款的现值之间的差额，除应予资本化的以外，在信用期间内计入当期损益。</w:t>
          </w:r>
        </w:p>
        <w:p w14:paraId="5A7F0635" w14:textId="77777777" w:rsidR="00E57DAA" w:rsidRDefault="00AC4185">
          <w:pPr>
            <w:ind w:firstLineChars="200" w:firstLine="420"/>
            <w:rPr>
              <w:bCs/>
              <w:szCs w:val="21"/>
            </w:rPr>
          </w:pPr>
          <w:r>
            <w:rPr>
              <w:bCs/>
              <w:szCs w:val="21"/>
            </w:rPr>
            <w:t>3．固定资产后续计量及处置</w:t>
          </w:r>
        </w:p>
        <w:p w14:paraId="561DF831" w14:textId="77777777" w:rsidR="00E57DAA" w:rsidRDefault="00AC4185">
          <w:pPr>
            <w:ind w:firstLineChars="200" w:firstLine="420"/>
            <w:rPr>
              <w:bCs/>
              <w:szCs w:val="21"/>
            </w:rPr>
          </w:pPr>
          <w:r>
            <w:rPr>
              <w:rFonts w:hint="eastAsia"/>
              <w:bCs/>
              <w:szCs w:val="21"/>
            </w:rPr>
            <w:t>（</w:t>
          </w:r>
          <w:r>
            <w:rPr>
              <w:bCs/>
              <w:szCs w:val="21"/>
            </w:rPr>
            <w:t>1）</w:t>
          </w:r>
          <w:r>
            <w:rPr>
              <w:bCs/>
              <w:szCs w:val="21"/>
            </w:rPr>
            <w:tab/>
            <w:t>固定资产折旧</w:t>
          </w:r>
        </w:p>
        <w:p w14:paraId="56C760F1" w14:textId="77777777" w:rsidR="00E57DAA" w:rsidRDefault="00AC4185">
          <w:pPr>
            <w:ind w:firstLineChars="200" w:firstLine="420"/>
            <w:rPr>
              <w:bCs/>
              <w:szCs w:val="21"/>
            </w:rPr>
          </w:pPr>
          <w:r>
            <w:rPr>
              <w:rFonts w:hint="eastAsia"/>
              <w:bCs/>
              <w:szCs w:val="21"/>
            </w:rPr>
            <w:t>固定资产折旧按其入账价值减去预计净残值后在预计使用寿命内计提。对计提了减值准备的固定资产，则在未来期间按扣除减值准备后的账面价值及依据尚可使用年限确定折旧额；已提足折旧仍继续使用的固定资产不计提折旧。</w:t>
          </w:r>
        </w:p>
        <w:p w14:paraId="39DEE208" w14:textId="77777777" w:rsidR="00E57DAA" w:rsidRDefault="00AC4185">
          <w:pPr>
            <w:ind w:firstLineChars="200" w:firstLine="420"/>
            <w:rPr>
              <w:bCs/>
              <w:szCs w:val="21"/>
            </w:rPr>
          </w:pPr>
          <w:r>
            <w:rPr>
              <w:rFonts w:hint="eastAsia"/>
              <w:bCs/>
              <w:szCs w:val="21"/>
            </w:rPr>
            <w:t>利用专项储备支出形成的固定资产，按照形成固定资产的成本冲减专项储备，并确认相同金额的累计折旧，该固定资产在以后期间不再计提折旧。</w:t>
          </w:r>
        </w:p>
        <w:p w14:paraId="369216A3" w14:textId="77777777" w:rsidR="00E57DAA" w:rsidRDefault="00AC4185">
          <w:pPr>
            <w:ind w:firstLineChars="200" w:firstLine="420"/>
            <w:rPr>
              <w:szCs w:val="21"/>
            </w:rPr>
          </w:pPr>
          <w:r>
            <w:rPr>
              <w:rFonts w:hint="eastAsia"/>
              <w:bCs/>
              <w:szCs w:val="21"/>
            </w:rPr>
            <w:t>本公司根据固定资产的性质和使用情况，确定固定资产的使用寿命和预计净残值。并在年度终了，对固定资产的使用寿命、预计净残值和折旧方法进行复核，如与原先估计数存在差异的，进行相应的调整。</w:t>
          </w:r>
        </w:p>
      </w:sdtContent>
    </w:sdt>
    <w:p w14:paraId="1D7B3ADE" w14:textId="77777777" w:rsidR="00E57DAA" w:rsidRDefault="00AC4185">
      <w:pPr>
        <w:pStyle w:val="4"/>
        <w:numPr>
          <w:ilvl w:val="0"/>
          <w:numId w:val="63"/>
        </w:numPr>
      </w:pPr>
      <w:r>
        <w:t>折旧方法</w:t>
      </w:r>
    </w:p>
    <w:sdt>
      <w:sdtPr>
        <w:alias w:val="是否适用：固定资产折旧方法[双击切换]"/>
        <w:tag w:val="_GBC_f89f129fe73045168ebdc30031da9fdd"/>
        <w:id w:val="-986327223"/>
        <w:placeholder>
          <w:docPart w:val="GBC22222222222222222222222222222"/>
        </w:placeholder>
      </w:sdtPr>
      <w:sdtEndPr/>
      <w:sdtContent>
        <w:p w14:paraId="1B8E0D5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1520"/>
        <w:gridCol w:w="2211"/>
        <w:gridCol w:w="829"/>
        <w:gridCol w:w="1530"/>
      </w:tblGrid>
      <w:tr w:rsidR="00E57DAA" w14:paraId="34084C03" w14:textId="77777777">
        <w:sdt>
          <w:sdtPr>
            <w:tag w:val="_PLD_b93b748ee97a4a8bae6f8263364d91d5"/>
            <w:id w:val="1890152521"/>
          </w:sdtPr>
          <w:sdtEndPr/>
          <w:sdtContent>
            <w:tc>
              <w:tcPr>
                <w:tcW w:w="1548" w:type="pct"/>
                <w:vAlign w:val="center"/>
              </w:tcPr>
              <w:p w14:paraId="33A2D9BD" w14:textId="77777777" w:rsidR="00E57DAA" w:rsidRDefault="00AC4185">
                <w:pPr>
                  <w:jc w:val="center"/>
                  <w:rPr>
                    <w:szCs w:val="21"/>
                  </w:rPr>
                </w:pPr>
                <w:r>
                  <w:rPr>
                    <w:szCs w:val="21"/>
                  </w:rPr>
                  <w:t>类别</w:t>
                </w:r>
              </w:p>
            </w:tc>
          </w:sdtContent>
        </w:sdt>
        <w:sdt>
          <w:sdtPr>
            <w:tag w:val="_PLD_8eb75a8ba4fb45a3be1c35e2609526fb"/>
            <w:id w:val="158966259"/>
          </w:sdtPr>
          <w:sdtEndPr/>
          <w:sdtContent>
            <w:tc>
              <w:tcPr>
                <w:tcW w:w="861" w:type="pct"/>
                <w:vAlign w:val="center"/>
              </w:tcPr>
              <w:p w14:paraId="0987E94D" w14:textId="77777777" w:rsidR="00E57DAA" w:rsidRDefault="00AC4185">
                <w:pPr>
                  <w:jc w:val="center"/>
                  <w:rPr>
                    <w:szCs w:val="21"/>
                  </w:rPr>
                </w:pPr>
                <w:r>
                  <w:rPr>
                    <w:rFonts w:hint="eastAsia"/>
                    <w:szCs w:val="21"/>
                  </w:rPr>
                  <w:t>折旧方法</w:t>
                </w:r>
              </w:p>
            </w:tc>
          </w:sdtContent>
        </w:sdt>
        <w:sdt>
          <w:sdtPr>
            <w:tag w:val="_PLD_288e4cb255e44ed98e0c53f336ac01e0"/>
            <w:id w:val="1296483454"/>
          </w:sdtPr>
          <w:sdtEndPr/>
          <w:sdtContent>
            <w:tc>
              <w:tcPr>
                <w:tcW w:w="1253" w:type="pct"/>
                <w:vAlign w:val="center"/>
              </w:tcPr>
              <w:p w14:paraId="3E0DE6F2" w14:textId="77777777" w:rsidR="00E57DAA" w:rsidRDefault="00AC4185">
                <w:pPr>
                  <w:jc w:val="center"/>
                  <w:rPr>
                    <w:szCs w:val="21"/>
                  </w:rPr>
                </w:pPr>
                <w:r>
                  <w:rPr>
                    <w:szCs w:val="21"/>
                  </w:rPr>
                  <w:t>折旧年限（年）</w:t>
                </w:r>
              </w:p>
            </w:tc>
          </w:sdtContent>
        </w:sdt>
        <w:sdt>
          <w:sdtPr>
            <w:tag w:val="_PLD_b978331f5a784568b426597e450ebc7a"/>
            <w:id w:val="-2076578852"/>
          </w:sdtPr>
          <w:sdtEndPr/>
          <w:sdtContent>
            <w:tc>
              <w:tcPr>
                <w:tcW w:w="470" w:type="pct"/>
                <w:vAlign w:val="center"/>
              </w:tcPr>
              <w:p w14:paraId="36619FB1" w14:textId="77777777" w:rsidR="00E57DAA" w:rsidRDefault="00AC4185">
                <w:pPr>
                  <w:jc w:val="center"/>
                  <w:rPr>
                    <w:szCs w:val="21"/>
                  </w:rPr>
                </w:pPr>
                <w:r>
                  <w:rPr>
                    <w:szCs w:val="21"/>
                  </w:rPr>
                  <w:t>残值率</w:t>
                </w:r>
              </w:p>
            </w:tc>
          </w:sdtContent>
        </w:sdt>
        <w:sdt>
          <w:sdtPr>
            <w:tag w:val="_PLD_02921e2cbb3b427bb4fe2aba2949e56a"/>
            <w:id w:val="-953093609"/>
          </w:sdtPr>
          <w:sdtEndPr/>
          <w:sdtContent>
            <w:tc>
              <w:tcPr>
                <w:tcW w:w="867" w:type="pct"/>
                <w:vAlign w:val="center"/>
              </w:tcPr>
              <w:p w14:paraId="5A38119B" w14:textId="77777777" w:rsidR="00E57DAA" w:rsidRDefault="00AC4185">
                <w:pPr>
                  <w:jc w:val="center"/>
                  <w:rPr>
                    <w:szCs w:val="21"/>
                  </w:rPr>
                </w:pPr>
                <w:r>
                  <w:rPr>
                    <w:szCs w:val="21"/>
                  </w:rPr>
                  <w:t>年折旧率</w:t>
                </w:r>
              </w:p>
            </w:tc>
          </w:sdtContent>
        </w:sdt>
      </w:tr>
      <w:tr w:rsidR="00E57DAA" w14:paraId="4D0F1B6D" w14:textId="77777777">
        <w:tc>
          <w:tcPr>
            <w:tcW w:w="1548" w:type="pct"/>
          </w:tcPr>
          <w:p w14:paraId="3D58EDBA" w14:textId="77777777" w:rsidR="00E57DAA" w:rsidRDefault="00AC4185">
            <w:pPr>
              <w:rPr>
                <w:szCs w:val="21"/>
              </w:rPr>
            </w:pPr>
            <w:r>
              <w:t>房屋建筑物</w:t>
            </w:r>
          </w:p>
        </w:tc>
        <w:tc>
          <w:tcPr>
            <w:tcW w:w="861" w:type="pct"/>
          </w:tcPr>
          <w:p w14:paraId="17A4BBDC" w14:textId="77777777" w:rsidR="00E57DAA" w:rsidRDefault="00AC4185">
            <w:pPr>
              <w:rPr>
                <w:szCs w:val="21"/>
              </w:rPr>
            </w:pPr>
            <w:r>
              <w:t>年限平均法</w:t>
            </w:r>
          </w:p>
        </w:tc>
        <w:tc>
          <w:tcPr>
            <w:tcW w:w="1253" w:type="pct"/>
          </w:tcPr>
          <w:p w14:paraId="25C79EBF" w14:textId="77777777" w:rsidR="00E57DAA" w:rsidRDefault="00AC4185">
            <w:pPr>
              <w:rPr>
                <w:szCs w:val="21"/>
              </w:rPr>
            </w:pPr>
            <w:r>
              <w:t>40</w:t>
            </w:r>
          </w:p>
        </w:tc>
        <w:tc>
          <w:tcPr>
            <w:tcW w:w="470" w:type="pct"/>
          </w:tcPr>
          <w:p w14:paraId="7621C539" w14:textId="77777777" w:rsidR="00E57DAA" w:rsidRDefault="00AC4185">
            <w:pPr>
              <w:rPr>
                <w:szCs w:val="21"/>
              </w:rPr>
            </w:pPr>
            <w:r>
              <w:t>5</w:t>
            </w:r>
          </w:p>
        </w:tc>
        <w:tc>
          <w:tcPr>
            <w:tcW w:w="867" w:type="pct"/>
          </w:tcPr>
          <w:p w14:paraId="0898129F" w14:textId="77777777" w:rsidR="00E57DAA" w:rsidRDefault="00AC4185">
            <w:pPr>
              <w:rPr>
                <w:szCs w:val="21"/>
              </w:rPr>
            </w:pPr>
            <w:r>
              <w:t>2.38</w:t>
            </w:r>
          </w:p>
        </w:tc>
      </w:tr>
      <w:tr w:rsidR="00E57DAA" w14:paraId="64073C14" w14:textId="77777777">
        <w:tc>
          <w:tcPr>
            <w:tcW w:w="1548" w:type="pct"/>
          </w:tcPr>
          <w:p w14:paraId="579C113E" w14:textId="77777777" w:rsidR="00E57DAA" w:rsidRDefault="00AC4185">
            <w:pPr>
              <w:rPr>
                <w:szCs w:val="21"/>
              </w:rPr>
            </w:pPr>
            <w:r>
              <w:t>机器设备</w:t>
            </w:r>
          </w:p>
        </w:tc>
        <w:tc>
          <w:tcPr>
            <w:tcW w:w="861" w:type="pct"/>
          </w:tcPr>
          <w:p w14:paraId="194E5FE7" w14:textId="77777777" w:rsidR="00E57DAA" w:rsidRDefault="00AC4185">
            <w:pPr>
              <w:rPr>
                <w:szCs w:val="21"/>
              </w:rPr>
            </w:pPr>
            <w:r>
              <w:t>年限平均法</w:t>
            </w:r>
          </w:p>
        </w:tc>
        <w:tc>
          <w:tcPr>
            <w:tcW w:w="1253" w:type="pct"/>
          </w:tcPr>
          <w:p w14:paraId="6EC1D55E" w14:textId="77777777" w:rsidR="00E57DAA" w:rsidRDefault="00AC4185">
            <w:pPr>
              <w:rPr>
                <w:szCs w:val="21"/>
              </w:rPr>
            </w:pPr>
            <w:r>
              <w:t>10-18</w:t>
            </w:r>
          </w:p>
        </w:tc>
        <w:tc>
          <w:tcPr>
            <w:tcW w:w="470" w:type="pct"/>
          </w:tcPr>
          <w:p w14:paraId="1D2356AF" w14:textId="77777777" w:rsidR="00E57DAA" w:rsidRDefault="00AC4185">
            <w:pPr>
              <w:rPr>
                <w:szCs w:val="21"/>
              </w:rPr>
            </w:pPr>
            <w:r>
              <w:t>5</w:t>
            </w:r>
          </w:p>
        </w:tc>
        <w:tc>
          <w:tcPr>
            <w:tcW w:w="867" w:type="pct"/>
          </w:tcPr>
          <w:p w14:paraId="6FC141D3" w14:textId="77777777" w:rsidR="00E57DAA" w:rsidRDefault="00AC4185">
            <w:pPr>
              <w:rPr>
                <w:szCs w:val="21"/>
              </w:rPr>
            </w:pPr>
            <w:r>
              <w:t>5.28-9.50</w:t>
            </w:r>
          </w:p>
        </w:tc>
      </w:tr>
      <w:tr w:rsidR="00E57DAA" w14:paraId="5E44E0AB" w14:textId="77777777">
        <w:tc>
          <w:tcPr>
            <w:tcW w:w="1548" w:type="pct"/>
          </w:tcPr>
          <w:p w14:paraId="0498B1FF" w14:textId="77777777" w:rsidR="00E57DAA" w:rsidRDefault="00AC4185">
            <w:pPr>
              <w:rPr>
                <w:szCs w:val="21"/>
              </w:rPr>
            </w:pPr>
            <w:r>
              <w:t>运输设备</w:t>
            </w:r>
          </w:p>
        </w:tc>
        <w:tc>
          <w:tcPr>
            <w:tcW w:w="861" w:type="pct"/>
          </w:tcPr>
          <w:p w14:paraId="70F1383C" w14:textId="77777777" w:rsidR="00E57DAA" w:rsidRDefault="00AC4185">
            <w:pPr>
              <w:rPr>
                <w:szCs w:val="21"/>
              </w:rPr>
            </w:pPr>
            <w:r>
              <w:t>年限平均法</w:t>
            </w:r>
          </w:p>
        </w:tc>
        <w:tc>
          <w:tcPr>
            <w:tcW w:w="1253" w:type="pct"/>
          </w:tcPr>
          <w:p w14:paraId="71074344" w14:textId="77777777" w:rsidR="00E57DAA" w:rsidRDefault="00AC4185">
            <w:pPr>
              <w:rPr>
                <w:szCs w:val="21"/>
              </w:rPr>
            </w:pPr>
            <w:r>
              <w:t>10</w:t>
            </w:r>
          </w:p>
        </w:tc>
        <w:tc>
          <w:tcPr>
            <w:tcW w:w="470" w:type="pct"/>
          </w:tcPr>
          <w:p w14:paraId="3EAC7014" w14:textId="77777777" w:rsidR="00E57DAA" w:rsidRDefault="00AC4185">
            <w:pPr>
              <w:rPr>
                <w:szCs w:val="21"/>
              </w:rPr>
            </w:pPr>
            <w:r>
              <w:t>5</w:t>
            </w:r>
          </w:p>
        </w:tc>
        <w:tc>
          <w:tcPr>
            <w:tcW w:w="867" w:type="pct"/>
          </w:tcPr>
          <w:p w14:paraId="78548A27" w14:textId="77777777" w:rsidR="00E57DAA" w:rsidRDefault="00AC4185">
            <w:pPr>
              <w:rPr>
                <w:szCs w:val="21"/>
              </w:rPr>
            </w:pPr>
            <w:r>
              <w:t>9.50</w:t>
            </w:r>
          </w:p>
        </w:tc>
      </w:tr>
      <w:tr w:rsidR="00E57DAA" w14:paraId="4A8A368B" w14:textId="77777777">
        <w:tc>
          <w:tcPr>
            <w:tcW w:w="1548" w:type="pct"/>
          </w:tcPr>
          <w:p w14:paraId="136BEC8C" w14:textId="77777777" w:rsidR="00E57DAA" w:rsidRDefault="00AC4185">
            <w:pPr>
              <w:rPr>
                <w:szCs w:val="21"/>
              </w:rPr>
            </w:pPr>
            <w:r>
              <w:t>办公设备</w:t>
            </w:r>
          </w:p>
        </w:tc>
        <w:tc>
          <w:tcPr>
            <w:tcW w:w="861" w:type="pct"/>
          </w:tcPr>
          <w:p w14:paraId="2E5E63F8" w14:textId="77777777" w:rsidR="00E57DAA" w:rsidRDefault="00AC4185">
            <w:pPr>
              <w:rPr>
                <w:szCs w:val="21"/>
              </w:rPr>
            </w:pPr>
            <w:r>
              <w:t>年限平均法</w:t>
            </w:r>
          </w:p>
        </w:tc>
        <w:tc>
          <w:tcPr>
            <w:tcW w:w="1253" w:type="pct"/>
          </w:tcPr>
          <w:p w14:paraId="762DE1E7" w14:textId="77777777" w:rsidR="00E57DAA" w:rsidRDefault="00AC4185">
            <w:pPr>
              <w:rPr>
                <w:szCs w:val="21"/>
              </w:rPr>
            </w:pPr>
            <w:r>
              <w:t>8</w:t>
            </w:r>
          </w:p>
        </w:tc>
        <w:tc>
          <w:tcPr>
            <w:tcW w:w="470" w:type="pct"/>
          </w:tcPr>
          <w:p w14:paraId="59405FB1" w14:textId="77777777" w:rsidR="00E57DAA" w:rsidRDefault="00AC4185">
            <w:pPr>
              <w:rPr>
                <w:szCs w:val="21"/>
              </w:rPr>
            </w:pPr>
            <w:r>
              <w:t>5</w:t>
            </w:r>
          </w:p>
        </w:tc>
        <w:tc>
          <w:tcPr>
            <w:tcW w:w="867" w:type="pct"/>
          </w:tcPr>
          <w:p w14:paraId="15A3DE0C" w14:textId="77777777" w:rsidR="00E57DAA" w:rsidRDefault="00AC4185">
            <w:pPr>
              <w:rPr>
                <w:szCs w:val="21"/>
              </w:rPr>
            </w:pPr>
            <w:r>
              <w:t>11.88</w:t>
            </w:r>
          </w:p>
        </w:tc>
      </w:tr>
      <w:tr w:rsidR="00E57DAA" w14:paraId="194FFC97" w14:textId="77777777">
        <w:tc>
          <w:tcPr>
            <w:tcW w:w="1548" w:type="pct"/>
          </w:tcPr>
          <w:p w14:paraId="335B5793" w14:textId="77777777" w:rsidR="00E57DAA" w:rsidRDefault="00AC4185">
            <w:pPr>
              <w:rPr>
                <w:szCs w:val="21"/>
              </w:rPr>
            </w:pPr>
            <w:r>
              <w:t>合同能源管理项目资产</w:t>
            </w:r>
          </w:p>
        </w:tc>
        <w:tc>
          <w:tcPr>
            <w:tcW w:w="861" w:type="pct"/>
          </w:tcPr>
          <w:p w14:paraId="523B7D84" w14:textId="77777777" w:rsidR="00E57DAA" w:rsidRDefault="00AC4185">
            <w:pPr>
              <w:rPr>
                <w:szCs w:val="21"/>
              </w:rPr>
            </w:pPr>
            <w:r>
              <w:t>年限平均法</w:t>
            </w:r>
          </w:p>
        </w:tc>
        <w:tc>
          <w:tcPr>
            <w:tcW w:w="1253" w:type="pct"/>
          </w:tcPr>
          <w:p w14:paraId="4F4B05FF" w14:textId="77777777" w:rsidR="00E57DAA" w:rsidRDefault="00AC4185">
            <w:pPr>
              <w:rPr>
                <w:szCs w:val="21"/>
              </w:rPr>
            </w:pPr>
            <w:r>
              <w:t>分享期</w:t>
            </w:r>
          </w:p>
        </w:tc>
        <w:tc>
          <w:tcPr>
            <w:tcW w:w="470" w:type="pct"/>
          </w:tcPr>
          <w:p w14:paraId="0C31E7B3" w14:textId="77777777" w:rsidR="00E57DAA" w:rsidRDefault="00AC4185">
            <w:pPr>
              <w:rPr>
                <w:szCs w:val="21"/>
              </w:rPr>
            </w:pPr>
            <w:r>
              <w:t>0</w:t>
            </w:r>
          </w:p>
        </w:tc>
        <w:tc>
          <w:tcPr>
            <w:tcW w:w="867" w:type="pct"/>
          </w:tcPr>
          <w:p w14:paraId="71926C41" w14:textId="77777777" w:rsidR="00E57DAA" w:rsidRDefault="00AC4185">
            <w:pPr>
              <w:rPr>
                <w:szCs w:val="21"/>
              </w:rPr>
            </w:pPr>
            <w:r>
              <w:t>——</w:t>
            </w:r>
          </w:p>
        </w:tc>
      </w:tr>
    </w:tbl>
    <w:p w14:paraId="2C99F3D0" w14:textId="77777777" w:rsidR="00E57DAA" w:rsidRDefault="00AC4185">
      <w:pPr>
        <w:ind w:firstLineChars="200" w:firstLine="420"/>
      </w:pPr>
      <w:r>
        <w:rPr>
          <w:rFonts w:hint="eastAsia"/>
        </w:rPr>
        <w:t>（</w:t>
      </w:r>
      <w:r>
        <w:t>2）</w:t>
      </w:r>
      <w:r>
        <w:tab/>
        <w:t>固定资产的后续支出</w:t>
      </w:r>
    </w:p>
    <w:p w14:paraId="292B4CEE" w14:textId="77777777" w:rsidR="00E57DAA" w:rsidRDefault="00AC4185">
      <w:pPr>
        <w:ind w:firstLineChars="200" w:firstLine="420"/>
      </w:pPr>
      <w:r>
        <w:rPr>
          <w:rFonts w:hint="eastAsia"/>
        </w:rPr>
        <w:t>与固定资产有关的后续支出，符合固定资产确认条件的，计入固定资产成本；不符合固定资产确认条件的，在发生时计入当期损益。</w:t>
      </w:r>
    </w:p>
    <w:p w14:paraId="7D32FC2E" w14:textId="77777777" w:rsidR="00E57DAA" w:rsidRDefault="00AC4185">
      <w:pPr>
        <w:ind w:firstLineChars="200" w:firstLine="420"/>
      </w:pPr>
      <w:r>
        <w:rPr>
          <w:rFonts w:hint="eastAsia"/>
        </w:rPr>
        <w:t>（</w:t>
      </w:r>
      <w:r>
        <w:t>3）</w:t>
      </w:r>
      <w:r>
        <w:tab/>
        <w:t>固定资产的减值</w:t>
      </w:r>
    </w:p>
    <w:p w14:paraId="280179FB" w14:textId="77777777" w:rsidR="00E57DAA" w:rsidRDefault="00AC4185">
      <w:pPr>
        <w:ind w:firstLineChars="200" w:firstLine="420"/>
      </w:pPr>
      <w:r>
        <w:rPr>
          <w:rFonts w:hint="eastAsia"/>
        </w:rPr>
        <w:t>固定资产的减值测试方法和减值准备计提方法详见本附注31.长期资产减值。</w:t>
      </w:r>
    </w:p>
    <w:p w14:paraId="5BB16308" w14:textId="77777777" w:rsidR="00E57DAA" w:rsidRDefault="00AC4185">
      <w:pPr>
        <w:ind w:firstLineChars="200" w:firstLine="420"/>
      </w:pPr>
      <w:r>
        <w:rPr>
          <w:rFonts w:hint="eastAsia"/>
        </w:rPr>
        <w:t>（</w:t>
      </w:r>
      <w:r>
        <w:t>4）</w:t>
      </w:r>
      <w:r>
        <w:tab/>
        <w:t>固定资产处置</w:t>
      </w:r>
    </w:p>
    <w:p w14:paraId="3F31035F" w14:textId="77777777" w:rsidR="00E57DAA" w:rsidRDefault="00AC4185">
      <w:pPr>
        <w:ind w:firstLineChars="200" w:firstLine="420"/>
      </w:pPr>
      <w:r>
        <w:rPr>
          <w:rFonts w:hint="eastAsia"/>
        </w:rPr>
        <w:t>当固定资产被处置、或者预期通过使用或处置不能产生经济利益时，终止确认该固定资产。固定资产出售、转让、报废或毁损的处置收入扣除其账面价值和相关税费后的金额计入当期损益。</w:t>
      </w:r>
    </w:p>
    <w:p w14:paraId="565B28B4" w14:textId="77777777" w:rsidR="00E57DAA" w:rsidRDefault="00AC4185" w:rsidP="00C25422">
      <w:pPr>
        <w:pStyle w:val="91"/>
        <w:numPr>
          <w:ilvl w:val="0"/>
          <w:numId w:val="61"/>
        </w:numPr>
      </w:pPr>
      <w:r>
        <w:t>在建工程</w:t>
      </w:r>
    </w:p>
    <w:sdt>
      <w:sdtPr>
        <w:rPr>
          <w:rFonts w:hint="eastAsia"/>
          <w:szCs w:val="21"/>
        </w:rPr>
        <w:alias w:val="是否适用：在建工程_重要会计政策和估计[双击切换]"/>
        <w:tag w:val="_GBC_00730441e5ea4f57b3cd3ff1ecc5c1bd"/>
        <w:id w:val="-1164545865"/>
        <w:placeholder>
          <w:docPart w:val="GBC22222222222222222222222222222"/>
        </w:placeholder>
      </w:sdtPr>
      <w:sdtEndPr/>
      <w:sdtContent>
        <w:p w14:paraId="02356F6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2103790707"/>
        <w:placeholder>
          <w:docPart w:val="GBC22222222222222222222222222222"/>
        </w:placeholder>
      </w:sdtPr>
      <w:sdtEndPr/>
      <w:sdtContent>
        <w:p w14:paraId="56FEF551" w14:textId="77777777" w:rsidR="00E57DAA" w:rsidRDefault="00AC4185">
          <w:pPr>
            <w:ind w:firstLineChars="200" w:firstLine="420"/>
            <w:rPr>
              <w:szCs w:val="21"/>
            </w:rPr>
          </w:pPr>
          <w:r>
            <w:rPr>
              <w:rFonts w:hint="eastAsia"/>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0E1601CB" w14:textId="77777777" w:rsidR="00E57DAA" w:rsidRDefault="00AC4185">
          <w:pPr>
            <w:ind w:firstLineChars="200" w:firstLine="420"/>
            <w:rPr>
              <w:szCs w:val="21"/>
            </w:rPr>
          </w:pPr>
          <w:r>
            <w:rPr>
              <w:rFonts w:hint="eastAsia"/>
              <w:szCs w:val="21"/>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p w14:paraId="7D4F794C" w14:textId="77777777" w:rsidR="00E57DAA" w:rsidRDefault="00AC4185">
          <w:pPr>
            <w:ind w:firstLineChars="200" w:firstLine="420"/>
            <w:rPr>
              <w:szCs w:val="21"/>
            </w:rPr>
          </w:pPr>
          <w:r>
            <w:rPr>
              <w:rFonts w:hint="eastAsia"/>
              <w:szCs w:val="21"/>
            </w:rPr>
            <w:t>在建工程的减值测试方法和减值准备计提方法详见本附注31.长期资产减值。</w:t>
          </w:r>
        </w:p>
      </w:sdtContent>
    </w:sdt>
    <w:p w14:paraId="6CED4D6C" w14:textId="77777777" w:rsidR="00E57DAA" w:rsidRDefault="00E57DAA">
      <w:pPr>
        <w:rPr>
          <w:szCs w:val="21"/>
        </w:rPr>
      </w:pPr>
    </w:p>
    <w:p w14:paraId="66C008F7" w14:textId="77777777" w:rsidR="00E57DAA" w:rsidRDefault="00AC4185" w:rsidP="00C25422">
      <w:pPr>
        <w:pStyle w:val="91"/>
        <w:numPr>
          <w:ilvl w:val="0"/>
          <w:numId w:val="61"/>
        </w:numPr>
      </w:pPr>
      <w:r>
        <w:t>借款费用</w:t>
      </w:r>
    </w:p>
    <w:sdt>
      <w:sdtPr>
        <w:rPr>
          <w:rFonts w:hint="eastAsia"/>
          <w:szCs w:val="21"/>
        </w:rPr>
        <w:alias w:val="是否适用：借款费用_重要会计政策和估计[双击切换]"/>
        <w:tag w:val="_GBC_84ea3b60fd54474487b81f25f176d989"/>
        <w:id w:val="-1632624018"/>
        <w:placeholder>
          <w:docPart w:val="GBC22222222222222222222222222222"/>
        </w:placeholder>
      </w:sdtPr>
      <w:sdtEndPr/>
      <w:sdtContent>
        <w:p w14:paraId="7024D8C0"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861168149"/>
        <w:placeholder>
          <w:docPart w:val="GBC22222222222222222222222222222"/>
        </w:placeholder>
      </w:sdtPr>
      <w:sdtEndPr/>
      <w:sdtContent>
        <w:p w14:paraId="509C229A" w14:textId="77777777" w:rsidR="00E57DAA" w:rsidRDefault="00AC4185">
          <w:pPr>
            <w:ind w:firstLineChars="200" w:firstLine="420"/>
            <w:rPr>
              <w:szCs w:val="21"/>
            </w:rPr>
          </w:pPr>
          <w:r>
            <w:rPr>
              <w:szCs w:val="21"/>
            </w:rPr>
            <w:t>1．借款费用资本化的确认原则</w:t>
          </w:r>
        </w:p>
        <w:p w14:paraId="10E85AAB" w14:textId="77777777" w:rsidR="00E57DAA" w:rsidRDefault="00AC4185">
          <w:pPr>
            <w:ind w:firstLineChars="200" w:firstLine="420"/>
            <w:rPr>
              <w:szCs w:val="21"/>
            </w:rPr>
          </w:pPr>
          <w:r>
            <w:rPr>
              <w:rFonts w:hint="eastAsia"/>
              <w:szCs w:val="21"/>
            </w:rPr>
            <w:t>本公司发生的借款费用，可直接归属于符合资本化条件的资产的购建或者生产的，予以资本化，计入相关资产成本；其他借款费用，在发生时根据其发生额确认为费用，计入当期损益。</w:t>
          </w:r>
        </w:p>
        <w:p w14:paraId="3CEB1B1A" w14:textId="77777777" w:rsidR="00E57DAA" w:rsidRDefault="00AC4185">
          <w:pPr>
            <w:ind w:firstLineChars="200" w:firstLine="420"/>
            <w:rPr>
              <w:szCs w:val="21"/>
            </w:rPr>
          </w:pPr>
          <w:r>
            <w:rPr>
              <w:rFonts w:hint="eastAsia"/>
              <w:szCs w:val="21"/>
            </w:rPr>
            <w:t>符合资本化条件的资产，是指需要经过相当长时间的购建或者生产活动才能达到预定可使用或者可销售状态的固定资产、投资性房地产和存货等资产。</w:t>
          </w:r>
        </w:p>
        <w:p w14:paraId="227B8B24" w14:textId="77777777" w:rsidR="00E57DAA" w:rsidRDefault="00AC4185">
          <w:pPr>
            <w:ind w:firstLineChars="200" w:firstLine="420"/>
            <w:rPr>
              <w:szCs w:val="21"/>
            </w:rPr>
          </w:pPr>
          <w:r>
            <w:rPr>
              <w:rFonts w:hint="eastAsia"/>
              <w:szCs w:val="21"/>
            </w:rPr>
            <w:t>借款费用同时满足下列条件时开始资本化：</w:t>
          </w:r>
        </w:p>
        <w:p w14:paraId="78959D9F" w14:textId="77777777" w:rsidR="00E57DAA" w:rsidRDefault="00AC4185">
          <w:pPr>
            <w:ind w:firstLineChars="200" w:firstLine="420"/>
            <w:rPr>
              <w:szCs w:val="21"/>
            </w:rPr>
          </w:pPr>
          <w:r>
            <w:rPr>
              <w:rFonts w:hint="eastAsia"/>
              <w:szCs w:val="21"/>
            </w:rPr>
            <w:t>（</w:t>
          </w:r>
          <w:r>
            <w:rPr>
              <w:szCs w:val="21"/>
            </w:rPr>
            <w:t>1）资产支出已经发生，资产支出包括为购建或者生产符合资本化条件的资产而以支付现金、转移非现金资产或者承担带息债务形式发生的支出；</w:t>
          </w:r>
        </w:p>
        <w:p w14:paraId="1ECCC9C9" w14:textId="77777777" w:rsidR="00E57DAA" w:rsidRDefault="00AC4185">
          <w:pPr>
            <w:ind w:firstLineChars="200" w:firstLine="420"/>
            <w:rPr>
              <w:szCs w:val="21"/>
            </w:rPr>
          </w:pPr>
          <w:r>
            <w:rPr>
              <w:rFonts w:hint="eastAsia"/>
              <w:szCs w:val="21"/>
            </w:rPr>
            <w:t>（</w:t>
          </w:r>
          <w:r>
            <w:rPr>
              <w:szCs w:val="21"/>
            </w:rPr>
            <w:t>2）借款费用已经发生；</w:t>
          </w:r>
        </w:p>
        <w:p w14:paraId="3165E296" w14:textId="77777777" w:rsidR="00E57DAA" w:rsidRDefault="00AC4185">
          <w:pPr>
            <w:ind w:firstLineChars="200" w:firstLine="420"/>
            <w:rPr>
              <w:szCs w:val="21"/>
            </w:rPr>
          </w:pPr>
          <w:r>
            <w:rPr>
              <w:rFonts w:hint="eastAsia"/>
              <w:szCs w:val="21"/>
            </w:rPr>
            <w:t>（</w:t>
          </w:r>
          <w:r>
            <w:rPr>
              <w:szCs w:val="21"/>
            </w:rPr>
            <w:t>3）为使资产达到预定可使用或者可销售状态所必要的购建或者生产活动已经开始。</w:t>
          </w:r>
        </w:p>
        <w:p w14:paraId="2CB261AB" w14:textId="77777777" w:rsidR="00E57DAA" w:rsidRDefault="00AC4185">
          <w:pPr>
            <w:ind w:firstLineChars="200" w:firstLine="420"/>
            <w:rPr>
              <w:szCs w:val="21"/>
            </w:rPr>
          </w:pPr>
          <w:r>
            <w:rPr>
              <w:szCs w:val="21"/>
            </w:rPr>
            <w:t>2．借款费用资本化期间</w:t>
          </w:r>
        </w:p>
        <w:p w14:paraId="5259BA68" w14:textId="77777777" w:rsidR="00E57DAA" w:rsidRDefault="00AC4185">
          <w:pPr>
            <w:ind w:firstLineChars="200" w:firstLine="420"/>
            <w:rPr>
              <w:szCs w:val="21"/>
            </w:rPr>
          </w:pPr>
          <w:r>
            <w:rPr>
              <w:rFonts w:hint="eastAsia"/>
              <w:szCs w:val="21"/>
            </w:rPr>
            <w:t>资本化期间，指从借款费用开始资本化时点到停止资本化时点的期间，借款费用暂停资本化的期间不包括在内。</w:t>
          </w:r>
        </w:p>
        <w:p w14:paraId="57510717" w14:textId="77777777" w:rsidR="00E57DAA" w:rsidRDefault="00AC4185">
          <w:pPr>
            <w:ind w:firstLineChars="200" w:firstLine="420"/>
            <w:rPr>
              <w:szCs w:val="21"/>
            </w:rPr>
          </w:pPr>
          <w:r>
            <w:rPr>
              <w:rFonts w:hint="eastAsia"/>
              <w:szCs w:val="21"/>
            </w:rPr>
            <w:t>当购建或者生产符合资本化条件的资产达到预定可使用或者可销售状态时，借款费用停止资本化。</w:t>
          </w:r>
        </w:p>
        <w:p w14:paraId="5A89D8FE" w14:textId="77777777" w:rsidR="00E57DAA" w:rsidRDefault="00AC4185">
          <w:pPr>
            <w:ind w:firstLineChars="200" w:firstLine="420"/>
            <w:rPr>
              <w:szCs w:val="21"/>
            </w:rPr>
          </w:pPr>
          <w:r>
            <w:rPr>
              <w:rFonts w:hint="eastAsia"/>
              <w:szCs w:val="21"/>
            </w:rPr>
            <w:t>当购建或者生产符合资本化条件的资产中部分项目分别完工且可单独使用时，该部分资产借款费用停止资本化。</w:t>
          </w:r>
        </w:p>
        <w:p w14:paraId="755667BB" w14:textId="77777777" w:rsidR="00E57DAA" w:rsidRDefault="00AC4185">
          <w:pPr>
            <w:ind w:firstLineChars="200" w:firstLine="420"/>
            <w:rPr>
              <w:szCs w:val="21"/>
            </w:rPr>
          </w:pPr>
          <w:r>
            <w:rPr>
              <w:rFonts w:hint="eastAsia"/>
              <w:szCs w:val="21"/>
            </w:rPr>
            <w:t>购建或者生产的资产的各部分分别完工，但必须等到整体完工后才可使用或可对外销售的，在该资产整体完工时停止借款费用资本化。</w:t>
          </w:r>
        </w:p>
        <w:p w14:paraId="0ED65A83" w14:textId="77777777" w:rsidR="00E57DAA" w:rsidRDefault="00AC4185">
          <w:pPr>
            <w:ind w:firstLineChars="200" w:firstLine="420"/>
            <w:rPr>
              <w:szCs w:val="21"/>
            </w:rPr>
          </w:pPr>
          <w:r>
            <w:rPr>
              <w:szCs w:val="21"/>
            </w:rPr>
            <w:t>3．暂停资本化期间</w:t>
          </w:r>
        </w:p>
        <w:p w14:paraId="505B0484" w14:textId="77777777" w:rsidR="00E57DAA" w:rsidRDefault="00AC4185">
          <w:pPr>
            <w:ind w:firstLineChars="200" w:firstLine="420"/>
            <w:jc w:val="both"/>
            <w:rPr>
              <w:szCs w:val="21"/>
            </w:rPr>
          </w:pPr>
          <w:r>
            <w:rPr>
              <w:rFonts w:hint="eastAsia"/>
              <w:szCs w:val="21"/>
            </w:rPr>
            <w:t>符合资本化条件的资产在购建或生产过程中发生的非正常中断、且中断时间连续超过</w:t>
          </w:r>
          <w:r>
            <w:rPr>
              <w:szCs w:val="21"/>
            </w:rPr>
            <w:t>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4EC92D3E" w14:textId="77777777" w:rsidR="00E57DAA" w:rsidRDefault="00AC4185">
          <w:pPr>
            <w:ind w:firstLineChars="200" w:firstLine="420"/>
            <w:jc w:val="both"/>
            <w:rPr>
              <w:szCs w:val="21"/>
            </w:rPr>
          </w:pPr>
          <w:r>
            <w:rPr>
              <w:szCs w:val="21"/>
            </w:rPr>
            <w:t>4．借款费用资本化金额的计算方法</w:t>
          </w:r>
        </w:p>
        <w:p w14:paraId="16D995F1" w14:textId="77777777" w:rsidR="00E57DAA" w:rsidRDefault="00AC4185">
          <w:pPr>
            <w:ind w:firstLineChars="200" w:firstLine="420"/>
            <w:jc w:val="both"/>
            <w:rPr>
              <w:szCs w:val="21"/>
            </w:rPr>
          </w:pPr>
          <w:r>
            <w:rPr>
              <w:rFonts w:hint="eastAsia"/>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345A000A" w14:textId="77777777" w:rsidR="00E57DAA" w:rsidRDefault="00AC4185">
          <w:pPr>
            <w:ind w:firstLineChars="200" w:firstLine="420"/>
            <w:jc w:val="both"/>
            <w:rPr>
              <w:szCs w:val="21"/>
            </w:rPr>
          </w:pPr>
          <w:r>
            <w:rPr>
              <w:rFonts w:hint="eastAsia"/>
              <w:szCs w:val="21"/>
            </w:rPr>
            <w:t>根据累计资产支出超过专门借款部分的资产支出加权平均数乘以所占用一般借款的资本化率，计算确定一般借款应予资本化的利息金额。资本化率根据一般借款加权平均利率计算确定。</w:t>
          </w:r>
        </w:p>
        <w:p w14:paraId="7BC05007" w14:textId="77777777" w:rsidR="00E57DAA" w:rsidRDefault="00AC4185">
          <w:pPr>
            <w:ind w:firstLineChars="200" w:firstLine="420"/>
            <w:rPr>
              <w:rFonts w:cs="Times New Roman"/>
              <w:kern w:val="2"/>
              <w:szCs w:val="21"/>
            </w:rPr>
          </w:pPr>
          <w:r>
            <w:rPr>
              <w:rFonts w:hint="eastAsia"/>
              <w:szCs w:val="21"/>
            </w:rPr>
            <w:t>借款存在折价或者溢价的，按照实际利率法确定每一会计期间应摊销的折价或者溢价金额，调整每期利息金额。</w:t>
          </w:r>
        </w:p>
      </w:sdtContent>
    </w:sdt>
    <w:p w14:paraId="1BCB18ED" w14:textId="77777777" w:rsidR="00E57DAA" w:rsidRDefault="00E57DAA">
      <w:pPr>
        <w:rPr>
          <w:szCs w:val="21"/>
        </w:rPr>
      </w:pPr>
    </w:p>
    <w:p w14:paraId="598803A7" w14:textId="77777777" w:rsidR="00E57DAA" w:rsidRDefault="00AC4185" w:rsidP="00C25422">
      <w:pPr>
        <w:pStyle w:val="91"/>
        <w:numPr>
          <w:ilvl w:val="0"/>
          <w:numId w:val="61"/>
        </w:numPr>
      </w:pPr>
      <w:r>
        <w:t>生物资产</w:t>
      </w:r>
    </w:p>
    <w:sdt>
      <w:sdtPr>
        <w:rPr>
          <w:rFonts w:hint="eastAsia"/>
          <w:szCs w:val="21"/>
        </w:rPr>
        <w:alias w:val="是否适用：生物资产_重要会计政策和估计[双击切换]"/>
        <w:tag w:val="_GBC_f511e8d0a6dc417eb1d10eeecb5b05a5"/>
        <w:id w:val="548498683"/>
        <w:placeholder>
          <w:docPart w:val="GBC22222222222222222222222222222"/>
        </w:placeholder>
      </w:sdtPr>
      <w:sdtEndPr/>
      <w:sdtContent>
        <w:p w14:paraId="5201096A" w14:textId="77777777" w:rsidR="00E57DAA" w:rsidRDefault="00AC4185">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D308FE" w14:textId="77777777" w:rsidR="00E57DAA" w:rsidRDefault="00E57DAA">
      <w:pPr>
        <w:rPr>
          <w:szCs w:val="21"/>
        </w:rPr>
      </w:pPr>
    </w:p>
    <w:p w14:paraId="170CB7D1" w14:textId="77777777" w:rsidR="00E57DAA" w:rsidRDefault="00AC4185" w:rsidP="00C25422">
      <w:pPr>
        <w:pStyle w:val="91"/>
        <w:numPr>
          <w:ilvl w:val="0"/>
          <w:numId w:val="61"/>
        </w:numPr>
      </w:pPr>
      <w:r>
        <w:lastRenderedPageBreak/>
        <w:t>油气资产</w:t>
      </w:r>
    </w:p>
    <w:sdt>
      <w:sdtPr>
        <w:rPr>
          <w:rFonts w:hint="eastAsia"/>
          <w:szCs w:val="21"/>
        </w:rPr>
        <w:alias w:val="是否适用：油气资产_重要会计政策和估计[双击切换]"/>
        <w:tag w:val="_GBC_fb60dd1d8d2346fb9b2e461875c070c9"/>
        <w:id w:val="728422317"/>
        <w:placeholder>
          <w:docPart w:val="GBC22222222222222222222222222222"/>
        </w:placeholder>
      </w:sdtPr>
      <w:sdtEndPr/>
      <w:sdtContent>
        <w:p w14:paraId="5DF48199" w14:textId="77777777" w:rsidR="00E57DAA" w:rsidRDefault="00AC4185">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1CBF06" w14:textId="77777777" w:rsidR="00E57DAA" w:rsidRDefault="00E57DAA">
      <w:pPr>
        <w:rPr>
          <w:szCs w:val="21"/>
        </w:rPr>
      </w:pPr>
    </w:p>
    <w:p w14:paraId="51D906FF" w14:textId="77777777" w:rsidR="00E57DAA" w:rsidRDefault="00AC4185" w:rsidP="00C25422">
      <w:pPr>
        <w:pStyle w:val="91"/>
        <w:numPr>
          <w:ilvl w:val="0"/>
          <w:numId w:val="61"/>
        </w:numPr>
      </w:pPr>
      <w:r>
        <w:rPr>
          <w:rFonts w:hint="eastAsia"/>
        </w:rPr>
        <w:t>使用权资产</w:t>
      </w:r>
    </w:p>
    <w:p w14:paraId="0DEE38DC" w14:textId="77777777" w:rsidR="00E57DAA" w:rsidRDefault="00AC4185">
      <w:pPr>
        <w:ind w:firstLineChars="200" w:firstLine="420"/>
      </w:pPr>
      <w:r>
        <w:rPr>
          <w:rFonts w:hint="eastAsia"/>
        </w:rPr>
        <w:t>本公司对使用权资产按照成本进行初始计量，该成本包括：</w:t>
      </w:r>
    </w:p>
    <w:p w14:paraId="070809B2" w14:textId="77777777" w:rsidR="00E57DAA" w:rsidRDefault="00AC4185">
      <w:pPr>
        <w:ind w:firstLineChars="200" w:firstLine="420"/>
      </w:pPr>
      <w:r>
        <w:t>1.</w:t>
      </w:r>
      <w:r>
        <w:tab/>
        <w:t>租赁负债的初始计量金额；</w:t>
      </w:r>
    </w:p>
    <w:p w14:paraId="5A68A6DD" w14:textId="77777777" w:rsidR="00E57DAA" w:rsidRDefault="00AC4185">
      <w:pPr>
        <w:ind w:firstLineChars="200" w:firstLine="420"/>
      </w:pPr>
      <w:r>
        <w:t>2.</w:t>
      </w:r>
      <w:r>
        <w:tab/>
        <w:t>在租赁期开始日或之前支付的租赁付款额，存在租赁激励的，扣除已享受的租赁激励相关金额；</w:t>
      </w:r>
    </w:p>
    <w:p w14:paraId="7BD644C6" w14:textId="77777777" w:rsidR="00E57DAA" w:rsidRDefault="00AC4185">
      <w:pPr>
        <w:ind w:firstLineChars="200" w:firstLine="420"/>
      </w:pPr>
      <w:r>
        <w:t>3.</w:t>
      </w:r>
      <w:r>
        <w:tab/>
        <w:t>本公司发生的初始直接费用；</w:t>
      </w:r>
    </w:p>
    <w:p w14:paraId="66194D9F" w14:textId="77777777" w:rsidR="00E57DAA" w:rsidRDefault="00AC4185">
      <w:pPr>
        <w:ind w:firstLineChars="200" w:firstLine="420"/>
      </w:pPr>
      <w:r>
        <w:t>4.</w:t>
      </w:r>
      <w:r>
        <w:tab/>
        <w:t>本公司为拆卸及移除租赁资产、复原租赁资产所在场地或将租赁资产恢复至租赁条款约定状态预计将发生的成本（不包括为生产存货而发生的成本）。</w:t>
      </w:r>
    </w:p>
    <w:p w14:paraId="73C3C9F7" w14:textId="77777777" w:rsidR="00E57DAA" w:rsidRDefault="00AC4185">
      <w:pPr>
        <w:ind w:firstLineChars="200" w:firstLine="420"/>
        <w:jc w:val="both"/>
      </w:pPr>
      <w:r>
        <w:rPr>
          <w:rFonts w:hint="eastAsia"/>
        </w:rPr>
        <w:t>在租赁期开始日后，本公司采用成本模式对使用权资产进行后续计量。</w:t>
      </w:r>
    </w:p>
    <w:p w14:paraId="3927F693" w14:textId="77777777" w:rsidR="00E57DAA" w:rsidRDefault="00AC4185">
      <w:pPr>
        <w:ind w:firstLineChars="200" w:firstLine="420"/>
        <w:jc w:val="both"/>
      </w:pPr>
      <w:r>
        <w:rPr>
          <w:rFonts w:hint="eastAsia"/>
        </w:rPr>
        <w:t>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对计提了减值准备的使用权资产，则在未来期间按扣除减值准备后的账面价值参照上述原则计提折旧。</w:t>
      </w:r>
    </w:p>
    <w:p w14:paraId="4D2B4A55" w14:textId="77777777" w:rsidR="00E57DAA" w:rsidRDefault="00AC4185">
      <w:pPr>
        <w:ind w:firstLineChars="200" w:firstLine="420"/>
        <w:jc w:val="both"/>
      </w:pPr>
      <w:r>
        <w:rPr>
          <w:rFonts w:hint="eastAsia"/>
        </w:rPr>
        <w:t>本公司按照《企业会计准则第</w:t>
      </w:r>
      <w:r>
        <w:t>8号——资产减值》的规定来确定使用权资产是否已发生减值，并对已识别的减值损失进行会计处理。具体详见本附注</w:t>
      </w:r>
      <w:r>
        <w:rPr>
          <w:rFonts w:hint="eastAsia"/>
        </w:rPr>
        <w:t>31.</w:t>
      </w:r>
      <w:r>
        <w:t>长期资产减值。</w:t>
      </w:r>
    </w:p>
    <w:p w14:paraId="10CF6C0F" w14:textId="77777777" w:rsidR="00E57DAA" w:rsidRDefault="00AC4185" w:rsidP="00C25422">
      <w:pPr>
        <w:pStyle w:val="91"/>
        <w:numPr>
          <w:ilvl w:val="0"/>
          <w:numId w:val="61"/>
        </w:numPr>
      </w:pPr>
      <w:r>
        <w:t>无形资产</w:t>
      </w:r>
    </w:p>
    <w:p w14:paraId="00713260" w14:textId="77777777" w:rsidR="00E57DAA" w:rsidRDefault="00AC4185">
      <w:pPr>
        <w:pStyle w:val="4"/>
        <w:numPr>
          <w:ilvl w:val="3"/>
          <w:numId w:val="64"/>
        </w:numPr>
        <w:ind w:left="426" w:hanging="426"/>
        <w:rPr>
          <w:rStyle w:val="81"/>
          <w:szCs w:val="28"/>
        </w:rPr>
      </w:pPr>
      <w:r>
        <w:rPr>
          <w:rFonts w:hint="eastAsia"/>
        </w:rPr>
        <w:t>使用寿命及其确定依据、估计情况、摊销方法</w:t>
      </w:r>
      <w:r>
        <w:rPr>
          <w:rStyle w:val="81"/>
          <w:rFonts w:hint="eastAsia"/>
        </w:rPr>
        <w:t>或复核程序</w:t>
      </w:r>
    </w:p>
    <w:sdt>
      <w:sdtPr>
        <w:alias w:val="是否适用：无形资产计价方法、使用寿命、减值测试[双击切换]"/>
        <w:tag w:val="_GBC_40df8c87b47d48bbbf73a71cc533a892"/>
        <w:id w:val="1773436214"/>
        <w:placeholder>
          <w:docPart w:val="GBC22222222222222222222222222222"/>
        </w:placeholder>
      </w:sdtPr>
      <w:sdtEndPr/>
      <w:sdtContent>
        <w:p w14:paraId="11A645D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412083695"/>
        <w:placeholder>
          <w:docPart w:val="GBC22222222222222222222222222222"/>
        </w:placeholder>
      </w:sdtPr>
      <w:sdtEndPr/>
      <w:sdtContent>
        <w:p w14:paraId="32D164EE" w14:textId="77777777" w:rsidR="00E57DAA" w:rsidRDefault="00AC4185">
          <w:pPr>
            <w:ind w:firstLineChars="200" w:firstLine="420"/>
            <w:jc w:val="both"/>
            <w:rPr>
              <w:szCs w:val="21"/>
            </w:rPr>
          </w:pPr>
          <w:r>
            <w:rPr>
              <w:rFonts w:hint="eastAsia"/>
              <w:szCs w:val="21"/>
            </w:rPr>
            <w:t>无形资产是指本公司拥有或者控制的没有实物形态的可辨认非货币性资产，包括土地使用权、采矿权、软件、专利技术、非专利技术、商标权、特许经营权、业务合同、客户资源等。</w:t>
          </w:r>
        </w:p>
        <w:p w14:paraId="2619C30F" w14:textId="77777777" w:rsidR="00E57DAA" w:rsidRDefault="00AC4185">
          <w:pPr>
            <w:ind w:firstLineChars="200" w:firstLine="420"/>
            <w:jc w:val="both"/>
            <w:rPr>
              <w:szCs w:val="21"/>
            </w:rPr>
          </w:pPr>
          <w:r>
            <w:rPr>
              <w:szCs w:val="21"/>
            </w:rPr>
            <w:t>1．</w:t>
          </w:r>
          <w:r>
            <w:rPr>
              <w:szCs w:val="21"/>
            </w:rPr>
            <w:tab/>
            <w:t>无形资产的初始计量</w:t>
          </w:r>
        </w:p>
        <w:p w14:paraId="455CE84F" w14:textId="77777777" w:rsidR="00E57DAA" w:rsidRDefault="00AC4185">
          <w:pPr>
            <w:ind w:firstLineChars="200" w:firstLine="420"/>
            <w:jc w:val="both"/>
            <w:rPr>
              <w:szCs w:val="21"/>
            </w:rPr>
          </w:pPr>
          <w:r>
            <w:rPr>
              <w:rFonts w:hint="eastAsia"/>
              <w:szCs w:val="21"/>
            </w:rPr>
            <w:t>外购无形资产的成本，包括购买价款、相关税费以及直接归属于使该项资产达到预定用途所发生的其他支出。购买无形资产的价款超过正常信用条件延期支付，实质上具有融资性质的，无形资产的成本以购买价款的现值为基础确定。</w:t>
          </w:r>
        </w:p>
        <w:p w14:paraId="1848F655" w14:textId="77777777" w:rsidR="00E57DAA" w:rsidRDefault="00AC4185">
          <w:pPr>
            <w:ind w:firstLineChars="200" w:firstLine="420"/>
            <w:jc w:val="both"/>
            <w:rPr>
              <w:szCs w:val="21"/>
            </w:rPr>
          </w:pPr>
          <w:r>
            <w:rPr>
              <w:rFonts w:hint="eastAsia"/>
              <w:szCs w:val="21"/>
            </w:rPr>
            <w:t>债务重组取得债务人用以抵债的无形资产，以该无形资产的公允价值为基础确定其入账价值，并将重组债务的账面价值与该用以抵债的无形资产公允价值之间的差额，计入当期损益。</w:t>
          </w:r>
        </w:p>
        <w:p w14:paraId="421ECB95" w14:textId="77777777" w:rsidR="00E57DAA" w:rsidRDefault="00AC4185">
          <w:pPr>
            <w:ind w:firstLineChars="200" w:firstLine="420"/>
            <w:jc w:val="both"/>
            <w:rPr>
              <w:szCs w:val="21"/>
            </w:rPr>
          </w:pPr>
          <w:r>
            <w:rPr>
              <w:rFonts w:hint="eastAsia"/>
              <w:szCs w:val="21"/>
            </w:rPr>
            <w:t>在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3274EF84" w14:textId="77777777" w:rsidR="00E57DAA" w:rsidRDefault="00AC4185">
          <w:pPr>
            <w:ind w:firstLineChars="200" w:firstLine="420"/>
            <w:jc w:val="both"/>
            <w:rPr>
              <w:szCs w:val="21"/>
            </w:rPr>
          </w:pPr>
          <w:r>
            <w:rPr>
              <w:rFonts w:hint="eastAsia"/>
              <w:szCs w:val="21"/>
            </w:rPr>
            <w:t>以同一控制下的企业吸收合并方式取得的无形资产按被合并方的账面价值确定其入账价值；以非同一控制下的企业吸收合并方式取得的无形资产按公允价值确定其入账价值。</w:t>
          </w:r>
        </w:p>
        <w:p w14:paraId="4B15735E" w14:textId="77777777" w:rsidR="00E57DAA" w:rsidRDefault="00AC4185">
          <w:pPr>
            <w:ind w:firstLineChars="200" w:firstLine="420"/>
            <w:jc w:val="both"/>
            <w:rPr>
              <w:szCs w:val="21"/>
            </w:rPr>
          </w:pPr>
          <w:r>
            <w:rPr>
              <w:rFonts w:hint="eastAsia"/>
              <w:szCs w:val="21"/>
            </w:rPr>
            <w:t>内部自行开发的无形资产，其成本包括：开发该无形资产时耗用的材料、劳务成本、注册费、在开发过程中使用的其他专利权和特许权的摊销以及满足资本化条件的利息费用，以及为使该无形资产达到预定用途前所发生的其他直接费用。</w:t>
          </w:r>
        </w:p>
        <w:p w14:paraId="10F7C3E1" w14:textId="77777777" w:rsidR="00E57DAA" w:rsidRDefault="00AC4185">
          <w:pPr>
            <w:ind w:firstLineChars="200" w:firstLine="420"/>
            <w:jc w:val="both"/>
            <w:rPr>
              <w:szCs w:val="21"/>
            </w:rPr>
          </w:pPr>
          <w:r>
            <w:rPr>
              <w:szCs w:val="21"/>
            </w:rPr>
            <w:t>2．</w:t>
          </w:r>
          <w:r>
            <w:rPr>
              <w:szCs w:val="21"/>
            </w:rPr>
            <w:tab/>
            <w:t>无形资产的后续计量</w:t>
          </w:r>
        </w:p>
        <w:p w14:paraId="0C224357" w14:textId="77777777" w:rsidR="00E57DAA" w:rsidRDefault="00AC4185">
          <w:pPr>
            <w:ind w:firstLineChars="200" w:firstLine="420"/>
            <w:jc w:val="both"/>
            <w:rPr>
              <w:szCs w:val="21"/>
            </w:rPr>
          </w:pPr>
          <w:r>
            <w:rPr>
              <w:rFonts w:hint="eastAsia"/>
              <w:szCs w:val="21"/>
            </w:rPr>
            <w:t>本公司在取得无形资产时分析判断其使用寿命，划分为使用寿命有限和使用寿命不确定的无形资产。</w:t>
          </w:r>
        </w:p>
        <w:p w14:paraId="197E27B7" w14:textId="77777777" w:rsidR="00E57DAA" w:rsidRDefault="00AC4185">
          <w:pPr>
            <w:ind w:firstLineChars="200" w:firstLine="420"/>
            <w:jc w:val="both"/>
            <w:rPr>
              <w:szCs w:val="21"/>
            </w:rPr>
          </w:pPr>
          <w:r>
            <w:rPr>
              <w:rFonts w:hint="eastAsia"/>
              <w:szCs w:val="21"/>
            </w:rPr>
            <w:t>（</w:t>
          </w:r>
          <w:r>
            <w:rPr>
              <w:szCs w:val="21"/>
            </w:rPr>
            <w:t>1）</w:t>
          </w:r>
          <w:r>
            <w:rPr>
              <w:szCs w:val="21"/>
            </w:rPr>
            <w:tab/>
            <w:t>使用寿命有限的无形资产</w:t>
          </w:r>
        </w:p>
        <w:p w14:paraId="17C6596C" w14:textId="77777777" w:rsidR="00E57DAA" w:rsidRDefault="00AC4185">
          <w:pPr>
            <w:ind w:firstLineChars="200" w:firstLine="420"/>
            <w:rPr>
              <w:szCs w:val="21"/>
            </w:rPr>
          </w:pPr>
          <w:r>
            <w:rPr>
              <w:rFonts w:hint="eastAsia"/>
              <w:szCs w:val="21"/>
            </w:rPr>
            <w:t>对于使用寿命有限的无形资产，在为企业带来经济利益的期限内按直线法</w:t>
          </w:r>
          <w:r>
            <w:rPr>
              <w:szCs w:val="21"/>
            </w:rPr>
            <w:t>摊销。使用寿命有限的无形资产预计寿命及依据如下：</w:t>
          </w:r>
        </w:p>
        <w:tbl>
          <w:tblPr>
            <w:tblStyle w:val="g8"/>
            <w:tblW w:w="8420" w:type="dxa"/>
            <w:tblInd w:w="0" w:type="dxa"/>
            <w:tblBorders>
              <w:top w:val="single" w:sz="12" w:space="0" w:color="auto"/>
              <w:bottom w:val="single" w:sz="12" w:space="0" w:color="auto"/>
              <w:insideH w:val="dotted" w:sz="4" w:space="0" w:color="auto"/>
              <w:insideV w:val="dotted" w:sz="4" w:space="0" w:color="auto"/>
            </w:tblBorders>
            <w:tblLayout w:type="fixed"/>
            <w:tblCellMar>
              <w:left w:w="0" w:type="dxa"/>
            </w:tblCellMar>
            <w:tblLook w:val="04A0" w:firstRow="1" w:lastRow="0" w:firstColumn="1" w:lastColumn="0" w:noHBand="0" w:noVBand="1"/>
          </w:tblPr>
          <w:tblGrid>
            <w:gridCol w:w="2806"/>
            <w:gridCol w:w="1872"/>
            <w:gridCol w:w="3742"/>
          </w:tblGrid>
          <w:tr w:rsidR="00E57DAA" w14:paraId="21C271F0" w14:textId="77777777">
            <w:trPr>
              <w:trHeight w:val="344"/>
              <w:tblHeader/>
            </w:trPr>
            <w:tc>
              <w:tcPr>
                <w:tcW w:w="2806" w:type="dxa"/>
                <w:shd w:val="clear" w:color="auto" w:fill="auto"/>
                <w:vAlign w:val="center"/>
              </w:tcPr>
              <w:p w14:paraId="2F6131B8" w14:textId="77777777" w:rsidR="00E57DAA" w:rsidRDefault="00AC4185">
                <w:pPr>
                  <w:ind w:firstLineChars="200" w:firstLine="420"/>
                  <w:rPr>
                    <w:szCs w:val="21"/>
                  </w:rPr>
                </w:pPr>
                <w:r>
                  <w:rPr>
                    <w:szCs w:val="21"/>
                  </w:rPr>
                  <w:t>项目</w:t>
                </w:r>
              </w:p>
            </w:tc>
            <w:tc>
              <w:tcPr>
                <w:tcW w:w="1872" w:type="dxa"/>
                <w:shd w:val="clear" w:color="auto" w:fill="auto"/>
                <w:vAlign w:val="center"/>
              </w:tcPr>
              <w:p w14:paraId="3EBD1D23" w14:textId="77777777" w:rsidR="00E57DAA" w:rsidRDefault="00AC4185">
                <w:pPr>
                  <w:ind w:firstLineChars="200" w:firstLine="420"/>
                  <w:rPr>
                    <w:szCs w:val="21"/>
                  </w:rPr>
                </w:pPr>
                <w:r>
                  <w:rPr>
                    <w:szCs w:val="21"/>
                  </w:rPr>
                  <w:t>预计使用寿命</w:t>
                </w:r>
              </w:p>
            </w:tc>
            <w:tc>
              <w:tcPr>
                <w:tcW w:w="3742" w:type="dxa"/>
                <w:shd w:val="clear" w:color="auto" w:fill="auto"/>
                <w:vAlign w:val="center"/>
              </w:tcPr>
              <w:p w14:paraId="78139184" w14:textId="77777777" w:rsidR="00E57DAA" w:rsidRDefault="00AC4185">
                <w:pPr>
                  <w:ind w:firstLineChars="200" w:firstLine="420"/>
                  <w:rPr>
                    <w:szCs w:val="21"/>
                  </w:rPr>
                </w:pPr>
                <w:r>
                  <w:rPr>
                    <w:rFonts w:hint="eastAsia"/>
                    <w:szCs w:val="21"/>
                  </w:rPr>
                  <w:t>摊销方法</w:t>
                </w:r>
              </w:p>
            </w:tc>
          </w:tr>
          <w:tr w:rsidR="00E57DAA" w14:paraId="4934DF7D" w14:textId="77777777">
            <w:trPr>
              <w:trHeight w:val="344"/>
            </w:trPr>
            <w:tc>
              <w:tcPr>
                <w:tcW w:w="2806" w:type="dxa"/>
                <w:shd w:val="clear" w:color="auto" w:fill="auto"/>
                <w:vAlign w:val="center"/>
              </w:tcPr>
              <w:p w14:paraId="3B99B6C4" w14:textId="77777777" w:rsidR="00E57DAA" w:rsidRDefault="00AC4185">
                <w:pPr>
                  <w:ind w:firstLineChars="200" w:firstLine="420"/>
                  <w:rPr>
                    <w:bCs/>
                    <w:szCs w:val="21"/>
                  </w:rPr>
                </w:pPr>
                <w:r>
                  <w:rPr>
                    <w:bCs/>
                    <w:szCs w:val="21"/>
                  </w:rPr>
                  <w:t>土地使用权</w:t>
                </w:r>
              </w:p>
            </w:tc>
            <w:tc>
              <w:tcPr>
                <w:tcW w:w="1872" w:type="dxa"/>
                <w:shd w:val="clear" w:color="auto" w:fill="auto"/>
                <w:vAlign w:val="center"/>
              </w:tcPr>
              <w:p w14:paraId="130547FC" w14:textId="77777777" w:rsidR="00E57DAA" w:rsidRDefault="00AC4185">
                <w:pPr>
                  <w:ind w:firstLineChars="200" w:firstLine="420"/>
                  <w:rPr>
                    <w:szCs w:val="21"/>
                  </w:rPr>
                </w:pPr>
                <w:r>
                  <w:rPr>
                    <w:rFonts w:hint="eastAsia"/>
                    <w:szCs w:val="21"/>
                  </w:rPr>
                  <w:t>权证有效期</w:t>
                </w:r>
              </w:p>
            </w:tc>
            <w:tc>
              <w:tcPr>
                <w:tcW w:w="3742" w:type="dxa"/>
                <w:shd w:val="clear" w:color="auto" w:fill="auto"/>
                <w:vAlign w:val="center"/>
              </w:tcPr>
              <w:p w14:paraId="4CA74CA9" w14:textId="77777777" w:rsidR="00E57DAA" w:rsidRDefault="00AC4185">
                <w:pPr>
                  <w:ind w:firstLineChars="200" w:firstLine="420"/>
                  <w:rPr>
                    <w:szCs w:val="21"/>
                  </w:rPr>
                </w:pPr>
                <w:r>
                  <w:rPr>
                    <w:rFonts w:hint="eastAsia"/>
                    <w:szCs w:val="21"/>
                  </w:rPr>
                  <w:t>直线法</w:t>
                </w:r>
              </w:p>
            </w:tc>
          </w:tr>
          <w:tr w:rsidR="00E57DAA" w14:paraId="377D9946" w14:textId="77777777">
            <w:trPr>
              <w:trHeight w:val="344"/>
            </w:trPr>
            <w:tc>
              <w:tcPr>
                <w:tcW w:w="2806" w:type="dxa"/>
                <w:shd w:val="clear" w:color="auto" w:fill="auto"/>
                <w:vAlign w:val="center"/>
              </w:tcPr>
              <w:p w14:paraId="0C6E8E10" w14:textId="77777777" w:rsidR="00E57DAA" w:rsidRDefault="00AC4185">
                <w:pPr>
                  <w:ind w:firstLineChars="200" w:firstLine="420"/>
                  <w:rPr>
                    <w:bCs/>
                    <w:szCs w:val="21"/>
                  </w:rPr>
                </w:pPr>
                <w:r>
                  <w:rPr>
                    <w:rFonts w:hint="eastAsia"/>
                    <w:bCs/>
                    <w:szCs w:val="21"/>
                  </w:rPr>
                  <w:t>商标权</w:t>
                </w:r>
              </w:p>
            </w:tc>
            <w:tc>
              <w:tcPr>
                <w:tcW w:w="1872" w:type="dxa"/>
                <w:shd w:val="clear" w:color="auto" w:fill="auto"/>
                <w:vAlign w:val="center"/>
              </w:tcPr>
              <w:p w14:paraId="084CB284" w14:textId="77777777" w:rsidR="00E57DAA" w:rsidRDefault="00AC4185">
                <w:pPr>
                  <w:ind w:firstLineChars="200" w:firstLine="420"/>
                  <w:rPr>
                    <w:szCs w:val="21"/>
                  </w:rPr>
                </w:pPr>
                <w:r>
                  <w:rPr>
                    <w:rFonts w:hint="eastAsia"/>
                    <w:bCs/>
                    <w:szCs w:val="21"/>
                  </w:rPr>
                  <w:t>1</w:t>
                </w:r>
                <w:r>
                  <w:rPr>
                    <w:bCs/>
                    <w:szCs w:val="21"/>
                  </w:rPr>
                  <w:t>0</w:t>
                </w:r>
              </w:p>
            </w:tc>
            <w:tc>
              <w:tcPr>
                <w:tcW w:w="3742" w:type="dxa"/>
                <w:shd w:val="clear" w:color="auto" w:fill="auto"/>
              </w:tcPr>
              <w:p w14:paraId="016915FF" w14:textId="77777777" w:rsidR="00E57DAA" w:rsidRDefault="00AC4185">
                <w:pPr>
                  <w:ind w:firstLineChars="200" w:firstLine="420"/>
                  <w:rPr>
                    <w:szCs w:val="21"/>
                  </w:rPr>
                </w:pPr>
                <w:r>
                  <w:rPr>
                    <w:rFonts w:hint="eastAsia"/>
                    <w:szCs w:val="21"/>
                  </w:rPr>
                  <w:t>直线法</w:t>
                </w:r>
              </w:p>
            </w:tc>
          </w:tr>
          <w:tr w:rsidR="00E57DAA" w14:paraId="67BFD662" w14:textId="77777777">
            <w:trPr>
              <w:trHeight w:val="344"/>
            </w:trPr>
            <w:tc>
              <w:tcPr>
                <w:tcW w:w="2806" w:type="dxa"/>
                <w:shd w:val="clear" w:color="auto" w:fill="auto"/>
                <w:vAlign w:val="center"/>
              </w:tcPr>
              <w:p w14:paraId="686DF0C3" w14:textId="77777777" w:rsidR="00E57DAA" w:rsidRDefault="00AC4185">
                <w:pPr>
                  <w:ind w:firstLineChars="200" w:firstLine="420"/>
                  <w:rPr>
                    <w:bCs/>
                    <w:szCs w:val="21"/>
                  </w:rPr>
                </w:pPr>
                <w:r>
                  <w:rPr>
                    <w:rFonts w:hint="eastAsia"/>
                    <w:bCs/>
                    <w:szCs w:val="21"/>
                  </w:rPr>
                  <w:t>专利技术</w:t>
                </w:r>
              </w:p>
            </w:tc>
            <w:tc>
              <w:tcPr>
                <w:tcW w:w="1872" w:type="dxa"/>
                <w:shd w:val="clear" w:color="auto" w:fill="auto"/>
                <w:vAlign w:val="center"/>
              </w:tcPr>
              <w:p w14:paraId="5CBA6871" w14:textId="77777777" w:rsidR="00E57DAA" w:rsidRDefault="00AC4185">
                <w:pPr>
                  <w:ind w:firstLineChars="200" w:firstLine="420"/>
                  <w:rPr>
                    <w:szCs w:val="21"/>
                  </w:rPr>
                </w:pPr>
                <w:r>
                  <w:rPr>
                    <w:rFonts w:hint="eastAsia"/>
                    <w:bCs/>
                    <w:szCs w:val="21"/>
                  </w:rPr>
                  <w:t>1</w:t>
                </w:r>
                <w:r>
                  <w:rPr>
                    <w:bCs/>
                    <w:szCs w:val="21"/>
                  </w:rPr>
                  <w:t>0</w:t>
                </w:r>
              </w:p>
            </w:tc>
            <w:tc>
              <w:tcPr>
                <w:tcW w:w="3742" w:type="dxa"/>
                <w:shd w:val="clear" w:color="auto" w:fill="auto"/>
              </w:tcPr>
              <w:p w14:paraId="76459DB3" w14:textId="77777777" w:rsidR="00E57DAA" w:rsidRDefault="00AC4185">
                <w:pPr>
                  <w:ind w:firstLineChars="200" w:firstLine="420"/>
                  <w:rPr>
                    <w:szCs w:val="21"/>
                  </w:rPr>
                </w:pPr>
                <w:r>
                  <w:rPr>
                    <w:rFonts w:hint="eastAsia"/>
                    <w:szCs w:val="21"/>
                  </w:rPr>
                  <w:t>直线法</w:t>
                </w:r>
              </w:p>
            </w:tc>
          </w:tr>
          <w:tr w:rsidR="00E57DAA" w14:paraId="30BD894A" w14:textId="77777777">
            <w:trPr>
              <w:trHeight w:val="344"/>
            </w:trPr>
            <w:tc>
              <w:tcPr>
                <w:tcW w:w="2806" w:type="dxa"/>
                <w:shd w:val="clear" w:color="auto" w:fill="auto"/>
                <w:vAlign w:val="center"/>
              </w:tcPr>
              <w:p w14:paraId="45905F45" w14:textId="77777777" w:rsidR="00E57DAA" w:rsidRDefault="00AC4185">
                <w:pPr>
                  <w:ind w:firstLineChars="200" w:firstLine="420"/>
                  <w:rPr>
                    <w:bCs/>
                    <w:szCs w:val="21"/>
                  </w:rPr>
                </w:pPr>
                <w:r>
                  <w:rPr>
                    <w:rFonts w:hint="eastAsia"/>
                    <w:bCs/>
                    <w:szCs w:val="21"/>
                  </w:rPr>
                  <w:lastRenderedPageBreak/>
                  <w:t>非专利技术</w:t>
                </w:r>
              </w:p>
            </w:tc>
            <w:tc>
              <w:tcPr>
                <w:tcW w:w="1872" w:type="dxa"/>
                <w:shd w:val="clear" w:color="auto" w:fill="auto"/>
                <w:vAlign w:val="center"/>
              </w:tcPr>
              <w:p w14:paraId="4EA3A299" w14:textId="77777777" w:rsidR="00E57DAA" w:rsidRDefault="00AC4185">
                <w:pPr>
                  <w:ind w:firstLineChars="200" w:firstLine="420"/>
                  <w:rPr>
                    <w:szCs w:val="21"/>
                  </w:rPr>
                </w:pPr>
                <w:r>
                  <w:rPr>
                    <w:rFonts w:hint="eastAsia"/>
                    <w:bCs/>
                    <w:szCs w:val="21"/>
                  </w:rPr>
                  <w:t>1</w:t>
                </w:r>
                <w:r>
                  <w:rPr>
                    <w:bCs/>
                    <w:szCs w:val="21"/>
                  </w:rPr>
                  <w:t>0</w:t>
                </w:r>
              </w:p>
            </w:tc>
            <w:tc>
              <w:tcPr>
                <w:tcW w:w="3742" w:type="dxa"/>
                <w:shd w:val="clear" w:color="auto" w:fill="auto"/>
              </w:tcPr>
              <w:p w14:paraId="76A19AD3" w14:textId="77777777" w:rsidR="00E57DAA" w:rsidRDefault="00AC4185">
                <w:pPr>
                  <w:ind w:firstLineChars="200" w:firstLine="420"/>
                  <w:rPr>
                    <w:szCs w:val="21"/>
                  </w:rPr>
                </w:pPr>
                <w:r>
                  <w:rPr>
                    <w:rFonts w:hint="eastAsia"/>
                    <w:szCs w:val="21"/>
                  </w:rPr>
                  <w:t>直线法</w:t>
                </w:r>
              </w:p>
            </w:tc>
          </w:tr>
          <w:tr w:rsidR="00E57DAA" w14:paraId="2A69165F" w14:textId="77777777">
            <w:trPr>
              <w:trHeight w:val="344"/>
            </w:trPr>
            <w:tc>
              <w:tcPr>
                <w:tcW w:w="2806" w:type="dxa"/>
                <w:shd w:val="clear" w:color="auto" w:fill="auto"/>
                <w:vAlign w:val="center"/>
              </w:tcPr>
              <w:p w14:paraId="7248A071" w14:textId="77777777" w:rsidR="00E57DAA" w:rsidRDefault="00AC4185">
                <w:pPr>
                  <w:ind w:firstLineChars="200" w:firstLine="420"/>
                  <w:rPr>
                    <w:bCs/>
                    <w:szCs w:val="21"/>
                  </w:rPr>
                </w:pPr>
                <w:r>
                  <w:rPr>
                    <w:bCs/>
                    <w:szCs w:val="21"/>
                  </w:rPr>
                  <w:t>软件</w:t>
                </w:r>
              </w:p>
            </w:tc>
            <w:tc>
              <w:tcPr>
                <w:tcW w:w="1872" w:type="dxa"/>
                <w:shd w:val="clear" w:color="auto" w:fill="auto"/>
                <w:vAlign w:val="center"/>
              </w:tcPr>
              <w:p w14:paraId="673FF09B" w14:textId="77777777" w:rsidR="00E57DAA" w:rsidRDefault="00AC4185">
                <w:pPr>
                  <w:ind w:firstLineChars="200" w:firstLine="420"/>
                  <w:rPr>
                    <w:szCs w:val="21"/>
                  </w:rPr>
                </w:pPr>
                <w:r>
                  <w:rPr>
                    <w:rFonts w:hint="eastAsia"/>
                    <w:bCs/>
                    <w:szCs w:val="21"/>
                  </w:rPr>
                  <w:t>5</w:t>
                </w:r>
              </w:p>
            </w:tc>
            <w:tc>
              <w:tcPr>
                <w:tcW w:w="3742" w:type="dxa"/>
                <w:shd w:val="clear" w:color="auto" w:fill="auto"/>
              </w:tcPr>
              <w:p w14:paraId="1AFE5755" w14:textId="77777777" w:rsidR="00E57DAA" w:rsidRDefault="00AC4185">
                <w:pPr>
                  <w:ind w:firstLineChars="200" w:firstLine="420"/>
                  <w:rPr>
                    <w:szCs w:val="21"/>
                  </w:rPr>
                </w:pPr>
                <w:r>
                  <w:rPr>
                    <w:rFonts w:hint="eastAsia"/>
                    <w:szCs w:val="21"/>
                  </w:rPr>
                  <w:t>直线法</w:t>
                </w:r>
              </w:p>
            </w:tc>
          </w:tr>
          <w:tr w:rsidR="00E57DAA" w14:paraId="3FEC9A2F" w14:textId="77777777">
            <w:trPr>
              <w:trHeight w:val="344"/>
            </w:trPr>
            <w:tc>
              <w:tcPr>
                <w:tcW w:w="2806" w:type="dxa"/>
                <w:shd w:val="clear" w:color="auto" w:fill="auto"/>
                <w:vAlign w:val="center"/>
              </w:tcPr>
              <w:p w14:paraId="1C8C00B9" w14:textId="77777777" w:rsidR="00E57DAA" w:rsidRDefault="00AC4185">
                <w:pPr>
                  <w:ind w:firstLineChars="200" w:firstLine="420"/>
                  <w:rPr>
                    <w:bCs/>
                    <w:szCs w:val="21"/>
                  </w:rPr>
                </w:pPr>
                <w:r>
                  <w:t>采矿权</w:t>
                </w:r>
              </w:p>
            </w:tc>
            <w:tc>
              <w:tcPr>
                <w:tcW w:w="5614" w:type="dxa"/>
                <w:gridSpan w:val="2"/>
                <w:shd w:val="clear" w:color="auto" w:fill="auto"/>
                <w:vAlign w:val="center"/>
              </w:tcPr>
              <w:p w14:paraId="42047440" w14:textId="77777777" w:rsidR="00E57DAA" w:rsidRDefault="00AC4185">
                <w:pPr>
                  <w:rPr>
                    <w:szCs w:val="21"/>
                  </w:rPr>
                </w:pPr>
                <w:r>
                  <w:t>工作量法：按照实际开采量与矿山储量比例进行计算摊销</w:t>
                </w:r>
              </w:p>
            </w:tc>
          </w:tr>
          <w:tr w:rsidR="00E57DAA" w14:paraId="19925C71" w14:textId="77777777">
            <w:trPr>
              <w:trHeight w:val="344"/>
            </w:trPr>
            <w:tc>
              <w:tcPr>
                <w:tcW w:w="2806" w:type="dxa"/>
                <w:shd w:val="clear" w:color="auto" w:fill="auto"/>
                <w:vAlign w:val="center"/>
              </w:tcPr>
              <w:p w14:paraId="72E3DC3B" w14:textId="77777777" w:rsidR="00E57DAA" w:rsidRDefault="00AC4185">
                <w:pPr>
                  <w:ind w:firstLineChars="200" w:firstLine="420"/>
                  <w:rPr>
                    <w:bCs/>
                    <w:szCs w:val="21"/>
                  </w:rPr>
                </w:pPr>
                <w:r>
                  <w:rPr>
                    <w:rFonts w:hint="eastAsia"/>
                    <w:bCs/>
                    <w:szCs w:val="21"/>
                  </w:rPr>
                  <w:t>其他</w:t>
                </w:r>
              </w:p>
            </w:tc>
            <w:tc>
              <w:tcPr>
                <w:tcW w:w="1872" w:type="dxa"/>
                <w:shd w:val="clear" w:color="auto" w:fill="auto"/>
                <w:vAlign w:val="center"/>
              </w:tcPr>
              <w:p w14:paraId="2A84B780" w14:textId="77777777" w:rsidR="00E57DAA" w:rsidRDefault="00AC4185">
                <w:pPr>
                  <w:ind w:firstLineChars="200" w:firstLine="420"/>
                  <w:rPr>
                    <w:szCs w:val="21"/>
                  </w:rPr>
                </w:pPr>
                <w:r>
                  <w:rPr>
                    <w:bCs/>
                    <w:szCs w:val="21"/>
                  </w:rPr>
                  <w:t>5</w:t>
                </w:r>
              </w:p>
            </w:tc>
            <w:tc>
              <w:tcPr>
                <w:tcW w:w="3742" w:type="dxa"/>
                <w:shd w:val="clear" w:color="auto" w:fill="auto"/>
              </w:tcPr>
              <w:p w14:paraId="40806AEA" w14:textId="77777777" w:rsidR="00E57DAA" w:rsidRDefault="00AC4185">
                <w:pPr>
                  <w:ind w:firstLineChars="200" w:firstLine="420"/>
                  <w:rPr>
                    <w:szCs w:val="21"/>
                  </w:rPr>
                </w:pPr>
                <w:r>
                  <w:rPr>
                    <w:rFonts w:hint="eastAsia"/>
                    <w:szCs w:val="21"/>
                  </w:rPr>
                  <w:t>直线法</w:t>
                </w:r>
              </w:p>
            </w:tc>
          </w:tr>
        </w:tbl>
        <w:p w14:paraId="1EF10ED4" w14:textId="77777777" w:rsidR="00E57DAA" w:rsidRDefault="00AC4185">
          <w:pPr>
            <w:ind w:firstLineChars="200" w:firstLine="420"/>
            <w:rPr>
              <w:szCs w:val="21"/>
            </w:rPr>
          </w:pPr>
          <w:r>
            <w:rPr>
              <w:rFonts w:hint="eastAsia"/>
              <w:szCs w:val="21"/>
            </w:rPr>
            <w:t>期末，对使用寿命有限的无形资产的使用寿命和摊销方法进行复核，必要时进行调整。</w:t>
          </w:r>
        </w:p>
        <w:p w14:paraId="20D2A233" w14:textId="77777777" w:rsidR="00E57DAA" w:rsidRDefault="00AC4185">
          <w:pPr>
            <w:ind w:firstLineChars="200" w:firstLine="420"/>
            <w:rPr>
              <w:szCs w:val="21"/>
            </w:rPr>
          </w:pPr>
          <w:r>
            <w:rPr>
              <w:rFonts w:hint="eastAsia"/>
              <w:szCs w:val="21"/>
            </w:rPr>
            <w:t>（</w:t>
          </w:r>
          <w:r>
            <w:rPr>
              <w:szCs w:val="21"/>
            </w:rPr>
            <w:t>2）</w:t>
          </w:r>
          <w:r>
            <w:rPr>
              <w:szCs w:val="21"/>
            </w:rPr>
            <w:tab/>
            <w:t>使用寿命不确定的无形资产</w:t>
          </w:r>
        </w:p>
        <w:p w14:paraId="4BA5476F" w14:textId="77777777" w:rsidR="00E57DAA" w:rsidRDefault="00AC4185">
          <w:pPr>
            <w:ind w:firstLineChars="200" w:firstLine="420"/>
            <w:rPr>
              <w:szCs w:val="21"/>
            </w:rPr>
          </w:pPr>
          <w:r>
            <w:rPr>
              <w:rFonts w:hint="eastAsia"/>
              <w:szCs w:val="21"/>
            </w:rPr>
            <w:t>无法预见无形资产为企业带来经济利益期限的，视为使用寿命不确定的无形资产。使用寿命不确定的无形资产不予摊销。</w:t>
          </w:r>
        </w:p>
        <w:p w14:paraId="1EB23D0D" w14:textId="77777777" w:rsidR="00E57DAA" w:rsidRDefault="00AC4185">
          <w:pPr>
            <w:ind w:firstLineChars="200" w:firstLine="420"/>
            <w:rPr>
              <w:szCs w:val="21"/>
            </w:rPr>
          </w:pPr>
          <w:r>
            <w:rPr>
              <w:rFonts w:hint="eastAsia"/>
              <w:szCs w:val="21"/>
            </w:rPr>
            <w:t>期末，对使用寿命不确定的无形资产的使用寿命进行复核，如果有证据表明该无形资产为企业带来经济利益的期限是可预见的，则估计其使用寿命并按照使用寿命有限的无形资产的摊销政策进行摊销。</w:t>
          </w:r>
        </w:p>
        <w:p w14:paraId="36DCD964" w14:textId="77777777" w:rsidR="00E57DAA" w:rsidRDefault="00AC4185">
          <w:pPr>
            <w:ind w:firstLineChars="200" w:firstLine="420"/>
            <w:rPr>
              <w:szCs w:val="21"/>
            </w:rPr>
          </w:pPr>
          <w:r>
            <w:rPr>
              <w:rFonts w:hint="eastAsia"/>
              <w:szCs w:val="21"/>
            </w:rPr>
            <w:t>无形资产的减值测试方法和减值准备计提方法详见本附注31.长期资产减值。</w:t>
          </w:r>
        </w:p>
      </w:sdtContent>
    </w:sdt>
    <w:p w14:paraId="518C979C" w14:textId="77777777" w:rsidR="00E57DAA" w:rsidRDefault="00E57DAA"/>
    <w:p w14:paraId="19A1240D" w14:textId="77777777" w:rsidR="00E57DAA" w:rsidRDefault="00E57DAA">
      <w:pPr>
        <w:rPr>
          <w:szCs w:val="21"/>
        </w:rPr>
      </w:pPr>
    </w:p>
    <w:p w14:paraId="55F0BB2C" w14:textId="77777777" w:rsidR="00E57DAA" w:rsidRDefault="00AC4185">
      <w:pPr>
        <w:pStyle w:val="4"/>
        <w:numPr>
          <w:ilvl w:val="3"/>
          <w:numId w:val="64"/>
        </w:numPr>
        <w:ind w:left="426" w:hanging="426"/>
      </w:pPr>
      <w:r>
        <w:rPr>
          <w:rFonts w:hint="eastAsia"/>
        </w:rPr>
        <w:t>研发支出的归集范围及相关会计处理方法</w:t>
      </w:r>
    </w:p>
    <w:sdt>
      <w:sdtPr>
        <w:alias w:val="是否适用：无形资产内部研究开发支出会计政策[双击切换]"/>
        <w:tag w:val="_GBC_8f6b939ea36a42808f60b7c024994f2b"/>
        <w:id w:val="1321160777"/>
        <w:placeholder>
          <w:docPart w:val="GBC22222222222222222222222222222"/>
        </w:placeholder>
      </w:sdtPr>
      <w:sdtEndPr/>
      <w:sdtContent>
        <w:p w14:paraId="0F49668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291258479"/>
        <w:placeholder>
          <w:docPart w:val="GBC22222222222222222222222222222"/>
        </w:placeholder>
      </w:sdtPr>
      <w:sdtEndPr/>
      <w:sdtContent>
        <w:p w14:paraId="0DEEC680" w14:textId="77777777" w:rsidR="00E57DAA" w:rsidRDefault="00AC4185">
          <w:pPr>
            <w:ind w:firstLineChars="200" w:firstLine="420"/>
            <w:rPr>
              <w:szCs w:val="21"/>
            </w:rPr>
          </w:pPr>
          <w:r>
            <w:rPr>
              <w:szCs w:val="21"/>
            </w:rPr>
            <w:t>3．</w:t>
          </w:r>
          <w:r>
            <w:rPr>
              <w:szCs w:val="21"/>
            </w:rPr>
            <w:tab/>
            <w:t>划分公司内部研究开发项目的研究阶段和开发阶段具体标准</w:t>
          </w:r>
        </w:p>
        <w:p w14:paraId="1C41C93C" w14:textId="77777777" w:rsidR="00E57DAA" w:rsidRDefault="00AC4185">
          <w:pPr>
            <w:ind w:firstLineChars="200" w:firstLine="420"/>
            <w:rPr>
              <w:szCs w:val="21"/>
            </w:rPr>
          </w:pPr>
          <w:r>
            <w:rPr>
              <w:rFonts w:hint="eastAsia"/>
              <w:szCs w:val="21"/>
            </w:rPr>
            <w:t>研究阶段：为获取并理解新的科学或技术知识等而进行的独创性的有计划调查、研究活动的阶段。</w:t>
          </w:r>
        </w:p>
        <w:p w14:paraId="22D1C722" w14:textId="77777777" w:rsidR="00E57DAA" w:rsidRDefault="00AC4185">
          <w:pPr>
            <w:ind w:firstLineChars="200" w:firstLine="420"/>
            <w:rPr>
              <w:szCs w:val="21"/>
            </w:rPr>
          </w:pPr>
          <w:r>
            <w:rPr>
              <w:rFonts w:hint="eastAsia"/>
              <w:szCs w:val="21"/>
            </w:rPr>
            <w:t>开发阶段：在进行商业性生产或使用前，将研究成果或其他知识应用于某项计划或设计，以生产出新的或具有实质性改进的材料、装置、产品等活动的阶段。</w:t>
          </w:r>
        </w:p>
        <w:p w14:paraId="64D13000" w14:textId="77777777" w:rsidR="00E57DAA" w:rsidRDefault="00AC4185">
          <w:pPr>
            <w:ind w:firstLineChars="200" w:firstLine="420"/>
            <w:rPr>
              <w:szCs w:val="21"/>
            </w:rPr>
          </w:pPr>
          <w:r>
            <w:rPr>
              <w:rFonts w:hint="eastAsia"/>
              <w:szCs w:val="21"/>
            </w:rPr>
            <w:t>内部研究开发项目研究阶段的支出，在发生时计入当期损益。</w:t>
          </w:r>
        </w:p>
        <w:p w14:paraId="482B693C" w14:textId="77777777" w:rsidR="00E57DAA" w:rsidRDefault="00AC4185">
          <w:pPr>
            <w:ind w:firstLineChars="200" w:firstLine="420"/>
            <w:rPr>
              <w:szCs w:val="21"/>
            </w:rPr>
          </w:pPr>
          <w:r>
            <w:rPr>
              <w:szCs w:val="21"/>
            </w:rPr>
            <w:t>4．</w:t>
          </w:r>
          <w:r>
            <w:rPr>
              <w:szCs w:val="21"/>
            </w:rPr>
            <w:tab/>
            <w:t>开发阶段支出符合资本化的具体标准</w:t>
          </w:r>
        </w:p>
        <w:p w14:paraId="4470F897" w14:textId="77777777" w:rsidR="00E57DAA" w:rsidRDefault="00AC4185">
          <w:pPr>
            <w:ind w:firstLineChars="200" w:firstLine="420"/>
            <w:rPr>
              <w:szCs w:val="21"/>
            </w:rPr>
          </w:pPr>
          <w:r>
            <w:rPr>
              <w:rFonts w:hint="eastAsia"/>
              <w:szCs w:val="21"/>
            </w:rPr>
            <w:t>内部研究开发项目开发阶段的支出，同时满足下列条件时确认为无形资产：</w:t>
          </w:r>
        </w:p>
        <w:p w14:paraId="3CFD91DF" w14:textId="77777777" w:rsidR="00E57DAA" w:rsidRDefault="00AC4185">
          <w:pPr>
            <w:ind w:firstLineChars="200" w:firstLine="420"/>
            <w:rPr>
              <w:szCs w:val="21"/>
            </w:rPr>
          </w:pPr>
          <w:r>
            <w:rPr>
              <w:rFonts w:hint="eastAsia"/>
              <w:szCs w:val="21"/>
            </w:rPr>
            <w:t>（</w:t>
          </w:r>
          <w:r>
            <w:rPr>
              <w:szCs w:val="21"/>
            </w:rPr>
            <w:t>1）完成该无形资产以使其能够使用或出售在技术上具有可行性；</w:t>
          </w:r>
        </w:p>
        <w:p w14:paraId="66D1E9C2" w14:textId="77777777" w:rsidR="00E57DAA" w:rsidRDefault="00AC4185">
          <w:pPr>
            <w:ind w:firstLineChars="200" w:firstLine="420"/>
            <w:rPr>
              <w:szCs w:val="21"/>
            </w:rPr>
          </w:pPr>
          <w:r>
            <w:rPr>
              <w:rFonts w:hint="eastAsia"/>
              <w:szCs w:val="21"/>
            </w:rPr>
            <w:t>（</w:t>
          </w:r>
          <w:r>
            <w:rPr>
              <w:szCs w:val="21"/>
            </w:rPr>
            <w:t>2）具有完成该无形资产并使用或出售的意图；</w:t>
          </w:r>
        </w:p>
        <w:p w14:paraId="1E0197D6" w14:textId="77777777" w:rsidR="00E57DAA" w:rsidRDefault="00AC4185">
          <w:pPr>
            <w:ind w:firstLineChars="200" w:firstLine="420"/>
            <w:rPr>
              <w:szCs w:val="21"/>
            </w:rPr>
          </w:pPr>
          <w:r>
            <w:rPr>
              <w:rFonts w:hint="eastAsia"/>
              <w:szCs w:val="21"/>
            </w:rPr>
            <w:t>（</w:t>
          </w:r>
          <w:r>
            <w:rPr>
              <w:szCs w:val="21"/>
            </w:rPr>
            <w:t>3）无形资产产生经济利益的方式，包括能够证明运用该无形资产生产的产品存在市场或无形资产自身存在市场，无形资产将在内部使用的，能够证明其有用性；</w:t>
          </w:r>
        </w:p>
        <w:p w14:paraId="3E2AB6D9" w14:textId="77777777" w:rsidR="00E57DAA" w:rsidRDefault="00AC4185">
          <w:pPr>
            <w:ind w:firstLineChars="200" w:firstLine="420"/>
            <w:rPr>
              <w:szCs w:val="21"/>
            </w:rPr>
          </w:pPr>
          <w:r>
            <w:rPr>
              <w:rFonts w:hint="eastAsia"/>
              <w:szCs w:val="21"/>
            </w:rPr>
            <w:t>（</w:t>
          </w:r>
          <w:r>
            <w:rPr>
              <w:szCs w:val="21"/>
            </w:rPr>
            <w:t>4）有足够的技术、财务资源和其他资源支持，以完成该无形资产的开发，并有能力使用或出售该无形资产；</w:t>
          </w:r>
        </w:p>
        <w:p w14:paraId="07B56EF7" w14:textId="77777777" w:rsidR="00E57DAA" w:rsidRDefault="00AC4185">
          <w:pPr>
            <w:ind w:firstLineChars="200" w:firstLine="420"/>
            <w:rPr>
              <w:szCs w:val="21"/>
            </w:rPr>
          </w:pPr>
          <w:r>
            <w:rPr>
              <w:rFonts w:hint="eastAsia"/>
              <w:szCs w:val="21"/>
            </w:rPr>
            <w:t>（</w:t>
          </w:r>
          <w:r>
            <w:rPr>
              <w:szCs w:val="21"/>
            </w:rPr>
            <w:t>5）归属于该无形资产开发阶段的支出能够可靠地计量。</w:t>
          </w:r>
        </w:p>
        <w:p w14:paraId="566E9BD2" w14:textId="77777777" w:rsidR="00E57DAA" w:rsidRDefault="00AC4185">
          <w:pPr>
            <w:ind w:firstLineChars="200" w:firstLine="420"/>
            <w:rPr>
              <w:szCs w:val="21"/>
            </w:rPr>
          </w:pPr>
          <w:r>
            <w:rPr>
              <w:rFonts w:hint="eastAsia"/>
              <w:szCs w:val="21"/>
            </w:rPr>
            <w:t>不满足上述条件的开发阶段的支出，于发生时计入当期损益。无法区分研究阶段支出和开发阶段支出的，将发生的研发支出全部计入当期损益。内部开发活动形成的无形资产的成本仅包括满足资本化条件的时点至无形资产达到预定用途前发生的支出总额，对于同一项无形资产在开发过程中达到资本化条件之前已经费用化计入损益的支出不再进行调整。</w:t>
          </w:r>
        </w:p>
      </w:sdtContent>
    </w:sdt>
    <w:p w14:paraId="6C5CB9ED" w14:textId="77777777" w:rsidR="00E57DAA" w:rsidRDefault="00E57DAA" w:rsidP="00C25422">
      <w:pPr>
        <w:pStyle w:val="92"/>
      </w:pPr>
    </w:p>
    <w:p w14:paraId="3C55B5DB" w14:textId="77777777" w:rsidR="00E57DAA" w:rsidRDefault="00AC4185" w:rsidP="00C25422">
      <w:pPr>
        <w:pStyle w:val="91"/>
        <w:numPr>
          <w:ilvl w:val="0"/>
          <w:numId w:val="61"/>
        </w:numPr>
      </w:pPr>
      <w:r>
        <w:rPr>
          <w:rFonts w:hint="eastAsia"/>
        </w:rPr>
        <w:t>长期资产减值</w:t>
      </w:r>
    </w:p>
    <w:sdt>
      <w:sdtPr>
        <w:rPr>
          <w:rFonts w:hint="eastAsia"/>
          <w:szCs w:val="21"/>
        </w:rPr>
        <w:alias w:val="是否适用：长期资产减值_重要会计政策和估计[双击切换]"/>
        <w:tag w:val="_GBC_e9110d6af45c4c0d808e2f284fadf642"/>
        <w:id w:val="802973766"/>
        <w:placeholder>
          <w:docPart w:val="GBC22222222222222222222222222222"/>
        </w:placeholder>
      </w:sdtPr>
      <w:sdtEndPr/>
      <w:sdtContent>
        <w:p w14:paraId="3F2E56AB"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762989755"/>
        <w:placeholder>
          <w:docPart w:val="GBC22222222222222222222222222222"/>
        </w:placeholder>
      </w:sdtPr>
      <w:sdtEndPr/>
      <w:sdtContent>
        <w:p w14:paraId="6FBFBC3A" w14:textId="77777777" w:rsidR="00E57DAA" w:rsidRDefault="00AC4185">
          <w:pPr>
            <w:ind w:firstLineChars="200" w:firstLine="420"/>
            <w:rPr>
              <w:szCs w:val="21"/>
            </w:rPr>
          </w:pPr>
          <w:r>
            <w:rPr>
              <w:rFonts w:hint="eastAsia"/>
              <w:szCs w:val="21"/>
            </w:rPr>
            <w:t>本公司在每一个资产负债表日检查长期股权投资、采用成本法计量的投资性房地产、固定资产、在建工程、使用寿命确定的无形资产是否存在可能发生减值的迹象。如果长期资产存在减值迹象，则以单项资产为基础估计其可收回金额；难以对单项资产的可收回金额进行估计的，以该资产所属的资产组为基础确定资产组的可收回金额。</w:t>
          </w:r>
        </w:p>
        <w:p w14:paraId="29A502AB" w14:textId="77777777" w:rsidR="00E57DAA" w:rsidRDefault="00AC4185">
          <w:pPr>
            <w:ind w:firstLineChars="200" w:firstLine="420"/>
            <w:rPr>
              <w:szCs w:val="21"/>
            </w:rPr>
          </w:pPr>
          <w:r>
            <w:rPr>
              <w:rFonts w:hint="eastAsia"/>
              <w:szCs w:val="21"/>
            </w:rPr>
            <w:t>资产可收回金额的估计，根据其公允价值减去处置费用后的净额与资产预计未来现金流量的现值两者之间较高者确定。</w:t>
          </w:r>
        </w:p>
        <w:p w14:paraId="3A642EDE" w14:textId="77777777" w:rsidR="00E57DAA" w:rsidRDefault="00AC4185">
          <w:pPr>
            <w:ind w:firstLineChars="200" w:firstLine="420"/>
            <w:rPr>
              <w:szCs w:val="21"/>
            </w:rPr>
          </w:pPr>
          <w:r>
            <w:rPr>
              <w:rFonts w:hint="eastAsia"/>
              <w:szCs w:val="21"/>
            </w:rPr>
            <w:t>可收回金额的计量结果表明，长期资产的可收回金额低于其账面价值的，将长期资产的账面价值减记至可收回金额，减记的金额确认为资产减值损失，计入当期损益，同时计提相应的资产减值准备。资产减值损失一经确认，在以后会计期间不得转回。</w:t>
          </w:r>
        </w:p>
        <w:p w14:paraId="3066BED6" w14:textId="77777777" w:rsidR="00E57DAA" w:rsidRDefault="00AC4185">
          <w:pPr>
            <w:ind w:firstLineChars="200" w:firstLine="420"/>
            <w:rPr>
              <w:szCs w:val="21"/>
            </w:rPr>
          </w:pPr>
          <w:r>
            <w:rPr>
              <w:rFonts w:hint="eastAsia"/>
              <w:szCs w:val="21"/>
            </w:rPr>
            <w:lastRenderedPageBreak/>
            <w:t>资产减值损失确认后，减值资产的折旧或者摊销费用在未来期间作相应调整，以使该资产在剩余使用寿命内，系统地分摊调整后的资产账面价值（扣除预计净残值）。</w:t>
          </w:r>
        </w:p>
        <w:p w14:paraId="70B3D674" w14:textId="77777777" w:rsidR="00E57DAA" w:rsidRDefault="00AC4185">
          <w:pPr>
            <w:ind w:firstLineChars="200" w:firstLine="420"/>
            <w:rPr>
              <w:szCs w:val="21"/>
            </w:rPr>
          </w:pPr>
          <w:r>
            <w:rPr>
              <w:rFonts w:hint="eastAsia"/>
              <w:szCs w:val="21"/>
            </w:rPr>
            <w:t>因企业合并所形成的商誉和使用寿命不确定的无形资产，无论是否存在减值迹象，每年都进行减值测试。</w:t>
          </w:r>
        </w:p>
        <w:p w14:paraId="3E37219E" w14:textId="77777777" w:rsidR="00E57DAA" w:rsidRDefault="00AC4185">
          <w:pPr>
            <w:ind w:firstLineChars="200" w:firstLine="420"/>
            <w:rPr>
              <w:szCs w:val="21"/>
            </w:rPr>
          </w:pPr>
          <w:r>
            <w:rPr>
              <w:rFonts w:hint="eastAsia"/>
              <w:szCs w:val="21"/>
            </w:rPr>
            <w:t>在对商誉进行减值测试时，将商誉的账面价值分摊至预期从企业合并的协同效应中受益的资产组或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这些相关资产组或者资产组组合的账面价值（包括所分摊的商誉的账面价值部分）与其可收回金额，如相关资产组或者资产组组合的可收回金额低于其账面价值的，确认商誉的减值损失。</w:t>
          </w:r>
        </w:p>
      </w:sdtContent>
    </w:sdt>
    <w:p w14:paraId="64117F71" w14:textId="77777777" w:rsidR="00E57DAA" w:rsidRDefault="00E57DAA">
      <w:pPr>
        <w:rPr>
          <w:szCs w:val="21"/>
        </w:rPr>
      </w:pPr>
    </w:p>
    <w:p w14:paraId="0E52F21D" w14:textId="77777777" w:rsidR="00E57DAA" w:rsidRDefault="00AC4185" w:rsidP="00C25422">
      <w:pPr>
        <w:pStyle w:val="91"/>
        <w:numPr>
          <w:ilvl w:val="0"/>
          <w:numId w:val="61"/>
        </w:numPr>
      </w:pPr>
      <w:r>
        <w:t>长期待摊费用</w:t>
      </w:r>
    </w:p>
    <w:sdt>
      <w:sdtPr>
        <w:rPr>
          <w:rFonts w:hint="eastAsia"/>
          <w:szCs w:val="21"/>
        </w:rPr>
        <w:alias w:val="是否适用：长期待摊费用_重要会计政策和估计[双击切换]"/>
        <w:tag w:val="_GBC_5f2bbee5e66644d489f8d74ae8f96539"/>
        <w:id w:val="1724404382"/>
        <w:placeholder>
          <w:docPart w:val="GBC22222222222222222222222222222"/>
        </w:placeholder>
      </w:sdtPr>
      <w:sdtEndPr/>
      <w:sdtContent>
        <w:p w14:paraId="1F1EF0C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539897916"/>
        <w:placeholder>
          <w:docPart w:val="GBC22222222222222222222222222222"/>
        </w:placeholder>
      </w:sdtPr>
      <w:sdtEndPr/>
      <w:sdtContent>
        <w:p w14:paraId="01076BD2" w14:textId="77777777" w:rsidR="00E57DAA" w:rsidRDefault="00AC4185">
          <w:pPr>
            <w:ind w:firstLineChars="200" w:firstLine="420"/>
            <w:rPr>
              <w:rFonts w:cs="Times New Roman"/>
              <w:kern w:val="2"/>
              <w:szCs w:val="21"/>
            </w:rPr>
          </w:pPr>
          <w:r>
            <w:rPr>
              <w:rFonts w:hint="eastAsia"/>
              <w:szCs w:val="21"/>
            </w:rPr>
            <w:t>长期待摊费用，是指本公司已经发生但应由本期和以后各期负担的分摊期限在</w:t>
          </w:r>
          <w:r>
            <w:rPr>
              <w:szCs w:val="21"/>
            </w:rPr>
            <w:t>1年以上的各项费用。长期待摊费用在受益期内按直线法分期摊销。</w:t>
          </w:r>
        </w:p>
      </w:sdtContent>
    </w:sdt>
    <w:p w14:paraId="14BFF7E3" w14:textId="77777777" w:rsidR="00E57DAA" w:rsidRDefault="00E57DAA">
      <w:pPr>
        <w:rPr>
          <w:szCs w:val="21"/>
        </w:rPr>
      </w:pPr>
    </w:p>
    <w:p w14:paraId="23957378" w14:textId="77777777" w:rsidR="00E57DAA" w:rsidRDefault="00AC4185" w:rsidP="00C25422">
      <w:pPr>
        <w:pStyle w:val="91"/>
        <w:numPr>
          <w:ilvl w:val="0"/>
          <w:numId w:val="61"/>
        </w:numPr>
      </w:pPr>
      <w:r>
        <w:rPr>
          <w:rFonts w:hint="eastAsia"/>
        </w:rPr>
        <w:t>合同负债</w:t>
      </w:r>
    </w:p>
    <w:bookmarkStart w:id="179" w:name="_Hlk533668008" w:displacedByCustomXml="next"/>
    <w:sdt>
      <w:sdtPr>
        <w:rPr>
          <w:szCs w:val="21"/>
        </w:rPr>
        <w:alias w:val="是否适用：合同负债的确定方法、摊销方法和减值测试方法[双击切换]"/>
        <w:tag w:val="_GBC_1d0f6a0a7f304d3f94158c9d73a7239a"/>
        <w:id w:val="-73747045"/>
        <w:placeholder>
          <w:docPart w:val="GBC22222222222222222222222222222"/>
        </w:placeholder>
      </w:sdtPr>
      <w:sdtEndPr/>
      <w:sdtContent>
        <w:p w14:paraId="377B83D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7CDA7B" w14:textId="77777777" w:rsidR="00E57DAA" w:rsidRDefault="00EB41A1">
      <w:pPr>
        <w:ind w:firstLineChars="200" w:firstLine="420"/>
        <w:rPr>
          <w:szCs w:val="21"/>
        </w:rPr>
      </w:pPr>
      <w:sdt>
        <w:sdtPr>
          <w:rPr>
            <w:szCs w:val="21"/>
          </w:rPr>
          <w:alias w:val="合同负债的确定方法、摊销方法和减值测试方法"/>
          <w:tag w:val="_GBC_0555b9144f6c494282d03f175d2fa19d"/>
          <w:id w:val="1299184647"/>
          <w:placeholder>
            <w:docPart w:val="GBC22222222222222222222222222222"/>
          </w:placeholder>
        </w:sdtPr>
        <w:sdtEndPr/>
        <w:sdtContent>
          <w:r w:rsidR="00AC4185">
            <w:rPr>
              <w:rFonts w:hint="eastAsia"/>
              <w:szCs w:val="21"/>
            </w:rPr>
            <w:t>本公司将已收或应收客户对价而应向客户转让商品的义务部分确认为合同负债。</w:t>
          </w:r>
        </w:sdtContent>
      </w:sdt>
    </w:p>
    <w:bookmarkEnd w:id="179"/>
    <w:p w14:paraId="08D671E9" w14:textId="77777777" w:rsidR="00E57DAA" w:rsidRDefault="00E57DAA">
      <w:pPr>
        <w:rPr>
          <w:szCs w:val="21"/>
        </w:rPr>
      </w:pPr>
    </w:p>
    <w:p w14:paraId="25DCA73A" w14:textId="77777777" w:rsidR="00E57DAA" w:rsidRDefault="00AC4185" w:rsidP="00C25422">
      <w:pPr>
        <w:pStyle w:val="91"/>
        <w:numPr>
          <w:ilvl w:val="0"/>
          <w:numId w:val="61"/>
        </w:numPr>
      </w:pPr>
      <w:r>
        <w:rPr>
          <w:rFonts w:hint="eastAsia"/>
        </w:rPr>
        <w:t>职工薪酬</w:t>
      </w:r>
    </w:p>
    <w:p w14:paraId="1D081CA9" w14:textId="77777777" w:rsidR="00E57DAA" w:rsidRDefault="00AC4185">
      <w:pPr>
        <w:ind w:firstLineChars="200" w:firstLine="420"/>
      </w:pPr>
      <w:r>
        <w:rPr>
          <w:rFonts w:hint="eastAsia"/>
        </w:rPr>
        <w:t>职工薪酬，是指本公司为获得职工提供的服务或解除劳动关系而给予的各种形式的报酬或补偿。职工薪酬包括短期薪酬、离职后福利、辞退福利和其他长期职工福利。</w:t>
      </w:r>
    </w:p>
    <w:p w14:paraId="5B4048E6" w14:textId="77777777" w:rsidR="00E57DAA" w:rsidRDefault="00AC4185">
      <w:pPr>
        <w:pStyle w:val="4"/>
        <w:numPr>
          <w:ilvl w:val="3"/>
          <w:numId w:val="65"/>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172504465"/>
        <w:placeholder>
          <w:docPart w:val="GBC22222222222222222222222222222"/>
        </w:placeholder>
      </w:sdtPr>
      <w:sdtEndPr/>
      <w:sdtContent>
        <w:p w14:paraId="4C3980A9"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992598455"/>
        <w:placeholder>
          <w:docPart w:val="GBC22222222222222222222222222222"/>
        </w:placeholder>
      </w:sdtPr>
      <w:sdtEndPr/>
      <w:sdtContent>
        <w:p w14:paraId="5509BCD1" w14:textId="77777777" w:rsidR="00E57DAA" w:rsidRDefault="00AC4185">
          <w:pPr>
            <w:ind w:firstLineChars="200" w:firstLine="420"/>
            <w:rPr>
              <w:szCs w:val="21"/>
            </w:rPr>
          </w:pPr>
          <w:r>
            <w:rPr>
              <w:rFonts w:hint="eastAsia"/>
              <w:szCs w:val="21"/>
            </w:rPr>
            <w:t>短期薪酬是指本公司在职工提供相关服务的年度报告期间结束后十二个月内需要全部予以支付的职工薪酬，离职后福利和辞退福利除外。本公司在职工提供服务的会计期间，将应付的短期薪酬确认为负债，并根据职工提供服务的受益对象计入相关资产成本和费用。</w:t>
          </w:r>
        </w:p>
      </w:sdtContent>
    </w:sdt>
    <w:p w14:paraId="719D8D91" w14:textId="77777777" w:rsidR="00E57DAA" w:rsidRDefault="00E57DAA">
      <w:pPr>
        <w:rPr>
          <w:szCs w:val="21"/>
        </w:rPr>
      </w:pPr>
    </w:p>
    <w:p w14:paraId="444CE63E" w14:textId="77777777" w:rsidR="00E57DAA" w:rsidRDefault="00AC4185">
      <w:pPr>
        <w:pStyle w:val="4"/>
        <w:numPr>
          <w:ilvl w:val="3"/>
          <w:numId w:val="65"/>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62078877"/>
        <w:placeholder>
          <w:docPart w:val="GBC22222222222222222222222222222"/>
        </w:placeholder>
      </w:sdtPr>
      <w:sdtEndPr/>
      <w:sdtContent>
        <w:p w14:paraId="5529A80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882632685"/>
        <w:placeholder>
          <w:docPart w:val="GBC22222222222222222222222222222"/>
        </w:placeholder>
      </w:sdtPr>
      <w:sdtEndPr/>
      <w:sdtContent>
        <w:p w14:paraId="3A1FBD4E" w14:textId="77777777" w:rsidR="00E57DAA" w:rsidRDefault="00AC4185">
          <w:pPr>
            <w:ind w:firstLineChars="200" w:firstLine="420"/>
            <w:rPr>
              <w:szCs w:val="21"/>
            </w:rPr>
          </w:pPr>
          <w:r>
            <w:rPr>
              <w:rFonts w:hint="eastAsia"/>
              <w:szCs w:val="21"/>
            </w:rPr>
            <w:t>离职后福利是指本公司为获得职工提供的服务而在职工退休或与企业解除劳动关系后，提供的各种形式的报酬和福利，短期薪酬和辞退福利除外。</w:t>
          </w:r>
        </w:p>
        <w:p w14:paraId="6EAE2BFB" w14:textId="77777777" w:rsidR="00E57DAA" w:rsidRDefault="00AC4185">
          <w:pPr>
            <w:ind w:firstLineChars="200" w:firstLine="420"/>
            <w:rPr>
              <w:szCs w:val="21"/>
            </w:rPr>
          </w:pPr>
          <w:r>
            <w:rPr>
              <w:rFonts w:hint="eastAsia"/>
              <w:szCs w:val="21"/>
            </w:rPr>
            <w:t>本公司的离职后福利计划分类为设定提存计划和设定受益计划。</w:t>
          </w:r>
        </w:p>
        <w:p w14:paraId="2ADA2370" w14:textId="77777777" w:rsidR="00E57DAA" w:rsidRDefault="00AC4185">
          <w:pPr>
            <w:ind w:firstLineChars="200" w:firstLine="420"/>
            <w:rPr>
              <w:szCs w:val="21"/>
            </w:rPr>
          </w:pPr>
          <w:r>
            <w:rPr>
              <w:rFonts w:hint="eastAsia"/>
              <w:szCs w:val="21"/>
            </w:rPr>
            <w:t>离职后福利设定提存计划主要为参加由各地劳动及社会保障机构组织实施的社会基本养老保险、失业保险等。在职工为本公司提供服务的会计期间，将根据设定提存计划计算的应缴存金额确认为负债，并计入当期损益或相关资产成本。</w:t>
          </w:r>
        </w:p>
        <w:p w14:paraId="0D8E3EDB" w14:textId="77777777" w:rsidR="00E57DAA" w:rsidRDefault="00AC4185">
          <w:pPr>
            <w:ind w:firstLineChars="200" w:firstLine="420"/>
            <w:rPr>
              <w:szCs w:val="21"/>
            </w:rPr>
          </w:pPr>
          <w:r>
            <w:rPr>
              <w:rFonts w:hint="eastAsia"/>
              <w:szCs w:val="21"/>
            </w:rPr>
            <w:t>离职后福利设定受益计划主要为离退休人员支付的明确标准的统筹外福利、为去世员工遗属支付的生活费等。对于设定受益计划中承担的义务，在资产负债表日由独立精算师使用预期累计福利单位法进行精算，将设定受益计划产生的福利义务归属于职工提供服务的期间，并计入当期损益或相关资产成本，其中：除非其他会计准则要求或允许职工福利成本计入资产成本，设定受益计划服务成本和设定受益计划净负债或净资产的利息净额在发生当期计入当期损益；重新计量设定受益计划净负债或净资产所产生的变动在发生当期计入其他综合收益，且在后续会计期间不允许转回至损益。</w:t>
          </w:r>
        </w:p>
      </w:sdtContent>
    </w:sdt>
    <w:p w14:paraId="250E0FC2" w14:textId="77777777" w:rsidR="00E57DAA" w:rsidRDefault="00E57DAA">
      <w:pPr>
        <w:rPr>
          <w:szCs w:val="21"/>
        </w:rPr>
      </w:pPr>
    </w:p>
    <w:p w14:paraId="277F41CC" w14:textId="77777777" w:rsidR="00E57DAA" w:rsidRDefault="00AC4185">
      <w:pPr>
        <w:pStyle w:val="4"/>
        <w:numPr>
          <w:ilvl w:val="3"/>
          <w:numId w:val="65"/>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814253394"/>
        <w:placeholder>
          <w:docPart w:val="GBC22222222222222222222222222222"/>
        </w:placeholder>
      </w:sdtPr>
      <w:sdtEndPr/>
      <w:sdtContent>
        <w:p w14:paraId="580BEB0D"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881787542"/>
        <w:placeholder>
          <w:docPart w:val="GBC22222222222222222222222222222"/>
        </w:placeholder>
      </w:sdtPr>
      <w:sdtEndPr/>
      <w:sdtContent>
        <w:p w14:paraId="5C45378C" w14:textId="77777777" w:rsidR="00E57DAA" w:rsidRDefault="00AC4185">
          <w:pPr>
            <w:ind w:firstLineChars="200" w:firstLine="420"/>
            <w:rPr>
              <w:szCs w:val="21"/>
            </w:rPr>
          </w:pPr>
          <w:r>
            <w:rPr>
              <w:rFonts w:hint="eastAsia"/>
              <w:szCs w:val="21"/>
            </w:rPr>
            <w:t>辞退福利是指本公司在职工劳动合同到期之前解除与职工的劳动关系，或者为鼓励职工自愿接受裁减而给予职工的补偿，在本公司不能单方面撤回解除劳动关系计划或裁减建议时和确认与涉及支付辞退福利的重组相关的成本费用时两者孰早日，确认因解除与职工的劳动关系给予补偿而产生的负债，同时计入当期损益。</w:t>
          </w:r>
        </w:p>
        <w:p w14:paraId="6670F04A" w14:textId="77777777" w:rsidR="00E57DAA" w:rsidRDefault="00AC4185">
          <w:pPr>
            <w:ind w:firstLineChars="200" w:firstLine="420"/>
            <w:jc w:val="both"/>
            <w:rPr>
              <w:szCs w:val="21"/>
            </w:rPr>
          </w:pPr>
          <w:r>
            <w:rPr>
              <w:rFonts w:hint="eastAsia"/>
              <w:szCs w:val="21"/>
            </w:rPr>
            <w:t>本公司向接受内部退休安排的职工提供内退福利。内退福利是指，向未达到国家规定的退休年龄、经本公司管理层批准自愿退出工作岗位的职工支付的工资及为其缴纳的社会保险费等。本公司自内部退休安排开始之日起至职工达到正常退休年龄止，向内退职工支付内部退养福利。对于内退福利，本公司比照辞退福利进行会计处理，在符合辞退福利相关确认条件时，将自职工停止提供服务日至正常退休日期间拟支付的内退职工工资和缴纳的社会保险费等，确认为负债，一次性计入当期损益。内退福利的精算假设变化及福利标准调整引起的差异于发生时计入当期损益。</w:t>
          </w:r>
        </w:p>
      </w:sdtContent>
    </w:sdt>
    <w:p w14:paraId="15BF3F72" w14:textId="77777777" w:rsidR="00E57DAA" w:rsidRDefault="00E57DAA">
      <w:pPr>
        <w:rPr>
          <w:szCs w:val="21"/>
        </w:rPr>
      </w:pPr>
    </w:p>
    <w:p w14:paraId="64F1B5DA" w14:textId="77777777" w:rsidR="00E57DAA" w:rsidRDefault="00AC4185">
      <w:pPr>
        <w:pStyle w:val="4"/>
        <w:numPr>
          <w:ilvl w:val="3"/>
          <w:numId w:val="65"/>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1218091307"/>
        <w:placeholder>
          <w:docPart w:val="GBC22222222222222222222222222222"/>
        </w:placeholder>
      </w:sdtPr>
      <w:sdtEndPr/>
      <w:sdtContent>
        <w:p w14:paraId="27DA6A4D"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969853226"/>
        <w:placeholder>
          <w:docPart w:val="GBC22222222222222222222222222222"/>
        </w:placeholder>
      </w:sdtPr>
      <w:sdtEndPr/>
      <w:sdtContent>
        <w:p w14:paraId="012CDA5A" w14:textId="77777777" w:rsidR="00E57DAA" w:rsidRDefault="00AC4185">
          <w:pPr>
            <w:ind w:firstLineChars="200" w:firstLine="420"/>
            <w:rPr>
              <w:szCs w:val="21"/>
            </w:rPr>
          </w:pPr>
          <w:r>
            <w:rPr>
              <w:rFonts w:hint="eastAsia"/>
              <w:szCs w:val="21"/>
            </w:rPr>
            <w:t>其他长期职工福利是指除短期薪酬、离职后福利、辞退福利之外的其他所有职工福利。</w:t>
          </w:r>
        </w:p>
        <w:p w14:paraId="30C16206" w14:textId="77777777" w:rsidR="00E57DAA" w:rsidRDefault="00AC4185">
          <w:pPr>
            <w:ind w:firstLineChars="200" w:firstLine="420"/>
            <w:rPr>
              <w:rFonts w:cs="Times New Roman"/>
              <w:szCs w:val="21"/>
            </w:rPr>
          </w:pPr>
          <w:r>
            <w:rPr>
              <w:rFonts w:hint="eastAsia"/>
              <w:szCs w:val="21"/>
            </w:rPr>
            <w:t>对符合设定提存计划条件的其他长期职工福利，在职工为本公司提供服务的会计期间，将应缴存金额确认为负债，并计入当期损益或相关资产成本；除上述情形外的其他长期职工福利，在资产负债表日由独立精算师使用预期累计福利单位法进行精算，将设定受益计划产生的福利义务归属于职工提供服务的期间，并计入当期损益或相关资产成本。</w:t>
          </w:r>
        </w:p>
      </w:sdtContent>
    </w:sdt>
    <w:p w14:paraId="05DA43EB" w14:textId="77777777" w:rsidR="00E57DAA" w:rsidRDefault="00E57DAA">
      <w:pPr>
        <w:rPr>
          <w:rFonts w:cs="Times New Roman"/>
          <w:szCs w:val="21"/>
        </w:rPr>
      </w:pPr>
    </w:p>
    <w:p w14:paraId="216C5525" w14:textId="77777777" w:rsidR="00E57DAA" w:rsidRDefault="00AC4185" w:rsidP="00C25422">
      <w:pPr>
        <w:pStyle w:val="91"/>
        <w:numPr>
          <w:ilvl w:val="0"/>
          <w:numId w:val="61"/>
        </w:numPr>
      </w:pPr>
      <w:r>
        <w:t>预计负债</w:t>
      </w:r>
    </w:p>
    <w:sdt>
      <w:sdtPr>
        <w:rPr>
          <w:rFonts w:hint="eastAsia"/>
          <w:szCs w:val="21"/>
        </w:rPr>
        <w:alias w:val="是否适用：预计负债_重要会计政策和估计[双击切换]"/>
        <w:tag w:val="_GBC_546a7423773c46d2b57f08fc5fdbc638"/>
        <w:id w:val="501553235"/>
        <w:placeholder>
          <w:docPart w:val="GBC22222222222222222222222222222"/>
        </w:placeholder>
      </w:sdtPr>
      <w:sdtEndPr/>
      <w:sdtContent>
        <w:p w14:paraId="540B223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2127421271"/>
        <w:placeholder>
          <w:docPart w:val="GBC22222222222222222222222222222"/>
        </w:placeholder>
      </w:sdtPr>
      <w:sdtEndPr/>
      <w:sdtContent>
        <w:p w14:paraId="4A2BF819" w14:textId="77777777" w:rsidR="00E57DAA" w:rsidRDefault="00AC4185">
          <w:pPr>
            <w:ind w:firstLineChars="200" w:firstLine="420"/>
            <w:jc w:val="both"/>
            <w:rPr>
              <w:szCs w:val="21"/>
            </w:rPr>
          </w:pPr>
          <w:r>
            <w:rPr>
              <w:szCs w:val="21"/>
            </w:rPr>
            <w:t>1．预计负债的确认标准</w:t>
          </w:r>
        </w:p>
        <w:p w14:paraId="13D9B917" w14:textId="77777777" w:rsidR="00E57DAA" w:rsidRDefault="00AC4185">
          <w:pPr>
            <w:ind w:firstLineChars="200" w:firstLine="420"/>
            <w:jc w:val="both"/>
            <w:rPr>
              <w:szCs w:val="21"/>
            </w:rPr>
          </w:pPr>
          <w:r>
            <w:rPr>
              <w:rFonts w:hint="eastAsia"/>
              <w:szCs w:val="21"/>
            </w:rPr>
            <w:t>当与产品质量保证</w:t>
          </w:r>
          <w:r>
            <w:rPr>
              <w:szCs w:val="21"/>
            </w:rPr>
            <w:t>/亏损合同/重组等或有事项相关的义务是本公司承担的现时义务，且履行该义务很可能导致经济利益流出，以及该义务的金额能够可靠地计量，则确认为预计负债。</w:t>
          </w:r>
        </w:p>
        <w:p w14:paraId="229E7150" w14:textId="77777777" w:rsidR="00E57DAA" w:rsidRDefault="00AC4185">
          <w:pPr>
            <w:ind w:firstLineChars="200" w:firstLine="420"/>
            <w:jc w:val="both"/>
            <w:rPr>
              <w:szCs w:val="21"/>
            </w:rPr>
          </w:pPr>
          <w:r>
            <w:rPr>
              <w:szCs w:val="21"/>
            </w:rPr>
            <w:t>2．预计负债的计量方法</w:t>
          </w:r>
        </w:p>
        <w:p w14:paraId="336DC841" w14:textId="77777777" w:rsidR="00E57DAA" w:rsidRDefault="00AC4185">
          <w:pPr>
            <w:ind w:firstLineChars="200" w:firstLine="420"/>
            <w:jc w:val="both"/>
            <w:rPr>
              <w:szCs w:val="21"/>
            </w:rPr>
          </w:pPr>
          <w:r>
            <w:rPr>
              <w:rFonts w:hint="eastAsia"/>
              <w:szCs w:val="21"/>
            </w:rPr>
            <w:t>本公司预计负债按履行相关现时义务所需的支出的最佳估计数进行初始计量。</w:t>
          </w:r>
        </w:p>
        <w:p w14:paraId="15A83650" w14:textId="77777777" w:rsidR="00E57DAA" w:rsidRDefault="00AC4185">
          <w:pPr>
            <w:ind w:firstLineChars="200" w:firstLine="420"/>
            <w:jc w:val="both"/>
            <w:rPr>
              <w:szCs w:val="21"/>
            </w:rPr>
          </w:pPr>
          <w:r>
            <w:rPr>
              <w:rFonts w:hint="eastAsia"/>
              <w:szCs w:val="21"/>
            </w:rPr>
            <w:t>本公司在确定最佳估计数时，综合考虑与或有事项有关的风险、不确定性和货币时间价值等因素。对于货币时间价值影响重大的，通过对相关未来现金流出进行折现后确定最佳估计数。</w:t>
          </w:r>
        </w:p>
        <w:p w14:paraId="71386696" w14:textId="77777777" w:rsidR="00E57DAA" w:rsidRDefault="00AC4185">
          <w:pPr>
            <w:ind w:firstLineChars="200" w:firstLine="420"/>
            <w:jc w:val="both"/>
            <w:rPr>
              <w:szCs w:val="21"/>
            </w:rPr>
          </w:pPr>
          <w:r>
            <w:rPr>
              <w:rFonts w:hint="eastAsia"/>
              <w:szCs w:val="21"/>
            </w:rPr>
            <w:t>最佳估计数分别以下情况处理：</w:t>
          </w:r>
        </w:p>
        <w:p w14:paraId="1BC48C4B" w14:textId="77777777" w:rsidR="00E57DAA" w:rsidRDefault="00AC4185">
          <w:pPr>
            <w:ind w:firstLineChars="200" w:firstLine="420"/>
            <w:jc w:val="both"/>
            <w:rPr>
              <w:szCs w:val="21"/>
            </w:rPr>
          </w:pPr>
          <w:r>
            <w:rPr>
              <w:rFonts w:hint="eastAsia"/>
              <w:szCs w:val="21"/>
            </w:rPr>
            <w:t>所需支出存在一个连续范围（或区间），且该范围内各种结果发生的可能性相同的，则最佳估计数按照该范围的中间值即上下限金额的平均数确定。</w:t>
          </w:r>
        </w:p>
        <w:p w14:paraId="5E46E034" w14:textId="77777777" w:rsidR="00E57DAA" w:rsidRDefault="00AC4185">
          <w:pPr>
            <w:ind w:firstLineChars="200" w:firstLine="420"/>
            <w:jc w:val="both"/>
            <w:rPr>
              <w:szCs w:val="21"/>
            </w:rPr>
          </w:pPr>
          <w:r>
            <w:rPr>
              <w:rFonts w:hint="eastAsia"/>
              <w:szCs w:val="21"/>
            </w:rPr>
            <w:t>所需支出不存在一个连续范围（或区间），或虽然存在一个连续范围但该范围内各种结果发生的可能性不相同的，如或有事项涉及单个项目的，则最佳估计数按照最可能发生金额确定；如或有事项涉及多个项目的，则最佳估计数按各种可能结果及相关概率计算确定。</w:t>
          </w:r>
        </w:p>
        <w:p w14:paraId="60140541" w14:textId="77777777" w:rsidR="00E57DAA" w:rsidRDefault="00AC4185">
          <w:pPr>
            <w:ind w:firstLineChars="200" w:firstLine="420"/>
            <w:jc w:val="both"/>
            <w:rPr>
              <w:szCs w:val="21"/>
            </w:rPr>
          </w:pPr>
          <w:r>
            <w:rPr>
              <w:rFonts w:hint="eastAsia"/>
              <w:szCs w:val="21"/>
            </w:rPr>
            <w:t>本公司清偿预计负债所需支出全部或部分预期由第三方补偿的，补偿金额在基本确定能够收到时，作为资产单独确认，确认的补偿金额不超过预计负债的账面价值。</w:t>
          </w:r>
        </w:p>
      </w:sdtContent>
    </w:sdt>
    <w:p w14:paraId="7B1A6AB2" w14:textId="77777777" w:rsidR="00E57DAA" w:rsidRDefault="00E57DAA">
      <w:pPr>
        <w:jc w:val="both"/>
        <w:rPr>
          <w:szCs w:val="21"/>
        </w:rPr>
      </w:pPr>
    </w:p>
    <w:p w14:paraId="3F7C37EF" w14:textId="77777777" w:rsidR="00E57DAA" w:rsidRDefault="00AC4185" w:rsidP="00C25422">
      <w:pPr>
        <w:pStyle w:val="91"/>
        <w:numPr>
          <w:ilvl w:val="0"/>
          <w:numId w:val="61"/>
        </w:numPr>
      </w:pPr>
      <w:r>
        <w:rPr>
          <w:rFonts w:hint="eastAsia"/>
        </w:rPr>
        <w:t>租赁负债</w:t>
      </w:r>
    </w:p>
    <w:p w14:paraId="1B7A9CAD" w14:textId="77777777" w:rsidR="00E57DAA" w:rsidRDefault="00AC4185">
      <w:pPr>
        <w:ind w:firstLineChars="200" w:firstLine="420"/>
      </w:pPr>
      <w:r>
        <w:rPr>
          <w:rFonts w:hint="eastAsia"/>
        </w:rPr>
        <w:t>本公司对租赁负债按照租赁期开始日尚未支付的租赁付款额的现值进行初始计量。在计算租赁付款额的现值时，本公司采用租赁内含利率作为折现率；无法确定租赁内含利率的，采用本公司增量借款利率作为折现率。租赁付款额包括：</w:t>
      </w:r>
    </w:p>
    <w:p w14:paraId="49D94BF3" w14:textId="77777777" w:rsidR="00E57DAA" w:rsidRDefault="00AC4185">
      <w:pPr>
        <w:ind w:firstLineChars="200" w:firstLine="420"/>
      </w:pPr>
      <w:r>
        <w:t>1.</w:t>
      </w:r>
      <w:r>
        <w:tab/>
        <w:t>扣除租赁激励相关金额后的固定付款额及实质固定付款额；</w:t>
      </w:r>
    </w:p>
    <w:p w14:paraId="30437E79" w14:textId="77777777" w:rsidR="00E57DAA" w:rsidRDefault="00AC4185">
      <w:pPr>
        <w:ind w:firstLineChars="200" w:firstLine="420"/>
      </w:pPr>
      <w:r>
        <w:t>2.</w:t>
      </w:r>
      <w:r>
        <w:tab/>
        <w:t>取决于指数或比率的可变租赁付款额；</w:t>
      </w:r>
    </w:p>
    <w:p w14:paraId="2857AF97" w14:textId="77777777" w:rsidR="00E57DAA" w:rsidRDefault="00AC4185">
      <w:pPr>
        <w:ind w:firstLineChars="200" w:firstLine="420"/>
      </w:pPr>
      <w:r>
        <w:t>3.</w:t>
      </w:r>
      <w:r>
        <w:tab/>
        <w:t>在本公司合理确定将行使该选择权的情况下，租赁付款额包括购买选择权的行权价格；</w:t>
      </w:r>
    </w:p>
    <w:p w14:paraId="46F80035" w14:textId="77777777" w:rsidR="00E57DAA" w:rsidRDefault="00AC4185">
      <w:pPr>
        <w:ind w:firstLineChars="200" w:firstLine="420"/>
      </w:pPr>
      <w:r>
        <w:t>4.</w:t>
      </w:r>
      <w:r>
        <w:tab/>
        <w:t>在租赁期反映出本公司将行使终止租赁选择权的情况下，租赁付款额包括行使终止租赁选择权需支付的款项；</w:t>
      </w:r>
    </w:p>
    <w:p w14:paraId="332CCE9E" w14:textId="77777777" w:rsidR="00E57DAA" w:rsidRDefault="00AC4185">
      <w:pPr>
        <w:ind w:firstLineChars="200" w:firstLine="420"/>
      </w:pPr>
      <w:r>
        <w:t>5.</w:t>
      </w:r>
      <w:r>
        <w:tab/>
        <w:t>根据本公司提供的担保余值预计应支付的款项。</w:t>
      </w:r>
    </w:p>
    <w:p w14:paraId="58FF4350" w14:textId="77777777" w:rsidR="00E57DAA" w:rsidRDefault="00AC4185">
      <w:pPr>
        <w:ind w:firstLineChars="200" w:firstLine="420"/>
      </w:pPr>
      <w:r>
        <w:rPr>
          <w:rFonts w:hint="eastAsia"/>
        </w:rPr>
        <w:t>本公司按照固定的折现率计算租赁负债在租赁期内各期间的利息费用，并计入当期损益或相关资产成本。</w:t>
      </w:r>
    </w:p>
    <w:p w14:paraId="53C62B94" w14:textId="77777777" w:rsidR="00E57DAA" w:rsidRDefault="00AC4185">
      <w:pPr>
        <w:ind w:firstLineChars="200" w:firstLine="420"/>
      </w:pPr>
      <w:r>
        <w:rPr>
          <w:rFonts w:hint="eastAsia"/>
        </w:rPr>
        <w:lastRenderedPageBreak/>
        <w:t>未纳入租赁负债计量的可变租赁付款额应当在实际发生时计入当期损益或相关资产成本。</w:t>
      </w:r>
    </w:p>
    <w:p w14:paraId="7482AC99" w14:textId="77777777" w:rsidR="00E57DAA" w:rsidRDefault="00AC4185" w:rsidP="00C25422">
      <w:pPr>
        <w:pStyle w:val="91"/>
        <w:numPr>
          <w:ilvl w:val="0"/>
          <w:numId w:val="61"/>
        </w:numPr>
      </w:pPr>
      <w:r>
        <w:rPr>
          <w:rFonts w:hint="eastAsia"/>
        </w:rPr>
        <w:t>股份支付</w:t>
      </w:r>
    </w:p>
    <w:sdt>
      <w:sdtPr>
        <w:rPr>
          <w:rFonts w:hint="eastAsia"/>
          <w:szCs w:val="21"/>
        </w:rPr>
        <w:alias w:val="是否适用：股份支付_重要会计政策和估计[双击切换]"/>
        <w:tag w:val="_GBC_7741eb89da65434190830ba1cd87e4dc"/>
        <w:id w:val="2122251792"/>
        <w:placeholder>
          <w:docPart w:val="GBC22222222222222222222222222222"/>
        </w:placeholder>
      </w:sdtPr>
      <w:sdtEndPr/>
      <w:sdtContent>
        <w:p w14:paraId="54244FA2"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47704460"/>
        <w:placeholder>
          <w:docPart w:val="GBC22222222222222222222222222222"/>
        </w:placeholder>
      </w:sdtPr>
      <w:sdtEndPr/>
      <w:sdtContent>
        <w:p w14:paraId="100FE2FB" w14:textId="77777777" w:rsidR="00E57DAA" w:rsidRDefault="00AC4185">
          <w:pPr>
            <w:ind w:firstLineChars="200" w:firstLine="420"/>
            <w:rPr>
              <w:szCs w:val="21"/>
            </w:rPr>
          </w:pPr>
          <w:r>
            <w:rPr>
              <w:szCs w:val="21"/>
            </w:rPr>
            <w:t>1．</w:t>
          </w:r>
          <w:r>
            <w:rPr>
              <w:szCs w:val="21"/>
            </w:rPr>
            <w:tab/>
            <w:t>股份支付的种类</w:t>
          </w:r>
        </w:p>
        <w:p w14:paraId="4C836497" w14:textId="77777777" w:rsidR="00E57DAA" w:rsidRDefault="00AC4185">
          <w:pPr>
            <w:ind w:firstLineChars="200" w:firstLine="420"/>
            <w:rPr>
              <w:szCs w:val="21"/>
            </w:rPr>
          </w:pPr>
          <w:r>
            <w:rPr>
              <w:rFonts w:hint="eastAsia"/>
              <w:szCs w:val="21"/>
            </w:rPr>
            <w:t>本公司的股份支付分为以权益结算的股份支付和以现金结算的股份支付。</w:t>
          </w:r>
        </w:p>
        <w:p w14:paraId="67B6D18A" w14:textId="77777777" w:rsidR="00E57DAA" w:rsidRDefault="00AC4185">
          <w:pPr>
            <w:ind w:firstLineChars="200" w:firstLine="420"/>
            <w:rPr>
              <w:szCs w:val="21"/>
            </w:rPr>
          </w:pPr>
          <w:r>
            <w:rPr>
              <w:szCs w:val="21"/>
            </w:rPr>
            <w:t>2．</w:t>
          </w:r>
          <w:r>
            <w:rPr>
              <w:szCs w:val="21"/>
            </w:rPr>
            <w:tab/>
            <w:t>权益工具公允价值的确定方法</w:t>
          </w:r>
        </w:p>
        <w:p w14:paraId="6B918F6B" w14:textId="77777777" w:rsidR="00E57DAA" w:rsidRDefault="00AC4185">
          <w:pPr>
            <w:ind w:firstLineChars="200" w:firstLine="420"/>
            <w:jc w:val="both"/>
            <w:rPr>
              <w:szCs w:val="21"/>
            </w:rPr>
          </w:pPr>
          <w:r>
            <w:rPr>
              <w:rFonts w:hint="eastAsia"/>
              <w:szCs w:val="21"/>
            </w:rPr>
            <w:t>对于授予的存在活跃市场的期权等权益工具，按照活跃市场中的报价确定其公允价值。对于授予的不存在活跃市场的期权等权益工具，采用期权定价模型等确定其公允价值，选用的期权定价模型考虑以下因素：（</w:t>
          </w:r>
          <w:r>
            <w:rPr>
              <w:szCs w:val="21"/>
            </w:rPr>
            <w:t>1）期权的行权价格；（2）期权的有效期；（3）标的股份的现行价格；（4）股价预计波动率；（5）股份的预计股利；（6）期权有效期内的无风险利率。</w:t>
          </w:r>
        </w:p>
        <w:p w14:paraId="4A37F87A" w14:textId="77777777" w:rsidR="00E57DAA" w:rsidRDefault="00AC4185">
          <w:pPr>
            <w:ind w:firstLineChars="200" w:firstLine="420"/>
            <w:jc w:val="both"/>
            <w:rPr>
              <w:szCs w:val="21"/>
            </w:rPr>
          </w:pPr>
          <w:r>
            <w:rPr>
              <w:rFonts w:hint="eastAsia"/>
              <w:szCs w:val="21"/>
            </w:rPr>
            <w:t>在确定权益工具授予日的公允价值时，考虑股份支付协议规定的可行权条件中的市场条件和非可行权条件的影响。股份支付存在非可行权条件的，只要职工或其他方满足了所有可行权条件中的非市场条件（如服务期限等），即确认已得到服务相对应的成本费用。</w:t>
          </w:r>
        </w:p>
        <w:p w14:paraId="60443CDB" w14:textId="77777777" w:rsidR="00E57DAA" w:rsidRDefault="00AC4185">
          <w:pPr>
            <w:ind w:firstLineChars="200" w:firstLine="420"/>
            <w:rPr>
              <w:szCs w:val="21"/>
            </w:rPr>
          </w:pPr>
          <w:r>
            <w:rPr>
              <w:szCs w:val="21"/>
            </w:rPr>
            <w:t>3．</w:t>
          </w:r>
          <w:r>
            <w:rPr>
              <w:szCs w:val="21"/>
            </w:rPr>
            <w:tab/>
            <w:t>确定可行权权益工具最佳估计的依据</w:t>
          </w:r>
        </w:p>
        <w:p w14:paraId="34DF83E9" w14:textId="77777777" w:rsidR="00E57DAA" w:rsidRDefault="00AC4185">
          <w:pPr>
            <w:ind w:firstLineChars="200" w:firstLine="420"/>
            <w:jc w:val="both"/>
            <w:rPr>
              <w:szCs w:val="21"/>
            </w:rPr>
          </w:pPr>
          <w:r>
            <w:rPr>
              <w:rFonts w:hint="eastAsia"/>
              <w:szCs w:val="21"/>
            </w:rPr>
            <w:t>等待期内每个资产负债表日，根据最新取得的可行权职工人数变动等后续信息作出最佳估计，修正预计可行权的权益工具数量。在可行权日，最终预计可行权权益工具的数量与实际可行权数量一致。</w:t>
          </w:r>
        </w:p>
        <w:p w14:paraId="7DD46020" w14:textId="77777777" w:rsidR="00E57DAA" w:rsidRDefault="00AC4185">
          <w:pPr>
            <w:ind w:firstLineChars="200" w:firstLine="420"/>
            <w:rPr>
              <w:szCs w:val="21"/>
            </w:rPr>
          </w:pPr>
          <w:r>
            <w:rPr>
              <w:szCs w:val="21"/>
            </w:rPr>
            <w:t>4．</w:t>
          </w:r>
          <w:r>
            <w:rPr>
              <w:szCs w:val="21"/>
            </w:rPr>
            <w:tab/>
            <w:t>会计处理方法</w:t>
          </w:r>
        </w:p>
        <w:p w14:paraId="5778ADB3" w14:textId="77777777" w:rsidR="00E57DAA" w:rsidRDefault="00AC4185">
          <w:pPr>
            <w:ind w:firstLineChars="200" w:firstLine="420"/>
            <w:rPr>
              <w:szCs w:val="21"/>
            </w:rPr>
          </w:pPr>
          <w:r>
            <w:rPr>
              <w:rFonts w:hint="eastAsia"/>
              <w:szCs w:val="21"/>
            </w:rPr>
            <w:t>（</w:t>
          </w:r>
          <w:r>
            <w:rPr>
              <w:szCs w:val="21"/>
            </w:rPr>
            <w:t>1）</w:t>
          </w:r>
          <w:r>
            <w:rPr>
              <w:szCs w:val="21"/>
            </w:rPr>
            <w:tab/>
            <w:t>权益结算和现金结算股份支付的会计处理</w:t>
          </w:r>
        </w:p>
        <w:p w14:paraId="4BAC9274" w14:textId="77777777" w:rsidR="00E57DAA" w:rsidRDefault="00AC4185">
          <w:pPr>
            <w:ind w:firstLineChars="200" w:firstLine="420"/>
            <w:rPr>
              <w:szCs w:val="21"/>
            </w:rPr>
          </w:pPr>
          <w:r>
            <w:rPr>
              <w:rFonts w:hint="eastAsia"/>
              <w:szCs w:val="21"/>
            </w:rPr>
            <w:t>以权益结算的股份支付，按授予职工权益工具的公允价值计量。授予后立即可行权的，在授予日按照权益工具的公允价值计入相关成本或费用，相应增加资本公积。在完成等待期内的服务或达到规定业绩条件才可行权的，在等待期内的每个资产负债表日，以对可行权权益工具数量的最佳估计为基础，按照权益工具授予日的公允价值，将当期取得的服务计入相关成本或费用和资本公积。在可行权日之后不再对已确认的相关成本或费用和所有者权益总额进行调整。</w:t>
          </w:r>
        </w:p>
        <w:p w14:paraId="367B5198" w14:textId="77777777" w:rsidR="00E57DAA" w:rsidRDefault="00AC4185">
          <w:pPr>
            <w:ind w:firstLineChars="200" w:firstLine="420"/>
            <w:rPr>
              <w:szCs w:val="21"/>
            </w:rPr>
          </w:pPr>
          <w:r>
            <w:rPr>
              <w:rFonts w:hint="eastAsia"/>
              <w:szCs w:val="21"/>
            </w:rPr>
            <w:t>以现金结算的股份支付，按照本公司承担的以股份或其他权益工具为基础计算确定的负债的公允价值计量。授予后立即可行权的，在授予日以本公司承担负债的公允价值计入相关成本或费用，相应增加负债。在完成等待期内的服务或达到规定业绩条件以后才可行权的以现金结算的股份支付，在等待期内的每个资产负债表日，以对可行权情况的最佳估计为基础，按照本公司承担负债的公允价值金额，将当期取得的服务计入成本或费用和相应的负债。在相关负债结算前的每个资产负债表日以及结算日，对负债的公允价值重新计量，其变动计入当期损益。</w:t>
          </w:r>
        </w:p>
        <w:p w14:paraId="33F60BD0" w14:textId="77777777" w:rsidR="00E57DAA" w:rsidRDefault="00AC4185">
          <w:pPr>
            <w:ind w:firstLineChars="200" w:firstLine="420"/>
            <w:rPr>
              <w:szCs w:val="21"/>
            </w:rPr>
          </w:pPr>
          <w:r>
            <w:rPr>
              <w:rFonts w:hint="eastAsia"/>
              <w:szCs w:val="21"/>
            </w:rPr>
            <w:t>（</w:t>
          </w:r>
          <w:r>
            <w:rPr>
              <w:szCs w:val="21"/>
            </w:rPr>
            <w:t>2）股份支付条款和条件修改的会计处理</w:t>
          </w:r>
        </w:p>
        <w:p w14:paraId="012FEB01" w14:textId="77777777" w:rsidR="00E57DAA" w:rsidRDefault="00AC4185">
          <w:pPr>
            <w:ind w:firstLineChars="200" w:firstLine="420"/>
            <w:rPr>
              <w:szCs w:val="21"/>
            </w:rPr>
          </w:pPr>
          <w:r>
            <w:rPr>
              <w:rFonts w:hint="eastAsia"/>
              <w:szCs w:val="21"/>
            </w:rPr>
            <w:t>对于不利修改，本公司视同该变更从未发生，仍继续对取得的服务进行会计处理。</w:t>
          </w:r>
        </w:p>
        <w:p w14:paraId="265740EF" w14:textId="77777777" w:rsidR="00E57DAA" w:rsidRDefault="00AC4185">
          <w:pPr>
            <w:ind w:firstLineChars="200" w:firstLine="420"/>
            <w:jc w:val="both"/>
            <w:rPr>
              <w:szCs w:val="21"/>
            </w:rPr>
          </w:pPr>
          <w:r>
            <w:rPr>
              <w:rFonts w:hint="eastAsia"/>
              <w:szCs w:val="21"/>
            </w:rPr>
            <w:t>对于有利修改，本公司按照如下规定进行处理：如果修改增加了所授予的权益工具的公允价值，企业应按照权益工具公允价值的增加相应地确认取得服务的增加。如果修改发生在等待期内，在确认修改日至修改后的可行权日之间取得服务的公允价值时，应当既包括在剩余原等待期内以原权益工具授予日公允价值为基础确定的服务金额，也包括权益工具公允价值的增加。如果修改发生在可行权日之后，应当立即确认权益工具公允价值的增加。如果股份支付协议要求职工只有先完成更长期间的服务才能取得修改后的权益工具，则企业应在整个等待期内确认权益工具公允价值的增加。</w:t>
          </w:r>
        </w:p>
        <w:p w14:paraId="7C62D3CF" w14:textId="77777777" w:rsidR="00E57DAA" w:rsidRDefault="00AC4185">
          <w:pPr>
            <w:ind w:firstLineChars="200" w:firstLine="420"/>
            <w:jc w:val="both"/>
            <w:rPr>
              <w:szCs w:val="21"/>
            </w:rPr>
          </w:pPr>
          <w:r>
            <w:rPr>
              <w:rFonts w:hint="eastAsia"/>
              <w:szCs w:val="21"/>
            </w:rPr>
            <w:t>如果修改增加了所授予的权益工具的数量，企业将增加的权益工具的公允价值相应地确认为取得服务的增加。如果修改发生在等待期内，在确认修改日至增加的权益工具可行权日之间取得服务的公允价值时，应当既包括在剩余原等待期内以原权益工具授予日公允价值为基础确定的服务金额，也包括权益工具公允价值的增加。</w:t>
          </w:r>
        </w:p>
        <w:p w14:paraId="7664A05F" w14:textId="77777777" w:rsidR="00E57DAA" w:rsidRDefault="00AC4185">
          <w:pPr>
            <w:ind w:firstLineChars="200" w:firstLine="420"/>
            <w:rPr>
              <w:szCs w:val="21"/>
            </w:rPr>
          </w:pPr>
          <w:r>
            <w:rPr>
              <w:rFonts w:hint="eastAsia"/>
              <w:szCs w:val="21"/>
            </w:rPr>
            <w:t>如果企业按照有利于职工的方式修改可行权条件，如缩短等待期、变更或取消业绩条件（而非市场条件），企业在处理可行权条件时，应当考虑修改后的可行权条件。</w:t>
          </w:r>
        </w:p>
        <w:p w14:paraId="0D6961F6" w14:textId="77777777" w:rsidR="00E57DAA" w:rsidRDefault="00AC4185">
          <w:pPr>
            <w:ind w:firstLineChars="200" w:firstLine="420"/>
            <w:rPr>
              <w:szCs w:val="21"/>
            </w:rPr>
          </w:pPr>
          <w:r>
            <w:rPr>
              <w:rFonts w:hint="eastAsia"/>
              <w:szCs w:val="21"/>
            </w:rPr>
            <w:t>（</w:t>
          </w:r>
          <w:r>
            <w:rPr>
              <w:szCs w:val="21"/>
            </w:rPr>
            <w:t>3）股份支付取消的会计处理</w:t>
          </w:r>
        </w:p>
        <w:p w14:paraId="1EDFE12D" w14:textId="77777777" w:rsidR="00E57DAA" w:rsidRDefault="00AC4185">
          <w:pPr>
            <w:ind w:firstLineChars="200" w:firstLine="420"/>
            <w:jc w:val="both"/>
            <w:rPr>
              <w:szCs w:val="21"/>
            </w:rPr>
          </w:pPr>
          <w:r>
            <w:rPr>
              <w:rFonts w:hint="eastAsia"/>
              <w:szCs w:val="21"/>
            </w:rPr>
            <w:t>若在等待期内取消了授予的权益工具，本公司对取消所授予的权益性工具作为加速行权处理，将剩余等待期内应确认的金额立即计入当期损益，同时确认资本公积。职工或其他方能够选择满足非可行权条件但在等待期内未满足的，本公司将其作为授予权益工具的取消处理。</w:t>
          </w:r>
        </w:p>
      </w:sdtContent>
    </w:sdt>
    <w:p w14:paraId="0DCE47C7" w14:textId="77777777" w:rsidR="00E57DAA" w:rsidRDefault="00E57DAA">
      <w:pPr>
        <w:rPr>
          <w:szCs w:val="21"/>
        </w:rPr>
      </w:pPr>
    </w:p>
    <w:p w14:paraId="3DA45B42" w14:textId="77777777" w:rsidR="00E57DAA" w:rsidRDefault="00AC4185" w:rsidP="00C25422">
      <w:pPr>
        <w:pStyle w:val="91"/>
        <w:numPr>
          <w:ilvl w:val="0"/>
          <w:numId w:val="61"/>
        </w:numPr>
      </w:pPr>
      <w:r>
        <w:rPr>
          <w:rFonts w:hint="eastAsia"/>
        </w:rPr>
        <w:lastRenderedPageBreak/>
        <w:t>优先股、永续债等其他金融工具</w:t>
      </w:r>
    </w:p>
    <w:sdt>
      <w:sdtPr>
        <w:rPr>
          <w:rFonts w:hint="eastAsia"/>
          <w:szCs w:val="21"/>
        </w:rPr>
        <w:alias w:val="是否适用：优先股、永续债等其他金融工具[双击切换]"/>
        <w:tag w:val="_GBC_00e1aed4ff2c40d6bda73971e87d6eb8"/>
        <w:id w:val="-1931722095"/>
        <w:placeholder>
          <w:docPart w:val="GBC22222222222222222222222222222"/>
        </w:placeholder>
      </w:sdtPr>
      <w:sdtEndPr/>
      <w:sdtContent>
        <w:p w14:paraId="654DD521"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优先股、永续债等其他金融工具的核算方法"/>
        <w:tag w:val="_GBC_4d72f974ad08467694c4c547d6e1f03b"/>
        <w:id w:val="71789679"/>
        <w:placeholder>
          <w:docPart w:val="GBC22222222222222222222222222222"/>
        </w:placeholder>
      </w:sdtPr>
      <w:sdtEndPr/>
      <w:sdtContent>
        <w:p w14:paraId="75F6513D" w14:textId="77777777" w:rsidR="00E57DAA" w:rsidRDefault="00AC4185">
          <w:pPr>
            <w:ind w:firstLineChars="200" w:firstLine="420"/>
            <w:rPr>
              <w:szCs w:val="21"/>
            </w:rPr>
          </w:pPr>
          <w:r>
            <w:rPr>
              <w:rFonts w:hint="eastAsia"/>
              <w:szCs w:val="21"/>
            </w:rPr>
            <w:t>本公司按照金融工具准则的规定，根据所发行优先股、永续债等金融工具的合同条款及其所反映的经济实质而非仅以法律形式，结合金融负债和权益工具的定义，在初始确认时将该金融工具或其组成部分分类为金融负债或权益工具：</w:t>
          </w:r>
        </w:p>
        <w:p w14:paraId="059793D7" w14:textId="77777777" w:rsidR="00E57DAA" w:rsidRDefault="00AC4185">
          <w:pPr>
            <w:ind w:firstLineChars="200" w:firstLine="420"/>
            <w:jc w:val="both"/>
            <w:rPr>
              <w:szCs w:val="21"/>
            </w:rPr>
          </w:pPr>
          <w:r>
            <w:rPr>
              <w:szCs w:val="21"/>
            </w:rPr>
            <w:t>1．</w:t>
          </w:r>
          <w:r>
            <w:rPr>
              <w:szCs w:val="21"/>
            </w:rPr>
            <w:tab/>
            <w:t>符合下列条件之一，将发行的金融工具分类为金融负债：</w:t>
          </w:r>
        </w:p>
        <w:p w14:paraId="230F4A31" w14:textId="77777777" w:rsidR="00E57DAA" w:rsidRDefault="00AC4185">
          <w:pPr>
            <w:ind w:firstLineChars="200" w:firstLine="420"/>
            <w:jc w:val="both"/>
            <w:rPr>
              <w:szCs w:val="21"/>
            </w:rPr>
          </w:pPr>
          <w:r>
            <w:rPr>
              <w:rFonts w:hint="eastAsia"/>
              <w:szCs w:val="21"/>
            </w:rPr>
            <w:t>（</w:t>
          </w:r>
          <w:r>
            <w:rPr>
              <w:szCs w:val="21"/>
            </w:rPr>
            <w:t>1）向其他方交付现金或其他金融资产的合同义务；</w:t>
          </w:r>
        </w:p>
        <w:p w14:paraId="1C9DFE4A" w14:textId="77777777" w:rsidR="00E57DAA" w:rsidRDefault="00AC4185">
          <w:pPr>
            <w:ind w:firstLineChars="200" w:firstLine="420"/>
            <w:jc w:val="both"/>
            <w:rPr>
              <w:szCs w:val="21"/>
            </w:rPr>
          </w:pPr>
          <w:r>
            <w:rPr>
              <w:rFonts w:hint="eastAsia"/>
              <w:szCs w:val="21"/>
            </w:rPr>
            <w:t>（</w:t>
          </w:r>
          <w:r>
            <w:rPr>
              <w:szCs w:val="21"/>
            </w:rPr>
            <w:t>2）在潜在不利条件下，与其他方交换金融资产或金融负债的合同义务；</w:t>
          </w:r>
          <w:r>
            <w:rPr>
              <w:szCs w:val="21"/>
            </w:rPr>
            <w:tab/>
          </w:r>
        </w:p>
        <w:p w14:paraId="7431111B" w14:textId="77777777" w:rsidR="00E57DAA" w:rsidRDefault="00AC4185">
          <w:pPr>
            <w:ind w:firstLineChars="200" w:firstLine="420"/>
            <w:jc w:val="both"/>
            <w:rPr>
              <w:szCs w:val="21"/>
            </w:rPr>
          </w:pPr>
          <w:r>
            <w:rPr>
              <w:rFonts w:hint="eastAsia"/>
              <w:szCs w:val="21"/>
            </w:rPr>
            <w:t>（</w:t>
          </w:r>
          <w:r>
            <w:rPr>
              <w:szCs w:val="21"/>
            </w:rPr>
            <w:t>3）将来须用或可用企业自身权益工具进行结算的非衍生工具合同，且企业根据该合同将交付可变数量的自身权益工具；</w:t>
          </w:r>
        </w:p>
        <w:p w14:paraId="196A29CE" w14:textId="77777777" w:rsidR="00E57DAA" w:rsidRDefault="00AC4185">
          <w:pPr>
            <w:ind w:firstLineChars="200" w:firstLine="420"/>
            <w:jc w:val="both"/>
            <w:rPr>
              <w:szCs w:val="21"/>
            </w:rPr>
          </w:pPr>
          <w:r>
            <w:rPr>
              <w:rFonts w:hint="eastAsia"/>
              <w:szCs w:val="21"/>
            </w:rPr>
            <w:t>（</w:t>
          </w:r>
          <w:r>
            <w:rPr>
              <w:szCs w:val="21"/>
            </w:rPr>
            <w:t>4）将来须用或可用企业自身权益工具进行结算的衍生工具合同，但以固定数量的自身权益工具交换固定金额的现金或其他金融资产的衍生工具合同除外。</w:t>
          </w:r>
        </w:p>
        <w:p w14:paraId="18D27404" w14:textId="77777777" w:rsidR="00E57DAA" w:rsidRDefault="00AC4185">
          <w:pPr>
            <w:ind w:firstLineChars="200" w:firstLine="420"/>
            <w:jc w:val="both"/>
            <w:rPr>
              <w:szCs w:val="21"/>
            </w:rPr>
          </w:pPr>
          <w:r>
            <w:rPr>
              <w:szCs w:val="21"/>
            </w:rPr>
            <w:t>2．</w:t>
          </w:r>
          <w:r>
            <w:rPr>
              <w:szCs w:val="21"/>
            </w:rPr>
            <w:tab/>
            <w:t>同时满足下列条件的，将发行的金融工具分类为权益工具：</w:t>
          </w:r>
        </w:p>
        <w:p w14:paraId="5CB98F6C" w14:textId="77777777" w:rsidR="00E57DAA" w:rsidRDefault="00AC4185">
          <w:pPr>
            <w:ind w:firstLineChars="200" w:firstLine="420"/>
            <w:jc w:val="both"/>
            <w:rPr>
              <w:szCs w:val="21"/>
            </w:rPr>
          </w:pPr>
          <w:r>
            <w:rPr>
              <w:rFonts w:hint="eastAsia"/>
              <w:szCs w:val="21"/>
            </w:rPr>
            <w:t>（</w:t>
          </w:r>
          <w:r>
            <w:rPr>
              <w:szCs w:val="21"/>
            </w:rPr>
            <w:t>1）该金融工具不包括交付现金或其他金融资产给其他方，或在潜在不利条件下与其他方交换金融资产或金融负债的合同义务；</w:t>
          </w:r>
        </w:p>
        <w:p w14:paraId="55C0177F" w14:textId="77777777" w:rsidR="00E57DAA" w:rsidRDefault="00AC4185">
          <w:pPr>
            <w:ind w:firstLineChars="200" w:firstLine="420"/>
            <w:jc w:val="both"/>
            <w:rPr>
              <w:szCs w:val="21"/>
            </w:rPr>
          </w:pPr>
          <w:r>
            <w:rPr>
              <w:rFonts w:hint="eastAsia"/>
              <w:szCs w:val="21"/>
            </w:rPr>
            <w:t>（</w:t>
          </w:r>
          <w:r>
            <w:rPr>
              <w:szCs w:val="21"/>
            </w:rPr>
            <w:t>2）将来须用或可用企业自身权益工具结算该金融工具的，如该金融工具为非衍生工具，不包括交付可变数量的自身权益工具进行结算的合同义务；如为衍生工具，企业只能通过以固定数量的自身权益工具交换固定金额的现金或其他金融资产结算该金融工具。</w:t>
          </w:r>
        </w:p>
        <w:p w14:paraId="4552473E" w14:textId="77777777" w:rsidR="00E57DAA" w:rsidRDefault="00AC4185">
          <w:pPr>
            <w:ind w:firstLineChars="200" w:firstLine="420"/>
            <w:jc w:val="both"/>
            <w:rPr>
              <w:szCs w:val="21"/>
            </w:rPr>
          </w:pPr>
          <w:r>
            <w:rPr>
              <w:szCs w:val="21"/>
            </w:rPr>
            <w:t>3．</w:t>
          </w:r>
          <w:r>
            <w:rPr>
              <w:szCs w:val="21"/>
            </w:rPr>
            <w:tab/>
            <w:t>会计处理方法</w:t>
          </w:r>
        </w:p>
        <w:p w14:paraId="0083E2C7" w14:textId="77777777" w:rsidR="00E57DAA" w:rsidRDefault="00AC4185">
          <w:pPr>
            <w:ind w:firstLineChars="200" w:firstLine="420"/>
            <w:jc w:val="both"/>
            <w:rPr>
              <w:szCs w:val="21"/>
            </w:rPr>
          </w:pPr>
          <w:r>
            <w:rPr>
              <w:rFonts w:hint="eastAsia"/>
              <w:szCs w:val="21"/>
            </w:rPr>
            <w:t>对于归类为权益工具的金融工具，其利息支出或股利分配都应当作为发行企业的利润分配，其回购、注销等作为权益的变动处理，手续费、佣金等交易费用从权益中扣除；</w:t>
          </w:r>
        </w:p>
        <w:p w14:paraId="5E9FAA2F" w14:textId="77777777" w:rsidR="00E57DAA" w:rsidRDefault="00AC4185">
          <w:pPr>
            <w:ind w:firstLineChars="200" w:firstLine="420"/>
            <w:jc w:val="both"/>
            <w:rPr>
              <w:szCs w:val="21"/>
            </w:rPr>
          </w:pPr>
          <w:r>
            <w:rPr>
              <w:rFonts w:hint="eastAsia"/>
              <w:szCs w:val="21"/>
            </w:rPr>
            <w:t>对于归类为金融负债的金融工具，其利息支出或股利分配原则上按照借款费用进行处理，其回购或赎回产生的利得或损失等计入当期损益，手续费、佣金等交易费用计入所发行工具的初始计量金额。</w:t>
          </w:r>
        </w:p>
      </w:sdtContent>
    </w:sdt>
    <w:p w14:paraId="2E50A844" w14:textId="77777777" w:rsidR="00E57DAA" w:rsidRDefault="00E57DAA">
      <w:pPr>
        <w:rPr>
          <w:szCs w:val="21"/>
        </w:rPr>
      </w:pPr>
    </w:p>
    <w:p w14:paraId="6753F9D0" w14:textId="77777777" w:rsidR="00E57DAA" w:rsidRDefault="00AC4185" w:rsidP="00C25422">
      <w:pPr>
        <w:pStyle w:val="91"/>
        <w:numPr>
          <w:ilvl w:val="0"/>
          <w:numId w:val="61"/>
        </w:numPr>
      </w:pPr>
      <w:r>
        <w:rPr>
          <w:rFonts w:hint="eastAsia"/>
        </w:rPr>
        <w:t>收入</w:t>
      </w:r>
    </w:p>
    <w:p w14:paraId="1BA39AD9" w14:textId="77777777" w:rsidR="00E57DAA" w:rsidRDefault="00AC4185" w:rsidP="00C25422">
      <w:pPr>
        <w:pStyle w:val="92"/>
      </w:pPr>
      <w:r>
        <w:rPr>
          <w:rFonts w:hint="eastAsia"/>
        </w:rPr>
        <w:t>本公司的收入主要来源于：工程技术服务、高端装备制造、生产运营服务等。</w:t>
      </w:r>
    </w:p>
    <w:p w14:paraId="6E783B17" w14:textId="77777777" w:rsidR="00E57DAA" w:rsidRDefault="00AC4185">
      <w:pPr>
        <w:pStyle w:val="4"/>
        <w:numPr>
          <w:ilvl w:val="3"/>
          <w:numId w:val="66"/>
        </w:numPr>
        <w:ind w:left="426" w:hanging="426"/>
        <w:rPr>
          <w:szCs w:val="21"/>
        </w:rPr>
      </w:pPr>
      <w:r>
        <w:rPr>
          <w:rFonts w:hint="eastAsia"/>
          <w:szCs w:val="21"/>
        </w:rPr>
        <w:t>按照业务类型披露收入确认和计量所采用的会计政策</w:t>
      </w:r>
    </w:p>
    <w:bookmarkStart w:id="180" w:name="_Hlk533668053" w:displacedByCustomXml="next"/>
    <w:sdt>
      <w:sdtPr>
        <w:rPr>
          <w:szCs w:val="21"/>
        </w:rPr>
        <w:alias w:val="是否适用：收入确认和计量所采用的会计政策[双击切换]"/>
        <w:tag w:val="_GBC_58b9f76eca7b4d9d8e5c5dfd0fba5c09"/>
        <w:id w:val="1182020123"/>
        <w:placeholder>
          <w:docPart w:val="GBC22222222222222222222222222222"/>
        </w:placeholder>
      </w:sdtPr>
      <w:sdtEndPr/>
      <w:sdtContent>
        <w:p w14:paraId="157FCD6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931111223"/>
        <w:placeholder>
          <w:docPart w:val="GBC22222222222222222222222222222"/>
        </w:placeholder>
      </w:sdtPr>
      <w:sdtEndPr/>
      <w:sdtContent>
        <w:p w14:paraId="62F7BF8F" w14:textId="77777777" w:rsidR="00E57DAA" w:rsidRDefault="00AC4185">
          <w:pPr>
            <w:ind w:firstLineChars="200" w:firstLine="420"/>
            <w:rPr>
              <w:szCs w:val="21"/>
            </w:rPr>
          </w:pPr>
          <w:r>
            <w:rPr>
              <w:szCs w:val="21"/>
            </w:rPr>
            <w:t>1．收入确认的一般原则</w:t>
          </w:r>
        </w:p>
        <w:p w14:paraId="557CB44E" w14:textId="77777777" w:rsidR="00E57DAA" w:rsidRDefault="00AC4185">
          <w:pPr>
            <w:ind w:firstLineChars="200" w:firstLine="420"/>
            <w:jc w:val="both"/>
            <w:rPr>
              <w:szCs w:val="21"/>
            </w:rPr>
          </w:pPr>
          <w:r>
            <w:rPr>
              <w:rFonts w:hint="eastAsia"/>
              <w:szCs w:val="21"/>
            </w:rPr>
            <w:t>本公司在履行了合同中的履约义务，即在客户取得相关商品或服务控制权时，按照分摊至该项履约义务的交易价格确认收入。履约义务，是指合同中本公司向客户转让可明确区分商品或服务的承诺。取得相关商品控制权，是指能够主导该商品的使用并从中获得几乎全部的经济利益。</w:t>
          </w:r>
        </w:p>
        <w:p w14:paraId="2C1DE8A2" w14:textId="77777777" w:rsidR="00E57DAA" w:rsidRDefault="00AC4185">
          <w:pPr>
            <w:ind w:firstLineChars="200" w:firstLine="420"/>
            <w:jc w:val="both"/>
            <w:rPr>
              <w:szCs w:val="21"/>
            </w:rPr>
          </w:pPr>
          <w:r>
            <w:rPr>
              <w:rFonts w:hint="eastAsia"/>
              <w:szCs w:val="21"/>
            </w:rPr>
            <w:t>本公司在合同开始日即对合同进行评估，识别该合同所包含的各单项履约义务，并确定各单项履约义务是在某一时段内履行，还是某一时点履行。满足下列条件之一的，属于在某一时间段内履行的履约义务，本公司按照履约进度，在一段时间内确认收入：</w:t>
          </w:r>
          <w:r>
            <w:rPr>
              <w:szCs w:val="21"/>
            </w:rPr>
            <w:t>(1)客户在本公司履约的同时即取得并消耗本公司履约所带来的经济利益；(2)客户能够控制本公司履约过程中在建的商品；(3)本公司履约过程中所产出的商品具有不可替代用途，且本公司在整个合同期间内有权就累计至今已完成的履约部分收取款项。否则，本公司在客户取得相关商品或服务控制权的时点确认收入。</w:t>
          </w:r>
        </w:p>
        <w:p w14:paraId="12724F98" w14:textId="77777777" w:rsidR="00E57DAA" w:rsidRDefault="00AC4185">
          <w:pPr>
            <w:ind w:firstLineChars="200" w:firstLine="420"/>
            <w:rPr>
              <w:szCs w:val="21"/>
            </w:rPr>
          </w:pPr>
          <w:r>
            <w:rPr>
              <w:rFonts w:hint="eastAsia"/>
              <w:szCs w:val="21"/>
            </w:rPr>
            <w:t>对于在某一时段内履行的履约义务，本公司根据商品和劳务的性质，采用投入法确定恰当的履约进度。当履约进度不能合理确定时，已经发生的成本预计能够得到补偿的，本公司按照已经发生的成本金额确认收入，直到履约进度能够合理确定为止。</w:t>
          </w:r>
        </w:p>
        <w:p w14:paraId="46642B4C" w14:textId="77777777" w:rsidR="00E57DAA" w:rsidRDefault="00AC4185">
          <w:pPr>
            <w:ind w:firstLineChars="200" w:firstLine="420"/>
            <w:rPr>
              <w:szCs w:val="21"/>
            </w:rPr>
          </w:pPr>
          <w:r>
            <w:rPr>
              <w:szCs w:val="21"/>
            </w:rPr>
            <w:t>2．收入确认的具体方法</w:t>
          </w:r>
        </w:p>
        <w:p w14:paraId="0BDDDB7A" w14:textId="77777777" w:rsidR="00E57DAA" w:rsidRDefault="00AC4185">
          <w:pPr>
            <w:ind w:firstLineChars="200" w:firstLine="420"/>
            <w:rPr>
              <w:szCs w:val="21"/>
            </w:rPr>
          </w:pPr>
          <w:r>
            <w:rPr>
              <w:rFonts w:hint="eastAsia"/>
              <w:szCs w:val="21"/>
            </w:rPr>
            <w:t>（</w:t>
          </w:r>
          <w:r>
            <w:rPr>
              <w:szCs w:val="21"/>
            </w:rPr>
            <w:t>1）工程技术服务</w:t>
          </w:r>
        </w:p>
        <w:p w14:paraId="59399B21" w14:textId="77777777" w:rsidR="00E57DAA" w:rsidRDefault="00AC4185">
          <w:pPr>
            <w:ind w:firstLineChars="200" w:firstLine="420"/>
            <w:rPr>
              <w:szCs w:val="21"/>
            </w:rPr>
          </w:pPr>
          <w:r>
            <w:rPr>
              <w:rFonts w:hint="eastAsia"/>
              <w:szCs w:val="21"/>
            </w:rPr>
            <w:t>本公司提供工程技术服务属于在某一时段内履行的履约义务，根据已发生成本占预计总成本的比例确定提供服务的履约进度，并按履约进度确认收入。履约进度不能合理确定时，公司已经发生的成本预计能够得到补偿的，按照已经发生的成本金额确认收入，直到履约进度能够合理确定为止。</w:t>
          </w:r>
        </w:p>
        <w:p w14:paraId="12012997" w14:textId="77777777" w:rsidR="00E57DAA" w:rsidRDefault="00AC4185">
          <w:pPr>
            <w:ind w:firstLineChars="200" w:firstLine="420"/>
            <w:rPr>
              <w:szCs w:val="21"/>
            </w:rPr>
          </w:pPr>
          <w:r>
            <w:rPr>
              <w:rFonts w:hint="eastAsia"/>
              <w:szCs w:val="21"/>
            </w:rPr>
            <w:lastRenderedPageBreak/>
            <w:t>（</w:t>
          </w:r>
          <w:r>
            <w:rPr>
              <w:szCs w:val="21"/>
            </w:rPr>
            <w:t>2）高端装备制造</w:t>
          </w:r>
        </w:p>
        <w:p w14:paraId="51A54F36" w14:textId="77777777" w:rsidR="00E57DAA" w:rsidRDefault="00AC4185">
          <w:pPr>
            <w:ind w:firstLineChars="200" w:firstLine="420"/>
            <w:rPr>
              <w:szCs w:val="21"/>
            </w:rPr>
          </w:pPr>
          <w:r>
            <w:rPr>
              <w:rFonts w:hint="eastAsia"/>
              <w:szCs w:val="21"/>
            </w:rPr>
            <w:t>本公司装备销售业务属于在某一时点履行的履约义务，内销收入在公司将产品运送至合同约定交货地点并由客户接受、已收取价款或取得收款权利且相关的经济利益很可能流入时确认。外销收入在公司已根据合同约定将产品报关，取得提单，已收取货款或取得了收款权利且相关的经济利益很可能流入时确认。</w:t>
          </w:r>
        </w:p>
        <w:p w14:paraId="4DDC9DC9" w14:textId="77777777" w:rsidR="00E57DAA" w:rsidRDefault="00AC4185">
          <w:pPr>
            <w:ind w:firstLineChars="200" w:firstLine="420"/>
            <w:rPr>
              <w:szCs w:val="21"/>
            </w:rPr>
          </w:pPr>
          <w:r>
            <w:rPr>
              <w:rFonts w:hint="eastAsia"/>
              <w:szCs w:val="21"/>
            </w:rPr>
            <w:t>（</w:t>
          </w:r>
          <w:r>
            <w:rPr>
              <w:szCs w:val="21"/>
            </w:rPr>
            <w:t>3）生产运营服务</w:t>
          </w:r>
        </w:p>
        <w:p w14:paraId="239E19B0" w14:textId="77777777" w:rsidR="00E57DAA" w:rsidRDefault="00AC4185">
          <w:pPr>
            <w:ind w:firstLineChars="200" w:firstLine="420"/>
            <w:rPr>
              <w:szCs w:val="21"/>
            </w:rPr>
          </w:pPr>
          <w:r>
            <w:rPr>
              <w:rFonts w:hint="eastAsia"/>
              <w:szCs w:val="21"/>
            </w:rPr>
            <w:t>本公司生产运营服务主要是在某一时段内履行的履约义务，合同价款主要以产量或服务人员数量为基础结算，客户定期（月或季）对产量或服务人员数量进行确认，公司根据产量或服务人员数量确认生产运营服务收入。</w:t>
          </w:r>
        </w:p>
      </w:sdtContent>
    </w:sdt>
    <w:bookmarkEnd w:id="180"/>
    <w:p w14:paraId="034C3D79" w14:textId="77777777" w:rsidR="00E57DAA" w:rsidRDefault="00E57DAA">
      <w:pPr>
        <w:rPr>
          <w:szCs w:val="21"/>
        </w:rPr>
      </w:pPr>
    </w:p>
    <w:p w14:paraId="1EDEF7D7" w14:textId="77777777" w:rsidR="00E57DAA" w:rsidRDefault="00AC4185">
      <w:pPr>
        <w:pStyle w:val="4"/>
        <w:numPr>
          <w:ilvl w:val="3"/>
          <w:numId w:val="66"/>
        </w:numPr>
        <w:ind w:left="426" w:hanging="426"/>
        <w:rPr>
          <w:szCs w:val="21"/>
        </w:rPr>
      </w:pPr>
      <w:r>
        <w:rPr>
          <w:rFonts w:ascii="宋体" w:eastAsia="宋体" w:hAnsi="宋体" w:cs="宋体" w:hint="eastAsia"/>
          <w:bCs w:val="0"/>
          <w:kern w:val="0"/>
          <w:szCs w:val="21"/>
        </w:rPr>
        <w:t>同类业务采用不同经营模式涉及</w:t>
      </w:r>
      <w:r>
        <w:rPr>
          <w:rFonts w:cs="宋体"/>
          <w:kern w:val="0"/>
          <w:szCs w:val="21"/>
        </w:rPr>
        <w:t>不同收入确认方式及计量方法</w:t>
      </w:r>
    </w:p>
    <w:bookmarkStart w:id="181" w:name="_Hlk533668087" w:displacedByCustomXml="next"/>
    <w:sdt>
      <w:sdtPr>
        <w:rPr>
          <w:szCs w:val="21"/>
        </w:rPr>
        <w:alias w:val="是否适用：同类业务采用不同经营模式导致收入确认会计政策存在差异的情况[双击切换]"/>
        <w:tag w:val="_GBC_778cfed951bb4cf4997e2d67e4b1e3a9"/>
        <w:id w:val="868423960"/>
        <w:placeholder>
          <w:docPart w:val="GBC22222222222222222222222222222"/>
        </w:placeholder>
      </w:sdtPr>
      <w:sdtEndPr/>
      <w:sdtContent>
        <w:p w14:paraId="6AD6C56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81"/>
    <w:p w14:paraId="4C5EF5A6" w14:textId="77777777" w:rsidR="00E57DAA" w:rsidRDefault="00E57DAA">
      <w:pPr>
        <w:rPr>
          <w:szCs w:val="21"/>
        </w:rPr>
      </w:pPr>
    </w:p>
    <w:p w14:paraId="7202D238" w14:textId="77777777" w:rsidR="00E57DAA" w:rsidRDefault="00AC4185" w:rsidP="00C25422">
      <w:pPr>
        <w:pStyle w:val="91"/>
        <w:numPr>
          <w:ilvl w:val="0"/>
          <w:numId w:val="61"/>
        </w:numPr>
      </w:pPr>
      <w:r>
        <w:rPr>
          <w:rFonts w:hint="eastAsia"/>
        </w:rPr>
        <w:t>合同成本</w:t>
      </w:r>
    </w:p>
    <w:bookmarkStart w:id="182" w:name="_Hlk533668133" w:displacedByCustomXml="next"/>
    <w:sdt>
      <w:sdtPr>
        <w:alias w:val="是否适用：合同成本_重要会计政策和估计[双击切换]"/>
        <w:tag w:val="_GBC_c5b4accd569d48e8a81ed05eb0bf64fb"/>
        <w:id w:val="78186423"/>
        <w:placeholder>
          <w:docPart w:val="GBC22222222222222222222222222222"/>
        </w:placeholder>
      </w:sdtPr>
      <w:sdtEndPr/>
      <w:sdtContent>
        <w:p w14:paraId="7147A44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972868104"/>
        <w:placeholder>
          <w:docPart w:val="GBC22222222222222222222222222222"/>
        </w:placeholder>
      </w:sdtPr>
      <w:sdtEndPr/>
      <w:sdtContent>
        <w:p w14:paraId="64763466" w14:textId="77777777" w:rsidR="00E57DAA" w:rsidRDefault="00AC4185">
          <w:pPr>
            <w:ind w:firstLineChars="200" w:firstLine="420"/>
          </w:pPr>
          <w:r>
            <w:t>1.</w:t>
          </w:r>
          <w:r>
            <w:tab/>
            <w:t>合同履约成本</w:t>
          </w:r>
        </w:p>
        <w:p w14:paraId="25C50998" w14:textId="77777777" w:rsidR="00E57DAA" w:rsidRDefault="00AC4185">
          <w:pPr>
            <w:ind w:firstLineChars="200" w:firstLine="420"/>
          </w:pPr>
          <w:r>
            <w:rPr>
              <w:rFonts w:hint="eastAsia"/>
            </w:rPr>
            <w:t>本公司对于为履行合同发生的成本，不属于除收入准则外的其他企业会计准则范围且同时满足下列条件的作为合同履约成本确认为一项资产：</w:t>
          </w:r>
        </w:p>
        <w:p w14:paraId="130DCC36" w14:textId="77777777" w:rsidR="00E57DAA" w:rsidRDefault="00AC4185">
          <w:pPr>
            <w:ind w:firstLineChars="200" w:firstLine="420"/>
            <w:jc w:val="both"/>
          </w:pPr>
          <w:r>
            <w:rPr>
              <w:rFonts w:hint="eastAsia"/>
            </w:rPr>
            <w:t>（</w:t>
          </w:r>
          <w:r>
            <w:t>1）该成本与一份当前或预期取得的合同直接相关，包括直接人工、直接材料、制造费用（或类似费用）、明确由客户承担的成本以及仅因该合同而发生的其他成本；</w:t>
          </w:r>
        </w:p>
        <w:p w14:paraId="135FEBBE" w14:textId="77777777" w:rsidR="00E57DAA" w:rsidRDefault="00AC4185">
          <w:pPr>
            <w:ind w:firstLineChars="200" w:firstLine="420"/>
            <w:jc w:val="both"/>
          </w:pPr>
          <w:r>
            <w:rPr>
              <w:rFonts w:hint="eastAsia"/>
            </w:rPr>
            <w:t>（</w:t>
          </w:r>
          <w:r>
            <w:t>2）该成本增加了企业未来用于履行履约义务的资源；</w:t>
          </w:r>
        </w:p>
        <w:p w14:paraId="61E38D5F" w14:textId="77777777" w:rsidR="00E57DAA" w:rsidRDefault="00AC4185">
          <w:pPr>
            <w:ind w:firstLineChars="200" w:firstLine="420"/>
            <w:jc w:val="both"/>
          </w:pPr>
          <w:r>
            <w:rPr>
              <w:rFonts w:hint="eastAsia"/>
            </w:rPr>
            <w:t>（</w:t>
          </w:r>
          <w:r>
            <w:t>3）该成本预期能够收回。</w:t>
          </w:r>
        </w:p>
        <w:p w14:paraId="71B35BF0" w14:textId="77777777" w:rsidR="00E57DAA" w:rsidRDefault="00AC4185">
          <w:pPr>
            <w:ind w:firstLineChars="200" w:firstLine="420"/>
            <w:jc w:val="both"/>
          </w:pPr>
          <w:r>
            <w:rPr>
              <w:rFonts w:hint="eastAsia"/>
            </w:rPr>
            <w:t>该资产根据其初始确认时摊销期限是否超过一个正常营业周期在存货或其他非流动资产中列报。</w:t>
          </w:r>
        </w:p>
        <w:p w14:paraId="08DAEBA5" w14:textId="77777777" w:rsidR="00E57DAA" w:rsidRDefault="00AC4185">
          <w:pPr>
            <w:ind w:firstLineChars="200" w:firstLine="420"/>
          </w:pPr>
          <w:r>
            <w:t>2.</w:t>
          </w:r>
          <w:r>
            <w:tab/>
            <w:t>合同取得成本</w:t>
          </w:r>
        </w:p>
        <w:p w14:paraId="518ECA52" w14:textId="77777777" w:rsidR="00E57DAA" w:rsidRDefault="00AC4185">
          <w:pPr>
            <w:ind w:firstLineChars="200" w:firstLine="420"/>
            <w:jc w:val="both"/>
          </w:pPr>
          <w:r>
            <w:rPr>
              <w:rFonts w:hint="eastAsia"/>
            </w:rPr>
            <w:t>本公司为取得合同发生的增量成本预期能够收回的，作为合同取得成本确认为一项资产。增量成本是指本公司不取得合同就不会发生的成本，如销售佣金等。对于摊销期限不超过一年的，在发生时计入当期损益。</w:t>
          </w:r>
        </w:p>
        <w:p w14:paraId="6DF47A29" w14:textId="77777777" w:rsidR="00E57DAA" w:rsidRDefault="00AC4185">
          <w:pPr>
            <w:ind w:firstLineChars="200" w:firstLine="420"/>
            <w:jc w:val="both"/>
          </w:pPr>
          <w:r>
            <w:t>3.</w:t>
          </w:r>
          <w:r>
            <w:tab/>
            <w:t>合同成本摊销</w:t>
          </w:r>
        </w:p>
        <w:p w14:paraId="56FF76F2" w14:textId="77777777" w:rsidR="00E57DAA" w:rsidRDefault="00AC4185">
          <w:pPr>
            <w:ind w:firstLineChars="200" w:firstLine="420"/>
            <w:jc w:val="both"/>
          </w:pPr>
          <w:r>
            <w:rPr>
              <w:rFonts w:hint="eastAsia"/>
            </w:rPr>
            <w:t>上述与合同成本有关的资产，采用与该资产相关的商品或服务收入确认相同的基础，在履约义务履行的时点或按照履约义务的履约进度进行摊销，计入当期损益。</w:t>
          </w:r>
        </w:p>
        <w:p w14:paraId="21830C17" w14:textId="77777777" w:rsidR="00E57DAA" w:rsidRDefault="00AC4185">
          <w:pPr>
            <w:ind w:firstLineChars="200" w:firstLine="420"/>
            <w:jc w:val="both"/>
          </w:pPr>
          <w:r>
            <w:t>4.</w:t>
          </w:r>
          <w:r>
            <w:tab/>
            <w:t>合同成本减值</w:t>
          </w:r>
        </w:p>
        <w:p w14:paraId="3B739098" w14:textId="77777777" w:rsidR="00E57DAA" w:rsidRDefault="00AC4185">
          <w:pPr>
            <w:ind w:firstLineChars="200" w:firstLine="420"/>
            <w:jc w:val="both"/>
          </w:pPr>
          <w:r>
            <w:rPr>
              <w:rFonts w:hint="eastAsia"/>
            </w:rPr>
            <w:t>上述与合同成本有关的资产，账面价值高于本公司因转让与该资产相关的商品预期能够取得剩余对价与为转让该相关商品估计将要发生的成本的差额的，超出部分应当计提减值准备，并确认为资产减值损失。</w:t>
          </w:r>
        </w:p>
        <w:p w14:paraId="5B7EE092" w14:textId="77777777" w:rsidR="00E57DAA" w:rsidRDefault="00AC4185">
          <w:pPr>
            <w:ind w:firstLineChars="200" w:firstLine="420"/>
            <w:jc w:val="both"/>
          </w:pPr>
          <w:r>
            <w:rPr>
              <w:rFonts w:hint="eastAsia"/>
            </w:rPr>
            <w:t>计提减值准备后，如果以前期间减值的因素发生变化，使得上述两项差额高于该资产账面价值的，转回原已计提的资产减值准备，并计入当期损益，但转回后的资产账面价值不超过假定不计提减值准备情况下该资产在转回日的账面价值。</w:t>
          </w:r>
        </w:p>
      </w:sdtContent>
    </w:sdt>
    <w:bookmarkEnd w:id="182"/>
    <w:p w14:paraId="2D7A3A93" w14:textId="77777777" w:rsidR="00E57DAA" w:rsidRDefault="00E57DAA">
      <w:pPr>
        <w:rPr>
          <w:szCs w:val="21"/>
        </w:rPr>
      </w:pPr>
    </w:p>
    <w:p w14:paraId="4525E4B5" w14:textId="77777777" w:rsidR="00E57DAA" w:rsidRDefault="00AC4185" w:rsidP="00C25422">
      <w:pPr>
        <w:pStyle w:val="91"/>
        <w:numPr>
          <w:ilvl w:val="0"/>
          <w:numId w:val="61"/>
        </w:numPr>
      </w:pPr>
      <w:r>
        <w:t>政府补助</w:t>
      </w:r>
    </w:p>
    <w:bookmarkStart w:id="183" w:name="_Hlk533668149" w:displacedByCustomXml="next"/>
    <w:sdt>
      <w:sdtPr>
        <w:alias w:val="是否适用：政府补助_重要会计政策和估计[双击切换]"/>
        <w:tag w:val="_GBC_d8ac76c6a68c49fb952fadc0e46c9ef4"/>
        <w:id w:val="165220684"/>
        <w:placeholder>
          <w:docPart w:val="GBC22222222222222222222222222222"/>
        </w:placeholder>
      </w:sdtPr>
      <w:sdtEndPr/>
      <w:sdtContent>
        <w:p w14:paraId="59C3BC4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650215542"/>
        <w:placeholder>
          <w:docPart w:val="GBC22222222222222222222222222222"/>
        </w:placeholder>
      </w:sdtPr>
      <w:sdtEndPr/>
      <w:sdtContent>
        <w:p w14:paraId="451B0FC4" w14:textId="77777777" w:rsidR="00E57DAA" w:rsidRDefault="00AC4185">
          <w:pPr>
            <w:ind w:firstLineChars="200" w:firstLine="420"/>
          </w:pPr>
          <w:r>
            <w:t>1．</w:t>
          </w:r>
          <w:r>
            <w:tab/>
            <w:t>类型</w:t>
          </w:r>
        </w:p>
        <w:p w14:paraId="3A38A47A" w14:textId="77777777" w:rsidR="00E57DAA" w:rsidRDefault="00AC4185">
          <w:pPr>
            <w:ind w:firstLineChars="200" w:firstLine="420"/>
          </w:pPr>
          <w:r>
            <w:rPr>
              <w:rFonts w:hint="eastAsia"/>
            </w:rPr>
            <w:t>政府补助，是本公司从政府无偿取得的货币性资产与非货币性资产。政府补助分为与资产相关的政府补助和与收益相关的政府补助。</w:t>
          </w:r>
        </w:p>
        <w:p w14:paraId="2A0AA0BB" w14:textId="77777777" w:rsidR="00E57DAA" w:rsidRDefault="00AC4185">
          <w:pPr>
            <w:ind w:firstLineChars="200" w:firstLine="420"/>
            <w:jc w:val="both"/>
          </w:pPr>
          <w:r>
            <w:rPr>
              <w:rFonts w:hint="eastAsia"/>
            </w:rPr>
            <w:t>根据相关政府文件规定的补助对象，将政府补助划分为与资产相关的政府补助和与收益相关的政府补助。本公司将所取得的用于购建或以其他方式形成长期资产的政府补助界定为与资产相关的政府补助；其余政府补助界定为与收益相关的政府补助。若政府文件未明确规定补助对象，则采用以下方式将补助款划分为与收益相关的政府补助和与资产相关的政府补助：（</w:t>
          </w:r>
          <w:r>
            <w:t>1）政府文件明确了补助所针对的特定项目的，根据该特定项目的预算中将形成资产的支出金额和计入费用</w:t>
          </w:r>
          <w:r>
            <w:lastRenderedPageBreak/>
            <w:t>的支出金额的相对比例进行划分，对该划分比例需在每个资产负债表日进行复核，必要时进行变更；（2）政</w:t>
          </w:r>
          <w:r>
            <w:rPr>
              <w:rFonts w:hint="eastAsia"/>
            </w:rPr>
            <w:t>府文件中对用途仅作一般性表述，没有指明特定项目的，作为与收益相关的政府补助。</w:t>
          </w:r>
        </w:p>
        <w:p w14:paraId="74C4F98D" w14:textId="77777777" w:rsidR="00E57DAA" w:rsidRDefault="00AC4185">
          <w:pPr>
            <w:ind w:firstLineChars="200" w:firstLine="420"/>
            <w:jc w:val="both"/>
          </w:pPr>
          <w:r>
            <w:t>2．</w:t>
          </w:r>
          <w:r>
            <w:tab/>
            <w:t>政府补助的确认</w:t>
          </w:r>
        </w:p>
        <w:p w14:paraId="43A68B56" w14:textId="77777777" w:rsidR="00E57DAA" w:rsidRDefault="00AC4185">
          <w:pPr>
            <w:ind w:firstLineChars="200" w:firstLine="420"/>
            <w:jc w:val="both"/>
          </w:pPr>
          <w:r>
            <w:rPr>
              <w:rFonts w:hint="eastAsia"/>
            </w:rPr>
            <w:t>对期末有证据表明公司能够符合财政扶持政策规定的相关条件且预计能够收到财政扶持资金的，按应收金额确认政府补助。除此之外，政府补助均在实际收到时确认。</w:t>
          </w:r>
        </w:p>
        <w:p w14:paraId="673C387C" w14:textId="77777777" w:rsidR="00E57DAA" w:rsidRDefault="00AC4185">
          <w:pPr>
            <w:ind w:firstLineChars="200" w:firstLine="420"/>
            <w:jc w:val="both"/>
          </w:pPr>
          <w:r>
            <w:rPr>
              <w:rFonts w:hint="eastAsia"/>
            </w:rPr>
            <w:t>政府补助为货币性资产的，按照收到或应收的金额计量。政府补助为非货币性资产的，按照公允价值计量；公允价值不能够可靠取得的，按照名义金额（人民币</w:t>
          </w:r>
          <w:r>
            <w:t>1元）计量。按照名义金额计量的政府补助，直接计入当期损益。</w:t>
          </w:r>
        </w:p>
        <w:p w14:paraId="0C4FC983" w14:textId="77777777" w:rsidR="00E57DAA" w:rsidRDefault="00AC4185">
          <w:pPr>
            <w:ind w:firstLineChars="200" w:firstLine="420"/>
            <w:jc w:val="both"/>
          </w:pPr>
          <w:r>
            <w:t>3．</w:t>
          </w:r>
          <w:r>
            <w:tab/>
            <w:t>会计处理方法</w:t>
          </w:r>
        </w:p>
        <w:p w14:paraId="6BF25F9C" w14:textId="77777777" w:rsidR="00E57DAA" w:rsidRDefault="00AC4185">
          <w:pPr>
            <w:ind w:firstLineChars="200" w:firstLine="420"/>
            <w:jc w:val="both"/>
          </w:pPr>
          <w:r>
            <w:rPr>
              <w:rFonts w:hint="eastAsia"/>
            </w:rPr>
            <w:t>本公司根据经济业务的实质，确定某一类政府补助业务应当采用总额法还是净额法进行会计处理。通常情况下，本公司对于同类或类似政府补助业务只选用一种方法，且对该业务一贯地运用该方法。</w:t>
          </w:r>
        </w:p>
        <w:p w14:paraId="4C4AC647" w14:textId="77777777" w:rsidR="00E57DAA" w:rsidRDefault="00AC4185">
          <w:pPr>
            <w:ind w:firstLineChars="200" w:firstLine="420"/>
            <w:jc w:val="both"/>
          </w:pPr>
          <w:r>
            <w:tab/>
            <w:t>与资产相关的政府补助，应当冲减相关资产的账面价值或确认为递延收益。与资产相关的政府补助确认为递延收益的，在所建造或购买资产使用寿命内按照合理、系统的方法分期计入损益。</w:t>
          </w:r>
        </w:p>
        <w:p w14:paraId="6BA56D21" w14:textId="77777777" w:rsidR="00E57DAA" w:rsidRDefault="00AC4185">
          <w:pPr>
            <w:ind w:firstLineChars="200" w:firstLine="420"/>
            <w:jc w:val="both"/>
          </w:pPr>
          <w:r>
            <w:rPr>
              <w:rFonts w:hint="eastAsia"/>
            </w:rPr>
            <w:t>与收益相关的政府补助，用于补偿企业以后期间的相关费用或损失的，确认为递延收益，在确认相关费用或损失的期间计入当期损益或冲减相关成本；用于补偿企业已发生的相关费用或损失的，取得时直接计入当期损益或冲减相关成本。</w:t>
          </w:r>
        </w:p>
        <w:p w14:paraId="445874F0" w14:textId="77777777" w:rsidR="00E57DAA" w:rsidRDefault="00AC4185">
          <w:pPr>
            <w:ind w:firstLineChars="200" w:firstLine="420"/>
            <w:jc w:val="both"/>
          </w:pPr>
          <w:r>
            <w:rPr>
              <w:rFonts w:hint="eastAsia"/>
            </w:rPr>
            <w:t>与企业日常活动相关的政府补助计入其他收益或冲减相关成本费用；与企业日常活动无关的政府补助计入营业外收支。</w:t>
          </w:r>
        </w:p>
        <w:p w14:paraId="108AEF09" w14:textId="77777777" w:rsidR="00E57DAA" w:rsidRDefault="00AC4185">
          <w:pPr>
            <w:ind w:firstLineChars="200" w:firstLine="420"/>
            <w:jc w:val="both"/>
          </w:pPr>
          <w:r>
            <w:rPr>
              <w:rFonts w:hint="eastAsia"/>
            </w:rPr>
            <w:t>收到与政策性优惠贷款贴息相关的政府补助冲减相关借款费用；取得贷款银行提供的政策性优惠利率贷款的，以实际收到的借款金额作为借款的入账价值，按照借款本金和该政策性优惠利率计算相关借款费用。</w:t>
          </w:r>
        </w:p>
        <w:p w14:paraId="3D00E990" w14:textId="77777777" w:rsidR="00E57DAA" w:rsidRDefault="00AC4185">
          <w:pPr>
            <w:ind w:firstLineChars="200" w:firstLine="420"/>
            <w:jc w:val="both"/>
          </w:pPr>
          <w:r>
            <w:rPr>
              <w:rFonts w:hint="eastAsia"/>
            </w:rPr>
            <w:t>已确认的政府补助需要返还时，初始确认时冲减相关资产账面价值的，调整资产账面价值；存在相关递延收益余额的，冲减相关递延收益账面余额，超出部分计入当期损益；不存在相关递延收益的，直接计入当期损益。</w:t>
          </w:r>
        </w:p>
      </w:sdtContent>
    </w:sdt>
    <w:bookmarkEnd w:id="183"/>
    <w:p w14:paraId="670D031D" w14:textId="77777777" w:rsidR="00E57DAA" w:rsidRDefault="00E57DAA" w:rsidP="00C25422">
      <w:pPr>
        <w:pStyle w:val="92"/>
      </w:pPr>
    </w:p>
    <w:p w14:paraId="793D6C83" w14:textId="77777777" w:rsidR="00E57DAA" w:rsidRDefault="00AC4185" w:rsidP="00C25422">
      <w:pPr>
        <w:pStyle w:val="91"/>
        <w:numPr>
          <w:ilvl w:val="0"/>
          <w:numId w:val="61"/>
        </w:numPr>
      </w:pPr>
      <w:r>
        <w:t>递延所得税资产</w:t>
      </w:r>
      <w:r>
        <w:t>/</w:t>
      </w:r>
      <w:r>
        <w:t>递延所得税负债</w:t>
      </w:r>
    </w:p>
    <w:sdt>
      <w:sdtPr>
        <w:rPr>
          <w:rFonts w:hint="eastAsia"/>
          <w:szCs w:val="21"/>
        </w:rPr>
        <w:alias w:val="是否适用：所得税的会计处理方法[双击切换]"/>
        <w:tag w:val="_GBC_7e8295f4559b44568e5d37a6a605588c"/>
        <w:id w:val="905340296"/>
        <w:placeholder>
          <w:docPart w:val="GBC22222222222222222222222222222"/>
        </w:placeholder>
      </w:sdtPr>
      <w:sdtEndPr/>
      <w:sdtContent>
        <w:p w14:paraId="4478DCE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925687579"/>
        <w:placeholder>
          <w:docPart w:val="GBC22222222222222222222222222222"/>
        </w:placeholder>
      </w:sdtPr>
      <w:sdtEndPr/>
      <w:sdtContent>
        <w:p w14:paraId="6BBF080B" w14:textId="77777777" w:rsidR="00E57DAA" w:rsidRDefault="00AC4185">
          <w:pPr>
            <w:ind w:firstLineChars="200" w:firstLine="420"/>
            <w:rPr>
              <w:szCs w:val="21"/>
            </w:rPr>
          </w:pPr>
          <w:r>
            <w:rPr>
              <w:rFonts w:hint="eastAsia"/>
              <w:szCs w:val="21"/>
            </w:rPr>
            <w:t>递延所得税资产和递延所得税负债根据资产和负债的计税基础与其账面价值的差额</w:t>
          </w:r>
          <w:r>
            <w:rPr>
              <w:szCs w:val="21"/>
            </w:rPr>
            <w:t>(暂时性差异)计算确认。于资产负债表日，递延所得税资产和递延所得税负债，按照预期收回该资产或清偿该负债期间的适用税率计量。</w:t>
          </w:r>
        </w:p>
        <w:p w14:paraId="1AA47972" w14:textId="77777777" w:rsidR="00E57DAA" w:rsidRDefault="00AC4185">
          <w:pPr>
            <w:ind w:firstLineChars="200" w:firstLine="420"/>
            <w:rPr>
              <w:szCs w:val="21"/>
            </w:rPr>
          </w:pPr>
          <w:r>
            <w:rPr>
              <w:szCs w:val="21"/>
            </w:rPr>
            <w:t>1．</w:t>
          </w:r>
          <w:r>
            <w:rPr>
              <w:szCs w:val="21"/>
            </w:rPr>
            <w:tab/>
            <w:t>确认递延所得税资产的依据</w:t>
          </w:r>
        </w:p>
        <w:p w14:paraId="32D3D02C" w14:textId="77777777" w:rsidR="00E57DAA" w:rsidRDefault="00AC4185">
          <w:pPr>
            <w:ind w:firstLineChars="200" w:firstLine="420"/>
            <w:rPr>
              <w:szCs w:val="21"/>
            </w:rPr>
          </w:pPr>
          <w:r>
            <w:rPr>
              <w:rFonts w:hint="eastAsia"/>
              <w:szCs w:val="21"/>
            </w:rPr>
            <w:t>本公司以很可能取得用来抵扣可抵扣暂时性差异、能够结转以后年度的可抵扣亏损和税款抵减的应纳税所得额为限，确认由可抵扣暂时性差异产生的递延所得税资产。但是，同时具有下列特征的交易中因资产或负债的初始确认所产生的递延所得税资产不予确认：（</w:t>
          </w:r>
          <w:r>
            <w:rPr>
              <w:szCs w:val="21"/>
            </w:rPr>
            <w:t>1）该交易不是企业合并；（2）交易发生时既不影响会计利润也不影响应纳税所得额或可抵扣亏损。</w:t>
          </w:r>
        </w:p>
        <w:p w14:paraId="02E605F3" w14:textId="77777777" w:rsidR="00E57DAA" w:rsidRDefault="00AC4185">
          <w:pPr>
            <w:ind w:firstLineChars="200" w:firstLine="420"/>
            <w:rPr>
              <w:szCs w:val="21"/>
            </w:rPr>
          </w:pPr>
          <w:r>
            <w:rPr>
              <w:rFonts w:hint="eastAsia"/>
              <w:szCs w:val="21"/>
            </w:rPr>
            <w:t>对于与联营企业投资相关的可抵扣暂时性差异，同时满足下列条件的，确认相应的递延所得税资产：暂时性差异在可预见的未来很可能转回，且未来很可能获得用来抵扣可抵扣暂时性差异的应纳税所得额。</w:t>
          </w:r>
        </w:p>
        <w:p w14:paraId="4D7EE636" w14:textId="77777777" w:rsidR="00E57DAA" w:rsidRDefault="00AC4185">
          <w:pPr>
            <w:ind w:firstLineChars="200" w:firstLine="420"/>
            <w:jc w:val="both"/>
            <w:rPr>
              <w:szCs w:val="21"/>
            </w:rPr>
          </w:pPr>
          <w:r>
            <w:rPr>
              <w:szCs w:val="21"/>
            </w:rPr>
            <w:t>2．</w:t>
          </w:r>
          <w:r>
            <w:rPr>
              <w:szCs w:val="21"/>
            </w:rPr>
            <w:tab/>
            <w:t>确认递延所得税负债的依据</w:t>
          </w:r>
        </w:p>
        <w:p w14:paraId="18528289" w14:textId="77777777" w:rsidR="00E57DAA" w:rsidRDefault="00AC4185">
          <w:pPr>
            <w:ind w:firstLineChars="200" w:firstLine="420"/>
            <w:jc w:val="both"/>
            <w:rPr>
              <w:szCs w:val="21"/>
            </w:rPr>
          </w:pPr>
          <w:r>
            <w:rPr>
              <w:rFonts w:hint="eastAsia"/>
              <w:szCs w:val="21"/>
            </w:rPr>
            <w:t>公司将当期与以前期间应交未交的应纳税暂时性差异确认为递延所得税负债。但不包括：</w:t>
          </w:r>
        </w:p>
        <w:p w14:paraId="30666EE1" w14:textId="77777777" w:rsidR="00E57DAA" w:rsidRDefault="00AC4185">
          <w:pPr>
            <w:ind w:firstLineChars="200" w:firstLine="420"/>
            <w:jc w:val="both"/>
            <w:rPr>
              <w:szCs w:val="21"/>
            </w:rPr>
          </w:pPr>
          <w:r>
            <w:rPr>
              <w:rFonts w:hint="eastAsia"/>
              <w:szCs w:val="21"/>
            </w:rPr>
            <w:t>（</w:t>
          </w:r>
          <w:r>
            <w:rPr>
              <w:szCs w:val="21"/>
            </w:rPr>
            <w:t>1）商誉的初始确认所形成的暂时性差异；</w:t>
          </w:r>
        </w:p>
        <w:p w14:paraId="64B86E8D" w14:textId="77777777" w:rsidR="00E57DAA" w:rsidRDefault="00AC4185">
          <w:pPr>
            <w:ind w:firstLineChars="200" w:firstLine="420"/>
            <w:jc w:val="both"/>
            <w:rPr>
              <w:szCs w:val="21"/>
            </w:rPr>
          </w:pPr>
          <w:r>
            <w:rPr>
              <w:rFonts w:hint="eastAsia"/>
              <w:szCs w:val="21"/>
            </w:rPr>
            <w:t>（</w:t>
          </w:r>
          <w:r>
            <w:rPr>
              <w:szCs w:val="21"/>
            </w:rPr>
            <w:t>2）非企业合并形成的交易或事项，且该交易或事项发生时既不影响会计利润，也不影响应纳税所得额（或可抵扣亏损）所形成的暂时性差异；</w:t>
          </w:r>
        </w:p>
        <w:p w14:paraId="1275F5A3" w14:textId="77777777" w:rsidR="00E57DAA" w:rsidRDefault="00AC4185">
          <w:pPr>
            <w:ind w:firstLineChars="200" w:firstLine="420"/>
            <w:jc w:val="both"/>
            <w:rPr>
              <w:szCs w:val="21"/>
            </w:rPr>
          </w:pPr>
          <w:r>
            <w:rPr>
              <w:rFonts w:hint="eastAsia"/>
              <w:szCs w:val="21"/>
            </w:rPr>
            <w:t>（</w:t>
          </w:r>
          <w:r>
            <w:rPr>
              <w:szCs w:val="21"/>
            </w:rPr>
            <w:t>3）对于与子公司、联营企业投资相关的应纳税暂时性差异，该暂时性差异转回的时间能够控制并且该暂时性差异在可预见的未来很可能不会转回。</w:t>
          </w:r>
        </w:p>
        <w:p w14:paraId="525D1C98" w14:textId="77777777" w:rsidR="00E57DAA" w:rsidRDefault="00AC4185">
          <w:pPr>
            <w:ind w:firstLineChars="200" w:firstLine="420"/>
            <w:jc w:val="both"/>
            <w:rPr>
              <w:szCs w:val="21"/>
            </w:rPr>
          </w:pPr>
          <w:r>
            <w:rPr>
              <w:szCs w:val="21"/>
            </w:rPr>
            <w:t>3．</w:t>
          </w:r>
          <w:r>
            <w:rPr>
              <w:szCs w:val="21"/>
            </w:rPr>
            <w:tab/>
            <w:t>同时满足下列条件时，将递延所得税资产及递延所得税负债以抵销后的净额列示</w:t>
          </w:r>
        </w:p>
        <w:p w14:paraId="591EDDC4" w14:textId="77777777" w:rsidR="00E57DAA" w:rsidRDefault="00AC4185">
          <w:pPr>
            <w:ind w:firstLineChars="200" w:firstLine="420"/>
            <w:jc w:val="both"/>
            <w:rPr>
              <w:szCs w:val="21"/>
            </w:rPr>
          </w:pPr>
          <w:r>
            <w:rPr>
              <w:rFonts w:hint="eastAsia"/>
              <w:szCs w:val="21"/>
            </w:rPr>
            <w:t>（</w:t>
          </w:r>
          <w:r>
            <w:rPr>
              <w:szCs w:val="21"/>
            </w:rPr>
            <w:t>1）企业拥有以净额结算当期所得税资产及当期所得税负债的法定权利；</w:t>
          </w:r>
        </w:p>
        <w:p w14:paraId="102E8D49" w14:textId="77777777" w:rsidR="00E57DAA" w:rsidRDefault="00AC4185">
          <w:pPr>
            <w:ind w:firstLineChars="200" w:firstLine="420"/>
            <w:jc w:val="both"/>
            <w:rPr>
              <w:szCs w:val="21"/>
            </w:rPr>
          </w:pPr>
          <w:r>
            <w:rPr>
              <w:rFonts w:hint="eastAsia"/>
              <w:szCs w:val="21"/>
            </w:rPr>
            <w:lastRenderedPageBreak/>
            <w:t>（</w:t>
          </w:r>
          <w:r>
            <w:rPr>
              <w:szCs w:val="21"/>
            </w:rPr>
            <w:t>2）递延所得税资产和递延所得税负债是与同一税收征管部门对同一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p>
      </w:sdtContent>
    </w:sdt>
    <w:p w14:paraId="64EEDE44" w14:textId="77777777" w:rsidR="00E57DAA" w:rsidRDefault="00E57DAA">
      <w:pPr>
        <w:rPr>
          <w:szCs w:val="21"/>
        </w:rPr>
      </w:pPr>
    </w:p>
    <w:p w14:paraId="3AD1D21C" w14:textId="77777777" w:rsidR="00E57DAA" w:rsidRDefault="00AC4185" w:rsidP="00C25422">
      <w:pPr>
        <w:pStyle w:val="91"/>
        <w:numPr>
          <w:ilvl w:val="0"/>
          <w:numId w:val="61"/>
        </w:numPr>
      </w:pPr>
      <w:r>
        <w:t>租赁</w:t>
      </w:r>
    </w:p>
    <w:sdt>
      <w:sdtPr>
        <w:alias w:val="是否适用：租赁_重要会计政策和估计[双击切换]"/>
        <w:tag w:val="_GBC_6915a792f5f54d76bb3c5c2090ce337f"/>
        <w:id w:val="-678119364"/>
        <w:placeholder>
          <w:docPart w:val="GBC22222222222222222222222222222"/>
        </w:placeholder>
      </w:sdtPr>
      <w:sdtEndPr/>
      <w:sdtContent>
        <w:p w14:paraId="1E765C3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BD1807" w14:textId="77777777" w:rsidR="00E57DAA" w:rsidRDefault="00AC4185">
      <w:pPr>
        <w:ind w:firstLineChars="200" w:firstLine="420"/>
        <w:jc w:val="both"/>
        <w:rPr>
          <w:szCs w:val="21"/>
        </w:rPr>
      </w:pPr>
      <w:r>
        <w:rPr>
          <w:rFonts w:hint="eastAsia"/>
          <w:szCs w:val="21"/>
        </w:rPr>
        <w:t>在合同开始日，本公司评估合同是否为租赁或者包含租赁。如果合同中一方让渡了在一定期间内控制一项或多项已识别资产使用的权利以换取对价，则该合同为租赁或者包含租赁。</w:t>
      </w:r>
    </w:p>
    <w:p w14:paraId="1A4FA128" w14:textId="77777777" w:rsidR="00E57DAA" w:rsidRDefault="00AC4185">
      <w:pPr>
        <w:ind w:firstLineChars="200" w:firstLine="420"/>
        <w:jc w:val="both"/>
        <w:rPr>
          <w:szCs w:val="21"/>
        </w:rPr>
      </w:pPr>
      <w:r>
        <w:rPr>
          <w:szCs w:val="21"/>
        </w:rPr>
        <w:t>1.</w:t>
      </w:r>
      <w:r>
        <w:rPr>
          <w:szCs w:val="21"/>
        </w:rPr>
        <w:tab/>
        <w:t>租赁合同的分拆</w:t>
      </w:r>
    </w:p>
    <w:p w14:paraId="7BE6427C" w14:textId="77777777" w:rsidR="00E57DAA" w:rsidRDefault="00AC4185">
      <w:pPr>
        <w:ind w:firstLineChars="200" w:firstLine="420"/>
        <w:jc w:val="both"/>
        <w:rPr>
          <w:szCs w:val="21"/>
        </w:rPr>
      </w:pPr>
      <w:r>
        <w:rPr>
          <w:rFonts w:hint="eastAsia"/>
          <w:szCs w:val="21"/>
        </w:rPr>
        <w:t>当合同中同时包含多项单独租赁的，本公司将合同予以分拆，并分别各项单独租赁进行会计处理。</w:t>
      </w:r>
    </w:p>
    <w:p w14:paraId="4B918FC6" w14:textId="77777777" w:rsidR="00E57DAA" w:rsidRDefault="00AC4185">
      <w:pPr>
        <w:ind w:firstLineChars="200" w:firstLine="420"/>
        <w:jc w:val="both"/>
        <w:rPr>
          <w:szCs w:val="21"/>
        </w:rPr>
      </w:pPr>
      <w:r>
        <w:rPr>
          <w:szCs w:val="21"/>
        </w:rPr>
        <w:t>2.</w:t>
      </w:r>
      <w:r>
        <w:rPr>
          <w:szCs w:val="21"/>
        </w:rPr>
        <w:tab/>
        <w:t>租赁合同的合并</w:t>
      </w:r>
    </w:p>
    <w:p w14:paraId="2A457B2B" w14:textId="77777777" w:rsidR="00E57DAA" w:rsidRDefault="00AC4185">
      <w:pPr>
        <w:ind w:firstLineChars="200" w:firstLine="420"/>
        <w:jc w:val="both"/>
        <w:rPr>
          <w:szCs w:val="21"/>
        </w:rPr>
      </w:pPr>
      <w:r>
        <w:rPr>
          <w:rFonts w:hint="eastAsia"/>
          <w:szCs w:val="21"/>
        </w:rPr>
        <w:t>本公司与同一交易方或其关联方在同一时间或相近时间订立的两份或多份包含租赁的合同符合下列条件之一时，合并为一份合同进行会计处理：</w:t>
      </w:r>
    </w:p>
    <w:p w14:paraId="4692EB1A" w14:textId="77777777" w:rsidR="00E57DAA" w:rsidRDefault="00AC4185">
      <w:pPr>
        <w:ind w:firstLineChars="200" w:firstLine="420"/>
        <w:jc w:val="both"/>
        <w:rPr>
          <w:szCs w:val="21"/>
        </w:rPr>
      </w:pPr>
      <w:r>
        <w:rPr>
          <w:rFonts w:hint="eastAsia"/>
          <w:szCs w:val="21"/>
        </w:rPr>
        <w:t>（</w:t>
      </w:r>
      <w:r>
        <w:rPr>
          <w:szCs w:val="21"/>
        </w:rPr>
        <w:t>1）该两份或多份合同基于总体商业目的而订立并构成一揽子交易，若不作为整体考虑则无法理解其总体商业目的。</w:t>
      </w:r>
    </w:p>
    <w:p w14:paraId="0D520D0E" w14:textId="77777777" w:rsidR="00E57DAA" w:rsidRDefault="00AC4185">
      <w:pPr>
        <w:ind w:firstLineChars="200" w:firstLine="420"/>
        <w:jc w:val="both"/>
        <w:rPr>
          <w:szCs w:val="21"/>
        </w:rPr>
      </w:pPr>
      <w:r>
        <w:rPr>
          <w:rFonts w:hint="eastAsia"/>
          <w:szCs w:val="21"/>
        </w:rPr>
        <w:t>（</w:t>
      </w:r>
      <w:r>
        <w:rPr>
          <w:szCs w:val="21"/>
        </w:rPr>
        <w:t>2）该两份或多份合同中的某份合同的对价金额取决于其他合同的定价或履行情况。</w:t>
      </w:r>
    </w:p>
    <w:p w14:paraId="1FCB85F0" w14:textId="77777777" w:rsidR="00E57DAA" w:rsidRDefault="00AC4185">
      <w:pPr>
        <w:ind w:firstLineChars="200" w:firstLine="420"/>
        <w:jc w:val="both"/>
        <w:rPr>
          <w:szCs w:val="21"/>
        </w:rPr>
      </w:pPr>
      <w:r>
        <w:rPr>
          <w:rFonts w:hint="eastAsia"/>
          <w:szCs w:val="21"/>
        </w:rPr>
        <w:t>（</w:t>
      </w:r>
      <w:r>
        <w:rPr>
          <w:szCs w:val="21"/>
        </w:rPr>
        <w:t>3）该两份或多份合同让渡的资产使用权合起来构成一项单独租赁。</w:t>
      </w:r>
    </w:p>
    <w:p w14:paraId="5DDE1656" w14:textId="77777777" w:rsidR="00E57DAA" w:rsidRDefault="00E57DAA">
      <w:pPr>
        <w:rPr>
          <w:rFonts w:ascii="Calibri" w:hAnsi="Calibri" w:cs="Times New Roman"/>
          <w:b/>
          <w:kern w:val="2"/>
          <w:szCs w:val="32"/>
        </w:rPr>
      </w:pPr>
    </w:p>
    <w:p w14:paraId="2C0BCC64" w14:textId="77777777" w:rsidR="00E57DAA" w:rsidRDefault="00AC4185">
      <w:pPr>
        <w:rPr>
          <w:rFonts w:ascii="Calibri" w:hAnsi="Calibri" w:cs="Times New Roman"/>
          <w:b/>
          <w:kern w:val="2"/>
          <w:szCs w:val="32"/>
        </w:rPr>
      </w:pPr>
      <w:r>
        <w:rPr>
          <w:rFonts w:ascii="Calibri" w:hAnsi="Calibri" w:cs="Times New Roman"/>
          <w:b/>
          <w:kern w:val="2"/>
          <w:szCs w:val="32"/>
        </w:rPr>
        <w:t>作为承租方对短期租赁和低价值资产租赁进行简化处理的判断依据和会计处理方法</w:t>
      </w:r>
    </w:p>
    <w:sdt>
      <w:sdtPr>
        <w:rPr>
          <w:szCs w:val="21"/>
        </w:rPr>
        <w:alias w:val="是否适用：作为承租方对短期租赁和低价值资产租赁进行简化处理的判断依据和会计处理方法[双击切换]"/>
        <w:tag w:val="_GBC_96c8873101a04b4ab58dc379b95e7de7"/>
        <w:id w:val="1145012318"/>
        <w:placeholder>
          <w:docPart w:val="GBC22222222222222222222222222222"/>
        </w:placeholder>
      </w:sdtPr>
      <w:sdtEndPr/>
      <w:sdtContent>
        <w:p w14:paraId="5BACE86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承租方对短期租赁和低价值资产租赁进行简化处理的判断依据和会计处理方法"/>
        <w:tag w:val="_GBC_608ebcbb99ad40879d4235963013eef6"/>
        <w:id w:val="-185132288"/>
        <w:placeholder>
          <w:docPart w:val="GBC22222222222222222222222222222"/>
        </w:placeholder>
      </w:sdtPr>
      <w:sdtEndPr/>
      <w:sdtContent>
        <w:p w14:paraId="135D7E1C" w14:textId="77777777" w:rsidR="00E57DAA" w:rsidRDefault="00AC4185">
          <w:pPr>
            <w:ind w:firstLineChars="200" w:firstLine="420"/>
            <w:jc w:val="both"/>
            <w:rPr>
              <w:szCs w:val="21"/>
            </w:rPr>
          </w:pPr>
          <w:r>
            <w:rPr>
              <w:rFonts w:hint="eastAsia"/>
              <w:szCs w:val="21"/>
            </w:rPr>
            <w:t>在租赁期开始日，除应用简化处理的短期租赁和低价值资产租赁外，本公司对租赁确认使用权资产和租赁负债。</w:t>
          </w:r>
        </w:p>
        <w:p w14:paraId="04BBA9DA" w14:textId="77777777" w:rsidR="00E57DAA" w:rsidRDefault="00AC4185">
          <w:pPr>
            <w:ind w:firstLineChars="200" w:firstLine="420"/>
            <w:jc w:val="both"/>
            <w:rPr>
              <w:szCs w:val="21"/>
            </w:rPr>
          </w:pPr>
          <w:r>
            <w:rPr>
              <w:rFonts w:hint="eastAsia"/>
              <w:szCs w:val="21"/>
            </w:rPr>
            <w:t>（</w:t>
          </w:r>
          <w:r>
            <w:rPr>
              <w:szCs w:val="21"/>
            </w:rPr>
            <w:t>1）短期租赁和低价值资产租赁</w:t>
          </w:r>
        </w:p>
        <w:p w14:paraId="2E6FD415" w14:textId="77777777" w:rsidR="00E57DAA" w:rsidRDefault="00AC4185">
          <w:pPr>
            <w:ind w:firstLineChars="200" w:firstLine="420"/>
            <w:jc w:val="both"/>
            <w:rPr>
              <w:szCs w:val="21"/>
            </w:rPr>
          </w:pPr>
          <w:r>
            <w:rPr>
              <w:rFonts w:hint="eastAsia"/>
              <w:szCs w:val="21"/>
            </w:rPr>
            <w:t>短期租赁是指不包含购买选择权且租赁期不超过</w:t>
          </w:r>
          <w:r>
            <w:rPr>
              <w:szCs w:val="21"/>
            </w:rPr>
            <w:t>12个月的租赁。低价值资产租赁是指单项租赁资产为全新资产时价值较低的租赁。</w:t>
          </w:r>
        </w:p>
        <w:p w14:paraId="1327F2D6" w14:textId="77777777" w:rsidR="00E57DAA" w:rsidRDefault="00AC4185">
          <w:pPr>
            <w:ind w:firstLineChars="200" w:firstLine="420"/>
            <w:jc w:val="both"/>
            <w:rPr>
              <w:szCs w:val="21"/>
            </w:rPr>
          </w:pPr>
          <w:r>
            <w:rPr>
              <w:rFonts w:hint="eastAsia"/>
              <w:szCs w:val="21"/>
            </w:rPr>
            <w:t>本公司对以下短期租赁和低价值资产租赁不确认使用权资产和租赁负债，相关租赁付款额在租赁期内各个期间按照直线法计入相关资产成本或当期损益。</w:t>
          </w:r>
        </w:p>
        <w:tbl>
          <w:tblPr>
            <w:tblStyle w:val="g9"/>
            <w:tblW w:w="8306" w:type="dxa"/>
            <w:tblBorders>
              <w:top w:val="single" w:sz="12" w:space="0" w:color="auto"/>
              <w:left w:val="none" w:sz="0" w:space="0" w:color="auto"/>
              <w:bottom w:val="single" w:sz="12" w:space="0" w:color="auto"/>
              <w:right w:val="none" w:sz="0" w:space="0" w:color="auto"/>
              <w:insideH w:val="dotted" w:sz="4" w:space="0" w:color="auto"/>
              <w:insideV w:val="dotted" w:sz="4" w:space="0" w:color="auto"/>
            </w:tblBorders>
            <w:tblLayout w:type="fixed"/>
            <w:tblLook w:val="04A0" w:firstRow="1" w:lastRow="0" w:firstColumn="1" w:lastColumn="0" w:noHBand="0" w:noVBand="1"/>
          </w:tblPr>
          <w:tblGrid>
            <w:gridCol w:w="1843"/>
            <w:gridCol w:w="6463"/>
          </w:tblGrid>
          <w:tr w:rsidR="00E57DAA" w14:paraId="18658002" w14:textId="77777777">
            <w:trPr>
              <w:trHeight w:val="340"/>
            </w:trPr>
            <w:tc>
              <w:tcPr>
                <w:tcW w:w="1843" w:type="dxa"/>
                <w:vAlign w:val="center"/>
              </w:tcPr>
              <w:p w14:paraId="7E9BC0F9" w14:textId="77777777" w:rsidR="00E57DAA" w:rsidRDefault="00AC4185">
                <w:pPr>
                  <w:ind w:firstLineChars="200" w:firstLine="420"/>
                  <w:jc w:val="left"/>
                  <w:rPr>
                    <w:szCs w:val="21"/>
                  </w:rPr>
                </w:pPr>
                <w:r>
                  <w:rPr>
                    <w:rFonts w:hint="eastAsia"/>
                    <w:szCs w:val="21"/>
                  </w:rPr>
                  <w:t>项目</w:t>
                </w:r>
              </w:p>
            </w:tc>
            <w:tc>
              <w:tcPr>
                <w:tcW w:w="6463" w:type="dxa"/>
                <w:vAlign w:val="center"/>
              </w:tcPr>
              <w:p w14:paraId="38470A5E" w14:textId="77777777" w:rsidR="00E57DAA" w:rsidRDefault="00AC4185">
                <w:pPr>
                  <w:ind w:firstLineChars="200" w:firstLine="420"/>
                  <w:jc w:val="left"/>
                  <w:rPr>
                    <w:szCs w:val="21"/>
                  </w:rPr>
                </w:pPr>
                <w:r>
                  <w:rPr>
                    <w:rFonts w:hint="eastAsia"/>
                    <w:szCs w:val="21"/>
                  </w:rPr>
                  <w:t>采用简化处理的租赁资产类别</w:t>
                </w:r>
              </w:p>
            </w:tc>
          </w:tr>
          <w:tr w:rsidR="00E57DAA" w14:paraId="285360B1" w14:textId="77777777">
            <w:trPr>
              <w:trHeight w:val="340"/>
            </w:trPr>
            <w:tc>
              <w:tcPr>
                <w:tcW w:w="1843" w:type="dxa"/>
                <w:vAlign w:val="center"/>
              </w:tcPr>
              <w:p w14:paraId="08EC87A0" w14:textId="77777777" w:rsidR="00E57DAA" w:rsidRDefault="00AC4185">
                <w:pPr>
                  <w:ind w:firstLineChars="150" w:firstLine="315"/>
                  <w:rPr>
                    <w:szCs w:val="21"/>
                  </w:rPr>
                </w:pPr>
                <w:r>
                  <w:rPr>
                    <w:rFonts w:hint="eastAsia"/>
                    <w:bCs/>
                    <w:szCs w:val="21"/>
                  </w:rPr>
                  <w:t>短期租赁</w:t>
                </w:r>
              </w:p>
            </w:tc>
            <w:tc>
              <w:tcPr>
                <w:tcW w:w="6463" w:type="dxa"/>
                <w:vAlign w:val="center"/>
              </w:tcPr>
              <w:p w14:paraId="751BAFC2" w14:textId="77777777" w:rsidR="00E57DAA" w:rsidRDefault="00AC4185">
                <w:pPr>
                  <w:ind w:firstLineChars="200" w:firstLine="420"/>
                  <w:rPr>
                    <w:szCs w:val="21"/>
                  </w:rPr>
                </w:pPr>
                <w:r>
                  <w:rPr>
                    <w:rFonts w:hint="eastAsia"/>
                    <w:szCs w:val="21"/>
                  </w:rPr>
                  <w:t>在租赁期开始日，租赁期不超过12个月的租赁。包含购买选择权的租赁不属</w:t>
                </w:r>
              </w:p>
              <w:p w14:paraId="42328CE1" w14:textId="77777777" w:rsidR="00E57DAA" w:rsidRDefault="00AC4185">
                <w:pPr>
                  <w:ind w:firstLineChars="200" w:firstLine="420"/>
                  <w:rPr>
                    <w:szCs w:val="21"/>
                  </w:rPr>
                </w:pPr>
                <w:r>
                  <w:rPr>
                    <w:rFonts w:hint="eastAsia"/>
                    <w:szCs w:val="21"/>
                  </w:rPr>
                  <w:t>短期租赁。</w:t>
                </w:r>
              </w:p>
            </w:tc>
          </w:tr>
          <w:tr w:rsidR="00E57DAA" w14:paraId="57201C9D" w14:textId="77777777">
            <w:trPr>
              <w:trHeight w:val="340"/>
            </w:trPr>
            <w:tc>
              <w:tcPr>
                <w:tcW w:w="1843" w:type="dxa"/>
                <w:vAlign w:val="center"/>
              </w:tcPr>
              <w:p w14:paraId="21B12EAF" w14:textId="77777777" w:rsidR="00E57DAA" w:rsidRDefault="00AC4185">
                <w:pPr>
                  <w:rPr>
                    <w:bCs/>
                    <w:szCs w:val="21"/>
                  </w:rPr>
                </w:pPr>
                <w:r>
                  <w:rPr>
                    <w:rFonts w:hint="eastAsia"/>
                    <w:bCs/>
                    <w:szCs w:val="21"/>
                  </w:rPr>
                  <w:t>低价值资产租赁</w:t>
                </w:r>
              </w:p>
            </w:tc>
            <w:tc>
              <w:tcPr>
                <w:tcW w:w="6463" w:type="dxa"/>
                <w:vAlign w:val="center"/>
              </w:tcPr>
              <w:p w14:paraId="2558B4E3" w14:textId="77777777" w:rsidR="00E57DAA" w:rsidRDefault="00AC4185">
                <w:pPr>
                  <w:ind w:firstLineChars="200" w:firstLine="420"/>
                  <w:rPr>
                    <w:szCs w:val="21"/>
                  </w:rPr>
                </w:pPr>
                <w:r>
                  <w:rPr>
                    <w:rFonts w:hint="eastAsia"/>
                    <w:szCs w:val="21"/>
                  </w:rPr>
                  <w:t>单项租赁资产为全新资产时价值较低的租赁。低价值资产租赁的判定仅与资产的绝对价值有关，不受承租人规模、性质或其他情况影响，资产全新状态下绝对价值低于人民币40,000元的认定为低价值资产租赁。</w:t>
                </w:r>
              </w:p>
            </w:tc>
          </w:tr>
        </w:tbl>
        <w:p w14:paraId="05F69D10" w14:textId="77777777" w:rsidR="00E57DAA" w:rsidRDefault="00AC4185">
          <w:pPr>
            <w:ind w:firstLineChars="200" w:firstLine="420"/>
            <w:rPr>
              <w:szCs w:val="21"/>
            </w:rPr>
          </w:pPr>
          <w:r>
            <w:rPr>
              <w:rFonts w:hint="eastAsia"/>
              <w:szCs w:val="21"/>
            </w:rPr>
            <w:t>本公司对除上述以外的短期租赁和低价值资产租赁确认使用权资产和租赁负债。</w:t>
          </w:r>
        </w:p>
        <w:p w14:paraId="60F4231C" w14:textId="77777777" w:rsidR="00E57DAA" w:rsidRDefault="00AC4185">
          <w:pPr>
            <w:ind w:firstLineChars="200" w:firstLine="420"/>
            <w:rPr>
              <w:szCs w:val="21"/>
            </w:rPr>
          </w:pPr>
          <w:r>
            <w:rPr>
              <w:rFonts w:hint="eastAsia"/>
              <w:szCs w:val="21"/>
            </w:rPr>
            <w:t>（2</w:t>
          </w:r>
          <w:r>
            <w:rPr>
              <w:szCs w:val="21"/>
            </w:rPr>
            <w:t>）</w:t>
          </w:r>
          <w:r>
            <w:rPr>
              <w:szCs w:val="21"/>
            </w:rPr>
            <w:tab/>
            <w:t>使用权资产和租赁负债的会计政策详见本附注</w:t>
          </w:r>
          <w:r>
            <w:rPr>
              <w:rFonts w:hint="eastAsia"/>
              <w:szCs w:val="21"/>
            </w:rPr>
            <w:t>29</w:t>
          </w:r>
          <w:r>
            <w:rPr>
              <w:szCs w:val="21"/>
            </w:rPr>
            <w:t>和</w:t>
          </w:r>
          <w:r>
            <w:rPr>
              <w:rFonts w:hint="eastAsia"/>
              <w:szCs w:val="21"/>
            </w:rPr>
            <w:t>36</w:t>
          </w:r>
          <w:r>
            <w:rPr>
              <w:szCs w:val="21"/>
            </w:rPr>
            <w:t>。</w:t>
          </w:r>
        </w:p>
      </w:sdtContent>
    </w:sdt>
    <w:p w14:paraId="10F3E123" w14:textId="77777777" w:rsidR="00E57DAA" w:rsidRDefault="00E57DAA">
      <w:pPr>
        <w:ind w:firstLineChars="200" w:firstLine="420"/>
        <w:rPr>
          <w:szCs w:val="21"/>
        </w:rPr>
      </w:pPr>
    </w:p>
    <w:p w14:paraId="7710A7C5" w14:textId="77777777" w:rsidR="00E57DAA" w:rsidRDefault="00E57DAA">
      <w:pPr>
        <w:rPr>
          <w:rFonts w:ascii="Calibri" w:hAnsi="Calibri" w:cs="Times New Roman"/>
          <w:kern w:val="2"/>
          <w:szCs w:val="32"/>
        </w:rPr>
      </w:pPr>
    </w:p>
    <w:p w14:paraId="55012946" w14:textId="77777777" w:rsidR="00E57DAA" w:rsidRDefault="00AC4185">
      <w:pPr>
        <w:rPr>
          <w:rFonts w:ascii="Calibri" w:hAnsi="Calibri" w:cs="Times New Roman"/>
          <w:b/>
          <w:kern w:val="2"/>
          <w:szCs w:val="32"/>
        </w:rPr>
      </w:pPr>
      <w:r>
        <w:rPr>
          <w:rFonts w:ascii="Calibri" w:hAnsi="Calibri" w:cs="Times New Roman"/>
          <w:b/>
          <w:kern w:val="2"/>
          <w:szCs w:val="32"/>
        </w:rPr>
        <w:t>作为出租方的租赁分类标准和会计处理方法</w:t>
      </w:r>
    </w:p>
    <w:sdt>
      <w:sdtPr>
        <w:rPr>
          <w:szCs w:val="21"/>
        </w:rPr>
        <w:alias w:val="是否适用：作为出租方的租赁分类标准和会计处理方法[双击切换]"/>
        <w:tag w:val="_GBC_4ce66446786b4db69563b4f1b2b86d89"/>
        <w:id w:val="680556934"/>
        <w:placeholder>
          <w:docPart w:val="GBC22222222222222222222222222222"/>
        </w:placeholder>
      </w:sdtPr>
      <w:sdtEndPr/>
      <w:sdtContent>
        <w:p w14:paraId="2899543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出租方的租赁分类标准和会计处理方法"/>
        <w:tag w:val="_GBC_ca849938b2044c5a8ca6cd68a06181a3"/>
        <w:id w:val="1636766353"/>
        <w:placeholder>
          <w:docPart w:val="GBC22222222222222222222222222222"/>
        </w:placeholder>
      </w:sdtPr>
      <w:sdtEndPr/>
      <w:sdtContent>
        <w:p w14:paraId="1D41CB5B" w14:textId="77777777" w:rsidR="00E57DAA" w:rsidRDefault="00AC4185">
          <w:pPr>
            <w:ind w:firstLineChars="200" w:firstLine="420"/>
            <w:rPr>
              <w:szCs w:val="21"/>
            </w:rPr>
          </w:pPr>
          <w:r>
            <w:rPr>
              <w:rFonts w:hint="eastAsia"/>
              <w:szCs w:val="21"/>
            </w:rPr>
            <w:t>（</w:t>
          </w:r>
          <w:r>
            <w:rPr>
              <w:szCs w:val="21"/>
            </w:rPr>
            <w:t>1）租赁的分类</w:t>
          </w:r>
        </w:p>
        <w:p w14:paraId="00232D11" w14:textId="77777777" w:rsidR="00E57DAA" w:rsidRDefault="00AC4185">
          <w:pPr>
            <w:ind w:firstLineChars="200" w:firstLine="420"/>
            <w:rPr>
              <w:szCs w:val="21"/>
            </w:rPr>
          </w:pPr>
          <w:r>
            <w:rPr>
              <w:rFonts w:hint="eastAsia"/>
              <w:szCs w:val="21"/>
            </w:rPr>
            <w:t>本公司在租赁开始日将租赁分为融资租赁和经营租赁。融资租赁是指实质上转移了与租赁资产所有权有关的几乎全部风险和报酬的租赁，其所有权最终可能转移，也可能不转移。经营租赁是指除融资租赁以外的其他租赁。</w:t>
          </w:r>
        </w:p>
        <w:p w14:paraId="608491D5" w14:textId="77777777" w:rsidR="00E57DAA" w:rsidRDefault="00AC4185">
          <w:pPr>
            <w:ind w:firstLineChars="200" w:firstLine="420"/>
            <w:jc w:val="both"/>
            <w:rPr>
              <w:szCs w:val="21"/>
            </w:rPr>
          </w:pPr>
          <w:r>
            <w:rPr>
              <w:rFonts w:hint="eastAsia"/>
              <w:szCs w:val="21"/>
            </w:rPr>
            <w:t>一项租赁存在下列一种或多种情形的，本公司通常分类为融资租赁：</w:t>
          </w:r>
        </w:p>
        <w:p w14:paraId="58DB7C1C" w14:textId="77777777" w:rsidR="00E57DAA" w:rsidRDefault="00AC4185">
          <w:pPr>
            <w:ind w:firstLineChars="200" w:firstLine="420"/>
            <w:jc w:val="both"/>
            <w:rPr>
              <w:szCs w:val="21"/>
            </w:rPr>
          </w:pPr>
          <w:r>
            <w:rPr>
              <w:szCs w:val="21"/>
            </w:rPr>
            <w:t>1）在租赁期届满时，租赁资产的所有权转移给承租人；</w:t>
          </w:r>
        </w:p>
        <w:p w14:paraId="77351D54" w14:textId="77777777" w:rsidR="00E57DAA" w:rsidRDefault="00AC4185">
          <w:pPr>
            <w:ind w:firstLineChars="200" w:firstLine="420"/>
            <w:jc w:val="both"/>
            <w:rPr>
              <w:szCs w:val="21"/>
            </w:rPr>
          </w:pPr>
          <w:r>
            <w:rPr>
              <w:szCs w:val="21"/>
            </w:rPr>
            <w:lastRenderedPageBreak/>
            <w:t>2）承租人有购买租赁资产的选择权，所订立的购买价款与预计行使选择权时租赁资产的公允价值相比足够低，因而在租赁开始日就可以合理确定承租人将行使该选择权；</w:t>
          </w:r>
        </w:p>
        <w:p w14:paraId="4BB31394" w14:textId="77777777" w:rsidR="00E57DAA" w:rsidRDefault="00AC4185">
          <w:pPr>
            <w:ind w:firstLineChars="200" w:firstLine="420"/>
            <w:jc w:val="both"/>
            <w:rPr>
              <w:szCs w:val="21"/>
            </w:rPr>
          </w:pPr>
          <w:r>
            <w:rPr>
              <w:szCs w:val="21"/>
            </w:rPr>
            <w:t>3）资产的所有权虽然不转移，但租赁期占租赁资产使用寿命的大部分；</w:t>
          </w:r>
        </w:p>
        <w:p w14:paraId="3002FC8B" w14:textId="77777777" w:rsidR="00E57DAA" w:rsidRDefault="00AC4185">
          <w:pPr>
            <w:ind w:firstLineChars="200" w:firstLine="420"/>
            <w:jc w:val="both"/>
            <w:rPr>
              <w:szCs w:val="21"/>
            </w:rPr>
          </w:pPr>
          <w:r>
            <w:rPr>
              <w:szCs w:val="21"/>
            </w:rPr>
            <w:t>4）在租赁开始日，租赁收款额的现值几乎相当于租赁资产的公允价值；</w:t>
          </w:r>
        </w:p>
        <w:p w14:paraId="7D9F29EC" w14:textId="77777777" w:rsidR="00E57DAA" w:rsidRDefault="00AC4185">
          <w:pPr>
            <w:ind w:firstLineChars="200" w:firstLine="420"/>
            <w:jc w:val="both"/>
            <w:rPr>
              <w:szCs w:val="21"/>
            </w:rPr>
          </w:pPr>
          <w:r>
            <w:rPr>
              <w:szCs w:val="21"/>
            </w:rPr>
            <w:t>5）租赁资产性质特殊，如果不作较大改造，只有承租人才能使用。</w:t>
          </w:r>
        </w:p>
        <w:p w14:paraId="5E18433C" w14:textId="77777777" w:rsidR="00E57DAA" w:rsidRDefault="00AC4185">
          <w:pPr>
            <w:ind w:firstLineChars="200" w:firstLine="420"/>
            <w:jc w:val="both"/>
            <w:rPr>
              <w:szCs w:val="21"/>
            </w:rPr>
          </w:pPr>
          <w:r>
            <w:rPr>
              <w:rFonts w:hint="eastAsia"/>
              <w:szCs w:val="21"/>
            </w:rPr>
            <w:t>一项租赁存在下列一项或多项迹象的，本公司也可能分类为融资租赁：</w:t>
          </w:r>
        </w:p>
        <w:p w14:paraId="63D8426A" w14:textId="77777777" w:rsidR="00E57DAA" w:rsidRDefault="00AC4185">
          <w:pPr>
            <w:ind w:firstLineChars="200" w:firstLine="420"/>
            <w:jc w:val="both"/>
            <w:rPr>
              <w:szCs w:val="21"/>
            </w:rPr>
          </w:pPr>
          <w:r>
            <w:rPr>
              <w:szCs w:val="21"/>
            </w:rPr>
            <w:t>1）若承租人撤销租赁，撤销租赁对出租人造成的损失由承租人承担；</w:t>
          </w:r>
        </w:p>
        <w:p w14:paraId="7A78D2BE" w14:textId="77777777" w:rsidR="00E57DAA" w:rsidRDefault="00AC4185">
          <w:pPr>
            <w:ind w:firstLineChars="200" w:firstLine="420"/>
            <w:jc w:val="both"/>
            <w:rPr>
              <w:szCs w:val="21"/>
            </w:rPr>
          </w:pPr>
          <w:r>
            <w:rPr>
              <w:szCs w:val="21"/>
            </w:rPr>
            <w:t>2）资产余值的公允价值波动所产生的利得或损失归属于承租人；</w:t>
          </w:r>
        </w:p>
        <w:p w14:paraId="0839B4FE" w14:textId="77777777" w:rsidR="00E57DAA" w:rsidRDefault="00AC4185">
          <w:pPr>
            <w:ind w:firstLineChars="200" w:firstLine="420"/>
            <w:jc w:val="both"/>
            <w:rPr>
              <w:szCs w:val="21"/>
            </w:rPr>
          </w:pPr>
          <w:r>
            <w:rPr>
              <w:szCs w:val="21"/>
            </w:rPr>
            <w:t>3）承租人有能力以远低于市场水平的租金继续租赁至下一期间。</w:t>
          </w:r>
        </w:p>
        <w:p w14:paraId="28E13264" w14:textId="77777777" w:rsidR="00E57DAA" w:rsidRDefault="00AC4185">
          <w:pPr>
            <w:ind w:firstLineChars="200" w:firstLine="420"/>
            <w:jc w:val="both"/>
            <w:rPr>
              <w:szCs w:val="21"/>
            </w:rPr>
          </w:pPr>
          <w:r>
            <w:rPr>
              <w:rFonts w:hint="eastAsia"/>
              <w:szCs w:val="21"/>
            </w:rPr>
            <w:t>（</w:t>
          </w:r>
          <w:r>
            <w:rPr>
              <w:szCs w:val="21"/>
            </w:rPr>
            <w:t>2）对融资租赁的会计处理</w:t>
          </w:r>
        </w:p>
        <w:p w14:paraId="6256F00E" w14:textId="77777777" w:rsidR="00E57DAA" w:rsidRDefault="00AC4185">
          <w:pPr>
            <w:ind w:firstLineChars="200" w:firstLine="420"/>
            <w:jc w:val="both"/>
            <w:rPr>
              <w:szCs w:val="21"/>
            </w:rPr>
          </w:pPr>
          <w:r>
            <w:rPr>
              <w:rFonts w:hint="eastAsia"/>
              <w:szCs w:val="21"/>
            </w:rPr>
            <w:t>在租赁期开始日，本公司对融资租赁确认应收融资租赁款，并终止确认融资租赁资产。</w:t>
          </w:r>
        </w:p>
        <w:p w14:paraId="3C443F19" w14:textId="77777777" w:rsidR="00E57DAA" w:rsidRDefault="00AC4185">
          <w:pPr>
            <w:ind w:firstLineChars="200" w:firstLine="420"/>
            <w:jc w:val="both"/>
            <w:rPr>
              <w:szCs w:val="21"/>
            </w:rPr>
          </w:pPr>
          <w:r>
            <w:rPr>
              <w:rFonts w:hint="eastAsia"/>
              <w:szCs w:val="21"/>
            </w:rPr>
            <w:t>应收融资租赁款初始计量时，以未担保余值和租赁期开始日尚未收到的租赁收款额按照租赁内含利率折现的现值之和作为应收融资租赁款的入账价值。租赁收款额包括：</w:t>
          </w:r>
        </w:p>
        <w:p w14:paraId="21357F25" w14:textId="77777777" w:rsidR="00E57DAA" w:rsidRDefault="00AC4185">
          <w:pPr>
            <w:ind w:firstLineChars="200" w:firstLine="420"/>
            <w:jc w:val="both"/>
            <w:rPr>
              <w:szCs w:val="21"/>
            </w:rPr>
          </w:pPr>
          <w:r>
            <w:rPr>
              <w:szCs w:val="21"/>
            </w:rPr>
            <w:t>1）扣除租赁激励相关金额后的固定付款额及实质固定付款额；</w:t>
          </w:r>
        </w:p>
        <w:p w14:paraId="1C5B78D9" w14:textId="77777777" w:rsidR="00E57DAA" w:rsidRDefault="00AC4185">
          <w:pPr>
            <w:ind w:firstLineChars="200" w:firstLine="420"/>
            <w:jc w:val="both"/>
            <w:rPr>
              <w:szCs w:val="21"/>
            </w:rPr>
          </w:pPr>
          <w:r>
            <w:rPr>
              <w:szCs w:val="21"/>
            </w:rPr>
            <w:t>2）取决于指数或比率的可变租赁付款额；</w:t>
          </w:r>
        </w:p>
        <w:p w14:paraId="7C37DE77" w14:textId="77777777" w:rsidR="00E57DAA" w:rsidRDefault="00AC4185">
          <w:pPr>
            <w:ind w:firstLineChars="200" w:firstLine="420"/>
            <w:jc w:val="both"/>
            <w:rPr>
              <w:szCs w:val="21"/>
            </w:rPr>
          </w:pPr>
          <w:r>
            <w:rPr>
              <w:szCs w:val="21"/>
            </w:rPr>
            <w:t>3）合理确定承租人将行使购买选择权的情况下，租赁收款额包括购买选择权的行权价格；</w:t>
          </w:r>
        </w:p>
        <w:p w14:paraId="065E7FEF" w14:textId="77777777" w:rsidR="00E57DAA" w:rsidRDefault="00AC4185">
          <w:pPr>
            <w:ind w:firstLineChars="200" w:firstLine="420"/>
            <w:jc w:val="both"/>
            <w:rPr>
              <w:szCs w:val="21"/>
            </w:rPr>
          </w:pPr>
          <w:r>
            <w:rPr>
              <w:szCs w:val="21"/>
            </w:rPr>
            <w:t>4）租赁期反映出承租人将行使终止租赁选择权的情况下，租赁收款额包括承租人行使终止租赁选择权需支付的款项；</w:t>
          </w:r>
        </w:p>
        <w:p w14:paraId="725E9B4F" w14:textId="77777777" w:rsidR="00E57DAA" w:rsidRDefault="00AC4185">
          <w:pPr>
            <w:ind w:firstLineChars="200" w:firstLine="420"/>
            <w:jc w:val="both"/>
            <w:rPr>
              <w:szCs w:val="21"/>
            </w:rPr>
          </w:pPr>
          <w:r>
            <w:rPr>
              <w:szCs w:val="21"/>
            </w:rPr>
            <w:t>5）由承租人、与承租人有关的一方以及有经济能力履行担保义务的独立第三方向出租人提供的担保余值。</w:t>
          </w:r>
        </w:p>
        <w:p w14:paraId="32791B56" w14:textId="77777777" w:rsidR="00E57DAA" w:rsidRDefault="00AC4185">
          <w:pPr>
            <w:ind w:firstLineChars="200" w:firstLine="420"/>
            <w:jc w:val="both"/>
            <w:rPr>
              <w:szCs w:val="21"/>
            </w:rPr>
          </w:pPr>
          <w:r>
            <w:rPr>
              <w:rFonts w:hint="eastAsia"/>
              <w:szCs w:val="21"/>
            </w:rPr>
            <w:t>本公司按照固定的租赁内含利率计算并确认租赁期内各个期间的利息收入，所取得的未纳入租赁投资净额计量的可变租赁付款额在实际发生时计入当期损益。</w:t>
          </w:r>
        </w:p>
        <w:p w14:paraId="6B1A92F9" w14:textId="77777777" w:rsidR="00E57DAA" w:rsidRDefault="00AC4185">
          <w:pPr>
            <w:ind w:firstLineChars="200" w:firstLine="420"/>
            <w:jc w:val="both"/>
            <w:rPr>
              <w:szCs w:val="21"/>
            </w:rPr>
          </w:pPr>
          <w:r>
            <w:rPr>
              <w:rFonts w:hint="eastAsia"/>
              <w:szCs w:val="21"/>
            </w:rPr>
            <w:t>（</w:t>
          </w:r>
          <w:r>
            <w:rPr>
              <w:szCs w:val="21"/>
            </w:rPr>
            <w:t>3）对经营租赁的会计处理</w:t>
          </w:r>
        </w:p>
        <w:p w14:paraId="75854766" w14:textId="77777777" w:rsidR="00E57DAA" w:rsidRDefault="00AC4185">
          <w:pPr>
            <w:ind w:firstLineChars="200" w:firstLine="420"/>
            <w:jc w:val="both"/>
            <w:rPr>
              <w:szCs w:val="21"/>
            </w:rPr>
          </w:pPr>
          <w:r>
            <w:rPr>
              <w:rFonts w:hint="eastAsia"/>
              <w:szCs w:val="21"/>
            </w:rPr>
            <w:t>本公司在租赁期内各个期间采用直线法或其他系统合理的方法，将经营租赁的租赁收款额确认为租金收入；发生的与经营租赁有关的初始直接费用资本化，在租赁期内按照与租金收入确认相同的基础进行分摊，分期计入当期损益；取得的与经营租赁有关的未计入租赁收款额的可变租赁付款额，在实际发生时计入当期损益。</w:t>
          </w:r>
        </w:p>
        <w:p w14:paraId="15111875" w14:textId="77777777" w:rsidR="00E57DAA" w:rsidRDefault="00AC4185">
          <w:pPr>
            <w:ind w:firstLineChars="200" w:firstLine="420"/>
            <w:jc w:val="both"/>
            <w:rPr>
              <w:szCs w:val="21"/>
            </w:rPr>
          </w:pPr>
          <w:r>
            <w:rPr>
              <w:szCs w:val="21"/>
            </w:rPr>
            <w:t>5.</w:t>
          </w:r>
          <w:r>
            <w:rPr>
              <w:szCs w:val="21"/>
            </w:rPr>
            <w:tab/>
            <w:t>售后租回交易</w:t>
          </w:r>
        </w:p>
        <w:p w14:paraId="4BE3F27B" w14:textId="77777777" w:rsidR="00E57DAA" w:rsidRDefault="00AC4185">
          <w:pPr>
            <w:ind w:firstLineChars="200" w:firstLine="420"/>
            <w:jc w:val="both"/>
            <w:rPr>
              <w:szCs w:val="21"/>
            </w:rPr>
          </w:pPr>
          <w:r>
            <w:rPr>
              <w:rFonts w:hint="eastAsia"/>
              <w:szCs w:val="21"/>
            </w:rPr>
            <w:t>售后租回交易中的资产转让属于销售的，本公司按原资产账面价值中与租回获得的使用权有关的部分，计量售后租回所形成的使用权资产，并仅就转让至出租人的权利确认相关利得或损失。如果销售对价的公允价值与资产的公允价值不同，或者出租人未按市场价格收取租金，本公司将销售对价低于市场价格的款项作为预付租金进行会计处理，将高于市场价格的款项作为出租人向承租人提供的额外融资进行会计处理；同时按照公允价值调整相关销售利得或损失。</w:t>
          </w:r>
        </w:p>
        <w:p w14:paraId="02DA3872" w14:textId="77777777" w:rsidR="00E57DAA" w:rsidRDefault="00AC4185">
          <w:pPr>
            <w:ind w:firstLineChars="200" w:firstLine="420"/>
            <w:jc w:val="both"/>
            <w:rPr>
              <w:szCs w:val="21"/>
            </w:rPr>
          </w:pPr>
          <w:r>
            <w:rPr>
              <w:rFonts w:hint="eastAsia"/>
              <w:szCs w:val="21"/>
            </w:rPr>
            <w:t>售后租回交易中的资产转让不属于销售的，本公司继续确认被转让资产，同时确认一项与转让收入等额的金融负债。</w:t>
          </w:r>
        </w:p>
      </w:sdtContent>
    </w:sdt>
    <w:p w14:paraId="08B42623" w14:textId="77777777" w:rsidR="00E57DAA" w:rsidRDefault="00E57DAA" w:rsidP="00C25422">
      <w:pPr>
        <w:pStyle w:val="92"/>
      </w:pPr>
    </w:p>
    <w:p w14:paraId="0227D374" w14:textId="77777777" w:rsidR="00E57DAA" w:rsidRDefault="00AC4185" w:rsidP="00C25422">
      <w:pPr>
        <w:pStyle w:val="91"/>
        <w:numPr>
          <w:ilvl w:val="0"/>
          <w:numId w:val="61"/>
        </w:numPr>
      </w:pPr>
      <w:r>
        <w:rPr>
          <w:rFonts w:hint="eastAsia"/>
        </w:rPr>
        <w:t>终止经营</w:t>
      </w:r>
    </w:p>
    <w:p w14:paraId="4CE7BF3B" w14:textId="77777777" w:rsidR="00E57DAA" w:rsidRDefault="00AC4185">
      <w:pPr>
        <w:ind w:firstLineChars="200" w:firstLine="420"/>
        <w:rPr>
          <w:szCs w:val="21"/>
        </w:rPr>
      </w:pPr>
      <w:r>
        <w:rPr>
          <w:rFonts w:hint="eastAsia"/>
          <w:szCs w:val="21"/>
        </w:rPr>
        <w:t>本公司将满足下列条件之一的，且该组成部分已经处置或划归为持有待售类别的、能够单独区分的组成部分确认为终止经营组成部分：</w:t>
      </w:r>
    </w:p>
    <w:p w14:paraId="71A00A8F" w14:textId="77777777" w:rsidR="00E57DAA" w:rsidRDefault="00AC4185">
      <w:pPr>
        <w:ind w:firstLineChars="200" w:firstLine="420"/>
        <w:rPr>
          <w:szCs w:val="21"/>
        </w:rPr>
      </w:pPr>
      <w:r>
        <w:rPr>
          <w:rFonts w:hint="eastAsia"/>
          <w:szCs w:val="21"/>
        </w:rPr>
        <w:t>（</w:t>
      </w:r>
      <w:r>
        <w:rPr>
          <w:szCs w:val="21"/>
        </w:rPr>
        <w:t>1）该组成部分代表一项独立的主要业务或一个单独的主要经营地区。</w:t>
      </w:r>
    </w:p>
    <w:p w14:paraId="23C20EE1" w14:textId="77777777" w:rsidR="00E57DAA" w:rsidRDefault="00AC4185">
      <w:pPr>
        <w:ind w:firstLineChars="200" w:firstLine="420"/>
        <w:rPr>
          <w:szCs w:val="21"/>
        </w:rPr>
      </w:pPr>
      <w:r>
        <w:rPr>
          <w:rFonts w:hint="eastAsia"/>
          <w:szCs w:val="21"/>
        </w:rPr>
        <w:t>（</w:t>
      </w:r>
      <w:r>
        <w:rPr>
          <w:szCs w:val="21"/>
        </w:rPr>
        <w:t>2）该组成部分是拟对一项独立的主要业务或一个单独的主要经营地区进行处置的一项相关联计划的一部分。</w:t>
      </w:r>
    </w:p>
    <w:p w14:paraId="66C19C30" w14:textId="77777777" w:rsidR="00E57DAA" w:rsidRDefault="00AC4185">
      <w:pPr>
        <w:ind w:firstLineChars="200" w:firstLine="420"/>
        <w:rPr>
          <w:szCs w:val="21"/>
        </w:rPr>
      </w:pPr>
      <w:r>
        <w:rPr>
          <w:rFonts w:hint="eastAsia"/>
          <w:szCs w:val="21"/>
        </w:rPr>
        <w:t>（</w:t>
      </w:r>
      <w:r>
        <w:rPr>
          <w:szCs w:val="21"/>
        </w:rPr>
        <w:t>3）该组成部分是专为转售而取得的子公司。</w:t>
      </w:r>
    </w:p>
    <w:p w14:paraId="2C91BE19" w14:textId="77777777" w:rsidR="00E57DAA" w:rsidRDefault="00AC4185">
      <w:pPr>
        <w:ind w:firstLineChars="200" w:firstLine="420"/>
        <w:rPr>
          <w:szCs w:val="21"/>
        </w:rPr>
      </w:pPr>
      <w:r>
        <w:rPr>
          <w:rFonts w:hint="eastAsia"/>
          <w:szCs w:val="21"/>
        </w:rPr>
        <w:t>终止经营的减值损失和转回金额等经营损益及处置损益作为终止经营损益在利润表中列示。</w:t>
      </w:r>
    </w:p>
    <w:p w14:paraId="6E3684B2" w14:textId="77777777" w:rsidR="00E57DAA" w:rsidRDefault="00AC4185">
      <w:pPr>
        <w:ind w:firstLineChars="200" w:firstLine="420"/>
        <w:rPr>
          <w:szCs w:val="21"/>
        </w:rPr>
      </w:pPr>
      <w:r>
        <w:rPr>
          <w:rFonts w:hint="eastAsia"/>
          <w:szCs w:val="21"/>
        </w:rPr>
        <w:t>本公司在资产负债表中区别于其他资产单独列示持有待售的非流动资产或持有待售的处置组中的资产，区别于其他负债单独列示持有待售的处置组中的负债。持有待售的非流动资产或持有待售的处置组中的资产与持有待售的处置组中的负债不予相互抵销，分别作为流动资产和流动负债列示。本公司在利润表中分别列示持续经营损益和终止经营损益。对于当期列报的终止经营，本公司在当期财务报表中，将原来作为持续经营损益列报的信息重新作为可比会计期间的终止经</w:t>
      </w:r>
      <w:r>
        <w:rPr>
          <w:rFonts w:hint="eastAsia"/>
          <w:szCs w:val="21"/>
        </w:rPr>
        <w:lastRenderedPageBreak/>
        <w:t>营损益列报。终止经营不再满足持有待售类别划分条件的，本公司在当期财务报表中，将原来作为终止经营损益列报的信息重新作为可比会计期间的持续经营损益列报。</w:t>
      </w:r>
    </w:p>
    <w:p w14:paraId="3C8D82AC" w14:textId="77777777" w:rsidR="00E57DAA" w:rsidRDefault="00AC4185" w:rsidP="00C25422">
      <w:pPr>
        <w:pStyle w:val="91"/>
        <w:numPr>
          <w:ilvl w:val="0"/>
          <w:numId w:val="61"/>
        </w:numPr>
      </w:pPr>
      <w:r>
        <w:rPr>
          <w:rFonts w:hint="eastAsia"/>
        </w:rPr>
        <w:t>套期会计</w:t>
      </w:r>
    </w:p>
    <w:p w14:paraId="1BDACA71" w14:textId="77777777" w:rsidR="00E57DAA" w:rsidRDefault="00AC4185">
      <w:pPr>
        <w:ind w:firstLineChars="200" w:firstLine="420"/>
        <w:rPr>
          <w:szCs w:val="21"/>
        </w:rPr>
      </w:pPr>
      <w:r>
        <w:rPr>
          <w:rFonts w:hint="eastAsia"/>
          <w:szCs w:val="21"/>
        </w:rPr>
        <w:t>本公司按照套期关系，将套期保值划分为公允价值套期、现金流量套期和境外净投资套期。</w:t>
      </w:r>
    </w:p>
    <w:p w14:paraId="33950F3E" w14:textId="77777777" w:rsidR="00E57DAA" w:rsidRDefault="00AC4185">
      <w:pPr>
        <w:ind w:firstLineChars="200" w:firstLine="420"/>
        <w:rPr>
          <w:szCs w:val="21"/>
        </w:rPr>
      </w:pPr>
      <w:r>
        <w:rPr>
          <w:szCs w:val="21"/>
        </w:rPr>
        <w:t>1．</w:t>
      </w:r>
      <w:r>
        <w:rPr>
          <w:szCs w:val="21"/>
        </w:rPr>
        <w:tab/>
        <w:t>对于同时满足下列条件的套期工具，运用套期会计方法进行处理</w:t>
      </w:r>
    </w:p>
    <w:p w14:paraId="78768E38" w14:textId="77777777" w:rsidR="00E57DAA" w:rsidRDefault="00AC4185">
      <w:pPr>
        <w:ind w:firstLineChars="200" w:firstLine="420"/>
        <w:rPr>
          <w:szCs w:val="21"/>
        </w:rPr>
      </w:pPr>
      <w:r>
        <w:rPr>
          <w:rFonts w:hint="eastAsia"/>
          <w:szCs w:val="21"/>
        </w:rPr>
        <w:t>（</w:t>
      </w:r>
      <w:r>
        <w:rPr>
          <w:szCs w:val="21"/>
        </w:rPr>
        <w:t>1）套期关系仅由符合条件的套期工具和被套期项目组成。</w:t>
      </w:r>
    </w:p>
    <w:p w14:paraId="773AEC3B" w14:textId="77777777" w:rsidR="00E57DAA" w:rsidRDefault="00AC4185">
      <w:pPr>
        <w:ind w:firstLineChars="200" w:firstLine="420"/>
        <w:rPr>
          <w:szCs w:val="21"/>
        </w:rPr>
      </w:pPr>
      <w:r>
        <w:rPr>
          <w:rFonts w:hint="eastAsia"/>
          <w:szCs w:val="21"/>
        </w:rPr>
        <w:t>（</w:t>
      </w:r>
      <w:r>
        <w:rPr>
          <w:szCs w:val="21"/>
        </w:rPr>
        <w:t>2）在套期开始时，本公司正式指定了套期工具和被套期项目，并准备了关于套期关系和从事套期的风险管理策略和风险管理目标的书面文件。</w:t>
      </w:r>
    </w:p>
    <w:p w14:paraId="2A85973C" w14:textId="77777777" w:rsidR="00E57DAA" w:rsidRDefault="00AC4185">
      <w:pPr>
        <w:ind w:firstLineChars="200" w:firstLine="420"/>
        <w:rPr>
          <w:szCs w:val="21"/>
        </w:rPr>
      </w:pPr>
      <w:r>
        <w:rPr>
          <w:rFonts w:hint="eastAsia"/>
          <w:szCs w:val="21"/>
        </w:rPr>
        <w:t>（</w:t>
      </w:r>
      <w:r>
        <w:rPr>
          <w:szCs w:val="21"/>
        </w:rPr>
        <w:t>3）套期关系符合套期有效性要求。</w:t>
      </w:r>
    </w:p>
    <w:p w14:paraId="62079FC1" w14:textId="77777777" w:rsidR="00E57DAA" w:rsidRDefault="00AC4185">
      <w:pPr>
        <w:ind w:firstLineChars="200" w:firstLine="420"/>
        <w:rPr>
          <w:szCs w:val="21"/>
        </w:rPr>
      </w:pPr>
      <w:r>
        <w:rPr>
          <w:rFonts w:hint="eastAsia"/>
          <w:szCs w:val="21"/>
        </w:rPr>
        <w:t>套期同时满足下列条件的，认定套期关系符合套期有效性要求：</w:t>
      </w:r>
    </w:p>
    <w:p w14:paraId="5988897A" w14:textId="77777777" w:rsidR="00E57DAA" w:rsidRDefault="00AC4185">
      <w:pPr>
        <w:ind w:firstLineChars="200" w:firstLine="420"/>
        <w:rPr>
          <w:szCs w:val="21"/>
        </w:rPr>
      </w:pPr>
      <w:r>
        <w:rPr>
          <w:szCs w:val="21"/>
        </w:rPr>
        <w:t>1）被套期项目和套期工具之间存在经济关系。该经济关系使得套期工具和被套期项目的价值因面临相同的被套期风险而发生方向相反的变动；</w:t>
      </w:r>
    </w:p>
    <w:p w14:paraId="660EE968" w14:textId="77777777" w:rsidR="00E57DAA" w:rsidRDefault="00AC4185">
      <w:pPr>
        <w:ind w:firstLineChars="200" w:firstLine="420"/>
        <w:rPr>
          <w:szCs w:val="21"/>
        </w:rPr>
      </w:pPr>
      <w:r>
        <w:rPr>
          <w:szCs w:val="21"/>
        </w:rPr>
        <w:t>2）被套期项目和套期工具经济关系产生的价值变动中，信用风险的影响不占主导地位；</w:t>
      </w:r>
    </w:p>
    <w:p w14:paraId="651D1DAF" w14:textId="77777777" w:rsidR="00E57DAA" w:rsidRDefault="00AC4185">
      <w:pPr>
        <w:ind w:firstLineChars="200" w:firstLine="420"/>
        <w:rPr>
          <w:szCs w:val="21"/>
        </w:rPr>
      </w:pPr>
      <w:r>
        <w:rPr>
          <w:szCs w:val="21"/>
        </w:rPr>
        <w:t>3）套期关系的套期比率，等于公司实际套期的被套期项目数量与对其进行套期的套期工具实际数量之比，但不反映被套期项目和套期工具相对权重的失衡，这种失衡会导致套期无效，并可能产生与套期会计目标不一致的会计结果。</w:t>
      </w:r>
    </w:p>
    <w:p w14:paraId="2908B9C9" w14:textId="77777777" w:rsidR="00E57DAA" w:rsidRDefault="00AC4185">
      <w:pPr>
        <w:ind w:firstLineChars="200" w:firstLine="420"/>
        <w:rPr>
          <w:szCs w:val="21"/>
        </w:rPr>
      </w:pPr>
      <w:r>
        <w:rPr>
          <w:szCs w:val="21"/>
        </w:rPr>
        <w:t>2．</w:t>
      </w:r>
      <w:r>
        <w:rPr>
          <w:szCs w:val="21"/>
        </w:rPr>
        <w:tab/>
        <w:t>公允价值套期会计处理</w:t>
      </w:r>
    </w:p>
    <w:p w14:paraId="4ECC2D7C" w14:textId="77777777" w:rsidR="00E57DAA" w:rsidRDefault="00AC4185">
      <w:pPr>
        <w:ind w:firstLineChars="200" w:firstLine="420"/>
        <w:rPr>
          <w:szCs w:val="21"/>
        </w:rPr>
      </w:pPr>
      <w:r>
        <w:rPr>
          <w:rFonts w:hint="eastAsia"/>
          <w:szCs w:val="21"/>
        </w:rPr>
        <w:t>（</w:t>
      </w:r>
      <w:r>
        <w:rPr>
          <w:szCs w:val="21"/>
        </w:rPr>
        <w:t>1）套期工具产生的利得或损失计入当期损益。如果套期工具是对选择以公允价值计量且其变动计入其他综合收益的非交易性权益工具投资（或其组成部分）进行套期的，套期工具产生的利得或损失计入其他综合收益。</w:t>
      </w:r>
    </w:p>
    <w:p w14:paraId="09F9C33E" w14:textId="77777777" w:rsidR="00E57DAA" w:rsidRDefault="00AC4185">
      <w:pPr>
        <w:ind w:firstLineChars="200" w:firstLine="420"/>
        <w:rPr>
          <w:szCs w:val="21"/>
        </w:rPr>
      </w:pPr>
      <w:r>
        <w:rPr>
          <w:rFonts w:hint="eastAsia"/>
          <w:szCs w:val="21"/>
        </w:rPr>
        <w:t>（</w:t>
      </w:r>
      <w:r>
        <w:rPr>
          <w:szCs w:val="21"/>
        </w:rPr>
        <w:t>2）被套期项目因被套期风险敞口形成的利得或损失计入当期损益，同时调整未以公允价值计量的已确认被套期项目的账面价值。被套期项目为以公允价值计量且其变动计入其他综合收益的金融资产（或其组成部分）的，其因被套期风险敞口形成的利得或损失计入当期损益，其账面价值已经按公允价值计量，不需要调整；被套期项目为公司选择以公允价值计量且其变动计入其他综合收益的非交易性权益工具投资（或其组成部分）的，其因被套期风险敞口形成的利得或损失计入其他综合收益，其账面价值已经按公允价值计量，不需要调整。</w:t>
      </w:r>
    </w:p>
    <w:p w14:paraId="4DC3E928" w14:textId="77777777" w:rsidR="00E57DAA" w:rsidRDefault="00AC4185">
      <w:pPr>
        <w:ind w:firstLineChars="200" w:firstLine="420"/>
        <w:rPr>
          <w:szCs w:val="21"/>
        </w:rPr>
      </w:pPr>
      <w:r>
        <w:rPr>
          <w:rFonts w:hint="eastAsia"/>
          <w:szCs w:val="21"/>
        </w:rPr>
        <w:t>被套期项目为尚未确认的确定承诺（或其组成部分）的，其在套期关系指定后因被套期风险引起的公允价值累计变动额确认为一项资产或负债，相关的利得或损失计入各相关期间损益。当履行确定承诺而取得资产或承担负债时，调整该资产或负债的初始确认金额，以包括已确认的被套期项目的公允价值累计变动额。</w:t>
      </w:r>
    </w:p>
    <w:p w14:paraId="6FD46FE1" w14:textId="77777777" w:rsidR="00E57DAA" w:rsidRDefault="00AC4185">
      <w:pPr>
        <w:ind w:firstLineChars="200" w:firstLine="420"/>
        <w:rPr>
          <w:szCs w:val="21"/>
        </w:rPr>
      </w:pPr>
      <w:r>
        <w:rPr>
          <w:rFonts w:hint="eastAsia"/>
          <w:szCs w:val="21"/>
        </w:rPr>
        <w:t>（</w:t>
      </w:r>
      <w:r>
        <w:rPr>
          <w:szCs w:val="21"/>
        </w:rPr>
        <w:t>3）被套期项目为以摊余成本计量的金融工具（或其组成部分）的，对被套期项目账面价值所作的调整按照开始摊销日重新计算的实际利率进行摊销，并计入当期损益。该摊销可以自调整日开始，但不晚于对被套期项目终止进行套期利得和损失调整的时点。被套期项目为以公允价值计量且其变动计入其他综合收益的金融资产（或其组成部分）的，则按照相同的方式对累计已确认的套期利得或损失进行摊销，并计入当期损益，但不调整金融资产（或其组成部分）的账面价值。</w:t>
      </w:r>
    </w:p>
    <w:p w14:paraId="43D50E76" w14:textId="77777777" w:rsidR="00E57DAA" w:rsidRDefault="00AC4185">
      <w:pPr>
        <w:ind w:firstLineChars="200" w:firstLine="420"/>
        <w:rPr>
          <w:szCs w:val="21"/>
        </w:rPr>
      </w:pPr>
      <w:r>
        <w:rPr>
          <w:szCs w:val="21"/>
        </w:rPr>
        <w:t>3．</w:t>
      </w:r>
      <w:r>
        <w:rPr>
          <w:szCs w:val="21"/>
        </w:rPr>
        <w:tab/>
        <w:t>现金流量套期会计处理</w:t>
      </w:r>
    </w:p>
    <w:p w14:paraId="5F98AB4B" w14:textId="77777777" w:rsidR="00E57DAA" w:rsidRDefault="00AC4185">
      <w:pPr>
        <w:ind w:firstLineChars="200" w:firstLine="420"/>
        <w:rPr>
          <w:szCs w:val="21"/>
        </w:rPr>
      </w:pPr>
      <w:r>
        <w:rPr>
          <w:rFonts w:hint="eastAsia"/>
          <w:szCs w:val="21"/>
        </w:rPr>
        <w:t>（</w:t>
      </w:r>
      <w:r>
        <w:rPr>
          <w:szCs w:val="21"/>
        </w:rPr>
        <w:t>1）套期工具产生的利得或损失中属于套期有效的部分，作为现金流量套期储备，计入其他综合收益。现金流量套期储备的金额，按照下列两项的绝对额中较低者确定：</w:t>
      </w:r>
    </w:p>
    <w:p w14:paraId="7EF041B2" w14:textId="77777777" w:rsidR="00E57DAA" w:rsidRDefault="00AC4185">
      <w:pPr>
        <w:ind w:firstLineChars="200" w:firstLine="420"/>
        <w:rPr>
          <w:szCs w:val="21"/>
        </w:rPr>
      </w:pPr>
      <w:r>
        <w:rPr>
          <w:szCs w:val="21"/>
        </w:rPr>
        <w:t>1）套期工具自套期开始的累计利得或损失；</w:t>
      </w:r>
    </w:p>
    <w:p w14:paraId="6215479E" w14:textId="77777777" w:rsidR="00E57DAA" w:rsidRDefault="00AC4185">
      <w:pPr>
        <w:ind w:firstLineChars="200" w:firstLine="420"/>
        <w:rPr>
          <w:szCs w:val="21"/>
        </w:rPr>
      </w:pPr>
      <w:r>
        <w:rPr>
          <w:szCs w:val="21"/>
        </w:rPr>
        <w:t>2）被套期项目自套期开始的预计未来现金流量现值的累计变动额。每期计入其他综合收益的现金流量套期储备的金额为当期现金流量套期储备的变动额。</w:t>
      </w:r>
    </w:p>
    <w:p w14:paraId="65695F46" w14:textId="77777777" w:rsidR="00E57DAA" w:rsidRDefault="00AC4185">
      <w:pPr>
        <w:ind w:firstLineChars="200" w:firstLine="420"/>
        <w:rPr>
          <w:szCs w:val="21"/>
        </w:rPr>
      </w:pPr>
      <w:r>
        <w:rPr>
          <w:rFonts w:hint="eastAsia"/>
          <w:szCs w:val="21"/>
        </w:rPr>
        <w:t>（</w:t>
      </w:r>
      <w:r>
        <w:rPr>
          <w:szCs w:val="21"/>
        </w:rPr>
        <w:t>2）套期工具产生的利得或损失中属于套期无效的部分（即扣除计入其他综合收益后的其他利得或损失），计入当期损益。</w:t>
      </w:r>
    </w:p>
    <w:p w14:paraId="1678E955" w14:textId="77777777" w:rsidR="00E57DAA" w:rsidRDefault="00AC4185">
      <w:pPr>
        <w:ind w:firstLineChars="200" w:firstLine="420"/>
        <w:rPr>
          <w:szCs w:val="21"/>
        </w:rPr>
      </w:pPr>
      <w:r>
        <w:rPr>
          <w:rFonts w:hint="eastAsia"/>
          <w:szCs w:val="21"/>
        </w:rPr>
        <w:t>（</w:t>
      </w:r>
      <w:r>
        <w:rPr>
          <w:szCs w:val="21"/>
        </w:rPr>
        <w:t>3）现金流量套期储备的金额，按照下列规定处理：</w:t>
      </w:r>
    </w:p>
    <w:p w14:paraId="379C20BF" w14:textId="77777777" w:rsidR="00E57DAA" w:rsidRDefault="00AC4185">
      <w:pPr>
        <w:ind w:firstLineChars="200" w:firstLine="420"/>
        <w:rPr>
          <w:szCs w:val="21"/>
        </w:rPr>
      </w:pPr>
      <w:r>
        <w:rPr>
          <w:szCs w:val="21"/>
        </w:rPr>
        <w:t>1）被套期项目为预期交易，且该预期交易使公司随后确认一项非金融资产或非金融负债的，或者非金融资产或非金融负债的预期交易形成一项适用于公允价值套期会计的确定承诺时，则将原在其他综合收益中确认的现金流量套期储备金额转出，计入该资产或负债的初始确认金额；</w:t>
      </w:r>
    </w:p>
    <w:p w14:paraId="7BA10212" w14:textId="77777777" w:rsidR="00E57DAA" w:rsidRDefault="00AC4185">
      <w:pPr>
        <w:ind w:firstLineChars="200" w:firstLine="420"/>
        <w:rPr>
          <w:szCs w:val="21"/>
        </w:rPr>
      </w:pPr>
      <w:r>
        <w:rPr>
          <w:szCs w:val="21"/>
        </w:rPr>
        <w:lastRenderedPageBreak/>
        <w:t>2）对于不属于前一条涉及的现金流量套期，在被套期的预期现金流量影响损益的相同期间，将原在其他综合收益中确认的现金流量套期储备金额转出，计入当期损益；</w:t>
      </w:r>
    </w:p>
    <w:p w14:paraId="6AD95FB4" w14:textId="77777777" w:rsidR="00E57DAA" w:rsidRDefault="00AC4185">
      <w:pPr>
        <w:ind w:firstLineChars="200" w:firstLine="420"/>
        <w:rPr>
          <w:szCs w:val="21"/>
        </w:rPr>
      </w:pPr>
      <w:r>
        <w:rPr>
          <w:szCs w:val="21"/>
        </w:rPr>
        <w:t>3）如果在其他综合收益中确认的现金流量套期储备金额是一项损失，且该损失全部或部分预计在未来会计期间不能弥补的，则在预计不能弥补时，将预计不能弥补的部分从其他综合收益中转出，计入当期损益。</w:t>
      </w:r>
    </w:p>
    <w:p w14:paraId="30395D46" w14:textId="77777777" w:rsidR="00E57DAA" w:rsidRDefault="00AC4185">
      <w:pPr>
        <w:ind w:firstLineChars="200" w:firstLine="420"/>
        <w:rPr>
          <w:szCs w:val="21"/>
        </w:rPr>
      </w:pPr>
      <w:r>
        <w:rPr>
          <w:szCs w:val="21"/>
        </w:rPr>
        <w:t>4．</w:t>
      </w:r>
      <w:r>
        <w:rPr>
          <w:szCs w:val="21"/>
        </w:rPr>
        <w:tab/>
        <w:t>境外经营净投资套期</w:t>
      </w:r>
    </w:p>
    <w:p w14:paraId="23BC1B07" w14:textId="77777777" w:rsidR="00E57DAA" w:rsidRDefault="00AC4185">
      <w:pPr>
        <w:ind w:firstLineChars="200" w:firstLine="420"/>
        <w:rPr>
          <w:szCs w:val="21"/>
        </w:rPr>
      </w:pPr>
      <w:r>
        <w:rPr>
          <w:rFonts w:hint="eastAsia"/>
          <w:szCs w:val="21"/>
        </w:rPr>
        <w:t>对境外经营净投资的套期，包括对作为净投资的一部分进行会计处理的货币性项目的套期，本公司按照类似于现金流量套期会计的规定处理</w:t>
      </w:r>
      <w:r>
        <w:rPr>
          <w:szCs w:val="21"/>
        </w:rPr>
        <w:t>:</w:t>
      </w:r>
    </w:p>
    <w:p w14:paraId="026591CC" w14:textId="77777777" w:rsidR="00E57DAA" w:rsidRDefault="00AC4185">
      <w:pPr>
        <w:ind w:firstLineChars="200" w:firstLine="420"/>
        <w:rPr>
          <w:szCs w:val="21"/>
        </w:rPr>
      </w:pPr>
      <w:r>
        <w:rPr>
          <w:rFonts w:hint="eastAsia"/>
          <w:szCs w:val="21"/>
        </w:rPr>
        <w:t>（</w:t>
      </w:r>
      <w:r>
        <w:rPr>
          <w:szCs w:val="21"/>
        </w:rPr>
        <w:t>1）</w:t>
      </w:r>
      <w:r>
        <w:rPr>
          <w:szCs w:val="21"/>
        </w:rPr>
        <w:tab/>
        <w:t>套期工具形成的利得或损失中属于套期有效的部分，应当计入其他综合收益。</w:t>
      </w:r>
    </w:p>
    <w:p w14:paraId="0D96DFB5" w14:textId="77777777" w:rsidR="00E57DAA" w:rsidRDefault="00AC4185">
      <w:pPr>
        <w:ind w:firstLineChars="200" w:firstLine="420"/>
        <w:rPr>
          <w:szCs w:val="21"/>
        </w:rPr>
      </w:pPr>
      <w:r>
        <w:rPr>
          <w:rFonts w:hint="eastAsia"/>
          <w:szCs w:val="21"/>
        </w:rPr>
        <w:t>全部或部分处置境外经营时，上述计入其他综合收益的套期工具利得或损失应当相应转出，计入当期损益。</w:t>
      </w:r>
    </w:p>
    <w:p w14:paraId="7010D6C1" w14:textId="77777777" w:rsidR="00E57DAA" w:rsidRDefault="00AC4185">
      <w:pPr>
        <w:ind w:firstLineChars="200" w:firstLine="420"/>
        <w:rPr>
          <w:szCs w:val="21"/>
        </w:rPr>
      </w:pPr>
      <w:r>
        <w:rPr>
          <w:rFonts w:hint="eastAsia"/>
          <w:szCs w:val="21"/>
        </w:rPr>
        <w:t>（</w:t>
      </w:r>
      <w:r>
        <w:rPr>
          <w:szCs w:val="21"/>
        </w:rPr>
        <w:t>2）</w:t>
      </w:r>
      <w:r>
        <w:rPr>
          <w:szCs w:val="21"/>
        </w:rPr>
        <w:tab/>
        <w:t>套期工具形成的利得或损失中属于套期无效的部分，应当计入当期损益。</w:t>
      </w:r>
    </w:p>
    <w:p w14:paraId="510B9D34" w14:textId="77777777" w:rsidR="00E57DAA" w:rsidRDefault="00AC4185">
      <w:pPr>
        <w:ind w:firstLineChars="200" w:firstLine="420"/>
        <w:rPr>
          <w:szCs w:val="21"/>
        </w:rPr>
      </w:pPr>
      <w:r>
        <w:rPr>
          <w:szCs w:val="21"/>
        </w:rPr>
        <w:t>5．</w:t>
      </w:r>
      <w:r>
        <w:rPr>
          <w:szCs w:val="21"/>
        </w:rPr>
        <w:tab/>
        <w:t>终止运用套期会计</w:t>
      </w:r>
    </w:p>
    <w:p w14:paraId="459AADBB" w14:textId="77777777" w:rsidR="00E57DAA" w:rsidRDefault="00AC4185">
      <w:pPr>
        <w:ind w:firstLineChars="200" w:firstLine="420"/>
        <w:rPr>
          <w:szCs w:val="21"/>
        </w:rPr>
      </w:pPr>
      <w:r>
        <w:rPr>
          <w:rFonts w:hint="eastAsia"/>
          <w:szCs w:val="21"/>
        </w:rPr>
        <w:t>对于发生下列情形之一的，则终止运用套期会计：</w:t>
      </w:r>
    </w:p>
    <w:p w14:paraId="5A07B09B" w14:textId="77777777" w:rsidR="00E57DAA" w:rsidRDefault="00AC4185">
      <w:pPr>
        <w:ind w:firstLineChars="200" w:firstLine="420"/>
        <w:rPr>
          <w:szCs w:val="21"/>
        </w:rPr>
      </w:pPr>
      <w:r>
        <w:rPr>
          <w:rFonts w:hint="eastAsia"/>
          <w:szCs w:val="21"/>
        </w:rPr>
        <w:t>（</w:t>
      </w:r>
      <w:r>
        <w:rPr>
          <w:szCs w:val="21"/>
        </w:rPr>
        <w:t>1）因风险管理目标发生变化，导致套期关系不再满足风险管理目标。</w:t>
      </w:r>
    </w:p>
    <w:p w14:paraId="740F03B2" w14:textId="77777777" w:rsidR="00E57DAA" w:rsidRDefault="00AC4185">
      <w:pPr>
        <w:ind w:firstLineChars="200" w:firstLine="420"/>
        <w:rPr>
          <w:szCs w:val="21"/>
        </w:rPr>
      </w:pPr>
      <w:r>
        <w:rPr>
          <w:rFonts w:hint="eastAsia"/>
          <w:szCs w:val="21"/>
        </w:rPr>
        <w:t>（</w:t>
      </w:r>
      <w:r>
        <w:rPr>
          <w:szCs w:val="21"/>
        </w:rPr>
        <w:t>2）套期工具已到期、被出售、合同终止或已行使。</w:t>
      </w:r>
    </w:p>
    <w:p w14:paraId="7F0DB840" w14:textId="77777777" w:rsidR="00E57DAA" w:rsidRDefault="00AC4185">
      <w:pPr>
        <w:ind w:firstLineChars="200" w:firstLine="420"/>
        <w:rPr>
          <w:szCs w:val="21"/>
        </w:rPr>
      </w:pPr>
      <w:r>
        <w:rPr>
          <w:rFonts w:hint="eastAsia"/>
          <w:szCs w:val="21"/>
        </w:rPr>
        <w:t>（</w:t>
      </w:r>
      <w:r>
        <w:rPr>
          <w:szCs w:val="21"/>
        </w:rPr>
        <w:t>3）被套期项目与套期工具之间不再存在经济关系，或者被套期项目和套期工具经济关系产生的价值变动中，信用风险的影响开始占主导地位。</w:t>
      </w:r>
    </w:p>
    <w:p w14:paraId="4C62615E" w14:textId="77777777" w:rsidR="00E57DAA" w:rsidRDefault="00AC4185">
      <w:pPr>
        <w:ind w:firstLineChars="200" w:firstLine="420"/>
        <w:rPr>
          <w:szCs w:val="21"/>
        </w:rPr>
      </w:pPr>
      <w:r>
        <w:rPr>
          <w:rFonts w:hint="eastAsia"/>
          <w:szCs w:val="21"/>
        </w:rPr>
        <w:t>（</w:t>
      </w:r>
      <w:r>
        <w:rPr>
          <w:szCs w:val="21"/>
        </w:rPr>
        <w:t>4）套期关系不再满足本准则所规定的运用套期会计方法的其他条件。在适用套期关系再平衡的情况下，企业应当首先考虑套期关系再平衡，然后评估套期关系是否满足本准则所规定的运用套期会计方法的条件。</w:t>
      </w:r>
    </w:p>
    <w:p w14:paraId="753E1F33" w14:textId="77777777" w:rsidR="00E57DAA" w:rsidRDefault="00AC4185">
      <w:pPr>
        <w:ind w:firstLineChars="200" w:firstLine="420"/>
        <w:rPr>
          <w:szCs w:val="21"/>
        </w:rPr>
      </w:pPr>
      <w:r>
        <w:rPr>
          <w:rFonts w:hint="eastAsia"/>
          <w:szCs w:val="21"/>
        </w:rPr>
        <w:t>终止套期会计可能会影响套期关系的整体或其中一部分，在仅影响其中一部分时，剩余未受影响的部分仍适用套期会计。</w:t>
      </w:r>
    </w:p>
    <w:p w14:paraId="6B3FCF60" w14:textId="77777777" w:rsidR="00E57DAA" w:rsidRDefault="00AC4185">
      <w:pPr>
        <w:ind w:firstLineChars="200" w:firstLine="420"/>
        <w:rPr>
          <w:szCs w:val="21"/>
        </w:rPr>
      </w:pPr>
      <w:r>
        <w:rPr>
          <w:szCs w:val="21"/>
        </w:rPr>
        <w:t>6．</w:t>
      </w:r>
      <w:r>
        <w:rPr>
          <w:szCs w:val="21"/>
        </w:rPr>
        <w:tab/>
        <w:t>信用风险敞口的公允价值选择</w:t>
      </w:r>
    </w:p>
    <w:p w14:paraId="0A038CCA" w14:textId="77777777" w:rsidR="00E57DAA" w:rsidRDefault="00AC4185">
      <w:pPr>
        <w:ind w:firstLineChars="200" w:firstLine="420"/>
        <w:rPr>
          <w:szCs w:val="21"/>
        </w:rPr>
      </w:pPr>
      <w:r>
        <w:rPr>
          <w:rFonts w:hint="eastAsia"/>
          <w:szCs w:val="21"/>
        </w:rPr>
        <w:t>当使用以公允价值计量且其变动计入当期损益的信用衍生工具管理金融工具（或其组成部分）的信用风险敞口时，可以在该金融工具（或其组成部分）初始确认时、后续计量中或尚未确认时，将其指定为以公允价值计量且其变动计入当期损益的金融工具，并同时作出书面记录，但应同时满足下列条件：</w:t>
      </w:r>
    </w:p>
    <w:p w14:paraId="453CDF0C" w14:textId="77777777" w:rsidR="00E57DAA" w:rsidRDefault="00AC4185">
      <w:pPr>
        <w:ind w:firstLineChars="200" w:firstLine="420"/>
        <w:rPr>
          <w:szCs w:val="21"/>
        </w:rPr>
      </w:pPr>
      <w:r>
        <w:rPr>
          <w:rFonts w:hint="eastAsia"/>
          <w:szCs w:val="21"/>
        </w:rPr>
        <w:t>（</w:t>
      </w:r>
      <w:r>
        <w:rPr>
          <w:szCs w:val="21"/>
        </w:rPr>
        <w:t>1）金融工具信用风险敞口的主体（如借款人或贷款承诺持有人）与信用衍生工具涉及的主体相一致；</w:t>
      </w:r>
    </w:p>
    <w:p w14:paraId="4B45BC01" w14:textId="77777777" w:rsidR="00E57DAA" w:rsidRDefault="00AC4185">
      <w:pPr>
        <w:ind w:firstLineChars="200" w:firstLine="420"/>
        <w:rPr>
          <w:szCs w:val="21"/>
        </w:rPr>
      </w:pPr>
      <w:r>
        <w:rPr>
          <w:rFonts w:hint="eastAsia"/>
          <w:szCs w:val="21"/>
        </w:rPr>
        <w:t>（</w:t>
      </w:r>
      <w:r>
        <w:rPr>
          <w:szCs w:val="21"/>
        </w:rPr>
        <w:t>2）金融工具的偿付级次与根据信用衍生工具条款须交付的工具的偿付级次相一致。</w:t>
      </w:r>
    </w:p>
    <w:p w14:paraId="4D4A5ABD" w14:textId="77777777" w:rsidR="00E57DAA" w:rsidRDefault="00AC4185" w:rsidP="00C25422">
      <w:pPr>
        <w:pStyle w:val="91"/>
        <w:numPr>
          <w:ilvl w:val="0"/>
          <w:numId w:val="61"/>
        </w:numPr>
      </w:pPr>
      <w:r>
        <w:rPr>
          <w:rFonts w:hint="eastAsia"/>
        </w:rPr>
        <w:t>安全生产费</w:t>
      </w:r>
    </w:p>
    <w:p w14:paraId="3887DF79" w14:textId="77777777" w:rsidR="00E57DAA" w:rsidRDefault="00AC4185">
      <w:pPr>
        <w:ind w:firstLineChars="200" w:firstLine="420"/>
        <w:rPr>
          <w:szCs w:val="21"/>
        </w:rPr>
      </w:pPr>
      <w:r>
        <w:rPr>
          <w:rFonts w:hint="eastAsia"/>
          <w:szCs w:val="21"/>
        </w:rPr>
        <w:t>本公司按照国家规定提取的安全生产费，计入相关产品的成本或当期损益，同时记入“专项储备”科目。使用提取的安全生产费时，属于费用性支出的，直接冲减专项储备。形成固定资产的，通过“在建工程”科目归集所发生的支出，待安全项目完工达到预定可使用状态时确认为固定资产；同时，按照形成固定资产的成本冲减专项储备，并确认相同金额的累计折旧。该固定资产在以后期间不再计提折旧。</w:t>
      </w:r>
    </w:p>
    <w:p w14:paraId="4F95047D" w14:textId="77777777" w:rsidR="00E57DAA" w:rsidRDefault="00AC4185" w:rsidP="00C25422">
      <w:pPr>
        <w:pStyle w:val="91"/>
        <w:numPr>
          <w:ilvl w:val="0"/>
          <w:numId w:val="61"/>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709645459"/>
        <w:placeholder>
          <w:docPart w:val="GBC22222222222222222222222222222"/>
        </w:placeholder>
      </w:sdtPr>
      <w:sdtEndPr/>
      <w:sdtContent>
        <w:p w14:paraId="22DA1FF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508A6BD" w14:textId="77777777" w:rsidR="00E57DAA" w:rsidRDefault="00E57DAA">
      <w:pPr>
        <w:rPr>
          <w:szCs w:val="21"/>
        </w:rPr>
      </w:pPr>
    </w:p>
    <w:p w14:paraId="57F164FE" w14:textId="77777777" w:rsidR="00E57DAA" w:rsidRDefault="00AC4185" w:rsidP="00C25422">
      <w:pPr>
        <w:pStyle w:val="91"/>
        <w:numPr>
          <w:ilvl w:val="0"/>
          <w:numId w:val="61"/>
        </w:numPr>
      </w:pPr>
      <w:r>
        <w:rPr>
          <w:rFonts w:hint="eastAsia"/>
        </w:rPr>
        <w:t>重要</w:t>
      </w:r>
      <w:r>
        <w:t>会计政策</w:t>
      </w:r>
      <w:r>
        <w:rPr>
          <w:rFonts w:hint="eastAsia"/>
        </w:rPr>
        <w:t>和</w:t>
      </w:r>
      <w:r>
        <w:t>会计估计的变更</w:t>
      </w:r>
    </w:p>
    <w:p w14:paraId="62BC5749" w14:textId="77777777" w:rsidR="00E57DAA" w:rsidRDefault="00AC4185">
      <w:pPr>
        <w:pStyle w:val="4"/>
        <w:numPr>
          <w:ilvl w:val="3"/>
          <w:numId w:val="67"/>
        </w:numPr>
        <w:ind w:left="426" w:hanging="426"/>
      </w:pPr>
      <w:r>
        <w:rPr>
          <w:rFonts w:hint="eastAsia"/>
        </w:rPr>
        <w:t>重要</w:t>
      </w:r>
      <w:r>
        <w:t>会计政策变更</w:t>
      </w:r>
    </w:p>
    <w:sdt>
      <w:sdtPr>
        <w:alias w:val="是否适用：重要会计政策变更[双击切换]"/>
        <w:tag w:val="_GBC_f1ebc580f60c4d30a80747190ffbec4f"/>
        <w:id w:val="-2139402667"/>
        <w:lock w:val="contentLocked"/>
        <w:placeholder>
          <w:docPart w:val="GBC22222222222222222222222222222"/>
        </w:placeholder>
      </w:sdtPr>
      <w:sdtEndPr/>
      <w:sdtContent>
        <w:p w14:paraId="6E6D84C0"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8AB5E7" w14:textId="77777777" w:rsidR="00E57DAA" w:rsidRDefault="00AC4185">
      <w:pPr>
        <w:jc w:val="right"/>
        <w:rPr>
          <w:szCs w:val="21"/>
        </w:rPr>
      </w:pPr>
      <w:r>
        <w:rPr>
          <w:rFonts w:hint="eastAsia"/>
          <w:szCs w:val="21"/>
        </w:rPr>
        <w:t>单位：</w:t>
      </w:r>
      <w:sdt>
        <w:sdtPr>
          <w:rPr>
            <w:rFonts w:hint="eastAsia"/>
            <w:szCs w:val="21"/>
          </w:rPr>
          <w:alias w:val="单位：重要会计政策变更"/>
          <w:tag w:val="_GBC_dc95ba794b3e434f84be566c0074241d"/>
          <w:id w:val="1638836715"/>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重要会计政策变更"/>
          <w:tag w:val="_GBC_44ee0a93f6534d82b4818cfa882020f2"/>
          <w:id w:val="-181204410"/>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6"/>
        <w:gridCol w:w="1558"/>
        <w:gridCol w:w="1599"/>
      </w:tblGrid>
      <w:tr w:rsidR="00E57DAA" w14:paraId="208C9712" w14:textId="77777777">
        <w:tc>
          <w:tcPr>
            <w:tcW w:w="3210" w:type="pct"/>
            <w:vAlign w:val="center"/>
          </w:tcPr>
          <w:p w14:paraId="36715E5F" w14:textId="77777777" w:rsidR="00E57DAA" w:rsidRDefault="00EB41A1">
            <w:pPr>
              <w:jc w:val="center"/>
              <w:rPr>
                <w:szCs w:val="21"/>
              </w:rPr>
            </w:pPr>
            <w:sdt>
              <w:sdtPr>
                <w:rPr>
                  <w:rFonts w:hint="eastAsia"/>
                  <w:szCs w:val="21"/>
                </w:rPr>
                <w:tag w:val="_PLD_e1dec237a8bd4e95920b80a564ae1cb9"/>
                <w:id w:val="1614400601"/>
              </w:sdtPr>
              <w:sdtEndPr>
                <w:rPr>
                  <w:rFonts w:hint="default"/>
                  <w:szCs w:val="24"/>
                </w:rPr>
              </w:sdtEndPr>
              <w:sdtContent>
                <w:r w:rsidR="00AC4185">
                  <w:rPr>
                    <w:rFonts w:hint="eastAsia"/>
                    <w:szCs w:val="21"/>
                  </w:rPr>
                  <w:t>会计政策变更的内容和原因</w:t>
                </w:r>
              </w:sdtContent>
            </w:sdt>
          </w:p>
        </w:tc>
        <w:tc>
          <w:tcPr>
            <w:tcW w:w="883" w:type="pct"/>
          </w:tcPr>
          <w:sdt>
            <w:sdtPr>
              <w:rPr>
                <w:rFonts w:hint="eastAsia"/>
              </w:rPr>
              <w:tag w:val="_PLD_65f50e2312c947e8acdb47411e2295bd"/>
              <w:id w:val="-363756420"/>
            </w:sdtPr>
            <w:sdtEndPr/>
            <w:sdtContent>
              <w:p w14:paraId="363E3B4D" w14:textId="77777777" w:rsidR="00E57DAA" w:rsidRDefault="00AC4185">
                <w:pPr>
                  <w:jc w:val="center"/>
                </w:pPr>
                <w:r>
                  <w:rPr>
                    <w:rFonts w:hint="eastAsia"/>
                  </w:rPr>
                  <w:t>受重要影响的报表项目名称</w:t>
                </w:r>
              </w:p>
            </w:sdtContent>
          </w:sdt>
        </w:tc>
        <w:sdt>
          <w:sdtPr>
            <w:tag w:val="_PLD_f4b6323c0cf54fc0b4bff40f66002d51"/>
            <w:id w:val="-607966916"/>
          </w:sdtPr>
          <w:sdtEndPr/>
          <w:sdtContent>
            <w:tc>
              <w:tcPr>
                <w:tcW w:w="906" w:type="pct"/>
                <w:tcBorders>
                  <w:bottom w:val="single" w:sz="4" w:space="0" w:color="auto"/>
                </w:tcBorders>
                <w:vAlign w:val="center"/>
              </w:tcPr>
              <w:p w14:paraId="0C75DC2E" w14:textId="77777777" w:rsidR="00E57DAA" w:rsidRDefault="00AC4185">
                <w:pPr>
                  <w:jc w:val="center"/>
                  <w:rPr>
                    <w:szCs w:val="21"/>
                  </w:rPr>
                </w:pPr>
                <w:r>
                  <w:rPr>
                    <w:szCs w:val="21"/>
                  </w:rPr>
                  <w:t>影响金额</w:t>
                </w:r>
              </w:p>
            </w:tc>
          </w:sdtContent>
        </w:sdt>
      </w:tr>
      <w:tr w:rsidR="00E57DAA" w14:paraId="608F8ADF" w14:textId="77777777">
        <w:tc>
          <w:tcPr>
            <w:tcW w:w="3210" w:type="pct"/>
          </w:tcPr>
          <w:p w14:paraId="4C8C5685" w14:textId="77777777" w:rsidR="00E57DAA" w:rsidRDefault="00AC4185">
            <w:pPr>
              <w:jc w:val="both"/>
              <w:rPr>
                <w:szCs w:val="21"/>
              </w:rPr>
            </w:pPr>
            <w:r>
              <w:rPr>
                <w:rFonts w:hint="eastAsia"/>
                <w:szCs w:val="21"/>
              </w:rPr>
              <w:t>本公司自</w:t>
            </w:r>
            <w:r>
              <w:rPr>
                <w:szCs w:val="21"/>
              </w:rPr>
              <w:t>2023年1月1日起执行财政部2022年发布的《企业会计准则解释第16号》“关于单项交易产生的资产和负债相关的递延所得税不适用初始确认豁免的会计处理”。</w:t>
            </w:r>
          </w:p>
        </w:tc>
        <w:tc>
          <w:tcPr>
            <w:tcW w:w="883" w:type="pct"/>
          </w:tcPr>
          <w:p w14:paraId="3EE00302" w14:textId="77777777" w:rsidR="00E57DAA" w:rsidRDefault="00AC4185">
            <w:pPr>
              <w:rPr>
                <w:szCs w:val="21"/>
              </w:rPr>
            </w:pPr>
            <w:r>
              <w:rPr>
                <w:rFonts w:hint="eastAsia"/>
                <w:szCs w:val="21"/>
              </w:rPr>
              <w:t>详见注1</w:t>
            </w:r>
          </w:p>
        </w:tc>
        <w:tc>
          <w:tcPr>
            <w:tcW w:w="906" w:type="pct"/>
          </w:tcPr>
          <w:p w14:paraId="32E043A3" w14:textId="77777777" w:rsidR="00E57DAA" w:rsidRDefault="00E57DAA">
            <w:pPr>
              <w:rPr>
                <w:szCs w:val="21"/>
              </w:rPr>
            </w:pPr>
          </w:p>
        </w:tc>
      </w:tr>
    </w:tbl>
    <w:p w14:paraId="7DCF71DD" w14:textId="77777777" w:rsidR="00E57DAA" w:rsidRDefault="00E57DAA"/>
    <w:p w14:paraId="1A5017DC" w14:textId="77777777" w:rsidR="00E57DAA" w:rsidRDefault="00AC4185">
      <w:pPr>
        <w:rPr>
          <w:szCs w:val="21"/>
        </w:rPr>
      </w:pPr>
      <w:r>
        <w:rPr>
          <w:rFonts w:hint="eastAsia"/>
          <w:szCs w:val="21"/>
        </w:rPr>
        <w:t>其他说明</w:t>
      </w:r>
    </w:p>
    <w:sdt>
      <w:sdtPr>
        <w:rPr>
          <w:szCs w:val="21"/>
        </w:rPr>
        <w:alias w:val="会计政策的变更的其他说明"/>
        <w:tag w:val="_GBC_93e2fc5a38cb45958eae783eee8d98c3"/>
        <w:id w:val="650872989"/>
      </w:sdtPr>
      <w:sdtEndPr/>
      <w:sdtContent>
        <w:p w14:paraId="0DB00E0B" w14:textId="77777777" w:rsidR="00E57DAA" w:rsidRDefault="00AC4185">
          <w:pPr>
            <w:rPr>
              <w:szCs w:val="21"/>
            </w:rPr>
          </w:pPr>
          <w:r>
            <w:rPr>
              <w:rFonts w:hint="eastAsia"/>
              <w:szCs w:val="21"/>
            </w:rPr>
            <w:t>注1：</w:t>
          </w:r>
          <w:r>
            <w:rPr>
              <w:szCs w:val="21"/>
            </w:rPr>
            <w:t>执行企业会计准则解释第16号对本公司的影响</w:t>
          </w:r>
        </w:p>
        <w:p w14:paraId="36177B89" w14:textId="77777777" w:rsidR="00E57DAA" w:rsidRDefault="00AC4185">
          <w:pPr>
            <w:ind w:firstLineChars="200" w:firstLine="420"/>
            <w:jc w:val="both"/>
            <w:rPr>
              <w:szCs w:val="21"/>
            </w:rPr>
          </w:pPr>
          <w:r>
            <w:rPr>
              <w:szCs w:val="21"/>
            </w:rPr>
            <w:t>2022年12月13日，财政部发布了《企业会计准则解释第16号》（财会〔2022〕31号，以下简称“解释16号”），解释16号“关于单项交易产生的资产和负债相关的递延所得税不适用初始确认豁免的会计处理”自2023年1月1日起施行，允许企业自发布年度提前执行。本公司于本年度施行该事项相关的会计处理。</w:t>
          </w:r>
        </w:p>
        <w:p w14:paraId="3DEB11CF" w14:textId="77777777" w:rsidR="00E57DAA" w:rsidRDefault="00AC4185">
          <w:pPr>
            <w:ind w:firstLineChars="200" w:firstLine="420"/>
            <w:jc w:val="both"/>
            <w:rPr>
              <w:szCs w:val="21"/>
            </w:rPr>
          </w:pPr>
          <w:r>
            <w:rPr>
              <w:rFonts w:hint="eastAsia"/>
              <w:szCs w:val="21"/>
            </w:rPr>
            <w:t>对于在首次施行解释</w:t>
          </w:r>
          <w:r>
            <w:rPr>
              <w:szCs w:val="21"/>
            </w:rPr>
            <w:t>16号的财务报表列报最早期间的期初（即2022年1月1日）因适用解释16号单项交易而确认的租赁负债和使用权资产，以及确认的弃置义务相关预计负债和对应的相关资产，产生可抵扣暂时性差异和应纳税暂时性差异的，本公司按照解释16号和《企业会计准则第18号——所得税》的规定，将累积影响数调整财务报表列报最早期间的期初（即2022年1月1日）留存收益及其他相关财务报表项目。</w:t>
          </w:r>
        </w:p>
        <w:p w14:paraId="7E170045" w14:textId="77777777" w:rsidR="00E57DAA" w:rsidRDefault="00AC4185">
          <w:pPr>
            <w:ind w:firstLineChars="200" w:firstLine="420"/>
            <w:rPr>
              <w:szCs w:val="21"/>
            </w:rPr>
          </w:pPr>
          <w:r>
            <w:rPr>
              <w:rFonts w:hint="eastAsia"/>
              <w:szCs w:val="21"/>
            </w:rPr>
            <w:t>根据解释</w:t>
          </w:r>
          <w:r>
            <w:rPr>
              <w:szCs w:val="21"/>
            </w:rPr>
            <w:t>16号的相关规定，本公司对财务报表相关项目累积影响调整如下：</w:t>
          </w:r>
        </w:p>
        <w:p w14:paraId="5372619C" w14:textId="77777777" w:rsidR="00E57DAA" w:rsidRDefault="00AC4185">
          <w:pPr>
            <w:ind w:firstLineChars="200" w:firstLine="420"/>
            <w:jc w:val="right"/>
            <w:rPr>
              <w:szCs w:val="21"/>
            </w:rPr>
          </w:pPr>
          <w:r>
            <w:rPr>
              <w:rFonts w:hint="eastAsia"/>
              <w:szCs w:val="21"/>
            </w:rPr>
            <w:t>单位：元</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2410"/>
            <w:gridCol w:w="2268"/>
            <w:gridCol w:w="1843"/>
            <w:gridCol w:w="2312"/>
          </w:tblGrid>
          <w:tr w:rsidR="00E57DAA" w14:paraId="1C47989C" w14:textId="77777777">
            <w:trPr>
              <w:trHeight w:val="359"/>
              <w:tblHeader/>
            </w:trPr>
            <w:tc>
              <w:tcPr>
                <w:tcW w:w="2410" w:type="dxa"/>
                <w:tcBorders>
                  <w:top w:val="single" w:sz="12" w:space="0" w:color="auto"/>
                  <w:left w:val="nil"/>
                  <w:bottom w:val="dotted" w:sz="4" w:space="0" w:color="auto"/>
                  <w:right w:val="dotted" w:sz="4" w:space="0" w:color="auto"/>
                </w:tcBorders>
                <w:shd w:val="clear" w:color="auto" w:fill="auto"/>
                <w:vAlign w:val="center"/>
              </w:tcPr>
              <w:p w14:paraId="661771F7" w14:textId="77777777" w:rsidR="00E57DAA" w:rsidRDefault="00AC4185">
                <w:pPr>
                  <w:ind w:firstLineChars="200" w:firstLine="420"/>
                  <w:jc w:val="center"/>
                  <w:rPr>
                    <w:szCs w:val="21"/>
                  </w:rPr>
                </w:pPr>
                <w:r>
                  <w:rPr>
                    <w:rFonts w:hint="eastAsia"/>
                    <w:szCs w:val="21"/>
                  </w:rPr>
                  <w:t>项目</w:t>
                </w:r>
              </w:p>
            </w:tc>
            <w:tc>
              <w:tcPr>
                <w:tcW w:w="2268" w:type="dxa"/>
                <w:tcBorders>
                  <w:top w:val="single" w:sz="12" w:space="0" w:color="auto"/>
                  <w:left w:val="dotted" w:sz="4" w:space="0" w:color="auto"/>
                  <w:bottom w:val="dotted" w:sz="4" w:space="0" w:color="auto"/>
                  <w:right w:val="dotted" w:sz="4" w:space="0" w:color="auto"/>
                </w:tcBorders>
                <w:shd w:val="clear" w:color="auto" w:fill="auto"/>
                <w:vAlign w:val="center"/>
              </w:tcPr>
              <w:p w14:paraId="2C7BF7D5" w14:textId="77777777" w:rsidR="00E57DAA" w:rsidRDefault="00AC4185">
                <w:pPr>
                  <w:ind w:firstLineChars="200" w:firstLine="420"/>
                  <w:jc w:val="center"/>
                  <w:rPr>
                    <w:szCs w:val="21"/>
                  </w:rPr>
                </w:pPr>
                <w:r>
                  <w:rPr>
                    <w:rFonts w:hint="eastAsia"/>
                    <w:szCs w:val="21"/>
                  </w:rPr>
                  <w:t>2022年1月1日</w:t>
                </w:r>
              </w:p>
              <w:p w14:paraId="2ADF7DD2" w14:textId="77777777" w:rsidR="00E57DAA" w:rsidRDefault="00AC4185">
                <w:pPr>
                  <w:ind w:firstLineChars="200" w:firstLine="420"/>
                  <w:jc w:val="center"/>
                  <w:rPr>
                    <w:szCs w:val="21"/>
                  </w:rPr>
                </w:pPr>
                <w:r>
                  <w:rPr>
                    <w:rFonts w:hint="eastAsia"/>
                    <w:szCs w:val="21"/>
                  </w:rPr>
                  <w:t>原列报金额</w:t>
                </w:r>
              </w:p>
            </w:tc>
            <w:tc>
              <w:tcPr>
                <w:tcW w:w="1843" w:type="dxa"/>
                <w:tcBorders>
                  <w:top w:val="single" w:sz="12" w:space="0" w:color="auto"/>
                  <w:left w:val="dotted" w:sz="4" w:space="0" w:color="auto"/>
                  <w:bottom w:val="dotted" w:sz="4" w:space="0" w:color="auto"/>
                  <w:right w:val="dotted" w:sz="4" w:space="0" w:color="auto"/>
                </w:tcBorders>
                <w:shd w:val="clear" w:color="auto" w:fill="auto"/>
                <w:vAlign w:val="center"/>
              </w:tcPr>
              <w:p w14:paraId="5AEABA27" w14:textId="77777777" w:rsidR="00E57DAA" w:rsidRDefault="00AC4185">
                <w:pPr>
                  <w:ind w:firstLineChars="200" w:firstLine="420"/>
                  <w:jc w:val="center"/>
                  <w:rPr>
                    <w:szCs w:val="21"/>
                  </w:rPr>
                </w:pPr>
                <w:r>
                  <w:rPr>
                    <w:rFonts w:hint="eastAsia"/>
                    <w:szCs w:val="21"/>
                  </w:rPr>
                  <w:t>累积影响金额</w:t>
                </w:r>
              </w:p>
            </w:tc>
            <w:tc>
              <w:tcPr>
                <w:tcW w:w="2312" w:type="dxa"/>
                <w:tcBorders>
                  <w:top w:val="single" w:sz="12" w:space="0" w:color="auto"/>
                  <w:left w:val="dotted" w:sz="4" w:space="0" w:color="auto"/>
                  <w:bottom w:val="dotted" w:sz="4" w:space="0" w:color="auto"/>
                  <w:right w:val="nil"/>
                </w:tcBorders>
                <w:shd w:val="clear" w:color="auto" w:fill="auto"/>
                <w:vAlign w:val="center"/>
              </w:tcPr>
              <w:p w14:paraId="79F45457" w14:textId="77777777" w:rsidR="00E57DAA" w:rsidRDefault="00AC4185">
                <w:pPr>
                  <w:ind w:firstLineChars="200" w:firstLine="420"/>
                  <w:jc w:val="center"/>
                  <w:rPr>
                    <w:szCs w:val="21"/>
                  </w:rPr>
                </w:pPr>
                <w:r>
                  <w:rPr>
                    <w:rFonts w:hint="eastAsia"/>
                    <w:szCs w:val="21"/>
                  </w:rPr>
                  <w:t>2022年1月1日</w:t>
                </w:r>
              </w:p>
              <w:p w14:paraId="2D547635" w14:textId="77777777" w:rsidR="00E57DAA" w:rsidRDefault="00AC4185">
                <w:pPr>
                  <w:ind w:firstLineChars="200" w:firstLine="420"/>
                  <w:jc w:val="center"/>
                  <w:rPr>
                    <w:szCs w:val="21"/>
                  </w:rPr>
                </w:pPr>
                <w:r>
                  <w:rPr>
                    <w:rFonts w:hint="eastAsia"/>
                    <w:szCs w:val="21"/>
                  </w:rPr>
                  <w:t>调整后列报金额</w:t>
                </w:r>
              </w:p>
            </w:tc>
          </w:tr>
          <w:tr w:rsidR="00E57DAA" w14:paraId="7DC2191A"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01B66BD9" w14:textId="77777777" w:rsidR="00E57DAA" w:rsidRDefault="00AC4185">
                <w:pPr>
                  <w:rPr>
                    <w:szCs w:val="21"/>
                  </w:rPr>
                </w:pPr>
                <w:r>
                  <w:rPr>
                    <w:rFonts w:hint="eastAsia"/>
                    <w:szCs w:val="21"/>
                  </w:rPr>
                  <w:t>递延所得税资产</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4E5408C5" w14:textId="77777777" w:rsidR="00E57DAA" w:rsidRDefault="00AC4185">
                <w:pPr>
                  <w:ind w:firstLineChars="200" w:firstLine="420"/>
                  <w:jc w:val="right"/>
                  <w:rPr>
                    <w:szCs w:val="21"/>
                  </w:rPr>
                </w:pPr>
                <w:r>
                  <w:rPr>
                    <w:szCs w:val="21"/>
                  </w:rPr>
                  <w:t>541,339,716.71</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08E15C77" w14:textId="77777777" w:rsidR="00E57DAA" w:rsidRDefault="00AC4185">
                <w:pPr>
                  <w:ind w:firstLineChars="200" w:firstLine="420"/>
                  <w:jc w:val="right"/>
                  <w:rPr>
                    <w:szCs w:val="21"/>
                  </w:rPr>
                </w:pPr>
                <w:r>
                  <w:rPr>
                    <w:szCs w:val="21"/>
                  </w:rPr>
                  <w:t>7,670,039.76</w:t>
                </w:r>
              </w:p>
            </w:tc>
            <w:tc>
              <w:tcPr>
                <w:tcW w:w="2312" w:type="dxa"/>
                <w:tcBorders>
                  <w:top w:val="dotted" w:sz="4" w:space="0" w:color="auto"/>
                  <w:left w:val="dotted" w:sz="4" w:space="0" w:color="auto"/>
                  <w:bottom w:val="dotted" w:sz="4" w:space="0" w:color="auto"/>
                  <w:right w:val="nil"/>
                </w:tcBorders>
                <w:shd w:val="clear" w:color="auto" w:fill="auto"/>
                <w:vAlign w:val="center"/>
              </w:tcPr>
              <w:p w14:paraId="48A5051E" w14:textId="77777777" w:rsidR="00E57DAA" w:rsidRDefault="00AC4185">
                <w:pPr>
                  <w:ind w:firstLineChars="200" w:firstLine="420"/>
                  <w:jc w:val="right"/>
                  <w:rPr>
                    <w:szCs w:val="21"/>
                  </w:rPr>
                </w:pPr>
                <w:r>
                  <w:rPr>
                    <w:szCs w:val="21"/>
                  </w:rPr>
                  <w:t>549,009,756.47</w:t>
                </w:r>
              </w:p>
            </w:tc>
          </w:tr>
          <w:tr w:rsidR="00E57DAA" w14:paraId="738B5FBF"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1A49E60C" w14:textId="77777777" w:rsidR="00E57DAA" w:rsidRDefault="00AC4185">
                <w:pPr>
                  <w:rPr>
                    <w:szCs w:val="21"/>
                  </w:rPr>
                </w:pPr>
                <w:r>
                  <w:rPr>
                    <w:rFonts w:hint="eastAsia"/>
                    <w:szCs w:val="21"/>
                  </w:rPr>
                  <w:t>资产总计</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200B078B" w14:textId="77777777" w:rsidR="00E57DAA" w:rsidRDefault="00AC4185">
                <w:pPr>
                  <w:ind w:firstLineChars="200" w:firstLine="420"/>
                  <w:jc w:val="right"/>
                  <w:rPr>
                    <w:szCs w:val="21"/>
                  </w:rPr>
                </w:pPr>
                <w:r>
                  <w:rPr>
                    <w:szCs w:val="21"/>
                  </w:rPr>
                  <w:t>47,698,719,100.77</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622D2747" w14:textId="77777777" w:rsidR="00E57DAA" w:rsidRDefault="00AC4185">
                <w:pPr>
                  <w:ind w:firstLineChars="200" w:firstLine="420"/>
                  <w:jc w:val="right"/>
                  <w:rPr>
                    <w:szCs w:val="21"/>
                  </w:rPr>
                </w:pPr>
                <w:r>
                  <w:rPr>
                    <w:szCs w:val="21"/>
                  </w:rPr>
                  <w:t>7,670,039.76</w:t>
                </w:r>
              </w:p>
            </w:tc>
            <w:tc>
              <w:tcPr>
                <w:tcW w:w="2312" w:type="dxa"/>
                <w:tcBorders>
                  <w:top w:val="dotted" w:sz="4" w:space="0" w:color="auto"/>
                  <w:left w:val="dotted" w:sz="4" w:space="0" w:color="auto"/>
                  <w:bottom w:val="dotted" w:sz="4" w:space="0" w:color="auto"/>
                  <w:right w:val="nil"/>
                </w:tcBorders>
                <w:shd w:val="clear" w:color="auto" w:fill="auto"/>
                <w:vAlign w:val="center"/>
              </w:tcPr>
              <w:p w14:paraId="7948A914" w14:textId="77777777" w:rsidR="00E57DAA" w:rsidRDefault="00AC4185">
                <w:pPr>
                  <w:ind w:firstLineChars="200" w:firstLine="420"/>
                  <w:jc w:val="right"/>
                  <w:rPr>
                    <w:szCs w:val="21"/>
                  </w:rPr>
                </w:pPr>
                <w:r>
                  <w:rPr>
                    <w:szCs w:val="21"/>
                  </w:rPr>
                  <w:t>47,706,389,140.53</w:t>
                </w:r>
              </w:p>
            </w:tc>
          </w:tr>
          <w:tr w:rsidR="00E57DAA" w14:paraId="26E1F132"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44E5096A" w14:textId="77777777" w:rsidR="00E57DAA" w:rsidRDefault="00AC4185">
                <w:pPr>
                  <w:rPr>
                    <w:szCs w:val="21"/>
                  </w:rPr>
                </w:pPr>
                <w:r>
                  <w:rPr>
                    <w:rFonts w:hint="eastAsia"/>
                    <w:szCs w:val="21"/>
                  </w:rPr>
                  <w:t>递延所得税负债</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21A6F80F" w14:textId="77777777" w:rsidR="00E57DAA" w:rsidRDefault="00AC4185">
                <w:pPr>
                  <w:ind w:firstLineChars="200" w:firstLine="420"/>
                  <w:jc w:val="right"/>
                  <w:rPr>
                    <w:szCs w:val="21"/>
                  </w:rPr>
                </w:pPr>
                <w:r>
                  <w:rPr>
                    <w:szCs w:val="21"/>
                  </w:rPr>
                  <w:t>73,775,128.33</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1D87150B" w14:textId="77777777" w:rsidR="00E57DAA" w:rsidRDefault="00AC4185">
                <w:pPr>
                  <w:ind w:firstLineChars="200" w:firstLine="420"/>
                  <w:jc w:val="right"/>
                  <w:rPr>
                    <w:szCs w:val="21"/>
                  </w:rPr>
                </w:pPr>
                <w:r>
                  <w:rPr>
                    <w:szCs w:val="21"/>
                  </w:rPr>
                  <w:t>7,464,881.05</w:t>
                </w:r>
              </w:p>
            </w:tc>
            <w:tc>
              <w:tcPr>
                <w:tcW w:w="2312" w:type="dxa"/>
                <w:tcBorders>
                  <w:top w:val="dotted" w:sz="4" w:space="0" w:color="auto"/>
                  <w:left w:val="dotted" w:sz="4" w:space="0" w:color="auto"/>
                  <w:bottom w:val="dotted" w:sz="4" w:space="0" w:color="auto"/>
                  <w:right w:val="nil"/>
                </w:tcBorders>
                <w:shd w:val="clear" w:color="auto" w:fill="auto"/>
                <w:vAlign w:val="center"/>
              </w:tcPr>
              <w:p w14:paraId="623F064F" w14:textId="77777777" w:rsidR="00E57DAA" w:rsidRDefault="00AC4185">
                <w:pPr>
                  <w:ind w:firstLineChars="200" w:firstLine="420"/>
                  <w:jc w:val="right"/>
                  <w:rPr>
                    <w:szCs w:val="21"/>
                  </w:rPr>
                </w:pPr>
                <w:r>
                  <w:rPr>
                    <w:szCs w:val="21"/>
                  </w:rPr>
                  <w:t>81,240,009.38</w:t>
                </w:r>
              </w:p>
            </w:tc>
          </w:tr>
          <w:tr w:rsidR="00E57DAA" w14:paraId="73276677"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44EEE59A" w14:textId="77777777" w:rsidR="00E57DAA" w:rsidRDefault="00AC4185">
                <w:pPr>
                  <w:rPr>
                    <w:szCs w:val="21"/>
                  </w:rPr>
                </w:pPr>
                <w:r>
                  <w:rPr>
                    <w:rFonts w:hint="eastAsia"/>
                    <w:szCs w:val="21"/>
                  </w:rPr>
                  <w:t>负债总计</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1BEB2801" w14:textId="77777777" w:rsidR="00E57DAA" w:rsidRDefault="00AC4185">
                <w:pPr>
                  <w:ind w:firstLineChars="200" w:firstLine="420"/>
                  <w:jc w:val="right"/>
                  <w:rPr>
                    <w:szCs w:val="21"/>
                  </w:rPr>
                </w:pPr>
                <w:r>
                  <w:rPr>
                    <w:szCs w:val="21"/>
                  </w:rPr>
                  <w:t>30,400,984,981.08</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276A66C9" w14:textId="77777777" w:rsidR="00E57DAA" w:rsidRDefault="00AC4185">
                <w:pPr>
                  <w:ind w:firstLineChars="200" w:firstLine="420"/>
                  <w:jc w:val="right"/>
                  <w:rPr>
                    <w:szCs w:val="21"/>
                  </w:rPr>
                </w:pPr>
                <w:r>
                  <w:rPr>
                    <w:szCs w:val="21"/>
                  </w:rPr>
                  <w:t>7,464,881.05</w:t>
                </w:r>
              </w:p>
            </w:tc>
            <w:tc>
              <w:tcPr>
                <w:tcW w:w="2312" w:type="dxa"/>
                <w:tcBorders>
                  <w:top w:val="dotted" w:sz="4" w:space="0" w:color="auto"/>
                  <w:left w:val="dotted" w:sz="4" w:space="0" w:color="auto"/>
                  <w:bottom w:val="dotted" w:sz="4" w:space="0" w:color="auto"/>
                  <w:right w:val="nil"/>
                </w:tcBorders>
                <w:shd w:val="clear" w:color="auto" w:fill="auto"/>
                <w:vAlign w:val="center"/>
              </w:tcPr>
              <w:p w14:paraId="37F5FE3E" w14:textId="77777777" w:rsidR="00E57DAA" w:rsidRDefault="00AC4185">
                <w:pPr>
                  <w:ind w:firstLineChars="200" w:firstLine="420"/>
                  <w:jc w:val="right"/>
                  <w:rPr>
                    <w:szCs w:val="21"/>
                  </w:rPr>
                </w:pPr>
                <w:r>
                  <w:rPr>
                    <w:szCs w:val="21"/>
                  </w:rPr>
                  <w:t>30,408,449,862.13</w:t>
                </w:r>
              </w:p>
            </w:tc>
          </w:tr>
          <w:tr w:rsidR="00E57DAA" w14:paraId="24FEC260"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4992CA2F" w14:textId="77777777" w:rsidR="00E57DAA" w:rsidRDefault="00AC4185">
                <w:pPr>
                  <w:rPr>
                    <w:szCs w:val="21"/>
                  </w:rPr>
                </w:pPr>
                <w:r>
                  <w:rPr>
                    <w:rFonts w:hint="eastAsia"/>
                    <w:szCs w:val="21"/>
                  </w:rPr>
                  <w:t>盈余公积</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1F6336BB" w14:textId="77777777" w:rsidR="00E57DAA" w:rsidRDefault="00AC4185">
                <w:pPr>
                  <w:ind w:firstLineChars="200" w:firstLine="420"/>
                  <w:jc w:val="right"/>
                  <w:rPr>
                    <w:szCs w:val="21"/>
                  </w:rPr>
                </w:pPr>
                <w:r>
                  <w:rPr>
                    <w:szCs w:val="21"/>
                  </w:rPr>
                  <w:t>908,033,281.67</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3C376C9D" w14:textId="77777777" w:rsidR="00E57DAA" w:rsidRDefault="00AC4185">
                <w:pPr>
                  <w:ind w:firstLineChars="200" w:firstLine="420"/>
                  <w:jc w:val="right"/>
                  <w:rPr>
                    <w:szCs w:val="21"/>
                  </w:rPr>
                </w:pPr>
                <w:r>
                  <w:rPr>
                    <w:szCs w:val="21"/>
                  </w:rPr>
                  <w:t>-10,311.46</w:t>
                </w:r>
              </w:p>
            </w:tc>
            <w:tc>
              <w:tcPr>
                <w:tcW w:w="2312" w:type="dxa"/>
                <w:tcBorders>
                  <w:top w:val="dotted" w:sz="4" w:space="0" w:color="auto"/>
                  <w:left w:val="dotted" w:sz="4" w:space="0" w:color="auto"/>
                  <w:bottom w:val="dotted" w:sz="4" w:space="0" w:color="auto"/>
                  <w:right w:val="nil"/>
                </w:tcBorders>
                <w:shd w:val="clear" w:color="auto" w:fill="auto"/>
                <w:vAlign w:val="center"/>
              </w:tcPr>
              <w:p w14:paraId="354EA438" w14:textId="77777777" w:rsidR="00E57DAA" w:rsidRDefault="00AC4185">
                <w:pPr>
                  <w:ind w:firstLineChars="200" w:firstLine="420"/>
                  <w:jc w:val="right"/>
                  <w:rPr>
                    <w:szCs w:val="21"/>
                  </w:rPr>
                </w:pPr>
                <w:r>
                  <w:rPr>
                    <w:szCs w:val="21"/>
                  </w:rPr>
                  <w:t>908,022,970.21</w:t>
                </w:r>
              </w:p>
            </w:tc>
          </w:tr>
          <w:tr w:rsidR="00E57DAA" w14:paraId="5E47E941"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5C73A208" w14:textId="77777777" w:rsidR="00E57DAA" w:rsidRDefault="00AC4185">
                <w:pPr>
                  <w:rPr>
                    <w:szCs w:val="21"/>
                  </w:rPr>
                </w:pPr>
                <w:r>
                  <w:rPr>
                    <w:rFonts w:hint="eastAsia"/>
                    <w:szCs w:val="21"/>
                  </w:rPr>
                  <w:t>未分配利润</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5B1BFFD8" w14:textId="77777777" w:rsidR="00E57DAA" w:rsidRDefault="00AC4185">
                <w:pPr>
                  <w:ind w:firstLineChars="200" w:firstLine="420"/>
                  <w:jc w:val="right"/>
                  <w:rPr>
                    <w:szCs w:val="21"/>
                  </w:rPr>
                </w:pPr>
                <w:r>
                  <w:rPr>
                    <w:szCs w:val="21"/>
                  </w:rPr>
                  <w:t>11,752,677,357.05</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5C32F3BC" w14:textId="77777777" w:rsidR="00E57DAA" w:rsidRDefault="00AC4185">
                <w:pPr>
                  <w:ind w:firstLineChars="200" w:firstLine="420"/>
                  <w:jc w:val="right"/>
                  <w:rPr>
                    <w:szCs w:val="21"/>
                  </w:rPr>
                </w:pPr>
                <w:r>
                  <w:rPr>
                    <w:szCs w:val="21"/>
                  </w:rPr>
                  <w:t>105,191.88</w:t>
                </w:r>
              </w:p>
            </w:tc>
            <w:tc>
              <w:tcPr>
                <w:tcW w:w="2312" w:type="dxa"/>
                <w:tcBorders>
                  <w:top w:val="dotted" w:sz="4" w:space="0" w:color="auto"/>
                  <w:left w:val="dotted" w:sz="4" w:space="0" w:color="auto"/>
                  <w:bottom w:val="dotted" w:sz="4" w:space="0" w:color="auto"/>
                  <w:right w:val="nil"/>
                </w:tcBorders>
                <w:shd w:val="clear" w:color="auto" w:fill="auto"/>
                <w:vAlign w:val="center"/>
              </w:tcPr>
              <w:p w14:paraId="29BD4D36" w14:textId="77777777" w:rsidR="00E57DAA" w:rsidRDefault="00AC4185">
                <w:pPr>
                  <w:ind w:firstLineChars="200" w:firstLine="420"/>
                  <w:jc w:val="right"/>
                  <w:rPr>
                    <w:szCs w:val="21"/>
                  </w:rPr>
                </w:pPr>
                <w:r>
                  <w:rPr>
                    <w:szCs w:val="21"/>
                  </w:rPr>
                  <w:t>11,752,782,548.93</w:t>
                </w:r>
              </w:p>
            </w:tc>
          </w:tr>
          <w:tr w:rsidR="00E57DAA" w14:paraId="003FC0D2"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07CC5E40" w14:textId="77777777" w:rsidR="00E57DAA" w:rsidRDefault="00AC4185">
                <w:pPr>
                  <w:rPr>
                    <w:szCs w:val="21"/>
                  </w:rPr>
                </w:pPr>
                <w:r>
                  <w:rPr>
                    <w:rFonts w:hint="eastAsia"/>
                    <w:szCs w:val="21"/>
                  </w:rPr>
                  <w:t>归属于母公司股东权益合计</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4648657D" w14:textId="77777777" w:rsidR="00E57DAA" w:rsidRDefault="00AC4185">
                <w:pPr>
                  <w:ind w:firstLineChars="200" w:firstLine="420"/>
                  <w:jc w:val="right"/>
                  <w:rPr>
                    <w:szCs w:val="21"/>
                  </w:rPr>
                </w:pPr>
                <w:r>
                  <w:rPr>
                    <w:szCs w:val="21"/>
                  </w:rPr>
                  <w:t>16,306,648,446.57</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626A34A4" w14:textId="77777777" w:rsidR="00E57DAA" w:rsidRDefault="00AC4185">
                <w:pPr>
                  <w:ind w:firstLineChars="200" w:firstLine="420"/>
                  <w:jc w:val="right"/>
                  <w:rPr>
                    <w:szCs w:val="21"/>
                  </w:rPr>
                </w:pPr>
                <w:r>
                  <w:rPr>
                    <w:szCs w:val="21"/>
                  </w:rPr>
                  <w:t>94,880.42</w:t>
                </w:r>
              </w:p>
            </w:tc>
            <w:tc>
              <w:tcPr>
                <w:tcW w:w="2312" w:type="dxa"/>
                <w:tcBorders>
                  <w:top w:val="dotted" w:sz="4" w:space="0" w:color="auto"/>
                  <w:left w:val="dotted" w:sz="4" w:space="0" w:color="auto"/>
                  <w:bottom w:val="dotted" w:sz="4" w:space="0" w:color="auto"/>
                  <w:right w:val="nil"/>
                </w:tcBorders>
                <w:shd w:val="clear" w:color="auto" w:fill="auto"/>
                <w:vAlign w:val="center"/>
              </w:tcPr>
              <w:p w14:paraId="1F725551" w14:textId="77777777" w:rsidR="00E57DAA" w:rsidRDefault="00AC4185">
                <w:pPr>
                  <w:ind w:firstLineChars="200" w:firstLine="420"/>
                  <w:jc w:val="right"/>
                  <w:rPr>
                    <w:szCs w:val="21"/>
                  </w:rPr>
                </w:pPr>
                <w:r>
                  <w:rPr>
                    <w:szCs w:val="21"/>
                  </w:rPr>
                  <w:t>16,306,743,326.99</w:t>
                </w:r>
              </w:p>
            </w:tc>
          </w:tr>
          <w:tr w:rsidR="00E57DAA" w14:paraId="65C15EBB" w14:textId="77777777">
            <w:trPr>
              <w:trHeight w:val="338"/>
            </w:trPr>
            <w:tc>
              <w:tcPr>
                <w:tcW w:w="2410" w:type="dxa"/>
                <w:tcBorders>
                  <w:top w:val="dotted" w:sz="4" w:space="0" w:color="auto"/>
                  <w:left w:val="nil"/>
                  <w:bottom w:val="dotted" w:sz="4" w:space="0" w:color="auto"/>
                  <w:right w:val="dotted" w:sz="4" w:space="0" w:color="auto"/>
                </w:tcBorders>
                <w:shd w:val="clear" w:color="auto" w:fill="auto"/>
                <w:vAlign w:val="center"/>
              </w:tcPr>
              <w:p w14:paraId="28D4FB34" w14:textId="77777777" w:rsidR="00E57DAA" w:rsidRDefault="00AC4185">
                <w:pPr>
                  <w:rPr>
                    <w:szCs w:val="21"/>
                  </w:rPr>
                </w:pPr>
                <w:r>
                  <w:rPr>
                    <w:rFonts w:hint="eastAsia"/>
                    <w:szCs w:val="21"/>
                  </w:rPr>
                  <w:t>少数股东权益</w:t>
                </w:r>
              </w:p>
            </w:tc>
            <w:tc>
              <w:tcPr>
                <w:tcW w:w="2268" w:type="dxa"/>
                <w:tcBorders>
                  <w:top w:val="dotted" w:sz="4" w:space="0" w:color="auto"/>
                  <w:left w:val="dotted" w:sz="4" w:space="0" w:color="auto"/>
                  <w:bottom w:val="dotted" w:sz="4" w:space="0" w:color="auto"/>
                  <w:right w:val="dotted" w:sz="4" w:space="0" w:color="auto"/>
                </w:tcBorders>
                <w:shd w:val="clear" w:color="auto" w:fill="auto"/>
                <w:vAlign w:val="center"/>
              </w:tcPr>
              <w:p w14:paraId="0DB5B53D" w14:textId="77777777" w:rsidR="00E57DAA" w:rsidRDefault="00AC4185">
                <w:pPr>
                  <w:ind w:firstLineChars="200" w:firstLine="420"/>
                  <w:jc w:val="right"/>
                  <w:rPr>
                    <w:szCs w:val="21"/>
                  </w:rPr>
                </w:pPr>
                <w:r>
                  <w:rPr>
                    <w:szCs w:val="21"/>
                  </w:rPr>
                  <w:t>991,085,673.12</w:t>
                </w:r>
              </w:p>
            </w:tc>
            <w:tc>
              <w:tcPr>
                <w:tcW w:w="1843" w:type="dxa"/>
                <w:tcBorders>
                  <w:top w:val="dotted" w:sz="4" w:space="0" w:color="auto"/>
                  <w:left w:val="dotted" w:sz="4" w:space="0" w:color="auto"/>
                  <w:bottom w:val="dotted" w:sz="4" w:space="0" w:color="auto"/>
                  <w:right w:val="dotted" w:sz="4" w:space="0" w:color="auto"/>
                </w:tcBorders>
                <w:shd w:val="clear" w:color="auto" w:fill="auto"/>
                <w:vAlign w:val="center"/>
              </w:tcPr>
              <w:p w14:paraId="0EF6A1A1" w14:textId="77777777" w:rsidR="00E57DAA" w:rsidRDefault="00AC4185">
                <w:pPr>
                  <w:ind w:firstLineChars="200" w:firstLine="420"/>
                  <w:jc w:val="right"/>
                  <w:rPr>
                    <w:szCs w:val="21"/>
                  </w:rPr>
                </w:pPr>
                <w:r>
                  <w:rPr>
                    <w:szCs w:val="21"/>
                  </w:rPr>
                  <w:t>110,278.29</w:t>
                </w:r>
              </w:p>
            </w:tc>
            <w:tc>
              <w:tcPr>
                <w:tcW w:w="2312" w:type="dxa"/>
                <w:tcBorders>
                  <w:top w:val="dotted" w:sz="4" w:space="0" w:color="auto"/>
                  <w:left w:val="dotted" w:sz="4" w:space="0" w:color="auto"/>
                  <w:bottom w:val="dotted" w:sz="4" w:space="0" w:color="auto"/>
                  <w:right w:val="nil"/>
                </w:tcBorders>
                <w:shd w:val="clear" w:color="auto" w:fill="auto"/>
                <w:vAlign w:val="center"/>
              </w:tcPr>
              <w:p w14:paraId="26A3675F" w14:textId="77777777" w:rsidR="00E57DAA" w:rsidRDefault="00AC4185">
                <w:pPr>
                  <w:ind w:firstLineChars="200" w:firstLine="420"/>
                  <w:jc w:val="right"/>
                  <w:rPr>
                    <w:szCs w:val="21"/>
                  </w:rPr>
                </w:pPr>
                <w:r>
                  <w:rPr>
                    <w:szCs w:val="21"/>
                  </w:rPr>
                  <w:t>991,195,951.41</w:t>
                </w:r>
              </w:p>
            </w:tc>
          </w:tr>
          <w:tr w:rsidR="00E57DAA" w14:paraId="491E0E8D" w14:textId="77777777">
            <w:trPr>
              <w:trHeight w:val="338"/>
            </w:trPr>
            <w:tc>
              <w:tcPr>
                <w:tcW w:w="2410" w:type="dxa"/>
                <w:tcBorders>
                  <w:top w:val="dotted" w:sz="4" w:space="0" w:color="auto"/>
                  <w:left w:val="nil"/>
                  <w:bottom w:val="single" w:sz="12" w:space="0" w:color="auto"/>
                  <w:right w:val="dotted" w:sz="4" w:space="0" w:color="auto"/>
                </w:tcBorders>
                <w:shd w:val="clear" w:color="auto" w:fill="auto"/>
                <w:vAlign w:val="center"/>
              </w:tcPr>
              <w:p w14:paraId="465C271E" w14:textId="77777777" w:rsidR="00E57DAA" w:rsidRDefault="00AC4185">
                <w:pPr>
                  <w:rPr>
                    <w:szCs w:val="21"/>
                  </w:rPr>
                </w:pPr>
                <w:r>
                  <w:rPr>
                    <w:rFonts w:hint="eastAsia"/>
                    <w:szCs w:val="21"/>
                  </w:rPr>
                  <w:t>股东权益合计</w:t>
                </w:r>
              </w:p>
            </w:tc>
            <w:tc>
              <w:tcPr>
                <w:tcW w:w="2268" w:type="dxa"/>
                <w:tcBorders>
                  <w:top w:val="dotted" w:sz="4" w:space="0" w:color="auto"/>
                  <w:left w:val="dotted" w:sz="4" w:space="0" w:color="auto"/>
                  <w:bottom w:val="single" w:sz="12" w:space="0" w:color="auto"/>
                  <w:right w:val="dotted" w:sz="4" w:space="0" w:color="auto"/>
                </w:tcBorders>
                <w:shd w:val="clear" w:color="auto" w:fill="auto"/>
                <w:vAlign w:val="center"/>
              </w:tcPr>
              <w:p w14:paraId="5855750D" w14:textId="77777777" w:rsidR="00E57DAA" w:rsidRDefault="00AC4185">
                <w:pPr>
                  <w:ind w:firstLineChars="200" w:firstLine="420"/>
                  <w:jc w:val="right"/>
                  <w:rPr>
                    <w:szCs w:val="21"/>
                  </w:rPr>
                </w:pPr>
                <w:r>
                  <w:rPr>
                    <w:szCs w:val="21"/>
                  </w:rPr>
                  <w:t>17,297,734,119.69</w:t>
                </w:r>
              </w:p>
            </w:tc>
            <w:tc>
              <w:tcPr>
                <w:tcW w:w="1843" w:type="dxa"/>
                <w:tcBorders>
                  <w:top w:val="dotted" w:sz="4" w:space="0" w:color="auto"/>
                  <w:left w:val="dotted" w:sz="4" w:space="0" w:color="auto"/>
                  <w:bottom w:val="single" w:sz="12" w:space="0" w:color="auto"/>
                  <w:right w:val="dotted" w:sz="4" w:space="0" w:color="auto"/>
                </w:tcBorders>
                <w:shd w:val="clear" w:color="auto" w:fill="auto"/>
                <w:vAlign w:val="center"/>
              </w:tcPr>
              <w:p w14:paraId="617854AE" w14:textId="77777777" w:rsidR="00E57DAA" w:rsidRDefault="00AC4185">
                <w:pPr>
                  <w:ind w:firstLineChars="200" w:firstLine="420"/>
                  <w:jc w:val="right"/>
                  <w:rPr>
                    <w:szCs w:val="21"/>
                  </w:rPr>
                </w:pPr>
                <w:r>
                  <w:rPr>
                    <w:szCs w:val="21"/>
                  </w:rPr>
                  <w:t>205,158.71</w:t>
                </w:r>
              </w:p>
            </w:tc>
            <w:tc>
              <w:tcPr>
                <w:tcW w:w="2312" w:type="dxa"/>
                <w:tcBorders>
                  <w:top w:val="dotted" w:sz="4" w:space="0" w:color="auto"/>
                  <w:left w:val="dotted" w:sz="4" w:space="0" w:color="auto"/>
                  <w:bottom w:val="single" w:sz="12" w:space="0" w:color="auto"/>
                  <w:right w:val="nil"/>
                </w:tcBorders>
                <w:shd w:val="clear" w:color="auto" w:fill="auto"/>
                <w:vAlign w:val="center"/>
              </w:tcPr>
              <w:p w14:paraId="605572B2" w14:textId="77777777" w:rsidR="00E57DAA" w:rsidRDefault="00AC4185">
                <w:pPr>
                  <w:ind w:firstLineChars="200" w:firstLine="420"/>
                  <w:jc w:val="right"/>
                  <w:rPr>
                    <w:szCs w:val="21"/>
                  </w:rPr>
                </w:pPr>
                <w:r>
                  <w:rPr>
                    <w:szCs w:val="21"/>
                  </w:rPr>
                  <w:t>17,297,939,278.40</w:t>
                </w:r>
              </w:p>
            </w:tc>
          </w:tr>
        </w:tbl>
        <w:p w14:paraId="212102AD" w14:textId="77777777" w:rsidR="00E57DAA" w:rsidRDefault="00AC4185">
          <w:pPr>
            <w:ind w:firstLineChars="200" w:firstLine="420"/>
            <w:rPr>
              <w:szCs w:val="21"/>
            </w:rPr>
          </w:pPr>
          <w:r>
            <w:rPr>
              <w:rFonts w:hint="eastAsia"/>
              <w:szCs w:val="21"/>
            </w:rPr>
            <w:t>对于在首次施行本解释的财务报表列报最早期间的期初（即</w:t>
          </w:r>
          <w:r>
            <w:rPr>
              <w:szCs w:val="21"/>
            </w:rPr>
            <w:t>2022年1月1日）至解释施行日（2023年1月1日）之间发生的适用解释16号的单项交易而确认的租赁负债和使用权资产，以及确认的弃置义务相关预计负债和对应的相关资产，本公司按照解释16号的规定进行处理。</w:t>
          </w:r>
        </w:p>
        <w:p w14:paraId="0A707D52" w14:textId="77777777" w:rsidR="00E57DAA" w:rsidRDefault="00AC4185">
          <w:pPr>
            <w:rPr>
              <w:szCs w:val="21"/>
            </w:rPr>
          </w:pPr>
          <w:r>
            <w:rPr>
              <w:rFonts w:hint="eastAsia"/>
              <w:szCs w:val="21"/>
            </w:rPr>
            <w:t>根据解释</w:t>
          </w:r>
          <w:r>
            <w:rPr>
              <w:szCs w:val="21"/>
            </w:rPr>
            <w:t>16号的规定，本公司对资产负债表相关项目调整如下：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CellMar>
              <w:left w:w="28" w:type="dxa"/>
              <w:right w:w="28" w:type="dxa"/>
            </w:tblCellMar>
            <w:tblLook w:val="04A0" w:firstRow="1" w:lastRow="0" w:firstColumn="1" w:lastColumn="0" w:noHBand="0" w:noVBand="1"/>
          </w:tblPr>
          <w:tblGrid>
            <w:gridCol w:w="3166"/>
            <w:gridCol w:w="1890"/>
            <w:gridCol w:w="1890"/>
            <w:gridCol w:w="1887"/>
          </w:tblGrid>
          <w:tr w:rsidR="00E57DAA" w14:paraId="2B8F25EA" w14:textId="77777777">
            <w:trPr>
              <w:trHeight w:val="377"/>
              <w:tblHeader/>
            </w:trPr>
            <w:tc>
              <w:tcPr>
                <w:tcW w:w="1792" w:type="pct"/>
                <w:vMerge w:val="restart"/>
                <w:tcBorders>
                  <w:top w:val="single" w:sz="12" w:space="0" w:color="auto"/>
                  <w:left w:val="nil"/>
                  <w:bottom w:val="dotted" w:sz="4" w:space="0" w:color="auto"/>
                  <w:right w:val="dotted" w:sz="4" w:space="0" w:color="auto"/>
                </w:tcBorders>
                <w:vAlign w:val="center"/>
              </w:tcPr>
              <w:p w14:paraId="1884576F" w14:textId="77777777" w:rsidR="00E57DAA" w:rsidRDefault="00AC4185">
                <w:pPr>
                  <w:rPr>
                    <w:szCs w:val="21"/>
                  </w:rPr>
                </w:pPr>
                <w:r>
                  <w:rPr>
                    <w:rFonts w:hint="eastAsia"/>
                    <w:szCs w:val="21"/>
                  </w:rPr>
                  <w:t>资产负债表项目</w:t>
                </w:r>
              </w:p>
            </w:tc>
            <w:tc>
              <w:tcPr>
                <w:tcW w:w="3208" w:type="pct"/>
                <w:gridSpan w:val="3"/>
                <w:tcBorders>
                  <w:top w:val="single" w:sz="12" w:space="0" w:color="auto"/>
                  <w:left w:val="dotted" w:sz="4" w:space="0" w:color="auto"/>
                  <w:bottom w:val="dotted" w:sz="4" w:space="0" w:color="auto"/>
                  <w:right w:val="nil"/>
                </w:tcBorders>
                <w:vAlign w:val="center"/>
              </w:tcPr>
              <w:p w14:paraId="281AE9FC" w14:textId="77777777" w:rsidR="00E57DAA" w:rsidRDefault="00AC4185">
                <w:pPr>
                  <w:jc w:val="center"/>
                  <w:rPr>
                    <w:szCs w:val="21"/>
                  </w:rPr>
                </w:pPr>
                <w:r>
                  <w:rPr>
                    <w:rFonts w:hint="eastAsia"/>
                    <w:szCs w:val="21"/>
                  </w:rPr>
                  <w:t>2022年12月31日</w:t>
                </w:r>
              </w:p>
            </w:tc>
          </w:tr>
          <w:tr w:rsidR="00E57DAA" w14:paraId="303BCE36" w14:textId="77777777">
            <w:trPr>
              <w:trHeight w:val="293"/>
              <w:tblHeader/>
            </w:trPr>
            <w:tc>
              <w:tcPr>
                <w:tcW w:w="1792" w:type="pct"/>
                <w:vMerge/>
                <w:tcBorders>
                  <w:top w:val="single" w:sz="12" w:space="0" w:color="auto"/>
                  <w:left w:val="nil"/>
                  <w:bottom w:val="dotted" w:sz="4" w:space="0" w:color="auto"/>
                  <w:right w:val="dotted" w:sz="4" w:space="0" w:color="auto"/>
                </w:tcBorders>
                <w:vAlign w:val="center"/>
              </w:tcPr>
              <w:p w14:paraId="2DAE52C8" w14:textId="77777777" w:rsidR="00E57DAA" w:rsidRDefault="00E57DAA">
                <w:pPr>
                  <w:rPr>
                    <w:szCs w:val="21"/>
                  </w:rPr>
                </w:pPr>
              </w:p>
            </w:tc>
            <w:tc>
              <w:tcPr>
                <w:tcW w:w="1070" w:type="pct"/>
                <w:tcBorders>
                  <w:top w:val="dotted" w:sz="4" w:space="0" w:color="auto"/>
                  <w:left w:val="dotted" w:sz="4" w:space="0" w:color="auto"/>
                  <w:bottom w:val="dotted" w:sz="4" w:space="0" w:color="auto"/>
                  <w:right w:val="dotted" w:sz="4" w:space="0" w:color="auto"/>
                </w:tcBorders>
                <w:vAlign w:val="center"/>
              </w:tcPr>
              <w:p w14:paraId="13AA9528" w14:textId="77777777" w:rsidR="00E57DAA" w:rsidRDefault="00AC4185">
                <w:pPr>
                  <w:jc w:val="center"/>
                  <w:rPr>
                    <w:szCs w:val="21"/>
                  </w:rPr>
                </w:pPr>
                <w:r>
                  <w:rPr>
                    <w:rFonts w:hint="eastAsia"/>
                    <w:szCs w:val="21"/>
                  </w:rPr>
                  <w:t>变更前</w:t>
                </w:r>
              </w:p>
            </w:tc>
            <w:tc>
              <w:tcPr>
                <w:tcW w:w="1070" w:type="pct"/>
                <w:tcBorders>
                  <w:top w:val="dotted" w:sz="4" w:space="0" w:color="auto"/>
                  <w:left w:val="dotted" w:sz="4" w:space="0" w:color="auto"/>
                  <w:bottom w:val="dotted" w:sz="4" w:space="0" w:color="auto"/>
                  <w:right w:val="dotted" w:sz="4" w:space="0" w:color="auto"/>
                </w:tcBorders>
                <w:vAlign w:val="center"/>
              </w:tcPr>
              <w:p w14:paraId="1228D27C" w14:textId="77777777" w:rsidR="00E57DAA" w:rsidRDefault="00AC4185">
                <w:pPr>
                  <w:jc w:val="center"/>
                  <w:rPr>
                    <w:szCs w:val="21"/>
                  </w:rPr>
                </w:pPr>
                <w:r>
                  <w:rPr>
                    <w:rFonts w:hint="eastAsia"/>
                    <w:szCs w:val="21"/>
                  </w:rPr>
                  <w:t>累计影响金额</w:t>
                </w:r>
              </w:p>
            </w:tc>
            <w:tc>
              <w:tcPr>
                <w:tcW w:w="1069" w:type="pct"/>
                <w:tcBorders>
                  <w:top w:val="dotted" w:sz="4" w:space="0" w:color="auto"/>
                  <w:left w:val="dotted" w:sz="4" w:space="0" w:color="auto"/>
                  <w:bottom w:val="dotted" w:sz="4" w:space="0" w:color="auto"/>
                  <w:right w:val="nil"/>
                </w:tcBorders>
                <w:vAlign w:val="center"/>
              </w:tcPr>
              <w:p w14:paraId="431FA64E" w14:textId="77777777" w:rsidR="00E57DAA" w:rsidRDefault="00AC4185">
                <w:pPr>
                  <w:jc w:val="center"/>
                  <w:rPr>
                    <w:szCs w:val="21"/>
                  </w:rPr>
                </w:pPr>
                <w:r>
                  <w:rPr>
                    <w:rFonts w:hint="eastAsia"/>
                    <w:szCs w:val="21"/>
                  </w:rPr>
                  <w:t>变更后</w:t>
                </w:r>
              </w:p>
            </w:tc>
          </w:tr>
          <w:tr w:rsidR="00E57DAA" w14:paraId="37B12C52" w14:textId="77777777">
            <w:trPr>
              <w:trHeight w:val="344"/>
            </w:trPr>
            <w:tc>
              <w:tcPr>
                <w:tcW w:w="1792" w:type="pct"/>
                <w:tcBorders>
                  <w:top w:val="dotted" w:sz="4" w:space="0" w:color="auto"/>
                  <w:left w:val="nil"/>
                  <w:bottom w:val="dotted" w:sz="4" w:space="0" w:color="auto"/>
                  <w:right w:val="dotted" w:sz="4" w:space="0" w:color="auto"/>
                </w:tcBorders>
                <w:vAlign w:val="center"/>
              </w:tcPr>
              <w:p w14:paraId="0162B939" w14:textId="77777777" w:rsidR="00E57DAA" w:rsidRDefault="00AC4185">
                <w:pPr>
                  <w:rPr>
                    <w:szCs w:val="21"/>
                  </w:rPr>
                </w:pPr>
                <w:r>
                  <w:rPr>
                    <w:rFonts w:hint="eastAsia"/>
                    <w:szCs w:val="21"/>
                  </w:rPr>
                  <w:t>递延所得税资产</w:t>
                </w:r>
              </w:p>
            </w:tc>
            <w:tc>
              <w:tcPr>
                <w:tcW w:w="1070" w:type="pct"/>
                <w:tcBorders>
                  <w:top w:val="dotted" w:sz="4" w:space="0" w:color="auto"/>
                  <w:left w:val="dotted" w:sz="4" w:space="0" w:color="auto"/>
                  <w:bottom w:val="dotted" w:sz="4" w:space="0" w:color="auto"/>
                  <w:right w:val="dotted" w:sz="4" w:space="0" w:color="auto"/>
                </w:tcBorders>
                <w:vAlign w:val="center"/>
              </w:tcPr>
              <w:p w14:paraId="43687DBF" w14:textId="77777777" w:rsidR="00E57DAA" w:rsidRDefault="00AC4185">
                <w:pPr>
                  <w:rPr>
                    <w:szCs w:val="21"/>
                  </w:rPr>
                </w:pPr>
                <w:r>
                  <w:rPr>
                    <w:szCs w:val="21"/>
                  </w:rPr>
                  <w:t>534,919,971.61</w:t>
                </w:r>
              </w:p>
            </w:tc>
            <w:tc>
              <w:tcPr>
                <w:tcW w:w="1070" w:type="pct"/>
                <w:tcBorders>
                  <w:top w:val="dotted" w:sz="4" w:space="0" w:color="auto"/>
                  <w:left w:val="dotted" w:sz="4" w:space="0" w:color="auto"/>
                  <w:bottom w:val="dotted" w:sz="4" w:space="0" w:color="auto"/>
                  <w:right w:val="dotted" w:sz="4" w:space="0" w:color="auto"/>
                </w:tcBorders>
                <w:vAlign w:val="center"/>
              </w:tcPr>
              <w:p w14:paraId="1AACF184" w14:textId="77777777" w:rsidR="00E57DAA" w:rsidRDefault="00AC4185">
                <w:pPr>
                  <w:rPr>
                    <w:szCs w:val="21"/>
                  </w:rPr>
                </w:pPr>
                <w:r>
                  <w:rPr>
                    <w:szCs w:val="21"/>
                  </w:rPr>
                  <w:t>13,304,480.03</w:t>
                </w:r>
              </w:p>
            </w:tc>
            <w:tc>
              <w:tcPr>
                <w:tcW w:w="1069" w:type="pct"/>
                <w:tcBorders>
                  <w:top w:val="dotted" w:sz="4" w:space="0" w:color="auto"/>
                  <w:left w:val="dotted" w:sz="4" w:space="0" w:color="auto"/>
                  <w:bottom w:val="dotted" w:sz="4" w:space="0" w:color="auto"/>
                  <w:right w:val="nil"/>
                </w:tcBorders>
                <w:vAlign w:val="center"/>
              </w:tcPr>
              <w:p w14:paraId="77BA0DD2" w14:textId="77777777" w:rsidR="00E57DAA" w:rsidRDefault="00AC4185">
                <w:pPr>
                  <w:rPr>
                    <w:szCs w:val="21"/>
                  </w:rPr>
                </w:pPr>
                <w:r>
                  <w:rPr>
                    <w:szCs w:val="21"/>
                  </w:rPr>
                  <w:t>548,224,451.64</w:t>
                </w:r>
              </w:p>
            </w:tc>
          </w:tr>
          <w:tr w:rsidR="00E57DAA" w14:paraId="3814F4D9" w14:textId="77777777">
            <w:trPr>
              <w:trHeight w:val="344"/>
            </w:trPr>
            <w:tc>
              <w:tcPr>
                <w:tcW w:w="1792" w:type="pct"/>
                <w:tcBorders>
                  <w:top w:val="dotted" w:sz="4" w:space="0" w:color="auto"/>
                  <w:left w:val="nil"/>
                  <w:bottom w:val="dotted" w:sz="4" w:space="0" w:color="auto"/>
                  <w:right w:val="dotted" w:sz="4" w:space="0" w:color="auto"/>
                </w:tcBorders>
                <w:vAlign w:val="center"/>
              </w:tcPr>
              <w:p w14:paraId="22FE2985" w14:textId="77777777" w:rsidR="00E57DAA" w:rsidRDefault="00AC4185">
                <w:pPr>
                  <w:rPr>
                    <w:szCs w:val="21"/>
                  </w:rPr>
                </w:pPr>
                <w:r>
                  <w:rPr>
                    <w:rFonts w:hint="eastAsia"/>
                    <w:szCs w:val="21"/>
                  </w:rPr>
                  <w:t>资产总计</w:t>
                </w:r>
              </w:p>
            </w:tc>
            <w:tc>
              <w:tcPr>
                <w:tcW w:w="1070" w:type="pct"/>
                <w:tcBorders>
                  <w:top w:val="dotted" w:sz="4" w:space="0" w:color="auto"/>
                  <w:left w:val="dotted" w:sz="4" w:space="0" w:color="auto"/>
                  <w:bottom w:val="dotted" w:sz="4" w:space="0" w:color="auto"/>
                  <w:right w:val="dotted" w:sz="4" w:space="0" w:color="auto"/>
                </w:tcBorders>
                <w:vAlign w:val="center"/>
              </w:tcPr>
              <w:p w14:paraId="0B8BA418" w14:textId="77777777" w:rsidR="00E57DAA" w:rsidRDefault="00AC4185">
                <w:pPr>
                  <w:rPr>
                    <w:szCs w:val="21"/>
                  </w:rPr>
                </w:pPr>
                <w:r>
                  <w:rPr>
                    <w:szCs w:val="21"/>
                  </w:rPr>
                  <w:t>50,054,387,160.02</w:t>
                </w:r>
              </w:p>
            </w:tc>
            <w:tc>
              <w:tcPr>
                <w:tcW w:w="1070" w:type="pct"/>
                <w:tcBorders>
                  <w:top w:val="dotted" w:sz="4" w:space="0" w:color="auto"/>
                  <w:left w:val="dotted" w:sz="4" w:space="0" w:color="auto"/>
                  <w:bottom w:val="dotted" w:sz="4" w:space="0" w:color="auto"/>
                  <w:right w:val="dotted" w:sz="4" w:space="0" w:color="auto"/>
                </w:tcBorders>
                <w:vAlign w:val="center"/>
              </w:tcPr>
              <w:p w14:paraId="0722D8DB" w14:textId="77777777" w:rsidR="00E57DAA" w:rsidRDefault="00AC4185">
                <w:pPr>
                  <w:rPr>
                    <w:szCs w:val="21"/>
                  </w:rPr>
                </w:pPr>
                <w:r>
                  <w:rPr>
                    <w:szCs w:val="21"/>
                  </w:rPr>
                  <w:t>13,304,480.03</w:t>
                </w:r>
              </w:p>
            </w:tc>
            <w:tc>
              <w:tcPr>
                <w:tcW w:w="1069" w:type="pct"/>
                <w:tcBorders>
                  <w:top w:val="dotted" w:sz="4" w:space="0" w:color="auto"/>
                  <w:left w:val="dotted" w:sz="4" w:space="0" w:color="auto"/>
                  <w:bottom w:val="dotted" w:sz="4" w:space="0" w:color="auto"/>
                  <w:right w:val="nil"/>
                </w:tcBorders>
                <w:vAlign w:val="center"/>
              </w:tcPr>
              <w:p w14:paraId="5EE5FC82" w14:textId="77777777" w:rsidR="00E57DAA" w:rsidRDefault="00AC4185">
                <w:pPr>
                  <w:rPr>
                    <w:szCs w:val="21"/>
                  </w:rPr>
                </w:pPr>
                <w:r>
                  <w:rPr>
                    <w:szCs w:val="21"/>
                  </w:rPr>
                  <w:t>50,067,691,640.05</w:t>
                </w:r>
              </w:p>
            </w:tc>
          </w:tr>
          <w:tr w:rsidR="00E57DAA" w14:paraId="11FBCD1F" w14:textId="77777777">
            <w:trPr>
              <w:trHeight w:val="338"/>
            </w:trPr>
            <w:tc>
              <w:tcPr>
                <w:tcW w:w="1792" w:type="pct"/>
                <w:tcBorders>
                  <w:top w:val="dotted" w:sz="4" w:space="0" w:color="auto"/>
                  <w:left w:val="nil"/>
                  <w:bottom w:val="dotted" w:sz="4" w:space="0" w:color="auto"/>
                  <w:right w:val="dotted" w:sz="4" w:space="0" w:color="auto"/>
                </w:tcBorders>
                <w:vAlign w:val="center"/>
              </w:tcPr>
              <w:p w14:paraId="1701F8B5" w14:textId="77777777" w:rsidR="00E57DAA" w:rsidRDefault="00AC4185">
                <w:pPr>
                  <w:rPr>
                    <w:szCs w:val="21"/>
                  </w:rPr>
                </w:pPr>
                <w:r>
                  <w:rPr>
                    <w:rFonts w:hint="eastAsia"/>
                    <w:szCs w:val="21"/>
                  </w:rPr>
                  <w:t>递延所得税负债</w:t>
                </w:r>
              </w:p>
            </w:tc>
            <w:tc>
              <w:tcPr>
                <w:tcW w:w="1070" w:type="pct"/>
                <w:tcBorders>
                  <w:top w:val="dotted" w:sz="4" w:space="0" w:color="auto"/>
                  <w:left w:val="dotted" w:sz="4" w:space="0" w:color="auto"/>
                  <w:bottom w:val="dotted" w:sz="4" w:space="0" w:color="auto"/>
                  <w:right w:val="dotted" w:sz="4" w:space="0" w:color="auto"/>
                </w:tcBorders>
                <w:vAlign w:val="center"/>
              </w:tcPr>
              <w:p w14:paraId="41AF035B" w14:textId="77777777" w:rsidR="00E57DAA" w:rsidRDefault="00AC4185">
                <w:pPr>
                  <w:jc w:val="right"/>
                  <w:rPr>
                    <w:szCs w:val="21"/>
                  </w:rPr>
                </w:pPr>
                <w:r>
                  <w:rPr>
                    <w:szCs w:val="21"/>
                  </w:rPr>
                  <w:t>87,534,928.53</w:t>
                </w:r>
              </w:p>
            </w:tc>
            <w:tc>
              <w:tcPr>
                <w:tcW w:w="1070" w:type="pct"/>
                <w:tcBorders>
                  <w:top w:val="dotted" w:sz="4" w:space="0" w:color="auto"/>
                  <w:left w:val="dotted" w:sz="4" w:space="0" w:color="auto"/>
                  <w:bottom w:val="dotted" w:sz="4" w:space="0" w:color="auto"/>
                  <w:right w:val="dotted" w:sz="4" w:space="0" w:color="auto"/>
                </w:tcBorders>
                <w:vAlign w:val="center"/>
              </w:tcPr>
              <w:p w14:paraId="72209E76" w14:textId="77777777" w:rsidR="00E57DAA" w:rsidRDefault="00AC4185">
                <w:pPr>
                  <w:jc w:val="right"/>
                  <w:rPr>
                    <w:szCs w:val="21"/>
                  </w:rPr>
                </w:pPr>
                <w:r>
                  <w:rPr>
                    <w:szCs w:val="21"/>
                  </w:rPr>
                  <w:t>11,721,263.02</w:t>
                </w:r>
              </w:p>
            </w:tc>
            <w:tc>
              <w:tcPr>
                <w:tcW w:w="1069" w:type="pct"/>
                <w:tcBorders>
                  <w:top w:val="dotted" w:sz="4" w:space="0" w:color="auto"/>
                  <w:left w:val="dotted" w:sz="4" w:space="0" w:color="auto"/>
                  <w:bottom w:val="dotted" w:sz="4" w:space="0" w:color="auto"/>
                  <w:right w:val="nil"/>
                </w:tcBorders>
                <w:vAlign w:val="center"/>
              </w:tcPr>
              <w:p w14:paraId="686BFDFD" w14:textId="77777777" w:rsidR="00E57DAA" w:rsidRDefault="00AC4185">
                <w:pPr>
                  <w:jc w:val="right"/>
                  <w:rPr>
                    <w:szCs w:val="21"/>
                  </w:rPr>
                </w:pPr>
                <w:r>
                  <w:rPr>
                    <w:szCs w:val="21"/>
                  </w:rPr>
                  <w:t>99,256,191.55</w:t>
                </w:r>
              </w:p>
            </w:tc>
          </w:tr>
          <w:tr w:rsidR="00E57DAA" w14:paraId="2D48CA57" w14:textId="77777777">
            <w:trPr>
              <w:trHeight w:val="338"/>
            </w:trPr>
            <w:tc>
              <w:tcPr>
                <w:tcW w:w="1792" w:type="pct"/>
                <w:tcBorders>
                  <w:top w:val="dotted" w:sz="4" w:space="0" w:color="auto"/>
                  <w:left w:val="nil"/>
                  <w:bottom w:val="dotted" w:sz="4" w:space="0" w:color="auto"/>
                  <w:right w:val="dotted" w:sz="4" w:space="0" w:color="auto"/>
                </w:tcBorders>
                <w:vAlign w:val="center"/>
              </w:tcPr>
              <w:p w14:paraId="03F8DB8F" w14:textId="77777777" w:rsidR="00E57DAA" w:rsidRDefault="00AC4185">
                <w:pPr>
                  <w:rPr>
                    <w:szCs w:val="21"/>
                  </w:rPr>
                </w:pPr>
                <w:r>
                  <w:rPr>
                    <w:rFonts w:hint="eastAsia"/>
                    <w:szCs w:val="21"/>
                  </w:rPr>
                  <w:t>负债合计</w:t>
                </w:r>
              </w:p>
            </w:tc>
            <w:tc>
              <w:tcPr>
                <w:tcW w:w="1070" w:type="pct"/>
                <w:tcBorders>
                  <w:top w:val="dotted" w:sz="4" w:space="0" w:color="auto"/>
                  <w:left w:val="dotted" w:sz="4" w:space="0" w:color="auto"/>
                  <w:bottom w:val="dotted" w:sz="4" w:space="0" w:color="auto"/>
                  <w:right w:val="dotted" w:sz="4" w:space="0" w:color="auto"/>
                </w:tcBorders>
                <w:vAlign w:val="center"/>
              </w:tcPr>
              <w:p w14:paraId="7D0BA063" w14:textId="77777777" w:rsidR="00E57DAA" w:rsidRDefault="00AC4185">
                <w:pPr>
                  <w:jc w:val="right"/>
                  <w:rPr>
                    <w:szCs w:val="21"/>
                  </w:rPr>
                </w:pPr>
                <w:r>
                  <w:rPr>
                    <w:szCs w:val="21"/>
                  </w:rPr>
                  <w:t>31,197,827,921.51</w:t>
                </w:r>
              </w:p>
            </w:tc>
            <w:tc>
              <w:tcPr>
                <w:tcW w:w="1070" w:type="pct"/>
                <w:tcBorders>
                  <w:top w:val="dotted" w:sz="4" w:space="0" w:color="auto"/>
                  <w:left w:val="dotted" w:sz="4" w:space="0" w:color="auto"/>
                  <w:bottom w:val="dotted" w:sz="4" w:space="0" w:color="auto"/>
                  <w:right w:val="dotted" w:sz="4" w:space="0" w:color="auto"/>
                </w:tcBorders>
                <w:vAlign w:val="center"/>
              </w:tcPr>
              <w:p w14:paraId="4214F2F2" w14:textId="77777777" w:rsidR="00E57DAA" w:rsidRDefault="00AC4185">
                <w:pPr>
                  <w:jc w:val="right"/>
                  <w:rPr>
                    <w:szCs w:val="21"/>
                  </w:rPr>
                </w:pPr>
                <w:r>
                  <w:rPr>
                    <w:szCs w:val="21"/>
                  </w:rPr>
                  <w:t>11,721,263.02</w:t>
                </w:r>
              </w:p>
            </w:tc>
            <w:tc>
              <w:tcPr>
                <w:tcW w:w="1069" w:type="pct"/>
                <w:tcBorders>
                  <w:top w:val="dotted" w:sz="4" w:space="0" w:color="auto"/>
                  <w:left w:val="dotted" w:sz="4" w:space="0" w:color="auto"/>
                  <w:bottom w:val="dotted" w:sz="4" w:space="0" w:color="auto"/>
                  <w:right w:val="nil"/>
                </w:tcBorders>
                <w:vAlign w:val="center"/>
              </w:tcPr>
              <w:p w14:paraId="38B906DB" w14:textId="77777777" w:rsidR="00E57DAA" w:rsidRDefault="00AC4185">
                <w:pPr>
                  <w:jc w:val="right"/>
                  <w:rPr>
                    <w:szCs w:val="21"/>
                  </w:rPr>
                </w:pPr>
                <w:r>
                  <w:rPr>
                    <w:szCs w:val="21"/>
                  </w:rPr>
                  <w:t>31,209,549,184.53</w:t>
                </w:r>
              </w:p>
            </w:tc>
          </w:tr>
          <w:tr w:rsidR="00E57DAA" w14:paraId="1A7D983F" w14:textId="77777777">
            <w:trPr>
              <w:trHeight w:val="338"/>
            </w:trPr>
            <w:tc>
              <w:tcPr>
                <w:tcW w:w="1792" w:type="pct"/>
                <w:tcBorders>
                  <w:top w:val="dotted" w:sz="4" w:space="0" w:color="auto"/>
                  <w:left w:val="nil"/>
                  <w:bottom w:val="dotted" w:sz="4" w:space="0" w:color="auto"/>
                  <w:right w:val="dotted" w:sz="4" w:space="0" w:color="auto"/>
                </w:tcBorders>
                <w:vAlign w:val="center"/>
              </w:tcPr>
              <w:p w14:paraId="5C8729B8" w14:textId="77777777" w:rsidR="00E57DAA" w:rsidRDefault="00AC4185">
                <w:pPr>
                  <w:rPr>
                    <w:szCs w:val="21"/>
                  </w:rPr>
                </w:pPr>
                <w:r>
                  <w:rPr>
                    <w:rFonts w:hint="eastAsia"/>
                    <w:szCs w:val="21"/>
                  </w:rPr>
                  <w:t>盈余公积</w:t>
                </w:r>
              </w:p>
            </w:tc>
            <w:tc>
              <w:tcPr>
                <w:tcW w:w="1070" w:type="pct"/>
                <w:tcBorders>
                  <w:top w:val="dotted" w:sz="4" w:space="0" w:color="auto"/>
                  <w:left w:val="dotted" w:sz="4" w:space="0" w:color="auto"/>
                  <w:bottom w:val="dotted" w:sz="4" w:space="0" w:color="auto"/>
                  <w:right w:val="dotted" w:sz="4" w:space="0" w:color="auto"/>
                </w:tcBorders>
                <w:vAlign w:val="center"/>
              </w:tcPr>
              <w:p w14:paraId="485867F0" w14:textId="77777777" w:rsidR="00E57DAA" w:rsidRDefault="00AC4185">
                <w:pPr>
                  <w:jc w:val="right"/>
                  <w:rPr>
                    <w:szCs w:val="21"/>
                  </w:rPr>
                </w:pPr>
                <w:r>
                  <w:rPr>
                    <w:szCs w:val="21"/>
                  </w:rPr>
                  <w:t>976,731,583.96</w:t>
                </w:r>
              </w:p>
            </w:tc>
            <w:tc>
              <w:tcPr>
                <w:tcW w:w="1070" w:type="pct"/>
                <w:tcBorders>
                  <w:top w:val="dotted" w:sz="4" w:space="0" w:color="auto"/>
                  <w:left w:val="dotted" w:sz="4" w:space="0" w:color="auto"/>
                  <w:bottom w:val="dotted" w:sz="4" w:space="0" w:color="auto"/>
                  <w:right w:val="dotted" w:sz="4" w:space="0" w:color="auto"/>
                </w:tcBorders>
                <w:vAlign w:val="center"/>
              </w:tcPr>
              <w:p w14:paraId="029831D7" w14:textId="77777777" w:rsidR="00E57DAA" w:rsidRDefault="00AC4185">
                <w:pPr>
                  <w:jc w:val="right"/>
                  <w:rPr>
                    <w:szCs w:val="21"/>
                  </w:rPr>
                </w:pPr>
                <w:r>
                  <w:rPr>
                    <w:szCs w:val="21"/>
                  </w:rPr>
                  <w:t>16,609.96</w:t>
                </w:r>
              </w:p>
            </w:tc>
            <w:tc>
              <w:tcPr>
                <w:tcW w:w="1069" w:type="pct"/>
                <w:tcBorders>
                  <w:top w:val="dotted" w:sz="4" w:space="0" w:color="auto"/>
                  <w:left w:val="dotted" w:sz="4" w:space="0" w:color="auto"/>
                  <w:bottom w:val="dotted" w:sz="4" w:space="0" w:color="auto"/>
                  <w:right w:val="nil"/>
                </w:tcBorders>
                <w:vAlign w:val="center"/>
              </w:tcPr>
              <w:p w14:paraId="23BCBBCE" w14:textId="77777777" w:rsidR="00E57DAA" w:rsidRDefault="00AC4185">
                <w:pPr>
                  <w:jc w:val="right"/>
                  <w:rPr>
                    <w:szCs w:val="21"/>
                  </w:rPr>
                </w:pPr>
                <w:r>
                  <w:rPr>
                    <w:szCs w:val="21"/>
                  </w:rPr>
                  <w:t>976,748,193.92</w:t>
                </w:r>
              </w:p>
            </w:tc>
          </w:tr>
          <w:tr w:rsidR="00E57DAA" w14:paraId="4001ABB8" w14:textId="77777777">
            <w:trPr>
              <w:trHeight w:val="338"/>
            </w:trPr>
            <w:tc>
              <w:tcPr>
                <w:tcW w:w="1792" w:type="pct"/>
                <w:tcBorders>
                  <w:top w:val="dotted" w:sz="4" w:space="0" w:color="auto"/>
                  <w:left w:val="nil"/>
                  <w:bottom w:val="dotted" w:sz="4" w:space="0" w:color="auto"/>
                  <w:right w:val="dotted" w:sz="4" w:space="0" w:color="auto"/>
                </w:tcBorders>
                <w:vAlign w:val="center"/>
              </w:tcPr>
              <w:p w14:paraId="5F465B29" w14:textId="77777777" w:rsidR="00E57DAA" w:rsidRDefault="00AC4185">
                <w:pPr>
                  <w:rPr>
                    <w:szCs w:val="21"/>
                  </w:rPr>
                </w:pPr>
                <w:r>
                  <w:rPr>
                    <w:rFonts w:hint="eastAsia"/>
                    <w:szCs w:val="21"/>
                  </w:rPr>
                  <w:t>未分配利润</w:t>
                </w:r>
              </w:p>
            </w:tc>
            <w:tc>
              <w:tcPr>
                <w:tcW w:w="1070" w:type="pct"/>
                <w:tcBorders>
                  <w:top w:val="dotted" w:sz="4" w:space="0" w:color="auto"/>
                  <w:left w:val="dotted" w:sz="4" w:space="0" w:color="auto"/>
                  <w:bottom w:val="dotted" w:sz="4" w:space="0" w:color="auto"/>
                  <w:right w:val="dotted" w:sz="4" w:space="0" w:color="auto"/>
                </w:tcBorders>
                <w:vAlign w:val="center"/>
              </w:tcPr>
              <w:p w14:paraId="29242F87" w14:textId="77777777" w:rsidR="00E57DAA" w:rsidRDefault="00AC4185">
                <w:pPr>
                  <w:jc w:val="right"/>
                  <w:rPr>
                    <w:szCs w:val="21"/>
                  </w:rPr>
                </w:pPr>
                <w:r>
                  <w:rPr>
                    <w:szCs w:val="21"/>
                  </w:rPr>
                  <w:t>13,076,993,043.62</w:t>
                </w:r>
              </w:p>
            </w:tc>
            <w:tc>
              <w:tcPr>
                <w:tcW w:w="1070" w:type="pct"/>
                <w:tcBorders>
                  <w:top w:val="dotted" w:sz="4" w:space="0" w:color="auto"/>
                  <w:left w:val="dotted" w:sz="4" w:space="0" w:color="auto"/>
                  <w:bottom w:val="dotted" w:sz="4" w:space="0" w:color="auto"/>
                  <w:right w:val="dotted" w:sz="4" w:space="0" w:color="auto"/>
                </w:tcBorders>
                <w:vAlign w:val="center"/>
              </w:tcPr>
              <w:p w14:paraId="6C401CA4" w14:textId="77777777" w:rsidR="00E57DAA" w:rsidRDefault="00AC4185">
                <w:pPr>
                  <w:jc w:val="right"/>
                  <w:rPr>
                    <w:szCs w:val="21"/>
                  </w:rPr>
                </w:pPr>
                <w:r>
                  <w:rPr>
                    <w:szCs w:val="21"/>
                  </w:rPr>
                  <w:t>808,125.40</w:t>
                </w:r>
              </w:p>
            </w:tc>
            <w:tc>
              <w:tcPr>
                <w:tcW w:w="1069" w:type="pct"/>
                <w:tcBorders>
                  <w:top w:val="dotted" w:sz="4" w:space="0" w:color="auto"/>
                  <w:left w:val="dotted" w:sz="4" w:space="0" w:color="auto"/>
                  <w:bottom w:val="dotted" w:sz="4" w:space="0" w:color="auto"/>
                  <w:right w:val="nil"/>
                </w:tcBorders>
                <w:vAlign w:val="center"/>
              </w:tcPr>
              <w:p w14:paraId="7297AE2B" w14:textId="77777777" w:rsidR="00E57DAA" w:rsidRDefault="00AC4185">
                <w:pPr>
                  <w:jc w:val="right"/>
                  <w:rPr>
                    <w:szCs w:val="21"/>
                  </w:rPr>
                </w:pPr>
                <w:r>
                  <w:rPr>
                    <w:szCs w:val="21"/>
                  </w:rPr>
                  <w:t>13,077,801,169.02</w:t>
                </w:r>
              </w:p>
            </w:tc>
          </w:tr>
          <w:tr w:rsidR="00E57DAA" w14:paraId="35F3B5D9" w14:textId="77777777">
            <w:trPr>
              <w:trHeight w:val="338"/>
            </w:trPr>
            <w:tc>
              <w:tcPr>
                <w:tcW w:w="1792" w:type="pct"/>
                <w:tcBorders>
                  <w:top w:val="dotted" w:sz="4" w:space="0" w:color="auto"/>
                  <w:left w:val="nil"/>
                  <w:bottom w:val="dotted" w:sz="4" w:space="0" w:color="auto"/>
                  <w:right w:val="dotted" w:sz="4" w:space="0" w:color="auto"/>
                </w:tcBorders>
                <w:vAlign w:val="center"/>
              </w:tcPr>
              <w:p w14:paraId="1B2594AD" w14:textId="77777777" w:rsidR="00E57DAA" w:rsidRDefault="00AC4185">
                <w:pPr>
                  <w:rPr>
                    <w:szCs w:val="21"/>
                  </w:rPr>
                </w:pPr>
                <w:r>
                  <w:rPr>
                    <w:rFonts w:hint="eastAsia"/>
                    <w:szCs w:val="21"/>
                  </w:rPr>
                  <w:t>归属于母公司股东权益合计</w:t>
                </w:r>
              </w:p>
            </w:tc>
            <w:tc>
              <w:tcPr>
                <w:tcW w:w="1070" w:type="pct"/>
                <w:tcBorders>
                  <w:top w:val="dotted" w:sz="4" w:space="0" w:color="auto"/>
                  <w:left w:val="dotted" w:sz="4" w:space="0" w:color="auto"/>
                  <w:bottom w:val="dotted" w:sz="4" w:space="0" w:color="auto"/>
                  <w:right w:val="dotted" w:sz="4" w:space="0" w:color="auto"/>
                </w:tcBorders>
                <w:vAlign w:val="center"/>
              </w:tcPr>
              <w:p w14:paraId="0BC57ABB" w14:textId="77777777" w:rsidR="00E57DAA" w:rsidRDefault="00AC4185">
                <w:pPr>
                  <w:jc w:val="right"/>
                  <w:rPr>
                    <w:szCs w:val="21"/>
                  </w:rPr>
                </w:pPr>
                <w:r>
                  <w:rPr>
                    <w:szCs w:val="21"/>
                  </w:rPr>
                  <w:t>17,427,578,168.78</w:t>
                </w:r>
              </w:p>
            </w:tc>
            <w:tc>
              <w:tcPr>
                <w:tcW w:w="1070" w:type="pct"/>
                <w:tcBorders>
                  <w:top w:val="dotted" w:sz="4" w:space="0" w:color="auto"/>
                  <w:left w:val="dotted" w:sz="4" w:space="0" w:color="auto"/>
                  <w:bottom w:val="dotted" w:sz="4" w:space="0" w:color="auto"/>
                  <w:right w:val="dotted" w:sz="4" w:space="0" w:color="auto"/>
                </w:tcBorders>
                <w:vAlign w:val="center"/>
              </w:tcPr>
              <w:p w14:paraId="32020F28" w14:textId="77777777" w:rsidR="00E57DAA" w:rsidRDefault="00AC4185">
                <w:pPr>
                  <w:jc w:val="right"/>
                  <w:rPr>
                    <w:szCs w:val="21"/>
                  </w:rPr>
                </w:pPr>
                <w:r>
                  <w:rPr>
                    <w:szCs w:val="21"/>
                  </w:rPr>
                  <w:t>824,735.36</w:t>
                </w:r>
              </w:p>
            </w:tc>
            <w:tc>
              <w:tcPr>
                <w:tcW w:w="1069" w:type="pct"/>
                <w:tcBorders>
                  <w:top w:val="dotted" w:sz="4" w:space="0" w:color="auto"/>
                  <w:left w:val="dotted" w:sz="4" w:space="0" w:color="auto"/>
                  <w:bottom w:val="dotted" w:sz="4" w:space="0" w:color="auto"/>
                  <w:right w:val="nil"/>
                </w:tcBorders>
                <w:vAlign w:val="center"/>
              </w:tcPr>
              <w:p w14:paraId="140C465A" w14:textId="77777777" w:rsidR="00E57DAA" w:rsidRDefault="00AC4185">
                <w:pPr>
                  <w:jc w:val="right"/>
                  <w:rPr>
                    <w:szCs w:val="21"/>
                  </w:rPr>
                </w:pPr>
                <w:r>
                  <w:rPr>
                    <w:szCs w:val="21"/>
                  </w:rPr>
                  <w:t>17,428,402,904.14</w:t>
                </w:r>
              </w:p>
            </w:tc>
          </w:tr>
          <w:tr w:rsidR="00E57DAA" w14:paraId="44304A2D" w14:textId="77777777">
            <w:trPr>
              <w:trHeight w:val="338"/>
            </w:trPr>
            <w:tc>
              <w:tcPr>
                <w:tcW w:w="1792" w:type="pct"/>
                <w:tcBorders>
                  <w:top w:val="dotted" w:sz="4" w:space="0" w:color="auto"/>
                  <w:left w:val="nil"/>
                  <w:bottom w:val="dotted" w:sz="4" w:space="0" w:color="auto"/>
                  <w:right w:val="dotted" w:sz="4" w:space="0" w:color="auto"/>
                </w:tcBorders>
                <w:vAlign w:val="center"/>
              </w:tcPr>
              <w:p w14:paraId="619426CA" w14:textId="77777777" w:rsidR="00E57DAA" w:rsidRDefault="00AC4185">
                <w:pPr>
                  <w:rPr>
                    <w:szCs w:val="21"/>
                  </w:rPr>
                </w:pPr>
                <w:r>
                  <w:rPr>
                    <w:rFonts w:hint="eastAsia"/>
                    <w:szCs w:val="21"/>
                  </w:rPr>
                  <w:t>少数股东权益</w:t>
                </w:r>
              </w:p>
            </w:tc>
            <w:tc>
              <w:tcPr>
                <w:tcW w:w="1070" w:type="pct"/>
                <w:tcBorders>
                  <w:top w:val="dotted" w:sz="4" w:space="0" w:color="auto"/>
                  <w:left w:val="dotted" w:sz="4" w:space="0" w:color="auto"/>
                  <w:bottom w:val="dotted" w:sz="4" w:space="0" w:color="auto"/>
                  <w:right w:val="dotted" w:sz="4" w:space="0" w:color="auto"/>
                </w:tcBorders>
                <w:vAlign w:val="center"/>
              </w:tcPr>
              <w:p w14:paraId="0BA0EEE0" w14:textId="77777777" w:rsidR="00E57DAA" w:rsidRDefault="00AC4185">
                <w:pPr>
                  <w:jc w:val="right"/>
                  <w:rPr>
                    <w:szCs w:val="21"/>
                  </w:rPr>
                </w:pPr>
                <w:r>
                  <w:rPr>
                    <w:szCs w:val="21"/>
                  </w:rPr>
                  <w:t>1,428,981,069.73</w:t>
                </w:r>
              </w:p>
            </w:tc>
            <w:tc>
              <w:tcPr>
                <w:tcW w:w="1070" w:type="pct"/>
                <w:tcBorders>
                  <w:top w:val="dotted" w:sz="4" w:space="0" w:color="auto"/>
                  <w:left w:val="dotted" w:sz="4" w:space="0" w:color="auto"/>
                  <w:bottom w:val="dotted" w:sz="4" w:space="0" w:color="auto"/>
                  <w:right w:val="dotted" w:sz="4" w:space="0" w:color="auto"/>
                </w:tcBorders>
                <w:vAlign w:val="center"/>
              </w:tcPr>
              <w:p w14:paraId="37F8B289" w14:textId="77777777" w:rsidR="00E57DAA" w:rsidRDefault="00AC4185">
                <w:pPr>
                  <w:jc w:val="right"/>
                  <w:rPr>
                    <w:szCs w:val="21"/>
                  </w:rPr>
                </w:pPr>
                <w:r>
                  <w:rPr>
                    <w:szCs w:val="21"/>
                  </w:rPr>
                  <w:t>758,481.65</w:t>
                </w:r>
              </w:p>
            </w:tc>
            <w:tc>
              <w:tcPr>
                <w:tcW w:w="1069" w:type="pct"/>
                <w:tcBorders>
                  <w:top w:val="dotted" w:sz="4" w:space="0" w:color="auto"/>
                  <w:left w:val="dotted" w:sz="4" w:space="0" w:color="auto"/>
                  <w:bottom w:val="dotted" w:sz="4" w:space="0" w:color="auto"/>
                  <w:right w:val="nil"/>
                </w:tcBorders>
                <w:vAlign w:val="center"/>
              </w:tcPr>
              <w:p w14:paraId="5AE5FD39" w14:textId="77777777" w:rsidR="00E57DAA" w:rsidRDefault="00AC4185">
                <w:pPr>
                  <w:jc w:val="right"/>
                  <w:rPr>
                    <w:szCs w:val="21"/>
                  </w:rPr>
                </w:pPr>
                <w:r>
                  <w:rPr>
                    <w:szCs w:val="21"/>
                  </w:rPr>
                  <w:t>1,429,739,551.38</w:t>
                </w:r>
              </w:p>
            </w:tc>
          </w:tr>
          <w:tr w:rsidR="00E57DAA" w14:paraId="7E34CCD2" w14:textId="77777777">
            <w:trPr>
              <w:trHeight w:val="338"/>
            </w:trPr>
            <w:tc>
              <w:tcPr>
                <w:tcW w:w="1792" w:type="pct"/>
                <w:tcBorders>
                  <w:top w:val="dotted" w:sz="4" w:space="0" w:color="auto"/>
                  <w:left w:val="nil"/>
                  <w:bottom w:val="single" w:sz="12" w:space="0" w:color="auto"/>
                  <w:right w:val="dotted" w:sz="4" w:space="0" w:color="auto"/>
                </w:tcBorders>
                <w:vAlign w:val="center"/>
              </w:tcPr>
              <w:p w14:paraId="0B9A6B5B" w14:textId="77777777" w:rsidR="00E57DAA" w:rsidRDefault="00AC4185">
                <w:pPr>
                  <w:rPr>
                    <w:szCs w:val="21"/>
                  </w:rPr>
                </w:pPr>
                <w:r>
                  <w:rPr>
                    <w:rFonts w:hint="eastAsia"/>
                    <w:szCs w:val="21"/>
                  </w:rPr>
                  <w:t>股东权益合计</w:t>
                </w:r>
              </w:p>
            </w:tc>
            <w:tc>
              <w:tcPr>
                <w:tcW w:w="1070" w:type="pct"/>
                <w:tcBorders>
                  <w:top w:val="dotted" w:sz="4" w:space="0" w:color="auto"/>
                  <w:left w:val="dotted" w:sz="4" w:space="0" w:color="auto"/>
                  <w:bottom w:val="single" w:sz="12" w:space="0" w:color="auto"/>
                  <w:right w:val="dotted" w:sz="4" w:space="0" w:color="auto"/>
                </w:tcBorders>
                <w:vAlign w:val="center"/>
              </w:tcPr>
              <w:p w14:paraId="3E152EB7" w14:textId="77777777" w:rsidR="00E57DAA" w:rsidRDefault="00AC4185">
                <w:pPr>
                  <w:jc w:val="right"/>
                  <w:rPr>
                    <w:szCs w:val="21"/>
                  </w:rPr>
                </w:pPr>
                <w:r>
                  <w:rPr>
                    <w:szCs w:val="21"/>
                  </w:rPr>
                  <w:t>18,856,559,238.51</w:t>
                </w:r>
              </w:p>
            </w:tc>
            <w:tc>
              <w:tcPr>
                <w:tcW w:w="1070" w:type="pct"/>
                <w:tcBorders>
                  <w:top w:val="dotted" w:sz="4" w:space="0" w:color="auto"/>
                  <w:left w:val="dotted" w:sz="4" w:space="0" w:color="auto"/>
                  <w:bottom w:val="single" w:sz="12" w:space="0" w:color="auto"/>
                  <w:right w:val="dotted" w:sz="4" w:space="0" w:color="auto"/>
                </w:tcBorders>
                <w:vAlign w:val="center"/>
              </w:tcPr>
              <w:p w14:paraId="4DAE0636" w14:textId="77777777" w:rsidR="00E57DAA" w:rsidRDefault="00AC4185">
                <w:pPr>
                  <w:jc w:val="right"/>
                  <w:rPr>
                    <w:szCs w:val="21"/>
                  </w:rPr>
                </w:pPr>
                <w:r>
                  <w:rPr>
                    <w:szCs w:val="21"/>
                  </w:rPr>
                  <w:t>1,583,217.01</w:t>
                </w:r>
              </w:p>
            </w:tc>
            <w:tc>
              <w:tcPr>
                <w:tcW w:w="1069" w:type="pct"/>
                <w:tcBorders>
                  <w:top w:val="dotted" w:sz="4" w:space="0" w:color="auto"/>
                  <w:left w:val="dotted" w:sz="4" w:space="0" w:color="auto"/>
                  <w:bottom w:val="single" w:sz="12" w:space="0" w:color="auto"/>
                  <w:right w:val="nil"/>
                </w:tcBorders>
                <w:vAlign w:val="center"/>
              </w:tcPr>
              <w:p w14:paraId="28311664" w14:textId="77777777" w:rsidR="00E57DAA" w:rsidRDefault="00AC4185">
                <w:pPr>
                  <w:jc w:val="right"/>
                  <w:rPr>
                    <w:szCs w:val="21"/>
                  </w:rPr>
                </w:pPr>
                <w:r>
                  <w:rPr>
                    <w:szCs w:val="21"/>
                  </w:rPr>
                  <w:t>18,858,142,455.52</w:t>
                </w:r>
              </w:p>
            </w:tc>
          </w:tr>
        </w:tbl>
        <w:p w14:paraId="4AA293F7" w14:textId="77777777" w:rsidR="00E57DAA" w:rsidRDefault="00AC4185">
          <w:pPr>
            <w:rPr>
              <w:szCs w:val="21"/>
            </w:rPr>
          </w:pPr>
          <w:r>
            <w:rPr>
              <w:rFonts w:hint="eastAsia"/>
              <w:szCs w:val="21"/>
            </w:rPr>
            <w:t>根据解释</w:t>
          </w:r>
          <w:r>
            <w:rPr>
              <w:szCs w:val="21"/>
            </w:rPr>
            <w:t>16号的规定，本公司对利润表相关项目调整如下：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CellMar>
              <w:left w:w="28" w:type="dxa"/>
              <w:right w:w="28" w:type="dxa"/>
            </w:tblCellMar>
            <w:tblLook w:val="04A0" w:firstRow="1" w:lastRow="0" w:firstColumn="1" w:lastColumn="0" w:noHBand="0" w:noVBand="1"/>
          </w:tblPr>
          <w:tblGrid>
            <w:gridCol w:w="3165"/>
            <w:gridCol w:w="1890"/>
            <w:gridCol w:w="1890"/>
            <w:gridCol w:w="1888"/>
          </w:tblGrid>
          <w:tr w:rsidR="00E57DAA" w14:paraId="042060A5" w14:textId="77777777">
            <w:trPr>
              <w:trHeight w:val="377"/>
              <w:tblHeader/>
            </w:trPr>
            <w:tc>
              <w:tcPr>
                <w:tcW w:w="1791" w:type="pct"/>
                <w:vMerge w:val="restart"/>
                <w:tcBorders>
                  <w:top w:val="single" w:sz="12" w:space="0" w:color="auto"/>
                  <w:left w:val="nil"/>
                  <w:bottom w:val="dotted" w:sz="4" w:space="0" w:color="auto"/>
                  <w:right w:val="dotted" w:sz="4" w:space="0" w:color="auto"/>
                </w:tcBorders>
                <w:vAlign w:val="center"/>
              </w:tcPr>
              <w:p w14:paraId="5A135859" w14:textId="77777777" w:rsidR="00E57DAA" w:rsidRDefault="00AC4185">
                <w:pPr>
                  <w:rPr>
                    <w:szCs w:val="21"/>
                  </w:rPr>
                </w:pPr>
                <w:r>
                  <w:rPr>
                    <w:rFonts w:hint="eastAsia"/>
                    <w:szCs w:val="21"/>
                  </w:rPr>
                  <w:lastRenderedPageBreak/>
                  <w:t>利润表项目</w:t>
                </w:r>
              </w:p>
            </w:tc>
            <w:tc>
              <w:tcPr>
                <w:tcW w:w="3209" w:type="pct"/>
                <w:gridSpan w:val="3"/>
                <w:tcBorders>
                  <w:top w:val="single" w:sz="12" w:space="0" w:color="auto"/>
                  <w:left w:val="dotted" w:sz="4" w:space="0" w:color="auto"/>
                  <w:bottom w:val="dotted" w:sz="4" w:space="0" w:color="auto"/>
                  <w:right w:val="nil"/>
                </w:tcBorders>
                <w:vAlign w:val="center"/>
              </w:tcPr>
              <w:p w14:paraId="33314492" w14:textId="77777777" w:rsidR="00E57DAA" w:rsidRDefault="00AC4185">
                <w:pPr>
                  <w:jc w:val="center"/>
                  <w:rPr>
                    <w:szCs w:val="21"/>
                  </w:rPr>
                </w:pPr>
                <w:r>
                  <w:rPr>
                    <w:rFonts w:hint="eastAsia"/>
                    <w:szCs w:val="21"/>
                  </w:rPr>
                  <w:t>2022年度</w:t>
                </w:r>
              </w:p>
            </w:tc>
          </w:tr>
          <w:tr w:rsidR="00E57DAA" w14:paraId="42D82F15" w14:textId="77777777">
            <w:trPr>
              <w:trHeight w:val="293"/>
              <w:tblHeader/>
            </w:trPr>
            <w:tc>
              <w:tcPr>
                <w:tcW w:w="1791" w:type="pct"/>
                <w:vMerge/>
                <w:tcBorders>
                  <w:top w:val="single" w:sz="12" w:space="0" w:color="auto"/>
                  <w:left w:val="nil"/>
                  <w:bottom w:val="dotted" w:sz="4" w:space="0" w:color="auto"/>
                  <w:right w:val="dotted" w:sz="4" w:space="0" w:color="auto"/>
                </w:tcBorders>
                <w:vAlign w:val="center"/>
              </w:tcPr>
              <w:p w14:paraId="692857FB" w14:textId="77777777" w:rsidR="00E57DAA" w:rsidRDefault="00E57DAA">
                <w:pPr>
                  <w:rPr>
                    <w:szCs w:val="21"/>
                  </w:rPr>
                </w:pPr>
              </w:p>
            </w:tc>
            <w:tc>
              <w:tcPr>
                <w:tcW w:w="1070" w:type="pct"/>
                <w:tcBorders>
                  <w:top w:val="dotted" w:sz="4" w:space="0" w:color="auto"/>
                  <w:left w:val="dotted" w:sz="4" w:space="0" w:color="auto"/>
                  <w:bottom w:val="dotted" w:sz="4" w:space="0" w:color="auto"/>
                  <w:right w:val="dotted" w:sz="4" w:space="0" w:color="auto"/>
                </w:tcBorders>
                <w:vAlign w:val="center"/>
              </w:tcPr>
              <w:p w14:paraId="4BC4214F" w14:textId="77777777" w:rsidR="00E57DAA" w:rsidRDefault="00AC4185">
                <w:pPr>
                  <w:jc w:val="center"/>
                  <w:rPr>
                    <w:szCs w:val="21"/>
                  </w:rPr>
                </w:pPr>
                <w:r>
                  <w:rPr>
                    <w:rFonts w:hint="eastAsia"/>
                    <w:szCs w:val="21"/>
                  </w:rPr>
                  <w:t>变更前</w:t>
                </w:r>
              </w:p>
            </w:tc>
            <w:tc>
              <w:tcPr>
                <w:tcW w:w="1070" w:type="pct"/>
                <w:tcBorders>
                  <w:top w:val="dotted" w:sz="4" w:space="0" w:color="auto"/>
                  <w:left w:val="dotted" w:sz="4" w:space="0" w:color="auto"/>
                  <w:bottom w:val="dotted" w:sz="4" w:space="0" w:color="auto"/>
                  <w:right w:val="dotted" w:sz="4" w:space="0" w:color="auto"/>
                </w:tcBorders>
                <w:vAlign w:val="center"/>
              </w:tcPr>
              <w:p w14:paraId="3E3EA778" w14:textId="77777777" w:rsidR="00E57DAA" w:rsidRDefault="00AC4185">
                <w:pPr>
                  <w:jc w:val="center"/>
                  <w:rPr>
                    <w:szCs w:val="21"/>
                  </w:rPr>
                </w:pPr>
                <w:r>
                  <w:rPr>
                    <w:rFonts w:hint="eastAsia"/>
                    <w:szCs w:val="21"/>
                  </w:rPr>
                  <w:t>累计影响金额</w:t>
                </w:r>
              </w:p>
            </w:tc>
            <w:tc>
              <w:tcPr>
                <w:tcW w:w="1069" w:type="pct"/>
                <w:tcBorders>
                  <w:top w:val="dotted" w:sz="4" w:space="0" w:color="auto"/>
                  <w:left w:val="dotted" w:sz="4" w:space="0" w:color="auto"/>
                  <w:bottom w:val="dotted" w:sz="4" w:space="0" w:color="auto"/>
                  <w:right w:val="nil"/>
                </w:tcBorders>
                <w:vAlign w:val="center"/>
              </w:tcPr>
              <w:p w14:paraId="04AB8349" w14:textId="77777777" w:rsidR="00E57DAA" w:rsidRDefault="00AC4185">
                <w:pPr>
                  <w:jc w:val="center"/>
                  <w:rPr>
                    <w:szCs w:val="21"/>
                  </w:rPr>
                </w:pPr>
                <w:r>
                  <w:rPr>
                    <w:rFonts w:hint="eastAsia"/>
                    <w:szCs w:val="21"/>
                  </w:rPr>
                  <w:t>变更后</w:t>
                </w:r>
              </w:p>
            </w:tc>
          </w:tr>
          <w:tr w:rsidR="00E57DAA" w14:paraId="483BFC9B" w14:textId="77777777">
            <w:trPr>
              <w:trHeight w:val="338"/>
            </w:trPr>
            <w:tc>
              <w:tcPr>
                <w:tcW w:w="1791" w:type="pct"/>
                <w:tcBorders>
                  <w:top w:val="dotted" w:sz="4" w:space="0" w:color="auto"/>
                  <w:left w:val="nil"/>
                  <w:bottom w:val="dotted" w:sz="4" w:space="0" w:color="auto"/>
                  <w:right w:val="dotted" w:sz="4" w:space="0" w:color="auto"/>
                </w:tcBorders>
                <w:vAlign w:val="center"/>
              </w:tcPr>
              <w:p w14:paraId="7A930EDE" w14:textId="77777777" w:rsidR="00E57DAA" w:rsidRDefault="00AC4185">
                <w:pPr>
                  <w:rPr>
                    <w:szCs w:val="21"/>
                  </w:rPr>
                </w:pPr>
                <w:r>
                  <w:rPr>
                    <w:rFonts w:hint="eastAsia"/>
                    <w:szCs w:val="21"/>
                  </w:rPr>
                  <w:t>所得税费用</w:t>
                </w:r>
              </w:p>
            </w:tc>
            <w:tc>
              <w:tcPr>
                <w:tcW w:w="1070" w:type="pct"/>
                <w:tcBorders>
                  <w:top w:val="dotted" w:sz="4" w:space="0" w:color="auto"/>
                  <w:left w:val="dotted" w:sz="4" w:space="0" w:color="auto"/>
                  <w:bottom w:val="dotted" w:sz="4" w:space="0" w:color="auto"/>
                  <w:right w:val="dotted" w:sz="4" w:space="0" w:color="auto"/>
                </w:tcBorders>
                <w:vAlign w:val="center"/>
              </w:tcPr>
              <w:p w14:paraId="76AE5D78" w14:textId="77777777" w:rsidR="00E57DAA" w:rsidRDefault="00AC4185">
                <w:pPr>
                  <w:jc w:val="right"/>
                  <w:rPr>
                    <w:szCs w:val="21"/>
                  </w:rPr>
                </w:pPr>
                <w:r>
                  <w:rPr>
                    <w:szCs w:val="21"/>
                  </w:rPr>
                  <w:t>426,555,719.28</w:t>
                </w:r>
              </w:p>
            </w:tc>
            <w:tc>
              <w:tcPr>
                <w:tcW w:w="1070" w:type="pct"/>
                <w:tcBorders>
                  <w:top w:val="dotted" w:sz="4" w:space="0" w:color="auto"/>
                  <w:left w:val="dotted" w:sz="4" w:space="0" w:color="auto"/>
                  <w:bottom w:val="dotted" w:sz="4" w:space="0" w:color="auto"/>
                  <w:right w:val="dotted" w:sz="4" w:space="0" w:color="auto"/>
                </w:tcBorders>
                <w:vAlign w:val="center"/>
              </w:tcPr>
              <w:p w14:paraId="1A44CA7E" w14:textId="77777777" w:rsidR="00E57DAA" w:rsidRDefault="00AC4185">
                <w:pPr>
                  <w:jc w:val="right"/>
                  <w:rPr>
                    <w:szCs w:val="21"/>
                  </w:rPr>
                </w:pPr>
                <w:r>
                  <w:rPr>
                    <w:szCs w:val="21"/>
                  </w:rPr>
                  <w:t>-1,378,058.30</w:t>
                </w:r>
              </w:p>
            </w:tc>
            <w:tc>
              <w:tcPr>
                <w:tcW w:w="1069" w:type="pct"/>
                <w:tcBorders>
                  <w:top w:val="dotted" w:sz="4" w:space="0" w:color="auto"/>
                  <w:left w:val="dotted" w:sz="4" w:space="0" w:color="auto"/>
                  <w:bottom w:val="dotted" w:sz="4" w:space="0" w:color="auto"/>
                  <w:right w:val="nil"/>
                </w:tcBorders>
                <w:vAlign w:val="center"/>
              </w:tcPr>
              <w:p w14:paraId="5C190E07" w14:textId="77777777" w:rsidR="00E57DAA" w:rsidRDefault="00AC4185">
                <w:pPr>
                  <w:jc w:val="right"/>
                  <w:rPr>
                    <w:szCs w:val="21"/>
                  </w:rPr>
                </w:pPr>
                <w:r>
                  <w:rPr>
                    <w:szCs w:val="21"/>
                  </w:rPr>
                  <w:t>425,177,660.98</w:t>
                </w:r>
              </w:p>
            </w:tc>
          </w:tr>
          <w:tr w:rsidR="00E57DAA" w14:paraId="100B5C74" w14:textId="77777777">
            <w:trPr>
              <w:trHeight w:val="338"/>
            </w:trPr>
            <w:tc>
              <w:tcPr>
                <w:tcW w:w="1791" w:type="pct"/>
                <w:tcBorders>
                  <w:top w:val="dotted" w:sz="4" w:space="0" w:color="auto"/>
                  <w:left w:val="nil"/>
                  <w:bottom w:val="dotted" w:sz="4" w:space="0" w:color="auto"/>
                  <w:right w:val="dotted" w:sz="4" w:space="0" w:color="auto"/>
                </w:tcBorders>
                <w:vAlign w:val="center"/>
              </w:tcPr>
              <w:p w14:paraId="4056ACE3" w14:textId="77777777" w:rsidR="00E57DAA" w:rsidRDefault="00AC4185">
                <w:pPr>
                  <w:rPr>
                    <w:szCs w:val="21"/>
                  </w:rPr>
                </w:pPr>
                <w:r>
                  <w:rPr>
                    <w:rFonts w:hint="eastAsia"/>
                    <w:szCs w:val="21"/>
                  </w:rPr>
                  <w:t>净利润</w:t>
                </w:r>
              </w:p>
            </w:tc>
            <w:tc>
              <w:tcPr>
                <w:tcW w:w="1070" w:type="pct"/>
                <w:tcBorders>
                  <w:top w:val="dotted" w:sz="4" w:space="0" w:color="auto"/>
                  <w:left w:val="dotted" w:sz="4" w:space="0" w:color="auto"/>
                  <w:bottom w:val="dotted" w:sz="4" w:space="0" w:color="auto"/>
                  <w:right w:val="dotted" w:sz="4" w:space="0" w:color="auto"/>
                </w:tcBorders>
                <w:vAlign w:val="center"/>
              </w:tcPr>
              <w:p w14:paraId="58334D7D" w14:textId="77777777" w:rsidR="00E57DAA" w:rsidRDefault="00AC4185">
                <w:pPr>
                  <w:jc w:val="right"/>
                  <w:rPr>
                    <w:szCs w:val="21"/>
                  </w:rPr>
                </w:pPr>
                <w:r>
                  <w:rPr>
                    <w:szCs w:val="21"/>
                  </w:rPr>
                  <w:t>2,823,038,383.21</w:t>
                </w:r>
              </w:p>
            </w:tc>
            <w:tc>
              <w:tcPr>
                <w:tcW w:w="1070" w:type="pct"/>
                <w:tcBorders>
                  <w:top w:val="dotted" w:sz="4" w:space="0" w:color="auto"/>
                  <w:left w:val="dotted" w:sz="4" w:space="0" w:color="auto"/>
                  <w:bottom w:val="dotted" w:sz="4" w:space="0" w:color="auto"/>
                  <w:right w:val="dotted" w:sz="4" w:space="0" w:color="auto"/>
                </w:tcBorders>
                <w:vAlign w:val="center"/>
              </w:tcPr>
              <w:p w14:paraId="4330AA1F" w14:textId="77777777" w:rsidR="00E57DAA" w:rsidRDefault="00AC4185">
                <w:pPr>
                  <w:jc w:val="right"/>
                  <w:rPr>
                    <w:szCs w:val="21"/>
                  </w:rPr>
                </w:pPr>
                <w:r>
                  <w:rPr>
                    <w:szCs w:val="21"/>
                  </w:rPr>
                  <w:t>1,378,058.30</w:t>
                </w:r>
              </w:p>
            </w:tc>
            <w:tc>
              <w:tcPr>
                <w:tcW w:w="1069" w:type="pct"/>
                <w:tcBorders>
                  <w:top w:val="dotted" w:sz="4" w:space="0" w:color="auto"/>
                  <w:left w:val="dotted" w:sz="4" w:space="0" w:color="auto"/>
                  <w:bottom w:val="dotted" w:sz="4" w:space="0" w:color="auto"/>
                  <w:right w:val="nil"/>
                </w:tcBorders>
                <w:vAlign w:val="center"/>
              </w:tcPr>
              <w:p w14:paraId="3CFB4ED0" w14:textId="77777777" w:rsidR="00E57DAA" w:rsidRDefault="00AC4185">
                <w:pPr>
                  <w:jc w:val="right"/>
                  <w:rPr>
                    <w:szCs w:val="21"/>
                  </w:rPr>
                </w:pPr>
                <w:r>
                  <w:rPr>
                    <w:szCs w:val="21"/>
                  </w:rPr>
                  <w:t>2,824,416,441.51</w:t>
                </w:r>
              </w:p>
            </w:tc>
          </w:tr>
          <w:tr w:rsidR="00E57DAA" w14:paraId="4B98E00D" w14:textId="77777777">
            <w:trPr>
              <w:trHeight w:val="338"/>
            </w:trPr>
            <w:tc>
              <w:tcPr>
                <w:tcW w:w="1791" w:type="pct"/>
                <w:tcBorders>
                  <w:top w:val="dotted" w:sz="4" w:space="0" w:color="auto"/>
                  <w:left w:val="nil"/>
                  <w:bottom w:val="dotted" w:sz="4" w:space="0" w:color="auto"/>
                  <w:right w:val="dotted" w:sz="4" w:space="0" w:color="auto"/>
                </w:tcBorders>
                <w:vAlign w:val="center"/>
              </w:tcPr>
              <w:p w14:paraId="1EE68E48" w14:textId="77777777" w:rsidR="00E57DAA" w:rsidRDefault="00AC4185">
                <w:pPr>
                  <w:rPr>
                    <w:szCs w:val="21"/>
                  </w:rPr>
                </w:pPr>
                <w:r>
                  <w:rPr>
                    <w:rFonts w:hint="eastAsia"/>
                    <w:szCs w:val="21"/>
                  </w:rPr>
                  <w:t>归属于母公司所有者的净利润</w:t>
                </w:r>
              </w:p>
            </w:tc>
            <w:tc>
              <w:tcPr>
                <w:tcW w:w="1070" w:type="pct"/>
                <w:tcBorders>
                  <w:top w:val="dotted" w:sz="4" w:space="0" w:color="auto"/>
                  <w:left w:val="dotted" w:sz="4" w:space="0" w:color="auto"/>
                  <w:bottom w:val="dotted" w:sz="4" w:space="0" w:color="auto"/>
                  <w:right w:val="dotted" w:sz="4" w:space="0" w:color="auto"/>
                </w:tcBorders>
                <w:vAlign w:val="center"/>
              </w:tcPr>
              <w:p w14:paraId="0DED2638" w14:textId="77777777" w:rsidR="00E57DAA" w:rsidRDefault="00AC4185">
                <w:pPr>
                  <w:jc w:val="right"/>
                  <w:rPr>
                    <w:szCs w:val="21"/>
                  </w:rPr>
                </w:pPr>
                <w:r>
                  <w:rPr>
                    <w:szCs w:val="21"/>
                  </w:rPr>
                  <w:t>2,540,490,007.24</w:t>
                </w:r>
              </w:p>
            </w:tc>
            <w:tc>
              <w:tcPr>
                <w:tcW w:w="1070" w:type="pct"/>
                <w:tcBorders>
                  <w:top w:val="dotted" w:sz="4" w:space="0" w:color="auto"/>
                  <w:left w:val="dotted" w:sz="4" w:space="0" w:color="auto"/>
                  <w:bottom w:val="dotted" w:sz="4" w:space="0" w:color="auto"/>
                  <w:right w:val="dotted" w:sz="4" w:space="0" w:color="auto"/>
                </w:tcBorders>
                <w:vAlign w:val="center"/>
              </w:tcPr>
              <w:p w14:paraId="5DDFDF73" w14:textId="77777777" w:rsidR="00E57DAA" w:rsidRDefault="00AC4185">
                <w:pPr>
                  <w:jc w:val="right"/>
                  <w:rPr>
                    <w:szCs w:val="21"/>
                  </w:rPr>
                </w:pPr>
                <w:r>
                  <w:rPr>
                    <w:szCs w:val="21"/>
                  </w:rPr>
                  <w:t>729,854.94</w:t>
                </w:r>
              </w:p>
            </w:tc>
            <w:tc>
              <w:tcPr>
                <w:tcW w:w="1069" w:type="pct"/>
                <w:tcBorders>
                  <w:top w:val="dotted" w:sz="4" w:space="0" w:color="auto"/>
                  <w:left w:val="dotted" w:sz="4" w:space="0" w:color="auto"/>
                  <w:bottom w:val="dotted" w:sz="4" w:space="0" w:color="auto"/>
                  <w:right w:val="nil"/>
                </w:tcBorders>
                <w:vAlign w:val="center"/>
              </w:tcPr>
              <w:p w14:paraId="708C25F3" w14:textId="77777777" w:rsidR="00E57DAA" w:rsidRDefault="00AC4185">
                <w:pPr>
                  <w:jc w:val="right"/>
                  <w:rPr>
                    <w:szCs w:val="21"/>
                  </w:rPr>
                </w:pPr>
                <w:r>
                  <w:rPr>
                    <w:szCs w:val="21"/>
                  </w:rPr>
                  <w:t>2,541,219,862.18</w:t>
                </w:r>
              </w:p>
            </w:tc>
          </w:tr>
          <w:tr w:rsidR="00E57DAA" w14:paraId="44084B0A" w14:textId="77777777">
            <w:trPr>
              <w:trHeight w:val="338"/>
            </w:trPr>
            <w:tc>
              <w:tcPr>
                <w:tcW w:w="1791" w:type="pct"/>
                <w:tcBorders>
                  <w:top w:val="dotted" w:sz="4" w:space="0" w:color="auto"/>
                  <w:left w:val="nil"/>
                  <w:bottom w:val="dotted" w:sz="4" w:space="0" w:color="auto"/>
                  <w:right w:val="dotted" w:sz="4" w:space="0" w:color="auto"/>
                </w:tcBorders>
                <w:vAlign w:val="center"/>
              </w:tcPr>
              <w:p w14:paraId="42D82777" w14:textId="77777777" w:rsidR="00E57DAA" w:rsidRDefault="00AC4185">
                <w:pPr>
                  <w:rPr>
                    <w:szCs w:val="21"/>
                  </w:rPr>
                </w:pPr>
                <w:r>
                  <w:rPr>
                    <w:rFonts w:hint="eastAsia"/>
                    <w:szCs w:val="21"/>
                  </w:rPr>
                  <w:t>少数股东损益</w:t>
                </w:r>
              </w:p>
            </w:tc>
            <w:tc>
              <w:tcPr>
                <w:tcW w:w="1070" w:type="pct"/>
                <w:tcBorders>
                  <w:top w:val="dotted" w:sz="4" w:space="0" w:color="auto"/>
                  <w:left w:val="dotted" w:sz="4" w:space="0" w:color="auto"/>
                  <w:bottom w:val="dotted" w:sz="4" w:space="0" w:color="auto"/>
                  <w:right w:val="dotted" w:sz="4" w:space="0" w:color="auto"/>
                </w:tcBorders>
                <w:vAlign w:val="center"/>
              </w:tcPr>
              <w:p w14:paraId="796EEAC6" w14:textId="77777777" w:rsidR="00E57DAA" w:rsidRDefault="00AC4185">
                <w:pPr>
                  <w:jc w:val="right"/>
                  <w:rPr>
                    <w:szCs w:val="21"/>
                  </w:rPr>
                </w:pPr>
                <w:r>
                  <w:rPr>
                    <w:szCs w:val="21"/>
                  </w:rPr>
                  <w:t>282,548,375.97</w:t>
                </w:r>
              </w:p>
            </w:tc>
            <w:tc>
              <w:tcPr>
                <w:tcW w:w="1070" w:type="pct"/>
                <w:tcBorders>
                  <w:top w:val="dotted" w:sz="4" w:space="0" w:color="auto"/>
                  <w:left w:val="dotted" w:sz="4" w:space="0" w:color="auto"/>
                  <w:bottom w:val="dotted" w:sz="4" w:space="0" w:color="auto"/>
                  <w:right w:val="dotted" w:sz="4" w:space="0" w:color="auto"/>
                </w:tcBorders>
                <w:vAlign w:val="center"/>
              </w:tcPr>
              <w:p w14:paraId="2F31B95F" w14:textId="77777777" w:rsidR="00E57DAA" w:rsidRDefault="00AC4185">
                <w:pPr>
                  <w:jc w:val="right"/>
                  <w:rPr>
                    <w:szCs w:val="21"/>
                  </w:rPr>
                </w:pPr>
                <w:r>
                  <w:rPr>
                    <w:szCs w:val="21"/>
                  </w:rPr>
                  <w:t>648,203.36</w:t>
                </w:r>
              </w:p>
            </w:tc>
            <w:tc>
              <w:tcPr>
                <w:tcW w:w="1069" w:type="pct"/>
                <w:tcBorders>
                  <w:top w:val="dotted" w:sz="4" w:space="0" w:color="auto"/>
                  <w:left w:val="dotted" w:sz="4" w:space="0" w:color="auto"/>
                  <w:bottom w:val="dotted" w:sz="4" w:space="0" w:color="auto"/>
                  <w:right w:val="nil"/>
                </w:tcBorders>
                <w:vAlign w:val="center"/>
              </w:tcPr>
              <w:p w14:paraId="21A14CB4" w14:textId="77777777" w:rsidR="00E57DAA" w:rsidRDefault="00AC4185">
                <w:pPr>
                  <w:jc w:val="right"/>
                  <w:rPr>
                    <w:szCs w:val="21"/>
                  </w:rPr>
                </w:pPr>
                <w:r>
                  <w:rPr>
                    <w:szCs w:val="21"/>
                  </w:rPr>
                  <w:t>283,196,579.33</w:t>
                </w:r>
              </w:p>
            </w:tc>
          </w:tr>
          <w:tr w:rsidR="00E57DAA" w14:paraId="070406D2" w14:textId="77777777">
            <w:trPr>
              <w:trHeight w:val="338"/>
            </w:trPr>
            <w:tc>
              <w:tcPr>
                <w:tcW w:w="1791" w:type="pct"/>
                <w:tcBorders>
                  <w:top w:val="dotted" w:sz="4" w:space="0" w:color="auto"/>
                  <w:left w:val="nil"/>
                  <w:bottom w:val="dotted" w:sz="4" w:space="0" w:color="auto"/>
                  <w:right w:val="dotted" w:sz="4" w:space="0" w:color="auto"/>
                </w:tcBorders>
                <w:vAlign w:val="center"/>
              </w:tcPr>
              <w:p w14:paraId="0D339A93" w14:textId="77777777" w:rsidR="00E57DAA" w:rsidRDefault="00AC4185">
                <w:pPr>
                  <w:rPr>
                    <w:szCs w:val="21"/>
                  </w:rPr>
                </w:pPr>
                <w:r>
                  <w:rPr>
                    <w:rFonts w:hint="eastAsia"/>
                    <w:szCs w:val="21"/>
                  </w:rPr>
                  <w:t>综合收益总额</w:t>
                </w:r>
              </w:p>
            </w:tc>
            <w:tc>
              <w:tcPr>
                <w:tcW w:w="1070" w:type="pct"/>
                <w:tcBorders>
                  <w:top w:val="dotted" w:sz="4" w:space="0" w:color="auto"/>
                  <w:left w:val="dotted" w:sz="4" w:space="0" w:color="auto"/>
                  <w:bottom w:val="dotted" w:sz="4" w:space="0" w:color="auto"/>
                  <w:right w:val="dotted" w:sz="4" w:space="0" w:color="auto"/>
                </w:tcBorders>
                <w:vAlign w:val="center"/>
              </w:tcPr>
              <w:p w14:paraId="0FBDA803" w14:textId="77777777" w:rsidR="00E57DAA" w:rsidRDefault="00AC4185">
                <w:pPr>
                  <w:jc w:val="right"/>
                  <w:rPr>
                    <w:szCs w:val="21"/>
                  </w:rPr>
                </w:pPr>
                <w:r>
                  <w:rPr>
                    <w:szCs w:val="21"/>
                  </w:rPr>
                  <w:t>2,843,810,541.96</w:t>
                </w:r>
              </w:p>
            </w:tc>
            <w:tc>
              <w:tcPr>
                <w:tcW w:w="1070" w:type="pct"/>
                <w:tcBorders>
                  <w:top w:val="dotted" w:sz="4" w:space="0" w:color="auto"/>
                  <w:left w:val="dotted" w:sz="4" w:space="0" w:color="auto"/>
                  <w:bottom w:val="dotted" w:sz="4" w:space="0" w:color="auto"/>
                  <w:right w:val="dotted" w:sz="4" w:space="0" w:color="auto"/>
                </w:tcBorders>
                <w:vAlign w:val="center"/>
              </w:tcPr>
              <w:p w14:paraId="79E32DD0" w14:textId="77777777" w:rsidR="00E57DAA" w:rsidRDefault="00AC4185">
                <w:pPr>
                  <w:jc w:val="right"/>
                  <w:rPr>
                    <w:szCs w:val="21"/>
                  </w:rPr>
                </w:pPr>
                <w:r>
                  <w:rPr>
                    <w:szCs w:val="21"/>
                  </w:rPr>
                  <w:t>1,378,058.30</w:t>
                </w:r>
              </w:p>
            </w:tc>
            <w:tc>
              <w:tcPr>
                <w:tcW w:w="1069" w:type="pct"/>
                <w:tcBorders>
                  <w:top w:val="dotted" w:sz="4" w:space="0" w:color="auto"/>
                  <w:left w:val="dotted" w:sz="4" w:space="0" w:color="auto"/>
                  <w:bottom w:val="dotted" w:sz="4" w:space="0" w:color="auto"/>
                  <w:right w:val="nil"/>
                </w:tcBorders>
                <w:vAlign w:val="center"/>
              </w:tcPr>
              <w:p w14:paraId="1B6183A5" w14:textId="77777777" w:rsidR="00E57DAA" w:rsidRDefault="00AC4185">
                <w:pPr>
                  <w:jc w:val="right"/>
                  <w:rPr>
                    <w:szCs w:val="21"/>
                  </w:rPr>
                </w:pPr>
                <w:r>
                  <w:rPr>
                    <w:szCs w:val="21"/>
                  </w:rPr>
                  <w:t>2,845,188,600.26</w:t>
                </w:r>
              </w:p>
            </w:tc>
          </w:tr>
          <w:tr w:rsidR="00E57DAA" w14:paraId="07D4FD13" w14:textId="77777777">
            <w:trPr>
              <w:trHeight w:val="338"/>
            </w:trPr>
            <w:tc>
              <w:tcPr>
                <w:tcW w:w="1791" w:type="pct"/>
                <w:tcBorders>
                  <w:top w:val="dotted" w:sz="4" w:space="0" w:color="auto"/>
                  <w:left w:val="nil"/>
                  <w:bottom w:val="dotted" w:sz="4" w:space="0" w:color="auto"/>
                  <w:right w:val="dotted" w:sz="4" w:space="0" w:color="auto"/>
                </w:tcBorders>
                <w:vAlign w:val="center"/>
              </w:tcPr>
              <w:p w14:paraId="40864A68" w14:textId="77777777" w:rsidR="00E57DAA" w:rsidRDefault="00AC4185">
                <w:pPr>
                  <w:rPr>
                    <w:szCs w:val="21"/>
                  </w:rPr>
                </w:pPr>
                <w:r>
                  <w:rPr>
                    <w:rFonts w:hint="eastAsia"/>
                    <w:szCs w:val="21"/>
                  </w:rPr>
                  <w:t>归属于母公司所有者的综合收益总额</w:t>
                </w:r>
              </w:p>
            </w:tc>
            <w:tc>
              <w:tcPr>
                <w:tcW w:w="1070" w:type="pct"/>
                <w:tcBorders>
                  <w:top w:val="dotted" w:sz="4" w:space="0" w:color="auto"/>
                  <w:left w:val="dotted" w:sz="4" w:space="0" w:color="auto"/>
                  <w:bottom w:val="dotted" w:sz="4" w:space="0" w:color="auto"/>
                  <w:right w:val="dotted" w:sz="4" w:space="0" w:color="auto"/>
                </w:tcBorders>
                <w:vAlign w:val="center"/>
              </w:tcPr>
              <w:p w14:paraId="7AE14062" w14:textId="77777777" w:rsidR="00E57DAA" w:rsidRDefault="00AC4185">
                <w:pPr>
                  <w:jc w:val="right"/>
                  <w:rPr>
                    <w:szCs w:val="21"/>
                  </w:rPr>
                </w:pPr>
                <w:r>
                  <w:rPr>
                    <w:szCs w:val="21"/>
                  </w:rPr>
                  <w:t>2,560,016,096.26</w:t>
                </w:r>
              </w:p>
            </w:tc>
            <w:tc>
              <w:tcPr>
                <w:tcW w:w="1070" w:type="pct"/>
                <w:tcBorders>
                  <w:top w:val="dotted" w:sz="4" w:space="0" w:color="auto"/>
                  <w:left w:val="dotted" w:sz="4" w:space="0" w:color="auto"/>
                  <w:bottom w:val="dotted" w:sz="4" w:space="0" w:color="auto"/>
                  <w:right w:val="dotted" w:sz="4" w:space="0" w:color="auto"/>
                </w:tcBorders>
                <w:vAlign w:val="center"/>
              </w:tcPr>
              <w:p w14:paraId="2E6FF02E" w14:textId="77777777" w:rsidR="00E57DAA" w:rsidRDefault="00AC4185">
                <w:pPr>
                  <w:jc w:val="right"/>
                  <w:rPr>
                    <w:szCs w:val="21"/>
                  </w:rPr>
                </w:pPr>
                <w:r>
                  <w:rPr>
                    <w:szCs w:val="21"/>
                  </w:rPr>
                  <w:t>729,854.94</w:t>
                </w:r>
              </w:p>
            </w:tc>
            <w:tc>
              <w:tcPr>
                <w:tcW w:w="1069" w:type="pct"/>
                <w:tcBorders>
                  <w:top w:val="dotted" w:sz="4" w:space="0" w:color="auto"/>
                  <w:left w:val="dotted" w:sz="4" w:space="0" w:color="auto"/>
                  <w:bottom w:val="dotted" w:sz="4" w:space="0" w:color="auto"/>
                  <w:right w:val="nil"/>
                </w:tcBorders>
                <w:vAlign w:val="center"/>
              </w:tcPr>
              <w:p w14:paraId="175DE2DD" w14:textId="77777777" w:rsidR="00E57DAA" w:rsidRDefault="00AC4185">
                <w:pPr>
                  <w:jc w:val="right"/>
                  <w:rPr>
                    <w:szCs w:val="21"/>
                  </w:rPr>
                </w:pPr>
                <w:r>
                  <w:rPr>
                    <w:szCs w:val="21"/>
                  </w:rPr>
                  <w:t>2,560,745,951.20</w:t>
                </w:r>
              </w:p>
            </w:tc>
          </w:tr>
          <w:tr w:rsidR="00E57DAA" w14:paraId="106DCBEC" w14:textId="77777777">
            <w:trPr>
              <w:trHeight w:val="338"/>
            </w:trPr>
            <w:tc>
              <w:tcPr>
                <w:tcW w:w="1791" w:type="pct"/>
                <w:tcBorders>
                  <w:top w:val="dotted" w:sz="4" w:space="0" w:color="auto"/>
                  <w:left w:val="nil"/>
                  <w:bottom w:val="single" w:sz="12" w:space="0" w:color="auto"/>
                  <w:right w:val="dotted" w:sz="4" w:space="0" w:color="auto"/>
                </w:tcBorders>
                <w:vAlign w:val="center"/>
              </w:tcPr>
              <w:p w14:paraId="10FD6BA4" w14:textId="77777777" w:rsidR="00E57DAA" w:rsidRDefault="00AC4185">
                <w:pPr>
                  <w:rPr>
                    <w:szCs w:val="21"/>
                  </w:rPr>
                </w:pPr>
                <w:r>
                  <w:rPr>
                    <w:rFonts w:hint="eastAsia"/>
                    <w:szCs w:val="21"/>
                  </w:rPr>
                  <w:t>归属于少数股东的综合收益总额</w:t>
                </w:r>
              </w:p>
            </w:tc>
            <w:tc>
              <w:tcPr>
                <w:tcW w:w="1070" w:type="pct"/>
                <w:tcBorders>
                  <w:top w:val="dotted" w:sz="4" w:space="0" w:color="auto"/>
                  <w:left w:val="dotted" w:sz="4" w:space="0" w:color="auto"/>
                  <w:bottom w:val="single" w:sz="12" w:space="0" w:color="auto"/>
                  <w:right w:val="dotted" w:sz="4" w:space="0" w:color="auto"/>
                </w:tcBorders>
                <w:vAlign w:val="center"/>
              </w:tcPr>
              <w:p w14:paraId="65172CB8" w14:textId="77777777" w:rsidR="00E57DAA" w:rsidRDefault="00AC4185">
                <w:pPr>
                  <w:jc w:val="right"/>
                  <w:rPr>
                    <w:szCs w:val="21"/>
                  </w:rPr>
                </w:pPr>
                <w:r>
                  <w:rPr>
                    <w:szCs w:val="21"/>
                  </w:rPr>
                  <w:t>283,794,445.70</w:t>
                </w:r>
              </w:p>
            </w:tc>
            <w:tc>
              <w:tcPr>
                <w:tcW w:w="1070" w:type="pct"/>
                <w:tcBorders>
                  <w:top w:val="dotted" w:sz="4" w:space="0" w:color="auto"/>
                  <w:left w:val="dotted" w:sz="4" w:space="0" w:color="auto"/>
                  <w:bottom w:val="single" w:sz="12" w:space="0" w:color="auto"/>
                  <w:right w:val="dotted" w:sz="4" w:space="0" w:color="auto"/>
                </w:tcBorders>
                <w:vAlign w:val="center"/>
              </w:tcPr>
              <w:p w14:paraId="451B8D3F" w14:textId="77777777" w:rsidR="00E57DAA" w:rsidRDefault="00AC4185">
                <w:pPr>
                  <w:jc w:val="right"/>
                  <w:rPr>
                    <w:szCs w:val="21"/>
                  </w:rPr>
                </w:pPr>
                <w:r>
                  <w:rPr>
                    <w:szCs w:val="21"/>
                  </w:rPr>
                  <w:t>648,203.36</w:t>
                </w:r>
              </w:p>
            </w:tc>
            <w:tc>
              <w:tcPr>
                <w:tcW w:w="1069" w:type="pct"/>
                <w:tcBorders>
                  <w:top w:val="dotted" w:sz="4" w:space="0" w:color="auto"/>
                  <w:left w:val="dotted" w:sz="4" w:space="0" w:color="auto"/>
                  <w:bottom w:val="single" w:sz="12" w:space="0" w:color="auto"/>
                  <w:right w:val="nil"/>
                </w:tcBorders>
                <w:vAlign w:val="center"/>
              </w:tcPr>
              <w:p w14:paraId="4D069422" w14:textId="77777777" w:rsidR="00E57DAA" w:rsidRDefault="00AC4185">
                <w:pPr>
                  <w:jc w:val="right"/>
                  <w:rPr>
                    <w:szCs w:val="21"/>
                  </w:rPr>
                </w:pPr>
                <w:r>
                  <w:rPr>
                    <w:szCs w:val="21"/>
                  </w:rPr>
                  <w:t>284,442,649.06</w:t>
                </w:r>
              </w:p>
            </w:tc>
          </w:tr>
        </w:tbl>
        <w:p w14:paraId="5F34E1F7" w14:textId="77777777" w:rsidR="00E57DAA" w:rsidRDefault="00EB41A1">
          <w:pPr>
            <w:rPr>
              <w:szCs w:val="21"/>
            </w:rPr>
          </w:pPr>
        </w:p>
      </w:sdtContent>
    </w:sdt>
    <w:p w14:paraId="0ACDBAA4" w14:textId="77777777" w:rsidR="00E57DAA" w:rsidRDefault="00E57DAA">
      <w:pPr>
        <w:rPr>
          <w:szCs w:val="21"/>
        </w:rPr>
      </w:pPr>
    </w:p>
    <w:p w14:paraId="117DED5D" w14:textId="77777777" w:rsidR="00E57DAA" w:rsidRDefault="00AC4185">
      <w:pPr>
        <w:pStyle w:val="4"/>
        <w:numPr>
          <w:ilvl w:val="3"/>
          <w:numId w:val="67"/>
        </w:numPr>
        <w:ind w:left="426" w:hanging="426"/>
      </w:pPr>
      <w:r>
        <w:rPr>
          <w:rFonts w:hint="eastAsia"/>
        </w:rPr>
        <w:t>重要</w:t>
      </w:r>
      <w:r>
        <w:t>会计估计变更</w:t>
      </w:r>
    </w:p>
    <w:sdt>
      <w:sdtPr>
        <w:alias w:val="是否适用：重要会计估计变更[双击切换]"/>
        <w:tag w:val="_GBC_902f08bd36774074945386d2d1f9b67d"/>
        <w:id w:val="1103295504"/>
        <w:placeholder>
          <w:docPart w:val="GBC22222222222222222222222222222"/>
        </w:placeholder>
      </w:sdtPr>
      <w:sdtEndPr/>
      <w:sdtContent>
        <w:p w14:paraId="2707BCB6"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DF673C" w14:textId="77777777" w:rsidR="00E57DAA" w:rsidRDefault="00E57DAA">
      <w:pPr>
        <w:rPr>
          <w:szCs w:val="21"/>
        </w:rPr>
      </w:pPr>
      <w:bookmarkStart w:id="184" w:name="_Hlk10465969"/>
      <w:bookmarkEnd w:id="184"/>
    </w:p>
    <w:p w14:paraId="0B884FD4" w14:textId="77777777" w:rsidR="00E57DAA" w:rsidRDefault="00AC4185">
      <w:pPr>
        <w:pStyle w:val="4"/>
        <w:numPr>
          <w:ilvl w:val="3"/>
          <w:numId w:val="67"/>
        </w:numPr>
        <w:ind w:left="426" w:hanging="426"/>
      </w:pPr>
      <w:bookmarkStart w:id="185" w:name="_Hlk24100246"/>
      <w:r>
        <w:rPr>
          <w:rFonts w:ascii="Times New Roman" w:hAnsi="Times New Roman"/>
        </w:rPr>
        <w:t>2023</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2124600628"/>
      </w:sdtPr>
      <w:sdtEndPr/>
      <w:sdtContent>
        <w:p w14:paraId="076B2234" w14:textId="77777777" w:rsidR="00E57DAA" w:rsidRDefault="00AC41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0BE27C" w14:textId="77777777" w:rsidR="00E57DAA" w:rsidRDefault="00E57DAA">
      <w:pPr>
        <w:rPr>
          <w:szCs w:val="21"/>
        </w:rPr>
      </w:pPr>
    </w:p>
    <w:bookmarkEnd w:id="185"/>
    <w:p w14:paraId="46FC6E5C" w14:textId="77777777" w:rsidR="00E57DAA" w:rsidRDefault="00AC4185" w:rsidP="00C25422">
      <w:pPr>
        <w:pStyle w:val="91"/>
        <w:numPr>
          <w:ilvl w:val="0"/>
          <w:numId w:val="61"/>
        </w:numPr>
      </w:pPr>
      <w:r>
        <w:rPr>
          <w:rFonts w:hint="eastAsia"/>
        </w:rPr>
        <w:t>其他</w:t>
      </w:r>
    </w:p>
    <w:sdt>
      <w:sdtPr>
        <w:rPr>
          <w:rFonts w:hint="eastAsia"/>
          <w:szCs w:val="21"/>
        </w:rPr>
        <w:alias w:val="是否适用：公司主要会计政策、会计估计和前期差错的其他说明[双击切换]"/>
        <w:tag w:val="_GBC_bcb348c2b015461e9de30ce69ad888ae"/>
        <w:id w:val="415302537"/>
        <w:placeholder>
          <w:docPart w:val="GBC22222222222222222222222222222"/>
        </w:placeholder>
      </w:sdtPr>
      <w:sdtEndPr/>
      <w:sdtContent>
        <w:p w14:paraId="5D22ABE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2A30D0" w14:textId="77777777" w:rsidR="00E57DAA" w:rsidRDefault="00E57DAA">
      <w:pPr>
        <w:rPr>
          <w:szCs w:val="21"/>
        </w:rPr>
      </w:pPr>
    </w:p>
    <w:p w14:paraId="6B9F5841" w14:textId="77777777" w:rsidR="00E57DAA" w:rsidRDefault="00AC4185" w:rsidP="00C25422">
      <w:pPr>
        <w:pStyle w:val="2CharCharChar1"/>
        <w:numPr>
          <w:ilvl w:val="0"/>
          <w:numId w:val="58"/>
        </w:numPr>
      </w:pPr>
      <w:r>
        <w:rPr>
          <w:rFonts w:hint="eastAsia"/>
        </w:rPr>
        <w:t>税项</w:t>
      </w:r>
    </w:p>
    <w:p w14:paraId="5B099465" w14:textId="77777777" w:rsidR="00E57DAA" w:rsidRDefault="00AC4185" w:rsidP="00C25422">
      <w:pPr>
        <w:pStyle w:val="91"/>
        <w:numPr>
          <w:ilvl w:val="0"/>
          <w:numId w:val="68"/>
        </w:numPr>
      </w:pPr>
      <w:r>
        <w:t>主要税种及税率</w:t>
      </w:r>
    </w:p>
    <w:p w14:paraId="198EDE5B" w14:textId="77777777" w:rsidR="00E57DAA" w:rsidRDefault="00AC4185" w:rsidP="00C25422">
      <w:pPr>
        <w:pStyle w:val="92"/>
      </w:pPr>
      <w:r>
        <w:t>主要税种及税率</w:t>
      </w:r>
      <w:r>
        <w:rPr>
          <w:rFonts w:hint="eastAsia"/>
        </w:rPr>
        <w:t>情况</w:t>
      </w:r>
    </w:p>
    <w:sdt>
      <w:sdtPr>
        <w:alias w:val="是否适用：主要税种及税率情况 [双击切换]"/>
        <w:tag w:val="_GBC_f900f926144b41b9ba020b5a24aff3c0"/>
        <w:id w:val="-249892724"/>
        <w:placeholder>
          <w:docPart w:val="GBC22222222222222222222222222222"/>
        </w:placeholder>
      </w:sdtPr>
      <w:sdtEndPr/>
      <w:sdtContent>
        <w:p w14:paraId="18F4FF9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E57DAA" w14:paraId="4F5417AC" w14:textId="77777777">
        <w:sdt>
          <w:sdtPr>
            <w:tag w:val="_PLD_b5758c089ae1414f99b1cc36321c29a1"/>
            <w:id w:val="-2045128503"/>
          </w:sdtPr>
          <w:sdtEndPr/>
          <w:sdtContent>
            <w:tc>
              <w:tcPr>
                <w:tcW w:w="1537" w:type="pct"/>
                <w:vAlign w:val="center"/>
              </w:tcPr>
              <w:p w14:paraId="09FEC025" w14:textId="77777777" w:rsidR="00E57DAA" w:rsidRDefault="00AC4185">
                <w:pPr>
                  <w:jc w:val="center"/>
                  <w:rPr>
                    <w:szCs w:val="21"/>
                  </w:rPr>
                </w:pPr>
                <w:r>
                  <w:rPr>
                    <w:szCs w:val="21"/>
                  </w:rPr>
                  <w:t>税种</w:t>
                </w:r>
              </w:p>
            </w:tc>
          </w:sdtContent>
        </w:sdt>
        <w:sdt>
          <w:sdtPr>
            <w:tag w:val="_PLD_0e1599c84a4d47cc8f6f9b3d3069a1bd"/>
            <w:id w:val="602619054"/>
          </w:sdtPr>
          <w:sdtEndPr/>
          <w:sdtContent>
            <w:tc>
              <w:tcPr>
                <w:tcW w:w="1738" w:type="pct"/>
                <w:vAlign w:val="center"/>
              </w:tcPr>
              <w:p w14:paraId="0D1DEEF6" w14:textId="77777777" w:rsidR="00E57DAA" w:rsidRDefault="00AC4185">
                <w:pPr>
                  <w:jc w:val="center"/>
                  <w:rPr>
                    <w:szCs w:val="21"/>
                  </w:rPr>
                </w:pPr>
                <w:r>
                  <w:rPr>
                    <w:szCs w:val="21"/>
                  </w:rPr>
                  <w:t>计税依据</w:t>
                </w:r>
              </w:p>
            </w:tc>
          </w:sdtContent>
        </w:sdt>
        <w:sdt>
          <w:sdtPr>
            <w:tag w:val="_PLD_74e07bcec6714b078c64caa53447462a"/>
            <w:id w:val="863332154"/>
          </w:sdtPr>
          <w:sdtEndPr/>
          <w:sdtContent>
            <w:tc>
              <w:tcPr>
                <w:tcW w:w="1725" w:type="pct"/>
                <w:vAlign w:val="center"/>
              </w:tcPr>
              <w:p w14:paraId="50650A97" w14:textId="77777777" w:rsidR="00E57DAA" w:rsidRDefault="00AC4185">
                <w:pPr>
                  <w:jc w:val="center"/>
                  <w:rPr>
                    <w:szCs w:val="21"/>
                  </w:rPr>
                </w:pPr>
                <w:r>
                  <w:rPr>
                    <w:szCs w:val="21"/>
                  </w:rPr>
                  <w:t>税率</w:t>
                </w:r>
              </w:p>
            </w:tc>
          </w:sdtContent>
        </w:sdt>
      </w:tr>
      <w:tr w:rsidR="00E57DAA" w14:paraId="1EB2FC4C" w14:textId="77777777">
        <w:tc>
          <w:tcPr>
            <w:tcW w:w="1537" w:type="pct"/>
          </w:tcPr>
          <w:p w14:paraId="681D1300" w14:textId="77777777" w:rsidR="00E57DAA" w:rsidRDefault="00AC4185">
            <w:pPr>
              <w:rPr>
                <w:szCs w:val="21"/>
              </w:rPr>
            </w:pPr>
            <w:r>
              <w:rPr>
                <w:szCs w:val="21"/>
              </w:rPr>
              <w:t>增值税</w:t>
            </w:r>
          </w:p>
        </w:tc>
        <w:tc>
          <w:tcPr>
            <w:tcW w:w="1738" w:type="pct"/>
            <w:vAlign w:val="center"/>
          </w:tcPr>
          <w:p w14:paraId="3E6EC7F5" w14:textId="77777777" w:rsidR="00E57DAA" w:rsidRDefault="00AC4185">
            <w:pPr>
              <w:rPr>
                <w:szCs w:val="21"/>
              </w:rPr>
            </w:pPr>
            <w:r>
              <w:t>应纳税增值额</w:t>
            </w:r>
          </w:p>
        </w:tc>
        <w:tc>
          <w:tcPr>
            <w:tcW w:w="1725" w:type="pct"/>
            <w:vAlign w:val="center"/>
          </w:tcPr>
          <w:p w14:paraId="3AF9DD7E" w14:textId="77777777" w:rsidR="00E57DAA" w:rsidRDefault="00AC4185">
            <w:pPr>
              <w:rPr>
                <w:szCs w:val="21"/>
              </w:rPr>
            </w:pPr>
            <w:r>
              <w:t>13%、9%、6%、19%（境外）</w:t>
            </w:r>
          </w:p>
        </w:tc>
      </w:tr>
      <w:tr w:rsidR="00E57DAA" w14:paraId="71B8DBEA" w14:textId="77777777">
        <w:tc>
          <w:tcPr>
            <w:tcW w:w="1537" w:type="pct"/>
          </w:tcPr>
          <w:p w14:paraId="5385BB10" w14:textId="77777777" w:rsidR="00E57DAA" w:rsidRDefault="00AC4185">
            <w:pPr>
              <w:rPr>
                <w:szCs w:val="21"/>
              </w:rPr>
            </w:pPr>
            <w:r>
              <w:rPr>
                <w:szCs w:val="21"/>
              </w:rPr>
              <w:t>城市维护建设税</w:t>
            </w:r>
          </w:p>
        </w:tc>
        <w:tc>
          <w:tcPr>
            <w:tcW w:w="1738" w:type="pct"/>
            <w:vAlign w:val="center"/>
          </w:tcPr>
          <w:p w14:paraId="4C662B48" w14:textId="77777777" w:rsidR="00E57DAA" w:rsidRDefault="00AC4185">
            <w:pPr>
              <w:rPr>
                <w:szCs w:val="21"/>
              </w:rPr>
            </w:pPr>
            <w:r>
              <w:t>实缴流转税税额</w:t>
            </w:r>
          </w:p>
        </w:tc>
        <w:tc>
          <w:tcPr>
            <w:tcW w:w="1725" w:type="pct"/>
            <w:vAlign w:val="center"/>
          </w:tcPr>
          <w:p w14:paraId="0697342A" w14:textId="77777777" w:rsidR="00E57DAA" w:rsidRDefault="00AC4185">
            <w:pPr>
              <w:rPr>
                <w:szCs w:val="21"/>
              </w:rPr>
            </w:pPr>
            <w:r>
              <w:t>7%、5%</w:t>
            </w:r>
          </w:p>
        </w:tc>
      </w:tr>
      <w:tr w:rsidR="00E57DAA" w14:paraId="4418E97F" w14:textId="77777777">
        <w:tc>
          <w:tcPr>
            <w:tcW w:w="1537" w:type="pct"/>
          </w:tcPr>
          <w:p w14:paraId="5BD983BC" w14:textId="77777777" w:rsidR="00E57DAA" w:rsidRDefault="00AC4185">
            <w:pPr>
              <w:rPr>
                <w:szCs w:val="21"/>
              </w:rPr>
            </w:pPr>
            <w:r>
              <w:rPr>
                <w:szCs w:val="21"/>
              </w:rPr>
              <w:t>企业所得税</w:t>
            </w:r>
          </w:p>
        </w:tc>
        <w:tc>
          <w:tcPr>
            <w:tcW w:w="1738" w:type="pct"/>
            <w:vAlign w:val="center"/>
          </w:tcPr>
          <w:p w14:paraId="429FBA82" w14:textId="77777777" w:rsidR="00E57DAA" w:rsidRDefault="00AC4185">
            <w:pPr>
              <w:rPr>
                <w:szCs w:val="21"/>
              </w:rPr>
            </w:pPr>
            <w:r>
              <w:t>应纳税所得额</w:t>
            </w:r>
          </w:p>
        </w:tc>
        <w:tc>
          <w:tcPr>
            <w:tcW w:w="1725" w:type="pct"/>
            <w:vAlign w:val="center"/>
          </w:tcPr>
          <w:p w14:paraId="04C2E6B2" w14:textId="77777777" w:rsidR="00E57DAA" w:rsidRDefault="00AC4185">
            <w:pPr>
              <w:rPr>
                <w:szCs w:val="21"/>
              </w:rPr>
            </w:pPr>
            <w:r>
              <w:t>15%、25%</w:t>
            </w:r>
          </w:p>
        </w:tc>
      </w:tr>
      <w:tr w:rsidR="00E57DAA" w14:paraId="5C0B0D36" w14:textId="77777777">
        <w:tc>
          <w:tcPr>
            <w:tcW w:w="1537" w:type="pct"/>
          </w:tcPr>
          <w:p w14:paraId="0AC274C6" w14:textId="77777777" w:rsidR="00E57DAA" w:rsidRDefault="00AC4185">
            <w:pPr>
              <w:rPr>
                <w:szCs w:val="21"/>
              </w:rPr>
            </w:pPr>
            <w:r>
              <w:t>房产税</w:t>
            </w:r>
          </w:p>
        </w:tc>
        <w:tc>
          <w:tcPr>
            <w:tcW w:w="1738" w:type="pct"/>
            <w:vAlign w:val="center"/>
          </w:tcPr>
          <w:p w14:paraId="610675EB" w14:textId="77777777" w:rsidR="00E57DAA" w:rsidRDefault="00AC4185">
            <w:pPr>
              <w:rPr>
                <w:szCs w:val="21"/>
              </w:rPr>
            </w:pPr>
            <w:r>
              <w:t>租赁收入或房产原值的70%</w:t>
            </w:r>
          </w:p>
        </w:tc>
        <w:tc>
          <w:tcPr>
            <w:tcW w:w="1725" w:type="pct"/>
            <w:vAlign w:val="center"/>
          </w:tcPr>
          <w:p w14:paraId="4FE695BB" w14:textId="77777777" w:rsidR="00E57DAA" w:rsidRDefault="00AC4185">
            <w:pPr>
              <w:rPr>
                <w:szCs w:val="21"/>
              </w:rPr>
            </w:pPr>
            <w:r>
              <w:t>12%、1.2%</w:t>
            </w:r>
          </w:p>
        </w:tc>
      </w:tr>
      <w:tr w:rsidR="00E57DAA" w14:paraId="0AAB419A" w14:textId="77777777">
        <w:tc>
          <w:tcPr>
            <w:tcW w:w="1537" w:type="pct"/>
          </w:tcPr>
          <w:p w14:paraId="2F06A823" w14:textId="77777777" w:rsidR="00E57DAA" w:rsidRDefault="00AC4185">
            <w:pPr>
              <w:rPr>
                <w:szCs w:val="21"/>
              </w:rPr>
            </w:pPr>
            <w:r>
              <w:t>城镇土地使用税</w:t>
            </w:r>
          </w:p>
        </w:tc>
        <w:tc>
          <w:tcPr>
            <w:tcW w:w="1738" w:type="pct"/>
            <w:vAlign w:val="center"/>
          </w:tcPr>
          <w:p w14:paraId="2D6D0030" w14:textId="77777777" w:rsidR="00E57DAA" w:rsidRDefault="00AC4185">
            <w:pPr>
              <w:rPr>
                <w:szCs w:val="21"/>
              </w:rPr>
            </w:pPr>
            <w:r>
              <w:t>实际占用应税土地面积</w:t>
            </w:r>
          </w:p>
        </w:tc>
        <w:tc>
          <w:tcPr>
            <w:tcW w:w="1725" w:type="pct"/>
            <w:vAlign w:val="center"/>
          </w:tcPr>
          <w:p w14:paraId="49ACF120" w14:textId="77777777" w:rsidR="00E57DAA" w:rsidRDefault="00AC4185">
            <w:pPr>
              <w:rPr>
                <w:szCs w:val="21"/>
              </w:rPr>
            </w:pPr>
            <w:r>
              <w:t>0.60元/㎡-30.00元/㎡</w:t>
            </w:r>
          </w:p>
        </w:tc>
      </w:tr>
    </w:tbl>
    <w:p w14:paraId="670076C7" w14:textId="77777777" w:rsidR="00E57DAA" w:rsidRDefault="00E57DAA" w:rsidP="00C25422">
      <w:pPr>
        <w:pStyle w:val="92"/>
      </w:pPr>
    </w:p>
    <w:p w14:paraId="17D99539" w14:textId="77777777" w:rsidR="00E57DAA" w:rsidRDefault="00AC4185">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672838792"/>
        <w:placeholder>
          <w:docPart w:val="GBC22222222222222222222222222222"/>
        </w:placeholder>
      </w:sdtPr>
      <w:sdtEndPr/>
      <w:sdtContent>
        <w:p w14:paraId="113E78E3"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5772"/>
        <w:gridCol w:w="3051"/>
      </w:tblGrid>
      <w:tr w:rsidR="00E57DAA" w14:paraId="79BE4510" w14:textId="77777777">
        <w:sdt>
          <w:sdtPr>
            <w:tag w:val="_PLD_45211f01b9764dbc9a13b86554731418"/>
            <w:id w:val="2050027844"/>
          </w:sdtPr>
          <w:sdtEndPr/>
          <w:sdtContent>
            <w:tc>
              <w:tcPr>
                <w:tcW w:w="3271" w:type="pct"/>
                <w:shd w:val="clear" w:color="auto" w:fill="auto"/>
                <w:vAlign w:val="center"/>
              </w:tcPr>
              <w:p w14:paraId="24B05364" w14:textId="77777777" w:rsidR="00E57DAA" w:rsidRDefault="00AC4185">
                <w:pPr>
                  <w:jc w:val="center"/>
                  <w:rPr>
                    <w:szCs w:val="21"/>
                  </w:rPr>
                </w:pPr>
                <w:r>
                  <w:rPr>
                    <w:rFonts w:hint="eastAsia"/>
                    <w:szCs w:val="21"/>
                  </w:rPr>
                  <w:t>纳税主体名称</w:t>
                </w:r>
              </w:p>
            </w:tc>
          </w:sdtContent>
        </w:sdt>
        <w:sdt>
          <w:sdtPr>
            <w:tag w:val="_PLD_f364076e1daa46149b120da21925a155"/>
            <w:id w:val="896405205"/>
          </w:sdtPr>
          <w:sdtEndPr/>
          <w:sdtContent>
            <w:tc>
              <w:tcPr>
                <w:tcW w:w="1729" w:type="pct"/>
                <w:shd w:val="clear" w:color="auto" w:fill="auto"/>
                <w:vAlign w:val="center"/>
              </w:tcPr>
              <w:p w14:paraId="1B7BDC47" w14:textId="77777777" w:rsidR="00E57DAA" w:rsidRDefault="00AC4185">
                <w:pPr>
                  <w:jc w:val="center"/>
                  <w:rPr>
                    <w:szCs w:val="21"/>
                  </w:rPr>
                </w:pPr>
                <w:r>
                  <w:rPr>
                    <w:rFonts w:hint="eastAsia"/>
                    <w:szCs w:val="21"/>
                  </w:rPr>
                  <w:t>所得税税率（%）</w:t>
                </w:r>
              </w:p>
            </w:tc>
          </w:sdtContent>
        </w:sdt>
      </w:tr>
      <w:tr w:rsidR="00E57DAA" w14:paraId="587EB88E" w14:textId="77777777">
        <w:tc>
          <w:tcPr>
            <w:tcW w:w="3271" w:type="pct"/>
            <w:shd w:val="clear" w:color="auto" w:fill="auto"/>
            <w:vAlign w:val="center"/>
          </w:tcPr>
          <w:p w14:paraId="136C7CA3" w14:textId="77777777" w:rsidR="00E57DAA" w:rsidRDefault="00AC4185">
            <w:pPr>
              <w:rPr>
                <w:szCs w:val="21"/>
              </w:rPr>
            </w:pPr>
            <w:r>
              <w:t>能源和基建有限公司</w:t>
            </w:r>
          </w:p>
        </w:tc>
        <w:tc>
          <w:tcPr>
            <w:tcW w:w="1729" w:type="pct"/>
            <w:shd w:val="clear" w:color="auto" w:fill="auto"/>
          </w:tcPr>
          <w:p w14:paraId="43F63C93" w14:textId="77777777" w:rsidR="00E57DAA" w:rsidRDefault="00AC4185">
            <w:pPr>
              <w:jc w:val="right"/>
              <w:rPr>
                <w:szCs w:val="21"/>
              </w:rPr>
            </w:pPr>
            <w:r>
              <w:t>20.00%</w:t>
            </w:r>
          </w:p>
        </w:tc>
      </w:tr>
      <w:tr w:rsidR="00E57DAA" w14:paraId="2C1C5C6E" w14:textId="77777777">
        <w:tc>
          <w:tcPr>
            <w:tcW w:w="3271" w:type="pct"/>
            <w:shd w:val="clear" w:color="auto" w:fill="auto"/>
            <w:vAlign w:val="center"/>
          </w:tcPr>
          <w:p w14:paraId="107B01AC" w14:textId="77777777" w:rsidR="00E57DAA" w:rsidRDefault="00AC4185">
            <w:pPr>
              <w:rPr>
                <w:szCs w:val="21"/>
              </w:rPr>
            </w:pPr>
            <w:r>
              <w:t>中材国际工业工程（马）有限公司</w:t>
            </w:r>
          </w:p>
        </w:tc>
        <w:tc>
          <w:tcPr>
            <w:tcW w:w="1729" w:type="pct"/>
            <w:shd w:val="clear" w:color="auto" w:fill="auto"/>
          </w:tcPr>
          <w:p w14:paraId="59FBCE0B" w14:textId="77777777" w:rsidR="00E57DAA" w:rsidRDefault="00AC4185">
            <w:pPr>
              <w:jc w:val="right"/>
              <w:rPr>
                <w:szCs w:val="21"/>
              </w:rPr>
            </w:pPr>
            <w:r>
              <w:t>24.00%</w:t>
            </w:r>
          </w:p>
        </w:tc>
      </w:tr>
      <w:tr w:rsidR="00E57DAA" w14:paraId="3F67AAA0" w14:textId="77777777">
        <w:tc>
          <w:tcPr>
            <w:tcW w:w="3271" w:type="pct"/>
            <w:shd w:val="clear" w:color="auto" w:fill="auto"/>
            <w:vAlign w:val="center"/>
          </w:tcPr>
          <w:p w14:paraId="5712B908" w14:textId="77777777" w:rsidR="00E57DAA" w:rsidRDefault="00AC4185">
            <w:pPr>
              <w:rPr>
                <w:szCs w:val="21"/>
              </w:rPr>
            </w:pPr>
            <w:r>
              <w:t>中材国际工程股份（香港）有限公司</w:t>
            </w:r>
          </w:p>
        </w:tc>
        <w:tc>
          <w:tcPr>
            <w:tcW w:w="1729" w:type="pct"/>
            <w:shd w:val="clear" w:color="auto" w:fill="auto"/>
          </w:tcPr>
          <w:p w14:paraId="04515648" w14:textId="77777777" w:rsidR="00E57DAA" w:rsidRDefault="00AC4185">
            <w:pPr>
              <w:jc w:val="right"/>
              <w:rPr>
                <w:szCs w:val="21"/>
              </w:rPr>
            </w:pPr>
            <w:r>
              <w:t>16.50%</w:t>
            </w:r>
          </w:p>
        </w:tc>
      </w:tr>
      <w:tr w:rsidR="00E57DAA" w14:paraId="6FA557BC" w14:textId="77777777">
        <w:tc>
          <w:tcPr>
            <w:tcW w:w="3271" w:type="pct"/>
            <w:shd w:val="clear" w:color="auto" w:fill="auto"/>
            <w:vAlign w:val="center"/>
          </w:tcPr>
          <w:p w14:paraId="070984E2" w14:textId="77777777" w:rsidR="00E57DAA" w:rsidRDefault="00AC4185">
            <w:pPr>
              <w:rPr>
                <w:szCs w:val="21"/>
              </w:rPr>
            </w:pPr>
            <w:proofErr w:type="spellStart"/>
            <w:r>
              <w:t>AllmineralSpolkaz.o.o</w:t>
            </w:r>
            <w:proofErr w:type="spellEnd"/>
            <w:r>
              <w:t>.</w:t>
            </w:r>
          </w:p>
        </w:tc>
        <w:tc>
          <w:tcPr>
            <w:tcW w:w="1729" w:type="pct"/>
            <w:shd w:val="clear" w:color="auto" w:fill="auto"/>
          </w:tcPr>
          <w:p w14:paraId="133B93E4" w14:textId="77777777" w:rsidR="00E57DAA" w:rsidRDefault="00AC4185">
            <w:pPr>
              <w:jc w:val="right"/>
              <w:rPr>
                <w:szCs w:val="21"/>
              </w:rPr>
            </w:pPr>
            <w:r>
              <w:t>19.00%</w:t>
            </w:r>
          </w:p>
        </w:tc>
      </w:tr>
      <w:tr w:rsidR="00E57DAA" w14:paraId="152B9802" w14:textId="77777777">
        <w:tc>
          <w:tcPr>
            <w:tcW w:w="3271" w:type="pct"/>
            <w:shd w:val="clear" w:color="auto" w:fill="auto"/>
            <w:vAlign w:val="center"/>
          </w:tcPr>
          <w:p w14:paraId="3523B332" w14:textId="77777777" w:rsidR="00E57DAA" w:rsidRDefault="00AC4185">
            <w:pPr>
              <w:rPr>
                <w:szCs w:val="21"/>
              </w:rPr>
            </w:pPr>
            <w:r>
              <w:t>CITEC印度尼西亚工程公司</w:t>
            </w:r>
          </w:p>
        </w:tc>
        <w:tc>
          <w:tcPr>
            <w:tcW w:w="1729" w:type="pct"/>
            <w:shd w:val="clear" w:color="auto" w:fill="auto"/>
          </w:tcPr>
          <w:p w14:paraId="359E4E38" w14:textId="77777777" w:rsidR="00E57DAA" w:rsidRDefault="00AC4185">
            <w:pPr>
              <w:jc w:val="right"/>
              <w:rPr>
                <w:szCs w:val="21"/>
              </w:rPr>
            </w:pPr>
            <w:r>
              <w:t>25.00%</w:t>
            </w:r>
          </w:p>
        </w:tc>
      </w:tr>
      <w:tr w:rsidR="00E57DAA" w14:paraId="4ABCD2DC" w14:textId="77777777">
        <w:tc>
          <w:tcPr>
            <w:tcW w:w="3271" w:type="pct"/>
            <w:shd w:val="clear" w:color="auto" w:fill="auto"/>
            <w:vAlign w:val="center"/>
          </w:tcPr>
          <w:p w14:paraId="44733A27" w14:textId="77777777" w:rsidR="00E57DAA" w:rsidRDefault="00AC4185">
            <w:pPr>
              <w:rPr>
                <w:szCs w:val="21"/>
              </w:rPr>
            </w:pPr>
            <w:r>
              <w:t>HUSA HOLDINGS   Inc.</w:t>
            </w:r>
          </w:p>
        </w:tc>
        <w:tc>
          <w:tcPr>
            <w:tcW w:w="1729" w:type="pct"/>
            <w:shd w:val="clear" w:color="auto" w:fill="auto"/>
            <w:vAlign w:val="center"/>
          </w:tcPr>
          <w:p w14:paraId="138AB134" w14:textId="77777777" w:rsidR="00E57DAA" w:rsidRDefault="00AC4185">
            <w:pPr>
              <w:jc w:val="right"/>
              <w:rPr>
                <w:szCs w:val="21"/>
              </w:rPr>
            </w:pPr>
            <w:r>
              <w:t>26.50%</w:t>
            </w:r>
          </w:p>
        </w:tc>
      </w:tr>
      <w:tr w:rsidR="00E57DAA" w14:paraId="1B07F8B7" w14:textId="77777777">
        <w:tc>
          <w:tcPr>
            <w:tcW w:w="3271" w:type="pct"/>
            <w:shd w:val="clear" w:color="auto" w:fill="auto"/>
            <w:vAlign w:val="center"/>
          </w:tcPr>
          <w:p w14:paraId="48F219E3" w14:textId="77777777" w:rsidR="00E57DAA" w:rsidRDefault="00AC4185">
            <w:pPr>
              <w:rPr>
                <w:szCs w:val="21"/>
              </w:rPr>
            </w:pPr>
            <w:r>
              <w:t>HAZEMAG USA   Inc.</w:t>
            </w:r>
          </w:p>
        </w:tc>
        <w:tc>
          <w:tcPr>
            <w:tcW w:w="1729" w:type="pct"/>
            <w:shd w:val="clear" w:color="auto" w:fill="auto"/>
            <w:vAlign w:val="center"/>
          </w:tcPr>
          <w:p w14:paraId="0AD7FCC0" w14:textId="77777777" w:rsidR="00E57DAA" w:rsidRDefault="00AC4185">
            <w:pPr>
              <w:jc w:val="right"/>
              <w:rPr>
                <w:szCs w:val="21"/>
              </w:rPr>
            </w:pPr>
            <w:r>
              <w:t>30.99%</w:t>
            </w:r>
          </w:p>
        </w:tc>
      </w:tr>
      <w:tr w:rsidR="00E57DAA" w14:paraId="017053E0" w14:textId="77777777">
        <w:tc>
          <w:tcPr>
            <w:tcW w:w="3271" w:type="pct"/>
            <w:shd w:val="clear" w:color="auto" w:fill="auto"/>
            <w:vAlign w:val="center"/>
          </w:tcPr>
          <w:p w14:paraId="1BDD4958" w14:textId="77777777" w:rsidR="00E57DAA" w:rsidRDefault="00AC4185">
            <w:pPr>
              <w:rPr>
                <w:szCs w:val="21"/>
              </w:rPr>
            </w:pPr>
            <w:r>
              <w:t>HAZEMAG   CANADA Inc.</w:t>
            </w:r>
          </w:p>
        </w:tc>
        <w:tc>
          <w:tcPr>
            <w:tcW w:w="1729" w:type="pct"/>
            <w:shd w:val="clear" w:color="auto" w:fill="auto"/>
            <w:vAlign w:val="center"/>
          </w:tcPr>
          <w:p w14:paraId="135365AD" w14:textId="77777777" w:rsidR="00E57DAA" w:rsidRDefault="00AC4185">
            <w:pPr>
              <w:jc w:val="right"/>
              <w:rPr>
                <w:szCs w:val="21"/>
              </w:rPr>
            </w:pPr>
            <w:r>
              <w:t>26.50%</w:t>
            </w:r>
          </w:p>
        </w:tc>
      </w:tr>
      <w:tr w:rsidR="00E57DAA" w14:paraId="78735C94" w14:textId="77777777">
        <w:tc>
          <w:tcPr>
            <w:tcW w:w="3271" w:type="pct"/>
            <w:shd w:val="clear" w:color="auto" w:fill="auto"/>
            <w:vAlign w:val="center"/>
          </w:tcPr>
          <w:p w14:paraId="4D4E6A6D" w14:textId="77777777" w:rsidR="00E57DAA" w:rsidRDefault="00AC4185">
            <w:pPr>
              <w:rPr>
                <w:szCs w:val="21"/>
              </w:rPr>
            </w:pPr>
            <w:r>
              <w:t>HAZEMAG Maroc   SARL</w:t>
            </w:r>
          </w:p>
        </w:tc>
        <w:tc>
          <w:tcPr>
            <w:tcW w:w="1729" w:type="pct"/>
            <w:shd w:val="clear" w:color="auto" w:fill="auto"/>
            <w:vAlign w:val="center"/>
          </w:tcPr>
          <w:p w14:paraId="5455BE53" w14:textId="77777777" w:rsidR="00E57DAA" w:rsidRDefault="00AC4185">
            <w:pPr>
              <w:jc w:val="right"/>
              <w:rPr>
                <w:szCs w:val="21"/>
              </w:rPr>
            </w:pPr>
            <w:r>
              <w:t>20.00%</w:t>
            </w:r>
          </w:p>
        </w:tc>
      </w:tr>
      <w:tr w:rsidR="00E57DAA" w14:paraId="47609D71" w14:textId="77777777">
        <w:tc>
          <w:tcPr>
            <w:tcW w:w="3271" w:type="pct"/>
            <w:shd w:val="clear" w:color="auto" w:fill="auto"/>
            <w:vAlign w:val="center"/>
          </w:tcPr>
          <w:p w14:paraId="7CB37F37" w14:textId="77777777" w:rsidR="00E57DAA" w:rsidRDefault="00AC4185">
            <w:pPr>
              <w:rPr>
                <w:szCs w:val="21"/>
              </w:rPr>
            </w:pPr>
            <w:r>
              <w:t>IMS   Engineering(PTY) Ltd.</w:t>
            </w:r>
          </w:p>
        </w:tc>
        <w:tc>
          <w:tcPr>
            <w:tcW w:w="1729" w:type="pct"/>
            <w:shd w:val="clear" w:color="auto" w:fill="auto"/>
          </w:tcPr>
          <w:p w14:paraId="0D245F17" w14:textId="77777777" w:rsidR="00E57DAA" w:rsidRDefault="00AC4185">
            <w:pPr>
              <w:jc w:val="right"/>
              <w:rPr>
                <w:szCs w:val="21"/>
              </w:rPr>
            </w:pPr>
            <w:r>
              <w:t>28.00%</w:t>
            </w:r>
          </w:p>
        </w:tc>
      </w:tr>
      <w:tr w:rsidR="00E57DAA" w14:paraId="6D3650F0" w14:textId="77777777">
        <w:tc>
          <w:tcPr>
            <w:tcW w:w="3271" w:type="pct"/>
            <w:shd w:val="clear" w:color="auto" w:fill="auto"/>
            <w:vAlign w:val="center"/>
          </w:tcPr>
          <w:p w14:paraId="6084D8B5" w14:textId="77777777" w:rsidR="00E57DAA" w:rsidRDefault="00AC4185">
            <w:proofErr w:type="spellStart"/>
            <w:r>
              <w:lastRenderedPageBreak/>
              <w:t>Imhako</w:t>
            </w:r>
            <w:proofErr w:type="spellEnd"/>
            <w:r>
              <w:t xml:space="preserve"> Properties(PTY) Ltd.</w:t>
            </w:r>
          </w:p>
        </w:tc>
        <w:tc>
          <w:tcPr>
            <w:tcW w:w="1729" w:type="pct"/>
            <w:shd w:val="clear" w:color="auto" w:fill="auto"/>
          </w:tcPr>
          <w:p w14:paraId="637A7DBB" w14:textId="77777777" w:rsidR="00E57DAA" w:rsidRDefault="00AC4185">
            <w:pPr>
              <w:jc w:val="right"/>
            </w:pPr>
            <w:r>
              <w:t>28.00%</w:t>
            </w:r>
          </w:p>
        </w:tc>
      </w:tr>
      <w:tr w:rsidR="00E57DAA" w14:paraId="0BCA5D71" w14:textId="77777777">
        <w:tc>
          <w:tcPr>
            <w:tcW w:w="3271" w:type="pct"/>
            <w:shd w:val="clear" w:color="auto" w:fill="auto"/>
            <w:vAlign w:val="center"/>
          </w:tcPr>
          <w:p w14:paraId="57CBF781" w14:textId="77777777" w:rsidR="00E57DAA" w:rsidRDefault="00AC4185">
            <w:pPr>
              <w:rPr>
                <w:szCs w:val="21"/>
              </w:rPr>
            </w:pPr>
            <w:r>
              <w:t>中材宁锐（南京）国际物流尼日利亚子公司</w:t>
            </w:r>
          </w:p>
        </w:tc>
        <w:tc>
          <w:tcPr>
            <w:tcW w:w="1729" w:type="pct"/>
            <w:shd w:val="clear" w:color="auto" w:fill="auto"/>
          </w:tcPr>
          <w:p w14:paraId="46E2F47E" w14:textId="77777777" w:rsidR="00E57DAA" w:rsidRDefault="00AC4185">
            <w:pPr>
              <w:jc w:val="right"/>
              <w:rPr>
                <w:szCs w:val="21"/>
              </w:rPr>
            </w:pPr>
            <w:r>
              <w:t>30.00%</w:t>
            </w:r>
          </w:p>
        </w:tc>
      </w:tr>
      <w:tr w:rsidR="00E57DAA" w14:paraId="7695ABC9" w14:textId="77777777">
        <w:tc>
          <w:tcPr>
            <w:tcW w:w="3271" w:type="pct"/>
            <w:shd w:val="clear" w:color="auto" w:fill="auto"/>
            <w:vAlign w:val="center"/>
          </w:tcPr>
          <w:p w14:paraId="6D6F7F74" w14:textId="77777777" w:rsidR="00E57DAA" w:rsidRDefault="00AC4185">
            <w:pPr>
              <w:rPr>
                <w:szCs w:val="21"/>
              </w:rPr>
            </w:pPr>
            <w:r>
              <w:t>FABCOM   STRUCTURAL LTD</w:t>
            </w:r>
          </w:p>
        </w:tc>
        <w:tc>
          <w:tcPr>
            <w:tcW w:w="1729" w:type="pct"/>
            <w:shd w:val="clear" w:color="auto" w:fill="auto"/>
          </w:tcPr>
          <w:p w14:paraId="69798950" w14:textId="77777777" w:rsidR="00E57DAA" w:rsidRDefault="00AC4185">
            <w:pPr>
              <w:jc w:val="right"/>
              <w:rPr>
                <w:szCs w:val="21"/>
              </w:rPr>
            </w:pPr>
            <w:r>
              <w:t>30.00%</w:t>
            </w:r>
          </w:p>
        </w:tc>
      </w:tr>
      <w:tr w:rsidR="00E57DAA" w14:paraId="1782E9D8" w14:textId="77777777">
        <w:tc>
          <w:tcPr>
            <w:tcW w:w="3271" w:type="pct"/>
            <w:shd w:val="clear" w:color="auto" w:fill="auto"/>
            <w:vAlign w:val="center"/>
          </w:tcPr>
          <w:p w14:paraId="66EC232C" w14:textId="77777777" w:rsidR="00E57DAA" w:rsidRDefault="00AC4185">
            <w:pPr>
              <w:rPr>
                <w:szCs w:val="21"/>
              </w:rPr>
            </w:pPr>
            <w:proofErr w:type="spellStart"/>
            <w:r>
              <w:t>Allmineral</w:t>
            </w:r>
            <w:proofErr w:type="spellEnd"/>
            <w:r>
              <w:t xml:space="preserve">   Australia Pty Ltd.</w:t>
            </w:r>
          </w:p>
        </w:tc>
        <w:tc>
          <w:tcPr>
            <w:tcW w:w="1729" w:type="pct"/>
            <w:shd w:val="clear" w:color="auto" w:fill="auto"/>
          </w:tcPr>
          <w:p w14:paraId="0C0E3138" w14:textId="77777777" w:rsidR="00E57DAA" w:rsidRDefault="00AC4185">
            <w:pPr>
              <w:jc w:val="right"/>
              <w:rPr>
                <w:szCs w:val="21"/>
              </w:rPr>
            </w:pPr>
            <w:r>
              <w:t>30.00%</w:t>
            </w:r>
          </w:p>
        </w:tc>
      </w:tr>
      <w:tr w:rsidR="00E57DAA" w14:paraId="5C8EC149" w14:textId="77777777">
        <w:tc>
          <w:tcPr>
            <w:tcW w:w="3271" w:type="pct"/>
            <w:shd w:val="clear" w:color="auto" w:fill="auto"/>
            <w:vAlign w:val="center"/>
          </w:tcPr>
          <w:p w14:paraId="1451B54D" w14:textId="77777777" w:rsidR="00E57DAA" w:rsidRDefault="00AC4185">
            <w:pPr>
              <w:rPr>
                <w:szCs w:val="21"/>
              </w:rPr>
            </w:pPr>
            <w:proofErr w:type="spellStart"/>
            <w:r>
              <w:t>Allmineral</w:t>
            </w:r>
            <w:proofErr w:type="spellEnd"/>
            <w:r>
              <w:t xml:space="preserve">   </w:t>
            </w:r>
            <w:proofErr w:type="spellStart"/>
            <w:r>
              <w:t>Aufbereitungstechnik</w:t>
            </w:r>
            <w:proofErr w:type="spellEnd"/>
            <w:r>
              <w:t xml:space="preserve"> </w:t>
            </w:r>
            <w:proofErr w:type="spellStart"/>
            <w:r>
              <w:t>Verwaltungs</w:t>
            </w:r>
            <w:proofErr w:type="spellEnd"/>
            <w:r>
              <w:t>—GmbH</w:t>
            </w:r>
          </w:p>
        </w:tc>
        <w:tc>
          <w:tcPr>
            <w:tcW w:w="1729" w:type="pct"/>
            <w:shd w:val="clear" w:color="auto" w:fill="auto"/>
          </w:tcPr>
          <w:p w14:paraId="1DA4F66F" w14:textId="77777777" w:rsidR="00E57DAA" w:rsidRDefault="00AC4185">
            <w:pPr>
              <w:jc w:val="right"/>
              <w:rPr>
                <w:szCs w:val="21"/>
              </w:rPr>
            </w:pPr>
            <w:r>
              <w:t>31.60%</w:t>
            </w:r>
          </w:p>
        </w:tc>
      </w:tr>
      <w:tr w:rsidR="00E57DAA" w14:paraId="410E4B2D" w14:textId="77777777">
        <w:tc>
          <w:tcPr>
            <w:tcW w:w="3271" w:type="pct"/>
            <w:shd w:val="clear" w:color="auto" w:fill="auto"/>
            <w:vAlign w:val="center"/>
          </w:tcPr>
          <w:p w14:paraId="6B99F9DD" w14:textId="77777777" w:rsidR="00E57DAA" w:rsidRDefault="00AC4185">
            <w:pPr>
              <w:rPr>
                <w:szCs w:val="21"/>
              </w:rPr>
            </w:pPr>
            <w:proofErr w:type="spellStart"/>
            <w:r>
              <w:t>Allmineral</w:t>
            </w:r>
            <w:proofErr w:type="spellEnd"/>
            <w:r>
              <w:t xml:space="preserve">   Asia Private Limited</w:t>
            </w:r>
          </w:p>
        </w:tc>
        <w:tc>
          <w:tcPr>
            <w:tcW w:w="1729" w:type="pct"/>
            <w:shd w:val="clear" w:color="auto" w:fill="auto"/>
          </w:tcPr>
          <w:p w14:paraId="0D138627" w14:textId="77777777" w:rsidR="00E57DAA" w:rsidRDefault="00AC4185">
            <w:pPr>
              <w:jc w:val="right"/>
              <w:rPr>
                <w:szCs w:val="21"/>
              </w:rPr>
            </w:pPr>
            <w:r>
              <w:t>26.00%</w:t>
            </w:r>
          </w:p>
        </w:tc>
      </w:tr>
      <w:tr w:rsidR="00E57DAA" w14:paraId="7B3D9344" w14:textId="77777777">
        <w:tc>
          <w:tcPr>
            <w:tcW w:w="3271" w:type="pct"/>
            <w:shd w:val="clear" w:color="auto" w:fill="auto"/>
            <w:vAlign w:val="center"/>
          </w:tcPr>
          <w:p w14:paraId="5C66E259" w14:textId="77777777" w:rsidR="00E57DAA" w:rsidRDefault="00AC4185">
            <w:pPr>
              <w:rPr>
                <w:szCs w:val="21"/>
              </w:rPr>
            </w:pPr>
            <w:r>
              <w:t>德国HAZEMAG公司</w:t>
            </w:r>
          </w:p>
        </w:tc>
        <w:tc>
          <w:tcPr>
            <w:tcW w:w="1729" w:type="pct"/>
            <w:shd w:val="clear" w:color="auto" w:fill="auto"/>
          </w:tcPr>
          <w:p w14:paraId="72066AD6" w14:textId="77777777" w:rsidR="00E57DAA" w:rsidRDefault="00AC4185">
            <w:pPr>
              <w:jc w:val="right"/>
              <w:rPr>
                <w:szCs w:val="21"/>
              </w:rPr>
            </w:pPr>
            <w:r>
              <w:t>31.06%</w:t>
            </w:r>
          </w:p>
        </w:tc>
      </w:tr>
      <w:tr w:rsidR="00E57DAA" w14:paraId="614D1127" w14:textId="77777777">
        <w:tc>
          <w:tcPr>
            <w:tcW w:w="3271" w:type="pct"/>
            <w:shd w:val="clear" w:color="auto" w:fill="auto"/>
            <w:vAlign w:val="center"/>
          </w:tcPr>
          <w:p w14:paraId="04479DE7" w14:textId="77777777" w:rsidR="00E57DAA" w:rsidRDefault="00AC4185">
            <w:pPr>
              <w:rPr>
                <w:szCs w:val="21"/>
              </w:rPr>
            </w:pPr>
            <w:r>
              <w:t>HAZEMAG   Mining GmbH</w:t>
            </w:r>
          </w:p>
        </w:tc>
        <w:tc>
          <w:tcPr>
            <w:tcW w:w="1729" w:type="pct"/>
            <w:shd w:val="clear" w:color="auto" w:fill="auto"/>
          </w:tcPr>
          <w:p w14:paraId="4A8166AE" w14:textId="77777777" w:rsidR="00E57DAA" w:rsidRDefault="00AC4185">
            <w:pPr>
              <w:jc w:val="right"/>
              <w:rPr>
                <w:szCs w:val="21"/>
              </w:rPr>
            </w:pPr>
            <w:r>
              <w:t>31.06%</w:t>
            </w:r>
          </w:p>
        </w:tc>
      </w:tr>
      <w:tr w:rsidR="00E57DAA" w14:paraId="3577B6AC" w14:textId="77777777">
        <w:tc>
          <w:tcPr>
            <w:tcW w:w="3271" w:type="pct"/>
            <w:shd w:val="clear" w:color="auto" w:fill="auto"/>
            <w:vAlign w:val="center"/>
          </w:tcPr>
          <w:p w14:paraId="6497ED3E" w14:textId="77777777" w:rsidR="00E57DAA" w:rsidRDefault="00AC4185">
            <w:pPr>
              <w:rPr>
                <w:szCs w:val="21"/>
              </w:rPr>
            </w:pPr>
            <w:r>
              <w:t>HAZEMAG   Engineering GmbH</w:t>
            </w:r>
          </w:p>
        </w:tc>
        <w:tc>
          <w:tcPr>
            <w:tcW w:w="1729" w:type="pct"/>
            <w:shd w:val="clear" w:color="auto" w:fill="auto"/>
          </w:tcPr>
          <w:p w14:paraId="337548D4" w14:textId="77777777" w:rsidR="00E57DAA" w:rsidRDefault="00AC4185">
            <w:pPr>
              <w:jc w:val="right"/>
              <w:rPr>
                <w:szCs w:val="21"/>
              </w:rPr>
            </w:pPr>
            <w:r>
              <w:t>31.06%</w:t>
            </w:r>
          </w:p>
        </w:tc>
      </w:tr>
      <w:tr w:rsidR="00E57DAA" w14:paraId="56FC8A14" w14:textId="77777777">
        <w:tc>
          <w:tcPr>
            <w:tcW w:w="3271" w:type="pct"/>
            <w:shd w:val="clear" w:color="auto" w:fill="auto"/>
            <w:vAlign w:val="center"/>
          </w:tcPr>
          <w:p w14:paraId="4CA7AD2A" w14:textId="77777777" w:rsidR="00E57DAA" w:rsidRDefault="00AC4185">
            <w:pPr>
              <w:rPr>
                <w:szCs w:val="21"/>
              </w:rPr>
            </w:pPr>
            <w:proofErr w:type="spellStart"/>
            <w:r>
              <w:t>Allmineral</w:t>
            </w:r>
            <w:proofErr w:type="spellEnd"/>
            <w:r>
              <w:t xml:space="preserve">   </w:t>
            </w:r>
            <w:proofErr w:type="spellStart"/>
            <w:r>
              <w:t>Aufbereitungstechnik</w:t>
            </w:r>
            <w:proofErr w:type="spellEnd"/>
            <w:r>
              <w:t xml:space="preserve"> GmbH&amp;Co.KG</w:t>
            </w:r>
          </w:p>
        </w:tc>
        <w:tc>
          <w:tcPr>
            <w:tcW w:w="1729" w:type="pct"/>
            <w:shd w:val="clear" w:color="auto" w:fill="auto"/>
          </w:tcPr>
          <w:p w14:paraId="57AB0570" w14:textId="77777777" w:rsidR="00E57DAA" w:rsidRDefault="00AC4185">
            <w:pPr>
              <w:jc w:val="right"/>
              <w:rPr>
                <w:szCs w:val="21"/>
              </w:rPr>
            </w:pPr>
            <w:r>
              <w:t>15.40%</w:t>
            </w:r>
          </w:p>
        </w:tc>
      </w:tr>
      <w:tr w:rsidR="00E57DAA" w14:paraId="305C4245" w14:textId="77777777">
        <w:tc>
          <w:tcPr>
            <w:tcW w:w="3271" w:type="pct"/>
            <w:shd w:val="clear" w:color="auto" w:fill="auto"/>
            <w:vAlign w:val="center"/>
          </w:tcPr>
          <w:p w14:paraId="314A0CCA" w14:textId="77777777" w:rsidR="00E57DAA" w:rsidRDefault="00AC4185">
            <w:pPr>
              <w:rPr>
                <w:szCs w:val="21"/>
              </w:rPr>
            </w:pPr>
            <w:r>
              <w:t>印度LNVT私人有限公司</w:t>
            </w:r>
          </w:p>
        </w:tc>
        <w:tc>
          <w:tcPr>
            <w:tcW w:w="1729" w:type="pct"/>
            <w:shd w:val="clear" w:color="auto" w:fill="auto"/>
          </w:tcPr>
          <w:p w14:paraId="00D96DF7" w14:textId="77777777" w:rsidR="00E57DAA" w:rsidRDefault="00AC4185">
            <w:pPr>
              <w:jc w:val="right"/>
              <w:rPr>
                <w:szCs w:val="21"/>
              </w:rPr>
            </w:pPr>
            <w:r>
              <w:t>34.94%</w:t>
            </w:r>
          </w:p>
        </w:tc>
      </w:tr>
      <w:tr w:rsidR="00E57DAA" w14:paraId="1A9A2B1C" w14:textId="77777777">
        <w:tc>
          <w:tcPr>
            <w:tcW w:w="3271" w:type="pct"/>
            <w:shd w:val="clear" w:color="auto" w:fill="auto"/>
            <w:vAlign w:val="center"/>
          </w:tcPr>
          <w:p w14:paraId="5E672AFB" w14:textId="77777777" w:rsidR="00E57DAA" w:rsidRDefault="00AC4185">
            <w:pPr>
              <w:rPr>
                <w:szCs w:val="21"/>
              </w:rPr>
            </w:pPr>
            <w:r>
              <w:t>中材工贸（伊拉克）有限公司</w:t>
            </w:r>
          </w:p>
        </w:tc>
        <w:tc>
          <w:tcPr>
            <w:tcW w:w="1729" w:type="pct"/>
            <w:shd w:val="clear" w:color="auto" w:fill="auto"/>
          </w:tcPr>
          <w:p w14:paraId="36E8C353" w14:textId="77777777" w:rsidR="00E57DAA" w:rsidRDefault="00AC4185">
            <w:pPr>
              <w:jc w:val="right"/>
              <w:rPr>
                <w:szCs w:val="21"/>
              </w:rPr>
            </w:pPr>
            <w:r>
              <w:t>0.00%</w:t>
            </w:r>
          </w:p>
        </w:tc>
      </w:tr>
      <w:tr w:rsidR="00E57DAA" w14:paraId="1B8E9BF0" w14:textId="77777777">
        <w:tc>
          <w:tcPr>
            <w:tcW w:w="3271" w:type="pct"/>
            <w:shd w:val="clear" w:color="auto" w:fill="auto"/>
            <w:vAlign w:val="center"/>
          </w:tcPr>
          <w:p w14:paraId="2774907D" w14:textId="77777777" w:rsidR="00E57DAA" w:rsidRDefault="00AC4185">
            <w:pPr>
              <w:rPr>
                <w:szCs w:val="21"/>
              </w:rPr>
            </w:pPr>
            <w:r>
              <w:t>新迈克中东工程有限公司</w:t>
            </w:r>
          </w:p>
        </w:tc>
        <w:tc>
          <w:tcPr>
            <w:tcW w:w="1729" w:type="pct"/>
            <w:shd w:val="clear" w:color="auto" w:fill="auto"/>
          </w:tcPr>
          <w:p w14:paraId="3DD7D18B" w14:textId="77777777" w:rsidR="00E57DAA" w:rsidRDefault="00AC4185">
            <w:pPr>
              <w:jc w:val="right"/>
              <w:rPr>
                <w:szCs w:val="21"/>
              </w:rPr>
            </w:pPr>
            <w:r>
              <w:t>0.00%</w:t>
            </w:r>
          </w:p>
        </w:tc>
      </w:tr>
      <w:tr w:rsidR="00E57DAA" w14:paraId="7395F5E6" w14:textId="77777777">
        <w:tc>
          <w:tcPr>
            <w:tcW w:w="3271" w:type="pct"/>
            <w:shd w:val="clear" w:color="auto" w:fill="auto"/>
            <w:vAlign w:val="center"/>
          </w:tcPr>
          <w:p w14:paraId="490102E1" w14:textId="77777777" w:rsidR="00E57DAA" w:rsidRDefault="00AC4185">
            <w:pPr>
              <w:rPr>
                <w:szCs w:val="21"/>
              </w:rPr>
            </w:pPr>
            <w:r>
              <w:t>中材矿山建设有限公司老挝子公司</w:t>
            </w:r>
          </w:p>
        </w:tc>
        <w:tc>
          <w:tcPr>
            <w:tcW w:w="1729" w:type="pct"/>
            <w:shd w:val="clear" w:color="auto" w:fill="auto"/>
          </w:tcPr>
          <w:p w14:paraId="46D85086" w14:textId="77777777" w:rsidR="00E57DAA" w:rsidRDefault="00AC4185">
            <w:pPr>
              <w:jc w:val="right"/>
              <w:rPr>
                <w:szCs w:val="21"/>
              </w:rPr>
            </w:pPr>
            <w:r>
              <w:t>20.00%</w:t>
            </w:r>
          </w:p>
        </w:tc>
      </w:tr>
      <w:tr w:rsidR="00E57DAA" w14:paraId="4F4CF4C0" w14:textId="77777777">
        <w:tc>
          <w:tcPr>
            <w:tcW w:w="3271" w:type="pct"/>
            <w:shd w:val="clear" w:color="auto" w:fill="auto"/>
            <w:vAlign w:val="center"/>
          </w:tcPr>
          <w:p w14:paraId="5B0774DC" w14:textId="77777777" w:rsidR="00E57DAA" w:rsidRDefault="00AC4185">
            <w:pPr>
              <w:rPr>
                <w:szCs w:val="21"/>
              </w:rPr>
            </w:pPr>
            <w:r>
              <w:t>中材装备集团有限公司迪拜子公司</w:t>
            </w:r>
          </w:p>
        </w:tc>
        <w:tc>
          <w:tcPr>
            <w:tcW w:w="1729" w:type="pct"/>
            <w:shd w:val="clear" w:color="auto" w:fill="auto"/>
          </w:tcPr>
          <w:p w14:paraId="481B02F3" w14:textId="77777777" w:rsidR="00E57DAA" w:rsidRDefault="00AC4185">
            <w:pPr>
              <w:jc w:val="right"/>
              <w:rPr>
                <w:szCs w:val="21"/>
              </w:rPr>
            </w:pPr>
            <w:r>
              <w:t>0.00%</w:t>
            </w:r>
          </w:p>
        </w:tc>
      </w:tr>
      <w:tr w:rsidR="00E57DAA" w14:paraId="47AC78D7" w14:textId="77777777">
        <w:tc>
          <w:tcPr>
            <w:tcW w:w="3271" w:type="pct"/>
            <w:shd w:val="clear" w:color="auto" w:fill="auto"/>
            <w:vAlign w:val="center"/>
          </w:tcPr>
          <w:p w14:paraId="565646BC" w14:textId="77777777" w:rsidR="00E57DAA" w:rsidRDefault="00AC4185">
            <w:pPr>
              <w:rPr>
                <w:szCs w:val="21"/>
              </w:rPr>
            </w:pPr>
            <w:r>
              <w:t>南京凯盛（波兰）有限公司</w:t>
            </w:r>
          </w:p>
        </w:tc>
        <w:tc>
          <w:tcPr>
            <w:tcW w:w="1729" w:type="pct"/>
            <w:shd w:val="clear" w:color="auto" w:fill="auto"/>
          </w:tcPr>
          <w:p w14:paraId="46E48418" w14:textId="77777777" w:rsidR="00E57DAA" w:rsidRDefault="00AC4185">
            <w:pPr>
              <w:jc w:val="right"/>
              <w:rPr>
                <w:szCs w:val="21"/>
              </w:rPr>
            </w:pPr>
            <w:r>
              <w:t>19.00%</w:t>
            </w:r>
          </w:p>
        </w:tc>
      </w:tr>
      <w:tr w:rsidR="00E57DAA" w14:paraId="4D4465DE" w14:textId="77777777">
        <w:tc>
          <w:tcPr>
            <w:tcW w:w="3271" w:type="pct"/>
            <w:shd w:val="clear" w:color="auto" w:fill="auto"/>
            <w:vAlign w:val="center"/>
          </w:tcPr>
          <w:p w14:paraId="3EA4AE11" w14:textId="77777777" w:rsidR="00E57DAA" w:rsidRDefault="00AC4185">
            <w:pPr>
              <w:rPr>
                <w:szCs w:val="21"/>
              </w:rPr>
            </w:pPr>
            <w:r>
              <w:t>中建材智慧工业埃塞公司</w:t>
            </w:r>
          </w:p>
        </w:tc>
        <w:tc>
          <w:tcPr>
            <w:tcW w:w="1729" w:type="pct"/>
            <w:shd w:val="clear" w:color="auto" w:fill="auto"/>
          </w:tcPr>
          <w:p w14:paraId="4EB69379" w14:textId="77777777" w:rsidR="00E57DAA" w:rsidRDefault="00AC4185">
            <w:pPr>
              <w:jc w:val="right"/>
              <w:rPr>
                <w:szCs w:val="21"/>
              </w:rPr>
            </w:pPr>
            <w:r>
              <w:t>30.00%</w:t>
            </w:r>
          </w:p>
        </w:tc>
      </w:tr>
      <w:tr w:rsidR="00E57DAA" w14:paraId="4B0F61E6" w14:textId="77777777">
        <w:tc>
          <w:tcPr>
            <w:tcW w:w="3271" w:type="pct"/>
            <w:shd w:val="clear" w:color="auto" w:fill="auto"/>
            <w:vAlign w:val="center"/>
          </w:tcPr>
          <w:p w14:paraId="5404D87A" w14:textId="77777777" w:rsidR="00E57DAA" w:rsidRDefault="00AC4185">
            <w:pPr>
              <w:rPr>
                <w:szCs w:val="21"/>
              </w:rPr>
            </w:pPr>
            <w:r>
              <w:t>中材宁锐（南京）国际物流越南子公司</w:t>
            </w:r>
          </w:p>
        </w:tc>
        <w:tc>
          <w:tcPr>
            <w:tcW w:w="1729" w:type="pct"/>
            <w:shd w:val="clear" w:color="auto" w:fill="auto"/>
          </w:tcPr>
          <w:p w14:paraId="58F1B090" w14:textId="77777777" w:rsidR="00E57DAA" w:rsidRDefault="00AC4185">
            <w:pPr>
              <w:jc w:val="right"/>
              <w:rPr>
                <w:szCs w:val="21"/>
              </w:rPr>
            </w:pPr>
            <w:r>
              <w:t>20.00%</w:t>
            </w:r>
          </w:p>
        </w:tc>
      </w:tr>
      <w:tr w:rsidR="00E57DAA" w14:paraId="62153480" w14:textId="77777777">
        <w:tc>
          <w:tcPr>
            <w:tcW w:w="3271" w:type="pct"/>
            <w:shd w:val="clear" w:color="auto" w:fill="auto"/>
            <w:vAlign w:val="center"/>
          </w:tcPr>
          <w:p w14:paraId="282B8960" w14:textId="77777777" w:rsidR="00E57DAA" w:rsidRDefault="00AC4185">
            <w:pPr>
              <w:rPr>
                <w:szCs w:val="21"/>
              </w:rPr>
            </w:pPr>
            <w:r>
              <w:t>中阿现代工业工程公司</w:t>
            </w:r>
          </w:p>
        </w:tc>
        <w:tc>
          <w:tcPr>
            <w:tcW w:w="1729" w:type="pct"/>
            <w:shd w:val="clear" w:color="auto" w:fill="auto"/>
          </w:tcPr>
          <w:p w14:paraId="2941F308" w14:textId="77777777" w:rsidR="00E57DAA" w:rsidRDefault="00AC4185">
            <w:pPr>
              <w:jc w:val="right"/>
              <w:rPr>
                <w:szCs w:val="21"/>
              </w:rPr>
            </w:pPr>
            <w:r>
              <w:t>26.00%</w:t>
            </w:r>
          </w:p>
        </w:tc>
      </w:tr>
      <w:tr w:rsidR="00E57DAA" w14:paraId="052371C8" w14:textId="77777777">
        <w:tc>
          <w:tcPr>
            <w:tcW w:w="3271" w:type="pct"/>
            <w:shd w:val="clear" w:color="auto" w:fill="auto"/>
            <w:vAlign w:val="center"/>
          </w:tcPr>
          <w:p w14:paraId="628BEDFC" w14:textId="77777777" w:rsidR="00E57DAA" w:rsidRDefault="00AC4185">
            <w:pPr>
              <w:rPr>
                <w:szCs w:val="21"/>
              </w:rPr>
            </w:pPr>
            <w:r>
              <w:t>中国建材屋面系统肯尼亚有限公司</w:t>
            </w:r>
          </w:p>
        </w:tc>
        <w:tc>
          <w:tcPr>
            <w:tcW w:w="1729" w:type="pct"/>
            <w:shd w:val="clear" w:color="auto" w:fill="auto"/>
          </w:tcPr>
          <w:p w14:paraId="2D35D46F" w14:textId="77777777" w:rsidR="00E57DAA" w:rsidRDefault="00AC4185">
            <w:pPr>
              <w:jc w:val="right"/>
              <w:rPr>
                <w:szCs w:val="21"/>
              </w:rPr>
            </w:pPr>
            <w:r>
              <w:t>30.00%</w:t>
            </w:r>
          </w:p>
        </w:tc>
      </w:tr>
      <w:tr w:rsidR="00E57DAA" w14:paraId="4D61657D" w14:textId="77777777">
        <w:tc>
          <w:tcPr>
            <w:tcW w:w="3271" w:type="pct"/>
            <w:shd w:val="clear" w:color="auto" w:fill="auto"/>
            <w:vAlign w:val="center"/>
          </w:tcPr>
          <w:p w14:paraId="3BD0B5C3" w14:textId="77777777" w:rsidR="00E57DAA" w:rsidRDefault="00AC4185">
            <w:pPr>
              <w:rPr>
                <w:szCs w:val="21"/>
              </w:rPr>
            </w:pPr>
            <w:r>
              <w:t>SINOMA绿色基础材料有限公司</w:t>
            </w:r>
          </w:p>
        </w:tc>
        <w:tc>
          <w:tcPr>
            <w:tcW w:w="1729" w:type="pct"/>
            <w:shd w:val="clear" w:color="auto" w:fill="auto"/>
          </w:tcPr>
          <w:p w14:paraId="50D9C4D8" w14:textId="77777777" w:rsidR="00E57DAA" w:rsidRDefault="00AC4185">
            <w:pPr>
              <w:jc w:val="right"/>
              <w:rPr>
                <w:szCs w:val="21"/>
              </w:rPr>
            </w:pPr>
            <w:r>
              <w:t>15.00%</w:t>
            </w:r>
          </w:p>
        </w:tc>
      </w:tr>
      <w:tr w:rsidR="00E57DAA" w14:paraId="42AE8EB1" w14:textId="77777777">
        <w:tc>
          <w:tcPr>
            <w:tcW w:w="3271" w:type="pct"/>
            <w:shd w:val="clear" w:color="auto" w:fill="auto"/>
            <w:vAlign w:val="center"/>
          </w:tcPr>
          <w:p w14:paraId="2C7F5024" w14:textId="77777777" w:rsidR="00E57DAA" w:rsidRDefault="00AC4185">
            <w:pPr>
              <w:rPr>
                <w:szCs w:val="21"/>
              </w:rPr>
            </w:pPr>
            <w:r>
              <w:t>绿色基础材料有限公司</w:t>
            </w:r>
          </w:p>
        </w:tc>
        <w:tc>
          <w:tcPr>
            <w:tcW w:w="1729" w:type="pct"/>
            <w:shd w:val="clear" w:color="auto" w:fill="auto"/>
          </w:tcPr>
          <w:p w14:paraId="2B3245DA" w14:textId="77777777" w:rsidR="00E57DAA" w:rsidRDefault="00AC4185">
            <w:pPr>
              <w:jc w:val="right"/>
              <w:rPr>
                <w:szCs w:val="21"/>
              </w:rPr>
            </w:pPr>
            <w:r>
              <w:t>15.00%</w:t>
            </w:r>
          </w:p>
        </w:tc>
      </w:tr>
    </w:tbl>
    <w:p w14:paraId="3DA4F59E" w14:textId="77777777" w:rsidR="00E57DAA" w:rsidRDefault="00E57DAA"/>
    <w:p w14:paraId="7C6F75A7" w14:textId="77777777" w:rsidR="00E57DAA" w:rsidRDefault="00AC4185" w:rsidP="00C25422">
      <w:pPr>
        <w:pStyle w:val="91"/>
        <w:numPr>
          <w:ilvl w:val="0"/>
          <w:numId w:val="68"/>
        </w:numPr>
      </w:pPr>
      <w:r>
        <w:t>税收优惠</w:t>
      </w:r>
    </w:p>
    <w:sdt>
      <w:sdtPr>
        <w:rPr>
          <w:rFonts w:hint="eastAsia"/>
          <w:szCs w:val="21"/>
        </w:rPr>
        <w:alias w:val="是否适用：税收优惠[双击切换]"/>
        <w:tag w:val="_GBC_7b649dcf8ab54475bffc51edb3c33588"/>
        <w:id w:val="1577623037"/>
        <w:placeholder>
          <w:docPart w:val="GBC22222222222222222222222222222"/>
        </w:placeholder>
      </w:sdtPr>
      <w:sdtEndPr/>
      <w:sdtContent>
        <w:p w14:paraId="5B017DE7"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301964054"/>
        <w:placeholder>
          <w:docPart w:val="GBC22222222222222222222222222222"/>
        </w:placeholder>
      </w:sdtPr>
      <w:sdtEndPr/>
      <w:sdtContent>
        <w:p w14:paraId="6347F908" w14:textId="77777777" w:rsidR="00E57DAA" w:rsidRDefault="00AC4185">
          <w:pPr>
            <w:ind w:firstLineChars="200" w:firstLine="420"/>
            <w:jc w:val="both"/>
            <w:rPr>
              <w:szCs w:val="21"/>
            </w:rPr>
          </w:pPr>
          <w:r>
            <w:rPr>
              <w:rFonts w:hint="eastAsia"/>
              <w:szCs w:val="21"/>
            </w:rPr>
            <w:t>根据《高新技术企业认定管理办法》（国科发火〔</w:t>
          </w:r>
          <w:r>
            <w:rPr>
              <w:szCs w:val="21"/>
            </w:rPr>
            <w:t>2016〕32号）和《高新技术企业认定管理工作指引》（国科发火〔2016〕195号）有关规定，经企业申报、专家审查、认定机构认定、国家公示与备案，本公司及二级子公司中材建设有限公司、成都建筑材料工业设计研究院有限公司、苏州中材建设有限公司、天津水泥工业设计研究院有限公司、中材国际环境工程（北京）有限公司、中材国际水务科技（合肥）有限公司、邯郸中材建设有限责任公司、中材天安（天津）工程有限公司、北京凯盛建材工程有限公司、中材国际智能科技有限公司、中材智能科技（成都）</w:t>
          </w:r>
          <w:r>
            <w:rPr>
              <w:rFonts w:hint="eastAsia"/>
              <w:szCs w:val="21"/>
            </w:rPr>
            <w:t>有限公司、中建材智慧工业科技有限公司、浙江博宇机电有限公司、合肥水泥研究设计院有限公司，三级子公司中材（天津）粉体技术装备有限公司、中材（天津）控制工程有限公司、天津中材工程研究中心有限公司、河南中材环保有限公司、唐山中材重型机械有限公司、上饶中材机械有限公司、徐州中材装备重型机械有限公司、中材（天津）重型机械有限公司、天津椿本输送机械有限公司、天津矿山工程有限公司、中国建筑材料工业建设西安工程有限公司、溧阳中材环保有限公司、兖州中材建设有限公司、中国非金属材料南京矿山工程有限公司、安徽海金水泥技术发展有限公司、合肥中都机械有限公司、中建材（合肥）钢构科技有限公司、湖北秦鸿新材料有限公司、淮南中建材腾锋环保科技有限公司，四级子公司中建材（合肥）粉体科技装备有限公司、中建材（合肥）机电工程技术有限公司、合肥固泰自动化有限公司、合肥中亚建材装备有限责任公司、合肥中亚环保科技有限公司，被认定为高新技术企业，企业所得税税率适用</w:t>
          </w:r>
          <w:r>
            <w:rPr>
              <w:szCs w:val="21"/>
            </w:rPr>
            <w:t>15%的税收优惠。</w:t>
          </w:r>
        </w:p>
        <w:p w14:paraId="5B299A3F" w14:textId="77777777" w:rsidR="00E57DAA" w:rsidRDefault="00AC4185">
          <w:pPr>
            <w:ind w:firstLineChars="200" w:firstLine="420"/>
            <w:jc w:val="both"/>
            <w:rPr>
              <w:szCs w:val="21"/>
            </w:rPr>
          </w:pPr>
          <w:r>
            <w:rPr>
              <w:rFonts w:hint="eastAsia"/>
              <w:szCs w:val="21"/>
            </w:rPr>
            <w:t>根据财政部、国家税务总局、国家发展改革委《关于延续西部大开发企业所得税政策的公告》（财政部公告</w:t>
          </w:r>
          <w:r>
            <w:rPr>
              <w:szCs w:val="21"/>
            </w:rPr>
            <w:t>2020年第23号），对于以《西部地区鼓励类产业目录》中规定的产业项目为主营业务，且其主营业务收入占企业收入总额60%以上的企业减按15%的税率征收企业所得税。四级子公司重庆中材参天建材有限公司符合税收优惠条件，企业所得税税率适用15%的税收优惠。</w:t>
          </w:r>
        </w:p>
        <w:p w14:paraId="660F43C4" w14:textId="77777777" w:rsidR="00E57DAA" w:rsidRDefault="00AC4185">
          <w:pPr>
            <w:ind w:firstLineChars="200" w:firstLine="420"/>
            <w:jc w:val="both"/>
            <w:rPr>
              <w:szCs w:val="21"/>
            </w:rPr>
          </w:pPr>
          <w:r>
            <w:rPr>
              <w:rFonts w:hint="eastAsia"/>
              <w:szCs w:val="21"/>
            </w:rPr>
            <w:t>根据财政部、税务总局《关于实施小微企业普惠性税收减免政策的通知》（财税〔</w:t>
          </w:r>
          <w:r>
            <w:rPr>
              <w:szCs w:val="21"/>
            </w:rPr>
            <w:t>2019〕13号），财政部、税务总局《关于实施小微企业和个体工商户所得税优惠政策的公告》（财政部 税务总局公告2021年第12号），财政部、税务总局《关于进一步实施小微企业所得税优惠政策</w:t>
          </w:r>
          <w:r>
            <w:rPr>
              <w:szCs w:val="21"/>
            </w:rPr>
            <w:lastRenderedPageBreak/>
            <w:t>的公告》（财政部 税务总局公告2022年第13号），二级子公司江苏水泥工程杂志社</w:t>
          </w:r>
          <w:r>
            <w:rPr>
              <w:rFonts w:hint="eastAsia"/>
              <w:szCs w:val="21"/>
            </w:rPr>
            <w:t>，</w:t>
          </w:r>
          <w:r>
            <w:rPr>
              <w:szCs w:val="21"/>
            </w:rPr>
            <w:t>三级子公司四川新世纪水泥导报杂志社有限公司、天津水泥技术杂志社、南京中材环保有限公司，四级子公司建德巨峰爆破工程有限公司被认定为符合条件的小型微利企业，对年应纳税所得额不超</w:t>
          </w:r>
          <w:r>
            <w:rPr>
              <w:rFonts w:hint="eastAsia"/>
              <w:szCs w:val="21"/>
            </w:rPr>
            <w:t>过</w:t>
          </w:r>
          <w:r>
            <w:rPr>
              <w:szCs w:val="21"/>
            </w:rPr>
            <w:t>100万元的部分，减按12.5%计入应纳税所得额，按20%的税率缴纳企业所得税；对年应纳税所得额超过100万元但不超过300万元的部分，减按25%计入应纳税所得额，按20%的税率缴纳企业所得税。</w:t>
          </w:r>
        </w:p>
        <w:p w14:paraId="72A7B115" w14:textId="77777777" w:rsidR="00E57DAA" w:rsidRDefault="00AC4185">
          <w:pPr>
            <w:ind w:firstLineChars="200" w:firstLine="420"/>
            <w:jc w:val="both"/>
            <w:rPr>
              <w:szCs w:val="21"/>
            </w:rPr>
          </w:pPr>
          <w:r>
            <w:rPr>
              <w:rFonts w:hint="eastAsia"/>
              <w:szCs w:val="21"/>
            </w:rPr>
            <w:t>根据财政部、国家税务总局《关于促进节能服务产业发展增值税、营业税和企业所得税政策问题的通知》（财税〔</w:t>
          </w:r>
          <w:r>
            <w:rPr>
              <w:szCs w:val="21"/>
            </w:rPr>
            <w:t>2010〕110号），中材国际水务科技（合肥）有限公司合同能源管理项目符合企业所得税税法有关规定，自项目取得第一笔生产经营收入所属纳税年度起，第一年至第三年免征企业所得税，第四年至第六年按照25%的法定税率减半征收企业所得税。</w:t>
          </w:r>
        </w:p>
        <w:p w14:paraId="26416EA3" w14:textId="77777777" w:rsidR="00E57DAA" w:rsidRDefault="00AC4185">
          <w:pPr>
            <w:ind w:firstLineChars="200" w:firstLine="420"/>
            <w:jc w:val="both"/>
            <w:rPr>
              <w:szCs w:val="21"/>
            </w:rPr>
          </w:pPr>
          <w:r>
            <w:rPr>
              <w:rFonts w:hint="eastAsia"/>
              <w:szCs w:val="21"/>
            </w:rPr>
            <w:t>根据财政部、国家税务总局《关于促进节能服务产业发展增值税、营业税和企业所得税政策问题的通知》（财税〔</w:t>
          </w:r>
          <w:r>
            <w:rPr>
              <w:szCs w:val="21"/>
            </w:rPr>
            <w:t>2010〕110号），中材国际水务科技（合肥）有限公司对符合条件的合同能源管理项目，将项目中的增值税应税货物转让给用能企业的，暂免征收增值税。</w:t>
          </w:r>
        </w:p>
        <w:p w14:paraId="373E2E5E" w14:textId="77777777" w:rsidR="00E57DAA" w:rsidRDefault="00AC4185">
          <w:pPr>
            <w:ind w:firstLineChars="200" w:firstLine="420"/>
            <w:jc w:val="both"/>
            <w:rPr>
              <w:szCs w:val="21"/>
            </w:rPr>
          </w:pPr>
          <w:r>
            <w:rPr>
              <w:rFonts w:hint="eastAsia"/>
              <w:szCs w:val="21"/>
            </w:rPr>
            <w:t>根据财政部、国家税务总局《中华人民共和国企业所得税法》及其实施条例规定，三级子公司溧阳中材环保有限公司、临沂国建环境科技有限公司、江苏中天共康环保科技有限公司被认定为从事国家规定的符合条件的公共污水处理、公共垃圾处理、沼气综合开发利用、节能技术改造等环境保护、节能节水的所得，自项目取得第一笔生产经营收入所属纳税年度起，第一年至第三年免征企业所得税，第四年至第六年按照</w:t>
          </w:r>
          <w:r>
            <w:rPr>
              <w:szCs w:val="21"/>
            </w:rPr>
            <w:t>25%的法定税率减半征收企业所得税。</w:t>
          </w:r>
        </w:p>
      </w:sdtContent>
    </w:sdt>
    <w:p w14:paraId="6785AD1B" w14:textId="77777777" w:rsidR="00E57DAA" w:rsidRDefault="00E57DAA">
      <w:pPr>
        <w:rPr>
          <w:rFonts w:asciiTheme="minorEastAsia" w:eastAsiaTheme="minorEastAsia" w:hAnsiTheme="minorEastAsia"/>
          <w:szCs w:val="21"/>
        </w:rPr>
      </w:pPr>
    </w:p>
    <w:p w14:paraId="0E4EC04D" w14:textId="77777777" w:rsidR="00E57DAA" w:rsidRDefault="00AC4185" w:rsidP="00C25422">
      <w:pPr>
        <w:pStyle w:val="91"/>
        <w:numPr>
          <w:ilvl w:val="0"/>
          <w:numId w:val="68"/>
        </w:numPr>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530450824"/>
        <w:placeholder>
          <w:docPart w:val="GBC22222222222222222222222222222"/>
        </w:placeholder>
      </w:sdtPr>
      <w:sdtEndPr/>
      <w:sdtContent>
        <w:p w14:paraId="7E33F52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4FE4CE" w14:textId="77777777" w:rsidR="00E57DAA" w:rsidRDefault="00E57DAA" w:rsidP="00C25422">
      <w:pPr>
        <w:pStyle w:val="92"/>
      </w:pPr>
    </w:p>
    <w:p w14:paraId="56098961" w14:textId="77777777" w:rsidR="00E57DAA" w:rsidRDefault="00AC4185" w:rsidP="00C25422">
      <w:pPr>
        <w:pStyle w:val="2CharCharChar1"/>
        <w:numPr>
          <w:ilvl w:val="0"/>
          <w:numId w:val="58"/>
        </w:numPr>
      </w:pPr>
      <w:r>
        <w:rPr>
          <w:rFonts w:hint="eastAsia"/>
        </w:rPr>
        <w:t>合并财务报表项目注释</w:t>
      </w:r>
    </w:p>
    <w:p w14:paraId="46E82036" w14:textId="77777777" w:rsidR="00E57DAA" w:rsidRDefault="00AC4185" w:rsidP="00C25422">
      <w:pPr>
        <w:pStyle w:val="91"/>
        <w:numPr>
          <w:ilvl w:val="0"/>
          <w:numId w:val="69"/>
        </w:numPr>
      </w:pPr>
      <w:r>
        <w:t>货币资金</w:t>
      </w:r>
    </w:p>
    <w:sdt>
      <w:sdtPr>
        <w:rPr>
          <w:rFonts w:hint="eastAsia"/>
          <w:szCs w:val="21"/>
        </w:rPr>
        <w:alias w:val="是否适用：货币资金[双击切换]"/>
        <w:tag w:val="_GBC_7583a9a918ef405ba2d26448cc628ff5"/>
        <w:id w:val="1794166788"/>
        <w:placeholder>
          <w:docPart w:val="GBC22222222222222222222222222222"/>
        </w:placeholder>
      </w:sdtPr>
      <w:sdtEndPr/>
      <w:sdtContent>
        <w:p w14:paraId="52288684" w14:textId="77777777" w:rsidR="00E57DAA" w:rsidRDefault="00AC418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BD5A0E" w14:textId="77777777" w:rsidR="00E57DAA" w:rsidRDefault="00AC4185">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20273196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0808338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4254"/>
        <w:gridCol w:w="2208"/>
        <w:gridCol w:w="2361"/>
      </w:tblGrid>
      <w:tr w:rsidR="00E57DAA" w14:paraId="6E36CBDE" w14:textId="77777777">
        <w:trPr>
          <w:cantSplit/>
        </w:trPr>
        <w:sdt>
          <w:sdtPr>
            <w:tag w:val="_PLD_640e7daf451b4f14ba49162bfbbd1e72"/>
            <w:id w:val="683170070"/>
          </w:sdtPr>
          <w:sdtEndPr/>
          <w:sdtContent>
            <w:tc>
              <w:tcPr>
                <w:tcW w:w="2411" w:type="pct"/>
                <w:shd w:val="clear" w:color="auto" w:fill="auto"/>
                <w:vAlign w:val="center"/>
              </w:tcPr>
              <w:p w14:paraId="3634BEB4"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41260879"/>
          </w:sdtPr>
          <w:sdtEndPr/>
          <w:sdtContent>
            <w:tc>
              <w:tcPr>
                <w:tcW w:w="1251" w:type="pct"/>
                <w:shd w:val="clear" w:color="auto" w:fill="auto"/>
                <w:vAlign w:val="center"/>
              </w:tcPr>
              <w:p w14:paraId="2084BD5C"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443733363"/>
          </w:sdtPr>
          <w:sdtEndPr/>
          <w:sdtContent>
            <w:tc>
              <w:tcPr>
                <w:tcW w:w="1338" w:type="pct"/>
                <w:shd w:val="clear" w:color="auto" w:fill="auto"/>
                <w:vAlign w:val="center"/>
              </w:tcPr>
              <w:p w14:paraId="1F612E38"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4ECBF58C" w14:textId="77777777">
        <w:trPr>
          <w:cantSplit/>
        </w:trPr>
        <w:tc>
          <w:tcPr>
            <w:tcW w:w="2411" w:type="pct"/>
            <w:shd w:val="clear" w:color="auto" w:fill="auto"/>
          </w:tcPr>
          <w:p w14:paraId="47380653" w14:textId="77777777" w:rsidR="00E57DAA" w:rsidRDefault="00AC4185">
            <w:pPr>
              <w:autoSpaceDE w:val="0"/>
              <w:autoSpaceDN w:val="0"/>
              <w:adjustRightInd w:val="0"/>
              <w:snapToGrid w:val="0"/>
              <w:spacing w:line="240" w:lineRule="atLeast"/>
              <w:rPr>
                <w:szCs w:val="21"/>
              </w:rPr>
            </w:pPr>
            <w:r>
              <w:rPr>
                <w:rFonts w:hint="eastAsia"/>
                <w:szCs w:val="21"/>
              </w:rPr>
              <w:t>库存现金</w:t>
            </w:r>
          </w:p>
        </w:tc>
        <w:tc>
          <w:tcPr>
            <w:tcW w:w="1251" w:type="pct"/>
            <w:shd w:val="clear" w:color="auto" w:fill="auto"/>
            <w:vAlign w:val="center"/>
          </w:tcPr>
          <w:p w14:paraId="4B576F99" w14:textId="77777777" w:rsidR="00E57DAA" w:rsidRDefault="00AC4185">
            <w:pPr>
              <w:autoSpaceDE w:val="0"/>
              <w:autoSpaceDN w:val="0"/>
              <w:adjustRightInd w:val="0"/>
              <w:snapToGrid w:val="0"/>
              <w:spacing w:line="240" w:lineRule="atLeast"/>
              <w:jc w:val="right"/>
              <w:rPr>
                <w:szCs w:val="21"/>
              </w:rPr>
            </w:pPr>
            <w:r>
              <w:t>26,230,083.78</w:t>
            </w:r>
          </w:p>
        </w:tc>
        <w:tc>
          <w:tcPr>
            <w:tcW w:w="1338" w:type="pct"/>
            <w:shd w:val="clear" w:color="auto" w:fill="auto"/>
            <w:vAlign w:val="center"/>
          </w:tcPr>
          <w:p w14:paraId="74612B6D" w14:textId="77777777" w:rsidR="00E57DAA" w:rsidRDefault="00AC4185">
            <w:pPr>
              <w:autoSpaceDE w:val="0"/>
              <w:autoSpaceDN w:val="0"/>
              <w:adjustRightInd w:val="0"/>
              <w:snapToGrid w:val="0"/>
              <w:spacing w:line="240" w:lineRule="atLeast"/>
              <w:jc w:val="right"/>
              <w:rPr>
                <w:szCs w:val="21"/>
              </w:rPr>
            </w:pPr>
            <w:r>
              <w:t>39,769,210.33</w:t>
            </w:r>
          </w:p>
        </w:tc>
      </w:tr>
      <w:tr w:rsidR="00E57DAA" w14:paraId="020A6A6C" w14:textId="77777777">
        <w:trPr>
          <w:cantSplit/>
        </w:trPr>
        <w:tc>
          <w:tcPr>
            <w:tcW w:w="2411" w:type="pct"/>
            <w:shd w:val="clear" w:color="auto" w:fill="auto"/>
          </w:tcPr>
          <w:p w14:paraId="0197ECEE" w14:textId="77777777" w:rsidR="00E57DAA" w:rsidRDefault="00AC4185">
            <w:pPr>
              <w:autoSpaceDE w:val="0"/>
              <w:autoSpaceDN w:val="0"/>
              <w:adjustRightInd w:val="0"/>
              <w:snapToGrid w:val="0"/>
              <w:spacing w:line="240" w:lineRule="atLeast"/>
              <w:rPr>
                <w:szCs w:val="21"/>
              </w:rPr>
            </w:pPr>
            <w:r>
              <w:rPr>
                <w:rFonts w:hint="eastAsia"/>
                <w:szCs w:val="21"/>
              </w:rPr>
              <w:t>银行存款</w:t>
            </w:r>
          </w:p>
        </w:tc>
        <w:tc>
          <w:tcPr>
            <w:tcW w:w="1251" w:type="pct"/>
            <w:shd w:val="clear" w:color="auto" w:fill="auto"/>
            <w:vAlign w:val="center"/>
          </w:tcPr>
          <w:p w14:paraId="3C691D9C" w14:textId="77777777" w:rsidR="00E57DAA" w:rsidRDefault="00AC4185">
            <w:pPr>
              <w:autoSpaceDE w:val="0"/>
              <w:autoSpaceDN w:val="0"/>
              <w:adjustRightInd w:val="0"/>
              <w:snapToGrid w:val="0"/>
              <w:spacing w:line="240" w:lineRule="atLeast"/>
              <w:jc w:val="right"/>
              <w:rPr>
                <w:szCs w:val="21"/>
              </w:rPr>
            </w:pPr>
            <w:r>
              <w:t>4,521,519,020.32</w:t>
            </w:r>
          </w:p>
        </w:tc>
        <w:tc>
          <w:tcPr>
            <w:tcW w:w="1338" w:type="pct"/>
            <w:shd w:val="clear" w:color="auto" w:fill="auto"/>
            <w:vAlign w:val="center"/>
          </w:tcPr>
          <w:p w14:paraId="27A1B786" w14:textId="77777777" w:rsidR="00E57DAA" w:rsidRDefault="00AC4185">
            <w:pPr>
              <w:autoSpaceDE w:val="0"/>
              <w:autoSpaceDN w:val="0"/>
              <w:adjustRightInd w:val="0"/>
              <w:snapToGrid w:val="0"/>
              <w:spacing w:line="240" w:lineRule="atLeast"/>
              <w:jc w:val="right"/>
              <w:rPr>
                <w:szCs w:val="21"/>
              </w:rPr>
            </w:pPr>
            <w:r>
              <w:t>5,103,284,838.22</w:t>
            </w:r>
          </w:p>
        </w:tc>
      </w:tr>
      <w:tr w:rsidR="00E57DAA" w14:paraId="39658801" w14:textId="77777777">
        <w:trPr>
          <w:cantSplit/>
        </w:trPr>
        <w:tc>
          <w:tcPr>
            <w:tcW w:w="2411" w:type="pct"/>
            <w:shd w:val="clear" w:color="auto" w:fill="auto"/>
          </w:tcPr>
          <w:p w14:paraId="64A1636F" w14:textId="77777777" w:rsidR="00E57DAA" w:rsidRDefault="00AC4185">
            <w:pPr>
              <w:autoSpaceDE w:val="0"/>
              <w:autoSpaceDN w:val="0"/>
              <w:adjustRightInd w:val="0"/>
              <w:snapToGrid w:val="0"/>
              <w:spacing w:line="240" w:lineRule="atLeast"/>
              <w:rPr>
                <w:szCs w:val="21"/>
              </w:rPr>
            </w:pPr>
            <w:r>
              <w:rPr>
                <w:rFonts w:hint="eastAsia"/>
                <w:szCs w:val="21"/>
              </w:rPr>
              <w:t>其他货币资金</w:t>
            </w:r>
          </w:p>
        </w:tc>
        <w:tc>
          <w:tcPr>
            <w:tcW w:w="1251" w:type="pct"/>
            <w:shd w:val="clear" w:color="auto" w:fill="auto"/>
            <w:vAlign w:val="center"/>
          </w:tcPr>
          <w:p w14:paraId="1E708DFE" w14:textId="77777777" w:rsidR="00E57DAA" w:rsidRDefault="00AC4185">
            <w:pPr>
              <w:autoSpaceDE w:val="0"/>
              <w:autoSpaceDN w:val="0"/>
              <w:adjustRightInd w:val="0"/>
              <w:snapToGrid w:val="0"/>
              <w:spacing w:line="240" w:lineRule="atLeast"/>
              <w:jc w:val="right"/>
              <w:rPr>
                <w:szCs w:val="21"/>
              </w:rPr>
            </w:pPr>
            <w:r>
              <w:t>867,161,847.45</w:t>
            </w:r>
          </w:p>
        </w:tc>
        <w:tc>
          <w:tcPr>
            <w:tcW w:w="1338" w:type="pct"/>
            <w:shd w:val="clear" w:color="auto" w:fill="auto"/>
            <w:vAlign w:val="center"/>
          </w:tcPr>
          <w:p w14:paraId="5F040CA2" w14:textId="77777777" w:rsidR="00E57DAA" w:rsidRDefault="00AC4185">
            <w:pPr>
              <w:autoSpaceDE w:val="0"/>
              <w:autoSpaceDN w:val="0"/>
              <w:adjustRightInd w:val="0"/>
              <w:snapToGrid w:val="0"/>
              <w:spacing w:line="240" w:lineRule="atLeast"/>
              <w:jc w:val="right"/>
              <w:rPr>
                <w:szCs w:val="21"/>
              </w:rPr>
            </w:pPr>
            <w:r>
              <w:t>841,204,686.80</w:t>
            </w:r>
          </w:p>
        </w:tc>
      </w:tr>
      <w:tr w:rsidR="00E57DAA" w14:paraId="40D95AEC" w14:textId="77777777">
        <w:trPr>
          <w:cantSplit/>
        </w:trPr>
        <w:tc>
          <w:tcPr>
            <w:tcW w:w="2411" w:type="pct"/>
            <w:shd w:val="clear" w:color="auto" w:fill="auto"/>
          </w:tcPr>
          <w:p w14:paraId="071F7073" w14:textId="77777777" w:rsidR="00E57DAA" w:rsidRDefault="00AC4185">
            <w:pPr>
              <w:autoSpaceDE w:val="0"/>
              <w:autoSpaceDN w:val="0"/>
              <w:adjustRightInd w:val="0"/>
              <w:snapToGrid w:val="0"/>
              <w:spacing w:line="240" w:lineRule="atLeast"/>
            </w:pPr>
            <w:r>
              <w:rPr>
                <w:rFonts w:hint="eastAsia"/>
              </w:rPr>
              <w:t>存放财务公司存款</w:t>
            </w:r>
          </w:p>
        </w:tc>
        <w:tc>
          <w:tcPr>
            <w:tcW w:w="1251" w:type="pct"/>
            <w:shd w:val="clear" w:color="auto" w:fill="auto"/>
            <w:vAlign w:val="center"/>
          </w:tcPr>
          <w:p w14:paraId="5C299656" w14:textId="77777777" w:rsidR="00E57DAA" w:rsidRDefault="00AC4185">
            <w:pPr>
              <w:tabs>
                <w:tab w:val="left" w:pos="2350"/>
              </w:tabs>
              <w:autoSpaceDE w:val="0"/>
              <w:autoSpaceDN w:val="0"/>
              <w:adjustRightInd w:val="0"/>
              <w:snapToGrid w:val="0"/>
              <w:spacing w:line="240" w:lineRule="atLeast"/>
              <w:jc w:val="right"/>
              <w:rPr>
                <w:szCs w:val="21"/>
              </w:rPr>
            </w:pPr>
            <w:r>
              <w:t>4,223,231,887.36</w:t>
            </w:r>
          </w:p>
        </w:tc>
        <w:tc>
          <w:tcPr>
            <w:tcW w:w="1338" w:type="pct"/>
            <w:shd w:val="clear" w:color="auto" w:fill="auto"/>
            <w:vAlign w:val="center"/>
          </w:tcPr>
          <w:p w14:paraId="427941AD" w14:textId="77777777" w:rsidR="00E57DAA" w:rsidRDefault="00AC4185">
            <w:pPr>
              <w:autoSpaceDE w:val="0"/>
              <w:autoSpaceDN w:val="0"/>
              <w:adjustRightInd w:val="0"/>
              <w:snapToGrid w:val="0"/>
              <w:spacing w:line="240" w:lineRule="atLeast"/>
              <w:jc w:val="right"/>
              <w:rPr>
                <w:szCs w:val="21"/>
              </w:rPr>
            </w:pPr>
            <w:r>
              <w:t>3,000,035,187.34</w:t>
            </w:r>
          </w:p>
        </w:tc>
      </w:tr>
      <w:tr w:rsidR="00E57DAA" w14:paraId="4F681336" w14:textId="77777777">
        <w:trPr>
          <w:cantSplit/>
        </w:trPr>
        <w:tc>
          <w:tcPr>
            <w:tcW w:w="2411" w:type="pct"/>
            <w:shd w:val="clear" w:color="auto" w:fill="auto"/>
            <w:vAlign w:val="center"/>
          </w:tcPr>
          <w:p w14:paraId="6D81D7BD" w14:textId="77777777" w:rsidR="00E57DAA" w:rsidRDefault="00AC4185">
            <w:pPr>
              <w:autoSpaceDE w:val="0"/>
              <w:autoSpaceDN w:val="0"/>
              <w:adjustRightInd w:val="0"/>
              <w:snapToGrid w:val="0"/>
              <w:spacing w:line="240" w:lineRule="atLeast"/>
              <w:rPr>
                <w:szCs w:val="21"/>
              </w:rPr>
            </w:pPr>
            <w:r>
              <w:rPr>
                <w:rFonts w:hint="eastAsia"/>
                <w:szCs w:val="21"/>
              </w:rPr>
              <w:t>合计</w:t>
            </w:r>
          </w:p>
        </w:tc>
        <w:tc>
          <w:tcPr>
            <w:tcW w:w="1251" w:type="pct"/>
            <w:shd w:val="clear" w:color="auto" w:fill="auto"/>
            <w:vAlign w:val="center"/>
          </w:tcPr>
          <w:p w14:paraId="293E5CDB" w14:textId="77777777" w:rsidR="00E57DAA" w:rsidRDefault="00AC4185">
            <w:pPr>
              <w:autoSpaceDE w:val="0"/>
              <w:autoSpaceDN w:val="0"/>
              <w:adjustRightInd w:val="0"/>
              <w:snapToGrid w:val="0"/>
              <w:spacing w:line="240" w:lineRule="atLeast"/>
              <w:jc w:val="right"/>
              <w:rPr>
                <w:szCs w:val="21"/>
              </w:rPr>
            </w:pPr>
            <w:r>
              <w:t>9,638,142,838.91</w:t>
            </w:r>
          </w:p>
        </w:tc>
        <w:tc>
          <w:tcPr>
            <w:tcW w:w="1338" w:type="pct"/>
            <w:shd w:val="clear" w:color="auto" w:fill="auto"/>
            <w:vAlign w:val="center"/>
          </w:tcPr>
          <w:p w14:paraId="587D0650" w14:textId="77777777" w:rsidR="00E57DAA" w:rsidRDefault="00AC4185">
            <w:pPr>
              <w:autoSpaceDE w:val="0"/>
              <w:autoSpaceDN w:val="0"/>
              <w:adjustRightInd w:val="0"/>
              <w:snapToGrid w:val="0"/>
              <w:spacing w:line="240" w:lineRule="atLeast"/>
              <w:jc w:val="right"/>
              <w:rPr>
                <w:szCs w:val="21"/>
              </w:rPr>
            </w:pPr>
            <w:r>
              <w:t>8,984,293,922.69</w:t>
            </w:r>
          </w:p>
        </w:tc>
      </w:tr>
      <w:tr w:rsidR="00E57DAA" w14:paraId="7899EFD6" w14:textId="77777777">
        <w:trPr>
          <w:cantSplit/>
        </w:trPr>
        <w:tc>
          <w:tcPr>
            <w:tcW w:w="2411" w:type="pct"/>
            <w:shd w:val="clear" w:color="auto" w:fill="auto"/>
          </w:tcPr>
          <w:p w14:paraId="66B5EAE3" w14:textId="77777777" w:rsidR="00E57DAA" w:rsidRDefault="00AC4185">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tc>
          <w:tcPr>
            <w:tcW w:w="1251" w:type="pct"/>
            <w:shd w:val="clear" w:color="auto" w:fill="auto"/>
            <w:vAlign w:val="center"/>
          </w:tcPr>
          <w:p w14:paraId="6C00F25C" w14:textId="77777777" w:rsidR="00E57DAA" w:rsidRDefault="00AC4185">
            <w:pPr>
              <w:autoSpaceDE w:val="0"/>
              <w:autoSpaceDN w:val="0"/>
              <w:adjustRightInd w:val="0"/>
              <w:snapToGrid w:val="0"/>
              <w:spacing w:line="240" w:lineRule="atLeast"/>
              <w:jc w:val="right"/>
              <w:rPr>
                <w:szCs w:val="21"/>
              </w:rPr>
            </w:pPr>
            <w:r>
              <w:t>2,188,672,971.26</w:t>
            </w:r>
          </w:p>
        </w:tc>
        <w:tc>
          <w:tcPr>
            <w:tcW w:w="1338" w:type="pct"/>
            <w:shd w:val="clear" w:color="auto" w:fill="auto"/>
            <w:vAlign w:val="center"/>
          </w:tcPr>
          <w:p w14:paraId="7B5EA2D6" w14:textId="77777777" w:rsidR="00E57DAA" w:rsidRDefault="00AC4185">
            <w:pPr>
              <w:autoSpaceDE w:val="0"/>
              <w:autoSpaceDN w:val="0"/>
              <w:adjustRightInd w:val="0"/>
              <w:snapToGrid w:val="0"/>
              <w:spacing w:line="240" w:lineRule="atLeast"/>
              <w:jc w:val="right"/>
              <w:rPr>
                <w:szCs w:val="21"/>
              </w:rPr>
            </w:pPr>
            <w:r>
              <w:t>1,696,070,700.04</w:t>
            </w:r>
          </w:p>
        </w:tc>
      </w:tr>
    </w:tbl>
    <w:p w14:paraId="4492EDF0" w14:textId="77777777" w:rsidR="00E57DAA" w:rsidRDefault="00E57DAA" w:rsidP="00C25422">
      <w:pPr>
        <w:pStyle w:val="92"/>
      </w:pPr>
    </w:p>
    <w:p w14:paraId="53BEDA24" w14:textId="77777777" w:rsidR="00E57DAA" w:rsidRDefault="00AC4185">
      <w:pPr>
        <w:rPr>
          <w:szCs w:val="21"/>
        </w:rPr>
      </w:pPr>
      <w:r>
        <w:rPr>
          <w:rFonts w:hint="eastAsia"/>
          <w:szCs w:val="21"/>
        </w:rPr>
        <w:t>其他说明</w:t>
      </w:r>
    </w:p>
    <w:sdt>
      <w:sdtPr>
        <w:rPr>
          <w:szCs w:val="21"/>
        </w:rPr>
        <w:alias w:val="货币资金的说明"/>
        <w:tag w:val="_GBC_672a863055084dfabbc1ba40f04a68b4"/>
        <w:id w:val="-139734937"/>
        <w:placeholder>
          <w:docPart w:val="GBC22222222222222222222222222222"/>
        </w:placeholder>
      </w:sdtPr>
      <w:sdtEndPr/>
      <w:sdtContent>
        <w:p w14:paraId="5BC37BA1" w14:textId="77777777" w:rsidR="00E57DAA" w:rsidRDefault="00AC4185">
          <w:pPr>
            <w:jc w:val="both"/>
            <w:rPr>
              <w:szCs w:val="21"/>
            </w:rPr>
          </w:pPr>
          <w:r>
            <w:rPr>
              <w:rFonts w:hint="eastAsia"/>
              <w:szCs w:val="21"/>
            </w:rPr>
            <w:t>截至</w:t>
          </w:r>
          <w:r>
            <w:rPr>
              <w:szCs w:val="21"/>
            </w:rPr>
            <w:t>2023年12月31日，存放于</w:t>
          </w:r>
          <w:r>
            <w:rPr>
              <w:rFonts w:hint="eastAsia"/>
              <w:szCs w:val="21"/>
            </w:rPr>
            <w:t>中国建材集团财务有限公司</w:t>
          </w:r>
          <w:r>
            <w:rPr>
              <w:szCs w:val="21"/>
            </w:rPr>
            <w:t>的款项总额为4,223,231,887.36元。</w:t>
          </w:r>
        </w:p>
        <w:p w14:paraId="756AC68C" w14:textId="77777777" w:rsidR="00E57DAA" w:rsidRDefault="00AC4185">
          <w:pPr>
            <w:rPr>
              <w:szCs w:val="21"/>
            </w:rPr>
          </w:pPr>
          <w:r>
            <w:rPr>
              <w:rFonts w:hint="eastAsia"/>
              <w:szCs w:val="21"/>
            </w:rPr>
            <w:t>其中受限制的货币资金明细如下：</w:t>
          </w:r>
        </w:p>
        <w:p w14:paraId="1C4FDAC1" w14:textId="77777777" w:rsidR="00E57DAA" w:rsidRDefault="00AC4185">
          <w:pPr>
            <w:jc w:val="right"/>
            <w:rPr>
              <w:szCs w:val="21"/>
            </w:rPr>
          </w:pPr>
          <w:r>
            <w:rPr>
              <w:rFonts w:hint="eastAsia"/>
              <w:szCs w:val="21"/>
            </w:rPr>
            <w:t>单位：元</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783"/>
            <w:gridCol w:w="2525"/>
            <w:gridCol w:w="2525"/>
          </w:tblGrid>
          <w:tr w:rsidR="00E57DAA" w14:paraId="1C56555C" w14:textId="77777777">
            <w:trPr>
              <w:trHeight w:val="340"/>
              <w:tblHeader/>
            </w:trPr>
            <w:tc>
              <w:tcPr>
                <w:tcW w:w="2141" w:type="pct"/>
                <w:vAlign w:val="center"/>
              </w:tcPr>
              <w:p w14:paraId="3E87D530" w14:textId="77777777" w:rsidR="00E57DAA" w:rsidRDefault="00AC4185">
                <w:pPr>
                  <w:rPr>
                    <w:szCs w:val="21"/>
                  </w:rPr>
                </w:pPr>
                <w:r>
                  <w:rPr>
                    <w:szCs w:val="21"/>
                  </w:rPr>
                  <w:t>项目</w:t>
                </w:r>
              </w:p>
            </w:tc>
            <w:tc>
              <w:tcPr>
                <w:tcW w:w="1429" w:type="pct"/>
                <w:vAlign w:val="center"/>
              </w:tcPr>
              <w:p w14:paraId="7C0A5951" w14:textId="77777777" w:rsidR="00E57DAA" w:rsidRDefault="00AC4185">
                <w:pPr>
                  <w:jc w:val="right"/>
                  <w:rPr>
                    <w:szCs w:val="21"/>
                  </w:rPr>
                </w:pPr>
                <w:r>
                  <w:rPr>
                    <w:szCs w:val="21"/>
                  </w:rPr>
                  <w:t>期末余额</w:t>
                </w:r>
              </w:p>
            </w:tc>
            <w:tc>
              <w:tcPr>
                <w:tcW w:w="1429" w:type="pct"/>
                <w:vAlign w:val="center"/>
              </w:tcPr>
              <w:p w14:paraId="3411722F" w14:textId="77777777" w:rsidR="00E57DAA" w:rsidRDefault="00AC4185">
                <w:pPr>
                  <w:jc w:val="right"/>
                  <w:rPr>
                    <w:szCs w:val="21"/>
                  </w:rPr>
                </w:pPr>
                <w:r>
                  <w:rPr>
                    <w:szCs w:val="21"/>
                  </w:rPr>
                  <w:t>期初余额</w:t>
                </w:r>
              </w:p>
            </w:tc>
          </w:tr>
          <w:tr w:rsidR="00E57DAA" w14:paraId="78D33B78" w14:textId="77777777">
            <w:trPr>
              <w:trHeight w:val="340"/>
            </w:trPr>
            <w:tc>
              <w:tcPr>
                <w:tcW w:w="2141" w:type="pct"/>
                <w:vAlign w:val="center"/>
              </w:tcPr>
              <w:p w14:paraId="37156D8F" w14:textId="77777777" w:rsidR="00E57DAA" w:rsidRDefault="00AC4185">
                <w:pPr>
                  <w:rPr>
                    <w:szCs w:val="21"/>
                  </w:rPr>
                </w:pPr>
                <w:r>
                  <w:rPr>
                    <w:rFonts w:hint="eastAsia"/>
                    <w:szCs w:val="21"/>
                  </w:rPr>
                  <w:t>银行承兑汇票保证金</w:t>
                </w:r>
              </w:p>
            </w:tc>
            <w:tc>
              <w:tcPr>
                <w:tcW w:w="1429" w:type="pct"/>
                <w:vAlign w:val="center"/>
              </w:tcPr>
              <w:p w14:paraId="4C18D732" w14:textId="77777777" w:rsidR="00E57DAA" w:rsidRDefault="00AC4185">
                <w:pPr>
                  <w:jc w:val="right"/>
                  <w:rPr>
                    <w:szCs w:val="21"/>
                  </w:rPr>
                </w:pPr>
                <w:r>
                  <w:rPr>
                    <w:szCs w:val="21"/>
                  </w:rPr>
                  <w:t>180,881,808.67</w:t>
                </w:r>
              </w:p>
            </w:tc>
            <w:tc>
              <w:tcPr>
                <w:tcW w:w="1429" w:type="pct"/>
                <w:vAlign w:val="center"/>
              </w:tcPr>
              <w:p w14:paraId="7004879B" w14:textId="77777777" w:rsidR="00E57DAA" w:rsidRDefault="00AC4185">
                <w:pPr>
                  <w:jc w:val="right"/>
                  <w:rPr>
                    <w:szCs w:val="21"/>
                  </w:rPr>
                </w:pPr>
                <w:r>
                  <w:rPr>
                    <w:szCs w:val="21"/>
                  </w:rPr>
                  <w:t>347,447,518.28</w:t>
                </w:r>
              </w:p>
            </w:tc>
          </w:tr>
          <w:tr w:rsidR="00E57DAA" w14:paraId="7909C24B" w14:textId="77777777">
            <w:trPr>
              <w:trHeight w:val="340"/>
            </w:trPr>
            <w:tc>
              <w:tcPr>
                <w:tcW w:w="2141" w:type="pct"/>
                <w:vAlign w:val="center"/>
              </w:tcPr>
              <w:p w14:paraId="5A9D55AA" w14:textId="77777777" w:rsidR="00E57DAA" w:rsidRDefault="00AC4185">
                <w:pPr>
                  <w:rPr>
                    <w:szCs w:val="21"/>
                  </w:rPr>
                </w:pPr>
                <w:r>
                  <w:rPr>
                    <w:rFonts w:hint="eastAsia"/>
                    <w:szCs w:val="21"/>
                  </w:rPr>
                  <w:t>保函保证金</w:t>
                </w:r>
              </w:p>
            </w:tc>
            <w:tc>
              <w:tcPr>
                <w:tcW w:w="1429" w:type="pct"/>
                <w:vAlign w:val="center"/>
              </w:tcPr>
              <w:p w14:paraId="60EC4A53" w14:textId="77777777" w:rsidR="00E57DAA" w:rsidRDefault="00AC4185">
                <w:pPr>
                  <w:jc w:val="right"/>
                  <w:rPr>
                    <w:szCs w:val="21"/>
                  </w:rPr>
                </w:pPr>
                <w:r>
                  <w:rPr>
                    <w:szCs w:val="21"/>
                  </w:rPr>
                  <w:t>299,846,443.10</w:t>
                </w:r>
              </w:p>
            </w:tc>
            <w:tc>
              <w:tcPr>
                <w:tcW w:w="1429" w:type="pct"/>
                <w:vAlign w:val="center"/>
              </w:tcPr>
              <w:p w14:paraId="63EC3DBF" w14:textId="77777777" w:rsidR="00E57DAA" w:rsidRDefault="00AC4185">
                <w:pPr>
                  <w:jc w:val="right"/>
                  <w:rPr>
                    <w:szCs w:val="21"/>
                  </w:rPr>
                </w:pPr>
                <w:r>
                  <w:rPr>
                    <w:szCs w:val="21"/>
                  </w:rPr>
                  <w:t>431,256,934.81</w:t>
                </w:r>
              </w:p>
            </w:tc>
          </w:tr>
          <w:tr w:rsidR="00E57DAA" w14:paraId="172BFBC3" w14:textId="77777777">
            <w:trPr>
              <w:trHeight w:val="340"/>
            </w:trPr>
            <w:tc>
              <w:tcPr>
                <w:tcW w:w="2141" w:type="pct"/>
                <w:vAlign w:val="center"/>
              </w:tcPr>
              <w:p w14:paraId="066FA565" w14:textId="77777777" w:rsidR="00E57DAA" w:rsidRDefault="00AC4185">
                <w:pPr>
                  <w:rPr>
                    <w:szCs w:val="21"/>
                  </w:rPr>
                </w:pPr>
                <w:r>
                  <w:rPr>
                    <w:rFonts w:hint="eastAsia"/>
                    <w:szCs w:val="21"/>
                  </w:rPr>
                  <w:t>信用证保证金</w:t>
                </w:r>
              </w:p>
            </w:tc>
            <w:tc>
              <w:tcPr>
                <w:tcW w:w="1429" w:type="pct"/>
                <w:vAlign w:val="center"/>
              </w:tcPr>
              <w:p w14:paraId="0428C7C5" w14:textId="77777777" w:rsidR="00E57DAA" w:rsidRDefault="00AC4185">
                <w:pPr>
                  <w:jc w:val="right"/>
                  <w:rPr>
                    <w:szCs w:val="21"/>
                  </w:rPr>
                </w:pPr>
                <w:r>
                  <w:rPr>
                    <w:szCs w:val="21"/>
                  </w:rPr>
                  <w:t>13,089,740.74</w:t>
                </w:r>
              </w:p>
            </w:tc>
            <w:tc>
              <w:tcPr>
                <w:tcW w:w="1429" w:type="pct"/>
                <w:vAlign w:val="center"/>
              </w:tcPr>
              <w:p w14:paraId="2B848D43" w14:textId="77777777" w:rsidR="00E57DAA" w:rsidRDefault="00AC4185">
                <w:pPr>
                  <w:jc w:val="right"/>
                  <w:rPr>
                    <w:szCs w:val="21"/>
                  </w:rPr>
                </w:pPr>
                <w:r>
                  <w:rPr>
                    <w:szCs w:val="21"/>
                  </w:rPr>
                  <w:t>26,856,683.35</w:t>
                </w:r>
              </w:p>
            </w:tc>
          </w:tr>
          <w:tr w:rsidR="00E57DAA" w14:paraId="4B9E6CAE" w14:textId="77777777">
            <w:trPr>
              <w:trHeight w:val="340"/>
            </w:trPr>
            <w:tc>
              <w:tcPr>
                <w:tcW w:w="2141" w:type="pct"/>
                <w:vAlign w:val="center"/>
              </w:tcPr>
              <w:p w14:paraId="0D663911" w14:textId="77777777" w:rsidR="00E57DAA" w:rsidRDefault="00AC4185">
                <w:pPr>
                  <w:rPr>
                    <w:szCs w:val="21"/>
                  </w:rPr>
                </w:pPr>
                <w:r>
                  <w:rPr>
                    <w:rFonts w:hint="eastAsia"/>
                    <w:szCs w:val="21"/>
                  </w:rPr>
                  <w:t>诉讼冻结</w:t>
                </w:r>
              </w:p>
            </w:tc>
            <w:tc>
              <w:tcPr>
                <w:tcW w:w="1429" w:type="pct"/>
                <w:vAlign w:val="center"/>
              </w:tcPr>
              <w:p w14:paraId="25A7F0C2" w14:textId="77777777" w:rsidR="00E57DAA" w:rsidRDefault="00AC4185">
                <w:pPr>
                  <w:jc w:val="right"/>
                  <w:rPr>
                    <w:szCs w:val="21"/>
                  </w:rPr>
                </w:pPr>
                <w:r>
                  <w:rPr>
                    <w:szCs w:val="21"/>
                  </w:rPr>
                  <w:t>43,855,567.07</w:t>
                </w:r>
              </w:p>
            </w:tc>
            <w:tc>
              <w:tcPr>
                <w:tcW w:w="1429" w:type="pct"/>
                <w:vAlign w:val="center"/>
              </w:tcPr>
              <w:p w14:paraId="36CC0311" w14:textId="77777777" w:rsidR="00E57DAA" w:rsidRDefault="00AC4185">
                <w:pPr>
                  <w:jc w:val="right"/>
                  <w:rPr>
                    <w:szCs w:val="21"/>
                  </w:rPr>
                </w:pPr>
                <w:r>
                  <w:rPr>
                    <w:szCs w:val="21"/>
                  </w:rPr>
                  <w:t>40,390,744.45</w:t>
                </w:r>
              </w:p>
            </w:tc>
          </w:tr>
          <w:tr w:rsidR="00E57DAA" w14:paraId="7E8D9485" w14:textId="77777777">
            <w:trPr>
              <w:trHeight w:val="340"/>
            </w:trPr>
            <w:tc>
              <w:tcPr>
                <w:tcW w:w="2141" w:type="pct"/>
                <w:vAlign w:val="center"/>
              </w:tcPr>
              <w:p w14:paraId="17BC3052" w14:textId="77777777" w:rsidR="00E57DAA" w:rsidRDefault="00AC4185">
                <w:pPr>
                  <w:rPr>
                    <w:szCs w:val="21"/>
                  </w:rPr>
                </w:pPr>
                <w:r>
                  <w:rPr>
                    <w:rFonts w:hint="eastAsia"/>
                    <w:szCs w:val="21"/>
                  </w:rPr>
                  <w:t>矿山环境恢复治理保证金</w:t>
                </w:r>
              </w:p>
            </w:tc>
            <w:tc>
              <w:tcPr>
                <w:tcW w:w="1429" w:type="pct"/>
                <w:vAlign w:val="center"/>
              </w:tcPr>
              <w:p w14:paraId="29967CDA" w14:textId="77777777" w:rsidR="00E57DAA" w:rsidRDefault="00AC4185">
                <w:pPr>
                  <w:jc w:val="right"/>
                  <w:rPr>
                    <w:szCs w:val="21"/>
                  </w:rPr>
                </w:pPr>
                <w:r>
                  <w:rPr>
                    <w:szCs w:val="21"/>
                  </w:rPr>
                  <w:t>22,813,487.09</w:t>
                </w:r>
              </w:p>
            </w:tc>
            <w:tc>
              <w:tcPr>
                <w:tcW w:w="1429" w:type="pct"/>
                <w:vAlign w:val="center"/>
              </w:tcPr>
              <w:p w14:paraId="0D40807B" w14:textId="77777777" w:rsidR="00E57DAA" w:rsidRDefault="00AC4185">
                <w:pPr>
                  <w:jc w:val="right"/>
                  <w:rPr>
                    <w:szCs w:val="21"/>
                  </w:rPr>
                </w:pPr>
                <w:r>
                  <w:rPr>
                    <w:szCs w:val="21"/>
                  </w:rPr>
                  <w:t>17,074,687.62</w:t>
                </w:r>
              </w:p>
            </w:tc>
          </w:tr>
          <w:tr w:rsidR="00E57DAA" w14:paraId="697B1403" w14:textId="77777777">
            <w:trPr>
              <w:trHeight w:val="340"/>
            </w:trPr>
            <w:tc>
              <w:tcPr>
                <w:tcW w:w="2141" w:type="pct"/>
                <w:vAlign w:val="center"/>
              </w:tcPr>
              <w:p w14:paraId="1887A81B" w14:textId="77777777" w:rsidR="00E57DAA" w:rsidRDefault="00AC4185">
                <w:pPr>
                  <w:rPr>
                    <w:szCs w:val="21"/>
                  </w:rPr>
                </w:pPr>
                <w:r>
                  <w:rPr>
                    <w:rFonts w:hint="eastAsia"/>
                    <w:szCs w:val="21"/>
                  </w:rPr>
                  <w:t>矿山安全生产风险抵押保证金</w:t>
                </w:r>
              </w:p>
            </w:tc>
            <w:tc>
              <w:tcPr>
                <w:tcW w:w="1429" w:type="pct"/>
                <w:vAlign w:val="center"/>
              </w:tcPr>
              <w:p w14:paraId="2748DBF7" w14:textId="77777777" w:rsidR="00E57DAA" w:rsidRDefault="00AC4185">
                <w:pPr>
                  <w:jc w:val="right"/>
                  <w:rPr>
                    <w:szCs w:val="21"/>
                  </w:rPr>
                </w:pPr>
                <w:r>
                  <w:rPr>
                    <w:szCs w:val="21"/>
                  </w:rPr>
                  <w:t>321,320.53</w:t>
                </w:r>
              </w:p>
            </w:tc>
            <w:tc>
              <w:tcPr>
                <w:tcW w:w="1429" w:type="pct"/>
                <w:vAlign w:val="center"/>
              </w:tcPr>
              <w:p w14:paraId="312B6980" w14:textId="77777777" w:rsidR="00E57DAA" w:rsidRDefault="00AC4185">
                <w:pPr>
                  <w:jc w:val="right"/>
                  <w:rPr>
                    <w:szCs w:val="21"/>
                  </w:rPr>
                </w:pPr>
                <w:r>
                  <w:rPr>
                    <w:szCs w:val="21"/>
                  </w:rPr>
                  <w:t>320,954.14</w:t>
                </w:r>
              </w:p>
            </w:tc>
          </w:tr>
          <w:tr w:rsidR="00E57DAA" w14:paraId="0B25F902" w14:textId="77777777">
            <w:trPr>
              <w:trHeight w:val="340"/>
            </w:trPr>
            <w:tc>
              <w:tcPr>
                <w:tcW w:w="2141" w:type="pct"/>
                <w:vAlign w:val="center"/>
              </w:tcPr>
              <w:p w14:paraId="31BB9FFE" w14:textId="77777777" w:rsidR="00E57DAA" w:rsidRDefault="00AC4185">
                <w:pPr>
                  <w:rPr>
                    <w:szCs w:val="21"/>
                  </w:rPr>
                </w:pPr>
                <w:r>
                  <w:rPr>
                    <w:rFonts w:hint="eastAsia"/>
                    <w:szCs w:val="21"/>
                  </w:rPr>
                  <w:t>定期存款及利息</w:t>
                </w:r>
              </w:p>
            </w:tc>
            <w:tc>
              <w:tcPr>
                <w:tcW w:w="1429" w:type="pct"/>
                <w:vAlign w:val="center"/>
              </w:tcPr>
              <w:p w14:paraId="05F59224" w14:textId="77777777" w:rsidR="00E57DAA" w:rsidRDefault="00AC4185">
                <w:pPr>
                  <w:jc w:val="right"/>
                  <w:rPr>
                    <w:szCs w:val="21"/>
                  </w:rPr>
                </w:pPr>
                <w:r>
                  <w:rPr>
                    <w:szCs w:val="21"/>
                  </w:rPr>
                  <w:t>75,987,600.00</w:t>
                </w:r>
              </w:p>
            </w:tc>
            <w:tc>
              <w:tcPr>
                <w:tcW w:w="1429" w:type="pct"/>
                <w:vAlign w:val="center"/>
              </w:tcPr>
              <w:p w14:paraId="38F431C4" w14:textId="77777777" w:rsidR="00E57DAA" w:rsidRDefault="00AC4185">
                <w:pPr>
                  <w:jc w:val="right"/>
                  <w:rPr>
                    <w:szCs w:val="21"/>
                  </w:rPr>
                </w:pPr>
                <w:r>
                  <w:rPr>
                    <w:szCs w:val="21"/>
                  </w:rPr>
                  <w:t>238,341,277.78</w:t>
                </w:r>
              </w:p>
            </w:tc>
          </w:tr>
          <w:tr w:rsidR="00E57DAA" w14:paraId="545B489F" w14:textId="77777777">
            <w:trPr>
              <w:trHeight w:val="340"/>
            </w:trPr>
            <w:tc>
              <w:tcPr>
                <w:tcW w:w="2141" w:type="pct"/>
                <w:vAlign w:val="center"/>
              </w:tcPr>
              <w:p w14:paraId="4ACE7C2C" w14:textId="77777777" w:rsidR="00E57DAA" w:rsidRDefault="00AC4185">
                <w:pPr>
                  <w:rPr>
                    <w:szCs w:val="21"/>
                  </w:rPr>
                </w:pPr>
                <w:r>
                  <w:rPr>
                    <w:rFonts w:hint="eastAsia"/>
                    <w:szCs w:val="21"/>
                  </w:rPr>
                  <w:t>远期结售汇冻结资金</w:t>
                </w:r>
              </w:p>
            </w:tc>
            <w:tc>
              <w:tcPr>
                <w:tcW w:w="1429" w:type="pct"/>
                <w:vAlign w:val="center"/>
              </w:tcPr>
              <w:p w14:paraId="6E7E7188" w14:textId="77777777" w:rsidR="00E57DAA" w:rsidRDefault="00AC4185">
                <w:pPr>
                  <w:jc w:val="right"/>
                  <w:rPr>
                    <w:szCs w:val="21"/>
                  </w:rPr>
                </w:pPr>
                <w:r>
                  <w:rPr>
                    <w:szCs w:val="21"/>
                  </w:rPr>
                  <w:t>339,969,600.00</w:t>
                </w:r>
              </w:p>
            </w:tc>
            <w:tc>
              <w:tcPr>
                <w:tcW w:w="1429" w:type="pct"/>
                <w:vAlign w:val="center"/>
              </w:tcPr>
              <w:p w14:paraId="03D66E8A" w14:textId="77777777" w:rsidR="00E57DAA" w:rsidRDefault="00E57DAA">
                <w:pPr>
                  <w:jc w:val="right"/>
                  <w:rPr>
                    <w:szCs w:val="21"/>
                  </w:rPr>
                </w:pPr>
              </w:p>
            </w:tc>
          </w:tr>
          <w:tr w:rsidR="00E57DAA" w14:paraId="72FE5741" w14:textId="77777777">
            <w:trPr>
              <w:trHeight w:val="340"/>
            </w:trPr>
            <w:tc>
              <w:tcPr>
                <w:tcW w:w="2141" w:type="pct"/>
                <w:vAlign w:val="center"/>
              </w:tcPr>
              <w:p w14:paraId="4CFDE735" w14:textId="77777777" w:rsidR="00E57DAA" w:rsidRDefault="00AC4185">
                <w:pPr>
                  <w:rPr>
                    <w:szCs w:val="21"/>
                  </w:rPr>
                </w:pPr>
                <w:r>
                  <w:rPr>
                    <w:rFonts w:hint="eastAsia"/>
                    <w:szCs w:val="21"/>
                  </w:rPr>
                  <w:lastRenderedPageBreak/>
                  <w:t>其他原因受限</w:t>
                </w:r>
              </w:p>
            </w:tc>
            <w:tc>
              <w:tcPr>
                <w:tcW w:w="1429" w:type="pct"/>
                <w:vAlign w:val="center"/>
              </w:tcPr>
              <w:p w14:paraId="439BC83A" w14:textId="77777777" w:rsidR="00E57DAA" w:rsidRDefault="00AC4185">
                <w:pPr>
                  <w:jc w:val="right"/>
                  <w:rPr>
                    <w:szCs w:val="21"/>
                  </w:rPr>
                </w:pPr>
                <w:r>
                  <w:rPr>
                    <w:szCs w:val="21"/>
                  </w:rPr>
                  <w:t>22,216,768.55</w:t>
                </w:r>
              </w:p>
            </w:tc>
            <w:tc>
              <w:tcPr>
                <w:tcW w:w="1429" w:type="pct"/>
                <w:vAlign w:val="center"/>
              </w:tcPr>
              <w:p w14:paraId="4A5D2918" w14:textId="77777777" w:rsidR="00E57DAA" w:rsidRDefault="00AC4185">
                <w:pPr>
                  <w:jc w:val="right"/>
                  <w:rPr>
                    <w:szCs w:val="21"/>
                  </w:rPr>
                </w:pPr>
                <w:r>
                  <w:rPr>
                    <w:szCs w:val="21"/>
                  </w:rPr>
                  <w:t>9,086,833.14</w:t>
                </w:r>
              </w:p>
            </w:tc>
          </w:tr>
          <w:tr w:rsidR="00E57DAA" w14:paraId="3A9DC9C0" w14:textId="77777777">
            <w:trPr>
              <w:trHeight w:val="340"/>
            </w:trPr>
            <w:tc>
              <w:tcPr>
                <w:tcW w:w="2141" w:type="pct"/>
                <w:vAlign w:val="center"/>
              </w:tcPr>
              <w:p w14:paraId="22665B24" w14:textId="77777777" w:rsidR="00E57DAA" w:rsidRDefault="00AC4185">
                <w:pPr>
                  <w:rPr>
                    <w:szCs w:val="21"/>
                  </w:rPr>
                </w:pPr>
                <w:r>
                  <w:rPr>
                    <w:szCs w:val="21"/>
                  </w:rPr>
                  <w:t>合计</w:t>
                </w:r>
              </w:p>
            </w:tc>
            <w:tc>
              <w:tcPr>
                <w:tcW w:w="1429" w:type="pct"/>
                <w:vAlign w:val="center"/>
              </w:tcPr>
              <w:p w14:paraId="4BC337BD" w14:textId="77777777" w:rsidR="00E57DAA" w:rsidRDefault="00AC4185">
                <w:pPr>
                  <w:jc w:val="right"/>
                  <w:rPr>
                    <w:szCs w:val="21"/>
                  </w:rPr>
                </w:pPr>
                <w:r>
                  <w:rPr>
                    <w:szCs w:val="21"/>
                  </w:rPr>
                  <w:t>998,982,335.75</w:t>
                </w:r>
              </w:p>
            </w:tc>
            <w:tc>
              <w:tcPr>
                <w:tcW w:w="1429" w:type="pct"/>
                <w:vAlign w:val="center"/>
              </w:tcPr>
              <w:p w14:paraId="1B3E2853" w14:textId="77777777" w:rsidR="00E57DAA" w:rsidRDefault="00AC4185">
                <w:pPr>
                  <w:jc w:val="right"/>
                  <w:rPr>
                    <w:szCs w:val="21"/>
                  </w:rPr>
                </w:pPr>
                <w:r>
                  <w:rPr>
                    <w:szCs w:val="21"/>
                  </w:rPr>
                  <w:t>1,110,775,633.57</w:t>
                </w:r>
              </w:p>
            </w:tc>
          </w:tr>
        </w:tbl>
        <w:p w14:paraId="52519D2C" w14:textId="77777777" w:rsidR="00E57DAA" w:rsidRDefault="00EB41A1">
          <w:pPr>
            <w:rPr>
              <w:szCs w:val="21"/>
            </w:rPr>
          </w:pPr>
        </w:p>
      </w:sdtContent>
    </w:sdt>
    <w:p w14:paraId="20077355" w14:textId="77777777" w:rsidR="00E57DAA" w:rsidRDefault="00E57DAA">
      <w:pPr>
        <w:rPr>
          <w:szCs w:val="21"/>
        </w:rPr>
      </w:pPr>
    </w:p>
    <w:p w14:paraId="58E04F41" w14:textId="77777777" w:rsidR="00E57DAA" w:rsidRDefault="00AC4185" w:rsidP="00C25422">
      <w:pPr>
        <w:pStyle w:val="91"/>
        <w:numPr>
          <w:ilvl w:val="0"/>
          <w:numId w:val="69"/>
        </w:numPr>
      </w:pPr>
      <w:r>
        <w:rPr>
          <w:rFonts w:hint="eastAsia"/>
        </w:rPr>
        <w:t>交易性金融资产</w:t>
      </w:r>
    </w:p>
    <w:sdt>
      <w:sdtPr>
        <w:alias w:val="是否适用：交易性金融资产[双击切换]"/>
        <w:tag w:val="_GBC_c852c730c6fa4a3e8930f5cbbab9909f"/>
        <w:id w:val="1837031233"/>
        <w:placeholder>
          <w:docPart w:val="GBC22222222222222222222222222222"/>
        </w:placeholder>
      </w:sdtPr>
      <w:sdtEndPr/>
      <w:sdtContent>
        <w:p w14:paraId="304D667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612572" w14:textId="77777777" w:rsidR="00E57DAA" w:rsidRDefault="00AC4185">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7144641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19771333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2"/>
        <w:gridCol w:w="1936"/>
        <w:gridCol w:w="1945"/>
      </w:tblGrid>
      <w:tr w:rsidR="00E57DAA" w14:paraId="2BD4D168" w14:textId="77777777">
        <w:sdt>
          <w:sdtPr>
            <w:tag w:val="_PLD_3b99f59eccaa43478dfbfc184cd2ce48"/>
            <w:id w:val="-2022223838"/>
          </w:sdtPr>
          <w:sdtEndPr/>
          <w:sdtContent>
            <w:tc>
              <w:tcPr>
                <w:tcW w:w="2801" w:type="pct"/>
                <w:shd w:val="clear" w:color="auto" w:fill="auto"/>
                <w:vAlign w:val="center"/>
              </w:tcPr>
              <w:p w14:paraId="3DE6590F" w14:textId="77777777" w:rsidR="00E57DAA" w:rsidRDefault="00AC4185">
                <w:pPr>
                  <w:jc w:val="center"/>
                  <w:rPr>
                    <w:szCs w:val="21"/>
                  </w:rPr>
                </w:pPr>
                <w:r>
                  <w:rPr>
                    <w:rFonts w:hint="eastAsia"/>
                    <w:szCs w:val="21"/>
                  </w:rPr>
                  <w:t>项目</w:t>
                </w:r>
              </w:p>
            </w:tc>
          </w:sdtContent>
        </w:sdt>
        <w:sdt>
          <w:sdtPr>
            <w:tag w:val="_PLD_caf9d9000b3e44c1817249ef4121d5db"/>
            <w:id w:val="1945956055"/>
          </w:sdtPr>
          <w:sdtEndPr/>
          <w:sdtContent>
            <w:tc>
              <w:tcPr>
                <w:tcW w:w="1097" w:type="pct"/>
                <w:shd w:val="clear" w:color="auto" w:fill="auto"/>
                <w:vAlign w:val="center"/>
              </w:tcPr>
              <w:p w14:paraId="48F37BB3"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313298896"/>
          </w:sdtPr>
          <w:sdtEndPr/>
          <w:sdtContent>
            <w:tc>
              <w:tcPr>
                <w:tcW w:w="1102" w:type="pct"/>
                <w:shd w:val="clear" w:color="auto" w:fill="auto"/>
                <w:vAlign w:val="center"/>
              </w:tcPr>
              <w:p w14:paraId="3FDD6768"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6929491E" w14:textId="77777777">
        <w:tc>
          <w:tcPr>
            <w:tcW w:w="2801" w:type="pct"/>
            <w:shd w:val="clear" w:color="auto" w:fill="auto"/>
          </w:tcPr>
          <w:p w14:paraId="1E724758" w14:textId="77777777" w:rsidR="00E57DAA" w:rsidRDefault="00AC4185">
            <w:pPr>
              <w:autoSpaceDE w:val="0"/>
              <w:autoSpaceDN w:val="0"/>
              <w:adjustRightInd w:val="0"/>
              <w:rPr>
                <w:szCs w:val="21"/>
              </w:rPr>
            </w:pPr>
            <w:r>
              <w:rPr>
                <w:rFonts w:hint="eastAsia"/>
                <w:szCs w:val="21"/>
              </w:rPr>
              <w:t>以公允价值计量且其变动计入当期损益的金融资产</w:t>
            </w:r>
          </w:p>
        </w:tc>
        <w:tc>
          <w:tcPr>
            <w:tcW w:w="1097" w:type="pct"/>
            <w:shd w:val="clear" w:color="auto" w:fill="auto"/>
            <w:vAlign w:val="center"/>
          </w:tcPr>
          <w:p w14:paraId="2127B62A" w14:textId="77777777" w:rsidR="00E57DAA" w:rsidRDefault="00AC4185">
            <w:pPr>
              <w:jc w:val="right"/>
              <w:rPr>
                <w:szCs w:val="21"/>
              </w:rPr>
            </w:pPr>
            <w:r>
              <w:t>251,478,793.74</w:t>
            </w:r>
          </w:p>
        </w:tc>
        <w:tc>
          <w:tcPr>
            <w:tcW w:w="1102" w:type="pct"/>
            <w:shd w:val="clear" w:color="auto" w:fill="auto"/>
            <w:vAlign w:val="center"/>
          </w:tcPr>
          <w:p w14:paraId="0B842FC5" w14:textId="77777777" w:rsidR="00E57DAA" w:rsidRDefault="00AC4185">
            <w:pPr>
              <w:jc w:val="right"/>
              <w:rPr>
                <w:szCs w:val="21"/>
              </w:rPr>
            </w:pPr>
            <w:r>
              <w:t>601,169,931.64</w:t>
            </w:r>
          </w:p>
        </w:tc>
      </w:tr>
      <w:tr w:rsidR="00E57DAA" w14:paraId="0AE03EC7" w14:textId="77777777">
        <w:sdt>
          <w:sdtPr>
            <w:tag w:val="_PLD_147bedd0b80c463ab365e4b926d8c081"/>
            <w:id w:val="-2007425381"/>
          </w:sdtPr>
          <w:sdtEndPr/>
          <w:sdtContent>
            <w:tc>
              <w:tcPr>
                <w:tcW w:w="5000" w:type="pct"/>
                <w:gridSpan w:val="3"/>
                <w:shd w:val="clear" w:color="auto" w:fill="auto"/>
              </w:tcPr>
              <w:p w14:paraId="6FE6F8B6" w14:textId="77777777" w:rsidR="00E57DAA" w:rsidRDefault="00AC4185">
                <w:pPr>
                  <w:rPr>
                    <w:szCs w:val="21"/>
                  </w:rPr>
                </w:pPr>
                <w:r>
                  <w:rPr>
                    <w:rFonts w:hint="eastAsia"/>
                    <w:szCs w:val="21"/>
                  </w:rPr>
                  <w:t>其中：</w:t>
                </w:r>
              </w:p>
            </w:tc>
          </w:sdtContent>
        </w:sdt>
      </w:tr>
      <w:tr w:rsidR="00E57DAA" w14:paraId="0ACABFB4" w14:textId="77777777">
        <w:tc>
          <w:tcPr>
            <w:tcW w:w="2801" w:type="pct"/>
            <w:shd w:val="clear" w:color="auto" w:fill="auto"/>
          </w:tcPr>
          <w:p w14:paraId="57D5180E" w14:textId="77777777" w:rsidR="00E57DAA" w:rsidRDefault="00AC4185">
            <w:pPr>
              <w:autoSpaceDE w:val="0"/>
              <w:autoSpaceDN w:val="0"/>
              <w:adjustRightInd w:val="0"/>
              <w:ind w:firstLineChars="270" w:firstLine="567"/>
              <w:rPr>
                <w:szCs w:val="21"/>
              </w:rPr>
            </w:pPr>
            <w:r>
              <w:t>  权益工具投资</w:t>
            </w:r>
          </w:p>
        </w:tc>
        <w:tc>
          <w:tcPr>
            <w:tcW w:w="1097" w:type="pct"/>
            <w:shd w:val="clear" w:color="auto" w:fill="auto"/>
            <w:vAlign w:val="center"/>
          </w:tcPr>
          <w:p w14:paraId="2508C108" w14:textId="77777777" w:rsidR="00E57DAA" w:rsidRDefault="00AC4185">
            <w:pPr>
              <w:jc w:val="right"/>
              <w:rPr>
                <w:szCs w:val="21"/>
              </w:rPr>
            </w:pPr>
            <w:r>
              <w:t>99,314,548.57</w:t>
            </w:r>
          </w:p>
        </w:tc>
        <w:tc>
          <w:tcPr>
            <w:tcW w:w="1102" w:type="pct"/>
            <w:shd w:val="clear" w:color="auto" w:fill="auto"/>
            <w:vAlign w:val="center"/>
          </w:tcPr>
          <w:p w14:paraId="5BE2119E" w14:textId="77777777" w:rsidR="00E57DAA" w:rsidRDefault="00AC4185">
            <w:pPr>
              <w:jc w:val="right"/>
              <w:rPr>
                <w:szCs w:val="21"/>
              </w:rPr>
            </w:pPr>
            <w:r>
              <w:t>102,888,724.13</w:t>
            </w:r>
          </w:p>
        </w:tc>
      </w:tr>
      <w:tr w:rsidR="00E57DAA" w14:paraId="5296B6F4" w14:textId="77777777">
        <w:tc>
          <w:tcPr>
            <w:tcW w:w="2801" w:type="pct"/>
            <w:shd w:val="clear" w:color="auto" w:fill="auto"/>
          </w:tcPr>
          <w:p w14:paraId="1F29260C" w14:textId="77777777" w:rsidR="00E57DAA" w:rsidRDefault="00AC4185">
            <w:pPr>
              <w:autoSpaceDE w:val="0"/>
              <w:autoSpaceDN w:val="0"/>
              <w:adjustRightInd w:val="0"/>
              <w:ind w:firstLineChars="270" w:firstLine="567"/>
              <w:rPr>
                <w:szCs w:val="21"/>
              </w:rPr>
            </w:pPr>
            <w:r>
              <w:t>  银行理财产品</w:t>
            </w:r>
          </w:p>
        </w:tc>
        <w:tc>
          <w:tcPr>
            <w:tcW w:w="1097" w:type="pct"/>
            <w:shd w:val="clear" w:color="auto" w:fill="auto"/>
            <w:vAlign w:val="center"/>
          </w:tcPr>
          <w:p w14:paraId="08A5630B" w14:textId="77777777" w:rsidR="00E57DAA" w:rsidRDefault="00AC4185">
            <w:pPr>
              <w:jc w:val="right"/>
              <w:rPr>
                <w:szCs w:val="21"/>
              </w:rPr>
            </w:pPr>
            <w:r>
              <w:t>4,635.95</w:t>
            </w:r>
          </w:p>
        </w:tc>
        <w:tc>
          <w:tcPr>
            <w:tcW w:w="1102" w:type="pct"/>
            <w:shd w:val="clear" w:color="auto" w:fill="auto"/>
            <w:vAlign w:val="center"/>
          </w:tcPr>
          <w:p w14:paraId="4BD557D0" w14:textId="77777777" w:rsidR="00E57DAA" w:rsidRDefault="00AC4185">
            <w:pPr>
              <w:jc w:val="right"/>
              <w:rPr>
                <w:szCs w:val="21"/>
              </w:rPr>
            </w:pPr>
            <w:r>
              <w:t>476,454,178.66</w:t>
            </w:r>
          </w:p>
        </w:tc>
      </w:tr>
      <w:tr w:rsidR="00E57DAA" w14:paraId="5B59AD98" w14:textId="77777777">
        <w:tc>
          <w:tcPr>
            <w:tcW w:w="2801" w:type="pct"/>
            <w:shd w:val="clear" w:color="auto" w:fill="auto"/>
          </w:tcPr>
          <w:p w14:paraId="7AF59A29" w14:textId="77777777" w:rsidR="00E57DAA" w:rsidRDefault="00AC4185">
            <w:pPr>
              <w:autoSpaceDE w:val="0"/>
              <w:autoSpaceDN w:val="0"/>
              <w:adjustRightInd w:val="0"/>
              <w:ind w:firstLineChars="270" w:firstLine="567"/>
              <w:rPr>
                <w:szCs w:val="21"/>
              </w:rPr>
            </w:pPr>
            <w:r>
              <w:t>  外汇远期合约</w:t>
            </w:r>
          </w:p>
        </w:tc>
        <w:tc>
          <w:tcPr>
            <w:tcW w:w="1097" w:type="pct"/>
            <w:shd w:val="clear" w:color="auto" w:fill="auto"/>
            <w:vAlign w:val="center"/>
          </w:tcPr>
          <w:p w14:paraId="3B2809D6" w14:textId="77777777" w:rsidR="00E57DAA" w:rsidRDefault="00AC4185">
            <w:pPr>
              <w:jc w:val="right"/>
              <w:rPr>
                <w:szCs w:val="21"/>
              </w:rPr>
            </w:pPr>
            <w:r>
              <w:t>13,480.98</w:t>
            </w:r>
          </w:p>
        </w:tc>
        <w:tc>
          <w:tcPr>
            <w:tcW w:w="1102" w:type="pct"/>
            <w:shd w:val="clear" w:color="auto" w:fill="auto"/>
            <w:vAlign w:val="center"/>
          </w:tcPr>
          <w:p w14:paraId="0A0E22CC" w14:textId="77777777" w:rsidR="00E57DAA" w:rsidRDefault="00AC4185">
            <w:pPr>
              <w:jc w:val="right"/>
              <w:rPr>
                <w:szCs w:val="21"/>
              </w:rPr>
            </w:pPr>
            <w:r>
              <w:t>1,183,124.97</w:t>
            </w:r>
          </w:p>
        </w:tc>
      </w:tr>
      <w:tr w:rsidR="00E57DAA" w14:paraId="68F24429" w14:textId="77777777">
        <w:tc>
          <w:tcPr>
            <w:tcW w:w="2801" w:type="pct"/>
            <w:shd w:val="clear" w:color="auto" w:fill="auto"/>
          </w:tcPr>
          <w:p w14:paraId="1A6596FC" w14:textId="77777777" w:rsidR="00E57DAA" w:rsidRDefault="00AC4185">
            <w:pPr>
              <w:autoSpaceDE w:val="0"/>
              <w:autoSpaceDN w:val="0"/>
              <w:adjustRightInd w:val="0"/>
              <w:ind w:firstLineChars="270" w:firstLine="567"/>
              <w:rPr>
                <w:szCs w:val="21"/>
              </w:rPr>
            </w:pPr>
            <w:r>
              <w:t>  基金</w:t>
            </w:r>
          </w:p>
        </w:tc>
        <w:tc>
          <w:tcPr>
            <w:tcW w:w="1097" w:type="pct"/>
            <w:shd w:val="clear" w:color="auto" w:fill="auto"/>
            <w:vAlign w:val="center"/>
          </w:tcPr>
          <w:p w14:paraId="465DF134" w14:textId="77777777" w:rsidR="00E57DAA" w:rsidRDefault="00AC4185">
            <w:pPr>
              <w:jc w:val="right"/>
              <w:rPr>
                <w:szCs w:val="21"/>
              </w:rPr>
            </w:pPr>
            <w:r>
              <w:t>21,187,667.51</w:t>
            </w:r>
          </w:p>
        </w:tc>
        <w:tc>
          <w:tcPr>
            <w:tcW w:w="1102" w:type="pct"/>
            <w:shd w:val="clear" w:color="auto" w:fill="auto"/>
            <w:vAlign w:val="center"/>
          </w:tcPr>
          <w:p w14:paraId="1CFB1F73" w14:textId="77777777" w:rsidR="00E57DAA" w:rsidRDefault="00AC4185">
            <w:pPr>
              <w:jc w:val="right"/>
              <w:rPr>
                <w:szCs w:val="21"/>
              </w:rPr>
            </w:pPr>
            <w:r>
              <w:t>20,643,903.88</w:t>
            </w:r>
          </w:p>
        </w:tc>
      </w:tr>
      <w:tr w:rsidR="00E57DAA" w14:paraId="71108DF4" w14:textId="77777777">
        <w:tc>
          <w:tcPr>
            <w:tcW w:w="2801" w:type="pct"/>
            <w:shd w:val="clear" w:color="auto" w:fill="auto"/>
          </w:tcPr>
          <w:p w14:paraId="312DBA61" w14:textId="77777777" w:rsidR="00E57DAA" w:rsidRDefault="00AC4185">
            <w:pPr>
              <w:autoSpaceDE w:val="0"/>
              <w:autoSpaceDN w:val="0"/>
              <w:adjustRightInd w:val="0"/>
              <w:ind w:firstLineChars="270" w:firstLine="567"/>
              <w:rPr>
                <w:szCs w:val="21"/>
              </w:rPr>
            </w:pPr>
            <w:r>
              <w:t> </w:t>
            </w:r>
            <w:r>
              <w:rPr>
                <w:rFonts w:hint="eastAsia"/>
              </w:rPr>
              <w:t xml:space="preserve"> </w:t>
            </w:r>
            <w:r>
              <w:t>或有对价</w:t>
            </w:r>
          </w:p>
        </w:tc>
        <w:tc>
          <w:tcPr>
            <w:tcW w:w="1097" w:type="pct"/>
            <w:shd w:val="clear" w:color="auto" w:fill="auto"/>
            <w:vAlign w:val="center"/>
          </w:tcPr>
          <w:p w14:paraId="4253DAC7" w14:textId="77777777" w:rsidR="00E57DAA" w:rsidRDefault="00AC4185">
            <w:pPr>
              <w:jc w:val="right"/>
              <w:rPr>
                <w:szCs w:val="21"/>
              </w:rPr>
            </w:pPr>
            <w:r>
              <w:t>130,958,460.73</w:t>
            </w:r>
          </w:p>
        </w:tc>
        <w:tc>
          <w:tcPr>
            <w:tcW w:w="1102" w:type="pct"/>
            <w:shd w:val="clear" w:color="auto" w:fill="auto"/>
            <w:vAlign w:val="center"/>
          </w:tcPr>
          <w:p w14:paraId="25FCDF55" w14:textId="77777777" w:rsidR="00E57DAA" w:rsidRDefault="00E57DAA">
            <w:pPr>
              <w:jc w:val="right"/>
              <w:rPr>
                <w:szCs w:val="21"/>
              </w:rPr>
            </w:pPr>
          </w:p>
        </w:tc>
      </w:tr>
      <w:tr w:rsidR="00E57DAA" w14:paraId="4D5D2AE0" w14:textId="77777777">
        <w:tc>
          <w:tcPr>
            <w:tcW w:w="2801" w:type="pct"/>
            <w:shd w:val="clear" w:color="auto" w:fill="auto"/>
            <w:vAlign w:val="center"/>
          </w:tcPr>
          <w:p w14:paraId="2322ADD2" w14:textId="77777777" w:rsidR="00E57DAA" w:rsidRDefault="00AC4185">
            <w:pPr>
              <w:jc w:val="center"/>
              <w:rPr>
                <w:szCs w:val="21"/>
              </w:rPr>
            </w:pPr>
            <w:r>
              <w:rPr>
                <w:rFonts w:hint="eastAsia"/>
                <w:szCs w:val="21"/>
              </w:rPr>
              <w:t>合计</w:t>
            </w:r>
          </w:p>
        </w:tc>
        <w:tc>
          <w:tcPr>
            <w:tcW w:w="1097" w:type="pct"/>
            <w:shd w:val="clear" w:color="auto" w:fill="auto"/>
            <w:vAlign w:val="center"/>
          </w:tcPr>
          <w:p w14:paraId="04732596" w14:textId="77777777" w:rsidR="00E57DAA" w:rsidRDefault="00AC4185">
            <w:pPr>
              <w:jc w:val="right"/>
              <w:rPr>
                <w:szCs w:val="21"/>
              </w:rPr>
            </w:pPr>
            <w:r>
              <w:t>251,478,793.74</w:t>
            </w:r>
          </w:p>
        </w:tc>
        <w:tc>
          <w:tcPr>
            <w:tcW w:w="1102" w:type="pct"/>
            <w:shd w:val="clear" w:color="auto" w:fill="auto"/>
            <w:vAlign w:val="center"/>
          </w:tcPr>
          <w:p w14:paraId="5075AC3B" w14:textId="77777777" w:rsidR="00E57DAA" w:rsidRDefault="00AC4185">
            <w:pPr>
              <w:jc w:val="right"/>
              <w:rPr>
                <w:szCs w:val="21"/>
              </w:rPr>
            </w:pPr>
            <w:r>
              <w:t>601,169,931.64</w:t>
            </w:r>
          </w:p>
        </w:tc>
      </w:tr>
    </w:tbl>
    <w:p w14:paraId="0A42AC3E" w14:textId="77777777" w:rsidR="00E57DAA" w:rsidRDefault="00E57DAA" w:rsidP="00C25422">
      <w:pPr>
        <w:pStyle w:val="92"/>
      </w:pPr>
    </w:p>
    <w:p w14:paraId="3AD68A56" w14:textId="77777777" w:rsidR="00E57DAA" w:rsidRDefault="00AC4185" w:rsidP="00C25422">
      <w:pPr>
        <w:pStyle w:val="92"/>
      </w:pPr>
      <w:r>
        <w:rPr>
          <w:rFonts w:hint="eastAsia"/>
        </w:rPr>
        <w:t>其他</w:t>
      </w:r>
      <w:r>
        <w:t>说明</w:t>
      </w:r>
      <w:r>
        <w:rPr>
          <w:rFonts w:hint="eastAsia"/>
        </w:rPr>
        <w:t>：</w:t>
      </w:r>
    </w:p>
    <w:bookmarkStart w:id="186" w:name="_Hlk533595247" w:displacedByCustomXml="next"/>
    <w:bookmarkEnd w:id="186" w:displacedByCustomXml="next"/>
    <w:sdt>
      <w:sdtPr>
        <w:alias w:val="是否适用：交易性金融资产的说明[双击切换]"/>
        <w:tag w:val="_GBC_9bed9315a85147e7ac11c2b4bac78358"/>
        <w:id w:val="2050959776"/>
        <w:placeholder>
          <w:docPart w:val="GBC22222222222222222222222222222"/>
        </w:placeholder>
      </w:sdtPr>
      <w:sdtEndPr/>
      <w:sdtContent>
        <w:p w14:paraId="5385C77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交易性金融资产的说明"/>
        <w:tag w:val="_GBC_20a177fc99e145c4bb7b3119682db963"/>
        <w:id w:val="682093187"/>
        <w:placeholder>
          <w:docPart w:val="GBC22222222222222222222222222222"/>
        </w:placeholder>
      </w:sdtPr>
      <w:sdtEndPr/>
      <w:sdtContent>
        <w:p w14:paraId="4E42830A" w14:textId="77777777" w:rsidR="00E57DAA" w:rsidRDefault="00AC4185">
          <w:pPr>
            <w:ind w:firstLineChars="200" w:firstLine="420"/>
            <w:rPr>
              <w:szCs w:val="21"/>
            </w:rPr>
          </w:pPr>
          <w:r>
            <w:rPr>
              <w:rFonts w:hint="eastAsia"/>
              <w:szCs w:val="21"/>
            </w:rPr>
            <w:t>或有对价系根据本公司于</w:t>
          </w:r>
          <w:r>
            <w:rPr>
              <w:szCs w:val="21"/>
            </w:rPr>
            <w:t>2022年收购的子公司浙江博宇机电有限公司时的业绩承诺所确认的业绩补偿款。</w:t>
          </w:r>
        </w:p>
      </w:sdtContent>
    </w:sdt>
    <w:p w14:paraId="68A9E9CD" w14:textId="77777777" w:rsidR="00E57DAA" w:rsidRDefault="00E57DAA">
      <w:pPr>
        <w:rPr>
          <w:szCs w:val="21"/>
        </w:rPr>
      </w:pPr>
    </w:p>
    <w:p w14:paraId="597B4F23" w14:textId="77777777" w:rsidR="00E57DAA" w:rsidRDefault="00AC4185">
      <w:pPr>
        <w:pStyle w:val="3"/>
        <w:numPr>
          <w:ilvl w:val="0"/>
          <w:numId w:val="69"/>
        </w:numPr>
        <w:shd w:val="clear" w:color="auto" w:fill="auto"/>
        <w:spacing w:before="60" w:after="60" w:line="240" w:lineRule="auto"/>
        <w:rPr>
          <w:szCs w:val="21"/>
        </w:rPr>
      </w:pPr>
      <w:r>
        <w:rPr>
          <w:rFonts w:hint="eastAsia"/>
          <w:szCs w:val="21"/>
        </w:rPr>
        <w:t>衍生金融资产</w:t>
      </w:r>
    </w:p>
    <w:sdt>
      <w:sdtPr>
        <w:alias w:val="是否适用：衍生金融资产[双击切换]"/>
        <w:tag w:val="_GBC_d17bfaab262c4a499d0afca62045c5e0"/>
        <w:id w:val="938344528"/>
      </w:sdtPr>
      <w:sdtEndPr/>
      <w:sdtContent>
        <w:p w14:paraId="6A97E09B" w14:textId="77777777" w:rsidR="00E57DAA" w:rsidRDefault="00AC4185">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5F9093EA" w14:textId="77777777" w:rsidR="00E57DAA" w:rsidRDefault="00AC4185">
      <w:pPr>
        <w:jc w:val="right"/>
      </w:pPr>
      <w:r>
        <w:rPr>
          <w:rFonts w:hint="eastAsia"/>
        </w:rPr>
        <w:t>单位：</w:t>
      </w:r>
      <w:sdt>
        <w:sdtPr>
          <w:rPr>
            <w:rFonts w:hint="eastAsia"/>
          </w:rPr>
          <w:alias w:val="单位：财务附注：衍生金融资产"/>
          <w:tag w:val="_GBC_33f610df05184d01a13874c743d8fa09"/>
          <w:id w:val="1176535134"/>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衍生金融资产"/>
          <w:tag w:val="_GBC_e91d3b9a211a4e7983c52070bd41a345"/>
          <w:id w:val="16614521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560"/>
        <w:gridCol w:w="2620"/>
        <w:gridCol w:w="2643"/>
      </w:tblGrid>
      <w:tr w:rsidR="00E57DAA" w14:paraId="6623202C" w14:textId="77777777">
        <w:sdt>
          <w:sdtPr>
            <w:tag w:val="_PLD_96dda14427f847ffa58a6b98b04b5061"/>
            <w:id w:val="616728134"/>
          </w:sdtPr>
          <w:sdtEndPr/>
          <w:sdtContent>
            <w:tc>
              <w:tcPr>
                <w:tcW w:w="2017" w:type="pct"/>
                <w:shd w:val="clear" w:color="auto" w:fill="auto"/>
                <w:vAlign w:val="center"/>
              </w:tcPr>
              <w:p w14:paraId="488770A4" w14:textId="77777777" w:rsidR="00E57DAA" w:rsidRDefault="00AC4185">
                <w:pPr>
                  <w:jc w:val="center"/>
                  <w:rPr>
                    <w:szCs w:val="21"/>
                  </w:rPr>
                </w:pPr>
                <w:r>
                  <w:rPr>
                    <w:rFonts w:hint="eastAsia"/>
                    <w:szCs w:val="21"/>
                  </w:rPr>
                  <w:t>项目</w:t>
                </w:r>
              </w:p>
            </w:tc>
          </w:sdtContent>
        </w:sdt>
        <w:sdt>
          <w:sdtPr>
            <w:tag w:val="_PLD_4d11b9db9a6649bfa82f85eba9f9a94b"/>
            <w:id w:val="-2124603288"/>
          </w:sdtPr>
          <w:sdtEndPr/>
          <w:sdtContent>
            <w:tc>
              <w:tcPr>
                <w:tcW w:w="1485" w:type="pct"/>
                <w:tcBorders>
                  <w:bottom w:val="single" w:sz="6" w:space="0" w:color="auto"/>
                </w:tcBorders>
                <w:shd w:val="clear" w:color="auto" w:fill="auto"/>
                <w:vAlign w:val="center"/>
              </w:tcPr>
              <w:p w14:paraId="0EF92E5B" w14:textId="77777777" w:rsidR="00E57DAA" w:rsidRDefault="00AC4185">
                <w:pPr>
                  <w:jc w:val="center"/>
                  <w:rPr>
                    <w:szCs w:val="21"/>
                  </w:rPr>
                </w:pPr>
                <w:r>
                  <w:rPr>
                    <w:rFonts w:hint="eastAsia"/>
                    <w:szCs w:val="21"/>
                  </w:rPr>
                  <w:t>期末余额</w:t>
                </w:r>
              </w:p>
            </w:tc>
          </w:sdtContent>
        </w:sdt>
        <w:sdt>
          <w:sdtPr>
            <w:tag w:val="_PLD_ceb163862ba8495d857643f893134be5"/>
            <w:id w:val="1978417664"/>
          </w:sdtPr>
          <w:sdtEndPr/>
          <w:sdtContent>
            <w:tc>
              <w:tcPr>
                <w:tcW w:w="1498" w:type="pct"/>
                <w:shd w:val="clear" w:color="auto" w:fill="auto"/>
                <w:vAlign w:val="center"/>
              </w:tcPr>
              <w:p w14:paraId="08740652" w14:textId="77777777" w:rsidR="00E57DAA" w:rsidRDefault="00AC4185">
                <w:pPr>
                  <w:jc w:val="center"/>
                  <w:rPr>
                    <w:szCs w:val="21"/>
                  </w:rPr>
                </w:pPr>
                <w:r>
                  <w:rPr>
                    <w:rFonts w:hint="eastAsia"/>
                    <w:szCs w:val="21"/>
                  </w:rPr>
                  <w:t>期初余额</w:t>
                </w:r>
              </w:p>
            </w:tc>
          </w:sdtContent>
        </w:sdt>
      </w:tr>
      <w:sdt>
        <w:sdtPr>
          <w:rPr>
            <w:szCs w:val="21"/>
          </w:rPr>
          <w:alias w:val="衍生金融资产明细"/>
          <w:tag w:val="_TUP_20f26400b77049f68fdd8db97cc230fe"/>
          <w:id w:val="1218784993"/>
          <w:placeholder>
            <w:docPart w:val="8B6DE9AD66224E35A9108F1EF3C2836E"/>
          </w:placeholder>
        </w:sdtPr>
        <w:sdtEndPr/>
        <w:sdtContent>
          <w:tr w:rsidR="00E57DAA" w14:paraId="3EF95A79" w14:textId="77777777">
            <w:tc>
              <w:tcPr>
                <w:tcW w:w="2017" w:type="pct"/>
                <w:shd w:val="clear" w:color="auto" w:fill="auto"/>
                <w:vAlign w:val="center"/>
              </w:tcPr>
              <w:p w14:paraId="6C963483" w14:textId="77777777" w:rsidR="00E57DAA" w:rsidRDefault="00AC4185">
                <w:pPr>
                  <w:rPr>
                    <w:szCs w:val="21"/>
                  </w:rPr>
                </w:pPr>
                <w:r>
                  <w:rPr>
                    <w:rFonts w:hint="eastAsia"/>
                  </w:rPr>
                  <w:t>衍生金融资产</w:t>
                </w:r>
              </w:p>
            </w:tc>
            <w:tc>
              <w:tcPr>
                <w:tcW w:w="1485" w:type="pct"/>
                <w:tcBorders>
                  <w:top w:val="single" w:sz="6" w:space="0" w:color="auto"/>
                  <w:bottom w:val="single" w:sz="6" w:space="0" w:color="auto"/>
                </w:tcBorders>
                <w:shd w:val="clear" w:color="auto" w:fill="auto"/>
              </w:tcPr>
              <w:p w14:paraId="59698172" w14:textId="77777777" w:rsidR="00E57DAA" w:rsidRDefault="00AC4185">
                <w:pPr>
                  <w:jc w:val="right"/>
                  <w:rPr>
                    <w:szCs w:val="21"/>
                  </w:rPr>
                </w:pPr>
                <w:r>
                  <w:rPr>
                    <w:rFonts w:hint="eastAsia"/>
                  </w:rPr>
                  <w:t>8,618,204.69</w:t>
                </w:r>
              </w:p>
            </w:tc>
            <w:tc>
              <w:tcPr>
                <w:tcW w:w="1498" w:type="pct"/>
                <w:shd w:val="clear" w:color="auto" w:fill="auto"/>
              </w:tcPr>
              <w:p w14:paraId="3F97D5FE" w14:textId="77777777" w:rsidR="00E57DAA" w:rsidRDefault="00AC4185">
                <w:pPr>
                  <w:jc w:val="right"/>
                  <w:rPr>
                    <w:szCs w:val="21"/>
                  </w:rPr>
                </w:pPr>
                <w:r>
                  <w:rPr>
                    <w:rFonts w:hint="eastAsia"/>
                  </w:rPr>
                  <w:t>11,056,284.55</w:t>
                </w:r>
              </w:p>
            </w:tc>
          </w:tr>
        </w:sdtContent>
      </w:sdt>
      <w:tr w:rsidR="00E57DAA" w14:paraId="500582C2" w14:textId="77777777">
        <w:sdt>
          <w:sdtPr>
            <w:tag w:val="_PLD_186e820b7c32495994bb23be5518e000"/>
            <w:id w:val="1055282263"/>
          </w:sdtPr>
          <w:sdtEndPr/>
          <w:sdtContent>
            <w:tc>
              <w:tcPr>
                <w:tcW w:w="2017" w:type="pct"/>
                <w:shd w:val="clear" w:color="auto" w:fill="auto"/>
                <w:vAlign w:val="center"/>
              </w:tcPr>
              <w:p w14:paraId="7F10AEB1" w14:textId="77777777" w:rsidR="00E57DAA" w:rsidRDefault="00AC4185">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vAlign w:val="center"/>
          </w:tcPr>
          <w:p w14:paraId="3E0ABB3B" w14:textId="77777777" w:rsidR="00E57DAA" w:rsidRDefault="00AC4185">
            <w:pPr>
              <w:jc w:val="right"/>
              <w:rPr>
                <w:szCs w:val="21"/>
              </w:rPr>
            </w:pPr>
            <w:r>
              <w:rPr>
                <w:rFonts w:hint="eastAsia"/>
              </w:rPr>
              <w:t>8,618,204.69</w:t>
            </w:r>
          </w:p>
        </w:tc>
        <w:tc>
          <w:tcPr>
            <w:tcW w:w="1498" w:type="pct"/>
            <w:shd w:val="clear" w:color="auto" w:fill="auto"/>
            <w:vAlign w:val="center"/>
          </w:tcPr>
          <w:p w14:paraId="3CBD94E2" w14:textId="77777777" w:rsidR="00E57DAA" w:rsidRDefault="00AC4185">
            <w:pPr>
              <w:jc w:val="right"/>
              <w:rPr>
                <w:szCs w:val="21"/>
              </w:rPr>
            </w:pPr>
            <w:r>
              <w:rPr>
                <w:rFonts w:hint="eastAsia"/>
              </w:rPr>
              <w:t>11,056,284.55</w:t>
            </w:r>
          </w:p>
        </w:tc>
      </w:tr>
    </w:tbl>
    <w:sdt>
      <w:sdtPr>
        <w:rPr>
          <w:szCs w:val="21"/>
        </w:rPr>
        <w:alias w:val="衍生金融资产的其他说明"/>
        <w:tag w:val="_GBC_c8a25419c080470e8f2d3f0f8a696e94"/>
        <w:id w:val="335356108"/>
        <w:placeholder>
          <w:docPart w:val="7AC1ED89D4424677B293E7EF30343640"/>
        </w:placeholder>
      </w:sdtPr>
      <w:sdtEndPr/>
      <w:sdtContent>
        <w:p w14:paraId="7E763273" w14:textId="77777777" w:rsidR="00E57DAA" w:rsidRDefault="00AC4185">
          <w:pPr>
            <w:ind w:firstLineChars="200" w:firstLine="420"/>
          </w:pPr>
          <w:r>
            <w:rPr>
              <w:rFonts w:hint="eastAsia"/>
              <w:szCs w:val="21"/>
            </w:rPr>
            <w:t>衍生金融资产系</w:t>
          </w:r>
          <w:r>
            <w:rPr>
              <w:szCs w:val="21"/>
            </w:rPr>
            <w:t>2018年本公司之子公司成都建筑材料工业设计研究院有限公司为执行埃及</w:t>
          </w:r>
          <w:proofErr w:type="spellStart"/>
          <w:r>
            <w:rPr>
              <w:szCs w:val="21"/>
            </w:rPr>
            <w:t>GOEBenisuef</w:t>
          </w:r>
          <w:proofErr w:type="spellEnd"/>
          <w:r>
            <w:rPr>
              <w:szCs w:val="21"/>
            </w:rPr>
            <w:t>项目，与中国工商银行成都分行和中国银行四川省分行开展利率掉期业务作为套期工具，指定中信银行股份有限公司成都分行发放的3.3亿欧元8年期浮动利率借款为被套期项目，将套期工具计入衍生金融资产核算。</w:t>
          </w:r>
        </w:p>
      </w:sdtContent>
    </w:sdt>
    <w:p w14:paraId="177A6E26" w14:textId="77777777" w:rsidR="00E57DAA" w:rsidRDefault="00AC4185" w:rsidP="00C25422">
      <w:pPr>
        <w:pStyle w:val="91"/>
        <w:numPr>
          <w:ilvl w:val="0"/>
          <w:numId w:val="69"/>
        </w:numPr>
      </w:pPr>
      <w:r>
        <w:rPr>
          <w:rFonts w:hint="eastAsia"/>
        </w:rPr>
        <w:t>应收票据</w:t>
      </w:r>
    </w:p>
    <w:p w14:paraId="4EE071C2" w14:textId="77777777" w:rsidR="00E57DAA" w:rsidRDefault="00AC4185">
      <w:pPr>
        <w:pStyle w:val="4"/>
        <w:numPr>
          <w:ilvl w:val="3"/>
          <w:numId w:val="70"/>
        </w:numPr>
        <w:ind w:left="426" w:hanging="426"/>
      </w:pPr>
      <w:r>
        <w:rPr>
          <w:rFonts w:hint="eastAsia"/>
        </w:rPr>
        <w:t>应收票据分类列示</w:t>
      </w:r>
    </w:p>
    <w:sdt>
      <w:sdtPr>
        <w:alias w:val="是否适用：应收票据分类列示[双击切换]"/>
        <w:tag w:val="_GBC_bdf010020d484a01ae60c52d7465a06a"/>
        <w:id w:val="-170569784"/>
        <w:placeholder>
          <w:docPart w:val="GBC22222222222222222222222222222"/>
        </w:placeholder>
      </w:sdtPr>
      <w:sdtEndPr/>
      <w:sdtContent>
        <w:p w14:paraId="1379040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9C779B" w14:textId="77777777" w:rsidR="00E57DAA" w:rsidRDefault="00AC4185">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2593016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3415450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14"/>
        <w:gridCol w:w="3048"/>
        <w:gridCol w:w="2861"/>
      </w:tblGrid>
      <w:tr w:rsidR="00E57DAA" w14:paraId="329FA09D" w14:textId="77777777">
        <w:trPr>
          <w:cantSplit/>
        </w:trPr>
        <w:sdt>
          <w:sdtPr>
            <w:tag w:val="_PLD_bd44f6beac5e4b8688c30e166c6780c8"/>
            <w:id w:val="1230886200"/>
          </w:sdtPr>
          <w:sdtEndPr/>
          <w:sdtContent>
            <w:tc>
              <w:tcPr>
                <w:tcW w:w="1651" w:type="pct"/>
                <w:vAlign w:val="center"/>
              </w:tcPr>
              <w:p w14:paraId="21A540D7"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691722204"/>
          </w:sdtPr>
          <w:sdtEndPr/>
          <w:sdtContent>
            <w:tc>
              <w:tcPr>
                <w:tcW w:w="1727" w:type="pct"/>
                <w:vAlign w:val="center"/>
              </w:tcPr>
              <w:p w14:paraId="5BB52F2D"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1891067448"/>
          </w:sdtPr>
          <w:sdtEndPr/>
          <w:sdtContent>
            <w:tc>
              <w:tcPr>
                <w:tcW w:w="1621" w:type="pct"/>
                <w:vAlign w:val="center"/>
              </w:tcPr>
              <w:p w14:paraId="50DFBE98"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483A6136" w14:textId="77777777">
        <w:trPr>
          <w:cantSplit/>
        </w:trPr>
        <w:tc>
          <w:tcPr>
            <w:tcW w:w="1651" w:type="pct"/>
          </w:tcPr>
          <w:p w14:paraId="30E1873F" w14:textId="77777777" w:rsidR="00E57DAA" w:rsidRDefault="00AC4185">
            <w:pPr>
              <w:autoSpaceDE w:val="0"/>
              <w:autoSpaceDN w:val="0"/>
              <w:adjustRightInd w:val="0"/>
              <w:snapToGrid w:val="0"/>
              <w:spacing w:line="240" w:lineRule="atLeast"/>
              <w:rPr>
                <w:szCs w:val="21"/>
              </w:rPr>
            </w:pPr>
            <w:r>
              <w:rPr>
                <w:rFonts w:hint="eastAsia"/>
                <w:szCs w:val="21"/>
              </w:rPr>
              <w:t>银行承兑票据</w:t>
            </w:r>
          </w:p>
        </w:tc>
        <w:tc>
          <w:tcPr>
            <w:tcW w:w="1727" w:type="pct"/>
            <w:vAlign w:val="center"/>
          </w:tcPr>
          <w:p w14:paraId="570E380E" w14:textId="77777777" w:rsidR="00E57DAA" w:rsidRDefault="00AC4185">
            <w:pPr>
              <w:ind w:right="13"/>
              <w:jc w:val="right"/>
              <w:rPr>
                <w:szCs w:val="21"/>
              </w:rPr>
            </w:pPr>
            <w:r>
              <w:t>58,227,421.00</w:t>
            </w:r>
          </w:p>
        </w:tc>
        <w:tc>
          <w:tcPr>
            <w:tcW w:w="1621" w:type="pct"/>
            <w:vAlign w:val="center"/>
          </w:tcPr>
          <w:p w14:paraId="57894574" w14:textId="77777777" w:rsidR="00E57DAA" w:rsidRDefault="00AC4185">
            <w:pPr>
              <w:ind w:right="13"/>
              <w:jc w:val="right"/>
              <w:rPr>
                <w:szCs w:val="21"/>
              </w:rPr>
            </w:pPr>
            <w:r>
              <w:t>35,690,000.00</w:t>
            </w:r>
          </w:p>
        </w:tc>
      </w:tr>
      <w:tr w:rsidR="00E57DAA" w14:paraId="2F696140" w14:textId="77777777">
        <w:trPr>
          <w:cantSplit/>
        </w:trPr>
        <w:tc>
          <w:tcPr>
            <w:tcW w:w="1651" w:type="pct"/>
          </w:tcPr>
          <w:p w14:paraId="02B027F1" w14:textId="77777777" w:rsidR="00E57DAA" w:rsidRDefault="00AC4185">
            <w:pPr>
              <w:autoSpaceDE w:val="0"/>
              <w:autoSpaceDN w:val="0"/>
              <w:adjustRightInd w:val="0"/>
              <w:snapToGrid w:val="0"/>
              <w:spacing w:line="240" w:lineRule="atLeast"/>
              <w:rPr>
                <w:szCs w:val="21"/>
              </w:rPr>
            </w:pPr>
            <w:r>
              <w:rPr>
                <w:rFonts w:hint="eastAsia"/>
                <w:szCs w:val="21"/>
              </w:rPr>
              <w:t>商业承兑票据</w:t>
            </w:r>
          </w:p>
        </w:tc>
        <w:tc>
          <w:tcPr>
            <w:tcW w:w="1727" w:type="pct"/>
            <w:vAlign w:val="center"/>
          </w:tcPr>
          <w:p w14:paraId="3AF8FB6D" w14:textId="77777777" w:rsidR="00E57DAA" w:rsidRDefault="00AC4185">
            <w:pPr>
              <w:ind w:right="13"/>
              <w:jc w:val="right"/>
              <w:rPr>
                <w:szCs w:val="21"/>
              </w:rPr>
            </w:pPr>
            <w:r>
              <w:t>1,736,861.46</w:t>
            </w:r>
          </w:p>
        </w:tc>
        <w:tc>
          <w:tcPr>
            <w:tcW w:w="1621" w:type="pct"/>
            <w:vAlign w:val="center"/>
          </w:tcPr>
          <w:p w14:paraId="7CD26B40" w14:textId="77777777" w:rsidR="00E57DAA" w:rsidRDefault="00AC4185">
            <w:pPr>
              <w:ind w:right="13"/>
              <w:jc w:val="right"/>
              <w:rPr>
                <w:szCs w:val="21"/>
              </w:rPr>
            </w:pPr>
            <w:r>
              <w:t>31,428,489.26</w:t>
            </w:r>
          </w:p>
        </w:tc>
      </w:tr>
      <w:tr w:rsidR="00E57DAA" w14:paraId="58CE59B7" w14:textId="77777777">
        <w:trPr>
          <w:cantSplit/>
        </w:trPr>
        <w:tc>
          <w:tcPr>
            <w:tcW w:w="1651" w:type="pct"/>
            <w:vAlign w:val="center"/>
          </w:tcPr>
          <w:p w14:paraId="78C49669"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727" w:type="pct"/>
            <w:vAlign w:val="center"/>
          </w:tcPr>
          <w:p w14:paraId="28CB22E5" w14:textId="77777777" w:rsidR="00E57DAA" w:rsidRDefault="00AC4185">
            <w:pPr>
              <w:jc w:val="right"/>
              <w:rPr>
                <w:szCs w:val="21"/>
              </w:rPr>
            </w:pPr>
            <w:r>
              <w:t>59,964,282.46</w:t>
            </w:r>
          </w:p>
        </w:tc>
        <w:tc>
          <w:tcPr>
            <w:tcW w:w="1621" w:type="pct"/>
            <w:vAlign w:val="center"/>
          </w:tcPr>
          <w:p w14:paraId="140682A3" w14:textId="77777777" w:rsidR="00E57DAA" w:rsidRDefault="00AC4185">
            <w:pPr>
              <w:autoSpaceDE w:val="0"/>
              <w:autoSpaceDN w:val="0"/>
              <w:adjustRightInd w:val="0"/>
              <w:jc w:val="right"/>
              <w:rPr>
                <w:szCs w:val="21"/>
              </w:rPr>
            </w:pPr>
            <w:r>
              <w:t>67,118,489.26</w:t>
            </w:r>
          </w:p>
        </w:tc>
      </w:tr>
    </w:tbl>
    <w:p w14:paraId="7F54ABA6" w14:textId="77777777" w:rsidR="00E57DAA" w:rsidRDefault="00E57DAA">
      <w:pPr>
        <w:snapToGrid w:val="0"/>
        <w:spacing w:line="240" w:lineRule="atLeast"/>
        <w:rPr>
          <w:szCs w:val="21"/>
        </w:rPr>
      </w:pPr>
    </w:p>
    <w:p w14:paraId="6E4A0E44" w14:textId="77777777" w:rsidR="00E57DAA" w:rsidRDefault="00E57DAA">
      <w:pPr>
        <w:snapToGrid w:val="0"/>
        <w:spacing w:line="240" w:lineRule="atLeast"/>
        <w:rPr>
          <w:szCs w:val="21"/>
        </w:rPr>
      </w:pPr>
    </w:p>
    <w:p w14:paraId="2A12366C" w14:textId="77777777" w:rsidR="00E57DAA" w:rsidRDefault="00AC4185">
      <w:pPr>
        <w:pStyle w:val="4"/>
        <w:numPr>
          <w:ilvl w:val="3"/>
          <w:numId w:val="70"/>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822580113"/>
        <w:placeholder>
          <w:docPart w:val="GBC22222222222222222222222222222"/>
        </w:placeholder>
      </w:sdtPr>
      <w:sdtEndPr/>
      <w:sdtContent>
        <w:p w14:paraId="17BEA07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71F60F5" w14:textId="77777777" w:rsidR="00E57DAA" w:rsidRDefault="00AC4185">
      <w:pPr>
        <w:jc w:val="right"/>
        <w:rPr>
          <w:szCs w:val="21"/>
        </w:rPr>
      </w:pPr>
      <w:r>
        <w:rPr>
          <w:rFonts w:hint="eastAsia"/>
          <w:szCs w:val="21"/>
        </w:rPr>
        <w:t>单位：</w:t>
      </w:r>
      <w:sdt>
        <w:sdtPr>
          <w:rPr>
            <w:rFonts w:hint="eastAsia"/>
            <w:szCs w:val="21"/>
          </w:rPr>
          <w:alias w:val="单位：财务附注：期末公司已抵押的应收票据情况"/>
          <w:tag w:val="_GBC_88ae26bc06554889af4ca1b04af173a2"/>
          <w:id w:val="8380412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eae6c4df7ed442a192f280eac97a6bbe"/>
          <w:id w:val="10782513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9"/>
        <w:gridCol w:w="4544"/>
      </w:tblGrid>
      <w:tr w:rsidR="00E57DAA" w14:paraId="24C951BD" w14:textId="77777777">
        <w:sdt>
          <w:sdtPr>
            <w:tag w:val="_PLD_6fba821574d940ccb2b29fd9faa1df4d"/>
            <w:id w:val="2145451753"/>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59D75B6A" w14:textId="77777777" w:rsidR="00E57DAA" w:rsidRDefault="00AC4185">
                <w:pPr>
                  <w:snapToGrid w:val="0"/>
                  <w:spacing w:line="240" w:lineRule="atLeast"/>
                  <w:jc w:val="center"/>
                  <w:rPr>
                    <w:szCs w:val="21"/>
                  </w:rPr>
                </w:pPr>
                <w:r>
                  <w:rPr>
                    <w:rFonts w:hint="eastAsia"/>
                    <w:szCs w:val="21"/>
                  </w:rPr>
                  <w:t>项目</w:t>
                </w:r>
              </w:p>
            </w:tc>
          </w:sdtContent>
        </w:sdt>
        <w:sdt>
          <w:sdtPr>
            <w:tag w:val="_PLD_6b8ef906a8a84040b5e0c0175f20353a"/>
            <w:id w:val="-1468655952"/>
          </w:sdtPr>
          <w:sdtEndPr/>
          <w:sdtContent>
            <w:tc>
              <w:tcPr>
                <w:tcW w:w="2575" w:type="pct"/>
                <w:tcBorders>
                  <w:top w:val="single" w:sz="4" w:space="0" w:color="auto"/>
                  <w:left w:val="single" w:sz="4" w:space="0" w:color="auto"/>
                  <w:bottom w:val="single" w:sz="4" w:space="0" w:color="auto"/>
                  <w:right w:val="single" w:sz="4" w:space="0" w:color="auto"/>
                </w:tcBorders>
                <w:vAlign w:val="center"/>
              </w:tcPr>
              <w:p w14:paraId="35DAC521" w14:textId="77777777" w:rsidR="00E57DAA" w:rsidRDefault="00AC4185">
                <w:pPr>
                  <w:snapToGrid w:val="0"/>
                  <w:spacing w:line="240" w:lineRule="atLeast"/>
                  <w:jc w:val="center"/>
                  <w:rPr>
                    <w:szCs w:val="21"/>
                  </w:rPr>
                </w:pPr>
                <w:r>
                  <w:rPr>
                    <w:rFonts w:hint="eastAsia"/>
                    <w:szCs w:val="21"/>
                  </w:rPr>
                  <w:t>期末已质押金额</w:t>
                </w:r>
              </w:p>
            </w:tc>
          </w:sdtContent>
        </w:sdt>
      </w:tr>
      <w:tr w:rsidR="00E57DAA" w14:paraId="693F4DBB" w14:textId="77777777">
        <w:tc>
          <w:tcPr>
            <w:tcW w:w="2425" w:type="pct"/>
            <w:tcBorders>
              <w:top w:val="single" w:sz="4" w:space="0" w:color="auto"/>
              <w:left w:val="single" w:sz="4" w:space="0" w:color="auto"/>
              <w:bottom w:val="single" w:sz="4" w:space="0" w:color="auto"/>
              <w:right w:val="single" w:sz="4" w:space="0" w:color="auto"/>
            </w:tcBorders>
          </w:tcPr>
          <w:p w14:paraId="5A5195D4" w14:textId="77777777" w:rsidR="00E57DAA" w:rsidRDefault="00AC4185">
            <w:pPr>
              <w:snapToGrid w:val="0"/>
              <w:spacing w:line="240" w:lineRule="atLeast"/>
              <w:rPr>
                <w:szCs w:val="21"/>
              </w:rPr>
            </w:pPr>
            <w:r>
              <w:rPr>
                <w:rFonts w:hint="eastAsia"/>
                <w:szCs w:val="21"/>
              </w:rPr>
              <w:lastRenderedPageBreak/>
              <w:t>银行承兑票据</w:t>
            </w:r>
          </w:p>
        </w:tc>
        <w:tc>
          <w:tcPr>
            <w:tcW w:w="2575" w:type="pct"/>
            <w:tcBorders>
              <w:top w:val="single" w:sz="4" w:space="0" w:color="auto"/>
              <w:left w:val="single" w:sz="4" w:space="0" w:color="auto"/>
              <w:bottom w:val="single" w:sz="4" w:space="0" w:color="auto"/>
              <w:right w:val="single" w:sz="4" w:space="0" w:color="auto"/>
            </w:tcBorders>
          </w:tcPr>
          <w:p w14:paraId="06EDBB83" w14:textId="77777777" w:rsidR="00E57DAA" w:rsidRDefault="00AC4185">
            <w:pPr>
              <w:snapToGrid w:val="0"/>
              <w:spacing w:line="240" w:lineRule="atLeast"/>
              <w:jc w:val="right"/>
              <w:rPr>
                <w:szCs w:val="21"/>
              </w:rPr>
            </w:pPr>
            <w:r>
              <w:rPr>
                <w:szCs w:val="21"/>
              </w:rPr>
              <w:t>58,227,421.00</w:t>
            </w:r>
          </w:p>
        </w:tc>
      </w:tr>
      <w:tr w:rsidR="00E57DAA" w14:paraId="610E4216" w14:textId="77777777">
        <w:tc>
          <w:tcPr>
            <w:tcW w:w="2425" w:type="pct"/>
            <w:tcBorders>
              <w:top w:val="single" w:sz="4" w:space="0" w:color="auto"/>
              <w:left w:val="single" w:sz="4" w:space="0" w:color="auto"/>
              <w:bottom w:val="single" w:sz="4" w:space="0" w:color="auto"/>
              <w:right w:val="single" w:sz="4" w:space="0" w:color="auto"/>
            </w:tcBorders>
          </w:tcPr>
          <w:p w14:paraId="3C95E12A" w14:textId="77777777" w:rsidR="00E57DAA" w:rsidRDefault="00AC4185">
            <w:pPr>
              <w:snapToGrid w:val="0"/>
              <w:spacing w:line="240" w:lineRule="atLeast"/>
              <w:rPr>
                <w:szCs w:val="21"/>
              </w:rPr>
            </w:pPr>
            <w:r>
              <w:rPr>
                <w:rFonts w:hint="eastAsia"/>
                <w:szCs w:val="21"/>
              </w:rPr>
              <w:t>商业承兑票据</w:t>
            </w:r>
          </w:p>
        </w:tc>
        <w:tc>
          <w:tcPr>
            <w:tcW w:w="2575" w:type="pct"/>
            <w:tcBorders>
              <w:top w:val="single" w:sz="4" w:space="0" w:color="auto"/>
              <w:left w:val="single" w:sz="4" w:space="0" w:color="auto"/>
              <w:bottom w:val="single" w:sz="4" w:space="0" w:color="auto"/>
              <w:right w:val="single" w:sz="4" w:space="0" w:color="auto"/>
            </w:tcBorders>
          </w:tcPr>
          <w:p w14:paraId="5CEBE71E" w14:textId="77777777" w:rsidR="00E57DAA" w:rsidRDefault="00E57DAA">
            <w:pPr>
              <w:snapToGrid w:val="0"/>
              <w:spacing w:line="240" w:lineRule="atLeast"/>
              <w:jc w:val="right"/>
              <w:rPr>
                <w:szCs w:val="21"/>
              </w:rPr>
            </w:pPr>
          </w:p>
        </w:tc>
      </w:tr>
      <w:tr w:rsidR="00E57DAA" w14:paraId="489851E8" w14:textId="77777777">
        <w:tc>
          <w:tcPr>
            <w:tcW w:w="2425" w:type="pct"/>
            <w:tcBorders>
              <w:top w:val="single" w:sz="4" w:space="0" w:color="auto"/>
              <w:left w:val="single" w:sz="4" w:space="0" w:color="auto"/>
              <w:bottom w:val="single" w:sz="4" w:space="0" w:color="auto"/>
              <w:right w:val="single" w:sz="4" w:space="0" w:color="auto"/>
            </w:tcBorders>
            <w:vAlign w:val="center"/>
          </w:tcPr>
          <w:p w14:paraId="7B0A3E2D"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2575" w:type="pct"/>
            <w:tcBorders>
              <w:top w:val="single" w:sz="4" w:space="0" w:color="auto"/>
              <w:left w:val="single" w:sz="4" w:space="0" w:color="auto"/>
              <w:bottom w:val="single" w:sz="4" w:space="0" w:color="auto"/>
              <w:right w:val="single" w:sz="4" w:space="0" w:color="auto"/>
            </w:tcBorders>
          </w:tcPr>
          <w:p w14:paraId="53002BAC" w14:textId="77777777" w:rsidR="00E57DAA" w:rsidRDefault="00AC4185">
            <w:pPr>
              <w:jc w:val="right"/>
              <w:rPr>
                <w:szCs w:val="21"/>
              </w:rPr>
            </w:pPr>
            <w:r>
              <w:rPr>
                <w:szCs w:val="21"/>
              </w:rPr>
              <w:t>58,227,421.00</w:t>
            </w:r>
          </w:p>
        </w:tc>
      </w:tr>
    </w:tbl>
    <w:p w14:paraId="168B04C1" w14:textId="77777777" w:rsidR="00E57DAA" w:rsidRDefault="00E57DAA">
      <w:pPr>
        <w:rPr>
          <w:szCs w:val="21"/>
        </w:rPr>
      </w:pPr>
    </w:p>
    <w:p w14:paraId="6E4220EC" w14:textId="77777777" w:rsidR="00E57DAA" w:rsidRDefault="00AC4185">
      <w:pPr>
        <w:pStyle w:val="4"/>
        <w:numPr>
          <w:ilvl w:val="3"/>
          <w:numId w:val="70"/>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373992926"/>
        <w:placeholder>
          <w:docPart w:val="GBC22222222222222222222222222222"/>
        </w:placeholder>
      </w:sdtPr>
      <w:sdtEndPr/>
      <w:sdtContent>
        <w:p w14:paraId="79F60281"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CB09F8" w14:textId="77777777" w:rsidR="00E57DAA" w:rsidRDefault="00E57DAA">
      <w:pPr>
        <w:rPr>
          <w:rFonts w:ascii="Times New Roman" w:hAnsi="Times New Roman" w:cs="Times New Roman"/>
          <w:kern w:val="2"/>
        </w:rPr>
        <w:sectPr w:rsidR="00E57DAA" w:rsidSect="00226547">
          <w:pgSz w:w="11906" w:h="16838"/>
          <w:pgMar w:top="1440" w:right="1797" w:bottom="1525" w:left="1276" w:header="856" w:footer="992" w:gutter="0"/>
          <w:cols w:space="425"/>
          <w:docGrid w:linePitch="312"/>
        </w:sectPr>
      </w:pPr>
    </w:p>
    <w:p w14:paraId="214A59B8" w14:textId="77777777" w:rsidR="00E57DAA" w:rsidRDefault="00E57DAA">
      <w:pPr>
        <w:rPr>
          <w:rFonts w:ascii="Times New Roman" w:hAnsi="Times New Roman" w:cs="Times New Roman"/>
          <w:kern w:val="2"/>
        </w:rPr>
      </w:pPr>
    </w:p>
    <w:p w14:paraId="3C60AD9A" w14:textId="77777777" w:rsidR="00E57DAA" w:rsidRDefault="00AC4185">
      <w:pPr>
        <w:pStyle w:val="4"/>
        <w:numPr>
          <w:ilvl w:val="3"/>
          <w:numId w:val="70"/>
        </w:numPr>
        <w:ind w:left="426" w:hanging="426"/>
      </w:pPr>
      <w:r>
        <w:t>按坏账计提方法分类披露</w:t>
      </w:r>
    </w:p>
    <w:bookmarkStart w:id="187" w:name="_Hlk533596246" w:displacedByCustomXml="next"/>
    <w:sdt>
      <w:sdtPr>
        <w:alias w:val="是否适用：应收票据按坏账计提方法分类披露[双击切换]"/>
        <w:tag w:val="_GBC_806abc31b942462ba4b46f92c99312a5"/>
        <w:id w:val="-475146095"/>
        <w:placeholder>
          <w:docPart w:val="GBC22222222222222222222222222222"/>
        </w:placeholder>
      </w:sdtPr>
      <w:sdtEndPr/>
      <w:sdtContent>
        <w:p w14:paraId="63F0CAE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A4F795" w14:textId="77777777" w:rsidR="00E57DAA" w:rsidRDefault="00AC4185" w:rsidP="00C25422">
      <w:pPr>
        <w:pStyle w:val="73"/>
        <w:ind w:firstLine="400"/>
      </w:pPr>
      <w:r>
        <w:rPr>
          <w:rFonts w:hint="eastAsia"/>
        </w:rPr>
        <w:t>单位：</w:t>
      </w:r>
      <w:sdt>
        <w:sdtPr>
          <w:rPr>
            <w:rFonts w:hint="eastAsia"/>
          </w:rPr>
          <w:alias w:val="单位：应收票据按坏账计提方法分类披露"/>
          <w:tag w:val="_GBC_be165eaa47f341218b4ab4aaaa9f9b65"/>
          <w:id w:val="-16936038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应收票据按坏账计提方法分类披露"/>
          <w:tag w:val="_GBC_601e6cb0999d4fd599cfcacf79d2aa28"/>
          <w:id w:val="-18836964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1581"/>
        <w:gridCol w:w="845"/>
        <w:gridCol w:w="1161"/>
        <w:gridCol w:w="636"/>
        <w:gridCol w:w="1582"/>
        <w:gridCol w:w="1581"/>
        <w:gridCol w:w="845"/>
        <w:gridCol w:w="1476"/>
        <w:gridCol w:w="796"/>
        <w:gridCol w:w="1581"/>
      </w:tblGrid>
      <w:tr w:rsidR="00E57DAA" w14:paraId="68D8D8CF" w14:textId="77777777">
        <w:trPr>
          <w:cantSplit/>
          <w:trHeight w:val="259"/>
        </w:trPr>
        <w:bookmarkEnd w:id="187" w:displacedByCustomXml="next"/>
        <w:bookmarkStart w:id="188" w:name="_Hlk533511527" w:displacedByCustomXml="next"/>
        <w:sdt>
          <w:sdtPr>
            <w:tag w:val="_PLD_694877484ae448bcbdceead91da15b38"/>
            <w:id w:val="-1112196118"/>
          </w:sdtPr>
          <w:sdtEndPr/>
          <w:sdtContent>
            <w:tc>
              <w:tcPr>
                <w:tcW w:w="642" w:type="pct"/>
                <w:vMerge w:val="restart"/>
                <w:tcBorders>
                  <w:top w:val="single" w:sz="4" w:space="0" w:color="auto"/>
                  <w:left w:val="single" w:sz="4" w:space="0" w:color="auto"/>
                  <w:right w:val="single" w:sz="4" w:space="0" w:color="auto"/>
                </w:tcBorders>
                <w:vAlign w:val="center"/>
              </w:tcPr>
              <w:p w14:paraId="7EBAC5AC" w14:textId="77777777" w:rsidR="00E57DAA" w:rsidRDefault="00AC4185">
                <w:pPr>
                  <w:jc w:val="center"/>
                  <w:rPr>
                    <w:szCs w:val="21"/>
                  </w:rPr>
                </w:pPr>
                <w:r>
                  <w:rPr>
                    <w:rFonts w:hint="eastAsia"/>
                    <w:szCs w:val="21"/>
                  </w:rPr>
                  <w:t>类别</w:t>
                </w:r>
              </w:p>
            </w:tc>
          </w:sdtContent>
        </w:sdt>
        <w:sdt>
          <w:sdtPr>
            <w:tag w:val="_PLD_fafb5208264e4d4bb8e6b267fb648c20"/>
            <w:id w:val="-767005247"/>
          </w:sdtPr>
          <w:sdtEndPr/>
          <w:sdtContent>
            <w:tc>
              <w:tcPr>
                <w:tcW w:w="2094" w:type="pct"/>
                <w:gridSpan w:val="5"/>
                <w:tcBorders>
                  <w:top w:val="single" w:sz="4" w:space="0" w:color="auto"/>
                  <w:left w:val="single" w:sz="4" w:space="0" w:color="auto"/>
                  <w:right w:val="single" w:sz="4" w:space="0" w:color="auto"/>
                </w:tcBorders>
                <w:vAlign w:val="center"/>
              </w:tcPr>
              <w:p w14:paraId="5E3E60AD"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205b68975c546be850548a72e9a6054"/>
            <w:id w:val="-510216781"/>
          </w:sdtPr>
          <w:sdtEndPr/>
          <w:sdtContent>
            <w:tc>
              <w:tcPr>
                <w:tcW w:w="2265" w:type="pct"/>
                <w:gridSpan w:val="5"/>
                <w:tcBorders>
                  <w:top w:val="single" w:sz="4" w:space="0" w:color="auto"/>
                  <w:left w:val="single" w:sz="4" w:space="0" w:color="auto"/>
                  <w:right w:val="single" w:sz="4" w:space="0" w:color="auto"/>
                </w:tcBorders>
                <w:vAlign w:val="center"/>
              </w:tcPr>
              <w:p w14:paraId="1A0FBD2B"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4CB845F8" w14:textId="77777777">
        <w:trPr>
          <w:cantSplit/>
          <w:trHeight w:val="227"/>
        </w:trPr>
        <w:tc>
          <w:tcPr>
            <w:tcW w:w="642" w:type="pct"/>
            <w:vMerge/>
            <w:tcBorders>
              <w:left w:val="single" w:sz="4" w:space="0" w:color="auto"/>
              <w:right w:val="single" w:sz="4" w:space="0" w:color="auto"/>
            </w:tcBorders>
            <w:vAlign w:val="center"/>
          </w:tcPr>
          <w:p w14:paraId="62027442" w14:textId="77777777" w:rsidR="00E57DAA" w:rsidRDefault="00E57DAA">
            <w:pPr>
              <w:rPr>
                <w:szCs w:val="21"/>
              </w:rPr>
            </w:pPr>
          </w:p>
        </w:tc>
        <w:sdt>
          <w:sdtPr>
            <w:tag w:val="_PLD_7056cf81ea5945de8de7b1a9d0e25fd7"/>
            <w:id w:val="-80372197"/>
          </w:sdtPr>
          <w:sdtEndPr/>
          <w:sdtContent>
            <w:tc>
              <w:tcPr>
                <w:tcW w:w="875" w:type="pct"/>
                <w:gridSpan w:val="2"/>
                <w:tcBorders>
                  <w:top w:val="single" w:sz="4" w:space="0" w:color="auto"/>
                  <w:left w:val="single" w:sz="4" w:space="0" w:color="auto"/>
                  <w:bottom w:val="single" w:sz="4" w:space="0" w:color="auto"/>
                  <w:right w:val="single" w:sz="4" w:space="0" w:color="auto"/>
                </w:tcBorders>
                <w:vAlign w:val="center"/>
              </w:tcPr>
              <w:p w14:paraId="1332F9DF" w14:textId="77777777" w:rsidR="00E57DAA" w:rsidRDefault="00AC4185">
                <w:pPr>
                  <w:jc w:val="center"/>
                  <w:rPr>
                    <w:szCs w:val="21"/>
                  </w:rPr>
                </w:pPr>
                <w:r>
                  <w:rPr>
                    <w:rFonts w:hint="eastAsia"/>
                    <w:szCs w:val="21"/>
                  </w:rPr>
                  <w:t>账面余额</w:t>
                </w:r>
              </w:p>
            </w:tc>
          </w:sdtContent>
        </w:sdt>
        <w:sdt>
          <w:sdtPr>
            <w:tag w:val="_PLD_34f16de3fbfe4d57907bcde799e70cf5"/>
            <w:id w:val="-453168337"/>
          </w:sdtPr>
          <w:sdtEndPr/>
          <w:sdtContent>
            <w:tc>
              <w:tcPr>
                <w:tcW w:w="648" w:type="pct"/>
                <w:gridSpan w:val="2"/>
                <w:tcBorders>
                  <w:top w:val="single" w:sz="4" w:space="0" w:color="auto"/>
                  <w:left w:val="single" w:sz="4" w:space="0" w:color="auto"/>
                  <w:bottom w:val="single" w:sz="4" w:space="0" w:color="auto"/>
                  <w:right w:val="single" w:sz="4" w:space="0" w:color="auto"/>
                </w:tcBorders>
                <w:vAlign w:val="center"/>
              </w:tcPr>
              <w:p w14:paraId="25A89716" w14:textId="77777777" w:rsidR="00E57DAA" w:rsidRDefault="00AC4185">
                <w:pPr>
                  <w:jc w:val="center"/>
                  <w:rPr>
                    <w:szCs w:val="21"/>
                  </w:rPr>
                </w:pPr>
                <w:r>
                  <w:rPr>
                    <w:rFonts w:hint="eastAsia"/>
                    <w:szCs w:val="21"/>
                  </w:rPr>
                  <w:t>坏账准备</w:t>
                </w:r>
              </w:p>
            </w:tc>
          </w:sdtContent>
        </w:sdt>
        <w:sdt>
          <w:sdtPr>
            <w:tag w:val="_PLD_cd77106f5f004386a9ab2d4ac038ed51"/>
            <w:id w:val="624431839"/>
          </w:sdtPr>
          <w:sdtEndPr/>
          <w:sdtContent>
            <w:tc>
              <w:tcPr>
                <w:tcW w:w="570" w:type="pct"/>
                <w:vMerge w:val="restart"/>
                <w:tcBorders>
                  <w:top w:val="single" w:sz="4" w:space="0" w:color="auto"/>
                  <w:left w:val="single" w:sz="4" w:space="0" w:color="auto"/>
                  <w:right w:val="single" w:sz="4" w:space="0" w:color="auto"/>
                </w:tcBorders>
                <w:vAlign w:val="center"/>
              </w:tcPr>
              <w:p w14:paraId="4FB8EDE0" w14:textId="77777777" w:rsidR="00E57DAA" w:rsidRDefault="00AC4185">
                <w:pPr>
                  <w:jc w:val="center"/>
                  <w:rPr>
                    <w:szCs w:val="21"/>
                  </w:rPr>
                </w:pPr>
                <w:r>
                  <w:rPr>
                    <w:rFonts w:hint="eastAsia"/>
                    <w:szCs w:val="21"/>
                  </w:rPr>
                  <w:t>账面</w:t>
                </w:r>
              </w:p>
              <w:p w14:paraId="048A7DC6" w14:textId="77777777" w:rsidR="00E57DAA" w:rsidRDefault="00AC4185">
                <w:pPr>
                  <w:jc w:val="center"/>
                  <w:rPr>
                    <w:szCs w:val="21"/>
                  </w:rPr>
                </w:pPr>
                <w:r>
                  <w:rPr>
                    <w:rFonts w:hint="eastAsia"/>
                    <w:szCs w:val="21"/>
                  </w:rPr>
                  <w:t>价值</w:t>
                </w:r>
              </w:p>
            </w:tc>
          </w:sdtContent>
        </w:sdt>
        <w:sdt>
          <w:sdtPr>
            <w:tag w:val="_PLD_f426e0de2bf0466d9f5f3a3cac025942"/>
            <w:id w:val="1025900425"/>
          </w:sdtPr>
          <w:sdtEndPr/>
          <w:sdtContent>
            <w:tc>
              <w:tcPr>
                <w:tcW w:w="875" w:type="pct"/>
                <w:gridSpan w:val="2"/>
                <w:tcBorders>
                  <w:top w:val="single" w:sz="4" w:space="0" w:color="auto"/>
                  <w:left w:val="single" w:sz="4" w:space="0" w:color="auto"/>
                  <w:right w:val="single" w:sz="4" w:space="0" w:color="auto"/>
                </w:tcBorders>
                <w:vAlign w:val="center"/>
              </w:tcPr>
              <w:p w14:paraId="5007CEC6" w14:textId="77777777" w:rsidR="00E57DAA" w:rsidRDefault="00AC4185">
                <w:pPr>
                  <w:jc w:val="center"/>
                  <w:rPr>
                    <w:szCs w:val="21"/>
                  </w:rPr>
                </w:pPr>
                <w:r>
                  <w:rPr>
                    <w:rFonts w:hint="eastAsia"/>
                    <w:szCs w:val="21"/>
                  </w:rPr>
                  <w:t>账面余额</w:t>
                </w:r>
              </w:p>
            </w:tc>
          </w:sdtContent>
        </w:sdt>
        <w:sdt>
          <w:sdtPr>
            <w:tag w:val="_PLD_42ed37b6856f4ff3b7f03ee8855d758a"/>
            <w:id w:val="-1648513515"/>
          </w:sdtPr>
          <w:sdtEndPr/>
          <w:sdtContent>
            <w:tc>
              <w:tcPr>
                <w:tcW w:w="819" w:type="pct"/>
                <w:gridSpan w:val="2"/>
                <w:tcBorders>
                  <w:top w:val="single" w:sz="4" w:space="0" w:color="auto"/>
                  <w:left w:val="single" w:sz="4" w:space="0" w:color="auto"/>
                  <w:right w:val="single" w:sz="4" w:space="0" w:color="auto"/>
                </w:tcBorders>
                <w:vAlign w:val="center"/>
              </w:tcPr>
              <w:p w14:paraId="56946476" w14:textId="77777777" w:rsidR="00E57DAA" w:rsidRDefault="00AC4185">
                <w:pPr>
                  <w:jc w:val="center"/>
                  <w:rPr>
                    <w:szCs w:val="21"/>
                  </w:rPr>
                </w:pPr>
                <w:r>
                  <w:rPr>
                    <w:rFonts w:hint="eastAsia"/>
                    <w:szCs w:val="21"/>
                  </w:rPr>
                  <w:t>坏账准备</w:t>
                </w:r>
              </w:p>
            </w:tc>
          </w:sdtContent>
        </w:sdt>
        <w:sdt>
          <w:sdtPr>
            <w:tag w:val="_PLD_f82bf84717ad44b1847dfdc19cbcf7f8"/>
            <w:id w:val="-889183621"/>
          </w:sdtPr>
          <w:sdtEndPr/>
          <w:sdtContent>
            <w:tc>
              <w:tcPr>
                <w:tcW w:w="570" w:type="pct"/>
                <w:vMerge w:val="restart"/>
                <w:tcBorders>
                  <w:top w:val="single" w:sz="4" w:space="0" w:color="auto"/>
                  <w:left w:val="single" w:sz="4" w:space="0" w:color="auto"/>
                  <w:right w:val="single" w:sz="4" w:space="0" w:color="auto"/>
                </w:tcBorders>
                <w:vAlign w:val="center"/>
              </w:tcPr>
              <w:p w14:paraId="15DED73D" w14:textId="77777777" w:rsidR="00E57DAA" w:rsidRDefault="00AC4185">
                <w:pPr>
                  <w:jc w:val="center"/>
                  <w:rPr>
                    <w:szCs w:val="21"/>
                  </w:rPr>
                </w:pPr>
                <w:r>
                  <w:rPr>
                    <w:rFonts w:hint="eastAsia"/>
                    <w:szCs w:val="21"/>
                  </w:rPr>
                  <w:t>账面</w:t>
                </w:r>
              </w:p>
              <w:p w14:paraId="20F406DE" w14:textId="77777777" w:rsidR="00E57DAA" w:rsidRDefault="00AC4185">
                <w:pPr>
                  <w:jc w:val="center"/>
                  <w:rPr>
                    <w:szCs w:val="21"/>
                  </w:rPr>
                </w:pPr>
                <w:r>
                  <w:rPr>
                    <w:rFonts w:hint="eastAsia"/>
                    <w:szCs w:val="21"/>
                  </w:rPr>
                  <w:t>价值</w:t>
                </w:r>
              </w:p>
            </w:tc>
          </w:sdtContent>
        </w:sdt>
      </w:tr>
      <w:tr w:rsidR="00E57DAA" w14:paraId="3CA3F3BA" w14:textId="77777777">
        <w:trPr>
          <w:cantSplit/>
          <w:trHeight w:val="375"/>
        </w:trPr>
        <w:tc>
          <w:tcPr>
            <w:tcW w:w="642" w:type="pct"/>
            <w:vMerge/>
            <w:tcBorders>
              <w:left w:val="single" w:sz="4" w:space="0" w:color="auto"/>
              <w:bottom w:val="single" w:sz="4" w:space="0" w:color="auto"/>
              <w:right w:val="single" w:sz="4" w:space="0" w:color="auto"/>
            </w:tcBorders>
            <w:vAlign w:val="center"/>
          </w:tcPr>
          <w:p w14:paraId="54611455" w14:textId="77777777" w:rsidR="00E57DAA" w:rsidRDefault="00E57DAA">
            <w:pPr>
              <w:rPr>
                <w:szCs w:val="21"/>
              </w:rPr>
            </w:pPr>
          </w:p>
        </w:tc>
        <w:sdt>
          <w:sdtPr>
            <w:tag w:val="_PLD_aa10a65b20404088a51399b13bc1f8a5"/>
            <w:id w:val="376520917"/>
          </w:sdtPr>
          <w:sdtEndPr/>
          <w:sdtContent>
            <w:tc>
              <w:tcPr>
                <w:tcW w:w="570" w:type="pct"/>
                <w:tcBorders>
                  <w:left w:val="single" w:sz="4" w:space="0" w:color="auto"/>
                  <w:bottom w:val="single" w:sz="4" w:space="0" w:color="auto"/>
                  <w:right w:val="single" w:sz="4" w:space="0" w:color="auto"/>
                </w:tcBorders>
                <w:vAlign w:val="center"/>
              </w:tcPr>
              <w:p w14:paraId="2B55E788" w14:textId="77777777" w:rsidR="00E57DAA" w:rsidRDefault="00AC4185">
                <w:pPr>
                  <w:jc w:val="center"/>
                  <w:rPr>
                    <w:szCs w:val="21"/>
                  </w:rPr>
                </w:pPr>
                <w:r>
                  <w:rPr>
                    <w:rFonts w:hint="eastAsia"/>
                    <w:szCs w:val="21"/>
                  </w:rPr>
                  <w:t>金额</w:t>
                </w:r>
              </w:p>
            </w:tc>
          </w:sdtContent>
        </w:sdt>
        <w:sdt>
          <w:sdtPr>
            <w:tag w:val="_PLD_5ca29603eb73434e9c2b6a938262bcf4"/>
            <w:id w:val="-2007809373"/>
          </w:sdtPr>
          <w:sdtEndPr/>
          <w:sdtContent>
            <w:tc>
              <w:tcPr>
                <w:tcW w:w="305" w:type="pct"/>
                <w:tcBorders>
                  <w:left w:val="single" w:sz="4" w:space="0" w:color="auto"/>
                  <w:bottom w:val="single" w:sz="4" w:space="0" w:color="auto"/>
                  <w:right w:val="single" w:sz="4" w:space="0" w:color="auto"/>
                </w:tcBorders>
                <w:vAlign w:val="center"/>
              </w:tcPr>
              <w:p w14:paraId="19A02067" w14:textId="77777777" w:rsidR="00E57DAA" w:rsidRDefault="00AC4185">
                <w:pPr>
                  <w:jc w:val="center"/>
                  <w:rPr>
                    <w:szCs w:val="21"/>
                  </w:rPr>
                </w:pPr>
                <w:r>
                  <w:rPr>
                    <w:rFonts w:hint="eastAsia"/>
                    <w:szCs w:val="21"/>
                  </w:rPr>
                  <w:t>比例</w:t>
                </w:r>
                <w:r>
                  <w:rPr>
                    <w:szCs w:val="21"/>
                  </w:rPr>
                  <w:t>(%)</w:t>
                </w:r>
              </w:p>
            </w:tc>
          </w:sdtContent>
        </w:sdt>
        <w:sdt>
          <w:sdtPr>
            <w:tag w:val="_PLD_6964d79d10954e17b7bb61b577242def"/>
            <w:id w:val="-1126997407"/>
          </w:sdtPr>
          <w:sdtEndPr/>
          <w:sdtContent>
            <w:tc>
              <w:tcPr>
                <w:tcW w:w="419" w:type="pct"/>
                <w:tcBorders>
                  <w:left w:val="single" w:sz="4" w:space="0" w:color="auto"/>
                  <w:bottom w:val="single" w:sz="4" w:space="0" w:color="auto"/>
                  <w:right w:val="single" w:sz="4" w:space="0" w:color="auto"/>
                </w:tcBorders>
                <w:vAlign w:val="center"/>
              </w:tcPr>
              <w:p w14:paraId="2F07DAA6" w14:textId="77777777" w:rsidR="00E57DAA" w:rsidRDefault="00AC4185">
                <w:pPr>
                  <w:jc w:val="center"/>
                  <w:rPr>
                    <w:szCs w:val="21"/>
                  </w:rPr>
                </w:pPr>
                <w:r>
                  <w:rPr>
                    <w:rFonts w:hint="eastAsia"/>
                    <w:szCs w:val="21"/>
                  </w:rPr>
                  <w:t>金额</w:t>
                </w:r>
              </w:p>
            </w:tc>
          </w:sdtContent>
        </w:sdt>
        <w:sdt>
          <w:sdtPr>
            <w:tag w:val="_PLD_3b8eaa1922a244bea17eec1b5b1e71f7"/>
            <w:id w:val="-2059239591"/>
          </w:sdtPr>
          <w:sdtEndPr/>
          <w:sdtContent>
            <w:tc>
              <w:tcPr>
                <w:tcW w:w="229" w:type="pct"/>
                <w:tcBorders>
                  <w:left w:val="single" w:sz="4" w:space="0" w:color="auto"/>
                  <w:bottom w:val="single" w:sz="4" w:space="0" w:color="auto"/>
                  <w:right w:val="single" w:sz="4" w:space="0" w:color="auto"/>
                </w:tcBorders>
                <w:vAlign w:val="center"/>
              </w:tcPr>
              <w:p w14:paraId="5B5BD3DE" w14:textId="77777777" w:rsidR="00E57DAA" w:rsidRDefault="00AC4185">
                <w:pPr>
                  <w:jc w:val="center"/>
                  <w:rPr>
                    <w:szCs w:val="21"/>
                  </w:rPr>
                </w:pPr>
                <w:r>
                  <w:rPr>
                    <w:rFonts w:hint="eastAsia"/>
                    <w:szCs w:val="21"/>
                  </w:rPr>
                  <w:t>计提比例</w:t>
                </w:r>
                <w:r>
                  <w:rPr>
                    <w:szCs w:val="21"/>
                  </w:rPr>
                  <w:t>(%)</w:t>
                </w:r>
              </w:p>
            </w:tc>
          </w:sdtContent>
        </w:sdt>
        <w:tc>
          <w:tcPr>
            <w:tcW w:w="570" w:type="pct"/>
            <w:vMerge/>
            <w:tcBorders>
              <w:left w:val="single" w:sz="4" w:space="0" w:color="auto"/>
              <w:bottom w:val="single" w:sz="4" w:space="0" w:color="auto"/>
              <w:right w:val="single" w:sz="4" w:space="0" w:color="auto"/>
            </w:tcBorders>
            <w:vAlign w:val="center"/>
          </w:tcPr>
          <w:p w14:paraId="6CDBC303" w14:textId="77777777" w:rsidR="00E57DAA" w:rsidRDefault="00E57DAA">
            <w:pPr>
              <w:jc w:val="center"/>
              <w:rPr>
                <w:szCs w:val="21"/>
              </w:rPr>
            </w:pPr>
          </w:p>
        </w:tc>
        <w:sdt>
          <w:sdtPr>
            <w:tag w:val="_PLD_2643b99ff0364343807a178f0f8dd5da"/>
            <w:id w:val="-580517769"/>
          </w:sdtPr>
          <w:sdtEndPr/>
          <w:sdtContent>
            <w:tc>
              <w:tcPr>
                <w:tcW w:w="570" w:type="pct"/>
                <w:tcBorders>
                  <w:left w:val="single" w:sz="4" w:space="0" w:color="auto"/>
                  <w:bottom w:val="single" w:sz="4" w:space="0" w:color="auto"/>
                  <w:right w:val="single" w:sz="4" w:space="0" w:color="auto"/>
                </w:tcBorders>
                <w:vAlign w:val="center"/>
              </w:tcPr>
              <w:p w14:paraId="45D5425A" w14:textId="77777777" w:rsidR="00E57DAA" w:rsidRDefault="00AC4185">
                <w:pPr>
                  <w:jc w:val="center"/>
                  <w:rPr>
                    <w:szCs w:val="21"/>
                  </w:rPr>
                </w:pPr>
                <w:r>
                  <w:rPr>
                    <w:rFonts w:hint="eastAsia"/>
                    <w:szCs w:val="21"/>
                  </w:rPr>
                  <w:t>金额</w:t>
                </w:r>
              </w:p>
            </w:tc>
          </w:sdtContent>
        </w:sdt>
        <w:sdt>
          <w:sdtPr>
            <w:tag w:val="_PLD_889230571c2941e88f231f43b4b8a99e"/>
            <w:id w:val="611945864"/>
          </w:sdtPr>
          <w:sdtEndPr/>
          <w:sdtContent>
            <w:tc>
              <w:tcPr>
                <w:tcW w:w="305" w:type="pct"/>
                <w:tcBorders>
                  <w:left w:val="single" w:sz="4" w:space="0" w:color="auto"/>
                  <w:bottom w:val="single" w:sz="4" w:space="0" w:color="auto"/>
                  <w:right w:val="single" w:sz="4" w:space="0" w:color="auto"/>
                </w:tcBorders>
                <w:vAlign w:val="center"/>
              </w:tcPr>
              <w:p w14:paraId="215F3EB4" w14:textId="77777777" w:rsidR="00E57DAA" w:rsidRDefault="00AC4185">
                <w:pPr>
                  <w:jc w:val="center"/>
                  <w:rPr>
                    <w:szCs w:val="21"/>
                  </w:rPr>
                </w:pPr>
                <w:r>
                  <w:rPr>
                    <w:rFonts w:hint="eastAsia"/>
                    <w:szCs w:val="21"/>
                  </w:rPr>
                  <w:t>比例</w:t>
                </w:r>
                <w:r>
                  <w:rPr>
                    <w:szCs w:val="21"/>
                  </w:rPr>
                  <w:t>(%)</w:t>
                </w:r>
              </w:p>
            </w:tc>
          </w:sdtContent>
        </w:sdt>
        <w:sdt>
          <w:sdtPr>
            <w:tag w:val="_PLD_e1c946a6d26548c493697d23050b8325"/>
            <w:id w:val="-15623043"/>
          </w:sdtPr>
          <w:sdtEndPr/>
          <w:sdtContent>
            <w:tc>
              <w:tcPr>
                <w:tcW w:w="532" w:type="pct"/>
                <w:tcBorders>
                  <w:left w:val="single" w:sz="4" w:space="0" w:color="auto"/>
                  <w:bottom w:val="single" w:sz="4" w:space="0" w:color="auto"/>
                  <w:right w:val="single" w:sz="4" w:space="0" w:color="auto"/>
                </w:tcBorders>
                <w:vAlign w:val="center"/>
              </w:tcPr>
              <w:p w14:paraId="5DF54838" w14:textId="77777777" w:rsidR="00E57DAA" w:rsidRDefault="00AC4185">
                <w:pPr>
                  <w:jc w:val="center"/>
                  <w:rPr>
                    <w:szCs w:val="21"/>
                  </w:rPr>
                </w:pPr>
                <w:r>
                  <w:rPr>
                    <w:rFonts w:hint="eastAsia"/>
                    <w:szCs w:val="21"/>
                  </w:rPr>
                  <w:t>金额</w:t>
                </w:r>
              </w:p>
            </w:tc>
          </w:sdtContent>
        </w:sdt>
        <w:sdt>
          <w:sdtPr>
            <w:tag w:val="_PLD_8bfda0f6261147ccb519211fb86f82f6"/>
            <w:id w:val="-1223668982"/>
          </w:sdtPr>
          <w:sdtEndPr/>
          <w:sdtContent>
            <w:tc>
              <w:tcPr>
                <w:tcW w:w="287" w:type="pct"/>
                <w:tcBorders>
                  <w:left w:val="single" w:sz="4" w:space="0" w:color="auto"/>
                  <w:bottom w:val="single" w:sz="4" w:space="0" w:color="auto"/>
                  <w:right w:val="single" w:sz="4" w:space="0" w:color="auto"/>
                </w:tcBorders>
                <w:vAlign w:val="center"/>
              </w:tcPr>
              <w:p w14:paraId="25E07B77" w14:textId="77777777" w:rsidR="00E57DAA" w:rsidRDefault="00AC4185">
                <w:pPr>
                  <w:jc w:val="center"/>
                  <w:rPr>
                    <w:szCs w:val="21"/>
                  </w:rPr>
                </w:pPr>
                <w:r>
                  <w:rPr>
                    <w:rFonts w:hint="eastAsia"/>
                    <w:szCs w:val="21"/>
                  </w:rPr>
                  <w:t>计提比例</w:t>
                </w:r>
                <w:r>
                  <w:rPr>
                    <w:szCs w:val="21"/>
                  </w:rPr>
                  <w:t>(%)</w:t>
                </w:r>
              </w:p>
            </w:tc>
          </w:sdtContent>
        </w:sdt>
        <w:tc>
          <w:tcPr>
            <w:tcW w:w="570" w:type="pct"/>
            <w:vMerge/>
            <w:tcBorders>
              <w:left w:val="single" w:sz="4" w:space="0" w:color="auto"/>
              <w:bottom w:val="single" w:sz="4" w:space="0" w:color="auto"/>
              <w:right w:val="single" w:sz="4" w:space="0" w:color="auto"/>
            </w:tcBorders>
          </w:tcPr>
          <w:p w14:paraId="2FED4605" w14:textId="77777777" w:rsidR="00E57DAA" w:rsidRDefault="00E57DAA">
            <w:pPr>
              <w:jc w:val="center"/>
              <w:rPr>
                <w:szCs w:val="21"/>
              </w:rPr>
            </w:pPr>
          </w:p>
        </w:tc>
      </w:tr>
      <w:tr w:rsidR="00E57DAA" w14:paraId="18B211A3" w14:textId="77777777">
        <w:trPr>
          <w:cantSplit/>
        </w:trPr>
        <w:tc>
          <w:tcPr>
            <w:tcW w:w="642" w:type="pct"/>
            <w:tcBorders>
              <w:top w:val="single" w:sz="4" w:space="0" w:color="auto"/>
              <w:left w:val="single" w:sz="4" w:space="0" w:color="auto"/>
              <w:bottom w:val="single" w:sz="4" w:space="0" w:color="auto"/>
              <w:right w:val="single" w:sz="4" w:space="0" w:color="auto"/>
            </w:tcBorders>
          </w:tcPr>
          <w:p w14:paraId="78C9EC1A" w14:textId="77777777" w:rsidR="00E57DAA" w:rsidRDefault="00AC4185">
            <w:pPr>
              <w:rPr>
                <w:szCs w:val="21"/>
              </w:rPr>
            </w:pPr>
            <w:r>
              <w:rPr>
                <w:rFonts w:hint="eastAsia"/>
                <w:szCs w:val="21"/>
              </w:rPr>
              <w:t>按组合计提坏账准备</w:t>
            </w:r>
          </w:p>
        </w:tc>
        <w:tc>
          <w:tcPr>
            <w:tcW w:w="570" w:type="pct"/>
            <w:tcBorders>
              <w:top w:val="single" w:sz="4" w:space="0" w:color="auto"/>
              <w:left w:val="single" w:sz="4" w:space="0" w:color="auto"/>
              <w:bottom w:val="single" w:sz="4" w:space="0" w:color="auto"/>
              <w:right w:val="single" w:sz="4" w:space="0" w:color="auto"/>
            </w:tcBorders>
            <w:vAlign w:val="center"/>
          </w:tcPr>
          <w:p w14:paraId="757390DC" w14:textId="77777777" w:rsidR="00E57DAA" w:rsidRDefault="00AC4185">
            <w:pPr>
              <w:jc w:val="right"/>
              <w:rPr>
                <w:szCs w:val="21"/>
              </w:rPr>
            </w:pPr>
            <w:r>
              <w:t>60,006,445.34</w:t>
            </w:r>
          </w:p>
        </w:tc>
        <w:tc>
          <w:tcPr>
            <w:tcW w:w="305" w:type="pct"/>
            <w:tcBorders>
              <w:top w:val="single" w:sz="4" w:space="0" w:color="auto"/>
              <w:left w:val="single" w:sz="4" w:space="0" w:color="auto"/>
              <w:bottom w:val="single" w:sz="4" w:space="0" w:color="auto"/>
              <w:right w:val="single" w:sz="4" w:space="0" w:color="auto"/>
            </w:tcBorders>
            <w:vAlign w:val="center"/>
          </w:tcPr>
          <w:p w14:paraId="6D894C05" w14:textId="77777777" w:rsidR="00E57DAA" w:rsidRDefault="00AC4185">
            <w:pPr>
              <w:jc w:val="right"/>
              <w:rPr>
                <w:szCs w:val="21"/>
              </w:rPr>
            </w:pPr>
            <w:r>
              <w:t>/</w:t>
            </w:r>
          </w:p>
        </w:tc>
        <w:tc>
          <w:tcPr>
            <w:tcW w:w="419" w:type="pct"/>
            <w:tcBorders>
              <w:top w:val="single" w:sz="4" w:space="0" w:color="auto"/>
              <w:left w:val="single" w:sz="4" w:space="0" w:color="auto"/>
              <w:bottom w:val="single" w:sz="4" w:space="0" w:color="auto"/>
              <w:right w:val="single" w:sz="4" w:space="0" w:color="auto"/>
            </w:tcBorders>
            <w:vAlign w:val="center"/>
          </w:tcPr>
          <w:p w14:paraId="47363EA6" w14:textId="77777777" w:rsidR="00E57DAA" w:rsidRDefault="00AC4185">
            <w:pPr>
              <w:jc w:val="right"/>
              <w:rPr>
                <w:szCs w:val="21"/>
              </w:rPr>
            </w:pPr>
            <w:r>
              <w:t>42,162.88</w:t>
            </w:r>
          </w:p>
        </w:tc>
        <w:tc>
          <w:tcPr>
            <w:tcW w:w="229" w:type="pct"/>
            <w:tcBorders>
              <w:top w:val="single" w:sz="4" w:space="0" w:color="auto"/>
              <w:left w:val="single" w:sz="4" w:space="0" w:color="auto"/>
              <w:bottom w:val="single" w:sz="4" w:space="0" w:color="auto"/>
              <w:right w:val="single" w:sz="4" w:space="0" w:color="auto"/>
            </w:tcBorders>
            <w:vAlign w:val="center"/>
          </w:tcPr>
          <w:p w14:paraId="070E3043" w14:textId="77777777" w:rsidR="00E57DAA" w:rsidRDefault="00AC4185">
            <w:pPr>
              <w:jc w:val="right"/>
              <w:rPr>
                <w:szCs w:val="21"/>
              </w:rPr>
            </w:pPr>
            <w:r>
              <w:t>/</w:t>
            </w:r>
          </w:p>
        </w:tc>
        <w:tc>
          <w:tcPr>
            <w:tcW w:w="570" w:type="pct"/>
            <w:tcBorders>
              <w:top w:val="single" w:sz="4" w:space="0" w:color="auto"/>
              <w:left w:val="single" w:sz="4" w:space="0" w:color="auto"/>
              <w:bottom w:val="single" w:sz="4" w:space="0" w:color="auto"/>
              <w:right w:val="single" w:sz="4" w:space="0" w:color="auto"/>
            </w:tcBorders>
            <w:vAlign w:val="center"/>
          </w:tcPr>
          <w:p w14:paraId="465E3888" w14:textId="77777777" w:rsidR="00E57DAA" w:rsidRDefault="00AC4185">
            <w:pPr>
              <w:jc w:val="right"/>
              <w:rPr>
                <w:szCs w:val="21"/>
              </w:rPr>
            </w:pPr>
            <w:r>
              <w:t>59,964,282.46</w:t>
            </w:r>
          </w:p>
        </w:tc>
        <w:tc>
          <w:tcPr>
            <w:tcW w:w="570" w:type="pct"/>
            <w:tcBorders>
              <w:top w:val="single" w:sz="4" w:space="0" w:color="auto"/>
              <w:left w:val="single" w:sz="4" w:space="0" w:color="auto"/>
              <w:bottom w:val="single" w:sz="4" w:space="0" w:color="auto"/>
              <w:right w:val="single" w:sz="4" w:space="0" w:color="auto"/>
            </w:tcBorders>
            <w:vAlign w:val="center"/>
          </w:tcPr>
          <w:p w14:paraId="27AB8A1B" w14:textId="77777777" w:rsidR="00E57DAA" w:rsidRDefault="00AC4185">
            <w:pPr>
              <w:jc w:val="right"/>
              <w:rPr>
                <w:szCs w:val="21"/>
              </w:rPr>
            </w:pPr>
            <w:r>
              <w:t>68,372,793.95</w:t>
            </w:r>
          </w:p>
        </w:tc>
        <w:tc>
          <w:tcPr>
            <w:tcW w:w="305" w:type="pct"/>
            <w:tcBorders>
              <w:top w:val="single" w:sz="4" w:space="0" w:color="auto"/>
              <w:left w:val="single" w:sz="4" w:space="0" w:color="auto"/>
              <w:bottom w:val="single" w:sz="4" w:space="0" w:color="auto"/>
              <w:right w:val="single" w:sz="4" w:space="0" w:color="auto"/>
            </w:tcBorders>
            <w:vAlign w:val="center"/>
          </w:tcPr>
          <w:p w14:paraId="7ADDF955" w14:textId="77777777" w:rsidR="00E57DAA" w:rsidRDefault="00AC4185">
            <w:pPr>
              <w:jc w:val="right"/>
              <w:rPr>
                <w:szCs w:val="21"/>
              </w:rPr>
            </w:pPr>
            <w:r>
              <w:t>/</w:t>
            </w:r>
          </w:p>
        </w:tc>
        <w:tc>
          <w:tcPr>
            <w:tcW w:w="532" w:type="pct"/>
            <w:tcBorders>
              <w:top w:val="single" w:sz="4" w:space="0" w:color="auto"/>
              <w:left w:val="single" w:sz="4" w:space="0" w:color="auto"/>
              <w:bottom w:val="single" w:sz="4" w:space="0" w:color="auto"/>
              <w:right w:val="single" w:sz="4" w:space="0" w:color="auto"/>
            </w:tcBorders>
            <w:vAlign w:val="center"/>
          </w:tcPr>
          <w:p w14:paraId="30B335AE" w14:textId="77777777" w:rsidR="00E57DAA" w:rsidRDefault="00AC4185">
            <w:pPr>
              <w:jc w:val="right"/>
              <w:rPr>
                <w:szCs w:val="21"/>
              </w:rPr>
            </w:pPr>
            <w:r>
              <w:t>1,254,304.69</w:t>
            </w:r>
          </w:p>
        </w:tc>
        <w:tc>
          <w:tcPr>
            <w:tcW w:w="287" w:type="pct"/>
            <w:tcBorders>
              <w:top w:val="single" w:sz="4" w:space="0" w:color="auto"/>
              <w:left w:val="single" w:sz="4" w:space="0" w:color="auto"/>
              <w:bottom w:val="single" w:sz="4" w:space="0" w:color="auto"/>
              <w:right w:val="single" w:sz="4" w:space="0" w:color="auto"/>
            </w:tcBorders>
            <w:vAlign w:val="center"/>
          </w:tcPr>
          <w:p w14:paraId="661F1B2B" w14:textId="77777777" w:rsidR="00E57DAA" w:rsidRDefault="00AC4185">
            <w:pPr>
              <w:jc w:val="right"/>
              <w:rPr>
                <w:szCs w:val="21"/>
              </w:rPr>
            </w:pPr>
            <w:r>
              <w:t>/</w:t>
            </w:r>
          </w:p>
        </w:tc>
        <w:tc>
          <w:tcPr>
            <w:tcW w:w="570" w:type="pct"/>
            <w:tcBorders>
              <w:top w:val="single" w:sz="4" w:space="0" w:color="auto"/>
              <w:left w:val="single" w:sz="4" w:space="0" w:color="auto"/>
              <w:bottom w:val="single" w:sz="4" w:space="0" w:color="auto"/>
              <w:right w:val="single" w:sz="4" w:space="0" w:color="auto"/>
            </w:tcBorders>
            <w:vAlign w:val="center"/>
          </w:tcPr>
          <w:p w14:paraId="52621AFC" w14:textId="77777777" w:rsidR="00E57DAA" w:rsidRDefault="00AC4185">
            <w:pPr>
              <w:jc w:val="right"/>
              <w:rPr>
                <w:szCs w:val="21"/>
              </w:rPr>
            </w:pPr>
            <w:r>
              <w:t>67,118,489.26</w:t>
            </w:r>
          </w:p>
        </w:tc>
      </w:tr>
      <w:tr w:rsidR="00E57DAA" w14:paraId="051C2154" w14:textId="77777777">
        <w:trPr>
          <w:cantSplit/>
        </w:trPr>
        <w:sdt>
          <w:sdtPr>
            <w:tag w:val="_PLD_1b5e68cf63514e05be52ed5144827551"/>
            <w:id w:val="226265876"/>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025B56C3" w14:textId="77777777" w:rsidR="00E57DAA" w:rsidRDefault="00AC4185">
                <w:pPr>
                  <w:rPr>
                    <w:szCs w:val="21"/>
                  </w:rPr>
                </w:pPr>
                <w:r>
                  <w:rPr>
                    <w:rFonts w:hint="eastAsia"/>
                    <w:szCs w:val="21"/>
                  </w:rPr>
                  <w:t>其中：</w:t>
                </w:r>
              </w:p>
            </w:tc>
          </w:sdtContent>
        </w:sdt>
      </w:tr>
      <w:tr w:rsidR="00E57DAA" w14:paraId="1133A4B8" w14:textId="77777777">
        <w:trPr>
          <w:cantSplit/>
        </w:trPr>
        <w:sdt>
          <w:sdtPr>
            <w:rPr>
              <w:szCs w:val="21"/>
            </w:rPr>
            <w:alias w:val="按组合计提坏账准备的应收票据明细-类别"/>
            <w:tag w:val="_GBC_ed7e56cbe7ea453aaa8bd5fc800408c8"/>
            <w:id w:val="-620528115"/>
          </w:sdtPr>
          <w:sdtEndPr/>
          <w:sdtContent>
            <w:tc>
              <w:tcPr>
                <w:tcW w:w="642" w:type="pct"/>
                <w:tcBorders>
                  <w:top w:val="single" w:sz="4" w:space="0" w:color="auto"/>
                  <w:left w:val="single" w:sz="4" w:space="0" w:color="auto"/>
                  <w:bottom w:val="single" w:sz="4" w:space="0" w:color="auto"/>
                  <w:right w:val="single" w:sz="4" w:space="0" w:color="auto"/>
                </w:tcBorders>
              </w:tcPr>
              <w:p w14:paraId="2337469F" w14:textId="77777777" w:rsidR="00E57DAA" w:rsidRDefault="00AC4185">
                <w:pPr>
                  <w:rPr>
                    <w:szCs w:val="21"/>
                  </w:rPr>
                </w:pPr>
                <w:r>
                  <w:rPr>
                    <w:szCs w:val="21"/>
                  </w:rPr>
                  <w:t>银行承兑汇票</w:t>
                </w:r>
              </w:p>
            </w:tc>
          </w:sdtContent>
        </w:sdt>
        <w:tc>
          <w:tcPr>
            <w:tcW w:w="570" w:type="pct"/>
            <w:tcBorders>
              <w:top w:val="single" w:sz="4" w:space="0" w:color="auto"/>
              <w:left w:val="single" w:sz="4" w:space="0" w:color="auto"/>
              <w:bottom w:val="single" w:sz="4" w:space="0" w:color="auto"/>
              <w:right w:val="single" w:sz="4" w:space="0" w:color="auto"/>
            </w:tcBorders>
          </w:tcPr>
          <w:p w14:paraId="1A9D0797" w14:textId="77777777" w:rsidR="00E57DAA" w:rsidRDefault="00AC4185">
            <w:pPr>
              <w:jc w:val="right"/>
              <w:rPr>
                <w:szCs w:val="21"/>
              </w:rPr>
            </w:pPr>
            <w:r>
              <w:t>58,227,421.00</w:t>
            </w:r>
          </w:p>
        </w:tc>
        <w:tc>
          <w:tcPr>
            <w:tcW w:w="305" w:type="pct"/>
            <w:tcBorders>
              <w:top w:val="single" w:sz="4" w:space="0" w:color="auto"/>
              <w:left w:val="single" w:sz="4" w:space="0" w:color="auto"/>
              <w:bottom w:val="single" w:sz="4" w:space="0" w:color="auto"/>
              <w:right w:val="single" w:sz="4" w:space="0" w:color="auto"/>
            </w:tcBorders>
          </w:tcPr>
          <w:p w14:paraId="1538DB2D" w14:textId="77777777" w:rsidR="00E57DAA" w:rsidRDefault="00AC4185">
            <w:pPr>
              <w:jc w:val="right"/>
              <w:rPr>
                <w:szCs w:val="21"/>
              </w:rPr>
            </w:pPr>
            <w:r>
              <w:t>97.04</w:t>
            </w:r>
          </w:p>
        </w:tc>
        <w:tc>
          <w:tcPr>
            <w:tcW w:w="419" w:type="pct"/>
            <w:tcBorders>
              <w:top w:val="single" w:sz="4" w:space="0" w:color="auto"/>
              <w:left w:val="single" w:sz="4" w:space="0" w:color="auto"/>
              <w:bottom w:val="single" w:sz="4" w:space="0" w:color="auto"/>
              <w:right w:val="single" w:sz="4" w:space="0" w:color="auto"/>
            </w:tcBorders>
          </w:tcPr>
          <w:p w14:paraId="413D08BB" w14:textId="77777777" w:rsidR="00E57DAA" w:rsidRDefault="00E57DAA">
            <w:pPr>
              <w:jc w:val="right"/>
              <w:rPr>
                <w:szCs w:val="21"/>
              </w:rPr>
            </w:pPr>
          </w:p>
        </w:tc>
        <w:tc>
          <w:tcPr>
            <w:tcW w:w="229" w:type="pct"/>
            <w:tcBorders>
              <w:top w:val="single" w:sz="4" w:space="0" w:color="auto"/>
              <w:left w:val="single" w:sz="4" w:space="0" w:color="auto"/>
              <w:bottom w:val="single" w:sz="4" w:space="0" w:color="auto"/>
              <w:right w:val="single" w:sz="4" w:space="0" w:color="auto"/>
            </w:tcBorders>
          </w:tcPr>
          <w:p w14:paraId="5D84B2AE" w14:textId="77777777" w:rsidR="00E57DAA" w:rsidRDefault="00E57DAA">
            <w:pPr>
              <w:jc w:val="right"/>
              <w:rPr>
                <w:szCs w:val="21"/>
              </w:rPr>
            </w:pPr>
          </w:p>
        </w:tc>
        <w:tc>
          <w:tcPr>
            <w:tcW w:w="570" w:type="pct"/>
            <w:tcBorders>
              <w:top w:val="single" w:sz="4" w:space="0" w:color="auto"/>
              <w:left w:val="single" w:sz="4" w:space="0" w:color="auto"/>
              <w:bottom w:val="single" w:sz="4" w:space="0" w:color="auto"/>
              <w:right w:val="single" w:sz="4" w:space="0" w:color="auto"/>
            </w:tcBorders>
          </w:tcPr>
          <w:p w14:paraId="46C79CF8" w14:textId="77777777" w:rsidR="00E57DAA" w:rsidRDefault="00AC4185">
            <w:pPr>
              <w:jc w:val="right"/>
              <w:rPr>
                <w:szCs w:val="21"/>
              </w:rPr>
            </w:pPr>
            <w:r>
              <w:t>58,227,421.00</w:t>
            </w:r>
          </w:p>
        </w:tc>
        <w:tc>
          <w:tcPr>
            <w:tcW w:w="570" w:type="pct"/>
            <w:tcBorders>
              <w:top w:val="single" w:sz="4" w:space="0" w:color="auto"/>
              <w:left w:val="single" w:sz="4" w:space="0" w:color="auto"/>
              <w:bottom w:val="single" w:sz="4" w:space="0" w:color="auto"/>
              <w:right w:val="single" w:sz="4" w:space="0" w:color="auto"/>
            </w:tcBorders>
            <w:vAlign w:val="center"/>
          </w:tcPr>
          <w:p w14:paraId="72DDB52D" w14:textId="77777777" w:rsidR="00E57DAA" w:rsidRDefault="00AC4185">
            <w:pPr>
              <w:jc w:val="right"/>
              <w:rPr>
                <w:szCs w:val="21"/>
              </w:rPr>
            </w:pPr>
            <w:r>
              <w:t>35,690,000.00</w:t>
            </w:r>
          </w:p>
        </w:tc>
        <w:tc>
          <w:tcPr>
            <w:tcW w:w="305" w:type="pct"/>
            <w:tcBorders>
              <w:top w:val="single" w:sz="4" w:space="0" w:color="auto"/>
              <w:left w:val="single" w:sz="4" w:space="0" w:color="auto"/>
              <w:bottom w:val="single" w:sz="4" w:space="0" w:color="auto"/>
              <w:right w:val="single" w:sz="4" w:space="0" w:color="auto"/>
            </w:tcBorders>
            <w:vAlign w:val="center"/>
          </w:tcPr>
          <w:p w14:paraId="3E7C6C72" w14:textId="77777777" w:rsidR="00E57DAA" w:rsidRDefault="00AC4185">
            <w:pPr>
              <w:jc w:val="right"/>
              <w:rPr>
                <w:szCs w:val="21"/>
              </w:rPr>
            </w:pPr>
            <w:r>
              <w:t>52.20</w:t>
            </w:r>
          </w:p>
        </w:tc>
        <w:tc>
          <w:tcPr>
            <w:tcW w:w="532" w:type="pct"/>
            <w:tcBorders>
              <w:top w:val="single" w:sz="4" w:space="0" w:color="auto"/>
              <w:left w:val="single" w:sz="4" w:space="0" w:color="auto"/>
              <w:bottom w:val="single" w:sz="4" w:space="0" w:color="auto"/>
              <w:right w:val="single" w:sz="4" w:space="0" w:color="auto"/>
            </w:tcBorders>
            <w:vAlign w:val="center"/>
          </w:tcPr>
          <w:p w14:paraId="465916DF" w14:textId="77777777" w:rsidR="00E57DAA" w:rsidRDefault="00E57DAA">
            <w:pPr>
              <w:jc w:val="right"/>
              <w:rPr>
                <w:szCs w:val="21"/>
              </w:rPr>
            </w:pPr>
          </w:p>
        </w:tc>
        <w:tc>
          <w:tcPr>
            <w:tcW w:w="287" w:type="pct"/>
            <w:tcBorders>
              <w:top w:val="single" w:sz="4" w:space="0" w:color="auto"/>
              <w:left w:val="single" w:sz="4" w:space="0" w:color="auto"/>
              <w:bottom w:val="single" w:sz="4" w:space="0" w:color="auto"/>
              <w:right w:val="single" w:sz="4" w:space="0" w:color="auto"/>
            </w:tcBorders>
            <w:vAlign w:val="center"/>
          </w:tcPr>
          <w:p w14:paraId="62CF5176" w14:textId="77777777" w:rsidR="00E57DAA" w:rsidRDefault="00E57DAA">
            <w:pPr>
              <w:jc w:val="right"/>
              <w:rPr>
                <w:szCs w:val="21"/>
              </w:rPr>
            </w:pPr>
          </w:p>
        </w:tc>
        <w:tc>
          <w:tcPr>
            <w:tcW w:w="570" w:type="pct"/>
            <w:tcBorders>
              <w:top w:val="single" w:sz="4" w:space="0" w:color="auto"/>
              <w:left w:val="single" w:sz="4" w:space="0" w:color="auto"/>
              <w:bottom w:val="single" w:sz="4" w:space="0" w:color="auto"/>
              <w:right w:val="single" w:sz="4" w:space="0" w:color="auto"/>
            </w:tcBorders>
            <w:vAlign w:val="center"/>
          </w:tcPr>
          <w:p w14:paraId="4674FDA6" w14:textId="77777777" w:rsidR="00E57DAA" w:rsidRDefault="00AC4185">
            <w:pPr>
              <w:jc w:val="right"/>
              <w:rPr>
                <w:szCs w:val="21"/>
              </w:rPr>
            </w:pPr>
            <w:r>
              <w:t>35,690,000.00</w:t>
            </w:r>
          </w:p>
        </w:tc>
      </w:tr>
      <w:tr w:rsidR="00E57DAA" w14:paraId="53782C98" w14:textId="77777777">
        <w:trPr>
          <w:cantSplit/>
        </w:trPr>
        <w:sdt>
          <w:sdtPr>
            <w:rPr>
              <w:szCs w:val="21"/>
            </w:rPr>
            <w:alias w:val="按组合计提坏账准备的应收票据明细-类别"/>
            <w:tag w:val="_GBC_ed7e56cbe7ea453aaa8bd5fc800408c8"/>
            <w:id w:val="555519010"/>
          </w:sdtPr>
          <w:sdtEndPr/>
          <w:sdtContent>
            <w:tc>
              <w:tcPr>
                <w:tcW w:w="642" w:type="pct"/>
                <w:tcBorders>
                  <w:top w:val="single" w:sz="4" w:space="0" w:color="auto"/>
                  <w:left w:val="single" w:sz="4" w:space="0" w:color="auto"/>
                  <w:bottom w:val="single" w:sz="4" w:space="0" w:color="auto"/>
                  <w:right w:val="single" w:sz="4" w:space="0" w:color="auto"/>
                </w:tcBorders>
              </w:tcPr>
              <w:p w14:paraId="0542F167" w14:textId="77777777" w:rsidR="00E57DAA" w:rsidRDefault="00AC4185">
                <w:pPr>
                  <w:rPr>
                    <w:szCs w:val="21"/>
                  </w:rPr>
                </w:pPr>
                <w:r>
                  <w:rPr>
                    <w:szCs w:val="21"/>
                  </w:rPr>
                  <w:t>商业承兑汇票</w:t>
                </w:r>
              </w:p>
            </w:tc>
          </w:sdtContent>
        </w:sdt>
        <w:tc>
          <w:tcPr>
            <w:tcW w:w="570" w:type="pct"/>
            <w:tcBorders>
              <w:top w:val="single" w:sz="4" w:space="0" w:color="auto"/>
              <w:left w:val="single" w:sz="4" w:space="0" w:color="auto"/>
              <w:bottom w:val="single" w:sz="4" w:space="0" w:color="auto"/>
              <w:right w:val="single" w:sz="4" w:space="0" w:color="auto"/>
            </w:tcBorders>
          </w:tcPr>
          <w:p w14:paraId="7433A5A0" w14:textId="77777777" w:rsidR="00E57DAA" w:rsidRDefault="00AC4185">
            <w:pPr>
              <w:jc w:val="right"/>
              <w:rPr>
                <w:szCs w:val="21"/>
              </w:rPr>
            </w:pPr>
            <w:r>
              <w:t>1,779,024.34</w:t>
            </w:r>
          </w:p>
        </w:tc>
        <w:tc>
          <w:tcPr>
            <w:tcW w:w="305" w:type="pct"/>
            <w:tcBorders>
              <w:top w:val="single" w:sz="4" w:space="0" w:color="auto"/>
              <w:left w:val="single" w:sz="4" w:space="0" w:color="auto"/>
              <w:bottom w:val="single" w:sz="4" w:space="0" w:color="auto"/>
              <w:right w:val="single" w:sz="4" w:space="0" w:color="auto"/>
            </w:tcBorders>
          </w:tcPr>
          <w:p w14:paraId="7C65E794" w14:textId="77777777" w:rsidR="00E57DAA" w:rsidRDefault="00AC4185">
            <w:pPr>
              <w:jc w:val="right"/>
              <w:rPr>
                <w:szCs w:val="21"/>
              </w:rPr>
            </w:pPr>
            <w:r>
              <w:t>2.96</w:t>
            </w:r>
          </w:p>
        </w:tc>
        <w:tc>
          <w:tcPr>
            <w:tcW w:w="419" w:type="pct"/>
            <w:tcBorders>
              <w:top w:val="single" w:sz="4" w:space="0" w:color="auto"/>
              <w:left w:val="single" w:sz="4" w:space="0" w:color="auto"/>
              <w:bottom w:val="single" w:sz="4" w:space="0" w:color="auto"/>
              <w:right w:val="single" w:sz="4" w:space="0" w:color="auto"/>
            </w:tcBorders>
          </w:tcPr>
          <w:p w14:paraId="6C720DBA" w14:textId="77777777" w:rsidR="00E57DAA" w:rsidRDefault="00AC4185">
            <w:pPr>
              <w:jc w:val="right"/>
              <w:rPr>
                <w:szCs w:val="21"/>
              </w:rPr>
            </w:pPr>
            <w:r>
              <w:t>42,162.88</w:t>
            </w:r>
          </w:p>
        </w:tc>
        <w:tc>
          <w:tcPr>
            <w:tcW w:w="229" w:type="pct"/>
            <w:tcBorders>
              <w:top w:val="single" w:sz="4" w:space="0" w:color="auto"/>
              <w:left w:val="single" w:sz="4" w:space="0" w:color="auto"/>
              <w:bottom w:val="single" w:sz="4" w:space="0" w:color="auto"/>
              <w:right w:val="single" w:sz="4" w:space="0" w:color="auto"/>
            </w:tcBorders>
          </w:tcPr>
          <w:p w14:paraId="6E85873D" w14:textId="77777777" w:rsidR="00E57DAA" w:rsidRDefault="00AC4185">
            <w:pPr>
              <w:jc w:val="right"/>
              <w:rPr>
                <w:szCs w:val="21"/>
              </w:rPr>
            </w:pPr>
            <w:r>
              <w:t>2.37</w:t>
            </w:r>
          </w:p>
        </w:tc>
        <w:tc>
          <w:tcPr>
            <w:tcW w:w="570" w:type="pct"/>
            <w:tcBorders>
              <w:top w:val="single" w:sz="4" w:space="0" w:color="auto"/>
              <w:left w:val="single" w:sz="4" w:space="0" w:color="auto"/>
              <w:bottom w:val="single" w:sz="4" w:space="0" w:color="auto"/>
              <w:right w:val="single" w:sz="4" w:space="0" w:color="auto"/>
            </w:tcBorders>
          </w:tcPr>
          <w:p w14:paraId="13A213F1" w14:textId="77777777" w:rsidR="00E57DAA" w:rsidRDefault="00AC4185">
            <w:pPr>
              <w:jc w:val="right"/>
              <w:rPr>
                <w:szCs w:val="21"/>
              </w:rPr>
            </w:pPr>
            <w:r>
              <w:t>1,736,861.46</w:t>
            </w:r>
          </w:p>
        </w:tc>
        <w:tc>
          <w:tcPr>
            <w:tcW w:w="570" w:type="pct"/>
            <w:tcBorders>
              <w:top w:val="single" w:sz="4" w:space="0" w:color="auto"/>
              <w:left w:val="single" w:sz="4" w:space="0" w:color="auto"/>
              <w:bottom w:val="single" w:sz="4" w:space="0" w:color="auto"/>
              <w:right w:val="single" w:sz="4" w:space="0" w:color="auto"/>
            </w:tcBorders>
            <w:vAlign w:val="center"/>
          </w:tcPr>
          <w:p w14:paraId="4BE3C3DD" w14:textId="77777777" w:rsidR="00E57DAA" w:rsidRDefault="00AC4185">
            <w:pPr>
              <w:jc w:val="right"/>
              <w:rPr>
                <w:szCs w:val="21"/>
              </w:rPr>
            </w:pPr>
            <w:r>
              <w:t>32,682,793.95</w:t>
            </w:r>
          </w:p>
        </w:tc>
        <w:tc>
          <w:tcPr>
            <w:tcW w:w="305" w:type="pct"/>
            <w:tcBorders>
              <w:top w:val="single" w:sz="4" w:space="0" w:color="auto"/>
              <w:left w:val="single" w:sz="4" w:space="0" w:color="auto"/>
              <w:bottom w:val="single" w:sz="4" w:space="0" w:color="auto"/>
              <w:right w:val="single" w:sz="4" w:space="0" w:color="auto"/>
            </w:tcBorders>
            <w:vAlign w:val="center"/>
          </w:tcPr>
          <w:p w14:paraId="7BDDE1C7" w14:textId="77777777" w:rsidR="00E57DAA" w:rsidRDefault="00AC4185">
            <w:pPr>
              <w:jc w:val="right"/>
              <w:rPr>
                <w:szCs w:val="21"/>
              </w:rPr>
            </w:pPr>
            <w:r>
              <w:t>47.80</w:t>
            </w:r>
          </w:p>
        </w:tc>
        <w:tc>
          <w:tcPr>
            <w:tcW w:w="532" w:type="pct"/>
            <w:tcBorders>
              <w:top w:val="single" w:sz="4" w:space="0" w:color="auto"/>
              <w:left w:val="single" w:sz="4" w:space="0" w:color="auto"/>
              <w:bottom w:val="single" w:sz="4" w:space="0" w:color="auto"/>
              <w:right w:val="single" w:sz="4" w:space="0" w:color="auto"/>
            </w:tcBorders>
            <w:vAlign w:val="center"/>
          </w:tcPr>
          <w:p w14:paraId="0A2B9019" w14:textId="77777777" w:rsidR="00E57DAA" w:rsidRDefault="00AC4185">
            <w:pPr>
              <w:jc w:val="right"/>
              <w:rPr>
                <w:szCs w:val="21"/>
              </w:rPr>
            </w:pPr>
            <w:r>
              <w:t>1,254,304.69</w:t>
            </w:r>
          </w:p>
        </w:tc>
        <w:tc>
          <w:tcPr>
            <w:tcW w:w="287" w:type="pct"/>
            <w:tcBorders>
              <w:top w:val="single" w:sz="4" w:space="0" w:color="auto"/>
              <w:left w:val="single" w:sz="4" w:space="0" w:color="auto"/>
              <w:bottom w:val="single" w:sz="4" w:space="0" w:color="auto"/>
              <w:right w:val="single" w:sz="4" w:space="0" w:color="auto"/>
            </w:tcBorders>
            <w:vAlign w:val="center"/>
          </w:tcPr>
          <w:p w14:paraId="4443CBD9" w14:textId="77777777" w:rsidR="00E57DAA" w:rsidRDefault="00AC4185">
            <w:pPr>
              <w:jc w:val="right"/>
              <w:rPr>
                <w:szCs w:val="21"/>
              </w:rPr>
            </w:pPr>
            <w:r>
              <w:t>3.84</w:t>
            </w:r>
          </w:p>
        </w:tc>
        <w:tc>
          <w:tcPr>
            <w:tcW w:w="570" w:type="pct"/>
            <w:tcBorders>
              <w:top w:val="single" w:sz="4" w:space="0" w:color="auto"/>
              <w:left w:val="single" w:sz="4" w:space="0" w:color="auto"/>
              <w:bottom w:val="single" w:sz="4" w:space="0" w:color="auto"/>
              <w:right w:val="single" w:sz="4" w:space="0" w:color="auto"/>
            </w:tcBorders>
            <w:vAlign w:val="center"/>
          </w:tcPr>
          <w:p w14:paraId="77F02995" w14:textId="77777777" w:rsidR="00E57DAA" w:rsidRDefault="00AC4185">
            <w:pPr>
              <w:jc w:val="right"/>
              <w:rPr>
                <w:szCs w:val="21"/>
              </w:rPr>
            </w:pPr>
            <w:r>
              <w:t>31,428,489.26</w:t>
            </w:r>
          </w:p>
        </w:tc>
      </w:tr>
      <w:tr w:rsidR="00E57DAA" w14:paraId="590596EC" w14:textId="77777777">
        <w:trPr>
          <w:cantSplit/>
        </w:trPr>
        <w:tc>
          <w:tcPr>
            <w:tcW w:w="642" w:type="pct"/>
            <w:tcBorders>
              <w:top w:val="single" w:sz="4" w:space="0" w:color="auto"/>
              <w:left w:val="single" w:sz="4" w:space="0" w:color="auto"/>
              <w:bottom w:val="single" w:sz="4" w:space="0" w:color="auto"/>
              <w:right w:val="single" w:sz="4" w:space="0" w:color="auto"/>
            </w:tcBorders>
            <w:vAlign w:val="center"/>
          </w:tcPr>
          <w:p w14:paraId="4453999C" w14:textId="77777777" w:rsidR="00E57DAA" w:rsidRDefault="00AC4185">
            <w:pPr>
              <w:autoSpaceDE w:val="0"/>
              <w:autoSpaceDN w:val="0"/>
              <w:adjustRightInd w:val="0"/>
              <w:jc w:val="center"/>
              <w:rPr>
                <w:szCs w:val="21"/>
              </w:rPr>
            </w:pPr>
            <w:r>
              <w:rPr>
                <w:rFonts w:hint="eastAsia"/>
                <w:szCs w:val="21"/>
              </w:rPr>
              <w:t>合计</w:t>
            </w:r>
          </w:p>
        </w:tc>
        <w:tc>
          <w:tcPr>
            <w:tcW w:w="570" w:type="pct"/>
            <w:tcBorders>
              <w:top w:val="single" w:sz="4" w:space="0" w:color="auto"/>
              <w:left w:val="single" w:sz="4" w:space="0" w:color="auto"/>
              <w:bottom w:val="single" w:sz="4" w:space="0" w:color="auto"/>
              <w:right w:val="single" w:sz="4" w:space="0" w:color="auto"/>
            </w:tcBorders>
          </w:tcPr>
          <w:p w14:paraId="5638E012" w14:textId="77777777" w:rsidR="00E57DAA" w:rsidRDefault="00AC4185">
            <w:pPr>
              <w:jc w:val="right"/>
              <w:rPr>
                <w:szCs w:val="21"/>
              </w:rPr>
            </w:pPr>
            <w:r>
              <w:rPr>
                <w:szCs w:val="21"/>
              </w:rPr>
              <w:t>60,006,445.34</w:t>
            </w:r>
          </w:p>
        </w:tc>
        <w:tc>
          <w:tcPr>
            <w:tcW w:w="305" w:type="pct"/>
            <w:tcBorders>
              <w:top w:val="single" w:sz="4" w:space="0" w:color="auto"/>
              <w:left w:val="single" w:sz="4" w:space="0" w:color="auto"/>
              <w:bottom w:val="single" w:sz="4" w:space="0" w:color="auto"/>
              <w:right w:val="single" w:sz="4" w:space="0" w:color="auto"/>
            </w:tcBorders>
          </w:tcPr>
          <w:p w14:paraId="5EF8E9AE" w14:textId="77777777" w:rsidR="00E57DAA" w:rsidRDefault="00AC4185">
            <w:pPr>
              <w:jc w:val="center"/>
              <w:rPr>
                <w:szCs w:val="21"/>
              </w:rPr>
            </w:pPr>
            <w:r>
              <w:rPr>
                <w:rFonts w:hint="eastAsia"/>
                <w:szCs w:val="21"/>
              </w:rPr>
              <w:t>/</w:t>
            </w:r>
          </w:p>
        </w:tc>
        <w:tc>
          <w:tcPr>
            <w:tcW w:w="419" w:type="pct"/>
            <w:tcBorders>
              <w:top w:val="single" w:sz="4" w:space="0" w:color="auto"/>
              <w:left w:val="single" w:sz="4" w:space="0" w:color="auto"/>
              <w:bottom w:val="single" w:sz="4" w:space="0" w:color="auto"/>
              <w:right w:val="single" w:sz="4" w:space="0" w:color="auto"/>
            </w:tcBorders>
          </w:tcPr>
          <w:p w14:paraId="0E299B92" w14:textId="77777777" w:rsidR="00E57DAA" w:rsidRDefault="00AC4185">
            <w:pPr>
              <w:jc w:val="right"/>
              <w:rPr>
                <w:szCs w:val="21"/>
              </w:rPr>
            </w:pPr>
            <w:r>
              <w:rPr>
                <w:szCs w:val="21"/>
              </w:rPr>
              <w:t>42,162.88</w:t>
            </w:r>
          </w:p>
        </w:tc>
        <w:tc>
          <w:tcPr>
            <w:tcW w:w="229" w:type="pct"/>
            <w:tcBorders>
              <w:top w:val="single" w:sz="4" w:space="0" w:color="auto"/>
              <w:left w:val="single" w:sz="4" w:space="0" w:color="auto"/>
              <w:bottom w:val="single" w:sz="4" w:space="0" w:color="auto"/>
              <w:right w:val="single" w:sz="4" w:space="0" w:color="auto"/>
            </w:tcBorders>
          </w:tcPr>
          <w:p w14:paraId="6D41DDF8" w14:textId="77777777" w:rsidR="00E57DAA" w:rsidRDefault="00AC4185">
            <w:pPr>
              <w:jc w:val="center"/>
              <w:rPr>
                <w:szCs w:val="21"/>
              </w:rPr>
            </w:pPr>
            <w:r>
              <w:rPr>
                <w:rFonts w:hint="eastAsia"/>
                <w:szCs w:val="21"/>
              </w:rPr>
              <w:t>/</w:t>
            </w:r>
          </w:p>
        </w:tc>
        <w:tc>
          <w:tcPr>
            <w:tcW w:w="570" w:type="pct"/>
            <w:tcBorders>
              <w:top w:val="single" w:sz="4" w:space="0" w:color="auto"/>
              <w:left w:val="single" w:sz="4" w:space="0" w:color="auto"/>
              <w:bottom w:val="single" w:sz="4" w:space="0" w:color="auto"/>
              <w:right w:val="single" w:sz="4" w:space="0" w:color="auto"/>
            </w:tcBorders>
          </w:tcPr>
          <w:p w14:paraId="12ED5A33" w14:textId="77777777" w:rsidR="00E57DAA" w:rsidRDefault="00AC4185">
            <w:pPr>
              <w:jc w:val="right"/>
              <w:rPr>
                <w:szCs w:val="21"/>
              </w:rPr>
            </w:pPr>
            <w:r>
              <w:rPr>
                <w:szCs w:val="21"/>
              </w:rPr>
              <w:t>59,964,282.46</w:t>
            </w:r>
          </w:p>
        </w:tc>
        <w:tc>
          <w:tcPr>
            <w:tcW w:w="570" w:type="pct"/>
            <w:tcBorders>
              <w:top w:val="single" w:sz="4" w:space="0" w:color="auto"/>
              <w:left w:val="single" w:sz="4" w:space="0" w:color="auto"/>
              <w:bottom w:val="single" w:sz="4" w:space="0" w:color="auto"/>
              <w:right w:val="single" w:sz="4" w:space="0" w:color="auto"/>
            </w:tcBorders>
          </w:tcPr>
          <w:p w14:paraId="36AA079B" w14:textId="77777777" w:rsidR="00E57DAA" w:rsidRDefault="00AC4185">
            <w:pPr>
              <w:jc w:val="right"/>
              <w:rPr>
                <w:szCs w:val="21"/>
              </w:rPr>
            </w:pPr>
            <w:r>
              <w:rPr>
                <w:szCs w:val="21"/>
              </w:rPr>
              <w:t>68,372,793.95</w:t>
            </w:r>
          </w:p>
        </w:tc>
        <w:tc>
          <w:tcPr>
            <w:tcW w:w="305" w:type="pct"/>
            <w:tcBorders>
              <w:top w:val="single" w:sz="4" w:space="0" w:color="auto"/>
              <w:left w:val="single" w:sz="4" w:space="0" w:color="auto"/>
              <w:bottom w:val="single" w:sz="4" w:space="0" w:color="auto"/>
              <w:right w:val="single" w:sz="4" w:space="0" w:color="auto"/>
            </w:tcBorders>
          </w:tcPr>
          <w:p w14:paraId="33F29E2D" w14:textId="77777777" w:rsidR="00E57DAA" w:rsidRDefault="00AC4185">
            <w:pPr>
              <w:jc w:val="center"/>
              <w:rPr>
                <w:szCs w:val="21"/>
              </w:rPr>
            </w:pPr>
            <w:r>
              <w:rPr>
                <w:rFonts w:hint="eastAsia"/>
                <w:szCs w:val="21"/>
              </w:rPr>
              <w:t>/</w:t>
            </w:r>
          </w:p>
        </w:tc>
        <w:tc>
          <w:tcPr>
            <w:tcW w:w="532" w:type="pct"/>
            <w:tcBorders>
              <w:top w:val="single" w:sz="4" w:space="0" w:color="auto"/>
              <w:left w:val="single" w:sz="4" w:space="0" w:color="auto"/>
              <w:bottom w:val="single" w:sz="4" w:space="0" w:color="auto"/>
              <w:right w:val="single" w:sz="4" w:space="0" w:color="auto"/>
            </w:tcBorders>
          </w:tcPr>
          <w:p w14:paraId="7DAAE828" w14:textId="77777777" w:rsidR="00E57DAA" w:rsidRDefault="00AC4185">
            <w:pPr>
              <w:jc w:val="right"/>
              <w:rPr>
                <w:szCs w:val="21"/>
              </w:rPr>
            </w:pPr>
            <w:r>
              <w:rPr>
                <w:szCs w:val="21"/>
              </w:rPr>
              <w:t>1,254,304.69</w:t>
            </w:r>
          </w:p>
        </w:tc>
        <w:tc>
          <w:tcPr>
            <w:tcW w:w="287" w:type="pct"/>
            <w:tcBorders>
              <w:top w:val="single" w:sz="4" w:space="0" w:color="auto"/>
              <w:left w:val="single" w:sz="4" w:space="0" w:color="auto"/>
              <w:bottom w:val="single" w:sz="4" w:space="0" w:color="auto"/>
              <w:right w:val="single" w:sz="4" w:space="0" w:color="auto"/>
            </w:tcBorders>
          </w:tcPr>
          <w:p w14:paraId="20992F22" w14:textId="77777777" w:rsidR="00E57DAA" w:rsidRDefault="00AC4185">
            <w:pPr>
              <w:jc w:val="center"/>
              <w:rPr>
                <w:szCs w:val="21"/>
              </w:rPr>
            </w:pPr>
            <w:r>
              <w:rPr>
                <w:rFonts w:hint="eastAsia"/>
                <w:szCs w:val="21"/>
              </w:rPr>
              <w:t>/</w:t>
            </w:r>
          </w:p>
        </w:tc>
        <w:tc>
          <w:tcPr>
            <w:tcW w:w="570" w:type="pct"/>
            <w:tcBorders>
              <w:top w:val="single" w:sz="4" w:space="0" w:color="auto"/>
              <w:left w:val="single" w:sz="4" w:space="0" w:color="auto"/>
              <w:bottom w:val="single" w:sz="4" w:space="0" w:color="auto"/>
              <w:right w:val="single" w:sz="4" w:space="0" w:color="auto"/>
            </w:tcBorders>
          </w:tcPr>
          <w:p w14:paraId="2FB1F4B5" w14:textId="77777777" w:rsidR="00E57DAA" w:rsidRDefault="00AC4185">
            <w:pPr>
              <w:jc w:val="right"/>
              <w:rPr>
                <w:szCs w:val="21"/>
              </w:rPr>
            </w:pPr>
            <w:r>
              <w:rPr>
                <w:szCs w:val="21"/>
              </w:rPr>
              <w:t>67,118,489.26</w:t>
            </w:r>
          </w:p>
        </w:tc>
      </w:tr>
    </w:tbl>
    <w:p w14:paraId="467BCD67" w14:textId="77777777" w:rsidR="00E57DAA" w:rsidRDefault="00E57DAA" w:rsidP="00C25422">
      <w:pPr>
        <w:pStyle w:val="92"/>
      </w:pPr>
    </w:p>
    <w:p w14:paraId="1683B0F4" w14:textId="77777777" w:rsidR="00E57DAA" w:rsidRDefault="00E57DAA">
      <w:pPr>
        <w:sectPr w:rsidR="00E57DAA" w:rsidSect="00226547">
          <w:pgSz w:w="16838" w:h="11906" w:orient="landscape"/>
          <w:pgMar w:top="1276" w:right="1440" w:bottom="1797" w:left="1525" w:header="856" w:footer="992" w:gutter="0"/>
          <w:cols w:space="425"/>
          <w:docGrid w:linePitch="312"/>
        </w:sectPr>
      </w:pPr>
    </w:p>
    <w:p w14:paraId="55282D86" w14:textId="77777777" w:rsidR="00E57DAA" w:rsidRDefault="00E57DAA" w:rsidP="00C25422">
      <w:pPr>
        <w:pStyle w:val="92"/>
      </w:pPr>
    </w:p>
    <w:p w14:paraId="01673FF5" w14:textId="77777777" w:rsidR="00E57DAA" w:rsidRDefault="00AC4185" w:rsidP="00C25422">
      <w:pPr>
        <w:pStyle w:val="92"/>
      </w:pPr>
      <w:r>
        <w:rPr>
          <w:rFonts w:hint="eastAsia"/>
        </w:rPr>
        <w:t>按单项计提坏账准备：</w:t>
      </w:r>
    </w:p>
    <w:bookmarkEnd w:id="188" w:displacedByCustomXml="next"/>
    <w:sdt>
      <w:sdtPr>
        <w:rPr>
          <w:rFonts w:hint="eastAsia"/>
        </w:rPr>
        <w:alias w:val="是否适用：按单项计提坏账准备的应收票据详细情况[双击切换]"/>
        <w:tag w:val="_GBC_9f41f638de8f4c42b9d00ca6755931fb"/>
        <w:id w:val="1188260103"/>
        <w:placeholder>
          <w:docPart w:val="GBC22222222222222222222222222222"/>
        </w:placeholder>
      </w:sdtPr>
      <w:sdtEndPr/>
      <w:sdtContent>
        <w:p w14:paraId="710D380C"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2C1E59" w14:textId="77777777" w:rsidR="00E57DAA" w:rsidRDefault="00E57DAA">
      <w:pPr>
        <w:rPr>
          <w:szCs w:val="21"/>
        </w:rPr>
      </w:pPr>
      <w:bookmarkStart w:id="189" w:name="_Hlk533597423"/>
    </w:p>
    <w:bookmarkEnd w:id="189"/>
    <w:p w14:paraId="6E94F041" w14:textId="77777777" w:rsidR="00E57DAA" w:rsidRDefault="00E57DAA">
      <w:pPr>
        <w:rPr>
          <w:szCs w:val="21"/>
        </w:rPr>
      </w:pPr>
    </w:p>
    <w:sdt>
      <w:sdtPr>
        <w:rPr>
          <w:rFonts w:asciiTheme="minorHAnsi" w:hAnsiTheme="minorHAnsi" w:cstheme="minorBidi" w:hint="eastAsia"/>
          <w:bCs/>
          <w:szCs w:val="22"/>
        </w:rPr>
        <w:tag w:val="_PLD_c5822df72e094b5083c45a32639c6995"/>
        <w:id w:val="-1848326689"/>
        <w:placeholder>
          <w:docPart w:val="GBC22222222222222222222222222222"/>
        </w:placeholder>
      </w:sdtPr>
      <w:sdtEndPr/>
      <w:sdtContent>
        <w:p w14:paraId="62D1E918" w14:textId="77777777" w:rsidR="00E57DAA" w:rsidRDefault="00AC4185">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1396550310"/>
        <w:lock w:val="contentLocked"/>
        <w:placeholder>
          <w:docPart w:val="GBC22222222222222222222222222222"/>
        </w:placeholder>
      </w:sdtPr>
      <w:sdtEndPr/>
      <w:sdtContent>
        <w:p w14:paraId="29E824BF" w14:textId="77777777" w:rsidR="00E57DAA" w:rsidRDefault="00AC4185">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w:instrText>
          </w:r>
          <w:r>
            <w:rPr>
              <w:rFonts w:cstheme="minorBidi" w:hint="eastAsia"/>
              <w:bCs/>
              <w:szCs w:val="22"/>
            </w:rPr>
            <w:instrText>MACROBUTTON  SnrToggleCheckbox √适用</w:instrText>
          </w:r>
          <w:r>
            <w:rPr>
              <w:rFonts w:cstheme="minorBidi"/>
              <w:bCs/>
              <w:szCs w:val="22"/>
            </w:rPr>
            <w:instrText xml:space="preserve">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49D683DC" w14:textId="77777777" w:rsidR="00E57DAA" w:rsidRDefault="00AC4185">
      <w:pPr>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bookmarkStart w:id="190" w:name="_Hlk533601037"/>
      <w:sdt>
        <w:sdtPr>
          <w:rPr>
            <w:rFonts w:asciiTheme="minorHAnsi" w:hAnsiTheme="minorHAnsi" w:cstheme="minorBidi" w:hint="eastAsia"/>
            <w:bCs/>
            <w:szCs w:val="22"/>
          </w:rPr>
          <w:alias w:val="按组合计提坏账准备的应收票据明细-类别"/>
          <w:tag w:val="_GBC_d433aaa229cd452c9e29c0f4c5efd15b"/>
          <w:id w:val="251782768"/>
          <w:placeholder>
            <w:docPart w:val="GBC22222222222222222222222222222"/>
          </w:placeholder>
          <w:comboBox>
            <w:listItem w:displayText="商业承兑汇票" w:value="商业承兑汇票"/>
            <w:listItem w:displayText="银行承兑汇票" w:value="银行承兑汇票"/>
          </w:comboBox>
        </w:sdtPr>
        <w:sdtEndPr/>
        <w:sdtContent>
          <w:r>
            <w:rPr>
              <w:rFonts w:asciiTheme="minorHAnsi" w:hAnsiTheme="minorHAnsi" w:cstheme="minorBidi" w:hint="eastAsia"/>
              <w:bCs/>
              <w:szCs w:val="22"/>
            </w:rPr>
            <w:t>商业承兑汇票</w:t>
          </w:r>
        </w:sdtContent>
      </w:sdt>
    </w:p>
    <w:p w14:paraId="458D6BE8" w14:textId="77777777" w:rsidR="00E57DAA" w:rsidRDefault="00AC418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dd22ce6fdcd5426dbe2948860a8cd0a2"/>
          <w:id w:val="-13179530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6593230bd891417499c638314f150d60"/>
          <w:id w:val="14833582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E57DAA" w14:paraId="3306C7ED" w14:textId="77777777">
        <w:sdt>
          <w:sdtPr>
            <w:tag w:val="_PLD_74ad584541ec46019bc0ec583b56e6dc"/>
            <w:id w:val="1139992941"/>
          </w:sdtPr>
          <w:sdtEndPr/>
          <w:sdtContent>
            <w:tc>
              <w:tcPr>
                <w:tcW w:w="1158" w:type="pct"/>
                <w:vMerge w:val="restart"/>
                <w:vAlign w:val="center"/>
              </w:tcPr>
              <w:p w14:paraId="5D718D14" w14:textId="77777777" w:rsidR="00E57DAA" w:rsidRDefault="00AC4185">
                <w:pPr>
                  <w:jc w:val="center"/>
                  <w:rPr>
                    <w:szCs w:val="21"/>
                  </w:rPr>
                </w:pPr>
                <w:r>
                  <w:rPr>
                    <w:rFonts w:hint="eastAsia"/>
                    <w:szCs w:val="21"/>
                  </w:rPr>
                  <w:t>名称</w:t>
                </w:r>
              </w:p>
            </w:tc>
          </w:sdtContent>
        </w:sdt>
        <w:sdt>
          <w:sdtPr>
            <w:tag w:val="_PLD_4cf87ed9c9624586a738a40c94ad8178"/>
            <w:id w:val="2001918391"/>
          </w:sdtPr>
          <w:sdtEndPr/>
          <w:sdtContent>
            <w:tc>
              <w:tcPr>
                <w:tcW w:w="3842" w:type="pct"/>
                <w:gridSpan w:val="3"/>
                <w:vAlign w:val="center"/>
              </w:tcPr>
              <w:p w14:paraId="683E2463" w14:textId="77777777" w:rsidR="00E57DAA" w:rsidRDefault="00AC4185">
                <w:pPr>
                  <w:jc w:val="center"/>
                  <w:rPr>
                    <w:szCs w:val="21"/>
                  </w:rPr>
                </w:pPr>
                <w:r>
                  <w:rPr>
                    <w:rFonts w:hint="eastAsia"/>
                    <w:szCs w:val="21"/>
                  </w:rPr>
                  <w:t>期末余额</w:t>
                </w:r>
              </w:p>
            </w:tc>
          </w:sdtContent>
        </w:sdt>
      </w:tr>
      <w:tr w:rsidR="00E57DAA" w14:paraId="0466E293" w14:textId="77777777">
        <w:tc>
          <w:tcPr>
            <w:tcW w:w="1158" w:type="pct"/>
            <w:vMerge/>
          </w:tcPr>
          <w:p w14:paraId="2630A066" w14:textId="77777777" w:rsidR="00E57DAA" w:rsidRDefault="00E57DAA">
            <w:pPr>
              <w:jc w:val="center"/>
              <w:rPr>
                <w:szCs w:val="21"/>
              </w:rPr>
            </w:pPr>
          </w:p>
        </w:tc>
        <w:sdt>
          <w:sdtPr>
            <w:tag w:val="_PLD_c7947e62ac1341a0ab9934cdaf575521"/>
            <w:id w:val="-1439522507"/>
          </w:sdtPr>
          <w:sdtEndPr/>
          <w:sdtContent>
            <w:tc>
              <w:tcPr>
                <w:tcW w:w="1276" w:type="pct"/>
                <w:vAlign w:val="center"/>
              </w:tcPr>
              <w:p w14:paraId="32861F9B" w14:textId="77777777" w:rsidR="00E57DAA" w:rsidRDefault="00AC4185">
                <w:pPr>
                  <w:jc w:val="center"/>
                  <w:rPr>
                    <w:szCs w:val="21"/>
                  </w:rPr>
                </w:pPr>
                <w:r>
                  <w:rPr>
                    <w:rFonts w:hint="eastAsia"/>
                    <w:szCs w:val="21"/>
                  </w:rPr>
                  <w:t>应收票据</w:t>
                </w:r>
              </w:p>
            </w:tc>
          </w:sdtContent>
        </w:sdt>
        <w:sdt>
          <w:sdtPr>
            <w:tag w:val="_PLD_b0f88303dbd14344a84ee332cb6d53f9"/>
            <w:id w:val="-1007520514"/>
          </w:sdtPr>
          <w:sdtEndPr/>
          <w:sdtContent>
            <w:tc>
              <w:tcPr>
                <w:tcW w:w="1299" w:type="pct"/>
                <w:vAlign w:val="center"/>
              </w:tcPr>
              <w:p w14:paraId="5E7739C6" w14:textId="77777777" w:rsidR="00E57DAA" w:rsidRDefault="00AC4185">
                <w:pPr>
                  <w:jc w:val="center"/>
                  <w:rPr>
                    <w:szCs w:val="21"/>
                  </w:rPr>
                </w:pPr>
                <w:r>
                  <w:rPr>
                    <w:rFonts w:hint="eastAsia"/>
                    <w:szCs w:val="21"/>
                  </w:rPr>
                  <w:t>坏账准备</w:t>
                </w:r>
              </w:p>
            </w:tc>
          </w:sdtContent>
        </w:sdt>
        <w:sdt>
          <w:sdtPr>
            <w:tag w:val="_PLD_2ac8d6b7fbbb4250ab600dfdbe0fcb56"/>
            <w:id w:val="-2038577266"/>
          </w:sdtPr>
          <w:sdtEndPr/>
          <w:sdtContent>
            <w:tc>
              <w:tcPr>
                <w:tcW w:w="1267" w:type="pct"/>
                <w:vAlign w:val="center"/>
              </w:tcPr>
              <w:p w14:paraId="1EF0512D" w14:textId="77777777" w:rsidR="00E57DAA" w:rsidRDefault="00AC4185">
                <w:pPr>
                  <w:jc w:val="center"/>
                  <w:rPr>
                    <w:szCs w:val="21"/>
                  </w:rPr>
                </w:pPr>
                <w:r>
                  <w:rPr>
                    <w:szCs w:val="21"/>
                  </w:rPr>
                  <w:t>计提比例</w:t>
                </w:r>
                <w:r>
                  <w:rPr>
                    <w:rFonts w:hint="eastAsia"/>
                    <w:szCs w:val="21"/>
                  </w:rPr>
                  <w:t>（%）</w:t>
                </w:r>
              </w:p>
            </w:tc>
          </w:sdtContent>
        </w:sdt>
      </w:tr>
      <w:tr w:rsidR="00E57DAA" w14:paraId="14E4ADB6" w14:textId="77777777">
        <w:tc>
          <w:tcPr>
            <w:tcW w:w="1158" w:type="pct"/>
          </w:tcPr>
          <w:p w14:paraId="7A0ECFDB" w14:textId="77777777" w:rsidR="00E57DAA" w:rsidRDefault="00AC4185">
            <w:pPr>
              <w:rPr>
                <w:szCs w:val="21"/>
              </w:rPr>
            </w:pPr>
            <w:r>
              <w:rPr>
                <w:rFonts w:hint="eastAsia"/>
                <w:szCs w:val="21"/>
              </w:rPr>
              <w:t>商业承兑汇票</w:t>
            </w:r>
          </w:p>
        </w:tc>
        <w:tc>
          <w:tcPr>
            <w:tcW w:w="1276" w:type="pct"/>
          </w:tcPr>
          <w:p w14:paraId="2548F614" w14:textId="77777777" w:rsidR="00E57DAA" w:rsidRDefault="00AC4185">
            <w:pPr>
              <w:jc w:val="right"/>
              <w:rPr>
                <w:szCs w:val="21"/>
              </w:rPr>
            </w:pPr>
            <w:r>
              <w:rPr>
                <w:szCs w:val="21"/>
              </w:rPr>
              <w:t>1,779,024.34</w:t>
            </w:r>
          </w:p>
        </w:tc>
        <w:tc>
          <w:tcPr>
            <w:tcW w:w="1299" w:type="pct"/>
          </w:tcPr>
          <w:p w14:paraId="7B1517EE" w14:textId="77777777" w:rsidR="00E57DAA" w:rsidRDefault="00AC4185">
            <w:pPr>
              <w:jc w:val="right"/>
              <w:rPr>
                <w:szCs w:val="21"/>
              </w:rPr>
            </w:pPr>
            <w:r>
              <w:rPr>
                <w:szCs w:val="21"/>
              </w:rPr>
              <w:t>42,162.88</w:t>
            </w:r>
          </w:p>
        </w:tc>
        <w:tc>
          <w:tcPr>
            <w:tcW w:w="1267" w:type="pct"/>
          </w:tcPr>
          <w:p w14:paraId="73440E47" w14:textId="77777777" w:rsidR="00E57DAA" w:rsidRDefault="00AC4185">
            <w:pPr>
              <w:jc w:val="right"/>
              <w:rPr>
                <w:szCs w:val="21"/>
              </w:rPr>
            </w:pPr>
            <w:r>
              <w:rPr>
                <w:szCs w:val="21"/>
              </w:rPr>
              <w:t>2.37</w:t>
            </w:r>
          </w:p>
        </w:tc>
      </w:tr>
      <w:tr w:rsidR="00E57DAA" w14:paraId="7D2364CA" w14:textId="77777777">
        <w:tc>
          <w:tcPr>
            <w:tcW w:w="1158" w:type="pct"/>
            <w:vAlign w:val="center"/>
          </w:tcPr>
          <w:p w14:paraId="23E8D298" w14:textId="77777777" w:rsidR="00E57DAA" w:rsidRDefault="00AC4185">
            <w:pPr>
              <w:jc w:val="center"/>
              <w:rPr>
                <w:szCs w:val="21"/>
              </w:rPr>
            </w:pPr>
            <w:r>
              <w:rPr>
                <w:rFonts w:hint="eastAsia"/>
                <w:szCs w:val="21"/>
              </w:rPr>
              <w:t>合计</w:t>
            </w:r>
          </w:p>
        </w:tc>
        <w:tc>
          <w:tcPr>
            <w:tcW w:w="1276" w:type="pct"/>
            <w:vAlign w:val="center"/>
          </w:tcPr>
          <w:p w14:paraId="35E3E2E4" w14:textId="77777777" w:rsidR="00E57DAA" w:rsidRDefault="00AC4185">
            <w:pPr>
              <w:jc w:val="right"/>
              <w:rPr>
                <w:szCs w:val="21"/>
              </w:rPr>
            </w:pPr>
            <w:r>
              <w:t>1,779,024.34</w:t>
            </w:r>
          </w:p>
        </w:tc>
        <w:tc>
          <w:tcPr>
            <w:tcW w:w="1299" w:type="pct"/>
            <w:vAlign w:val="center"/>
          </w:tcPr>
          <w:p w14:paraId="02841E39" w14:textId="77777777" w:rsidR="00E57DAA" w:rsidRDefault="00AC4185">
            <w:pPr>
              <w:jc w:val="right"/>
              <w:rPr>
                <w:szCs w:val="21"/>
              </w:rPr>
            </w:pPr>
            <w:r>
              <w:t>42,162.88</w:t>
            </w:r>
          </w:p>
        </w:tc>
        <w:tc>
          <w:tcPr>
            <w:tcW w:w="1267" w:type="pct"/>
            <w:vAlign w:val="center"/>
          </w:tcPr>
          <w:p w14:paraId="21881892" w14:textId="77777777" w:rsidR="00E57DAA" w:rsidRDefault="00AC4185">
            <w:pPr>
              <w:jc w:val="right"/>
              <w:rPr>
                <w:szCs w:val="21"/>
              </w:rPr>
            </w:pPr>
            <w:r>
              <w:t>2.37</w:t>
            </w:r>
          </w:p>
        </w:tc>
      </w:tr>
    </w:tbl>
    <w:p w14:paraId="51DEA2BA" w14:textId="77777777" w:rsidR="00E57DAA" w:rsidRDefault="00AC4185">
      <w:pPr>
        <w:rPr>
          <w:szCs w:val="21"/>
        </w:rPr>
      </w:pPr>
      <w:r>
        <w:rPr>
          <w:rFonts w:hint="eastAsia"/>
          <w:szCs w:val="21"/>
        </w:rPr>
        <w:t>按组合计提坏账准备的说明</w:t>
      </w:r>
    </w:p>
    <w:sdt>
      <w:sdtPr>
        <w:rPr>
          <w:szCs w:val="21"/>
        </w:rPr>
        <w:alias w:val="是否适用：按组合计提坏账准备的应收票据确认标准[双击切换]"/>
        <w:tag w:val="_GBC_8da9c261e1b645a580319dc9ae336a84"/>
        <w:id w:val="-164867458"/>
        <w:placeholder>
          <w:docPart w:val="GBC22222222222222222222222222222"/>
        </w:placeholder>
      </w:sdtPr>
      <w:sdtEndPr/>
      <w:sdtContent>
        <w:p w14:paraId="6515917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0"/>
    <w:p w14:paraId="077A382F" w14:textId="77777777" w:rsidR="00E57DAA" w:rsidRDefault="00E57DAA">
      <w:pPr>
        <w:rPr>
          <w:rFonts w:asciiTheme="minorHAnsi" w:hAnsiTheme="minorHAnsi" w:cstheme="minorBidi"/>
          <w:b/>
          <w:bCs/>
          <w:szCs w:val="22"/>
        </w:rPr>
      </w:pPr>
    </w:p>
    <w:p w14:paraId="76CA0E28" w14:textId="77777777" w:rsidR="00E57DAA" w:rsidRDefault="00AC4185">
      <w:pPr>
        <w:rPr>
          <w:rFonts w:cstheme="minorBidi"/>
          <w:bCs/>
          <w:szCs w:val="22"/>
        </w:rPr>
      </w:pPr>
      <w:r>
        <w:rPr>
          <w:rFonts w:cstheme="minorBidi" w:hint="eastAsia"/>
          <w:bCs/>
          <w:szCs w:val="22"/>
        </w:rPr>
        <w:t>按预期信用损失一般模型计提坏账准备</w:t>
      </w:r>
    </w:p>
    <w:bookmarkStart w:id="191" w:name="_Hlk153356892" w:displacedByCustomXml="next"/>
    <w:sdt>
      <w:sdtPr>
        <w:rPr>
          <w:rFonts w:cstheme="minorBidi"/>
          <w:bCs/>
          <w:szCs w:val="22"/>
        </w:rPr>
        <w:alias w:val="是否适用：按预期信用损失一般模型计提坏账准备[双击切换]"/>
        <w:tag w:val="_GBC_8365966006504a25b2c8db13d573e88d"/>
        <w:id w:val="304364288"/>
        <w:placeholder>
          <w:docPart w:val="GBC22222222222222222222222222222"/>
        </w:placeholder>
      </w:sdtPr>
      <w:sdtEndPr/>
      <w:sdtContent>
        <w:p w14:paraId="408DFF61" w14:textId="77777777" w:rsidR="00E57DAA" w:rsidRDefault="00AC4185">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228B06FB" w14:textId="77777777" w:rsidR="00E57DAA" w:rsidRDefault="00E57DAA">
      <w:pPr>
        <w:rPr>
          <w:szCs w:val="21"/>
        </w:rPr>
      </w:pPr>
    </w:p>
    <w:p w14:paraId="4A977D63" w14:textId="77777777" w:rsidR="00E57DAA" w:rsidRDefault="00AC4185">
      <w:pPr>
        <w:pStyle w:val="45"/>
      </w:pPr>
      <w:r>
        <w:rPr>
          <w:rFonts w:hint="eastAsia"/>
        </w:rPr>
        <w:t>对本期发生损失准备变动的应收票据账面余额显著变动的情况说明：</w:t>
      </w:r>
    </w:p>
    <w:sdt>
      <w:sdtPr>
        <w:rPr>
          <w:szCs w:val="21"/>
        </w:rPr>
        <w:alias w:val="是否适用：对本期发生损失准备变动的账面余额显著变动的情况说明[双击切换]"/>
        <w:tag w:val="_GBC_2f34fd35c9654c8fa0b6583125cc946c"/>
        <w:id w:val="-1302455445"/>
        <w:placeholder>
          <w:docPart w:val="GBC22222222222222222222222222222"/>
        </w:placeholder>
      </w:sdtPr>
      <w:sdtEndPr/>
      <w:sdtContent>
        <w:p w14:paraId="30B20D44"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1"/>
    <w:p w14:paraId="39B3BC6D" w14:textId="77777777" w:rsidR="00E57DAA" w:rsidRDefault="00E57DAA">
      <w:pPr>
        <w:rPr>
          <w:rFonts w:asciiTheme="minorHAnsi" w:hAnsiTheme="minorHAnsi" w:cstheme="minorBidi"/>
          <w:b/>
          <w:bCs/>
          <w:szCs w:val="22"/>
        </w:rPr>
      </w:pPr>
    </w:p>
    <w:p w14:paraId="3F506974" w14:textId="77777777" w:rsidR="00E57DAA" w:rsidRDefault="00AC4185">
      <w:pPr>
        <w:pStyle w:val="4"/>
        <w:numPr>
          <w:ilvl w:val="3"/>
          <w:numId w:val="70"/>
        </w:numPr>
        <w:ind w:left="426" w:hanging="426"/>
      </w:pPr>
      <w:bookmarkStart w:id="192" w:name="_Hlk154148795"/>
      <w:bookmarkStart w:id="193" w:name="_Hlk532980547"/>
      <w:r>
        <w:rPr>
          <w:rFonts w:hint="eastAsia"/>
        </w:rPr>
        <w:t>坏账准备的情况</w:t>
      </w:r>
    </w:p>
    <w:sdt>
      <w:sdtPr>
        <w:alias w:val="是否适用：应收票据坏账准备情况[双击切换]"/>
        <w:tag w:val="_GBC_3c7b44ae9e3b4aa6a67012163093206f"/>
        <w:id w:val="925227617"/>
        <w:placeholder>
          <w:docPart w:val="GBC22222222222222222222222222222"/>
        </w:placeholder>
      </w:sdtPr>
      <w:sdtEndPr/>
      <w:sdtContent>
        <w:p w14:paraId="0AEA686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B3E20D" w14:textId="77777777" w:rsidR="00E57DAA" w:rsidRDefault="00AC4185" w:rsidP="00C25422">
      <w:pPr>
        <w:pStyle w:val="73"/>
        <w:ind w:firstLine="400"/>
      </w:pPr>
      <w:r>
        <w:rPr>
          <w:rFonts w:hint="eastAsia"/>
        </w:rPr>
        <w:t>单位：</w:t>
      </w:r>
      <w:sdt>
        <w:sdtPr>
          <w:rPr>
            <w:rFonts w:hint="eastAsia"/>
          </w:rPr>
          <w:alias w:val="单位：应收票据坏账准备情况"/>
          <w:tag w:val="_GBC_369a6567da6f4681886799eccc7ce30e"/>
          <w:id w:val="6503334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应收票据坏账准备情况"/>
          <w:tag w:val="_GBC_2ca7f0c4216640399e139055a5b3f6df"/>
          <w:id w:val="10756283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22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766"/>
        <w:gridCol w:w="1520"/>
        <w:gridCol w:w="795"/>
        <w:gridCol w:w="1487"/>
        <w:gridCol w:w="1444"/>
        <w:gridCol w:w="1037"/>
        <w:gridCol w:w="1173"/>
      </w:tblGrid>
      <w:tr w:rsidR="00E57DAA" w14:paraId="2AEFC00D" w14:textId="77777777">
        <w:sdt>
          <w:sdtPr>
            <w:tag w:val="_PLD_5c2e077065ea4069947c5dad1aefe7c9"/>
            <w:id w:val="327410729"/>
          </w:sdtPr>
          <w:sdtEndPr/>
          <w:sdtContent>
            <w:tc>
              <w:tcPr>
                <w:tcW w:w="958" w:type="pct"/>
                <w:vMerge w:val="restart"/>
                <w:shd w:val="clear" w:color="auto" w:fill="FFFFFF"/>
                <w:vAlign w:val="center"/>
              </w:tcPr>
              <w:p w14:paraId="58F3F41F" w14:textId="77777777" w:rsidR="00E57DAA" w:rsidRDefault="00AC4185">
                <w:pPr>
                  <w:widowControl w:val="0"/>
                  <w:jc w:val="center"/>
                </w:pPr>
                <w:r>
                  <w:t>类别</w:t>
                </w:r>
              </w:p>
            </w:tc>
          </w:sdtContent>
        </w:sdt>
        <w:sdt>
          <w:sdtPr>
            <w:tag w:val="_PLD_be42aed4ff82447ca43a862394d9d8b0"/>
            <w:id w:val="1831095902"/>
          </w:sdtPr>
          <w:sdtEndPr/>
          <w:sdtContent>
            <w:tc>
              <w:tcPr>
                <w:tcW w:w="824" w:type="pct"/>
                <w:vMerge w:val="restart"/>
                <w:shd w:val="clear" w:color="auto" w:fill="FFFFFF"/>
                <w:vAlign w:val="center"/>
              </w:tcPr>
              <w:p w14:paraId="21E93C94" w14:textId="77777777" w:rsidR="00E57DAA" w:rsidRDefault="00AC4185">
                <w:pPr>
                  <w:widowControl w:val="0"/>
                  <w:jc w:val="center"/>
                </w:pPr>
                <w:r>
                  <w:t>期初余额</w:t>
                </w:r>
              </w:p>
            </w:tc>
          </w:sdtContent>
        </w:sdt>
        <w:sdt>
          <w:sdtPr>
            <w:tag w:val="_PLD_6aa2190a976944ebbcbd0551027474a9"/>
            <w:id w:val="-1290269865"/>
          </w:sdtPr>
          <w:sdtEndPr/>
          <w:sdtContent>
            <w:tc>
              <w:tcPr>
                <w:tcW w:w="2582" w:type="pct"/>
                <w:gridSpan w:val="4"/>
                <w:shd w:val="clear" w:color="auto" w:fill="FFFFFF"/>
                <w:vAlign w:val="center"/>
              </w:tcPr>
              <w:p w14:paraId="0BC5C226" w14:textId="77777777" w:rsidR="00E57DAA" w:rsidRDefault="00AC4185">
                <w:pPr>
                  <w:widowControl w:val="0"/>
                  <w:jc w:val="center"/>
                </w:pPr>
                <w:r>
                  <w:rPr>
                    <w:rFonts w:hint="eastAsia"/>
                  </w:rPr>
                  <w:t>本期变动</w:t>
                </w:r>
                <w:r>
                  <w:t>金额</w:t>
                </w:r>
              </w:p>
            </w:tc>
          </w:sdtContent>
        </w:sdt>
        <w:sdt>
          <w:sdtPr>
            <w:tag w:val="_PLD_b9edf7d7d59c4a92b06644af7a055d81"/>
            <w:id w:val="1422758896"/>
          </w:sdtPr>
          <w:sdtEndPr/>
          <w:sdtContent>
            <w:tc>
              <w:tcPr>
                <w:tcW w:w="636" w:type="pct"/>
                <w:vMerge w:val="restart"/>
                <w:shd w:val="clear" w:color="auto" w:fill="FFFFFF"/>
                <w:vAlign w:val="center"/>
              </w:tcPr>
              <w:p w14:paraId="3CB5F11D" w14:textId="77777777" w:rsidR="00E57DAA" w:rsidRDefault="00AC4185">
                <w:pPr>
                  <w:widowControl w:val="0"/>
                  <w:jc w:val="center"/>
                </w:pPr>
                <w:r>
                  <w:t>期末余额</w:t>
                </w:r>
              </w:p>
            </w:tc>
          </w:sdtContent>
        </w:sdt>
      </w:tr>
      <w:tr w:rsidR="00E57DAA" w14:paraId="2A359DDF" w14:textId="77777777">
        <w:tc>
          <w:tcPr>
            <w:tcW w:w="958" w:type="pct"/>
            <w:vMerge/>
            <w:shd w:val="clear" w:color="auto" w:fill="FFFFFF"/>
          </w:tcPr>
          <w:p w14:paraId="4AA77662" w14:textId="77777777" w:rsidR="00E57DAA" w:rsidRDefault="00E57DAA">
            <w:pPr>
              <w:widowControl w:val="0"/>
              <w:jc w:val="center"/>
            </w:pPr>
          </w:p>
        </w:tc>
        <w:tc>
          <w:tcPr>
            <w:tcW w:w="824" w:type="pct"/>
            <w:vMerge/>
            <w:shd w:val="clear" w:color="auto" w:fill="FFFFFF"/>
          </w:tcPr>
          <w:p w14:paraId="15756845" w14:textId="77777777" w:rsidR="00E57DAA" w:rsidRDefault="00E57DAA">
            <w:pPr>
              <w:widowControl w:val="0"/>
              <w:jc w:val="right"/>
            </w:pPr>
          </w:p>
        </w:tc>
        <w:sdt>
          <w:sdtPr>
            <w:tag w:val="_PLD_36062efa6f854d3c8eee6ca1e0b72bca"/>
            <w:id w:val="-1005819320"/>
          </w:sdtPr>
          <w:sdtEndPr/>
          <w:sdtContent>
            <w:tc>
              <w:tcPr>
                <w:tcW w:w="431" w:type="pct"/>
                <w:shd w:val="clear" w:color="auto" w:fill="FFFFFF"/>
                <w:vAlign w:val="center"/>
              </w:tcPr>
              <w:p w14:paraId="542DCA4D" w14:textId="77777777" w:rsidR="00E57DAA" w:rsidRDefault="00AC4185">
                <w:pPr>
                  <w:widowControl w:val="0"/>
                  <w:jc w:val="center"/>
                </w:pPr>
                <w:r>
                  <w:t>计提</w:t>
                </w:r>
              </w:p>
            </w:tc>
          </w:sdtContent>
        </w:sdt>
        <w:sdt>
          <w:sdtPr>
            <w:tag w:val="_PLD_0b4224d18fad47e08fa90eb4f8c7e612"/>
            <w:id w:val="-1385257205"/>
          </w:sdtPr>
          <w:sdtEndPr/>
          <w:sdtContent>
            <w:tc>
              <w:tcPr>
                <w:tcW w:w="806" w:type="pct"/>
                <w:shd w:val="clear" w:color="auto" w:fill="FFFFFF"/>
                <w:vAlign w:val="center"/>
              </w:tcPr>
              <w:p w14:paraId="7BB6BE64" w14:textId="77777777" w:rsidR="00E57DAA" w:rsidRDefault="00AC4185">
                <w:pPr>
                  <w:widowControl w:val="0"/>
                  <w:jc w:val="center"/>
                </w:pPr>
                <w:r>
                  <w:rPr>
                    <w:rFonts w:hint="eastAsia"/>
                  </w:rPr>
                  <w:t>收回或转回</w:t>
                </w:r>
              </w:p>
            </w:tc>
          </w:sdtContent>
        </w:sdt>
        <w:tc>
          <w:tcPr>
            <w:tcW w:w="783" w:type="pct"/>
            <w:shd w:val="clear" w:color="auto" w:fill="FFFFFF"/>
            <w:vAlign w:val="center"/>
          </w:tcPr>
          <w:sdt>
            <w:sdtPr>
              <w:rPr>
                <w:rFonts w:hint="eastAsia"/>
              </w:rPr>
              <w:tag w:val="_PLD_dff8ef418de94a2b8e2615f6e297e890"/>
              <w:id w:val="-1374221512"/>
            </w:sdtPr>
            <w:sdtEndPr/>
            <w:sdtContent>
              <w:p w14:paraId="2CB2FB0A" w14:textId="77777777" w:rsidR="00E57DAA" w:rsidRDefault="00AC4185">
                <w:pPr>
                  <w:widowControl w:val="0"/>
                  <w:jc w:val="center"/>
                </w:pPr>
                <w:r>
                  <w:rPr>
                    <w:rFonts w:hint="eastAsia"/>
                  </w:rPr>
                  <w:t>转销或核销</w:t>
                </w:r>
              </w:p>
            </w:sdtContent>
          </w:sdt>
        </w:tc>
        <w:tc>
          <w:tcPr>
            <w:tcW w:w="562" w:type="pct"/>
            <w:shd w:val="clear" w:color="auto" w:fill="FFFFFF"/>
          </w:tcPr>
          <w:sdt>
            <w:sdtPr>
              <w:rPr>
                <w:rFonts w:hint="eastAsia"/>
              </w:rPr>
              <w:tag w:val="_PLD_529e6104ed0640fcab7db5615e37639f"/>
              <w:id w:val="-1349553531"/>
            </w:sdtPr>
            <w:sdtEndPr/>
            <w:sdtContent>
              <w:p w14:paraId="69557A15" w14:textId="77777777" w:rsidR="00E57DAA" w:rsidRDefault="00AC4185">
                <w:pPr>
                  <w:widowControl w:val="0"/>
                  <w:jc w:val="right"/>
                </w:pPr>
                <w:r>
                  <w:rPr>
                    <w:rFonts w:hint="eastAsia"/>
                  </w:rPr>
                  <w:t>其他变动</w:t>
                </w:r>
              </w:p>
            </w:sdtContent>
          </w:sdt>
        </w:tc>
        <w:tc>
          <w:tcPr>
            <w:tcW w:w="636" w:type="pct"/>
            <w:vMerge/>
            <w:shd w:val="clear" w:color="auto" w:fill="FFFFFF"/>
          </w:tcPr>
          <w:p w14:paraId="0F397476" w14:textId="77777777" w:rsidR="00E57DAA" w:rsidRDefault="00E57DAA">
            <w:pPr>
              <w:widowControl w:val="0"/>
              <w:jc w:val="right"/>
            </w:pPr>
          </w:p>
        </w:tc>
      </w:tr>
      <w:tr w:rsidR="00E57DAA" w14:paraId="61985E49" w14:textId="77777777">
        <w:tc>
          <w:tcPr>
            <w:tcW w:w="958" w:type="pct"/>
            <w:shd w:val="clear" w:color="auto" w:fill="auto"/>
          </w:tcPr>
          <w:p w14:paraId="65F64708" w14:textId="77777777" w:rsidR="00E57DAA" w:rsidRDefault="00AC4185">
            <w:pPr>
              <w:widowControl w:val="0"/>
            </w:pPr>
            <w:r>
              <w:rPr>
                <w:rFonts w:hint="eastAsia"/>
              </w:rPr>
              <w:t>商业承兑汇票</w:t>
            </w:r>
          </w:p>
        </w:tc>
        <w:tc>
          <w:tcPr>
            <w:tcW w:w="824" w:type="pct"/>
            <w:shd w:val="clear" w:color="auto" w:fill="auto"/>
            <w:vAlign w:val="center"/>
          </w:tcPr>
          <w:p w14:paraId="340FE1A3" w14:textId="77777777" w:rsidR="00E57DAA" w:rsidRDefault="00AC4185">
            <w:pPr>
              <w:widowControl w:val="0"/>
              <w:jc w:val="right"/>
            </w:pPr>
            <w:r>
              <w:t>1,254,304.69</w:t>
            </w:r>
          </w:p>
        </w:tc>
        <w:tc>
          <w:tcPr>
            <w:tcW w:w="431" w:type="pct"/>
            <w:shd w:val="clear" w:color="auto" w:fill="auto"/>
            <w:vAlign w:val="center"/>
          </w:tcPr>
          <w:p w14:paraId="604FFAFC" w14:textId="77777777" w:rsidR="00E57DAA" w:rsidRDefault="00E57DAA">
            <w:pPr>
              <w:widowControl w:val="0"/>
              <w:jc w:val="right"/>
            </w:pPr>
          </w:p>
        </w:tc>
        <w:tc>
          <w:tcPr>
            <w:tcW w:w="806" w:type="pct"/>
            <w:shd w:val="clear" w:color="auto" w:fill="auto"/>
            <w:vAlign w:val="center"/>
          </w:tcPr>
          <w:p w14:paraId="775C8E67" w14:textId="77777777" w:rsidR="00E57DAA" w:rsidRDefault="00AC4185">
            <w:pPr>
              <w:widowControl w:val="0"/>
              <w:jc w:val="right"/>
            </w:pPr>
            <w:r>
              <w:t>1,212,141.81</w:t>
            </w:r>
          </w:p>
        </w:tc>
        <w:tc>
          <w:tcPr>
            <w:tcW w:w="783" w:type="pct"/>
            <w:vAlign w:val="center"/>
          </w:tcPr>
          <w:p w14:paraId="34D00519" w14:textId="77777777" w:rsidR="00E57DAA" w:rsidRDefault="00E57DAA">
            <w:pPr>
              <w:widowControl w:val="0"/>
              <w:jc w:val="right"/>
            </w:pPr>
          </w:p>
        </w:tc>
        <w:tc>
          <w:tcPr>
            <w:tcW w:w="562" w:type="pct"/>
            <w:vAlign w:val="center"/>
          </w:tcPr>
          <w:p w14:paraId="2B605757" w14:textId="77777777" w:rsidR="00E57DAA" w:rsidRDefault="00E57DAA">
            <w:pPr>
              <w:widowControl w:val="0"/>
              <w:jc w:val="right"/>
            </w:pPr>
          </w:p>
        </w:tc>
        <w:tc>
          <w:tcPr>
            <w:tcW w:w="636" w:type="pct"/>
            <w:shd w:val="clear" w:color="auto" w:fill="auto"/>
            <w:vAlign w:val="center"/>
          </w:tcPr>
          <w:p w14:paraId="2A03747B" w14:textId="77777777" w:rsidR="00E57DAA" w:rsidRDefault="00AC4185">
            <w:pPr>
              <w:widowControl w:val="0"/>
              <w:jc w:val="right"/>
            </w:pPr>
            <w:r>
              <w:t>42,162.88</w:t>
            </w:r>
          </w:p>
        </w:tc>
      </w:tr>
      <w:tr w:rsidR="00E57DAA" w14:paraId="4A1B871C" w14:textId="77777777">
        <w:tc>
          <w:tcPr>
            <w:tcW w:w="958" w:type="pct"/>
            <w:shd w:val="clear" w:color="auto" w:fill="auto"/>
          </w:tcPr>
          <w:p w14:paraId="2D65FAED" w14:textId="77777777" w:rsidR="00E57DAA" w:rsidRDefault="00AC4185">
            <w:pPr>
              <w:widowControl w:val="0"/>
              <w:jc w:val="center"/>
            </w:pPr>
            <w:r>
              <w:rPr>
                <w:rFonts w:hint="eastAsia"/>
              </w:rPr>
              <w:t>合计</w:t>
            </w:r>
          </w:p>
        </w:tc>
        <w:tc>
          <w:tcPr>
            <w:tcW w:w="824" w:type="pct"/>
            <w:shd w:val="clear" w:color="auto" w:fill="auto"/>
            <w:vAlign w:val="center"/>
          </w:tcPr>
          <w:p w14:paraId="3C5818DC" w14:textId="77777777" w:rsidR="00E57DAA" w:rsidRDefault="00AC4185">
            <w:pPr>
              <w:widowControl w:val="0"/>
              <w:jc w:val="right"/>
            </w:pPr>
            <w:r>
              <w:t>1,254,304.69</w:t>
            </w:r>
          </w:p>
        </w:tc>
        <w:tc>
          <w:tcPr>
            <w:tcW w:w="431" w:type="pct"/>
            <w:shd w:val="clear" w:color="auto" w:fill="auto"/>
            <w:vAlign w:val="center"/>
          </w:tcPr>
          <w:p w14:paraId="1ABE83B2" w14:textId="77777777" w:rsidR="00E57DAA" w:rsidRDefault="00E57DAA">
            <w:pPr>
              <w:widowControl w:val="0"/>
              <w:jc w:val="right"/>
            </w:pPr>
          </w:p>
        </w:tc>
        <w:tc>
          <w:tcPr>
            <w:tcW w:w="806" w:type="pct"/>
            <w:shd w:val="clear" w:color="auto" w:fill="auto"/>
            <w:vAlign w:val="center"/>
          </w:tcPr>
          <w:p w14:paraId="19CEF9FD" w14:textId="77777777" w:rsidR="00E57DAA" w:rsidRDefault="00AC4185">
            <w:pPr>
              <w:widowControl w:val="0"/>
              <w:jc w:val="right"/>
            </w:pPr>
            <w:r>
              <w:t>1,212,141.81</w:t>
            </w:r>
          </w:p>
        </w:tc>
        <w:tc>
          <w:tcPr>
            <w:tcW w:w="783" w:type="pct"/>
            <w:vAlign w:val="center"/>
          </w:tcPr>
          <w:p w14:paraId="34592CD6" w14:textId="77777777" w:rsidR="00E57DAA" w:rsidRDefault="00E57DAA">
            <w:pPr>
              <w:widowControl w:val="0"/>
              <w:jc w:val="right"/>
            </w:pPr>
          </w:p>
        </w:tc>
        <w:tc>
          <w:tcPr>
            <w:tcW w:w="562" w:type="pct"/>
            <w:vAlign w:val="center"/>
          </w:tcPr>
          <w:p w14:paraId="5C19E3FC" w14:textId="77777777" w:rsidR="00E57DAA" w:rsidRDefault="00E57DAA">
            <w:pPr>
              <w:widowControl w:val="0"/>
              <w:jc w:val="right"/>
            </w:pPr>
          </w:p>
        </w:tc>
        <w:tc>
          <w:tcPr>
            <w:tcW w:w="636" w:type="pct"/>
            <w:shd w:val="clear" w:color="auto" w:fill="auto"/>
            <w:vAlign w:val="center"/>
          </w:tcPr>
          <w:p w14:paraId="684C1702" w14:textId="77777777" w:rsidR="00E57DAA" w:rsidRDefault="00AC4185">
            <w:pPr>
              <w:widowControl w:val="0"/>
              <w:jc w:val="right"/>
            </w:pPr>
            <w:r>
              <w:t>42,162.88</w:t>
            </w:r>
          </w:p>
        </w:tc>
      </w:tr>
    </w:tbl>
    <w:p w14:paraId="1D1B1FC8" w14:textId="77777777" w:rsidR="00E57DAA" w:rsidRDefault="00E57DAA">
      <w:pPr>
        <w:rPr>
          <w:szCs w:val="21"/>
        </w:rPr>
      </w:pPr>
    </w:p>
    <w:p w14:paraId="349EF0A2" w14:textId="77777777" w:rsidR="00E57DAA" w:rsidRDefault="00AC4185" w:rsidP="00C25422">
      <w:pPr>
        <w:pStyle w:val="92"/>
      </w:pPr>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978460295"/>
        <w:placeholder>
          <w:docPart w:val="GBC22222222222222222222222222222"/>
        </w:placeholder>
      </w:sdtPr>
      <w:sdtEndPr/>
      <w:sdtContent>
        <w:p w14:paraId="50823A7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08AE62" w14:textId="77777777" w:rsidR="00E57DAA" w:rsidRDefault="00E57DAA" w:rsidP="00C25422">
      <w:pPr>
        <w:pStyle w:val="92"/>
      </w:pPr>
    </w:p>
    <w:p w14:paraId="7B16BB51" w14:textId="77777777" w:rsidR="00E57DAA" w:rsidRDefault="00AC4185">
      <w:pPr>
        <w:pStyle w:val="4"/>
        <w:numPr>
          <w:ilvl w:val="3"/>
          <w:numId w:val="70"/>
        </w:numPr>
        <w:ind w:left="426" w:hanging="426"/>
      </w:pPr>
      <w:bookmarkStart w:id="194" w:name="_Hlk532982011"/>
      <w:bookmarkStart w:id="195" w:name="_Hlk152837614"/>
      <w:bookmarkEnd w:id="192"/>
      <w:r>
        <w:rPr>
          <w:rFonts w:hint="eastAsia"/>
        </w:rPr>
        <w:t>本期实际核销的应收票据情况</w:t>
      </w:r>
    </w:p>
    <w:bookmarkEnd w:id="193" w:displacedByCustomXml="next"/>
    <w:sdt>
      <w:sdtPr>
        <w:alias w:val="是否适用：实际核销的应收票据[双击切换]"/>
        <w:tag w:val="_GBC_a0d8af67abfc4a1698fd198064d3b108"/>
        <w:id w:val="1317223605"/>
        <w:placeholder>
          <w:docPart w:val="GBC22222222222222222222222222222"/>
        </w:placeholder>
      </w:sdtPr>
      <w:sdtEndPr/>
      <w:sdtContent>
        <w:p w14:paraId="321D0AD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3589B0" w14:textId="77777777" w:rsidR="00E57DAA" w:rsidRDefault="00E57DAA">
      <w:pPr>
        <w:rPr>
          <w:szCs w:val="21"/>
        </w:rPr>
      </w:pPr>
    </w:p>
    <w:p w14:paraId="63EFE586" w14:textId="77777777" w:rsidR="00E57DAA" w:rsidRDefault="00AC4185">
      <w:pPr>
        <w:rPr>
          <w:szCs w:val="21"/>
        </w:rPr>
      </w:pPr>
      <w:r>
        <w:rPr>
          <w:rFonts w:hint="eastAsia"/>
          <w:szCs w:val="21"/>
        </w:rPr>
        <w:t>其中重要的应收票据核销情况：</w:t>
      </w:r>
    </w:p>
    <w:bookmarkEnd w:id="195" w:displacedByCustomXml="next"/>
    <w:bookmarkStart w:id="196" w:name="_Hlk152837635" w:displacedByCustomXml="next"/>
    <w:sdt>
      <w:sdtPr>
        <w:rPr>
          <w:szCs w:val="21"/>
        </w:rPr>
        <w:alias w:val="是否适用：重要的应收票据核销[双击切换]"/>
        <w:tag w:val="_GBC_8a4eb0fe2cd044db955869f172508ff4"/>
        <w:id w:val="800351262"/>
        <w:placeholder>
          <w:docPart w:val="GBC22222222222222222222222222222"/>
        </w:placeholder>
      </w:sdtPr>
      <w:sdtEndPr/>
      <w:sdtContent>
        <w:p w14:paraId="0545358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6"/>
    <w:p w14:paraId="4B241CF7" w14:textId="77777777" w:rsidR="00E57DAA" w:rsidRDefault="00E57DAA">
      <w:pPr>
        <w:rPr>
          <w:szCs w:val="21"/>
        </w:rPr>
      </w:pPr>
    </w:p>
    <w:p w14:paraId="43781928" w14:textId="77777777" w:rsidR="00E57DAA" w:rsidRDefault="00AC4185">
      <w:pPr>
        <w:snapToGrid w:val="0"/>
        <w:spacing w:line="240" w:lineRule="atLeast"/>
        <w:rPr>
          <w:szCs w:val="21"/>
        </w:rPr>
      </w:pPr>
      <w:r>
        <w:rPr>
          <w:rFonts w:hint="eastAsia"/>
          <w:szCs w:val="21"/>
        </w:rPr>
        <w:t>应收票据核销说明：</w:t>
      </w:r>
    </w:p>
    <w:bookmarkStart w:id="197" w:name="_Hlk152837641" w:displacedByCustomXml="next"/>
    <w:sdt>
      <w:sdtPr>
        <w:rPr>
          <w:rFonts w:asciiTheme="minorHAnsi" w:hAnsiTheme="minorHAnsi" w:cstheme="minorBidi"/>
          <w:bCs/>
          <w:szCs w:val="22"/>
        </w:rPr>
        <w:alias w:val="是否适用：应收票据核销说明[双击切换]"/>
        <w:tag w:val="_GBC_8e9a6863f024409f96d0d85cebbd362b"/>
        <w:id w:val="993689676"/>
        <w:placeholder>
          <w:docPart w:val="GBC22222222222222222222222222222"/>
        </w:placeholder>
      </w:sdtPr>
      <w:sdtEndPr/>
      <w:sdtContent>
        <w:p w14:paraId="7169DCCF" w14:textId="77777777" w:rsidR="00E57DAA" w:rsidRDefault="00AC4185">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End w:id="197"/>
    <w:p w14:paraId="0548E3C5" w14:textId="77777777" w:rsidR="00E57DAA" w:rsidRDefault="00E57DAA">
      <w:pPr>
        <w:rPr>
          <w:rFonts w:asciiTheme="minorHAnsi" w:hAnsiTheme="minorHAnsi" w:cstheme="minorBidi"/>
          <w:b/>
          <w:bCs/>
          <w:szCs w:val="22"/>
        </w:rPr>
      </w:pPr>
    </w:p>
    <w:p w14:paraId="5856A5B3" w14:textId="77777777" w:rsidR="00E57DAA" w:rsidRDefault="00AC4185" w:rsidP="00C25422">
      <w:pPr>
        <w:pStyle w:val="92"/>
      </w:pPr>
      <w:r>
        <w:rPr>
          <w:rFonts w:hint="eastAsia"/>
        </w:rPr>
        <w:t>其他说明</w:t>
      </w:r>
    </w:p>
    <w:bookmarkEnd w:id="194" w:displacedByCustomXml="next"/>
    <w:sdt>
      <w:sdtPr>
        <w:alias w:val="是否适用：应收票据的说明[双击切换]"/>
        <w:tag w:val="_GBC_dc21e09520924a5db7020ba029631550"/>
        <w:id w:val="1224643427"/>
        <w:placeholder>
          <w:docPart w:val="GBC22222222222222222222222222222"/>
        </w:placeholder>
      </w:sdtPr>
      <w:sdtEndPr/>
      <w:sdtContent>
        <w:p w14:paraId="0F1FB985"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1CCF99" w14:textId="77777777" w:rsidR="00E57DAA" w:rsidRDefault="00E57DAA">
      <w:pPr>
        <w:snapToGrid w:val="0"/>
        <w:spacing w:line="240" w:lineRule="atLeast"/>
        <w:rPr>
          <w:szCs w:val="21"/>
        </w:rPr>
      </w:pPr>
    </w:p>
    <w:p w14:paraId="1F5507D6" w14:textId="77777777" w:rsidR="00E57DAA" w:rsidRDefault="00E57DAA" w:rsidP="00C25422">
      <w:pPr>
        <w:pStyle w:val="91"/>
        <w:numPr>
          <w:ilvl w:val="0"/>
          <w:numId w:val="69"/>
        </w:numPr>
        <w:sectPr w:rsidR="00E57DAA" w:rsidSect="00226547">
          <w:pgSz w:w="11906" w:h="16838"/>
          <w:pgMar w:top="1440" w:right="1797" w:bottom="1525" w:left="1276" w:header="856" w:footer="992" w:gutter="0"/>
          <w:cols w:space="425"/>
          <w:docGrid w:linePitch="312"/>
        </w:sectPr>
      </w:pPr>
    </w:p>
    <w:p w14:paraId="1C1A5BC2" w14:textId="77777777" w:rsidR="00E57DAA" w:rsidRDefault="00AC4185" w:rsidP="00C25422">
      <w:pPr>
        <w:pStyle w:val="91"/>
        <w:numPr>
          <w:ilvl w:val="0"/>
          <w:numId w:val="69"/>
        </w:numPr>
      </w:pPr>
      <w:r>
        <w:rPr>
          <w:rFonts w:hint="eastAsia"/>
        </w:rPr>
        <w:lastRenderedPageBreak/>
        <w:t>应收账款</w:t>
      </w:r>
    </w:p>
    <w:p w14:paraId="3A3EF21A" w14:textId="77777777" w:rsidR="00E57DAA" w:rsidRDefault="00AC4185">
      <w:pPr>
        <w:pStyle w:val="4"/>
        <w:numPr>
          <w:ilvl w:val="3"/>
          <w:numId w:val="71"/>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1487234578"/>
      </w:sdtPr>
      <w:sdtEndPr/>
      <w:sdtContent>
        <w:p w14:paraId="1BDA9402" w14:textId="77777777" w:rsidR="00E57DAA" w:rsidRDefault="00AC4185">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2B6CCBEC" w14:textId="77777777" w:rsidR="00E57DAA" w:rsidRDefault="00AC4185">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179297252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24172430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3"/>
        <w:gridCol w:w="4675"/>
        <w:gridCol w:w="4675"/>
      </w:tblGrid>
      <w:tr w:rsidR="00E57DAA" w14:paraId="0248102A" w14:textId="77777777">
        <w:trPr>
          <w:cantSplit/>
        </w:trPr>
        <w:sdt>
          <w:sdtPr>
            <w:tag w:val="_PLD_987827fb8f754c15801979884cb78127"/>
            <w:id w:val="367567226"/>
          </w:sdtPr>
          <w:sdtEndPr/>
          <w:sdtContent>
            <w:tc>
              <w:tcPr>
                <w:tcW w:w="1628" w:type="pct"/>
                <w:tcBorders>
                  <w:top w:val="single" w:sz="4" w:space="0" w:color="auto"/>
                  <w:left w:val="single" w:sz="4" w:space="0" w:color="auto"/>
                  <w:bottom w:val="single" w:sz="4" w:space="0" w:color="auto"/>
                  <w:right w:val="single" w:sz="4" w:space="0" w:color="auto"/>
                </w:tcBorders>
                <w:vAlign w:val="center"/>
              </w:tcPr>
              <w:p w14:paraId="07D7E33F" w14:textId="77777777" w:rsidR="00E57DAA" w:rsidRDefault="00AC4185">
                <w:pPr>
                  <w:jc w:val="center"/>
                  <w:rPr>
                    <w:szCs w:val="21"/>
                  </w:rPr>
                </w:pPr>
                <w:r>
                  <w:rPr>
                    <w:rFonts w:hint="eastAsia"/>
                    <w:szCs w:val="21"/>
                  </w:rPr>
                  <w:t>账龄</w:t>
                </w:r>
              </w:p>
            </w:tc>
          </w:sdtContent>
        </w:sdt>
        <w:sdt>
          <w:sdtPr>
            <w:tag w:val="_PLD_53a2def126e844eabd4ea223442a8a87"/>
            <w:id w:val="710385883"/>
          </w:sdtPr>
          <w:sdtEndPr/>
          <w:sdtContent>
            <w:tc>
              <w:tcPr>
                <w:tcW w:w="1686" w:type="pct"/>
                <w:tcBorders>
                  <w:top w:val="single" w:sz="4" w:space="0" w:color="auto"/>
                  <w:left w:val="single" w:sz="4" w:space="0" w:color="auto"/>
                  <w:bottom w:val="single" w:sz="4" w:space="0" w:color="auto"/>
                  <w:right w:val="single" w:sz="4" w:space="0" w:color="auto"/>
                </w:tcBorders>
                <w:vAlign w:val="center"/>
              </w:tcPr>
              <w:p w14:paraId="00359872" w14:textId="77777777" w:rsidR="00E57DAA" w:rsidRDefault="00AC4185">
                <w:pPr>
                  <w:jc w:val="center"/>
                  <w:rPr>
                    <w:szCs w:val="21"/>
                  </w:rPr>
                </w:pPr>
                <w:r>
                  <w:rPr>
                    <w:rFonts w:hint="eastAsia"/>
                    <w:szCs w:val="21"/>
                  </w:rPr>
                  <w:t>期末账面余额</w:t>
                </w:r>
              </w:p>
            </w:tc>
          </w:sdtContent>
        </w:sdt>
        <w:sdt>
          <w:sdtPr>
            <w:rPr>
              <w:rFonts w:hint="eastAsia"/>
            </w:rPr>
            <w:tag w:val="_PLD_a827d93406c24ad3bf1a17438f1117c1"/>
            <w:id w:val="1562896837"/>
          </w:sdtPr>
          <w:sdtEndPr/>
          <w:sdtContent>
            <w:tc>
              <w:tcPr>
                <w:tcW w:w="1686" w:type="pct"/>
                <w:tcBorders>
                  <w:top w:val="single" w:sz="4" w:space="0" w:color="auto"/>
                  <w:left w:val="single" w:sz="4" w:space="0" w:color="auto"/>
                  <w:bottom w:val="single" w:sz="4" w:space="0" w:color="auto"/>
                  <w:right w:val="single" w:sz="4" w:space="0" w:color="auto"/>
                </w:tcBorders>
              </w:tcPr>
              <w:p w14:paraId="2325F581" w14:textId="77777777" w:rsidR="00E57DAA" w:rsidRDefault="00AC4185">
                <w:pPr>
                  <w:jc w:val="center"/>
                </w:pPr>
                <w:r>
                  <w:rPr>
                    <w:rFonts w:hint="eastAsia"/>
                  </w:rPr>
                  <w:t>期初账面余额</w:t>
                </w:r>
              </w:p>
            </w:tc>
          </w:sdtContent>
        </w:sdt>
      </w:tr>
      <w:tr w:rsidR="00E57DAA" w14:paraId="2F61A868" w14:textId="77777777">
        <w:trPr>
          <w:cantSplit/>
        </w:trPr>
        <w:sdt>
          <w:sdtPr>
            <w:tag w:val="_PLD_311560db02fd4399b97a79d7c7fe4ca3"/>
            <w:id w:val="-1634854777"/>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21A0C2E6" w14:textId="77777777" w:rsidR="00E57DAA" w:rsidRDefault="00AC4185">
                <w:pPr>
                  <w:rPr>
                    <w:color w:val="FF0000"/>
                    <w:szCs w:val="21"/>
                  </w:rPr>
                </w:pPr>
                <w:r>
                  <w:rPr>
                    <w:rFonts w:hint="eastAsia"/>
                    <w:szCs w:val="21"/>
                  </w:rPr>
                  <w:t>1年以内</w:t>
                </w:r>
              </w:p>
            </w:tc>
          </w:sdtContent>
        </w:sdt>
      </w:tr>
      <w:tr w:rsidR="00E57DAA" w14:paraId="4F211D88" w14:textId="77777777">
        <w:trPr>
          <w:cantSplit/>
        </w:trPr>
        <w:sdt>
          <w:sdtPr>
            <w:tag w:val="_PLD_785750c92d5d486990596d8d5b2f4a1f"/>
            <w:id w:val="951058624"/>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508666C3" w14:textId="77777777" w:rsidR="00E57DAA" w:rsidRDefault="00AC4185">
                <w:pPr>
                  <w:rPr>
                    <w:szCs w:val="21"/>
                  </w:rPr>
                </w:pPr>
                <w:r>
                  <w:rPr>
                    <w:rFonts w:hint="eastAsia"/>
                    <w:szCs w:val="21"/>
                  </w:rPr>
                  <w:t>其中：1年以内分项</w:t>
                </w:r>
              </w:p>
            </w:tc>
          </w:sdtContent>
        </w:sdt>
      </w:tr>
      <w:sdt>
        <w:sdtPr>
          <w:rPr>
            <w:szCs w:val="21"/>
          </w:rPr>
          <w:alias w:val="一年以内应收账款金额明细"/>
          <w:tag w:val="_TUP_5db7a5c2674d42d3bac3cb2e10590f73"/>
          <w:id w:val="186882805"/>
        </w:sdtPr>
        <w:sdtEndPr/>
        <w:sdtContent>
          <w:tr w:rsidR="00E57DAA" w14:paraId="34E2A941" w14:textId="77777777">
            <w:trPr>
              <w:cantSplit/>
            </w:trPr>
            <w:tc>
              <w:tcPr>
                <w:tcW w:w="1628" w:type="pct"/>
                <w:tcBorders>
                  <w:top w:val="single" w:sz="4" w:space="0" w:color="auto"/>
                  <w:left w:val="single" w:sz="4" w:space="0" w:color="auto"/>
                  <w:bottom w:val="single" w:sz="4" w:space="0" w:color="auto"/>
                  <w:right w:val="single" w:sz="4" w:space="0" w:color="auto"/>
                </w:tcBorders>
              </w:tcPr>
              <w:p w14:paraId="4476CA51" w14:textId="77777777" w:rsidR="00E57DAA" w:rsidRDefault="00AC4185">
                <w:pPr>
                  <w:rPr>
                    <w:szCs w:val="21"/>
                  </w:rPr>
                </w:pPr>
                <w:r>
                  <w:rPr>
                    <w:rFonts w:hint="eastAsia"/>
                    <w:szCs w:val="21"/>
                  </w:rPr>
                  <w:t>1年以内</w:t>
                </w:r>
              </w:p>
            </w:tc>
            <w:tc>
              <w:tcPr>
                <w:tcW w:w="1686" w:type="pct"/>
                <w:tcBorders>
                  <w:top w:val="single" w:sz="4" w:space="0" w:color="auto"/>
                  <w:left w:val="single" w:sz="4" w:space="0" w:color="auto"/>
                  <w:bottom w:val="single" w:sz="4" w:space="0" w:color="auto"/>
                  <w:right w:val="single" w:sz="4" w:space="0" w:color="auto"/>
                </w:tcBorders>
              </w:tcPr>
              <w:p w14:paraId="1C3C4C16" w14:textId="77777777" w:rsidR="00E57DAA" w:rsidRDefault="00AC4185">
                <w:pPr>
                  <w:jc w:val="right"/>
                  <w:rPr>
                    <w:szCs w:val="21"/>
                  </w:rPr>
                </w:pPr>
                <w:r>
                  <w:t>7,188,209,699.65</w:t>
                </w:r>
              </w:p>
            </w:tc>
            <w:tc>
              <w:tcPr>
                <w:tcW w:w="1686" w:type="pct"/>
                <w:tcBorders>
                  <w:top w:val="single" w:sz="4" w:space="0" w:color="auto"/>
                  <w:left w:val="single" w:sz="4" w:space="0" w:color="auto"/>
                  <w:bottom w:val="single" w:sz="4" w:space="0" w:color="auto"/>
                  <w:right w:val="single" w:sz="4" w:space="0" w:color="auto"/>
                </w:tcBorders>
              </w:tcPr>
              <w:p w14:paraId="503FA67B" w14:textId="77777777" w:rsidR="00E57DAA" w:rsidRDefault="00AC4185">
                <w:pPr>
                  <w:jc w:val="right"/>
                  <w:rPr>
                    <w:szCs w:val="21"/>
                  </w:rPr>
                </w:pPr>
                <w:r>
                  <w:t>6,023,626,749.03</w:t>
                </w:r>
              </w:p>
            </w:tc>
          </w:tr>
        </w:sdtContent>
      </w:sdt>
      <w:tr w:rsidR="00E57DAA" w14:paraId="14B64E38" w14:textId="77777777">
        <w:trPr>
          <w:cantSplit/>
        </w:trPr>
        <w:sdt>
          <w:sdtPr>
            <w:tag w:val="_PLD_885917f15d1a46499cb812cd100e3cf1"/>
            <w:id w:val="24148801"/>
          </w:sdtPr>
          <w:sdtEndPr/>
          <w:sdtContent>
            <w:tc>
              <w:tcPr>
                <w:tcW w:w="1628" w:type="pct"/>
                <w:tcBorders>
                  <w:top w:val="single" w:sz="4" w:space="0" w:color="auto"/>
                  <w:left w:val="single" w:sz="4" w:space="0" w:color="auto"/>
                  <w:bottom w:val="single" w:sz="4" w:space="0" w:color="auto"/>
                  <w:right w:val="single" w:sz="4" w:space="0" w:color="auto"/>
                </w:tcBorders>
              </w:tcPr>
              <w:p w14:paraId="76840404" w14:textId="77777777" w:rsidR="00E57DAA" w:rsidRDefault="00AC4185">
                <w:pPr>
                  <w:rPr>
                    <w:szCs w:val="21"/>
                  </w:rPr>
                </w:pPr>
                <w:r>
                  <w:rPr>
                    <w:rFonts w:hint="eastAsia"/>
                    <w:szCs w:val="21"/>
                  </w:rPr>
                  <w:t>1年以内小计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419B12C0" w14:textId="77777777" w:rsidR="00E57DAA" w:rsidRDefault="00AC4185">
            <w:pPr>
              <w:jc w:val="right"/>
              <w:rPr>
                <w:szCs w:val="21"/>
              </w:rPr>
            </w:pPr>
            <w:r>
              <w:rPr>
                <w:rFonts w:hint="eastAsia"/>
              </w:rPr>
              <w:t>7,188,209,699.65</w:t>
            </w:r>
          </w:p>
        </w:tc>
        <w:tc>
          <w:tcPr>
            <w:tcW w:w="1686" w:type="pct"/>
            <w:tcBorders>
              <w:top w:val="single" w:sz="4" w:space="0" w:color="auto"/>
              <w:left w:val="single" w:sz="4" w:space="0" w:color="auto"/>
              <w:bottom w:val="single" w:sz="4" w:space="0" w:color="auto"/>
              <w:right w:val="single" w:sz="4" w:space="0" w:color="auto"/>
            </w:tcBorders>
            <w:vAlign w:val="center"/>
          </w:tcPr>
          <w:p w14:paraId="752B2EFB" w14:textId="77777777" w:rsidR="00E57DAA" w:rsidRDefault="00AC4185">
            <w:pPr>
              <w:jc w:val="right"/>
              <w:rPr>
                <w:szCs w:val="21"/>
              </w:rPr>
            </w:pPr>
            <w:r>
              <w:rPr>
                <w:rFonts w:hint="eastAsia"/>
              </w:rPr>
              <w:t>6,023,626,749.03</w:t>
            </w:r>
          </w:p>
        </w:tc>
      </w:tr>
      <w:tr w:rsidR="00E57DAA" w14:paraId="07D9CB78" w14:textId="77777777">
        <w:trPr>
          <w:cantSplit/>
        </w:trPr>
        <w:sdt>
          <w:sdtPr>
            <w:tag w:val="_PLD_686411641a5e42038a85ce6c435c5e58"/>
            <w:id w:val="-1108578054"/>
          </w:sdtPr>
          <w:sdtEndPr/>
          <w:sdtContent>
            <w:tc>
              <w:tcPr>
                <w:tcW w:w="1628" w:type="pct"/>
                <w:tcBorders>
                  <w:top w:val="single" w:sz="4" w:space="0" w:color="auto"/>
                  <w:left w:val="single" w:sz="4" w:space="0" w:color="auto"/>
                  <w:bottom w:val="single" w:sz="4" w:space="0" w:color="auto"/>
                  <w:right w:val="single" w:sz="4" w:space="0" w:color="auto"/>
                </w:tcBorders>
              </w:tcPr>
              <w:p w14:paraId="30E377B6" w14:textId="77777777" w:rsidR="00E57DAA" w:rsidRDefault="00AC4185">
                <w:pPr>
                  <w:rPr>
                    <w:szCs w:val="21"/>
                  </w:rPr>
                </w:pPr>
                <w:r>
                  <w:rPr>
                    <w:rFonts w:hint="eastAsia"/>
                    <w:szCs w:val="21"/>
                  </w:rPr>
                  <w:t>1至2年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217451E4" w14:textId="77777777" w:rsidR="00E57DAA" w:rsidRDefault="00AC4185">
            <w:pPr>
              <w:jc w:val="right"/>
              <w:rPr>
                <w:szCs w:val="21"/>
              </w:rPr>
            </w:pPr>
            <w:r>
              <w:rPr>
                <w:rFonts w:hint="eastAsia"/>
              </w:rPr>
              <w:t>2,111,697,402.16</w:t>
            </w:r>
          </w:p>
        </w:tc>
        <w:tc>
          <w:tcPr>
            <w:tcW w:w="1686" w:type="pct"/>
            <w:tcBorders>
              <w:top w:val="single" w:sz="4" w:space="0" w:color="auto"/>
              <w:left w:val="single" w:sz="4" w:space="0" w:color="auto"/>
              <w:bottom w:val="single" w:sz="4" w:space="0" w:color="auto"/>
              <w:right w:val="single" w:sz="4" w:space="0" w:color="auto"/>
            </w:tcBorders>
            <w:vAlign w:val="center"/>
          </w:tcPr>
          <w:p w14:paraId="06766A54" w14:textId="77777777" w:rsidR="00E57DAA" w:rsidRDefault="00AC4185">
            <w:pPr>
              <w:jc w:val="right"/>
              <w:rPr>
                <w:szCs w:val="21"/>
              </w:rPr>
            </w:pPr>
            <w:r>
              <w:rPr>
                <w:rFonts w:hint="eastAsia"/>
              </w:rPr>
              <w:t>1,411,504,376.04</w:t>
            </w:r>
          </w:p>
        </w:tc>
      </w:tr>
      <w:tr w:rsidR="00E57DAA" w14:paraId="4A91278F" w14:textId="77777777">
        <w:trPr>
          <w:cantSplit/>
        </w:trPr>
        <w:sdt>
          <w:sdtPr>
            <w:tag w:val="_PLD_1d32a9d5ef5b4ddca6ca917435b115ac"/>
            <w:id w:val="2145923866"/>
          </w:sdtPr>
          <w:sdtEndPr/>
          <w:sdtContent>
            <w:tc>
              <w:tcPr>
                <w:tcW w:w="1628" w:type="pct"/>
                <w:tcBorders>
                  <w:top w:val="single" w:sz="4" w:space="0" w:color="auto"/>
                  <w:left w:val="single" w:sz="4" w:space="0" w:color="auto"/>
                  <w:bottom w:val="single" w:sz="4" w:space="0" w:color="auto"/>
                  <w:right w:val="single" w:sz="4" w:space="0" w:color="auto"/>
                </w:tcBorders>
              </w:tcPr>
              <w:p w14:paraId="495F81DA" w14:textId="77777777" w:rsidR="00E57DAA" w:rsidRDefault="00AC4185">
                <w:pPr>
                  <w:rPr>
                    <w:szCs w:val="21"/>
                  </w:rPr>
                </w:pPr>
                <w:r>
                  <w:rPr>
                    <w:rFonts w:hint="eastAsia"/>
                    <w:szCs w:val="21"/>
                  </w:rPr>
                  <w:t>2至3年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70055811" w14:textId="77777777" w:rsidR="00E57DAA" w:rsidRDefault="00AC4185">
            <w:pPr>
              <w:jc w:val="right"/>
              <w:rPr>
                <w:szCs w:val="21"/>
              </w:rPr>
            </w:pPr>
            <w:r>
              <w:rPr>
                <w:rFonts w:hint="eastAsia"/>
              </w:rPr>
              <w:t>834,015,191.42</w:t>
            </w:r>
          </w:p>
        </w:tc>
        <w:tc>
          <w:tcPr>
            <w:tcW w:w="1686" w:type="pct"/>
            <w:tcBorders>
              <w:top w:val="single" w:sz="4" w:space="0" w:color="auto"/>
              <w:left w:val="single" w:sz="4" w:space="0" w:color="auto"/>
              <w:bottom w:val="single" w:sz="4" w:space="0" w:color="auto"/>
              <w:right w:val="single" w:sz="4" w:space="0" w:color="auto"/>
            </w:tcBorders>
            <w:vAlign w:val="center"/>
          </w:tcPr>
          <w:p w14:paraId="18107625" w14:textId="77777777" w:rsidR="00E57DAA" w:rsidRDefault="00AC4185">
            <w:pPr>
              <w:jc w:val="right"/>
              <w:rPr>
                <w:szCs w:val="21"/>
              </w:rPr>
            </w:pPr>
            <w:r>
              <w:rPr>
                <w:rFonts w:hint="eastAsia"/>
              </w:rPr>
              <w:t>523,375,464.62</w:t>
            </w:r>
          </w:p>
        </w:tc>
      </w:tr>
      <w:tr w:rsidR="00E57DAA" w14:paraId="2B86EDF4" w14:textId="77777777">
        <w:trPr>
          <w:cantSplit/>
        </w:trPr>
        <w:sdt>
          <w:sdtPr>
            <w:tag w:val="_PLD_2be2a569e4bb439bbdda34aec0746396"/>
            <w:id w:val="-934290719"/>
          </w:sdtPr>
          <w:sdtEndPr/>
          <w:sdtContent>
            <w:tc>
              <w:tcPr>
                <w:tcW w:w="1628" w:type="pct"/>
                <w:tcBorders>
                  <w:top w:val="single" w:sz="4" w:space="0" w:color="auto"/>
                  <w:left w:val="single" w:sz="4" w:space="0" w:color="auto"/>
                  <w:bottom w:val="single" w:sz="4" w:space="0" w:color="auto"/>
                  <w:right w:val="single" w:sz="4" w:space="0" w:color="auto"/>
                </w:tcBorders>
              </w:tcPr>
              <w:p w14:paraId="3DA762AE" w14:textId="77777777" w:rsidR="00E57DAA" w:rsidRDefault="00AC4185">
                <w:pPr>
                  <w:rPr>
                    <w:szCs w:val="21"/>
                  </w:rPr>
                </w:pPr>
                <w:r>
                  <w:rPr>
                    <w:rFonts w:hint="eastAsia"/>
                    <w:szCs w:val="21"/>
                  </w:rPr>
                  <w:t>3年以上</w:t>
                </w:r>
              </w:p>
            </w:tc>
          </w:sdtContent>
        </w:sdt>
        <w:tc>
          <w:tcPr>
            <w:tcW w:w="1686" w:type="pct"/>
            <w:tcBorders>
              <w:top w:val="single" w:sz="4" w:space="0" w:color="auto"/>
              <w:left w:val="single" w:sz="4" w:space="0" w:color="auto"/>
              <w:bottom w:val="single" w:sz="4" w:space="0" w:color="auto"/>
              <w:right w:val="single" w:sz="4" w:space="0" w:color="auto"/>
            </w:tcBorders>
          </w:tcPr>
          <w:p w14:paraId="59817CDC" w14:textId="77777777" w:rsidR="00E57DAA" w:rsidRDefault="00E57DAA">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579FE0FB" w14:textId="77777777" w:rsidR="00E57DAA" w:rsidRDefault="00E57DAA">
            <w:pPr>
              <w:jc w:val="right"/>
              <w:rPr>
                <w:szCs w:val="21"/>
              </w:rPr>
            </w:pPr>
          </w:p>
        </w:tc>
      </w:tr>
      <w:tr w:rsidR="00E57DAA" w14:paraId="49F19374" w14:textId="77777777">
        <w:trPr>
          <w:cantSplit/>
        </w:trPr>
        <w:sdt>
          <w:sdtPr>
            <w:tag w:val="_PLD_51c1587433fc4304af214a25996abcb0"/>
            <w:id w:val="1541858260"/>
          </w:sdtPr>
          <w:sdtEndPr/>
          <w:sdtContent>
            <w:tc>
              <w:tcPr>
                <w:tcW w:w="1628" w:type="pct"/>
                <w:tcBorders>
                  <w:top w:val="single" w:sz="4" w:space="0" w:color="auto"/>
                  <w:left w:val="single" w:sz="4" w:space="0" w:color="auto"/>
                  <w:bottom w:val="single" w:sz="4" w:space="0" w:color="auto"/>
                  <w:right w:val="single" w:sz="4" w:space="0" w:color="auto"/>
                </w:tcBorders>
              </w:tcPr>
              <w:p w14:paraId="72636B46" w14:textId="77777777" w:rsidR="00E57DAA" w:rsidRDefault="00AC4185">
                <w:pPr>
                  <w:rPr>
                    <w:szCs w:val="21"/>
                  </w:rPr>
                </w:pPr>
                <w:r>
                  <w:rPr>
                    <w:rFonts w:hint="eastAsia"/>
                    <w:szCs w:val="21"/>
                  </w:rPr>
                  <w:t>3至4年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6B176120" w14:textId="77777777" w:rsidR="00E57DAA" w:rsidRDefault="00AC4185">
            <w:pPr>
              <w:jc w:val="right"/>
              <w:rPr>
                <w:szCs w:val="21"/>
              </w:rPr>
            </w:pPr>
            <w:r>
              <w:rPr>
                <w:rFonts w:hint="eastAsia"/>
              </w:rPr>
              <w:t>337,898,397.73</w:t>
            </w:r>
          </w:p>
        </w:tc>
        <w:tc>
          <w:tcPr>
            <w:tcW w:w="1686" w:type="pct"/>
            <w:tcBorders>
              <w:top w:val="single" w:sz="4" w:space="0" w:color="auto"/>
              <w:left w:val="single" w:sz="4" w:space="0" w:color="auto"/>
              <w:bottom w:val="single" w:sz="4" w:space="0" w:color="auto"/>
              <w:right w:val="single" w:sz="4" w:space="0" w:color="auto"/>
            </w:tcBorders>
            <w:vAlign w:val="center"/>
          </w:tcPr>
          <w:p w14:paraId="7AF5FCD6" w14:textId="77777777" w:rsidR="00E57DAA" w:rsidRDefault="00AC4185">
            <w:pPr>
              <w:jc w:val="right"/>
              <w:rPr>
                <w:szCs w:val="21"/>
              </w:rPr>
            </w:pPr>
            <w:r>
              <w:rPr>
                <w:rFonts w:hint="eastAsia"/>
              </w:rPr>
              <w:t>462,931,481.67</w:t>
            </w:r>
          </w:p>
        </w:tc>
      </w:tr>
      <w:tr w:rsidR="00E57DAA" w14:paraId="7FB927CF" w14:textId="77777777">
        <w:trPr>
          <w:cantSplit/>
        </w:trPr>
        <w:sdt>
          <w:sdtPr>
            <w:tag w:val="_PLD_783f5edc09cf4689bf1bab196aa7d963"/>
            <w:id w:val="-1714111351"/>
          </w:sdtPr>
          <w:sdtEndPr/>
          <w:sdtContent>
            <w:tc>
              <w:tcPr>
                <w:tcW w:w="1628" w:type="pct"/>
                <w:tcBorders>
                  <w:top w:val="single" w:sz="4" w:space="0" w:color="auto"/>
                  <w:left w:val="single" w:sz="4" w:space="0" w:color="auto"/>
                  <w:bottom w:val="single" w:sz="4" w:space="0" w:color="auto"/>
                  <w:right w:val="single" w:sz="4" w:space="0" w:color="auto"/>
                </w:tcBorders>
              </w:tcPr>
              <w:p w14:paraId="53B2B0C4" w14:textId="77777777" w:rsidR="00E57DAA" w:rsidRDefault="00AC4185">
                <w:pPr>
                  <w:rPr>
                    <w:szCs w:val="21"/>
                  </w:rPr>
                </w:pPr>
                <w:r>
                  <w:rPr>
                    <w:rFonts w:hint="eastAsia"/>
                    <w:szCs w:val="21"/>
                  </w:rPr>
                  <w:t>4至5年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09343110" w14:textId="77777777" w:rsidR="00E57DAA" w:rsidRDefault="00AC4185">
            <w:pPr>
              <w:jc w:val="right"/>
              <w:rPr>
                <w:szCs w:val="21"/>
              </w:rPr>
            </w:pPr>
            <w:r>
              <w:rPr>
                <w:rFonts w:hint="eastAsia"/>
              </w:rPr>
              <w:t>156,506,292.31</w:t>
            </w:r>
          </w:p>
        </w:tc>
        <w:tc>
          <w:tcPr>
            <w:tcW w:w="1686" w:type="pct"/>
            <w:tcBorders>
              <w:top w:val="single" w:sz="4" w:space="0" w:color="auto"/>
              <w:left w:val="single" w:sz="4" w:space="0" w:color="auto"/>
              <w:bottom w:val="single" w:sz="4" w:space="0" w:color="auto"/>
              <w:right w:val="single" w:sz="4" w:space="0" w:color="auto"/>
            </w:tcBorders>
            <w:vAlign w:val="center"/>
          </w:tcPr>
          <w:p w14:paraId="324AEED5" w14:textId="77777777" w:rsidR="00E57DAA" w:rsidRDefault="00AC4185">
            <w:pPr>
              <w:jc w:val="right"/>
              <w:rPr>
                <w:szCs w:val="21"/>
              </w:rPr>
            </w:pPr>
            <w:r>
              <w:rPr>
                <w:rFonts w:hint="eastAsia"/>
              </w:rPr>
              <w:t>236,183,050.29</w:t>
            </w:r>
          </w:p>
        </w:tc>
      </w:tr>
      <w:tr w:rsidR="00E57DAA" w14:paraId="69F0949B" w14:textId="77777777">
        <w:trPr>
          <w:cantSplit/>
        </w:trPr>
        <w:sdt>
          <w:sdtPr>
            <w:tag w:val="_PLD_35d4b8083f1340abbb03a5509bd8e56c"/>
            <w:id w:val="815618759"/>
          </w:sdtPr>
          <w:sdtEndPr/>
          <w:sdtContent>
            <w:tc>
              <w:tcPr>
                <w:tcW w:w="1628" w:type="pct"/>
                <w:tcBorders>
                  <w:top w:val="single" w:sz="4" w:space="0" w:color="auto"/>
                  <w:left w:val="single" w:sz="4" w:space="0" w:color="auto"/>
                  <w:bottom w:val="single" w:sz="4" w:space="0" w:color="auto"/>
                  <w:right w:val="single" w:sz="4" w:space="0" w:color="auto"/>
                </w:tcBorders>
              </w:tcPr>
              <w:p w14:paraId="7D392682" w14:textId="77777777" w:rsidR="00E57DAA" w:rsidRDefault="00AC4185">
                <w:pPr>
                  <w:rPr>
                    <w:szCs w:val="21"/>
                  </w:rPr>
                </w:pPr>
                <w:r>
                  <w:rPr>
                    <w:rFonts w:hint="eastAsia"/>
                    <w:szCs w:val="21"/>
                  </w:rPr>
                  <w:t>5年以上</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487423D" w14:textId="77777777" w:rsidR="00E57DAA" w:rsidRDefault="00AC4185">
            <w:pPr>
              <w:jc w:val="right"/>
              <w:rPr>
                <w:szCs w:val="21"/>
              </w:rPr>
            </w:pPr>
            <w:r>
              <w:rPr>
                <w:rFonts w:hint="eastAsia"/>
              </w:rPr>
              <w:t>707,029,359.37</w:t>
            </w:r>
          </w:p>
        </w:tc>
        <w:tc>
          <w:tcPr>
            <w:tcW w:w="1686" w:type="pct"/>
            <w:tcBorders>
              <w:top w:val="single" w:sz="4" w:space="0" w:color="auto"/>
              <w:left w:val="single" w:sz="4" w:space="0" w:color="auto"/>
              <w:bottom w:val="single" w:sz="4" w:space="0" w:color="auto"/>
              <w:right w:val="single" w:sz="4" w:space="0" w:color="auto"/>
            </w:tcBorders>
            <w:vAlign w:val="center"/>
          </w:tcPr>
          <w:p w14:paraId="2404DF20" w14:textId="77777777" w:rsidR="00E57DAA" w:rsidRDefault="00AC4185">
            <w:pPr>
              <w:jc w:val="right"/>
              <w:rPr>
                <w:szCs w:val="21"/>
              </w:rPr>
            </w:pPr>
            <w:r>
              <w:rPr>
                <w:rFonts w:hint="eastAsia"/>
              </w:rPr>
              <w:t>663,176,929.62</w:t>
            </w:r>
          </w:p>
        </w:tc>
      </w:tr>
      <w:tr w:rsidR="00E57DAA" w14:paraId="0776C812" w14:textId="77777777">
        <w:trPr>
          <w:cantSplit/>
        </w:trPr>
        <w:sdt>
          <w:sdtPr>
            <w:tag w:val="_PLD_4228da7212b54dbabe98902b22a02f1a"/>
            <w:id w:val="-523788093"/>
          </w:sdtPr>
          <w:sdtEndPr/>
          <w:sdtContent>
            <w:tc>
              <w:tcPr>
                <w:tcW w:w="1628" w:type="pct"/>
                <w:tcBorders>
                  <w:top w:val="single" w:sz="4" w:space="0" w:color="auto"/>
                  <w:left w:val="single" w:sz="4" w:space="0" w:color="auto"/>
                  <w:bottom w:val="single" w:sz="4" w:space="0" w:color="auto"/>
                  <w:right w:val="single" w:sz="4" w:space="0" w:color="auto"/>
                </w:tcBorders>
                <w:vAlign w:val="center"/>
              </w:tcPr>
              <w:p w14:paraId="4D81F12C" w14:textId="77777777" w:rsidR="00E57DAA" w:rsidRDefault="00AC4185">
                <w:pPr>
                  <w:jc w:val="center"/>
                  <w:rPr>
                    <w:szCs w:val="21"/>
                  </w:rPr>
                </w:pPr>
                <w:r>
                  <w:rPr>
                    <w:rFonts w:hint="eastAsia"/>
                    <w:szCs w:val="21"/>
                  </w:rPr>
                  <w:t>合计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0D0E1049" w14:textId="77777777" w:rsidR="00E57DAA" w:rsidRDefault="00AC4185">
            <w:pPr>
              <w:jc w:val="right"/>
              <w:rPr>
                <w:szCs w:val="21"/>
              </w:rPr>
            </w:pPr>
            <w:r>
              <w:rPr>
                <w:rFonts w:hint="eastAsia"/>
              </w:rPr>
              <w:t>11,335,356,342.64</w:t>
            </w:r>
          </w:p>
        </w:tc>
        <w:tc>
          <w:tcPr>
            <w:tcW w:w="1686" w:type="pct"/>
            <w:tcBorders>
              <w:top w:val="single" w:sz="4" w:space="0" w:color="auto"/>
              <w:left w:val="single" w:sz="4" w:space="0" w:color="auto"/>
              <w:bottom w:val="single" w:sz="4" w:space="0" w:color="auto"/>
              <w:right w:val="single" w:sz="4" w:space="0" w:color="auto"/>
            </w:tcBorders>
            <w:vAlign w:val="center"/>
          </w:tcPr>
          <w:p w14:paraId="6F937830" w14:textId="77777777" w:rsidR="00E57DAA" w:rsidRDefault="00AC4185">
            <w:pPr>
              <w:jc w:val="right"/>
              <w:rPr>
                <w:szCs w:val="21"/>
              </w:rPr>
            </w:pPr>
            <w:r>
              <w:rPr>
                <w:rFonts w:hint="eastAsia"/>
              </w:rPr>
              <w:t>9,320,798,051.27</w:t>
            </w:r>
          </w:p>
        </w:tc>
      </w:tr>
    </w:tbl>
    <w:p w14:paraId="72E60D1D" w14:textId="77777777" w:rsidR="00E57DAA" w:rsidRDefault="00E57DAA" w:rsidP="00C25422">
      <w:pPr>
        <w:pStyle w:val="92"/>
      </w:pPr>
    </w:p>
    <w:p w14:paraId="7E9202AC" w14:textId="77777777" w:rsidR="00E57DAA" w:rsidRDefault="00E57DAA" w:rsidP="00C25422">
      <w:pPr>
        <w:pStyle w:val="92"/>
      </w:pPr>
    </w:p>
    <w:p w14:paraId="427D8B7A" w14:textId="77777777" w:rsidR="00E57DAA" w:rsidRDefault="00AC4185">
      <w:pPr>
        <w:pStyle w:val="4"/>
        <w:numPr>
          <w:ilvl w:val="3"/>
          <w:numId w:val="71"/>
        </w:numPr>
        <w:ind w:left="426" w:hanging="426"/>
      </w:pPr>
      <w:r>
        <w:rPr>
          <w:rFonts w:hint="eastAsia"/>
        </w:rPr>
        <w:t>按坏账计提方法分类披露</w:t>
      </w:r>
    </w:p>
    <w:bookmarkStart w:id="198" w:name="_Hlk533601584" w:displacedByCustomXml="next"/>
    <w:sdt>
      <w:sdtPr>
        <w:alias w:val="是否适用：应收账款分类披露[双击切换]"/>
        <w:tag w:val="_GBC_5532cbb0484a40fcb185be4bb8709d46"/>
        <w:id w:val="-1375697002"/>
        <w:placeholder>
          <w:docPart w:val="GBC22222222222222222222222222222"/>
        </w:placeholder>
      </w:sdtPr>
      <w:sdtEndPr/>
      <w:sdtContent>
        <w:p w14:paraId="655C9F0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4EF730" w14:textId="77777777" w:rsidR="00E57DAA" w:rsidRDefault="00AC4185" w:rsidP="00C25422">
      <w:pPr>
        <w:pStyle w:val="73"/>
        <w:ind w:firstLine="400"/>
      </w:pPr>
      <w:r>
        <w:rPr>
          <w:rFonts w:hint="eastAsia"/>
        </w:rPr>
        <w:t>单位：</w:t>
      </w:r>
      <w:sdt>
        <w:sdtPr>
          <w:rPr>
            <w:rFonts w:hint="eastAsia"/>
          </w:rPr>
          <w:alias w:val="单位：财务附注：应收账款按种类披露"/>
          <w:tag w:val="_GBC_9672a88fa94c441f9769b560659b37f6"/>
          <w:id w:val="-7612971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应收账款按种类披露"/>
          <w:tag w:val="_GBC_45ed90b2e73740bfa8c1f5d7d12ff35e"/>
          <w:id w:val="19362441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1491"/>
        <w:gridCol w:w="601"/>
        <w:gridCol w:w="1652"/>
        <w:gridCol w:w="601"/>
        <w:gridCol w:w="1750"/>
        <w:gridCol w:w="1653"/>
        <w:gridCol w:w="602"/>
        <w:gridCol w:w="1653"/>
        <w:gridCol w:w="602"/>
        <w:gridCol w:w="1656"/>
      </w:tblGrid>
      <w:tr w:rsidR="00E57DAA" w14:paraId="4225F295" w14:textId="77777777">
        <w:trPr>
          <w:cantSplit/>
          <w:trHeight w:val="259"/>
        </w:trPr>
        <w:sdt>
          <w:sdtPr>
            <w:rPr>
              <w:sz w:val="15"/>
              <w:szCs w:val="15"/>
            </w:rPr>
            <w:tag w:val="_PLD_f8d5a19b9b724da98e30475a6df20be9"/>
            <w:id w:val="-1682657565"/>
          </w:sdtPr>
          <w:sdtEndPr/>
          <w:sdtContent>
            <w:tc>
              <w:tcPr>
                <w:tcW w:w="612" w:type="pct"/>
                <w:vMerge w:val="restart"/>
                <w:tcBorders>
                  <w:top w:val="single" w:sz="4" w:space="0" w:color="auto"/>
                  <w:left w:val="single" w:sz="4" w:space="0" w:color="auto"/>
                  <w:right w:val="single" w:sz="4" w:space="0" w:color="auto"/>
                </w:tcBorders>
                <w:vAlign w:val="center"/>
              </w:tcPr>
              <w:p w14:paraId="496DC620" w14:textId="77777777" w:rsidR="00E57DAA" w:rsidRDefault="00AC4185">
                <w:pPr>
                  <w:jc w:val="center"/>
                  <w:rPr>
                    <w:sz w:val="15"/>
                    <w:szCs w:val="15"/>
                  </w:rPr>
                </w:pPr>
                <w:r>
                  <w:rPr>
                    <w:rFonts w:hint="eastAsia"/>
                    <w:sz w:val="15"/>
                    <w:szCs w:val="15"/>
                  </w:rPr>
                  <w:t>类别</w:t>
                </w:r>
              </w:p>
            </w:tc>
          </w:sdtContent>
        </w:sdt>
        <w:sdt>
          <w:sdtPr>
            <w:rPr>
              <w:sz w:val="15"/>
              <w:szCs w:val="15"/>
            </w:rPr>
            <w:tag w:val="_PLD_8e6cd64a5cc84d259bab748be3f49169"/>
            <w:id w:val="-1542590767"/>
          </w:sdtPr>
          <w:sdtEndPr/>
          <w:sdtContent>
            <w:tc>
              <w:tcPr>
                <w:tcW w:w="1995" w:type="pct"/>
                <w:gridSpan w:val="5"/>
                <w:tcBorders>
                  <w:top w:val="single" w:sz="4" w:space="0" w:color="auto"/>
                  <w:left w:val="single" w:sz="4" w:space="0" w:color="auto"/>
                  <w:right w:val="single" w:sz="4" w:space="0" w:color="auto"/>
                </w:tcBorders>
                <w:vAlign w:val="center"/>
              </w:tcPr>
              <w:p w14:paraId="1356A3BA"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期末余额</w:t>
                </w:r>
              </w:p>
            </w:tc>
          </w:sdtContent>
        </w:sdt>
        <w:sdt>
          <w:sdtPr>
            <w:rPr>
              <w:sz w:val="15"/>
              <w:szCs w:val="15"/>
            </w:rPr>
            <w:tag w:val="_PLD_f3718624b866493ab3b8d8edadf10560"/>
            <w:id w:val="840977431"/>
          </w:sdtPr>
          <w:sdtEndPr/>
          <w:sdtContent>
            <w:tc>
              <w:tcPr>
                <w:tcW w:w="2393" w:type="pct"/>
                <w:gridSpan w:val="5"/>
                <w:tcBorders>
                  <w:top w:val="single" w:sz="4" w:space="0" w:color="auto"/>
                  <w:left w:val="single" w:sz="4" w:space="0" w:color="auto"/>
                  <w:right w:val="single" w:sz="4" w:space="0" w:color="auto"/>
                </w:tcBorders>
                <w:vAlign w:val="center"/>
              </w:tcPr>
              <w:p w14:paraId="7DD3D1D6"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期初余额</w:t>
                </w:r>
              </w:p>
            </w:tc>
          </w:sdtContent>
        </w:sdt>
      </w:tr>
      <w:tr w:rsidR="00E57DAA" w14:paraId="7087CD07" w14:textId="77777777">
        <w:trPr>
          <w:cantSplit/>
          <w:trHeight w:val="227"/>
        </w:trPr>
        <w:tc>
          <w:tcPr>
            <w:tcW w:w="612" w:type="pct"/>
            <w:vMerge/>
            <w:tcBorders>
              <w:left w:val="single" w:sz="4" w:space="0" w:color="auto"/>
              <w:right w:val="single" w:sz="4" w:space="0" w:color="auto"/>
            </w:tcBorders>
            <w:vAlign w:val="center"/>
          </w:tcPr>
          <w:p w14:paraId="44D81113" w14:textId="77777777" w:rsidR="00E57DAA" w:rsidRDefault="00E57DAA">
            <w:pPr>
              <w:rPr>
                <w:sz w:val="15"/>
                <w:szCs w:val="15"/>
              </w:rPr>
            </w:pPr>
          </w:p>
        </w:tc>
        <w:sdt>
          <w:sdtPr>
            <w:rPr>
              <w:sz w:val="15"/>
              <w:szCs w:val="15"/>
            </w:rPr>
            <w:tag w:val="_PLD_696c52ce758e49deb616a7fb8df8ee20"/>
            <w:id w:val="1580171753"/>
          </w:sdtPr>
          <w:sdtEndPr/>
          <w:sdtContent>
            <w:tc>
              <w:tcPr>
                <w:tcW w:w="449" w:type="pct"/>
                <w:gridSpan w:val="2"/>
                <w:tcBorders>
                  <w:top w:val="single" w:sz="4" w:space="0" w:color="auto"/>
                  <w:left w:val="single" w:sz="4" w:space="0" w:color="auto"/>
                  <w:bottom w:val="single" w:sz="4" w:space="0" w:color="auto"/>
                  <w:right w:val="single" w:sz="4" w:space="0" w:color="auto"/>
                </w:tcBorders>
                <w:vAlign w:val="center"/>
              </w:tcPr>
              <w:p w14:paraId="3013E2AA" w14:textId="77777777" w:rsidR="00E57DAA" w:rsidRDefault="00AC4185">
                <w:pPr>
                  <w:jc w:val="center"/>
                  <w:rPr>
                    <w:sz w:val="15"/>
                    <w:szCs w:val="15"/>
                  </w:rPr>
                </w:pPr>
                <w:r>
                  <w:rPr>
                    <w:rFonts w:hint="eastAsia"/>
                    <w:sz w:val="15"/>
                    <w:szCs w:val="15"/>
                  </w:rPr>
                  <w:t>账面余额</w:t>
                </w:r>
              </w:p>
            </w:tc>
          </w:sdtContent>
        </w:sdt>
        <w:sdt>
          <w:sdtPr>
            <w:rPr>
              <w:sz w:val="15"/>
              <w:szCs w:val="15"/>
            </w:rPr>
            <w:tag w:val="_PLD_1ca261fa1763424688ba2be8550f43e1"/>
            <w:id w:val="842366361"/>
          </w:sdtPr>
          <w:sdtEndPr/>
          <w:sdtContent>
            <w:tc>
              <w:tcPr>
                <w:tcW w:w="881" w:type="pct"/>
                <w:gridSpan w:val="2"/>
                <w:tcBorders>
                  <w:top w:val="single" w:sz="4" w:space="0" w:color="auto"/>
                  <w:left w:val="single" w:sz="4" w:space="0" w:color="auto"/>
                  <w:bottom w:val="single" w:sz="4" w:space="0" w:color="auto"/>
                  <w:right w:val="single" w:sz="4" w:space="0" w:color="auto"/>
                </w:tcBorders>
                <w:vAlign w:val="center"/>
              </w:tcPr>
              <w:p w14:paraId="05EB68A8" w14:textId="77777777" w:rsidR="00E57DAA" w:rsidRDefault="00AC4185">
                <w:pPr>
                  <w:jc w:val="center"/>
                  <w:rPr>
                    <w:sz w:val="15"/>
                    <w:szCs w:val="15"/>
                  </w:rPr>
                </w:pPr>
                <w:r>
                  <w:rPr>
                    <w:rFonts w:hint="eastAsia"/>
                    <w:sz w:val="15"/>
                    <w:szCs w:val="15"/>
                  </w:rPr>
                  <w:t>坏账准备</w:t>
                </w:r>
              </w:p>
            </w:tc>
          </w:sdtContent>
        </w:sdt>
        <w:sdt>
          <w:sdtPr>
            <w:rPr>
              <w:sz w:val="15"/>
              <w:szCs w:val="15"/>
            </w:rPr>
            <w:tag w:val="_PLD_caaf7fb85a4a432890635f2eb9c38cd5"/>
            <w:id w:val="-1054305165"/>
          </w:sdtPr>
          <w:sdtEndPr/>
          <w:sdtContent>
            <w:tc>
              <w:tcPr>
                <w:tcW w:w="665" w:type="pct"/>
                <w:vMerge w:val="restart"/>
                <w:tcBorders>
                  <w:top w:val="single" w:sz="4" w:space="0" w:color="auto"/>
                  <w:left w:val="single" w:sz="4" w:space="0" w:color="auto"/>
                  <w:right w:val="single" w:sz="4" w:space="0" w:color="auto"/>
                </w:tcBorders>
                <w:vAlign w:val="center"/>
              </w:tcPr>
              <w:p w14:paraId="331AA0CA" w14:textId="77777777" w:rsidR="00E57DAA" w:rsidRDefault="00AC4185">
                <w:pPr>
                  <w:jc w:val="center"/>
                  <w:rPr>
                    <w:sz w:val="15"/>
                    <w:szCs w:val="15"/>
                  </w:rPr>
                </w:pPr>
                <w:r>
                  <w:rPr>
                    <w:rFonts w:hint="eastAsia"/>
                    <w:sz w:val="15"/>
                    <w:szCs w:val="15"/>
                  </w:rPr>
                  <w:t>账面</w:t>
                </w:r>
              </w:p>
              <w:p w14:paraId="1F974239" w14:textId="77777777" w:rsidR="00E57DAA" w:rsidRDefault="00AC4185">
                <w:pPr>
                  <w:jc w:val="center"/>
                  <w:rPr>
                    <w:sz w:val="15"/>
                    <w:szCs w:val="15"/>
                  </w:rPr>
                </w:pPr>
                <w:r>
                  <w:rPr>
                    <w:rFonts w:hint="eastAsia"/>
                    <w:sz w:val="15"/>
                    <w:szCs w:val="15"/>
                  </w:rPr>
                  <w:t>价值</w:t>
                </w:r>
              </w:p>
            </w:tc>
          </w:sdtContent>
        </w:sdt>
        <w:sdt>
          <w:sdtPr>
            <w:rPr>
              <w:sz w:val="15"/>
              <w:szCs w:val="15"/>
            </w:rPr>
            <w:tag w:val="_PLD_f01498a5d6634d7ab63dd393e266902a"/>
            <w:id w:val="1338036691"/>
          </w:sdtPr>
          <w:sdtEndPr/>
          <w:sdtContent>
            <w:tc>
              <w:tcPr>
                <w:tcW w:w="881" w:type="pct"/>
                <w:gridSpan w:val="2"/>
                <w:tcBorders>
                  <w:top w:val="single" w:sz="4" w:space="0" w:color="auto"/>
                  <w:left w:val="single" w:sz="4" w:space="0" w:color="auto"/>
                  <w:right w:val="single" w:sz="4" w:space="0" w:color="auto"/>
                </w:tcBorders>
                <w:vAlign w:val="center"/>
              </w:tcPr>
              <w:p w14:paraId="08D43A36" w14:textId="77777777" w:rsidR="00E57DAA" w:rsidRDefault="00AC4185">
                <w:pPr>
                  <w:jc w:val="center"/>
                  <w:rPr>
                    <w:sz w:val="15"/>
                    <w:szCs w:val="15"/>
                  </w:rPr>
                </w:pPr>
                <w:r>
                  <w:rPr>
                    <w:rFonts w:hint="eastAsia"/>
                    <w:sz w:val="15"/>
                    <w:szCs w:val="15"/>
                  </w:rPr>
                  <w:t>账面余额</w:t>
                </w:r>
              </w:p>
            </w:tc>
          </w:sdtContent>
        </w:sdt>
        <w:sdt>
          <w:sdtPr>
            <w:rPr>
              <w:sz w:val="15"/>
              <w:szCs w:val="15"/>
            </w:rPr>
            <w:tag w:val="_PLD_e9336373677a4e1781b6e81f705c1bec"/>
            <w:id w:val="8103776"/>
          </w:sdtPr>
          <w:sdtEndPr/>
          <w:sdtContent>
            <w:tc>
              <w:tcPr>
                <w:tcW w:w="881" w:type="pct"/>
                <w:gridSpan w:val="2"/>
                <w:tcBorders>
                  <w:top w:val="single" w:sz="4" w:space="0" w:color="auto"/>
                  <w:left w:val="single" w:sz="4" w:space="0" w:color="auto"/>
                  <w:right w:val="single" w:sz="4" w:space="0" w:color="auto"/>
                </w:tcBorders>
                <w:vAlign w:val="center"/>
              </w:tcPr>
              <w:p w14:paraId="50C9D141" w14:textId="77777777" w:rsidR="00E57DAA" w:rsidRDefault="00AC4185">
                <w:pPr>
                  <w:jc w:val="center"/>
                  <w:rPr>
                    <w:sz w:val="15"/>
                    <w:szCs w:val="15"/>
                  </w:rPr>
                </w:pPr>
                <w:r>
                  <w:rPr>
                    <w:rFonts w:hint="eastAsia"/>
                    <w:sz w:val="15"/>
                    <w:szCs w:val="15"/>
                  </w:rPr>
                  <w:t>坏账准备</w:t>
                </w:r>
              </w:p>
            </w:tc>
          </w:sdtContent>
        </w:sdt>
        <w:sdt>
          <w:sdtPr>
            <w:rPr>
              <w:sz w:val="15"/>
              <w:szCs w:val="15"/>
            </w:rPr>
            <w:tag w:val="_PLD_09bacc527e7b4910a0c82606fe4a5754"/>
            <w:id w:val="1672293318"/>
          </w:sdtPr>
          <w:sdtEndPr/>
          <w:sdtContent>
            <w:tc>
              <w:tcPr>
                <w:tcW w:w="631" w:type="pct"/>
                <w:vMerge w:val="restart"/>
                <w:tcBorders>
                  <w:top w:val="single" w:sz="4" w:space="0" w:color="auto"/>
                  <w:left w:val="single" w:sz="4" w:space="0" w:color="auto"/>
                  <w:right w:val="single" w:sz="4" w:space="0" w:color="auto"/>
                </w:tcBorders>
                <w:vAlign w:val="center"/>
              </w:tcPr>
              <w:p w14:paraId="696D87D2" w14:textId="77777777" w:rsidR="00E57DAA" w:rsidRDefault="00AC4185">
                <w:pPr>
                  <w:jc w:val="center"/>
                  <w:rPr>
                    <w:sz w:val="15"/>
                    <w:szCs w:val="15"/>
                  </w:rPr>
                </w:pPr>
                <w:r>
                  <w:rPr>
                    <w:rFonts w:hint="eastAsia"/>
                    <w:sz w:val="15"/>
                    <w:szCs w:val="15"/>
                  </w:rPr>
                  <w:t>账面</w:t>
                </w:r>
              </w:p>
              <w:p w14:paraId="2A0081FF" w14:textId="77777777" w:rsidR="00E57DAA" w:rsidRDefault="00AC4185">
                <w:pPr>
                  <w:jc w:val="center"/>
                  <w:rPr>
                    <w:sz w:val="15"/>
                    <w:szCs w:val="15"/>
                  </w:rPr>
                </w:pPr>
                <w:r>
                  <w:rPr>
                    <w:rFonts w:hint="eastAsia"/>
                    <w:sz w:val="15"/>
                    <w:szCs w:val="15"/>
                  </w:rPr>
                  <w:t>价值</w:t>
                </w:r>
              </w:p>
            </w:tc>
          </w:sdtContent>
        </w:sdt>
      </w:tr>
      <w:tr w:rsidR="00E57DAA" w14:paraId="477B2DD3" w14:textId="77777777">
        <w:trPr>
          <w:cantSplit/>
          <w:trHeight w:val="375"/>
        </w:trPr>
        <w:tc>
          <w:tcPr>
            <w:tcW w:w="612" w:type="pct"/>
            <w:vMerge/>
            <w:tcBorders>
              <w:left w:val="single" w:sz="4" w:space="0" w:color="auto"/>
              <w:bottom w:val="single" w:sz="4" w:space="0" w:color="auto"/>
              <w:right w:val="single" w:sz="4" w:space="0" w:color="auto"/>
            </w:tcBorders>
            <w:vAlign w:val="center"/>
          </w:tcPr>
          <w:p w14:paraId="24D18AFE" w14:textId="77777777" w:rsidR="00E57DAA" w:rsidRDefault="00E57DAA">
            <w:pPr>
              <w:rPr>
                <w:sz w:val="15"/>
                <w:szCs w:val="15"/>
              </w:rPr>
            </w:pPr>
          </w:p>
        </w:tc>
        <w:sdt>
          <w:sdtPr>
            <w:rPr>
              <w:sz w:val="15"/>
              <w:szCs w:val="15"/>
            </w:rPr>
            <w:tag w:val="_PLD_9a908e63a38c4885ae2f80c1b860b93a"/>
            <w:id w:val="-1915147551"/>
          </w:sdtPr>
          <w:sdtEndPr/>
          <w:sdtContent>
            <w:tc>
              <w:tcPr>
                <w:tcW w:w="198" w:type="pct"/>
                <w:tcBorders>
                  <w:left w:val="single" w:sz="4" w:space="0" w:color="auto"/>
                  <w:bottom w:val="single" w:sz="4" w:space="0" w:color="auto"/>
                  <w:right w:val="single" w:sz="4" w:space="0" w:color="auto"/>
                </w:tcBorders>
                <w:vAlign w:val="center"/>
              </w:tcPr>
              <w:p w14:paraId="15CDF915" w14:textId="77777777" w:rsidR="00E57DAA" w:rsidRDefault="00AC4185">
                <w:pPr>
                  <w:jc w:val="center"/>
                  <w:rPr>
                    <w:sz w:val="15"/>
                    <w:szCs w:val="15"/>
                  </w:rPr>
                </w:pPr>
                <w:r>
                  <w:rPr>
                    <w:rFonts w:hint="eastAsia"/>
                    <w:sz w:val="15"/>
                    <w:szCs w:val="15"/>
                  </w:rPr>
                  <w:t>金额</w:t>
                </w:r>
              </w:p>
            </w:tc>
          </w:sdtContent>
        </w:sdt>
        <w:sdt>
          <w:sdtPr>
            <w:rPr>
              <w:sz w:val="15"/>
              <w:szCs w:val="15"/>
            </w:rPr>
            <w:tag w:val="_PLD_df211ff0344e48aa8266bff852c13d4a"/>
            <w:id w:val="1132826168"/>
          </w:sdtPr>
          <w:sdtEndPr/>
          <w:sdtContent>
            <w:tc>
              <w:tcPr>
                <w:tcW w:w="251" w:type="pct"/>
                <w:tcBorders>
                  <w:left w:val="single" w:sz="4" w:space="0" w:color="auto"/>
                  <w:bottom w:val="single" w:sz="4" w:space="0" w:color="auto"/>
                  <w:right w:val="single" w:sz="4" w:space="0" w:color="auto"/>
                </w:tcBorders>
                <w:vAlign w:val="center"/>
              </w:tcPr>
              <w:p w14:paraId="19D9670F" w14:textId="77777777" w:rsidR="00E57DAA" w:rsidRDefault="00AC4185">
                <w:pPr>
                  <w:jc w:val="center"/>
                  <w:rPr>
                    <w:sz w:val="15"/>
                    <w:szCs w:val="15"/>
                  </w:rPr>
                </w:pPr>
                <w:r>
                  <w:rPr>
                    <w:rFonts w:hint="eastAsia"/>
                    <w:sz w:val="15"/>
                    <w:szCs w:val="15"/>
                  </w:rPr>
                  <w:t>比例</w:t>
                </w:r>
                <w:r>
                  <w:rPr>
                    <w:sz w:val="15"/>
                    <w:szCs w:val="15"/>
                  </w:rPr>
                  <w:t>(%)</w:t>
                </w:r>
              </w:p>
            </w:tc>
          </w:sdtContent>
        </w:sdt>
        <w:sdt>
          <w:sdtPr>
            <w:rPr>
              <w:sz w:val="15"/>
              <w:szCs w:val="15"/>
            </w:rPr>
            <w:tag w:val="_PLD_bc7278fbd5c542a3abfb9a55090a49e0"/>
            <w:id w:val="1498456556"/>
          </w:sdtPr>
          <w:sdtEndPr/>
          <w:sdtContent>
            <w:tc>
              <w:tcPr>
                <w:tcW w:w="630" w:type="pct"/>
                <w:tcBorders>
                  <w:left w:val="single" w:sz="4" w:space="0" w:color="auto"/>
                  <w:bottom w:val="single" w:sz="4" w:space="0" w:color="auto"/>
                  <w:right w:val="single" w:sz="4" w:space="0" w:color="auto"/>
                </w:tcBorders>
                <w:vAlign w:val="center"/>
              </w:tcPr>
              <w:p w14:paraId="4453686A" w14:textId="77777777" w:rsidR="00E57DAA" w:rsidRDefault="00AC4185">
                <w:pPr>
                  <w:jc w:val="center"/>
                  <w:rPr>
                    <w:sz w:val="15"/>
                    <w:szCs w:val="15"/>
                  </w:rPr>
                </w:pPr>
                <w:r>
                  <w:rPr>
                    <w:rFonts w:hint="eastAsia"/>
                    <w:sz w:val="15"/>
                    <w:szCs w:val="15"/>
                  </w:rPr>
                  <w:t>金额</w:t>
                </w:r>
              </w:p>
            </w:tc>
          </w:sdtContent>
        </w:sdt>
        <w:sdt>
          <w:sdtPr>
            <w:rPr>
              <w:sz w:val="15"/>
              <w:szCs w:val="15"/>
            </w:rPr>
            <w:tag w:val="_PLD_98f107e07b5b44938d61d6b0984d9e2b"/>
            <w:id w:val="1218086237"/>
          </w:sdtPr>
          <w:sdtEndPr/>
          <w:sdtContent>
            <w:tc>
              <w:tcPr>
                <w:tcW w:w="251" w:type="pct"/>
                <w:tcBorders>
                  <w:left w:val="single" w:sz="4" w:space="0" w:color="auto"/>
                  <w:bottom w:val="single" w:sz="4" w:space="0" w:color="auto"/>
                  <w:right w:val="single" w:sz="4" w:space="0" w:color="auto"/>
                </w:tcBorders>
                <w:vAlign w:val="center"/>
              </w:tcPr>
              <w:p w14:paraId="4ED98CAA"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665" w:type="pct"/>
            <w:vMerge/>
            <w:tcBorders>
              <w:left w:val="single" w:sz="4" w:space="0" w:color="auto"/>
              <w:bottom w:val="single" w:sz="4" w:space="0" w:color="auto"/>
              <w:right w:val="single" w:sz="4" w:space="0" w:color="auto"/>
            </w:tcBorders>
            <w:vAlign w:val="center"/>
          </w:tcPr>
          <w:p w14:paraId="0AF62DA7" w14:textId="77777777" w:rsidR="00E57DAA" w:rsidRDefault="00E57DAA">
            <w:pPr>
              <w:jc w:val="center"/>
              <w:rPr>
                <w:sz w:val="15"/>
                <w:szCs w:val="15"/>
              </w:rPr>
            </w:pPr>
          </w:p>
        </w:tc>
        <w:sdt>
          <w:sdtPr>
            <w:rPr>
              <w:sz w:val="15"/>
              <w:szCs w:val="15"/>
            </w:rPr>
            <w:tag w:val="_PLD_27c35a851bfc461b93652bdd1c4da46e"/>
            <w:id w:val="-1465418753"/>
          </w:sdtPr>
          <w:sdtEndPr/>
          <w:sdtContent>
            <w:tc>
              <w:tcPr>
                <w:tcW w:w="630" w:type="pct"/>
                <w:tcBorders>
                  <w:left w:val="single" w:sz="4" w:space="0" w:color="auto"/>
                  <w:bottom w:val="single" w:sz="4" w:space="0" w:color="auto"/>
                  <w:right w:val="single" w:sz="4" w:space="0" w:color="auto"/>
                </w:tcBorders>
                <w:vAlign w:val="center"/>
              </w:tcPr>
              <w:p w14:paraId="2142159E" w14:textId="77777777" w:rsidR="00E57DAA" w:rsidRDefault="00AC4185">
                <w:pPr>
                  <w:jc w:val="center"/>
                  <w:rPr>
                    <w:sz w:val="15"/>
                    <w:szCs w:val="15"/>
                  </w:rPr>
                </w:pPr>
                <w:r>
                  <w:rPr>
                    <w:rFonts w:hint="eastAsia"/>
                    <w:sz w:val="15"/>
                    <w:szCs w:val="15"/>
                  </w:rPr>
                  <w:t>金额</w:t>
                </w:r>
              </w:p>
            </w:tc>
          </w:sdtContent>
        </w:sdt>
        <w:sdt>
          <w:sdtPr>
            <w:rPr>
              <w:sz w:val="15"/>
              <w:szCs w:val="15"/>
            </w:rPr>
            <w:tag w:val="_PLD_8cdcb4d0cfc74ea299eeda00998b7eed"/>
            <w:id w:val="1308827518"/>
          </w:sdtPr>
          <w:sdtEndPr/>
          <w:sdtContent>
            <w:tc>
              <w:tcPr>
                <w:tcW w:w="251" w:type="pct"/>
                <w:tcBorders>
                  <w:left w:val="single" w:sz="4" w:space="0" w:color="auto"/>
                  <w:bottom w:val="single" w:sz="4" w:space="0" w:color="auto"/>
                  <w:right w:val="single" w:sz="4" w:space="0" w:color="auto"/>
                </w:tcBorders>
                <w:vAlign w:val="center"/>
              </w:tcPr>
              <w:p w14:paraId="7F441FD8" w14:textId="77777777" w:rsidR="00E57DAA" w:rsidRDefault="00AC4185">
                <w:pPr>
                  <w:jc w:val="center"/>
                  <w:rPr>
                    <w:sz w:val="15"/>
                    <w:szCs w:val="15"/>
                  </w:rPr>
                </w:pPr>
                <w:r>
                  <w:rPr>
                    <w:rFonts w:hint="eastAsia"/>
                    <w:sz w:val="15"/>
                    <w:szCs w:val="15"/>
                  </w:rPr>
                  <w:t>比例</w:t>
                </w:r>
                <w:r>
                  <w:rPr>
                    <w:sz w:val="15"/>
                    <w:szCs w:val="15"/>
                  </w:rPr>
                  <w:t>(%)</w:t>
                </w:r>
              </w:p>
            </w:tc>
          </w:sdtContent>
        </w:sdt>
        <w:sdt>
          <w:sdtPr>
            <w:rPr>
              <w:sz w:val="15"/>
              <w:szCs w:val="15"/>
            </w:rPr>
            <w:tag w:val="_PLD_205ec069d7004eaba20d3af25a7dfeda"/>
            <w:id w:val="1822459391"/>
          </w:sdtPr>
          <w:sdtEndPr/>
          <w:sdtContent>
            <w:tc>
              <w:tcPr>
                <w:tcW w:w="630" w:type="pct"/>
                <w:tcBorders>
                  <w:left w:val="single" w:sz="4" w:space="0" w:color="auto"/>
                  <w:bottom w:val="single" w:sz="4" w:space="0" w:color="auto"/>
                  <w:right w:val="single" w:sz="4" w:space="0" w:color="auto"/>
                </w:tcBorders>
                <w:vAlign w:val="center"/>
              </w:tcPr>
              <w:p w14:paraId="73868C50" w14:textId="77777777" w:rsidR="00E57DAA" w:rsidRDefault="00AC4185">
                <w:pPr>
                  <w:jc w:val="center"/>
                  <w:rPr>
                    <w:sz w:val="15"/>
                    <w:szCs w:val="15"/>
                  </w:rPr>
                </w:pPr>
                <w:r>
                  <w:rPr>
                    <w:rFonts w:hint="eastAsia"/>
                    <w:sz w:val="15"/>
                    <w:szCs w:val="15"/>
                  </w:rPr>
                  <w:t>金额</w:t>
                </w:r>
              </w:p>
            </w:tc>
          </w:sdtContent>
        </w:sdt>
        <w:sdt>
          <w:sdtPr>
            <w:rPr>
              <w:sz w:val="15"/>
              <w:szCs w:val="15"/>
            </w:rPr>
            <w:tag w:val="_PLD_cee6517bce154e26a5f2a917cc143a54"/>
            <w:id w:val="-536659258"/>
          </w:sdtPr>
          <w:sdtEndPr/>
          <w:sdtContent>
            <w:tc>
              <w:tcPr>
                <w:tcW w:w="251" w:type="pct"/>
                <w:tcBorders>
                  <w:left w:val="single" w:sz="4" w:space="0" w:color="auto"/>
                  <w:bottom w:val="single" w:sz="4" w:space="0" w:color="auto"/>
                  <w:right w:val="single" w:sz="4" w:space="0" w:color="auto"/>
                </w:tcBorders>
                <w:vAlign w:val="center"/>
              </w:tcPr>
              <w:p w14:paraId="0BC1DA2B"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631" w:type="pct"/>
            <w:vMerge/>
            <w:tcBorders>
              <w:left w:val="single" w:sz="4" w:space="0" w:color="auto"/>
              <w:bottom w:val="single" w:sz="4" w:space="0" w:color="auto"/>
              <w:right w:val="single" w:sz="4" w:space="0" w:color="auto"/>
            </w:tcBorders>
          </w:tcPr>
          <w:p w14:paraId="26DB55E6" w14:textId="77777777" w:rsidR="00E57DAA" w:rsidRDefault="00E57DAA">
            <w:pPr>
              <w:jc w:val="center"/>
              <w:rPr>
                <w:sz w:val="15"/>
                <w:szCs w:val="15"/>
              </w:rPr>
            </w:pPr>
          </w:p>
        </w:tc>
      </w:tr>
      <w:tr w:rsidR="00E57DAA" w14:paraId="0F278920" w14:textId="77777777">
        <w:trPr>
          <w:cantSplit/>
        </w:trPr>
        <w:tc>
          <w:tcPr>
            <w:tcW w:w="612" w:type="pct"/>
            <w:tcBorders>
              <w:top w:val="single" w:sz="4" w:space="0" w:color="auto"/>
              <w:left w:val="single" w:sz="4" w:space="0" w:color="auto"/>
              <w:bottom w:val="single" w:sz="4" w:space="0" w:color="auto"/>
              <w:right w:val="single" w:sz="4" w:space="0" w:color="auto"/>
            </w:tcBorders>
          </w:tcPr>
          <w:p w14:paraId="5B99C640" w14:textId="77777777" w:rsidR="00E57DAA" w:rsidRDefault="00AC4185">
            <w:pPr>
              <w:rPr>
                <w:sz w:val="15"/>
                <w:szCs w:val="15"/>
              </w:rPr>
            </w:pPr>
            <w:r>
              <w:rPr>
                <w:rFonts w:hint="eastAsia"/>
                <w:sz w:val="15"/>
                <w:szCs w:val="15"/>
              </w:rPr>
              <w:t>按单项计提坏账准备</w:t>
            </w:r>
          </w:p>
        </w:tc>
        <w:tc>
          <w:tcPr>
            <w:tcW w:w="198" w:type="pct"/>
            <w:tcBorders>
              <w:top w:val="single" w:sz="4" w:space="0" w:color="auto"/>
              <w:left w:val="single" w:sz="4" w:space="0" w:color="auto"/>
              <w:bottom w:val="single" w:sz="4" w:space="0" w:color="auto"/>
              <w:right w:val="single" w:sz="4" w:space="0" w:color="auto"/>
            </w:tcBorders>
            <w:vAlign w:val="center"/>
          </w:tcPr>
          <w:p w14:paraId="355773D8" w14:textId="77777777" w:rsidR="00E57DAA" w:rsidRDefault="00AC4185">
            <w:pPr>
              <w:jc w:val="right"/>
              <w:rPr>
                <w:sz w:val="15"/>
                <w:szCs w:val="15"/>
              </w:rPr>
            </w:pPr>
            <w:r>
              <w:rPr>
                <w:sz w:val="15"/>
                <w:szCs w:val="15"/>
              </w:rPr>
              <w:t>74,188,937.55</w:t>
            </w:r>
          </w:p>
        </w:tc>
        <w:tc>
          <w:tcPr>
            <w:tcW w:w="251" w:type="pct"/>
            <w:tcBorders>
              <w:top w:val="single" w:sz="4" w:space="0" w:color="auto"/>
              <w:left w:val="single" w:sz="4" w:space="0" w:color="auto"/>
              <w:bottom w:val="single" w:sz="4" w:space="0" w:color="auto"/>
              <w:right w:val="single" w:sz="4" w:space="0" w:color="auto"/>
            </w:tcBorders>
            <w:vAlign w:val="center"/>
          </w:tcPr>
          <w:p w14:paraId="77040333" w14:textId="77777777" w:rsidR="00E57DAA" w:rsidRDefault="00AC4185">
            <w:pPr>
              <w:jc w:val="right"/>
              <w:rPr>
                <w:sz w:val="15"/>
                <w:szCs w:val="15"/>
              </w:rPr>
            </w:pPr>
            <w:r>
              <w:rPr>
                <w:sz w:val="15"/>
                <w:szCs w:val="15"/>
              </w:rPr>
              <w:t>0.65</w:t>
            </w:r>
          </w:p>
        </w:tc>
        <w:tc>
          <w:tcPr>
            <w:tcW w:w="630" w:type="pct"/>
            <w:tcBorders>
              <w:top w:val="single" w:sz="4" w:space="0" w:color="auto"/>
              <w:left w:val="single" w:sz="4" w:space="0" w:color="auto"/>
              <w:bottom w:val="single" w:sz="4" w:space="0" w:color="auto"/>
              <w:right w:val="single" w:sz="4" w:space="0" w:color="auto"/>
            </w:tcBorders>
            <w:vAlign w:val="center"/>
          </w:tcPr>
          <w:p w14:paraId="6FFBC4A5" w14:textId="77777777" w:rsidR="00E57DAA" w:rsidRDefault="00AC4185">
            <w:pPr>
              <w:jc w:val="right"/>
              <w:rPr>
                <w:sz w:val="15"/>
                <w:szCs w:val="15"/>
              </w:rPr>
            </w:pPr>
            <w:r>
              <w:rPr>
                <w:sz w:val="15"/>
                <w:szCs w:val="15"/>
              </w:rPr>
              <w:t>60,090,881.25</w:t>
            </w:r>
          </w:p>
        </w:tc>
        <w:tc>
          <w:tcPr>
            <w:tcW w:w="251" w:type="pct"/>
            <w:tcBorders>
              <w:top w:val="single" w:sz="4" w:space="0" w:color="auto"/>
              <w:left w:val="single" w:sz="4" w:space="0" w:color="auto"/>
              <w:bottom w:val="single" w:sz="4" w:space="0" w:color="auto"/>
              <w:right w:val="single" w:sz="4" w:space="0" w:color="auto"/>
            </w:tcBorders>
            <w:vAlign w:val="center"/>
          </w:tcPr>
          <w:p w14:paraId="28B3D75E" w14:textId="77777777" w:rsidR="00E57DAA" w:rsidRDefault="00AC4185">
            <w:pPr>
              <w:jc w:val="right"/>
              <w:rPr>
                <w:sz w:val="15"/>
                <w:szCs w:val="15"/>
              </w:rPr>
            </w:pPr>
            <w:r>
              <w:rPr>
                <w:sz w:val="15"/>
                <w:szCs w:val="15"/>
              </w:rPr>
              <w:t>81.00</w:t>
            </w:r>
          </w:p>
        </w:tc>
        <w:tc>
          <w:tcPr>
            <w:tcW w:w="665" w:type="pct"/>
            <w:tcBorders>
              <w:top w:val="single" w:sz="4" w:space="0" w:color="auto"/>
              <w:left w:val="single" w:sz="4" w:space="0" w:color="auto"/>
              <w:bottom w:val="single" w:sz="4" w:space="0" w:color="auto"/>
              <w:right w:val="single" w:sz="4" w:space="0" w:color="auto"/>
            </w:tcBorders>
            <w:vAlign w:val="center"/>
          </w:tcPr>
          <w:p w14:paraId="1659FA82" w14:textId="77777777" w:rsidR="00E57DAA" w:rsidRDefault="00AC4185">
            <w:pPr>
              <w:jc w:val="right"/>
              <w:rPr>
                <w:sz w:val="15"/>
                <w:szCs w:val="15"/>
              </w:rPr>
            </w:pPr>
            <w:r>
              <w:rPr>
                <w:sz w:val="15"/>
                <w:szCs w:val="15"/>
              </w:rPr>
              <w:t>14,098,056.30</w:t>
            </w:r>
          </w:p>
        </w:tc>
        <w:tc>
          <w:tcPr>
            <w:tcW w:w="630" w:type="pct"/>
            <w:tcBorders>
              <w:top w:val="single" w:sz="4" w:space="0" w:color="auto"/>
              <w:left w:val="single" w:sz="4" w:space="0" w:color="auto"/>
              <w:bottom w:val="single" w:sz="4" w:space="0" w:color="auto"/>
              <w:right w:val="single" w:sz="4" w:space="0" w:color="auto"/>
            </w:tcBorders>
            <w:vAlign w:val="center"/>
          </w:tcPr>
          <w:p w14:paraId="14EBFA09" w14:textId="77777777" w:rsidR="00E57DAA" w:rsidRDefault="00AC4185">
            <w:pPr>
              <w:jc w:val="right"/>
              <w:rPr>
                <w:sz w:val="15"/>
                <w:szCs w:val="15"/>
              </w:rPr>
            </w:pPr>
            <w:r>
              <w:rPr>
                <w:sz w:val="15"/>
                <w:szCs w:val="15"/>
              </w:rPr>
              <w:t>52,900,645.71</w:t>
            </w:r>
          </w:p>
        </w:tc>
        <w:tc>
          <w:tcPr>
            <w:tcW w:w="251" w:type="pct"/>
            <w:tcBorders>
              <w:top w:val="single" w:sz="4" w:space="0" w:color="auto"/>
              <w:left w:val="single" w:sz="4" w:space="0" w:color="auto"/>
              <w:bottom w:val="single" w:sz="4" w:space="0" w:color="auto"/>
              <w:right w:val="single" w:sz="4" w:space="0" w:color="auto"/>
            </w:tcBorders>
            <w:vAlign w:val="center"/>
          </w:tcPr>
          <w:p w14:paraId="3BE3F693" w14:textId="77777777" w:rsidR="00E57DAA" w:rsidRDefault="00AC4185">
            <w:pPr>
              <w:jc w:val="right"/>
              <w:rPr>
                <w:sz w:val="15"/>
                <w:szCs w:val="15"/>
              </w:rPr>
            </w:pPr>
            <w:r>
              <w:rPr>
                <w:sz w:val="15"/>
                <w:szCs w:val="15"/>
              </w:rPr>
              <w:t>0.57</w:t>
            </w:r>
          </w:p>
        </w:tc>
        <w:tc>
          <w:tcPr>
            <w:tcW w:w="630" w:type="pct"/>
            <w:tcBorders>
              <w:top w:val="single" w:sz="4" w:space="0" w:color="auto"/>
              <w:left w:val="single" w:sz="4" w:space="0" w:color="auto"/>
              <w:bottom w:val="single" w:sz="4" w:space="0" w:color="auto"/>
              <w:right w:val="single" w:sz="4" w:space="0" w:color="auto"/>
            </w:tcBorders>
            <w:vAlign w:val="center"/>
          </w:tcPr>
          <w:p w14:paraId="33772DEF" w14:textId="77777777" w:rsidR="00E57DAA" w:rsidRDefault="00AC4185">
            <w:pPr>
              <w:jc w:val="right"/>
              <w:rPr>
                <w:sz w:val="15"/>
                <w:szCs w:val="15"/>
              </w:rPr>
            </w:pPr>
            <w:r>
              <w:rPr>
                <w:sz w:val="15"/>
                <w:szCs w:val="15"/>
              </w:rPr>
              <w:t>49,251,451.71</w:t>
            </w:r>
          </w:p>
        </w:tc>
        <w:tc>
          <w:tcPr>
            <w:tcW w:w="251" w:type="pct"/>
            <w:tcBorders>
              <w:top w:val="single" w:sz="4" w:space="0" w:color="auto"/>
              <w:left w:val="single" w:sz="4" w:space="0" w:color="auto"/>
              <w:bottom w:val="single" w:sz="4" w:space="0" w:color="auto"/>
              <w:right w:val="single" w:sz="4" w:space="0" w:color="auto"/>
            </w:tcBorders>
            <w:vAlign w:val="center"/>
          </w:tcPr>
          <w:p w14:paraId="7E29FD11" w14:textId="77777777" w:rsidR="00E57DAA" w:rsidRDefault="00AC4185">
            <w:pPr>
              <w:jc w:val="right"/>
              <w:rPr>
                <w:sz w:val="15"/>
                <w:szCs w:val="15"/>
              </w:rPr>
            </w:pPr>
            <w:r>
              <w:rPr>
                <w:sz w:val="15"/>
                <w:szCs w:val="15"/>
              </w:rPr>
              <w:t>93.10</w:t>
            </w:r>
          </w:p>
        </w:tc>
        <w:tc>
          <w:tcPr>
            <w:tcW w:w="631" w:type="pct"/>
            <w:tcBorders>
              <w:top w:val="single" w:sz="4" w:space="0" w:color="auto"/>
              <w:left w:val="single" w:sz="4" w:space="0" w:color="auto"/>
              <w:bottom w:val="single" w:sz="4" w:space="0" w:color="auto"/>
              <w:right w:val="single" w:sz="4" w:space="0" w:color="auto"/>
            </w:tcBorders>
            <w:vAlign w:val="center"/>
          </w:tcPr>
          <w:p w14:paraId="2BDE6DD0" w14:textId="77777777" w:rsidR="00E57DAA" w:rsidRDefault="00AC4185">
            <w:pPr>
              <w:jc w:val="right"/>
              <w:rPr>
                <w:sz w:val="15"/>
                <w:szCs w:val="15"/>
              </w:rPr>
            </w:pPr>
            <w:r>
              <w:rPr>
                <w:sz w:val="15"/>
                <w:szCs w:val="15"/>
              </w:rPr>
              <w:t>3,649,194.00</w:t>
            </w:r>
          </w:p>
        </w:tc>
      </w:tr>
      <w:tr w:rsidR="00E57DAA" w14:paraId="5286C313" w14:textId="77777777">
        <w:trPr>
          <w:cantSplit/>
        </w:trPr>
        <w:tc>
          <w:tcPr>
            <w:tcW w:w="612" w:type="pct"/>
            <w:tcBorders>
              <w:top w:val="single" w:sz="4" w:space="0" w:color="auto"/>
              <w:left w:val="single" w:sz="4" w:space="0" w:color="auto"/>
              <w:bottom w:val="single" w:sz="4" w:space="0" w:color="auto"/>
              <w:right w:val="single" w:sz="4" w:space="0" w:color="auto"/>
            </w:tcBorders>
          </w:tcPr>
          <w:p w14:paraId="7AC44BD1" w14:textId="77777777" w:rsidR="00E57DAA" w:rsidRDefault="00AC4185">
            <w:pPr>
              <w:rPr>
                <w:sz w:val="15"/>
                <w:szCs w:val="15"/>
              </w:rPr>
            </w:pPr>
            <w:r>
              <w:rPr>
                <w:rFonts w:hint="eastAsia"/>
                <w:sz w:val="15"/>
                <w:szCs w:val="15"/>
              </w:rPr>
              <w:t>按组合计提坏账准备</w:t>
            </w:r>
          </w:p>
        </w:tc>
        <w:tc>
          <w:tcPr>
            <w:tcW w:w="198" w:type="pct"/>
            <w:tcBorders>
              <w:top w:val="single" w:sz="4" w:space="0" w:color="auto"/>
              <w:left w:val="single" w:sz="4" w:space="0" w:color="auto"/>
              <w:bottom w:val="single" w:sz="4" w:space="0" w:color="auto"/>
              <w:right w:val="single" w:sz="4" w:space="0" w:color="auto"/>
            </w:tcBorders>
            <w:vAlign w:val="center"/>
          </w:tcPr>
          <w:p w14:paraId="579D7DCC" w14:textId="77777777" w:rsidR="00E57DAA" w:rsidRDefault="00AC4185">
            <w:pPr>
              <w:jc w:val="right"/>
              <w:rPr>
                <w:sz w:val="15"/>
                <w:szCs w:val="15"/>
              </w:rPr>
            </w:pPr>
            <w:r>
              <w:rPr>
                <w:sz w:val="15"/>
                <w:szCs w:val="15"/>
              </w:rPr>
              <w:t>11,261,167,405.09</w:t>
            </w:r>
          </w:p>
        </w:tc>
        <w:tc>
          <w:tcPr>
            <w:tcW w:w="251" w:type="pct"/>
            <w:tcBorders>
              <w:top w:val="single" w:sz="4" w:space="0" w:color="auto"/>
              <w:left w:val="single" w:sz="4" w:space="0" w:color="auto"/>
              <w:bottom w:val="single" w:sz="4" w:space="0" w:color="auto"/>
              <w:right w:val="single" w:sz="4" w:space="0" w:color="auto"/>
            </w:tcBorders>
            <w:vAlign w:val="center"/>
          </w:tcPr>
          <w:p w14:paraId="4FEFD21A" w14:textId="77777777" w:rsidR="00E57DAA" w:rsidRDefault="00AC4185">
            <w:pPr>
              <w:jc w:val="right"/>
              <w:rPr>
                <w:sz w:val="15"/>
                <w:szCs w:val="15"/>
              </w:rPr>
            </w:pPr>
            <w:r>
              <w:rPr>
                <w:sz w:val="15"/>
                <w:szCs w:val="15"/>
              </w:rPr>
              <w:t>99.35</w:t>
            </w:r>
          </w:p>
        </w:tc>
        <w:tc>
          <w:tcPr>
            <w:tcW w:w="630" w:type="pct"/>
            <w:tcBorders>
              <w:top w:val="single" w:sz="4" w:space="0" w:color="auto"/>
              <w:left w:val="single" w:sz="4" w:space="0" w:color="auto"/>
              <w:bottom w:val="single" w:sz="4" w:space="0" w:color="auto"/>
              <w:right w:val="single" w:sz="4" w:space="0" w:color="auto"/>
            </w:tcBorders>
            <w:vAlign w:val="center"/>
          </w:tcPr>
          <w:p w14:paraId="3E5C04DD" w14:textId="77777777" w:rsidR="00E57DAA" w:rsidRDefault="00AC4185">
            <w:pPr>
              <w:jc w:val="right"/>
              <w:rPr>
                <w:sz w:val="15"/>
                <w:szCs w:val="15"/>
              </w:rPr>
            </w:pPr>
            <w:r>
              <w:rPr>
                <w:sz w:val="15"/>
                <w:szCs w:val="15"/>
              </w:rPr>
              <w:t>1,176,955,235.39</w:t>
            </w:r>
          </w:p>
        </w:tc>
        <w:tc>
          <w:tcPr>
            <w:tcW w:w="251" w:type="pct"/>
            <w:tcBorders>
              <w:top w:val="single" w:sz="4" w:space="0" w:color="auto"/>
              <w:left w:val="single" w:sz="4" w:space="0" w:color="auto"/>
              <w:bottom w:val="single" w:sz="4" w:space="0" w:color="auto"/>
              <w:right w:val="single" w:sz="4" w:space="0" w:color="auto"/>
            </w:tcBorders>
            <w:vAlign w:val="center"/>
          </w:tcPr>
          <w:p w14:paraId="6B336ED2" w14:textId="77777777" w:rsidR="00E57DAA" w:rsidRDefault="00AC4185">
            <w:pPr>
              <w:jc w:val="right"/>
              <w:rPr>
                <w:sz w:val="15"/>
                <w:szCs w:val="15"/>
              </w:rPr>
            </w:pPr>
            <w:r>
              <w:rPr>
                <w:sz w:val="15"/>
                <w:szCs w:val="15"/>
              </w:rPr>
              <w:t>10.45</w:t>
            </w:r>
          </w:p>
        </w:tc>
        <w:tc>
          <w:tcPr>
            <w:tcW w:w="665" w:type="pct"/>
            <w:tcBorders>
              <w:top w:val="single" w:sz="4" w:space="0" w:color="auto"/>
              <w:left w:val="single" w:sz="4" w:space="0" w:color="auto"/>
              <w:bottom w:val="single" w:sz="4" w:space="0" w:color="auto"/>
              <w:right w:val="single" w:sz="4" w:space="0" w:color="auto"/>
            </w:tcBorders>
            <w:vAlign w:val="center"/>
          </w:tcPr>
          <w:p w14:paraId="2F2F54A4" w14:textId="77777777" w:rsidR="00E57DAA" w:rsidRDefault="00AC4185">
            <w:pPr>
              <w:jc w:val="right"/>
              <w:rPr>
                <w:sz w:val="15"/>
                <w:szCs w:val="15"/>
              </w:rPr>
            </w:pPr>
            <w:r>
              <w:rPr>
                <w:sz w:val="15"/>
                <w:szCs w:val="15"/>
              </w:rPr>
              <w:t>10,084,212,169.70</w:t>
            </w:r>
          </w:p>
        </w:tc>
        <w:tc>
          <w:tcPr>
            <w:tcW w:w="630" w:type="pct"/>
            <w:tcBorders>
              <w:top w:val="single" w:sz="4" w:space="0" w:color="auto"/>
              <w:left w:val="single" w:sz="4" w:space="0" w:color="auto"/>
              <w:bottom w:val="single" w:sz="4" w:space="0" w:color="auto"/>
              <w:right w:val="single" w:sz="4" w:space="0" w:color="auto"/>
            </w:tcBorders>
            <w:vAlign w:val="center"/>
          </w:tcPr>
          <w:p w14:paraId="45CEF636" w14:textId="77777777" w:rsidR="00E57DAA" w:rsidRDefault="00AC4185">
            <w:pPr>
              <w:jc w:val="right"/>
              <w:rPr>
                <w:sz w:val="15"/>
                <w:szCs w:val="15"/>
              </w:rPr>
            </w:pPr>
            <w:r>
              <w:rPr>
                <w:sz w:val="15"/>
                <w:szCs w:val="15"/>
              </w:rPr>
              <w:t>9,267,897,405.56</w:t>
            </w:r>
          </w:p>
        </w:tc>
        <w:tc>
          <w:tcPr>
            <w:tcW w:w="251" w:type="pct"/>
            <w:tcBorders>
              <w:top w:val="single" w:sz="4" w:space="0" w:color="auto"/>
              <w:left w:val="single" w:sz="4" w:space="0" w:color="auto"/>
              <w:bottom w:val="single" w:sz="4" w:space="0" w:color="auto"/>
              <w:right w:val="single" w:sz="4" w:space="0" w:color="auto"/>
            </w:tcBorders>
            <w:vAlign w:val="center"/>
          </w:tcPr>
          <w:p w14:paraId="2FC85F44" w14:textId="77777777" w:rsidR="00E57DAA" w:rsidRDefault="00AC4185">
            <w:pPr>
              <w:jc w:val="right"/>
              <w:rPr>
                <w:sz w:val="15"/>
                <w:szCs w:val="15"/>
              </w:rPr>
            </w:pPr>
            <w:r>
              <w:rPr>
                <w:sz w:val="15"/>
                <w:szCs w:val="15"/>
              </w:rPr>
              <w:t>99.43</w:t>
            </w:r>
          </w:p>
        </w:tc>
        <w:tc>
          <w:tcPr>
            <w:tcW w:w="630" w:type="pct"/>
            <w:tcBorders>
              <w:top w:val="single" w:sz="4" w:space="0" w:color="auto"/>
              <w:left w:val="single" w:sz="4" w:space="0" w:color="auto"/>
              <w:bottom w:val="single" w:sz="4" w:space="0" w:color="auto"/>
              <w:right w:val="single" w:sz="4" w:space="0" w:color="auto"/>
            </w:tcBorders>
            <w:vAlign w:val="center"/>
          </w:tcPr>
          <w:p w14:paraId="34FB91E4" w14:textId="77777777" w:rsidR="00E57DAA" w:rsidRDefault="00AC4185">
            <w:pPr>
              <w:jc w:val="right"/>
              <w:rPr>
                <w:sz w:val="15"/>
                <w:szCs w:val="15"/>
              </w:rPr>
            </w:pPr>
            <w:r>
              <w:rPr>
                <w:sz w:val="15"/>
                <w:szCs w:val="15"/>
              </w:rPr>
              <w:t>1,070,078,276.77</w:t>
            </w:r>
          </w:p>
        </w:tc>
        <w:tc>
          <w:tcPr>
            <w:tcW w:w="251" w:type="pct"/>
            <w:tcBorders>
              <w:top w:val="single" w:sz="4" w:space="0" w:color="auto"/>
              <w:left w:val="single" w:sz="4" w:space="0" w:color="auto"/>
              <w:bottom w:val="single" w:sz="4" w:space="0" w:color="auto"/>
              <w:right w:val="single" w:sz="4" w:space="0" w:color="auto"/>
            </w:tcBorders>
            <w:vAlign w:val="center"/>
          </w:tcPr>
          <w:p w14:paraId="321897AB" w14:textId="77777777" w:rsidR="00E57DAA" w:rsidRDefault="00AC4185">
            <w:pPr>
              <w:jc w:val="right"/>
              <w:rPr>
                <w:sz w:val="15"/>
                <w:szCs w:val="15"/>
              </w:rPr>
            </w:pPr>
            <w:r>
              <w:rPr>
                <w:sz w:val="15"/>
                <w:szCs w:val="15"/>
              </w:rPr>
              <w:t>11.55</w:t>
            </w:r>
          </w:p>
        </w:tc>
        <w:tc>
          <w:tcPr>
            <w:tcW w:w="631" w:type="pct"/>
            <w:tcBorders>
              <w:top w:val="single" w:sz="4" w:space="0" w:color="auto"/>
              <w:left w:val="single" w:sz="4" w:space="0" w:color="auto"/>
              <w:bottom w:val="single" w:sz="4" w:space="0" w:color="auto"/>
              <w:right w:val="single" w:sz="4" w:space="0" w:color="auto"/>
            </w:tcBorders>
            <w:vAlign w:val="center"/>
          </w:tcPr>
          <w:p w14:paraId="747F4BAB" w14:textId="77777777" w:rsidR="00E57DAA" w:rsidRDefault="00AC4185">
            <w:pPr>
              <w:jc w:val="right"/>
              <w:rPr>
                <w:sz w:val="15"/>
                <w:szCs w:val="15"/>
              </w:rPr>
            </w:pPr>
            <w:r>
              <w:rPr>
                <w:sz w:val="15"/>
                <w:szCs w:val="15"/>
              </w:rPr>
              <w:t>8,197,819,128.79</w:t>
            </w:r>
          </w:p>
        </w:tc>
      </w:tr>
      <w:tr w:rsidR="00E57DAA" w14:paraId="0CDAFB02" w14:textId="77777777">
        <w:trPr>
          <w:cantSplit/>
        </w:trPr>
        <w:sdt>
          <w:sdtPr>
            <w:rPr>
              <w:sz w:val="15"/>
              <w:szCs w:val="15"/>
            </w:rPr>
            <w:tag w:val="_PLD_ce0cfa8fc80147608db7db4b7ce1db69"/>
            <w:id w:val="32305786"/>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16F695BC" w14:textId="77777777" w:rsidR="00E57DAA" w:rsidRDefault="00AC4185">
                <w:pPr>
                  <w:rPr>
                    <w:sz w:val="15"/>
                    <w:szCs w:val="15"/>
                  </w:rPr>
                </w:pPr>
                <w:r>
                  <w:rPr>
                    <w:rFonts w:hint="eastAsia"/>
                    <w:sz w:val="15"/>
                    <w:szCs w:val="15"/>
                  </w:rPr>
                  <w:t>其中：</w:t>
                </w:r>
              </w:p>
            </w:tc>
          </w:sdtContent>
        </w:sdt>
      </w:tr>
      <w:tr w:rsidR="00E57DAA" w14:paraId="3F2C57F0" w14:textId="77777777">
        <w:trPr>
          <w:cantSplit/>
        </w:trPr>
        <w:sdt>
          <w:sdtPr>
            <w:rPr>
              <w:sz w:val="15"/>
              <w:szCs w:val="15"/>
            </w:rPr>
            <w:alias w:val="按组合计提坏账准备的应收账款明细-组合名称"/>
            <w:tag w:val="_GBC_a216a551f9d54c89b88dad6bcecd942d"/>
            <w:id w:val="-1891483817"/>
          </w:sdtPr>
          <w:sdtEndPr/>
          <w:sdtContent>
            <w:tc>
              <w:tcPr>
                <w:tcW w:w="612" w:type="pct"/>
                <w:tcBorders>
                  <w:top w:val="single" w:sz="4" w:space="0" w:color="auto"/>
                  <w:left w:val="single" w:sz="4" w:space="0" w:color="auto"/>
                  <w:bottom w:val="single" w:sz="4" w:space="0" w:color="auto"/>
                  <w:right w:val="single" w:sz="4" w:space="0" w:color="auto"/>
                </w:tcBorders>
              </w:tcPr>
              <w:p w14:paraId="47DC278F" w14:textId="77777777" w:rsidR="00E57DAA" w:rsidRDefault="00AC4185">
                <w:pPr>
                  <w:jc w:val="both"/>
                  <w:rPr>
                    <w:color w:val="808080"/>
                    <w:sz w:val="15"/>
                    <w:szCs w:val="15"/>
                  </w:rPr>
                </w:pPr>
                <w:r>
                  <w:rPr>
                    <w:rFonts w:hint="eastAsia"/>
                    <w:sz w:val="15"/>
                    <w:szCs w:val="15"/>
                  </w:rPr>
                  <w:t>账龄组合</w:t>
                </w:r>
              </w:p>
            </w:tc>
          </w:sdtContent>
        </w:sdt>
        <w:tc>
          <w:tcPr>
            <w:tcW w:w="198" w:type="pct"/>
            <w:tcBorders>
              <w:top w:val="single" w:sz="4" w:space="0" w:color="auto"/>
              <w:left w:val="single" w:sz="4" w:space="0" w:color="auto"/>
              <w:bottom w:val="single" w:sz="4" w:space="0" w:color="auto"/>
              <w:right w:val="single" w:sz="4" w:space="0" w:color="auto"/>
            </w:tcBorders>
            <w:vAlign w:val="center"/>
          </w:tcPr>
          <w:p w14:paraId="63E67CC0" w14:textId="77777777" w:rsidR="00E57DAA" w:rsidRDefault="00AC4185">
            <w:pPr>
              <w:jc w:val="right"/>
              <w:rPr>
                <w:sz w:val="15"/>
                <w:szCs w:val="15"/>
              </w:rPr>
            </w:pPr>
            <w:r>
              <w:rPr>
                <w:sz w:val="15"/>
                <w:szCs w:val="15"/>
              </w:rPr>
              <w:t>11,261,167,405.09</w:t>
            </w:r>
          </w:p>
        </w:tc>
        <w:tc>
          <w:tcPr>
            <w:tcW w:w="251" w:type="pct"/>
            <w:tcBorders>
              <w:top w:val="single" w:sz="4" w:space="0" w:color="auto"/>
              <w:left w:val="single" w:sz="4" w:space="0" w:color="auto"/>
              <w:bottom w:val="single" w:sz="4" w:space="0" w:color="auto"/>
              <w:right w:val="single" w:sz="4" w:space="0" w:color="auto"/>
            </w:tcBorders>
            <w:vAlign w:val="center"/>
          </w:tcPr>
          <w:p w14:paraId="1C4CCFDB" w14:textId="77777777" w:rsidR="00E57DAA" w:rsidRDefault="00AC4185">
            <w:pPr>
              <w:jc w:val="right"/>
              <w:rPr>
                <w:sz w:val="15"/>
                <w:szCs w:val="15"/>
              </w:rPr>
            </w:pPr>
            <w:r>
              <w:rPr>
                <w:sz w:val="15"/>
                <w:szCs w:val="15"/>
              </w:rPr>
              <w:t>99.35</w:t>
            </w:r>
          </w:p>
        </w:tc>
        <w:tc>
          <w:tcPr>
            <w:tcW w:w="630" w:type="pct"/>
            <w:tcBorders>
              <w:top w:val="single" w:sz="4" w:space="0" w:color="auto"/>
              <w:left w:val="single" w:sz="4" w:space="0" w:color="auto"/>
              <w:bottom w:val="single" w:sz="4" w:space="0" w:color="auto"/>
              <w:right w:val="single" w:sz="4" w:space="0" w:color="auto"/>
            </w:tcBorders>
            <w:vAlign w:val="center"/>
          </w:tcPr>
          <w:p w14:paraId="49CED2EF" w14:textId="77777777" w:rsidR="00E57DAA" w:rsidRDefault="00AC4185">
            <w:pPr>
              <w:jc w:val="right"/>
              <w:rPr>
                <w:sz w:val="15"/>
                <w:szCs w:val="15"/>
              </w:rPr>
            </w:pPr>
            <w:r>
              <w:rPr>
                <w:sz w:val="15"/>
                <w:szCs w:val="15"/>
              </w:rPr>
              <w:t>1,176,955,235.39</w:t>
            </w:r>
          </w:p>
        </w:tc>
        <w:tc>
          <w:tcPr>
            <w:tcW w:w="251" w:type="pct"/>
            <w:tcBorders>
              <w:top w:val="single" w:sz="4" w:space="0" w:color="auto"/>
              <w:left w:val="single" w:sz="4" w:space="0" w:color="auto"/>
              <w:bottom w:val="single" w:sz="4" w:space="0" w:color="auto"/>
              <w:right w:val="single" w:sz="4" w:space="0" w:color="auto"/>
            </w:tcBorders>
            <w:vAlign w:val="center"/>
          </w:tcPr>
          <w:p w14:paraId="1E7EF484" w14:textId="77777777" w:rsidR="00E57DAA" w:rsidRDefault="00AC4185">
            <w:pPr>
              <w:jc w:val="right"/>
              <w:rPr>
                <w:sz w:val="15"/>
                <w:szCs w:val="15"/>
              </w:rPr>
            </w:pPr>
            <w:r>
              <w:rPr>
                <w:sz w:val="15"/>
                <w:szCs w:val="15"/>
              </w:rPr>
              <w:t>10.45</w:t>
            </w:r>
          </w:p>
        </w:tc>
        <w:tc>
          <w:tcPr>
            <w:tcW w:w="665" w:type="pct"/>
            <w:tcBorders>
              <w:top w:val="single" w:sz="4" w:space="0" w:color="auto"/>
              <w:left w:val="single" w:sz="4" w:space="0" w:color="auto"/>
              <w:bottom w:val="single" w:sz="4" w:space="0" w:color="auto"/>
              <w:right w:val="single" w:sz="4" w:space="0" w:color="auto"/>
            </w:tcBorders>
            <w:vAlign w:val="center"/>
          </w:tcPr>
          <w:p w14:paraId="07772FB1" w14:textId="77777777" w:rsidR="00E57DAA" w:rsidRDefault="00AC4185">
            <w:pPr>
              <w:jc w:val="right"/>
              <w:rPr>
                <w:sz w:val="15"/>
                <w:szCs w:val="15"/>
              </w:rPr>
            </w:pPr>
            <w:r>
              <w:rPr>
                <w:sz w:val="15"/>
                <w:szCs w:val="15"/>
              </w:rPr>
              <w:t>10,084,212,169.70</w:t>
            </w:r>
          </w:p>
        </w:tc>
        <w:tc>
          <w:tcPr>
            <w:tcW w:w="630" w:type="pct"/>
            <w:tcBorders>
              <w:top w:val="single" w:sz="4" w:space="0" w:color="auto"/>
              <w:left w:val="single" w:sz="4" w:space="0" w:color="auto"/>
              <w:bottom w:val="single" w:sz="4" w:space="0" w:color="auto"/>
              <w:right w:val="single" w:sz="4" w:space="0" w:color="auto"/>
            </w:tcBorders>
            <w:vAlign w:val="center"/>
          </w:tcPr>
          <w:p w14:paraId="026D5493" w14:textId="77777777" w:rsidR="00E57DAA" w:rsidRDefault="00AC4185">
            <w:pPr>
              <w:jc w:val="right"/>
              <w:rPr>
                <w:sz w:val="15"/>
                <w:szCs w:val="15"/>
              </w:rPr>
            </w:pPr>
            <w:r>
              <w:rPr>
                <w:sz w:val="15"/>
                <w:szCs w:val="15"/>
              </w:rPr>
              <w:t>9,267,897,405.56</w:t>
            </w:r>
          </w:p>
        </w:tc>
        <w:tc>
          <w:tcPr>
            <w:tcW w:w="251" w:type="pct"/>
            <w:tcBorders>
              <w:top w:val="single" w:sz="4" w:space="0" w:color="auto"/>
              <w:left w:val="single" w:sz="4" w:space="0" w:color="auto"/>
              <w:bottom w:val="single" w:sz="4" w:space="0" w:color="auto"/>
              <w:right w:val="single" w:sz="4" w:space="0" w:color="auto"/>
            </w:tcBorders>
            <w:vAlign w:val="center"/>
          </w:tcPr>
          <w:p w14:paraId="37523284" w14:textId="77777777" w:rsidR="00E57DAA" w:rsidRDefault="00AC4185">
            <w:pPr>
              <w:jc w:val="right"/>
              <w:rPr>
                <w:sz w:val="15"/>
                <w:szCs w:val="15"/>
              </w:rPr>
            </w:pPr>
            <w:r>
              <w:rPr>
                <w:sz w:val="15"/>
                <w:szCs w:val="15"/>
              </w:rPr>
              <w:t>99.43</w:t>
            </w:r>
          </w:p>
        </w:tc>
        <w:tc>
          <w:tcPr>
            <w:tcW w:w="630" w:type="pct"/>
            <w:tcBorders>
              <w:top w:val="single" w:sz="4" w:space="0" w:color="auto"/>
              <w:left w:val="single" w:sz="4" w:space="0" w:color="auto"/>
              <w:bottom w:val="single" w:sz="4" w:space="0" w:color="auto"/>
              <w:right w:val="single" w:sz="4" w:space="0" w:color="auto"/>
            </w:tcBorders>
            <w:vAlign w:val="center"/>
          </w:tcPr>
          <w:p w14:paraId="6768C4C0" w14:textId="77777777" w:rsidR="00E57DAA" w:rsidRDefault="00AC4185">
            <w:pPr>
              <w:jc w:val="right"/>
              <w:rPr>
                <w:sz w:val="15"/>
                <w:szCs w:val="15"/>
              </w:rPr>
            </w:pPr>
            <w:r>
              <w:rPr>
                <w:sz w:val="15"/>
                <w:szCs w:val="15"/>
              </w:rPr>
              <w:t>1,070,078,276.77</w:t>
            </w:r>
          </w:p>
        </w:tc>
        <w:tc>
          <w:tcPr>
            <w:tcW w:w="251" w:type="pct"/>
            <w:tcBorders>
              <w:top w:val="single" w:sz="4" w:space="0" w:color="auto"/>
              <w:left w:val="single" w:sz="4" w:space="0" w:color="auto"/>
              <w:bottom w:val="single" w:sz="4" w:space="0" w:color="auto"/>
              <w:right w:val="single" w:sz="4" w:space="0" w:color="auto"/>
            </w:tcBorders>
            <w:vAlign w:val="center"/>
          </w:tcPr>
          <w:p w14:paraId="3950DF94" w14:textId="77777777" w:rsidR="00E57DAA" w:rsidRDefault="00AC4185">
            <w:pPr>
              <w:jc w:val="right"/>
              <w:rPr>
                <w:sz w:val="15"/>
                <w:szCs w:val="15"/>
              </w:rPr>
            </w:pPr>
            <w:r>
              <w:rPr>
                <w:sz w:val="15"/>
                <w:szCs w:val="15"/>
              </w:rPr>
              <w:t>11.55</w:t>
            </w:r>
          </w:p>
        </w:tc>
        <w:tc>
          <w:tcPr>
            <w:tcW w:w="631" w:type="pct"/>
            <w:tcBorders>
              <w:top w:val="single" w:sz="4" w:space="0" w:color="auto"/>
              <w:left w:val="single" w:sz="4" w:space="0" w:color="auto"/>
              <w:bottom w:val="single" w:sz="4" w:space="0" w:color="auto"/>
              <w:right w:val="single" w:sz="4" w:space="0" w:color="auto"/>
            </w:tcBorders>
            <w:vAlign w:val="center"/>
          </w:tcPr>
          <w:p w14:paraId="6E9E04D5" w14:textId="77777777" w:rsidR="00E57DAA" w:rsidRDefault="00AC4185">
            <w:pPr>
              <w:jc w:val="right"/>
              <w:rPr>
                <w:sz w:val="15"/>
                <w:szCs w:val="15"/>
              </w:rPr>
            </w:pPr>
            <w:r>
              <w:rPr>
                <w:sz w:val="15"/>
                <w:szCs w:val="15"/>
              </w:rPr>
              <w:t>8,197,819,128.79</w:t>
            </w:r>
          </w:p>
        </w:tc>
      </w:tr>
      <w:tr w:rsidR="00E57DAA" w14:paraId="466715A3" w14:textId="77777777">
        <w:trPr>
          <w:cantSplit/>
        </w:trPr>
        <w:tc>
          <w:tcPr>
            <w:tcW w:w="612" w:type="pct"/>
            <w:tcBorders>
              <w:top w:val="single" w:sz="4" w:space="0" w:color="auto"/>
              <w:left w:val="single" w:sz="4" w:space="0" w:color="auto"/>
              <w:bottom w:val="single" w:sz="4" w:space="0" w:color="auto"/>
              <w:right w:val="single" w:sz="4" w:space="0" w:color="auto"/>
            </w:tcBorders>
            <w:vAlign w:val="center"/>
          </w:tcPr>
          <w:p w14:paraId="23367612" w14:textId="77777777" w:rsidR="00E57DAA" w:rsidRDefault="00AC4185">
            <w:pPr>
              <w:autoSpaceDE w:val="0"/>
              <w:autoSpaceDN w:val="0"/>
              <w:adjustRightInd w:val="0"/>
              <w:jc w:val="center"/>
              <w:rPr>
                <w:sz w:val="15"/>
                <w:szCs w:val="15"/>
              </w:rPr>
            </w:pPr>
            <w:r>
              <w:rPr>
                <w:rFonts w:hint="eastAsia"/>
                <w:sz w:val="15"/>
                <w:szCs w:val="15"/>
              </w:rPr>
              <w:t>合计</w:t>
            </w:r>
          </w:p>
        </w:tc>
        <w:tc>
          <w:tcPr>
            <w:tcW w:w="198" w:type="pct"/>
            <w:tcBorders>
              <w:top w:val="single" w:sz="4" w:space="0" w:color="auto"/>
              <w:left w:val="single" w:sz="4" w:space="0" w:color="auto"/>
              <w:bottom w:val="single" w:sz="4" w:space="0" w:color="auto"/>
              <w:right w:val="single" w:sz="4" w:space="0" w:color="auto"/>
            </w:tcBorders>
          </w:tcPr>
          <w:p w14:paraId="7B5C48E2" w14:textId="77777777" w:rsidR="00E57DAA" w:rsidRDefault="00AC4185">
            <w:pPr>
              <w:jc w:val="right"/>
              <w:rPr>
                <w:sz w:val="15"/>
                <w:szCs w:val="15"/>
              </w:rPr>
            </w:pPr>
            <w:r>
              <w:rPr>
                <w:sz w:val="15"/>
                <w:szCs w:val="15"/>
              </w:rPr>
              <w:t>11,335,356,342.64</w:t>
            </w:r>
          </w:p>
        </w:tc>
        <w:tc>
          <w:tcPr>
            <w:tcW w:w="251" w:type="pct"/>
            <w:tcBorders>
              <w:top w:val="single" w:sz="4" w:space="0" w:color="auto"/>
              <w:left w:val="single" w:sz="4" w:space="0" w:color="auto"/>
              <w:bottom w:val="single" w:sz="4" w:space="0" w:color="auto"/>
              <w:right w:val="single" w:sz="4" w:space="0" w:color="auto"/>
            </w:tcBorders>
          </w:tcPr>
          <w:p w14:paraId="1E64F6B9" w14:textId="77777777" w:rsidR="00E57DAA" w:rsidRDefault="00AC4185">
            <w:pPr>
              <w:jc w:val="center"/>
              <w:rPr>
                <w:sz w:val="15"/>
                <w:szCs w:val="15"/>
              </w:rPr>
            </w:pPr>
            <w:r>
              <w:rPr>
                <w:rFonts w:hint="eastAsia"/>
                <w:sz w:val="15"/>
                <w:szCs w:val="15"/>
              </w:rPr>
              <w:t>/</w:t>
            </w:r>
          </w:p>
        </w:tc>
        <w:tc>
          <w:tcPr>
            <w:tcW w:w="630" w:type="pct"/>
            <w:tcBorders>
              <w:top w:val="single" w:sz="4" w:space="0" w:color="auto"/>
              <w:left w:val="single" w:sz="4" w:space="0" w:color="auto"/>
              <w:bottom w:val="single" w:sz="4" w:space="0" w:color="auto"/>
              <w:right w:val="single" w:sz="4" w:space="0" w:color="auto"/>
            </w:tcBorders>
          </w:tcPr>
          <w:p w14:paraId="2259CAFC" w14:textId="77777777" w:rsidR="00E57DAA" w:rsidRDefault="00AC4185">
            <w:pPr>
              <w:jc w:val="right"/>
              <w:rPr>
                <w:sz w:val="15"/>
                <w:szCs w:val="15"/>
              </w:rPr>
            </w:pPr>
            <w:r>
              <w:rPr>
                <w:sz w:val="15"/>
                <w:szCs w:val="15"/>
              </w:rPr>
              <w:t>1,237,046,116.64</w:t>
            </w:r>
          </w:p>
        </w:tc>
        <w:tc>
          <w:tcPr>
            <w:tcW w:w="251" w:type="pct"/>
            <w:tcBorders>
              <w:top w:val="single" w:sz="4" w:space="0" w:color="auto"/>
              <w:left w:val="single" w:sz="4" w:space="0" w:color="auto"/>
              <w:bottom w:val="single" w:sz="4" w:space="0" w:color="auto"/>
              <w:right w:val="single" w:sz="4" w:space="0" w:color="auto"/>
            </w:tcBorders>
          </w:tcPr>
          <w:p w14:paraId="69CCECBA" w14:textId="77777777" w:rsidR="00E57DAA" w:rsidRDefault="00AC4185">
            <w:pPr>
              <w:jc w:val="center"/>
              <w:rPr>
                <w:sz w:val="15"/>
                <w:szCs w:val="15"/>
              </w:rPr>
            </w:pPr>
            <w:r>
              <w:rPr>
                <w:rFonts w:hint="eastAsia"/>
                <w:sz w:val="15"/>
                <w:szCs w:val="15"/>
              </w:rPr>
              <w:t>/</w:t>
            </w:r>
          </w:p>
        </w:tc>
        <w:tc>
          <w:tcPr>
            <w:tcW w:w="665" w:type="pct"/>
            <w:tcBorders>
              <w:top w:val="single" w:sz="4" w:space="0" w:color="auto"/>
              <w:left w:val="single" w:sz="4" w:space="0" w:color="auto"/>
              <w:bottom w:val="single" w:sz="4" w:space="0" w:color="auto"/>
              <w:right w:val="single" w:sz="4" w:space="0" w:color="auto"/>
            </w:tcBorders>
          </w:tcPr>
          <w:p w14:paraId="75A28AD6" w14:textId="77777777" w:rsidR="00E57DAA" w:rsidRDefault="00AC4185">
            <w:pPr>
              <w:jc w:val="right"/>
              <w:rPr>
                <w:sz w:val="15"/>
                <w:szCs w:val="15"/>
              </w:rPr>
            </w:pPr>
            <w:r>
              <w:rPr>
                <w:sz w:val="15"/>
                <w:szCs w:val="15"/>
              </w:rPr>
              <w:t>10,098,310,226.00</w:t>
            </w:r>
          </w:p>
        </w:tc>
        <w:tc>
          <w:tcPr>
            <w:tcW w:w="630" w:type="pct"/>
            <w:tcBorders>
              <w:top w:val="single" w:sz="4" w:space="0" w:color="auto"/>
              <w:left w:val="single" w:sz="4" w:space="0" w:color="auto"/>
              <w:bottom w:val="single" w:sz="4" w:space="0" w:color="auto"/>
              <w:right w:val="single" w:sz="4" w:space="0" w:color="auto"/>
            </w:tcBorders>
          </w:tcPr>
          <w:p w14:paraId="77B529D3" w14:textId="77777777" w:rsidR="00E57DAA" w:rsidRDefault="00AC4185">
            <w:pPr>
              <w:jc w:val="right"/>
              <w:rPr>
                <w:sz w:val="15"/>
                <w:szCs w:val="15"/>
              </w:rPr>
            </w:pPr>
            <w:r>
              <w:rPr>
                <w:sz w:val="15"/>
                <w:szCs w:val="15"/>
              </w:rPr>
              <w:t>9,320,798,051.27</w:t>
            </w:r>
          </w:p>
        </w:tc>
        <w:tc>
          <w:tcPr>
            <w:tcW w:w="251" w:type="pct"/>
            <w:tcBorders>
              <w:top w:val="single" w:sz="4" w:space="0" w:color="auto"/>
              <w:left w:val="single" w:sz="4" w:space="0" w:color="auto"/>
              <w:bottom w:val="single" w:sz="4" w:space="0" w:color="auto"/>
              <w:right w:val="single" w:sz="4" w:space="0" w:color="auto"/>
            </w:tcBorders>
          </w:tcPr>
          <w:p w14:paraId="7C128E0B" w14:textId="77777777" w:rsidR="00E57DAA" w:rsidRDefault="00AC4185">
            <w:pPr>
              <w:jc w:val="center"/>
              <w:rPr>
                <w:sz w:val="15"/>
                <w:szCs w:val="15"/>
              </w:rPr>
            </w:pPr>
            <w:r>
              <w:rPr>
                <w:rFonts w:hint="eastAsia"/>
                <w:sz w:val="15"/>
                <w:szCs w:val="15"/>
              </w:rPr>
              <w:t>/</w:t>
            </w:r>
          </w:p>
        </w:tc>
        <w:tc>
          <w:tcPr>
            <w:tcW w:w="630" w:type="pct"/>
            <w:tcBorders>
              <w:top w:val="single" w:sz="4" w:space="0" w:color="auto"/>
              <w:left w:val="single" w:sz="4" w:space="0" w:color="auto"/>
              <w:bottom w:val="single" w:sz="4" w:space="0" w:color="auto"/>
              <w:right w:val="single" w:sz="4" w:space="0" w:color="auto"/>
            </w:tcBorders>
          </w:tcPr>
          <w:p w14:paraId="6EE028B7" w14:textId="77777777" w:rsidR="00E57DAA" w:rsidRDefault="00AC4185">
            <w:pPr>
              <w:jc w:val="right"/>
              <w:rPr>
                <w:sz w:val="15"/>
                <w:szCs w:val="15"/>
              </w:rPr>
            </w:pPr>
            <w:r>
              <w:rPr>
                <w:sz w:val="15"/>
                <w:szCs w:val="15"/>
              </w:rPr>
              <w:t>1,119,329,728.48</w:t>
            </w:r>
          </w:p>
        </w:tc>
        <w:tc>
          <w:tcPr>
            <w:tcW w:w="251" w:type="pct"/>
            <w:tcBorders>
              <w:top w:val="single" w:sz="4" w:space="0" w:color="auto"/>
              <w:left w:val="single" w:sz="4" w:space="0" w:color="auto"/>
              <w:bottom w:val="single" w:sz="4" w:space="0" w:color="auto"/>
              <w:right w:val="single" w:sz="4" w:space="0" w:color="auto"/>
            </w:tcBorders>
          </w:tcPr>
          <w:p w14:paraId="2886E3E7" w14:textId="77777777" w:rsidR="00E57DAA" w:rsidRDefault="00AC4185">
            <w:pPr>
              <w:jc w:val="center"/>
              <w:rPr>
                <w:sz w:val="15"/>
                <w:szCs w:val="15"/>
              </w:rPr>
            </w:pPr>
            <w:r>
              <w:rPr>
                <w:rFonts w:hint="eastAsia"/>
                <w:sz w:val="15"/>
                <w:szCs w:val="15"/>
              </w:rPr>
              <w:t>/</w:t>
            </w:r>
          </w:p>
        </w:tc>
        <w:tc>
          <w:tcPr>
            <w:tcW w:w="631" w:type="pct"/>
            <w:tcBorders>
              <w:top w:val="single" w:sz="4" w:space="0" w:color="auto"/>
              <w:left w:val="single" w:sz="4" w:space="0" w:color="auto"/>
              <w:bottom w:val="single" w:sz="4" w:space="0" w:color="auto"/>
              <w:right w:val="single" w:sz="4" w:space="0" w:color="auto"/>
            </w:tcBorders>
          </w:tcPr>
          <w:p w14:paraId="59E1CC4A" w14:textId="77777777" w:rsidR="00E57DAA" w:rsidRDefault="00AC4185">
            <w:pPr>
              <w:jc w:val="right"/>
              <w:rPr>
                <w:sz w:val="15"/>
                <w:szCs w:val="15"/>
              </w:rPr>
            </w:pPr>
            <w:r>
              <w:rPr>
                <w:sz w:val="15"/>
                <w:szCs w:val="15"/>
              </w:rPr>
              <w:t>8,201,468,322.79</w:t>
            </w:r>
          </w:p>
        </w:tc>
      </w:tr>
    </w:tbl>
    <w:p w14:paraId="7BB5F77C" w14:textId="77777777" w:rsidR="00E57DAA" w:rsidRDefault="00E57DAA">
      <w:pPr>
        <w:sectPr w:rsidR="00E57DAA" w:rsidSect="00226547">
          <w:pgSz w:w="16838" w:h="11906" w:orient="landscape"/>
          <w:pgMar w:top="1276" w:right="1440" w:bottom="1797" w:left="1525" w:header="856" w:footer="992" w:gutter="0"/>
          <w:cols w:space="425"/>
          <w:docGrid w:linePitch="312"/>
        </w:sectPr>
      </w:pPr>
      <w:bookmarkStart w:id="199" w:name="_Hlk533606785"/>
      <w:bookmarkEnd w:id="198"/>
    </w:p>
    <w:p w14:paraId="0EE4581F" w14:textId="77777777" w:rsidR="00E57DAA" w:rsidRDefault="00E57DAA" w:rsidP="00C25422">
      <w:pPr>
        <w:pStyle w:val="92"/>
      </w:pPr>
    </w:p>
    <w:p w14:paraId="69154B57" w14:textId="77777777" w:rsidR="00E57DAA" w:rsidRDefault="00AC4185">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360781082"/>
        <w:placeholder>
          <w:docPart w:val="GBC22222222222222222222222222222"/>
        </w:placeholder>
      </w:sdtPr>
      <w:sdtEndPr/>
      <w:sdtContent>
        <w:p w14:paraId="70F83DA4" w14:textId="77777777" w:rsidR="00E57DAA" w:rsidRDefault="00AC4185" w:rsidP="00C25422">
          <w:pPr>
            <w:pStyle w:val="92"/>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7E61B223" w14:textId="77777777" w:rsidR="00E57DAA" w:rsidRDefault="00AC4185">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14360274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2074999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8"/>
        <w:gridCol w:w="1581"/>
        <w:gridCol w:w="1648"/>
        <w:gridCol w:w="959"/>
        <w:gridCol w:w="1247"/>
      </w:tblGrid>
      <w:tr w:rsidR="00E57DAA" w14:paraId="3C5EF87A" w14:textId="77777777">
        <w:sdt>
          <w:sdtPr>
            <w:tag w:val="_PLD_97fa41067b8749859d9b8b001dab9dde"/>
            <w:id w:val="-2012279499"/>
          </w:sdtPr>
          <w:sdtEndPr/>
          <w:sdtContent>
            <w:tc>
              <w:tcPr>
                <w:tcW w:w="1925" w:type="pct"/>
                <w:vMerge w:val="restart"/>
                <w:vAlign w:val="center"/>
              </w:tcPr>
              <w:p w14:paraId="04FBE8C5" w14:textId="77777777" w:rsidR="00E57DAA" w:rsidRDefault="00AC4185">
                <w:pPr>
                  <w:jc w:val="center"/>
                  <w:rPr>
                    <w:szCs w:val="21"/>
                  </w:rPr>
                </w:pPr>
                <w:r>
                  <w:rPr>
                    <w:rFonts w:hint="eastAsia"/>
                    <w:szCs w:val="21"/>
                  </w:rPr>
                  <w:t>名称</w:t>
                </w:r>
              </w:p>
            </w:tc>
          </w:sdtContent>
        </w:sdt>
        <w:sdt>
          <w:sdtPr>
            <w:tag w:val="_PLD_53121e07f76046af9290059d0b8136d4"/>
            <w:id w:val="-432436484"/>
          </w:sdtPr>
          <w:sdtEndPr/>
          <w:sdtContent>
            <w:tc>
              <w:tcPr>
                <w:tcW w:w="3075" w:type="pct"/>
                <w:gridSpan w:val="4"/>
                <w:vAlign w:val="center"/>
              </w:tcPr>
              <w:p w14:paraId="4F1D9160" w14:textId="77777777" w:rsidR="00E57DAA" w:rsidRDefault="00AC4185">
                <w:pPr>
                  <w:jc w:val="center"/>
                  <w:rPr>
                    <w:szCs w:val="21"/>
                  </w:rPr>
                </w:pPr>
                <w:r>
                  <w:rPr>
                    <w:rFonts w:hint="eastAsia"/>
                    <w:szCs w:val="21"/>
                  </w:rPr>
                  <w:t>期末余额</w:t>
                </w:r>
              </w:p>
            </w:tc>
          </w:sdtContent>
        </w:sdt>
      </w:tr>
      <w:tr w:rsidR="00E57DAA" w14:paraId="2607699F" w14:textId="77777777">
        <w:tc>
          <w:tcPr>
            <w:tcW w:w="1925" w:type="pct"/>
            <w:vMerge/>
          </w:tcPr>
          <w:p w14:paraId="226F29AD" w14:textId="77777777" w:rsidR="00E57DAA" w:rsidRDefault="00E57DAA">
            <w:pPr>
              <w:jc w:val="center"/>
              <w:rPr>
                <w:szCs w:val="21"/>
              </w:rPr>
            </w:pPr>
          </w:p>
        </w:tc>
        <w:sdt>
          <w:sdtPr>
            <w:tag w:val="_PLD_89b2d64d2083464fae141734d17523d3"/>
            <w:id w:val="1154644982"/>
          </w:sdtPr>
          <w:sdtEndPr/>
          <w:sdtContent>
            <w:tc>
              <w:tcPr>
                <w:tcW w:w="877" w:type="pct"/>
                <w:vAlign w:val="center"/>
              </w:tcPr>
              <w:p w14:paraId="1D9EA505" w14:textId="77777777" w:rsidR="00E57DAA" w:rsidRDefault="00AC4185">
                <w:pPr>
                  <w:jc w:val="center"/>
                  <w:rPr>
                    <w:szCs w:val="21"/>
                  </w:rPr>
                </w:pPr>
                <w:r>
                  <w:rPr>
                    <w:rFonts w:hint="eastAsia"/>
                    <w:szCs w:val="21"/>
                  </w:rPr>
                  <w:t>账面余额</w:t>
                </w:r>
              </w:p>
            </w:tc>
          </w:sdtContent>
        </w:sdt>
        <w:sdt>
          <w:sdtPr>
            <w:tag w:val="_PLD_ace529544c544606915552a352f0e13b"/>
            <w:id w:val="-334310362"/>
          </w:sdtPr>
          <w:sdtEndPr/>
          <w:sdtContent>
            <w:tc>
              <w:tcPr>
                <w:tcW w:w="939" w:type="pct"/>
                <w:vAlign w:val="center"/>
              </w:tcPr>
              <w:p w14:paraId="6A2D7C1E" w14:textId="77777777" w:rsidR="00E57DAA" w:rsidRDefault="00AC4185">
                <w:pPr>
                  <w:jc w:val="center"/>
                  <w:rPr>
                    <w:szCs w:val="21"/>
                  </w:rPr>
                </w:pPr>
                <w:r>
                  <w:rPr>
                    <w:rFonts w:hint="eastAsia"/>
                    <w:szCs w:val="21"/>
                  </w:rPr>
                  <w:t>坏账准备</w:t>
                </w:r>
              </w:p>
            </w:tc>
          </w:sdtContent>
        </w:sdt>
        <w:sdt>
          <w:sdtPr>
            <w:tag w:val="_PLD_8fd7658c68a540cf9892f97231c626d7"/>
            <w:id w:val="781462021"/>
          </w:sdtPr>
          <w:sdtEndPr/>
          <w:sdtContent>
            <w:tc>
              <w:tcPr>
                <w:tcW w:w="548" w:type="pct"/>
                <w:vAlign w:val="center"/>
              </w:tcPr>
              <w:p w14:paraId="6DFF79CA" w14:textId="77777777" w:rsidR="00E57DAA" w:rsidRDefault="00AC4185">
                <w:pPr>
                  <w:jc w:val="center"/>
                  <w:rPr>
                    <w:szCs w:val="21"/>
                  </w:rPr>
                </w:pPr>
                <w:r>
                  <w:rPr>
                    <w:szCs w:val="21"/>
                  </w:rPr>
                  <w:t>计提比例</w:t>
                </w:r>
                <w:r>
                  <w:rPr>
                    <w:rFonts w:hint="eastAsia"/>
                    <w:szCs w:val="21"/>
                  </w:rPr>
                  <w:t>（%）</w:t>
                </w:r>
              </w:p>
            </w:tc>
          </w:sdtContent>
        </w:sdt>
        <w:sdt>
          <w:sdtPr>
            <w:tag w:val="_PLD_e9726e8171bb463ba9719bc643c14988"/>
            <w:id w:val="1073933780"/>
          </w:sdtPr>
          <w:sdtEndPr/>
          <w:sdtContent>
            <w:tc>
              <w:tcPr>
                <w:tcW w:w="711" w:type="pct"/>
                <w:vAlign w:val="center"/>
              </w:tcPr>
              <w:p w14:paraId="7CF033FD" w14:textId="77777777" w:rsidR="00E57DAA" w:rsidRDefault="00AC4185">
                <w:pPr>
                  <w:jc w:val="center"/>
                  <w:rPr>
                    <w:szCs w:val="21"/>
                  </w:rPr>
                </w:pPr>
                <w:r>
                  <w:rPr>
                    <w:rFonts w:hint="eastAsia"/>
                    <w:szCs w:val="21"/>
                  </w:rPr>
                  <w:t>计提理由</w:t>
                </w:r>
              </w:p>
            </w:tc>
          </w:sdtContent>
        </w:sdt>
      </w:tr>
      <w:tr w:rsidR="00E57DAA" w14:paraId="02D0D78B" w14:textId="77777777">
        <w:tc>
          <w:tcPr>
            <w:tcW w:w="1925" w:type="pct"/>
          </w:tcPr>
          <w:p w14:paraId="056BC438" w14:textId="77777777" w:rsidR="00E57DAA" w:rsidRDefault="00AC4185">
            <w:pPr>
              <w:rPr>
                <w:szCs w:val="21"/>
              </w:rPr>
            </w:pPr>
            <w:r>
              <w:t>宁夏天元锰业集团有限公司</w:t>
            </w:r>
          </w:p>
        </w:tc>
        <w:tc>
          <w:tcPr>
            <w:tcW w:w="877" w:type="pct"/>
          </w:tcPr>
          <w:p w14:paraId="12534873" w14:textId="77777777" w:rsidR="00E57DAA" w:rsidRDefault="00AC4185">
            <w:pPr>
              <w:jc w:val="right"/>
              <w:rPr>
                <w:szCs w:val="21"/>
              </w:rPr>
            </w:pPr>
            <w:r>
              <w:t>28,196,112.61</w:t>
            </w:r>
          </w:p>
        </w:tc>
        <w:tc>
          <w:tcPr>
            <w:tcW w:w="939" w:type="pct"/>
          </w:tcPr>
          <w:p w14:paraId="200F2EC8" w14:textId="77777777" w:rsidR="00E57DAA" w:rsidRDefault="00AC4185">
            <w:pPr>
              <w:jc w:val="right"/>
              <w:rPr>
                <w:szCs w:val="21"/>
              </w:rPr>
            </w:pPr>
            <w:r>
              <w:t>14,098,056.31</w:t>
            </w:r>
          </w:p>
        </w:tc>
        <w:tc>
          <w:tcPr>
            <w:tcW w:w="548" w:type="pct"/>
          </w:tcPr>
          <w:p w14:paraId="018281AE" w14:textId="77777777" w:rsidR="00E57DAA" w:rsidRDefault="00AC4185">
            <w:pPr>
              <w:jc w:val="right"/>
              <w:rPr>
                <w:szCs w:val="21"/>
              </w:rPr>
            </w:pPr>
            <w:r>
              <w:t>50.00</w:t>
            </w:r>
          </w:p>
        </w:tc>
        <w:tc>
          <w:tcPr>
            <w:tcW w:w="711" w:type="pct"/>
            <w:vMerge w:val="restart"/>
          </w:tcPr>
          <w:p w14:paraId="06B5AD95" w14:textId="77777777" w:rsidR="00E57DAA" w:rsidRDefault="00AC4185">
            <w:pPr>
              <w:rPr>
                <w:szCs w:val="21"/>
              </w:rPr>
            </w:pPr>
            <w:r>
              <w:rPr>
                <w:rFonts w:hint="eastAsia"/>
                <w:szCs w:val="21"/>
              </w:rPr>
              <w:t>根据交易对象信用评级及信用风险状况计提</w:t>
            </w:r>
          </w:p>
        </w:tc>
      </w:tr>
      <w:tr w:rsidR="00E57DAA" w14:paraId="57212C36" w14:textId="77777777">
        <w:tc>
          <w:tcPr>
            <w:tcW w:w="1925" w:type="pct"/>
          </w:tcPr>
          <w:p w14:paraId="20E9A722" w14:textId="77777777" w:rsidR="00E57DAA" w:rsidRDefault="00AC4185">
            <w:pPr>
              <w:rPr>
                <w:szCs w:val="21"/>
              </w:rPr>
            </w:pPr>
            <w:r>
              <w:t>重庆腾辉涪陵水泥有限公司</w:t>
            </w:r>
          </w:p>
        </w:tc>
        <w:tc>
          <w:tcPr>
            <w:tcW w:w="877" w:type="pct"/>
          </w:tcPr>
          <w:p w14:paraId="3EBD84F4" w14:textId="77777777" w:rsidR="00E57DAA" w:rsidRDefault="00AC4185">
            <w:pPr>
              <w:jc w:val="right"/>
              <w:rPr>
                <w:szCs w:val="21"/>
              </w:rPr>
            </w:pPr>
            <w:r>
              <w:t>17,260,733.39</w:t>
            </w:r>
          </w:p>
        </w:tc>
        <w:tc>
          <w:tcPr>
            <w:tcW w:w="939" w:type="pct"/>
          </w:tcPr>
          <w:p w14:paraId="07A26351" w14:textId="77777777" w:rsidR="00E57DAA" w:rsidRDefault="00AC4185">
            <w:pPr>
              <w:jc w:val="right"/>
              <w:rPr>
                <w:szCs w:val="21"/>
              </w:rPr>
            </w:pPr>
            <w:r>
              <w:t>17,260,733.39</w:t>
            </w:r>
          </w:p>
        </w:tc>
        <w:tc>
          <w:tcPr>
            <w:tcW w:w="548" w:type="pct"/>
          </w:tcPr>
          <w:p w14:paraId="7BC8CDF9" w14:textId="77777777" w:rsidR="00E57DAA" w:rsidRDefault="00AC4185">
            <w:pPr>
              <w:jc w:val="right"/>
              <w:rPr>
                <w:szCs w:val="21"/>
              </w:rPr>
            </w:pPr>
            <w:r>
              <w:t>100.00</w:t>
            </w:r>
          </w:p>
        </w:tc>
        <w:tc>
          <w:tcPr>
            <w:tcW w:w="711" w:type="pct"/>
            <w:vMerge/>
          </w:tcPr>
          <w:p w14:paraId="6192C875" w14:textId="77777777" w:rsidR="00E57DAA" w:rsidRDefault="00E57DAA">
            <w:pPr>
              <w:rPr>
                <w:szCs w:val="21"/>
              </w:rPr>
            </w:pPr>
          </w:p>
        </w:tc>
      </w:tr>
      <w:tr w:rsidR="00E57DAA" w14:paraId="56CFD0CD" w14:textId="77777777">
        <w:tc>
          <w:tcPr>
            <w:tcW w:w="1925" w:type="pct"/>
          </w:tcPr>
          <w:p w14:paraId="2EA9E930" w14:textId="77777777" w:rsidR="00E57DAA" w:rsidRDefault="00AC4185">
            <w:pPr>
              <w:rPr>
                <w:szCs w:val="21"/>
              </w:rPr>
            </w:pPr>
            <w:r>
              <w:t>河南晋开集团郸城晋鑫化工有限公司</w:t>
            </w:r>
          </w:p>
        </w:tc>
        <w:tc>
          <w:tcPr>
            <w:tcW w:w="877" w:type="pct"/>
          </w:tcPr>
          <w:p w14:paraId="47639A8C" w14:textId="77777777" w:rsidR="00E57DAA" w:rsidRDefault="00AC4185">
            <w:pPr>
              <w:jc w:val="right"/>
              <w:rPr>
                <w:szCs w:val="21"/>
              </w:rPr>
            </w:pPr>
            <w:r>
              <w:t>10,724,450.32</w:t>
            </w:r>
          </w:p>
        </w:tc>
        <w:tc>
          <w:tcPr>
            <w:tcW w:w="939" w:type="pct"/>
          </w:tcPr>
          <w:p w14:paraId="532CCAF8" w14:textId="77777777" w:rsidR="00E57DAA" w:rsidRDefault="00AC4185">
            <w:pPr>
              <w:jc w:val="right"/>
              <w:rPr>
                <w:szCs w:val="21"/>
              </w:rPr>
            </w:pPr>
            <w:r>
              <w:t>10,724,450.32</w:t>
            </w:r>
          </w:p>
        </w:tc>
        <w:tc>
          <w:tcPr>
            <w:tcW w:w="548" w:type="pct"/>
          </w:tcPr>
          <w:p w14:paraId="78736B53" w14:textId="77777777" w:rsidR="00E57DAA" w:rsidRDefault="00AC4185">
            <w:pPr>
              <w:jc w:val="right"/>
              <w:rPr>
                <w:szCs w:val="21"/>
              </w:rPr>
            </w:pPr>
            <w:r>
              <w:t>100.00</w:t>
            </w:r>
          </w:p>
        </w:tc>
        <w:tc>
          <w:tcPr>
            <w:tcW w:w="711" w:type="pct"/>
            <w:vMerge/>
          </w:tcPr>
          <w:p w14:paraId="7EE94A2E" w14:textId="77777777" w:rsidR="00E57DAA" w:rsidRDefault="00E57DAA">
            <w:pPr>
              <w:rPr>
                <w:szCs w:val="21"/>
              </w:rPr>
            </w:pPr>
          </w:p>
        </w:tc>
      </w:tr>
      <w:tr w:rsidR="00E57DAA" w14:paraId="0CFF8CCD" w14:textId="77777777">
        <w:tc>
          <w:tcPr>
            <w:tcW w:w="1925" w:type="pct"/>
          </w:tcPr>
          <w:p w14:paraId="7D8A3FAE" w14:textId="77777777" w:rsidR="00E57DAA" w:rsidRDefault="00AC4185">
            <w:pPr>
              <w:rPr>
                <w:szCs w:val="21"/>
              </w:rPr>
            </w:pPr>
            <w:r>
              <w:t>安徽淮化股份有限公司</w:t>
            </w:r>
          </w:p>
        </w:tc>
        <w:tc>
          <w:tcPr>
            <w:tcW w:w="877" w:type="pct"/>
          </w:tcPr>
          <w:p w14:paraId="3BB9F60A" w14:textId="77777777" w:rsidR="00E57DAA" w:rsidRDefault="00AC4185">
            <w:pPr>
              <w:jc w:val="right"/>
              <w:rPr>
                <w:szCs w:val="21"/>
              </w:rPr>
            </w:pPr>
            <w:r>
              <w:t>5,341,361.34</w:t>
            </w:r>
          </w:p>
        </w:tc>
        <w:tc>
          <w:tcPr>
            <w:tcW w:w="939" w:type="pct"/>
          </w:tcPr>
          <w:p w14:paraId="6820B2F9" w14:textId="77777777" w:rsidR="00E57DAA" w:rsidRDefault="00AC4185">
            <w:pPr>
              <w:jc w:val="right"/>
              <w:rPr>
                <w:szCs w:val="21"/>
              </w:rPr>
            </w:pPr>
            <w:r>
              <w:t>5,341,361.34</w:t>
            </w:r>
          </w:p>
        </w:tc>
        <w:tc>
          <w:tcPr>
            <w:tcW w:w="548" w:type="pct"/>
          </w:tcPr>
          <w:p w14:paraId="497EF663" w14:textId="77777777" w:rsidR="00E57DAA" w:rsidRDefault="00AC4185">
            <w:pPr>
              <w:jc w:val="right"/>
              <w:rPr>
                <w:szCs w:val="21"/>
              </w:rPr>
            </w:pPr>
            <w:r>
              <w:t>100.00</w:t>
            </w:r>
          </w:p>
        </w:tc>
        <w:tc>
          <w:tcPr>
            <w:tcW w:w="711" w:type="pct"/>
            <w:vMerge/>
          </w:tcPr>
          <w:p w14:paraId="26BF1E71" w14:textId="77777777" w:rsidR="00E57DAA" w:rsidRDefault="00E57DAA">
            <w:pPr>
              <w:rPr>
                <w:szCs w:val="21"/>
              </w:rPr>
            </w:pPr>
          </w:p>
        </w:tc>
      </w:tr>
      <w:tr w:rsidR="00E57DAA" w14:paraId="7976D63B" w14:textId="77777777">
        <w:tc>
          <w:tcPr>
            <w:tcW w:w="1925" w:type="pct"/>
          </w:tcPr>
          <w:p w14:paraId="42C94D58" w14:textId="77777777" w:rsidR="00E57DAA" w:rsidRDefault="00AC4185">
            <w:pPr>
              <w:rPr>
                <w:szCs w:val="21"/>
              </w:rPr>
            </w:pPr>
            <w:r>
              <w:t>云维保山有机化工有限公司</w:t>
            </w:r>
          </w:p>
        </w:tc>
        <w:tc>
          <w:tcPr>
            <w:tcW w:w="877" w:type="pct"/>
          </w:tcPr>
          <w:p w14:paraId="3FA8FDA3" w14:textId="77777777" w:rsidR="00E57DAA" w:rsidRDefault="00AC4185">
            <w:pPr>
              <w:jc w:val="right"/>
              <w:rPr>
                <w:szCs w:val="21"/>
              </w:rPr>
            </w:pPr>
            <w:r>
              <w:t>4,743,862.60</w:t>
            </w:r>
          </w:p>
        </w:tc>
        <w:tc>
          <w:tcPr>
            <w:tcW w:w="939" w:type="pct"/>
          </w:tcPr>
          <w:p w14:paraId="511739CB" w14:textId="77777777" w:rsidR="00E57DAA" w:rsidRDefault="00AC4185">
            <w:pPr>
              <w:jc w:val="right"/>
              <w:rPr>
                <w:szCs w:val="21"/>
              </w:rPr>
            </w:pPr>
            <w:r>
              <w:t>4,743,862.60</w:t>
            </w:r>
          </w:p>
        </w:tc>
        <w:tc>
          <w:tcPr>
            <w:tcW w:w="548" w:type="pct"/>
          </w:tcPr>
          <w:p w14:paraId="031109F3" w14:textId="77777777" w:rsidR="00E57DAA" w:rsidRDefault="00AC4185">
            <w:pPr>
              <w:jc w:val="right"/>
              <w:rPr>
                <w:szCs w:val="21"/>
              </w:rPr>
            </w:pPr>
            <w:r>
              <w:t>100.00</w:t>
            </w:r>
          </w:p>
        </w:tc>
        <w:tc>
          <w:tcPr>
            <w:tcW w:w="711" w:type="pct"/>
            <w:vMerge/>
          </w:tcPr>
          <w:p w14:paraId="3FB763A7" w14:textId="77777777" w:rsidR="00E57DAA" w:rsidRDefault="00E57DAA">
            <w:pPr>
              <w:rPr>
                <w:szCs w:val="21"/>
              </w:rPr>
            </w:pPr>
          </w:p>
        </w:tc>
      </w:tr>
      <w:tr w:rsidR="00E57DAA" w14:paraId="28E00160" w14:textId="77777777">
        <w:tc>
          <w:tcPr>
            <w:tcW w:w="1925" w:type="pct"/>
          </w:tcPr>
          <w:p w14:paraId="5F05A119" w14:textId="77777777" w:rsidR="00E57DAA" w:rsidRDefault="00AC4185">
            <w:pPr>
              <w:rPr>
                <w:szCs w:val="21"/>
              </w:rPr>
            </w:pPr>
            <w:r>
              <w:t>新疆天基水泥有限公司</w:t>
            </w:r>
          </w:p>
        </w:tc>
        <w:tc>
          <w:tcPr>
            <w:tcW w:w="877" w:type="pct"/>
          </w:tcPr>
          <w:p w14:paraId="76022C19" w14:textId="77777777" w:rsidR="00E57DAA" w:rsidRDefault="00AC4185">
            <w:pPr>
              <w:jc w:val="right"/>
              <w:rPr>
                <w:szCs w:val="21"/>
              </w:rPr>
            </w:pPr>
            <w:r>
              <w:t>2,220,000.00</w:t>
            </w:r>
          </w:p>
        </w:tc>
        <w:tc>
          <w:tcPr>
            <w:tcW w:w="939" w:type="pct"/>
          </w:tcPr>
          <w:p w14:paraId="4C62AA20" w14:textId="77777777" w:rsidR="00E57DAA" w:rsidRDefault="00AC4185">
            <w:pPr>
              <w:jc w:val="right"/>
              <w:rPr>
                <w:szCs w:val="21"/>
              </w:rPr>
            </w:pPr>
            <w:r>
              <w:t>2,220,000.00</w:t>
            </w:r>
          </w:p>
        </w:tc>
        <w:tc>
          <w:tcPr>
            <w:tcW w:w="548" w:type="pct"/>
          </w:tcPr>
          <w:p w14:paraId="00256EF6" w14:textId="77777777" w:rsidR="00E57DAA" w:rsidRDefault="00AC4185">
            <w:pPr>
              <w:jc w:val="right"/>
              <w:rPr>
                <w:szCs w:val="21"/>
              </w:rPr>
            </w:pPr>
            <w:r>
              <w:t>100.00</w:t>
            </w:r>
          </w:p>
        </w:tc>
        <w:tc>
          <w:tcPr>
            <w:tcW w:w="711" w:type="pct"/>
            <w:vMerge/>
          </w:tcPr>
          <w:p w14:paraId="371E84F8" w14:textId="77777777" w:rsidR="00E57DAA" w:rsidRDefault="00E57DAA">
            <w:pPr>
              <w:rPr>
                <w:szCs w:val="21"/>
              </w:rPr>
            </w:pPr>
          </w:p>
        </w:tc>
      </w:tr>
      <w:tr w:rsidR="00E57DAA" w14:paraId="473B0FF4" w14:textId="77777777">
        <w:tc>
          <w:tcPr>
            <w:tcW w:w="1925" w:type="pct"/>
          </w:tcPr>
          <w:p w14:paraId="34A19B97" w14:textId="77777777" w:rsidR="00E57DAA" w:rsidRDefault="00AC4185">
            <w:pPr>
              <w:rPr>
                <w:szCs w:val="21"/>
              </w:rPr>
            </w:pPr>
            <w:r>
              <w:t>绥阳县恒聚和商品混凝土有限公司</w:t>
            </w:r>
          </w:p>
        </w:tc>
        <w:tc>
          <w:tcPr>
            <w:tcW w:w="877" w:type="pct"/>
          </w:tcPr>
          <w:p w14:paraId="36DAAFEC" w14:textId="77777777" w:rsidR="00E57DAA" w:rsidRDefault="00AC4185">
            <w:pPr>
              <w:jc w:val="right"/>
              <w:rPr>
                <w:szCs w:val="21"/>
              </w:rPr>
            </w:pPr>
            <w:r>
              <w:t>1,800,000.00</w:t>
            </w:r>
          </w:p>
        </w:tc>
        <w:tc>
          <w:tcPr>
            <w:tcW w:w="939" w:type="pct"/>
          </w:tcPr>
          <w:p w14:paraId="7E9BAFD2" w14:textId="77777777" w:rsidR="00E57DAA" w:rsidRDefault="00AC4185">
            <w:pPr>
              <w:jc w:val="right"/>
              <w:rPr>
                <w:szCs w:val="21"/>
              </w:rPr>
            </w:pPr>
            <w:r>
              <w:t>1,800,000.00</w:t>
            </w:r>
          </w:p>
        </w:tc>
        <w:tc>
          <w:tcPr>
            <w:tcW w:w="548" w:type="pct"/>
          </w:tcPr>
          <w:p w14:paraId="35B5093F" w14:textId="77777777" w:rsidR="00E57DAA" w:rsidRDefault="00AC4185">
            <w:pPr>
              <w:jc w:val="right"/>
              <w:rPr>
                <w:szCs w:val="21"/>
              </w:rPr>
            </w:pPr>
            <w:r>
              <w:t>100.00</w:t>
            </w:r>
          </w:p>
        </w:tc>
        <w:tc>
          <w:tcPr>
            <w:tcW w:w="711" w:type="pct"/>
            <w:vMerge/>
          </w:tcPr>
          <w:p w14:paraId="7D307666" w14:textId="77777777" w:rsidR="00E57DAA" w:rsidRDefault="00E57DAA">
            <w:pPr>
              <w:rPr>
                <w:szCs w:val="21"/>
              </w:rPr>
            </w:pPr>
          </w:p>
        </w:tc>
      </w:tr>
      <w:tr w:rsidR="00E57DAA" w14:paraId="27940DA8" w14:textId="77777777">
        <w:tc>
          <w:tcPr>
            <w:tcW w:w="1925" w:type="pct"/>
          </w:tcPr>
          <w:p w14:paraId="3FDFE8DE" w14:textId="77777777" w:rsidR="00E57DAA" w:rsidRDefault="00AC4185">
            <w:pPr>
              <w:rPr>
                <w:szCs w:val="21"/>
              </w:rPr>
            </w:pPr>
            <w:r>
              <w:t>中材鼎原生态肥业有限公司</w:t>
            </w:r>
          </w:p>
        </w:tc>
        <w:tc>
          <w:tcPr>
            <w:tcW w:w="877" w:type="pct"/>
          </w:tcPr>
          <w:p w14:paraId="0BF575B4" w14:textId="77777777" w:rsidR="00E57DAA" w:rsidRDefault="00AC4185">
            <w:pPr>
              <w:jc w:val="right"/>
              <w:rPr>
                <w:szCs w:val="21"/>
              </w:rPr>
            </w:pPr>
            <w:r>
              <w:t>1,386,764.83</w:t>
            </w:r>
          </w:p>
        </w:tc>
        <w:tc>
          <w:tcPr>
            <w:tcW w:w="939" w:type="pct"/>
          </w:tcPr>
          <w:p w14:paraId="62B120D4" w14:textId="77777777" w:rsidR="00E57DAA" w:rsidRDefault="00AC4185">
            <w:pPr>
              <w:jc w:val="right"/>
              <w:rPr>
                <w:szCs w:val="21"/>
              </w:rPr>
            </w:pPr>
            <w:r>
              <w:t>1,386,764.83</w:t>
            </w:r>
          </w:p>
        </w:tc>
        <w:tc>
          <w:tcPr>
            <w:tcW w:w="548" w:type="pct"/>
          </w:tcPr>
          <w:p w14:paraId="404545D3" w14:textId="77777777" w:rsidR="00E57DAA" w:rsidRDefault="00AC4185">
            <w:pPr>
              <w:jc w:val="right"/>
              <w:rPr>
                <w:szCs w:val="21"/>
              </w:rPr>
            </w:pPr>
            <w:r>
              <w:t>100.00</w:t>
            </w:r>
          </w:p>
        </w:tc>
        <w:tc>
          <w:tcPr>
            <w:tcW w:w="711" w:type="pct"/>
            <w:vMerge/>
          </w:tcPr>
          <w:p w14:paraId="3C947D34" w14:textId="77777777" w:rsidR="00E57DAA" w:rsidRDefault="00E57DAA">
            <w:pPr>
              <w:rPr>
                <w:szCs w:val="21"/>
              </w:rPr>
            </w:pPr>
          </w:p>
        </w:tc>
      </w:tr>
      <w:tr w:rsidR="00E57DAA" w14:paraId="7F828F59" w14:textId="77777777">
        <w:tc>
          <w:tcPr>
            <w:tcW w:w="1925" w:type="pct"/>
          </w:tcPr>
          <w:p w14:paraId="75DCB0BB" w14:textId="77777777" w:rsidR="00E57DAA" w:rsidRDefault="00AC4185">
            <w:pPr>
              <w:rPr>
                <w:szCs w:val="21"/>
              </w:rPr>
            </w:pPr>
            <w:r>
              <w:t>中国水利水电第九工程局有限公司</w:t>
            </w:r>
          </w:p>
        </w:tc>
        <w:tc>
          <w:tcPr>
            <w:tcW w:w="877" w:type="pct"/>
          </w:tcPr>
          <w:p w14:paraId="2E74F9CF" w14:textId="77777777" w:rsidR="00E57DAA" w:rsidRDefault="00AC4185">
            <w:pPr>
              <w:jc w:val="right"/>
              <w:rPr>
                <w:szCs w:val="21"/>
              </w:rPr>
            </w:pPr>
            <w:r>
              <w:t>1,000,000.00</w:t>
            </w:r>
          </w:p>
        </w:tc>
        <w:tc>
          <w:tcPr>
            <w:tcW w:w="939" w:type="pct"/>
          </w:tcPr>
          <w:p w14:paraId="58A0480C" w14:textId="77777777" w:rsidR="00E57DAA" w:rsidRDefault="00AC4185">
            <w:pPr>
              <w:jc w:val="right"/>
              <w:rPr>
                <w:szCs w:val="21"/>
              </w:rPr>
            </w:pPr>
            <w:r>
              <w:t>1,000,000.00</w:t>
            </w:r>
          </w:p>
        </w:tc>
        <w:tc>
          <w:tcPr>
            <w:tcW w:w="548" w:type="pct"/>
          </w:tcPr>
          <w:p w14:paraId="17F8EA00" w14:textId="77777777" w:rsidR="00E57DAA" w:rsidRDefault="00AC4185">
            <w:pPr>
              <w:jc w:val="right"/>
              <w:rPr>
                <w:szCs w:val="21"/>
              </w:rPr>
            </w:pPr>
            <w:r>
              <w:t>100.00</w:t>
            </w:r>
          </w:p>
        </w:tc>
        <w:tc>
          <w:tcPr>
            <w:tcW w:w="711" w:type="pct"/>
            <w:vMerge/>
          </w:tcPr>
          <w:p w14:paraId="4335BC38" w14:textId="77777777" w:rsidR="00E57DAA" w:rsidRDefault="00E57DAA">
            <w:pPr>
              <w:rPr>
                <w:szCs w:val="21"/>
              </w:rPr>
            </w:pPr>
          </w:p>
        </w:tc>
      </w:tr>
      <w:tr w:rsidR="00E57DAA" w14:paraId="217C58DD" w14:textId="77777777">
        <w:tc>
          <w:tcPr>
            <w:tcW w:w="1925" w:type="pct"/>
          </w:tcPr>
          <w:p w14:paraId="4EC255D2" w14:textId="77777777" w:rsidR="00E57DAA" w:rsidRDefault="00AC4185">
            <w:pPr>
              <w:rPr>
                <w:szCs w:val="21"/>
              </w:rPr>
            </w:pPr>
            <w:r>
              <w:t>罗平县玉马水泥有限责任公司</w:t>
            </w:r>
          </w:p>
        </w:tc>
        <w:tc>
          <w:tcPr>
            <w:tcW w:w="877" w:type="pct"/>
          </w:tcPr>
          <w:p w14:paraId="1063494F" w14:textId="77777777" w:rsidR="00E57DAA" w:rsidRDefault="00AC4185">
            <w:pPr>
              <w:jc w:val="right"/>
              <w:rPr>
                <w:szCs w:val="21"/>
              </w:rPr>
            </w:pPr>
            <w:r>
              <w:t>807,270.94</w:t>
            </w:r>
          </w:p>
        </w:tc>
        <w:tc>
          <w:tcPr>
            <w:tcW w:w="939" w:type="pct"/>
          </w:tcPr>
          <w:p w14:paraId="4C002461" w14:textId="77777777" w:rsidR="00E57DAA" w:rsidRDefault="00AC4185">
            <w:pPr>
              <w:jc w:val="right"/>
              <w:rPr>
                <w:szCs w:val="21"/>
              </w:rPr>
            </w:pPr>
            <w:r>
              <w:t>807,270.94</w:t>
            </w:r>
          </w:p>
        </w:tc>
        <w:tc>
          <w:tcPr>
            <w:tcW w:w="548" w:type="pct"/>
          </w:tcPr>
          <w:p w14:paraId="3C807E6C" w14:textId="77777777" w:rsidR="00E57DAA" w:rsidRDefault="00AC4185">
            <w:pPr>
              <w:jc w:val="right"/>
              <w:rPr>
                <w:szCs w:val="21"/>
              </w:rPr>
            </w:pPr>
            <w:r>
              <w:t>100.00</w:t>
            </w:r>
          </w:p>
        </w:tc>
        <w:tc>
          <w:tcPr>
            <w:tcW w:w="711" w:type="pct"/>
            <w:vMerge/>
          </w:tcPr>
          <w:p w14:paraId="287EBF44" w14:textId="77777777" w:rsidR="00E57DAA" w:rsidRDefault="00E57DAA">
            <w:pPr>
              <w:rPr>
                <w:szCs w:val="21"/>
              </w:rPr>
            </w:pPr>
          </w:p>
        </w:tc>
      </w:tr>
      <w:tr w:rsidR="00E57DAA" w14:paraId="04D56010" w14:textId="77777777">
        <w:tc>
          <w:tcPr>
            <w:tcW w:w="1925" w:type="pct"/>
          </w:tcPr>
          <w:p w14:paraId="3A69E2DD" w14:textId="77777777" w:rsidR="00E57DAA" w:rsidRDefault="00AC4185">
            <w:pPr>
              <w:rPr>
                <w:szCs w:val="21"/>
              </w:rPr>
            </w:pPr>
            <w:r>
              <w:t>河南晋开集团郸城晋鑫化工有限公司</w:t>
            </w:r>
          </w:p>
        </w:tc>
        <w:tc>
          <w:tcPr>
            <w:tcW w:w="877" w:type="pct"/>
          </w:tcPr>
          <w:p w14:paraId="0B310431" w14:textId="77777777" w:rsidR="00E57DAA" w:rsidRDefault="00AC4185">
            <w:pPr>
              <w:jc w:val="right"/>
              <w:rPr>
                <w:szCs w:val="21"/>
              </w:rPr>
            </w:pPr>
            <w:r>
              <w:t>474,801.80</w:t>
            </w:r>
          </w:p>
        </w:tc>
        <w:tc>
          <w:tcPr>
            <w:tcW w:w="939" w:type="pct"/>
          </w:tcPr>
          <w:p w14:paraId="727A7F59" w14:textId="77777777" w:rsidR="00E57DAA" w:rsidRDefault="00AC4185">
            <w:pPr>
              <w:jc w:val="right"/>
              <w:rPr>
                <w:szCs w:val="21"/>
              </w:rPr>
            </w:pPr>
            <w:r>
              <w:t>474,801.80</w:t>
            </w:r>
          </w:p>
        </w:tc>
        <w:tc>
          <w:tcPr>
            <w:tcW w:w="548" w:type="pct"/>
          </w:tcPr>
          <w:p w14:paraId="60747855" w14:textId="77777777" w:rsidR="00E57DAA" w:rsidRDefault="00AC4185">
            <w:pPr>
              <w:jc w:val="right"/>
              <w:rPr>
                <w:szCs w:val="21"/>
              </w:rPr>
            </w:pPr>
            <w:r>
              <w:t>100.00</w:t>
            </w:r>
          </w:p>
        </w:tc>
        <w:tc>
          <w:tcPr>
            <w:tcW w:w="711" w:type="pct"/>
            <w:vMerge/>
          </w:tcPr>
          <w:p w14:paraId="6F395095" w14:textId="77777777" w:rsidR="00E57DAA" w:rsidRDefault="00E57DAA">
            <w:pPr>
              <w:rPr>
                <w:szCs w:val="21"/>
              </w:rPr>
            </w:pPr>
          </w:p>
        </w:tc>
      </w:tr>
      <w:tr w:rsidR="00E57DAA" w14:paraId="0B85A18F" w14:textId="77777777">
        <w:tc>
          <w:tcPr>
            <w:tcW w:w="1925" w:type="pct"/>
          </w:tcPr>
          <w:p w14:paraId="08D30A13" w14:textId="77777777" w:rsidR="00E57DAA" w:rsidRDefault="00AC4185">
            <w:pPr>
              <w:rPr>
                <w:szCs w:val="21"/>
              </w:rPr>
            </w:pPr>
            <w:r>
              <w:t>遵义宏城品创商品砼有限公司</w:t>
            </w:r>
          </w:p>
        </w:tc>
        <w:tc>
          <w:tcPr>
            <w:tcW w:w="877" w:type="pct"/>
          </w:tcPr>
          <w:p w14:paraId="23364096" w14:textId="77777777" w:rsidR="00E57DAA" w:rsidRDefault="00AC4185">
            <w:pPr>
              <w:jc w:val="right"/>
              <w:rPr>
                <w:szCs w:val="21"/>
              </w:rPr>
            </w:pPr>
            <w:r>
              <w:t>232,660.08</w:t>
            </w:r>
          </w:p>
        </w:tc>
        <w:tc>
          <w:tcPr>
            <w:tcW w:w="939" w:type="pct"/>
          </w:tcPr>
          <w:p w14:paraId="7358917B" w14:textId="77777777" w:rsidR="00E57DAA" w:rsidRDefault="00AC4185">
            <w:pPr>
              <w:jc w:val="right"/>
              <w:rPr>
                <w:szCs w:val="21"/>
              </w:rPr>
            </w:pPr>
            <w:r>
              <w:t>232,660.08</w:t>
            </w:r>
          </w:p>
        </w:tc>
        <w:tc>
          <w:tcPr>
            <w:tcW w:w="548" w:type="pct"/>
          </w:tcPr>
          <w:p w14:paraId="27D21778" w14:textId="77777777" w:rsidR="00E57DAA" w:rsidRDefault="00AC4185">
            <w:pPr>
              <w:jc w:val="right"/>
              <w:rPr>
                <w:szCs w:val="21"/>
              </w:rPr>
            </w:pPr>
            <w:r>
              <w:t>100.00</w:t>
            </w:r>
          </w:p>
        </w:tc>
        <w:tc>
          <w:tcPr>
            <w:tcW w:w="711" w:type="pct"/>
            <w:vMerge/>
          </w:tcPr>
          <w:p w14:paraId="41DB0CC4" w14:textId="77777777" w:rsidR="00E57DAA" w:rsidRDefault="00E57DAA">
            <w:pPr>
              <w:rPr>
                <w:szCs w:val="21"/>
              </w:rPr>
            </w:pPr>
          </w:p>
        </w:tc>
      </w:tr>
      <w:tr w:rsidR="00E57DAA" w14:paraId="523D9FDB" w14:textId="77777777">
        <w:tc>
          <w:tcPr>
            <w:tcW w:w="1925" w:type="pct"/>
          </w:tcPr>
          <w:p w14:paraId="2093A313" w14:textId="77777777" w:rsidR="00E57DAA" w:rsidRDefault="00AC4185">
            <w:pPr>
              <w:rPr>
                <w:szCs w:val="21"/>
              </w:rPr>
            </w:pPr>
            <w:r>
              <w:t>四川嘉华锦屏特种水泥有限责任公司</w:t>
            </w:r>
          </w:p>
        </w:tc>
        <w:tc>
          <w:tcPr>
            <w:tcW w:w="877" w:type="pct"/>
          </w:tcPr>
          <w:p w14:paraId="5AE3C540" w14:textId="77777777" w:rsidR="00E57DAA" w:rsidRDefault="00AC4185">
            <w:pPr>
              <w:jc w:val="right"/>
              <w:rPr>
                <w:szCs w:val="21"/>
              </w:rPr>
            </w:pPr>
            <w:r>
              <w:t>919.64</w:t>
            </w:r>
          </w:p>
        </w:tc>
        <w:tc>
          <w:tcPr>
            <w:tcW w:w="939" w:type="pct"/>
          </w:tcPr>
          <w:p w14:paraId="6F130EAD" w14:textId="77777777" w:rsidR="00E57DAA" w:rsidRDefault="00AC4185">
            <w:pPr>
              <w:jc w:val="right"/>
              <w:rPr>
                <w:szCs w:val="21"/>
              </w:rPr>
            </w:pPr>
            <w:r>
              <w:t>919.64</w:t>
            </w:r>
          </w:p>
        </w:tc>
        <w:tc>
          <w:tcPr>
            <w:tcW w:w="548" w:type="pct"/>
          </w:tcPr>
          <w:p w14:paraId="4926E84D" w14:textId="77777777" w:rsidR="00E57DAA" w:rsidRDefault="00AC4185">
            <w:pPr>
              <w:jc w:val="right"/>
              <w:rPr>
                <w:szCs w:val="21"/>
              </w:rPr>
            </w:pPr>
            <w:r>
              <w:t>100.00</w:t>
            </w:r>
          </w:p>
        </w:tc>
        <w:tc>
          <w:tcPr>
            <w:tcW w:w="711" w:type="pct"/>
            <w:vMerge/>
          </w:tcPr>
          <w:p w14:paraId="74AAA9B6" w14:textId="77777777" w:rsidR="00E57DAA" w:rsidRDefault="00E57DAA">
            <w:pPr>
              <w:rPr>
                <w:szCs w:val="21"/>
              </w:rPr>
            </w:pPr>
          </w:p>
        </w:tc>
      </w:tr>
      <w:tr w:rsidR="00E57DAA" w14:paraId="18517B54" w14:textId="77777777">
        <w:tc>
          <w:tcPr>
            <w:tcW w:w="1925" w:type="pct"/>
            <w:vAlign w:val="center"/>
          </w:tcPr>
          <w:p w14:paraId="212A6E66" w14:textId="77777777" w:rsidR="00E57DAA" w:rsidRDefault="00AC4185">
            <w:pPr>
              <w:jc w:val="center"/>
              <w:rPr>
                <w:szCs w:val="21"/>
              </w:rPr>
            </w:pPr>
            <w:r>
              <w:rPr>
                <w:rFonts w:hint="eastAsia"/>
                <w:szCs w:val="21"/>
              </w:rPr>
              <w:t>合计</w:t>
            </w:r>
          </w:p>
        </w:tc>
        <w:tc>
          <w:tcPr>
            <w:tcW w:w="877" w:type="pct"/>
            <w:vAlign w:val="center"/>
          </w:tcPr>
          <w:p w14:paraId="73DA10B9" w14:textId="77777777" w:rsidR="00E57DAA" w:rsidRDefault="00AC4185">
            <w:pPr>
              <w:jc w:val="right"/>
              <w:rPr>
                <w:szCs w:val="21"/>
              </w:rPr>
            </w:pPr>
            <w:r>
              <w:t>74,188,937.55</w:t>
            </w:r>
          </w:p>
        </w:tc>
        <w:tc>
          <w:tcPr>
            <w:tcW w:w="939" w:type="pct"/>
            <w:vAlign w:val="center"/>
          </w:tcPr>
          <w:p w14:paraId="0FC088F7" w14:textId="77777777" w:rsidR="00E57DAA" w:rsidRDefault="00AC4185">
            <w:pPr>
              <w:jc w:val="right"/>
              <w:rPr>
                <w:szCs w:val="21"/>
              </w:rPr>
            </w:pPr>
            <w:r>
              <w:t>60,090,881.25</w:t>
            </w:r>
          </w:p>
        </w:tc>
        <w:tc>
          <w:tcPr>
            <w:tcW w:w="548" w:type="pct"/>
          </w:tcPr>
          <w:p w14:paraId="685313AA" w14:textId="77777777" w:rsidR="00E57DAA" w:rsidRDefault="00AC4185">
            <w:pPr>
              <w:jc w:val="right"/>
              <w:rPr>
                <w:szCs w:val="21"/>
              </w:rPr>
            </w:pPr>
            <w:r>
              <w:rPr>
                <w:rFonts w:hint="eastAsia"/>
                <w:szCs w:val="21"/>
              </w:rPr>
              <w:t>81.00</w:t>
            </w:r>
          </w:p>
        </w:tc>
        <w:tc>
          <w:tcPr>
            <w:tcW w:w="711" w:type="pct"/>
            <w:vAlign w:val="center"/>
          </w:tcPr>
          <w:p w14:paraId="562659D7" w14:textId="77777777" w:rsidR="00E57DAA" w:rsidRDefault="00AC4185">
            <w:pPr>
              <w:jc w:val="center"/>
              <w:rPr>
                <w:szCs w:val="21"/>
              </w:rPr>
            </w:pPr>
            <w:r>
              <w:rPr>
                <w:rFonts w:hint="eastAsia"/>
                <w:szCs w:val="21"/>
              </w:rPr>
              <w:t>/</w:t>
            </w:r>
          </w:p>
        </w:tc>
      </w:tr>
    </w:tbl>
    <w:p w14:paraId="08F5006A" w14:textId="77777777" w:rsidR="00E57DAA" w:rsidRDefault="00E57DAA" w:rsidP="00C25422">
      <w:pPr>
        <w:pStyle w:val="92"/>
      </w:pPr>
    </w:p>
    <w:p w14:paraId="3A1D8D25" w14:textId="77777777" w:rsidR="00E57DAA" w:rsidRDefault="00AC4185">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1145013097"/>
        <w:placeholder>
          <w:docPart w:val="GBC22222222222222222222222222222"/>
        </w:placeholder>
      </w:sdtPr>
      <w:sdtEndPr/>
      <w:sdtContent>
        <w:p w14:paraId="1ABC857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598CA2" w14:textId="77777777" w:rsidR="00E57DAA" w:rsidRDefault="00E57DAA" w:rsidP="00C25422">
      <w:pPr>
        <w:pStyle w:val="92"/>
      </w:pPr>
    </w:p>
    <w:bookmarkEnd w:id="199" w:displacedByCustomXml="next"/>
    <w:sdt>
      <w:sdtPr>
        <w:rPr>
          <w:rFonts w:hint="eastAsia"/>
          <w:szCs w:val="21"/>
        </w:rPr>
        <w:tag w:val="_PLD_21b31dda4e9f44bd901ccb9e126e1392"/>
        <w:id w:val="-1078974930"/>
        <w:placeholder>
          <w:docPart w:val="GBC22222222222222222222222222222"/>
        </w:placeholder>
      </w:sdtPr>
      <w:sdtEndPr/>
      <w:sdtContent>
        <w:p w14:paraId="7F751198" w14:textId="77777777" w:rsidR="00E57DAA" w:rsidRDefault="00AC4185">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229387955"/>
        <w:lock w:val="contentLocked"/>
        <w:placeholder>
          <w:docPart w:val="GBC22222222222222222222222222222"/>
        </w:placeholder>
      </w:sdtPr>
      <w:sdtEndPr/>
      <w:sdtContent>
        <w:p w14:paraId="4930DFE4" w14:textId="77777777" w:rsidR="00E57DAA" w:rsidRDefault="00AC4185" w:rsidP="00C25422">
          <w:pPr>
            <w:pStyle w:val="92"/>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730A086A" w14:textId="77777777" w:rsidR="00E57DAA" w:rsidRDefault="00AC4185">
      <w:pPr>
        <w:rPr>
          <w:szCs w:val="21"/>
        </w:rPr>
      </w:pPr>
      <w:r>
        <w:rPr>
          <w:rFonts w:hint="eastAsia"/>
          <w:szCs w:val="21"/>
        </w:rPr>
        <w:t>组合计提项目：</w:t>
      </w:r>
      <w:bookmarkStart w:id="200" w:name="_Hlk533607573"/>
      <w:sdt>
        <w:sdtPr>
          <w:rPr>
            <w:rFonts w:hint="eastAsia"/>
            <w:szCs w:val="21"/>
          </w:rPr>
          <w:alias w:val="按组合计提坏账准备的应收账款明细-组合名称"/>
          <w:tag w:val="_GBC_a99af83acd7e492a99d5eed2536b8adb"/>
          <w:id w:val="-586529905"/>
          <w:placeholder>
            <w:docPart w:val="GBC22222222222222222222222222222"/>
          </w:placeholder>
          <w:comboBox>
            <w:listItem w:displayText="账龄组合" w:value="账龄组合"/>
          </w:comboBox>
        </w:sdtPr>
        <w:sdtEndPr/>
        <w:sdtContent>
          <w:r>
            <w:rPr>
              <w:rFonts w:hint="eastAsia"/>
              <w:szCs w:val="21"/>
            </w:rPr>
            <w:t>账龄组合</w:t>
          </w:r>
        </w:sdtContent>
      </w:sdt>
    </w:p>
    <w:p w14:paraId="62F1BB7F" w14:textId="77777777" w:rsidR="00E57DAA" w:rsidRDefault="00AC418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3241779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7984991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E57DAA" w14:paraId="29C2C825" w14:textId="77777777">
        <w:sdt>
          <w:sdtPr>
            <w:tag w:val="_PLD_76fac25a376f4d4b884d95c8c8b4cdbd"/>
            <w:id w:val="205301316"/>
          </w:sdtPr>
          <w:sdtEndPr/>
          <w:sdtContent>
            <w:tc>
              <w:tcPr>
                <w:tcW w:w="1158" w:type="pct"/>
                <w:vMerge w:val="restart"/>
                <w:vAlign w:val="center"/>
              </w:tcPr>
              <w:p w14:paraId="6EB2F40A" w14:textId="77777777" w:rsidR="00E57DAA" w:rsidRDefault="00AC4185">
                <w:pPr>
                  <w:jc w:val="center"/>
                  <w:rPr>
                    <w:szCs w:val="21"/>
                  </w:rPr>
                </w:pPr>
                <w:r>
                  <w:rPr>
                    <w:rFonts w:hint="eastAsia"/>
                    <w:szCs w:val="21"/>
                  </w:rPr>
                  <w:t>名称</w:t>
                </w:r>
              </w:p>
            </w:tc>
          </w:sdtContent>
        </w:sdt>
        <w:sdt>
          <w:sdtPr>
            <w:tag w:val="_PLD_2ea73da2ba22410090605fad4228c06a"/>
            <w:id w:val="-390814111"/>
          </w:sdtPr>
          <w:sdtEndPr/>
          <w:sdtContent>
            <w:tc>
              <w:tcPr>
                <w:tcW w:w="3842" w:type="pct"/>
                <w:gridSpan w:val="3"/>
                <w:vAlign w:val="center"/>
              </w:tcPr>
              <w:p w14:paraId="62491BF7" w14:textId="77777777" w:rsidR="00E57DAA" w:rsidRDefault="00AC4185">
                <w:pPr>
                  <w:jc w:val="center"/>
                  <w:rPr>
                    <w:szCs w:val="21"/>
                  </w:rPr>
                </w:pPr>
                <w:r>
                  <w:rPr>
                    <w:rFonts w:hint="eastAsia"/>
                    <w:szCs w:val="21"/>
                  </w:rPr>
                  <w:t>期末余额</w:t>
                </w:r>
              </w:p>
            </w:tc>
          </w:sdtContent>
        </w:sdt>
      </w:tr>
      <w:tr w:rsidR="00E57DAA" w14:paraId="6D8D1DBD" w14:textId="77777777">
        <w:tc>
          <w:tcPr>
            <w:tcW w:w="1158" w:type="pct"/>
            <w:vMerge/>
          </w:tcPr>
          <w:p w14:paraId="3084FF1F" w14:textId="77777777" w:rsidR="00E57DAA" w:rsidRDefault="00E57DAA">
            <w:pPr>
              <w:jc w:val="center"/>
              <w:rPr>
                <w:szCs w:val="21"/>
              </w:rPr>
            </w:pPr>
          </w:p>
        </w:tc>
        <w:sdt>
          <w:sdtPr>
            <w:tag w:val="_PLD_841eb33e3b60464dbe6b3cefac602503"/>
            <w:id w:val="707003856"/>
          </w:sdtPr>
          <w:sdtEndPr/>
          <w:sdtContent>
            <w:tc>
              <w:tcPr>
                <w:tcW w:w="1276" w:type="pct"/>
                <w:vAlign w:val="center"/>
              </w:tcPr>
              <w:p w14:paraId="793C0D44" w14:textId="77777777" w:rsidR="00E57DAA" w:rsidRDefault="00AC4185">
                <w:pPr>
                  <w:jc w:val="center"/>
                  <w:rPr>
                    <w:szCs w:val="21"/>
                  </w:rPr>
                </w:pPr>
                <w:r>
                  <w:rPr>
                    <w:rFonts w:hint="eastAsia"/>
                    <w:szCs w:val="21"/>
                  </w:rPr>
                  <w:t>应收账款</w:t>
                </w:r>
              </w:p>
            </w:tc>
          </w:sdtContent>
        </w:sdt>
        <w:sdt>
          <w:sdtPr>
            <w:tag w:val="_PLD_b28da65f0aac478c80ab20a817d350ac"/>
            <w:id w:val="1258100783"/>
          </w:sdtPr>
          <w:sdtEndPr/>
          <w:sdtContent>
            <w:tc>
              <w:tcPr>
                <w:tcW w:w="1299" w:type="pct"/>
                <w:vAlign w:val="center"/>
              </w:tcPr>
              <w:p w14:paraId="0FD5F513" w14:textId="77777777" w:rsidR="00E57DAA" w:rsidRDefault="00AC4185">
                <w:pPr>
                  <w:jc w:val="center"/>
                  <w:rPr>
                    <w:szCs w:val="21"/>
                  </w:rPr>
                </w:pPr>
                <w:r>
                  <w:rPr>
                    <w:rFonts w:hint="eastAsia"/>
                    <w:szCs w:val="21"/>
                  </w:rPr>
                  <w:t>坏账准备</w:t>
                </w:r>
              </w:p>
            </w:tc>
          </w:sdtContent>
        </w:sdt>
        <w:sdt>
          <w:sdtPr>
            <w:tag w:val="_PLD_98321f537bf94701b17705eae6c543e2"/>
            <w:id w:val="500323441"/>
          </w:sdtPr>
          <w:sdtEndPr/>
          <w:sdtContent>
            <w:tc>
              <w:tcPr>
                <w:tcW w:w="1267" w:type="pct"/>
                <w:vAlign w:val="center"/>
              </w:tcPr>
              <w:p w14:paraId="1E2787B0" w14:textId="77777777" w:rsidR="00E57DAA" w:rsidRDefault="00AC4185">
                <w:pPr>
                  <w:jc w:val="center"/>
                  <w:rPr>
                    <w:szCs w:val="21"/>
                  </w:rPr>
                </w:pPr>
                <w:r>
                  <w:rPr>
                    <w:szCs w:val="21"/>
                  </w:rPr>
                  <w:t>计提比例</w:t>
                </w:r>
                <w:r>
                  <w:rPr>
                    <w:rFonts w:hint="eastAsia"/>
                    <w:szCs w:val="21"/>
                  </w:rPr>
                  <w:t>（%）</w:t>
                </w:r>
              </w:p>
            </w:tc>
          </w:sdtContent>
        </w:sdt>
      </w:tr>
      <w:tr w:rsidR="00E57DAA" w14:paraId="7916EB2E" w14:textId="77777777">
        <w:tc>
          <w:tcPr>
            <w:tcW w:w="1158" w:type="pct"/>
          </w:tcPr>
          <w:p w14:paraId="59BABB58" w14:textId="77777777" w:rsidR="00E57DAA" w:rsidRDefault="00AC4185">
            <w:pPr>
              <w:rPr>
                <w:szCs w:val="21"/>
              </w:rPr>
            </w:pPr>
            <w:r>
              <w:t>1年以内</w:t>
            </w:r>
          </w:p>
        </w:tc>
        <w:tc>
          <w:tcPr>
            <w:tcW w:w="1276" w:type="pct"/>
          </w:tcPr>
          <w:p w14:paraId="6BB1F728" w14:textId="77777777" w:rsidR="00E57DAA" w:rsidRDefault="00AC4185">
            <w:pPr>
              <w:jc w:val="right"/>
              <w:rPr>
                <w:szCs w:val="21"/>
              </w:rPr>
            </w:pPr>
            <w:r>
              <w:t>7,188,209,699.65</w:t>
            </w:r>
          </w:p>
        </w:tc>
        <w:tc>
          <w:tcPr>
            <w:tcW w:w="1299" w:type="pct"/>
          </w:tcPr>
          <w:p w14:paraId="2563B1B8" w14:textId="77777777" w:rsidR="00E57DAA" w:rsidRDefault="00AC4185">
            <w:pPr>
              <w:jc w:val="right"/>
              <w:rPr>
                <w:szCs w:val="21"/>
              </w:rPr>
            </w:pPr>
            <w:r>
              <w:t>159,416,365.04</w:t>
            </w:r>
          </w:p>
        </w:tc>
        <w:tc>
          <w:tcPr>
            <w:tcW w:w="1267" w:type="pct"/>
          </w:tcPr>
          <w:p w14:paraId="7CA5A0CE" w14:textId="77777777" w:rsidR="00E57DAA" w:rsidRDefault="00AC4185">
            <w:pPr>
              <w:jc w:val="right"/>
              <w:rPr>
                <w:szCs w:val="21"/>
              </w:rPr>
            </w:pPr>
            <w:r>
              <w:t>2.22</w:t>
            </w:r>
          </w:p>
        </w:tc>
      </w:tr>
      <w:tr w:rsidR="00E57DAA" w14:paraId="4AB68FE3" w14:textId="77777777">
        <w:tc>
          <w:tcPr>
            <w:tcW w:w="1158" w:type="pct"/>
          </w:tcPr>
          <w:p w14:paraId="7F4936B9" w14:textId="77777777" w:rsidR="00E57DAA" w:rsidRDefault="00AC4185">
            <w:pPr>
              <w:rPr>
                <w:szCs w:val="21"/>
              </w:rPr>
            </w:pPr>
            <w:r>
              <w:t>1－2年</w:t>
            </w:r>
          </w:p>
        </w:tc>
        <w:tc>
          <w:tcPr>
            <w:tcW w:w="1276" w:type="pct"/>
          </w:tcPr>
          <w:p w14:paraId="36C55084" w14:textId="77777777" w:rsidR="00E57DAA" w:rsidRDefault="00AC4185">
            <w:pPr>
              <w:jc w:val="right"/>
              <w:rPr>
                <w:szCs w:val="21"/>
              </w:rPr>
            </w:pPr>
            <w:r>
              <w:t>2,100,426,122.80</w:t>
            </w:r>
          </w:p>
        </w:tc>
        <w:tc>
          <w:tcPr>
            <w:tcW w:w="1299" w:type="pct"/>
          </w:tcPr>
          <w:p w14:paraId="4AAEB4CA" w14:textId="77777777" w:rsidR="00E57DAA" w:rsidRDefault="00AC4185">
            <w:pPr>
              <w:jc w:val="right"/>
              <w:rPr>
                <w:szCs w:val="21"/>
              </w:rPr>
            </w:pPr>
            <w:r>
              <w:t>132,009,723.33</w:t>
            </w:r>
          </w:p>
        </w:tc>
        <w:tc>
          <w:tcPr>
            <w:tcW w:w="1267" w:type="pct"/>
          </w:tcPr>
          <w:p w14:paraId="2B5A853F" w14:textId="77777777" w:rsidR="00E57DAA" w:rsidRDefault="00AC4185">
            <w:pPr>
              <w:jc w:val="right"/>
              <w:rPr>
                <w:szCs w:val="21"/>
              </w:rPr>
            </w:pPr>
            <w:r>
              <w:t>6.28</w:t>
            </w:r>
          </w:p>
        </w:tc>
      </w:tr>
      <w:tr w:rsidR="00E57DAA" w14:paraId="06156D10" w14:textId="77777777">
        <w:tc>
          <w:tcPr>
            <w:tcW w:w="1158" w:type="pct"/>
          </w:tcPr>
          <w:p w14:paraId="58BAD4AD" w14:textId="77777777" w:rsidR="00E57DAA" w:rsidRDefault="00AC4185">
            <w:pPr>
              <w:rPr>
                <w:szCs w:val="21"/>
              </w:rPr>
            </w:pPr>
            <w:r>
              <w:t>2－3年</w:t>
            </w:r>
          </w:p>
        </w:tc>
        <w:tc>
          <w:tcPr>
            <w:tcW w:w="1276" w:type="pct"/>
          </w:tcPr>
          <w:p w14:paraId="127DC931" w14:textId="77777777" w:rsidR="00E57DAA" w:rsidRDefault="00AC4185">
            <w:pPr>
              <w:jc w:val="right"/>
              <w:rPr>
                <w:szCs w:val="21"/>
              </w:rPr>
            </w:pPr>
            <w:r>
              <w:t>828,071,830.08</w:t>
            </w:r>
          </w:p>
        </w:tc>
        <w:tc>
          <w:tcPr>
            <w:tcW w:w="1299" w:type="pct"/>
          </w:tcPr>
          <w:p w14:paraId="7E9C1631" w14:textId="77777777" w:rsidR="00E57DAA" w:rsidRDefault="00AC4185">
            <w:pPr>
              <w:jc w:val="right"/>
              <w:rPr>
                <w:szCs w:val="21"/>
              </w:rPr>
            </w:pPr>
            <w:r>
              <w:t>110,955,640.03</w:t>
            </w:r>
          </w:p>
        </w:tc>
        <w:tc>
          <w:tcPr>
            <w:tcW w:w="1267" w:type="pct"/>
          </w:tcPr>
          <w:p w14:paraId="450C5B40" w14:textId="77777777" w:rsidR="00E57DAA" w:rsidRDefault="00AC4185">
            <w:pPr>
              <w:jc w:val="right"/>
              <w:rPr>
                <w:szCs w:val="21"/>
              </w:rPr>
            </w:pPr>
            <w:r>
              <w:t>13.40</w:t>
            </w:r>
          </w:p>
        </w:tc>
      </w:tr>
      <w:tr w:rsidR="00E57DAA" w14:paraId="48C675F4" w14:textId="77777777">
        <w:tc>
          <w:tcPr>
            <w:tcW w:w="1158" w:type="pct"/>
          </w:tcPr>
          <w:p w14:paraId="7F05A4DF" w14:textId="77777777" w:rsidR="00E57DAA" w:rsidRDefault="00AC4185">
            <w:pPr>
              <w:rPr>
                <w:szCs w:val="21"/>
              </w:rPr>
            </w:pPr>
            <w:r>
              <w:t>3－4年</w:t>
            </w:r>
          </w:p>
        </w:tc>
        <w:tc>
          <w:tcPr>
            <w:tcW w:w="1276" w:type="pct"/>
          </w:tcPr>
          <w:p w14:paraId="169309B5" w14:textId="77777777" w:rsidR="00E57DAA" w:rsidRDefault="00AC4185">
            <w:pPr>
              <w:jc w:val="right"/>
              <w:rPr>
                <w:szCs w:val="21"/>
              </w:rPr>
            </w:pPr>
            <w:r>
              <w:t>337,898,397.73</w:t>
            </w:r>
          </w:p>
        </w:tc>
        <w:tc>
          <w:tcPr>
            <w:tcW w:w="1299" w:type="pct"/>
          </w:tcPr>
          <w:p w14:paraId="21E820A0" w14:textId="77777777" w:rsidR="00E57DAA" w:rsidRDefault="00AC4185">
            <w:pPr>
              <w:jc w:val="right"/>
              <w:rPr>
                <w:szCs w:val="21"/>
              </w:rPr>
            </w:pPr>
            <w:r>
              <w:t>57,963,183.50</w:t>
            </w:r>
          </w:p>
        </w:tc>
        <w:tc>
          <w:tcPr>
            <w:tcW w:w="1267" w:type="pct"/>
          </w:tcPr>
          <w:p w14:paraId="6138529F" w14:textId="77777777" w:rsidR="00E57DAA" w:rsidRDefault="00AC4185">
            <w:pPr>
              <w:jc w:val="right"/>
              <w:rPr>
                <w:szCs w:val="21"/>
              </w:rPr>
            </w:pPr>
            <w:r>
              <w:t>17.15</w:t>
            </w:r>
          </w:p>
        </w:tc>
      </w:tr>
      <w:tr w:rsidR="00E57DAA" w14:paraId="2A87D2D9" w14:textId="77777777">
        <w:tc>
          <w:tcPr>
            <w:tcW w:w="1158" w:type="pct"/>
          </w:tcPr>
          <w:p w14:paraId="00A7E377" w14:textId="77777777" w:rsidR="00E57DAA" w:rsidRDefault="00AC4185">
            <w:pPr>
              <w:rPr>
                <w:szCs w:val="21"/>
              </w:rPr>
            </w:pPr>
            <w:r>
              <w:t>4－5年</w:t>
            </w:r>
          </w:p>
        </w:tc>
        <w:tc>
          <w:tcPr>
            <w:tcW w:w="1276" w:type="pct"/>
          </w:tcPr>
          <w:p w14:paraId="43CE0D32" w14:textId="77777777" w:rsidR="00E57DAA" w:rsidRDefault="00AC4185">
            <w:pPr>
              <w:jc w:val="right"/>
              <w:rPr>
                <w:szCs w:val="21"/>
              </w:rPr>
            </w:pPr>
            <w:r>
              <w:t>153,824,879.31</w:t>
            </w:r>
          </w:p>
        </w:tc>
        <w:tc>
          <w:tcPr>
            <w:tcW w:w="1299" w:type="pct"/>
          </w:tcPr>
          <w:p w14:paraId="52DCFD26" w14:textId="77777777" w:rsidR="00E57DAA" w:rsidRDefault="00AC4185">
            <w:pPr>
              <w:jc w:val="right"/>
              <w:rPr>
                <w:szCs w:val="21"/>
              </w:rPr>
            </w:pPr>
            <w:r>
              <w:t>63,873,847.94</w:t>
            </w:r>
          </w:p>
        </w:tc>
        <w:tc>
          <w:tcPr>
            <w:tcW w:w="1267" w:type="pct"/>
          </w:tcPr>
          <w:p w14:paraId="02E872C6" w14:textId="77777777" w:rsidR="00E57DAA" w:rsidRDefault="00AC4185">
            <w:pPr>
              <w:jc w:val="right"/>
              <w:rPr>
                <w:szCs w:val="21"/>
              </w:rPr>
            </w:pPr>
            <w:r>
              <w:t>41.52</w:t>
            </w:r>
          </w:p>
        </w:tc>
      </w:tr>
      <w:tr w:rsidR="00E57DAA" w14:paraId="5882E6BF" w14:textId="77777777">
        <w:tc>
          <w:tcPr>
            <w:tcW w:w="1158" w:type="pct"/>
          </w:tcPr>
          <w:p w14:paraId="37B09C29" w14:textId="77777777" w:rsidR="00E57DAA" w:rsidRDefault="00AC4185">
            <w:pPr>
              <w:rPr>
                <w:szCs w:val="21"/>
              </w:rPr>
            </w:pPr>
            <w:r>
              <w:t>5年以上</w:t>
            </w:r>
          </w:p>
        </w:tc>
        <w:tc>
          <w:tcPr>
            <w:tcW w:w="1276" w:type="pct"/>
          </w:tcPr>
          <w:p w14:paraId="0D63ACC3" w14:textId="77777777" w:rsidR="00E57DAA" w:rsidRDefault="00AC4185">
            <w:pPr>
              <w:jc w:val="right"/>
              <w:rPr>
                <w:szCs w:val="21"/>
              </w:rPr>
            </w:pPr>
            <w:r>
              <w:t>652,736,475.52</w:t>
            </w:r>
          </w:p>
        </w:tc>
        <w:tc>
          <w:tcPr>
            <w:tcW w:w="1299" w:type="pct"/>
          </w:tcPr>
          <w:p w14:paraId="43E75C7A" w14:textId="77777777" w:rsidR="00E57DAA" w:rsidRDefault="00AC4185">
            <w:pPr>
              <w:jc w:val="right"/>
              <w:rPr>
                <w:szCs w:val="21"/>
              </w:rPr>
            </w:pPr>
            <w:r>
              <w:t>652,736,475.55</w:t>
            </w:r>
          </w:p>
        </w:tc>
        <w:tc>
          <w:tcPr>
            <w:tcW w:w="1267" w:type="pct"/>
          </w:tcPr>
          <w:p w14:paraId="1DD39189" w14:textId="77777777" w:rsidR="00E57DAA" w:rsidRDefault="00AC4185">
            <w:pPr>
              <w:jc w:val="right"/>
              <w:rPr>
                <w:szCs w:val="21"/>
              </w:rPr>
            </w:pPr>
            <w:r>
              <w:t>100.00</w:t>
            </w:r>
          </w:p>
        </w:tc>
      </w:tr>
      <w:tr w:rsidR="00E57DAA" w14:paraId="22F00147" w14:textId="77777777">
        <w:tc>
          <w:tcPr>
            <w:tcW w:w="1158" w:type="pct"/>
            <w:vAlign w:val="center"/>
          </w:tcPr>
          <w:p w14:paraId="30DB0D25" w14:textId="77777777" w:rsidR="00E57DAA" w:rsidRDefault="00AC4185">
            <w:pPr>
              <w:jc w:val="center"/>
              <w:rPr>
                <w:szCs w:val="21"/>
              </w:rPr>
            </w:pPr>
            <w:r>
              <w:rPr>
                <w:rFonts w:hint="eastAsia"/>
                <w:szCs w:val="21"/>
              </w:rPr>
              <w:t>合计</w:t>
            </w:r>
          </w:p>
        </w:tc>
        <w:tc>
          <w:tcPr>
            <w:tcW w:w="1276" w:type="pct"/>
            <w:vAlign w:val="center"/>
          </w:tcPr>
          <w:p w14:paraId="5E942386" w14:textId="77777777" w:rsidR="00E57DAA" w:rsidRDefault="00AC4185">
            <w:pPr>
              <w:jc w:val="right"/>
              <w:rPr>
                <w:szCs w:val="21"/>
              </w:rPr>
            </w:pPr>
            <w:r>
              <w:t>11,261,167,405.09</w:t>
            </w:r>
          </w:p>
        </w:tc>
        <w:tc>
          <w:tcPr>
            <w:tcW w:w="1299" w:type="pct"/>
            <w:vAlign w:val="center"/>
          </w:tcPr>
          <w:p w14:paraId="7423B8C6" w14:textId="77777777" w:rsidR="00E57DAA" w:rsidRDefault="00AC4185">
            <w:pPr>
              <w:jc w:val="right"/>
              <w:rPr>
                <w:szCs w:val="21"/>
              </w:rPr>
            </w:pPr>
            <w:r>
              <w:t>1,176,955,235.39</w:t>
            </w:r>
          </w:p>
        </w:tc>
        <w:tc>
          <w:tcPr>
            <w:tcW w:w="1267" w:type="pct"/>
          </w:tcPr>
          <w:p w14:paraId="19746FC1" w14:textId="77777777" w:rsidR="00E57DAA" w:rsidRDefault="00E57DAA">
            <w:pPr>
              <w:jc w:val="right"/>
              <w:rPr>
                <w:szCs w:val="21"/>
              </w:rPr>
            </w:pPr>
          </w:p>
        </w:tc>
      </w:tr>
    </w:tbl>
    <w:p w14:paraId="6C6DC32D" w14:textId="77777777" w:rsidR="00E57DAA" w:rsidRDefault="00E57DAA" w:rsidP="00C25422">
      <w:pPr>
        <w:pStyle w:val="92"/>
      </w:pPr>
    </w:p>
    <w:p w14:paraId="49E59301" w14:textId="77777777" w:rsidR="00E57DAA" w:rsidRDefault="00AC4185">
      <w:pPr>
        <w:rPr>
          <w:szCs w:val="21"/>
        </w:rPr>
      </w:pPr>
      <w:r>
        <w:rPr>
          <w:rFonts w:hint="eastAsia"/>
          <w:szCs w:val="21"/>
        </w:rPr>
        <w:t>按组合计提坏账准备的说明：</w:t>
      </w:r>
    </w:p>
    <w:sdt>
      <w:sdtPr>
        <w:rPr>
          <w:szCs w:val="21"/>
        </w:rPr>
        <w:alias w:val="是否适用：按组合计提坏账准备的应收账款确认标准[双击切换]"/>
        <w:tag w:val="_GBC_d256dc36994548098f599f5c34cca3f5"/>
        <w:id w:val="-1066715479"/>
        <w:placeholder>
          <w:docPart w:val="GBC22222222222222222222222222222"/>
        </w:placeholder>
      </w:sdtPr>
      <w:sdtEndPr/>
      <w:sdtContent>
        <w:p w14:paraId="0745585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0"/>
    <w:p w14:paraId="0A5BE12C" w14:textId="77777777" w:rsidR="00E57DAA" w:rsidRDefault="00E57DAA" w:rsidP="00C25422">
      <w:pPr>
        <w:pStyle w:val="92"/>
      </w:pPr>
    </w:p>
    <w:p w14:paraId="01DA125B" w14:textId="77777777" w:rsidR="00E57DAA" w:rsidRDefault="00AC4185">
      <w:pPr>
        <w:rPr>
          <w:rFonts w:cstheme="minorBidi"/>
          <w:bCs/>
          <w:szCs w:val="22"/>
        </w:rPr>
      </w:pPr>
      <w:r>
        <w:rPr>
          <w:rFonts w:cstheme="minorBidi" w:hint="eastAsia"/>
          <w:bCs/>
          <w:szCs w:val="22"/>
        </w:rPr>
        <w:t>按预期信用损失一般模型计提坏账准备</w:t>
      </w:r>
    </w:p>
    <w:bookmarkStart w:id="201" w:name="_Hlk154134618" w:displacedByCustomXml="next"/>
    <w:bookmarkStart w:id="202" w:name="_Hlk153357523" w:displacedByCustomXml="next"/>
    <w:sdt>
      <w:sdtPr>
        <w:rPr>
          <w:rFonts w:cstheme="minorBidi"/>
          <w:bCs/>
          <w:szCs w:val="22"/>
        </w:rPr>
        <w:alias w:val="是否适用：按预期信用损失一般模型计提坏账准备[双击切换]"/>
        <w:tag w:val="_GBC_8d4cb2336033407eaff135a13955b32a"/>
        <w:id w:val="947204207"/>
        <w:placeholder>
          <w:docPart w:val="GBC22222222222222222222222222222"/>
        </w:placeholder>
      </w:sdtPr>
      <w:sdtEndPr/>
      <w:sdtContent>
        <w:p w14:paraId="25FED778" w14:textId="77777777" w:rsidR="00E57DAA" w:rsidRDefault="00AC4185">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3C9CE918" w14:textId="77777777" w:rsidR="00E57DAA" w:rsidRDefault="00E57DAA">
      <w:pPr>
        <w:rPr>
          <w:rFonts w:asciiTheme="minorHAnsi" w:hAnsiTheme="minorHAnsi" w:cstheme="minorBidi"/>
          <w:b/>
          <w:bCs/>
          <w:szCs w:val="22"/>
        </w:rPr>
      </w:pPr>
    </w:p>
    <w:p w14:paraId="6AA707AC" w14:textId="77777777" w:rsidR="00E57DAA" w:rsidRDefault="00AC4185">
      <w:pPr>
        <w:pStyle w:val="45"/>
      </w:pPr>
      <w:r>
        <w:rPr>
          <w:rFonts w:hint="eastAsia"/>
        </w:rPr>
        <w:t>对本期发生损失准备变动的应收账款账面余额显著变动的情况说明：</w:t>
      </w:r>
    </w:p>
    <w:sdt>
      <w:sdtPr>
        <w:rPr>
          <w:szCs w:val="21"/>
        </w:rPr>
        <w:alias w:val="是否适用：对本期发生损失准备变动的账面余额显著变动的情况说明[双击切换]"/>
        <w:tag w:val="_GBC_253db3108f924621ad49e8a14b359867"/>
        <w:id w:val="1885675927"/>
        <w:placeholder>
          <w:docPart w:val="GBC22222222222222222222222222222"/>
        </w:placeholder>
      </w:sdtPr>
      <w:sdtEndPr/>
      <w:sdtContent>
        <w:p w14:paraId="24DE360A"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2"/>
    <w:bookmarkEnd w:id="201"/>
    <w:p w14:paraId="7BCBEE54" w14:textId="77777777" w:rsidR="00E57DAA" w:rsidRDefault="00E57DAA">
      <w:pPr>
        <w:rPr>
          <w:rFonts w:asciiTheme="minorHAnsi" w:hAnsiTheme="minorHAnsi" w:cstheme="minorBidi"/>
          <w:b/>
          <w:bCs/>
          <w:szCs w:val="22"/>
        </w:rPr>
      </w:pPr>
    </w:p>
    <w:p w14:paraId="5982FE68" w14:textId="77777777" w:rsidR="00E57DAA" w:rsidRDefault="00AC4185">
      <w:pPr>
        <w:pStyle w:val="4"/>
        <w:numPr>
          <w:ilvl w:val="3"/>
          <w:numId w:val="71"/>
        </w:numPr>
        <w:ind w:left="426" w:hanging="426"/>
      </w:pPr>
      <w:bookmarkStart w:id="203" w:name="_Hlk532991911"/>
      <w:r>
        <w:rPr>
          <w:rFonts w:hint="eastAsia"/>
        </w:rPr>
        <w:t>坏账准备的情况</w:t>
      </w:r>
    </w:p>
    <w:sdt>
      <w:sdtPr>
        <w:alias w:val="是否适用：应收账款坏账准备[双击切换]"/>
        <w:tag w:val="_GBC_9f417fa21150444abc4efab15ee99d53"/>
        <w:id w:val="-432660421"/>
        <w:placeholder>
          <w:docPart w:val="GBC22222222222222222222222222222"/>
        </w:placeholder>
      </w:sdtPr>
      <w:sdtEndPr/>
      <w:sdtContent>
        <w:p w14:paraId="1166B93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DC603A" w14:textId="77777777" w:rsidR="00E57DAA" w:rsidRDefault="00AC4185" w:rsidP="00C25422">
      <w:pPr>
        <w:pStyle w:val="73"/>
        <w:ind w:firstLine="400"/>
      </w:pPr>
      <w:r>
        <w:rPr>
          <w:rFonts w:hint="eastAsia"/>
        </w:rPr>
        <w:t>单位：</w:t>
      </w:r>
      <w:sdt>
        <w:sdtPr>
          <w:rPr>
            <w:rFonts w:hint="eastAsia"/>
          </w:rPr>
          <w:alias w:val="单位：应收账款坏账准备"/>
          <w:tag w:val="_GBC_c27d9b760b54449682d5a777e36369c3"/>
          <w:id w:val="-8576564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应收账款坏账准备"/>
          <w:tag w:val="_GBC_0ea3ceddf10d4313a5111e5088ac98cf"/>
          <w:id w:val="12586372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90"/>
        <w:gridCol w:w="1426"/>
        <w:gridCol w:w="1276"/>
        <w:gridCol w:w="1126"/>
        <w:gridCol w:w="1201"/>
        <w:gridCol w:w="1278"/>
        <w:gridCol w:w="1426"/>
      </w:tblGrid>
      <w:tr w:rsidR="00E57DAA" w14:paraId="75EAFC2F" w14:textId="77777777">
        <w:sdt>
          <w:sdtPr>
            <w:rPr>
              <w:sz w:val="15"/>
              <w:szCs w:val="18"/>
            </w:rPr>
            <w:tag w:val="_PLD_4744c2787819466dad3d228aea9d34a1"/>
            <w:id w:val="-792513540"/>
          </w:sdtPr>
          <w:sdtEndPr/>
          <w:sdtContent>
            <w:tc>
              <w:tcPr>
                <w:tcW w:w="639" w:type="pct"/>
                <w:vMerge w:val="restart"/>
                <w:shd w:val="clear" w:color="auto" w:fill="FFFFFF"/>
                <w:vAlign w:val="center"/>
              </w:tcPr>
              <w:p w14:paraId="1D646478" w14:textId="77777777" w:rsidR="00E57DAA" w:rsidRDefault="00AC4185">
                <w:pPr>
                  <w:jc w:val="center"/>
                  <w:rPr>
                    <w:sz w:val="15"/>
                    <w:szCs w:val="18"/>
                  </w:rPr>
                </w:pPr>
                <w:r>
                  <w:rPr>
                    <w:sz w:val="15"/>
                    <w:szCs w:val="18"/>
                  </w:rPr>
                  <w:t>类别</w:t>
                </w:r>
              </w:p>
            </w:tc>
          </w:sdtContent>
        </w:sdt>
        <w:sdt>
          <w:sdtPr>
            <w:rPr>
              <w:sz w:val="15"/>
              <w:szCs w:val="18"/>
            </w:rPr>
            <w:tag w:val="_PLD_c730e797b90345869cdb1a0f449d27c4"/>
            <w:id w:val="-1695223208"/>
          </w:sdtPr>
          <w:sdtEndPr/>
          <w:sdtContent>
            <w:tc>
              <w:tcPr>
                <w:tcW w:w="808" w:type="pct"/>
                <w:vMerge w:val="restart"/>
                <w:shd w:val="clear" w:color="auto" w:fill="FFFFFF"/>
                <w:vAlign w:val="center"/>
              </w:tcPr>
              <w:p w14:paraId="2F6F0971" w14:textId="77777777" w:rsidR="00E57DAA" w:rsidRDefault="00AC4185">
                <w:pPr>
                  <w:jc w:val="center"/>
                  <w:rPr>
                    <w:sz w:val="15"/>
                    <w:szCs w:val="18"/>
                  </w:rPr>
                </w:pPr>
                <w:r>
                  <w:rPr>
                    <w:sz w:val="15"/>
                    <w:szCs w:val="18"/>
                  </w:rPr>
                  <w:t>期初余额</w:t>
                </w:r>
              </w:p>
            </w:tc>
          </w:sdtContent>
        </w:sdt>
        <w:sdt>
          <w:sdtPr>
            <w:rPr>
              <w:sz w:val="15"/>
              <w:szCs w:val="18"/>
            </w:rPr>
            <w:tag w:val="_PLD_b648ee5a72ff43aabfa5e5467354f612"/>
            <w:id w:val="-1805002810"/>
          </w:sdtPr>
          <w:sdtEndPr/>
          <w:sdtContent>
            <w:tc>
              <w:tcPr>
                <w:tcW w:w="2807" w:type="pct"/>
                <w:gridSpan w:val="4"/>
                <w:shd w:val="clear" w:color="auto" w:fill="FFFFFF"/>
                <w:vAlign w:val="center"/>
              </w:tcPr>
              <w:p w14:paraId="51C9F038" w14:textId="77777777" w:rsidR="00E57DAA" w:rsidRDefault="00AC4185">
                <w:pPr>
                  <w:jc w:val="center"/>
                  <w:rPr>
                    <w:sz w:val="15"/>
                    <w:szCs w:val="18"/>
                  </w:rPr>
                </w:pPr>
                <w:r>
                  <w:rPr>
                    <w:rFonts w:hint="eastAsia"/>
                    <w:sz w:val="15"/>
                    <w:szCs w:val="18"/>
                  </w:rPr>
                  <w:t>本期变动</w:t>
                </w:r>
                <w:r>
                  <w:rPr>
                    <w:sz w:val="15"/>
                    <w:szCs w:val="18"/>
                  </w:rPr>
                  <w:t>金额</w:t>
                </w:r>
              </w:p>
            </w:tc>
          </w:sdtContent>
        </w:sdt>
        <w:sdt>
          <w:sdtPr>
            <w:rPr>
              <w:sz w:val="15"/>
              <w:szCs w:val="18"/>
            </w:rPr>
            <w:tag w:val="_PLD_670842119a0446778c0343318379e7bb"/>
            <w:id w:val="548578666"/>
          </w:sdtPr>
          <w:sdtEndPr/>
          <w:sdtContent>
            <w:tc>
              <w:tcPr>
                <w:tcW w:w="745" w:type="pct"/>
                <w:vMerge w:val="restart"/>
                <w:shd w:val="clear" w:color="auto" w:fill="FFFFFF"/>
                <w:vAlign w:val="center"/>
              </w:tcPr>
              <w:p w14:paraId="4B1168B6" w14:textId="77777777" w:rsidR="00E57DAA" w:rsidRDefault="00AC4185">
                <w:pPr>
                  <w:jc w:val="center"/>
                  <w:rPr>
                    <w:sz w:val="15"/>
                    <w:szCs w:val="18"/>
                  </w:rPr>
                </w:pPr>
                <w:r>
                  <w:rPr>
                    <w:sz w:val="15"/>
                    <w:szCs w:val="18"/>
                  </w:rPr>
                  <w:t>期末余额</w:t>
                </w:r>
              </w:p>
            </w:tc>
          </w:sdtContent>
        </w:sdt>
      </w:tr>
      <w:tr w:rsidR="00E57DAA" w14:paraId="58E669A8" w14:textId="77777777">
        <w:tc>
          <w:tcPr>
            <w:tcW w:w="639" w:type="pct"/>
            <w:vMerge/>
            <w:shd w:val="clear" w:color="auto" w:fill="FFFFFF"/>
          </w:tcPr>
          <w:p w14:paraId="52D990C2" w14:textId="77777777" w:rsidR="00E57DAA" w:rsidRDefault="00E57DAA">
            <w:pPr>
              <w:jc w:val="center"/>
              <w:rPr>
                <w:sz w:val="15"/>
                <w:szCs w:val="18"/>
              </w:rPr>
            </w:pPr>
          </w:p>
        </w:tc>
        <w:tc>
          <w:tcPr>
            <w:tcW w:w="808" w:type="pct"/>
            <w:vMerge/>
            <w:shd w:val="clear" w:color="auto" w:fill="FFFFFF"/>
          </w:tcPr>
          <w:p w14:paraId="7F933BB6" w14:textId="77777777" w:rsidR="00E57DAA" w:rsidRDefault="00E57DAA">
            <w:pPr>
              <w:jc w:val="center"/>
              <w:rPr>
                <w:sz w:val="15"/>
                <w:szCs w:val="18"/>
              </w:rPr>
            </w:pPr>
          </w:p>
        </w:tc>
        <w:sdt>
          <w:sdtPr>
            <w:rPr>
              <w:sz w:val="15"/>
              <w:szCs w:val="18"/>
            </w:rPr>
            <w:tag w:val="_PLD_9f89b7b6eb974ea9b6438eecb96ab8d7"/>
            <w:id w:val="856005375"/>
          </w:sdtPr>
          <w:sdtEndPr/>
          <w:sdtContent>
            <w:tc>
              <w:tcPr>
                <w:tcW w:w="723" w:type="pct"/>
                <w:shd w:val="clear" w:color="auto" w:fill="FFFFFF"/>
                <w:vAlign w:val="center"/>
              </w:tcPr>
              <w:p w14:paraId="4E66C222" w14:textId="77777777" w:rsidR="00E57DAA" w:rsidRDefault="00AC4185">
                <w:pPr>
                  <w:jc w:val="center"/>
                  <w:rPr>
                    <w:sz w:val="15"/>
                    <w:szCs w:val="18"/>
                  </w:rPr>
                </w:pPr>
                <w:r>
                  <w:rPr>
                    <w:sz w:val="15"/>
                    <w:szCs w:val="18"/>
                  </w:rPr>
                  <w:t>计提</w:t>
                </w:r>
              </w:p>
            </w:tc>
          </w:sdtContent>
        </w:sdt>
        <w:sdt>
          <w:sdtPr>
            <w:rPr>
              <w:sz w:val="15"/>
              <w:szCs w:val="18"/>
            </w:rPr>
            <w:tag w:val="_PLD_d83025520e1c49cb905bac81a5fe67a9"/>
            <w:id w:val="2133973800"/>
          </w:sdtPr>
          <w:sdtEndPr/>
          <w:sdtContent>
            <w:tc>
              <w:tcPr>
                <w:tcW w:w="638" w:type="pct"/>
                <w:shd w:val="clear" w:color="auto" w:fill="FFFFFF"/>
                <w:vAlign w:val="center"/>
              </w:tcPr>
              <w:p w14:paraId="5732667F" w14:textId="77777777" w:rsidR="00E57DAA" w:rsidRDefault="00AC4185">
                <w:pPr>
                  <w:jc w:val="center"/>
                  <w:rPr>
                    <w:sz w:val="15"/>
                    <w:szCs w:val="18"/>
                  </w:rPr>
                </w:pPr>
                <w:r>
                  <w:rPr>
                    <w:rFonts w:hint="eastAsia"/>
                    <w:sz w:val="15"/>
                    <w:szCs w:val="18"/>
                  </w:rPr>
                  <w:t>收回或转回</w:t>
                </w:r>
              </w:p>
            </w:tc>
          </w:sdtContent>
        </w:sdt>
        <w:tc>
          <w:tcPr>
            <w:tcW w:w="681" w:type="pct"/>
            <w:shd w:val="clear" w:color="auto" w:fill="FFFFFF"/>
            <w:vAlign w:val="center"/>
          </w:tcPr>
          <w:sdt>
            <w:sdtPr>
              <w:rPr>
                <w:rFonts w:hint="eastAsia"/>
                <w:sz w:val="15"/>
                <w:szCs w:val="18"/>
              </w:rPr>
              <w:tag w:val="_PLD_43341cdf094c434589f9f5a4eeb8fb4a"/>
              <w:id w:val="-43916476"/>
            </w:sdtPr>
            <w:sdtEndPr/>
            <w:sdtContent>
              <w:p w14:paraId="4392EF4D" w14:textId="77777777" w:rsidR="00E57DAA" w:rsidRDefault="00AC4185">
                <w:pPr>
                  <w:jc w:val="center"/>
                  <w:rPr>
                    <w:sz w:val="15"/>
                    <w:szCs w:val="18"/>
                  </w:rPr>
                </w:pPr>
                <w:r>
                  <w:rPr>
                    <w:rFonts w:hint="eastAsia"/>
                    <w:sz w:val="15"/>
                    <w:szCs w:val="18"/>
                  </w:rPr>
                  <w:t>转销或核销</w:t>
                </w:r>
              </w:p>
            </w:sdtContent>
          </w:sdt>
        </w:tc>
        <w:tc>
          <w:tcPr>
            <w:tcW w:w="766" w:type="pct"/>
            <w:shd w:val="clear" w:color="auto" w:fill="FFFFFF"/>
            <w:vAlign w:val="center"/>
          </w:tcPr>
          <w:sdt>
            <w:sdtPr>
              <w:rPr>
                <w:rFonts w:hint="eastAsia"/>
                <w:sz w:val="15"/>
                <w:szCs w:val="18"/>
              </w:rPr>
              <w:tag w:val="_PLD_4105509cd7cf412981897dd91879a014"/>
              <w:id w:val="351076942"/>
            </w:sdtPr>
            <w:sdtEndPr/>
            <w:sdtContent>
              <w:p w14:paraId="76F33CA7" w14:textId="77777777" w:rsidR="00E57DAA" w:rsidRDefault="00AC4185">
                <w:pPr>
                  <w:jc w:val="center"/>
                  <w:rPr>
                    <w:sz w:val="15"/>
                    <w:szCs w:val="18"/>
                  </w:rPr>
                </w:pPr>
                <w:r>
                  <w:rPr>
                    <w:rFonts w:hint="eastAsia"/>
                    <w:sz w:val="15"/>
                    <w:szCs w:val="18"/>
                  </w:rPr>
                  <w:t>其他变动</w:t>
                </w:r>
              </w:p>
            </w:sdtContent>
          </w:sdt>
        </w:tc>
        <w:tc>
          <w:tcPr>
            <w:tcW w:w="745" w:type="pct"/>
            <w:vMerge/>
            <w:shd w:val="clear" w:color="auto" w:fill="FFFFFF"/>
          </w:tcPr>
          <w:p w14:paraId="6C6AD125" w14:textId="77777777" w:rsidR="00E57DAA" w:rsidRDefault="00E57DAA">
            <w:pPr>
              <w:jc w:val="right"/>
              <w:rPr>
                <w:sz w:val="15"/>
                <w:szCs w:val="18"/>
              </w:rPr>
            </w:pPr>
          </w:p>
        </w:tc>
      </w:tr>
      <w:tr w:rsidR="00E57DAA" w14:paraId="7BA1018C" w14:textId="77777777">
        <w:tc>
          <w:tcPr>
            <w:tcW w:w="639" w:type="pct"/>
            <w:shd w:val="clear" w:color="auto" w:fill="auto"/>
          </w:tcPr>
          <w:p w14:paraId="1A703D8E" w14:textId="77777777" w:rsidR="00E57DAA" w:rsidRDefault="00AC4185">
            <w:pPr>
              <w:rPr>
                <w:sz w:val="15"/>
                <w:szCs w:val="18"/>
              </w:rPr>
            </w:pPr>
            <w:r>
              <w:rPr>
                <w:sz w:val="15"/>
                <w:szCs w:val="18"/>
              </w:rPr>
              <w:t>单项计提坏账准备的应收账款</w:t>
            </w:r>
          </w:p>
        </w:tc>
        <w:tc>
          <w:tcPr>
            <w:tcW w:w="808" w:type="pct"/>
            <w:shd w:val="clear" w:color="auto" w:fill="auto"/>
          </w:tcPr>
          <w:p w14:paraId="5EF63D29" w14:textId="77777777" w:rsidR="00E57DAA" w:rsidRDefault="00AC4185">
            <w:pPr>
              <w:jc w:val="right"/>
              <w:rPr>
                <w:sz w:val="15"/>
                <w:szCs w:val="18"/>
              </w:rPr>
            </w:pPr>
            <w:r>
              <w:rPr>
                <w:sz w:val="15"/>
                <w:szCs w:val="18"/>
              </w:rPr>
              <w:t>49,251,451.71</w:t>
            </w:r>
          </w:p>
        </w:tc>
        <w:tc>
          <w:tcPr>
            <w:tcW w:w="723" w:type="pct"/>
            <w:shd w:val="clear" w:color="auto" w:fill="auto"/>
          </w:tcPr>
          <w:p w14:paraId="27954029" w14:textId="77777777" w:rsidR="00E57DAA" w:rsidRDefault="00AC4185">
            <w:pPr>
              <w:jc w:val="right"/>
              <w:rPr>
                <w:sz w:val="15"/>
                <w:szCs w:val="18"/>
              </w:rPr>
            </w:pPr>
            <w:r>
              <w:rPr>
                <w:sz w:val="15"/>
                <w:szCs w:val="18"/>
              </w:rPr>
              <w:t>17,522,088.91</w:t>
            </w:r>
          </w:p>
        </w:tc>
        <w:tc>
          <w:tcPr>
            <w:tcW w:w="638" w:type="pct"/>
            <w:shd w:val="clear" w:color="auto" w:fill="auto"/>
          </w:tcPr>
          <w:p w14:paraId="23CB3ECF" w14:textId="77777777" w:rsidR="00E57DAA" w:rsidRDefault="00AC4185">
            <w:pPr>
              <w:jc w:val="right"/>
              <w:rPr>
                <w:sz w:val="15"/>
                <w:szCs w:val="18"/>
              </w:rPr>
            </w:pPr>
            <w:r>
              <w:rPr>
                <w:sz w:val="15"/>
                <w:szCs w:val="18"/>
              </w:rPr>
              <w:t>6,682,659.37</w:t>
            </w:r>
          </w:p>
        </w:tc>
        <w:tc>
          <w:tcPr>
            <w:tcW w:w="681" w:type="pct"/>
          </w:tcPr>
          <w:p w14:paraId="473563D7" w14:textId="77777777" w:rsidR="00E57DAA" w:rsidRDefault="00AC4185">
            <w:pPr>
              <w:jc w:val="right"/>
              <w:rPr>
                <w:sz w:val="15"/>
                <w:szCs w:val="18"/>
              </w:rPr>
            </w:pPr>
            <w:r>
              <w:rPr>
                <w:sz w:val="15"/>
                <w:szCs w:val="18"/>
              </w:rPr>
              <w:t> </w:t>
            </w:r>
          </w:p>
        </w:tc>
        <w:tc>
          <w:tcPr>
            <w:tcW w:w="766" w:type="pct"/>
          </w:tcPr>
          <w:p w14:paraId="6644045F" w14:textId="77777777" w:rsidR="00E57DAA" w:rsidRDefault="00AC4185">
            <w:pPr>
              <w:jc w:val="right"/>
              <w:rPr>
                <w:sz w:val="15"/>
                <w:szCs w:val="18"/>
              </w:rPr>
            </w:pPr>
            <w:r>
              <w:rPr>
                <w:sz w:val="15"/>
                <w:szCs w:val="18"/>
              </w:rPr>
              <w:t> </w:t>
            </w:r>
          </w:p>
        </w:tc>
        <w:tc>
          <w:tcPr>
            <w:tcW w:w="745" w:type="pct"/>
            <w:shd w:val="clear" w:color="auto" w:fill="auto"/>
          </w:tcPr>
          <w:p w14:paraId="5A68A579" w14:textId="77777777" w:rsidR="00E57DAA" w:rsidRDefault="00AC4185">
            <w:pPr>
              <w:jc w:val="right"/>
              <w:rPr>
                <w:sz w:val="15"/>
                <w:szCs w:val="18"/>
              </w:rPr>
            </w:pPr>
            <w:r>
              <w:rPr>
                <w:sz w:val="15"/>
                <w:szCs w:val="18"/>
              </w:rPr>
              <w:t>60,090,881.25</w:t>
            </w:r>
          </w:p>
        </w:tc>
      </w:tr>
      <w:tr w:rsidR="00E57DAA" w14:paraId="1CF779C8" w14:textId="77777777">
        <w:tc>
          <w:tcPr>
            <w:tcW w:w="639" w:type="pct"/>
            <w:shd w:val="clear" w:color="auto" w:fill="auto"/>
          </w:tcPr>
          <w:p w14:paraId="6AC55BF5" w14:textId="77777777" w:rsidR="00E57DAA" w:rsidRDefault="00AC4185">
            <w:pPr>
              <w:rPr>
                <w:sz w:val="15"/>
                <w:szCs w:val="18"/>
              </w:rPr>
            </w:pPr>
            <w:r>
              <w:rPr>
                <w:sz w:val="15"/>
                <w:szCs w:val="18"/>
              </w:rPr>
              <w:t>按组合计提坏账准备的应收账款</w:t>
            </w:r>
          </w:p>
        </w:tc>
        <w:tc>
          <w:tcPr>
            <w:tcW w:w="808" w:type="pct"/>
            <w:shd w:val="clear" w:color="auto" w:fill="auto"/>
          </w:tcPr>
          <w:p w14:paraId="3065A8D6" w14:textId="77777777" w:rsidR="00E57DAA" w:rsidRDefault="00AC4185">
            <w:pPr>
              <w:jc w:val="right"/>
              <w:rPr>
                <w:sz w:val="15"/>
                <w:szCs w:val="18"/>
              </w:rPr>
            </w:pPr>
            <w:r>
              <w:rPr>
                <w:sz w:val="15"/>
                <w:szCs w:val="18"/>
              </w:rPr>
              <w:t>1,070,078,276.77</w:t>
            </w:r>
          </w:p>
        </w:tc>
        <w:tc>
          <w:tcPr>
            <w:tcW w:w="723" w:type="pct"/>
            <w:shd w:val="clear" w:color="auto" w:fill="auto"/>
          </w:tcPr>
          <w:p w14:paraId="470AE3B2" w14:textId="77777777" w:rsidR="00E57DAA" w:rsidRDefault="00AC4185">
            <w:pPr>
              <w:jc w:val="right"/>
              <w:rPr>
                <w:sz w:val="15"/>
                <w:szCs w:val="18"/>
              </w:rPr>
            </w:pPr>
            <w:r>
              <w:rPr>
                <w:sz w:val="15"/>
                <w:szCs w:val="18"/>
              </w:rPr>
              <w:t>195,442,119.08</w:t>
            </w:r>
          </w:p>
        </w:tc>
        <w:tc>
          <w:tcPr>
            <w:tcW w:w="638" w:type="pct"/>
            <w:shd w:val="clear" w:color="auto" w:fill="auto"/>
          </w:tcPr>
          <w:p w14:paraId="07CE0839" w14:textId="77777777" w:rsidR="00E57DAA" w:rsidRDefault="00AC4185">
            <w:pPr>
              <w:jc w:val="right"/>
              <w:rPr>
                <w:sz w:val="15"/>
                <w:szCs w:val="18"/>
              </w:rPr>
            </w:pPr>
            <w:r>
              <w:rPr>
                <w:sz w:val="15"/>
                <w:szCs w:val="18"/>
              </w:rPr>
              <w:t> </w:t>
            </w:r>
          </w:p>
        </w:tc>
        <w:tc>
          <w:tcPr>
            <w:tcW w:w="681" w:type="pct"/>
          </w:tcPr>
          <w:p w14:paraId="061E1D0C" w14:textId="77777777" w:rsidR="00E57DAA" w:rsidRDefault="00AC4185">
            <w:pPr>
              <w:jc w:val="right"/>
              <w:rPr>
                <w:sz w:val="15"/>
                <w:szCs w:val="18"/>
              </w:rPr>
            </w:pPr>
            <w:r>
              <w:rPr>
                <w:sz w:val="15"/>
                <w:szCs w:val="18"/>
              </w:rPr>
              <w:t>31,632,464.23</w:t>
            </w:r>
          </w:p>
        </w:tc>
        <w:tc>
          <w:tcPr>
            <w:tcW w:w="766" w:type="pct"/>
          </w:tcPr>
          <w:p w14:paraId="4C4CFA86" w14:textId="77777777" w:rsidR="00E57DAA" w:rsidRDefault="00AC4185">
            <w:pPr>
              <w:jc w:val="right"/>
              <w:rPr>
                <w:sz w:val="15"/>
                <w:szCs w:val="18"/>
              </w:rPr>
            </w:pPr>
            <w:r>
              <w:rPr>
                <w:sz w:val="15"/>
                <w:szCs w:val="18"/>
              </w:rPr>
              <w:t>-56,932,696.23</w:t>
            </w:r>
          </w:p>
        </w:tc>
        <w:tc>
          <w:tcPr>
            <w:tcW w:w="745" w:type="pct"/>
            <w:shd w:val="clear" w:color="auto" w:fill="auto"/>
          </w:tcPr>
          <w:p w14:paraId="4033C41E" w14:textId="77777777" w:rsidR="00E57DAA" w:rsidRDefault="00AC4185">
            <w:pPr>
              <w:jc w:val="right"/>
              <w:rPr>
                <w:sz w:val="15"/>
                <w:szCs w:val="18"/>
              </w:rPr>
            </w:pPr>
            <w:r>
              <w:rPr>
                <w:sz w:val="15"/>
                <w:szCs w:val="18"/>
              </w:rPr>
              <w:t>1,176,955,235.39</w:t>
            </w:r>
          </w:p>
        </w:tc>
      </w:tr>
      <w:tr w:rsidR="00E57DAA" w14:paraId="4318E09F" w14:textId="77777777">
        <w:tc>
          <w:tcPr>
            <w:tcW w:w="639" w:type="pct"/>
            <w:shd w:val="clear" w:color="auto" w:fill="auto"/>
          </w:tcPr>
          <w:p w14:paraId="5D07C10D" w14:textId="77777777" w:rsidR="00E57DAA" w:rsidRDefault="00AC4185">
            <w:pPr>
              <w:jc w:val="center"/>
              <w:rPr>
                <w:sz w:val="15"/>
                <w:szCs w:val="18"/>
              </w:rPr>
            </w:pPr>
            <w:r>
              <w:rPr>
                <w:rFonts w:hint="eastAsia"/>
                <w:sz w:val="15"/>
                <w:szCs w:val="18"/>
              </w:rPr>
              <w:t>合计</w:t>
            </w:r>
          </w:p>
        </w:tc>
        <w:tc>
          <w:tcPr>
            <w:tcW w:w="808" w:type="pct"/>
            <w:shd w:val="clear" w:color="auto" w:fill="auto"/>
            <w:vAlign w:val="center"/>
          </w:tcPr>
          <w:p w14:paraId="0D85EFEF" w14:textId="77777777" w:rsidR="00E57DAA" w:rsidRDefault="00AC4185">
            <w:pPr>
              <w:jc w:val="right"/>
              <w:rPr>
                <w:sz w:val="15"/>
                <w:szCs w:val="18"/>
              </w:rPr>
            </w:pPr>
            <w:r>
              <w:rPr>
                <w:sz w:val="15"/>
                <w:szCs w:val="18"/>
              </w:rPr>
              <w:t>1,119,329,728.48</w:t>
            </w:r>
          </w:p>
        </w:tc>
        <w:tc>
          <w:tcPr>
            <w:tcW w:w="723" w:type="pct"/>
            <w:shd w:val="clear" w:color="auto" w:fill="auto"/>
            <w:vAlign w:val="center"/>
          </w:tcPr>
          <w:p w14:paraId="66525FFD" w14:textId="77777777" w:rsidR="00E57DAA" w:rsidRDefault="00AC4185">
            <w:pPr>
              <w:jc w:val="right"/>
              <w:rPr>
                <w:sz w:val="15"/>
                <w:szCs w:val="18"/>
              </w:rPr>
            </w:pPr>
            <w:r>
              <w:rPr>
                <w:sz w:val="15"/>
                <w:szCs w:val="18"/>
              </w:rPr>
              <w:t>212,964,207.99</w:t>
            </w:r>
          </w:p>
        </w:tc>
        <w:tc>
          <w:tcPr>
            <w:tcW w:w="638" w:type="pct"/>
            <w:shd w:val="clear" w:color="auto" w:fill="auto"/>
            <w:vAlign w:val="center"/>
          </w:tcPr>
          <w:p w14:paraId="013967A6" w14:textId="77777777" w:rsidR="00E57DAA" w:rsidRDefault="00AC4185">
            <w:pPr>
              <w:jc w:val="right"/>
              <w:rPr>
                <w:sz w:val="15"/>
                <w:szCs w:val="18"/>
              </w:rPr>
            </w:pPr>
            <w:r>
              <w:rPr>
                <w:sz w:val="15"/>
                <w:szCs w:val="18"/>
              </w:rPr>
              <w:t>6,682,659.37</w:t>
            </w:r>
          </w:p>
        </w:tc>
        <w:tc>
          <w:tcPr>
            <w:tcW w:w="681" w:type="pct"/>
            <w:vAlign w:val="center"/>
          </w:tcPr>
          <w:p w14:paraId="1249ECA7" w14:textId="77777777" w:rsidR="00E57DAA" w:rsidRDefault="00AC4185">
            <w:pPr>
              <w:jc w:val="right"/>
              <w:rPr>
                <w:sz w:val="15"/>
                <w:szCs w:val="18"/>
              </w:rPr>
            </w:pPr>
            <w:r>
              <w:rPr>
                <w:sz w:val="15"/>
                <w:szCs w:val="18"/>
              </w:rPr>
              <w:t>31,632,464.23</w:t>
            </w:r>
          </w:p>
        </w:tc>
        <w:tc>
          <w:tcPr>
            <w:tcW w:w="766" w:type="pct"/>
            <w:vAlign w:val="center"/>
          </w:tcPr>
          <w:p w14:paraId="39086FA0" w14:textId="77777777" w:rsidR="00E57DAA" w:rsidRDefault="00AC4185">
            <w:pPr>
              <w:jc w:val="right"/>
              <w:rPr>
                <w:sz w:val="15"/>
                <w:szCs w:val="18"/>
              </w:rPr>
            </w:pPr>
            <w:r>
              <w:rPr>
                <w:sz w:val="15"/>
                <w:szCs w:val="18"/>
              </w:rPr>
              <w:t>-56,932,696.23</w:t>
            </w:r>
          </w:p>
        </w:tc>
        <w:tc>
          <w:tcPr>
            <w:tcW w:w="745" w:type="pct"/>
            <w:shd w:val="clear" w:color="auto" w:fill="auto"/>
            <w:vAlign w:val="center"/>
          </w:tcPr>
          <w:p w14:paraId="13AF31DE" w14:textId="77777777" w:rsidR="00E57DAA" w:rsidRDefault="00AC4185">
            <w:pPr>
              <w:jc w:val="right"/>
              <w:rPr>
                <w:sz w:val="15"/>
                <w:szCs w:val="18"/>
              </w:rPr>
            </w:pPr>
            <w:r>
              <w:rPr>
                <w:sz w:val="15"/>
                <w:szCs w:val="18"/>
              </w:rPr>
              <w:t>1,237,046,116.64</w:t>
            </w:r>
          </w:p>
        </w:tc>
      </w:tr>
    </w:tbl>
    <w:p w14:paraId="2C6E1ED6" w14:textId="77777777" w:rsidR="00E57DAA" w:rsidRDefault="00E57DAA" w:rsidP="00C25422">
      <w:pPr>
        <w:pStyle w:val="92"/>
      </w:pPr>
    </w:p>
    <w:p w14:paraId="17A1C0E0" w14:textId="77777777" w:rsidR="00E57DAA" w:rsidRDefault="00AC4185" w:rsidP="00C25422">
      <w:pPr>
        <w:pStyle w:val="92"/>
      </w:pPr>
      <w:r>
        <w:rPr>
          <w:rFonts w:hint="eastAsia"/>
        </w:rPr>
        <w:t>其中本期坏账准备收回或转回金额重要的：</w:t>
      </w:r>
    </w:p>
    <w:bookmarkEnd w:id="203" w:displacedByCustomXml="next"/>
    <w:sdt>
      <w:sdtPr>
        <w:alias w:val="是否适用：其中本期坏账准备收回或转回金额重要的[双击切换]"/>
        <w:tag w:val="_GBC_6da74212535e450f9d1465f00dddd00b"/>
        <w:id w:val="-1267539572"/>
        <w:placeholder>
          <w:docPart w:val="GBC22222222222222222222222222222"/>
        </w:placeholder>
      </w:sdtPr>
      <w:sdtEndPr/>
      <w:sdtContent>
        <w:p w14:paraId="33710FA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71DE3F" w14:textId="77777777" w:rsidR="00E57DAA" w:rsidRDefault="00AC4185">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7764454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16606551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2378"/>
        <w:gridCol w:w="2378"/>
        <w:gridCol w:w="2379"/>
      </w:tblGrid>
      <w:tr w:rsidR="00E57DAA" w14:paraId="7EBBB7C6" w14:textId="77777777">
        <w:sdt>
          <w:sdtPr>
            <w:tag w:val="_PLD_ac3fcb90eaea4da4aed0cb4c8e82e51b"/>
            <w:id w:val="-86694220"/>
          </w:sdtPr>
          <w:sdtEndPr/>
          <w:sdtContent>
            <w:tc>
              <w:tcPr>
                <w:tcW w:w="957" w:type="pct"/>
                <w:vAlign w:val="center"/>
              </w:tcPr>
              <w:p w14:paraId="1267DE4C" w14:textId="77777777" w:rsidR="00E57DAA" w:rsidRDefault="00AC4185">
                <w:pPr>
                  <w:jc w:val="center"/>
                  <w:rPr>
                    <w:szCs w:val="21"/>
                  </w:rPr>
                </w:pPr>
                <w:r>
                  <w:rPr>
                    <w:rFonts w:hint="eastAsia"/>
                    <w:szCs w:val="21"/>
                  </w:rPr>
                  <w:t>单位名称</w:t>
                </w:r>
              </w:p>
            </w:tc>
          </w:sdtContent>
        </w:sdt>
        <w:sdt>
          <w:sdtPr>
            <w:tag w:val="_PLD_8e81b94af6544906a6a1ac7a3035f951"/>
            <w:id w:val="673927052"/>
          </w:sdtPr>
          <w:sdtEndPr/>
          <w:sdtContent>
            <w:tc>
              <w:tcPr>
                <w:tcW w:w="1347" w:type="pct"/>
                <w:vAlign w:val="center"/>
              </w:tcPr>
              <w:p w14:paraId="35C7C10F" w14:textId="77777777" w:rsidR="00E57DAA" w:rsidRDefault="00AC4185">
                <w:pPr>
                  <w:jc w:val="center"/>
                  <w:rPr>
                    <w:szCs w:val="21"/>
                  </w:rPr>
                </w:pPr>
                <w:r>
                  <w:rPr>
                    <w:rFonts w:hint="eastAsia"/>
                    <w:szCs w:val="21"/>
                  </w:rPr>
                  <w:t>收回或转回金额</w:t>
                </w:r>
              </w:p>
            </w:tc>
          </w:sdtContent>
        </w:sdt>
        <w:tc>
          <w:tcPr>
            <w:tcW w:w="1347" w:type="pct"/>
            <w:vAlign w:val="center"/>
          </w:tcPr>
          <w:sdt>
            <w:sdtPr>
              <w:rPr>
                <w:rFonts w:hint="eastAsia"/>
              </w:rPr>
              <w:tag w:val="_PLD_383e321a288848f8b8a5c1acefda2f15"/>
              <w:id w:val="41262051"/>
            </w:sdtPr>
            <w:sdtEndPr/>
            <w:sdtContent>
              <w:p w14:paraId="4B461FCF" w14:textId="77777777" w:rsidR="00E57DAA" w:rsidRDefault="00AC4185">
                <w:pPr>
                  <w:jc w:val="center"/>
                </w:pPr>
                <w:r>
                  <w:rPr>
                    <w:rFonts w:hint="eastAsia"/>
                  </w:rPr>
                  <w:t>转回原因</w:t>
                </w:r>
              </w:p>
            </w:sdtContent>
          </w:sdt>
        </w:tc>
        <w:sdt>
          <w:sdtPr>
            <w:tag w:val="_PLD_07d37e8b445546679009ed599f886725"/>
            <w:id w:val="-1476681348"/>
          </w:sdtPr>
          <w:sdtEndPr/>
          <w:sdtContent>
            <w:tc>
              <w:tcPr>
                <w:tcW w:w="1347" w:type="pct"/>
                <w:vAlign w:val="center"/>
              </w:tcPr>
              <w:p w14:paraId="5C3F2D5A" w14:textId="77777777" w:rsidR="00E57DAA" w:rsidRDefault="00AC4185">
                <w:pPr>
                  <w:jc w:val="center"/>
                  <w:rPr>
                    <w:szCs w:val="21"/>
                  </w:rPr>
                </w:pPr>
                <w:r>
                  <w:rPr>
                    <w:rFonts w:hint="eastAsia"/>
                    <w:szCs w:val="21"/>
                  </w:rPr>
                  <w:t>收回方式</w:t>
                </w:r>
              </w:p>
            </w:tc>
          </w:sdtContent>
        </w:sdt>
      </w:tr>
      <w:tr w:rsidR="00E57DAA" w14:paraId="3D8A2ACA" w14:textId="77777777">
        <w:tc>
          <w:tcPr>
            <w:tcW w:w="957" w:type="pct"/>
          </w:tcPr>
          <w:p w14:paraId="02861E38" w14:textId="77777777" w:rsidR="00E57DAA" w:rsidRDefault="00AC4185">
            <w:pPr>
              <w:rPr>
                <w:szCs w:val="21"/>
              </w:rPr>
            </w:pPr>
            <w:r>
              <w:t>云维保山有机化工有限公司</w:t>
            </w:r>
          </w:p>
        </w:tc>
        <w:tc>
          <w:tcPr>
            <w:tcW w:w="1347" w:type="pct"/>
          </w:tcPr>
          <w:p w14:paraId="6E420469" w14:textId="77777777" w:rsidR="00E57DAA" w:rsidRDefault="00AC4185">
            <w:pPr>
              <w:jc w:val="right"/>
              <w:rPr>
                <w:szCs w:val="21"/>
              </w:rPr>
            </w:pPr>
            <w:r>
              <w:t>2,400,000.00</w:t>
            </w:r>
          </w:p>
        </w:tc>
        <w:tc>
          <w:tcPr>
            <w:tcW w:w="1347" w:type="pct"/>
          </w:tcPr>
          <w:p w14:paraId="75B02794" w14:textId="77777777" w:rsidR="00E57DAA" w:rsidRDefault="00AC4185">
            <w:pPr>
              <w:rPr>
                <w:szCs w:val="21"/>
              </w:rPr>
            </w:pPr>
            <w:r>
              <w:t>收到回款</w:t>
            </w:r>
          </w:p>
        </w:tc>
        <w:tc>
          <w:tcPr>
            <w:tcW w:w="1347" w:type="pct"/>
          </w:tcPr>
          <w:p w14:paraId="01EB5E38" w14:textId="77777777" w:rsidR="00E57DAA" w:rsidRDefault="00AC4185">
            <w:pPr>
              <w:rPr>
                <w:szCs w:val="21"/>
              </w:rPr>
            </w:pPr>
            <w:r>
              <w:rPr>
                <w:rFonts w:hint="eastAsia"/>
                <w:szCs w:val="21"/>
              </w:rPr>
              <w:t>收到回款</w:t>
            </w:r>
          </w:p>
        </w:tc>
      </w:tr>
      <w:tr w:rsidR="00E57DAA" w14:paraId="2E140837" w14:textId="77777777">
        <w:tc>
          <w:tcPr>
            <w:tcW w:w="957" w:type="pct"/>
          </w:tcPr>
          <w:p w14:paraId="789853CF" w14:textId="77777777" w:rsidR="00E57DAA" w:rsidRDefault="00AC4185">
            <w:pPr>
              <w:rPr>
                <w:szCs w:val="21"/>
              </w:rPr>
            </w:pPr>
            <w:r>
              <w:t>罗平县玉马水泥有限责任公司</w:t>
            </w:r>
          </w:p>
        </w:tc>
        <w:tc>
          <w:tcPr>
            <w:tcW w:w="1347" w:type="pct"/>
          </w:tcPr>
          <w:p w14:paraId="06D42789" w14:textId="77777777" w:rsidR="00E57DAA" w:rsidRDefault="00AC4185">
            <w:pPr>
              <w:jc w:val="right"/>
              <w:rPr>
                <w:szCs w:val="21"/>
              </w:rPr>
            </w:pPr>
            <w:r>
              <w:t>2,064,541.92</w:t>
            </w:r>
          </w:p>
        </w:tc>
        <w:tc>
          <w:tcPr>
            <w:tcW w:w="1347" w:type="pct"/>
          </w:tcPr>
          <w:p w14:paraId="13FD65A6" w14:textId="77777777" w:rsidR="00E57DAA" w:rsidRDefault="00AC4185">
            <w:pPr>
              <w:rPr>
                <w:szCs w:val="21"/>
              </w:rPr>
            </w:pPr>
            <w:r>
              <w:t>收到回款</w:t>
            </w:r>
          </w:p>
        </w:tc>
        <w:tc>
          <w:tcPr>
            <w:tcW w:w="1347" w:type="pct"/>
          </w:tcPr>
          <w:p w14:paraId="7B315197" w14:textId="77777777" w:rsidR="00E57DAA" w:rsidRDefault="00AC4185">
            <w:pPr>
              <w:rPr>
                <w:szCs w:val="21"/>
              </w:rPr>
            </w:pPr>
            <w:r>
              <w:rPr>
                <w:rFonts w:hint="eastAsia"/>
                <w:szCs w:val="21"/>
              </w:rPr>
              <w:t>收到回款</w:t>
            </w:r>
          </w:p>
        </w:tc>
      </w:tr>
      <w:tr w:rsidR="00E57DAA" w14:paraId="14EA7D10" w14:textId="77777777">
        <w:tc>
          <w:tcPr>
            <w:tcW w:w="957" w:type="pct"/>
            <w:vAlign w:val="center"/>
          </w:tcPr>
          <w:p w14:paraId="518BF148" w14:textId="77777777" w:rsidR="00E57DAA" w:rsidRDefault="00AC4185">
            <w:pPr>
              <w:jc w:val="center"/>
              <w:rPr>
                <w:szCs w:val="21"/>
              </w:rPr>
            </w:pPr>
            <w:r>
              <w:rPr>
                <w:szCs w:val="21"/>
              </w:rPr>
              <w:t>合计</w:t>
            </w:r>
          </w:p>
        </w:tc>
        <w:tc>
          <w:tcPr>
            <w:tcW w:w="1347" w:type="pct"/>
          </w:tcPr>
          <w:p w14:paraId="00B4460E" w14:textId="77777777" w:rsidR="00E57DAA" w:rsidRDefault="00AC4185">
            <w:pPr>
              <w:jc w:val="right"/>
              <w:rPr>
                <w:szCs w:val="21"/>
              </w:rPr>
            </w:pPr>
            <w:r>
              <w:rPr>
                <w:szCs w:val="21"/>
              </w:rPr>
              <w:t>4,464,541.92</w:t>
            </w:r>
          </w:p>
        </w:tc>
        <w:tc>
          <w:tcPr>
            <w:tcW w:w="1347" w:type="pct"/>
          </w:tcPr>
          <w:p w14:paraId="1EF033F8" w14:textId="77777777" w:rsidR="00E57DAA" w:rsidRDefault="00AC4185">
            <w:pPr>
              <w:rPr>
                <w:szCs w:val="21"/>
              </w:rPr>
            </w:pPr>
            <w:r>
              <w:rPr>
                <w:szCs w:val="21"/>
              </w:rPr>
              <w:t>/</w:t>
            </w:r>
          </w:p>
        </w:tc>
        <w:tc>
          <w:tcPr>
            <w:tcW w:w="1347" w:type="pct"/>
          </w:tcPr>
          <w:p w14:paraId="0006835F" w14:textId="77777777" w:rsidR="00E57DAA" w:rsidRDefault="00AC4185">
            <w:pPr>
              <w:rPr>
                <w:szCs w:val="21"/>
              </w:rPr>
            </w:pPr>
            <w:r>
              <w:rPr>
                <w:rFonts w:hint="eastAsia"/>
                <w:szCs w:val="21"/>
              </w:rPr>
              <w:t>/</w:t>
            </w:r>
          </w:p>
        </w:tc>
      </w:tr>
    </w:tbl>
    <w:p w14:paraId="02CC8AB9" w14:textId="77777777" w:rsidR="00E57DAA" w:rsidRDefault="00E57DAA" w:rsidP="00C25422">
      <w:pPr>
        <w:pStyle w:val="92"/>
      </w:pPr>
    </w:p>
    <w:p w14:paraId="7BF291A8" w14:textId="77777777" w:rsidR="00E57DAA" w:rsidRDefault="00AC4185">
      <w:pPr>
        <w:pStyle w:val="4"/>
        <w:numPr>
          <w:ilvl w:val="3"/>
          <w:numId w:val="71"/>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617253197"/>
        <w:placeholder>
          <w:docPart w:val="GBC22222222222222222222222222222"/>
        </w:placeholder>
      </w:sdtPr>
      <w:sdtEndPr/>
      <w:sdtContent>
        <w:p w14:paraId="23CAE41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9DCF87" w14:textId="77777777" w:rsidR="00E57DAA" w:rsidRDefault="00AC4185">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770548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9501168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E57DAA" w14:paraId="3E290720" w14:textId="77777777">
        <w:sdt>
          <w:sdtPr>
            <w:tag w:val="_PLD_b31b4d2de9bc4878bfaf030b4ac7f864"/>
            <w:id w:val="-1764210063"/>
          </w:sdtPr>
          <w:sdtEndPr/>
          <w:sdtContent>
            <w:tc>
              <w:tcPr>
                <w:tcW w:w="2361" w:type="pct"/>
                <w:vAlign w:val="center"/>
              </w:tcPr>
              <w:p w14:paraId="762F4136" w14:textId="77777777" w:rsidR="00E57DAA" w:rsidRDefault="00AC4185">
                <w:pPr>
                  <w:jc w:val="center"/>
                  <w:rPr>
                    <w:szCs w:val="21"/>
                  </w:rPr>
                </w:pPr>
                <w:r>
                  <w:rPr>
                    <w:rFonts w:hint="eastAsia"/>
                    <w:szCs w:val="21"/>
                  </w:rPr>
                  <w:t>项目</w:t>
                </w:r>
              </w:p>
            </w:tc>
          </w:sdtContent>
        </w:sdt>
        <w:sdt>
          <w:sdtPr>
            <w:tag w:val="_PLD_8157ba5967c14e4e821de564c4546b40"/>
            <w:id w:val="747006122"/>
          </w:sdtPr>
          <w:sdtEndPr/>
          <w:sdtContent>
            <w:tc>
              <w:tcPr>
                <w:tcW w:w="2639" w:type="pct"/>
              </w:tcPr>
              <w:p w14:paraId="0DE5A649" w14:textId="77777777" w:rsidR="00E57DAA" w:rsidRDefault="00AC4185">
                <w:pPr>
                  <w:jc w:val="center"/>
                  <w:rPr>
                    <w:szCs w:val="21"/>
                  </w:rPr>
                </w:pPr>
                <w:r>
                  <w:rPr>
                    <w:rFonts w:hint="eastAsia"/>
                    <w:szCs w:val="21"/>
                  </w:rPr>
                  <w:t>核销金额</w:t>
                </w:r>
              </w:p>
            </w:tc>
          </w:sdtContent>
        </w:sdt>
      </w:tr>
      <w:tr w:rsidR="00E57DAA" w14:paraId="154686C3" w14:textId="77777777">
        <w:tc>
          <w:tcPr>
            <w:tcW w:w="2361" w:type="pct"/>
          </w:tcPr>
          <w:p w14:paraId="470330D7" w14:textId="77777777" w:rsidR="00E57DAA" w:rsidRDefault="00AC4185">
            <w:pPr>
              <w:rPr>
                <w:szCs w:val="21"/>
              </w:rPr>
            </w:pPr>
            <w:r>
              <w:rPr>
                <w:rFonts w:hint="eastAsia"/>
                <w:szCs w:val="21"/>
              </w:rPr>
              <w:t>实际核销的应收账款</w:t>
            </w:r>
          </w:p>
        </w:tc>
        <w:tc>
          <w:tcPr>
            <w:tcW w:w="2639" w:type="pct"/>
          </w:tcPr>
          <w:p w14:paraId="60757641" w14:textId="77777777" w:rsidR="00E57DAA" w:rsidRDefault="00AC4185">
            <w:pPr>
              <w:jc w:val="right"/>
              <w:rPr>
                <w:szCs w:val="21"/>
              </w:rPr>
            </w:pPr>
            <w:r>
              <w:rPr>
                <w:szCs w:val="21"/>
              </w:rPr>
              <w:t>31,632,464.23</w:t>
            </w:r>
          </w:p>
        </w:tc>
      </w:tr>
    </w:tbl>
    <w:p w14:paraId="4DACB6F0" w14:textId="77777777" w:rsidR="00E57DAA" w:rsidRDefault="00E57DAA">
      <w:pPr>
        <w:rPr>
          <w:szCs w:val="21"/>
        </w:rPr>
      </w:pPr>
    </w:p>
    <w:p w14:paraId="75F2F5B1" w14:textId="77777777" w:rsidR="00E57DAA" w:rsidRDefault="00AC4185">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1895271185"/>
        <w:placeholder>
          <w:docPart w:val="GBC22222222222222222222222222222"/>
        </w:placeholder>
      </w:sdtPr>
      <w:sdtEndPr/>
      <w:sdtContent>
        <w:p w14:paraId="04C885B5"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BE34B7" w14:textId="77777777" w:rsidR="00E57DAA" w:rsidRDefault="00E57DAA">
      <w:pPr>
        <w:rPr>
          <w:szCs w:val="21"/>
        </w:rPr>
      </w:pPr>
    </w:p>
    <w:p w14:paraId="6AF920A7" w14:textId="77777777" w:rsidR="00E57DAA" w:rsidRDefault="00AC4185">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042018220"/>
        <w:placeholder>
          <w:docPart w:val="GBC22222222222222222222222222222"/>
        </w:placeholder>
      </w:sdtPr>
      <w:sdtEndPr/>
      <w:sdtContent>
        <w:p w14:paraId="72668E24" w14:textId="77777777" w:rsidR="00E57DAA" w:rsidRDefault="00AC4185">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67F56F" w14:textId="77777777" w:rsidR="00E57DAA" w:rsidRDefault="00E57DAA" w:rsidP="00C25422">
      <w:pPr>
        <w:pStyle w:val="92"/>
      </w:pPr>
    </w:p>
    <w:p w14:paraId="263F94FE" w14:textId="77777777" w:rsidR="00E57DAA" w:rsidRDefault="00AC4185">
      <w:pPr>
        <w:pStyle w:val="4"/>
        <w:numPr>
          <w:ilvl w:val="3"/>
          <w:numId w:val="71"/>
        </w:numPr>
        <w:ind w:left="426" w:hanging="426"/>
      </w:pPr>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384d0a1c7eac41bb9693117cbe9c7e5b"/>
        <w:id w:val="24224217"/>
        <w:placeholder>
          <w:docPart w:val="GBC22222222222222222222222222222"/>
        </w:placeholder>
      </w:sdtPr>
      <w:sdtEndPr/>
      <w:sdtContent>
        <w:p w14:paraId="70439CCD" w14:textId="77777777" w:rsidR="00E57DAA" w:rsidRDefault="00AC418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CE35E14" w14:textId="77777777" w:rsidR="00E57DAA" w:rsidRDefault="00AC4185">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53183485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0888801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1512"/>
        <w:gridCol w:w="1416"/>
        <w:gridCol w:w="1465"/>
        <w:gridCol w:w="722"/>
        <w:gridCol w:w="1537"/>
      </w:tblGrid>
      <w:tr w:rsidR="00E57DAA" w14:paraId="6486CE50" w14:textId="77777777">
        <w:trPr>
          <w:cantSplit/>
        </w:trPr>
        <w:sdt>
          <w:sdtPr>
            <w:rPr>
              <w:rFonts w:hint="eastAsia"/>
              <w:sz w:val="15"/>
              <w:szCs w:val="15"/>
            </w:rPr>
            <w:tag w:val="_PLD_393da722a1e6440ebfe654baf23b690e"/>
            <w:id w:val="-716977449"/>
          </w:sdtPr>
          <w:sdtEndPr/>
          <w:sdtContent>
            <w:tc>
              <w:tcPr>
                <w:tcW w:w="1231" w:type="pct"/>
                <w:vAlign w:val="center"/>
              </w:tcPr>
              <w:p w14:paraId="699D1DF9" w14:textId="77777777" w:rsidR="00E57DAA" w:rsidRDefault="00AC4185">
                <w:pPr>
                  <w:ind w:right="105"/>
                  <w:jc w:val="center"/>
                  <w:rPr>
                    <w:sz w:val="15"/>
                    <w:szCs w:val="15"/>
                  </w:rPr>
                </w:pPr>
                <w:r>
                  <w:rPr>
                    <w:rFonts w:hint="eastAsia"/>
                    <w:sz w:val="15"/>
                    <w:szCs w:val="15"/>
                  </w:rPr>
                  <w:t>单位名称</w:t>
                </w:r>
              </w:p>
            </w:tc>
          </w:sdtContent>
        </w:sdt>
        <w:sdt>
          <w:sdtPr>
            <w:rPr>
              <w:rFonts w:hint="eastAsia"/>
              <w:sz w:val="15"/>
              <w:szCs w:val="15"/>
            </w:rPr>
            <w:tag w:val="_PLD_e14b89c8ccbc4e1fbb83ed437d4f7c27"/>
            <w:id w:val="-187990358"/>
          </w:sdtPr>
          <w:sdtEndPr/>
          <w:sdtContent>
            <w:tc>
              <w:tcPr>
                <w:tcW w:w="857" w:type="pct"/>
                <w:vAlign w:val="center"/>
              </w:tcPr>
              <w:p w14:paraId="4B93CB46" w14:textId="77777777" w:rsidR="00E57DAA" w:rsidRDefault="00AC4185">
                <w:pPr>
                  <w:ind w:right="73"/>
                  <w:jc w:val="center"/>
                  <w:rPr>
                    <w:sz w:val="15"/>
                    <w:szCs w:val="15"/>
                  </w:rPr>
                </w:pPr>
                <w:r>
                  <w:rPr>
                    <w:rFonts w:hint="eastAsia"/>
                    <w:sz w:val="15"/>
                    <w:szCs w:val="15"/>
                  </w:rPr>
                  <w:t>应收账款期末余额</w:t>
                </w:r>
              </w:p>
            </w:tc>
          </w:sdtContent>
        </w:sdt>
        <w:sdt>
          <w:sdtPr>
            <w:rPr>
              <w:rFonts w:hint="eastAsia"/>
              <w:sz w:val="15"/>
              <w:szCs w:val="15"/>
            </w:rPr>
            <w:tag w:val="_PLD_9e781bfbeaa241238adba8f92d150259"/>
            <w:id w:val="-1514912315"/>
          </w:sdtPr>
          <w:sdtEndPr/>
          <w:sdtContent>
            <w:tc>
              <w:tcPr>
                <w:tcW w:w="802" w:type="pct"/>
                <w:vAlign w:val="center"/>
              </w:tcPr>
              <w:p w14:paraId="7FEA12E5" w14:textId="77777777" w:rsidR="00E57DAA" w:rsidRDefault="00AC4185">
                <w:pPr>
                  <w:jc w:val="center"/>
                  <w:rPr>
                    <w:sz w:val="15"/>
                    <w:szCs w:val="15"/>
                  </w:rPr>
                </w:pPr>
                <w:r>
                  <w:rPr>
                    <w:rFonts w:hint="eastAsia"/>
                    <w:sz w:val="15"/>
                    <w:szCs w:val="15"/>
                  </w:rPr>
                  <w:t>合同资产期末余额</w:t>
                </w:r>
              </w:p>
            </w:tc>
          </w:sdtContent>
        </w:sdt>
        <w:sdt>
          <w:sdtPr>
            <w:rPr>
              <w:rFonts w:hint="eastAsia"/>
              <w:sz w:val="15"/>
              <w:szCs w:val="15"/>
            </w:rPr>
            <w:tag w:val="_PLD_666c0ccb3f21467e9e36a3c674bf8485"/>
            <w:id w:val="-180368012"/>
          </w:sdtPr>
          <w:sdtEndPr/>
          <w:sdtContent>
            <w:tc>
              <w:tcPr>
                <w:tcW w:w="830" w:type="pct"/>
                <w:vAlign w:val="center"/>
              </w:tcPr>
              <w:p w14:paraId="51E3CC8F" w14:textId="77777777" w:rsidR="00E57DAA" w:rsidRDefault="00AC4185">
                <w:pPr>
                  <w:jc w:val="center"/>
                  <w:rPr>
                    <w:sz w:val="15"/>
                    <w:szCs w:val="15"/>
                  </w:rPr>
                </w:pPr>
                <w:r>
                  <w:rPr>
                    <w:rFonts w:hint="eastAsia"/>
                    <w:sz w:val="15"/>
                    <w:szCs w:val="15"/>
                  </w:rPr>
                  <w:t>应收账款和合同资产期末余额</w:t>
                </w:r>
              </w:p>
            </w:tc>
          </w:sdtContent>
        </w:sdt>
        <w:sdt>
          <w:sdtPr>
            <w:rPr>
              <w:rFonts w:hint="eastAsia"/>
              <w:sz w:val="15"/>
              <w:szCs w:val="15"/>
            </w:rPr>
            <w:tag w:val="_PLD_8b734501e3a344dda6644cb9d228c237"/>
            <w:id w:val="868961131"/>
          </w:sdtPr>
          <w:sdtEndPr/>
          <w:sdtContent>
            <w:tc>
              <w:tcPr>
                <w:tcW w:w="409" w:type="pct"/>
                <w:vAlign w:val="center"/>
              </w:tcPr>
              <w:p w14:paraId="2B2B5D0C" w14:textId="77777777" w:rsidR="00E57DAA" w:rsidRDefault="00AC4185">
                <w:pPr>
                  <w:jc w:val="center"/>
                  <w:rPr>
                    <w:sz w:val="15"/>
                    <w:szCs w:val="15"/>
                  </w:rPr>
                </w:pPr>
                <w:r>
                  <w:rPr>
                    <w:rFonts w:hint="eastAsia"/>
                    <w:sz w:val="15"/>
                    <w:szCs w:val="15"/>
                  </w:rPr>
                  <w:t>占应收账款和合同资产期末余额合计数的比例（%）</w:t>
                </w:r>
              </w:p>
            </w:tc>
          </w:sdtContent>
        </w:sdt>
        <w:sdt>
          <w:sdtPr>
            <w:rPr>
              <w:rFonts w:hint="eastAsia"/>
              <w:sz w:val="15"/>
              <w:szCs w:val="15"/>
            </w:rPr>
            <w:tag w:val="_PLD_e198f1b6108c4fccacfc45ea46e8ff41"/>
            <w:id w:val="-1382394899"/>
          </w:sdtPr>
          <w:sdtEndPr/>
          <w:sdtContent>
            <w:tc>
              <w:tcPr>
                <w:tcW w:w="872" w:type="pct"/>
                <w:vAlign w:val="center"/>
              </w:tcPr>
              <w:p w14:paraId="399D59B2" w14:textId="77777777" w:rsidR="00E57DAA" w:rsidRDefault="00AC4185">
                <w:pPr>
                  <w:jc w:val="center"/>
                  <w:rPr>
                    <w:sz w:val="15"/>
                    <w:szCs w:val="15"/>
                  </w:rPr>
                </w:pPr>
                <w:r>
                  <w:rPr>
                    <w:rFonts w:hint="eastAsia"/>
                    <w:sz w:val="15"/>
                    <w:szCs w:val="15"/>
                  </w:rPr>
                  <w:t>坏账准备期末余额</w:t>
                </w:r>
              </w:p>
            </w:tc>
          </w:sdtContent>
        </w:sdt>
      </w:tr>
      <w:tr w:rsidR="00E57DAA" w14:paraId="05761B87" w14:textId="77777777">
        <w:trPr>
          <w:cantSplit/>
        </w:trPr>
        <w:tc>
          <w:tcPr>
            <w:tcW w:w="1231" w:type="pct"/>
          </w:tcPr>
          <w:p w14:paraId="22A5CC4C" w14:textId="77777777" w:rsidR="00E57DAA" w:rsidRDefault="00AC4185">
            <w:pPr>
              <w:ind w:right="105"/>
              <w:rPr>
                <w:sz w:val="15"/>
                <w:szCs w:val="15"/>
              </w:rPr>
            </w:pPr>
            <w:r>
              <w:rPr>
                <w:rFonts w:hint="eastAsia"/>
                <w:sz w:val="15"/>
                <w:szCs w:val="15"/>
              </w:rPr>
              <w:t>应收账款和合同资产第一名</w:t>
            </w:r>
          </w:p>
        </w:tc>
        <w:tc>
          <w:tcPr>
            <w:tcW w:w="857" w:type="pct"/>
          </w:tcPr>
          <w:p w14:paraId="4D9B5567" w14:textId="77777777" w:rsidR="00E57DAA" w:rsidRDefault="00AC4185">
            <w:pPr>
              <w:ind w:right="73"/>
              <w:jc w:val="right"/>
              <w:rPr>
                <w:sz w:val="15"/>
                <w:szCs w:val="15"/>
              </w:rPr>
            </w:pPr>
            <w:r>
              <w:rPr>
                <w:sz w:val="15"/>
                <w:szCs w:val="15"/>
              </w:rPr>
              <w:t>983,106.54</w:t>
            </w:r>
          </w:p>
        </w:tc>
        <w:tc>
          <w:tcPr>
            <w:tcW w:w="802" w:type="pct"/>
          </w:tcPr>
          <w:p w14:paraId="5B28296E" w14:textId="77777777" w:rsidR="00E57DAA" w:rsidRDefault="00AC4185">
            <w:pPr>
              <w:jc w:val="right"/>
              <w:rPr>
                <w:sz w:val="15"/>
                <w:szCs w:val="15"/>
              </w:rPr>
            </w:pPr>
            <w:r>
              <w:rPr>
                <w:sz w:val="15"/>
                <w:szCs w:val="15"/>
              </w:rPr>
              <w:t>660,873,786.14</w:t>
            </w:r>
          </w:p>
        </w:tc>
        <w:tc>
          <w:tcPr>
            <w:tcW w:w="830" w:type="pct"/>
          </w:tcPr>
          <w:p w14:paraId="2ECA5913" w14:textId="77777777" w:rsidR="00E57DAA" w:rsidRDefault="00AC4185">
            <w:pPr>
              <w:jc w:val="right"/>
              <w:rPr>
                <w:sz w:val="15"/>
                <w:szCs w:val="15"/>
              </w:rPr>
            </w:pPr>
            <w:r>
              <w:rPr>
                <w:sz w:val="15"/>
                <w:szCs w:val="15"/>
              </w:rPr>
              <w:t>661,856,892.68</w:t>
            </w:r>
          </w:p>
        </w:tc>
        <w:tc>
          <w:tcPr>
            <w:tcW w:w="409" w:type="pct"/>
          </w:tcPr>
          <w:p w14:paraId="23C7E7E6" w14:textId="77777777" w:rsidR="00E57DAA" w:rsidRDefault="00AC4185">
            <w:pPr>
              <w:jc w:val="right"/>
              <w:rPr>
                <w:sz w:val="15"/>
                <w:szCs w:val="15"/>
              </w:rPr>
            </w:pPr>
            <w:r>
              <w:rPr>
                <w:sz w:val="15"/>
                <w:szCs w:val="15"/>
              </w:rPr>
              <w:t>3.58</w:t>
            </w:r>
          </w:p>
        </w:tc>
        <w:tc>
          <w:tcPr>
            <w:tcW w:w="872" w:type="pct"/>
          </w:tcPr>
          <w:p w14:paraId="47182CA9" w14:textId="77777777" w:rsidR="00E57DAA" w:rsidRDefault="00AC4185">
            <w:pPr>
              <w:jc w:val="right"/>
              <w:rPr>
                <w:sz w:val="15"/>
                <w:szCs w:val="15"/>
              </w:rPr>
            </w:pPr>
            <w:r>
              <w:rPr>
                <w:sz w:val="15"/>
                <w:szCs w:val="15"/>
              </w:rPr>
              <w:t>15,924,859.63</w:t>
            </w:r>
          </w:p>
        </w:tc>
      </w:tr>
      <w:tr w:rsidR="00E57DAA" w14:paraId="5872C69A" w14:textId="77777777">
        <w:trPr>
          <w:cantSplit/>
        </w:trPr>
        <w:tc>
          <w:tcPr>
            <w:tcW w:w="1231" w:type="pct"/>
          </w:tcPr>
          <w:p w14:paraId="1F0AAC23" w14:textId="77777777" w:rsidR="00E57DAA" w:rsidRDefault="00AC4185">
            <w:pPr>
              <w:ind w:right="105"/>
              <w:rPr>
                <w:sz w:val="15"/>
                <w:szCs w:val="15"/>
              </w:rPr>
            </w:pPr>
            <w:r>
              <w:rPr>
                <w:rFonts w:hint="eastAsia"/>
                <w:sz w:val="15"/>
                <w:szCs w:val="15"/>
              </w:rPr>
              <w:t>应收账款和合同资产第二名</w:t>
            </w:r>
          </w:p>
        </w:tc>
        <w:tc>
          <w:tcPr>
            <w:tcW w:w="857" w:type="pct"/>
          </w:tcPr>
          <w:p w14:paraId="777A86FD" w14:textId="77777777" w:rsidR="00E57DAA" w:rsidRDefault="00AC4185">
            <w:pPr>
              <w:ind w:right="73"/>
              <w:jc w:val="right"/>
              <w:rPr>
                <w:sz w:val="15"/>
                <w:szCs w:val="15"/>
              </w:rPr>
            </w:pPr>
            <w:r>
              <w:rPr>
                <w:sz w:val="15"/>
                <w:szCs w:val="15"/>
              </w:rPr>
              <w:t>140,088,329.83</w:t>
            </w:r>
          </w:p>
        </w:tc>
        <w:tc>
          <w:tcPr>
            <w:tcW w:w="802" w:type="pct"/>
          </w:tcPr>
          <w:p w14:paraId="329994AB" w14:textId="77777777" w:rsidR="00E57DAA" w:rsidRDefault="00AC4185">
            <w:pPr>
              <w:jc w:val="right"/>
              <w:rPr>
                <w:sz w:val="15"/>
                <w:szCs w:val="15"/>
              </w:rPr>
            </w:pPr>
            <w:r>
              <w:rPr>
                <w:sz w:val="15"/>
                <w:szCs w:val="15"/>
              </w:rPr>
              <w:t>515,078,541.22</w:t>
            </w:r>
          </w:p>
        </w:tc>
        <w:tc>
          <w:tcPr>
            <w:tcW w:w="830" w:type="pct"/>
          </w:tcPr>
          <w:p w14:paraId="48E9283B" w14:textId="77777777" w:rsidR="00E57DAA" w:rsidRDefault="00AC4185">
            <w:pPr>
              <w:jc w:val="right"/>
              <w:rPr>
                <w:sz w:val="15"/>
                <w:szCs w:val="15"/>
              </w:rPr>
            </w:pPr>
            <w:r>
              <w:rPr>
                <w:sz w:val="15"/>
                <w:szCs w:val="15"/>
              </w:rPr>
              <w:t>655,166,871.05</w:t>
            </w:r>
          </w:p>
        </w:tc>
        <w:tc>
          <w:tcPr>
            <w:tcW w:w="409" w:type="pct"/>
          </w:tcPr>
          <w:p w14:paraId="33B93D8B" w14:textId="77777777" w:rsidR="00E57DAA" w:rsidRDefault="00AC4185">
            <w:pPr>
              <w:jc w:val="right"/>
              <w:rPr>
                <w:sz w:val="15"/>
                <w:szCs w:val="15"/>
              </w:rPr>
            </w:pPr>
            <w:r>
              <w:rPr>
                <w:sz w:val="15"/>
                <w:szCs w:val="15"/>
              </w:rPr>
              <w:t>3.54</w:t>
            </w:r>
          </w:p>
        </w:tc>
        <w:tc>
          <w:tcPr>
            <w:tcW w:w="872" w:type="pct"/>
          </w:tcPr>
          <w:p w14:paraId="647ADCBA" w14:textId="77777777" w:rsidR="00E57DAA" w:rsidRDefault="00AC4185">
            <w:pPr>
              <w:jc w:val="right"/>
              <w:rPr>
                <w:sz w:val="15"/>
                <w:szCs w:val="15"/>
              </w:rPr>
            </w:pPr>
            <w:r>
              <w:rPr>
                <w:sz w:val="15"/>
                <w:szCs w:val="15"/>
              </w:rPr>
              <w:t>28,657,302.70</w:t>
            </w:r>
          </w:p>
        </w:tc>
      </w:tr>
      <w:tr w:rsidR="00E57DAA" w14:paraId="660362F4" w14:textId="77777777">
        <w:trPr>
          <w:cantSplit/>
        </w:trPr>
        <w:tc>
          <w:tcPr>
            <w:tcW w:w="1231" w:type="pct"/>
          </w:tcPr>
          <w:p w14:paraId="4639E586" w14:textId="77777777" w:rsidR="00E57DAA" w:rsidRDefault="00AC4185">
            <w:pPr>
              <w:ind w:right="105"/>
              <w:rPr>
                <w:sz w:val="15"/>
                <w:szCs w:val="15"/>
              </w:rPr>
            </w:pPr>
            <w:r>
              <w:rPr>
                <w:rFonts w:hint="eastAsia"/>
                <w:sz w:val="15"/>
                <w:szCs w:val="15"/>
              </w:rPr>
              <w:t>应收账款和合同资产第三名</w:t>
            </w:r>
          </w:p>
        </w:tc>
        <w:tc>
          <w:tcPr>
            <w:tcW w:w="857" w:type="pct"/>
          </w:tcPr>
          <w:p w14:paraId="36272EE1" w14:textId="77777777" w:rsidR="00E57DAA" w:rsidRDefault="00AC4185">
            <w:pPr>
              <w:ind w:right="73"/>
              <w:jc w:val="right"/>
              <w:rPr>
                <w:sz w:val="15"/>
                <w:szCs w:val="15"/>
              </w:rPr>
            </w:pPr>
            <w:r>
              <w:rPr>
                <w:sz w:val="15"/>
                <w:szCs w:val="15"/>
              </w:rPr>
              <w:t>600,800,165.37</w:t>
            </w:r>
          </w:p>
        </w:tc>
        <w:tc>
          <w:tcPr>
            <w:tcW w:w="802" w:type="pct"/>
          </w:tcPr>
          <w:p w14:paraId="183E487B" w14:textId="77777777" w:rsidR="00E57DAA" w:rsidRDefault="00AC4185">
            <w:pPr>
              <w:jc w:val="right"/>
              <w:rPr>
                <w:sz w:val="15"/>
                <w:szCs w:val="15"/>
              </w:rPr>
            </w:pPr>
            <w:r>
              <w:rPr>
                <w:sz w:val="15"/>
                <w:szCs w:val="15"/>
              </w:rPr>
              <w:t>15,170,789.05</w:t>
            </w:r>
          </w:p>
        </w:tc>
        <w:tc>
          <w:tcPr>
            <w:tcW w:w="830" w:type="pct"/>
          </w:tcPr>
          <w:p w14:paraId="286F48E3" w14:textId="77777777" w:rsidR="00E57DAA" w:rsidRDefault="00AC4185">
            <w:pPr>
              <w:jc w:val="right"/>
              <w:rPr>
                <w:sz w:val="15"/>
                <w:szCs w:val="15"/>
              </w:rPr>
            </w:pPr>
            <w:r>
              <w:rPr>
                <w:sz w:val="15"/>
                <w:szCs w:val="15"/>
              </w:rPr>
              <w:t>615,970,954.42</w:t>
            </w:r>
          </w:p>
        </w:tc>
        <w:tc>
          <w:tcPr>
            <w:tcW w:w="409" w:type="pct"/>
          </w:tcPr>
          <w:p w14:paraId="504BFAC4" w14:textId="77777777" w:rsidR="00E57DAA" w:rsidRDefault="00AC4185">
            <w:pPr>
              <w:jc w:val="right"/>
              <w:rPr>
                <w:sz w:val="15"/>
                <w:szCs w:val="15"/>
              </w:rPr>
            </w:pPr>
            <w:r>
              <w:rPr>
                <w:sz w:val="15"/>
                <w:szCs w:val="15"/>
              </w:rPr>
              <w:t>3.33</w:t>
            </w:r>
          </w:p>
        </w:tc>
        <w:tc>
          <w:tcPr>
            <w:tcW w:w="872" w:type="pct"/>
          </w:tcPr>
          <w:p w14:paraId="0DE003ED" w14:textId="77777777" w:rsidR="00E57DAA" w:rsidRDefault="00AC4185">
            <w:pPr>
              <w:jc w:val="right"/>
              <w:rPr>
                <w:sz w:val="15"/>
                <w:szCs w:val="15"/>
              </w:rPr>
            </w:pPr>
            <w:r>
              <w:rPr>
                <w:sz w:val="15"/>
                <w:szCs w:val="15"/>
              </w:rPr>
              <w:t>14,598,511.62</w:t>
            </w:r>
          </w:p>
        </w:tc>
      </w:tr>
      <w:tr w:rsidR="00E57DAA" w14:paraId="529CB78C" w14:textId="77777777">
        <w:trPr>
          <w:cantSplit/>
        </w:trPr>
        <w:tc>
          <w:tcPr>
            <w:tcW w:w="1231" w:type="pct"/>
          </w:tcPr>
          <w:p w14:paraId="2AF80BE6" w14:textId="77777777" w:rsidR="00E57DAA" w:rsidRDefault="00AC4185">
            <w:pPr>
              <w:ind w:right="105"/>
              <w:rPr>
                <w:sz w:val="15"/>
                <w:szCs w:val="15"/>
              </w:rPr>
            </w:pPr>
            <w:r>
              <w:rPr>
                <w:rFonts w:hint="eastAsia"/>
                <w:sz w:val="15"/>
                <w:szCs w:val="15"/>
              </w:rPr>
              <w:t>应收账款和合同资产第四名</w:t>
            </w:r>
          </w:p>
        </w:tc>
        <w:tc>
          <w:tcPr>
            <w:tcW w:w="857" w:type="pct"/>
          </w:tcPr>
          <w:p w14:paraId="08ED478E" w14:textId="77777777" w:rsidR="00E57DAA" w:rsidRDefault="00AC4185">
            <w:pPr>
              <w:ind w:right="73"/>
              <w:jc w:val="right"/>
              <w:rPr>
                <w:sz w:val="15"/>
                <w:szCs w:val="15"/>
              </w:rPr>
            </w:pPr>
            <w:r>
              <w:rPr>
                <w:sz w:val="15"/>
                <w:szCs w:val="15"/>
              </w:rPr>
              <w:t>160,861,109.76</w:t>
            </w:r>
          </w:p>
        </w:tc>
        <w:tc>
          <w:tcPr>
            <w:tcW w:w="802" w:type="pct"/>
          </w:tcPr>
          <w:p w14:paraId="11DED3A0" w14:textId="77777777" w:rsidR="00E57DAA" w:rsidRDefault="00AC4185">
            <w:pPr>
              <w:jc w:val="right"/>
              <w:rPr>
                <w:sz w:val="15"/>
                <w:szCs w:val="15"/>
              </w:rPr>
            </w:pPr>
            <w:r>
              <w:rPr>
                <w:sz w:val="15"/>
                <w:szCs w:val="15"/>
              </w:rPr>
              <w:t>437,268,905.12</w:t>
            </w:r>
          </w:p>
        </w:tc>
        <w:tc>
          <w:tcPr>
            <w:tcW w:w="830" w:type="pct"/>
          </w:tcPr>
          <w:p w14:paraId="2C696E14" w14:textId="77777777" w:rsidR="00E57DAA" w:rsidRDefault="00AC4185">
            <w:pPr>
              <w:jc w:val="right"/>
              <w:rPr>
                <w:sz w:val="15"/>
                <w:szCs w:val="15"/>
              </w:rPr>
            </w:pPr>
            <w:r>
              <w:rPr>
                <w:sz w:val="15"/>
                <w:szCs w:val="15"/>
              </w:rPr>
              <w:t>598,130,014.88</w:t>
            </w:r>
          </w:p>
        </w:tc>
        <w:tc>
          <w:tcPr>
            <w:tcW w:w="409" w:type="pct"/>
          </w:tcPr>
          <w:p w14:paraId="63B0BDA5" w14:textId="77777777" w:rsidR="00E57DAA" w:rsidRDefault="00AC4185">
            <w:pPr>
              <w:jc w:val="right"/>
              <w:rPr>
                <w:sz w:val="15"/>
                <w:szCs w:val="15"/>
              </w:rPr>
            </w:pPr>
            <w:r>
              <w:rPr>
                <w:sz w:val="15"/>
                <w:szCs w:val="15"/>
              </w:rPr>
              <w:t>3.23</w:t>
            </w:r>
          </w:p>
        </w:tc>
        <w:tc>
          <w:tcPr>
            <w:tcW w:w="872" w:type="pct"/>
          </w:tcPr>
          <w:p w14:paraId="0E684E9E" w14:textId="77777777" w:rsidR="00E57DAA" w:rsidRDefault="00AC4185">
            <w:pPr>
              <w:jc w:val="right"/>
              <w:rPr>
                <w:sz w:val="15"/>
                <w:szCs w:val="15"/>
              </w:rPr>
            </w:pPr>
            <w:r>
              <w:rPr>
                <w:sz w:val="15"/>
                <w:szCs w:val="15"/>
              </w:rPr>
              <w:t>21,459,002.35</w:t>
            </w:r>
          </w:p>
        </w:tc>
      </w:tr>
      <w:tr w:rsidR="00E57DAA" w14:paraId="70C76216" w14:textId="77777777">
        <w:trPr>
          <w:cantSplit/>
        </w:trPr>
        <w:tc>
          <w:tcPr>
            <w:tcW w:w="1231" w:type="pct"/>
          </w:tcPr>
          <w:p w14:paraId="613A5FE2" w14:textId="77777777" w:rsidR="00E57DAA" w:rsidRDefault="00AC4185">
            <w:pPr>
              <w:ind w:right="105"/>
              <w:rPr>
                <w:sz w:val="15"/>
                <w:szCs w:val="15"/>
              </w:rPr>
            </w:pPr>
            <w:r>
              <w:rPr>
                <w:rFonts w:hint="eastAsia"/>
                <w:sz w:val="15"/>
                <w:szCs w:val="15"/>
              </w:rPr>
              <w:t>应收账款和合同资产第五名</w:t>
            </w:r>
          </w:p>
        </w:tc>
        <w:tc>
          <w:tcPr>
            <w:tcW w:w="857" w:type="pct"/>
            <w:vAlign w:val="center"/>
          </w:tcPr>
          <w:p w14:paraId="177D3BC5" w14:textId="77777777" w:rsidR="00E57DAA" w:rsidRDefault="00AC4185">
            <w:pPr>
              <w:ind w:right="73"/>
              <w:jc w:val="right"/>
              <w:rPr>
                <w:sz w:val="15"/>
                <w:szCs w:val="15"/>
              </w:rPr>
            </w:pPr>
            <w:r>
              <w:rPr>
                <w:sz w:val="15"/>
                <w:szCs w:val="15"/>
              </w:rPr>
              <w:t>2,790,782.00</w:t>
            </w:r>
          </w:p>
        </w:tc>
        <w:tc>
          <w:tcPr>
            <w:tcW w:w="802" w:type="pct"/>
            <w:vAlign w:val="center"/>
          </w:tcPr>
          <w:p w14:paraId="3A6A9FCD" w14:textId="77777777" w:rsidR="00E57DAA" w:rsidRDefault="00AC4185">
            <w:pPr>
              <w:jc w:val="right"/>
              <w:rPr>
                <w:sz w:val="15"/>
                <w:szCs w:val="15"/>
              </w:rPr>
            </w:pPr>
            <w:r>
              <w:rPr>
                <w:sz w:val="15"/>
                <w:szCs w:val="15"/>
              </w:rPr>
              <w:t>309,618,090.00</w:t>
            </w:r>
          </w:p>
        </w:tc>
        <w:tc>
          <w:tcPr>
            <w:tcW w:w="830" w:type="pct"/>
            <w:vAlign w:val="center"/>
          </w:tcPr>
          <w:p w14:paraId="27814DE5" w14:textId="77777777" w:rsidR="00E57DAA" w:rsidRDefault="00AC4185">
            <w:pPr>
              <w:jc w:val="right"/>
              <w:rPr>
                <w:sz w:val="15"/>
                <w:szCs w:val="15"/>
              </w:rPr>
            </w:pPr>
            <w:r>
              <w:rPr>
                <w:sz w:val="15"/>
                <w:szCs w:val="15"/>
              </w:rPr>
              <w:t>312,408,872.00</w:t>
            </w:r>
          </w:p>
        </w:tc>
        <w:tc>
          <w:tcPr>
            <w:tcW w:w="409" w:type="pct"/>
            <w:vAlign w:val="center"/>
          </w:tcPr>
          <w:p w14:paraId="26961C8A" w14:textId="77777777" w:rsidR="00E57DAA" w:rsidRDefault="00AC4185">
            <w:pPr>
              <w:jc w:val="right"/>
              <w:rPr>
                <w:sz w:val="15"/>
                <w:szCs w:val="15"/>
              </w:rPr>
            </w:pPr>
            <w:r>
              <w:rPr>
                <w:sz w:val="15"/>
                <w:szCs w:val="15"/>
              </w:rPr>
              <w:t>1.69</w:t>
            </w:r>
          </w:p>
        </w:tc>
        <w:tc>
          <w:tcPr>
            <w:tcW w:w="872" w:type="pct"/>
            <w:vAlign w:val="center"/>
          </w:tcPr>
          <w:p w14:paraId="67D1A582" w14:textId="77777777" w:rsidR="00E57DAA" w:rsidRDefault="00AC4185">
            <w:pPr>
              <w:jc w:val="right"/>
              <w:rPr>
                <w:sz w:val="15"/>
                <w:szCs w:val="15"/>
              </w:rPr>
            </w:pPr>
            <w:r>
              <w:rPr>
                <w:sz w:val="15"/>
                <w:szCs w:val="15"/>
              </w:rPr>
              <w:t>7,404,090.27</w:t>
            </w:r>
          </w:p>
        </w:tc>
      </w:tr>
      <w:tr w:rsidR="00E57DAA" w14:paraId="034ECD0C" w14:textId="77777777">
        <w:trPr>
          <w:cantSplit/>
        </w:trPr>
        <w:tc>
          <w:tcPr>
            <w:tcW w:w="1231" w:type="pct"/>
          </w:tcPr>
          <w:p w14:paraId="2C0ADB7B" w14:textId="77777777" w:rsidR="00E57DAA" w:rsidRDefault="00AC4185">
            <w:pPr>
              <w:ind w:right="105"/>
              <w:jc w:val="center"/>
              <w:rPr>
                <w:sz w:val="15"/>
                <w:szCs w:val="15"/>
              </w:rPr>
            </w:pPr>
            <w:r>
              <w:rPr>
                <w:rFonts w:hint="eastAsia"/>
                <w:sz w:val="15"/>
                <w:szCs w:val="15"/>
              </w:rPr>
              <w:t>合计</w:t>
            </w:r>
          </w:p>
        </w:tc>
        <w:tc>
          <w:tcPr>
            <w:tcW w:w="857" w:type="pct"/>
            <w:vAlign w:val="center"/>
          </w:tcPr>
          <w:p w14:paraId="3792D055" w14:textId="77777777" w:rsidR="00E57DAA" w:rsidRDefault="00AC4185">
            <w:pPr>
              <w:ind w:right="73"/>
              <w:jc w:val="right"/>
              <w:rPr>
                <w:sz w:val="15"/>
                <w:szCs w:val="15"/>
              </w:rPr>
            </w:pPr>
            <w:r>
              <w:rPr>
                <w:sz w:val="15"/>
                <w:szCs w:val="15"/>
              </w:rPr>
              <w:t>905,523,493.50</w:t>
            </w:r>
          </w:p>
        </w:tc>
        <w:tc>
          <w:tcPr>
            <w:tcW w:w="802" w:type="pct"/>
            <w:vAlign w:val="center"/>
          </w:tcPr>
          <w:p w14:paraId="164F0DC5" w14:textId="77777777" w:rsidR="00E57DAA" w:rsidRDefault="00AC4185">
            <w:pPr>
              <w:jc w:val="right"/>
              <w:rPr>
                <w:sz w:val="15"/>
                <w:szCs w:val="15"/>
              </w:rPr>
            </w:pPr>
            <w:r>
              <w:rPr>
                <w:sz w:val="15"/>
                <w:szCs w:val="15"/>
              </w:rPr>
              <w:t>1,938,010,111.53</w:t>
            </w:r>
          </w:p>
        </w:tc>
        <w:tc>
          <w:tcPr>
            <w:tcW w:w="830" w:type="pct"/>
            <w:vAlign w:val="center"/>
          </w:tcPr>
          <w:p w14:paraId="71CFFD94" w14:textId="77777777" w:rsidR="00E57DAA" w:rsidRDefault="00AC4185">
            <w:pPr>
              <w:jc w:val="right"/>
              <w:rPr>
                <w:sz w:val="15"/>
                <w:szCs w:val="15"/>
              </w:rPr>
            </w:pPr>
            <w:r>
              <w:rPr>
                <w:sz w:val="15"/>
                <w:szCs w:val="15"/>
              </w:rPr>
              <w:t>2,843,533,605.03</w:t>
            </w:r>
          </w:p>
        </w:tc>
        <w:tc>
          <w:tcPr>
            <w:tcW w:w="409" w:type="pct"/>
            <w:vAlign w:val="center"/>
          </w:tcPr>
          <w:p w14:paraId="53400DC0" w14:textId="77777777" w:rsidR="00E57DAA" w:rsidRDefault="00AC4185">
            <w:pPr>
              <w:jc w:val="right"/>
              <w:rPr>
                <w:sz w:val="15"/>
                <w:szCs w:val="15"/>
              </w:rPr>
            </w:pPr>
            <w:r>
              <w:rPr>
                <w:sz w:val="15"/>
                <w:szCs w:val="15"/>
              </w:rPr>
              <w:t>15.37</w:t>
            </w:r>
          </w:p>
        </w:tc>
        <w:tc>
          <w:tcPr>
            <w:tcW w:w="872" w:type="pct"/>
            <w:vAlign w:val="center"/>
          </w:tcPr>
          <w:p w14:paraId="5B5C69AC" w14:textId="77777777" w:rsidR="00E57DAA" w:rsidRDefault="00AC4185">
            <w:pPr>
              <w:jc w:val="right"/>
              <w:rPr>
                <w:sz w:val="15"/>
                <w:szCs w:val="15"/>
              </w:rPr>
            </w:pPr>
            <w:r>
              <w:rPr>
                <w:sz w:val="15"/>
                <w:szCs w:val="15"/>
              </w:rPr>
              <w:t>88,043,766.57</w:t>
            </w:r>
          </w:p>
        </w:tc>
      </w:tr>
    </w:tbl>
    <w:p w14:paraId="011CE582" w14:textId="77777777" w:rsidR="00E57DAA" w:rsidRDefault="00E57DAA" w:rsidP="00C25422">
      <w:pPr>
        <w:pStyle w:val="92"/>
      </w:pPr>
    </w:p>
    <w:p w14:paraId="4C9D5CC8" w14:textId="77777777" w:rsidR="00E57DAA" w:rsidRDefault="00E57DAA">
      <w:pPr>
        <w:snapToGrid w:val="0"/>
        <w:spacing w:line="240" w:lineRule="atLeast"/>
        <w:rPr>
          <w:szCs w:val="21"/>
        </w:rPr>
      </w:pPr>
    </w:p>
    <w:p w14:paraId="4BFD4A1A" w14:textId="77777777" w:rsidR="00E57DAA" w:rsidRDefault="00E57DAA">
      <w:pPr>
        <w:snapToGrid w:val="0"/>
        <w:spacing w:line="240" w:lineRule="atLeast"/>
        <w:rPr>
          <w:szCs w:val="21"/>
        </w:rPr>
      </w:pPr>
    </w:p>
    <w:p w14:paraId="4F10B24B" w14:textId="77777777" w:rsidR="00E57DAA" w:rsidRDefault="00AC4185">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217120431"/>
        <w:placeholder>
          <w:docPart w:val="GBC22222222222222222222222222222"/>
        </w:placeholder>
      </w:sdtPr>
      <w:sdtEndPr/>
      <w:sdtContent>
        <w:p w14:paraId="4E94C1D5" w14:textId="77777777" w:rsidR="00E57DAA" w:rsidRDefault="00AC4185">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libri" w:hAnsi="Calibri" w:cs="Times New Roman"/>
          <w:kern w:val="2"/>
          <w:sz w:val="20"/>
          <w:szCs w:val="22"/>
        </w:rPr>
        <w:alias w:val="应收账款其他说明"/>
        <w:tag w:val="_GBC_010aa68301904a879e2a08b736818965"/>
        <w:id w:val="-665550981"/>
      </w:sdtPr>
      <w:sdtEndPr/>
      <w:sdtContent>
        <w:p w14:paraId="3BDCF95F" w14:textId="77777777" w:rsidR="00E57DAA" w:rsidRDefault="00AC4185">
          <w:pPr>
            <w:ind w:left="400"/>
          </w:pPr>
          <w:r>
            <w:t>因金融资产转移而终止确认的应收账款</w:t>
          </w:r>
        </w:p>
        <w:p w14:paraId="2757880E" w14:textId="77777777" w:rsidR="00E57DAA" w:rsidRDefault="00AC4185">
          <w:pPr>
            <w:ind w:left="400"/>
            <w:jc w:val="right"/>
          </w:pPr>
          <w:r>
            <w:rPr>
              <w:rFonts w:hint="eastAsia"/>
            </w:rPr>
            <w:t>单位：元</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2835"/>
            <w:gridCol w:w="1919"/>
            <w:gridCol w:w="2040"/>
            <w:gridCol w:w="2039"/>
          </w:tblGrid>
          <w:tr w:rsidR="00E57DAA" w14:paraId="4BE02178" w14:textId="77777777">
            <w:trPr>
              <w:trHeight w:val="340"/>
              <w:tblHeader/>
            </w:trPr>
            <w:tc>
              <w:tcPr>
                <w:tcW w:w="1605" w:type="pct"/>
                <w:vAlign w:val="center"/>
              </w:tcPr>
              <w:p w14:paraId="640B530E" w14:textId="77777777" w:rsidR="00E57DAA" w:rsidRDefault="00AC4185">
                <w:pPr>
                  <w:ind w:left="400"/>
                  <w:jc w:val="center"/>
                  <w:rPr>
                    <w:rFonts w:ascii="Calibri" w:hAnsi="Calibri" w:cs="Times New Roman"/>
                    <w:kern w:val="2"/>
                    <w:sz w:val="20"/>
                    <w:szCs w:val="21"/>
                  </w:rPr>
                </w:pPr>
                <w:r>
                  <w:rPr>
                    <w:rFonts w:ascii="Calibri" w:hAnsi="Calibri" w:cs="Times New Roman"/>
                    <w:kern w:val="2"/>
                    <w:sz w:val="20"/>
                    <w:szCs w:val="21"/>
                  </w:rPr>
                  <w:t>项目</w:t>
                </w:r>
              </w:p>
            </w:tc>
            <w:tc>
              <w:tcPr>
                <w:tcW w:w="1086" w:type="pct"/>
                <w:vAlign w:val="center"/>
              </w:tcPr>
              <w:p w14:paraId="217E355A" w14:textId="77777777" w:rsidR="00E57DAA" w:rsidRDefault="00AC4185">
                <w:pPr>
                  <w:jc w:val="center"/>
                  <w:rPr>
                    <w:rFonts w:ascii="Calibri" w:hAnsi="Calibri" w:cs="Times New Roman"/>
                    <w:kern w:val="2"/>
                    <w:sz w:val="20"/>
                    <w:szCs w:val="21"/>
                  </w:rPr>
                </w:pPr>
                <w:r>
                  <w:rPr>
                    <w:rFonts w:ascii="Calibri" w:hAnsi="Calibri" w:cs="Times New Roman"/>
                    <w:kern w:val="2"/>
                    <w:sz w:val="20"/>
                    <w:szCs w:val="21"/>
                  </w:rPr>
                  <w:t>金融资产</w:t>
                </w:r>
              </w:p>
              <w:p w14:paraId="01D17B71" w14:textId="77777777" w:rsidR="00E57DAA" w:rsidRDefault="00AC4185">
                <w:pPr>
                  <w:jc w:val="center"/>
                  <w:rPr>
                    <w:rFonts w:ascii="Calibri" w:hAnsi="Calibri" w:cs="Times New Roman"/>
                    <w:kern w:val="2"/>
                    <w:sz w:val="20"/>
                    <w:szCs w:val="21"/>
                  </w:rPr>
                </w:pPr>
                <w:r>
                  <w:rPr>
                    <w:rFonts w:ascii="Calibri" w:hAnsi="Calibri" w:cs="Times New Roman"/>
                    <w:kern w:val="2"/>
                    <w:sz w:val="20"/>
                    <w:szCs w:val="21"/>
                  </w:rPr>
                  <w:t>转移的方式</w:t>
                </w:r>
              </w:p>
            </w:tc>
            <w:tc>
              <w:tcPr>
                <w:tcW w:w="1155" w:type="pct"/>
                <w:vAlign w:val="center"/>
              </w:tcPr>
              <w:p w14:paraId="5C7944F0" w14:textId="77777777" w:rsidR="00E57DAA" w:rsidRDefault="00AC4185">
                <w:pPr>
                  <w:ind w:left="400"/>
                  <w:jc w:val="center"/>
                  <w:rPr>
                    <w:rFonts w:ascii="Calibri" w:hAnsi="Calibri" w:cs="Times New Roman"/>
                    <w:kern w:val="2"/>
                    <w:sz w:val="20"/>
                    <w:szCs w:val="21"/>
                  </w:rPr>
                </w:pPr>
                <w:r>
                  <w:rPr>
                    <w:rFonts w:ascii="Calibri" w:hAnsi="Calibri" w:cs="Times New Roman" w:hint="eastAsia"/>
                    <w:kern w:val="2"/>
                    <w:sz w:val="20"/>
                    <w:szCs w:val="21"/>
                  </w:rPr>
                  <w:t>本期</w:t>
                </w:r>
                <w:r>
                  <w:rPr>
                    <w:rFonts w:ascii="Calibri" w:hAnsi="Calibri" w:cs="Times New Roman"/>
                    <w:kern w:val="2"/>
                    <w:sz w:val="20"/>
                    <w:szCs w:val="21"/>
                  </w:rPr>
                  <w:t>终止</w:t>
                </w:r>
              </w:p>
              <w:p w14:paraId="33568F72" w14:textId="77777777" w:rsidR="00E57DAA" w:rsidRDefault="00AC4185">
                <w:pPr>
                  <w:ind w:left="400"/>
                  <w:jc w:val="center"/>
                  <w:rPr>
                    <w:rFonts w:ascii="Calibri" w:hAnsi="Calibri" w:cs="Times New Roman"/>
                    <w:kern w:val="2"/>
                    <w:sz w:val="20"/>
                    <w:szCs w:val="21"/>
                  </w:rPr>
                </w:pPr>
                <w:r>
                  <w:rPr>
                    <w:rFonts w:ascii="Calibri" w:hAnsi="Calibri" w:cs="Times New Roman"/>
                    <w:kern w:val="2"/>
                    <w:sz w:val="20"/>
                    <w:szCs w:val="21"/>
                  </w:rPr>
                  <w:t>确认金额</w:t>
                </w:r>
              </w:p>
            </w:tc>
            <w:tc>
              <w:tcPr>
                <w:tcW w:w="1155" w:type="pct"/>
                <w:vAlign w:val="center"/>
              </w:tcPr>
              <w:p w14:paraId="1AC9D43E" w14:textId="77777777" w:rsidR="00E57DAA" w:rsidRDefault="00AC4185">
                <w:pPr>
                  <w:ind w:left="400"/>
                  <w:jc w:val="center"/>
                  <w:rPr>
                    <w:rFonts w:ascii="Calibri" w:hAnsi="Calibri" w:cs="Times New Roman"/>
                    <w:kern w:val="2"/>
                    <w:sz w:val="20"/>
                    <w:szCs w:val="21"/>
                  </w:rPr>
                </w:pPr>
                <w:r>
                  <w:rPr>
                    <w:rFonts w:ascii="Calibri" w:hAnsi="Calibri" w:cs="Times New Roman"/>
                    <w:kern w:val="2"/>
                    <w:sz w:val="20"/>
                    <w:szCs w:val="21"/>
                  </w:rPr>
                  <w:t>与终止确认相关的利得或损失</w:t>
                </w:r>
              </w:p>
            </w:tc>
          </w:tr>
          <w:tr w:rsidR="00E57DAA" w14:paraId="2F41FD9A" w14:textId="77777777">
            <w:trPr>
              <w:trHeight w:val="340"/>
            </w:trPr>
            <w:tc>
              <w:tcPr>
                <w:tcW w:w="1605" w:type="pct"/>
                <w:vAlign w:val="center"/>
              </w:tcPr>
              <w:p w14:paraId="7070D55A" w14:textId="77777777" w:rsidR="00E57DAA" w:rsidRDefault="00AC4185">
                <w:pPr>
                  <w:rPr>
                    <w:rFonts w:ascii="Calibri" w:hAnsi="Calibri" w:cs="Times New Roman"/>
                    <w:kern w:val="2"/>
                    <w:sz w:val="20"/>
                    <w:szCs w:val="21"/>
                  </w:rPr>
                </w:pPr>
                <w:r>
                  <w:rPr>
                    <w:rFonts w:ascii="Calibri" w:hAnsi="Calibri" w:cs="Times New Roman"/>
                    <w:kern w:val="2"/>
                    <w:sz w:val="20"/>
                    <w:szCs w:val="21"/>
                  </w:rPr>
                  <w:t>合肥南方水泥有限公司</w:t>
                </w:r>
              </w:p>
            </w:tc>
            <w:tc>
              <w:tcPr>
                <w:tcW w:w="1086" w:type="pct"/>
                <w:vAlign w:val="center"/>
              </w:tcPr>
              <w:p w14:paraId="33B5D8F4" w14:textId="77777777" w:rsidR="00E57DAA" w:rsidRDefault="00AC4185">
                <w:pPr>
                  <w:ind w:left="400"/>
                  <w:rPr>
                    <w:rFonts w:ascii="Calibri" w:hAnsi="Calibri" w:cs="Times New Roman"/>
                    <w:kern w:val="2"/>
                    <w:sz w:val="20"/>
                    <w:szCs w:val="21"/>
                  </w:rPr>
                </w:pPr>
                <w:r>
                  <w:rPr>
                    <w:rFonts w:ascii="Calibri" w:hAnsi="Calibri" w:cs="Times New Roman"/>
                    <w:kern w:val="2"/>
                    <w:sz w:val="20"/>
                    <w:szCs w:val="21"/>
                  </w:rPr>
                  <w:t>应收账款保理</w:t>
                </w:r>
              </w:p>
            </w:tc>
            <w:tc>
              <w:tcPr>
                <w:tcW w:w="1155" w:type="pct"/>
                <w:vAlign w:val="center"/>
              </w:tcPr>
              <w:p w14:paraId="6250DAD6" w14:textId="77777777" w:rsidR="00E57DAA" w:rsidRDefault="00AC4185">
                <w:pPr>
                  <w:ind w:left="400"/>
                  <w:jc w:val="right"/>
                  <w:rPr>
                    <w:rFonts w:cs="Times New Roman"/>
                    <w:kern w:val="2"/>
                    <w:sz w:val="20"/>
                    <w:szCs w:val="21"/>
                  </w:rPr>
                </w:pPr>
                <w:r>
                  <w:rPr>
                    <w:rFonts w:cs="Times New Roman"/>
                    <w:kern w:val="2"/>
                    <w:sz w:val="20"/>
                    <w:szCs w:val="21"/>
                  </w:rPr>
                  <w:t xml:space="preserve">232,000,000.00 </w:t>
                </w:r>
              </w:p>
            </w:tc>
            <w:tc>
              <w:tcPr>
                <w:tcW w:w="1155" w:type="pct"/>
                <w:vAlign w:val="center"/>
              </w:tcPr>
              <w:p w14:paraId="52E8278C" w14:textId="77777777" w:rsidR="00E57DAA" w:rsidRDefault="00AC4185">
                <w:pPr>
                  <w:ind w:left="400"/>
                  <w:jc w:val="right"/>
                  <w:rPr>
                    <w:rFonts w:cs="Times New Roman"/>
                    <w:kern w:val="2"/>
                    <w:sz w:val="20"/>
                    <w:szCs w:val="21"/>
                  </w:rPr>
                </w:pPr>
                <w:r>
                  <w:rPr>
                    <w:rFonts w:cs="Times New Roman"/>
                    <w:kern w:val="2"/>
                    <w:sz w:val="20"/>
                    <w:szCs w:val="21"/>
                  </w:rPr>
                  <w:t xml:space="preserve">-6,180,222.22 </w:t>
                </w:r>
              </w:p>
            </w:tc>
          </w:tr>
          <w:tr w:rsidR="00E57DAA" w14:paraId="68B7D056" w14:textId="77777777">
            <w:trPr>
              <w:trHeight w:val="340"/>
            </w:trPr>
            <w:tc>
              <w:tcPr>
                <w:tcW w:w="1605" w:type="pct"/>
                <w:vAlign w:val="center"/>
              </w:tcPr>
              <w:p w14:paraId="11AACB53" w14:textId="77777777" w:rsidR="00E57DAA" w:rsidRDefault="00AC4185">
                <w:pPr>
                  <w:rPr>
                    <w:rFonts w:ascii="Calibri" w:hAnsi="Calibri" w:cs="Times New Roman"/>
                    <w:kern w:val="2"/>
                    <w:sz w:val="20"/>
                    <w:szCs w:val="21"/>
                  </w:rPr>
                </w:pPr>
                <w:r>
                  <w:rPr>
                    <w:rFonts w:ascii="Calibri" w:hAnsi="Calibri" w:cs="Times New Roman"/>
                    <w:kern w:val="2"/>
                    <w:sz w:val="20"/>
                    <w:szCs w:val="21"/>
                  </w:rPr>
                  <w:t>杭州山亚南方水泥有限公司</w:t>
                </w:r>
              </w:p>
            </w:tc>
            <w:tc>
              <w:tcPr>
                <w:tcW w:w="1086" w:type="pct"/>
                <w:vAlign w:val="center"/>
              </w:tcPr>
              <w:p w14:paraId="6046E27A" w14:textId="77777777" w:rsidR="00E57DAA" w:rsidRDefault="00AC4185">
                <w:pPr>
                  <w:ind w:left="400"/>
                  <w:rPr>
                    <w:rFonts w:ascii="Calibri" w:hAnsi="Calibri" w:cs="Times New Roman"/>
                    <w:kern w:val="2"/>
                    <w:sz w:val="20"/>
                    <w:szCs w:val="21"/>
                  </w:rPr>
                </w:pPr>
                <w:r>
                  <w:rPr>
                    <w:rFonts w:ascii="Calibri" w:hAnsi="Calibri" w:cs="Times New Roman"/>
                    <w:kern w:val="2"/>
                    <w:sz w:val="20"/>
                    <w:szCs w:val="21"/>
                  </w:rPr>
                  <w:t>应收账款保理</w:t>
                </w:r>
              </w:p>
            </w:tc>
            <w:tc>
              <w:tcPr>
                <w:tcW w:w="1155" w:type="pct"/>
                <w:vAlign w:val="center"/>
              </w:tcPr>
              <w:p w14:paraId="1A6B4C6C" w14:textId="77777777" w:rsidR="00E57DAA" w:rsidRDefault="00AC4185">
                <w:pPr>
                  <w:ind w:left="400"/>
                  <w:jc w:val="right"/>
                  <w:rPr>
                    <w:rFonts w:cs="Times New Roman"/>
                    <w:kern w:val="2"/>
                    <w:sz w:val="20"/>
                    <w:szCs w:val="21"/>
                  </w:rPr>
                </w:pPr>
                <w:r>
                  <w:rPr>
                    <w:rFonts w:cs="Times New Roman"/>
                    <w:kern w:val="2"/>
                    <w:sz w:val="20"/>
                    <w:szCs w:val="21"/>
                  </w:rPr>
                  <w:t xml:space="preserve">78,000,000.00 </w:t>
                </w:r>
              </w:p>
            </w:tc>
            <w:tc>
              <w:tcPr>
                <w:tcW w:w="1155" w:type="pct"/>
                <w:vAlign w:val="center"/>
              </w:tcPr>
              <w:p w14:paraId="215F8681" w14:textId="77777777" w:rsidR="00E57DAA" w:rsidRDefault="00AC4185">
                <w:pPr>
                  <w:ind w:left="400"/>
                  <w:jc w:val="right"/>
                  <w:rPr>
                    <w:rFonts w:cs="Times New Roman"/>
                    <w:kern w:val="2"/>
                    <w:sz w:val="20"/>
                    <w:szCs w:val="21"/>
                  </w:rPr>
                </w:pPr>
                <w:r>
                  <w:rPr>
                    <w:rFonts w:cs="Times New Roman"/>
                    <w:kern w:val="2"/>
                    <w:sz w:val="20"/>
                    <w:szCs w:val="21"/>
                  </w:rPr>
                  <w:t xml:space="preserve">-2,458,300.00 </w:t>
                </w:r>
              </w:p>
            </w:tc>
          </w:tr>
          <w:tr w:rsidR="00E57DAA" w14:paraId="62165815" w14:textId="77777777">
            <w:trPr>
              <w:trHeight w:val="340"/>
            </w:trPr>
            <w:tc>
              <w:tcPr>
                <w:tcW w:w="1605" w:type="pct"/>
                <w:vAlign w:val="center"/>
              </w:tcPr>
              <w:p w14:paraId="6EC06C66" w14:textId="77777777" w:rsidR="00E57DAA" w:rsidRDefault="00AC4185">
                <w:pPr>
                  <w:rPr>
                    <w:rFonts w:ascii="Calibri" w:hAnsi="Calibri" w:cs="Times New Roman"/>
                    <w:kern w:val="2"/>
                    <w:sz w:val="20"/>
                    <w:szCs w:val="21"/>
                  </w:rPr>
                </w:pPr>
                <w:r>
                  <w:rPr>
                    <w:rFonts w:ascii="Calibri" w:hAnsi="Calibri" w:cs="Times New Roman"/>
                    <w:kern w:val="2"/>
                    <w:sz w:val="20"/>
                    <w:szCs w:val="21"/>
                  </w:rPr>
                  <w:t>常山南方水泥有限公司</w:t>
                </w:r>
              </w:p>
            </w:tc>
            <w:tc>
              <w:tcPr>
                <w:tcW w:w="1086" w:type="pct"/>
                <w:vAlign w:val="center"/>
              </w:tcPr>
              <w:p w14:paraId="670B7A3E" w14:textId="77777777" w:rsidR="00E57DAA" w:rsidRDefault="00AC4185">
                <w:pPr>
                  <w:ind w:left="400"/>
                  <w:rPr>
                    <w:rFonts w:ascii="Calibri" w:hAnsi="Calibri" w:cs="Times New Roman"/>
                    <w:kern w:val="2"/>
                    <w:sz w:val="20"/>
                    <w:szCs w:val="21"/>
                  </w:rPr>
                </w:pPr>
                <w:r>
                  <w:rPr>
                    <w:rFonts w:ascii="Calibri" w:hAnsi="Calibri" w:cs="Times New Roman"/>
                    <w:kern w:val="2"/>
                    <w:sz w:val="20"/>
                    <w:szCs w:val="21"/>
                  </w:rPr>
                  <w:t>应收账款保理</w:t>
                </w:r>
              </w:p>
            </w:tc>
            <w:tc>
              <w:tcPr>
                <w:tcW w:w="1155" w:type="pct"/>
                <w:vAlign w:val="center"/>
              </w:tcPr>
              <w:p w14:paraId="3E5D79A9" w14:textId="77777777" w:rsidR="00E57DAA" w:rsidRDefault="00AC4185">
                <w:pPr>
                  <w:ind w:left="400"/>
                  <w:jc w:val="right"/>
                  <w:rPr>
                    <w:rFonts w:cs="Times New Roman"/>
                    <w:kern w:val="2"/>
                    <w:sz w:val="20"/>
                    <w:szCs w:val="21"/>
                  </w:rPr>
                </w:pPr>
                <w:r>
                  <w:rPr>
                    <w:rFonts w:cs="Times New Roman"/>
                    <w:kern w:val="2"/>
                    <w:sz w:val="20"/>
                    <w:szCs w:val="21"/>
                  </w:rPr>
                  <w:t xml:space="preserve">22,000,000.00 </w:t>
                </w:r>
              </w:p>
            </w:tc>
            <w:tc>
              <w:tcPr>
                <w:tcW w:w="1155" w:type="pct"/>
                <w:vAlign w:val="center"/>
              </w:tcPr>
              <w:p w14:paraId="231119C5" w14:textId="77777777" w:rsidR="00E57DAA" w:rsidRDefault="00AC4185">
                <w:pPr>
                  <w:ind w:left="400"/>
                  <w:jc w:val="right"/>
                  <w:rPr>
                    <w:rFonts w:cs="Times New Roman"/>
                    <w:kern w:val="2"/>
                    <w:sz w:val="20"/>
                    <w:szCs w:val="21"/>
                  </w:rPr>
                </w:pPr>
                <w:r>
                  <w:rPr>
                    <w:rFonts w:cs="Times New Roman"/>
                    <w:kern w:val="2"/>
                    <w:sz w:val="20"/>
                    <w:szCs w:val="21"/>
                  </w:rPr>
                  <w:t xml:space="preserve">-693,366.67 </w:t>
                </w:r>
              </w:p>
            </w:tc>
          </w:tr>
          <w:tr w:rsidR="00E57DAA" w14:paraId="49590E64" w14:textId="77777777">
            <w:trPr>
              <w:trHeight w:val="340"/>
            </w:trPr>
            <w:tc>
              <w:tcPr>
                <w:tcW w:w="1605" w:type="pct"/>
                <w:vAlign w:val="center"/>
              </w:tcPr>
              <w:p w14:paraId="0E3DFC57" w14:textId="77777777" w:rsidR="00E57DAA" w:rsidRDefault="00AC4185">
                <w:pPr>
                  <w:ind w:left="400"/>
                  <w:rPr>
                    <w:rFonts w:ascii="Calibri" w:hAnsi="Calibri" w:cs="Times New Roman"/>
                    <w:kern w:val="2"/>
                    <w:sz w:val="20"/>
                    <w:szCs w:val="21"/>
                  </w:rPr>
                </w:pPr>
                <w:r>
                  <w:rPr>
                    <w:rFonts w:ascii="Calibri" w:hAnsi="Calibri" w:cs="Times New Roman"/>
                    <w:kern w:val="2"/>
                    <w:sz w:val="20"/>
                    <w:szCs w:val="21"/>
                  </w:rPr>
                  <w:t>合计</w:t>
                </w:r>
              </w:p>
            </w:tc>
            <w:tc>
              <w:tcPr>
                <w:tcW w:w="1086" w:type="pct"/>
                <w:vAlign w:val="center"/>
              </w:tcPr>
              <w:p w14:paraId="7B065FDB" w14:textId="77777777" w:rsidR="00E57DAA" w:rsidRDefault="00AC4185">
                <w:pPr>
                  <w:ind w:left="400"/>
                  <w:jc w:val="right"/>
                  <w:rPr>
                    <w:rFonts w:ascii="Calibri" w:hAnsi="Calibri" w:cs="Times New Roman"/>
                    <w:kern w:val="2"/>
                    <w:sz w:val="20"/>
                    <w:szCs w:val="21"/>
                  </w:rPr>
                </w:pPr>
                <w:r>
                  <w:rPr>
                    <w:rFonts w:ascii="Calibri" w:hAnsi="Calibri" w:cs="Times New Roman" w:hint="eastAsia"/>
                    <w:kern w:val="2"/>
                    <w:sz w:val="20"/>
                    <w:szCs w:val="21"/>
                  </w:rPr>
                  <w:t>——</w:t>
                </w:r>
              </w:p>
            </w:tc>
            <w:tc>
              <w:tcPr>
                <w:tcW w:w="1155" w:type="pct"/>
                <w:vAlign w:val="center"/>
              </w:tcPr>
              <w:p w14:paraId="3E9854FC" w14:textId="77777777" w:rsidR="00E57DAA" w:rsidRDefault="00AC4185">
                <w:pPr>
                  <w:ind w:left="400"/>
                  <w:jc w:val="right"/>
                  <w:rPr>
                    <w:rFonts w:cs="Times New Roman"/>
                    <w:kern w:val="2"/>
                    <w:sz w:val="20"/>
                    <w:szCs w:val="21"/>
                  </w:rPr>
                </w:pPr>
                <w:r>
                  <w:rPr>
                    <w:rFonts w:cs="Times New Roman"/>
                    <w:kern w:val="2"/>
                    <w:sz w:val="20"/>
                    <w:szCs w:val="21"/>
                  </w:rPr>
                  <w:t>332,000,000.00</w:t>
                </w:r>
              </w:p>
            </w:tc>
            <w:tc>
              <w:tcPr>
                <w:tcW w:w="1155" w:type="pct"/>
                <w:vAlign w:val="center"/>
              </w:tcPr>
              <w:p w14:paraId="75012E45" w14:textId="77777777" w:rsidR="00E57DAA" w:rsidRDefault="00AC4185">
                <w:pPr>
                  <w:ind w:left="400"/>
                  <w:jc w:val="right"/>
                  <w:rPr>
                    <w:rFonts w:cs="Times New Roman"/>
                    <w:kern w:val="2"/>
                    <w:sz w:val="20"/>
                    <w:szCs w:val="21"/>
                  </w:rPr>
                </w:pPr>
                <w:r>
                  <w:rPr>
                    <w:rFonts w:cs="Times New Roman"/>
                    <w:kern w:val="2"/>
                    <w:sz w:val="20"/>
                    <w:szCs w:val="21"/>
                  </w:rPr>
                  <w:t xml:space="preserve">-9,331,888.89 </w:t>
                </w:r>
              </w:p>
            </w:tc>
          </w:tr>
        </w:tbl>
        <w:p w14:paraId="7889FFF2" w14:textId="77777777" w:rsidR="00E57DAA" w:rsidRDefault="00EB41A1" w:rsidP="00C25422">
          <w:pPr>
            <w:pStyle w:val="73"/>
            <w:ind w:firstLine="400"/>
            <w:rPr>
              <w:szCs w:val="21"/>
            </w:rPr>
          </w:pPr>
        </w:p>
      </w:sdtContent>
    </w:sdt>
    <w:p w14:paraId="612CDD26" w14:textId="77777777" w:rsidR="00E57DAA" w:rsidRDefault="00AC4185" w:rsidP="00C25422">
      <w:pPr>
        <w:pStyle w:val="91"/>
        <w:numPr>
          <w:ilvl w:val="0"/>
          <w:numId w:val="69"/>
        </w:numPr>
      </w:pPr>
      <w:r>
        <w:rPr>
          <w:rFonts w:hint="eastAsia"/>
        </w:rPr>
        <w:t>合同资产</w:t>
      </w:r>
    </w:p>
    <w:p w14:paraId="112CECEC" w14:textId="77777777" w:rsidR="00E57DAA" w:rsidRDefault="00AC4185">
      <w:pPr>
        <w:pStyle w:val="4"/>
        <w:numPr>
          <w:ilvl w:val="3"/>
          <w:numId w:val="72"/>
        </w:numPr>
        <w:ind w:left="426" w:hanging="426"/>
      </w:pPr>
      <w:bookmarkStart w:id="204" w:name="_Hlk532992678"/>
      <w:r>
        <w:rPr>
          <w:rFonts w:hint="eastAsia"/>
        </w:rPr>
        <w:t>合同资产情况</w:t>
      </w:r>
    </w:p>
    <w:bookmarkStart w:id="205" w:name="_Hlk533409560" w:displacedByCustomXml="next"/>
    <w:sdt>
      <w:sdtPr>
        <w:alias w:val="是否适用：合同资产情况[双击切换]"/>
        <w:tag w:val="_GBC_71da29cd2c0f4ec4a2849d6760e0ec90"/>
        <w:id w:val="-595705431"/>
        <w:placeholder>
          <w:docPart w:val="GBC22222222222222222222222222222"/>
        </w:placeholder>
      </w:sdtPr>
      <w:sdtEndPr/>
      <w:sdtContent>
        <w:p w14:paraId="0389E5B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3E5800" w14:textId="77777777" w:rsidR="00E57DAA" w:rsidRDefault="00AC4185">
      <w:pPr>
        <w:ind w:left="360"/>
        <w:jc w:val="right"/>
      </w:pPr>
      <w:r>
        <w:rPr>
          <w:rFonts w:hint="eastAsia"/>
        </w:rPr>
        <w:t>单位：</w:t>
      </w:r>
      <w:sdt>
        <w:sdtPr>
          <w:rPr>
            <w:rFonts w:hint="eastAsia"/>
          </w:rPr>
          <w:alias w:val="单位：合同资产情况"/>
          <w:tag w:val="_GBC_0843811d18ae441e868c938ac479486a"/>
          <w:id w:val="12538599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4c5e6a8f025143a4b05083c372eedaa8"/>
          <w:id w:val="-100181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
        <w:gridCol w:w="1421"/>
        <w:gridCol w:w="1271"/>
        <w:gridCol w:w="1421"/>
        <w:gridCol w:w="1421"/>
        <w:gridCol w:w="1271"/>
        <w:gridCol w:w="1421"/>
      </w:tblGrid>
      <w:tr w:rsidR="00E57DAA" w14:paraId="01F60E8F" w14:textId="77777777">
        <w:trPr>
          <w:cantSplit/>
        </w:trPr>
        <w:sdt>
          <w:sdtPr>
            <w:rPr>
              <w:sz w:val="15"/>
              <w:szCs w:val="15"/>
            </w:rPr>
            <w:tag w:val="_PLD_ef9f157c3135450f8cce577c86673dfe"/>
            <w:id w:val="288479270"/>
          </w:sdtPr>
          <w:sdtEndPr/>
          <w:sdtContent>
            <w:tc>
              <w:tcPr>
                <w:tcW w:w="399" w:type="pct"/>
                <w:vMerge w:val="restart"/>
                <w:vAlign w:val="center"/>
              </w:tcPr>
              <w:p w14:paraId="5EC2CC84" w14:textId="77777777" w:rsidR="00E57DAA" w:rsidRDefault="00AC4185">
                <w:pPr>
                  <w:jc w:val="center"/>
                  <w:rPr>
                    <w:sz w:val="15"/>
                    <w:szCs w:val="15"/>
                  </w:rPr>
                </w:pPr>
                <w:r>
                  <w:rPr>
                    <w:rFonts w:hint="eastAsia"/>
                    <w:sz w:val="15"/>
                    <w:szCs w:val="15"/>
                  </w:rPr>
                  <w:t>项目</w:t>
                </w:r>
              </w:p>
            </w:tc>
          </w:sdtContent>
        </w:sdt>
        <w:sdt>
          <w:sdtPr>
            <w:rPr>
              <w:sz w:val="15"/>
              <w:szCs w:val="15"/>
            </w:rPr>
            <w:tag w:val="_PLD_d3ee91f6e02249538b32f4bbaf650cd2"/>
            <w:id w:val="-1886331833"/>
          </w:sdtPr>
          <w:sdtEndPr/>
          <w:sdtContent>
            <w:tc>
              <w:tcPr>
                <w:tcW w:w="2246" w:type="pct"/>
                <w:gridSpan w:val="3"/>
                <w:vAlign w:val="center"/>
              </w:tcPr>
              <w:p w14:paraId="722CDFF5" w14:textId="77777777" w:rsidR="00E57DAA" w:rsidRDefault="00AC4185">
                <w:pPr>
                  <w:autoSpaceDE w:val="0"/>
                  <w:autoSpaceDN w:val="0"/>
                  <w:adjustRightInd w:val="0"/>
                  <w:snapToGrid w:val="0"/>
                  <w:spacing w:line="240" w:lineRule="atLeast"/>
                  <w:ind w:leftChars="171" w:left="359"/>
                  <w:jc w:val="center"/>
                  <w:rPr>
                    <w:sz w:val="15"/>
                    <w:szCs w:val="15"/>
                  </w:rPr>
                </w:pPr>
                <w:r>
                  <w:rPr>
                    <w:rFonts w:hint="eastAsia"/>
                    <w:sz w:val="15"/>
                    <w:szCs w:val="15"/>
                  </w:rPr>
                  <w:t>期末余额</w:t>
                </w:r>
              </w:p>
            </w:tc>
          </w:sdtContent>
        </w:sdt>
        <w:sdt>
          <w:sdtPr>
            <w:rPr>
              <w:sz w:val="15"/>
              <w:szCs w:val="15"/>
            </w:rPr>
            <w:tag w:val="_PLD_73a5dbaf331b4599a937ec9c9d391048"/>
            <w:id w:val="-205950281"/>
          </w:sdtPr>
          <w:sdtEndPr/>
          <w:sdtContent>
            <w:tc>
              <w:tcPr>
                <w:tcW w:w="2355" w:type="pct"/>
                <w:gridSpan w:val="3"/>
                <w:vAlign w:val="center"/>
              </w:tcPr>
              <w:p w14:paraId="3E98AB72" w14:textId="77777777" w:rsidR="00E57DAA" w:rsidRDefault="00AC4185">
                <w:pPr>
                  <w:autoSpaceDE w:val="0"/>
                  <w:autoSpaceDN w:val="0"/>
                  <w:adjustRightInd w:val="0"/>
                  <w:snapToGrid w:val="0"/>
                  <w:spacing w:line="240" w:lineRule="atLeast"/>
                  <w:ind w:leftChars="171" w:left="359"/>
                  <w:jc w:val="center"/>
                  <w:rPr>
                    <w:sz w:val="15"/>
                    <w:szCs w:val="15"/>
                  </w:rPr>
                </w:pPr>
                <w:r>
                  <w:rPr>
                    <w:rFonts w:hint="eastAsia"/>
                    <w:sz w:val="15"/>
                    <w:szCs w:val="15"/>
                  </w:rPr>
                  <w:t>期初余额</w:t>
                </w:r>
              </w:p>
            </w:tc>
          </w:sdtContent>
        </w:sdt>
      </w:tr>
      <w:tr w:rsidR="00E57DAA" w14:paraId="541DC6EB" w14:textId="77777777">
        <w:trPr>
          <w:cantSplit/>
        </w:trPr>
        <w:tc>
          <w:tcPr>
            <w:tcW w:w="399" w:type="pct"/>
            <w:vMerge/>
          </w:tcPr>
          <w:p w14:paraId="579924C4" w14:textId="77777777" w:rsidR="00E57DAA" w:rsidRDefault="00E57DAA">
            <w:pPr>
              <w:ind w:right="5"/>
              <w:jc w:val="center"/>
              <w:rPr>
                <w:sz w:val="15"/>
                <w:szCs w:val="15"/>
              </w:rPr>
            </w:pPr>
          </w:p>
        </w:tc>
        <w:sdt>
          <w:sdtPr>
            <w:rPr>
              <w:sz w:val="15"/>
              <w:szCs w:val="15"/>
            </w:rPr>
            <w:tag w:val="_PLD_38c380f0b09c4fb88f32db3410f59ed3"/>
            <w:id w:val="777997233"/>
          </w:sdtPr>
          <w:sdtEndPr/>
          <w:sdtContent>
            <w:tc>
              <w:tcPr>
                <w:tcW w:w="710" w:type="pct"/>
                <w:vAlign w:val="center"/>
              </w:tcPr>
              <w:p w14:paraId="2924627A" w14:textId="77777777" w:rsidR="00E57DAA" w:rsidRDefault="00AC4185">
                <w:pPr>
                  <w:ind w:right="5"/>
                  <w:jc w:val="center"/>
                  <w:rPr>
                    <w:sz w:val="15"/>
                    <w:szCs w:val="15"/>
                  </w:rPr>
                </w:pPr>
                <w:r>
                  <w:rPr>
                    <w:rFonts w:hint="eastAsia"/>
                    <w:sz w:val="15"/>
                    <w:szCs w:val="15"/>
                  </w:rPr>
                  <w:t>账面余额</w:t>
                </w:r>
              </w:p>
            </w:tc>
          </w:sdtContent>
        </w:sdt>
        <w:sdt>
          <w:sdtPr>
            <w:rPr>
              <w:sz w:val="15"/>
              <w:szCs w:val="15"/>
            </w:rPr>
            <w:tag w:val="_PLD_ec0dd89bd51e48668311a7be646a29ed"/>
            <w:id w:val="430015895"/>
          </w:sdtPr>
          <w:sdtEndPr/>
          <w:sdtContent>
            <w:tc>
              <w:tcPr>
                <w:tcW w:w="724" w:type="pct"/>
                <w:vAlign w:val="center"/>
              </w:tcPr>
              <w:p w14:paraId="73E2A2AE" w14:textId="77777777" w:rsidR="00E57DAA" w:rsidRDefault="00AC4185">
                <w:pPr>
                  <w:ind w:right="5"/>
                  <w:jc w:val="center"/>
                  <w:rPr>
                    <w:sz w:val="15"/>
                    <w:szCs w:val="15"/>
                  </w:rPr>
                </w:pPr>
                <w:r>
                  <w:rPr>
                    <w:rFonts w:hint="eastAsia"/>
                    <w:sz w:val="15"/>
                    <w:szCs w:val="15"/>
                  </w:rPr>
                  <w:t>坏账准备</w:t>
                </w:r>
              </w:p>
            </w:tc>
          </w:sdtContent>
        </w:sdt>
        <w:sdt>
          <w:sdtPr>
            <w:rPr>
              <w:sz w:val="15"/>
              <w:szCs w:val="15"/>
            </w:rPr>
            <w:tag w:val="_PLD_c9d1896f0c0c40168bd3121113c0bf11"/>
            <w:id w:val="1187942620"/>
          </w:sdtPr>
          <w:sdtEndPr/>
          <w:sdtContent>
            <w:tc>
              <w:tcPr>
                <w:tcW w:w="813" w:type="pct"/>
                <w:vAlign w:val="center"/>
              </w:tcPr>
              <w:p w14:paraId="5887EE89" w14:textId="77777777" w:rsidR="00E57DAA" w:rsidRDefault="00AC4185">
                <w:pPr>
                  <w:ind w:right="5"/>
                  <w:jc w:val="center"/>
                  <w:rPr>
                    <w:sz w:val="15"/>
                    <w:szCs w:val="15"/>
                  </w:rPr>
                </w:pPr>
                <w:r>
                  <w:rPr>
                    <w:rFonts w:hint="eastAsia"/>
                    <w:sz w:val="15"/>
                    <w:szCs w:val="15"/>
                  </w:rPr>
                  <w:t>账面价值</w:t>
                </w:r>
              </w:p>
            </w:tc>
          </w:sdtContent>
        </w:sdt>
        <w:sdt>
          <w:sdtPr>
            <w:rPr>
              <w:sz w:val="15"/>
              <w:szCs w:val="15"/>
            </w:rPr>
            <w:tag w:val="_PLD_55ef4031d94847eeb5b012f893e037be"/>
            <w:id w:val="-1270534638"/>
          </w:sdtPr>
          <w:sdtEndPr/>
          <w:sdtContent>
            <w:tc>
              <w:tcPr>
                <w:tcW w:w="815" w:type="pct"/>
                <w:vAlign w:val="center"/>
              </w:tcPr>
              <w:p w14:paraId="71D6EB63" w14:textId="77777777" w:rsidR="00E57DAA" w:rsidRDefault="00AC4185">
                <w:pPr>
                  <w:ind w:right="5"/>
                  <w:jc w:val="center"/>
                  <w:rPr>
                    <w:sz w:val="15"/>
                    <w:szCs w:val="15"/>
                  </w:rPr>
                </w:pPr>
                <w:r>
                  <w:rPr>
                    <w:rFonts w:hint="eastAsia"/>
                    <w:sz w:val="15"/>
                    <w:szCs w:val="15"/>
                  </w:rPr>
                  <w:t>账面余额</w:t>
                </w:r>
              </w:p>
            </w:tc>
          </w:sdtContent>
        </w:sdt>
        <w:sdt>
          <w:sdtPr>
            <w:rPr>
              <w:sz w:val="15"/>
              <w:szCs w:val="15"/>
            </w:rPr>
            <w:tag w:val="_PLD_3d51b29272c14d46910bba5074e9fd19"/>
            <w:id w:val="-932818559"/>
          </w:sdtPr>
          <w:sdtEndPr/>
          <w:sdtContent>
            <w:tc>
              <w:tcPr>
                <w:tcW w:w="726" w:type="pct"/>
                <w:vAlign w:val="center"/>
              </w:tcPr>
              <w:p w14:paraId="5D112B33" w14:textId="77777777" w:rsidR="00E57DAA" w:rsidRDefault="00AC4185">
                <w:pPr>
                  <w:ind w:right="5"/>
                  <w:jc w:val="center"/>
                  <w:rPr>
                    <w:sz w:val="15"/>
                    <w:szCs w:val="15"/>
                  </w:rPr>
                </w:pPr>
                <w:r>
                  <w:rPr>
                    <w:rFonts w:hint="eastAsia"/>
                    <w:sz w:val="15"/>
                    <w:szCs w:val="15"/>
                  </w:rPr>
                  <w:t>坏账准备</w:t>
                </w:r>
              </w:p>
            </w:tc>
          </w:sdtContent>
        </w:sdt>
        <w:sdt>
          <w:sdtPr>
            <w:rPr>
              <w:sz w:val="15"/>
              <w:szCs w:val="15"/>
            </w:rPr>
            <w:tag w:val="_PLD_3dfa5b9a89134d2199abc6e518d52c4d"/>
            <w:id w:val="142316832"/>
          </w:sdtPr>
          <w:sdtEndPr/>
          <w:sdtContent>
            <w:tc>
              <w:tcPr>
                <w:tcW w:w="814" w:type="pct"/>
                <w:vAlign w:val="center"/>
              </w:tcPr>
              <w:p w14:paraId="76B335A4" w14:textId="77777777" w:rsidR="00E57DAA" w:rsidRDefault="00AC4185">
                <w:pPr>
                  <w:ind w:right="5"/>
                  <w:jc w:val="center"/>
                  <w:rPr>
                    <w:sz w:val="15"/>
                    <w:szCs w:val="15"/>
                  </w:rPr>
                </w:pPr>
                <w:r>
                  <w:rPr>
                    <w:rFonts w:hint="eastAsia"/>
                    <w:sz w:val="15"/>
                    <w:szCs w:val="15"/>
                  </w:rPr>
                  <w:t>账面价值</w:t>
                </w:r>
              </w:p>
            </w:tc>
          </w:sdtContent>
        </w:sdt>
      </w:tr>
      <w:tr w:rsidR="00E57DAA" w14:paraId="2CDB9F74" w14:textId="77777777">
        <w:trPr>
          <w:cantSplit/>
        </w:trPr>
        <w:tc>
          <w:tcPr>
            <w:tcW w:w="399" w:type="pct"/>
          </w:tcPr>
          <w:p w14:paraId="15650668" w14:textId="77777777" w:rsidR="00E57DAA" w:rsidRDefault="00AC4185">
            <w:pPr>
              <w:autoSpaceDE w:val="0"/>
              <w:autoSpaceDN w:val="0"/>
              <w:adjustRightInd w:val="0"/>
              <w:rPr>
                <w:sz w:val="15"/>
                <w:szCs w:val="15"/>
              </w:rPr>
            </w:pPr>
            <w:r>
              <w:rPr>
                <w:sz w:val="15"/>
                <w:szCs w:val="15"/>
              </w:rPr>
              <w:t>1年以内</w:t>
            </w:r>
          </w:p>
        </w:tc>
        <w:tc>
          <w:tcPr>
            <w:tcW w:w="710" w:type="pct"/>
          </w:tcPr>
          <w:p w14:paraId="5FB37FDF" w14:textId="77777777" w:rsidR="00E57DAA" w:rsidRDefault="00AC4185">
            <w:pPr>
              <w:jc w:val="right"/>
              <w:rPr>
                <w:sz w:val="15"/>
                <w:szCs w:val="15"/>
              </w:rPr>
            </w:pPr>
            <w:r>
              <w:rPr>
                <w:sz w:val="15"/>
                <w:szCs w:val="15"/>
              </w:rPr>
              <w:t>4,763,114,601.62</w:t>
            </w:r>
          </w:p>
        </w:tc>
        <w:tc>
          <w:tcPr>
            <w:tcW w:w="724" w:type="pct"/>
          </w:tcPr>
          <w:p w14:paraId="043D81C8" w14:textId="77777777" w:rsidR="00E57DAA" w:rsidRDefault="00AC4185">
            <w:pPr>
              <w:jc w:val="right"/>
              <w:rPr>
                <w:sz w:val="15"/>
                <w:szCs w:val="15"/>
              </w:rPr>
            </w:pPr>
            <w:r>
              <w:rPr>
                <w:sz w:val="15"/>
                <w:szCs w:val="15"/>
              </w:rPr>
              <w:t>111,830,268.52</w:t>
            </w:r>
          </w:p>
        </w:tc>
        <w:tc>
          <w:tcPr>
            <w:tcW w:w="813" w:type="pct"/>
          </w:tcPr>
          <w:p w14:paraId="46A87B1F" w14:textId="77777777" w:rsidR="00E57DAA" w:rsidRDefault="00AC4185">
            <w:pPr>
              <w:jc w:val="right"/>
              <w:rPr>
                <w:sz w:val="15"/>
                <w:szCs w:val="15"/>
              </w:rPr>
            </w:pPr>
            <w:r>
              <w:rPr>
                <w:sz w:val="15"/>
                <w:szCs w:val="15"/>
              </w:rPr>
              <w:t>4,651,284,333.10</w:t>
            </w:r>
          </w:p>
        </w:tc>
        <w:tc>
          <w:tcPr>
            <w:tcW w:w="815" w:type="pct"/>
          </w:tcPr>
          <w:p w14:paraId="48882735" w14:textId="77777777" w:rsidR="00E57DAA" w:rsidRDefault="00AC4185">
            <w:pPr>
              <w:ind w:right="5"/>
              <w:jc w:val="right"/>
              <w:rPr>
                <w:sz w:val="15"/>
                <w:szCs w:val="15"/>
              </w:rPr>
            </w:pPr>
            <w:r>
              <w:rPr>
                <w:sz w:val="15"/>
                <w:szCs w:val="15"/>
              </w:rPr>
              <w:t>4,022,471,942.78</w:t>
            </w:r>
          </w:p>
        </w:tc>
        <w:tc>
          <w:tcPr>
            <w:tcW w:w="726" w:type="pct"/>
          </w:tcPr>
          <w:p w14:paraId="2A54F904" w14:textId="77777777" w:rsidR="00E57DAA" w:rsidRDefault="00AC4185">
            <w:pPr>
              <w:ind w:right="5"/>
              <w:jc w:val="right"/>
              <w:rPr>
                <w:sz w:val="15"/>
                <w:szCs w:val="15"/>
              </w:rPr>
            </w:pPr>
            <w:r>
              <w:rPr>
                <w:sz w:val="15"/>
                <w:szCs w:val="15"/>
              </w:rPr>
              <w:t>101,084,009.41</w:t>
            </w:r>
          </w:p>
        </w:tc>
        <w:tc>
          <w:tcPr>
            <w:tcW w:w="814" w:type="pct"/>
          </w:tcPr>
          <w:p w14:paraId="18E1E359" w14:textId="77777777" w:rsidR="00E57DAA" w:rsidRDefault="00AC4185">
            <w:pPr>
              <w:ind w:right="5"/>
              <w:jc w:val="right"/>
              <w:rPr>
                <w:sz w:val="15"/>
                <w:szCs w:val="15"/>
              </w:rPr>
            </w:pPr>
            <w:r>
              <w:rPr>
                <w:sz w:val="15"/>
                <w:szCs w:val="15"/>
              </w:rPr>
              <w:t>3,921,387,933.37</w:t>
            </w:r>
          </w:p>
        </w:tc>
      </w:tr>
      <w:tr w:rsidR="00E57DAA" w14:paraId="2189F81E" w14:textId="77777777">
        <w:trPr>
          <w:cantSplit/>
        </w:trPr>
        <w:tc>
          <w:tcPr>
            <w:tcW w:w="399" w:type="pct"/>
          </w:tcPr>
          <w:p w14:paraId="008101FB" w14:textId="77777777" w:rsidR="00E57DAA" w:rsidRDefault="00AC4185">
            <w:pPr>
              <w:autoSpaceDE w:val="0"/>
              <w:autoSpaceDN w:val="0"/>
              <w:adjustRightInd w:val="0"/>
              <w:rPr>
                <w:sz w:val="15"/>
                <w:szCs w:val="15"/>
              </w:rPr>
            </w:pPr>
            <w:r>
              <w:rPr>
                <w:sz w:val="15"/>
                <w:szCs w:val="15"/>
              </w:rPr>
              <w:t>1年以上</w:t>
            </w:r>
          </w:p>
        </w:tc>
        <w:tc>
          <w:tcPr>
            <w:tcW w:w="710" w:type="pct"/>
          </w:tcPr>
          <w:p w14:paraId="7035AFAE" w14:textId="77777777" w:rsidR="00E57DAA" w:rsidRDefault="00AC4185">
            <w:pPr>
              <w:jc w:val="right"/>
              <w:rPr>
                <w:sz w:val="15"/>
                <w:szCs w:val="15"/>
              </w:rPr>
            </w:pPr>
            <w:r>
              <w:rPr>
                <w:sz w:val="15"/>
                <w:szCs w:val="15"/>
              </w:rPr>
              <w:t>2,405,340,010.59</w:t>
            </w:r>
          </w:p>
        </w:tc>
        <w:tc>
          <w:tcPr>
            <w:tcW w:w="724" w:type="pct"/>
          </w:tcPr>
          <w:p w14:paraId="56A19A93" w14:textId="77777777" w:rsidR="00E57DAA" w:rsidRDefault="00AC4185">
            <w:pPr>
              <w:jc w:val="right"/>
              <w:rPr>
                <w:sz w:val="15"/>
                <w:szCs w:val="15"/>
              </w:rPr>
            </w:pPr>
            <w:r>
              <w:rPr>
                <w:sz w:val="15"/>
                <w:szCs w:val="15"/>
              </w:rPr>
              <w:t>190,386,006.13</w:t>
            </w:r>
          </w:p>
        </w:tc>
        <w:tc>
          <w:tcPr>
            <w:tcW w:w="813" w:type="pct"/>
          </w:tcPr>
          <w:p w14:paraId="10B3E23B" w14:textId="77777777" w:rsidR="00E57DAA" w:rsidRDefault="00AC4185">
            <w:pPr>
              <w:jc w:val="right"/>
              <w:rPr>
                <w:sz w:val="15"/>
                <w:szCs w:val="15"/>
              </w:rPr>
            </w:pPr>
            <w:r>
              <w:rPr>
                <w:sz w:val="15"/>
                <w:szCs w:val="15"/>
              </w:rPr>
              <w:t>2,214,954,004.46</w:t>
            </w:r>
          </w:p>
        </w:tc>
        <w:tc>
          <w:tcPr>
            <w:tcW w:w="815" w:type="pct"/>
          </w:tcPr>
          <w:p w14:paraId="5FFAA954" w14:textId="77777777" w:rsidR="00E57DAA" w:rsidRDefault="00AC4185">
            <w:pPr>
              <w:ind w:right="5"/>
              <w:jc w:val="right"/>
              <w:rPr>
                <w:sz w:val="15"/>
                <w:szCs w:val="15"/>
              </w:rPr>
            </w:pPr>
            <w:r>
              <w:rPr>
                <w:sz w:val="15"/>
                <w:szCs w:val="15"/>
              </w:rPr>
              <w:t>1,718,766,994.81</w:t>
            </w:r>
          </w:p>
        </w:tc>
        <w:tc>
          <w:tcPr>
            <w:tcW w:w="726" w:type="pct"/>
          </w:tcPr>
          <w:p w14:paraId="2E3EE8B0" w14:textId="77777777" w:rsidR="00E57DAA" w:rsidRDefault="00AC4185">
            <w:pPr>
              <w:ind w:right="5"/>
              <w:jc w:val="right"/>
              <w:rPr>
                <w:sz w:val="15"/>
                <w:szCs w:val="15"/>
              </w:rPr>
            </w:pPr>
            <w:r>
              <w:rPr>
                <w:sz w:val="15"/>
                <w:szCs w:val="15"/>
              </w:rPr>
              <w:t>117,469,482.35</w:t>
            </w:r>
          </w:p>
        </w:tc>
        <w:tc>
          <w:tcPr>
            <w:tcW w:w="814" w:type="pct"/>
          </w:tcPr>
          <w:p w14:paraId="3E71745D" w14:textId="77777777" w:rsidR="00E57DAA" w:rsidRDefault="00AC4185">
            <w:pPr>
              <w:ind w:right="5"/>
              <w:jc w:val="right"/>
              <w:rPr>
                <w:sz w:val="15"/>
                <w:szCs w:val="15"/>
              </w:rPr>
            </w:pPr>
            <w:r>
              <w:rPr>
                <w:sz w:val="15"/>
                <w:szCs w:val="15"/>
              </w:rPr>
              <w:t>1,601,297,512.46</w:t>
            </w:r>
          </w:p>
        </w:tc>
      </w:tr>
      <w:tr w:rsidR="00E57DAA" w14:paraId="35B8C19E" w14:textId="77777777">
        <w:trPr>
          <w:cantSplit/>
        </w:trPr>
        <w:tc>
          <w:tcPr>
            <w:tcW w:w="399" w:type="pct"/>
          </w:tcPr>
          <w:p w14:paraId="450052B1" w14:textId="77777777" w:rsidR="00E57DAA" w:rsidRDefault="00AC4185">
            <w:pPr>
              <w:ind w:right="5"/>
              <w:jc w:val="center"/>
              <w:rPr>
                <w:sz w:val="15"/>
                <w:szCs w:val="15"/>
              </w:rPr>
            </w:pPr>
            <w:r>
              <w:rPr>
                <w:rFonts w:hint="eastAsia"/>
                <w:sz w:val="15"/>
                <w:szCs w:val="15"/>
              </w:rPr>
              <w:t>合计</w:t>
            </w:r>
          </w:p>
        </w:tc>
        <w:tc>
          <w:tcPr>
            <w:tcW w:w="710" w:type="pct"/>
            <w:vAlign w:val="center"/>
          </w:tcPr>
          <w:p w14:paraId="38712831" w14:textId="77777777" w:rsidR="00E57DAA" w:rsidRDefault="00AC4185">
            <w:pPr>
              <w:ind w:right="5"/>
              <w:jc w:val="right"/>
              <w:rPr>
                <w:sz w:val="15"/>
                <w:szCs w:val="15"/>
              </w:rPr>
            </w:pPr>
            <w:r>
              <w:rPr>
                <w:sz w:val="15"/>
                <w:szCs w:val="15"/>
              </w:rPr>
              <w:t>7,168,454,612.21</w:t>
            </w:r>
          </w:p>
        </w:tc>
        <w:tc>
          <w:tcPr>
            <w:tcW w:w="724" w:type="pct"/>
            <w:vAlign w:val="center"/>
          </w:tcPr>
          <w:p w14:paraId="681FBC1C" w14:textId="77777777" w:rsidR="00E57DAA" w:rsidRDefault="00AC4185">
            <w:pPr>
              <w:ind w:right="5"/>
              <w:jc w:val="right"/>
              <w:rPr>
                <w:sz w:val="15"/>
                <w:szCs w:val="15"/>
              </w:rPr>
            </w:pPr>
            <w:r>
              <w:rPr>
                <w:sz w:val="15"/>
                <w:szCs w:val="15"/>
              </w:rPr>
              <w:t>302,216,274.65</w:t>
            </w:r>
          </w:p>
        </w:tc>
        <w:tc>
          <w:tcPr>
            <w:tcW w:w="813" w:type="pct"/>
            <w:vAlign w:val="center"/>
          </w:tcPr>
          <w:p w14:paraId="248075FC" w14:textId="77777777" w:rsidR="00E57DAA" w:rsidRDefault="00AC4185">
            <w:pPr>
              <w:ind w:right="5"/>
              <w:jc w:val="right"/>
              <w:rPr>
                <w:sz w:val="15"/>
                <w:szCs w:val="15"/>
              </w:rPr>
            </w:pPr>
            <w:r>
              <w:rPr>
                <w:sz w:val="15"/>
                <w:szCs w:val="15"/>
              </w:rPr>
              <w:t>6,866,238,337.56</w:t>
            </w:r>
          </w:p>
        </w:tc>
        <w:tc>
          <w:tcPr>
            <w:tcW w:w="815" w:type="pct"/>
            <w:vAlign w:val="center"/>
          </w:tcPr>
          <w:p w14:paraId="6F3B0907" w14:textId="77777777" w:rsidR="00E57DAA" w:rsidRDefault="00AC4185">
            <w:pPr>
              <w:ind w:right="5"/>
              <w:jc w:val="right"/>
              <w:rPr>
                <w:sz w:val="15"/>
                <w:szCs w:val="15"/>
              </w:rPr>
            </w:pPr>
            <w:r>
              <w:rPr>
                <w:sz w:val="15"/>
                <w:szCs w:val="15"/>
              </w:rPr>
              <w:t>5,741,238,937.59</w:t>
            </w:r>
          </w:p>
        </w:tc>
        <w:tc>
          <w:tcPr>
            <w:tcW w:w="726" w:type="pct"/>
            <w:vAlign w:val="center"/>
          </w:tcPr>
          <w:p w14:paraId="46D6527F" w14:textId="77777777" w:rsidR="00E57DAA" w:rsidRDefault="00AC4185">
            <w:pPr>
              <w:ind w:right="5"/>
              <w:jc w:val="right"/>
              <w:rPr>
                <w:sz w:val="15"/>
                <w:szCs w:val="15"/>
              </w:rPr>
            </w:pPr>
            <w:r>
              <w:rPr>
                <w:sz w:val="15"/>
                <w:szCs w:val="15"/>
              </w:rPr>
              <w:t>218,553,491.76</w:t>
            </w:r>
          </w:p>
        </w:tc>
        <w:tc>
          <w:tcPr>
            <w:tcW w:w="814" w:type="pct"/>
            <w:vAlign w:val="center"/>
          </w:tcPr>
          <w:p w14:paraId="27279CD8" w14:textId="77777777" w:rsidR="00E57DAA" w:rsidRDefault="00AC4185">
            <w:pPr>
              <w:ind w:right="5"/>
              <w:jc w:val="right"/>
              <w:rPr>
                <w:sz w:val="15"/>
                <w:szCs w:val="15"/>
              </w:rPr>
            </w:pPr>
            <w:r>
              <w:rPr>
                <w:sz w:val="15"/>
                <w:szCs w:val="15"/>
              </w:rPr>
              <w:t>5,522,685,445.83</w:t>
            </w:r>
          </w:p>
        </w:tc>
      </w:tr>
    </w:tbl>
    <w:p w14:paraId="0BE89841" w14:textId="77777777" w:rsidR="00E57DAA" w:rsidRDefault="00E57DAA" w:rsidP="00C25422">
      <w:pPr>
        <w:pStyle w:val="92"/>
      </w:pPr>
    </w:p>
    <w:p w14:paraId="75259E85" w14:textId="77777777" w:rsidR="00E57DAA" w:rsidRDefault="00AC4185">
      <w:pPr>
        <w:pStyle w:val="4"/>
        <w:numPr>
          <w:ilvl w:val="3"/>
          <w:numId w:val="72"/>
        </w:numPr>
        <w:ind w:left="426" w:hanging="426"/>
      </w:pPr>
      <w:r>
        <w:rPr>
          <w:rFonts w:hint="eastAsia"/>
        </w:rPr>
        <w:t>报告期内账面价值发生重大变动的金额和原因</w:t>
      </w:r>
    </w:p>
    <w:bookmarkEnd w:id="204" w:displacedByCustomXml="next"/>
    <w:bookmarkEnd w:id="205" w:displacedByCustomXml="next"/>
    <w:bookmarkStart w:id="206" w:name="_Hlk532993169" w:displacedByCustomXml="next"/>
    <w:sdt>
      <w:sdtPr>
        <w:rPr>
          <w:szCs w:val="21"/>
        </w:rPr>
        <w:alias w:val="是否适用：合同资产账面价值发生重大变动[双击切换]"/>
        <w:tag w:val="_GBC_d707053a57f34cbab810279b617bfcc7"/>
        <w:id w:val="1124727397"/>
        <w:placeholder>
          <w:docPart w:val="GBC22222222222222222222222222222"/>
        </w:placeholder>
      </w:sdtPr>
      <w:sdtEndPr/>
      <w:sdtContent>
        <w:p w14:paraId="3F3F5B4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9CF86C" w14:textId="77777777" w:rsidR="00E57DAA" w:rsidRDefault="00AC4185">
      <w:pPr>
        <w:ind w:left="360"/>
        <w:jc w:val="right"/>
      </w:pPr>
      <w:r>
        <w:rPr>
          <w:rFonts w:hint="eastAsia"/>
        </w:rPr>
        <w:t>单位：</w:t>
      </w:r>
      <w:sdt>
        <w:sdtPr>
          <w:rPr>
            <w:rFonts w:hint="eastAsia"/>
          </w:rPr>
          <w:alias w:val="单位：合同资产账面价值发生重大变动"/>
          <w:tag w:val="_GBC_10a446badf2e4e398dc2de6f02c0aff2"/>
          <w:id w:val="17588713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账面价值发生重大变动"/>
          <w:tag w:val="_GBC_ac8128a43b704a3fbf95a412a70a7c5e"/>
          <w:id w:val="-19920827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4"/>
        <w:gridCol w:w="2351"/>
        <w:gridCol w:w="1657"/>
      </w:tblGrid>
      <w:tr w:rsidR="00E57DAA" w14:paraId="1F093D16" w14:textId="77777777">
        <w:trPr>
          <w:trHeight w:val="285"/>
        </w:trPr>
        <w:sdt>
          <w:sdtPr>
            <w:tag w:val="_PLD_2c68fbb7818648a3b37cf8860d327347"/>
            <w:id w:val="-1883245560"/>
          </w:sdtPr>
          <w:sdtEndPr/>
          <w:sdtContent>
            <w:tc>
              <w:tcPr>
                <w:tcW w:w="2726" w:type="pct"/>
                <w:tcBorders>
                  <w:top w:val="single" w:sz="4" w:space="0" w:color="auto"/>
                  <w:left w:val="single" w:sz="4" w:space="0" w:color="auto"/>
                  <w:bottom w:val="single" w:sz="4" w:space="0" w:color="auto"/>
                  <w:right w:val="single" w:sz="4" w:space="0" w:color="auto"/>
                </w:tcBorders>
                <w:vAlign w:val="center"/>
              </w:tcPr>
              <w:p w14:paraId="2CF33455" w14:textId="77777777" w:rsidR="00E57DAA" w:rsidRDefault="00AC4185">
                <w:pPr>
                  <w:jc w:val="center"/>
                  <w:rPr>
                    <w:szCs w:val="21"/>
                  </w:rPr>
                </w:pPr>
                <w:r>
                  <w:rPr>
                    <w:rFonts w:hint="eastAsia"/>
                    <w:szCs w:val="21"/>
                  </w:rPr>
                  <w:t>项目</w:t>
                </w:r>
              </w:p>
            </w:tc>
          </w:sdtContent>
        </w:sdt>
        <w:sdt>
          <w:sdtPr>
            <w:tag w:val="_PLD_6af6ee2c2c7e4ba8aa93a16c3d28db0c"/>
            <w:id w:val="1408267637"/>
          </w:sdtPr>
          <w:sdtEndPr/>
          <w:sdtContent>
            <w:tc>
              <w:tcPr>
                <w:tcW w:w="1334" w:type="pct"/>
                <w:tcBorders>
                  <w:top w:val="single" w:sz="4" w:space="0" w:color="auto"/>
                  <w:left w:val="single" w:sz="4" w:space="0" w:color="auto"/>
                  <w:bottom w:val="single" w:sz="4" w:space="0" w:color="auto"/>
                  <w:right w:val="single" w:sz="4" w:space="0" w:color="auto"/>
                </w:tcBorders>
                <w:vAlign w:val="center"/>
              </w:tcPr>
              <w:p w14:paraId="092B6657" w14:textId="77777777" w:rsidR="00E57DAA" w:rsidRDefault="00AC4185">
                <w:pPr>
                  <w:jc w:val="center"/>
                  <w:rPr>
                    <w:szCs w:val="21"/>
                  </w:rPr>
                </w:pPr>
                <w:r>
                  <w:rPr>
                    <w:rFonts w:hint="eastAsia"/>
                    <w:szCs w:val="21"/>
                  </w:rPr>
                  <w:t>变动金额</w:t>
                </w:r>
              </w:p>
            </w:tc>
          </w:sdtContent>
        </w:sdt>
        <w:sdt>
          <w:sdtPr>
            <w:tag w:val="_PLD_0e300d7c0ee94148be4de4c2a98a4c4d"/>
            <w:id w:val="1620879666"/>
          </w:sdtPr>
          <w:sdtEndPr/>
          <w:sdtContent>
            <w:tc>
              <w:tcPr>
                <w:tcW w:w="940" w:type="pct"/>
                <w:tcBorders>
                  <w:top w:val="single" w:sz="4" w:space="0" w:color="auto"/>
                  <w:left w:val="single" w:sz="4" w:space="0" w:color="auto"/>
                  <w:bottom w:val="single" w:sz="4" w:space="0" w:color="auto"/>
                  <w:right w:val="single" w:sz="4" w:space="0" w:color="auto"/>
                </w:tcBorders>
                <w:vAlign w:val="center"/>
              </w:tcPr>
              <w:p w14:paraId="6101D9B1" w14:textId="77777777" w:rsidR="00E57DAA" w:rsidRDefault="00AC4185">
                <w:pPr>
                  <w:jc w:val="center"/>
                  <w:rPr>
                    <w:szCs w:val="21"/>
                  </w:rPr>
                </w:pPr>
                <w:r>
                  <w:rPr>
                    <w:rFonts w:hint="eastAsia"/>
                    <w:szCs w:val="21"/>
                  </w:rPr>
                  <w:t>变动原因</w:t>
                </w:r>
              </w:p>
            </w:tc>
          </w:sdtContent>
        </w:sdt>
      </w:tr>
      <w:tr w:rsidR="00E57DAA" w14:paraId="00535A35" w14:textId="77777777">
        <w:trPr>
          <w:trHeight w:val="80"/>
        </w:trPr>
        <w:tc>
          <w:tcPr>
            <w:tcW w:w="2726" w:type="pct"/>
            <w:tcBorders>
              <w:top w:val="single" w:sz="4" w:space="0" w:color="auto"/>
              <w:left w:val="single" w:sz="4" w:space="0" w:color="auto"/>
              <w:bottom w:val="single" w:sz="4" w:space="0" w:color="auto"/>
              <w:right w:val="single" w:sz="4" w:space="0" w:color="auto"/>
            </w:tcBorders>
          </w:tcPr>
          <w:p w14:paraId="40792A0B" w14:textId="77777777" w:rsidR="00E57DAA" w:rsidRDefault="00AC4185">
            <w:pPr>
              <w:rPr>
                <w:szCs w:val="21"/>
              </w:rPr>
            </w:pPr>
            <w:r>
              <w:t>LEMI NATIONAL CEMENT PLC</w:t>
            </w:r>
          </w:p>
        </w:tc>
        <w:tc>
          <w:tcPr>
            <w:tcW w:w="1334" w:type="pct"/>
            <w:tcBorders>
              <w:top w:val="single" w:sz="4" w:space="0" w:color="auto"/>
              <w:left w:val="single" w:sz="4" w:space="0" w:color="auto"/>
              <w:bottom w:val="single" w:sz="4" w:space="0" w:color="auto"/>
              <w:right w:val="single" w:sz="4" w:space="0" w:color="auto"/>
            </w:tcBorders>
            <w:vAlign w:val="center"/>
          </w:tcPr>
          <w:p w14:paraId="034EB28E" w14:textId="77777777" w:rsidR="00E57DAA" w:rsidRDefault="00AC4185">
            <w:pPr>
              <w:jc w:val="right"/>
              <w:rPr>
                <w:szCs w:val="21"/>
              </w:rPr>
            </w:pPr>
            <w:r>
              <w:t>655,213,803.35</w:t>
            </w:r>
          </w:p>
        </w:tc>
        <w:tc>
          <w:tcPr>
            <w:tcW w:w="940" w:type="pct"/>
            <w:tcBorders>
              <w:top w:val="single" w:sz="4" w:space="0" w:color="auto"/>
              <w:left w:val="single" w:sz="4" w:space="0" w:color="auto"/>
              <w:bottom w:val="single" w:sz="4" w:space="0" w:color="auto"/>
              <w:right w:val="single" w:sz="4" w:space="0" w:color="auto"/>
            </w:tcBorders>
            <w:vAlign w:val="center"/>
          </w:tcPr>
          <w:p w14:paraId="7D249ACB" w14:textId="77777777" w:rsidR="00E57DAA" w:rsidRDefault="00AC4185">
            <w:pPr>
              <w:rPr>
                <w:szCs w:val="21"/>
              </w:rPr>
            </w:pPr>
            <w:r>
              <w:t>已履约未结算</w:t>
            </w:r>
          </w:p>
        </w:tc>
      </w:tr>
      <w:tr w:rsidR="00E57DAA" w14:paraId="1A52141B" w14:textId="77777777">
        <w:trPr>
          <w:trHeight w:val="80"/>
        </w:trPr>
        <w:tc>
          <w:tcPr>
            <w:tcW w:w="2726" w:type="pct"/>
            <w:tcBorders>
              <w:top w:val="single" w:sz="4" w:space="0" w:color="auto"/>
              <w:left w:val="single" w:sz="4" w:space="0" w:color="auto"/>
              <w:bottom w:val="single" w:sz="4" w:space="0" w:color="auto"/>
              <w:right w:val="single" w:sz="4" w:space="0" w:color="auto"/>
            </w:tcBorders>
          </w:tcPr>
          <w:p w14:paraId="18B8626C" w14:textId="77777777" w:rsidR="00E57DAA" w:rsidRDefault="00AC4185">
            <w:pPr>
              <w:rPr>
                <w:szCs w:val="21"/>
              </w:rPr>
            </w:pPr>
            <w:r>
              <w:t>河北清峰绿能固废处置有限公司</w:t>
            </w:r>
          </w:p>
        </w:tc>
        <w:tc>
          <w:tcPr>
            <w:tcW w:w="1334" w:type="pct"/>
            <w:tcBorders>
              <w:top w:val="single" w:sz="4" w:space="0" w:color="auto"/>
              <w:left w:val="single" w:sz="4" w:space="0" w:color="auto"/>
              <w:bottom w:val="single" w:sz="4" w:space="0" w:color="auto"/>
              <w:right w:val="single" w:sz="4" w:space="0" w:color="auto"/>
            </w:tcBorders>
            <w:vAlign w:val="center"/>
          </w:tcPr>
          <w:p w14:paraId="74A4816E" w14:textId="77777777" w:rsidR="00E57DAA" w:rsidRDefault="00AC4185">
            <w:pPr>
              <w:jc w:val="right"/>
              <w:rPr>
                <w:szCs w:val="21"/>
              </w:rPr>
            </w:pPr>
            <w:r>
              <w:t>327,927,528.28</w:t>
            </w:r>
          </w:p>
        </w:tc>
        <w:tc>
          <w:tcPr>
            <w:tcW w:w="940" w:type="pct"/>
            <w:tcBorders>
              <w:top w:val="single" w:sz="4" w:space="0" w:color="auto"/>
              <w:left w:val="single" w:sz="4" w:space="0" w:color="auto"/>
              <w:bottom w:val="single" w:sz="4" w:space="0" w:color="auto"/>
              <w:right w:val="single" w:sz="4" w:space="0" w:color="auto"/>
            </w:tcBorders>
            <w:vAlign w:val="center"/>
          </w:tcPr>
          <w:p w14:paraId="66064A02" w14:textId="77777777" w:rsidR="00E57DAA" w:rsidRDefault="00AC4185">
            <w:pPr>
              <w:rPr>
                <w:szCs w:val="21"/>
              </w:rPr>
            </w:pPr>
            <w:r>
              <w:t>已履约未结算</w:t>
            </w:r>
          </w:p>
        </w:tc>
      </w:tr>
      <w:tr w:rsidR="00E57DAA" w14:paraId="0E2132E8" w14:textId="77777777">
        <w:trPr>
          <w:trHeight w:val="80"/>
        </w:trPr>
        <w:tc>
          <w:tcPr>
            <w:tcW w:w="2726" w:type="pct"/>
            <w:tcBorders>
              <w:top w:val="single" w:sz="4" w:space="0" w:color="auto"/>
              <w:left w:val="single" w:sz="4" w:space="0" w:color="auto"/>
              <w:bottom w:val="single" w:sz="4" w:space="0" w:color="auto"/>
              <w:right w:val="single" w:sz="4" w:space="0" w:color="auto"/>
            </w:tcBorders>
          </w:tcPr>
          <w:p w14:paraId="59DA206E" w14:textId="77777777" w:rsidR="00E57DAA" w:rsidRDefault="00AC4185">
            <w:pPr>
              <w:rPr>
                <w:szCs w:val="21"/>
              </w:rPr>
            </w:pPr>
            <w:r>
              <w:t>肇庆润信新材料有限公司</w:t>
            </w:r>
          </w:p>
        </w:tc>
        <w:tc>
          <w:tcPr>
            <w:tcW w:w="1334" w:type="pct"/>
            <w:tcBorders>
              <w:top w:val="single" w:sz="4" w:space="0" w:color="auto"/>
              <w:left w:val="single" w:sz="4" w:space="0" w:color="auto"/>
              <w:bottom w:val="single" w:sz="4" w:space="0" w:color="auto"/>
              <w:right w:val="single" w:sz="4" w:space="0" w:color="auto"/>
            </w:tcBorders>
            <w:vAlign w:val="center"/>
          </w:tcPr>
          <w:p w14:paraId="201B06E3" w14:textId="77777777" w:rsidR="00E57DAA" w:rsidRDefault="00AC4185">
            <w:pPr>
              <w:jc w:val="right"/>
              <w:rPr>
                <w:szCs w:val="21"/>
              </w:rPr>
            </w:pPr>
            <w:r>
              <w:t>307,278,567.29</w:t>
            </w:r>
          </w:p>
        </w:tc>
        <w:tc>
          <w:tcPr>
            <w:tcW w:w="940" w:type="pct"/>
            <w:tcBorders>
              <w:top w:val="single" w:sz="4" w:space="0" w:color="auto"/>
              <w:left w:val="single" w:sz="4" w:space="0" w:color="auto"/>
              <w:bottom w:val="single" w:sz="4" w:space="0" w:color="auto"/>
              <w:right w:val="single" w:sz="4" w:space="0" w:color="auto"/>
            </w:tcBorders>
            <w:vAlign w:val="center"/>
          </w:tcPr>
          <w:p w14:paraId="47E3EDA8" w14:textId="77777777" w:rsidR="00E57DAA" w:rsidRDefault="00AC4185">
            <w:pPr>
              <w:rPr>
                <w:szCs w:val="21"/>
              </w:rPr>
            </w:pPr>
            <w:r>
              <w:t>已履约未结算</w:t>
            </w:r>
          </w:p>
        </w:tc>
      </w:tr>
      <w:tr w:rsidR="00E57DAA" w14:paraId="6427BCA1" w14:textId="77777777">
        <w:trPr>
          <w:trHeight w:val="80"/>
        </w:trPr>
        <w:tc>
          <w:tcPr>
            <w:tcW w:w="2726" w:type="pct"/>
            <w:tcBorders>
              <w:top w:val="single" w:sz="4" w:space="0" w:color="auto"/>
              <w:left w:val="single" w:sz="4" w:space="0" w:color="auto"/>
              <w:bottom w:val="single" w:sz="4" w:space="0" w:color="auto"/>
              <w:right w:val="single" w:sz="4" w:space="0" w:color="auto"/>
            </w:tcBorders>
          </w:tcPr>
          <w:p w14:paraId="2AAA9ED6" w14:textId="77777777" w:rsidR="00E57DAA" w:rsidRDefault="00AC4185">
            <w:pPr>
              <w:rPr>
                <w:szCs w:val="21"/>
              </w:rPr>
            </w:pPr>
            <w:r>
              <w:t>江苏宜城南方水泥有限公司</w:t>
            </w:r>
          </w:p>
        </w:tc>
        <w:tc>
          <w:tcPr>
            <w:tcW w:w="1334" w:type="pct"/>
            <w:tcBorders>
              <w:top w:val="single" w:sz="4" w:space="0" w:color="auto"/>
              <w:left w:val="single" w:sz="4" w:space="0" w:color="auto"/>
              <w:bottom w:val="single" w:sz="4" w:space="0" w:color="auto"/>
              <w:right w:val="single" w:sz="4" w:space="0" w:color="auto"/>
            </w:tcBorders>
            <w:vAlign w:val="center"/>
          </w:tcPr>
          <w:p w14:paraId="6E9C4631" w14:textId="77777777" w:rsidR="00E57DAA" w:rsidRDefault="00AC4185">
            <w:pPr>
              <w:jc w:val="right"/>
              <w:rPr>
                <w:szCs w:val="21"/>
              </w:rPr>
            </w:pPr>
            <w:r>
              <w:t>190,476,402.24</w:t>
            </w:r>
          </w:p>
        </w:tc>
        <w:tc>
          <w:tcPr>
            <w:tcW w:w="940" w:type="pct"/>
            <w:tcBorders>
              <w:top w:val="single" w:sz="4" w:space="0" w:color="auto"/>
              <w:left w:val="single" w:sz="4" w:space="0" w:color="auto"/>
              <w:bottom w:val="single" w:sz="4" w:space="0" w:color="auto"/>
              <w:right w:val="single" w:sz="4" w:space="0" w:color="auto"/>
            </w:tcBorders>
            <w:vAlign w:val="center"/>
          </w:tcPr>
          <w:p w14:paraId="7C3DA674" w14:textId="77777777" w:rsidR="00E57DAA" w:rsidRDefault="00AC4185">
            <w:pPr>
              <w:rPr>
                <w:szCs w:val="21"/>
              </w:rPr>
            </w:pPr>
            <w:r>
              <w:t>已履约未结算</w:t>
            </w:r>
          </w:p>
        </w:tc>
      </w:tr>
      <w:tr w:rsidR="00E57DAA" w14:paraId="1604F743" w14:textId="77777777">
        <w:trPr>
          <w:trHeight w:val="80"/>
        </w:trPr>
        <w:tc>
          <w:tcPr>
            <w:tcW w:w="2726" w:type="pct"/>
            <w:tcBorders>
              <w:top w:val="single" w:sz="4" w:space="0" w:color="auto"/>
              <w:left w:val="single" w:sz="4" w:space="0" w:color="auto"/>
              <w:bottom w:val="single" w:sz="4" w:space="0" w:color="auto"/>
              <w:right w:val="single" w:sz="4" w:space="0" w:color="auto"/>
            </w:tcBorders>
          </w:tcPr>
          <w:p w14:paraId="637C5C81" w14:textId="77777777" w:rsidR="00E57DAA" w:rsidRDefault="00AC4185">
            <w:pPr>
              <w:rPr>
                <w:szCs w:val="21"/>
              </w:rPr>
            </w:pPr>
            <w:r>
              <w:t>合肥南方水泥有限公司</w:t>
            </w:r>
          </w:p>
        </w:tc>
        <w:tc>
          <w:tcPr>
            <w:tcW w:w="1334" w:type="pct"/>
            <w:tcBorders>
              <w:top w:val="single" w:sz="4" w:space="0" w:color="auto"/>
              <w:left w:val="single" w:sz="4" w:space="0" w:color="auto"/>
              <w:bottom w:val="single" w:sz="4" w:space="0" w:color="auto"/>
              <w:right w:val="single" w:sz="4" w:space="0" w:color="auto"/>
            </w:tcBorders>
            <w:vAlign w:val="center"/>
          </w:tcPr>
          <w:p w14:paraId="34F5AFE8" w14:textId="77777777" w:rsidR="00E57DAA" w:rsidRDefault="00AC4185">
            <w:pPr>
              <w:jc w:val="right"/>
              <w:rPr>
                <w:szCs w:val="21"/>
              </w:rPr>
            </w:pPr>
            <w:r>
              <w:t>-166,534,488.47</w:t>
            </w:r>
          </w:p>
        </w:tc>
        <w:tc>
          <w:tcPr>
            <w:tcW w:w="940" w:type="pct"/>
            <w:tcBorders>
              <w:top w:val="single" w:sz="4" w:space="0" w:color="auto"/>
              <w:left w:val="single" w:sz="4" w:space="0" w:color="auto"/>
              <w:bottom w:val="single" w:sz="4" w:space="0" w:color="auto"/>
              <w:right w:val="single" w:sz="4" w:space="0" w:color="auto"/>
            </w:tcBorders>
            <w:vAlign w:val="center"/>
          </w:tcPr>
          <w:p w14:paraId="506A3876" w14:textId="77777777" w:rsidR="00E57DAA" w:rsidRDefault="00AC4185">
            <w:pPr>
              <w:rPr>
                <w:szCs w:val="21"/>
              </w:rPr>
            </w:pPr>
            <w:r>
              <w:t>已结算</w:t>
            </w:r>
          </w:p>
        </w:tc>
      </w:tr>
      <w:tr w:rsidR="00E57DAA" w14:paraId="44F5CF89" w14:textId="77777777">
        <w:trPr>
          <w:trHeight w:val="285"/>
        </w:trPr>
        <w:tc>
          <w:tcPr>
            <w:tcW w:w="2726" w:type="pct"/>
            <w:tcBorders>
              <w:top w:val="single" w:sz="4" w:space="0" w:color="auto"/>
              <w:left w:val="single" w:sz="4" w:space="0" w:color="auto"/>
              <w:bottom w:val="single" w:sz="4" w:space="0" w:color="auto"/>
              <w:right w:val="single" w:sz="4" w:space="0" w:color="auto"/>
            </w:tcBorders>
            <w:vAlign w:val="bottom"/>
          </w:tcPr>
          <w:p w14:paraId="578E8A7F" w14:textId="77777777" w:rsidR="00E57DAA" w:rsidRDefault="00AC4185">
            <w:pPr>
              <w:jc w:val="center"/>
              <w:rPr>
                <w:szCs w:val="21"/>
              </w:rPr>
            </w:pPr>
            <w:r>
              <w:rPr>
                <w:rFonts w:hint="eastAsia"/>
                <w:szCs w:val="21"/>
              </w:rPr>
              <w:t>合计</w:t>
            </w:r>
          </w:p>
        </w:tc>
        <w:tc>
          <w:tcPr>
            <w:tcW w:w="1334" w:type="pct"/>
            <w:tcBorders>
              <w:top w:val="single" w:sz="4" w:space="0" w:color="auto"/>
              <w:left w:val="single" w:sz="4" w:space="0" w:color="auto"/>
              <w:bottom w:val="single" w:sz="4" w:space="0" w:color="auto"/>
              <w:right w:val="single" w:sz="4" w:space="0" w:color="auto"/>
            </w:tcBorders>
          </w:tcPr>
          <w:p w14:paraId="12641D14" w14:textId="77777777" w:rsidR="00E57DAA" w:rsidRDefault="00AC4185">
            <w:pPr>
              <w:jc w:val="right"/>
              <w:rPr>
                <w:szCs w:val="21"/>
              </w:rPr>
            </w:pPr>
            <w:r>
              <w:rPr>
                <w:szCs w:val="21"/>
              </w:rPr>
              <w:t xml:space="preserve">1,314,361,812.69  </w:t>
            </w:r>
          </w:p>
        </w:tc>
        <w:tc>
          <w:tcPr>
            <w:tcW w:w="940" w:type="pct"/>
            <w:tcBorders>
              <w:top w:val="single" w:sz="4" w:space="0" w:color="auto"/>
              <w:left w:val="single" w:sz="4" w:space="0" w:color="auto"/>
              <w:bottom w:val="single" w:sz="4" w:space="0" w:color="auto"/>
              <w:right w:val="single" w:sz="4" w:space="0" w:color="auto"/>
            </w:tcBorders>
          </w:tcPr>
          <w:p w14:paraId="25BC542B" w14:textId="77777777" w:rsidR="00E57DAA" w:rsidRDefault="00AC4185">
            <w:pPr>
              <w:jc w:val="center"/>
              <w:rPr>
                <w:szCs w:val="21"/>
              </w:rPr>
            </w:pPr>
            <w:r>
              <w:rPr>
                <w:rFonts w:hint="eastAsia"/>
                <w:szCs w:val="21"/>
              </w:rPr>
              <w:t>/</w:t>
            </w:r>
          </w:p>
        </w:tc>
      </w:tr>
    </w:tbl>
    <w:p w14:paraId="25279369" w14:textId="77777777" w:rsidR="00E57DAA" w:rsidRDefault="00E57DAA">
      <w:pPr>
        <w:sectPr w:rsidR="00E57DAA" w:rsidSect="00226547">
          <w:pgSz w:w="11906" w:h="16838"/>
          <w:pgMar w:top="1440" w:right="1797" w:bottom="1525" w:left="1276" w:header="856" w:footer="992" w:gutter="0"/>
          <w:cols w:space="425"/>
          <w:docGrid w:linePitch="312"/>
        </w:sectPr>
      </w:pPr>
    </w:p>
    <w:p w14:paraId="7A4EF869" w14:textId="77777777" w:rsidR="00E57DAA" w:rsidRDefault="00E57DAA" w:rsidP="00C25422">
      <w:pPr>
        <w:pStyle w:val="92"/>
      </w:pPr>
    </w:p>
    <w:p w14:paraId="429CC91C" w14:textId="77777777" w:rsidR="00E57DAA" w:rsidRDefault="00AC4185">
      <w:pPr>
        <w:pStyle w:val="4"/>
        <w:numPr>
          <w:ilvl w:val="3"/>
          <w:numId w:val="72"/>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207" w:name="_Hlk153378989" w:displacedByCustomXml="next"/>
    <w:sdt>
      <w:sdtPr>
        <w:alias w:val="是否适用：按坏账计提方法分类披露[双击切换]"/>
        <w:tag w:val="_GBC_6dd4a97ab67f497ba65822d927d1d29e"/>
        <w:id w:val="1242985148"/>
        <w:placeholder>
          <w:docPart w:val="GBC22222222222222222222222222222"/>
        </w:placeholder>
      </w:sdtPr>
      <w:sdtEndPr/>
      <w:sdtContent>
        <w:p w14:paraId="13DBFF7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E4D005" w14:textId="77777777" w:rsidR="00E57DAA" w:rsidRDefault="00AC4185" w:rsidP="00C25422">
      <w:pPr>
        <w:pStyle w:val="73"/>
        <w:ind w:firstLine="400"/>
      </w:pPr>
      <w:r>
        <w:rPr>
          <w:rFonts w:hint="eastAsia"/>
        </w:rPr>
        <w:t>单位：</w:t>
      </w:r>
      <w:sdt>
        <w:sdtPr>
          <w:rPr>
            <w:rFonts w:hint="eastAsia"/>
          </w:rPr>
          <w:alias w:val="单位：按坏账计提方法分类披露"/>
          <w:tag w:val="_GBC_3e34a39a6d654d29bfd4fd73666faa86"/>
          <w:id w:val="-33322070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w:t>
      </w:r>
      <w:r>
        <w:rPr>
          <w:rFonts w:hint="eastAsia"/>
        </w:rPr>
        <w:t>币种：</w:t>
      </w:r>
      <w:sdt>
        <w:sdtPr>
          <w:rPr>
            <w:rFonts w:hint="eastAsia"/>
          </w:rPr>
          <w:alias w:val="币种：按坏账计提方法分类披露"/>
          <w:tag w:val="_GBC_201ccc2512d14686927c89d5441e02dd"/>
          <w:id w:val="-13456970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0"/>
        <w:gridCol w:w="1417"/>
        <w:gridCol w:w="704"/>
        <w:gridCol w:w="1611"/>
        <w:gridCol w:w="704"/>
        <w:gridCol w:w="1811"/>
        <w:gridCol w:w="1811"/>
        <w:gridCol w:w="807"/>
        <w:gridCol w:w="1611"/>
        <w:gridCol w:w="604"/>
        <w:gridCol w:w="1813"/>
      </w:tblGrid>
      <w:tr w:rsidR="00E57DAA" w14:paraId="706D2A90" w14:textId="77777777">
        <w:trPr>
          <w:cantSplit/>
          <w:trHeight w:val="259"/>
        </w:trPr>
        <w:sdt>
          <w:sdtPr>
            <w:rPr>
              <w:rFonts w:hint="eastAsia"/>
              <w:sz w:val="15"/>
              <w:szCs w:val="15"/>
            </w:rPr>
            <w:tag w:val="_PLD_a88ed804743a4ad2935a8d00e2abfc1d"/>
            <w:id w:val="-676577018"/>
          </w:sdtPr>
          <w:sdtEndPr/>
          <w:sdtContent>
            <w:tc>
              <w:tcPr>
                <w:tcW w:w="350" w:type="pct"/>
                <w:vMerge w:val="restart"/>
                <w:tcBorders>
                  <w:top w:val="single" w:sz="4" w:space="0" w:color="auto"/>
                  <w:left w:val="single" w:sz="4" w:space="0" w:color="auto"/>
                  <w:right w:val="single" w:sz="4" w:space="0" w:color="auto"/>
                </w:tcBorders>
                <w:vAlign w:val="center"/>
              </w:tcPr>
              <w:p w14:paraId="5A0D54D0" w14:textId="77777777" w:rsidR="00E57DAA" w:rsidRDefault="00AC4185">
                <w:pPr>
                  <w:jc w:val="center"/>
                  <w:rPr>
                    <w:sz w:val="15"/>
                    <w:szCs w:val="15"/>
                  </w:rPr>
                </w:pPr>
                <w:r>
                  <w:rPr>
                    <w:rFonts w:hint="eastAsia"/>
                    <w:sz w:val="15"/>
                    <w:szCs w:val="15"/>
                  </w:rPr>
                  <w:t>类别</w:t>
                </w:r>
              </w:p>
            </w:tc>
          </w:sdtContent>
        </w:sdt>
        <w:sdt>
          <w:sdtPr>
            <w:rPr>
              <w:rFonts w:hint="eastAsia"/>
              <w:sz w:val="15"/>
              <w:szCs w:val="15"/>
            </w:rPr>
            <w:tag w:val="_PLD_f6b2570293574aa1ac2234dc7e89fe3a"/>
            <w:id w:val="-506290932"/>
          </w:sdtPr>
          <w:sdtEndPr/>
          <w:sdtContent>
            <w:tc>
              <w:tcPr>
                <w:tcW w:w="2253" w:type="pct"/>
                <w:gridSpan w:val="5"/>
                <w:tcBorders>
                  <w:top w:val="single" w:sz="4" w:space="0" w:color="auto"/>
                  <w:left w:val="single" w:sz="4" w:space="0" w:color="auto"/>
                  <w:right w:val="single" w:sz="4" w:space="0" w:color="auto"/>
                </w:tcBorders>
                <w:vAlign w:val="center"/>
              </w:tcPr>
              <w:p w14:paraId="4C7B9949"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期末余额</w:t>
                </w:r>
              </w:p>
            </w:tc>
          </w:sdtContent>
        </w:sdt>
        <w:sdt>
          <w:sdtPr>
            <w:rPr>
              <w:rFonts w:hint="eastAsia"/>
              <w:sz w:val="15"/>
              <w:szCs w:val="15"/>
            </w:rPr>
            <w:tag w:val="_PLD_f2fecfa113024ecbb7f399ab2226c958"/>
            <w:id w:val="1229808993"/>
          </w:sdtPr>
          <w:sdtEndPr/>
          <w:sdtContent>
            <w:tc>
              <w:tcPr>
                <w:tcW w:w="2397" w:type="pct"/>
                <w:gridSpan w:val="5"/>
                <w:tcBorders>
                  <w:top w:val="single" w:sz="4" w:space="0" w:color="auto"/>
                  <w:left w:val="single" w:sz="4" w:space="0" w:color="auto"/>
                  <w:right w:val="single" w:sz="4" w:space="0" w:color="auto"/>
                </w:tcBorders>
                <w:vAlign w:val="center"/>
              </w:tcPr>
              <w:p w14:paraId="3CB46AAC"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期初余额</w:t>
                </w:r>
              </w:p>
            </w:tc>
          </w:sdtContent>
        </w:sdt>
      </w:tr>
      <w:tr w:rsidR="00E57DAA" w14:paraId="1F56466E" w14:textId="77777777">
        <w:trPr>
          <w:cantSplit/>
          <w:trHeight w:val="227"/>
        </w:trPr>
        <w:tc>
          <w:tcPr>
            <w:tcW w:w="350" w:type="pct"/>
            <w:vMerge/>
            <w:tcBorders>
              <w:left w:val="single" w:sz="4" w:space="0" w:color="auto"/>
              <w:right w:val="single" w:sz="4" w:space="0" w:color="auto"/>
            </w:tcBorders>
            <w:vAlign w:val="center"/>
          </w:tcPr>
          <w:p w14:paraId="2706CD9A" w14:textId="77777777" w:rsidR="00E57DAA" w:rsidRDefault="00E57DAA">
            <w:pPr>
              <w:rPr>
                <w:sz w:val="15"/>
                <w:szCs w:val="15"/>
              </w:rPr>
            </w:pPr>
          </w:p>
        </w:tc>
        <w:sdt>
          <w:sdtPr>
            <w:rPr>
              <w:rFonts w:hint="eastAsia"/>
              <w:sz w:val="15"/>
              <w:szCs w:val="15"/>
            </w:rPr>
            <w:tag w:val="_PLD_b4b60d8ac56c4c6eadd8354d9f445e0b"/>
            <w:id w:val="-2062397648"/>
          </w:sdtPr>
          <w:sdtEndPr/>
          <w:sdtContent>
            <w:tc>
              <w:tcPr>
                <w:tcW w:w="765" w:type="pct"/>
                <w:gridSpan w:val="2"/>
                <w:tcBorders>
                  <w:top w:val="single" w:sz="4" w:space="0" w:color="auto"/>
                  <w:left w:val="single" w:sz="4" w:space="0" w:color="auto"/>
                  <w:bottom w:val="single" w:sz="4" w:space="0" w:color="auto"/>
                  <w:right w:val="single" w:sz="4" w:space="0" w:color="auto"/>
                </w:tcBorders>
                <w:vAlign w:val="center"/>
              </w:tcPr>
              <w:p w14:paraId="4B0A4704" w14:textId="77777777" w:rsidR="00E57DAA" w:rsidRDefault="00AC4185">
                <w:pPr>
                  <w:jc w:val="center"/>
                  <w:rPr>
                    <w:sz w:val="15"/>
                    <w:szCs w:val="15"/>
                  </w:rPr>
                </w:pPr>
                <w:r>
                  <w:rPr>
                    <w:rFonts w:hint="eastAsia"/>
                    <w:sz w:val="15"/>
                    <w:szCs w:val="15"/>
                  </w:rPr>
                  <w:t>账面余额</w:t>
                </w:r>
              </w:p>
            </w:tc>
          </w:sdtContent>
        </w:sdt>
        <w:sdt>
          <w:sdtPr>
            <w:rPr>
              <w:rFonts w:hint="eastAsia"/>
              <w:sz w:val="15"/>
              <w:szCs w:val="15"/>
            </w:rPr>
            <w:tag w:val="_PLD_2c8159ce6e544620af519dc4346a6c12"/>
            <w:id w:val="1023904673"/>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64533586" w14:textId="77777777" w:rsidR="00E57DAA" w:rsidRDefault="00AC4185">
                <w:pPr>
                  <w:jc w:val="center"/>
                  <w:rPr>
                    <w:sz w:val="15"/>
                    <w:szCs w:val="15"/>
                  </w:rPr>
                </w:pPr>
                <w:r>
                  <w:rPr>
                    <w:rFonts w:hint="eastAsia"/>
                    <w:sz w:val="15"/>
                    <w:szCs w:val="15"/>
                  </w:rPr>
                  <w:t>坏账准备</w:t>
                </w:r>
              </w:p>
            </w:tc>
          </w:sdtContent>
        </w:sdt>
        <w:sdt>
          <w:sdtPr>
            <w:rPr>
              <w:rFonts w:hint="eastAsia"/>
              <w:sz w:val="15"/>
              <w:szCs w:val="15"/>
            </w:rPr>
            <w:tag w:val="_PLD_9d7ed22a716545359c5d87b19b7b1ee3"/>
            <w:id w:val="-84695558"/>
          </w:sdtPr>
          <w:sdtEndPr/>
          <w:sdtContent>
            <w:tc>
              <w:tcPr>
                <w:tcW w:w="653" w:type="pct"/>
                <w:vMerge w:val="restart"/>
                <w:tcBorders>
                  <w:top w:val="single" w:sz="4" w:space="0" w:color="auto"/>
                  <w:left w:val="single" w:sz="4" w:space="0" w:color="auto"/>
                  <w:right w:val="single" w:sz="4" w:space="0" w:color="auto"/>
                </w:tcBorders>
                <w:vAlign w:val="center"/>
              </w:tcPr>
              <w:p w14:paraId="6739440C" w14:textId="77777777" w:rsidR="00E57DAA" w:rsidRDefault="00AC4185">
                <w:pPr>
                  <w:jc w:val="center"/>
                  <w:rPr>
                    <w:sz w:val="15"/>
                    <w:szCs w:val="15"/>
                  </w:rPr>
                </w:pPr>
                <w:r>
                  <w:rPr>
                    <w:rFonts w:hint="eastAsia"/>
                    <w:sz w:val="15"/>
                    <w:szCs w:val="15"/>
                  </w:rPr>
                  <w:t>账面</w:t>
                </w:r>
              </w:p>
              <w:p w14:paraId="1AF46F8E" w14:textId="77777777" w:rsidR="00E57DAA" w:rsidRDefault="00AC4185">
                <w:pPr>
                  <w:jc w:val="center"/>
                  <w:rPr>
                    <w:sz w:val="15"/>
                    <w:szCs w:val="15"/>
                  </w:rPr>
                </w:pPr>
                <w:r>
                  <w:rPr>
                    <w:rFonts w:hint="eastAsia"/>
                    <w:sz w:val="15"/>
                    <w:szCs w:val="15"/>
                  </w:rPr>
                  <w:t>价值</w:t>
                </w:r>
              </w:p>
            </w:tc>
          </w:sdtContent>
        </w:sdt>
        <w:sdt>
          <w:sdtPr>
            <w:rPr>
              <w:rFonts w:hint="eastAsia"/>
              <w:sz w:val="15"/>
              <w:szCs w:val="15"/>
            </w:rPr>
            <w:tag w:val="_PLD_5568e8056e5849749a906291524bf7ea"/>
            <w:id w:val="-1011596286"/>
          </w:sdtPr>
          <w:sdtEndPr/>
          <w:sdtContent>
            <w:tc>
              <w:tcPr>
                <w:tcW w:w="944" w:type="pct"/>
                <w:gridSpan w:val="2"/>
                <w:tcBorders>
                  <w:top w:val="single" w:sz="4" w:space="0" w:color="auto"/>
                  <w:left w:val="single" w:sz="4" w:space="0" w:color="auto"/>
                  <w:right w:val="single" w:sz="4" w:space="0" w:color="auto"/>
                </w:tcBorders>
                <w:vAlign w:val="center"/>
              </w:tcPr>
              <w:p w14:paraId="2E686358" w14:textId="77777777" w:rsidR="00E57DAA" w:rsidRDefault="00AC4185">
                <w:pPr>
                  <w:jc w:val="center"/>
                  <w:rPr>
                    <w:sz w:val="15"/>
                    <w:szCs w:val="15"/>
                  </w:rPr>
                </w:pPr>
                <w:r>
                  <w:rPr>
                    <w:rFonts w:hint="eastAsia"/>
                    <w:sz w:val="15"/>
                    <w:szCs w:val="15"/>
                  </w:rPr>
                  <w:t>账面余额</w:t>
                </w:r>
              </w:p>
            </w:tc>
          </w:sdtContent>
        </w:sdt>
        <w:sdt>
          <w:sdtPr>
            <w:rPr>
              <w:rFonts w:hint="eastAsia"/>
              <w:sz w:val="15"/>
              <w:szCs w:val="15"/>
            </w:rPr>
            <w:tag w:val="_PLD_83f49f9947c343f7bc2f8b7cb4409d3d"/>
            <w:id w:val="1326236994"/>
          </w:sdtPr>
          <w:sdtEndPr/>
          <w:sdtContent>
            <w:tc>
              <w:tcPr>
                <w:tcW w:w="799" w:type="pct"/>
                <w:gridSpan w:val="2"/>
                <w:tcBorders>
                  <w:top w:val="single" w:sz="4" w:space="0" w:color="auto"/>
                  <w:left w:val="single" w:sz="4" w:space="0" w:color="auto"/>
                  <w:right w:val="single" w:sz="4" w:space="0" w:color="auto"/>
                </w:tcBorders>
                <w:vAlign w:val="center"/>
              </w:tcPr>
              <w:p w14:paraId="75B7E8C1" w14:textId="77777777" w:rsidR="00E57DAA" w:rsidRDefault="00AC4185">
                <w:pPr>
                  <w:jc w:val="center"/>
                  <w:rPr>
                    <w:sz w:val="15"/>
                    <w:szCs w:val="15"/>
                  </w:rPr>
                </w:pPr>
                <w:r>
                  <w:rPr>
                    <w:rFonts w:hint="eastAsia"/>
                    <w:sz w:val="15"/>
                    <w:szCs w:val="15"/>
                  </w:rPr>
                  <w:t>坏账准备</w:t>
                </w:r>
              </w:p>
            </w:tc>
          </w:sdtContent>
        </w:sdt>
        <w:sdt>
          <w:sdtPr>
            <w:rPr>
              <w:rFonts w:hint="eastAsia"/>
              <w:sz w:val="15"/>
              <w:szCs w:val="15"/>
            </w:rPr>
            <w:tag w:val="_PLD_bf27499c1843456db48ac010d8b2d59f"/>
            <w:id w:val="-881627641"/>
          </w:sdtPr>
          <w:sdtEndPr/>
          <w:sdtContent>
            <w:tc>
              <w:tcPr>
                <w:tcW w:w="655" w:type="pct"/>
                <w:vMerge w:val="restart"/>
                <w:tcBorders>
                  <w:top w:val="single" w:sz="4" w:space="0" w:color="auto"/>
                  <w:left w:val="single" w:sz="4" w:space="0" w:color="auto"/>
                  <w:right w:val="single" w:sz="4" w:space="0" w:color="auto"/>
                </w:tcBorders>
                <w:vAlign w:val="center"/>
              </w:tcPr>
              <w:p w14:paraId="2B692063" w14:textId="77777777" w:rsidR="00E57DAA" w:rsidRDefault="00AC4185">
                <w:pPr>
                  <w:jc w:val="center"/>
                  <w:rPr>
                    <w:sz w:val="15"/>
                    <w:szCs w:val="15"/>
                  </w:rPr>
                </w:pPr>
                <w:r>
                  <w:rPr>
                    <w:rFonts w:hint="eastAsia"/>
                    <w:sz w:val="15"/>
                    <w:szCs w:val="15"/>
                  </w:rPr>
                  <w:t>账面</w:t>
                </w:r>
              </w:p>
              <w:p w14:paraId="7B0C3B92" w14:textId="77777777" w:rsidR="00E57DAA" w:rsidRDefault="00AC4185">
                <w:pPr>
                  <w:jc w:val="center"/>
                  <w:rPr>
                    <w:sz w:val="15"/>
                    <w:szCs w:val="15"/>
                  </w:rPr>
                </w:pPr>
                <w:r>
                  <w:rPr>
                    <w:rFonts w:hint="eastAsia"/>
                    <w:sz w:val="15"/>
                    <w:szCs w:val="15"/>
                  </w:rPr>
                  <w:t>价值</w:t>
                </w:r>
              </w:p>
            </w:tc>
          </w:sdtContent>
        </w:sdt>
      </w:tr>
      <w:tr w:rsidR="00E57DAA" w14:paraId="45B7D5C4" w14:textId="77777777">
        <w:trPr>
          <w:cantSplit/>
          <w:trHeight w:val="375"/>
        </w:trPr>
        <w:tc>
          <w:tcPr>
            <w:tcW w:w="350" w:type="pct"/>
            <w:vMerge/>
            <w:tcBorders>
              <w:left w:val="single" w:sz="4" w:space="0" w:color="auto"/>
              <w:bottom w:val="single" w:sz="4" w:space="0" w:color="auto"/>
              <w:right w:val="single" w:sz="4" w:space="0" w:color="auto"/>
            </w:tcBorders>
            <w:vAlign w:val="center"/>
          </w:tcPr>
          <w:p w14:paraId="4BD89D23" w14:textId="77777777" w:rsidR="00E57DAA" w:rsidRDefault="00E57DAA">
            <w:pPr>
              <w:rPr>
                <w:sz w:val="15"/>
                <w:szCs w:val="15"/>
              </w:rPr>
            </w:pPr>
          </w:p>
        </w:tc>
        <w:sdt>
          <w:sdtPr>
            <w:rPr>
              <w:rFonts w:hint="eastAsia"/>
              <w:sz w:val="15"/>
              <w:szCs w:val="15"/>
            </w:rPr>
            <w:tag w:val="_PLD_11668c4a724a49aaa732b026a1e0f39c"/>
            <w:id w:val="1691331680"/>
          </w:sdtPr>
          <w:sdtEndPr/>
          <w:sdtContent>
            <w:tc>
              <w:tcPr>
                <w:tcW w:w="511" w:type="pct"/>
                <w:tcBorders>
                  <w:left w:val="single" w:sz="4" w:space="0" w:color="auto"/>
                  <w:bottom w:val="single" w:sz="4" w:space="0" w:color="auto"/>
                  <w:right w:val="single" w:sz="4" w:space="0" w:color="auto"/>
                </w:tcBorders>
                <w:vAlign w:val="center"/>
              </w:tcPr>
              <w:p w14:paraId="501123E0" w14:textId="77777777" w:rsidR="00E57DAA" w:rsidRDefault="00AC4185">
                <w:pPr>
                  <w:jc w:val="center"/>
                  <w:rPr>
                    <w:sz w:val="15"/>
                    <w:szCs w:val="15"/>
                  </w:rPr>
                </w:pPr>
                <w:r>
                  <w:rPr>
                    <w:rFonts w:hint="eastAsia"/>
                    <w:sz w:val="15"/>
                    <w:szCs w:val="15"/>
                  </w:rPr>
                  <w:t>金额</w:t>
                </w:r>
              </w:p>
            </w:tc>
          </w:sdtContent>
        </w:sdt>
        <w:sdt>
          <w:sdtPr>
            <w:rPr>
              <w:rFonts w:hint="eastAsia"/>
              <w:sz w:val="15"/>
              <w:szCs w:val="15"/>
            </w:rPr>
            <w:tag w:val="_PLD_4c741a587df94cf9810d496c7bd185ca"/>
            <w:id w:val="1197897029"/>
          </w:sdtPr>
          <w:sdtEndPr>
            <w:rPr>
              <w:rFonts w:hint="default"/>
            </w:rPr>
          </w:sdtEndPr>
          <w:sdtContent>
            <w:tc>
              <w:tcPr>
                <w:tcW w:w="254" w:type="pct"/>
                <w:tcBorders>
                  <w:left w:val="single" w:sz="4" w:space="0" w:color="auto"/>
                  <w:bottom w:val="single" w:sz="4" w:space="0" w:color="auto"/>
                  <w:right w:val="single" w:sz="4" w:space="0" w:color="auto"/>
                </w:tcBorders>
                <w:vAlign w:val="center"/>
              </w:tcPr>
              <w:p w14:paraId="3C9A3240" w14:textId="77777777" w:rsidR="00E57DAA" w:rsidRDefault="00AC4185">
                <w:pPr>
                  <w:jc w:val="center"/>
                  <w:rPr>
                    <w:sz w:val="15"/>
                    <w:szCs w:val="15"/>
                  </w:rPr>
                </w:pPr>
                <w:r>
                  <w:rPr>
                    <w:rFonts w:hint="eastAsia"/>
                    <w:sz w:val="15"/>
                    <w:szCs w:val="15"/>
                  </w:rPr>
                  <w:t>比例</w:t>
                </w:r>
                <w:r>
                  <w:rPr>
                    <w:sz w:val="15"/>
                    <w:szCs w:val="15"/>
                  </w:rPr>
                  <w:t>(%)</w:t>
                </w:r>
              </w:p>
            </w:tc>
          </w:sdtContent>
        </w:sdt>
        <w:sdt>
          <w:sdtPr>
            <w:rPr>
              <w:rFonts w:hint="eastAsia"/>
              <w:sz w:val="15"/>
              <w:szCs w:val="15"/>
            </w:rPr>
            <w:tag w:val="_PLD_ac28104255224ad49cab9dc923ee70f6"/>
            <w:id w:val="970332089"/>
          </w:sdtPr>
          <w:sdtEndPr/>
          <w:sdtContent>
            <w:tc>
              <w:tcPr>
                <w:tcW w:w="581" w:type="pct"/>
                <w:tcBorders>
                  <w:left w:val="single" w:sz="4" w:space="0" w:color="auto"/>
                  <w:bottom w:val="single" w:sz="4" w:space="0" w:color="auto"/>
                  <w:right w:val="single" w:sz="4" w:space="0" w:color="auto"/>
                </w:tcBorders>
                <w:vAlign w:val="center"/>
              </w:tcPr>
              <w:p w14:paraId="02868DFB" w14:textId="77777777" w:rsidR="00E57DAA" w:rsidRDefault="00AC4185">
                <w:pPr>
                  <w:jc w:val="center"/>
                  <w:rPr>
                    <w:sz w:val="15"/>
                    <w:szCs w:val="15"/>
                  </w:rPr>
                </w:pPr>
                <w:r>
                  <w:rPr>
                    <w:rFonts w:hint="eastAsia"/>
                    <w:sz w:val="15"/>
                    <w:szCs w:val="15"/>
                  </w:rPr>
                  <w:t>金额</w:t>
                </w:r>
              </w:p>
            </w:tc>
          </w:sdtContent>
        </w:sdt>
        <w:sdt>
          <w:sdtPr>
            <w:rPr>
              <w:rFonts w:hint="eastAsia"/>
              <w:sz w:val="15"/>
              <w:szCs w:val="15"/>
            </w:rPr>
            <w:tag w:val="_PLD_d609fd647f9f433b9d909e9248308b13"/>
            <w:id w:val="1642310402"/>
          </w:sdtPr>
          <w:sdtEndPr>
            <w:rPr>
              <w:rFonts w:hint="default"/>
            </w:rPr>
          </w:sdtEndPr>
          <w:sdtContent>
            <w:tc>
              <w:tcPr>
                <w:tcW w:w="254" w:type="pct"/>
                <w:tcBorders>
                  <w:left w:val="single" w:sz="4" w:space="0" w:color="auto"/>
                  <w:bottom w:val="single" w:sz="4" w:space="0" w:color="auto"/>
                  <w:right w:val="single" w:sz="4" w:space="0" w:color="auto"/>
                </w:tcBorders>
                <w:vAlign w:val="center"/>
              </w:tcPr>
              <w:p w14:paraId="7F0189A8"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653" w:type="pct"/>
            <w:vMerge/>
            <w:tcBorders>
              <w:left w:val="single" w:sz="4" w:space="0" w:color="auto"/>
              <w:bottom w:val="single" w:sz="4" w:space="0" w:color="auto"/>
              <w:right w:val="single" w:sz="4" w:space="0" w:color="auto"/>
            </w:tcBorders>
            <w:vAlign w:val="center"/>
          </w:tcPr>
          <w:p w14:paraId="790AEA11" w14:textId="77777777" w:rsidR="00E57DAA" w:rsidRDefault="00E57DAA">
            <w:pPr>
              <w:jc w:val="center"/>
              <w:rPr>
                <w:sz w:val="15"/>
                <w:szCs w:val="15"/>
              </w:rPr>
            </w:pPr>
          </w:p>
        </w:tc>
        <w:sdt>
          <w:sdtPr>
            <w:rPr>
              <w:rFonts w:hint="eastAsia"/>
              <w:sz w:val="15"/>
              <w:szCs w:val="15"/>
            </w:rPr>
            <w:tag w:val="_PLD_08e6ebad7b7740649b21c159b3900ad1"/>
            <w:id w:val="-1062859191"/>
          </w:sdtPr>
          <w:sdtEndPr/>
          <w:sdtContent>
            <w:tc>
              <w:tcPr>
                <w:tcW w:w="653" w:type="pct"/>
                <w:tcBorders>
                  <w:left w:val="single" w:sz="4" w:space="0" w:color="auto"/>
                  <w:bottom w:val="single" w:sz="4" w:space="0" w:color="auto"/>
                  <w:right w:val="single" w:sz="4" w:space="0" w:color="auto"/>
                </w:tcBorders>
                <w:vAlign w:val="center"/>
              </w:tcPr>
              <w:p w14:paraId="32C27EA5" w14:textId="77777777" w:rsidR="00E57DAA" w:rsidRDefault="00AC4185">
                <w:pPr>
                  <w:jc w:val="center"/>
                  <w:rPr>
                    <w:sz w:val="15"/>
                    <w:szCs w:val="15"/>
                  </w:rPr>
                </w:pPr>
                <w:r>
                  <w:rPr>
                    <w:rFonts w:hint="eastAsia"/>
                    <w:sz w:val="15"/>
                    <w:szCs w:val="15"/>
                  </w:rPr>
                  <w:t>金额</w:t>
                </w:r>
              </w:p>
            </w:tc>
          </w:sdtContent>
        </w:sdt>
        <w:sdt>
          <w:sdtPr>
            <w:rPr>
              <w:rFonts w:hint="eastAsia"/>
              <w:sz w:val="15"/>
              <w:szCs w:val="15"/>
            </w:rPr>
            <w:tag w:val="_PLD_19f0f31e78504bb6bfe4462c8157543f"/>
            <w:id w:val="1087032267"/>
          </w:sdtPr>
          <w:sdtEndPr>
            <w:rPr>
              <w:rFonts w:hint="default"/>
            </w:rPr>
          </w:sdtEndPr>
          <w:sdtContent>
            <w:tc>
              <w:tcPr>
                <w:tcW w:w="290" w:type="pct"/>
                <w:tcBorders>
                  <w:left w:val="single" w:sz="4" w:space="0" w:color="auto"/>
                  <w:bottom w:val="single" w:sz="4" w:space="0" w:color="auto"/>
                  <w:right w:val="single" w:sz="4" w:space="0" w:color="auto"/>
                </w:tcBorders>
                <w:vAlign w:val="center"/>
              </w:tcPr>
              <w:p w14:paraId="6A814C24" w14:textId="77777777" w:rsidR="00E57DAA" w:rsidRDefault="00AC4185">
                <w:pPr>
                  <w:jc w:val="center"/>
                  <w:rPr>
                    <w:sz w:val="15"/>
                    <w:szCs w:val="15"/>
                  </w:rPr>
                </w:pPr>
                <w:r>
                  <w:rPr>
                    <w:rFonts w:hint="eastAsia"/>
                    <w:sz w:val="15"/>
                    <w:szCs w:val="15"/>
                  </w:rPr>
                  <w:t>比例</w:t>
                </w:r>
                <w:r>
                  <w:rPr>
                    <w:sz w:val="15"/>
                    <w:szCs w:val="15"/>
                  </w:rPr>
                  <w:t>(%)</w:t>
                </w:r>
              </w:p>
            </w:tc>
          </w:sdtContent>
        </w:sdt>
        <w:sdt>
          <w:sdtPr>
            <w:rPr>
              <w:rFonts w:hint="eastAsia"/>
              <w:sz w:val="15"/>
              <w:szCs w:val="15"/>
            </w:rPr>
            <w:tag w:val="_PLD_6777766f2c41463fb47fc1f3c120a79a"/>
            <w:id w:val="-2119906335"/>
          </w:sdtPr>
          <w:sdtEndPr/>
          <w:sdtContent>
            <w:tc>
              <w:tcPr>
                <w:tcW w:w="581" w:type="pct"/>
                <w:tcBorders>
                  <w:left w:val="single" w:sz="4" w:space="0" w:color="auto"/>
                  <w:bottom w:val="single" w:sz="4" w:space="0" w:color="auto"/>
                  <w:right w:val="single" w:sz="4" w:space="0" w:color="auto"/>
                </w:tcBorders>
                <w:vAlign w:val="center"/>
              </w:tcPr>
              <w:p w14:paraId="7D52F6DD" w14:textId="77777777" w:rsidR="00E57DAA" w:rsidRDefault="00AC4185">
                <w:pPr>
                  <w:jc w:val="center"/>
                  <w:rPr>
                    <w:sz w:val="15"/>
                    <w:szCs w:val="15"/>
                  </w:rPr>
                </w:pPr>
                <w:r>
                  <w:rPr>
                    <w:rFonts w:hint="eastAsia"/>
                    <w:sz w:val="15"/>
                    <w:szCs w:val="15"/>
                  </w:rPr>
                  <w:t>金额</w:t>
                </w:r>
              </w:p>
            </w:tc>
          </w:sdtContent>
        </w:sdt>
        <w:sdt>
          <w:sdtPr>
            <w:rPr>
              <w:rFonts w:hint="eastAsia"/>
              <w:sz w:val="15"/>
              <w:szCs w:val="15"/>
            </w:rPr>
            <w:tag w:val="_PLD_98395a9022ec46dab289a6cc68dbb22e"/>
            <w:id w:val="-544836160"/>
          </w:sdtPr>
          <w:sdtEndPr>
            <w:rPr>
              <w:rFonts w:hint="default"/>
            </w:rPr>
          </w:sdtEndPr>
          <w:sdtContent>
            <w:tc>
              <w:tcPr>
                <w:tcW w:w="217" w:type="pct"/>
                <w:tcBorders>
                  <w:left w:val="single" w:sz="4" w:space="0" w:color="auto"/>
                  <w:bottom w:val="single" w:sz="4" w:space="0" w:color="auto"/>
                  <w:right w:val="single" w:sz="4" w:space="0" w:color="auto"/>
                </w:tcBorders>
                <w:vAlign w:val="center"/>
              </w:tcPr>
              <w:p w14:paraId="72D56ACD"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655" w:type="pct"/>
            <w:vMerge/>
            <w:tcBorders>
              <w:left w:val="single" w:sz="4" w:space="0" w:color="auto"/>
              <w:bottom w:val="single" w:sz="4" w:space="0" w:color="auto"/>
              <w:right w:val="single" w:sz="4" w:space="0" w:color="auto"/>
            </w:tcBorders>
          </w:tcPr>
          <w:p w14:paraId="006F37AF" w14:textId="77777777" w:rsidR="00E57DAA" w:rsidRDefault="00E57DAA">
            <w:pPr>
              <w:jc w:val="center"/>
              <w:rPr>
                <w:sz w:val="15"/>
                <w:szCs w:val="15"/>
              </w:rPr>
            </w:pPr>
          </w:p>
        </w:tc>
      </w:tr>
      <w:tr w:rsidR="00E57DAA" w14:paraId="13CD71E4" w14:textId="77777777">
        <w:trPr>
          <w:cantSplit/>
        </w:trPr>
        <w:tc>
          <w:tcPr>
            <w:tcW w:w="350" w:type="pct"/>
            <w:tcBorders>
              <w:top w:val="single" w:sz="4" w:space="0" w:color="auto"/>
              <w:left w:val="single" w:sz="4" w:space="0" w:color="auto"/>
              <w:bottom w:val="single" w:sz="4" w:space="0" w:color="auto"/>
              <w:right w:val="single" w:sz="4" w:space="0" w:color="auto"/>
            </w:tcBorders>
          </w:tcPr>
          <w:p w14:paraId="3890ABF4" w14:textId="77777777" w:rsidR="00E57DAA" w:rsidRDefault="00AC4185">
            <w:pPr>
              <w:rPr>
                <w:sz w:val="15"/>
                <w:szCs w:val="15"/>
              </w:rPr>
            </w:pPr>
            <w:r>
              <w:rPr>
                <w:rFonts w:hint="eastAsia"/>
                <w:sz w:val="15"/>
                <w:szCs w:val="15"/>
              </w:rPr>
              <w:t>按单项计提坏账准备</w:t>
            </w:r>
          </w:p>
        </w:tc>
        <w:tc>
          <w:tcPr>
            <w:tcW w:w="511" w:type="pct"/>
            <w:tcBorders>
              <w:top w:val="single" w:sz="4" w:space="0" w:color="auto"/>
              <w:left w:val="single" w:sz="4" w:space="0" w:color="auto"/>
              <w:bottom w:val="single" w:sz="4" w:space="0" w:color="auto"/>
              <w:right w:val="single" w:sz="4" w:space="0" w:color="auto"/>
            </w:tcBorders>
            <w:vAlign w:val="center"/>
          </w:tcPr>
          <w:p w14:paraId="2121763A" w14:textId="77777777" w:rsidR="00E57DAA" w:rsidRDefault="00AC4185">
            <w:pPr>
              <w:jc w:val="right"/>
              <w:rPr>
                <w:sz w:val="15"/>
                <w:szCs w:val="15"/>
              </w:rPr>
            </w:pPr>
            <w:r>
              <w:rPr>
                <w:sz w:val="15"/>
                <w:szCs w:val="15"/>
              </w:rPr>
              <w:t>5,102,733.87</w:t>
            </w:r>
          </w:p>
        </w:tc>
        <w:tc>
          <w:tcPr>
            <w:tcW w:w="254" w:type="pct"/>
            <w:tcBorders>
              <w:top w:val="single" w:sz="4" w:space="0" w:color="auto"/>
              <w:left w:val="single" w:sz="4" w:space="0" w:color="auto"/>
              <w:bottom w:val="single" w:sz="4" w:space="0" w:color="auto"/>
              <w:right w:val="single" w:sz="4" w:space="0" w:color="auto"/>
            </w:tcBorders>
            <w:vAlign w:val="center"/>
          </w:tcPr>
          <w:p w14:paraId="1BC14698" w14:textId="77777777" w:rsidR="00E57DAA" w:rsidRDefault="00AC4185">
            <w:pPr>
              <w:jc w:val="right"/>
              <w:rPr>
                <w:sz w:val="15"/>
                <w:szCs w:val="15"/>
              </w:rPr>
            </w:pPr>
            <w:r>
              <w:rPr>
                <w:sz w:val="15"/>
                <w:szCs w:val="15"/>
              </w:rPr>
              <w:t>0.07</w:t>
            </w:r>
          </w:p>
        </w:tc>
        <w:tc>
          <w:tcPr>
            <w:tcW w:w="581" w:type="pct"/>
            <w:tcBorders>
              <w:top w:val="single" w:sz="4" w:space="0" w:color="auto"/>
              <w:left w:val="single" w:sz="4" w:space="0" w:color="auto"/>
              <w:bottom w:val="single" w:sz="4" w:space="0" w:color="auto"/>
              <w:right w:val="single" w:sz="4" w:space="0" w:color="auto"/>
            </w:tcBorders>
            <w:vAlign w:val="center"/>
          </w:tcPr>
          <w:p w14:paraId="60BDFF8C" w14:textId="77777777" w:rsidR="00E57DAA" w:rsidRDefault="00AC4185">
            <w:pPr>
              <w:jc w:val="right"/>
              <w:rPr>
                <w:sz w:val="15"/>
                <w:szCs w:val="15"/>
              </w:rPr>
            </w:pPr>
            <w:r>
              <w:rPr>
                <w:sz w:val="15"/>
                <w:szCs w:val="15"/>
              </w:rPr>
              <w:t>2,551,366.94</w:t>
            </w:r>
          </w:p>
        </w:tc>
        <w:tc>
          <w:tcPr>
            <w:tcW w:w="254" w:type="pct"/>
            <w:tcBorders>
              <w:top w:val="single" w:sz="4" w:space="0" w:color="auto"/>
              <w:left w:val="single" w:sz="4" w:space="0" w:color="auto"/>
              <w:bottom w:val="single" w:sz="4" w:space="0" w:color="auto"/>
              <w:right w:val="single" w:sz="4" w:space="0" w:color="auto"/>
            </w:tcBorders>
            <w:vAlign w:val="center"/>
          </w:tcPr>
          <w:p w14:paraId="74017EE3" w14:textId="77777777" w:rsidR="00E57DAA" w:rsidRDefault="00AC4185">
            <w:pPr>
              <w:jc w:val="right"/>
              <w:rPr>
                <w:sz w:val="15"/>
                <w:szCs w:val="15"/>
              </w:rPr>
            </w:pPr>
            <w:r>
              <w:rPr>
                <w:sz w:val="15"/>
                <w:szCs w:val="15"/>
              </w:rPr>
              <w:t>50.00</w:t>
            </w:r>
          </w:p>
        </w:tc>
        <w:tc>
          <w:tcPr>
            <w:tcW w:w="653" w:type="pct"/>
            <w:tcBorders>
              <w:top w:val="single" w:sz="4" w:space="0" w:color="auto"/>
              <w:left w:val="single" w:sz="4" w:space="0" w:color="auto"/>
              <w:bottom w:val="single" w:sz="4" w:space="0" w:color="auto"/>
              <w:right w:val="single" w:sz="4" w:space="0" w:color="auto"/>
            </w:tcBorders>
            <w:vAlign w:val="center"/>
          </w:tcPr>
          <w:p w14:paraId="786DD348" w14:textId="77777777" w:rsidR="00E57DAA" w:rsidRDefault="00AC4185">
            <w:pPr>
              <w:jc w:val="right"/>
              <w:rPr>
                <w:sz w:val="15"/>
                <w:szCs w:val="15"/>
              </w:rPr>
            </w:pPr>
            <w:r>
              <w:rPr>
                <w:sz w:val="15"/>
                <w:szCs w:val="15"/>
              </w:rPr>
              <w:t>2,551,366.93</w:t>
            </w:r>
          </w:p>
        </w:tc>
        <w:tc>
          <w:tcPr>
            <w:tcW w:w="653" w:type="pct"/>
            <w:tcBorders>
              <w:top w:val="single" w:sz="4" w:space="0" w:color="auto"/>
              <w:left w:val="single" w:sz="4" w:space="0" w:color="auto"/>
              <w:bottom w:val="single" w:sz="4" w:space="0" w:color="auto"/>
              <w:right w:val="single" w:sz="4" w:space="0" w:color="auto"/>
            </w:tcBorders>
            <w:vAlign w:val="center"/>
          </w:tcPr>
          <w:p w14:paraId="284F6512" w14:textId="77777777" w:rsidR="00E57DAA" w:rsidRDefault="00E57DAA">
            <w:pPr>
              <w:jc w:val="right"/>
              <w:rPr>
                <w:sz w:val="15"/>
                <w:szCs w:val="15"/>
              </w:rPr>
            </w:pPr>
          </w:p>
        </w:tc>
        <w:tc>
          <w:tcPr>
            <w:tcW w:w="290" w:type="pct"/>
            <w:tcBorders>
              <w:top w:val="single" w:sz="4" w:space="0" w:color="auto"/>
              <w:left w:val="single" w:sz="4" w:space="0" w:color="auto"/>
              <w:bottom w:val="single" w:sz="4" w:space="0" w:color="auto"/>
              <w:right w:val="single" w:sz="4" w:space="0" w:color="auto"/>
            </w:tcBorders>
            <w:vAlign w:val="center"/>
          </w:tcPr>
          <w:p w14:paraId="08E53D62" w14:textId="77777777" w:rsidR="00E57DAA" w:rsidRDefault="00E57DAA">
            <w:pPr>
              <w:jc w:val="right"/>
              <w:rPr>
                <w:sz w:val="15"/>
                <w:szCs w:val="15"/>
              </w:rPr>
            </w:pPr>
          </w:p>
        </w:tc>
        <w:tc>
          <w:tcPr>
            <w:tcW w:w="581" w:type="pct"/>
            <w:tcBorders>
              <w:top w:val="single" w:sz="4" w:space="0" w:color="auto"/>
              <w:left w:val="single" w:sz="4" w:space="0" w:color="auto"/>
              <w:bottom w:val="single" w:sz="4" w:space="0" w:color="auto"/>
              <w:right w:val="single" w:sz="4" w:space="0" w:color="auto"/>
            </w:tcBorders>
            <w:vAlign w:val="center"/>
          </w:tcPr>
          <w:p w14:paraId="5D7083E9" w14:textId="77777777" w:rsidR="00E57DAA" w:rsidRDefault="00E57DAA">
            <w:pPr>
              <w:jc w:val="right"/>
              <w:rPr>
                <w:sz w:val="15"/>
                <w:szCs w:val="15"/>
              </w:rPr>
            </w:pPr>
          </w:p>
        </w:tc>
        <w:tc>
          <w:tcPr>
            <w:tcW w:w="217" w:type="pct"/>
            <w:tcBorders>
              <w:top w:val="single" w:sz="4" w:space="0" w:color="auto"/>
              <w:left w:val="single" w:sz="4" w:space="0" w:color="auto"/>
              <w:bottom w:val="single" w:sz="4" w:space="0" w:color="auto"/>
              <w:right w:val="single" w:sz="4" w:space="0" w:color="auto"/>
            </w:tcBorders>
            <w:vAlign w:val="center"/>
          </w:tcPr>
          <w:p w14:paraId="40815B09" w14:textId="77777777" w:rsidR="00E57DAA" w:rsidRDefault="00E57DAA">
            <w:pPr>
              <w:jc w:val="right"/>
              <w:rPr>
                <w:sz w:val="15"/>
                <w:szCs w:val="15"/>
              </w:rPr>
            </w:pPr>
          </w:p>
        </w:tc>
        <w:tc>
          <w:tcPr>
            <w:tcW w:w="655" w:type="pct"/>
            <w:tcBorders>
              <w:top w:val="single" w:sz="4" w:space="0" w:color="auto"/>
              <w:left w:val="single" w:sz="4" w:space="0" w:color="auto"/>
              <w:bottom w:val="single" w:sz="4" w:space="0" w:color="auto"/>
              <w:right w:val="single" w:sz="4" w:space="0" w:color="auto"/>
            </w:tcBorders>
            <w:vAlign w:val="center"/>
          </w:tcPr>
          <w:p w14:paraId="3D8E367F" w14:textId="77777777" w:rsidR="00E57DAA" w:rsidRDefault="00E57DAA">
            <w:pPr>
              <w:jc w:val="right"/>
              <w:rPr>
                <w:sz w:val="15"/>
                <w:szCs w:val="15"/>
              </w:rPr>
            </w:pPr>
          </w:p>
        </w:tc>
      </w:tr>
      <w:tr w:rsidR="00E57DAA" w14:paraId="004D5E60" w14:textId="77777777">
        <w:trPr>
          <w:cantSplit/>
        </w:trPr>
        <w:tc>
          <w:tcPr>
            <w:tcW w:w="350" w:type="pct"/>
            <w:tcBorders>
              <w:top w:val="single" w:sz="4" w:space="0" w:color="auto"/>
              <w:left w:val="single" w:sz="4" w:space="0" w:color="auto"/>
              <w:bottom w:val="single" w:sz="4" w:space="0" w:color="auto"/>
              <w:right w:val="single" w:sz="4" w:space="0" w:color="auto"/>
            </w:tcBorders>
          </w:tcPr>
          <w:p w14:paraId="4B9703CE" w14:textId="77777777" w:rsidR="00E57DAA" w:rsidRDefault="00AC4185">
            <w:pPr>
              <w:rPr>
                <w:sz w:val="15"/>
                <w:szCs w:val="15"/>
              </w:rPr>
            </w:pPr>
            <w:r>
              <w:rPr>
                <w:rFonts w:hint="eastAsia"/>
                <w:sz w:val="15"/>
                <w:szCs w:val="15"/>
              </w:rPr>
              <w:t>按组合计提坏账准备</w:t>
            </w:r>
          </w:p>
        </w:tc>
        <w:tc>
          <w:tcPr>
            <w:tcW w:w="511" w:type="pct"/>
            <w:tcBorders>
              <w:top w:val="single" w:sz="4" w:space="0" w:color="auto"/>
              <w:left w:val="single" w:sz="4" w:space="0" w:color="auto"/>
              <w:bottom w:val="single" w:sz="4" w:space="0" w:color="auto"/>
              <w:right w:val="single" w:sz="4" w:space="0" w:color="auto"/>
            </w:tcBorders>
            <w:vAlign w:val="center"/>
          </w:tcPr>
          <w:p w14:paraId="7B79D6B7" w14:textId="77777777" w:rsidR="00E57DAA" w:rsidRDefault="00AC4185">
            <w:pPr>
              <w:jc w:val="right"/>
              <w:rPr>
                <w:sz w:val="15"/>
                <w:szCs w:val="15"/>
              </w:rPr>
            </w:pPr>
            <w:r>
              <w:rPr>
                <w:sz w:val="15"/>
                <w:szCs w:val="15"/>
              </w:rPr>
              <w:t>7,163,351,878.34</w:t>
            </w:r>
          </w:p>
        </w:tc>
        <w:tc>
          <w:tcPr>
            <w:tcW w:w="254" w:type="pct"/>
            <w:tcBorders>
              <w:top w:val="single" w:sz="4" w:space="0" w:color="auto"/>
              <w:left w:val="single" w:sz="4" w:space="0" w:color="auto"/>
              <w:bottom w:val="single" w:sz="4" w:space="0" w:color="auto"/>
              <w:right w:val="single" w:sz="4" w:space="0" w:color="auto"/>
            </w:tcBorders>
            <w:vAlign w:val="center"/>
          </w:tcPr>
          <w:p w14:paraId="0C2F255E" w14:textId="77777777" w:rsidR="00E57DAA" w:rsidRDefault="00AC4185">
            <w:pPr>
              <w:jc w:val="right"/>
              <w:rPr>
                <w:sz w:val="15"/>
                <w:szCs w:val="15"/>
              </w:rPr>
            </w:pPr>
            <w:r>
              <w:rPr>
                <w:sz w:val="15"/>
                <w:szCs w:val="15"/>
              </w:rPr>
              <w:t>99.93</w:t>
            </w:r>
          </w:p>
        </w:tc>
        <w:tc>
          <w:tcPr>
            <w:tcW w:w="581" w:type="pct"/>
            <w:tcBorders>
              <w:top w:val="single" w:sz="4" w:space="0" w:color="auto"/>
              <w:left w:val="single" w:sz="4" w:space="0" w:color="auto"/>
              <w:bottom w:val="single" w:sz="4" w:space="0" w:color="auto"/>
              <w:right w:val="single" w:sz="4" w:space="0" w:color="auto"/>
            </w:tcBorders>
            <w:vAlign w:val="center"/>
          </w:tcPr>
          <w:p w14:paraId="07B9366F" w14:textId="77777777" w:rsidR="00E57DAA" w:rsidRDefault="00AC4185">
            <w:pPr>
              <w:jc w:val="right"/>
              <w:rPr>
                <w:sz w:val="15"/>
                <w:szCs w:val="15"/>
              </w:rPr>
            </w:pPr>
            <w:r>
              <w:rPr>
                <w:sz w:val="15"/>
                <w:szCs w:val="15"/>
              </w:rPr>
              <w:t>299,664,907.71</w:t>
            </w:r>
          </w:p>
        </w:tc>
        <w:tc>
          <w:tcPr>
            <w:tcW w:w="254" w:type="pct"/>
            <w:tcBorders>
              <w:top w:val="single" w:sz="4" w:space="0" w:color="auto"/>
              <w:left w:val="single" w:sz="4" w:space="0" w:color="auto"/>
              <w:bottom w:val="single" w:sz="4" w:space="0" w:color="auto"/>
              <w:right w:val="single" w:sz="4" w:space="0" w:color="auto"/>
            </w:tcBorders>
            <w:vAlign w:val="center"/>
          </w:tcPr>
          <w:p w14:paraId="6769E509" w14:textId="77777777" w:rsidR="00E57DAA" w:rsidRDefault="00AC4185">
            <w:pPr>
              <w:jc w:val="right"/>
              <w:rPr>
                <w:sz w:val="15"/>
                <w:szCs w:val="15"/>
              </w:rPr>
            </w:pPr>
            <w:r>
              <w:rPr>
                <w:sz w:val="15"/>
                <w:szCs w:val="15"/>
              </w:rPr>
              <w:t>4.18</w:t>
            </w:r>
          </w:p>
        </w:tc>
        <w:tc>
          <w:tcPr>
            <w:tcW w:w="653" w:type="pct"/>
            <w:tcBorders>
              <w:top w:val="single" w:sz="4" w:space="0" w:color="auto"/>
              <w:left w:val="single" w:sz="4" w:space="0" w:color="auto"/>
              <w:bottom w:val="single" w:sz="4" w:space="0" w:color="auto"/>
              <w:right w:val="single" w:sz="4" w:space="0" w:color="auto"/>
            </w:tcBorders>
            <w:vAlign w:val="center"/>
          </w:tcPr>
          <w:p w14:paraId="64848A9F" w14:textId="77777777" w:rsidR="00E57DAA" w:rsidRDefault="00AC4185">
            <w:pPr>
              <w:jc w:val="right"/>
              <w:rPr>
                <w:sz w:val="15"/>
                <w:szCs w:val="15"/>
              </w:rPr>
            </w:pPr>
            <w:r>
              <w:rPr>
                <w:sz w:val="15"/>
                <w:szCs w:val="15"/>
              </w:rPr>
              <w:t>6,863,686,970.63</w:t>
            </w:r>
          </w:p>
        </w:tc>
        <w:tc>
          <w:tcPr>
            <w:tcW w:w="653" w:type="pct"/>
            <w:tcBorders>
              <w:top w:val="single" w:sz="4" w:space="0" w:color="auto"/>
              <w:left w:val="single" w:sz="4" w:space="0" w:color="auto"/>
              <w:bottom w:val="single" w:sz="4" w:space="0" w:color="auto"/>
              <w:right w:val="single" w:sz="4" w:space="0" w:color="auto"/>
            </w:tcBorders>
            <w:vAlign w:val="center"/>
          </w:tcPr>
          <w:p w14:paraId="4BC6D55F" w14:textId="77777777" w:rsidR="00E57DAA" w:rsidRDefault="00AC4185">
            <w:pPr>
              <w:jc w:val="right"/>
              <w:rPr>
                <w:sz w:val="15"/>
                <w:szCs w:val="15"/>
              </w:rPr>
            </w:pPr>
            <w:r>
              <w:rPr>
                <w:sz w:val="15"/>
                <w:szCs w:val="15"/>
              </w:rPr>
              <w:t>5,741,238,937.59</w:t>
            </w:r>
          </w:p>
        </w:tc>
        <w:tc>
          <w:tcPr>
            <w:tcW w:w="290" w:type="pct"/>
            <w:tcBorders>
              <w:top w:val="single" w:sz="4" w:space="0" w:color="auto"/>
              <w:left w:val="single" w:sz="4" w:space="0" w:color="auto"/>
              <w:bottom w:val="single" w:sz="4" w:space="0" w:color="auto"/>
              <w:right w:val="single" w:sz="4" w:space="0" w:color="auto"/>
            </w:tcBorders>
            <w:vAlign w:val="center"/>
          </w:tcPr>
          <w:p w14:paraId="25F46EA9" w14:textId="77777777" w:rsidR="00E57DAA" w:rsidRDefault="00AC4185">
            <w:pPr>
              <w:jc w:val="right"/>
              <w:rPr>
                <w:sz w:val="15"/>
                <w:szCs w:val="15"/>
              </w:rPr>
            </w:pPr>
            <w:r>
              <w:rPr>
                <w:sz w:val="15"/>
                <w:szCs w:val="15"/>
              </w:rPr>
              <w:t>100.00</w:t>
            </w:r>
          </w:p>
        </w:tc>
        <w:tc>
          <w:tcPr>
            <w:tcW w:w="581" w:type="pct"/>
            <w:tcBorders>
              <w:top w:val="single" w:sz="4" w:space="0" w:color="auto"/>
              <w:left w:val="single" w:sz="4" w:space="0" w:color="auto"/>
              <w:bottom w:val="single" w:sz="4" w:space="0" w:color="auto"/>
              <w:right w:val="single" w:sz="4" w:space="0" w:color="auto"/>
            </w:tcBorders>
            <w:vAlign w:val="center"/>
          </w:tcPr>
          <w:p w14:paraId="2D46185F" w14:textId="77777777" w:rsidR="00E57DAA" w:rsidRDefault="00AC4185">
            <w:pPr>
              <w:jc w:val="right"/>
              <w:rPr>
                <w:sz w:val="15"/>
                <w:szCs w:val="15"/>
              </w:rPr>
            </w:pPr>
            <w:r>
              <w:rPr>
                <w:sz w:val="15"/>
                <w:szCs w:val="15"/>
              </w:rPr>
              <w:t>218,553,491.76</w:t>
            </w:r>
          </w:p>
        </w:tc>
        <w:tc>
          <w:tcPr>
            <w:tcW w:w="217" w:type="pct"/>
            <w:tcBorders>
              <w:top w:val="single" w:sz="4" w:space="0" w:color="auto"/>
              <w:left w:val="single" w:sz="4" w:space="0" w:color="auto"/>
              <w:bottom w:val="single" w:sz="4" w:space="0" w:color="auto"/>
              <w:right w:val="single" w:sz="4" w:space="0" w:color="auto"/>
            </w:tcBorders>
            <w:vAlign w:val="center"/>
          </w:tcPr>
          <w:p w14:paraId="7521B938" w14:textId="77777777" w:rsidR="00E57DAA" w:rsidRDefault="00AC4185">
            <w:pPr>
              <w:jc w:val="right"/>
              <w:rPr>
                <w:sz w:val="15"/>
                <w:szCs w:val="15"/>
              </w:rPr>
            </w:pPr>
            <w:r>
              <w:rPr>
                <w:sz w:val="15"/>
                <w:szCs w:val="15"/>
              </w:rPr>
              <w:t>3.81</w:t>
            </w:r>
          </w:p>
        </w:tc>
        <w:tc>
          <w:tcPr>
            <w:tcW w:w="655" w:type="pct"/>
            <w:tcBorders>
              <w:top w:val="single" w:sz="4" w:space="0" w:color="auto"/>
              <w:left w:val="single" w:sz="4" w:space="0" w:color="auto"/>
              <w:bottom w:val="single" w:sz="4" w:space="0" w:color="auto"/>
              <w:right w:val="single" w:sz="4" w:space="0" w:color="auto"/>
            </w:tcBorders>
            <w:vAlign w:val="center"/>
          </w:tcPr>
          <w:p w14:paraId="29CB88D7" w14:textId="77777777" w:rsidR="00E57DAA" w:rsidRDefault="00AC4185">
            <w:pPr>
              <w:jc w:val="right"/>
              <w:rPr>
                <w:sz w:val="15"/>
                <w:szCs w:val="15"/>
              </w:rPr>
            </w:pPr>
            <w:r>
              <w:rPr>
                <w:sz w:val="15"/>
                <w:szCs w:val="15"/>
              </w:rPr>
              <w:t>5,522,685,445.83</w:t>
            </w:r>
          </w:p>
        </w:tc>
      </w:tr>
      <w:tr w:rsidR="00E57DAA" w14:paraId="7606BE1E" w14:textId="77777777">
        <w:trPr>
          <w:cantSplit/>
        </w:trPr>
        <w:tc>
          <w:tcPr>
            <w:tcW w:w="5000" w:type="pct"/>
            <w:gridSpan w:val="11"/>
            <w:tcBorders>
              <w:top w:val="single" w:sz="4" w:space="0" w:color="auto"/>
              <w:left w:val="single" w:sz="4" w:space="0" w:color="auto"/>
              <w:bottom w:val="single" w:sz="4" w:space="0" w:color="auto"/>
              <w:right w:val="single" w:sz="4" w:space="0" w:color="auto"/>
            </w:tcBorders>
          </w:tcPr>
          <w:sdt>
            <w:sdtPr>
              <w:rPr>
                <w:rFonts w:hint="eastAsia"/>
                <w:sz w:val="15"/>
                <w:szCs w:val="15"/>
              </w:rPr>
              <w:tag w:val="_PLD_829b8ebc38f449b6bd031556dad75c90"/>
              <w:id w:val="-1789576702"/>
            </w:sdtPr>
            <w:sdtEndPr/>
            <w:sdtContent>
              <w:p w14:paraId="332A3A2E" w14:textId="77777777" w:rsidR="00E57DAA" w:rsidRDefault="00AC4185">
                <w:pPr>
                  <w:rPr>
                    <w:sz w:val="15"/>
                    <w:szCs w:val="15"/>
                  </w:rPr>
                </w:pPr>
                <w:r>
                  <w:rPr>
                    <w:rFonts w:hint="eastAsia"/>
                    <w:sz w:val="15"/>
                    <w:szCs w:val="15"/>
                  </w:rPr>
                  <w:t>其中：</w:t>
                </w:r>
              </w:p>
            </w:sdtContent>
          </w:sdt>
        </w:tc>
      </w:tr>
      <w:tr w:rsidR="00E57DAA" w14:paraId="6352584D" w14:textId="77777777">
        <w:trPr>
          <w:cantSplit/>
        </w:trPr>
        <w:sdt>
          <w:sdtPr>
            <w:rPr>
              <w:sz w:val="15"/>
              <w:szCs w:val="15"/>
            </w:rPr>
            <w:alias w:val="按组合计提坏账准备的明细-类别"/>
            <w:tag w:val="_GBC_00768da57f4345adbaf096f1e4bd9338"/>
            <w:id w:val="-1346167610"/>
          </w:sdtPr>
          <w:sdtEndPr/>
          <w:sdtContent>
            <w:tc>
              <w:tcPr>
                <w:tcW w:w="350" w:type="pct"/>
                <w:tcBorders>
                  <w:top w:val="single" w:sz="4" w:space="0" w:color="auto"/>
                  <w:left w:val="single" w:sz="4" w:space="0" w:color="auto"/>
                  <w:bottom w:val="single" w:sz="4" w:space="0" w:color="auto"/>
                  <w:right w:val="single" w:sz="4" w:space="0" w:color="auto"/>
                </w:tcBorders>
              </w:tcPr>
              <w:p w14:paraId="7BB87117" w14:textId="77777777" w:rsidR="00E57DAA" w:rsidRDefault="00AC4185">
                <w:pPr>
                  <w:jc w:val="both"/>
                  <w:rPr>
                    <w:sz w:val="15"/>
                    <w:szCs w:val="15"/>
                  </w:rPr>
                </w:pPr>
                <w:r>
                  <w:rPr>
                    <w:rFonts w:hint="eastAsia"/>
                    <w:sz w:val="15"/>
                    <w:szCs w:val="15"/>
                  </w:rPr>
                  <w:t>账龄组合</w:t>
                </w:r>
              </w:p>
            </w:tc>
          </w:sdtContent>
        </w:sdt>
        <w:tc>
          <w:tcPr>
            <w:tcW w:w="511" w:type="pct"/>
            <w:tcBorders>
              <w:top w:val="single" w:sz="4" w:space="0" w:color="auto"/>
              <w:left w:val="single" w:sz="4" w:space="0" w:color="auto"/>
              <w:bottom w:val="single" w:sz="4" w:space="0" w:color="auto"/>
              <w:right w:val="single" w:sz="4" w:space="0" w:color="auto"/>
            </w:tcBorders>
            <w:vAlign w:val="center"/>
          </w:tcPr>
          <w:p w14:paraId="6DD78AA5" w14:textId="77777777" w:rsidR="00E57DAA" w:rsidRDefault="00AC4185">
            <w:pPr>
              <w:jc w:val="right"/>
              <w:rPr>
                <w:sz w:val="15"/>
                <w:szCs w:val="15"/>
              </w:rPr>
            </w:pPr>
            <w:r>
              <w:rPr>
                <w:sz w:val="15"/>
                <w:szCs w:val="15"/>
              </w:rPr>
              <w:t>7,163,351,878.34</w:t>
            </w:r>
          </w:p>
        </w:tc>
        <w:tc>
          <w:tcPr>
            <w:tcW w:w="254" w:type="pct"/>
            <w:tcBorders>
              <w:top w:val="single" w:sz="4" w:space="0" w:color="auto"/>
              <w:left w:val="single" w:sz="4" w:space="0" w:color="auto"/>
              <w:bottom w:val="single" w:sz="4" w:space="0" w:color="auto"/>
              <w:right w:val="single" w:sz="4" w:space="0" w:color="auto"/>
            </w:tcBorders>
            <w:vAlign w:val="center"/>
          </w:tcPr>
          <w:p w14:paraId="00EECF8F" w14:textId="77777777" w:rsidR="00E57DAA" w:rsidRDefault="00AC4185">
            <w:pPr>
              <w:jc w:val="right"/>
              <w:rPr>
                <w:sz w:val="15"/>
                <w:szCs w:val="15"/>
              </w:rPr>
            </w:pPr>
            <w:r>
              <w:rPr>
                <w:sz w:val="15"/>
                <w:szCs w:val="15"/>
              </w:rPr>
              <w:t>99.93</w:t>
            </w:r>
          </w:p>
        </w:tc>
        <w:tc>
          <w:tcPr>
            <w:tcW w:w="581" w:type="pct"/>
            <w:tcBorders>
              <w:top w:val="single" w:sz="4" w:space="0" w:color="auto"/>
              <w:left w:val="single" w:sz="4" w:space="0" w:color="auto"/>
              <w:bottom w:val="single" w:sz="4" w:space="0" w:color="auto"/>
              <w:right w:val="single" w:sz="4" w:space="0" w:color="auto"/>
            </w:tcBorders>
            <w:vAlign w:val="center"/>
          </w:tcPr>
          <w:p w14:paraId="649D5EEA" w14:textId="77777777" w:rsidR="00E57DAA" w:rsidRDefault="00AC4185">
            <w:pPr>
              <w:jc w:val="right"/>
              <w:rPr>
                <w:sz w:val="15"/>
                <w:szCs w:val="15"/>
              </w:rPr>
            </w:pPr>
            <w:r>
              <w:rPr>
                <w:sz w:val="15"/>
                <w:szCs w:val="15"/>
              </w:rPr>
              <w:t>299,664,907.71</w:t>
            </w:r>
          </w:p>
        </w:tc>
        <w:tc>
          <w:tcPr>
            <w:tcW w:w="254" w:type="pct"/>
            <w:tcBorders>
              <w:top w:val="single" w:sz="4" w:space="0" w:color="auto"/>
              <w:left w:val="single" w:sz="4" w:space="0" w:color="auto"/>
              <w:bottom w:val="single" w:sz="4" w:space="0" w:color="auto"/>
              <w:right w:val="single" w:sz="4" w:space="0" w:color="auto"/>
            </w:tcBorders>
            <w:vAlign w:val="center"/>
          </w:tcPr>
          <w:p w14:paraId="044F192B" w14:textId="77777777" w:rsidR="00E57DAA" w:rsidRDefault="00AC4185">
            <w:pPr>
              <w:jc w:val="right"/>
              <w:rPr>
                <w:sz w:val="15"/>
                <w:szCs w:val="15"/>
              </w:rPr>
            </w:pPr>
            <w:r>
              <w:rPr>
                <w:sz w:val="15"/>
                <w:szCs w:val="15"/>
              </w:rPr>
              <w:t>4.18</w:t>
            </w:r>
          </w:p>
        </w:tc>
        <w:tc>
          <w:tcPr>
            <w:tcW w:w="653" w:type="pct"/>
            <w:tcBorders>
              <w:top w:val="single" w:sz="4" w:space="0" w:color="auto"/>
              <w:left w:val="single" w:sz="4" w:space="0" w:color="auto"/>
              <w:bottom w:val="single" w:sz="4" w:space="0" w:color="auto"/>
              <w:right w:val="single" w:sz="4" w:space="0" w:color="auto"/>
            </w:tcBorders>
            <w:vAlign w:val="center"/>
          </w:tcPr>
          <w:p w14:paraId="6985439C" w14:textId="77777777" w:rsidR="00E57DAA" w:rsidRDefault="00AC4185">
            <w:pPr>
              <w:jc w:val="right"/>
              <w:rPr>
                <w:sz w:val="15"/>
                <w:szCs w:val="15"/>
              </w:rPr>
            </w:pPr>
            <w:r>
              <w:rPr>
                <w:sz w:val="15"/>
                <w:szCs w:val="15"/>
              </w:rPr>
              <w:t>6,863,686,970.63</w:t>
            </w:r>
          </w:p>
        </w:tc>
        <w:tc>
          <w:tcPr>
            <w:tcW w:w="653" w:type="pct"/>
            <w:tcBorders>
              <w:top w:val="single" w:sz="4" w:space="0" w:color="auto"/>
              <w:left w:val="single" w:sz="4" w:space="0" w:color="auto"/>
              <w:bottom w:val="single" w:sz="4" w:space="0" w:color="auto"/>
              <w:right w:val="single" w:sz="4" w:space="0" w:color="auto"/>
            </w:tcBorders>
            <w:vAlign w:val="center"/>
          </w:tcPr>
          <w:p w14:paraId="387FB255" w14:textId="77777777" w:rsidR="00E57DAA" w:rsidRDefault="00AC4185">
            <w:pPr>
              <w:jc w:val="right"/>
              <w:rPr>
                <w:sz w:val="15"/>
                <w:szCs w:val="15"/>
              </w:rPr>
            </w:pPr>
            <w:r>
              <w:rPr>
                <w:sz w:val="15"/>
                <w:szCs w:val="15"/>
              </w:rPr>
              <w:t>5,741,238,937.59</w:t>
            </w:r>
          </w:p>
        </w:tc>
        <w:tc>
          <w:tcPr>
            <w:tcW w:w="290" w:type="pct"/>
            <w:tcBorders>
              <w:top w:val="single" w:sz="4" w:space="0" w:color="auto"/>
              <w:left w:val="single" w:sz="4" w:space="0" w:color="auto"/>
              <w:bottom w:val="single" w:sz="4" w:space="0" w:color="auto"/>
              <w:right w:val="single" w:sz="4" w:space="0" w:color="auto"/>
            </w:tcBorders>
            <w:vAlign w:val="center"/>
          </w:tcPr>
          <w:p w14:paraId="15E9279F" w14:textId="77777777" w:rsidR="00E57DAA" w:rsidRDefault="00AC4185">
            <w:pPr>
              <w:jc w:val="right"/>
              <w:rPr>
                <w:sz w:val="15"/>
                <w:szCs w:val="15"/>
              </w:rPr>
            </w:pPr>
            <w:r>
              <w:rPr>
                <w:sz w:val="15"/>
                <w:szCs w:val="15"/>
              </w:rPr>
              <w:t>100.00</w:t>
            </w:r>
          </w:p>
        </w:tc>
        <w:tc>
          <w:tcPr>
            <w:tcW w:w="581" w:type="pct"/>
            <w:tcBorders>
              <w:top w:val="single" w:sz="4" w:space="0" w:color="auto"/>
              <w:left w:val="single" w:sz="4" w:space="0" w:color="auto"/>
              <w:bottom w:val="single" w:sz="4" w:space="0" w:color="auto"/>
              <w:right w:val="single" w:sz="4" w:space="0" w:color="auto"/>
            </w:tcBorders>
            <w:vAlign w:val="center"/>
          </w:tcPr>
          <w:p w14:paraId="2CA1AFD7" w14:textId="77777777" w:rsidR="00E57DAA" w:rsidRDefault="00AC4185">
            <w:pPr>
              <w:jc w:val="right"/>
              <w:rPr>
                <w:sz w:val="15"/>
                <w:szCs w:val="15"/>
              </w:rPr>
            </w:pPr>
            <w:r>
              <w:rPr>
                <w:sz w:val="15"/>
                <w:szCs w:val="15"/>
              </w:rPr>
              <w:t>218,553,491.76</w:t>
            </w:r>
          </w:p>
        </w:tc>
        <w:tc>
          <w:tcPr>
            <w:tcW w:w="217" w:type="pct"/>
            <w:tcBorders>
              <w:top w:val="single" w:sz="4" w:space="0" w:color="auto"/>
              <w:left w:val="single" w:sz="4" w:space="0" w:color="auto"/>
              <w:bottom w:val="single" w:sz="4" w:space="0" w:color="auto"/>
              <w:right w:val="single" w:sz="4" w:space="0" w:color="auto"/>
            </w:tcBorders>
            <w:vAlign w:val="center"/>
          </w:tcPr>
          <w:p w14:paraId="51E3A3F8" w14:textId="77777777" w:rsidR="00E57DAA" w:rsidRDefault="00AC4185">
            <w:pPr>
              <w:jc w:val="right"/>
              <w:rPr>
                <w:sz w:val="15"/>
                <w:szCs w:val="15"/>
              </w:rPr>
            </w:pPr>
            <w:r>
              <w:rPr>
                <w:sz w:val="15"/>
                <w:szCs w:val="15"/>
              </w:rPr>
              <w:t>3.81</w:t>
            </w:r>
          </w:p>
        </w:tc>
        <w:tc>
          <w:tcPr>
            <w:tcW w:w="655" w:type="pct"/>
            <w:tcBorders>
              <w:top w:val="single" w:sz="4" w:space="0" w:color="auto"/>
              <w:left w:val="single" w:sz="4" w:space="0" w:color="auto"/>
              <w:bottom w:val="single" w:sz="4" w:space="0" w:color="auto"/>
              <w:right w:val="single" w:sz="4" w:space="0" w:color="auto"/>
            </w:tcBorders>
            <w:vAlign w:val="center"/>
          </w:tcPr>
          <w:p w14:paraId="25164B45" w14:textId="77777777" w:rsidR="00E57DAA" w:rsidRDefault="00AC4185">
            <w:pPr>
              <w:jc w:val="right"/>
              <w:rPr>
                <w:sz w:val="15"/>
                <w:szCs w:val="15"/>
              </w:rPr>
            </w:pPr>
            <w:r>
              <w:rPr>
                <w:sz w:val="15"/>
                <w:szCs w:val="15"/>
              </w:rPr>
              <w:t>5,522,685,445.83</w:t>
            </w:r>
          </w:p>
        </w:tc>
      </w:tr>
      <w:tr w:rsidR="00E57DAA" w14:paraId="1030206E" w14:textId="77777777">
        <w:trPr>
          <w:cantSplit/>
        </w:trPr>
        <w:tc>
          <w:tcPr>
            <w:tcW w:w="350" w:type="pct"/>
            <w:tcBorders>
              <w:top w:val="single" w:sz="4" w:space="0" w:color="auto"/>
              <w:left w:val="single" w:sz="4" w:space="0" w:color="auto"/>
              <w:bottom w:val="single" w:sz="4" w:space="0" w:color="auto"/>
              <w:right w:val="single" w:sz="4" w:space="0" w:color="auto"/>
            </w:tcBorders>
            <w:vAlign w:val="center"/>
          </w:tcPr>
          <w:p w14:paraId="691271B0" w14:textId="77777777" w:rsidR="00E57DAA" w:rsidRDefault="00AC4185">
            <w:pPr>
              <w:autoSpaceDE w:val="0"/>
              <w:autoSpaceDN w:val="0"/>
              <w:adjustRightInd w:val="0"/>
              <w:jc w:val="center"/>
              <w:rPr>
                <w:sz w:val="15"/>
                <w:szCs w:val="15"/>
              </w:rPr>
            </w:pPr>
            <w:r>
              <w:rPr>
                <w:rFonts w:hint="eastAsia"/>
                <w:sz w:val="15"/>
                <w:szCs w:val="15"/>
              </w:rPr>
              <w:t>合计</w:t>
            </w:r>
          </w:p>
        </w:tc>
        <w:tc>
          <w:tcPr>
            <w:tcW w:w="511" w:type="pct"/>
            <w:tcBorders>
              <w:top w:val="single" w:sz="4" w:space="0" w:color="auto"/>
              <w:left w:val="single" w:sz="4" w:space="0" w:color="auto"/>
              <w:bottom w:val="single" w:sz="4" w:space="0" w:color="auto"/>
              <w:right w:val="single" w:sz="4" w:space="0" w:color="auto"/>
            </w:tcBorders>
          </w:tcPr>
          <w:p w14:paraId="03A0667A" w14:textId="77777777" w:rsidR="00E57DAA" w:rsidRDefault="00AC4185">
            <w:pPr>
              <w:jc w:val="right"/>
              <w:rPr>
                <w:sz w:val="15"/>
                <w:szCs w:val="15"/>
              </w:rPr>
            </w:pPr>
            <w:r>
              <w:rPr>
                <w:sz w:val="15"/>
                <w:szCs w:val="15"/>
              </w:rPr>
              <w:t>7,168,454,612.21</w:t>
            </w:r>
          </w:p>
        </w:tc>
        <w:tc>
          <w:tcPr>
            <w:tcW w:w="254" w:type="pct"/>
            <w:tcBorders>
              <w:top w:val="single" w:sz="4" w:space="0" w:color="auto"/>
              <w:left w:val="single" w:sz="4" w:space="0" w:color="auto"/>
              <w:bottom w:val="single" w:sz="4" w:space="0" w:color="auto"/>
              <w:right w:val="single" w:sz="4" w:space="0" w:color="auto"/>
            </w:tcBorders>
          </w:tcPr>
          <w:p w14:paraId="3B87FB43" w14:textId="77777777" w:rsidR="00E57DAA" w:rsidRDefault="00AC4185">
            <w:pPr>
              <w:jc w:val="center"/>
              <w:rPr>
                <w:sz w:val="15"/>
                <w:szCs w:val="15"/>
              </w:rPr>
            </w:pPr>
            <w:r>
              <w:rPr>
                <w:rFonts w:hint="eastAsia"/>
                <w:sz w:val="15"/>
                <w:szCs w:val="15"/>
              </w:rPr>
              <w:t>/</w:t>
            </w:r>
          </w:p>
        </w:tc>
        <w:tc>
          <w:tcPr>
            <w:tcW w:w="581" w:type="pct"/>
            <w:tcBorders>
              <w:top w:val="single" w:sz="4" w:space="0" w:color="auto"/>
              <w:left w:val="single" w:sz="4" w:space="0" w:color="auto"/>
              <w:bottom w:val="single" w:sz="4" w:space="0" w:color="auto"/>
              <w:right w:val="single" w:sz="4" w:space="0" w:color="auto"/>
            </w:tcBorders>
          </w:tcPr>
          <w:p w14:paraId="6ABF01DE" w14:textId="77777777" w:rsidR="00E57DAA" w:rsidRDefault="00AC4185">
            <w:pPr>
              <w:jc w:val="right"/>
              <w:rPr>
                <w:sz w:val="15"/>
                <w:szCs w:val="15"/>
              </w:rPr>
            </w:pPr>
            <w:r>
              <w:rPr>
                <w:sz w:val="15"/>
                <w:szCs w:val="15"/>
              </w:rPr>
              <w:t>302,216,274.65</w:t>
            </w:r>
          </w:p>
        </w:tc>
        <w:tc>
          <w:tcPr>
            <w:tcW w:w="254" w:type="pct"/>
            <w:tcBorders>
              <w:top w:val="single" w:sz="4" w:space="0" w:color="auto"/>
              <w:left w:val="single" w:sz="4" w:space="0" w:color="auto"/>
              <w:bottom w:val="single" w:sz="4" w:space="0" w:color="auto"/>
              <w:right w:val="single" w:sz="4" w:space="0" w:color="auto"/>
            </w:tcBorders>
          </w:tcPr>
          <w:p w14:paraId="3CB79B42" w14:textId="77777777" w:rsidR="00E57DAA" w:rsidRDefault="00AC4185">
            <w:pPr>
              <w:jc w:val="center"/>
              <w:rPr>
                <w:sz w:val="15"/>
                <w:szCs w:val="15"/>
              </w:rPr>
            </w:pPr>
            <w:r>
              <w:rPr>
                <w:rFonts w:hint="eastAsia"/>
                <w:sz w:val="15"/>
                <w:szCs w:val="15"/>
              </w:rPr>
              <w:t>/</w:t>
            </w:r>
          </w:p>
        </w:tc>
        <w:tc>
          <w:tcPr>
            <w:tcW w:w="653" w:type="pct"/>
            <w:tcBorders>
              <w:top w:val="single" w:sz="4" w:space="0" w:color="auto"/>
              <w:left w:val="single" w:sz="4" w:space="0" w:color="auto"/>
              <w:bottom w:val="single" w:sz="4" w:space="0" w:color="auto"/>
              <w:right w:val="single" w:sz="4" w:space="0" w:color="auto"/>
            </w:tcBorders>
          </w:tcPr>
          <w:p w14:paraId="6ACC053F" w14:textId="77777777" w:rsidR="00E57DAA" w:rsidRDefault="00AC4185">
            <w:pPr>
              <w:jc w:val="right"/>
              <w:rPr>
                <w:sz w:val="15"/>
                <w:szCs w:val="15"/>
              </w:rPr>
            </w:pPr>
            <w:r>
              <w:rPr>
                <w:sz w:val="15"/>
                <w:szCs w:val="15"/>
              </w:rPr>
              <w:t>6,866,238,337.56</w:t>
            </w:r>
          </w:p>
        </w:tc>
        <w:tc>
          <w:tcPr>
            <w:tcW w:w="653" w:type="pct"/>
            <w:tcBorders>
              <w:top w:val="single" w:sz="4" w:space="0" w:color="auto"/>
              <w:left w:val="single" w:sz="4" w:space="0" w:color="auto"/>
              <w:bottom w:val="single" w:sz="4" w:space="0" w:color="auto"/>
              <w:right w:val="single" w:sz="4" w:space="0" w:color="auto"/>
            </w:tcBorders>
          </w:tcPr>
          <w:p w14:paraId="2FF22CA9" w14:textId="77777777" w:rsidR="00E57DAA" w:rsidRDefault="00AC4185">
            <w:pPr>
              <w:jc w:val="right"/>
              <w:rPr>
                <w:sz w:val="15"/>
                <w:szCs w:val="15"/>
              </w:rPr>
            </w:pPr>
            <w:r>
              <w:rPr>
                <w:sz w:val="15"/>
                <w:szCs w:val="15"/>
              </w:rPr>
              <w:t>5,741,238,937.59</w:t>
            </w:r>
          </w:p>
        </w:tc>
        <w:tc>
          <w:tcPr>
            <w:tcW w:w="290" w:type="pct"/>
            <w:tcBorders>
              <w:top w:val="single" w:sz="4" w:space="0" w:color="auto"/>
              <w:left w:val="single" w:sz="4" w:space="0" w:color="auto"/>
              <w:bottom w:val="single" w:sz="4" w:space="0" w:color="auto"/>
              <w:right w:val="single" w:sz="4" w:space="0" w:color="auto"/>
            </w:tcBorders>
          </w:tcPr>
          <w:p w14:paraId="78A82316" w14:textId="77777777" w:rsidR="00E57DAA" w:rsidRDefault="00AC4185">
            <w:pPr>
              <w:jc w:val="center"/>
              <w:rPr>
                <w:sz w:val="15"/>
                <w:szCs w:val="15"/>
              </w:rPr>
            </w:pPr>
            <w:r>
              <w:rPr>
                <w:rFonts w:hint="eastAsia"/>
                <w:sz w:val="15"/>
                <w:szCs w:val="15"/>
              </w:rPr>
              <w:t>/</w:t>
            </w:r>
          </w:p>
        </w:tc>
        <w:tc>
          <w:tcPr>
            <w:tcW w:w="581" w:type="pct"/>
            <w:tcBorders>
              <w:top w:val="single" w:sz="4" w:space="0" w:color="auto"/>
              <w:left w:val="single" w:sz="4" w:space="0" w:color="auto"/>
              <w:bottom w:val="single" w:sz="4" w:space="0" w:color="auto"/>
              <w:right w:val="single" w:sz="4" w:space="0" w:color="auto"/>
            </w:tcBorders>
          </w:tcPr>
          <w:p w14:paraId="6556FF12" w14:textId="77777777" w:rsidR="00E57DAA" w:rsidRDefault="00AC4185">
            <w:pPr>
              <w:jc w:val="right"/>
              <w:rPr>
                <w:sz w:val="15"/>
                <w:szCs w:val="15"/>
              </w:rPr>
            </w:pPr>
            <w:r>
              <w:rPr>
                <w:sz w:val="15"/>
                <w:szCs w:val="15"/>
              </w:rPr>
              <w:t>218,553,491.76</w:t>
            </w:r>
          </w:p>
        </w:tc>
        <w:tc>
          <w:tcPr>
            <w:tcW w:w="217" w:type="pct"/>
            <w:tcBorders>
              <w:top w:val="single" w:sz="4" w:space="0" w:color="auto"/>
              <w:left w:val="single" w:sz="4" w:space="0" w:color="auto"/>
              <w:bottom w:val="single" w:sz="4" w:space="0" w:color="auto"/>
              <w:right w:val="single" w:sz="4" w:space="0" w:color="auto"/>
            </w:tcBorders>
          </w:tcPr>
          <w:p w14:paraId="55844DF3" w14:textId="77777777" w:rsidR="00E57DAA" w:rsidRDefault="00AC4185">
            <w:pPr>
              <w:jc w:val="center"/>
              <w:rPr>
                <w:sz w:val="15"/>
                <w:szCs w:val="15"/>
              </w:rPr>
            </w:pPr>
            <w:r>
              <w:rPr>
                <w:rFonts w:hint="eastAsia"/>
                <w:sz w:val="15"/>
                <w:szCs w:val="15"/>
              </w:rPr>
              <w:t>/</w:t>
            </w:r>
          </w:p>
        </w:tc>
        <w:tc>
          <w:tcPr>
            <w:tcW w:w="655" w:type="pct"/>
            <w:tcBorders>
              <w:top w:val="single" w:sz="4" w:space="0" w:color="auto"/>
              <w:left w:val="single" w:sz="4" w:space="0" w:color="auto"/>
              <w:bottom w:val="single" w:sz="4" w:space="0" w:color="auto"/>
              <w:right w:val="single" w:sz="4" w:space="0" w:color="auto"/>
            </w:tcBorders>
          </w:tcPr>
          <w:p w14:paraId="4FAF3925" w14:textId="77777777" w:rsidR="00E57DAA" w:rsidRDefault="00AC4185">
            <w:pPr>
              <w:jc w:val="right"/>
              <w:rPr>
                <w:sz w:val="15"/>
                <w:szCs w:val="15"/>
              </w:rPr>
            </w:pPr>
            <w:r>
              <w:rPr>
                <w:sz w:val="15"/>
                <w:szCs w:val="15"/>
              </w:rPr>
              <w:t>5,522,685,445.83</w:t>
            </w:r>
          </w:p>
        </w:tc>
      </w:tr>
    </w:tbl>
    <w:p w14:paraId="2158C33A" w14:textId="77777777" w:rsidR="00E57DAA" w:rsidRDefault="00E57DAA">
      <w:pPr>
        <w:sectPr w:rsidR="00E57DAA" w:rsidSect="00226547">
          <w:pgSz w:w="16838" w:h="11906" w:orient="landscape"/>
          <w:pgMar w:top="1276" w:right="1440" w:bottom="1797" w:left="1525" w:header="856" w:footer="992" w:gutter="0"/>
          <w:cols w:space="425"/>
          <w:docGrid w:linePitch="312"/>
        </w:sectPr>
      </w:pPr>
    </w:p>
    <w:p w14:paraId="65464270" w14:textId="77777777" w:rsidR="00E57DAA" w:rsidRDefault="00E57DAA" w:rsidP="00C25422">
      <w:pPr>
        <w:pStyle w:val="92"/>
      </w:pPr>
    </w:p>
    <w:p w14:paraId="536FAFA2" w14:textId="77777777" w:rsidR="00E57DAA" w:rsidRDefault="00AC4185" w:rsidP="00C25422">
      <w:pPr>
        <w:pStyle w:val="92"/>
      </w:pPr>
      <w:r>
        <w:rPr>
          <w:rFonts w:hint="eastAsia"/>
        </w:rPr>
        <w:t>按单项计提坏账准备：</w:t>
      </w:r>
    </w:p>
    <w:sdt>
      <w:sdtPr>
        <w:alias w:val="是否适用：按单项计提坏账准备的详细情况[双击切换]"/>
        <w:tag w:val="_GBC_0ab170ec63fb435387c8b835e9d77a54"/>
        <w:id w:val="737906607"/>
        <w:placeholder>
          <w:docPart w:val="GBC22222222222222222222222222222"/>
        </w:placeholder>
      </w:sdtPr>
      <w:sdtEndPr/>
      <w:sdtContent>
        <w:p w14:paraId="7EB1B7B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E297FE" w14:textId="77777777" w:rsidR="00E57DAA" w:rsidRDefault="00E57DAA">
      <w:pPr>
        <w:rPr>
          <w:szCs w:val="21"/>
        </w:rPr>
      </w:pPr>
    </w:p>
    <w:p w14:paraId="49EDA5F1" w14:textId="77777777" w:rsidR="00E57DAA" w:rsidRDefault="00AC4185">
      <w:pPr>
        <w:rPr>
          <w:szCs w:val="21"/>
        </w:rPr>
      </w:pPr>
      <w:r>
        <w:rPr>
          <w:rFonts w:hint="eastAsia"/>
          <w:szCs w:val="21"/>
        </w:rPr>
        <w:t>按单项计提坏账准备的说明：</w:t>
      </w:r>
    </w:p>
    <w:sdt>
      <w:sdtPr>
        <w:rPr>
          <w:szCs w:val="21"/>
        </w:rPr>
        <w:alias w:val="是否适用：按单项计提坏账准备的说明[双击切换]"/>
        <w:tag w:val="_GBC_0aa7517d534e4bfeae4b430fe21b3412"/>
        <w:id w:val="2103995346"/>
        <w:placeholder>
          <w:docPart w:val="GBC22222222222222222222222222222"/>
        </w:placeholder>
      </w:sdtPr>
      <w:sdtEndPr/>
      <w:sdtContent>
        <w:p w14:paraId="3D03F10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41BE21" w14:textId="77777777" w:rsidR="00E57DAA" w:rsidRDefault="00E57DAA">
      <w:pPr>
        <w:rPr>
          <w:szCs w:val="21"/>
        </w:rPr>
      </w:pPr>
    </w:p>
    <w:p w14:paraId="0427E11E"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dd62dad60e90472bb2ac73e80b2edb97"/>
        <w:id w:val="-1106805265"/>
        <w:placeholder>
          <w:docPart w:val="GBC22222222222222222222222222222"/>
        </w:placeholder>
      </w:sdtPr>
      <w:sdtEndPr/>
      <w:sdtContent>
        <w:p w14:paraId="08F3E94F"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104A3207" w14:textId="77777777" w:rsidR="00E57DAA" w:rsidRDefault="00E57DAA">
      <w:pPr>
        <w:rPr>
          <w:szCs w:val="21"/>
        </w:rPr>
      </w:pPr>
    </w:p>
    <w:bookmarkEnd w:id="207"/>
    <w:p w14:paraId="096DDE1C" w14:textId="77777777" w:rsidR="00E57DAA" w:rsidRDefault="00E57DAA">
      <w:pPr>
        <w:rPr>
          <w:rFonts w:ascii="Calibri" w:hAnsi="Calibri" w:cs="Times New Roman"/>
          <w:b/>
          <w:bCs/>
          <w:szCs w:val="22"/>
        </w:rPr>
      </w:pPr>
    </w:p>
    <w:p w14:paraId="56EE880D" w14:textId="77777777" w:rsidR="00E57DAA" w:rsidRDefault="00AC4185">
      <w:pPr>
        <w:rPr>
          <w:rFonts w:cstheme="minorBidi"/>
          <w:bCs/>
          <w:szCs w:val="22"/>
        </w:rPr>
      </w:pPr>
      <w:r>
        <w:rPr>
          <w:rFonts w:cstheme="minorBidi" w:hint="eastAsia"/>
          <w:bCs/>
          <w:szCs w:val="22"/>
        </w:rPr>
        <w:t>按预期信用损失一般模型计提坏账准备</w:t>
      </w:r>
    </w:p>
    <w:bookmarkStart w:id="208" w:name="_Hlk154135145" w:displacedByCustomXml="next"/>
    <w:bookmarkStart w:id="209" w:name="_Hlk153379126" w:displacedByCustomXml="next"/>
    <w:sdt>
      <w:sdtPr>
        <w:rPr>
          <w:rFonts w:cstheme="minorBidi"/>
          <w:bCs/>
          <w:szCs w:val="22"/>
        </w:rPr>
        <w:alias w:val="是否适用：按预期信用损失一般模型计提坏账准备[双击切换]"/>
        <w:tag w:val="_GBC_af66bce1fada4aaa845a8f566731a4cf"/>
        <w:id w:val="-1477293931"/>
        <w:placeholder>
          <w:docPart w:val="GBC22222222222222222222222222222"/>
        </w:placeholder>
      </w:sdtPr>
      <w:sdtEndPr/>
      <w:sdtContent>
        <w:p w14:paraId="17E63730" w14:textId="77777777" w:rsidR="00E57DAA" w:rsidRDefault="00AC4185">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75DFE574" w14:textId="77777777" w:rsidR="00E57DAA" w:rsidRDefault="00E57DAA">
      <w:pPr>
        <w:rPr>
          <w:szCs w:val="21"/>
        </w:rPr>
      </w:pPr>
    </w:p>
    <w:p w14:paraId="29729C1C" w14:textId="77777777" w:rsidR="00E57DAA" w:rsidRDefault="00E57DAA">
      <w:pPr>
        <w:pStyle w:val="45"/>
        <w:rPr>
          <w:rFonts w:ascii="宋体" w:hAnsi="宋体" w:cs="宋体"/>
          <w:kern w:val="0"/>
          <w:szCs w:val="24"/>
        </w:rPr>
      </w:pPr>
    </w:p>
    <w:p w14:paraId="2CDBB983" w14:textId="77777777" w:rsidR="00E57DAA" w:rsidRDefault="00AC4185">
      <w:pPr>
        <w:pStyle w:val="45"/>
      </w:pPr>
      <w:r>
        <w:rPr>
          <w:rFonts w:hint="eastAsia"/>
        </w:rPr>
        <w:t>对本期发生损失准备变动的合同资产账面余额显著变动的情况说明：</w:t>
      </w:r>
    </w:p>
    <w:sdt>
      <w:sdtPr>
        <w:rPr>
          <w:szCs w:val="21"/>
        </w:rPr>
        <w:alias w:val="是否适用：对本期发生损失准备变动的账面余额显著变动的情况说明[双击切换]"/>
        <w:tag w:val="_GBC_5d2109eaa8194f47bcc2f4bbd6c081ae"/>
        <w:id w:val="-901510584"/>
        <w:placeholder>
          <w:docPart w:val="GBC22222222222222222222222222222"/>
        </w:placeholder>
      </w:sdtPr>
      <w:sdtEndPr/>
      <w:sdtContent>
        <w:p w14:paraId="04689A2E"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9"/>
    <w:bookmarkEnd w:id="208"/>
    <w:p w14:paraId="3BEF840B" w14:textId="77777777" w:rsidR="00E57DAA" w:rsidRDefault="00E57DAA">
      <w:pPr>
        <w:rPr>
          <w:rFonts w:asciiTheme="minorHAnsi" w:hAnsiTheme="minorHAnsi" w:cstheme="minorBidi"/>
          <w:b/>
          <w:bCs/>
          <w:szCs w:val="22"/>
        </w:rPr>
      </w:pPr>
    </w:p>
    <w:p w14:paraId="6EA96FB6" w14:textId="77777777" w:rsidR="00E57DAA" w:rsidRDefault="00AC4185">
      <w:pPr>
        <w:pStyle w:val="4"/>
        <w:numPr>
          <w:ilvl w:val="3"/>
          <w:numId w:val="72"/>
        </w:numPr>
        <w:ind w:left="426" w:hanging="426"/>
        <w:rPr>
          <w:szCs w:val="21"/>
        </w:rPr>
      </w:pPr>
      <w:bookmarkStart w:id="210" w:name="_Hlk533847869"/>
      <w:bookmarkEnd w:id="206"/>
      <w:r>
        <w:rPr>
          <w:rFonts w:hint="eastAsia"/>
          <w:szCs w:val="21"/>
        </w:rPr>
        <w:t>本期合同资产计提坏账准备情况</w:t>
      </w:r>
    </w:p>
    <w:sdt>
      <w:sdtPr>
        <w:rPr>
          <w:szCs w:val="21"/>
        </w:rPr>
        <w:alias w:val="是否适用：合同资产减值准备[双击切换]"/>
        <w:tag w:val="_GBC_7a32a2cf2788460d8c760b8ac21cef48"/>
        <w:id w:val="-1424259808"/>
        <w:placeholder>
          <w:docPart w:val="GBC22222222222222222222222222222"/>
        </w:placeholder>
      </w:sdtPr>
      <w:sdtEndPr/>
      <w:sdtContent>
        <w:p w14:paraId="752F9186"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EEBDFC" w14:textId="77777777" w:rsidR="00E57DAA" w:rsidRDefault="00AC4185">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00f825f5d9f74a7d91091c5fa77896ca"/>
          <w:id w:val="18492961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fbf7b3a9e52a4fa993022e5b624c4342"/>
          <w:id w:val="21292769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1686"/>
        <w:gridCol w:w="1613"/>
        <w:gridCol w:w="1623"/>
        <w:gridCol w:w="1705"/>
      </w:tblGrid>
      <w:tr w:rsidR="00E57DAA" w14:paraId="3744D244" w14:textId="77777777">
        <w:sdt>
          <w:sdtPr>
            <w:tag w:val="_PLD_f84b90d726bc4024a74c27ba0e4d68e7"/>
            <w:id w:val="-1014998498"/>
          </w:sdtPr>
          <w:sdtEndPr/>
          <w:sdtContent>
            <w:tc>
              <w:tcPr>
                <w:tcW w:w="1244" w:type="pct"/>
                <w:shd w:val="clear" w:color="auto" w:fill="auto"/>
                <w:vAlign w:val="center"/>
              </w:tcPr>
              <w:p w14:paraId="2DFB5393" w14:textId="77777777" w:rsidR="00E57DAA" w:rsidRDefault="00AC4185">
                <w:pPr>
                  <w:jc w:val="center"/>
                  <w:rPr>
                    <w:szCs w:val="21"/>
                  </w:rPr>
                </w:pPr>
                <w:r>
                  <w:rPr>
                    <w:rFonts w:hint="eastAsia"/>
                    <w:szCs w:val="21"/>
                  </w:rPr>
                  <w:t>项目</w:t>
                </w:r>
              </w:p>
            </w:tc>
          </w:sdtContent>
        </w:sdt>
        <w:sdt>
          <w:sdtPr>
            <w:tag w:val="_PLD_249a7e0b4f304bd793fdd57e199e2667"/>
            <w:id w:val="-2084823520"/>
          </w:sdtPr>
          <w:sdtEndPr/>
          <w:sdtContent>
            <w:tc>
              <w:tcPr>
                <w:tcW w:w="955" w:type="pct"/>
                <w:shd w:val="clear" w:color="auto" w:fill="auto"/>
                <w:vAlign w:val="center"/>
              </w:tcPr>
              <w:p w14:paraId="1DC1FEE1" w14:textId="77777777" w:rsidR="00E57DAA" w:rsidRDefault="00AC4185">
                <w:pPr>
                  <w:jc w:val="center"/>
                  <w:rPr>
                    <w:szCs w:val="21"/>
                  </w:rPr>
                </w:pPr>
                <w:r>
                  <w:rPr>
                    <w:rFonts w:hint="eastAsia"/>
                    <w:szCs w:val="21"/>
                  </w:rPr>
                  <w:t>本期计提</w:t>
                </w:r>
              </w:p>
            </w:tc>
          </w:sdtContent>
        </w:sdt>
        <w:sdt>
          <w:sdtPr>
            <w:tag w:val="_PLD_c3f1c210c2ef4f63a486ce5724310c3e"/>
            <w:id w:val="173087891"/>
          </w:sdtPr>
          <w:sdtEndPr/>
          <w:sdtContent>
            <w:tc>
              <w:tcPr>
                <w:tcW w:w="914" w:type="pct"/>
                <w:shd w:val="clear" w:color="auto" w:fill="auto"/>
              </w:tcPr>
              <w:p w14:paraId="365BB45D" w14:textId="77777777" w:rsidR="00E57DAA" w:rsidRDefault="00AC4185">
                <w:pPr>
                  <w:jc w:val="center"/>
                  <w:rPr>
                    <w:szCs w:val="21"/>
                  </w:rPr>
                </w:pPr>
                <w:r>
                  <w:rPr>
                    <w:rFonts w:hint="eastAsia"/>
                    <w:szCs w:val="21"/>
                  </w:rPr>
                  <w:t>本期收回或转回</w:t>
                </w:r>
              </w:p>
            </w:tc>
          </w:sdtContent>
        </w:sdt>
        <w:sdt>
          <w:sdtPr>
            <w:tag w:val="_PLD_ed7e27e779864f9386363abecd6b59f4"/>
            <w:id w:val="1963380389"/>
          </w:sdtPr>
          <w:sdtEndPr/>
          <w:sdtContent>
            <w:tc>
              <w:tcPr>
                <w:tcW w:w="920" w:type="pct"/>
                <w:shd w:val="clear" w:color="auto" w:fill="auto"/>
              </w:tcPr>
              <w:p w14:paraId="77231738" w14:textId="77777777" w:rsidR="00E57DAA" w:rsidRDefault="00AC4185">
                <w:pPr>
                  <w:jc w:val="center"/>
                  <w:rPr>
                    <w:szCs w:val="21"/>
                  </w:rPr>
                </w:pPr>
                <w:r>
                  <w:rPr>
                    <w:rFonts w:hint="eastAsia"/>
                    <w:szCs w:val="21"/>
                  </w:rPr>
                  <w:t>本期转销/核销</w:t>
                </w:r>
              </w:p>
            </w:tc>
          </w:sdtContent>
        </w:sdt>
        <w:sdt>
          <w:sdtPr>
            <w:tag w:val="_PLD_3f9b24d8795a442f84a6ad498095b4d0"/>
            <w:id w:val="182561711"/>
          </w:sdtPr>
          <w:sdtEndPr/>
          <w:sdtContent>
            <w:tc>
              <w:tcPr>
                <w:tcW w:w="966" w:type="pct"/>
                <w:shd w:val="clear" w:color="auto" w:fill="auto"/>
                <w:vAlign w:val="center"/>
              </w:tcPr>
              <w:p w14:paraId="183EAB78" w14:textId="77777777" w:rsidR="00E57DAA" w:rsidRDefault="00AC4185">
                <w:pPr>
                  <w:jc w:val="center"/>
                  <w:rPr>
                    <w:szCs w:val="21"/>
                  </w:rPr>
                </w:pPr>
                <w:r>
                  <w:rPr>
                    <w:rFonts w:hint="eastAsia"/>
                    <w:szCs w:val="21"/>
                  </w:rPr>
                  <w:t>原因</w:t>
                </w:r>
              </w:p>
            </w:tc>
          </w:sdtContent>
        </w:sdt>
      </w:tr>
      <w:tr w:rsidR="00E57DAA" w14:paraId="4CDDD0A7" w14:textId="77777777">
        <w:trPr>
          <w:trHeight w:val="80"/>
        </w:trPr>
        <w:tc>
          <w:tcPr>
            <w:tcW w:w="1244" w:type="pct"/>
            <w:shd w:val="clear" w:color="auto" w:fill="auto"/>
          </w:tcPr>
          <w:p w14:paraId="664352F7" w14:textId="77777777" w:rsidR="00E57DAA" w:rsidRDefault="00AC4185" w:rsidP="00C25422">
            <w:pPr>
              <w:pStyle w:val="92"/>
            </w:pPr>
            <w:r>
              <w:t>合同资产减值准备</w:t>
            </w:r>
          </w:p>
        </w:tc>
        <w:tc>
          <w:tcPr>
            <w:tcW w:w="955" w:type="pct"/>
            <w:shd w:val="clear" w:color="auto" w:fill="auto"/>
          </w:tcPr>
          <w:p w14:paraId="3FD2CCE2" w14:textId="77777777" w:rsidR="00E57DAA" w:rsidRDefault="00AC4185">
            <w:pPr>
              <w:jc w:val="right"/>
            </w:pPr>
            <w:r>
              <w:t>83,662,782.89</w:t>
            </w:r>
          </w:p>
        </w:tc>
        <w:tc>
          <w:tcPr>
            <w:tcW w:w="914" w:type="pct"/>
            <w:shd w:val="clear" w:color="auto" w:fill="auto"/>
          </w:tcPr>
          <w:p w14:paraId="150ADD4F" w14:textId="77777777" w:rsidR="00E57DAA" w:rsidRDefault="00E57DAA">
            <w:pPr>
              <w:jc w:val="right"/>
            </w:pPr>
          </w:p>
        </w:tc>
        <w:tc>
          <w:tcPr>
            <w:tcW w:w="920" w:type="pct"/>
            <w:shd w:val="clear" w:color="auto" w:fill="auto"/>
          </w:tcPr>
          <w:p w14:paraId="5CD8E60E" w14:textId="77777777" w:rsidR="00E57DAA" w:rsidRDefault="00AC4185">
            <w:pPr>
              <w:jc w:val="right"/>
            </w:pPr>
            <w:r>
              <w:t> </w:t>
            </w:r>
          </w:p>
        </w:tc>
        <w:tc>
          <w:tcPr>
            <w:tcW w:w="966" w:type="pct"/>
            <w:shd w:val="clear" w:color="auto" w:fill="auto"/>
          </w:tcPr>
          <w:p w14:paraId="07FE966F" w14:textId="77777777" w:rsidR="00E57DAA" w:rsidRDefault="00AC4185" w:rsidP="00C25422">
            <w:pPr>
              <w:pStyle w:val="92"/>
            </w:pPr>
            <w:r>
              <w:t> </w:t>
            </w:r>
          </w:p>
        </w:tc>
      </w:tr>
      <w:tr w:rsidR="00E57DAA" w14:paraId="20F910FC" w14:textId="77777777">
        <w:tc>
          <w:tcPr>
            <w:tcW w:w="1244" w:type="pct"/>
            <w:shd w:val="clear" w:color="auto" w:fill="auto"/>
            <w:vAlign w:val="center"/>
          </w:tcPr>
          <w:p w14:paraId="749A7693" w14:textId="77777777" w:rsidR="00E57DAA" w:rsidRDefault="00AC4185">
            <w:pPr>
              <w:snapToGrid w:val="0"/>
              <w:ind w:leftChars="-51" w:left="-107"/>
              <w:jc w:val="center"/>
              <w:rPr>
                <w:szCs w:val="21"/>
              </w:rPr>
            </w:pPr>
            <w:r>
              <w:rPr>
                <w:rFonts w:hint="eastAsia"/>
                <w:szCs w:val="21"/>
              </w:rPr>
              <w:t>合计</w:t>
            </w:r>
          </w:p>
        </w:tc>
        <w:tc>
          <w:tcPr>
            <w:tcW w:w="955" w:type="pct"/>
            <w:shd w:val="clear" w:color="auto" w:fill="auto"/>
          </w:tcPr>
          <w:p w14:paraId="64C3D26C" w14:textId="77777777" w:rsidR="00E57DAA" w:rsidRDefault="00AC4185">
            <w:pPr>
              <w:jc w:val="right"/>
            </w:pPr>
            <w:r>
              <w:t>83,662,782.89</w:t>
            </w:r>
          </w:p>
        </w:tc>
        <w:tc>
          <w:tcPr>
            <w:tcW w:w="914" w:type="pct"/>
            <w:shd w:val="clear" w:color="auto" w:fill="auto"/>
          </w:tcPr>
          <w:p w14:paraId="476C5E2A" w14:textId="77777777" w:rsidR="00E57DAA" w:rsidRDefault="00E57DAA">
            <w:pPr>
              <w:jc w:val="right"/>
            </w:pPr>
          </w:p>
        </w:tc>
        <w:tc>
          <w:tcPr>
            <w:tcW w:w="920" w:type="pct"/>
            <w:shd w:val="clear" w:color="auto" w:fill="auto"/>
          </w:tcPr>
          <w:p w14:paraId="23653E70" w14:textId="77777777" w:rsidR="00E57DAA" w:rsidRDefault="00E57DAA">
            <w:pPr>
              <w:jc w:val="right"/>
            </w:pPr>
          </w:p>
        </w:tc>
        <w:tc>
          <w:tcPr>
            <w:tcW w:w="966" w:type="pct"/>
            <w:shd w:val="clear" w:color="auto" w:fill="auto"/>
          </w:tcPr>
          <w:p w14:paraId="7E19059B" w14:textId="77777777" w:rsidR="00E57DAA" w:rsidRDefault="00AC4185">
            <w:pPr>
              <w:snapToGrid w:val="0"/>
              <w:jc w:val="center"/>
              <w:rPr>
                <w:szCs w:val="21"/>
              </w:rPr>
            </w:pPr>
            <w:r>
              <w:rPr>
                <w:rFonts w:hint="eastAsia"/>
                <w:szCs w:val="21"/>
              </w:rPr>
              <w:t>/</w:t>
            </w:r>
          </w:p>
        </w:tc>
      </w:tr>
    </w:tbl>
    <w:p w14:paraId="0E0D48D3" w14:textId="77777777" w:rsidR="00E57DAA" w:rsidRDefault="00E57DAA" w:rsidP="00C25422">
      <w:pPr>
        <w:pStyle w:val="92"/>
      </w:pPr>
    </w:p>
    <w:p w14:paraId="2EAF7FC0" w14:textId="77777777" w:rsidR="00E57DAA" w:rsidRDefault="00AC4185" w:rsidP="00C25422">
      <w:pPr>
        <w:pStyle w:val="92"/>
      </w:pPr>
      <w:r>
        <w:rPr>
          <w:rFonts w:hint="eastAsia"/>
        </w:rPr>
        <w:t>其中本期坏账准备收回或转回金额重要的：</w:t>
      </w:r>
    </w:p>
    <w:bookmarkStart w:id="211" w:name="_Hlk153379287" w:displacedByCustomXml="next"/>
    <w:sdt>
      <w:sdtPr>
        <w:alias w:val="是否适用：本期坏账准备收回或转回金额重要的[双击切换]"/>
        <w:tag w:val="_GBC_40c6e5cd3d9b48fa9d8ddf51159f73e3"/>
        <w:id w:val="-1429259944"/>
        <w:placeholder>
          <w:docPart w:val="GBC22222222222222222222222222222"/>
        </w:placeholder>
      </w:sdtPr>
      <w:sdtEndPr/>
      <w:sdtContent>
        <w:p w14:paraId="1DC4ABF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05D396" w14:textId="77777777" w:rsidR="00E57DAA" w:rsidRDefault="00E57DAA">
      <w:pPr>
        <w:ind w:rightChars="-759" w:right="-1594"/>
      </w:pPr>
    </w:p>
    <w:p w14:paraId="0392E575" w14:textId="77777777" w:rsidR="00E57DAA" w:rsidRDefault="00AC4185">
      <w:pPr>
        <w:pStyle w:val="4"/>
        <w:numPr>
          <w:ilvl w:val="3"/>
          <w:numId w:val="72"/>
        </w:numPr>
        <w:ind w:left="426" w:hanging="426"/>
        <w:rPr>
          <w:szCs w:val="21"/>
        </w:rPr>
      </w:pPr>
      <w:r>
        <w:rPr>
          <w:szCs w:val="21"/>
        </w:rPr>
        <w:t>本期实际核销的</w:t>
      </w:r>
      <w:r>
        <w:rPr>
          <w:rFonts w:hint="eastAsia"/>
          <w:szCs w:val="21"/>
        </w:rPr>
        <w:t>合同资产</w:t>
      </w:r>
      <w:r>
        <w:rPr>
          <w:szCs w:val="21"/>
        </w:rPr>
        <w:t>情况</w:t>
      </w:r>
    </w:p>
    <w:bookmarkEnd w:id="211" w:displacedByCustomXml="next"/>
    <w:bookmarkStart w:id="212" w:name="_Hlk153379426" w:displacedByCustomXml="next"/>
    <w:sdt>
      <w:sdtPr>
        <w:alias w:val="是否适用：实际核销的情况[双击切换]"/>
        <w:tag w:val="_GBC_d2036f8632c6441bbae156d4fcc0a1bb"/>
        <w:id w:val="876361557"/>
        <w:placeholder>
          <w:docPart w:val="GBC22222222222222222222222222222"/>
        </w:placeholder>
      </w:sdtPr>
      <w:sdtEndPr/>
      <w:sdtContent>
        <w:p w14:paraId="3579635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E3DB8B" w14:textId="77777777" w:rsidR="00E57DAA" w:rsidRDefault="00E57DAA">
      <w:pPr>
        <w:rPr>
          <w:szCs w:val="21"/>
        </w:rPr>
      </w:pPr>
    </w:p>
    <w:p w14:paraId="1C6A110E" w14:textId="77777777" w:rsidR="00E57DAA" w:rsidRDefault="00AC4185">
      <w:pPr>
        <w:rPr>
          <w:szCs w:val="21"/>
        </w:rPr>
      </w:pPr>
      <w:r>
        <w:rPr>
          <w:rFonts w:hint="eastAsia"/>
          <w:szCs w:val="21"/>
        </w:rPr>
        <w:t>其中重要的合同资产核销情况</w:t>
      </w:r>
    </w:p>
    <w:sdt>
      <w:sdtPr>
        <w:rPr>
          <w:rFonts w:hint="eastAsia"/>
          <w:szCs w:val="21"/>
        </w:rPr>
        <w:alias w:val="是否适用：重要的核销情况[双击切换]"/>
        <w:tag w:val="_GBC_a32f8e56eb4941f98078bbae5f9968b0"/>
        <w:id w:val="469717413"/>
        <w:placeholder>
          <w:docPart w:val="GBC22222222222222222222222222222"/>
        </w:placeholder>
      </w:sdtPr>
      <w:sdtEndPr/>
      <w:sdtContent>
        <w:p w14:paraId="2C1D0A59"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22BE03" w14:textId="77777777" w:rsidR="00E57DAA" w:rsidRDefault="00E57DAA">
      <w:pPr>
        <w:rPr>
          <w:szCs w:val="21"/>
        </w:rPr>
      </w:pPr>
    </w:p>
    <w:p w14:paraId="5CE07672" w14:textId="77777777" w:rsidR="00E57DAA" w:rsidRDefault="00AC4185">
      <w:pPr>
        <w:snapToGrid w:val="0"/>
        <w:spacing w:line="240" w:lineRule="atLeast"/>
        <w:rPr>
          <w:szCs w:val="21"/>
        </w:rPr>
      </w:pPr>
      <w:r>
        <w:rPr>
          <w:rFonts w:hint="eastAsia"/>
          <w:szCs w:val="21"/>
        </w:rPr>
        <w:t>合同资产核销说明：</w:t>
      </w:r>
    </w:p>
    <w:sdt>
      <w:sdtPr>
        <w:rPr>
          <w:szCs w:val="21"/>
        </w:rPr>
        <w:alias w:val="是否适用：核销说明[双击切换]"/>
        <w:tag w:val="_GBC_837b8448d70d489b99f47e83a77e0bef"/>
        <w:id w:val="2053563705"/>
        <w:placeholder>
          <w:docPart w:val="GBC22222222222222222222222222222"/>
        </w:placeholder>
      </w:sdtPr>
      <w:sdtEndPr/>
      <w:sdtContent>
        <w:p w14:paraId="2A2CC8E9"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0"/>
    <w:p w14:paraId="13244FCA" w14:textId="77777777" w:rsidR="00E57DAA" w:rsidRDefault="00E57DAA">
      <w:pPr>
        <w:rPr>
          <w:szCs w:val="21"/>
        </w:rPr>
      </w:pPr>
    </w:p>
    <w:p w14:paraId="7315B43F" w14:textId="77777777" w:rsidR="00E57DAA" w:rsidRDefault="00AC4185">
      <w:pPr>
        <w:rPr>
          <w:szCs w:val="21"/>
        </w:rPr>
      </w:pPr>
      <w:r>
        <w:rPr>
          <w:rFonts w:hint="eastAsia"/>
          <w:szCs w:val="21"/>
        </w:rPr>
        <w:t>其他说明：</w:t>
      </w:r>
    </w:p>
    <w:bookmarkEnd w:id="212" w:displacedByCustomXml="next"/>
    <w:sdt>
      <w:sdtPr>
        <w:alias w:val="是否适用：合同资产其他说明[双击切换]"/>
        <w:tag w:val="_GBC_92ce0006559b479d93e7dbde6e8efca4"/>
        <w:id w:val="-1835053038"/>
        <w:placeholder>
          <w:docPart w:val="GBC22222222222222222222222222222"/>
        </w:placeholder>
      </w:sdtPr>
      <w:sdtEndPr/>
      <w:sdtContent>
        <w:p w14:paraId="22B0DA1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AC3C82" w14:textId="77777777" w:rsidR="00E57DAA" w:rsidRDefault="00E57DAA" w:rsidP="00C25422">
      <w:pPr>
        <w:pStyle w:val="92"/>
      </w:pPr>
    </w:p>
    <w:p w14:paraId="6B9A4D59" w14:textId="77777777" w:rsidR="00E57DAA" w:rsidRDefault="00AC4185" w:rsidP="00C25422">
      <w:pPr>
        <w:pStyle w:val="91"/>
        <w:numPr>
          <w:ilvl w:val="0"/>
          <w:numId w:val="69"/>
        </w:numPr>
      </w:pPr>
      <w:bookmarkStart w:id="213" w:name="_Hlk24102175"/>
      <w:r>
        <w:rPr>
          <w:rFonts w:hint="eastAsia"/>
        </w:rPr>
        <w:t>应收款项融资</w:t>
      </w:r>
    </w:p>
    <w:p w14:paraId="19962E92" w14:textId="77777777" w:rsidR="00E57DAA" w:rsidRDefault="00AC4185">
      <w:pPr>
        <w:pStyle w:val="4"/>
        <w:numPr>
          <w:ilvl w:val="0"/>
          <w:numId w:val="73"/>
        </w:numPr>
      </w:pPr>
      <w:r>
        <w:rPr>
          <w:rFonts w:hint="eastAsia"/>
        </w:rPr>
        <w:t>应收款项融资分类列示</w:t>
      </w:r>
    </w:p>
    <w:sdt>
      <w:sdtPr>
        <w:rPr>
          <w:szCs w:val="21"/>
        </w:rPr>
        <w:alias w:val="是否适用：应收款项融资[双击切换]"/>
        <w:tag w:val="_GBC_e38b7d767cdd4e9f8dd5f7f6ea2330da"/>
        <w:id w:val="157975104"/>
        <w:placeholder>
          <w:docPart w:val="GBC22222222222222222222222222222"/>
        </w:placeholder>
      </w:sdtPr>
      <w:sdtEndPr/>
      <w:sdtContent>
        <w:p w14:paraId="3185456C"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C5046B" w14:textId="77777777" w:rsidR="00E57DAA" w:rsidRDefault="00AC4185">
      <w:pPr>
        <w:ind w:left="420" w:right="-98"/>
        <w:jc w:val="right"/>
      </w:pPr>
      <w:r>
        <w:rPr>
          <w:rFonts w:hint="eastAsia"/>
        </w:rPr>
        <w:t xml:space="preserve">  单位：</w:t>
      </w:r>
      <w:sdt>
        <w:sdtPr>
          <w:rPr>
            <w:rFonts w:hint="eastAsia"/>
          </w:rPr>
          <w:alias w:val="单位：应收款项融资"/>
          <w:tag w:val="_GBC_718fb908b95f48ec84742dfac4338fd4"/>
          <w:id w:val="54379957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12817669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4"/>
        <w:gridCol w:w="2825"/>
        <w:gridCol w:w="2834"/>
      </w:tblGrid>
      <w:tr w:rsidR="00E57DAA" w14:paraId="07092713" w14:textId="77777777">
        <w:bookmarkStart w:id="214" w:name="_Hlk12969247" w:displacedByCustomXml="next"/>
        <w:bookmarkStart w:id="215" w:name="_Hlk13057555" w:displacedByCustomXml="next"/>
        <w:sdt>
          <w:sdtPr>
            <w:tag w:val="_PLD_03e528ffb61e4b53acdd40b3208f06a9"/>
            <w:id w:val="-328144516"/>
          </w:sdtPr>
          <w:sdtEndPr/>
          <w:sdtContent>
            <w:tc>
              <w:tcPr>
                <w:tcW w:w="1793" w:type="pct"/>
                <w:shd w:val="clear" w:color="auto" w:fill="auto"/>
                <w:vAlign w:val="center"/>
              </w:tcPr>
              <w:p w14:paraId="014761F4" w14:textId="77777777" w:rsidR="00E57DAA" w:rsidRDefault="00AC4185">
                <w:pPr>
                  <w:jc w:val="center"/>
                  <w:rPr>
                    <w:szCs w:val="21"/>
                  </w:rPr>
                </w:pPr>
                <w:r>
                  <w:rPr>
                    <w:rFonts w:hint="eastAsia"/>
                    <w:szCs w:val="21"/>
                  </w:rPr>
                  <w:t>项目</w:t>
                </w:r>
              </w:p>
            </w:tc>
          </w:sdtContent>
        </w:sdt>
        <w:sdt>
          <w:sdtPr>
            <w:tag w:val="_PLD_8d81c1822e774f6081deb29ea5466dc8"/>
            <w:id w:val="-1531330745"/>
          </w:sdtPr>
          <w:sdtEndPr/>
          <w:sdtContent>
            <w:tc>
              <w:tcPr>
                <w:tcW w:w="1601" w:type="pct"/>
                <w:shd w:val="clear" w:color="auto" w:fill="auto"/>
                <w:vAlign w:val="center"/>
              </w:tcPr>
              <w:p w14:paraId="2A858264"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1895083155"/>
          </w:sdtPr>
          <w:sdtEndPr/>
          <w:sdtContent>
            <w:tc>
              <w:tcPr>
                <w:tcW w:w="1606" w:type="pct"/>
                <w:shd w:val="clear" w:color="auto" w:fill="auto"/>
                <w:vAlign w:val="center"/>
              </w:tcPr>
              <w:p w14:paraId="5EE80B5F"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2C86C1D8" w14:textId="77777777">
        <w:tc>
          <w:tcPr>
            <w:tcW w:w="1793" w:type="pct"/>
            <w:shd w:val="clear" w:color="auto" w:fill="auto"/>
          </w:tcPr>
          <w:p w14:paraId="052CC0BF" w14:textId="77777777" w:rsidR="00E57DAA" w:rsidRDefault="00AC4185">
            <w:pPr>
              <w:autoSpaceDE w:val="0"/>
              <w:autoSpaceDN w:val="0"/>
              <w:adjustRightInd w:val="0"/>
              <w:rPr>
                <w:szCs w:val="21"/>
              </w:rPr>
            </w:pPr>
            <w:r>
              <w:t>应收票据</w:t>
            </w:r>
          </w:p>
        </w:tc>
        <w:tc>
          <w:tcPr>
            <w:tcW w:w="1601" w:type="pct"/>
            <w:shd w:val="clear" w:color="auto" w:fill="auto"/>
          </w:tcPr>
          <w:p w14:paraId="20EB25BF" w14:textId="77777777" w:rsidR="00E57DAA" w:rsidRDefault="00AC4185">
            <w:pPr>
              <w:jc w:val="right"/>
              <w:rPr>
                <w:szCs w:val="21"/>
              </w:rPr>
            </w:pPr>
            <w:r>
              <w:t>1,632,442,069.33</w:t>
            </w:r>
          </w:p>
        </w:tc>
        <w:tc>
          <w:tcPr>
            <w:tcW w:w="1606" w:type="pct"/>
            <w:shd w:val="clear" w:color="auto" w:fill="auto"/>
          </w:tcPr>
          <w:p w14:paraId="7813D95D" w14:textId="77777777" w:rsidR="00E57DAA" w:rsidRDefault="00AC4185">
            <w:pPr>
              <w:jc w:val="right"/>
              <w:rPr>
                <w:szCs w:val="21"/>
              </w:rPr>
            </w:pPr>
            <w:r>
              <w:t>1,837,144,041.96</w:t>
            </w:r>
          </w:p>
        </w:tc>
      </w:tr>
      <w:tr w:rsidR="00E57DAA" w14:paraId="76A5E6F3" w14:textId="77777777">
        <w:tc>
          <w:tcPr>
            <w:tcW w:w="1793" w:type="pct"/>
            <w:shd w:val="clear" w:color="auto" w:fill="auto"/>
            <w:vAlign w:val="center"/>
          </w:tcPr>
          <w:p w14:paraId="48C73517" w14:textId="77777777" w:rsidR="00E57DAA" w:rsidRDefault="00AC4185">
            <w:pPr>
              <w:jc w:val="center"/>
              <w:rPr>
                <w:szCs w:val="21"/>
              </w:rPr>
            </w:pPr>
            <w:r>
              <w:rPr>
                <w:rFonts w:hint="eastAsia"/>
                <w:szCs w:val="21"/>
              </w:rPr>
              <w:t>合计</w:t>
            </w:r>
          </w:p>
        </w:tc>
        <w:tc>
          <w:tcPr>
            <w:tcW w:w="1601" w:type="pct"/>
            <w:shd w:val="clear" w:color="auto" w:fill="auto"/>
            <w:vAlign w:val="center"/>
          </w:tcPr>
          <w:p w14:paraId="1D4C80FC" w14:textId="77777777" w:rsidR="00E57DAA" w:rsidRDefault="00AC4185">
            <w:pPr>
              <w:jc w:val="right"/>
              <w:rPr>
                <w:szCs w:val="21"/>
              </w:rPr>
            </w:pPr>
            <w:r>
              <w:t>1,632,442,069.33</w:t>
            </w:r>
          </w:p>
        </w:tc>
        <w:tc>
          <w:tcPr>
            <w:tcW w:w="1606" w:type="pct"/>
            <w:shd w:val="clear" w:color="auto" w:fill="auto"/>
            <w:vAlign w:val="center"/>
          </w:tcPr>
          <w:p w14:paraId="1AFCFDEB" w14:textId="77777777" w:rsidR="00E57DAA" w:rsidRDefault="00AC4185">
            <w:pPr>
              <w:jc w:val="right"/>
              <w:rPr>
                <w:szCs w:val="21"/>
              </w:rPr>
            </w:pPr>
            <w:r>
              <w:t>1,837,144,041.96</w:t>
            </w:r>
          </w:p>
        </w:tc>
      </w:tr>
    </w:tbl>
    <w:p w14:paraId="5599FC86" w14:textId="77777777" w:rsidR="00E57DAA" w:rsidRDefault="00E57DAA" w:rsidP="00C25422">
      <w:pPr>
        <w:pStyle w:val="92"/>
      </w:pPr>
    </w:p>
    <w:p w14:paraId="0F799173" w14:textId="77777777" w:rsidR="00E57DAA" w:rsidRDefault="00AC4185">
      <w:pPr>
        <w:pStyle w:val="4"/>
        <w:numPr>
          <w:ilvl w:val="0"/>
          <w:numId w:val="73"/>
        </w:numPr>
      </w:pPr>
      <w:r>
        <w:lastRenderedPageBreak/>
        <w:t>期末公司已</w:t>
      </w:r>
      <w:r>
        <w:rPr>
          <w:rFonts w:hint="eastAsia"/>
        </w:rPr>
        <w:t>质押</w:t>
      </w:r>
      <w:r>
        <w:t>的应收款项融资</w:t>
      </w:r>
    </w:p>
    <w:sdt>
      <w:sdtPr>
        <w:alias w:val="是否适用：期末公司已质押的应收款项融资[双击切换]"/>
        <w:tag w:val="_GBC_31b898cd43844d68932063bb1e6347a8"/>
        <w:id w:val="-723138863"/>
        <w:placeholder>
          <w:docPart w:val="GBC22222222222222222222222222222"/>
        </w:placeholder>
      </w:sdtPr>
      <w:sdtEndPr/>
      <w:sdtContent>
        <w:p w14:paraId="45CDAA6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0F82D7" w14:textId="77777777" w:rsidR="00E57DAA" w:rsidRDefault="00E57DAA">
      <w:pPr>
        <w:rPr>
          <w:szCs w:val="21"/>
        </w:rPr>
      </w:pPr>
    </w:p>
    <w:p w14:paraId="341B663F" w14:textId="77777777" w:rsidR="00E57DAA" w:rsidRDefault="00AC4185">
      <w:pPr>
        <w:pStyle w:val="4"/>
        <w:numPr>
          <w:ilvl w:val="0"/>
          <w:numId w:val="73"/>
        </w:numPr>
      </w:pPr>
      <w:r>
        <w:rPr>
          <w:rFonts w:hint="eastAsia"/>
        </w:rPr>
        <w:t>期末公司已背书或贴现且在资产负债表日尚未到期的应收款项融资</w:t>
      </w:r>
    </w:p>
    <w:sdt>
      <w:sdtPr>
        <w:alias w:val="是否适用：期末公司已背书或贴现且在资产负债表日尚未到期的应收款项融资[双击切换]"/>
        <w:tag w:val="_GBC_6aad06646df44df888f953be7f5703c6"/>
        <w:id w:val="-1273174084"/>
        <w:placeholder>
          <w:docPart w:val="GBC22222222222222222222222222222"/>
        </w:placeholder>
      </w:sdtPr>
      <w:sdtEndPr/>
      <w:sdtContent>
        <w:p w14:paraId="1A2E475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73C73E" w14:textId="77777777" w:rsidR="00E57DAA" w:rsidRDefault="00AC4185">
      <w:pPr>
        <w:jc w:val="right"/>
        <w:rPr>
          <w:szCs w:val="21"/>
        </w:rPr>
      </w:pPr>
      <w:r>
        <w:rPr>
          <w:rFonts w:hint="eastAsia"/>
          <w:szCs w:val="21"/>
        </w:rPr>
        <w:t>单位：</w:t>
      </w:r>
      <w:sdt>
        <w:sdtPr>
          <w:rPr>
            <w:rFonts w:hint="eastAsia"/>
            <w:szCs w:val="21"/>
          </w:rPr>
          <w:alias w:val="单位：期末公司已背书或贴现且在资产负债表日尚未到期的应收款项融资"/>
          <w:tag w:val="_GBC_93228107c43a481da9506f790cd8af92"/>
          <w:id w:val="1939875715"/>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期末公司已背书或贴现且在资产负债表日尚未到期的应收款项融资"/>
          <w:tag w:val="_GBC_321f16b9d20241dd9a8da269a46b1e36"/>
          <w:id w:val="182336660"/>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904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E57DAA" w14:paraId="7D728442" w14:textId="77777777">
        <w:sdt>
          <w:sdtPr>
            <w:rPr>
              <w:rFonts w:hint="eastAsia"/>
              <w:szCs w:val="21"/>
            </w:rPr>
            <w:tag w:val="_PLD_33b7f0ccb35e48099a6f7696604b4e21"/>
            <w:id w:val="1147778372"/>
          </w:sdtPr>
          <w:sdtEndPr/>
          <w:sdtContent>
            <w:tc>
              <w:tcPr>
                <w:tcW w:w="2877" w:type="dxa"/>
                <w:shd w:val="clear" w:color="auto" w:fill="auto"/>
                <w:vAlign w:val="center"/>
              </w:tcPr>
              <w:p w14:paraId="00AF9249" w14:textId="77777777" w:rsidR="00E57DAA" w:rsidRDefault="00AC4185">
                <w:pPr>
                  <w:jc w:val="center"/>
                  <w:rPr>
                    <w:szCs w:val="21"/>
                  </w:rPr>
                </w:pPr>
                <w:r>
                  <w:rPr>
                    <w:rFonts w:hint="eastAsia"/>
                    <w:szCs w:val="21"/>
                  </w:rPr>
                  <w:t>项目</w:t>
                </w:r>
              </w:p>
            </w:tc>
          </w:sdtContent>
        </w:sdt>
        <w:sdt>
          <w:sdtPr>
            <w:rPr>
              <w:rFonts w:hint="eastAsia"/>
              <w:szCs w:val="21"/>
            </w:rPr>
            <w:tag w:val="_PLD_149743054c254feca84017182a25be7d"/>
            <w:id w:val="1498379971"/>
          </w:sdtPr>
          <w:sdtEndPr/>
          <w:sdtContent>
            <w:tc>
              <w:tcPr>
                <w:tcW w:w="3050" w:type="dxa"/>
                <w:shd w:val="clear" w:color="auto" w:fill="auto"/>
                <w:vAlign w:val="center"/>
              </w:tcPr>
              <w:p w14:paraId="6A8B9844" w14:textId="77777777" w:rsidR="00E57DAA" w:rsidRDefault="00AC4185">
                <w:pPr>
                  <w:jc w:val="center"/>
                  <w:rPr>
                    <w:szCs w:val="21"/>
                  </w:rPr>
                </w:pPr>
                <w:r>
                  <w:rPr>
                    <w:rFonts w:hint="eastAsia"/>
                    <w:szCs w:val="21"/>
                  </w:rPr>
                  <w:t>期末终止确认金额</w:t>
                </w:r>
              </w:p>
            </w:tc>
          </w:sdtContent>
        </w:sdt>
        <w:sdt>
          <w:sdtPr>
            <w:rPr>
              <w:rFonts w:hint="eastAsia"/>
              <w:szCs w:val="21"/>
            </w:rPr>
            <w:tag w:val="_PLD_9f59617eec3d4ee4b21512d75b778f97"/>
            <w:id w:val="1930542052"/>
          </w:sdtPr>
          <w:sdtEndPr/>
          <w:sdtContent>
            <w:tc>
              <w:tcPr>
                <w:tcW w:w="3122" w:type="dxa"/>
                <w:shd w:val="clear" w:color="auto" w:fill="auto"/>
                <w:vAlign w:val="center"/>
              </w:tcPr>
              <w:p w14:paraId="085D46D1" w14:textId="77777777" w:rsidR="00E57DAA" w:rsidRDefault="00AC4185">
                <w:pPr>
                  <w:jc w:val="center"/>
                  <w:rPr>
                    <w:szCs w:val="21"/>
                  </w:rPr>
                </w:pPr>
                <w:r>
                  <w:rPr>
                    <w:rFonts w:hint="eastAsia"/>
                    <w:szCs w:val="21"/>
                  </w:rPr>
                  <w:t>期末未终止确认金额</w:t>
                </w:r>
              </w:p>
            </w:tc>
          </w:sdtContent>
        </w:sdt>
      </w:tr>
      <w:tr w:rsidR="00E57DAA" w14:paraId="2136AAB4" w14:textId="77777777">
        <w:tc>
          <w:tcPr>
            <w:tcW w:w="2877" w:type="dxa"/>
            <w:shd w:val="clear" w:color="auto" w:fill="auto"/>
          </w:tcPr>
          <w:p w14:paraId="2D48CAFE" w14:textId="77777777" w:rsidR="00E57DAA" w:rsidRDefault="00AC4185">
            <w:pPr>
              <w:rPr>
                <w:szCs w:val="21"/>
              </w:rPr>
            </w:pPr>
            <w:r>
              <w:t>银行承兑汇票</w:t>
            </w:r>
          </w:p>
        </w:tc>
        <w:tc>
          <w:tcPr>
            <w:tcW w:w="3050" w:type="dxa"/>
            <w:shd w:val="clear" w:color="auto" w:fill="auto"/>
            <w:vAlign w:val="center"/>
          </w:tcPr>
          <w:p w14:paraId="5CA04538" w14:textId="77777777" w:rsidR="00E57DAA" w:rsidRDefault="00AC4185">
            <w:pPr>
              <w:jc w:val="right"/>
              <w:rPr>
                <w:szCs w:val="21"/>
              </w:rPr>
            </w:pPr>
            <w:r>
              <w:t>4,082,612,025.59</w:t>
            </w:r>
          </w:p>
        </w:tc>
        <w:tc>
          <w:tcPr>
            <w:tcW w:w="3122" w:type="dxa"/>
            <w:shd w:val="clear" w:color="auto" w:fill="auto"/>
          </w:tcPr>
          <w:p w14:paraId="0B8C521C" w14:textId="77777777" w:rsidR="00E57DAA" w:rsidRDefault="00E57DAA">
            <w:pPr>
              <w:jc w:val="right"/>
              <w:rPr>
                <w:szCs w:val="21"/>
              </w:rPr>
            </w:pPr>
          </w:p>
        </w:tc>
      </w:tr>
      <w:tr w:rsidR="00E57DAA" w14:paraId="60EDF8DE" w14:textId="77777777">
        <w:tc>
          <w:tcPr>
            <w:tcW w:w="2877" w:type="dxa"/>
            <w:shd w:val="clear" w:color="auto" w:fill="auto"/>
          </w:tcPr>
          <w:p w14:paraId="493F8D83" w14:textId="77777777" w:rsidR="00E57DAA" w:rsidRDefault="00AC4185">
            <w:pPr>
              <w:rPr>
                <w:szCs w:val="21"/>
              </w:rPr>
            </w:pPr>
            <w:r>
              <w:t>商业承兑汇票</w:t>
            </w:r>
          </w:p>
        </w:tc>
        <w:tc>
          <w:tcPr>
            <w:tcW w:w="3050" w:type="dxa"/>
            <w:shd w:val="clear" w:color="auto" w:fill="auto"/>
            <w:vAlign w:val="center"/>
          </w:tcPr>
          <w:p w14:paraId="2624B76E" w14:textId="77777777" w:rsidR="00E57DAA" w:rsidRDefault="00AC4185">
            <w:pPr>
              <w:jc w:val="right"/>
              <w:rPr>
                <w:szCs w:val="21"/>
              </w:rPr>
            </w:pPr>
            <w:r>
              <w:t>207,000.00</w:t>
            </w:r>
          </w:p>
        </w:tc>
        <w:tc>
          <w:tcPr>
            <w:tcW w:w="3122" w:type="dxa"/>
            <w:shd w:val="clear" w:color="auto" w:fill="auto"/>
          </w:tcPr>
          <w:p w14:paraId="699DAC75" w14:textId="77777777" w:rsidR="00E57DAA" w:rsidRDefault="00E57DAA">
            <w:pPr>
              <w:jc w:val="right"/>
              <w:rPr>
                <w:szCs w:val="21"/>
              </w:rPr>
            </w:pPr>
          </w:p>
        </w:tc>
      </w:tr>
      <w:tr w:rsidR="00E57DAA" w14:paraId="58660D2A" w14:textId="77777777">
        <w:tc>
          <w:tcPr>
            <w:tcW w:w="2877" w:type="dxa"/>
            <w:shd w:val="clear" w:color="auto" w:fill="auto"/>
            <w:vAlign w:val="center"/>
          </w:tcPr>
          <w:p w14:paraId="247139DC" w14:textId="77777777" w:rsidR="00E57DAA" w:rsidRDefault="00AC4185">
            <w:pPr>
              <w:jc w:val="center"/>
            </w:pPr>
            <w:r>
              <w:rPr>
                <w:rFonts w:hint="eastAsia"/>
              </w:rPr>
              <w:t>合计</w:t>
            </w:r>
          </w:p>
        </w:tc>
        <w:tc>
          <w:tcPr>
            <w:tcW w:w="3050" w:type="dxa"/>
            <w:shd w:val="clear" w:color="auto" w:fill="auto"/>
            <w:vAlign w:val="center"/>
          </w:tcPr>
          <w:p w14:paraId="26C58544" w14:textId="77777777" w:rsidR="00E57DAA" w:rsidRDefault="00AC4185">
            <w:pPr>
              <w:jc w:val="right"/>
              <w:rPr>
                <w:szCs w:val="21"/>
              </w:rPr>
            </w:pPr>
            <w:r>
              <w:t>4,082,819,025.59</w:t>
            </w:r>
          </w:p>
        </w:tc>
        <w:tc>
          <w:tcPr>
            <w:tcW w:w="3122" w:type="dxa"/>
            <w:shd w:val="clear" w:color="auto" w:fill="auto"/>
          </w:tcPr>
          <w:p w14:paraId="02963B1A" w14:textId="77777777" w:rsidR="00E57DAA" w:rsidRDefault="00E57DAA">
            <w:pPr>
              <w:jc w:val="right"/>
              <w:rPr>
                <w:szCs w:val="21"/>
              </w:rPr>
            </w:pPr>
          </w:p>
        </w:tc>
      </w:tr>
    </w:tbl>
    <w:p w14:paraId="5E13F15B" w14:textId="77777777" w:rsidR="00E57DAA" w:rsidRDefault="00E57DAA"/>
    <w:p w14:paraId="3E1F0C85" w14:textId="77777777" w:rsidR="00E57DAA" w:rsidRDefault="00E57DAA">
      <w:pPr>
        <w:rPr>
          <w:szCs w:val="21"/>
        </w:rPr>
      </w:pPr>
    </w:p>
    <w:p w14:paraId="483029B3" w14:textId="77777777" w:rsidR="00E57DAA" w:rsidRDefault="00AC4185">
      <w:pPr>
        <w:pStyle w:val="4"/>
        <w:numPr>
          <w:ilvl w:val="0"/>
          <w:numId w:val="73"/>
        </w:numPr>
      </w:pPr>
      <w:r>
        <w:rPr>
          <w:rFonts w:hint="eastAsia"/>
        </w:rPr>
        <w:t>按</w:t>
      </w:r>
      <w:r>
        <w:t>坏账计提方法分类披露</w:t>
      </w:r>
    </w:p>
    <w:sdt>
      <w:sdtPr>
        <w:alias w:val="是否适用：按坏账计提方法分类披露[双击切换]"/>
        <w:tag w:val="_GBC_bb62f97adc6849f2b3d956a701e7fa7d"/>
        <w:id w:val="1974407062"/>
        <w:placeholder>
          <w:docPart w:val="GBC22222222222222222222222222222"/>
        </w:placeholder>
      </w:sdtPr>
      <w:sdtEndPr/>
      <w:sdtContent>
        <w:p w14:paraId="7ABC9AA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851431" w14:textId="77777777" w:rsidR="00E57DAA" w:rsidRDefault="00E57DAA" w:rsidP="00C25422">
      <w:pPr>
        <w:pStyle w:val="92"/>
      </w:pPr>
    </w:p>
    <w:p w14:paraId="7C645F75" w14:textId="77777777" w:rsidR="00E57DAA" w:rsidRDefault="00AC4185" w:rsidP="00C25422">
      <w:pPr>
        <w:pStyle w:val="92"/>
      </w:pPr>
      <w:r>
        <w:rPr>
          <w:rFonts w:hint="eastAsia"/>
        </w:rPr>
        <w:t>按单项计提坏账准备：</w:t>
      </w:r>
    </w:p>
    <w:sdt>
      <w:sdtPr>
        <w:alias w:val="是否适用：按单项计提坏账准备的详细情况[双击切换]"/>
        <w:tag w:val="_GBC_65f67a26c8854813ab351f644b5cb549"/>
        <w:id w:val="816223065"/>
        <w:placeholder>
          <w:docPart w:val="GBC22222222222222222222222222222"/>
        </w:placeholder>
      </w:sdtPr>
      <w:sdtEndPr/>
      <w:sdtContent>
        <w:p w14:paraId="31AF0C8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808F28" w14:textId="77777777" w:rsidR="00E57DAA" w:rsidRDefault="00E57DAA">
      <w:pPr>
        <w:rPr>
          <w:szCs w:val="21"/>
        </w:rPr>
      </w:pPr>
    </w:p>
    <w:p w14:paraId="1600AB87" w14:textId="77777777" w:rsidR="00E57DAA" w:rsidRDefault="00AC4185">
      <w:pPr>
        <w:rPr>
          <w:szCs w:val="21"/>
        </w:rPr>
      </w:pPr>
      <w:r>
        <w:rPr>
          <w:rFonts w:hint="eastAsia"/>
          <w:szCs w:val="21"/>
        </w:rPr>
        <w:t>按单项计提坏账准备的说明：</w:t>
      </w:r>
    </w:p>
    <w:sdt>
      <w:sdtPr>
        <w:rPr>
          <w:szCs w:val="21"/>
        </w:rPr>
        <w:alias w:val="是否适用：按单项计提坏账准备的说明[双击切换]"/>
        <w:tag w:val="_GBC_d2e6ec1c09f24f3f8d01b46d2d307db0"/>
        <w:id w:val="508039043"/>
        <w:placeholder>
          <w:docPart w:val="GBC22222222222222222222222222222"/>
        </w:placeholder>
      </w:sdtPr>
      <w:sdtEndPr/>
      <w:sdtContent>
        <w:p w14:paraId="32C1242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9491EF" w14:textId="77777777" w:rsidR="00E57DAA" w:rsidRDefault="00E57DAA">
      <w:pPr>
        <w:rPr>
          <w:szCs w:val="21"/>
        </w:rPr>
      </w:pPr>
    </w:p>
    <w:p w14:paraId="7CAF4647"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8f072c0ad15941d789bf25455711e72b"/>
        <w:id w:val="1367031600"/>
        <w:placeholder>
          <w:docPart w:val="GBC22222222222222222222222222222"/>
        </w:placeholder>
      </w:sdtPr>
      <w:sdtEndPr/>
      <w:sdtContent>
        <w:p w14:paraId="6B28046E"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793EECDD" w14:textId="77777777" w:rsidR="00E57DAA" w:rsidRDefault="00E57DAA">
      <w:pPr>
        <w:rPr>
          <w:szCs w:val="21"/>
        </w:rPr>
      </w:pPr>
    </w:p>
    <w:p w14:paraId="7E11D2B1" w14:textId="77777777" w:rsidR="00E57DAA" w:rsidRDefault="00AC4185">
      <w:pPr>
        <w:rPr>
          <w:rFonts w:cstheme="minorBidi"/>
          <w:bCs/>
          <w:szCs w:val="22"/>
        </w:rPr>
      </w:pPr>
      <w:r>
        <w:rPr>
          <w:rFonts w:cstheme="minorBidi" w:hint="eastAsia"/>
          <w:bCs/>
          <w:szCs w:val="22"/>
        </w:rPr>
        <w:t>按预期信用损失一般模型计提坏账准备</w:t>
      </w:r>
    </w:p>
    <w:bookmarkStart w:id="216" w:name="_Hlk154134692" w:displacedByCustomXml="next"/>
    <w:bookmarkStart w:id="217" w:name="_Hlk153372713" w:displacedByCustomXml="next"/>
    <w:sdt>
      <w:sdtPr>
        <w:rPr>
          <w:rFonts w:cstheme="minorBidi"/>
          <w:bCs/>
          <w:szCs w:val="22"/>
        </w:rPr>
        <w:alias w:val="是否适用：按预期信用损失一般模型计提坏账准备[双击切换]"/>
        <w:tag w:val="_GBC_711e992fa6a34dd7aa5a5725743204fa"/>
        <w:id w:val="1992671161"/>
        <w:placeholder>
          <w:docPart w:val="GBC22222222222222222222222222222"/>
        </w:placeholder>
      </w:sdtPr>
      <w:sdtEndPr/>
      <w:sdtContent>
        <w:p w14:paraId="0CCCCC9C" w14:textId="77777777" w:rsidR="00E57DAA" w:rsidRDefault="00AC4185">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27D23D56" w14:textId="77777777" w:rsidR="00E57DAA" w:rsidRDefault="00E57DAA">
      <w:pPr>
        <w:rPr>
          <w:rFonts w:asciiTheme="minorHAnsi" w:hAnsiTheme="minorHAnsi" w:cstheme="minorBidi"/>
          <w:b/>
          <w:bCs/>
          <w:szCs w:val="22"/>
        </w:rPr>
      </w:pPr>
    </w:p>
    <w:p w14:paraId="4787DCB7" w14:textId="77777777" w:rsidR="00E57DAA" w:rsidRDefault="00AC4185">
      <w:pPr>
        <w:pStyle w:val="45"/>
      </w:pPr>
      <w:r>
        <w:rPr>
          <w:rFonts w:hint="eastAsia"/>
        </w:rPr>
        <w:t>对本期发生损失准备变动的应收款项融资账面余额显著变动的情况说明：</w:t>
      </w:r>
    </w:p>
    <w:sdt>
      <w:sdtPr>
        <w:rPr>
          <w:szCs w:val="21"/>
        </w:rPr>
        <w:alias w:val="是否适用：对本期发生损失准备变动的账面余额显著变动的情况说明[双击切换]"/>
        <w:tag w:val="_GBC_14de6d8177254b0abb86a102aa2886f9"/>
        <w:id w:val="-2065478298"/>
        <w:placeholder>
          <w:docPart w:val="GBC22222222222222222222222222222"/>
        </w:placeholder>
      </w:sdtPr>
      <w:sdtEndPr/>
      <w:sdtContent>
        <w:p w14:paraId="422B3577"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6"/>
    <w:p w14:paraId="0EAF0008" w14:textId="77777777" w:rsidR="00E57DAA" w:rsidRDefault="00E57DAA">
      <w:pPr>
        <w:rPr>
          <w:rFonts w:asciiTheme="minorHAnsi" w:hAnsiTheme="minorHAnsi" w:cstheme="minorBidi"/>
          <w:b/>
          <w:bCs/>
          <w:szCs w:val="22"/>
        </w:rPr>
      </w:pPr>
    </w:p>
    <w:p w14:paraId="6AA0F8AA" w14:textId="77777777" w:rsidR="00E57DAA" w:rsidRDefault="00AC4185">
      <w:pPr>
        <w:pStyle w:val="4"/>
        <w:numPr>
          <w:ilvl w:val="0"/>
          <w:numId w:val="73"/>
        </w:numPr>
      </w:pPr>
      <w:r>
        <w:rPr>
          <w:rFonts w:hint="eastAsia"/>
        </w:rPr>
        <w:t>坏账准备的情况</w:t>
      </w:r>
    </w:p>
    <w:bookmarkEnd w:id="217" w:displacedByCustomXml="next"/>
    <w:sdt>
      <w:sdtPr>
        <w:alias w:val="是否适用：坏账准备情况[双击切换]"/>
        <w:tag w:val="_GBC_9eb14f08b86f4a7096cd60413baf3092"/>
        <w:id w:val="-2020915805"/>
        <w:placeholder>
          <w:docPart w:val="GBC22222222222222222222222222222"/>
        </w:placeholder>
      </w:sdtPr>
      <w:sdtEndPr/>
      <w:sdtContent>
        <w:p w14:paraId="3C706FB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7AB724" w14:textId="77777777" w:rsidR="00E57DAA" w:rsidRDefault="00E57DAA" w:rsidP="00C25422">
      <w:pPr>
        <w:pStyle w:val="92"/>
      </w:pPr>
    </w:p>
    <w:p w14:paraId="3ED0BCFD" w14:textId="77777777" w:rsidR="00E57DAA" w:rsidRDefault="00AC4185" w:rsidP="00C25422">
      <w:pPr>
        <w:pStyle w:val="92"/>
      </w:pPr>
      <w:r>
        <w:rPr>
          <w:rFonts w:hint="eastAsia"/>
        </w:rPr>
        <w:t>其中本期坏账准备收回或转回金额重要的：</w:t>
      </w:r>
    </w:p>
    <w:sdt>
      <w:sdtPr>
        <w:alias w:val="是否适用：本期坏账准备收回或转回金额重要的[双击切换]"/>
        <w:tag w:val="_GBC_2b51db20288a43b39962432da30280fe"/>
        <w:id w:val="-871532218"/>
        <w:placeholder>
          <w:docPart w:val="GBC22222222222222222222222222222"/>
        </w:placeholder>
      </w:sdtPr>
      <w:sdtEndPr/>
      <w:sdtContent>
        <w:p w14:paraId="68EF18B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94FAE7" w14:textId="77777777" w:rsidR="00E57DAA" w:rsidRDefault="00E57DAA" w:rsidP="00C25422">
      <w:pPr>
        <w:pStyle w:val="92"/>
      </w:pPr>
    </w:p>
    <w:p w14:paraId="696A4D80" w14:textId="77777777" w:rsidR="00E57DAA" w:rsidRDefault="00AC4185">
      <w:pPr>
        <w:pStyle w:val="4"/>
        <w:numPr>
          <w:ilvl w:val="0"/>
          <w:numId w:val="73"/>
        </w:numPr>
      </w:pPr>
      <w:r>
        <w:t>本期实际核销的应收款项融资情况</w:t>
      </w:r>
    </w:p>
    <w:sdt>
      <w:sdtPr>
        <w:alias w:val="是否适用：实际核销的情况[双击切换]"/>
        <w:tag w:val="_GBC_4075b47847034ec5b4b4aeeb85217687"/>
        <w:id w:val="-522550138"/>
        <w:placeholder>
          <w:docPart w:val="GBC22222222222222222222222222222"/>
        </w:placeholder>
      </w:sdtPr>
      <w:sdtEndPr/>
      <w:sdtContent>
        <w:p w14:paraId="2E2C22A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3B5EBA" w14:textId="77777777" w:rsidR="00E57DAA" w:rsidRDefault="00E57DAA">
      <w:pPr>
        <w:rPr>
          <w:szCs w:val="21"/>
        </w:rPr>
      </w:pPr>
    </w:p>
    <w:p w14:paraId="76ADE686" w14:textId="77777777" w:rsidR="00E57DAA" w:rsidRDefault="00AC4185">
      <w:pPr>
        <w:rPr>
          <w:szCs w:val="21"/>
        </w:rPr>
      </w:pPr>
      <w:r>
        <w:rPr>
          <w:rFonts w:hint="eastAsia"/>
          <w:szCs w:val="21"/>
        </w:rPr>
        <w:t>其中重要的应收款项融资核销情况</w:t>
      </w:r>
    </w:p>
    <w:sdt>
      <w:sdtPr>
        <w:rPr>
          <w:rFonts w:hint="eastAsia"/>
          <w:szCs w:val="21"/>
        </w:rPr>
        <w:alias w:val="是否适用：重要的核销情况[双击切换]"/>
        <w:tag w:val="_GBC_a1c05dd99dc343f883b67997da317840"/>
        <w:id w:val="1729485619"/>
        <w:placeholder>
          <w:docPart w:val="GBC22222222222222222222222222222"/>
        </w:placeholder>
      </w:sdtPr>
      <w:sdtEndPr/>
      <w:sdtContent>
        <w:p w14:paraId="0871A4A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C786C0" w14:textId="77777777" w:rsidR="00E57DAA" w:rsidRDefault="00E57DAA">
      <w:pPr>
        <w:rPr>
          <w:szCs w:val="21"/>
        </w:rPr>
      </w:pPr>
    </w:p>
    <w:p w14:paraId="23891791" w14:textId="77777777" w:rsidR="00E57DAA" w:rsidRDefault="00AC4185">
      <w:pPr>
        <w:snapToGrid w:val="0"/>
        <w:spacing w:line="240" w:lineRule="atLeast"/>
        <w:rPr>
          <w:szCs w:val="21"/>
        </w:rPr>
      </w:pPr>
      <w:r>
        <w:rPr>
          <w:rFonts w:hint="eastAsia"/>
          <w:szCs w:val="21"/>
        </w:rPr>
        <w:t>核销说明：</w:t>
      </w:r>
    </w:p>
    <w:sdt>
      <w:sdtPr>
        <w:rPr>
          <w:szCs w:val="21"/>
        </w:rPr>
        <w:alias w:val="是否适用：核销说明[双击切换]"/>
        <w:tag w:val="_GBC_960239b4d8f94352ba13280d190272c1"/>
        <w:id w:val="-1421640087"/>
        <w:placeholder>
          <w:docPart w:val="GBC22222222222222222222222222222"/>
        </w:placeholder>
      </w:sdtPr>
      <w:sdtEndPr/>
      <w:sdtContent>
        <w:p w14:paraId="5D59E8C5"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43B843" w14:textId="77777777" w:rsidR="00E57DAA" w:rsidRDefault="00E57DAA" w:rsidP="00C25422">
      <w:pPr>
        <w:pStyle w:val="92"/>
      </w:pPr>
    </w:p>
    <w:p w14:paraId="0A00D55C" w14:textId="77777777" w:rsidR="00E57DAA" w:rsidRDefault="00AC4185">
      <w:pPr>
        <w:pStyle w:val="4"/>
        <w:numPr>
          <w:ilvl w:val="0"/>
          <w:numId w:val="73"/>
        </w:numPr>
      </w:pPr>
      <w:r>
        <w:rPr>
          <w:rFonts w:hint="eastAsia"/>
        </w:rPr>
        <w:t>应收款项融资本期增减变动及公允价值变动情况</w:t>
      </w:r>
      <w:r>
        <w:t>：</w:t>
      </w:r>
    </w:p>
    <w:sdt>
      <w:sdtPr>
        <w:rPr>
          <w:rFonts w:hint="eastAsia"/>
        </w:rPr>
        <w:alias w:val="是否适用：应收款项融资本期增减变动及公允价值变动情况[双击切换]"/>
        <w:tag w:val="_GBC_1265a117176c43939de7d6d1e043f692"/>
        <w:id w:val="-779332729"/>
        <w:placeholder>
          <w:docPart w:val="GBC22222222222222222222222222222"/>
        </w:placeholder>
      </w:sdtPr>
      <w:sdtEndPr/>
      <w:sdtContent>
        <w:p w14:paraId="5D05D6E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3"/>
    <w:p w14:paraId="44133E41" w14:textId="77777777" w:rsidR="00E57DAA" w:rsidRDefault="00E57DAA" w:rsidP="00C25422">
      <w:pPr>
        <w:pStyle w:val="92"/>
      </w:pPr>
    </w:p>
    <w:p w14:paraId="31481CA1" w14:textId="77777777" w:rsidR="00E57DAA" w:rsidRDefault="00AC4185">
      <w:pPr>
        <w:pStyle w:val="4"/>
        <w:numPr>
          <w:ilvl w:val="0"/>
          <w:numId w:val="73"/>
        </w:numPr>
      </w:pPr>
      <w:r>
        <w:rPr>
          <w:rFonts w:hint="eastAsia"/>
        </w:rPr>
        <w:lastRenderedPageBreak/>
        <w:t>其他</w:t>
      </w:r>
      <w:r>
        <w:t>说明</w:t>
      </w:r>
      <w:r>
        <w:rPr>
          <w:rFonts w:hint="eastAsia"/>
        </w:rPr>
        <w:t>：</w:t>
      </w:r>
    </w:p>
    <w:bookmarkEnd w:id="214" w:displacedByCustomXml="next"/>
    <w:bookmarkEnd w:id="215" w:displacedByCustomXml="next"/>
    <w:bookmarkStart w:id="218" w:name="_Hlk13057390" w:displacedByCustomXml="next"/>
    <w:sdt>
      <w:sdtPr>
        <w:rPr>
          <w:rFonts w:hint="eastAsia"/>
        </w:rPr>
        <w:alias w:val="是否适用：应收款项融资其他说明[双击切换]"/>
        <w:tag w:val="_GBC_19d5ef5dfbe64f2d98d9ab83a2e48c14"/>
        <w:id w:val="-1231387129"/>
        <w:placeholder>
          <w:docPart w:val="GBC22222222222222222222222222222"/>
        </w:placeholder>
      </w:sdtPr>
      <w:sdtEndPr/>
      <w:sdtContent>
        <w:p w14:paraId="367F1E3C"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8"/>
    <w:p w14:paraId="45B7C428" w14:textId="77777777" w:rsidR="00E57DAA" w:rsidRDefault="00E57DAA">
      <w:pPr>
        <w:rPr>
          <w:szCs w:val="21"/>
        </w:rPr>
      </w:pPr>
    </w:p>
    <w:p w14:paraId="35ECFCA3" w14:textId="77777777" w:rsidR="00E57DAA" w:rsidRDefault="00AC4185" w:rsidP="00C25422">
      <w:pPr>
        <w:pStyle w:val="91"/>
        <w:numPr>
          <w:ilvl w:val="0"/>
          <w:numId w:val="69"/>
        </w:numPr>
      </w:pPr>
      <w:r>
        <w:rPr>
          <w:rFonts w:hint="eastAsia"/>
        </w:rPr>
        <w:t>预付款项</w:t>
      </w:r>
    </w:p>
    <w:p w14:paraId="5FA4C557" w14:textId="77777777" w:rsidR="00E57DAA" w:rsidRDefault="00AC4185">
      <w:pPr>
        <w:pStyle w:val="4"/>
        <w:numPr>
          <w:ilvl w:val="3"/>
          <w:numId w:val="74"/>
        </w:numPr>
        <w:ind w:left="426" w:hanging="426"/>
      </w:pPr>
      <w:bookmarkStart w:id="219" w:name="_Hlk162013691"/>
      <w:r>
        <w:rPr>
          <w:rFonts w:hint="eastAsia"/>
        </w:rPr>
        <w:t>预付款项按账龄列示</w:t>
      </w:r>
    </w:p>
    <w:sdt>
      <w:sdtPr>
        <w:rPr>
          <w:rFonts w:hint="eastAsia"/>
        </w:rPr>
        <w:alias w:val="是否适用：预付款项按账龄列示[双击切换]"/>
        <w:tag w:val="_GBC_9c50af2eedb44a33921bab4a9f5ef35c"/>
        <w:id w:val="412589787"/>
      </w:sdtPr>
      <w:sdtEndPr/>
      <w:sdtContent>
        <w:p w14:paraId="4F33896C" w14:textId="77777777" w:rsidR="00E57DAA" w:rsidRDefault="00AC418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72BE6E1" w14:textId="77777777" w:rsidR="00E57DAA" w:rsidRDefault="00AC4185">
      <w:pPr>
        <w:jc w:val="right"/>
        <w:rPr>
          <w:b/>
          <w:szCs w:val="21"/>
        </w:rPr>
      </w:pPr>
      <w:r>
        <w:rPr>
          <w:rFonts w:hint="eastAsia"/>
          <w:szCs w:val="21"/>
        </w:rPr>
        <w:t>单位：</w:t>
      </w:r>
      <w:sdt>
        <w:sdtPr>
          <w:rPr>
            <w:rFonts w:hint="eastAsia"/>
            <w:szCs w:val="21"/>
          </w:rPr>
          <w:alias w:val="单位：财务附注：预付账款账龄"/>
          <w:tag w:val="_GBC_25e874c523c14d528beabbdb96c27981"/>
          <w:id w:val="-1983849932"/>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62958284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22"/>
        <w:gridCol w:w="1911"/>
        <w:gridCol w:w="1833"/>
        <w:gridCol w:w="1911"/>
        <w:gridCol w:w="1846"/>
      </w:tblGrid>
      <w:tr w:rsidR="00E57DAA" w14:paraId="40D7A85A" w14:textId="77777777">
        <w:trPr>
          <w:cantSplit/>
          <w:trHeight w:val="237"/>
        </w:trPr>
        <w:sdt>
          <w:sdtPr>
            <w:tag w:val="_PLD_497c76328aa14442bd9ed8d02efaffdc"/>
            <w:id w:val="2048725829"/>
          </w:sdtPr>
          <w:sdtEndPr/>
          <w:sdtContent>
            <w:tc>
              <w:tcPr>
                <w:tcW w:w="749" w:type="pct"/>
                <w:vMerge w:val="restart"/>
                <w:vAlign w:val="center"/>
              </w:tcPr>
              <w:p w14:paraId="3A44F5C5" w14:textId="77777777" w:rsidR="00E57DAA" w:rsidRDefault="00AC4185">
                <w:pPr>
                  <w:ind w:right="5"/>
                  <w:jc w:val="center"/>
                  <w:rPr>
                    <w:szCs w:val="21"/>
                  </w:rPr>
                </w:pPr>
                <w:r>
                  <w:rPr>
                    <w:rFonts w:hint="eastAsia"/>
                    <w:szCs w:val="21"/>
                  </w:rPr>
                  <w:t>账龄</w:t>
                </w:r>
              </w:p>
            </w:tc>
          </w:sdtContent>
        </w:sdt>
        <w:sdt>
          <w:sdtPr>
            <w:tag w:val="_PLD_3c7cef9fd55549768916decb59114918"/>
            <w:id w:val="-1921862664"/>
          </w:sdtPr>
          <w:sdtEndPr/>
          <w:sdtContent>
            <w:tc>
              <w:tcPr>
                <w:tcW w:w="2122" w:type="pct"/>
                <w:gridSpan w:val="2"/>
                <w:vAlign w:val="center"/>
              </w:tcPr>
              <w:p w14:paraId="02954A9B" w14:textId="77777777" w:rsidR="00E57DAA" w:rsidRDefault="00AC4185">
                <w:pPr>
                  <w:ind w:right="5"/>
                  <w:jc w:val="center"/>
                  <w:rPr>
                    <w:szCs w:val="21"/>
                  </w:rPr>
                </w:pPr>
                <w:r>
                  <w:rPr>
                    <w:rFonts w:hint="eastAsia"/>
                    <w:szCs w:val="21"/>
                  </w:rPr>
                  <w:t>期末余额</w:t>
                </w:r>
              </w:p>
            </w:tc>
          </w:sdtContent>
        </w:sdt>
        <w:sdt>
          <w:sdtPr>
            <w:tag w:val="_PLD_3338d9aea932468fa8faa1bef2db4526"/>
            <w:id w:val="-1968343950"/>
          </w:sdtPr>
          <w:sdtEndPr/>
          <w:sdtContent>
            <w:tc>
              <w:tcPr>
                <w:tcW w:w="2130" w:type="pct"/>
                <w:gridSpan w:val="2"/>
                <w:vAlign w:val="center"/>
              </w:tcPr>
              <w:p w14:paraId="345BCD17" w14:textId="77777777" w:rsidR="00E57DAA" w:rsidRDefault="00AC4185">
                <w:pPr>
                  <w:ind w:right="5"/>
                  <w:jc w:val="center"/>
                  <w:rPr>
                    <w:szCs w:val="21"/>
                  </w:rPr>
                </w:pPr>
                <w:r>
                  <w:rPr>
                    <w:rFonts w:hint="eastAsia"/>
                    <w:szCs w:val="21"/>
                  </w:rPr>
                  <w:t>期初余额</w:t>
                </w:r>
              </w:p>
            </w:tc>
          </w:sdtContent>
        </w:sdt>
      </w:tr>
      <w:tr w:rsidR="00E57DAA" w14:paraId="54852AF0" w14:textId="77777777">
        <w:trPr>
          <w:cantSplit/>
        </w:trPr>
        <w:tc>
          <w:tcPr>
            <w:tcW w:w="749" w:type="pct"/>
            <w:vMerge/>
          </w:tcPr>
          <w:p w14:paraId="2C6249A2" w14:textId="77777777" w:rsidR="00E57DAA" w:rsidRDefault="00E57DAA">
            <w:pPr>
              <w:rPr>
                <w:szCs w:val="21"/>
              </w:rPr>
            </w:pPr>
          </w:p>
        </w:tc>
        <w:sdt>
          <w:sdtPr>
            <w:tag w:val="_PLD_2b1b05d61c574fe485d979f04a81c8c9"/>
            <w:id w:val="-1701154269"/>
          </w:sdtPr>
          <w:sdtEndPr/>
          <w:sdtContent>
            <w:tc>
              <w:tcPr>
                <w:tcW w:w="1083" w:type="pct"/>
                <w:vAlign w:val="center"/>
              </w:tcPr>
              <w:p w14:paraId="51AF8386" w14:textId="77777777" w:rsidR="00E57DAA" w:rsidRDefault="00AC4185">
                <w:pPr>
                  <w:ind w:right="5"/>
                  <w:jc w:val="center"/>
                  <w:rPr>
                    <w:szCs w:val="21"/>
                  </w:rPr>
                </w:pPr>
                <w:r>
                  <w:rPr>
                    <w:rFonts w:hint="eastAsia"/>
                    <w:szCs w:val="21"/>
                  </w:rPr>
                  <w:t>金额</w:t>
                </w:r>
              </w:p>
            </w:tc>
          </w:sdtContent>
        </w:sdt>
        <w:sdt>
          <w:sdtPr>
            <w:tag w:val="_PLD_7faf25028eff45ce8c6bf33a9060f296"/>
            <w:id w:val="-33041411"/>
          </w:sdtPr>
          <w:sdtEndPr/>
          <w:sdtContent>
            <w:tc>
              <w:tcPr>
                <w:tcW w:w="1039" w:type="pct"/>
                <w:vAlign w:val="center"/>
              </w:tcPr>
              <w:p w14:paraId="555583F2" w14:textId="77777777" w:rsidR="00E57DAA" w:rsidRDefault="00AC4185">
                <w:pPr>
                  <w:ind w:right="5"/>
                  <w:jc w:val="center"/>
                  <w:rPr>
                    <w:szCs w:val="21"/>
                  </w:rPr>
                </w:pPr>
                <w:r>
                  <w:rPr>
                    <w:rFonts w:hint="eastAsia"/>
                    <w:szCs w:val="21"/>
                  </w:rPr>
                  <w:t>比例</w:t>
                </w:r>
                <w:r>
                  <w:rPr>
                    <w:szCs w:val="21"/>
                  </w:rPr>
                  <w:t>(%)</w:t>
                </w:r>
              </w:p>
            </w:tc>
          </w:sdtContent>
        </w:sdt>
        <w:sdt>
          <w:sdtPr>
            <w:tag w:val="_PLD_56219e7f20ba4e60b1a3edd32c1c534e"/>
            <w:id w:val="-65886184"/>
          </w:sdtPr>
          <w:sdtEndPr/>
          <w:sdtContent>
            <w:tc>
              <w:tcPr>
                <w:tcW w:w="1083" w:type="pct"/>
                <w:vAlign w:val="center"/>
              </w:tcPr>
              <w:p w14:paraId="4CB3B3B4" w14:textId="77777777" w:rsidR="00E57DAA" w:rsidRDefault="00AC4185">
                <w:pPr>
                  <w:ind w:right="5"/>
                  <w:jc w:val="center"/>
                  <w:rPr>
                    <w:szCs w:val="21"/>
                  </w:rPr>
                </w:pPr>
                <w:r>
                  <w:rPr>
                    <w:rFonts w:hint="eastAsia"/>
                    <w:szCs w:val="21"/>
                  </w:rPr>
                  <w:t>金额</w:t>
                </w:r>
              </w:p>
            </w:tc>
          </w:sdtContent>
        </w:sdt>
        <w:sdt>
          <w:sdtPr>
            <w:tag w:val="_PLD_430fca228ced43ada83018b2091f7abf"/>
            <w:id w:val="91977810"/>
          </w:sdtPr>
          <w:sdtEndPr/>
          <w:sdtContent>
            <w:tc>
              <w:tcPr>
                <w:tcW w:w="1047" w:type="pct"/>
                <w:vAlign w:val="center"/>
              </w:tcPr>
              <w:p w14:paraId="2501E399" w14:textId="77777777" w:rsidR="00E57DAA" w:rsidRDefault="00AC4185">
                <w:pPr>
                  <w:ind w:right="5"/>
                  <w:jc w:val="center"/>
                  <w:rPr>
                    <w:szCs w:val="21"/>
                  </w:rPr>
                </w:pPr>
                <w:r>
                  <w:rPr>
                    <w:rFonts w:hint="eastAsia"/>
                    <w:szCs w:val="21"/>
                  </w:rPr>
                  <w:t>比例</w:t>
                </w:r>
                <w:r>
                  <w:rPr>
                    <w:szCs w:val="21"/>
                  </w:rPr>
                  <w:t>(%)</w:t>
                </w:r>
              </w:p>
            </w:tc>
          </w:sdtContent>
        </w:sdt>
      </w:tr>
      <w:tr w:rsidR="00E57DAA" w14:paraId="2C96B8A3" w14:textId="77777777">
        <w:trPr>
          <w:cantSplit/>
          <w:trHeight w:val="99"/>
        </w:trPr>
        <w:sdt>
          <w:sdtPr>
            <w:tag w:val="_PLD_174778f02a0244e0b2b8c44129503d0e"/>
            <w:id w:val="1107227423"/>
          </w:sdtPr>
          <w:sdtEndPr/>
          <w:sdtContent>
            <w:tc>
              <w:tcPr>
                <w:tcW w:w="749" w:type="pct"/>
              </w:tcPr>
              <w:p w14:paraId="13CD2889" w14:textId="77777777" w:rsidR="00E57DAA" w:rsidRDefault="00AC4185">
                <w:pPr>
                  <w:ind w:right="5"/>
                  <w:rPr>
                    <w:szCs w:val="21"/>
                  </w:rPr>
                </w:pPr>
                <w:r>
                  <w:rPr>
                    <w:rFonts w:hint="eastAsia"/>
                    <w:szCs w:val="21"/>
                  </w:rPr>
                  <w:t>1年以内</w:t>
                </w:r>
              </w:p>
            </w:tc>
          </w:sdtContent>
        </w:sdt>
        <w:tc>
          <w:tcPr>
            <w:tcW w:w="1083" w:type="pct"/>
            <w:vAlign w:val="center"/>
          </w:tcPr>
          <w:p w14:paraId="4098C019" w14:textId="77777777" w:rsidR="00E57DAA" w:rsidRDefault="00AC4185">
            <w:pPr>
              <w:ind w:right="5"/>
              <w:jc w:val="right"/>
              <w:rPr>
                <w:szCs w:val="21"/>
              </w:rPr>
            </w:pPr>
            <w:r>
              <w:rPr>
                <w:rFonts w:hint="eastAsia"/>
                <w:szCs w:val="21"/>
              </w:rPr>
              <w:t>4,133,464,713.11</w:t>
            </w:r>
          </w:p>
        </w:tc>
        <w:tc>
          <w:tcPr>
            <w:tcW w:w="1039" w:type="pct"/>
            <w:vAlign w:val="center"/>
          </w:tcPr>
          <w:p w14:paraId="3F0E5EFE" w14:textId="77777777" w:rsidR="00E57DAA" w:rsidRDefault="00AC4185">
            <w:pPr>
              <w:ind w:right="5"/>
              <w:jc w:val="right"/>
              <w:rPr>
                <w:szCs w:val="21"/>
              </w:rPr>
            </w:pPr>
            <w:r>
              <w:rPr>
                <w:rFonts w:hint="eastAsia"/>
                <w:szCs w:val="21"/>
              </w:rPr>
              <w:t>81.46</w:t>
            </w:r>
          </w:p>
        </w:tc>
        <w:tc>
          <w:tcPr>
            <w:tcW w:w="1083" w:type="pct"/>
            <w:vAlign w:val="center"/>
          </w:tcPr>
          <w:p w14:paraId="255EFCEF" w14:textId="77777777" w:rsidR="00E57DAA" w:rsidRDefault="00AC4185">
            <w:pPr>
              <w:ind w:right="5"/>
              <w:jc w:val="right"/>
              <w:rPr>
                <w:szCs w:val="21"/>
              </w:rPr>
            </w:pPr>
            <w:r>
              <w:rPr>
                <w:rFonts w:hint="eastAsia"/>
                <w:szCs w:val="21"/>
              </w:rPr>
              <w:t>4,334,768,978.05</w:t>
            </w:r>
          </w:p>
        </w:tc>
        <w:tc>
          <w:tcPr>
            <w:tcW w:w="1047" w:type="pct"/>
            <w:vAlign w:val="center"/>
          </w:tcPr>
          <w:p w14:paraId="481A1B50" w14:textId="77777777" w:rsidR="00E57DAA" w:rsidRDefault="00AC4185">
            <w:pPr>
              <w:ind w:right="5"/>
              <w:jc w:val="right"/>
              <w:rPr>
                <w:szCs w:val="21"/>
              </w:rPr>
            </w:pPr>
            <w:r>
              <w:rPr>
                <w:rFonts w:hint="eastAsia"/>
                <w:szCs w:val="21"/>
              </w:rPr>
              <w:t>80.34</w:t>
            </w:r>
          </w:p>
        </w:tc>
      </w:tr>
      <w:tr w:rsidR="00E57DAA" w14:paraId="649B926B" w14:textId="77777777">
        <w:trPr>
          <w:cantSplit/>
        </w:trPr>
        <w:sdt>
          <w:sdtPr>
            <w:tag w:val="_PLD_4b385111cb5344928917e1906f5b2ab9"/>
            <w:id w:val="1489986750"/>
          </w:sdtPr>
          <w:sdtEndPr/>
          <w:sdtContent>
            <w:tc>
              <w:tcPr>
                <w:tcW w:w="749" w:type="pct"/>
              </w:tcPr>
              <w:p w14:paraId="2D360043" w14:textId="77777777" w:rsidR="00E57DAA" w:rsidRDefault="00AC4185">
                <w:pPr>
                  <w:ind w:right="5"/>
                  <w:rPr>
                    <w:szCs w:val="21"/>
                  </w:rPr>
                </w:pPr>
                <w:r>
                  <w:rPr>
                    <w:rFonts w:hint="eastAsia"/>
                    <w:szCs w:val="21"/>
                  </w:rPr>
                  <w:t>1至2年</w:t>
                </w:r>
              </w:p>
            </w:tc>
          </w:sdtContent>
        </w:sdt>
        <w:tc>
          <w:tcPr>
            <w:tcW w:w="1083" w:type="pct"/>
            <w:vAlign w:val="center"/>
          </w:tcPr>
          <w:p w14:paraId="0BB4C2EA" w14:textId="77777777" w:rsidR="00E57DAA" w:rsidRDefault="00AC4185">
            <w:pPr>
              <w:ind w:right="5"/>
              <w:jc w:val="right"/>
              <w:rPr>
                <w:szCs w:val="21"/>
              </w:rPr>
            </w:pPr>
            <w:r>
              <w:rPr>
                <w:rFonts w:hint="eastAsia"/>
                <w:szCs w:val="21"/>
              </w:rPr>
              <w:t>453,207,840.16</w:t>
            </w:r>
          </w:p>
        </w:tc>
        <w:tc>
          <w:tcPr>
            <w:tcW w:w="1039" w:type="pct"/>
            <w:vAlign w:val="center"/>
          </w:tcPr>
          <w:p w14:paraId="30A643CE" w14:textId="77777777" w:rsidR="00E57DAA" w:rsidRDefault="00AC4185">
            <w:pPr>
              <w:ind w:right="5"/>
              <w:jc w:val="right"/>
              <w:rPr>
                <w:szCs w:val="21"/>
              </w:rPr>
            </w:pPr>
            <w:r>
              <w:rPr>
                <w:rFonts w:hint="eastAsia"/>
                <w:szCs w:val="21"/>
              </w:rPr>
              <w:t>8.93</w:t>
            </w:r>
          </w:p>
        </w:tc>
        <w:tc>
          <w:tcPr>
            <w:tcW w:w="1083" w:type="pct"/>
            <w:vAlign w:val="center"/>
          </w:tcPr>
          <w:p w14:paraId="75840389" w14:textId="77777777" w:rsidR="00E57DAA" w:rsidRDefault="00AC4185">
            <w:pPr>
              <w:ind w:right="5"/>
              <w:jc w:val="right"/>
              <w:rPr>
                <w:szCs w:val="21"/>
              </w:rPr>
            </w:pPr>
            <w:r>
              <w:rPr>
                <w:rFonts w:hint="eastAsia"/>
                <w:szCs w:val="21"/>
              </w:rPr>
              <w:t>542,469,403.53</w:t>
            </w:r>
          </w:p>
        </w:tc>
        <w:tc>
          <w:tcPr>
            <w:tcW w:w="1047" w:type="pct"/>
            <w:vAlign w:val="center"/>
          </w:tcPr>
          <w:p w14:paraId="64888678" w14:textId="77777777" w:rsidR="00E57DAA" w:rsidRDefault="00AC4185">
            <w:pPr>
              <w:ind w:right="5"/>
              <w:jc w:val="right"/>
              <w:rPr>
                <w:szCs w:val="21"/>
              </w:rPr>
            </w:pPr>
            <w:r>
              <w:rPr>
                <w:rFonts w:hint="eastAsia"/>
                <w:szCs w:val="21"/>
              </w:rPr>
              <w:t>10.05</w:t>
            </w:r>
          </w:p>
        </w:tc>
      </w:tr>
      <w:tr w:rsidR="00E57DAA" w14:paraId="3EAE2CFA" w14:textId="77777777">
        <w:trPr>
          <w:cantSplit/>
        </w:trPr>
        <w:sdt>
          <w:sdtPr>
            <w:tag w:val="_PLD_eea945633abf49e9bb136b919b3abb21"/>
            <w:id w:val="908192963"/>
          </w:sdtPr>
          <w:sdtEndPr/>
          <w:sdtContent>
            <w:tc>
              <w:tcPr>
                <w:tcW w:w="749" w:type="pct"/>
              </w:tcPr>
              <w:p w14:paraId="3F4CF122" w14:textId="77777777" w:rsidR="00E57DAA" w:rsidRDefault="00AC4185">
                <w:pPr>
                  <w:ind w:right="5"/>
                  <w:rPr>
                    <w:szCs w:val="21"/>
                  </w:rPr>
                </w:pPr>
                <w:r>
                  <w:rPr>
                    <w:rFonts w:hint="eastAsia"/>
                    <w:szCs w:val="21"/>
                  </w:rPr>
                  <w:t>2至3年</w:t>
                </w:r>
              </w:p>
            </w:tc>
          </w:sdtContent>
        </w:sdt>
        <w:tc>
          <w:tcPr>
            <w:tcW w:w="1083" w:type="pct"/>
            <w:vAlign w:val="center"/>
          </w:tcPr>
          <w:p w14:paraId="05CB6C2A" w14:textId="77777777" w:rsidR="00E57DAA" w:rsidRDefault="00AC4185">
            <w:pPr>
              <w:ind w:right="5"/>
              <w:jc w:val="right"/>
              <w:rPr>
                <w:szCs w:val="21"/>
              </w:rPr>
            </w:pPr>
            <w:r>
              <w:rPr>
                <w:rFonts w:hint="eastAsia"/>
                <w:szCs w:val="21"/>
              </w:rPr>
              <w:t>129,684,692.58</w:t>
            </w:r>
          </w:p>
        </w:tc>
        <w:tc>
          <w:tcPr>
            <w:tcW w:w="1039" w:type="pct"/>
            <w:vAlign w:val="center"/>
          </w:tcPr>
          <w:p w14:paraId="68012D52" w14:textId="77777777" w:rsidR="00E57DAA" w:rsidRDefault="00AC4185">
            <w:pPr>
              <w:ind w:right="5"/>
              <w:jc w:val="right"/>
              <w:rPr>
                <w:szCs w:val="21"/>
              </w:rPr>
            </w:pPr>
            <w:r>
              <w:rPr>
                <w:rFonts w:hint="eastAsia"/>
                <w:szCs w:val="21"/>
              </w:rPr>
              <w:t>2.56</w:t>
            </w:r>
          </w:p>
        </w:tc>
        <w:tc>
          <w:tcPr>
            <w:tcW w:w="1083" w:type="pct"/>
            <w:vAlign w:val="center"/>
          </w:tcPr>
          <w:p w14:paraId="1034871F" w14:textId="77777777" w:rsidR="00E57DAA" w:rsidRDefault="00AC4185">
            <w:pPr>
              <w:ind w:right="5"/>
              <w:jc w:val="right"/>
              <w:rPr>
                <w:szCs w:val="21"/>
              </w:rPr>
            </w:pPr>
            <w:r>
              <w:rPr>
                <w:rFonts w:hint="eastAsia"/>
                <w:szCs w:val="21"/>
              </w:rPr>
              <w:t>164,601,255.56</w:t>
            </w:r>
          </w:p>
        </w:tc>
        <w:tc>
          <w:tcPr>
            <w:tcW w:w="1047" w:type="pct"/>
            <w:vAlign w:val="center"/>
          </w:tcPr>
          <w:p w14:paraId="4A306C0E" w14:textId="77777777" w:rsidR="00E57DAA" w:rsidRDefault="00AC4185">
            <w:pPr>
              <w:ind w:right="5"/>
              <w:jc w:val="right"/>
              <w:rPr>
                <w:szCs w:val="21"/>
              </w:rPr>
            </w:pPr>
            <w:r>
              <w:rPr>
                <w:rFonts w:hint="eastAsia"/>
                <w:szCs w:val="21"/>
              </w:rPr>
              <w:t>3.05</w:t>
            </w:r>
          </w:p>
        </w:tc>
      </w:tr>
      <w:tr w:rsidR="00E57DAA" w14:paraId="0DFBA961" w14:textId="77777777">
        <w:trPr>
          <w:cantSplit/>
        </w:trPr>
        <w:sdt>
          <w:sdtPr>
            <w:tag w:val="_PLD_62c62dab318848a98f90bfda1a77337c"/>
            <w:id w:val="1631048899"/>
          </w:sdtPr>
          <w:sdtEndPr/>
          <w:sdtContent>
            <w:tc>
              <w:tcPr>
                <w:tcW w:w="749" w:type="pct"/>
              </w:tcPr>
              <w:p w14:paraId="3B004F22" w14:textId="77777777" w:rsidR="00E57DAA" w:rsidRDefault="00AC4185">
                <w:pPr>
                  <w:ind w:right="5"/>
                  <w:rPr>
                    <w:szCs w:val="21"/>
                  </w:rPr>
                </w:pPr>
                <w:r>
                  <w:rPr>
                    <w:rFonts w:hint="eastAsia"/>
                    <w:szCs w:val="21"/>
                  </w:rPr>
                  <w:t>3年以上</w:t>
                </w:r>
              </w:p>
            </w:tc>
          </w:sdtContent>
        </w:sdt>
        <w:tc>
          <w:tcPr>
            <w:tcW w:w="1083" w:type="pct"/>
            <w:vAlign w:val="center"/>
          </w:tcPr>
          <w:p w14:paraId="15E89CCD" w14:textId="77777777" w:rsidR="00E57DAA" w:rsidRDefault="00AC4185">
            <w:pPr>
              <w:ind w:right="5"/>
              <w:jc w:val="right"/>
              <w:rPr>
                <w:szCs w:val="21"/>
              </w:rPr>
            </w:pPr>
            <w:r>
              <w:rPr>
                <w:rFonts w:hint="eastAsia"/>
                <w:szCs w:val="21"/>
              </w:rPr>
              <w:t>358,119,773.60</w:t>
            </w:r>
          </w:p>
        </w:tc>
        <w:tc>
          <w:tcPr>
            <w:tcW w:w="1039" w:type="pct"/>
            <w:vAlign w:val="center"/>
          </w:tcPr>
          <w:p w14:paraId="17D428F6" w14:textId="77777777" w:rsidR="00E57DAA" w:rsidRDefault="00AC4185">
            <w:pPr>
              <w:ind w:right="5"/>
              <w:jc w:val="right"/>
              <w:rPr>
                <w:szCs w:val="21"/>
              </w:rPr>
            </w:pPr>
            <w:r>
              <w:rPr>
                <w:rFonts w:hint="eastAsia"/>
                <w:szCs w:val="21"/>
              </w:rPr>
              <w:t>7.05</w:t>
            </w:r>
          </w:p>
        </w:tc>
        <w:tc>
          <w:tcPr>
            <w:tcW w:w="1083" w:type="pct"/>
            <w:vAlign w:val="center"/>
          </w:tcPr>
          <w:p w14:paraId="41341998" w14:textId="77777777" w:rsidR="00E57DAA" w:rsidRDefault="00AC4185">
            <w:pPr>
              <w:ind w:right="5"/>
              <w:jc w:val="right"/>
              <w:rPr>
                <w:szCs w:val="21"/>
              </w:rPr>
            </w:pPr>
            <w:r>
              <w:rPr>
                <w:rFonts w:hint="eastAsia"/>
              </w:rPr>
              <w:t>353,558,687.13</w:t>
            </w:r>
          </w:p>
        </w:tc>
        <w:tc>
          <w:tcPr>
            <w:tcW w:w="1047" w:type="pct"/>
            <w:vAlign w:val="center"/>
          </w:tcPr>
          <w:p w14:paraId="06C6A6DA" w14:textId="77777777" w:rsidR="00E57DAA" w:rsidRDefault="00AC4185">
            <w:pPr>
              <w:ind w:right="5"/>
              <w:jc w:val="right"/>
              <w:rPr>
                <w:szCs w:val="21"/>
              </w:rPr>
            </w:pPr>
            <w:r>
              <w:rPr>
                <w:rFonts w:hint="eastAsia"/>
                <w:szCs w:val="21"/>
              </w:rPr>
              <w:t>6.56</w:t>
            </w:r>
          </w:p>
        </w:tc>
      </w:tr>
      <w:tr w:rsidR="00E57DAA" w14:paraId="237D9E40" w14:textId="77777777">
        <w:trPr>
          <w:cantSplit/>
        </w:trPr>
        <w:sdt>
          <w:sdtPr>
            <w:tag w:val="_PLD_a51bfbd8cae641f4b76a376fea94ac53"/>
            <w:id w:val="-1471121435"/>
          </w:sdtPr>
          <w:sdtEndPr/>
          <w:sdtContent>
            <w:tc>
              <w:tcPr>
                <w:tcW w:w="749" w:type="pct"/>
              </w:tcPr>
              <w:p w14:paraId="0A9D99DA" w14:textId="77777777" w:rsidR="00E57DAA" w:rsidRDefault="00AC4185">
                <w:pPr>
                  <w:ind w:right="5"/>
                  <w:jc w:val="center"/>
                  <w:rPr>
                    <w:szCs w:val="21"/>
                  </w:rPr>
                </w:pPr>
                <w:r>
                  <w:rPr>
                    <w:rFonts w:hint="eastAsia"/>
                    <w:szCs w:val="21"/>
                  </w:rPr>
                  <w:t>合计</w:t>
                </w:r>
              </w:p>
            </w:tc>
          </w:sdtContent>
        </w:sdt>
        <w:tc>
          <w:tcPr>
            <w:tcW w:w="1083" w:type="pct"/>
            <w:vAlign w:val="center"/>
          </w:tcPr>
          <w:p w14:paraId="5B23E8BB" w14:textId="77777777" w:rsidR="00E57DAA" w:rsidRDefault="00AC4185">
            <w:pPr>
              <w:ind w:right="5"/>
              <w:jc w:val="right"/>
              <w:rPr>
                <w:szCs w:val="21"/>
              </w:rPr>
            </w:pPr>
            <w:r>
              <w:rPr>
                <w:rFonts w:hint="eastAsia"/>
              </w:rPr>
              <w:t>5,074,477,019.45</w:t>
            </w:r>
          </w:p>
        </w:tc>
        <w:tc>
          <w:tcPr>
            <w:tcW w:w="1039" w:type="pct"/>
            <w:vAlign w:val="center"/>
          </w:tcPr>
          <w:p w14:paraId="0BA4320B" w14:textId="77777777" w:rsidR="00E57DAA" w:rsidRDefault="00AC4185">
            <w:pPr>
              <w:ind w:right="5"/>
              <w:jc w:val="right"/>
              <w:rPr>
                <w:szCs w:val="21"/>
              </w:rPr>
            </w:pPr>
            <w:r>
              <w:rPr>
                <w:rFonts w:hint="eastAsia"/>
              </w:rPr>
              <w:t>100.00</w:t>
            </w:r>
          </w:p>
        </w:tc>
        <w:tc>
          <w:tcPr>
            <w:tcW w:w="1083" w:type="pct"/>
            <w:vAlign w:val="center"/>
          </w:tcPr>
          <w:p w14:paraId="352076E3" w14:textId="77777777" w:rsidR="00E57DAA" w:rsidRDefault="00AC4185">
            <w:pPr>
              <w:ind w:right="5"/>
              <w:jc w:val="right"/>
              <w:rPr>
                <w:szCs w:val="21"/>
              </w:rPr>
            </w:pPr>
            <w:r>
              <w:rPr>
                <w:rFonts w:hint="eastAsia"/>
              </w:rPr>
              <w:t>5,395,398,324.27</w:t>
            </w:r>
          </w:p>
        </w:tc>
        <w:tc>
          <w:tcPr>
            <w:tcW w:w="1047" w:type="pct"/>
            <w:vAlign w:val="center"/>
          </w:tcPr>
          <w:p w14:paraId="397DA05B" w14:textId="77777777" w:rsidR="00E57DAA" w:rsidRDefault="00AC4185">
            <w:pPr>
              <w:ind w:right="5"/>
              <w:jc w:val="right"/>
              <w:rPr>
                <w:szCs w:val="21"/>
              </w:rPr>
            </w:pPr>
            <w:r>
              <w:rPr>
                <w:rFonts w:hint="eastAsia"/>
              </w:rPr>
              <w:t>100.00</w:t>
            </w:r>
          </w:p>
        </w:tc>
      </w:tr>
    </w:tbl>
    <w:p w14:paraId="252CB2E7" w14:textId="77777777" w:rsidR="00E57DAA" w:rsidRDefault="00E57DAA"/>
    <w:bookmarkEnd w:id="219"/>
    <w:p w14:paraId="3ED7FD7E" w14:textId="77777777" w:rsidR="00E57DAA" w:rsidRDefault="00E57DAA" w:rsidP="00C25422">
      <w:pPr>
        <w:pStyle w:val="92"/>
      </w:pPr>
    </w:p>
    <w:p w14:paraId="7F249FBD" w14:textId="77777777" w:rsidR="00E57DAA" w:rsidRDefault="00AC4185">
      <w:pPr>
        <w:pStyle w:val="4"/>
        <w:numPr>
          <w:ilvl w:val="3"/>
          <w:numId w:val="74"/>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733167886"/>
      </w:sdtPr>
      <w:sdtEndPr/>
      <w:sdtContent>
        <w:p w14:paraId="3B11151D" w14:textId="77777777" w:rsidR="00E57DAA" w:rsidRDefault="00AC4185">
          <w:pPr>
            <w:snapToGrid w:val="0"/>
            <w:spacing w:line="240" w:lineRule="atLeast"/>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tbl>
      <w:tblPr>
        <w:tblStyle w:val="g3"/>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335"/>
        <w:gridCol w:w="2938"/>
      </w:tblGrid>
      <w:tr w:rsidR="00E57DAA" w14:paraId="5C36F9A3" w14:textId="77777777">
        <w:trPr>
          <w:cantSplit/>
        </w:trPr>
        <w:sdt>
          <w:sdtPr>
            <w:rPr>
              <w:rFonts w:hint="eastAsia"/>
              <w:szCs w:val="21"/>
            </w:rPr>
            <w:tag w:val="_PLD_0ab17d7ae0014b6192c9dd0e6d3d3a25"/>
            <w:id w:val="-1266843756"/>
          </w:sdtPr>
          <w:sdtEndPr/>
          <w:sdtContent>
            <w:tc>
              <w:tcPr>
                <w:tcW w:w="2008" w:type="pct"/>
                <w:vAlign w:val="center"/>
              </w:tcPr>
              <w:p w14:paraId="1963D254" w14:textId="77777777" w:rsidR="00E57DAA" w:rsidRDefault="00AC4185">
                <w:pPr>
                  <w:ind w:right="105"/>
                  <w:jc w:val="center"/>
                  <w:rPr>
                    <w:szCs w:val="21"/>
                  </w:rPr>
                </w:pPr>
                <w:r>
                  <w:rPr>
                    <w:rFonts w:hint="eastAsia"/>
                    <w:szCs w:val="21"/>
                  </w:rPr>
                  <w:t>单位名称</w:t>
                </w:r>
              </w:p>
            </w:tc>
          </w:sdtContent>
        </w:sdt>
        <w:sdt>
          <w:sdtPr>
            <w:rPr>
              <w:rFonts w:hint="eastAsia"/>
              <w:szCs w:val="21"/>
            </w:rPr>
            <w:tag w:val="_PLD_cdd4a1e632c94d14908eb36a620946a9"/>
            <w:id w:val="-1203399302"/>
          </w:sdtPr>
          <w:sdtEndPr/>
          <w:sdtContent>
            <w:tc>
              <w:tcPr>
                <w:tcW w:w="1325" w:type="pct"/>
                <w:vAlign w:val="center"/>
              </w:tcPr>
              <w:p w14:paraId="25889D5C" w14:textId="77777777" w:rsidR="00E57DAA" w:rsidRDefault="00AC4185">
                <w:pPr>
                  <w:ind w:right="73"/>
                  <w:jc w:val="center"/>
                  <w:rPr>
                    <w:szCs w:val="21"/>
                  </w:rPr>
                </w:pPr>
                <w:r>
                  <w:rPr>
                    <w:rFonts w:hint="eastAsia"/>
                    <w:szCs w:val="21"/>
                  </w:rPr>
                  <w:t>期末余额</w:t>
                </w:r>
              </w:p>
            </w:tc>
          </w:sdtContent>
        </w:sdt>
        <w:sdt>
          <w:sdtPr>
            <w:rPr>
              <w:rFonts w:hint="eastAsia"/>
              <w:szCs w:val="21"/>
            </w:rPr>
            <w:tag w:val="_PLD_c9db34035f63426095900b82cc8a8131"/>
            <w:id w:val="-887027543"/>
          </w:sdtPr>
          <w:sdtEndPr>
            <w:rPr>
              <w:rFonts w:hint="default"/>
            </w:rPr>
          </w:sdtEndPr>
          <w:sdtContent>
            <w:tc>
              <w:tcPr>
                <w:tcW w:w="1667" w:type="pct"/>
                <w:vAlign w:val="center"/>
              </w:tcPr>
              <w:p w14:paraId="050998C9" w14:textId="77777777" w:rsidR="00E57DAA" w:rsidRDefault="00AC4185">
                <w:pPr>
                  <w:jc w:val="center"/>
                  <w:rPr>
                    <w:szCs w:val="21"/>
                  </w:rPr>
                </w:pPr>
                <w:r>
                  <w:rPr>
                    <w:rFonts w:hint="eastAsia"/>
                    <w:szCs w:val="21"/>
                  </w:rPr>
                  <w:t>占预付款项期末余额合计数的比例(</w:t>
                </w:r>
                <w:r>
                  <w:rPr>
                    <w:szCs w:val="21"/>
                  </w:rPr>
                  <w:t>%)</w:t>
                </w:r>
              </w:p>
            </w:tc>
          </w:sdtContent>
        </w:sdt>
      </w:tr>
      <w:sdt>
        <w:sdtPr>
          <w:rPr>
            <w:szCs w:val="21"/>
          </w:rPr>
          <w:alias w:val="预付帐款欠款户"/>
          <w:tag w:val="_TUP_93f51bbe2cf24bbea15847f5b49a356b"/>
          <w:id w:val="-1873600054"/>
        </w:sdtPr>
        <w:sdtEndPr/>
        <w:sdtContent>
          <w:tr w:rsidR="00E57DAA" w14:paraId="327FAF5C" w14:textId="77777777">
            <w:trPr>
              <w:cantSplit/>
            </w:trPr>
            <w:tc>
              <w:tcPr>
                <w:tcW w:w="2008" w:type="pct"/>
              </w:tcPr>
              <w:p w14:paraId="4413B8E8" w14:textId="77777777" w:rsidR="00E57DAA" w:rsidRDefault="00AC4185">
                <w:pPr>
                  <w:ind w:right="105"/>
                  <w:rPr>
                    <w:szCs w:val="21"/>
                  </w:rPr>
                </w:pPr>
                <w:r>
                  <w:rPr>
                    <w:rFonts w:hint="eastAsia"/>
                  </w:rPr>
                  <w:t>武安市新峰水泥有限责任公司</w:t>
                </w:r>
              </w:p>
            </w:tc>
            <w:tc>
              <w:tcPr>
                <w:tcW w:w="1325" w:type="pct"/>
              </w:tcPr>
              <w:p w14:paraId="43A97C31" w14:textId="77777777" w:rsidR="00E57DAA" w:rsidRDefault="00AC4185">
                <w:pPr>
                  <w:ind w:right="73"/>
                  <w:jc w:val="right"/>
                  <w:rPr>
                    <w:szCs w:val="21"/>
                  </w:rPr>
                </w:pPr>
                <w:r>
                  <w:rPr>
                    <w:rFonts w:hint="eastAsia"/>
                  </w:rPr>
                  <w:t>86,910,187.77</w:t>
                </w:r>
              </w:p>
            </w:tc>
            <w:tc>
              <w:tcPr>
                <w:tcW w:w="1667" w:type="pct"/>
              </w:tcPr>
              <w:p w14:paraId="580E2A75" w14:textId="77777777" w:rsidR="00E57DAA" w:rsidRDefault="00AC4185">
                <w:pPr>
                  <w:jc w:val="right"/>
                  <w:rPr>
                    <w:szCs w:val="21"/>
                  </w:rPr>
                </w:pPr>
                <w:r>
                  <w:rPr>
                    <w:rFonts w:hint="eastAsia"/>
                  </w:rPr>
                  <w:t>1.71</w:t>
                </w:r>
              </w:p>
            </w:tc>
          </w:tr>
        </w:sdtContent>
      </w:sdt>
      <w:sdt>
        <w:sdtPr>
          <w:rPr>
            <w:szCs w:val="21"/>
          </w:rPr>
          <w:alias w:val="预付帐款欠款户"/>
          <w:tag w:val="_TUP_93f51bbe2cf24bbea15847f5b49a356b"/>
          <w:id w:val="-1976282770"/>
        </w:sdtPr>
        <w:sdtEndPr/>
        <w:sdtContent>
          <w:tr w:rsidR="00E57DAA" w14:paraId="7B048DC8" w14:textId="77777777">
            <w:trPr>
              <w:cantSplit/>
            </w:trPr>
            <w:tc>
              <w:tcPr>
                <w:tcW w:w="2008" w:type="pct"/>
              </w:tcPr>
              <w:p w14:paraId="677722A1" w14:textId="77777777" w:rsidR="00E57DAA" w:rsidRDefault="00AC4185">
                <w:pPr>
                  <w:ind w:right="105"/>
                  <w:rPr>
                    <w:szCs w:val="21"/>
                  </w:rPr>
                </w:pPr>
                <w:r>
                  <w:rPr>
                    <w:rFonts w:hint="eastAsia"/>
                  </w:rPr>
                  <w:t>南京凯盛水泥机电设备安装有限公司</w:t>
                </w:r>
              </w:p>
            </w:tc>
            <w:tc>
              <w:tcPr>
                <w:tcW w:w="1325" w:type="pct"/>
              </w:tcPr>
              <w:p w14:paraId="60785BE5" w14:textId="77777777" w:rsidR="00E57DAA" w:rsidRDefault="00AC4185">
                <w:pPr>
                  <w:ind w:right="73"/>
                  <w:jc w:val="right"/>
                  <w:rPr>
                    <w:szCs w:val="21"/>
                  </w:rPr>
                </w:pPr>
                <w:r>
                  <w:rPr>
                    <w:rFonts w:hint="eastAsia"/>
                  </w:rPr>
                  <w:t>67,419,084.29</w:t>
                </w:r>
              </w:p>
            </w:tc>
            <w:tc>
              <w:tcPr>
                <w:tcW w:w="1667" w:type="pct"/>
              </w:tcPr>
              <w:p w14:paraId="046A3F21" w14:textId="77777777" w:rsidR="00E57DAA" w:rsidRDefault="00AC4185">
                <w:pPr>
                  <w:jc w:val="right"/>
                  <w:rPr>
                    <w:szCs w:val="21"/>
                  </w:rPr>
                </w:pPr>
                <w:r>
                  <w:rPr>
                    <w:rFonts w:hint="eastAsia"/>
                  </w:rPr>
                  <w:t>1.33</w:t>
                </w:r>
              </w:p>
            </w:tc>
          </w:tr>
        </w:sdtContent>
      </w:sdt>
      <w:sdt>
        <w:sdtPr>
          <w:rPr>
            <w:szCs w:val="21"/>
          </w:rPr>
          <w:alias w:val="预付帐款欠款户"/>
          <w:tag w:val="_TUP_93f51bbe2cf24bbea15847f5b49a356b"/>
          <w:id w:val="1339507631"/>
        </w:sdtPr>
        <w:sdtEndPr/>
        <w:sdtContent>
          <w:tr w:rsidR="00E57DAA" w14:paraId="19349DE3" w14:textId="77777777">
            <w:trPr>
              <w:cantSplit/>
            </w:trPr>
            <w:tc>
              <w:tcPr>
                <w:tcW w:w="2008" w:type="pct"/>
              </w:tcPr>
              <w:p w14:paraId="78C025B8" w14:textId="77777777" w:rsidR="00E57DAA" w:rsidRDefault="00AC4185">
                <w:pPr>
                  <w:ind w:right="105"/>
                  <w:rPr>
                    <w:szCs w:val="21"/>
                  </w:rPr>
                </w:pPr>
                <w:r>
                  <w:rPr>
                    <w:rFonts w:hint="eastAsia"/>
                  </w:rPr>
                  <w:t>四川路桥桥梁工程有限责任公司</w:t>
                </w:r>
              </w:p>
            </w:tc>
            <w:tc>
              <w:tcPr>
                <w:tcW w:w="1325" w:type="pct"/>
              </w:tcPr>
              <w:p w14:paraId="7E73EB9E" w14:textId="77777777" w:rsidR="00E57DAA" w:rsidRDefault="00AC4185">
                <w:pPr>
                  <w:ind w:right="73"/>
                  <w:jc w:val="right"/>
                  <w:rPr>
                    <w:szCs w:val="21"/>
                  </w:rPr>
                </w:pPr>
                <w:r>
                  <w:rPr>
                    <w:rFonts w:hint="eastAsia"/>
                  </w:rPr>
                  <w:t>64,013,700.41</w:t>
                </w:r>
              </w:p>
            </w:tc>
            <w:tc>
              <w:tcPr>
                <w:tcW w:w="1667" w:type="pct"/>
              </w:tcPr>
              <w:p w14:paraId="4022FC44" w14:textId="77777777" w:rsidR="00E57DAA" w:rsidRDefault="00AC4185">
                <w:pPr>
                  <w:jc w:val="right"/>
                  <w:rPr>
                    <w:szCs w:val="21"/>
                  </w:rPr>
                </w:pPr>
                <w:r>
                  <w:rPr>
                    <w:rFonts w:hint="eastAsia"/>
                  </w:rPr>
                  <w:t>1.26</w:t>
                </w:r>
              </w:p>
            </w:tc>
          </w:tr>
        </w:sdtContent>
      </w:sdt>
      <w:sdt>
        <w:sdtPr>
          <w:rPr>
            <w:szCs w:val="21"/>
          </w:rPr>
          <w:alias w:val="预付帐款欠款户"/>
          <w:tag w:val="_TUP_93f51bbe2cf24bbea15847f5b49a356b"/>
          <w:id w:val="-368999198"/>
        </w:sdtPr>
        <w:sdtEndPr/>
        <w:sdtContent>
          <w:tr w:rsidR="00E57DAA" w14:paraId="05479558" w14:textId="77777777">
            <w:trPr>
              <w:cantSplit/>
            </w:trPr>
            <w:tc>
              <w:tcPr>
                <w:tcW w:w="2008" w:type="pct"/>
              </w:tcPr>
              <w:p w14:paraId="1299D77F" w14:textId="77777777" w:rsidR="00E57DAA" w:rsidRDefault="00AC4185">
                <w:pPr>
                  <w:ind w:right="105"/>
                  <w:rPr>
                    <w:szCs w:val="21"/>
                  </w:rPr>
                </w:pPr>
                <w:r>
                  <w:rPr>
                    <w:rFonts w:hint="eastAsia"/>
                  </w:rPr>
                  <w:t>四川省自贡运输机械集团股份有限公司</w:t>
                </w:r>
              </w:p>
            </w:tc>
            <w:tc>
              <w:tcPr>
                <w:tcW w:w="1325" w:type="pct"/>
              </w:tcPr>
              <w:p w14:paraId="32ECE84C" w14:textId="77777777" w:rsidR="00E57DAA" w:rsidRDefault="00AC4185">
                <w:pPr>
                  <w:ind w:right="73"/>
                  <w:jc w:val="right"/>
                  <w:rPr>
                    <w:szCs w:val="21"/>
                  </w:rPr>
                </w:pPr>
                <w:r>
                  <w:rPr>
                    <w:rFonts w:hint="eastAsia"/>
                  </w:rPr>
                  <w:t>58,939,761.40</w:t>
                </w:r>
              </w:p>
            </w:tc>
            <w:tc>
              <w:tcPr>
                <w:tcW w:w="1667" w:type="pct"/>
              </w:tcPr>
              <w:p w14:paraId="45987830" w14:textId="77777777" w:rsidR="00E57DAA" w:rsidRDefault="00AC4185">
                <w:pPr>
                  <w:jc w:val="right"/>
                  <w:rPr>
                    <w:szCs w:val="21"/>
                  </w:rPr>
                </w:pPr>
                <w:r>
                  <w:rPr>
                    <w:rFonts w:hint="eastAsia"/>
                  </w:rPr>
                  <w:t>1.16</w:t>
                </w:r>
              </w:p>
            </w:tc>
          </w:tr>
        </w:sdtContent>
      </w:sdt>
      <w:sdt>
        <w:sdtPr>
          <w:rPr>
            <w:szCs w:val="21"/>
          </w:rPr>
          <w:alias w:val="预付帐款欠款户"/>
          <w:tag w:val="_TUP_93f51bbe2cf24bbea15847f5b49a356b"/>
          <w:id w:val="681792929"/>
        </w:sdtPr>
        <w:sdtEndPr/>
        <w:sdtContent>
          <w:tr w:rsidR="00E57DAA" w14:paraId="2605B22E" w14:textId="77777777">
            <w:trPr>
              <w:cantSplit/>
            </w:trPr>
            <w:tc>
              <w:tcPr>
                <w:tcW w:w="2008" w:type="pct"/>
              </w:tcPr>
              <w:p w14:paraId="26390485" w14:textId="77777777" w:rsidR="00E57DAA" w:rsidRDefault="00AC4185">
                <w:pPr>
                  <w:ind w:right="105"/>
                  <w:rPr>
                    <w:szCs w:val="21"/>
                  </w:rPr>
                </w:pPr>
                <w:r>
                  <w:rPr>
                    <w:rFonts w:hint="eastAsia"/>
                  </w:rPr>
                  <w:t>河北德鹏机械设备有限公司</w:t>
                </w:r>
              </w:p>
            </w:tc>
            <w:tc>
              <w:tcPr>
                <w:tcW w:w="1325" w:type="pct"/>
              </w:tcPr>
              <w:p w14:paraId="746F3AF4" w14:textId="77777777" w:rsidR="00E57DAA" w:rsidRDefault="00AC4185">
                <w:pPr>
                  <w:ind w:right="73"/>
                  <w:jc w:val="right"/>
                  <w:rPr>
                    <w:szCs w:val="21"/>
                  </w:rPr>
                </w:pPr>
                <w:r>
                  <w:rPr>
                    <w:rFonts w:hint="eastAsia"/>
                  </w:rPr>
                  <w:t>49,513,042.52</w:t>
                </w:r>
              </w:p>
            </w:tc>
            <w:tc>
              <w:tcPr>
                <w:tcW w:w="1667" w:type="pct"/>
              </w:tcPr>
              <w:p w14:paraId="6A359E45" w14:textId="77777777" w:rsidR="00E57DAA" w:rsidRDefault="00AC4185">
                <w:pPr>
                  <w:jc w:val="right"/>
                  <w:rPr>
                    <w:szCs w:val="21"/>
                  </w:rPr>
                </w:pPr>
                <w:r>
                  <w:rPr>
                    <w:rFonts w:hint="eastAsia"/>
                  </w:rPr>
                  <w:t>0.98</w:t>
                </w:r>
              </w:p>
            </w:tc>
          </w:tr>
        </w:sdtContent>
      </w:sdt>
      <w:tr w:rsidR="00E57DAA" w14:paraId="684E146B" w14:textId="77777777">
        <w:trPr>
          <w:cantSplit/>
        </w:trPr>
        <w:tc>
          <w:tcPr>
            <w:tcW w:w="2008" w:type="pct"/>
          </w:tcPr>
          <w:sdt>
            <w:sdtPr>
              <w:rPr>
                <w:rFonts w:hint="eastAsia"/>
                <w:szCs w:val="21"/>
              </w:rPr>
              <w:tag w:val="_PLD_6013c930571c4255bf5da8f1352aaf1f"/>
              <w:id w:val="1500849577"/>
            </w:sdtPr>
            <w:sdtEndPr/>
            <w:sdtContent>
              <w:p w14:paraId="439164E1" w14:textId="77777777" w:rsidR="00E57DAA" w:rsidRDefault="00AC4185">
                <w:pPr>
                  <w:ind w:right="105"/>
                  <w:jc w:val="center"/>
                  <w:rPr>
                    <w:szCs w:val="21"/>
                  </w:rPr>
                </w:pPr>
                <w:r>
                  <w:rPr>
                    <w:rFonts w:hint="eastAsia"/>
                    <w:szCs w:val="21"/>
                  </w:rPr>
                  <w:t>合计</w:t>
                </w:r>
              </w:p>
            </w:sdtContent>
          </w:sdt>
        </w:tc>
        <w:tc>
          <w:tcPr>
            <w:tcW w:w="1325" w:type="pct"/>
            <w:vAlign w:val="center"/>
          </w:tcPr>
          <w:p w14:paraId="3BD7E13B" w14:textId="77777777" w:rsidR="00E57DAA" w:rsidRDefault="00AC4185">
            <w:pPr>
              <w:ind w:right="73"/>
              <w:jc w:val="right"/>
              <w:rPr>
                <w:szCs w:val="21"/>
              </w:rPr>
            </w:pPr>
            <w:r>
              <w:rPr>
                <w:rFonts w:hint="eastAsia"/>
              </w:rPr>
              <w:t>326,795,776.39</w:t>
            </w:r>
          </w:p>
        </w:tc>
        <w:tc>
          <w:tcPr>
            <w:tcW w:w="1667" w:type="pct"/>
            <w:vAlign w:val="center"/>
          </w:tcPr>
          <w:p w14:paraId="63E877F0" w14:textId="77777777" w:rsidR="00E57DAA" w:rsidRDefault="00AC4185">
            <w:pPr>
              <w:jc w:val="right"/>
              <w:rPr>
                <w:szCs w:val="21"/>
              </w:rPr>
            </w:pPr>
            <w:r>
              <w:rPr>
                <w:rFonts w:hint="eastAsia"/>
              </w:rPr>
              <w:t>6.44</w:t>
            </w:r>
          </w:p>
        </w:tc>
      </w:tr>
    </w:tbl>
    <w:p w14:paraId="16722BBC" w14:textId="77777777" w:rsidR="00E57DAA" w:rsidRDefault="00E57DAA">
      <w:pPr>
        <w:snapToGrid w:val="0"/>
        <w:spacing w:line="240" w:lineRule="atLeast"/>
        <w:rPr>
          <w:szCs w:val="21"/>
        </w:rPr>
      </w:pPr>
    </w:p>
    <w:p w14:paraId="35047D20" w14:textId="77777777" w:rsidR="00E57DAA" w:rsidRDefault="00AC4185" w:rsidP="00C25422">
      <w:pPr>
        <w:pStyle w:val="92"/>
      </w:pPr>
      <w:r>
        <w:rPr>
          <w:rFonts w:hint="eastAsia"/>
        </w:rPr>
        <w:t>其他说明</w:t>
      </w:r>
    </w:p>
    <w:sdt>
      <w:sdtPr>
        <w:rPr>
          <w:rFonts w:hint="eastAsia"/>
          <w:szCs w:val="21"/>
        </w:rPr>
        <w:alias w:val="是否适用：预付帐款的说明[双击切换]"/>
        <w:tag w:val="_GBC_292d88b78b6d439981e508e0126d8061"/>
        <w:id w:val="573160037"/>
        <w:placeholder>
          <w:docPart w:val="GBC22222222222222222222222222222"/>
        </w:placeholder>
      </w:sdtPr>
      <w:sdtEndPr/>
      <w:sdtContent>
        <w:p w14:paraId="0841067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A12ABE" w14:textId="77777777" w:rsidR="00E57DAA" w:rsidRDefault="00E57DAA">
      <w:pPr>
        <w:rPr>
          <w:szCs w:val="21"/>
        </w:rPr>
      </w:pPr>
    </w:p>
    <w:p w14:paraId="5EF18101" w14:textId="77777777" w:rsidR="00E57DAA" w:rsidRDefault="00AC4185" w:rsidP="00C25422">
      <w:pPr>
        <w:pStyle w:val="91"/>
        <w:numPr>
          <w:ilvl w:val="0"/>
          <w:numId w:val="69"/>
        </w:numPr>
      </w:pPr>
      <w:r>
        <w:rPr>
          <w:rFonts w:hint="eastAsia"/>
        </w:rPr>
        <w:t>其他应收款</w:t>
      </w:r>
    </w:p>
    <w:p w14:paraId="71EEF63A" w14:textId="77777777" w:rsidR="00E57DAA" w:rsidRDefault="00AC4185">
      <w:pPr>
        <w:pStyle w:val="4"/>
      </w:pPr>
      <w:r>
        <w:rPr>
          <w:rFonts w:ascii="宋体" w:eastAsia="宋体" w:hAnsi="宋体" w:cs="宋体" w:hint="eastAsia"/>
          <w:kern w:val="0"/>
          <w:szCs w:val="24"/>
        </w:rPr>
        <w:t>项目列示</w:t>
      </w:r>
    </w:p>
    <w:bookmarkStart w:id="220" w:name="_Hlk532906090" w:displacedByCustomXml="next"/>
    <w:sdt>
      <w:sdtPr>
        <w:alias w:val="是否适用：其他应收款分类列示[双击切换]"/>
        <w:tag w:val="_GBC_5cf24a2049f64010a4df1f0db5a97234"/>
        <w:id w:val="755178477"/>
        <w:placeholder>
          <w:docPart w:val="GBC22222222222222222222222222222"/>
        </w:placeholder>
      </w:sdtPr>
      <w:sdtEndPr/>
      <w:sdtContent>
        <w:p w14:paraId="7768FA5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59C630" w14:textId="77777777" w:rsidR="00E57DAA" w:rsidRDefault="00AC4185">
      <w:pPr>
        <w:jc w:val="right"/>
        <w:rPr>
          <w:szCs w:val="21"/>
        </w:rPr>
      </w:pPr>
      <w:r>
        <w:rPr>
          <w:rFonts w:hint="eastAsia"/>
          <w:szCs w:val="21"/>
        </w:rPr>
        <w:t>单位：</w:t>
      </w:r>
      <w:sdt>
        <w:sdtPr>
          <w:rPr>
            <w:rFonts w:hint="eastAsia"/>
            <w:szCs w:val="21"/>
          </w:rPr>
          <w:alias w:val="单位：其他应收款分类列示"/>
          <w:tag w:val="_GBC_7f9aa6546943491ca0ac8585be1822b5"/>
          <w:id w:val="-13526429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9889773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E57DAA" w14:paraId="5443E61D" w14:textId="77777777">
        <w:trPr>
          <w:cantSplit/>
        </w:trPr>
        <w:sdt>
          <w:sdtPr>
            <w:tag w:val="_PLD_4377dcbf8fc04365884311b6628ee70c"/>
            <w:id w:val="-334841967"/>
          </w:sdtPr>
          <w:sdtEndPr/>
          <w:sdtContent>
            <w:tc>
              <w:tcPr>
                <w:tcW w:w="1764" w:type="pct"/>
                <w:vAlign w:val="center"/>
              </w:tcPr>
              <w:p w14:paraId="3C14D16A" w14:textId="77777777" w:rsidR="00E57DAA" w:rsidRDefault="00AC4185">
                <w:pPr>
                  <w:jc w:val="center"/>
                  <w:rPr>
                    <w:szCs w:val="21"/>
                  </w:rPr>
                </w:pPr>
                <w:r>
                  <w:rPr>
                    <w:rFonts w:hint="eastAsia"/>
                    <w:szCs w:val="21"/>
                  </w:rPr>
                  <w:t>项目</w:t>
                </w:r>
              </w:p>
            </w:tc>
          </w:sdtContent>
        </w:sdt>
        <w:sdt>
          <w:sdtPr>
            <w:tag w:val="_PLD_9eed799cfa4b445abd6bf2c21c8e53d1"/>
            <w:id w:val="-1425328881"/>
          </w:sdtPr>
          <w:sdtEndPr/>
          <w:sdtContent>
            <w:tc>
              <w:tcPr>
                <w:tcW w:w="1622" w:type="pct"/>
                <w:vAlign w:val="center"/>
              </w:tcPr>
              <w:p w14:paraId="05B2AF45" w14:textId="77777777" w:rsidR="00E57DAA" w:rsidRDefault="00AC4185">
                <w:pPr>
                  <w:jc w:val="center"/>
                  <w:rPr>
                    <w:szCs w:val="21"/>
                  </w:rPr>
                </w:pPr>
                <w:r>
                  <w:rPr>
                    <w:rFonts w:hint="eastAsia"/>
                    <w:szCs w:val="21"/>
                  </w:rPr>
                  <w:t>期末余额</w:t>
                </w:r>
              </w:p>
            </w:tc>
          </w:sdtContent>
        </w:sdt>
        <w:sdt>
          <w:sdtPr>
            <w:tag w:val="_PLD_200365ee1196470e91075b949a7f5552"/>
            <w:id w:val="-976288585"/>
          </w:sdtPr>
          <w:sdtEndPr/>
          <w:sdtContent>
            <w:tc>
              <w:tcPr>
                <w:tcW w:w="1614" w:type="pct"/>
                <w:vAlign w:val="center"/>
              </w:tcPr>
              <w:p w14:paraId="32FAA2CA" w14:textId="77777777" w:rsidR="00E57DAA" w:rsidRDefault="00AC4185">
                <w:pPr>
                  <w:jc w:val="center"/>
                  <w:rPr>
                    <w:szCs w:val="21"/>
                  </w:rPr>
                </w:pPr>
                <w:r>
                  <w:rPr>
                    <w:rFonts w:hint="eastAsia"/>
                    <w:szCs w:val="21"/>
                  </w:rPr>
                  <w:t>期初余额</w:t>
                </w:r>
              </w:p>
            </w:tc>
          </w:sdtContent>
        </w:sdt>
      </w:tr>
      <w:tr w:rsidR="00E57DAA" w14:paraId="46822E24" w14:textId="77777777">
        <w:trPr>
          <w:cantSplit/>
        </w:trPr>
        <w:tc>
          <w:tcPr>
            <w:tcW w:w="1764" w:type="pct"/>
          </w:tcPr>
          <w:p w14:paraId="4BDFD25B" w14:textId="77777777" w:rsidR="00E57DAA" w:rsidRDefault="00AC4185">
            <w:pPr>
              <w:ind w:right="5"/>
              <w:rPr>
                <w:szCs w:val="21"/>
              </w:rPr>
            </w:pPr>
            <w:r>
              <w:rPr>
                <w:rFonts w:hint="eastAsia"/>
                <w:szCs w:val="21"/>
              </w:rPr>
              <w:t>应收利息</w:t>
            </w:r>
          </w:p>
        </w:tc>
        <w:tc>
          <w:tcPr>
            <w:tcW w:w="1622" w:type="pct"/>
          </w:tcPr>
          <w:p w14:paraId="6495D582" w14:textId="77777777" w:rsidR="00E57DAA" w:rsidRDefault="00E57DAA">
            <w:pPr>
              <w:ind w:right="5"/>
              <w:jc w:val="right"/>
              <w:rPr>
                <w:szCs w:val="21"/>
              </w:rPr>
            </w:pPr>
          </w:p>
        </w:tc>
        <w:tc>
          <w:tcPr>
            <w:tcW w:w="1614" w:type="pct"/>
          </w:tcPr>
          <w:p w14:paraId="632CBE02" w14:textId="77777777" w:rsidR="00E57DAA" w:rsidRDefault="00E57DAA">
            <w:pPr>
              <w:ind w:right="5"/>
              <w:jc w:val="right"/>
              <w:rPr>
                <w:szCs w:val="21"/>
              </w:rPr>
            </w:pPr>
          </w:p>
        </w:tc>
      </w:tr>
      <w:tr w:rsidR="00E57DAA" w14:paraId="0E5AB2E7" w14:textId="77777777">
        <w:trPr>
          <w:cantSplit/>
        </w:trPr>
        <w:tc>
          <w:tcPr>
            <w:tcW w:w="1764" w:type="pct"/>
          </w:tcPr>
          <w:p w14:paraId="0B30E5A3" w14:textId="77777777" w:rsidR="00E57DAA" w:rsidRDefault="00AC4185">
            <w:pPr>
              <w:ind w:right="5"/>
              <w:rPr>
                <w:szCs w:val="21"/>
              </w:rPr>
            </w:pPr>
            <w:r>
              <w:rPr>
                <w:rFonts w:hint="eastAsia"/>
                <w:szCs w:val="21"/>
              </w:rPr>
              <w:t>应收股利</w:t>
            </w:r>
          </w:p>
        </w:tc>
        <w:tc>
          <w:tcPr>
            <w:tcW w:w="1622" w:type="pct"/>
            <w:vAlign w:val="center"/>
          </w:tcPr>
          <w:p w14:paraId="6DE6476C" w14:textId="77777777" w:rsidR="00E57DAA" w:rsidRDefault="00AC4185">
            <w:pPr>
              <w:ind w:right="5"/>
              <w:jc w:val="right"/>
              <w:rPr>
                <w:szCs w:val="21"/>
              </w:rPr>
            </w:pPr>
            <w:r>
              <w:t>2,040,114.47</w:t>
            </w:r>
          </w:p>
        </w:tc>
        <w:tc>
          <w:tcPr>
            <w:tcW w:w="1614" w:type="pct"/>
            <w:vAlign w:val="center"/>
          </w:tcPr>
          <w:p w14:paraId="364EF6B1" w14:textId="77777777" w:rsidR="00E57DAA" w:rsidRDefault="00AC4185">
            <w:pPr>
              <w:ind w:right="5"/>
              <w:jc w:val="right"/>
              <w:rPr>
                <w:szCs w:val="21"/>
              </w:rPr>
            </w:pPr>
            <w:r>
              <w:t>7,954,191.02</w:t>
            </w:r>
          </w:p>
        </w:tc>
      </w:tr>
      <w:tr w:rsidR="00E57DAA" w14:paraId="2F2BD4BE" w14:textId="77777777">
        <w:trPr>
          <w:cantSplit/>
        </w:trPr>
        <w:tc>
          <w:tcPr>
            <w:tcW w:w="1764" w:type="pct"/>
          </w:tcPr>
          <w:p w14:paraId="488E1026" w14:textId="77777777" w:rsidR="00E57DAA" w:rsidRDefault="00AC4185">
            <w:pPr>
              <w:ind w:right="5"/>
              <w:rPr>
                <w:szCs w:val="21"/>
              </w:rPr>
            </w:pPr>
            <w:r>
              <w:rPr>
                <w:rFonts w:hint="eastAsia"/>
                <w:szCs w:val="21"/>
              </w:rPr>
              <w:t>其他应收款</w:t>
            </w:r>
          </w:p>
        </w:tc>
        <w:tc>
          <w:tcPr>
            <w:tcW w:w="1622" w:type="pct"/>
            <w:vAlign w:val="center"/>
          </w:tcPr>
          <w:p w14:paraId="0D0E5F8B" w14:textId="77777777" w:rsidR="00E57DAA" w:rsidRDefault="00AC4185">
            <w:pPr>
              <w:ind w:right="5"/>
              <w:jc w:val="right"/>
              <w:rPr>
                <w:szCs w:val="21"/>
              </w:rPr>
            </w:pPr>
            <w:r>
              <w:t>886,744,289.10</w:t>
            </w:r>
          </w:p>
        </w:tc>
        <w:tc>
          <w:tcPr>
            <w:tcW w:w="1614" w:type="pct"/>
            <w:vAlign w:val="center"/>
          </w:tcPr>
          <w:p w14:paraId="7B7413E3" w14:textId="77777777" w:rsidR="00E57DAA" w:rsidRDefault="00AC4185">
            <w:pPr>
              <w:ind w:right="5"/>
              <w:jc w:val="right"/>
              <w:rPr>
                <w:szCs w:val="21"/>
              </w:rPr>
            </w:pPr>
            <w:r>
              <w:t>904,837,560.31</w:t>
            </w:r>
          </w:p>
        </w:tc>
      </w:tr>
      <w:tr w:rsidR="00E57DAA" w14:paraId="38EC6398" w14:textId="77777777">
        <w:trPr>
          <w:cantSplit/>
        </w:trPr>
        <w:tc>
          <w:tcPr>
            <w:tcW w:w="1764" w:type="pct"/>
          </w:tcPr>
          <w:p w14:paraId="3F8D3871" w14:textId="77777777" w:rsidR="00E57DAA" w:rsidRDefault="00AC4185">
            <w:pPr>
              <w:autoSpaceDE w:val="0"/>
              <w:autoSpaceDN w:val="0"/>
              <w:adjustRightInd w:val="0"/>
              <w:rPr>
                <w:szCs w:val="21"/>
              </w:rPr>
            </w:pPr>
            <w:r>
              <w:rPr>
                <w:rFonts w:hint="eastAsia"/>
                <w:szCs w:val="21"/>
              </w:rPr>
              <w:t>合计</w:t>
            </w:r>
          </w:p>
        </w:tc>
        <w:tc>
          <w:tcPr>
            <w:tcW w:w="1622" w:type="pct"/>
            <w:vAlign w:val="center"/>
          </w:tcPr>
          <w:p w14:paraId="27BB2277" w14:textId="77777777" w:rsidR="00E57DAA" w:rsidRDefault="00AC4185">
            <w:pPr>
              <w:jc w:val="right"/>
              <w:rPr>
                <w:szCs w:val="21"/>
              </w:rPr>
            </w:pPr>
            <w:r>
              <w:t>888,784,403.57</w:t>
            </w:r>
          </w:p>
        </w:tc>
        <w:tc>
          <w:tcPr>
            <w:tcW w:w="1614" w:type="pct"/>
            <w:vAlign w:val="center"/>
          </w:tcPr>
          <w:p w14:paraId="5125F9C9" w14:textId="77777777" w:rsidR="00E57DAA" w:rsidRDefault="00AC4185">
            <w:pPr>
              <w:jc w:val="right"/>
              <w:rPr>
                <w:szCs w:val="21"/>
              </w:rPr>
            </w:pPr>
            <w:r>
              <w:t>912,791,751.33</w:t>
            </w:r>
          </w:p>
        </w:tc>
      </w:tr>
    </w:tbl>
    <w:p w14:paraId="5FB5944F" w14:textId="77777777" w:rsidR="00E57DAA" w:rsidRDefault="00E57DAA" w:rsidP="00C25422">
      <w:pPr>
        <w:pStyle w:val="92"/>
      </w:pPr>
    </w:p>
    <w:p w14:paraId="54078F96" w14:textId="77777777" w:rsidR="00E57DAA" w:rsidRDefault="00AC4185">
      <w:pPr>
        <w:rPr>
          <w:szCs w:val="21"/>
        </w:rPr>
      </w:pPr>
      <w:r>
        <w:rPr>
          <w:rFonts w:hint="eastAsia"/>
          <w:szCs w:val="21"/>
        </w:rPr>
        <w:t>其他说明：</w:t>
      </w:r>
    </w:p>
    <w:bookmarkEnd w:id="220" w:displacedByCustomXml="next"/>
    <w:sdt>
      <w:sdtPr>
        <w:rPr>
          <w:szCs w:val="21"/>
        </w:rPr>
        <w:alias w:val="是否适用：其他应收款分类列示其他说明[双击切换]"/>
        <w:tag w:val="_GBC_87a25d8043fc4fcfac6a8c802b58dfc7"/>
        <w:id w:val="668444566"/>
        <w:placeholder>
          <w:docPart w:val="GBC22222222222222222222222222222"/>
        </w:placeholder>
      </w:sdtPr>
      <w:sdtEndPr/>
      <w:sdtContent>
        <w:p w14:paraId="411C551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分类列示其他说明"/>
        <w:tag w:val="_GBC_ecf2bf9c59f341e5ad9426c7512a4c17"/>
        <w:id w:val="-2030164280"/>
        <w:placeholder>
          <w:docPart w:val="GBC22222222222222222222222222222"/>
        </w:placeholder>
      </w:sdtPr>
      <w:sdtEndPr/>
      <w:sdtContent>
        <w:p w14:paraId="76FA41C0" w14:textId="77777777" w:rsidR="00E57DAA" w:rsidRDefault="00AC4185">
          <w:pPr>
            <w:rPr>
              <w:szCs w:val="21"/>
            </w:rPr>
          </w:pPr>
          <w:r>
            <w:rPr>
              <w:rFonts w:hint="eastAsia"/>
              <w:szCs w:val="21"/>
            </w:rPr>
            <w:t>上表中其他应收款指扣除应收利息、应收股利后的其他应收款。</w:t>
          </w:r>
        </w:p>
      </w:sdtContent>
    </w:sdt>
    <w:p w14:paraId="79B96B7E" w14:textId="77777777" w:rsidR="00E57DAA" w:rsidRDefault="00E57DAA">
      <w:pPr>
        <w:rPr>
          <w:szCs w:val="21"/>
        </w:rPr>
      </w:pPr>
    </w:p>
    <w:p w14:paraId="595DADA5" w14:textId="77777777" w:rsidR="00E57DAA" w:rsidRDefault="00AC4185">
      <w:pPr>
        <w:pStyle w:val="4"/>
        <w:ind w:left="360" w:hanging="360"/>
      </w:pPr>
      <w:r>
        <w:rPr>
          <w:rFonts w:hint="eastAsia"/>
        </w:rPr>
        <w:lastRenderedPageBreak/>
        <w:t>应收利息</w:t>
      </w:r>
    </w:p>
    <w:p w14:paraId="79DB69EE" w14:textId="77777777" w:rsidR="00E57DAA" w:rsidRDefault="00AC4185" w:rsidP="00C25422">
      <w:pPr>
        <w:pStyle w:val="90"/>
        <w:numPr>
          <w:ilvl w:val="0"/>
          <w:numId w:val="75"/>
        </w:numPr>
        <w:ind w:leftChars="0"/>
      </w:pPr>
      <w:r>
        <w:rPr>
          <w:rFonts w:hint="eastAsia"/>
        </w:rPr>
        <w:t>应收利息分类</w:t>
      </w:r>
    </w:p>
    <w:sdt>
      <w:sdtPr>
        <w:alias w:val="是否适用：应收利息分类[双击切换]"/>
        <w:tag w:val="_GBC_83217ec91e3240eeb9ff337eca1b11bb"/>
        <w:id w:val="524758362"/>
        <w:placeholder>
          <w:docPart w:val="GBC22222222222222222222222222222"/>
        </w:placeholder>
      </w:sdtPr>
      <w:sdtEndPr/>
      <w:sdtContent>
        <w:p w14:paraId="717BCB3D"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30E610" w14:textId="77777777" w:rsidR="00E57DAA" w:rsidRDefault="00E57DAA">
      <w:pPr>
        <w:rPr>
          <w:szCs w:val="21"/>
        </w:rPr>
      </w:pPr>
    </w:p>
    <w:p w14:paraId="2FF6B3E1" w14:textId="77777777" w:rsidR="00E57DAA" w:rsidRDefault="00AC4185" w:rsidP="00C25422">
      <w:pPr>
        <w:pStyle w:val="90"/>
        <w:numPr>
          <w:ilvl w:val="0"/>
          <w:numId w:val="75"/>
        </w:numPr>
        <w:ind w:leftChars="0"/>
      </w:pPr>
      <w:r>
        <w:rPr>
          <w:rFonts w:hint="eastAsia"/>
        </w:rPr>
        <w:t>重要逾期利息</w:t>
      </w:r>
    </w:p>
    <w:sdt>
      <w:sdtPr>
        <w:alias w:val="是否适用：重要逾期利息[双击切换]"/>
        <w:tag w:val="_GBC_4720cbb6fd9144c2b14ef7120e6159be"/>
        <w:id w:val="915219132"/>
        <w:placeholder>
          <w:docPart w:val="GBC22222222222222222222222222222"/>
        </w:placeholder>
      </w:sdtPr>
      <w:sdtEndPr/>
      <w:sdtContent>
        <w:p w14:paraId="265F7DD4"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6B059C" w14:textId="77777777" w:rsidR="00E57DAA" w:rsidRDefault="00E57DAA" w:rsidP="00C25422">
      <w:pPr>
        <w:pStyle w:val="92"/>
      </w:pPr>
    </w:p>
    <w:p w14:paraId="7CC2F21B" w14:textId="77777777" w:rsidR="00E57DAA" w:rsidRDefault="00AC4185" w:rsidP="00C25422">
      <w:pPr>
        <w:pStyle w:val="90"/>
        <w:numPr>
          <w:ilvl w:val="0"/>
          <w:numId w:val="75"/>
        </w:numPr>
        <w:ind w:leftChars="0"/>
      </w:pPr>
      <w:r>
        <w:rPr>
          <w:rFonts w:hint="eastAsia"/>
        </w:rPr>
        <w:t>按</w:t>
      </w:r>
      <w:r>
        <w:t>坏账计提方法分类披露</w:t>
      </w:r>
    </w:p>
    <w:bookmarkStart w:id="221" w:name="_Hlk153374831" w:displacedByCustomXml="next"/>
    <w:sdt>
      <w:sdtPr>
        <w:alias w:val="是否适用：按坏账计提方法分类披露[双击切换]"/>
        <w:tag w:val="_GBC_4dfa1c3f378a461fb32dcc384b94c01c"/>
        <w:id w:val="-545996853"/>
        <w:placeholder>
          <w:docPart w:val="GBC22222222222222222222222222222"/>
        </w:placeholder>
      </w:sdtPr>
      <w:sdtEndPr/>
      <w:sdtContent>
        <w:p w14:paraId="5DCEFE1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F714DE" w14:textId="77777777" w:rsidR="00E57DAA" w:rsidRDefault="00E57DAA" w:rsidP="00C25422">
      <w:pPr>
        <w:pStyle w:val="92"/>
      </w:pPr>
    </w:p>
    <w:p w14:paraId="69E8784A" w14:textId="77777777" w:rsidR="00E57DAA" w:rsidRDefault="00AC4185" w:rsidP="00C25422">
      <w:pPr>
        <w:pStyle w:val="92"/>
      </w:pPr>
      <w:r>
        <w:rPr>
          <w:rFonts w:hint="eastAsia"/>
        </w:rPr>
        <w:t>按单项计提坏账准备：</w:t>
      </w:r>
    </w:p>
    <w:sdt>
      <w:sdtPr>
        <w:alias w:val="是否适用：按单项计提坏账准备的详细情况[双击切换]"/>
        <w:tag w:val="_GBC_f555101264ef4acba1df68e54d30175a"/>
        <w:id w:val="1207065306"/>
        <w:placeholder>
          <w:docPart w:val="GBC22222222222222222222222222222"/>
        </w:placeholder>
      </w:sdtPr>
      <w:sdtEndPr/>
      <w:sdtContent>
        <w:p w14:paraId="165BA17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4D8833" w14:textId="77777777" w:rsidR="00E57DAA" w:rsidRDefault="00E57DAA">
      <w:pPr>
        <w:rPr>
          <w:szCs w:val="21"/>
        </w:rPr>
      </w:pPr>
    </w:p>
    <w:p w14:paraId="3D6EFB0C" w14:textId="77777777" w:rsidR="00E57DAA" w:rsidRDefault="00AC4185">
      <w:pPr>
        <w:rPr>
          <w:szCs w:val="21"/>
        </w:rPr>
      </w:pPr>
      <w:r>
        <w:rPr>
          <w:rFonts w:hint="eastAsia"/>
          <w:szCs w:val="21"/>
        </w:rPr>
        <w:t>按单项计提坏账准备的说明：</w:t>
      </w:r>
    </w:p>
    <w:sdt>
      <w:sdtPr>
        <w:rPr>
          <w:szCs w:val="21"/>
        </w:rPr>
        <w:alias w:val="是否适用：按单项计提坏账准备的说明[双击切换]"/>
        <w:tag w:val="_GBC_e7140d40a6d84e56957900180d1e6af2"/>
        <w:id w:val="-973206439"/>
        <w:placeholder>
          <w:docPart w:val="GBC22222222222222222222222222222"/>
        </w:placeholder>
      </w:sdtPr>
      <w:sdtEndPr/>
      <w:sdtContent>
        <w:p w14:paraId="65A1D22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06FC81" w14:textId="77777777" w:rsidR="00E57DAA" w:rsidRDefault="00E57DAA">
      <w:pPr>
        <w:rPr>
          <w:szCs w:val="21"/>
        </w:rPr>
      </w:pPr>
    </w:p>
    <w:p w14:paraId="0311A367"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e220409efb74ad0a4dffa7172a6bdf0"/>
        <w:id w:val="167844598"/>
        <w:placeholder>
          <w:docPart w:val="GBC22222222222222222222222222222"/>
        </w:placeholder>
      </w:sdtPr>
      <w:sdtEndPr/>
      <w:sdtContent>
        <w:p w14:paraId="56B66548"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E586436" w14:textId="77777777" w:rsidR="00E57DAA" w:rsidRDefault="00E57DAA">
      <w:pPr>
        <w:rPr>
          <w:szCs w:val="21"/>
        </w:rPr>
      </w:pPr>
    </w:p>
    <w:bookmarkEnd w:id="221"/>
    <w:p w14:paraId="10092910" w14:textId="77777777" w:rsidR="00E57DAA" w:rsidRDefault="00E57DAA">
      <w:pPr>
        <w:rPr>
          <w:rFonts w:ascii="Calibri" w:hAnsi="Calibri" w:cs="Times New Roman"/>
          <w:b/>
          <w:bCs/>
          <w:szCs w:val="22"/>
        </w:rPr>
      </w:pPr>
    </w:p>
    <w:p w14:paraId="4A78FC31" w14:textId="77777777" w:rsidR="00E57DAA" w:rsidRDefault="00AC4185" w:rsidP="00C25422">
      <w:pPr>
        <w:pStyle w:val="90"/>
        <w:numPr>
          <w:ilvl w:val="0"/>
          <w:numId w:val="75"/>
        </w:numPr>
        <w:ind w:leftChars="0"/>
      </w:pPr>
      <w:r>
        <w:rPr>
          <w:rFonts w:hint="eastAsia"/>
        </w:rPr>
        <w:t>按预期信用损失一般模型计提坏账准备</w:t>
      </w:r>
    </w:p>
    <w:bookmarkStart w:id="222" w:name="_Hlk533867290" w:displacedByCustomXml="next"/>
    <w:sdt>
      <w:sdtPr>
        <w:rPr>
          <w:szCs w:val="21"/>
        </w:rPr>
        <w:alias w:val="是否适用：应收利息坏账准备调节表[双击切换]"/>
        <w:tag w:val="_GBC_2926f106217b4c11a5fe606b79f60d83"/>
        <w:id w:val="-1901354261"/>
        <w:placeholder>
          <w:docPart w:val="GBC22222222222222222222222222222"/>
        </w:placeholder>
      </w:sdtPr>
      <w:sdtEndPr/>
      <w:sdtContent>
        <w:p w14:paraId="1E6FB22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13420A" w14:textId="77777777" w:rsidR="00E57DAA" w:rsidRDefault="00E57DAA">
      <w:pPr>
        <w:rPr>
          <w:szCs w:val="21"/>
        </w:rPr>
      </w:pPr>
    </w:p>
    <w:p w14:paraId="03D93D5F" w14:textId="77777777" w:rsidR="00E57DAA" w:rsidRDefault="00AC4185">
      <w:pPr>
        <w:pStyle w:val="45"/>
      </w:pPr>
      <w:r>
        <w:rPr>
          <w:rFonts w:hint="eastAsia"/>
        </w:rPr>
        <w:t>对本期发生损失准备变动的应收利息账面余额显著变动的情况说明：</w:t>
      </w:r>
    </w:p>
    <w:sdt>
      <w:sdtPr>
        <w:rPr>
          <w:szCs w:val="21"/>
        </w:rPr>
        <w:alias w:val="是否适用：应收利息本期发生损失准备变动且账面余额显著变动的情况说明[双击切换]"/>
        <w:tag w:val="_GBC_07d71685a64f4800b3e351083fc5c9ae"/>
        <w:id w:val="1872190265"/>
        <w:placeholder>
          <w:docPart w:val="GBC22222222222222222222222222222"/>
        </w:placeholder>
      </w:sdtPr>
      <w:sdtEndPr/>
      <w:sdtContent>
        <w:p w14:paraId="401420C8"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2"/>
    <w:p w14:paraId="5F3A6621" w14:textId="77777777" w:rsidR="00E57DAA" w:rsidRDefault="00E57DAA">
      <w:pPr>
        <w:autoSpaceDE w:val="0"/>
        <w:autoSpaceDN w:val="0"/>
        <w:adjustRightInd w:val="0"/>
        <w:ind w:rightChars="50" w:right="105"/>
        <w:rPr>
          <w:szCs w:val="21"/>
        </w:rPr>
      </w:pPr>
    </w:p>
    <w:p w14:paraId="5E6CF925" w14:textId="77777777" w:rsidR="00E57DAA" w:rsidRDefault="00AC4185" w:rsidP="00C25422">
      <w:pPr>
        <w:pStyle w:val="90"/>
        <w:numPr>
          <w:ilvl w:val="0"/>
          <w:numId w:val="75"/>
        </w:numPr>
        <w:ind w:leftChars="0"/>
      </w:pPr>
      <w:r>
        <w:rPr>
          <w:rFonts w:hint="eastAsia"/>
        </w:rPr>
        <w:t>坏账准备的情况</w:t>
      </w:r>
    </w:p>
    <w:bookmarkStart w:id="223" w:name="_Hlk153375041" w:displacedByCustomXml="next"/>
    <w:sdt>
      <w:sdtPr>
        <w:alias w:val="是否适用：坏账准备情况[双击切换]"/>
        <w:tag w:val="_GBC_faf892fca7fd4a8ebcdef2231ff828bc"/>
        <w:id w:val="-462802563"/>
        <w:placeholder>
          <w:docPart w:val="GBC22222222222222222222222222222"/>
        </w:placeholder>
      </w:sdtPr>
      <w:sdtEndPr/>
      <w:sdtContent>
        <w:p w14:paraId="159EF5A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41FEA1" w14:textId="77777777" w:rsidR="00E57DAA" w:rsidRDefault="00E57DAA" w:rsidP="00C25422">
      <w:pPr>
        <w:pStyle w:val="92"/>
      </w:pPr>
    </w:p>
    <w:p w14:paraId="14D21180" w14:textId="77777777" w:rsidR="00E57DAA" w:rsidRDefault="00AC4185" w:rsidP="00C25422">
      <w:pPr>
        <w:pStyle w:val="92"/>
      </w:pPr>
      <w:r>
        <w:rPr>
          <w:rFonts w:hint="eastAsia"/>
        </w:rPr>
        <w:t>其中本期坏账准备收回或转回金额重要的：</w:t>
      </w:r>
    </w:p>
    <w:sdt>
      <w:sdtPr>
        <w:alias w:val="是否适用：本期坏账准备收回或转回金额重要的[双击切换]"/>
        <w:tag w:val="_GBC_5a2d052a52b74bb7a867cb7ad62574c9"/>
        <w:id w:val="-775950832"/>
        <w:placeholder>
          <w:docPart w:val="GBC22222222222222222222222222222"/>
        </w:placeholder>
      </w:sdtPr>
      <w:sdtEndPr/>
      <w:sdtContent>
        <w:p w14:paraId="59F6190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2A8D29" w14:textId="77777777" w:rsidR="00E57DAA" w:rsidRDefault="00E57DAA">
      <w:pPr>
        <w:ind w:rightChars="-759" w:right="-1594"/>
      </w:pPr>
    </w:p>
    <w:p w14:paraId="68764E82" w14:textId="77777777" w:rsidR="00E57DAA" w:rsidRDefault="00AC4185" w:rsidP="00C25422">
      <w:pPr>
        <w:pStyle w:val="90"/>
        <w:numPr>
          <w:ilvl w:val="0"/>
          <w:numId w:val="75"/>
        </w:numPr>
        <w:ind w:leftChars="0"/>
      </w:pPr>
      <w:r>
        <w:t>本期实际核销的应收</w:t>
      </w:r>
      <w:r>
        <w:rPr>
          <w:rFonts w:hint="eastAsia"/>
        </w:rPr>
        <w:t>利息</w:t>
      </w:r>
      <w:r>
        <w:t>情况</w:t>
      </w:r>
    </w:p>
    <w:sdt>
      <w:sdtPr>
        <w:alias w:val="是否适用：实际核销的情况[双击切换]"/>
        <w:tag w:val="_GBC_d4fcf512bafe4a40a1f75d78eee0f333"/>
        <w:id w:val="1242910667"/>
        <w:placeholder>
          <w:docPart w:val="GBC22222222222222222222222222222"/>
        </w:placeholder>
      </w:sdtPr>
      <w:sdtEndPr/>
      <w:sdtContent>
        <w:p w14:paraId="1DAED1A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ADDA3E" w14:textId="77777777" w:rsidR="00E57DAA" w:rsidRDefault="00E57DAA">
      <w:pPr>
        <w:rPr>
          <w:szCs w:val="21"/>
        </w:rPr>
      </w:pPr>
    </w:p>
    <w:p w14:paraId="669A6FE9" w14:textId="77777777" w:rsidR="00E57DAA" w:rsidRDefault="00AC4185">
      <w:pPr>
        <w:rPr>
          <w:szCs w:val="21"/>
        </w:rPr>
      </w:pPr>
      <w:r>
        <w:rPr>
          <w:rFonts w:hint="eastAsia"/>
          <w:szCs w:val="21"/>
        </w:rPr>
        <w:t>其中重要的应收利息核销情况</w:t>
      </w:r>
    </w:p>
    <w:sdt>
      <w:sdtPr>
        <w:rPr>
          <w:rFonts w:hint="eastAsia"/>
          <w:szCs w:val="21"/>
        </w:rPr>
        <w:alias w:val="是否适用：重要的核销情况[双击切换]"/>
        <w:tag w:val="_GBC_2cc69a5549814fd6aee1164366f580ec"/>
        <w:id w:val="1955677824"/>
        <w:placeholder>
          <w:docPart w:val="GBC22222222222222222222222222222"/>
        </w:placeholder>
      </w:sdtPr>
      <w:sdtEndPr/>
      <w:sdtContent>
        <w:p w14:paraId="4DC4335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F3119B" w14:textId="77777777" w:rsidR="00E57DAA" w:rsidRDefault="00E57DAA">
      <w:pPr>
        <w:rPr>
          <w:szCs w:val="21"/>
        </w:rPr>
      </w:pPr>
    </w:p>
    <w:p w14:paraId="59F7688F" w14:textId="77777777" w:rsidR="00E57DAA" w:rsidRDefault="00AC4185">
      <w:pPr>
        <w:snapToGrid w:val="0"/>
        <w:spacing w:line="240" w:lineRule="atLeast"/>
        <w:rPr>
          <w:szCs w:val="21"/>
        </w:rPr>
      </w:pPr>
      <w:r>
        <w:rPr>
          <w:rFonts w:hint="eastAsia"/>
          <w:szCs w:val="21"/>
        </w:rPr>
        <w:t>核销说明：</w:t>
      </w:r>
    </w:p>
    <w:sdt>
      <w:sdtPr>
        <w:rPr>
          <w:szCs w:val="21"/>
        </w:rPr>
        <w:alias w:val="是否适用：核销说明[双击切换]"/>
        <w:tag w:val="_GBC_d8b86767c1604cb69ee84c043aa1b8dc"/>
        <w:id w:val="-339084050"/>
        <w:placeholder>
          <w:docPart w:val="GBC22222222222222222222222222222"/>
        </w:placeholder>
      </w:sdtPr>
      <w:sdtEndPr/>
      <w:sdtContent>
        <w:p w14:paraId="03731C88"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21A3411" w14:textId="77777777" w:rsidR="00E57DAA" w:rsidRDefault="00E57DAA" w:rsidP="00C25422">
      <w:pPr>
        <w:pStyle w:val="92"/>
      </w:pPr>
    </w:p>
    <w:p w14:paraId="724C65E3" w14:textId="77777777" w:rsidR="00E57DAA" w:rsidRDefault="00AC4185" w:rsidP="00C25422">
      <w:pPr>
        <w:pStyle w:val="92"/>
      </w:pPr>
      <w:r>
        <w:rPr>
          <w:rFonts w:hint="eastAsia"/>
        </w:rPr>
        <w:t>其他说明：</w:t>
      </w:r>
    </w:p>
    <w:bookmarkEnd w:id="223" w:displacedByCustomXml="next"/>
    <w:sdt>
      <w:sdtPr>
        <w:rPr>
          <w:rFonts w:hint="eastAsia"/>
          <w:szCs w:val="21"/>
        </w:rPr>
        <w:alias w:val="是否适用：应收利息的说明[双击切换]"/>
        <w:tag w:val="_GBC_353af20a1db84c639b0e03e660c37a48"/>
        <w:id w:val="-1374308803"/>
        <w:placeholder>
          <w:docPart w:val="GBC22222222222222222222222222222"/>
        </w:placeholder>
      </w:sdtPr>
      <w:sdtEndPr/>
      <w:sdtContent>
        <w:p w14:paraId="77ED9D1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B05D49" w14:textId="77777777" w:rsidR="00E57DAA" w:rsidRDefault="00E57DAA">
      <w:pPr>
        <w:rPr>
          <w:szCs w:val="21"/>
        </w:rPr>
      </w:pPr>
    </w:p>
    <w:p w14:paraId="15F7A2F2" w14:textId="77777777" w:rsidR="00E57DAA" w:rsidRDefault="00AC4185">
      <w:pPr>
        <w:pStyle w:val="4"/>
        <w:ind w:left="360" w:hanging="360"/>
      </w:pPr>
      <w:r>
        <w:rPr>
          <w:rFonts w:hint="eastAsia"/>
        </w:rPr>
        <w:t>应收股利</w:t>
      </w:r>
    </w:p>
    <w:p w14:paraId="5832E745" w14:textId="77777777" w:rsidR="00E57DAA" w:rsidRDefault="00AC4185" w:rsidP="00C25422">
      <w:pPr>
        <w:pStyle w:val="90"/>
        <w:numPr>
          <w:ilvl w:val="0"/>
          <w:numId w:val="75"/>
        </w:numPr>
        <w:ind w:leftChars="0"/>
      </w:pPr>
      <w:r>
        <w:rPr>
          <w:rFonts w:hint="eastAsia"/>
        </w:rPr>
        <w:t>应收股利</w:t>
      </w:r>
    </w:p>
    <w:sdt>
      <w:sdtPr>
        <w:alias w:val="是否适用：应收股利[双击切换]"/>
        <w:tag w:val="_GBC_c0f7b0360a644690b0472107042df17a"/>
        <w:id w:val="-1656686278"/>
        <w:placeholder>
          <w:docPart w:val="GBC22222222222222222222222222222"/>
        </w:placeholder>
      </w:sdtPr>
      <w:sdtEndPr/>
      <w:sdtContent>
        <w:p w14:paraId="33DF153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3E9077" w14:textId="77777777" w:rsidR="00E57DAA" w:rsidRDefault="00AC4185">
      <w:pPr>
        <w:jc w:val="right"/>
        <w:rPr>
          <w:szCs w:val="21"/>
        </w:rPr>
      </w:pPr>
      <w:r>
        <w:rPr>
          <w:rFonts w:hint="eastAsia"/>
          <w:szCs w:val="21"/>
        </w:rPr>
        <w:t>单位：</w:t>
      </w:r>
      <w:sdt>
        <w:sdtPr>
          <w:rPr>
            <w:rFonts w:hint="eastAsia"/>
            <w:szCs w:val="21"/>
          </w:rPr>
          <w:alias w:val="单位：财务附注：应收股利"/>
          <w:tag w:val="_GBC_50f835a1df1e48409cac94b31300ae2b"/>
          <w:id w:val="-14892371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股利"/>
          <w:tag w:val="_GBC_51a26d58ea414110b611fe682d0ba316"/>
          <w:id w:val="-4241126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1678"/>
        <w:gridCol w:w="2755"/>
      </w:tblGrid>
      <w:tr w:rsidR="00E57DAA" w14:paraId="6F89E81C" w14:textId="77777777">
        <w:sdt>
          <w:sdtPr>
            <w:tag w:val="_PLD_39a83912b1814ce587a6aa2bfcc20d43"/>
            <w:id w:val="-1216425757"/>
          </w:sdtPr>
          <w:sdtEndPr/>
          <w:sdtContent>
            <w:tc>
              <w:tcPr>
                <w:tcW w:w="2488" w:type="pct"/>
                <w:vAlign w:val="center"/>
              </w:tcPr>
              <w:p w14:paraId="4B38EDC3" w14:textId="77777777" w:rsidR="00E57DAA" w:rsidRDefault="00AC4185">
                <w:pPr>
                  <w:jc w:val="center"/>
                  <w:rPr>
                    <w:szCs w:val="21"/>
                  </w:rPr>
                </w:pPr>
                <w:r>
                  <w:rPr>
                    <w:rFonts w:hint="eastAsia"/>
                    <w:szCs w:val="21"/>
                  </w:rPr>
                  <w:t>项目(或被投资单位)</w:t>
                </w:r>
              </w:p>
            </w:tc>
          </w:sdtContent>
        </w:sdt>
        <w:sdt>
          <w:sdtPr>
            <w:tag w:val="_PLD_de504ddfb0d74b04930d73922e81793f"/>
            <w:id w:val="-304856405"/>
          </w:sdtPr>
          <w:sdtEndPr/>
          <w:sdtContent>
            <w:tc>
              <w:tcPr>
                <w:tcW w:w="951" w:type="pct"/>
                <w:vAlign w:val="center"/>
              </w:tcPr>
              <w:p w14:paraId="62062515" w14:textId="77777777" w:rsidR="00E57DAA" w:rsidRDefault="00AC4185">
                <w:pPr>
                  <w:jc w:val="center"/>
                  <w:rPr>
                    <w:szCs w:val="21"/>
                  </w:rPr>
                </w:pPr>
                <w:r>
                  <w:rPr>
                    <w:rFonts w:hint="eastAsia"/>
                    <w:szCs w:val="21"/>
                  </w:rPr>
                  <w:t>期末余额</w:t>
                </w:r>
              </w:p>
            </w:tc>
          </w:sdtContent>
        </w:sdt>
        <w:sdt>
          <w:sdtPr>
            <w:tag w:val="_PLD_06fe10e4c67542f3ae16fdf0e6912fbc"/>
            <w:id w:val="-433744703"/>
          </w:sdtPr>
          <w:sdtEndPr/>
          <w:sdtContent>
            <w:tc>
              <w:tcPr>
                <w:tcW w:w="1561" w:type="pct"/>
                <w:vAlign w:val="center"/>
              </w:tcPr>
              <w:p w14:paraId="20C98F44" w14:textId="77777777" w:rsidR="00E57DAA" w:rsidRDefault="00AC4185">
                <w:pPr>
                  <w:jc w:val="center"/>
                  <w:rPr>
                    <w:szCs w:val="21"/>
                  </w:rPr>
                </w:pPr>
                <w:r>
                  <w:rPr>
                    <w:rFonts w:hint="eastAsia"/>
                    <w:szCs w:val="21"/>
                  </w:rPr>
                  <w:t>期初余额</w:t>
                </w:r>
              </w:p>
            </w:tc>
          </w:sdtContent>
        </w:sdt>
      </w:tr>
      <w:tr w:rsidR="00E57DAA" w14:paraId="4C2E9ECC" w14:textId="77777777">
        <w:tc>
          <w:tcPr>
            <w:tcW w:w="2488" w:type="pct"/>
          </w:tcPr>
          <w:p w14:paraId="189A7428" w14:textId="77777777" w:rsidR="00E57DAA" w:rsidRDefault="00AC4185">
            <w:pPr>
              <w:rPr>
                <w:szCs w:val="21"/>
              </w:rPr>
            </w:pPr>
            <w:r>
              <w:t>中才邦业（杭州）智能技术有限公司</w:t>
            </w:r>
          </w:p>
        </w:tc>
        <w:tc>
          <w:tcPr>
            <w:tcW w:w="951" w:type="pct"/>
          </w:tcPr>
          <w:p w14:paraId="7866F147" w14:textId="77777777" w:rsidR="00E57DAA" w:rsidRDefault="00AC4185">
            <w:pPr>
              <w:jc w:val="right"/>
              <w:rPr>
                <w:szCs w:val="21"/>
              </w:rPr>
            </w:pPr>
            <w:r>
              <w:t>2,040,114.47</w:t>
            </w:r>
          </w:p>
        </w:tc>
        <w:tc>
          <w:tcPr>
            <w:tcW w:w="1561" w:type="pct"/>
          </w:tcPr>
          <w:p w14:paraId="20432D53" w14:textId="77777777" w:rsidR="00E57DAA" w:rsidRDefault="00AC4185">
            <w:pPr>
              <w:jc w:val="right"/>
              <w:rPr>
                <w:szCs w:val="21"/>
              </w:rPr>
            </w:pPr>
            <w:r>
              <w:t>2,040,114.47</w:t>
            </w:r>
          </w:p>
        </w:tc>
      </w:tr>
      <w:tr w:rsidR="00E57DAA" w14:paraId="518C7567" w14:textId="77777777">
        <w:tc>
          <w:tcPr>
            <w:tcW w:w="2488" w:type="pct"/>
          </w:tcPr>
          <w:p w14:paraId="338EC330" w14:textId="77777777" w:rsidR="00E57DAA" w:rsidRDefault="00AC4185">
            <w:pPr>
              <w:rPr>
                <w:szCs w:val="21"/>
              </w:rPr>
            </w:pPr>
            <w:r>
              <w:t>苏州混凝土水泥制品研究院有限公司</w:t>
            </w:r>
          </w:p>
        </w:tc>
        <w:tc>
          <w:tcPr>
            <w:tcW w:w="951" w:type="pct"/>
          </w:tcPr>
          <w:p w14:paraId="06E2E26E" w14:textId="77777777" w:rsidR="00E57DAA" w:rsidRDefault="00AC4185">
            <w:pPr>
              <w:jc w:val="right"/>
              <w:rPr>
                <w:szCs w:val="21"/>
              </w:rPr>
            </w:pPr>
            <w:r>
              <w:t> </w:t>
            </w:r>
          </w:p>
        </w:tc>
        <w:tc>
          <w:tcPr>
            <w:tcW w:w="1561" w:type="pct"/>
          </w:tcPr>
          <w:p w14:paraId="49154F35" w14:textId="77777777" w:rsidR="00E57DAA" w:rsidRDefault="00AC4185">
            <w:pPr>
              <w:jc w:val="right"/>
              <w:rPr>
                <w:szCs w:val="21"/>
              </w:rPr>
            </w:pPr>
            <w:r>
              <w:t>5,914,076.55</w:t>
            </w:r>
          </w:p>
        </w:tc>
      </w:tr>
      <w:tr w:rsidR="00E57DAA" w14:paraId="48E1517D" w14:textId="77777777">
        <w:tc>
          <w:tcPr>
            <w:tcW w:w="2488" w:type="pct"/>
            <w:vAlign w:val="center"/>
          </w:tcPr>
          <w:p w14:paraId="1480BF65" w14:textId="77777777" w:rsidR="00E57DAA" w:rsidRDefault="00AC4185">
            <w:pPr>
              <w:jc w:val="center"/>
              <w:rPr>
                <w:szCs w:val="21"/>
              </w:rPr>
            </w:pPr>
            <w:r>
              <w:rPr>
                <w:rFonts w:hint="eastAsia"/>
                <w:szCs w:val="21"/>
              </w:rPr>
              <w:t>合计</w:t>
            </w:r>
          </w:p>
        </w:tc>
        <w:tc>
          <w:tcPr>
            <w:tcW w:w="951" w:type="pct"/>
            <w:vAlign w:val="center"/>
          </w:tcPr>
          <w:p w14:paraId="2A3B4A67" w14:textId="77777777" w:rsidR="00E57DAA" w:rsidRDefault="00AC4185">
            <w:pPr>
              <w:jc w:val="right"/>
              <w:rPr>
                <w:szCs w:val="21"/>
              </w:rPr>
            </w:pPr>
            <w:r>
              <w:t>2,040,114.47</w:t>
            </w:r>
          </w:p>
        </w:tc>
        <w:tc>
          <w:tcPr>
            <w:tcW w:w="1561" w:type="pct"/>
            <w:vAlign w:val="center"/>
          </w:tcPr>
          <w:p w14:paraId="3FA21A8C" w14:textId="77777777" w:rsidR="00E57DAA" w:rsidRDefault="00AC4185">
            <w:pPr>
              <w:jc w:val="right"/>
              <w:rPr>
                <w:szCs w:val="21"/>
              </w:rPr>
            </w:pPr>
            <w:r>
              <w:t>7,954,191.02</w:t>
            </w:r>
          </w:p>
        </w:tc>
      </w:tr>
    </w:tbl>
    <w:p w14:paraId="07000014" w14:textId="77777777" w:rsidR="00E57DAA" w:rsidRDefault="00E57DAA" w:rsidP="00C25422">
      <w:pPr>
        <w:pStyle w:val="92"/>
      </w:pPr>
    </w:p>
    <w:p w14:paraId="260FC6AD" w14:textId="77777777" w:rsidR="00E57DAA" w:rsidRDefault="00AC4185" w:rsidP="00C25422">
      <w:pPr>
        <w:pStyle w:val="90"/>
        <w:numPr>
          <w:ilvl w:val="0"/>
          <w:numId w:val="75"/>
        </w:numPr>
        <w:ind w:leftChars="0"/>
      </w:pPr>
      <w:r>
        <w:rPr>
          <w:rFonts w:hint="eastAsia"/>
        </w:rPr>
        <w:t>重要的账龄超过</w:t>
      </w:r>
      <w:r>
        <w:rPr>
          <w:rFonts w:hint="eastAsia"/>
        </w:rPr>
        <w:t>1</w:t>
      </w:r>
      <w:r>
        <w:rPr>
          <w:rFonts w:hint="eastAsia"/>
        </w:rPr>
        <w:t>年的应收股利</w:t>
      </w:r>
    </w:p>
    <w:p w14:paraId="4645924B" w14:textId="77777777" w:rsidR="00E57DAA" w:rsidRDefault="00EB41A1">
      <w:pPr>
        <w:rPr>
          <w:szCs w:val="21"/>
        </w:rPr>
      </w:pPr>
      <w:sdt>
        <w:sdtPr>
          <w:rPr>
            <w:rFonts w:hint="eastAsia"/>
            <w:szCs w:val="21"/>
          </w:rPr>
          <w:alias w:val="是否适用：重要的账龄超过1年的应收股利[双击切换]"/>
          <w:tag w:val="_GBC_d46c4e6d2f2e4e20b430a619bde9abe8"/>
          <w:id w:val="99075646"/>
          <w:placeholder>
            <w:docPart w:val="GBC22222222222222222222222222222"/>
          </w:placeholder>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p>
    <w:p w14:paraId="760A30F8" w14:textId="77777777" w:rsidR="00E57DAA" w:rsidRDefault="00E57DAA" w:rsidP="00C25422">
      <w:pPr>
        <w:pStyle w:val="92"/>
      </w:pPr>
    </w:p>
    <w:p w14:paraId="00057F40" w14:textId="77777777" w:rsidR="00E57DAA" w:rsidRDefault="00AC4185" w:rsidP="00C25422">
      <w:pPr>
        <w:pStyle w:val="90"/>
        <w:numPr>
          <w:ilvl w:val="0"/>
          <w:numId w:val="75"/>
        </w:numPr>
        <w:ind w:leftChars="0"/>
      </w:pPr>
      <w:r>
        <w:rPr>
          <w:rFonts w:hint="eastAsia"/>
        </w:rPr>
        <w:t>按</w:t>
      </w:r>
      <w:r>
        <w:t>坏账计提方法分类披露</w:t>
      </w:r>
    </w:p>
    <w:bookmarkStart w:id="224" w:name="_Hlk153377225" w:displacedByCustomXml="next"/>
    <w:sdt>
      <w:sdtPr>
        <w:alias w:val="是否适用：按坏账计提方法分类披露[双击切换]"/>
        <w:tag w:val="_GBC_ad0add93fbe54bc5984d3fdcd19c4070"/>
        <w:id w:val="-1501416466"/>
        <w:placeholder>
          <w:docPart w:val="GBC22222222222222222222222222222"/>
        </w:placeholder>
      </w:sdtPr>
      <w:sdtEndPr/>
      <w:sdtContent>
        <w:p w14:paraId="6DEF761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933BC3" w14:textId="77777777" w:rsidR="00E57DAA" w:rsidRDefault="00E57DAA" w:rsidP="00C25422">
      <w:pPr>
        <w:pStyle w:val="92"/>
      </w:pPr>
    </w:p>
    <w:p w14:paraId="2968679B" w14:textId="77777777" w:rsidR="00E57DAA" w:rsidRDefault="00AC4185" w:rsidP="00C25422">
      <w:pPr>
        <w:pStyle w:val="92"/>
      </w:pPr>
      <w:r>
        <w:rPr>
          <w:rFonts w:hint="eastAsia"/>
        </w:rPr>
        <w:t>按单项计提坏账准备：</w:t>
      </w:r>
    </w:p>
    <w:sdt>
      <w:sdtPr>
        <w:alias w:val="是否适用：按单项计提坏账准备的详细情况[双击切换]"/>
        <w:tag w:val="_GBC_0715807534664009b6e06e12b5244cb0"/>
        <w:id w:val="2026982892"/>
        <w:placeholder>
          <w:docPart w:val="GBC22222222222222222222222222222"/>
        </w:placeholder>
      </w:sdtPr>
      <w:sdtEndPr/>
      <w:sdtContent>
        <w:p w14:paraId="255B6EE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B9E28A" w14:textId="77777777" w:rsidR="00E57DAA" w:rsidRDefault="00E57DAA">
      <w:pPr>
        <w:rPr>
          <w:szCs w:val="21"/>
        </w:rPr>
      </w:pPr>
    </w:p>
    <w:p w14:paraId="5934AD6F" w14:textId="77777777" w:rsidR="00E57DAA" w:rsidRDefault="00AC4185">
      <w:pPr>
        <w:rPr>
          <w:szCs w:val="21"/>
        </w:rPr>
      </w:pPr>
      <w:r>
        <w:rPr>
          <w:rFonts w:hint="eastAsia"/>
          <w:szCs w:val="21"/>
        </w:rPr>
        <w:t>按单项计提坏账准备的说明：</w:t>
      </w:r>
    </w:p>
    <w:sdt>
      <w:sdtPr>
        <w:rPr>
          <w:szCs w:val="21"/>
        </w:rPr>
        <w:alias w:val="是否适用：按单项计提坏账准备的说明[双击切换]"/>
        <w:tag w:val="_GBC_22fd3e53fab548e0b8db7ad77d176da5"/>
        <w:id w:val="-1488326414"/>
        <w:placeholder>
          <w:docPart w:val="GBC22222222222222222222222222222"/>
        </w:placeholder>
      </w:sdtPr>
      <w:sdtEndPr/>
      <w:sdtContent>
        <w:p w14:paraId="54EE6B5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98D7A6" w14:textId="77777777" w:rsidR="00E57DAA" w:rsidRDefault="00E57DAA">
      <w:pPr>
        <w:rPr>
          <w:szCs w:val="21"/>
        </w:rPr>
      </w:pPr>
    </w:p>
    <w:p w14:paraId="5795DC7C"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3fb2695da2d2471f82cd62f8736c521e"/>
        <w:id w:val="-250737402"/>
        <w:placeholder>
          <w:docPart w:val="GBC22222222222222222222222222222"/>
        </w:placeholder>
      </w:sdtPr>
      <w:sdtEndPr/>
      <w:sdtContent>
        <w:p w14:paraId="2B387171"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F64C136" w14:textId="77777777" w:rsidR="00E57DAA" w:rsidRDefault="00E57DAA">
      <w:pPr>
        <w:rPr>
          <w:szCs w:val="21"/>
        </w:rPr>
      </w:pPr>
    </w:p>
    <w:p w14:paraId="47550132" w14:textId="77777777" w:rsidR="00E57DAA" w:rsidRDefault="00E57DAA">
      <w:pPr>
        <w:rPr>
          <w:rFonts w:ascii="Calibri" w:hAnsi="Calibri" w:cs="Times New Roman"/>
          <w:b/>
          <w:bCs/>
          <w:szCs w:val="22"/>
        </w:rPr>
      </w:pPr>
    </w:p>
    <w:p w14:paraId="231BA712" w14:textId="77777777" w:rsidR="00E57DAA" w:rsidRDefault="00AC4185" w:rsidP="00C25422">
      <w:pPr>
        <w:pStyle w:val="90"/>
        <w:numPr>
          <w:ilvl w:val="0"/>
          <w:numId w:val="75"/>
        </w:numPr>
        <w:ind w:leftChars="0"/>
      </w:pPr>
      <w:r>
        <w:rPr>
          <w:rFonts w:hint="eastAsia"/>
        </w:rPr>
        <w:t>按预期信用损失一般模型计提坏账准备</w:t>
      </w:r>
      <w:r>
        <w:t xml:space="preserve"> </w:t>
      </w:r>
    </w:p>
    <w:bookmarkEnd w:id="224" w:displacedByCustomXml="next"/>
    <w:bookmarkStart w:id="225" w:name="_Hlk533421146" w:displacedByCustomXml="next"/>
    <w:sdt>
      <w:sdtPr>
        <w:alias w:val="是否适用：应收股利坏账准备调节表[双击切换]"/>
        <w:tag w:val="_GBC_847cf15503744e02b8ac7395c17d2da6"/>
        <w:id w:val="-505056044"/>
        <w:placeholder>
          <w:docPart w:val="GBC22222222222222222222222222222"/>
        </w:placeholder>
      </w:sdtPr>
      <w:sdtEndPr/>
      <w:sdtContent>
        <w:p w14:paraId="76E5111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CD77FF" w14:textId="77777777" w:rsidR="00E57DAA" w:rsidRDefault="00E57DAA">
      <w:pPr>
        <w:rPr>
          <w:szCs w:val="21"/>
        </w:rPr>
      </w:pPr>
    </w:p>
    <w:p w14:paraId="018146FC" w14:textId="77777777" w:rsidR="00E57DAA" w:rsidRDefault="00AC4185">
      <w:pPr>
        <w:pStyle w:val="45"/>
      </w:pPr>
      <w:r>
        <w:rPr>
          <w:rFonts w:hint="eastAsia"/>
        </w:rPr>
        <w:t>对本期发生损失准备变动的应收股利账面余额显著变动的情况说明：</w:t>
      </w:r>
    </w:p>
    <w:sdt>
      <w:sdtPr>
        <w:rPr>
          <w:szCs w:val="21"/>
        </w:rPr>
        <w:alias w:val="是否适用：应收股利本期发生损失准备变动且账面余额显著变动的情况说明[双击切换]"/>
        <w:tag w:val="_GBC_f431acf85fd94f1eb2cd4d70b0f69b2c"/>
        <w:id w:val="1039006252"/>
        <w:placeholder>
          <w:docPart w:val="GBC22222222222222222222222222222"/>
        </w:placeholder>
      </w:sdtPr>
      <w:sdtEndPr/>
      <w:sdtContent>
        <w:p w14:paraId="578CE0C0"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5"/>
    <w:p w14:paraId="52971039" w14:textId="77777777" w:rsidR="00E57DAA" w:rsidRDefault="00E57DAA">
      <w:pPr>
        <w:autoSpaceDE w:val="0"/>
        <w:autoSpaceDN w:val="0"/>
        <w:adjustRightInd w:val="0"/>
        <w:ind w:rightChars="50" w:right="105"/>
        <w:rPr>
          <w:szCs w:val="21"/>
        </w:rPr>
      </w:pPr>
    </w:p>
    <w:p w14:paraId="08564449" w14:textId="77777777" w:rsidR="00E57DAA" w:rsidRDefault="00AC4185" w:rsidP="00C25422">
      <w:pPr>
        <w:pStyle w:val="90"/>
        <w:numPr>
          <w:ilvl w:val="0"/>
          <w:numId w:val="75"/>
        </w:numPr>
        <w:ind w:leftChars="0"/>
      </w:pPr>
      <w:r>
        <w:rPr>
          <w:rFonts w:hint="eastAsia"/>
        </w:rPr>
        <w:t>坏账准备的情况</w:t>
      </w:r>
    </w:p>
    <w:bookmarkStart w:id="226" w:name="_Hlk153377452" w:displacedByCustomXml="next"/>
    <w:sdt>
      <w:sdtPr>
        <w:alias w:val="是否适用：坏账准备情况[双击切换]"/>
        <w:tag w:val="_GBC_3425c1c233b1473ca1aaf53c81088091"/>
        <w:id w:val="-793820852"/>
        <w:placeholder>
          <w:docPart w:val="GBC22222222222222222222222222222"/>
        </w:placeholder>
      </w:sdtPr>
      <w:sdtEndPr/>
      <w:sdtContent>
        <w:p w14:paraId="7086555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8607D5" w14:textId="77777777" w:rsidR="00E57DAA" w:rsidRDefault="00E57DAA" w:rsidP="00C25422">
      <w:pPr>
        <w:pStyle w:val="92"/>
      </w:pPr>
    </w:p>
    <w:p w14:paraId="6CE76CFD" w14:textId="77777777" w:rsidR="00E57DAA" w:rsidRDefault="00AC4185" w:rsidP="00C25422">
      <w:pPr>
        <w:pStyle w:val="92"/>
      </w:pPr>
      <w:r>
        <w:rPr>
          <w:rFonts w:hint="eastAsia"/>
        </w:rPr>
        <w:t>其中本期坏账准备收回或转回金额重要的：</w:t>
      </w:r>
    </w:p>
    <w:sdt>
      <w:sdtPr>
        <w:alias w:val="是否适用：本期坏账准备收回或转回金额重要的[双击切换]"/>
        <w:tag w:val="_GBC_d8ca1b67740e4a2e8d7777b8dee9c902"/>
        <w:id w:val="1346669843"/>
        <w:placeholder>
          <w:docPart w:val="GBC22222222222222222222222222222"/>
        </w:placeholder>
      </w:sdtPr>
      <w:sdtEndPr/>
      <w:sdtContent>
        <w:p w14:paraId="054D146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1596CD" w14:textId="77777777" w:rsidR="00E57DAA" w:rsidRDefault="00E57DAA" w:rsidP="00C25422">
      <w:pPr>
        <w:pStyle w:val="92"/>
      </w:pPr>
    </w:p>
    <w:p w14:paraId="4C472451" w14:textId="77777777" w:rsidR="00E57DAA" w:rsidRDefault="00AC4185" w:rsidP="00C25422">
      <w:pPr>
        <w:pStyle w:val="90"/>
        <w:numPr>
          <w:ilvl w:val="0"/>
          <w:numId w:val="75"/>
        </w:numPr>
        <w:ind w:leftChars="0"/>
      </w:pPr>
      <w:r>
        <w:t>本期实际核销的应收</w:t>
      </w:r>
      <w:r>
        <w:rPr>
          <w:rFonts w:hint="eastAsia"/>
        </w:rPr>
        <w:t>股利</w:t>
      </w:r>
      <w:r>
        <w:t>情况</w:t>
      </w:r>
    </w:p>
    <w:sdt>
      <w:sdtPr>
        <w:alias w:val="是否适用：实际核销的情况[双击切换]"/>
        <w:tag w:val="_GBC_affd5e7be1cd4edaac5e7416308656eb"/>
        <w:id w:val="-2113657591"/>
        <w:placeholder>
          <w:docPart w:val="GBC22222222222222222222222222222"/>
        </w:placeholder>
      </w:sdtPr>
      <w:sdtEndPr/>
      <w:sdtContent>
        <w:p w14:paraId="60491C5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D19C3B" w14:textId="77777777" w:rsidR="00E57DAA" w:rsidRDefault="00E57DAA">
      <w:pPr>
        <w:rPr>
          <w:szCs w:val="21"/>
        </w:rPr>
      </w:pPr>
    </w:p>
    <w:p w14:paraId="57638715" w14:textId="77777777" w:rsidR="00E57DAA" w:rsidRDefault="00AC4185">
      <w:pPr>
        <w:rPr>
          <w:szCs w:val="21"/>
        </w:rPr>
      </w:pPr>
      <w:r>
        <w:rPr>
          <w:rFonts w:hint="eastAsia"/>
          <w:szCs w:val="21"/>
        </w:rPr>
        <w:t>其中重要的应收股利核销情况</w:t>
      </w:r>
    </w:p>
    <w:sdt>
      <w:sdtPr>
        <w:rPr>
          <w:rFonts w:hint="eastAsia"/>
          <w:szCs w:val="21"/>
        </w:rPr>
        <w:alias w:val="是否适用：重要的核销情况[双击切换]"/>
        <w:tag w:val="_GBC_a09dafd42ae74d3fae2308963d62171e"/>
        <w:id w:val="317007119"/>
        <w:placeholder>
          <w:docPart w:val="GBC22222222222222222222222222222"/>
        </w:placeholder>
      </w:sdtPr>
      <w:sdtEndPr/>
      <w:sdtContent>
        <w:p w14:paraId="2042100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16D25B3" w14:textId="77777777" w:rsidR="00E57DAA" w:rsidRDefault="00E57DAA">
      <w:pPr>
        <w:rPr>
          <w:szCs w:val="21"/>
        </w:rPr>
      </w:pPr>
    </w:p>
    <w:p w14:paraId="734BF900" w14:textId="77777777" w:rsidR="00E57DAA" w:rsidRDefault="00AC4185">
      <w:pPr>
        <w:snapToGrid w:val="0"/>
        <w:spacing w:line="240" w:lineRule="atLeast"/>
        <w:rPr>
          <w:szCs w:val="21"/>
        </w:rPr>
      </w:pPr>
      <w:r>
        <w:rPr>
          <w:rFonts w:hint="eastAsia"/>
          <w:szCs w:val="21"/>
        </w:rPr>
        <w:t>核销说明：</w:t>
      </w:r>
    </w:p>
    <w:sdt>
      <w:sdtPr>
        <w:rPr>
          <w:szCs w:val="21"/>
        </w:rPr>
        <w:alias w:val="是否适用：核销说明[双击切换]"/>
        <w:tag w:val="_GBC_fd7a575bc84240be8d95e73a6c70d53d"/>
        <w:id w:val="-158852421"/>
        <w:placeholder>
          <w:docPart w:val="GBC22222222222222222222222222222"/>
        </w:placeholder>
      </w:sdtPr>
      <w:sdtEndPr/>
      <w:sdtContent>
        <w:p w14:paraId="449C5EF3"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6"/>
    <w:p w14:paraId="3DF3641F" w14:textId="77777777" w:rsidR="00E57DAA" w:rsidRDefault="00E57DAA" w:rsidP="00C25422">
      <w:pPr>
        <w:pStyle w:val="92"/>
      </w:pPr>
    </w:p>
    <w:p w14:paraId="3D54DCEB" w14:textId="77777777" w:rsidR="00E57DAA" w:rsidRDefault="00AC4185">
      <w:pPr>
        <w:rPr>
          <w:szCs w:val="21"/>
        </w:rPr>
      </w:pPr>
      <w:r>
        <w:rPr>
          <w:rFonts w:hint="eastAsia"/>
          <w:szCs w:val="21"/>
        </w:rPr>
        <w:t>其他说明：</w:t>
      </w:r>
    </w:p>
    <w:p w14:paraId="7BABED2C" w14:textId="77777777" w:rsidR="00E57DAA" w:rsidRDefault="00EB41A1">
      <w:pPr>
        <w:rPr>
          <w:szCs w:val="21"/>
        </w:rPr>
      </w:pPr>
      <w:sdt>
        <w:sdtPr>
          <w:rPr>
            <w:szCs w:val="21"/>
          </w:rPr>
          <w:alias w:val="是否适用：应收股利的说明[双击切换]"/>
          <w:tag w:val="_GBC_22314d2cdf794d5f90af92f13665da22"/>
          <w:id w:val="-889803837"/>
          <w:placeholder>
            <w:docPart w:val="GBC22222222222222222222222222222"/>
          </w:placeholder>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p>
    <w:p w14:paraId="0DB6ADF8" w14:textId="77777777" w:rsidR="00E57DAA" w:rsidRDefault="00E57DAA">
      <w:pPr>
        <w:snapToGrid w:val="0"/>
        <w:spacing w:line="240" w:lineRule="atLeast"/>
        <w:ind w:rightChars="12" w:right="25"/>
        <w:rPr>
          <w:color w:val="FF0000"/>
          <w:szCs w:val="21"/>
        </w:rPr>
      </w:pPr>
    </w:p>
    <w:p w14:paraId="343CB5AC" w14:textId="77777777" w:rsidR="00E57DAA" w:rsidRDefault="00AC4185">
      <w:pPr>
        <w:pStyle w:val="4"/>
        <w:ind w:left="360" w:hanging="360"/>
      </w:pPr>
      <w:r>
        <w:rPr>
          <w:rFonts w:hint="eastAsia"/>
        </w:rPr>
        <w:t>其他应收款</w:t>
      </w:r>
    </w:p>
    <w:p w14:paraId="18125244" w14:textId="77777777" w:rsidR="00E57DAA" w:rsidRDefault="00AC4185" w:rsidP="00C25422">
      <w:pPr>
        <w:pStyle w:val="90"/>
        <w:numPr>
          <w:ilvl w:val="0"/>
          <w:numId w:val="75"/>
        </w:numPr>
        <w:ind w:leftChars="0"/>
      </w:pPr>
      <w:r>
        <w:rPr>
          <w:rFonts w:hint="eastAsia"/>
        </w:rPr>
        <w:t>按账龄披露</w:t>
      </w:r>
    </w:p>
    <w:sdt>
      <w:sdtPr>
        <w:rPr>
          <w:rFonts w:hint="eastAsia"/>
          <w:szCs w:val="21"/>
        </w:rPr>
        <w:alias w:val="是否适用：组合中，按账龄分析法计提坏账准备的其他应收账款[双击切换]"/>
        <w:tag w:val="_GBC_b46a4e720a884c40b402c5b30a4f4432"/>
        <w:id w:val="-1084915229"/>
      </w:sdtPr>
      <w:sdtEndPr/>
      <w:sdtContent>
        <w:p w14:paraId="11EAB8D2" w14:textId="77777777" w:rsidR="00E57DAA" w:rsidRDefault="00AC4185">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74C11A04" w14:textId="77777777" w:rsidR="00E57DAA" w:rsidRDefault="00AC4185">
      <w:pPr>
        <w:jc w:val="right"/>
        <w:rPr>
          <w:szCs w:val="21"/>
        </w:rPr>
      </w:pPr>
      <w:r>
        <w:rPr>
          <w:rFonts w:hint="eastAsia"/>
          <w:szCs w:val="21"/>
        </w:rPr>
        <w:lastRenderedPageBreak/>
        <w:t>单位：</w:t>
      </w:r>
      <w:sdt>
        <w:sdtPr>
          <w:rPr>
            <w:rFonts w:hint="eastAsia"/>
            <w:szCs w:val="21"/>
          </w:rPr>
          <w:alias w:val="单位：财务附注：单项金额不重大但按信用风险特征组合后该组合的风险较大的其他应收账款"/>
          <w:tag w:val="_GBC_6ca37718de0645da8a1de40ee1bb1597"/>
          <w:id w:val="888072617"/>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190617787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93"/>
        <w:gridCol w:w="2915"/>
        <w:gridCol w:w="2915"/>
      </w:tblGrid>
      <w:tr w:rsidR="00E57DAA" w14:paraId="73CC8431" w14:textId="77777777">
        <w:trPr>
          <w:cantSplit/>
        </w:trPr>
        <w:sdt>
          <w:sdtPr>
            <w:tag w:val="_PLD_3693c274d2774e098d4e6f0b6ce787c4"/>
            <w:id w:val="645484008"/>
          </w:sdtPr>
          <w:sdtEndPr/>
          <w:sdtContent>
            <w:tc>
              <w:tcPr>
                <w:tcW w:w="1696" w:type="pct"/>
                <w:tcBorders>
                  <w:top w:val="single" w:sz="4" w:space="0" w:color="auto"/>
                  <w:left w:val="single" w:sz="4" w:space="0" w:color="auto"/>
                  <w:bottom w:val="single" w:sz="4" w:space="0" w:color="auto"/>
                  <w:right w:val="single" w:sz="4" w:space="0" w:color="auto"/>
                </w:tcBorders>
                <w:vAlign w:val="center"/>
              </w:tcPr>
              <w:p w14:paraId="2F100177" w14:textId="77777777" w:rsidR="00E57DAA" w:rsidRDefault="00AC4185">
                <w:pPr>
                  <w:jc w:val="center"/>
                  <w:rPr>
                    <w:szCs w:val="21"/>
                  </w:rPr>
                </w:pPr>
                <w:r>
                  <w:rPr>
                    <w:rFonts w:hint="eastAsia"/>
                    <w:szCs w:val="21"/>
                  </w:rPr>
                  <w:t>账龄</w:t>
                </w:r>
              </w:p>
            </w:tc>
          </w:sdtContent>
        </w:sdt>
        <w:sdt>
          <w:sdtPr>
            <w:tag w:val="_PLD_592d3cc76c64401da21e664b374ad045"/>
            <w:id w:val="195436344"/>
          </w:sdtPr>
          <w:sdtEndPr/>
          <w:sdtContent>
            <w:tc>
              <w:tcPr>
                <w:tcW w:w="1652" w:type="pct"/>
                <w:tcBorders>
                  <w:top w:val="single" w:sz="4" w:space="0" w:color="auto"/>
                  <w:left w:val="single" w:sz="4" w:space="0" w:color="auto"/>
                  <w:bottom w:val="single" w:sz="4" w:space="0" w:color="auto"/>
                  <w:right w:val="single" w:sz="4" w:space="0" w:color="auto"/>
                </w:tcBorders>
                <w:vAlign w:val="center"/>
              </w:tcPr>
              <w:p w14:paraId="14150F5F" w14:textId="77777777" w:rsidR="00E57DAA" w:rsidRDefault="00AC4185">
                <w:pPr>
                  <w:jc w:val="center"/>
                  <w:rPr>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rPr>
              <w:tag w:val="_PLD_9bcf94b318874d63924c35d852b5b3c8"/>
              <w:id w:val="-482385493"/>
            </w:sdtPr>
            <w:sdtEndPr/>
            <w:sdtContent>
              <w:p w14:paraId="06FB5A86" w14:textId="77777777" w:rsidR="00E57DAA" w:rsidRDefault="00AC4185">
                <w:pPr>
                  <w:jc w:val="center"/>
                </w:pPr>
                <w:r>
                  <w:rPr>
                    <w:rFonts w:hint="eastAsia"/>
                  </w:rPr>
                  <w:t>期初账面余额</w:t>
                </w:r>
              </w:p>
            </w:sdtContent>
          </w:sdt>
        </w:tc>
      </w:tr>
      <w:tr w:rsidR="00E57DAA" w14:paraId="5C436BA1" w14:textId="77777777">
        <w:trPr>
          <w:cantSplit/>
        </w:trPr>
        <w:sdt>
          <w:sdtPr>
            <w:tag w:val="_PLD_6947d7a3e56e4c59be970f76736c65e3"/>
            <w:id w:val="-335156824"/>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07F850E1" w14:textId="77777777" w:rsidR="00E57DAA" w:rsidRDefault="00AC4185">
                <w:pPr>
                  <w:rPr>
                    <w:color w:val="FF0000"/>
                    <w:szCs w:val="21"/>
                  </w:rPr>
                </w:pPr>
                <w:r>
                  <w:rPr>
                    <w:rFonts w:hint="eastAsia"/>
                    <w:szCs w:val="21"/>
                  </w:rPr>
                  <w:t>1年以内</w:t>
                </w:r>
              </w:p>
            </w:tc>
          </w:sdtContent>
        </w:sdt>
      </w:tr>
      <w:tr w:rsidR="00E57DAA" w14:paraId="009ADCCE" w14:textId="77777777">
        <w:trPr>
          <w:cantSplit/>
        </w:trPr>
        <w:sdt>
          <w:sdtPr>
            <w:tag w:val="_PLD_b7cf536363dd4da2bae7017806fba883"/>
            <w:id w:val="1089816497"/>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2184D98E" w14:textId="77777777" w:rsidR="00E57DAA" w:rsidRDefault="00AC4185">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1395036856"/>
        </w:sdtPr>
        <w:sdtEndPr/>
        <w:sdtContent>
          <w:tr w:rsidR="00E57DAA" w14:paraId="5AF56CB4" w14:textId="77777777">
            <w:trPr>
              <w:cantSplit/>
            </w:trPr>
            <w:tc>
              <w:tcPr>
                <w:tcW w:w="1696" w:type="pct"/>
                <w:tcBorders>
                  <w:top w:val="single" w:sz="4" w:space="0" w:color="auto"/>
                  <w:left w:val="single" w:sz="4" w:space="0" w:color="auto"/>
                  <w:bottom w:val="single" w:sz="4" w:space="0" w:color="auto"/>
                  <w:right w:val="single" w:sz="4" w:space="0" w:color="auto"/>
                </w:tcBorders>
              </w:tcPr>
              <w:p w14:paraId="50157180" w14:textId="77777777" w:rsidR="00E57DAA" w:rsidRDefault="00AC4185">
                <w:pPr>
                  <w:rPr>
                    <w:szCs w:val="21"/>
                  </w:rPr>
                </w:pPr>
                <w:r>
                  <w:rPr>
                    <w:rFonts w:hint="eastAsia"/>
                    <w:szCs w:val="21"/>
                  </w:rPr>
                  <w:t>1年以内</w:t>
                </w:r>
              </w:p>
            </w:tc>
            <w:tc>
              <w:tcPr>
                <w:tcW w:w="1652" w:type="pct"/>
                <w:tcBorders>
                  <w:top w:val="single" w:sz="4" w:space="0" w:color="auto"/>
                  <w:left w:val="single" w:sz="4" w:space="0" w:color="auto"/>
                  <w:bottom w:val="single" w:sz="4" w:space="0" w:color="auto"/>
                  <w:right w:val="single" w:sz="4" w:space="0" w:color="auto"/>
                </w:tcBorders>
              </w:tcPr>
              <w:p w14:paraId="61B00AD9" w14:textId="77777777" w:rsidR="00E57DAA" w:rsidRDefault="00AC4185">
                <w:pPr>
                  <w:jc w:val="right"/>
                  <w:rPr>
                    <w:szCs w:val="21"/>
                  </w:rPr>
                </w:pPr>
                <w:r>
                  <w:t>672,330,407.74</w:t>
                </w:r>
              </w:p>
            </w:tc>
            <w:tc>
              <w:tcPr>
                <w:tcW w:w="1652" w:type="pct"/>
                <w:tcBorders>
                  <w:top w:val="single" w:sz="4" w:space="0" w:color="auto"/>
                  <w:left w:val="single" w:sz="4" w:space="0" w:color="auto"/>
                  <w:bottom w:val="single" w:sz="4" w:space="0" w:color="auto"/>
                  <w:right w:val="single" w:sz="4" w:space="0" w:color="auto"/>
                </w:tcBorders>
              </w:tcPr>
              <w:p w14:paraId="399D19D9" w14:textId="77777777" w:rsidR="00E57DAA" w:rsidRDefault="00AC4185">
                <w:pPr>
                  <w:jc w:val="right"/>
                  <w:rPr>
                    <w:szCs w:val="21"/>
                  </w:rPr>
                </w:pPr>
                <w:r>
                  <w:t>682,652,760.76</w:t>
                </w:r>
              </w:p>
            </w:tc>
          </w:tr>
        </w:sdtContent>
      </w:sdt>
      <w:tr w:rsidR="00E57DAA" w14:paraId="2753B4CE" w14:textId="77777777">
        <w:trPr>
          <w:cantSplit/>
        </w:trPr>
        <w:sdt>
          <w:sdtPr>
            <w:tag w:val="_PLD_f0ea7052fc724634bba2abea66f07723"/>
            <w:id w:val="-1312177485"/>
          </w:sdtPr>
          <w:sdtEndPr/>
          <w:sdtContent>
            <w:tc>
              <w:tcPr>
                <w:tcW w:w="1696" w:type="pct"/>
                <w:tcBorders>
                  <w:top w:val="single" w:sz="4" w:space="0" w:color="auto"/>
                  <w:left w:val="single" w:sz="4" w:space="0" w:color="auto"/>
                  <w:bottom w:val="single" w:sz="4" w:space="0" w:color="auto"/>
                  <w:right w:val="single" w:sz="4" w:space="0" w:color="auto"/>
                </w:tcBorders>
              </w:tcPr>
              <w:p w14:paraId="14580B30" w14:textId="77777777" w:rsidR="00E57DAA" w:rsidRDefault="00AC4185">
                <w:pPr>
                  <w:rPr>
                    <w:szCs w:val="21"/>
                  </w:rPr>
                </w:pPr>
                <w:r>
                  <w:rPr>
                    <w:rFonts w:hint="eastAsia"/>
                    <w:szCs w:val="21"/>
                  </w:rPr>
                  <w:t>1年以内小计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10B1E318" w14:textId="77777777" w:rsidR="00E57DAA" w:rsidRDefault="00AC4185">
            <w:pPr>
              <w:jc w:val="right"/>
              <w:rPr>
                <w:szCs w:val="21"/>
              </w:rPr>
            </w:pPr>
            <w:r>
              <w:rPr>
                <w:rFonts w:hint="eastAsia"/>
                <w:szCs w:val="21"/>
              </w:rPr>
              <w:t>672,330,407.74</w:t>
            </w:r>
          </w:p>
        </w:tc>
        <w:tc>
          <w:tcPr>
            <w:tcW w:w="1652" w:type="pct"/>
            <w:tcBorders>
              <w:top w:val="single" w:sz="4" w:space="0" w:color="auto"/>
              <w:left w:val="single" w:sz="4" w:space="0" w:color="auto"/>
              <w:bottom w:val="single" w:sz="4" w:space="0" w:color="auto"/>
              <w:right w:val="single" w:sz="4" w:space="0" w:color="auto"/>
            </w:tcBorders>
            <w:vAlign w:val="center"/>
          </w:tcPr>
          <w:p w14:paraId="1361BB1B" w14:textId="77777777" w:rsidR="00E57DAA" w:rsidRDefault="00AC4185">
            <w:pPr>
              <w:jc w:val="right"/>
              <w:rPr>
                <w:szCs w:val="21"/>
              </w:rPr>
            </w:pPr>
            <w:r>
              <w:rPr>
                <w:rFonts w:hint="eastAsia"/>
              </w:rPr>
              <w:t>682,652,760.76</w:t>
            </w:r>
          </w:p>
        </w:tc>
      </w:tr>
      <w:tr w:rsidR="00E57DAA" w14:paraId="6D0E2878" w14:textId="77777777">
        <w:trPr>
          <w:cantSplit/>
        </w:trPr>
        <w:sdt>
          <w:sdtPr>
            <w:tag w:val="_PLD_98586cfb9fec441587daa5f6317031cb"/>
            <w:id w:val="-1460806150"/>
          </w:sdtPr>
          <w:sdtEndPr/>
          <w:sdtContent>
            <w:tc>
              <w:tcPr>
                <w:tcW w:w="1696" w:type="pct"/>
                <w:tcBorders>
                  <w:top w:val="single" w:sz="4" w:space="0" w:color="auto"/>
                  <w:left w:val="single" w:sz="4" w:space="0" w:color="auto"/>
                  <w:bottom w:val="single" w:sz="4" w:space="0" w:color="auto"/>
                  <w:right w:val="single" w:sz="4" w:space="0" w:color="auto"/>
                </w:tcBorders>
              </w:tcPr>
              <w:p w14:paraId="514C0CF0" w14:textId="77777777" w:rsidR="00E57DAA" w:rsidRDefault="00AC4185">
                <w:pPr>
                  <w:rPr>
                    <w:szCs w:val="21"/>
                  </w:rPr>
                </w:pPr>
                <w:r>
                  <w:rPr>
                    <w:rFonts w:hint="eastAsia"/>
                    <w:szCs w:val="21"/>
                  </w:rPr>
                  <w:t>1至2年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6D9945AD" w14:textId="77777777" w:rsidR="00E57DAA" w:rsidRDefault="00AC4185">
            <w:pPr>
              <w:jc w:val="right"/>
              <w:rPr>
                <w:szCs w:val="21"/>
              </w:rPr>
            </w:pPr>
            <w:r>
              <w:rPr>
                <w:rFonts w:hint="eastAsia"/>
                <w:szCs w:val="21"/>
              </w:rPr>
              <w:t>154,938,068.04</w:t>
            </w:r>
          </w:p>
        </w:tc>
        <w:tc>
          <w:tcPr>
            <w:tcW w:w="1652" w:type="pct"/>
            <w:tcBorders>
              <w:top w:val="single" w:sz="4" w:space="0" w:color="auto"/>
              <w:left w:val="single" w:sz="4" w:space="0" w:color="auto"/>
              <w:bottom w:val="single" w:sz="4" w:space="0" w:color="auto"/>
              <w:right w:val="single" w:sz="4" w:space="0" w:color="auto"/>
            </w:tcBorders>
            <w:vAlign w:val="center"/>
          </w:tcPr>
          <w:p w14:paraId="2C12ECAB" w14:textId="77777777" w:rsidR="00E57DAA" w:rsidRDefault="00AC4185">
            <w:pPr>
              <w:jc w:val="right"/>
              <w:rPr>
                <w:szCs w:val="21"/>
              </w:rPr>
            </w:pPr>
            <w:r>
              <w:rPr>
                <w:rFonts w:hint="eastAsia"/>
              </w:rPr>
              <w:t>119,701,570.02</w:t>
            </w:r>
          </w:p>
        </w:tc>
      </w:tr>
      <w:tr w:rsidR="00E57DAA" w14:paraId="5DD9BC0B" w14:textId="77777777">
        <w:trPr>
          <w:cantSplit/>
        </w:trPr>
        <w:sdt>
          <w:sdtPr>
            <w:tag w:val="_PLD_c7dfbea412634188b20a56b875d5c1a0"/>
            <w:id w:val="793183136"/>
          </w:sdtPr>
          <w:sdtEndPr/>
          <w:sdtContent>
            <w:tc>
              <w:tcPr>
                <w:tcW w:w="1696" w:type="pct"/>
                <w:tcBorders>
                  <w:top w:val="single" w:sz="4" w:space="0" w:color="auto"/>
                  <w:left w:val="single" w:sz="4" w:space="0" w:color="auto"/>
                  <w:bottom w:val="single" w:sz="4" w:space="0" w:color="auto"/>
                  <w:right w:val="single" w:sz="4" w:space="0" w:color="auto"/>
                </w:tcBorders>
              </w:tcPr>
              <w:p w14:paraId="53338751" w14:textId="77777777" w:rsidR="00E57DAA" w:rsidRDefault="00AC4185">
                <w:pPr>
                  <w:rPr>
                    <w:szCs w:val="21"/>
                  </w:rPr>
                </w:pPr>
                <w:r>
                  <w:rPr>
                    <w:rFonts w:hint="eastAsia"/>
                    <w:szCs w:val="21"/>
                  </w:rPr>
                  <w:t>2至3年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7ADB14D9" w14:textId="77777777" w:rsidR="00E57DAA" w:rsidRDefault="00AC4185">
            <w:pPr>
              <w:jc w:val="right"/>
              <w:rPr>
                <w:szCs w:val="21"/>
              </w:rPr>
            </w:pPr>
            <w:r>
              <w:rPr>
                <w:rFonts w:hint="eastAsia"/>
                <w:szCs w:val="21"/>
              </w:rPr>
              <w:t>73,273,786.13</w:t>
            </w:r>
          </w:p>
        </w:tc>
        <w:tc>
          <w:tcPr>
            <w:tcW w:w="1652" w:type="pct"/>
            <w:tcBorders>
              <w:top w:val="single" w:sz="4" w:space="0" w:color="auto"/>
              <w:left w:val="single" w:sz="4" w:space="0" w:color="auto"/>
              <w:bottom w:val="single" w:sz="4" w:space="0" w:color="auto"/>
              <w:right w:val="single" w:sz="4" w:space="0" w:color="auto"/>
            </w:tcBorders>
            <w:vAlign w:val="center"/>
          </w:tcPr>
          <w:p w14:paraId="41BBD4A6" w14:textId="77777777" w:rsidR="00E57DAA" w:rsidRDefault="00AC4185">
            <w:pPr>
              <w:jc w:val="right"/>
              <w:rPr>
                <w:szCs w:val="21"/>
              </w:rPr>
            </w:pPr>
            <w:r>
              <w:rPr>
                <w:rFonts w:hint="eastAsia"/>
              </w:rPr>
              <w:t>127,284,927.81</w:t>
            </w:r>
          </w:p>
        </w:tc>
      </w:tr>
      <w:tr w:rsidR="00E57DAA" w14:paraId="7021DF92" w14:textId="77777777">
        <w:trPr>
          <w:cantSplit/>
        </w:trPr>
        <w:sdt>
          <w:sdtPr>
            <w:tag w:val="_PLD_1219b34745ba43bd8890e188ec4fd1f5"/>
            <w:id w:val="1300487966"/>
          </w:sdtPr>
          <w:sdtEndPr/>
          <w:sdtContent>
            <w:tc>
              <w:tcPr>
                <w:tcW w:w="1696" w:type="pct"/>
                <w:tcBorders>
                  <w:top w:val="single" w:sz="4" w:space="0" w:color="auto"/>
                  <w:left w:val="single" w:sz="4" w:space="0" w:color="auto"/>
                  <w:bottom w:val="single" w:sz="4" w:space="0" w:color="auto"/>
                  <w:right w:val="single" w:sz="4" w:space="0" w:color="auto"/>
                </w:tcBorders>
              </w:tcPr>
              <w:p w14:paraId="050FE6BD" w14:textId="77777777" w:rsidR="00E57DAA" w:rsidRDefault="00AC4185">
                <w:pPr>
                  <w:rPr>
                    <w:szCs w:val="21"/>
                  </w:rPr>
                </w:pPr>
                <w:r>
                  <w:rPr>
                    <w:rFonts w:hint="eastAsia"/>
                    <w:szCs w:val="21"/>
                  </w:rPr>
                  <w:t>3至4年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4E1393FC" w14:textId="77777777" w:rsidR="00E57DAA" w:rsidRDefault="00AC4185">
            <w:pPr>
              <w:jc w:val="right"/>
              <w:rPr>
                <w:szCs w:val="21"/>
              </w:rPr>
            </w:pPr>
            <w:r>
              <w:rPr>
                <w:rFonts w:hint="eastAsia"/>
                <w:szCs w:val="21"/>
              </w:rPr>
              <w:t>101,201,283.17</w:t>
            </w:r>
          </w:p>
        </w:tc>
        <w:tc>
          <w:tcPr>
            <w:tcW w:w="1652" w:type="pct"/>
            <w:tcBorders>
              <w:top w:val="single" w:sz="4" w:space="0" w:color="auto"/>
              <w:left w:val="single" w:sz="4" w:space="0" w:color="auto"/>
              <w:bottom w:val="single" w:sz="4" w:space="0" w:color="auto"/>
              <w:right w:val="single" w:sz="4" w:space="0" w:color="auto"/>
            </w:tcBorders>
            <w:vAlign w:val="center"/>
          </w:tcPr>
          <w:p w14:paraId="602114A5" w14:textId="77777777" w:rsidR="00E57DAA" w:rsidRDefault="00AC4185">
            <w:pPr>
              <w:jc w:val="right"/>
              <w:rPr>
                <w:szCs w:val="21"/>
              </w:rPr>
            </w:pPr>
            <w:r>
              <w:rPr>
                <w:rFonts w:hint="eastAsia"/>
              </w:rPr>
              <w:t>43,416,665.52</w:t>
            </w:r>
          </w:p>
        </w:tc>
      </w:tr>
      <w:tr w:rsidR="00E57DAA" w14:paraId="74AB4322" w14:textId="77777777">
        <w:trPr>
          <w:cantSplit/>
        </w:trPr>
        <w:sdt>
          <w:sdtPr>
            <w:tag w:val="_PLD_139aa65599744a2ba97edb44895346cd"/>
            <w:id w:val="-113898885"/>
          </w:sdtPr>
          <w:sdtEndPr/>
          <w:sdtContent>
            <w:tc>
              <w:tcPr>
                <w:tcW w:w="1696" w:type="pct"/>
                <w:tcBorders>
                  <w:top w:val="single" w:sz="4" w:space="0" w:color="auto"/>
                  <w:left w:val="single" w:sz="4" w:space="0" w:color="auto"/>
                  <w:bottom w:val="single" w:sz="4" w:space="0" w:color="auto"/>
                  <w:right w:val="single" w:sz="4" w:space="0" w:color="auto"/>
                </w:tcBorders>
              </w:tcPr>
              <w:p w14:paraId="5E8AD7E0" w14:textId="77777777" w:rsidR="00E57DAA" w:rsidRDefault="00AC4185">
                <w:pPr>
                  <w:rPr>
                    <w:szCs w:val="21"/>
                  </w:rPr>
                </w:pPr>
                <w:r>
                  <w:rPr>
                    <w:rFonts w:hint="eastAsia"/>
                    <w:szCs w:val="21"/>
                  </w:rPr>
                  <w:t>4至5年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0F88A5B0" w14:textId="77777777" w:rsidR="00E57DAA" w:rsidRDefault="00AC4185">
            <w:pPr>
              <w:jc w:val="right"/>
              <w:rPr>
                <w:szCs w:val="21"/>
              </w:rPr>
            </w:pPr>
            <w:r>
              <w:rPr>
                <w:rFonts w:hint="eastAsia"/>
                <w:szCs w:val="21"/>
              </w:rPr>
              <w:t>24,763,808.63</w:t>
            </w:r>
          </w:p>
        </w:tc>
        <w:tc>
          <w:tcPr>
            <w:tcW w:w="1652" w:type="pct"/>
            <w:tcBorders>
              <w:top w:val="single" w:sz="4" w:space="0" w:color="auto"/>
              <w:left w:val="single" w:sz="4" w:space="0" w:color="auto"/>
              <w:bottom w:val="single" w:sz="4" w:space="0" w:color="auto"/>
              <w:right w:val="single" w:sz="4" w:space="0" w:color="auto"/>
            </w:tcBorders>
            <w:vAlign w:val="center"/>
          </w:tcPr>
          <w:p w14:paraId="08490757" w14:textId="77777777" w:rsidR="00E57DAA" w:rsidRDefault="00AC4185">
            <w:pPr>
              <w:jc w:val="right"/>
              <w:rPr>
                <w:szCs w:val="21"/>
              </w:rPr>
            </w:pPr>
            <w:r>
              <w:rPr>
                <w:rFonts w:hint="eastAsia"/>
              </w:rPr>
              <w:t>48,782,554.90</w:t>
            </w:r>
          </w:p>
        </w:tc>
      </w:tr>
      <w:tr w:rsidR="00E57DAA" w14:paraId="19D3147E" w14:textId="77777777">
        <w:trPr>
          <w:cantSplit/>
        </w:trPr>
        <w:sdt>
          <w:sdtPr>
            <w:tag w:val="_PLD_7ea221e85abe4d948804f7b8cb9abd12"/>
            <w:id w:val="1336807944"/>
          </w:sdtPr>
          <w:sdtEndPr/>
          <w:sdtContent>
            <w:tc>
              <w:tcPr>
                <w:tcW w:w="1696" w:type="pct"/>
                <w:tcBorders>
                  <w:top w:val="single" w:sz="4" w:space="0" w:color="auto"/>
                  <w:left w:val="single" w:sz="4" w:space="0" w:color="auto"/>
                  <w:bottom w:val="single" w:sz="4" w:space="0" w:color="auto"/>
                  <w:right w:val="single" w:sz="4" w:space="0" w:color="auto"/>
                </w:tcBorders>
              </w:tcPr>
              <w:p w14:paraId="693B67D6" w14:textId="77777777" w:rsidR="00E57DAA" w:rsidRDefault="00AC4185">
                <w:pPr>
                  <w:rPr>
                    <w:szCs w:val="21"/>
                  </w:rPr>
                </w:pPr>
                <w:r>
                  <w:rPr>
                    <w:rFonts w:hint="eastAsia"/>
                    <w:szCs w:val="21"/>
                  </w:rPr>
                  <w:t>5年以上</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270B5995" w14:textId="77777777" w:rsidR="00E57DAA" w:rsidRDefault="00AC4185">
            <w:pPr>
              <w:jc w:val="right"/>
              <w:rPr>
                <w:szCs w:val="21"/>
              </w:rPr>
            </w:pPr>
            <w:r>
              <w:rPr>
                <w:rFonts w:hint="eastAsia"/>
                <w:szCs w:val="21"/>
              </w:rPr>
              <w:t>152,236,321.45</w:t>
            </w:r>
          </w:p>
        </w:tc>
        <w:tc>
          <w:tcPr>
            <w:tcW w:w="1652" w:type="pct"/>
            <w:tcBorders>
              <w:top w:val="single" w:sz="4" w:space="0" w:color="auto"/>
              <w:left w:val="single" w:sz="4" w:space="0" w:color="auto"/>
              <w:bottom w:val="single" w:sz="4" w:space="0" w:color="auto"/>
              <w:right w:val="single" w:sz="4" w:space="0" w:color="auto"/>
            </w:tcBorders>
            <w:vAlign w:val="center"/>
          </w:tcPr>
          <w:p w14:paraId="79785EA0" w14:textId="77777777" w:rsidR="00E57DAA" w:rsidRDefault="00AC4185">
            <w:pPr>
              <w:jc w:val="right"/>
              <w:rPr>
                <w:szCs w:val="21"/>
              </w:rPr>
            </w:pPr>
            <w:r>
              <w:rPr>
                <w:rFonts w:hint="eastAsia"/>
              </w:rPr>
              <w:t>127,570,631.58</w:t>
            </w:r>
          </w:p>
        </w:tc>
      </w:tr>
      <w:tr w:rsidR="00E57DAA" w14:paraId="283AE32E" w14:textId="77777777">
        <w:trPr>
          <w:cantSplit/>
        </w:trPr>
        <w:sdt>
          <w:sdtPr>
            <w:tag w:val="_PLD_86909243a0c54a05a7001e5799415551"/>
            <w:id w:val="-116833165"/>
          </w:sdtPr>
          <w:sdtEndPr/>
          <w:sdtContent>
            <w:tc>
              <w:tcPr>
                <w:tcW w:w="1696" w:type="pct"/>
                <w:tcBorders>
                  <w:top w:val="single" w:sz="4" w:space="0" w:color="auto"/>
                  <w:left w:val="single" w:sz="4" w:space="0" w:color="auto"/>
                  <w:bottom w:val="single" w:sz="4" w:space="0" w:color="auto"/>
                  <w:right w:val="single" w:sz="4" w:space="0" w:color="auto"/>
                </w:tcBorders>
                <w:vAlign w:val="center"/>
              </w:tcPr>
              <w:p w14:paraId="51C5DCB2" w14:textId="77777777" w:rsidR="00E57DAA" w:rsidRDefault="00AC4185">
                <w:pPr>
                  <w:jc w:val="center"/>
                  <w:rPr>
                    <w:szCs w:val="21"/>
                  </w:rPr>
                </w:pPr>
                <w:r>
                  <w:rPr>
                    <w:rFonts w:hint="eastAsia"/>
                    <w:szCs w:val="21"/>
                  </w:rPr>
                  <w:t>合计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2EB077F9" w14:textId="77777777" w:rsidR="00E57DAA" w:rsidRDefault="00AC4185">
            <w:pPr>
              <w:jc w:val="right"/>
              <w:rPr>
                <w:szCs w:val="21"/>
              </w:rPr>
            </w:pPr>
            <w:r>
              <w:rPr>
                <w:rFonts w:hint="eastAsia"/>
                <w:szCs w:val="21"/>
              </w:rPr>
              <w:t>1,178,743,675.16</w:t>
            </w:r>
          </w:p>
        </w:tc>
        <w:tc>
          <w:tcPr>
            <w:tcW w:w="1652" w:type="pct"/>
            <w:tcBorders>
              <w:top w:val="single" w:sz="4" w:space="0" w:color="auto"/>
              <w:left w:val="single" w:sz="4" w:space="0" w:color="auto"/>
              <w:bottom w:val="single" w:sz="4" w:space="0" w:color="auto"/>
              <w:right w:val="single" w:sz="4" w:space="0" w:color="auto"/>
            </w:tcBorders>
            <w:vAlign w:val="center"/>
          </w:tcPr>
          <w:p w14:paraId="42F76718" w14:textId="77777777" w:rsidR="00E57DAA" w:rsidRDefault="00AC4185">
            <w:pPr>
              <w:jc w:val="right"/>
              <w:rPr>
                <w:szCs w:val="21"/>
              </w:rPr>
            </w:pPr>
            <w:r>
              <w:rPr>
                <w:rFonts w:hint="eastAsia"/>
              </w:rPr>
              <w:t>1,149,409,110.59</w:t>
            </w:r>
          </w:p>
        </w:tc>
      </w:tr>
    </w:tbl>
    <w:p w14:paraId="762A1EEB" w14:textId="77777777" w:rsidR="00E57DAA" w:rsidRDefault="00E57DAA" w:rsidP="00C25422">
      <w:pPr>
        <w:pStyle w:val="92"/>
      </w:pPr>
    </w:p>
    <w:p w14:paraId="48F11AF3" w14:textId="77777777" w:rsidR="00E57DAA" w:rsidRDefault="00E57DAA" w:rsidP="00C25422">
      <w:pPr>
        <w:pStyle w:val="92"/>
      </w:pPr>
    </w:p>
    <w:p w14:paraId="64A3C699" w14:textId="77777777" w:rsidR="00E57DAA" w:rsidRDefault="00AC4185" w:rsidP="00C25422">
      <w:pPr>
        <w:pStyle w:val="90"/>
        <w:numPr>
          <w:ilvl w:val="0"/>
          <w:numId w:val="75"/>
        </w:numPr>
        <w:ind w:leftChars="0"/>
      </w:pPr>
      <w:r>
        <w:rPr>
          <w:rFonts w:hint="eastAsia"/>
        </w:rPr>
        <w:t>按款项性质分类情况</w:t>
      </w:r>
    </w:p>
    <w:p w14:paraId="7A06D21E" w14:textId="77777777" w:rsidR="00E57DAA" w:rsidRDefault="00EB41A1" w:rsidP="00C25422">
      <w:pPr>
        <w:pStyle w:val="92"/>
      </w:pPr>
      <w:sdt>
        <w:sdtPr>
          <w:alias w:val="是否适用：其他应收款按款项性质分类情况[双击切换]"/>
          <w:tag w:val="_GBC_f8f8208812d5412eb0a2fdddf1a9d330"/>
          <w:id w:val="1042250393"/>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72B7B05F" w14:textId="77777777" w:rsidR="00E57DAA" w:rsidRDefault="00AC4185">
      <w:pPr>
        <w:ind w:firstLineChars="3100" w:firstLine="6510"/>
      </w:pPr>
      <w:r>
        <w:rPr>
          <w:rFonts w:hint="eastAsia"/>
        </w:rPr>
        <w:t>单位：</w:t>
      </w:r>
      <w:sdt>
        <w:sdtPr>
          <w:rPr>
            <w:rFonts w:hint="eastAsia"/>
          </w:rPr>
          <w:alias w:val="单位：财务附注：其他应收款按款项性质分类情况"/>
          <w:tag w:val="_GBC_6e3e3b79e1a6467e8f5cdcabc0a95e4a"/>
          <w:id w:val="-19579415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3598525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2906"/>
        <w:gridCol w:w="2917"/>
      </w:tblGrid>
      <w:tr w:rsidR="00E57DAA" w14:paraId="40C60D40" w14:textId="77777777">
        <w:sdt>
          <w:sdtPr>
            <w:tag w:val="_PLD_e3e4ae09c73a4371a49803278d537455"/>
            <w:id w:val="627909385"/>
          </w:sdtPr>
          <w:sdtEndPr/>
          <w:sdtContent>
            <w:tc>
              <w:tcPr>
                <w:tcW w:w="1700" w:type="pct"/>
                <w:shd w:val="clear" w:color="auto" w:fill="auto"/>
                <w:vAlign w:val="center"/>
              </w:tcPr>
              <w:p w14:paraId="0BF626E0" w14:textId="77777777" w:rsidR="00E57DAA" w:rsidRDefault="00AC4185">
                <w:pPr>
                  <w:jc w:val="center"/>
                </w:pPr>
                <w:r>
                  <w:rPr>
                    <w:rFonts w:hint="eastAsia"/>
                  </w:rPr>
                  <w:t>款项性质</w:t>
                </w:r>
              </w:p>
            </w:tc>
          </w:sdtContent>
        </w:sdt>
        <w:sdt>
          <w:sdtPr>
            <w:tag w:val="_PLD_166416173edb4a39b34c47c78d0dc766"/>
            <w:id w:val="1760014170"/>
          </w:sdtPr>
          <w:sdtEndPr/>
          <w:sdtContent>
            <w:tc>
              <w:tcPr>
                <w:tcW w:w="1647" w:type="pct"/>
                <w:shd w:val="clear" w:color="auto" w:fill="auto"/>
                <w:vAlign w:val="center"/>
              </w:tcPr>
              <w:p w14:paraId="7D3E0450" w14:textId="77777777" w:rsidR="00E57DAA" w:rsidRDefault="00AC4185">
                <w:pPr>
                  <w:jc w:val="center"/>
                </w:pPr>
                <w:r>
                  <w:rPr>
                    <w:rFonts w:hint="eastAsia"/>
                  </w:rPr>
                  <w:t>期末账面余额</w:t>
                </w:r>
              </w:p>
            </w:tc>
          </w:sdtContent>
        </w:sdt>
        <w:sdt>
          <w:sdtPr>
            <w:tag w:val="_PLD_a78baace40634aeaaff4786c955e1f60"/>
            <w:id w:val="-2121755488"/>
          </w:sdtPr>
          <w:sdtEndPr/>
          <w:sdtContent>
            <w:tc>
              <w:tcPr>
                <w:tcW w:w="1653" w:type="pct"/>
                <w:shd w:val="clear" w:color="auto" w:fill="auto"/>
                <w:vAlign w:val="center"/>
              </w:tcPr>
              <w:p w14:paraId="4F385FF5" w14:textId="77777777" w:rsidR="00E57DAA" w:rsidRDefault="00AC4185">
                <w:pPr>
                  <w:jc w:val="center"/>
                </w:pPr>
                <w:r>
                  <w:rPr>
                    <w:rFonts w:hint="eastAsia"/>
                  </w:rPr>
                  <w:t>期初账面余额</w:t>
                </w:r>
              </w:p>
            </w:tc>
          </w:sdtContent>
        </w:sdt>
      </w:tr>
      <w:tr w:rsidR="00E57DAA" w14:paraId="13BC6193" w14:textId="77777777">
        <w:tc>
          <w:tcPr>
            <w:tcW w:w="1700" w:type="pct"/>
            <w:shd w:val="clear" w:color="auto" w:fill="auto"/>
          </w:tcPr>
          <w:p w14:paraId="08F72286" w14:textId="77777777" w:rsidR="00E57DAA" w:rsidRDefault="00AC4185" w:rsidP="00C25422">
            <w:pPr>
              <w:pStyle w:val="92"/>
            </w:pPr>
            <w:r>
              <w:t>履约、投标保证金</w:t>
            </w:r>
          </w:p>
        </w:tc>
        <w:tc>
          <w:tcPr>
            <w:tcW w:w="1647" w:type="pct"/>
            <w:shd w:val="clear" w:color="auto" w:fill="auto"/>
            <w:vAlign w:val="center"/>
          </w:tcPr>
          <w:p w14:paraId="0BF43318" w14:textId="77777777" w:rsidR="00E57DAA" w:rsidRDefault="00AC4185">
            <w:pPr>
              <w:jc w:val="right"/>
            </w:pPr>
            <w:r>
              <w:t>611,876,955.47</w:t>
            </w:r>
          </w:p>
        </w:tc>
        <w:tc>
          <w:tcPr>
            <w:tcW w:w="1653" w:type="pct"/>
            <w:shd w:val="clear" w:color="auto" w:fill="auto"/>
          </w:tcPr>
          <w:p w14:paraId="3258CCFA" w14:textId="77777777" w:rsidR="00E57DAA" w:rsidRDefault="00AC4185">
            <w:pPr>
              <w:jc w:val="right"/>
            </w:pPr>
            <w:r>
              <w:t>527,298,857.30</w:t>
            </w:r>
          </w:p>
        </w:tc>
      </w:tr>
      <w:tr w:rsidR="00E57DAA" w14:paraId="7984810E" w14:textId="77777777">
        <w:tc>
          <w:tcPr>
            <w:tcW w:w="1700" w:type="pct"/>
            <w:shd w:val="clear" w:color="auto" w:fill="auto"/>
          </w:tcPr>
          <w:p w14:paraId="3CF7F435" w14:textId="77777777" w:rsidR="00E57DAA" w:rsidRDefault="00AC4185" w:rsidP="00C25422">
            <w:pPr>
              <w:pStyle w:val="92"/>
            </w:pPr>
            <w:r>
              <w:t>质保金</w:t>
            </w:r>
          </w:p>
        </w:tc>
        <w:tc>
          <w:tcPr>
            <w:tcW w:w="1647" w:type="pct"/>
            <w:shd w:val="clear" w:color="auto" w:fill="auto"/>
            <w:vAlign w:val="center"/>
          </w:tcPr>
          <w:p w14:paraId="0F606AC0" w14:textId="77777777" w:rsidR="00E57DAA" w:rsidRDefault="00AC4185">
            <w:pPr>
              <w:jc w:val="right"/>
            </w:pPr>
            <w:r>
              <w:t>4,833,240.45</w:t>
            </w:r>
          </w:p>
        </w:tc>
        <w:tc>
          <w:tcPr>
            <w:tcW w:w="1653" w:type="pct"/>
            <w:shd w:val="clear" w:color="auto" w:fill="auto"/>
          </w:tcPr>
          <w:p w14:paraId="00EC04E5" w14:textId="77777777" w:rsidR="00E57DAA" w:rsidRDefault="00AC4185">
            <w:pPr>
              <w:jc w:val="right"/>
            </w:pPr>
            <w:r>
              <w:t>59,286,407.58</w:t>
            </w:r>
          </w:p>
        </w:tc>
      </w:tr>
      <w:tr w:rsidR="00E57DAA" w14:paraId="51A46BAA" w14:textId="77777777">
        <w:tc>
          <w:tcPr>
            <w:tcW w:w="1700" w:type="pct"/>
            <w:shd w:val="clear" w:color="auto" w:fill="auto"/>
          </w:tcPr>
          <w:p w14:paraId="6B57FB4F" w14:textId="77777777" w:rsidR="00E57DAA" w:rsidRDefault="00AC4185" w:rsidP="00C25422">
            <w:pPr>
              <w:pStyle w:val="92"/>
            </w:pPr>
            <w:r>
              <w:t>备用金</w:t>
            </w:r>
          </w:p>
        </w:tc>
        <w:tc>
          <w:tcPr>
            <w:tcW w:w="1647" w:type="pct"/>
            <w:shd w:val="clear" w:color="auto" w:fill="auto"/>
            <w:vAlign w:val="center"/>
          </w:tcPr>
          <w:p w14:paraId="2950E96E" w14:textId="77777777" w:rsidR="00E57DAA" w:rsidRDefault="00AC4185">
            <w:pPr>
              <w:jc w:val="right"/>
            </w:pPr>
            <w:r>
              <w:t>117,727,494.15</w:t>
            </w:r>
          </w:p>
        </w:tc>
        <w:tc>
          <w:tcPr>
            <w:tcW w:w="1653" w:type="pct"/>
            <w:shd w:val="clear" w:color="auto" w:fill="auto"/>
          </w:tcPr>
          <w:p w14:paraId="2017F1D0" w14:textId="77777777" w:rsidR="00E57DAA" w:rsidRDefault="00AC4185">
            <w:pPr>
              <w:jc w:val="right"/>
            </w:pPr>
            <w:r>
              <w:t>117,065,500.66</w:t>
            </w:r>
          </w:p>
        </w:tc>
      </w:tr>
      <w:tr w:rsidR="00E57DAA" w14:paraId="44245418" w14:textId="77777777">
        <w:tc>
          <w:tcPr>
            <w:tcW w:w="1700" w:type="pct"/>
            <w:shd w:val="clear" w:color="auto" w:fill="auto"/>
          </w:tcPr>
          <w:p w14:paraId="2BC32DF4" w14:textId="77777777" w:rsidR="00E57DAA" w:rsidRDefault="00AC4185" w:rsidP="00C25422">
            <w:pPr>
              <w:pStyle w:val="92"/>
            </w:pPr>
            <w:r>
              <w:t>往来款</w:t>
            </w:r>
          </w:p>
        </w:tc>
        <w:tc>
          <w:tcPr>
            <w:tcW w:w="1647" w:type="pct"/>
            <w:shd w:val="clear" w:color="auto" w:fill="auto"/>
            <w:vAlign w:val="center"/>
          </w:tcPr>
          <w:p w14:paraId="79C6B145" w14:textId="77777777" w:rsidR="00E57DAA" w:rsidRDefault="00AC4185">
            <w:pPr>
              <w:jc w:val="right"/>
            </w:pPr>
            <w:r>
              <w:t>212,664,285.82</w:t>
            </w:r>
          </w:p>
        </w:tc>
        <w:tc>
          <w:tcPr>
            <w:tcW w:w="1653" w:type="pct"/>
            <w:shd w:val="clear" w:color="auto" w:fill="auto"/>
          </w:tcPr>
          <w:p w14:paraId="568B96C8" w14:textId="77777777" w:rsidR="00E57DAA" w:rsidRDefault="00AC4185">
            <w:pPr>
              <w:jc w:val="right"/>
            </w:pPr>
            <w:r>
              <w:t>213,352,294.15</w:t>
            </w:r>
          </w:p>
        </w:tc>
      </w:tr>
      <w:tr w:rsidR="00E57DAA" w14:paraId="53E58118" w14:textId="77777777">
        <w:tc>
          <w:tcPr>
            <w:tcW w:w="1700" w:type="pct"/>
            <w:shd w:val="clear" w:color="auto" w:fill="auto"/>
          </w:tcPr>
          <w:p w14:paraId="40BAE39A" w14:textId="77777777" w:rsidR="00E57DAA" w:rsidRDefault="00AC4185" w:rsidP="00C25422">
            <w:pPr>
              <w:pStyle w:val="92"/>
            </w:pPr>
            <w:r>
              <w:t>代垫款项</w:t>
            </w:r>
          </w:p>
        </w:tc>
        <w:tc>
          <w:tcPr>
            <w:tcW w:w="1647" w:type="pct"/>
            <w:shd w:val="clear" w:color="auto" w:fill="auto"/>
            <w:vAlign w:val="center"/>
          </w:tcPr>
          <w:p w14:paraId="5CBA5E57" w14:textId="77777777" w:rsidR="00E57DAA" w:rsidRDefault="00AC4185">
            <w:pPr>
              <w:jc w:val="right"/>
            </w:pPr>
            <w:r>
              <w:t>142,080,393.18</w:t>
            </w:r>
          </w:p>
        </w:tc>
        <w:tc>
          <w:tcPr>
            <w:tcW w:w="1653" w:type="pct"/>
            <w:shd w:val="clear" w:color="auto" w:fill="auto"/>
          </w:tcPr>
          <w:p w14:paraId="74C20FCF" w14:textId="77777777" w:rsidR="00E57DAA" w:rsidRDefault="00AC4185">
            <w:pPr>
              <w:jc w:val="right"/>
            </w:pPr>
            <w:r>
              <w:t>167,682,107.33</w:t>
            </w:r>
          </w:p>
        </w:tc>
      </w:tr>
      <w:tr w:rsidR="00E57DAA" w14:paraId="5EAAF2DE" w14:textId="77777777">
        <w:tc>
          <w:tcPr>
            <w:tcW w:w="1700" w:type="pct"/>
            <w:shd w:val="clear" w:color="auto" w:fill="auto"/>
          </w:tcPr>
          <w:p w14:paraId="26964A2A" w14:textId="77777777" w:rsidR="00E57DAA" w:rsidRDefault="00AC4185" w:rsidP="00C25422">
            <w:pPr>
              <w:pStyle w:val="92"/>
            </w:pPr>
            <w:r>
              <w:t>其他</w:t>
            </w:r>
          </w:p>
        </w:tc>
        <w:tc>
          <w:tcPr>
            <w:tcW w:w="1647" w:type="pct"/>
            <w:shd w:val="clear" w:color="auto" w:fill="auto"/>
            <w:vAlign w:val="center"/>
          </w:tcPr>
          <w:p w14:paraId="6EA7FBEE" w14:textId="77777777" w:rsidR="00E57DAA" w:rsidRDefault="00AC4185">
            <w:pPr>
              <w:jc w:val="right"/>
            </w:pPr>
            <w:r>
              <w:t>89,561,306.09</w:t>
            </w:r>
          </w:p>
        </w:tc>
        <w:tc>
          <w:tcPr>
            <w:tcW w:w="1653" w:type="pct"/>
            <w:shd w:val="clear" w:color="auto" w:fill="auto"/>
          </w:tcPr>
          <w:p w14:paraId="3D78CF06" w14:textId="77777777" w:rsidR="00E57DAA" w:rsidRDefault="00AC4185">
            <w:pPr>
              <w:jc w:val="right"/>
            </w:pPr>
            <w:r>
              <w:t>64,723,943.57</w:t>
            </w:r>
          </w:p>
        </w:tc>
      </w:tr>
      <w:tr w:rsidR="00E57DAA" w14:paraId="7F8A0A30" w14:textId="77777777">
        <w:tc>
          <w:tcPr>
            <w:tcW w:w="1700" w:type="pct"/>
            <w:shd w:val="clear" w:color="auto" w:fill="auto"/>
          </w:tcPr>
          <w:p w14:paraId="5F3418BF" w14:textId="77777777" w:rsidR="00E57DAA" w:rsidRDefault="00AC4185">
            <w:pPr>
              <w:jc w:val="center"/>
            </w:pPr>
            <w:r>
              <w:t>合计</w:t>
            </w:r>
          </w:p>
        </w:tc>
        <w:tc>
          <w:tcPr>
            <w:tcW w:w="1647" w:type="pct"/>
            <w:shd w:val="clear" w:color="auto" w:fill="auto"/>
            <w:vAlign w:val="center"/>
          </w:tcPr>
          <w:p w14:paraId="6CA63904" w14:textId="77777777" w:rsidR="00E57DAA" w:rsidRDefault="00AC4185">
            <w:pPr>
              <w:jc w:val="right"/>
            </w:pPr>
            <w:r>
              <w:t>1,178,743,675.16</w:t>
            </w:r>
          </w:p>
        </w:tc>
        <w:tc>
          <w:tcPr>
            <w:tcW w:w="1653" w:type="pct"/>
            <w:shd w:val="clear" w:color="auto" w:fill="auto"/>
            <w:vAlign w:val="center"/>
          </w:tcPr>
          <w:p w14:paraId="3FE6424B" w14:textId="77777777" w:rsidR="00E57DAA" w:rsidRDefault="00AC4185">
            <w:pPr>
              <w:jc w:val="right"/>
            </w:pPr>
            <w:r>
              <w:t>1,149,409,110.59</w:t>
            </w:r>
          </w:p>
        </w:tc>
      </w:tr>
    </w:tbl>
    <w:p w14:paraId="6DB5D68F" w14:textId="77777777" w:rsidR="00E57DAA" w:rsidRDefault="00E57DAA" w:rsidP="00C25422">
      <w:pPr>
        <w:pStyle w:val="92"/>
      </w:pPr>
    </w:p>
    <w:p w14:paraId="73F5275A" w14:textId="77777777" w:rsidR="00E57DAA" w:rsidRDefault="00AC4185" w:rsidP="00C25422">
      <w:pPr>
        <w:pStyle w:val="90"/>
        <w:numPr>
          <w:ilvl w:val="0"/>
          <w:numId w:val="75"/>
        </w:numPr>
        <w:ind w:leftChars="0"/>
      </w:pPr>
      <w:r>
        <w:rPr>
          <w:rFonts w:hint="eastAsia"/>
        </w:rPr>
        <w:t>坏账准备计提情况</w:t>
      </w:r>
    </w:p>
    <w:bookmarkStart w:id="227" w:name="_Hlk533867880" w:displacedByCustomXml="next"/>
    <w:sdt>
      <w:sdtPr>
        <w:alias w:val="是否适用：其他应收款坏账准备调节表[双击切换]"/>
        <w:tag w:val="_GBC_89d7c1af9f504137a919fea1a314fa80"/>
        <w:id w:val="677930715"/>
        <w:placeholder>
          <w:docPart w:val="GBC22222222222222222222222222222"/>
        </w:placeholder>
      </w:sdtPr>
      <w:sdtEndPr/>
      <w:sdtContent>
        <w:p w14:paraId="1EF3AE3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6E6971" w14:textId="77777777" w:rsidR="00E57DAA" w:rsidRDefault="00AC4185">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7023680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21203656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8"/>
        <w:gridCol w:w="1135"/>
        <w:gridCol w:w="1701"/>
        <w:gridCol w:w="1613"/>
        <w:gridCol w:w="1686"/>
      </w:tblGrid>
      <w:tr w:rsidR="00E57DAA" w14:paraId="6B89250F" w14:textId="77777777">
        <w:sdt>
          <w:sdtPr>
            <w:tag w:val="_PLD_2f734c3456a843bda898d16924c52045"/>
            <w:id w:val="-161078840"/>
          </w:sdtPr>
          <w:sdtEndPr/>
          <w:sdtContent>
            <w:tc>
              <w:tcPr>
                <w:tcW w:w="1524" w:type="pct"/>
                <w:vMerge w:val="restart"/>
                <w:vAlign w:val="center"/>
              </w:tcPr>
              <w:p w14:paraId="77CFCD25" w14:textId="77777777" w:rsidR="00E57DAA" w:rsidRDefault="00AC4185" w:rsidP="00C25422">
                <w:pPr>
                  <w:pStyle w:val="250"/>
                </w:pPr>
                <w:proofErr w:type="spellStart"/>
                <w:r>
                  <w:rPr>
                    <w:rFonts w:hint="eastAsia"/>
                  </w:rPr>
                  <w:t>坏账准备</w:t>
                </w:r>
                <w:proofErr w:type="spellEnd"/>
              </w:p>
            </w:tc>
          </w:sdtContent>
        </w:sdt>
        <w:sdt>
          <w:sdtPr>
            <w:tag w:val="_PLD_cc2d5e47d032466f8f32fd4edec15e33"/>
            <w:id w:val="992614041"/>
          </w:sdtPr>
          <w:sdtEndPr/>
          <w:sdtContent>
            <w:tc>
              <w:tcPr>
                <w:tcW w:w="643" w:type="pct"/>
                <w:vAlign w:val="center"/>
              </w:tcPr>
              <w:p w14:paraId="79FDEE03" w14:textId="77777777" w:rsidR="00E57DAA" w:rsidRDefault="00AC4185" w:rsidP="00C25422">
                <w:pPr>
                  <w:pStyle w:val="250"/>
                </w:pPr>
                <w:proofErr w:type="spellStart"/>
                <w:r>
                  <w:rPr>
                    <w:rFonts w:hint="eastAsia"/>
                  </w:rPr>
                  <w:t>第一阶段</w:t>
                </w:r>
                <w:proofErr w:type="spellEnd"/>
              </w:p>
            </w:tc>
          </w:sdtContent>
        </w:sdt>
        <w:sdt>
          <w:sdtPr>
            <w:tag w:val="_PLD_f7ffd31ab3534493bb75ab7d04c0c751"/>
            <w:id w:val="680862071"/>
          </w:sdtPr>
          <w:sdtEndPr/>
          <w:sdtContent>
            <w:tc>
              <w:tcPr>
                <w:tcW w:w="964" w:type="pct"/>
                <w:vAlign w:val="center"/>
              </w:tcPr>
              <w:p w14:paraId="1DA0E6BF" w14:textId="77777777" w:rsidR="00E57DAA" w:rsidRDefault="00AC4185" w:rsidP="00C25422">
                <w:pPr>
                  <w:pStyle w:val="250"/>
                </w:pPr>
                <w:proofErr w:type="spellStart"/>
                <w:r>
                  <w:rPr>
                    <w:rFonts w:hint="eastAsia"/>
                  </w:rPr>
                  <w:t>第二阶段</w:t>
                </w:r>
                <w:proofErr w:type="spellEnd"/>
              </w:p>
            </w:tc>
          </w:sdtContent>
        </w:sdt>
        <w:sdt>
          <w:sdtPr>
            <w:tag w:val="_PLD_b787de87168848159cb3a46726196c34"/>
            <w:id w:val="739917137"/>
          </w:sdtPr>
          <w:sdtEndPr/>
          <w:sdtContent>
            <w:tc>
              <w:tcPr>
                <w:tcW w:w="914" w:type="pct"/>
                <w:vAlign w:val="center"/>
              </w:tcPr>
              <w:p w14:paraId="40C0F864" w14:textId="77777777" w:rsidR="00E57DAA" w:rsidRDefault="00AC4185" w:rsidP="00C25422">
                <w:pPr>
                  <w:pStyle w:val="250"/>
                </w:pPr>
                <w:proofErr w:type="spellStart"/>
                <w:r>
                  <w:rPr>
                    <w:rFonts w:hint="eastAsia"/>
                  </w:rPr>
                  <w:t>第三阶段</w:t>
                </w:r>
                <w:proofErr w:type="spellEnd"/>
              </w:p>
            </w:tc>
          </w:sdtContent>
        </w:sdt>
        <w:sdt>
          <w:sdtPr>
            <w:tag w:val="_PLD_3b31af1f922741a8874346a86f3e2d25"/>
            <w:id w:val="-1727134876"/>
          </w:sdtPr>
          <w:sdtEndPr/>
          <w:sdtContent>
            <w:tc>
              <w:tcPr>
                <w:tcW w:w="955" w:type="pct"/>
                <w:vMerge w:val="restart"/>
                <w:vAlign w:val="center"/>
              </w:tcPr>
              <w:p w14:paraId="4605E759" w14:textId="77777777" w:rsidR="00E57DAA" w:rsidRDefault="00AC4185" w:rsidP="00C25422">
                <w:pPr>
                  <w:pStyle w:val="250"/>
                </w:pPr>
                <w:proofErr w:type="spellStart"/>
                <w:r>
                  <w:rPr>
                    <w:rFonts w:hint="eastAsia"/>
                  </w:rPr>
                  <w:t>合计</w:t>
                </w:r>
                <w:proofErr w:type="spellEnd"/>
              </w:p>
            </w:tc>
          </w:sdtContent>
        </w:sdt>
      </w:tr>
      <w:tr w:rsidR="00E57DAA" w14:paraId="20A8069A" w14:textId="77777777">
        <w:tc>
          <w:tcPr>
            <w:tcW w:w="1524" w:type="pct"/>
            <w:vMerge/>
            <w:vAlign w:val="center"/>
          </w:tcPr>
          <w:p w14:paraId="075FA797" w14:textId="77777777" w:rsidR="00E57DAA" w:rsidRDefault="00E57DAA">
            <w:pPr>
              <w:jc w:val="center"/>
              <w:rPr>
                <w:rFonts w:asciiTheme="minorEastAsia" w:eastAsiaTheme="minorEastAsia" w:hAnsiTheme="minorEastAsia"/>
                <w:color w:val="008000"/>
                <w:szCs w:val="21"/>
              </w:rPr>
            </w:pPr>
          </w:p>
        </w:tc>
        <w:sdt>
          <w:sdtPr>
            <w:tag w:val="_PLD_7158bbb0fd6b45478d53b382f0c1a5e9"/>
            <w:id w:val="1558130108"/>
          </w:sdtPr>
          <w:sdtEndPr/>
          <w:sdtContent>
            <w:tc>
              <w:tcPr>
                <w:tcW w:w="643" w:type="pct"/>
                <w:vAlign w:val="center"/>
              </w:tcPr>
              <w:p w14:paraId="7BACF823" w14:textId="77777777" w:rsidR="00E57DAA" w:rsidRDefault="00AC4185" w:rsidP="00C25422">
                <w:pPr>
                  <w:pStyle w:val="250"/>
                  <w:rPr>
                    <w:lang w:eastAsia="zh-CN"/>
                  </w:rPr>
                </w:pPr>
                <w:r>
                  <w:rPr>
                    <w:rFonts w:hint="eastAsia"/>
                    <w:lang w:eastAsia="zh-CN"/>
                  </w:rPr>
                  <w:t>未来12个月预期信用损失</w:t>
                </w:r>
              </w:p>
            </w:tc>
          </w:sdtContent>
        </w:sdt>
        <w:sdt>
          <w:sdtPr>
            <w:tag w:val="_PLD_a456fd5785a44d89b944d155197986fc"/>
            <w:id w:val="-842402289"/>
          </w:sdtPr>
          <w:sdtEndPr/>
          <w:sdtContent>
            <w:tc>
              <w:tcPr>
                <w:tcW w:w="964" w:type="pct"/>
                <w:vAlign w:val="center"/>
              </w:tcPr>
              <w:p w14:paraId="35B83DF8" w14:textId="77777777" w:rsidR="00E57DAA" w:rsidRDefault="00AC4185" w:rsidP="00C25422">
                <w:pPr>
                  <w:pStyle w:val="250"/>
                  <w:rPr>
                    <w:lang w:eastAsia="zh-CN"/>
                  </w:rPr>
                </w:pPr>
                <w:r>
                  <w:rPr>
                    <w:rFonts w:hint="eastAsia"/>
                    <w:lang w:eastAsia="zh-CN"/>
                  </w:rPr>
                  <w:t>整个存续期预期信用损失(未发生信用减值)</w:t>
                </w:r>
              </w:p>
            </w:tc>
          </w:sdtContent>
        </w:sdt>
        <w:sdt>
          <w:sdtPr>
            <w:tag w:val="_PLD_fb9265a3aa334f7ab93242b9630540b0"/>
            <w:id w:val="489212569"/>
          </w:sdtPr>
          <w:sdtEndPr/>
          <w:sdtContent>
            <w:tc>
              <w:tcPr>
                <w:tcW w:w="914" w:type="pct"/>
                <w:vAlign w:val="center"/>
              </w:tcPr>
              <w:p w14:paraId="782E1241" w14:textId="77777777" w:rsidR="00E57DAA" w:rsidRDefault="00AC4185" w:rsidP="00C25422">
                <w:pPr>
                  <w:pStyle w:val="250"/>
                  <w:rPr>
                    <w:lang w:eastAsia="zh-CN"/>
                  </w:rPr>
                </w:pPr>
                <w:r>
                  <w:rPr>
                    <w:rFonts w:hint="eastAsia"/>
                    <w:lang w:eastAsia="zh-CN"/>
                  </w:rPr>
                  <w:t>整个存续期预期信用损失(已发生信用减值)</w:t>
                </w:r>
              </w:p>
            </w:tc>
          </w:sdtContent>
        </w:sdt>
        <w:tc>
          <w:tcPr>
            <w:tcW w:w="955" w:type="pct"/>
            <w:vMerge/>
          </w:tcPr>
          <w:p w14:paraId="1A7F4C8A" w14:textId="77777777" w:rsidR="00E57DAA" w:rsidRDefault="00E57DAA">
            <w:pPr>
              <w:jc w:val="center"/>
              <w:rPr>
                <w:rFonts w:asciiTheme="minorEastAsia" w:eastAsiaTheme="minorEastAsia" w:hAnsiTheme="minorEastAsia"/>
                <w:color w:val="008000"/>
                <w:szCs w:val="21"/>
              </w:rPr>
            </w:pPr>
          </w:p>
        </w:tc>
      </w:tr>
      <w:tr w:rsidR="00E57DAA" w14:paraId="1E0F9F04" w14:textId="77777777">
        <w:tc>
          <w:tcPr>
            <w:tcW w:w="1524" w:type="pct"/>
            <w:vAlign w:val="center"/>
          </w:tcPr>
          <w:p w14:paraId="69120BD3" w14:textId="77777777" w:rsidR="00E57DAA" w:rsidRDefault="00AC4185" w:rsidP="00C25422">
            <w:pPr>
              <w:pStyle w:val="250"/>
            </w:pPr>
            <w:r>
              <w:t>2023年</w:t>
            </w:r>
            <w:r>
              <w:rPr>
                <w:rFonts w:hint="eastAsia"/>
              </w:rPr>
              <w:t>1月1日余额</w:t>
            </w:r>
          </w:p>
        </w:tc>
        <w:tc>
          <w:tcPr>
            <w:tcW w:w="643" w:type="pct"/>
          </w:tcPr>
          <w:p w14:paraId="745C7B3C" w14:textId="77777777" w:rsidR="00E57DAA" w:rsidRDefault="00E57DAA">
            <w:pPr>
              <w:jc w:val="right"/>
              <w:rPr>
                <w:rFonts w:asciiTheme="minorEastAsia" w:eastAsiaTheme="minorEastAsia" w:hAnsiTheme="minorEastAsia"/>
                <w:szCs w:val="21"/>
              </w:rPr>
            </w:pPr>
          </w:p>
        </w:tc>
        <w:tc>
          <w:tcPr>
            <w:tcW w:w="964" w:type="pct"/>
            <w:vAlign w:val="center"/>
          </w:tcPr>
          <w:p w14:paraId="1AF0A7FB"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175,996,828.77</w:t>
            </w:r>
          </w:p>
        </w:tc>
        <w:tc>
          <w:tcPr>
            <w:tcW w:w="914" w:type="pct"/>
            <w:vAlign w:val="center"/>
          </w:tcPr>
          <w:p w14:paraId="1D691357"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68,574,721.51</w:t>
            </w:r>
          </w:p>
        </w:tc>
        <w:tc>
          <w:tcPr>
            <w:tcW w:w="955" w:type="pct"/>
            <w:vAlign w:val="center"/>
          </w:tcPr>
          <w:p w14:paraId="6317AB33"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244,571,550.28</w:t>
            </w:r>
          </w:p>
        </w:tc>
      </w:tr>
      <w:tr w:rsidR="00E57DAA" w14:paraId="08D449D4" w14:textId="77777777">
        <w:tc>
          <w:tcPr>
            <w:tcW w:w="1524" w:type="pct"/>
            <w:vAlign w:val="center"/>
          </w:tcPr>
          <w:p w14:paraId="58542DF9" w14:textId="77777777" w:rsidR="00E57DAA" w:rsidRDefault="00AC4185" w:rsidP="00C25422">
            <w:pPr>
              <w:pStyle w:val="250"/>
            </w:pPr>
            <w:r>
              <w:rPr>
                <w:rFonts w:hint="eastAsia"/>
              </w:rPr>
              <w:t>2023年1月1日余额在本期</w:t>
            </w:r>
          </w:p>
        </w:tc>
        <w:tc>
          <w:tcPr>
            <w:tcW w:w="643" w:type="pct"/>
          </w:tcPr>
          <w:p w14:paraId="30749B46" w14:textId="77777777" w:rsidR="00E57DAA" w:rsidRDefault="00E57DAA">
            <w:pPr>
              <w:jc w:val="right"/>
              <w:rPr>
                <w:rFonts w:asciiTheme="minorEastAsia" w:eastAsiaTheme="minorEastAsia" w:hAnsiTheme="minorEastAsia"/>
                <w:szCs w:val="21"/>
              </w:rPr>
            </w:pPr>
          </w:p>
        </w:tc>
        <w:tc>
          <w:tcPr>
            <w:tcW w:w="964" w:type="pct"/>
          </w:tcPr>
          <w:p w14:paraId="0475A2E7" w14:textId="77777777" w:rsidR="00E57DAA" w:rsidRDefault="00E57DAA">
            <w:pPr>
              <w:jc w:val="right"/>
              <w:rPr>
                <w:rFonts w:asciiTheme="minorEastAsia" w:eastAsiaTheme="minorEastAsia" w:hAnsiTheme="minorEastAsia"/>
                <w:szCs w:val="21"/>
              </w:rPr>
            </w:pPr>
          </w:p>
        </w:tc>
        <w:tc>
          <w:tcPr>
            <w:tcW w:w="914" w:type="pct"/>
          </w:tcPr>
          <w:p w14:paraId="2FF71C8F" w14:textId="77777777" w:rsidR="00E57DAA" w:rsidRDefault="00E57DAA">
            <w:pPr>
              <w:jc w:val="right"/>
              <w:rPr>
                <w:rFonts w:asciiTheme="minorEastAsia" w:eastAsiaTheme="minorEastAsia" w:hAnsiTheme="minorEastAsia"/>
                <w:szCs w:val="21"/>
              </w:rPr>
            </w:pPr>
          </w:p>
        </w:tc>
        <w:tc>
          <w:tcPr>
            <w:tcW w:w="955" w:type="pct"/>
          </w:tcPr>
          <w:p w14:paraId="360F6CF8" w14:textId="77777777" w:rsidR="00E57DAA" w:rsidRDefault="00E57DAA">
            <w:pPr>
              <w:jc w:val="right"/>
              <w:rPr>
                <w:rFonts w:asciiTheme="minorEastAsia" w:eastAsiaTheme="minorEastAsia" w:hAnsiTheme="minorEastAsia"/>
                <w:szCs w:val="21"/>
              </w:rPr>
            </w:pPr>
          </w:p>
        </w:tc>
      </w:tr>
      <w:tr w:rsidR="00E57DAA" w14:paraId="1E606AD9" w14:textId="77777777">
        <w:tc>
          <w:tcPr>
            <w:tcW w:w="1524" w:type="pct"/>
            <w:vAlign w:val="center"/>
          </w:tcPr>
          <w:p w14:paraId="5320F46D" w14:textId="77777777" w:rsidR="00E57DAA" w:rsidRDefault="00AC4185" w:rsidP="00C25422">
            <w:pPr>
              <w:pStyle w:val="250"/>
            </w:pPr>
            <w:r>
              <w:rPr>
                <w:rFonts w:hint="eastAsia"/>
              </w:rPr>
              <w:t>--</w:t>
            </w:r>
            <w:proofErr w:type="spellStart"/>
            <w:r>
              <w:rPr>
                <w:rFonts w:hint="eastAsia"/>
              </w:rPr>
              <w:t>转入第二阶段</w:t>
            </w:r>
            <w:proofErr w:type="spellEnd"/>
          </w:p>
        </w:tc>
        <w:tc>
          <w:tcPr>
            <w:tcW w:w="643" w:type="pct"/>
          </w:tcPr>
          <w:p w14:paraId="324DCC18" w14:textId="77777777" w:rsidR="00E57DAA" w:rsidRDefault="00E57DAA">
            <w:pPr>
              <w:jc w:val="right"/>
              <w:rPr>
                <w:rFonts w:asciiTheme="minorEastAsia" w:eastAsiaTheme="minorEastAsia" w:hAnsiTheme="minorEastAsia"/>
                <w:szCs w:val="21"/>
              </w:rPr>
            </w:pPr>
          </w:p>
        </w:tc>
        <w:tc>
          <w:tcPr>
            <w:tcW w:w="964" w:type="pct"/>
          </w:tcPr>
          <w:p w14:paraId="6D9B8E08" w14:textId="77777777" w:rsidR="00E57DAA" w:rsidRDefault="00E57DAA">
            <w:pPr>
              <w:jc w:val="right"/>
              <w:rPr>
                <w:rFonts w:asciiTheme="minorEastAsia" w:eastAsiaTheme="minorEastAsia" w:hAnsiTheme="minorEastAsia"/>
                <w:szCs w:val="21"/>
              </w:rPr>
            </w:pPr>
          </w:p>
        </w:tc>
        <w:tc>
          <w:tcPr>
            <w:tcW w:w="914" w:type="pct"/>
          </w:tcPr>
          <w:p w14:paraId="03A4B688" w14:textId="77777777" w:rsidR="00E57DAA" w:rsidRDefault="00E57DAA">
            <w:pPr>
              <w:jc w:val="right"/>
              <w:rPr>
                <w:rFonts w:asciiTheme="minorEastAsia" w:eastAsiaTheme="minorEastAsia" w:hAnsiTheme="minorEastAsia"/>
                <w:szCs w:val="21"/>
              </w:rPr>
            </w:pPr>
          </w:p>
        </w:tc>
        <w:tc>
          <w:tcPr>
            <w:tcW w:w="955" w:type="pct"/>
          </w:tcPr>
          <w:p w14:paraId="60FB28FD" w14:textId="77777777" w:rsidR="00E57DAA" w:rsidRDefault="00E57DAA">
            <w:pPr>
              <w:jc w:val="right"/>
              <w:rPr>
                <w:rFonts w:asciiTheme="minorEastAsia" w:eastAsiaTheme="minorEastAsia" w:hAnsiTheme="minorEastAsia"/>
                <w:szCs w:val="21"/>
              </w:rPr>
            </w:pPr>
          </w:p>
        </w:tc>
      </w:tr>
      <w:tr w:rsidR="00E57DAA" w14:paraId="422FADD6" w14:textId="77777777">
        <w:tc>
          <w:tcPr>
            <w:tcW w:w="1524" w:type="pct"/>
            <w:vAlign w:val="center"/>
          </w:tcPr>
          <w:p w14:paraId="73EFC0C0" w14:textId="77777777" w:rsidR="00E57DAA" w:rsidRDefault="00AC4185" w:rsidP="00C25422">
            <w:pPr>
              <w:pStyle w:val="250"/>
            </w:pPr>
            <w:r>
              <w:rPr>
                <w:rFonts w:hint="eastAsia"/>
              </w:rPr>
              <w:t>--</w:t>
            </w:r>
            <w:proofErr w:type="spellStart"/>
            <w:r>
              <w:rPr>
                <w:rFonts w:hint="eastAsia"/>
              </w:rPr>
              <w:t>转入第三阶段</w:t>
            </w:r>
            <w:proofErr w:type="spellEnd"/>
          </w:p>
        </w:tc>
        <w:tc>
          <w:tcPr>
            <w:tcW w:w="643" w:type="pct"/>
          </w:tcPr>
          <w:p w14:paraId="4FC26F40" w14:textId="77777777" w:rsidR="00E57DAA" w:rsidRDefault="00E57DAA">
            <w:pPr>
              <w:jc w:val="right"/>
              <w:rPr>
                <w:rFonts w:asciiTheme="minorEastAsia" w:eastAsiaTheme="minorEastAsia" w:hAnsiTheme="minorEastAsia"/>
                <w:szCs w:val="21"/>
              </w:rPr>
            </w:pPr>
          </w:p>
        </w:tc>
        <w:tc>
          <w:tcPr>
            <w:tcW w:w="964" w:type="pct"/>
          </w:tcPr>
          <w:p w14:paraId="7132BA7F" w14:textId="77777777" w:rsidR="00E57DAA" w:rsidRDefault="00E57DAA">
            <w:pPr>
              <w:jc w:val="right"/>
              <w:rPr>
                <w:rFonts w:asciiTheme="minorEastAsia" w:eastAsiaTheme="minorEastAsia" w:hAnsiTheme="minorEastAsia"/>
                <w:szCs w:val="21"/>
              </w:rPr>
            </w:pPr>
          </w:p>
        </w:tc>
        <w:tc>
          <w:tcPr>
            <w:tcW w:w="914" w:type="pct"/>
          </w:tcPr>
          <w:p w14:paraId="42298895" w14:textId="77777777" w:rsidR="00E57DAA" w:rsidRDefault="00E57DAA">
            <w:pPr>
              <w:jc w:val="right"/>
              <w:rPr>
                <w:rFonts w:asciiTheme="minorEastAsia" w:eastAsiaTheme="minorEastAsia" w:hAnsiTheme="minorEastAsia"/>
                <w:szCs w:val="21"/>
              </w:rPr>
            </w:pPr>
          </w:p>
        </w:tc>
        <w:tc>
          <w:tcPr>
            <w:tcW w:w="955" w:type="pct"/>
          </w:tcPr>
          <w:p w14:paraId="4E698C14" w14:textId="77777777" w:rsidR="00E57DAA" w:rsidRDefault="00E57DAA">
            <w:pPr>
              <w:jc w:val="right"/>
              <w:rPr>
                <w:rFonts w:asciiTheme="minorEastAsia" w:eastAsiaTheme="minorEastAsia" w:hAnsiTheme="minorEastAsia"/>
                <w:szCs w:val="21"/>
              </w:rPr>
            </w:pPr>
          </w:p>
        </w:tc>
      </w:tr>
      <w:tr w:rsidR="00E57DAA" w14:paraId="5DCBD8E6" w14:textId="77777777">
        <w:tc>
          <w:tcPr>
            <w:tcW w:w="1524" w:type="pct"/>
            <w:vAlign w:val="center"/>
          </w:tcPr>
          <w:p w14:paraId="3A2CCB07" w14:textId="77777777" w:rsidR="00E57DAA" w:rsidRDefault="00AC4185" w:rsidP="00C25422">
            <w:pPr>
              <w:pStyle w:val="250"/>
            </w:pPr>
            <w:r>
              <w:rPr>
                <w:rFonts w:hint="eastAsia"/>
              </w:rPr>
              <w:t>--</w:t>
            </w:r>
            <w:proofErr w:type="spellStart"/>
            <w:r>
              <w:rPr>
                <w:rFonts w:hint="eastAsia"/>
              </w:rPr>
              <w:t>转回第二阶段</w:t>
            </w:r>
            <w:proofErr w:type="spellEnd"/>
          </w:p>
        </w:tc>
        <w:tc>
          <w:tcPr>
            <w:tcW w:w="643" w:type="pct"/>
          </w:tcPr>
          <w:p w14:paraId="63758EAD" w14:textId="77777777" w:rsidR="00E57DAA" w:rsidRDefault="00E57DAA">
            <w:pPr>
              <w:jc w:val="right"/>
              <w:rPr>
                <w:rFonts w:asciiTheme="minorEastAsia" w:eastAsiaTheme="minorEastAsia" w:hAnsiTheme="minorEastAsia"/>
                <w:szCs w:val="21"/>
              </w:rPr>
            </w:pPr>
          </w:p>
        </w:tc>
        <w:tc>
          <w:tcPr>
            <w:tcW w:w="964" w:type="pct"/>
          </w:tcPr>
          <w:p w14:paraId="2FEF7976" w14:textId="77777777" w:rsidR="00E57DAA" w:rsidRDefault="00E57DAA">
            <w:pPr>
              <w:jc w:val="right"/>
              <w:rPr>
                <w:rFonts w:asciiTheme="minorEastAsia" w:eastAsiaTheme="minorEastAsia" w:hAnsiTheme="minorEastAsia"/>
                <w:szCs w:val="21"/>
              </w:rPr>
            </w:pPr>
          </w:p>
        </w:tc>
        <w:tc>
          <w:tcPr>
            <w:tcW w:w="914" w:type="pct"/>
          </w:tcPr>
          <w:p w14:paraId="11136BF4" w14:textId="77777777" w:rsidR="00E57DAA" w:rsidRDefault="00E57DAA">
            <w:pPr>
              <w:jc w:val="right"/>
              <w:rPr>
                <w:rFonts w:asciiTheme="minorEastAsia" w:eastAsiaTheme="minorEastAsia" w:hAnsiTheme="minorEastAsia"/>
                <w:szCs w:val="21"/>
              </w:rPr>
            </w:pPr>
          </w:p>
        </w:tc>
        <w:tc>
          <w:tcPr>
            <w:tcW w:w="955" w:type="pct"/>
          </w:tcPr>
          <w:p w14:paraId="31211914" w14:textId="77777777" w:rsidR="00E57DAA" w:rsidRDefault="00E57DAA">
            <w:pPr>
              <w:jc w:val="right"/>
              <w:rPr>
                <w:rFonts w:asciiTheme="minorEastAsia" w:eastAsiaTheme="minorEastAsia" w:hAnsiTheme="minorEastAsia"/>
                <w:szCs w:val="21"/>
              </w:rPr>
            </w:pPr>
          </w:p>
        </w:tc>
      </w:tr>
      <w:tr w:rsidR="00E57DAA" w14:paraId="34E26D94" w14:textId="77777777">
        <w:tc>
          <w:tcPr>
            <w:tcW w:w="1524" w:type="pct"/>
            <w:vAlign w:val="center"/>
          </w:tcPr>
          <w:p w14:paraId="704CD814" w14:textId="77777777" w:rsidR="00E57DAA" w:rsidRDefault="00AC4185" w:rsidP="00C25422">
            <w:pPr>
              <w:pStyle w:val="250"/>
            </w:pPr>
            <w:r>
              <w:rPr>
                <w:rFonts w:hint="eastAsia"/>
              </w:rPr>
              <w:t>--</w:t>
            </w:r>
            <w:proofErr w:type="spellStart"/>
            <w:r>
              <w:rPr>
                <w:rFonts w:hint="eastAsia"/>
              </w:rPr>
              <w:t>转回第一阶段</w:t>
            </w:r>
            <w:proofErr w:type="spellEnd"/>
          </w:p>
        </w:tc>
        <w:tc>
          <w:tcPr>
            <w:tcW w:w="643" w:type="pct"/>
          </w:tcPr>
          <w:p w14:paraId="4F0A6004" w14:textId="77777777" w:rsidR="00E57DAA" w:rsidRDefault="00E57DAA">
            <w:pPr>
              <w:jc w:val="right"/>
              <w:rPr>
                <w:rFonts w:asciiTheme="minorEastAsia" w:eastAsiaTheme="minorEastAsia" w:hAnsiTheme="minorEastAsia"/>
                <w:szCs w:val="21"/>
              </w:rPr>
            </w:pPr>
          </w:p>
        </w:tc>
        <w:tc>
          <w:tcPr>
            <w:tcW w:w="964" w:type="pct"/>
          </w:tcPr>
          <w:p w14:paraId="5C1250E5" w14:textId="77777777" w:rsidR="00E57DAA" w:rsidRDefault="00E57DAA">
            <w:pPr>
              <w:jc w:val="right"/>
              <w:rPr>
                <w:rFonts w:asciiTheme="minorEastAsia" w:eastAsiaTheme="minorEastAsia" w:hAnsiTheme="minorEastAsia"/>
                <w:szCs w:val="21"/>
              </w:rPr>
            </w:pPr>
          </w:p>
        </w:tc>
        <w:tc>
          <w:tcPr>
            <w:tcW w:w="914" w:type="pct"/>
          </w:tcPr>
          <w:p w14:paraId="45B63A0E" w14:textId="77777777" w:rsidR="00E57DAA" w:rsidRDefault="00E57DAA">
            <w:pPr>
              <w:jc w:val="right"/>
              <w:rPr>
                <w:rFonts w:asciiTheme="minorEastAsia" w:eastAsiaTheme="minorEastAsia" w:hAnsiTheme="minorEastAsia"/>
                <w:szCs w:val="21"/>
              </w:rPr>
            </w:pPr>
          </w:p>
        </w:tc>
        <w:tc>
          <w:tcPr>
            <w:tcW w:w="955" w:type="pct"/>
          </w:tcPr>
          <w:p w14:paraId="7ADE1542" w14:textId="77777777" w:rsidR="00E57DAA" w:rsidRDefault="00E57DAA">
            <w:pPr>
              <w:jc w:val="right"/>
              <w:rPr>
                <w:rFonts w:asciiTheme="minorEastAsia" w:eastAsiaTheme="minorEastAsia" w:hAnsiTheme="minorEastAsia"/>
                <w:szCs w:val="21"/>
              </w:rPr>
            </w:pPr>
          </w:p>
        </w:tc>
      </w:tr>
      <w:tr w:rsidR="00E57DAA" w14:paraId="4F1D997D" w14:textId="77777777">
        <w:tc>
          <w:tcPr>
            <w:tcW w:w="1524" w:type="pct"/>
            <w:vAlign w:val="center"/>
          </w:tcPr>
          <w:p w14:paraId="6D92901E" w14:textId="77777777" w:rsidR="00E57DAA" w:rsidRDefault="00AC4185" w:rsidP="00C25422">
            <w:pPr>
              <w:pStyle w:val="250"/>
            </w:pPr>
            <w:proofErr w:type="spellStart"/>
            <w:r>
              <w:rPr>
                <w:rFonts w:hint="eastAsia"/>
              </w:rPr>
              <w:t>本期计提</w:t>
            </w:r>
            <w:proofErr w:type="spellEnd"/>
          </w:p>
        </w:tc>
        <w:tc>
          <w:tcPr>
            <w:tcW w:w="643" w:type="pct"/>
          </w:tcPr>
          <w:p w14:paraId="2AAFC86F" w14:textId="77777777" w:rsidR="00E57DAA" w:rsidRDefault="00E57DAA">
            <w:pPr>
              <w:jc w:val="right"/>
              <w:rPr>
                <w:rFonts w:asciiTheme="minorEastAsia" w:eastAsiaTheme="minorEastAsia" w:hAnsiTheme="minorEastAsia"/>
                <w:szCs w:val="21"/>
              </w:rPr>
            </w:pPr>
          </w:p>
        </w:tc>
        <w:tc>
          <w:tcPr>
            <w:tcW w:w="964" w:type="pct"/>
            <w:vAlign w:val="center"/>
          </w:tcPr>
          <w:p w14:paraId="34A915C7"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41,239,039.01</w:t>
            </w:r>
          </w:p>
        </w:tc>
        <w:tc>
          <w:tcPr>
            <w:tcW w:w="914" w:type="pct"/>
            <w:vAlign w:val="center"/>
          </w:tcPr>
          <w:p w14:paraId="55B549C2"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11,313,613.35</w:t>
            </w:r>
          </w:p>
        </w:tc>
        <w:tc>
          <w:tcPr>
            <w:tcW w:w="955" w:type="pct"/>
            <w:vAlign w:val="center"/>
          </w:tcPr>
          <w:p w14:paraId="26DB88D8"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52,552,652.36</w:t>
            </w:r>
          </w:p>
        </w:tc>
      </w:tr>
      <w:tr w:rsidR="00E57DAA" w14:paraId="74A291E7" w14:textId="77777777">
        <w:tc>
          <w:tcPr>
            <w:tcW w:w="1524" w:type="pct"/>
            <w:vAlign w:val="center"/>
          </w:tcPr>
          <w:p w14:paraId="3D963424" w14:textId="77777777" w:rsidR="00E57DAA" w:rsidRDefault="00AC4185" w:rsidP="00C25422">
            <w:pPr>
              <w:pStyle w:val="250"/>
            </w:pPr>
            <w:proofErr w:type="spellStart"/>
            <w:r>
              <w:rPr>
                <w:rFonts w:hint="eastAsia"/>
              </w:rPr>
              <w:t>本期转回</w:t>
            </w:r>
            <w:proofErr w:type="spellEnd"/>
          </w:p>
        </w:tc>
        <w:tc>
          <w:tcPr>
            <w:tcW w:w="643" w:type="pct"/>
          </w:tcPr>
          <w:p w14:paraId="465B19DA" w14:textId="77777777" w:rsidR="00E57DAA" w:rsidRDefault="00E57DAA">
            <w:pPr>
              <w:jc w:val="right"/>
              <w:rPr>
                <w:rFonts w:asciiTheme="minorEastAsia" w:eastAsiaTheme="minorEastAsia" w:hAnsiTheme="minorEastAsia"/>
                <w:szCs w:val="21"/>
              </w:rPr>
            </w:pPr>
          </w:p>
        </w:tc>
        <w:tc>
          <w:tcPr>
            <w:tcW w:w="964" w:type="pct"/>
            <w:vAlign w:val="center"/>
          </w:tcPr>
          <w:p w14:paraId="2FFB92B1" w14:textId="77777777" w:rsidR="00E57DAA" w:rsidRDefault="00E57DAA">
            <w:pPr>
              <w:jc w:val="right"/>
              <w:rPr>
                <w:rFonts w:asciiTheme="minorEastAsia" w:eastAsiaTheme="minorEastAsia" w:hAnsiTheme="minorEastAsia"/>
                <w:szCs w:val="21"/>
              </w:rPr>
            </w:pPr>
          </w:p>
        </w:tc>
        <w:tc>
          <w:tcPr>
            <w:tcW w:w="914" w:type="pct"/>
            <w:vAlign w:val="center"/>
          </w:tcPr>
          <w:p w14:paraId="6137699D"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2,000,000.00</w:t>
            </w:r>
          </w:p>
        </w:tc>
        <w:tc>
          <w:tcPr>
            <w:tcW w:w="955" w:type="pct"/>
            <w:vAlign w:val="center"/>
          </w:tcPr>
          <w:p w14:paraId="25DB99A8"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2,000,000.00</w:t>
            </w:r>
          </w:p>
        </w:tc>
      </w:tr>
      <w:tr w:rsidR="00E57DAA" w14:paraId="720D73D9" w14:textId="77777777">
        <w:tc>
          <w:tcPr>
            <w:tcW w:w="1524" w:type="pct"/>
            <w:vAlign w:val="center"/>
          </w:tcPr>
          <w:p w14:paraId="1BC43CE3" w14:textId="77777777" w:rsidR="00E57DAA" w:rsidRDefault="00AC4185" w:rsidP="00C25422">
            <w:pPr>
              <w:pStyle w:val="250"/>
            </w:pPr>
            <w:proofErr w:type="spellStart"/>
            <w:r>
              <w:rPr>
                <w:rFonts w:hint="eastAsia"/>
              </w:rPr>
              <w:t>本期转销</w:t>
            </w:r>
            <w:proofErr w:type="spellEnd"/>
          </w:p>
        </w:tc>
        <w:tc>
          <w:tcPr>
            <w:tcW w:w="643" w:type="pct"/>
          </w:tcPr>
          <w:p w14:paraId="52608E94" w14:textId="77777777" w:rsidR="00E57DAA" w:rsidRDefault="00E57DAA">
            <w:pPr>
              <w:jc w:val="right"/>
              <w:rPr>
                <w:rFonts w:asciiTheme="minorEastAsia" w:eastAsiaTheme="minorEastAsia" w:hAnsiTheme="minorEastAsia"/>
                <w:szCs w:val="21"/>
              </w:rPr>
            </w:pPr>
          </w:p>
        </w:tc>
        <w:tc>
          <w:tcPr>
            <w:tcW w:w="964" w:type="pct"/>
            <w:vAlign w:val="center"/>
          </w:tcPr>
          <w:p w14:paraId="5D4AB3DB" w14:textId="77777777" w:rsidR="00E57DAA" w:rsidRDefault="00E57DAA">
            <w:pPr>
              <w:jc w:val="right"/>
              <w:rPr>
                <w:rFonts w:asciiTheme="minorEastAsia" w:eastAsiaTheme="minorEastAsia" w:hAnsiTheme="minorEastAsia"/>
                <w:szCs w:val="21"/>
              </w:rPr>
            </w:pPr>
          </w:p>
        </w:tc>
        <w:tc>
          <w:tcPr>
            <w:tcW w:w="914" w:type="pct"/>
            <w:vAlign w:val="center"/>
          </w:tcPr>
          <w:p w14:paraId="15E2CE93" w14:textId="77777777" w:rsidR="00E57DAA" w:rsidRDefault="00E57DAA">
            <w:pPr>
              <w:jc w:val="right"/>
              <w:rPr>
                <w:rFonts w:asciiTheme="minorEastAsia" w:eastAsiaTheme="minorEastAsia" w:hAnsiTheme="minorEastAsia"/>
                <w:szCs w:val="21"/>
              </w:rPr>
            </w:pPr>
          </w:p>
        </w:tc>
        <w:tc>
          <w:tcPr>
            <w:tcW w:w="955" w:type="pct"/>
            <w:vAlign w:val="center"/>
          </w:tcPr>
          <w:p w14:paraId="391B941A" w14:textId="77777777" w:rsidR="00E57DAA" w:rsidRDefault="00E57DAA">
            <w:pPr>
              <w:jc w:val="right"/>
              <w:rPr>
                <w:rFonts w:asciiTheme="minorEastAsia" w:eastAsiaTheme="minorEastAsia" w:hAnsiTheme="minorEastAsia"/>
                <w:szCs w:val="21"/>
              </w:rPr>
            </w:pPr>
          </w:p>
        </w:tc>
      </w:tr>
      <w:tr w:rsidR="00E57DAA" w14:paraId="2231B9C7" w14:textId="77777777">
        <w:tc>
          <w:tcPr>
            <w:tcW w:w="1524" w:type="pct"/>
            <w:vAlign w:val="center"/>
          </w:tcPr>
          <w:p w14:paraId="092233D6" w14:textId="77777777" w:rsidR="00E57DAA" w:rsidRDefault="00AC4185" w:rsidP="00C25422">
            <w:pPr>
              <w:pStyle w:val="250"/>
            </w:pPr>
            <w:proofErr w:type="spellStart"/>
            <w:r>
              <w:rPr>
                <w:rFonts w:hint="eastAsia"/>
              </w:rPr>
              <w:t>本期核销</w:t>
            </w:r>
            <w:proofErr w:type="spellEnd"/>
          </w:p>
        </w:tc>
        <w:tc>
          <w:tcPr>
            <w:tcW w:w="643" w:type="pct"/>
          </w:tcPr>
          <w:p w14:paraId="002B50B8" w14:textId="77777777" w:rsidR="00E57DAA" w:rsidRDefault="00E57DAA">
            <w:pPr>
              <w:jc w:val="right"/>
              <w:rPr>
                <w:rFonts w:asciiTheme="minorEastAsia" w:eastAsiaTheme="minorEastAsia" w:hAnsiTheme="minorEastAsia"/>
                <w:szCs w:val="21"/>
              </w:rPr>
            </w:pPr>
          </w:p>
        </w:tc>
        <w:tc>
          <w:tcPr>
            <w:tcW w:w="964" w:type="pct"/>
            <w:vAlign w:val="center"/>
          </w:tcPr>
          <w:p w14:paraId="18C44A42"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1,657,238.42</w:t>
            </w:r>
          </w:p>
        </w:tc>
        <w:tc>
          <w:tcPr>
            <w:tcW w:w="914" w:type="pct"/>
            <w:vAlign w:val="center"/>
          </w:tcPr>
          <w:p w14:paraId="3D618E49" w14:textId="77777777" w:rsidR="00E57DAA" w:rsidRDefault="00E57DAA">
            <w:pPr>
              <w:jc w:val="right"/>
              <w:rPr>
                <w:rFonts w:asciiTheme="minorEastAsia" w:eastAsiaTheme="minorEastAsia" w:hAnsiTheme="minorEastAsia"/>
                <w:szCs w:val="21"/>
              </w:rPr>
            </w:pPr>
          </w:p>
        </w:tc>
        <w:tc>
          <w:tcPr>
            <w:tcW w:w="955" w:type="pct"/>
            <w:vAlign w:val="center"/>
          </w:tcPr>
          <w:p w14:paraId="629C533A"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1,657,238.42</w:t>
            </w:r>
          </w:p>
        </w:tc>
      </w:tr>
      <w:tr w:rsidR="00E57DAA" w14:paraId="78CA8837" w14:textId="77777777">
        <w:tc>
          <w:tcPr>
            <w:tcW w:w="1524" w:type="pct"/>
            <w:vAlign w:val="center"/>
          </w:tcPr>
          <w:p w14:paraId="68B0DBBC" w14:textId="77777777" w:rsidR="00E57DAA" w:rsidRDefault="00AC4185" w:rsidP="00C25422">
            <w:pPr>
              <w:pStyle w:val="250"/>
            </w:pPr>
            <w:proofErr w:type="spellStart"/>
            <w:r>
              <w:rPr>
                <w:rFonts w:hint="eastAsia"/>
              </w:rPr>
              <w:lastRenderedPageBreak/>
              <w:t>其他变动</w:t>
            </w:r>
            <w:proofErr w:type="spellEnd"/>
          </w:p>
        </w:tc>
        <w:tc>
          <w:tcPr>
            <w:tcW w:w="643" w:type="pct"/>
          </w:tcPr>
          <w:p w14:paraId="63EAB055" w14:textId="77777777" w:rsidR="00E57DAA" w:rsidRDefault="00E57DAA">
            <w:pPr>
              <w:jc w:val="right"/>
              <w:rPr>
                <w:rFonts w:asciiTheme="minorEastAsia" w:eastAsiaTheme="minorEastAsia" w:hAnsiTheme="minorEastAsia"/>
                <w:szCs w:val="21"/>
              </w:rPr>
            </w:pPr>
          </w:p>
        </w:tc>
        <w:tc>
          <w:tcPr>
            <w:tcW w:w="964" w:type="pct"/>
            <w:vAlign w:val="center"/>
          </w:tcPr>
          <w:p w14:paraId="3D7BA271"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-1,467,578.16</w:t>
            </w:r>
          </w:p>
        </w:tc>
        <w:tc>
          <w:tcPr>
            <w:tcW w:w="914" w:type="pct"/>
            <w:vAlign w:val="center"/>
          </w:tcPr>
          <w:p w14:paraId="4B13A2AA" w14:textId="77777777" w:rsidR="00E57DAA" w:rsidRDefault="00E57DAA">
            <w:pPr>
              <w:jc w:val="right"/>
              <w:rPr>
                <w:rFonts w:asciiTheme="minorEastAsia" w:eastAsiaTheme="minorEastAsia" w:hAnsiTheme="minorEastAsia"/>
                <w:szCs w:val="21"/>
              </w:rPr>
            </w:pPr>
          </w:p>
        </w:tc>
        <w:tc>
          <w:tcPr>
            <w:tcW w:w="955" w:type="pct"/>
            <w:vAlign w:val="center"/>
          </w:tcPr>
          <w:p w14:paraId="4B5436E3"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-1,467,578.16</w:t>
            </w:r>
          </w:p>
        </w:tc>
      </w:tr>
      <w:tr w:rsidR="00E57DAA" w14:paraId="31A2BBCB" w14:textId="77777777">
        <w:tc>
          <w:tcPr>
            <w:tcW w:w="1524" w:type="pct"/>
            <w:vAlign w:val="center"/>
          </w:tcPr>
          <w:p w14:paraId="0CD89973" w14:textId="77777777" w:rsidR="00E57DAA" w:rsidRDefault="00AC4185" w:rsidP="00C25422">
            <w:pPr>
              <w:pStyle w:val="250"/>
            </w:pPr>
            <w:r>
              <w:t>2023年12月31日</w:t>
            </w:r>
            <w:r>
              <w:rPr>
                <w:rFonts w:hint="eastAsia"/>
              </w:rPr>
              <w:t>余额</w:t>
            </w:r>
          </w:p>
        </w:tc>
        <w:tc>
          <w:tcPr>
            <w:tcW w:w="643" w:type="pct"/>
          </w:tcPr>
          <w:p w14:paraId="6C8380CE" w14:textId="77777777" w:rsidR="00E57DAA" w:rsidRDefault="00E57DAA">
            <w:pPr>
              <w:jc w:val="right"/>
              <w:rPr>
                <w:rFonts w:asciiTheme="minorEastAsia" w:eastAsiaTheme="minorEastAsia" w:hAnsiTheme="minorEastAsia"/>
                <w:szCs w:val="21"/>
              </w:rPr>
            </w:pPr>
          </w:p>
        </w:tc>
        <w:tc>
          <w:tcPr>
            <w:tcW w:w="964" w:type="pct"/>
            <w:vAlign w:val="center"/>
          </w:tcPr>
          <w:p w14:paraId="0BF1493D"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214,111,051.20</w:t>
            </w:r>
          </w:p>
        </w:tc>
        <w:tc>
          <w:tcPr>
            <w:tcW w:w="914" w:type="pct"/>
            <w:vAlign w:val="center"/>
          </w:tcPr>
          <w:p w14:paraId="429359F0"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77,888,334.86</w:t>
            </w:r>
          </w:p>
        </w:tc>
        <w:tc>
          <w:tcPr>
            <w:tcW w:w="955" w:type="pct"/>
            <w:vAlign w:val="center"/>
          </w:tcPr>
          <w:p w14:paraId="29EE2F8B" w14:textId="77777777" w:rsidR="00E57DAA" w:rsidRDefault="00AC4185">
            <w:pPr>
              <w:jc w:val="right"/>
              <w:rPr>
                <w:rFonts w:asciiTheme="minorEastAsia" w:eastAsiaTheme="minorEastAsia" w:hAnsiTheme="minorEastAsia"/>
                <w:szCs w:val="21"/>
              </w:rPr>
            </w:pPr>
            <w:r>
              <w:rPr>
                <w:rFonts w:asciiTheme="minorEastAsia" w:eastAsiaTheme="minorEastAsia" w:hAnsiTheme="minorEastAsia"/>
                <w:szCs w:val="21"/>
              </w:rPr>
              <w:t>291,999,386.06</w:t>
            </w:r>
          </w:p>
        </w:tc>
      </w:tr>
    </w:tbl>
    <w:p w14:paraId="4B0B1B7C" w14:textId="77777777" w:rsidR="00E57DAA" w:rsidRDefault="00E57DAA" w:rsidP="00C25422">
      <w:pPr>
        <w:pStyle w:val="92"/>
      </w:pPr>
    </w:p>
    <w:p w14:paraId="042A3B7E" w14:textId="77777777" w:rsidR="00E57DAA" w:rsidRDefault="00E57DAA" w:rsidP="00C25422">
      <w:pPr>
        <w:pStyle w:val="92"/>
      </w:pPr>
    </w:p>
    <w:p w14:paraId="63390346" w14:textId="77777777" w:rsidR="00E57DAA" w:rsidRDefault="00AC4185">
      <w:pPr>
        <w:pStyle w:val="45"/>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431886717"/>
        <w:placeholder>
          <w:docPart w:val="GBC22222222222222222222222222222"/>
        </w:placeholder>
      </w:sdtPr>
      <w:sdtEndPr/>
      <w:sdtContent>
        <w:p w14:paraId="1D3F7E9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E8C28C" w14:textId="77777777" w:rsidR="00E57DAA" w:rsidRDefault="00E57DAA" w:rsidP="00C25422">
      <w:pPr>
        <w:pStyle w:val="92"/>
      </w:pPr>
    </w:p>
    <w:p w14:paraId="277C3E37" w14:textId="77777777" w:rsidR="00E57DAA" w:rsidRDefault="00AC4185" w:rsidP="00C25422">
      <w:pPr>
        <w:pStyle w:val="92"/>
      </w:pPr>
      <w:r>
        <w:rPr>
          <w:rFonts w:hint="eastAsia"/>
        </w:rPr>
        <w:t>本期坏账准备计提金额以及评估金融工具的信用风险是否显著增加的采用依据：</w:t>
      </w:r>
    </w:p>
    <w:bookmarkEnd w:id="227" w:displacedByCustomXml="next"/>
    <w:bookmarkStart w:id="228" w:name="_Hlk534806817" w:displacedByCustomXml="next"/>
    <w:sdt>
      <w:sdtPr>
        <w:alias w:val="是否适用：其他应收款本期坏账准备计提金额以及评估金融工具的信用风险显著增加的采用依据[双击切换]"/>
        <w:tag w:val="_GBC_443438be92c7443db5842cb1e5d811cd"/>
        <w:id w:val="275833391"/>
        <w:placeholder>
          <w:docPart w:val="GBC22222222222222222222222222222"/>
        </w:placeholder>
      </w:sdtPr>
      <w:sdtEndPr/>
      <w:sdtContent>
        <w:p w14:paraId="646B972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8"/>
    <w:p w14:paraId="0E927E79" w14:textId="77777777" w:rsidR="00E57DAA" w:rsidRDefault="00E57DAA" w:rsidP="00C25422">
      <w:pPr>
        <w:pStyle w:val="92"/>
      </w:pPr>
    </w:p>
    <w:p w14:paraId="250AB07D" w14:textId="77777777" w:rsidR="00E57DAA" w:rsidRDefault="00AC4185" w:rsidP="00C25422">
      <w:pPr>
        <w:pStyle w:val="90"/>
        <w:numPr>
          <w:ilvl w:val="0"/>
          <w:numId w:val="75"/>
        </w:numPr>
        <w:ind w:leftChars="0"/>
      </w:pPr>
      <w:r>
        <w:rPr>
          <w:rFonts w:hint="eastAsia"/>
        </w:rPr>
        <w:t>坏账准备的情况</w:t>
      </w:r>
    </w:p>
    <w:bookmarkStart w:id="229" w:name="_Hlk532831394" w:displacedByCustomXml="next"/>
    <w:sdt>
      <w:sdtPr>
        <w:alias w:val="是否适用：其他应收款坏账准备[双击切换]"/>
        <w:tag w:val="_GBC_524ff4c8c6e549ef8e2bf00ca72ddbb6"/>
        <w:id w:val="-1693683819"/>
        <w:placeholder>
          <w:docPart w:val="GBC22222222222222222222222222222"/>
        </w:placeholder>
      </w:sdtPr>
      <w:sdtEndPr/>
      <w:sdtContent>
        <w:p w14:paraId="26217EA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04C54D" w14:textId="77777777" w:rsidR="00E57DAA" w:rsidRDefault="00AC4185" w:rsidP="00C25422">
      <w:pPr>
        <w:pStyle w:val="73"/>
        <w:ind w:firstLine="400"/>
      </w:pPr>
      <w:r>
        <w:rPr>
          <w:rFonts w:hint="eastAsia"/>
        </w:rPr>
        <w:t>单位：</w:t>
      </w:r>
      <w:sdt>
        <w:sdtPr>
          <w:rPr>
            <w:rFonts w:hint="eastAsia"/>
          </w:rPr>
          <w:alias w:val="单位：其他应收款坏账准备"/>
          <w:tag w:val="_GBC_a1cc48852f8047719c9f4b9326a997e3"/>
          <w:id w:val="2998115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其他应收款坏账准备"/>
          <w:tag w:val="_GBC_cc05d2791f5f4983a0b6c04ec0989295"/>
          <w:id w:val="3226305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24"/>
        <w:gridCol w:w="1276"/>
        <w:gridCol w:w="1298"/>
        <w:gridCol w:w="1204"/>
        <w:gridCol w:w="1204"/>
        <w:gridCol w:w="1541"/>
        <w:gridCol w:w="1276"/>
      </w:tblGrid>
      <w:tr w:rsidR="00E57DAA" w14:paraId="0FC74E1C" w14:textId="77777777">
        <w:sdt>
          <w:sdtPr>
            <w:rPr>
              <w:sz w:val="15"/>
              <w:szCs w:val="15"/>
            </w:rPr>
            <w:tag w:val="_PLD_26385dc5e422410c8676e4fee82120cb"/>
            <w:id w:val="3952328"/>
          </w:sdtPr>
          <w:sdtEndPr/>
          <w:sdtContent>
            <w:tc>
              <w:tcPr>
                <w:tcW w:w="640" w:type="pct"/>
                <w:vMerge w:val="restart"/>
                <w:shd w:val="clear" w:color="auto" w:fill="FFFFFF"/>
                <w:vAlign w:val="center"/>
              </w:tcPr>
              <w:p w14:paraId="481205BF" w14:textId="77777777" w:rsidR="00E57DAA" w:rsidRDefault="00AC4185">
                <w:pPr>
                  <w:widowControl w:val="0"/>
                  <w:jc w:val="center"/>
                  <w:rPr>
                    <w:sz w:val="15"/>
                    <w:szCs w:val="15"/>
                  </w:rPr>
                </w:pPr>
                <w:r>
                  <w:rPr>
                    <w:sz w:val="15"/>
                    <w:szCs w:val="15"/>
                  </w:rPr>
                  <w:t>类别</w:t>
                </w:r>
              </w:p>
            </w:tc>
          </w:sdtContent>
        </w:sdt>
        <w:sdt>
          <w:sdtPr>
            <w:rPr>
              <w:sz w:val="15"/>
              <w:szCs w:val="15"/>
            </w:rPr>
            <w:tag w:val="_PLD_325dd74545cb4f67921ea1cc7ed20a2b"/>
            <w:id w:val="-1502264658"/>
          </w:sdtPr>
          <w:sdtEndPr/>
          <w:sdtContent>
            <w:tc>
              <w:tcPr>
                <w:tcW w:w="428" w:type="pct"/>
                <w:vMerge w:val="restart"/>
                <w:shd w:val="clear" w:color="auto" w:fill="FFFFFF"/>
                <w:vAlign w:val="center"/>
              </w:tcPr>
              <w:p w14:paraId="76734414" w14:textId="77777777" w:rsidR="00E57DAA" w:rsidRDefault="00AC4185">
                <w:pPr>
                  <w:widowControl w:val="0"/>
                  <w:jc w:val="center"/>
                  <w:rPr>
                    <w:sz w:val="15"/>
                    <w:szCs w:val="15"/>
                  </w:rPr>
                </w:pPr>
                <w:r>
                  <w:rPr>
                    <w:sz w:val="15"/>
                    <w:szCs w:val="15"/>
                  </w:rPr>
                  <w:t>期初余额</w:t>
                </w:r>
              </w:p>
            </w:tc>
          </w:sdtContent>
        </w:sdt>
        <w:sdt>
          <w:sdtPr>
            <w:rPr>
              <w:sz w:val="15"/>
              <w:szCs w:val="15"/>
            </w:rPr>
            <w:tag w:val="_PLD_d513696ccf0b46ccb4ea6d2ef23dbbd2"/>
            <w:id w:val="1768806725"/>
          </w:sdtPr>
          <w:sdtEndPr/>
          <w:sdtContent>
            <w:tc>
              <w:tcPr>
                <w:tcW w:w="3209" w:type="pct"/>
                <w:gridSpan w:val="4"/>
                <w:shd w:val="clear" w:color="auto" w:fill="FFFFFF"/>
                <w:vAlign w:val="center"/>
              </w:tcPr>
              <w:p w14:paraId="3F07AF59" w14:textId="77777777" w:rsidR="00E57DAA" w:rsidRDefault="00AC4185">
                <w:pPr>
                  <w:widowControl w:val="0"/>
                  <w:jc w:val="center"/>
                  <w:rPr>
                    <w:sz w:val="15"/>
                    <w:szCs w:val="15"/>
                  </w:rPr>
                </w:pPr>
                <w:r>
                  <w:rPr>
                    <w:rFonts w:hint="eastAsia"/>
                    <w:sz w:val="15"/>
                    <w:szCs w:val="15"/>
                  </w:rPr>
                  <w:t>本期变动</w:t>
                </w:r>
                <w:r>
                  <w:rPr>
                    <w:sz w:val="15"/>
                    <w:szCs w:val="15"/>
                  </w:rPr>
                  <w:t>金额</w:t>
                </w:r>
              </w:p>
            </w:tc>
          </w:sdtContent>
        </w:sdt>
        <w:sdt>
          <w:sdtPr>
            <w:rPr>
              <w:sz w:val="15"/>
              <w:szCs w:val="15"/>
            </w:rPr>
            <w:tag w:val="_PLD_20b48d7d53584edf917ab5d4207d6a9c"/>
            <w:id w:val="-1609267859"/>
          </w:sdtPr>
          <w:sdtEndPr/>
          <w:sdtContent>
            <w:tc>
              <w:tcPr>
                <w:tcW w:w="723" w:type="pct"/>
                <w:vMerge w:val="restart"/>
                <w:shd w:val="clear" w:color="auto" w:fill="FFFFFF"/>
                <w:vAlign w:val="center"/>
              </w:tcPr>
              <w:p w14:paraId="24DEBB61" w14:textId="77777777" w:rsidR="00E57DAA" w:rsidRDefault="00AC4185">
                <w:pPr>
                  <w:widowControl w:val="0"/>
                  <w:jc w:val="center"/>
                  <w:rPr>
                    <w:sz w:val="15"/>
                    <w:szCs w:val="15"/>
                  </w:rPr>
                </w:pPr>
                <w:r>
                  <w:rPr>
                    <w:sz w:val="15"/>
                    <w:szCs w:val="15"/>
                  </w:rPr>
                  <w:t>期末余额</w:t>
                </w:r>
              </w:p>
            </w:tc>
          </w:sdtContent>
        </w:sdt>
      </w:tr>
      <w:tr w:rsidR="00E57DAA" w14:paraId="73167BEE" w14:textId="77777777">
        <w:tc>
          <w:tcPr>
            <w:tcW w:w="640" w:type="pct"/>
            <w:vMerge/>
            <w:shd w:val="clear" w:color="auto" w:fill="FFFFFF"/>
          </w:tcPr>
          <w:p w14:paraId="6C0C41CA" w14:textId="77777777" w:rsidR="00E57DAA" w:rsidRDefault="00E57DAA">
            <w:pPr>
              <w:widowControl w:val="0"/>
              <w:jc w:val="center"/>
              <w:rPr>
                <w:sz w:val="15"/>
                <w:szCs w:val="15"/>
              </w:rPr>
            </w:pPr>
          </w:p>
        </w:tc>
        <w:tc>
          <w:tcPr>
            <w:tcW w:w="428" w:type="pct"/>
            <w:vMerge/>
            <w:shd w:val="clear" w:color="auto" w:fill="FFFFFF"/>
          </w:tcPr>
          <w:p w14:paraId="2D44D660" w14:textId="77777777" w:rsidR="00E57DAA" w:rsidRDefault="00E57DAA">
            <w:pPr>
              <w:widowControl w:val="0"/>
              <w:jc w:val="center"/>
              <w:rPr>
                <w:sz w:val="15"/>
                <w:szCs w:val="15"/>
              </w:rPr>
            </w:pPr>
          </w:p>
        </w:tc>
        <w:sdt>
          <w:sdtPr>
            <w:rPr>
              <w:sz w:val="15"/>
              <w:szCs w:val="15"/>
            </w:rPr>
            <w:tag w:val="_PLD_97824acb5c834e9fbe6cf8e4b6cac761"/>
            <w:id w:val="60916437"/>
          </w:sdtPr>
          <w:sdtEndPr/>
          <w:sdtContent>
            <w:tc>
              <w:tcPr>
                <w:tcW w:w="795" w:type="pct"/>
                <w:shd w:val="clear" w:color="auto" w:fill="FFFFFF"/>
                <w:vAlign w:val="center"/>
              </w:tcPr>
              <w:p w14:paraId="44E0DB3F" w14:textId="77777777" w:rsidR="00E57DAA" w:rsidRDefault="00AC4185">
                <w:pPr>
                  <w:widowControl w:val="0"/>
                  <w:jc w:val="center"/>
                  <w:rPr>
                    <w:sz w:val="15"/>
                    <w:szCs w:val="15"/>
                  </w:rPr>
                </w:pPr>
                <w:r>
                  <w:rPr>
                    <w:sz w:val="15"/>
                    <w:szCs w:val="15"/>
                  </w:rPr>
                  <w:t>计提</w:t>
                </w:r>
              </w:p>
            </w:tc>
          </w:sdtContent>
        </w:sdt>
        <w:sdt>
          <w:sdtPr>
            <w:rPr>
              <w:sz w:val="15"/>
              <w:szCs w:val="15"/>
            </w:rPr>
            <w:tag w:val="_PLD_233002cee9bc4108842b58a08731b243"/>
            <w:id w:val="-1955320207"/>
          </w:sdtPr>
          <w:sdtEndPr/>
          <w:sdtContent>
            <w:tc>
              <w:tcPr>
                <w:tcW w:w="741" w:type="pct"/>
                <w:shd w:val="clear" w:color="auto" w:fill="FFFFFF"/>
                <w:vAlign w:val="center"/>
              </w:tcPr>
              <w:p w14:paraId="0147C679" w14:textId="77777777" w:rsidR="00E57DAA" w:rsidRDefault="00AC4185">
                <w:pPr>
                  <w:widowControl w:val="0"/>
                  <w:jc w:val="center"/>
                  <w:rPr>
                    <w:sz w:val="15"/>
                    <w:szCs w:val="15"/>
                  </w:rPr>
                </w:pPr>
                <w:r>
                  <w:rPr>
                    <w:rFonts w:hint="eastAsia"/>
                    <w:sz w:val="15"/>
                    <w:szCs w:val="15"/>
                  </w:rPr>
                  <w:t>收回或转回</w:t>
                </w:r>
              </w:p>
            </w:tc>
          </w:sdtContent>
        </w:sdt>
        <w:sdt>
          <w:sdtPr>
            <w:rPr>
              <w:sz w:val="15"/>
              <w:szCs w:val="15"/>
            </w:rPr>
            <w:tag w:val="_PLD_6bcdf2328a584128aba90aa75e33c767"/>
            <w:id w:val="130376875"/>
          </w:sdtPr>
          <w:sdtEndPr/>
          <w:sdtContent>
            <w:tc>
              <w:tcPr>
                <w:tcW w:w="741" w:type="pct"/>
                <w:shd w:val="clear" w:color="auto" w:fill="FFFFFF"/>
                <w:vAlign w:val="center"/>
              </w:tcPr>
              <w:p w14:paraId="3995C77B" w14:textId="77777777" w:rsidR="00E57DAA" w:rsidRDefault="00AC4185">
                <w:pPr>
                  <w:widowControl w:val="0"/>
                  <w:jc w:val="center"/>
                  <w:rPr>
                    <w:sz w:val="15"/>
                    <w:szCs w:val="15"/>
                  </w:rPr>
                </w:pPr>
                <w:r>
                  <w:rPr>
                    <w:rFonts w:hint="eastAsia"/>
                    <w:sz w:val="15"/>
                    <w:szCs w:val="15"/>
                  </w:rPr>
                  <w:t>转销或核销</w:t>
                </w:r>
              </w:p>
            </w:tc>
          </w:sdtContent>
        </w:sdt>
        <w:tc>
          <w:tcPr>
            <w:tcW w:w="932" w:type="pct"/>
            <w:shd w:val="clear" w:color="auto" w:fill="FFFFFF"/>
            <w:vAlign w:val="center"/>
          </w:tcPr>
          <w:sdt>
            <w:sdtPr>
              <w:rPr>
                <w:rFonts w:hint="eastAsia"/>
                <w:sz w:val="15"/>
                <w:szCs w:val="15"/>
              </w:rPr>
              <w:tag w:val="_PLD_da684cd2e7cd4d42baf40bc9d95a0ce8"/>
              <w:id w:val="1388917391"/>
            </w:sdtPr>
            <w:sdtEndPr/>
            <w:sdtContent>
              <w:p w14:paraId="42128404" w14:textId="77777777" w:rsidR="00E57DAA" w:rsidRDefault="00AC4185">
                <w:pPr>
                  <w:widowControl w:val="0"/>
                  <w:jc w:val="right"/>
                  <w:rPr>
                    <w:sz w:val="15"/>
                    <w:szCs w:val="15"/>
                  </w:rPr>
                </w:pPr>
                <w:r>
                  <w:rPr>
                    <w:rFonts w:hint="eastAsia"/>
                    <w:sz w:val="15"/>
                    <w:szCs w:val="15"/>
                  </w:rPr>
                  <w:t>其他变动</w:t>
                </w:r>
              </w:p>
            </w:sdtContent>
          </w:sdt>
        </w:tc>
        <w:tc>
          <w:tcPr>
            <w:tcW w:w="723" w:type="pct"/>
            <w:vMerge/>
            <w:shd w:val="clear" w:color="auto" w:fill="FFFFFF"/>
          </w:tcPr>
          <w:p w14:paraId="5B5F5396" w14:textId="77777777" w:rsidR="00E57DAA" w:rsidRDefault="00E57DAA">
            <w:pPr>
              <w:widowControl w:val="0"/>
              <w:jc w:val="right"/>
              <w:rPr>
                <w:sz w:val="15"/>
                <w:szCs w:val="15"/>
              </w:rPr>
            </w:pPr>
          </w:p>
        </w:tc>
      </w:tr>
      <w:tr w:rsidR="00E57DAA" w14:paraId="388448B8" w14:textId="77777777">
        <w:tc>
          <w:tcPr>
            <w:tcW w:w="640" w:type="pct"/>
            <w:shd w:val="clear" w:color="auto" w:fill="auto"/>
          </w:tcPr>
          <w:p w14:paraId="409D3C84" w14:textId="77777777" w:rsidR="00E57DAA" w:rsidRDefault="00AC4185">
            <w:pPr>
              <w:pStyle w:val="8"/>
              <w:rPr>
                <w:sz w:val="15"/>
                <w:szCs w:val="15"/>
              </w:rPr>
            </w:pPr>
            <w:r>
              <w:rPr>
                <w:rFonts w:hint="eastAsia"/>
                <w:sz w:val="15"/>
                <w:szCs w:val="15"/>
              </w:rPr>
              <w:t>其他应收款坏账准备</w:t>
            </w:r>
            <w:r>
              <w:rPr>
                <w:sz w:val="15"/>
                <w:szCs w:val="15"/>
              </w:rPr>
              <w:t xml:space="preserve"> </w:t>
            </w:r>
          </w:p>
          <w:p w14:paraId="6B2772E3" w14:textId="77777777" w:rsidR="00E57DAA" w:rsidRDefault="00E57DAA">
            <w:pPr>
              <w:widowControl w:val="0"/>
              <w:rPr>
                <w:sz w:val="15"/>
                <w:szCs w:val="15"/>
              </w:rPr>
            </w:pPr>
          </w:p>
        </w:tc>
        <w:tc>
          <w:tcPr>
            <w:tcW w:w="428" w:type="pct"/>
            <w:shd w:val="clear" w:color="auto" w:fill="auto"/>
            <w:vAlign w:val="center"/>
          </w:tcPr>
          <w:p w14:paraId="636F4D9F" w14:textId="77777777" w:rsidR="00E57DAA" w:rsidRDefault="00AC4185">
            <w:pPr>
              <w:widowControl w:val="0"/>
              <w:jc w:val="center"/>
              <w:rPr>
                <w:sz w:val="15"/>
                <w:szCs w:val="15"/>
              </w:rPr>
            </w:pPr>
            <w:r>
              <w:rPr>
                <w:sz w:val="15"/>
                <w:szCs w:val="15"/>
              </w:rPr>
              <w:t>244,571,550.28</w:t>
            </w:r>
          </w:p>
        </w:tc>
        <w:tc>
          <w:tcPr>
            <w:tcW w:w="795" w:type="pct"/>
            <w:shd w:val="clear" w:color="auto" w:fill="auto"/>
            <w:vAlign w:val="center"/>
          </w:tcPr>
          <w:p w14:paraId="4001C0FA" w14:textId="77777777" w:rsidR="00E57DAA" w:rsidRDefault="00AC4185">
            <w:pPr>
              <w:widowControl w:val="0"/>
              <w:jc w:val="center"/>
              <w:rPr>
                <w:sz w:val="15"/>
                <w:szCs w:val="15"/>
              </w:rPr>
            </w:pPr>
            <w:r>
              <w:rPr>
                <w:sz w:val="15"/>
                <w:szCs w:val="15"/>
              </w:rPr>
              <w:t>52,552,652.36</w:t>
            </w:r>
          </w:p>
        </w:tc>
        <w:tc>
          <w:tcPr>
            <w:tcW w:w="741" w:type="pct"/>
            <w:shd w:val="clear" w:color="auto" w:fill="auto"/>
            <w:vAlign w:val="center"/>
          </w:tcPr>
          <w:p w14:paraId="1E550619" w14:textId="77777777" w:rsidR="00E57DAA" w:rsidRDefault="00AC4185">
            <w:pPr>
              <w:widowControl w:val="0"/>
              <w:jc w:val="center"/>
              <w:rPr>
                <w:sz w:val="15"/>
                <w:szCs w:val="15"/>
              </w:rPr>
            </w:pPr>
            <w:r>
              <w:rPr>
                <w:sz w:val="15"/>
                <w:szCs w:val="15"/>
              </w:rPr>
              <w:t>2,000,000.00</w:t>
            </w:r>
          </w:p>
        </w:tc>
        <w:tc>
          <w:tcPr>
            <w:tcW w:w="741" w:type="pct"/>
            <w:vAlign w:val="center"/>
          </w:tcPr>
          <w:p w14:paraId="3ED7A74D" w14:textId="77777777" w:rsidR="00E57DAA" w:rsidRDefault="00AC4185">
            <w:pPr>
              <w:widowControl w:val="0"/>
              <w:jc w:val="center"/>
              <w:rPr>
                <w:sz w:val="15"/>
                <w:szCs w:val="15"/>
              </w:rPr>
            </w:pPr>
            <w:r>
              <w:rPr>
                <w:sz w:val="15"/>
                <w:szCs w:val="15"/>
              </w:rPr>
              <w:t>1,657,238.42</w:t>
            </w:r>
          </w:p>
        </w:tc>
        <w:tc>
          <w:tcPr>
            <w:tcW w:w="932" w:type="pct"/>
            <w:vAlign w:val="center"/>
          </w:tcPr>
          <w:p w14:paraId="723A13FB" w14:textId="77777777" w:rsidR="00E57DAA" w:rsidRDefault="00AC4185">
            <w:pPr>
              <w:widowControl w:val="0"/>
              <w:jc w:val="center"/>
              <w:rPr>
                <w:sz w:val="15"/>
                <w:szCs w:val="15"/>
              </w:rPr>
            </w:pPr>
            <w:r>
              <w:rPr>
                <w:sz w:val="15"/>
                <w:szCs w:val="15"/>
              </w:rPr>
              <w:t>-1,467,578.16</w:t>
            </w:r>
          </w:p>
        </w:tc>
        <w:tc>
          <w:tcPr>
            <w:tcW w:w="723" w:type="pct"/>
            <w:shd w:val="clear" w:color="auto" w:fill="auto"/>
            <w:vAlign w:val="center"/>
          </w:tcPr>
          <w:p w14:paraId="391D6A50" w14:textId="77777777" w:rsidR="00E57DAA" w:rsidRDefault="00AC4185">
            <w:pPr>
              <w:widowControl w:val="0"/>
              <w:jc w:val="center"/>
              <w:rPr>
                <w:sz w:val="15"/>
                <w:szCs w:val="15"/>
              </w:rPr>
            </w:pPr>
            <w:r>
              <w:rPr>
                <w:sz w:val="15"/>
                <w:szCs w:val="15"/>
              </w:rPr>
              <w:t>291,999,386.06</w:t>
            </w:r>
          </w:p>
        </w:tc>
      </w:tr>
      <w:tr w:rsidR="00E57DAA" w14:paraId="7736B15E" w14:textId="77777777">
        <w:tc>
          <w:tcPr>
            <w:tcW w:w="640" w:type="pct"/>
            <w:shd w:val="clear" w:color="auto" w:fill="auto"/>
          </w:tcPr>
          <w:p w14:paraId="45E68386" w14:textId="77777777" w:rsidR="00E57DAA" w:rsidRDefault="00AC4185">
            <w:pPr>
              <w:widowControl w:val="0"/>
              <w:jc w:val="center"/>
              <w:rPr>
                <w:sz w:val="15"/>
                <w:szCs w:val="15"/>
              </w:rPr>
            </w:pPr>
            <w:r>
              <w:rPr>
                <w:rFonts w:hint="eastAsia"/>
                <w:sz w:val="15"/>
                <w:szCs w:val="15"/>
              </w:rPr>
              <w:t>合计</w:t>
            </w:r>
          </w:p>
        </w:tc>
        <w:tc>
          <w:tcPr>
            <w:tcW w:w="428" w:type="pct"/>
            <w:shd w:val="clear" w:color="auto" w:fill="auto"/>
            <w:vAlign w:val="center"/>
          </w:tcPr>
          <w:p w14:paraId="37508CDD" w14:textId="77777777" w:rsidR="00E57DAA" w:rsidRDefault="00AC4185">
            <w:pPr>
              <w:widowControl w:val="0"/>
              <w:jc w:val="center"/>
              <w:rPr>
                <w:sz w:val="15"/>
                <w:szCs w:val="15"/>
              </w:rPr>
            </w:pPr>
            <w:r>
              <w:rPr>
                <w:sz w:val="15"/>
                <w:szCs w:val="15"/>
              </w:rPr>
              <w:t>244,571,550.28</w:t>
            </w:r>
          </w:p>
        </w:tc>
        <w:tc>
          <w:tcPr>
            <w:tcW w:w="795" w:type="pct"/>
            <w:shd w:val="clear" w:color="auto" w:fill="auto"/>
            <w:vAlign w:val="center"/>
          </w:tcPr>
          <w:p w14:paraId="2838C451" w14:textId="77777777" w:rsidR="00E57DAA" w:rsidRDefault="00AC4185">
            <w:pPr>
              <w:widowControl w:val="0"/>
              <w:jc w:val="center"/>
              <w:rPr>
                <w:sz w:val="15"/>
                <w:szCs w:val="15"/>
              </w:rPr>
            </w:pPr>
            <w:r>
              <w:rPr>
                <w:sz w:val="15"/>
                <w:szCs w:val="15"/>
              </w:rPr>
              <w:t>52,552,652.36</w:t>
            </w:r>
          </w:p>
        </w:tc>
        <w:tc>
          <w:tcPr>
            <w:tcW w:w="741" w:type="pct"/>
            <w:shd w:val="clear" w:color="auto" w:fill="auto"/>
            <w:vAlign w:val="center"/>
          </w:tcPr>
          <w:p w14:paraId="24D01C96" w14:textId="77777777" w:rsidR="00E57DAA" w:rsidRDefault="00AC4185">
            <w:pPr>
              <w:widowControl w:val="0"/>
              <w:jc w:val="center"/>
              <w:rPr>
                <w:sz w:val="15"/>
                <w:szCs w:val="15"/>
              </w:rPr>
            </w:pPr>
            <w:r>
              <w:rPr>
                <w:sz w:val="15"/>
                <w:szCs w:val="15"/>
              </w:rPr>
              <w:t>2,000,000.00</w:t>
            </w:r>
          </w:p>
        </w:tc>
        <w:tc>
          <w:tcPr>
            <w:tcW w:w="741" w:type="pct"/>
            <w:vAlign w:val="center"/>
          </w:tcPr>
          <w:p w14:paraId="5EE57311" w14:textId="77777777" w:rsidR="00E57DAA" w:rsidRDefault="00AC4185">
            <w:pPr>
              <w:widowControl w:val="0"/>
              <w:jc w:val="center"/>
              <w:rPr>
                <w:sz w:val="15"/>
                <w:szCs w:val="15"/>
              </w:rPr>
            </w:pPr>
            <w:r>
              <w:rPr>
                <w:sz w:val="15"/>
                <w:szCs w:val="15"/>
              </w:rPr>
              <w:t>1,657,238.42</w:t>
            </w:r>
          </w:p>
        </w:tc>
        <w:tc>
          <w:tcPr>
            <w:tcW w:w="932" w:type="pct"/>
            <w:vAlign w:val="center"/>
          </w:tcPr>
          <w:p w14:paraId="237C4572" w14:textId="77777777" w:rsidR="00E57DAA" w:rsidRDefault="00AC4185">
            <w:pPr>
              <w:widowControl w:val="0"/>
              <w:jc w:val="center"/>
              <w:rPr>
                <w:sz w:val="15"/>
                <w:szCs w:val="15"/>
              </w:rPr>
            </w:pPr>
            <w:r>
              <w:rPr>
                <w:sz w:val="15"/>
                <w:szCs w:val="15"/>
              </w:rPr>
              <w:t>-1,467,578.16</w:t>
            </w:r>
          </w:p>
        </w:tc>
        <w:tc>
          <w:tcPr>
            <w:tcW w:w="723" w:type="pct"/>
            <w:shd w:val="clear" w:color="auto" w:fill="auto"/>
            <w:vAlign w:val="center"/>
          </w:tcPr>
          <w:p w14:paraId="7180D9F6" w14:textId="77777777" w:rsidR="00E57DAA" w:rsidRDefault="00AC4185">
            <w:pPr>
              <w:widowControl w:val="0"/>
              <w:jc w:val="center"/>
              <w:rPr>
                <w:sz w:val="15"/>
                <w:szCs w:val="15"/>
              </w:rPr>
            </w:pPr>
            <w:r>
              <w:rPr>
                <w:sz w:val="15"/>
                <w:szCs w:val="15"/>
              </w:rPr>
              <w:t>291,999,386.06</w:t>
            </w:r>
          </w:p>
        </w:tc>
      </w:tr>
    </w:tbl>
    <w:p w14:paraId="083F5EDC" w14:textId="77777777" w:rsidR="00E57DAA" w:rsidRDefault="00E57DAA" w:rsidP="00C25422">
      <w:pPr>
        <w:pStyle w:val="92"/>
      </w:pPr>
    </w:p>
    <w:p w14:paraId="0226CD35" w14:textId="77777777" w:rsidR="00E57DAA" w:rsidRDefault="00AC4185" w:rsidP="00C25422">
      <w:pPr>
        <w:pStyle w:val="92"/>
      </w:pPr>
      <w:r>
        <w:rPr>
          <w:rFonts w:hint="eastAsia"/>
        </w:rPr>
        <w:t>其中本期坏账准备转回或收回金额重要的：</w:t>
      </w:r>
    </w:p>
    <w:bookmarkStart w:id="230" w:name="_Hlk154157836" w:displacedByCustomXml="next"/>
    <w:sdt>
      <w:sdtPr>
        <w:alias w:val="是否适用：其中本期其他应收账款坏账准备收回或转回金额重要的[双击切换]"/>
        <w:tag w:val="_GBC_c99a80b9a36440d7b9ed3ce899868361"/>
        <w:id w:val="-441758059"/>
        <w:placeholder>
          <w:docPart w:val="GBC22222222222222222222222222222"/>
        </w:placeholder>
      </w:sdtPr>
      <w:sdtEndPr/>
      <w:sdtContent>
        <w:p w14:paraId="259B0EF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9A1A16" w14:textId="77777777" w:rsidR="00E57DAA" w:rsidRDefault="00AC4185">
      <w:pPr>
        <w:jc w:val="right"/>
        <w:rPr>
          <w:highlight w:val="yellow"/>
        </w:rPr>
      </w:pPr>
      <w:r>
        <w:rPr>
          <w:rFonts w:hint="eastAsia"/>
        </w:rPr>
        <w:t>单位：</w:t>
      </w:r>
      <w:sdt>
        <w:sdtPr>
          <w:rPr>
            <w:rFonts w:hint="eastAsia"/>
          </w:rPr>
          <w:alias w:val="单位：转回或收回情况"/>
          <w:tag w:val="_GBC_206e2464a87e49dd9881dfe70d30de84"/>
          <w:id w:val="2054611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转回或收回情况"/>
          <w:tag w:val="_GBC_5113f9a0b3014522b0927f028d13d928"/>
          <w:id w:val="-8470202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7"/>
        <w:gridCol w:w="2965"/>
        <w:gridCol w:w="2961"/>
      </w:tblGrid>
      <w:tr w:rsidR="00E57DAA" w14:paraId="05B880D0" w14:textId="77777777">
        <w:sdt>
          <w:sdtPr>
            <w:tag w:val="_PLD_3dd5ac29cbba49d6af983ab883828e9c"/>
            <w:id w:val="744694056"/>
          </w:sdtPr>
          <w:sdtEndPr/>
          <w:sdtContent>
            <w:tc>
              <w:tcPr>
                <w:tcW w:w="1642" w:type="pct"/>
                <w:vAlign w:val="center"/>
              </w:tcPr>
              <w:p w14:paraId="5AE78E3D" w14:textId="77777777" w:rsidR="00E57DAA" w:rsidRDefault="00AC4185">
                <w:pPr>
                  <w:jc w:val="center"/>
                  <w:rPr>
                    <w:szCs w:val="21"/>
                  </w:rPr>
                </w:pPr>
                <w:r>
                  <w:rPr>
                    <w:rFonts w:hint="eastAsia"/>
                    <w:szCs w:val="21"/>
                  </w:rPr>
                  <w:t>单位名称</w:t>
                </w:r>
              </w:p>
            </w:tc>
          </w:sdtContent>
        </w:sdt>
        <w:sdt>
          <w:sdtPr>
            <w:tag w:val="_PLD_546780df9a1144639e1b11b19d8acb69"/>
            <w:id w:val="1543163700"/>
          </w:sdtPr>
          <w:sdtEndPr/>
          <w:sdtContent>
            <w:tc>
              <w:tcPr>
                <w:tcW w:w="1680" w:type="pct"/>
                <w:vAlign w:val="center"/>
              </w:tcPr>
              <w:p w14:paraId="0048A89C" w14:textId="77777777" w:rsidR="00E57DAA" w:rsidRDefault="00AC4185">
                <w:pPr>
                  <w:jc w:val="center"/>
                  <w:rPr>
                    <w:szCs w:val="21"/>
                  </w:rPr>
                </w:pPr>
                <w:r>
                  <w:rPr>
                    <w:rFonts w:hint="eastAsia"/>
                    <w:szCs w:val="21"/>
                  </w:rPr>
                  <w:t>转回或收回金额</w:t>
                </w:r>
              </w:p>
            </w:tc>
          </w:sdtContent>
        </w:sdt>
        <w:sdt>
          <w:sdtPr>
            <w:tag w:val="_PLD_0398c6791f0e487fadeb486f8a5c54c2"/>
            <w:id w:val="1560277105"/>
          </w:sdtPr>
          <w:sdtEndPr/>
          <w:sdtContent>
            <w:tc>
              <w:tcPr>
                <w:tcW w:w="1678" w:type="pct"/>
                <w:vAlign w:val="center"/>
              </w:tcPr>
              <w:p w14:paraId="7E79121B" w14:textId="77777777" w:rsidR="00E57DAA" w:rsidRDefault="00AC4185">
                <w:pPr>
                  <w:jc w:val="center"/>
                  <w:rPr>
                    <w:szCs w:val="21"/>
                  </w:rPr>
                </w:pPr>
                <w:r>
                  <w:rPr>
                    <w:rFonts w:hint="eastAsia"/>
                    <w:szCs w:val="21"/>
                  </w:rPr>
                  <w:t>收回方式</w:t>
                </w:r>
              </w:p>
            </w:tc>
          </w:sdtContent>
        </w:sdt>
      </w:tr>
      <w:tr w:rsidR="00E57DAA" w14:paraId="3FB00DA7" w14:textId="77777777">
        <w:trPr>
          <w:trHeight w:val="247"/>
        </w:trPr>
        <w:tc>
          <w:tcPr>
            <w:tcW w:w="1642" w:type="pct"/>
          </w:tcPr>
          <w:p w14:paraId="123255C0" w14:textId="77777777" w:rsidR="00E57DAA" w:rsidRDefault="00AC4185">
            <w:pPr>
              <w:rPr>
                <w:szCs w:val="21"/>
              </w:rPr>
            </w:pPr>
            <w:r>
              <w:t>宝塔盛华商贸集团有限公司</w:t>
            </w:r>
          </w:p>
        </w:tc>
        <w:tc>
          <w:tcPr>
            <w:tcW w:w="1680" w:type="pct"/>
          </w:tcPr>
          <w:p w14:paraId="30106458" w14:textId="77777777" w:rsidR="00E57DAA" w:rsidRDefault="00AC4185">
            <w:pPr>
              <w:jc w:val="right"/>
              <w:rPr>
                <w:szCs w:val="21"/>
              </w:rPr>
            </w:pPr>
            <w:r>
              <w:t>2,000,000.00</w:t>
            </w:r>
          </w:p>
        </w:tc>
        <w:tc>
          <w:tcPr>
            <w:tcW w:w="1678" w:type="pct"/>
          </w:tcPr>
          <w:p w14:paraId="7FE64348" w14:textId="77777777" w:rsidR="00E57DAA" w:rsidRDefault="00AC4185">
            <w:pPr>
              <w:rPr>
                <w:szCs w:val="21"/>
              </w:rPr>
            </w:pPr>
            <w:r>
              <w:t>银行回款</w:t>
            </w:r>
          </w:p>
        </w:tc>
      </w:tr>
      <w:tr w:rsidR="00E57DAA" w14:paraId="26CE4CC3" w14:textId="77777777">
        <w:tc>
          <w:tcPr>
            <w:tcW w:w="1642" w:type="pct"/>
            <w:vAlign w:val="center"/>
          </w:tcPr>
          <w:p w14:paraId="60089A1B" w14:textId="77777777" w:rsidR="00E57DAA" w:rsidRDefault="00AC4185">
            <w:pPr>
              <w:jc w:val="center"/>
              <w:rPr>
                <w:szCs w:val="21"/>
              </w:rPr>
            </w:pPr>
            <w:r>
              <w:rPr>
                <w:szCs w:val="21"/>
              </w:rPr>
              <w:t>合计</w:t>
            </w:r>
          </w:p>
        </w:tc>
        <w:tc>
          <w:tcPr>
            <w:tcW w:w="1680" w:type="pct"/>
          </w:tcPr>
          <w:p w14:paraId="450CE0DD" w14:textId="77777777" w:rsidR="00E57DAA" w:rsidRDefault="00AC4185">
            <w:pPr>
              <w:jc w:val="right"/>
              <w:rPr>
                <w:szCs w:val="21"/>
              </w:rPr>
            </w:pPr>
            <w:r>
              <w:rPr>
                <w:szCs w:val="21"/>
              </w:rPr>
              <w:t>2,000,000.00</w:t>
            </w:r>
          </w:p>
        </w:tc>
        <w:tc>
          <w:tcPr>
            <w:tcW w:w="1678" w:type="pct"/>
          </w:tcPr>
          <w:p w14:paraId="1A1B5D12" w14:textId="77777777" w:rsidR="00E57DAA" w:rsidRDefault="00AC4185">
            <w:pPr>
              <w:rPr>
                <w:szCs w:val="21"/>
              </w:rPr>
            </w:pPr>
            <w:r>
              <w:rPr>
                <w:rFonts w:hint="eastAsia"/>
                <w:szCs w:val="21"/>
              </w:rPr>
              <w:t>/</w:t>
            </w:r>
          </w:p>
        </w:tc>
      </w:tr>
    </w:tbl>
    <w:p w14:paraId="5363AAC8" w14:textId="77777777" w:rsidR="00E57DAA" w:rsidRDefault="00E57DAA" w:rsidP="00C25422">
      <w:pPr>
        <w:pStyle w:val="92"/>
      </w:pPr>
    </w:p>
    <w:bookmarkEnd w:id="230"/>
    <w:p w14:paraId="319BA19C" w14:textId="77777777" w:rsidR="00E57DAA" w:rsidRDefault="00E57DAA" w:rsidP="00C25422">
      <w:pPr>
        <w:pStyle w:val="92"/>
      </w:pPr>
    </w:p>
    <w:p w14:paraId="3A93A72D" w14:textId="77777777" w:rsidR="00E57DAA" w:rsidRDefault="00AC4185" w:rsidP="00C25422">
      <w:pPr>
        <w:pStyle w:val="90"/>
        <w:numPr>
          <w:ilvl w:val="0"/>
          <w:numId w:val="75"/>
        </w:numPr>
        <w:ind w:leftChars="0"/>
      </w:pPr>
      <w:r>
        <w:rPr>
          <w:rFonts w:hint="eastAsia"/>
        </w:rPr>
        <w:t>本期实际核销的其他应收款情况</w:t>
      </w:r>
    </w:p>
    <w:bookmarkEnd w:id="229" w:displacedByCustomXml="next"/>
    <w:sdt>
      <w:sdtPr>
        <w:alias w:val="是否适用：本期实际核销的其他应收款情况[双击切换]"/>
        <w:tag w:val="_GBC_2ce86125d6b94b148fa674141e6497b1"/>
        <w:id w:val="-1974128256"/>
        <w:placeholder>
          <w:docPart w:val="GBC22222222222222222222222222222"/>
        </w:placeholder>
      </w:sdtPr>
      <w:sdtEndPr/>
      <w:sdtContent>
        <w:p w14:paraId="4D814A7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122D90" w14:textId="77777777" w:rsidR="00E57DAA" w:rsidRDefault="00AC4185">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13102898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10289224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4394"/>
        <w:gridCol w:w="4429"/>
      </w:tblGrid>
      <w:tr w:rsidR="00E57DAA" w14:paraId="69DBD37E" w14:textId="77777777">
        <w:trPr>
          <w:cantSplit/>
        </w:trPr>
        <w:sdt>
          <w:sdtPr>
            <w:tag w:val="_PLD_37dfaf7051a145ae922646054d926a0e"/>
            <w:id w:val="667597645"/>
          </w:sdtPr>
          <w:sdtEndPr/>
          <w:sdtContent>
            <w:tc>
              <w:tcPr>
                <w:tcW w:w="2490" w:type="pct"/>
              </w:tcPr>
              <w:p w14:paraId="786ADCF4" w14:textId="77777777" w:rsidR="00E57DAA" w:rsidRDefault="00AC4185">
                <w:pPr>
                  <w:ind w:right="73"/>
                  <w:jc w:val="center"/>
                  <w:rPr>
                    <w:szCs w:val="21"/>
                  </w:rPr>
                </w:pPr>
                <w:r>
                  <w:rPr>
                    <w:rFonts w:hint="eastAsia"/>
                    <w:szCs w:val="21"/>
                  </w:rPr>
                  <w:t>项目</w:t>
                </w:r>
              </w:p>
            </w:tc>
          </w:sdtContent>
        </w:sdt>
        <w:sdt>
          <w:sdtPr>
            <w:tag w:val="_PLD_57b56183aec749d9a0e8479977704a0b"/>
            <w:id w:val="-452336247"/>
          </w:sdtPr>
          <w:sdtEndPr/>
          <w:sdtContent>
            <w:tc>
              <w:tcPr>
                <w:tcW w:w="2510" w:type="pct"/>
              </w:tcPr>
              <w:p w14:paraId="36AB6F5B" w14:textId="77777777" w:rsidR="00E57DAA" w:rsidRDefault="00AC4185">
                <w:pPr>
                  <w:ind w:right="73"/>
                  <w:jc w:val="center"/>
                  <w:rPr>
                    <w:szCs w:val="21"/>
                  </w:rPr>
                </w:pPr>
                <w:r>
                  <w:rPr>
                    <w:rFonts w:hint="eastAsia"/>
                    <w:szCs w:val="21"/>
                  </w:rPr>
                  <w:t>核销金额</w:t>
                </w:r>
              </w:p>
            </w:tc>
          </w:sdtContent>
        </w:sdt>
      </w:tr>
      <w:tr w:rsidR="00E57DAA" w14:paraId="62C504D3" w14:textId="77777777">
        <w:trPr>
          <w:cantSplit/>
        </w:trPr>
        <w:tc>
          <w:tcPr>
            <w:tcW w:w="2490" w:type="pct"/>
          </w:tcPr>
          <w:p w14:paraId="314D7605" w14:textId="77777777" w:rsidR="00E57DAA" w:rsidRDefault="00AC4185">
            <w:pPr>
              <w:ind w:right="73"/>
              <w:rPr>
                <w:szCs w:val="21"/>
              </w:rPr>
            </w:pPr>
            <w:r>
              <w:rPr>
                <w:rFonts w:hint="eastAsia"/>
                <w:szCs w:val="21"/>
              </w:rPr>
              <w:t>实际核销的其他应收款</w:t>
            </w:r>
          </w:p>
        </w:tc>
        <w:tc>
          <w:tcPr>
            <w:tcW w:w="2510" w:type="pct"/>
          </w:tcPr>
          <w:p w14:paraId="03B57137" w14:textId="77777777" w:rsidR="00E57DAA" w:rsidRDefault="00AC4185">
            <w:pPr>
              <w:ind w:right="73"/>
              <w:jc w:val="right"/>
              <w:rPr>
                <w:szCs w:val="21"/>
              </w:rPr>
            </w:pPr>
            <w:r>
              <w:rPr>
                <w:szCs w:val="21"/>
              </w:rPr>
              <w:t>1,657,238.42</w:t>
            </w:r>
          </w:p>
        </w:tc>
      </w:tr>
    </w:tbl>
    <w:p w14:paraId="3B56F52F" w14:textId="77777777" w:rsidR="00E57DAA" w:rsidRDefault="00E57DAA">
      <w:pPr>
        <w:rPr>
          <w:szCs w:val="21"/>
        </w:rPr>
      </w:pPr>
    </w:p>
    <w:p w14:paraId="1208E072" w14:textId="77777777" w:rsidR="00E57DAA" w:rsidRDefault="00AC4185">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294648110"/>
        <w:placeholder>
          <w:docPart w:val="GBC22222222222222222222222222222"/>
        </w:placeholder>
      </w:sdtPr>
      <w:sdtEndPr/>
      <w:sdtContent>
        <w:p w14:paraId="79973D1E"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10A195" w14:textId="77777777" w:rsidR="00E57DAA" w:rsidRDefault="00E57DAA">
      <w:pPr>
        <w:rPr>
          <w:szCs w:val="21"/>
        </w:rPr>
      </w:pPr>
    </w:p>
    <w:p w14:paraId="2B13AA5F" w14:textId="77777777" w:rsidR="00E57DAA" w:rsidRDefault="00AC4185">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185660127"/>
        <w:placeholder>
          <w:docPart w:val="GBC22222222222222222222222222222"/>
        </w:placeholder>
      </w:sdtPr>
      <w:sdtEndPr/>
      <w:sdtContent>
        <w:p w14:paraId="2C7BBECD" w14:textId="77777777" w:rsidR="00E57DAA" w:rsidRDefault="00AC4185">
          <w:pPr>
            <w:snapToGrid w:val="0"/>
            <w:spacing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539278" w14:textId="77777777" w:rsidR="00E57DAA" w:rsidRDefault="00E57DAA">
      <w:pPr>
        <w:snapToGrid w:val="0"/>
        <w:spacing w:line="240" w:lineRule="atLeast"/>
        <w:rPr>
          <w:szCs w:val="21"/>
        </w:rPr>
      </w:pPr>
    </w:p>
    <w:p w14:paraId="7B26D0D2" w14:textId="77777777" w:rsidR="00E57DAA" w:rsidRDefault="00AC4185" w:rsidP="00C25422">
      <w:pPr>
        <w:pStyle w:val="90"/>
        <w:numPr>
          <w:ilvl w:val="0"/>
          <w:numId w:val="75"/>
        </w:numPr>
        <w:ind w:leftChars="0"/>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1422707202"/>
        <w:placeholder>
          <w:docPart w:val="GBC22222222222222222222222222222"/>
        </w:placeholder>
      </w:sdtPr>
      <w:sdtEndPr/>
      <w:sdtContent>
        <w:p w14:paraId="1B25F03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7D456D" w14:textId="77777777" w:rsidR="00E57DAA" w:rsidRDefault="00AC4185">
      <w:pPr>
        <w:jc w:val="right"/>
      </w:pPr>
      <w:r>
        <w:rPr>
          <w:rFonts w:hint="eastAsia"/>
        </w:rPr>
        <w:t>单位：</w:t>
      </w:r>
      <w:sdt>
        <w:sdtPr>
          <w:rPr>
            <w:rFonts w:hint="eastAsia"/>
          </w:rPr>
          <w:alias w:val="单位财务附注：其他应收账款前五名欠款情况"/>
          <w:tag w:val="_GBC_06f7a71e039445228d80a5741df4c4f7"/>
          <w:id w:val="-14955603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2268045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2"/>
        <w:gridCol w:w="1759"/>
        <w:gridCol w:w="1685"/>
        <w:gridCol w:w="1181"/>
        <w:gridCol w:w="1205"/>
        <w:gridCol w:w="1581"/>
      </w:tblGrid>
      <w:tr w:rsidR="00E57DAA" w14:paraId="4D3F689D" w14:textId="77777777">
        <w:trPr>
          <w:cantSplit/>
        </w:trPr>
        <w:sdt>
          <w:sdtPr>
            <w:tag w:val="_PLD_f30fc2dc8886472699c892f0395ab05e"/>
            <w:id w:val="1840957462"/>
          </w:sdtPr>
          <w:sdtEndPr/>
          <w:sdtContent>
            <w:tc>
              <w:tcPr>
                <w:tcW w:w="800" w:type="pct"/>
                <w:vAlign w:val="center"/>
              </w:tcPr>
              <w:p w14:paraId="75DD1919" w14:textId="77777777" w:rsidR="00E57DAA" w:rsidRDefault="00AC4185">
                <w:pPr>
                  <w:ind w:right="105"/>
                  <w:jc w:val="center"/>
                  <w:rPr>
                    <w:szCs w:val="21"/>
                  </w:rPr>
                </w:pPr>
                <w:r>
                  <w:rPr>
                    <w:rFonts w:hint="eastAsia"/>
                    <w:szCs w:val="21"/>
                  </w:rPr>
                  <w:t>单位名称</w:t>
                </w:r>
              </w:p>
            </w:tc>
          </w:sdtContent>
        </w:sdt>
        <w:sdt>
          <w:sdtPr>
            <w:tag w:val="_PLD_1bc905abb4bf4c679b9fbe0a7587d651"/>
            <w:id w:val="1409117684"/>
          </w:sdtPr>
          <w:sdtEndPr/>
          <w:sdtContent>
            <w:tc>
              <w:tcPr>
                <w:tcW w:w="997" w:type="pct"/>
                <w:vAlign w:val="center"/>
              </w:tcPr>
              <w:p w14:paraId="3E18BE42" w14:textId="77777777" w:rsidR="00E57DAA" w:rsidRDefault="00AC4185">
                <w:pPr>
                  <w:ind w:right="73"/>
                  <w:jc w:val="center"/>
                  <w:rPr>
                    <w:szCs w:val="21"/>
                  </w:rPr>
                </w:pPr>
                <w:r>
                  <w:rPr>
                    <w:rFonts w:hint="eastAsia"/>
                    <w:szCs w:val="21"/>
                  </w:rPr>
                  <w:t>期末余额</w:t>
                </w:r>
              </w:p>
            </w:tc>
          </w:sdtContent>
        </w:sdt>
        <w:sdt>
          <w:sdtPr>
            <w:tag w:val="_PLD_055b75c0a3cf450e995ac7e13fdc0c08"/>
            <w:id w:val="-1772315387"/>
          </w:sdtPr>
          <w:sdtEndPr/>
          <w:sdtContent>
            <w:tc>
              <w:tcPr>
                <w:tcW w:w="955" w:type="pct"/>
                <w:vAlign w:val="center"/>
              </w:tcPr>
              <w:p w14:paraId="5647AC49" w14:textId="77777777" w:rsidR="00E57DAA" w:rsidRDefault="00AC4185">
                <w:pPr>
                  <w:jc w:val="center"/>
                  <w:rPr>
                    <w:szCs w:val="21"/>
                  </w:rPr>
                </w:pPr>
                <w:r>
                  <w:rPr>
                    <w:rFonts w:hint="eastAsia"/>
                    <w:szCs w:val="21"/>
                  </w:rPr>
                  <w:t>占其他应收款期末余额合计数的比例(</w:t>
                </w:r>
                <w:r>
                  <w:rPr>
                    <w:szCs w:val="21"/>
                  </w:rPr>
                  <w:t>%)</w:t>
                </w:r>
              </w:p>
            </w:tc>
          </w:sdtContent>
        </w:sdt>
        <w:sdt>
          <w:sdtPr>
            <w:tag w:val="_PLD_44129b8132114de2a4d33c4acb8af98f"/>
            <w:id w:val="427316067"/>
          </w:sdtPr>
          <w:sdtEndPr/>
          <w:sdtContent>
            <w:tc>
              <w:tcPr>
                <w:tcW w:w="669" w:type="pct"/>
                <w:vAlign w:val="center"/>
              </w:tcPr>
              <w:p w14:paraId="16A96335" w14:textId="77777777" w:rsidR="00E57DAA" w:rsidRDefault="00AC4185">
                <w:pPr>
                  <w:ind w:right="73"/>
                  <w:jc w:val="center"/>
                  <w:rPr>
                    <w:szCs w:val="21"/>
                  </w:rPr>
                </w:pPr>
                <w:r>
                  <w:rPr>
                    <w:rFonts w:hint="eastAsia"/>
                    <w:szCs w:val="21"/>
                  </w:rPr>
                  <w:t>款项的性质</w:t>
                </w:r>
              </w:p>
            </w:tc>
          </w:sdtContent>
        </w:sdt>
        <w:sdt>
          <w:sdtPr>
            <w:tag w:val="_PLD_d9231de346f74815b1bc7c82527b1ef5"/>
            <w:id w:val="1702739276"/>
          </w:sdtPr>
          <w:sdtEndPr/>
          <w:sdtContent>
            <w:tc>
              <w:tcPr>
                <w:tcW w:w="683" w:type="pct"/>
                <w:vAlign w:val="center"/>
              </w:tcPr>
              <w:p w14:paraId="7B4FB74D" w14:textId="77777777" w:rsidR="00E57DAA" w:rsidRDefault="00AC4185">
                <w:pPr>
                  <w:ind w:right="73"/>
                  <w:jc w:val="center"/>
                  <w:rPr>
                    <w:szCs w:val="21"/>
                  </w:rPr>
                </w:pPr>
                <w:r>
                  <w:rPr>
                    <w:rFonts w:hint="eastAsia"/>
                    <w:szCs w:val="21"/>
                  </w:rPr>
                  <w:t>账龄</w:t>
                </w:r>
              </w:p>
            </w:tc>
          </w:sdtContent>
        </w:sdt>
        <w:sdt>
          <w:sdtPr>
            <w:tag w:val="_PLD_a7951a260c094fc8b8b64f2d1e6a933e"/>
            <w:id w:val="-2131236164"/>
          </w:sdtPr>
          <w:sdtEndPr/>
          <w:sdtContent>
            <w:tc>
              <w:tcPr>
                <w:tcW w:w="896" w:type="pct"/>
                <w:vAlign w:val="center"/>
              </w:tcPr>
              <w:p w14:paraId="3C37F704" w14:textId="77777777" w:rsidR="00E57DAA" w:rsidRDefault="00AC4185">
                <w:pPr>
                  <w:jc w:val="center"/>
                  <w:rPr>
                    <w:szCs w:val="21"/>
                  </w:rPr>
                </w:pPr>
                <w:r>
                  <w:rPr>
                    <w:rFonts w:hint="eastAsia"/>
                    <w:szCs w:val="21"/>
                  </w:rPr>
                  <w:t>坏账准备</w:t>
                </w:r>
              </w:p>
              <w:p w14:paraId="4A0C199D" w14:textId="77777777" w:rsidR="00E57DAA" w:rsidRDefault="00AC4185">
                <w:pPr>
                  <w:jc w:val="center"/>
                  <w:rPr>
                    <w:szCs w:val="21"/>
                  </w:rPr>
                </w:pPr>
                <w:r>
                  <w:rPr>
                    <w:rFonts w:hint="eastAsia"/>
                    <w:szCs w:val="21"/>
                  </w:rPr>
                  <w:t>期末余额</w:t>
                </w:r>
              </w:p>
            </w:tc>
          </w:sdtContent>
        </w:sdt>
      </w:tr>
      <w:tr w:rsidR="00E57DAA" w14:paraId="2FAE6965" w14:textId="77777777">
        <w:trPr>
          <w:cantSplit/>
        </w:trPr>
        <w:tc>
          <w:tcPr>
            <w:tcW w:w="800" w:type="pct"/>
          </w:tcPr>
          <w:p w14:paraId="149D1AF1" w14:textId="77777777" w:rsidR="00E57DAA" w:rsidRDefault="00AC4185">
            <w:pPr>
              <w:ind w:right="105"/>
              <w:rPr>
                <w:szCs w:val="21"/>
              </w:rPr>
            </w:pPr>
            <w:r>
              <w:rPr>
                <w:rFonts w:hint="eastAsia"/>
                <w:szCs w:val="21"/>
              </w:rPr>
              <w:t>其他应收第一名</w:t>
            </w:r>
          </w:p>
        </w:tc>
        <w:tc>
          <w:tcPr>
            <w:tcW w:w="997" w:type="pct"/>
            <w:vAlign w:val="center"/>
          </w:tcPr>
          <w:p w14:paraId="6A1F4319" w14:textId="77777777" w:rsidR="00E57DAA" w:rsidRDefault="00AC4185">
            <w:pPr>
              <w:ind w:right="73"/>
              <w:jc w:val="right"/>
              <w:rPr>
                <w:szCs w:val="21"/>
              </w:rPr>
            </w:pPr>
            <w:r>
              <w:t>55,122,167.50</w:t>
            </w:r>
          </w:p>
        </w:tc>
        <w:tc>
          <w:tcPr>
            <w:tcW w:w="955" w:type="pct"/>
            <w:vAlign w:val="center"/>
          </w:tcPr>
          <w:p w14:paraId="4C5E1516" w14:textId="77777777" w:rsidR="00E57DAA" w:rsidRDefault="00AC4185">
            <w:pPr>
              <w:jc w:val="right"/>
              <w:rPr>
                <w:szCs w:val="21"/>
              </w:rPr>
            </w:pPr>
            <w:r>
              <w:t>4.68</w:t>
            </w:r>
          </w:p>
        </w:tc>
        <w:tc>
          <w:tcPr>
            <w:tcW w:w="669" w:type="pct"/>
            <w:vAlign w:val="center"/>
          </w:tcPr>
          <w:p w14:paraId="505BC243" w14:textId="77777777" w:rsidR="00E57DAA" w:rsidRDefault="00AC4185">
            <w:pPr>
              <w:ind w:right="73"/>
              <w:rPr>
                <w:szCs w:val="21"/>
              </w:rPr>
            </w:pPr>
            <w:r>
              <w:t>资金拆借</w:t>
            </w:r>
          </w:p>
        </w:tc>
        <w:tc>
          <w:tcPr>
            <w:tcW w:w="683" w:type="pct"/>
            <w:vAlign w:val="center"/>
          </w:tcPr>
          <w:p w14:paraId="6B3852F0" w14:textId="77777777" w:rsidR="00E57DAA" w:rsidRDefault="00AC4185">
            <w:pPr>
              <w:ind w:right="73"/>
              <w:rPr>
                <w:szCs w:val="21"/>
              </w:rPr>
            </w:pPr>
            <w:r>
              <w:t>1-5年</w:t>
            </w:r>
          </w:p>
        </w:tc>
        <w:tc>
          <w:tcPr>
            <w:tcW w:w="896" w:type="pct"/>
            <w:vAlign w:val="center"/>
          </w:tcPr>
          <w:p w14:paraId="6AD2AFC8" w14:textId="77777777" w:rsidR="00E57DAA" w:rsidRDefault="00AC4185">
            <w:pPr>
              <w:jc w:val="right"/>
              <w:rPr>
                <w:szCs w:val="21"/>
              </w:rPr>
            </w:pPr>
            <w:r>
              <w:t>18,620,635.63</w:t>
            </w:r>
          </w:p>
        </w:tc>
      </w:tr>
      <w:tr w:rsidR="00E57DAA" w14:paraId="655771D9" w14:textId="77777777">
        <w:trPr>
          <w:cantSplit/>
        </w:trPr>
        <w:tc>
          <w:tcPr>
            <w:tcW w:w="800" w:type="pct"/>
          </w:tcPr>
          <w:p w14:paraId="510E0428" w14:textId="77777777" w:rsidR="00E57DAA" w:rsidRDefault="00AC4185">
            <w:pPr>
              <w:ind w:right="105"/>
              <w:rPr>
                <w:szCs w:val="21"/>
              </w:rPr>
            </w:pPr>
            <w:r>
              <w:rPr>
                <w:rFonts w:hint="eastAsia"/>
                <w:szCs w:val="21"/>
              </w:rPr>
              <w:t>其他应收第二名</w:t>
            </w:r>
          </w:p>
        </w:tc>
        <w:tc>
          <w:tcPr>
            <w:tcW w:w="997" w:type="pct"/>
            <w:vAlign w:val="center"/>
          </w:tcPr>
          <w:p w14:paraId="21C262C7" w14:textId="77777777" w:rsidR="00E57DAA" w:rsidRDefault="00AC4185">
            <w:pPr>
              <w:ind w:right="73"/>
              <w:jc w:val="right"/>
              <w:rPr>
                <w:szCs w:val="21"/>
              </w:rPr>
            </w:pPr>
            <w:r>
              <w:t>37,243,578.13</w:t>
            </w:r>
          </w:p>
        </w:tc>
        <w:tc>
          <w:tcPr>
            <w:tcW w:w="955" w:type="pct"/>
            <w:vAlign w:val="center"/>
          </w:tcPr>
          <w:p w14:paraId="39542384" w14:textId="77777777" w:rsidR="00E57DAA" w:rsidRDefault="00AC4185">
            <w:pPr>
              <w:jc w:val="right"/>
              <w:rPr>
                <w:szCs w:val="21"/>
              </w:rPr>
            </w:pPr>
            <w:r>
              <w:t>3.16</w:t>
            </w:r>
          </w:p>
        </w:tc>
        <w:tc>
          <w:tcPr>
            <w:tcW w:w="669" w:type="pct"/>
            <w:vAlign w:val="center"/>
          </w:tcPr>
          <w:p w14:paraId="6BE353C5" w14:textId="77777777" w:rsidR="00E57DAA" w:rsidRDefault="00AC4185">
            <w:pPr>
              <w:ind w:right="73"/>
              <w:rPr>
                <w:szCs w:val="21"/>
              </w:rPr>
            </w:pPr>
            <w:r>
              <w:t>应收出口退税款</w:t>
            </w:r>
          </w:p>
        </w:tc>
        <w:tc>
          <w:tcPr>
            <w:tcW w:w="683" w:type="pct"/>
            <w:vAlign w:val="center"/>
          </w:tcPr>
          <w:p w14:paraId="0B119E16" w14:textId="77777777" w:rsidR="00E57DAA" w:rsidRDefault="00AC4185">
            <w:pPr>
              <w:ind w:right="73"/>
              <w:rPr>
                <w:szCs w:val="21"/>
              </w:rPr>
            </w:pPr>
            <w:r>
              <w:t>1年以内</w:t>
            </w:r>
          </w:p>
        </w:tc>
        <w:tc>
          <w:tcPr>
            <w:tcW w:w="896" w:type="pct"/>
            <w:vAlign w:val="center"/>
          </w:tcPr>
          <w:p w14:paraId="3DEA6CA9" w14:textId="77777777" w:rsidR="00E57DAA" w:rsidRDefault="00AC4185">
            <w:pPr>
              <w:jc w:val="right"/>
              <w:rPr>
                <w:szCs w:val="21"/>
              </w:rPr>
            </w:pPr>
            <w:r>
              <w:t>744,871.56</w:t>
            </w:r>
          </w:p>
        </w:tc>
      </w:tr>
      <w:tr w:rsidR="00E57DAA" w14:paraId="15A0017D" w14:textId="77777777">
        <w:trPr>
          <w:cantSplit/>
        </w:trPr>
        <w:tc>
          <w:tcPr>
            <w:tcW w:w="800" w:type="pct"/>
          </w:tcPr>
          <w:p w14:paraId="66B78598" w14:textId="77777777" w:rsidR="00E57DAA" w:rsidRDefault="00AC4185">
            <w:pPr>
              <w:ind w:right="105"/>
              <w:rPr>
                <w:szCs w:val="21"/>
              </w:rPr>
            </w:pPr>
            <w:r>
              <w:rPr>
                <w:rFonts w:hint="eastAsia"/>
                <w:szCs w:val="21"/>
              </w:rPr>
              <w:lastRenderedPageBreak/>
              <w:t>其他应收第三名</w:t>
            </w:r>
          </w:p>
        </w:tc>
        <w:tc>
          <w:tcPr>
            <w:tcW w:w="997" w:type="pct"/>
            <w:vAlign w:val="center"/>
          </w:tcPr>
          <w:p w14:paraId="298D0A69" w14:textId="77777777" w:rsidR="00E57DAA" w:rsidRDefault="00AC4185">
            <w:pPr>
              <w:ind w:right="73"/>
              <w:jc w:val="right"/>
              <w:rPr>
                <w:szCs w:val="21"/>
              </w:rPr>
            </w:pPr>
            <w:r>
              <w:t>36,022,695.71</w:t>
            </w:r>
          </w:p>
        </w:tc>
        <w:tc>
          <w:tcPr>
            <w:tcW w:w="955" w:type="pct"/>
            <w:vAlign w:val="center"/>
          </w:tcPr>
          <w:p w14:paraId="22D53118" w14:textId="77777777" w:rsidR="00E57DAA" w:rsidRDefault="00AC4185">
            <w:pPr>
              <w:jc w:val="right"/>
              <w:rPr>
                <w:szCs w:val="21"/>
              </w:rPr>
            </w:pPr>
            <w:r>
              <w:t>3.06</w:t>
            </w:r>
          </w:p>
        </w:tc>
        <w:tc>
          <w:tcPr>
            <w:tcW w:w="669" w:type="pct"/>
            <w:vAlign w:val="center"/>
          </w:tcPr>
          <w:p w14:paraId="67C91C1D" w14:textId="77777777" w:rsidR="00E57DAA" w:rsidRDefault="00AC4185">
            <w:pPr>
              <w:ind w:right="73"/>
              <w:rPr>
                <w:szCs w:val="21"/>
              </w:rPr>
            </w:pPr>
            <w:r>
              <w:t>履约保证金</w:t>
            </w:r>
          </w:p>
        </w:tc>
        <w:tc>
          <w:tcPr>
            <w:tcW w:w="683" w:type="pct"/>
            <w:vAlign w:val="center"/>
          </w:tcPr>
          <w:p w14:paraId="29487FCB" w14:textId="77777777" w:rsidR="00E57DAA" w:rsidRDefault="00AC4185">
            <w:pPr>
              <w:ind w:right="73"/>
              <w:rPr>
                <w:szCs w:val="21"/>
              </w:rPr>
            </w:pPr>
            <w:r>
              <w:t>1年以内；2-3年</w:t>
            </w:r>
          </w:p>
        </w:tc>
        <w:tc>
          <w:tcPr>
            <w:tcW w:w="896" w:type="pct"/>
            <w:vAlign w:val="center"/>
          </w:tcPr>
          <w:p w14:paraId="5D5B60DE" w14:textId="77777777" w:rsidR="00E57DAA" w:rsidRDefault="00AC4185">
            <w:pPr>
              <w:jc w:val="right"/>
              <w:rPr>
                <w:szCs w:val="21"/>
              </w:rPr>
            </w:pPr>
            <w:r>
              <w:t>3,264,742.61</w:t>
            </w:r>
          </w:p>
        </w:tc>
      </w:tr>
      <w:tr w:rsidR="00E57DAA" w14:paraId="7D916552" w14:textId="77777777">
        <w:trPr>
          <w:cantSplit/>
        </w:trPr>
        <w:tc>
          <w:tcPr>
            <w:tcW w:w="800" w:type="pct"/>
          </w:tcPr>
          <w:p w14:paraId="3665CDE9" w14:textId="77777777" w:rsidR="00E57DAA" w:rsidRDefault="00AC4185">
            <w:pPr>
              <w:ind w:right="105"/>
              <w:rPr>
                <w:szCs w:val="21"/>
              </w:rPr>
            </w:pPr>
            <w:r>
              <w:rPr>
                <w:rFonts w:hint="eastAsia"/>
                <w:szCs w:val="21"/>
              </w:rPr>
              <w:t>其他应收第四名</w:t>
            </w:r>
          </w:p>
        </w:tc>
        <w:tc>
          <w:tcPr>
            <w:tcW w:w="997" w:type="pct"/>
            <w:vAlign w:val="center"/>
          </w:tcPr>
          <w:p w14:paraId="7A9931A4" w14:textId="77777777" w:rsidR="00E57DAA" w:rsidRDefault="00AC4185">
            <w:pPr>
              <w:ind w:right="73"/>
              <w:jc w:val="right"/>
              <w:rPr>
                <w:szCs w:val="21"/>
              </w:rPr>
            </w:pPr>
            <w:r>
              <w:t>33,123,906.00</w:t>
            </w:r>
          </w:p>
        </w:tc>
        <w:tc>
          <w:tcPr>
            <w:tcW w:w="955" w:type="pct"/>
            <w:vAlign w:val="center"/>
          </w:tcPr>
          <w:p w14:paraId="62126427" w14:textId="77777777" w:rsidR="00E57DAA" w:rsidRDefault="00AC4185">
            <w:pPr>
              <w:jc w:val="right"/>
              <w:rPr>
                <w:szCs w:val="21"/>
              </w:rPr>
            </w:pPr>
            <w:r>
              <w:t>2.81</w:t>
            </w:r>
          </w:p>
        </w:tc>
        <w:tc>
          <w:tcPr>
            <w:tcW w:w="669" w:type="pct"/>
            <w:vAlign w:val="center"/>
          </w:tcPr>
          <w:p w14:paraId="76990481" w14:textId="77777777" w:rsidR="00E57DAA" w:rsidRDefault="00AC4185">
            <w:pPr>
              <w:ind w:right="73"/>
              <w:rPr>
                <w:szCs w:val="21"/>
              </w:rPr>
            </w:pPr>
            <w:r>
              <w:t>资金拆借、代垫费用</w:t>
            </w:r>
          </w:p>
        </w:tc>
        <w:tc>
          <w:tcPr>
            <w:tcW w:w="683" w:type="pct"/>
            <w:vAlign w:val="center"/>
          </w:tcPr>
          <w:p w14:paraId="674ECEFC" w14:textId="77777777" w:rsidR="00E57DAA" w:rsidRDefault="00AC4185">
            <w:pPr>
              <w:ind w:right="73"/>
              <w:rPr>
                <w:szCs w:val="21"/>
              </w:rPr>
            </w:pPr>
            <w:r>
              <w:t>2年以上</w:t>
            </w:r>
          </w:p>
        </w:tc>
        <w:tc>
          <w:tcPr>
            <w:tcW w:w="896" w:type="pct"/>
            <w:vAlign w:val="center"/>
          </w:tcPr>
          <w:p w14:paraId="556778C8" w14:textId="77777777" w:rsidR="00E57DAA" w:rsidRDefault="00AC4185">
            <w:pPr>
              <w:jc w:val="right"/>
              <w:rPr>
                <w:szCs w:val="21"/>
              </w:rPr>
            </w:pPr>
            <w:r>
              <w:t>33,123,906.00</w:t>
            </w:r>
          </w:p>
        </w:tc>
      </w:tr>
      <w:tr w:rsidR="00E57DAA" w14:paraId="2A67C20A" w14:textId="77777777">
        <w:trPr>
          <w:cantSplit/>
        </w:trPr>
        <w:tc>
          <w:tcPr>
            <w:tcW w:w="800" w:type="pct"/>
          </w:tcPr>
          <w:p w14:paraId="4DE904BB" w14:textId="77777777" w:rsidR="00E57DAA" w:rsidRDefault="00AC4185">
            <w:pPr>
              <w:ind w:right="105"/>
              <w:rPr>
                <w:szCs w:val="21"/>
              </w:rPr>
            </w:pPr>
            <w:r>
              <w:rPr>
                <w:rFonts w:hint="eastAsia"/>
                <w:szCs w:val="21"/>
              </w:rPr>
              <w:t>其他应收第五名</w:t>
            </w:r>
          </w:p>
        </w:tc>
        <w:tc>
          <w:tcPr>
            <w:tcW w:w="997" w:type="pct"/>
            <w:vAlign w:val="center"/>
          </w:tcPr>
          <w:p w14:paraId="7F676334" w14:textId="77777777" w:rsidR="00E57DAA" w:rsidRDefault="00AC4185">
            <w:pPr>
              <w:ind w:right="73"/>
              <w:jc w:val="right"/>
              <w:rPr>
                <w:szCs w:val="21"/>
              </w:rPr>
            </w:pPr>
            <w:r>
              <w:t>30,000,000.00</w:t>
            </w:r>
          </w:p>
        </w:tc>
        <w:tc>
          <w:tcPr>
            <w:tcW w:w="955" w:type="pct"/>
            <w:vAlign w:val="center"/>
          </w:tcPr>
          <w:p w14:paraId="3C55C9F6" w14:textId="77777777" w:rsidR="00E57DAA" w:rsidRDefault="00AC4185">
            <w:pPr>
              <w:jc w:val="right"/>
              <w:rPr>
                <w:szCs w:val="21"/>
              </w:rPr>
            </w:pPr>
            <w:r>
              <w:t>2.55</w:t>
            </w:r>
          </w:p>
        </w:tc>
        <w:tc>
          <w:tcPr>
            <w:tcW w:w="669" w:type="pct"/>
            <w:vAlign w:val="center"/>
          </w:tcPr>
          <w:p w14:paraId="4231B6D0" w14:textId="77777777" w:rsidR="00E57DAA" w:rsidRDefault="00AC4185">
            <w:pPr>
              <w:ind w:right="73"/>
              <w:rPr>
                <w:szCs w:val="21"/>
              </w:rPr>
            </w:pPr>
            <w:r>
              <w:t>履约保证金</w:t>
            </w:r>
          </w:p>
        </w:tc>
        <w:tc>
          <w:tcPr>
            <w:tcW w:w="683" w:type="pct"/>
            <w:vAlign w:val="center"/>
          </w:tcPr>
          <w:p w14:paraId="083F183E" w14:textId="77777777" w:rsidR="00E57DAA" w:rsidRDefault="00AC4185">
            <w:pPr>
              <w:ind w:right="73"/>
              <w:rPr>
                <w:szCs w:val="21"/>
              </w:rPr>
            </w:pPr>
            <w:r>
              <w:t>1年以内</w:t>
            </w:r>
          </w:p>
        </w:tc>
        <w:tc>
          <w:tcPr>
            <w:tcW w:w="896" w:type="pct"/>
            <w:vAlign w:val="center"/>
          </w:tcPr>
          <w:p w14:paraId="7791AB5B" w14:textId="77777777" w:rsidR="00E57DAA" w:rsidRDefault="00AC4185">
            <w:pPr>
              <w:jc w:val="right"/>
              <w:rPr>
                <w:szCs w:val="21"/>
              </w:rPr>
            </w:pPr>
            <w:r>
              <w:t>2,700,000.00</w:t>
            </w:r>
          </w:p>
        </w:tc>
      </w:tr>
      <w:tr w:rsidR="00E57DAA" w14:paraId="54B6C322" w14:textId="77777777">
        <w:trPr>
          <w:cantSplit/>
        </w:trPr>
        <w:tc>
          <w:tcPr>
            <w:tcW w:w="800" w:type="pct"/>
          </w:tcPr>
          <w:p w14:paraId="698BB666" w14:textId="77777777" w:rsidR="00E57DAA" w:rsidRDefault="00AC4185">
            <w:pPr>
              <w:ind w:right="105"/>
              <w:jc w:val="center"/>
              <w:rPr>
                <w:szCs w:val="21"/>
              </w:rPr>
            </w:pPr>
            <w:r>
              <w:rPr>
                <w:rFonts w:hint="eastAsia"/>
                <w:szCs w:val="21"/>
              </w:rPr>
              <w:t>合计</w:t>
            </w:r>
          </w:p>
        </w:tc>
        <w:tc>
          <w:tcPr>
            <w:tcW w:w="997" w:type="pct"/>
            <w:vAlign w:val="center"/>
          </w:tcPr>
          <w:p w14:paraId="2FE14CCF" w14:textId="77777777" w:rsidR="00E57DAA" w:rsidRDefault="00AC4185">
            <w:pPr>
              <w:ind w:right="73"/>
              <w:jc w:val="right"/>
              <w:rPr>
                <w:szCs w:val="21"/>
              </w:rPr>
            </w:pPr>
            <w:r>
              <w:t>191,512,347.34</w:t>
            </w:r>
          </w:p>
        </w:tc>
        <w:tc>
          <w:tcPr>
            <w:tcW w:w="955" w:type="pct"/>
            <w:vAlign w:val="center"/>
          </w:tcPr>
          <w:p w14:paraId="714C6E4C" w14:textId="77777777" w:rsidR="00E57DAA" w:rsidRDefault="00AC4185">
            <w:pPr>
              <w:jc w:val="right"/>
              <w:rPr>
                <w:szCs w:val="21"/>
              </w:rPr>
            </w:pPr>
            <w:r>
              <w:t>16.26</w:t>
            </w:r>
          </w:p>
        </w:tc>
        <w:tc>
          <w:tcPr>
            <w:tcW w:w="669" w:type="pct"/>
          </w:tcPr>
          <w:p w14:paraId="1C30564B" w14:textId="77777777" w:rsidR="00E57DAA" w:rsidRDefault="00AC4185">
            <w:pPr>
              <w:ind w:right="73"/>
              <w:jc w:val="center"/>
              <w:rPr>
                <w:szCs w:val="21"/>
              </w:rPr>
            </w:pPr>
            <w:r>
              <w:rPr>
                <w:szCs w:val="21"/>
              </w:rPr>
              <w:t>/</w:t>
            </w:r>
          </w:p>
        </w:tc>
        <w:tc>
          <w:tcPr>
            <w:tcW w:w="683" w:type="pct"/>
          </w:tcPr>
          <w:p w14:paraId="056B3851" w14:textId="77777777" w:rsidR="00E57DAA" w:rsidRDefault="00AC4185">
            <w:pPr>
              <w:ind w:right="73"/>
              <w:jc w:val="center"/>
              <w:rPr>
                <w:szCs w:val="21"/>
              </w:rPr>
            </w:pPr>
            <w:r>
              <w:rPr>
                <w:szCs w:val="21"/>
              </w:rPr>
              <w:t>/</w:t>
            </w:r>
          </w:p>
        </w:tc>
        <w:tc>
          <w:tcPr>
            <w:tcW w:w="896" w:type="pct"/>
            <w:vAlign w:val="center"/>
          </w:tcPr>
          <w:p w14:paraId="7D5C3052" w14:textId="77777777" w:rsidR="00E57DAA" w:rsidRDefault="00AC4185">
            <w:pPr>
              <w:jc w:val="right"/>
              <w:rPr>
                <w:szCs w:val="21"/>
              </w:rPr>
            </w:pPr>
            <w:r>
              <w:t>58,454,155.80</w:t>
            </w:r>
          </w:p>
        </w:tc>
      </w:tr>
    </w:tbl>
    <w:p w14:paraId="0268C73F" w14:textId="77777777" w:rsidR="00E57DAA" w:rsidRDefault="00E57DAA">
      <w:pPr>
        <w:snapToGrid w:val="0"/>
        <w:spacing w:line="240" w:lineRule="atLeast"/>
      </w:pPr>
    </w:p>
    <w:p w14:paraId="08B071D7" w14:textId="77777777" w:rsidR="00E57DAA" w:rsidRDefault="00AC4185" w:rsidP="00C25422">
      <w:pPr>
        <w:pStyle w:val="90"/>
        <w:numPr>
          <w:ilvl w:val="0"/>
          <w:numId w:val="75"/>
        </w:numPr>
        <w:ind w:leftChars="0"/>
      </w:pPr>
      <w:r>
        <w:t>因资金集中管理而列报于其他应收款</w:t>
      </w:r>
    </w:p>
    <w:sdt>
      <w:sdtPr>
        <w:alias w:val="是否适用：因资金集中管理而列报于其他应收款[双击切换]"/>
        <w:tag w:val="_GBC_b8da09aaaa6f41fc9a0da9e70575d260"/>
        <w:id w:val="-1910295171"/>
        <w:placeholder>
          <w:docPart w:val="GBC22222222222222222222222222222"/>
        </w:placeholder>
      </w:sdtPr>
      <w:sdtEndPr/>
      <w:sdtContent>
        <w:p w14:paraId="740BF030" w14:textId="77777777" w:rsidR="00E57DAA" w:rsidRDefault="00AC4185">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0A6348" w14:textId="77777777" w:rsidR="00E57DAA" w:rsidRDefault="00E57DAA">
      <w:pPr>
        <w:snapToGrid w:val="0"/>
        <w:spacing w:line="240" w:lineRule="atLeast"/>
      </w:pPr>
    </w:p>
    <w:p w14:paraId="6E8F8377" w14:textId="77777777" w:rsidR="00E57DAA" w:rsidRDefault="00AC4185" w:rsidP="00C25422">
      <w:pPr>
        <w:pStyle w:val="92"/>
      </w:pPr>
      <w:r>
        <w:rPr>
          <w:rFonts w:hint="eastAsia"/>
        </w:rPr>
        <w:t>其他</w:t>
      </w:r>
      <w:r>
        <w:t>说明：</w:t>
      </w:r>
    </w:p>
    <w:sdt>
      <w:sdtPr>
        <w:rPr>
          <w:rFonts w:hint="eastAsia"/>
          <w:szCs w:val="21"/>
        </w:rPr>
        <w:alias w:val="是否适用：其他应收款的其他说明[双击切换]"/>
        <w:tag w:val="_GBC_f19370687b664bbeafd6d2809311f81e"/>
        <w:id w:val="1359629347"/>
        <w:placeholder>
          <w:docPart w:val="GBC22222222222222222222222222222"/>
        </w:placeholder>
      </w:sdtPr>
      <w:sdtEndPr/>
      <w:sdtContent>
        <w:p w14:paraId="12B362EC"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E6A06D"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58A51AE9" w14:textId="77777777" w:rsidR="00E57DAA" w:rsidRDefault="00E57DAA">
      <w:pPr>
        <w:rPr>
          <w:szCs w:val="21"/>
        </w:rPr>
      </w:pPr>
    </w:p>
    <w:p w14:paraId="51064804" w14:textId="77777777" w:rsidR="00E57DAA" w:rsidRDefault="00AC4185" w:rsidP="00C25422">
      <w:pPr>
        <w:pStyle w:val="91"/>
        <w:numPr>
          <w:ilvl w:val="0"/>
          <w:numId w:val="69"/>
        </w:numPr>
      </w:pPr>
      <w:r>
        <w:rPr>
          <w:rFonts w:hint="eastAsia"/>
        </w:rPr>
        <w:t>存货</w:t>
      </w:r>
    </w:p>
    <w:p w14:paraId="7905A674" w14:textId="77777777" w:rsidR="00E57DAA" w:rsidRDefault="00AC4185">
      <w:pPr>
        <w:pStyle w:val="4"/>
        <w:numPr>
          <w:ilvl w:val="3"/>
          <w:numId w:val="76"/>
        </w:numPr>
        <w:ind w:left="426" w:hanging="426"/>
      </w:pPr>
      <w:r>
        <w:rPr>
          <w:rFonts w:hint="eastAsia"/>
        </w:rPr>
        <w:t>存货分类</w:t>
      </w:r>
    </w:p>
    <w:bookmarkStart w:id="231" w:name="_Hlk24116366" w:displacedByCustomXml="next"/>
    <w:bookmarkStart w:id="232" w:name="_Hlk532992451" w:displacedByCustomXml="next"/>
    <w:sdt>
      <w:sdtPr>
        <w:alias w:val="是否适用：存货分类[双击切换]"/>
        <w:tag w:val="_GBC_357bbe1b1f034d20ba175209243f1121"/>
        <w:id w:val="899709603"/>
        <w:placeholder>
          <w:docPart w:val="GBC22222222222222222222222222222"/>
        </w:placeholder>
      </w:sdtPr>
      <w:sdtEndPr/>
      <w:sdtContent>
        <w:p w14:paraId="68CFAAA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1D27B8C" w14:textId="77777777" w:rsidR="00E57DAA" w:rsidRDefault="00AC4185">
      <w:pPr>
        <w:jc w:val="right"/>
        <w:rPr>
          <w:szCs w:val="21"/>
        </w:rPr>
      </w:pPr>
      <w:r>
        <w:rPr>
          <w:rFonts w:hint="eastAsia"/>
          <w:szCs w:val="21"/>
        </w:rPr>
        <w:t>单位：</w:t>
      </w:r>
      <w:sdt>
        <w:sdtPr>
          <w:rPr>
            <w:rFonts w:hint="eastAsia"/>
            <w:szCs w:val="21"/>
          </w:rPr>
          <w:alias w:val="单位：财务附注：存货分类"/>
          <w:tag w:val="_GBC_d8d041ff281d42b2825673de12d9cf99"/>
          <w:id w:val="1416211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16832712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2"/>
        <w:gridCol w:w="1901"/>
        <w:gridCol w:w="2083"/>
        <w:gridCol w:w="1901"/>
        <w:gridCol w:w="1901"/>
        <w:gridCol w:w="2004"/>
        <w:gridCol w:w="1901"/>
      </w:tblGrid>
      <w:tr w:rsidR="00E57DAA" w14:paraId="2AAA1B44" w14:textId="77777777">
        <w:trPr>
          <w:cantSplit/>
        </w:trPr>
        <w:sdt>
          <w:sdtPr>
            <w:rPr>
              <w:szCs w:val="21"/>
            </w:rPr>
            <w:tag w:val="_PLD_c7ef81863f9f475b86b8ee43ac7e9274"/>
            <w:id w:val="1561678235"/>
          </w:sdtPr>
          <w:sdtEndPr/>
          <w:sdtContent>
            <w:tc>
              <w:tcPr>
                <w:tcW w:w="802" w:type="pct"/>
                <w:vMerge w:val="restart"/>
                <w:vAlign w:val="center"/>
              </w:tcPr>
              <w:p w14:paraId="02DA6A27" w14:textId="77777777" w:rsidR="00E57DAA" w:rsidRDefault="00AC4185">
                <w:pPr>
                  <w:jc w:val="center"/>
                  <w:rPr>
                    <w:szCs w:val="21"/>
                  </w:rPr>
                </w:pPr>
                <w:r>
                  <w:rPr>
                    <w:rFonts w:hint="eastAsia"/>
                    <w:szCs w:val="21"/>
                  </w:rPr>
                  <w:t>项目</w:t>
                </w:r>
              </w:p>
            </w:tc>
          </w:sdtContent>
        </w:sdt>
        <w:sdt>
          <w:sdtPr>
            <w:rPr>
              <w:szCs w:val="21"/>
            </w:rPr>
            <w:tag w:val="_PLD_68fbd4316a69442d924038f565882f99"/>
            <w:id w:val="-233697650"/>
          </w:sdtPr>
          <w:sdtEndPr/>
          <w:sdtContent>
            <w:tc>
              <w:tcPr>
                <w:tcW w:w="2134" w:type="pct"/>
                <w:gridSpan w:val="3"/>
                <w:vAlign w:val="center"/>
              </w:tcPr>
              <w:p w14:paraId="102707CE" w14:textId="77777777" w:rsidR="00E57DAA" w:rsidRDefault="00AC4185">
                <w:pPr>
                  <w:jc w:val="center"/>
                  <w:rPr>
                    <w:szCs w:val="21"/>
                  </w:rPr>
                </w:pPr>
                <w:r>
                  <w:rPr>
                    <w:rFonts w:hint="eastAsia"/>
                    <w:szCs w:val="21"/>
                  </w:rPr>
                  <w:t>期末余额</w:t>
                </w:r>
              </w:p>
            </w:tc>
          </w:sdtContent>
        </w:sdt>
        <w:sdt>
          <w:sdtPr>
            <w:rPr>
              <w:szCs w:val="21"/>
            </w:rPr>
            <w:tag w:val="_PLD_39f6313de32c45ce95b6a2ef18238d4a"/>
            <w:id w:val="-1501268780"/>
          </w:sdtPr>
          <w:sdtEndPr/>
          <w:sdtContent>
            <w:tc>
              <w:tcPr>
                <w:tcW w:w="2064" w:type="pct"/>
                <w:gridSpan w:val="3"/>
                <w:vAlign w:val="center"/>
              </w:tcPr>
              <w:p w14:paraId="446325B3" w14:textId="77777777" w:rsidR="00E57DAA" w:rsidRDefault="00AC4185">
                <w:pPr>
                  <w:jc w:val="center"/>
                  <w:rPr>
                    <w:szCs w:val="21"/>
                  </w:rPr>
                </w:pPr>
                <w:r>
                  <w:rPr>
                    <w:rFonts w:hint="eastAsia"/>
                    <w:szCs w:val="21"/>
                  </w:rPr>
                  <w:t>期初余额</w:t>
                </w:r>
              </w:p>
            </w:tc>
          </w:sdtContent>
        </w:sdt>
      </w:tr>
      <w:tr w:rsidR="00E57DAA" w14:paraId="0F08C057" w14:textId="77777777">
        <w:trPr>
          <w:cantSplit/>
        </w:trPr>
        <w:tc>
          <w:tcPr>
            <w:tcW w:w="802" w:type="pct"/>
            <w:vMerge/>
          </w:tcPr>
          <w:p w14:paraId="5AE4BBCB" w14:textId="77777777" w:rsidR="00E57DAA" w:rsidRDefault="00E57DAA">
            <w:pPr>
              <w:ind w:right="5"/>
              <w:jc w:val="center"/>
              <w:rPr>
                <w:szCs w:val="21"/>
              </w:rPr>
            </w:pPr>
          </w:p>
        </w:tc>
        <w:sdt>
          <w:sdtPr>
            <w:rPr>
              <w:szCs w:val="21"/>
            </w:rPr>
            <w:tag w:val="_PLD_73436d894fc444d5b519a3b75a689324"/>
            <w:id w:val="1226026213"/>
          </w:sdtPr>
          <w:sdtEndPr/>
          <w:sdtContent>
            <w:tc>
              <w:tcPr>
                <w:tcW w:w="670" w:type="pct"/>
                <w:vAlign w:val="center"/>
              </w:tcPr>
              <w:p w14:paraId="14054E83" w14:textId="77777777" w:rsidR="00E57DAA" w:rsidRDefault="00AC4185">
                <w:pPr>
                  <w:ind w:right="5"/>
                  <w:jc w:val="center"/>
                  <w:rPr>
                    <w:szCs w:val="21"/>
                  </w:rPr>
                </w:pPr>
                <w:r>
                  <w:rPr>
                    <w:rFonts w:hint="eastAsia"/>
                    <w:szCs w:val="21"/>
                  </w:rPr>
                  <w:t>账面余额</w:t>
                </w:r>
              </w:p>
            </w:tc>
          </w:sdtContent>
        </w:sdt>
        <w:tc>
          <w:tcPr>
            <w:tcW w:w="770" w:type="pct"/>
            <w:vAlign w:val="center"/>
          </w:tcPr>
          <w:p w14:paraId="2AA1C36B" w14:textId="77777777" w:rsidR="00E57DAA" w:rsidRDefault="00EB41A1">
            <w:pPr>
              <w:ind w:right="5"/>
              <w:jc w:val="center"/>
              <w:rPr>
                <w:szCs w:val="21"/>
              </w:rPr>
            </w:pPr>
            <w:sdt>
              <w:sdtPr>
                <w:rPr>
                  <w:szCs w:val="21"/>
                </w:rPr>
                <w:tag w:val="_PLD_09cd496fa8624ad4a9538b5b209e6d5a"/>
                <w:id w:val="499399369"/>
              </w:sdtPr>
              <w:sdtEndPr/>
              <w:sdtContent>
                <w:r w:rsidR="00AC4185">
                  <w:rPr>
                    <w:rFonts w:hint="eastAsia"/>
                    <w:szCs w:val="21"/>
                  </w:rPr>
                  <w:t>存货跌价准备</w:t>
                </w:r>
                <w:r w:rsidR="00AC4185">
                  <w:rPr>
                    <w:szCs w:val="21"/>
                  </w:rPr>
                  <w:t>/合同履约成本减值准备</w:t>
                </w:r>
              </w:sdtContent>
            </w:sdt>
          </w:p>
        </w:tc>
        <w:sdt>
          <w:sdtPr>
            <w:rPr>
              <w:szCs w:val="21"/>
            </w:rPr>
            <w:tag w:val="_PLD_2c7532c412cf491899c310ef9902157e"/>
            <w:id w:val="-2002347363"/>
          </w:sdtPr>
          <w:sdtEndPr/>
          <w:sdtContent>
            <w:tc>
              <w:tcPr>
                <w:tcW w:w="694" w:type="pct"/>
                <w:vAlign w:val="center"/>
              </w:tcPr>
              <w:p w14:paraId="1AD2B2D2" w14:textId="77777777" w:rsidR="00E57DAA" w:rsidRDefault="00AC4185">
                <w:pPr>
                  <w:ind w:right="5"/>
                  <w:jc w:val="center"/>
                  <w:rPr>
                    <w:szCs w:val="21"/>
                  </w:rPr>
                </w:pPr>
                <w:r>
                  <w:rPr>
                    <w:rFonts w:hint="eastAsia"/>
                    <w:szCs w:val="21"/>
                  </w:rPr>
                  <w:t>账面价值</w:t>
                </w:r>
              </w:p>
            </w:tc>
          </w:sdtContent>
        </w:sdt>
        <w:sdt>
          <w:sdtPr>
            <w:rPr>
              <w:szCs w:val="21"/>
            </w:rPr>
            <w:tag w:val="_PLD_6c2924a6d3da466f96c5c2e2f2d81de1"/>
            <w:id w:val="-559474315"/>
          </w:sdtPr>
          <w:sdtEndPr/>
          <w:sdtContent>
            <w:tc>
              <w:tcPr>
                <w:tcW w:w="688" w:type="pct"/>
                <w:vAlign w:val="center"/>
              </w:tcPr>
              <w:p w14:paraId="2022D8B0" w14:textId="77777777" w:rsidR="00E57DAA" w:rsidRDefault="00AC4185">
                <w:pPr>
                  <w:ind w:right="5"/>
                  <w:jc w:val="center"/>
                  <w:rPr>
                    <w:szCs w:val="21"/>
                  </w:rPr>
                </w:pPr>
                <w:r>
                  <w:rPr>
                    <w:rFonts w:hint="eastAsia"/>
                    <w:szCs w:val="21"/>
                  </w:rPr>
                  <w:t>账面余额</w:t>
                </w:r>
              </w:p>
            </w:tc>
          </w:sdtContent>
        </w:sdt>
        <w:tc>
          <w:tcPr>
            <w:tcW w:w="767" w:type="pct"/>
            <w:vAlign w:val="center"/>
          </w:tcPr>
          <w:p w14:paraId="73DFACD4" w14:textId="77777777" w:rsidR="00E57DAA" w:rsidRDefault="00EB41A1">
            <w:pPr>
              <w:ind w:right="5"/>
              <w:jc w:val="center"/>
              <w:rPr>
                <w:szCs w:val="21"/>
              </w:rPr>
            </w:pPr>
            <w:sdt>
              <w:sdtPr>
                <w:rPr>
                  <w:szCs w:val="21"/>
                </w:rPr>
                <w:tag w:val="_PLD_e5df78ba36d146dfb7eedab7ddd98031"/>
                <w:id w:val="-256838305"/>
              </w:sdtPr>
              <w:sdtEndPr/>
              <w:sdtContent>
                <w:r w:rsidR="00AC4185">
                  <w:rPr>
                    <w:rFonts w:hint="eastAsia"/>
                    <w:szCs w:val="21"/>
                  </w:rPr>
                  <w:t>存货跌价准备</w:t>
                </w:r>
                <w:r w:rsidR="00AC4185">
                  <w:rPr>
                    <w:szCs w:val="21"/>
                  </w:rPr>
                  <w:t>/合同履约成本减值准备</w:t>
                </w:r>
              </w:sdtContent>
            </w:sdt>
          </w:p>
        </w:tc>
        <w:sdt>
          <w:sdtPr>
            <w:rPr>
              <w:szCs w:val="21"/>
            </w:rPr>
            <w:tag w:val="_PLD_ba07e513b5504e03b2dcef7d8421fa16"/>
            <w:id w:val="-1672414123"/>
          </w:sdtPr>
          <w:sdtEndPr/>
          <w:sdtContent>
            <w:tc>
              <w:tcPr>
                <w:tcW w:w="609" w:type="pct"/>
                <w:vAlign w:val="center"/>
              </w:tcPr>
              <w:p w14:paraId="66F63980" w14:textId="77777777" w:rsidR="00E57DAA" w:rsidRDefault="00AC4185">
                <w:pPr>
                  <w:ind w:right="5"/>
                  <w:jc w:val="center"/>
                  <w:rPr>
                    <w:szCs w:val="21"/>
                  </w:rPr>
                </w:pPr>
                <w:r>
                  <w:rPr>
                    <w:rFonts w:hint="eastAsia"/>
                    <w:szCs w:val="21"/>
                  </w:rPr>
                  <w:t>账面价值</w:t>
                </w:r>
              </w:p>
            </w:tc>
          </w:sdtContent>
        </w:sdt>
      </w:tr>
      <w:tr w:rsidR="00E57DAA" w14:paraId="499AFBD5" w14:textId="77777777">
        <w:trPr>
          <w:cantSplit/>
        </w:trPr>
        <w:tc>
          <w:tcPr>
            <w:tcW w:w="802" w:type="pct"/>
          </w:tcPr>
          <w:p w14:paraId="5DC77F1A" w14:textId="77777777" w:rsidR="00E57DAA" w:rsidRDefault="00AC4185">
            <w:pPr>
              <w:ind w:right="5"/>
              <w:rPr>
                <w:szCs w:val="21"/>
              </w:rPr>
            </w:pPr>
            <w:r>
              <w:rPr>
                <w:rFonts w:hint="eastAsia"/>
                <w:szCs w:val="21"/>
              </w:rPr>
              <w:t>原材料</w:t>
            </w:r>
          </w:p>
        </w:tc>
        <w:tc>
          <w:tcPr>
            <w:tcW w:w="670" w:type="pct"/>
            <w:vAlign w:val="center"/>
          </w:tcPr>
          <w:p w14:paraId="4963FCCF" w14:textId="77777777" w:rsidR="00E57DAA" w:rsidRDefault="00AC4185">
            <w:pPr>
              <w:ind w:right="5"/>
              <w:jc w:val="right"/>
              <w:rPr>
                <w:szCs w:val="21"/>
              </w:rPr>
            </w:pPr>
            <w:r>
              <w:rPr>
                <w:szCs w:val="21"/>
              </w:rPr>
              <w:t>971,853,209.74</w:t>
            </w:r>
          </w:p>
        </w:tc>
        <w:tc>
          <w:tcPr>
            <w:tcW w:w="770" w:type="pct"/>
            <w:vAlign w:val="center"/>
          </w:tcPr>
          <w:p w14:paraId="1BE66E6A" w14:textId="77777777" w:rsidR="00E57DAA" w:rsidRDefault="00AC4185">
            <w:pPr>
              <w:ind w:right="5"/>
              <w:jc w:val="right"/>
              <w:rPr>
                <w:szCs w:val="21"/>
              </w:rPr>
            </w:pPr>
            <w:r>
              <w:rPr>
                <w:szCs w:val="21"/>
              </w:rPr>
              <w:t>27,859,510.41</w:t>
            </w:r>
          </w:p>
        </w:tc>
        <w:tc>
          <w:tcPr>
            <w:tcW w:w="694" w:type="pct"/>
            <w:vAlign w:val="center"/>
          </w:tcPr>
          <w:p w14:paraId="72268A7B" w14:textId="77777777" w:rsidR="00E57DAA" w:rsidRDefault="00AC4185">
            <w:pPr>
              <w:ind w:right="5"/>
              <w:jc w:val="right"/>
              <w:rPr>
                <w:szCs w:val="21"/>
              </w:rPr>
            </w:pPr>
            <w:r>
              <w:rPr>
                <w:szCs w:val="21"/>
              </w:rPr>
              <w:t>943,993,699.33</w:t>
            </w:r>
          </w:p>
        </w:tc>
        <w:tc>
          <w:tcPr>
            <w:tcW w:w="688" w:type="pct"/>
            <w:vAlign w:val="center"/>
          </w:tcPr>
          <w:p w14:paraId="4B9B96CE" w14:textId="77777777" w:rsidR="00E57DAA" w:rsidRDefault="00AC4185">
            <w:pPr>
              <w:ind w:right="5"/>
              <w:jc w:val="right"/>
              <w:rPr>
                <w:szCs w:val="21"/>
              </w:rPr>
            </w:pPr>
            <w:r>
              <w:rPr>
                <w:szCs w:val="21"/>
              </w:rPr>
              <w:t>966,982,277.42</w:t>
            </w:r>
          </w:p>
        </w:tc>
        <w:tc>
          <w:tcPr>
            <w:tcW w:w="767" w:type="pct"/>
            <w:vAlign w:val="center"/>
          </w:tcPr>
          <w:p w14:paraId="2AF53C12" w14:textId="77777777" w:rsidR="00E57DAA" w:rsidRDefault="00AC4185">
            <w:pPr>
              <w:ind w:right="5"/>
              <w:jc w:val="right"/>
              <w:rPr>
                <w:szCs w:val="21"/>
              </w:rPr>
            </w:pPr>
            <w:r>
              <w:rPr>
                <w:szCs w:val="21"/>
              </w:rPr>
              <w:t>28,192,794.29</w:t>
            </w:r>
          </w:p>
        </w:tc>
        <w:tc>
          <w:tcPr>
            <w:tcW w:w="609" w:type="pct"/>
            <w:vAlign w:val="center"/>
          </w:tcPr>
          <w:p w14:paraId="1D0E5336" w14:textId="77777777" w:rsidR="00E57DAA" w:rsidRDefault="00AC4185">
            <w:pPr>
              <w:ind w:right="5"/>
              <w:jc w:val="right"/>
              <w:rPr>
                <w:szCs w:val="21"/>
              </w:rPr>
            </w:pPr>
            <w:r>
              <w:rPr>
                <w:szCs w:val="21"/>
              </w:rPr>
              <w:t>938,789,483.13</w:t>
            </w:r>
          </w:p>
        </w:tc>
      </w:tr>
      <w:tr w:rsidR="00E57DAA" w14:paraId="6645F73C" w14:textId="77777777">
        <w:trPr>
          <w:cantSplit/>
        </w:trPr>
        <w:tc>
          <w:tcPr>
            <w:tcW w:w="802" w:type="pct"/>
          </w:tcPr>
          <w:p w14:paraId="59BC0394" w14:textId="77777777" w:rsidR="00E57DAA" w:rsidRDefault="00AC4185">
            <w:pPr>
              <w:ind w:right="5"/>
              <w:rPr>
                <w:szCs w:val="21"/>
              </w:rPr>
            </w:pPr>
            <w:r>
              <w:rPr>
                <w:rFonts w:hint="eastAsia"/>
                <w:szCs w:val="21"/>
              </w:rPr>
              <w:t>在产品</w:t>
            </w:r>
          </w:p>
        </w:tc>
        <w:tc>
          <w:tcPr>
            <w:tcW w:w="670" w:type="pct"/>
            <w:vAlign w:val="center"/>
          </w:tcPr>
          <w:p w14:paraId="1CE21F82" w14:textId="77777777" w:rsidR="00E57DAA" w:rsidRDefault="00AC4185">
            <w:pPr>
              <w:ind w:right="5"/>
              <w:jc w:val="right"/>
              <w:rPr>
                <w:szCs w:val="21"/>
              </w:rPr>
            </w:pPr>
            <w:r>
              <w:rPr>
                <w:szCs w:val="21"/>
              </w:rPr>
              <w:t>1,020,690,704.67</w:t>
            </w:r>
          </w:p>
        </w:tc>
        <w:tc>
          <w:tcPr>
            <w:tcW w:w="770" w:type="pct"/>
            <w:vAlign w:val="center"/>
          </w:tcPr>
          <w:p w14:paraId="29DF706E" w14:textId="77777777" w:rsidR="00E57DAA" w:rsidRDefault="00AC4185">
            <w:pPr>
              <w:ind w:right="5"/>
              <w:jc w:val="right"/>
              <w:rPr>
                <w:szCs w:val="21"/>
              </w:rPr>
            </w:pPr>
            <w:r>
              <w:rPr>
                <w:szCs w:val="21"/>
              </w:rPr>
              <w:t>18,051,779.02</w:t>
            </w:r>
          </w:p>
        </w:tc>
        <w:tc>
          <w:tcPr>
            <w:tcW w:w="694" w:type="pct"/>
            <w:vAlign w:val="center"/>
          </w:tcPr>
          <w:p w14:paraId="7BE8FA42" w14:textId="77777777" w:rsidR="00E57DAA" w:rsidRDefault="00AC4185">
            <w:pPr>
              <w:ind w:right="5"/>
              <w:jc w:val="right"/>
              <w:rPr>
                <w:szCs w:val="21"/>
              </w:rPr>
            </w:pPr>
            <w:r>
              <w:rPr>
                <w:szCs w:val="21"/>
              </w:rPr>
              <w:t>1,002,638,925.65</w:t>
            </w:r>
          </w:p>
        </w:tc>
        <w:tc>
          <w:tcPr>
            <w:tcW w:w="688" w:type="pct"/>
            <w:vAlign w:val="center"/>
          </w:tcPr>
          <w:p w14:paraId="33D5AF10" w14:textId="77777777" w:rsidR="00E57DAA" w:rsidRDefault="00AC4185">
            <w:pPr>
              <w:ind w:right="5"/>
              <w:jc w:val="right"/>
              <w:rPr>
                <w:szCs w:val="21"/>
              </w:rPr>
            </w:pPr>
            <w:r>
              <w:rPr>
                <w:szCs w:val="21"/>
              </w:rPr>
              <w:t>968,840,864.19</w:t>
            </w:r>
          </w:p>
        </w:tc>
        <w:tc>
          <w:tcPr>
            <w:tcW w:w="767" w:type="pct"/>
            <w:vAlign w:val="center"/>
          </w:tcPr>
          <w:p w14:paraId="27A9C0AC" w14:textId="77777777" w:rsidR="00E57DAA" w:rsidRDefault="00AC4185">
            <w:pPr>
              <w:ind w:right="5"/>
              <w:jc w:val="right"/>
              <w:rPr>
                <w:szCs w:val="21"/>
              </w:rPr>
            </w:pPr>
            <w:r>
              <w:rPr>
                <w:szCs w:val="21"/>
              </w:rPr>
              <w:t>16,838,709.71</w:t>
            </w:r>
          </w:p>
        </w:tc>
        <w:tc>
          <w:tcPr>
            <w:tcW w:w="609" w:type="pct"/>
            <w:vAlign w:val="center"/>
          </w:tcPr>
          <w:p w14:paraId="36514161" w14:textId="77777777" w:rsidR="00E57DAA" w:rsidRDefault="00AC4185">
            <w:pPr>
              <w:ind w:right="5"/>
              <w:jc w:val="right"/>
              <w:rPr>
                <w:szCs w:val="21"/>
              </w:rPr>
            </w:pPr>
            <w:r>
              <w:rPr>
                <w:szCs w:val="21"/>
              </w:rPr>
              <w:t>952,002,154.48</w:t>
            </w:r>
          </w:p>
        </w:tc>
      </w:tr>
      <w:tr w:rsidR="00E57DAA" w14:paraId="34BF61C0" w14:textId="77777777">
        <w:trPr>
          <w:cantSplit/>
        </w:trPr>
        <w:tc>
          <w:tcPr>
            <w:tcW w:w="802" w:type="pct"/>
          </w:tcPr>
          <w:p w14:paraId="252AA033" w14:textId="77777777" w:rsidR="00E57DAA" w:rsidRDefault="00AC4185">
            <w:pPr>
              <w:ind w:right="5"/>
              <w:rPr>
                <w:szCs w:val="21"/>
              </w:rPr>
            </w:pPr>
            <w:r>
              <w:rPr>
                <w:rFonts w:hint="eastAsia"/>
                <w:szCs w:val="21"/>
              </w:rPr>
              <w:t>库存商品</w:t>
            </w:r>
          </w:p>
        </w:tc>
        <w:tc>
          <w:tcPr>
            <w:tcW w:w="670" w:type="pct"/>
            <w:vAlign w:val="center"/>
          </w:tcPr>
          <w:p w14:paraId="6F50917A" w14:textId="77777777" w:rsidR="00E57DAA" w:rsidRDefault="00AC4185">
            <w:pPr>
              <w:ind w:right="5"/>
              <w:jc w:val="right"/>
              <w:rPr>
                <w:szCs w:val="21"/>
              </w:rPr>
            </w:pPr>
            <w:r>
              <w:rPr>
                <w:szCs w:val="21"/>
              </w:rPr>
              <w:t>910,057,776.72</w:t>
            </w:r>
          </w:p>
        </w:tc>
        <w:tc>
          <w:tcPr>
            <w:tcW w:w="770" w:type="pct"/>
            <w:vAlign w:val="center"/>
          </w:tcPr>
          <w:p w14:paraId="00E9E412" w14:textId="77777777" w:rsidR="00E57DAA" w:rsidRDefault="00AC4185">
            <w:pPr>
              <w:ind w:right="5"/>
              <w:jc w:val="right"/>
              <w:rPr>
                <w:szCs w:val="21"/>
              </w:rPr>
            </w:pPr>
            <w:r>
              <w:rPr>
                <w:szCs w:val="21"/>
              </w:rPr>
              <w:t>9,758,153.10</w:t>
            </w:r>
          </w:p>
        </w:tc>
        <w:tc>
          <w:tcPr>
            <w:tcW w:w="694" w:type="pct"/>
            <w:vAlign w:val="center"/>
          </w:tcPr>
          <w:p w14:paraId="27DF25A3" w14:textId="77777777" w:rsidR="00E57DAA" w:rsidRDefault="00AC4185">
            <w:pPr>
              <w:ind w:right="5"/>
              <w:jc w:val="right"/>
              <w:rPr>
                <w:szCs w:val="21"/>
              </w:rPr>
            </w:pPr>
            <w:r>
              <w:rPr>
                <w:szCs w:val="21"/>
              </w:rPr>
              <w:t>900,299,623.62</w:t>
            </w:r>
          </w:p>
        </w:tc>
        <w:tc>
          <w:tcPr>
            <w:tcW w:w="688" w:type="pct"/>
            <w:vAlign w:val="center"/>
          </w:tcPr>
          <w:p w14:paraId="36B3A04E" w14:textId="77777777" w:rsidR="00E57DAA" w:rsidRDefault="00AC4185">
            <w:pPr>
              <w:ind w:right="5"/>
              <w:jc w:val="right"/>
              <w:rPr>
                <w:szCs w:val="21"/>
              </w:rPr>
            </w:pPr>
            <w:r>
              <w:rPr>
                <w:szCs w:val="21"/>
              </w:rPr>
              <w:t>1,158,908,392.50</w:t>
            </w:r>
          </w:p>
        </w:tc>
        <w:tc>
          <w:tcPr>
            <w:tcW w:w="767" w:type="pct"/>
            <w:vAlign w:val="center"/>
          </w:tcPr>
          <w:p w14:paraId="24199742" w14:textId="77777777" w:rsidR="00E57DAA" w:rsidRDefault="00AC4185">
            <w:pPr>
              <w:ind w:right="5"/>
              <w:jc w:val="right"/>
              <w:rPr>
                <w:szCs w:val="21"/>
              </w:rPr>
            </w:pPr>
            <w:r>
              <w:rPr>
                <w:szCs w:val="21"/>
              </w:rPr>
              <w:t>9,310,879.92</w:t>
            </w:r>
          </w:p>
        </w:tc>
        <w:tc>
          <w:tcPr>
            <w:tcW w:w="609" w:type="pct"/>
            <w:vAlign w:val="center"/>
          </w:tcPr>
          <w:p w14:paraId="04CC82B7" w14:textId="77777777" w:rsidR="00E57DAA" w:rsidRDefault="00AC4185">
            <w:pPr>
              <w:ind w:right="5"/>
              <w:jc w:val="right"/>
              <w:rPr>
                <w:szCs w:val="21"/>
              </w:rPr>
            </w:pPr>
            <w:r>
              <w:rPr>
                <w:szCs w:val="21"/>
              </w:rPr>
              <w:t>1,149,597,512.58</w:t>
            </w:r>
          </w:p>
        </w:tc>
      </w:tr>
      <w:tr w:rsidR="00E57DAA" w14:paraId="65364A59" w14:textId="77777777">
        <w:trPr>
          <w:cantSplit/>
        </w:trPr>
        <w:tc>
          <w:tcPr>
            <w:tcW w:w="802" w:type="pct"/>
          </w:tcPr>
          <w:p w14:paraId="2D15D03A" w14:textId="77777777" w:rsidR="00E57DAA" w:rsidRDefault="00AC4185">
            <w:pPr>
              <w:ind w:right="5"/>
              <w:rPr>
                <w:szCs w:val="21"/>
              </w:rPr>
            </w:pPr>
            <w:r>
              <w:rPr>
                <w:rFonts w:hint="eastAsia"/>
                <w:szCs w:val="21"/>
              </w:rPr>
              <w:t>其他</w:t>
            </w:r>
          </w:p>
        </w:tc>
        <w:tc>
          <w:tcPr>
            <w:tcW w:w="670" w:type="pct"/>
            <w:vAlign w:val="center"/>
          </w:tcPr>
          <w:p w14:paraId="38E213DE" w14:textId="77777777" w:rsidR="00E57DAA" w:rsidRDefault="00AC4185">
            <w:pPr>
              <w:ind w:right="5"/>
              <w:jc w:val="right"/>
              <w:rPr>
                <w:szCs w:val="21"/>
              </w:rPr>
            </w:pPr>
            <w:r>
              <w:rPr>
                <w:szCs w:val="21"/>
              </w:rPr>
              <w:t>32,321,685.84</w:t>
            </w:r>
          </w:p>
        </w:tc>
        <w:tc>
          <w:tcPr>
            <w:tcW w:w="770" w:type="pct"/>
            <w:vAlign w:val="center"/>
          </w:tcPr>
          <w:p w14:paraId="5420FA79" w14:textId="77777777" w:rsidR="00E57DAA" w:rsidRDefault="00E57DAA">
            <w:pPr>
              <w:ind w:right="5"/>
              <w:jc w:val="right"/>
              <w:rPr>
                <w:szCs w:val="21"/>
              </w:rPr>
            </w:pPr>
          </w:p>
        </w:tc>
        <w:tc>
          <w:tcPr>
            <w:tcW w:w="694" w:type="pct"/>
            <w:vAlign w:val="center"/>
          </w:tcPr>
          <w:p w14:paraId="1035D119" w14:textId="77777777" w:rsidR="00E57DAA" w:rsidRDefault="00AC4185">
            <w:pPr>
              <w:ind w:right="5"/>
              <w:jc w:val="right"/>
              <w:rPr>
                <w:szCs w:val="21"/>
              </w:rPr>
            </w:pPr>
            <w:r>
              <w:rPr>
                <w:szCs w:val="21"/>
              </w:rPr>
              <w:t>32,321,685.84</w:t>
            </w:r>
          </w:p>
        </w:tc>
        <w:tc>
          <w:tcPr>
            <w:tcW w:w="688" w:type="pct"/>
            <w:vAlign w:val="center"/>
          </w:tcPr>
          <w:p w14:paraId="7BA35716" w14:textId="77777777" w:rsidR="00E57DAA" w:rsidRDefault="00AC4185">
            <w:pPr>
              <w:ind w:right="5"/>
              <w:jc w:val="right"/>
              <w:rPr>
                <w:szCs w:val="21"/>
              </w:rPr>
            </w:pPr>
            <w:r>
              <w:rPr>
                <w:szCs w:val="21"/>
              </w:rPr>
              <w:t>17,766,890.09</w:t>
            </w:r>
          </w:p>
        </w:tc>
        <w:tc>
          <w:tcPr>
            <w:tcW w:w="767" w:type="pct"/>
            <w:vAlign w:val="center"/>
          </w:tcPr>
          <w:p w14:paraId="4450F13C" w14:textId="77777777" w:rsidR="00E57DAA" w:rsidRDefault="00E57DAA">
            <w:pPr>
              <w:ind w:right="5"/>
              <w:jc w:val="right"/>
              <w:rPr>
                <w:szCs w:val="21"/>
              </w:rPr>
            </w:pPr>
          </w:p>
        </w:tc>
        <w:tc>
          <w:tcPr>
            <w:tcW w:w="609" w:type="pct"/>
            <w:vAlign w:val="center"/>
          </w:tcPr>
          <w:p w14:paraId="70436994" w14:textId="77777777" w:rsidR="00E57DAA" w:rsidRDefault="00AC4185">
            <w:pPr>
              <w:ind w:right="5"/>
              <w:jc w:val="right"/>
              <w:rPr>
                <w:szCs w:val="21"/>
              </w:rPr>
            </w:pPr>
            <w:r>
              <w:rPr>
                <w:szCs w:val="21"/>
              </w:rPr>
              <w:t>17,766,890.09</w:t>
            </w:r>
          </w:p>
        </w:tc>
      </w:tr>
      <w:tr w:rsidR="00E57DAA" w14:paraId="6A7F7D74" w14:textId="77777777">
        <w:trPr>
          <w:cantSplit/>
        </w:trPr>
        <w:tc>
          <w:tcPr>
            <w:tcW w:w="802" w:type="pct"/>
          </w:tcPr>
          <w:p w14:paraId="6ECF34A3" w14:textId="77777777" w:rsidR="00E57DAA" w:rsidRDefault="00AC4185">
            <w:pPr>
              <w:ind w:right="5"/>
              <w:jc w:val="center"/>
              <w:rPr>
                <w:szCs w:val="21"/>
              </w:rPr>
            </w:pPr>
            <w:r>
              <w:rPr>
                <w:rFonts w:hint="eastAsia"/>
                <w:szCs w:val="21"/>
              </w:rPr>
              <w:t>合计</w:t>
            </w:r>
          </w:p>
        </w:tc>
        <w:tc>
          <w:tcPr>
            <w:tcW w:w="670" w:type="pct"/>
            <w:vAlign w:val="center"/>
          </w:tcPr>
          <w:p w14:paraId="1E23382B" w14:textId="77777777" w:rsidR="00E57DAA" w:rsidRDefault="00AC4185">
            <w:pPr>
              <w:ind w:right="5"/>
              <w:jc w:val="right"/>
              <w:rPr>
                <w:szCs w:val="21"/>
              </w:rPr>
            </w:pPr>
            <w:r>
              <w:rPr>
                <w:szCs w:val="21"/>
              </w:rPr>
              <w:t>2,934,923,376.97</w:t>
            </w:r>
          </w:p>
        </w:tc>
        <w:tc>
          <w:tcPr>
            <w:tcW w:w="770" w:type="pct"/>
            <w:vAlign w:val="center"/>
          </w:tcPr>
          <w:p w14:paraId="482E9347" w14:textId="77777777" w:rsidR="00E57DAA" w:rsidRDefault="00AC4185">
            <w:pPr>
              <w:ind w:right="5"/>
              <w:jc w:val="right"/>
              <w:rPr>
                <w:szCs w:val="21"/>
              </w:rPr>
            </w:pPr>
            <w:r>
              <w:rPr>
                <w:szCs w:val="21"/>
              </w:rPr>
              <w:t>55,669,442.53</w:t>
            </w:r>
          </w:p>
        </w:tc>
        <w:tc>
          <w:tcPr>
            <w:tcW w:w="694" w:type="pct"/>
            <w:vAlign w:val="center"/>
          </w:tcPr>
          <w:p w14:paraId="3DD4D379" w14:textId="77777777" w:rsidR="00E57DAA" w:rsidRDefault="00AC4185">
            <w:pPr>
              <w:ind w:right="5"/>
              <w:jc w:val="right"/>
              <w:rPr>
                <w:szCs w:val="21"/>
              </w:rPr>
            </w:pPr>
            <w:r>
              <w:rPr>
                <w:szCs w:val="21"/>
              </w:rPr>
              <w:t>2,879,253,934.44</w:t>
            </w:r>
          </w:p>
        </w:tc>
        <w:tc>
          <w:tcPr>
            <w:tcW w:w="688" w:type="pct"/>
            <w:vAlign w:val="center"/>
          </w:tcPr>
          <w:p w14:paraId="28C1AA24" w14:textId="77777777" w:rsidR="00E57DAA" w:rsidRDefault="00AC4185">
            <w:pPr>
              <w:ind w:right="5"/>
              <w:jc w:val="right"/>
              <w:rPr>
                <w:szCs w:val="21"/>
              </w:rPr>
            </w:pPr>
            <w:r>
              <w:rPr>
                <w:szCs w:val="21"/>
              </w:rPr>
              <w:t>3,112,498,424.20</w:t>
            </w:r>
          </w:p>
        </w:tc>
        <w:tc>
          <w:tcPr>
            <w:tcW w:w="767" w:type="pct"/>
            <w:vAlign w:val="center"/>
          </w:tcPr>
          <w:p w14:paraId="28A8F11C" w14:textId="77777777" w:rsidR="00E57DAA" w:rsidRDefault="00AC4185">
            <w:pPr>
              <w:ind w:right="5"/>
              <w:jc w:val="right"/>
              <w:rPr>
                <w:szCs w:val="21"/>
              </w:rPr>
            </w:pPr>
            <w:r>
              <w:rPr>
                <w:szCs w:val="21"/>
              </w:rPr>
              <w:t>54,342,383.92</w:t>
            </w:r>
          </w:p>
        </w:tc>
        <w:tc>
          <w:tcPr>
            <w:tcW w:w="609" w:type="pct"/>
            <w:vAlign w:val="center"/>
          </w:tcPr>
          <w:p w14:paraId="74368454" w14:textId="77777777" w:rsidR="00E57DAA" w:rsidRDefault="00AC4185">
            <w:pPr>
              <w:ind w:right="5"/>
              <w:jc w:val="right"/>
              <w:rPr>
                <w:szCs w:val="21"/>
              </w:rPr>
            </w:pPr>
            <w:r>
              <w:rPr>
                <w:szCs w:val="21"/>
              </w:rPr>
              <w:t>3,058,156,040.28</w:t>
            </w:r>
          </w:p>
        </w:tc>
      </w:tr>
      <w:bookmarkEnd w:id="232"/>
      <w:bookmarkEnd w:id="231"/>
    </w:tbl>
    <w:p w14:paraId="37FCBD8F" w14:textId="77777777" w:rsidR="00E57DAA" w:rsidRDefault="00E57DAA">
      <w:pPr>
        <w:snapToGrid w:val="0"/>
        <w:spacing w:line="240" w:lineRule="atLeast"/>
        <w:rPr>
          <w:color w:val="FF6600"/>
          <w:szCs w:val="21"/>
        </w:rPr>
      </w:pPr>
    </w:p>
    <w:bookmarkStart w:id="233" w:name="_Hlk533079150" w:displacedByCustomXml="next"/>
    <w:sdt>
      <w:sdtPr>
        <w:rPr>
          <w:b w:val="0"/>
          <w:bCs w:val="0"/>
        </w:rPr>
        <w:tag w:val="_PLD_b03e65bc536a43eab5570263a106c71d"/>
        <w:id w:val="-1026327683"/>
        <w:placeholder>
          <w:docPart w:val="GBC22222222222222222222222222222"/>
        </w:placeholder>
      </w:sdtPr>
      <w:sdtEndPr/>
      <w:sdtContent>
        <w:p w14:paraId="7600D86F" w14:textId="77777777" w:rsidR="00E57DAA" w:rsidRDefault="00AC4185">
          <w:pPr>
            <w:pStyle w:val="4"/>
            <w:numPr>
              <w:ilvl w:val="3"/>
              <w:numId w:val="76"/>
            </w:numPr>
            <w:ind w:left="426" w:hanging="426"/>
            <w:rPr>
              <w:b w:val="0"/>
              <w:bCs w:val="0"/>
            </w:rPr>
          </w:pPr>
          <w:r>
            <w:t>存货跌价准备及合同履约成本减值准备</w:t>
          </w:r>
        </w:p>
      </w:sdtContent>
    </w:sdt>
    <w:sdt>
      <w:sdtPr>
        <w:alias w:val="是否适用：存货跌价准备[双击切换]"/>
        <w:tag w:val="_GBC_c61866b530ae491eb21bee1edd36619e"/>
        <w:id w:val="-715575151"/>
        <w:placeholder>
          <w:docPart w:val="GBC22222222222222222222222222222"/>
        </w:placeholder>
      </w:sdtPr>
      <w:sdtEndPr/>
      <w:sdtContent>
        <w:p w14:paraId="197C111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A84F16" w14:textId="77777777" w:rsidR="00E57DAA" w:rsidRDefault="00AC4185">
      <w:pPr>
        <w:jc w:val="right"/>
        <w:rPr>
          <w:szCs w:val="21"/>
        </w:rPr>
      </w:pPr>
      <w:r>
        <w:rPr>
          <w:rFonts w:hint="eastAsia"/>
          <w:szCs w:val="21"/>
        </w:rPr>
        <w:t>单位：</w:t>
      </w:r>
      <w:sdt>
        <w:sdtPr>
          <w:rPr>
            <w:rFonts w:hint="eastAsia"/>
            <w:szCs w:val="21"/>
          </w:rPr>
          <w:alias w:val="单位：存货跌价准备"/>
          <w:tag w:val="_GBC_2d3e3a5e2ff44ef3bbef756054f246f3"/>
          <w:id w:val="20373013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6768505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4"/>
        <w:gridCol w:w="1800"/>
        <w:gridCol w:w="1824"/>
        <w:gridCol w:w="1824"/>
        <w:gridCol w:w="1841"/>
        <w:gridCol w:w="1827"/>
        <w:gridCol w:w="1813"/>
      </w:tblGrid>
      <w:tr w:rsidR="00E57DAA" w14:paraId="292BA753" w14:textId="77777777">
        <w:trPr>
          <w:trHeight w:val="238"/>
        </w:trPr>
        <w:sdt>
          <w:sdtPr>
            <w:tag w:val="_PLD_4ac7cc4fa4994c1db43ed3b367defc13"/>
            <w:id w:val="-1257669098"/>
          </w:sdtPr>
          <w:sdtEndPr/>
          <w:sdtContent>
            <w:tc>
              <w:tcPr>
                <w:tcW w:w="1058" w:type="pct"/>
                <w:vMerge w:val="restart"/>
                <w:tcBorders>
                  <w:top w:val="single" w:sz="4" w:space="0" w:color="auto"/>
                  <w:left w:val="single" w:sz="4" w:space="0" w:color="auto"/>
                  <w:bottom w:val="single" w:sz="4" w:space="0" w:color="auto"/>
                  <w:right w:val="single" w:sz="4" w:space="0" w:color="auto"/>
                </w:tcBorders>
                <w:vAlign w:val="center"/>
              </w:tcPr>
              <w:p w14:paraId="1EEECD85" w14:textId="77777777" w:rsidR="00E57DAA" w:rsidRDefault="00AC4185">
                <w:pPr>
                  <w:jc w:val="center"/>
                  <w:rPr>
                    <w:szCs w:val="21"/>
                  </w:rPr>
                </w:pPr>
                <w:r>
                  <w:rPr>
                    <w:rFonts w:hint="eastAsia"/>
                    <w:szCs w:val="21"/>
                  </w:rPr>
                  <w:t>项目</w:t>
                </w:r>
              </w:p>
            </w:tc>
          </w:sdtContent>
        </w:sdt>
        <w:sdt>
          <w:sdtPr>
            <w:tag w:val="_PLD_7a2e758257864908b13bf89a561f9b5a"/>
            <w:id w:val="1936553792"/>
          </w:sdtPr>
          <w:sdtEndPr/>
          <w:sdtContent>
            <w:tc>
              <w:tcPr>
                <w:tcW w:w="649" w:type="pct"/>
                <w:vMerge w:val="restart"/>
                <w:tcBorders>
                  <w:top w:val="single" w:sz="4" w:space="0" w:color="auto"/>
                  <w:left w:val="single" w:sz="4" w:space="0" w:color="auto"/>
                  <w:bottom w:val="single" w:sz="4" w:space="0" w:color="auto"/>
                  <w:right w:val="single" w:sz="4" w:space="0" w:color="auto"/>
                </w:tcBorders>
                <w:vAlign w:val="center"/>
              </w:tcPr>
              <w:p w14:paraId="4A4F2894" w14:textId="77777777" w:rsidR="00E57DAA" w:rsidRDefault="00AC4185">
                <w:pPr>
                  <w:jc w:val="center"/>
                  <w:rPr>
                    <w:szCs w:val="21"/>
                  </w:rPr>
                </w:pPr>
                <w:r>
                  <w:rPr>
                    <w:rFonts w:hint="eastAsia"/>
                    <w:szCs w:val="21"/>
                  </w:rPr>
                  <w:t>期初余额</w:t>
                </w:r>
              </w:p>
            </w:tc>
          </w:sdtContent>
        </w:sdt>
        <w:sdt>
          <w:sdtPr>
            <w:tag w:val="_PLD_d95d27d30a6440b5ba0d3798473f422e"/>
            <w:id w:val="1018666451"/>
          </w:sdtPr>
          <w:sdtEndPr/>
          <w:sdtContent>
            <w:tc>
              <w:tcPr>
                <w:tcW w:w="1316" w:type="pct"/>
                <w:gridSpan w:val="2"/>
                <w:tcBorders>
                  <w:top w:val="single" w:sz="4" w:space="0" w:color="auto"/>
                  <w:left w:val="single" w:sz="4" w:space="0" w:color="auto"/>
                  <w:right w:val="single" w:sz="4" w:space="0" w:color="auto"/>
                </w:tcBorders>
                <w:vAlign w:val="center"/>
              </w:tcPr>
              <w:p w14:paraId="59D4979F" w14:textId="77777777" w:rsidR="00E57DAA" w:rsidRDefault="00AC4185">
                <w:pPr>
                  <w:jc w:val="center"/>
                  <w:rPr>
                    <w:szCs w:val="21"/>
                  </w:rPr>
                </w:pPr>
                <w:r>
                  <w:rPr>
                    <w:rFonts w:hint="eastAsia"/>
                    <w:szCs w:val="21"/>
                  </w:rPr>
                  <w:t>本期增加金额</w:t>
                </w:r>
              </w:p>
            </w:tc>
          </w:sdtContent>
        </w:sdt>
        <w:sdt>
          <w:sdtPr>
            <w:tag w:val="_PLD_cb7d37811bf944e4a7bb31b4366efaeb"/>
            <w:id w:val="-6297867"/>
          </w:sdtPr>
          <w:sdtEndPr/>
          <w:sdtContent>
            <w:tc>
              <w:tcPr>
                <w:tcW w:w="1323" w:type="pct"/>
                <w:gridSpan w:val="2"/>
                <w:tcBorders>
                  <w:top w:val="single" w:sz="4" w:space="0" w:color="auto"/>
                  <w:left w:val="single" w:sz="4" w:space="0" w:color="auto"/>
                  <w:right w:val="single" w:sz="4" w:space="0" w:color="auto"/>
                </w:tcBorders>
                <w:vAlign w:val="center"/>
              </w:tcPr>
              <w:p w14:paraId="4BC99124" w14:textId="77777777" w:rsidR="00E57DAA" w:rsidRDefault="00AC4185">
                <w:pPr>
                  <w:jc w:val="center"/>
                  <w:rPr>
                    <w:szCs w:val="21"/>
                  </w:rPr>
                </w:pPr>
                <w:r>
                  <w:rPr>
                    <w:rFonts w:hint="eastAsia"/>
                    <w:szCs w:val="21"/>
                  </w:rPr>
                  <w:t>本期减少金额</w:t>
                </w:r>
              </w:p>
            </w:tc>
          </w:sdtContent>
        </w:sdt>
        <w:sdt>
          <w:sdtPr>
            <w:tag w:val="_PLD_b2523ee7f028451790c9f2ef6e216a59"/>
            <w:id w:val="-1275479486"/>
          </w:sdtPr>
          <w:sdtEndPr/>
          <w:sdtContent>
            <w:tc>
              <w:tcPr>
                <w:tcW w:w="654" w:type="pct"/>
                <w:vMerge w:val="restart"/>
                <w:tcBorders>
                  <w:top w:val="single" w:sz="4" w:space="0" w:color="auto"/>
                  <w:left w:val="single" w:sz="4" w:space="0" w:color="auto"/>
                  <w:bottom w:val="single" w:sz="4" w:space="0" w:color="auto"/>
                  <w:right w:val="single" w:sz="4" w:space="0" w:color="auto"/>
                </w:tcBorders>
                <w:vAlign w:val="center"/>
              </w:tcPr>
              <w:p w14:paraId="0ED1FEE1" w14:textId="77777777" w:rsidR="00E57DAA" w:rsidRDefault="00AC4185">
                <w:pPr>
                  <w:jc w:val="center"/>
                  <w:rPr>
                    <w:szCs w:val="21"/>
                  </w:rPr>
                </w:pPr>
                <w:r>
                  <w:rPr>
                    <w:rFonts w:hint="eastAsia"/>
                    <w:szCs w:val="21"/>
                  </w:rPr>
                  <w:t>期末余额</w:t>
                </w:r>
              </w:p>
            </w:tc>
          </w:sdtContent>
        </w:sdt>
      </w:tr>
      <w:tr w:rsidR="00E57DAA" w14:paraId="654422B3" w14:textId="77777777">
        <w:trPr>
          <w:trHeight w:val="301"/>
        </w:trPr>
        <w:tc>
          <w:tcPr>
            <w:tcW w:w="1058" w:type="pct"/>
            <w:vMerge/>
            <w:tcBorders>
              <w:top w:val="single" w:sz="4" w:space="0" w:color="auto"/>
              <w:left w:val="single" w:sz="4" w:space="0" w:color="auto"/>
              <w:bottom w:val="single" w:sz="4" w:space="0" w:color="auto"/>
              <w:right w:val="single" w:sz="4" w:space="0" w:color="auto"/>
            </w:tcBorders>
          </w:tcPr>
          <w:p w14:paraId="0ABEEDBA" w14:textId="77777777" w:rsidR="00E57DAA" w:rsidRDefault="00E57DAA">
            <w:pPr>
              <w:jc w:val="center"/>
              <w:rPr>
                <w:szCs w:val="21"/>
              </w:rPr>
            </w:pPr>
          </w:p>
        </w:tc>
        <w:tc>
          <w:tcPr>
            <w:tcW w:w="649" w:type="pct"/>
            <w:vMerge/>
            <w:tcBorders>
              <w:top w:val="single" w:sz="4" w:space="0" w:color="auto"/>
              <w:left w:val="single" w:sz="4" w:space="0" w:color="auto"/>
              <w:bottom w:val="single" w:sz="4" w:space="0" w:color="auto"/>
              <w:right w:val="single" w:sz="4" w:space="0" w:color="auto"/>
            </w:tcBorders>
          </w:tcPr>
          <w:p w14:paraId="59B2B27D" w14:textId="77777777" w:rsidR="00E57DAA" w:rsidRDefault="00E57DAA">
            <w:pPr>
              <w:jc w:val="center"/>
              <w:rPr>
                <w:szCs w:val="21"/>
              </w:rPr>
            </w:pPr>
          </w:p>
        </w:tc>
        <w:sdt>
          <w:sdtPr>
            <w:tag w:val="_PLD_16a8dea59b924b23a28ea45988190955"/>
            <w:id w:val="-329831315"/>
          </w:sdtPr>
          <w:sdtEndPr/>
          <w:sdtContent>
            <w:tc>
              <w:tcPr>
                <w:tcW w:w="658" w:type="pct"/>
                <w:tcBorders>
                  <w:left w:val="single" w:sz="4" w:space="0" w:color="auto"/>
                  <w:bottom w:val="single" w:sz="4" w:space="0" w:color="auto"/>
                  <w:right w:val="single" w:sz="4" w:space="0" w:color="auto"/>
                </w:tcBorders>
                <w:vAlign w:val="center"/>
              </w:tcPr>
              <w:p w14:paraId="37764EE9" w14:textId="77777777" w:rsidR="00E57DAA" w:rsidRDefault="00AC4185">
                <w:pPr>
                  <w:jc w:val="center"/>
                  <w:rPr>
                    <w:szCs w:val="21"/>
                  </w:rPr>
                </w:pPr>
                <w:r>
                  <w:rPr>
                    <w:rFonts w:hint="eastAsia"/>
                    <w:szCs w:val="21"/>
                  </w:rPr>
                  <w:t>计提</w:t>
                </w:r>
              </w:p>
            </w:tc>
          </w:sdtContent>
        </w:sdt>
        <w:sdt>
          <w:sdtPr>
            <w:tag w:val="_PLD_621a418b64e54315a5981611a5504791"/>
            <w:id w:val="-1738467222"/>
          </w:sdtPr>
          <w:sdtEndPr/>
          <w:sdtContent>
            <w:tc>
              <w:tcPr>
                <w:tcW w:w="658" w:type="pct"/>
                <w:tcBorders>
                  <w:left w:val="single" w:sz="4" w:space="0" w:color="auto"/>
                  <w:bottom w:val="single" w:sz="4" w:space="0" w:color="auto"/>
                  <w:right w:val="single" w:sz="4" w:space="0" w:color="auto"/>
                </w:tcBorders>
                <w:vAlign w:val="center"/>
              </w:tcPr>
              <w:p w14:paraId="50BE10E4" w14:textId="77777777" w:rsidR="00E57DAA" w:rsidRDefault="00AC4185">
                <w:pPr>
                  <w:jc w:val="center"/>
                  <w:rPr>
                    <w:szCs w:val="21"/>
                  </w:rPr>
                </w:pPr>
                <w:r>
                  <w:rPr>
                    <w:rFonts w:hint="eastAsia"/>
                    <w:szCs w:val="21"/>
                  </w:rPr>
                  <w:t>其他</w:t>
                </w:r>
              </w:p>
            </w:tc>
          </w:sdtContent>
        </w:sdt>
        <w:sdt>
          <w:sdtPr>
            <w:tag w:val="_PLD_1928b16982a747c59a563fa4d086d9fc"/>
            <w:id w:val="-320356848"/>
          </w:sdtPr>
          <w:sdtEndPr/>
          <w:sdtContent>
            <w:tc>
              <w:tcPr>
                <w:tcW w:w="664" w:type="pct"/>
                <w:tcBorders>
                  <w:top w:val="single" w:sz="4" w:space="0" w:color="auto"/>
                  <w:left w:val="single" w:sz="4" w:space="0" w:color="auto"/>
                  <w:bottom w:val="single" w:sz="4" w:space="0" w:color="auto"/>
                  <w:right w:val="single" w:sz="4" w:space="0" w:color="auto"/>
                </w:tcBorders>
                <w:vAlign w:val="center"/>
              </w:tcPr>
              <w:p w14:paraId="269AE946" w14:textId="77777777" w:rsidR="00E57DAA" w:rsidRDefault="00AC4185">
                <w:pPr>
                  <w:jc w:val="center"/>
                  <w:rPr>
                    <w:szCs w:val="21"/>
                  </w:rPr>
                </w:pPr>
                <w:r>
                  <w:rPr>
                    <w:rFonts w:hint="eastAsia"/>
                    <w:szCs w:val="21"/>
                  </w:rPr>
                  <w:t>转回或转销</w:t>
                </w:r>
              </w:p>
            </w:tc>
          </w:sdtContent>
        </w:sdt>
        <w:sdt>
          <w:sdtPr>
            <w:tag w:val="_PLD_1472e7afb261461b8468e1969b080fd5"/>
            <w:id w:val="-761145025"/>
          </w:sdtPr>
          <w:sdtEndPr/>
          <w:sdtContent>
            <w:tc>
              <w:tcPr>
                <w:tcW w:w="659" w:type="pct"/>
                <w:tcBorders>
                  <w:top w:val="single" w:sz="4" w:space="0" w:color="auto"/>
                  <w:left w:val="single" w:sz="4" w:space="0" w:color="auto"/>
                  <w:bottom w:val="single" w:sz="4" w:space="0" w:color="auto"/>
                  <w:right w:val="single" w:sz="4" w:space="0" w:color="auto"/>
                </w:tcBorders>
                <w:vAlign w:val="center"/>
              </w:tcPr>
              <w:p w14:paraId="1FF3F23B" w14:textId="77777777" w:rsidR="00E57DAA" w:rsidRDefault="00AC4185">
                <w:pPr>
                  <w:jc w:val="center"/>
                  <w:rPr>
                    <w:szCs w:val="21"/>
                  </w:rPr>
                </w:pPr>
                <w:r>
                  <w:rPr>
                    <w:rFonts w:hint="eastAsia"/>
                    <w:szCs w:val="21"/>
                  </w:rPr>
                  <w:t>其他</w:t>
                </w:r>
              </w:p>
            </w:tc>
          </w:sdtContent>
        </w:sdt>
        <w:tc>
          <w:tcPr>
            <w:tcW w:w="654" w:type="pct"/>
            <w:vMerge/>
            <w:tcBorders>
              <w:top w:val="single" w:sz="4" w:space="0" w:color="auto"/>
              <w:left w:val="single" w:sz="4" w:space="0" w:color="auto"/>
              <w:bottom w:val="single" w:sz="4" w:space="0" w:color="auto"/>
              <w:right w:val="single" w:sz="4" w:space="0" w:color="auto"/>
            </w:tcBorders>
            <w:vAlign w:val="center"/>
          </w:tcPr>
          <w:p w14:paraId="6CA08611" w14:textId="77777777" w:rsidR="00E57DAA" w:rsidRDefault="00E57DAA">
            <w:pPr>
              <w:jc w:val="center"/>
              <w:rPr>
                <w:szCs w:val="21"/>
              </w:rPr>
            </w:pPr>
          </w:p>
        </w:tc>
      </w:tr>
      <w:tr w:rsidR="00E57DAA" w14:paraId="54CA0D9F"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01F415DB" w14:textId="77777777" w:rsidR="00E57DAA" w:rsidRDefault="00AC4185">
            <w:pPr>
              <w:rPr>
                <w:szCs w:val="21"/>
              </w:rPr>
            </w:pPr>
            <w:r>
              <w:rPr>
                <w:rFonts w:hint="eastAsia"/>
                <w:szCs w:val="21"/>
              </w:rPr>
              <w:t>原材料</w:t>
            </w:r>
          </w:p>
        </w:tc>
        <w:tc>
          <w:tcPr>
            <w:tcW w:w="649" w:type="pct"/>
            <w:tcBorders>
              <w:top w:val="single" w:sz="4" w:space="0" w:color="auto"/>
              <w:left w:val="single" w:sz="4" w:space="0" w:color="auto"/>
              <w:bottom w:val="single" w:sz="4" w:space="0" w:color="auto"/>
              <w:right w:val="single" w:sz="4" w:space="0" w:color="auto"/>
            </w:tcBorders>
            <w:vAlign w:val="center"/>
          </w:tcPr>
          <w:p w14:paraId="0BF72A75" w14:textId="77777777" w:rsidR="00E57DAA" w:rsidRDefault="00AC4185">
            <w:pPr>
              <w:ind w:right="5"/>
              <w:jc w:val="right"/>
              <w:rPr>
                <w:szCs w:val="21"/>
              </w:rPr>
            </w:pPr>
            <w:r>
              <w:t>28,192,794.29</w:t>
            </w:r>
          </w:p>
        </w:tc>
        <w:tc>
          <w:tcPr>
            <w:tcW w:w="658" w:type="pct"/>
            <w:tcBorders>
              <w:top w:val="single" w:sz="4" w:space="0" w:color="auto"/>
              <w:left w:val="single" w:sz="4" w:space="0" w:color="auto"/>
              <w:bottom w:val="single" w:sz="4" w:space="0" w:color="auto"/>
              <w:right w:val="single" w:sz="4" w:space="0" w:color="auto"/>
            </w:tcBorders>
            <w:vAlign w:val="center"/>
          </w:tcPr>
          <w:p w14:paraId="24249151" w14:textId="77777777" w:rsidR="00E57DAA" w:rsidRDefault="00AC4185">
            <w:pPr>
              <w:jc w:val="right"/>
              <w:rPr>
                <w:szCs w:val="21"/>
              </w:rPr>
            </w:pPr>
            <w:r>
              <w:t>679,103.55</w:t>
            </w:r>
          </w:p>
        </w:tc>
        <w:tc>
          <w:tcPr>
            <w:tcW w:w="658" w:type="pct"/>
            <w:tcBorders>
              <w:top w:val="single" w:sz="4" w:space="0" w:color="auto"/>
              <w:left w:val="single" w:sz="4" w:space="0" w:color="auto"/>
              <w:bottom w:val="single" w:sz="4" w:space="0" w:color="auto"/>
              <w:right w:val="single" w:sz="4" w:space="0" w:color="auto"/>
            </w:tcBorders>
          </w:tcPr>
          <w:p w14:paraId="29E78D7C" w14:textId="77777777" w:rsidR="00E57DAA" w:rsidRDefault="00E57DAA">
            <w:pPr>
              <w:jc w:val="right"/>
              <w:rPr>
                <w:szCs w:val="21"/>
              </w:rPr>
            </w:pPr>
          </w:p>
        </w:tc>
        <w:tc>
          <w:tcPr>
            <w:tcW w:w="664" w:type="pct"/>
            <w:tcBorders>
              <w:top w:val="single" w:sz="4" w:space="0" w:color="auto"/>
              <w:left w:val="single" w:sz="4" w:space="0" w:color="auto"/>
              <w:bottom w:val="single" w:sz="4" w:space="0" w:color="auto"/>
              <w:right w:val="single" w:sz="4" w:space="0" w:color="auto"/>
            </w:tcBorders>
            <w:vAlign w:val="center"/>
          </w:tcPr>
          <w:p w14:paraId="332B9A10" w14:textId="77777777" w:rsidR="00E57DAA" w:rsidRDefault="00AC4185">
            <w:pPr>
              <w:jc w:val="right"/>
              <w:rPr>
                <w:szCs w:val="21"/>
              </w:rPr>
            </w:pPr>
            <w:r>
              <w:t>2,001,384.58</w:t>
            </w:r>
          </w:p>
        </w:tc>
        <w:tc>
          <w:tcPr>
            <w:tcW w:w="659" w:type="pct"/>
            <w:tcBorders>
              <w:top w:val="single" w:sz="4" w:space="0" w:color="auto"/>
              <w:left w:val="single" w:sz="4" w:space="0" w:color="auto"/>
              <w:bottom w:val="single" w:sz="4" w:space="0" w:color="auto"/>
              <w:right w:val="single" w:sz="4" w:space="0" w:color="auto"/>
            </w:tcBorders>
            <w:vAlign w:val="center"/>
          </w:tcPr>
          <w:p w14:paraId="2AC22900" w14:textId="77777777" w:rsidR="00E57DAA" w:rsidRDefault="00AC4185">
            <w:pPr>
              <w:jc w:val="right"/>
              <w:rPr>
                <w:szCs w:val="21"/>
              </w:rPr>
            </w:pPr>
            <w:r>
              <w:t>-988,997.15</w:t>
            </w:r>
          </w:p>
        </w:tc>
        <w:tc>
          <w:tcPr>
            <w:tcW w:w="654" w:type="pct"/>
            <w:tcBorders>
              <w:top w:val="single" w:sz="4" w:space="0" w:color="auto"/>
              <w:left w:val="single" w:sz="4" w:space="0" w:color="auto"/>
              <w:bottom w:val="single" w:sz="4" w:space="0" w:color="auto"/>
              <w:right w:val="single" w:sz="4" w:space="0" w:color="auto"/>
            </w:tcBorders>
            <w:vAlign w:val="center"/>
          </w:tcPr>
          <w:p w14:paraId="75ABA446" w14:textId="77777777" w:rsidR="00E57DAA" w:rsidRDefault="00AC4185">
            <w:pPr>
              <w:ind w:right="5"/>
              <w:jc w:val="right"/>
              <w:rPr>
                <w:szCs w:val="21"/>
              </w:rPr>
            </w:pPr>
            <w:r>
              <w:t>27,859,510.41</w:t>
            </w:r>
          </w:p>
        </w:tc>
      </w:tr>
      <w:tr w:rsidR="00E57DAA" w14:paraId="4D705B96"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66797C7A" w14:textId="77777777" w:rsidR="00E57DAA" w:rsidRDefault="00AC4185">
            <w:pPr>
              <w:rPr>
                <w:szCs w:val="21"/>
              </w:rPr>
            </w:pPr>
            <w:r>
              <w:rPr>
                <w:rFonts w:hint="eastAsia"/>
                <w:szCs w:val="21"/>
              </w:rPr>
              <w:t>在产品</w:t>
            </w:r>
          </w:p>
        </w:tc>
        <w:tc>
          <w:tcPr>
            <w:tcW w:w="649" w:type="pct"/>
            <w:tcBorders>
              <w:top w:val="single" w:sz="4" w:space="0" w:color="auto"/>
              <w:left w:val="single" w:sz="4" w:space="0" w:color="auto"/>
              <w:bottom w:val="single" w:sz="4" w:space="0" w:color="auto"/>
              <w:right w:val="single" w:sz="4" w:space="0" w:color="auto"/>
            </w:tcBorders>
            <w:vAlign w:val="center"/>
          </w:tcPr>
          <w:p w14:paraId="5DA94DDA" w14:textId="77777777" w:rsidR="00E57DAA" w:rsidRDefault="00AC4185">
            <w:pPr>
              <w:ind w:right="5"/>
              <w:jc w:val="right"/>
              <w:rPr>
                <w:szCs w:val="21"/>
              </w:rPr>
            </w:pPr>
            <w:r>
              <w:t>16,838,709.71</w:t>
            </w:r>
          </w:p>
        </w:tc>
        <w:tc>
          <w:tcPr>
            <w:tcW w:w="658" w:type="pct"/>
            <w:tcBorders>
              <w:top w:val="single" w:sz="4" w:space="0" w:color="auto"/>
              <w:left w:val="single" w:sz="4" w:space="0" w:color="auto"/>
              <w:bottom w:val="single" w:sz="4" w:space="0" w:color="auto"/>
              <w:right w:val="single" w:sz="4" w:space="0" w:color="auto"/>
            </w:tcBorders>
            <w:vAlign w:val="center"/>
          </w:tcPr>
          <w:p w14:paraId="431C95DD" w14:textId="77777777" w:rsidR="00E57DAA" w:rsidRDefault="00AC4185">
            <w:pPr>
              <w:jc w:val="right"/>
              <w:rPr>
                <w:szCs w:val="21"/>
              </w:rPr>
            </w:pPr>
            <w:r>
              <w:t>493,854.89</w:t>
            </w:r>
          </w:p>
        </w:tc>
        <w:tc>
          <w:tcPr>
            <w:tcW w:w="658" w:type="pct"/>
            <w:tcBorders>
              <w:top w:val="single" w:sz="4" w:space="0" w:color="auto"/>
              <w:left w:val="single" w:sz="4" w:space="0" w:color="auto"/>
              <w:bottom w:val="single" w:sz="4" w:space="0" w:color="auto"/>
              <w:right w:val="single" w:sz="4" w:space="0" w:color="auto"/>
            </w:tcBorders>
          </w:tcPr>
          <w:p w14:paraId="3AAE07D1" w14:textId="77777777" w:rsidR="00E57DAA" w:rsidRDefault="00E57DAA">
            <w:pPr>
              <w:jc w:val="right"/>
              <w:rPr>
                <w:szCs w:val="21"/>
              </w:rPr>
            </w:pPr>
          </w:p>
        </w:tc>
        <w:tc>
          <w:tcPr>
            <w:tcW w:w="664" w:type="pct"/>
            <w:tcBorders>
              <w:top w:val="single" w:sz="4" w:space="0" w:color="auto"/>
              <w:left w:val="single" w:sz="4" w:space="0" w:color="auto"/>
              <w:bottom w:val="single" w:sz="4" w:space="0" w:color="auto"/>
              <w:right w:val="single" w:sz="4" w:space="0" w:color="auto"/>
            </w:tcBorders>
            <w:vAlign w:val="center"/>
          </w:tcPr>
          <w:p w14:paraId="416EB02C" w14:textId="77777777" w:rsidR="00E57DAA" w:rsidRDefault="00E57DAA">
            <w:pPr>
              <w:jc w:val="right"/>
              <w:rPr>
                <w:szCs w:val="21"/>
              </w:rPr>
            </w:pPr>
          </w:p>
        </w:tc>
        <w:tc>
          <w:tcPr>
            <w:tcW w:w="659" w:type="pct"/>
            <w:tcBorders>
              <w:top w:val="single" w:sz="4" w:space="0" w:color="auto"/>
              <w:left w:val="single" w:sz="4" w:space="0" w:color="auto"/>
              <w:right w:val="single" w:sz="4" w:space="0" w:color="auto"/>
            </w:tcBorders>
            <w:vAlign w:val="center"/>
          </w:tcPr>
          <w:p w14:paraId="4E695A41" w14:textId="77777777" w:rsidR="00E57DAA" w:rsidRDefault="00AC4185">
            <w:pPr>
              <w:jc w:val="right"/>
              <w:rPr>
                <w:szCs w:val="21"/>
              </w:rPr>
            </w:pPr>
            <w:r>
              <w:t>-719,214.42</w:t>
            </w:r>
          </w:p>
        </w:tc>
        <w:tc>
          <w:tcPr>
            <w:tcW w:w="654" w:type="pct"/>
            <w:tcBorders>
              <w:top w:val="single" w:sz="4" w:space="0" w:color="auto"/>
              <w:left w:val="single" w:sz="4" w:space="0" w:color="auto"/>
              <w:bottom w:val="single" w:sz="4" w:space="0" w:color="auto"/>
              <w:right w:val="single" w:sz="4" w:space="0" w:color="auto"/>
            </w:tcBorders>
            <w:vAlign w:val="center"/>
          </w:tcPr>
          <w:p w14:paraId="3AB85A63" w14:textId="77777777" w:rsidR="00E57DAA" w:rsidRDefault="00AC4185">
            <w:pPr>
              <w:ind w:right="5"/>
              <w:jc w:val="right"/>
              <w:rPr>
                <w:szCs w:val="21"/>
              </w:rPr>
            </w:pPr>
            <w:r>
              <w:t>18,051,779.02</w:t>
            </w:r>
          </w:p>
        </w:tc>
      </w:tr>
      <w:tr w:rsidR="00E57DAA" w14:paraId="00BD95C3"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6A76583D" w14:textId="77777777" w:rsidR="00E57DAA" w:rsidRDefault="00AC4185">
            <w:pPr>
              <w:rPr>
                <w:szCs w:val="21"/>
              </w:rPr>
            </w:pPr>
            <w:r>
              <w:rPr>
                <w:rFonts w:hint="eastAsia"/>
                <w:szCs w:val="21"/>
              </w:rPr>
              <w:t>库存商品</w:t>
            </w:r>
          </w:p>
        </w:tc>
        <w:tc>
          <w:tcPr>
            <w:tcW w:w="649" w:type="pct"/>
            <w:tcBorders>
              <w:top w:val="single" w:sz="4" w:space="0" w:color="auto"/>
              <w:left w:val="single" w:sz="4" w:space="0" w:color="auto"/>
              <w:bottom w:val="single" w:sz="4" w:space="0" w:color="auto"/>
              <w:right w:val="single" w:sz="4" w:space="0" w:color="auto"/>
            </w:tcBorders>
            <w:vAlign w:val="center"/>
          </w:tcPr>
          <w:p w14:paraId="592418B1" w14:textId="77777777" w:rsidR="00E57DAA" w:rsidRDefault="00AC4185">
            <w:pPr>
              <w:ind w:right="5"/>
              <w:jc w:val="right"/>
              <w:rPr>
                <w:szCs w:val="21"/>
              </w:rPr>
            </w:pPr>
            <w:r>
              <w:t>9,310,879.92</w:t>
            </w:r>
          </w:p>
        </w:tc>
        <w:tc>
          <w:tcPr>
            <w:tcW w:w="658" w:type="pct"/>
            <w:tcBorders>
              <w:top w:val="single" w:sz="4" w:space="0" w:color="auto"/>
              <w:left w:val="single" w:sz="4" w:space="0" w:color="auto"/>
              <w:bottom w:val="single" w:sz="4" w:space="0" w:color="auto"/>
              <w:right w:val="single" w:sz="4" w:space="0" w:color="auto"/>
            </w:tcBorders>
            <w:vAlign w:val="center"/>
          </w:tcPr>
          <w:p w14:paraId="58D413CB" w14:textId="77777777" w:rsidR="00E57DAA" w:rsidRDefault="00AC4185">
            <w:pPr>
              <w:jc w:val="right"/>
              <w:rPr>
                <w:szCs w:val="21"/>
              </w:rPr>
            </w:pPr>
            <w:r>
              <w:t>182,090.21</w:t>
            </w:r>
          </w:p>
        </w:tc>
        <w:tc>
          <w:tcPr>
            <w:tcW w:w="658" w:type="pct"/>
            <w:tcBorders>
              <w:top w:val="single" w:sz="4" w:space="0" w:color="auto"/>
              <w:left w:val="single" w:sz="4" w:space="0" w:color="auto"/>
              <w:bottom w:val="single" w:sz="4" w:space="0" w:color="auto"/>
              <w:right w:val="single" w:sz="4" w:space="0" w:color="auto"/>
            </w:tcBorders>
          </w:tcPr>
          <w:p w14:paraId="5B083640" w14:textId="77777777" w:rsidR="00E57DAA" w:rsidRDefault="00E57DAA">
            <w:pPr>
              <w:jc w:val="right"/>
              <w:rPr>
                <w:szCs w:val="21"/>
              </w:rPr>
            </w:pPr>
          </w:p>
        </w:tc>
        <w:tc>
          <w:tcPr>
            <w:tcW w:w="664" w:type="pct"/>
            <w:tcBorders>
              <w:top w:val="single" w:sz="4" w:space="0" w:color="auto"/>
              <w:left w:val="single" w:sz="4" w:space="0" w:color="auto"/>
              <w:bottom w:val="single" w:sz="4" w:space="0" w:color="auto"/>
              <w:right w:val="single" w:sz="4" w:space="0" w:color="auto"/>
            </w:tcBorders>
            <w:vAlign w:val="center"/>
          </w:tcPr>
          <w:p w14:paraId="6516177B" w14:textId="77777777" w:rsidR="00E57DAA" w:rsidRDefault="00E57DAA">
            <w:pPr>
              <w:jc w:val="right"/>
              <w:rPr>
                <w:szCs w:val="21"/>
              </w:rPr>
            </w:pPr>
          </w:p>
        </w:tc>
        <w:tc>
          <w:tcPr>
            <w:tcW w:w="659" w:type="pct"/>
            <w:tcBorders>
              <w:left w:val="single" w:sz="4" w:space="0" w:color="auto"/>
              <w:right w:val="single" w:sz="4" w:space="0" w:color="auto"/>
            </w:tcBorders>
            <w:vAlign w:val="center"/>
          </w:tcPr>
          <w:p w14:paraId="1B8FA88C" w14:textId="77777777" w:rsidR="00E57DAA" w:rsidRDefault="00AC4185">
            <w:pPr>
              <w:jc w:val="right"/>
              <w:rPr>
                <w:szCs w:val="21"/>
              </w:rPr>
            </w:pPr>
            <w:r>
              <w:t>-265,182.97</w:t>
            </w:r>
          </w:p>
        </w:tc>
        <w:tc>
          <w:tcPr>
            <w:tcW w:w="654" w:type="pct"/>
            <w:tcBorders>
              <w:top w:val="single" w:sz="4" w:space="0" w:color="auto"/>
              <w:left w:val="single" w:sz="4" w:space="0" w:color="auto"/>
              <w:bottom w:val="single" w:sz="4" w:space="0" w:color="auto"/>
              <w:right w:val="single" w:sz="4" w:space="0" w:color="auto"/>
            </w:tcBorders>
            <w:vAlign w:val="center"/>
          </w:tcPr>
          <w:p w14:paraId="7141B4AF" w14:textId="77777777" w:rsidR="00E57DAA" w:rsidRDefault="00AC4185">
            <w:pPr>
              <w:ind w:right="5"/>
              <w:jc w:val="right"/>
              <w:rPr>
                <w:szCs w:val="21"/>
              </w:rPr>
            </w:pPr>
            <w:r>
              <w:t>9,758,153.10</w:t>
            </w:r>
          </w:p>
        </w:tc>
      </w:tr>
      <w:tr w:rsidR="00E57DAA" w14:paraId="378FFF0B"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04271ACF" w14:textId="77777777" w:rsidR="00E57DAA" w:rsidRDefault="00AC4185">
            <w:pPr>
              <w:rPr>
                <w:szCs w:val="21"/>
              </w:rPr>
            </w:pPr>
            <w:r>
              <w:rPr>
                <w:rFonts w:hint="eastAsia"/>
                <w:szCs w:val="21"/>
              </w:rPr>
              <w:t>其他</w:t>
            </w:r>
          </w:p>
        </w:tc>
        <w:tc>
          <w:tcPr>
            <w:tcW w:w="649" w:type="pct"/>
            <w:tcBorders>
              <w:top w:val="single" w:sz="4" w:space="0" w:color="auto"/>
              <w:left w:val="single" w:sz="4" w:space="0" w:color="auto"/>
              <w:bottom w:val="single" w:sz="4" w:space="0" w:color="auto"/>
              <w:right w:val="single" w:sz="4" w:space="0" w:color="auto"/>
            </w:tcBorders>
            <w:vAlign w:val="center"/>
          </w:tcPr>
          <w:p w14:paraId="6B3C16D1" w14:textId="77777777" w:rsidR="00E57DAA" w:rsidRDefault="00E57DAA">
            <w:pPr>
              <w:ind w:right="5"/>
              <w:jc w:val="right"/>
              <w:rPr>
                <w:szCs w:val="21"/>
              </w:rPr>
            </w:pPr>
          </w:p>
        </w:tc>
        <w:tc>
          <w:tcPr>
            <w:tcW w:w="658" w:type="pct"/>
            <w:tcBorders>
              <w:top w:val="single" w:sz="4" w:space="0" w:color="auto"/>
              <w:left w:val="single" w:sz="4" w:space="0" w:color="auto"/>
              <w:bottom w:val="single" w:sz="4" w:space="0" w:color="auto"/>
              <w:right w:val="single" w:sz="4" w:space="0" w:color="auto"/>
            </w:tcBorders>
            <w:vAlign w:val="center"/>
          </w:tcPr>
          <w:p w14:paraId="7B444E49" w14:textId="77777777" w:rsidR="00E57DAA" w:rsidRDefault="00E57DAA">
            <w:pPr>
              <w:jc w:val="right"/>
              <w:rPr>
                <w:szCs w:val="21"/>
              </w:rPr>
            </w:pPr>
          </w:p>
        </w:tc>
        <w:tc>
          <w:tcPr>
            <w:tcW w:w="658" w:type="pct"/>
            <w:tcBorders>
              <w:top w:val="single" w:sz="4" w:space="0" w:color="auto"/>
              <w:left w:val="single" w:sz="4" w:space="0" w:color="auto"/>
              <w:bottom w:val="single" w:sz="4" w:space="0" w:color="auto"/>
              <w:right w:val="single" w:sz="4" w:space="0" w:color="auto"/>
            </w:tcBorders>
          </w:tcPr>
          <w:p w14:paraId="067C38F0" w14:textId="77777777" w:rsidR="00E57DAA" w:rsidRDefault="00E57DAA">
            <w:pPr>
              <w:jc w:val="right"/>
              <w:rPr>
                <w:szCs w:val="21"/>
              </w:rPr>
            </w:pPr>
          </w:p>
        </w:tc>
        <w:tc>
          <w:tcPr>
            <w:tcW w:w="664" w:type="pct"/>
            <w:tcBorders>
              <w:top w:val="single" w:sz="4" w:space="0" w:color="auto"/>
              <w:left w:val="single" w:sz="4" w:space="0" w:color="auto"/>
              <w:bottom w:val="single" w:sz="4" w:space="0" w:color="auto"/>
              <w:right w:val="single" w:sz="4" w:space="0" w:color="auto"/>
            </w:tcBorders>
            <w:vAlign w:val="center"/>
          </w:tcPr>
          <w:p w14:paraId="66A110BF" w14:textId="77777777" w:rsidR="00E57DAA" w:rsidRDefault="00E57DAA">
            <w:pPr>
              <w:jc w:val="right"/>
              <w:rPr>
                <w:szCs w:val="21"/>
              </w:rPr>
            </w:pPr>
          </w:p>
        </w:tc>
        <w:tc>
          <w:tcPr>
            <w:tcW w:w="659" w:type="pct"/>
            <w:tcBorders>
              <w:left w:val="single" w:sz="4" w:space="0" w:color="auto"/>
              <w:right w:val="single" w:sz="4" w:space="0" w:color="auto"/>
            </w:tcBorders>
            <w:vAlign w:val="center"/>
          </w:tcPr>
          <w:p w14:paraId="4C0C6D1E" w14:textId="77777777" w:rsidR="00E57DAA" w:rsidRDefault="00E57DAA">
            <w:pPr>
              <w:jc w:val="right"/>
              <w:rPr>
                <w:szCs w:val="21"/>
              </w:rPr>
            </w:pPr>
          </w:p>
        </w:tc>
        <w:tc>
          <w:tcPr>
            <w:tcW w:w="654" w:type="pct"/>
            <w:tcBorders>
              <w:top w:val="single" w:sz="4" w:space="0" w:color="auto"/>
              <w:left w:val="single" w:sz="4" w:space="0" w:color="auto"/>
              <w:bottom w:val="single" w:sz="4" w:space="0" w:color="auto"/>
              <w:right w:val="single" w:sz="4" w:space="0" w:color="auto"/>
            </w:tcBorders>
            <w:vAlign w:val="center"/>
          </w:tcPr>
          <w:p w14:paraId="13C2E9CC" w14:textId="77777777" w:rsidR="00E57DAA" w:rsidRDefault="00E57DAA">
            <w:pPr>
              <w:ind w:right="5"/>
              <w:jc w:val="right"/>
              <w:rPr>
                <w:szCs w:val="21"/>
              </w:rPr>
            </w:pPr>
          </w:p>
        </w:tc>
      </w:tr>
      <w:tr w:rsidR="00E57DAA" w14:paraId="00B2EB92"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2A380ADC" w14:textId="77777777" w:rsidR="00E57DAA" w:rsidRDefault="00AC4185">
            <w:pPr>
              <w:jc w:val="center"/>
              <w:rPr>
                <w:szCs w:val="21"/>
              </w:rPr>
            </w:pPr>
            <w:r>
              <w:rPr>
                <w:rFonts w:hint="eastAsia"/>
                <w:szCs w:val="21"/>
              </w:rPr>
              <w:t>合计</w:t>
            </w:r>
          </w:p>
        </w:tc>
        <w:tc>
          <w:tcPr>
            <w:tcW w:w="649" w:type="pct"/>
            <w:tcBorders>
              <w:top w:val="single" w:sz="4" w:space="0" w:color="auto"/>
              <w:left w:val="single" w:sz="4" w:space="0" w:color="auto"/>
              <w:bottom w:val="single" w:sz="4" w:space="0" w:color="auto"/>
              <w:right w:val="single" w:sz="4" w:space="0" w:color="auto"/>
            </w:tcBorders>
            <w:vAlign w:val="center"/>
          </w:tcPr>
          <w:p w14:paraId="430566CC" w14:textId="77777777" w:rsidR="00E57DAA" w:rsidRDefault="00AC4185">
            <w:pPr>
              <w:ind w:right="5"/>
              <w:jc w:val="right"/>
              <w:rPr>
                <w:szCs w:val="21"/>
              </w:rPr>
            </w:pPr>
            <w:r>
              <w:t>54,342,383.92</w:t>
            </w:r>
          </w:p>
        </w:tc>
        <w:tc>
          <w:tcPr>
            <w:tcW w:w="658" w:type="pct"/>
            <w:tcBorders>
              <w:top w:val="single" w:sz="4" w:space="0" w:color="auto"/>
              <w:left w:val="single" w:sz="4" w:space="0" w:color="auto"/>
              <w:bottom w:val="single" w:sz="4" w:space="0" w:color="auto"/>
              <w:right w:val="single" w:sz="4" w:space="0" w:color="auto"/>
            </w:tcBorders>
            <w:vAlign w:val="center"/>
          </w:tcPr>
          <w:p w14:paraId="414587E3" w14:textId="77777777" w:rsidR="00E57DAA" w:rsidRDefault="00AC4185">
            <w:pPr>
              <w:jc w:val="right"/>
              <w:rPr>
                <w:szCs w:val="21"/>
              </w:rPr>
            </w:pPr>
            <w:r>
              <w:t>1,355,048.65</w:t>
            </w:r>
          </w:p>
        </w:tc>
        <w:tc>
          <w:tcPr>
            <w:tcW w:w="658" w:type="pct"/>
            <w:tcBorders>
              <w:top w:val="single" w:sz="4" w:space="0" w:color="auto"/>
              <w:left w:val="single" w:sz="4" w:space="0" w:color="auto"/>
              <w:bottom w:val="single" w:sz="4" w:space="0" w:color="auto"/>
              <w:right w:val="single" w:sz="4" w:space="0" w:color="auto"/>
            </w:tcBorders>
          </w:tcPr>
          <w:p w14:paraId="237AD8E6" w14:textId="77777777" w:rsidR="00E57DAA" w:rsidRDefault="00E57DAA">
            <w:pPr>
              <w:jc w:val="right"/>
              <w:rPr>
                <w:szCs w:val="21"/>
              </w:rPr>
            </w:pPr>
          </w:p>
        </w:tc>
        <w:tc>
          <w:tcPr>
            <w:tcW w:w="664" w:type="pct"/>
            <w:tcBorders>
              <w:top w:val="single" w:sz="4" w:space="0" w:color="auto"/>
              <w:left w:val="single" w:sz="4" w:space="0" w:color="auto"/>
              <w:bottom w:val="single" w:sz="4" w:space="0" w:color="auto"/>
              <w:right w:val="single" w:sz="4" w:space="0" w:color="auto"/>
            </w:tcBorders>
            <w:vAlign w:val="center"/>
          </w:tcPr>
          <w:p w14:paraId="3ADFA355" w14:textId="77777777" w:rsidR="00E57DAA" w:rsidRDefault="00AC4185">
            <w:pPr>
              <w:jc w:val="right"/>
              <w:rPr>
                <w:szCs w:val="21"/>
              </w:rPr>
            </w:pPr>
            <w:r>
              <w:t>2,001,384.58</w:t>
            </w:r>
          </w:p>
        </w:tc>
        <w:tc>
          <w:tcPr>
            <w:tcW w:w="659" w:type="pct"/>
            <w:tcBorders>
              <w:left w:val="single" w:sz="4" w:space="0" w:color="auto"/>
              <w:bottom w:val="single" w:sz="4" w:space="0" w:color="auto"/>
              <w:right w:val="single" w:sz="4" w:space="0" w:color="auto"/>
            </w:tcBorders>
            <w:vAlign w:val="center"/>
          </w:tcPr>
          <w:p w14:paraId="3089BB10" w14:textId="77777777" w:rsidR="00E57DAA" w:rsidRDefault="00AC4185">
            <w:pPr>
              <w:jc w:val="right"/>
              <w:rPr>
                <w:szCs w:val="21"/>
              </w:rPr>
            </w:pPr>
            <w:r>
              <w:t>-1,973,394.54</w:t>
            </w:r>
          </w:p>
        </w:tc>
        <w:tc>
          <w:tcPr>
            <w:tcW w:w="654" w:type="pct"/>
            <w:tcBorders>
              <w:top w:val="single" w:sz="4" w:space="0" w:color="auto"/>
              <w:left w:val="single" w:sz="4" w:space="0" w:color="auto"/>
              <w:bottom w:val="single" w:sz="4" w:space="0" w:color="auto"/>
              <w:right w:val="single" w:sz="4" w:space="0" w:color="auto"/>
            </w:tcBorders>
            <w:vAlign w:val="center"/>
          </w:tcPr>
          <w:p w14:paraId="2EDA1DB8" w14:textId="77777777" w:rsidR="00E57DAA" w:rsidRDefault="00AC4185">
            <w:pPr>
              <w:ind w:right="5"/>
              <w:jc w:val="right"/>
              <w:rPr>
                <w:szCs w:val="21"/>
              </w:rPr>
            </w:pPr>
            <w:r>
              <w:t>55,669,442.53</w:t>
            </w:r>
          </w:p>
        </w:tc>
      </w:tr>
      <w:bookmarkEnd w:id="233"/>
    </w:tbl>
    <w:p w14:paraId="6B03FDB4" w14:textId="77777777" w:rsidR="00E57DAA" w:rsidRDefault="00E57DAA">
      <w:pPr>
        <w:rPr>
          <w:rFonts w:ascii="Times New Roman" w:hAnsi="Times New Roman"/>
        </w:rPr>
      </w:pPr>
    </w:p>
    <w:p w14:paraId="1328CF0A" w14:textId="77777777" w:rsidR="00E57DAA" w:rsidRDefault="00AC4185" w:rsidP="00C25422">
      <w:pPr>
        <w:pStyle w:val="92"/>
      </w:pPr>
      <w:r>
        <w:t>本期转回或转销存货跌价准备的原因</w:t>
      </w:r>
    </w:p>
    <w:sdt>
      <w:sdtPr>
        <w:alias w:val="是否适用：本期转回或转销存货跌价准备的原因[双击切换]"/>
        <w:tag w:val="_GBC_91edca895f07450c8e82d2352caede25"/>
        <w:id w:val="-1063480752"/>
        <w:placeholder>
          <w:docPart w:val="GBC22222222222222222222222222222"/>
        </w:placeholder>
      </w:sdtPr>
      <w:sdtEndPr/>
      <w:sdtContent>
        <w:p w14:paraId="1F9B803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9164D7" w14:textId="77777777" w:rsidR="00E57DAA" w:rsidRDefault="00E57DAA">
      <w:pPr>
        <w:sectPr w:rsidR="00E57DAA" w:rsidSect="00226547">
          <w:pgSz w:w="16838" w:h="11906" w:orient="landscape"/>
          <w:pgMar w:top="1276" w:right="1440" w:bottom="1797" w:left="1525" w:header="856" w:footer="992" w:gutter="0"/>
          <w:cols w:space="425"/>
          <w:docGrid w:linePitch="312"/>
        </w:sectPr>
      </w:pPr>
    </w:p>
    <w:p w14:paraId="03D656D0" w14:textId="77777777" w:rsidR="00E57DAA" w:rsidRDefault="00E57DAA" w:rsidP="00C25422">
      <w:pPr>
        <w:pStyle w:val="92"/>
      </w:pPr>
    </w:p>
    <w:p w14:paraId="50CD20B6" w14:textId="77777777" w:rsidR="00E57DAA" w:rsidRDefault="00AC4185" w:rsidP="00C25422">
      <w:pPr>
        <w:pStyle w:val="92"/>
      </w:pPr>
      <w:r>
        <w:rPr>
          <w:rFonts w:hint="eastAsia"/>
        </w:rPr>
        <w:t>按组合计提存货跌价准备</w:t>
      </w:r>
    </w:p>
    <w:sdt>
      <w:sdtPr>
        <w:alias w:val="是否适用：按组合计提存货跌价准备[双击切换]"/>
        <w:tag w:val="_GBC_7654282f8cf847d8a55f8274afb7a726"/>
        <w:id w:val="1983653508"/>
        <w:placeholder>
          <w:docPart w:val="GBC22222222222222222222222222222"/>
        </w:placeholder>
      </w:sdtPr>
      <w:sdtEndPr/>
      <w:sdtContent>
        <w:p w14:paraId="686CB3F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41005F" w14:textId="77777777" w:rsidR="00E57DAA" w:rsidRDefault="00E57DAA" w:rsidP="00C25422">
      <w:pPr>
        <w:pStyle w:val="92"/>
      </w:pPr>
    </w:p>
    <w:p w14:paraId="31B7F6BB" w14:textId="77777777" w:rsidR="00E57DAA" w:rsidRDefault="00AC4185" w:rsidP="00C25422">
      <w:pPr>
        <w:pStyle w:val="92"/>
      </w:pPr>
      <w:r>
        <w:rPr>
          <w:rFonts w:hint="eastAsia"/>
        </w:rPr>
        <w:t>按组合计提存货跌价准备的计提标准</w:t>
      </w:r>
    </w:p>
    <w:sdt>
      <w:sdtPr>
        <w:alias w:val="是否适用：按组合计提存货跌价准备的计提标准[双击切换]"/>
        <w:tag w:val="_GBC_5ff59a2951ec4f938d7af938cd197e63"/>
        <w:id w:val="-706408993"/>
        <w:placeholder>
          <w:docPart w:val="GBC22222222222222222222222222222"/>
        </w:placeholder>
      </w:sdtPr>
      <w:sdtEndPr/>
      <w:sdtContent>
        <w:p w14:paraId="798142F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F1FDAD" w14:textId="77777777" w:rsidR="00E57DAA" w:rsidRDefault="00E57DAA" w:rsidP="00C25422">
      <w:pPr>
        <w:pStyle w:val="92"/>
      </w:pPr>
    </w:p>
    <w:p w14:paraId="549DC5DD" w14:textId="77777777" w:rsidR="00E57DAA" w:rsidRDefault="00AC4185">
      <w:pPr>
        <w:pStyle w:val="4"/>
        <w:numPr>
          <w:ilvl w:val="3"/>
          <w:numId w:val="76"/>
        </w:numPr>
        <w:ind w:left="426" w:hanging="426"/>
      </w:pPr>
      <w:r>
        <w:rPr>
          <w:rFonts w:hint="eastAsia"/>
        </w:rPr>
        <w:t>存货期末余额含有的借款费用资本化金额及其计算标准和依据</w:t>
      </w:r>
    </w:p>
    <w:sdt>
      <w:sdtPr>
        <w:rPr>
          <w:rFonts w:hint="eastAsia"/>
        </w:rPr>
        <w:alias w:val="是否适用：存货期末余额含有借款费用资本化金额的说明[双击切换]"/>
        <w:tag w:val="_GBC_ff19f47f98f34678926b471a6f0d6b3f"/>
        <w:id w:val="-2137782480"/>
        <w:placeholder>
          <w:docPart w:val="GBC22222222222222222222222222222"/>
        </w:placeholder>
      </w:sdtPr>
      <w:sdtEndPr/>
      <w:sdtContent>
        <w:p w14:paraId="43BC9E6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15BD92" w14:textId="77777777" w:rsidR="00E57DAA" w:rsidRDefault="00E57DAA" w:rsidP="00C25422">
      <w:pPr>
        <w:pStyle w:val="92"/>
      </w:pPr>
    </w:p>
    <w:p w14:paraId="7B164FF2" w14:textId="77777777" w:rsidR="00E57DAA" w:rsidRDefault="00AC4185">
      <w:pPr>
        <w:pStyle w:val="4"/>
        <w:numPr>
          <w:ilvl w:val="3"/>
          <w:numId w:val="76"/>
        </w:numPr>
        <w:ind w:left="426" w:hanging="426"/>
      </w:pPr>
      <w:r>
        <w:rPr>
          <w:rFonts w:hint="eastAsia"/>
        </w:rPr>
        <w:t>合同履约成本本期摊销金额的说明</w:t>
      </w:r>
    </w:p>
    <w:sdt>
      <w:sdtPr>
        <w:alias w:val="是否适用：合同履约成本本期摊销金额的说明[双击切换]"/>
        <w:tag w:val="_GBC_7532d5a15e3d45fa8d69ad2921659b13"/>
        <w:id w:val="-58025597"/>
        <w:placeholder>
          <w:docPart w:val="GBC22222222222222222222222222222"/>
        </w:placeholder>
      </w:sdtPr>
      <w:sdtEndPr/>
      <w:sdtContent>
        <w:p w14:paraId="2205E2D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DB0E9E" w14:textId="77777777" w:rsidR="00E57DAA" w:rsidRDefault="00E57DAA" w:rsidP="00C25422">
      <w:pPr>
        <w:pStyle w:val="92"/>
      </w:pPr>
    </w:p>
    <w:p w14:paraId="2CCCA10F" w14:textId="77777777" w:rsidR="00E57DAA" w:rsidRDefault="00AC4185" w:rsidP="00C25422">
      <w:pPr>
        <w:pStyle w:val="92"/>
      </w:pPr>
      <w:r>
        <w:rPr>
          <w:rFonts w:hint="eastAsia"/>
        </w:rPr>
        <w:t>其他说明</w:t>
      </w:r>
    </w:p>
    <w:sdt>
      <w:sdtPr>
        <w:rPr>
          <w:rFonts w:hint="eastAsia"/>
        </w:rPr>
        <w:alias w:val="是否适用：建造合同形成的已完工未结算资产的其他说明[双击切换]"/>
        <w:tag w:val="_GBC_441099179b66496e99c8de04f24782ad"/>
        <w:id w:val="-1943366226"/>
        <w:placeholder>
          <w:docPart w:val="GBC22222222222222222222222222222"/>
        </w:placeholder>
      </w:sdtPr>
      <w:sdtEndPr/>
      <w:sdtContent>
        <w:p w14:paraId="414B983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1C2332" w14:textId="77777777" w:rsidR="00E57DAA" w:rsidRDefault="00E57DAA">
      <w:pPr>
        <w:rPr>
          <w:rFonts w:ascii="Times New Roman" w:hAnsi="Times New Roman"/>
        </w:rPr>
      </w:pPr>
    </w:p>
    <w:p w14:paraId="2E7EF022" w14:textId="77777777" w:rsidR="00E57DAA" w:rsidRDefault="00AC4185" w:rsidP="00C25422">
      <w:pPr>
        <w:pStyle w:val="91"/>
        <w:numPr>
          <w:ilvl w:val="0"/>
          <w:numId w:val="69"/>
        </w:numPr>
      </w:pPr>
      <w:r>
        <w:rPr>
          <w:rFonts w:hint="eastAsia"/>
        </w:rPr>
        <w:t>持有待售资产</w:t>
      </w:r>
    </w:p>
    <w:bookmarkStart w:id="234" w:name="_Hlk24380621" w:displacedByCustomXml="next"/>
    <w:sdt>
      <w:sdtPr>
        <w:alias w:val="是否适用：划分为持有待售的资产[双击切换]"/>
        <w:tag w:val="_GBC_78f2c13384374d8eb0edd5d62d86bc52"/>
        <w:id w:val="-1644119844"/>
        <w:placeholder>
          <w:docPart w:val="GBC22222222222222222222222222222"/>
        </w:placeholder>
      </w:sdtPr>
      <w:sdtEndPr/>
      <w:sdtContent>
        <w:p w14:paraId="56CF205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4"/>
    <w:p w14:paraId="6317A6B4" w14:textId="77777777" w:rsidR="00E57DAA" w:rsidRDefault="00E57DAA" w:rsidP="00C25422">
      <w:pPr>
        <w:pStyle w:val="92"/>
      </w:pPr>
    </w:p>
    <w:p w14:paraId="1D633B15" w14:textId="77777777" w:rsidR="00E57DAA" w:rsidRDefault="00AC4185" w:rsidP="00C25422">
      <w:pPr>
        <w:pStyle w:val="91"/>
        <w:numPr>
          <w:ilvl w:val="0"/>
          <w:numId w:val="69"/>
        </w:numPr>
      </w:pPr>
      <w:r>
        <w:rPr>
          <w:rFonts w:hint="eastAsia"/>
        </w:rPr>
        <w:t>一年内到期的非流动资产</w:t>
      </w:r>
    </w:p>
    <w:bookmarkStart w:id="235" w:name="_Hlk533608872" w:displacedByCustomXml="next"/>
    <w:sdt>
      <w:sdtPr>
        <w:alias w:val="是否适用：一年内到期的非流动资产[双击切换]"/>
        <w:tag w:val="_GBC_ed2c28c8d4014bbb85fa424cc20fe6d7"/>
        <w:id w:val="784459325"/>
        <w:placeholder>
          <w:docPart w:val="GBC22222222222222222222222222222"/>
        </w:placeholder>
      </w:sdtPr>
      <w:sdtEndPr/>
      <w:sdtContent>
        <w:p w14:paraId="02DE597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1BE77B" w14:textId="77777777" w:rsidR="00E57DAA" w:rsidRDefault="00AC4185">
      <w:pPr>
        <w:ind w:right="210"/>
        <w:jc w:val="right"/>
      </w:pPr>
      <w:r>
        <w:rPr>
          <w:rFonts w:hint="eastAsia"/>
        </w:rPr>
        <w:t>单位：</w:t>
      </w:r>
      <w:sdt>
        <w:sdtPr>
          <w:rPr>
            <w:rFonts w:hint="eastAsia"/>
          </w:rPr>
          <w:alias w:val="单位：财务附注：一年内到期的非流动资产"/>
          <w:tag w:val="_GBC_f77c8d19672140bf85fc2463f9170dd6"/>
          <w:id w:val="6581956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15241363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5"/>
        <w:gridCol w:w="2825"/>
        <w:gridCol w:w="2793"/>
      </w:tblGrid>
      <w:tr w:rsidR="00E57DAA" w14:paraId="7A930899" w14:textId="77777777">
        <w:sdt>
          <w:sdtPr>
            <w:tag w:val="_PLD_a40529190b0945ecb6483b84560649d2"/>
            <w:id w:val="947510700"/>
          </w:sdtPr>
          <w:sdtEndPr/>
          <w:sdtContent>
            <w:tc>
              <w:tcPr>
                <w:tcW w:w="1816" w:type="pct"/>
                <w:shd w:val="clear" w:color="auto" w:fill="auto"/>
                <w:vAlign w:val="center"/>
              </w:tcPr>
              <w:p w14:paraId="748C0FB5" w14:textId="77777777" w:rsidR="00E57DAA" w:rsidRDefault="00AC4185">
                <w:pPr>
                  <w:jc w:val="center"/>
                  <w:rPr>
                    <w:szCs w:val="21"/>
                  </w:rPr>
                </w:pPr>
                <w:r>
                  <w:rPr>
                    <w:rFonts w:hint="eastAsia"/>
                    <w:szCs w:val="21"/>
                  </w:rPr>
                  <w:t>项目</w:t>
                </w:r>
              </w:p>
            </w:tc>
          </w:sdtContent>
        </w:sdt>
        <w:sdt>
          <w:sdtPr>
            <w:tag w:val="_PLD_5e30d8809b4b4a148861aad7ac937cad"/>
            <w:id w:val="-915776245"/>
          </w:sdtPr>
          <w:sdtEndPr/>
          <w:sdtContent>
            <w:tc>
              <w:tcPr>
                <w:tcW w:w="1601" w:type="pct"/>
                <w:shd w:val="clear" w:color="auto" w:fill="auto"/>
                <w:vAlign w:val="center"/>
              </w:tcPr>
              <w:p w14:paraId="3C43822C" w14:textId="77777777" w:rsidR="00E57DAA" w:rsidRDefault="00AC4185">
                <w:pPr>
                  <w:jc w:val="center"/>
                  <w:rPr>
                    <w:szCs w:val="21"/>
                  </w:rPr>
                </w:pPr>
                <w:r>
                  <w:rPr>
                    <w:rFonts w:hint="eastAsia"/>
                    <w:szCs w:val="21"/>
                  </w:rPr>
                  <w:t>期末余额</w:t>
                </w:r>
              </w:p>
            </w:tc>
          </w:sdtContent>
        </w:sdt>
        <w:sdt>
          <w:sdtPr>
            <w:tag w:val="_PLD_a1484dda7f4045b7bee1d347a33d9d30"/>
            <w:id w:val="-1044744759"/>
          </w:sdtPr>
          <w:sdtEndPr/>
          <w:sdtContent>
            <w:tc>
              <w:tcPr>
                <w:tcW w:w="1583" w:type="pct"/>
                <w:shd w:val="clear" w:color="auto" w:fill="auto"/>
                <w:vAlign w:val="center"/>
              </w:tcPr>
              <w:p w14:paraId="04E5AFB9" w14:textId="77777777" w:rsidR="00E57DAA" w:rsidRDefault="00AC4185">
                <w:pPr>
                  <w:jc w:val="center"/>
                  <w:rPr>
                    <w:szCs w:val="21"/>
                  </w:rPr>
                </w:pPr>
                <w:r>
                  <w:rPr>
                    <w:rFonts w:hint="eastAsia"/>
                    <w:szCs w:val="21"/>
                  </w:rPr>
                  <w:t>期初余额</w:t>
                </w:r>
              </w:p>
            </w:tc>
          </w:sdtContent>
        </w:sdt>
      </w:tr>
      <w:tr w:rsidR="00E57DAA" w14:paraId="0FA3DC3E" w14:textId="77777777">
        <w:tc>
          <w:tcPr>
            <w:tcW w:w="1816" w:type="pct"/>
            <w:shd w:val="clear" w:color="auto" w:fill="auto"/>
          </w:tcPr>
          <w:p w14:paraId="75BDBEDA" w14:textId="77777777" w:rsidR="00E57DAA" w:rsidRDefault="00AC4185">
            <w:pPr>
              <w:snapToGrid w:val="0"/>
              <w:ind w:leftChars="-51" w:left="-107"/>
              <w:rPr>
                <w:szCs w:val="21"/>
              </w:rPr>
            </w:pPr>
            <w:r>
              <w:t>一年内到期的长期应收款</w:t>
            </w:r>
          </w:p>
        </w:tc>
        <w:tc>
          <w:tcPr>
            <w:tcW w:w="1601" w:type="pct"/>
            <w:shd w:val="clear" w:color="auto" w:fill="auto"/>
            <w:vAlign w:val="center"/>
          </w:tcPr>
          <w:p w14:paraId="0B4FB958" w14:textId="77777777" w:rsidR="00E57DAA" w:rsidRDefault="00AC4185">
            <w:pPr>
              <w:snapToGrid w:val="0"/>
              <w:jc w:val="right"/>
              <w:rPr>
                <w:szCs w:val="21"/>
              </w:rPr>
            </w:pPr>
            <w:r>
              <w:t>1,182,200,787.64</w:t>
            </w:r>
          </w:p>
        </w:tc>
        <w:tc>
          <w:tcPr>
            <w:tcW w:w="1583" w:type="pct"/>
            <w:shd w:val="clear" w:color="auto" w:fill="auto"/>
          </w:tcPr>
          <w:p w14:paraId="0C861A19" w14:textId="77777777" w:rsidR="00E57DAA" w:rsidRDefault="00AC4185">
            <w:pPr>
              <w:snapToGrid w:val="0"/>
              <w:jc w:val="right"/>
              <w:rPr>
                <w:szCs w:val="21"/>
              </w:rPr>
            </w:pPr>
            <w:r>
              <w:t>1,059,511,653.34</w:t>
            </w:r>
          </w:p>
        </w:tc>
      </w:tr>
      <w:tr w:rsidR="00E57DAA" w14:paraId="37BA0E7C" w14:textId="77777777">
        <w:tc>
          <w:tcPr>
            <w:tcW w:w="1816" w:type="pct"/>
            <w:shd w:val="clear" w:color="auto" w:fill="auto"/>
          </w:tcPr>
          <w:p w14:paraId="1C4501FB" w14:textId="77777777" w:rsidR="00E57DAA" w:rsidRDefault="00AC4185">
            <w:pPr>
              <w:snapToGrid w:val="0"/>
              <w:ind w:leftChars="-51" w:left="-107"/>
              <w:rPr>
                <w:szCs w:val="21"/>
              </w:rPr>
            </w:pPr>
            <w:r>
              <w:t>一年内到期的定期存单及利息</w:t>
            </w:r>
          </w:p>
        </w:tc>
        <w:tc>
          <w:tcPr>
            <w:tcW w:w="1601" w:type="pct"/>
            <w:shd w:val="clear" w:color="auto" w:fill="auto"/>
            <w:vAlign w:val="center"/>
          </w:tcPr>
          <w:p w14:paraId="1E69AA4A" w14:textId="77777777" w:rsidR="00E57DAA" w:rsidRDefault="00AC4185">
            <w:pPr>
              <w:snapToGrid w:val="0"/>
              <w:jc w:val="right"/>
              <w:rPr>
                <w:szCs w:val="21"/>
              </w:rPr>
            </w:pPr>
            <w:r>
              <w:t>467,818,225.46</w:t>
            </w:r>
          </w:p>
        </w:tc>
        <w:tc>
          <w:tcPr>
            <w:tcW w:w="1583" w:type="pct"/>
            <w:shd w:val="clear" w:color="auto" w:fill="auto"/>
          </w:tcPr>
          <w:p w14:paraId="56B6A3E3" w14:textId="77777777" w:rsidR="00E57DAA" w:rsidRDefault="00AC4185">
            <w:pPr>
              <w:snapToGrid w:val="0"/>
              <w:jc w:val="right"/>
              <w:rPr>
                <w:szCs w:val="21"/>
              </w:rPr>
            </w:pPr>
            <w:r>
              <w:t>10,033,075.34</w:t>
            </w:r>
          </w:p>
        </w:tc>
      </w:tr>
      <w:tr w:rsidR="00E57DAA" w14:paraId="436B468A" w14:textId="77777777">
        <w:tc>
          <w:tcPr>
            <w:tcW w:w="1816" w:type="pct"/>
            <w:shd w:val="clear" w:color="auto" w:fill="auto"/>
            <w:vAlign w:val="bottom"/>
          </w:tcPr>
          <w:p w14:paraId="77CA8EC6" w14:textId="77777777" w:rsidR="00E57DAA" w:rsidRDefault="00AC4185">
            <w:pPr>
              <w:snapToGrid w:val="0"/>
              <w:ind w:leftChars="-51" w:left="-107"/>
              <w:jc w:val="center"/>
              <w:rPr>
                <w:szCs w:val="21"/>
              </w:rPr>
            </w:pPr>
            <w:r>
              <w:rPr>
                <w:rFonts w:hint="eastAsia"/>
                <w:szCs w:val="21"/>
              </w:rPr>
              <w:t>合计</w:t>
            </w:r>
          </w:p>
        </w:tc>
        <w:tc>
          <w:tcPr>
            <w:tcW w:w="1601" w:type="pct"/>
            <w:shd w:val="clear" w:color="auto" w:fill="auto"/>
            <w:vAlign w:val="center"/>
          </w:tcPr>
          <w:p w14:paraId="30D43911" w14:textId="77777777" w:rsidR="00E57DAA" w:rsidRDefault="00AC4185">
            <w:pPr>
              <w:snapToGrid w:val="0"/>
              <w:jc w:val="right"/>
              <w:rPr>
                <w:szCs w:val="21"/>
              </w:rPr>
            </w:pPr>
            <w:r>
              <w:t>1,650,019,013.10</w:t>
            </w:r>
          </w:p>
        </w:tc>
        <w:tc>
          <w:tcPr>
            <w:tcW w:w="1583" w:type="pct"/>
            <w:shd w:val="clear" w:color="auto" w:fill="auto"/>
          </w:tcPr>
          <w:p w14:paraId="589E13D2" w14:textId="77777777" w:rsidR="00E57DAA" w:rsidRDefault="00AC4185">
            <w:pPr>
              <w:snapToGrid w:val="0"/>
              <w:jc w:val="right"/>
              <w:rPr>
                <w:szCs w:val="21"/>
              </w:rPr>
            </w:pPr>
            <w:r>
              <w:rPr>
                <w:szCs w:val="21"/>
              </w:rPr>
              <w:t>1,069,544,728.68</w:t>
            </w:r>
          </w:p>
        </w:tc>
      </w:tr>
    </w:tbl>
    <w:p w14:paraId="057E0184" w14:textId="77777777" w:rsidR="00E57DAA" w:rsidRDefault="00E57DAA" w:rsidP="00C25422">
      <w:pPr>
        <w:pStyle w:val="92"/>
      </w:pPr>
    </w:p>
    <w:p w14:paraId="4E0CCF36" w14:textId="77777777" w:rsidR="00E57DAA" w:rsidRDefault="00AC4185">
      <w:pPr>
        <w:pStyle w:val="4"/>
      </w:pPr>
      <w:r>
        <w:rPr>
          <w:rFonts w:hint="eastAsia"/>
        </w:rPr>
        <w:t>一年内到期的债权投资</w:t>
      </w:r>
    </w:p>
    <w:sdt>
      <w:sdtPr>
        <w:alias w:val="是否适用：一年内到期的债权投资[双击切换]"/>
        <w:tag w:val="_GBC_21106d2d4b32436eb1949dc414c4e6e2"/>
        <w:id w:val="-132102989"/>
        <w:placeholder>
          <w:docPart w:val="GBC22222222222222222222222222222"/>
        </w:placeholder>
      </w:sdtPr>
      <w:sdtEndPr/>
      <w:sdtContent>
        <w:p w14:paraId="5C76358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F0D0B1" w14:textId="77777777" w:rsidR="00E57DAA" w:rsidRDefault="00E57DAA">
      <w:pPr>
        <w:ind w:right="210"/>
      </w:pPr>
    </w:p>
    <w:p w14:paraId="5A82DCCF" w14:textId="77777777" w:rsidR="00E57DAA" w:rsidRDefault="00AC4185">
      <w:pPr>
        <w:pStyle w:val="4"/>
      </w:pPr>
      <w:r>
        <w:rPr>
          <w:rFonts w:hint="eastAsia"/>
        </w:rPr>
        <w:t>一年内到期的其他债权投资</w:t>
      </w:r>
    </w:p>
    <w:sdt>
      <w:sdtPr>
        <w:alias w:val="是否适用：一年内到期的其他债权投资[双击切换]"/>
        <w:tag w:val="_GBC_7e23007806f94dceb2b97ed0f5d1e010"/>
        <w:id w:val="-798146680"/>
        <w:placeholder>
          <w:docPart w:val="GBC22222222222222222222222222222"/>
        </w:placeholder>
      </w:sdtPr>
      <w:sdtEndPr/>
      <w:sdtContent>
        <w:p w14:paraId="695DC81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D2F559" w14:textId="77777777" w:rsidR="00E57DAA" w:rsidRDefault="00E57DAA">
      <w:pPr>
        <w:ind w:right="210"/>
      </w:pPr>
    </w:p>
    <w:p w14:paraId="311B37FE" w14:textId="77777777" w:rsidR="00E57DAA" w:rsidRDefault="00AC4185" w:rsidP="00C25422">
      <w:pPr>
        <w:pStyle w:val="91"/>
        <w:numPr>
          <w:ilvl w:val="0"/>
          <w:numId w:val="69"/>
        </w:numPr>
      </w:pPr>
      <w:r>
        <w:rPr>
          <w:rFonts w:hint="eastAsia"/>
        </w:rPr>
        <w:t>其他流动资产</w:t>
      </w:r>
    </w:p>
    <w:bookmarkEnd w:id="235" w:displacedByCustomXml="next"/>
    <w:bookmarkStart w:id="236" w:name="_Hlk533609053" w:displacedByCustomXml="next"/>
    <w:sdt>
      <w:sdtPr>
        <w:alias w:val="是否适用：其他流动资产[双击切换]"/>
        <w:tag w:val="_GBC_49fe7514f24d4f7fbf009ae51ff98d5a"/>
        <w:id w:val="-1469506801"/>
        <w:placeholder>
          <w:docPart w:val="GBC22222222222222222222222222222"/>
        </w:placeholder>
      </w:sdtPr>
      <w:sdtEndPr/>
      <w:sdtContent>
        <w:p w14:paraId="7C3FCAE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574879" w14:textId="77777777" w:rsidR="00E57DAA" w:rsidRDefault="00AC4185">
      <w:pPr>
        <w:jc w:val="right"/>
      </w:pPr>
      <w:r>
        <w:rPr>
          <w:rFonts w:hint="eastAsia"/>
        </w:rPr>
        <w:t>单位：</w:t>
      </w:r>
      <w:sdt>
        <w:sdtPr>
          <w:rPr>
            <w:rFonts w:hint="eastAsia"/>
          </w:rPr>
          <w:alias w:val="单位：其他流动资产"/>
          <w:tag w:val="_GBC_8aa27294471c4172ba97de2c15d029c6"/>
          <w:id w:val="18441265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295418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2845"/>
        <w:gridCol w:w="2774"/>
      </w:tblGrid>
      <w:tr w:rsidR="00E57DAA" w14:paraId="6BAAE398" w14:textId="77777777">
        <w:sdt>
          <w:sdtPr>
            <w:tag w:val="_PLD_a34f889fb3794268b1f04c9534377486"/>
            <w:id w:val="1368027748"/>
          </w:sdtPr>
          <w:sdtEndPr/>
          <w:sdtContent>
            <w:tc>
              <w:tcPr>
                <w:tcW w:w="1816" w:type="pct"/>
                <w:shd w:val="clear" w:color="auto" w:fill="auto"/>
                <w:vAlign w:val="center"/>
              </w:tcPr>
              <w:p w14:paraId="4D8413E9" w14:textId="77777777" w:rsidR="00E57DAA" w:rsidRDefault="00AC4185">
                <w:pPr>
                  <w:jc w:val="center"/>
                  <w:rPr>
                    <w:szCs w:val="21"/>
                  </w:rPr>
                </w:pPr>
                <w:r>
                  <w:rPr>
                    <w:rFonts w:hint="eastAsia"/>
                    <w:szCs w:val="21"/>
                  </w:rPr>
                  <w:t>项目</w:t>
                </w:r>
              </w:p>
            </w:tc>
          </w:sdtContent>
        </w:sdt>
        <w:sdt>
          <w:sdtPr>
            <w:tag w:val="_PLD_97b9b7e912e14a06b24f532e76914900"/>
            <w:id w:val="-920487804"/>
          </w:sdtPr>
          <w:sdtEndPr/>
          <w:sdtContent>
            <w:tc>
              <w:tcPr>
                <w:tcW w:w="1612" w:type="pct"/>
                <w:shd w:val="clear" w:color="auto" w:fill="auto"/>
                <w:vAlign w:val="center"/>
              </w:tcPr>
              <w:p w14:paraId="5EFCB632" w14:textId="77777777" w:rsidR="00E57DAA" w:rsidRDefault="00AC4185">
                <w:pPr>
                  <w:jc w:val="center"/>
                  <w:rPr>
                    <w:szCs w:val="21"/>
                  </w:rPr>
                </w:pPr>
                <w:r>
                  <w:rPr>
                    <w:rFonts w:hint="eastAsia"/>
                    <w:szCs w:val="21"/>
                  </w:rPr>
                  <w:t>期末余额</w:t>
                </w:r>
              </w:p>
            </w:tc>
          </w:sdtContent>
        </w:sdt>
        <w:sdt>
          <w:sdtPr>
            <w:tag w:val="_PLD_c02c94d4c7614f3cadd2972514fb87f4"/>
            <w:id w:val="-1444222709"/>
          </w:sdtPr>
          <w:sdtEndPr/>
          <w:sdtContent>
            <w:tc>
              <w:tcPr>
                <w:tcW w:w="1572" w:type="pct"/>
                <w:shd w:val="clear" w:color="auto" w:fill="auto"/>
                <w:vAlign w:val="center"/>
              </w:tcPr>
              <w:p w14:paraId="1FE6933A" w14:textId="77777777" w:rsidR="00E57DAA" w:rsidRDefault="00AC4185">
                <w:pPr>
                  <w:jc w:val="center"/>
                  <w:rPr>
                    <w:szCs w:val="21"/>
                  </w:rPr>
                </w:pPr>
                <w:r>
                  <w:rPr>
                    <w:rFonts w:hint="eastAsia"/>
                    <w:szCs w:val="21"/>
                  </w:rPr>
                  <w:t>期初余额</w:t>
                </w:r>
              </w:p>
            </w:tc>
          </w:sdtContent>
        </w:sdt>
      </w:tr>
      <w:tr w:rsidR="00E57DAA" w14:paraId="541E4755" w14:textId="77777777">
        <w:tc>
          <w:tcPr>
            <w:tcW w:w="1816" w:type="pct"/>
            <w:shd w:val="clear" w:color="auto" w:fill="auto"/>
          </w:tcPr>
          <w:p w14:paraId="15EA4205" w14:textId="77777777" w:rsidR="00E57DAA" w:rsidRDefault="00AC4185">
            <w:pPr>
              <w:snapToGrid w:val="0"/>
              <w:ind w:leftChars="-51" w:left="-107"/>
              <w:rPr>
                <w:szCs w:val="21"/>
              </w:rPr>
            </w:pPr>
            <w:r>
              <w:t>待抵扣/未认证的进项税</w:t>
            </w:r>
          </w:p>
        </w:tc>
        <w:tc>
          <w:tcPr>
            <w:tcW w:w="1612" w:type="pct"/>
            <w:shd w:val="clear" w:color="auto" w:fill="auto"/>
          </w:tcPr>
          <w:p w14:paraId="56F380C6" w14:textId="77777777" w:rsidR="00E57DAA" w:rsidRDefault="00AC4185">
            <w:pPr>
              <w:snapToGrid w:val="0"/>
              <w:jc w:val="right"/>
              <w:rPr>
                <w:szCs w:val="21"/>
              </w:rPr>
            </w:pPr>
            <w:r>
              <w:t>413,591,657.62</w:t>
            </w:r>
          </w:p>
        </w:tc>
        <w:tc>
          <w:tcPr>
            <w:tcW w:w="1572" w:type="pct"/>
            <w:shd w:val="clear" w:color="auto" w:fill="auto"/>
          </w:tcPr>
          <w:p w14:paraId="56A0064B" w14:textId="77777777" w:rsidR="00E57DAA" w:rsidRDefault="00AC4185">
            <w:pPr>
              <w:snapToGrid w:val="0"/>
              <w:jc w:val="right"/>
              <w:rPr>
                <w:szCs w:val="21"/>
              </w:rPr>
            </w:pPr>
            <w:r>
              <w:t>138,626,738.91</w:t>
            </w:r>
          </w:p>
        </w:tc>
      </w:tr>
      <w:tr w:rsidR="00E57DAA" w14:paraId="7F6FCCBA" w14:textId="77777777">
        <w:tc>
          <w:tcPr>
            <w:tcW w:w="1816" w:type="pct"/>
            <w:shd w:val="clear" w:color="auto" w:fill="auto"/>
          </w:tcPr>
          <w:p w14:paraId="28A36AC9" w14:textId="77777777" w:rsidR="00E57DAA" w:rsidRDefault="00AC4185">
            <w:pPr>
              <w:snapToGrid w:val="0"/>
              <w:ind w:leftChars="-51" w:left="-107"/>
              <w:rPr>
                <w:szCs w:val="21"/>
              </w:rPr>
            </w:pPr>
            <w:r>
              <w:t>预缴企业所得税</w:t>
            </w:r>
          </w:p>
        </w:tc>
        <w:tc>
          <w:tcPr>
            <w:tcW w:w="1612" w:type="pct"/>
            <w:shd w:val="clear" w:color="auto" w:fill="auto"/>
          </w:tcPr>
          <w:p w14:paraId="204471DF" w14:textId="77777777" w:rsidR="00E57DAA" w:rsidRDefault="00AC4185">
            <w:pPr>
              <w:snapToGrid w:val="0"/>
              <w:jc w:val="right"/>
              <w:rPr>
                <w:szCs w:val="21"/>
              </w:rPr>
            </w:pPr>
            <w:r>
              <w:t>26,081,058.83</w:t>
            </w:r>
          </w:p>
        </w:tc>
        <w:tc>
          <w:tcPr>
            <w:tcW w:w="1572" w:type="pct"/>
            <w:shd w:val="clear" w:color="auto" w:fill="auto"/>
          </w:tcPr>
          <w:p w14:paraId="7CD12B1C" w14:textId="77777777" w:rsidR="00E57DAA" w:rsidRDefault="00AC4185">
            <w:pPr>
              <w:snapToGrid w:val="0"/>
              <w:jc w:val="right"/>
              <w:rPr>
                <w:szCs w:val="21"/>
              </w:rPr>
            </w:pPr>
            <w:r>
              <w:t>31,072,231.50</w:t>
            </w:r>
          </w:p>
        </w:tc>
      </w:tr>
      <w:tr w:rsidR="00E57DAA" w14:paraId="5A7D4F28" w14:textId="77777777">
        <w:tc>
          <w:tcPr>
            <w:tcW w:w="1816" w:type="pct"/>
            <w:shd w:val="clear" w:color="auto" w:fill="auto"/>
          </w:tcPr>
          <w:p w14:paraId="7F0DE9A3" w14:textId="77777777" w:rsidR="00E57DAA" w:rsidRDefault="00AC4185">
            <w:pPr>
              <w:snapToGrid w:val="0"/>
              <w:ind w:leftChars="-51" w:left="-107"/>
              <w:rPr>
                <w:szCs w:val="21"/>
              </w:rPr>
            </w:pPr>
            <w:r>
              <w:t>预缴其他税费</w:t>
            </w:r>
          </w:p>
        </w:tc>
        <w:tc>
          <w:tcPr>
            <w:tcW w:w="1612" w:type="pct"/>
            <w:shd w:val="clear" w:color="auto" w:fill="auto"/>
          </w:tcPr>
          <w:p w14:paraId="53C90BF9" w14:textId="77777777" w:rsidR="00E57DAA" w:rsidRDefault="00AC4185">
            <w:pPr>
              <w:snapToGrid w:val="0"/>
              <w:jc w:val="right"/>
              <w:rPr>
                <w:szCs w:val="21"/>
              </w:rPr>
            </w:pPr>
            <w:r>
              <w:t>631,167.88</w:t>
            </w:r>
          </w:p>
        </w:tc>
        <w:tc>
          <w:tcPr>
            <w:tcW w:w="1572" w:type="pct"/>
            <w:shd w:val="clear" w:color="auto" w:fill="auto"/>
          </w:tcPr>
          <w:p w14:paraId="62DD2FBD" w14:textId="77777777" w:rsidR="00E57DAA" w:rsidRDefault="00AC4185">
            <w:pPr>
              <w:snapToGrid w:val="0"/>
              <w:jc w:val="right"/>
              <w:rPr>
                <w:szCs w:val="21"/>
              </w:rPr>
            </w:pPr>
            <w:r>
              <w:t>24,071,127.40</w:t>
            </w:r>
          </w:p>
        </w:tc>
      </w:tr>
      <w:tr w:rsidR="00E57DAA" w14:paraId="7E717A50" w14:textId="77777777">
        <w:tc>
          <w:tcPr>
            <w:tcW w:w="1816" w:type="pct"/>
            <w:shd w:val="clear" w:color="auto" w:fill="auto"/>
          </w:tcPr>
          <w:p w14:paraId="1452A825" w14:textId="77777777" w:rsidR="00E57DAA" w:rsidRDefault="00AC4185">
            <w:pPr>
              <w:snapToGrid w:val="0"/>
              <w:ind w:leftChars="-51" w:left="-107"/>
              <w:rPr>
                <w:szCs w:val="21"/>
              </w:rPr>
            </w:pPr>
            <w:r>
              <w:t>待摊费用</w:t>
            </w:r>
          </w:p>
        </w:tc>
        <w:tc>
          <w:tcPr>
            <w:tcW w:w="1612" w:type="pct"/>
            <w:shd w:val="clear" w:color="auto" w:fill="auto"/>
          </w:tcPr>
          <w:p w14:paraId="42095B86" w14:textId="77777777" w:rsidR="00E57DAA" w:rsidRDefault="00AC4185">
            <w:pPr>
              <w:snapToGrid w:val="0"/>
              <w:jc w:val="right"/>
              <w:rPr>
                <w:szCs w:val="21"/>
              </w:rPr>
            </w:pPr>
            <w:r>
              <w:rPr>
                <w:szCs w:val="21"/>
              </w:rPr>
              <w:t>79,884.70</w:t>
            </w:r>
          </w:p>
        </w:tc>
        <w:tc>
          <w:tcPr>
            <w:tcW w:w="1572" w:type="pct"/>
            <w:shd w:val="clear" w:color="auto" w:fill="auto"/>
          </w:tcPr>
          <w:p w14:paraId="7C08F37A" w14:textId="77777777" w:rsidR="00E57DAA" w:rsidRDefault="00AC4185">
            <w:pPr>
              <w:snapToGrid w:val="0"/>
              <w:jc w:val="right"/>
              <w:rPr>
                <w:szCs w:val="21"/>
              </w:rPr>
            </w:pPr>
            <w:r>
              <w:t> </w:t>
            </w:r>
          </w:p>
        </w:tc>
      </w:tr>
      <w:tr w:rsidR="00E57DAA" w14:paraId="6A01B98F" w14:textId="77777777">
        <w:tc>
          <w:tcPr>
            <w:tcW w:w="1816" w:type="pct"/>
            <w:shd w:val="clear" w:color="auto" w:fill="auto"/>
            <w:vAlign w:val="center"/>
          </w:tcPr>
          <w:p w14:paraId="626E5DF3" w14:textId="77777777" w:rsidR="00E57DAA" w:rsidRDefault="00AC4185">
            <w:pPr>
              <w:snapToGrid w:val="0"/>
              <w:ind w:leftChars="-51" w:left="-107"/>
              <w:jc w:val="center"/>
              <w:rPr>
                <w:szCs w:val="21"/>
              </w:rPr>
            </w:pPr>
            <w:r>
              <w:rPr>
                <w:rFonts w:hint="eastAsia"/>
                <w:szCs w:val="21"/>
              </w:rPr>
              <w:t>合计</w:t>
            </w:r>
          </w:p>
        </w:tc>
        <w:tc>
          <w:tcPr>
            <w:tcW w:w="1612" w:type="pct"/>
            <w:shd w:val="clear" w:color="auto" w:fill="auto"/>
            <w:vAlign w:val="center"/>
          </w:tcPr>
          <w:p w14:paraId="3F171C1A" w14:textId="77777777" w:rsidR="00E57DAA" w:rsidRDefault="00AC4185">
            <w:pPr>
              <w:snapToGrid w:val="0"/>
              <w:jc w:val="right"/>
              <w:rPr>
                <w:szCs w:val="21"/>
              </w:rPr>
            </w:pPr>
            <w:r>
              <w:t>440,383,769.03</w:t>
            </w:r>
          </w:p>
        </w:tc>
        <w:tc>
          <w:tcPr>
            <w:tcW w:w="1572" w:type="pct"/>
            <w:shd w:val="clear" w:color="auto" w:fill="auto"/>
            <w:vAlign w:val="center"/>
          </w:tcPr>
          <w:p w14:paraId="749DEFB4" w14:textId="77777777" w:rsidR="00E57DAA" w:rsidRDefault="00AC4185">
            <w:pPr>
              <w:snapToGrid w:val="0"/>
              <w:jc w:val="right"/>
              <w:rPr>
                <w:szCs w:val="21"/>
              </w:rPr>
            </w:pPr>
            <w:r>
              <w:t>193,770,097.81</w:t>
            </w:r>
          </w:p>
        </w:tc>
      </w:tr>
    </w:tbl>
    <w:p w14:paraId="5F3895D0" w14:textId="77777777" w:rsidR="00E57DAA" w:rsidRDefault="00E57DAA" w:rsidP="00C25422">
      <w:pPr>
        <w:pStyle w:val="92"/>
      </w:pPr>
    </w:p>
    <w:bookmarkEnd w:id="236"/>
    <w:p w14:paraId="18D837DD" w14:textId="77777777" w:rsidR="00E57DAA" w:rsidRDefault="00E57DAA" w:rsidP="00C25422">
      <w:pPr>
        <w:pStyle w:val="92"/>
      </w:pPr>
    </w:p>
    <w:p w14:paraId="39E3D0F5" w14:textId="77777777" w:rsidR="00E57DAA" w:rsidRDefault="00AC4185" w:rsidP="00C25422">
      <w:pPr>
        <w:pStyle w:val="91"/>
        <w:numPr>
          <w:ilvl w:val="0"/>
          <w:numId w:val="69"/>
        </w:numPr>
      </w:pPr>
      <w:r>
        <w:rPr>
          <w:rFonts w:hint="eastAsia"/>
        </w:rPr>
        <w:t>债权投资</w:t>
      </w:r>
    </w:p>
    <w:p w14:paraId="73D41F44" w14:textId="77777777" w:rsidR="00E57DAA" w:rsidRDefault="00AC4185">
      <w:pPr>
        <w:pStyle w:val="4"/>
        <w:numPr>
          <w:ilvl w:val="3"/>
          <w:numId w:val="77"/>
        </w:numPr>
        <w:ind w:left="426" w:hanging="426"/>
      </w:pPr>
      <w:bookmarkStart w:id="237" w:name="_Hlk532993723"/>
      <w:r>
        <w:rPr>
          <w:rFonts w:hint="eastAsia"/>
        </w:rPr>
        <w:t>债权投资情况</w:t>
      </w:r>
    </w:p>
    <w:bookmarkStart w:id="238" w:name="_Hlk533409588" w:displacedByCustomXml="next"/>
    <w:sdt>
      <w:sdtPr>
        <w:alias w:val="是否适用：以摊余成本计量的长期债权投资[双击切换]"/>
        <w:tag w:val="_GBC_dbc7f90615cc46578228904cb4aa1cff"/>
        <w:id w:val="-1309166115"/>
        <w:placeholder>
          <w:docPart w:val="GBC22222222222222222222222222222"/>
        </w:placeholder>
      </w:sdtPr>
      <w:sdtEndPr/>
      <w:sdtContent>
        <w:p w14:paraId="2BC072D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031ED7" w14:textId="77777777" w:rsidR="00E57DAA" w:rsidRDefault="00E57DAA">
      <w:pPr>
        <w:rPr>
          <w:szCs w:val="21"/>
        </w:rPr>
      </w:pPr>
    </w:p>
    <w:p w14:paraId="3FC2EB6F" w14:textId="77777777" w:rsidR="00E57DAA" w:rsidRDefault="00AC4185">
      <w:pPr>
        <w:rPr>
          <w:szCs w:val="21"/>
        </w:rPr>
      </w:pPr>
      <w:r>
        <w:rPr>
          <w:rFonts w:hint="eastAsia"/>
          <w:szCs w:val="21"/>
        </w:rPr>
        <w:lastRenderedPageBreak/>
        <w:t>债权投资减值准备本期变动情况</w:t>
      </w:r>
    </w:p>
    <w:bookmarkStart w:id="239" w:name="_Hlk153455457" w:displacedByCustomXml="next"/>
    <w:sdt>
      <w:sdtPr>
        <w:alias w:val="是否适用：减值准备本期变动情况[双击切换]"/>
        <w:tag w:val="_GBC_87c0bbb5863948af834604c8aeaf814f"/>
        <w:id w:val="1105001121"/>
        <w:placeholder>
          <w:docPart w:val="GBC22222222222222222222222222222"/>
        </w:placeholder>
      </w:sdtPr>
      <w:sdtEndPr/>
      <w:sdtContent>
        <w:p w14:paraId="33CEC62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9"/>
    <w:p w14:paraId="1E95D025" w14:textId="77777777" w:rsidR="00E57DAA" w:rsidRDefault="00E57DAA">
      <w:pPr>
        <w:rPr>
          <w:szCs w:val="21"/>
        </w:rPr>
      </w:pPr>
    </w:p>
    <w:p w14:paraId="745ED176" w14:textId="77777777" w:rsidR="00E57DAA" w:rsidRDefault="00AC4185">
      <w:pPr>
        <w:pStyle w:val="4"/>
        <w:numPr>
          <w:ilvl w:val="3"/>
          <w:numId w:val="77"/>
        </w:numPr>
        <w:ind w:left="426" w:hanging="426"/>
      </w:pPr>
      <w:r>
        <w:rPr>
          <w:rFonts w:hint="eastAsia"/>
        </w:rPr>
        <w:t>期末重要的债权投资</w:t>
      </w:r>
    </w:p>
    <w:bookmarkStart w:id="240" w:name="_Hlk532994191" w:displacedByCustomXml="next"/>
    <w:sdt>
      <w:sdtPr>
        <w:alias w:val="是否适用：重要的债权投资[双击切换]"/>
        <w:tag w:val="_GBC_ca6db275ff8944c2900ec34693d6ebf6"/>
        <w:id w:val="1889061705"/>
        <w:placeholder>
          <w:docPart w:val="GBC22222222222222222222222222222"/>
        </w:placeholder>
      </w:sdtPr>
      <w:sdtEndPr/>
      <w:sdtContent>
        <w:p w14:paraId="74969AA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0"/>
    <w:p w14:paraId="50B792AB" w14:textId="77777777" w:rsidR="00E57DAA" w:rsidRDefault="00E57DAA">
      <w:pPr>
        <w:rPr>
          <w:szCs w:val="21"/>
        </w:rPr>
      </w:pPr>
    </w:p>
    <w:p w14:paraId="2D828529" w14:textId="77777777" w:rsidR="00E57DAA" w:rsidRDefault="00AC4185">
      <w:pPr>
        <w:pStyle w:val="4"/>
        <w:numPr>
          <w:ilvl w:val="3"/>
          <w:numId w:val="77"/>
        </w:numPr>
        <w:ind w:left="426" w:hanging="426"/>
      </w:pPr>
      <w:r>
        <w:rPr>
          <w:rFonts w:ascii="宋体" w:eastAsia="宋体" w:hAnsi="宋体" w:cs="宋体" w:hint="eastAsia"/>
          <w:bCs w:val="0"/>
          <w:kern w:val="0"/>
          <w:szCs w:val="24"/>
        </w:rPr>
        <w:t>减值准备计提情况</w:t>
      </w:r>
    </w:p>
    <w:bookmarkEnd w:id="237" w:displacedByCustomXml="next"/>
    <w:bookmarkEnd w:id="238" w:displacedByCustomXml="next"/>
    <w:bookmarkStart w:id="241" w:name="_Hlk533872317" w:displacedByCustomXml="next"/>
    <w:sdt>
      <w:sdtPr>
        <w:alias w:val="是否适用：债权投资减值准备调节表[双击切换]"/>
        <w:tag w:val="_GBC_686136d6dd874d559865e7aa5dd1a835"/>
        <w:id w:val="430016856"/>
        <w:placeholder>
          <w:docPart w:val="GBC22222222222222222222222222222"/>
        </w:placeholder>
      </w:sdtPr>
      <w:sdtEndPr/>
      <w:sdtContent>
        <w:p w14:paraId="033B43F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AB6547" w14:textId="77777777" w:rsidR="00E57DAA" w:rsidRDefault="00E57DAA" w:rsidP="00C25422">
      <w:pPr>
        <w:pStyle w:val="92"/>
      </w:pPr>
    </w:p>
    <w:p w14:paraId="315902A7" w14:textId="77777777" w:rsidR="00E57DAA" w:rsidRDefault="00AC4185">
      <w:pPr>
        <w:pStyle w:val="45"/>
      </w:pPr>
      <w:r>
        <w:rPr>
          <w:rFonts w:hint="eastAsia"/>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1517652729"/>
        <w:placeholder>
          <w:docPart w:val="GBC22222222222222222222222222222"/>
        </w:placeholder>
      </w:sdtPr>
      <w:sdtEndPr/>
      <w:sdtContent>
        <w:p w14:paraId="3EC79171"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41"/>
    <w:p w14:paraId="09236E8D" w14:textId="77777777" w:rsidR="00E57DAA" w:rsidRDefault="00E57DAA">
      <w:pPr>
        <w:autoSpaceDE w:val="0"/>
        <w:autoSpaceDN w:val="0"/>
        <w:adjustRightInd w:val="0"/>
        <w:ind w:rightChars="50" w:right="105"/>
        <w:rPr>
          <w:szCs w:val="21"/>
        </w:rPr>
      </w:pPr>
    </w:p>
    <w:p w14:paraId="2F54CA2D" w14:textId="77777777" w:rsidR="00E57DAA" w:rsidRDefault="00AC4185">
      <w:pPr>
        <w:pStyle w:val="45"/>
      </w:pPr>
      <w:r>
        <w:rPr>
          <w:rFonts w:hint="eastAsia"/>
        </w:rPr>
        <w:t>本</w:t>
      </w:r>
      <w:r>
        <w:t>期减</w:t>
      </w:r>
      <w:r>
        <w:rPr>
          <w:rFonts w:hint="eastAsia"/>
        </w:rPr>
        <w:t>值</w:t>
      </w:r>
      <w:r>
        <w:t>准备计提金额以及评估金融工具的</w:t>
      </w:r>
      <w:r>
        <w:rPr>
          <w:rFonts w:hint="eastAsia"/>
        </w:rPr>
        <w:t>信用风险是否显著增加的采用依据</w:t>
      </w:r>
    </w:p>
    <w:sdt>
      <w:sdtPr>
        <w:alias w:val="是否适用：债权投资减值准备计提金额以及评估金融工具的信用风险显著增加的采用依据[双击切换]"/>
        <w:tag w:val="_GBC_799f699e556f4272acd7681b17e4ede5"/>
        <w:id w:val="-990704346"/>
        <w:placeholder>
          <w:docPart w:val="GBC22222222222222222222222222222"/>
        </w:placeholder>
      </w:sdtPr>
      <w:sdtEndPr/>
      <w:sdtContent>
        <w:p w14:paraId="62DCE79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ADF52E" w14:textId="77777777" w:rsidR="00E57DAA" w:rsidRDefault="00E57DAA" w:rsidP="00C25422">
      <w:pPr>
        <w:pStyle w:val="92"/>
      </w:pPr>
    </w:p>
    <w:p w14:paraId="5FA3D7AD" w14:textId="77777777" w:rsidR="00E57DAA" w:rsidRDefault="00AC4185">
      <w:pPr>
        <w:pStyle w:val="4"/>
        <w:numPr>
          <w:ilvl w:val="3"/>
          <w:numId w:val="77"/>
        </w:numPr>
        <w:ind w:left="426" w:hanging="426"/>
        <w:rPr>
          <w:rFonts w:ascii="宋体" w:eastAsia="宋体" w:hAnsi="宋体" w:cs="宋体"/>
          <w:kern w:val="0"/>
          <w:szCs w:val="24"/>
        </w:rPr>
      </w:pPr>
      <w:r>
        <w:rPr>
          <w:rFonts w:ascii="宋体" w:eastAsia="宋体" w:hAnsi="宋体" w:cs="宋体"/>
          <w:kern w:val="0"/>
          <w:szCs w:val="24"/>
        </w:rPr>
        <w:t>本期实际</w:t>
      </w:r>
      <w:r>
        <w:rPr>
          <w:rFonts w:ascii="宋体" w:eastAsia="宋体" w:hAnsi="宋体" w:cs="宋体" w:hint="eastAsia"/>
          <w:kern w:val="0"/>
          <w:szCs w:val="24"/>
        </w:rPr>
        <w:t>的</w:t>
      </w:r>
      <w:r>
        <w:rPr>
          <w:rFonts w:ascii="宋体" w:eastAsia="宋体" w:hAnsi="宋体" w:cs="宋体"/>
          <w:kern w:val="0"/>
          <w:szCs w:val="24"/>
        </w:rPr>
        <w:t>核销</w:t>
      </w:r>
      <w:r>
        <w:rPr>
          <w:rFonts w:ascii="宋体" w:eastAsia="宋体" w:hAnsi="宋体" w:cs="宋体" w:hint="eastAsia"/>
          <w:kern w:val="0"/>
          <w:szCs w:val="24"/>
        </w:rPr>
        <w:t>债权投资</w:t>
      </w:r>
      <w:r>
        <w:rPr>
          <w:rFonts w:ascii="宋体" w:eastAsia="宋体" w:hAnsi="宋体" w:cs="宋体"/>
          <w:kern w:val="0"/>
          <w:szCs w:val="24"/>
        </w:rPr>
        <w:t>情况</w:t>
      </w:r>
    </w:p>
    <w:bookmarkStart w:id="242" w:name="_Hlk153455555" w:displacedByCustomXml="next"/>
    <w:sdt>
      <w:sdtPr>
        <w:alias w:val="是否适用：实际核销的情况[双击切换]"/>
        <w:tag w:val="_GBC_fc91e5e5672d4b4eb2e0779a0867e84c"/>
        <w:id w:val="-1345936950"/>
        <w:placeholder>
          <w:docPart w:val="GBC22222222222222222222222222222"/>
        </w:placeholder>
      </w:sdtPr>
      <w:sdtEndPr/>
      <w:sdtContent>
        <w:p w14:paraId="2B95EC4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953C60" w14:textId="77777777" w:rsidR="00E57DAA" w:rsidRDefault="00E57DAA">
      <w:pPr>
        <w:rPr>
          <w:szCs w:val="21"/>
        </w:rPr>
      </w:pPr>
    </w:p>
    <w:p w14:paraId="453A02A5" w14:textId="77777777" w:rsidR="00E57DAA" w:rsidRDefault="00AC4185">
      <w:pPr>
        <w:rPr>
          <w:szCs w:val="21"/>
        </w:rPr>
      </w:pPr>
      <w:r>
        <w:rPr>
          <w:rFonts w:hint="eastAsia"/>
          <w:szCs w:val="21"/>
        </w:rPr>
        <w:t>其中重要的</w:t>
      </w:r>
      <w:r>
        <w:rPr>
          <w:rFonts w:hint="eastAsia"/>
        </w:rPr>
        <w:t>债权投资</w:t>
      </w:r>
      <w:r>
        <w:t>情况</w:t>
      </w:r>
      <w:r>
        <w:rPr>
          <w:rFonts w:hint="eastAsia"/>
          <w:szCs w:val="21"/>
        </w:rPr>
        <w:t>核销情况</w:t>
      </w:r>
    </w:p>
    <w:sdt>
      <w:sdtPr>
        <w:rPr>
          <w:rFonts w:hint="eastAsia"/>
          <w:szCs w:val="21"/>
        </w:rPr>
        <w:alias w:val="是否适用：重要的核销情况[双击切换]"/>
        <w:tag w:val="_GBC_b1835377ab8f4324a0ddc492f3da304c"/>
        <w:id w:val="404113281"/>
        <w:placeholder>
          <w:docPart w:val="GBC22222222222222222222222222222"/>
        </w:placeholder>
      </w:sdtPr>
      <w:sdtEndPr/>
      <w:sdtContent>
        <w:p w14:paraId="5D8450A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15FE6A" w14:textId="77777777" w:rsidR="00E57DAA" w:rsidRDefault="00E57DAA">
      <w:pPr>
        <w:rPr>
          <w:szCs w:val="21"/>
        </w:rPr>
      </w:pPr>
    </w:p>
    <w:p w14:paraId="3ECDFEC0" w14:textId="77777777" w:rsidR="00E57DAA" w:rsidRDefault="00AC4185">
      <w:pPr>
        <w:snapToGrid w:val="0"/>
        <w:spacing w:line="240" w:lineRule="atLeast"/>
        <w:rPr>
          <w:szCs w:val="21"/>
        </w:rPr>
      </w:pPr>
      <w:r>
        <w:rPr>
          <w:rFonts w:hint="eastAsia"/>
        </w:rPr>
        <w:t>债权投资的</w:t>
      </w:r>
      <w:r>
        <w:rPr>
          <w:rFonts w:hint="eastAsia"/>
          <w:szCs w:val="21"/>
        </w:rPr>
        <w:t>核销说明：</w:t>
      </w:r>
    </w:p>
    <w:sdt>
      <w:sdtPr>
        <w:rPr>
          <w:szCs w:val="21"/>
        </w:rPr>
        <w:alias w:val="是否适用：核销说明[双击切换]"/>
        <w:tag w:val="_GBC_f135d5c946cc473182fa418ce9c408ae"/>
        <w:id w:val="1809210505"/>
        <w:placeholder>
          <w:docPart w:val="GBC22222222222222222222222222222"/>
        </w:placeholder>
      </w:sdtPr>
      <w:sdtEndPr/>
      <w:sdtContent>
        <w:p w14:paraId="7FB2E835"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833F01" w14:textId="77777777" w:rsidR="00E57DAA" w:rsidRDefault="00E57DAA">
      <w:pPr>
        <w:rPr>
          <w:szCs w:val="21"/>
        </w:rPr>
      </w:pPr>
    </w:p>
    <w:p w14:paraId="7F14C5AD" w14:textId="77777777" w:rsidR="00E57DAA" w:rsidRDefault="00AC4185">
      <w:pPr>
        <w:rPr>
          <w:szCs w:val="21"/>
        </w:rPr>
      </w:pPr>
      <w:r>
        <w:rPr>
          <w:rFonts w:hint="eastAsia"/>
          <w:szCs w:val="21"/>
        </w:rPr>
        <w:t>其他说明</w:t>
      </w:r>
    </w:p>
    <w:bookmarkEnd w:id="242" w:displacedByCustomXml="next"/>
    <w:sdt>
      <w:sdtPr>
        <w:alias w:val="是否适用：债权投资其他说明[双击切换]"/>
        <w:tag w:val="_GBC_17cf4c675aec4f36816c24c079df205c"/>
        <w:id w:val="1160891541"/>
        <w:placeholder>
          <w:docPart w:val="GBC22222222222222222222222222222"/>
        </w:placeholder>
      </w:sdtPr>
      <w:sdtEndPr/>
      <w:sdtContent>
        <w:p w14:paraId="5AF08684" w14:textId="77777777" w:rsidR="00E57DAA" w:rsidRDefault="00AC41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655BC8" w14:textId="77777777" w:rsidR="00E57DAA" w:rsidRDefault="00E57DAA">
      <w:pPr>
        <w:ind w:right="210"/>
      </w:pPr>
    </w:p>
    <w:p w14:paraId="437EDBBA" w14:textId="77777777" w:rsidR="00E57DAA" w:rsidRDefault="00AC4185" w:rsidP="00C25422">
      <w:pPr>
        <w:pStyle w:val="91"/>
        <w:numPr>
          <w:ilvl w:val="0"/>
          <w:numId w:val="69"/>
        </w:numPr>
      </w:pPr>
      <w:r>
        <w:rPr>
          <w:rFonts w:hint="eastAsia"/>
        </w:rPr>
        <w:t>其他债权投资</w:t>
      </w:r>
    </w:p>
    <w:p w14:paraId="74C040C4" w14:textId="77777777" w:rsidR="00E57DAA" w:rsidRDefault="00AC4185">
      <w:pPr>
        <w:pStyle w:val="4"/>
        <w:numPr>
          <w:ilvl w:val="3"/>
          <w:numId w:val="78"/>
        </w:numPr>
        <w:ind w:left="426" w:hanging="426"/>
      </w:pPr>
      <w:r>
        <w:rPr>
          <w:rFonts w:hint="eastAsia"/>
        </w:rPr>
        <w:t>其他债权投资情况</w:t>
      </w:r>
    </w:p>
    <w:sdt>
      <w:sdtPr>
        <w:alias w:val="是否适用：其他债权投资情况[双击切换]"/>
        <w:tag w:val="_GBC_23599130a9db43be881f1fb4a46d3b7e"/>
        <w:id w:val="-985310915"/>
        <w:placeholder>
          <w:docPart w:val="GBC22222222222222222222222222222"/>
        </w:placeholder>
      </w:sdtPr>
      <w:sdtEndPr/>
      <w:sdtContent>
        <w:p w14:paraId="0E818303" w14:textId="77777777" w:rsidR="00E57DAA" w:rsidRDefault="00AC41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8BBB78" w14:textId="77777777" w:rsidR="00E57DAA" w:rsidRDefault="00E57DAA">
      <w:pPr>
        <w:ind w:right="210"/>
      </w:pPr>
    </w:p>
    <w:p w14:paraId="20A3B8F9" w14:textId="77777777" w:rsidR="00E57DAA" w:rsidRDefault="00AC4185">
      <w:pPr>
        <w:rPr>
          <w:szCs w:val="21"/>
        </w:rPr>
      </w:pPr>
      <w:r>
        <w:rPr>
          <w:rFonts w:hint="eastAsia"/>
          <w:szCs w:val="21"/>
        </w:rPr>
        <w:t>其他债权投资减值准备本期变动情况</w:t>
      </w:r>
    </w:p>
    <w:bookmarkStart w:id="243" w:name="_Hlk153455695" w:displacedByCustomXml="next"/>
    <w:sdt>
      <w:sdtPr>
        <w:alias w:val="是否适用：减值准备本期变动情况[双击切换]"/>
        <w:tag w:val="_GBC_3e5ec98f577f4409b379fbfcb3b1cc79"/>
        <w:id w:val="-994643019"/>
        <w:placeholder>
          <w:docPart w:val="GBC22222222222222222222222222222"/>
        </w:placeholder>
      </w:sdtPr>
      <w:sdtEndPr/>
      <w:sdtContent>
        <w:p w14:paraId="43FBDBC8"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3"/>
    <w:p w14:paraId="302B71C2" w14:textId="77777777" w:rsidR="00E57DAA" w:rsidRDefault="00E57DAA">
      <w:pPr>
        <w:rPr>
          <w:szCs w:val="21"/>
        </w:rPr>
      </w:pPr>
    </w:p>
    <w:p w14:paraId="0DB7DAC0" w14:textId="77777777" w:rsidR="00E57DAA" w:rsidRDefault="00AC4185">
      <w:pPr>
        <w:pStyle w:val="4"/>
        <w:numPr>
          <w:ilvl w:val="3"/>
          <w:numId w:val="78"/>
        </w:numPr>
        <w:ind w:left="426" w:hanging="426"/>
      </w:pPr>
      <w:r>
        <w:rPr>
          <w:rFonts w:hint="eastAsia"/>
        </w:rPr>
        <w:t>期末重要的其他债权投资</w:t>
      </w:r>
    </w:p>
    <w:bookmarkStart w:id="244" w:name="_Hlk533848078" w:displacedByCustomXml="next"/>
    <w:sdt>
      <w:sdtPr>
        <w:alias w:val="是否适用：重要的其他债权投资[双击切换]"/>
        <w:tag w:val="_GBC_bb82f40f19284b2489199fbaa477b35c"/>
        <w:id w:val="-1020399345"/>
        <w:placeholder>
          <w:docPart w:val="GBC22222222222222222222222222222"/>
        </w:placeholder>
      </w:sdtPr>
      <w:sdtEndPr/>
      <w:sdtContent>
        <w:p w14:paraId="614F9EDC" w14:textId="77777777" w:rsidR="00E57DAA" w:rsidRDefault="00AC41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4"/>
    <w:p w14:paraId="468E5715" w14:textId="77777777" w:rsidR="00E57DAA" w:rsidRDefault="00E57DAA">
      <w:pPr>
        <w:ind w:right="210"/>
      </w:pPr>
    </w:p>
    <w:p w14:paraId="5DAF8F74" w14:textId="77777777" w:rsidR="00E57DAA" w:rsidRDefault="00AC4185">
      <w:pPr>
        <w:pStyle w:val="4"/>
        <w:numPr>
          <w:ilvl w:val="3"/>
          <w:numId w:val="78"/>
        </w:numPr>
        <w:ind w:left="426" w:hanging="426"/>
      </w:pPr>
      <w:r>
        <w:rPr>
          <w:rFonts w:ascii="宋体" w:eastAsia="宋体" w:hAnsi="宋体" w:cs="宋体" w:hint="eastAsia"/>
          <w:bCs w:val="0"/>
          <w:kern w:val="0"/>
          <w:szCs w:val="24"/>
        </w:rPr>
        <w:t>减值准备计提情况</w:t>
      </w:r>
    </w:p>
    <w:bookmarkStart w:id="245" w:name="_Hlk533872678" w:displacedByCustomXml="next"/>
    <w:sdt>
      <w:sdtPr>
        <w:alias w:val="是否适用：其他债权投资减值准备调节表[双击切换]"/>
        <w:tag w:val="_GBC_4fb0e145a1004885abb87d20ed68a2ed"/>
        <w:id w:val="859789868"/>
        <w:placeholder>
          <w:docPart w:val="GBC22222222222222222222222222222"/>
        </w:placeholder>
      </w:sdtPr>
      <w:sdtEndPr/>
      <w:sdtContent>
        <w:p w14:paraId="331F324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D89F2A" w14:textId="77777777" w:rsidR="00E57DAA" w:rsidRDefault="00E57DAA" w:rsidP="00C25422">
      <w:pPr>
        <w:pStyle w:val="92"/>
      </w:pPr>
    </w:p>
    <w:p w14:paraId="675EF223" w14:textId="77777777" w:rsidR="00E57DAA" w:rsidRDefault="00E57DAA" w:rsidP="00C25422">
      <w:pPr>
        <w:pStyle w:val="92"/>
      </w:pPr>
    </w:p>
    <w:p w14:paraId="407C076D" w14:textId="77777777" w:rsidR="00E57DAA" w:rsidRDefault="00AC4185">
      <w:pPr>
        <w:pStyle w:val="45"/>
      </w:pPr>
      <w:r>
        <w:rPr>
          <w:rFonts w:hint="eastAsia"/>
        </w:rPr>
        <w:t>对本期发生损失准备变动的其他债权投资账面余额显著变动的情况说明：</w:t>
      </w:r>
    </w:p>
    <w:sdt>
      <w:sdtPr>
        <w:alias w:val="是否适用：其他债权投资本期发生损失准备变动且账面余额显著变动的情况说明[双击切换]"/>
        <w:tag w:val="_GBC_e9e1f5d4f63f46a18295ea4060322e59"/>
        <w:id w:val="-1353637635"/>
        <w:placeholder>
          <w:docPart w:val="GBC22222222222222222222222222222"/>
        </w:placeholder>
      </w:sdtPr>
      <w:sdtEndPr/>
      <w:sdtContent>
        <w:p w14:paraId="7135AAD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E84743" w14:textId="77777777" w:rsidR="00E57DAA" w:rsidRDefault="00E57DAA" w:rsidP="00C25422">
      <w:pPr>
        <w:pStyle w:val="92"/>
      </w:pPr>
    </w:p>
    <w:p w14:paraId="140295B5" w14:textId="77777777" w:rsidR="00E57DAA" w:rsidRDefault="00AC4185">
      <w:pPr>
        <w:pStyle w:val="45"/>
      </w:pPr>
      <w:r>
        <w:rPr>
          <w:rFonts w:hint="eastAsia"/>
        </w:rPr>
        <w:t>本期减值准备计提金额以及评估金融工具的信用风险是否显著增加的采用依据</w:t>
      </w:r>
    </w:p>
    <w:bookmarkEnd w:id="245" w:displacedByCustomXml="next"/>
    <w:bookmarkStart w:id="246" w:name="_Hlk533848073" w:displacedByCustomXml="next"/>
    <w:sdt>
      <w:sdtPr>
        <w:alias w:val="是否适用：其他债权投资本期坏账准备计提金额以及评估金融工具的信用风险显著增加的采用依据[双击切换]"/>
        <w:tag w:val="_GBC_e7060850bcfb44fb91c77f959b237378"/>
        <w:id w:val="-361817182"/>
        <w:placeholder>
          <w:docPart w:val="GBC22222222222222222222222222222"/>
        </w:placeholder>
      </w:sdtPr>
      <w:sdtEndPr/>
      <w:sdtContent>
        <w:p w14:paraId="4235F55B" w14:textId="77777777" w:rsidR="00E57DAA" w:rsidRDefault="00AC41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6"/>
    <w:p w14:paraId="2B126B2B" w14:textId="77777777" w:rsidR="00E57DAA" w:rsidRDefault="00E57DAA">
      <w:pPr>
        <w:ind w:right="210"/>
      </w:pPr>
    </w:p>
    <w:p w14:paraId="7CA6128E" w14:textId="77777777" w:rsidR="00E57DAA" w:rsidRDefault="00AC4185">
      <w:pPr>
        <w:pStyle w:val="4"/>
        <w:numPr>
          <w:ilvl w:val="3"/>
          <w:numId w:val="78"/>
        </w:numPr>
        <w:ind w:left="426" w:hanging="426"/>
        <w:rPr>
          <w:rFonts w:ascii="宋体" w:eastAsia="宋体" w:hAnsi="宋体" w:cs="宋体"/>
          <w:kern w:val="0"/>
          <w:szCs w:val="24"/>
        </w:rPr>
      </w:pPr>
      <w:r>
        <w:rPr>
          <w:rFonts w:ascii="宋体" w:eastAsia="宋体" w:hAnsi="宋体" w:cs="宋体"/>
          <w:kern w:val="0"/>
          <w:szCs w:val="24"/>
        </w:rPr>
        <w:lastRenderedPageBreak/>
        <w:t>本期实际核销</w:t>
      </w:r>
      <w:r>
        <w:rPr>
          <w:rFonts w:ascii="宋体" w:eastAsia="宋体" w:hAnsi="宋体" w:cs="宋体" w:hint="eastAsia"/>
          <w:kern w:val="0"/>
          <w:szCs w:val="24"/>
        </w:rPr>
        <w:t>的其他债权投资</w:t>
      </w:r>
      <w:r>
        <w:rPr>
          <w:rFonts w:ascii="宋体" w:eastAsia="宋体" w:hAnsi="宋体" w:cs="宋体"/>
          <w:kern w:val="0"/>
          <w:szCs w:val="24"/>
        </w:rPr>
        <w:t>情况</w:t>
      </w:r>
    </w:p>
    <w:bookmarkStart w:id="247" w:name="_Hlk153456989" w:displacedByCustomXml="next"/>
    <w:sdt>
      <w:sdtPr>
        <w:alias w:val="是否适用：实际核销的情况[双击切换]"/>
        <w:tag w:val="_GBC_7ae85c2d27ec44faaa716fc50cbdc0bf"/>
        <w:id w:val="1745913669"/>
        <w:placeholder>
          <w:docPart w:val="GBC22222222222222222222222222222"/>
        </w:placeholder>
      </w:sdtPr>
      <w:sdtEndPr/>
      <w:sdtContent>
        <w:p w14:paraId="0A22CBC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F10E79" w14:textId="77777777" w:rsidR="00E57DAA" w:rsidRDefault="00E57DAA">
      <w:pPr>
        <w:rPr>
          <w:szCs w:val="21"/>
        </w:rPr>
      </w:pPr>
    </w:p>
    <w:p w14:paraId="01C52F19" w14:textId="77777777" w:rsidR="00E57DAA" w:rsidRDefault="00AC4185">
      <w:pPr>
        <w:rPr>
          <w:szCs w:val="21"/>
        </w:rPr>
      </w:pPr>
      <w:r>
        <w:rPr>
          <w:rFonts w:hint="eastAsia"/>
          <w:szCs w:val="21"/>
        </w:rPr>
        <w:t>其中重要的其他</w:t>
      </w:r>
      <w:r>
        <w:rPr>
          <w:rFonts w:hint="eastAsia"/>
        </w:rPr>
        <w:t>债权投资</w:t>
      </w:r>
      <w:r>
        <w:t>情况</w:t>
      </w:r>
      <w:r>
        <w:rPr>
          <w:rFonts w:hint="eastAsia"/>
          <w:szCs w:val="21"/>
        </w:rPr>
        <w:t>核销情况</w:t>
      </w:r>
    </w:p>
    <w:sdt>
      <w:sdtPr>
        <w:rPr>
          <w:rFonts w:hint="eastAsia"/>
          <w:szCs w:val="21"/>
        </w:rPr>
        <w:alias w:val="是否适用：重要的核销情况[双击切换]"/>
        <w:tag w:val="_GBC_d4c60ae51ff54b7399e4fd6edd2e8504"/>
        <w:id w:val="-858589831"/>
        <w:placeholder>
          <w:docPart w:val="GBC22222222222222222222222222222"/>
        </w:placeholder>
      </w:sdtPr>
      <w:sdtEndPr/>
      <w:sdtContent>
        <w:p w14:paraId="04AC7E5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789D09" w14:textId="77777777" w:rsidR="00E57DAA" w:rsidRDefault="00E57DAA">
      <w:pPr>
        <w:rPr>
          <w:szCs w:val="21"/>
        </w:rPr>
      </w:pPr>
    </w:p>
    <w:p w14:paraId="762D5EA3" w14:textId="77777777" w:rsidR="00E57DAA" w:rsidRDefault="00AC4185">
      <w:pPr>
        <w:snapToGrid w:val="0"/>
        <w:spacing w:line="240" w:lineRule="atLeast"/>
        <w:rPr>
          <w:szCs w:val="21"/>
        </w:rPr>
      </w:pPr>
      <w:r>
        <w:rPr>
          <w:rFonts w:hint="eastAsia"/>
        </w:rPr>
        <w:t>其他债权投资的</w:t>
      </w:r>
      <w:r>
        <w:rPr>
          <w:rFonts w:hint="eastAsia"/>
          <w:szCs w:val="21"/>
        </w:rPr>
        <w:t>核销说明：</w:t>
      </w:r>
    </w:p>
    <w:sdt>
      <w:sdtPr>
        <w:rPr>
          <w:szCs w:val="21"/>
        </w:rPr>
        <w:alias w:val="是否适用：核销说明[双击切换]"/>
        <w:tag w:val="_GBC_689ae117433c459c8a9722be4d19d604"/>
        <w:id w:val="-2095155848"/>
        <w:placeholder>
          <w:docPart w:val="GBC22222222222222222222222222222"/>
        </w:placeholder>
      </w:sdtPr>
      <w:sdtEndPr/>
      <w:sdtContent>
        <w:p w14:paraId="45949836"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A03957" w14:textId="77777777" w:rsidR="00E57DAA" w:rsidRDefault="00E57DAA">
      <w:pPr>
        <w:rPr>
          <w:szCs w:val="21"/>
        </w:rPr>
      </w:pPr>
    </w:p>
    <w:p w14:paraId="4DC4A3C2" w14:textId="77777777" w:rsidR="00E57DAA" w:rsidRDefault="00AC4185" w:rsidP="00C25422">
      <w:pPr>
        <w:pStyle w:val="92"/>
      </w:pPr>
      <w:r>
        <w:rPr>
          <w:rFonts w:hint="eastAsia"/>
        </w:rPr>
        <w:t>其他说明：</w:t>
      </w:r>
    </w:p>
    <w:bookmarkEnd w:id="247" w:displacedByCustomXml="next"/>
    <w:sdt>
      <w:sdtPr>
        <w:alias w:val="是否适用：其他债权投资其他说明[双击切换]"/>
        <w:tag w:val="_GBC_ce8084fd599f45febc44624db662adaa"/>
        <w:id w:val="-930744897"/>
        <w:placeholder>
          <w:docPart w:val="GBC22222222222222222222222222222"/>
        </w:placeholder>
      </w:sdtPr>
      <w:sdtEndPr/>
      <w:sdtContent>
        <w:p w14:paraId="0BCB2BB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589D9E" w14:textId="77777777" w:rsidR="00E57DAA" w:rsidRDefault="00E57DAA">
      <w:pPr>
        <w:sectPr w:rsidR="00E57DAA" w:rsidSect="00226547">
          <w:pgSz w:w="11906" w:h="16838"/>
          <w:pgMar w:top="1440" w:right="1797" w:bottom="1525" w:left="1276" w:header="856" w:footer="992" w:gutter="0"/>
          <w:cols w:space="425"/>
          <w:docGrid w:linePitch="312"/>
        </w:sectPr>
      </w:pPr>
    </w:p>
    <w:p w14:paraId="3EA3683A" w14:textId="77777777" w:rsidR="00E57DAA" w:rsidRDefault="00E57DAA" w:rsidP="00C25422">
      <w:pPr>
        <w:pStyle w:val="92"/>
      </w:pPr>
    </w:p>
    <w:p w14:paraId="1DE24AE5" w14:textId="77777777" w:rsidR="00E57DAA" w:rsidRDefault="00AC4185" w:rsidP="00C25422">
      <w:pPr>
        <w:pStyle w:val="91"/>
        <w:numPr>
          <w:ilvl w:val="0"/>
          <w:numId w:val="69"/>
        </w:numPr>
      </w:pPr>
      <w:r>
        <w:rPr>
          <w:rFonts w:hint="eastAsia"/>
        </w:rPr>
        <w:t>长期应收款</w:t>
      </w:r>
    </w:p>
    <w:p w14:paraId="0D5FF428" w14:textId="77777777" w:rsidR="00E57DAA" w:rsidRDefault="00AC4185">
      <w:pPr>
        <w:pStyle w:val="4"/>
        <w:numPr>
          <w:ilvl w:val="3"/>
          <w:numId w:val="79"/>
        </w:numPr>
        <w:ind w:left="426" w:hanging="426"/>
      </w:pPr>
      <w:r>
        <w:rPr>
          <w:rFonts w:hint="eastAsia"/>
        </w:rPr>
        <w:t>长期应收款情况</w:t>
      </w:r>
    </w:p>
    <w:sdt>
      <w:sdtPr>
        <w:alias w:val="是否适用：长期应收款情况[双击切换]"/>
        <w:tag w:val="_GBC_0c54e576828240c482e58c8a9f7cd173"/>
        <w:id w:val="256332358"/>
        <w:placeholder>
          <w:docPart w:val="GBC22222222222222222222222222222"/>
        </w:placeholder>
      </w:sdtPr>
      <w:sdtEndPr/>
      <w:sdtContent>
        <w:p w14:paraId="3526688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845C75" w14:textId="77777777" w:rsidR="00E57DAA" w:rsidRDefault="00AC4185">
      <w:pPr>
        <w:jc w:val="right"/>
        <w:rPr>
          <w:szCs w:val="21"/>
        </w:rPr>
      </w:pPr>
      <w:r>
        <w:rPr>
          <w:rFonts w:hint="eastAsia"/>
          <w:szCs w:val="21"/>
        </w:rPr>
        <w:t>单位：</w:t>
      </w:r>
      <w:sdt>
        <w:sdtPr>
          <w:rPr>
            <w:rFonts w:hint="eastAsia"/>
            <w:szCs w:val="21"/>
          </w:rPr>
          <w:alias w:val="单位：财务附注：长期应收款"/>
          <w:tag w:val="_GBC_83e90e099c524c00ad00f3262465133a"/>
          <w:id w:val="-14078307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13006791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2295"/>
        <w:gridCol w:w="1965"/>
        <w:gridCol w:w="2296"/>
        <w:gridCol w:w="1847"/>
        <w:gridCol w:w="1637"/>
        <w:gridCol w:w="1847"/>
      </w:tblGrid>
      <w:tr w:rsidR="00E57DAA" w14:paraId="0B0C7AB2" w14:textId="77777777">
        <w:sdt>
          <w:sdtPr>
            <w:tag w:val="_PLD_1579a5a5db414628bc47ed54fb917eb5"/>
            <w:id w:val="1333342664"/>
          </w:sdtPr>
          <w:sdtEndPr/>
          <w:sdtContent>
            <w:tc>
              <w:tcPr>
                <w:tcW w:w="932" w:type="pct"/>
                <w:vMerge w:val="restart"/>
                <w:tcBorders>
                  <w:top w:val="single" w:sz="4" w:space="0" w:color="auto"/>
                  <w:left w:val="single" w:sz="4" w:space="0" w:color="auto"/>
                  <w:right w:val="single" w:sz="4" w:space="0" w:color="auto"/>
                </w:tcBorders>
                <w:shd w:val="clear" w:color="auto" w:fill="auto"/>
                <w:vAlign w:val="center"/>
              </w:tcPr>
              <w:p w14:paraId="79DBB96F" w14:textId="77777777" w:rsidR="00E57DAA" w:rsidRDefault="00AC4185">
                <w:pPr>
                  <w:jc w:val="center"/>
                  <w:rPr>
                    <w:szCs w:val="21"/>
                  </w:rPr>
                </w:pPr>
                <w:r>
                  <w:rPr>
                    <w:rFonts w:hint="eastAsia"/>
                    <w:szCs w:val="21"/>
                  </w:rPr>
                  <w:t>项目</w:t>
                </w:r>
              </w:p>
            </w:tc>
          </w:sdtContent>
        </w:sdt>
        <w:sdt>
          <w:sdtPr>
            <w:tag w:val="_PLD_9a36ea2203424631bf208c9515121cc2"/>
            <w:id w:val="346680501"/>
          </w:sdtPr>
          <w:sdtEndPr/>
          <w:sdtContent>
            <w:tc>
              <w:tcPr>
                <w:tcW w:w="302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D65DBB8" w14:textId="77777777" w:rsidR="00E57DAA" w:rsidRDefault="00AC4185">
                <w:pPr>
                  <w:jc w:val="center"/>
                  <w:rPr>
                    <w:szCs w:val="21"/>
                  </w:rPr>
                </w:pPr>
                <w:r>
                  <w:rPr>
                    <w:rFonts w:hint="eastAsia"/>
                    <w:szCs w:val="21"/>
                  </w:rPr>
                  <w:t>期末余额</w:t>
                </w:r>
              </w:p>
            </w:tc>
          </w:sdtContent>
        </w:sdt>
        <w:sdt>
          <w:sdtPr>
            <w:tag w:val="_PLD_03d144ce33e04be682481d2a013c13af"/>
            <w:id w:val="1169216698"/>
          </w:sdtPr>
          <w:sdtEndPr/>
          <w:sdtContent>
            <w:tc>
              <w:tcPr>
                <w:tcW w:w="104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7AB208C" w14:textId="77777777" w:rsidR="00E57DAA" w:rsidRDefault="00AC4185">
                <w:pPr>
                  <w:jc w:val="center"/>
                  <w:rPr>
                    <w:szCs w:val="21"/>
                  </w:rPr>
                </w:pPr>
                <w:r>
                  <w:rPr>
                    <w:rFonts w:hint="eastAsia"/>
                    <w:szCs w:val="21"/>
                  </w:rPr>
                  <w:t>期初余额</w:t>
                </w:r>
              </w:p>
            </w:tc>
          </w:sdtContent>
        </w:sdt>
      </w:tr>
      <w:tr w:rsidR="00E57DAA" w14:paraId="7646AD9E"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932" w:type="pct"/>
            <w:vMerge/>
            <w:tcBorders>
              <w:left w:val="single" w:sz="4" w:space="0" w:color="auto"/>
              <w:bottom w:val="single" w:sz="6" w:space="0" w:color="auto"/>
              <w:right w:val="single" w:sz="4" w:space="0" w:color="auto"/>
            </w:tcBorders>
            <w:shd w:val="clear" w:color="auto" w:fill="auto"/>
            <w:vAlign w:val="center"/>
          </w:tcPr>
          <w:p w14:paraId="78CBBE5A" w14:textId="77777777" w:rsidR="00E57DAA" w:rsidRDefault="00E57DAA">
            <w:pPr>
              <w:jc w:val="center"/>
              <w:rPr>
                <w:szCs w:val="21"/>
              </w:rPr>
            </w:pPr>
          </w:p>
        </w:tc>
        <w:sdt>
          <w:sdtPr>
            <w:tag w:val="_PLD_c0fe744fa9744e57b65a03499c0b9370"/>
            <w:id w:val="1196198003"/>
          </w:sdtPr>
          <w:sdtEndPr/>
          <w:sdtContent>
            <w:tc>
              <w:tcPr>
                <w:tcW w:w="1047" w:type="pct"/>
                <w:tcBorders>
                  <w:left w:val="single" w:sz="4" w:space="0" w:color="auto"/>
                  <w:bottom w:val="single" w:sz="6" w:space="0" w:color="auto"/>
                </w:tcBorders>
                <w:shd w:val="clear" w:color="auto" w:fill="auto"/>
                <w:vAlign w:val="center"/>
              </w:tcPr>
              <w:p w14:paraId="3B526BAC" w14:textId="77777777" w:rsidR="00E57DAA" w:rsidRDefault="00AC4185">
                <w:pPr>
                  <w:jc w:val="center"/>
                  <w:rPr>
                    <w:szCs w:val="21"/>
                  </w:rPr>
                </w:pPr>
                <w:r>
                  <w:rPr>
                    <w:rFonts w:hint="eastAsia"/>
                    <w:szCs w:val="21"/>
                  </w:rPr>
                  <w:t>账面余额</w:t>
                </w:r>
              </w:p>
            </w:tc>
          </w:sdtContent>
        </w:sdt>
        <w:sdt>
          <w:sdtPr>
            <w:tag w:val="_PLD_77ffaa95600c4c8d82666d2fa1a55587"/>
            <w:id w:val="160053890"/>
          </w:sdtPr>
          <w:sdtEndPr/>
          <w:sdtContent>
            <w:tc>
              <w:tcPr>
                <w:tcW w:w="928" w:type="pct"/>
                <w:tcBorders>
                  <w:bottom w:val="single" w:sz="6" w:space="0" w:color="auto"/>
                </w:tcBorders>
                <w:shd w:val="clear" w:color="auto" w:fill="auto"/>
                <w:vAlign w:val="center"/>
              </w:tcPr>
              <w:p w14:paraId="63F96B64" w14:textId="77777777" w:rsidR="00E57DAA" w:rsidRDefault="00AC4185">
                <w:pPr>
                  <w:jc w:val="center"/>
                  <w:rPr>
                    <w:szCs w:val="21"/>
                  </w:rPr>
                </w:pPr>
                <w:r>
                  <w:rPr>
                    <w:rFonts w:hint="eastAsia"/>
                    <w:szCs w:val="21"/>
                  </w:rPr>
                  <w:t>坏账准备</w:t>
                </w:r>
              </w:p>
            </w:tc>
          </w:sdtContent>
        </w:sdt>
        <w:sdt>
          <w:sdtPr>
            <w:tag w:val="_PLD_b4a8209a5fa445268b4557f9b0cea931"/>
            <w:id w:val="-805704798"/>
          </w:sdtPr>
          <w:sdtEndPr/>
          <w:sdtContent>
            <w:tc>
              <w:tcPr>
                <w:tcW w:w="1047" w:type="pct"/>
                <w:tcBorders>
                  <w:bottom w:val="single" w:sz="6" w:space="0" w:color="auto"/>
                </w:tcBorders>
                <w:shd w:val="clear" w:color="auto" w:fill="auto"/>
                <w:vAlign w:val="center"/>
              </w:tcPr>
              <w:p w14:paraId="7299C739" w14:textId="77777777" w:rsidR="00E57DAA" w:rsidRDefault="00AC4185">
                <w:pPr>
                  <w:jc w:val="center"/>
                  <w:rPr>
                    <w:szCs w:val="21"/>
                  </w:rPr>
                </w:pPr>
                <w:r>
                  <w:rPr>
                    <w:rFonts w:hint="eastAsia"/>
                    <w:szCs w:val="21"/>
                  </w:rPr>
                  <w:t>账面价值</w:t>
                </w:r>
              </w:p>
            </w:tc>
          </w:sdtContent>
        </w:sdt>
        <w:sdt>
          <w:sdtPr>
            <w:tag w:val="_PLD_8f25a17bc1634cc893a4d67aa1847b6a"/>
            <w:id w:val="152102690"/>
          </w:sdtPr>
          <w:sdtEndPr/>
          <w:sdtContent>
            <w:tc>
              <w:tcPr>
                <w:tcW w:w="345" w:type="pct"/>
                <w:tcBorders>
                  <w:bottom w:val="single" w:sz="6" w:space="0" w:color="auto"/>
                </w:tcBorders>
                <w:shd w:val="clear" w:color="auto" w:fill="auto"/>
                <w:vAlign w:val="center"/>
              </w:tcPr>
              <w:p w14:paraId="107CC521" w14:textId="77777777" w:rsidR="00E57DAA" w:rsidRDefault="00AC4185">
                <w:pPr>
                  <w:jc w:val="center"/>
                  <w:rPr>
                    <w:szCs w:val="21"/>
                  </w:rPr>
                </w:pPr>
                <w:r>
                  <w:rPr>
                    <w:rFonts w:hint="eastAsia"/>
                    <w:szCs w:val="21"/>
                  </w:rPr>
                  <w:t>账面余额</w:t>
                </w:r>
              </w:p>
            </w:tc>
          </w:sdtContent>
        </w:sdt>
        <w:sdt>
          <w:sdtPr>
            <w:tag w:val="_PLD_a654b9f6a8cf4e1797c1b5ccb7073aa0"/>
            <w:id w:val="-2107100586"/>
          </w:sdtPr>
          <w:sdtEndPr/>
          <w:sdtContent>
            <w:tc>
              <w:tcPr>
                <w:tcW w:w="346" w:type="pct"/>
                <w:tcBorders>
                  <w:bottom w:val="single" w:sz="6" w:space="0" w:color="auto"/>
                </w:tcBorders>
                <w:shd w:val="clear" w:color="auto" w:fill="auto"/>
                <w:vAlign w:val="center"/>
              </w:tcPr>
              <w:p w14:paraId="1DA33A5D" w14:textId="77777777" w:rsidR="00E57DAA" w:rsidRDefault="00AC4185">
                <w:pPr>
                  <w:jc w:val="center"/>
                  <w:rPr>
                    <w:szCs w:val="21"/>
                  </w:rPr>
                </w:pPr>
                <w:r>
                  <w:rPr>
                    <w:rFonts w:hint="eastAsia"/>
                    <w:szCs w:val="21"/>
                  </w:rPr>
                  <w:t>坏账准备</w:t>
                </w:r>
              </w:p>
            </w:tc>
          </w:sdtContent>
        </w:sdt>
        <w:sdt>
          <w:sdtPr>
            <w:tag w:val="_PLD_bccad3095dd04c1e9d8e38cc94818670"/>
            <w:id w:val="1637216016"/>
          </w:sdtPr>
          <w:sdtEndPr/>
          <w:sdtContent>
            <w:tc>
              <w:tcPr>
                <w:tcW w:w="356" w:type="pct"/>
                <w:tcBorders>
                  <w:bottom w:val="single" w:sz="6" w:space="0" w:color="auto"/>
                  <w:right w:val="single" w:sz="4" w:space="0" w:color="auto"/>
                </w:tcBorders>
                <w:shd w:val="clear" w:color="auto" w:fill="auto"/>
                <w:vAlign w:val="center"/>
              </w:tcPr>
              <w:p w14:paraId="1A02BE2E" w14:textId="77777777" w:rsidR="00E57DAA" w:rsidRDefault="00AC4185">
                <w:pPr>
                  <w:jc w:val="center"/>
                  <w:rPr>
                    <w:szCs w:val="21"/>
                  </w:rPr>
                </w:pPr>
                <w:r>
                  <w:rPr>
                    <w:rFonts w:hint="eastAsia"/>
                    <w:szCs w:val="21"/>
                  </w:rPr>
                  <w:t>账面价值</w:t>
                </w:r>
              </w:p>
            </w:tc>
          </w:sdtContent>
        </w:sdt>
      </w:tr>
      <w:tr w:rsidR="00E57DAA" w14:paraId="4F5DAAF7"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932" w:type="pct"/>
            <w:shd w:val="clear" w:color="auto" w:fill="auto"/>
          </w:tcPr>
          <w:p w14:paraId="107F8E79" w14:textId="77777777" w:rsidR="00E57DAA" w:rsidRDefault="00AC4185">
            <w:pPr>
              <w:rPr>
                <w:szCs w:val="21"/>
              </w:rPr>
            </w:pPr>
            <w:r>
              <w:t>分期收款项目</w:t>
            </w:r>
          </w:p>
        </w:tc>
        <w:tc>
          <w:tcPr>
            <w:tcW w:w="1047" w:type="pct"/>
            <w:shd w:val="clear" w:color="auto" w:fill="auto"/>
            <w:vAlign w:val="center"/>
          </w:tcPr>
          <w:p w14:paraId="0889660B" w14:textId="77777777" w:rsidR="00E57DAA" w:rsidRDefault="00AC4185">
            <w:pPr>
              <w:ind w:rightChars="50" w:right="105"/>
              <w:jc w:val="right"/>
              <w:rPr>
                <w:szCs w:val="21"/>
              </w:rPr>
            </w:pPr>
            <w:r>
              <w:t>5,371,476,751.26</w:t>
            </w:r>
          </w:p>
        </w:tc>
        <w:tc>
          <w:tcPr>
            <w:tcW w:w="928" w:type="pct"/>
            <w:shd w:val="clear" w:color="auto" w:fill="auto"/>
            <w:vAlign w:val="center"/>
          </w:tcPr>
          <w:p w14:paraId="1A1C5C4F" w14:textId="77777777" w:rsidR="00E57DAA" w:rsidRDefault="00AC4185">
            <w:pPr>
              <w:ind w:rightChars="50" w:right="105"/>
              <w:jc w:val="right"/>
              <w:rPr>
                <w:szCs w:val="21"/>
              </w:rPr>
            </w:pPr>
            <w:r>
              <w:t>228,132,206.74</w:t>
            </w:r>
          </w:p>
        </w:tc>
        <w:tc>
          <w:tcPr>
            <w:tcW w:w="1047" w:type="pct"/>
            <w:shd w:val="clear" w:color="auto" w:fill="auto"/>
            <w:vAlign w:val="center"/>
          </w:tcPr>
          <w:p w14:paraId="4D0E11E6" w14:textId="77777777" w:rsidR="00E57DAA" w:rsidRDefault="00AC4185">
            <w:pPr>
              <w:ind w:rightChars="50" w:right="105"/>
              <w:jc w:val="right"/>
              <w:rPr>
                <w:szCs w:val="21"/>
              </w:rPr>
            </w:pPr>
            <w:r>
              <w:t>5,143,344,544.52</w:t>
            </w:r>
          </w:p>
        </w:tc>
        <w:tc>
          <w:tcPr>
            <w:tcW w:w="345" w:type="pct"/>
            <w:shd w:val="clear" w:color="auto" w:fill="auto"/>
            <w:vAlign w:val="center"/>
          </w:tcPr>
          <w:p w14:paraId="2FD17E2C" w14:textId="77777777" w:rsidR="00E57DAA" w:rsidRDefault="00AC4185">
            <w:pPr>
              <w:ind w:rightChars="50" w:right="105"/>
              <w:jc w:val="right"/>
              <w:rPr>
                <w:szCs w:val="21"/>
              </w:rPr>
            </w:pPr>
            <w:r>
              <w:t>5,337,989,732.72</w:t>
            </w:r>
          </w:p>
        </w:tc>
        <w:tc>
          <w:tcPr>
            <w:tcW w:w="346" w:type="pct"/>
            <w:shd w:val="clear" w:color="auto" w:fill="auto"/>
            <w:vAlign w:val="center"/>
          </w:tcPr>
          <w:p w14:paraId="12E21AC1" w14:textId="77777777" w:rsidR="00E57DAA" w:rsidRDefault="00AC4185">
            <w:pPr>
              <w:ind w:rightChars="50" w:right="105"/>
              <w:jc w:val="right"/>
              <w:rPr>
                <w:szCs w:val="21"/>
              </w:rPr>
            </w:pPr>
            <w:r>
              <w:t>205,160,089.22</w:t>
            </w:r>
          </w:p>
        </w:tc>
        <w:tc>
          <w:tcPr>
            <w:tcW w:w="356" w:type="pct"/>
            <w:tcBorders>
              <w:right w:val="single" w:sz="4" w:space="0" w:color="auto"/>
            </w:tcBorders>
            <w:shd w:val="clear" w:color="auto" w:fill="auto"/>
            <w:vAlign w:val="center"/>
          </w:tcPr>
          <w:p w14:paraId="07291D82" w14:textId="77777777" w:rsidR="00E57DAA" w:rsidRDefault="00AC4185">
            <w:pPr>
              <w:ind w:rightChars="50" w:right="105"/>
              <w:jc w:val="right"/>
              <w:rPr>
                <w:szCs w:val="21"/>
              </w:rPr>
            </w:pPr>
            <w:r>
              <w:t>5,132,829,643.50</w:t>
            </w:r>
          </w:p>
        </w:tc>
      </w:tr>
      <w:tr w:rsidR="00E57DAA" w14:paraId="66DE92FF"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932" w:type="pct"/>
            <w:shd w:val="clear" w:color="auto" w:fill="auto"/>
          </w:tcPr>
          <w:p w14:paraId="57749C0C" w14:textId="77777777" w:rsidR="00E57DAA" w:rsidRDefault="00AC4185">
            <w:pPr>
              <w:rPr>
                <w:szCs w:val="21"/>
              </w:rPr>
            </w:pPr>
            <w:r>
              <w:t>减：一年内到期的长期应收款</w:t>
            </w:r>
          </w:p>
        </w:tc>
        <w:tc>
          <w:tcPr>
            <w:tcW w:w="1047" w:type="pct"/>
            <w:shd w:val="clear" w:color="auto" w:fill="auto"/>
            <w:vAlign w:val="center"/>
          </w:tcPr>
          <w:p w14:paraId="2F935BCA" w14:textId="77777777" w:rsidR="00E57DAA" w:rsidRDefault="00AC4185">
            <w:pPr>
              <w:ind w:rightChars="50" w:right="105"/>
              <w:jc w:val="right"/>
              <w:rPr>
                <w:szCs w:val="21"/>
              </w:rPr>
            </w:pPr>
            <w:r>
              <w:t>1,406,274,256.49</w:t>
            </w:r>
          </w:p>
        </w:tc>
        <w:tc>
          <w:tcPr>
            <w:tcW w:w="928" w:type="pct"/>
            <w:shd w:val="clear" w:color="auto" w:fill="auto"/>
            <w:vAlign w:val="center"/>
          </w:tcPr>
          <w:p w14:paraId="43352FA5" w14:textId="77777777" w:rsidR="00E57DAA" w:rsidRDefault="00AC4185">
            <w:pPr>
              <w:ind w:rightChars="50" w:right="105"/>
              <w:jc w:val="right"/>
              <w:rPr>
                <w:szCs w:val="21"/>
              </w:rPr>
            </w:pPr>
            <w:r>
              <w:t>224,073,468.85</w:t>
            </w:r>
          </w:p>
        </w:tc>
        <w:tc>
          <w:tcPr>
            <w:tcW w:w="1047" w:type="pct"/>
            <w:shd w:val="clear" w:color="auto" w:fill="auto"/>
            <w:vAlign w:val="center"/>
          </w:tcPr>
          <w:p w14:paraId="6A71AFEB" w14:textId="77777777" w:rsidR="00E57DAA" w:rsidRDefault="00AC4185">
            <w:pPr>
              <w:ind w:rightChars="50" w:right="105"/>
              <w:jc w:val="right"/>
              <w:rPr>
                <w:szCs w:val="21"/>
              </w:rPr>
            </w:pPr>
            <w:r>
              <w:t>1,182,200,787.64</w:t>
            </w:r>
          </w:p>
        </w:tc>
        <w:tc>
          <w:tcPr>
            <w:tcW w:w="345" w:type="pct"/>
            <w:shd w:val="clear" w:color="auto" w:fill="auto"/>
            <w:vAlign w:val="center"/>
          </w:tcPr>
          <w:p w14:paraId="2676C88D" w14:textId="77777777" w:rsidR="00E57DAA" w:rsidRDefault="00AC4185">
            <w:pPr>
              <w:ind w:rightChars="50" w:right="105"/>
              <w:jc w:val="right"/>
              <w:rPr>
                <w:szCs w:val="21"/>
              </w:rPr>
            </w:pPr>
            <w:r>
              <w:t>1,254,932,692.98</w:t>
            </w:r>
          </w:p>
        </w:tc>
        <w:tc>
          <w:tcPr>
            <w:tcW w:w="346" w:type="pct"/>
            <w:shd w:val="clear" w:color="auto" w:fill="auto"/>
            <w:vAlign w:val="center"/>
          </w:tcPr>
          <w:p w14:paraId="35F89E91" w14:textId="77777777" w:rsidR="00E57DAA" w:rsidRDefault="00AC4185">
            <w:pPr>
              <w:ind w:rightChars="50" w:right="105"/>
              <w:jc w:val="right"/>
              <w:rPr>
                <w:szCs w:val="21"/>
              </w:rPr>
            </w:pPr>
            <w:r>
              <w:t>195,421,039.64</w:t>
            </w:r>
          </w:p>
        </w:tc>
        <w:tc>
          <w:tcPr>
            <w:tcW w:w="356" w:type="pct"/>
            <w:tcBorders>
              <w:right w:val="single" w:sz="4" w:space="0" w:color="auto"/>
            </w:tcBorders>
            <w:shd w:val="clear" w:color="auto" w:fill="auto"/>
            <w:vAlign w:val="center"/>
          </w:tcPr>
          <w:p w14:paraId="1DE7F63F" w14:textId="77777777" w:rsidR="00E57DAA" w:rsidRDefault="00AC4185">
            <w:pPr>
              <w:ind w:rightChars="50" w:right="105"/>
              <w:jc w:val="right"/>
              <w:rPr>
                <w:szCs w:val="21"/>
              </w:rPr>
            </w:pPr>
            <w:r>
              <w:t>1,059,511,653.34</w:t>
            </w:r>
          </w:p>
        </w:tc>
      </w:tr>
      <w:tr w:rsidR="00E57DAA" w14:paraId="13DD9709"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932" w:type="pct"/>
            <w:shd w:val="clear" w:color="auto" w:fill="auto"/>
            <w:vAlign w:val="center"/>
          </w:tcPr>
          <w:p w14:paraId="03BA1EC0" w14:textId="77777777" w:rsidR="00E57DAA" w:rsidRDefault="00AC4185">
            <w:pPr>
              <w:jc w:val="center"/>
              <w:rPr>
                <w:szCs w:val="21"/>
              </w:rPr>
            </w:pPr>
            <w:r>
              <w:rPr>
                <w:rFonts w:hint="eastAsia"/>
                <w:szCs w:val="21"/>
              </w:rPr>
              <w:t>合计</w:t>
            </w:r>
          </w:p>
        </w:tc>
        <w:tc>
          <w:tcPr>
            <w:tcW w:w="1047" w:type="pct"/>
            <w:shd w:val="clear" w:color="auto" w:fill="auto"/>
            <w:vAlign w:val="center"/>
          </w:tcPr>
          <w:p w14:paraId="163A64A0" w14:textId="77777777" w:rsidR="00E57DAA" w:rsidRDefault="00AC4185">
            <w:pPr>
              <w:ind w:rightChars="50" w:right="105"/>
              <w:jc w:val="right"/>
              <w:rPr>
                <w:szCs w:val="21"/>
              </w:rPr>
            </w:pPr>
            <w:r>
              <w:t>3,965,202,494.77</w:t>
            </w:r>
          </w:p>
        </w:tc>
        <w:tc>
          <w:tcPr>
            <w:tcW w:w="928" w:type="pct"/>
            <w:shd w:val="clear" w:color="auto" w:fill="auto"/>
            <w:vAlign w:val="center"/>
          </w:tcPr>
          <w:p w14:paraId="5932FC6E" w14:textId="77777777" w:rsidR="00E57DAA" w:rsidRDefault="00AC4185">
            <w:pPr>
              <w:ind w:rightChars="50" w:right="105"/>
              <w:jc w:val="right"/>
              <w:rPr>
                <w:szCs w:val="21"/>
              </w:rPr>
            </w:pPr>
            <w:r>
              <w:t>4,058,737.89</w:t>
            </w:r>
          </w:p>
        </w:tc>
        <w:tc>
          <w:tcPr>
            <w:tcW w:w="1047" w:type="pct"/>
            <w:shd w:val="clear" w:color="auto" w:fill="auto"/>
            <w:vAlign w:val="center"/>
          </w:tcPr>
          <w:p w14:paraId="140AEB8B" w14:textId="77777777" w:rsidR="00E57DAA" w:rsidRDefault="00AC4185">
            <w:pPr>
              <w:ind w:rightChars="50" w:right="105"/>
              <w:jc w:val="right"/>
              <w:rPr>
                <w:szCs w:val="21"/>
              </w:rPr>
            </w:pPr>
            <w:r>
              <w:t>3,961,143,756.88</w:t>
            </w:r>
          </w:p>
        </w:tc>
        <w:tc>
          <w:tcPr>
            <w:tcW w:w="345" w:type="pct"/>
            <w:shd w:val="clear" w:color="auto" w:fill="auto"/>
            <w:vAlign w:val="center"/>
          </w:tcPr>
          <w:p w14:paraId="01FAF656" w14:textId="77777777" w:rsidR="00E57DAA" w:rsidRDefault="00AC4185">
            <w:pPr>
              <w:ind w:rightChars="50" w:right="105"/>
              <w:jc w:val="right"/>
              <w:rPr>
                <w:szCs w:val="21"/>
              </w:rPr>
            </w:pPr>
            <w:r>
              <w:t>4,083,057,039.74</w:t>
            </w:r>
          </w:p>
        </w:tc>
        <w:tc>
          <w:tcPr>
            <w:tcW w:w="346" w:type="pct"/>
            <w:shd w:val="clear" w:color="auto" w:fill="auto"/>
            <w:vAlign w:val="center"/>
          </w:tcPr>
          <w:p w14:paraId="13C8F59F" w14:textId="77777777" w:rsidR="00E57DAA" w:rsidRDefault="00AC4185">
            <w:pPr>
              <w:ind w:rightChars="50" w:right="105"/>
              <w:jc w:val="right"/>
              <w:rPr>
                <w:szCs w:val="21"/>
              </w:rPr>
            </w:pPr>
            <w:r>
              <w:t>9,739,049.58</w:t>
            </w:r>
          </w:p>
        </w:tc>
        <w:tc>
          <w:tcPr>
            <w:tcW w:w="356" w:type="pct"/>
            <w:tcBorders>
              <w:right w:val="single" w:sz="4" w:space="0" w:color="auto"/>
            </w:tcBorders>
            <w:shd w:val="clear" w:color="auto" w:fill="auto"/>
            <w:vAlign w:val="center"/>
          </w:tcPr>
          <w:p w14:paraId="1F8386F8" w14:textId="77777777" w:rsidR="00E57DAA" w:rsidRDefault="00AC4185">
            <w:pPr>
              <w:ind w:rightChars="50" w:right="105"/>
              <w:jc w:val="right"/>
              <w:rPr>
                <w:szCs w:val="21"/>
              </w:rPr>
            </w:pPr>
            <w:r>
              <w:t>4,073,317,990.16</w:t>
            </w:r>
          </w:p>
        </w:tc>
      </w:tr>
    </w:tbl>
    <w:p w14:paraId="36F7FDED" w14:textId="77777777" w:rsidR="00E57DAA" w:rsidRDefault="00E57DAA" w:rsidP="00C25422">
      <w:pPr>
        <w:pStyle w:val="92"/>
      </w:pPr>
    </w:p>
    <w:p w14:paraId="62D535C7" w14:textId="77777777" w:rsidR="00E57DAA" w:rsidRDefault="00AC4185">
      <w:pPr>
        <w:pStyle w:val="4"/>
        <w:numPr>
          <w:ilvl w:val="3"/>
          <w:numId w:val="79"/>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248" w:name="_Hlk153457348"/>
    <w:p w14:paraId="287CF47A" w14:textId="77777777" w:rsidR="00E57DAA" w:rsidRDefault="00EB41A1" w:rsidP="00C25422">
      <w:pPr>
        <w:pStyle w:val="92"/>
      </w:pPr>
      <w:sdt>
        <w:sdtPr>
          <w:alias w:val="是否适用：按坏账计提方法分类披露[双击切换]"/>
          <w:tag w:val="_GBC_b88f58fcc61342f3b795c44388b6782b"/>
          <w:id w:val="-1305465513"/>
          <w:placeholder>
            <w:docPart w:val="GBC22222222222222222222222222222"/>
          </w:placeholder>
        </w:sdtPr>
        <w:sdtEndPr/>
        <w:sdtContent>
          <w:r w:rsidR="00AC4185">
            <w:fldChar w:fldCharType="begin"/>
          </w:r>
          <w:r w:rsidR="00AC4185">
            <w:instrText xml:space="preserve"> 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r w:rsidR="00AC4185">
        <w:t xml:space="preserve"> </w:t>
      </w:r>
    </w:p>
    <w:p w14:paraId="5CBBB659" w14:textId="77777777" w:rsidR="00E57DAA" w:rsidRDefault="00E57DAA" w:rsidP="00C25422">
      <w:pPr>
        <w:pStyle w:val="92"/>
      </w:pPr>
    </w:p>
    <w:p w14:paraId="284F5FDB" w14:textId="77777777" w:rsidR="00E57DAA" w:rsidRDefault="00AC4185" w:rsidP="00C25422">
      <w:pPr>
        <w:pStyle w:val="92"/>
      </w:pPr>
      <w:r>
        <w:rPr>
          <w:rFonts w:hint="eastAsia"/>
        </w:rPr>
        <w:t>按单项计提坏账准备：</w:t>
      </w:r>
    </w:p>
    <w:sdt>
      <w:sdtPr>
        <w:alias w:val="是否适用：按单项计提坏账准备的详细情况[双击切换]"/>
        <w:tag w:val="_GBC_19243c464e23496a87380a02fccd7f4a"/>
        <w:id w:val="-1325203773"/>
        <w:placeholder>
          <w:docPart w:val="GBC22222222222222222222222222222"/>
        </w:placeholder>
      </w:sdtPr>
      <w:sdtEndPr/>
      <w:sdtContent>
        <w:p w14:paraId="081D212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8D079E" w14:textId="77777777" w:rsidR="00E57DAA" w:rsidRDefault="00E57DAA">
      <w:pPr>
        <w:rPr>
          <w:szCs w:val="21"/>
        </w:rPr>
      </w:pPr>
    </w:p>
    <w:p w14:paraId="1D6A1251" w14:textId="77777777" w:rsidR="00E57DAA" w:rsidRDefault="00AC4185">
      <w:pPr>
        <w:rPr>
          <w:szCs w:val="21"/>
        </w:rPr>
      </w:pPr>
      <w:r>
        <w:rPr>
          <w:rFonts w:hint="eastAsia"/>
          <w:szCs w:val="21"/>
        </w:rPr>
        <w:t>按单项计提坏账准备的说明：</w:t>
      </w:r>
    </w:p>
    <w:sdt>
      <w:sdtPr>
        <w:rPr>
          <w:szCs w:val="21"/>
        </w:rPr>
        <w:alias w:val="是否适用：按单项计提坏账准备的说明[双击切换]"/>
        <w:tag w:val="_GBC_ee6f2bb0912a4ff4a6aa0561400844a8"/>
        <w:id w:val="-6212520"/>
        <w:placeholder>
          <w:docPart w:val="GBC22222222222222222222222222222"/>
        </w:placeholder>
      </w:sdtPr>
      <w:sdtEndPr/>
      <w:sdtContent>
        <w:p w14:paraId="094D5FB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5D51A8" w14:textId="77777777" w:rsidR="00E57DAA" w:rsidRDefault="00E57DAA">
      <w:pPr>
        <w:rPr>
          <w:szCs w:val="21"/>
        </w:rPr>
      </w:pPr>
    </w:p>
    <w:p w14:paraId="2F128EFF"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6c71fc91a6941b5af515956aed70086"/>
        <w:id w:val="1436950052"/>
        <w:placeholder>
          <w:docPart w:val="GBC22222222222222222222222222222"/>
        </w:placeholder>
      </w:sdtPr>
      <w:sdtEndPr/>
      <w:sdtContent>
        <w:p w14:paraId="760494F1"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8D2C642" w14:textId="77777777" w:rsidR="00E57DAA" w:rsidRDefault="00E57DAA">
      <w:pPr>
        <w:rPr>
          <w:szCs w:val="21"/>
        </w:rPr>
      </w:pPr>
    </w:p>
    <w:bookmarkEnd w:id="248"/>
    <w:p w14:paraId="390C8A40" w14:textId="77777777" w:rsidR="00E57DAA" w:rsidRDefault="00E57DAA">
      <w:pPr>
        <w:rPr>
          <w:rFonts w:ascii="Calibri" w:hAnsi="Calibri" w:cs="Times New Roman"/>
          <w:b/>
          <w:bCs/>
          <w:szCs w:val="22"/>
        </w:rPr>
        <w:sectPr w:rsidR="00E57DAA" w:rsidSect="00226547">
          <w:pgSz w:w="16838" w:h="11906" w:orient="landscape"/>
          <w:pgMar w:top="1276" w:right="1440" w:bottom="1797" w:left="1525" w:header="856" w:footer="992" w:gutter="0"/>
          <w:cols w:space="425"/>
          <w:docGrid w:linePitch="312"/>
        </w:sectPr>
      </w:pPr>
    </w:p>
    <w:p w14:paraId="31207C89" w14:textId="77777777" w:rsidR="00E57DAA" w:rsidRDefault="00E57DAA">
      <w:pPr>
        <w:rPr>
          <w:rFonts w:ascii="Calibri" w:hAnsi="Calibri" w:cs="Times New Roman"/>
          <w:b/>
          <w:bCs/>
          <w:szCs w:val="22"/>
        </w:rPr>
      </w:pPr>
    </w:p>
    <w:p w14:paraId="465671F4" w14:textId="77777777" w:rsidR="00E57DAA" w:rsidRDefault="00AC4185">
      <w:pPr>
        <w:pStyle w:val="4"/>
        <w:numPr>
          <w:ilvl w:val="3"/>
          <w:numId w:val="79"/>
        </w:numPr>
        <w:ind w:left="426" w:hanging="426"/>
        <w:rPr>
          <w:rFonts w:ascii="宋体" w:eastAsia="宋体" w:hAnsi="宋体" w:cs="宋体"/>
          <w:kern w:val="0"/>
          <w:szCs w:val="24"/>
        </w:rPr>
      </w:pPr>
      <w:r>
        <w:rPr>
          <w:rFonts w:ascii="宋体" w:eastAsia="宋体" w:hAnsi="宋体" w:cs="宋体" w:hint="eastAsia"/>
          <w:kern w:val="0"/>
          <w:szCs w:val="24"/>
        </w:rPr>
        <w:t>按预期信用损失一般模型计提坏账准备</w:t>
      </w:r>
    </w:p>
    <w:bookmarkStart w:id="249" w:name="_Hlk533872428" w:displacedByCustomXml="next"/>
    <w:sdt>
      <w:sdtPr>
        <w:alias w:val="是否适用：长期应收款坏账准备调节表[双击切换]"/>
        <w:tag w:val="_GBC_83c414b79fa243258be4f4c6998e475c"/>
        <w:id w:val="-1720425605"/>
        <w:placeholder>
          <w:docPart w:val="GBC22222222222222222222222222222"/>
        </w:placeholder>
      </w:sdtPr>
      <w:sdtEndPr/>
      <w:sdtContent>
        <w:p w14:paraId="7D5E83D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F4C605" w14:textId="77777777" w:rsidR="00E57DAA" w:rsidRDefault="00AC4185">
      <w:pPr>
        <w:autoSpaceDE w:val="0"/>
        <w:autoSpaceDN w:val="0"/>
        <w:adjustRightInd w:val="0"/>
        <w:ind w:rightChars="50" w:right="105"/>
        <w:jc w:val="right"/>
        <w:rPr>
          <w:szCs w:val="21"/>
        </w:rPr>
      </w:pPr>
      <w:r>
        <w:rPr>
          <w:rFonts w:hint="eastAsia"/>
          <w:szCs w:val="21"/>
        </w:rPr>
        <w:t>单位：</w:t>
      </w:r>
      <w:sdt>
        <w:sdtPr>
          <w:rPr>
            <w:rFonts w:hint="eastAsia"/>
            <w:szCs w:val="21"/>
          </w:rPr>
          <w:alias w:val="单位：长期应收款坏账准备调节表"/>
          <w:tag w:val="_GBC_7d2528c518494f00b0f6d9873d82b6b8"/>
          <w:id w:val="-10695779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收款坏账准备调节表"/>
          <w:tag w:val="_GBC_5c4daf2984c3464ea5f009d8fc6503d4"/>
          <w:id w:val="17738189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1278"/>
        <w:gridCol w:w="1842"/>
        <w:gridCol w:w="1842"/>
        <w:gridCol w:w="1599"/>
      </w:tblGrid>
      <w:tr w:rsidR="00E57DAA" w14:paraId="51D6109B" w14:textId="77777777">
        <w:sdt>
          <w:sdtPr>
            <w:rPr>
              <w:rFonts w:asciiTheme="minorEastAsia" w:eastAsiaTheme="minorEastAsia" w:hAnsiTheme="minorEastAsia"/>
              <w:sz w:val="18"/>
              <w:szCs w:val="18"/>
            </w:rPr>
            <w:tag w:val="_PLD_53e254a36bf74b8aa6d62ff3627bc51c"/>
            <w:id w:val="-858128595"/>
          </w:sdtPr>
          <w:sdtEndPr/>
          <w:sdtContent>
            <w:tc>
              <w:tcPr>
                <w:tcW w:w="1282" w:type="pct"/>
                <w:vMerge w:val="restart"/>
                <w:vAlign w:val="center"/>
              </w:tcPr>
              <w:p w14:paraId="225D6B7C"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坏账</w:t>
                </w:r>
                <w:r>
                  <w:rPr>
                    <w:rFonts w:asciiTheme="minorEastAsia" w:eastAsiaTheme="minorEastAsia" w:hAnsiTheme="minorEastAsia"/>
                    <w:sz w:val="18"/>
                    <w:szCs w:val="18"/>
                  </w:rPr>
                  <w:t>准备</w:t>
                </w:r>
              </w:p>
            </w:tc>
          </w:sdtContent>
        </w:sdt>
        <w:sdt>
          <w:sdtPr>
            <w:rPr>
              <w:rFonts w:asciiTheme="minorEastAsia" w:eastAsiaTheme="minorEastAsia" w:hAnsiTheme="minorEastAsia"/>
              <w:sz w:val="18"/>
              <w:szCs w:val="18"/>
            </w:rPr>
            <w:tag w:val="_PLD_6728ea3d5ef54c4dbe708cf82174dd20"/>
            <w:id w:val="-733387393"/>
          </w:sdtPr>
          <w:sdtEndPr/>
          <w:sdtContent>
            <w:tc>
              <w:tcPr>
                <w:tcW w:w="724" w:type="pct"/>
                <w:vAlign w:val="center"/>
              </w:tcPr>
              <w:p w14:paraId="74F13A54"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第一阶段</w:t>
                </w:r>
              </w:p>
            </w:tc>
          </w:sdtContent>
        </w:sdt>
        <w:sdt>
          <w:sdtPr>
            <w:rPr>
              <w:rFonts w:asciiTheme="minorEastAsia" w:eastAsiaTheme="minorEastAsia" w:hAnsiTheme="minorEastAsia"/>
              <w:sz w:val="18"/>
              <w:szCs w:val="18"/>
            </w:rPr>
            <w:tag w:val="_PLD_02047fc355b74a09b8b179812acc2694"/>
            <w:id w:val="-6832496"/>
          </w:sdtPr>
          <w:sdtEndPr/>
          <w:sdtContent>
            <w:tc>
              <w:tcPr>
                <w:tcW w:w="1044" w:type="pct"/>
                <w:vAlign w:val="center"/>
              </w:tcPr>
              <w:p w14:paraId="655790E4"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第二阶段</w:t>
                </w:r>
              </w:p>
            </w:tc>
          </w:sdtContent>
        </w:sdt>
        <w:sdt>
          <w:sdtPr>
            <w:rPr>
              <w:rFonts w:asciiTheme="minorEastAsia" w:eastAsiaTheme="minorEastAsia" w:hAnsiTheme="minorEastAsia"/>
              <w:sz w:val="18"/>
              <w:szCs w:val="18"/>
            </w:rPr>
            <w:tag w:val="_PLD_e5935642877d42508a235dc58315a0f2"/>
            <w:id w:val="-236720026"/>
          </w:sdtPr>
          <w:sdtEndPr/>
          <w:sdtContent>
            <w:tc>
              <w:tcPr>
                <w:tcW w:w="1044" w:type="pct"/>
                <w:vAlign w:val="center"/>
              </w:tcPr>
              <w:p w14:paraId="6B5E55B7"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第三阶段</w:t>
                </w:r>
              </w:p>
            </w:tc>
          </w:sdtContent>
        </w:sdt>
        <w:sdt>
          <w:sdtPr>
            <w:rPr>
              <w:rFonts w:asciiTheme="minorEastAsia" w:eastAsiaTheme="minorEastAsia" w:hAnsiTheme="minorEastAsia"/>
              <w:sz w:val="18"/>
              <w:szCs w:val="18"/>
            </w:rPr>
            <w:tag w:val="_PLD_97eac4c32ede4977b86fdf2a821830f1"/>
            <w:id w:val="-497418145"/>
          </w:sdtPr>
          <w:sdtEndPr/>
          <w:sdtContent>
            <w:tc>
              <w:tcPr>
                <w:tcW w:w="906" w:type="pct"/>
                <w:vMerge w:val="restart"/>
                <w:vAlign w:val="center"/>
              </w:tcPr>
              <w:p w14:paraId="1D0B33FC"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合计</w:t>
                </w:r>
              </w:p>
            </w:tc>
          </w:sdtContent>
        </w:sdt>
      </w:tr>
      <w:tr w:rsidR="00E57DAA" w14:paraId="0558BD03" w14:textId="77777777">
        <w:tc>
          <w:tcPr>
            <w:tcW w:w="1282" w:type="pct"/>
            <w:vMerge/>
            <w:vAlign w:val="center"/>
          </w:tcPr>
          <w:p w14:paraId="1C47DDC8" w14:textId="77777777" w:rsidR="00E57DAA" w:rsidRDefault="00E57DAA" w:rsidP="00C25422">
            <w:pPr>
              <w:pStyle w:val="250"/>
            </w:pPr>
          </w:p>
        </w:tc>
        <w:sdt>
          <w:sdtPr>
            <w:rPr>
              <w:rFonts w:asciiTheme="minorEastAsia" w:eastAsiaTheme="minorEastAsia" w:hAnsiTheme="minorEastAsia"/>
              <w:sz w:val="18"/>
              <w:szCs w:val="18"/>
            </w:rPr>
            <w:tag w:val="_PLD_a2c40398df0245aca8ae9b95349e294a"/>
            <w:id w:val="1930226591"/>
          </w:sdtPr>
          <w:sdtEndPr/>
          <w:sdtContent>
            <w:tc>
              <w:tcPr>
                <w:tcW w:w="724" w:type="pct"/>
                <w:vAlign w:val="center"/>
              </w:tcPr>
              <w:p w14:paraId="0C140279"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未来12个月预期信用损失</w:t>
                </w:r>
              </w:p>
            </w:tc>
          </w:sdtContent>
        </w:sdt>
        <w:sdt>
          <w:sdtPr>
            <w:rPr>
              <w:rFonts w:asciiTheme="minorEastAsia" w:eastAsiaTheme="minorEastAsia" w:hAnsiTheme="minorEastAsia"/>
              <w:sz w:val="18"/>
              <w:szCs w:val="18"/>
            </w:rPr>
            <w:tag w:val="_PLD_0e42fbfea225447ba1a604708ea0e5cb"/>
            <w:id w:val="-1825584903"/>
          </w:sdtPr>
          <w:sdtEndPr/>
          <w:sdtContent>
            <w:tc>
              <w:tcPr>
                <w:tcW w:w="1044" w:type="pct"/>
                <w:vAlign w:val="center"/>
              </w:tcPr>
              <w:p w14:paraId="76AF9400"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整个存续期预期信用损失(未发生信用减值)</w:t>
                </w:r>
              </w:p>
            </w:tc>
          </w:sdtContent>
        </w:sdt>
        <w:sdt>
          <w:sdtPr>
            <w:rPr>
              <w:rFonts w:asciiTheme="minorEastAsia" w:eastAsiaTheme="minorEastAsia" w:hAnsiTheme="minorEastAsia"/>
              <w:sz w:val="18"/>
              <w:szCs w:val="18"/>
            </w:rPr>
            <w:tag w:val="_PLD_80c9178ef7da44f9a0fbcd79a28d1369"/>
            <w:id w:val="1307205896"/>
          </w:sdtPr>
          <w:sdtEndPr/>
          <w:sdtContent>
            <w:tc>
              <w:tcPr>
                <w:tcW w:w="1044" w:type="pct"/>
                <w:vAlign w:val="center"/>
              </w:tcPr>
              <w:p w14:paraId="48CDBF1B" w14:textId="77777777" w:rsidR="00E57DAA" w:rsidRDefault="00AC4185">
                <w:pPr>
                  <w:jc w:val="center"/>
                  <w:rPr>
                    <w:rFonts w:asciiTheme="minorEastAsia" w:eastAsiaTheme="minorEastAsia" w:hAnsiTheme="minorEastAsia"/>
                    <w:sz w:val="18"/>
                    <w:szCs w:val="18"/>
                  </w:rPr>
                </w:pPr>
                <w:r>
                  <w:rPr>
                    <w:rFonts w:asciiTheme="minorEastAsia" w:eastAsiaTheme="minorEastAsia" w:hAnsiTheme="minorEastAsia"/>
                    <w:sz w:val="18"/>
                    <w:szCs w:val="18"/>
                  </w:rPr>
                  <w:t>整个存续期预期信用损失(已发生信用减值)</w:t>
                </w:r>
              </w:p>
            </w:tc>
          </w:sdtContent>
        </w:sdt>
        <w:tc>
          <w:tcPr>
            <w:tcW w:w="906" w:type="pct"/>
            <w:vMerge/>
          </w:tcPr>
          <w:p w14:paraId="1829596F" w14:textId="77777777" w:rsidR="00E57DAA" w:rsidRDefault="00E57DAA">
            <w:pPr>
              <w:jc w:val="center"/>
              <w:rPr>
                <w:rFonts w:asciiTheme="minorEastAsia" w:eastAsiaTheme="minorEastAsia" w:hAnsiTheme="minorEastAsia"/>
                <w:szCs w:val="21"/>
              </w:rPr>
            </w:pPr>
          </w:p>
        </w:tc>
      </w:tr>
      <w:tr w:rsidR="00E57DAA" w14:paraId="2975ABE0" w14:textId="77777777">
        <w:tc>
          <w:tcPr>
            <w:tcW w:w="1282" w:type="pct"/>
            <w:vAlign w:val="center"/>
          </w:tcPr>
          <w:p w14:paraId="3857CCB8" w14:textId="77777777" w:rsidR="00E57DAA" w:rsidRDefault="00AC4185" w:rsidP="00C25422">
            <w:pPr>
              <w:pStyle w:val="250"/>
            </w:pPr>
            <w:r>
              <w:t>2023年</w:t>
            </w:r>
            <w:r>
              <w:rPr>
                <w:rFonts w:hint="eastAsia"/>
              </w:rPr>
              <w:t>1月1日余额</w:t>
            </w:r>
          </w:p>
        </w:tc>
        <w:tc>
          <w:tcPr>
            <w:tcW w:w="724" w:type="pct"/>
          </w:tcPr>
          <w:p w14:paraId="1B558444" w14:textId="77777777" w:rsidR="00E57DAA" w:rsidRDefault="00E57DAA">
            <w:pPr>
              <w:jc w:val="right"/>
              <w:rPr>
                <w:rFonts w:asciiTheme="minorEastAsia" w:eastAsiaTheme="minorEastAsia" w:hAnsiTheme="minorEastAsia"/>
                <w:szCs w:val="21"/>
              </w:rPr>
            </w:pPr>
          </w:p>
        </w:tc>
        <w:tc>
          <w:tcPr>
            <w:tcW w:w="1044" w:type="pct"/>
            <w:vAlign w:val="center"/>
          </w:tcPr>
          <w:p w14:paraId="3ABFDAE0"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9,739,049.58</w:t>
            </w:r>
          </w:p>
        </w:tc>
        <w:tc>
          <w:tcPr>
            <w:tcW w:w="1044" w:type="pct"/>
            <w:vAlign w:val="center"/>
          </w:tcPr>
          <w:p w14:paraId="6D3CA9BA" w14:textId="77777777" w:rsidR="00E57DAA" w:rsidRDefault="00E57DAA">
            <w:pPr>
              <w:jc w:val="right"/>
              <w:rPr>
                <w:rFonts w:asciiTheme="minorEastAsia" w:eastAsiaTheme="minorEastAsia" w:hAnsiTheme="minorEastAsia"/>
                <w:sz w:val="18"/>
                <w:szCs w:val="18"/>
              </w:rPr>
            </w:pPr>
          </w:p>
        </w:tc>
        <w:tc>
          <w:tcPr>
            <w:tcW w:w="906" w:type="pct"/>
            <w:vAlign w:val="center"/>
          </w:tcPr>
          <w:p w14:paraId="4B48230E"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9,739,049.58</w:t>
            </w:r>
          </w:p>
        </w:tc>
      </w:tr>
      <w:tr w:rsidR="00E57DAA" w14:paraId="769DB467" w14:textId="77777777">
        <w:trPr>
          <w:trHeight w:val="408"/>
        </w:trPr>
        <w:tc>
          <w:tcPr>
            <w:tcW w:w="1282" w:type="pct"/>
            <w:vAlign w:val="center"/>
          </w:tcPr>
          <w:p w14:paraId="224F7769" w14:textId="77777777" w:rsidR="00E57DAA" w:rsidRDefault="00AC4185" w:rsidP="00C25422">
            <w:pPr>
              <w:pStyle w:val="250"/>
            </w:pPr>
            <w:r>
              <w:rPr>
                <w:rFonts w:hint="eastAsia"/>
              </w:rPr>
              <w:t>2023年1月1日余额在本期</w:t>
            </w:r>
          </w:p>
        </w:tc>
        <w:tc>
          <w:tcPr>
            <w:tcW w:w="724" w:type="pct"/>
          </w:tcPr>
          <w:p w14:paraId="5DA4B21D" w14:textId="77777777" w:rsidR="00E57DAA" w:rsidRDefault="00E57DAA">
            <w:pPr>
              <w:jc w:val="right"/>
              <w:rPr>
                <w:rFonts w:asciiTheme="minorEastAsia" w:eastAsiaTheme="minorEastAsia" w:hAnsiTheme="minorEastAsia"/>
                <w:szCs w:val="21"/>
              </w:rPr>
            </w:pPr>
          </w:p>
        </w:tc>
        <w:tc>
          <w:tcPr>
            <w:tcW w:w="1044" w:type="pct"/>
          </w:tcPr>
          <w:p w14:paraId="1251DA81" w14:textId="77777777" w:rsidR="00E57DAA" w:rsidRDefault="00E57DAA">
            <w:pPr>
              <w:jc w:val="right"/>
              <w:rPr>
                <w:rFonts w:asciiTheme="minorEastAsia" w:eastAsiaTheme="minorEastAsia" w:hAnsiTheme="minorEastAsia"/>
                <w:sz w:val="18"/>
                <w:szCs w:val="18"/>
              </w:rPr>
            </w:pPr>
          </w:p>
        </w:tc>
        <w:tc>
          <w:tcPr>
            <w:tcW w:w="1044" w:type="pct"/>
          </w:tcPr>
          <w:p w14:paraId="693843C7" w14:textId="77777777" w:rsidR="00E57DAA" w:rsidRDefault="00E57DAA">
            <w:pPr>
              <w:jc w:val="right"/>
              <w:rPr>
                <w:rFonts w:asciiTheme="minorEastAsia" w:eastAsiaTheme="minorEastAsia" w:hAnsiTheme="minorEastAsia"/>
                <w:sz w:val="18"/>
                <w:szCs w:val="18"/>
              </w:rPr>
            </w:pPr>
          </w:p>
        </w:tc>
        <w:tc>
          <w:tcPr>
            <w:tcW w:w="906" w:type="pct"/>
          </w:tcPr>
          <w:p w14:paraId="2E8D1CFC" w14:textId="77777777" w:rsidR="00E57DAA" w:rsidRDefault="00E57DAA">
            <w:pPr>
              <w:jc w:val="right"/>
              <w:rPr>
                <w:rFonts w:asciiTheme="minorEastAsia" w:eastAsiaTheme="minorEastAsia" w:hAnsiTheme="minorEastAsia"/>
                <w:sz w:val="18"/>
                <w:szCs w:val="18"/>
              </w:rPr>
            </w:pPr>
          </w:p>
        </w:tc>
      </w:tr>
      <w:tr w:rsidR="00E57DAA" w14:paraId="67DD8646" w14:textId="77777777">
        <w:tc>
          <w:tcPr>
            <w:tcW w:w="1282" w:type="pct"/>
            <w:vAlign w:val="center"/>
          </w:tcPr>
          <w:p w14:paraId="1B1ED0DA" w14:textId="77777777" w:rsidR="00E57DAA" w:rsidRDefault="00AC4185" w:rsidP="00C25422">
            <w:pPr>
              <w:pStyle w:val="250"/>
            </w:pPr>
            <w:r>
              <w:rPr>
                <w:rFonts w:hint="eastAsia"/>
              </w:rPr>
              <w:t>--</w:t>
            </w:r>
            <w:proofErr w:type="spellStart"/>
            <w:r>
              <w:rPr>
                <w:rFonts w:hint="eastAsia"/>
              </w:rPr>
              <w:t>转入第二阶段</w:t>
            </w:r>
            <w:proofErr w:type="spellEnd"/>
          </w:p>
        </w:tc>
        <w:tc>
          <w:tcPr>
            <w:tcW w:w="724" w:type="pct"/>
          </w:tcPr>
          <w:p w14:paraId="083EF15F" w14:textId="77777777" w:rsidR="00E57DAA" w:rsidRDefault="00E57DAA">
            <w:pPr>
              <w:jc w:val="right"/>
              <w:rPr>
                <w:rFonts w:asciiTheme="minorEastAsia" w:eastAsiaTheme="minorEastAsia" w:hAnsiTheme="minorEastAsia"/>
                <w:szCs w:val="21"/>
              </w:rPr>
            </w:pPr>
          </w:p>
        </w:tc>
        <w:tc>
          <w:tcPr>
            <w:tcW w:w="1044" w:type="pct"/>
          </w:tcPr>
          <w:p w14:paraId="71BE897F" w14:textId="77777777" w:rsidR="00E57DAA" w:rsidRDefault="00E57DAA">
            <w:pPr>
              <w:jc w:val="right"/>
              <w:rPr>
                <w:rFonts w:asciiTheme="minorEastAsia" w:eastAsiaTheme="minorEastAsia" w:hAnsiTheme="minorEastAsia"/>
                <w:sz w:val="18"/>
                <w:szCs w:val="18"/>
              </w:rPr>
            </w:pPr>
          </w:p>
        </w:tc>
        <w:tc>
          <w:tcPr>
            <w:tcW w:w="1044" w:type="pct"/>
          </w:tcPr>
          <w:p w14:paraId="35ADD1FC" w14:textId="77777777" w:rsidR="00E57DAA" w:rsidRDefault="00E57DAA">
            <w:pPr>
              <w:jc w:val="right"/>
              <w:rPr>
                <w:rFonts w:asciiTheme="minorEastAsia" w:eastAsiaTheme="minorEastAsia" w:hAnsiTheme="minorEastAsia"/>
                <w:sz w:val="18"/>
                <w:szCs w:val="18"/>
              </w:rPr>
            </w:pPr>
          </w:p>
        </w:tc>
        <w:tc>
          <w:tcPr>
            <w:tcW w:w="906" w:type="pct"/>
          </w:tcPr>
          <w:p w14:paraId="685D8C55" w14:textId="77777777" w:rsidR="00E57DAA" w:rsidRDefault="00E57DAA">
            <w:pPr>
              <w:jc w:val="right"/>
              <w:rPr>
                <w:rFonts w:asciiTheme="minorEastAsia" w:eastAsiaTheme="minorEastAsia" w:hAnsiTheme="minorEastAsia"/>
                <w:sz w:val="18"/>
                <w:szCs w:val="18"/>
              </w:rPr>
            </w:pPr>
          </w:p>
        </w:tc>
      </w:tr>
      <w:tr w:rsidR="00E57DAA" w14:paraId="61AF0E6B" w14:textId="77777777">
        <w:tc>
          <w:tcPr>
            <w:tcW w:w="1282" w:type="pct"/>
            <w:vAlign w:val="center"/>
          </w:tcPr>
          <w:p w14:paraId="38750CC3" w14:textId="77777777" w:rsidR="00E57DAA" w:rsidRDefault="00AC4185" w:rsidP="00C25422">
            <w:pPr>
              <w:pStyle w:val="250"/>
            </w:pPr>
            <w:r>
              <w:rPr>
                <w:rFonts w:hint="eastAsia"/>
              </w:rPr>
              <w:t>--</w:t>
            </w:r>
            <w:proofErr w:type="spellStart"/>
            <w:r>
              <w:rPr>
                <w:rFonts w:hint="eastAsia"/>
              </w:rPr>
              <w:t>转入第三阶段</w:t>
            </w:r>
            <w:proofErr w:type="spellEnd"/>
          </w:p>
        </w:tc>
        <w:tc>
          <w:tcPr>
            <w:tcW w:w="724" w:type="pct"/>
          </w:tcPr>
          <w:p w14:paraId="7D776CCD" w14:textId="77777777" w:rsidR="00E57DAA" w:rsidRDefault="00E57DAA">
            <w:pPr>
              <w:jc w:val="right"/>
              <w:rPr>
                <w:rFonts w:asciiTheme="minorEastAsia" w:eastAsiaTheme="minorEastAsia" w:hAnsiTheme="minorEastAsia"/>
                <w:szCs w:val="21"/>
              </w:rPr>
            </w:pPr>
          </w:p>
        </w:tc>
        <w:tc>
          <w:tcPr>
            <w:tcW w:w="1044" w:type="pct"/>
          </w:tcPr>
          <w:p w14:paraId="6995FE1D" w14:textId="77777777" w:rsidR="00E57DAA" w:rsidRDefault="00E57DAA">
            <w:pPr>
              <w:jc w:val="right"/>
              <w:rPr>
                <w:rFonts w:asciiTheme="minorEastAsia" w:eastAsiaTheme="minorEastAsia" w:hAnsiTheme="minorEastAsia"/>
                <w:sz w:val="18"/>
                <w:szCs w:val="18"/>
              </w:rPr>
            </w:pPr>
          </w:p>
        </w:tc>
        <w:tc>
          <w:tcPr>
            <w:tcW w:w="1044" w:type="pct"/>
          </w:tcPr>
          <w:p w14:paraId="3A42924D" w14:textId="77777777" w:rsidR="00E57DAA" w:rsidRDefault="00E57DAA">
            <w:pPr>
              <w:jc w:val="right"/>
              <w:rPr>
                <w:rFonts w:asciiTheme="minorEastAsia" w:eastAsiaTheme="minorEastAsia" w:hAnsiTheme="minorEastAsia"/>
                <w:sz w:val="18"/>
                <w:szCs w:val="18"/>
              </w:rPr>
            </w:pPr>
          </w:p>
        </w:tc>
        <w:tc>
          <w:tcPr>
            <w:tcW w:w="906" w:type="pct"/>
          </w:tcPr>
          <w:p w14:paraId="26F35FCD" w14:textId="77777777" w:rsidR="00E57DAA" w:rsidRDefault="00E57DAA">
            <w:pPr>
              <w:jc w:val="right"/>
              <w:rPr>
                <w:rFonts w:asciiTheme="minorEastAsia" w:eastAsiaTheme="minorEastAsia" w:hAnsiTheme="minorEastAsia"/>
                <w:sz w:val="18"/>
                <w:szCs w:val="18"/>
              </w:rPr>
            </w:pPr>
          </w:p>
        </w:tc>
      </w:tr>
      <w:tr w:rsidR="00E57DAA" w14:paraId="0E580EDA" w14:textId="77777777">
        <w:tc>
          <w:tcPr>
            <w:tcW w:w="1282" w:type="pct"/>
            <w:vAlign w:val="center"/>
          </w:tcPr>
          <w:p w14:paraId="13C8FBA3" w14:textId="77777777" w:rsidR="00E57DAA" w:rsidRDefault="00AC4185" w:rsidP="00C25422">
            <w:pPr>
              <w:pStyle w:val="250"/>
            </w:pPr>
            <w:r>
              <w:rPr>
                <w:rFonts w:hint="eastAsia"/>
              </w:rPr>
              <w:t>--</w:t>
            </w:r>
            <w:proofErr w:type="spellStart"/>
            <w:r>
              <w:rPr>
                <w:rFonts w:hint="eastAsia"/>
              </w:rPr>
              <w:t>转回第二阶段</w:t>
            </w:r>
            <w:proofErr w:type="spellEnd"/>
          </w:p>
        </w:tc>
        <w:tc>
          <w:tcPr>
            <w:tcW w:w="724" w:type="pct"/>
          </w:tcPr>
          <w:p w14:paraId="206A4ABF" w14:textId="77777777" w:rsidR="00E57DAA" w:rsidRDefault="00E57DAA">
            <w:pPr>
              <w:jc w:val="right"/>
              <w:rPr>
                <w:rFonts w:asciiTheme="minorEastAsia" w:eastAsiaTheme="minorEastAsia" w:hAnsiTheme="minorEastAsia"/>
                <w:szCs w:val="21"/>
              </w:rPr>
            </w:pPr>
          </w:p>
        </w:tc>
        <w:tc>
          <w:tcPr>
            <w:tcW w:w="1044" w:type="pct"/>
          </w:tcPr>
          <w:p w14:paraId="28C25383" w14:textId="77777777" w:rsidR="00E57DAA" w:rsidRDefault="00E57DAA">
            <w:pPr>
              <w:jc w:val="right"/>
              <w:rPr>
                <w:rFonts w:asciiTheme="minorEastAsia" w:eastAsiaTheme="minorEastAsia" w:hAnsiTheme="minorEastAsia"/>
                <w:sz w:val="18"/>
                <w:szCs w:val="18"/>
              </w:rPr>
            </w:pPr>
          </w:p>
        </w:tc>
        <w:tc>
          <w:tcPr>
            <w:tcW w:w="1044" w:type="pct"/>
          </w:tcPr>
          <w:p w14:paraId="420A7F10" w14:textId="77777777" w:rsidR="00E57DAA" w:rsidRDefault="00E57DAA">
            <w:pPr>
              <w:jc w:val="right"/>
              <w:rPr>
                <w:rFonts w:asciiTheme="minorEastAsia" w:eastAsiaTheme="minorEastAsia" w:hAnsiTheme="minorEastAsia"/>
                <w:sz w:val="18"/>
                <w:szCs w:val="18"/>
              </w:rPr>
            </w:pPr>
          </w:p>
        </w:tc>
        <w:tc>
          <w:tcPr>
            <w:tcW w:w="906" w:type="pct"/>
          </w:tcPr>
          <w:p w14:paraId="27B964AD" w14:textId="77777777" w:rsidR="00E57DAA" w:rsidRDefault="00E57DAA">
            <w:pPr>
              <w:jc w:val="right"/>
              <w:rPr>
                <w:rFonts w:asciiTheme="minorEastAsia" w:eastAsiaTheme="minorEastAsia" w:hAnsiTheme="minorEastAsia"/>
                <w:sz w:val="18"/>
                <w:szCs w:val="18"/>
              </w:rPr>
            </w:pPr>
          </w:p>
        </w:tc>
      </w:tr>
      <w:tr w:rsidR="00E57DAA" w14:paraId="2B4ADED0" w14:textId="77777777">
        <w:tc>
          <w:tcPr>
            <w:tcW w:w="1282" w:type="pct"/>
            <w:vAlign w:val="center"/>
          </w:tcPr>
          <w:p w14:paraId="633E780A" w14:textId="77777777" w:rsidR="00E57DAA" w:rsidRDefault="00AC4185" w:rsidP="00C25422">
            <w:pPr>
              <w:pStyle w:val="250"/>
            </w:pPr>
            <w:r>
              <w:rPr>
                <w:rFonts w:hint="eastAsia"/>
              </w:rPr>
              <w:t>--</w:t>
            </w:r>
            <w:proofErr w:type="spellStart"/>
            <w:r>
              <w:rPr>
                <w:rFonts w:hint="eastAsia"/>
              </w:rPr>
              <w:t>转回第一阶段</w:t>
            </w:r>
            <w:proofErr w:type="spellEnd"/>
          </w:p>
        </w:tc>
        <w:tc>
          <w:tcPr>
            <w:tcW w:w="724" w:type="pct"/>
          </w:tcPr>
          <w:p w14:paraId="6E901656" w14:textId="77777777" w:rsidR="00E57DAA" w:rsidRDefault="00E57DAA">
            <w:pPr>
              <w:jc w:val="right"/>
              <w:rPr>
                <w:rFonts w:asciiTheme="minorEastAsia" w:eastAsiaTheme="minorEastAsia" w:hAnsiTheme="minorEastAsia"/>
                <w:szCs w:val="21"/>
              </w:rPr>
            </w:pPr>
          </w:p>
        </w:tc>
        <w:tc>
          <w:tcPr>
            <w:tcW w:w="1044" w:type="pct"/>
          </w:tcPr>
          <w:p w14:paraId="28B5C101" w14:textId="77777777" w:rsidR="00E57DAA" w:rsidRDefault="00E57DAA">
            <w:pPr>
              <w:jc w:val="right"/>
              <w:rPr>
                <w:rFonts w:asciiTheme="minorEastAsia" w:eastAsiaTheme="minorEastAsia" w:hAnsiTheme="minorEastAsia"/>
                <w:sz w:val="18"/>
                <w:szCs w:val="18"/>
              </w:rPr>
            </w:pPr>
          </w:p>
        </w:tc>
        <w:tc>
          <w:tcPr>
            <w:tcW w:w="1044" w:type="pct"/>
          </w:tcPr>
          <w:p w14:paraId="5FB9FC3B" w14:textId="77777777" w:rsidR="00E57DAA" w:rsidRDefault="00E57DAA">
            <w:pPr>
              <w:jc w:val="right"/>
              <w:rPr>
                <w:rFonts w:asciiTheme="minorEastAsia" w:eastAsiaTheme="minorEastAsia" w:hAnsiTheme="minorEastAsia"/>
                <w:sz w:val="18"/>
                <w:szCs w:val="18"/>
              </w:rPr>
            </w:pPr>
          </w:p>
        </w:tc>
        <w:tc>
          <w:tcPr>
            <w:tcW w:w="906" w:type="pct"/>
          </w:tcPr>
          <w:p w14:paraId="7D0E5E76" w14:textId="77777777" w:rsidR="00E57DAA" w:rsidRDefault="00E57DAA">
            <w:pPr>
              <w:jc w:val="right"/>
              <w:rPr>
                <w:rFonts w:asciiTheme="minorEastAsia" w:eastAsiaTheme="minorEastAsia" w:hAnsiTheme="minorEastAsia"/>
                <w:sz w:val="18"/>
                <w:szCs w:val="18"/>
              </w:rPr>
            </w:pPr>
          </w:p>
        </w:tc>
      </w:tr>
      <w:tr w:rsidR="00E57DAA" w14:paraId="068A4DFE" w14:textId="77777777">
        <w:tc>
          <w:tcPr>
            <w:tcW w:w="1282" w:type="pct"/>
            <w:vAlign w:val="center"/>
          </w:tcPr>
          <w:p w14:paraId="72529479" w14:textId="77777777" w:rsidR="00E57DAA" w:rsidRDefault="00AC4185" w:rsidP="00C25422">
            <w:pPr>
              <w:pStyle w:val="250"/>
            </w:pPr>
            <w:proofErr w:type="spellStart"/>
            <w:r>
              <w:rPr>
                <w:rFonts w:hint="eastAsia"/>
              </w:rPr>
              <w:t>本期计提</w:t>
            </w:r>
            <w:proofErr w:type="spellEnd"/>
          </w:p>
        </w:tc>
        <w:tc>
          <w:tcPr>
            <w:tcW w:w="724" w:type="pct"/>
          </w:tcPr>
          <w:p w14:paraId="6516C7A9" w14:textId="77777777" w:rsidR="00E57DAA" w:rsidRDefault="00E57DAA">
            <w:pPr>
              <w:jc w:val="right"/>
              <w:rPr>
                <w:rFonts w:asciiTheme="minorEastAsia" w:eastAsiaTheme="minorEastAsia" w:hAnsiTheme="minorEastAsia"/>
                <w:szCs w:val="21"/>
              </w:rPr>
            </w:pPr>
          </w:p>
        </w:tc>
        <w:tc>
          <w:tcPr>
            <w:tcW w:w="1044" w:type="pct"/>
            <w:vAlign w:val="center"/>
          </w:tcPr>
          <w:p w14:paraId="35F69934"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17,365,335.37</w:t>
            </w:r>
          </w:p>
        </w:tc>
        <w:tc>
          <w:tcPr>
            <w:tcW w:w="1044" w:type="pct"/>
            <w:vAlign w:val="center"/>
          </w:tcPr>
          <w:p w14:paraId="50602E91" w14:textId="77777777" w:rsidR="00E57DAA" w:rsidRDefault="00E57DAA">
            <w:pPr>
              <w:jc w:val="right"/>
              <w:rPr>
                <w:rFonts w:asciiTheme="minorEastAsia" w:eastAsiaTheme="minorEastAsia" w:hAnsiTheme="minorEastAsia"/>
                <w:sz w:val="18"/>
                <w:szCs w:val="18"/>
              </w:rPr>
            </w:pPr>
          </w:p>
        </w:tc>
        <w:tc>
          <w:tcPr>
            <w:tcW w:w="906" w:type="pct"/>
            <w:vAlign w:val="center"/>
          </w:tcPr>
          <w:p w14:paraId="14E73FE1"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17,365,335.37</w:t>
            </w:r>
          </w:p>
        </w:tc>
      </w:tr>
      <w:tr w:rsidR="00E57DAA" w14:paraId="72A71796" w14:textId="77777777">
        <w:tc>
          <w:tcPr>
            <w:tcW w:w="1282" w:type="pct"/>
            <w:vAlign w:val="center"/>
          </w:tcPr>
          <w:p w14:paraId="02DEC60B" w14:textId="77777777" w:rsidR="00E57DAA" w:rsidRDefault="00AC4185" w:rsidP="00C25422">
            <w:pPr>
              <w:pStyle w:val="250"/>
            </w:pPr>
            <w:proofErr w:type="spellStart"/>
            <w:r>
              <w:rPr>
                <w:rFonts w:hint="eastAsia"/>
              </w:rPr>
              <w:t>本期转回</w:t>
            </w:r>
            <w:proofErr w:type="spellEnd"/>
          </w:p>
        </w:tc>
        <w:tc>
          <w:tcPr>
            <w:tcW w:w="724" w:type="pct"/>
          </w:tcPr>
          <w:p w14:paraId="37605363" w14:textId="77777777" w:rsidR="00E57DAA" w:rsidRDefault="00E57DAA">
            <w:pPr>
              <w:jc w:val="right"/>
              <w:rPr>
                <w:rFonts w:asciiTheme="minorEastAsia" w:eastAsiaTheme="minorEastAsia" w:hAnsiTheme="minorEastAsia"/>
                <w:szCs w:val="21"/>
              </w:rPr>
            </w:pPr>
          </w:p>
        </w:tc>
        <w:tc>
          <w:tcPr>
            <w:tcW w:w="1044" w:type="pct"/>
            <w:vAlign w:val="center"/>
          </w:tcPr>
          <w:p w14:paraId="056BCA13" w14:textId="77777777" w:rsidR="00E57DAA" w:rsidRDefault="00E57DAA">
            <w:pPr>
              <w:jc w:val="right"/>
              <w:rPr>
                <w:rFonts w:asciiTheme="minorEastAsia" w:eastAsiaTheme="minorEastAsia" w:hAnsiTheme="minorEastAsia"/>
                <w:sz w:val="18"/>
                <w:szCs w:val="18"/>
              </w:rPr>
            </w:pPr>
          </w:p>
        </w:tc>
        <w:tc>
          <w:tcPr>
            <w:tcW w:w="1044" w:type="pct"/>
            <w:vAlign w:val="center"/>
          </w:tcPr>
          <w:p w14:paraId="1333DB80" w14:textId="77777777" w:rsidR="00E57DAA" w:rsidRDefault="00E57DAA">
            <w:pPr>
              <w:jc w:val="right"/>
              <w:rPr>
                <w:rFonts w:asciiTheme="minorEastAsia" w:eastAsiaTheme="minorEastAsia" w:hAnsiTheme="minorEastAsia"/>
                <w:sz w:val="18"/>
                <w:szCs w:val="18"/>
              </w:rPr>
            </w:pPr>
          </w:p>
        </w:tc>
        <w:tc>
          <w:tcPr>
            <w:tcW w:w="906" w:type="pct"/>
            <w:vAlign w:val="center"/>
          </w:tcPr>
          <w:p w14:paraId="47787180" w14:textId="77777777" w:rsidR="00E57DAA" w:rsidRDefault="00E57DAA">
            <w:pPr>
              <w:jc w:val="right"/>
              <w:rPr>
                <w:rFonts w:asciiTheme="minorEastAsia" w:eastAsiaTheme="minorEastAsia" w:hAnsiTheme="minorEastAsia"/>
                <w:sz w:val="18"/>
                <w:szCs w:val="18"/>
              </w:rPr>
            </w:pPr>
          </w:p>
        </w:tc>
      </w:tr>
      <w:tr w:rsidR="00E57DAA" w14:paraId="761C525F" w14:textId="77777777">
        <w:tc>
          <w:tcPr>
            <w:tcW w:w="1282" w:type="pct"/>
            <w:vAlign w:val="center"/>
          </w:tcPr>
          <w:p w14:paraId="0F40B867" w14:textId="77777777" w:rsidR="00E57DAA" w:rsidRDefault="00AC4185" w:rsidP="00C25422">
            <w:pPr>
              <w:pStyle w:val="250"/>
            </w:pPr>
            <w:proofErr w:type="spellStart"/>
            <w:r>
              <w:rPr>
                <w:rFonts w:hint="eastAsia"/>
              </w:rPr>
              <w:t>本期转销</w:t>
            </w:r>
            <w:proofErr w:type="spellEnd"/>
          </w:p>
        </w:tc>
        <w:tc>
          <w:tcPr>
            <w:tcW w:w="724" w:type="pct"/>
          </w:tcPr>
          <w:p w14:paraId="40EEF1E7" w14:textId="77777777" w:rsidR="00E57DAA" w:rsidRDefault="00E57DAA">
            <w:pPr>
              <w:jc w:val="right"/>
              <w:rPr>
                <w:rFonts w:asciiTheme="minorEastAsia" w:eastAsiaTheme="minorEastAsia" w:hAnsiTheme="minorEastAsia"/>
                <w:szCs w:val="21"/>
              </w:rPr>
            </w:pPr>
          </w:p>
        </w:tc>
        <w:tc>
          <w:tcPr>
            <w:tcW w:w="1044" w:type="pct"/>
            <w:vAlign w:val="center"/>
          </w:tcPr>
          <w:p w14:paraId="29C30462" w14:textId="77777777" w:rsidR="00E57DAA" w:rsidRDefault="00E57DAA">
            <w:pPr>
              <w:jc w:val="right"/>
              <w:rPr>
                <w:rFonts w:asciiTheme="minorEastAsia" w:eastAsiaTheme="minorEastAsia" w:hAnsiTheme="minorEastAsia"/>
                <w:sz w:val="18"/>
                <w:szCs w:val="18"/>
              </w:rPr>
            </w:pPr>
          </w:p>
        </w:tc>
        <w:tc>
          <w:tcPr>
            <w:tcW w:w="1044" w:type="pct"/>
            <w:vAlign w:val="center"/>
          </w:tcPr>
          <w:p w14:paraId="398BF8CC" w14:textId="77777777" w:rsidR="00E57DAA" w:rsidRDefault="00E57DAA">
            <w:pPr>
              <w:jc w:val="right"/>
              <w:rPr>
                <w:rFonts w:asciiTheme="minorEastAsia" w:eastAsiaTheme="minorEastAsia" w:hAnsiTheme="minorEastAsia"/>
                <w:sz w:val="18"/>
                <w:szCs w:val="18"/>
              </w:rPr>
            </w:pPr>
          </w:p>
        </w:tc>
        <w:tc>
          <w:tcPr>
            <w:tcW w:w="906" w:type="pct"/>
            <w:vAlign w:val="center"/>
          </w:tcPr>
          <w:p w14:paraId="49D471BE" w14:textId="77777777" w:rsidR="00E57DAA" w:rsidRDefault="00E57DAA">
            <w:pPr>
              <w:jc w:val="right"/>
              <w:rPr>
                <w:rFonts w:asciiTheme="minorEastAsia" w:eastAsiaTheme="minorEastAsia" w:hAnsiTheme="minorEastAsia"/>
                <w:sz w:val="18"/>
                <w:szCs w:val="18"/>
              </w:rPr>
            </w:pPr>
          </w:p>
        </w:tc>
      </w:tr>
      <w:tr w:rsidR="00E57DAA" w14:paraId="2EF787C4" w14:textId="77777777">
        <w:tc>
          <w:tcPr>
            <w:tcW w:w="1282" w:type="pct"/>
            <w:vAlign w:val="center"/>
          </w:tcPr>
          <w:p w14:paraId="37910A3D" w14:textId="77777777" w:rsidR="00E57DAA" w:rsidRDefault="00AC4185" w:rsidP="00C25422">
            <w:pPr>
              <w:pStyle w:val="250"/>
            </w:pPr>
            <w:proofErr w:type="spellStart"/>
            <w:r>
              <w:rPr>
                <w:rFonts w:hint="eastAsia"/>
              </w:rPr>
              <w:t>本期核销</w:t>
            </w:r>
            <w:proofErr w:type="spellEnd"/>
          </w:p>
        </w:tc>
        <w:tc>
          <w:tcPr>
            <w:tcW w:w="724" w:type="pct"/>
          </w:tcPr>
          <w:p w14:paraId="52428639" w14:textId="77777777" w:rsidR="00E57DAA" w:rsidRDefault="00E57DAA">
            <w:pPr>
              <w:jc w:val="right"/>
              <w:rPr>
                <w:rFonts w:asciiTheme="minorEastAsia" w:eastAsiaTheme="minorEastAsia" w:hAnsiTheme="minorEastAsia"/>
                <w:szCs w:val="21"/>
              </w:rPr>
            </w:pPr>
          </w:p>
        </w:tc>
        <w:tc>
          <w:tcPr>
            <w:tcW w:w="1044" w:type="pct"/>
            <w:vAlign w:val="center"/>
          </w:tcPr>
          <w:p w14:paraId="5D241E29" w14:textId="77777777" w:rsidR="00E57DAA" w:rsidRDefault="00E57DAA">
            <w:pPr>
              <w:jc w:val="right"/>
              <w:rPr>
                <w:rFonts w:asciiTheme="minorEastAsia" w:eastAsiaTheme="minorEastAsia" w:hAnsiTheme="minorEastAsia"/>
                <w:sz w:val="18"/>
                <w:szCs w:val="18"/>
              </w:rPr>
            </w:pPr>
          </w:p>
        </w:tc>
        <w:tc>
          <w:tcPr>
            <w:tcW w:w="1044" w:type="pct"/>
            <w:vAlign w:val="center"/>
          </w:tcPr>
          <w:p w14:paraId="4DA5E27C" w14:textId="77777777" w:rsidR="00E57DAA" w:rsidRDefault="00E57DAA">
            <w:pPr>
              <w:jc w:val="right"/>
              <w:rPr>
                <w:rFonts w:asciiTheme="minorEastAsia" w:eastAsiaTheme="minorEastAsia" w:hAnsiTheme="minorEastAsia"/>
                <w:sz w:val="18"/>
                <w:szCs w:val="18"/>
              </w:rPr>
            </w:pPr>
          </w:p>
        </w:tc>
        <w:tc>
          <w:tcPr>
            <w:tcW w:w="906" w:type="pct"/>
            <w:vAlign w:val="center"/>
          </w:tcPr>
          <w:p w14:paraId="6FEE95D9" w14:textId="77777777" w:rsidR="00E57DAA" w:rsidRDefault="00E57DAA">
            <w:pPr>
              <w:jc w:val="right"/>
              <w:rPr>
                <w:rFonts w:asciiTheme="minorEastAsia" w:eastAsiaTheme="minorEastAsia" w:hAnsiTheme="minorEastAsia"/>
                <w:sz w:val="18"/>
                <w:szCs w:val="18"/>
              </w:rPr>
            </w:pPr>
          </w:p>
        </w:tc>
      </w:tr>
      <w:tr w:rsidR="00E57DAA" w14:paraId="733D93A1" w14:textId="77777777">
        <w:tc>
          <w:tcPr>
            <w:tcW w:w="1282" w:type="pct"/>
            <w:vAlign w:val="center"/>
          </w:tcPr>
          <w:p w14:paraId="69202D43" w14:textId="77777777" w:rsidR="00E57DAA" w:rsidRDefault="00AC4185" w:rsidP="00C25422">
            <w:pPr>
              <w:pStyle w:val="250"/>
            </w:pPr>
            <w:proofErr w:type="spellStart"/>
            <w:r>
              <w:rPr>
                <w:rFonts w:hint="eastAsia"/>
              </w:rPr>
              <w:t>其他变动</w:t>
            </w:r>
            <w:proofErr w:type="spellEnd"/>
          </w:p>
        </w:tc>
        <w:tc>
          <w:tcPr>
            <w:tcW w:w="724" w:type="pct"/>
          </w:tcPr>
          <w:p w14:paraId="127552FC" w14:textId="77777777" w:rsidR="00E57DAA" w:rsidRDefault="00E57DAA">
            <w:pPr>
              <w:jc w:val="right"/>
              <w:rPr>
                <w:rFonts w:asciiTheme="minorEastAsia" w:eastAsiaTheme="minorEastAsia" w:hAnsiTheme="minorEastAsia"/>
                <w:szCs w:val="21"/>
              </w:rPr>
            </w:pPr>
          </w:p>
        </w:tc>
        <w:tc>
          <w:tcPr>
            <w:tcW w:w="1044" w:type="pct"/>
            <w:vAlign w:val="center"/>
          </w:tcPr>
          <w:p w14:paraId="39FD59C0"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-23,045,647.06</w:t>
            </w:r>
          </w:p>
        </w:tc>
        <w:tc>
          <w:tcPr>
            <w:tcW w:w="1044" w:type="pct"/>
            <w:vAlign w:val="center"/>
          </w:tcPr>
          <w:p w14:paraId="4768EA2D" w14:textId="77777777" w:rsidR="00E57DAA" w:rsidRDefault="00E57DAA">
            <w:pPr>
              <w:jc w:val="right"/>
              <w:rPr>
                <w:rFonts w:asciiTheme="minorEastAsia" w:eastAsiaTheme="minorEastAsia" w:hAnsiTheme="minorEastAsia"/>
                <w:sz w:val="18"/>
                <w:szCs w:val="18"/>
              </w:rPr>
            </w:pPr>
          </w:p>
        </w:tc>
        <w:tc>
          <w:tcPr>
            <w:tcW w:w="906" w:type="pct"/>
            <w:vAlign w:val="center"/>
          </w:tcPr>
          <w:p w14:paraId="1EEC8882"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-23,045,647.06</w:t>
            </w:r>
          </w:p>
        </w:tc>
      </w:tr>
      <w:tr w:rsidR="00E57DAA" w14:paraId="031B1104" w14:textId="77777777">
        <w:tc>
          <w:tcPr>
            <w:tcW w:w="1282" w:type="pct"/>
            <w:vAlign w:val="center"/>
          </w:tcPr>
          <w:p w14:paraId="1C556E5E" w14:textId="77777777" w:rsidR="00E57DAA" w:rsidRDefault="00AC4185" w:rsidP="00C25422">
            <w:pPr>
              <w:pStyle w:val="250"/>
            </w:pPr>
            <w:r>
              <w:t>2023年12月31日</w:t>
            </w:r>
            <w:r>
              <w:rPr>
                <w:rFonts w:hint="eastAsia"/>
              </w:rPr>
              <w:t>余额</w:t>
            </w:r>
          </w:p>
        </w:tc>
        <w:tc>
          <w:tcPr>
            <w:tcW w:w="724" w:type="pct"/>
          </w:tcPr>
          <w:p w14:paraId="1477CEC3" w14:textId="77777777" w:rsidR="00E57DAA" w:rsidRDefault="00E57DAA">
            <w:pPr>
              <w:jc w:val="right"/>
              <w:rPr>
                <w:rFonts w:asciiTheme="minorEastAsia" w:eastAsiaTheme="minorEastAsia" w:hAnsiTheme="minorEastAsia"/>
                <w:szCs w:val="21"/>
              </w:rPr>
            </w:pPr>
          </w:p>
        </w:tc>
        <w:tc>
          <w:tcPr>
            <w:tcW w:w="1044" w:type="pct"/>
            <w:vAlign w:val="center"/>
          </w:tcPr>
          <w:p w14:paraId="5343D4AC"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4,058,737.89</w:t>
            </w:r>
          </w:p>
        </w:tc>
        <w:tc>
          <w:tcPr>
            <w:tcW w:w="1044" w:type="pct"/>
            <w:vAlign w:val="center"/>
          </w:tcPr>
          <w:p w14:paraId="6C42AF69" w14:textId="77777777" w:rsidR="00E57DAA" w:rsidRDefault="00E57DAA">
            <w:pPr>
              <w:jc w:val="right"/>
              <w:rPr>
                <w:rFonts w:asciiTheme="minorEastAsia" w:eastAsiaTheme="minorEastAsia" w:hAnsiTheme="minorEastAsia"/>
                <w:sz w:val="18"/>
                <w:szCs w:val="18"/>
              </w:rPr>
            </w:pPr>
          </w:p>
        </w:tc>
        <w:tc>
          <w:tcPr>
            <w:tcW w:w="906" w:type="pct"/>
            <w:vAlign w:val="center"/>
          </w:tcPr>
          <w:p w14:paraId="555042AF" w14:textId="77777777" w:rsidR="00E57DAA" w:rsidRDefault="00AC4185">
            <w:pPr>
              <w:jc w:val="right"/>
              <w:rPr>
                <w:rFonts w:asciiTheme="minorEastAsia" w:eastAsiaTheme="minorEastAsia" w:hAnsiTheme="minorEastAsia"/>
                <w:sz w:val="18"/>
                <w:szCs w:val="18"/>
              </w:rPr>
            </w:pPr>
            <w:r>
              <w:rPr>
                <w:rFonts w:asciiTheme="minorEastAsia" w:eastAsiaTheme="minorEastAsia" w:hAnsiTheme="minorEastAsia"/>
                <w:sz w:val="18"/>
                <w:szCs w:val="18"/>
              </w:rPr>
              <w:t>4,058,737.89</w:t>
            </w:r>
          </w:p>
        </w:tc>
      </w:tr>
    </w:tbl>
    <w:p w14:paraId="406866F9" w14:textId="77777777" w:rsidR="00E57DAA" w:rsidRDefault="00E57DAA" w:rsidP="00C25422">
      <w:pPr>
        <w:pStyle w:val="92"/>
      </w:pPr>
    </w:p>
    <w:p w14:paraId="004331DC" w14:textId="77777777" w:rsidR="00E57DAA" w:rsidRDefault="00AC4185">
      <w:pPr>
        <w:pStyle w:val="45"/>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911239059"/>
        <w:placeholder>
          <w:docPart w:val="GBC22222222222222222222222222222"/>
        </w:placeholder>
      </w:sdtPr>
      <w:sdtEndPr/>
      <w:sdtContent>
        <w:p w14:paraId="2CDC6F6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49"/>
    <w:p w14:paraId="1FAAC240" w14:textId="77777777" w:rsidR="00E57DAA" w:rsidRDefault="00E57DAA">
      <w:pPr>
        <w:rPr>
          <w:szCs w:val="21"/>
        </w:rPr>
      </w:pPr>
    </w:p>
    <w:p w14:paraId="74EACE77" w14:textId="77777777" w:rsidR="00E57DAA" w:rsidRDefault="00AC4185">
      <w:pPr>
        <w:pStyle w:val="45"/>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141588325"/>
        <w:placeholder>
          <w:docPart w:val="GBC22222222222222222222222222222"/>
        </w:placeholder>
      </w:sdtPr>
      <w:sdtEndPr/>
      <w:sdtContent>
        <w:p w14:paraId="6EFF946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EE1AB3" w14:textId="77777777" w:rsidR="00E57DAA" w:rsidRDefault="00E57DAA">
      <w:pPr>
        <w:rPr>
          <w:szCs w:val="21"/>
        </w:rPr>
      </w:pPr>
    </w:p>
    <w:p w14:paraId="12831DAC" w14:textId="77777777" w:rsidR="00E57DAA" w:rsidRDefault="00AC4185">
      <w:pPr>
        <w:pStyle w:val="4"/>
        <w:numPr>
          <w:ilvl w:val="3"/>
          <w:numId w:val="79"/>
        </w:numPr>
        <w:ind w:left="426" w:hanging="426"/>
        <w:rPr>
          <w:rFonts w:ascii="宋体" w:eastAsia="宋体" w:hAnsi="宋体" w:cs="宋体"/>
          <w:kern w:val="0"/>
          <w:szCs w:val="24"/>
        </w:rPr>
      </w:pPr>
      <w:r>
        <w:rPr>
          <w:rFonts w:ascii="宋体" w:eastAsia="宋体" w:hAnsi="宋体" w:cs="宋体" w:hint="eastAsia"/>
          <w:kern w:val="0"/>
          <w:szCs w:val="24"/>
        </w:rPr>
        <w:t>坏账准备的情况</w:t>
      </w:r>
    </w:p>
    <w:bookmarkStart w:id="250" w:name="_Hlk154131356" w:displacedByCustomXml="next"/>
    <w:bookmarkStart w:id="251" w:name="_Hlk153457634" w:displacedByCustomXml="next"/>
    <w:sdt>
      <w:sdtPr>
        <w:alias w:val="是否适用：坏账准备情况[双击切换]"/>
        <w:tag w:val="_GBC_1878fe8dd18b4d7f9eb1b263bc7833d1"/>
        <w:id w:val="-154376135"/>
        <w:placeholder>
          <w:docPart w:val="GBC22222222222222222222222222222"/>
        </w:placeholder>
      </w:sdtPr>
      <w:sdtEndPr/>
      <w:sdtContent>
        <w:p w14:paraId="4B15FE6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CD10EE" w14:textId="77777777" w:rsidR="00E57DAA" w:rsidRDefault="00E57DAA" w:rsidP="00C25422">
      <w:pPr>
        <w:pStyle w:val="92"/>
      </w:pPr>
    </w:p>
    <w:p w14:paraId="470F42B1" w14:textId="77777777" w:rsidR="00E57DAA" w:rsidRDefault="00AC4185" w:rsidP="00C25422">
      <w:pPr>
        <w:pStyle w:val="92"/>
      </w:pPr>
      <w:r>
        <w:rPr>
          <w:rFonts w:hint="eastAsia"/>
        </w:rPr>
        <w:t>其中本期坏账准备收回或转回金额重要的：</w:t>
      </w:r>
    </w:p>
    <w:bookmarkEnd w:id="250" w:displacedByCustomXml="next"/>
    <w:sdt>
      <w:sdtPr>
        <w:alias w:val="是否适用：本期坏账准备收回或转回金额重要的[双击切换]"/>
        <w:tag w:val="_GBC_b4e3b5deca584587a596a753699de6b7"/>
        <w:id w:val="-1524692467"/>
        <w:placeholder>
          <w:docPart w:val="GBC22222222222222222222222222222"/>
        </w:placeholder>
      </w:sdtPr>
      <w:sdtEndPr/>
      <w:sdtContent>
        <w:p w14:paraId="2F7E5E0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EA6207" w14:textId="77777777" w:rsidR="00E57DAA" w:rsidRDefault="00E57DAA" w:rsidP="00C25422">
      <w:pPr>
        <w:pStyle w:val="92"/>
      </w:pPr>
    </w:p>
    <w:p w14:paraId="43BF6974" w14:textId="77777777" w:rsidR="00E57DAA" w:rsidRDefault="00AC4185">
      <w:pPr>
        <w:pStyle w:val="4"/>
        <w:numPr>
          <w:ilvl w:val="3"/>
          <w:numId w:val="79"/>
        </w:numPr>
        <w:ind w:left="426" w:hanging="426"/>
        <w:rPr>
          <w:rFonts w:ascii="宋体" w:eastAsia="宋体" w:hAnsi="宋体" w:cs="宋体"/>
          <w:kern w:val="0"/>
          <w:szCs w:val="24"/>
        </w:rPr>
      </w:pPr>
      <w:r>
        <w:rPr>
          <w:rFonts w:ascii="宋体" w:eastAsia="宋体" w:hAnsi="宋体" w:cs="宋体"/>
          <w:kern w:val="0"/>
          <w:szCs w:val="24"/>
        </w:rPr>
        <w:t>本期实际核销的</w:t>
      </w:r>
      <w:r>
        <w:rPr>
          <w:rFonts w:ascii="宋体" w:eastAsia="宋体" w:hAnsi="宋体" w:cs="宋体" w:hint="eastAsia"/>
          <w:kern w:val="0"/>
          <w:szCs w:val="24"/>
        </w:rPr>
        <w:t>长期应收款</w:t>
      </w:r>
      <w:r>
        <w:rPr>
          <w:rFonts w:ascii="宋体" w:eastAsia="宋体" w:hAnsi="宋体" w:cs="宋体"/>
          <w:kern w:val="0"/>
          <w:szCs w:val="24"/>
        </w:rPr>
        <w:t>情况</w:t>
      </w:r>
    </w:p>
    <w:sdt>
      <w:sdtPr>
        <w:alias w:val="是否适用：实际核销的情况[双击切换]"/>
        <w:tag w:val="_GBC_e9d4e4f95df144d1beb521844e7c35e7"/>
        <w:id w:val="-611429909"/>
        <w:placeholder>
          <w:docPart w:val="GBC22222222222222222222222222222"/>
        </w:placeholder>
      </w:sdtPr>
      <w:sdtEndPr/>
      <w:sdtContent>
        <w:p w14:paraId="213D68D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EC2147" w14:textId="77777777" w:rsidR="00E57DAA" w:rsidRDefault="00E57DAA">
      <w:pPr>
        <w:rPr>
          <w:szCs w:val="21"/>
        </w:rPr>
      </w:pPr>
    </w:p>
    <w:p w14:paraId="3CC56F78" w14:textId="77777777" w:rsidR="00E57DAA" w:rsidRDefault="00AC4185">
      <w:pPr>
        <w:rPr>
          <w:szCs w:val="21"/>
        </w:rPr>
      </w:pPr>
      <w:r>
        <w:rPr>
          <w:rFonts w:hint="eastAsia"/>
          <w:szCs w:val="21"/>
        </w:rPr>
        <w:t>其中重要的长期应收款核销情况</w:t>
      </w:r>
    </w:p>
    <w:sdt>
      <w:sdtPr>
        <w:rPr>
          <w:rFonts w:hint="eastAsia"/>
          <w:szCs w:val="21"/>
        </w:rPr>
        <w:alias w:val="是否适用：重要的核销情况[双击切换]"/>
        <w:tag w:val="_GBC_17fbcf123507404b9fc25df0517e3788"/>
        <w:id w:val="125354476"/>
        <w:placeholder>
          <w:docPart w:val="GBC22222222222222222222222222222"/>
        </w:placeholder>
      </w:sdtPr>
      <w:sdtEndPr/>
      <w:sdtContent>
        <w:p w14:paraId="7D521DC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4DCE5C" w14:textId="77777777" w:rsidR="00E57DAA" w:rsidRDefault="00E57DAA">
      <w:pPr>
        <w:rPr>
          <w:szCs w:val="21"/>
        </w:rPr>
      </w:pPr>
    </w:p>
    <w:p w14:paraId="0DF2828E" w14:textId="77777777" w:rsidR="00E57DAA" w:rsidRDefault="00AC4185">
      <w:pPr>
        <w:snapToGrid w:val="0"/>
        <w:spacing w:line="240" w:lineRule="atLeast"/>
        <w:rPr>
          <w:szCs w:val="21"/>
        </w:rPr>
      </w:pPr>
      <w:r>
        <w:rPr>
          <w:rFonts w:hint="eastAsia"/>
          <w:szCs w:val="21"/>
        </w:rPr>
        <w:t>长期应收款核销说明：</w:t>
      </w:r>
    </w:p>
    <w:sdt>
      <w:sdtPr>
        <w:rPr>
          <w:szCs w:val="21"/>
        </w:rPr>
        <w:alias w:val="是否适用：核销说明[双击切换]"/>
        <w:tag w:val="_GBC_b5e2283b2a954039b963ac2506245e4d"/>
        <w:id w:val="-523406726"/>
        <w:placeholder>
          <w:docPart w:val="GBC22222222222222222222222222222"/>
        </w:placeholder>
      </w:sdtPr>
      <w:sdtEndPr/>
      <w:sdtContent>
        <w:p w14:paraId="2B8740FA"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1"/>
    <w:p w14:paraId="7ED483EB" w14:textId="77777777" w:rsidR="00E57DAA" w:rsidRDefault="00E57DAA">
      <w:pPr>
        <w:rPr>
          <w:szCs w:val="21"/>
        </w:rPr>
      </w:pPr>
    </w:p>
    <w:p w14:paraId="39D5CB0D" w14:textId="77777777" w:rsidR="00E57DAA" w:rsidRDefault="00AC4185">
      <w:pPr>
        <w:rPr>
          <w:szCs w:val="21"/>
        </w:rPr>
      </w:pPr>
      <w:r>
        <w:rPr>
          <w:rFonts w:hint="eastAsia"/>
          <w:szCs w:val="21"/>
        </w:rPr>
        <w:t>其他说明</w:t>
      </w:r>
    </w:p>
    <w:sdt>
      <w:sdtPr>
        <w:rPr>
          <w:szCs w:val="21"/>
        </w:rPr>
        <w:alias w:val="是否适用：长期应收款的其他说明[双击切换]"/>
        <w:tag w:val="_GBC_374ef9a861254142b9ef8519d87eb5ac"/>
        <w:id w:val="-510770"/>
        <w:placeholder>
          <w:docPart w:val="GBC22222222222222222222222222222"/>
        </w:placeholder>
      </w:sdtPr>
      <w:sdtEndPr/>
      <w:sdtContent>
        <w:p w14:paraId="59DB9527"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F5D46E"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0CE362F2" w14:textId="77777777" w:rsidR="00E57DAA" w:rsidRDefault="00E57DAA">
      <w:pPr>
        <w:rPr>
          <w:szCs w:val="21"/>
        </w:rPr>
      </w:pPr>
    </w:p>
    <w:p w14:paraId="0A578F5F" w14:textId="77777777" w:rsidR="00E57DAA" w:rsidRDefault="00AC4185" w:rsidP="00C25422">
      <w:pPr>
        <w:pStyle w:val="91"/>
        <w:numPr>
          <w:ilvl w:val="0"/>
          <w:numId w:val="69"/>
        </w:numPr>
      </w:pPr>
      <w:r>
        <w:rPr>
          <w:rFonts w:hint="eastAsia"/>
        </w:rPr>
        <w:t>长期股权投资</w:t>
      </w:r>
    </w:p>
    <w:p w14:paraId="5C23DE7E" w14:textId="77777777" w:rsidR="00E57DAA" w:rsidRDefault="00AC4185">
      <w:pPr>
        <w:pStyle w:val="4"/>
        <w:numPr>
          <w:ilvl w:val="0"/>
          <w:numId w:val="80"/>
        </w:numPr>
      </w:pPr>
      <w:r>
        <w:rPr>
          <w:rFonts w:hint="eastAsia"/>
        </w:rPr>
        <w:t>长期股权投资情况</w:t>
      </w:r>
    </w:p>
    <w:bookmarkStart w:id="252" w:name="_Hlk152856977"/>
    <w:p w14:paraId="671B5D57" w14:textId="77777777" w:rsidR="00E57DAA" w:rsidRDefault="00EB41A1" w:rsidP="00C25422">
      <w:pPr>
        <w:pStyle w:val="92"/>
      </w:pPr>
      <w:sdt>
        <w:sdtPr>
          <w:rPr>
            <w:rFonts w:hint="eastAsia"/>
          </w:rPr>
          <w:alias w:val="是否适用：长期股权投资[双击切换]"/>
          <w:tag w:val="_GBC_94e2c461d3d34280a0a5f1e908656d3e"/>
          <w:id w:val="328175710"/>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1FD8BD15" w14:textId="77777777" w:rsidR="00E57DAA" w:rsidRDefault="00AC4185">
      <w:pPr>
        <w:jc w:val="right"/>
        <w:rPr>
          <w:szCs w:val="21"/>
        </w:rPr>
      </w:pPr>
      <w:r>
        <w:rPr>
          <w:rFonts w:hint="eastAsia"/>
          <w:szCs w:val="21"/>
        </w:rPr>
        <w:t>单位：</w:t>
      </w:r>
      <w:sdt>
        <w:sdtPr>
          <w:rPr>
            <w:rFonts w:hint="eastAsia"/>
            <w:szCs w:val="21"/>
          </w:rPr>
          <w:alias w:val="单位：财务附注：长期股权投资"/>
          <w:tag w:val="_GBC_9ef1128bd666425898c1d0386f4940f0"/>
          <w:id w:val="-8186515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2643852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1"/>
        <w:gridCol w:w="1336"/>
        <w:gridCol w:w="1453"/>
        <w:gridCol w:w="532"/>
        <w:gridCol w:w="1417"/>
        <w:gridCol w:w="1275"/>
        <w:gridCol w:w="1134"/>
        <w:gridCol w:w="1278"/>
        <w:gridCol w:w="707"/>
        <w:gridCol w:w="710"/>
        <w:gridCol w:w="1417"/>
        <w:gridCol w:w="543"/>
      </w:tblGrid>
      <w:tr w:rsidR="00E57DAA" w14:paraId="2900AF64" w14:textId="77777777">
        <w:bookmarkEnd w:id="252" w:displacedByCustomXml="next"/>
        <w:sdt>
          <w:sdtPr>
            <w:rPr>
              <w:sz w:val="15"/>
              <w:szCs w:val="15"/>
            </w:rPr>
            <w:tag w:val="_PLD_904000e8ce384d4988e09c22d5f8f725"/>
            <w:id w:val="-95641999"/>
          </w:sdtPr>
          <w:sdtEndPr/>
          <w:sdtContent>
            <w:tc>
              <w:tcPr>
                <w:tcW w:w="743" w:type="pct"/>
                <w:vMerge w:val="restart"/>
                <w:tcBorders>
                  <w:top w:val="single" w:sz="4" w:space="0" w:color="auto"/>
                  <w:left w:val="single" w:sz="4" w:space="0" w:color="auto"/>
                  <w:right w:val="single" w:sz="4" w:space="0" w:color="auto"/>
                </w:tcBorders>
                <w:shd w:val="clear" w:color="auto" w:fill="auto"/>
                <w:vAlign w:val="center"/>
              </w:tcPr>
              <w:p w14:paraId="58DA8660" w14:textId="77777777" w:rsidR="00E57DAA" w:rsidRDefault="00AC4185">
                <w:pPr>
                  <w:jc w:val="center"/>
                  <w:rPr>
                    <w:sz w:val="15"/>
                    <w:szCs w:val="15"/>
                  </w:rPr>
                </w:pPr>
                <w:r>
                  <w:rPr>
                    <w:rFonts w:hint="eastAsia"/>
                    <w:sz w:val="15"/>
                    <w:szCs w:val="15"/>
                  </w:rPr>
                  <w:t>被投资单位</w:t>
                </w:r>
              </w:p>
            </w:tc>
          </w:sdtContent>
        </w:sdt>
        <w:sdt>
          <w:sdtPr>
            <w:rPr>
              <w:sz w:val="15"/>
              <w:szCs w:val="15"/>
            </w:rPr>
            <w:tag w:val="_PLD_2325481f20324f949b4d5af7cfe3ea45"/>
            <w:id w:val="-1380470253"/>
          </w:sdtPr>
          <w:sdtEndPr/>
          <w:sdtContent>
            <w:tc>
              <w:tcPr>
                <w:tcW w:w="482" w:type="pct"/>
                <w:vMerge w:val="restart"/>
                <w:tcBorders>
                  <w:top w:val="single" w:sz="4" w:space="0" w:color="auto"/>
                  <w:left w:val="single" w:sz="4" w:space="0" w:color="auto"/>
                  <w:right w:val="single" w:sz="4" w:space="0" w:color="auto"/>
                </w:tcBorders>
                <w:shd w:val="clear" w:color="auto" w:fill="auto"/>
                <w:vAlign w:val="center"/>
              </w:tcPr>
              <w:p w14:paraId="5261F01C" w14:textId="77777777" w:rsidR="00E57DAA" w:rsidRDefault="00AC4185">
                <w:pPr>
                  <w:jc w:val="center"/>
                  <w:rPr>
                    <w:sz w:val="15"/>
                    <w:szCs w:val="15"/>
                  </w:rPr>
                </w:pPr>
                <w:r>
                  <w:rPr>
                    <w:rFonts w:hint="eastAsia"/>
                    <w:sz w:val="15"/>
                    <w:szCs w:val="15"/>
                  </w:rPr>
                  <w:t>期初</w:t>
                </w:r>
              </w:p>
              <w:p w14:paraId="124536D8" w14:textId="77777777" w:rsidR="00E57DAA" w:rsidRDefault="00AC4185">
                <w:pPr>
                  <w:jc w:val="center"/>
                  <w:rPr>
                    <w:sz w:val="15"/>
                    <w:szCs w:val="15"/>
                  </w:rPr>
                </w:pPr>
                <w:r>
                  <w:rPr>
                    <w:rFonts w:hint="eastAsia"/>
                    <w:sz w:val="15"/>
                    <w:szCs w:val="15"/>
                  </w:rPr>
                  <w:t>余额</w:t>
                </w:r>
              </w:p>
            </w:tc>
          </w:sdtContent>
        </w:sdt>
        <w:sdt>
          <w:sdtPr>
            <w:rPr>
              <w:sz w:val="15"/>
              <w:szCs w:val="15"/>
            </w:rPr>
            <w:tag w:val="_PLD_62e0836260734d34965d8070b1a6f2dd"/>
            <w:id w:val="-439835184"/>
          </w:sdtPr>
          <w:sdtEndPr/>
          <w:sdtContent>
            <w:tc>
              <w:tcPr>
                <w:tcW w:w="306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0455B9B0" w14:textId="77777777" w:rsidR="00E57DAA" w:rsidRDefault="00AC4185">
                <w:pPr>
                  <w:jc w:val="center"/>
                  <w:rPr>
                    <w:sz w:val="15"/>
                    <w:szCs w:val="15"/>
                  </w:rPr>
                </w:pPr>
                <w:r>
                  <w:rPr>
                    <w:rFonts w:hint="eastAsia"/>
                    <w:sz w:val="15"/>
                    <w:szCs w:val="15"/>
                  </w:rPr>
                  <w:t>本期增减变动</w:t>
                </w:r>
              </w:p>
            </w:tc>
          </w:sdtContent>
        </w:sdt>
        <w:sdt>
          <w:sdtPr>
            <w:rPr>
              <w:sz w:val="15"/>
              <w:szCs w:val="15"/>
            </w:rPr>
            <w:tag w:val="_PLD_7b9429fc29b64f4c83eea02ed0cad7ba"/>
            <w:id w:val="-1949532900"/>
          </w:sdtPr>
          <w:sdtEndPr/>
          <w:sdtContent>
            <w:tc>
              <w:tcPr>
                <w:tcW w:w="511" w:type="pct"/>
                <w:vMerge w:val="restart"/>
                <w:tcBorders>
                  <w:top w:val="single" w:sz="4" w:space="0" w:color="auto"/>
                  <w:left w:val="single" w:sz="4" w:space="0" w:color="auto"/>
                  <w:right w:val="single" w:sz="4" w:space="0" w:color="auto"/>
                </w:tcBorders>
                <w:shd w:val="clear" w:color="auto" w:fill="auto"/>
                <w:vAlign w:val="center"/>
              </w:tcPr>
              <w:p w14:paraId="67C157C5" w14:textId="77777777" w:rsidR="00E57DAA" w:rsidRDefault="00AC4185">
                <w:pPr>
                  <w:jc w:val="center"/>
                  <w:rPr>
                    <w:sz w:val="15"/>
                    <w:szCs w:val="15"/>
                  </w:rPr>
                </w:pPr>
                <w:r>
                  <w:rPr>
                    <w:rFonts w:hint="eastAsia"/>
                    <w:sz w:val="15"/>
                    <w:szCs w:val="15"/>
                  </w:rPr>
                  <w:t>期末</w:t>
                </w:r>
              </w:p>
              <w:p w14:paraId="7F5121AA" w14:textId="77777777" w:rsidR="00E57DAA" w:rsidRDefault="00AC4185">
                <w:pPr>
                  <w:jc w:val="center"/>
                  <w:rPr>
                    <w:sz w:val="15"/>
                    <w:szCs w:val="15"/>
                  </w:rPr>
                </w:pPr>
                <w:r>
                  <w:rPr>
                    <w:rFonts w:hint="eastAsia"/>
                    <w:sz w:val="15"/>
                    <w:szCs w:val="15"/>
                  </w:rPr>
                  <w:t>余额</w:t>
                </w:r>
              </w:p>
            </w:tc>
          </w:sdtContent>
        </w:sdt>
        <w:sdt>
          <w:sdtPr>
            <w:rPr>
              <w:sz w:val="15"/>
              <w:szCs w:val="15"/>
            </w:rPr>
            <w:tag w:val="_PLD_79298dc466f54a239357520005d5d0d6"/>
            <w:id w:val="112717518"/>
          </w:sdtPr>
          <w:sdtEndPr/>
          <w:sdtContent>
            <w:tc>
              <w:tcPr>
                <w:tcW w:w="196" w:type="pct"/>
                <w:vMerge w:val="restart"/>
                <w:tcBorders>
                  <w:top w:val="single" w:sz="4" w:space="0" w:color="auto"/>
                  <w:left w:val="single" w:sz="4" w:space="0" w:color="auto"/>
                  <w:right w:val="single" w:sz="4" w:space="0" w:color="auto"/>
                </w:tcBorders>
                <w:shd w:val="clear" w:color="auto" w:fill="auto"/>
                <w:vAlign w:val="center"/>
              </w:tcPr>
              <w:p w14:paraId="668575AF" w14:textId="77777777" w:rsidR="00E57DAA" w:rsidRDefault="00AC4185">
                <w:pPr>
                  <w:jc w:val="center"/>
                  <w:rPr>
                    <w:sz w:val="15"/>
                    <w:szCs w:val="15"/>
                  </w:rPr>
                </w:pPr>
                <w:r>
                  <w:rPr>
                    <w:rFonts w:hint="eastAsia"/>
                    <w:sz w:val="15"/>
                    <w:szCs w:val="15"/>
                  </w:rPr>
                  <w:t>减值准备期末余额</w:t>
                </w:r>
              </w:p>
            </w:tc>
          </w:sdtContent>
        </w:sdt>
      </w:tr>
      <w:tr w:rsidR="00E57DAA" w14:paraId="78F1E714" w14:textId="77777777">
        <w:tc>
          <w:tcPr>
            <w:tcW w:w="743" w:type="pct"/>
            <w:vMerge/>
            <w:tcBorders>
              <w:left w:val="single" w:sz="4" w:space="0" w:color="auto"/>
              <w:bottom w:val="single" w:sz="4" w:space="0" w:color="auto"/>
              <w:right w:val="single" w:sz="4" w:space="0" w:color="auto"/>
            </w:tcBorders>
            <w:shd w:val="clear" w:color="auto" w:fill="auto"/>
          </w:tcPr>
          <w:p w14:paraId="1A5549A0" w14:textId="77777777" w:rsidR="00E57DAA" w:rsidRDefault="00E57DAA">
            <w:pPr>
              <w:jc w:val="center"/>
              <w:rPr>
                <w:sz w:val="15"/>
                <w:szCs w:val="15"/>
              </w:rPr>
            </w:pPr>
          </w:p>
        </w:tc>
        <w:tc>
          <w:tcPr>
            <w:tcW w:w="482" w:type="pct"/>
            <w:vMerge/>
            <w:tcBorders>
              <w:left w:val="single" w:sz="4" w:space="0" w:color="auto"/>
              <w:bottom w:val="single" w:sz="4" w:space="0" w:color="auto"/>
              <w:right w:val="single" w:sz="4" w:space="0" w:color="auto"/>
            </w:tcBorders>
            <w:shd w:val="clear" w:color="auto" w:fill="auto"/>
          </w:tcPr>
          <w:p w14:paraId="54F63EBD" w14:textId="77777777" w:rsidR="00E57DAA" w:rsidRDefault="00E57DAA">
            <w:pPr>
              <w:jc w:val="center"/>
              <w:rPr>
                <w:sz w:val="15"/>
                <w:szCs w:val="15"/>
              </w:rPr>
            </w:pPr>
          </w:p>
        </w:tc>
        <w:sdt>
          <w:sdtPr>
            <w:rPr>
              <w:sz w:val="15"/>
              <w:szCs w:val="15"/>
            </w:rPr>
            <w:tag w:val="_PLD_32174384d8204c80ab4f8eb2ee1b7c00"/>
            <w:id w:val="-1304999052"/>
          </w:sdtPr>
          <w:sdtEndPr/>
          <w:sdtContent>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05D1BAAC" w14:textId="77777777" w:rsidR="00E57DAA" w:rsidRDefault="00AC4185">
                <w:pPr>
                  <w:jc w:val="center"/>
                  <w:rPr>
                    <w:sz w:val="15"/>
                    <w:szCs w:val="15"/>
                  </w:rPr>
                </w:pPr>
                <w:r>
                  <w:rPr>
                    <w:rFonts w:hint="eastAsia"/>
                    <w:sz w:val="15"/>
                    <w:szCs w:val="15"/>
                  </w:rPr>
                  <w:t>追加投资</w:t>
                </w:r>
              </w:p>
            </w:tc>
          </w:sdtContent>
        </w:sdt>
        <w:sdt>
          <w:sdtPr>
            <w:rPr>
              <w:sz w:val="15"/>
              <w:szCs w:val="15"/>
            </w:rPr>
            <w:tag w:val="_PLD_095046b604db44b8b22c0d62f18b7d7b"/>
            <w:id w:val="-489404983"/>
          </w:sdtPr>
          <w:sdtEndPr/>
          <w:sdtContent>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59F2FC13" w14:textId="77777777" w:rsidR="00E57DAA" w:rsidRDefault="00AC4185">
                <w:pPr>
                  <w:jc w:val="center"/>
                  <w:rPr>
                    <w:sz w:val="15"/>
                    <w:szCs w:val="15"/>
                  </w:rPr>
                </w:pPr>
                <w:r>
                  <w:rPr>
                    <w:rFonts w:hint="eastAsia"/>
                    <w:sz w:val="15"/>
                    <w:szCs w:val="15"/>
                  </w:rPr>
                  <w:t>减少投资</w:t>
                </w:r>
              </w:p>
            </w:tc>
          </w:sdtContent>
        </w:sdt>
        <w:sdt>
          <w:sdtPr>
            <w:rPr>
              <w:sz w:val="15"/>
              <w:szCs w:val="15"/>
            </w:rPr>
            <w:tag w:val="_PLD_6b1aa2f12a4b43c9acfdfe03af1b69b5"/>
            <w:id w:val="-1948388330"/>
          </w:sdtPr>
          <w:sdtEnd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9BD4974" w14:textId="77777777" w:rsidR="00E57DAA" w:rsidRDefault="00AC4185">
                <w:pPr>
                  <w:jc w:val="center"/>
                  <w:rPr>
                    <w:sz w:val="15"/>
                    <w:szCs w:val="15"/>
                  </w:rPr>
                </w:pPr>
                <w:r>
                  <w:rPr>
                    <w:rFonts w:hint="eastAsia"/>
                    <w:sz w:val="15"/>
                    <w:szCs w:val="15"/>
                  </w:rPr>
                  <w:t>权益法下确认的投资损益</w:t>
                </w:r>
              </w:p>
            </w:tc>
          </w:sdtContent>
        </w:sdt>
        <w:sdt>
          <w:sdtPr>
            <w:rPr>
              <w:sz w:val="15"/>
              <w:szCs w:val="15"/>
            </w:rPr>
            <w:tag w:val="_PLD_7843f54d0d14415a8d81c3e768bcd483"/>
            <w:id w:val="1725254781"/>
          </w:sdtPr>
          <w:sdtEndPr/>
          <w:sdtContent>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DB7DE33" w14:textId="77777777" w:rsidR="00E57DAA" w:rsidRDefault="00AC4185">
                <w:pPr>
                  <w:jc w:val="center"/>
                  <w:rPr>
                    <w:sz w:val="15"/>
                    <w:szCs w:val="15"/>
                  </w:rPr>
                </w:pPr>
                <w:r>
                  <w:rPr>
                    <w:rFonts w:hint="eastAsia"/>
                    <w:sz w:val="15"/>
                    <w:szCs w:val="15"/>
                  </w:rPr>
                  <w:t>其他综合收益调整</w:t>
                </w:r>
              </w:p>
            </w:tc>
          </w:sdtContent>
        </w:sdt>
        <w:sdt>
          <w:sdtPr>
            <w:rPr>
              <w:sz w:val="15"/>
              <w:szCs w:val="15"/>
            </w:rPr>
            <w:tag w:val="_PLD_dd698127723b4ea0815eca9ac49240a1"/>
            <w:id w:val="-1276713757"/>
          </w:sdtPr>
          <w:sdtEndPr/>
          <w:sdtContent>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21D43C6C" w14:textId="77777777" w:rsidR="00E57DAA" w:rsidRDefault="00AC4185">
                <w:pPr>
                  <w:jc w:val="center"/>
                  <w:rPr>
                    <w:sz w:val="15"/>
                    <w:szCs w:val="15"/>
                  </w:rPr>
                </w:pPr>
                <w:r>
                  <w:rPr>
                    <w:rFonts w:hint="eastAsia"/>
                    <w:sz w:val="15"/>
                    <w:szCs w:val="15"/>
                  </w:rPr>
                  <w:t>其他权益变动</w:t>
                </w:r>
              </w:p>
            </w:tc>
          </w:sdtContent>
        </w:sdt>
        <w:sdt>
          <w:sdtPr>
            <w:rPr>
              <w:sz w:val="15"/>
              <w:szCs w:val="15"/>
            </w:rPr>
            <w:tag w:val="_PLD_6d37a876ad014b7ba59d452d3d7f5f15"/>
            <w:id w:val="855688609"/>
          </w:sdtPr>
          <w:sdtEndPr/>
          <w:sdtContent>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661EB24E" w14:textId="77777777" w:rsidR="00E57DAA" w:rsidRDefault="00AC4185">
                <w:pPr>
                  <w:jc w:val="center"/>
                  <w:rPr>
                    <w:sz w:val="15"/>
                    <w:szCs w:val="15"/>
                  </w:rPr>
                </w:pPr>
                <w:r>
                  <w:rPr>
                    <w:rFonts w:hint="eastAsia"/>
                    <w:sz w:val="15"/>
                    <w:szCs w:val="15"/>
                  </w:rPr>
                  <w:t>宣告发放现金股利或利润</w:t>
                </w:r>
              </w:p>
            </w:tc>
          </w:sdtContent>
        </w:sdt>
        <w:sdt>
          <w:sdtPr>
            <w:rPr>
              <w:sz w:val="15"/>
              <w:szCs w:val="15"/>
            </w:rPr>
            <w:tag w:val="_PLD_050d96d5e62f42b9bb4f13a2ca047503"/>
            <w:id w:val="384454311"/>
          </w:sdtPr>
          <w:sdtEndPr/>
          <w:sdtContent>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2AB4795" w14:textId="77777777" w:rsidR="00E57DAA" w:rsidRDefault="00AC4185">
                <w:pPr>
                  <w:jc w:val="center"/>
                  <w:rPr>
                    <w:sz w:val="15"/>
                    <w:szCs w:val="15"/>
                  </w:rPr>
                </w:pPr>
                <w:r>
                  <w:rPr>
                    <w:rFonts w:hint="eastAsia"/>
                    <w:sz w:val="15"/>
                    <w:szCs w:val="15"/>
                  </w:rPr>
                  <w:t>计提减值准备</w:t>
                </w:r>
              </w:p>
            </w:tc>
          </w:sdtContent>
        </w:sdt>
        <w:sdt>
          <w:sdtPr>
            <w:rPr>
              <w:sz w:val="15"/>
              <w:szCs w:val="15"/>
            </w:rPr>
            <w:tag w:val="_PLD_add111e25b4543c48121d495919f2030"/>
            <w:id w:val="-1438052013"/>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FE5F286" w14:textId="77777777" w:rsidR="00E57DAA" w:rsidRDefault="00AC4185">
                <w:pPr>
                  <w:jc w:val="center"/>
                  <w:rPr>
                    <w:sz w:val="15"/>
                    <w:szCs w:val="15"/>
                  </w:rPr>
                </w:pPr>
                <w:r>
                  <w:rPr>
                    <w:rFonts w:hint="eastAsia"/>
                    <w:sz w:val="15"/>
                    <w:szCs w:val="15"/>
                  </w:rPr>
                  <w:t>其他</w:t>
                </w:r>
              </w:p>
            </w:tc>
          </w:sdtContent>
        </w:sdt>
        <w:tc>
          <w:tcPr>
            <w:tcW w:w="511" w:type="pct"/>
            <w:vMerge/>
            <w:tcBorders>
              <w:left w:val="single" w:sz="4" w:space="0" w:color="auto"/>
              <w:bottom w:val="single" w:sz="4" w:space="0" w:color="auto"/>
              <w:right w:val="single" w:sz="4" w:space="0" w:color="auto"/>
            </w:tcBorders>
            <w:shd w:val="clear" w:color="auto" w:fill="auto"/>
            <w:vAlign w:val="center"/>
          </w:tcPr>
          <w:p w14:paraId="7395DEE3" w14:textId="77777777" w:rsidR="00E57DAA" w:rsidRDefault="00E57DAA">
            <w:pPr>
              <w:jc w:val="center"/>
              <w:rPr>
                <w:sz w:val="15"/>
                <w:szCs w:val="15"/>
              </w:rPr>
            </w:pPr>
          </w:p>
        </w:tc>
        <w:tc>
          <w:tcPr>
            <w:tcW w:w="196" w:type="pct"/>
            <w:vMerge/>
            <w:tcBorders>
              <w:left w:val="single" w:sz="4" w:space="0" w:color="auto"/>
              <w:bottom w:val="single" w:sz="4" w:space="0" w:color="auto"/>
              <w:right w:val="single" w:sz="4" w:space="0" w:color="auto"/>
            </w:tcBorders>
            <w:shd w:val="clear" w:color="auto" w:fill="auto"/>
            <w:vAlign w:val="center"/>
          </w:tcPr>
          <w:p w14:paraId="57948CFF" w14:textId="77777777" w:rsidR="00E57DAA" w:rsidRDefault="00E57DAA">
            <w:pPr>
              <w:jc w:val="center"/>
              <w:rPr>
                <w:sz w:val="15"/>
                <w:szCs w:val="15"/>
              </w:rPr>
            </w:pPr>
          </w:p>
        </w:tc>
      </w:tr>
      <w:tr w:rsidR="00E57DAA" w14:paraId="349582B0" w14:textId="77777777">
        <w:sdt>
          <w:sdtPr>
            <w:rPr>
              <w:sz w:val="15"/>
              <w:szCs w:val="15"/>
            </w:rPr>
            <w:tag w:val="_PLD_35b755e14b594e4c91e0b7c9ecb32e60"/>
            <w:id w:val="-330755651"/>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733ADF4D" w14:textId="77777777" w:rsidR="00E57DAA" w:rsidRDefault="00AC4185">
                <w:pPr>
                  <w:rPr>
                    <w:sz w:val="15"/>
                    <w:szCs w:val="15"/>
                  </w:rPr>
                </w:pPr>
                <w:r>
                  <w:rPr>
                    <w:rFonts w:hint="eastAsia"/>
                    <w:sz w:val="15"/>
                    <w:szCs w:val="15"/>
                  </w:rPr>
                  <w:t>一、合营企业</w:t>
                </w:r>
              </w:p>
            </w:tc>
          </w:sdtContent>
        </w:sdt>
      </w:tr>
      <w:tr w:rsidR="00E57DAA" w14:paraId="6F8E9562" w14:textId="77777777">
        <w:sdt>
          <w:sdtPr>
            <w:rPr>
              <w:sz w:val="15"/>
              <w:szCs w:val="15"/>
            </w:rPr>
            <w:tag w:val="_PLD_2c448562bca04f23a9ec97848768cd82"/>
            <w:id w:val="-1131082142"/>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66C35B33" w14:textId="77777777" w:rsidR="00E57DAA" w:rsidRDefault="00AC4185">
                <w:pPr>
                  <w:rPr>
                    <w:sz w:val="15"/>
                    <w:szCs w:val="15"/>
                  </w:rPr>
                </w:pPr>
                <w:r>
                  <w:rPr>
                    <w:rFonts w:hint="eastAsia"/>
                    <w:sz w:val="15"/>
                    <w:szCs w:val="15"/>
                  </w:rPr>
                  <w:t>二、联营企业</w:t>
                </w:r>
              </w:p>
            </w:tc>
          </w:sdtContent>
        </w:sdt>
      </w:tr>
      <w:tr w:rsidR="00E57DAA" w14:paraId="327433A7"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4C05B2FB" w14:textId="77777777" w:rsidR="00E57DAA" w:rsidRDefault="00AC4185">
            <w:pPr>
              <w:rPr>
                <w:sz w:val="15"/>
                <w:szCs w:val="15"/>
              </w:rPr>
            </w:pPr>
            <w:r>
              <w:rPr>
                <w:sz w:val="15"/>
                <w:szCs w:val="15"/>
              </w:rPr>
              <w:t>枞阳东园环境投资建设有限公司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11B0340F" w14:textId="77777777" w:rsidR="00E57DAA" w:rsidRDefault="00AC4185">
            <w:pPr>
              <w:jc w:val="right"/>
              <w:rPr>
                <w:sz w:val="15"/>
                <w:szCs w:val="15"/>
              </w:rPr>
            </w:pPr>
            <w:r>
              <w:rPr>
                <w:sz w:val="15"/>
                <w:szCs w:val="15"/>
              </w:rPr>
              <w:t>187,018,205.00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2FC9D401"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6CD6F8D0"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E142439" w14:textId="77777777" w:rsidR="00E57DAA" w:rsidRDefault="00E57DAA">
            <w:pPr>
              <w:jc w:val="right"/>
              <w:rPr>
                <w:sz w:val="15"/>
                <w:szCs w:val="15"/>
              </w:rPr>
            </w:pP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35BE5E79"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633B1189"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6C1C9CD8"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20B9EFC6"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8304896"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F5D6B2D" w14:textId="77777777" w:rsidR="00E57DAA" w:rsidRDefault="00AC4185">
            <w:pPr>
              <w:jc w:val="right"/>
              <w:rPr>
                <w:sz w:val="15"/>
                <w:szCs w:val="15"/>
              </w:rPr>
            </w:pPr>
            <w:r>
              <w:rPr>
                <w:sz w:val="15"/>
                <w:szCs w:val="15"/>
              </w:rPr>
              <w:t>187,018,205.00</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DE5582B" w14:textId="77777777" w:rsidR="00E57DAA" w:rsidRDefault="00E57DAA">
            <w:pPr>
              <w:jc w:val="right"/>
              <w:rPr>
                <w:sz w:val="15"/>
                <w:szCs w:val="15"/>
              </w:rPr>
            </w:pPr>
          </w:p>
        </w:tc>
      </w:tr>
      <w:tr w:rsidR="00E57DAA" w14:paraId="62417A0B"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2EEE52D4" w14:textId="77777777" w:rsidR="00E57DAA" w:rsidRDefault="00AC4185">
            <w:pPr>
              <w:rPr>
                <w:sz w:val="15"/>
                <w:szCs w:val="15"/>
              </w:rPr>
            </w:pPr>
            <w:r>
              <w:rPr>
                <w:sz w:val="15"/>
                <w:szCs w:val="15"/>
              </w:rPr>
              <w:t>中材膜材料越南公司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07EC5B99" w14:textId="77777777" w:rsidR="00E57DAA" w:rsidRDefault="00AC4185">
            <w:pPr>
              <w:jc w:val="right"/>
              <w:rPr>
                <w:sz w:val="15"/>
                <w:szCs w:val="15"/>
              </w:rPr>
            </w:pPr>
            <w:r>
              <w:rPr>
                <w:sz w:val="15"/>
                <w:szCs w:val="15"/>
              </w:rPr>
              <w:t>15,491,663.74</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1182A220"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5B92592D"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1873EBFE" w14:textId="77777777" w:rsidR="00E57DAA" w:rsidRDefault="00AC4185">
            <w:pPr>
              <w:jc w:val="right"/>
              <w:rPr>
                <w:sz w:val="15"/>
                <w:szCs w:val="15"/>
              </w:rPr>
            </w:pPr>
            <w:r>
              <w:rPr>
                <w:sz w:val="15"/>
                <w:szCs w:val="15"/>
              </w:rPr>
              <w:t>3,407,885.20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32311E2E"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215F9950"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6B895A4B"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0F59CCFC"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3199C05"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8830F56" w14:textId="77777777" w:rsidR="00E57DAA" w:rsidRDefault="00AC4185">
            <w:pPr>
              <w:jc w:val="right"/>
              <w:rPr>
                <w:sz w:val="15"/>
                <w:szCs w:val="15"/>
              </w:rPr>
            </w:pPr>
            <w:r>
              <w:rPr>
                <w:sz w:val="15"/>
                <w:szCs w:val="15"/>
              </w:rPr>
              <w:t>18,899,548.94</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26F00D78" w14:textId="77777777" w:rsidR="00E57DAA" w:rsidRDefault="00E57DAA">
            <w:pPr>
              <w:jc w:val="right"/>
              <w:rPr>
                <w:sz w:val="15"/>
                <w:szCs w:val="15"/>
              </w:rPr>
            </w:pPr>
          </w:p>
        </w:tc>
      </w:tr>
      <w:tr w:rsidR="00E57DAA" w14:paraId="2EC81560"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4F3D134" w14:textId="77777777" w:rsidR="00E57DAA" w:rsidRDefault="00AC4185">
            <w:pPr>
              <w:rPr>
                <w:sz w:val="15"/>
                <w:szCs w:val="15"/>
              </w:rPr>
            </w:pPr>
            <w:r>
              <w:rPr>
                <w:sz w:val="15"/>
                <w:szCs w:val="15"/>
              </w:rPr>
              <w:t>中国建材国际坦桑尼亚有限公司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18AD618E" w14:textId="77777777" w:rsidR="00E57DAA" w:rsidRDefault="00AC4185">
            <w:pPr>
              <w:jc w:val="right"/>
              <w:rPr>
                <w:sz w:val="15"/>
                <w:szCs w:val="15"/>
              </w:rPr>
            </w:pPr>
            <w:r>
              <w:rPr>
                <w:sz w:val="15"/>
                <w:szCs w:val="15"/>
              </w:rPr>
              <w:t>12,431,941.09</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4E8437C3"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415C1000"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3DEB9E1" w14:textId="77777777" w:rsidR="00E57DAA" w:rsidRDefault="00AC4185">
            <w:pPr>
              <w:jc w:val="right"/>
              <w:rPr>
                <w:sz w:val="15"/>
                <w:szCs w:val="15"/>
              </w:rPr>
            </w:pPr>
            <w:r>
              <w:rPr>
                <w:sz w:val="15"/>
                <w:szCs w:val="15"/>
              </w:rPr>
              <w:t>-12,431,941.09</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128D931B"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5C512648"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30369031"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38468131"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3D7030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A9BEF4B" w14:textId="77777777" w:rsidR="00E57DAA" w:rsidRDefault="00E57DAA">
            <w:pPr>
              <w:jc w:val="right"/>
              <w:rPr>
                <w:sz w:val="15"/>
                <w:szCs w:val="15"/>
              </w:rPr>
            </w:pP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7B380295" w14:textId="77777777" w:rsidR="00E57DAA" w:rsidRDefault="00E57DAA">
            <w:pPr>
              <w:jc w:val="right"/>
              <w:rPr>
                <w:sz w:val="15"/>
                <w:szCs w:val="15"/>
              </w:rPr>
            </w:pPr>
          </w:p>
        </w:tc>
      </w:tr>
      <w:tr w:rsidR="00E57DAA" w14:paraId="493B60A2"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4CE8D878" w14:textId="77777777" w:rsidR="00E57DAA" w:rsidRDefault="00AC4185">
            <w:pPr>
              <w:rPr>
                <w:sz w:val="15"/>
                <w:szCs w:val="15"/>
              </w:rPr>
            </w:pPr>
            <w:r>
              <w:rPr>
                <w:sz w:val="15"/>
                <w:szCs w:val="15"/>
              </w:rPr>
              <w:t>江苏丰海新能源淡化海水发展有限公司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1BC55035" w14:textId="77777777" w:rsidR="00E57DAA" w:rsidRDefault="00AC4185">
            <w:pPr>
              <w:jc w:val="right"/>
              <w:rPr>
                <w:sz w:val="15"/>
                <w:szCs w:val="15"/>
              </w:rPr>
            </w:pPr>
            <w:r>
              <w:rPr>
                <w:sz w:val="15"/>
                <w:szCs w:val="15"/>
              </w:rPr>
              <w:t>20,915,755.74</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BA2C835"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2EE799FB"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60B0E6D" w14:textId="77777777" w:rsidR="00E57DAA" w:rsidRDefault="00AC4185">
            <w:pPr>
              <w:jc w:val="right"/>
              <w:rPr>
                <w:sz w:val="15"/>
                <w:szCs w:val="15"/>
              </w:rPr>
            </w:pPr>
            <w:r>
              <w:rPr>
                <w:sz w:val="15"/>
                <w:szCs w:val="15"/>
              </w:rPr>
              <w:t>1,026,799.24</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71350FB6"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1BA8A817"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30452E48"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690D5546"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F8D4575"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9AE69FB" w14:textId="77777777" w:rsidR="00E57DAA" w:rsidRDefault="00AC4185">
            <w:pPr>
              <w:jc w:val="right"/>
              <w:rPr>
                <w:sz w:val="15"/>
                <w:szCs w:val="15"/>
              </w:rPr>
            </w:pPr>
            <w:r>
              <w:rPr>
                <w:sz w:val="15"/>
                <w:szCs w:val="15"/>
              </w:rPr>
              <w:t>21,942,554.98</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232478CF" w14:textId="77777777" w:rsidR="00E57DAA" w:rsidRDefault="00E57DAA">
            <w:pPr>
              <w:jc w:val="right"/>
              <w:rPr>
                <w:sz w:val="15"/>
                <w:szCs w:val="15"/>
              </w:rPr>
            </w:pPr>
          </w:p>
        </w:tc>
      </w:tr>
      <w:tr w:rsidR="00E57DAA" w14:paraId="0F675DFC"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5F712FA" w14:textId="77777777" w:rsidR="00E57DAA" w:rsidRDefault="00AC4185">
            <w:pPr>
              <w:rPr>
                <w:sz w:val="15"/>
                <w:szCs w:val="15"/>
              </w:rPr>
            </w:pPr>
            <w:r>
              <w:rPr>
                <w:sz w:val="15"/>
                <w:szCs w:val="15"/>
              </w:rPr>
              <w:t>中建材矿业投资尼日利亚有限公司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729FB86A" w14:textId="77777777" w:rsidR="00E57DAA" w:rsidRDefault="00AC4185">
            <w:pPr>
              <w:jc w:val="right"/>
              <w:rPr>
                <w:sz w:val="15"/>
                <w:szCs w:val="15"/>
              </w:rPr>
            </w:pPr>
            <w:r>
              <w:rPr>
                <w:sz w:val="15"/>
                <w:szCs w:val="15"/>
              </w:rPr>
              <w:t>14,097,145.40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472B22A"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6F29F89B"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8333C2F" w14:textId="77777777" w:rsidR="00E57DAA" w:rsidRDefault="00AC4185">
            <w:pPr>
              <w:jc w:val="right"/>
              <w:rPr>
                <w:sz w:val="15"/>
                <w:szCs w:val="15"/>
              </w:rPr>
            </w:pPr>
            <w:r>
              <w:rPr>
                <w:sz w:val="15"/>
                <w:szCs w:val="15"/>
              </w:rPr>
              <w:t>-5,560,314.85</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2098A3E1"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1AD3A92F"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450E3DA0"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4E5EFCE3"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2D18818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02E1BEB" w14:textId="77777777" w:rsidR="00E57DAA" w:rsidRDefault="00AC4185">
            <w:pPr>
              <w:jc w:val="right"/>
              <w:rPr>
                <w:sz w:val="15"/>
                <w:szCs w:val="15"/>
              </w:rPr>
            </w:pPr>
            <w:r>
              <w:rPr>
                <w:sz w:val="15"/>
                <w:szCs w:val="15"/>
              </w:rPr>
              <w:t>8,536,830.55</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23F1D439" w14:textId="77777777" w:rsidR="00E57DAA" w:rsidRDefault="00E57DAA">
            <w:pPr>
              <w:jc w:val="right"/>
              <w:rPr>
                <w:sz w:val="15"/>
                <w:szCs w:val="15"/>
              </w:rPr>
            </w:pPr>
          </w:p>
        </w:tc>
      </w:tr>
      <w:tr w:rsidR="00E57DAA" w14:paraId="4A4643D5"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B8D46C5" w14:textId="77777777" w:rsidR="00E57DAA" w:rsidRDefault="00AC4185">
            <w:pPr>
              <w:rPr>
                <w:sz w:val="15"/>
                <w:szCs w:val="15"/>
              </w:rPr>
            </w:pPr>
            <w:r>
              <w:rPr>
                <w:sz w:val="15"/>
                <w:szCs w:val="15"/>
              </w:rPr>
              <w:t>安顺中安铁源建设工程有限公司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45E0AC36" w14:textId="77777777" w:rsidR="00E57DAA" w:rsidRDefault="00AC4185">
            <w:pPr>
              <w:jc w:val="right"/>
              <w:rPr>
                <w:sz w:val="15"/>
                <w:szCs w:val="15"/>
              </w:rPr>
            </w:pPr>
            <w:r>
              <w:rPr>
                <w:sz w:val="15"/>
                <w:szCs w:val="15"/>
              </w:rPr>
              <w:t>128,345,175.00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573B79BE"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1FBA5DF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BB3B4CE" w14:textId="77777777" w:rsidR="00E57DAA" w:rsidRDefault="00E57DAA">
            <w:pPr>
              <w:jc w:val="right"/>
              <w:rPr>
                <w:sz w:val="15"/>
                <w:szCs w:val="15"/>
              </w:rPr>
            </w:pP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82C2824"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610CB6BB"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3FCB12FA"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6CA3E200"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6220A64"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2F589DA" w14:textId="77777777" w:rsidR="00E57DAA" w:rsidRDefault="00AC4185">
            <w:pPr>
              <w:jc w:val="right"/>
              <w:rPr>
                <w:sz w:val="15"/>
                <w:szCs w:val="15"/>
              </w:rPr>
            </w:pPr>
            <w:r>
              <w:rPr>
                <w:sz w:val="15"/>
                <w:szCs w:val="15"/>
              </w:rPr>
              <w:t>128,345,175.00</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60B63CC5" w14:textId="77777777" w:rsidR="00E57DAA" w:rsidRDefault="00E57DAA">
            <w:pPr>
              <w:jc w:val="right"/>
              <w:rPr>
                <w:sz w:val="15"/>
                <w:szCs w:val="15"/>
              </w:rPr>
            </w:pPr>
          </w:p>
        </w:tc>
      </w:tr>
      <w:tr w:rsidR="00E57DAA" w14:paraId="1BE646FE"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4A51C4C" w14:textId="77777777" w:rsidR="00E57DAA" w:rsidRDefault="00AC4185">
            <w:pPr>
              <w:rPr>
                <w:sz w:val="15"/>
                <w:szCs w:val="15"/>
              </w:rPr>
            </w:pPr>
            <w:r>
              <w:rPr>
                <w:sz w:val="15"/>
                <w:szCs w:val="15"/>
              </w:rPr>
              <w:t>枞阳南方材料有限公司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4D3B41E3" w14:textId="77777777" w:rsidR="00E57DAA" w:rsidRDefault="00AC4185">
            <w:pPr>
              <w:jc w:val="right"/>
              <w:rPr>
                <w:sz w:val="15"/>
                <w:szCs w:val="15"/>
              </w:rPr>
            </w:pPr>
            <w:r>
              <w:rPr>
                <w:sz w:val="15"/>
                <w:szCs w:val="15"/>
              </w:rPr>
              <w:t>94,999,927.81</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55B76BB"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50E6D8E5"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31BB7DC" w14:textId="77777777" w:rsidR="00E57DAA" w:rsidRDefault="00AC4185">
            <w:pPr>
              <w:jc w:val="right"/>
              <w:rPr>
                <w:sz w:val="15"/>
                <w:szCs w:val="15"/>
              </w:rPr>
            </w:pPr>
            <w:r>
              <w:rPr>
                <w:sz w:val="15"/>
                <w:szCs w:val="15"/>
              </w:rPr>
              <w:t>307,616.67</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196957A1"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795373C2"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118CC321"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602680F5"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02E2B25"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639F2BF" w14:textId="77777777" w:rsidR="00E57DAA" w:rsidRDefault="00AC4185">
            <w:pPr>
              <w:jc w:val="right"/>
              <w:rPr>
                <w:sz w:val="15"/>
                <w:szCs w:val="15"/>
              </w:rPr>
            </w:pPr>
            <w:r>
              <w:rPr>
                <w:sz w:val="15"/>
                <w:szCs w:val="15"/>
              </w:rPr>
              <w:t>95,307,544.48</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38226E17" w14:textId="77777777" w:rsidR="00E57DAA" w:rsidRDefault="00E57DAA">
            <w:pPr>
              <w:jc w:val="right"/>
              <w:rPr>
                <w:sz w:val="15"/>
                <w:szCs w:val="15"/>
              </w:rPr>
            </w:pPr>
          </w:p>
        </w:tc>
      </w:tr>
      <w:tr w:rsidR="00E57DAA" w14:paraId="0B5FC44F"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6C3E418F" w14:textId="77777777" w:rsidR="00E57DAA" w:rsidRDefault="00AC4185">
            <w:pPr>
              <w:rPr>
                <w:sz w:val="15"/>
                <w:szCs w:val="15"/>
              </w:rPr>
            </w:pPr>
            <w:r>
              <w:rPr>
                <w:sz w:val="15"/>
                <w:szCs w:val="15"/>
              </w:rPr>
              <w:t>山西桃园环保科技有限公司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2B65E923" w14:textId="77777777" w:rsidR="00E57DAA" w:rsidRDefault="00AC4185">
            <w:pPr>
              <w:jc w:val="right"/>
              <w:rPr>
                <w:sz w:val="15"/>
                <w:szCs w:val="15"/>
              </w:rPr>
            </w:pPr>
            <w:r>
              <w:rPr>
                <w:sz w:val="15"/>
                <w:szCs w:val="15"/>
              </w:rPr>
              <w:t>6,812,080.63</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FADA3A0"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436B2F01"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1F71933" w14:textId="77777777" w:rsidR="00E57DAA" w:rsidRDefault="00AC4185">
            <w:pPr>
              <w:jc w:val="right"/>
              <w:rPr>
                <w:sz w:val="15"/>
                <w:szCs w:val="15"/>
              </w:rPr>
            </w:pPr>
            <w:r>
              <w:rPr>
                <w:sz w:val="15"/>
                <w:szCs w:val="15"/>
              </w:rPr>
              <w:t>-375,547.98</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7F8E7936"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17CD1BF6"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32B662D7"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19FAADF8"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0F0D11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19262ED" w14:textId="77777777" w:rsidR="00E57DAA" w:rsidRDefault="00AC4185">
            <w:pPr>
              <w:jc w:val="right"/>
              <w:rPr>
                <w:sz w:val="15"/>
                <w:szCs w:val="15"/>
              </w:rPr>
            </w:pPr>
            <w:r>
              <w:rPr>
                <w:sz w:val="15"/>
                <w:szCs w:val="15"/>
              </w:rPr>
              <w:t>6,436,532.65</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17EA1CCE" w14:textId="77777777" w:rsidR="00E57DAA" w:rsidRDefault="00E57DAA">
            <w:pPr>
              <w:jc w:val="right"/>
              <w:rPr>
                <w:sz w:val="15"/>
                <w:szCs w:val="15"/>
              </w:rPr>
            </w:pPr>
          </w:p>
        </w:tc>
      </w:tr>
      <w:tr w:rsidR="00E57DAA" w14:paraId="38B5D271"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73FACA63" w14:textId="77777777" w:rsidR="00E57DAA" w:rsidRDefault="00AC4185">
            <w:pPr>
              <w:rPr>
                <w:sz w:val="15"/>
                <w:szCs w:val="15"/>
              </w:rPr>
            </w:pPr>
            <w:r>
              <w:rPr>
                <w:sz w:val="15"/>
                <w:szCs w:val="15"/>
              </w:rPr>
              <w:t>葛洲坝洁新（武汉）科技有限公司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773320F0" w14:textId="77777777" w:rsidR="00E57DAA" w:rsidRDefault="00AC4185">
            <w:pPr>
              <w:jc w:val="right"/>
              <w:rPr>
                <w:sz w:val="15"/>
                <w:szCs w:val="15"/>
              </w:rPr>
            </w:pPr>
            <w:r>
              <w:rPr>
                <w:sz w:val="15"/>
                <w:szCs w:val="15"/>
              </w:rPr>
              <w:t>36,041,890.55</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F838375"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73570B79"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D60176B" w14:textId="77777777" w:rsidR="00E57DAA" w:rsidRDefault="00AC4185">
            <w:pPr>
              <w:jc w:val="right"/>
              <w:rPr>
                <w:sz w:val="15"/>
                <w:szCs w:val="15"/>
              </w:rPr>
            </w:pPr>
            <w:r>
              <w:rPr>
                <w:sz w:val="15"/>
                <w:szCs w:val="15"/>
              </w:rPr>
              <w:t>45,331.79</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1A6F4475"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39A1F53A"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154978CE"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3EAC3C4B"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091F1B2"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9F21B72" w14:textId="77777777" w:rsidR="00E57DAA" w:rsidRDefault="00AC4185">
            <w:pPr>
              <w:jc w:val="right"/>
              <w:rPr>
                <w:sz w:val="15"/>
                <w:szCs w:val="15"/>
              </w:rPr>
            </w:pPr>
            <w:r>
              <w:rPr>
                <w:sz w:val="15"/>
                <w:szCs w:val="15"/>
              </w:rPr>
              <w:t>36,087,222.34</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4813BFE7" w14:textId="77777777" w:rsidR="00E57DAA" w:rsidRDefault="00E57DAA">
            <w:pPr>
              <w:jc w:val="right"/>
              <w:rPr>
                <w:sz w:val="15"/>
                <w:szCs w:val="15"/>
              </w:rPr>
            </w:pPr>
          </w:p>
        </w:tc>
      </w:tr>
      <w:tr w:rsidR="00E57DAA" w14:paraId="70FD6865"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32570481" w14:textId="77777777" w:rsidR="00E57DAA" w:rsidRDefault="00AC4185">
            <w:pPr>
              <w:rPr>
                <w:sz w:val="15"/>
                <w:szCs w:val="15"/>
              </w:rPr>
            </w:pPr>
            <w:r>
              <w:rPr>
                <w:sz w:val="15"/>
                <w:szCs w:val="15"/>
              </w:rPr>
              <w:t>中才邦业（杭州）智能技术有限公司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4F549F54" w14:textId="77777777" w:rsidR="00E57DAA" w:rsidRDefault="00AC4185">
            <w:pPr>
              <w:jc w:val="right"/>
              <w:rPr>
                <w:sz w:val="15"/>
                <w:szCs w:val="15"/>
              </w:rPr>
            </w:pPr>
            <w:r>
              <w:rPr>
                <w:sz w:val="15"/>
                <w:szCs w:val="15"/>
              </w:rPr>
              <w:t>14,919,326.23</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7C714AE1"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21529320"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7E2EFFD" w14:textId="77777777" w:rsidR="00E57DAA" w:rsidRDefault="00AC4185">
            <w:pPr>
              <w:jc w:val="right"/>
              <w:rPr>
                <w:sz w:val="15"/>
                <w:szCs w:val="15"/>
              </w:rPr>
            </w:pPr>
            <w:r>
              <w:rPr>
                <w:sz w:val="15"/>
                <w:szCs w:val="15"/>
              </w:rPr>
              <w:t>12,328,011.40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581DB40C"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06910302"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042D249E"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52E2806A"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6653321"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36763EA" w14:textId="77777777" w:rsidR="00E57DAA" w:rsidRDefault="00AC4185">
            <w:pPr>
              <w:jc w:val="right"/>
              <w:rPr>
                <w:sz w:val="15"/>
                <w:szCs w:val="15"/>
              </w:rPr>
            </w:pPr>
            <w:r>
              <w:rPr>
                <w:sz w:val="15"/>
                <w:szCs w:val="15"/>
              </w:rPr>
              <w:t>27,247,337.63</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3070C334" w14:textId="77777777" w:rsidR="00E57DAA" w:rsidRDefault="00E57DAA">
            <w:pPr>
              <w:jc w:val="right"/>
              <w:rPr>
                <w:sz w:val="15"/>
                <w:szCs w:val="15"/>
              </w:rPr>
            </w:pPr>
          </w:p>
        </w:tc>
      </w:tr>
      <w:tr w:rsidR="00E57DAA" w14:paraId="78F24A4A"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449AE7F9" w14:textId="77777777" w:rsidR="00E57DAA" w:rsidRDefault="00AC4185">
            <w:pPr>
              <w:rPr>
                <w:sz w:val="15"/>
                <w:szCs w:val="15"/>
              </w:rPr>
            </w:pPr>
            <w:r>
              <w:rPr>
                <w:sz w:val="15"/>
                <w:szCs w:val="15"/>
              </w:rPr>
              <w:t>中建（淄博）重型机械有限公司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05C209E9" w14:textId="77777777" w:rsidR="00E57DAA" w:rsidRDefault="00AC4185">
            <w:pPr>
              <w:jc w:val="right"/>
              <w:rPr>
                <w:sz w:val="15"/>
                <w:szCs w:val="15"/>
              </w:rPr>
            </w:pPr>
            <w:r>
              <w:rPr>
                <w:sz w:val="15"/>
                <w:szCs w:val="15"/>
              </w:rPr>
              <w:t>24,081,634.34</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0002E9F1"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0AD5822B"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BEF6744" w14:textId="77777777" w:rsidR="00E57DAA" w:rsidRDefault="00AC4185">
            <w:pPr>
              <w:jc w:val="right"/>
              <w:rPr>
                <w:sz w:val="15"/>
                <w:szCs w:val="15"/>
              </w:rPr>
            </w:pPr>
            <w:r>
              <w:rPr>
                <w:sz w:val="15"/>
                <w:szCs w:val="15"/>
              </w:rPr>
              <w:t>3,885,265.58</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6A59737D"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04B076B4"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00C68746"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5B403E87"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AABA06D"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53663AB" w14:textId="77777777" w:rsidR="00E57DAA" w:rsidRDefault="00AC4185">
            <w:pPr>
              <w:jc w:val="right"/>
              <w:rPr>
                <w:sz w:val="15"/>
                <w:szCs w:val="15"/>
              </w:rPr>
            </w:pPr>
            <w:r>
              <w:rPr>
                <w:sz w:val="15"/>
                <w:szCs w:val="15"/>
              </w:rPr>
              <w:t>27,966,899.92</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29A6A72" w14:textId="77777777" w:rsidR="00E57DAA" w:rsidRDefault="00E57DAA">
            <w:pPr>
              <w:jc w:val="right"/>
              <w:rPr>
                <w:sz w:val="15"/>
                <w:szCs w:val="15"/>
              </w:rPr>
            </w:pPr>
          </w:p>
        </w:tc>
      </w:tr>
      <w:tr w:rsidR="00E57DAA" w14:paraId="1D10CE88"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218DF8B" w14:textId="77777777" w:rsidR="00E57DAA" w:rsidRDefault="00AC4185">
            <w:pPr>
              <w:rPr>
                <w:sz w:val="15"/>
                <w:szCs w:val="15"/>
              </w:rPr>
            </w:pPr>
            <w:r>
              <w:rPr>
                <w:sz w:val="15"/>
                <w:szCs w:val="15"/>
              </w:rPr>
              <w:t>中国建材尼日利亚新材料有限公司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0F4475D8" w14:textId="77777777" w:rsidR="00E57DAA" w:rsidRDefault="00AC4185">
            <w:pPr>
              <w:jc w:val="right"/>
              <w:rPr>
                <w:sz w:val="15"/>
                <w:szCs w:val="15"/>
              </w:rPr>
            </w:pPr>
            <w:r>
              <w:rPr>
                <w:sz w:val="15"/>
                <w:szCs w:val="15"/>
              </w:rPr>
              <w:t>27,552,511.86</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5069A89A"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0075F13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7B39995" w14:textId="77777777" w:rsidR="00E57DAA" w:rsidRDefault="00AC4185">
            <w:pPr>
              <w:jc w:val="right"/>
              <w:rPr>
                <w:sz w:val="15"/>
                <w:szCs w:val="15"/>
              </w:rPr>
            </w:pPr>
            <w:r>
              <w:rPr>
                <w:sz w:val="15"/>
                <w:szCs w:val="15"/>
              </w:rPr>
              <w:t>-12,580,842.27</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5017B15C"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37FBFF9F"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598A5180"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2A657411"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1227E7B"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35AE10A" w14:textId="77777777" w:rsidR="00E57DAA" w:rsidRDefault="00AC4185">
            <w:pPr>
              <w:jc w:val="right"/>
              <w:rPr>
                <w:sz w:val="15"/>
                <w:szCs w:val="15"/>
              </w:rPr>
            </w:pPr>
            <w:r>
              <w:rPr>
                <w:sz w:val="15"/>
                <w:szCs w:val="15"/>
              </w:rPr>
              <w:t>14,971,669.59</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0782ADB" w14:textId="77777777" w:rsidR="00E57DAA" w:rsidRDefault="00E57DAA">
            <w:pPr>
              <w:jc w:val="right"/>
              <w:rPr>
                <w:sz w:val="15"/>
                <w:szCs w:val="15"/>
              </w:rPr>
            </w:pPr>
          </w:p>
        </w:tc>
      </w:tr>
      <w:tr w:rsidR="00E57DAA" w14:paraId="0325924A"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28CFE903" w14:textId="77777777" w:rsidR="00E57DAA" w:rsidRDefault="00AC4185">
            <w:pPr>
              <w:rPr>
                <w:sz w:val="15"/>
                <w:szCs w:val="15"/>
              </w:rPr>
            </w:pPr>
            <w:r>
              <w:rPr>
                <w:sz w:val="15"/>
                <w:szCs w:val="15"/>
              </w:rPr>
              <w:t>北新建材（泰国）有限公司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4B2AE082" w14:textId="77777777" w:rsidR="00E57DAA" w:rsidRDefault="00AC4185">
            <w:pPr>
              <w:jc w:val="right"/>
              <w:rPr>
                <w:sz w:val="15"/>
                <w:szCs w:val="15"/>
              </w:rPr>
            </w:pPr>
            <w:r>
              <w:rPr>
                <w:sz w:val="15"/>
                <w:szCs w:val="15"/>
              </w:rPr>
              <w:t>15,605,572.90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46F3B733"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0EC80B21"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B5F9E2C" w14:textId="77777777" w:rsidR="00E57DAA" w:rsidRDefault="00AC4185">
            <w:pPr>
              <w:jc w:val="right"/>
              <w:rPr>
                <w:sz w:val="15"/>
                <w:szCs w:val="15"/>
              </w:rPr>
            </w:pPr>
            <w:r>
              <w:rPr>
                <w:sz w:val="15"/>
                <w:szCs w:val="15"/>
              </w:rPr>
              <w:t>-47,543.60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0E43C5C5" w14:textId="77777777" w:rsidR="00E57DAA" w:rsidRDefault="00AC4185">
            <w:pPr>
              <w:jc w:val="right"/>
              <w:rPr>
                <w:sz w:val="15"/>
                <w:szCs w:val="15"/>
              </w:rPr>
            </w:pPr>
            <w:r>
              <w:rPr>
                <w:sz w:val="15"/>
                <w:szCs w:val="15"/>
              </w:rPr>
              <w:t>420,446.88</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5906CA7E"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749318E4"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4A2EC9DB"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002A71C"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0D19AC4" w14:textId="77777777" w:rsidR="00E57DAA" w:rsidRDefault="00AC4185">
            <w:pPr>
              <w:jc w:val="right"/>
              <w:rPr>
                <w:sz w:val="15"/>
                <w:szCs w:val="15"/>
              </w:rPr>
            </w:pPr>
            <w:r>
              <w:rPr>
                <w:sz w:val="15"/>
                <w:szCs w:val="15"/>
              </w:rPr>
              <w:t>15,978,476.18</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42B1086" w14:textId="77777777" w:rsidR="00E57DAA" w:rsidRDefault="00E57DAA">
            <w:pPr>
              <w:jc w:val="right"/>
              <w:rPr>
                <w:sz w:val="15"/>
                <w:szCs w:val="15"/>
              </w:rPr>
            </w:pPr>
          </w:p>
        </w:tc>
      </w:tr>
      <w:tr w:rsidR="00E57DAA" w14:paraId="596F58B7"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5369C9D6" w14:textId="77777777" w:rsidR="00E57DAA" w:rsidRDefault="00AC4185">
            <w:pPr>
              <w:rPr>
                <w:sz w:val="15"/>
                <w:szCs w:val="15"/>
              </w:rPr>
            </w:pPr>
            <w:r>
              <w:rPr>
                <w:sz w:val="15"/>
                <w:szCs w:val="15"/>
              </w:rPr>
              <w:t>安徽长江环境科技有限公司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1C70EF43" w14:textId="77777777" w:rsidR="00E57DAA" w:rsidRDefault="00AC4185">
            <w:pPr>
              <w:jc w:val="right"/>
              <w:rPr>
                <w:sz w:val="15"/>
                <w:szCs w:val="15"/>
              </w:rPr>
            </w:pPr>
            <w:r>
              <w:rPr>
                <w:sz w:val="15"/>
                <w:szCs w:val="15"/>
              </w:rPr>
              <w:t>20,511,687.48</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33979516"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593F4C3A"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C5C21BD" w14:textId="77777777" w:rsidR="00E57DAA" w:rsidRDefault="00AC4185">
            <w:pPr>
              <w:jc w:val="right"/>
              <w:rPr>
                <w:sz w:val="15"/>
                <w:szCs w:val="15"/>
              </w:rPr>
            </w:pPr>
            <w:r>
              <w:rPr>
                <w:sz w:val="15"/>
                <w:szCs w:val="15"/>
              </w:rPr>
              <w:t>-2,793,938.97</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2587333E"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4EC5946F"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0CDC4809"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79C42F59"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6595E5E"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D8631DC" w14:textId="77777777" w:rsidR="00E57DAA" w:rsidRDefault="00AC4185">
            <w:pPr>
              <w:jc w:val="right"/>
              <w:rPr>
                <w:sz w:val="15"/>
                <w:szCs w:val="15"/>
              </w:rPr>
            </w:pPr>
            <w:r>
              <w:rPr>
                <w:sz w:val="15"/>
                <w:szCs w:val="15"/>
              </w:rPr>
              <w:t>17,717,748.51</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033AC8D" w14:textId="77777777" w:rsidR="00E57DAA" w:rsidRDefault="00E57DAA">
            <w:pPr>
              <w:jc w:val="right"/>
              <w:rPr>
                <w:sz w:val="15"/>
                <w:szCs w:val="15"/>
              </w:rPr>
            </w:pPr>
          </w:p>
        </w:tc>
      </w:tr>
      <w:tr w:rsidR="00E57DAA" w14:paraId="1830EDB9"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1FAB46DD" w14:textId="77777777" w:rsidR="00E57DAA" w:rsidRDefault="00AC4185">
            <w:pPr>
              <w:rPr>
                <w:sz w:val="15"/>
                <w:szCs w:val="15"/>
              </w:rPr>
            </w:pPr>
            <w:r>
              <w:rPr>
                <w:sz w:val="15"/>
                <w:szCs w:val="15"/>
              </w:rPr>
              <w:t>中材科技（巴西）风电叶片有限公司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08CA611C" w14:textId="77777777" w:rsidR="00E57DAA" w:rsidRDefault="00AC4185">
            <w:pPr>
              <w:jc w:val="right"/>
              <w:rPr>
                <w:sz w:val="15"/>
                <w:szCs w:val="15"/>
              </w:rPr>
            </w:pPr>
            <w:r>
              <w:rPr>
                <w:sz w:val="15"/>
                <w:szCs w:val="15"/>
              </w:rPr>
              <w:t>466,042.22</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56FC13F6" w14:textId="77777777" w:rsidR="00E57DAA" w:rsidRDefault="00AC4185">
            <w:pPr>
              <w:jc w:val="right"/>
              <w:rPr>
                <w:sz w:val="15"/>
                <w:szCs w:val="15"/>
              </w:rPr>
            </w:pPr>
            <w:r>
              <w:rPr>
                <w:sz w:val="15"/>
                <w:szCs w:val="15"/>
              </w:rPr>
              <w:t>47,932,640.18</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1F96A554"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1513CA3" w14:textId="77777777" w:rsidR="00E57DAA" w:rsidRDefault="00AC4185">
            <w:pPr>
              <w:jc w:val="right"/>
              <w:rPr>
                <w:sz w:val="15"/>
                <w:szCs w:val="15"/>
              </w:rPr>
            </w:pPr>
            <w:r>
              <w:rPr>
                <w:sz w:val="15"/>
                <w:szCs w:val="15"/>
              </w:rPr>
              <w:t>-5,700,428.75</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54903119"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3AB87DE6"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52C2B705"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12F42C30"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C4FDA1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E6EAE72" w14:textId="77777777" w:rsidR="00E57DAA" w:rsidRDefault="00AC4185">
            <w:pPr>
              <w:jc w:val="right"/>
              <w:rPr>
                <w:sz w:val="15"/>
                <w:szCs w:val="15"/>
              </w:rPr>
            </w:pPr>
            <w:r>
              <w:rPr>
                <w:sz w:val="15"/>
                <w:szCs w:val="15"/>
              </w:rPr>
              <w:t>42,698,253.65</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5727428D" w14:textId="77777777" w:rsidR="00E57DAA" w:rsidRDefault="00E57DAA">
            <w:pPr>
              <w:jc w:val="right"/>
              <w:rPr>
                <w:sz w:val="15"/>
                <w:szCs w:val="15"/>
              </w:rPr>
            </w:pPr>
          </w:p>
        </w:tc>
      </w:tr>
      <w:tr w:rsidR="00E57DAA" w14:paraId="1D09C6D8"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281C8529" w14:textId="77777777" w:rsidR="00E57DAA" w:rsidRDefault="00AC4185">
            <w:pPr>
              <w:rPr>
                <w:sz w:val="15"/>
                <w:szCs w:val="15"/>
              </w:rPr>
            </w:pPr>
            <w:r>
              <w:rPr>
                <w:sz w:val="15"/>
                <w:szCs w:val="15"/>
              </w:rPr>
              <w:t>安徽马钢矿业资源集团建材科技有限公司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692D3D26" w14:textId="77777777" w:rsidR="00E57DAA" w:rsidRDefault="00AC4185">
            <w:pPr>
              <w:jc w:val="right"/>
              <w:rPr>
                <w:sz w:val="15"/>
                <w:szCs w:val="15"/>
              </w:rPr>
            </w:pPr>
            <w:r>
              <w:rPr>
                <w:sz w:val="15"/>
                <w:szCs w:val="15"/>
              </w:rPr>
              <w:t>38,618,674.92</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078FD10C"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33535E9A"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060F7FD" w14:textId="77777777" w:rsidR="00E57DAA" w:rsidRDefault="00AC4185">
            <w:pPr>
              <w:jc w:val="right"/>
              <w:rPr>
                <w:sz w:val="15"/>
                <w:szCs w:val="15"/>
              </w:rPr>
            </w:pPr>
            <w:r>
              <w:rPr>
                <w:sz w:val="15"/>
                <w:szCs w:val="15"/>
              </w:rPr>
              <w:t>4,114,576.88</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31667AC"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4D940541" w14:textId="77777777" w:rsidR="00E57DAA" w:rsidRDefault="00AC4185">
            <w:pPr>
              <w:jc w:val="right"/>
              <w:rPr>
                <w:sz w:val="15"/>
                <w:szCs w:val="15"/>
              </w:rPr>
            </w:pPr>
            <w:r>
              <w:rPr>
                <w:sz w:val="15"/>
                <w:szCs w:val="15"/>
              </w:rPr>
              <w:t>-1,390.52</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429A6B4D" w14:textId="77777777" w:rsidR="00E57DAA" w:rsidRDefault="00AC4185">
            <w:pPr>
              <w:jc w:val="right"/>
              <w:rPr>
                <w:sz w:val="15"/>
                <w:szCs w:val="15"/>
              </w:rPr>
            </w:pPr>
            <w:r>
              <w:rPr>
                <w:sz w:val="15"/>
                <w:szCs w:val="15"/>
              </w:rPr>
              <w:t>7,168,403.39</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391336E6"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12DEBCC"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9BBCD92" w14:textId="77777777" w:rsidR="00E57DAA" w:rsidRDefault="00AC4185">
            <w:pPr>
              <w:jc w:val="right"/>
              <w:rPr>
                <w:sz w:val="15"/>
                <w:szCs w:val="15"/>
              </w:rPr>
            </w:pPr>
            <w:r>
              <w:rPr>
                <w:sz w:val="15"/>
                <w:szCs w:val="15"/>
              </w:rPr>
              <w:t>35,563,457.89</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44CA396C" w14:textId="77777777" w:rsidR="00E57DAA" w:rsidRDefault="00E57DAA">
            <w:pPr>
              <w:jc w:val="right"/>
              <w:rPr>
                <w:sz w:val="15"/>
                <w:szCs w:val="15"/>
              </w:rPr>
            </w:pPr>
          </w:p>
        </w:tc>
      </w:tr>
      <w:tr w:rsidR="00E57DAA" w14:paraId="7C2DE4B8"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1B1E0172" w14:textId="77777777" w:rsidR="00E57DAA" w:rsidRDefault="00AC4185">
            <w:pPr>
              <w:rPr>
                <w:sz w:val="15"/>
                <w:szCs w:val="15"/>
              </w:rPr>
            </w:pPr>
            <w:r>
              <w:rPr>
                <w:sz w:val="15"/>
                <w:szCs w:val="15"/>
              </w:rPr>
              <w:t>富沛（上海）建设有限公司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692A35FF" w14:textId="77777777" w:rsidR="00E57DAA" w:rsidRDefault="00AC4185">
            <w:pPr>
              <w:jc w:val="right"/>
              <w:rPr>
                <w:sz w:val="15"/>
                <w:szCs w:val="15"/>
              </w:rPr>
            </w:pPr>
            <w:r>
              <w:rPr>
                <w:sz w:val="15"/>
                <w:szCs w:val="15"/>
              </w:rPr>
              <w:t>9,158,137.82</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136671B3"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5C248F61"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19D74A7" w14:textId="77777777" w:rsidR="00E57DAA" w:rsidRDefault="00AC4185">
            <w:pPr>
              <w:jc w:val="right"/>
              <w:rPr>
                <w:sz w:val="15"/>
                <w:szCs w:val="15"/>
              </w:rPr>
            </w:pPr>
            <w:r>
              <w:rPr>
                <w:sz w:val="15"/>
                <w:szCs w:val="15"/>
              </w:rPr>
              <w:t>838,795.91</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1090DA2D"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200EA9F9"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6D9B6838" w14:textId="77777777" w:rsidR="00E57DAA" w:rsidRDefault="00AC4185">
            <w:pPr>
              <w:jc w:val="right"/>
              <w:rPr>
                <w:sz w:val="15"/>
                <w:szCs w:val="15"/>
              </w:rPr>
            </w:pPr>
            <w:r>
              <w:rPr>
                <w:sz w:val="15"/>
                <w:szCs w:val="15"/>
              </w:rPr>
              <w:t>2,549,995.00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7DFA1BB9"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F0675AC"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5DD5639" w14:textId="77777777" w:rsidR="00E57DAA" w:rsidRDefault="00AC4185">
            <w:pPr>
              <w:jc w:val="right"/>
              <w:rPr>
                <w:sz w:val="15"/>
                <w:szCs w:val="15"/>
              </w:rPr>
            </w:pPr>
            <w:r>
              <w:rPr>
                <w:sz w:val="15"/>
                <w:szCs w:val="15"/>
              </w:rPr>
              <w:t>7,446,938.73</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0741A399" w14:textId="77777777" w:rsidR="00E57DAA" w:rsidRDefault="00E57DAA">
            <w:pPr>
              <w:jc w:val="right"/>
              <w:rPr>
                <w:sz w:val="15"/>
                <w:szCs w:val="15"/>
              </w:rPr>
            </w:pPr>
          </w:p>
        </w:tc>
      </w:tr>
      <w:tr w:rsidR="00E57DAA" w14:paraId="254447E6"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07AC5345" w14:textId="77777777" w:rsidR="00E57DAA" w:rsidRDefault="00AC4185">
            <w:pPr>
              <w:rPr>
                <w:sz w:val="15"/>
                <w:szCs w:val="15"/>
              </w:rPr>
            </w:pPr>
            <w:r>
              <w:rPr>
                <w:sz w:val="15"/>
                <w:szCs w:val="15"/>
              </w:rPr>
              <w:t>合肥中亚科技有限责任公司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79032B3F" w14:textId="77777777" w:rsidR="00E57DAA" w:rsidRDefault="00AC4185">
            <w:pPr>
              <w:jc w:val="right"/>
              <w:rPr>
                <w:sz w:val="15"/>
                <w:szCs w:val="15"/>
              </w:rPr>
            </w:pPr>
            <w:r>
              <w:rPr>
                <w:sz w:val="15"/>
                <w:szCs w:val="15"/>
              </w:rPr>
              <w:t>11,163,196.29</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099EFE09"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33845359"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67E3A05" w14:textId="77777777" w:rsidR="00E57DAA" w:rsidRDefault="00AC4185">
            <w:pPr>
              <w:jc w:val="right"/>
              <w:rPr>
                <w:sz w:val="15"/>
                <w:szCs w:val="15"/>
              </w:rPr>
            </w:pPr>
            <w:r>
              <w:rPr>
                <w:sz w:val="15"/>
                <w:szCs w:val="15"/>
              </w:rPr>
              <w:t>1,469,571.21</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6384D6F6"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7A379306"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41105074" w14:textId="77777777" w:rsidR="00E57DAA" w:rsidRDefault="00AC4185">
            <w:pPr>
              <w:jc w:val="right"/>
              <w:rPr>
                <w:sz w:val="15"/>
                <w:szCs w:val="15"/>
              </w:rPr>
            </w:pPr>
            <w:r>
              <w:rPr>
                <w:sz w:val="15"/>
                <w:szCs w:val="15"/>
              </w:rPr>
              <w:t>666,000.00</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29EB54F9"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4279E56"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EF226D4" w14:textId="77777777" w:rsidR="00E57DAA" w:rsidRDefault="00AC4185">
            <w:pPr>
              <w:jc w:val="right"/>
              <w:rPr>
                <w:sz w:val="15"/>
                <w:szCs w:val="15"/>
              </w:rPr>
            </w:pPr>
            <w:r>
              <w:rPr>
                <w:sz w:val="15"/>
                <w:szCs w:val="15"/>
              </w:rPr>
              <w:t>11,966,767.50</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6AC867D5" w14:textId="77777777" w:rsidR="00E57DAA" w:rsidRDefault="00E57DAA">
            <w:pPr>
              <w:jc w:val="right"/>
              <w:rPr>
                <w:sz w:val="15"/>
                <w:szCs w:val="15"/>
              </w:rPr>
            </w:pPr>
          </w:p>
        </w:tc>
      </w:tr>
      <w:tr w:rsidR="00E57DAA" w14:paraId="07DCC7DB"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4786FD39" w14:textId="77777777" w:rsidR="00E57DAA" w:rsidRDefault="00AC4185">
            <w:pPr>
              <w:rPr>
                <w:sz w:val="15"/>
                <w:szCs w:val="15"/>
              </w:rPr>
            </w:pPr>
            <w:r>
              <w:rPr>
                <w:sz w:val="15"/>
                <w:szCs w:val="15"/>
              </w:rPr>
              <w:lastRenderedPageBreak/>
              <w:t>中国建材检验认证集团公司安徽有限公司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20AD562A" w14:textId="77777777" w:rsidR="00E57DAA" w:rsidRDefault="00AC4185">
            <w:pPr>
              <w:jc w:val="right"/>
              <w:rPr>
                <w:sz w:val="15"/>
                <w:szCs w:val="15"/>
              </w:rPr>
            </w:pPr>
            <w:r>
              <w:rPr>
                <w:sz w:val="15"/>
                <w:szCs w:val="15"/>
              </w:rPr>
              <w:t>9,032,951.06</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34CF56A9" w14:textId="77777777" w:rsidR="00E57DAA" w:rsidRDefault="00E57DAA">
            <w:pPr>
              <w:jc w:val="right"/>
              <w:rPr>
                <w:sz w:val="15"/>
                <w:szCs w:val="15"/>
              </w:rPr>
            </w:pP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113C5D3A"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3D126A7" w14:textId="77777777" w:rsidR="00E57DAA" w:rsidRDefault="00AC4185">
            <w:pPr>
              <w:jc w:val="right"/>
              <w:rPr>
                <w:sz w:val="15"/>
                <w:szCs w:val="15"/>
              </w:rPr>
            </w:pPr>
            <w:r>
              <w:rPr>
                <w:sz w:val="15"/>
                <w:szCs w:val="15"/>
              </w:rPr>
              <w:t>2,545,312.48</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19C4B16F"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29D79DDB"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4FCFACAE"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6D206C0B"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FDDE43A"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E892CDB" w14:textId="77777777" w:rsidR="00E57DAA" w:rsidRDefault="00AC4185">
            <w:pPr>
              <w:jc w:val="right"/>
              <w:rPr>
                <w:sz w:val="15"/>
                <w:szCs w:val="15"/>
              </w:rPr>
            </w:pPr>
            <w:r>
              <w:rPr>
                <w:sz w:val="15"/>
                <w:szCs w:val="15"/>
              </w:rPr>
              <w:t>11,578,263.54</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7F8AB8B4" w14:textId="77777777" w:rsidR="00E57DAA" w:rsidRDefault="00E57DAA">
            <w:pPr>
              <w:jc w:val="right"/>
              <w:rPr>
                <w:sz w:val="15"/>
                <w:szCs w:val="15"/>
              </w:rPr>
            </w:pPr>
          </w:p>
        </w:tc>
      </w:tr>
      <w:tr w:rsidR="00E57DAA" w14:paraId="4C8BBB28"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3BEBD6C7" w14:textId="77777777" w:rsidR="00E57DAA" w:rsidRDefault="00AC4185">
            <w:pPr>
              <w:rPr>
                <w:sz w:val="15"/>
                <w:szCs w:val="15"/>
              </w:rPr>
            </w:pPr>
            <w:r>
              <w:rPr>
                <w:sz w:val="15"/>
                <w:szCs w:val="15"/>
              </w:rPr>
              <w:t>中材水泥有限责任公司</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619B6F4D" w14:textId="77777777" w:rsidR="00E57DAA" w:rsidRDefault="00E57DAA">
            <w:pPr>
              <w:jc w:val="right"/>
              <w:rPr>
                <w:sz w:val="15"/>
                <w:szCs w:val="15"/>
              </w:rPr>
            </w:pP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2309C31A" w14:textId="77777777" w:rsidR="00E57DAA" w:rsidRDefault="00AC4185">
            <w:pPr>
              <w:jc w:val="right"/>
              <w:rPr>
                <w:sz w:val="15"/>
                <w:szCs w:val="15"/>
              </w:rPr>
            </w:pPr>
            <w:r>
              <w:rPr>
                <w:sz w:val="15"/>
                <w:szCs w:val="15"/>
              </w:rPr>
              <w:t>500,000,000.00</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488E8606"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1EB87C42" w14:textId="77777777" w:rsidR="00E57DAA" w:rsidRDefault="00E57DAA">
            <w:pPr>
              <w:jc w:val="right"/>
              <w:rPr>
                <w:sz w:val="15"/>
                <w:szCs w:val="15"/>
              </w:rPr>
            </w:pP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2683AEEB" w14:textId="77777777" w:rsidR="00E57DAA" w:rsidRDefault="00E57DAA">
            <w:pPr>
              <w:jc w:val="right"/>
              <w:rPr>
                <w:sz w:val="15"/>
                <w:szCs w:val="15"/>
              </w:rPr>
            </w:pP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24DA3707" w14:textId="77777777" w:rsidR="00E57DAA" w:rsidRDefault="00E57DAA">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627DD039" w14:textId="77777777" w:rsidR="00E57DAA" w:rsidRDefault="00E57DAA">
            <w:pPr>
              <w:jc w:val="right"/>
              <w:rPr>
                <w:sz w:val="15"/>
                <w:szCs w:val="15"/>
              </w:rPr>
            </w:pP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0FA9FBE4"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73123DC"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3397416" w14:textId="77777777" w:rsidR="00E57DAA" w:rsidRDefault="00AC4185">
            <w:pPr>
              <w:jc w:val="right"/>
              <w:rPr>
                <w:sz w:val="15"/>
                <w:szCs w:val="15"/>
              </w:rPr>
            </w:pPr>
            <w:r>
              <w:rPr>
                <w:sz w:val="15"/>
                <w:szCs w:val="15"/>
              </w:rPr>
              <w:t>500,000,000.00</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4E271635" w14:textId="77777777" w:rsidR="00E57DAA" w:rsidRDefault="00E57DAA">
            <w:pPr>
              <w:jc w:val="right"/>
              <w:rPr>
                <w:sz w:val="15"/>
                <w:szCs w:val="15"/>
              </w:rPr>
            </w:pPr>
          </w:p>
        </w:tc>
      </w:tr>
      <w:tr w:rsidR="00E57DAA" w14:paraId="2F139034" w14:textId="77777777">
        <w:tc>
          <w:tcPr>
            <w:tcW w:w="743" w:type="pct"/>
            <w:tcBorders>
              <w:top w:val="single" w:sz="4" w:space="0" w:color="auto"/>
              <w:left w:val="single" w:sz="4" w:space="0" w:color="auto"/>
              <w:bottom w:val="single" w:sz="4" w:space="0" w:color="auto"/>
              <w:right w:val="single" w:sz="4" w:space="0" w:color="auto"/>
            </w:tcBorders>
            <w:shd w:val="clear" w:color="auto" w:fill="auto"/>
          </w:tcPr>
          <w:p w14:paraId="2797DE73" w14:textId="77777777" w:rsidR="00E57DAA" w:rsidRDefault="00AC4185">
            <w:pPr>
              <w:rPr>
                <w:sz w:val="15"/>
                <w:szCs w:val="15"/>
              </w:rPr>
            </w:pPr>
            <w:r>
              <w:rPr>
                <w:rFonts w:hint="eastAsia"/>
                <w:sz w:val="15"/>
                <w:szCs w:val="15"/>
              </w:rPr>
              <w:t>小计</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083DB15B" w14:textId="77777777" w:rsidR="00E57DAA" w:rsidRDefault="00AC4185">
            <w:pPr>
              <w:jc w:val="right"/>
              <w:rPr>
                <w:sz w:val="15"/>
                <w:szCs w:val="15"/>
              </w:rPr>
            </w:pPr>
            <w:r>
              <w:rPr>
                <w:sz w:val="15"/>
                <w:szCs w:val="15"/>
              </w:rPr>
              <w:t>687,263,520.08</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41C99FCA" w14:textId="77777777" w:rsidR="00E57DAA" w:rsidRDefault="00AC4185">
            <w:pPr>
              <w:jc w:val="right"/>
              <w:rPr>
                <w:sz w:val="15"/>
                <w:szCs w:val="15"/>
              </w:rPr>
            </w:pPr>
            <w:r>
              <w:rPr>
                <w:sz w:val="15"/>
                <w:szCs w:val="15"/>
              </w:rPr>
              <w:t>547,932,640.18</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6F03D6E8"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15869E9" w14:textId="77777777" w:rsidR="00E57DAA" w:rsidRDefault="00AC4185">
            <w:pPr>
              <w:jc w:val="right"/>
              <w:rPr>
                <w:sz w:val="15"/>
                <w:szCs w:val="15"/>
              </w:rPr>
            </w:pPr>
            <w:r>
              <w:rPr>
                <w:sz w:val="15"/>
                <w:szCs w:val="15"/>
              </w:rPr>
              <w:t>-9,521,391.15</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37E3CB37" w14:textId="77777777" w:rsidR="00E57DAA" w:rsidRDefault="00AC4185">
            <w:pPr>
              <w:jc w:val="right"/>
              <w:rPr>
                <w:sz w:val="15"/>
                <w:szCs w:val="15"/>
              </w:rPr>
            </w:pPr>
            <w:r>
              <w:rPr>
                <w:sz w:val="15"/>
                <w:szCs w:val="15"/>
              </w:rPr>
              <w:t>420,446.88</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38F7BFF8" w14:textId="77777777" w:rsidR="00E57DAA" w:rsidRDefault="00AC4185">
            <w:pPr>
              <w:jc w:val="right"/>
              <w:rPr>
                <w:sz w:val="15"/>
                <w:szCs w:val="15"/>
              </w:rPr>
            </w:pPr>
            <w:r>
              <w:rPr>
                <w:sz w:val="15"/>
                <w:szCs w:val="15"/>
              </w:rPr>
              <w:t>-1,390.52</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138C5ADF" w14:textId="77777777" w:rsidR="00E57DAA" w:rsidRDefault="00AC4185">
            <w:pPr>
              <w:jc w:val="right"/>
              <w:rPr>
                <w:sz w:val="15"/>
                <w:szCs w:val="15"/>
              </w:rPr>
            </w:pPr>
            <w:r>
              <w:rPr>
                <w:sz w:val="15"/>
                <w:szCs w:val="15"/>
              </w:rPr>
              <w:t>10,384,398.39</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0A86E552"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4183920"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054859F" w14:textId="77777777" w:rsidR="00E57DAA" w:rsidRDefault="00AC4185">
            <w:pPr>
              <w:jc w:val="right"/>
              <w:rPr>
                <w:sz w:val="15"/>
                <w:szCs w:val="15"/>
              </w:rPr>
            </w:pPr>
            <w:r>
              <w:rPr>
                <w:sz w:val="15"/>
                <w:szCs w:val="15"/>
              </w:rPr>
              <w:t>1,215,709,427.08</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25970E7D" w14:textId="77777777" w:rsidR="00E57DAA" w:rsidRDefault="00E57DAA">
            <w:pPr>
              <w:jc w:val="right"/>
              <w:rPr>
                <w:sz w:val="15"/>
                <w:szCs w:val="15"/>
              </w:rPr>
            </w:pPr>
          </w:p>
        </w:tc>
      </w:tr>
      <w:tr w:rsidR="00E57DAA" w14:paraId="1B6A9A67" w14:textId="77777777">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1C8FD69C" w14:textId="77777777" w:rsidR="00E57DAA" w:rsidRDefault="00AC4185">
            <w:pPr>
              <w:jc w:val="center"/>
              <w:rPr>
                <w:sz w:val="15"/>
                <w:szCs w:val="15"/>
              </w:rPr>
            </w:pPr>
            <w:r>
              <w:rPr>
                <w:rFonts w:hint="eastAsia"/>
                <w:sz w:val="15"/>
                <w:szCs w:val="15"/>
              </w:rPr>
              <w:t>合计</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5528EF98" w14:textId="77777777" w:rsidR="00E57DAA" w:rsidRDefault="00AC4185">
            <w:pPr>
              <w:jc w:val="right"/>
              <w:rPr>
                <w:sz w:val="15"/>
                <w:szCs w:val="15"/>
              </w:rPr>
            </w:pPr>
            <w:r>
              <w:rPr>
                <w:sz w:val="15"/>
                <w:szCs w:val="15"/>
              </w:rPr>
              <w:t>687,263,520.08</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1E7C7AA7" w14:textId="77777777" w:rsidR="00E57DAA" w:rsidRDefault="00AC4185">
            <w:pPr>
              <w:jc w:val="right"/>
              <w:rPr>
                <w:sz w:val="15"/>
                <w:szCs w:val="15"/>
              </w:rPr>
            </w:pPr>
            <w:r>
              <w:rPr>
                <w:sz w:val="15"/>
                <w:szCs w:val="15"/>
              </w:rPr>
              <w:t>547,932,640.18</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14:paraId="287A29BE"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1A02607" w14:textId="77777777" w:rsidR="00E57DAA" w:rsidRDefault="00AC4185">
            <w:pPr>
              <w:jc w:val="right"/>
              <w:rPr>
                <w:sz w:val="15"/>
                <w:szCs w:val="15"/>
              </w:rPr>
            </w:pPr>
            <w:r>
              <w:rPr>
                <w:sz w:val="15"/>
                <w:szCs w:val="15"/>
              </w:rPr>
              <w:t>-9,521,391.15</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27DFC9BD" w14:textId="77777777" w:rsidR="00E57DAA" w:rsidRDefault="00AC4185">
            <w:pPr>
              <w:jc w:val="right"/>
              <w:rPr>
                <w:sz w:val="15"/>
                <w:szCs w:val="15"/>
              </w:rPr>
            </w:pPr>
            <w:r>
              <w:rPr>
                <w:sz w:val="15"/>
                <w:szCs w:val="15"/>
              </w:rPr>
              <w:t>420,446.88</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4F4B206A" w14:textId="77777777" w:rsidR="00E57DAA" w:rsidRDefault="00AC4185">
            <w:pPr>
              <w:jc w:val="right"/>
              <w:rPr>
                <w:sz w:val="15"/>
                <w:szCs w:val="15"/>
              </w:rPr>
            </w:pPr>
            <w:r>
              <w:rPr>
                <w:sz w:val="15"/>
                <w:szCs w:val="15"/>
              </w:rPr>
              <w:t>-1,390.52</w:t>
            </w:r>
          </w:p>
        </w:tc>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10276AA9" w14:textId="77777777" w:rsidR="00E57DAA" w:rsidRDefault="00AC4185">
            <w:pPr>
              <w:jc w:val="right"/>
              <w:rPr>
                <w:sz w:val="15"/>
                <w:szCs w:val="15"/>
              </w:rPr>
            </w:pPr>
            <w:r>
              <w:rPr>
                <w:sz w:val="15"/>
                <w:szCs w:val="15"/>
              </w:rPr>
              <w:t>10,384,398.39</w:t>
            </w:r>
          </w:p>
        </w:tc>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3339B4D" w14:textId="77777777" w:rsidR="00E57DAA" w:rsidRDefault="00E57DAA">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DD9C4DE" w14:textId="77777777" w:rsidR="00E57DAA" w:rsidRDefault="00E57DAA">
            <w:pPr>
              <w:jc w:val="right"/>
              <w:rPr>
                <w:sz w:val="15"/>
                <w:szCs w:val="15"/>
              </w:rPr>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6626812" w14:textId="77777777" w:rsidR="00E57DAA" w:rsidRDefault="00AC4185">
            <w:pPr>
              <w:jc w:val="right"/>
              <w:rPr>
                <w:sz w:val="15"/>
                <w:szCs w:val="15"/>
              </w:rPr>
            </w:pPr>
            <w:r>
              <w:rPr>
                <w:sz w:val="15"/>
                <w:szCs w:val="15"/>
              </w:rPr>
              <w:t>1,215,709,427.08</w:t>
            </w:r>
          </w:p>
        </w:tc>
        <w:tc>
          <w:tcPr>
            <w:tcW w:w="196" w:type="pct"/>
            <w:tcBorders>
              <w:top w:val="single" w:sz="4" w:space="0" w:color="auto"/>
              <w:left w:val="single" w:sz="4" w:space="0" w:color="auto"/>
              <w:bottom w:val="single" w:sz="4" w:space="0" w:color="auto"/>
              <w:right w:val="single" w:sz="4" w:space="0" w:color="auto"/>
            </w:tcBorders>
            <w:shd w:val="clear" w:color="auto" w:fill="auto"/>
          </w:tcPr>
          <w:p w14:paraId="283F31EA" w14:textId="77777777" w:rsidR="00E57DAA" w:rsidRDefault="00E57DAA">
            <w:pPr>
              <w:jc w:val="right"/>
              <w:rPr>
                <w:sz w:val="15"/>
                <w:szCs w:val="15"/>
              </w:rPr>
            </w:pPr>
          </w:p>
        </w:tc>
      </w:tr>
    </w:tbl>
    <w:p w14:paraId="63B22454" w14:textId="77777777" w:rsidR="00E57DAA" w:rsidRDefault="00E57DAA" w:rsidP="00C25422">
      <w:pPr>
        <w:pStyle w:val="92"/>
      </w:pPr>
    </w:p>
    <w:p w14:paraId="44288C39" w14:textId="77777777" w:rsidR="00E57DAA" w:rsidRDefault="00E57DAA">
      <w:pPr>
        <w:snapToGrid w:val="0"/>
        <w:spacing w:line="240" w:lineRule="atLeast"/>
        <w:rPr>
          <w:szCs w:val="21"/>
        </w:rPr>
      </w:pPr>
    </w:p>
    <w:p w14:paraId="62983B26" w14:textId="77777777" w:rsidR="00E57DAA" w:rsidRDefault="00AC4185">
      <w:pPr>
        <w:pStyle w:val="4"/>
        <w:numPr>
          <w:ilvl w:val="0"/>
          <w:numId w:val="80"/>
        </w:numPr>
      </w:pPr>
      <w:r>
        <w:rPr>
          <w:rFonts w:hint="eastAsia"/>
        </w:rPr>
        <w:t>长期股权投资的减值测试情况</w:t>
      </w:r>
    </w:p>
    <w:sdt>
      <w:sdtPr>
        <w:alias w:val="是否适用：减值测试情况[双击切换]"/>
        <w:tag w:val="_GBC_869bca5d4169451086ae6ff386220647"/>
        <w:id w:val="321478218"/>
        <w:placeholder>
          <w:docPart w:val="GBC22222222222222222222222222222"/>
        </w:placeholder>
      </w:sdtPr>
      <w:sdtEndPr/>
      <w:sdtContent>
        <w:p w14:paraId="052215D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ACCEAC" w14:textId="77777777" w:rsidR="00E57DAA" w:rsidRDefault="00E57DAA" w:rsidP="00C25422">
      <w:pPr>
        <w:pStyle w:val="92"/>
      </w:pPr>
    </w:p>
    <w:p w14:paraId="0B814FBD" w14:textId="77777777" w:rsidR="00E57DAA" w:rsidRDefault="00AC4185" w:rsidP="00C25422">
      <w:pPr>
        <w:pStyle w:val="91"/>
        <w:numPr>
          <w:ilvl w:val="0"/>
          <w:numId w:val="69"/>
        </w:numPr>
      </w:pPr>
      <w:r>
        <w:rPr>
          <w:rFonts w:hint="eastAsia"/>
        </w:rPr>
        <w:t>其他权益工具投资</w:t>
      </w:r>
    </w:p>
    <w:p w14:paraId="7ADCC26C" w14:textId="77777777" w:rsidR="00E57DAA" w:rsidRDefault="00AC4185">
      <w:pPr>
        <w:pStyle w:val="4"/>
        <w:numPr>
          <w:ilvl w:val="3"/>
          <w:numId w:val="81"/>
        </w:numPr>
        <w:ind w:left="426" w:hanging="426"/>
      </w:pPr>
      <w:bookmarkStart w:id="253" w:name="_Hlk532994936"/>
      <w:r>
        <w:rPr>
          <w:rFonts w:hint="eastAsia"/>
        </w:rPr>
        <w:t>其他权益工具投资情况</w:t>
      </w:r>
    </w:p>
    <w:bookmarkStart w:id="254" w:name="_Hlk152858292" w:displacedByCustomXml="next"/>
    <w:bookmarkStart w:id="255" w:name="_Hlk533409702" w:displacedByCustomXml="next"/>
    <w:sdt>
      <w:sdtPr>
        <w:alias w:val="是否适用：其他权益工具投资情况[双击切换]"/>
        <w:tag w:val="_GBC_d086d5c38ce84090b98eac90481c97aa"/>
        <w:id w:val="-1496491587"/>
        <w:placeholder>
          <w:docPart w:val="GBC22222222222222222222222222222"/>
        </w:placeholder>
      </w:sdtPr>
      <w:sdtEndPr/>
      <w:sdtContent>
        <w:p w14:paraId="021BB55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53"/>
    <w:bookmarkEnd w:id="255"/>
    <w:bookmarkEnd w:id="254"/>
    <w:p w14:paraId="7C090AF1" w14:textId="77777777" w:rsidR="00E57DAA" w:rsidRDefault="00E57DAA" w:rsidP="00C25422">
      <w:pPr>
        <w:pStyle w:val="92"/>
      </w:pPr>
    </w:p>
    <w:p w14:paraId="01F5CA2D" w14:textId="77777777" w:rsidR="00E57DAA" w:rsidRDefault="00AC4185">
      <w:pPr>
        <w:pStyle w:val="4"/>
        <w:numPr>
          <w:ilvl w:val="3"/>
          <w:numId w:val="81"/>
        </w:numPr>
        <w:ind w:left="426" w:hanging="426"/>
      </w:pPr>
      <w:r>
        <w:rPr>
          <w:rFonts w:hint="eastAsia"/>
        </w:rPr>
        <w:t>本期存在终止确认的情况说明</w:t>
      </w:r>
    </w:p>
    <w:sdt>
      <w:sdtPr>
        <w:alias w:val="是否适用：本期存在终止确认的情况说明[双击切换]"/>
        <w:tag w:val="_GBC_27e93a66690f439284ed9d6df3a9bd6c"/>
        <w:id w:val="124286560"/>
        <w:placeholder>
          <w:docPart w:val="GBC22222222222222222222222222222"/>
        </w:placeholder>
      </w:sdtPr>
      <w:sdtEndPr/>
      <w:sdtContent>
        <w:p w14:paraId="4D59C5E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096F63" w14:textId="77777777" w:rsidR="00E57DAA" w:rsidRDefault="00E57DAA" w:rsidP="00C25422">
      <w:pPr>
        <w:pStyle w:val="92"/>
      </w:pPr>
    </w:p>
    <w:p w14:paraId="6D02CBE1" w14:textId="77777777" w:rsidR="00E57DAA" w:rsidRDefault="00AC4185" w:rsidP="00C25422">
      <w:pPr>
        <w:pStyle w:val="92"/>
      </w:pPr>
      <w:r>
        <w:rPr>
          <w:rFonts w:hint="eastAsia"/>
        </w:rPr>
        <w:t>其他</w:t>
      </w:r>
      <w:r>
        <w:t>说明</w:t>
      </w:r>
      <w:r>
        <w:rPr>
          <w:rFonts w:hint="eastAsia"/>
        </w:rPr>
        <w:t>：</w:t>
      </w:r>
    </w:p>
    <w:sdt>
      <w:sdtPr>
        <w:alias w:val="是否适用：其他权益工具投资其他说明[双击切换]"/>
        <w:tag w:val="_GBC_217dff5073ff4a12b86d342292038452"/>
        <w:id w:val="-1672865653"/>
        <w:placeholder>
          <w:docPart w:val="GBC22222222222222222222222222222"/>
        </w:placeholder>
      </w:sdtPr>
      <w:sdtEndPr/>
      <w:sdtContent>
        <w:p w14:paraId="1F54694E"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58A4D7" w14:textId="77777777" w:rsidR="00E57DAA" w:rsidRDefault="00E57DAA">
      <w:pPr>
        <w:snapToGrid w:val="0"/>
        <w:spacing w:line="240" w:lineRule="atLeast"/>
        <w:rPr>
          <w:szCs w:val="21"/>
        </w:rPr>
      </w:pPr>
    </w:p>
    <w:p w14:paraId="57B874DE" w14:textId="77777777" w:rsidR="00E57DAA" w:rsidRDefault="00E57DAA" w:rsidP="00C25422">
      <w:pPr>
        <w:pStyle w:val="92"/>
      </w:pPr>
    </w:p>
    <w:p w14:paraId="5A683B4B" w14:textId="77777777" w:rsidR="00E57DAA" w:rsidRDefault="00E57DAA" w:rsidP="00C25422">
      <w:pPr>
        <w:pStyle w:val="92"/>
      </w:pPr>
    </w:p>
    <w:p w14:paraId="6BB7937F" w14:textId="77777777" w:rsidR="00E57DAA" w:rsidRDefault="00E57DAA">
      <w:pPr>
        <w:sectPr w:rsidR="00E57DAA" w:rsidSect="00226547">
          <w:pgSz w:w="16838" w:h="11906" w:orient="landscape"/>
          <w:pgMar w:top="1276" w:right="1440" w:bottom="1797" w:left="1525" w:header="856" w:footer="992" w:gutter="0"/>
          <w:cols w:space="425"/>
          <w:docGrid w:linePitch="312"/>
        </w:sectPr>
      </w:pPr>
    </w:p>
    <w:p w14:paraId="7CA25483" w14:textId="77777777" w:rsidR="00E57DAA" w:rsidRDefault="00AC4185" w:rsidP="00C25422">
      <w:pPr>
        <w:pStyle w:val="91"/>
        <w:numPr>
          <w:ilvl w:val="0"/>
          <w:numId w:val="69"/>
        </w:numPr>
      </w:pPr>
      <w:r>
        <w:rPr>
          <w:rFonts w:hint="eastAsia"/>
        </w:rPr>
        <w:lastRenderedPageBreak/>
        <w:t>其他非流动金融资产</w:t>
      </w:r>
    </w:p>
    <w:bookmarkStart w:id="256" w:name="_Hlk533409746" w:displacedByCustomXml="next"/>
    <w:sdt>
      <w:sdtPr>
        <w:alias w:val="是否适用：其他非流动金融资产[双击切换]"/>
        <w:tag w:val="_GBC_6b599068045d444b87b686a3b6690bf1"/>
        <w:id w:val="-644968171"/>
        <w:placeholder>
          <w:docPart w:val="GBC22222222222222222222222222222"/>
        </w:placeholder>
      </w:sdtPr>
      <w:sdtEndPr/>
      <w:sdtContent>
        <w:p w14:paraId="7A911CA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04FE46" w14:textId="77777777" w:rsidR="00E57DAA" w:rsidRDefault="00E57DAA" w:rsidP="00C25422">
      <w:pPr>
        <w:pStyle w:val="92"/>
      </w:pPr>
    </w:p>
    <w:p w14:paraId="569B818B" w14:textId="77777777" w:rsidR="00E57DAA" w:rsidRDefault="00AC4185" w:rsidP="00C25422">
      <w:pPr>
        <w:pStyle w:val="92"/>
      </w:pPr>
      <w:r>
        <w:rPr>
          <w:rFonts w:hint="eastAsia"/>
        </w:rPr>
        <w:t>其他</w:t>
      </w:r>
      <w:r>
        <w:t>说明</w:t>
      </w:r>
      <w:r>
        <w:rPr>
          <w:rFonts w:hint="eastAsia"/>
        </w:rPr>
        <w:t>：</w:t>
      </w:r>
    </w:p>
    <w:bookmarkEnd w:id="256" w:displacedByCustomXml="next"/>
    <w:sdt>
      <w:sdtPr>
        <w:rPr>
          <w:szCs w:val="21"/>
        </w:rPr>
        <w:alias w:val="是否适用：其他非流动金融资产其他说明[双击切换]"/>
        <w:tag w:val="_GBC_037912ebdd3b4e80b4b66cf88f8cb3e7"/>
        <w:id w:val="625287047"/>
        <w:placeholder>
          <w:docPart w:val="GBC22222222222222222222222222222"/>
        </w:placeholder>
      </w:sdtPr>
      <w:sdtEndPr/>
      <w:sdtContent>
        <w:p w14:paraId="26C5A19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D4ED82" w14:textId="77777777" w:rsidR="00E57DAA" w:rsidRDefault="00E57DAA">
      <w:pPr>
        <w:snapToGrid w:val="0"/>
        <w:spacing w:line="240" w:lineRule="atLeast"/>
        <w:rPr>
          <w:szCs w:val="21"/>
        </w:rPr>
      </w:pPr>
    </w:p>
    <w:p w14:paraId="31A84AED" w14:textId="77777777" w:rsidR="00E57DAA" w:rsidRDefault="00AC4185" w:rsidP="00C25422">
      <w:pPr>
        <w:pStyle w:val="91"/>
        <w:numPr>
          <w:ilvl w:val="0"/>
          <w:numId w:val="69"/>
        </w:numPr>
      </w:pPr>
      <w:r>
        <w:rPr>
          <w:rFonts w:hint="eastAsia"/>
        </w:rPr>
        <w:t>投资性房地产</w:t>
      </w:r>
    </w:p>
    <w:p w14:paraId="204F3081" w14:textId="77777777" w:rsidR="00E57DAA" w:rsidRDefault="00AC4185" w:rsidP="00C25422">
      <w:pPr>
        <w:pStyle w:val="92"/>
      </w:pPr>
      <w:r>
        <w:t>投资性房地产</w:t>
      </w:r>
      <w:r>
        <w:rPr>
          <w:rFonts w:hint="eastAsia"/>
        </w:rPr>
        <w:t>计量模式</w:t>
      </w:r>
    </w:p>
    <w:p w14:paraId="19048681" w14:textId="77777777" w:rsidR="00E57DAA" w:rsidRDefault="00AC4185">
      <w:pPr>
        <w:pStyle w:val="4"/>
        <w:numPr>
          <w:ilvl w:val="3"/>
          <w:numId w:val="82"/>
        </w:numPr>
        <w:ind w:left="426" w:hanging="426"/>
      </w:pPr>
      <w:r>
        <w:rPr>
          <w:rFonts w:hint="eastAsia"/>
        </w:rPr>
        <w:t>采用成本计量模式的投资性房地产</w:t>
      </w:r>
    </w:p>
    <w:p w14:paraId="5DA8BAD5" w14:textId="77777777" w:rsidR="00E57DAA" w:rsidRDefault="00AC4185">
      <w:pPr>
        <w:jc w:val="right"/>
        <w:rPr>
          <w:szCs w:val="21"/>
        </w:rPr>
      </w:pPr>
      <w:r>
        <w:rPr>
          <w:rFonts w:hint="eastAsia"/>
          <w:szCs w:val="21"/>
        </w:rPr>
        <w:t>单位：</w:t>
      </w:r>
      <w:sdt>
        <w:sdtPr>
          <w:rPr>
            <w:rFonts w:hint="eastAsia"/>
            <w:szCs w:val="21"/>
          </w:rPr>
          <w:alias w:val="单位：财务附注：投资性房地产"/>
          <w:tag w:val="_GBC_eb1db4bb3f154f52938b7c4bb5edbd80"/>
          <w:id w:val="-8845615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5190109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5"/>
        <w:gridCol w:w="1938"/>
        <w:gridCol w:w="1936"/>
        <w:gridCol w:w="1814"/>
      </w:tblGrid>
      <w:tr w:rsidR="00E57DAA" w14:paraId="768E55EE" w14:textId="77777777">
        <w:trPr>
          <w:trHeight w:val="272"/>
        </w:trPr>
        <w:sdt>
          <w:sdtPr>
            <w:tag w:val="_PLD_6c12dd4f07e84f0eb6257919933bd416"/>
            <w:id w:val="-119932832"/>
          </w:sdtPr>
          <w:sdtEndPr/>
          <w:sdtContent>
            <w:tc>
              <w:tcPr>
                <w:tcW w:w="1777" w:type="pct"/>
                <w:tcBorders>
                  <w:top w:val="single" w:sz="4" w:space="0" w:color="auto"/>
                  <w:left w:val="single" w:sz="4" w:space="0" w:color="auto"/>
                  <w:bottom w:val="single" w:sz="4" w:space="0" w:color="auto"/>
                  <w:right w:val="single" w:sz="4" w:space="0" w:color="auto"/>
                </w:tcBorders>
                <w:shd w:val="clear" w:color="auto" w:fill="auto"/>
                <w:vAlign w:val="center"/>
              </w:tcPr>
              <w:p w14:paraId="2D147185" w14:textId="77777777" w:rsidR="00E57DAA" w:rsidRDefault="00AC4185">
                <w:pPr>
                  <w:jc w:val="center"/>
                  <w:rPr>
                    <w:szCs w:val="21"/>
                  </w:rPr>
                </w:pPr>
                <w:r>
                  <w:rPr>
                    <w:rFonts w:hint="eastAsia"/>
                    <w:szCs w:val="21"/>
                  </w:rPr>
                  <w:t>项目</w:t>
                </w:r>
              </w:p>
            </w:tc>
          </w:sdtContent>
        </w:sdt>
        <w:sdt>
          <w:sdtPr>
            <w:tag w:val="_PLD_4d654f9f882a4621a32482a463b6b80f"/>
            <w:id w:val="-560093546"/>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453C3A0" w14:textId="77777777" w:rsidR="00E57DAA" w:rsidRDefault="00AC4185">
                <w:pPr>
                  <w:jc w:val="center"/>
                  <w:rPr>
                    <w:szCs w:val="21"/>
                  </w:rPr>
                </w:pPr>
                <w:r>
                  <w:rPr>
                    <w:rFonts w:hint="eastAsia"/>
                    <w:szCs w:val="21"/>
                  </w:rPr>
                  <w:t>房屋、建筑物</w:t>
                </w:r>
              </w:p>
            </w:tc>
          </w:sdtContent>
        </w:sdt>
        <w:sdt>
          <w:sdtPr>
            <w:tag w:val="_PLD_e67580bbd978417792c1b582fb588aa3"/>
            <w:id w:val="869886706"/>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C848F78" w14:textId="77777777" w:rsidR="00E57DAA" w:rsidRDefault="00AC4185">
                <w:pPr>
                  <w:jc w:val="center"/>
                  <w:rPr>
                    <w:szCs w:val="21"/>
                  </w:rPr>
                </w:pPr>
                <w:r>
                  <w:rPr>
                    <w:rFonts w:hint="eastAsia"/>
                    <w:szCs w:val="21"/>
                  </w:rPr>
                  <w:t>土地使用权</w:t>
                </w:r>
              </w:p>
            </w:tc>
          </w:sdtContent>
        </w:sdt>
        <w:sdt>
          <w:sdtPr>
            <w:tag w:val="_PLD_fd303a2077a34c63b3d342e813f2cfd7"/>
            <w:id w:val="503632183"/>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480A6DE" w14:textId="77777777" w:rsidR="00E57DAA" w:rsidRDefault="00AC4185">
                <w:pPr>
                  <w:jc w:val="center"/>
                  <w:rPr>
                    <w:szCs w:val="21"/>
                  </w:rPr>
                </w:pPr>
                <w:r>
                  <w:rPr>
                    <w:rFonts w:hint="eastAsia"/>
                    <w:szCs w:val="21"/>
                  </w:rPr>
                  <w:t>合计</w:t>
                </w:r>
              </w:p>
            </w:tc>
          </w:sdtContent>
        </w:sdt>
      </w:tr>
      <w:tr w:rsidR="00E57DAA" w14:paraId="4B388301" w14:textId="77777777">
        <w:trPr>
          <w:trHeight w:val="272"/>
        </w:trPr>
        <w:sdt>
          <w:sdtPr>
            <w:tag w:val="_PLD_a195350d4b924a2ab316232cbfe918bf"/>
            <w:id w:val="-1753657332"/>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4D839002" w14:textId="77777777" w:rsidR="00E57DAA" w:rsidRDefault="00AC4185">
                <w:pPr>
                  <w:rPr>
                    <w:szCs w:val="21"/>
                  </w:rPr>
                </w:pPr>
                <w:r>
                  <w:rPr>
                    <w:rFonts w:hint="eastAsia"/>
                    <w:szCs w:val="21"/>
                  </w:rPr>
                  <w:t>一、账面原值</w:t>
                </w:r>
              </w:p>
            </w:tc>
          </w:sdtContent>
        </w:sdt>
      </w:tr>
      <w:tr w:rsidR="00E57DAA" w14:paraId="519197B6"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520694E1" w14:textId="77777777" w:rsidR="00E57DAA" w:rsidRDefault="00AC4185">
            <w:pPr>
              <w:ind w:firstLineChars="150" w:firstLine="315"/>
              <w:rPr>
                <w:szCs w:val="21"/>
              </w:rPr>
            </w:pPr>
            <w:r>
              <w:rPr>
                <w:szCs w:val="21"/>
              </w:rPr>
              <w:t>1.</w:t>
            </w:r>
            <w:r>
              <w:rPr>
                <w:rFonts w:hint="eastAsia"/>
                <w:szCs w:val="21"/>
              </w:rPr>
              <w:t>期初余额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18A5B92" w14:textId="77777777" w:rsidR="00E57DAA" w:rsidRDefault="00AC4185">
            <w:pPr>
              <w:jc w:val="right"/>
              <w:rPr>
                <w:szCs w:val="21"/>
              </w:rPr>
            </w:pPr>
            <w:r>
              <w:t>707,879,493.64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3E7D618" w14:textId="77777777" w:rsidR="00E57DAA" w:rsidRDefault="00AC4185">
            <w:pPr>
              <w:jc w:val="right"/>
              <w:rPr>
                <w:szCs w:val="21"/>
              </w:rPr>
            </w:pPr>
            <w:r>
              <w:t>111,366,188.15</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00D1955" w14:textId="77777777" w:rsidR="00E57DAA" w:rsidRDefault="00AC4185">
            <w:pPr>
              <w:jc w:val="right"/>
              <w:rPr>
                <w:szCs w:val="21"/>
              </w:rPr>
            </w:pPr>
            <w:r>
              <w:t>819,245,681.79</w:t>
            </w:r>
          </w:p>
        </w:tc>
      </w:tr>
      <w:tr w:rsidR="00E57DAA" w14:paraId="47BB4654"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5976060B" w14:textId="77777777" w:rsidR="00E57DAA" w:rsidRDefault="00AC4185">
            <w:pPr>
              <w:ind w:firstLineChars="150" w:firstLine="315"/>
              <w:rPr>
                <w:szCs w:val="21"/>
              </w:rPr>
            </w:pPr>
            <w:r>
              <w:rPr>
                <w:szCs w:val="21"/>
              </w:rPr>
              <w:t>2.</w:t>
            </w:r>
            <w:r>
              <w:rPr>
                <w:rFonts w:hint="eastAsia"/>
                <w:szCs w:val="21"/>
              </w:rPr>
              <w:t>本期增加金额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FD2C78A" w14:textId="77777777" w:rsidR="00E57DAA" w:rsidRDefault="00AC4185">
            <w:pPr>
              <w:jc w:val="right"/>
              <w:rPr>
                <w:szCs w:val="21"/>
              </w:rPr>
            </w:pPr>
            <w:r>
              <w:t>104,675,385.76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43DB00D"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D97E864" w14:textId="77777777" w:rsidR="00E57DAA" w:rsidRDefault="00AC4185">
            <w:pPr>
              <w:jc w:val="right"/>
              <w:rPr>
                <w:szCs w:val="21"/>
              </w:rPr>
            </w:pPr>
            <w:r>
              <w:t>104,675,385.76</w:t>
            </w:r>
          </w:p>
        </w:tc>
      </w:tr>
      <w:tr w:rsidR="00E57DAA" w14:paraId="154237D2"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7685E40C" w14:textId="77777777" w:rsidR="00E57DAA" w:rsidRDefault="00AC4185">
            <w:pPr>
              <w:ind w:firstLineChars="150" w:firstLine="315"/>
              <w:rPr>
                <w:szCs w:val="21"/>
              </w:rPr>
            </w:pPr>
            <w:r>
              <w:rPr>
                <w:rFonts w:hint="eastAsia"/>
                <w:szCs w:val="21"/>
              </w:rPr>
              <w:t>（1）外购</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98A90E8" w14:textId="77777777" w:rsidR="00E57DAA" w:rsidRDefault="00AC4185">
            <w:pPr>
              <w:jc w:val="right"/>
              <w:rPr>
                <w:szCs w:val="21"/>
              </w:rPr>
            </w:pPr>
            <w:r>
              <w:t>16,879,682.86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3E5C12A"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0303A88" w14:textId="77777777" w:rsidR="00E57DAA" w:rsidRDefault="00AC4185">
            <w:pPr>
              <w:jc w:val="right"/>
              <w:rPr>
                <w:szCs w:val="21"/>
              </w:rPr>
            </w:pPr>
            <w:r>
              <w:t>16,879,682.86</w:t>
            </w:r>
          </w:p>
        </w:tc>
      </w:tr>
      <w:tr w:rsidR="00E57DAA" w14:paraId="5A0AFD29"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2864208C" w14:textId="77777777" w:rsidR="00E57DAA" w:rsidRDefault="00AC4185">
            <w:pPr>
              <w:ind w:firstLineChars="150" w:firstLine="315"/>
              <w:rPr>
                <w:szCs w:val="21"/>
              </w:rPr>
            </w:pPr>
            <w:r>
              <w:rPr>
                <w:rFonts w:hint="eastAsia"/>
              </w:rPr>
              <w:t>（2）</w:t>
            </w:r>
            <w:r>
              <w:t>在建工程转入</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441699C" w14:textId="77777777" w:rsidR="00E57DAA" w:rsidRDefault="00AC4185">
            <w:pPr>
              <w:jc w:val="right"/>
              <w:rPr>
                <w:szCs w:val="21"/>
              </w:rPr>
            </w:pPr>
            <w:r>
              <w:t>15,644,087.78</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C7D5BD6"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0391C99" w14:textId="77777777" w:rsidR="00E57DAA" w:rsidRDefault="00AC4185">
            <w:pPr>
              <w:jc w:val="right"/>
              <w:rPr>
                <w:szCs w:val="21"/>
              </w:rPr>
            </w:pPr>
            <w:r>
              <w:t>15,644,087.78</w:t>
            </w:r>
          </w:p>
        </w:tc>
      </w:tr>
      <w:tr w:rsidR="00E57DAA" w14:paraId="6E397158"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729EF72B" w14:textId="77777777" w:rsidR="00E57DAA" w:rsidRDefault="00AC4185">
            <w:pPr>
              <w:ind w:firstLineChars="150" w:firstLine="315"/>
              <w:rPr>
                <w:szCs w:val="21"/>
              </w:rPr>
            </w:pPr>
            <w:r>
              <w:rPr>
                <w:rFonts w:hint="eastAsia"/>
              </w:rPr>
              <w:t>（3）</w:t>
            </w:r>
            <w:r>
              <w:t>债务重组</w:t>
            </w:r>
            <w:r>
              <w:rPr>
                <w:rFonts w:hint="eastAsia"/>
              </w:rPr>
              <w:t>取得</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77D0E54" w14:textId="77777777" w:rsidR="00E57DAA" w:rsidRDefault="00AC4185">
            <w:pPr>
              <w:jc w:val="right"/>
              <w:rPr>
                <w:szCs w:val="21"/>
              </w:rPr>
            </w:pPr>
            <w:r>
              <w:t>65,563,300.00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39B80F5"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FAF2C0B" w14:textId="77777777" w:rsidR="00E57DAA" w:rsidRDefault="00AC4185">
            <w:pPr>
              <w:jc w:val="right"/>
              <w:rPr>
                <w:szCs w:val="21"/>
              </w:rPr>
            </w:pPr>
            <w:r>
              <w:t>65,563,300.00</w:t>
            </w:r>
          </w:p>
        </w:tc>
      </w:tr>
      <w:tr w:rsidR="00E57DAA" w14:paraId="0FA4CBA1"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2CBE2485" w14:textId="77777777" w:rsidR="00E57DAA" w:rsidRDefault="00AC4185">
            <w:pPr>
              <w:ind w:firstLineChars="150" w:firstLine="315"/>
              <w:rPr>
                <w:szCs w:val="21"/>
              </w:rPr>
            </w:pPr>
            <w:r>
              <w:rPr>
                <w:rFonts w:hint="eastAsia"/>
              </w:rPr>
              <w:t>（4）</w:t>
            </w:r>
            <w:r>
              <w:t>固定资产转入</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58BDD5B" w14:textId="77777777" w:rsidR="00E57DAA" w:rsidRDefault="00AC4185">
            <w:pPr>
              <w:jc w:val="right"/>
              <w:rPr>
                <w:szCs w:val="21"/>
              </w:rPr>
            </w:pPr>
            <w:r>
              <w:t>6,447,447.58</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1B7BA23"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06C8E87" w14:textId="77777777" w:rsidR="00E57DAA" w:rsidRDefault="00AC4185">
            <w:pPr>
              <w:jc w:val="right"/>
              <w:rPr>
                <w:szCs w:val="21"/>
              </w:rPr>
            </w:pPr>
            <w:r>
              <w:t>6,447,447.58</w:t>
            </w:r>
          </w:p>
        </w:tc>
      </w:tr>
      <w:tr w:rsidR="00E57DAA" w14:paraId="64785658"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40249942" w14:textId="77777777" w:rsidR="00E57DAA" w:rsidRDefault="00AC4185">
            <w:pPr>
              <w:ind w:firstLineChars="150" w:firstLine="315"/>
              <w:rPr>
                <w:szCs w:val="21"/>
              </w:rPr>
            </w:pPr>
            <w:r>
              <w:rPr>
                <w:rFonts w:hint="eastAsia"/>
              </w:rPr>
              <w:t>（5）</w:t>
            </w:r>
            <w:r>
              <w:t>其他原因增加</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718548A" w14:textId="77777777" w:rsidR="00E57DAA" w:rsidRDefault="00AC4185">
            <w:pPr>
              <w:jc w:val="right"/>
              <w:rPr>
                <w:szCs w:val="21"/>
              </w:rPr>
            </w:pPr>
            <w:r>
              <w:t>140,867.54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B700A9F"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4546374" w14:textId="77777777" w:rsidR="00E57DAA" w:rsidRDefault="00AC4185">
            <w:pPr>
              <w:jc w:val="right"/>
              <w:rPr>
                <w:szCs w:val="21"/>
              </w:rPr>
            </w:pPr>
            <w:r>
              <w:t>140,867.54</w:t>
            </w:r>
          </w:p>
        </w:tc>
      </w:tr>
      <w:tr w:rsidR="00E57DAA" w14:paraId="6766825E"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77955BE3" w14:textId="77777777" w:rsidR="00E57DAA" w:rsidRDefault="00AC4185">
            <w:pPr>
              <w:ind w:firstLineChars="150" w:firstLine="315"/>
              <w:rPr>
                <w:szCs w:val="21"/>
              </w:rPr>
            </w:pPr>
            <w:r>
              <w:rPr>
                <w:rFonts w:hint="eastAsia"/>
                <w:szCs w:val="21"/>
              </w:rPr>
              <w:t>3.本期减少金额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7F2FF36" w14:textId="77777777" w:rsidR="00E57DAA" w:rsidRDefault="00AC4185">
            <w:pPr>
              <w:jc w:val="right"/>
              <w:rPr>
                <w:szCs w:val="21"/>
              </w:rPr>
            </w:pPr>
            <w:r>
              <w:t>12,755,648.60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0359C41"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3B810BA" w14:textId="77777777" w:rsidR="00E57DAA" w:rsidRDefault="00AC4185">
            <w:pPr>
              <w:jc w:val="right"/>
              <w:rPr>
                <w:szCs w:val="21"/>
              </w:rPr>
            </w:pPr>
            <w:r>
              <w:t>12,755,648.60</w:t>
            </w:r>
          </w:p>
        </w:tc>
      </w:tr>
      <w:tr w:rsidR="00E57DAA" w14:paraId="55A53CDA"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62A42D5C" w14:textId="77777777" w:rsidR="00E57DAA" w:rsidRDefault="00AC4185">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F6CFAC3" w14:textId="77777777" w:rsidR="00E57DAA" w:rsidRDefault="00AC4185">
            <w:pPr>
              <w:jc w:val="right"/>
              <w:rPr>
                <w:szCs w:val="21"/>
              </w:rPr>
            </w:pPr>
            <w:r>
              <w:t>12,755,648.60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2DCEA9A"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020CEAB" w14:textId="77777777" w:rsidR="00E57DAA" w:rsidRDefault="00AC4185">
            <w:pPr>
              <w:jc w:val="right"/>
              <w:rPr>
                <w:szCs w:val="21"/>
              </w:rPr>
            </w:pPr>
            <w:r>
              <w:t>12,755,648.60</w:t>
            </w:r>
          </w:p>
        </w:tc>
      </w:tr>
      <w:tr w:rsidR="00E57DAA" w14:paraId="3F76FE9B"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3F1C6304" w14:textId="77777777" w:rsidR="00E57DAA" w:rsidRDefault="00AC4185">
            <w:pPr>
              <w:ind w:firstLineChars="200" w:firstLine="420"/>
              <w:rPr>
                <w:szCs w:val="21"/>
              </w:rPr>
            </w:pPr>
            <w:r>
              <w:rPr>
                <w:rFonts w:hint="eastAsia"/>
                <w:szCs w:val="21"/>
              </w:rPr>
              <w:t>4.期末余额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F0F78E7" w14:textId="77777777" w:rsidR="00E57DAA" w:rsidRDefault="00AC4185">
            <w:pPr>
              <w:jc w:val="right"/>
              <w:rPr>
                <w:szCs w:val="21"/>
              </w:rPr>
            </w:pPr>
            <w:r>
              <w:t>799,799,230.80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F9E17B3" w14:textId="77777777" w:rsidR="00E57DAA" w:rsidRDefault="00AC4185">
            <w:pPr>
              <w:jc w:val="right"/>
              <w:rPr>
                <w:szCs w:val="21"/>
              </w:rPr>
            </w:pPr>
            <w:r>
              <w:t>111,366,188.15</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F000970" w14:textId="77777777" w:rsidR="00E57DAA" w:rsidRDefault="00AC4185">
            <w:pPr>
              <w:jc w:val="right"/>
              <w:rPr>
                <w:szCs w:val="21"/>
              </w:rPr>
            </w:pPr>
            <w:r>
              <w:t>911,165,418.95</w:t>
            </w:r>
          </w:p>
        </w:tc>
      </w:tr>
      <w:tr w:rsidR="00E57DAA" w14:paraId="00924712" w14:textId="77777777">
        <w:trPr>
          <w:trHeight w:val="273"/>
        </w:trPr>
        <w:sdt>
          <w:sdtPr>
            <w:tag w:val="_PLD_3940980b8e4d4252a71ae8341bbdfc46"/>
            <w:id w:val="1057978742"/>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53124FF5" w14:textId="77777777" w:rsidR="00E57DAA" w:rsidRDefault="00AC4185">
                <w:pPr>
                  <w:rPr>
                    <w:szCs w:val="21"/>
                  </w:rPr>
                </w:pPr>
                <w:r>
                  <w:rPr>
                    <w:rFonts w:hint="eastAsia"/>
                    <w:szCs w:val="21"/>
                  </w:rPr>
                  <w:t>二、累计折旧和累计摊销</w:t>
                </w:r>
              </w:p>
            </w:tc>
          </w:sdtContent>
        </w:sdt>
      </w:tr>
      <w:tr w:rsidR="00E57DAA" w14:paraId="0BCD1F22"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06BD2195" w14:textId="77777777" w:rsidR="00E57DAA" w:rsidRDefault="00AC4185">
            <w:pPr>
              <w:ind w:firstLineChars="200" w:firstLine="420"/>
              <w:rPr>
                <w:szCs w:val="21"/>
              </w:rPr>
            </w:pPr>
            <w:r>
              <w:rPr>
                <w:szCs w:val="21"/>
              </w:rPr>
              <w:t>1.</w:t>
            </w:r>
            <w:r>
              <w:rPr>
                <w:rFonts w:hint="eastAsia"/>
                <w:szCs w:val="21"/>
              </w:rPr>
              <w:t>期初余额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0BE12C5" w14:textId="77777777" w:rsidR="00E57DAA" w:rsidRDefault="00AC4185">
            <w:pPr>
              <w:jc w:val="right"/>
              <w:rPr>
                <w:szCs w:val="21"/>
              </w:rPr>
            </w:pPr>
            <w:r>
              <w:t>115,111,580.29</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6E2D30A" w14:textId="77777777" w:rsidR="00E57DAA" w:rsidRDefault="00AC4185">
            <w:pPr>
              <w:jc w:val="right"/>
              <w:rPr>
                <w:szCs w:val="21"/>
              </w:rPr>
            </w:pPr>
            <w:r>
              <w:t>34,763,981.49</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6C7030F" w14:textId="77777777" w:rsidR="00E57DAA" w:rsidRDefault="00AC4185">
            <w:pPr>
              <w:jc w:val="right"/>
              <w:rPr>
                <w:szCs w:val="21"/>
              </w:rPr>
            </w:pPr>
            <w:r>
              <w:t>149,875,561.78</w:t>
            </w:r>
          </w:p>
        </w:tc>
      </w:tr>
      <w:tr w:rsidR="00E57DAA" w14:paraId="529D07CF"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5730162B" w14:textId="77777777" w:rsidR="00E57DAA" w:rsidRDefault="00AC4185">
            <w:pPr>
              <w:ind w:firstLineChars="200" w:firstLine="420"/>
              <w:rPr>
                <w:szCs w:val="21"/>
              </w:rPr>
            </w:pPr>
            <w:r>
              <w:rPr>
                <w:szCs w:val="21"/>
              </w:rPr>
              <w:t>2.</w:t>
            </w:r>
            <w:r>
              <w:rPr>
                <w:rFonts w:hint="eastAsia"/>
                <w:szCs w:val="21"/>
              </w:rPr>
              <w:t>本期增加金额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ACF6003" w14:textId="77777777" w:rsidR="00E57DAA" w:rsidRDefault="00AC4185">
            <w:pPr>
              <w:jc w:val="right"/>
              <w:rPr>
                <w:szCs w:val="21"/>
              </w:rPr>
            </w:pPr>
            <w:r>
              <w:t>19,944,994.62</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0A33E9D" w14:textId="77777777" w:rsidR="00E57DAA" w:rsidRDefault="00AC4185">
            <w:pPr>
              <w:jc w:val="right"/>
              <w:rPr>
                <w:szCs w:val="21"/>
              </w:rPr>
            </w:pPr>
            <w:r>
              <w:t>2,885,949.71</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01A5D9B1" w14:textId="77777777" w:rsidR="00E57DAA" w:rsidRDefault="00AC4185">
            <w:pPr>
              <w:jc w:val="right"/>
              <w:rPr>
                <w:szCs w:val="21"/>
              </w:rPr>
            </w:pPr>
            <w:r>
              <w:t>22,830,944.33</w:t>
            </w:r>
          </w:p>
        </w:tc>
      </w:tr>
      <w:tr w:rsidR="00E57DAA" w14:paraId="5B9ADD63"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6D4165FE" w14:textId="77777777" w:rsidR="00E57DAA" w:rsidRDefault="00AC4185">
            <w:pPr>
              <w:ind w:firstLineChars="150" w:firstLine="315"/>
              <w:rPr>
                <w:szCs w:val="21"/>
              </w:rPr>
            </w:pPr>
            <w:r>
              <w:rPr>
                <w:rFonts w:hint="eastAsia"/>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0F2A5C2" w14:textId="77777777" w:rsidR="00E57DAA" w:rsidRDefault="00AC4185">
            <w:pPr>
              <w:jc w:val="right"/>
              <w:rPr>
                <w:szCs w:val="21"/>
              </w:rPr>
            </w:pPr>
            <w:r>
              <w:t>18,888,263.68</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7CDA6EA" w14:textId="77777777" w:rsidR="00E57DAA" w:rsidRDefault="00AC4185">
            <w:pPr>
              <w:jc w:val="right"/>
              <w:rPr>
                <w:szCs w:val="21"/>
              </w:rPr>
            </w:pPr>
            <w:r>
              <w:t>2,885,949.71</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7895BFE" w14:textId="77777777" w:rsidR="00E57DAA" w:rsidRDefault="00AC4185">
            <w:pPr>
              <w:jc w:val="right"/>
              <w:rPr>
                <w:szCs w:val="21"/>
              </w:rPr>
            </w:pPr>
            <w:r>
              <w:t>21,774,213.39</w:t>
            </w:r>
          </w:p>
        </w:tc>
      </w:tr>
      <w:tr w:rsidR="00E57DAA" w14:paraId="05AF2D79"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5F2C0F0E" w14:textId="77777777" w:rsidR="00E57DAA" w:rsidRDefault="00AC4185">
            <w:pPr>
              <w:ind w:firstLineChars="150" w:firstLine="315"/>
              <w:rPr>
                <w:szCs w:val="21"/>
              </w:rPr>
            </w:pPr>
            <w:r>
              <w:rPr>
                <w:rFonts w:hint="eastAsia"/>
                <w:szCs w:val="21"/>
              </w:rPr>
              <w:t>（</w:t>
            </w:r>
            <w:r>
              <w:rPr>
                <w:szCs w:val="21"/>
              </w:rPr>
              <w:t>2）</w:t>
            </w:r>
            <w:r>
              <w:rPr>
                <w:rFonts w:hint="eastAsia"/>
                <w:szCs w:val="21"/>
              </w:rPr>
              <w:t>固定资产转入</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84A8219" w14:textId="77777777" w:rsidR="00E57DAA" w:rsidRDefault="00AC4185">
            <w:pPr>
              <w:jc w:val="right"/>
              <w:rPr>
                <w:szCs w:val="21"/>
              </w:rPr>
            </w:pPr>
            <w:r>
              <w:t>1,056,730.94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D6DD625"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9BD13D9" w14:textId="77777777" w:rsidR="00E57DAA" w:rsidRDefault="00AC4185">
            <w:pPr>
              <w:jc w:val="right"/>
              <w:rPr>
                <w:szCs w:val="21"/>
              </w:rPr>
            </w:pPr>
            <w:r>
              <w:t>1,056,730.94</w:t>
            </w:r>
          </w:p>
        </w:tc>
      </w:tr>
      <w:tr w:rsidR="00E57DAA" w14:paraId="05AB5A76"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2C7032EE" w14:textId="77777777" w:rsidR="00E57DAA" w:rsidRDefault="00AC4185">
            <w:pPr>
              <w:ind w:firstLineChars="200" w:firstLine="420"/>
              <w:rPr>
                <w:szCs w:val="21"/>
              </w:rPr>
            </w:pPr>
            <w:r>
              <w:rPr>
                <w:rFonts w:hint="eastAsia"/>
                <w:szCs w:val="21"/>
              </w:rPr>
              <w:t>3.本期减少金额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75EA23C" w14:textId="77777777" w:rsidR="00E57DAA" w:rsidRDefault="00AC4185">
            <w:pPr>
              <w:jc w:val="right"/>
              <w:rPr>
                <w:szCs w:val="21"/>
              </w:rPr>
            </w:pPr>
            <w:r>
              <w:t>1,786,374.43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482C678"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804A7F0" w14:textId="77777777" w:rsidR="00E57DAA" w:rsidRDefault="00AC4185">
            <w:pPr>
              <w:jc w:val="right"/>
              <w:rPr>
                <w:szCs w:val="21"/>
              </w:rPr>
            </w:pPr>
            <w:r>
              <w:t>1,786,374.43</w:t>
            </w:r>
          </w:p>
        </w:tc>
      </w:tr>
      <w:tr w:rsidR="00E57DAA" w14:paraId="6CFFD566"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19BA2428" w14:textId="77777777" w:rsidR="00E57DAA" w:rsidRDefault="00AC4185">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509CA5B" w14:textId="77777777" w:rsidR="00E57DAA" w:rsidRDefault="00AC4185">
            <w:pPr>
              <w:jc w:val="right"/>
              <w:rPr>
                <w:szCs w:val="21"/>
              </w:rPr>
            </w:pPr>
            <w:r>
              <w:t>1,786,374.43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3A4C4E6"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3227C1A" w14:textId="77777777" w:rsidR="00E57DAA" w:rsidRDefault="00AC4185">
            <w:pPr>
              <w:jc w:val="right"/>
              <w:rPr>
                <w:szCs w:val="21"/>
              </w:rPr>
            </w:pPr>
            <w:r>
              <w:t>1,786,374.43</w:t>
            </w:r>
          </w:p>
        </w:tc>
      </w:tr>
      <w:tr w:rsidR="00E57DAA" w14:paraId="054C5C2A"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2DAA8FBC" w14:textId="77777777" w:rsidR="00E57DAA" w:rsidRDefault="00AC4185">
            <w:pPr>
              <w:ind w:firstLineChars="200" w:firstLine="420"/>
              <w:rPr>
                <w:szCs w:val="21"/>
              </w:rPr>
            </w:pPr>
            <w:r>
              <w:rPr>
                <w:rFonts w:hint="eastAsia"/>
                <w:szCs w:val="21"/>
              </w:rPr>
              <w:t>4.期末余额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358E582" w14:textId="77777777" w:rsidR="00E57DAA" w:rsidRDefault="00AC4185">
            <w:pPr>
              <w:jc w:val="right"/>
              <w:rPr>
                <w:szCs w:val="21"/>
              </w:rPr>
            </w:pPr>
            <w:r>
              <w:t>133,270,200.48</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4696746" w14:textId="77777777" w:rsidR="00E57DAA" w:rsidRDefault="00AC4185">
            <w:pPr>
              <w:jc w:val="right"/>
              <w:rPr>
                <w:szCs w:val="21"/>
              </w:rPr>
            </w:pPr>
            <w:r>
              <w:t>37,649,931.20</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AABA100" w14:textId="77777777" w:rsidR="00E57DAA" w:rsidRDefault="00AC4185">
            <w:pPr>
              <w:jc w:val="right"/>
              <w:rPr>
                <w:szCs w:val="21"/>
              </w:rPr>
            </w:pPr>
            <w:r>
              <w:t>170,920,131.68</w:t>
            </w:r>
          </w:p>
        </w:tc>
      </w:tr>
      <w:tr w:rsidR="00E57DAA" w14:paraId="6DD1D4EB" w14:textId="77777777">
        <w:trPr>
          <w:trHeight w:val="237"/>
        </w:trPr>
        <w:sdt>
          <w:sdtPr>
            <w:tag w:val="_PLD_c10b5aad27764e4b8d082d8300c71859"/>
            <w:id w:val="-279953437"/>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5D785E98" w14:textId="77777777" w:rsidR="00E57DAA" w:rsidRDefault="00AC4185">
                <w:pPr>
                  <w:rPr>
                    <w:szCs w:val="21"/>
                  </w:rPr>
                </w:pPr>
                <w:r>
                  <w:rPr>
                    <w:rFonts w:hint="eastAsia"/>
                    <w:szCs w:val="21"/>
                  </w:rPr>
                  <w:t>三、减值准备</w:t>
                </w:r>
              </w:p>
            </w:tc>
          </w:sdtContent>
        </w:sdt>
      </w:tr>
      <w:tr w:rsidR="00E57DAA" w14:paraId="072AAB88"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25E22433" w14:textId="77777777" w:rsidR="00E57DAA" w:rsidRDefault="00AC4185">
            <w:pPr>
              <w:ind w:firstLineChars="200" w:firstLine="420"/>
              <w:rPr>
                <w:szCs w:val="21"/>
              </w:rPr>
            </w:pPr>
            <w:r>
              <w:rPr>
                <w:szCs w:val="21"/>
              </w:rPr>
              <w:t>1.</w:t>
            </w:r>
            <w:r>
              <w:rPr>
                <w:rFonts w:hint="eastAsia"/>
                <w:szCs w:val="21"/>
              </w:rPr>
              <w:t>期初余额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F93707F" w14:textId="77777777" w:rsidR="00E57DAA" w:rsidRDefault="00AC4185">
            <w:pPr>
              <w:jc w:val="right"/>
              <w:rPr>
                <w:szCs w:val="21"/>
              </w:rPr>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64FAC48"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990E840" w14:textId="77777777" w:rsidR="00E57DAA" w:rsidRDefault="00AC4185">
            <w:pPr>
              <w:jc w:val="right"/>
              <w:rPr>
                <w:szCs w:val="21"/>
              </w:rPr>
            </w:pPr>
            <w:r>
              <w:t>1,057,065.45</w:t>
            </w:r>
          </w:p>
        </w:tc>
      </w:tr>
      <w:tr w:rsidR="00E57DAA" w14:paraId="542AE53B"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0B033070" w14:textId="77777777" w:rsidR="00E57DAA" w:rsidRDefault="00AC4185">
            <w:pPr>
              <w:ind w:firstLineChars="200" w:firstLine="420"/>
              <w:rPr>
                <w:szCs w:val="21"/>
              </w:rPr>
            </w:pPr>
            <w:r>
              <w:rPr>
                <w:szCs w:val="21"/>
              </w:rPr>
              <w:t>2.</w:t>
            </w:r>
            <w:r>
              <w:rPr>
                <w:rFonts w:hint="eastAsia"/>
                <w:szCs w:val="21"/>
              </w:rPr>
              <w:t>本期增加金额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465FCBA" w14:textId="77777777" w:rsidR="00E57DAA" w:rsidRDefault="00E57DAA">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79D1C5A"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15565B0" w14:textId="77777777" w:rsidR="00E57DAA" w:rsidRDefault="00E57DAA">
            <w:pPr>
              <w:jc w:val="right"/>
              <w:rPr>
                <w:szCs w:val="21"/>
              </w:rPr>
            </w:pPr>
          </w:p>
        </w:tc>
      </w:tr>
      <w:tr w:rsidR="00E57DAA" w14:paraId="7A341C28" w14:textId="77777777">
        <w:trPr>
          <w:trHeight w:val="273"/>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0CA8EF8A" w14:textId="77777777" w:rsidR="00E57DAA" w:rsidRDefault="00AC4185">
            <w:pPr>
              <w:ind w:firstLineChars="200" w:firstLine="420"/>
              <w:rPr>
                <w:szCs w:val="21"/>
              </w:rPr>
            </w:pPr>
            <w:r>
              <w:rPr>
                <w:rFonts w:hint="eastAsia"/>
                <w:szCs w:val="21"/>
              </w:rPr>
              <w:t>3、本期减少金额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7FA3236" w14:textId="77777777" w:rsidR="00E57DAA" w:rsidRDefault="00E57DAA">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4651A7B"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5B5CADC" w14:textId="77777777" w:rsidR="00E57DAA" w:rsidRDefault="00E57DAA">
            <w:pPr>
              <w:jc w:val="right"/>
              <w:rPr>
                <w:szCs w:val="21"/>
              </w:rPr>
            </w:pPr>
          </w:p>
        </w:tc>
      </w:tr>
      <w:tr w:rsidR="00E57DAA" w14:paraId="74B51134"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3C291A40" w14:textId="77777777" w:rsidR="00E57DAA" w:rsidRDefault="00AC4185">
            <w:pPr>
              <w:ind w:firstLineChars="200" w:firstLine="420"/>
              <w:rPr>
                <w:szCs w:val="21"/>
              </w:rPr>
            </w:pPr>
            <w:r>
              <w:rPr>
                <w:rFonts w:hint="eastAsia"/>
                <w:szCs w:val="21"/>
              </w:rPr>
              <w:t>4.期末余额</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FE0DC80" w14:textId="77777777" w:rsidR="00E57DAA" w:rsidRDefault="00AC4185">
            <w:pPr>
              <w:jc w:val="right"/>
              <w:rPr>
                <w:szCs w:val="21"/>
              </w:rPr>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077C669" w14:textId="77777777" w:rsidR="00E57DAA" w:rsidRDefault="00E57DAA">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E036E8E" w14:textId="77777777" w:rsidR="00E57DAA" w:rsidRDefault="00AC4185">
            <w:pPr>
              <w:jc w:val="right"/>
              <w:rPr>
                <w:szCs w:val="21"/>
              </w:rPr>
            </w:pPr>
            <w:r>
              <w:t>1,057,065.45</w:t>
            </w:r>
          </w:p>
        </w:tc>
      </w:tr>
      <w:tr w:rsidR="00E57DAA" w14:paraId="04CE159C" w14:textId="77777777">
        <w:trPr>
          <w:trHeight w:val="273"/>
        </w:trPr>
        <w:sdt>
          <w:sdtPr>
            <w:tag w:val="_PLD_5ad25d173a164f90a33b80cf52189833"/>
            <w:id w:val="1004635719"/>
          </w:sdtPr>
          <w:sdtEnd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6161ED00" w14:textId="77777777" w:rsidR="00E57DAA" w:rsidRDefault="00AC4185">
                <w:pPr>
                  <w:rPr>
                    <w:szCs w:val="21"/>
                  </w:rPr>
                </w:pPr>
                <w:r>
                  <w:rPr>
                    <w:rFonts w:hint="eastAsia"/>
                    <w:szCs w:val="21"/>
                  </w:rPr>
                  <w:t>四、账面价值</w:t>
                </w:r>
              </w:p>
            </w:tc>
          </w:sdtContent>
        </w:sdt>
      </w:tr>
      <w:tr w:rsidR="00E57DAA" w14:paraId="5B1D5887" w14:textId="77777777">
        <w:trPr>
          <w:trHeight w:val="272"/>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711FB7C4" w14:textId="77777777" w:rsidR="00E57DAA" w:rsidRDefault="00AC4185">
            <w:pPr>
              <w:ind w:firstLineChars="150" w:firstLine="315"/>
              <w:rPr>
                <w:szCs w:val="21"/>
              </w:rPr>
            </w:pPr>
            <w:r>
              <w:rPr>
                <w:szCs w:val="21"/>
              </w:rPr>
              <w:t>1.</w:t>
            </w:r>
            <w:r>
              <w:rPr>
                <w:rFonts w:hint="eastAsia"/>
                <w:szCs w:val="21"/>
              </w:rPr>
              <w:t>期末账面价值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8D9DFF3" w14:textId="77777777" w:rsidR="00E57DAA" w:rsidRDefault="00AC4185">
            <w:pPr>
              <w:jc w:val="right"/>
              <w:rPr>
                <w:szCs w:val="21"/>
              </w:rPr>
            </w:pPr>
            <w:r>
              <w:t>665,471,964.87</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9714FF6" w14:textId="77777777" w:rsidR="00E57DAA" w:rsidRDefault="00AC4185">
            <w:pPr>
              <w:jc w:val="right"/>
              <w:rPr>
                <w:szCs w:val="21"/>
              </w:rPr>
            </w:pPr>
            <w:r>
              <w:t>73,716,256.95</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B154C4F" w14:textId="77777777" w:rsidR="00E57DAA" w:rsidRDefault="00AC4185">
            <w:pPr>
              <w:jc w:val="right"/>
              <w:rPr>
                <w:szCs w:val="21"/>
              </w:rPr>
            </w:pPr>
            <w:r>
              <w:t>739,188,221.82</w:t>
            </w:r>
          </w:p>
        </w:tc>
      </w:tr>
      <w:tr w:rsidR="00E57DAA" w14:paraId="0B66F9CC" w14:textId="77777777">
        <w:trPr>
          <w:trHeight w:val="290"/>
        </w:trPr>
        <w:tc>
          <w:tcPr>
            <w:tcW w:w="1777" w:type="pct"/>
            <w:tcBorders>
              <w:top w:val="single" w:sz="4" w:space="0" w:color="auto"/>
              <w:left w:val="single" w:sz="4" w:space="0" w:color="auto"/>
              <w:bottom w:val="single" w:sz="4" w:space="0" w:color="auto"/>
              <w:right w:val="single" w:sz="4" w:space="0" w:color="auto"/>
            </w:tcBorders>
            <w:shd w:val="clear" w:color="auto" w:fill="auto"/>
          </w:tcPr>
          <w:p w14:paraId="0FDA071E" w14:textId="77777777" w:rsidR="00E57DAA" w:rsidRDefault="00AC4185">
            <w:pPr>
              <w:ind w:firstLineChars="150" w:firstLine="315"/>
              <w:rPr>
                <w:szCs w:val="21"/>
              </w:rPr>
            </w:pPr>
            <w:r>
              <w:rPr>
                <w:szCs w:val="21"/>
              </w:rPr>
              <w:t>2.</w:t>
            </w:r>
            <w:r>
              <w:rPr>
                <w:rFonts w:hint="eastAsia"/>
                <w:szCs w:val="21"/>
              </w:rPr>
              <w:t>期初账面价值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A4FB5BB" w14:textId="77777777" w:rsidR="00E57DAA" w:rsidRDefault="00AC4185">
            <w:pPr>
              <w:jc w:val="right"/>
              <w:rPr>
                <w:szCs w:val="21"/>
              </w:rPr>
            </w:pPr>
            <w:r>
              <w:t>591,710,847.90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EFBAABE" w14:textId="77777777" w:rsidR="00E57DAA" w:rsidRDefault="00AC4185">
            <w:pPr>
              <w:jc w:val="right"/>
              <w:rPr>
                <w:szCs w:val="21"/>
              </w:rPr>
            </w:pPr>
            <w:r>
              <w:t>76,602,206.66</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7D1EC67" w14:textId="77777777" w:rsidR="00E57DAA" w:rsidRDefault="00AC4185">
            <w:pPr>
              <w:jc w:val="right"/>
              <w:rPr>
                <w:szCs w:val="21"/>
              </w:rPr>
            </w:pPr>
            <w:r>
              <w:t>668,313,054.56</w:t>
            </w:r>
          </w:p>
        </w:tc>
      </w:tr>
    </w:tbl>
    <w:p w14:paraId="0889BA70" w14:textId="77777777" w:rsidR="00E57DAA" w:rsidRDefault="00E57DAA" w:rsidP="00C25422">
      <w:pPr>
        <w:pStyle w:val="92"/>
      </w:pPr>
    </w:p>
    <w:p w14:paraId="26C21E6D" w14:textId="77777777" w:rsidR="00E57DAA" w:rsidRDefault="00AC4185">
      <w:pPr>
        <w:pStyle w:val="4"/>
        <w:numPr>
          <w:ilvl w:val="3"/>
          <w:numId w:val="82"/>
        </w:numPr>
        <w:ind w:left="426" w:hanging="426"/>
      </w:pPr>
      <w:r>
        <w:rPr>
          <w:rFonts w:hint="eastAsia"/>
        </w:rPr>
        <w:t>未办妥产权证书的投资性房地产情况</w:t>
      </w:r>
    </w:p>
    <w:p w14:paraId="0015F6DF" w14:textId="77777777" w:rsidR="00E57DAA" w:rsidRDefault="00EB41A1" w:rsidP="00C25422">
      <w:pPr>
        <w:pStyle w:val="92"/>
      </w:pPr>
      <w:sdt>
        <w:sdtPr>
          <w:alias w:val="是否适用：未办妥产权证书的投资性房地产情况[双击切换]"/>
          <w:tag w:val="_GBC_31ec2c57d73a48d2816267a8606d05e0"/>
          <w:id w:val="-1604640726"/>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5AC701F" w14:textId="77777777" w:rsidR="00E57DAA" w:rsidRDefault="00AC4185">
      <w:pPr>
        <w:jc w:val="right"/>
      </w:pPr>
      <w:r>
        <w:rPr>
          <w:rFonts w:hint="eastAsia"/>
        </w:rPr>
        <w:t>单位：</w:t>
      </w:r>
      <w:sdt>
        <w:sdtPr>
          <w:rPr>
            <w:rFonts w:hint="eastAsia"/>
          </w:rPr>
          <w:alias w:val="单位：财务附注：未办妥产权证书的投资性房地产情况"/>
          <w:tag w:val="_GBC_da0857fd0c5b429282c9825ce4dcb130"/>
          <w:id w:val="-4103133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投资性房地产情况"/>
          <w:tag w:val="_GBC_b660de92e9744974a46d7841240845ce"/>
          <w:id w:val="14281660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E57DAA" w14:paraId="2EC0B3F7" w14:textId="77777777">
        <w:bookmarkStart w:id="257" w:name="_Hlk153460290" w:displacedByCustomXml="next"/>
        <w:sdt>
          <w:sdtPr>
            <w:tag w:val="_PLD_290dd4592bc94037a75462b5bd83b71f"/>
            <w:id w:val="2045555427"/>
          </w:sdtPr>
          <w:sdtEndPr/>
          <w:sdtContent>
            <w:tc>
              <w:tcPr>
                <w:tcW w:w="1828" w:type="pct"/>
                <w:shd w:val="clear" w:color="auto" w:fill="auto"/>
                <w:vAlign w:val="center"/>
              </w:tcPr>
              <w:p w14:paraId="23564E6D"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d7f50ec9b85240e286f0ceebbc25d187"/>
            <w:id w:val="623428003"/>
          </w:sdtPr>
          <w:sdtEndPr/>
          <w:sdtContent>
            <w:tc>
              <w:tcPr>
                <w:tcW w:w="1582" w:type="pct"/>
                <w:shd w:val="clear" w:color="auto" w:fill="auto"/>
                <w:vAlign w:val="center"/>
              </w:tcPr>
              <w:p w14:paraId="410B61B2"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账面价值</w:t>
                </w:r>
              </w:p>
            </w:tc>
          </w:sdtContent>
        </w:sdt>
        <w:sdt>
          <w:sdtPr>
            <w:tag w:val="_PLD_dbe3f73088a244bfb17b1595dce6f717"/>
            <w:id w:val="-17399884"/>
          </w:sdtPr>
          <w:sdtEndPr/>
          <w:sdtContent>
            <w:tc>
              <w:tcPr>
                <w:tcW w:w="1590" w:type="pct"/>
                <w:shd w:val="clear" w:color="auto" w:fill="auto"/>
                <w:vAlign w:val="center"/>
              </w:tcPr>
              <w:p w14:paraId="6CAFC90C"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未办妥产权证书原因</w:t>
                </w:r>
              </w:p>
            </w:tc>
          </w:sdtContent>
        </w:sdt>
      </w:tr>
      <w:tr w:rsidR="00E57DAA" w14:paraId="1FE40682" w14:textId="77777777">
        <w:tc>
          <w:tcPr>
            <w:tcW w:w="1828" w:type="pct"/>
            <w:shd w:val="clear" w:color="auto" w:fill="auto"/>
          </w:tcPr>
          <w:p w14:paraId="31C4E612" w14:textId="77777777" w:rsidR="00E57DAA" w:rsidRDefault="00AC4185">
            <w:pPr>
              <w:tabs>
                <w:tab w:val="right" w:pos="3690"/>
                <w:tab w:val="right" w:pos="5130"/>
                <w:tab w:val="right" w:pos="6030"/>
                <w:tab w:val="right" w:pos="7650"/>
                <w:tab w:val="right" w:pos="9270"/>
              </w:tabs>
              <w:adjustRightInd w:val="0"/>
              <w:snapToGrid w:val="0"/>
              <w:rPr>
                <w:szCs w:val="21"/>
              </w:rPr>
            </w:pPr>
            <w:r>
              <w:t>房屋建筑物</w:t>
            </w:r>
          </w:p>
        </w:tc>
        <w:tc>
          <w:tcPr>
            <w:tcW w:w="1582" w:type="pct"/>
            <w:shd w:val="clear" w:color="auto" w:fill="auto"/>
          </w:tcPr>
          <w:p w14:paraId="69BB041F"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65,575,421.00</w:t>
            </w:r>
          </w:p>
        </w:tc>
        <w:tc>
          <w:tcPr>
            <w:tcW w:w="1590" w:type="pct"/>
            <w:shd w:val="clear" w:color="auto" w:fill="auto"/>
          </w:tcPr>
          <w:p w14:paraId="469A1352"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正在办理中</w:t>
            </w:r>
          </w:p>
        </w:tc>
      </w:tr>
    </w:tbl>
    <w:p w14:paraId="09DA7B47" w14:textId="77777777" w:rsidR="00E57DAA" w:rsidRDefault="00E57DAA" w:rsidP="00C25422">
      <w:pPr>
        <w:pStyle w:val="92"/>
      </w:pPr>
    </w:p>
    <w:p w14:paraId="1DB8024D" w14:textId="77777777" w:rsidR="00E57DAA" w:rsidRDefault="00AC4185">
      <w:pPr>
        <w:pStyle w:val="4"/>
        <w:numPr>
          <w:ilvl w:val="3"/>
          <w:numId w:val="82"/>
        </w:numPr>
        <w:ind w:left="426" w:hanging="426"/>
      </w:pPr>
      <w:r>
        <w:rPr>
          <w:rFonts w:hint="eastAsia"/>
        </w:rPr>
        <w:t>采用成本计量模式的投资性房地产的减值测试情况</w:t>
      </w:r>
    </w:p>
    <w:sdt>
      <w:sdtPr>
        <w:alias w:val="是否适用：减值测试情况[双击切换]"/>
        <w:tag w:val="_GBC_373a9d68c3e14bb29f489d169fab52f2"/>
        <w:id w:val="-2126761790"/>
        <w:placeholder>
          <w:docPart w:val="GBC22222222222222222222222222222"/>
        </w:placeholder>
      </w:sdtPr>
      <w:sdtEndPr/>
      <w:sdtContent>
        <w:p w14:paraId="373CFD9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D97DD8" w14:textId="77777777" w:rsidR="00E57DAA" w:rsidRDefault="00E57DAA">
      <w:pPr>
        <w:snapToGrid w:val="0"/>
        <w:spacing w:line="240" w:lineRule="atLeast"/>
        <w:rPr>
          <w:b/>
          <w:szCs w:val="21"/>
        </w:rPr>
      </w:pPr>
    </w:p>
    <w:p w14:paraId="67BDA833" w14:textId="77777777" w:rsidR="00E57DAA" w:rsidRDefault="00AC4185" w:rsidP="00C25422">
      <w:pPr>
        <w:pStyle w:val="90"/>
        <w:ind w:left="105"/>
      </w:pPr>
      <w:r>
        <w:rPr>
          <w:rFonts w:hint="eastAsia"/>
        </w:rPr>
        <w:t>可收回金额按公允价值减去处置费用后的净额确定</w:t>
      </w:r>
    </w:p>
    <w:sdt>
      <w:sdtPr>
        <w:alias w:val="是否适用：可收回金额按公允价值减去处置费用后的净额确定[双击切换]"/>
        <w:tag w:val="_GBC_3be67b0087dd42c48b53abff6a26fc1d"/>
        <w:id w:val="-855655397"/>
        <w:placeholder>
          <w:docPart w:val="GBC22222222222222222222222222222"/>
        </w:placeholder>
      </w:sdtPr>
      <w:sdtEndPr/>
      <w:sdtContent>
        <w:p w14:paraId="71EA997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0E94D7" w14:textId="77777777" w:rsidR="00E57DAA" w:rsidRDefault="00E57DAA">
      <w:pPr>
        <w:rPr>
          <w:szCs w:val="21"/>
        </w:rPr>
      </w:pPr>
    </w:p>
    <w:p w14:paraId="5A70ECDF" w14:textId="77777777" w:rsidR="00E57DAA" w:rsidRDefault="00AC4185" w:rsidP="00C25422">
      <w:pPr>
        <w:pStyle w:val="90"/>
        <w:ind w:left="105"/>
      </w:pPr>
      <w:r>
        <w:rPr>
          <w:rFonts w:hint="eastAsia"/>
        </w:rPr>
        <w:t>可收回金额按预计未来现金流量的现值确定</w:t>
      </w:r>
    </w:p>
    <w:sdt>
      <w:sdtPr>
        <w:rPr>
          <w:rFonts w:hint="eastAsia"/>
        </w:rPr>
        <w:alias w:val="是否适用：可收回金额按预计未来现金流量的现值确定[双击切换]"/>
        <w:tag w:val="_GBC_63c10c4a40934190a454e28fdd968fc0"/>
        <w:id w:val="-860586541"/>
        <w:placeholder>
          <w:docPart w:val="GBC22222222222222222222222222222"/>
        </w:placeholder>
      </w:sdtPr>
      <w:sdtEndPr/>
      <w:sdtContent>
        <w:p w14:paraId="393C0F0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18C46D" w14:textId="77777777" w:rsidR="00E57DAA" w:rsidRDefault="00E57DAA" w:rsidP="00C25422">
      <w:pPr>
        <w:pStyle w:val="92"/>
      </w:pPr>
    </w:p>
    <w:p w14:paraId="6134575F" w14:textId="77777777" w:rsidR="00E57DAA" w:rsidRDefault="00AC4185" w:rsidP="00C25422">
      <w:pPr>
        <w:pStyle w:val="90"/>
        <w:ind w:left="105"/>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635e9b1ccab8440eb0212cfebcd31b38"/>
        <w:id w:val="1413511230"/>
        <w:placeholder>
          <w:docPart w:val="GBC22222222222222222222222222222"/>
        </w:placeholder>
      </w:sdtPr>
      <w:sdtEndPr/>
      <w:sdtContent>
        <w:p w14:paraId="3008C62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A7B76A" w14:textId="77777777" w:rsidR="00E57DAA" w:rsidRDefault="00E57DAA">
      <w:pPr>
        <w:snapToGrid w:val="0"/>
        <w:spacing w:line="240" w:lineRule="atLeast"/>
        <w:rPr>
          <w:szCs w:val="21"/>
        </w:rPr>
      </w:pPr>
    </w:p>
    <w:p w14:paraId="4C343C24" w14:textId="77777777" w:rsidR="00E57DAA" w:rsidRDefault="00AC4185" w:rsidP="00C25422">
      <w:pPr>
        <w:pStyle w:val="90"/>
        <w:ind w:left="105"/>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f12cdcc96dbc4c67858aed4e0f2967af"/>
        <w:id w:val="1036768801"/>
        <w:placeholder>
          <w:docPart w:val="GBC22222222222222222222222222222"/>
        </w:placeholder>
      </w:sdtPr>
      <w:sdtEndPr/>
      <w:sdtContent>
        <w:p w14:paraId="0AF41AB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B22FC1" w14:textId="77777777" w:rsidR="00E57DAA" w:rsidRDefault="00E57DAA">
      <w:pPr>
        <w:snapToGrid w:val="0"/>
        <w:spacing w:line="240" w:lineRule="atLeast"/>
        <w:rPr>
          <w:szCs w:val="21"/>
        </w:rPr>
      </w:pPr>
    </w:p>
    <w:p w14:paraId="3BDEE551" w14:textId="77777777" w:rsidR="00E57DAA" w:rsidRDefault="00AC4185">
      <w:pPr>
        <w:ind w:leftChars="-21" w:left="-2" w:hangingChars="20" w:hanging="42"/>
        <w:rPr>
          <w:szCs w:val="21"/>
        </w:rPr>
      </w:pPr>
      <w:r>
        <w:rPr>
          <w:rFonts w:hint="eastAsia"/>
          <w:szCs w:val="21"/>
        </w:rPr>
        <w:t>其他说明</w:t>
      </w:r>
    </w:p>
    <w:bookmarkEnd w:id="257" w:displacedByCustomXml="next"/>
    <w:bookmarkStart w:id="258" w:name="_Hlk152860822" w:displacedByCustomXml="next"/>
    <w:sdt>
      <w:sdtPr>
        <w:rPr>
          <w:szCs w:val="21"/>
        </w:rPr>
        <w:alias w:val="是否适用：投资性房地产的说明[双击切换]"/>
        <w:tag w:val="_GBC_06b6501d8ce04b8993205409ee63cc68"/>
        <w:id w:val="126977816"/>
        <w:placeholder>
          <w:docPart w:val="GBC22222222222222222222222222222"/>
        </w:placeholder>
      </w:sdtPr>
      <w:sdtEndPr/>
      <w:sdtContent>
        <w:p w14:paraId="711024F9"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8"/>
    <w:p w14:paraId="1367486A" w14:textId="77777777" w:rsidR="00E57DAA" w:rsidRDefault="00E57DAA">
      <w:pPr>
        <w:rPr>
          <w:rFonts w:cstheme="minorBidi"/>
          <w:kern w:val="2"/>
          <w:szCs w:val="21"/>
        </w:rPr>
      </w:pPr>
    </w:p>
    <w:p w14:paraId="7C51C9F8" w14:textId="77777777" w:rsidR="00E57DAA" w:rsidRDefault="00AC4185" w:rsidP="00C25422">
      <w:pPr>
        <w:pStyle w:val="91"/>
        <w:numPr>
          <w:ilvl w:val="0"/>
          <w:numId w:val="69"/>
        </w:numPr>
      </w:pPr>
      <w:r>
        <w:rPr>
          <w:rFonts w:hint="eastAsia"/>
        </w:rPr>
        <w:t>固定资产</w:t>
      </w:r>
    </w:p>
    <w:p w14:paraId="68BE2986" w14:textId="77777777" w:rsidR="00E57DAA" w:rsidRDefault="00AC4185">
      <w:pPr>
        <w:pStyle w:val="4"/>
      </w:pPr>
      <w:bookmarkStart w:id="259" w:name="_Hlk532907583"/>
      <w:r>
        <w:rPr>
          <w:rFonts w:hint="eastAsia"/>
        </w:rPr>
        <w:t>项目列示</w:t>
      </w:r>
    </w:p>
    <w:sdt>
      <w:sdtPr>
        <w:alias w:val="是否适用：固定资产分类列示[双击切换]"/>
        <w:tag w:val="_GBC_aa56cf68790e4b9d866b3ea7d6d8073d"/>
        <w:id w:val="284399655"/>
        <w:placeholder>
          <w:docPart w:val="GBC22222222222222222222222222222"/>
        </w:placeholder>
      </w:sdtPr>
      <w:sdtEndPr/>
      <w:sdtContent>
        <w:p w14:paraId="624BF26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9EB1B5" w14:textId="77777777" w:rsidR="00E57DAA" w:rsidRDefault="00AC4185">
      <w:pPr>
        <w:jc w:val="right"/>
        <w:rPr>
          <w:szCs w:val="21"/>
        </w:rPr>
      </w:pPr>
      <w:r>
        <w:rPr>
          <w:rFonts w:hint="eastAsia"/>
          <w:szCs w:val="21"/>
        </w:rPr>
        <w:t>单位：</w:t>
      </w:r>
      <w:sdt>
        <w:sdtPr>
          <w:rPr>
            <w:rFonts w:hint="eastAsia"/>
            <w:szCs w:val="21"/>
          </w:rPr>
          <w:alias w:val="单位：固定资产分类列示"/>
          <w:tag w:val="_GBC_857b5f6755c84b5aa235351580358065"/>
          <w:id w:val="19603801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13406218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E57DAA" w14:paraId="1ADE2097" w14:textId="77777777">
        <w:sdt>
          <w:sdtPr>
            <w:tag w:val="_PLD_a1c8e68343ee4b7fa02f5422a7fad5c0"/>
            <w:id w:val="-2017149550"/>
          </w:sdtPr>
          <w:sdtEndPr/>
          <w:sdtContent>
            <w:tc>
              <w:tcPr>
                <w:tcW w:w="1828" w:type="pct"/>
                <w:shd w:val="clear" w:color="auto" w:fill="auto"/>
                <w:vAlign w:val="center"/>
              </w:tcPr>
              <w:p w14:paraId="61143C40"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254677782"/>
          </w:sdtPr>
          <w:sdtEndPr/>
          <w:sdtContent>
            <w:tc>
              <w:tcPr>
                <w:tcW w:w="1582" w:type="pct"/>
                <w:shd w:val="clear" w:color="auto" w:fill="auto"/>
                <w:vAlign w:val="center"/>
              </w:tcPr>
              <w:p w14:paraId="605858BC" w14:textId="77777777" w:rsidR="00E57DAA" w:rsidRDefault="00AC4185">
                <w:pPr>
                  <w:jc w:val="center"/>
                  <w:rPr>
                    <w:szCs w:val="21"/>
                  </w:rPr>
                </w:pPr>
                <w:r>
                  <w:rPr>
                    <w:rFonts w:hint="eastAsia"/>
                    <w:szCs w:val="21"/>
                  </w:rPr>
                  <w:t>期末余额</w:t>
                </w:r>
              </w:p>
            </w:tc>
          </w:sdtContent>
        </w:sdt>
        <w:sdt>
          <w:sdtPr>
            <w:tag w:val="_PLD_a075f0130f1f4334b8370490adf71764"/>
            <w:id w:val="675609207"/>
          </w:sdtPr>
          <w:sdtEndPr/>
          <w:sdtContent>
            <w:tc>
              <w:tcPr>
                <w:tcW w:w="1590" w:type="pct"/>
                <w:shd w:val="clear" w:color="auto" w:fill="auto"/>
                <w:vAlign w:val="center"/>
              </w:tcPr>
              <w:p w14:paraId="38511D4F" w14:textId="77777777" w:rsidR="00E57DAA" w:rsidRDefault="00AC4185">
                <w:pPr>
                  <w:jc w:val="center"/>
                  <w:rPr>
                    <w:szCs w:val="21"/>
                  </w:rPr>
                </w:pPr>
                <w:r>
                  <w:rPr>
                    <w:rFonts w:hint="eastAsia"/>
                    <w:szCs w:val="21"/>
                  </w:rPr>
                  <w:t>期初余额</w:t>
                </w:r>
              </w:p>
            </w:tc>
          </w:sdtContent>
        </w:sdt>
      </w:tr>
      <w:tr w:rsidR="00E57DAA" w14:paraId="3FEFA87D" w14:textId="77777777">
        <w:tc>
          <w:tcPr>
            <w:tcW w:w="1828" w:type="pct"/>
            <w:shd w:val="clear" w:color="auto" w:fill="auto"/>
          </w:tcPr>
          <w:p w14:paraId="5694FFDE"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tc>
          <w:tcPr>
            <w:tcW w:w="1582" w:type="pct"/>
            <w:shd w:val="clear" w:color="auto" w:fill="auto"/>
            <w:vAlign w:val="center"/>
          </w:tcPr>
          <w:p w14:paraId="2D28DEA3"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5,097,004,401.40</w:t>
            </w:r>
          </w:p>
        </w:tc>
        <w:tc>
          <w:tcPr>
            <w:tcW w:w="1590" w:type="pct"/>
            <w:shd w:val="clear" w:color="auto" w:fill="auto"/>
            <w:vAlign w:val="center"/>
          </w:tcPr>
          <w:p w14:paraId="13F1D7C7"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4,186,977,499.60</w:t>
            </w:r>
          </w:p>
        </w:tc>
      </w:tr>
      <w:tr w:rsidR="00E57DAA" w14:paraId="5A7C7989" w14:textId="77777777">
        <w:tc>
          <w:tcPr>
            <w:tcW w:w="1828" w:type="pct"/>
            <w:shd w:val="clear" w:color="auto" w:fill="auto"/>
          </w:tcPr>
          <w:p w14:paraId="681F89EA"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tc>
          <w:tcPr>
            <w:tcW w:w="1582" w:type="pct"/>
            <w:shd w:val="clear" w:color="auto" w:fill="auto"/>
            <w:vAlign w:val="center"/>
          </w:tcPr>
          <w:p w14:paraId="1CFAD34A"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18,000.00</w:t>
            </w:r>
          </w:p>
        </w:tc>
        <w:tc>
          <w:tcPr>
            <w:tcW w:w="1590" w:type="pct"/>
            <w:shd w:val="clear" w:color="auto" w:fill="auto"/>
            <w:vAlign w:val="center"/>
          </w:tcPr>
          <w:p w14:paraId="5D888C55"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2,514.74</w:t>
            </w:r>
          </w:p>
        </w:tc>
      </w:tr>
      <w:tr w:rsidR="00E57DAA" w14:paraId="60428D7E" w14:textId="77777777">
        <w:tc>
          <w:tcPr>
            <w:tcW w:w="1828" w:type="pct"/>
            <w:shd w:val="clear" w:color="auto" w:fill="auto"/>
            <w:vAlign w:val="center"/>
          </w:tcPr>
          <w:p w14:paraId="744F62BE"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tc>
          <w:tcPr>
            <w:tcW w:w="1582" w:type="pct"/>
            <w:shd w:val="clear" w:color="auto" w:fill="auto"/>
            <w:vAlign w:val="center"/>
          </w:tcPr>
          <w:p w14:paraId="248C1B65"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5,097,022,401.40</w:t>
            </w:r>
          </w:p>
        </w:tc>
        <w:tc>
          <w:tcPr>
            <w:tcW w:w="1590" w:type="pct"/>
            <w:shd w:val="clear" w:color="auto" w:fill="auto"/>
            <w:vAlign w:val="center"/>
          </w:tcPr>
          <w:p w14:paraId="2E03BBA6"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4,186,980,014.34</w:t>
            </w:r>
          </w:p>
        </w:tc>
      </w:tr>
    </w:tbl>
    <w:p w14:paraId="743B11D5" w14:textId="77777777" w:rsidR="00E57DAA" w:rsidRDefault="00E57DAA">
      <w:pPr>
        <w:rPr>
          <w:b/>
        </w:rPr>
      </w:pPr>
    </w:p>
    <w:p w14:paraId="19280A46" w14:textId="77777777" w:rsidR="00E57DAA" w:rsidRDefault="00AC4185">
      <w:pPr>
        <w:rPr>
          <w:szCs w:val="21"/>
        </w:rPr>
      </w:pPr>
      <w:r>
        <w:rPr>
          <w:rFonts w:hint="eastAsia"/>
          <w:szCs w:val="21"/>
        </w:rPr>
        <w:t>其他说明：</w:t>
      </w:r>
    </w:p>
    <w:bookmarkEnd w:id="259" w:displacedByCustomXml="next"/>
    <w:sdt>
      <w:sdtPr>
        <w:rPr>
          <w:szCs w:val="21"/>
        </w:rPr>
        <w:alias w:val="是否适用：固定资产分类列示其他说明[双击切换]"/>
        <w:tag w:val="_GBC_242c272ba3a1435aacea1f45ade5a2e0"/>
        <w:id w:val="83966641"/>
        <w:placeholder>
          <w:docPart w:val="GBC22222222222222222222222222222"/>
        </w:placeholder>
      </w:sdtPr>
      <w:sdtEndPr/>
      <w:sdtContent>
        <w:p w14:paraId="301ED68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17D9BF"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700947C8" w14:textId="77777777" w:rsidR="00E57DAA" w:rsidRDefault="00E57DAA">
      <w:pPr>
        <w:rPr>
          <w:szCs w:val="21"/>
        </w:rPr>
      </w:pPr>
    </w:p>
    <w:p w14:paraId="2F13A3DE" w14:textId="77777777" w:rsidR="00E57DAA" w:rsidRDefault="00AC4185">
      <w:pPr>
        <w:pStyle w:val="4"/>
        <w:ind w:left="360" w:hanging="360"/>
      </w:pPr>
      <w:r>
        <w:rPr>
          <w:rFonts w:hint="eastAsia"/>
        </w:rPr>
        <w:t>固定资产</w:t>
      </w:r>
    </w:p>
    <w:p w14:paraId="1F8237D1" w14:textId="77777777" w:rsidR="00E57DAA" w:rsidRDefault="00AC4185" w:rsidP="00C25422">
      <w:pPr>
        <w:pStyle w:val="90"/>
        <w:numPr>
          <w:ilvl w:val="0"/>
          <w:numId w:val="83"/>
        </w:numPr>
        <w:ind w:leftChars="0"/>
      </w:pPr>
      <w:r>
        <w:rPr>
          <w:rFonts w:hint="eastAsia"/>
        </w:rPr>
        <w:t>固定资产情况</w:t>
      </w:r>
    </w:p>
    <w:sdt>
      <w:sdtPr>
        <w:alias w:val="是否适用：固定资产情况[双击切换]"/>
        <w:tag w:val="_GBC_a44afb7019ae43b7a273970cf76154a3"/>
        <w:id w:val="-398821916"/>
        <w:placeholder>
          <w:docPart w:val="GBC22222222222222222222222222222"/>
        </w:placeholder>
      </w:sdtPr>
      <w:sdtEndPr/>
      <w:sdtContent>
        <w:p w14:paraId="61A4214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9E2850" w14:textId="77777777" w:rsidR="00E57DAA" w:rsidRDefault="00AC4185">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867445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6637021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057"/>
        <w:gridCol w:w="1906"/>
        <w:gridCol w:w="1906"/>
        <w:gridCol w:w="1696"/>
        <w:gridCol w:w="1696"/>
        <w:gridCol w:w="1696"/>
        <w:gridCol w:w="1906"/>
      </w:tblGrid>
      <w:tr w:rsidR="00E57DAA" w14:paraId="426E9695" w14:textId="77777777">
        <w:sdt>
          <w:sdtPr>
            <w:tag w:val="_PLD_0431b88b9ff14ebb90e5715c273e1c1d"/>
            <w:id w:val="-1719116969"/>
          </w:sdtPr>
          <w:sdtEndPr/>
          <w:sdtContent>
            <w:tc>
              <w:tcPr>
                <w:tcW w:w="1103" w:type="pct"/>
                <w:shd w:val="clear" w:color="auto" w:fill="auto"/>
                <w:vAlign w:val="center"/>
              </w:tcPr>
              <w:p w14:paraId="7E7D7EBE" w14:textId="77777777" w:rsidR="00E57DAA" w:rsidRDefault="00AC4185">
                <w:pPr>
                  <w:jc w:val="center"/>
                </w:pPr>
                <w:r>
                  <w:rPr>
                    <w:rFonts w:hint="eastAsia"/>
                  </w:rPr>
                  <w:t>项目</w:t>
                </w:r>
              </w:p>
            </w:tc>
          </w:sdtContent>
        </w:sdt>
        <w:sdt>
          <w:sdtPr>
            <w:rPr>
              <w:rFonts w:hint="eastAsia"/>
            </w:rPr>
            <w:alias w:val="固定资产情况明细-项目名称"/>
            <w:tag w:val="_GBC_d421638fcfb34bbba0e548b4cb719a06"/>
            <w:id w:val="1665513387"/>
            <w:text/>
          </w:sdtPr>
          <w:sdtEndPr/>
          <w:sdtContent>
            <w:tc>
              <w:tcPr>
                <w:tcW w:w="687" w:type="pct"/>
                <w:shd w:val="clear" w:color="auto" w:fill="auto"/>
                <w:vAlign w:val="center"/>
              </w:tcPr>
              <w:p w14:paraId="2F743EA1" w14:textId="77777777" w:rsidR="00E57DAA" w:rsidRDefault="00AC4185">
                <w:pPr>
                  <w:jc w:val="center"/>
                </w:pPr>
                <w:r>
                  <w:rPr>
                    <w:rFonts w:hint="eastAsia"/>
                  </w:rPr>
                  <w:t>房屋及建筑物</w:t>
                </w:r>
              </w:p>
            </w:tc>
          </w:sdtContent>
        </w:sdt>
        <w:sdt>
          <w:sdtPr>
            <w:rPr>
              <w:rFonts w:hint="eastAsia"/>
            </w:rPr>
            <w:alias w:val="固定资产情况明细-项目名称"/>
            <w:tag w:val="_GBC_d421638fcfb34bbba0e548b4cb719a06"/>
            <w:id w:val="-1954481689"/>
            <w:text/>
          </w:sdtPr>
          <w:sdtEndPr/>
          <w:sdtContent>
            <w:tc>
              <w:tcPr>
                <w:tcW w:w="687" w:type="pct"/>
                <w:shd w:val="clear" w:color="auto" w:fill="auto"/>
                <w:vAlign w:val="center"/>
              </w:tcPr>
              <w:p w14:paraId="199366DB" w14:textId="77777777" w:rsidR="00E57DAA" w:rsidRDefault="00AC4185">
                <w:pPr>
                  <w:jc w:val="center"/>
                </w:pPr>
                <w:r>
                  <w:rPr>
                    <w:rFonts w:hint="eastAsia"/>
                  </w:rPr>
                  <w:t>机器设备</w:t>
                </w:r>
              </w:p>
            </w:tc>
          </w:sdtContent>
        </w:sdt>
        <w:sdt>
          <w:sdtPr>
            <w:rPr>
              <w:rFonts w:hint="eastAsia"/>
            </w:rPr>
            <w:alias w:val="固定资产情况明细-项目名称"/>
            <w:tag w:val="_GBC_d421638fcfb34bbba0e548b4cb719a06"/>
            <w:id w:val="-1880537415"/>
            <w:text/>
          </w:sdtPr>
          <w:sdtEndPr/>
          <w:sdtContent>
            <w:tc>
              <w:tcPr>
                <w:tcW w:w="612" w:type="pct"/>
                <w:shd w:val="clear" w:color="auto" w:fill="auto"/>
                <w:vAlign w:val="center"/>
              </w:tcPr>
              <w:p w14:paraId="46DD9428" w14:textId="77777777" w:rsidR="00E57DAA" w:rsidRDefault="00AC4185">
                <w:pPr>
                  <w:jc w:val="center"/>
                </w:pPr>
                <w:r>
                  <w:rPr>
                    <w:rFonts w:hint="eastAsia"/>
                  </w:rPr>
                  <w:t>运输工具</w:t>
                </w:r>
              </w:p>
            </w:tc>
          </w:sdtContent>
        </w:sdt>
        <w:sdt>
          <w:sdtPr>
            <w:rPr>
              <w:rFonts w:hint="eastAsia"/>
            </w:rPr>
            <w:alias w:val="固定资产情况明细-项目名称"/>
            <w:tag w:val="_GBC_d421638fcfb34bbba0e548b4cb719a06"/>
            <w:id w:val="2093427276"/>
            <w:text/>
          </w:sdtPr>
          <w:sdtEndPr/>
          <w:sdtContent>
            <w:tc>
              <w:tcPr>
                <w:tcW w:w="612" w:type="pct"/>
                <w:shd w:val="clear" w:color="auto" w:fill="auto"/>
                <w:vAlign w:val="center"/>
              </w:tcPr>
              <w:p w14:paraId="3D89B001" w14:textId="77777777" w:rsidR="00E57DAA" w:rsidRDefault="00AC4185">
                <w:pPr>
                  <w:jc w:val="center"/>
                </w:pPr>
                <w:r>
                  <w:rPr>
                    <w:rFonts w:hint="eastAsia"/>
                  </w:rPr>
                  <w:t>办公设备</w:t>
                </w:r>
              </w:p>
            </w:tc>
          </w:sdtContent>
        </w:sdt>
        <w:sdt>
          <w:sdtPr>
            <w:rPr>
              <w:rFonts w:hint="eastAsia"/>
            </w:rPr>
            <w:alias w:val="固定资产情况明细-项目名称"/>
            <w:tag w:val="_GBC_d421638fcfb34bbba0e548b4cb719a06"/>
            <w:id w:val="-47687253"/>
            <w:text/>
          </w:sdtPr>
          <w:sdtEndPr/>
          <w:sdtContent>
            <w:tc>
              <w:tcPr>
                <w:tcW w:w="612" w:type="pct"/>
                <w:shd w:val="clear" w:color="auto" w:fill="auto"/>
                <w:vAlign w:val="center"/>
              </w:tcPr>
              <w:p w14:paraId="6631D84C" w14:textId="77777777" w:rsidR="00E57DAA" w:rsidRDefault="00AC4185">
                <w:pPr>
                  <w:jc w:val="center"/>
                </w:pPr>
                <w:r>
                  <w:rPr>
                    <w:rFonts w:hint="eastAsia"/>
                  </w:rPr>
                  <w:t>合同能源管理项目资产</w:t>
                </w:r>
              </w:p>
            </w:tc>
          </w:sdtContent>
        </w:sdt>
        <w:sdt>
          <w:sdtPr>
            <w:tag w:val="_PLD_44989fc4cd3d46cc990c4d1941405a11"/>
            <w:id w:val="1563525951"/>
          </w:sdtPr>
          <w:sdtEndPr/>
          <w:sdtContent>
            <w:tc>
              <w:tcPr>
                <w:tcW w:w="687" w:type="pct"/>
                <w:shd w:val="clear" w:color="auto" w:fill="auto"/>
                <w:vAlign w:val="center"/>
              </w:tcPr>
              <w:p w14:paraId="2143D5D2" w14:textId="77777777" w:rsidR="00E57DAA" w:rsidRDefault="00AC4185">
                <w:pPr>
                  <w:jc w:val="center"/>
                </w:pPr>
                <w:r>
                  <w:rPr>
                    <w:rFonts w:hint="eastAsia"/>
                  </w:rPr>
                  <w:t>合计</w:t>
                </w:r>
              </w:p>
            </w:tc>
          </w:sdtContent>
        </w:sdt>
      </w:tr>
      <w:tr w:rsidR="00E57DAA" w14:paraId="64D1F670" w14:textId="77777777">
        <w:sdt>
          <w:sdtPr>
            <w:tag w:val="_PLD_baa91289996942f0a3579319b339b24d"/>
            <w:id w:val="1875654513"/>
          </w:sdtPr>
          <w:sdtEndPr/>
          <w:sdtContent>
            <w:tc>
              <w:tcPr>
                <w:tcW w:w="5000" w:type="pct"/>
                <w:gridSpan w:val="7"/>
                <w:shd w:val="clear" w:color="auto" w:fill="auto"/>
              </w:tcPr>
              <w:p w14:paraId="27939BEF" w14:textId="77777777" w:rsidR="00E57DAA" w:rsidRDefault="00AC4185" w:rsidP="00C25422">
                <w:pPr>
                  <w:pStyle w:val="92"/>
                </w:pPr>
                <w:r>
                  <w:rPr>
                    <w:rFonts w:hint="eastAsia"/>
                  </w:rPr>
                  <w:t>一、账面原值：</w:t>
                </w:r>
              </w:p>
            </w:tc>
          </w:sdtContent>
        </w:sdt>
      </w:tr>
      <w:tr w:rsidR="00E57DAA" w14:paraId="4B3F9F08" w14:textId="77777777">
        <w:tc>
          <w:tcPr>
            <w:tcW w:w="1103" w:type="pct"/>
            <w:shd w:val="clear" w:color="auto" w:fill="auto"/>
          </w:tcPr>
          <w:p w14:paraId="65E825FD" w14:textId="77777777" w:rsidR="00E57DAA" w:rsidRDefault="00AC4185">
            <w:pPr>
              <w:ind w:firstLineChars="200" w:firstLine="420"/>
            </w:pPr>
            <w:r>
              <w:t>1.</w:t>
            </w:r>
            <w:r>
              <w:rPr>
                <w:rFonts w:hint="eastAsia"/>
              </w:rPr>
              <w:t>期初余额</w:t>
            </w:r>
          </w:p>
        </w:tc>
        <w:tc>
          <w:tcPr>
            <w:tcW w:w="687" w:type="pct"/>
            <w:shd w:val="clear" w:color="auto" w:fill="auto"/>
            <w:vAlign w:val="center"/>
          </w:tcPr>
          <w:p w14:paraId="16064C0E" w14:textId="77777777" w:rsidR="00E57DAA" w:rsidRDefault="00AC4185">
            <w:pPr>
              <w:jc w:val="right"/>
            </w:pPr>
            <w:r>
              <w:t>3,387,391,874.63</w:t>
            </w:r>
          </w:p>
        </w:tc>
        <w:tc>
          <w:tcPr>
            <w:tcW w:w="687" w:type="pct"/>
            <w:shd w:val="clear" w:color="auto" w:fill="auto"/>
            <w:vAlign w:val="center"/>
          </w:tcPr>
          <w:p w14:paraId="0AA07334" w14:textId="77777777" w:rsidR="00E57DAA" w:rsidRDefault="00AC4185">
            <w:pPr>
              <w:jc w:val="right"/>
            </w:pPr>
            <w:r>
              <w:t>2,451,845,503.30</w:t>
            </w:r>
          </w:p>
        </w:tc>
        <w:tc>
          <w:tcPr>
            <w:tcW w:w="612" w:type="pct"/>
            <w:shd w:val="clear" w:color="auto" w:fill="auto"/>
            <w:vAlign w:val="center"/>
          </w:tcPr>
          <w:p w14:paraId="48705B9F" w14:textId="77777777" w:rsidR="00E57DAA" w:rsidRDefault="00AC4185">
            <w:pPr>
              <w:jc w:val="right"/>
            </w:pPr>
            <w:r>
              <w:t>505,904,650.67</w:t>
            </w:r>
          </w:p>
        </w:tc>
        <w:tc>
          <w:tcPr>
            <w:tcW w:w="612" w:type="pct"/>
            <w:shd w:val="clear" w:color="auto" w:fill="auto"/>
            <w:vAlign w:val="center"/>
          </w:tcPr>
          <w:p w14:paraId="1977B26A" w14:textId="77777777" w:rsidR="00E57DAA" w:rsidRDefault="00AC4185">
            <w:pPr>
              <w:jc w:val="right"/>
            </w:pPr>
            <w:r>
              <w:t>348,384,032.26</w:t>
            </w:r>
          </w:p>
        </w:tc>
        <w:tc>
          <w:tcPr>
            <w:tcW w:w="612" w:type="pct"/>
            <w:shd w:val="clear" w:color="auto" w:fill="auto"/>
            <w:vAlign w:val="center"/>
          </w:tcPr>
          <w:p w14:paraId="20044335" w14:textId="77777777" w:rsidR="00E57DAA" w:rsidRDefault="00AC4185">
            <w:pPr>
              <w:jc w:val="right"/>
            </w:pPr>
            <w:r>
              <w:t>313,312,521.92</w:t>
            </w:r>
          </w:p>
        </w:tc>
        <w:tc>
          <w:tcPr>
            <w:tcW w:w="687" w:type="pct"/>
            <w:shd w:val="clear" w:color="auto" w:fill="auto"/>
            <w:vAlign w:val="center"/>
          </w:tcPr>
          <w:p w14:paraId="5E9312A8" w14:textId="77777777" w:rsidR="00E57DAA" w:rsidRDefault="00AC4185">
            <w:pPr>
              <w:jc w:val="right"/>
            </w:pPr>
            <w:r>
              <w:t>7,006,838,582.78</w:t>
            </w:r>
          </w:p>
        </w:tc>
      </w:tr>
      <w:tr w:rsidR="00E57DAA" w14:paraId="2CA41A5A" w14:textId="77777777">
        <w:tc>
          <w:tcPr>
            <w:tcW w:w="1103" w:type="pct"/>
            <w:shd w:val="clear" w:color="auto" w:fill="auto"/>
          </w:tcPr>
          <w:p w14:paraId="62C4D43D" w14:textId="77777777" w:rsidR="00E57DAA" w:rsidRDefault="00AC4185">
            <w:pPr>
              <w:ind w:firstLineChars="200" w:firstLine="420"/>
            </w:pPr>
            <w:r>
              <w:t>2.</w:t>
            </w:r>
            <w:r>
              <w:rPr>
                <w:rFonts w:hint="eastAsia"/>
              </w:rPr>
              <w:t>本期增加金额</w:t>
            </w:r>
          </w:p>
        </w:tc>
        <w:tc>
          <w:tcPr>
            <w:tcW w:w="687" w:type="pct"/>
            <w:shd w:val="clear" w:color="auto" w:fill="auto"/>
            <w:vAlign w:val="center"/>
          </w:tcPr>
          <w:p w14:paraId="340F1C4D" w14:textId="77777777" w:rsidR="00E57DAA" w:rsidRDefault="00AC4185">
            <w:pPr>
              <w:jc w:val="right"/>
            </w:pPr>
            <w:r>
              <w:t>814,439,338.01</w:t>
            </w:r>
          </w:p>
        </w:tc>
        <w:tc>
          <w:tcPr>
            <w:tcW w:w="687" w:type="pct"/>
            <w:shd w:val="clear" w:color="auto" w:fill="auto"/>
            <w:vAlign w:val="center"/>
          </w:tcPr>
          <w:p w14:paraId="42BD7E47" w14:textId="77777777" w:rsidR="00E57DAA" w:rsidRDefault="00AC4185">
            <w:pPr>
              <w:jc w:val="right"/>
            </w:pPr>
            <w:r>
              <w:t>321,249,734.36</w:t>
            </w:r>
          </w:p>
        </w:tc>
        <w:tc>
          <w:tcPr>
            <w:tcW w:w="612" w:type="pct"/>
            <w:shd w:val="clear" w:color="auto" w:fill="auto"/>
            <w:vAlign w:val="center"/>
          </w:tcPr>
          <w:p w14:paraId="7AA24E7E" w14:textId="77777777" w:rsidR="00E57DAA" w:rsidRDefault="00AC4185">
            <w:pPr>
              <w:jc w:val="right"/>
            </w:pPr>
            <w:r>
              <w:t>106,569,636.58</w:t>
            </w:r>
          </w:p>
        </w:tc>
        <w:tc>
          <w:tcPr>
            <w:tcW w:w="612" w:type="pct"/>
            <w:shd w:val="clear" w:color="auto" w:fill="auto"/>
            <w:vAlign w:val="center"/>
          </w:tcPr>
          <w:p w14:paraId="3FAA3CC6" w14:textId="77777777" w:rsidR="00E57DAA" w:rsidRDefault="00AC4185">
            <w:pPr>
              <w:jc w:val="right"/>
            </w:pPr>
            <w:r>
              <w:t>119,332,312.28</w:t>
            </w:r>
          </w:p>
        </w:tc>
        <w:tc>
          <w:tcPr>
            <w:tcW w:w="612" w:type="pct"/>
            <w:shd w:val="clear" w:color="auto" w:fill="auto"/>
            <w:vAlign w:val="center"/>
          </w:tcPr>
          <w:p w14:paraId="00EA3B4B" w14:textId="77777777" w:rsidR="00E57DAA" w:rsidRDefault="00AC4185">
            <w:pPr>
              <w:jc w:val="right"/>
            </w:pPr>
            <w:r>
              <w:t>24,029,793.16</w:t>
            </w:r>
          </w:p>
        </w:tc>
        <w:tc>
          <w:tcPr>
            <w:tcW w:w="687" w:type="pct"/>
            <w:shd w:val="clear" w:color="auto" w:fill="auto"/>
            <w:vAlign w:val="center"/>
          </w:tcPr>
          <w:p w14:paraId="34F16B09" w14:textId="77777777" w:rsidR="00E57DAA" w:rsidRDefault="00AC4185">
            <w:pPr>
              <w:jc w:val="right"/>
            </w:pPr>
            <w:r>
              <w:t>1,385,620,814.39</w:t>
            </w:r>
          </w:p>
        </w:tc>
      </w:tr>
      <w:tr w:rsidR="00E57DAA" w14:paraId="5D5F212D" w14:textId="77777777">
        <w:tc>
          <w:tcPr>
            <w:tcW w:w="1103" w:type="pct"/>
            <w:shd w:val="clear" w:color="auto" w:fill="auto"/>
          </w:tcPr>
          <w:p w14:paraId="2E93CB1F" w14:textId="77777777" w:rsidR="00E57DAA" w:rsidRDefault="00AC4185">
            <w:pPr>
              <w:ind w:firstLineChars="300" w:firstLine="630"/>
            </w:pPr>
            <w:r>
              <w:rPr>
                <w:rFonts w:hint="eastAsia"/>
              </w:rPr>
              <w:t>（1）购置</w:t>
            </w:r>
          </w:p>
        </w:tc>
        <w:tc>
          <w:tcPr>
            <w:tcW w:w="687" w:type="pct"/>
            <w:shd w:val="clear" w:color="auto" w:fill="auto"/>
            <w:vAlign w:val="center"/>
          </w:tcPr>
          <w:p w14:paraId="76E42CFA" w14:textId="77777777" w:rsidR="00E57DAA" w:rsidRDefault="00AC4185">
            <w:pPr>
              <w:jc w:val="right"/>
            </w:pPr>
            <w:r>
              <w:t>1,422,250.53</w:t>
            </w:r>
          </w:p>
        </w:tc>
        <w:tc>
          <w:tcPr>
            <w:tcW w:w="687" w:type="pct"/>
            <w:shd w:val="clear" w:color="auto" w:fill="auto"/>
            <w:vAlign w:val="center"/>
          </w:tcPr>
          <w:p w14:paraId="2A9E6AAB" w14:textId="77777777" w:rsidR="00E57DAA" w:rsidRDefault="00AC4185">
            <w:pPr>
              <w:jc w:val="right"/>
            </w:pPr>
            <w:r>
              <w:t>222,722,512.77</w:t>
            </w:r>
          </w:p>
        </w:tc>
        <w:tc>
          <w:tcPr>
            <w:tcW w:w="612" w:type="pct"/>
            <w:shd w:val="clear" w:color="auto" w:fill="auto"/>
            <w:vAlign w:val="center"/>
          </w:tcPr>
          <w:p w14:paraId="1A6EFD50" w14:textId="77777777" w:rsidR="00E57DAA" w:rsidRDefault="00AC4185">
            <w:pPr>
              <w:jc w:val="right"/>
            </w:pPr>
            <w:r>
              <w:t>90,157,698.33</w:t>
            </w:r>
          </w:p>
        </w:tc>
        <w:tc>
          <w:tcPr>
            <w:tcW w:w="612" w:type="pct"/>
            <w:shd w:val="clear" w:color="auto" w:fill="auto"/>
            <w:vAlign w:val="center"/>
          </w:tcPr>
          <w:p w14:paraId="2EF89BB6" w14:textId="77777777" w:rsidR="00E57DAA" w:rsidRDefault="00AC4185">
            <w:pPr>
              <w:jc w:val="right"/>
            </w:pPr>
            <w:r>
              <w:t>91,682,379.63</w:t>
            </w:r>
          </w:p>
        </w:tc>
        <w:tc>
          <w:tcPr>
            <w:tcW w:w="612" w:type="pct"/>
            <w:shd w:val="clear" w:color="auto" w:fill="auto"/>
            <w:vAlign w:val="center"/>
          </w:tcPr>
          <w:p w14:paraId="127A710F" w14:textId="77777777" w:rsidR="00E57DAA" w:rsidRDefault="00E57DAA">
            <w:pPr>
              <w:jc w:val="right"/>
            </w:pPr>
          </w:p>
        </w:tc>
        <w:tc>
          <w:tcPr>
            <w:tcW w:w="687" w:type="pct"/>
            <w:shd w:val="clear" w:color="auto" w:fill="auto"/>
            <w:vAlign w:val="center"/>
          </w:tcPr>
          <w:p w14:paraId="7E4FFB0D" w14:textId="77777777" w:rsidR="00E57DAA" w:rsidRDefault="00AC4185">
            <w:pPr>
              <w:jc w:val="right"/>
            </w:pPr>
            <w:r>
              <w:t>405,984,841.26</w:t>
            </w:r>
          </w:p>
        </w:tc>
      </w:tr>
      <w:tr w:rsidR="00E57DAA" w14:paraId="4152C56C" w14:textId="77777777">
        <w:tc>
          <w:tcPr>
            <w:tcW w:w="1103" w:type="pct"/>
            <w:shd w:val="clear" w:color="auto" w:fill="auto"/>
          </w:tcPr>
          <w:p w14:paraId="25889424" w14:textId="77777777" w:rsidR="00E57DAA" w:rsidRDefault="00AC4185">
            <w:pPr>
              <w:ind w:firstLineChars="300" w:firstLine="630"/>
            </w:pPr>
            <w:r>
              <w:rPr>
                <w:rFonts w:hint="eastAsia"/>
              </w:rPr>
              <w:t>（2）在建工程转入</w:t>
            </w:r>
          </w:p>
        </w:tc>
        <w:tc>
          <w:tcPr>
            <w:tcW w:w="687" w:type="pct"/>
            <w:shd w:val="clear" w:color="auto" w:fill="auto"/>
            <w:vAlign w:val="center"/>
          </w:tcPr>
          <w:p w14:paraId="03A7E5ED" w14:textId="77777777" w:rsidR="00E57DAA" w:rsidRDefault="00AC4185">
            <w:pPr>
              <w:jc w:val="right"/>
            </w:pPr>
            <w:r>
              <w:t>809,057,543.55</w:t>
            </w:r>
          </w:p>
        </w:tc>
        <w:tc>
          <w:tcPr>
            <w:tcW w:w="687" w:type="pct"/>
            <w:shd w:val="clear" w:color="auto" w:fill="auto"/>
            <w:vAlign w:val="center"/>
          </w:tcPr>
          <w:p w14:paraId="5B2C5517" w14:textId="77777777" w:rsidR="00E57DAA" w:rsidRDefault="00AC4185">
            <w:pPr>
              <w:jc w:val="right"/>
            </w:pPr>
            <w:r>
              <w:t>83,776,688.80</w:t>
            </w:r>
          </w:p>
        </w:tc>
        <w:tc>
          <w:tcPr>
            <w:tcW w:w="612" w:type="pct"/>
            <w:shd w:val="clear" w:color="auto" w:fill="auto"/>
            <w:vAlign w:val="center"/>
          </w:tcPr>
          <w:p w14:paraId="4EC942B3" w14:textId="77777777" w:rsidR="00E57DAA" w:rsidRDefault="00AC4185">
            <w:pPr>
              <w:jc w:val="right"/>
            </w:pPr>
            <w:r>
              <w:t>12,608,829.07</w:t>
            </w:r>
          </w:p>
        </w:tc>
        <w:tc>
          <w:tcPr>
            <w:tcW w:w="612" w:type="pct"/>
            <w:shd w:val="clear" w:color="auto" w:fill="auto"/>
            <w:vAlign w:val="center"/>
          </w:tcPr>
          <w:p w14:paraId="1A10A3B9" w14:textId="77777777" w:rsidR="00E57DAA" w:rsidRDefault="00AC4185">
            <w:pPr>
              <w:jc w:val="right"/>
            </w:pPr>
            <w:r>
              <w:t>27,570,427.64</w:t>
            </w:r>
          </w:p>
        </w:tc>
        <w:tc>
          <w:tcPr>
            <w:tcW w:w="612" w:type="pct"/>
            <w:shd w:val="clear" w:color="auto" w:fill="auto"/>
            <w:vAlign w:val="center"/>
          </w:tcPr>
          <w:p w14:paraId="0B65A9C1" w14:textId="77777777" w:rsidR="00E57DAA" w:rsidRDefault="00AC4185">
            <w:pPr>
              <w:jc w:val="right"/>
            </w:pPr>
            <w:r>
              <w:t>24,029,793.16</w:t>
            </w:r>
          </w:p>
        </w:tc>
        <w:tc>
          <w:tcPr>
            <w:tcW w:w="687" w:type="pct"/>
            <w:shd w:val="clear" w:color="auto" w:fill="auto"/>
            <w:vAlign w:val="center"/>
          </w:tcPr>
          <w:p w14:paraId="562E17C5" w14:textId="77777777" w:rsidR="00E57DAA" w:rsidRDefault="00AC4185">
            <w:pPr>
              <w:jc w:val="right"/>
            </w:pPr>
            <w:r>
              <w:t>957,043,282.22</w:t>
            </w:r>
          </w:p>
        </w:tc>
      </w:tr>
      <w:tr w:rsidR="00E57DAA" w14:paraId="33D9B41D" w14:textId="77777777">
        <w:tc>
          <w:tcPr>
            <w:tcW w:w="1103" w:type="pct"/>
            <w:shd w:val="clear" w:color="auto" w:fill="auto"/>
          </w:tcPr>
          <w:p w14:paraId="1F6C8672" w14:textId="77777777" w:rsidR="00E57DAA" w:rsidRDefault="00AC4185">
            <w:pPr>
              <w:ind w:firstLineChars="300" w:firstLine="630"/>
            </w:pPr>
            <w:r>
              <w:rPr>
                <w:rFonts w:hint="eastAsia"/>
              </w:rPr>
              <w:t>（3）企业合并增加</w:t>
            </w:r>
          </w:p>
        </w:tc>
        <w:tc>
          <w:tcPr>
            <w:tcW w:w="687" w:type="pct"/>
            <w:shd w:val="clear" w:color="auto" w:fill="auto"/>
            <w:vAlign w:val="center"/>
          </w:tcPr>
          <w:p w14:paraId="216E7E76" w14:textId="77777777" w:rsidR="00E57DAA" w:rsidRDefault="00AC4185">
            <w:pPr>
              <w:jc w:val="right"/>
            </w:pPr>
            <w:r>
              <w:t>13,956,771.21</w:t>
            </w:r>
          </w:p>
        </w:tc>
        <w:tc>
          <w:tcPr>
            <w:tcW w:w="687" w:type="pct"/>
            <w:shd w:val="clear" w:color="auto" w:fill="auto"/>
            <w:vAlign w:val="center"/>
          </w:tcPr>
          <w:p w14:paraId="26F62D71" w14:textId="77777777" w:rsidR="00E57DAA" w:rsidRDefault="00AC4185">
            <w:pPr>
              <w:jc w:val="right"/>
            </w:pPr>
            <w:r>
              <w:t>30,145,929.14</w:t>
            </w:r>
          </w:p>
        </w:tc>
        <w:tc>
          <w:tcPr>
            <w:tcW w:w="612" w:type="pct"/>
            <w:shd w:val="clear" w:color="auto" w:fill="auto"/>
            <w:vAlign w:val="center"/>
          </w:tcPr>
          <w:p w14:paraId="4D3A00D9" w14:textId="77777777" w:rsidR="00E57DAA" w:rsidRDefault="00AC4185">
            <w:pPr>
              <w:jc w:val="right"/>
            </w:pPr>
            <w:r>
              <w:t>6,252,986.67</w:t>
            </w:r>
          </w:p>
        </w:tc>
        <w:tc>
          <w:tcPr>
            <w:tcW w:w="612" w:type="pct"/>
            <w:shd w:val="clear" w:color="auto" w:fill="auto"/>
            <w:vAlign w:val="center"/>
          </w:tcPr>
          <w:p w14:paraId="453F5288" w14:textId="77777777" w:rsidR="00E57DAA" w:rsidRDefault="00AC4185">
            <w:pPr>
              <w:jc w:val="right"/>
            </w:pPr>
            <w:r>
              <w:t>506,549.62</w:t>
            </w:r>
          </w:p>
        </w:tc>
        <w:tc>
          <w:tcPr>
            <w:tcW w:w="612" w:type="pct"/>
            <w:shd w:val="clear" w:color="auto" w:fill="auto"/>
            <w:vAlign w:val="center"/>
          </w:tcPr>
          <w:p w14:paraId="294E131C" w14:textId="77777777" w:rsidR="00E57DAA" w:rsidRDefault="00E57DAA">
            <w:pPr>
              <w:jc w:val="right"/>
            </w:pPr>
          </w:p>
        </w:tc>
        <w:tc>
          <w:tcPr>
            <w:tcW w:w="687" w:type="pct"/>
            <w:shd w:val="clear" w:color="auto" w:fill="auto"/>
            <w:vAlign w:val="center"/>
          </w:tcPr>
          <w:p w14:paraId="333FDBA2" w14:textId="77777777" w:rsidR="00E57DAA" w:rsidRDefault="00AC4185">
            <w:pPr>
              <w:jc w:val="right"/>
            </w:pPr>
            <w:r>
              <w:t>50,862,236.64</w:t>
            </w:r>
          </w:p>
        </w:tc>
      </w:tr>
      <w:tr w:rsidR="00E57DAA" w14:paraId="4567FAB4" w14:textId="77777777">
        <w:tc>
          <w:tcPr>
            <w:tcW w:w="1103" w:type="pct"/>
            <w:shd w:val="clear" w:color="auto" w:fill="auto"/>
          </w:tcPr>
          <w:p w14:paraId="41DF8358" w14:textId="77777777" w:rsidR="00E57DAA" w:rsidRDefault="00AC4185">
            <w:pPr>
              <w:ind w:firstLineChars="300" w:firstLine="630"/>
            </w:pPr>
            <w:r>
              <w:rPr>
                <w:rFonts w:hint="eastAsia"/>
              </w:rPr>
              <w:t>（4）外币报表折算差额</w:t>
            </w:r>
          </w:p>
        </w:tc>
        <w:tc>
          <w:tcPr>
            <w:tcW w:w="687" w:type="pct"/>
            <w:shd w:val="clear" w:color="auto" w:fill="auto"/>
            <w:vAlign w:val="center"/>
          </w:tcPr>
          <w:p w14:paraId="36BE9366" w14:textId="77777777" w:rsidR="00E57DAA" w:rsidRDefault="00AC4185">
            <w:pPr>
              <w:jc w:val="right"/>
            </w:pPr>
            <w:r>
              <w:t>-9,997,227.28</w:t>
            </w:r>
          </w:p>
        </w:tc>
        <w:tc>
          <w:tcPr>
            <w:tcW w:w="687" w:type="pct"/>
            <w:shd w:val="clear" w:color="auto" w:fill="auto"/>
            <w:vAlign w:val="center"/>
          </w:tcPr>
          <w:p w14:paraId="48296E05" w14:textId="77777777" w:rsidR="00E57DAA" w:rsidRDefault="00AC4185">
            <w:pPr>
              <w:jc w:val="right"/>
            </w:pPr>
            <w:r>
              <w:t>-15,395,396.35</w:t>
            </w:r>
          </w:p>
        </w:tc>
        <w:tc>
          <w:tcPr>
            <w:tcW w:w="612" w:type="pct"/>
            <w:shd w:val="clear" w:color="auto" w:fill="auto"/>
            <w:vAlign w:val="center"/>
          </w:tcPr>
          <w:p w14:paraId="786E97F8" w14:textId="77777777" w:rsidR="00E57DAA" w:rsidRDefault="00AC4185">
            <w:pPr>
              <w:jc w:val="right"/>
            </w:pPr>
            <w:r>
              <w:t>-2,449,877.49</w:t>
            </w:r>
          </w:p>
        </w:tc>
        <w:tc>
          <w:tcPr>
            <w:tcW w:w="612" w:type="pct"/>
            <w:shd w:val="clear" w:color="auto" w:fill="auto"/>
            <w:vAlign w:val="center"/>
          </w:tcPr>
          <w:p w14:paraId="45C90359" w14:textId="77777777" w:rsidR="00E57DAA" w:rsidRDefault="00AC4185">
            <w:pPr>
              <w:jc w:val="right"/>
            </w:pPr>
            <w:r>
              <w:t>-427,044.61</w:t>
            </w:r>
          </w:p>
        </w:tc>
        <w:tc>
          <w:tcPr>
            <w:tcW w:w="612" w:type="pct"/>
            <w:shd w:val="clear" w:color="auto" w:fill="auto"/>
            <w:vAlign w:val="center"/>
          </w:tcPr>
          <w:p w14:paraId="4B9249B8" w14:textId="77777777" w:rsidR="00E57DAA" w:rsidRDefault="00E57DAA">
            <w:pPr>
              <w:jc w:val="right"/>
            </w:pPr>
          </w:p>
        </w:tc>
        <w:tc>
          <w:tcPr>
            <w:tcW w:w="687" w:type="pct"/>
            <w:shd w:val="clear" w:color="auto" w:fill="auto"/>
            <w:vAlign w:val="center"/>
          </w:tcPr>
          <w:p w14:paraId="4622F042" w14:textId="77777777" w:rsidR="00E57DAA" w:rsidRDefault="00AC4185">
            <w:pPr>
              <w:jc w:val="right"/>
            </w:pPr>
            <w:r>
              <w:t>-28,269,545.73</w:t>
            </w:r>
          </w:p>
        </w:tc>
      </w:tr>
      <w:tr w:rsidR="00E57DAA" w14:paraId="20231218" w14:textId="77777777">
        <w:tc>
          <w:tcPr>
            <w:tcW w:w="1103" w:type="pct"/>
            <w:shd w:val="clear" w:color="auto" w:fill="auto"/>
          </w:tcPr>
          <w:p w14:paraId="4109A65B" w14:textId="77777777" w:rsidR="00E57DAA" w:rsidRDefault="00AC4185">
            <w:pPr>
              <w:ind w:firstLineChars="202" w:firstLine="424"/>
            </w:pPr>
            <w:r>
              <w:rPr>
                <w:rFonts w:hint="eastAsia"/>
              </w:rPr>
              <w:t>3.本期减少金额</w:t>
            </w:r>
          </w:p>
        </w:tc>
        <w:tc>
          <w:tcPr>
            <w:tcW w:w="687" w:type="pct"/>
            <w:shd w:val="clear" w:color="auto" w:fill="auto"/>
            <w:vAlign w:val="center"/>
          </w:tcPr>
          <w:p w14:paraId="2A3FB82B" w14:textId="77777777" w:rsidR="00E57DAA" w:rsidRDefault="00AC4185">
            <w:pPr>
              <w:jc w:val="right"/>
            </w:pPr>
            <w:r>
              <w:t>25,254,055.82</w:t>
            </w:r>
          </w:p>
        </w:tc>
        <w:tc>
          <w:tcPr>
            <w:tcW w:w="687" w:type="pct"/>
            <w:shd w:val="clear" w:color="auto" w:fill="auto"/>
            <w:vAlign w:val="center"/>
          </w:tcPr>
          <w:p w14:paraId="69890B8E" w14:textId="77777777" w:rsidR="00E57DAA" w:rsidRDefault="00AC4185">
            <w:pPr>
              <w:jc w:val="right"/>
            </w:pPr>
            <w:r>
              <w:t>109,890,478.21</w:t>
            </w:r>
          </w:p>
        </w:tc>
        <w:tc>
          <w:tcPr>
            <w:tcW w:w="612" w:type="pct"/>
            <w:shd w:val="clear" w:color="auto" w:fill="auto"/>
            <w:vAlign w:val="center"/>
          </w:tcPr>
          <w:p w14:paraId="498D40CB" w14:textId="77777777" w:rsidR="00E57DAA" w:rsidRDefault="00AC4185">
            <w:pPr>
              <w:jc w:val="right"/>
            </w:pPr>
            <w:r>
              <w:t>51,668,940.58</w:t>
            </w:r>
          </w:p>
        </w:tc>
        <w:tc>
          <w:tcPr>
            <w:tcW w:w="612" w:type="pct"/>
            <w:shd w:val="clear" w:color="auto" w:fill="auto"/>
            <w:vAlign w:val="center"/>
          </w:tcPr>
          <w:p w14:paraId="4AFB8F66" w14:textId="77777777" w:rsidR="00E57DAA" w:rsidRDefault="00AC4185">
            <w:pPr>
              <w:jc w:val="right"/>
            </w:pPr>
            <w:r>
              <w:t>10,335,224.59</w:t>
            </w:r>
          </w:p>
        </w:tc>
        <w:tc>
          <w:tcPr>
            <w:tcW w:w="612" w:type="pct"/>
            <w:shd w:val="clear" w:color="auto" w:fill="auto"/>
            <w:vAlign w:val="center"/>
          </w:tcPr>
          <w:p w14:paraId="2FB92C39" w14:textId="77777777" w:rsidR="00E57DAA" w:rsidRDefault="00AC4185">
            <w:pPr>
              <w:jc w:val="right"/>
            </w:pPr>
            <w:r>
              <w:t>60,141,741.67</w:t>
            </w:r>
          </w:p>
        </w:tc>
        <w:tc>
          <w:tcPr>
            <w:tcW w:w="687" w:type="pct"/>
            <w:shd w:val="clear" w:color="auto" w:fill="auto"/>
            <w:vAlign w:val="center"/>
          </w:tcPr>
          <w:p w14:paraId="6DE25D52" w14:textId="77777777" w:rsidR="00E57DAA" w:rsidRDefault="00AC4185">
            <w:pPr>
              <w:jc w:val="right"/>
            </w:pPr>
            <w:r>
              <w:t>257,290,440.87</w:t>
            </w:r>
          </w:p>
        </w:tc>
      </w:tr>
      <w:tr w:rsidR="00E57DAA" w14:paraId="56904AB2" w14:textId="77777777">
        <w:tc>
          <w:tcPr>
            <w:tcW w:w="1103" w:type="pct"/>
            <w:shd w:val="clear" w:color="auto" w:fill="auto"/>
          </w:tcPr>
          <w:p w14:paraId="7C79ED92" w14:textId="77777777" w:rsidR="00E57DAA" w:rsidRDefault="00AC4185">
            <w:pPr>
              <w:ind w:firstLineChars="300" w:firstLine="630"/>
            </w:pPr>
            <w:r>
              <w:rPr>
                <w:rFonts w:hint="eastAsia"/>
              </w:rPr>
              <w:t>（1）处置或报废</w:t>
            </w:r>
          </w:p>
        </w:tc>
        <w:tc>
          <w:tcPr>
            <w:tcW w:w="687" w:type="pct"/>
            <w:shd w:val="clear" w:color="auto" w:fill="auto"/>
            <w:vAlign w:val="center"/>
          </w:tcPr>
          <w:p w14:paraId="6C9BE57C" w14:textId="77777777" w:rsidR="00E57DAA" w:rsidRDefault="00AC4185">
            <w:pPr>
              <w:jc w:val="right"/>
            </w:pPr>
            <w:r>
              <w:t>18,806,608.24</w:t>
            </w:r>
          </w:p>
        </w:tc>
        <w:tc>
          <w:tcPr>
            <w:tcW w:w="687" w:type="pct"/>
            <w:shd w:val="clear" w:color="auto" w:fill="auto"/>
            <w:vAlign w:val="center"/>
          </w:tcPr>
          <w:p w14:paraId="33BFB22B" w14:textId="77777777" w:rsidR="00E57DAA" w:rsidRDefault="00AC4185">
            <w:pPr>
              <w:jc w:val="right"/>
            </w:pPr>
            <w:r>
              <w:t>109,890,478.21</w:t>
            </w:r>
          </w:p>
        </w:tc>
        <w:tc>
          <w:tcPr>
            <w:tcW w:w="612" w:type="pct"/>
            <w:shd w:val="clear" w:color="auto" w:fill="auto"/>
            <w:vAlign w:val="center"/>
          </w:tcPr>
          <w:p w14:paraId="5C22F9A8" w14:textId="77777777" w:rsidR="00E57DAA" w:rsidRDefault="00AC4185">
            <w:pPr>
              <w:jc w:val="right"/>
            </w:pPr>
            <w:r>
              <w:t>51,668,940.58</w:t>
            </w:r>
          </w:p>
        </w:tc>
        <w:tc>
          <w:tcPr>
            <w:tcW w:w="612" w:type="pct"/>
            <w:shd w:val="clear" w:color="auto" w:fill="auto"/>
            <w:vAlign w:val="center"/>
          </w:tcPr>
          <w:p w14:paraId="44D07A4C" w14:textId="77777777" w:rsidR="00E57DAA" w:rsidRDefault="00AC4185">
            <w:pPr>
              <w:jc w:val="right"/>
            </w:pPr>
            <w:r>
              <w:t>10,335,224.59</w:t>
            </w:r>
          </w:p>
        </w:tc>
        <w:tc>
          <w:tcPr>
            <w:tcW w:w="612" w:type="pct"/>
            <w:shd w:val="clear" w:color="auto" w:fill="auto"/>
            <w:vAlign w:val="center"/>
          </w:tcPr>
          <w:p w14:paraId="0CF08E67" w14:textId="77777777" w:rsidR="00E57DAA" w:rsidRDefault="00AC4185">
            <w:pPr>
              <w:jc w:val="right"/>
            </w:pPr>
            <w:r>
              <w:t>44,307,088.56</w:t>
            </w:r>
          </w:p>
        </w:tc>
        <w:tc>
          <w:tcPr>
            <w:tcW w:w="687" w:type="pct"/>
            <w:shd w:val="clear" w:color="auto" w:fill="auto"/>
            <w:vAlign w:val="center"/>
          </w:tcPr>
          <w:p w14:paraId="0393C244" w14:textId="77777777" w:rsidR="00E57DAA" w:rsidRDefault="00AC4185">
            <w:pPr>
              <w:jc w:val="right"/>
            </w:pPr>
            <w:r>
              <w:t>235,008,340.18</w:t>
            </w:r>
          </w:p>
        </w:tc>
      </w:tr>
      <w:tr w:rsidR="00E57DAA" w14:paraId="0857AED4" w14:textId="77777777">
        <w:tc>
          <w:tcPr>
            <w:tcW w:w="1103" w:type="pct"/>
            <w:shd w:val="clear" w:color="auto" w:fill="auto"/>
            <w:vAlign w:val="center"/>
          </w:tcPr>
          <w:p w14:paraId="788E7E01" w14:textId="77777777" w:rsidR="00E57DAA" w:rsidRDefault="00AC4185">
            <w:pPr>
              <w:ind w:firstLineChars="300" w:firstLine="630"/>
            </w:pPr>
            <w:r>
              <w:rPr>
                <w:rFonts w:hint="eastAsia"/>
              </w:rPr>
              <w:t>（2）转入投资性房地产</w:t>
            </w:r>
          </w:p>
        </w:tc>
        <w:tc>
          <w:tcPr>
            <w:tcW w:w="687" w:type="pct"/>
            <w:shd w:val="clear" w:color="auto" w:fill="auto"/>
            <w:vAlign w:val="center"/>
          </w:tcPr>
          <w:p w14:paraId="0D84E96C" w14:textId="77777777" w:rsidR="00E57DAA" w:rsidRDefault="00AC4185">
            <w:pPr>
              <w:jc w:val="right"/>
            </w:pPr>
            <w:r>
              <w:t>6,447,447.58</w:t>
            </w:r>
          </w:p>
        </w:tc>
        <w:tc>
          <w:tcPr>
            <w:tcW w:w="687" w:type="pct"/>
            <w:shd w:val="clear" w:color="auto" w:fill="auto"/>
            <w:vAlign w:val="center"/>
          </w:tcPr>
          <w:p w14:paraId="3EFB8DDB" w14:textId="77777777" w:rsidR="00E57DAA" w:rsidRDefault="00E57DAA">
            <w:pPr>
              <w:jc w:val="right"/>
            </w:pPr>
          </w:p>
        </w:tc>
        <w:tc>
          <w:tcPr>
            <w:tcW w:w="612" w:type="pct"/>
            <w:shd w:val="clear" w:color="auto" w:fill="auto"/>
            <w:vAlign w:val="center"/>
          </w:tcPr>
          <w:p w14:paraId="537DD82F" w14:textId="77777777" w:rsidR="00E57DAA" w:rsidRDefault="00E57DAA">
            <w:pPr>
              <w:jc w:val="right"/>
            </w:pPr>
          </w:p>
        </w:tc>
        <w:tc>
          <w:tcPr>
            <w:tcW w:w="612" w:type="pct"/>
            <w:shd w:val="clear" w:color="auto" w:fill="auto"/>
            <w:vAlign w:val="center"/>
          </w:tcPr>
          <w:p w14:paraId="1DDB63CF" w14:textId="77777777" w:rsidR="00E57DAA" w:rsidRDefault="00E57DAA">
            <w:pPr>
              <w:jc w:val="right"/>
            </w:pPr>
          </w:p>
        </w:tc>
        <w:tc>
          <w:tcPr>
            <w:tcW w:w="612" w:type="pct"/>
            <w:shd w:val="clear" w:color="auto" w:fill="auto"/>
            <w:vAlign w:val="center"/>
          </w:tcPr>
          <w:p w14:paraId="0490C2C9" w14:textId="77777777" w:rsidR="00E57DAA" w:rsidRDefault="00E57DAA">
            <w:pPr>
              <w:jc w:val="right"/>
            </w:pPr>
          </w:p>
        </w:tc>
        <w:tc>
          <w:tcPr>
            <w:tcW w:w="687" w:type="pct"/>
            <w:shd w:val="clear" w:color="auto" w:fill="auto"/>
            <w:vAlign w:val="center"/>
          </w:tcPr>
          <w:p w14:paraId="408D508B" w14:textId="77777777" w:rsidR="00E57DAA" w:rsidRDefault="00AC4185">
            <w:pPr>
              <w:jc w:val="right"/>
            </w:pPr>
            <w:r>
              <w:t>6,447,447.58</w:t>
            </w:r>
          </w:p>
        </w:tc>
      </w:tr>
      <w:tr w:rsidR="00E57DAA" w14:paraId="189A385D" w14:textId="77777777">
        <w:tc>
          <w:tcPr>
            <w:tcW w:w="1103" w:type="pct"/>
            <w:shd w:val="clear" w:color="auto" w:fill="auto"/>
            <w:vAlign w:val="center"/>
          </w:tcPr>
          <w:p w14:paraId="26DAB5B0" w14:textId="77777777" w:rsidR="00E57DAA" w:rsidRDefault="00AC4185">
            <w:pPr>
              <w:ind w:firstLineChars="300" w:firstLine="630"/>
            </w:pPr>
            <w:r>
              <w:rPr>
                <w:rFonts w:hint="eastAsia"/>
              </w:rPr>
              <w:t>（3）其他减少</w:t>
            </w:r>
          </w:p>
        </w:tc>
        <w:tc>
          <w:tcPr>
            <w:tcW w:w="687" w:type="pct"/>
            <w:shd w:val="clear" w:color="auto" w:fill="auto"/>
            <w:vAlign w:val="center"/>
          </w:tcPr>
          <w:p w14:paraId="2F78DD08" w14:textId="77777777" w:rsidR="00E57DAA" w:rsidRDefault="00E57DAA">
            <w:pPr>
              <w:jc w:val="right"/>
            </w:pPr>
          </w:p>
        </w:tc>
        <w:tc>
          <w:tcPr>
            <w:tcW w:w="687" w:type="pct"/>
            <w:shd w:val="clear" w:color="auto" w:fill="auto"/>
            <w:vAlign w:val="center"/>
          </w:tcPr>
          <w:p w14:paraId="4AC4494F" w14:textId="77777777" w:rsidR="00E57DAA" w:rsidRDefault="00E57DAA">
            <w:pPr>
              <w:jc w:val="right"/>
            </w:pPr>
          </w:p>
        </w:tc>
        <w:tc>
          <w:tcPr>
            <w:tcW w:w="612" w:type="pct"/>
            <w:shd w:val="clear" w:color="auto" w:fill="auto"/>
            <w:vAlign w:val="center"/>
          </w:tcPr>
          <w:p w14:paraId="673D2786" w14:textId="77777777" w:rsidR="00E57DAA" w:rsidRDefault="00E57DAA">
            <w:pPr>
              <w:jc w:val="right"/>
            </w:pPr>
          </w:p>
        </w:tc>
        <w:tc>
          <w:tcPr>
            <w:tcW w:w="612" w:type="pct"/>
            <w:shd w:val="clear" w:color="auto" w:fill="auto"/>
            <w:vAlign w:val="center"/>
          </w:tcPr>
          <w:p w14:paraId="302238FD" w14:textId="77777777" w:rsidR="00E57DAA" w:rsidRDefault="00E57DAA">
            <w:pPr>
              <w:jc w:val="right"/>
            </w:pPr>
          </w:p>
        </w:tc>
        <w:tc>
          <w:tcPr>
            <w:tcW w:w="612" w:type="pct"/>
            <w:shd w:val="clear" w:color="auto" w:fill="auto"/>
            <w:vAlign w:val="center"/>
          </w:tcPr>
          <w:p w14:paraId="2BF11EAC" w14:textId="77777777" w:rsidR="00E57DAA" w:rsidRDefault="00AC4185">
            <w:pPr>
              <w:jc w:val="right"/>
            </w:pPr>
            <w:r>
              <w:t>15,834,653.11</w:t>
            </w:r>
          </w:p>
        </w:tc>
        <w:tc>
          <w:tcPr>
            <w:tcW w:w="687" w:type="pct"/>
            <w:shd w:val="clear" w:color="auto" w:fill="auto"/>
            <w:vAlign w:val="center"/>
          </w:tcPr>
          <w:p w14:paraId="5C328160" w14:textId="77777777" w:rsidR="00E57DAA" w:rsidRDefault="00AC4185">
            <w:pPr>
              <w:jc w:val="right"/>
            </w:pPr>
            <w:r>
              <w:t>15,834,653.11</w:t>
            </w:r>
          </w:p>
        </w:tc>
      </w:tr>
      <w:tr w:rsidR="00E57DAA" w14:paraId="037E01A5" w14:textId="77777777">
        <w:tc>
          <w:tcPr>
            <w:tcW w:w="1103" w:type="pct"/>
            <w:shd w:val="clear" w:color="auto" w:fill="auto"/>
          </w:tcPr>
          <w:p w14:paraId="6F70FE41" w14:textId="77777777" w:rsidR="00E57DAA" w:rsidRDefault="00AC4185">
            <w:pPr>
              <w:ind w:firstLineChars="200" w:firstLine="420"/>
            </w:pPr>
            <w:r>
              <w:rPr>
                <w:rFonts w:hint="eastAsia"/>
              </w:rPr>
              <w:t>4.期末余额</w:t>
            </w:r>
          </w:p>
        </w:tc>
        <w:tc>
          <w:tcPr>
            <w:tcW w:w="687" w:type="pct"/>
            <w:shd w:val="clear" w:color="auto" w:fill="auto"/>
            <w:vAlign w:val="center"/>
          </w:tcPr>
          <w:p w14:paraId="5CD705D6" w14:textId="77777777" w:rsidR="00E57DAA" w:rsidRDefault="00AC4185">
            <w:pPr>
              <w:jc w:val="right"/>
            </w:pPr>
            <w:r>
              <w:t>4,176,577,156.82</w:t>
            </w:r>
          </w:p>
        </w:tc>
        <w:tc>
          <w:tcPr>
            <w:tcW w:w="687" w:type="pct"/>
            <w:shd w:val="clear" w:color="auto" w:fill="auto"/>
            <w:vAlign w:val="center"/>
          </w:tcPr>
          <w:p w14:paraId="4007D742" w14:textId="77777777" w:rsidR="00E57DAA" w:rsidRDefault="00AC4185">
            <w:pPr>
              <w:jc w:val="right"/>
            </w:pPr>
            <w:r>
              <w:t>2,663,204,759.45</w:t>
            </w:r>
          </w:p>
        </w:tc>
        <w:tc>
          <w:tcPr>
            <w:tcW w:w="612" w:type="pct"/>
            <w:shd w:val="clear" w:color="auto" w:fill="auto"/>
            <w:vAlign w:val="center"/>
          </w:tcPr>
          <w:p w14:paraId="07D9C3C4" w14:textId="77777777" w:rsidR="00E57DAA" w:rsidRDefault="00AC4185">
            <w:pPr>
              <w:jc w:val="right"/>
            </w:pPr>
            <w:r>
              <w:t>560,805,346.67</w:t>
            </w:r>
          </w:p>
        </w:tc>
        <w:tc>
          <w:tcPr>
            <w:tcW w:w="612" w:type="pct"/>
            <w:shd w:val="clear" w:color="auto" w:fill="auto"/>
            <w:vAlign w:val="center"/>
          </w:tcPr>
          <w:p w14:paraId="4837DFF0" w14:textId="77777777" w:rsidR="00E57DAA" w:rsidRDefault="00AC4185">
            <w:pPr>
              <w:jc w:val="right"/>
            </w:pPr>
            <w:r>
              <w:t>457,381,119.95</w:t>
            </w:r>
          </w:p>
        </w:tc>
        <w:tc>
          <w:tcPr>
            <w:tcW w:w="612" w:type="pct"/>
            <w:shd w:val="clear" w:color="auto" w:fill="auto"/>
            <w:vAlign w:val="center"/>
          </w:tcPr>
          <w:p w14:paraId="2296DAB2" w14:textId="77777777" w:rsidR="00E57DAA" w:rsidRDefault="00AC4185">
            <w:pPr>
              <w:jc w:val="right"/>
            </w:pPr>
            <w:r>
              <w:t>277,200,573.41</w:t>
            </w:r>
          </w:p>
        </w:tc>
        <w:tc>
          <w:tcPr>
            <w:tcW w:w="687" w:type="pct"/>
            <w:shd w:val="clear" w:color="auto" w:fill="auto"/>
            <w:vAlign w:val="center"/>
          </w:tcPr>
          <w:p w14:paraId="1050B6B5" w14:textId="77777777" w:rsidR="00E57DAA" w:rsidRDefault="00AC4185">
            <w:pPr>
              <w:jc w:val="right"/>
            </w:pPr>
            <w:r>
              <w:t>8,135,168,956.30</w:t>
            </w:r>
          </w:p>
        </w:tc>
      </w:tr>
      <w:tr w:rsidR="00E57DAA" w14:paraId="07111942" w14:textId="77777777">
        <w:sdt>
          <w:sdtPr>
            <w:tag w:val="_PLD_14f44e7a4341414ca27a4047f9622e44"/>
            <w:id w:val="725649284"/>
          </w:sdtPr>
          <w:sdtEndPr/>
          <w:sdtContent>
            <w:tc>
              <w:tcPr>
                <w:tcW w:w="5000" w:type="pct"/>
                <w:gridSpan w:val="7"/>
                <w:shd w:val="clear" w:color="auto" w:fill="auto"/>
              </w:tcPr>
              <w:p w14:paraId="1411B9C9" w14:textId="77777777" w:rsidR="00E57DAA" w:rsidRDefault="00AC4185" w:rsidP="00C25422">
                <w:pPr>
                  <w:pStyle w:val="92"/>
                </w:pPr>
                <w:r>
                  <w:rPr>
                    <w:rFonts w:hint="eastAsia"/>
                  </w:rPr>
                  <w:t>二、累计折旧</w:t>
                </w:r>
              </w:p>
            </w:tc>
          </w:sdtContent>
        </w:sdt>
      </w:tr>
      <w:tr w:rsidR="00E57DAA" w14:paraId="3681CB46" w14:textId="77777777">
        <w:tc>
          <w:tcPr>
            <w:tcW w:w="1103" w:type="pct"/>
            <w:shd w:val="clear" w:color="auto" w:fill="auto"/>
          </w:tcPr>
          <w:p w14:paraId="3602A629" w14:textId="77777777" w:rsidR="00E57DAA" w:rsidRDefault="00AC4185">
            <w:pPr>
              <w:ind w:firstLineChars="200" w:firstLine="420"/>
            </w:pPr>
            <w:r>
              <w:t>1.</w:t>
            </w:r>
            <w:r>
              <w:rPr>
                <w:rFonts w:hint="eastAsia"/>
              </w:rPr>
              <w:t>期初余额</w:t>
            </w:r>
          </w:p>
        </w:tc>
        <w:tc>
          <w:tcPr>
            <w:tcW w:w="687" w:type="pct"/>
            <w:shd w:val="clear" w:color="auto" w:fill="auto"/>
            <w:vAlign w:val="center"/>
          </w:tcPr>
          <w:p w14:paraId="1EAD3AAE" w14:textId="77777777" w:rsidR="00E57DAA" w:rsidRDefault="00AC4185">
            <w:pPr>
              <w:jc w:val="right"/>
            </w:pPr>
            <w:r>
              <w:t>781,154,763.00</w:t>
            </w:r>
          </w:p>
        </w:tc>
        <w:tc>
          <w:tcPr>
            <w:tcW w:w="687" w:type="pct"/>
            <w:shd w:val="clear" w:color="auto" w:fill="auto"/>
            <w:vAlign w:val="center"/>
          </w:tcPr>
          <w:p w14:paraId="76B0D922" w14:textId="77777777" w:rsidR="00E57DAA" w:rsidRDefault="00AC4185">
            <w:pPr>
              <w:jc w:val="right"/>
            </w:pPr>
            <w:r>
              <w:t>1,345,441,292.91</w:t>
            </w:r>
          </w:p>
        </w:tc>
        <w:tc>
          <w:tcPr>
            <w:tcW w:w="612" w:type="pct"/>
            <w:shd w:val="clear" w:color="auto" w:fill="auto"/>
            <w:vAlign w:val="center"/>
          </w:tcPr>
          <w:p w14:paraId="7986E8D5" w14:textId="77777777" w:rsidR="00E57DAA" w:rsidRDefault="00AC4185">
            <w:pPr>
              <w:jc w:val="right"/>
            </w:pPr>
            <w:r>
              <w:t>237,793,537.71</w:t>
            </w:r>
          </w:p>
        </w:tc>
        <w:tc>
          <w:tcPr>
            <w:tcW w:w="612" w:type="pct"/>
            <w:shd w:val="clear" w:color="auto" w:fill="auto"/>
            <w:vAlign w:val="center"/>
          </w:tcPr>
          <w:p w14:paraId="479F1A68" w14:textId="77777777" w:rsidR="00E57DAA" w:rsidRDefault="00AC4185">
            <w:pPr>
              <w:jc w:val="right"/>
            </w:pPr>
            <w:r>
              <w:t>205,290,786.06</w:t>
            </w:r>
          </w:p>
        </w:tc>
        <w:tc>
          <w:tcPr>
            <w:tcW w:w="612" w:type="pct"/>
            <w:shd w:val="clear" w:color="auto" w:fill="auto"/>
            <w:vAlign w:val="center"/>
          </w:tcPr>
          <w:p w14:paraId="3DC4D854" w14:textId="77777777" w:rsidR="00E57DAA" w:rsidRDefault="00AC4185">
            <w:pPr>
              <w:jc w:val="right"/>
            </w:pPr>
            <w:r>
              <w:t>236,547,954.47</w:t>
            </w:r>
          </w:p>
        </w:tc>
        <w:tc>
          <w:tcPr>
            <w:tcW w:w="687" w:type="pct"/>
            <w:shd w:val="clear" w:color="auto" w:fill="auto"/>
            <w:vAlign w:val="center"/>
          </w:tcPr>
          <w:p w14:paraId="43ABF278" w14:textId="77777777" w:rsidR="00E57DAA" w:rsidRDefault="00AC4185">
            <w:pPr>
              <w:jc w:val="right"/>
            </w:pPr>
            <w:r>
              <w:t>2,806,228,334.15</w:t>
            </w:r>
          </w:p>
        </w:tc>
      </w:tr>
      <w:tr w:rsidR="00E57DAA" w14:paraId="20E527D0" w14:textId="77777777">
        <w:tc>
          <w:tcPr>
            <w:tcW w:w="1103" w:type="pct"/>
            <w:shd w:val="clear" w:color="auto" w:fill="auto"/>
          </w:tcPr>
          <w:p w14:paraId="2C600290" w14:textId="77777777" w:rsidR="00E57DAA" w:rsidRDefault="00AC4185">
            <w:pPr>
              <w:ind w:firstLineChars="200" w:firstLine="420"/>
            </w:pPr>
            <w:r>
              <w:t>2.</w:t>
            </w:r>
            <w:r>
              <w:rPr>
                <w:rFonts w:hint="eastAsia"/>
              </w:rPr>
              <w:t>本期增加金额</w:t>
            </w:r>
          </w:p>
        </w:tc>
        <w:tc>
          <w:tcPr>
            <w:tcW w:w="687" w:type="pct"/>
            <w:shd w:val="clear" w:color="auto" w:fill="auto"/>
            <w:vAlign w:val="center"/>
          </w:tcPr>
          <w:p w14:paraId="7A4F28BF" w14:textId="77777777" w:rsidR="00E57DAA" w:rsidRDefault="00AC4185">
            <w:pPr>
              <w:jc w:val="right"/>
            </w:pPr>
            <w:r>
              <w:t>87,575,536.57</w:t>
            </w:r>
          </w:p>
        </w:tc>
        <w:tc>
          <w:tcPr>
            <w:tcW w:w="687" w:type="pct"/>
            <w:shd w:val="clear" w:color="auto" w:fill="auto"/>
            <w:vAlign w:val="center"/>
          </w:tcPr>
          <w:p w14:paraId="49DB30CE" w14:textId="77777777" w:rsidR="00E57DAA" w:rsidRDefault="00AC4185">
            <w:pPr>
              <w:jc w:val="right"/>
            </w:pPr>
            <w:r>
              <w:t>166,416,290.18</w:t>
            </w:r>
          </w:p>
        </w:tc>
        <w:tc>
          <w:tcPr>
            <w:tcW w:w="612" w:type="pct"/>
            <w:shd w:val="clear" w:color="auto" w:fill="auto"/>
            <w:vAlign w:val="center"/>
          </w:tcPr>
          <w:p w14:paraId="78EC2DC4" w14:textId="77777777" w:rsidR="00E57DAA" w:rsidRDefault="00AC4185">
            <w:pPr>
              <w:jc w:val="right"/>
            </w:pPr>
            <w:r>
              <w:t>42,266,238.62</w:t>
            </w:r>
          </w:p>
        </w:tc>
        <w:tc>
          <w:tcPr>
            <w:tcW w:w="612" w:type="pct"/>
            <w:shd w:val="clear" w:color="auto" w:fill="auto"/>
            <w:vAlign w:val="center"/>
          </w:tcPr>
          <w:p w14:paraId="17A4BDBA" w14:textId="77777777" w:rsidR="00E57DAA" w:rsidRDefault="00AC4185">
            <w:pPr>
              <w:jc w:val="right"/>
            </w:pPr>
            <w:r>
              <w:t>40,178,769.13</w:t>
            </w:r>
          </w:p>
        </w:tc>
        <w:tc>
          <w:tcPr>
            <w:tcW w:w="612" w:type="pct"/>
            <w:shd w:val="clear" w:color="auto" w:fill="auto"/>
            <w:vAlign w:val="center"/>
          </w:tcPr>
          <w:p w14:paraId="260F566C" w14:textId="77777777" w:rsidR="00E57DAA" w:rsidRDefault="00AC4185">
            <w:pPr>
              <w:jc w:val="right"/>
            </w:pPr>
            <w:r>
              <w:t>15,140,131.06</w:t>
            </w:r>
          </w:p>
        </w:tc>
        <w:tc>
          <w:tcPr>
            <w:tcW w:w="687" w:type="pct"/>
            <w:shd w:val="clear" w:color="auto" w:fill="auto"/>
            <w:vAlign w:val="center"/>
          </w:tcPr>
          <w:p w14:paraId="35733C82" w14:textId="77777777" w:rsidR="00E57DAA" w:rsidRDefault="00AC4185">
            <w:pPr>
              <w:jc w:val="right"/>
            </w:pPr>
            <w:r>
              <w:t>351,576,965.56</w:t>
            </w:r>
          </w:p>
        </w:tc>
      </w:tr>
      <w:tr w:rsidR="00E57DAA" w14:paraId="109CB1EC" w14:textId="77777777">
        <w:tc>
          <w:tcPr>
            <w:tcW w:w="1103" w:type="pct"/>
            <w:shd w:val="clear" w:color="auto" w:fill="auto"/>
          </w:tcPr>
          <w:p w14:paraId="12350F36" w14:textId="77777777" w:rsidR="00E57DAA" w:rsidRDefault="00AC4185">
            <w:pPr>
              <w:ind w:firstLineChars="300" w:firstLine="630"/>
            </w:pPr>
            <w:r>
              <w:rPr>
                <w:rFonts w:hint="eastAsia"/>
              </w:rPr>
              <w:t>（1）计提</w:t>
            </w:r>
          </w:p>
        </w:tc>
        <w:tc>
          <w:tcPr>
            <w:tcW w:w="687" w:type="pct"/>
            <w:shd w:val="clear" w:color="auto" w:fill="auto"/>
            <w:vAlign w:val="center"/>
          </w:tcPr>
          <w:p w14:paraId="18954A62" w14:textId="77777777" w:rsidR="00E57DAA" w:rsidRDefault="00AC4185">
            <w:pPr>
              <w:jc w:val="right"/>
            </w:pPr>
            <w:r>
              <w:t>86,195,374.77</w:t>
            </w:r>
          </w:p>
        </w:tc>
        <w:tc>
          <w:tcPr>
            <w:tcW w:w="687" w:type="pct"/>
            <w:shd w:val="clear" w:color="auto" w:fill="auto"/>
            <w:vAlign w:val="center"/>
          </w:tcPr>
          <w:p w14:paraId="32535B2F" w14:textId="77777777" w:rsidR="00E57DAA" w:rsidRDefault="00AC4185">
            <w:pPr>
              <w:jc w:val="right"/>
            </w:pPr>
            <w:r>
              <w:t>166,571,910.74</w:t>
            </w:r>
          </w:p>
        </w:tc>
        <w:tc>
          <w:tcPr>
            <w:tcW w:w="612" w:type="pct"/>
            <w:shd w:val="clear" w:color="auto" w:fill="auto"/>
            <w:vAlign w:val="center"/>
          </w:tcPr>
          <w:p w14:paraId="42DDDBC9" w14:textId="77777777" w:rsidR="00E57DAA" w:rsidRDefault="00AC4185">
            <w:pPr>
              <w:jc w:val="right"/>
            </w:pPr>
            <w:r>
              <w:t>45,904,490.00</w:t>
            </w:r>
          </w:p>
        </w:tc>
        <w:tc>
          <w:tcPr>
            <w:tcW w:w="612" w:type="pct"/>
            <w:shd w:val="clear" w:color="auto" w:fill="auto"/>
            <w:vAlign w:val="center"/>
          </w:tcPr>
          <w:p w14:paraId="54459352" w14:textId="77777777" w:rsidR="00E57DAA" w:rsidRDefault="00AC4185">
            <w:pPr>
              <w:jc w:val="right"/>
            </w:pPr>
            <w:r>
              <w:t>39,825,045.01</w:t>
            </w:r>
          </w:p>
        </w:tc>
        <w:tc>
          <w:tcPr>
            <w:tcW w:w="612" w:type="pct"/>
            <w:shd w:val="clear" w:color="auto" w:fill="auto"/>
            <w:vAlign w:val="center"/>
          </w:tcPr>
          <w:p w14:paraId="0C31A0CF" w14:textId="77777777" w:rsidR="00E57DAA" w:rsidRDefault="00AC4185">
            <w:pPr>
              <w:jc w:val="right"/>
            </w:pPr>
            <w:r>
              <w:t>15,140,131.06</w:t>
            </w:r>
          </w:p>
        </w:tc>
        <w:tc>
          <w:tcPr>
            <w:tcW w:w="687" w:type="pct"/>
            <w:shd w:val="clear" w:color="auto" w:fill="auto"/>
            <w:vAlign w:val="center"/>
          </w:tcPr>
          <w:p w14:paraId="66F2EDE1" w14:textId="77777777" w:rsidR="00E57DAA" w:rsidRDefault="00AC4185">
            <w:pPr>
              <w:jc w:val="right"/>
            </w:pPr>
            <w:r>
              <w:t>353,636,951.58</w:t>
            </w:r>
          </w:p>
        </w:tc>
      </w:tr>
      <w:tr w:rsidR="00E57DAA" w14:paraId="1D82E3B1" w14:textId="77777777">
        <w:tc>
          <w:tcPr>
            <w:tcW w:w="1103" w:type="pct"/>
            <w:shd w:val="clear" w:color="auto" w:fill="auto"/>
          </w:tcPr>
          <w:p w14:paraId="666274C3" w14:textId="77777777" w:rsidR="00E57DAA" w:rsidRDefault="00AC4185">
            <w:pPr>
              <w:ind w:firstLineChars="300" w:firstLine="630"/>
            </w:pPr>
            <w:r>
              <w:rPr>
                <w:rFonts w:hint="eastAsia"/>
              </w:rPr>
              <w:t>（2）非同一控制下企业合并</w:t>
            </w:r>
          </w:p>
        </w:tc>
        <w:tc>
          <w:tcPr>
            <w:tcW w:w="687" w:type="pct"/>
            <w:shd w:val="clear" w:color="auto" w:fill="auto"/>
            <w:vAlign w:val="center"/>
          </w:tcPr>
          <w:p w14:paraId="6A26485C" w14:textId="77777777" w:rsidR="00E57DAA" w:rsidRDefault="00AC4185">
            <w:pPr>
              <w:jc w:val="right"/>
            </w:pPr>
            <w:r>
              <w:t>243,524.78</w:t>
            </w:r>
          </w:p>
        </w:tc>
        <w:tc>
          <w:tcPr>
            <w:tcW w:w="687" w:type="pct"/>
            <w:shd w:val="clear" w:color="auto" w:fill="auto"/>
            <w:vAlign w:val="center"/>
          </w:tcPr>
          <w:p w14:paraId="59B2E45C" w14:textId="77777777" w:rsidR="00E57DAA" w:rsidRDefault="00AC4185">
            <w:pPr>
              <w:jc w:val="right"/>
            </w:pPr>
            <w:r>
              <w:t>2,943,859.19</w:t>
            </w:r>
          </w:p>
        </w:tc>
        <w:tc>
          <w:tcPr>
            <w:tcW w:w="612" w:type="pct"/>
            <w:shd w:val="clear" w:color="auto" w:fill="auto"/>
            <w:vAlign w:val="center"/>
          </w:tcPr>
          <w:p w14:paraId="3EEF8FB0" w14:textId="77777777" w:rsidR="00E57DAA" w:rsidRDefault="00AC4185">
            <w:pPr>
              <w:jc w:val="right"/>
            </w:pPr>
            <w:r>
              <w:t>1,353,390.25</w:t>
            </w:r>
          </w:p>
        </w:tc>
        <w:tc>
          <w:tcPr>
            <w:tcW w:w="612" w:type="pct"/>
            <w:shd w:val="clear" w:color="auto" w:fill="auto"/>
            <w:vAlign w:val="center"/>
          </w:tcPr>
          <w:p w14:paraId="07682CDB" w14:textId="77777777" w:rsidR="00E57DAA" w:rsidRDefault="00AC4185">
            <w:pPr>
              <w:jc w:val="right"/>
            </w:pPr>
            <w:r>
              <w:t>208,712.97</w:t>
            </w:r>
          </w:p>
        </w:tc>
        <w:tc>
          <w:tcPr>
            <w:tcW w:w="612" w:type="pct"/>
            <w:shd w:val="clear" w:color="auto" w:fill="auto"/>
            <w:vAlign w:val="center"/>
          </w:tcPr>
          <w:p w14:paraId="428D7FD6" w14:textId="77777777" w:rsidR="00E57DAA" w:rsidRDefault="00E57DAA">
            <w:pPr>
              <w:jc w:val="right"/>
            </w:pPr>
          </w:p>
        </w:tc>
        <w:tc>
          <w:tcPr>
            <w:tcW w:w="687" w:type="pct"/>
            <w:shd w:val="clear" w:color="auto" w:fill="auto"/>
            <w:vAlign w:val="center"/>
          </w:tcPr>
          <w:p w14:paraId="496E0A03" w14:textId="77777777" w:rsidR="00E57DAA" w:rsidRDefault="00AC4185">
            <w:pPr>
              <w:jc w:val="right"/>
            </w:pPr>
            <w:r>
              <w:t>4,749,487.19</w:t>
            </w:r>
          </w:p>
        </w:tc>
      </w:tr>
      <w:tr w:rsidR="00E57DAA" w14:paraId="208CE12B" w14:textId="77777777">
        <w:tc>
          <w:tcPr>
            <w:tcW w:w="1103" w:type="pct"/>
            <w:shd w:val="clear" w:color="auto" w:fill="auto"/>
          </w:tcPr>
          <w:p w14:paraId="4165C588" w14:textId="77777777" w:rsidR="00E57DAA" w:rsidRDefault="00AC4185">
            <w:pPr>
              <w:ind w:firstLineChars="300" w:firstLine="630"/>
            </w:pPr>
            <w:r>
              <w:rPr>
                <w:rFonts w:hint="eastAsia"/>
              </w:rPr>
              <w:t>（3）外币报表折算差额</w:t>
            </w:r>
          </w:p>
        </w:tc>
        <w:tc>
          <w:tcPr>
            <w:tcW w:w="687" w:type="pct"/>
            <w:shd w:val="clear" w:color="auto" w:fill="auto"/>
            <w:vAlign w:val="center"/>
          </w:tcPr>
          <w:p w14:paraId="7857D023" w14:textId="77777777" w:rsidR="00E57DAA" w:rsidRDefault="00AC4185">
            <w:pPr>
              <w:jc w:val="right"/>
            </w:pPr>
            <w:r>
              <w:t>1,136,637.02</w:t>
            </w:r>
          </w:p>
        </w:tc>
        <w:tc>
          <w:tcPr>
            <w:tcW w:w="687" w:type="pct"/>
            <w:shd w:val="clear" w:color="auto" w:fill="auto"/>
            <w:vAlign w:val="center"/>
          </w:tcPr>
          <w:p w14:paraId="5BD8D7D5" w14:textId="77777777" w:rsidR="00E57DAA" w:rsidRDefault="00AC4185">
            <w:pPr>
              <w:jc w:val="right"/>
            </w:pPr>
            <w:r>
              <w:t>-3,099,479.75</w:t>
            </w:r>
          </w:p>
        </w:tc>
        <w:tc>
          <w:tcPr>
            <w:tcW w:w="612" w:type="pct"/>
            <w:shd w:val="clear" w:color="auto" w:fill="auto"/>
            <w:vAlign w:val="center"/>
          </w:tcPr>
          <w:p w14:paraId="28DCEFCE" w14:textId="77777777" w:rsidR="00E57DAA" w:rsidRDefault="00AC4185">
            <w:pPr>
              <w:jc w:val="right"/>
            </w:pPr>
            <w:r>
              <w:t>-4,991,641.63</w:t>
            </w:r>
          </w:p>
        </w:tc>
        <w:tc>
          <w:tcPr>
            <w:tcW w:w="612" w:type="pct"/>
            <w:shd w:val="clear" w:color="auto" w:fill="auto"/>
            <w:vAlign w:val="center"/>
          </w:tcPr>
          <w:p w14:paraId="3EE87B1E" w14:textId="77777777" w:rsidR="00E57DAA" w:rsidRDefault="00AC4185">
            <w:pPr>
              <w:jc w:val="right"/>
            </w:pPr>
            <w:r>
              <w:t>145,011.15</w:t>
            </w:r>
          </w:p>
        </w:tc>
        <w:tc>
          <w:tcPr>
            <w:tcW w:w="612" w:type="pct"/>
            <w:shd w:val="clear" w:color="auto" w:fill="auto"/>
            <w:vAlign w:val="center"/>
          </w:tcPr>
          <w:p w14:paraId="77C7FA19" w14:textId="77777777" w:rsidR="00E57DAA" w:rsidRDefault="00E57DAA">
            <w:pPr>
              <w:jc w:val="right"/>
            </w:pPr>
          </w:p>
        </w:tc>
        <w:tc>
          <w:tcPr>
            <w:tcW w:w="687" w:type="pct"/>
            <w:shd w:val="clear" w:color="auto" w:fill="auto"/>
            <w:vAlign w:val="center"/>
          </w:tcPr>
          <w:p w14:paraId="4DD286DE" w14:textId="77777777" w:rsidR="00E57DAA" w:rsidRDefault="00AC4185">
            <w:pPr>
              <w:jc w:val="right"/>
            </w:pPr>
            <w:r>
              <w:t>-6,809,473.21</w:t>
            </w:r>
          </w:p>
        </w:tc>
      </w:tr>
      <w:tr w:rsidR="00E57DAA" w14:paraId="3509E771" w14:textId="77777777">
        <w:tc>
          <w:tcPr>
            <w:tcW w:w="1103" w:type="pct"/>
            <w:shd w:val="clear" w:color="auto" w:fill="auto"/>
          </w:tcPr>
          <w:p w14:paraId="57A70563" w14:textId="77777777" w:rsidR="00E57DAA" w:rsidRDefault="00AC4185">
            <w:pPr>
              <w:ind w:firstLineChars="200" w:firstLine="420"/>
            </w:pPr>
            <w:r>
              <w:rPr>
                <w:rFonts w:hint="eastAsia"/>
              </w:rPr>
              <w:t>3.本期减少金额</w:t>
            </w:r>
          </w:p>
        </w:tc>
        <w:tc>
          <w:tcPr>
            <w:tcW w:w="687" w:type="pct"/>
            <w:shd w:val="clear" w:color="auto" w:fill="auto"/>
            <w:vAlign w:val="center"/>
          </w:tcPr>
          <w:p w14:paraId="3D868DD8" w14:textId="77777777" w:rsidR="00E57DAA" w:rsidRDefault="00AC4185">
            <w:pPr>
              <w:jc w:val="right"/>
            </w:pPr>
            <w:r>
              <w:t>6,000,351.23</w:t>
            </w:r>
          </w:p>
        </w:tc>
        <w:tc>
          <w:tcPr>
            <w:tcW w:w="687" w:type="pct"/>
            <w:shd w:val="clear" w:color="auto" w:fill="auto"/>
            <w:vAlign w:val="center"/>
          </w:tcPr>
          <w:p w14:paraId="6DFC5A01" w14:textId="77777777" w:rsidR="00E57DAA" w:rsidRDefault="00AC4185">
            <w:pPr>
              <w:jc w:val="right"/>
            </w:pPr>
            <w:r>
              <w:t>73,328,905.59</w:t>
            </w:r>
          </w:p>
        </w:tc>
        <w:tc>
          <w:tcPr>
            <w:tcW w:w="612" w:type="pct"/>
            <w:shd w:val="clear" w:color="auto" w:fill="auto"/>
            <w:vAlign w:val="center"/>
          </w:tcPr>
          <w:p w14:paraId="0515BD98" w14:textId="77777777" w:rsidR="00E57DAA" w:rsidRDefault="00AC4185">
            <w:pPr>
              <w:jc w:val="right"/>
            </w:pPr>
            <w:r>
              <w:t>24,086,609.26</w:t>
            </w:r>
          </w:p>
        </w:tc>
        <w:tc>
          <w:tcPr>
            <w:tcW w:w="612" w:type="pct"/>
            <w:shd w:val="clear" w:color="auto" w:fill="auto"/>
            <w:vAlign w:val="center"/>
          </w:tcPr>
          <w:p w14:paraId="2E1732FB" w14:textId="77777777" w:rsidR="00E57DAA" w:rsidRDefault="00AC4185">
            <w:pPr>
              <w:jc w:val="right"/>
            </w:pPr>
            <w:r>
              <w:t>8,964,603.27</w:t>
            </w:r>
          </w:p>
        </w:tc>
        <w:tc>
          <w:tcPr>
            <w:tcW w:w="612" w:type="pct"/>
            <w:shd w:val="clear" w:color="auto" w:fill="auto"/>
            <w:vAlign w:val="center"/>
          </w:tcPr>
          <w:p w14:paraId="4B0B9AF4" w14:textId="77777777" w:rsidR="00E57DAA" w:rsidRDefault="00AC4185">
            <w:pPr>
              <w:jc w:val="right"/>
            </w:pPr>
            <w:r>
              <w:t>20,162,917.98</w:t>
            </w:r>
          </w:p>
        </w:tc>
        <w:tc>
          <w:tcPr>
            <w:tcW w:w="687" w:type="pct"/>
            <w:shd w:val="clear" w:color="auto" w:fill="auto"/>
            <w:vAlign w:val="center"/>
          </w:tcPr>
          <w:p w14:paraId="17445F54" w14:textId="77777777" w:rsidR="00E57DAA" w:rsidRDefault="00AC4185">
            <w:pPr>
              <w:jc w:val="right"/>
            </w:pPr>
            <w:r>
              <w:t>132,543,387.33</w:t>
            </w:r>
          </w:p>
        </w:tc>
      </w:tr>
      <w:tr w:rsidR="00E57DAA" w14:paraId="1AD848D8" w14:textId="77777777">
        <w:tc>
          <w:tcPr>
            <w:tcW w:w="1103" w:type="pct"/>
            <w:shd w:val="clear" w:color="auto" w:fill="auto"/>
          </w:tcPr>
          <w:p w14:paraId="5800B04B" w14:textId="77777777" w:rsidR="00E57DAA" w:rsidRDefault="00AC4185">
            <w:pPr>
              <w:ind w:firstLineChars="300" w:firstLine="630"/>
            </w:pPr>
            <w:r>
              <w:rPr>
                <w:rFonts w:hint="eastAsia"/>
              </w:rPr>
              <w:t>（1）处置或报废</w:t>
            </w:r>
          </w:p>
        </w:tc>
        <w:tc>
          <w:tcPr>
            <w:tcW w:w="687" w:type="pct"/>
            <w:shd w:val="clear" w:color="auto" w:fill="auto"/>
            <w:vAlign w:val="center"/>
          </w:tcPr>
          <w:p w14:paraId="2D7809B6" w14:textId="77777777" w:rsidR="00E57DAA" w:rsidRDefault="00AC4185">
            <w:pPr>
              <w:jc w:val="right"/>
            </w:pPr>
            <w:r>
              <w:t>4,943,620.29</w:t>
            </w:r>
          </w:p>
        </w:tc>
        <w:tc>
          <w:tcPr>
            <w:tcW w:w="687" w:type="pct"/>
            <w:shd w:val="clear" w:color="auto" w:fill="auto"/>
            <w:vAlign w:val="center"/>
          </w:tcPr>
          <w:p w14:paraId="71194423" w14:textId="77777777" w:rsidR="00E57DAA" w:rsidRDefault="00AC4185">
            <w:pPr>
              <w:jc w:val="right"/>
            </w:pPr>
            <w:r>
              <w:t>73,328,905.59</w:t>
            </w:r>
          </w:p>
        </w:tc>
        <w:tc>
          <w:tcPr>
            <w:tcW w:w="612" w:type="pct"/>
            <w:shd w:val="clear" w:color="auto" w:fill="auto"/>
            <w:vAlign w:val="center"/>
          </w:tcPr>
          <w:p w14:paraId="7157D551" w14:textId="77777777" w:rsidR="00E57DAA" w:rsidRDefault="00AC4185">
            <w:pPr>
              <w:jc w:val="right"/>
            </w:pPr>
            <w:r>
              <w:t>24,086,609.26</w:t>
            </w:r>
          </w:p>
        </w:tc>
        <w:tc>
          <w:tcPr>
            <w:tcW w:w="612" w:type="pct"/>
            <w:shd w:val="clear" w:color="auto" w:fill="auto"/>
            <w:vAlign w:val="center"/>
          </w:tcPr>
          <w:p w14:paraId="519F8620" w14:textId="77777777" w:rsidR="00E57DAA" w:rsidRDefault="00AC4185">
            <w:pPr>
              <w:jc w:val="right"/>
            </w:pPr>
            <w:r>
              <w:t>8,964,603.27</w:t>
            </w:r>
          </w:p>
        </w:tc>
        <w:tc>
          <w:tcPr>
            <w:tcW w:w="612" w:type="pct"/>
            <w:shd w:val="clear" w:color="auto" w:fill="auto"/>
            <w:vAlign w:val="center"/>
          </w:tcPr>
          <w:p w14:paraId="6FE963A5" w14:textId="77777777" w:rsidR="00E57DAA" w:rsidRDefault="00AC4185">
            <w:pPr>
              <w:jc w:val="right"/>
            </w:pPr>
            <w:r>
              <w:t>4,400,913.88</w:t>
            </w:r>
          </w:p>
        </w:tc>
        <w:tc>
          <w:tcPr>
            <w:tcW w:w="687" w:type="pct"/>
            <w:shd w:val="clear" w:color="auto" w:fill="auto"/>
            <w:vAlign w:val="center"/>
          </w:tcPr>
          <w:p w14:paraId="67A0B1F7" w14:textId="77777777" w:rsidR="00E57DAA" w:rsidRDefault="00AC4185">
            <w:pPr>
              <w:jc w:val="right"/>
            </w:pPr>
            <w:r>
              <w:t>115,724,652.29</w:t>
            </w:r>
          </w:p>
        </w:tc>
      </w:tr>
      <w:tr w:rsidR="00E57DAA" w14:paraId="69ABA379" w14:textId="77777777">
        <w:tc>
          <w:tcPr>
            <w:tcW w:w="1103" w:type="pct"/>
            <w:shd w:val="clear" w:color="auto" w:fill="auto"/>
          </w:tcPr>
          <w:p w14:paraId="766F4076" w14:textId="77777777" w:rsidR="00E57DAA" w:rsidRDefault="00AC4185">
            <w:pPr>
              <w:ind w:firstLineChars="300" w:firstLine="630"/>
            </w:pPr>
            <w:r>
              <w:rPr>
                <w:rFonts w:hint="eastAsia"/>
              </w:rPr>
              <w:lastRenderedPageBreak/>
              <w:t>（2）转入投资性房地产</w:t>
            </w:r>
          </w:p>
        </w:tc>
        <w:tc>
          <w:tcPr>
            <w:tcW w:w="687" w:type="pct"/>
            <w:shd w:val="clear" w:color="auto" w:fill="auto"/>
            <w:vAlign w:val="center"/>
          </w:tcPr>
          <w:p w14:paraId="2508DF56" w14:textId="77777777" w:rsidR="00E57DAA" w:rsidRDefault="00AC4185">
            <w:pPr>
              <w:jc w:val="right"/>
            </w:pPr>
            <w:r>
              <w:t>1,056,730.94</w:t>
            </w:r>
          </w:p>
        </w:tc>
        <w:tc>
          <w:tcPr>
            <w:tcW w:w="687" w:type="pct"/>
            <w:shd w:val="clear" w:color="auto" w:fill="auto"/>
            <w:vAlign w:val="center"/>
          </w:tcPr>
          <w:p w14:paraId="606CB271" w14:textId="77777777" w:rsidR="00E57DAA" w:rsidRDefault="00E57DAA">
            <w:pPr>
              <w:jc w:val="right"/>
            </w:pPr>
          </w:p>
        </w:tc>
        <w:tc>
          <w:tcPr>
            <w:tcW w:w="612" w:type="pct"/>
            <w:shd w:val="clear" w:color="auto" w:fill="auto"/>
            <w:vAlign w:val="center"/>
          </w:tcPr>
          <w:p w14:paraId="45068ED7" w14:textId="77777777" w:rsidR="00E57DAA" w:rsidRDefault="00E57DAA">
            <w:pPr>
              <w:jc w:val="right"/>
            </w:pPr>
          </w:p>
        </w:tc>
        <w:tc>
          <w:tcPr>
            <w:tcW w:w="612" w:type="pct"/>
            <w:shd w:val="clear" w:color="auto" w:fill="auto"/>
            <w:vAlign w:val="center"/>
          </w:tcPr>
          <w:p w14:paraId="27A29643" w14:textId="77777777" w:rsidR="00E57DAA" w:rsidRDefault="00E57DAA">
            <w:pPr>
              <w:jc w:val="right"/>
            </w:pPr>
          </w:p>
        </w:tc>
        <w:tc>
          <w:tcPr>
            <w:tcW w:w="612" w:type="pct"/>
            <w:shd w:val="clear" w:color="auto" w:fill="auto"/>
            <w:vAlign w:val="center"/>
          </w:tcPr>
          <w:p w14:paraId="236B5F1C" w14:textId="77777777" w:rsidR="00E57DAA" w:rsidRDefault="00E57DAA">
            <w:pPr>
              <w:jc w:val="right"/>
            </w:pPr>
          </w:p>
        </w:tc>
        <w:tc>
          <w:tcPr>
            <w:tcW w:w="687" w:type="pct"/>
            <w:shd w:val="clear" w:color="auto" w:fill="auto"/>
            <w:vAlign w:val="center"/>
          </w:tcPr>
          <w:p w14:paraId="692C75AF" w14:textId="77777777" w:rsidR="00E57DAA" w:rsidRDefault="00AC4185">
            <w:pPr>
              <w:jc w:val="right"/>
            </w:pPr>
            <w:r>
              <w:t>1,056,730.94</w:t>
            </w:r>
          </w:p>
        </w:tc>
      </w:tr>
      <w:tr w:rsidR="00E57DAA" w14:paraId="48C37E44" w14:textId="77777777">
        <w:tc>
          <w:tcPr>
            <w:tcW w:w="1103" w:type="pct"/>
            <w:shd w:val="clear" w:color="auto" w:fill="auto"/>
          </w:tcPr>
          <w:p w14:paraId="78AB3E2F" w14:textId="77777777" w:rsidR="00E57DAA" w:rsidRDefault="00AC4185">
            <w:pPr>
              <w:ind w:firstLineChars="300" w:firstLine="630"/>
            </w:pPr>
            <w:r>
              <w:rPr>
                <w:rFonts w:hint="eastAsia"/>
              </w:rPr>
              <w:t>（3）其他减少</w:t>
            </w:r>
          </w:p>
        </w:tc>
        <w:tc>
          <w:tcPr>
            <w:tcW w:w="687" w:type="pct"/>
            <w:shd w:val="clear" w:color="auto" w:fill="auto"/>
            <w:vAlign w:val="center"/>
          </w:tcPr>
          <w:p w14:paraId="5C7D7A1F" w14:textId="77777777" w:rsidR="00E57DAA" w:rsidRDefault="00E57DAA">
            <w:pPr>
              <w:jc w:val="right"/>
            </w:pPr>
          </w:p>
        </w:tc>
        <w:tc>
          <w:tcPr>
            <w:tcW w:w="687" w:type="pct"/>
            <w:shd w:val="clear" w:color="auto" w:fill="auto"/>
            <w:vAlign w:val="center"/>
          </w:tcPr>
          <w:p w14:paraId="54C2EA93" w14:textId="77777777" w:rsidR="00E57DAA" w:rsidRDefault="00E57DAA">
            <w:pPr>
              <w:jc w:val="right"/>
            </w:pPr>
          </w:p>
        </w:tc>
        <w:tc>
          <w:tcPr>
            <w:tcW w:w="612" w:type="pct"/>
            <w:shd w:val="clear" w:color="auto" w:fill="auto"/>
            <w:vAlign w:val="center"/>
          </w:tcPr>
          <w:p w14:paraId="54ADF825" w14:textId="77777777" w:rsidR="00E57DAA" w:rsidRDefault="00E57DAA">
            <w:pPr>
              <w:jc w:val="right"/>
            </w:pPr>
          </w:p>
        </w:tc>
        <w:tc>
          <w:tcPr>
            <w:tcW w:w="612" w:type="pct"/>
            <w:shd w:val="clear" w:color="auto" w:fill="auto"/>
            <w:vAlign w:val="center"/>
          </w:tcPr>
          <w:p w14:paraId="31158F1D" w14:textId="77777777" w:rsidR="00E57DAA" w:rsidRDefault="00E57DAA">
            <w:pPr>
              <w:jc w:val="right"/>
            </w:pPr>
          </w:p>
        </w:tc>
        <w:tc>
          <w:tcPr>
            <w:tcW w:w="612" w:type="pct"/>
            <w:shd w:val="clear" w:color="auto" w:fill="auto"/>
            <w:vAlign w:val="center"/>
          </w:tcPr>
          <w:p w14:paraId="2320260D" w14:textId="77777777" w:rsidR="00E57DAA" w:rsidRDefault="00AC4185">
            <w:pPr>
              <w:jc w:val="right"/>
            </w:pPr>
            <w:r>
              <w:t>15,762,004.10</w:t>
            </w:r>
          </w:p>
        </w:tc>
        <w:tc>
          <w:tcPr>
            <w:tcW w:w="687" w:type="pct"/>
            <w:shd w:val="clear" w:color="auto" w:fill="auto"/>
            <w:vAlign w:val="center"/>
          </w:tcPr>
          <w:p w14:paraId="23608463" w14:textId="77777777" w:rsidR="00E57DAA" w:rsidRDefault="00AC4185">
            <w:pPr>
              <w:jc w:val="right"/>
            </w:pPr>
            <w:r>
              <w:t>15,762,004.10</w:t>
            </w:r>
          </w:p>
        </w:tc>
      </w:tr>
      <w:tr w:rsidR="00E57DAA" w14:paraId="68614A28" w14:textId="77777777">
        <w:tc>
          <w:tcPr>
            <w:tcW w:w="1103" w:type="pct"/>
            <w:shd w:val="clear" w:color="auto" w:fill="auto"/>
          </w:tcPr>
          <w:p w14:paraId="0ECFC84E" w14:textId="77777777" w:rsidR="00E57DAA" w:rsidRDefault="00AC4185">
            <w:pPr>
              <w:ind w:firstLineChars="200" w:firstLine="420"/>
            </w:pPr>
            <w:r>
              <w:rPr>
                <w:rFonts w:hint="eastAsia"/>
              </w:rPr>
              <w:t>4.期末余额</w:t>
            </w:r>
          </w:p>
        </w:tc>
        <w:tc>
          <w:tcPr>
            <w:tcW w:w="687" w:type="pct"/>
            <w:shd w:val="clear" w:color="auto" w:fill="auto"/>
            <w:vAlign w:val="center"/>
          </w:tcPr>
          <w:p w14:paraId="54440465" w14:textId="77777777" w:rsidR="00E57DAA" w:rsidRDefault="00AC4185">
            <w:pPr>
              <w:jc w:val="right"/>
            </w:pPr>
            <w:r>
              <w:t>862,729,948.34</w:t>
            </w:r>
          </w:p>
        </w:tc>
        <w:tc>
          <w:tcPr>
            <w:tcW w:w="687" w:type="pct"/>
            <w:shd w:val="clear" w:color="auto" w:fill="auto"/>
            <w:vAlign w:val="center"/>
          </w:tcPr>
          <w:p w14:paraId="50696909" w14:textId="77777777" w:rsidR="00E57DAA" w:rsidRDefault="00AC4185">
            <w:pPr>
              <w:jc w:val="right"/>
            </w:pPr>
            <w:r>
              <w:t>1,438,528,677.50</w:t>
            </w:r>
          </w:p>
        </w:tc>
        <w:tc>
          <w:tcPr>
            <w:tcW w:w="612" w:type="pct"/>
            <w:shd w:val="clear" w:color="auto" w:fill="auto"/>
            <w:vAlign w:val="center"/>
          </w:tcPr>
          <w:p w14:paraId="76EF7002" w14:textId="77777777" w:rsidR="00E57DAA" w:rsidRDefault="00AC4185">
            <w:pPr>
              <w:jc w:val="right"/>
            </w:pPr>
            <w:r>
              <w:t>255,973,167.07</w:t>
            </w:r>
          </w:p>
        </w:tc>
        <w:tc>
          <w:tcPr>
            <w:tcW w:w="612" w:type="pct"/>
            <w:shd w:val="clear" w:color="auto" w:fill="auto"/>
            <w:vAlign w:val="center"/>
          </w:tcPr>
          <w:p w14:paraId="5AA8F296" w14:textId="77777777" w:rsidR="00E57DAA" w:rsidRDefault="00AC4185">
            <w:pPr>
              <w:jc w:val="right"/>
            </w:pPr>
            <w:r>
              <w:t>236,504,951.92</w:t>
            </w:r>
          </w:p>
        </w:tc>
        <w:tc>
          <w:tcPr>
            <w:tcW w:w="612" w:type="pct"/>
            <w:shd w:val="clear" w:color="auto" w:fill="auto"/>
            <w:vAlign w:val="center"/>
          </w:tcPr>
          <w:p w14:paraId="1E6F5A0F" w14:textId="77777777" w:rsidR="00E57DAA" w:rsidRDefault="00AC4185">
            <w:pPr>
              <w:jc w:val="right"/>
            </w:pPr>
            <w:r>
              <w:t>231,525,167.55</w:t>
            </w:r>
          </w:p>
        </w:tc>
        <w:tc>
          <w:tcPr>
            <w:tcW w:w="687" w:type="pct"/>
            <w:shd w:val="clear" w:color="auto" w:fill="auto"/>
            <w:vAlign w:val="center"/>
          </w:tcPr>
          <w:p w14:paraId="30DEA4B4" w14:textId="77777777" w:rsidR="00E57DAA" w:rsidRDefault="00AC4185">
            <w:pPr>
              <w:jc w:val="right"/>
            </w:pPr>
            <w:r>
              <w:t>3,025,261,912.38</w:t>
            </w:r>
          </w:p>
        </w:tc>
      </w:tr>
      <w:tr w:rsidR="00E57DAA" w14:paraId="3CD1AB9F" w14:textId="77777777">
        <w:sdt>
          <w:sdtPr>
            <w:tag w:val="_PLD_b98cd9e8075a44b28b16fc9fd4c3c81f"/>
            <w:id w:val="1085646135"/>
          </w:sdtPr>
          <w:sdtEndPr/>
          <w:sdtContent>
            <w:tc>
              <w:tcPr>
                <w:tcW w:w="5000" w:type="pct"/>
                <w:gridSpan w:val="7"/>
                <w:shd w:val="clear" w:color="auto" w:fill="auto"/>
              </w:tcPr>
              <w:p w14:paraId="7766C648" w14:textId="77777777" w:rsidR="00E57DAA" w:rsidRDefault="00AC4185" w:rsidP="00C25422">
                <w:pPr>
                  <w:pStyle w:val="92"/>
                </w:pPr>
                <w:r>
                  <w:rPr>
                    <w:rFonts w:hint="eastAsia"/>
                  </w:rPr>
                  <w:t>三、减值准备</w:t>
                </w:r>
              </w:p>
            </w:tc>
          </w:sdtContent>
        </w:sdt>
      </w:tr>
      <w:tr w:rsidR="00E57DAA" w14:paraId="7AD86993" w14:textId="77777777">
        <w:tc>
          <w:tcPr>
            <w:tcW w:w="1103" w:type="pct"/>
            <w:shd w:val="clear" w:color="auto" w:fill="auto"/>
          </w:tcPr>
          <w:p w14:paraId="52B1C927" w14:textId="77777777" w:rsidR="00E57DAA" w:rsidRDefault="00AC4185">
            <w:pPr>
              <w:ind w:firstLineChars="200" w:firstLine="420"/>
            </w:pPr>
            <w:r>
              <w:t>1.</w:t>
            </w:r>
            <w:r>
              <w:rPr>
                <w:rFonts w:hint="eastAsia"/>
              </w:rPr>
              <w:t>期初余额</w:t>
            </w:r>
          </w:p>
        </w:tc>
        <w:tc>
          <w:tcPr>
            <w:tcW w:w="687" w:type="pct"/>
            <w:shd w:val="clear" w:color="auto" w:fill="auto"/>
            <w:vAlign w:val="center"/>
          </w:tcPr>
          <w:p w14:paraId="097EC792" w14:textId="77777777" w:rsidR="00E57DAA" w:rsidRDefault="00AC4185">
            <w:pPr>
              <w:jc w:val="right"/>
            </w:pPr>
            <w:r>
              <w:t>3,818,255.82</w:t>
            </w:r>
          </w:p>
        </w:tc>
        <w:tc>
          <w:tcPr>
            <w:tcW w:w="687" w:type="pct"/>
            <w:shd w:val="clear" w:color="auto" w:fill="auto"/>
            <w:vAlign w:val="center"/>
          </w:tcPr>
          <w:p w14:paraId="5FBADCD1" w14:textId="77777777" w:rsidR="00E57DAA" w:rsidRDefault="00AC4185">
            <w:pPr>
              <w:jc w:val="right"/>
            </w:pPr>
            <w:r>
              <w:t>4,568,418.74</w:t>
            </w:r>
          </w:p>
        </w:tc>
        <w:tc>
          <w:tcPr>
            <w:tcW w:w="612" w:type="pct"/>
            <w:shd w:val="clear" w:color="auto" w:fill="auto"/>
            <w:vAlign w:val="center"/>
          </w:tcPr>
          <w:p w14:paraId="1EB62148" w14:textId="77777777" w:rsidR="00E57DAA" w:rsidRDefault="00AC4185">
            <w:pPr>
              <w:jc w:val="right"/>
            </w:pPr>
            <w:r>
              <w:t>3,886,451.82</w:t>
            </w:r>
          </w:p>
        </w:tc>
        <w:tc>
          <w:tcPr>
            <w:tcW w:w="612" w:type="pct"/>
            <w:shd w:val="clear" w:color="auto" w:fill="auto"/>
            <w:vAlign w:val="center"/>
          </w:tcPr>
          <w:p w14:paraId="4C279B73" w14:textId="77777777" w:rsidR="00E57DAA" w:rsidRDefault="00AC4185">
            <w:pPr>
              <w:jc w:val="right"/>
            </w:pPr>
            <w:r>
              <w:t>1,359,622.65</w:t>
            </w:r>
          </w:p>
        </w:tc>
        <w:tc>
          <w:tcPr>
            <w:tcW w:w="612" w:type="pct"/>
            <w:shd w:val="clear" w:color="auto" w:fill="auto"/>
            <w:vAlign w:val="center"/>
          </w:tcPr>
          <w:p w14:paraId="268371E1" w14:textId="77777777" w:rsidR="00E57DAA" w:rsidRDefault="00E57DAA">
            <w:pPr>
              <w:jc w:val="right"/>
            </w:pPr>
          </w:p>
        </w:tc>
        <w:tc>
          <w:tcPr>
            <w:tcW w:w="687" w:type="pct"/>
            <w:shd w:val="clear" w:color="auto" w:fill="auto"/>
            <w:vAlign w:val="center"/>
          </w:tcPr>
          <w:p w14:paraId="1BB49C2F" w14:textId="77777777" w:rsidR="00E57DAA" w:rsidRDefault="00AC4185">
            <w:pPr>
              <w:jc w:val="right"/>
            </w:pPr>
            <w:r>
              <w:t>13,632,749.03</w:t>
            </w:r>
          </w:p>
        </w:tc>
      </w:tr>
      <w:tr w:rsidR="00E57DAA" w14:paraId="266ED3E2" w14:textId="77777777">
        <w:tc>
          <w:tcPr>
            <w:tcW w:w="1103" w:type="pct"/>
            <w:shd w:val="clear" w:color="auto" w:fill="auto"/>
          </w:tcPr>
          <w:p w14:paraId="5B571693" w14:textId="77777777" w:rsidR="00E57DAA" w:rsidRDefault="00AC4185">
            <w:pPr>
              <w:ind w:firstLineChars="200" w:firstLine="420"/>
            </w:pPr>
            <w:r>
              <w:t>2.</w:t>
            </w:r>
            <w:r>
              <w:rPr>
                <w:rFonts w:hint="eastAsia"/>
              </w:rPr>
              <w:t>本期增加金额</w:t>
            </w:r>
          </w:p>
        </w:tc>
        <w:tc>
          <w:tcPr>
            <w:tcW w:w="687" w:type="pct"/>
            <w:shd w:val="clear" w:color="auto" w:fill="auto"/>
            <w:vAlign w:val="center"/>
          </w:tcPr>
          <w:p w14:paraId="3709EE14" w14:textId="77777777" w:rsidR="00E57DAA" w:rsidRDefault="00E57DAA">
            <w:pPr>
              <w:jc w:val="right"/>
            </w:pPr>
          </w:p>
        </w:tc>
        <w:tc>
          <w:tcPr>
            <w:tcW w:w="687" w:type="pct"/>
            <w:shd w:val="clear" w:color="auto" w:fill="auto"/>
            <w:vAlign w:val="center"/>
          </w:tcPr>
          <w:p w14:paraId="12FF4598" w14:textId="77777777" w:rsidR="00E57DAA" w:rsidRDefault="00AC4185">
            <w:pPr>
              <w:jc w:val="right"/>
            </w:pPr>
            <w:r>
              <w:t>627,513.78</w:t>
            </w:r>
          </w:p>
        </w:tc>
        <w:tc>
          <w:tcPr>
            <w:tcW w:w="612" w:type="pct"/>
            <w:shd w:val="clear" w:color="auto" w:fill="auto"/>
            <w:vAlign w:val="center"/>
          </w:tcPr>
          <w:p w14:paraId="661D80E7" w14:textId="77777777" w:rsidR="00E57DAA" w:rsidRDefault="00E57DAA">
            <w:pPr>
              <w:jc w:val="right"/>
            </w:pPr>
          </w:p>
        </w:tc>
        <w:tc>
          <w:tcPr>
            <w:tcW w:w="612" w:type="pct"/>
            <w:shd w:val="clear" w:color="auto" w:fill="auto"/>
            <w:vAlign w:val="center"/>
          </w:tcPr>
          <w:p w14:paraId="14E70FF6" w14:textId="77777777" w:rsidR="00E57DAA" w:rsidRDefault="00E57DAA">
            <w:pPr>
              <w:jc w:val="right"/>
            </w:pPr>
          </w:p>
        </w:tc>
        <w:tc>
          <w:tcPr>
            <w:tcW w:w="612" w:type="pct"/>
            <w:shd w:val="clear" w:color="auto" w:fill="auto"/>
            <w:vAlign w:val="center"/>
          </w:tcPr>
          <w:p w14:paraId="7F5C155F" w14:textId="77777777" w:rsidR="00E57DAA" w:rsidRDefault="00E57DAA">
            <w:pPr>
              <w:jc w:val="right"/>
            </w:pPr>
          </w:p>
        </w:tc>
        <w:tc>
          <w:tcPr>
            <w:tcW w:w="687" w:type="pct"/>
            <w:shd w:val="clear" w:color="auto" w:fill="auto"/>
            <w:vAlign w:val="center"/>
          </w:tcPr>
          <w:p w14:paraId="0AACE8E2" w14:textId="77777777" w:rsidR="00E57DAA" w:rsidRDefault="00AC4185">
            <w:pPr>
              <w:jc w:val="right"/>
            </w:pPr>
            <w:r>
              <w:t>627,513.78</w:t>
            </w:r>
          </w:p>
        </w:tc>
      </w:tr>
      <w:tr w:rsidR="00E57DAA" w14:paraId="67C8FC1C" w14:textId="77777777">
        <w:tc>
          <w:tcPr>
            <w:tcW w:w="1103" w:type="pct"/>
            <w:shd w:val="clear" w:color="auto" w:fill="auto"/>
          </w:tcPr>
          <w:p w14:paraId="04C35E45" w14:textId="77777777" w:rsidR="00E57DAA" w:rsidRDefault="00AC4185">
            <w:pPr>
              <w:ind w:firstLineChars="300" w:firstLine="630"/>
            </w:pPr>
            <w:r>
              <w:rPr>
                <w:rFonts w:hint="eastAsia"/>
              </w:rPr>
              <w:t>（1）计提</w:t>
            </w:r>
          </w:p>
        </w:tc>
        <w:tc>
          <w:tcPr>
            <w:tcW w:w="687" w:type="pct"/>
            <w:shd w:val="clear" w:color="auto" w:fill="auto"/>
            <w:vAlign w:val="center"/>
          </w:tcPr>
          <w:p w14:paraId="56043663" w14:textId="77777777" w:rsidR="00E57DAA" w:rsidRDefault="00E57DAA">
            <w:pPr>
              <w:jc w:val="right"/>
            </w:pPr>
          </w:p>
        </w:tc>
        <w:tc>
          <w:tcPr>
            <w:tcW w:w="687" w:type="pct"/>
            <w:shd w:val="clear" w:color="auto" w:fill="auto"/>
            <w:vAlign w:val="center"/>
          </w:tcPr>
          <w:p w14:paraId="7AA74C14" w14:textId="77777777" w:rsidR="00E57DAA" w:rsidRDefault="00AC4185">
            <w:pPr>
              <w:jc w:val="right"/>
            </w:pPr>
            <w:r>
              <w:t>627,513.78</w:t>
            </w:r>
          </w:p>
        </w:tc>
        <w:tc>
          <w:tcPr>
            <w:tcW w:w="612" w:type="pct"/>
            <w:shd w:val="clear" w:color="auto" w:fill="auto"/>
            <w:vAlign w:val="center"/>
          </w:tcPr>
          <w:p w14:paraId="7F1E8C7B" w14:textId="77777777" w:rsidR="00E57DAA" w:rsidRDefault="00E57DAA">
            <w:pPr>
              <w:jc w:val="right"/>
            </w:pPr>
          </w:p>
        </w:tc>
        <w:tc>
          <w:tcPr>
            <w:tcW w:w="612" w:type="pct"/>
            <w:shd w:val="clear" w:color="auto" w:fill="auto"/>
            <w:vAlign w:val="center"/>
          </w:tcPr>
          <w:p w14:paraId="52003634" w14:textId="77777777" w:rsidR="00E57DAA" w:rsidRDefault="00E57DAA">
            <w:pPr>
              <w:jc w:val="right"/>
            </w:pPr>
          </w:p>
        </w:tc>
        <w:tc>
          <w:tcPr>
            <w:tcW w:w="612" w:type="pct"/>
            <w:shd w:val="clear" w:color="auto" w:fill="auto"/>
            <w:vAlign w:val="center"/>
          </w:tcPr>
          <w:p w14:paraId="6D2C5BE7" w14:textId="77777777" w:rsidR="00E57DAA" w:rsidRDefault="00E57DAA">
            <w:pPr>
              <w:jc w:val="right"/>
            </w:pPr>
          </w:p>
        </w:tc>
        <w:tc>
          <w:tcPr>
            <w:tcW w:w="687" w:type="pct"/>
            <w:shd w:val="clear" w:color="auto" w:fill="auto"/>
            <w:vAlign w:val="center"/>
          </w:tcPr>
          <w:p w14:paraId="59CEA627" w14:textId="77777777" w:rsidR="00E57DAA" w:rsidRDefault="00AC4185">
            <w:pPr>
              <w:jc w:val="right"/>
            </w:pPr>
            <w:r>
              <w:t>627,513.78</w:t>
            </w:r>
          </w:p>
        </w:tc>
      </w:tr>
      <w:tr w:rsidR="00E57DAA" w14:paraId="1748C833" w14:textId="77777777">
        <w:tc>
          <w:tcPr>
            <w:tcW w:w="1103" w:type="pct"/>
            <w:shd w:val="clear" w:color="auto" w:fill="auto"/>
          </w:tcPr>
          <w:p w14:paraId="247CA520" w14:textId="77777777" w:rsidR="00E57DAA" w:rsidRDefault="00AC4185">
            <w:pPr>
              <w:ind w:firstLineChars="200" w:firstLine="420"/>
            </w:pPr>
            <w:r>
              <w:rPr>
                <w:rFonts w:hint="eastAsia"/>
              </w:rPr>
              <w:t>3.本期减少金额</w:t>
            </w:r>
          </w:p>
        </w:tc>
        <w:tc>
          <w:tcPr>
            <w:tcW w:w="687" w:type="pct"/>
            <w:shd w:val="clear" w:color="auto" w:fill="auto"/>
            <w:vAlign w:val="center"/>
          </w:tcPr>
          <w:p w14:paraId="5CD78621" w14:textId="77777777" w:rsidR="00E57DAA" w:rsidRDefault="00AC4185">
            <w:pPr>
              <w:jc w:val="right"/>
            </w:pPr>
            <w:r>
              <w:t>234,321.49</w:t>
            </w:r>
          </w:p>
        </w:tc>
        <w:tc>
          <w:tcPr>
            <w:tcW w:w="687" w:type="pct"/>
            <w:shd w:val="clear" w:color="auto" w:fill="auto"/>
            <w:vAlign w:val="center"/>
          </w:tcPr>
          <w:p w14:paraId="53418118" w14:textId="77777777" w:rsidR="00E57DAA" w:rsidRDefault="00AC4185">
            <w:pPr>
              <w:jc w:val="right"/>
            </w:pPr>
            <w:r>
              <w:t>34,356.71</w:t>
            </w:r>
          </w:p>
        </w:tc>
        <w:tc>
          <w:tcPr>
            <w:tcW w:w="612" w:type="pct"/>
            <w:shd w:val="clear" w:color="auto" w:fill="auto"/>
            <w:vAlign w:val="center"/>
          </w:tcPr>
          <w:p w14:paraId="13025F25" w14:textId="77777777" w:rsidR="00E57DAA" w:rsidRDefault="00AC4185">
            <w:pPr>
              <w:jc w:val="right"/>
            </w:pPr>
            <w:r>
              <w:t>601,477.31</w:t>
            </w:r>
          </w:p>
        </w:tc>
        <w:tc>
          <w:tcPr>
            <w:tcW w:w="612" w:type="pct"/>
            <w:shd w:val="clear" w:color="auto" w:fill="auto"/>
            <w:vAlign w:val="center"/>
          </w:tcPr>
          <w:p w14:paraId="5D08D7B8" w14:textId="77777777" w:rsidR="00E57DAA" w:rsidRDefault="00AC4185">
            <w:pPr>
              <w:jc w:val="right"/>
            </w:pPr>
            <w:r>
              <w:t>487,464.78</w:t>
            </w:r>
          </w:p>
        </w:tc>
        <w:tc>
          <w:tcPr>
            <w:tcW w:w="612" w:type="pct"/>
            <w:shd w:val="clear" w:color="auto" w:fill="auto"/>
            <w:vAlign w:val="center"/>
          </w:tcPr>
          <w:p w14:paraId="3748A069" w14:textId="77777777" w:rsidR="00E57DAA" w:rsidRDefault="00E57DAA">
            <w:pPr>
              <w:jc w:val="right"/>
            </w:pPr>
          </w:p>
        </w:tc>
        <w:tc>
          <w:tcPr>
            <w:tcW w:w="687" w:type="pct"/>
            <w:shd w:val="clear" w:color="auto" w:fill="auto"/>
            <w:vAlign w:val="center"/>
          </w:tcPr>
          <w:p w14:paraId="783EAB91" w14:textId="77777777" w:rsidR="00E57DAA" w:rsidRDefault="00AC4185">
            <w:pPr>
              <w:jc w:val="right"/>
            </w:pPr>
            <w:r>
              <w:t>1,357,620.29</w:t>
            </w:r>
          </w:p>
        </w:tc>
      </w:tr>
      <w:tr w:rsidR="00E57DAA" w14:paraId="5E5C3761" w14:textId="77777777">
        <w:tc>
          <w:tcPr>
            <w:tcW w:w="1103" w:type="pct"/>
            <w:shd w:val="clear" w:color="auto" w:fill="auto"/>
          </w:tcPr>
          <w:p w14:paraId="5E34FD01" w14:textId="77777777" w:rsidR="00E57DAA" w:rsidRDefault="00AC4185">
            <w:pPr>
              <w:ind w:firstLineChars="300" w:firstLine="630"/>
            </w:pPr>
            <w:r>
              <w:rPr>
                <w:rFonts w:hint="eastAsia"/>
              </w:rPr>
              <w:t>（1）处置或报废</w:t>
            </w:r>
          </w:p>
        </w:tc>
        <w:tc>
          <w:tcPr>
            <w:tcW w:w="687" w:type="pct"/>
            <w:shd w:val="clear" w:color="auto" w:fill="auto"/>
            <w:vAlign w:val="center"/>
          </w:tcPr>
          <w:p w14:paraId="31DAFD36" w14:textId="77777777" w:rsidR="00E57DAA" w:rsidRDefault="00AC4185">
            <w:pPr>
              <w:jc w:val="right"/>
            </w:pPr>
            <w:r>
              <w:t>234,321.49</w:t>
            </w:r>
          </w:p>
        </w:tc>
        <w:tc>
          <w:tcPr>
            <w:tcW w:w="687" w:type="pct"/>
            <w:shd w:val="clear" w:color="auto" w:fill="auto"/>
            <w:vAlign w:val="center"/>
          </w:tcPr>
          <w:p w14:paraId="3930BF08" w14:textId="77777777" w:rsidR="00E57DAA" w:rsidRDefault="00AC4185">
            <w:pPr>
              <w:jc w:val="right"/>
            </w:pPr>
            <w:r>
              <w:t>34,356.71</w:t>
            </w:r>
          </w:p>
        </w:tc>
        <w:tc>
          <w:tcPr>
            <w:tcW w:w="612" w:type="pct"/>
            <w:shd w:val="clear" w:color="auto" w:fill="auto"/>
            <w:vAlign w:val="center"/>
          </w:tcPr>
          <w:p w14:paraId="1E1D7B83" w14:textId="77777777" w:rsidR="00E57DAA" w:rsidRDefault="00AC4185">
            <w:pPr>
              <w:jc w:val="right"/>
            </w:pPr>
            <w:r>
              <w:t>601,477.31</w:t>
            </w:r>
          </w:p>
        </w:tc>
        <w:tc>
          <w:tcPr>
            <w:tcW w:w="612" w:type="pct"/>
            <w:shd w:val="clear" w:color="auto" w:fill="auto"/>
            <w:vAlign w:val="center"/>
          </w:tcPr>
          <w:p w14:paraId="6C180FC1" w14:textId="77777777" w:rsidR="00E57DAA" w:rsidRDefault="00AC4185">
            <w:pPr>
              <w:jc w:val="right"/>
            </w:pPr>
            <w:r>
              <w:t>487,464.78</w:t>
            </w:r>
          </w:p>
        </w:tc>
        <w:tc>
          <w:tcPr>
            <w:tcW w:w="612" w:type="pct"/>
            <w:shd w:val="clear" w:color="auto" w:fill="auto"/>
            <w:vAlign w:val="center"/>
          </w:tcPr>
          <w:p w14:paraId="72213DAC" w14:textId="77777777" w:rsidR="00E57DAA" w:rsidRDefault="00E57DAA">
            <w:pPr>
              <w:jc w:val="right"/>
            </w:pPr>
          </w:p>
        </w:tc>
        <w:tc>
          <w:tcPr>
            <w:tcW w:w="687" w:type="pct"/>
            <w:shd w:val="clear" w:color="auto" w:fill="auto"/>
            <w:vAlign w:val="center"/>
          </w:tcPr>
          <w:p w14:paraId="0047D252" w14:textId="77777777" w:rsidR="00E57DAA" w:rsidRDefault="00AC4185">
            <w:pPr>
              <w:jc w:val="right"/>
            </w:pPr>
            <w:r>
              <w:t>1,357,620.29</w:t>
            </w:r>
          </w:p>
        </w:tc>
      </w:tr>
      <w:tr w:rsidR="00E57DAA" w14:paraId="390D80CD" w14:textId="77777777">
        <w:tc>
          <w:tcPr>
            <w:tcW w:w="1103" w:type="pct"/>
            <w:shd w:val="clear" w:color="auto" w:fill="auto"/>
          </w:tcPr>
          <w:p w14:paraId="12C568CC" w14:textId="77777777" w:rsidR="00E57DAA" w:rsidRDefault="00AC4185">
            <w:pPr>
              <w:ind w:firstLineChars="200" w:firstLine="420"/>
            </w:pPr>
            <w:r>
              <w:rPr>
                <w:rFonts w:hint="eastAsia"/>
              </w:rPr>
              <w:t>4.期末余额</w:t>
            </w:r>
          </w:p>
        </w:tc>
        <w:tc>
          <w:tcPr>
            <w:tcW w:w="687" w:type="pct"/>
            <w:shd w:val="clear" w:color="auto" w:fill="auto"/>
            <w:vAlign w:val="center"/>
          </w:tcPr>
          <w:p w14:paraId="3A5212D5" w14:textId="77777777" w:rsidR="00E57DAA" w:rsidRDefault="00AC4185">
            <w:pPr>
              <w:jc w:val="right"/>
            </w:pPr>
            <w:r>
              <w:t>3,583,934.33</w:t>
            </w:r>
          </w:p>
        </w:tc>
        <w:tc>
          <w:tcPr>
            <w:tcW w:w="687" w:type="pct"/>
            <w:shd w:val="clear" w:color="auto" w:fill="auto"/>
            <w:vAlign w:val="center"/>
          </w:tcPr>
          <w:p w14:paraId="79A93C1C" w14:textId="77777777" w:rsidR="00E57DAA" w:rsidRDefault="00AC4185">
            <w:pPr>
              <w:jc w:val="right"/>
            </w:pPr>
            <w:r>
              <w:t>5,161,575.81</w:t>
            </w:r>
          </w:p>
        </w:tc>
        <w:tc>
          <w:tcPr>
            <w:tcW w:w="612" w:type="pct"/>
            <w:shd w:val="clear" w:color="auto" w:fill="auto"/>
            <w:vAlign w:val="center"/>
          </w:tcPr>
          <w:p w14:paraId="6C73E9FE" w14:textId="77777777" w:rsidR="00E57DAA" w:rsidRDefault="00AC4185">
            <w:pPr>
              <w:jc w:val="right"/>
            </w:pPr>
            <w:r>
              <w:t>3,284,974.51</w:t>
            </w:r>
          </w:p>
        </w:tc>
        <w:tc>
          <w:tcPr>
            <w:tcW w:w="612" w:type="pct"/>
            <w:shd w:val="clear" w:color="auto" w:fill="auto"/>
            <w:vAlign w:val="center"/>
          </w:tcPr>
          <w:p w14:paraId="35E49DCD" w14:textId="77777777" w:rsidR="00E57DAA" w:rsidRDefault="00AC4185">
            <w:pPr>
              <w:jc w:val="right"/>
            </w:pPr>
            <w:r>
              <w:t>872,157.87</w:t>
            </w:r>
          </w:p>
        </w:tc>
        <w:tc>
          <w:tcPr>
            <w:tcW w:w="612" w:type="pct"/>
            <w:shd w:val="clear" w:color="auto" w:fill="auto"/>
            <w:vAlign w:val="center"/>
          </w:tcPr>
          <w:p w14:paraId="1E8683F0" w14:textId="77777777" w:rsidR="00E57DAA" w:rsidRDefault="00E57DAA">
            <w:pPr>
              <w:jc w:val="right"/>
            </w:pPr>
          </w:p>
        </w:tc>
        <w:tc>
          <w:tcPr>
            <w:tcW w:w="687" w:type="pct"/>
            <w:shd w:val="clear" w:color="auto" w:fill="auto"/>
            <w:vAlign w:val="center"/>
          </w:tcPr>
          <w:p w14:paraId="29804616" w14:textId="77777777" w:rsidR="00E57DAA" w:rsidRDefault="00AC4185">
            <w:pPr>
              <w:jc w:val="right"/>
            </w:pPr>
            <w:r>
              <w:t>12,902,642.52</w:t>
            </w:r>
          </w:p>
        </w:tc>
      </w:tr>
      <w:tr w:rsidR="00E57DAA" w14:paraId="32AFCFE3" w14:textId="77777777">
        <w:sdt>
          <w:sdtPr>
            <w:tag w:val="_PLD_e1d51c426bd84ffbb9a1a19b00d3b374"/>
            <w:id w:val="-2097541648"/>
          </w:sdtPr>
          <w:sdtEndPr/>
          <w:sdtContent>
            <w:tc>
              <w:tcPr>
                <w:tcW w:w="5000" w:type="pct"/>
                <w:gridSpan w:val="7"/>
                <w:shd w:val="clear" w:color="auto" w:fill="auto"/>
              </w:tcPr>
              <w:p w14:paraId="561304E6" w14:textId="77777777" w:rsidR="00E57DAA" w:rsidRDefault="00AC4185" w:rsidP="00C25422">
                <w:pPr>
                  <w:pStyle w:val="92"/>
                </w:pPr>
                <w:r>
                  <w:rPr>
                    <w:rFonts w:hint="eastAsia"/>
                  </w:rPr>
                  <w:t>四、账面价值</w:t>
                </w:r>
              </w:p>
            </w:tc>
          </w:sdtContent>
        </w:sdt>
      </w:tr>
      <w:tr w:rsidR="00E57DAA" w14:paraId="4B0DCCA4" w14:textId="77777777">
        <w:tc>
          <w:tcPr>
            <w:tcW w:w="1103" w:type="pct"/>
            <w:shd w:val="clear" w:color="auto" w:fill="auto"/>
          </w:tcPr>
          <w:p w14:paraId="1DC6F343" w14:textId="77777777" w:rsidR="00E57DAA" w:rsidRDefault="00AC4185">
            <w:pPr>
              <w:ind w:firstLineChars="200" w:firstLine="420"/>
            </w:pPr>
            <w:r>
              <w:rPr>
                <w:rFonts w:hint="eastAsia"/>
              </w:rPr>
              <w:t>1.期末账面价值</w:t>
            </w:r>
          </w:p>
        </w:tc>
        <w:tc>
          <w:tcPr>
            <w:tcW w:w="687" w:type="pct"/>
            <w:shd w:val="clear" w:color="auto" w:fill="auto"/>
            <w:vAlign w:val="center"/>
          </w:tcPr>
          <w:p w14:paraId="746F02DD" w14:textId="77777777" w:rsidR="00E57DAA" w:rsidRDefault="00AC4185">
            <w:pPr>
              <w:jc w:val="right"/>
            </w:pPr>
            <w:r>
              <w:t>3,310,263,274.15</w:t>
            </w:r>
          </w:p>
        </w:tc>
        <w:tc>
          <w:tcPr>
            <w:tcW w:w="687" w:type="pct"/>
            <w:shd w:val="clear" w:color="auto" w:fill="auto"/>
            <w:vAlign w:val="center"/>
          </w:tcPr>
          <w:p w14:paraId="61CDDAF5" w14:textId="77777777" w:rsidR="00E57DAA" w:rsidRDefault="00AC4185">
            <w:pPr>
              <w:jc w:val="right"/>
            </w:pPr>
            <w:r>
              <w:t>1,219,514,506.14</w:t>
            </w:r>
          </w:p>
        </w:tc>
        <w:tc>
          <w:tcPr>
            <w:tcW w:w="612" w:type="pct"/>
            <w:shd w:val="clear" w:color="auto" w:fill="auto"/>
            <w:vAlign w:val="center"/>
          </w:tcPr>
          <w:p w14:paraId="3155E0D1" w14:textId="77777777" w:rsidR="00E57DAA" w:rsidRDefault="00AC4185">
            <w:pPr>
              <w:jc w:val="right"/>
            </w:pPr>
            <w:r>
              <w:t>301,547,205.09</w:t>
            </w:r>
          </w:p>
        </w:tc>
        <w:tc>
          <w:tcPr>
            <w:tcW w:w="612" w:type="pct"/>
            <w:shd w:val="clear" w:color="auto" w:fill="auto"/>
            <w:vAlign w:val="center"/>
          </w:tcPr>
          <w:p w14:paraId="469E7669" w14:textId="77777777" w:rsidR="00E57DAA" w:rsidRDefault="00AC4185">
            <w:pPr>
              <w:jc w:val="right"/>
            </w:pPr>
            <w:r>
              <w:t>220,004,010.16</w:t>
            </w:r>
          </w:p>
        </w:tc>
        <w:tc>
          <w:tcPr>
            <w:tcW w:w="612" w:type="pct"/>
            <w:shd w:val="clear" w:color="auto" w:fill="auto"/>
            <w:vAlign w:val="center"/>
          </w:tcPr>
          <w:p w14:paraId="483174BC" w14:textId="77777777" w:rsidR="00E57DAA" w:rsidRDefault="00AC4185">
            <w:pPr>
              <w:jc w:val="right"/>
            </w:pPr>
            <w:r>
              <w:t>45,675,405.86</w:t>
            </w:r>
          </w:p>
        </w:tc>
        <w:tc>
          <w:tcPr>
            <w:tcW w:w="687" w:type="pct"/>
            <w:shd w:val="clear" w:color="auto" w:fill="auto"/>
            <w:vAlign w:val="center"/>
          </w:tcPr>
          <w:p w14:paraId="2C581AED" w14:textId="77777777" w:rsidR="00E57DAA" w:rsidRDefault="00AC4185">
            <w:pPr>
              <w:jc w:val="right"/>
            </w:pPr>
            <w:r>
              <w:t>5,097,004,401.40</w:t>
            </w:r>
          </w:p>
        </w:tc>
      </w:tr>
      <w:tr w:rsidR="00E57DAA" w14:paraId="3C0BCE2A" w14:textId="77777777">
        <w:tc>
          <w:tcPr>
            <w:tcW w:w="1103" w:type="pct"/>
            <w:shd w:val="clear" w:color="auto" w:fill="auto"/>
          </w:tcPr>
          <w:p w14:paraId="6B70818C" w14:textId="77777777" w:rsidR="00E57DAA" w:rsidRDefault="00AC4185">
            <w:pPr>
              <w:ind w:firstLineChars="200" w:firstLine="420"/>
            </w:pPr>
            <w:r>
              <w:rPr>
                <w:rFonts w:hint="eastAsia"/>
              </w:rPr>
              <w:t>2.期初账面价值</w:t>
            </w:r>
          </w:p>
        </w:tc>
        <w:tc>
          <w:tcPr>
            <w:tcW w:w="687" w:type="pct"/>
            <w:shd w:val="clear" w:color="auto" w:fill="auto"/>
            <w:vAlign w:val="center"/>
          </w:tcPr>
          <w:p w14:paraId="5626CD1F" w14:textId="77777777" w:rsidR="00E57DAA" w:rsidRDefault="00AC4185">
            <w:pPr>
              <w:jc w:val="right"/>
            </w:pPr>
            <w:r>
              <w:t>2,602,418,855.81</w:t>
            </w:r>
          </w:p>
        </w:tc>
        <w:tc>
          <w:tcPr>
            <w:tcW w:w="687" w:type="pct"/>
            <w:shd w:val="clear" w:color="auto" w:fill="auto"/>
            <w:vAlign w:val="center"/>
          </w:tcPr>
          <w:p w14:paraId="29980271" w14:textId="77777777" w:rsidR="00E57DAA" w:rsidRDefault="00AC4185">
            <w:pPr>
              <w:jc w:val="right"/>
            </w:pPr>
            <w:r>
              <w:t>1,101,835,791.65</w:t>
            </w:r>
          </w:p>
        </w:tc>
        <w:tc>
          <w:tcPr>
            <w:tcW w:w="612" w:type="pct"/>
            <w:shd w:val="clear" w:color="auto" w:fill="auto"/>
            <w:vAlign w:val="center"/>
          </w:tcPr>
          <w:p w14:paraId="47A27D45" w14:textId="77777777" w:rsidR="00E57DAA" w:rsidRDefault="00AC4185">
            <w:pPr>
              <w:jc w:val="right"/>
            </w:pPr>
            <w:r>
              <w:t>264,224,661.14</w:t>
            </w:r>
          </w:p>
        </w:tc>
        <w:tc>
          <w:tcPr>
            <w:tcW w:w="612" w:type="pct"/>
            <w:shd w:val="clear" w:color="auto" w:fill="auto"/>
            <w:vAlign w:val="center"/>
          </w:tcPr>
          <w:p w14:paraId="3FACA033" w14:textId="77777777" w:rsidR="00E57DAA" w:rsidRDefault="00AC4185">
            <w:pPr>
              <w:jc w:val="right"/>
            </w:pPr>
            <w:r>
              <w:t>141,733,623.55</w:t>
            </w:r>
          </w:p>
        </w:tc>
        <w:tc>
          <w:tcPr>
            <w:tcW w:w="612" w:type="pct"/>
            <w:shd w:val="clear" w:color="auto" w:fill="auto"/>
            <w:vAlign w:val="center"/>
          </w:tcPr>
          <w:p w14:paraId="5C8AA017" w14:textId="77777777" w:rsidR="00E57DAA" w:rsidRDefault="00AC4185">
            <w:pPr>
              <w:jc w:val="right"/>
            </w:pPr>
            <w:r>
              <w:t>76,764,567.45</w:t>
            </w:r>
          </w:p>
        </w:tc>
        <w:tc>
          <w:tcPr>
            <w:tcW w:w="687" w:type="pct"/>
            <w:shd w:val="clear" w:color="auto" w:fill="auto"/>
            <w:vAlign w:val="center"/>
          </w:tcPr>
          <w:p w14:paraId="4D2C6AD8" w14:textId="77777777" w:rsidR="00E57DAA" w:rsidRDefault="00AC4185">
            <w:pPr>
              <w:jc w:val="right"/>
            </w:pPr>
            <w:r>
              <w:t>4,186,977,499.60</w:t>
            </w:r>
          </w:p>
        </w:tc>
      </w:tr>
    </w:tbl>
    <w:p w14:paraId="2BF0F81A" w14:textId="77777777" w:rsidR="00E57DAA" w:rsidRDefault="00E57DAA" w:rsidP="00C25422">
      <w:pPr>
        <w:pStyle w:val="92"/>
      </w:pPr>
    </w:p>
    <w:p w14:paraId="566AC4ED" w14:textId="77777777" w:rsidR="00E57DAA" w:rsidRDefault="00E57DAA">
      <w:pPr>
        <w:sectPr w:rsidR="00E57DAA" w:rsidSect="00226547">
          <w:pgSz w:w="16838" w:h="11906" w:orient="landscape"/>
          <w:pgMar w:top="1276" w:right="1440" w:bottom="1797" w:left="1525" w:header="856" w:footer="992" w:gutter="0"/>
          <w:cols w:space="425"/>
          <w:docGrid w:linePitch="312"/>
        </w:sectPr>
      </w:pPr>
    </w:p>
    <w:p w14:paraId="59119CE0" w14:textId="77777777" w:rsidR="00E57DAA" w:rsidRDefault="00E57DAA" w:rsidP="00C25422">
      <w:pPr>
        <w:pStyle w:val="92"/>
      </w:pPr>
    </w:p>
    <w:p w14:paraId="13BC22FB" w14:textId="77777777" w:rsidR="00E57DAA" w:rsidRDefault="00AC4185" w:rsidP="00C25422">
      <w:pPr>
        <w:pStyle w:val="90"/>
        <w:numPr>
          <w:ilvl w:val="0"/>
          <w:numId w:val="83"/>
        </w:numPr>
        <w:ind w:leftChars="0"/>
      </w:pPr>
      <w:r>
        <w:rPr>
          <w:rFonts w:hint="eastAsia"/>
        </w:rPr>
        <w:t>暂时闲置的固定资产情况</w:t>
      </w:r>
    </w:p>
    <w:sdt>
      <w:sdtPr>
        <w:alias w:val="是否适用：暂时闲置的固定资产情况[双击切换]"/>
        <w:tag w:val="_GBC_2fdfdf37e427442eb50e14c905c59fbe"/>
        <w:id w:val="-155839594"/>
        <w:placeholder>
          <w:docPart w:val="GBC22222222222222222222222222222"/>
        </w:placeholder>
      </w:sdtPr>
      <w:sdtEndPr/>
      <w:sdtContent>
        <w:p w14:paraId="3396B65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DE52E4" w14:textId="77777777" w:rsidR="00E57DAA" w:rsidRDefault="00AC4185">
      <w:pPr>
        <w:jc w:val="right"/>
        <w:rPr>
          <w:szCs w:val="21"/>
        </w:rPr>
      </w:pPr>
      <w:r>
        <w:rPr>
          <w:rFonts w:hint="eastAsia"/>
          <w:szCs w:val="21"/>
        </w:rPr>
        <w:t>单位：</w:t>
      </w:r>
      <w:sdt>
        <w:sdtPr>
          <w:rPr>
            <w:rFonts w:hint="eastAsia"/>
            <w:szCs w:val="21"/>
          </w:rPr>
          <w:alias w:val="单位：财务附注：暂时闲置的固定资产情况"/>
          <w:tag w:val="_GBC_6dabaeb6a3874771a8d0fcbe052546a4"/>
          <w:id w:val="-10692638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暂时闲置的固定资产情况"/>
          <w:tag w:val="_GBC_a724ad4bebc04f169fc256086e73dcfe"/>
          <w:id w:val="14845018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8917"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3"/>
        <w:gridCol w:w="1560"/>
        <w:gridCol w:w="1559"/>
        <w:gridCol w:w="1276"/>
        <w:gridCol w:w="1701"/>
        <w:gridCol w:w="1078"/>
      </w:tblGrid>
      <w:tr w:rsidR="00E57DAA" w14:paraId="2427B92C" w14:textId="77777777">
        <w:sdt>
          <w:sdtPr>
            <w:tag w:val="_PLD_6d6a8e4b7ed145adb8eb3248d2339d1b"/>
            <w:id w:val="-356960625"/>
          </w:sdtPr>
          <w:sdtEndPr/>
          <w:sdtContent>
            <w:tc>
              <w:tcPr>
                <w:tcW w:w="1743" w:type="dxa"/>
                <w:tcBorders>
                  <w:top w:val="single" w:sz="4" w:space="0" w:color="auto"/>
                  <w:left w:val="single" w:sz="4" w:space="0" w:color="auto"/>
                  <w:bottom w:val="single" w:sz="4" w:space="0" w:color="auto"/>
                  <w:right w:val="single" w:sz="4" w:space="0" w:color="auto"/>
                </w:tcBorders>
                <w:vAlign w:val="center"/>
              </w:tcPr>
              <w:p w14:paraId="671ED782" w14:textId="77777777" w:rsidR="00E57DAA" w:rsidRDefault="00AC4185">
                <w:pPr>
                  <w:jc w:val="center"/>
                  <w:rPr>
                    <w:szCs w:val="21"/>
                  </w:rPr>
                </w:pPr>
                <w:r>
                  <w:rPr>
                    <w:rFonts w:hint="eastAsia"/>
                    <w:szCs w:val="21"/>
                  </w:rPr>
                  <w:t>项目</w:t>
                </w:r>
              </w:p>
            </w:tc>
          </w:sdtContent>
        </w:sdt>
        <w:sdt>
          <w:sdtPr>
            <w:tag w:val="_PLD_6a3b700ee3594fa49e62d22604b7487b"/>
            <w:id w:val="1747152739"/>
          </w:sdtPr>
          <w:sdtEndPr/>
          <w:sdtContent>
            <w:tc>
              <w:tcPr>
                <w:tcW w:w="1560" w:type="dxa"/>
                <w:tcBorders>
                  <w:top w:val="single" w:sz="4" w:space="0" w:color="auto"/>
                  <w:left w:val="single" w:sz="4" w:space="0" w:color="auto"/>
                  <w:bottom w:val="single" w:sz="4" w:space="0" w:color="auto"/>
                  <w:right w:val="single" w:sz="4" w:space="0" w:color="auto"/>
                </w:tcBorders>
                <w:vAlign w:val="center"/>
              </w:tcPr>
              <w:p w14:paraId="253E7889" w14:textId="77777777" w:rsidR="00E57DAA" w:rsidRDefault="00AC4185">
                <w:pPr>
                  <w:jc w:val="center"/>
                  <w:rPr>
                    <w:szCs w:val="21"/>
                  </w:rPr>
                </w:pPr>
                <w:r>
                  <w:rPr>
                    <w:rFonts w:hint="eastAsia"/>
                    <w:szCs w:val="21"/>
                  </w:rPr>
                  <w:t>账面原值</w:t>
                </w:r>
              </w:p>
            </w:tc>
          </w:sdtContent>
        </w:sdt>
        <w:sdt>
          <w:sdtPr>
            <w:tag w:val="_PLD_487d391ad0db4d809e8dec919d77d088"/>
            <w:id w:val="1914274072"/>
          </w:sdtPr>
          <w:sdtEndPr/>
          <w:sdtContent>
            <w:tc>
              <w:tcPr>
                <w:tcW w:w="1559" w:type="dxa"/>
                <w:tcBorders>
                  <w:top w:val="single" w:sz="4" w:space="0" w:color="auto"/>
                  <w:left w:val="single" w:sz="4" w:space="0" w:color="auto"/>
                  <w:bottom w:val="single" w:sz="4" w:space="0" w:color="auto"/>
                  <w:right w:val="single" w:sz="4" w:space="0" w:color="auto"/>
                </w:tcBorders>
                <w:vAlign w:val="center"/>
              </w:tcPr>
              <w:p w14:paraId="68A2DF3B" w14:textId="77777777" w:rsidR="00E57DAA" w:rsidRDefault="00AC4185">
                <w:pPr>
                  <w:jc w:val="center"/>
                  <w:rPr>
                    <w:szCs w:val="21"/>
                  </w:rPr>
                </w:pPr>
                <w:r>
                  <w:rPr>
                    <w:rFonts w:hint="eastAsia"/>
                    <w:szCs w:val="21"/>
                  </w:rPr>
                  <w:t>累计折旧</w:t>
                </w:r>
              </w:p>
            </w:tc>
          </w:sdtContent>
        </w:sdt>
        <w:sdt>
          <w:sdtPr>
            <w:tag w:val="_PLD_395f38b65a1e4bc2987bc181f3714aac"/>
            <w:id w:val="-671716153"/>
          </w:sdtPr>
          <w:sdtEndPr/>
          <w:sdtContent>
            <w:tc>
              <w:tcPr>
                <w:tcW w:w="1276" w:type="dxa"/>
                <w:tcBorders>
                  <w:top w:val="single" w:sz="4" w:space="0" w:color="auto"/>
                  <w:left w:val="single" w:sz="4" w:space="0" w:color="auto"/>
                  <w:bottom w:val="single" w:sz="4" w:space="0" w:color="auto"/>
                  <w:right w:val="single" w:sz="4" w:space="0" w:color="auto"/>
                </w:tcBorders>
                <w:vAlign w:val="center"/>
              </w:tcPr>
              <w:p w14:paraId="4B5AD4DE" w14:textId="77777777" w:rsidR="00E57DAA" w:rsidRDefault="00AC4185">
                <w:pPr>
                  <w:jc w:val="center"/>
                  <w:rPr>
                    <w:szCs w:val="21"/>
                  </w:rPr>
                </w:pPr>
                <w:r>
                  <w:rPr>
                    <w:rFonts w:hint="eastAsia"/>
                    <w:szCs w:val="21"/>
                  </w:rPr>
                  <w:t>减值准备</w:t>
                </w:r>
              </w:p>
            </w:tc>
          </w:sdtContent>
        </w:sdt>
        <w:sdt>
          <w:sdtPr>
            <w:tag w:val="_PLD_151ce060870441baa6ac3f4c38e60b30"/>
            <w:id w:val="1582097546"/>
          </w:sdtPr>
          <w:sdtEndPr/>
          <w:sdtContent>
            <w:tc>
              <w:tcPr>
                <w:tcW w:w="1701" w:type="dxa"/>
                <w:tcBorders>
                  <w:top w:val="single" w:sz="4" w:space="0" w:color="auto"/>
                  <w:left w:val="single" w:sz="4" w:space="0" w:color="auto"/>
                  <w:bottom w:val="single" w:sz="4" w:space="0" w:color="auto"/>
                  <w:right w:val="single" w:sz="4" w:space="0" w:color="auto"/>
                </w:tcBorders>
                <w:vAlign w:val="center"/>
              </w:tcPr>
              <w:p w14:paraId="76A51AD7" w14:textId="77777777" w:rsidR="00E57DAA" w:rsidRDefault="00AC4185">
                <w:pPr>
                  <w:jc w:val="center"/>
                  <w:rPr>
                    <w:szCs w:val="21"/>
                  </w:rPr>
                </w:pPr>
                <w:r>
                  <w:rPr>
                    <w:rFonts w:hint="eastAsia"/>
                    <w:szCs w:val="21"/>
                  </w:rPr>
                  <w:t>账面价值</w:t>
                </w:r>
              </w:p>
            </w:tc>
          </w:sdtContent>
        </w:sdt>
        <w:sdt>
          <w:sdtPr>
            <w:tag w:val="_PLD_577f17503b2444c19b15b20c0eb7f637"/>
            <w:id w:val="-242724077"/>
          </w:sdtPr>
          <w:sdtEndPr/>
          <w:sdtContent>
            <w:tc>
              <w:tcPr>
                <w:tcW w:w="1078" w:type="dxa"/>
                <w:tcBorders>
                  <w:top w:val="single" w:sz="4" w:space="0" w:color="auto"/>
                  <w:left w:val="single" w:sz="4" w:space="0" w:color="auto"/>
                  <w:bottom w:val="single" w:sz="4" w:space="0" w:color="auto"/>
                  <w:right w:val="single" w:sz="4" w:space="0" w:color="auto"/>
                </w:tcBorders>
                <w:vAlign w:val="center"/>
              </w:tcPr>
              <w:p w14:paraId="3703B446" w14:textId="77777777" w:rsidR="00E57DAA" w:rsidRDefault="00AC4185">
                <w:pPr>
                  <w:jc w:val="center"/>
                  <w:rPr>
                    <w:szCs w:val="21"/>
                  </w:rPr>
                </w:pPr>
                <w:r>
                  <w:rPr>
                    <w:rFonts w:hint="eastAsia"/>
                    <w:szCs w:val="21"/>
                  </w:rPr>
                  <w:t>备注</w:t>
                </w:r>
              </w:p>
            </w:tc>
          </w:sdtContent>
        </w:sdt>
      </w:tr>
      <w:tr w:rsidR="00E57DAA" w14:paraId="0DC5EB39" w14:textId="77777777">
        <w:tc>
          <w:tcPr>
            <w:tcW w:w="1743" w:type="dxa"/>
            <w:tcBorders>
              <w:top w:val="single" w:sz="4" w:space="0" w:color="auto"/>
              <w:left w:val="single" w:sz="4" w:space="0" w:color="auto"/>
              <w:bottom w:val="single" w:sz="4" w:space="0" w:color="auto"/>
              <w:right w:val="single" w:sz="4" w:space="0" w:color="auto"/>
            </w:tcBorders>
          </w:tcPr>
          <w:p w14:paraId="22F79B5D" w14:textId="77777777" w:rsidR="00E57DAA" w:rsidRDefault="00AC4185">
            <w:pPr>
              <w:rPr>
                <w:szCs w:val="21"/>
              </w:rPr>
            </w:pPr>
            <w:r>
              <w:t>房屋建筑物</w:t>
            </w:r>
          </w:p>
        </w:tc>
        <w:tc>
          <w:tcPr>
            <w:tcW w:w="1560" w:type="dxa"/>
            <w:tcBorders>
              <w:top w:val="single" w:sz="4" w:space="0" w:color="auto"/>
              <w:left w:val="single" w:sz="4" w:space="0" w:color="auto"/>
              <w:bottom w:val="single" w:sz="4" w:space="0" w:color="auto"/>
              <w:right w:val="single" w:sz="4" w:space="0" w:color="auto"/>
            </w:tcBorders>
          </w:tcPr>
          <w:p w14:paraId="100FF21D" w14:textId="77777777" w:rsidR="00E57DAA" w:rsidRDefault="00AC4185">
            <w:pPr>
              <w:jc w:val="right"/>
              <w:rPr>
                <w:szCs w:val="21"/>
              </w:rPr>
            </w:pPr>
            <w:r>
              <w:t>8,186,730.56</w:t>
            </w:r>
          </w:p>
        </w:tc>
        <w:tc>
          <w:tcPr>
            <w:tcW w:w="1559" w:type="dxa"/>
            <w:tcBorders>
              <w:top w:val="single" w:sz="4" w:space="0" w:color="auto"/>
              <w:left w:val="single" w:sz="4" w:space="0" w:color="auto"/>
              <w:bottom w:val="single" w:sz="4" w:space="0" w:color="auto"/>
              <w:right w:val="single" w:sz="4" w:space="0" w:color="auto"/>
            </w:tcBorders>
          </w:tcPr>
          <w:p w14:paraId="4EC80645" w14:textId="77777777" w:rsidR="00E57DAA" w:rsidRDefault="00AC4185">
            <w:pPr>
              <w:jc w:val="right"/>
              <w:rPr>
                <w:szCs w:val="21"/>
              </w:rPr>
            </w:pPr>
            <w:r>
              <w:t>2,056,927.43</w:t>
            </w:r>
          </w:p>
        </w:tc>
        <w:tc>
          <w:tcPr>
            <w:tcW w:w="1276" w:type="dxa"/>
            <w:tcBorders>
              <w:top w:val="single" w:sz="4" w:space="0" w:color="auto"/>
              <w:left w:val="single" w:sz="4" w:space="0" w:color="auto"/>
              <w:bottom w:val="single" w:sz="4" w:space="0" w:color="auto"/>
              <w:right w:val="single" w:sz="4" w:space="0" w:color="auto"/>
            </w:tcBorders>
          </w:tcPr>
          <w:p w14:paraId="6AA566B2" w14:textId="77777777" w:rsidR="00E57DAA" w:rsidRDefault="00AC4185">
            <w:pPr>
              <w:jc w:val="right"/>
              <w:rPr>
                <w:szCs w:val="21"/>
              </w:rPr>
            </w:pPr>
            <w:r>
              <w:t>696,234.13</w:t>
            </w:r>
          </w:p>
        </w:tc>
        <w:tc>
          <w:tcPr>
            <w:tcW w:w="1701" w:type="dxa"/>
            <w:tcBorders>
              <w:top w:val="single" w:sz="4" w:space="0" w:color="auto"/>
              <w:left w:val="single" w:sz="4" w:space="0" w:color="auto"/>
              <w:bottom w:val="single" w:sz="4" w:space="0" w:color="auto"/>
              <w:right w:val="single" w:sz="4" w:space="0" w:color="auto"/>
            </w:tcBorders>
          </w:tcPr>
          <w:p w14:paraId="6661AE80" w14:textId="77777777" w:rsidR="00E57DAA" w:rsidRDefault="00AC4185">
            <w:pPr>
              <w:jc w:val="right"/>
              <w:rPr>
                <w:szCs w:val="21"/>
              </w:rPr>
            </w:pPr>
            <w:r>
              <w:t>5,433,569.00</w:t>
            </w:r>
          </w:p>
        </w:tc>
        <w:tc>
          <w:tcPr>
            <w:tcW w:w="1078" w:type="dxa"/>
            <w:tcBorders>
              <w:top w:val="single" w:sz="4" w:space="0" w:color="auto"/>
              <w:left w:val="single" w:sz="4" w:space="0" w:color="auto"/>
              <w:bottom w:val="single" w:sz="4" w:space="0" w:color="auto"/>
              <w:right w:val="single" w:sz="4" w:space="0" w:color="auto"/>
            </w:tcBorders>
          </w:tcPr>
          <w:p w14:paraId="4C705DA9" w14:textId="77777777" w:rsidR="00E57DAA" w:rsidRDefault="00E57DAA">
            <w:pPr>
              <w:rPr>
                <w:szCs w:val="21"/>
              </w:rPr>
            </w:pPr>
          </w:p>
        </w:tc>
      </w:tr>
    </w:tbl>
    <w:p w14:paraId="7CDDA07A" w14:textId="77777777" w:rsidR="00E57DAA" w:rsidRDefault="00E57DAA" w:rsidP="00C25422">
      <w:pPr>
        <w:pStyle w:val="92"/>
      </w:pPr>
    </w:p>
    <w:p w14:paraId="5D62600E" w14:textId="77777777" w:rsidR="00E57DAA" w:rsidRDefault="00AC4185" w:rsidP="00C25422">
      <w:pPr>
        <w:pStyle w:val="90"/>
        <w:numPr>
          <w:ilvl w:val="0"/>
          <w:numId w:val="83"/>
        </w:numPr>
        <w:ind w:leftChars="0"/>
      </w:pPr>
      <w:r>
        <w:rPr>
          <w:rFonts w:hint="eastAsia"/>
        </w:rPr>
        <w:t>通过经营租赁租出的固定资产</w:t>
      </w:r>
    </w:p>
    <w:sdt>
      <w:sdtPr>
        <w:alias w:val="是否适用：通过经营租赁租出的固定资产[双击切换]"/>
        <w:tag w:val="_GBC_c2ddde62aad742b6997b43c9077b5c4b"/>
        <w:id w:val="1377050843"/>
        <w:placeholder>
          <w:docPart w:val="GBC22222222222222222222222222222"/>
        </w:placeholder>
      </w:sdtPr>
      <w:sdtEndPr/>
      <w:sdtContent>
        <w:p w14:paraId="220BDD1E"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2E8E2F" w14:textId="77777777" w:rsidR="00E57DAA" w:rsidRDefault="00E57DAA">
      <w:pPr>
        <w:rPr>
          <w:color w:val="FF0000"/>
          <w:szCs w:val="21"/>
        </w:rPr>
      </w:pPr>
    </w:p>
    <w:p w14:paraId="61116316" w14:textId="77777777" w:rsidR="00E57DAA" w:rsidRDefault="00AC4185" w:rsidP="00C25422">
      <w:pPr>
        <w:pStyle w:val="90"/>
        <w:numPr>
          <w:ilvl w:val="0"/>
          <w:numId w:val="83"/>
        </w:numPr>
        <w:ind w:leftChars="0"/>
      </w:pPr>
      <w:r>
        <w:rPr>
          <w:rFonts w:hint="eastAsia"/>
        </w:rPr>
        <w:t>未办妥产权证书的固定资产情况</w:t>
      </w:r>
    </w:p>
    <w:p w14:paraId="73131DCD" w14:textId="77777777" w:rsidR="00E57DAA" w:rsidRDefault="00EB41A1" w:rsidP="00C25422">
      <w:pPr>
        <w:pStyle w:val="92"/>
      </w:pPr>
      <w:sdt>
        <w:sdtPr>
          <w:alias w:val="是否适用：未办妥产权证书的固定资产情况[双击切换]"/>
          <w:tag w:val="_GBC_46625a97c34c4326af56ee4f005058fb"/>
          <w:id w:val="-1166318668"/>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3F6B475F" w14:textId="77777777" w:rsidR="00E57DAA" w:rsidRDefault="00AC4185">
      <w:pPr>
        <w:jc w:val="right"/>
      </w:pPr>
      <w:r>
        <w:rPr>
          <w:rFonts w:hint="eastAsia"/>
        </w:rPr>
        <w:t>单位：</w:t>
      </w:r>
      <w:sdt>
        <w:sdtPr>
          <w:rPr>
            <w:rFonts w:hint="eastAsia"/>
          </w:rPr>
          <w:alias w:val="单位：财务附注：未办妥产权证书的固定资产情况"/>
          <w:tag w:val="_GBC_af0b65f779a444509a345fcc235c4e13"/>
          <w:id w:val="15205872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10370084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2966"/>
        <w:gridCol w:w="2982"/>
      </w:tblGrid>
      <w:tr w:rsidR="00E57DAA" w14:paraId="4D7DC842" w14:textId="77777777">
        <w:bookmarkStart w:id="260" w:name="_Hlk153460880" w:displacedByCustomXml="next"/>
        <w:sdt>
          <w:sdtPr>
            <w:tag w:val="_PLD_3112d13ed7a04a10bce803acc672660e"/>
            <w:id w:val="248124"/>
          </w:sdtPr>
          <w:sdtEndPr/>
          <w:sdtContent>
            <w:tc>
              <w:tcPr>
                <w:tcW w:w="1629" w:type="pct"/>
                <w:vAlign w:val="center"/>
              </w:tcPr>
              <w:p w14:paraId="119DD1C5" w14:textId="77777777" w:rsidR="00E57DAA" w:rsidRDefault="00AC4185">
                <w:pPr>
                  <w:jc w:val="center"/>
                  <w:rPr>
                    <w:szCs w:val="21"/>
                  </w:rPr>
                </w:pPr>
                <w:r>
                  <w:rPr>
                    <w:rFonts w:hint="eastAsia"/>
                    <w:szCs w:val="21"/>
                  </w:rPr>
                  <w:t>项目</w:t>
                </w:r>
              </w:p>
            </w:tc>
          </w:sdtContent>
        </w:sdt>
        <w:sdt>
          <w:sdtPr>
            <w:tag w:val="_PLD_5fca73223de74724a06b56d07c06e26b"/>
            <w:id w:val="1553351711"/>
          </w:sdtPr>
          <w:sdtEndPr/>
          <w:sdtContent>
            <w:tc>
              <w:tcPr>
                <w:tcW w:w="1681" w:type="pct"/>
                <w:vAlign w:val="center"/>
              </w:tcPr>
              <w:p w14:paraId="6E852644" w14:textId="77777777" w:rsidR="00E57DAA" w:rsidRDefault="00AC4185">
                <w:pPr>
                  <w:jc w:val="center"/>
                  <w:rPr>
                    <w:szCs w:val="21"/>
                  </w:rPr>
                </w:pPr>
                <w:r>
                  <w:rPr>
                    <w:rFonts w:hint="eastAsia"/>
                    <w:szCs w:val="21"/>
                  </w:rPr>
                  <w:t>账面价值</w:t>
                </w:r>
              </w:p>
            </w:tc>
          </w:sdtContent>
        </w:sdt>
        <w:sdt>
          <w:sdtPr>
            <w:tag w:val="_PLD_0f07869ee4694758ae54754a2afb45dd"/>
            <w:id w:val="-1334752639"/>
          </w:sdtPr>
          <w:sdtEndPr/>
          <w:sdtContent>
            <w:tc>
              <w:tcPr>
                <w:tcW w:w="1690" w:type="pct"/>
                <w:vAlign w:val="center"/>
              </w:tcPr>
              <w:p w14:paraId="0519E549" w14:textId="77777777" w:rsidR="00E57DAA" w:rsidRDefault="00AC4185">
                <w:pPr>
                  <w:jc w:val="center"/>
                  <w:rPr>
                    <w:szCs w:val="21"/>
                  </w:rPr>
                </w:pPr>
                <w:r>
                  <w:rPr>
                    <w:rFonts w:hint="eastAsia"/>
                    <w:szCs w:val="21"/>
                  </w:rPr>
                  <w:t>未办妥产权证书的原因</w:t>
                </w:r>
              </w:p>
            </w:tc>
          </w:sdtContent>
        </w:sdt>
      </w:tr>
      <w:tr w:rsidR="00E57DAA" w14:paraId="2555A706" w14:textId="77777777">
        <w:tc>
          <w:tcPr>
            <w:tcW w:w="1629" w:type="pct"/>
          </w:tcPr>
          <w:p w14:paraId="6D78624B" w14:textId="77777777" w:rsidR="00E57DAA" w:rsidRDefault="00AC4185">
            <w:pPr>
              <w:rPr>
                <w:szCs w:val="21"/>
              </w:rPr>
            </w:pPr>
            <w:r>
              <w:t>房屋建筑物</w:t>
            </w:r>
          </w:p>
        </w:tc>
        <w:tc>
          <w:tcPr>
            <w:tcW w:w="1681" w:type="pct"/>
          </w:tcPr>
          <w:p w14:paraId="3E5FBAAD" w14:textId="77777777" w:rsidR="00E57DAA" w:rsidRDefault="00AC4185">
            <w:pPr>
              <w:jc w:val="right"/>
              <w:rPr>
                <w:szCs w:val="21"/>
              </w:rPr>
            </w:pPr>
            <w:r>
              <w:t>1,091,907,324.78</w:t>
            </w:r>
          </w:p>
        </w:tc>
        <w:tc>
          <w:tcPr>
            <w:tcW w:w="1690" w:type="pct"/>
          </w:tcPr>
          <w:p w14:paraId="79895A2F" w14:textId="77777777" w:rsidR="00E57DAA" w:rsidRDefault="00AC4185">
            <w:pPr>
              <w:rPr>
                <w:szCs w:val="21"/>
              </w:rPr>
            </w:pPr>
            <w:r>
              <w:t>正在办理中</w:t>
            </w:r>
          </w:p>
        </w:tc>
      </w:tr>
    </w:tbl>
    <w:p w14:paraId="61F56506" w14:textId="77777777" w:rsidR="00E57DAA" w:rsidRDefault="00E57DAA" w:rsidP="00C25422">
      <w:pPr>
        <w:pStyle w:val="92"/>
      </w:pPr>
    </w:p>
    <w:p w14:paraId="1E317AD6" w14:textId="77777777" w:rsidR="00E57DAA" w:rsidRDefault="00AC4185" w:rsidP="00C25422">
      <w:pPr>
        <w:pStyle w:val="90"/>
        <w:numPr>
          <w:ilvl w:val="0"/>
          <w:numId w:val="83"/>
        </w:numPr>
        <w:ind w:leftChars="0"/>
      </w:pPr>
      <w:r>
        <w:rPr>
          <w:rFonts w:hint="eastAsia"/>
        </w:rPr>
        <w:t>固定资产的减值测试情况</w:t>
      </w:r>
    </w:p>
    <w:sdt>
      <w:sdtPr>
        <w:alias w:val="是否适用：减值测试情况[双击切换]"/>
        <w:tag w:val="_GBC_d1f21a00be1347f697689e4105263cab"/>
        <w:id w:val="2051489385"/>
        <w:placeholder>
          <w:docPart w:val="GBC22222222222222222222222222222"/>
        </w:placeholder>
      </w:sdtPr>
      <w:sdtEndPr/>
      <w:sdtContent>
        <w:p w14:paraId="6B422D8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DA2A79" w14:textId="77777777" w:rsidR="00E57DAA" w:rsidRDefault="00E57DAA" w:rsidP="00C25422">
      <w:pPr>
        <w:pStyle w:val="92"/>
      </w:pPr>
    </w:p>
    <w:bookmarkEnd w:id="260"/>
    <w:p w14:paraId="209C6343" w14:textId="77777777" w:rsidR="00E57DAA" w:rsidRDefault="00E57DAA">
      <w:pPr>
        <w:snapToGrid w:val="0"/>
        <w:spacing w:line="240" w:lineRule="atLeast"/>
        <w:rPr>
          <w:szCs w:val="21"/>
        </w:rPr>
      </w:pPr>
    </w:p>
    <w:p w14:paraId="2A98CC1F" w14:textId="77777777" w:rsidR="00E57DAA" w:rsidRDefault="00AC4185">
      <w:pPr>
        <w:rPr>
          <w:szCs w:val="21"/>
        </w:rPr>
      </w:pPr>
      <w:r>
        <w:rPr>
          <w:rFonts w:hint="eastAsia"/>
          <w:szCs w:val="21"/>
        </w:rPr>
        <w:t>其他说明：</w:t>
      </w:r>
    </w:p>
    <w:sdt>
      <w:sdtPr>
        <w:rPr>
          <w:szCs w:val="21"/>
        </w:rPr>
        <w:alias w:val="是否适用：固定资产的说明[双击切换]"/>
        <w:tag w:val="_GBC_a7ec4df8fd354d7d9980e0f731a85e12"/>
        <w:id w:val="-1665845681"/>
        <w:placeholder>
          <w:docPart w:val="GBC22222222222222222222222222222"/>
        </w:placeholder>
      </w:sdtPr>
      <w:sdtEndPr/>
      <w:sdtContent>
        <w:p w14:paraId="42DB7F61"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B275F7" w14:textId="77777777" w:rsidR="00E57DAA" w:rsidRDefault="00E57DAA">
      <w:pPr>
        <w:rPr>
          <w:szCs w:val="21"/>
        </w:rPr>
      </w:pPr>
    </w:p>
    <w:p w14:paraId="4E647ABE" w14:textId="77777777" w:rsidR="00E57DAA" w:rsidRDefault="00AC4185">
      <w:pPr>
        <w:pStyle w:val="4"/>
        <w:ind w:left="360" w:hanging="360"/>
      </w:pPr>
      <w:r>
        <w:rPr>
          <w:rFonts w:hint="eastAsia"/>
        </w:rPr>
        <w:t>固定资产清理</w:t>
      </w:r>
    </w:p>
    <w:sdt>
      <w:sdtPr>
        <w:alias w:val="是否适用：固定资产清理[双击切换]"/>
        <w:tag w:val="_GBC_e3c92a1042004e36882d16145109bd0e"/>
        <w:id w:val="-994651509"/>
        <w:placeholder>
          <w:docPart w:val="GBC22222222222222222222222222222"/>
        </w:placeholder>
      </w:sdtPr>
      <w:sdtEndPr/>
      <w:sdtContent>
        <w:p w14:paraId="7FC5A82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D0FE44" w14:textId="77777777" w:rsidR="00E57DAA" w:rsidRDefault="00AC4185">
      <w:pPr>
        <w:jc w:val="right"/>
      </w:pPr>
      <w:r>
        <w:rPr>
          <w:rFonts w:hint="eastAsia"/>
        </w:rPr>
        <w:t>单位：</w:t>
      </w:r>
      <w:sdt>
        <w:sdtPr>
          <w:rPr>
            <w:rFonts w:hint="eastAsia"/>
          </w:rPr>
          <w:alias w:val="单位：财务附注：固定资产清理"/>
          <w:tag w:val="_GBC_dd9fac0435e34162af7691578328c197"/>
          <w:id w:val="20013863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固定资产清理"/>
          <w:tag w:val="_GBC_0a3f7129159d46aa90131f740f7a333d"/>
          <w:id w:val="-3701588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4851"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335"/>
        <w:gridCol w:w="3196"/>
        <w:gridCol w:w="3029"/>
      </w:tblGrid>
      <w:tr w:rsidR="00E57DAA" w14:paraId="6FCA01E3" w14:textId="77777777">
        <w:sdt>
          <w:sdtPr>
            <w:tag w:val="_PLD_72ed8e60b9b44aee824af33d3a0e1e45"/>
            <w:id w:val="1430776102"/>
          </w:sdtPr>
          <w:sdtEndPr/>
          <w:sdtContent>
            <w:tc>
              <w:tcPr>
                <w:tcW w:w="1364" w:type="pct"/>
                <w:shd w:val="clear" w:color="auto" w:fill="auto"/>
              </w:tcPr>
              <w:p w14:paraId="58B75ABB" w14:textId="77777777" w:rsidR="00E57DAA" w:rsidRDefault="00AC4185">
                <w:pPr>
                  <w:jc w:val="center"/>
                </w:pPr>
                <w:r>
                  <w:rPr>
                    <w:rFonts w:hint="eastAsia"/>
                  </w:rPr>
                  <w:t>项目</w:t>
                </w:r>
              </w:p>
            </w:tc>
          </w:sdtContent>
        </w:sdt>
        <w:sdt>
          <w:sdtPr>
            <w:tag w:val="_PLD_5116ba95ffe94c9abd82d232062969bb"/>
            <w:id w:val="-819039351"/>
          </w:sdtPr>
          <w:sdtEndPr/>
          <w:sdtContent>
            <w:tc>
              <w:tcPr>
                <w:tcW w:w="1867" w:type="pct"/>
                <w:shd w:val="clear" w:color="auto" w:fill="auto"/>
              </w:tcPr>
              <w:p w14:paraId="0D20A495" w14:textId="77777777" w:rsidR="00E57DAA" w:rsidRDefault="00AC4185">
                <w:pPr>
                  <w:jc w:val="center"/>
                </w:pPr>
                <w:r>
                  <w:rPr>
                    <w:rFonts w:hint="eastAsia"/>
                  </w:rPr>
                  <w:t>期末余额</w:t>
                </w:r>
              </w:p>
            </w:tc>
          </w:sdtContent>
        </w:sdt>
        <w:sdt>
          <w:sdtPr>
            <w:tag w:val="_PLD_27fd89dc7db94a19a2bd7ad6296eabf8"/>
            <w:id w:val="-1555694930"/>
          </w:sdtPr>
          <w:sdtEndPr/>
          <w:sdtContent>
            <w:tc>
              <w:tcPr>
                <w:tcW w:w="1769" w:type="pct"/>
                <w:shd w:val="clear" w:color="auto" w:fill="auto"/>
              </w:tcPr>
              <w:p w14:paraId="3856AA24" w14:textId="77777777" w:rsidR="00E57DAA" w:rsidRDefault="00AC4185">
                <w:pPr>
                  <w:jc w:val="center"/>
                </w:pPr>
                <w:r>
                  <w:rPr>
                    <w:rFonts w:hint="eastAsia"/>
                  </w:rPr>
                  <w:t>期初余额</w:t>
                </w:r>
              </w:p>
            </w:tc>
          </w:sdtContent>
        </w:sdt>
      </w:tr>
      <w:tr w:rsidR="00E57DAA" w14:paraId="09EEF53F" w14:textId="77777777">
        <w:tc>
          <w:tcPr>
            <w:tcW w:w="1364" w:type="pct"/>
            <w:shd w:val="clear" w:color="auto" w:fill="auto"/>
          </w:tcPr>
          <w:p w14:paraId="33B7675D" w14:textId="77777777" w:rsidR="00E57DAA" w:rsidRDefault="00AC4185" w:rsidP="00C25422">
            <w:pPr>
              <w:pStyle w:val="92"/>
            </w:pPr>
            <w:r>
              <w:t>机器设备</w:t>
            </w:r>
          </w:p>
        </w:tc>
        <w:tc>
          <w:tcPr>
            <w:tcW w:w="1867" w:type="pct"/>
            <w:shd w:val="clear" w:color="auto" w:fill="auto"/>
          </w:tcPr>
          <w:p w14:paraId="1E05250B" w14:textId="77777777" w:rsidR="00E57DAA" w:rsidRDefault="00AC4185">
            <w:pPr>
              <w:jc w:val="right"/>
            </w:pPr>
            <w:r>
              <w:t>18,000.00</w:t>
            </w:r>
          </w:p>
        </w:tc>
        <w:tc>
          <w:tcPr>
            <w:tcW w:w="1769" w:type="pct"/>
            <w:shd w:val="clear" w:color="auto" w:fill="auto"/>
          </w:tcPr>
          <w:p w14:paraId="466ACAB2" w14:textId="77777777" w:rsidR="00E57DAA" w:rsidRDefault="00AC4185">
            <w:pPr>
              <w:jc w:val="right"/>
            </w:pPr>
            <w:r>
              <w:t>2,514.74</w:t>
            </w:r>
          </w:p>
        </w:tc>
      </w:tr>
      <w:tr w:rsidR="00E57DAA" w14:paraId="2B5B0BBF" w14:textId="77777777">
        <w:tc>
          <w:tcPr>
            <w:tcW w:w="1364" w:type="pct"/>
            <w:shd w:val="clear" w:color="auto" w:fill="auto"/>
            <w:vAlign w:val="center"/>
          </w:tcPr>
          <w:p w14:paraId="2F43188D" w14:textId="77777777" w:rsidR="00E57DAA" w:rsidRDefault="00AC4185">
            <w:pPr>
              <w:jc w:val="center"/>
            </w:pPr>
            <w:r>
              <w:rPr>
                <w:rFonts w:hint="eastAsia"/>
              </w:rPr>
              <w:t>合计</w:t>
            </w:r>
          </w:p>
        </w:tc>
        <w:tc>
          <w:tcPr>
            <w:tcW w:w="1867" w:type="pct"/>
            <w:shd w:val="clear" w:color="auto" w:fill="auto"/>
            <w:vAlign w:val="center"/>
          </w:tcPr>
          <w:p w14:paraId="3C11A893" w14:textId="77777777" w:rsidR="00E57DAA" w:rsidRDefault="00AC4185">
            <w:pPr>
              <w:jc w:val="right"/>
            </w:pPr>
            <w:r>
              <w:t>18,000.00</w:t>
            </w:r>
          </w:p>
        </w:tc>
        <w:tc>
          <w:tcPr>
            <w:tcW w:w="1769" w:type="pct"/>
            <w:shd w:val="clear" w:color="auto" w:fill="auto"/>
            <w:vAlign w:val="center"/>
          </w:tcPr>
          <w:p w14:paraId="0C7CD098" w14:textId="77777777" w:rsidR="00E57DAA" w:rsidRDefault="00AC4185">
            <w:pPr>
              <w:jc w:val="right"/>
            </w:pPr>
            <w:r>
              <w:t>2,514.74</w:t>
            </w:r>
          </w:p>
        </w:tc>
      </w:tr>
    </w:tbl>
    <w:p w14:paraId="5EDE5E86" w14:textId="77777777" w:rsidR="00E57DAA" w:rsidRDefault="00E57DAA" w:rsidP="00C25422">
      <w:pPr>
        <w:pStyle w:val="92"/>
      </w:pPr>
    </w:p>
    <w:p w14:paraId="13DD271B" w14:textId="77777777" w:rsidR="00E57DAA" w:rsidRDefault="00E57DAA">
      <w:pPr>
        <w:rPr>
          <w:szCs w:val="21"/>
        </w:rPr>
      </w:pPr>
    </w:p>
    <w:p w14:paraId="2631E3EB" w14:textId="77777777" w:rsidR="00E57DAA" w:rsidRDefault="00E57DAA">
      <w:pPr>
        <w:rPr>
          <w:szCs w:val="21"/>
        </w:rPr>
      </w:pPr>
    </w:p>
    <w:p w14:paraId="63016F2F" w14:textId="77777777" w:rsidR="00E57DAA" w:rsidRDefault="00AC4185" w:rsidP="00C25422">
      <w:pPr>
        <w:pStyle w:val="91"/>
        <w:numPr>
          <w:ilvl w:val="0"/>
          <w:numId w:val="69"/>
        </w:numPr>
      </w:pPr>
      <w:r>
        <w:rPr>
          <w:rFonts w:hint="eastAsia"/>
        </w:rPr>
        <w:t>在建工程</w:t>
      </w:r>
      <w:bookmarkStart w:id="261" w:name="_Hlk532914352"/>
    </w:p>
    <w:p w14:paraId="49133C7C" w14:textId="77777777" w:rsidR="00E57DAA" w:rsidRDefault="00AC4185">
      <w:pPr>
        <w:pStyle w:val="4"/>
        <w:rPr>
          <w:rFonts w:ascii="宋体" w:hAnsi="宋体"/>
          <w:szCs w:val="21"/>
        </w:rPr>
      </w:pPr>
      <w:r>
        <w:rPr>
          <w:rFonts w:hint="eastAsia"/>
        </w:rPr>
        <w:t>项目列示</w:t>
      </w:r>
    </w:p>
    <w:sdt>
      <w:sdtPr>
        <w:alias w:val="是否适用：在建工程分类列示[双击切换]"/>
        <w:tag w:val="_GBC_c1e2db0ea96a470497d3e7b3545f11ff"/>
        <w:id w:val="1634366609"/>
        <w:placeholder>
          <w:docPart w:val="GBC22222222222222222222222222222"/>
        </w:placeholder>
      </w:sdtPr>
      <w:sdtEndPr/>
      <w:sdtContent>
        <w:p w14:paraId="020435C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9070EE" w14:textId="77777777" w:rsidR="00E57DAA" w:rsidRDefault="00AC4185">
      <w:pPr>
        <w:jc w:val="right"/>
        <w:rPr>
          <w:szCs w:val="21"/>
        </w:rPr>
      </w:pPr>
      <w:r>
        <w:rPr>
          <w:rFonts w:hint="eastAsia"/>
          <w:szCs w:val="21"/>
        </w:rPr>
        <w:t>单位：</w:t>
      </w:r>
      <w:sdt>
        <w:sdtPr>
          <w:rPr>
            <w:rFonts w:hint="eastAsia"/>
            <w:szCs w:val="21"/>
          </w:rPr>
          <w:alias w:val="单位：在建工程分类列示"/>
          <w:tag w:val="_GBC_c3fc0d9041a1447580d30c51269288ae"/>
          <w:id w:val="12316519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8035787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E57DAA" w14:paraId="0316641B" w14:textId="77777777">
        <w:trPr>
          <w:cantSplit/>
        </w:trPr>
        <w:sdt>
          <w:sdtPr>
            <w:tag w:val="_PLD_e3fac3cdac65475ca8ba6bb772e3b841"/>
            <w:id w:val="540788611"/>
          </w:sdtPr>
          <w:sdtEndPr/>
          <w:sdtContent>
            <w:tc>
              <w:tcPr>
                <w:tcW w:w="1764" w:type="pct"/>
                <w:vAlign w:val="center"/>
              </w:tcPr>
              <w:p w14:paraId="1E493F8B" w14:textId="77777777" w:rsidR="00E57DAA" w:rsidRDefault="00AC4185">
                <w:pPr>
                  <w:jc w:val="center"/>
                  <w:rPr>
                    <w:szCs w:val="21"/>
                  </w:rPr>
                </w:pPr>
                <w:r>
                  <w:rPr>
                    <w:rFonts w:hint="eastAsia"/>
                    <w:szCs w:val="21"/>
                  </w:rPr>
                  <w:t>项目</w:t>
                </w:r>
              </w:p>
            </w:tc>
          </w:sdtContent>
        </w:sdt>
        <w:sdt>
          <w:sdtPr>
            <w:tag w:val="_PLD_4e98919cdcd84191b541b2ee895e77bf"/>
            <w:id w:val="1236213496"/>
          </w:sdtPr>
          <w:sdtEndPr/>
          <w:sdtContent>
            <w:tc>
              <w:tcPr>
                <w:tcW w:w="1622" w:type="pct"/>
                <w:vAlign w:val="center"/>
              </w:tcPr>
              <w:p w14:paraId="7B17833F" w14:textId="77777777" w:rsidR="00E57DAA" w:rsidRDefault="00AC4185">
                <w:pPr>
                  <w:jc w:val="center"/>
                  <w:rPr>
                    <w:szCs w:val="21"/>
                  </w:rPr>
                </w:pPr>
                <w:r>
                  <w:rPr>
                    <w:rFonts w:hint="eastAsia"/>
                    <w:szCs w:val="21"/>
                  </w:rPr>
                  <w:t>期末余额</w:t>
                </w:r>
              </w:p>
            </w:tc>
          </w:sdtContent>
        </w:sdt>
        <w:sdt>
          <w:sdtPr>
            <w:tag w:val="_PLD_4ce0928269bc47149a98320193bd0b0a"/>
            <w:id w:val="1298491113"/>
          </w:sdtPr>
          <w:sdtEndPr/>
          <w:sdtContent>
            <w:tc>
              <w:tcPr>
                <w:tcW w:w="1614" w:type="pct"/>
                <w:vAlign w:val="center"/>
              </w:tcPr>
              <w:p w14:paraId="5012FA3A" w14:textId="77777777" w:rsidR="00E57DAA" w:rsidRDefault="00AC4185">
                <w:pPr>
                  <w:jc w:val="center"/>
                  <w:rPr>
                    <w:szCs w:val="21"/>
                  </w:rPr>
                </w:pPr>
                <w:r>
                  <w:rPr>
                    <w:rFonts w:hint="eastAsia"/>
                    <w:szCs w:val="21"/>
                  </w:rPr>
                  <w:t>期初余额</w:t>
                </w:r>
              </w:p>
            </w:tc>
          </w:sdtContent>
        </w:sdt>
      </w:tr>
      <w:tr w:rsidR="00E57DAA" w14:paraId="0E5AC7B5" w14:textId="77777777">
        <w:trPr>
          <w:cantSplit/>
        </w:trPr>
        <w:tc>
          <w:tcPr>
            <w:tcW w:w="1764" w:type="pct"/>
          </w:tcPr>
          <w:p w14:paraId="0D0B1BE8"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tc>
          <w:tcPr>
            <w:tcW w:w="1622" w:type="pct"/>
            <w:vAlign w:val="center"/>
          </w:tcPr>
          <w:p w14:paraId="7E3A3A51" w14:textId="77777777" w:rsidR="00E57DAA" w:rsidRDefault="00AC4185">
            <w:pPr>
              <w:ind w:right="5"/>
              <w:jc w:val="right"/>
              <w:rPr>
                <w:szCs w:val="21"/>
              </w:rPr>
            </w:pPr>
            <w:r>
              <w:t>576,109,890.67</w:t>
            </w:r>
          </w:p>
        </w:tc>
        <w:tc>
          <w:tcPr>
            <w:tcW w:w="1614" w:type="pct"/>
            <w:vAlign w:val="center"/>
          </w:tcPr>
          <w:p w14:paraId="1ADC3E9D" w14:textId="77777777" w:rsidR="00E57DAA" w:rsidRDefault="00AC4185">
            <w:pPr>
              <w:ind w:right="5"/>
              <w:jc w:val="right"/>
              <w:rPr>
                <w:szCs w:val="21"/>
              </w:rPr>
            </w:pPr>
            <w:r>
              <w:t>850,612,077.98</w:t>
            </w:r>
          </w:p>
        </w:tc>
      </w:tr>
      <w:tr w:rsidR="00E57DAA" w14:paraId="7210F211" w14:textId="77777777">
        <w:trPr>
          <w:cantSplit/>
        </w:trPr>
        <w:tc>
          <w:tcPr>
            <w:tcW w:w="1764" w:type="pct"/>
          </w:tcPr>
          <w:p w14:paraId="4BAC26D9"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tc>
          <w:tcPr>
            <w:tcW w:w="1622" w:type="pct"/>
          </w:tcPr>
          <w:p w14:paraId="265B203C" w14:textId="77777777" w:rsidR="00E57DAA" w:rsidRDefault="00E57DAA">
            <w:pPr>
              <w:ind w:right="5"/>
              <w:jc w:val="right"/>
              <w:rPr>
                <w:szCs w:val="21"/>
              </w:rPr>
            </w:pPr>
          </w:p>
        </w:tc>
        <w:tc>
          <w:tcPr>
            <w:tcW w:w="1614" w:type="pct"/>
          </w:tcPr>
          <w:p w14:paraId="10F069A1" w14:textId="77777777" w:rsidR="00E57DAA" w:rsidRDefault="00E57DAA">
            <w:pPr>
              <w:ind w:right="5"/>
              <w:jc w:val="right"/>
              <w:rPr>
                <w:szCs w:val="21"/>
              </w:rPr>
            </w:pPr>
          </w:p>
        </w:tc>
      </w:tr>
      <w:tr w:rsidR="00E57DAA" w14:paraId="517A5F2F" w14:textId="77777777">
        <w:trPr>
          <w:cantSplit/>
        </w:trPr>
        <w:tc>
          <w:tcPr>
            <w:tcW w:w="1764" w:type="pct"/>
            <w:vAlign w:val="center"/>
          </w:tcPr>
          <w:p w14:paraId="0F23794E" w14:textId="77777777" w:rsidR="00E57DAA" w:rsidRDefault="00AC4185">
            <w:pPr>
              <w:autoSpaceDE w:val="0"/>
              <w:autoSpaceDN w:val="0"/>
              <w:adjustRightInd w:val="0"/>
              <w:jc w:val="center"/>
              <w:rPr>
                <w:szCs w:val="21"/>
              </w:rPr>
            </w:pPr>
            <w:r>
              <w:rPr>
                <w:rFonts w:hint="eastAsia"/>
                <w:szCs w:val="21"/>
              </w:rPr>
              <w:t>合计</w:t>
            </w:r>
          </w:p>
        </w:tc>
        <w:tc>
          <w:tcPr>
            <w:tcW w:w="1622" w:type="pct"/>
            <w:vAlign w:val="center"/>
          </w:tcPr>
          <w:p w14:paraId="5EF15404" w14:textId="77777777" w:rsidR="00E57DAA" w:rsidRDefault="00AC4185">
            <w:pPr>
              <w:jc w:val="right"/>
              <w:rPr>
                <w:szCs w:val="21"/>
              </w:rPr>
            </w:pPr>
            <w:r>
              <w:t>576,109,890.67</w:t>
            </w:r>
          </w:p>
        </w:tc>
        <w:tc>
          <w:tcPr>
            <w:tcW w:w="1614" w:type="pct"/>
            <w:vAlign w:val="center"/>
          </w:tcPr>
          <w:p w14:paraId="6B30FD82" w14:textId="77777777" w:rsidR="00E57DAA" w:rsidRDefault="00AC4185">
            <w:pPr>
              <w:ind w:right="5"/>
              <w:jc w:val="right"/>
              <w:rPr>
                <w:szCs w:val="21"/>
              </w:rPr>
            </w:pPr>
            <w:r>
              <w:t>850,612,077.98</w:t>
            </w:r>
          </w:p>
        </w:tc>
      </w:tr>
      <w:bookmarkEnd w:id="261"/>
    </w:tbl>
    <w:p w14:paraId="5EA26AC2" w14:textId="77777777" w:rsidR="00E57DAA" w:rsidRDefault="00E57DAA" w:rsidP="00C25422">
      <w:pPr>
        <w:pStyle w:val="92"/>
      </w:pPr>
    </w:p>
    <w:p w14:paraId="17E688C5" w14:textId="77777777" w:rsidR="00E57DAA" w:rsidRDefault="00AC4185">
      <w:pPr>
        <w:rPr>
          <w:szCs w:val="21"/>
        </w:rPr>
      </w:pPr>
      <w:r>
        <w:rPr>
          <w:rFonts w:hint="eastAsia"/>
          <w:szCs w:val="21"/>
        </w:rPr>
        <w:t>其他说明：</w:t>
      </w:r>
    </w:p>
    <w:bookmarkStart w:id="262" w:name="_Hlk532915382" w:displacedByCustomXml="next"/>
    <w:sdt>
      <w:sdtPr>
        <w:rPr>
          <w:szCs w:val="21"/>
        </w:rPr>
        <w:alias w:val="是否适用：在建工程分类列示其他说明[双击切换]"/>
        <w:tag w:val="_GBC_97da24841dd24220bc5206311fc28039"/>
        <w:id w:val="1116493136"/>
        <w:placeholder>
          <w:docPart w:val="GBC22222222222222222222222222222"/>
        </w:placeholder>
      </w:sdtPr>
      <w:sdtEndPr/>
      <w:sdtContent>
        <w:p w14:paraId="02199D7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62"/>
    <w:p w14:paraId="2BB9FAE1"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18DA42C4" w14:textId="77777777" w:rsidR="00E57DAA" w:rsidRDefault="00E57DAA">
      <w:pPr>
        <w:rPr>
          <w:szCs w:val="21"/>
        </w:rPr>
      </w:pPr>
    </w:p>
    <w:p w14:paraId="08400617" w14:textId="77777777" w:rsidR="00E57DAA" w:rsidRDefault="00AC4185">
      <w:pPr>
        <w:pStyle w:val="4"/>
        <w:ind w:left="360" w:hanging="360"/>
      </w:pPr>
      <w:r>
        <w:rPr>
          <w:rFonts w:hint="eastAsia"/>
        </w:rPr>
        <w:t>在建工程</w:t>
      </w:r>
    </w:p>
    <w:p w14:paraId="1B364C44" w14:textId="77777777" w:rsidR="00E57DAA" w:rsidRDefault="00AC4185" w:rsidP="00C25422">
      <w:pPr>
        <w:pStyle w:val="90"/>
        <w:numPr>
          <w:ilvl w:val="0"/>
          <w:numId w:val="84"/>
        </w:numPr>
        <w:ind w:leftChars="0"/>
      </w:pPr>
      <w:r>
        <w:rPr>
          <w:rFonts w:hint="eastAsia"/>
        </w:rPr>
        <w:t>在建工程情况</w:t>
      </w:r>
    </w:p>
    <w:sdt>
      <w:sdtPr>
        <w:alias w:val="是否适用：在建工程情况[双击切换]"/>
        <w:tag w:val="_GBC_3d1e0f4f19d8472c9f5250b0ba025185"/>
        <w:id w:val="981886644"/>
        <w:placeholder>
          <w:docPart w:val="GBC22222222222222222222222222222"/>
        </w:placeholder>
      </w:sdtPr>
      <w:sdtEndPr/>
      <w:sdtContent>
        <w:p w14:paraId="0D18911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83D929" w14:textId="77777777" w:rsidR="00E57DAA" w:rsidRDefault="00AC4185">
      <w:pPr>
        <w:jc w:val="right"/>
        <w:rPr>
          <w:szCs w:val="21"/>
        </w:rPr>
      </w:pPr>
      <w:r>
        <w:rPr>
          <w:rFonts w:hint="eastAsia"/>
          <w:szCs w:val="21"/>
        </w:rPr>
        <w:t>单位：</w:t>
      </w:r>
      <w:sdt>
        <w:sdtPr>
          <w:rPr>
            <w:rFonts w:hint="eastAsia"/>
            <w:szCs w:val="21"/>
          </w:rPr>
          <w:alias w:val="单位：财务附注：在建工程"/>
          <w:tag w:val="_GBC_c20f70bc9d1e4476bd65c1988111664f"/>
          <w:id w:val="15178005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5360351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1833"/>
        <w:gridCol w:w="1833"/>
        <w:gridCol w:w="1813"/>
        <w:gridCol w:w="1811"/>
        <w:gridCol w:w="1833"/>
        <w:gridCol w:w="1855"/>
      </w:tblGrid>
      <w:tr w:rsidR="00E57DAA" w14:paraId="3629F0BE" w14:textId="77777777">
        <w:trPr>
          <w:cantSplit/>
        </w:trPr>
        <w:sdt>
          <w:sdtPr>
            <w:tag w:val="_PLD_64c6d788b0564cf39dd83135bd94fa33"/>
            <w:id w:val="-1720197974"/>
          </w:sdtPr>
          <w:sdtEndPr/>
          <w:sdtContent>
            <w:tc>
              <w:tcPr>
                <w:tcW w:w="1041" w:type="pct"/>
                <w:vMerge w:val="restart"/>
                <w:vAlign w:val="center"/>
              </w:tcPr>
              <w:p w14:paraId="172EA249" w14:textId="77777777" w:rsidR="00E57DAA" w:rsidRDefault="00AC4185">
                <w:pPr>
                  <w:jc w:val="center"/>
                  <w:rPr>
                    <w:szCs w:val="21"/>
                  </w:rPr>
                </w:pPr>
                <w:r>
                  <w:rPr>
                    <w:rFonts w:hint="eastAsia"/>
                    <w:szCs w:val="21"/>
                  </w:rPr>
                  <w:t>项目</w:t>
                </w:r>
              </w:p>
            </w:tc>
          </w:sdtContent>
        </w:sdt>
        <w:sdt>
          <w:sdtPr>
            <w:tag w:val="_PLD_0f8aeba685c643d8bbe995cb6221e768"/>
            <w:id w:val="-964881980"/>
          </w:sdtPr>
          <w:sdtEndPr/>
          <w:sdtContent>
            <w:tc>
              <w:tcPr>
                <w:tcW w:w="1976" w:type="pct"/>
                <w:gridSpan w:val="3"/>
                <w:vAlign w:val="center"/>
              </w:tcPr>
              <w:p w14:paraId="73147A53" w14:textId="77777777" w:rsidR="00E57DAA" w:rsidRDefault="00AC4185">
                <w:pPr>
                  <w:jc w:val="center"/>
                  <w:rPr>
                    <w:szCs w:val="21"/>
                  </w:rPr>
                </w:pPr>
                <w:r>
                  <w:rPr>
                    <w:rFonts w:hint="eastAsia"/>
                    <w:szCs w:val="21"/>
                  </w:rPr>
                  <w:t>期末余额</w:t>
                </w:r>
              </w:p>
            </w:tc>
          </w:sdtContent>
        </w:sdt>
        <w:sdt>
          <w:sdtPr>
            <w:tag w:val="_PLD_87e3270219434e9f8494ce0079d505fd"/>
            <w:id w:val="-758985152"/>
          </w:sdtPr>
          <w:sdtEndPr/>
          <w:sdtContent>
            <w:tc>
              <w:tcPr>
                <w:tcW w:w="1983" w:type="pct"/>
                <w:gridSpan w:val="3"/>
                <w:vAlign w:val="center"/>
              </w:tcPr>
              <w:p w14:paraId="73A5AEA5" w14:textId="77777777" w:rsidR="00E57DAA" w:rsidRDefault="00AC4185">
                <w:pPr>
                  <w:jc w:val="center"/>
                  <w:rPr>
                    <w:szCs w:val="21"/>
                  </w:rPr>
                </w:pPr>
                <w:r>
                  <w:rPr>
                    <w:rFonts w:hint="eastAsia"/>
                    <w:szCs w:val="21"/>
                  </w:rPr>
                  <w:t>期初余额</w:t>
                </w:r>
              </w:p>
            </w:tc>
          </w:sdtContent>
        </w:sdt>
      </w:tr>
      <w:tr w:rsidR="00E57DAA" w14:paraId="364CF910" w14:textId="77777777">
        <w:trPr>
          <w:cantSplit/>
        </w:trPr>
        <w:tc>
          <w:tcPr>
            <w:tcW w:w="1041" w:type="pct"/>
            <w:vMerge/>
            <w:vAlign w:val="center"/>
          </w:tcPr>
          <w:p w14:paraId="02058C28" w14:textId="77777777" w:rsidR="00E57DAA" w:rsidRDefault="00E57DAA">
            <w:pPr>
              <w:tabs>
                <w:tab w:val="left" w:pos="420"/>
              </w:tabs>
              <w:ind w:left="420" w:hanging="420"/>
              <w:jc w:val="center"/>
              <w:rPr>
                <w:szCs w:val="21"/>
              </w:rPr>
            </w:pPr>
          </w:p>
        </w:tc>
        <w:sdt>
          <w:sdtPr>
            <w:tag w:val="_PLD_38fd2fe6396a41ae994e421a6ad8573a"/>
            <w:id w:val="-975993053"/>
          </w:sdtPr>
          <w:sdtEndPr/>
          <w:sdtContent>
            <w:tc>
              <w:tcPr>
                <w:tcW w:w="661" w:type="pct"/>
                <w:vAlign w:val="center"/>
              </w:tcPr>
              <w:p w14:paraId="29DE99EC" w14:textId="77777777" w:rsidR="00E57DAA" w:rsidRDefault="00AC4185">
                <w:pPr>
                  <w:tabs>
                    <w:tab w:val="left" w:pos="420"/>
                  </w:tabs>
                  <w:ind w:left="420" w:hanging="420"/>
                  <w:jc w:val="center"/>
                  <w:rPr>
                    <w:szCs w:val="21"/>
                  </w:rPr>
                </w:pPr>
                <w:r>
                  <w:rPr>
                    <w:rFonts w:hint="eastAsia"/>
                    <w:szCs w:val="21"/>
                  </w:rPr>
                  <w:t>账面余额</w:t>
                </w:r>
              </w:p>
            </w:tc>
          </w:sdtContent>
        </w:sdt>
        <w:sdt>
          <w:sdtPr>
            <w:tag w:val="_PLD_efb5f565ae7d43338576e6ba69d207b2"/>
            <w:id w:val="-1786881232"/>
          </w:sdtPr>
          <w:sdtEndPr/>
          <w:sdtContent>
            <w:tc>
              <w:tcPr>
                <w:tcW w:w="661" w:type="pct"/>
                <w:vAlign w:val="center"/>
              </w:tcPr>
              <w:p w14:paraId="5BC3BFD6" w14:textId="77777777" w:rsidR="00E57DAA" w:rsidRDefault="00AC4185">
                <w:pPr>
                  <w:pStyle w:val="TOC1"/>
                  <w:spacing w:line="240" w:lineRule="auto"/>
                  <w:jc w:val="center"/>
                </w:pPr>
                <w:r>
                  <w:rPr>
                    <w:rFonts w:hint="eastAsia"/>
                  </w:rPr>
                  <w:t>减值准备</w:t>
                </w:r>
              </w:p>
            </w:tc>
          </w:sdtContent>
        </w:sdt>
        <w:sdt>
          <w:sdtPr>
            <w:tag w:val="_PLD_74e2fff2faeb4e10b56ba612a8b3b4e8"/>
            <w:id w:val="-2059085030"/>
          </w:sdtPr>
          <w:sdtEndPr/>
          <w:sdtContent>
            <w:tc>
              <w:tcPr>
                <w:tcW w:w="654" w:type="pct"/>
                <w:vAlign w:val="center"/>
              </w:tcPr>
              <w:p w14:paraId="7FA3620F" w14:textId="77777777" w:rsidR="00E57DAA" w:rsidRDefault="00AC4185">
                <w:pPr>
                  <w:pStyle w:val="TOC1"/>
                  <w:spacing w:line="240" w:lineRule="auto"/>
                  <w:jc w:val="center"/>
                </w:pPr>
                <w:r>
                  <w:rPr>
                    <w:rFonts w:hint="eastAsia"/>
                  </w:rPr>
                  <w:t>账面价值</w:t>
                </w:r>
              </w:p>
            </w:tc>
          </w:sdtContent>
        </w:sdt>
        <w:sdt>
          <w:sdtPr>
            <w:tag w:val="_PLD_320b5c6e751a40cb8f8d6cb989669680"/>
            <w:id w:val="-542208228"/>
          </w:sdtPr>
          <w:sdtEndPr/>
          <w:sdtContent>
            <w:tc>
              <w:tcPr>
                <w:tcW w:w="653" w:type="pct"/>
                <w:vAlign w:val="center"/>
              </w:tcPr>
              <w:p w14:paraId="39F5DA2D" w14:textId="77777777" w:rsidR="00E57DAA" w:rsidRDefault="00AC4185">
                <w:pPr>
                  <w:tabs>
                    <w:tab w:val="left" w:pos="420"/>
                  </w:tabs>
                  <w:ind w:left="420" w:hanging="420"/>
                  <w:jc w:val="center"/>
                  <w:rPr>
                    <w:szCs w:val="21"/>
                  </w:rPr>
                </w:pPr>
                <w:r>
                  <w:rPr>
                    <w:rFonts w:hint="eastAsia"/>
                    <w:szCs w:val="21"/>
                  </w:rPr>
                  <w:t>账面余额</w:t>
                </w:r>
              </w:p>
            </w:tc>
          </w:sdtContent>
        </w:sdt>
        <w:sdt>
          <w:sdtPr>
            <w:tag w:val="_PLD_887f924a18a14763b7d38b336e4eca91"/>
            <w:id w:val="-1809082444"/>
          </w:sdtPr>
          <w:sdtEndPr/>
          <w:sdtContent>
            <w:tc>
              <w:tcPr>
                <w:tcW w:w="661" w:type="pct"/>
                <w:vAlign w:val="center"/>
              </w:tcPr>
              <w:p w14:paraId="27BFCC96" w14:textId="77777777" w:rsidR="00E57DAA" w:rsidRDefault="00AC4185">
                <w:pPr>
                  <w:pStyle w:val="TOC1"/>
                  <w:spacing w:line="240" w:lineRule="auto"/>
                  <w:jc w:val="center"/>
                </w:pPr>
                <w:r>
                  <w:rPr>
                    <w:rFonts w:hint="eastAsia"/>
                  </w:rPr>
                  <w:t>减值准备</w:t>
                </w:r>
              </w:p>
            </w:tc>
          </w:sdtContent>
        </w:sdt>
        <w:sdt>
          <w:sdtPr>
            <w:tag w:val="_PLD_56d3163c60044998bf2f3d80a83c26a6"/>
            <w:id w:val="900174583"/>
          </w:sdtPr>
          <w:sdtEndPr/>
          <w:sdtContent>
            <w:tc>
              <w:tcPr>
                <w:tcW w:w="669" w:type="pct"/>
                <w:vAlign w:val="center"/>
              </w:tcPr>
              <w:p w14:paraId="041860FA" w14:textId="77777777" w:rsidR="00E57DAA" w:rsidRDefault="00AC4185">
                <w:pPr>
                  <w:pStyle w:val="TOC1"/>
                  <w:spacing w:line="240" w:lineRule="auto"/>
                  <w:jc w:val="center"/>
                </w:pPr>
                <w:r>
                  <w:rPr>
                    <w:rFonts w:hint="eastAsia"/>
                  </w:rPr>
                  <w:t>账面价值</w:t>
                </w:r>
              </w:p>
            </w:tc>
          </w:sdtContent>
        </w:sdt>
      </w:tr>
      <w:tr w:rsidR="00E57DAA" w14:paraId="07687755" w14:textId="77777777">
        <w:trPr>
          <w:cantSplit/>
        </w:trPr>
        <w:tc>
          <w:tcPr>
            <w:tcW w:w="1041" w:type="pct"/>
          </w:tcPr>
          <w:p w14:paraId="41FBB507" w14:textId="77777777" w:rsidR="00E57DAA" w:rsidRDefault="00AC4185">
            <w:pPr>
              <w:rPr>
                <w:szCs w:val="21"/>
              </w:rPr>
            </w:pPr>
            <w:r>
              <w:t>绿色数智双碳创新中心</w:t>
            </w:r>
          </w:p>
        </w:tc>
        <w:tc>
          <w:tcPr>
            <w:tcW w:w="661" w:type="pct"/>
          </w:tcPr>
          <w:p w14:paraId="705C9BB1" w14:textId="77777777" w:rsidR="00E57DAA" w:rsidRDefault="00AC4185">
            <w:pPr>
              <w:ind w:right="105"/>
              <w:jc w:val="right"/>
              <w:rPr>
                <w:szCs w:val="21"/>
              </w:rPr>
            </w:pPr>
            <w:r>
              <w:t> </w:t>
            </w:r>
          </w:p>
        </w:tc>
        <w:tc>
          <w:tcPr>
            <w:tcW w:w="661" w:type="pct"/>
          </w:tcPr>
          <w:p w14:paraId="2BCDC073" w14:textId="77777777" w:rsidR="00E57DAA" w:rsidRDefault="00AC4185">
            <w:pPr>
              <w:ind w:right="73"/>
              <w:jc w:val="right"/>
              <w:rPr>
                <w:szCs w:val="21"/>
              </w:rPr>
            </w:pPr>
            <w:r>
              <w:t> </w:t>
            </w:r>
          </w:p>
        </w:tc>
        <w:tc>
          <w:tcPr>
            <w:tcW w:w="654" w:type="pct"/>
          </w:tcPr>
          <w:p w14:paraId="0F5CCC07" w14:textId="77777777" w:rsidR="00E57DAA" w:rsidRDefault="00AC4185">
            <w:pPr>
              <w:ind w:right="73"/>
              <w:jc w:val="right"/>
              <w:rPr>
                <w:szCs w:val="21"/>
              </w:rPr>
            </w:pPr>
            <w:r>
              <w:t> </w:t>
            </w:r>
          </w:p>
        </w:tc>
        <w:tc>
          <w:tcPr>
            <w:tcW w:w="653" w:type="pct"/>
          </w:tcPr>
          <w:p w14:paraId="760BF09F" w14:textId="77777777" w:rsidR="00E57DAA" w:rsidRDefault="00AC4185">
            <w:pPr>
              <w:jc w:val="right"/>
              <w:rPr>
                <w:szCs w:val="21"/>
              </w:rPr>
            </w:pPr>
            <w:r>
              <w:t>430,237,464.69</w:t>
            </w:r>
          </w:p>
        </w:tc>
        <w:tc>
          <w:tcPr>
            <w:tcW w:w="661" w:type="pct"/>
          </w:tcPr>
          <w:p w14:paraId="431AF9EC" w14:textId="77777777" w:rsidR="00E57DAA" w:rsidRDefault="00AC4185">
            <w:pPr>
              <w:jc w:val="right"/>
              <w:rPr>
                <w:szCs w:val="21"/>
              </w:rPr>
            </w:pPr>
            <w:r>
              <w:t> </w:t>
            </w:r>
          </w:p>
        </w:tc>
        <w:tc>
          <w:tcPr>
            <w:tcW w:w="669" w:type="pct"/>
          </w:tcPr>
          <w:p w14:paraId="7CF2BDCE" w14:textId="77777777" w:rsidR="00E57DAA" w:rsidRDefault="00AC4185">
            <w:pPr>
              <w:jc w:val="right"/>
              <w:rPr>
                <w:szCs w:val="21"/>
              </w:rPr>
            </w:pPr>
            <w:r>
              <w:t>430,237,464.69</w:t>
            </w:r>
          </w:p>
        </w:tc>
      </w:tr>
      <w:tr w:rsidR="00E57DAA" w14:paraId="18C24D0A" w14:textId="77777777">
        <w:trPr>
          <w:cantSplit/>
        </w:trPr>
        <w:tc>
          <w:tcPr>
            <w:tcW w:w="1041" w:type="pct"/>
          </w:tcPr>
          <w:p w14:paraId="4DB6B625" w14:textId="77777777" w:rsidR="00E57DAA" w:rsidRDefault="00AC4185">
            <w:pPr>
              <w:rPr>
                <w:szCs w:val="21"/>
              </w:rPr>
            </w:pPr>
            <w:r>
              <w:t>智造产业园建设项目</w:t>
            </w:r>
          </w:p>
        </w:tc>
        <w:tc>
          <w:tcPr>
            <w:tcW w:w="661" w:type="pct"/>
          </w:tcPr>
          <w:p w14:paraId="7576811B" w14:textId="77777777" w:rsidR="00E57DAA" w:rsidRDefault="00AC4185">
            <w:pPr>
              <w:ind w:right="105"/>
              <w:jc w:val="right"/>
              <w:rPr>
                <w:szCs w:val="21"/>
              </w:rPr>
            </w:pPr>
            <w:r>
              <w:t>471,303,255.41</w:t>
            </w:r>
          </w:p>
        </w:tc>
        <w:tc>
          <w:tcPr>
            <w:tcW w:w="661" w:type="pct"/>
          </w:tcPr>
          <w:p w14:paraId="5E43D694" w14:textId="77777777" w:rsidR="00E57DAA" w:rsidRDefault="00AC4185">
            <w:pPr>
              <w:ind w:right="73"/>
              <w:jc w:val="right"/>
              <w:rPr>
                <w:szCs w:val="21"/>
              </w:rPr>
            </w:pPr>
            <w:r>
              <w:t> </w:t>
            </w:r>
          </w:p>
        </w:tc>
        <w:tc>
          <w:tcPr>
            <w:tcW w:w="654" w:type="pct"/>
          </w:tcPr>
          <w:p w14:paraId="6B8BC9A6" w14:textId="77777777" w:rsidR="00E57DAA" w:rsidRDefault="00AC4185">
            <w:pPr>
              <w:ind w:right="73"/>
              <w:jc w:val="right"/>
              <w:rPr>
                <w:szCs w:val="21"/>
              </w:rPr>
            </w:pPr>
            <w:r>
              <w:t>471,303,255.41</w:t>
            </w:r>
          </w:p>
        </w:tc>
        <w:tc>
          <w:tcPr>
            <w:tcW w:w="653" w:type="pct"/>
          </w:tcPr>
          <w:p w14:paraId="6CC3D5FF" w14:textId="77777777" w:rsidR="00E57DAA" w:rsidRDefault="00AC4185">
            <w:pPr>
              <w:jc w:val="right"/>
              <w:rPr>
                <w:szCs w:val="21"/>
              </w:rPr>
            </w:pPr>
            <w:r>
              <w:t>256,232,086.77</w:t>
            </w:r>
          </w:p>
        </w:tc>
        <w:tc>
          <w:tcPr>
            <w:tcW w:w="661" w:type="pct"/>
          </w:tcPr>
          <w:p w14:paraId="2FF578AC" w14:textId="77777777" w:rsidR="00E57DAA" w:rsidRDefault="00AC4185">
            <w:pPr>
              <w:jc w:val="right"/>
              <w:rPr>
                <w:szCs w:val="21"/>
              </w:rPr>
            </w:pPr>
            <w:r>
              <w:t> </w:t>
            </w:r>
          </w:p>
        </w:tc>
        <w:tc>
          <w:tcPr>
            <w:tcW w:w="669" w:type="pct"/>
          </w:tcPr>
          <w:p w14:paraId="77231AA6" w14:textId="77777777" w:rsidR="00E57DAA" w:rsidRDefault="00AC4185">
            <w:pPr>
              <w:jc w:val="right"/>
              <w:rPr>
                <w:szCs w:val="21"/>
              </w:rPr>
            </w:pPr>
            <w:r>
              <w:t>256,232,086.77</w:t>
            </w:r>
          </w:p>
        </w:tc>
      </w:tr>
      <w:tr w:rsidR="00E57DAA" w14:paraId="177EB0AD" w14:textId="77777777">
        <w:trPr>
          <w:cantSplit/>
        </w:trPr>
        <w:tc>
          <w:tcPr>
            <w:tcW w:w="1041" w:type="pct"/>
          </w:tcPr>
          <w:p w14:paraId="7112407D" w14:textId="77777777" w:rsidR="00E57DAA" w:rsidRDefault="00AC4185">
            <w:pPr>
              <w:rPr>
                <w:szCs w:val="21"/>
              </w:rPr>
            </w:pPr>
            <w:r>
              <w:t>溧水天山水泥窑协同处置10万吨/年危险废物项目</w:t>
            </w:r>
          </w:p>
        </w:tc>
        <w:tc>
          <w:tcPr>
            <w:tcW w:w="661" w:type="pct"/>
          </w:tcPr>
          <w:p w14:paraId="6440DCAA" w14:textId="77777777" w:rsidR="00E57DAA" w:rsidRDefault="00AC4185">
            <w:pPr>
              <w:ind w:right="105"/>
              <w:jc w:val="right"/>
              <w:rPr>
                <w:szCs w:val="21"/>
              </w:rPr>
            </w:pPr>
            <w:r>
              <w:t>2,334,800.56</w:t>
            </w:r>
          </w:p>
        </w:tc>
        <w:tc>
          <w:tcPr>
            <w:tcW w:w="661" w:type="pct"/>
          </w:tcPr>
          <w:p w14:paraId="275E5D45" w14:textId="77777777" w:rsidR="00E57DAA" w:rsidRDefault="00AC4185">
            <w:pPr>
              <w:ind w:right="73"/>
              <w:jc w:val="right"/>
              <w:rPr>
                <w:szCs w:val="21"/>
              </w:rPr>
            </w:pPr>
            <w:r>
              <w:t> </w:t>
            </w:r>
          </w:p>
        </w:tc>
        <w:tc>
          <w:tcPr>
            <w:tcW w:w="654" w:type="pct"/>
          </w:tcPr>
          <w:p w14:paraId="6A2CEF0A" w14:textId="77777777" w:rsidR="00E57DAA" w:rsidRDefault="00AC4185">
            <w:pPr>
              <w:ind w:right="73"/>
              <w:jc w:val="right"/>
              <w:rPr>
                <w:szCs w:val="21"/>
              </w:rPr>
            </w:pPr>
            <w:r>
              <w:t>2,334,800.56</w:t>
            </w:r>
          </w:p>
        </w:tc>
        <w:tc>
          <w:tcPr>
            <w:tcW w:w="653" w:type="pct"/>
          </w:tcPr>
          <w:p w14:paraId="58DB3DB4" w14:textId="77777777" w:rsidR="00E57DAA" w:rsidRDefault="00AC4185">
            <w:pPr>
              <w:jc w:val="right"/>
              <w:rPr>
                <w:szCs w:val="21"/>
              </w:rPr>
            </w:pPr>
            <w:r>
              <w:t>44,847,824.25</w:t>
            </w:r>
          </w:p>
        </w:tc>
        <w:tc>
          <w:tcPr>
            <w:tcW w:w="661" w:type="pct"/>
          </w:tcPr>
          <w:p w14:paraId="6DDB11E2" w14:textId="77777777" w:rsidR="00E57DAA" w:rsidRDefault="00AC4185">
            <w:pPr>
              <w:jc w:val="right"/>
              <w:rPr>
                <w:szCs w:val="21"/>
              </w:rPr>
            </w:pPr>
            <w:r>
              <w:t> </w:t>
            </w:r>
          </w:p>
        </w:tc>
        <w:tc>
          <w:tcPr>
            <w:tcW w:w="669" w:type="pct"/>
          </w:tcPr>
          <w:p w14:paraId="0849EFBC" w14:textId="77777777" w:rsidR="00E57DAA" w:rsidRDefault="00AC4185">
            <w:pPr>
              <w:jc w:val="right"/>
              <w:rPr>
                <w:szCs w:val="21"/>
              </w:rPr>
            </w:pPr>
            <w:r>
              <w:t>44,847,824.25</w:t>
            </w:r>
          </w:p>
        </w:tc>
      </w:tr>
      <w:tr w:rsidR="00E57DAA" w14:paraId="55667FE6" w14:textId="77777777">
        <w:trPr>
          <w:cantSplit/>
        </w:trPr>
        <w:tc>
          <w:tcPr>
            <w:tcW w:w="1041" w:type="pct"/>
          </w:tcPr>
          <w:p w14:paraId="724CAB38" w14:textId="77777777" w:rsidR="00E57DAA" w:rsidRDefault="00AC4185">
            <w:pPr>
              <w:rPr>
                <w:szCs w:val="21"/>
              </w:rPr>
            </w:pPr>
            <w:r>
              <w:t>阿布贾办公楼项目</w:t>
            </w:r>
          </w:p>
        </w:tc>
        <w:tc>
          <w:tcPr>
            <w:tcW w:w="661" w:type="pct"/>
          </w:tcPr>
          <w:p w14:paraId="02518366" w14:textId="77777777" w:rsidR="00E57DAA" w:rsidRDefault="00AC4185">
            <w:pPr>
              <w:ind w:right="105"/>
              <w:jc w:val="right"/>
              <w:rPr>
                <w:szCs w:val="21"/>
              </w:rPr>
            </w:pPr>
            <w:r>
              <w:t>15,863,200.00</w:t>
            </w:r>
          </w:p>
        </w:tc>
        <w:tc>
          <w:tcPr>
            <w:tcW w:w="661" w:type="pct"/>
          </w:tcPr>
          <w:p w14:paraId="0C2AA3DE" w14:textId="77777777" w:rsidR="00E57DAA" w:rsidRDefault="00AC4185">
            <w:pPr>
              <w:ind w:right="73"/>
              <w:jc w:val="right"/>
              <w:rPr>
                <w:szCs w:val="21"/>
              </w:rPr>
            </w:pPr>
            <w:r>
              <w:t> </w:t>
            </w:r>
          </w:p>
        </w:tc>
        <w:tc>
          <w:tcPr>
            <w:tcW w:w="654" w:type="pct"/>
          </w:tcPr>
          <w:p w14:paraId="5ADD3DE3" w14:textId="77777777" w:rsidR="00E57DAA" w:rsidRDefault="00AC4185">
            <w:pPr>
              <w:ind w:right="73"/>
              <w:jc w:val="right"/>
              <w:rPr>
                <w:szCs w:val="21"/>
              </w:rPr>
            </w:pPr>
            <w:r>
              <w:t>15,863,200.00</w:t>
            </w:r>
          </w:p>
        </w:tc>
        <w:tc>
          <w:tcPr>
            <w:tcW w:w="653" w:type="pct"/>
          </w:tcPr>
          <w:p w14:paraId="749C0DCF" w14:textId="77777777" w:rsidR="00E57DAA" w:rsidRDefault="00AC4185">
            <w:pPr>
              <w:jc w:val="right"/>
              <w:rPr>
                <w:szCs w:val="21"/>
              </w:rPr>
            </w:pPr>
            <w:r>
              <w:t>31,324,800.00</w:t>
            </w:r>
          </w:p>
        </w:tc>
        <w:tc>
          <w:tcPr>
            <w:tcW w:w="661" w:type="pct"/>
          </w:tcPr>
          <w:p w14:paraId="21CAC5BF" w14:textId="77777777" w:rsidR="00E57DAA" w:rsidRDefault="00AC4185">
            <w:pPr>
              <w:jc w:val="right"/>
              <w:rPr>
                <w:szCs w:val="21"/>
              </w:rPr>
            </w:pPr>
            <w:r>
              <w:t> </w:t>
            </w:r>
          </w:p>
        </w:tc>
        <w:tc>
          <w:tcPr>
            <w:tcW w:w="669" w:type="pct"/>
          </w:tcPr>
          <w:p w14:paraId="7B10FA7D" w14:textId="77777777" w:rsidR="00E57DAA" w:rsidRDefault="00AC4185">
            <w:pPr>
              <w:jc w:val="right"/>
              <w:rPr>
                <w:szCs w:val="21"/>
              </w:rPr>
            </w:pPr>
            <w:r>
              <w:t>31,324,800.00</w:t>
            </w:r>
          </w:p>
        </w:tc>
      </w:tr>
      <w:tr w:rsidR="00E57DAA" w14:paraId="05D3DEAF" w14:textId="77777777">
        <w:trPr>
          <w:cantSplit/>
        </w:trPr>
        <w:tc>
          <w:tcPr>
            <w:tcW w:w="1041" w:type="pct"/>
          </w:tcPr>
          <w:p w14:paraId="5845895F" w14:textId="77777777" w:rsidR="00E57DAA" w:rsidRDefault="00AC4185">
            <w:pPr>
              <w:rPr>
                <w:szCs w:val="21"/>
              </w:rPr>
            </w:pPr>
            <w:r>
              <w:t>肥东钢结构产品生产基地厂房设备</w:t>
            </w:r>
          </w:p>
        </w:tc>
        <w:tc>
          <w:tcPr>
            <w:tcW w:w="661" w:type="pct"/>
          </w:tcPr>
          <w:p w14:paraId="7EB3F426" w14:textId="77777777" w:rsidR="00E57DAA" w:rsidRDefault="00AC4185">
            <w:pPr>
              <w:ind w:right="105"/>
              <w:jc w:val="right"/>
              <w:rPr>
                <w:szCs w:val="21"/>
              </w:rPr>
            </w:pPr>
            <w:r>
              <w:t>4,599,929.20</w:t>
            </w:r>
          </w:p>
        </w:tc>
        <w:tc>
          <w:tcPr>
            <w:tcW w:w="661" w:type="pct"/>
          </w:tcPr>
          <w:p w14:paraId="58AA528F" w14:textId="77777777" w:rsidR="00E57DAA" w:rsidRDefault="00AC4185">
            <w:pPr>
              <w:ind w:right="73"/>
              <w:jc w:val="right"/>
              <w:rPr>
                <w:szCs w:val="21"/>
              </w:rPr>
            </w:pPr>
            <w:r>
              <w:t> </w:t>
            </w:r>
          </w:p>
        </w:tc>
        <w:tc>
          <w:tcPr>
            <w:tcW w:w="654" w:type="pct"/>
          </w:tcPr>
          <w:p w14:paraId="192E226D" w14:textId="77777777" w:rsidR="00E57DAA" w:rsidRDefault="00AC4185">
            <w:pPr>
              <w:ind w:right="73"/>
              <w:jc w:val="right"/>
              <w:rPr>
                <w:szCs w:val="21"/>
              </w:rPr>
            </w:pPr>
            <w:r>
              <w:t>4,599,929.20</w:t>
            </w:r>
          </w:p>
        </w:tc>
        <w:tc>
          <w:tcPr>
            <w:tcW w:w="653" w:type="pct"/>
          </w:tcPr>
          <w:p w14:paraId="19EB6759" w14:textId="77777777" w:rsidR="00E57DAA" w:rsidRDefault="00AC4185">
            <w:pPr>
              <w:jc w:val="right"/>
              <w:rPr>
                <w:szCs w:val="21"/>
              </w:rPr>
            </w:pPr>
            <w:r>
              <w:t>17,549,628.30</w:t>
            </w:r>
          </w:p>
        </w:tc>
        <w:tc>
          <w:tcPr>
            <w:tcW w:w="661" w:type="pct"/>
          </w:tcPr>
          <w:p w14:paraId="76E87A33" w14:textId="77777777" w:rsidR="00E57DAA" w:rsidRDefault="00AC4185">
            <w:pPr>
              <w:jc w:val="right"/>
              <w:rPr>
                <w:szCs w:val="21"/>
              </w:rPr>
            </w:pPr>
            <w:r>
              <w:t> </w:t>
            </w:r>
          </w:p>
        </w:tc>
        <w:tc>
          <w:tcPr>
            <w:tcW w:w="669" w:type="pct"/>
          </w:tcPr>
          <w:p w14:paraId="4FA4F18F" w14:textId="77777777" w:rsidR="00E57DAA" w:rsidRDefault="00AC4185">
            <w:pPr>
              <w:jc w:val="right"/>
              <w:rPr>
                <w:szCs w:val="21"/>
              </w:rPr>
            </w:pPr>
            <w:r>
              <w:t>17,549,628.30</w:t>
            </w:r>
          </w:p>
        </w:tc>
      </w:tr>
      <w:tr w:rsidR="00E57DAA" w14:paraId="45813EDF" w14:textId="77777777">
        <w:trPr>
          <w:cantSplit/>
        </w:trPr>
        <w:tc>
          <w:tcPr>
            <w:tcW w:w="1041" w:type="pct"/>
          </w:tcPr>
          <w:p w14:paraId="2C1289FC" w14:textId="77777777" w:rsidR="00E57DAA" w:rsidRDefault="00AC4185">
            <w:pPr>
              <w:rPr>
                <w:szCs w:val="21"/>
              </w:rPr>
            </w:pPr>
            <w:r>
              <w:t>南京矿山石灰岩矿三线设备安装及电气一体化系统项目</w:t>
            </w:r>
          </w:p>
        </w:tc>
        <w:tc>
          <w:tcPr>
            <w:tcW w:w="661" w:type="pct"/>
          </w:tcPr>
          <w:p w14:paraId="5E445B0B" w14:textId="77777777" w:rsidR="00E57DAA" w:rsidRDefault="00AC4185">
            <w:pPr>
              <w:ind w:right="105"/>
              <w:jc w:val="right"/>
              <w:rPr>
                <w:szCs w:val="21"/>
              </w:rPr>
            </w:pPr>
            <w:r>
              <w:t> </w:t>
            </w:r>
          </w:p>
        </w:tc>
        <w:tc>
          <w:tcPr>
            <w:tcW w:w="661" w:type="pct"/>
          </w:tcPr>
          <w:p w14:paraId="7F658E4F" w14:textId="77777777" w:rsidR="00E57DAA" w:rsidRDefault="00AC4185">
            <w:pPr>
              <w:ind w:right="73"/>
              <w:jc w:val="right"/>
              <w:rPr>
                <w:szCs w:val="21"/>
              </w:rPr>
            </w:pPr>
            <w:r>
              <w:t> </w:t>
            </w:r>
          </w:p>
        </w:tc>
        <w:tc>
          <w:tcPr>
            <w:tcW w:w="654" w:type="pct"/>
          </w:tcPr>
          <w:p w14:paraId="76115A51" w14:textId="77777777" w:rsidR="00E57DAA" w:rsidRDefault="00AC4185">
            <w:pPr>
              <w:ind w:right="73"/>
              <w:jc w:val="right"/>
              <w:rPr>
                <w:szCs w:val="21"/>
              </w:rPr>
            </w:pPr>
            <w:r>
              <w:t> </w:t>
            </w:r>
          </w:p>
        </w:tc>
        <w:tc>
          <w:tcPr>
            <w:tcW w:w="653" w:type="pct"/>
          </w:tcPr>
          <w:p w14:paraId="12C2CBBE" w14:textId="77777777" w:rsidR="00E57DAA" w:rsidRDefault="00AC4185">
            <w:pPr>
              <w:jc w:val="right"/>
              <w:rPr>
                <w:szCs w:val="21"/>
              </w:rPr>
            </w:pPr>
            <w:r>
              <w:t>10,676,007.95</w:t>
            </w:r>
          </w:p>
        </w:tc>
        <w:tc>
          <w:tcPr>
            <w:tcW w:w="661" w:type="pct"/>
          </w:tcPr>
          <w:p w14:paraId="560EE44E" w14:textId="77777777" w:rsidR="00E57DAA" w:rsidRDefault="00AC4185">
            <w:pPr>
              <w:jc w:val="right"/>
              <w:rPr>
                <w:szCs w:val="21"/>
              </w:rPr>
            </w:pPr>
            <w:r>
              <w:t> </w:t>
            </w:r>
          </w:p>
        </w:tc>
        <w:tc>
          <w:tcPr>
            <w:tcW w:w="669" w:type="pct"/>
          </w:tcPr>
          <w:p w14:paraId="14596B97" w14:textId="77777777" w:rsidR="00E57DAA" w:rsidRDefault="00AC4185">
            <w:pPr>
              <w:jc w:val="right"/>
              <w:rPr>
                <w:szCs w:val="21"/>
              </w:rPr>
            </w:pPr>
            <w:r>
              <w:t>10,676,007.95</w:t>
            </w:r>
          </w:p>
        </w:tc>
      </w:tr>
      <w:tr w:rsidR="00E57DAA" w14:paraId="730B01BF" w14:textId="77777777">
        <w:trPr>
          <w:cantSplit/>
        </w:trPr>
        <w:tc>
          <w:tcPr>
            <w:tcW w:w="1041" w:type="pct"/>
          </w:tcPr>
          <w:p w14:paraId="0A55C1A3" w14:textId="77777777" w:rsidR="00E57DAA" w:rsidRDefault="00AC4185">
            <w:pPr>
              <w:rPr>
                <w:szCs w:val="21"/>
              </w:rPr>
            </w:pPr>
            <w:r>
              <w:t>嘉善脱水剂生产线项目</w:t>
            </w:r>
          </w:p>
        </w:tc>
        <w:tc>
          <w:tcPr>
            <w:tcW w:w="661" w:type="pct"/>
          </w:tcPr>
          <w:p w14:paraId="16F24EC7" w14:textId="77777777" w:rsidR="00E57DAA" w:rsidRDefault="00AC4185">
            <w:pPr>
              <w:ind w:right="105"/>
              <w:jc w:val="right"/>
              <w:rPr>
                <w:szCs w:val="21"/>
              </w:rPr>
            </w:pPr>
            <w:r>
              <w:t>9,886,716.15</w:t>
            </w:r>
          </w:p>
        </w:tc>
        <w:tc>
          <w:tcPr>
            <w:tcW w:w="661" w:type="pct"/>
          </w:tcPr>
          <w:p w14:paraId="68C4E37C" w14:textId="77777777" w:rsidR="00E57DAA" w:rsidRDefault="00AC4185">
            <w:pPr>
              <w:ind w:right="73"/>
              <w:jc w:val="right"/>
              <w:rPr>
                <w:szCs w:val="21"/>
              </w:rPr>
            </w:pPr>
            <w:r>
              <w:t> </w:t>
            </w:r>
          </w:p>
        </w:tc>
        <w:tc>
          <w:tcPr>
            <w:tcW w:w="654" w:type="pct"/>
          </w:tcPr>
          <w:p w14:paraId="6457F8EA" w14:textId="77777777" w:rsidR="00E57DAA" w:rsidRDefault="00AC4185">
            <w:pPr>
              <w:ind w:right="73"/>
              <w:jc w:val="right"/>
              <w:rPr>
                <w:szCs w:val="21"/>
              </w:rPr>
            </w:pPr>
            <w:r>
              <w:t>9,886,716.15</w:t>
            </w:r>
          </w:p>
        </w:tc>
        <w:tc>
          <w:tcPr>
            <w:tcW w:w="653" w:type="pct"/>
          </w:tcPr>
          <w:p w14:paraId="1DF5264A" w14:textId="77777777" w:rsidR="00E57DAA" w:rsidRDefault="00AC4185">
            <w:pPr>
              <w:jc w:val="right"/>
              <w:rPr>
                <w:szCs w:val="21"/>
              </w:rPr>
            </w:pPr>
            <w:r>
              <w:t>9,692,353.95</w:t>
            </w:r>
          </w:p>
        </w:tc>
        <w:tc>
          <w:tcPr>
            <w:tcW w:w="661" w:type="pct"/>
          </w:tcPr>
          <w:p w14:paraId="60CAB355" w14:textId="77777777" w:rsidR="00E57DAA" w:rsidRDefault="00AC4185">
            <w:pPr>
              <w:jc w:val="right"/>
              <w:rPr>
                <w:szCs w:val="21"/>
              </w:rPr>
            </w:pPr>
            <w:r>
              <w:t> </w:t>
            </w:r>
          </w:p>
        </w:tc>
        <w:tc>
          <w:tcPr>
            <w:tcW w:w="669" w:type="pct"/>
          </w:tcPr>
          <w:p w14:paraId="5B4EA489" w14:textId="77777777" w:rsidR="00E57DAA" w:rsidRDefault="00AC4185">
            <w:pPr>
              <w:jc w:val="right"/>
              <w:rPr>
                <w:szCs w:val="21"/>
              </w:rPr>
            </w:pPr>
            <w:r>
              <w:t>9,692,353.95</w:t>
            </w:r>
          </w:p>
        </w:tc>
      </w:tr>
      <w:tr w:rsidR="00E57DAA" w14:paraId="3C7C96FC" w14:textId="77777777">
        <w:trPr>
          <w:cantSplit/>
        </w:trPr>
        <w:tc>
          <w:tcPr>
            <w:tcW w:w="1041" w:type="pct"/>
          </w:tcPr>
          <w:p w14:paraId="084EDE66" w14:textId="77777777" w:rsidR="00E57DAA" w:rsidRDefault="00AC4185">
            <w:pPr>
              <w:rPr>
                <w:szCs w:val="21"/>
              </w:rPr>
            </w:pPr>
            <w:r>
              <w:t>淮南5万吨/年有机溶剂综合回收利用项目</w:t>
            </w:r>
          </w:p>
        </w:tc>
        <w:tc>
          <w:tcPr>
            <w:tcW w:w="661" w:type="pct"/>
          </w:tcPr>
          <w:p w14:paraId="54B692A5" w14:textId="77777777" w:rsidR="00E57DAA" w:rsidRDefault="00AC4185">
            <w:pPr>
              <w:ind w:right="105"/>
              <w:jc w:val="right"/>
              <w:rPr>
                <w:szCs w:val="21"/>
              </w:rPr>
            </w:pPr>
            <w:r>
              <w:t>8,641,270.11</w:t>
            </w:r>
          </w:p>
        </w:tc>
        <w:tc>
          <w:tcPr>
            <w:tcW w:w="661" w:type="pct"/>
          </w:tcPr>
          <w:p w14:paraId="7B24A87E" w14:textId="77777777" w:rsidR="00E57DAA" w:rsidRDefault="00AC4185">
            <w:pPr>
              <w:ind w:right="73"/>
              <w:jc w:val="right"/>
              <w:rPr>
                <w:szCs w:val="21"/>
              </w:rPr>
            </w:pPr>
            <w:r>
              <w:t> </w:t>
            </w:r>
          </w:p>
        </w:tc>
        <w:tc>
          <w:tcPr>
            <w:tcW w:w="654" w:type="pct"/>
          </w:tcPr>
          <w:p w14:paraId="4860E0D6" w14:textId="77777777" w:rsidR="00E57DAA" w:rsidRDefault="00AC4185">
            <w:pPr>
              <w:ind w:right="73"/>
              <w:jc w:val="right"/>
              <w:rPr>
                <w:szCs w:val="21"/>
              </w:rPr>
            </w:pPr>
            <w:r>
              <w:t>8,641,270.11</w:t>
            </w:r>
          </w:p>
        </w:tc>
        <w:tc>
          <w:tcPr>
            <w:tcW w:w="653" w:type="pct"/>
          </w:tcPr>
          <w:p w14:paraId="479E3D58" w14:textId="77777777" w:rsidR="00E57DAA" w:rsidRDefault="00AC4185">
            <w:pPr>
              <w:jc w:val="right"/>
              <w:rPr>
                <w:szCs w:val="21"/>
              </w:rPr>
            </w:pPr>
            <w:r>
              <w:t>7,296,440.44</w:t>
            </w:r>
          </w:p>
        </w:tc>
        <w:tc>
          <w:tcPr>
            <w:tcW w:w="661" w:type="pct"/>
          </w:tcPr>
          <w:p w14:paraId="1CA43D60" w14:textId="77777777" w:rsidR="00E57DAA" w:rsidRDefault="00AC4185">
            <w:pPr>
              <w:jc w:val="right"/>
              <w:rPr>
                <w:szCs w:val="21"/>
              </w:rPr>
            </w:pPr>
            <w:r>
              <w:t> </w:t>
            </w:r>
          </w:p>
        </w:tc>
        <w:tc>
          <w:tcPr>
            <w:tcW w:w="669" w:type="pct"/>
          </w:tcPr>
          <w:p w14:paraId="63D34EA2" w14:textId="77777777" w:rsidR="00E57DAA" w:rsidRDefault="00AC4185">
            <w:pPr>
              <w:jc w:val="right"/>
              <w:rPr>
                <w:szCs w:val="21"/>
              </w:rPr>
            </w:pPr>
            <w:r>
              <w:t>7,296,440.44</w:t>
            </w:r>
          </w:p>
        </w:tc>
      </w:tr>
      <w:tr w:rsidR="00E57DAA" w14:paraId="39FF4503" w14:textId="77777777">
        <w:trPr>
          <w:cantSplit/>
        </w:trPr>
        <w:tc>
          <w:tcPr>
            <w:tcW w:w="1041" w:type="pct"/>
          </w:tcPr>
          <w:p w14:paraId="12B91E3C" w14:textId="77777777" w:rsidR="00E57DAA" w:rsidRDefault="00AC4185">
            <w:pPr>
              <w:rPr>
                <w:szCs w:val="21"/>
              </w:rPr>
            </w:pPr>
            <w:r>
              <w:t>德国厂房屋顶翻新</w:t>
            </w:r>
          </w:p>
        </w:tc>
        <w:tc>
          <w:tcPr>
            <w:tcW w:w="661" w:type="pct"/>
          </w:tcPr>
          <w:p w14:paraId="62C9B1B8" w14:textId="77777777" w:rsidR="00E57DAA" w:rsidRDefault="00AC4185">
            <w:pPr>
              <w:ind w:right="105"/>
              <w:jc w:val="right"/>
              <w:rPr>
                <w:szCs w:val="21"/>
              </w:rPr>
            </w:pPr>
            <w:r>
              <w:t> </w:t>
            </w:r>
          </w:p>
        </w:tc>
        <w:tc>
          <w:tcPr>
            <w:tcW w:w="661" w:type="pct"/>
          </w:tcPr>
          <w:p w14:paraId="6EB3DC72" w14:textId="77777777" w:rsidR="00E57DAA" w:rsidRDefault="00AC4185">
            <w:pPr>
              <w:ind w:right="73"/>
              <w:jc w:val="right"/>
              <w:rPr>
                <w:szCs w:val="21"/>
              </w:rPr>
            </w:pPr>
            <w:r>
              <w:t> </w:t>
            </w:r>
          </w:p>
        </w:tc>
        <w:tc>
          <w:tcPr>
            <w:tcW w:w="654" w:type="pct"/>
          </w:tcPr>
          <w:p w14:paraId="051D043E" w14:textId="77777777" w:rsidR="00E57DAA" w:rsidRDefault="00AC4185">
            <w:pPr>
              <w:ind w:right="73"/>
              <w:jc w:val="right"/>
              <w:rPr>
                <w:szCs w:val="21"/>
              </w:rPr>
            </w:pPr>
            <w:r>
              <w:t> </w:t>
            </w:r>
          </w:p>
        </w:tc>
        <w:tc>
          <w:tcPr>
            <w:tcW w:w="653" w:type="pct"/>
          </w:tcPr>
          <w:p w14:paraId="453877B2" w14:textId="77777777" w:rsidR="00E57DAA" w:rsidRDefault="00AC4185">
            <w:pPr>
              <w:jc w:val="right"/>
              <w:rPr>
                <w:szCs w:val="21"/>
              </w:rPr>
            </w:pPr>
            <w:r>
              <w:t>6,946,224.82</w:t>
            </w:r>
          </w:p>
        </w:tc>
        <w:tc>
          <w:tcPr>
            <w:tcW w:w="661" w:type="pct"/>
          </w:tcPr>
          <w:p w14:paraId="2254B1D8" w14:textId="77777777" w:rsidR="00E57DAA" w:rsidRDefault="00AC4185">
            <w:pPr>
              <w:jc w:val="right"/>
              <w:rPr>
                <w:szCs w:val="21"/>
              </w:rPr>
            </w:pPr>
            <w:r>
              <w:t> </w:t>
            </w:r>
          </w:p>
        </w:tc>
        <w:tc>
          <w:tcPr>
            <w:tcW w:w="669" w:type="pct"/>
          </w:tcPr>
          <w:p w14:paraId="26377E91" w14:textId="77777777" w:rsidR="00E57DAA" w:rsidRDefault="00AC4185">
            <w:pPr>
              <w:jc w:val="right"/>
              <w:rPr>
                <w:szCs w:val="21"/>
              </w:rPr>
            </w:pPr>
            <w:r>
              <w:t>6,946,224.82</w:t>
            </w:r>
          </w:p>
        </w:tc>
      </w:tr>
      <w:tr w:rsidR="00E57DAA" w14:paraId="7FC63133" w14:textId="77777777">
        <w:trPr>
          <w:cantSplit/>
        </w:trPr>
        <w:tc>
          <w:tcPr>
            <w:tcW w:w="1041" w:type="pct"/>
          </w:tcPr>
          <w:p w14:paraId="110750BF" w14:textId="77777777" w:rsidR="00E57DAA" w:rsidRDefault="00AC4185">
            <w:pPr>
              <w:rPr>
                <w:szCs w:val="21"/>
              </w:rPr>
            </w:pPr>
            <w:r>
              <w:t>本部南京汉中路209号外立面</w:t>
            </w:r>
            <w:r>
              <w:rPr>
                <w:rFonts w:hint="eastAsia"/>
              </w:rPr>
              <w:t>翻新</w:t>
            </w:r>
          </w:p>
        </w:tc>
        <w:tc>
          <w:tcPr>
            <w:tcW w:w="661" w:type="pct"/>
          </w:tcPr>
          <w:p w14:paraId="60B15BE4" w14:textId="77777777" w:rsidR="00E57DAA" w:rsidRDefault="00AC4185">
            <w:pPr>
              <w:ind w:right="105"/>
              <w:jc w:val="right"/>
              <w:rPr>
                <w:szCs w:val="21"/>
              </w:rPr>
            </w:pPr>
            <w:r>
              <w:t> </w:t>
            </w:r>
          </w:p>
        </w:tc>
        <w:tc>
          <w:tcPr>
            <w:tcW w:w="661" w:type="pct"/>
          </w:tcPr>
          <w:p w14:paraId="0F1F35FD" w14:textId="77777777" w:rsidR="00E57DAA" w:rsidRDefault="00AC4185">
            <w:pPr>
              <w:ind w:right="73"/>
              <w:jc w:val="right"/>
              <w:rPr>
                <w:szCs w:val="21"/>
              </w:rPr>
            </w:pPr>
            <w:r>
              <w:t> </w:t>
            </w:r>
          </w:p>
        </w:tc>
        <w:tc>
          <w:tcPr>
            <w:tcW w:w="654" w:type="pct"/>
          </w:tcPr>
          <w:p w14:paraId="3B66DD90" w14:textId="77777777" w:rsidR="00E57DAA" w:rsidRDefault="00AC4185">
            <w:pPr>
              <w:ind w:right="73"/>
              <w:jc w:val="right"/>
              <w:rPr>
                <w:szCs w:val="21"/>
              </w:rPr>
            </w:pPr>
            <w:r>
              <w:t> </w:t>
            </w:r>
          </w:p>
        </w:tc>
        <w:tc>
          <w:tcPr>
            <w:tcW w:w="653" w:type="pct"/>
          </w:tcPr>
          <w:p w14:paraId="744EAF0E" w14:textId="77777777" w:rsidR="00E57DAA" w:rsidRDefault="00AC4185">
            <w:pPr>
              <w:jc w:val="right"/>
              <w:rPr>
                <w:szCs w:val="21"/>
              </w:rPr>
            </w:pPr>
            <w:r>
              <w:t>4,849,141.61</w:t>
            </w:r>
          </w:p>
        </w:tc>
        <w:tc>
          <w:tcPr>
            <w:tcW w:w="661" w:type="pct"/>
          </w:tcPr>
          <w:p w14:paraId="099EB2D0" w14:textId="77777777" w:rsidR="00E57DAA" w:rsidRDefault="00AC4185">
            <w:pPr>
              <w:jc w:val="right"/>
              <w:rPr>
                <w:szCs w:val="21"/>
              </w:rPr>
            </w:pPr>
            <w:r>
              <w:t> </w:t>
            </w:r>
          </w:p>
        </w:tc>
        <w:tc>
          <w:tcPr>
            <w:tcW w:w="669" w:type="pct"/>
          </w:tcPr>
          <w:p w14:paraId="283E7974" w14:textId="77777777" w:rsidR="00E57DAA" w:rsidRDefault="00AC4185">
            <w:pPr>
              <w:jc w:val="right"/>
              <w:rPr>
                <w:szCs w:val="21"/>
              </w:rPr>
            </w:pPr>
            <w:r>
              <w:t>4,849,141.61</w:t>
            </w:r>
          </w:p>
        </w:tc>
      </w:tr>
      <w:tr w:rsidR="00E57DAA" w14:paraId="7BD80EBB" w14:textId="77777777">
        <w:trPr>
          <w:cantSplit/>
        </w:trPr>
        <w:tc>
          <w:tcPr>
            <w:tcW w:w="1041" w:type="pct"/>
          </w:tcPr>
          <w:p w14:paraId="715A7E77" w14:textId="77777777" w:rsidR="00E57DAA" w:rsidRDefault="00AC4185">
            <w:pPr>
              <w:rPr>
                <w:szCs w:val="21"/>
              </w:rPr>
            </w:pPr>
            <w:r>
              <w:t>三楼重新装修</w:t>
            </w:r>
          </w:p>
        </w:tc>
        <w:tc>
          <w:tcPr>
            <w:tcW w:w="661" w:type="pct"/>
          </w:tcPr>
          <w:p w14:paraId="37B28EB2" w14:textId="77777777" w:rsidR="00E57DAA" w:rsidRDefault="00AC4185">
            <w:pPr>
              <w:ind w:right="105"/>
              <w:jc w:val="right"/>
              <w:rPr>
                <w:szCs w:val="21"/>
              </w:rPr>
            </w:pPr>
            <w:r>
              <w:t> </w:t>
            </w:r>
          </w:p>
        </w:tc>
        <w:tc>
          <w:tcPr>
            <w:tcW w:w="661" w:type="pct"/>
          </w:tcPr>
          <w:p w14:paraId="5819190E" w14:textId="77777777" w:rsidR="00E57DAA" w:rsidRDefault="00AC4185">
            <w:pPr>
              <w:ind w:right="73"/>
              <w:jc w:val="right"/>
              <w:rPr>
                <w:szCs w:val="21"/>
              </w:rPr>
            </w:pPr>
            <w:r>
              <w:t> </w:t>
            </w:r>
          </w:p>
        </w:tc>
        <w:tc>
          <w:tcPr>
            <w:tcW w:w="654" w:type="pct"/>
          </w:tcPr>
          <w:p w14:paraId="55E3187C" w14:textId="77777777" w:rsidR="00E57DAA" w:rsidRDefault="00AC4185">
            <w:pPr>
              <w:ind w:right="73"/>
              <w:jc w:val="right"/>
              <w:rPr>
                <w:szCs w:val="21"/>
              </w:rPr>
            </w:pPr>
            <w:r>
              <w:t> </w:t>
            </w:r>
          </w:p>
        </w:tc>
        <w:tc>
          <w:tcPr>
            <w:tcW w:w="653" w:type="pct"/>
          </w:tcPr>
          <w:p w14:paraId="042F2431" w14:textId="77777777" w:rsidR="00E57DAA" w:rsidRDefault="00AC4185">
            <w:pPr>
              <w:jc w:val="right"/>
              <w:rPr>
                <w:szCs w:val="21"/>
              </w:rPr>
            </w:pPr>
            <w:r>
              <w:t>4,693,289.63</w:t>
            </w:r>
          </w:p>
        </w:tc>
        <w:tc>
          <w:tcPr>
            <w:tcW w:w="661" w:type="pct"/>
          </w:tcPr>
          <w:p w14:paraId="1F8C28CB" w14:textId="77777777" w:rsidR="00E57DAA" w:rsidRDefault="00AC4185">
            <w:pPr>
              <w:jc w:val="right"/>
              <w:rPr>
                <w:szCs w:val="21"/>
              </w:rPr>
            </w:pPr>
            <w:r>
              <w:t> </w:t>
            </w:r>
          </w:p>
        </w:tc>
        <w:tc>
          <w:tcPr>
            <w:tcW w:w="669" w:type="pct"/>
          </w:tcPr>
          <w:p w14:paraId="5F05C80A" w14:textId="77777777" w:rsidR="00E57DAA" w:rsidRDefault="00AC4185">
            <w:pPr>
              <w:jc w:val="right"/>
              <w:rPr>
                <w:szCs w:val="21"/>
              </w:rPr>
            </w:pPr>
            <w:r>
              <w:t>4,693,289.63</w:t>
            </w:r>
          </w:p>
        </w:tc>
      </w:tr>
      <w:tr w:rsidR="00E57DAA" w14:paraId="0F854BC4" w14:textId="77777777">
        <w:trPr>
          <w:cantSplit/>
        </w:trPr>
        <w:tc>
          <w:tcPr>
            <w:tcW w:w="1041" w:type="pct"/>
          </w:tcPr>
          <w:p w14:paraId="2ABA19BD" w14:textId="77777777" w:rsidR="00E57DAA" w:rsidRDefault="00AC4185">
            <w:pPr>
              <w:rPr>
                <w:szCs w:val="21"/>
              </w:rPr>
            </w:pPr>
            <w:r>
              <w:t>中都辊压机及热工装备生产线</w:t>
            </w:r>
          </w:p>
        </w:tc>
        <w:tc>
          <w:tcPr>
            <w:tcW w:w="661" w:type="pct"/>
          </w:tcPr>
          <w:p w14:paraId="407A409A" w14:textId="77777777" w:rsidR="00E57DAA" w:rsidRDefault="00AC4185">
            <w:pPr>
              <w:ind w:right="105"/>
              <w:jc w:val="right"/>
              <w:rPr>
                <w:szCs w:val="21"/>
              </w:rPr>
            </w:pPr>
            <w:r>
              <w:t>3,787,610.80</w:t>
            </w:r>
          </w:p>
        </w:tc>
        <w:tc>
          <w:tcPr>
            <w:tcW w:w="661" w:type="pct"/>
          </w:tcPr>
          <w:p w14:paraId="2D0D1EBA" w14:textId="77777777" w:rsidR="00E57DAA" w:rsidRDefault="00AC4185">
            <w:pPr>
              <w:ind w:right="73"/>
              <w:jc w:val="right"/>
              <w:rPr>
                <w:szCs w:val="21"/>
              </w:rPr>
            </w:pPr>
            <w:r>
              <w:t> </w:t>
            </w:r>
          </w:p>
        </w:tc>
        <w:tc>
          <w:tcPr>
            <w:tcW w:w="654" w:type="pct"/>
          </w:tcPr>
          <w:p w14:paraId="6B6083AF" w14:textId="77777777" w:rsidR="00E57DAA" w:rsidRDefault="00AC4185">
            <w:pPr>
              <w:ind w:right="73"/>
              <w:jc w:val="right"/>
              <w:rPr>
                <w:szCs w:val="21"/>
              </w:rPr>
            </w:pPr>
            <w:r>
              <w:t>3,787,610.80</w:t>
            </w:r>
          </w:p>
        </w:tc>
        <w:tc>
          <w:tcPr>
            <w:tcW w:w="653" w:type="pct"/>
          </w:tcPr>
          <w:p w14:paraId="70A8C0AA" w14:textId="77777777" w:rsidR="00E57DAA" w:rsidRDefault="00AC4185">
            <w:pPr>
              <w:jc w:val="right"/>
              <w:rPr>
                <w:szCs w:val="21"/>
              </w:rPr>
            </w:pPr>
            <w:r>
              <w:t>3,787,610.80</w:t>
            </w:r>
          </w:p>
        </w:tc>
        <w:tc>
          <w:tcPr>
            <w:tcW w:w="661" w:type="pct"/>
          </w:tcPr>
          <w:p w14:paraId="14F42FC6" w14:textId="77777777" w:rsidR="00E57DAA" w:rsidRDefault="00AC4185">
            <w:pPr>
              <w:jc w:val="right"/>
              <w:rPr>
                <w:szCs w:val="21"/>
              </w:rPr>
            </w:pPr>
            <w:r>
              <w:t> </w:t>
            </w:r>
          </w:p>
        </w:tc>
        <w:tc>
          <w:tcPr>
            <w:tcW w:w="669" w:type="pct"/>
          </w:tcPr>
          <w:p w14:paraId="76D975B3" w14:textId="77777777" w:rsidR="00E57DAA" w:rsidRDefault="00AC4185">
            <w:pPr>
              <w:jc w:val="right"/>
              <w:rPr>
                <w:szCs w:val="21"/>
              </w:rPr>
            </w:pPr>
            <w:r>
              <w:t>3,787,610.80</w:t>
            </w:r>
          </w:p>
        </w:tc>
      </w:tr>
      <w:tr w:rsidR="00E57DAA" w14:paraId="729D2FF6" w14:textId="77777777">
        <w:trPr>
          <w:cantSplit/>
        </w:trPr>
        <w:tc>
          <w:tcPr>
            <w:tcW w:w="1041" w:type="pct"/>
          </w:tcPr>
          <w:p w14:paraId="07B85BDF" w14:textId="77777777" w:rsidR="00E57DAA" w:rsidRDefault="00AC4185">
            <w:pPr>
              <w:rPr>
                <w:szCs w:val="21"/>
              </w:rPr>
            </w:pPr>
            <w:r>
              <w:rPr>
                <w:rFonts w:hint="eastAsia"/>
              </w:rPr>
              <w:t>项目远程管理云服务平台项目</w:t>
            </w:r>
          </w:p>
        </w:tc>
        <w:tc>
          <w:tcPr>
            <w:tcW w:w="661" w:type="pct"/>
          </w:tcPr>
          <w:p w14:paraId="46A9404B" w14:textId="77777777" w:rsidR="00E57DAA" w:rsidRDefault="00AC4185">
            <w:pPr>
              <w:ind w:right="105"/>
              <w:jc w:val="right"/>
              <w:rPr>
                <w:szCs w:val="21"/>
              </w:rPr>
            </w:pPr>
            <w:r>
              <w:t> </w:t>
            </w:r>
          </w:p>
        </w:tc>
        <w:tc>
          <w:tcPr>
            <w:tcW w:w="661" w:type="pct"/>
          </w:tcPr>
          <w:p w14:paraId="6614659F" w14:textId="77777777" w:rsidR="00E57DAA" w:rsidRDefault="00AC4185">
            <w:pPr>
              <w:ind w:right="73"/>
              <w:jc w:val="right"/>
              <w:rPr>
                <w:szCs w:val="21"/>
              </w:rPr>
            </w:pPr>
            <w:r>
              <w:t> </w:t>
            </w:r>
          </w:p>
        </w:tc>
        <w:tc>
          <w:tcPr>
            <w:tcW w:w="654" w:type="pct"/>
          </w:tcPr>
          <w:p w14:paraId="378B5F93" w14:textId="77777777" w:rsidR="00E57DAA" w:rsidRDefault="00AC4185">
            <w:pPr>
              <w:ind w:right="73"/>
              <w:jc w:val="right"/>
              <w:rPr>
                <w:szCs w:val="21"/>
              </w:rPr>
            </w:pPr>
            <w:r>
              <w:t> </w:t>
            </w:r>
          </w:p>
        </w:tc>
        <w:tc>
          <w:tcPr>
            <w:tcW w:w="653" w:type="pct"/>
          </w:tcPr>
          <w:p w14:paraId="78DE69EF" w14:textId="77777777" w:rsidR="00E57DAA" w:rsidRDefault="00AC4185">
            <w:pPr>
              <w:jc w:val="right"/>
              <w:rPr>
                <w:szCs w:val="21"/>
              </w:rPr>
            </w:pPr>
            <w:r>
              <w:t>3,392,291.28</w:t>
            </w:r>
          </w:p>
        </w:tc>
        <w:tc>
          <w:tcPr>
            <w:tcW w:w="661" w:type="pct"/>
          </w:tcPr>
          <w:p w14:paraId="0792E65F" w14:textId="77777777" w:rsidR="00E57DAA" w:rsidRDefault="00AC4185">
            <w:pPr>
              <w:jc w:val="right"/>
              <w:rPr>
                <w:szCs w:val="21"/>
              </w:rPr>
            </w:pPr>
            <w:r>
              <w:t> </w:t>
            </w:r>
          </w:p>
        </w:tc>
        <w:tc>
          <w:tcPr>
            <w:tcW w:w="669" w:type="pct"/>
          </w:tcPr>
          <w:p w14:paraId="299C7765" w14:textId="77777777" w:rsidR="00E57DAA" w:rsidRDefault="00AC4185">
            <w:pPr>
              <w:jc w:val="right"/>
              <w:rPr>
                <w:szCs w:val="21"/>
              </w:rPr>
            </w:pPr>
            <w:r>
              <w:t>3,392,291.28</w:t>
            </w:r>
          </w:p>
        </w:tc>
      </w:tr>
      <w:tr w:rsidR="00E57DAA" w14:paraId="4E7B8787" w14:textId="77777777">
        <w:trPr>
          <w:cantSplit/>
        </w:trPr>
        <w:tc>
          <w:tcPr>
            <w:tcW w:w="1041" w:type="pct"/>
          </w:tcPr>
          <w:p w14:paraId="1345DB25" w14:textId="77777777" w:rsidR="00E57DAA" w:rsidRDefault="00AC4185">
            <w:pPr>
              <w:rPr>
                <w:szCs w:val="21"/>
              </w:rPr>
            </w:pPr>
            <w:r>
              <w:t>提升机生产车间厂房设备</w:t>
            </w:r>
          </w:p>
        </w:tc>
        <w:tc>
          <w:tcPr>
            <w:tcW w:w="661" w:type="pct"/>
          </w:tcPr>
          <w:p w14:paraId="79F4C7C5" w14:textId="77777777" w:rsidR="00E57DAA" w:rsidRDefault="00AC4185">
            <w:pPr>
              <w:ind w:right="105"/>
              <w:jc w:val="right"/>
              <w:rPr>
                <w:szCs w:val="21"/>
              </w:rPr>
            </w:pPr>
            <w:r>
              <w:t>14,079,292.04</w:t>
            </w:r>
          </w:p>
        </w:tc>
        <w:tc>
          <w:tcPr>
            <w:tcW w:w="661" w:type="pct"/>
          </w:tcPr>
          <w:p w14:paraId="3EA0CCA6" w14:textId="77777777" w:rsidR="00E57DAA" w:rsidRDefault="00AC4185">
            <w:pPr>
              <w:ind w:right="73"/>
              <w:jc w:val="right"/>
              <w:rPr>
                <w:szCs w:val="21"/>
              </w:rPr>
            </w:pPr>
            <w:r>
              <w:t> </w:t>
            </w:r>
          </w:p>
        </w:tc>
        <w:tc>
          <w:tcPr>
            <w:tcW w:w="654" w:type="pct"/>
          </w:tcPr>
          <w:p w14:paraId="39D7CE5A" w14:textId="77777777" w:rsidR="00E57DAA" w:rsidRDefault="00AC4185">
            <w:pPr>
              <w:ind w:right="73"/>
              <w:jc w:val="right"/>
              <w:rPr>
                <w:szCs w:val="21"/>
              </w:rPr>
            </w:pPr>
            <w:r>
              <w:t>14,079,292.04</w:t>
            </w:r>
          </w:p>
        </w:tc>
        <w:tc>
          <w:tcPr>
            <w:tcW w:w="653" w:type="pct"/>
          </w:tcPr>
          <w:p w14:paraId="27142891" w14:textId="77777777" w:rsidR="00E57DAA" w:rsidRDefault="00AC4185">
            <w:pPr>
              <w:jc w:val="right"/>
              <w:rPr>
                <w:szCs w:val="21"/>
              </w:rPr>
            </w:pPr>
            <w:r>
              <w:t> </w:t>
            </w:r>
          </w:p>
        </w:tc>
        <w:tc>
          <w:tcPr>
            <w:tcW w:w="661" w:type="pct"/>
          </w:tcPr>
          <w:p w14:paraId="4B64FC4C" w14:textId="77777777" w:rsidR="00E57DAA" w:rsidRDefault="00AC4185">
            <w:pPr>
              <w:jc w:val="right"/>
              <w:rPr>
                <w:szCs w:val="21"/>
              </w:rPr>
            </w:pPr>
            <w:r>
              <w:t> </w:t>
            </w:r>
          </w:p>
        </w:tc>
        <w:tc>
          <w:tcPr>
            <w:tcW w:w="669" w:type="pct"/>
          </w:tcPr>
          <w:p w14:paraId="7C2FBD3B" w14:textId="77777777" w:rsidR="00E57DAA" w:rsidRDefault="00AC4185">
            <w:pPr>
              <w:jc w:val="right"/>
              <w:rPr>
                <w:szCs w:val="21"/>
              </w:rPr>
            </w:pPr>
            <w:r>
              <w:t> </w:t>
            </w:r>
          </w:p>
        </w:tc>
      </w:tr>
      <w:tr w:rsidR="00E57DAA" w14:paraId="745A8617" w14:textId="77777777">
        <w:trPr>
          <w:cantSplit/>
        </w:trPr>
        <w:tc>
          <w:tcPr>
            <w:tcW w:w="1041" w:type="pct"/>
          </w:tcPr>
          <w:p w14:paraId="740B3310" w14:textId="77777777" w:rsidR="00E57DAA" w:rsidRDefault="00AC4185">
            <w:pPr>
              <w:rPr>
                <w:szCs w:val="21"/>
              </w:rPr>
            </w:pPr>
            <w:r>
              <w:t>租赁办公室装修工程</w:t>
            </w:r>
          </w:p>
        </w:tc>
        <w:tc>
          <w:tcPr>
            <w:tcW w:w="661" w:type="pct"/>
          </w:tcPr>
          <w:p w14:paraId="6CB2D1AA" w14:textId="77777777" w:rsidR="00E57DAA" w:rsidRDefault="00AC4185">
            <w:pPr>
              <w:ind w:right="105"/>
              <w:jc w:val="right"/>
              <w:rPr>
                <w:szCs w:val="21"/>
              </w:rPr>
            </w:pPr>
            <w:r>
              <w:t>12,781,079.44</w:t>
            </w:r>
          </w:p>
        </w:tc>
        <w:tc>
          <w:tcPr>
            <w:tcW w:w="661" w:type="pct"/>
          </w:tcPr>
          <w:p w14:paraId="2322537B" w14:textId="77777777" w:rsidR="00E57DAA" w:rsidRDefault="00AC4185">
            <w:pPr>
              <w:ind w:right="73"/>
              <w:jc w:val="right"/>
              <w:rPr>
                <w:szCs w:val="21"/>
              </w:rPr>
            </w:pPr>
            <w:r>
              <w:t> </w:t>
            </w:r>
          </w:p>
        </w:tc>
        <w:tc>
          <w:tcPr>
            <w:tcW w:w="654" w:type="pct"/>
          </w:tcPr>
          <w:p w14:paraId="76E95EBC" w14:textId="77777777" w:rsidR="00E57DAA" w:rsidRDefault="00AC4185">
            <w:pPr>
              <w:ind w:right="73"/>
              <w:jc w:val="right"/>
              <w:rPr>
                <w:szCs w:val="21"/>
              </w:rPr>
            </w:pPr>
            <w:r>
              <w:t>12,781,079.44</w:t>
            </w:r>
          </w:p>
        </w:tc>
        <w:tc>
          <w:tcPr>
            <w:tcW w:w="653" w:type="pct"/>
          </w:tcPr>
          <w:p w14:paraId="71E45651" w14:textId="77777777" w:rsidR="00E57DAA" w:rsidRDefault="00AC4185">
            <w:pPr>
              <w:jc w:val="right"/>
              <w:rPr>
                <w:szCs w:val="21"/>
              </w:rPr>
            </w:pPr>
            <w:r>
              <w:t> </w:t>
            </w:r>
          </w:p>
        </w:tc>
        <w:tc>
          <w:tcPr>
            <w:tcW w:w="661" w:type="pct"/>
          </w:tcPr>
          <w:p w14:paraId="5FD063B9" w14:textId="77777777" w:rsidR="00E57DAA" w:rsidRDefault="00AC4185">
            <w:pPr>
              <w:jc w:val="right"/>
              <w:rPr>
                <w:szCs w:val="21"/>
              </w:rPr>
            </w:pPr>
            <w:r>
              <w:t> </w:t>
            </w:r>
          </w:p>
        </w:tc>
        <w:tc>
          <w:tcPr>
            <w:tcW w:w="669" w:type="pct"/>
          </w:tcPr>
          <w:p w14:paraId="588EAB9D" w14:textId="77777777" w:rsidR="00E57DAA" w:rsidRDefault="00AC4185">
            <w:pPr>
              <w:jc w:val="right"/>
              <w:rPr>
                <w:szCs w:val="21"/>
              </w:rPr>
            </w:pPr>
            <w:r>
              <w:t> </w:t>
            </w:r>
          </w:p>
        </w:tc>
      </w:tr>
      <w:tr w:rsidR="00E57DAA" w14:paraId="6CED71AC" w14:textId="77777777">
        <w:trPr>
          <w:cantSplit/>
        </w:trPr>
        <w:tc>
          <w:tcPr>
            <w:tcW w:w="1041" w:type="pct"/>
          </w:tcPr>
          <w:p w14:paraId="4FD71B50" w14:textId="77777777" w:rsidR="00E57DAA" w:rsidRDefault="00AC4185">
            <w:pPr>
              <w:rPr>
                <w:szCs w:val="21"/>
              </w:rPr>
            </w:pPr>
            <w:r>
              <w:t>矿山开采服务项目驻地临时设施建设</w:t>
            </w:r>
          </w:p>
        </w:tc>
        <w:tc>
          <w:tcPr>
            <w:tcW w:w="661" w:type="pct"/>
          </w:tcPr>
          <w:p w14:paraId="0A3FA8C1" w14:textId="77777777" w:rsidR="00E57DAA" w:rsidRDefault="00AC4185">
            <w:pPr>
              <w:ind w:right="105"/>
              <w:jc w:val="right"/>
              <w:rPr>
                <w:szCs w:val="21"/>
              </w:rPr>
            </w:pPr>
            <w:r>
              <w:t>11,846,775.66</w:t>
            </w:r>
          </w:p>
        </w:tc>
        <w:tc>
          <w:tcPr>
            <w:tcW w:w="661" w:type="pct"/>
          </w:tcPr>
          <w:p w14:paraId="47399BAD" w14:textId="77777777" w:rsidR="00E57DAA" w:rsidRDefault="00AC4185">
            <w:pPr>
              <w:ind w:right="73"/>
              <w:jc w:val="right"/>
              <w:rPr>
                <w:szCs w:val="21"/>
              </w:rPr>
            </w:pPr>
            <w:r>
              <w:t> </w:t>
            </w:r>
          </w:p>
        </w:tc>
        <w:tc>
          <w:tcPr>
            <w:tcW w:w="654" w:type="pct"/>
          </w:tcPr>
          <w:p w14:paraId="08161218" w14:textId="77777777" w:rsidR="00E57DAA" w:rsidRDefault="00AC4185">
            <w:pPr>
              <w:ind w:right="73"/>
              <w:jc w:val="right"/>
              <w:rPr>
                <w:szCs w:val="21"/>
              </w:rPr>
            </w:pPr>
            <w:r>
              <w:t>11,846,775.66</w:t>
            </w:r>
          </w:p>
        </w:tc>
        <w:tc>
          <w:tcPr>
            <w:tcW w:w="653" w:type="pct"/>
          </w:tcPr>
          <w:p w14:paraId="51C0D8D1" w14:textId="77777777" w:rsidR="00E57DAA" w:rsidRDefault="00AC4185">
            <w:pPr>
              <w:jc w:val="right"/>
              <w:rPr>
                <w:szCs w:val="21"/>
              </w:rPr>
            </w:pPr>
            <w:r>
              <w:t> </w:t>
            </w:r>
          </w:p>
        </w:tc>
        <w:tc>
          <w:tcPr>
            <w:tcW w:w="661" w:type="pct"/>
          </w:tcPr>
          <w:p w14:paraId="6E4AA94F" w14:textId="77777777" w:rsidR="00E57DAA" w:rsidRDefault="00AC4185">
            <w:pPr>
              <w:jc w:val="right"/>
              <w:rPr>
                <w:szCs w:val="21"/>
              </w:rPr>
            </w:pPr>
            <w:r>
              <w:t> </w:t>
            </w:r>
          </w:p>
        </w:tc>
        <w:tc>
          <w:tcPr>
            <w:tcW w:w="669" w:type="pct"/>
          </w:tcPr>
          <w:p w14:paraId="414E1E4E" w14:textId="77777777" w:rsidR="00E57DAA" w:rsidRDefault="00AC4185">
            <w:pPr>
              <w:jc w:val="right"/>
              <w:rPr>
                <w:szCs w:val="21"/>
              </w:rPr>
            </w:pPr>
            <w:r>
              <w:t> </w:t>
            </w:r>
          </w:p>
        </w:tc>
      </w:tr>
      <w:tr w:rsidR="00E57DAA" w14:paraId="5E7AFFE5" w14:textId="77777777">
        <w:trPr>
          <w:cantSplit/>
        </w:trPr>
        <w:tc>
          <w:tcPr>
            <w:tcW w:w="1041" w:type="pct"/>
          </w:tcPr>
          <w:p w14:paraId="6C2EBD6E" w14:textId="77777777" w:rsidR="00E57DAA" w:rsidRDefault="00AC4185">
            <w:r>
              <w:lastRenderedPageBreak/>
              <w:t>屋面系统生产线工程建设项目</w:t>
            </w:r>
          </w:p>
        </w:tc>
        <w:tc>
          <w:tcPr>
            <w:tcW w:w="661" w:type="pct"/>
          </w:tcPr>
          <w:p w14:paraId="58261F2B" w14:textId="77777777" w:rsidR="00E57DAA" w:rsidRDefault="00AC4185">
            <w:pPr>
              <w:ind w:right="105"/>
              <w:jc w:val="right"/>
            </w:pPr>
            <w:r>
              <w:t>4,867,688.23</w:t>
            </w:r>
          </w:p>
        </w:tc>
        <w:tc>
          <w:tcPr>
            <w:tcW w:w="661" w:type="pct"/>
          </w:tcPr>
          <w:p w14:paraId="4986985A" w14:textId="77777777" w:rsidR="00E57DAA" w:rsidRDefault="00AC4185">
            <w:pPr>
              <w:ind w:right="73"/>
              <w:jc w:val="right"/>
            </w:pPr>
            <w:r>
              <w:t> </w:t>
            </w:r>
          </w:p>
        </w:tc>
        <w:tc>
          <w:tcPr>
            <w:tcW w:w="654" w:type="pct"/>
          </w:tcPr>
          <w:p w14:paraId="4B8F8578" w14:textId="77777777" w:rsidR="00E57DAA" w:rsidRDefault="00AC4185">
            <w:pPr>
              <w:ind w:right="73"/>
              <w:jc w:val="right"/>
            </w:pPr>
            <w:r>
              <w:t>4,867,688.23</w:t>
            </w:r>
          </w:p>
        </w:tc>
        <w:tc>
          <w:tcPr>
            <w:tcW w:w="653" w:type="pct"/>
          </w:tcPr>
          <w:p w14:paraId="5C001F17" w14:textId="77777777" w:rsidR="00E57DAA" w:rsidRDefault="00E57DAA">
            <w:pPr>
              <w:jc w:val="right"/>
            </w:pPr>
          </w:p>
        </w:tc>
        <w:tc>
          <w:tcPr>
            <w:tcW w:w="661" w:type="pct"/>
          </w:tcPr>
          <w:p w14:paraId="0BB58EAC" w14:textId="77777777" w:rsidR="00E57DAA" w:rsidRDefault="00E57DAA">
            <w:pPr>
              <w:jc w:val="right"/>
            </w:pPr>
          </w:p>
        </w:tc>
        <w:tc>
          <w:tcPr>
            <w:tcW w:w="669" w:type="pct"/>
          </w:tcPr>
          <w:p w14:paraId="4F2F23BE" w14:textId="77777777" w:rsidR="00E57DAA" w:rsidRDefault="00E57DAA">
            <w:pPr>
              <w:jc w:val="right"/>
            </w:pPr>
          </w:p>
        </w:tc>
      </w:tr>
      <w:tr w:rsidR="00E57DAA" w14:paraId="32500D4D" w14:textId="77777777">
        <w:trPr>
          <w:cantSplit/>
        </w:trPr>
        <w:tc>
          <w:tcPr>
            <w:tcW w:w="1041" w:type="pct"/>
          </w:tcPr>
          <w:p w14:paraId="2FB7E629" w14:textId="77777777" w:rsidR="00E57DAA" w:rsidRDefault="00AC4185">
            <w:r>
              <w:t>5台待安装牵引车</w:t>
            </w:r>
          </w:p>
        </w:tc>
        <w:tc>
          <w:tcPr>
            <w:tcW w:w="661" w:type="pct"/>
          </w:tcPr>
          <w:p w14:paraId="3D0570F0" w14:textId="77777777" w:rsidR="00E57DAA" w:rsidRDefault="00AC4185">
            <w:pPr>
              <w:ind w:right="105"/>
              <w:jc w:val="right"/>
            </w:pPr>
            <w:r>
              <w:t>3,671,129.18</w:t>
            </w:r>
          </w:p>
        </w:tc>
        <w:tc>
          <w:tcPr>
            <w:tcW w:w="661" w:type="pct"/>
          </w:tcPr>
          <w:p w14:paraId="14CA69F4" w14:textId="77777777" w:rsidR="00E57DAA" w:rsidRDefault="00AC4185">
            <w:pPr>
              <w:ind w:right="73"/>
              <w:jc w:val="right"/>
            </w:pPr>
            <w:r>
              <w:t> </w:t>
            </w:r>
          </w:p>
        </w:tc>
        <w:tc>
          <w:tcPr>
            <w:tcW w:w="654" w:type="pct"/>
          </w:tcPr>
          <w:p w14:paraId="344F630C" w14:textId="77777777" w:rsidR="00E57DAA" w:rsidRDefault="00AC4185">
            <w:pPr>
              <w:ind w:right="73"/>
              <w:jc w:val="right"/>
            </w:pPr>
            <w:r>
              <w:t>3,671,129.18</w:t>
            </w:r>
          </w:p>
        </w:tc>
        <w:tc>
          <w:tcPr>
            <w:tcW w:w="653" w:type="pct"/>
          </w:tcPr>
          <w:p w14:paraId="6497A00B" w14:textId="77777777" w:rsidR="00E57DAA" w:rsidRDefault="00E57DAA">
            <w:pPr>
              <w:jc w:val="right"/>
            </w:pPr>
          </w:p>
        </w:tc>
        <w:tc>
          <w:tcPr>
            <w:tcW w:w="661" w:type="pct"/>
          </w:tcPr>
          <w:p w14:paraId="27E3BA49" w14:textId="77777777" w:rsidR="00E57DAA" w:rsidRDefault="00E57DAA">
            <w:pPr>
              <w:jc w:val="right"/>
            </w:pPr>
          </w:p>
        </w:tc>
        <w:tc>
          <w:tcPr>
            <w:tcW w:w="669" w:type="pct"/>
          </w:tcPr>
          <w:p w14:paraId="666E58C3" w14:textId="77777777" w:rsidR="00E57DAA" w:rsidRDefault="00E57DAA">
            <w:pPr>
              <w:jc w:val="right"/>
            </w:pPr>
          </w:p>
        </w:tc>
      </w:tr>
      <w:tr w:rsidR="00E57DAA" w14:paraId="3895B6C7" w14:textId="77777777">
        <w:trPr>
          <w:cantSplit/>
        </w:trPr>
        <w:tc>
          <w:tcPr>
            <w:tcW w:w="1041" w:type="pct"/>
          </w:tcPr>
          <w:p w14:paraId="441B225B" w14:textId="77777777" w:rsidR="00E57DAA" w:rsidRDefault="00AC4185">
            <w:pPr>
              <w:rPr>
                <w:szCs w:val="21"/>
              </w:rPr>
            </w:pPr>
            <w:r>
              <w:t>其他项目</w:t>
            </w:r>
          </w:p>
        </w:tc>
        <w:tc>
          <w:tcPr>
            <w:tcW w:w="661" w:type="pct"/>
          </w:tcPr>
          <w:p w14:paraId="6001DFAA" w14:textId="77777777" w:rsidR="00E57DAA" w:rsidRDefault="00AC4185">
            <w:pPr>
              <w:ind w:right="105"/>
              <w:jc w:val="right"/>
              <w:rPr>
                <w:szCs w:val="21"/>
              </w:rPr>
            </w:pPr>
            <w:r>
              <w:t>12,447,143.89</w:t>
            </w:r>
          </w:p>
        </w:tc>
        <w:tc>
          <w:tcPr>
            <w:tcW w:w="661" w:type="pct"/>
          </w:tcPr>
          <w:p w14:paraId="42EE5818" w14:textId="77777777" w:rsidR="00E57DAA" w:rsidRDefault="00AC4185">
            <w:pPr>
              <w:ind w:right="73"/>
              <w:jc w:val="right"/>
              <w:rPr>
                <w:szCs w:val="21"/>
              </w:rPr>
            </w:pPr>
            <w:r>
              <w:t xml:space="preserve">　</w:t>
            </w:r>
          </w:p>
        </w:tc>
        <w:tc>
          <w:tcPr>
            <w:tcW w:w="654" w:type="pct"/>
          </w:tcPr>
          <w:p w14:paraId="4CB67AAB" w14:textId="77777777" w:rsidR="00E57DAA" w:rsidRDefault="00AC4185">
            <w:pPr>
              <w:ind w:right="73"/>
              <w:jc w:val="right"/>
              <w:rPr>
                <w:szCs w:val="21"/>
              </w:rPr>
            </w:pPr>
            <w:r>
              <w:t>12,447,143.89</w:t>
            </w:r>
          </w:p>
        </w:tc>
        <w:tc>
          <w:tcPr>
            <w:tcW w:w="653" w:type="pct"/>
          </w:tcPr>
          <w:p w14:paraId="0F8CC5D2" w14:textId="77777777" w:rsidR="00E57DAA" w:rsidRDefault="00AC4185">
            <w:pPr>
              <w:jc w:val="right"/>
              <w:rPr>
                <w:szCs w:val="21"/>
              </w:rPr>
            </w:pPr>
            <w:r>
              <w:t>19,086,913.49</w:t>
            </w:r>
          </w:p>
        </w:tc>
        <w:tc>
          <w:tcPr>
            <w:tcW w:w="661" w:type="pct"/>
          </w:tcPr>
          <w:p w14:paraId="268DB8A5" w14:textId="77777777" w:rsidR="00E57DAA" w:rsidRDefault="00AC4185">
            <w:pPr>
              <w:jc w:val="right"/>
              <w:rPr>
                <w:szCs w:val="21"/>
              </w:rPr>
            </w:pPr>
            <w:r>
              <w:t> </w:t>
            </w:r>
          </w:p>
        </w:tc>
        <w:tc>
          <w:tcPr>
            <w:tcW w:w="669" w:type="pct"/>
          </w:tcPr>
          <w:p w14:paraId="25F163FD" w14:textId="77777777" w:rsidR="00E57DAA" w:rsidRDefault="00AC4185">
            <w:pPr>
              <w:jc w:val="right"/>
              <w:rPr>
                <w:szCs w:val="21"/>
              </w:rPr>
            </w:pPr>
            <w:r>
              <w:t>19,086,913.49</w:t>
            </w:r>
          </w:p>
        </w:tc>
      </w:tr>
      <w:tr w:rsidR="00E57DAA" w14:paraId="7B4BA3E3" w14:textId="77777777">
        <w:trPr>
          <w:cantSplit/>
        </w:trPr>
        <w:tc>
          <w:tcPr>
            <w:tcW w:w="1041" w:type="pct"/>
            <w:vAlign w:val="center"/>
          </w:tcPr>
          <w:p w14:paraId="6291D046" w14:textId="77777777" w:rsidR="00E57DAA" w:rsidRDefault="00AC4185">
            <w:pPr>
              <w:jc w:val="center"/>
              <w:rPr>
                <w:szCs w:val="21"/>
              </w:rPr>
            </w:pPr>
            <w:r>
              <w:rPr>
                <w:rFonts w:hint="eastAsia"/>
                <w:szCs w:val="21"/>
              </w:rPr>
              <w:t>合计</w:t>
            </w:r>
          </w:p>
        </w:tc>
        <w:tc>
          <w:tcPr>
            <w:tcW w:w="661" w:type="pct"/>
            <w:vAlign w:val="center"/>
          </w:tcPr>
          <w:p w14:paraId="0EF0016C" w14:textId="77777777" w:rsidR="00E57DAA" w:rsidRDefault="00AC4185">
            <w:pPr>
              <w:ind w:right="105"/>
              <w:jc w:val="right"/>
              <w:rPr>
                <w:szCs w:val="21"/>
              </w:rPr>
            </w:pPr>
            <w:r>
              <w:t>576,109,890.67</w:t>
            </w:r>
          </w:p>
        </w:tc>
        <w:tc>
          <w:tcPr>
            <w:tcW w:w="661" w:type="pct"/>
            <w:vAlign w:val="center"/>
          </w:tcPr>
          <w:p w14:paraId="2873469B" w14:textId="77777777" w:rsidR="00E57DAA" w:rsidRDefault="00E57DAA">
            <w:pPr>
              <w:ind w:right="73"/>
              <w:jc w:val="right"/>
              <w:rPr>
                <w:szCs w:val="21"/>
              </w:rPr>
            </w:pPr>
          </w:p>
        </w:tc>
        <w:tc>
          <w:tcPr>
            <w:tcW w:w="654" w:type="pct"/>
            <w:vAlign w:val="center"/>
          </w:tcPr>
          <w:p w14:paraId="69686EE4" w14:textId="77777777" w:rsidR="00E57DAA" w:rsidRDefault="00AC4185">
            <w:pPr>
              <w:ind w:right="73"/>
              <w:jc w:val="right"/>
              <w:rPr>
                <w:szCs w:val="21"/>
              </w:rPr>
            </w:pPr>
            <w:r>
              <w:t>576,109,890.67</w:t>
            </w:r>
          </w:p>
        </w:tc>
        <w:tc>
          <w:tcPr>
            <w:tcW w:w="653" w:type="pct"/>
            <w:vAlign w:val="center"/>
          </w:tcPr>
          <w:p w14:paraId="6672FEB6" w14:textId="77777777" w:rsidR="00E57DAA" w:rsidRDefault="00AC4185">
            <w:pPr>
              <w:jc w:val="right"/>
              <w:rPr>
                <w:szCs w:val="21"/>
              </w:rPr>
            </w:pPr>
            <w:r>
              <w:t>850,612,077.98</w:t>
            </w:r>
          </w:p>
        </w:tc>
        <w:tc>
          <w:tcPr>
            <w:tcW w:w="661" w:type="pct"/>
            <w:vAlign w:val="center"/>
          </w:tcPr>
          <w:p w14:paraId="64A27CCF" w14:textId="77777777" w:rsidR="00E57DAA" w:rsidRDefault="00E57DAA">
            <w:pPr>
              <w:jc w:val="right"/>
              <w:rPr>
                <w:szCs w:val="21"/>
              </w:rPr>
            </w:pPr>
          </w:p>
        </w:tc>
        <w:tc>
          <w:tcPr>
            <w:tcW w:w="669" w:type="pct"/>
            <w:vAlign w:val="center"/>
          </w:tcPr>
          <w:p w14:paraId="489AF23B" w14:textId="77777777" w:rsidR="00E57DAA" w:rsidRDefault="00AC4185">
            <w:pPr>
              <w:jc w:val="right"/>
              <w:rPr>
                <w:szCs w:val="21"/>
              </w:rPr>
            </w:pPr>
            <w:r>
              <w:t>850,612,077.98</w:t>
            </w:r>
          </w:p>
        </w:tc>
      </w:tr>
    </w:tbl>
    <w:p w14:paraId="1FDB2F3B" w14:textId="77777777" w:rsidR="00E57DAA" w:rsidRDefault="00E57DAA"/>
    <w:p w14:paraId="36AFB656" w14:textId="77777777" w:rsidR="00E57DAA" w:rsidRDefault="00AC4185">
      <w:pPr>
        <w:pStyle w:val="5"/>
        <w:numPr>
          <w:ilvl w:val="0"/>
          <w:numId w:val="84"/>
        </w:numPr>
        <w:ind w:leftChars="0"/>
        <w:rPr>
          <w:rFonts w:ascii="宋体" w:hAnsi="宋体" w:cs="宋体"/>
          <w:kern w:val="0"/>
          <w:szCs w:val="24"/>
        </w:rPr>
      </w:pPr>
      <w:r>
        <w:rPr>
          <w:rFonts w:ascii="宋体" w:hAnsi="宋体" w:cs="宋体" w:hint="eastAsia"/>
          <w:kern w:val="0"/>
          <w:szCs w:val="24"/>
        </w:rPr>
        <w:t>重要在建工程项目本期变动情况</w:t>
      </w:r>
    </w:p>
    <w:sdt>
      <w:sdtPr>
        <w:alias w:val="是否适用：重要在建工程项目本期变动情况[双击切换]"/>
        <w:tag w:val="_GBC_964f4529e8234c358a8541e8c4754ec8"/>
        <w:id w:val="1942404819"/>
      </w:sdtPr>
      <w:sdtEndPr/>
      <w:sdtContent>
        <w:p w14:paraId="0DF2DB29" w14:textId="77777777" w:rsidR="00E57DAA" w:rsidRDefault="00AC4185">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38CE662C" w14:textId="77777777" w:rsidR="00E57DAA" w:rsidRDefault="00AC4185">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8604936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财务附注：在建工程项目变动情况"/>
          <w:tag w:val="_GBC_110e0fe0dd4f471bae83a62e58e88d74"/>
          <w:id w:val="163984788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9"/>
        <w:gridCol w:w="966"/>
        <w:gridCol w:w="1230"/>
        <w:gridCol w:w="1231"/>
        <w:gridCol w:w="1234"/>
        <w:gridCol w:w="1145"/>
        <w:gridCol w:w="1234"/>
        <w:gridCol w:w="666"/>
        <w:gridCol w:w="666"/>
        <w:gridCol w:w="1070"/>
        <w:gridCol w:w="1070"/>
        <w:gridCol w:w="1070"/>
        <w:gridCol w:w="1062"/>
      </w:tblGrid>
      <w:tr w:rsidR="00E57DAA" w14:paraId="22BD468F" w14:textId="77777777" w:rsidTr="004E628F">
        <w:trPr>
          <w:cantSplit/>
        </w:trPr>
        <w:sdt>
          <w:sdtPr>
            <w:rPr>
              <w:sz w:val="15"/>
              <w:szCs w:val="15"/>
            </w:rPr>
            <w:tag w:val="_PLD_0072ffbc51294cefbe17dde844d0e5ed"/>
            <w:id w:val="-1335069561"/>
          </w:sdtPr>
          <w:sdtEndPr/>
          <w:sdtContent>
            <w:tc>
              <w:tcPr>
                <w:tcW w:w="440" w:type="pct"/>
                <w:shd w:val="clear" w:color="auto" w:fill="auto"/>
                <w:vAlign w:val="center"/>
              </w:tcPr>
              <w:p w14:paraId="61327B40" w14:textId="77777777" w:rsidR="00E57DAA" w:rsidRDefault="00AC4185">
                <w:pPr>
                  <w:jc w:val="center"/>
                  <w:rPr>
                    <w:sz w:val="15"/>
                    <w:szCs w:val="15"/>
                  </w:rPr>
                </w:pPr>
                <w:r>
                  <w:rPr>
                    <w:rFonts w:hint="eastAsia"/>
                    <w:sz w:val="15"/>
                    <w:szCs w:val="15"/>
                  </w:rPr>
                  <w:t>项目名称</w:t>
                </w:r>
              </w:p>
            </w:tc>
          </w:sdtContent>
        </w:sdt>
        <w:sdt>
          <w:sdtPr>
            <w:rPr>
              <w:sz w:val="15"/>
              <w:szCs w:val="15"/>
            </w:rPr>
            <w:tag w:val="_PLD_6349ea6a696f4d27b00b071275a38ea5"/>
            <w:id w:val="-1441591848"/>
          </w:sdtPr>
          <w:sdtEndPr>
            <w:rPr>
              <w:highlight w:val="yellow"/>
            </w:rPr>
          </w:sdtEndPr>
          <w:sdtContent>
            <w:tc>
              <w:tcPr>
                <w:tcW w:w="348" w:type="pct"/>
                <w:shd w:val="clear" w:color="auto" w:fill="auto"/>
                <w:vAlign w:val="center"/>
              </w:tcPr>
              <w:p w14:paraId="68AF3B36" w14:textId="77777777" w:rsidR="00E57DAA" w:rsidRDefault="00AC4185">
                <w:pPr>
                  <w:jc w:val="center"/>
                  <w:rPr>
                    <w:sz w:val="15"/>
                    <w:szCs w:val="15"/>
                  </w:rPr>
                </w:pPr>
                <w:r>
                  <w:rPr>
                    <w:rFonts w:hint="eastAsia"/>
                    <w:sz w:val="15"/>
                    <w:szCs w:val="15"/>
                  </w:rPr>
                  <w:t>预算数</w:t>
                </w:r>
              </w:p>
            </w:tc>
          </w:sdtContent>
        </w:sdt>
        <w:sdt>
          <w:sdtPr>
            <w:rPr>
              <w:sz w:val="15"/>
              <w:szCs w:val="15"/>
            </w:rPr>
            <w:tag w:val="_PLD_392420deb7e94f0a8026947a325da4f4"/>
            <w:id w:val="1851990918"/>
          </w:sdtPr>
          <w:sdtEndPr/>
          <w:sdtContent>
            <w:tc>
              <w:tcPr>
                <w:tcW w:w="444" w:type="pct"/>
                <w:shd w:val="clear" w:color="auto" w:fill="auto"/>
                <w:vAlign w:val="center"/>
              </w:tcPr>
              <w:p w14:paraId="257F7537" w14:textId="77777777" w:rsidR="00E57DAA" w:rsidRDefault="00AC4185">
                <w:pPr>
                  <w:jc w:val="center"/>
                  <w:rPr>
                    <w:sz w:val="15"/>
                    <w:szCs w:val="15"/>
                  </w:rPr>
                </w:pPr>
                <w:r>
                  <w:rPr>
                    <w:rFonts w:hint="eastAsia"/>
                    <w:sz w:val="15"/>
                    <w:szCs w:val="15"/>
                  </w:rPr>
                  <w:t>期初</w:t>
                </w:r>
              </w:p>
              <w:p w14:paraId="25C0765B" w14:textId="77777777" w:rsidR="00E57DAA" w:rsidRDefault="00AC4185">
                <w:pPr>
                  <w:jc w:val="center"/>
                  <w:rPr>
                    <w:sz w:val="15"/>
                    <w:szCs w:val="15"/>
                  </w:rPr>
                </w:pPr>
                <w:r>
                  <w:rPr>
                    <w:rFonts w:hint="eastAsia"/>
                    <w:sz w:val="15"/>
                    <w:szCs w:val="15"/>
                  </w:rPr>
                  <w:t>余额</w:t>
                </w:r>
              </w:p>
            </w:tc>
          </w:sdtContent>
        </w:sdt>
        <w:sdt>
          <w:sdtPr>
            <w:rPr>
              <w:sz w:val="15"/>
              <w:szCs w:val="15"/>
            </w:rPr>
            <w:tag w:val="_PLD_de4faed3465b4da6b8ac35d7e677431c"/>
            <w:id w:val="276916947"/>
          </w:sdtPr>
          <w:sdtEndPr/>
          <w:sdtContent>
            <w:tc>
              <w:tcPr>
                <w:tcW w:w="444" w:type="pct"/>
                <w:shd w:val="clear" w:color="auto" w:fill="auto"/>
                <w:vAlign w:val="center"/>
              </w:tcPr>
              <w:p w14:paraId="63893D73" w14:textId="77777777" w:rsidR="00E57DAA" w:rsidRDefault="00AC4185">
                <w:pPr>
                  <w:jc w:val="center"/>
                  <w:rPr>
                    <w:sz w:val="15"/>
                    <w:szCs w:val="15"/>
                  </w:rPr>
                </w:pPr>
                <w:r>
                  <w:rPr>
                    <w:rFonts w:hint="eastAsia"/>
                    <w:sz w:val="15"/>
                    <w:szCs w:val="15"/>
                  </w:rPr>
                  <w:t>本期增加金额</w:t>
                </w:r>
              </w:p>
            </w:tc>
          </w:sdtContent>
        </w:sdt>
        <w:sdt>
          <w:sdtPr>
            <w:rPr>
              <w:sz w:val="15"/>
              <w:szCs w:val="15"/>
            </w:rPr>
            <w:tag w:val="_PLD_51ce4224316b4f4b99a8fb0c8e4500a5"/>
            <w:id w:val="1768121526"/>
          </w:sdtPr>
          <w:sdtEndPr/>
          <w:sdtContent>
            <w:tc>
              <w:tcPr>
                <w:tcW w:w="445" w:type="pct"/>
                <w:shd w:val="clear" w:color="auto" w:fill="auto"/>
                <w:vAlign w:val="center"/>
              </w:tcPr>
              <w:p w14:paraId="23074E0E" w14:textId="77777777" w:rsidR="00E57DAA" w:rsidRDefault="00AC4185">
                <w:pPr>
                  <w:jc w:val="center"/>
                  <w:rPr>
                    <w:sz w:val="15"/>
                    <w:szCs w:val="15"/>
                  </w:rPr>
                </w:pPr>
                <w:r>
                  <w:rPr>
                    <w:rFonts w:hint="eastAsia"/>
                    <w:sz w:val="15"/>
                    <w:szCs w:val="15"/>
                  </w:rPr>
                  <w:t>本期转入固定资产金额</w:t>
                </w:r>
              </w:p>
            </w:tc>
          </w:sdtContent>
        </w:sdt>
        <w:sdt>
          <w:sdtPr>
            <w:rPr>
              <w:sz w:val="15"/>
              <w:szCs w:val="15"/>
            </w:rPr>
            <w:tag w:val="_PLD_d80ffbe10b944f57a31723041ffbcbdf"/>
            <w:id w:val="-380475759"/>
          </w:sdtPr>
          <w:sdtEndPr/>
          <w:sdtContent>
            <w:tc>
              <w:tcPr>
                <w:tcW w:w="413" w:type="pct"/>
                <w:shd w:val="clear" w:color="auto" w:fill="auto"/>
                <w:vAlign w:val="center"/>
              </w:tcPr>
              <w:p w14:paraId="6A4A2A6D" w14:textId="77777777" w:rsidR="00E57DAA" w:rsidRDefault="00AC4185">
                <w:pPr>
                  <w:jc w:val="center"/>
                  <w:rPr>
                    <w:sz w:val="15"/>
                    <w:szCs w:val="15"/>
                  </w:rPr>
                </w:pPr>
                <w:r>
                  <w:rPr>
                    <w:rFonts w:hint="eastAsia"/>
                    <w:sz w:val="15"/>
                    <w:szCs w:val="15"/>
                  </w:rPr>
                  <w:t>本期其他减少金额</w:t>
                </w:r>
              </w:p>
            </w:tc>
          </w:sdtContent>
        </w:sdt>
        <w:sdt>
          <w:sdtPr>
            <w:rPr>
              <w:sz w:val="15"/>
              <w:szCs w:val="15"/>
            </w:rPr>
            <w:tag w:val="_PLD_c8b617c64ad64a03834695d9bc0b8d2f"/>
            <w:id w:val="800035006"/>
          </w:sdtPr>
          <w:sdtEndPr/>
          <w:sdtContent>
            <w:tc>
              <w:tcPr>
                <w:tcW w:w="445" w:type="pct"/>
                <w:vAlign w:val="center"/>
              </w:tcPr>
              <w:p w14:paraId="3A4A9268" w14:textId="77777777" w:rsidR="00E57DAA" w:rsidRDefault="00AC4185">
                <w:pPr>
                  <w:jc w:val="center"/>
                  <w:rPr>
                    <w:sz w:val="15"/>
                    <w:szCs w:val="15"/>
                  </w:rPr>
                </w:pPr>
                <w:r>
                  <w:rPr>
                    <w:rFonts w:hint="eastAsia"/>
                    <w:sz w:val="15"/>
                    <w:szCs w:val="15"/>
                  </w:rPr>
                  <w:t>期末</w:t>
                </w:r>
              </w:p>
              <w:p w14:paraId="59DF6E74" w14:textId="77777777" w:rsidR="00E57DAA" w:rsidRDefault="00AC4185">
                <w:pPr>
                  <w:jc w:val="center"/>
                  <w:rPr>
                    <w:sz w:val="15"/>
                    <w:szCs w:val="15"/>
                  </w:rPr>
                </w:pPr>
                <w:r>
                  <w:rPr>
                    <w:rFonts w:hint="eastAsia"/>
                    <w:sz w:val="15"/>
                    <w:szCs w:val="15"/>
                  </w:rPr>
                  <w:t>余额</w:t>
                </w:r>
              </w:p>
            </w:tc>
          </w:sdtContent>
        </w:sdt>
        <w:sdt>
          <w:sdtPr>
            <w:rPr>
              <w:sz w:val="15"/>
              <w:szCs w:val="15"/>
            </w:rPr>
            <w:tag w:val="_PLD_738551d97ef741f093f852402c423e47"/>
            <w:id w:val="391773582"/>
          </w:sdtPr>
          <w:sdtEndPr/>
          <w:sdtContent>
            <w:tc>
              <w:tcPr>
                <w:tcW w:w="240" w:type="pct"/>
                <w:shd w:val="clear" w:color="auto" w:fill="auto"/>
                <w:vAlign w:val="center"/>
              </w:tcPr>
              <w:p w14:paraId="6B9D4DB3" w14:textId="77777777" w:rsidR="00E57DAA" w:rsidRDefault="00AC4185">
                <w:pPr>
                  <w:jc w:val="center"/>
                  <w:rPr>
                    <w:sz w:val="15"/>
                    <w:szCs w:val="15"/>
                  </w:rPr>
                </w:pPr>
                <w:r>
                  <w:rPr>
                    <w:rFonts w:hint="eastAsia"/>
                    <w:sz w:val="15"/>
                    <w:szCs w:val="15"/>
                  </w:rPr>
                  <w:t>工程累计投入占预算比例(%)</w:t>
                </w:r>
              </w:p>
            </w:tc>
          </w:sdtContent>
        </w:sdt>
        <w:sdt>
          <w:sdtPr>
            <w:rPr>
              <w:sz w:val="15"/>
              <w:szCs w:val="15"/>
            </w:rPr>
            <w:tag w:val="_PLD_0f7f749f98e74f33ae9032c17002d136"/>
            <w:id w:val="-1713963534"/>
          </w:sdtPr>
          <w:sdtEndPr/>
          <w:sdtContent>
            <w:tc>
              <w:tcPr>
                <w:tcW w:w="240" w:type="pct"/>
                <w:shd w:val="clear" w:color="auto" w:fill="auto"/>
                <w:vAlign w:val="center"/>
              </w:tcPr>
              <w:p w14:paraId="0CBACC02" w14:textId="77777777" w:rsidR="00E57DAA" w:rsidRDefault="00AC4185">
                <w:pPr>
                  <w:jc w:val="center"/>
                  <w:rPr>
                    <w:sz w:val="15"/>
                    <w:szCs w:val="15"/>
                  </w:rPr>
                </w:pPr>
                <w:r>
                  <w:rPr>
                    <w:rFonts w:hint="eastAsia"/>
                    <w:sz w:val="15"/>
                    <w:szCs w:val="15"/>
                  </w:rPr>
                  <w:t>工程进度</w:t>
                </w:r>
              </w:p>
            </w:tc>
          </w:sdtContent>
        </w:sdt>
        <w:sdt>
          <w:sdtPr>
            <w:rPr>
              <w:sz w:val="15"/>
              <w:szCs w:val="15"/>
            </w:rPr>
            <w:tag w:val="_PLD_0b58d44121d2475586a13d1ce8eaed0a"/>
            <w:id w:val="-1955242719"/>
          </w:sdtPr>
          <w:sdtEndPr/>
          <w:sdtContent>
            <w:tc>
              <w:tcPr>
                <w:tcW w:w="386" w:type="pct"/>
                <w:shd w:val="clear" w:color="auto" w:fill="auto"/>
                <w:vAlign w:val="center"/>
              </w:tcPr>
              <w:p w14:paraId="7531257E" w14:textId="77777777" w:rsidR="00E57DAA" w:rsidRDefault="00AC4185">
                <w:pPr>
                  <w:jc w:val="center"/>
                  <w:rPr>
                    <w:sz w:val="15"/>
                    <w:szCs w:val="15"/>
                  </w:rPr>
                </w:pPr>
                <w:r>
                  <w:rPr>
                    <w:rFonts w:hint="eastAsia"/>
                    <w:sz w:val="15"/>
                    <w:szCs w:val="15"/>
                  </w:rPr>
                  <w:t>利息资本化累计金额</w:t>
                </w:r>
              </w:p>
            </w:tc>
          </w:sdtContent>
        </w:sdt>
        <w:sdt>
          <w:sdtPr>
            <w:rPr>
              <w:sz w:val="15"/>
              <w:szCs w:val="15"/>
            </w:rPr>
            <w:tag w:val="_PLD_2250f692e957437687c2cafcae1d7f81"/>
            <w:id w:val="604462199"/>
          </w:sdtPr>
          <w:sdtEndPr/>
          <w:sdtContent>
            <w:tc>
              <w:tcPr>
                <w:tcW w:w="386" w:type="pct"/>
                <w:shd w:val="clear" w:color="auto" w:fill="auto"/>
                <w:vAlign w:val="center"/>
              </w:tcPr>
              <w:p w14:paraId="79783886" w14:textId="77777777" w:rsidR="00E57DAA" w:rsidRDefault="00AC4185">
                <w:pPr>
                  <w:jc w:val="center"/>
                  <w:rPr>
                    <w:sz w:val="15"/>
                    <w:szCs w:val="15"/>
                  </w:rPr>
                </w:pPr>
                <w:r>
                  <w:rPr>
                    <w:rFonts w:hint="eastAsia"/>
                    <w:sz w:val="15"/>
                    <w:szCs w:val="15"/>
                  </w:rPr>
                  <w:t>其中：本期利息资本化金额</w:t>
                </w:r>
              </w:p>
            </w:tc>
          </w:sdtContent>
        </w:sdt>
        <w:sdt>
          <w:sdtPr>
            <w:rPr>
              <w:sz w:val="15"/>
              <w:szCs w:val="15"/>
            </w:rPr>
            <w:tag w:val="_PLD_7a9834f354d948e19f071bbf4b5baafe"/>
            <w:id w:val="-1498187731"/>
          </w:sdtPr>
          <w:sdtEndPr/>
          <w:sdtContent>
            <w:tc>
              <w:tcPr>
                <w:tcW w:w="386" w:type="pct"/>
                <w:shd w:val="clear" w:color="auto" w:fill="auto"/>
                <w:vAlign w:val="center"/>
              </w:tcPr>
              <w:p w14:paraId="141D604C" w14:textId="77777777" w:rsidR="00E57DAA" w:rsidRDefault="00AC4185">
                <w:pPr>
                  <w:jc w:val="center"/>
                  <w:rPr>
                    <w:sz w:val="15"/>
                    <w:szCs w:val="15"/>
                  </w:rPr>
                </w:pPr>
                <w:r>
                  <w:rPr>
                    <w:rFonts w:hint="eastAsia"/>
                    <w:sz w:val="15"/>
                    <w:szCs w:val="15"/>
                  </w:rPr>
                  <w:t>本期利息资本化率(%)</w:t>
                </w:r>
              </w:p>
            </w:tc>
          </w:sdtContent>
        </w:sdt>
        <w:sdt>
          <w:sdtPr>
            <w:rPr>
              <w:sz w:val="15"/>
              <w:szCs w:val="15"/>
            </w:rPr>
            <w:tag w:val="_PLD_6015e39597424a7ea59d45da3ff56e99"/>
            <w:id w:val="-1250265241"/>
          </w:sdtPr>
          <w:sdtEndPr/>
          <w:sdtContent>
            <w:tc>
              <w:tcPr>
                <w:tcW w:w="383" w:type="pct"/>
                <w:shd w:val="clear" w:color="auto" w:fill="auto"/>
                <w:vAlign w:val="center"/>
              </w:tcPr>
              <w:p w14:paraId="46040193" w14:textId="77777777" w:rsidR="00E57DAA" w:rsidRDefault="00AC4185">
                <w:pPr>
                  <w:jc w:val="center"/>
                  <w:rPr>
                    <w:sz w:val="15"/>
                    <w:szCs w:val="15"/>
                  </w:rPr>
                </w:pPr>
                <w:r>
                  <w:rPr>
                    <w:rFonts w:hint="eastAsia"/>
                    <w:sz w:val="15"/>
                    <w:szCs w:val="15"/>
                  </w:rPr>
                  <w:t>资金来源</w:t>
                </w:r>
              </w:p>
            </w:tc>
          </w:sdtContent>
        </w:sdt>
      </w:tr>
      <w:sdt>
        <w:sdtPr>
          <w:rPr>
            <w:rFonts w:hint="eastAsia"/>
            <w:sz w:val="15"/>
            <w:szCs w:val="15"/>
          </w:rPr>
          <w:alias w:val="在建工程明细"/>
          <w:tag w:val="_TUP_ddeb799b6fdf45e2b195807d1913c3bb"/>
          <w:id w:val="4945292"/>
        </w:sdtPr>
        <w:sdtEndPr/>
        <w:sdtContent>
          <w:tr w:rsidR="004E628F" w14:paraId="52A1DB13" w14:textId="77777777" w:rsidTr="004E628F">
            <w:trPr>
              <w:cantSplit/>
            </w:trPr>
            <w:tc>
              <w:tcPr>
                <w:tcW w:w="440" w:type="pct"/>
                <w:shd w:val="clear" w:color="auto" w:fill="auto"/>
                <w:vAlign w:val="center"/>
              </w:tcPr>
              <w:p w14:paraId="5248B3D7" w14:textId="77777777" w:rsidR="004E628F" w:rsidRDefault="004E628F" w:rsidP="004E628F">
                <w:pPr>
                  <w:rPr>
                    <w:sz w:val="15"/>
                    <w:szCs w:val="15"/>
                  </w:rPr>
                </w:pPr>
                <w:r>
                  <w:rPr>
                    <w:sz w:val="15"/>
                    <w:szCs w:val="15"/>
                  </w:rPr>
                  <w:t>绿色数智双碳创新中心</w:t>
                </w:r>
              </w:p>
            </w:tc>
            <w:tc>
              <w:tcPr>
                <w:tcW w:w="348" w:type="pct"/>
                <w:shd w:val="clear" w:color="auto" w:fill="auto"/>
                <w:vAlign w:val="center"/>
              </w:tcPr>
              <w:p w14:paraId="4A281B6B" w14:textId="77777777" w:rsidR="004E628F" w:rsidRPr="004E628F" w:rsidRDefault="004E628F" w:rsidP="004E628F">
                <w:pPr>
                  <w:jc w:val="right"/>
                  <w:rPr>
                    <w:sz w:val="15"/>
                    <w:szCs w:val="15"/>
                  </w:rPr>
                </w:pPr>
                <w:r w:rsidRPr="004E628F">
                  <w:rPr>
                    <w:sz w:val="15"/>
                    <w:szCs w:val="15"/>
                  </w:rPr>
                  <w:t>59,760.11</w:t>
                </w:r>
              </w:p>
            </w:tc>
            <w:tc>
              <w:tcPr>
                <w:tcW w:w="444" w:type="pct"/>
                <w:shd w:val="clear" w:color="auto" w:fill="auto"/>
                <w:vAlign w:val="center"/>
              </w:tcPr>
              <w:p w14:paraId="7FB0A951" w14:textId="77777777" w:rsidR="004E628F" w:rsidRPr="004E628F" w:rsidRDefault="004E628F" w:rsidP="004E628F">
                <w:pPr>
                  <w:jc w:val="right"/>
                  <w:rPr>
                    <w:sz w:val="15"/>
                    <w:szCs w:val="15"/>
                  </w:rPr>
                </w:pPr>
                <w:r w:rsidRPr="004E628F">
                  <w:rPr>
                    <w:sz w:val="15"/>
                    <w:szCs w:val="15"/>
                  </w:rPr>
                  <w:t>43,023.75</w:t>
                </w:r>
              </w:p>
            </w:tc>
            <w:tc>
              <w:tcPr>
                <w:tcW w:w="444" w:type="pct"/>
                <w:shd w:val="clear" w:color="auto" w:fill="auto"/>
                <w:vAlign w:val="center"/>
              </w:tcPr>
              <w:p w14:paraId="375C7346" w14:textId="77777777" w:rsidR="004E628F" w:rsidRPr="004E628F" w:rsidRDefault="004E628F" w:rsidP="004E628F">
                <w:pPr>
                  <w:jc w:val="right"/>
                  <w:rPr>
                    <w:sz w:val="15"/>
                    <w:szCs w:val="15"/>
                  </w:rPr>
                </w:pPr>
                <w:r w:rsidRPr="004E628F">
                  <w:rPr>
                    <w:sz w:val="15"/>
                    <w:szCs w:val="15"/>
                  </w:rPr>
                  <w:t>14,303.52</w:t>
                </w:r>
              </w:p>
            </w:tc>
            <w:tc>
              <w:tcPr>
                <w:tcW w:w="445" w:type="pct"/>
                <w:shd w:val="clear" w:color="auto" w:fill="auto"/>
                <w:vAlign w:val="center"/>
              </w:tcPr>
              <w:p w14:paraId="70BF1F2A" w14:textId="77777777" w:rsidR="004E628F" w:rsidRPr="004E628F" w:rsidRDefault="004E628F" w:rsidP="004E628F">
                <w:pPr>
                  <w:jc w:val="right"/>
                  <w:rPr>
                    <w:sz w:val="15"/>
                    <w:szCs w:val="15"/>
                  </w:rPr>
                </w:pPr>
                <w:r w:rsidRPr="004E628F">
                  <w:rPr>
                    <w:sz w:val="15"/>
                    <w:szCs w:val="15"/>
                  </w:rPr>
                  <w:t>57,327.27</w:t>
                </w:r>
              </w:p>
            </w:tc>
            <w:tc>
              <w:tcPr>
                <w:tcW w:w="413" w:type="pct"/>
                <w:shd w:val="clear" w:color="auto" w:fill="auto"/>
                <w:vAlign w:val="center"/>
              </w:tcPr>
              <w:p w14:paraId="6F1B8D2F" w14:textId="77777777" w:rsidR="004E628F" w:rsidRPr="004E628F" w:rsidRDefault="004E628F" w:rsidP="004E628F">
                <w:pPr>
                  <w:jc w:val="right"/>
                  <w:rPr>
                    <w:sz w:val="15"/>
                    <w:szCs w:val="15"/>
                  </w:rPr>
                </w:pPr>
              </w:p>
            </w:tc>
            <w:tc>
              <w:tcPr>
                <w:tcW w:w="445" w:type="pct"/>
                <w:vAlign w:val="center"/>
              </w:tcPr>
              <w:p w14:paraId="0F0438E4" w14:textId="77777777" w:rsidR="004E628F" w:rsidRPr="004E628F" w:rsidRDefault="004E628F" w:rsidP="004E628F">
                <w:pPr>
                  <w:jc w:val="right"/>
                  <w:rPr>
                    <w:sz w:val="15"/>
                    <w:szCs w:val="15"/>
                  </w:rPr>
                </w:pPr>
              </w:p>
            </w:tc>
            <w:tc>
              <w:tcPr>
                <w:tcW w:w="240" w:type="pct"/>
                <w:shd w:val="clear" w:color="auto" w:fill="auto"/>
                <w:vAlign w:val="center"/>
              </w:tcPr>
              <w:p w14:paraId="30073D33" w14:textId="77777777" w:rsidR="004E628F" w:rsidRDefault="004E628F" w:rsidP="004E628F">
                <w:pPr>
                  <w:jc w:val="right"/>
                  <w:rPr>
                    <w:sz w:val="15"/>
                    <w:szCs w:val="15"/>
                  </w:rPr>
                </w:pPr>
                <w:r>
                  <w:rPr>
                    <w:sz w:val="15"/>
                    <w:szCs w:val="15"/>
                  </w:rPr>
                  <w:t>95.93</w:t>
                </w:r>
              </w:p>
            </w:tc>
            <w:tc>
              <w:tcPr>
                <w:tcW w:w="240" w:type="pct"/>
                <w:shd w:val="clear" w:color="auto" w:fill="auto"/>
                <w:vAlign w:val="center"/>
              </w:tcPr>
              <w:p w14:paraId="20C3941D" w14:textId="77777777" w:rsidR="004E628F" w:rsidRDefault="004E628F" w:rsidP="004E628F">
                <w:pPr>
                  <w:jc w:val="right"/>
                  <w:rPr>
                    <w:sz w:val="15"/>
                    <w:szCs w:val="15"/>
                  </w:rPr>
                </w:pPr>
                <w:r>
                  <w:rPr>
                    <w:sz w:val="15"/>
                    <w:szCs w:val="15"/>
                  </w:rPr>
                  <w:t>100.00</w:t>
                </w:r>
              </w:p>
            </w:tc>
            <w:tc>
              <w:tcPr>
                <w:tcW w:w="386" w:type="pct"/>
                <w:shd w:val="clear" w:color="auto" w:fill="auto"/>
                <w:vAlign w:val="center"/>
              </w:tcPr>
              <w:p w14:paraId="0A15D410" w14:textId="77777777" w:rsidR="004E628F" w:rsidRDefault="004E628F" w:rsidP="004E628F">
                <w:pPr>
                  <w:jc w:val="right"/>
                  <w:rPr>
                    <w:sz w:val="15"/>
                    <w:szCs w:val="15"/>
                  </w:rPr>
                </w:pPr>
                <w:r>
                  <w:rPr>
                    <w:sz w:val="15"/>
                    <w:szCs w:val="15"/>
                  </w:rPr>
                  <w:t>331.17</w:t>
                </w:r>
              </w:p>
            </w:tc>
            <w:tc>
              <w:tcPr>
                <w:tcW w:w="386" w:type="pct"/>
                <w:shd w:val="clear" w:color="auto" w:fill="auto"/>
                <w:vAlign w:val="center"/>
              </w:tcPr>
              <w:p w14:paraId="02750DC8" w14:textId="77777777" w:rsidR="004E628F" w:rsidRDefault="004E628F" w:rsidP="004E628F">
                <w:pPr>
                  <w:jc w:val="right"/>
                  <w:rPr>
                    <w:sz w:val="15"/>
                    <w:szCs w:val="15"/>
                  </w:rPr>
                </w:pPr>
                <w:r>
                  <w:rPr>
                    <w:sz w:val="15"/>
                    <w:szCs w:val="15"/>
                  </w:rPr>
                  <w:t>331.17</w:t>
                </w:r>
              </w:p>
            </w:tc>
            <w:tc>
              <w:tcPr>
                <w:tcW w:w="386" w:type="pct"/>
                <w:shd w:val="clear" w:color="auto" w:fill="auto"/>
                <w:vAlign w:val="center"/>
              </w:tcPr>
              <w:p w14:paraId="5F9E6C53" w14:textId="77777777" w:rsidR="004E628F" w:rsidRDefault="004E628F" w:rsidP="004E628F">
                <w:pPr>
                  <w:jc w:val="right"/>
                  <w:rPr>
                    <w:sz w:val="15"/>
                    <w:szCs w:val="15"/>
                  </w:rPr>
                </w:pPr>
                <w:r>
                  <w:rPr>
                    <w:rFonts w:hint="eastAsia"/>
                    <w:sz w:val="15"/>
                    <w:szCs w:val="15"/>
                  </w:rPr>
                  <w:t>2.92</w:t>
                </w:r>
              </w:p>
            </w:tc>
            <w:tc>
              <w:tcPr>
                <w:tcW w:w="383" w:type="pct"/>
                <w:shd w:val="clear" w:color="auto" w:fill="auto"/>
                <w:vAlign w:val="center"/>
              </w:tcPr>
              <w:p w14:paraId="5BAE8E9C" w14:textId="77777777" w:rsidR="004E628F" w:rsidRDefault="004E628F" w:rsidP="004E628F">
                <w:pPr>
                  <w:jc w:val="center"/>
                  <w:rPr>
                    <w:sz w:val="15"/>
                    <w:szCs w:val="15"/>
                  </w:rPr>
                </w:pPr>
                <w:r>
                  <w:rPr>
                    <w:sz w:val="15"/>
                    <w:szCs w:val="15"/>
                  </w:rPr>
                  <w:t>自有资金、银行借款</w:t>
                </w:r>
              </w:p>
            </w:tc>
          </w:tr>
        </w:sdtContent>
      </w:sdt>
      <w:sdt>
        <w:sdtPr>
          <w:rPr>
            <w:rFonts w:hint="eastAsia"/>
            <w:sz w:val="15"/>
            <w:szCs w:val="15"/>
          </w:rPr>
          <w:alias w:val="在建工程明细"/>
          <w:tag w:val="_TUP_ddeb799b6fdf45e2b195807d1913c3bb"/>
          <w:id w:val="-903295898"/>
        </w:sdtPr>
        <w:sdtEndPr/>
        <w:sdtContent>
          <w:tr w:rsidR="004E628F" w14:paraId="06BAEC77" w14:textId="77777777" w:rsidTr="004E628F">
            <w:trPr>
              <w:cantSplit/>
            </w:trPr>
            <w:tc>
              <w:tcPr>
                <w:tcW w:w="440" w:type="pct"/>
                <w:shd w:val="clear" w:color="auto" w:fill="auto"/>
                <w:vAlign w:val="center"/>
              </w:tcPr>
              <w:p w14:paraId="265E5107" w14:textId="77777777" w:rsidR="004E628F" w:rsidRDefault="004E628F" w:rsidP="004E628F">
                <w:pPr>
                  <w:rPr>
                    <w:sz w:val="15"/>
                    <w:szCs w:val="15"/>
                  </w:rPr>
                </w:pPr>
                <w:r>
                  <w:rPr>
                    <w:sz w:val="15"/>
                    <w:szCs w:val="15"/>
                  </w:rPr>
                  <w:t>智造产业园建设项目</w:t>
                </w:r>
              </w:p>
            </w:tc>
            <w:tc>
              <w:tcPr>
                <w:tcW w:w="348" w:type="pct"/>
                <w:shd w:val="clear" w:color="auto" w:fill="auto"/>
                <w:vAlign w:val="center"/>
              </w:tcPr>
              <w:p w14:paraId="0B574D51" w14:textId="77777777" w:rsidR="004E628F" w:rsidRPr="004E628F" w:rsidRDefault="004E628F" w:rsidP="004E628F">
                <w:pPr>
                  <w:jc w:val="right"/>
                  <w:rPr>
                    <w:sz w:val="15"/>
                    <w:szCs w:val="15"/>
                  </w:rPr>
                </w:pPr>
                <w:r w:rsidRPr="004E628F">
                  <w:rPr>
                    <w:sz w:val="15"/>
                    <w:szCs w:val="15"/>
                  </w:rPr>
                  <w:t>271,041.00</w:t>
                </w:r>
              </w:p>
            </w:tc>
            <w:tc>
              <w:tcPr>
                <w:tcW w:w="444" w:type="pct"/>
                <w:shd w:val="clear" w:color="auto" w:fill="auto"/>
                <w:vAlign w:val="center"/>
              </w:tcPr>
              <w:p w14:paraId="2F3DD2C0" w14:textId="77777777" w:rsidR="004E628F" w:rsidRPr="004E628F" w:rsidRDefault="004E628F" w:rsidP="004E628F">
                <w:pPr>
                  <w:jc w:val="right"/>
                  <w:rPr>
                    <w:sz w:val="15"/>
                    <w:szCs w:val="15"/>
                  </w:rPr>
                </w:pPr>
                <w:r w:rsidRPr="004E628F">
                  <w:rPr>
                    <w:sz w:val="15"/>
                    <w:szCs w:val="15"/>
                  </w:rPr>
                  <w:t>25,623.21</w:t>
                </w:r>
              </w:p>
            </w:tc>
            <w:tc>
              <w:tcPr>
                <w:tcW w:w="444" w:type="pct"/>
                <w:shd w:val="clear" w:color="auto" w:fill="auto"/>
                <w:vAlign w:val="center"/>
              </w:tcPr>
              <w:p w14:paraId="71CADDAC" w14:textId="77777777" w:rsidR="004E628F" w:rsidRPr="004E628F" w:rsidRDefault="004E628F" w:rsidP="004E628F">
                <w:pPr>
                  <w:jc w:val="right"/>
                  <w:rPr>
                    <w:sz w:val="15"/>
                    <w:szCs w:val="15"/>
                  </w:rPr>
                </w:pPr>
                <w:r w:rsidRPr="004E628F">
                  <w:rPr>
                    <w:sz w:val="15"/>
                    <w:szCs w:val="15"/>
                  </w:rPr>
                  <w:t>46,411.09</w:t>
                </w:r>
              </w:p>
            </w:tc>
            <w:tc>
              <w:tcPr>
                <w:tcW w:w="445" w:type="pct"/>
                <w:shd w:val="clear" w:color="auto" w:fill="auto"/>
                <w:vAlign w:val="center"/>
              </w:tcPr>
              <w:p w14:paraId="0EA70C18" w14:textId="77777777" w:rsidR="004E628F" w:rsidRPr="004E628F" w:rsidRDefault="004E628F" w:rsidP="004E628F">
                <w:pPr>
                  <w:jc w:val="right"/>
                  <w:rPr>
                    <w:sz w:val="15"/>
                    <w:szCs w:val="15"/>
                  </w:rPr>
                </w:pPr>
                <w:r w:rsidRPr="004E628F">
                  <w:rPr>
                    <w:sz w:val="15"/>
                    <w:szCs w:val="15"/>
                  </w:rPr>
                  <w:t>24,903.97</w:t>
                </w:r>
              </w:p>
            </w:tc>
            <w:tc>
              <w:tcPr>
                <w:tcW w:w="413" w:type="pct"/>
                <w:shd w:val="clear" w:color="auto" w:fill="auto"/>
                <w:vAlign w:val="center"/>
              </w:tcPr>
              <w:p w14:paraId="3987AAE5" w14:textId="77777777" w:rsidR="004E628F" w:rsidRPr="004E628F" w:rsidRDefault="004E628F" w:rsidP="004E628F">
                <w:pPr>
                  <w:jc w:val="right"/>
                  <w:rPr>
                    <w:sz w:val="15"/>
                    <w:szCs w:val="15"/>
                  </w:rPr>
                </w:pPr>
              </w:p>
            </w:tc>
            <w:tc>
              <w:tcPr>
                <w:tcW w:w="445" w:type="pct"/>
                <w:vAlign w:val="center"/>
              </w:tcPr>
              <w:p w14:paraId="24B3D32F" w14:textId="77777777" w:rsidR="004E628F" w:rsidRPr="004E628F" w:rsidRDefault="004E628F" w:rsidP="004E628F">
                <w:pPr>
                  <w:jc w:val="right"/>
                  <w:rPr>
                    <w:sz w:val="15"/>
                    <w:szCs w:val="15"/>
                  </w:rPr>
                </w:pPr>
                <w:r w:rsidRPr="004E628F">
                  <w:rPr>
                    <w:sz w:val="15"/>
                    <w:szCs w:val="15"/>
                  </w:rPr>
                  <w:t>47,130.33</w:t>
                </w:r>
              </w:p>
            </w:tc>
            <w:tc>
              <w:tcPr>
                <w:tcW w:w="240" w:type="pct"/>
                <w:shd w:val="clear" w:color="auto" w:fill="auto"/>
                <w:vAlign w:val="center"/>
              </w:tcPr>
              <w:p w14:paraId="21B96A33" w14:textId="77777777" w:rsidR="004E628F" w:rsidRDefault="004E628F" w:rsidP="004E628F">
                <w:pPr>
                  <w:jc w:val="right"/>
                  <w:rPr>
                    <w:sz w:val="15"/>
                    <w:szCs w:val="15"/>
                  </w:rPr>
                </w:pPr>
                <w:r>
                  <w:rPr>
                    <w:sz w:val="15"/>
                    <w:szCs w:val="15"/>
                  </w:rPr>
                  <w:t>29.86</w:t>
                </w:r>
              </w:p>
            </w:tc>
            <w:tc>
              <w:tcPr>
                <w:tcW w:w="240" w:type="pct"/>
                <w:shd w:val="clear" w:color="auto" w:fill="auto"/>
                <w:vAlign w:val="center"/>
              </w:tcPr>
              <w:p w14:paraId="612BDBE0" w14:textId="77777777" w:rsidR="004E628F" w:rsidRDefault="004E628F" w:rsidP="004E628F">
                <w:pPr>
                  <w:jc w:val="right"/>
                  <w:rPr>
                    <w:sz w:val="15"/>
                    <w:szCs w:val="15"/>
                  </w:rPr>
                </w:pPr>
                <w:r>
                  <w:rPr>
                    <w:sz w:val="15"/>
                    <w:szCs w:val="15"/>
                  </w:rPr>
                  <w:t>29.86</w:t>
                </w:r>
              </w:p>
            </w:tc>
            <w:tc>
              <w:tcPr>
                <w:tcW w:w="386" w:type="pct"/>
                <w:shd w:val="clear" w:color="auto" w:fill="auto"/>
                <w:vAlign w:val="center"/>
              </w:tcPr>
              <w:p w14:paraId="6A9F06CD" w14:textId="77777777" w:rsidR="004E628F" w:rsidRDefault="004E628F" w:rsidP="004E628F">
                <w:pPr>
                  <w:jc w:val="right"/>
                  <w:rPr>
                    <w:sz w:val="15"/>
                    <w:szCs w:val="15"/>
                  </w:rPr>
                </w:pPr>
                <w:r>
                  <w:rPr>
                    <w:sz w:val="15"/>
                    <w:szCs w:val="15"/>
                  </w:rPr>
                  <w:t>4.27</w:t>
                </w:r>
              </w:p>
            </w:tc>
            <w:tc>
              <w:tcPr>
                <w:tcW w:w="386" w:type="pct"/>
                <w:shd w:val="clear" w:color="auto" w:fill="auto"/>
                <w:vAlign w:val="center"/>
              </w:tcPr>
              <w:p w14:paraId="71D4CBEC" w14:textId="77777777" w:rsidR="004E628F" w:rsidRDefault="004E628F" w:rsidP="004E628F">
                <w:pPr>
                  <w:jc w:val="right"/>
                  <w:rPr>
                    <w:sz w:val="15"/>
                    <w:szCs w:val="15"/>
                  </w:rPr>
                </w:pPr>
                <w:r>
                  <w:rPr>
                    <w:sz w:val="15"/>
                    <w:szCs w:val="15"/>
                  </w:rPr>
                  <w:t>4.27</w:t>
                </w:r>
              </w:p>
            </w:tc>
            <w:tc>
              <w:tcPr>
                <w:tcW w:w="386" w:type="pct"/>
                <w:shd w:val="clear" w:color="auto" w:fill="auto"/>
                <w:vAlign w:val="center"/>
              </w:tcPr>
              <w:p w14:paraId="0BA01AB1" w14:textId="77777777" w:rsidR="004E628F" w:rsidRDefault="004E628F" w:rsidP="004E628F">
                <w:pPr>
                  <w:jc w:val="right"/>
                  <w:rPr>
                    <w:sz w:val="15"/>
                    <w:szCs w:val="15"/>
                  </w:rPr>
                </w:pPr>
                <w:r>
                  <w:rPr>
                    <w:sz w:val="15"/>
                    <w:szCs w:val="15"/>
                  </w:rPr>
                  <w:t>3.00</w:t>
                </w:r>
              </w:p>
            </w:tc>
            <w:tc>
              <w:tcPr>
                <w:tcW w:w="383" w:type="pct"/>
                <w:shd w:val="clear" w:color="auto" w:fill="auto"/>
                <w:vAlign w:val="center"/>
              </w:tcPr>
              <w:p w14:paraId="182CB8D1" w14:textId="77777777" w:rsidR="004E628F" w:rsidRDefault="004E628F" w:rsidP="004E628F">
                <w:pPr>
                  <w:jc w:val="center"/>
                  <w:rPr>
                    <w:sz w:val="15"/>
                    <w:szCs w:val="15"/>
                  </w:rPr>
                </w:pPr>
                <w:r>
                  <w:rPr>
                    <w:sz w:val="15"/>
                    <w:szCs w:val="15"/>
                  </w:rPr>
                  <w:t>自有资金、银行借款</w:t>
                </w:r>
              </w:p>
            </w:tc>
          </w:tr>
        </w:sdtContent>
      </w:sdt>
      <w:sdt>
        <w:sdtPr>
          <w:rPr>
            <w:rFonts w:hint="eastAsia"/>
            <w:sz w:val="15"/>
            <w:szCs w:val="15"/>
          </w:rPr>
          <w:alias w:val="在建工程明细"/>
          <w:tag w:val="_TUP_ddeb799b6fdf45e2b195807d1913c3bb"/>
          <w:id w:val="-820492683"/>
        </w:sdtPr>
        <w:sdtEndPr/>
        <w:sdtContent>
          <w:tr w:rsidR="004E628F" w14:paraId="02E5112E" w14:textId="77777777" w:rsidTr="004E628F">
            <w:trPr>
              <w:cantSplit/>
            </w:trPr>
            <w:tc>
              <w:tcPr>
                <w:tcW w:w="440" w:type="pct"/>
                <w:shd w:val="clear" w:color="auto" w:fill="auto"/>
                <w:vAlign w:val="center"/>
              </w:tcPr>
              <w:p w14:paraId="4C0E5018" w14:textId="77777777" w:rsidR="004E628F" w:rsidRDefault="004E628F" w:rsidP="004E628F">
                <w:pPr>
                  <w:rPr>
                    <w:sz w:val="15"/>
                    <w:szCs w:val="15"/>
                  </w:rPr>
                </w:pPr>
                <w:r>
                  <w:rPr>
                    <w:sz w:val="15"/>
                    <w:szCs w:val="15"/>
                  </w:rPr>
                  <w:t>溧水天山水泥窑协同处置10万吨/年危险废物项目</w:t>
                </w:r>
              </w:p>
            </w:tc>
            <w:tc>
              <w:tcPr>
                <w:tcW w:w="348" w:type="pct"/>
                <w:shd w:val="clear" w:color="auto" w:fill="auto"/>
                <w:vAlign w:val="center"/>
              </w:tcPr>
              <w:p w14:paraId="5C2391C4" w14:textId="77777777" w:rsidR="004E628F" w:rsidRPr="004E628F" w:rsidRDefault="004E628F" w:rsidP="004E628F">
                <w:pPr>
                  <w:jc w:val="right"/>
                  <w:rPr>
                    <w:sz w:val="15"/>
                    <w:szCs w:val="15"/>
                  </w:rPr>
                </w:pPr>
                <w:r w:rsidRPr="004E628F">
                  <w:rPr>
                    <w:sz w:val="15"/>
                    <w:szCs w:val="15"/>
                  </w:rPr>
                  <w:t>6,500.00</w:t>
                </w:r>
              </w:p>
            </w:tc>
            <w:tc>
              <w:tcPr>
                <w:tcW w:w="444" w:type="pct"/>
                <w:shd w:val="clear" w:color="auto" w:fill="auto"/>
                <w:vAlign w:val="center"/>
              </w:tcPr>
              <w:p w14:paraId="5B9BFF5E" w14:textId="77777777" w:rsidR="004E628F" w:rsidRPr="004E628F" w:rsidRDefault="004E628F" w:rsidP="004E628F">
                <w:pPr>
                  <w:jc w:val="right"/>
                  <w:rPr>
                    <w:sz w:val="15"/>
                    <w:szCs w:val="15"/>
                  </w:rPr>
                </w:pPr>
                <w:r w:rsidRPr="004E628F">
                  <w:rPr>
                    <w:sz w:val="15"/>
                    <w:szCs w:val="15"/>
                  </w:rPr>
                  <w:t>4,484.78</w:t>
                </w:r>
              </w:p>
            </w:tc>
            <w:tc>
              <w:tcPr>
                <w:tcW w:w="444" w:type="pct"/>
                <w:shd w:val="clear" w:color="auto" w:fill="auto"/>
                <w:vAlign w:val="center"/>
              </w:tcPr>
              <w:p w14:paraId="0AA099F6" w14:textId="77777777" w:rsidR="004E628F" w:rsidRPr="004E628F" w:rsidRDefault="004E628F" w:rsidP="004E628F">
                <w:pPr>
                  <w:jc w:val="right"/>
                  <w:rPr>
                    <w:sz w:val="15"/>
                    <w:szCs w:val="15"/>
                  </w:rPr>
                </w:pPr>
                <w:r w:rsidRPr="004E628F">
                  <w:rPr>
                    <w:sz w:val="15"/>
                    <w:szCs w:val="15"/>
                  </w:rPr>
                  <w:t>152.06</w:t>
                </w:r>
              </w:p>
            </w:tc>
            <w:tc>
              <w:tcPr>
                <w:tcW w:w="445" w:type="pct"/>
                <w:shd w:val="clear" w:color="auto" w:fill="auto"/>
                <w:vAlign w:val="center"/>
              </w:tcPr>
              <w:p w14:paraId="4E3F198E" w14:textId="77777777" w:rsidR="004E628F" w:rsidRPr="004E628F" w:rsidRDefault="004E628F" w:rsidP="004E628F">
                <w:pPr>
                  <w:jc w:val="right"/>
                  <w:rPr>
                    <w:sz w:val="15"/>
                    <w:szCs w:val="15"/>
                  </w:rPr>
                </w:pPr>
                <w:r w:rsidRPr="004E628F">
                  <w:rPr>
                    <w:sz w:val="15"/>
                    <w:szCs w:val="15"/>
                  </w:rPr>
                  <w:t>4,403.36</w:t>
                </w:r>
              </w:p>
            </w:tc>
            <w:tc>
              <w:tcPr>
                <w:tcW w:w="413" w:type="pct"/>
                <w:shd w:val="clear" w:color="auto" w:fill="auto"/>
                <w:vAlign w:val="center"/>
              </w:tcPr>
              <w:p w14:paraId="65C43659" w14:textId="77777777" w:rsidR="004E628F" w:rsidRPr="004E628F" w:rsidRDefault="004E628F" w:rsidP="004E628F">
                <w:pPr>
                  <w:jc w:val="right"/>
                  <w:rPr>
                    <w:sz w:val="15"/>
                    <w:szCs w:val="15"/>
                  </w:rPr>
                </w:pPr>
              </w:p>
            </w:tc>
            <w:tc>
              <w:tcPr>
                <w:tcW w:w="445" w:type="pct"/>
                <w:vAlign w:val="center"/>
              </w:tcPr>
              <w:p w14:paraId="3365E566" w14:textId="77777777" w:rsidR="004E628F" w:rsidRPr="004E628F" w:rsidRDefault="004E628F" w:rsidP="004E628F">
                <w:pPr>
                  <w:jc w:val="right"/>
                  <w:rPr>
                    <w:sz w:val="15"/>
                    <w:szCs w:val="15"/>
                  </w:rPr>
                </w:pPr>
                <w:r w:rsidRPr="004E628F">
                  <w:rPr>
                    <w:sz w:val="15"/>
                    <w:szCs w:val="15"/>
                  </w:rPr>
                  <w:t>233.48</w:t>
                </w:r>
              </w:p>
            </w:tc>
            <w:tc>
              <w:tcPr>
                <w:tcW w:w="240" w:type="pct"/>
                <w:shd w:val="clear" w:color="auto" w:fill="auto"/>
                <w:vAlign w:val="center"/>
              </w:tcPr>
              <w:p w14:paraId="671E5790" w14:textId="77777777" w:rsidR="004E628F" w:rsidRDefault="004E628F" w:rsidP="004E628F">
                <w:pPr>
                  <w:jc w:val="right"/>
                  <w:rPr>
                    <w:sz w:val="15"/>
                    <w:szCs w:val="15"/>
                  </w:rPr>
                </w:pPr>
                <w:r>
                  <w:rPr>
                    <w:sz w:val="15"/>
                    <w:szCs w:val="15"/>
                  </w:rPr>
                  <w:t>71.34</w:t>
                </w:r>
              </w:p>
            </w:tc>
            <w:tc>
              <w:tcPr>
                <w:tcW w:w="240" w:type="pct"/>
                <w:shd w:val="clear" w:color="auto" w:fill="auto"/>
                <w:vAlign w:val="center"/>
              </w:tcPr>
              <w:p w14:paraId="12122388" w14:textId="77777777" w:rsidR="004E628F" w:rsidRDefault="004E628F" w:rsidP="004E628F">
                <w:pPr>
                  <w:jc w:val="right"/>
                  <w:rPr>
                    <w:sz w:val="15"/>
                    <w:szCs w:val="15"/>
                  </w:rPr>
                </w:pPr>
                <w:r>
                  <w:rPr>
                    <w:sz w:val="15"/>
                    <w:szCs w:val="15"/>
                  </w:rPr>
                  <w:t>71.34</w:t>
                </w:r>
              </w:p>
            </w:tc>
            <w:tc>
              <w:tcPr>
                <w:tcW w:w="386" w:type="pct"/>
                <w:shd w:val="clear" w:color="auto" w:fill="auto"/>
                <w:vAlign w:val="center"/>
              </w:tcPr>
              <w:p w14:paraId="5CE9C151" w14:textId="77777777" w:rsidR="004E628F" w:rsidRDefault="004E628F" w:rsidP="004E628F">
                <w:pPr>
                  <w:jc w:val="right"/>
                  <w:rPr>
                    <w:sz w:val="15"/>
                    <w:szCs w:val="15"/>
                  </w:rPr>
                </w:pPr>
              </w:p>
            </w:tc>
            <w:tc>
              <w:tcPr>
                <w:tcW w:w="386" w:type="pct"/>
                <w:shd w:val="clear" w:color="auto" w:fill="auto"/>
                <w:vAlign w:val="center"/>
              </w:tcPr>
              <w:p w14:paraId="0EAA2103" w14:textId="77777777" w:rsidR="004E628F" w:rsidRDefault="004E628F" w:rsidP="004E628F">
                <w:pPr>
                  <w:jc w:val="right"/>
                  <w:rPr>
                    <w:sz w:val="15"/>
                    <w:szCs w:val="15"/>
                  </w:rPr>
                </w:pPr>
              </w:p>
            </w:tc>
            <w:tc>
              <w:tcPr>
                <w:tcW w:w="386" w:type="pct"/>
                <w:shd w:val="clear" w:color="auto" w:fill="auto"/>
                <w:vAlign w:val="center"/>
              </w:tcPr>
              <w:p w14:paraId="2FC128BD" w14:textId="77777777" w:rsidR="004E628F" w:rsidRDefault="004E628F" w:rsidP="004E628F">
                <w:pPr>
                  <w:jc w:val="right"/>
                  <w:rPr>
                    <w:sz w:val="15"/>
                    <w:szCs w:val="15"/>
                  </w:rPr>
                </w:pPr>
              </w:p>
            </w:tc>
            <w:tc>
              <w:tcPr>
                <w:tcW w:w="383" w:type="pct"/>
                <w:shd w:val="clear" w:color="auto" w:fill="auto"/>
                <w:vAlign w:val="center"/>
              </w:tcPr>
              <w:p w14:paraId="20449A6D"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1426615856"/>
        </w:sdtPr>
        <w:sdtEndPr/>
        <w:sdtContent>
          <w:tr w:rsidR="004E628F" w14:paraId="04B415D3" w14:textId="77777777" w:rsidTr="004E628F">
            <w:trPr>
              <w:cantSplit/>
            </w:trPr>
            <w:tc>
              <w:tcPr>
                <w:tcW w:w="440" w:type="pct"/>
                <w:shd w:val="clear" w:color="auto" w:fill="auto"/>
                <w:vAlign w:val="center"/>
              </w:tcPr>
              <w:p w14:paraId="28D0D36D" w14:textId="77777777" w:rsidR="004E628F" w:rsidRDefault="004E628F" w:rsidP="004E628F">
                <w:pPr>
                  <w:rPr>
                    <w:sz w:val="15"/>
                    <w:szCs w:val="15"/>
                  </w:rPr>
                </w:pPr>
                <w:r>
                  <w:rPr>
                    <w:sz w:val="15"/>
                    <w:szCs w:val="15"/>
                  </w:rPr>
                  <w:t>阿布贾办公楼项目</w:t>
                </w:r>
              </w:p>
            </w:tc>
            <w:tc>
              <w:tcPr>
                <w:tcW w:w="348" w:type="pct"/>
                <w:shd w:val="clear" w:color="auto" w:fill="auto"/>
                <w:vAlign w:val="center"/>
              </w:tcPr>
              <w:p w14:paraId="6E4BBB8A" w14:textId="77777777" w:rsidR="004E628F" w:rsidRPr="004E628F" w:rsidRDefault="004E628F" w:rsidP="004E628F">
                <w:pPr>
                  <w:jc w:val="right"/>
                  <w:rPr>
                    <w:sz w:val="15"/>
                    <w:szCs w:val="15"/>
                  </w:rPr>
                </w:pPr>
                <w:r w:rsidRPr="004E628F">
                  <w:rPr>
                    <w:sz w:val="15"/>
                    <w:szCs w:val="15"/>
                  </w:rPr>
                  <w:t>3,200.00</w:t>
                </w:r>
              </w:p>
            </w:tc>
            <w:tc>
              <w:tcPr>
                <w:tcW w:w="444" w:type="pct"/>
                <w:shd w:val="clear" w:color="auto" w:fill="auto"/>
                <w:vAlign w:val="center"/>
              </w:tcPr>
              <w:p w14:paraId="6A667DCA" w14:textId="77777777" w:rsidR="004E628F" w:rsidRPr="004E628F" w:rsidRDefault="004E628F" w:rsidP="004E628F">
                <w:pPr>
                  <w:jc w:val="right"/>
                  <w:rPr>
                    <w:sz w:val="15"/>
                    <w:szCs w:val="15"/>
                  </w:rPr>
                </w:pPr>
                <w:r w:rsidRPr="004E628F">
                  <w:rPr>
                    <w:sz w:val="15"/>
                    <w:szCs w:val="15"/>
                  </w:rPr>
                  <w:t>3,132.48</w:t>
                </w:r>
              </w:p>
            </w:tc>
            <w:tc>
              <w:tcPr>
                <w:tcW w:w="444" w:type="pct"/>
                <w:shd w:val="clear" w:color="auto" w:fill="auto"/>
                <w:vAlign w:val="center"/>
              </w:tcPr>
              <w:p w14:paraId="78F49482" w14:textId="77777777" w:rsidR="004E628F" w:rsidRPr="004E628F" w:rsidRDefault="004E628F" w:rsidP="004E628F">
                <w:pPr>
                  <w:jc w:val="right"/>
                  <w:rPr>
                    <w:sz w:val="15"/>
                    <w:szCs w:val="15"/>
                  </w:rPr>
                </w:pPr>
              </w:p>
            </w:tc>
            <w:tc>
              <w:tcPr>
                <w:tcW w:w="445" w:type="pct"/>
                <w:shd w:val="clear" w:color="auto" w:fill="auto"/>
                <w:vAlign w:val="center"/>
              </w:tcPr>
              <w:p w14:paraId="59F22F2B" w14:textId="77777777" w:rsidR="004E628F" w:rsidRPr="004E628F" w:rsidRDefault="004E628F" w:rsidP="004E628F">
                <w:pPr>
                  <w:jc w:val="right"/>
                  <w:rPr>
                    <w:sz w:val="15"/>
                    <w:szCs w:val="15"/>
                  </w:rPr>
                </w:pPr>
              </w:p>
            </w:tc>
            <w:tc>
              <w:tcPr>
                <w:tcW w:w="413" w:type="pct"/>
                <w:shd w:val="clear" w:color="auto" w:fill="auto"/>
                <w:vAlign w:val="center"/>
              </w:tcPr>
              <w:p w14:paraId="3B086CD9" w14:textId="77777777" w:rsidR="004E628F" w:rsidRPr="004E628F" w:rsidRDefault="004E628F" w:rsidP="004E628F">
                <w:pPr>
                  <w:jc w:val="right"/>
                  <w:rPr>
                    <w:sz w:val="15"/>
                    <w:szCs w:val="15"/>
                  </w:rPr>
                </w:pPr>
                <w:r w:rsidRPr="004E628F">
                  <w:rPr>
                    <w:sz w:val="15"/>
                    <w:szCs w:val="15"/>
                  </w:rPr>
                  <w:t>1,546.16</w:t>
                </w:r>
              </w:p>
            </w:tc>
            <w:tc>
              <w:tcPr>
                <w:tcW w:w="445" w:type="pct"/>
                <w:vAlign w:val="center"/>
              </w:tcPr>
              <w:p w14:paraId="4D448DB5" w14:textId="77777777" w:rsidR="004E628F" w:rsidRPr="004E628F" w:rsidRDefault="004E628F" w:rsidP="004E628F">
                <w:pPr>
                  <w:jc w:val="right"/>
                  <w:rPr>
                    <w:sz w:val="15"/>
                    <w:szCs w:val="15"/>
                  </w:rPr>
                </w:pPr>
                <w:r w:rsidRPr="004E628F">
                  <w:rPr>
                    <w:sz w:val="15"/>
                    <w:szCs w:val="15"/>
                  </w:rPr>
                  <w:t>1,586.32</w:t>
                </w:r>
              </w:p>
            </w:tc>
            <w:tc>
              <w:tcPr>
                <w:tcW w:w="240" w:type="pct"/>
                <w:shd w:val="clear" w:color="auto" w:fill="auto"/>
                <w:vAlign w:val="center"/>
              </w:tcPr>
              <w:p w14:paraId="59FD4087" w14:textId="77777777" w:rsidR="004E628F" w:rsidRDefault="004E628F" w:rsidP="004E628F">
                <w:pPr>
                  <w:jc w:val="right"/>
                  <w:rPr>
                    <w:sz w:val="15"/>
                    <w:szCs w:val="15"/>
                  </w:rPr>
                </w:pPr>
                <w:r>
                  <w:rPr>
                    <w:sz w:val="15"/>
                    <w:szCs w:val="15"/>
                  </w:rPr>
                  <w:t>97.89</w:t>
                </w:r>
              </w:p>
            </w:tc>
            <w:tc>
              <w:tcPr>
                <w:tcW w:w="240" w:type="pct"/>
                <w:shd w:val="clear" w:color="auto" w:fill="auto"/>
                <w:vAlign w:val="center"/>
              </w:tcPr>
              <w:p w14:paraId="63A16AD6" w14:textId="77777777" w:rsidR="004E628F" w:rsidRDefault="004E628F" w:rsidP="004E628F">
                <w:pPr>
                  <w:jc w:val="right"/>
                  <w:rPr>
                    <w:sz w:val="15"/>
                    <w:szCs w:val="15"/>
                  </w:rPr>
                </w:pPr>
                <w:r>
                  <w:rPr>
                    <w:sz w:val="15"/>
                    <w:szCs w:val="15"/>
                  </w:rPr>
                  <w:t>96.00</w:t>
                </w:r>
              </w:p>
            </w:tc>
            <w:tc>
              <w:tcPr>
                <w:tcW w:w="386" w:type="pct"/>
                <w:shd w:val="clear" w:color="auto" w:fill="auto"/>
                <w:vAlign w:val="center"/>
              </w:tcPr>
              <w:p w14:paraId="428C6DE2" w14:textId="77777777" w:rsidR="004E628F" w:rsidRDefault="004E628F" w:rsidP="004E628F">
                <w:pPr>
                  <w:jc w:val="right"/>
                  <w:rPr>
                    <w:sz w:val="15"/>
                    <w:szCs w:val="15"/>
                  </w:rPr>
                </w:pPr>
              </w:p>
            </w:tc>
            <w:tc>
              <w:tcPr>
                <w:tcW w:w="386" w:type="pct"/>
                <w:shd w:val="clear" w:color="auto" w:fill="auto"/>
                <w:vAlign w:val="center"/>
              </w:tcPr>
              <w:p w14:paraId="20603E49" w14:textId="77777777" w:rsidR="004E628F" w:rsidRDefault="004E628F" w:rsidP="004E628F">
                <w:pPr>
                  <w:jc w:val="right"/>
                  <w:rPr>
                    <w:sz w:val="15"/>
                    <w:szCs w:val="15"/>
                  </w:rPr>
                </w:pPr>
              </w:p>
            </w:tc>
            <w:tc>
              <w:tcPr>
                <w:tcW w:w="386" w:type="pct"/>
                <w:shd w:val="clear" w:color="auto" w:fill="auto"/>
                <w:vAlign w:val="center"/>
              </w:tcPr>
              <w:p w14:paraId="27423F6D" w14:textId="77777777" w:rsidR="004E628F" w:rsidRDefault="004E628F" w:rsidP="004E628F">
                <w:pPr>
                  <w:jc w:val="right"/>
                  <w:rPr>
                    <w:sz w:val="15"/>
                    <w:szCs w:val="15"/>
                  </w:rPr>
                </w:pPr>
              </w:p>
            </w:tc>
            <w:tc>
              <w:tcPr>
                <w:tcW w:w="383" w:type="pct"/>
                <w:shd w:val="clear" w:color="auto" w:fill="auto"/>
                <w:vAlign w:val="center"/>
              </w:tcPr>
              <w:p w14:paraId="33880853"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1905560066"/>
        </w:sdtPr>
        <w:sdtEndPr/>
        <w:sdtContent>
          <w:tr w:rsidR="004E628F" w14:paraId="4AB550D0" w14:textId="77777777" w:rsidTr="004E628F">
            <w:trPr>
              <w:cantSplit/>
            </w:trPr>
            <w:tc>
              <w:tcPr>
                <w:tcW w:w="440" w:type="pct"/>
                <w:shd w:val="clear" w:color="auto" w:fill="auto"/>
                <w:vAlign w:val="center"/>
              </w:tcPr>
              <w:p w14:paraId="0BB5DF93" w14:textId="77777777" w:rsidR="004E628F" w:rsidRDefault="004E628F" w:rsidP="004E628F">
                <w:pPr>
                  <w:rPr>
                    <w:sz w:val="15"/>
                    <w:szCs w:val="15"/>
                  </w:rPr>
                </w:pPr>
                <w:r>
                  <w:rPr>
                    <w:sz w:val="15"/>
                    <w:szCs w:val="15"/>
                  </w:rPr>
                  <w:t>肥东钢结构产品生产基地厂房设备</w:t>
                </w:r>
              </w:p>
            </w:tc>
            <w:tc>
              <w:tcPr>
                <w:tcW w:w="348" w:type="pct"/>
                <w:shd w:val="clear" w:color="auto" w:fill="auto"/>
                <w:vAlign w:val="center"/>
              </w:tcPr>
              <w:p w14:paraId="5B4ECC6A" w14:textId="77777777" w:rsidR="004E628F" w:rsidRPr="004E628F" w:rsidRDefault="004E628F" w:rsidP="004E628F">
                <w:pPr>
                  <w:jc w:val="right"/>
                  <w:rPr>
                    <w:sz w:val="15"/>
                    <w:szCs w:val="15"/>
                  </w:rPr>
                </w:pPr>
                <w:r w:rsidRPr="004E628F">
                  <w:rPr>
                    <w:sz w:val="15"/>
                    <w:szCs w:val="15"/>
                  </w:rPr>
                  <w:t>7,500.00</w:t>
                </w:r>
              </w:p>
            </w:tc>
            <w:tc>
              <w:tcPr>
                <w:tcW w:w="444" w:type="pct"/>
                <w:shd w:val="clear" w:color="auto" w:fill="auto"/>
                <w:vAlign w:val="center"/>
              </w:tcPr>
              <w:p w14:paraId="7904D951" w14:textId="77777777" w:rsidR="004E628F" w:rsidRPr="004E628F" w:rsidRDefault="004E628F" w:rsidP="004E628F">
                <w:pPr>
                  <w:jc w:val="right"/>
                  <w:rPr>
                    <w:sz w:val="15"/>
                    <w:szCs w:val="15"/>
                  </w:rPr>
                </w:pPr>
                <w:r w:rsidRPr="004E628F">
                  <w:rPr>
                    <w:sz w:val="15"/>
                    <w:szCs w:val="15"/>
                  </w:rPr>
                  <w:t>1,754.96</w:t>
                </w:r>
              </w:p>
            </w:tc>
            <w:tc>
              <w:tcPr>
                <w:tcW w:w="444" w:type="pct"/>
                <w:shd w:val="clear" w:color="auto" w:fill="auto"/>
                <w:vAlign w:val="center"/>
              </w:tcPr>
              <w:p w14:paraId="4A11FE53" w14:textId="77777777" w:rsidR="004E628F" w:rsidRPr="004E628F" w:rsidRDefault="004E628F" w:rsidP="004E628F">
                <w:pPr>
                  <w:jc w:val="right"/>
                  <w:rPr>
                    <w:sz w:val="15"/>
                    <w:szCs w:val="15"/>
                  </w:rPr>
                </w:pPr>
                <w:r w:rsidRPr="004E628F">
                  <w:rPr>
                    <w:sz w:val="15"/>
                    <w:szCs w:val="15"/>
                  </w:rPr>
                  <w:t>459.99</w:t>
                </w:r>
              </w:p>
            </w:tc>
            <w:tc>
              <w:tcPr>
                <w:tcW w:w="445" w:type="pct"/>
                <w:shd w:val="clear" w:color="auto" w:fill="auto"/>
                <w:vAlign w:val="center"/>
              </w:tcPr>
              <w:p w14:paraId="2F568068" w14:textId="77777777" w:rsidR="004E628F" w:rsidRPr="004E628F" w:rsidRDefault="004E628F" w:rsidP="004E628F">
                <w:pPr>
                  <w:jc w:val="right"/>
                  <w:rPr>
                    <w:sz w:val="15"/>
                    <w:szCs w:val="15"/>
                  </w:rPr>
                </w:pPr>
                <w:r w:rsidRPr="004E628F">
                  <w:rPr>
                    <w:sz w:val="15"/>
                    <w:szCs w:val="15"/>
                  </w:rPr>
                  <w:t>1,754.96</w:t>
                </w:r>
              </w:p>
            </w:tc>
            <w:tc>
              <w:tcPr>
                <w:tcW w:w="413" w:type="pct"/>
                <w:shd w:val="clear" w:color="auto" w:fill="auto"/>
                <w:vAlign w:val="center"/>
              </w:tcPr>
              <w:p w14:paraId="2488EFD9" w14:textId="77777777" w:rsidR="004E628F" w:rsidRPr="004E628F" w:rsidRDefault="004E628F" w:rsidP="004E628F">
                <w:pPr>
                  <w:jc w:val="right"/>
                  <w:rPr>
                    <w:sz w:val="15"/>
                    <w:szCs w:val="15"/>
                  </w:rPr>
                </w:pPr>
              </w:p>
            </w:tc>
            <w:tc>
              <w:tcPr>
                <w:tcW w:w="445" w:type="pct"/>
                <w:vAlign w:val="center"/>
              </w:tcPr>
              <w:p w14:paraId="3466180C" w14:textId="77777777" w:rsidR="004E628F" w:rsidRPr="004E628F" w:rsidRDefault="004E628F" w:rsidP="004E628F">
                <w:pPr>
                  <w:jc w:val="right"/>
                  <w:rPr>
                    <w:sz w:val="15"/>
                    <w:szCs w:val="15"/>
                  </w:rPr>
                </w:pPr>
                <w:r w:rsidRPr="004E628F">
                  <w:rPr>
                    <w:sz w:val="15"/>
                    <w:szCs w:val="15"/>
                  </w:rPr>
                  <w:t>459.99</w:t>
                </w:r>
              </w:p>
            </w:tc>
            <w:tc>
              <w:tcPr>
                <w:tcW w:w="240" w:type="pct"/>
                <w:shd w:val="clear" w:color="auto" w:fill="auto"/>
                <w:vAlign w:val="center"/>
              </w:tcPr>
              <w:p w14:paraId="4BB55163" w14:textId="77777777" w:rsidR="004E628F" w:rsidRDefault="004E628F" w:rsidP="004E628F">
                <w:pPr>
                  <w:jc w:val="right"/>
                  <w:rPr>
                    <w:sz w:val="15"/>
                    <w:szCs w:val="15"/>
                  </w:rPr>
                </w:pPr>
                <w:r>
                  <w:rPr>
                    <w:sz w:val="15"/>
                    <w:szCs w:val="15"/>
                  </w:rPr>
                  <w:t>51.96</w:t>
                </w:r>
              </w:p>
            </w:tc>
            <w:tc>
              <w:tcPr>
                <w:tcW w:w="240" w:type="pct"/>
                <w:shd w:val="clear" w:color="auto" w:fill="auto"/>
                <w:vAlign w:val="center"/>
              </w:tcPr>
              <w:p w14:paraId="06001251" w14:textId="77777777" w:rsidR="004E628F" w:rsidRDefault="004E628F" w:rsidP="004E628F">
                <w:pPr>
                  <w:jc w:val="right"/>
                  <w:rPr>
                    <w:sz w:val="15"/>
                    <w:szCs w:val="15"/>
                  </w:rPr>
                </w:pPr>
                <w:r>
                  <w:rPr>
                    <w:sz w:val="15"/>
                    <w:szCs w:val="15"/>
                  </w:rPr>
                  <w:t>51.96</w:t>
                </w:r>
              </w:p>
            </w:tc>
            <w:tc>
              <w:tcPr>
                <w:tcW w:w="386" w:type="pct"/>
                <w:shd w:val="clear" w:color="auto" w:fill="auto"/>
                <w:vAlign w:val="center"/>
              </w:tcPr>
              <w:p w14:paraId="4BCB6E9D" w14:textId="77777777" w:rsidR="004E628F" w:rsidRDefault="004E628F" w:rsidP="004E628F">
                <w:pPr>
                  <w:jc w:val="right"/>
                  <w:rPr>
                    <w:sz w:val="15"/>
                    <w:szCs w:val="15"/>
                  </w:rPr>
                </w:pPr>
              </w:p>
            </w:tc>
            <w:tc>
              <w:tcPr>
                <w:tcW w:w="386" w:type="pct"/>
                <w:shd w:val="clear" w:color="auto" w:fill="auto"/>
                <w:vAlign w:val="center"/>
              </w:tcPr>
              <w:p w14:paraId="565F57EC" w14:textId="77777777" w:rsidR="004E628F" w:rsidRDefault="004E628F" w:rsidP="004E628F">
                <w:pPr>
                  <w:jc w:val="right"/>
                  <w:rPr>
                    <w:sz w:val="15"/>
                    <w:szCs w:val="15"/>
                  </w:rPr>
                </w:pPr>
              </w:p>
            </w:tc>
            <w:tc>
              <w:tcPr>
                <w:tcW w:w="386" w:type="pct"/>
                <w:shd w:val="clear" w:color="auto" w:fill="auto"/>
                <w:vAlign w:val="center"/>
              </w:tcPr>
              <w:p w14:paraId="22BCDF3D" w14:textId="77777777" w:rsidR="004E628F" w:rsidRDefault="004E628F" w:rsidP="004E628F">
                <w:pPr>
                  <w:jc w:val="right"/>
                  <w:rPr>
                    <w:sz w:val="15"/>
                    <w:szCs w:val="15"/>
                  </w:rPr>
                </w:pPr>
              </w:p>
            </w:tc>
            <w:tc>
              <w:tcPr>
                <w:tcW w:w="383" w:type="pct"/>
                <w:shd w:val="clear" w:color="auto" w:fill="auto"/>
                <w:vAlign w:val="center"/>
              </w:tcPr>
              <w:p w14:paraId="42CCED38"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571658407"/>
        </w:sdtPr>
        <w:sdtEndPr/>
        <w:sdtContent>
          <w:tr w:rsidR="004E628F" w14:paraId="70749ABF" w14:textId="77777777" w:rsidTr="004E628F">
            <w:trPr>
              <w:cantSplit/>
            </w:trPr>
            <w:tc>
              <w:tcPr>
                <w:tcW w:w="440" w:type="pct"/>
                <w:shd w:val="clear" w:color="auto" w:fill="auto"/>
                <w:vAlign w:val="center"/>
              </w:tcPr>
              <w:p w14:paraId="28EA22BE" w14:textId="77777777" w:rsidR="004E628F" w:rsidRDefault="004E628F" w:rsidP="004E628F">
                <w:pPr>
                  <w:rPr>
                    <w:sz w:val="15"/>
                    <w:szCs w:val="15"/>
                  </w:rPr>
                </w:pPr>
                <w:r>
                  <w:rPr>
                    <w:sz w:val="15"/>
                    <w:szCs w:val="15"/>
                  </w:rPr>
                  <w:t>南京矿山石灰岩矿三线设备安装及电气一体化系统项目</w:t>
                </w:r>
              </w:p>
            </w:tc>
            <w:tc>
              <w:tcPr>
                <w:tcW w:w="348" w:type="pct"/>
                <w:shd w:val="clear" w:color="auto" w:fill="auto"/>
                <w:vAlign w:val="center"/>
              </w:tcPr>
              <w:p w14:paraId="39438B12" w14:textId="77777777" w:rsidR="004E628F" w:rsidRPr="004E628F" w:rsidRDefault="004E628F" w:rsidP="004E628F">
                <w:pPr>
                  <w:jc w:val="right"/>
                  <w:rPr>
                    <w:sz w:val="15"/>
                    <w:szCs w:val="15"/>
                  </w:rPr>
                </w:pPr>
                <w:r w:rsidRPr="004E628F">
                  <w:rPr>
                    <w:sz w:val="15"/>
                    <w:szCs w:val="15"/>
                  </w:rPr>
                  <w:t>1,151.41</w:t>
                </w:r>
              </w:p>
            </w:tc>
            <w:tc>
              <w:tcPr>
                <w:tcW w:w="444" w:type="pct"/>
                <w:shd w:val="clear" w:color="auto" w:fill="auto"/>
                <w:vAlign w:val="center"/>
              </w:tcPr>
              <w:p w14:paraId="6F3B0648" w14:textId="77777777" w:rsidR="004E628F" w:rsidRPr="004E628F" w:rsidRDefault="004E628F" w:rsidP="004E628F">
                <w:pPr>
                  <w:jc w:val="right"/>
                  <w:rPr>
                    <w:sz w:val="15"/>
                    <w:szCs w:val="15"/>
                  </w:rPr>
                </w:pPr>
                <w:r w:rsidRPr="004E628F">
                  <w:rPr>
                    <w:sz w:val="15"/>
                    <w:szCs w:val="15"/>
                  </w:rPr>
                  <w:t>1,067.60</w:t>
                </w:r>
              </w:p>
            </w:tc>
            <w:tc>
              <w:tcPr>
                <w:tcW w:w="444" w:type="pct"/>
                <w:shd w:val="clear" w:color="auto" w:fill="auto"/>
                <w:vAlign w:val="center"/>
              </w:tcPr>
              <w:p w14:paraId="466CE2B4" w14:textId="77777777" w:rsidR="004E628F" w:rsidRPr="004E628F" w:rsidRDefault="004E628F" w:rsidP="004E628F">
                <w:pPr>
                  <w:jc w:val="right"/>
                  <w:rPr>
                    <w:sz w:val="15"/>
                    <w:szCs w:val="15"/>
                  </w:rPr>
                </w:pPr>
                <w:r w:rsidRPr="004E628F">
                  <w:rPr>
                    <w:sz w:val="15"/>
                    <w:szCs w:val="15"/>
                  </w:rPr>
                  <w:t>77.73</w:t>
                </w:r>
              </w:p>
            </w:tc>
            <w:tc>
              <w:tcPr>
                <w:tcW w:w="445" w:type="pct"/>
                <w:shd w:val="clear" w:color="auto" w:fill="auto"/>
                <w:vAlign w:val="center"/>
              </w:tcPr>
              <w:p w14:paraId="5A41F89E" w14:textId="77777777" w:rsidR="004E628F" w:rsidRPr="004E628F" w:rsidRDefault="004E628F" w:rsidP="004E628F">
                <w:pPr>
                  <w:jc w:val="right"/>
                  <w:rPr>
                    <w:sz w:val="15"/>
                    <w:szCs w:val="15"/>
                  </w:rPr>
                </w:pPr>
              </w:p>
            </w:tc>
            <w:tc>
              <w:tcPr>
                <w:tcW w:w="413" w:type="pct"/>
                <w:shd w:val="clear" w:color="auto" w:fill="auto"/>
                <w:vAlign w:val="center"/>
              </w:tcPr>
              <w:p w14:paraId="2FEBAE73" w14:textId="77777777" w:rsidR="004E628F" w:rsidRPr="004E628F" w:rsidRDefault="004E628F" w:rsidP="004E628F">
                <w:pPr>
                  <w:jc w:val="right"/>
                  <w:rPr>
                    <w:sz w:val="15"/>
                    <w:szCs w:val="15"/>
                  </w:rPr>
                </w:pPr>
                <w:r w:rsidRPr="004E628F">
                  <w:rPr>
                    <w:sz w:val="15"/>
                    <w:szCs w:val="15"/>
                  </w:rPr>
                  <w:t>1,145.33</w:t>
                </w:r>
              </w:p>
            </w:tc>
            <w:tc>
              <w:tcPr>
                <w:tcW w:w="445" w:type="pct"/>
                <w:vAlign w:val="center"/>
              </w:tcPr>
              <w:p w14:paraId="7F903E93" w14:textId="77777777" w:rsidR="004E628F" w:rsidRPr="004E628F" w:rsidRDefault="004E628F" w:rsidP="004E628F">
                <w:pPr>
                  <w:jc w:val="right"/>
                  <w:rPr>
                    <w:sz w:val="15"/>
                    <w:szCs w:val="15"/>
                  </w:rPr>
                </w:pPr>
              </w:p>
            </w:tc>
            <w:tc>
              <w:tcPr>
                <w:tcW w:w="240" w:type="pct"/>
                <w:shd w:val="clear" w:color="auto" w:fill="auto"/>
                <w:vAlign w:val="center"/>
              </w:tcPr>
              <w:p w14:paraId="5BBD9492" w14:textId="77777777" w:rsidR="004E628F" w:rsidRDefault="004E628F" w:rsidP="004E628F">
                <w:pPr>
                  <w:jc w:val="right"/>
                  <w:rPr>
                    <w:sz w:val="15"/>
                    <w:szCs w:val="15"/>
                  </w:rPr>
                </w:pPr>
                <w:r>
                  <w:rPr>
                    <w:sz w:val="15"/>
                    <w:szCs w:val="15"/>
                  </w:rPr>
                  <w:t>99.00</w:t>
                </w:r>
              </w:p>
            </w:tc>
            <w:tc>
              <w:tcPr>
                <w:tcW w:w="240" w:type="pct"/>
                <w:shd w:val="clear" w:color="auto" w:fill="auto"/>
                <w:vAlign w:val="center"/>
              </w:tcPr>
              <w:p w14:paraId="12F998F5" w14:textId="77777777" w:rsidR="004E628F" w:rsidRDefault="004E628F" w:rsidP="004E628F">
                <w:pPr>
                  <w:jc w:val="right"/>
                  <w:rPr>
                    <w:sz w:val="15"/>
                    <w:szCs w:val="15"/>
                  </w:rPr>
                </w:pPr>
                <w:r>
                  <w:rPr>
                    <w:sz w:val="15"/>
                    <w:szCs w:val="15"/>
                  </w:rPr>
                  <w:t>100.00</w:t>
                </w:r>
              </w:p>
            </w:tc>
            <w:tc>
              <w:tcPr>
                <w:tcW w:w="386" w:type="pct"/>
                <w:shd w:val="clear" w:color="auto" w:fill="auto"/>
                <w:vAlign w:val="center"/>
              </w:tcPr>
              <w:p w14:paraId="0C6DA268" w14:textId="77777777" w:rsidR="004E628F" w:rsidRDefault="004E628F" w:rsidP="004E628F">
                <w:pPr>
                  <w:jc w:val="right"/>
                  <w:rPr>
                    <w:sz w:val="15"/>
                    <w:szCs w:val="15"/>
                  </w:rPr>
                </w:pPr>
              </w:p>
            </w:tc>
            <w:tc>
              <w:tcPr>
                <w:tcW w:w="386" w:type="pct"/>
                <w:shd w:val="clear" w:color="auto" w:fill="auto"/>
                <w:vAlign w:val="center"/>
              </w:tcPr>
              <w:p w14:paraId="64FC3A7C" w14:textId="77777777" w:rsidR="004E628F" w:rsidRDefault="004E628F" w:rsidP="004E628F">
                <w:pPr>
                  <w:jc w:val="right"/>
                  <w:rPr>
                    <w:sz w:val="15"/>
                    <w:szCs w:val="15"/>
                  </w:rPr>
                </w:pPr>
              </w:p>
            </w:tc>
            <w:tc>
              <w:tcPr>
                <w:tcW w:w="386" w:type="pct"/>
                <w:shd w:val="clear" w:color="auto" w:fill="auto"/>
                <w:vAlign w:val="center"/>
              </w:tcPr>
              <w:p w14:paraId="3B5C848F" w14:textId="77777777" w:rsidR="004E628F" w:rsidRDefault="004E628F" w:rsidP="004E628F">
                <w:pPr>
                  <w:jc w:val="right"/>
                  <w:rPr>
                    <w:sz w:val="15"/>
                    <w:szCs w:val="15"/>
                  </w:rPr>
                </w:pPr>
              </w:p>
            </w:tc>
            <w:tc>
              <w:tcPr>
                <w:tcW w:w="383" w:type="pct"/>
                <w:shd w:val="clear" w:color="auto" w:fill="auto"/>
                <w:vAlign w:val="center"/>
              </w:tcPr>
              <w:p w14:paraId="67562FCC"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1223818659"/>
        </w:sdtPr>
        <w:sdtEndPr/>
        <w:sdtContent>
          <w:tr w:rsidR="004E628F" w14:paraId="54F0F928" w14:textId="77777777" w:rsidTr="004E628F">
            <w:trPr>
              <w:cantSplit/>
            </w:trPr>
            <w:tc>
              <w:tcPr>
                <w:tcW w:w="440" w:type="pct"/>
                <w:shd w:val="clear" w:color="auto" w:fill="auto"/>
                <w:vAlign w:val="center"/>
              </w:tcPr>
              <w:p w14:paraId="446171F8" w14:textId="77777777" w:rsidR="004E628F" w:rsidRDefault="004E628F" w:rsidP="004E628F">
                <w:pPr>
                  <w:rPr>
                    <w:sz w:val="15"/>
                    <w:szCs w:val="15"/>
                  </w:rPr>
                </w:pPr>
                <w:r>
                  <w:rPr>
                    <w:sz w:val="15"/>
                    <w:szCs w:val="15"/>
                  </w:rPr>
                  <w:t>嘉善脱水剂生产线项目</w:t>
                </w:r>
              </w:p>
            </w:tc>
            <w:tc>
              <w:tcPr>
                <w:tcW w:w="348" w:type="pct"/>
                <w:shd w:val="clear" w:color="auto" w:fill="auto"/>
                <w:vAlign w:val="center"/>
              </w:tcPr>
              <w:p w14:paraId="695E162D" w14:textId="77777777" w:rsidR="004E628F" w:rsidRPr="004E628F" w:rsidRDefault="004E628F" w:rsidP="004E628F">
                <w:pPr>
                  <w:jc w:val="right"/>
                  <w:rPr>
                    <w:sz w:val="15"/>
                    <w:szCs w:val="15"/>
                  </w:rPr>
                </w:pPr>
                <w:r w:rsidRPr="004E628F">
                  <w:rPr>
                    <w:sz w:val="15"/>
                    <w:szCs w:val="15"/>
                  </w:rPr>
                  <w:t>2,082.70</w:t>
                </w:r>
              </w:p>
            </w:tc>
            <w:tc>
              <w:tcPr>
                <w:tcW w:w="444" w:type="pct"/>
                <w:shd w:val="clear" w:color="auto" w:fill="auto"/>
                <w:vAlign w:val="center"/>
              </w:tcPr>
              <w:p w14:paraId="5985A971" w14:textId="77777777" w:rsidR="004E628F" w:rsidRPr="004E628F" w:rsidRDefault="004E628F" w:rsidP="004E628F">
                <w:pPr>
                  <w:jc w:val="right"/>
                  <w:rPr>
                    <w:sz w:val="15"/>
                    <w:szCs w:val="15"/>
                  </w:rPr>
                </w:pPr>
                <w:r w:rsidRPr="004E628F">
                  <w:rPr>
                    <w:sz w:val="15"/>
                    <w:szCs w:val="15"/>
                  </w:rPr>
                  <w:t>969.24</w:t>
                </w:r>
              </w:p>
            </w:tc>
            <w:tc>
              <w:tcPr>
                <w:tcW w:w="444" w:type="pct"/>
                <w:shd w:val="clear" w:color="auto" w:fill="auto"/>
                <w:vAlign w:val="center"/>
              </w:tcPr>
              <w:p w14:paraId="77C23FDF" w14:textId="77777777" w:rsidR="004E628F" w:rsidRPr="004E628F" w:rsidRDefault="004E628F" w:rsidP="004E628F">
                <w:pPr>
                  <w:jc w:val="right"/>
                  <w:rPr>
                    <w:sz w:val="15"/>
                    <w:szCs w:val="15"/>
                  </w:rPr>
                </w:pPr>
                <w:r w:rsidRPr="004E628F">
                  <w:rPr>
                    <w:sz w:val="15"/>
                    <w:szCs w:val="15"/>
                  </w:rPr>
                  <w:t>19.43</w:t>
                </w:r>
              </w:p>
            </w:tc>
            <w:tc>
              <w:tcPr>
                <w:tcW w:w="445" w:type="pct"/>
                <w:shd w:val="clear" w:color="auto" w:fill="auto"/>
                <w:vAlign w:val="center"/>
              </w:tcPr>
              <w:p w14:paraId="72193676" w14:textId="77777777" w:rsidR="004E628F" w:rsidRPr="004E628F" w:rsidRDefault="004E628F" w:rsidP="004E628F">
                <w:pPr>
                  <w:jc w:val="right"/>
                  <w:rPr>
                    <w:sz w:val="15"/>
                    <w:szCs w:val="15"/>
                  </w:rPr>
                </w:pPr>
              </w:p>
            </w:tc>
            <w:tc>
              <w:tcPr>
                <w:tcW w:w="413" w:type="pct"/>
                <w:shd w:val="clear" w:color="auto" w:fill="auto"/>
                <w:vAlign w:val="center"/>
              </w:tcPr>
              <w:p w14:paraId="4C4B2ECC" w14:textId="77777777" w:rsidR="004E628F" w:rsidRPr="004E628F" w:rsidRDefault="004E628F" w:rsidP="004E628F">
                <w:pPr>
                  <w:jc w:val="right"/>
                  <w:rPr>
                    <w:sz w:val="15"/>
                    <w:szCs w:val="15"/>
                  </w:rPr>
                </w:pPr>
              </w:p>
            </w:tc>
            <w:tc>
              <w:tcPr>
                <w:tcW w:w="445" w:type="pct"/>
                <w:vAlign w:val="center"/>
              </w:tcPr>
              <w:p w14:paraId="7B4F3188" w14:textId="77777777" w:rsidR="004E628F" w:rsidRPr="004E628F" w:rsidRDefault="004E628F" w:rsidP="004E628F">
                <w:pPr>
                  <w:jc w:val="right"/>
                  <w:rPr>
                    <w:sz w:val="15"/>
                    <w:szCs w:val="15"/>
                  </w:rPr>
                </w:pPr>
                <w:r w:rsidRPr="004E628F">
                  <w:rPr>
                    <w:sz w:val="15"/>
                    <w:szCs w:val="15"/>
                  </w:rPr>
                  <w:t>988.67</w:t>
                </w:r>
              </w:p>
            </w:tc>
            <w:tc>
              <w:tcPr>
                <w:tcW w:w="240" w:type="pct"/>
                <w:shd w:val="clear" w:color="auto" w:fill="auto"/>
                <w:vAlign w:val="center"/>
              </w:tcPr>
              <w:p w14:paraId="282C1E0D" w14:textId="77777777" w:rsidR="004E628F" w:rsidRDefault="004E628F" w:rsidP="004E628F">
                <w:pPr>
                  <w:jc w:val="right"/>
                  <w:rPr>
                    <w:sz w:val="15"/>
                    <w:szCs w:val="15"/>
                  </w:rPr>
                </w:pPr>
                <w:r>
                  <w:rPr>
                    <w:sz w:val="15"/>
                    <w:szCs w:val="15"/>
                  </w:rPr>
                  <w:t>47.47</w:t>
                </w:r>
              </w:p>
            </w:tc>
            <w:tc>
              <w:tcPr>
                <w:tcW w:w="240" w:type="pct"/>
                <w:shd w:val="clear" w:color="auto" w:fill="auto"/>
                <w:vAlign w:val="center"/>
              </w:tcPr>
              <w:p w14:paraId="3F89A513" w14:textId="77777777" w:rsidR="004E628F" w:rsidRDefault="004E628F" w:rsidP="004E628F">
                <w:pPr>
                  <w:jc w:val="right"/>
                  <w:rPr>
                    <w:sz w:val="15"/>
                    <w:szCs w:val="15"/>
                  </w:rPr>
                </w:pPr>
                <w:r>
                  <w:rPr>
                    <w:sz w:val="15"/>
                    <w:szCs w:val="15"/>
                  </w:rPr>
                  <w:t>47.47</w:t>
                </w:r>
              </w:p>
            </w:tc>
            <w:tc>
              <w:tcPr>
                <w:tcW w:w="386" w:type="pct"/>
                <w:shd w:val="clear" w:color="auto" w:fill="auto"/>
                <w:vAlign w:val="center"/>
              </w:tcPr>
              <w:p w14:paraId="1E8EA744" w14:textId="77777777" w:rsidR="004E628F" w:rsidRDefault="004E628F" w:rsidP="004E628F">
                <w:pPr>
                  <w:jc w:val="right"/>
                  <w:rPr>
                    <w:sz w:val="15"/>
                    <w:szCs w:val="15"/>
                  </w:rPr>
                </w:pPr>
              </w:p>
            </w:tc>
            <w:tc>
              <w:tcPr>
                <w:tcW w:w="386" w:type="pct"/>
                <w:shd w:val="clear" w:color="auto" w:fill="auto"/>
                <w:vAlign w:val="center"/>
              </w:tcPr>
              <w:p w14:paraId="61B39B9D" w14:textId="77777777" w:rsidR="004E628F" w:rsidRDefault="004E628F" w:rsidP="004E628F">
                <w:pPr>
                  <w:jc w:val="right"/>
                  <w:rPr>
                    <w:sz w:val="15"/>
                    <w:szCs w:val="15"/>
                  </w:rPr>
                </w:pPr>
              </w:p>
            </w:tc>
            <w:tc>
              <w:tcPr>
                <w:tcW w:w="386" w:type="pct"/>
                <w:shd w:val="clear" w:color="auto" w:fill="auto"/>
                <w:vAlign w:val="center"/>
              </w:tcPr>
              <w:p w14:paraId="4265D3EA" w14:textId="77777777" w:rsidR="004E628F" w:rsidRDefault="004E628F" w:rsidP="004E628F">
                <w:pPr>
                  <w:jc w:val="right"/>
                  <w:rPr>
                    <w:sz w:val="15"/>
                    <w:szCs w:val="15"/>
                  </w:rPr>
                </w:pPr>
              </w:p>
            </w:tc>
            <w:tc>
              <w:tcPr>
                <w:tcW w:w="383" w:type="pct"/>
                <w:shd w:val="clear" w:color="auto" w:fill="auto"/>
                <w:vAlign w:val="center"/>
              </w:tcPr>
              <w:p w14:paraId="577F97D7"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471444261"/>
        </w:sdtPr>
        <w:sdtEndPr/>
        <w:sdtContent>
          <w:tr w:rsidR="004E628F" w14:paraId="794F51F3" w14:textId="77777777" w:rsidTr="004E628F">
            <w:trPr>
              <w:cantSplit/>
            </w:trPr>
            <w:tc>
              <w:tcPr>
                <w:tcW w:w="440" w:type="pct"/>
                <w:shd w:val="clear" w:color="auto" w:fill="auto"/>
                <w:vAlign w:val="center"/>
              </w:tcPr>
              <w:p w14:paraId="3B935C82" w14:textId="77777777" w:rsidR="004E628F" w:rsidRDefault="004E628F" w:rsidP="004E628F">
                <w:pPr>
                  <w:rPr>
                    <w:sz w:val="15"/>
                    <w:szCs w:val="15"/>
                  </w:rPr>
                </w:pPr>
                <w:r>
                  <w:rPr>
                    <w:sz w:val="15"/>
                    <w:szCs w:val="15"/>
                  </w:rPr>
                  <w:t>淮南5万吨/年有机溶剂综合回收利用项目</w:t>
                </w:r>
              </w:p>
            </w:tc>
            <w:tc>
              <w:tcPr>
                <w:tcW w:w="348" w:type="pct"/>
                <w:shd w:val="clear" w:color="auto" w:fill="auto"/>
                <w:vAlign w:val="center"/>
              </w:tcPr>
              <w:p w14:paraId="1F50AD10" w14:textId="77777777" w:rsidR="004E628F" w:rsidRPr="004E628F" w:rsidRDefault="004E628F" w:rsidP="004E628F">
                <w:pPr>
                  <w:jc w:val="right"/>
                  <w:rPr>
                    <w:sz w:val="15"/>
                    <w:szCs w:val="15"/>
                  </w:rPr>
                </w:pPr>
                <w:r w:rsidRPr="004E628F">
                  <w:rPr>
                    <w:sz w:val="15"/>
                    <w:szCs w:val="15"/>
                  </w:rPr>
                  <w:t>13,671.72</w:t>
                </w:r>
              </w:p>
            </w:tc>
            <w:tc>
              <w:tcPr>
                <w:tcW w:w="444" w:type="pct"/>
                <w:shd w:val="clear" w:color="auto" w:fill="auto"/>
                <w:vAlign w:val="center"/>
              </w:tcPr>
              <w:p w14:paraId="750BFD60" w14:textId="77777777" w:rsidR="004E628F" w:rsidRPr="004E628F" w:rsidRDefault="004E628F" w:rsidP="004E628F">
                <w:pPr>
                  <w:jc w:val="right"/>
                  <w:rPr>
                    <w:sz w:val="15"/>
                    <w:szCs w:val="15"/>
                  </w:rPr>
                </w:pPr>
                <w:r w:rsidRPr="004E628F">
                  <w:rPr>
                    <w:sz w:val="15"/>
                    <w:szCs w:val="15"/>
                  </w:rPr>
                  <w:t>729.64</w:t>
                </w:r>
              </w:p>
            </w:tc>
            <w:tc>
              <w:tcPr>
                <w:tcW w:w="444" w:type="pct"/>
                <w:shd w:val="clear" w:color="auto" w:fill="auto"/>
                <w:vAlign w:val="center"/>
              </w:tcPr>
              <w:p w14:paraId="68043F6A" w14:textId="77777777" w:rsidR="004E628F" w:rsidRPr="004E628F" w:rsidRDefault="004E628F" w:rsidP="004E628F">
                <w:pPr>
                  <w:jc w:val="right"/>
                  <w:rPr>
                    <w:sz w:val="15"/>
                    <w:szCs w:val="15"/>
                  </w:rPr>
                </w:pPr>
                <w:r w:rsidRPr="004E628F">
                  <w:rPr>
                    <w:sz w:val="15"/>
                    <w:szCs w:val="15"/>
                  </w:rPr>
                  <w:t>134.49</w:t>
                </w:r>
              </w:p>
            </w:tc>
            <w:tc>
              <w:tcPr>
                <w:tcW w:w="445" w:type="pct"/>
                <w:shd w:val="clear" w:color="auto" w:fill="auto"/>
                <w:vAlign w:val="center"/>
              </w:tcPr>
              <w:p w14:paraId="0601A2F2" w14:textId="77777777" w:rsidR="004E628F" w:rsidRPr="004E628F" w:rsidRDefault="004E628F" w:rsidP="004E628F">
                <w:pPr>
                  <w:jc w:val="right"/>
                  <w:rPr>
                    <w:sz w:val="15"/>
                    <w:szCs w:val="15"/>
                  </w:rPr>
                </w:pPr>
              </w:p>
            </w:tc>
            <w:tc>
              <w:tcPr>
                <w:tcW w:w="413" w:type="pct"/>
                <w:shd w:val="clear" w:color="auto" w:fill="auto"/>
                <w:vAlign w:val="center"/>
              </w:tcPr>
              <w:p w14:paraId="07D4E4CD" w14:textId="77777777" w:rsidR="004E628F" w:rsidRPr="004E628F" w:rsidRDefault="004E628F" w:rsidP="004E628F">
                <w:pPr>
                  <w:jc w:val="right"/>
                  <w:rPr>
                    <w:sz w:val="15"/>
                    <w:szCs w:val="15"/>
                  </w:rPr>
                </w:pPr>
              </w:p>
            </w:tc>
            <w:tc>
              <w:tcPr>
                <w:tcW w:w="445" w:type="pct"/>
                <w:vAlign w:val="center"/>
              </w:tcPr>
              <w:p w14:paraId="0D5A3982" w14:textId="77777777" w:rsidR="004E628F" w:rsidRPr="004E628F" w:rsidRDefault="004E628F" w:rsidP="004E628F">
                <w:pPr>
                  <w:jc w:val="right"/>
                  <w:rPr>
                    <w:sz w:val="15"/>
                    <w:szCs w:val="15"/>
                  </w:rPr>
                </w:pPr>
                <w:r w:rsidRPr="004E628F">
                  <w:rPr>
                    <w:sz w:val="15"/>
                    <w:szCs w:val="15"/>
                  </w:rPr>
                  <w:t>864.13</w:t>
                </w:r>
              </w:p>
            </w:tc>
            <w:tc>
              <w:tcPr>
                <w:tcW w:w="240" w:type="pct"/>
                <w:shd w:val="clear" w:color="auto" w:fill="auto"/>
                <w:vAlign w:val="center"/>
              </w:tcPr>
              <w:p w14:paraId="595CEA12" w14:textId="77777777" w:rsidR="004E628F" w:rsidRDefault="004E628F" w:rsidP="004E628F">
                <w:pPr>
                  <w:jc w:val="right"/>
                  <w:rPr>
                    <w:sz w:val="15"/>
                    <w:szCs w:val="15"/>
                  </w:rPr>
                </w:pPr>
                <w:r>
                  <w:rPr>
                    <w:sz w:val="15"/>
                    <w:szCs w:val="15"/>
                  </w:rPr>
                  <w:t>92.97</w:t>
                </w:r>
              </w:p>
            </w:tc>
            <w:tc>
              <w:tcPr>
                <w:tcW w:w="240" w:type="pct"/>
                <w:shd w:val="clear" w:color="auto" w:fill="auto"/>
                <w:vAlign w:val="center"/>
              </w:tcPr>
              <w:p w14:paraId="5C8C9711" w14:textId="77777777" w:rsidR="004E628F" w:rsidRDefault="004E628F" w:rsidP="004E628F">
                <w:pPr>
                  <w:jc w:val="right"/>
                  <w:rPr>
                    <w:sz w:val="15"/>
                    <w:szCs w:val="15"/>
                  </w:rPr>
                </w:pPr>
                <w:r>
                  <w:rPr>
                    <w:sz w:val="15"/>
                    <w:szCs w:val="15"/>
                  </w:rPr>
                  <w:t>92.97</w:t>
                </w:r>
              </w:p>
            </w:tc>
            <w:tc>
              <w:tcPr>
                <w:tcW w:w="386" w:type="pct"/>
                <w:shd w:val="clear" w:color="auto" w:fill="auto"/>
                <w:vAlign w:val="center"/>
              </w:tcPr>
              <w:p w14:paraId="188C61E9" w14:textId="77777777" w:rsidR="004E628F" w:rsidRDefault="004E628F" w:rsidP="004E628F">
                <w:pPr>
                  <w:jc w:val="right"/>
                  <w:rPr>
                    <w:sz w:val="15"/>
                    <w:szCs w:val="15"/>
                  </w:rPr>
                </w:pPr>
              </w:p>
            </w:tc>
            <w:tc>
              <w:tcPr>
                <w:tcW w:w="386" w:type="pct"/>
                <w:shd w:val="clear" w:color="auto" w:fill="auto"/>
                <w:vAlign w:val="center"/>
              </w:tcPr>
              <w:p w14:paraId="5C94EF59" w14:textId="77777777" w:rsidR="004E628F" w:rsidRDefault="004E628F" w:rsidP="004E628F">
                <w:pPr>
                  <w:jc w:val="right"/>
                  <w:rPr>
                    <w:sz w:val="15"/>
                    <w:szCs w:val="15"/>
                  </w:rPr>
                </w:pPr>
              </w:p>
            </w:tc>
            <w:tc>
              <w:tcPr>
                <w:tcW w:w="386" w:type="pct"/>
                <w:shd w:val="clear" w:color="auto" w:fill="auto"/>
                <w:vAlign w:val="center"/>
              </w:tcPr>
              <w:p w14:paraId="58AF2304" w14:textId="77777777" w:rsidR="004E628F" w:rsidRDefault="004E628F" w:rsidP="004E628F">
                <w:pPr>
                  <w:jc w:val="right"/>
                  <w:rPr>
                    <w:sz w:val="15"/>
                    <w:szCs w:val="15"/>
                  </w:rPr>
                </w:pPr>
              </w:p>
            </w:tc>
            <w:tc>
              <w:tcPr>
                <w:tcW w:w="383" w:type="pct"/>
                <w:shd w:val="clear" w:color="auto" w:fill="auto"/>
                <w:vAlign w:val="center"/>
              </w:tcPr>
              <w:p w14:paraId="51DF29B1"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1655829787"/>
        </w:sdtPr>
        <w:sdtEndPr/>
        <w:sdtContent>
          <w:tr w:rsidR="004E628F" w14:paraId="4E56A899" w14:textId="77777777" w:rsidTr="004E628F">
            <w:trPr>
              <w:cantSplit/>
            </w:trPr>
            <w:tc>
              <w:tcPr>
                <w:tcW w:w="440" w:type="pct"/>
                <w:shd w:val="clear" w:color="auto" w:fill="auto"/>
                <w:vAlign w:val="center"/>
              </w:tcPr>
              <w:p w14:paraId="7307D1A2" w14:textId="77777777" w:rsidR="004E628F" w:rsidRDefault="004E628F" w:rsidP="004E628F">
                <w:pPr>
                  <w:rPr>
                    <w:sz w:val="15"/>
                    <w:szCs w:val="15"/>
                  </w:rPr>
                </w:pPr>
                <w:r>
                  <w:rPr>
                    <w:sz w:val="15"/>
                    <w:szCs w:val="15"/>
                  </w:rPr>
                  <w:t>德国厂房屋顶翻新</w:t>
                </w:r>
              </w:p>
            </w:tc>
            <w:tc>
              <w:tcPr>
                <w:tcW w:w="348" w:type="pct"/>
                <w:shd w:val="clear" w:color="auto" w:fill="auto"/>
                <w:vAlign w:val="center"/>
              </w:tcPr>
              <w:p w14:paraId="0E022585" w14:textId="77777777" w:rsidR="004E628F" w:rsidRPr="004E628F" w:rsidRDefault="004E628F" w:rsidP="004E628F">
                <w:pPr>
                  <w:jc w:val="right"/>
                  <w:rPr>
                    <w:sz w:val="15"/>
                    <w:szCs w:val="15"/>
                  </w:rPr>
                </w:pPr>
                <w:r w:rsidRPr="004E628F">
                  <w:rPr>
                    <w:sz w:val="15"/>
                    <w:szCs w:val="15"/>
                  </w:rPr>
                  <w:t>772.74</w:t>
                </w:r>
              </w:p>
            </w:tc>
            <w:tc>
              <w:tcPr>
                <w:tcW w:w="444" w:type="pct"/>
                <w:shd w:val="clear" w:color="auto" w:fill="auto"/>
                <w:vAlign w:val="center"/>
              </w:tcPr>
              <w:p w14:paraId="036627ED" w14:textId="77777777" w:rsidR="004E628F" w:rsidRPr="004E628F" w:rsidRDefault="004E628F" w:rsidP="004E628F">
                <w:pPr>
                  <w:jc w:val="right"/>
                  <w:rPr>
                    <w:sz w:val="15"/>
                    <w:szCs w:val="15"/>
                  </w:rPr>
                </w:pPr>
                <w:r w:rsidRPr="004E628F">
                  <w:rPr>
                    <w:sz w:val="15"/>
                    <w:szCs w:val="15"/>
                  </w:rPr>
                  <w:t>694.62</w:t>
                </w:r>
              </w:p>
            </w:tc>
            <w:tc>
              <w:tcPr>
                <w:tcW w:w="444" w:type="pct"/>
                <w:shd w:val="clear" w:color="auto" w:fill="auto"/>
                <w:vAlign w:val="center"/>
              </w:tcPr>
              <w:p w14:paraId="011662F4" w14:textId="77777777" w:rsidR="004E628F" w:rsidRPr="004E628F" w:rsidRDefault="004E628F" w:rsidP="004E628F">
                <w:pPr>
                  <w:jc w:val="right"/>
                  <w:rPr>
                    <w:sz w:val="15"/>
                    <w:szCs w:val="15"/>
                  </w:rPr>
                </w:pPr>
                <w:r w:rsidRPr="004E628F">
                  <w:rPr>
                    <w:sz w:val="15"/>
                    <w:szCs w:val="15"/>
                  </w:rPr>
                  <w:t>78.12</w:t>
                </w:r>
              </w:p>
            </w:tc>
            <w:tc>
              <w:tcPr>
                <w:tcW w:w="445" w:type="pct"/>
                <w:shd w:val="clear" w:color="auto" w:fill="auto"/>
                <w:vAlign w:val="center"/>
              </w:tcPr>
              <w:p w14:paraId="52DED26D" w14:textId="77777777" w:rsidR="004E628F" w:rsidRPr="004E628F" w:rsidRDefault="004E628F" w:rsidP="004E628F">
                <w:pPr>
                  <w:jc w:val="right"/>
                  <w:rPr>
                    <w:sz w:val="15"/>
                    <w:szCs w:val="15"/>
                  </w:rPr>
                </w:pPr>
                <w:r w:rsidRPr="004E628F">
                  <w:rPr>
                    <w:sz w:val="15"/>
                    <w:szCs w:val="15"/>
                  </w:rPr>
                  <w:t>772.74</w:t>
                </w:r>
              </w:p>
            </w:tc>
            <w:tc>
              <w:tcPr>
                <w:tcW w:w="413" w:type="pct"/>
                <w:shd w:val="clear" w:color="auto" w:fill="auto"/>
                <w:vAlign w:val="center"/>
              </w:tcPr>
              <w:p w14:paraId="493B8ABF" w14:textId="77777777" w:rsidR="004E628F" w:rsidRPr="004E628F" w:rsidRDefault="004E628F" w:rsidP="004E628F">
                <w:pPr>
                  <w:jc w:val="right"/>
                  <w:rPr>
                    <w:sz w:val="15"/>
                    <w:szCs w:val="15"/>
                  </w:rPr>
                </w:pPr>
              </w:p>
            </w:tc>
            <w:tc>
              <w:tcPr>
                <w:tcW w:w="445" w:type="pct"/>
                <w:vAlign w:val="center"/>
              </w:tcPr>
              <w:p w14:paraId="0C469CF4" w14:textId="77777777" w:rsidR="004E628F" w:rsidRPr="004E628F" w:rsidRDefault="004E628F" w:rsidP="004E628F">
                <w:pPr>
                  <w:jc w:val="right"/>
                  <w:rPr>
                    <w:sz w:val="15"/>
                    <w:szCs w:val="15"/>
                  </w:rPr>
                </w:pPr>
              </w:p>
            </w:tc>
            <w:tc>
              <w:tcPr>
                <w:tcW w:w="240" w:type="pct"/>
                <w:shd w:val="clear" w:color="auto" w:fill="auto"/>
                <w:vAlign w:val="center"/>
              </w:tcPr>
              <w:p w14:paraId="0BFFEEC5" w14:textId="77777777" w:rsidR="004E628F" w:rsidRDefault="004E628F" w:rsidP="004E628F">
                <w:pPr>
                  <w:jc w:val="right"/>
                  <w:rPr>
                    <w:sz w:val="15"/>
                    <w:szCs w:val="15"/>
                  </w:rPr>
                </w:pPr>
                <w:r>
                  <w:rPr>
                    <w:sz w:val="15"/>
                    <w:szCs w:val="15"/>
                  </w:rPr>
                  <w:t>100.00</w:t>
                </w:r>
              </w:p>
            </w:tc>
            <w:tc>
              <w:tcPr>
                <w:tcW w:w="240" w:type="pct"/>
                <w:shd w:val="clear" w:color="auto" w:fill="auto"/>
                <w:vAlign w:val="center"/>
              </w:tcPr>
              <w:p w14:paraId="7477C2E5" w14:textId="77777777" w:rsidR="004E628F" w:rsidRDefault="004E628F" w:rsidP="004E628F">
                <w:pPr>
                  <w:jc w:val="right"/>
                  <w:rPr>
                    <w:sz w:val="15"/>
                    <w:szCs w:val="15"/>
                  </w:rPr>
                </w:pPr>
                <w:r>
                  <w:rPr>
                    <w:sz w:val="15"/>
                    <w:szCs w:val="15"/>
                  </w:rPr>
                  <w:t>100.00</w:t>
                </w:r>
              </w:p>
            </w:tc>
            <w:tc>
              <w:tcPr>
                <w:tcW w:w="386" w:type="pct"/>
                <w:shd w:val="clear" w:color="auto" w:fill="auto"/>
                <w:vAlign w:val="center"/>
              </w:tcPr>
              <w:p w14:paraId="317CC866" w14:textId="77777777" w:rsidR="004E628F" w:rsidRDefault="004E628F" w:rsidP="004E628F">
                <w:pPr>
                  <w:jc w:val="right"/>
                  <w:rPr>
                    <w:sz w:val="15"/>
                    <w:szCs w:val="15"/>
                  </w:rPr>
                </w:pPr>
              </w:p>
            </w:tc>
            <w:tc>
              <w:tcPr>
                <w:tcW w:w="386" w:type="pct"/>
                <w:shd w:val="clear" w:color="auto" w:fill="auto"/>
                <w:vAlign w:val="center"/>
              </w:tcPr>
              <w:p w14:paraId="1B20B89D" w14:textId="77777777" w:rsidR="004E628F" w:rsidRDefault="004E628F" w:rsidP="004E628F">
                <w:pPr>
                  <w:jc w:val="right"/>
                  <w:rPr>
                    <w:sz w:val="15"/>
                    <w:szCs w:val="15"/>
                  </w:rPr>
                </w:pPr>
              </w:p>
            </w:tc>
            <w:tc>
              <w:tcPr>
                <w:tcW w:w="386" w:type="pct"/>
                <w:shd w:val="clear" w:color="auto" w:fill="auto"/>
                <w:vAlign w:val="center"/>
              </w:tcPr>
              <w:p w14:paraId="5157246B" w14:textId="77777777" w:rsidR="004E628F" w:rsidRDefault="004E628F" w:rsidP="004E628F">
                <w:pPr>
                  <w:jc w:val="right"/>
                  <w:rPr>
                    <w:sz w:val="15"/>
                    <w:szCs w:val="15"/>
                  </w:rPr>
                </w:pPr>
              </w:p>
            </w:tc>
            <w:tc>
              <w:tcPr>
                <w:tcW w:w="383" w:type="pct"/>
                <w:shd w:val="clear" w:color="auto" w:fill="auto"/>
                <w:vAlign w:val="center"/>
              </w:tcPr>
              <w:p w14:paraId="171CFE5B"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1323124952"/>
        </w:sdtPr>
        <w:sdtEndPr/>
        <w:sdtContent>
          <w:tr w:rsidR="004E628F" w14:paraId="3ABAA920" w14:textId="77777777" w:rsidTr="004E628F">
            <w:trPr>
              <w:cantSplit/>
            </w:trPr>
            <w:tc>
              <w:tcPr>
                <w:tcW w:w="440" w:type="pct"/>
                <w:shd w:val="clear" w:color="auto" w:fill="auto"/>
                <w:vAlign w:val="center"/>
              </w:tcPr>
              <w:p w14:paraId="6D8ED09E" w14:textId="77777777" w:rsidR="004E628F" w:rsidRDefault="004E628F" w:rsidP="004E628F">
                <w:pPr>
                  <w:rPr>
                    <w:sz w:val="15"/>
                    <w:szCs w:val="15"/>
                  </w:rPr>
                </w:pPr>
                <w:r>
                  <w:rPr>
                    <w:sz w:val="15"/>
                    <w:szCs w:val="15"/>
                  </w:rPr>
                  <w:t>提升机生产车间厂房设备</w:t>
                </w:r>
              </w:p>
            </w:tc>
            <w:tc>
              <w:tcPr>
                <w:tcW w:w="348" w:type="pct"/>
                <w:shd w:val="clear" w:color="auto" w:fill="auto"/>
                <w:vAlign w:val="center"/>
              </w:tcPr>
              <w:p w14:paraId="1AE631D7" w14:textId="77777777" w:rsidR="004E628F" w:rsidRPr="004E628F" w:rsidRDefault="004E628F" w:rsidP="004E628F">
                <w:pPr>
                  <w:jc w:val="right"/>
                  <w:rPr>
                    <w:sz w:val="15"/>
                    <w:szCs w:val="15"/>
                  </w:rPr>
                </w:pPr>
                <w:r w:rsidRPr="004E628F">
                  <w:rPr>
                    <w:sz w:val="15"/>
                    <w:szCs w:val="15"/>
                  </w:rPr>
                  <w:t>1,500.00</w:t>
                </w:r>
              </w:p>
            </w:tc>
            <w:tc>
              <w:tcPr>
                <w:tcW w:w="444" w:type="pct"/>
                <w:shd w:val="clear" w:color="auto" w:fill="auto"/>
                <w:vAlign w:val="center"/>
              </w:tcPr>
              <w:p w14:paraId="0C12C313" w14:textId="77777777" w:rsidR="004E628F" w:rsidRPr="004E628F" w:rsidRDefault="004E628F" w:rsidP="004E628F">
                <w:pPr>
                  <w:jc w:val="right"/>
                  <w:rPr>
                    <w:sz w:val="15"/>
                    <w:szCs w:val="15"/>
                  </w:rPr>
                </w:pPr>
              </w:p>
            </w:tc>
            <w:tc>
              <w:tcPr>
                <w:tcW w:w="444" w:type="pct"/>
                <w:shd w:val="clear" w:color="auto" w:fill="auto"/>
                <w:vAlign w:val="center"/>
              </w:tcPr>
              <w:p w14:paraId="46D26BB2" w14:textId="77777777" w:rsidR="004E628F" w:rsidRPr="004E628F" w:rsidRDefault="004E628F" w:rsidP="004E628F">
                <w:pPr>
                  <w:jc w:val="right"/>
                  <w:rPr>
                    <w:sz w:val="15"/>
                    <w:szCs w:val="15"/>
                  </w:rPr>
                </w:pPr>
                <w:r w:rsidRPr="004E628F">
                  <w:rPr>
                    <w:sz w:val="15"/>
                    <w:szCs w:val="15"/>
                  </w:rPr>
                  <w:t>1,407.93</w:t>
                </w:r>
              </w:p>
            </w:tc>
            <w:tc>
              <w:tcPr>
                <w:tcW w:w="445" w:type="pct"/>
                <w:shd w:val="clear" w:color="auto" w:fill="auto"/>
                <w:vAlign w:val="center"/>
              </w:tcPr>
              <w:p w14:paraId="117A638F" w14:textId="77777777" w:rsidR="004E628F" w:rsidRPr="004E628F" w:rsidRDefault="004E628F" w:rsidP="004E628F">
                <w:pPr>
                  <w:jc w:val="right"/>
                  <w:rPr>
                    <w:sz w:val="15"/>
                    <w:szCs w:val="15"/>
                  </w:rPr>
                </w:pPr>
              </w:p>
            </w:tc>
            <w:tc>
              <w:tcPr>
                <w:tcW w:w="413" w:type="pct"/>
                <w:shd w:val="clear" w:color="auto" w:fill="auto"/>
                <w:vAlign w:val="center"/>
              </w:tcPr>
              <w:p w14:paraId="1F4A1AE6" w14:textId="77777777" w:rsidR="004E628F" w:rsidRPr="004E628F" w:rsidRDefault="004E628F" w:rsidP="004E628F">
                <w:pPr>
                  <w:jc w:val="right"/>
                  <w:rPr>
                    <w:sz w:val="15"/>
                    <w:szCs w:val="15"/>
                  </w:rPr>
                </w:pPr>
              </w:p>
            </w:tc>
            <w:tc>
              <w:tcPr>
                <w:tcW w:w="445" w:type="pct"/>
                <w:vAlign w:val="center"/>
              </w:tcPr>
              <w:p w14:paraId="78F6BB00" w14:textId="77777777" w:rsidR="004E628F" w:rsidRPr="004E628F" w:rsidRDefault="004E628F" w:rsidP="004E628F">
                <w:pPr>
                  <w:jc w:val="right"/>
                  <w:rPr>
                    <w:sz w:val="15"/>
                    <w:szCs w:val="15"/>
                  </w:rPr>
                </w:pPr>
                <w:r w:rsidRPr="004E628F">
                  <w:rPr>
                    <w:sz w:val="15"/>
                    <w:szCs w:val="15"/>
                  </w:rPr>
                  <w:t>1,407.93</w:t>
                </w:r>
              </w:p>
            </w:tc>
            <w:tc>
              <w:tcPr>
                <w:tcW w:w="240" w:type="pct"/>
                <w:shd w:val="clear" w:color="auto" w:fill="auto"/>
                <w:vAlign w:val="center"/>
              </w:tcPr>
              <w:p w14:paraId="2C70D9D9" w14:textId="77777777" w:rsidR="004E628F" w:rsidRDefault="004E628F" w:rsidP="004E628F">
                <w:pPr>
                  <w:jc w:val="right"/>
                  <w:rPr>
                    <w:sz w:val="15"/>
                    <w:szCs w:val="15"/>
                  </w:rPr>
                </w:pPr>
                <w:r>
                  <w:rPr>
                    <w:sz w:val="15"/>
                    <w:szCs w:val="15"/>
                  </w:rPr>
                  <w:t>93.86</w:t>
                </w:r>
              </w:p>
            </w:tc>
            <w:tc>
              <w:tcPr>
                <w:tcW w:w="240" w:type="pct"/>
                <w:shd w:val="clear" w:color="auto" w:fill="auto"/>
                <w:vAlign w:val="center"/>
              </w:tcPr>
              <w:p w14:paraId="00623493" w14:textId="77777777" w:rsidR="004E628F" w:rsidRDefault="004E628F" w:rsidP="004E628F">
                <w:pPr>
                  <w:jc w:val="right"/>
                  <w:rPr>
                    <w:sz w:val="15"/>
                    <w:szCs w:val="15"/>
                  </w:rPr>
                </w:pPr>
                <w:r>
                  <w:rPr>
                    <w:sz w:val="15"/>
                    <w:szCs w:val="15"/>
                  </w:rPr>
                  <w:t>93.86</w:t>
                </w:r>
              </w:p>
            </w:tc>
            <w:tc>
              <w:tcPr>
                <w:tcW w:w="386" w:type="pct"/>
                <w:shd w:val="clear" w:color="auto" w:fill="auto"/>
                <w:vAlign w:val="center"/>
              </w:tcPr>
              <w:p w14:paraId="52879D9A" w14:textId="77777777" w:rsidR="004E628F" w:rsidRDefault="004E628F" w:rsidP="004E628F">
                <w:pPr>
                  <w:jc w:val="right"/>
                  <w:rPr>
                    <w:sz w:val="15"/>
                    <w:szCs w:val="15"/>
                  </w:rPr>
                </w:pPr>
              </w:p>
            </w:tc>
            <w:tc>
              <w:tcPr>
                <w:tcW w:w="386" w:type="pct"/>
                <w:shd w:val="clear" w:color="auto" w:fill="auto"/>
                <w:vAlign w:val="center"/>
              </w:tcPr>
              <w:p w14:paraId="37B6119C" w14:textId="77777777" w:rsidR="004E628F" w:rsidRDefault="004E628F" w:rsidP="004E628F">
                <w:pPr>
                  <w:jc w:val="right"/>
                  <w:rPr>
                    <w:sz w:val="15"/>
                    <w:szCs w:val="15"/>
                  </w:rPr>
                </w:pPr>
              </w:p>
            </w:tc>
            <w:tc>
              <w:tcPr>
                <w:tcW w:w="386" w:type="pct"/>
                <w:shd w:val="clear" w:color="auto" w:fill="auto"/>
                <w:vAlign w:val="center"/>
              </w:tcPr>
              <w:p w14:paraId="5ECE6EC7" w14:textId="77777777" w:rsidR="004E628F" w:rsidRDefault="004E628F" w:rsidP="004E628F">
                <w:pPr>
                  <w:jc w:val="right"/>
                  <w:rPr>
                    <w:sz w:val="15"/>
                    <w:szCs w:val="15"/>
                  </w:rPr>
                </w:pPr>
              </w:p>
            </w:tc>
            <w:tc>
              <w:tcPr>
                <w:tcW w:w="383" w:type="pct"/>
                <w:shd w:val="clear" w:color="auto" w:fill="auto"/>
                <w:vAlign w:val="center"/>
              </w:tcPr>
              <w:p w14:paraId="307CB1B8"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446854981"/>
        </w:sdtPr>
        <w:sdtEndPr/>
        <w:sdtContent>
          <w:tr w:rsidR="004E628F" w14:paraId="79A56EF9" w14:textId="77777777" w:rsidTr="004E628F">
            <w:trPr>
              <w:cantSplit/>
            </w:trPr>
            <w:tc>
              <w:tcPr>
                <w:tcW w:w="440" w:type="pct"/>
                <w:shd w:val="clear" w:color="auto" w:fill="auto"/>
                <w:vAlign w:val="center"/>
              </w:tcPr>
              <w:p w14:paraId="25F6FCD4" w14:textId="77777777" w:rsidR="004E628F" w:rsidRDefault="004E628F" w:rsidP="004E628F">
                <w:pPr>
                  <w:rPr>
                    <w:sz w:val="15"/>
                    <w:szCs w:val="15"/>
                  </w:rPr>
                </w:pPr>
                <w:r>
                  <w:rPr>
                    <w:sz w:val="15"/>
                    <w:szCs w:val="15"/>
                  </w:rPr>
                  <w:t>租赁办公室装修工程</w:t>
                </w:r>
              </w:p>
            </w:tc>
            <w:tc>
              <w:tcPr>
                <w:tcW w:w="348" w:type="pct"/>
                <w:shd w:val="clear" w:color="auto" w:fill="auto"/>
                <w:vAlign w:val="center"/>
              </w:tcPr>
              <w:p w14:paraId="0F4E2071" w14:textId="77777777" w:rsidR="004E628F" w:rsidRPr="004E628F" w:rsidRDefault="004E628F" w:rsidP="004E628F">
                <w:pPr>
                  <w:jc w:val="right"/>
                  <w:rPr>
                    <w:sz w:val="15"/>
                    <w:szCs w:val="15"/>
                  </w:rPr>
                </w:pPr>
                <w:r w:rsidRPr="004E628F">
                  <w:rPr>
                    <w:sz w:val="15"/>
                    <w:szCs w:val="15"/>
                  </w:rPr>
                  <w:t>1,395.00</w:t>
                </w:r>
              </w:p>
            </w:tc>
            <w:tc>
              <w:tcPr>
                <w:tcW w:w="444" w:type="pct"/>
                <w:shd w:val="clear" w:color="auto" w:fill="auto"/>
                <w:vAlign w:val="center"/>
              </w:tcPr>
              <w:p w14:paraId="433F5735" w14:textId="77777777" w:rsidR="004E628F" w:rsidRPr="004E628F" w:rsidRDefault="004E628F" w:rsidP="004E628F">
                <w:pPr>
                  <w:jc w:val="right"/>
                  <w:rPr>
                    <w:sz w:val="15"/>
                    <w:szCs w:val="15"/>
                  </w:rPr>
                </w:pPr>
              </w:p>
            </w:tc>
            <w:tc>
              <w:tcPr>
                <w:tcW w:w="444" w:type="pct"/>
                <w:shd w:val="clear" w:color="auto" w:fill="auto"/>
                <w:vAlign w:val="center"/>
              </w:tcPr>
              <w:p w14:paraId="70016305" w14:textId="77777777" w:rsidR="004E628F" w:rsidRPr="004E628F" w:rsidRDefault="004E628F" w:rsidP="004E628F">
                <w:pPr>
                  <w:jc w:val="right"/>
                  <w:rPr>
                    <w:sz w:val="15"/>
                    <w:szCs w:val="15"/>
                  </w:rPr>
                </w:pPr>
                <w:r w:rsidRPr="004E628F">
                  <w:rPr>
                    <w:sz w:val="15"/>
                    <w:szCs w:val="15"/>
                  </w:rPr>
                  <w:t>1,278.11</w:t>
                </w:r>
              </w:p>
            </w:tc>
            <w:tc>
              <w:tcPr>
                <w:tcW w:w="445" w:type="pct"/>
                <w:shd w:val="clear" w:color="auto" w:fill="auto"/>
                <w:vAlign w:val="center"/>
              </w:tcPr>
              <w:p w14:paraId="00409DB2" w14:textId="77777777" w:rsidR="004E628F" w:rsidRPr="004E628F" w:rsidRDefault="004E628F" w:rsidP="004E628F">
                <w:pPr>
                  <w:jc w:val="right"/>
                  <w:rPr>
                    <w:sz w:val="15"/>
                    <w:szCs w:val="15"/>
                  </w:rPr>
                </w:pPr>
              </w:p>
            </w:tc>
            <w:tc>
              <w:tcPr>
                <w:tcW w:w="413" w:type="pct"/>
                <w:shd w:val="clear" w:color="auto" w:fill="auto"/>
                <w:vAlign w:val="center"/>
              </w:tcPr>
              <w:p w14:paraId="49EE7846" w14:textId="77777777" w:rsidR="004E628F" w:rsidRPr="004E628F" w:rsidRDefault="004E628F" w:rsidP="004E628F">
                <w:pPr>
                  <w:jc w:val="right"/>
                  <w:rPr>
                    <w:sz w:val="15"/>
                    <w:szCs w:val="15"/>
                  </w:rPr>
                </w:pPr>
              </w:p>
            </w:tc>
            <w:tc>
              <w:tcPr>
                <w:tcW w:w="445" w:type="pct"/>
                <w:vAlign w:val="center"/>
              </w:tcPr>
              <w:p w14:paraId="5C8901A0" w14:textId="77777777" w:rsidR="004E628F" w:rsidRPr="004E628F" w:rsidRDefault="004E628F" w:rsidP="004E628F">
                <w:pPr>
                  <w:jc w:val="right"/>
                  <w:rPr>
                    <w:sz w:val="15"/>
                    <w:szCs w:val="15"/>
                  </w:rPr>
                </w:pPr>
                <w:r w:rsidRPr="004E628F">
                  <w:rPr>
                    <w:sz w:val="15"/>
                    <w:szCs w:val="15"/>
                  </w:rPr>
                  <w:t>1,278.11</w:t>
                </w:r>
              </w:p>
            </w:tc>
            <w:tc>
              <w:tcPr>
                <w:tcW w:w="240" w:type="pct"/>
                <w:shd w:val="clear" w:color="auto" w:fill="auto"/>
                <w:vAlign w:val="center"/>
              </w:tcPr>
              <w:p w14:paraId="0F104A71" w14:textId="77777777" w:rsidR="004E628F" w:rsidRDefault="004E628F" w:rsidP="004E628F">
                <w:pPr>
                  <w:jc w:val="right"/>
                  <w:rPr>
                    <w:sz w:val="15"/>
                    <w:szCs w:val="15"/>
                  </w:rPr>
                </w:pPr>
                <w:r>
                  <w:rPr>
                    <w:sz w:val="15"/>
                    <w:szCs w:val="15"/>
                  </w:rPr>
                  <w:t>91.62</w:t>
                </w:r>
              </w:p>
            </w:tc>
            <w:tc>
              <w:tcPr>
                <w:tcW w:w="240" w:type="pct"/>
                <w:shd w:val="clear" w:color="auto" w:fill="auto"/>
                <w:vAlign w:val="center"/>
              </w:tcPr>
              <w:p w14:paraId="7F04996E" w14:textId="77777777" w:rsidR="004E628F" w:rsidRDefault="004E628F" w:rsidP="004E628F">
                <w:pPr>
                  <w:jc w:val="right"/>
                  <w:rPr>
                    <w:sz w:val="15"/>
                    <w:szCs w:val="15"/>
                  </w:rPr>
                </w:pPr>
                <w:r>
                  <w:rPr>
                    <w:sz w:val="15"/>
                    <w:szCs w:val="15"/>
                  </w:rPr>
                  <w:t>91.62</w:t>
                </w:r>
              </w:p>
            </w:tc>
            <w:tc>
              <w:tcPr>
                <w:tcW w:w="386" w:type="pct"/>
                <w:shd w:val="clear" w:color="auto" w:fill="auto"/>
                <w:vAlign w:val="center"/>
              </w:tcPr>
              <w:p w14:paraId="6E7EFCA1" w14:textId="77777777" w:rsidR="004E628F" w:rsidRDefault="004E628F" w:rsidP="004E628F">
                <w:pPr>
                  <w:jc w:val="right"/>
                  <w:rPr>
                    <w:sz w:val="15"/>
                    <w:szCs w:val="15"/>
                  </w:rPr>
                </w:pPr>
              </w:p>
            </w:tc>
            <w:tc>
              <w:tcPr>
                <w:tcW w:w="386" w:type="pct"/>
                <w:shd w:val="clear" w:color="auto" w:fill="auto"/>
                <w:vAlign w:val="center"/>
              </w:tcPr>
              <w:p w14:paraId="18AEAD71" w14:textId="77777777" w:rsidR="004E628F" w:rsidRDefault="004E628F" w:rsidP="004E628F">
                <w:pPr>
                  <w:jc w:val="right"/>
                  <w:rPr>
                    <w:sz w:val="15"/>
                    <w:szCs w:val="15"/>
                  </w:rPr>
                </w:pPr>
              </w:p>
            </w:tc>
            <w:tc>
              <w:tcPr>
                <w:tcW w:w="386" w:type="pct"/>
                <w:shd w:val="clear" w:color="auto" w:fill="auto"/>
                <w:vAlign w:val="center"/>
              </w:tcPr>
              <w:p w14:paraId="004092C2" w14:textId="77777777" w:rsidR="004E628F" w:rsidRDefault="004E628F" w:rsidP="004E628F">
                <w:pPr>
                  <w:jc w:val="right"/>
                  <w:rPr>
                    <w:sz w:val="15"/>
                    <w:szCs w:val="15"/>
                  </w:rPr>
                </w:pPr>
              </w:p>
            </w:tc>
            <w:tc>
              <w:tcPr>
                <w:tcW w:w="383" w:type="pct"/>
                <w:shd w:val="clear" w:color="auto" w:fill="auto"/>
                <w:vAlign w:val="center"/>
              </w:tcPr>
              <w:p w14:paraId="484AD3A0" w14:textId="77777777" w:rsidR="004E628F" w:rsidRDefault="004E628F" w:rsidP="004E628F">
                <w:pPr>
                  <w:jc w:val="center"/>
                  <w:rPr>
                    <w:sz w:val="15"/>
                    <w:szCs w:val="15"/>
                  </w:rPr>
                </w:pPr>
                <w:r>
                  <w:rPr>
                    <w:sz w:val="15"/>
                    <w:szCs w:val="15"/>
                  </w:rPr>
                  <w:t>自有资金</w:t>
                </w:r>
              </w:p>
            </w:tc>
          </w:tr>
        </w:sdtContent>
      </w:sdt>
      <w:sdt>
        <w:sdtPr>
          <w:rPr>
            <w:rFonts w:hint="eastAsia"/>
            <w:sz w:val="15"/>
            <w:szCs w:val="15"/>
          </w:rPr>
          <w:alias w:val="在建工程明细"/>
          <w:tag w:val="_TUP_ddeb799b6fdf45e2b195807d1913c3bb"/>
          <w:id w:val="-630701044"/>
        </w:sdtPr>
        <w:sdtEndPr/>
        <w:sdtContent>
          <w:tr w:rsidR="004E628F" w14:paraId="220412C5" w14:textId="77777777" w:rsidTr="004E628F">
            <w:trPr>
              <w:cantSplit/>
            </w:trPr>
            <w:tc>
              <w:tcPr>
                <w:tcW w:w="440" w:type="pct"/>
                <w:shd w:val="clear" w:color="auto" w:fill="auto"/>
                <w:vAlign w:val="center"/>
              </w:tcPr>
              <w:p w14:paraId="5A9F4A7B" w14:textId="77777777" w:rsidR="004E628F" w:rsidRDefault="004E628F" w:rsidP="004E628F">
                <w:pPr>
                  <w:rPr>
                    <w:sz w:val="15"/>
                    <w:szCs w:val="15"/>
                  </w:rPr>
                </w:pPr>
                <w:r>
                  <w:rPr>
                    <w:sz w:val="15"/>
                    <w:szCs w:val="15"/>
                  </w:rPr>
                  <w:t>矿山开采服务项目驻地临时设施建设</w:t>
                </w:r>
              </w:p>
            </w:tc>
            <w:tc>
              <w:tcPr>
                <w:tcW w:w="348" w:type="pct"/>
                <w:shd w:val="clear" w:color="auto" w:fill="auto"/>
                <w:vAlign w:val="center"/>
              </w:tcPr>
              <w:p w14:paraId="2BF92C9F" w14:textId="77777777" w:rsidR="004E628F" w:rsidRPr="004E628F" w:rsidRDefault="004E628F" w:rsidP="004E628F">
                <w:pPr>
                  <w:jc w:val="right"/>
                  <w:rPr>
                    <w:sz w:val="15"/>
                    <w:szCs w:val="15"/>
                  </w:rPr>
                </w:pPr>
                <w:r w:rsidRPr="004E628F">
                  <w:rPr>
                    <w:sz w:val="15"/>
                    <w:szCs w:val="15"/>
                  </w:rPr>
                  <w:t>1,310.00</w:t>
                </w:r>
              </w:p>
            </w:tc>
            <w:tc>
              <w:tcPr>
                <w:tcW w:w="444" w:type="pct"/>
                <w:shd w:val="clear" w:color="auto" w:fill="auto"/>
                <w:vAlign w:val="center"/>
              </w:tcPr>
              <w:p w14:paraId="1131A4BC" w14:textId="77777777" w:rsidR="004E628F" w:rsidRPr="004E628F" w:rsidRDefault="004E628F" w:rsidP="004E628F">
                <w:pPr>
                  <w:jc w:val="right"/>
                  <w:rPr>
                    <w:sz w:val="15"/>
                    <w:szCs w:val="15"/>
                  </w:rPr>
                </w:pPr>
              </w:p>
            </w:tc>
            <w:tc>
              <w:tcPr>
                <w:tcW w:w="444" w:type="pct"/>
                <w:shd w:val="clear" w:color="auto" w:fill="auto"/>
                <w:vAlign w:val="center"/>
              </w:tcPr>
              <w:p w14:paraId="38897306" w14:textId="77777777" w:rsidR="004E628F" w:rsidRPr="004E628F" w:rsidRDefault="004E628F" w:rsidP="004E628F">
                <w:pPr>
                  <w:jc w:val="right"/>
                  <w:rPr>
                    <w:sz w:val="15"/>
                    <w:szCs w:val="15"/>
                  </w:rPr>
                </w:pPr>
                <w:r w:rsidRPr="004E628F">
                  <w:rPr>
                    <w:sz w:val="15"/>
                    <w:szCs w:val="15"/>
                  </w:rPr>
                  <w:t>1,184.68</w:t>
                </w:r>
              </w:p>
            </w:tc>
            <w:tc>
              <w:tcPr>
                <w:tcW w:w="445" w:type="pct"/>
                <w:shd w:val="clear" w:color="auto" w:fill="auto"/>
                <w:vAlign w:val="center"/>
              </w:tcPr>
              <w:p w14:paraId="0C0E85E6" w14:textId="77777777" w:rsidR="004E628F" w:rsidRPr="004E628F" w:rsidRDefault="004E628F" w:rsidP="004E628F">
                <w:pPr>
                  <w:jc w:val="right"/>
                  <w:rPr>
                    <w:sz w:val="15"/>
                    <w:szCs w:val="15"/>
                  </w:rPr>
                </w:pPr>
              </w:p>
            </w:tc>
            <w:tc>
              <w:tcPr>
                <w:tcW w:w="413" w:type="pct"/>
                <w:shd w:val="clear" w:color="auto" w:fill="auto"/>
                <w:vAlign w:val="center"/>
              </w:tcPr>
              <w:p w14:paraId="24337E6E" w14:textId="77777777" w:rsidR="004E628F" w:rsidRPr="004E628F" w:rsidRDefault="004E628F" w:rsidP="004E628F">
                <w:pPr>
                  <w:jc w:val="right"/>
                  <w:rPr>
                    <w:sz w:val="15"/>
                    <w:szCs w:val="15"/>
                  </w:rPr>
                </w:pPr>
              </w:p>
            </w:tc>
            <w:tc>
              <w:tcPr>
                <w:tcW w:w="445" w:type="pct"/>
                <w:vAlign w:val="center"/>
              </w:tcPr>
              <w:p w14:paraId="66860C70" w14:textId="77777777" w:rsidR="004E628F" w:rsidRPr="004E628F" w:rsidRDefault="004E628F" w:rsidP="004E628F">
                <w:pPr>
                  <w:jc w:val="right"/>
                  <w:rPr>
                    <w:sz w:val="15"/>
                    <w:szCs w:val="15"/>
                  </w:rPr>
                </w:pPr>
                <w:r w:rsidRPr="004E628F">
                  <w:rPr>
                    <w:sz w:val="15"/>
                    <w:szCs w:val="15"/>
                  </w:rPr>
                  <w:t>1,184.68</w:t>
                </w:r>
              </w:p>
            </w:tc>
            <w:tc>
              <w:tcPr>
                <w:tcW w:w="240" w:type="pct"/>
                <w:shd w:val="clear" w:color="auto" w:fill="auto"/>
                <w:vAlign w:val="center"/>
              </w:tcPr>
              <w:p w14:paraId="3F9813A8" w14:textId="77777777" w:rsidR="004E628F" w:rsidRDefault="004E628F" w:rsidP="004E628F">
                <w:pPr>
                  <w:jc w:val="right"/>
                  <w:rPr>
                    <w:sz w:val="15"/>
                    <w:szCs w:val="15"/>
                  </w:rPr>
                </w:pPr>
                <w:r>
                  <w:rPr>
                    <w:sz w:val="15"/>
                    <w:szCs w:val="15"/>
                  </w:rPr>
                  <w:t>90.43</w:t>
                </w:r>
              </w:p>
            </w:tc>
            <w:tc>
              <w:tcPr>
                <w:tcW w:w="240" w:type="pct"/>
                <w:shd w:val="clear" w:color="auto" w:fill="auto"/>
                <w:vAlign w:val="center"/>
              </w:tcPr>
              <w:p w14:paraId="4836EE3F" w14:textId="77777777" w:rsidR="004E628F" w:rsidRDefault="004E628F" w:rsidP="004E628F">
                <w:pPr>
                  <w:jc w:val="right"/>
                  <w:rPr>
                    <w:sz w:val="15"/>
                    <w:szCs w:val="15"/>
                  </w:rPr>
                </w:pPr>
                <w:r>
                  <w:rPr>
                    <w:sz w:val="15"/>
                    <w:szCs w:val="15"/>
                  </w:rPr>
                  <w:t>90.43</w:t>
                </w:r>
              </w:p>
            </w:tc>
            <w:tc>
              <w:tcPr>
                <w:tcW w:w="386" w:type="pct"/>
                <w:shd w:val="clear" w:color="auto" w:fill="auto"/>
                <w:vAlign w:val="center"/>
              </w:tcPr>
              <w:p w14:paraId="7E5EB509" w14:textId="77777777" w:rsidR="004E628F" w:rsidRDefault="004E628F" w:rsidP="004E628F">
                <w:pPr>
                  <w:jc w:val="right"/>
                  <w:rPr>
                    <w:sz w:val="15"/>
                    <w:szCs w:val="15"/>
                  </w:rPr>
                </w:pPr>
              </w:p>
            </w:tc>
            <w:tc>
              <w:tcPr>
                <w:tcW w:w="386" w:type="pct"/>
                <w:shd w:val="clear" w:color="auto" w:fill="auto"/>
                <w:vAlign w:val="center"/>
              </w:tcPr>
              <w:p w14:paraId="1254056C" w14:textId="77777777" w:rsidR="004E628F" w:rsidRDefault="004E628F" w:rsidP="004E628F">
                <w:pPr>
                  <w:jc w:val="right"/>
                  <w:rPr>
                    <w:sz w:val="15"/>
                    <w:szCs w:val="15"/>
                  </w:rPr>
                </w:pPr>
              </w:p>
            </w:tc>
            <w:tc>
              <w:tcPr>
                <w:tcW w:w="386" w:type="pct"/>
                <w:shd w:val="clear" w:color="auto" w:fill="auto"/>
                <w:vAlign w:val="center"/>
              </w:tcPr>
              <w:p w14:paraId="3C60AA1F" w14:textId="77777777" w:rsidR="004E628F" w:rsidRDefault="004E628F" w:rsidP="004E628F">
                <w:pPr>
                  <w:jc w:val="right"/>
                  <w:rPr>
                    <w:sz w:val="15"/>
                    <w:szCs w:val="15"/>
                  </w:rPr>
                </w:pPr>
              </w:p>
            </w:tc>
            <w:tc>
              <w:tcPr>
                <w:tcW w:w="383" w:type="pct"/>
                <w:shd w:val="clear" w:color="auto" w:fill="auto"/>
                <w:vAlign w:val="center"/>
              </w:tcPr>
              <w:p w14:paraId="636B2F57" w14:textId="77777777" w:rsidR="004E628F" w:rsidRDefault="004E628F" w:rsidP="004E628F">
                <w:pPr>
                  <w:jc w:val="center"/>
                  <w:rPr>
                    <w:sz w:val="15"/>
                    <w:szCs w:val="15"/>
                  </w:rPr>
                </w:pPr>
                <w:r>
                  <w:rPr>
                    <w:sz w:val="15"/>
                    <w:szCs w:val="15"/>
                  </w:rPr>
                  <w:t>自有资金</w:t>
                </w:r>
              </w:p>
            </w:tc>
          </w:tr>
        </w:sdtContent>
      </w:sdt>
      <w:tr w:rsidR="004E628F" w14:paraId="3BC00DC7" w14:textId="77777777" w:rsidTr="004E628F">
        <w:trPr>
          <w:cantSplit/>
        </w:trPr>
        <w:sdt>
          <w:sdtPr>
            <w:rPr>
              <w:sz w:val="15"/>
              <w:szCs w:val="15"/>
            </w:rPr>
            <w:tag w:val="_PLD_2216f6ec60d6481d870ef3195ec544aa"/>
            <w:id w:val="-628780806"/>
          </w:sdtPr>
          <w:sdtEndPr/>
          <w:sdtContent>
            <w:tc>
              <w:tcPr>
                <w:tcW w:w="440" w:type="pct"/>
                <w:shd w:val="clear" w:color="auto" w:fill="auto"/>
                <w:vAlign w:val="center"/>
              </w:tcPr>
              <w:p w14:paraId="1150D434" w14:textId="77777777" w:rsidR="004E628F" w:rsidRDefault="004E628F" w:rsidP="004E628F">
                <w:pPr>
                  <w:jc w:val="center"/>
                  <w:rPr>
                    <w:sz w:val="15"/>
                    <w:szCs w:val="15"/>
                  </w:rPr>
                </w:pPr>
                <w:r>
                  <w:rPr>
                    <w:rFonts w:hint="eastAsia"/>
                    <w:sz w:val="15"/>
                    <w:szCs w:val="15"/>
                  </w:rPr>
                  <w:t>合计</w:t>
                </w:r>
              </w:p>
            </w:tc>
          </w:sdtContent>
        </w:sdt>
        <w:tc>
          <w:tcPr>
            <w:tcW w:w="348" w:type="pct"/>
            <w:shd w:val="clear" w:color="auto" w:fill="auto"/>
            <w:vAlign w:val="center"/>
          </w:tcPr>
          <w:p w14:paraId="64E9910D" w14:textId="77777777" w:rsidR="004E628F" w:rsidRPr="004E628F" w:rsidRDefault="004E628F" w:rsidP="004E628F">
            <w:pPr>
              <w:jc w:val="right"/>
              <w:rPr>
                <w:sz w:val="15"/>
                <w:szCs w:val="15"/>
              </w:rPr>
            </w:pPr>
            <w:r w:rsidRPr="004E628F">
              <w:rPr>
                <w:sz w:val="15"/>
                <w:szCs w:val="15"/>
              </w:rPr>
              <w:t>369,884.68</w:t>
            </w:r>
          </w:p>
        </w:tc>
        <w:tc>
          <w:tcPr>
            <w:tcW w:w="444" w:type="pct"/>
            <w:shd w:val="clear" w:color="auto" w:fill="auto"/>
            <w:vAlign w:val="center"/>
          </w:tcPr>
          <w:p w14:paraId="6F6E8878" w14:textId="77777777" w:rsidR="004E628F" w:rsidRPr="004E628F" w:rsidRDefault="004E628F" w:rsidP="004E628F">
            <w:pPr>
              <w:jc w:val="right"/>
              <w:rPr>
                <w:sz w:val="15"/>
                <w:szCs w:val="15"/>
              </w:rPr>
            </w:pPr>
            <w:r w:rsidRPr="004E628F">
              <w:rPr>
                <w:sz w:val="15"/>
                <w:szCs w:val="15"/>
              </w:rPr>
              <w:t>81,480.28</w:t>
            </w:r>
          </w:p>
        </w:tc>
        <w:tc>
          <w:tcPr>
            <w:tcW w:w="444" w:type="pct"/>
            <w:shd w:val="clear" w:color="auto" w:fill="auto"/>
            <w:vAlign w:val="center"/>
          </w:tcPr>
          <w:p w14:paraId="7E76613F" w14:textId="77777777" w:rsidR="004E628F" w:rsidRPr="004E628F" w:rsidRDefault="004E628F" w:rsidP="004E628F">
            <w:pPr>
              <w:jc w:val="right"/>
              <w:rPr>
                <w:sz w:val="15"/>
                <w:szCs w:val="15"/>
              </w:rPr>
            </w:pPr>
            <w:r w:rsidRPr="004E628F">
              <w:rPr>
                <w:sz w:val="15"/>
                <w:szCs w:val="15"/>
              </w:rPr>
              <w:t>65,507.15</w:t>
            </w:r>
          </w:p>
        </w:tc>
        <w:tc>
          <w:tcPr>
            <w:tcW w:w="445" w:type="pct"/>
            <w:shd w:val="clear" w:color="auto" w:fill="auto"/>
            <w:vAlign w:val="center"/>
          </w:tcPr>
          <w:p w14:paraId="1E7D9F41" w14:textId="77777777" w:rsidR="004E628F" w:rsidRPr="004E628F" w:rsidRDefault="004E628F" w:rsidP="004E628F">
            <w:pPr>
              <w:jc w:val="right"/>
              <w:rPr>
                <w:sz w:val="15"/>
                <w:szCs w:val="15"/>
              </w:rPr>
            </w:pPr>
            <w:r w:rsidRPr="004E628F">
              <w:rPr>
                <w:sz w:val="15"/>
                <w:szCs w:val="15"/>
              </w:rPr>
              <w:t>89,162.30</w:t>
            </w:r>
          </w:p>
        </w:tc>
        <w:tc>
          <w:tcPr>
            <w:tcW w:w="413" w:type="pct"/>
            <w:shd w:val="clear" w:color="auto" w:fill="auto"/>
            <w:vAlign w:val="center"/>
          </w:tcPr>
          <w:p w14:paraId="545353B5" w14:textId="77777777" w:rsidR="004E628F" w:rsidRPr="004E628F" w:rsidRDefault="004E628F" w:rsidP="004E628F">
            <w:pPr>
              <w:jc w:val="right"/>
              <w:rPr>
                <w:sz w:val="15"/>
                <w:szCs w:val="15"/>
              </w:rPr>
            </w:pPr>
            <w:r w:rsidRPr="004E628F">
              <w:rPr>
                <w:sz w:val="15"/>
                <w:szCs w:val="15"/>
              </w:rPr>
              <w:t>2,691.49</w:t>
            </w:r>
          </w:p>
        </w:tc>
        <w:tc>
          <w:tcPr>
            <w:tcW w:w="445" w:type="pct"/>
            <w:vAlign w:val="center"/>
          </w:tcPr>
          <w:p w14:paraId="1BBF3174" w14:textId="77777777" w:rsidR="004E628F" w:rsidRPr="004E628F" w:rsidRDefault="004E628F" w:rsidP="004E628F">
            <w:pPr>
              <w:jc w:val="right"/>
              <w:rPr>
                <w:sz w:val="15"/>
                <w:szCs w:val="15"/>
              </w:rPr>
            </w:pPr>
            <w:r w:rsidRPr="004E628F">
              <w:rPr>
                <w:sz w:val="15"/>
                <w:szCs w:val="15"/>
              </w:rPr>
              <w:t>55,133.64</w:t>
            </w:r>
          </w:p>
        </w:tc>
        <w:tc>
          <w:tcPr>
            <w:tcW w:w="240" w:type="pct"/>
            <w:shd w:val="clear" w:color="auto" w:fill="auto"/>
            <w:vAlign w:val="center"/>
          </w:tcPr>
          <w:p w14:paraId="10D8FBCC" w14:textId="77777777" w:rsidR="004E628F" w:rsidRDefault="004E628F" w:rsidP="004E628F">
            <w:pPr>
              <w:jc w:val="right"/>
              <w:rPr>
                <w:sz w:val="15"/>
                <w:szCs w:val="15"/>
              </w:rPr>
            </w:pPr>
            <w:r>
              <w:rPr>
                <w:rFonts w:hint="eastAsia"/>
                <w:sz w:val="15"/>
                <w:szCs w:val="15"/>
              </w:rPr>
              <w:t>/</w:t>
            </w:r>
          </w:p>
        </w:tc>
        <w:tc>
          <w:tcPr>
            <w:tcW w:w="240" w:type="pct"/>
            <w:shd w:val="clear" w:color="auto" w:fill="auto"/>
            <w:vAlign w:val="center"/>
          </w:tcPr>
          <w:p w14:paraId="6F406D9D" w14:textId="77777777" w:rsidR="004E628F" w:rsidRDefault="004E628F" w:rsidP="004E628F">
            <w:pPr>
              <w:jc w:val="right"/>
              <w:rPr>
                <w:sz w:val="15"/>
                <w:szCs w:val="15"/>
              </w:rPr>
            </w:pPr>
            <w:r>
              <w:rPr>
                <w:rFonts w:hint="eastAsia"/>
                <w:sz w:val="15"/>
                <w:szCs w:val="15"/>
              </w:rPr>
              <w:t>/</w:t>
            </w:r>
          </w:p>
        </w:tc>
        <w:tc>
          <w:tcPr>
            <w:tcW w:w="386" w:type="pct"/>
            <w:shd w:val="clear" w:color="auto" w:fill="auto"/>
            <w:vAlign w:val="center"/>
          </w:tcPr>
          <w:p w14:paraId="15BA1C32" w14:textId="77777777" w:rsidR="004E628F" w:rsidRDefault="004E628F" w:rsidP="004E628F">
            <w:pPr>
              <w:jc w:val="right"/>
              <w:rPr>
                <w:sz w:val="15"/>
                <w:szCs w:val="15"/>
              </w:rPr>
            </w:pPr>
            <w:r>
              <w:rPr>
                <w:sz w:val="15"/>
                <w:szCs w:val="15"/>
              </w:rPr>
              <w:t>335.44</w:t>
            </w:r>
          </w:p>
        </w:tc>
        <w:tc>
          <w:tcPr>
            <w:tcW w:w="386" w:type="pct"/>
            <w:shd w:val="clear" w:color="auto" w:fill="auto"/>
            <w:vAlign w:val="center"/>
          </w:tcPr>
          <w:p w14:paraId="1FD85CE5" w14:textId="77777777" w:rsidR="004E628F" w:rsidRDefault="004E628F" w:rsidP="004E628F">
            <w:pPr>
              <w:jc w:val="right"/>
              <w:rPr>
                <w:sz w:val="15"/>
                <w:szCs w:val="15"/>
              </w:rPr>
            </w:pPr>
            <w:r>
              <w:rPr>
                <w:sz w:val="15"/>
                <w:szCs w:val="15"/>
              </w:rPr>
              <w:t>335.44</w:t>
            </w:r>
          </w:p>
        </w:tc>
        <w:tc>
          <w:tcPr>
            <w:tcW w:w="386" w:type="pct"/>
            <w:shd w:val="clear" w:color="auto" w:fill="auto"/>
            <w:vAlign w:val="center"/>
          </w:tcPr>
          <w:p w14:paraId="4A706F8B" w14:textId="77777777" w:rsidR="004E628F" w:rsidRDefault="004E628F" w:rsidP="004E628F">
            <w:pPr>
              <w:jc w:val="right"/>
              <w:rPr>
                <w:sz w:val="15"/>
                <w:szCs w:val="15"/>
              </w:rPr>
            </w:pPr>
            <w:r>
              <w:rPr>
                <w:rFonts w:hint="eastAsia"/>
                <w:sz w:val="15"/>
                <w:szCs w:val="15"/>
              </w:rPr>
              <w:t>/</w:t>
            </w:r>
          </w:p>
        </w:tc>
        <w:tc>
          <w:tcPr>
            <w:tcW w:w="383" w:type="pct"/>
            <w:shd w:val="clear" w:color="auto" w:fill="auto"/>
            <w:vAlign w:val="center"/>
          </w:tcPr>
          <w:p w14:paraId="567403BB" w14:textId="77777777" w:rsidR="004E628F" w:rsidRDefault="004E628F" w:rsidP="004E628F">
            <w:pPr>
              <w:jc w:val="center"/>
              <w:rPr>
                <w:sz w:val="15"/>
                <w:szCs w:val="15"/>
              </w:rPr>
            </w:pPr>
          </w:p>
        </w:tc>
      </w:tr>
    </w:tbl>
    <w:p w14:paraId="51DD53E6" w14:textId="77777777" w:rsidR="00E57DAA" w:rsidRDefault="00E57DAA"/>
    <w:p w14:paraId="32E878C5" w14:textId="77777777" w:rsidR="00E57DAA" w:rsidRDefault="00E57DAA">
      <w:pPr>
        <w:snapToGrid w:val="0"/>
        <w:spacing w:line="240" w:lineRule="atLeast"/>
        <w:rPr>
          <w:szCs w:val="21"/>
        </w:rPr>
        <w:sectPr w:rsidR="00E57DAA" w:rsidSect="00226547">
          <w:pgSz w:w="16838" w:h="11906" w:orient="landscape"/>
          <w:pgMar w:top="1276" w:right="1440" w:bottom="1797" w:left="1525" w:header="856" w:footer="992" w:gutter="0"/>
          <w:cols w:space="425"/>
          <w:docGrid w:linePitch="312"/>
        </w:sectPr>
      </w:pPr>
    </w:p>
    <w:p w14:paraId="1B6DEBB8" w14:textId="77777777" w:rsidR="00E57DAA" w:rsidRDefault="00E57DAA">
      <w:pPr>
        <w:snapToGrid w:val="0"/>
        <w:spacing w:line="240" w:lineRule="atLeast"/>
        <w:rPr>
          <w:szCs w:val="21"/>
        </w:rPr>
      </w:pPr>
    </w:p>
    <w:p w14:paraId="62F8B6A0" w14:textId="77777777" w:rsidR="00E57DAA" w:rsidRDefault="00AC4185" w:rsidP="00C25422">
      <w:pPr>
        <w:pStyle w:val="90"/>
        <w:numPr>
          <w:ilvl w:val="0"/>
          <w:numId w:val="84"/>
        </w:numPr>
        <w:ind w:leftChars="0"/>
      </w:pPr>
      <w:r>
        <w:rPr>
          <w:rFonts w:hint="eastAsia"/>
        </w:rPr>
        <w:t>本期计提在建工程减值准备情况</w:t>
      </w:r>
    </w:p>
    <w:sdt>
      <w:sdtPr>
        <w:alias w:val="是否适用：本期计提在建工程减值准备情况[双击切换]"/>
        <w:tag w:val="_GBC_f0a78e682a314d34a7b55dd88c219307"/>
        <w:id w:val="545802721"/>
        <w:placeholder>
          <w:docPart w:val="GBC22222222222222222222222222222"/>
        </w:placeholder>
      </w:sdtPr>
      <w:sdtEndPr/>
      <w:sdtContent>
        <w:p w14:paraId="7A830E95"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D37101" w14:textId="77777777" w:rsidR="00E57DAA" w:rsidRDefault="00E57DAA">
      <w:pPr>
        <w:rPr>
          <w:rFonts w:asciiTheme="minorHAnsi" w:hAnsiTheme="minorHAnsi" w:cstheme="minorBidi"/>
          <w:kern w:val="2"/>
          <w:szCs w:val="22"/>
        </w:rPr>
      </w:pPr>
    </w:p>
    <w:p w14:paraId="1AA2E50B" w14:textId="77777777" w:rsidR="00E57DAA" w:rsidRDefault="00AC4185" w:rsidP="00C25422">
      <w:pPr>
        <w:pStyle w:val="90"/>
        <w:numPr>
          <w:ilvl w:val="0"/>
          <w:numId w:val="84"/>
        </w:numPr>
        <w:ind w:leftChars="0"/>
      </w:pPr>
      <w:bookmarkStart w:id="263" w:name="_Hlk153461314"/>
      <w:r>
        <w:rPr>
          <w:rFonts w:hint="eastAsia"/>
        </w:rPr>
        <w:t>在建工程的减值测试情况</w:t>
      </w:r>
    </w:p>
    <w:sdt>
      <w:sdtPr>
        <w:alias w:val="是否适用：减值测试情况[双击切换]"/>
        <w:tag w:val="_GBC_d3e3ceb3450d42e8a3d61da2c2d7d3cb"/>
        <w:id w:val="-1579363957"/>
        <w:placeholder>
          <w:docPart w:val="GBC22222222222222222222222222222"/>
        </w:placeholder>
      </w:sdtPr>
      <w:sdtEndPr/>
      <w:sdtContent>
        <w:p w14:paraId="76399AE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F7994F" w14:textId="77777777" w:rsidR="00E57DAA" w:rsidRDefault="00E57DAA" w:rsidP="00C25422">
      <w:pPr>
        <w:pStyle w:val="92"/>
      </w:pPr>
    </w:p>
    <w:bookmarkEnd w:id="263"/>
    <w:p w14:paraId="27C13102" w14:textId="77777777" w:rsidR="00E57DAA" w:rsidRDefault="00E57DAA">
      <w:pPr>
        <w:snapToGrid w:val="0"/>
        <w:spacing w:line="240" w:lineRule="atLeast"/>
        <w:rPr>
          <w:szCs w:val="21"/>
        </w:rPr>
      </w:pPr>
    </w:p>
    <w:p w14:paraId="3981F43E" w14:textId="77777777" w:rsidR="00E57DAA" w:rsidRDefault="00AC4185">
      <w:pPr>
        <w:rPr>
          <w:szCs w:val="21"/>
        </w:rPr>
      </w:pPr>
      <w:r>
        <w:rPr>
          <w:rFonts w:hint="eastAsia"/>
          <w:szCs w:val="21"/>
        </w:rPr>
        <w:t>其他说明</w:t>
      </w:r>
    </w:p>
    <w:sdt>
      <w:sdtPr>
        <w:rPr>
          <w:szCs w:val="21"/>
        </w:rPr>
        <w:alias w:val="是否适用：在建工程的说明[双击切换]"/>
        <w:tag w:val="_GBC_e6220a45d928426882f5c3ad23ff2098"/>
        <w:id w:val="622967584"/>
        <w:placeholder>
          <w:docPart w:val="GBC22222222222222222222222222222"/>
        </w:placeholder>
      </w:sdtPr>
      <w:sdtEndPr/>
      <w:sdtContent>
        <w:p w14:paraId="4983B22F" w14:textId="77777777" w:rsidR="00E57DAA" w:rsidRDefault="00AC4185">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578FBC" w14:textId="77777777" w:rsidR="00E57DAA" w:rsidRDefault="00E57DAA">
      <w:pPr>
        <w:rPr>
          <w:szCs w:val="21"/>
        </w:rPr>
      </w:pPr>
    </w:p>
    <w:p w14:paraId="26321742" w14:textId="77777777" w:rsidR="00E57DAA" w:rsidRDefault="00AC4185">
      <w:pPr>
        <w:pStyle w:val="4"/>
        <w:ind w:left="360" w:hanging="360"/>
      </w:pPr>
      <w:r>
        <w:rPr>
          <w:rFonts w:hint="eastAsia"/>
        </w:rPr>
        <w:t>工程物资</w:t>
      </w:r>
    </w:p>
    <w:p w14:paraId="6AB31165" w14:textId="77777777" w:rsidR="00E57DAA" w:rsidRDefault="00AC4185" w:rsidP="00C25422">
      <w:pPr>
        <w:pStyle w:val="90"/>
        <w:numPr>
          <w:ilvl w:val="0"/>
          <w:numId w:val="84"/>
        </w:numPr>
        <w:ind w:leftChars="0"/>
      </w:pPr>
      <w:r>
        <w:rPr>
          <w:rFonts w:hint="eastAsia"/>
        </w:rPr>
        <w:t>工程物资情况</w:t>
      </w:r>
    </w:p>
    <w:bookmarkStart w:id="264" w:name="_Hlk532903321" w:displacedByCustomXml="next"/>
    <w:sdt>
      <w:sdtPr>
        <w:alias w:val="是否适用：工程物资[双击切换]"/>
        <w:tag w:val="_GBC_91916c11fa864423a1c0e6a4024fdda5"/>
        <w:id w:val="704601426"/>
        <w:placeholder>
          <w:docPart w:val="GBC22222222222222222222222222222"/>
        </w:placeholder>
      </w:sdtPr>
      <w:sdtEndPr/>
      <w:sdtContent>
        <w:p w14:paraId="72AF4866"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64"/>
    <w:p w14:paraId="497962CC" w14:textId="77777777" w:rsidR="00E57DAA" w:rsidRDefault="00E57DAA">
      <w:pPr>
        <w:rPr>
          <w:rFonts w:cstheme="minorBidi"/>
          <w:szCs w:val="21"/>
        </w:rPr>
      </w:pPr>
    </w:p>
    <w:p w14:paraId="50CFFBC2" w14:textId="77777777" w:rsidR="00E57DAA" w:rsidRDefault="00AC4185" w:rsidP="00C25422">
      <w:pPr>
        <w:pStyle w:val="91"/>
        <w:numPr>
          <w:ilvl w:val="0"/>
          <w:numId w:val="69"/>
        </w:numPr>
      </w:pPr>
      <w:r>
        <w:rPr>
          <w:rFonts w:hint="eastAsia"/>
        </w:rPr>
        <w:t>生产性生物资产</w:t>
      </w:r>
    </w:p>
    <w:p w14:paraId="55FA1E89" w14:textId="77777777" w:rsidR="00E57DAA" w:rsidRDefault="00AC4185">
      <w:pPr>
        <w:pStyle w:val="4"/>
        <w:numPr>
          <w:ilvl w:val="3"/>
          <w:numId w:val="85"/>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472171145"/>
        <w:placeholder>
          <w:docPart w:val="GBC22222222222222222222222222222"/>
        </w:placeholder>
      </w:sdtPr>
      <w:sdtEndPr/>
      <w:sdtContent>
        <w:p w14:paraId="77725E89"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A195C4" w14:textId="77777777" w:rsidR="00E57DAA" w:rsidRDefault="00E57DAA">
      <w:pPr>
        <w:rPr>
          <w:rFonts w:cstheme="minorBidi"/>
          <w:szCs w:val="21"/>
        </w:rPr>
      </w:pPr>
    </w:p>
    <w:p w14:paraId="46FB84E7" w14:textId="77777777" w:rsidR="00E57DAA" w:rsidRDefault="00AC4185">
      <w:pPr>
        <w:pStyle w:val="4"/>
        <w:numPr>
          <w:ilvl w:val="3"/>
          <w:numId w:val="85"/>
        </w:numPr>
        <w:ind w:left="426" w:hanging="426"/>
        <w:rPr>
          <w:rFonts w:ascii="宋体" w:eastAsia="宋体" w:hAnsi="宋体" w:cstheme="minorBidi"/>
          <w:kern w:val="0"/>
          <w:szCs w:val="24"/>
        </w:rPr>
      </w:pPr>
      <w:bookmarkStart w:id="265" w:name="_Hlk153461442"/>
      <w:r>
        <w:rPr>
          <w:rFonts w:ascii="宋体" w:eastAsia="宋体" w:hAnsi="宋体" w:cstheme="minorBidi" w:hint="eastAsia"/>
          <w:kern w:val="0"/>
          <w:szCs w:val="24"/>
        </w:rPr>
        <w:t>采用成本计量模式的生产性生物资产的减值测试情况</w:t>
      </w:r>
    </w:p>
    <w:sdt>
      <w:sdtPr>
        <w:alias w:val="是否适用：减值测试情况[双击切换]"/>
        <w:tag w:val="_GBC_1463ca9b414a4cb28d5d13fd1d3b8486"/>
        <w:id w:val="-1067567529"/>
        <w:placeholder>
          <w:docPart w:val="GBC22222222222222222222222222222"/>
        </w:placeholder>
      </w:sdtPr>
      <w:sdtEndPr/>
      <w:sdtContent>
        <w:p w14:paraId="3A265FC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34D7D7" w14:textId="77777777" w:rsidR="00E57DAA" w:rsidRDefault="00E57DAA" w:rsidP="00C25422">
      <w:pPr>
        <w:pStyle w:val="92"/>
      </w:pPr>
    </w:p>
    <w:bookmarkEnd w:id="265"/>
    <w:p w14:paraId="1F4933B1" w14:textId="77777777" w:rsidR="00E57DAA" w:rsidRDefault="00AC4185">
      <w:pPr>
        <w:pStyle w:val="4"/>
        <w:numPr>
          <w:ilvl w:val="3"/>
          <w:numId w:val="85"/>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63598333"/>
        <w:placeholder>
          <w:docPart w:val="GBC22222222222222222222222222222"/>
        </w:placeholder>
      </w:sdtPr>
      <w:sdtEndPr/>
      <w:sdtContent>
        <w:p w14:paraId="5650C605"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C99AE9" w14:textId="77777777" w:rsidR="00E57DAA" w:rsidRDefault="00E57DAA" w:rsidP="00C25422">
      <w:pPr>
        <w:pStyle w:val="92"/>
      </w:pPr>
    </w:p>
    <w:p w14:paraId="1848C878" w14:textId="77777777" w:rsidR="00E57DAA" w:rsidRDefault="00AC4185">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45052798"/>
        <w:placeholder>
          <w:docPart w:val="GBC22222222222222222222222222222"/>
        </w:placeholder>
      </w:sdtPr>
      <w:sdtEndPr/>
      <w:sdtContent>
        <w:p w14:paraId="3B3F65C2" w14:textId="77777777" w:rsidR="00E57DAA" w:rsidRDefault="00AC4185">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2F85DE" w14:textId="77777777" w:rsidR="00E57DAA" w:rsidRDefault="00E57DAA">
      <w:pPr>
        <w:rPr>
          <w:szCs w:val="21"/>
        </w:rPr>
      </w:pPr>
    </w:p>
    <w:p w14:paraId="5C2F4693" w14:textId="77777777" w:rsidR="00E57DAA" w:rsidRDefault="00AC4185" w:rsidP="00C25422">
      <w:pPr>
        <w:pStyle w:val="91"/>
        <w:numPr>
          <w:ilvl w:val="0"/>
          <w:numId w:val="69"/>
        </w:numPr>
      </w:pPr>
      <w:r>
        <w:rPr>
          <w:rFonts w:hint="eastAsia"/>
        </w:rPr>
        <w:t>油气资产</w:t>
      </w:r>
    </w:p>
    <w:p w14:paraId="1CB366B2" w14:textId="77777777" w:rsidR="00E57DAA" w:rsidRDefault="00AC4185">
      <w:pPr>
        <w:pStyle w:val="4"/>
        <w:numPr>
          <w:ilvl w:val="0"/>
          <w:numId w:val="86"/>
        </w:numPr>
        <w:ind w:left="450" w:hanging="450"/>
      </w:pPr>
      <w:r>
        <w:rPr>
          <w:rFonts w:hint="eastAsia"/>
        </w:rPr>
        <w:t>油气资产情况</w:t>
      </w:r>
    </w:p>
    <w:sdt>
      <w:sdtPr>
        <w:alias w:val="是否适用：油气资产[双击切换]"/>
        <w:tag w:val="_GBC_a587239cd6ac4d96b99f6fe496e97c34"/>
        <w:id w:val="-146746581"/>
        <w:placeholder>
          <w:docPart w:val="GBC22222222222222222222222222222"/>
        </w:placeholder>
      </w:sdtPr>
      <w:sdtEndPr/>
      <w:sdtContent>
        <w:p w14:paraId="297786B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780254" w14:textId="77777777" w:rsidR="00E57DAA" w:rsidRDefault="00E57DAA">
      <w:pPr>
        <w:rPr>
          <w:rFonts w:cstheme="minorBidi"/>
          <w:kern w:val="2"/>
          <w:szCs w:val="21"/>
        </w:rPr>
      </w:pPr>
    </w:p>
    <w:p w14:paraId="3BFE4747" w14:textId="77777777" w:rsidR="00E57DAA" w:rsidRDefault="00AC4185">
      <w:pPr>
        <w:pStyle w:val="4"/>
        <w:numPr>
          <w:ilvl w:val="0"/>
          <w:numId w:val="86"/>
        </w:numPr>
        <w:ind w:left="450" w:hanging="450"/>
      </w:pPr>
      <w:bookmarkStart w:id="266" w:name="_Hlk153461604"/>
      <w:r>
        <w:rPr>
          <w:rFonts w:hint="eastAsia"/>
        </w:rPr>
        <w:t>油气资产的减值测试情况</w:t>
      </w:r>
    </w:p>
    <w:sdt>
      <w:sdtPr>
        <w:alias w:val="是否适用：减值测试情况[双击切换]"/>
        <w:tag w:val="_GBC_c658db7dbb96462dbe4ab745ca73e3ca"/>
        <w:id w:val="1991518196"/>
        <w:placeholder>
          <w:docPart w:val="GBC22222222222222222222222222222"/>
        </w:placeholder>
      </w:sdtPr>
      <w:sdtEndPr/>
      <w:sdtContent>
        <w:p w14:paraId="250144D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B9A71F" w14:textId="77777777" w:rsidR="00E57DAA" w:rsidRDefault="00E57DAA" w:rsidP="00C25422">
      <w:pPr>
        <w:pStyle w:val="92"/>
      </w:pPr>
    </w:p>
    <w:bookmarkEnd w:id="266"/>
    <w:p w14:paraId="394D15A5" w14:textId="77777777" w:rsidR="00E57DAA" w:rsidRDefault="00E57DAA">
      <w:pPr>
        <w:snapToGrid w:val="0"/>
        <w:spacing w:line="240" w:lineRule="atLeast"/>
        <w:rPr>
          <w:szCs w:val="21"/>
        </w:rPr>
        <w:sectPr w:rsidR="00E57DAA" w:rsidSect="00226547">
          <w:pgSz w:w="11906" w:h="16838"/>
          <w:pgMar w:top="1440" w:right="1797" w:bottom="1525" w:left="1276" w:header="856" w:footer="992" w:gutter="0"/>
          <w:cols w:space="425"/>
          <w:docGrid w:linePitch="312"/>
        </w:sectPr>
      </w:pPr>
    </w:p>
    <w:p w14:paraId="5D443C6C" w14:textId="77777777" w:rsidR="00E57DAA" w:rsidRDefault="00E57DAA">
      <w:pPr>
        <w:snapToGrid w:val="0"/>
        <w:spacing w:line="240" w:lineRule="atLeast"/>
        <w:rPr>
          <w:szCs w:val="21"/>
        </w:rPr>
      </w:pPr>
    </w:p>
    <w:p w14:paraId="1DCEE124" w14:textId="77777777" w:rsidR="00E57DAA" w:rsidRDefault="00E57DAA">
      <w:pPr>
        <w:rPr>
          <w:szCs w:val="21"/>
        </w:rPr>
      </w:pPr>
    </w:p>
    <w:p w14:paraId="249FD6C1" w14:textId="77777777" w:rsidR="00E57DAA" w:rsidRDefault="00E57DAA">
      <w:pPr>
        <w:rPr>
          <w:szCs w:val="21"/>
        </w:rPr>
      </w:pPr>
    </w:p>
    <w:bookmarkStart w:id="267" w:name="_Hlk24026112" w:displacedByCustomXml="next"/>
    <w:sdt>
      <w:sdtPr>
        <w:rPr>
          <w:rFonts w:ascii="宋体" w:hAnsi="宋体" w:cs="宋体" w:hint="eastAsia"/>
          <w:b w:val="0"/>
          <w:bCs w:val="0"/>
          <w:kern w:val="0"/>
          <w:szCs w:val="24"/>
        </w:rPr>
        <w:alias w:val="模块:使用权资产"/>
        <w:tag w:val="_SEC_56ef077439914c3f97ba31c1af9eef32"/>
        <w:id w:val="1551728039"/>
        <w:placeholder>
          <w:docPart w:val="GBC22222222222222222222222222222"/>
        </w:placeholder>
      </w:sdtPr>
      <w:sdtEndPr/>
      <w:sdtContent>
        <w:p w14:paraId="22FE7831" w14:textId="77777777" w:rsidR="00E57DAA" w:rsidRDefault="00AC4185" w:rsidP="00C25422">
          <w:pPr>
            <w:pStyle w:val="91"/>
            <w:numPr>
              <w:ilvl w:val="0"/>
              <w:numId w:val="69"/>
            </w:numPr>
          </w:pPr>
          <w:r>
            <w:rPr>
              <w:rFonts w:hint="eastAsia"/>
            </w:rPr>
            <w:t>使用权资产</w:t>
          </w:r>
        </w:p>
        <w:p w14:paraId="1755AD9F" w14:textId="77777777" w:rsidR="00E57DAA" w:rsidRDefault="00AC4185">
          <w:pPr>
            <w:pStyle w:val="4"/>
            <w:numPr>
              <w:ilvl w:val="0"/>
              <w:numId w:val="87"/>
            </w:numPr>
            <w:ind w:left="450" w:hanging="450"/>
          </w:pPr>
          <w:r>
            <w:rPr>
              <w:rFonts w:hint="eastAsia"/>
            </w:rPr>
            <w:t>使用权资产情况</w:t>
          </w:r>
        </w:p>
        <w:sdt>
          <w:sdtPr>
            <w:alias w:val="是否适用：使用权资产[双击切换]"/>
            <w:tag w:val="_GBC_0d86ed9789d84ef592fcb1556e3f676f"/>
            <w:id w:val="65312088"/>
            <w:placeholder>
              <w:docPart w:val="GBC22222222222222222222222222222"/>
            </w:placeholder>
          </w:sdtPr>
          <w:sdtEndPr/>
          <w:sdtContent>
            <w:p w14:paraId="4CF25A9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8B3F89" w14:textId="77777777" w:rsidR="00E57DAA" w:rsidRDefault="00AC4185">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110981905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1278272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0"/>
            <w:gridCol w:w="2293"/>
            <w:gridCol w:w="2168"/>
            <w:gridCol w:w="1985"/>
            <w:gridCol w:w="2268"/>
            <w:gridCol w:w="1819"/>
          </w:tblGrid>
          <w:tr w:rsidR="00E57DAA" w14:paraId="08AA6FF4" w14:textId="77777777">
            <w:trPr>
              <w:trHeight w:val="284"/>
            </w:trPr>
            <w:sdt>
              <w:sdtPr>
                <w:tag w:val="_PLD_6e52ac1447e040bbbee6d5db3fc1c995"/>
                <w:id w:val="1335113131"/>
              </w:sdtPr>
              <w:sdtEndPr/>
              <w:sdtContent>
                <w:tc>
                  <w:tcPr>
                    <w:tcW w:w="1201" w:type="pct"/>
                    <w:shd w:val="clear" w:color="auto" w:fill="auto"/>
                    <w:vAlign w:val="center"/>
                  </w:tcPr>
                  <w:p w14:paraId="61111FF8" w14:textId="77777777" w:rsidR="00E57DAA" w:rsidRDefault="00AC4185">
                    <w:pPr>
                      <w:spacing w:line="240" w:lineRule="atLeast"/>
                      <w:jc w:val="center"/>
                      <w:rPr>
                        <w:szCs w:val="21"/>
                      </w:rPr>
                    </w:pPr>
                    <w:r>
                      <w:rPr>
                        <w:rFonts w:hint="eastAsia"/>
                        <w:szCs w:val="21"/>
                      </w:rPr>
                      <w:t>项目</w:t>
                    </w:r>
                  </w:p>
                </w:tc>
              </w:sdtContent>
            </w:sdt>
            <w:tc>
              <w:tcPr>
                <w:tcW w:w="827" w:type="pct"/>
                <w:shd w:val="clear" w:color="auto" w:fill="auto"/>
                <w:vAlign w:val="center"/>
              </w:tcPr>
              <w:p w14:paraId="69044595" w14:textId="77777777" w:rsidR="00E57DAA" w:rsidRDefault="00AC4185">
                <w:pPr>
                  <w:spacing w:line="240" w:lineRule="atLeast"/>
                  <w:jc w:val="center"/>
                  <w:rPr>
                    <w:szCs w:val="21"/>
                  </w:rPr>
                </w:pPr>
                <w:r>
                  <w:t>土地资产</w:t>
                </w:r>
              </w:p>
            </w:tc>
            <w:tc>
              <w:tcPr>
                <w:tcW w:w="782" w:type="pct"/>
                <w:shd w:val="clear" w:color="auto" w:fill="auto"/>
                <w:vAlign w:val="center"/>
              </w:tcPr>
              <w:p w14:paraId="63EE52D2" w14:textId="77777777" w:rsidR="00E57DAA" w:rsidRDefault="00AC4185">
                <w:pPr>
                  <w:spacing w:line="240" w:lineRule="atLeast"/>
                  <w:jc w:val="center"/>
                  <w:rPr>
                    <w:szCs w:val="21"/>
                  </w:rPr>
                </w:pPr>
                <w:r>
                  <w:t>房屋建筑物</w:t>
                </w:r>
              </w:p>
            </w:tc>
            <w:tc>
              <w:tcPr>
                <w:tcW w:w="716" w:type="pct"/>
                <w:shd w:val="clear" w:color="auto" w:fill="auto"/>
                <w:vAlign w:val="center"/>
              </w:tcPr>
              <w:p w14:paraId="48EC3F7E" w14:textId="77777777" w:rsidR="00E57DAA" w:rsidRDefault="00AC4185">
                <w:pPr>
                  <w:spacing w:line="240" w:lineRule="atLeast"/>
                  <w:jc w:val="center"/>
                  <w:rPr>
                    <w:szCs w:val="21"/>
                  </w:rPr>
                </w:pPr>
                <w:r>
                  <w:t>机器设备</w:t>
                </w:r>
              </w:p>
            </w:tc>
            <w:tc>
              <w:tcPr>
                <w:tcW w:w="818" w:type="pct"/>
                <w:shd w:val="clear" w:color="auto" w:fill="auto"/>
                <w:vAlign w:val="center"/>
              </w:tcPr>
              <w:p w14:paraId="2A4CB29F" w14:textId="77777777" w:rsidR="00E57DAA" w:rsidRDefault="00AC4185">
                <w:pPr>
                  <w:spacing w:line="240" w:lineRule="atLeast"/>
                  <w:jc w:val="center"/>
                  <w:rPr>
                    <w:szCs w:val="21"/>
                  </w:rPr>
                </w:pPr>
                <w:r>
                  <w:t>办公设备</w:t>
                </w:r>
              </w:p>
            </w:tc>
            <w:sdt>
              <w:sdtPr>
                <w:tag w:val="_PLD_9c5be9b6ed044311be8a2370c18f35f0"/>
                <w:id w:val="987057263"/>
              </w:sdtPr>
              <w:sdtEndPr/>
              <w:sdtContent>
                <w:tc>
                  <w:tcPr>
                    <w:tcW w:w="656" w:type="pct"/>
                    <w:shd w:val="clear" w:color="auto" w:fill="auto"/>
                    <w:vAlign w:val="center"/>
                  </w:tcPr>
                  <w:p w14:paraId="5B6D3C2D" w14:textId="77777777" w:rsidR="00E57DAA" w:rsidRDefault="00AC4185">
                    <w:pPr>
                      <w:spacing w:line="240" w:lineRule="atLeast"/>
                      <w:jc w:val="center"/>
                      <w:rPr>
                        <w:szCs w:val="21"/>
                      </w:rPr>
                    </w:pPr>
                    <w:r>
                      <w:rPr>
                        <w:szCs w:val="21"/>
                      </w:rPr>
                      <w:t>合计</w:t>
                    </w:r>
                  </w:p>
                </w:tc>
              </w:sdtContent>
            </w:sdt>
          </w:tr>
          <w:tr w:rsidR="00E57DAA" w14:paraId="40939765" w14:textId="77777777">
            <w:trPr>
              <w:trHeight w:val="284"/>
            </w:trPr>
            <w:sdt>
              <w:sdtPr>
                <w:tag w:val="_PLD_3548dba12ab44fffb8352baf0a2432b0"/>
                <w:id w:val="-1904277060"/>
              </w:sdtPr>
              <w:sdtEndPr/>
              <w:sdtContent>
                <w:tc>
                  <w:tcPr>
                    <w:tcW w:w="5000" w:type="pct"/>
                    <w:gridSpan w:val="6"/>
                    <w:shd w:val="clear" w:color="auto" w:fill="auto"/>
                    <w:vAlign w:val="center"/>
                  </w:tcPr>
                  <w:p w14:paraId="0D95A2CF" w14:textId="77777777" w:rsidR="00E57DAA" w:rsidRDefault="00AC4185">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r>
          <w:tr w:rsidR="00E57DAA" w14:paraId="37F67708" w14:textId="77777777">
            <w:trPr>
              <w:trHeight w:val="284"/>
            </w:trPr>
            <w:tc>
              <w:tcPr>
                <w:tcW w:w="1201" w:type="pct"/>
                <w:shd w:val="clear" w:color="auto" w:fill="auto"/>
                <w:vAlign w:val="center"/>
              </w:tcPr>
              <w:p w14:paraId="7923E05E" w14:textId="77777777" w:rsidR="00E57DAA" w:rsidRDefault="00AC4185">
                <w:pPr>
                  <w:spacing w:line="240" w:lineRule="atLeast"/>
                  <w:rPr>
                    <w:szCs w:val="21"/>
                  </w:rPr>
                </w:pPr>
                <w:r>
                  <w:rPr>
                    <w:szCs w:val="21"/>
                  </w:rPr>
                  <w:t xml:space="preserve">    1.</w:t>
                </w:r>
                <w:r>
                  <w:rPr>
                    <w:rFonts w:hint="eastAsia"/>
                    <w:szCs w:val="21"/>
                  </w:rPr>
                  <w:t>期</w:t>
                </w:r>
                <w:r>
                  <w:rPr>
                    <w:szCs w:val="21"/>
                  </w:rPr>
                  <w:t>初余额</w:t>
                </w:r>
              </w:p>
            </w:tc>
            <w:tc>
              <w:tcPr>
                <w:tcW w:w="827" w:type="pct"/>
                <w:shd w:val="clear" w:color="auto" w:fill="auto"/>
                <w:vAlign w:val="center"/>
              </w:tcPr>
              <w:p w14:paraId="70637ED1" w14:textId="77777777" w:rsidR="00E57DAA" w:rsidRDefault="00AC4185">
                <w:pPr>
                  <w:spacing w:line="240" w:lineRule="atLeast"/>
                  <w:ind w:firstLineChars="200" w:firstLine="420"/>
                  <w:jc w:val="right"/>
                  <w:rPr>
                    <w:szCs w:val="21"/>
                  </w:rPr>
                </w:pPr>
                <w:r>
                  <w:t>13,232,276.95</w:t>
                </w:r>
              </w:p>
            </w:tc>
            <w:tc>
              <w:tcPr>
                <w:tcW w:w="782" w:type="pct"/>
                <w:shd w:val="clear" w:color="auto" w:fill="auto"/>
                <w:vAlign w:val="center"/>
              </w:tcPr>
              <w:p w14:paraId="3404FDC1" w14:textId="77777777" w:rsidR="00E57DAA" w:rsidRDefault="00AC4185">
                <w:pPr>
                  <w:spacing w:line="240" w:lineRule="atLeast"/>
                  <w:ind w:firstLineChars="200" w:firstLine="420"/>
                  <w:jc w:val="right"/>
                  <w:rPr>
                    <w:szCs w:val="21"/>
                  </w:rPr>
                </w:pPr>
                <w:r>
                  <w:t>118,406,299.01</w:t>
                </w:r>
              </w:p>
            </w:tc>
            <w:tc>
              <w:tcPr>
                <w:tcW w:w="716" w:type="pct"/>
                <w:shd w:val="clear" w:color="auto" w:fill="auto"/>
                <w:vAlign w:val="center"/>
              </w:tcPr>
              <w:p w14:paraId="3E87A942" w14:textId="77777777" w:rsidR="00E57DAA" w:rsidRDefault="00AC4185">
                <w:pPr>
                  <w:spacing w:line="240" w:lineRule="atLeast"/>
                  <w:ind w:firstLineChars="200" w:firstLine="420"/>
                  <w:jc w:val="right"/>
                  <w:rPr>
                    <w:szCs w:val="21"/>
                  </w:rPr>
                </w:pPr>
                <w:r>
                  <w:t>7,966,044.02</w:t>
                </w:r>
              </w:p>
            </w:tc>
            <w:tc>
              <w:tcPr>
                <w:tcW w:w="818" w:type="pct"/>
                <w:shd w:val="clear" w:color="auto" w:fill="auto"/>
                <w:vAlign w:val="center"/>
              </w:tcPr>
              <w:p w14:paraId="75752223" w14:textId="77777777" w:rsidR="00E57DAA" w:rsidRDefault="00AC4185">
                <w:pPr>
                  <w:spacing w:line="240" w:lineRule="atLeast"/>
                  <w:ind w:firstLineChars="200" w:firstLine="420"/>
                  <w:jc w:val="right"/>
                  <w:rPr>
                    <w:szCs w:val="21"/>
                  </w:rPr>
                </w:pPr>
                <w:r>
                  <w:t>14,434,855.29</w:t>
                </w:r>
              </w:p>
            </w:tc>
            <w:tc>
              <w:tcPr>
                <w:tcW w:w="656" w:type="pct"/>
                <w:shd w:val="clear" w:color="auto" w:fill="auto"/>
                <w:vAlign w:val="center"/>
              </w:tcPr>
              <w:p w14:paraId="29AB9EC3" w14:textId="77777777" w:rsidR="00E57DAA" w:rsidRDefault="00AC4185">
                <w:pPr>
                  <w:spacing w:line="240" w:lineRule="atLeast"/>
                  <w:jc w:val="right"/>
                  <w:rPr>
                    <w:szCs w:val="21"/>
                  </w:rPr>
                </w:pPr>
                <w:r>
                  <w:t>154,039,475.27</w:t>
                </w:r>
              </w:p>
            </w:tc>
          </w:tr>
          <w:tr w:rsidR="00E57DAA" w14:paraId="420CE95F" w14:textId="77777777">
            <w:trPr>
              <w:trHeight w:val="284"/>
            </w:trPr>
            <w:tc>
              <w:tcPr>
                <w:tcW w:w="1201" w:type="pct"/>
                <w:shd w:val="clear" w:color="auto" w:fill="auto"/>
                <w:vAlign w:val="center"/>
              </w:tcPr>
              <w:p w14:paraId="05413FBB" w14:textId="77777777" w:rsidR="00E57DAA" w:rsidRDefault="00AC4185">
                <w:pPr>
                  <w:spacing w:line="240" w:lineRule="atLeast"/>
                  <w:ind w:firstLineChars="200" w:firstLine="420"/>
                  <w:rPr>
                    <w:szCs w:val="21"/>
                  </w:rPr>
                </w:pPr>
                <w:r>
                  <w:rPr>
                    <w:szCs w:val="21"/>
                  </w:rPr>
                  <w:t>2.本期增加</w:t>
                </w:r>
                <w:r>
                  <w:rPr>
                    <w:rFonts w:hint="eastAsia"/>
                    <w:szCs w:val="21"/>
                  </w:rPr>
                  <w:t>金额</w:t>
                </w:r>
              </w:p>
            </w:tc>
            <w:tc>
              <w:tcPr>
                <w:tcW w:w="827" w:type="pct"/>
                <w:shd w:val="clear" w:color="auto" w:fill="auto"/>
                <w:vAlign w:val="center"/>
              </w:tcPr>
              <w:p w14:paraId="3336A9E6" w14:textId="77777777" w:rsidR="00E57DAA" w:rsidRDefault="00E57DAA">
                <w:pPr>
                  <w:spacing w:line="240" w:lineRule="atLeast"/>
                  <w:jc w:val="right"/>
                  <w:rPr>
                    <w:szCs w:val="21"/>
                  </w:rPr>
                </w:pPr>
              </w:p>
            </w:tc>
            <w:tc>
              <w:tcPr>
                <w:tcW w:w="782" w:type="pct"/>
                <w:shd w:val="clear" w:color="auto" w:fill="auto"/>
                <w:vAlign w:val="center"/>
              </w:tcPr>
              <w:p w14:paraId="5320A289" w14:textId="77777777" w:rsidR="00E57DAA" w:rsidRDefault="00AC4185">
                <w:pPr>
                  <w:spacing w:line="240" w:lineRule="atLeast"/>
                  <w:jc w:val="right"/>
                  <w:rPr>
                    <w:szCs w:val="21"/>
                  </w:rPr>
                </w:pPr>
                <w:r>
                  <w:t>51,939,252.13</w:t>
                </w:r>
              </w:p>
            </w:tc>
            <w:tc>
              <w:tcPr>
                <w:tcW w:w="716" w:type="pct"/>
                <w:shd w:val="clear" w:color="auto" w:fill="auto"/>
                <w:vAlign w:val="center"/>
              </w:tcPr>
              <w:p w14:paraId="260854A3" w14:textId="77777777" w:rsidR="00E57DAA" w:rsidRDefault="00AC4185">
                <w:pPr>
                  <w:spacing w:line="240" w:lineRule="atLeast"/>
                  <w:jc w:val="right"/>
                  <w:rPr>
                    <w:szCs w:val="21"/>
                  </w:rPr>
                </w:pPr>
                <w:r>
                  <w:t>1,131,446.27</w:t>
                </w:r>
              </w:p>
            </w:tc>
            <w:tc>
              <w:tcPr>
                <w:tcW w:w="818" w:type="pct"/>
                <w:shd w:val="clear" w:color="auto" w:fill="auto"/>
                <w:vAlign w:val="center"/>
              </w:tcPr>
              <w:p w14:paraId="28A3B627" w14:textId="77777777" w:rsidR="00E57DAA" w:rsidRDefault="00AC4185">
                <w:pPr>
                  <w:spacing w:line="240" w:lineRule="atLeast"/>
                  <w:jc w:val="right"/>
                  <w:rPr>
                    <w:szCs w:val="21"/>
                  </w:rPr>
                </w:pPr>
                <w:r>
                  <w:t>3,673,765.18</w:t>
                </w:r>
              </w:p>
            </w:tc>
            <w:tc>
              <w:tcPr>
                <w:tcW w:w="656" w:type="pct"/>
                <w:shd w:val="clear" w:color="auto" w:fill="auto"/>
                <w:vAlign w:val="center"/>
              </w:tcPr>
              <w:p w14:paraId="2B8FADD7" w14:textId="77777777" w:rsidR="00E57DAA" w:rsidRDefault="00AC4185">
                <w:pPr>
                  <w:spacing w:line="240" w:lineRule="atLeast"/>
                  <w:jc w:val="right"/>
                  <w:rPr>
                    <w:szCs w:val="21"/>
                  </w:rPr>
                </w:pPr>
                <w:r>
                  <w:t>56,744,463.58</w:t>
                </w:r>
              </w:p>
            </w:tc>
          </w:tr>
          <w:tr w:rsidR="00E57DAA" w14:paraId="30C3C5A8" w14:textId="77777777">
            <w:trPr>
              <w:trHeight w:val="284"/>
            </w:trPr>
            <w:tc>
              <w:tcPr>
                <w:tcW w:w="1201" w:type="pct"/>
                <w:shd w:val="clear" w:color="auto" w:fill="auto"/>
              </w:tcPr>
              <w:p w14:paraId="0461BA4E" w14:textId="77777777" w:rsidR="00E57DAA" w:rsidRDefault="00AC4185">
                <w:pPr>
                  <w:spacing w:line="240" w:lineRule="atLeast"/>
                  <w:ind w:firstLineChars="300" w:firstLine="630"/>
                  <w:rPr>
                    <w:szCs w:val="21"/>
                  </w:rPr>
                </w:pPr>
                <w:r>
                  <w:rPr>
                    <w:rFonts w:hint="eastAsia"/>
                  </w:rPr>
                  <w:t>(1)租赁</w:t>
                </w:r>
              </w:p>
            </w:tc>
            <w:tc>
              <w:tcPr>
                <w:tcW w:w="827" w:type="pct"/>
                <w:shd w:val="clear" w:color="auto" w:fill="auto"/>
                <w:vAlign w:val="center"/>
              </w:tcPr>
              <w:p w14:paraId="3434FF2E" w14:textId="77777777" w:rsidR="00E57DAA" w:rsidRDefault="00E57DAA">
                <w:pPr>
                  <w:spacing w:line="240" w:lineRule="atLeast"/>
                  <w:jc w:val="right"/>
                  <w:rPr>
                    <w:szCs w:val="21"/>
                  </w:rPr>
                </w:pPr>
              </w:p>
            </w:tc>
            <w:tc>
              <w:tcPr>
                <w:tcW w:w="782" w:type="pct"/>
                <w:shd w:val="clear" w:color="auto" w:fill="auto"/>
                <w:vAlign w:val="center"/>
              </w:tcPr>
              <w:p w14:paraId="702E4E11" w14:textId="77777777" w:rsidR="00E57DAA" w:rsidRDefault="00AC4185">
                <w:pPr>
                  <w:spacing w:line="240" w:lineRule="atLeast"/>
                  <w:jc w:val="right"/>
                  <w:rPr>
                    <w:szCs w:val="21"/>
                  </w:rPr>
                </w:pPr>
                <w:r>
                  <w:t>50,734,462.35</w:t>
                </w:r>
              </w:p>
            </w:tc>
            <w:tc>
              <w:tcPr>
                <w:tcW w:w="716" w:type="pct"/>
                <w:shd w:val="clear" w:color="auto" w:fill="auto"/>
                <w:vAlign w:val="center"/>
              </w:tcPr>
              <w:p w14:paraId="3B75D185" w14:textId="77777777" w:rsidR="00E57DAA" w:rsidRDefault="00AC4185">
                <w:pPr>
                  <w:spacing w:line="240" w:lineRule="atLeast"/>
                  <w:jc w:val="right"/>
                  <w:rPr>
                    <w:szCs w:val="21"/>
                  </w:rPr>
                </w:pPr>
                <w:r>
                  <w:t>1,131,446.27</w:t>
                </w:r>
              </w:p>
            </w:tc>
            <w:tc>
              <w:tcPr>
                <w:tcW w:w="818" w:type="pct"/>
                <w:shd w:val="clear" w:color="auto" w:fill="auto"/>
                <w:vAlign w:val="center"/>
              </w:tcPr>
              <w:p w14:paraId="31F3B229" w14:textId="77777777" w:rsidR="00E57DAA" w:rsidRDefault="00AC4185">
                <w:pPr>
                  <w:spacing w:line="240" w:lineRule="atLeast"/>
                  <w:jc w:val="right"/>
                  <w:rPr>
                    <w:szCs w:val="21"/>
                  </w:rPr>
                </w:pPr>
                <w:r>
                  <w:t>2,825,319.53</w:t>
                </w:r>
              </w:p>
            </w:tc>
            <w:tc>
              <w:tcPr>
                <w:tcW w:w="656" w:type="pct"/>
                <w:shd w:val="clear" w:color="auto" w:fill="auto"/>
                <w:vAlign w:val="center"/>
              </w:tcPr>
              <w:p w14:paraId="6D069660" w14:textId="77777777" w:rsidR="00E57DAA" w:rsidRDefault="00AC4185">
                <w:pPr>
                  <w:spacing w:line="240" w:lineRule="atLeast"/>
                  <w:jc w:val="right"/>
                  <w:rPr>
                    <w:szCs w:val="21"/>
                  </w:rPr>
                </w:pPr>
                <w:r>
                  <w:t>54,691,228.15</w:t>
                </w:r>
              </w:p>
            </w:tc>
          </w:tr>
          <w:tr w:rsidR="00E57DAA" w14:paraId="11AF2A48" w14:textId="77777777">
            <w:trPr>
              <w:trHeight w:val="284"/>
            </w:trPr>
            <w:tc>
              <w:tcPr>
                <w:tcW w:w="1201" w:type="pct"/>
                <w:shd w:val="clear" w:color="auto" w:fill="auto"/>
              </w:tcPr>
              <w:p w14:paraId="61827D58" w14:textId="77777777" w:rsidR="00E57DAA" w:rsidRDefault="00AC4185">
                <w:pPr>
                  <w:spacing w:line="240" w:lineRule="atLeast"/>
                  <w:ind w:firstLineChars="300" w:firstLine="630"/>
                  <w:rPr>
                    <w:szCs w:val="21"/>
                  </w:rPr>
                </w:pPr>
                <w:r>
                  <w:rPr>
                    <w:rFonts w:hint="eastAsia"/>
                  </w:rPr>
                  <w:t>(2)外币报表折算差额</w:t>
                </w:r>
              </w:p>
            </w:tc>
            <w:tc>
              <w:tcPr>
                <w:tcW w:w="827" w:type="pct"/>
                <w:shd w:val="clear" w:color="auto" w:fill="auto"/>
                <w:vAlign w:val="center"/>
              </w:tcPr>
              <w:p w14:paraId="660F8577" w14:textId="77777777" w:rsidR="00E57DAA" w:rsidRDefault="00E57DAA">
                <w:pPr>
                  <w:spacing w:line="240" w:lineRule="atLeast"/>
                  <w:jc w:val="right"/>
                  <w:rPr>
                    <w:szCs w:val="21"/>
                  </w:rPr>
                </w:pPr>
              </w:p>
            </w:tc>
            <w:tc>
              <w:tcPr>
                <w:tcW w:w="782" w:type="pct"/>
                <w:shd w:val="clear" w:color="auto" w:fill="auto"/>
                <w:vAlign w:val="center"/>
              </w:tcPr>
              <w:p w14:paraId="7C8000AA" w14:textId="77777777" w:rsidR="00E57DAA" w:rsidRDefault="00AC4185">
                <w:pPr>
                  <w:spacing w:line="240" w:lineRule="atLeast"/>
                  <w:jc w:val="right"/>
                  <w:rPr>
                    <w:szCs w:val="21"/>
                  </w:rPr>
                </w:pPr>
                <w:r>
                  <w:t>1,204,789.78</w:t>
                </w:r>
              </w:p>
            </w:tc>
            <w:tc>
              <w:tcPr>
                <w:tcW w:w="716" w:type="pct"/>
                <w:shd w:val="clear" w:color="auto" w:fill="auto"/>
                <w:vAlign w:val="center"/>
              </w:tcPr>
              <w:p w14:paraId="55A6832D" w14:textId="77777777" w:rsidR="00E57DAA" w:rsidRDefault="00E57DAA">
                <w:pPr>
                  <w:spacing w:line="240" w:lineRule="atLeast"/>
                  <w:jc w:val="right"/>
                  <w:rPr>
                    <w:szCs w:val="21"/>
                  </w:rPr>
                </w:pPr>
              </w:p>
            </w:tc>
            <w:tc>
              <w:tcPr>
                <w:tcW w:w="818" w:type="pct"/>
                <w:shd w:val="clear" w:color="auto" w:fill="auto"/>
                <w:vAlign w:val="center"/>
              </w:tcPr>
              <w:p w14:paraId="70033447" w14:textId="77777777" w:rsidR="00E57DAA" w:rsidRDefault="00AC4185">
                <w:pPr>
                  <w:spacing w:line="240" w:lineRule="atLeast"/>
                  <w:jc w:val="right"/>
                  <w:rPr>
                    <w:szCs w:val="21"/>
                  </w:rPr>
                </w:pPr>
                <w:r>
                  <w:t>848,445.65</w:t>
                </w:r>
              </w:p>
            </w:tc>
            <w:tc>
              <w:tcPr>
                <w:tcW w:w="656" w:type="pct"/>
                <w:shd w:val="clear" w:color="auto" w:fill="auto"/>
                <w:vAlign w:val="center"/>
              </w:tcPr>
              <w:p w14:paraId="45F98D51" w14:textId="77777777" w:rsidR="00E57DAA" w:rsidRDefault="00AC4185">
                <w:pPr>
                  <w:spacing w:line="240" w:lineRule="atLeast"/>
                  <w:jc w:val="right"/>
                  <w:rPr>
                    <w:szCs w:val="21"/>
                  </w:rPr>
                </w:pPr>
                <w:r>
                  <w:t>2,053,235.43</w:t>
                </w:r>
              </w:p>
            </w:tc>
          </w:tr>
          <w:tr w:rsidR="00E57DAA" w14:paraId="6988F32D" w14:textId="77777777">
            <w:trPr>
              <w:trHeight w:val="284"/>
            </w:trPr>
            <w:tc>
              <w:tcPr>
                <w:tcW w:w="1201" w:type="pct"/>
                <w:shd w:val="clear" w:color="auto" w:fill="auto"/>
                <w:vAlign w:val="center"/>
              </w:tcPr>
              <w:p w14:paraId="07F5B512" w14:textId="77777777" w:rsidR="00E57DAA" w:rsidRDefault="00AC4185">
                <w:pPr>
                  <w:spacing w:line="240" w:lineRule="atLeast"/>
                  <w:ind w:firstLineChars="200" w:firstLine="420"/>
                  <w:rPr>
                    <w:szCs w:val="21"/>
                  </w:rPr>
                </w:pPr>
                <w:r>
                  <w:rPr>
                    <w:szCs w:val="21"/>
                  </w:rPr>
                  <w:t>3.本期减少</w:t>
                </w:r>
                <w:r>
                  <w:rPr>
                    <w:rFonts w:hint="eastAsia"/>
                    <w:szCs w:val="21"/>
                  </w:rPr>
                  <w:t>金额</w:t>
                </w:r>
              </w:p>
            </w:tc>
            <w:tc>
              <w:tcPr>
                <w:tcW w:w="827" w:type="pct"/>
                <w:shd w:val="clear" w:color="auto" w:fill="auto"/>
                <w:vAlign w:val="center"/>
              </w:tcPr>
              <w:p w14:paraId="78302DC1" w14:textId="77777777" w:rsidR="00E57DAA" w:rsidRDefault="00E57DAA">
                <w:pPr>
                  <w:spacing w:line="240" w:lineRule="atLeast"/>
                  <w:jc w:val="right"/>
                  <w:rPr>
                    <w:szCs w:val="21"/>
                  </w:rPr>
                </w:pPr>
              </w:p>
            </w:tc>
            <w:tc>
              <w:tcPr>
                <w:tcW w:w="782" w:type="pct"/>
                <w:shd w:val="clear" w:color="auto" w:fill="auto"/>
                <w:vAlign w:val="center"/>
              </w:tcPr>
              <w:p w14:paraId="6B584A7C" w14:textId="77777777" w:rsidR="00E57DAA" w:rsidRDefault="00AC4185">
                <w:pPr>
                  <w:spacing w:line="240" w:lineRule="atLeast"/>
                  <w:jc w:val="right"/>
                  <w:rPr>
                    <w:szCs w:val="21"/>
                  </w:rPr>
                </w:pPr>
                <w:r>
                  <w:t>9,236,027.75</w:t>
                </w:r>
              </w:p>
            </w:tc>
            <w:tc>
              <w:tcPr>
                <w:tcW w:w="716" w:type="pct"/>
                <w:shd w:val="clear" w:color="auto" w:fill="auto"/>
                <w:vAlign w:val="center"/>
              </w:tcPr>
              <w:p w14:paraId="352E5D2D" w14:textId="77777777" w:rsidR="00E57DAA" w:rsidRDefault="00AC4185">
                <w:pPr>
                  <w:spacing w:line="240" w:lineRule="atLeast"/>
                  <w:jc w:val="right"/>
                  <w:rPr>
                    <w:szCs w:val="21"/>
                  </w:rPr>
                </w:pPr>
                <w:r>
                  <w:t>7,966,044.02</w:t>
                </w:r>
              </w:p>
            </w:tc>
            <w:tc>
              <w:tcPr>
                <w:tcW w:w="818" w:type="pct"/>
                <w:shd w:val="clear" w:color="auto" w:fill="auto"/>
                <w:vAlign w:val="center"/>
              </w:tcPr>
              <w:p w14:paraId="4EB95100" w14:textId="77777777" w:rsidR="00E57DAA" w:rsidRDefault="00AC4185">
                <w:pPr>
                  <w:spacing w:line="240" w:lineRule="atLeast"/>
                  <w:jc w:val="right"/>
                  <w:rPr>
                    <w:szCs w:val="21"/>
                  </w:rPr>
                </w:pPr>
                <w:r>
                  <w:t>3,574,285.80</w:t>
                </w:r>
              </w:p>
            </w:tc>
            <w:tc>
              <w:tcPr>
                <w:tcW w:w="656" w:type="pct"/>
                <w:shd w:val="clear" w:color="auto" w:fill="auto"/>
                <w:vAlign w:val="center"/>
              </w:tcPr>
              <w:p w14:paraId="36655C0B" w14:textId="77777777" w:rsidR="00E57DAA" w:rsidRDefault="00AC4185">
                <w:pPr>
                  <w:spacing w:line="240" w:lineRule="atLeast"/>
                  <w:jc w:val="right"/>
                  <w:rPr>
                    <w:szCs w:val="21"/>
                  </w:rPr>
                </w:pPr>
                <w:r>
                  <w:t>20,776,357.57</w:t>
                </w:r>
              </w:p>
            </w:tc>
          </w:tr>
          <w:tr w:rsidR="00E57DAA" w14:paraId="2FF2C280" w14:textId="77777777">
            <w:trPr>
              <w:trHeight w:val="284"/>
            </w:trPr>
            <w:tc>
              <w:tcPr>
                <w:tcW w:w="1201" w:type="pct"/>
                <w:shd w:val="clear" w:color="auto" w:fill="auto"/>
              </w:tcPr>
              <w:p w14:paraId="45E5F5BD" w14:textId="77777777" w:rsidR="00E57DAA" w:rsidRDefault="00AC4185">
                <w:pPr>
                  <w:spacing w:line="240" w:lineRule="atLeast"/>
                  <w:ind w:firstLineChars="300" w:firstLine="630"/>
                  <w:rPr>
                    <w:szCs w:val="21"/>
                  </w:rPr>
                </w:pPr>
                <w:r>
                  <w:rPr>
                    <w:rFonts w:hint="eastAsia"/>
                  </w:rPr>
                  <w:t>(1)租赁到期</w:t>
                </w:r>
              </w:p>
            </w:tc>
            <w:tc>
              <w:tcPr>
                <w:tcW w:w="827" w:type="pct"/>
                <w:shd w:val="clear" w:color="auto" w:fill="auto"/>
                <w:vAlign w:val="center"/>
              </w:tcPr>
              <w:p w14:paraId="22113F2F" w14:textId="77777777" w:rsidR="00E57DAA" w:rsidRDefault="00E57DAA">
                <w:pPr>
                  <w:spacing w:line="240" w:lineRule="atLeast"/>
                  <w:jc w:val="right"/>
                  <w:rPr>
                    <w:szCs w:val="21"/>
                  </w:rPr>
                </w:pPr>
              </w:p>
            </w:tc>
            <w:tc>
              <w:tcPr>
                <w:tcW w:w="782" w:type="pct"/>
                <w:shd w:val="clear" w:color="auto" w:fill="auto"/>
                <w:vAlign w:val="center"/>
              </w:tcPr>
              <w:p w14:paraId="0AB1BAA8" w14:textId="77777777" w:rsidR="00E57DAA" w:rsidRDefault="00AC4185">
                <w:pPr>
                  <w:spacing w:line="240" w:lineRule="atLeast"/>
                  <w:jc w:val="right"/>
                  <w:rPr>
                    <w:szCs w:val="21"/>
                  </w:rPr>
                </w:pPr>
                <w:r>
                  <w:t>9,236,027.75</w:t>
                </w:r>
              </w:p>
            </w:tc>
            <w:tc>
              <w:tcPr>
                <w:tcW w:w="716" w:type="pct"/>
                <w:shd w:val="clear" w:color="auto" w:fill="auto"/>
                <w:vAlign w:val="center"/>
              </w:tcPr>
              <w:p w14:paraId="5F526492" w14:textId="77777777" w:rsidR="00E57DAA" w:rsidRDefault="00AC4185">
                <w:pPr>
                  <w:spacing w:line="240" w:lineRule="atLeast"/>
                  <w:jc w:val="right"/>
                  <w:rPr>
                    <w:szCs w:val="21"/>
                  </w:rPr>
                </w:pPr>
                <w:r>
                  <w:t>5,816,044.02</w:t>
                </w:r>
              </w:p>
            </w:tc>
            <w:tc>
              <w:tcPr>
                <w:tcW w:w="818" w:type="pct"/>
                <w:shd w:val="clear" w:color="auto" w:fill="auto"/>
                <w:vAlign w:val="center"/>
              </w:tcPr>
              <w:p w14:paraId="76E90EF3" w14:textId="77777777" w:rsidR="00E57DAA" w:rsidRDefault="00AC4185">
                <w:pPr>
                  <w:spacing w:line="240" w:lineRule="atLeast"/>
                  <w:jc w:val="right"/>
                  <w:rPr>
                    <w:szCs w:val="21"/>
                  </w:rPr>
                </w:pPr>
                <w:r>
                  <w:t>3,574,285.80</w:t>
                </w:r>
              </w:p>
            </w:tc>
            <w:tc>
              <w:tcPr>
                <w:tcW w:w="656" w:type="pct"/>
                <w:shd w:val="clear" w:color="auto" w:fill="auto"/>
                <w:vAlign w:val="center"/>
              </w:tcPr>
              <w:p w14:paraId="65EF7F47" w14:textId="77777777" w:rsidR="00E57DAA" w:rsidRDefault="00AC4185">
                <w:pPr>
                  <w:spacing w:line="240" w:lineRule="atLeast"/>
                  <w:jc w:val="right"/>
                  <w:rPr>
                    <w:szCs w:val="21"/>
                  </w:rPr>
                </w:pPr>
                <w:r>
                  <w:t>18,626,357.57</w:t>
                </w:r>
              </w:p>
            </w:tc>
          </w:tr>
          <w:tr w:rsidR="00E57DAA" w14:paraId="7316A9EF" w14:textId="77777777">
            <w:trPr>
              <w:trHeight w:val="284"/>
            </w:trPr>
            <w:tc>
              <w:tcPr>
                <w:tcW w:w="1201" w:type="pct"/>
                <w:shd w:val="clear" w:color="auto" w:fill="auto"/>
              </w:tcPr>
              <w:p w14:paraId="0F1C7E12" w14:textId="77777777" w:rsidR="00E57DAA" w:rsidRDefault="00AC4185">
                <w:pPr>
                  <w:spacing w:line="240" w:lineRule="atLeast"/>
                  <w:ind w:firstLineChars="300" w:firstLine="630"/>
                  <w:rPr>
                    <w:szCs w:val="21"/>
                  </w:rPr>
                </w:pPr>
                <w:r>
                  <w:rPr>
                    <w:rFonts w:hint="eastAsia"/>
                  </w:rPr>
                  <w:t>(2)提前到期不租</w:t>
                </w:r>
              </w:p>
            </w:tc>
            <w:tc>
              <w:tcPr>
                <w:tcW w:w="827" w:type="pct"/>
                <w:shd w:val="clear" w:color="auto" w:fill="auto"/>
                <w:vAlign w:val="center"/>
              </w:tcPr>
              <w:p w14:paraId="531D3CA6" w14:textId="77777777" w:rsidR="00E57DAA" w:rsidRDefault="00E57DAA">
                <w:pPr>
                  <w:spacing w:line="240" w:lineRule="atLeast"/>
                  <w:jc w:val="right"/>
                  <w:rPr>
                    <w:szCs w:val="21"/>
                  </w:rPr>
                </w:pPr>
              </w:p>
            </w:tc>
            <w:tc>
              <w:tcPr>
                <w:tcW w:w="782" w:type="pct"/>
                <w:shd w:val="clear" w:color="auto" w:fill="auto"/>
                <w:vAlign w:val="center"/>
              </w:tcPr>
              <w:p w14:paraId="23AC8A6B" w14:textId="77777777" w:rsidR="00E57DAA" w:rsidRDefault="00E57DAA">
                <w:pPr>
                  <w:spacing w:line="240" w:lineRule="atLeast"/>
                  <w:jc w:val="right"/>
                  <w:rPr>
                    <w:szCs w:val="21"/>
                  </w:rPr>
                </w:pPr>
              </w:p>
            </w:tc>
            <w:tc>
              <w:tcPr>
                <w:tcW w:w="716" w:type="pct"/>
                <w:shd w:val="clear" w:color="auto" w:fill="auto"/>
                <w:vAlign w:val="center"/>
              </w:tcPr>
              <w:p w14:paraId="2D46E3BE" w14:textId="77777777" w:rsidR="00E57DAA" w:rsidRDefault="00AC4185">
                <w:pPr>
                  <w:spacing w:line="240" w:lineRule="atLeast"/>
                  <w:jc w:val="right"/>
                  <w:rPr>
                    <w:szCs w:val="21"/>
                  </w:rPr>
                </w:pPr>
                <w:r>
                  <w:t>2,150,000.00</w:t>
                </w:r>
              </w:p>
            </w:tc>
            <w:tc>
              <w:tcPr>
                <w:tcW w:w="818" w:type="pct"/>
                <w:shd w:val="clear" w:color="auto" w:fill="auto"/>
                <w:vAlign w:val="center"/>
              </w:tcPr>
              <w:p w14:paraId="139BC4B2" w14:textId="77777777" w:rsidR="00E57DAA" w:rsidRDefault="00E57DAA">
                <w:pPr>
                  <w:spacing w:line="240" w:lineRule="atLeast"/>
                  <w:jc w:val="right"/>
                  <w:rPr>
                    <w:szCs w:val="21"/>
                  </w:rPr>
                </w:pPr>
              </w:p>
            </w:tc>
            <w:tc>
              <w:tcPr>
                <w:tcW w:w="656" w:type="pct"/>
                <w:shd w:val="clear" w:color="auto" w:fill="auto"/>
                <w:vAlign w:val="center"/>
              </w:tcPr>
              <w:p w14:paraId="59D59DE1" w14:textId="77777777" w:rsidR="00E57DAA" w:rsidRDefault="00AC4185">
                <w:pPr>
                  <w:spacing w:line="240" w:lineRule="atLeast"/>
                  <w:jc w:val="right"/>
                  <w:rPr>
                    <w:szCs w:val="21"/>
                  </w:rPr>
                </w:pPr>
                <w:r>
                  <w:t>2,150,000.00</w:t>
                </w:r>
              </w:p>
            </w:tc>
          </w:tr>
          <w:tr w:rsidR="00E57DAA" w14:paraId="267243B1" w14:textId="77777777">
            <w:trPr>
              <w:trHeight w:val="284"/>
            </w:trPr>
            <w:tc>
              <w:tcPr>
                <w:tcW w:w="1201" w:type="pct"/>
                <w:shd w:val="clear" w:color="auto" w:fill="auto"/>
                <w:vAlign w:val="center"/>
              </w:tcPr>
              <w:p w14:paraId="478236ED" w14:textId="77777777" w:rsidR="00E57DAA" w:rsidRDefault="00AC4185">
                <w:pPr>
                  <w:spacing w:line="240" w:lineRule="atLeast"/>
                  <w:ind w:firstLineChars="200" w:firstLine="420"/>
                  <w:rPr>
                    <w:szCs w:val="21"/>
                  </w:rPr>
                </w:pPr>
                <w:r>
                  <w:rPr>
                    <w:szCs w:val="21"/>
                  </w:rPr>
                  <w:t>4.期末余额</w:t>
                </w:r>
              </w:p>
            </w:tc>
            <w:tc>
              <w:tcPr>
                <w:tcW w:w="827" w:type="pct"/>
                <w:shd w:val="clear" w:color="auto" w:fill="auto"/>
                <w:vAlign w:val="center"/>
              </w:tcPr>
              <w:p w14:paraId="6981FABC" w14:textId="77777777" w:rsidR="00E57DAA" w:rsidRDefault="00AC4185">
                <w:pPr>
                  <w:spacing w:line="240" w:lineRule="atLeast"/>
                  <w:jc w:val="right"/>
                  <w:rPr>
                    <w:szCs w:val="21"/>
                  </w:rPr>
                </w:pPr>
                <w:r>
                  <w:t>13,232,276.95</w:t>
                </w:r>
              </w:p>
            </w:tc>
            <w:tc>
              <w:tcPr>
                <w:tcW w:w="782" w:type="pct"/>
                <w:shd w:val="clear" w:color="auto" w:fill="auto"/>
                <w:vAlign w:val="center"/>
              </w:tcPr>
              <w:p w14:paraId="3A7CF9EE" w14:textId="77777777" w:rsidR="00E57DAA" w:rsidRDefault="00AC4185">
                <w:pPr>
                  <w:spacing w:line="240" w:lineRule="atLeast"/>
                  <w:jc w:val="right"/>
                  <w:rPr>
                    <w:szCs w:val="21"/>
                  </w:rPr>
                </w:pPr>
                <w:r>
                  <w:t>161,109,523.39</w:t>
                </w:r>
              </w:p>
            </w:tc>
            <w:tc>
              <w:tcPr>
                <w:tcW w:w="716" w:type="pct"/>
                <w:shd w:val="clear" w:color="auto" w:fill="auto"/>
                <w:vAlign w:val="center"/>
              </w:tcPr>
              <w:p w14:paraId="678CEE0F" w14:textId="77777777" w:rsidR="00E57DAA" w:rsidRDefault="00AC4185">
                <w:pPr>
                  <w:spacing w:line="240" w:lineRule="atLeast"/>
                  <w:jc w:val="right"/>
                  <w:rPr>
                    <w:szCs w:val="21"/>
                  </w:rPr>
                </w:pPr>
                <w:r>
                  <w:t>1,131,446.27</w:t>
                </w:r>
              </w:p>
            </w:tc>
            <w:tc>
              <w:tcPr>
                <w:tcW w:w="818" w:type="pct"/>
                <w:shd w:val="clear" w:color="auto" w:fill="auto"/>
                <w:vAlign w:val="center"/>
              </w:tcPr>
              <w:p w14:paraId="2495A40C" w14:textId="77777777" w:rsidR="00E57DAA" w:rsidRDefault="00AC4185">
                <w:pPr>
                  <w:spacing w:line="240" w:lineRule="atLeast"/>
                  <w:jc w:val="right"/>
                  <w:rPr>
                    <w:szCs w:val="21"/>
                  </w:rPr>
                </w:pPr>
                <w:r>
                  <w:t>14,534,334.67</w:t>
                </w:r>
              </w:p>
            </w:tc>
            <w:tc>
              <w:tcPr>
                <w:tcW w:w="656" w:type="pct"/>
                <w:shd w:val="clear" w:color="auto" w:fill="auto"/>
                <w:vAlign w:val="center"/>
              </w:tcPr>
              <w:p w14:paraId="1BC317BC" w14:textId="77777777" w:rsidR="00E57DAA" w:rsidRDefault="00AC4185">
                <w:pPr>
                  <w:spacing w:line="240" w:lineRule="atLeast"/>
                  <w:jc w:val="right"/>
                  <w:rPr>
                    <w:szCs w:val="21"/>
                  </w:rPr>
                </w:pPr>
                <w:r>
                  <w:t>190,007,581.28</w:t>
                </w:r>
              </w:p>
            </w:tc>
          </w:tr>
          <w:tr w:rsidR="00E57DAA" w14:paraId="555E1953" w14:textId="77777777">
            <w:trPr>
              <w:trHeight w:val="284"/>
            </w:trPr>
            <w:sdt>
              <w:sdtPr>
                <w:tag w:val="_PLD_39b1174f077e44e0af9583631dcb785f"/>
                <w:id w:val="-987014529"/>
              </w:sdtPr>
              <w:sdtEndPr/>
              <w:sdtContent>
                <w:tc>
                  <w:tcPr>
                    <w:tcW w:w="5000" w:type="pct"/>
                    <w:gridSpan w:val="6"/>
                    <w:shd w:val="clear" w:color="auto" w:fill="auto"/>
                    <w:vAlign w:val="center"/>
                  </w:tcPr>
                  <w:p w14:paraId="089BA037" w14:textId="77777777" w:rsidR="00E57DAA" w:rsidRDefault="00AC4185">
                    <w:pPr>
                      <w:spacing w:line="240" w:lineRule="atLeast"/>
                      <w:rPr>
                        <w:szCs w:val="21"/>
                      </w:rPr>
                    </w:pPr>
                    <w:r>
                      <w:rPr>
                        <w:szCs w:val="21"/>
                      </w:rPr>
                      <w:t>二、累计折旧</w:t>
                    </w:r>
                  </w:p>
                </w:tc>
              </w:sdtContent>
            </w:sdt>
          </w:tr>
          <w:tr w:rsidR="00E57DAA" w14:paraId="22F8A3EE" w14:textId="77777777">
            <w:trPr>
              <w:trHeight w:val="284"/>
            </w:trPr>
            <w:tc>
              <w:tcPr>
                <w:tcW w:w="1201" w:type="pct"/>
                <w:shd w:val="clear" w:color="auto" w:fill="auto"/>
                <w:vAlign w:val="center"/>
              </w:tcPr>
              <w:p w14:paraId="15FE5999" w14:textId="77777777" w:rsidR="00E57DAA" w:rsidRDefault="00AC4185">
                <w:pPr>
                  <w:spacing w:line="240" w:lineRule="atLeast"/>
                  <w:ind w:firstLineChars="200" w:firstLine="420"/>
                  <w:rPr>
                    <w:szCs w:val="21"/>
                  </w:rPr>
                </w:pPr>
                <w:r>
                  <w:rPr>
                    <w:rFonts w:hint="eastAsia"/>
                    <w:szCs w:val="21"/>
                  </w:rPr>
                  <w:t>1.期</w:t>
                </w:r>
                <w:r>
                  <w:rPr>
                    <w:szCs w:val="21"/>
                  </w:rPr>
                  <w:t>初余额</w:t>
                </w:r>
              </w:p>
            </w:tc>
            <w:tc>
              <w:tcPr>
                <w:tcW w:w="827" w:type="pct"/>
                <w:shd w:val="clear" w:color="auto" w:fill="auto"/>
                <w:vAlign w:val="center"/>
              </w:tcPr>
              <w:p w14:paraId="59C01141" w14:textId="77777777" w:rsidR="00E57DAA" w:rsidRDefault="00AC4185">
                <w:pPr>
                  <w:spacing w:line="240" w:lineRule="atLeast"/>
                  <w:jc w:val="right"/>
                  <w:rPr>
                    <w:szCs w:val="21"/>
                  </w:rPr>
                </w:pPr>
                <w:r>
                  <w:t>534,013.14</w:t>
                </w:r>
              </w:p>
            </w:tc>
            <w:tc>
              <w:tcPr>
                <w:tcW w:w="782" w:type="pct"/>
                <w:shd w:val="clear" w:color="auto" w:fill="auto"/>
                <w:vAlign w:val="center"/>
              </w:tcPr>
              <w:p w14:paraId="3862E02D" w14:textId="77777777" w:rsidR="00E57DAA" w:rsidRDefault="00AC4185">
                <w:pPr>
                  <w:spacing w:line="240" w:lineRule="atLeast"/>
                  <w:jc w:val="right"/>
                  <w:rPr>
                    <w:szCs w:val="21"/>
                  </w:rPr>
                </w:pPr>
                <w:r>
                  <w:t>40,949,447.26</w:t>
                </w:r>
              </w:p>
            </w:tc>
            <w:tc>
              <w:tcPr>
                <w:tcW w:w="716" w:type="pct"/>
                <w:shd w:val="clear" w:color="auto" w:fill="auto"/>
                <w:vAlign w:val="center"/>
              </w:tcPr>
              <w:p w14:paraId="443EF7F6" w14:textId="77777777" w:rsidR="00E57DAA" w:rsidRDefault="00AC4185">
                <w:pPr>
                  <w:spacing w:line="240" w:lineRule="atLeast"/>
                  <w:jc w:val="right"/>
                  <w:rPr>
                    <w:szCs w:val="21"/>
                  </w:rPr>
                </w:pPr>
                <w:r>
                  <w:t>4,877,924.40</w:t>
                </w:r>
              </w:p>
            </w:tc>
            <w:tc>
              <w:tcPr>
                <w:tcW w:w="818" w:type="pct"/>
                <w:shd w:val="clear" w:color="auto" w:fill="auto"/>
                <w:vAlign w:val="center"/>
              </w:tcPr>
              <w:p w14:paraId="3EBB7B7F" w14:textId="77777777" w:rsidR="00E57DAA" w:rsidRDefault="00AC4185">
                <w:pPr>
                  <w:spacing w:line="240" w:lineRule="atLeast"/>
                  <w:jc w:val="right"/>
                  <w:rPr>
                    <w:szCs w:val="21"/>
                  </w:rPr>
                </w:pPr>
                <w:r>
                  <w:t>10,079,255.40</w:t>
                </w:r>
              </w:p>
            </w:tc>
            <w:tc>
              <w:tcPr>
                <w:tcW w:w="656" w:type="pct"/>
                <w:shd w:val="clear" w:color="auto" w:fill="auto"/>
                <w:vAlign w:val="center"/>
              </w:tcPr>
              <w:p w14:paraId="397D9CE4" w14:textId="77777777" w:rsidR="00E57DAA" w:rsidRDefault="00AC4185">
                <w:pPr>
                  <w:spacing w:line="240" w:lineRule="atLeast"/>
                  <w:jc w:val="right"/>
                  <w:rPr>
                    <w:szCs w:val="21"/>
                  </w:rPr>
                </w:pPr>
                <w:r>
                  <w:t>56,440,640.20</w:t>
                </w:r>
              </w:p>
            </w:tc>
          </w:tr>
          <w:tr w:rsidR="00E57DAA" w14:paraId="56F29B81" w14:textId="77777777">
            <w:trPr>
              <w:trHeight w:val="284"/>
            </w:trPr>
            <w:tc>
              <w:tcPr>
                <w:tcW w:w="1201" w:type="pct"/>
                <w:shd w:val="clear" w:color="auto" w:fill="auto"/>
                <w:vAlign w:val="center"/>
              </w:tcPr>
              <w:p w14:paraId="37B5B7C7" w14:textId="77777777" w:rsidR="00E57DAA" w:rsidRDefault="00AC4185">
                <w:pPr>
                  <w:spacing w:line="240" w:lineRule="atLeast"/>
                  <w:ind w:firstLineChars="200" w:firstLine="420"/>
                  <w:rPr>
                    <w:szCs w:val="21"/>
                  </w:rPr>
                </w:pPr>
                <w:r>
                  <w:rPr>
                    <w:szCs w:val="21"/>
                  </w:rPr>
                  <w:t>2.本期增加</w:t>
                </w:r>
                <w:r>
                  <w:rPr>
                    <w:rFonts w:hint="eastAsia"/>
                    <w:szCs w:val="21"/>
                  </w:rPr>
                  <w:t>金额</w:t>
                </w:r>
              </w:p>
            </w:tc>
            <w:tc>
              <w:tcPr>
                <w:tcW w:w="827" w:type="pct"/>
                <w:shd w:val="clear" w:color="auto" w:fill="auto"/>
                <w:vAlign w:val="center"/>
              </w:tcPr>
              <w:p w14:paraId="515830B9" w14:textId="77777777" w:rsidR="00E57DAA" w:rsidRDefault="00AC4185">
                <w:pPr>
                  <w:spacing w:line="240" w:lineRule="atLeast"/>
                  <w:jc w:val="right"/>
                  <w:rPr>
                    <w:szCs w:val="21"/>
                  </w:rPr>
                </w:pPr>
                <w:r>
                  <w:t>319,073.03</w:t>
                </w:r>
              </w:p>
            </w:tc>
            <w:tc>
              <w:tcPr>
                <w:tcW w:w="782" w:type="pct"/>
                <w:shd w:val="clear" w:color="auto" w:fill="auto"/>
                <w:vAlign w:val="center"/>
              </w:tcPr>
              <w:p w14:paraId="3F520478" w14:textId="77777777" w:rsidR="00E57DAA" w:rsidRDefault="00AC4185">
                <w:pPr>
                  <w:spacing w:line="240" w:lineRule="atLeast"/>
                  <w:jc w:val="right"/>
                  <w:rPr>
                    <w:szCs w:val="21"/>
                  </w:rPr>
                </w:pPr>
                <w:r>
                  <w:t>19,068,998.89</w:t>
                </w:r>
              </w:p>
            </w:tc>
            <w:tc>
              <w:tcPr>
                <w:tcW w:w="716" w:type="pct"/>
                <w:shd w:val="clear" w:color="auto" w:fill="auto"/>
                <w:vAlign w:val="center"/>
              </w:tcPr>
              <w:p w14:paraId="48825293" w14:textId="77777777" w:rsidR="00E57DAA" w:rsidRDefault="00AC4185">
                <w:pPr>
                  <w:spacing w:line="240" w:lineRule="atLeast"/>
                  <w:jc w:val="right"/>
                  <w:rPr>
                    <w:szCs w:val="21"/>
                  </w:rPr>
                </w:pPr>
                <w:r>
                  <w:t>1,293,550.11</w:t>
                </w:r>
              </w:p>
            </w:tc>
            <w:tc>
              <w:tcPr>
                <w:tcW w:w="818" w:type="pct"/>
                <w:shd w:val="clear" w:color="auto" w:fill="auto"/>
                <w:vAlign w:val="center"/>
              </w:tcPr>
              <w:p w14:paraId="4AA6A938" w14:textId="77777777" w:rsidR="00E57DAA" w:rsidRDefault="00AC4185">
                <w:pPr>
                  <w:spacing w:line="240" w:lineRule="atLeast"/>
                  <w:jc w:val="right"/>
                  <w:rPr>
                    <w:szCs w:val="21"/>
                  </w:rPr>
                </w:pPr>
                <w:r>
                  <w:t>3,208,850.05</w:t>
                </w:r>
              </w:p>
            </w:tc>
            <w:tc>
              <w:tcPr>
                <w:tcW w:w="656" w:type="pct"/>
                <w:shd w:val="clear" w:color="auto" w:fill="auto"/>
                <w:vAlign w:val="center"/>
              </w:tcPr>
              <w:p w14:paraId="76B69EAF" w14:textId="77777777" w:rsidR="00E57DAA" w:rsidRDefault="00AC4185">
                <w:pPr>
                  <w:spacing w:line="240" w:lineRule="atLeast"/>
                  <w:jc w:val="right"/>
                  <w:rPr>
                    <w:szCs w:val="21"/>
                  </w:rPr>
                </w:pPr>
                <w:r>
                  <w:t>23,890,472.08</w:t>
                </w:r>
              </w:p>
            </w:tc>
          </w:tr>
          <w:tr w:rsidR="00E57DAA" w14:paraId="5D51B16C" w14:textId="77777777">
            <w:trPr>
              <w:trHeight w:val="284"/>
            </w:trPr>
            <w:tc>
              <w:tcPr>
                <w:tcW w:w="1201" w:type="pct"/>
                <w:shd w:val="clear" w:color="auto" w:fill="auto"/>
                <w:vAlign w:val="center"/>
              </w:tcPr>
              <w:p w14:paraId="34448E7D" w14:textId="77777777" w:rsidR="00E57DAA" w:rsidRDefault="00AC4185">
                <w:pPr>
                  <w:spacing w:line="240" w:lineRule="atLeast"/>
                  <w:ind w:firstLineChars="300" w:firstLine="630"/>
                  <w:rPr>
                    <w:szCs w:val="21"/>
                  </w:rPr>
                </w:pPr>
                <w:r>
                  <w:rPr>
                    <w:szCs w:val="21"/>
                  </w:rPr>
                  <w:t>(1)计提</w:t>
                </w:r>
              </w:p>
            </w:tc>
            <w:tc>
              <w:tcPr>
                <w:tcW w:w="827" w:type="pct"/>
                <w:shd w:val="clear" w:color="auto" w:fill="auto"/>
                <w:vAlign w:val="center"/>
              </w:tcPr>
              <w:p w14:paraId="451B1718" w14:textId="77777777" w:rsidR="00E57DAA" w:rsidRDefault="00AC4185">
                <w:pPr>
                  <w:spacing w:line="240" w:lineRule="atLeast"/>
                  <w:jc w:val="right"/>
                  <w:rPr>
                    <w:szCs w:val="21"/>
                  </w:rPr>
                </w:pPr>
                <w:r>
                  <w:t>319,073.03</w:t>
                </w:r>
              </w:p>
            </w:tc>
            <w:tc>
              <w:tcPr>
                <w:tcW w:w="782" w:type="pct"/>
                <w:shd w:val="clear" w:color="auto" w:fill="auto"/>
                <w:vAlign w:val="center"/>
              </w:tcPr>
              <w:p w14:paraId="3B51CAB6" w14:textId="77777777" w:rsidR="00E57DAA" w:rsidRDefault="00AC4185">
                <w:pPr>
                  <w:spacing w:line="240" w:lineRule="atLeast"/>
                  <w:jc w:val="right"/>
                  <w:rPr>
                    <w:szCs w:val="21"/>
                  </w:rPr>
                </w:pPr>
                <w:r>
                  <w:t>18,718,444.98</w:t>
                </w:r>
              </w:p>
            </w:tc>
            <w:tc>
              <w:tcPr>
                <w:tcW w:w="716" w:type="pct"/>
                <w:shd w:val="clear" w:color="auto" w:fill="auto"/>
                <w:vAlign w:val="center"/>
              </w:tcPr>
              <w:p w14:paraId="4BDA7D89" w14:textId="77777777" w:rsidR="00E57DAA" w:rsidRDefault="00AC4185">
                <w:pPr>
                  <w:spacing w:line="240" w:lineRule="atLeast"/>
                  <w:jc w:val="right"/>
                  <w:rPr>
                    <w:szCs w:val="21"/>
                  </w:rPr>
                </w:pPr>
                <w:r>
                  <w:t>1,293,550.11</w:t>
                </w:r>
              </w:p>
            </w:tc>
            <w:tc>
              <w:tcPr>
                <w:tcW w:w="818" w:type="pct"/>
                <w:shd w:val="clear" w:color="auto" w:fill="auto"/>
                <w:vAlign w:val="center"/>
              </w:tcPr>
              <w:p w14:paraId="180ECD4F" w14:textId="77777777" w:rsidR="00E57DAA" w:rsidRDefault="00AC4185">
                <w:pPr>
                  <w:spacing w:line="240" w:lineRule="atLeast"/>
                  <w:jc w:val="right"/>
                  <w:rPr>
                    <w:szCs w:val="21"/>
                  </w:rPr>
                </w:pPr>
                <w:r>
                  <w:t>2,725,762.72</w:t>
                </w:r>
              </w:p>
            </w:tc>
            <w:tc>
              <w:tcPr>
                <w:tcW w:w="656" w:type="pct"/>
                <w:shd w:val="clear" w:color="auto" w:fill="auto"/>
                <w:vAlign w:val="center"/>
              </w:tcPr>
              <w:p w14:paraId="0AE70FB1" w14:textId="77777777" w:rsidR="00E57DAA" w:rsidRDefault="00AC4185">
                <w:pPr>
                  <w:spacing w:line="240" w:lineRule="atLeast"/>
                  <w:jc w:val="right"/>
                  <w:rPr>
                    <w:szCs w:val="21"/>
                  </w:rPr>
                </w:pPr>
                <w:r>
                  <w:t>23,056,830.84</w:t>
                </w:r>
              </w:p>
            </w:tc>
          </w:tr>
          <w:tr w:rsidR="00E57DAA" w14:paraId="28688B22" w14:textId="77777777">
            <w:trPr>
              <w:trHeight w:val="284"/>
            </w:trPr>
            <w:tc>
              <w:tcPr>
                <w:tcW w:w="1201" w:type="pct"/>
                <w:shd w:val="clear" w:color="auto" w:fill="auto"/>
              </w:tcPr>
              <w:p w14:paraId="221057F3" w14:textId="77777777" w:rsidR="00E57DAA" w:rsidRDefault="00AC4185">
                <w:pPr>
                  <w:spacing w:line="240" w:lineRule="atLeast"/>
                  <w:ind w:firstLineChars="300" w:firstLine="630"/>
                  <w:rPr>
                    <w:szCs w:val="21"/>
                  </w:rPr>
                </w:pPr>
                <w:r>
                  <w:t>(2)</w:t>
                </w:r>
                <w:r>
                  <w:rPr>
                    <w:rFonts w:hint="eastAsia"/>
                  </w:rPr>
                  <w:t>外币报表折算差额</w:t>
                </w:r>
              </w:p>
            </w:tc>
            <w:tc>
              <w:tcPr>
                <w:tcW w:w="827" w:type="pct"/>
                <w:shd w:val="clear" w:color="auto" w:fill="auto"/>
                <w:vAlign w:val="center"/>
              </w:tcPr>
              <w:p w14:paraId="680AC557" w14:textId="77777777" w:rsidR="00E57DAA" w:rsidRDefault="00E57DAA">
                <w:pPr>
                  <w:spacing w:line="240" w:lineRule="atLeast"/>
                  <w:jc w:val="right"/>
                  <w:rPr>
                    <w:szCs w:val="21"/>
                  </w:rPr>
                </w:pPr>
              </w:p>
            </w:tc>
            <w:tc>
              <w:tcPr>
                <w:tcW w:w="782" w:type="pct"/>
                <w:shd w:val="clear" w:color="auto" w:fill="auto"/>
                <w:vAlign w:val="center"/>
              </w:tcPr>
              <w:p w14:paraId="00418010" w14:textId="77777777" w:rsidR="00E57DAA" w:rsidRDefault="00AC4185">
                <w:pPr>
                  <w:spacing w:line="240" w:lineRule="atLeast"/>
                  <w:jc w:val="right"/>
                  <w:rPr>
                    <w:szCs w:val="21"/>
                  </w:rPr>
                </w:pPr>
                <w:r>
                  <w:t>350,553.91</w:t>
                </w:r>
              </w:p>
            </w:tc>
            <w:tc>
              <w:tcPr>
                <w:tcW w:w="716" w:type="pct"/>
                <w:shd w:val="clear" w:color="auto" w:fill="auto"/>
                <w:vAlign w:val="center"/>
              </w:tcPr>
              <w:p w14:paraId="6BDA970A" w14:textId="77777777" w:rsidR="00E57DAA" w:rsidRDefault="00E57DAA">
                <w:pPr>
                  <w:spacing w:line="240" w:lineRule="atLeast"/>
                  <w:jc w:val="right"/>
                  <w:rPr>
                    <w:szCs w:val="21"/>
                  </w:rPr>
                </w:pPr>
              </w:p>
            </w:tc>
            <w:tc>
              <w:tcPr>
                <w:tcW w:w="818" w:type="pct"/>
                <w:shd w:val="clear" w:color="auto" w:fill="auto"/>
                <w:vAlign w:val="center"/>
              </w:tcPr>
              <w:p w14:paraId="3BE14170" w14:textId="77777777" w:rsidR="00E57DAA" w:rsidRDefault="00AC4185">
                <w:pPr>
                  <w:spacing w:line="240" w:lineRule="atLeast"/>
                  <w:jc w:val="right"/>
                  <w:rPr>
                    <w:szCs w:val="21"/>
                  </w:rPr>
                </w:pPr>
                <w:r>
                  <w:t>483,087.33</w:t>
                </w:r>
              </w:p>
            </w:tc>
            <w:tc>
              <w:tcPr>
                <w:tcW w:w="656" w:type="pct"/>
                <w:shd w:val="clear" w:color="auto" w:fill="auto"/>
                <w:vAlign w:val="center"/>
              </w:tcPr>
              <w:p w14:paraId="4B982FA4" w14:textId="77777777" w:rsidR="00E57DAA" w:rsidRDefault="00AC4185">
                <w:pPr>
                  <w:spacing w:line="240" w:lineRule="atLeast"/>
                  <w:jc w:val="right"/>
                  <w:rPr>
                    <w:szCs w:val="21"/>
                  </w:rPr>
                </w:pPr>
                <w:r>
                  <w:t>833,641.24</w:t>
                </w:r>
              </w:p>
            </w:tc>
          </w:tr>
          <w:tr w:rsidR="00E57DAA" w14:paraId="0CF226F9" w14:textId="77777777">
            <w:trPr>
              <w:trHeight w:val="284"/>
            </w:trPr>
            <w:tc>
              <w:tcPr>
                <w:tcW w:w="1201" w:type="pct"/>
                <w:shd w:val="clear" w:color="auto" w:fill="auto"/>
                <w:vAlign w:val="center"/>
              </w:tcPr>
              <w:p w14:paraId="4DAE680C" w14:textId="77777777" w:rsidR="00E57DAA" w:rsidRDefault="00AC4185">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tc>
              <w:tcPr>
                <w:tcW w:w="827" w:type="pct"/>
                <w:shd w:val="clear" w:color="auto" w:fill="auto"/>
                <w:vAlign w:val="center"/>
              </w:tcPr>
              <w:p w14:paraId="36DA8640" w14:textId="77777777" w:rsidR="00E57DAA" w:rsidRDefault="00E57DAA">
                <w:pPr>
                  <w:spacing w:line="240" w:lineRule="atLeast"/>
                  <w:jc w:val="right"/>
                  <w:rPr>
                    <w:szCs w:val="21"/>
                  </w:rPr>
                </w:pPr>
              </w:p>
            </w:tc>
            <w:tc>
              <w:tcPr>
                <w:tcW w:w="782" w:type="pct"/>
                <w:shd w:val="clear" w:color="auto" w:fill="auto"/>
                <w:vAlign w:val="center"/>
              </w:tcPr>
              <w:p w14:paraId="785D22AF" w14:textId="77777777" w:rsidR="00E57DAA" w:rsidRDefault="00AC4185">
                <w:pPr>
                  <w:spacing w:line="240" w:lineRule="atLeast"/>
                  <w:jc w:val="right"/>
                  <w:rPr>
                    <w:szCs w:val="21"/>
                  </w:rPr>
                </w:pPr>
                <w:r>
                  <w:t>9,236,027.75</w:t>
                </w:r>
              </w:p>
            </w:tc>
            <w:tc>
              <w:tcPr>
                <w:tcW w:w="716" w:type="pct"/>
                <w:shd w:val="clear" w:color="auto" w:fill="auto"/>
                <w:vAlign w:val="center"/>
              </w:tcPr>
              <w:p w14:paraId="280880D2" w14:textId="77777777" w:rsidR="00E57DAA" w:rsidRDefault="00AC4185">
                <w:pPr>
                  <w:spacing w:line="240" w:lineRule="atLeast"/>
                  <w:jc w:val="right"/>
                  <w:rPr>
                    <w:szCs w:val="21"/>
                  </w:rPr>
                </w:pPr>
                <w:r>
                  <w:t>6,105,398.13</w:t>
                </w:r>
              </w:p>
            </w:tc>
            <w:tc>
              <w:tcPr>
                <w:tcW w:w="818" w:type="pct"/>
                <w:shd w:val="clear" w:color="auto" w:fill="auto"/>
                <w:vAlign w:val="center"/>
              </w:tcPr>
              <w:p w14:paraId="6942CBD5" w14:textId="77777777" w:rsidR="00E57DAA" w:rsidRDefault="00AC4185">
                <w:pPr>
                  <w:spacing w:line="240" w:lineRule="atLeast"/>
                  <w:jc w:val="right"/>
                  <w:rPr>
                    <w:szCs w:val="21"/>
                  </w:rPr>
                </w:pPr>
                <w:r>
                  <w:t>3,364,938.96</w:t>
                </w:r>
              </w:p>
            </w:tc>
            <w:tc>
              <w:tcPr>
                <w:tcW w:w="656" w:type="pct"/>
                <w:shd w:val="clear" w:color="auto" w:fill="auto"/>
                <w:vAlign w:val="center"/>
              </w:tcPr>
              <w:p w14:paraId="42929886" w14:textId="77777777" w:rsidR="00E57DAA" w:rsidRDefault="00AC4185">
                <w:pPr>
                  <w:spacing w:line="240" w:lineRule="atLeast"/>
                  <w:jc w:val="right"/>
                  <w:rPr>
                    <w:szCs w:val="21"/>
                  </w:rPr>
                </w:pPr>
                <w:r>
                  <w:t>18,706,364.84</w:t>
                </w:r>
              </w:p>
            </w:tc>
          </w:tr>
          <w:tr w:rsidR="00E57DAA" w14:paraId="758E6EDA" w14:textId="77777777">
            <w:trPr>
              <w:trHeight w:val="284"/>
            </w:trPr>
            <w:tc>
              <w:tcPr>
                <w:tcW w:w="1201" w:type="pct"/>
                <w:shd w:val="clear" w:color="auto" w:fill="auto"/>
              </w:tcPr>
              <w:p w14:paraId="40CDCD36" w14:textId="77777777" w:rsidR="00E57DAA" w:rsidRDefault="00AC4185">
                <w:pPr>
                  <w:spacing w:line="240" w:lineRule="atLeast"/>
                  <w:ind w:firstLineChars="300" w:firstLine="630"/>
                  <w:rPr>
                    <w:szCs w:val="21"/>
                  </w:rPr>
                </w:pPr>
                <w:r>
                  <w:rPr>
                    <w:rFonts w:hint="eastAsia"/>
                  </w:rPr>
                  <w:t>(1)租赁到期</w:t>
                </w:r>
              </w:p>
            </w:tc>
            <w:tc>
              <w:tcPr>
                <w:tcW w:w="827" w:type="pct"/>
                <w:shd w:val="clear" w:color="auto" w:fill="auto"/>
                <w:vAlign w:val="center"/>
              </w:tcPr>
              <w:p w14:paraId="324677A5" w14:textId="77777777" w:rsidR="00E57DAA" w:rsidRDefault="00E57DAA">
                <w:pPr>
                  <w:spacing w:line="240" w:lineRule="atLeast"/>
                  <w:jc w:val="right"/>
                  <w:rPr>
                    <w:szCs w:val="21"/>
                  </w:rPr>
                </w:pPr>
              </w:p>
            </w:tc>
            <w:tc>
              <w:tcPr>
                <w:tcW w:w="782" w:type="pct"/>
                <w:shd w:val="clear" w:color="auto" w:fill="auto"/>
                <w:vAlign w:val="center"/>
              </w:tcPr>
              <w:p w14:paraId="5468C56A" w14:textId="77777777" w:rsidR="00E57DAA" w:rsidRDefault="00AC4185">
                <w:pPr>
                  <w:spacing w:line="240" w:lineRule="atLeast"/>
                  <w:jc w:val="right"/>
                  <w:rPr>
                    <w:szCs w:val="21"/>
                  </w:rPr>
                </w:pPr>
                <w:r>
                  <w:t>9,236,027.75</w:t>
                </w:r>
              </w:p>
            </w:tc>
            <w:tc>
              <w:tcPr>
                <w:tcW w:w="716" w:type="pct"/>
                <w:shd w:val="clear" w:color="auto" w:fill="auto"/>
                <w:vAlign w:val="center"/>
              </w:tcPr>
              <w:p w14:paraId="526A507E" w14:textId="77777777" w:rsidR="00E57DAA" w:rsidRDefault="00AC4185">
                <w:pPr>
                  <w:spacing w:line="240" w:lineRule="atLeast"/>
                  <w:jc w:val="right"/>
                  <w:rPr>
                    <w:szCs w:val="21"/>
                  </w:rPr>
                </w:pPr>
                <w:r>
                  <w:t>5,816,044.02</w:t>
                </w:r>
              </w:p>
            </w:tc>
            <w:tc>
              <w:tcPr>
                <w:tcW w:w="818" w:type="pct"/>
                <w:shd w:val="clear" w:color="auto" w:fill="auto"/>
                <w:vAlign w:val="center"/>
              </w:tcPr>
              <w:p w14:paraId="539EDB92" w14:textId="77777777" w:rsidR="00E57DAA" w:rsidRDefault="00AC4185">
                <w:pPr>
                  <w:spacing w:line="240" w:lineRule="atLeast"/>
                  <w:jc w:val="right"/>
                  <w:rPr>
                    <w:szCs w:val="21"/>
                  </w:rPr>
                </w:pPr>
                <w:r>
                  <w:t>3,364,938.96</w:t>
                </w:r>
              </w:p>
            </w:tc>
            <w:tc>
              <w:tcPr>
                <w:tcW w:w="656" w:type="pct"/>
                <w:shd w:val="clear" w:color="auto" w:fill="auto"/>
                <w:vAlign w:val="center"/>
              </w:tcPr>
              <w:p w14:paraId="105A5C2A" w14:textId="77777777" w:rsidR="00E57DAA" w:rsidRDefault="00AC4185">
                <w:pPr>
                  <w:spacing w:line="240" w:lineRule="atLeast"/>
                  <w:jc w:val="right"/>
                  <w:rPr>
                    <w:szCs w:val="21"/>
                  </w:rPr>
                </w:pPr>
                <w:r>
                  <w:t>18,417,010.73</w:t>
                </w:r>
              </w:p>
            </w:tc>
          </w:tr>
          <w:tr w:rsidR="00E57DAA" w14:paraId="5AF433DF" w14:textId="77777777">
            <w:trPr>
              <w:trHeight w:val="284"/>
            </w:trPr>
            <w:tc>
              <w:tcPr>
                <w:tcW w:w="1201" w:type="pct"/>
                <w:shd w:val="clear" w:color="auto" w:fill="auto"/>
              </w:tcPr>
              <w:p w14:paraId="743F98DA" w14:textId="77777777" w:rsidR="00E57DAA" w:rsidRDefault="00AC4185">
                <w:pPr>
                  <w:spacing w:line="240" w:lineRule="atLeast"/>
                  <w:ind w:firstLineChars="300" w:firstLine="630"/>
                  <w:rPr>
                    <w:szCs w:val="21"/>
                  </w:rPr>
                </w:pPr>
                <w:r>
                  <w:rPr>
                    <w:rFonts w:hint="eastAsia"/>
                  </w:rPr>
                  <w:t>(2)提前到期不租</w:t>
                </w:r>
              </w:p>
            </w:tc>
            <w:tc>
              <w:tcPr>
                <w:tcW w:w="827" w:type="pct"/>
                <w:shd w:val="clear" w:color="auto" w:fill="auto"/>
                <w:vAlign w:val="center"/>
              </w:tcPr>
              <w:p w14:paraId="46D7E68B" w14:textId="77777777" w:rsidR="00E57DAA" w:rsidRDefault="00E57DAA">
                <w:pPr>
                  <w:spacing w:line="240" w:lineRule="atLeast"/>
                  <w:jc w:val="right"/>
                  <w:rPr>
                    <w:szCs w:val="21"/>
                  </w:rPr>
                </w:pPr>
              </w:p>
            </w:tc>
            <w:tc>
              <w:tcPr>
                <w:tcW w:w="782" w:type="pct"/>
                <w:shd w:val="clear" w:color="auto" w:fill="auto"/>
                <w:vAlign w:val="center"/>
              </w:tcPr>
              <w:p w14:paraId="63B44C5E" w14:textId="77777777" w:rsidR="00E57DAA" w:rsidRDefault="00E57DAA">
                <w:pPr>
                  <w:spacing w:line="240" w:lineRule="atLeast"/>
                  <w:jc w:val="right"/>
                  <w:rPr>
                    <w:szCs w:val="21"/>
                  </w:rPr>
                </w:pPr>
              </w:p>
            </w:tc>
            <w:tc>
              <w:tcPr>
                <w:tcW w:w="716" w:type="pct"/>
                <w:shd w:val="clear" w:color="auto" w:fill="auto"/>
                <w:vAlign w:val="center"/>
              </w:tcPr>
              <w:p w14:paraId="16E2A53E" w14:textId="77777777" w:rsidR="00E57DAA" w:rsidRDefault="00AC4185">
                <w:pPr>
                  <w:spacing w:line="240" w:lineRule="atLeast"/>
                  <w:jc w:val="right"/>
                  <w:rPr>
                    <w:szCs w:val="21"/>
                  </w:rPr>
                </w:pPr>
                <w:r>
                  <w:t>289,354.11</w:t>
                </w:r>
              </w:p>
            </w:tc>
            <w:tc>
              <w:tcPr>
                <w:tcW w:w="818" w:type="pct"/>
                <w:shd w:val="clear" w:color="auto" w:fill="auto"/>
                <w:vAlign w:val="center"/>
              </w:tcPr>
              <w:p w14:paraId="0FE9EF01" w14:textId="77777777" w:rsidR="00E57DAA" w:rsidRDefault="00E57DAA">
                <w:pPr>
                  <w:spacing w:line="240" w:lineRule="atLeast"/>
                  <w:jc w:val="right"/>
                  <w:rPr>
                    <w:szCs w:val="21"/>
                  </w:rPr>
                </w:pPr>
              </w:p>
            </w:tc>
            <w:tc>
              <w:tcPr>
                <w:tcW w:w="656" w:type="pct"/>
                <w:shd w:val="clear" w:color="auto" w:fill="auto"/>
                <w:vAlign w:val="center"/>
              </w:tcPr>
              <w:p w14:paraId="1C82A4AD" w14:textId="77777777" w:rsidR="00E57DAA" w:rsidRDefault="00AC4185">
                <w:pPr>
                  <w:spacing w:line="240" w:lineRule="atLeast"/>
                  <w:jc w:val="right"/>
                  <w:rPr>
                    <w:szCs w:val="21"/>
                  </w:rPr>
                </w:pPr>
                <w:r>
                  <w:t>289,354.11</w:t>
                </w:r>
              </w:p>
            </w:tc>
          </w:tr>
          <w:tr w:rsidR="00E57DAA" w14:paraId="5E4007AD" w14:textId="77777777">
            <w:trPr>
              <w:trHeight w:val="284"/>
            </w:trPr>
            <w:tc>
              <w:tcPr>
                <w:tcW w:w="1201" w:type="pct"/>
                <w:shd w:val="clear" w:color="auto" w:fill="auto"/>
                <w:vAlign w:val="center"/>
              </w:tcPr>
              <w:p w14:paraId="6576E699" w14:textId="77777777" w:rsidR="00E57DAA" w:rsidRDefault="00AC4185">
                <w:pPr>
                  <w:spacing w:line="240" w:lineRule="atLeast"/>
                  <w:ind w:firstLineChars="200" w:firstLine="420"/>
                  <w:rPr>
                    <w:szCs w:val="21"/>
                  </w:rPr>
                </w:pPr>
                <w:r>
                  <w:rPr>
                    <w:rFonts w:hint="eastAsia"/>
                    <w:szCs w:val="21"/>
                  </w:rPr>
                  <w:t>4.</w:t>
                </w:r>
                <w:r>
                  <w:rPr>
                    <w:szCs w:val="21"/>
                  </w:rPr>
                  <w:t>期末余额</w:t>
                </w:r>
              </w:p>
            </w:tc>
            <w:tc>
              <w:tcPr>
                <w:tcW w:w="827" w:type="pct"/>
                <w:shd w:val="clear" w:color="auto" w:fill="auto"/>
                <w:vAlign w:val="center"/>
              </w:tcPr>
              <w:p w14:paraId="1D796DB3" w14:textId="77777777" w:rsidR="00E57DAA" w:rsidRDefault="00AC4185">
                <w:pPr>
                  <w:spacing w:line="240" w:lineRule="atLeast"/>
                  <w:jc w:val="right"/>
                  <w:rPr>
                    <w:szCs w:val="21"/>
                  </w:rPr>
                </w:pPr>
                <w:r>
                  <w:t>853,086.17</w:t>
                </w:r>
              </w:p>
            </w:tc>
            <w:tc>
              <w:tcPr>
                <w:tcW w:w="782" w:type="pct"/>
                <w:shd w:val="clear" w:color="auto" w:fill="auto"/>
                <w:vAlign w:val="center"/>
              </w:tcPr>
              <w:p w14:paraId="56723801" w14:textId="77777777" w:rsidR="00E57DAA" w:rsidRDefault="00AC4185">
                <w:pPr>
                  <w:spacing w:line="240" w:lineRule="atLeast"/>
                  <w:jc w:val="right"/>
                  <w:rPr>
                    <w:szCs w:val="21"/>
                  </w:rPr>
                </w:pPr>
                <w:r>
                  <w:t>50,782,418.40</w:t>
                </w:r>
              </w:p>
            </w:tc>
            <w:tc>
              <w:tcPr>
                <w:tcW w:w="716" w:type="pct"/>
                <w:shd w:val="clear" w:color="auto" w:fill="auto"/>
                <w:vAlign w:val="center"/>
              </w:tcPr>
              <w:p w14:paraId="76DB5F3E" w14:textId="77777777" w:rsidR="00E57DAA" w:rsidRDefault="00AC4185">
                <w:pPr>
                  <w:spacing w:line="240" w:lineRule="atLeast"/>
                  <w:jc w:val="right"/>
                  <w:rPr>
                    <w:szCs w:val="21"/>
                  </w:rPr>
                </w:pPr>
                <w:r>
                  <w:t>66,076.38</w:t>
                </w:r>
              </w:p>
            </w:tc>
            <w:tc>
              <w:tcPr>
                <w:tcW w:w="818" w:type="pct"/>
                <w:shd w:val="clear" w:color="auto" w:fill="auto"/>
                <w:vAlign w:val="center"/>
              </w:tcPr>
              <w:p w14:paraId="58E1C868" w14:textId="77777777" w:rsidR="00E57DAA" w:rsidRDefault="00AC4185">
                <w:pPr>
                  <w:spacing w:line="240" w:lineRule="atLeast"/>
                  <w:jc w:val="right"/>
                  <w:rPr>
                    <w:szCs w:val="21"/>
                  </w:rPr>
                </w:pPr>
                <w:r>
                  <w:t>9,923,166.49</w:t>
                </w:r>
              </w:p>
            </w:tc>
            <w:tc>
              <w:tcPr>
                <w:tcW w:w="656" w:type="pct"/>
                <w:shd w:val="clear" w:color="auto" w:fill="auto"/>
                <w:vAlign w:val="center"/>
              </w:tcPr>
              <w:p w14:paraId="68D2136C" w14:textId="77777777" w:rsidR="00E57DAA" w:rsidRDefault="00AC4185">
                <w:pPr>
                  <w:spacing w:line="240" w:lineRule="atLeast"/>
                  <w:jc w:val="right"/>
                  <w:rPr>
                    <w:szCs w:val="21"/>
                  </w:rPr>
                </w:pPr>
                <w:r>
                  <w:t>61,624,747.44</w:t>
                </w:r>
              </w:p>
            </w:tc>
          </w:tr>
          <w:tr w:rsidR="00E57DAA" w14:paraId="38175E5A" w14:textId="77777777">
            <w:trPr>
              <w:trHeight w:val="284"/>
            </w:trPr>
            <w:sdt>
              <w:sdtPr>
                <w:tag w:val="_PLD_a32c53282c7a49e1a1747c76e44e7471"/>
                <w:id w:val="151263877"/>
              </w:sdtPr>
              <w:sdtEndPr/>
              <w:sdtContent>
                <w:tc>
                  <w:tcPr>
                    <w:tcW w:w="5000" w:type="pct"/>
                    <w:gridSpan w:val="6"/>
                    <w:shd w:val="clear" w:color="auto" w:fill="auto"/>
                    <w:vAlign w:val="center"/>
                  </w:tcPr>
                  <w:p w14:paraId="597351D6" w14:textId="77777777" w:rsidR="00E57DAA" w:rsidRDefault="00AC4185">
                    <w:pPr>
                      <w:spacing w:line="240" w:lineRule="atLeast"/>
                      <w:rPr>
                        <w:szCs w:val="21"/>
                      </w:rPr>
                    </w:pPr>
                    <w:r>
                      <w:rPr>
                        <w:szCs w:val="21"/>
                      </w:rPr>
                      <w:t>三、减值准备</w:t>
                    </w:r>
                  </w:p>
                </w:tc>
              </w:sdtContent>
            </w:sdt>
          </w:tr>
          <w:tr w:rsidR="00E57DAA" w14:paraId="70A91E71" w14:textId="77777777">
            <w:trPr>
              <w:trHeight w:val="284"/>
            </w:trPr>
            <w:tc>
              <w:tcPr>
                <w:tcW w:w="1201" w:type="pct"/>
                <w:shd w:val="clear" w:color="auto" w:fill="auto"/>
                <w:vAlign w:val="center"/>
              </w:tcPr>
              <w:p w14:paraId="738B73D7" w14:textId="77777777" w:rsidR="00E57DAA" w:rsidRDefault="00AC4185">
                <w:pPr>
                  <w:spacing w:line="240" w:lineRule="atLeast"/>
                  <w:ind w:firstLineChars="200" w:firstLine="420"/>
                  <w:rPr>
                    <w:szCs w:val="21"/>
                  </w:rPr>
                </w:pPr>
                <w:r>
                  <w:rPr>
                    <w:rFonts w:hint="eastAsia"/>
                    <w:szCs w:val="21"/>
                  </w:rPr>
                  <w:t>1.期</w:t>
                </w:r>
                <w:r>
                  <w:rPr>
                    <w:szCs w:val="21"/>
                  </w:rPr>
                  <w:t>初余额</w:t>
                </w:r>
              </w:p>
            </w:tc>
            <w:tc>
              <w:tcPr>
                <w:tcW w:w="827" w:type="pct"/>
                <w:shd w:val="clear" w:color="auto" w:fill="auto"/>
              </w:tcPr>
              <w:p w14:paraId="47E7F471" w14:textId="77777777" w:rsidR="00E57DAA" w:rsidRDefault="00AC4185">
                <w:pPr>
                  <w:spacing w:line="240" w:lineRule="atLeast"/>
                  <w:jc w:val="right"/>
                  <w:rPr>
                    <w:szCs w:val="21"/>
                  </w:rPr>
                </w:pPr>
                <w:r>
                  <w:rPr>
                    <w:rFonts w:hint="eastAsia"/>
                  </w:rPr>
                  <w:t xml:space="preserve">　</w:t>
                </w:r>
              </w:p>
            </w:tc>
            <w:tc>
              <w:tcPr>
                <w:tcW w:w="782" w:type="pct"/>
                <w:shd w:val="clear" w:color="auto" w:fill="auto"/>
              </w:tcPr>
              <w:p w14:paraId="28997E46" w14:textId="77777777" w:rsidR="00E57DAA" w:rsidRDefault="00E57DAA">
                <w:pPr>
                  <w:spacing w:line="240" w:lineRule="atLeast"/>
                  <w:jc w:val="right"/>
                  <w:rPr>
                    <w:szCs w:val="21"/>
                  </w:rPr>
                </w:pPr>
              </w:p>
            </w:tc>
            <w:tc>
              <w:tcPr>
                <w:tcW w:w="716" w:type="pct"/>
                <w:shd w:val="clear" w:color="auto" w:fill="auto"/>
              </w:tcPr>
              <w:p w14:paraId="238E1A80" w14:textId="77777777" w:rsidR="00E57DAA" w:rsidRDefault="00E57DAA">
                <w:pPr>
                  <w:spacing w:line="240" w:lineRule="atLeast"/>
                  <w:jc w:val="right"/>
                  <w:rPr>
                    <w:szCs w:val="21"/>
                  </w:rPr>
                </w:pPr>
              </w:p>
            </w:tc>
            <w:tc>
              <w:tcPr>
                <w:tcW w:w="818" w:type="pct"/>
                <w:shd w:val="clear" w:color="auto" w:fill="auto"/>
              </w:tcPr>
              <w:p w14:paraId="1D9B5687" w14:textId="77777777" w:rsidR="00E57DAA" w:rsidRDefault="00E57DAA">
                <w:pPr>
                  <w:spacing w:line="240" w:lineRule="atLeast"/>
                  <w:jc w:val="right"/>
                  <w:rPr>
                    <w:szCs w:val="21"/>
                  </w:rPr>
                </w:pPr>
              </w:p>
            </w:tc>
            <w:tc>
              <w:tcPr>
                <w:tcW w:w="656" w:type="pct"/>
                <w:shd w:val="clear" w:color="auto" w:fill="auto"/>
              </w:tcPr>
              <w:p w14:paraId="6B532B18" w14:textId="77777777" w:rsidR="00E57DAA" w:rsidRDefault="00AC4185">
                <w:pPr>
                  <w:spacing w:line="240" w:lineRule="atLeast"/>
                  <w:jc w:val="right"/>
                  <w:rPr>
                    <w:szCs w:val="21"/>
                  </w:rPr>
                </w:pPr>
                <w:r>
                  <w:rPr>
                    <w:rFonts w:hint="eastAsia"/>
                  </w:rPr>
                  <w:t xml:space="preserve">　</w:t>
                </w:r>
              </w:p>
            </w:tc>
          </w:tr>
          <w:tr w:rsidR="00E57DAA" w14:paraId="13035ADD" w14:textId="77777777">
            <w:trPr>
              <w:trHeight w:val="284"/>
            </w:trPr>
            <w:tc>
              <w:tcPr>
                <w:tcW w:w="1201" w:type="pct"/>
                <w:shd w:val="clear" w:color="auto" w:fill="auto"/>
                <w:vAlign w:val="center"/>
              </w:tcPr>
              <w:p w14:paraId="2301D674" w14:textId="77777777" w:rsidR="00E57DAA" w:rsidRDefault="00AC4185">
                <w:pPr>
                  <w:spacing w:line="240" w:lineRule="atLeast"/>
                  <w:ind w:firstLineChars="200" w:firstLine="420"/>
                  <w:rPr>
                    <w:szCs w:val="21"/>
                  </w:rPr>
                </w:pPr>
                <w:r>
                  <w:rPr>
                    <w:szCs w:val="21"/>
                  </w:rPr>
                  <w:t>2.本期增加</w:t>
                </w:r>
                <w:r>
                  <w:rPr>
                    <w:rFonts w:hint="eastAsia"/>
                    <w:szCs w:val="21"/>
                  </w:rPr>
                  <w:t>金额</w:t>
                </w:r>
              </w:p>
            </w:tc>
            <w:tc>
              <w:tcPr>
                <w:tcW w:w="827" w:type="pct"/>
                <w:shd w:val="clear" w:color="auto" w:fill="auto"/>
              </w:tcPr>
              <w:p w14:paraId="188CEE4B" w14:textId="77777777" w:rsidR="00E57DAA" w:rsidRDefault="00AC4185">
                <w:pPr>
                  <w:spacing w:line="240" w:lineRule="atLeast"/>
                  <w:jc w:val="right"/>
                  <w:rPr>
                    <w:szCs w:val="21"/>
                  </w:rPr>
                </w:pPr>
                <w:r>
                  <w:rPr>
                    <w:rFonts w:hint="eastAsia"/>
                  </w:rPr>
                  <w:t xml:space="preserve">　</w:t>
                </w:r>
              </w:p>
            </w:tc>
            <w:tc>
              <w:tcPr>
                <w:tcW w:w="782" w:type="pct"/>
                <w:shd w:val="clear" w:color="auto" w:fill="auto"/>
              </w:tcPr>
              <w:p w14:paraId="719E7807" w14:textId="77777777" w:rsidR="00E57DAA" w:rsidRDefault="00E57DAA">
                <w:pPr>
                  <w:spacing w:line="240" w:lineRule="atLeast"/>
                  <w:jc w:val="right"/>
                  <w:rPr>
                    <w:szCs w:val="21"/>
                  </w:rPr>
                </w:pPr>
              </w:p>
            </w:tc>
            <w:tc>
              <w:tcPr>
                <w:tcW w:w="716" w:type="pct"/>
                <w:shd w:val="clear" w:color="auto" w:fill="auto"/>
              </w:tcPr>
              <w:p w14:paraId="676F9B01" w14:textId="77777777" w:rsidR="00E57DAA" w:rsidRDefault="00E57DAA">
                <w:pPr>
                  <w:spacing w:line="240" w:lineRule="atLeast"/>
                  <w:jc w:val="right"/>
                  <w:rPr>
                    <w:szCs w:val="21"/>
                  </w:rPr>
                </w:pPr>
              </w:p>
            </w:tc>
            <w:tc>
              <w:tcPr>
                <w:tcW w:w="818" w:type="pct"/>
                <w:shd w:val="clear" w:color="auto" w:fill="auto"/>
              </w:tcPr>
              <w:p w14:paraId="3F9A55F2" w14:textId="77777777" w:rsidR="00E57DAA" w:rsidRDefault="00E57DAA">
                <w:pPr>
                  <w:spacing w:line="240" w:lineRule="atLeast"/>
                  <w:jc w:val="right"/>
                  <w:rPr>
                    <w:szCs w:val="21"/>
                  </w:rPr>
                </w:pPr>
              </w:p>
            </w:tc>
            <w:tc>
              <w:tcPr>
                <w:tcW w:w="656" w:type="pct"/>
                <w:shd w:val="clear" w:color="auto" w:fill="auto"/>
              </w:tcPr>
              <w:p w14:paraId="1EE003ED" w14:textId="77777777" w:rsidR="00E57DAA" w:rsidRDefault="00AC4185">
                <w:pPr>
                  <w:spacing w:line="240" w:lineRule="atLeast"/>
                  <w:jc w:val="right"/>
                  <w:rPr>
                    <w:szCs w:val="21"/>
                  </w:rPr>
                </w:pPr>
                <w:r>
                  <w:rPr>
                    <w:rFonts w:hint="eastAsia"/>
                  </w:rPr>
                  <w:t xml:space="preserve">　</w:t>
                </w:r>
              </w:p>
            </w:tc>
          </w:tr>
          <w:tr w:rsidR="00E57DAA" w14:paraId="4D83F21A" w14:textId="77777777">
            <w:trPr>
              <w:trHeight w:val="284"/>
            </w:trPr>
            <w:tc>
              <w:tcPr>
                <w:tcW w:w="1201" w:type="pct"/>
                <w:shd w:val="clear" w:color="auto" w:fill="auto"/>
                <w:vAlign w:val="center"/>
              </w:tcPr>
              <w:p w14:paraId="02C199DE" w14:textId="77777777" w:rsidR="00E57DAA" w:rsidRDefault="00AC4185">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tc>
              <w:tcPr>
                <w:tcW w:w="827" w:type="pct"/>
                <w:shd w:val="clear" w:color="auto" w:fill="auto"/>
              </w:tcPr>
              <w:p w14:paraId="58389B5C" w14:textId="77777777" w:rsidR="00E57DAA" w:rsidRDefault="00AC4185">
                <w:pPr>
                  <w:spacing w:line="240" w:lineRule="atLeast"/>
                  <w:jc w:val="right"/>
                  <w:rPr>
                    <w:szCs w:val="21"/>
                  </w:rPr>
                </w:pPr>
                <w:r>
                  <w:rPr>
                    <w:rFonts w:hint="eastAsia"/>
                  </w:rPr>
                  <w:t xml:space="preserve">　</w:t>
                </w:r>
              </w:p>
            </w:tc>
            <w:tc>
              <w:tcPr>
                <w:tcW w:w="782" w:type="pct"/>
                <w:shd w:val="clear" w:color="auto" w:fill="auto"/>
              </w:tcPr>
              <w:p w14:paraId="0EACFDBB" w14:textId="77777777" w:rsidR="00E57DAA" w:rsidRDefault="00E57DAA">
                <w:pPr>
                  <w:spacing w:line="240" w:lineRule="atLeast"/>
                  <w:jc w:val="right"/>
                  <w:rPr>
                    <w:szCs w:val="21"/>
                  </w:rPr>
                </w:pPr>
              </w:p>
            </w:tc>
            <w:tc>
              <w:tcPr>
                <w:tcW w:w="716" w:type="pct"/>
                <w:shd w:val="clear" w:color="auto" w:fill="auto"/>
              </w:tcPr>
              <w:p w14:paraId="1D8EA93B" w14:textId="77777777" w:rsidR="00E57DAA" w:rsidRDefault="00E57DAA">
                <w:pPr>
                  <w:spacing w:line="240" w:lineRule="atLeast"/>
                  <w:jc w:val="right"/>
                  <w:rPr>
                    <w:szCs w:val="21"/>
                  </w:rPr>
                </w:pPr>
              </w:p>
            </w:tc>
            <w:tc>
              <w:tcPr>
                <w:tcW w:w="818" w:type="pct"/>
                <w:shd w:val="clear" w:color="auto" w:fill="auto"/>
              </w:tcPr>
              <w:p w14:paraId="04FEFC0D" w14:textId="77777777" w:rsidR="00E57DAA" w:rsidRDefault="00E57DAA">
                <w:pPr>
                  <w:spacing w:line="240" w:lineRule="atLeast"/>
                  <w:jc w:val="right"/>
                  <w:rPr>
                    <w:szCs w:val="21"/>
                  </w:rPr>
                </w:pPr>
              </w:p>
            </w:tc>
            <w:tc>
              <w:tcPr>
                <w:tcW w:w="656" w:type="pct"/>
                <w:shd w:val="clear" w:color="auto" w:fill="auto"/>
              </w:tcPr>
              <w:p w14:paraId="45183A5E" w14:textId="77777777" w:rsidR="00E57DAA" w:rsidRDefault="00AC4185">
                <w:pPr>
                  <w:spacing w:line="240" w:lineRule="atLeast"/>
                  <w:jc w:val="right"/>
                  <w:rPr>
                    <w:szCs w:val="21"/>
                  </w:rPr>
                </w:pPr>
                <w:r>
                  <w:rPr>
                    <w:rFonts w:hint="eastAsia"/>
                  </w:rPr>
                  <w:t xml:space="preserve">　</w:t>
                </w:r>
              </w:p>
            </w:tc>
          </w:tr>
          <w:tr w:rsidR="00E57DAA" w14:paraId="4CEBF634" w14:textId="77777777">
            <w:trPr>
              <w:trHeight w:val="284"/>
            </w:trPr>
            <w:tc>
              <w:tcPr>
                <w:tcW w:w="1201" w:type="pct"/>
                <w:shd w:val="clear" w:color="auto" w:fill="auto"/>
                <w:vAlign w:val="center"/>
              </w:tcPr>
              <w:p w14:paraId="59EBB3FF" w14:textId="77777777" w:rsidR="00E57DAA" w:rsidRDefault="00AC4185">
                <w:pPr>
                  <w:spacing w:line="240" w:lineRule="atLeast"/>
                  <w:ind w:firstLineChars="200" w:firstLine="420"/>
                  <w:rPr>
                    <w:szCs w:val="21"/>
                  </w:rPr>
                </w:pPr>
                <w:r>
                  <w:rPr>
                    <w:rFonts w:hint="eastAsia"/>
                    <w:szCs w:val="21"/>
                  </w:rPr>
                  <w:lastRenderedPageBreak/>
                  <w:t>4.</w:t>
                </w:r>
                <w:r>
                  <w:rPr>
                    <w:szCs w:val="21"/>
                  </w:rPr>
                  <w:t>期末余额</w:t>
                </w:r>
              </w:p>
            </w:tc>
            <w:tc>
              <w:tcPr>
                <w:tcW w:w="827" w:type="pct"/>
                <w:shd w:val="clear" w:color="auto" w:fill="auto"/>
              </w:tcPr>
              <w:p w14:paraId="426534B3" w14:textId="77777777" w:rsidR="00E57DAA" w:rsidRDefault="00AC4185">
                <w:pPr>
                  <w:spacing w:line="240" w:lineRule="atLeast"/>
                  <w:jc w:val="right"/>
                  <w:rPr>
                    <w:szCs w:val="21"/>
                  </w:rPr>
                </w:pPr>
                <w:r>
                  <w:rPr>
                    <w:rFonts w:hint="eastAsia"/>
                  </w:rPr>
                  <w:t xml:space="preserve">　</w:t>
                </w:r>
              </w:p>
            </w:tc>
            <w:tc>
              <w:tcPr>
                <w:tcW w:w="782" w:type="pct"/>
                <w:shd w:val="clear" w:color="auto" w:fill="auto"/>
              </w:tcPr>
              <w:p w14:paraId="3FA3828E" w14:textId="77777777" w:rsidR="00E57DAA" w:rsidRDefault="00E57DAA">
                <w:pPr>
                  <w:spacing w:line="240" w:lineRule="atLeast"/>
                  <w:jc w:val="right"/>
                  <w:rPr>
                    <w:szCs w:val="21"/>
                  </w:rPr>
                </w:pPr>
              </w:p>
            </w:tc>
            <w:tc>
              <w:tcPr>
                <w:tcW w:w="716" w:type="pct"/>
                <w:shd w:val="clear" w:color="auto" w:fill="auto"/>
              </w:tcPr>
              <w:p w14:paraId="7ED45F05" w14:textId="77777777" w:rsidR="00E57DAA" w:rsidRDefault="00E57DAA">
                <w:pPr>
                  <w:spacing w:line="240" w:lineRule="atLeast"/>
                  <w:jc w:val="right"/>
                  <w:rPr>
                    <w:szCs w:val="21"/>
                  </w:rPr>
                </w:pPr>
              </w:p>
            </w:tc>
            <w:tc>
              <w:tcPr>
                <w:tcW w:w="818" w:type="pct"/>
                <w:shd w:val="clear" w:color="auto" w:fill="auto"/>
              </w:tcPr>
              <w:p w14:paraId="344E3010" w14:textId="77777777" w:rsidR="00E57DAA" w:rsidRDefault="00E57DAA">
                <w:pPr>
                  <w:spacing w:line="240" w:lineRule="atLeast"/>
                  <w:jc w:val="right"/>
                  <w:rPr>
                    <w:szCs w:val="21"/>
                  </w:rPr>
                </w:pPr>
              </w:p>
            </w:tc>
            <w:tc>
              <w:tcPr>
                <w:tcW w:w="656" w:type="pct"/>
                <w:shd w:val="clear" w:color="auto" w:fill="auto"/>
              </w:tcPr>
              <w:p w14:paraId="3696A95C" w14:textId="77777777" w:rsidR="00E57DAA" w:rsidRDefault="00AC4185">
                <w:pPr>
                  <w:spacing w:line="240" w:lineRule="atLeast"/>
                  <w:jc w:val="right"/>
                  <w:rPr>
                    <w:szCs w:val="21"/>
                  </w:rPr>
                </w:pPr>
                <w:r>
                  <w:rPr>
                    <w:rFonts w:hint="eastAsia"/>
                  </w:rPr>
                  <w:t xml:space="preserve">　</w:t>
                </w:r>
              </w:p>
            </w:tc>
          </w:tr>
          <w:tr w:rsidR="00E57DAA" w14:paraId="25F3D0D5" w14:textId="77777777">
            <w:trPr>
              <w:trHeight w:val="284"/>
            </w:trPr>
            <w:sdt>
              <w:sdtPr>
                <w:tag w:val="_PLD_11c4f53648e149a88b6ff0ef5ef90dc8"/>
                <w:id w:val="-1630391996"/>
              </w:sdtPr>
              <w:sdtEndPr/>
              <w:sdtContent>
                <w:tc>
                  <w:tcPr>
                    <w:tcW w:w="5000" w:type="pct"/>
                    <w:gridSpan w:val="6"/>
                    <w:shd w:val="clear" w:color="auto" w:fill="auto"/>
                    <w:vAlign w:val="center"/>
                  </w:tcPr>
                  <w:p w14:paraId="1351032F" w14:textId="77777777" w:rsidR="00E57DAA" w:rsidRDefault="00AC4185">
                    <w:pPr>
                      <w:spacing w:line="240" w:lineRule="atLeast"/>
                      <w:rPr>
                        <w:szCs w:val="21"/>
                      </w:rPr>
                    </w:pPr>
                    <w:r>
                      <w:rPr>
                        <w:szCs w:val="21"/>
                      </w:rPr>
                      <w:t>四、账面价值</w:t>
                    </w:r>
                  </w:p>
                </w:tc>
              </w:sdtContent>
            </w:sdt>
          </w:tr>
          <w:tr w:rsidR="00E57DAA" w14:paraId="187BA6D2" w14:textId="77777777">
            <w:trPr>
              <w:trHeight w:val="284"/>
            </w:trPr>
            <w:tc>
              <w:tcPr>
                <w:tcW w:w="1201" w:type="pct"/>
                <w:shd w:val="clear" w:color="auto" w:fill="auto"/>
                <w:vAlign w:val="center"/>
              </w:tcPr>
              <w:p w14:paraId="159F3C0C" w14:textId="77777777" w:rsidR="00E57DAA" w:rsidRDefault="00AC4185">
                <w:pPr>
                  <w:spacing w:line="240" w:lineRule="atLeast"/>
                  <w:rPr>
                    <w:szCs w:val="21"/>
                  </w:rPr>
                </w:pPr>
                <w:r>
                  <w:rPr>
                    <w:szCs w:val="21"/>
                  </w:rPr>
                  <w:t xml:space="preserve">    1.期末账面价值</w:t>
                </w:r>
              </w:p>
            </w:tc>
            <w:tc>
              <w:tcPr>
                <w:tcW w:w="827" w:type="pct"/>
                <w:shd w:val="clear" w:color="auto" w:fill="auto"/>
                <w:vAlign w:val="center"/>
              </w:tcPr>
              <w:p w14:paraId="18CF4279" w14:textId="77777777" w:rsidR="00E57DAA" w:rsidRDefault="00AC4185">
                <w:pPr>
                  <w:spacing w:line="240" w:lineRule="atLeast"/>
                  <w:jc w:val="right"/>
                  <w:rPr>
                    <w:szCs w:val="21"/>
                  </w:rPr>
                </w:pPr>
                <w:r>
                  <w:t>12,379,190.78</w:t>
                </w:r>
              </w:p>
            </w:tc>
            <w:tc>
              <w:tcPr>
                <w:tcW w:w="782" w:type="pct"/>
                <w:shd w:val="clear" w:color="auto" w:fill="auto"/>
                <w:vAlign w:val="center"/>
              </w:tcPr>
              <w:p w14:paraId="6235D294" w14:textId="77777777" w:rsidR="00E57DAA" w:rsidRDefault="00AC4185">
                <w:pPr>
                  <w:spacing w:line="240" w:lineRule="atLeast"/>
                  <w:jc w:val="right"/>
                  <w:rPr>
                    <w:szCs w:val="21"/>
                  </w:rPr>
                </w:pPr>
                <w:r>
                  <w:t>110,327,104.99</w:t>
                </w:r>
              </w:p>
            </w:tc>
            <w:tc>
              <w:tcPr>
                <w:tcW w:w="716" w:type="pct"/>
                <w:shd w:val="clear" w:color="auto" w:fill="auto"/>
                <w:vAlign w:val="center"/>
              </w:tcPr>
              <w:p w14:paraId="45DC6190" w14:textId="77777777" w:rsidR="00E57DAA" w:rsidRDefault="00AC4185">
                <w:pPr>
                  <w:spacing w:line="240" w:lineRule="atLeast"/>
                  <w:jc w:val="right"/>
                  <w:rPr>
                    <w:szCs w:val="21"/>
                  </w:rPr>
                </w:pPr>
                <w:r>
                  <w:t>1,065,369.89</w:t>
                </w:r>
              </w:p>
            </w:tc>
            <w:tc>
              <w:tcPr>
                <w:tcW w:w="818" w:type="pct"/>
                <w:shd w:val="clear" w:color="auto" w:fill="auto"/>
                <w:vAlign w:val="center"/>
              </w:tcPr>
              <w:p w14:paraId="3297BD6F" w14:textId="77777777" w:rsidR="00E57DAA" w:rsidRDefault="00AC4185">
                <w:pPr>
                  <w:spacing w:line="240" w:lineRule="atLeast"/>
                  <w:jc w:val="right"/>
                  <w:rPr>
                    <w:szCs w:val="21"/>
                  </w:rPr>
                </w:pPr>
                <w:r>
                  <w:t>4,611,168.18</w:t>
                </w:r>
              </w:p>
            </w:tc>
            <w:tc>
              <w:tcPr>
                <w:tcW w:w="656" w:type="pct"/>
                <w:shd w:val="clear" w:color="auto" w:fill="auto"/>
                <w:vAlign w:val="center"/>
              </w:tcPr>
              <w:p w14:paraId="024B294A" w14:textId="77777777" w:rsidR="00E57DAA" w:rsidRDefault="00AC4185">
                <w:pPr>
                  <w:spacing w:line="240" w:lineRule="atLeast"/>
                  <w:jc w:val="right"/>
                  <w:rPr>
                    <w:szCs w:val="21"/>
                  </w:rPr>
                </w:pPr>
                <w:r>
                  <w:t>128,382,833.84</w:t>
                </w:r>
              </w:p>
            </w:tc>
          </w:tr>
          <w:tr w:rsidR="00E57DAA" w14:paraId="56DA2EFF" w14:textId="77777777">
            <w:trPr>
              <w:trHeight w:val="284"/>
            </w:trPr>
            <w:tc>
              <w:tcPr>
                <w:tcW w:w="1201" w:type="pct"/>
                <w:shd w:val="clear" w:color="auto" w:fill="auto"/>
                <w:vAlign w:val="center"/>
              </w:tcPr>
              <w:p w14:paraId="5ABB7CD7" w14:textId="77777777" w:rsidR="00E57DAA" w:rsidRDefault="00AC4185">
                <w:pPr>
                  <w:spacing w:line="240" w:lineRule="atLeast"/>
                  <w:rPr>
                    <w:szCs w:val="21"/>
                  </w:rPr>
                </w:pPr>
                <w:r>
                  <w:rPr>
                    <w:szCs w:val="21"/>
                  </w:rPr>
                  <w:t xml:space="preserve">    2.期初账面价值</w:t>
                </w:r>
              </w:p>
            </w:tc>
            <w:tc>
              <w:tcPr>
                <w:tcW w:w="827" w:type="pct"/>
                <w:shd w:val="clear" w:color="auto" w:fill="auto"/>
                <w:vAlign w:val="center"/>
              </w:tcPr>
              <w:p w14:paraId="65B11793" w14:textId="77777777" w:rsidR="00E57DAA" w:rsidRDefault="00AC4185">
                <w:pPr>
                  <w:spacing w:line="240" w:lineRule="atLeast"/>
                  <w:jc w:val="right"/>
                  <w:rPr>
                    <w:szCs w:val="21"/>
                  </w:rPr>
                </w:pPr>
                <w:r>
                  <w:t>12,698,263.81</w:t>
                </w:r>
              </w:p>
            </w:tc>
            <w:tc>
              <w:tcPr>
                <w:tcW w:w="782" w:type="pct"/>
                <w:shd w:val="clear" w:color="auto" w:fill="auto"/>
                <w:vAlign w:val="center"/>
              </w:tcPr>
              <w:p w14:paraId="55E24994" w14:textId="77777777" w:rsidR="00E57DAA" w:rsidRDefault="00AC4185">
                <w:pPr>
                  <w:spacing w:line="240" w:lineRule="atLeast"/>
                  <w:jc w:val="right"/>
                  <w:rPr>
                    <w:szCs w:val="21"/>
                  </w:rPr>
                </w:pPr>
                <w:r>
                  <w:t>77,456,851.75</w:t>
                </w:r>
              </w:p>
            </w:tc>
            <w:tc>
              <w:tcPr>
                <w:tcW w:w="716" w:type="pct"/>
                <w:shd w:val="clear" w:color="auto" w:fill="auto"/>
                <w:vAlign w:val="center"/>
              </w:tcPr>
              <w:p w14:paraId="652D912C" w14:textId="77777777" w:rsidR="00E57DAA" w:rsidRDefault="00AC4185">
                <w:pPr>
                  <w:spacing w:line="240" w:lineRule="atLeast"/>
                  <w:jc w:val="right"/>
                  <w:rPr>
                    <w:szCs w:val="21"/>
                  </w:rPr>
                </w:pPr>
                <w:r>
                  <w:t>3,088,119.62</w:t>
                </w:r>
              </w:p>
            </w:tc>
            <w:tc>
              <w:tcPr>
                <w:tcW w:w="818" w:type="pct"/>
                <w:shd w:val="clear" w:color="auto" w:fill="auto"/>
                <w:vAlign w:val="center"/>
              </w:tcPr>
              <w:p w14:paraId="20274018" w14:textId="77777777" w:rsidR="00E57DAA" w:rsidRDefault="00AC4185">
                <w:pPr>
                  <w:spacing w:line="240" w:lineRule="atLeast"/>
                  <w:jc w:val="right"/>
                  <w:rPr>
                    <w:szCs w:val="21"/>
                  </w:rPr>
                </w:pPr>
                <w:r>
                  <w:t>4,355,599.89</w:t>
                </w:r>
              </w:p>
            </w:tc>
            <w:tc>
              <w:tcPr>
                <w:tcW w:w="656" w:type="pct"/>
                <w:shd w:val="clear" w:color="auto" w:fill="auto"/>
                <w:vAlign w:val="center"/>
              </w:tcPr>
              <w:p w14:paraId="1CD29CE8" w14:textId="77777777" w:rsidR="00E57DAA" w:rsidRDefault="00AC4185">
                <w:pPr>
                  <w:spacing w:line="240" w:lineRule="atLeast"/>
                  <w:jc w:val="right"/>
                  <w:rPr>
                    <w:szCs w:val="21"/>
                  </w:rPr>
                </w:pPr>
                <w:r>
                  <w:t>97,598,835.07</w:t>
                </w:r>
              </w:p>
            </w:tc>
          </w:tr>
        </w:tbl>
        <w:p w14:paraId="0B49C7C1" w14:textId="77777777" w:rsidR="00E57DAA" w:rsidRDefault="00EB41A1" w:rsidP="00C25422">
          <w:pPr>
            <w:pStyle w:val="92"/>
          </w:pPr>
        </w:p>
      </w:sdtContent>
    </w:sdt>
    <w:p w14:paraId="2880E5CC" w14:textId="77777777" w:rsidR="00E57DAA" w:rsidRDefault="00AC4185">
      <w:pPr>
        <w:pStyle w:val="4"/>
        <w:numPr>
          <w:ilvl w:val="0"/>
          <w:numId w:val="87"/>
        </w:numPr>
        <w:ind w:left="450" w:hanging="450"/>
      </w:pPr>
      <w:bookmarkStart w:id="268" w:name="_Hlk153461708"/>
      <w:r>
        <w:rPr>
          <w:rFonts w:hint="eastAsia"/>
        </w:rPr>
        <w:t>使用权资产的减值测试情况</w:t>
      </w:r>
    </w:p>
    <w:sdt>
      <w:sdtPr>
        <w:alias w:val="是否适用：减值测试情况[双击切换]"/>
        <w:tag w:val="_GBC_3b3aabc5b9ad4e9896fb84bfd63b8c60"/>
        <w:id w:val="-1006371130"/>
        <w:placeholder>
          <w:docPart w:val="GBC22222222222222222222222222222"/>
        </w:placeholder>
      </w:sdtPr>
      <w:sdtEndPr/>
      <w:sdtContent>
        <w:p w14:paraId="73FC7CC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68"/>
    <w:bookmarkEnd w:id="267"/>
    <w:p w14:paraId="384CBF6E" w14:textId="77777777" w:rsidR="00E57DAA" w:rsidRDefault="00E57DAA">
      <w:pPr>
        <w:rPr>
          <w:szCs w:val="21"/>
        </w:rPr>
      </w:pPr>
    </w:p>
    <w:p w14:paraId="7358BBA5" w14:textId="77777777" w:rsidR="00E57DAA" w:rsidRDefault="00AC4185" w:rsidP="00C25422">
      <w:pPr>
        <w:pStyle w:val="91"/>
        <w:numPr>
          <w:ilvl w:val="0"/>
          <w:numId w:val="69"/>
        </w:numPr>
      </w:pPr>
      <w:r>
        <w:rPr>
          <w:rFonts w:hint="eastAsia"/>
        </w:rPr>
        <w:t>无形资产</w:t>
      </w:r>
    </w:p>
    <w:p w14:paraId="2E239D3B" w14:textId="77777777" w:rsidR="00E57DAA" w:rsidRDefault="00AC4185">
      <w:pPr>
        <w:pStyle w:val="4"/>
        <w:numPr>
          <w:ilvl w:val="3"/>
          <w:numId w:val="88"/>
        </w:numPr>
        <w:ind w:left="426" w:hanging="426"/>
      </w:pPr>
      <w:r>
        <w:rPr>
          <w:rFonts w:hint="eastAsia"/>
        </w:rPr>
        <w:t>无形资产情况</w:t>
      </w:r>
    </w:p>
    <w:bookmarkStart w:id="269" w:name="_Hlk90557281" w:displacedByCustomXml="next"/>
    <w:sdt>
      <w:sdtPr>
        <w:rPr>
          <w:rFonts w:hint="eastAsia"/>
          <w:szCs w:val="21"/>
        </w:rPr>
        <w:alias w:val="是否适用：无形资产情况[双击切换]"/>
        <w:tag w:val="_GBC_42237c7a99c64602a661c1668bc893bd"/>
        <w:id w:val="1835801096"/>
        <w:placeholder>
          <w:docPart w:val="GBC22222222222222222222222222222"/>
        </w:placeholder>
      </w:sdtPr>
      <w:sdtEndPr/>
      <w:sdtContent>
        <w:p w14:paraId="2753B6AE" w14:textId="77777777" w:rsidR="00E57DAA" w:rsidRDefault="00AC418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93E74F" w14:textId="77777777" w:rsidR="00E57DAA" w:rsidRDefault="00AC4185">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2023277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11625820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1416"/>
        <w:gridCol w:w="1191"/>
        <w:gridCol w:w="1266"/>
        <w:gridCol w:w="1266"/>
        <w:gridCol w:w="1266"/>
        <w:gridCol w:w="1191"/>
        <w:gridCol w:w="1191"/>
        <w:gridCol w:w="1191"/>
        <w:gridCol w:w="1192"/>
        <w:gridCol w:w="1416"/>
      </w:tblGrid>
      <w:tr w:rsidR="00E57DAA" w14:paraId="172D8E2F" w14:textId="77777777">
        <w:trPr>
          <w:trHeight w:val="340"/>
        </w:trPr>
        <w:bookmarkEnd w:id="269" w:displacedByCustomXml="next"/>
        <w:sdt>
          <w:sdtPr>
            <w:rPr>
              <w:sz w:val="15"/>
              <w:szCs w:val="15"/>
            </w:rPr>
            <w:tag w:val="_PLD_0d0c5c4c9acf46eaa7c41a19eb731a5c"/>
            <w:id w:val="1613788115"/>
          </w:sdtPr>
          <w:sdtEndPr/>
          <w:sdtContent>
            <w:tc>
              <w:tcPr>
                <w:tcW w:w="461" w:type="pct"/>
                <w:shd w:val="clear" w:color="auto" w:fill="auto"/>
                <w:vAlign w:val="center"/>
              </w:tcPr>
              <w:p w14:paraId="321DA116" w14:textId="77777777" w:rsidR="00E57DAA" w:rsidRDefault="00AC4185">
                <w:pPr>
                  <w:jc w:val="center"/>
                  <w:rPr>
                    <w:sz w:val="15"/>
                    <w:szCs w:val="15"/>
                  </w:rPr>
                </w:pPr>
                <w:r>
                  <w:rPr>
                    <w:rFonts w:hint="eastAsia"/>
                    <w:sz w:val="15"/>
                    <w:szCs w:val="15"/>
                  </w:rPr>
                  <w:t>项目</w:t>
                </w:r>
              </w:p>
            </w:tc>
          </w:sdtContent>
        </w:sdt>
        <w:sdt>
          <w:sdtPr>
            <w:rPr>
              <w:sz w:val="15"/>
              <w:szCs w:val="15"/>
            </w:rPr>
            <w:tag w:val="_PLD_0dfc6d612ce04e4ab91d7f5c675c7954"/>
            <w:id w:val="-1111274697"/>
          </w:sdtPr>
          <w:sdtEndPr/>
          <w:sdtContent>
            <w:tc>
              <w:tcPr>
                <w:tcW w:w="511" w:type="pct"/>
                <w:shd w:val="clear" w:color="auto" w:fill="auto"/>
                <w:vAlign w:val="center"/>
              </w:tcPr>
              <w:p w14:paraId="35B9853C" w14:textId="77777777" w:rsidR="00E57DAA" w:rsidRDefault="00AC4185">
                <w:pPr>
                  <w:jc w:val="center"/>
                  <w:rPr>
                    <w:sz w:val="15"/>
                    <w:szCs w:val="15"/>
                  </w:rPr>
                </w:pPr>
                <w:r>
                  <w:rPr>
                    <w:rFonts w:hint="eastAsia"/>
                    <w:sz w:val="15"/>
                    <w:szCs w:val="15"/>
                  </w:rPr>
                  <w:t>土地使用权</w:t>
                </w:r>
              </w:p>
            </w:tc>
          </w:sdtContent>
        </w:sdt>
        <w:sdt>
          <w:sdtPr>
            <w:rPr>
              <w:sz w:val="15"/>
              <w:szCs w:val="15"/>
            </w:rPr>
            <w:tag w:val="_GBC_1a0001be34594900ba0c5e610a635d50"/>
            <w:id w:val="-708954483"/>
          </w:sdtPr>
          <w:sdtEndPr/>
          <w:sdtContent>
            <w:tc>
              <w:tcPr>
                <w:tcW w:w="430" w:type="pct"/>
                <w:shd w:val="clear" w:color="auto" w:fill="auto"/>
                <w:vAlign w:val="center"/>
              </w:tcPr>
              <w:p w14:paraId="29392A23" w14:textId="77777777" w:rsidR="00E57DAA" w:rsidRDefault="00AC4185">
                <w:pPr>
                  <w:jc w:val="center"/>
                  <w:rPr>
                    <w:sz w:val="15"/>
                    <w:szCs w:val="15"/>
                  </w:rPr>
                </w:pPr>
                <w:r>
                  <w:rPr>
                    <w:sz w:val="15"/>
                    <w:szCs w:val="15"/>
                  </w:rPr>
                  <w:t>非专有技术</w:t>
                </w:r>
              </w:p>
            </w:tc>
          </w:sdtContent>
        </w:sdt>
        <w:sdt>
          <w:sdtPr>
            <w:rPr>
              <w:sz w:val="15"/>
              <w:szCs w:val="15"/>
            </w:rPr>
            <w:tag w:val="_GBC_1a0001be34594900ba0c5e610a635d50"/>
            <w:id w:val="297425162"/>
          </w:sdtPr>
          <w:sdtEndPr/>
          <w:sdtContent>
            <w:tc>
              <w:tcPr>
                <w:tcW w:w="457" w:type="pct"/>
                <w:shd w:val="clear" w:color="auto" w:fill="auto"/>
                <w:vAlign w:val="center"/>
              </w:tcPr>
              <w:p w14:paraId="1112444E" w14:textId="77777777" w:rsidR="00E57DAA" w:rsidRDefault="00AC4185">
                <w:pPr>
                  <w:jc w:val="center"/>
                  <w:rPr>
                    <w:sz w:val="15"/>
                    <w:szCs w:val="15"/>
                  </w:rPr>
                </w:pPr>
                <w:r>
                  <w:rPr>
                    <w:sz w:val="15"/>
                    <w:szCs w:val="15"/>
                  </w:rPr>
                  <w:t>采矿权</w:t>
                </w:r>
              </w:p>
            </w:tc>
          </w:sdtContent>
        </w:sdt>
        <w:sdt>
          <w:sdtPr>
            <w:rPr>
              <w:sz w:val="15"/>
              <w:szCs w:val="15"/>
            </w:rPr>
            <w:tag w:val="_PLD_c4e41ad8ec594f0dafd60ebc1a7da7ce"/>
            <w:id w:val="506713537"/>
          </w:sdtPr>
          <w:sdtEndPr/>
          <w:sdtContent>
            <w:tc>
              <w:tcPr>
                <w:tcW w:w="457" w:type="pct"/>
                <w:shd w:val="clear" w:color="auto" w:fill="auto"/>
                <w:vAlign w:val="center"/>
              </w:tcPr>
              <w:p w14:paraId="04D311AC" w14:textId="77777777" w:rsidR="00E57DAA" w:rsidRDefault="00AC4185">
                <w:pPr>
                  <w:jc w:val="center"/>
                  <w:rPr>
                    <w:sz w:val="15"/>
                    <w:szCs w:val="15"/>
                  </w:rPr>
                </w:pPr>
                <w:r>
                  <w:rPr>
                    <w:sz w:val="15"/>
                    <w:szCs w:val="15"/>
                  </w:rPr>
                  <w:t>专利技术</w:t>
                </w:r>
              </w:p>
            </w:tc>
          </w:sdtContent>
        </w:sdt>
        <w:sdt>
          <w:sdtPr>
            <w:rPr>
              <w:sz w:val="15"/>
              <w:szCs w:val="15"/>
            </w:rPr>
            <w:tag w:val="_GBC_1a0001be34594900ba0c5e610a635d50"/>
            <w:id w:val="-1359507593"/>
          </w:sdtPr>
          <w:sdtEndPr/>
          <w:sdtContent>
            <w:tc>
              <w:tcPr>
                <w:tcW w:w="457" w:type="pct"/>
                <w:shd w:val="clear" w:color="auto" w:fill="auto"/>
                <w:vAlign w:val="center"/>
              </w:tcPr>
              <w:p w14:paraId="3059A2D7" w14:textId="77777777" w:rsidR="00E57DAA" w:rsidRDefault="00AC4185">
                <w:pPr>
                  <w:jc w:val="center"/>
                  <w:rPr>
                    <w:sz w:val="15"/>
                    <w:szCs w:val="15"/>
                  </w:rPr>
                </w:pPr>
                <w:r>
                  <w:rPr>
                    <w:sz w:val="15"/>
                    <w:szCs w:val="15"/>
                  </w:rPr>
                  <w:t>软件使用权</w:t>
                </w:r>
              </w:p>
            </w:tc>
          </w:sdtContent>
        </w:sdt>
        <w:sdt>
          <w:sdtPr>
            <w:rPr>
              <w:sz w:val="15"/>
              <w:szCs w:val="15"/>
            </w:rPr>
            <w:tag w:val="_GBC_1a0001be34594900ba0c5e610a635d50"/>
            <w:id w:val="393936685"/>
          </w:sdtPr>
          <w:sdtEndPr/>
          <w:sdtContent>
            <w:tc>
              <w:tcPr>
                <w:tcW w:w="430" w:type="pct"/>
                <w:shd w:val="clear" w:color="auto" w:fill="auto"/>
                <w:vAlign w:val="center"/>
              </w:tcPr>
              <w:p w14:paraId="79C8E426" w14:textId="77777777" w:rsidR="00E57DAA" w:rsidRDefault="00AC4185">
                <w:pPr>
                  <w:jc w:val="center"/>
                  <w:rPr>
                    <w:sz w:val="15"/>
                    <w:szCs w:val="15"/>
                  </w:rPr>
                </w:pPr>
                <w:r>
                  <w:rPr>
                    <w:sz w:val="15"/>
                    <w:szCs w:val="15"/>
                  </w:rPr>
                  <w:t>业务合同</w:t>
                </w:r>
              </w:p>
            </w:tc>
          </w:sdtContent>
        </w:sdt>
        <w:sdt>
          <w:sdtPr>
            <w:rPr>
              <w:sz w:val="15"/>
              <w:szCs w:val="15"/>
            </w:rPr>
            <w:tag w:val="_GBC_1a0001be34594900ba0c5e610a635d50"/>
            <w:id w:val="-759675556"/>
          </w:sdtPr>
          <w:sdtEndPr/>
          <w:sdtContent>
            <w:tc>
              <w:tcPr>
                <w:tcW w:w="430" w:type="pct"/>
                <w:shd w:val="clear" w:color="auto" w:fill="auto"/>
                <w:vAlign w:val="center"/>
              </w:tcPr>
              <w:p w14:paraId="2AE5820A" w14:textId="77777777" w:rsidR="00E57DAA" w:rsidRDefault="00AC4185">
                <w:pPr>
                  <w:jc w:val="center"/>
                  <w:rPr>
                    <w:sz w:val="15"/>
                    <w:szCs w:val="15"/>
                  </w:rPr>
                </w:pPr>
                <w:r>
                  <w:rPr>
                    <w:sz w:val="15"/>
                    <w:szCs w:val="15"/>
                  </w:rPr>
                  <w:t>特许经营使用权</w:t>
                </w:r>
              </w:p>
            </w:tc>
          </w:sdtContent>
        </w:sdt>
        <w:sdt>
          <w:sdtPr>
            <w:rPr>
              <w:sz w:val="15"/>
              <w:szCs w:val="15"/>
            </w:rPr>
            <w:tag w:val="_GBC_1a0001be34594900ba0c5e610a635d50"/>
            <w:id w:val="1037006643"/>
          </w:sdtPr>
          <w:sdtEndPr/>
          <w:sdtContent>
            <w:tc>
              <w:tcPr>
                <w:tcW w:w="430" w:type="pct"/>
                <w:shd w:val="clear" w:color="auto" w:fill="auto"/>
                <w:vAlign w:val="center"/>
              </w:tcPr>
              <w:p w14:paraId="41BA7367" w14:textId="77777777" w:rsidR="00E57DAA" w:rsidRDefault="00AC4185">
                <w:pPr>
                  <w:jc w:val="center"/>
                  <w:rPr>
                    <w:sz w:val="15"/>
                    <w:szCs w:val="15"/>
                  </w:rPr>
                </w:pPr>
                <w:r>
                  <w:rPr>
                    <w:sz w:val="15"/>
                    <w:szCs w:val="15"/>
                  </w:rPr>
                  <w:t>商标权</w:t>
                </w:r>
              </w:p>
            </w:tc>
          </w:sdtContent>
        </w:sdt>
        <w:sdt>
          <w:sdtPr>
            <w:rPr>
              <w:sz w:val="15"/>
              <w:szCs w:val="15"/>
            </w:rPr>
            <w:tag w:val="_GBC_1a0001be34594900ba0c5e610a635d50"/>
            <w:id w:val="1110545801"/>
          </w:sdtPr>
          <w:sdtEndPr/>
          <w:sdtContent>
            <w:tc>
              <w:tcPr>
                <w:tcW w:w="430" w:type="pct"/>
                <w:shd w:val="clear" w:color="auto" w:fill="auto"/>
                <w:vAlign w:val="center"/>
              </w:tcPr>
              <w:p w14:paraId="28EA11FB" w14:textId="77777777" w:rsidR="00E57DAA" w:rsidRDefault="00AC4185">
                <w:pPr>
                  <w:jc w:val="center"/>
                  <w:rPr>
                    <w:sz w:val="15"/>
                    <w:szCs w:val="15"/>
                  </w:rPr>
                </w:pPr>
                <w:r>
                  <w:rPr>
                    <w:sz w:val="15"/>
                    <w:szCs w:val="15"/>
                  </w:rPr>
                  <w:t>客户资源</w:t>
                </w:r>
              </w:p>
            </w:tc>
          </w:sdtContent>
        </w:sdt>
        <w:sdt>
          <w:sdtPr>
            <w:rPr>
              <w:sz w:val="15"/>
              <w:szCs w:val="15"/>
            </w:rPr>
            <w:tag w:val="_PLD_010a173744294c79817b77db863e3438"/>
            <w:id w:val="221488038"/>
          </w:sdtPr>
          <w:sdtEndPr/>
          <w:sdtContent>
            <w:tc>
              <w:tcPr>
                <w:tcW w:w="511" w:type="pct"/>
                <w:shd w:val="clear" w:color="auto" w:fill="auto"/>
                <w:vAlign w:val="center"/>
              </w:tcPr>
              <w:p w14:paraId="36C0A2AD" w14:textId="77777777" w:rsidR="00E57DAA" w:rsidRDefault="00AC4185">
                <w:pPr>
                  <w:jc w:val="center"/>
                  <w:rPr>
                    <w:sz w:val="15"/>
                    <w:szCs w:val="15"/>
                  </w:rPr>
                </w:pPr>
                <w:r>
                  <w:rPr>
                    <w:sz w:val="15"/>
                    <w:szCs w:val="15"/>
                  </w:rPr>
                  <w:t>合计</w:t>
                </w:r>
              </w:p>
            </w:tc>
          </w:sdtContent>
        </w:sdt>
      </w:tr>
      <w:tr w:rsidR="00E57DAA" w14:paraId="25A97C12" w14:textId="77777777">
        <w:trPr>
          <w:trHeight w:val="340"/>
        </w:trPr>
        <w:sdt>
          <w:sdtPr>
            <w:rPr>
              <w:sz w:val="15"/>
              <w:szCs w:val="15"/>
            </w:rPr>
            <w:tag w:val="_PLD_d38b2136312a4180852ade61efe6b93c"/>
            <w:id w:val="-2062856135"/>
          </w:sdtPr>
          <w:sdtEndPr/>
          <w:sdtContent>
            <w:tc>
              <w:tcPr>
                <w:tcW w:w="5000" w:type="pct"/>
                <w:gridSpan w:val="11"/>
                <w:shd w:val="clear" w:color="auto" w:fill="auto"/>
                <w:vAlign w:val="center"/>
              </w:tcPr>
              <w:p w14:paraId="49B4518D" w14:textId="77777777" w:rsidR="00E57DAA" w:rsidRDefault="00AC4185">
                <w:pPr>
                  <w:rPr>
                    <w:sz w:val="15"/>
                    <w:szCs w:val="15"/>
                  </w:rPr>
                </w:pPr>
                <w:r>
                  <w:rPr>
                    <w:sz w:val="15"/>
                    <w:szCs w:val="15"/>
                  </w:rPr>
                  <w:t>一、</w:t>
                </w:r>
                <w:r>
                  <w:rPr>
                    <w:rFonts w:hint="eastAsia"/>
                    <w:sz w:val="15"/>
                    <w:szCs w:val="15"/>
                  </w:rPr>
                  <w:t>账面原值</w:t>
                </w:r>
              </w:p>
            </w:tc>
          </w:sdtContent>
        </w:sdt>
      </w:tr>
      <w:tr w:rsidR="00E57DAA" w14:paraId="31864D28" w14:textId="77777777">
        <w:trPr>
          <w:trHeight w:val="340"/>
        </w:trPr>
        <w:tc>
          <w:tcPr>
            <w:tcW w:w="461" w:type="pct"/>
            <w:shd w:val="clear" w:color="auto" w:fill="auto"/>
            <w:vAlign w:val="center"/>
          </w:tcPr>
          <w:p w14:paraId="72097CF4" w14:textId="77777777" w:rsidR="00E57DAA" w:rsidRDefault="00AC4185">
            <w:pPr>
              <w:rPr>
                <w:sz w:val="15"/>
                <w:szCs w:val="15"/>
              </w:rPr>
            </w:pPr>
            <w:r>
              <w:rPr>
                <w:sz w:val="15"/>
                <w:szCs w:val="15"/>
              </w:rPr>
              <w:t xml:space="preserve">    1.</w:t>
            </w:r>
            <w:r>
              <w:rPr>
                <w:rFonts w:hint="eastAsia"/>
                <w:sz w:val="15"/>
                <w:szCs w:val="15"/>
              </w:rPr>
              <w:t>期</w:t>
            </w:r>
            <w:r>
              <w:rPr>
                <w:sz w:val="15"/>
                <w:szCs w:val="15"/>
              </w:rPr>
              <w:t>初余额</w:t>
            </w:r>
          </w:p>
        </w:tc>
        <w:tc>
          <w:tcPr>
            <w:tcW w:w="511" w:type="pct"/>
            <w:shd w:val="clear" w:color="auto" w:fill="auto"/>
            <w:vAlign w:val="center"/>
          </w:tcPr>
          <w:p w14:paraId="710B823E" w14:textId="77777777" w:rsidR="00E57DAA" w:rsidRDefault="00AC4185">
            <w:pPr>
              <w:jc w:val="right"/>
              <w:rPr>
                <w:sz w:val="15"/>
                <w:szCs w:val="15"/>
              </w:rPr>
            </w:pPr>
            <w:r>
              <w:rPr>
                <w:sz w:val="15"/>
                <w:szCs w:val="15"/>
              </w:rPr>
              <w:t>1,011,782,463.58</w:t>
            </w:r>
          </w:p>
        </w:tc>
        <w:tc>
          <w:tcPr>
            <w:tcW w:w="430" w:type="pct"/>
            <w:shd w:val="clear" w:color="auto" w:fill="auto"/>
            <w:vAlign w:val="center"/>
          </w:tcPr>
          <w:p w14:paraId="61906A0D" w14:textId="77777777" w:rsidR="00E57DAA" w:rsidRDefault="00AC4185">
            <w:pPr>
              <w:jc w:val="right"/>
              <w:rPr>
                <w:sz w:val="15"/>
                <w:szCs w:val="15"/>
              </w:rPr>
            </w:pPr>
            <w:r>
              <w:rPr>
                <w:sz w:val="15"/>
                <w:szCs w:val="15"/>
              </w:rPr>
              <w:t>9,028,463.71</w:t>
            </w:r>
          </w:p>
        </w:tc>
        <w:tc>
          <w:tcPr>
            <w:tcW w:w="457" w:type="pct"/>
            <w:shd w:val="clear" w:color="auto" w:fill="auto"/>
            <w:vAlign w:val="center"/>
          </w:tcPr>
          <w:p w14:paraId="7C41535B" w14:textId="77777777" w:rsidR="00E57DAA" w:rsidRDefault="00AC4185">
            <w:pPr>
              <w:jc w:val="right"/>
              <w:rPr>
                <w:sz w:val="15"/>
                <w:szCs w:val="15"/>
              </w:rPr>
            </w:pPr>
            <w:r>
              <w:rPr>
                <w:sz w:val="15"/>
                <w:szCs w:val="15"/>
              </w:rPr>
              <w:t>115,782,940.46</w:t>
            </w:r>
          </w:p>
        </w:tc>
        <w:tc>
          <w:tcPr>
            <w:tcW w:w="457" w:type="pct"/>
            <w:shd w:val="clear" w:color="auto" w:fill="auto"/>
            <w:vAlign w:val="center"/>
          </w:tcPr>
          <w:p w14:paraId="7127B3B4" w14:textId="77777777" w:rsidR="00E57DAA" w:rsidRDefault="00AC4185">
            <w:pPr>
              <w:jc w:val="right"/>
              <w:rPr>
                <w:sz w:val="15"/>
                <w:szCs w:val="15"/>
              </w:rPr>
            </w:pPr>
            <w:r>
              <w:rPr>
                <w:sz w:val="15"/>
                <w:szCs w:val="15"/>
              </w:rPr>
              <w:t>309,942,241.76</w:t>
            </w:r>
          </w:p>
        </w:tc>
        <w:tc>
          <w:tcPr>
            <w:tcW w:w="457" w:type="pct"/>
            <w:shd w:val="clear" w:color="auto" w:fill="auto"/>
            <w:vAlign w:val="center"/>
          </w:tcPr>
          <w:p w14:paraId="1B260517" w14:textId="77777777" w:rsidR="00E57DAA" w:rsidRDefault="00AC4185">
            <w:pPr>
              <w:jc w:val="right"/>
              <w:rPr>
                <w:sz w:val="15"/>
                <w:szCs w:val="15"/>
              </w:rPr>
            </w:pPr>
            <w:r>
              <w:rPr>
                <w:sz w:val="15"/>
                <w:szCs w:val="15"/>
              </w:rPr>
              <w:t>171,594,512.90</w:t>
            </w:r>
          </w:p>
        </w:tc>
        <w:tc>
          <w:tcPr>
            <w:tcW w:w="430" w:type="pct"/>
            <w:shd w:val="clear" w:color="auto" w:fill="auto"/>
            <w:vAlign w:val="center"/>
          </w:tcPr>
          <w:p w14:paraId="1C9E1135" w14:textId="77777777" w:rsidR="00E57DAA" w:rsidRDefault="00AC4185">
            <w:pPr>
              <w:jc w:val="right"/>
              <w:rPr>
                <w:sz w:val="15"/>
                <w:szCs w:val="15"/>
              </w:rPr>
            </w:pPr>
            <w:r>
              <w:rPr>
                <w:sz w:val="15"/>
                <w:szCs w:val="15"/>
              </w:rPr>
              <w:t>35,162,804.60</w:t>
            </w:r>
          </w:p>
        </w:tc>
        <w:tc>
          <w:tcPr>
            <w:tcW w:w="430" w:type="pct"/>
            <w:shd w:val="clear" w:color="auto" w:fill="auto"/>
            <w:vAlign w:val="center"/>
          </w:tcPr>
          <w:p w14:paraId="7706ED86" w14:textId="77777777" w:rsidR="00E57DAA" w:rsidRDefault="00AC4185">
            <w:pPr>
              <w:jc w:val="right"/>
              <w:rPr>
                <w:sz w:val="15"/>
                <w:szCs w:val="15"/>
              </w:rPr>
            </w:pPr>
            <w:r>
              <w:rPr>
                <w:sz w:val="15"/>
                <w:szCs w:val="15"/>
              </w:rPr>
              <w:t>15,306,251.61</w:t>
            </w:r>
          </w:p>
        </w:tc>
        <w:tc>
          <w:tcPr>
            <w:tcW w:w="430" w:type="pct"/>
            <w:shd w:val="clear" w:color="auto" w:fill="auto"/>
            <w:vAlign w:val="center"/>
          </w:tcPr>
          <w:p w14:paraId="5FD334A0" w14:textId="77777777" w:rsidR="00E57DAA" w:rsidRDefault="00AC4185">
            <w:pPr>
              <w:jc w:val="right"/>
              <w:rPr>
                <w:sz w:val="15"/>
                <w:szCs w:val="15"/>
              </w:rPr>
            </w:pPr>
            <w:r>
              <w:rPr>
                <w:sz w:val="15"/>
                <w:szCs w:val="15"/>
              </w:rPr>
              <w:t>65,345,983.34</w:t>
            </w:r>
          </w:p>
        </w:tc>
        <w:tc>
          <w:tcPr>
            <w:tcW w:w="430" w:type="pct"/>
            <w:shd w:val="clear" w:color="auto" w:fill="auto"/>
            <w:vAlign w:val="center"/>
          </w:tcPr>
          <w:p w14:paraId="4496BD36" w14:textId="77777777" w:rsidR="00E57DAA" w:rsidRDefault="00AC4185">
            <w:pPr>
              <w:jc w:val="right"/>
              <w:rPr>
                <w:sz w:val="15"/>
                <w:szCs w:val="15"/>
              </w:rPr>
            </w:pPr>
            <w:r>
              <w:rPr>
                <w:sz w:val="15"/>
                <w:szCs w:val="15"/>
              </w:rPr>
              <w:t>45,693,481.31</w:t>
            </w:r>
          </w:p>
        </w:tc>
        <w:tc>
          <w:tcPr>
            <w:tcW w:w="511" w:type="pct"/>
            <w:shd w:val="clear" w:color="auto" w:fill="auto"/>
            <w:vAlign w:val="center"/>
          </w:tcPr>
          <w:p w14:paraId="65E58759" w14:textId="77777777" w:rsidR="00E57DAA" w:rsidRDefault="00AC4185">
            <w:pPr>
              <w:jc w:val="right"/>
              <w:rPr>
                <w:sz w:val="15"/>
                <w:szCs w:val="15"/>
              </w:rPr>
            </w:pPr>
            <w:r>
              <w:rPr>
                <w:sz w:val="15"/>
                <w:szCs w:val="15"/>
              </w:rPr>
              <w:t>1,779,639,143.27</w:t>
            </w:r>
          </w:p>
        </w:tc>
      </w:tr>
      <w:tr w:rsidR="00E57DAA" w14:paraId="02704183" w14:textId="77777777">
        <w:trPr>
          <w:trHeight w:val="340"/>
        </w:trPr>
        <w:tc>
          <w:tcPr>
            <w:tcW w:w="461" w:type="pct"/>
            <w:shd w:val="clear" w:color="auto" w:fill="auto"/>
            <w:vAlign w:val="center"/>
          </w:tcPr>
          <w:p w14:paraId="084AB99F" w14:textId="77777777" w:rsidR="00E57DAA" w:rsidRDefault="00AC4185">
            <w:pPr>
              <w:ind w:firstLineChars="200" w:firstLine="300"/>
              <w:rPr>
                <w:sz w:val="15"/>
                <w:szCs w:val="15"/>
              </w:rPr>
            </w:pPr>
            <w:r>
              <w:rPr>
                <w:sz w:val="15"/>
                <w:szCs w:val="15"/>
              </w:rPr>
              <w:t>2.本期增加</w:t>
            </w:r>
            <w:r>
              <w:rPr>
                <w:rFonts w:hint="eastAsia"/>
                <w:sz w:val="15"/>
                <w:szCs w:val="15"/>
              </w:rPr>
              <w:t>金额</w:t>
            </w:r>
          </w:p>
        </w:tc>
        <w:tc>
          <w:tcPr>
            <w:tcW w:w="511" w:type="pct"/>
            <w:shd w:val="clear" w:color="auto" w:fill="auto"/>
            <w:vAlign w:val="center"/>
          </w:tcPr>
          <w:p w14:paraId="35BFC42E" w14:textId="77777777" w:rsidR="00E57DAA" w:rsidRDefault="00AC4185">
            <w:pPr>
              <w:jc w:val="right"/>
              <w:rPr>
                <w:sz w:val="15"/>
                <w:szCs w:val="15"/>
              </w:rPr>
            </w:pPr>
            <w:r>
              <w:rPr>
                <w:sz w:val="15"/>
                <w:szCs w:val="15"/>
              </w:rPr>
              <w:t>25,794,273.66</w:t>
            </w:r>
          </w:p>
        </w:tc>
        <w:tc>
          <w:tcPr>
            <w:tcW w:w="430" w:type="pct"/>
            <w:shd w:val="clear" w:color="auto" w:fill="auto"/>
            <w:vAlign w:val="center"/>
          </w:tcPr>
          <w:p w14:paraId="18D5F420" w14:textId="77777777" w:rsidR="00E57DAA" w:rsidRDefault="00AC4185">
            <w:pPr>
              <w:jc w:val="right"/>
              <w:rPr>
                <w:sz w:val="15"/>
                <w:szCs w:val="15"/>
              </w:rPr>
            </w:pPr>
            <w:r>
              <w:rPr>
                <w:sz w:val="15"/>
                <w:szCs w:val="15"/>
              </w:rPr>
              <w:t>3,392,291.28</w:t>
            </w:r>
          </w:p>
        </w:tc>
        <w:tc>
          <w:tcPr>
            <w:tcW w:w="457" w:type="pct"/>
            <w:shd w:val="clear" w:color="auto" w:fill="auto"/>
            <w:vAlign w:val="center"/>
          </w:tcPr>
          <w:p w14:paraId="63033A2D" w14:textId="77777777" w:rsidR="00E57DAA" w:rsidRDefault="00E57DAA">
            <w:pPr>
              <w:jc w:val="right"/>
              <w:rPr>
                <w:sz w:val="15"/>
                <w:szCs w:val="15"/>
              </w:rPr>
            </w:pPr>
          </w:p>
        </w:tc>
        <w:tc>
          <w:tcPr>
            <w:tcW w:w="457" w:type="pct"/>
            <w:shd w:val="clear" w:color="auto" w:fill="auto"/>
            <w:vAlign w:val="center"/>
          </w:tcPr>
          <w:p w14:paraId="0DDBC64A" w14:textId="77777777" w:rsidR="00E57DAA" w:rsidRDefault="00AC4185">
            <w:pPr>
              <w:jc w:val="right"/>
              <w:rPr>
                <w:sz w:val="15"/>
                <w:szCs w:val="15"/>
              </w:rPr>
            </w:pPr>
            <w:r>
              <w:rPr>
                <w:sz w:val="15"/>
                <w:szCs w:val="15"/>
              </w:rPr>
              <w:t>14,176,409.84</w:t>
            </w:r>
          </w:p>
        </w:tc>
        <w:tc>
          <w:tcPr>
            <w:tcW w:w="457" w:type="pct"/>
            <w:shd w:val="clear" w:color="auto" w:fill="auto"/>
            <w:vAlign w:val="center"/>
          </w:tcPr>
          <w:p w14:paraId="4352B49D" w14:textId="77777777" w:rsidR="00E57DAA" w:rsidRDefault="00AC4185">
            <w:pPr>
              <w:jc w:val="right"/>
              <w:rPr>
                <w:sz w:val="15"/>
                <w:szCs w:val="15"/>
              </w:rPr>
            </w:pPr>
            <w:r>
              <w:rPr>
                <w:sz w:val="15"/>
                <w:szCs w:val="15"/>
              </w:rPr>
              <w:t>25,183,840.10</w:t>
            </w:r>
          </w:p>
        </w:tc>
        <w:tc>
          <w:tcPr>
            <w:tcW w:w="430" w:type="pct"/>
            <w:shd w:val="clear" w:color="auto" w:fill="auto"/>
            <w:vAlign w:val="center"/>
          </w:tcPr>
          <w:p w14:paraId="56E7B98F" w14:textId="77777777" w:rsidR="00E57DAA" w:rsidRDefault="00E57DAA">
            <w:pPr>
              <w:jc w:val="right"/>
              <w:rPr>
                <w:sz w:val="15"/>
                <w:szCs w:val="15"/>
              </w:rPr>
            </w:pPr>
          </w:p>
        </w:tc>
        <w:tc>
          <w:tcPr>
            <w:tcW w:w="430" w:type="pct"/>
            <w:shd w:val="clear" w:color="auto" w:fill="auto"/>
            <w:vAlign w:val="center"/>
          </w:tcPr>
          <w:p w14:paraId="12C68A94" w14:textId="77777777" w:rsidR="00E57DAA" w:rsidRDefault="00AC4185">
            <w:pPr>
              <w:jc w:val="right"/>
              <w:rPr>
                <w:sz w:val="15"/>
                <w:szCs w:val="15"/>
              </w:rPr>
            </w:pPr>
            <w:r>
              <w:rPr>
                <w:sz w:val="15"/>
                <w:szCs w:val="15"/>
              </w:rPr>
              <w:t>591,977.18</w:t>
            </w:r>
          </w:p>
        </w:tc>
        <w:tc>
          <w:tcPr>
            <w:tcW w:w="430" w:type="pct"/>
            <w:shd w:val="clear" w:color="auto" w:fill="auto"/>
            <w:vAlign w:val="center"/>
          </w:tcPr>
          <w:p w14:paraId="65BF0B42" w14:textId="77777777" w:rsidR="00E57DAA" w:rsidRDefault="00AC4185">
            <w:pPr>
              <w:jc w:val="right"/>
              <w:rPr>
                <w:sz w:val="15"/>
                <w:szCs w:val="15"/>
              </w:rPr>
            </w:pPr>
            <w:r>
              <w:rPr>
                <w:sz w:val="15"/>
                <w:szCs w:val="15"/>
              </w:rPr>
              <w:t>2,093,350.11</w:t>
            </w:r>
          </w:p>
        </w:tc>
        <w:tc>
          <w:tcPr>
            <w:tcW w:w="430" w:type="pct"/>
            <w:shd w:val="clear" w:color="auto" w:fill="auto"/>
            <w:vAlign w:val="center"/>
          </w:tcPr>
          <w:p w14:paraId="6D1FC55B" w14:textId="77777777" w:rsidR="00E57DAA" w:rsidRDefault="00AC4185">
            <w:pPr>
              <w:jc w:val="right"/>
              <w:rPr>
                <w:sz w:val="15"/>
                <w:szCs w:val="15"/>
              </w:rPr>
            </w:pPr>
            <w:r>
              <w:rPr>
                <w:sz w:val="15"/>
                <w:szCs w:val="15"/>
              </w:rPr>
              <w:t>2,685,751.65</w:t>
            </w:r>
          </w:p>
        </w:tc>
        <w:tc>
          <w:tcPr>
            <w:tcW w:w="511" w:type="pct"/>
            <w:shd w:val="clear" w:color="auto" w:fill="auto"/>
            <w:vAlign w:val="center"/>
          </w:tcPr>
          <w:p w14:paraId="76E320DA" w14:textId="77777777" w:rsidR="00E57DAA" w:rsidRDefault="00AC4185">
            <w:pPr>
              <w:jc w:val="right"/>
              <w:rPr>
                <w:sz w:val="15"/>
                <w:szCs w:val="15"/>
              </w:rPr>
            </w:pPr>
            <w:r>
              <w:rPr>
                <w:sz w:val="15"/>
                <w:szCs w:val="15"/>
              </w:rPr>
              <w:t>73,917,893.82</w:t>
            </w:r>
          </w:p>
        </w:tc>
      </w:tr>
      <w:tr w:rsidR="00E57DAA" w14:paraId="27730A81" w14:textId="77777777">
        <w:trPr>
          <w:trHeight w:val="340"/>
        </w:trPr>
        <w:tc>
          <w:tcPr>
            <w:tcW w:w="461" w:type="pct"/>
            <w:shd w:val="clear" w:color="auto" w:fill="auto"/>
            <w:vAlign w:val="center"/>
          </w:tcPr>
          <w:p w14:paraId="278DEAE0" w14:textId="77777777" w:rsidR="00E57DAA" w:rsidRDefault="00AC4185">
            <w:pPr>
              <w:ind w:firstLineChars="300" w:firstLine="450"/>
              <w:rPr>
                <w:sz w:val="15"/>
                <w:szCs w:val="15"/>
              </w:rPr>
            </w:pPr>
            <w:r>
              <w:rPr>
                <w:sz w:val="15"/>
                <w:szCs w:val="15"/>
              </w:rPr>
              <w:t>(1)</w:t>
            </w:r>
            <w:r>
              <w:rPr>
                <w:rFonts w:hint="eastAsia"/>
                <w:sz w:val="15"/>
                <w:szCs w:val="15"/>
              </w:rPr>
              <w:t>购置</w:t>
            </w:r>
          </w:p>
        </w:tc>
        <w:tc>
          <w:tcPr>
            <w:tcW w:w="511" w:type="pct"/>
            <w:shd w:val="clear" w:color="auto" w:fill="auto"/>
            <w:vAlign w:val="center"/>
          </w:tcPr>
          <w:p w14:paraId="0A785445" w14:textId="77777777" w:rsidR="00E57DAA" w:rsidRDefault="00AC4185">
            <w:pPr>
              <w:jc w:val="right"/>
              <w:rPr>
                <w:sz w:val="15"/>
                <w:szCs w:val="15"/>
              </w:rPr>
            </w:pPr>
            <w:r>
              <w:rPr>
                <w:sz w:val="15"/>
                <w:szCs w:val="15"/>
              </w:rPr>
              <w:t>22,321,194.49</w:t>
            </w:r>
          </w:p>
        </w:tc>
        <w:tc>
          <w:tcPr>
            <w:tcW w:w="430" w:type="pct"/>
            <w:shd w:val="clear" w:color="auto" w:fill="auto"/>
            <w:vAlign w:val="center"/>
          </w:tcPr>
          <w:p w14:paraId="45458AB9" w14:textId="77777777" w:rsidR="00E57DAA" w:rsidRDefault="00E57DAA">
            <w:pPr>
              <w:jc w:val="right"/>
              <w:rPr>
                <w:sz w:val="15"/>
                <w:szCs w:val="15"/>
              </w:rPr>
            </w:pPr>
          </w:p>
        </w:tc>
        <w:tc>
          <w:tcPr>
            <w:tcW w:w="457" w:type="pct"/>
            <w:shd w:val="clear" w:color="auto" w:fill="auto"/>
            <w:vAlign w:val="center"/>
          </w:tcPr>
          <w:p w14:paraId="17E7A2C4" w14:textId="77777777" w:rsidR="00E57DAA" w:rsidRDefault="00E57DAA">
            <w:pPr>
              <w:jc w:val="right"/>
              <w:rPr>
                <w:sz w:val="15"/>
                <w:szCs w:val="15"/>
              </w:rPr>
            </w:pPr>
          </w:p>
        </w:tc>
        <w:tc>
          <w:tcPr>
            <w:tcW w:w="457" w:type="pct"/>
            <w:shd w:val="clear" w:color="auto" w:fill="auto"/>
            <w:vAlign w:val="center"/>
          </w:tcPr>
          <w:p w14:paraId="2C5BFE97" w14:textId="77777777" w:rsidR="00E57DAA" w:rsidRDefault="00E57DAA">
            <w:pPr>
              <w:jc w:val="right"/>
              <w:rPr>
                <w:sz w:val="15"/>
                <w:szCs w:val="15"/>
              </w:rPr>
            </w:pPr>
          </w:p>
        </w:tc>
        <w:tc>
          <w:tcPr>
            <w:tcW w:w="457" w:type="pct"/>
            <w:shd w:val="clear" w:color="auto" w:fill="auto"/>
            <w:vAlign w:val="center"/>
          </w:tcPr>
          <w:p w14:paraId="6042A1F9" w14:textId="77777777" w:rsidR="00E57DAA" w:rsidRDefault="00AC4185">
            <w:pPr>
              <w:jc w:val="right"/>
              <w:rPr>
                <w:sz w:val="15"/>
                <w:szCs w:val="15"/>
              </w:rPr>
            </w:pPr>
            <w:r>
              <w:rPr>
                <w:sz w:val="15"/>
                <w:szCs w:val="15"/>
              </w:rPr>
              <w:t>23,170,509.12</w:t>
            </w:r>
          </w:p>
        </w:tc>
        <w:tc>
          <w:tcPr>
            <w:tcW w:w="430" w:type="pct"/>
            <w:shd w:val="clear" w:color="auto" w:fill="auto"/>
            <w:vAlign w:val="center"/>
          </w:tcPr>
          <w:p w14:paraId="774CB35B" w14:textId="77777777" w:rsidR="00E57DAA" w:rsidRDefault="00E57DAA">
            <w:pPr>
              <w:jc w:val="right"/>
              <w:rPr>
                <w:sz w:val="15"/>
                <w:szCs w:val="15"/>
              </w:rPr>
            </w:pPr>
          </w:p>
        </w:tc>
        <w:tc>
          <w:tcPr>
            <w:tcW w:w="430" w:type="pct"/>
            <w:shd w:val="clear" w:color="auto" w:fill="auto"/>
            <w:vAlign w:val="center"/>
          </w:tcPr>
          <w:p w14:paraId="5489AB75" w14:textId="77777777" w:rsidR="00E57DAA" w:rsidRDefault="00E57DAA">
            <w:pPr>
              <w:jc w:val="right"/>
              <w:rPr>
                <w:sz w:val="15"/>
                <w:szCs w:val="15"/>
              </w:rPr>
            </w:pPr>
          </w:p>
        </w:tc>
        <w:tc>
          <w:tcPr>
            <w:tcW w:w="430" w:type="pct"/>
            <w:shd w:val="clear" w:color="auto" w:fill="auto"/>
            <w:vAlign w:val="center"/>
          </w:tcPr>
          <w:p w14:paraId="40839C05" w14:textId="77777777" w:rsidR="00E57DAA" w:rsidRDefault="00E57DAA">
            <w:pPr>
              <w:jc w:val="right"/>
              <w:rPr>
                <w:sz w:val="15"/>
                <w:szCs w:val="15"/>
              </w:rPr>
            </w:pPr>
          </w:p>
        </w:tc>
        <w:tc>
          <w:tcPr>
            <w:tcW w:w="430" w:type="pct"/>
            <w:shd w:val="clear" w:color="auto" w:fill="auto"/>
            <w:vAlign w:val="center"/>
          </w:tcPr>
          <w:p w14:paraId="1405309B" w14:textId="77777777" w:rsidR="00E57DAA" w:rsidRDefault="00E57DAA">
            <w:pPr>
              <w:jc w:val="right"/>
              <w:rPr>
                <w:sz w:val="15"/>
                <w:szCs w:val="15"/>
              </w:rPr>
            </w:pPr>
          </w:p>
        </w:tc>
        <w:tc>
          <w:tcPr>
            <w:tcW w:w="511" w:type="pct"/>
            <w:shd w:val="clear" w:color="auto" w:fill="auto"/>
            <w:vAlign w:val="center"/>
          </w:tcPr>
          <w:p w14:paraId="2626540C" w14:textId="77777777" w:rsidR="00E57DAA" w:rsidRDefault="00AC4185">
            <w:pPr>
              <w:jc w:val="right"/>
              <w:rPr>
                <w:sz w:val="15"/>
                <w:szCs w:val="15"/>
              </w:rPr>
            </w:pPr>
            <w:r>
              <w:rPr>
                <w:sz w:val="15"/>
                <w:szCs w:val="15"/>
              </w:rPr>
              <w:t>45,491,703.61</w:t>
            </w:r>
          </w:p>
        </w:tc>
      </w:tr>
      <w:tr w:rsidR="00E57DAA" w14:paraId="651FE6BB" w14:textId="77777777">
        <w:trPr>
          <w:trHeight w:val="233"/>
        </w:trPr>
        <w:tc>
          <w:tcPr>
            <w:tcW w:w="461" w:type="pct"/>
            <w:shd w:val="clear" w:color="auto" w:fill="auto"/>
          </w:tcPr>
          <w:p w14:paraId="0366CEE8" w14:textId="77777777" w:rsidR="00E57DAA" w:rsidRDefault="00AC4185">
            <w:pPr>
              <w:ind w:firstLineChars="300" w:firstLine="450"/>
              <w:rPr>
                <w:sz w:val="15"/>
                <w:szCs w:val="15"/>
              </w:rPr>
            </w:pPr>
            <w:r>
              <w:rPr>
                <w:rFonts w:hint="eastAsia"/>
                <w:sz w:val="15"/>
                <w:szCs w:val="15"/>
              </w:rPr>
              <w:t>(2)</w:t>
            </w:r>
            <w:r>
              <w:rPr>
                <w:rFonts w:hint="eastAsia"/>
              </w:rPr>
              <w:t xml:space="preserve"> </w:t>
            </w:r>
            <w:r>
              <w:rPr>
                <w:rFonts w:hint="eastAsia"/>
                <w:sz w:val="15"/>
                <w:szCs w:val="15"/>
              </w:rPr>
              <w:t>在建工程转入</w:t>
            </w:r>
          </w:p>
        </w:tc>
        <w:tc>
          <w:tcPr>
            <w:tcW w:w="511" w:type="pct"/>
            <w:shd w:val="clear" w:color="auto" w:fill="auto"/>
            <w:vAlign w:val="center"/>
          </w:tcPr>
          <w:p w14:paraId="1A1C5E2B" w14:textId="77777777" w:rsidR="00E57DAA" w:rsidRDefault="00E57DAA">
            <w:pPr>
              <w:jc w:val="right"/>
              <w:rPr>
                <w:sz w:val="15"/>
                <w:szCs w:val="15"/>
              </w:rPr>
            </w:pPr>
          </w:p>
        </w:tc>
        <w:tc>
          <w:tcPr>
            <w:tcW w:w="430" w:type="pct"/>
            <w:shd w:val="clear" w:color="auto" w:fill="auto"/>
            <w:vAlign w:val="center"/>
          </w:tcPr>
          <w:p w14:paraId="4D5560D3" w14:textId="77777777" w:rsidR="00E57DAA" w:rsidRDefault="00AC4185">
            <w:pPr>
              <w:jc w:val="right"/>
              <w:rPr>
                <w:sz w:val="15"/>
                <w:szCs w:val="15"/>
              </w:rPr>
            </w:pPr>
            <w:r>
              <w:rPr>
                <w:sz w:val="15"/>
                <w:szCs w:val="15"/>
              </w:rPr>
              <w:t>3,392,291.28</w:t>
            </w:r>
          </w:p>
        </w:tc>
        <w:tc>
          <w:tcPr>
            <w:tcW w:w="457" w:type="pct"/>
            <w:shd w:val="clear" w:color="auto" w:fill="auto"/>
            <w:vAlign w:val="center"/>
          </w:tcPr>
          <w:p w14:paraId="5F706A3F" w14:textId="77777777" w:rsidR="00E57DAA" w:rsidRDefault="00E57DAA">
            <w:pPr>
              <w:jc w:val="right"/>
              <w:rPr>
                <w:sz w:val="15"/>
                <w:szCs w:val="15"/>
              </w:rPr>
            </w:pPr>
          </w:p>
        </w:tc>
        <w:tc>
          <w:tcPr>
            <w:tcW w:w="457" w:type="pct"/>
            <w:shd w:val="clear" w:color="auto" w:fill="auto"/>
            <w:vAlign w:val="center"/>
          </w:tcPr>
          <w:p w14:paraId="76A8ECCB" w14:textId="77777777" w:rsidR="00E57DAA" w:rsidRDefault="00E57DAA">
            <w:pPr>
              <w:jc w:val="right"/>
              <w:rPr>
                <w:sz w:val="15"/>
                <w:szCs w:val="15"/>
              </w:rPr>
            </w:pPr>
          </w:p>
        </w:tc>
        <w:tc>
          <w:tcPr>
            <w:tcW w:w="457" w:type="pct"/>
            <w:shd w:val="clear" w:color="auto" w:fill="auto"/>
            <w:vAlign w:val="center"/>
          </w:tcPr>
          <w:p w14:paraId="499115E4" w14:textId="77777777" w:rsidR="00E57DAA" w:rsidRDefault="00E57DAA">
            <w:pPr>
              <w:jc w:val="right"/>
              <w:rPr>
                <w:sz w:val="15"/>
                <w:szCs w:val="15"/>
              </w:rPr>
            </w:pPr>
          </w:p>
        </w:tc>
        <w:tc>
          <w:tcPr>
            <w:tcW w:w="430" w:type="pct"/>
            <w:shd w:val="clear" w:color="auto" w:fill="auto"/>
            <w:vAlign w:val="center"/>
          </w:tcPr>
          <w:p w14:paraId="5E01A644" w14:textId="77777777" w:rsidR="00E57DAA" w:rsidRDefault="00E57DAA">
            <w:pPr>
              <w:jc w:val="right"/>
              <w:rPr>
                <w:sz w:val="15"/>
                <w:szCs w:val="15"/>
              </w:rPr>
            </w:pPr>
          </w:p>
        </w:tc>
        <w:tc>
          <w:tcPr>
            <w:tcW w:w="430" w:type="pct"/>
            <w:shd w:val="clear" w:color="auto" w:fill="auto"/>
            <w:vAlign w:val="center"/>
          </w:tcPr>
          <w:p w14:paraId="005461C3" w14:textId="77777777" w:rsidR="00E57DAA" w:rsidRDefault="00E57DAA">
            <w:pPr>
              <w:jc w:val="right"/>
              <w:rPr>
                <w:sz w:val="15"/>
                <w:szCs w:val="15"/>
              </w:rPr>
            </w:pPr>
          </w:p>
        </w:tc>
        <w:tc>
          <w:tcPr>
            <w:tcW w:w="430" w:type="pct"/>
            <w:shd w:val="clear" w:color="auto" w:fill="auto"/>
            <w:vAlign w:val="center"/>
          </w:tcPr>
          <w:p w14:paraId="40372E43" w14:textId="77777777" w:rsidR="00E57DAA" w:rsidRDefault="00E57DAA">
            <w:pPr>
              <w:jc w:val="right"/>
              <w:rPr>
                <w:sz w:val="15"/>
                <w:szCs w:val="15"/>
              </w:rPr>
            </w:pPr>
          </w:p>
        </w:tc>
        <w:tc>
          <w:tcPr>
            <w:tcW w:w="430" w:type="pct"/>
            <w:shd w:val="clear" w:color="auto" w:fill="auto"/>
            <w:vAlign w:val="center"/>
          </w:tcPr>
          <w:p w14:paraId="1FF69191" w14:textId="77777777" w:rsidR="00E57DAA" w:rsidRDefault="00E57DAA">
            <w:pPr>
              <w:jc w:val="right"/>
              <w:rPr>
                <w:sz w:val="15"/>
                <w:szCs w:val="15"/>
              </w:rPr>
            </w:pPr>
          </w:p>
        </w:tc>
        <w:tc>
          <w:tcPr>
            <w:tcW w:w="511" w:type="pct"/>
            <w:shd w:val="clear" w:color="auto" w:fill="auto"/>
            <w:vAlign w:val="center"/>
          </w:tcPr>
          <w:p w14:paraId="513B25A4" w14:textId="77777777" w:rsidR="00E57DAA" w:rsidRDefault="00AC4185">
            <w:pPr>
              <w:jc w:val="right"/>
              <w:rPr>
                <w:sz w:val="15"/>
                <w:szCs w:val="15"/>
              </w:rPr>
            </w:pPr>
            <w:r>
              <w:rPr>
                <w:sz w:val="15"/>
                <w:szCs w:val="15"/>
              </w:rPr>
              <w:t>3,392,291.28</w:t>
            </w:r>
          </w:p>
        </w:tc>
      </w:tr>
      <w:tr w:rsidR="00E57DAA" w14:paraId="1F24FD2A" w14:textId="77777777">
        <w:trPr>
          <w:trHeight w:val="233"/>
        </w:trPr>
        <w:tc>
          <w:tcPr>
            <w:tcW w:w="461" w:type="pct"/>
            <w:shd w:val="clear" w:color="auto" w:fill="auto"/>
          </w:tcPr>
          <w:p w14:paraId="13E39231" w14:textId="77777777" w:rsidR="00E57DAA" w:rsidRDefault="00AC4185">
            <w:pPr>
              <w:ind w:firstLineChars="300" w:firstLine="450"/>
              <w:rPr>
                <w:sz w:val="15"/>
                <w:szCs w:val="15"/>
              </w:rPr>
            </w:pPr>
            <w:r>
              <w:rPr>
                <w:rFonts w:hint="eastAsia"/>
                <w:sz w:val="15"/>
                <w:szCs w:val="15"/>
              </w:rPr>
              <w:t>(2)非同一控制下企业合并</w:t>
            </w:r>
          </w:p>
        </w:tc>
        <w:tc>
          <w:tcPr>
            <w:tcW w:w="511" w:type="pct"/>
            <w:shd w:val="clear" w:color="auto" w:fill="auto"/>
            <w:vAlign w:val="center"/>
          </w:tcPr>
          <w:p w14:paraId="1C6C17C0" w14:textId="77777777" w:rsidR="00E57DAA" w:rsidRDefault="00AC4185">
            <w:pPr>
              <w:jc w:val="right"/>
              <w:rPr>
                <w:sz w:val="15"/>
                <w:szCs w:val="15"/>
              </w:rPr>
            </w:pPr>
            <w:r>
              <w:rPr>
                <w:sz w:val="15"/>
                <w:szCs w:val="15"/>
              </w:rPr>
              <w:t>3,910,956.84</w:t>
            </w:r>
          </w:p>
        </w:tc>
        <w:tc>
          <w:tcPr>
            <w:tcW w:w="430" w:type="pct"/>
            <w:shd w:val="clear" w:color="auto" w:fill="auto"/>
            <w:vAlign w:val="center"/>
          </w:tcPr>
          <w:p w14:paraId="79D7F232" w14:textId="77777777" w:rsidR="00E57DAA" w:rsidRDefault="00E57DAA">
            <w:pPr>
              <w:jc w:val="right"/>
              <w:rPr>
                <w:sz w:val="15"/>
                <w:szCs w:val="15"/>
              </w:rPr>
            </w:pPr>
          </w:p>
        </w:tc>
        <w:tc>
          <w:tcPr>
            <w:tcW w:w="457" w:type="pct"/>
            <w:shd w:val="clear" w:color="auto" w:fill="auto"/>
            <w:vAlign w:val="center"/>
          </w:tcPr>
          <w:p w14:paraId="6C735302" w14:textId="77777777" w:rsidR="00E57DAA" w:rsidRDefault="00E57DAA">
            <w:pPr>
              <w:jc w:val="right"/>
              <w:rPr>
                <w:sz w:val="15"/>
                <w:szCs w:val="15"/>
              </w:rPr>
            </w:pPr>
          </w:p>
        </w:tc>
        <w:tc>
          <w:tcPr>
            <w:tcW w:w="457" w:type="pct"/>
            <w:shd w:val="clear" w:color="auto" w:fill="auto"/>
            <w:vAlign w:val="center"/>
          </w:tcPr>
          <w:p w14:paraId="1F4474D5" w14:textId="77777777" w:rsidR="00E57DAA" w:rsidRDefault="00E57DAA">
            <w:pPr>
              <w:jc w:val="right"/>
              <w:rPr>
                <w:sz w:val="15"/>
                <w:szCs w:val="15"/>
              </w:rPr>
            </w:pPr>
          </w:p>
        </w:tc>
        <w:tc>
          <w:tcPr>
            <w:tcW w:w="457" w:type="pct"/>
            <w:shd w:val="clear" w:color="auto" w:fill="auto"/>
            <w:vAlign w:val="center"/>
          </w:tcPr>
          <w:p w14:paraId="2042C1A8" w14:textId="77777777" w:rsidR="00E57DAA" w:rsidRDefault="00AC4185">
            <w:pPr>
              <w:jc w:val="right"/>
              <w:rPr>
                <w:sz w:val="15"/>
                <w:szCs w:val="15"/>
              </w:rPr>
            </w:pPr>
            <w:r>
              <w:rPr>
                <w:sz w:val="15"/>
                <w:szCs w:val="15"/>
              </w:rPr>
              <w:t>496,558.51</w:t>
            </w:r>
          </w:p>
        </w:tc>
        <w:tc>
          <w:tcPr>
            <w:tcW w:w="430" w:type="pct"/>
            <w:shd w:val="clear" w:color="auto" w:fill="auto"/>
            <w:vAlign w:val="center"/>
          </w:tcPr>
          <w:p w14:paraId="3C0C1F4D" w14:textId="77777777" w:rsidR="00E57DAA" w:rsidRDefault="00E57DAA">
            <w:pPr>
              <w:jc w:val="right"/>
              <w:rPr>
                <w:sz w:val="15"/>
                <w:szCs w:val="15"/>
              </w:rPr>
            </w:pPr>
          </w:p>
        </w:tc>
        <w:tc>
          <w:tcPr>
            <w:tcW w:w="430" w:type="pct"/>
            <w:shd w:val="clear" w:color="auto" w:fill="auto"/>
            <w:vAlign w:val="center"/>
          </w:tcPr>
          <w:p w14:paraId="38199B93" w14:textId="77777777" w:rsidR="00E57DAA" w:rsidRDefault="00E57DAA">
            <w:pPr>
              <w:jc w:val="right"/>
              <w:rPr>
                <w:sz w:val="15"/>
                <w:szCs w:val="15"/>
              </w:rPr>
            </w:pPr>
          </w:p>
        </w:tc>
        <w:tc>
          <w:tcPr>
            <w:tcW w:w="430" w:type="pct"/>
            <w:shd w:val="clear" w:color="auto" w:fill="auto"/>
            <w:vAlign w:val="center"/>
          </w:tcPr>
          <w:p w14:paraId="49721EA2" w14:textId="77777777" w:rsidR="00E57DAA" w:rsidRDefault="00E57DAA">
            <w:pPr>
              <w:jc w:val="right"/>
              <w:rPr>
                <w:sz w:val="15"/>
                <w:szCs w:val="15"/>
              </w:rPr>
            </w:pPr>
          </w:p>
        </w:tc>
        <w:tc>
          <w:tcPr>
            <w:tcW w:w="430" w:type="pct"/>
            <w:shd w:val="clear" w:color="auto" w:fill="auto"/>
            <w:vAlign w:val="center"/>
          </w:tcPr>
          <w:p w14:paraId="3A0E0A96" w14:textId="77777777" w:rsidR="00E57DAA" w:rsidRDefault="00E57DAA">
            <w:pPr>
              <w:jc w:val="right"/>
              <w:rPr>
                <w:sz w:val="15"/>
                <w:szCs w:val="15"/>
              </w:rPr>
            </w:pPr>
          </w:p>
        </w:tc>
        <w:tc>
          <w:tcPr>
            <w:tcW w:w="511" w:type="pct"/>
            <w:shd w:val="clear" w:color="auto" w:fill="auto"/>
            <w:vAlign w:val="center"/>
          </w:tcPr>
          <w:p w14:paraId="47B8FF3F" w14:textId="77777777" w:rsidR="00E57DAA" w:rsidRDefault="00AC4185">
            <w:pPr>
              <w:jc w:val="right"/>
              <w:rPr>
                <w:sz w:val="15"/>
                <w:szCs w:val="15"/>
              </w:rPr>
            </w:pPr>
            <w:r>
              <w:rPr>
                <w:sz w:val="15"/>
                <w:szCs w:val="15"/>
              </w:rPr>
              <w:t>4,407,515.35</w:t>
            </w:r>
          </w:p>
        </w:tc>
      </w:tr>
      <w:tr w:rsidR="00E57DAA" w14:paraId="6B0AA25A" w14:textId="77777777">
        <w:trPr>
          <w:trHeight w:val="233"/>
        </w:trPr>
        <w:tc>
          <w:tcPr>
            <w:tcW w:w="461" w:type="pct"/>
            <w:shd w:val="clear" w:color="auto" w:fill="auto"/>
          </w:tcPr>
          <w:p w14:paraId="6910EF99" w14:textId="77777777" w:rsidR="00E57DAA" w:rsidRDefault="00AC4185">
            <w:pPr>
              <w:ind w:firstLineChars="300" w:firstLine="450"/>
              <w:rPr>
                <w:sz w:val="15"/>
                <w:szCs w:val="15"/>
              </w:rPr>
            </w:pPr>
            <w:r>
              <w:rPr>
                <w:rFonts w:hint="eastAsia"/>
                <w:sz w:val="15"/>
                <w:szCs w:val="15"/>
              </w:rPr>
              <w:t>(3)外币报表折算差额</w:t>
            </w:r>
          </w:p>
        </w:tc>
        <w:tc>
          <w:tcPr>
            <w:tcW w:w="511" w:type="pct"/>
            <w:shd w:val="clear" w:color="auto" w:fill="auto"/>
            <w:vAlign w:val="center"/>
          </w:tcPr>
          <w:p w14:paraId="49C4BB64" w14:textId="77777777" w:rsidR="00E57DAA" w:rsidRDefault="00AC4185">
            <w:pPr>
              <w:jc w:val="right"/>
              <w:rPr>
                <w:sz w:val="15"/>
                <w:szCs w:val="15"/>
              </w:rPr>
            </w:pPr>
            <w:r>
              <w:rPr>
                <w:sz w:val="15"/>
                <w:szCs w:val="15"/>
              </w:rPr>
              <w:t>-437,877.67</w:t>
            </w:r>
          </w:p>
        </w:tc>
        <w:tc>
          <w:tcPr>
            <w:tcW w:w="430" w:type="pct"/>
            <w:shd w:val="clear" w:color="auto" w:fill="auto"/>
            <w:vAlign w:val="center"/>
          </w:tcPr>
          <w:p w14:paraId="1B55BA01" w14:textId="77777777" w:rsidR="00E57DAA" w:rsidRDefault="00E57DAA">
            <w:pPr>
              <w:jc w:val="right"/>
              <w:rPr>
                <w:sz w:val="15"/>
                <w:szCs w:val="15"/>
              </w:rPr>
            </w:pPr>
          </w:p>
        </w:tc>
        <w:tc>
          <w:tcPr>
            <w:tcW w:w="457" w:type="pct"/>
            <w:shd w:val="clear" w:color="auto" w:fill="auto"/>
            <w:vAlign w:val="center"/>
          </w:tcPr>
          <w:p w14:paraId="42CD8790" w14:textId="77777777" w:rsidR="00E57DAA" w:rsidRDefault="00E57DAA">
            <w:pPr>
              <w:jc w:val="right"/>
              <w:rPr>
                <w:sz w:val="15"/>
                <w:szCs w:val="15"/>
              </w:rPr>
            </w:pPr>
          </w:p>
        </w:tc>
        <w:tc>
          <w:tcPr>
            <w:tcW w:w="457" w:type="pct"/>
            <w:shd w:val="clear" w:color="auto" w:fill="auto"/>
            <w:vAlign w:val="center"/>
          </w:tcPr>
          <w:p w14:paraId="61D678ED" w14:textId="77777777" w:rsidR="00E57DAA" w:rsidRDefault="00AC4185">
            <w:pPr>
              <w:jc w:val="right"/>
              <w:rPr>
                <w:sz w:val="15"/>
                <w:szCs w:val="15"/>
              </w:rPr>
            </w:pPr>
            <w:r>
              <w:rPr>
                <w:sz w:val="15"/>
                <w:szCs w:val="15"/>
              </w:rPr>
              <w:t>14,176,409.84</w:t>
            </w:r>
          </w:p>
        </w:tc>
        <w:tc>
          <w:tcPr>
            <w:tcW w:w="457" w:type="pct"/>
            <w:shd w:val="clear" w:color="auto" w:fill="auto"/>
            <w:vAlign w:val="center"/>
          </w:tcPr>
          <w:p w14:paraId="7BE9FF39" w14:textId="77777777" w:rsidR="00E57DAA" w:rsidRDefault="00AC4185">
            <w:pPr>
              <w:jc w:val="right"/>
              <w:rPr>
                <w:sz w:val="15"/>
                <w:szCs w:val="15"/>
              </w:rPr>
            </w:pPr>
            <w:r>
              <w:rPr>
                <w:sz w:val="15"/>
                <w:szCs w:val="15"/>
              </w:rPr>
              <w:t>1,516,772.47</w:t>
            </w:r>
          </w:p>
        </w:tc>
        <w:tc>
          <w:tcPr>
            <w:tcW w:w="430" w:type="pct"/>
            <w:shd w:val="clear" w:color="auto" w:fill="auto"/>
            <w:vAlign w:val="center"/>
          </w:tcPr>
          <w:p w14:paraId="5AF139D2" w14:textId="77777777" w:rsidR="00E57DAA" w:rsidRDefault="00E57DAA">
            <w:pPr>
              <w:jc w:val="right"/>
              <w:rPr>
                <w:sz w:val="15"/>
                <w:szCs w:val="15"/>
              </w:rPr>
            </w:pPr>
          </w:p>
        </w:tc>
        <w:tc>
          <w:tcPr>
            <w:tcW w:w="430" w:type="pct"/>
            <w:shd w:val="clear" w:color="auto" w:fill="auto"/>
            <w:vAlign w:val="center"/>
          </w:tcPr>
          <w:p w14:paraId="734420E7" w14:textId="77777777" w:rsidR="00E57DAA" w:rsidRDefault="00AC4185">
            <w:pPr>
              <w:jc w:val="right"/>
              <w:rPr>
                <w:sz w:val="15"/>
                <w:szCs w:val="15"/>
              </w:rPr>
            </w:pPr>
            <w:r>
              <w:rPr>
                <w:sz w:val="15"/>
                <w:szCs w:val="15"/>
              </w:rPr>
              <w:t>591,977.18</w:t>
            </w:r>
          </w:p>
        </w:tc>
        <w:tc>
          <w:tcPr>
            <w:tcW w:w="430" w:type="pct"/>
            <w:shd w:val="clear" w:color="auto" w:fill="auto"/>
            <w:vAlign w:val="center"/>
          </w:tcPr>
          <w:p w14:paraId="17AF222D" w14:textId="77777777" w:rsidR="00E57DAA" w:rsidRDefault="00AC4185">
            <w:pPr>
              <w:jc w:val="right"/>
              <w:rPr>
                <w:sz w:val="15"/>
                <w:szCs w:val="15"/>
              </w:rPr>
            </w:pPr>
            <w:r>
              <w:rPr>
                <w:sz w:val="15"/>
                <w:szCs w:val="15"/>
              </w:rPr>
              <w:t>2,093,350.11</w:t>
            </w:r>
          </w:p>
        </w:tc>
        <w:tc>
          <w:tcPr>
            <w:tcW w:w="430" w:type="pct"/>
            <w:shd w:val="clear" w:color="auto" w:fill="auto"/>
            <w:vAlign w:val="center"/>
          </w:tcPr>
          <w:p w14:paraId="34BECD53" w14:textId="77777777" w:rsidR="00E57DAA" w:rsidRDefault="00AC4185">
            <w:pPr>
              <w:jc w:val="right"/>
              <w:rPr>
                <w:sz w:val="15"/>
                <w:szCs w:val="15"/>
              </w:rPr>
            </w:pPr>
            <w:r>
              <w:rPr>
                <w:sz w:val="15"/>
                <w:szCs w:val="15"/>
              </w:rPr>
              <w:t>2,685,751.65</w:t>
            </w:r>
          </w:p>
        </w:tc>
        <w:tc>
          <w:tcPr>
            <w:tcW w:w="511" w:type="pct"/>
            <w:shd w:val="clear" w:color="auto" w:fill="auto"/>
            <w:vAlign w:val="center"/>
          </w:tcPr>
          <w:p w14:paraId="16D7ACBE" w14:textId="77777777" w:rsidR="00E57DAA" w:rsidRDefault="00AC4185">
            <w:pPr>
              <w:jc w:val="right"/>
              <w:rPr>
                <w:sz w:val="15"/>
                <w:szCs w:val="15"/>
              </w:rPr>
            </w:pPr>
            <w:r>
              <w:rPr>
                <w:sz w:val="15"/>
                <w:szCs w:val="15"/>
              </w:rPr>
              <w:t>20,626,383.58</w:t>
            </w:r>
          </w:p>
        </w:tc>
      </w:tr>
      <w:tr w:rsidR="00E57DAA" w14:paraId="404CDC25" w14:textId="77777777">
        <w:trPr>
          <w:trHeight w:val="340"/>
        </w:trPr>
        <w:tc>
          <w:tcPr>
            <w:tcW w:w="461" w:type="pct"/>
            <w:shd w:val="clear" w:color="auto" w:fill="auto"/>
            <w:vAlign w:val="center"/>
          </w:tcPr>
          <w:p w14:paraId="120352C8" w14:textId="77777777" w:rsidR="00E57DAA" w:rsidRDefault="00AC4185">
            <w:pPr>
              <w:rPr>
                <w:sz w:val="15"/>
                <w:szCs w:val="15"/>
              </w:rPr>
            </w:pPr>
            <w:r>
              <w:rPr>
                <w:sz w:val="15"/>
                <w:szCs w:val="15"/>
              </w:rPr>
              <w:t xml:space="preserve">    3.本期减少</w:t>
            </w:r>
            <w:r>
              <w:rPr>
                <w:rFonts w:hint="eastAsia"/>
                <w:sz w:val="15"/>
                <w:szCs w:val="15"/>
              </w:rPr>
              <w:t>金额</w:t>
            </w:r>
          </w:p>
        </w:tc>
        <w:tc>
          <w:tcPr>
            <w:tcW w:w="511" w:type="pct"/>
            <w:shd w:val="clear" w:color="auto" w:fill="auto"/>
            <w:vAlign w:val="center"/>
          </w:tcPr>
          <w:p w14:paraId="248B6E57" w14:textId="77777777" w:rsidR="00E57DAA" w:rsidRDefault="00E57DAA">
            <w:pPr>
              <w:jc w:val="right"/>
              <w:rPr>
                <w:sz w:val="15"/>
                <w:szCs w:val="15"/>
              </w:rPr>
            </w:pPr>
          </w:p>
        </w:tc>
        <w:tc>
          <w:tcPr>
            <w:tcW w:w="430" w:type="pct"/>
            <w:shd w:val="clear" w:color="auto" w:fill="auto"/>
            <w:vAlign w:val="center"/>
          </w:tcPr>
          <w:p w14:paraId="1414D57A" w14:textId="77777777" w:rsidR="00E57DAA" w:rsidRDefault="00E57DAA">
            <w:pPr>
              <w:jc w:val="right"/>
              <w:rPr>
                <w:sz w:val="15"/>
                <w:szCs w:val="15"/>
              </w:rPr>
            </w:pPr>
          </w:p>
        </w:tc>
        <w:tc>
          <w:tcPr>
            <w:tcW w:w="457" w:type="pct"/>
            <w:shd w:val="clear" w:color="auto" w:fill="auto"/>
            <w:vAlign w:val="center"/>
          </w:tcPr>
          <w:p w14:paraId="7E4E62F0" w14:textId="77777777" w:rsidR="00E57DAA" w:rsidRDefault="00E57DAA">
            <w:pPr>
              <w:jc w:val="right"/>
              <w:rPr>
                <w:sz w:val="15"/>
                <w:szCs w:val="15"/>
              </w:rPr>
            </w:pPr>
          </w:p>
        </w:tc>
        <w:tc>
          <w:tcPr>
            <w:tcW w:w="457" w:type="pct"/>
            <w:shd w:val="clear" w:color="auto" w:fill="auto"/>
            <w:vAlign w:val="center"/>
          </w:tcPr>
          <w:p w14:paraId="2036852E" w14:textId="77777777" w:rsidR="00E57DAA" w:rsidRDefault="00AC4185">
            <w:pPr>
              <w:jc w:val="right"/>
              <w:rPr>
                <w:sz w:val="15"/>
                <w:szCs w:val="15"/>
              </w:rPr>
            </w:pPr>
            <w:r>
              <w:rPr>
                <w:sz w:val="15"/>
                <w:szCs w:val="15"/>
              </w:rPr>
              <w:t>81,270.00</w:t>
            </w:r>
          </w:p>
        </w:tc>
        <w:tc>
          <w:tcPr>
            <w:tcW w:w="457" w:type="pct"/>
            <w:shd w:val="clear" w:color="auto" w:fill="auto"/>
            <w:vAlign w:val="center"/>
          </w:tcPr>
          <w:p w14:paraId="669FF014" w14:textId="77777777" w:rsidR="00E57DAA" w:rsidRDefault="00AC4185">
            <w:pPr>
              <w:jc w:val="right"/>
              <w:rPr>
                <w:sz w:val="15"/>
                <w:szCs w:val="15"/>
              </w:rPr>
            </w:pPr>
            <w:r>
              <w:rPr>
                <w:sz w:val="15"/>
                <w:szCs w:val="15"/>
              </w:rPr>
              <w:t>1,125,006.75</w:t>
            </w:r>
          </w:p>
        </w:tc>
        <w:tc>
          <w:tcPr>
            <w:tcW w:w="430" w:type="pct"/>
            <w:shd w:val="clear" w:color="auto" w:fill="auto"/>
            <w:vAlign w:val="center"/>
          </w:tcPr>
          <w:p w14:paraId="20CA1C37" w14:textId="77777777" w:rsidR="00E57DAA" w:rsidRDefault="00E57DAA">
            <w:pPr>
              <w:jc w:val="right"/>
              <w:rPr>
                <w:sz w:val="15"/>
                <w:szCs w:val="15"/>
              </w:rPr>
            </w:pPr>
          </w:p>
        </w:tc>
        <w:tc>
          <w:tcPr>
            <w:tcW w:w="430" w:type="pct"/>
            <w:shd w:val="clear" w:color="auto" w:fill="auto"/>
            <w:vAlign w:val="center"/>
          </w:tcPr>
          <w:p w14:paraId="04A92182" w14:textId="77777777" w:rsidR="00E57DAA" w:rsidRDefault="00E57DAA">
            <w:pPr>
              <w:jc w:val="right"/>
              <w:rPr>
                <w:sz w:val="15"/>
                <w:szCs w:val="15"/>
              </w:rPr>
            </w:pPr>
          </w:p>
        </w:tc>
        <w:tc>
          <w:tcPr>
            <w:tcW w:w="430" w:type="pct"/>
            <w:shd w:val="clear" w:color="auto" w:fill="auto"/>
            <w:vAlign w:val="center"/>
          </w:tcPr>
          <w:p w14:paraId="67771C31" w14:textId="77777777" w:rsidR="00E57DAA" w:rsidRDefault="00AC4185">
            <w:pPr>
              <w:jc w:val="right"/>
              <w:rPr>
                <w:sz w:val="15"/>
                <w:szCs w:val="15"/>
              </w:rPr>
            </w:pPr>
            <w:r>
              <w:rPr>
                <w:sz w:val="15"/>
                <w:szCs w:val="15"/>
              </w:rPr>
              <w:t>55,600.00</w:t>
            </w:r>
          </w:p>
        </w:tc>
        <w:tc>
          <w:tcPr>
            <w:tcW w:w="430" w:type="pct"/>
            <w:shd w:val="clear" w:color="auto" w:fill="auto"/>
            <w:vAlign w:val="center"/>
          </w:tcPr>
          <w:p w14:paraId="5F8164D5" w14:textId="77777777" w:rsidR="00E57DAA" w:rsidRDefault="00E57DAA">
            <w:pPr>
              <w:jc w:val="right"/>
              <w:rPr>
                <w:sz w:val="15"/>
                <w:szCs w:val="15"/>
              </w:rPr>
            </w:pPr>
          </w:p>
        </w:tc>
        <w:tc>
          <w:tcPr>
            <w:tcW w:w="511" w:type="pct"/>
            <w:shd w:val="clear" w:color="auto" w:fill="auto"/>
            <w:vAlign w:val="center"/>
          </w:tcPr>
          <w:p w14:paraId="020621D7" w14:textId="77777777" w:rsidR="00E57DAA" w:rsidRDefault="00AC4185">
            <w:pPr>
              <w:jc w:val="right"/>
              <w:rPr>
                <w:sz w:val="15"/>
                <w:szCs w:val="15"/>
              </w:rPr>
            </w:pPr>
            <w:r>
              <w:rPr>
                <w:sz w:val="15"/>
                <w:szCs w:val="15"/>
              </w:rPr>
              <w:t>1,261,876.75</w:t>
            </w:r>
          </w:p>
        </w:tc>
      </w:tr>
      <w:tr w:rsidR="00E57DAA" w14:paraId="14896B35" w14:textId="77777777">
        <w:trPr>
          <w:trHeight w:val="70"/>
        </w:trPr>
        <w:tc>
          <w:tcPr>
            <w:tcW w:w="461" w:type="pct"/>
            <w:shd w:val="clear" w:color="auto" w:fill="auto"/>
          </w:tcPr>
          <w:p w14:paraId="5FA64345" w14:textId="77777777" w:rsidR="00E57DAA" w:rsidRDefault="00AC4185">
            <w:pPr>
              <w:ind w:firstLineChars="300" w:firstLine="450"/>
              <w:rPr>
                <w:sz w:val="15"/>
                <w:szCs w:val="15"/>
              </w:rPr>
            </w:pPr>
            <w:r>
              <w:rPr>
                <w:rFonts w:hint="eastAsia"/>
                <w:sz w:val="15"/>
                <w:szCs w:val="15"/>
              </w:rPr>
              <w:t>(1)报废、毁损</w:t>
            </w:r>
          </w:p>
        </w:tc>
        <w:tc>
          <w:tcPr>
            <w:tcW w:w="511" w:type="pct"/>
            <w:shd w:val="clear" w:color="auto" w:fill="auto"/>
            <w:vAlign w:val="center"/>
          </w:tcPr>
          <w:p w14:paraId="086F9805" w14:textId="77777777" w:rsidR="00E57DAA" w:rsidRDefault="00E57DAA">
            <w:pPr>
              <w:jc w:val="right"/>
              <w:rPr>
                <w:sz w:val="15"/>
                <w:szCs w:val="15"/>
              </w:rPr>
            </w:pPr>
          </w:p>
        </w:tc>
        <w:tc>
          <w:tcPr>
            <w:tcW w:w="430" w:type="pct"/>
            <w:shd w:val="clear" w:color="auto" w:fill="auto"/>
            <w:vAlign w:val="center"/>
          </w:tcPr>
          <w:p w14:paraId="3C27A526" w14:textId="77777777" w:rsidR="00E57DAA" w:rsidRDefault="00E57DAA">
            <w:pPr>
              <w:jc w:val="right"/>
              <w:rPr>
                <w:sz w:val="15"/>
                <w:szCs w:val="15"/>
              </w:rPr>
            </w:pPr>
          </w:p>
        </w:tc>
        <w:tc>
          <w:tcPr>
            <w:tcW w:w="457" w:type="pct"/>
            <w:shd w:val="clear" w:color="auto" w:fill="auto"/>
            <w:vAlign w:val="center"/>
          </w:tcPr>
          <w:p w14:paraId="57F77886" w14:textId="77777777" w:rsidR="00E57DAA" w:rsidRDefault="00E57DAA">
            <w:pPr>
              <w:jc w:val="right"/>
              <w:rPr>
                <w:sz w:val="15"/>
                <w:szCs w:val="15"/>
              </w:rPr>
            </w:pPr>
          </w:p>
        </w:tc>
        <w:tc>
          <w:tcPr>
            <w:tcW w:w="457" w:type="pct"/>
            <w:shd w:val="clear" w:color="auto" w:fill="auto"/>
            <w:vAlign w:val="center"/>
          </w:tcPr>
          <w:p w14:paraId="4BD77EBA" w14:textId="77777777" w:rsidR="00E57DAA" w:rsidRDefault="00AC4185">
            <w:pPr>
              <w:jc w:val="right"/>
              <w:rPr>
                <w:sz w:val="15"/>
                <w:szCs w:val="15"/>
              </w:rPr>
            </w:pPr>
            <w:r>
              <w:rPr>
                <w:sz w:val="15"/>
                <w:szCs w:val="15"/>
              </w:rPr>
              <w:t>81,270.00</w:t>
            </w:r>
          </w:p>
        </w:tc>
        <w:tc>
          <w:tcPr>
            <w:tcW w:w="457" w:type="pct"/>
            <w:shd w:val="clear" w:color="auto" w:fill="auto"/>
            <w:vAlign w:val="center"/>
          </w:tcPr>
          <w:p w14:paraId="25257B71" w14:textId="77777777" w:rsidR="00E57DAA" w:rsidRDefault="00AC4185">
            <w:pPr>
              <w:jc w:val="right"/>
              <w:rPr>
                <w:sz w:val="15"/>
                <w:szCs w:val="15"/>
              </w:rPr>
            </w:pPr>
            <w:r>
              <w:rPr>
                <w:sz w:val="15"/>
                <w:szCs w:val="15"/>
              </w:rPr>
              <w:t>1,125,006.75</w:t>
            </w:r>
          </w:p>
        </w:tc>
        <w:tc>
          <w:tcPr>
            <w:tcW w:w="430" w:type="pct"/>
            <w:shd w:val="clear" w:color="auto" w:fill="auto"/>
            <w:vAlign w:val="center"/>
          </w:tcPr>
          <w:p w14:paraId="29FD57AC" w14:textId="77777777" w:rsidR="00E57DAA" w:rsidRDefault="00E57DAA">
            <w:pPr>
              <w:jc w:val="right"/>
              <w:rPr>
                <w:sz w:val="15"/>
                <w:szCs w:val="15"/>
              </w:rPr>
            </w:pPr>
          </w:p>
        </w:tc>
        <w:tc>
          <w:tcPr>
            <w:tcW w:w="430" w:type="pct"/>
            <w:shd w:val="clear" w:color="auto" w:fill="auto"/>
            <w:vAlign w:val="center"/>
          </w:tcPr>
          <w:p w14:paraId="77192F1B" w14:textId="77777777" w:rsidR="00E57DAA" w:rsidRDefault="00E57DAA">
            <w:pPr>
              <w:jc w:val="right"/>
              <w:rPr>
                <w:sz w:val="15"/>
                <w:szCs w:val="15"/>
              </w:rPr>
            </w:pPr>
          </w:p>
        </w:tc>
        <w:tc>
          <w:tcPr>
            <w:tcW w:w="430" w:type="pct"/>
            <w:shd w:val="clear" w:color="auto" w:fill="auto"/>
            <w:vAlign w:val="center"/>
          </w:tcPr>
          <w:p w14:paraId="1C3125E8" w14:textId="77777777" w:rsidR="00E57DAA" w:rsidRDefault="00AC4185">
            <w:pPr>
              <w:jc w:val="right"/>
              <w:rPr>
                <w:sz w:val="15"/>
                <w:szCs w:val="15"/>
              </w:rPr>
            </w:pPr>
            <w:r>
              <w:rPr>
                <w:sz w:val="15"/>
                <w:szCs w:val="15"/>
              </w:rPr>
              <w:t>55,600.00</w:t>
            </w:r>
          </w:p>
        </w:tc>
        <w:tc>
          <w:tcPr>
            <w:tcW w:w="430" w:type="pct"/>
            <w:shd w:val="clear" w:color="auto" w:fill="auto"/>
            <w:vAlign w:val="center"/>
          </w:tcPr>
          <w:p w14:paraId="2487FBF1" w14:textId="77777777" w:rsidR="00E57DAA" w:rsidRDefault="00E57DAA">
            <w:pPr>
              <w:jc w:val="right"/>
              <w:rPr>
                <w:sz w:val="15"/>
                <w:szCs w:val="15"/>
              </w:rPr>
            </w:pPr>
          </w:p>
        </w:tc>
        <w:tc>
          <w:tcPr>
            <w:tcW w:w="511" w:type="pct"/>
            <w:shd w:val="clear" w:color="auto" w:fill="auto"/>
            <w:vAlign w:val="center"/>
          </w:tcPr>
          <w:p w14:paraId="0FD90B0B" w14:textId="77777777" w:rsidR="00E57DAA" w:rsidRDefault="00AC4185">
            <w:pPr>
              <w:jc w:val="right"/>
              <w:rPr>
                <w:sz w:val="15"/>
                <w:szCs w:val="15"/>
              </w:rPr>
            </w:pPr>
            <w:r>
              <w:rPr>
                <w:sz w:val="15"/>
                <w:szCs w:val="15"/>
              </w:rPr>
              <w:t>1,261,876.75</w:t>
            </w:r>
          </w:p>
        </w:tc>
      </w:tr>
      <w:tr w:rsidR="00E57DAA" w14:paraId="4F6C15B2" w14:textId="77777777">
        <w:trPr>
          <w:trHeight w:val="340"/>
        </w:trPr>
        <w:tc>
          <w:tcPr>
            <w:tcW w:w="461" w:type="pct"/>
            <w:shd w:val="clear" w:color="auto" w:fill="auto"/>
            <w:vAlign w:val="center"/>
          </w:tcPr>
          <w:p w14:paraId="76E28B4B" w14:textId="77777777" w:rsidR="00E57DAA" w:rsidRDefault="00AC4185">
            <w:pPr>
              <w:rPr>
                <w:sz w:val="15"/>
                <w:szCs w:val="15"/>
              </w:rPr>
            </w:pPr>
            <w:r>
              <w:rPr>
                <w:sz w:val="15"/>
                <w:szCs w:val="15"/>
              </w:rPr>
              <w:t xml:space="preserve">   4.期末余额</w:t>
            </w:r>
          </w:p>
        </w:tc>
        <w:tc>
          <w:tcPr>
            <w:tcW w:w="511" w:type="pct"/>
            <w:shd w:val="clear" w:color="auto" w:fill="auto"/>
            <w:vAlign w:val="center"/>
          </w:tcPr>
          <w:p w14:paraId="6C06C18B" w14:textId="77777777" w:rsidR="00E57DAA" w:rsidRDefault="00AC4185">
            <w:pPr>
              <w:jc w:val="right"/>
              <w:rPr>
                <w:sz w:val="15"/>
                <w:szCs w:val="15"/>
              </w:rPr>
            </w:pPr>
            <w:r>
              <w:rPr>
                <w:sz w:val="15"/>
                <w:szCs w:val="15"/>
              </w:rPr>
              <w:t>1,037,576,737.24</w:t>
            </w:r>
          </w:p>
        </w:tc>
        <w:tc>
          <w:tcPr>
            <w:tcW w:w="430" w:type="pct"/>
            <w:shd w:val="clear" w:color="auto" w:fill="auto"/>
            <w:vAlign w:val="center"/>
          </w:tcPr>
          <w:p w14:paraId="5A3BD0BB" w14:textId="77777777" w:rsidR="00E57DAA" w:rsidRDefault="00AC4185">
            <w:pPr>
              <w:jc w:val="right"/>
              <w:rPr>
                <w:sz w:val="15"/>
                <w:szCs w:val="15"/>
              </w:rPr>
            </w:pPr>
            <w:r>
              <w:rPr>
                <w:sz w:val="15"/>
                <w:szCs w:val="15"/>
              </w:rPr>
              <w:t>12,420,754.99</w:t>
            </w:r>
          </w:p>
        </w:tc>
        <w:tc>
          <w:tcPr>
            <w:tcW w:w="457" w:type="pct"/>
            <w:shd w:val="clear" w:color="auto" w:fill="auto"/>
            <w:vAlign w:val="center"/>
          </w:tcPr>
          <w:p w14:paraId="43C36AAD" w14:textId="77777777" w:rsidR="00E57DAA" w:rsidRDefault="00AC4185">
            <w:pPr>
              <w:jc w:val="right"/>
              <w:rPr>
                <w:sz w:val="15"/>
                <w:szCs w:val="15"/>
              </w:rPr>
            </w:pPr>
            <w:r>
              <w:rPr>
                <w:sz w:val="15"/>
                <w:szCs w:val="15"/>
              </w:rPr>
              <w:t>115,782,940.46</w:t>
            </w:r>
          </w:p>
        </w:tc>
        <w:tc>
          <w:tcPr>
            <w:tcW w:w="457" w:type="pct"/>
            <w:shd w:val="clear" w:color="auto" w:fill="auto"/>
            <w:vAlign w:val="center"/>
          </w:tcPr>
          <w:p w14:paraId="3AE05965" w14:textId="77777777" w:rsidR="00E57DAA" w:rsidRDefault="00AC4185">
            <w:pPr>
              <w:jc w:val="right"/>
              <w:rPr>
                <w:sz w:val="15"/>
                <w:szCs w:val="15"/>
              </w:rPr>
            </w:pPr>
            <w:r>
              <w:rPr>
                <w:sz w:val="15"/>
                <w:szCs w:val="15"/>
              </w:rPr>
              <w:t>324,037,381.60</w:t>
            </w:r>
          </w:p>
        </w:tc>
        <w:tc>
          <w:tcPr>
            <w:tcW w:w="457" w:type="pct"/>
            <w:shd w:val="clear" w:color="auto" w:fill="auto"/>
            <w:vAlign w:val="center"/>
          </w:tcPr>
          <w:p w14:paraId="4BD25CC5" w14:textId="77777777" w:rsidR="00E57DAA" w:rsidRDefault="00AC4185">
            <w:pPr>
              <w:jc w:val="right"/>
              <w:rPr>
                <w:sz w:val="15"/>
                <w:szCs w:val="15"/>
              </w:rPr>
            </w:pPr>
            <w:r>
              <w:rPr>
                <w:sz w:val="15"/>
                <w:szCs w:val="15"/>
              </w:rPr>
              <w:t>195,653,346.25</w:t>
            </w:r>
          </w:p>
        </w:tc>
        <w:tc>
          <w:tcPr>
            <w:tcW w:w="430" w:type="pct"/>
            <w:shd w:val="clear" w:color="auto" w:fill="auto"/>
            <w:vAlign w:val="center"/>
          </w:tcPr>
          <w:p w14:paraId="603DCCAD" w14:textId="77777777" w:rsidR="00E57DAA" w:rsidRDefault="00AC4185">
            <w:pPr>
              <w:jc w:val="right"/>
              <w:rPr>
                <w:sz w:val="15"/>
                <w:szCs w:val="15"/>
              </w:rPr>
            </w:pPr>
            <w:r>
              <w:rPr>
                <w:sz w:val="15"/>
                <w:szCs w:val="15"/>
              </w:rPr>
              <w:t>35,162,804.60</w:t>
            </w:r>
          </w:p>
        </w:tc>
        <w:tc>
          <w:tcPr>
            <w:tcW w:w="430" w:type="pct"/>
            <w:shd w:val="clear" w:color="auto" w:fill="auto"/>
            <w:vAlign w:val="center"/>
          </w:tcPr>
          <w:p w14:paraId="3DE20441" w14:textId="77777777" w:rsidR="00E57DAA" w:rsidRDefault="00AC4185">
            <w:pPr>
              <w:jc w:val="right"/>
              <w:rPr>
                <w:sz w:val="15"/>
                <w:szCs w:val="15"/>
              </w:rPr>
            </w:pPr>
            <w:r>
              <w:rPr>
                <w:sz w:val="15"/>
                <w:szCs w:val="15"/>
              </w:rPr>
              <w:t>15,898,228.79</w:t>
            </w:r>
          </w:p>
        </w:tc>
        <w:tc>
          <w:tcPr>
            <w:tcW w:w="430" w:type="pct"/>
            <w:shd w:val="clear" w:color="auto" w:fill="auto"/>
            <w:vAlign w:val="center"/>
          </w:tcPr>
          <w:p w14:paraId="22CA11AC" w14:textId="77777777" w:rsidR="00E57DAA" w:rsidRDefault="00AC4185">
            <w:pPr>
              <w:jc w:val="right"/>
              <w:rPr>
                <w:sz w:val="15"/>
                <w:szCs w:val="15"/>
              </w:rPr>
            </w:pPr>
            <w:r>
              <w:rPr>
                <w:sz w:val="15"/>
                <w:szCs w:val="15"/>
              </w:rPr>
              <w:t>67,383,733.45</w:t>
            </w:r>
          </w:p>
        </w:tc>
        <w:tc>
          <w:tcPr>
            <w:tcW w:w="430" w:type="pct"/>
            <w:shd w:val="clear" w:color="auto" w:fill="auto"/>
            <w:vAlign w:val="center"/>
          </w:tcPr>
          <w:p w14:paraId="3D14C814" w14:textId="77777777" w:rsidR="00E57DAA" w:rsidRDefault="00AC4185">
            <w:pPr>
              <w:jc w:val="right"/>
              <w:rPr>
                <w:sz w:val="15"/>
                <w:szCs w:val="15"/>
              </w:rPr>
            </w:pPr>
            <w:r>
              <w:rPr>
                <w:sz w:val="15"/>
                <w:szCs w:val="15"/>
              </w:rPr>
              <w:t>48,379,232.96</w:t>
            </w:r>
          </w:p>
        </w:tc>
        <w:tc>
          <w:tcPr>
            <w:tcW w:w="511" w:type="pct"/>
            <w:shd w:val="clear" w:color="auto" w:fill="auto"/>
            <w:vAlign w:val="center"/>
          </w:tcPr>
          <w:p w14:paraId="614C83E0" w14:textId="77777777" w:rsidR="00E57DAA" w:rsidRDefault="00AC4185">
            <w:pPr>
              <w:jc w:val="right"/>
              <w:rPr>
                <w:sz w:val="15"/>
                <w:szCs w:val="15"/>
              </w:rPr>
            </w:pPr>
            <w:r>
              <w:rPr>
                <w:sz w:val="15"/>
                <w:szCs w:val="15"/>
              </w:rPr>
              <w:t>1,852,295,160.34</w:t>
            </w:r>
          </w:p>
        </w:tc>
      </w:tr>
      <w:tr w:rsidR="00E57DAA" w14:paraId="28D170A2" w14:textId="77777777">
        <w:trPr>
          <w:trHeight w:val="340"/>
        </w:trPr>
        <w:sdt>
          <w:sdtPr>
            <w:rPr>
              <w:sz w:val="15"/>
              <w:szCs w:val="15"/>
            </w:rPr>
            <w:tag w:val="_PLD_31b6b6971eff48bf893163f2b1779469"/>
            <w:id w:val="-119844728"/>
          </w:sdtPr>
          <w:sdtEndPr/>
          <w:sdtContent>
            <w:tc>
              <w:tcPr>
                <w:tcW w:w="5000" w:type="pct"/>
                <w:gridSpan w:val="11"/>
                <w:shd w:val="clear" w:color="auto" w:fill="auto"/>
                <w:vAlign w:val="center"/>
              </w:tcPr>
              <w:p w14:paraId="00892808" w14:textId="77777777" w:rsidR="00E57DAA" w:rsidRDefault="00AC4185">
                <w:pPr>
                  <w:rPr>
                    <w:sz w:val="15"/>
                    <w:szCs w:val="15"/>
                  </w:rPr>
                </w:pPr>
                <w:r>
                  <w:rPr>
                    <w:sz w:val="15"/>
                    <w:szCs w:val="15"/>
                  </w:rPr>
                  <w:t>二、累计</w:t>
                </w:r>
                <w:r>
                  <w:rPr>
                    <w:rFonts w:hint="eastAsia"/>
                    <w:sz w:val="15"/>
                    <w:szCs w:val="15"/>
                  </w:rPr>
                  <w:t>摊销</w:t>
                </w:r>
              </w:p>
            </w:tc>
          </w:sdtContent>
        </w:sdt>
      </w:tr>
      <w:tr w:rsidR="00E57DAA" w14:paraId="1A07D1CA" w14:textId="77777777">
        <w:trPr>
          <w:trHeight w:val="340"/>
        </w:trPr>
        <w:tc>
          <w:tcPr>
            <w:tcW w:w="461" w:type="pct"/>
            <w:shd w:val="clear" w:color="auto" w:fill="auto"/>
            <w:vAlign w:val="center"/>
          </w:tcPr>
          <w:p w14:paraId="05DAB366" w14:textId="77777777" w:rsidR="00E57DAA" w:rsidRDefault="00AC4185">
            <w:pPr>
              <w:ind w:firstLineChars="200" w:firstLine="300"/>
              <w:rPr>
                <w:sz w:val="15"/>
                <w:szCs w:val="15"/>
              </w:rPr>
            </w:pPr>
            <w:r>
              <w:rPr>
                <w:rFonts w:hint="eastAsia"/>
                <w:sz w:val="15"/>
                <w:szCs w:val="15"/>
              </w:rPr>
              <w:t>1.期</w:t>
            </w:r>
            <w:r>
              <w:rPr>
                <w:sz w:val="15"/>
                <w:szCs w:val="15"/>
              </w:rPr>
              <w:t>初余额</w:t>
            </w:r>
          </w:p>
        </w:tc>
        <w:tc>
          <w:tcPr>
            <w:tcW w:w="511" w:type="pct"/>
            <w:shd w:val="clear" w:color="auto" w:fill="auto"/>
            <w:vAlign w:val="center"/>
          </w:tcPr>
          <w:p w14:paraId="3221060B" w14:textId="77777777" w:rsidR="00E57DAA" w:rsidRDefault="00AC4185">
            <w:pPr>
              <w:jc w:val="right"/>
              <w:rPr>
                <w:sz w:val="15"/>
                <w:szCs w:val="15"/>
              </w:rPr>
            </w:pPr>
            <w:r>
              <w:rPr>
                <w:sz w:val="15"/>
                <w:szCs w:val="15"/>
              </w:rPr>
              <w:t>175,488,711.20</w:t>
            </w:r>
          </w:p>
        </w:tc>
        <w:tc>
          <w:tcPr>
            <w:tcW w:w="430" w:type="pct"/>
            <w:shd w:val="clear" w:color="auto" w:fill="auto"/>
            <w:vAlign w:val="center"/>
          </w:tcPr>
          <w:p w14:paraId="37F195BF" w14:textId="77777777" w:rsidR="00E57DAA" w:rsidRDefault="00AC4185">
            <w:pPr>
              <w:jc w:val="right"/>
              <w:rPr>
                <w:sz w:val="15"/>
                <w:szCs w:val="15"/>
              </w:rPr>
            </w:pPr>
            <w:r>
              <w:rPr>
                <w:sz w:val="15"/>
                <w:szCs w:val="15"/>
              </w:rPr>
              <w:t>6,973,648.26</w:t>
            </w:r>
          </w:p>
        </w:tc>
        <w:tc>
          <w:tcPr>
            <w:tcW w:w="457" w:type="pct"/>
            <w:shd w:val="clear" w:color="auto" w:fill="auto"/>
            <w:vAlign w:val="center"/>
          </w:tcPr>
          <w:p w14:paraId="4A0A95FE" w14:textId="77777777" w:rsidR="00E57DAA" w:rsidRDefault="00AC4185">
            <w:pPr>
              <w:jc w:val="right"/>
              <w:rPr>
                <w:sz w:val="15"/>
                <w:szCs w:val="15"/>
              </w:rPr>
            </w:pPr>
            <w:r>
              <w:rPr>
                <w:sz w:val="15"/>
                <w:szCs w:val="15"/>
              </w:rPr>
              <w:t>70,513,852.54</w:t>
            </w:r>
          </w:p>
        </w:tc>
        <w:tc>
          <w:tcPr>
            <w:tcW w:w="457" w:type="pct"/>
            <w:shd w:val="clear" w:color="auto" w:fill="auto"/>
            <w:vAlign w:val="center"/>
          </w:tcPr>
          <w:p w14:paraId="13290C17" w14:textId="77777777" w:rsidR="00E57DAA" w:rsidRDefault="00AC4185">
            <w:pPr>
              <w:jc w:val="right"/>
              <w:rPr>
                <w:sz w:val="15"/>
                <w:szCs w:val="15"/>
              </w:rPr>
            </w:pPr>
            <w:r>
              <w:rPr>
                <w:sz w:val="15"/>
                <w:szCs w:val="15"/>
              </w:rPr>
              <w:t>191,352,026.55</w:t>
            </w:r>
          </w:p>
        </w:tc>
        <w:tc>
          <w:tcPr>
            <w:tcW w:w="457" w:type="pct"/>
            <w:shd w:val="clear" w:color="auto" w:fill="auto"/>
            <w:vAlign w:val="center"/>
          </w:tcPr>
          <w:p w14:paraId="28C18787" w14:textId="77777777" w:rsidR="00E57DAA" w:rsidRDefault="00AC4185">
            <w:pPr>
              <w:jc w:val="right"/>
              <w:rPr>
                <w:sz w:val="15"/>
                <w:szCs w:val="15"/>
              </w:rPr>
            </w:pPr>
            <w:r>
              <w:rPr>
                <w:sz w:val="15"/>
                <w:szCs w:val="15"/>
              </w:rPr>
              <w:t>119,363,145.07</w:t>
            </w:r>
          </w:p>
        </w:tc>
        <w:tc>
          <w:tcPr>
            <w:tcW w:w="430" w:type="pct"/>
            <w:shd w:val="clear" w:color="auto" w:fill="auto"/>
            <w:vAlign w:val="center"/>
          </w:tcPr>
          <w:p w14:paraId="23791039" w14:textId="77777777" w:rsidR="00E57DAA" w:rsidRDefault="00AC4185">
            <w:pPr>
              <w:jc w:val="right"/>
              <w:rPr>
                <w:sz w:val="15"/>
                <w:szCs w:val="15"/>
              </w:rPr>
            </w:pPr>
            <w:r>
              <w:rPr>
                <w:sz w:val="15"/>
                <w:szCs w:val="15"/>
              </w:rPr>
              <w:t>35,162,804.60</w:t>
            </w:r>
          </w:p>
        </w:tc>
        <w:tc>
          <w:tcPr>
            <w:tcW w:w="430" w:type="pct"/>
            <w:shd w:val="clear" w:color="auto" w:fill="auto"/>
            <w:vAlign w:val="center"/>
          </w:tcPr>
          <w:p w14:paraId="76702DCD" w14:textId="77777777" w:rsidR="00E57DAA" w:rsidRDefault="00AC4185">
            <w:pPr>
              <w:jc w:val="right"/>
              <w:rPr>
                <w:sz w:val="15"/>
                <w:szCs w:val="15"/>
              </w:rPr>
            </w:pPr>
            <w:r>
              <w:rPr>
                <w:sz w:val="15"/>
                <w:szCs w:val="15"/>
              </w:rPr>
              <w:t>14,259,297.65</w:t>
            </w:r>
          </w:p>
        </w:tc>
        <w:tc>
          <w:tcPr>
            <w:tcW w:w="430" w:type="pct"/>
            <w:shd w:val="clear" w:color="auto" w:fill="auto"/>
            <w:vAlign w:val="center"/>
          </w:tcPr>
          <w:p w14:paraId="4899FC2C" w14:textId="77777777" w:rsidR="00E57DAA" w:rsidRDefault="00AC4185">
            <w:pPr>
              <w:jc w:val="right"/>
              <w:rPr>
                <w:sz w:val="15"/>
                <w:szCs w:val="15"/>
              </w:rPr>
            </w:pPr>
            <w:r>
              <w:rPr>
                <w:sz w:val="15"/>
                <w:szCs w:val="15"/>
              </w:rPr>
              <w:t>12,777,314.78</w:t>
            </w:r>
          </w:p>
        </w:tc>
        <w:tc>
          <w:tcPr>
            <w:tcW w:w="430" w:type="pct"/>
            <w:shd w:val="clear" w:color="auto" w:fill="auto"/>
            <w:vAlign w:val="center"/>
          </w:tcPr>
          <w:p w14:paraId="566BF0A3" w14:textId="77777777" w:rsidR="00E57DAA" w:rsidRDefault="00AC4185">
            <w:pPr>
              <w:jc w:val="right"/>
              <w:rPr>
                <w:sz w:val="15"/>
                <w:szCs w:val="15"/>
              </w:rPr>
            </w:pPr>
            <w:r>
              <w:rPr>
                <w:sz w:val="15"/>
                <w:szCs w:val="15"/>
              </w:rPr>
              <w:t>23,513,163.49</w:t>
            </w:r>
          </w:p>
        </w:tc>
        <w:tc>
          <w:tcPr>
            <w:tcW w:w="511" w:type="pct"/>
            <w:shd w:val="clear" w:color="auto" w:fill="auto"/>
            <w:vAlign w:val="center"/>
          </w:tcPr>
          <w:p w14:paraId="05FB7017" w14:textId="77777777" w:rsidR="00E57DAA" w:rsidRDefault="00AC4185">
            <w:pPr>
              <w:jc w:val="right"/>
              <w:rPr>
                <w:sz w:val="15"/>
                <w:szCs w:val="15"/>
              </w:rPr>
            </w:pPr>
            <w:r>
              <w:rPr>
                <w:sz w:val="15"/>
                <w:szCs w:val="15"/>
              </w:rPr>
              <w:t>649,403,964.14</w:t>
            </w:r>
          </w:p>
        </w:tc>
      </w:tr>
      <w:tr w:rsidR="00E57DAA" w14:paraId="3CD34411" w14:textId="77777777">
        <w:trPr>
          <w:trHeight w:val="340"/>
        </w:trPr>
        <w:tc>
          <w:tcPr>
            <w:tcW w:w="461" w:type="pct"/>
            <w:shd w:val="clear" w:color="auto" w:fill="auto"/>
            <w:vAlign w:val="center"/>
          </w:tcPr>
          <w:p w14:paraId="3907E509" w14:textId="77777777" w:rsidR="00E57DAA" w:rsidRDefault="00AC4185">
            <w:pPr>
              <w:ind w:firstLineChars="200" w:firstLine="300"/>
              <w:rPr>
                <w:sz w:val="15"/>
                <w:szCs w:val="15"/>
              </w:rPr>
            </w:pPr>
            <w:r>
              <w:rPr>
                <w:sz w:val="15"/>
                <w:szCs w:val="15"/>
              </w:rPr>
              <w:lastRenderedPageBreak/>
              <w:t>2.本期增加</w:t>
            </w:r>
            <w:r>
              <w:rPr>
                <w:rFonts w:hint="eastAsia"/>
                <w:sz w:val="15"/>
                <w:szCs w:val="15"/>
              </w:rPr>
              <w:t>金额</w:t>
            </w:r>
          </w:p>
        </w:tc>
        <w:tc>
          <w:tcPr>
            <w:tcW w:w="511" w:type="pct"/>
            <w:shd w:val="clear" w:color="auto" w:fill="auto"/>
            <w:vAlign w:val="center"/>
          </w:tcPr>
          <w:p w14:paraId="7EEA5C03" w14:textId="77777777" w:rsidR="00E57DAA" w:rsidRDefault="00AC4185">
            <w:pPr>
              <w:jc w:val="right"/>
              <w:rPr>
                <w:sz w:val="15"/>
                <w:szCs w:val="15"/>
              </w:rPr>
            </w:pPr>
            <w:r>
              <w:rPr>
                <w:sz w:val="15"/>
                <w:szCs w:val="15"/>
              </w:rPr>
              <w:t>31,643,392.76</w:t>
            </w:r>
          </w:p>
        </w:tc>
        <w:tc>
          <w:tcPr>
            <w:tcW w:w="430" w:type="pct"/>
            <w:shd w:val="clear" w:color="auto" w:fill="auto"/>
            <w:vAlign w:val="center"/>
          </w:tcPr>
          <w:p w14:paraId="7FD8E5CF" w14:textId="77777777" w:rsidR="00E57DAA" w:rsidRDefault="00AC4185">
            <w:pPr>
              <w:jc w:val="right"/>
              <w:rPr>
                <w:sz w:val="15"/>
                <w:szCs w:val="15"/>
              </w:rPr>
            </w:pPr>
            <w:r>
              <w:rPr>
                <w:sz w:val="15"/>
                <w:szCs w:val="15"/>
              </w:rPr>
              <w:t>1,062,799.24</w:t>
            </w:r>
          </w:p>
        </w:tc>
        <w:tc>
          <w:tcPr>
            <w:tcW w:w="457" w:type="pct"/>
            <w:shd w:val="clear" w:color="auto" w:fill="auto"/>
            <w:vAlign w:val="center"/>
          </w:tcPr>
          <w:p w14:paraId="3EF526D1" w14:textId="77777777" w:rsidR="00E57DAA" w:rsidRDefault="00AC4185">
            <w:pPr>
              <w:jc w:val="right"/>
              <w:rPr>
                <w:sz w:val="15"/>
                <w:szCs w:val="15"/>
              </w:rPr>
            </w:pPr>
            <w:r>
              <w:rPr>
                <w:sz w:val="15"/>
                <w:szCs w:val="15"/>
              </w:rPr>
              <w:t>5,424,550.11</w:t>
            </w:r>
          </w:p>
        </w:tc>
        <w:tc>
          <w:tcPr>
            <w:tcW w:w="457" w:type="pct"/>
            <w:shd w:val="clear" w:color="auto" w:fill="auto"/>
            <w:vAlign w:val="center"/>
          </w:tcPr>
          <w:p w14:paraId="5DDEFA10" w14:textId="77777777" w:rsidR="00E57DAA" w:rsidRDefault="00AC4185">
            <w:pPr>
              <w:jc w:val="right"/>
              <w:rPr>
                <w:sz w:val="15"/>
                <w:szCs w:val="15"/>
              </w:rPr>
            </w:pPr>
            <w:r>
              <w:rPr>
                <w:sz w:val="15"/>
                <w:szCs w:val="15"/>
              </w:rPr>
              <w:t>25,681,340.48</w:t>
            </w:r>
          </w:p>
        </w:tc>
        <w:tc>
          <w:tcPr>
            <w:tcW w:w="457" w:type="pct"/>
            <w:shd w:val="clear" w:color="auto" w:fill="auto"/>
            <w:vAlign w:val="center"/>
          </w:tcPr>
          <w:p w14:paraId="4E2C255B" w14:textId="77777777" w:rsidR="00E57DAA" w:rsidRDefault="00AC4185">
            <w:pPr>
              <w:jc w:val="right"/>
              <w:rPr>
                <w:sz w:val="15"/>
                <w:szCs w:val="15"/>
              </w:rPr>
            </w:pPr>
            <w:r>
              <w:rPr>
                <w:sz w:val="15"/>
                <w:szCs w:val="15"/>
              </w:rPr>
              <w:t>19,929,914.12</w:t>
            </w:r>
          </w:p>
        </w:tc>
        <w:tc>
          <w:tcPr>
            <w:tcW w:w="430" w:type="pct"/>
            <w:shd w:val="clear" w:color="auto" w:fill="auto"/>
            <w:vAlign w:val="center"/>
          </w:tcPr>
          <w:p w14:paraId="0EA20355" w14:textId="77777777" w:rsidR="00E57DAA" w:rsidRDefault="00E57DAA">
            <w:pPr>
              <w:jc w:val="right"/>
              <w:rPr>
                <w:sz w:val="15"/>
                <w:szCs w:val="15"/>
              </w:rPr>
            </w:pPr>
          </w:p>
        </w:tc>
        <w:tc>
          <w:tcPr>
            <w:tcW w:w="430" w:type="pct"/>
            <w:shd w:val="clear" w:color="auto" w:fill="auto"/>
            <w:vAlign w:val="center"/>
          </w:tcPr>
          <w:p w14:paraId="78667D3C" w14:textId="77777777" w:rsidR="00E57DAA" w:rsidRDefault="00AC4185">
            <w:pPr>
              <w:jc w:val="right"/>
              <w:rPr>
                <w:sz w:val="15"/>
                <w:szCs w:val="15"/>
              </w:rPr>
            </w:pPr>
            <w:r>
              <w:rPr>
                <w:sz w:val="15"/>
                <w:szCs w:val="15"/>
              </w:rPr>
              <w:t>1,638,931.14</w:t>
            </w:r>
          </w:p>
        </w:tc>
        <w:tc>
          <w:tcPr>
            <w:tcW w:w="430" w:type="pct"/>
            <w:shd w:val="clear" w:color="auto" w:fill="auto"/>
            <w:vAlign w:val="center"/>
          </w:tcPr>
          <w:p w14:paraId="0EDF7131" w14:textId="77777777" w:rsidR="00E57DAA" w:rsidRDefault="00AC4185">
            <w:pPr>
              <w:jc w:val="right"/>
              <w:rPr>
                <w:sz w:val="15"/>
                <w:szCs w:val="15"/>
              </w:rPr>
            </w:pPr>
            <w:r>
              <w:rPr>
                <w:sz w:val="15"/>
                <w:szCs w:val="15"/>
              </w:rPr>
              <w:t>5,697,422.22</w:t>
            </w:r>
          </w:p>
        </w:tc>
        <w:tc>
          <w:tcPr>
            <w:tcW w:w="430" w:type="pct"/>
            <w:shd w:val="clear" w:color="auto" w:fill="auto"/>
            <w:vAlign w:val="center"/>
          </w:tcPr>
          <w:p w14:paraId="2D062B29" w14:textId="77777777" w:rsidR="00E57DAA" w:rsidRDefault="00AC4185">
            <w:pPr>
              <w:jc w:val="right"/>
              <w:rPr>
                <w:sz w:val="15"/>
                <w:szCs w:val="15"/>
              </w:rPr>
            </w:pPr>
            <w:r>
              <w:rPr>
                <w:sz w:val="15"/>
                <w:szCs w:val="15"/>
              </w:rPr>
              <w:t>4,609,938.61</w:t>
            </w:r>
          </w:p>
        </w:tc>
        <w:tc>
          <w:tcPr>
            <w:tcW w:w="511" w:type="pct"/>
            <w:shd w:val="clear" w:color="auto" w:fill="auto"/>
            <w:vAlign w:val="center"/>
          </w:tcPr>
          <w:p w14:paraId="60B28CDF" w14:textId="77777777" w:rsidR="00E57DAA" w:rsidRDefault="00AC4185">
            <w:pPr>
              <w:jc w:val="right"/>
              <w:rPr>
                <w:sz w:val="15"/>
                <w:szCs w:val="15"/>
              </w:rPr>
            </w:pPr>
            <w:r>
              <w:rPr>
                <w:sz w:val="15"/>
                <w:szCs w:val="15"/>
              </w:rPr>
              <w:t>95,688,288.68</w:t>
            </w:r>
          </w:p>
        </w:tc>
      </w:tr>
      <w:tr w:rsidR="00E57DAA" w14:paraId="12129CA1" w14:textId="77777777">
        <w:trPr>
          <w:trHeight w:val="340"/>
        </w:trPr>
        <w:tc>
          <w:tcPr>
            <w:tcW w:w="461" w:type="pct"/>
            <w:shd w:val="clear" w:color="auto" w:fill="auto"/>
            <w:vAlign w:val="center"/>
          </w:tcPr>
          <w:p w14:paraId="0FE72016" w14:textId="77777777" w:rsidR="00E57DAA" w:rsidRDefault="00AC4185">
            <w:pPr>
              <w:ind w:firstLineChars="300" w:firstLine="450"/>
              <w:rPr>
                <w:sz w:val="15"/>
                <w:szCs w:val="15"/>
              </w:rPr>
            </w:pPr>
            <w:r>
              <w:rPr>
                <w:rFonts w:hint="eastAsia"/>
                <w:sz w:val="15"/>
                <w:szCs w:val="15"/>
              </w:rPr>
              <w:t>（1）</w:t>
            </w:r>
            <w:r>
              <w:rPr>
                <w:sz w:val="15"/>
                <w:szCs w:val="15"/>
              </w:rPr>
              <w:t>计提</w:t>
            </w:r>
          </w:p>
        </w:tc>
        <w:tc>
          <w:tcPr>
            <w:tcW w:w="511" w:type="pct"/>
            <w:shd w:val="clear" w:color="auto" w:fill="auto"/>
            <w:vAlign w:val="center"/>
          </w:tcPr>
          <w:p w14:paraId="30C6B2A7" w14:textId="77777777" w:rsidR="00E57DAA" w:rsidRDefault="00AC4185">
            <w:pPr>
              <w:jc w:val="right"/>
              <w:rPr>
                <w:sz w:val="15"/>
                <w:szCs w:val="15"/>
              </w:rPr>
            </w:pPr>
            <w:r>
              <w:rPr>
                <w:sz w:val="15"/>
                <w:szCs w:val="15"/>
              </w:rPr>
              <w:t>31,550,231.95</w:t>
            </w:r>
          </w:p>
        </w:tc>
        <w:tc>
          <w:tcPr>
            <w:tcW w:w="430" w:type="pct"/>
            <w:shd w:val="clear" w:color="auto" w:fill="auto"/>
            <w:vAlign w:val="center"/>
          </w:tcPr>
          <w:p w14:paraId="51C06F28" w14:textId="77777777" w:rsidR="00E57DAA" w:rsidRDefault="00AC4185">
            <w:pPr>
              <w:jc w:val="right"/>
              <w:rPr>
                <w:sz w:val="15"/>
                <w:szCs w:val="15"/>
              </w:rPr>
            </w:pPr>
            <w:r>
              <w:rPr>
                <w:sz w:val="15"/>
                <w:szCs w:val="15"/>
              </w:rPr>
              <w:t>1,062,799.24</w:t>
            </w:r>
          </w:p>
        </w:tc>
        <w:tc>
          <w:tcPr>
            <w:tcW w:w="457" w:type="pct"/>
            <w:shd w:val="clear" w:color="auto" w:fill="auto"/>
            <w:vAlign w:val="center"/>
          </w:tcPr>
          <w:p w14:paraId="5E753E1A" w14:textId="77777777" w:rsidR="00E57DAA" w:rsidRDefault="00AC4185">
            <w:pPr>
              <w:jc w:val="right"/>
              <w:rPr>
                <w:sz w:val="15"/>
                <w:szCs w:val="15"/>
              </w:rPr>
            </w:pPr>
            <w:r>
              <w:rPr>
                <w:sz w:val="15"/>
                <w:szCs w:val="15"/>
              </w:rPr>
              <w:t>5,424,550.11</w:t>
            </w:r>
          </w:p>
        </w:tc>
        <w:tc>
          <w:tcPr>
            <w:tcW w:w="457" w:type="pct"/>
            <w:shd w:val="clear" w:color="auto" w:fill="auto"/>
            <w:vAlign w:val="center"/>
          </w:tcPr>
          <w:p w14:paraId="52DC4CDA" w14:textId="77777777" w:rsidR="00E57DAA" w:rsidRDefault="00AC4185">
            <w:pPr>
              <w:jc w:val="right"/>
              <w:rPr>
                <w:sz w:val="15"/>
                <w:szCs w:val="15"/>
              </w:rPr>
            </w:pPr>
            <w:r>
              <w:rPr>
                <w:sz w:val="15"/>
                <w:szCs w:val="15"/>
              </w:rPr>
              <w:t>16,596,127.97</w:t>
            </w:r>
          </w:p>
        </w:tc>
        <w:tc>
          <w:tcPr>
            <w:tcW w:w="457" w:type="pct"/>
            <w:shd w:val="clear" w:color="auto" w:fill="auto"/>
            <w:vAlign w:val="center"/>
          </w:tcPr>
          <w:p w14:paraId="687D2621" w14:textId="77777777" w:rsidR="00E57DAA" w:rsidRDefault="00AC4185">
            <w:pPr>
              <w:jc w:val="right"/>
              <w:rPr>
                <w:sz w:val="15"/>
                <w:szCs w:val="15"/>
              </w:rPr>
            </w:pPr>
            <w:r>
              <w:rPr>
                <w:sz w:val="15"/>
                <w:szCs w:val="15"/>
              </w:rPr>
              <w:t>18,306,122.71</w:t>
            </w:r>
          </w:p>
        </w:tc>
        <w:tc>
          <w:tcPr>
            <w:tcW w:w="430" w:type="pct"/>
            <w:shd w:val="clear" w:color="auto" w:fill="auto"/>
            <w:vAlign w:val="center"/>
          </w:tcPr>
          <w:p w14:paraId="242C9F26" w14:textId="77777777" w:rsidR="00E57DAA" w:rsidRDefault="00E57DAA">
            <w:pPr>
              <w:jc w:val="right"/>
              <w:rPr>
                <w:sz w:val="15"/>
                <w:szCs w:val="15"/>
              </w:rPr>
            </w:pPr>
          </w:p>
        </w:tc>
        <w:tc>
          <w:tcPr>
            <w:tcW w:w="430" w:type="pct"/>
            <w:shd w:val="clear" w:color="auto" w:fill="auto"/>
            <w:vAlign w:val="center"/>
          </w:tcPr>
          <w:p w14:paraId="5EE24281" w14:textId="77777777" w:rsidR="00E57DAA" w:rsidRDefault="00AC4185">
            <w:pPr>
              <w:jc w:val="right"/>
              <w:rPr>
                <w:sz w:val="15"/>
                <w:szCs w:val="15"/>
              </w:rPr>
            </w:pPr>
            <w:r>
              <w:rPr>
                <w:sz w:val="15"/>
                <w:szCs w:val="15"/>
              </w:rPr>
              <w:t>1,046,953.96</w:t>
            </w:r>
          </w:p>
        </w:tc>
        <w:tc>
          <w:tcPr>
            <w:tcW w:w="430" w:type="pct"/>
            <w:shd w:val="clear" w:color="auto" w:fill="auto"/>
            <w:vAlign w:val="center"/>
          </w:tcPr>
          <w:p w14:paraId="291E3691" w14:textId="77777777" w:rsidR="00E57DAA" w:rsidRDefault="00AC4185">
            <w:pPr>
              <w:jc w:val="right"/>
              <w:rPr>
                <w:sz w:val="15"/>
                <w:szCs w:val="15"/>
              </w:rPr>
            </w:pPr>
            <w:r>
              <w:rPr>
                <w:sz w:val="15"/>
                <w:szCs w:val="15"/>
              </w:rPr>
              <w:t>4,747,217.28</w:t>
            </w:r>
          </w:p>
        </w:tc>
        <w:tc>
          <w:tcPr>
            <w:tcW w:w="430" w:type="pct"/>
            <w:shd w:val="clear" w:color="auto" w:fill="auto"/>
            <w:vAlign w:val="center"/>
          </w:tcPr>
          <w:p w14:paraId="07201B24" w14:textId="77777777" w:rsidR="00E57DAA" w:rsidRDefault="00AC4185">
            <w:pPr>
              <w:jc w:val="right"/>
              <w:rPr>
                <w:sz w:val="15"/>
                <w:szCs w:val="15"/>
              </w:rPr>
            </w:pPr>
            <w:r>
              <w:rPr>
                <w:sz w:val="15"/>
                <w:szCs w:val="15"/>
              </w:rPr>
              <w:t>3,316,058.43</w:t>
            </w:r>
          </w:p>
        </w:tc>
        <w:tc>
          <w:tcPr>
            <w:tcW w:w="511" w:type="pct"/>
            <w:shd w:val="clear" w:color="auto" w:fill="auto"/>
            <w:vAlign w:val="center"/>
          </w:tcPr>
          <w:p w14:paraId="75BDEBF9" w14:textId="77777777" w:rsidR="00E57DAA" w:rsidRDefault="00AC4185">
            <w:pPr>
              <w:jc w:val="right"/>
              <w:rPr>
                <w:sz w:val="15"/>
                <w:szCs w:val="15"/>
              </w:rPr>
            </w:pPr>
            <w:r>
              <w:rPr>
                <w:sz w:val="15"/>
                <w:szCs w:val="15"/>
              </w:rPr>
              <w:t>82,050,061.65</w:t>
            </w:r>
          </w:p>
        </w:tc>
      </w:tr>
      <w:tr w:rsidR="00E57DAA" w14:paraId="62570D59" w14:textId="77777777">
        <w:trPr>
          <w:trHeight w:val="146"/>
        </w:trPr>
        <w:tc>
          <w:tcPr>
            <w:tcW w:w="461" w:type="pct"/>
            <w:shd w:val="clear" w:color="auto" w:fill="auto"/>
          </w:tcPr>
          <w:p w14:paraId="6F0F98FD" w14:textId="77777777" w:rsidR="00E57DAA" w:rsidRDefault="00AC4185">
            <w:pPr>
              <w:ind w:firstLineChars="300" w:firstLine="450"/>
              <w:rPr>
                <w:sz w:val="15"/>
                <w:szCs w:val="15"/>
              </w:rPr>
            </w:pPr>
            <w:r>
              <w:rPr>
                <w:rFonts w:hint="eastAsia"/>
                <w:sz w:val="15"/>
                <w:szCs w:val="15"/>
              </w:rPr>
              <w:t>（2）非同一控制下企业合并</w:t>
            </w:r>
          </w:p>
        </w:tc>
        <w:tc>
          <w:tcPr>
            <w:tcW w:w="511" w:type="pct"/>
            <w:shd w:val="clear" w:color="auto" w:fill="auto"/>
            <w:vAlign w:val="center"/>
          </w:tcPr>
          <w:p w14:paraId="446D0D35" w14:textId="77777777" w:rsidR="00E57DAA" w:rsidRDefault="00AC4185">
            <w:pPr>
              <w:jc w:val="right"/>
              <w:rPr>
                <w:sz w:val="15"/>
                <w:szCs w:val="15"/>
              </w:rPr>
            </w:pPr>
            <w:r>
              <w:rPr>
                <w:sz w:val="15"/>
                <w:szCs w:val="15"/>
              </w:rPr>
              <w:t>192,945.81</w:t>
            </w:r>
          </w:p>
        </w:tc>
        <w:tc>
          <w:tcPr>
            <w:tcW w:w="430" w:type="pct"/>
            <w:shd w:val="clear" w:color="auto" w:fill="auto"/>
            <w:vAlign w:val="center"/>
          </w:tcPr>
          <w:p w14:paraId="26A0884A" w14:textId="77777777" w:rsidR="00E57DAA" w:rsidRDefault="00E57DAA">
            <w:pPr>
              <w:jc w:val="right"/>
              <w:rPr>
                <w:sz w:val="15"/>
                <w:szCs w:val="15"/>
              </w:rPr>
            </w:pPr>
          </w:p>
        </w:tc>
        <w:tc>
          <w:tcPr>
            <w:tcW w:w="457" w:type="pct"/>
            <w:shd w:val="clear" w:color="auto" w:fill="auto"/>
            <w:vAlign w:val="center"/>
          </w:tcPr>
          <w:p w14:paraId="77995725" w14:textId="77777777" w:rsidR="00E57DAA" w:rsidRDefault="00E57DAA">
            <w:pPr>
              <w:jc w:val="right"/>
              <w:rPr>
                <w:sz w:val="15"/>
                <w:szCs w:val="15"/>
              </w:rPr>
            </w:pPr>
          </w:p>
        </w:tc>
        <w:tc>
          <w:tcPr>
            <w:tcW w:w="457" w:type="pct"/>
            <w:shd w:val="clear" w:color="auto" w:fill="auto"/>
            <w:vAlign w:val="center"/>
          </w:tcPr>
          <w:p w14:paraId="50B12598" w14:textId="77777777" w:rsidR="00E57DAA" w:rsidRDefault="00E57DAA">
            <w:pPr>
              <w:jc w:val="right"/>
              <w:rPr>
                <w:sz w:val="15"/>
                <w:szCs w:val="15"/>
              </w:rPr>
            </w:pPr>
          </w:p>
        </w:tc>
        <w:tc>
          <w:tcPr>
            <w:tcW w:w="457" w:type="pct"/>
            <w:shd w:val="clear" w:color="auto" w:fill="auto"/>
            <w:vAlign w:val="center"/>
          </w:tcPr>
          <w:p w14:paraId="36FC1B80" w14:textId="77777777" w:rsidR="00E57DAA" w:rsidRDefault="00AC4185">
            <w:pPr>
              <w:jc w:val="right"/>
              <w:rPr>
                <w:sz w:val="15"/>
                <w:szCs w:val="15"/>
              </w:rPr>
            </w:pPr>
            <w:r>
              <w:rPr>
                <w:sz w:val="15"/>
                <w:szCs w:val="15"/>
              </w:rPr>
              <w:t>188,341.94</w:t>
            </w:r>
          </w:p>
        </w:tc>
        <w:tc>
          <w:tcPr>
            <w:tcW w:w="430" w:type="pct"/>
            <w:shd w:val="clear" w:color="auto" w:fill="auto"/>
            <w:vAlign w:val="center"/>
          </w:tcPr>
          <w:p w14:paraId="00B7CAD5" w14:textId="77777777" w:rsidR="00E57DAA" w:rsidRDefault="00E57DAA">
            <w:pPr>
              <w:jc w:val="right"/>
              <w:rPr>
                <w:sz w:val="15"/>
                <w:szCs w:val="15"/>
              </w:rPr>
            </w:pPr>
          </w:p>
        </w:tc>
        <w:tc>
          <w:tcPr>
            <w:tcW w:w="430" w:type="pct"/>
            <w:shd w:val="clear" w:color="auto" w:fill="auto"/>
            <w:vAlign w:val="center"/>
          </w:tcPr>
          <w:p w14:paraId="25ECEBE0" w14:textId="77777777" w:rsidR="00E57DAA" w:rsidRDefault="00E57DAA">
            <w:pPr>
              <w:jc w:val="right"/>
              <w:rPr>
                <w:sz w:val="15"/>
                <w:szCs w:val="15"/>
              </w:rPr>
            </w:pPr>
          </w:p>
        </w:tc>
        <w:tc>
          <w:tcPr>
            <w:tcW w:w="430" w:type="pct"/>
            <w:shd w:val="clear" w:color="auto" w:fill="auto"/>
            <w:vAlign w:val="center"/>
          </w:tcPr>
          <w:p w14:paraId="0D21C772" w14:textId="77777777" w:rsidR="00E57DAA" w:rsidRDefault="00E57DAA">
            <w:pPr>
              <w:jc w:val="right"/>
              <w:rPr>
                <w:sz w:val="15"/>
                <w:szCs w:val="15"/>
              </w:rPr>
            </w:pPr>
          </w:p>
        </w:tc>
        <w:tc>
          <w:tcPr>
            <w:tcW w:w="430" w:type="pct"/>
            <w:shd w:val="clear" w:color="auto" w:fill="auto"/>
            <w:vAlign w:val="center"/>
          </w:tcPr>
          <w:p w14:paraId="63ED21F0" w14:textId="77777777" w:rsidR="00E57DAA" w:rsidRDefault="00E57DAA">
            <w:pPr>
              <w:jc w:val="right"/>
              <w:rPr>
                <w:sz w:val="15"/>
                <w:szCs w:val="15"/>
              </w:rPr>
            </w:pPr>
          </w:p>
        </w:tc>
        <w:tc>
          <w:tcPr>
            <w:tcW w:w="511" w:type="pct"/>
            <w:shd w:val="clear" w:color="auto" w:fill="auto"/>
            <w:vAlign w:val="center"/>
          </w:tcPr>
          <w:p w14:paraId="1B3BDB41" w14:textId="77777777" w:rsidR="00E57DAA" w:rsidRDefault="00AC4185">
            <w:pPr>
              <w:jc w:val="right"/>
              <w:rPr>
                <w:sz w:val="15"/>
                <w:szCs w:val="15"/>
              </w:rPr>
            </w:pPr>
            <w:r>
              <w:rPr>
                <w:sz w:val="15"/>
                <w:szCs w:val="15"/>
              </w:rPr>
              <w:t>381,287.75</w:t>
            </w:r>
          </w:p>
        </w:tc>
      </w:tr>
      <w:tr w:rsidR="00E57DAA" w14:paraId="1E245A5F" w14:textId="77777777">
        <w:trPr>
          <w:trHeight w:val="146"/>
        </w:trPr>
        <w:tc>
          <w:tcPr>
            <w:tcW w:w="461" w:type="pct"/>
            <w:shd w:val="clear" w:color="auto" w:fill="auto"/>
          </w:tcPr>
          <w:p w14:paraId="40A80D23" w14:textId="77777777" w:rsidR="00E57DAA" w:rsidRDefault="00AC4185">
            <w:pPr>
              <w:ind w:firstLineChars="300" w:firstLine="450"/>
              <w:rPr>
                <w:sz w:val="15"/>
                <w:szCs w:val="15"/>
              </w:rPr>
            </w:pPr>
            <w:r>
              <w:rPr>
                <w:rFonts w:hint="eastAsia"/>
                <w:sz w:val="15"/>
                <w:szCs w:val="15"/>
              </w:rPr>
              <w:t>（3）外币报表折算差额</w:t>
            </w:r>
          </w:p>
        </w:tc>
        <w:tc>
          <w:tcPr>
            <w:tcW w:w="511" w:type="pct"/>
            <w:shd w:val="clear" w:color="auto" w:fill="auto"/>
            <w:vAlign w:val="center"/>
          </w:tcPr>
          <w:p w14:paraId="0A0CD095" w14:textId="77777777" w:rsidR="00E57DAA" w:rsidRDefault="00AC4185">
            <w:pPr>
              <w:jc w:val="right"/>
              <w:rPr>
                <w:sz w:val="15"/>
                <w:szCs w:val="15"/>
              </w:rPr>
            </w:pPr>
            <w:r>
              <w:rPr>
                <w:sz w:val="15"/>
                <w:szCs w:val="15"/>
              </w:rPr>
              <w:t>-99,785.00</w:t>
            </w:r>
          </w:p>
        </w:tc>
        <w:tc>
          <w:tcPr>
            <w:tcW w:w="430" w:type="pct"/>
            <w:shd w:val="clear" w:color="auto" w:fill="auto"/>
            <w:vAlign w:val="center"/>
          </w:tcPr>
          <w:p w14:paraId="28AAA7F1" w14:textId="77777777" w:rsidR="00E57DAA" w:rsidRDefault="00E57DAA">
            <w:pPr>
              <w:jc w:val="right"/>
              <w:rPr>
                <w:sz w:val="15"/>
                <w:szCs w:val="15"/>
              </w:rPr>
            </w:pPr>
          </w:p>
        </w:tc>
        <w:tc>
          <w:tcPr>
            <w:tcW w:w="457" w:type="pct"/>
            <w:shd w:val="clear" w:color="auto" w:fill="auto"/>
            <w:vAlign w:val="center"/>
          </w:tcPr>
          <w:p w14:paraId="35F98ACA" w14:textId="77777777" w:rsidR="00E57DAA" w:rsidRDefault="00E57DAA">
            <w:pPr>
              <w:jc w:val="right"/>
              <w:rPr>
                <w:sz w:val="15"/>
                <w:szCs w:val="15"/>
              </w:rPr>
            </w:pPr>
          </w:p>
        </w:tc>
        <w:tc>
          <w:tcPr>
            <w:tcW w:w="457" w:type="pct"/>
            <w:shd w:val="clear" w:color="auto" w:fill="auto"/>
            <w:vAlign w:val="center"/>
          </w:tcPr>
          <w:p w14:paraId="414E30BD" w14:textId="77777777" w:rsidR="00E57DAA" w:rsidRDefault="00AC4185">
            <w:pPr>
              <w:jc w:val="right"/>
              <w:rPr>
                <w:sz w:val="15"/>
                <w:szCs w:val="15"/>
              </w:rPr>
            </w:pPr>
            <w:r>
              <w:rPr>
                <w:sz w:val="15"/>
                <w:szCs w:val="15"/>
              </w:rPr>
              <w:t>9,085,212.51</w:t>
            </w:r>
          </w:p>
        </w:tc>
        <w:tc>
          <w:tcPr>
            <w:tcW w:w="457" w:type="pct"/>
            <w:shd w:val="clear" w:color="auto" w:fill="auto"/>
            <w:vAlign w:val="center"/>
          </w:tcPr>
          <w:p w14:paraId="6FB095D4" w14:textId="77777777" w:rsidR="00E57DAA" w:rsidRDefault="00AC4185">
            <w:pPr>
              <w:jc w:val="right"/>
              <w:rPr>
                <w:sz w:val="15"/>
                <w:szCs w:val="15"/>
              </w:rPr>
            </w:pPr>
            <w:r>
              <w:rPr>
                <w:sz w:val="15"/>
                <w:szCs w:val="15"/>
              </w:rPr>
              <w:t>1,435,449.47</w:t>
            </w:r>
          </w:p>
        </w:tc>
        <w:tc>
          <w:tcPr>
            <w:tcW w:w="430" w:type="pct"/>
            <w:shd w:val="clear" w:color="auto" w:fill="auto"/>
            <w:vAlign w:val="center"/>
          </w:tcPr>
          <w:p w14:paraId="6470D7AE" w14:textId="77777777" w:rsidR="00E57DAA" w:rsidRDefault="00E57DAA">
            <w:pPr>
              <w:jc w:val="right"/>
              <w:rPr>
                <w:sz w:val="15"/>
                <w:szCs w:val="15"/>
              </w:rPr>
            </w:pPr>
          </w:p>
        </w:tc>
        <w:tc>
          <w:tcPr>
            <w:tcW w:w="430" w:type="pct"/>
            <w:shd w:val="clear" w:color="auto" w:fill="auto"/>
            <w:vAlign w:val="center"/>
          </w:tcPr>
          <w:p w14:paraId="580F1D2E" w14:textId="77777777" w:rsidR="00E57DAA" w:rsidRDefault="00AC4185">
            <w:pPr>
              <w:jc w:val="right"/>
              <w:rPr>
                <w:sz w:val="15"/>
                <w:szCs w:val="15"/>
              </w:rPr>
            </w:pPr>
            <w:r>
              <w:rPr>
                <w:sz w:val="15"/>
                <w:szCs w:val="15"/>
              </w:rPr>
              <w:t>591,977.18</w:t>
            </w:r>
          </w:p>
        </w:tc>
        <w:tc>
          <w:tcPr>
            <w:tcW w:w="430" w:type="pct"/>
            <w:shd w:val="clear" w:color="auto" w:fill="auto"/>
            <w:vAlign w:val="center"/>
          </w:tcPr>
          <w:p w14:paraId="56DF47EC" w14:textId="77777777" w:rsidR="00E57DAA" w:rsidRDefault="00AC4185">
            <w:pPr>
              <w:jc w:val="right"/>
              <w:rPr>
                <w:sz w:val="15"/>
                <w:szCs w:val="15"/>
              </w:rPr>
            </w:pPr>
            <w:r>
              <w:rPr>
                <w:sz w:val="15"/>
                <w:szCs w:val="15"/>
              </w:rPr>
              <w:t>950,204.94</w:t>
            </w:r>
          </w:p>
        </w:tc>
        <w:tc>
          <w:tcPr>
            <w:tcW w:w="430" w:type="pct"/>
            <w:shd w:val="clear" w:color="auto" w:fill="auto"/>
            <w:vAlign w:val="center"/>
          </w:tcPr>
          <w:p w14:paraId="4ED71D3F" w14:textId="77777777" w:rsidR="00E57DAA" w:rsidRDefault="00AC4185">
            <w:pPr>
              <w:jc w:val="right"/>
              <w:rPr>
                <w:sz w:val="15"/>
                <w:szCs w:val="15"/>
              </w:rPr>
            </w:pPr>
            <w:r>
              <w:rPr>
                <w:sz w:val="15"/>
                <w:szCs w:val="15"/>
              </w:rPr>
              <w:t>1,293,880.18</w:t>
            </w:r>
          </w:p>
        </w:tc>
        <w:tc>
          <w:tcPr>
            <w:tcW w:w="511" w:type="pct"/>
            <w:shd w:val="clear" w:color="auto" w:fill="auto"/>
            <w:vAlign w:val="center"/>
          </w:tcPr>
          <w:p w14:paraId="2D89E509" w14:textId="77777777" w:rsidR="00E57DAA" w:rsidRDefault="00AC4185">
            <w:pPr>
              <w:jc w:val="right"/>
              <w:rPr>
                <w:sz w:val="15"/>
                <w:szCs w:val="15"/>
              </w:rPr>
            </w:pPr>
            <w:r>
              <w:rPr>
                <w:sz w:val="15"/>
                <w:szCs w:val="15"/>
              </w:rPr>
              <w:t>13,256,939.28</w:t>
            </w:r>
          </w:p>
        </w:tc>
      </w:tr>
      <w:tr w:rsidR="00E57DAA" w14:paraId="7E2B9851" w14:textId="77777777">
        <w:trPr>
          <w:trHeight w:val="340"/>
        </w:trPr>
        <w:tc>
          <w:tcPr>
            <w:tcW w:w="461" w:type="pct"/>
            <w:shd w:val="clear" w:color="auto" w:fill="auto"/>
            <w:vAlign w:val="center"/>
          </w:tcPr>
          <w:p w14:paraId="73ABA8A7" w14:textId="77777777" w:rsidR="00E57DAA" w:rsidRDefault="00AC4185">
            <w:pPr>
              <w:ind w:firstLineChars="200" w:firstLine="300"/>
              <w:rPr>
                <w:sz w:val="15"/>
                <w:szCs w:val="15"/>
              </w:rPr>
            </w:pPr>
            <w:r>
              <w:rPr>
                <w:rFonts w:hint="eastAsia"/>
                <w:sz w:val="15"/>
                <w:szCs w:val="15"/>
              </w:rPr>
              <w:t>3.</w:t>
            </w:r>
            <w:r>
              <w:rPr>
                <w:sz w:val="15"/>
                <w:szCs w:val="15"/>
              </w:rPr>
              <w:t>本期减少</w:t>
            </w:r>
            <w:r>
              <w:rPr>
                <w:rFonts w:hint="eastAsia"/>
                <w:sz w:val="15"/>
                <w:szCs w:val="15"/>
              </w:rPr>
              <w:t>金额</w:t>
            </w:r>
          </w:p>
        </w:tc>
        <w:tc>
          <w:tcPr>
            <w:tcW w:w="511" w:type="pct"/>
            <w:shd w:val="clear" w:color="auto" w:fill="auto"/>
            <w:vAlign w:val="center"/>
          </w:tcPr>
          <w:p w14:paraId="1B720D13" w14:textId="77777777" w:rsidR="00E57DAA" w:rsidRDefault="00E57DAA">
            <w:pPr>
              <w:jc w:val="right"/>
              <w:rPr>
                <w:sz w:val="15"/>
                <w:szCs w:val="15"/>
              </w:rPr>
            </w:pPr>
          </w:p>
        </w:tc>
        <w:tc>
          <w:tcPr>
            <w:tcW w:w="430" w:type="pct"/>
            <w:shd w:val="clear" w:color="auto" w:fill="auto"/>
            <w:vAlign w:val="center"/>
          </w:tcPr>
          <w:p w14:paraId="016C55DE" w14:textId="77777777" w:rsidR="00E57DAA" w:rsidRDefault="00E57DAA">
            <w:pPr>
              <w:jc w:val="right"/>
              <w:rPr>
                <w:sz w:val="15"/>
                <w:szCs w:val="15"/>
              </w:rPr>
            </w:pPr>
          </w:p>
        </w:tc>
        <w:tc>
          <w:tcPr>
            <w:tcW w:w="457" w:type="pct"/>
            <w:shd w:val="clear" w:color="auto" w:fill="auto"/>
            <w:vAlign w:val="center"/>
          </w:tcPr>
          <w:p w14:paraId="3426CF76" w14:textId="77777777" w:rsidR="00E57DAA" w:rsidRDefault="00E57DAA">
            <w:pPr>
              <w:jc w:val="right"/>
              <w:rPr>
                <w:sz w:val="15"/>
                <w:szCs w:val="15"/>
              </w:rPr>
            </w:pPr>
          </w:p>
        </w:tc>
        <w:tc>
          <w:tcPr>
            <w:tcW w:w="457" w:type="pct"/>
            <w:shd w:val="clear" w:color="auto" w:fill="auto"/>
            <w:vAlign w:val="center"/>
          </w:tcPr>
          <w:p w14:paraId="4FF1A2FB" w14:textId="77777777" w:rsidR="00E57DAA" w:rsidRDefault="00AC4185">
            <w:pPr>
              <w:jc w:val="right"/>
              <w:rPr>
                <w:sz w:val="15"/>
                <w:szCs w:val="15"/>
              </w:rPr>
            </w:pPr>
            <w:r>
              <w:rPr>
                <w:sz w:val="15"/>
                <w:szCs w:val="15"/>
              </w:rPr>
              <w:t>81,270.00</w:t>
            </w:r>
          </w:p>
        </w:tc>
        <w:tc>
          <w:tcPr>
            <w:tcW w:w="457" w:type="pct"/>
            <w:shd w:val="clear" w:color="auto" w:fill="auto"/>
            <w:vAlign w:val="center"/>
          </w:tcPr>
          <w:p w14:paraId="0406569C" w14:textId="77777777" w:rsidR="00E57DAA" w:rsidRDefault="00AC4185">
            <w:pPr>
              <w:jc w:val="right"/>
              <w:rPr>
                <w:sz w:val="15"/>
                <w:szCs w:val="15"/>
              </w:rPr>
            </w:pPr>
            <w:r>
              <w:rPr>
                <w:sz w:val="15"/>
                <w:szCs w:val="15"/>
              </w:rPr>
              <w:t>1,125,006.75</w:t>
            </w:r>
          </w:p>
        </w:tc>
        <w:tc>
          <w:tcPr>
            <w:tcW w:w="430" w:type="pct"/>
            <w:shd w:val="clear" w:color="auto" w:fill="auto"/>
            <w:vAlign w:val="center"/>
          </w:tcPr>
          <w:p w14:paraId="02354B2F" w14:textId="77777777" w:rsidR="00E57DAA" w:rsidRDefault="00E57DAA">
            <w:pPr>
              <w:jc w:val="right"/>
              <w:rPr>
                <w:sz w:val="15"/>
                <w:szCs w:val="15"/>
              </w:rPr>
            </w:pPr>
          </w:p>
        </w:tc>
        <w:tc>
          <w:tcPr>
            <w:tcW w:w="430" w:type="pct"/>
            <w:shd w:val="clear" w:color="auto" w:fill="auto"/>
            <w:vAlign w:val="center"/>
          </w:tcPr>
          <w:p w14:paraId="5191F981" w14:textId="77777777" w:rsidR="00E57DAA" w:rsidRDefault="00E57DAA">
            <w:pPr>
              <w:jc w:val="right"/>
              <w:rPr>
                <w:sz w:val="15"/>
                <w:szCs w:val="15"/>
              </w:rPr>
            </w:pPr>
          </w:p>
        </w:tc>
        <w:tc>
          <w:tcPr>
            <w:tcW w:w="430" w:type="pct"/>
            <w:shd w:val="clear" w:color="auto" w:fill="auto"/>
            <w:vAlign w:val="center"/>
          </w:tcPr>
          <w:p w14:paraId="681DA2E1" w14:textId="77777777" w:rsidR="00E57DAA" w:rsidRDefault="00AC4185">
            <w:pPr>
              <w:jc w:val="right"/>
              <w:rPr>
                <w:sz w:val="15"/>
                <w:szCs w:val="15"/>
              </w:rPr>
            </w:pPr>
            <w:r>
              <w:rPr>
                <w:sz w:val="15"/>
                <w:szCs w:val="15"/>
              </w:rPr>
              <w:t>55,599.60</w:t>
            </w:r>
          </w:p>
        </w:tc>
        <w:tc>
          <w:tcPr>
            <w:tcW w:w="430" w:type="pct"/>
            <w:shd w:val="clear" w:color="auto" w:fill="auto"/>
            <w:vAlign w:val="center"/>
          </w:tcPr>
          <w:p w14:paraId="53FE7A7D" w14:textId="77777777" w:rsidR="00E57DAA" w:rsidRDefault="00E57DAA">
            <w:pPr>
              <w:jc w:val="right"/>
              <w:rPr>
                <w:sz w:val="15"/>
                <w:szCs w:val="15"/>
              </w:rPr>
            </w:pPr>
          </w:p>
        </w:tc>
        <w:tc>
          <w:tcPr>
            <w:tcW w:w="511" w:type="pct"/>
            <w:shd w:val="clear" w:color="auto" w:fill="auto"/>
            <w:vAlign w:val="center"/>
          </w:tcPr>
          <w:p w14:paraId="64ADE4B3" w14:textId="77777777" w:rsidR="00E57DAA" w:rsidRDefault="00AC4185">
            <w:pPr>
              <w:jc w:val="right"/>
              <w:rPr>
                <w:sz w:val="15"/>
                <w:szCs w:val="15"/>
              </w:rPr>
            </w:pPr>
            <w:r>
              <w:rPr>
                <w:sz w:val="15"/>
                <w:szCs w:val="15"/>
              </w:rPr>
              <w:t>1,261,876.35</w:t>
            </w:r>
          </w:p>
        </w:tc>
      </w:tr>
      <w:tr w:rsidR="00E57DAA" w14:paraId="3A30F210" w14:textId="77777777">
        <w:trPr>
          <w:trHeight w:val="340"/>
        </w:trPr>
        <w:tc>
          <w:tcPr>
            <w:tcW w:w="461" w:type="pct"/>
            <w:shd w:val="clear" w:color="auto" w:fill="auto"/>
            <w:vAlign w:val="center"/>
          </w:tcPr>
          <w:p w14:paraId="697F4DD7" w14:textId="77777777" w:rsidR="00E57DAA" w:rsidRDefault="00AC4185">
            <w:pPr>
              <w:ind w:firstLineChars="200" w:firstLine="300"/>
              <w:rPr>
                <w:sz w:val="15"/>
                <w:szCs w:val="15"/>
              </w:rPr>
            </w:pPr>
            <w:r>
              <w:rPr>
                <w:rFonts w:hint="eastAsia"/>
                <w:sz w:val="15"/>
                <w:szCs w:val="15"/>
              </w:rPr>
              <w:t>4.</w:t>
            </w:r>
            <w:r>
              <w:rPr>
                <w:sz w:val="15"/>
                <w:szCs w:val="15"/>
              </w:rPr>
              <w:t>期末余额</w:t>
            </w:r>
          </w:p>
        </w:tc>
        <w:tc>
          <w:tcPr>
            <w:tcW w:w="511" w:type="pct"/>
            <w:shd w:val="clear" w:color="auto" w:fill="auto"/>
            <w:vAlign w:val="center"/>
          </w:tcPr>
          <w:p w14:paraId="53DA1908" w14:textId="77777777" w:rsidR="00E57DAA" w:rsidRDefault="00AC4185">
            <w:pPr>
              <w:jc w:val="right"/>
              <w:rPr>
                <w:sz w:val="15"/>
                <w:szCs w:val="15"/>
              </w:rPr>
            </w:pPr>
            <w:r>
              <w:rPr>
                <w:sz w:val="15"/>
                <w:szCs w:val="15"/>
              </w:rPr>
              <w:t>207,132,103.96</w:t>
            </w:r>
          </w:p>
        </w:tc>
        <w:tc>
          <w:tcPr>
            <w:tcW w:w="430" w:type="pct"/>
            <w:shd w:val="clear" w:color="auto" w:fill="auto"/>
            <w:vAlign w:val="center"/>
          </w:tcPr>
          <w:p w14:paraId="70FF1F45" w14:textId="77777777" w:rsidR="00E57DAA" w:rsidRDefault="00AC4185">
            <w:pPr>
              <w:jc w:val="right"/>
              <w:rPr>
                <w:sz w:val="15"/>
                <w:szCs w:val="15"/>
              </w:rPr>
            </w:pPr>
            <w:r>
              <w:rPr>
                <w:sz w:val="15"/>
                <w:szCs w:val="15"/>
              </w:rPr>
              <w:t>8,036,447.50</w:t>
            </w:r>
          </w:p>
        </w:tc>
        <w:tc>
          <w:tcPr>
            <w:tcW w:w="457" w:type="pct"/>
            <w:shd w:val="clear" w:color="auto" w:fill="auto"/>
            <w:vAlign w:val="center"/>
          </w:tcPr>
          <w:p w14:paraId="065F9255" w14:textId="77777777" w:rsidR="00E57DAA" w:rsidRDefault="00AC4185">
            <w:pPr>
              <w:jc w:val="right"/>
              <w:rPr>
                <w:sz w:val="15"/>
                <w:szCs w:val="15"/>
              </w:rPr>
            </w:pPr>
            <w:r>
              <w:rPr>
                <w:sz w:val="15"/>
                <w:szCs w:val="15"/>
              </w:rPr>
              <w:t>75,938,402.65</w:t>
            </w:r>
          </w:p>
        </w:tc>
        <w:tc>
          <w:tcPr>
            <w:tcW w:w="457" w:type="pct"/>
            <w:shd w:val="clear" w:color="auto" w:fill="auto"/>
            <w:vAlign w:val="center"/>
          </w:tcPr>
          <w:p w14:paraId="1B7D6886" w14:textId="77777777" w:rsidR="00E57DAA" w:rsidRDefault="00AC4185">
            <w:pPr>
              <w:jc w:val="right"/>
              <w:rPr>
                <w:sz w:val="15"/>
                <w:szCs w:val="15"/>
              </w:rPr>
            </w:pPr>
            <w:r>
              <w:rPr>
                <w:sz w:val="15"/>
                <w:szCs w:val="15"/>
              </w:rPr>
              <w:t>216,952,097.03</w:t>
            </w:r>
          </w:p>
        </w:tc>
        <w:tc>
          <w:tcPr>
            <w:tcW w:w="457" w:type="pct"/>
            <w:shd w:val="clear" w:color="auto" w:fill="auto"/>
            <w:vAlign w:val="center"/>
          </w:tcPr>
          <w:p w14:paraId="351FA583" w14:textId="77777777" w:rsidR="00E57DAA" w:rsidRDefault="00AC4185">
            <w:pPr>
              <w:jc w:val="right"/>
              <w:rPr>
                <w:sz w:val="15"/>
                <w:szCs w:val="15"/>
              </w:rPr>
            </w:pPr>
            <w:r>
              <w:rPr>
                <w:sz w:val="15"/>
                <w:szCs w:val="15"/>
              </w:rPr>
              <w:t>138,168,052.44</w:t>
            </w:r>
          </w:p>
        </w:tc>
        <w:tc>
          <w:tcPr>
            <w:tcW w:w="430" w:type="pct"/>
            <w:shd w:val="clear" w:color="auto" w:fill="auto"/>
            <w:vAlign w:val="center"/>
          </w:tcPr>
          <w:p w14:paraId="1A1D5B59" w14:textId="77777777" w:rsidR="00E57DAA" w:rsidRDefault="00AC4185">
            <w:pPr>
              <w:jc w:val="right"/>
              <w:rPr>
                <w:sz w:val="15"/>
                <w:szCs w:val="15"/>
              </w:rPr>
            </w:pPr>
            <w:r>
              <w:rPr>
                <w:sz w:val="15"/>
                <w:szCs w:val="15"/>
              </w:rPr>
              <w:t>35,162,804.60</w:t>
            </w:r>
          </w:p>
        </w:tc>
        <w:tc>
          <w:tcPr>
            <w:tcW w:w="430" w:type="pct"/>
            <w:shd w:val="clear" w:color="auto" w:fill="auto"/>
            <w:vAlign w:val="center"/>
          </w:tcPr>
          <w:p w14:paraId="7346271E" w14:textId="77777777" w:rsidR="00E57DAA" w:rsidRDefault="00AC4185">
            <w:pPr>
              <w:jc w:val="right"/>
              <w:rPr>
                <w:sz w:val="15"/>
                <w:szCs w:val="15"/>
              </w:rPr>
            </w:pPr>
            <w:r>
              <w:rPr>
                <w:sz w:val="15"/>
                <w:szCs w:val="15"/>
              </w:rPr>
              <w:t>15,898,228.79</w:t>
            </w:r>
          </w:p>
        </w:tc>
        <w:tc>
          <w:tcPr>
            <w:tcW w:w="430" w:type="pct"/>
            <w:shd w:val="clear" w:color="auto" w:fill="auto"/>
            <w:vAlign w:val="center"/>
          </w:tcPr>
          <w:p w14:paraId="6557962B" w14:textId="77777777" w:rsidR="00E57DAA" w:rsidRDefault="00AC4185">
            <w:pPr>
              <w:jc w:val="right"/>
              <w:rPr>
                <w:sz w:val="15"/>
                <w:szCs w:val="15"/>
              </w:rPr>
            </w:pPr>
            <w:r>
              <w:rPr>
                <w:sz w:val="15"/>
                <w:szCs w:val="15"/>
              </w:rPr>
              <w:t>18,419,137.40</w:t>
            </w:r>
          </w:p>
        </w:tc>
        <w:tc>
          <w:tcPr>
            <w:tcW w:w="430" w:type="pct"/>
            <w:shd w:val="clear" w:color="auto" w:fill="auto"/>
            <w:vAlign w:val="center"/>
          </w:tcPr>
          <w:p w14:paraId="6C28DB97" w14:textId="77777777" w:rsidR="00E57DAA" w:rsidRDefault="00AC4185">
            <w:pPr>
              <w:jc w:val="right"/>
              <w:rPr>
                <w:sz w:val="15"/>
                <w:szCs w:val="15"/>
              </w:rPr>
            </w:pPr>
            <w:r>
              <w:rPr>
                <w:sz w:val="15"/>
                <w:szCs w:val="15"/>
              </w:rPr>
              <w:t>28,123,102.10</w:t>
            </w:r>
          </w:p>
        </w:tc>
        <w:tc>
          <w:tcPr>
            <w:tcW w:w="511" w:type="pct"/>
            <w:shd w:val="clear" w:color="auto" w:fill="auto"/>
            <w:vAlign w:val="center"/>
          </w:tcPr>
          <w:p w14:paraId="767D263D" w14:textId="77777777" w:rsidR="00E57DAA" w:rsidRDefault="00AC4185">
            <w:pPr>
              <w:jc w:val="right"/>
              <w:rPr>
                <w:sz w:val="15"/>
                <w:szCs w:val="15"/>
              </w:rPr>
            </w:pPr>
            <w:r>
              <w:rPr>
                <w:sz w:val="15"/>
                <w:szCs w:val="15"/>
              </w:rPr>
              <w:t>743,830,376.47</w:t>
            </w:r>
          </w:p>
        </w:tc>
      </w:tr>
      <w:tr w:rsidR="00E57DAA" w14:paraId="147DB934" w14:textId="77777777">
        <w:trPr>
          <w:trHeight w:val="340"/>
        </w:trPr>
        <w:sdt>
          <w:sdtPr>
            <w:rPr>
              <w:sz w:val="15"/>
              <w:szCs w:val="15"/>
            </w:rPr>
            <w:tag w:val="_PLD_f7d5f180eba449a29a01985d504a8cad"/>
            <w:id w:val="-1244639494"/>
          </w:sdtPr>
          <w:sdtEndPr/>
          <w:sdtContent>
            <w:tc>
              <w:tcPr>
                <w:tcW w:w="5000" w:type="pct"/>
                <w:gridSpan w:val="11"/>
                <w:shd w:val="clear" w:color="auto" w:fill="auto"/>
                <w:vAlign w:val="center"/>
              </w:tcPr>
              <w:p w14:paraId="02C32C0E" w14:textId="77777777" w:rsidR="00E57DAA" w:rsidRDefault="00AC4185">
                <w:pPr>
                  <w:rPr>
                    <w:sz w:val="15"/>
                    <w:szCs w:val="15"/>
                  </w:rPr>
                </w:pPr>
                <w:r>
                  <w:rPr>
                    <w:sz w:val="15"/>
                    <w:szCs w:val="15"/>
                  </w:rPr>
                  <w:t>三、减值准备</w:t>
                </w:r>
              </w:p>
            </w:tc>
          </w:sdtContent>
        </w:sdt>
      </w:tr>
      <w:tr w:rsidR="00E57DAA" w14:paraId="6F4822CF" w14:textId="77777777">
        <w:trPr>
          <w:trHeight w:val="340"/>
        </w:trPr>
        <w:tc>
          <w:tcPr>
            <w:tcW w:w="461" w:type="pct"/>
            <w:shd w:val="clear" w:color="auto" w:fill="auto"/>
            <w:vAlign w:val="center"/>
          </w:tcPr>
          <w:p w14:paraId="3636C880" w14:textId="77777777" w:rsidR="00E57DAA" w:rsidRDefault="00AC4185">
            <w:pPr>
              <w:ind w:firstLineChars="200" w:firstLine="300"/>
              <w:rPr>
                <w:sz w:val="15"/>
                <w:szCs w:val="15"/>
              </w:rPr>
            </w:pPr>
            <w:r>
              <w:rPr>
                <w:rFonts w:hint="eastAsia"/>
                <w:sz w:val="15"/>
                <w:szCs w:val="15"/>
              </w:rPr>
              <w:t>1.期</w:t>
            </w:r>
            <w:r>
              <w:rPr>
                <w:sz w:val="15"/>
                <w:szCs w:val="15"/>
              </w:rPr>
              <w:t>初余额</w:t>
            </w:r>
          </w:p>
        </w:tc>
        <w:tc>
          <w:tcPr>
            <w:tcW w:w="511" w:type="pct"/>
            <w:shd w:val="clear" w:color="auto" w:fill="auto"/>
            <w:vAlign w:val="center"/>
          </w:tcPr>
          <w:p w14:paraId="6EB6A15A" w14:textId="77777777" w:rsidR="00E57DAA" w:rsidRDefault="00E57DAA">
            <w:pPr>
              <w:jc w:val="right"/>
              <w:rPr>
                <w:sz w:val="15"/>
                <w:szCs w:val="15"/>
              </w:rPr>
            </w:pPr>
          </w:p>
        </w:tc>
        <w:tc>
          <w:tcPr>
            <w:tcW w:w="430" w:type="pct"/>
            <w:shd w:val="clear" w:color="auto" w:fill="auto"/>
            <w:vAlign w:val="center"/>
          </w:tcPr>
          <w:p w14:paraId="6F58E524" w14:textId="77777777" w:rsidR="00E57DAA" w:rsidRDefault="00E57DAA">
            <w:pPr>
              <w:jc w:val="right"/>
              <w:rPr>
                <w:sz w:val="15"/>
                <w:szCs w:val="15"/>
              </w:rPr>
            </w:pPr>
          </w:p>
        </w:tc>
        <w:tc>
          <w:tcPr>
            <w:tcW w:w="457" w:type="pct"/>
            <w:shd w:val="clear" w:color="auto" w:fill="auto"/>
            <w:vAlign w:val="center"/>
          </w:tcPr>
          <w:p w14:paraId="405B8233" w14:textId="77777777" w:rsidR="00E57DAA" w:rsidRDefault="00E57DAA">
            <w:pPr>
              <w:jc w:val="right"/>
              <w:rPr>
                <w:sz w:val="15"/>
                <w:szCs w:val="15"/>
              </w:rPr>
            </w:pPr>
          </w:p>
        </w:tc>
        <w:tc>
          <w:tcPr>
            <w:tcW w:w="457" w:type="pct"/>
            <w:shd w:val="clear" w:color="auto" w:fill="auto"/>
            <w:vAlign w:val="center"/>
          </w:tcPr>
          <w:p w14:paraId="119EBC91" w14:textId="77777777" w:rsidR="00E57DAA" w:rsidRDefault="00AC4185">
            <w:pPr>
              <w:jc w:val="right"/>
              <w:rPr>
                <w:sz w:val="15"/>
                <w:szCs w:val="15"/>
              </w:rPr>
            </w:pPr>
            <w:r>
              <w:rPr>
                <w:sz w:val="15"/>
                <w:szCs w:val="15"/>
              </w:rPr>
              <w:t>16,003,876.48</w:t>
            </w:r>
          </w:p>
        </w:tc>
        <w:tc>
          <w:tcPr>
            <w:tcW w:w="457" w:type="pct"/>
            <w:shd w:val="clear" w:color="auto" w:fill="auto"/>
            <w:vAlign w:val="center"/>
          </w:tcPr>
          <w:p w14:paraId="11B4B895" w14:textId="77777777" w:rsidR="00E57DAA" w:rsidRDefault="00E57DAA">
            <w:pPr>
              <w:jc w:val="right"/>
              <w:rPr>
                <w:sz w:val="15"/>
                <w:szCs w:val="15"/>
              </w:rPr>
            </w:pPr>
          </w:p>
        </w:tc>
        <w:tc>
          <w:tcPr>
            <w:tcW w:w="430" w:type="pct"/>
            <w:shd w:val="clear" w:color="auto" w:fill="auto"/>
            <w:vAlign w:val="center"/>
          </w:tcPr>
          <w:p w14:paraId="5D19DE8E" w14:textId="77777777" w:rsidR="00E57DAA" w:rsidRDefault="00E57DAA">
            <w:pPr>
              <w:jc w:val="right"/>
              <w:rPr>
                <w:sz w:val="15"/>
                <w:szCs w:val="15"/>
              </w:rPr>
            </w:pPr>
          </w:p>
        </w:tc>
        <w:tc>
          <w:tcPr>
            <w:tcW w:w="430" w:type="pct"/>
            <w:shd w:val="clear" w:color="auto" w:fill="auto"/>
            <w:vAlign w:val="center"/>
          </w:tcPr>
          <w:p w14:paraId="447BD0CB" w14:textId="77777777" w:rsidR="00E57DAA" w:rsidRDefault="00E57DAA">
            <w:pPr>
              <w:jc w:val="right"/>
              <w:rPr>
                <w:sz w:val="15"/>
                <w:szCs w:val="15"/>
              </w:rPr>
            </w:pPr>
          </w:p>
        </w:tc>
        <w:tc>
          <w:tcPr>
            <w:tcW w:w="430" w:type="pct"/>
            <w:shd w:val="clear" w:color="auto" w:fill="auto"/>
            <w:vAlign w:val="center"/>
          </w:tcPr>
          <w:p w14:paraId="5D05C21A" w14:textId="77777777" w:rsidR="00E57DAA" w:rsidRDefault="00E57DAA">
            <w:pPr>
              <w:jc w:val="right"/>
              <w:rPr>
                <w:sz w:val="15"/>
                <w:szCs w:val="15"/>
              </w:rPr>
            </w:pPr>
          </w:p>
        </w:tc>
        <w:tc>
          <w:tcPr>
            <w:tcW w:w="430" w:type="pct"/>
            <w:shd w:val="clear" w:color="auto" w:fill="auto"/>
            <w:vAlign w:val="center"/>
          </w:tcPr>
          <w:p w14:paraId="40F44ECA" w14:textId="77777777" w:rsidR="00E57DAA" w:rsidRDefault="00E57DAA">
            <w:pPr>
              <w:jc w:val="right"/>
              <w:rPr>
                <w:sz w:val="15"/>
                <w:szCs w:val="15"/>
              </w:rPr>
            </w:pPr>
          </w:p>
        </w:tc>
        <w:tc>
          <w:tcPr>
            <w:tcW w:w="511" w:type="pct"/>
            <w:shd w:val="clear" w:color="auto" w:fill="auto"/>
            <w:vAlign w:val="center"/>
          </w:tcPr>
          <w:p w14:paraId="777F7212" w14:textId="77777777" w:rsidR="00E57DAA" w:rsidRDefault="00AC4185">
            <w:pPr>
              <w:jc w:val="right"/>
              <w:rPr>
                <w:sz w:val="15"/>
                <w:szCs w:val="15"/>
              </w:rPr>
            </w:pPr>
            <w:r>
              <w:rPr>
                <w:sz w:val="15"/>
                <w:szCs w:val="15"/>
              </w:rPr>
              <w:t>16,003,876.48</w:t>
            </w:r>
          </w:p>
        </w:tc>
      </w:tr>
      <w:tr w:rsidR="00E57DAA" w14:paraId="4A4C528B" w14:textId="77777777">
        <w:trPr>
          <w:trHeight w:val="340"/>
        </w:trPr>
        <w:tc>
          <w:tcPr>
            <w:tcW w:w="461" w:type="pct"/>
            <w:shd w:val="clear" w:color="auto" w:fill="auto"/>
            <w:vAlign w:val="center"/>
          </w:tcPr>
          <w:p w14:paraId="3D6C4C38" w14:textId="77777777" w:rsidR="00E57DAA" w:rsidRDefault="00AC4185">
            <w:pPr>
              <w:ind w:firstLineChars="200" w:firstLine="300"/>
              <w:rPr>
                <w:sz w:val="15"/>
                <w:szCs w:val="15"/>
              </w:rPr>
            </w:pPr>
            <w:r>
              <w:rPr>
                <w:sz w:val="15"/>
                <w:szCs w:val="15"/>
              </w:rPr>
              <w:t>2.本期增加</w:t>
            </w:r>
            <w:r>
              <w:rPr>
                <w:rFonts w:hint="eastAsia"/>
                <w:sz w:val="15"/>
                <w:szCs w:val="15"/>
              </w:rPr>
              <w:t>金额</w:t>
            </w:r>
          </w:p>
        </w:tc>
        <w:tc>
          <w:tcPr>
            <w:tcW w:w="511" w:type="pct"/>
            <w:shd w:val="clear" w:color="auto" w:fill="auto"/>
            <w:vAlign w:val="center"/>
          </w:tcPr>
          <w:p w14:paraId="7EB4E545" w14:textId="77777777" w:rsidR="00E57DAA" w:rsidRDefault="00E57DAA">
            <w:pPr>
              <w:jc w:val="right"/>
              <w:rPr>
                <w:sz w:val="15"/>
                <w:szCs w:val="15"/>
              </w:rPr>
            </w:pPr>
          </w:p>
        </w:tc>
        <w:tc>
          <w:tcPr>
            <w:tcW w:w="430" w:type="pct"/>
            <w:shd w:val="clear" w:color="auto" w:fill="auto"/>
            <w:vAlign w:val="center"/>
          </w:tcPr>
          <w:p w14:paraId="7CCC7B9A" w14:textId="77777777" w:rsidR="00E57DAA" w:rsidRDefault="00E57DAA">
            <w:pPr>
              <w:jc w:val="right"/>
              <w:rPr>
                <w:sz w:val="15"/>
                <w:szCs w:val="15"/>
              </w:rPr>
            </w:pPr>
          </w:p>
        </w:tc>
        <w:tc>
          <w:tcPr>
            <w:tcW w:w="457" w:type="pct"/>
            <w:shd w:val="clear" w:color="auto" w:fill="auto"/>
            <w:vAlign w:val="center"/>
          </w:tcPr>
          <w:p w14:paraId="4BAEC6BE" w14:textId="77777777" w:rsidR="00E57DAA" w:rsidRDefault="00E57DAA">
            <w:pPr>
              <w:jc w:val="right"/>
              <w:rPr>
                <w:sz w:val="15"/>
                <w:szCs w:val="15"/>
              </w:rPr>
            </w:pPr>
          </w:p>
        </w:tc>
        <w:tc>
          <w:tcPr>
            <w:tcW w:w="457" w:type="pct"/>
            <w:shd w:val="clear" w:color="auto" w:fill="auto"/>
            <w:vAlign w:val="center"/>
          </w:tcPr>
          <w:p w14:paraId="0B0B5459" w14:textId="77777777" w:rsidR="00E57DAA" w:rsidRDefault="00E57DAA">
            <w:pPr>
              <w:jc w:val="right"/>
              <w:rPr>
                <w:sz w:val="15"/>
                <w:szCs w:val="15"/>
              </w:rPr>
            </w:pPr>
          </w:p>
        </w:tc>
        <w:tc>
          <w:tcPr>
            <w:tcW w:w="457" w:type="pct"/>
            <w:shd w:val="clear" w:color="auto" w:fill="auto"/>
            <w:vAlign w:val="center"/>
          </w:tcPr>
          <w:p w14:paraId="4CAF8E55" w14:textId="77777777" w:rsidR="00E57DAA" w:rsidRDefault="00E57DAA">
            <w:pPr>
              <w:jc w:val="right"/>
              <w:rPr>
                <w:sz w:val="15"/>
                <w:szCs w:val="15"/>
              </w:rPr>
            </w:pPr>
          </w:p>
        </w:tc>
        <w:tc>
          <w:tcPr>
            <w:tcW w:w="430" w:type="pct"/>
            <w:shd w:val="clear" w:color="auto" w:fill="auto"/>
            <w:vAlign w:val="center"/>
          </w:tcPr>
          <w:p w14:paraId="05F42EF8" w14:textId="77777777" w:rsidR="00E57DAA" w:rsidRDefault="00E57DAA">
            <w:pPr>
              <w:jc w:val="right"/>
              <w:rPr>
                <w:sz w:val="15"/>
                <w:szCs w:val="15"/>
              </w:rPr>
            </w:pPr>
          </w:p>
        </w:tc>
        <w:tc>
          <w:tcPr>
            <w:tcW w:w="430" w:type="pct"/>
            <w:shd w:val="clear" w:color="auto" w:fill="auto"/>
            <w:vAlign w:val="center"/>
          </w:tcPr>
          <w:p w14:paraId="03BA9CA4" w14:textId="77777777" w:rsidR="00E57DAA" w:rsidRDefault="00E57DAA">
            <w:pPr>
              <w:jc w:val="right"/>
              <w:rPr>
                <w:sz w:val="15"/>
                <w:szCs w:val="15"/>
              </w:rPr>
            </w:pPr>
          </w:p>
        </w:tc>
        <w:tc>
          <w:tcPr>
            <w:tcW w:w="430" w:type="pct"/>
            <w:shd w:val="clear" w:color="auto" w:fill="auto"/>
            <w:vAlign w:val="center"/>
          </w:tcPr>
          <w:p w14:paraId="2917EA10" w14:textId="77777777" w:rsidR="00E57DAA" w:rsidRDefault="00E57DAA">
            <w:pPr>
              <w:jc w:val="right"/>
              <w:rPr>
                <w:sz w:val="15"/>
                <w:szCs w:val="15"/>
              </w:rPr>
            </w:pPr>
          </w:p>
        </w:tc>
        <w:tc>
          <w:tcPr>
            <w:tcW w:w="430" w:type="pct"/>
            <w:shd w:val="clear" w:color="auto" w:fill="auto"/>
            <w:vAlign w:val="center"/>
          </w:tcPr>
          <w:p w14:paraId="157B4148" w14:textId="77777777" w:rsidR="00E57DAA" w:rsidRDefault="00E57DAA">
            <w:pPr>
              <w:jc w:val="right"/>
              <w:rPr>
                <w:sz w:val="15"/>
                <w:szCs w:val="15"/>
              </w:rPr>
            </w:pPr>
          </w:p>
        </w:tc>
        <w:tc>
          <w:tcPr>
            <w:tcW w:w="511" w:type="pct"/>
            <w:shd w:val="clear" w:color="auto" w:fill="auto"/>
            <w:vAlign w:val="center"/>
          </w:tcPr>
          <w:p w14:paraId="348415FD" w14:textId="77777777" w:rsidR="00E57DAA" w:rsidRDefault="00E57DAA">
            <w:pPr>
              <w:jc w:val="right"/>
              <w:rPr>
                <w:sz w:val="15"/>
                <w:szCs w:val="15"/>
              </w:rPr>
            </w:pPr>
          </w:p>
        </w:tc>
      </w:tr>
      <w:tr w:rsidR="00E57DAA" w14:paraId="4A4A4607" w14:textId="77777777">
        <w:trPr>
          <w:trHeight w:val="340"/>
        </w:trPr>
        <w:tc>
          <w:tcPr>
            <w:tcW w:w="461" w:type="pct"/>
            <w:shd w:val="clear" w:color="auto" w:fill="auto"/>
            <w:vAlign w:val="center"/>
          </w:tcPr>
          <w:p w14:paraId="6D076AD8" w14:textId="77777777" w:rsidR="00E57DAA" w:rsidRDefault="00AC4185">
            <w:pPr>
              <w:ind w:firstLineChars="200" w:firstLine="300"/>
              <w:rPr>
                <w:sz w:val="15"/>
                <w:szCs w:val="15"/>
              </w:rPr>
            </w:pPr>
            <w:r>
              <w:rPr>
                <w:rFonts w:hint="eastAsia"/>
                <w:sz w:val="15"/>
                <w:szCs w:val="15"/>
              </w:rPr>
              <w:t>3.</w:t>
            </w:r>
            <w:r>
              <w:rPr>
                <w:sz w:val="15"/>
                <w:szCs w:val="15"/>
              </w:rPr>
              <w:t>本期减少</w:t>
            </w:r>
            <w:r>
              <w:rPr>
                <w:rFonts w:hint="eastAsia"/>
                <w:sz w:val="15"/>
                <w:szCs w:val="15"/>
              </w:rPr>
              <w:t>金额</w:t>
            </w:r>
          </w:p>
        </w:tc>
        <w:tc>
          <w:tcPr>
            <w:tcW w:w="511" w:type="pct"/>
            <w:shd w:val="clear" w:color="auto" w:fill="auto"/>
            <w:vAlign w:val="center"/>
          </w:tcPr>
          <w:p w14:paraId="509AE431" w14:textId="77777777" w:rsidR="00E57DAA" w:rsidRDefault="00E57DAA">
            <w:pPr>
              <w:jc w:val="right"/>
              <w:rPr>
                <w:sz w:val="15"/>
                <w:szCs w:val="15"/>
              </w:rPr>
            </w:pPr>
          </w:p>
        </w:tc>
        <w:tc>
          <w:tcPr>
            <w:tcW w:w="430" w:type="pct"/>
            <w:shd w:val="clear" w:color="auto" w:fill="auto"/>
            <w:vAlign w:val="center"/>
          </w:tcPr>
          <w:p w14:paraId="6131123A" w14:textId="77777777" w:rsidR="00E57DAA" w:rsidRDefault="00E57DAA">
            <w:pPr>
              <w:jc w:val="right"/>
              <w:rPr>
                <w:sz w:val="15"/>
                <w:szCs w:val="15"/>
              </w:rPr>
            </w:pPr>
          </w:p>
        </w:tc>
        <w:tc>
          <w:tcPr>
            <w:tcW w:w="457" w:type="pct"/>
            <w:shd w:val="clear" w:color="auto" w:fill="auto"/>
            <w:vAlign w:val="center"/>
          </w:tcPr>
          <w:p w14:paraId="32952086" w14:textId="77777777" w:rsidR="00E57DAA" w:rsidRDefault="00E57DAA">
            <w:pPr>
              <w:jc w:val="right"/>
              <w:rPr>
                <w:sz w:val="15"/>
                <w:szCs w:val="15"/>
              </w:rPr>
            </w:pPr>
          </w:p>
        </w:tc>
        <w:tc>
          <w:tcPr>
            <w:tcW w:w="457" w:type="pct"/>
            <w:shd w:val="clear" w:color="auto" w:fill="auto"/>
            <w:vAlign w:val="center"/>
          </w:tcPr>
          <w:p w14:paraId="1E0D8C46" w14:textId="77777777" w:rsidR="00E57DAA" w:rsidRDefault="00E57DAA">
            <w:pPr>
              <w:jc w:val="right"/>
              <w:rPr>
                <w:sz w:val="15"/>
                <w:szCs w:val="15"/>
              </w:rPr>
            </w:pPr>
          </w:p>
        </w:tc>
        <w:tc>
          <w:tcPr>
            <w:tcW w:w="457" w:type="pct"/>
            <w:shd w:val="clear" w:color="auto" w:fill="auto"/>
            <w:vAlign w:val="center"/>
          </w:tcPr>
          <w:p w14:paraId="08CB19DF" w14:textId="77777777" w:rsidR="00E57DAA" w:rsidRDefault="00E57DAA">
            <w:pPr>
              <w:jc w:val="right"/>
              <w:rPr>
                <w:sz w:val="15"/>
                <w:szCs w:val="15"/>
              </w:rPr>
            </w:pPr>
          </w:p>
        </w:tc>
        <w:tc>
          <w:tcPr>
            <w:tcW w:w="430" w:type="pct"/>
            <w:shd w:val="clear" w:color="auto" w:fill="auto"/>
            <w:vAlign w:val="center"/>
          </w:tcPr>
          <w:p w14:paraId="72AC3B94" w14:textId="77777777" w:rsidR="00E57DAA" w:rsidRDefault="00E57DAA">
            <w:pPr>
              <w:jc w:val="right"/>
              <w:rPr>
                <w:sz w:val="15"/>
                <w:szCs w:val="15"/>
              </w:rPr>
            </w:pPr>
          </w:p>
        </w:tc>
        <w:tc>
          <w:tcPr>
            <w:tcW w:w="430" w:type="pct"/>
            <w:shd w:val="clear" w:color="auto" w:fill="auto"/>
            <w:vAlign w:val="center"/>
          </w:tcPr>
          <w:p w14:paraId="5476861D" w14:textId="77777777" w:rsidR="00E57DAA" w:rsidRDefault="00E57DAA">
            <w:pPr>
              <w:jc w:val="right"/>
              <w:rPr>
                <w:sz w:val="15"/>
                <w:szCs w:val="15"/>
              </w:rPr>
            </w:pPr>
          </w:p>
        </w:tc>
        <w:tc>
          <w:tcPr>
            <w:tcW w:w="430" w:type="pct"/>
            <w:shd w:val="clear" w:color="auto" w:fill="auto"/>
            <w:vAlign w:val="center"/>
          </w:tcPr>
          <w:p w14:paraId="6203EF5C" w14:textId="77777777" w:rsidR="00E57DAA" w:rsidRDefault="00E57DAA">
            <w:pPr>
              <w:jc w:val="right"/>
              <w:rPr>
                <w:sz w:val="15"/>
                <w:szCs w:val="15"/>
              </w:rPr>
            </w:pPr>
          </w:p>
        </w:tc>
        <w:tc>
          <w:tcPr>
            <w:tcW w:w="430" w:type="pct"/>
            <w:shd w:val="clear" w:color="auto" w:fill="auto"/>
            <w:vAlign w:val="center"/>
          </w:tcPr>
          <w:p w14:paraId="4C027AAE" w14:textId="77777777" w:rsidR="00E57DAA" w:rsidRDefault="00E57DAA">
            <w:pPr>
              <w:jc w:val="right"/>
              <w:rPr>
                <w:sz w:val="15"/>
                <w:szCs w:val="15"/>
              </w:rPr>
            </w:pPr>
          </w:p>
        </w:tc>
        <w:tc>
          <w:tcPr>
            <w:tcW w:w="511" w:type="pct"/>
            <w:shd w:val="clear" w:color="auto" w:fill="auto"/>
            <w:vAlign w:val="center"/>
          </w:tcPr>
          <w:p w14:paraId="16295262" w14:textId="77777777" w:rsidR="00E57DAA" w:rsidRDefault="00E57DAA">
            <w:pPr>
              <w:jc w:val="right"/>
              <w:rPr>
                <w:sz w:val="15"/>
                <w:szCs w:val="15"/>
              </w:rPr>
            </w:pPr>
          </w:p>
        </w:tc>
      </w:tr>
      <w:tr w:rsidR="00E57DAA" w14:paraId="2176EA37" w14:textId="77777777">
        <w:trPr>
          <w:trHeight w:val="340"/>
        </w:trPr>
        <w:tc>
          <w:tcPr>
            <w:tcW w:w="461" w:type="pct"/>
            <w:shd w:val="clear" w:color="auto" w:fill="auto"/>
            <w:vAlign w:val="center"/>
          </w:tcPr>
          <w:p w14:paraId="1E6D5EE0" w14:textId="77777777" w:rsidR="00E57DAA" w:rsidRDefault="00AC4185">
            <w:pPr>
              <w:ind w:firstLineChars="200" w:firstLine="300"/>
              <w:rPr>
                <w:sz w:val="15"/>
                <w:szCs w:val="15"/>
              </w:rPr>
            </w:pPr>
            <w:r>
              <w:rPr>
                <w:rFonts w:hint="eastAsia"/>
                <w:sz w:val="15"/>
                <w:szCs w:val="15"/>
              </w:rPr>
              <w:t>4.</w:t>
            </w:r>
            <w:r>
              <w:rPr>
                <w:sz w:val="15"/>
                <w:szCs w:val="15"/>
              </w:rPr>
              <w:t>期末余额</w:t>
            </w:r>
          </w:p>
        </w:tc>
        <w:tc>
          <w:tcPr>
            <w:tcW w:w="511" w:type="pct"/>
            <w:shd w:val="clear" w:color="auto" w:fill="auto"/>
            <w:vAlign w:val="center"/>
          </w:tcPr>
          <w:p w14:paraId="64DD732A" w14:textId="77777777" w:rsidR="00E57DAA" w:rsidRDefault="00E57DAA">
            <w:pPr>
              <w:jc w:val="right"/>
              <w:rPr>
                <w:sz w:val="15"/>
                <w:szCs w:val="15"/>
              </w:rPr>
            </w:pPr>
          </w:p>
        </w:tc>
        <w:tc>
          <w:tcPr>
            <w:tcW w:w="430" w:type="pct"/>
            <w:shd w:val="clear" w:color="auto" w:fill="auto"/>
            <w:vAlign w:val="center"/>
          </w:tcPr>
          <w:p w14:paraId="1E981084" w14:textId="77777777" w:rsidR="00E57DAA" w:rsidRDefault="00E57DAA">
            <w:pPr>
              <w:jc w:val="right"/>
              <w:rPr>
                <w:sz w:val="15"/>
                <w:szCs w:val="15"/>
              </w:rPr>
            </w:pPr>
          </w:p>
        </w:tc>
        <w:tc>
          <w:tcPr>
            <w:tcW w:w="457" w:type="pct"/>
            <w:shd w:val="clear" w:color="auto" w:fill="auto"/>
            <w:vAlign w:val="center"/>
          </w:tcPr>
          <w:p w14:paraId="4ABE4DE7" w14:textId="77777777" w:rsidR="00E57DAA" w:rsidRDefault="00E57DAA">
            <w:pPr>
              <w:jc w:val="right"/>
              <w:rPr>
                <w:sz w:val="15"/>
                <w:szCs w:val="15"/>
              </w:rPr>
            </w:pPr>
          </w:p>
        </w:tc>
        <w:tc>
          <w:tcPr>
            <w:tcW w:w="457" w:type="pct"/>
            <w:shd w:val="clear" w:color="auto" w:fill="auto"/>
            <w:vAlign w:val="center"/>
          </w:tcPr>
          <w:p w14:paraId="01BF685F" w14:textId="77777777" w:rsidR="00E57DAA" w:rsidRDefault="00AC4185">
            <w:pPr>
              <w:jc w:val="right"/>
              <w:rPr>
                <w:sz w:val="15"/>
                <w:szCs w:val="15"/>
              </w:rPr>
            </w:pPr>
            <w:r>
              <w:rPr>
                <w:sz w:val="15"/>
                <w:szCs w:val="15"/>
              </w:rPr>
              <w:t>16,003,876.48</w:t>
            </w:r>
          </w:p>
        </w:tc>
        <w:tc>
          <w:tcPr>
            <w:tcW w:w="457" w:type="pct"/>
            <w:shd w:val="clear" w:color="auto" w:fill="auto"/>
            <w:vAlign w:val="center"/>
          </w:tcPr>
          <w:p w14:paraId="2713A2A2" w14:textId="77777777" w:rsidR="00E57DAA" w:rsidRDefault="00E57DAA">
            <w:pPr>
              <w:jc w:val="right"/>
              <w:rPr>
                <w:sz w:val="15"/>
                <w:szCs w:val="15"/>
              </w:rPr>
            </w:pPr>
          </w:p>
        </w:tc>
        <w:tc>
          <w:tcPr>
            <w:tcW w:w="430" w:type="pct"/>
            <w:shd w:val="clear" w:color="auto" w:fill="auto"/>
            <w:vAlign w:val="center"/>
          </w:tcPr>
          <w:p w14:paraId="3752FB71" w14:textId="77777777" w:rsidR="00E57DAA" w:rsidRDefault="00E57DAA">
            <w:pPr>
              <w:jc w:val="right"/>
              <w:rPr>
                <w:sz w:val="15"/>
                <w:szCs w:val="15"/>
              </w:rPr>
            </w:pPr>
          </w:p>
        </w:tc>
        <w:tc>
          <w:tcPr>
            <w:tcW w:w="430" w:type="pct"/>
            <w:shd w:val="clear" w:color="auto" w:fill="auto"/>
            <w:vAlign w:val="center"/>
          </w:tcPr>
          <w:p w14:paraId="0584FFB0" w14:textId="77777777" w:rsidR="00E57DAA" w:rsidRDefault="00E57DAA">
            <w:pPr>
              <w:jc w:val="right"/>
              <w:rPr>
                <w:sz w:val="15"/>
                <w:szCs w:val="15"/>
              </w:rPr>
            </w:pPr>
          </w:p>
        </w:tc>
        <w:tc>
          <w:tcPr>
            <w:tcW w:w="430" w:type="pct"/>
            <w:shd w:val="clear" w:color="auto" w:fill="auto"/>
            <w:vAlign w:val="center"/>
          </w:tcPr>
          <w:p w14:paraId="5A51AA0C" w14:textId="77777777" w:rsidR="00E57DAA" w:rsidRDefault="00E57DAA">
            <w:pPr>
              <w:jc w:val="right"/>
              <w:rPr>
                <w:sz w:val="15"/>
                <w:szCs w:val="15"/>
              </w:rPr>
            </w:pPr>
          </w:p>
        </w:tc>
        <w:tc>
          <w:tcPr>
            <w:tcW w:w="430" w:type="pct"/>
            <w:shd w:val="clear" w:color="auto" w:fill="auto"/>
            <w:vAlign w:val="center"/>
          </w:tcPr>
          <w:p w14:paraId="09F58786" w14:textId="77777777" w:rsidR="00E57DAA" w:rsidRDefault="00E57DAA">
            <w:pPr>
              <w:jc w:val="right"/>
              <w:rPr>
                <w:sz w:val="15"/>
                <w:szCs w:val="15"/>
              </w:rPr>
            </w:pPr>
          </w:p>
        </w:tc>
        <w:tc>
          <w:tcPr>
            <w:tcW w:w="511" w:type="pct"/>
            <w:shd w:val="clear" w:color="auto" w:fill="auto"/>
            <w:vAlign w:val="center"/>
          </w:tcPr>
          <w:p w14:paraId="2B5CC824" w14:textId="77777777" w:rsidR="00E57DAA" w:rsidRDefault="00AC4185">
            <w:pPr>
              <w:jc w:val="right"/>
              <w:rPr>
                <w:sz w:val="15"/>
                <w:szCs w:val="15"/>
              </w:rPr>
            </w:pPr>
            <w:r>
              <w:rPr>
                <w:sz w:val="15"/>
                <w:szCs w:val="15"/>
              </w:rPr>
              <w:t>16,003,876.48</w:t>
            </w:r>
          </w:p>
        </w:tc>
      </w:tr>
      <w:tr w:rsidR="00E57DAA" w14:paraId="391A8D93" w14:textId="77777777">
        <w:trPr>
          <w:trHeight w:val="340"/>
        </w:trPr>
        <w:sdt>
          <w:sdtPr>
            <w:rPr>
              <w:sz w:val="15"/>
              <w:szCs w:val="15"/>
            </w:rPr>
            <w:tag w:val="_PLD_4b0672b3afec475f9c6133950914fc81"/>
            <w:id w:val="780913909"/>
          </w:sdtPr>
          <w:sdtEndPr/>
          <w:sdtContent>
            <w:tc>
              <w:tcPr>
                <w:tcW w:w="5000" w:type="pct"/>
                <w:gridSpan w:val="11"/>
                <w:shd w:val="clear" w:color="auto" w:fill="auto"/>
                <w:vAlign w:val="center"/>
              </w:tcPr>
              <w:p w14:paraId="6A04115A" w14:textId="77777777" w:rsidR="00E57DAA" w:rsidRDefault="00AC4185">
                <w:pPr>
                  <w:rPr>
                    <w:sz w:val="15"/>
                    <w:szCs w:val="15"/>
                  </w:rPr>
                </w:pPr>
                <w:r>
                  <w:rPr>
                    <w:sz w:val="15"/>
                    <w:szCs w:val="15"/>
                  </w:rPr>
                  <w:t>四、账面价值</w:t>
                </w:r>
              </w:p>
            </w:tc>
          </w:sdtContent>
        </w:sdt>
      </w:tr>
      <w:tr w:rsidR="00E57DAA" w14:paraId="75793DEF" w14:textId="77777777">
        <w:trPr>
          <w:trHeight w:val="340"/>
        </w:trPr>
        <w:tc>
          <w:tcPr>
            <w:tcW w:w="461" w:type="pct"/>
            <w:shd w:val="clear" w:color="auto" w:fill="auto"/>
            <w:vAlign w:val="center"/>
          </w:tcPr>
          <w:p w14:paraId="4AB61F1D" w14:textId="77777777" w:rsidR="00E57DAA" w:rsidRDefault="00AC4185">
            <w:pPr>
              <w:rPr>
                <w:sz w:val="15"/>
                <w:szCs w:val="15"/>
              </w:rPr>
            </w:pPr>
            <w:r>
              <w:rPr>
                <w:sz w:val="15"/>
                <w:szCs w:val="15"/>
              </w:rPr>
              <w:t xml:space="preserve">    1.期末账面价值</w:t>
            </w:r>
          </w:p>
        </w:tc>
        <w:tc>
          <w:tcPr>
            <w:tcW w:w="511" w:type="pct"/>
            <w:shd w:val="clear" w:color="auto" w:fill="auto"/>
            <w:vAlign w:val="center"/>
          </w:tcPr>
          <w:p w14:paraId="47D465CA" w14:textId="77777777" w:rsidR="00E57DAA" w:rsidRDefault="00AC4185">
            <w:pPr>
              <w:jc w:val="right"/>
              <w:rPr>
                <w:sz w:val="15"/>
                <w:szCs w:val="15"/>
              </w:rPr>
            </w:pPr>
            <w:r>
              <w:rPr>
                <w:sz w:val="15"/>
                <w:szCs w:val="15"/>
              </w:rPr>
              <w:t>830,444,633.28</w:t>
            </w:r>
          </w:p>
        </w:tc>
        <w:tc>
          <w:tcPr>
            <w:tcW w:w="430" w:type="pct"/>
            <w:shd w:val="clear" w:color="auto" w:fill="auto"/>
            <w:vAlign w:val="center"/>
          </w:tcPr>
          <w:p w14:paraId="3A51D073" w14:textId="77777777" w:rsidR="00E57DAA" w:rsidRDefault="00AC4185">
            <w:pPr>
              <w:jc w:val="right"/>
              <w:rPr>
                <w:sz w:val="15"/>
                <w:szCs w:val="15"/>
              </w:rPr>
            </w:pPr>
            <w:r>
              <w:rPr>
                <w:sz w:val="15"/>
                <w:szCs w:val="15"/>
              </w:rPr>
              <w:t>4,384,307.49</w:t>
            </w:r>
          </w:p>
        </w:tc>
        <w:tc>
          <w:tcPr>
            <w:tcW w:w="457" w:type="pct"/>
            <w:shd w:val="clear" w:color="auto" w:fill="auto"/>
            <w:vAlign w:val="center"/>
          </w:tcPr>
          <w:p w14:paraId="6FB68BFD" w14:textId="77777777" w:rsidR="00E57DAA" w:rsidRDefault="00AC4185">
            <w:pPr>
              <w:jc w:val="right"/>
              <w:rPr>
                <w:sz w:val="15"/>
                <w:szCs w:val="15"/>
              </w:rPr>
            </w:pPr>
            <w:r>
              <w:rPr>
                <w:sz w:val="15"/>
                <w:szCs w:val="15"/>
              </w:rPr>
              <w:t>39,844,537.81</w:t>
            </w:r>
          </w:p>
        </w:tc>
        <w:tc>
          <w:tcPr>
            <w:tcW w:w="457" w:type="pct"/>
            <w:shd w:val="clear" w:color="auto" w:fill="auto"/>
            <w:vAlign w:val="center"/>
          </w:tcPr>
          <w:p w14:paraId="49255C4D" w14:textId="77777777" w:rsidR="00E57DAA" w:rsidRDefault="00AC4185">
            <w:pPr>
              <w:jc w:val="right"/>
              <w:rPr>
                <w:sz w:val="15"/>
                <w:szCs w:val="15"/>
              </w:rPr>
            </w:pPr>
            <w:r>
              <w:rPr>
                <w:sz w:val="15"/>
                <w:szCs w:val="15"/>
              </w:rPr>
              <w:t>91,081,408.09</w:t>
            </w:r>
          </w:p>
        </w:tc>
        <w:tc>
          <w:tcPr>
            <w:tcW w:w="457" w:type="pct"/>
            <w:shd w:val="clear" w:color="auto" w:fill="auto"/>
            <w:vAlign w:val="center"/>
          </w:tcPr>
          <w:p w14:paraId="3952C553" w14:textId="77777777" w:rsidR="00E57DAA" w:rsidRDefault="00AC4185">
            <w:pPr>
              <w:jc w:val="right"/>
              <w:rPr>
                <w:sz w:val="15"/>
                <w:szCs w:val="15"/>
              </w:rPr>
            </w:pPr>
            <w:r>
              <w:rPr>
                <w:sz w:val="15"/>
                <w:szCs w:val="15"/>
              </w:rPr>
              <w:t>57,485,293.81</w:t>
            </w:r>
          </w:p>
        </w:tc>
        <w:tc>
          <w:tcPr>
            <w:tcW w:w="430" w:type="pct"/>
            <w:shd w:val="clear" w:color="auto" w:fill="auto"/>
            <w:vAlign w:val="center"/>
          </w:tcPr>
          <w:p w14:paraId="3768C257" w14:textId="77777777" w:rsidR="00E57DAA" w:rsidRDefault="00E57DAA">
            <w:pPr>
              <w:jc w:val="right"/>
              <w:rPr>
                <w:sz w:val="15"/>
                <w:szCs w:val="15"/>
              </w:rPr>
            </w:pPr>
          </w:p>
        </w:tc>
        <w:tc>
          <w:tcPr>
            <w:tcW w:w="430" w:type="pct"/>
            <w:shd w:val="clear" w:color="auto" w:fill="auto"/>
            <w:vAlign w:val="center"/>
          </w:tcPr>
          <w:p w14:paraId="48F45E7E" w14:textId="77777777" w:rsidR="00E57DAA" w:rsidRDefault="00E57DAA">
            <w:pPr>
              <w:jc w:val="right"/>
              <w:rPr>
                <w:sz w:val="15"/>
                <w:szCs w:val="15"/>
              </w:rPr>
            </w:pPr>
          </w:p>
        </w:tc>
        <w:tc>
          <w:tcPr>
            <w:tcW w:w="430" w:type="pct"/>
            <w:shd w:val="clear" w:color="auto" w:fill="auto"/>
            <w:vAlign w:val="center"/>
          </w:tcPr>
          <w:p w14:paraId="61D9EE46" w14:textId="77777777" w:rsidR="00E57DAA" w:rsidRDefault="00AC4185">
            <w:pPr>
              <w:jc w:val="right"/>
              <w:rPr>
                <w:sz w:val="15"/>
                <w:szCs w:val="15"/>
              </w:rPr>
            </w:pPr>
            <w:r>
              <w:rPr>
                <w:sz w:val="15"/>
                <w:szCs w:val="15"/>
              </w:rPr>
              <w:t>48,964,596.05</w:t>
            </w:r>
          </w:p>
        </w:tc>
        <w:tc>
          <w:tcPr>
            <w:tcW w:w="430" w:type="pct"/>
            <w:shd w:val="clear" w:color="auto" w:fill="auto"/>
            <w:vAlign w:val="center"/>
          </w:tcPr>
          <w:p w14:paraId="0096DFDB" w14:textId="77777777" w:rsidR="00E57DAA" w:rsidRDefault="00AC4185">
            <w:pPr>
              <w:jc w:val="right"/>
              <w:rPr>
                <w:sz w:val="15"/>
                <w:szCs w:val="15"/>
              </w:rPr>
            </w:pPr>
            <w:r>
              <w:rPr>
                <w:sz w:val="15"/>
                <w:szCs w:val="15"/>
              </w:rPr>
              <w:t>20,256,130.86</w:t>
            </w:r>
          </w:p>
        </w:tc>
        <w:tc>
          <w:tcPr>
            <w:tcW w:w="511" w:type="pct"/>
            <w:shd w:val="clear" w:color="auto" w:fill="auto"/>
            <w:vAlign w:val="center"/>
          </w:tcPr>
          <w:p w14:paraId="371681AB" w14:textId="77777777" w:rsidR="00E57DAA" w:rsidRDefault="00AC4185">
            <w:pPr>
              <w:jc w:val="right"/>
              <w:rPr>
                <w:sz w:val="15"/>
                <w:szCs w:val="15"/>
              </w:rPr>
            </w:pPr>
            <w:r>
              <w:rPr>
                <w:sz w:val="15"/>
                <w:szCs w:val="15"/>
              </w:rPr>
              <w:t>1,092,460,907.39</w:t>
            </w:r>
          </w:p>
        </w:tc>
      </w:tr>
      <w:tr w:rsidR="00E57DAA" w14:paraId="5B403BD2" w14:textId="77777777">
        <w:trPr>
          <w:trHeight w:val="340"/>
        </w:trPr>
        <w:tc>
          <w:tcPr>
            <w:tcW w:w="461" w:type="pct"/>
            <w:shd w:val="clear" w:color="auto" w:fill="auto"/>
            <w:vAlign w:val="center"/>
          </w:tcPr>
          <w:p w14:paraId="4749E3B3" w14:textId="77777777" w:rsidR="00E57DAA" w:rsidRDefault="00AC4185">
            <w:pPr>
              <w:rPr>
                <w:sz w:val="15"/>
                <w:szCs w:val="15"/>
              </w:rPr>
            </w:pPr>
            <w:r>
              <w:rPr>
                <w:sz w:val="15"/>
                <w:szCs w:val="15"/>
              </w:rPr>
              <w:t xml:space="preserve">    2.</w:t>
            </w:r>
            <w:r>
              <w:rPr>
                <w:rFonts w:hint="eastAsia"/>
                <w:sz w:val="15"/>
                <w:szCs w:val="15"/>
              </w:rPr>
              <w:t>期初</w:t>
            </w:r>
            <w:r>
              <w:rPr>
                <w:sz w:val="15"/>
                <w:szCs w:val="15"/>
              </w:rPr>
              <w:t>账面价值</w:t>
            </w:r>
          </w:p>
        </w:tc>
        <w:tc>
          <w:tcPr>
            <w:tcW w:w="511" w:type="pct"/>
            <w:shd w:val="clear" w:color="auto" w:fill="auto"/>
            <w:vAlign w:val="center"/>
          </w:tcPr>
          <w:p w14:paraId="78B116D3" w14:textId="77777777" w:rsidR="00E57DAA" w:rsidRDefault="00AC4185">
            <w:pPr>
              <w:jc w:val="right"/>
              <w:rPr>
                <w:sz w:val="15"/>
                <w:szCs w:val="15"/>
              </w:rPr>
            </w:pPr>
            <w:r>
              <w:rPr>
                <w:sz w:val="15"/>
                <w:szCs w:val="15"/>
              </w:rPr>
              <w:t>836,293,752.38</w:t>
            </w:r>
          </w:p>
        </w:tc>
        <w:tc>
          <w:tcPr>
            <w:tcW w:w="430" w:type="pct"/>
            <w:shd w:val="clear" w:color="auto" w:fill="auto"/>
            <w:vAlign w:val="center"/>
          </w:tcPr>
          <w:p w14:paraId="3CC5A3D3" w14:textId="77777777" w:rsidR="00E57DAA" w:rsidRDefault="00AC4185">
            <w:pPr>
              <w:jc w:val="right"/>
              <w:rPr>
                <w:sz w:val="15"/>
                <w:szCs w:val="15"/>
              </w:rPr>
            </w:pPr>
            <w:r>
              <w:rPr>
                <w:sz w:val="15"/>
                <w:szCs w:val="15"/>
              </w:rPr>
              <w:t>2,054,815.45</w:t>
            </w:r>
          </w:p>
        </w:tc>
        <w:tc>
          <w:tcPr>
            <w:tcW w:w="457" w:type="pct"/>
            <w:shd w:val="clear" w:color="auto" w:fill="auto"/>
            <w:vAlign w:val="center"/>
          </w:tcPr>
          <w:p w14:paraId="052AA335" w14:textId="77777777" w:rsidR="00E57DAA" w:rsidRDefault="00AC4185">
            <w:pPr>
              <w:jc w:val="right"/>
              <w:rPr>
                <w:sz w:val="15"/>
                <w:szCs w:val="15"/>
              </w:rPr>
            </w:pPr>
            <w:r>
              <w:rPr>
                <w:sz w:val="15"/>
                <w:szCs w:val="15"/>
              </w:rPr>
              <w:t>45,269,087.92</w:t>
            </w:r>
          </w:p>
        </w:tc>
        <w:tc>
          <w:tcPr>
            <w:tcW w:w="457" w:type="pct"/>
            <w:shd w:val="clear" w:color="auto" w:fill="auto"/>
            <w:vAlign w:val="center"/>
          </w:tcPr>
          <w:p w14:paraId="4FC3DBA7" w14:textId="77777777" w:rsidR="00E57DAA" w:rsidRDefault="00AC4185">
            <w:pPr>
              <w:jc w:val="right"/>
              <w:rPr>
                <w:sz w:val="15"/>
                <w:szCs w:val="15"/>
              </w:rPr>
            </w:pPr>
            <w:r>
              <w:rPr>
                <w:sz w:val="15"/>
                <w:szCs w:val="15"/>
              </w:rPr>
              <w:t>102,586,338.73</w:t>
            </w:r>
          </w:p>
        </w:tc>
        <w:tc>
          <w:tcPr>
            <w:tcW w:w="457" w:type="pct"/>
            <w:shd w:val="clear" w:color="auto" w:fill="auto"/>
            <w:vAlign w:val="center"/>
          </w:tcPr>
          <w:p w14:paraId="27CE86BD" w14:textId="77777777" w:rsidR="00E57DAA" w:rsidRDefault="00AC4185">
            <w:pPr>
              <w:jc w:val="right"/>
              <w:rPr>
                <w:sz w:val="15"/>
                <w:szCs w:val="15"/>
              </w:rPr>
            </w:pPr>
            <w:r>
              <w:rPr>
                <w:sz w:val="15"/>
                <w:szCs w:val="15"/>
              </w:rPr>
              <w:t>52,231,367.83</w:t>
            </w:r>
          </w:p>
        </w:tc>
        <w:tc>
          <w:tcPr>
            <w:tcW w:w="430" w:type="pct"/>
            <w:shd w:val="clear" w:color="auto" w:fill="auto"/>
            <w:vAlign w:val="center"/>
          </w:tcPr>
          <w:p w14:paraId="3913B7CF" w14:textId="77777777" w:rsidR="00E57DAA" w:rsidRDefault="00E57DAA">
            <w:pPr>
              <w:jc w:val="right"/>
              <w:rPr>
                <w:sz w:val="15"/>
                <w:szCs w:val="15"/>
              </w:rPr>
            </w:pPr>
          </w:p>
        </w:tc>
        <w:tc>
          <w:tcPr>
            <w:tcW w:w="430" w:type="pct"/>
            <w:shd w:val="clear" w:color="auto" w:fill="auto"/>
            <w:vAlign w:val="center"/>
          </w:tcPr>
          <w:p w14:paraId="447F4E0D" w14:textId="77777777" w:rsidR="00E57DAA" w:rsidRDefault="00AC4185">
            <w:pPr>
              <w:jc w:val="right"/>
              <w:rPr>
                <w:sz w:val="15"/>
                <w:szCs w:val="15"/>
              </w:rPr>
            </w:pPr>
            <w:r>
              <w:rPr>
                <w:sz w:val="15"/>
                <w:szCs w:val="15"/>
              </w:rPr>
              <w:t>1,046,953.96</w:t>
            </w:r>
          </w:p>
        </w:tc>
        <w:tc>
          <w:tcPr>
            <w:tcW w:w="430" w:type="pct"/>
            <w:shd w:val="clear" w:color="auto" w:fill="auto"/>
            <w:vAlign w:val="center"/>
          </w:tcPr>
          <w:p w14:paraId="62E217FF" w14:textId="77777777" w:rsidR="00E57DAA" w:rsidRDefault="00AC4185">
            <w:pPr>
              <w:jc w:val="right"/>
              <w:rPr>
                <w:sz w:val="15"/>
                <w:szCs w:val="15"/>
              </w:rPr>
            </w:pPr>
            <w:r>
              <w:rPr>
                <w:sz w:val="15"/>
                <w:szCs w:val="15"/>
              </w:rPr>
              <w:t>52,568,668.56</w:t>
            </w:r>
          </w:p>
        </w:tc>
        <w:tc>
          <w:tcPr>
            <w:tcW w:w="430" w:type="pct"/>
            <w:shd w:val="clear" w:color="auto" w:fill="auto"/>
            <w:vAlign w:val="center"/>
          </w:tcPr>
          <w:p w14:paraId="16BF7239" w14:textId="77777777" w:rsidR="00E57DAA" w:rsidRDefault="00AC4185">
            <w:pPr>
              <w:jc w:val="right"/>
              <w:rPr>
                <w:sz w:val="15"/>
                <w:szCs w:val="15"/>
              </w:rPr>
            </w:pPr>
            <w:r>
              <w:rPr>
                <w:sz w:val="15"/>
                <w:szCs w:val="15"/>
              </w:rPr>
              <w:t>22,180,317.82</w:t>
            </w:r>
          </w:p>
        </w:tc>
        <w:tc>
          <w:tcPr>
            <w:tcW w:w="511" w:type="pct"/>
            <w:shd w:val="clear" w:color="auto" w:fill="auto"/>
            <w:vAlign w:val="center"/>
          </w:tcPr>
          <w:p w14:paraId="498DAD5A" w14:textId="77777777" w:rsidR="00E57DAA" w:rsidRDefault="00AC4185">
            <w:pPr>
              <w:jc w:val="right"/>
              <w:rPr>
                <w:sz w:val="15"/>
                <w:szCs w:val="15"/>
              </w:rPr>
            </w:pPr>
            <w:r>
              <w:rPr>
                <w:sz w:val="15"/>
                <w:szCs w:val="15"/>
              </w:rPr>
              <w:t>1,114,231,302.65</w:t>
            </w:r>
          </w:p>
        </w:tc>
      </w:tr>
    </w:tbl>
    <w:p w14:paraId="4A43D73B" w14:textId="77777777" w:rsidR="00E57DAA" w:rsidRDefault="00E57DAA" w:rsidP="00C25422">
      <w:pPr>
        <w:pStyle w:val="92"/>
      </w:pPr>
    </w:p>
    <w:p w14:paraId="27A4DA83" w14:textId="77777777" w:rsidR="00E57DAA" w:rsidRDefault="00AC4185">
      <w:pPr>
        <w:pStyle w:val="4"/>
        <w:numPr>
          <w:ilvl w:val="3"/>
          <w:numId w:val="88"/>
        </w:numPr>
        <w:ind w:left="426" w:hanging="426"/>
      </w:pPr>
      <w:r>
        <w:rPr>
          <w:rFonts w:hint="eastAsia"/>
        </w:rPr>
        <w:t>未办妥产权证书的土地使用权情况</w:t>
      </w:r>
    </w:p>
    <w:p w14:paraId="7A5F9287" w14:textId="77777777" w:rsidR="00E57DAA" w:rsidRDefault="00EB41A1" w:rsidP="00C25422">
      <w:pPr>
        <w:pStyle w:val="92"/>
      </w:pPr>
      <w:sdt>
        <w:sdtPr>
          <w:alias w:val="是否适用：未办妥产权证书的土地使用权情况[双击切换]"/>
          <w:tag w:val="_GBC_62bb02d09b844cb69dfe16466ac211c9"/>
          <w:id w:val="1105158037"/>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3F853510" w14:textId="77777777" w:rsidR="00E57DAA" w:rsidRDefault="00E57DAA">
      <w:pPr>
        <w:rPr>
          <w:szCs w:val="21"/>
        </w:rPr>
      </w:pPr>
    </w:p>
    <w:p w14:paraId="74516F91" w14:textId="77777777" w:rsidR="00E57DAA" w:rsidRDefault="00AC4185">
      <w:pPr>
        <w:pStyle w:val="4"/>
        <w:numPr>
          <w:ilvl w:val="0"/>
          <w:numId w:val="87"/>
        </w:numPr>
        <w:ind w:left="450" w:hanging="450"/>
      </w:pPr>
      <w:bookmarkStart w:id="270" w:name="_Hlk153461844"/>
      <w:r>
        <w:rPr>
          <w:rFonts w:hint="eastAsia"/>
        </w:rPr>
        <w:t>无形资产的减值测试情况</w:t>
      </w:r>
    </w:p>
    <w:sdt>
      <w:sdtPr>
        <w:alias w:val="是否适用：减值测试情况[双击切换]"/>
        <w:tag w:val="_GBC_c5612c50ddb44cf8892aefcbaf89a0f7"/>
        <w:id w:val="901563152"/>
        <w:placeholder>
          <w:docPart w:val="GBC22222222222222222222222222222"/>
        </w:placeholder>
      </w:sdtPr>
      <w:sdtEndPr/>
      <w:sdtContent>
        <w:p w14:paraId="7331F5D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0"/>
    <w:p w14:paraId="5EB08C12" w14:textId="77777777" w:rsidR="00E57DAA" w:rsidRDefault="00E57DAA">
      <w:pPr>
        <w:snapToGrid w:val="0"/>
        <w:spacing w:line="240" w:lineRule="atLeast"/>
        <w:rPr>
          <w:szCs w:val="21"/>
        </w:rPr>
      </w:pPr>
    </w:p>
    <w:p w14:paraId="35FA8873" w14:textId="77777777" w:rsidR="00E57DAA" w:rsidRDefault="00AC4185">
      <w:pPr>
        <w:rPr>
          <w:szCs w:val="21"/>
        </w:rPr>
      </w:pPr>
      <w:r>
        <w:rPr>
          <w:rFonts w:hint="eastAsia"/>
          <w:szCs w:val="21"/>
        </w:rPr>
        <w:t>其他说明：</w:t>
      </w:r>
    </w:p>
    <w:sdt>
      <w:sdtPr>
        <w:rPr>
          <w:szCs w:val="21"/>
        </w:rPr>
        <w:alias w:val="是否适用：无形资产的说明[双击切换]"/>
        <w:tag w:val="_GBC_ff92654365f04f7ba71b01dd8af2f696"/>
        <w:id w:val="-1752034051"/>
        <w:placeholder>
          <w:docPart w:val="GBC22222222222222222222222222222"/>
        </w:placeholder>
      </w:sdtPr>
      <w:sdtEndPr/>
      <w:sdtContent>
        <w:p w14:paraId="67516B8E"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98273D" w14:textId="77777777" w:rsidR="00E57DAA" w:rsidRDefault="00E57DAA">
      <w:pPr>
        <w:snapToGrid w:val="0"/>
        <w:spacing w:line="240" w:lineRule="atLeast"/>
        <w:rPr>
          <w:szCs w:val="21"/>
        </w:rPr>
        <w:sectPr w:rsidR="00E57DAA" w:rsidSect="00226547">
          <w:pgSz w:w="16838" w:h="11906" w:orient="landscape"/>
          <w:pgMar w:top="1276" w:right="1440" w:bottom="1797" w:left="1525" w:header="856" w:footer="992" w:gutter="0"/>
          <w:cols w:space="425"/>
          <w:docGrid w:linePitch="312"/>
        </w:sectPr>
      </w:pPr>
    </w:p>
    <w:p w14:paraId="1D262448" w14:textId="77777777" w:rsidR="00E57DAA" w:rsidRDefault="00E57DAA">
      <w:pPr>
        <w:snapToGrid w:val="0"/>
        <w:spacing w:line="240" w:lineRule="atLeast"/>
        <w:rPr>
          <w:szCs w:val="21"/>
        </w:rPr>
      </w:pPr>
    </w:p>
    <w:p w14:paraId="5B4A9ED1" w14:textId="77777777" w:rsidR="00E57DAA" w:rsidRDefault="00AC4185" w:rsidP="00C25422">
      <w:pPr>
        <w:pStyle w:val="91"/>
        <w:numPr>
          <w:ilvl w:val="0"/>
          <w:numId w:val="69"/>
        </w:numPr>
      </w:pPr>
      <w:r>
        <w:rPr>
          <w:rFonts w:hint="eastAsia"/>
        </w:rPr>
        <w:t>商誉</w:t>
      </w:r>
    </w:p>
    <w:p w14:paraId="58BBAEC3" w14:textId="77777777" w:rsidR="00E57DAA" w:rsidRDefault="00AC4185">
      <w:pPr>
        <w:pStyle w:val="4"/>
        <w:numPr>
          <w:ilvl w:val="3"/>
          <w:numId w:val="89"/>
        </w:numPr>
        <w:ind w:left="426" w:hanging="426"/>
      </w:pPr>
      <w:r>
        <w:rPr>
          <w:rFonts w:hint="eastAsia"/>
        </w:rPr>
        <w:t>商誉账面原值</w:t>
      </w:r>
    </w:p>
    <w:sdt>
      <w:sdtPr>
        <w:alias w:val="是否适用：商誉账面原值[双击切换]"/>
        <w:tag w:val="_GBC_ef393f0687ab4747a43cd96895a18dcb"/>
        <w:id w:val="1946874542"/>
        <w:placeholder>
          <w:docPart w:val="GBC22222222222222222222222222222"/>
        </w:placeholder>
      </w:sdtPr>
      <w:sdtEndPr/>
      <w:sdtContent>
        <w:p w14:paraId="332C4BD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65C773" w14:textId="77777777" w:rsidR="00E57DAA" w:rsidRDefault="00AC4185">
      <w:pPr>
        <w:jc w:val="right"/>
        <w:rPr>
          <w:szCs w:val="21"/>
        </w:rPr>
      </w:pPr>
      <w:r>
        <w:rPr>
          <w:rFonts w:hint="eastAsia"/>
          <w:szCs w:val="21"/>
        </w:rPr>
        <w:t>单位：</w:t>
      </w:r>
      <w:sdt>
        <w:sdtPr>
          <w:rPr>
            <w:rFonts w:hint="eastAsia"/>
            <w:szCs w:val="21"/>
          </w:rPr>
          <w:alias w:val="单位：财务附注：商誉"/>
          <w:tag w:val="_GBC_1969cb3272364bc49f9ccb754d95df61"/>
          <w:id w:val="17261806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1097059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6"/>
        <w:gridCol w:w="2268"/>
        <w:gridCol w:w="1702"/>
        <w:gridCol w:w="1702"/>
        <w:gridCol w:w="995"/>
        <w:gridCol w:w="1056"/>
        <w:gridCol w:w="2174"/>
      </w:tblGrid>
      <w:tr w:rsidR="00E57DAA" w14:paraId="432AD4DB" w14:textId="77777777">
        <w:trPr>
          <w:trHeight w:val="284"/>
          <w:jc w:val="center"/>
        </w:trPr>
        <w:sdt>
          <w:sdtPr>
            <w:tag w:val="_PLD_321a0416f313455db9437f8692d7d27e"/>
            <w:id w:val="-2022384554"/>
          </w:sdtPr>
          <w:sdtEndPr/>
          <w:sdtContent>
            <w:tc>
              <w:tcPr>
                <w:tcW w:w="1430" w:type="pct"/>
                <w:vMerge w:val="restart"/>
                <w:shd w:val="clear" w:color="auto" w:fill="auto"/>
                <w:vAlign w:val="center"/>
              </w:tcPr>
              <w:p w14:paraId="6CA172E5" w14:textId="77777777" w:rsidR="00E57DAA" w:rsidRDefault="00AC4185">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1267187782"/>
          </w:sdtPr>
          <w:sdtEndPr/>
          <w:sdtContent>
            <w:tc>
              <w:tcPr>
                <w:tcW w:w="818" w:type="pct"/>
                <w:vMerge w:val="restart"/>
                <w:shd w:val="clear" w:color="auto" w:fill="auto"/>
                <w:vAlign w:val="center"/>
              </w:tcPr>
              <w:p w14:paraId="08C1BF85" w14:textId="77777777" w:rsidR="00E57DAA" w:rsidRDefault="00AC4185">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1525091321"/>
          </w:sdtPr>
          <w:sdtEndPr/>
          <w:sdtContent>
            <w:tc>
              <w:tcPr>
                <w:tcW w:w="1228" w:type="pct"/>
                <w:gridSpan w:val="2"/>
                <w:shd w:val="clear" w:color="auto" w:fill="auto"/>
                <w:vAlign w:val="center"/>
              </w:tcPr>
              <w:p w14:paraId="0BDCFC67" w14:textId="77777777" w:rsidR="00E57DAA" w:rsidRDefault="00AC4185">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667525478"/>
          </w:sdtPr>
          <w:sdtEndPr/>
          <w:sdtContent>
            <w:tc>
              <w:tcPr>
                <w:tcW w:w="740" w:type="pct"/>
                <w:gridSpan w:val="2"/>
                <w:shd w:val="clear" w:color="auto" w:fill="auto"/>
                <w:vAlign w:val="center"/>
              </w:tcPr>
              <w:p w14:paraId="37CBBFE7" w14:textId="77777777" w:rsidR="00E57DAA" w:rsidRDefault="00AC4185">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437949009"/>
          </w:sdtPr>
          <w:sdtEndPr/>
          <w:sdtContent>
            <w:tc>
              <w:tcPr>
                <w:tcW w:w="785" w:type="pct"/>
                <w:vMerge w:val="restart"/>
                <w:shd w:val="clear" w:color="auto" w:fill="auto"/>
                <w:vAlign w:val="center"/>
              </w:tcPr>
              <w:p w14:paraId="1E8DDB82" w14:textId="77777777" w:rsidR="00E57DAA" w:rsidRDefault="00AC4185">
                <w:pPr>
                  <w:autoSpaceDE w:val="0"/>
                  <w:autoSpaceDN w:val="0"/>
                  <w:adjustRightInd w:val="0"/>
                  <w:snapToGrid w:val="0"/>
                  <w:jc w:val="center"/>
                  <w:rPr>
                    <w:szCs w:val="21"/>
                  </w:rPr>
                </w:pPr>
                <w:r>
                  <w:rPr>
                    <w:rFonts w:hint="eastAsia"/>
                    <w:szCs w:val="21"/>
                  </w:rPr>
                  <w:t>期末余额</w:t>
                </w:r>
              </w:p>
            </w:tc>
          </w:sdtContent>
        </w:sdt>
      </w:tr>
      <w:tr w:rsidR="00E57DAA" w14:paraId="63B711E5" w14:textId="77777777">
        <w:trPr>
          <w:trHeight w:val="535"/>
          <w:jc w:val="center"/>
        </w:trPr>
        <w:tc>
          <w:tcPr>
            <w:tcW w:w="1430" w:type="pct"/>
            <w:vMerge/>
            <w:shd w:val="clear" w:color="auto" w:fill="auto"/>
          </w:tcPr>
          <w:p w14:paraId="5D34AC19" w14:textId="77777777" w:rsidR="00E57DAA" w:rsidRDefault="00E57DAA">
            <w:pPr>
              <w:autoSpaceDE w:val="0"/>
              <w:autoSpaceDN w:val="0"/>
              <w:adjustRightInd w:val="0"/>
              <w:snapToGrid w:val="0"/>
              <w:jc w:val="center"/>
              <w:rPr>
                <w:szCs w:val="21"/>
              </w:rPr>
            </w:pPr>
          </w:p>
        </w:tc>
        <w:tc>
          <w:tcPr>
            <w:tcW w:w="818" w:type="pct"/>
            <w:vMerge/>
            <w:shd w:val="clear" w:color="auto" w:fill="auto"/>
          </w:tcPr>
          <w:p w14:paraId="48BB336B" w14:textId="77777777" w:rsidR="00E57DAA" w:rsidRDefault="00E57DAA">
            <w:pPr>
              <w:autoSpaceDE w:val="0"/>
              <w:autoSpaceDN w:val="0"/>
              <w:adjustRightInd w:val="0"/>
              <w:snapToGrid w:val="0"/>
              <w:jc w:val="center"/>
              <w:rPr>
                <w:szCs w:val="21"/>
              </w:rPr>
            </w:pPr>
          </w:p>
        </w:tc>
        <w:tc>
          <w:tcPr>
            <w:tcW w:w="614" w:type="pct"/>
            <w:shd w:val="clear" w:color="auto" w:fill="auto"/>
            <w:vAlign w:val="center"/>
          </w:tcPr>
          <w:p w14:paraId="50B05EC5" w14:textId="77777777" w:rsidR="00E57DAA" w:rsidRDefault="00AC4185">
            <w:pPr>
              <w:autoSpaceDE w:val="0"/>
              <w:autoSpaceDN w:val="0"/>
              <w:adjustRightInd w:val="0"/>
              <w:snapToGrid w:val="0"/>
              <w:jc w:val="center"/>
              <w:rPr>
                <w:szCs w:val="21"/>
              </w:rPr>
            </w:pPr>
            <w:r>
              <w:rPr>
                <w:rFonts w:hint="eastAsia"/>
                <w:szCs w:val="21"/>
              </w:rPr>
              <w:t>企业合并形成的</w:t>
            </w:r>
          </w:p>
        </w:tc>
        <w:tc>
          <w:tcPr>
            <w:tcW w:w="614" w:type="pct"/>
            <w:shd w:val="clear" w:color="auto" w:fill="auto"/>
            <w:vAlign w:val="center"/>
          </w:tcPr>
          <w:p w14:paraId="19308FAC" w14:textId="77777777" w:rsidR="00E57DAA" w:rsidRDefault="00AC4185">
            <w:pPr>
              <w:autoSpaceDE w:val="0"/>
              <w:autoSpaceDN w:val="0"/>
              <w:adjustRightInd w:val="0"/>
              <w:snapToGrid w:val="0"/>
              <w:jc w:val="center"/>
              <w:rPr>
                <w:szCs w:val="21"/>
              </w:rPr>
            </w:pPr>
            <w:r>
              <w:rPr>
                <w:rFonts w:hint="eastAsia"/>
                <w:szCs w:val="21"/>
              </w:rPr>
              <w:t>其他</w:t>
            </w:r>
          </w:p>
        </w:tc>
        <w:tc>
          <w:tcPr>
            <w:tcW w:w="359" w:type="pct"/>
            <w:shd w:val="clear" w:color="auto" w:fill="auto"/>
            <w:vAlign w:val="center"/>
          </w:tcPr>
          <w:p w14:paraId="770486BB" w14:textId="77777777" w:rsidR="00E57DAA" w:rsidRDefault="00AC4185">
            <w:pPr>
              <w:autoSpaceDE w:val="0"/>
              <w:autoSpaceDN w:val="0"/>
              <w:adjustRightInd w:val="0"/>
              <w:snapToGrid w:val="0"/>
              <w:jc w:val="center"/>
              <w:rPr>
                <w:szCs w:val="21"/>
              </w:rPr>
            </w:pPr>
            <w:r>
              <w:rPr>
                <w:rFonts w:hint="eastAsia"/>
                <w:szCs w:val="21"/>
              </w:rPr>
              <w:t>处置</w:t>
            </w:r>
          </w:p>
        </w:tc>
        <w:tc>
          <w:tcPr>
            <w:tcW w:w="381" w:type="pct"/>
            <w:shd w:val="clear" w:color="auto" w:fill="auto"/>
            <w:vAlign w:val="center"/>
          </w:tcPr>
          <w:p w14:paraId="03B1BE8E" w14:textId="77777777" w:rsidR="00E57DAA" w:rsidRDefault="00AC4185">
            <w:pPr>
              <w:autoSpaceDE w:val="0"/>
              <w:autoSpaceDN w:val="0"/>
              <w:adjustRightInd w:val="0"/>
              <w:snapToGrid w:val="0"/>
              <w:jc w:val="center"/>
              <w:rPr>
                <w:szCs w:val="21"/>
              </w:rPr>
            </w:pPr>
            <w:r>
              <w:rPr>
                <w:rFonts w:hint="eastAsia"/>
                <w:szCs w:val="21"/>
              </w:rPr>
              <w:t>其他</w:t>
            </w:r>
          </w:p>
        </w:tc>
        <w:tc>
          <w:tcPr>
            <w:tcW w:w="785" w:type="pct"/>
            <w:vMerge/>
            <w:shd w:val="clear" w:color="auto" w:fill="auto"/>
          </w:tcPr>
          <w:p w14:paraId="54E8028F" w14:textId="77777777" w:rsidR="00E57DAA" w:rsidRDefault="00E57DAA">
            <w:pPr>
              <w:autoSpaceDE w:val="0"/>
              <w:autoSpaceDN w:val="0"/>
              <w:adjustRightInd w:val="0"/>
              <w:snapToGrid w:val="0"/>
              <w:jc w:val="center"/>
              <w:rPr>
                <w:szCs w:val="21"/>
              </w:rPr>
            </w:pPr>
          </w:p>
        </w:tc>
      </w:tr>
      <w:tr w:rsidR="00E57DAA" w14:paraId="53FB9E50" w14:textId="77777777">
        <w:trPr>
          <w:trHeight w:val="246"/>
          <w:jc w:val="center"/>
        </w:trPr>
        <w:tc>
          <w:tcPr>
            <w:tcW w:w="1430" w:type="pct"/>
            <w:shd w:val="clear" w:color="auto" w:fill="auto"/>
          </w:tcPr>
          <w:p w14:paraId="01367841" w14:textId="77777777" w:rsidR="00E57DAA" w:rsidRDefault="00AC4185">
            <w:pPr>
              <w:autoSpaceDE w:val="0"/>
              <w:autoSpaceDN w:val="0"/>
              <w:adjustRightInd w:val="0"/>
              <w:snapToGrid w:val="0"/>
              <w:rPr>
                <w:szCs w:val="21"/>
              </w:rPr>
            </w:pPr>
            <w:r>
              <w:t>德国HAZEMAG公司</w:t>
            </w:r>
          </w:p>
        </w:tc>
        <w:tc>
          <w:tcPr>
            <w:tcW w:w="818" w:type="pct"/>
            <w:shd w:val="clear" w:color="auto" w:fill="auto"/>
            <w:vAlign w:val="center"/>
          </w:tcPr>
          <w:p w14:paraId="21B004F8" w14:textId="77777777" w:rsidR="00E57DAA" w:rsidRDefault="00AC4185">
            <w:pPr>
              <w:autoSpaceDE w:val="0"/>
              <w:autoSpaceDN w:val="0"/>
              <w:adjustRightInd w:val="0"/>
              <w:snapToGrid w:val="0"/>
              <w:jc w:val="right"/>
              <w:rPr>
                <w:szCs w:val="21"/>
              </w:rPr>
            </w:pPr>
            <w:r>
              <w:t>481,572,649.12</w:t>
            </w:r>
          </w:p>
        </w:tc>
        <w:tc>
          <w:tcPr>
            <w:tcW w:w="614" w:type="pct"/>
            <w:shd w:val="clear" w:color="auto" w:fill="auto"/>
            <w:vAlign w:val="center"/>
          </w:tcPr>
          <w:p w14:paraId="78BB7023"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49C9F672" w14:textId="77777777" w:rsidR="00E57DAA" w:rsidRDefault="00AC4185">
            <w:pPr>
              <w:autoSpaceDE w:val="0"/>
              <w:autoSpaceDN w:val="0"/>
              <w:adjustRightInd w:val="0"/>
              <w:snapToGrid w:val="0"/>
              <w:jc w:val="right"/>
              <w:rPr>
                <w:szCs w:val="21"/>
              </w:rPr>
            </w:pPr>
            <w:r>
              <w:t>28,305,668.51</w:t>
            </w:r>
          </w:p>
        </w:tc>
        <w:tc>
          <w:tcPr>
            <w:tcW w:w="359" w:type="pct"/>
            <w:shd w:val="clear" w:color="auto" w:fill="auto"/>
            <w:vAlign w:val="center"/>
          </w:tcPr>
          <w:p w14:paraId="64006215"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7DBFA454"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3C102F84" w14:textId="77777777" w:rsidR="00E57DAA" w:rsidRDefault="00AC4185">
            <w:pPr>
              <w:autoSpaceDE w:val="0"/>
              <w:autoSpaceDN w:val="0"/>
              <w:adjustRightInd w:val="0"/>
              <w:snapToGrid w:val="0"/>
              <w:jc w:val="right"/>
              <w:rPr>
                <w:szCs w:val="21"/>
              </w:rPr>
            </w:pPr>
            <w:r>
              <w:t>509,878,317.63</w:t>
            </w:r>
          </w:p>
        </w:tc>
      </w:tr>
      <w:tr w:rsidR="00E57DAA" w14:paraId="4B047764" w14:textId="77777777">
        <w:trPr>
          <w:trHeight w:val="246"/>
          <w:jc w:val="center"/>
        </w:trPr>
        <w:tc>
          <w:tcPr>
            <w:tcW w:w="1430" w:type="pct"/>
            <w:shd w:val="clear" w:color="auto" w:fill="auto"/>
          </w:tcPr>
          <w:p w14:paraId="76F54836" w14:textId="77777777" w:rsidR="00E57DAA" w:rsidRDefault="00AC4185">
            <w:pPr>
              <w:autoSpaceDE w:val="0"/>
              <w:autoSpaceDN w:val="0"/>
              <w:adjustRightInd w:val="0"/>
              <w:snapToGrid w:val="0"/>
              <w:rPr>
                <w:szCs w:val="21"/>
              </w:rPr>
            </w:pPr>
            <w:r>
              <w:t>中材国际水务科技（合肥）有限公司</w:t>
            </w:r>
          </w:p>
        </w:tc>
        <w:tc>
          <w:tcPr>
            <w:tcW w:w="818" w:type="pct"/>
            <w:shd w:val="clear" w:color="auto" w:fill="auto"/>
            <w:vAlign w:val="center"/>
          </w:tcPr>
          <w:p w14:paraId="3AE04810" w14:textId="77777777" w:rsidR="00E57DAA" w:rsidRDefault="00AC4185">
            <w:pPr>
              <w:autoSpaceDE w:val="0"/>
              <w:autoSpaceDN w:val="0"/>
              <w:adjustRightInd w:val="0"/>
              <w:snapToGrid w:val="0"/>
              <w:jc w:val="right"/>
              <w:rPr>
                <w:szCs w:val="21"/>
              </w:rPr>
            </w:pPr>
            <w:r>
              <w:t>704,880,065.68</w:t>
            </w:r>
          </w:p>
        </w:tc>
        <w:tc>
          <w:tcPr>
            <w:tcW w:w="614" w:type="pct"/>
            <w:shd w:val="clear" w:color="auto" w:fill="auto"/>
            <w:vAlign w:val="center"/>
          </w:tcPr>
          <w:p w14:paraId="49395ECF"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38F7129A"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79916AE5"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5ABEC1EF"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6322D9A5" w14:textId="77777777" w:rsidR="00E57DAA" w:rsidRDefault="00AC4185">
            <w:pPr>
              <w:autoSpaceDE w:val="0"/>
              <w:autoSpaceDN w:val="0"/>
              <w:adjustRightInd w:val="0"/>
              <w:snapToGrid w:val="0"/>
              <w:jc w:val="right"/>
              <w:rPr>
                <w:szCs w:val="21"/>
              </w:rPr>
            </w:pPr>
            <w:r>
              <w:t>704,880,065.68</w:t>
            </w:r>
          </w:p>
        </w:tc>
      </w:tr>
      <w:tr w:rsidR="00E57DAA" w14:paraId="7D637F13" w14:textId="77777777">
        <w:trPr>
          <w:trHeight w:val="246"/>
          <w:jc w:val="center"/>
        </w:trPr>
        <w:tc>
          <w:tcPr>
            <w:tcW w:w="1430" w:type="pct"/>
            <w:shd w:val="clear" w:color="auto" w:fill="auto"/>
          </w:tcPr>
          <w:p w14:paraId="0565191D" w14:textId="77777777" w:rsidR="00E57DAA" w:rsidRDefault="00AC4185">
            <w:pPr>
              <w:autoSpaceDE w:val="0"/>
              <w:autoSpaceDN w:val="0"/>
              <w:adjustRightInd w:val="0"/>
              <w:snapToGrid w:val="0"/>
              <w:rPr>
                <w:szCs w:val="21"/>
              </w:rPr>
            </w:pPr>
            <w:r>
              <w:t>浙江博宇机电有限公司</w:t>
            </w:r>
          </w:p>
        </w:tc>
        <w:tc>
          <w:tcPr>
            <w:tcW w:w="818" w:type="pct"/>
            <w:shd w:val="clear" w:color="auto" w:fill="auto"/>
            <w:vAlign w:val="center"/>
          </w:tcPr>
          <w:p w14:paraId="12812296" w14:textId="77777777" w:rsidR="00E57DAA" w:rsidRDefault="00AC4185">
            <w:pPr>
              <w:autoSpaceDE w:val="0"/>
              <w:autoSpaceDN w:val="0"/>
              <w:adjustRightInd w:val="0"/>
              <w:snapToGrid w:val="0"/>
              <w:jc w:val="right"/>
              <w:rPr>
                <w:szCs w:val="21"/>
              </w:rPr>
            </w:pPr>
            <w:r>
              <w:t>218,838,507.61</w:t>
            </w:r>
          </w:p>
        </w:tc>
        <w:tc>
          <w:tcPr>
            <w:tcW w:w="614" w:type="pct"/>
            <w:shd w:val="clear" w:color="auto" w:fill="auto"/>
            <w:vAlign w:val="center"/>
          </w:tcPr>
          <w:p w14:paraId="7F189F0B"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6E9A5EEE"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3338CD11"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251FE1B7"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5322E978" w14:textId="77777777" w:rsidR="00E57DAA" w:rsidRDefault="00AC4185">
            <w:pPr>
              <w:autoSpaceDE w:val="0"/>
              <w:autoSpaceDN w:val="0"/>
              <w:adjustRightInd w:val="0"/>
              <w:snapToGrid w:val="0"/>
              <w:jc w:val="right"/>
              <w:rPr>
                <w:szCs w:val="21"/>
              </w:rPr>
            </w:pPr>
            <w:r>
              <w:t>218,838,507.61</w:t>
            </w:r>
          </w:p>
        </w:tc>
      </w:tr>
      <w:tr w:rsidR="00E57DAA" w14:paraId="70062DF9" w14:textId="77777777">
        <w:trPr>
          <w:trHeight w:val="246"/>
          <w:jc w:val="center"/>
        </w:trPr>
        <w:tc>
          <w:tcPr>
            <w:tcW w:w="1430" w:type="pct"/>
            <w:shd w:val="clear" w:color="auto" w:fill="auto"/>
          </w:tcPr>
          <w:p w14:paraId="6D0EFDFA" w14:textId="77777777" w:rsidR="00E57DAA" w:rsidRDefault="00AC4185">
            <w:pPr>
              <w:autoSpaceDE w:val="0"/>
              <w:autoSpaceDN w:val="0"/>
              <w:adjustRightInd w:val="0"/>
              <w:snapToGrid w:val="0"/>
              <w:rPr>
                <w:szCs w:val="21"/>
              </w:rPr>
            </w:pPr>
            <w:r>
              <w:rPr>
                <w:rFonts w:hint="eastAsia"/>
              </w:rPr>
              <w:t>印度</w:t>
            </w:r>
            <w:r>
              <w:t>LNVT私人有限公司</w:t>
            </w:r>
          </w:p>
        </w:tc>
        <w:tc>
          <w:tcPr>
            <w:tcW w:w="818" w:type="pct"/>
            <w:shd w:val="clear" w:color="auto" w:fill="auto"/>
            <w:vAlign w:val="center"/>
          </w:tcPr>
          <w:p w14:paraId="7332463F" w14:textId="77777777" w:rsidR="00E57DAA" w:rsidRDefault="00AC4185">
            <w:pPr>
              <w:autoSpaceDE w:val="0"/>
              <w:autoSpaceDN w:val="0"/>
              <w:adjustRightInd w:val="0"/>
              <w:snapToGrid w:val="0"/>
              <w:jc w:val="right"/>
              <w:rPr>
                <w:szCs w:val="21"/>
              </w:rPr>
            </w:pPr>
            <w:r>
              <w:t>57,764,891.11</w:t>
            </w:r>
          </w:p>
        </w:tc>
        <w:tc>
          <w:tcPr>
            <w:tcW w:w="614" w:type="pct"/>
            <w:shd w:val="clear" w:color="auto" w:fill="auto"/>
            <w:vAlign w:val="center"/>
          </w:tcPr>
          <w:p w14:paraId="6ABDC46A"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0D24F525"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5DDD4FBA"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0E4870C2"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0C1A8252" w14:textId="77777777" w:rsidR="00E57DAA" w:rsidRDefault="00AC4185">
            <w:pPr>
              <w:autoSpaceDE w:val="0"/>
              <w:autoSpaceDN w:val="0"/>
              <w:adjustRightInd w:val="0"/>
              <w:snapToGrid w:val="0"/>
              <w:jc w:val="right"/>
              <w:rPr>
                <w:szCs w:val="21"/>
              </w:rPr>
            </w:pPr>
            <w:r>
              <w:t>57,764,891.11</w:t>
            </w:r>
          </w:p>
        </w:tc>
      </w:tr>
      <w:tr w:rsidR="00E57DAA" w14:paraId="3C65F784" w14:textId="77777777">
        <w:trPr>
          <w:trHeight w:val="246"/>
          <w:jc w:val="center"/>
        </w:trPr>
        <w:tc>
          <w:tcPr>
            <w:tcW w:w="1430" w:type="pct"/>
            <w:shd w:val="clear" w:color="auto" w:fill="auto"/>
          </w:tcPr>
          <w:p w14:paraId="381E8D6A" w14:textId="77777777" w:rsidR="00E57DAA" w:rsidRDefault="00AC4185">
            <w:pPr>
              <w:autoSpaceDE w:val="0"/>
              <w:autoSpaceDN w:val="0"/>
              <w:adjustRightInd w:val="0"/>
              <w:snapToGrid w:val="0"/>
              <w:rPr>
                <w:szCs w:val="21"/>
              </w:rPr>
            </w:pPr>
            <w:r>
              <w:t>中材智能科技（成都）有限公司</w:t>
            </w:r>
          </w:p>
        </w:tc>
        <w:tc>
          <w:tcPr>
            <w:tcW w:w="818" w:type="pct"/>
            <w:shd w:val="clear" w:color="auto" w:fill="auto"/>
            <w:vAlign w:val="center"/>
          </w:tcPr>
          <w:p w14:paraId="0723DAFA" w14:textId="77777777" w:rsidR="00E57DAA" w:rsidRDefault="00AC4185">
            <w:pPr>
              <w:autoSpaceDE w:val="0"/>
              <w:autoSpaceDN w:val="0"/>
              <w:adjustRightInd w:val="0"/>
              <w:snapToGrid w:val="0"/>
              <w:jc w:val="right"/>
              <w:rPr>
                <w:szCs w:val="21"/>
              </w:rPr>
            </w:pPr>
            <w:r>
              <w:t>13,997,778.84</w:t>
            </w:r>
          </w:p>
        </w:tc>
        <w:tc>
          <w:tcPr>
            <w:tcW w:w="614" w:type="pct"/>
            <w:shd w:val="clear" w:color="auto" w:fill="auto"/>
            <w:vAlign w:val="center"/>
          </w:tcPr>
          <w:p w14:paraId="05945688"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26C84B3E"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6CFB46F6"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7EDE4978"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30B57569" w14:textId="77777777" w:rsidR="00E57DAA" w:rsidRDefault="00AC4185">
            <w:pPr>
              <w:autoSpaceDE w:val="0"/>
              <w:autoSpaceDN w:val="0"/>
              <w:adjustRightInd w:val="0"/>
              <w:snapToGrid w:val="0"/>
              <w:jc w:val="right"/>
              <w:rPr>
                <w:szCs w:val="21"/>
              </w:rPr>
            </w:pPr>
            <w:r>
              <w:t>13,997,778.84</w:t>
            </w:r>
          </w:p>
        </w:tc>
      </w:tr>
      <w:tr w:rsidR="00E57DAA" w14:paraId="16D6D5D3" w14:textId="77777777">
        <w:trPr>
          <w:trHeight w:val="246"/>
          <w:jc w:val="center"/>
        </w:trPr>
        <w:tc>
          <w:tcPr>
            <w:tcW w:w="1430" w:type="pct"/>
            <w:shd w:val="clear" w:color="auto" w:fill="auto"/>
          </w:tcPr>
          <w:p w14:paraId="2ED54989" w14:textId="77777777" w:rsidR="00E57DAA" w:rsidRDefault="00AC4185">
            <w:pPr>
              <w:autoSpaceDE w:val="0"/>
              <w:autoSpaceDN w:val="0"/>
              <w:adjustRightInd w:val="0"/>
              <w:snapToGrid w:val="0"/>
              <w:rPr>
                <w:szCs w:val="21"/>
              </w:rPr>
            </w:pPr>
            <w:r>
              <w:t>中建材（合肥）钢构科技有限公司</w:t>
            </w:r>
          </w:p>
        </w:tc>
        <w:tc>
          <w:tcPr>
            <w:tcW w:w="818" w:type="pct"/>
            <w:shd w:val="clear" w:color="auto" w:fill="auto"/>
            <w:vAlign w:val="center"/>
          </w:tcPr>
          <w:p w14:paraId="4772EAA8" w14:textId="77777777" w:rsidR="00E57DAA" w:rsidRDefault="00AC4185">
            <w:pPr>
              <w:autoSpaceDE w:val="0"/>
              <w:autoSpaceDN w:val="0"/>
              <w:adjustRightInd w:val="0"/>
              <w:snapToGrid w:val="0"/>
              <w:jc w:val="right"/>
              <w:rPr>
                <w:szCs w:val="21"/>
              </w:rPr>
            </w:pPr>
            <w:r>
              <w:t>12,199,893.57</w:t>
            </w:r>
          </w:p>
        </w:tc>
        <w:tc>
          <w:tcPr>
            <w:tcW w:w="614" w:type="pct"/>
            <w:shd w:val="clear" w:color="auto" w:fill="auto"/>
            <w:vAlign w:val="center"/>
          </w:tcPr>
          <w:p w14:paraId="1EA0F95D"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208B1F75"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14428799"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5758C5FB"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03B02061" w14:textId="77777777" w:rsidR="00E57DAA" w:rsidRDefault="00AC4185">
            <w:pPr>
              <w:autoSpaceDE w:val="0"/>
              <w:autoSpaceDN w:val="0"/>
              <w:adjustRightInd w:val="0"/>
              <w:snapToGrid w:val="0"/>
              <w:jc w:val="right"/>
              <w:rPr>
                <w:szCs w:val="21"/>
              </w:rPr>
            </w:pPr>
            <w:r>
              <w:t>12,199,893.57</w:t>
            </w:r>
          </w:p>
        </w:tc>
      </w:tr>
      <w:tr w:rsidR="00E57DAA" w14:paraId="2A352035" w14:textId="77777777">
        <w:trPr>
          <w:trHeight w:val="246"/>
          <w:jc w:val="center"/>
        </w:trPr>
        <w:tc>
          <w:tcPr>
            <w:tcW w:w="1430" w:type="pct"/>
            <w:shd w:val="clear" w:color="auto" w:fill="auto"/>
          </w:tcPr>
          <w:p w14:paraId="4AD5B60D" w14:textId="77777777" w:rsidR="00E57DAA" w:rsidRDefault="00AC4185">
            <w:pPr>
              <w:autoSpaceDE w:val="0"/>
              <w:autoSpaceDN w:val="0"/>
              <w:adjustRightInd w:val="0"/>
              <w:snapToGrid w:val="0"/>
              <w:rPr>
                <w:szCs w:val="21"/>
              </w:rPr>
            </w:pPr>
            <w:r>
              <w:t>湖北秦鸿新材料股份有限公司</w:t>
            </w:r>
          </w:p>
        </w:tc>
        <w:tc>
          <w:tcPr>
            <w:tcW w:w="818" w:type="pct"/>
            <w:shd w:val="clear" w:color="auto" w:fill="auto"/>
            <w:vAlign w:val="center"/>
          </w:tcPr>
          <w:p w14:paraId="03B5E59F" w14:textId="77777777" w:rsidR="00E57DAA" w:rsidRDefault="00AC4185">
            <w:pPr>
              <w:autoSpaceDE w:val="0"/>
              <w:autoSpaceDN w:val="0"/>
              <w:adjustRightInd w:val="0"/>
              <w:snapToGrid w:val="0"/>
              <w:jc w:val="right"/>
              <w:rPr>
                <w:szCs w:val="21"/>
              </w:rPr>
            </w:pPr>
            <w:r>
              <w:t>8,255,978.52</w:t>
            </w:r>
          </w:p>
        </w:tc>
        <w:tc>
          <w:tcPr>
            <w:tcW w:w="614" w:type="pct"/>
            <w:shd w:val="clear" w:color="auto" w:fill="auto"/>
            <w:vAlign w:val="center"/>
          </w:tcPr>
          <w:p w14:paraId="7436B084"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711EBB26"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42FEA31B"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3DC417DA"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26D3E641" w14:textId="77777777" w:rsidR="00E57DAA" w:rsidRDefault="00AC4185">
            <w:pPr>
              <w:autoSpaceDE w:val="0"/>
              <w:autoSpaceDN w:val="0"/>
              <w:adjustRightInd w:val="0"/>
              <w:snapToGrid w:val="0"/>
              <w:jc w:val="right"/>
              <w:rPr>
                <w:szCs w:val="21"/>
              </w:rPr>
            </w:pPr>
            <w:r>
              <w:t>8,255,978.52</w:t>
            </w:r>
          </w:p>
        </w:tc>
      </w:tr>
      <w:tr w:rsidR="00E57DAA" w14:paraId="38FE5C88" w14:textId="77777777">
        <w:trPr>
          <w:trHeight w:val="246"/>
          <w:jc w:val="center"/>
        </w:trPr>
        <w:tc>
          <w:tcPr>
            <w:tcW w:w="1430" w:type="pct"/>
            <w:shd w:val="clear" w:color="auto" w:fill="auto"/>
          </w:tcPr>
          <w:p w14:paraId="53216DDD" w14:textId="77777777" w:rsidR="00E57DAA" w:rsidRDefault="00AC4185">
            <w:pPr>
              <w:autoSpaceDE w:val="0"/>
              <w:autoSpaceDN w:val="0"/>
              <w:adjustRightInd w:val="0"/>
              <w:snapToGrid w:val="0"/>
              <w:rPr>
                <w:szCs w:val="21"/>
              </w:rPr>
            </w:pPr>
            <w:r>
              <w:t>江苏凯希盟科技有限公司</w:t>
            </w:r>
          </w:p>
        </w:tc>
        <w:tc>
          <w:tcPr>
            <w:tcW w:w="818" w:type="pct"/>
            <w:shd w:val="clear" w:color="auto" w:fill="auto"/>
            <w:vAlign w:val="center"/>
          </w:tcPr>
          <w:p w14:paraId="4480A49B" w14:textId="77777777" w:rsidR="00E57DAA" w:rsidRDefault="00E57DAA">
            <w:pPr>
              <w:autoSpaceDE w:val="0"/>
              <w:autoSpaceDN w:val="0"/>
              <w:adjustRightInd w:val="0"/>
              <w:snapToGrid w:val="0"/>
              <w:jc w:val="right"/>
              <w:rPr>
                <w:szCs w:val="21"/>
              </w:rPr>
            </w:pPr>
          </w:p>
        </w:tc>
        <w:tc>
          <w:tcPr>
            <w:tcW w:w="614" w:type="pct"/>
            <w:shd w:val="clear" w:color="auto" w:fill="auto"/>
            <w:vAlign w:val="center"/>
          </w:tcPr>
          <w:p w14:paraId="1637A8AD" w14:textId="77777777" w:rsidR="00E57DAA" w:rsidRDefault="00AC4185">
            <w:pPr>
              <w:autoSpaceDE w:val="0"/>
              <w:autoSpaceDN w:val="0"/>
              <w:adjustRightInd w:val="0"/>
              <w:snapToGrid w:val="0"/>
              <w:jc w:val="right"/>
              <w:rPr>
                <w:szCs w:val="21"/>
              </w:rPr>
            </w:pPr>
            <w:r>
              <w:t>3,375,594.69</w:t>
            </w:r>
          </w:p>
        </w:tc>
        <w:tc>
          <w:tcPr>
            <w:tcW w:w="614" w:type="pct"/>
            <w:shd w:val="clear" w:color="auto" w:fill="auto"/>
            <w:vAlign w:val="center"/>
          </w:tcPr>
          <w:p w14:paraId="704EAA92" w14:textId="77777777" w:rsidR="00E57DAA" w:rsidRDefault="00E57DAA">
            <w:pPr>
              <w:autoSpaceDE w:val="0"/>
              <w:autoSpaceDN w:val="0"/>
              <w:adjustRightInd w:val="0"/>
              <w:snapToGrid w:val="0"/>
              <w:jc w:val="right"/>
              <w:rPr>
                <w:szCs w:val="21"/>
              </w:rPr>
            </w:pPr>
          </w:p>
        </w:tc>
        <w:tc>
          <w:tcPr>
            <w:tcW w:w="359" w:type="pct"/>
            <w:shd w:val="clear" w:color="auto" w:fill="auto"/>
            <w:vAlign w:val="center"/>
          </w:tcPr>
          <w:p w14:paraId="14F285F3"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370965C3"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7E91C34D" w14:textId="77777777" w:rsidR="00E57DAA" w:rsidRDefault="00AC4185">
            <w:pPr>
              <w:autoSpaceDE w:val="0"/>
              <w:autoSpaceDN w:val="0"/>
              <w:adjustRightInd w:val="0"/>
              <w:snapToGrid w:val="0"/>
              <w:jc w:val="right"/>
              <w:rPr>
                <w:szCs w:val="21"/>
              </w:rPr>
            </w:pPr>
            <w:r>
              <w:t>3,375,594.69</w:t>
            </w:r>
          </w:p>
        </w:tc>
      </w:tr>
      <w:tr w:rsidR="00E57DAA" w14:paraId="0838DF30" w14:textId="77777777">
        <w:trPr>
          <w:trHeight w:val="296"/>
          <w:jc w:val="center"/>
        </w:trPr>
        <w:tc>
          <w:tcPr>
            <w:tcW w:w="1430" w:type="pct"/>
            <w:shd w:val="clear" w:color="auto" w:fill="auto"/>
            <w:vAlign w:val="center"/>
          </w:tcPr>
          <w:p w14:paraId="1130951E" w14:textId="77777777" w:rsidR="00E57DAA" w:rsidRDefault="00AC4185">
            <w:pPr>
              <w:autoSpaceDE w:val="0"/>
              <w:autoSpaceDN w:val="0"/>
              <w:adjustRightInd w:val="0"/>
              <w:snapToGrid w:val="0"/>
              <w:jc w:val="center"/>
              <w:rPr>
                <w:szCs w:val="21"/>
                <w:u w:val="double"/>
              </w:rPr>
            </w:pPr>
            <w:r>
              <w:rPr>
                <w:rFonts w:hint="eastAsia"/>
                <w:szCs w:val="21"/>
              </w:rPr>
              <w:t>合计</w:t>
            </w:r>
          </w:p>
        </w:tc>
        <w:tc>
          <w:tcPr>
            <w:tcW w:w="818" w:type="pct"/>
            <w:shd w:val="clear" w:color="auto" w:fill="auto"/>
            <w:vAlign w:val="center"/>
          </w:tcPr>
          <w:p w14:paraId="0FD54CDC" w14:textId="77777777" w:rsidR="00E57DAA" w:rsidRDefault="00AC4185">
            <w:pPr>
              <w:autoSpaceDE w:val="0"/>
              <w:autoSpaceDN w:val="0"/>
              <w:adjustRightInd w:val="0"/>
              <w:snapToGrid w:val="0"/>
              <w:jc w:val="right"/>
              <w:rPr>
                <w:szCs w:val="21"/>
              </w:rPr>
            </w:pPr>
            <w:r>
              <w:t>1,497,509,764.45</w:t>
            </w:r>
          </w:p>
        </w:tc>
        <w:tc>
          <w:tcPr>
            <w:tcW w:w="614" w:type="pct"/>
            <w:shd w:val="clear" w:color="auto" w:fill="auto"/>
            <w:vAlign w:val="center"/>
          </w:tcPr>
          <w:p w14:paraId="04F246CD" w14:textId="77777777" w:rsidR="00E57DAA" w:rsidRDefault="00AC4185">
            <w:pPr>
              <w:autoSpaceDE w:val="0"/>
              <w:autoSpaceDN w:val="0"/>
              <w:adjustRightInd w:val="0"/>
              <w:snapToGrid w:val="0"/>
              <w:jc w:val="right"/>
              <w:rPr>
                <w:szCs w:val="21"/>
              </w:rPr>
            </w:pPr>
            <w:r>
              <w:t>3,375,594.69</w:t>
            </w:r>
          </w:p>
        </w:tc>
        <w:tc>
          <w:tcPr>
            <w:tcW w:w="614" w:type="pct"/>
            <w:shd w:val="clear" w:color="auto" w:fill="auto"/>
            <w:vAlign w:val="center"/>
          </w:tcPr>
          <w:p w14:paraId="5D92E6C2" w14:textId="77777777" w:rsidR="00E57DAA" w:rsidRDefault="00AC4185">
            <w:pPr>
              <w:autoSpaceDE w:val="0"/>
              <w:autoSpaceDN w:val="0"/>
              <w:adjustRightInd w:val="0"/>
              <w:snapToGrid w:val="0"/>
              <w:jc w:val="right"/>
              <w:rPr>
                <w:szCs w:val="21"/>
              </w:rPr>
            </w:pPr>
            <w:r>
              <w:t>28,305,668.51</w:t>
            </w:r>
          </w:p>
        </w:tc>
        <w:tc>
          <w:tcPr>
            <w:tcW w:w="359" w:type="pct"/>
            <w:shd w:val="clear" w:color="auto" w:fill="auto"/>
            <w:vAlign w:val="center"/>
          </w:tcPr>
          <w:p w14:paraId="67AB9AD5" w14:textId="77777777" w:rsidR="00E57DAA" w:rsidRDefault="00E57DAA">
            <w:pPr>
              <w:autoSpaceDE w:val="0"/>
              <w:autoSpaceDN w:val="0"/>
              <w:adjustRightInd w:val="0"/>
              <w:snapToGrid w:val="0"/>
              <w:jc w:val="right"/>
              <w:rPr>
                <w:szCs w:val="21"/>
              </w:rPr>
            </w:pPr>
          </w:p>
        </w:tc>
        <w:tc>
          <w:tcPr>
            <w:tcW w:w="381" w:type="pct"/>
            <w:shd w:val="clear" w:color="auto" w:fill="auto"/>
            <w:vAlign w:val="center"/>
          </w:tcPr>
          <w:p w14:paraId="3D5FCEF8" w14:textId="77777777" w:rsidR="00E57DAA" w:rsidRDefault="00E57DAA">
            <w:pPr>
              <w:autoSpaceDE w:val="0"/>
              <w:autoSpaceDN w:val="0"/>
              <w:adjustRightInd w:val="0"/>
              <w:snapToGrid w:val="0"/>
              <w:jc w:val="right"/>
              <w:rPr>
                <w:szCs w:val="21"/>
              </w:rPr>
            </w:pPr>
          </w:p>
        </w:tc>
        <w:tc>
          <w:tcPr>
            <w:tcW w:w="785" w:type="pct"/>
            <w:shd w:val="clear" w:color="auto" w:fill="auto"/>
            <w:vAlign w:val="center"/>
          </w:tcPr>
          <w:p w14:paraId="1F93E806" w14:textId="77777777" w:rsidR="00E57DAA" w:rsidRDefault="00AC4185">
            <w:pPr>
              <w:autoSpaceDE w:val="0"/>
              <w:autoSpaceDN w:val="0"/>
              <w:adjustRightInd w:val="0"/>
              <w:snapToGrid w:val="0"/>
              <w:jc w:val="right"/>
              <w:rPr>
                <w:szCs w:val="21"/>
              </w:rPr>
            </w:pPr>
            <w:r>
              <w:t>1,529,191,027.65</w:t>
            </w:r>
          </w:p>
        </w:tc>
      </w:tr>
    </w:tbl>
    <w:p w14:paraId="08D6DFF9" w14:textId="77777777" w:rsidR="00E57DAA" w:rsidRDefault="00E57DAA" w:rsidP="00C25422">
      <w:pPr>
        <w:pStyle w:val="92"/>
      </w:pPr>
    </w:p>
    <w:p w14:paraId="365B1B64" w14:textId="77777777" w:rsidR="00E57DAA" w:rsidRDefault="00AC4185">
      <w:pPr>
        <w:pStyle w:val="4"/>
        <w:numPr>
          <w:ilvl w:val="3"/>
          <w:numId w:val="89"/>
        </w:numPr>
        <w:ind w:left="426" w:hanging="426"/>
      </w:pPr>
      <w:r>
        <w:rPr>
          <w:rFonts w:hint="eastAsia"/>
        </w:rPr>
        <w:t>商誉减值准备</w:t>
      </w:r>
    </w:p>
    <w:sdt>
      <w:sdtPr>
        <w:alias w:val="是否适用：商誉减值准备[双击切换]"/>
        <w:tag w:val="_GBC_6da4c3df55cf453f9753bb7045db7e9c"/>
        <w:id w:val="-2122527716"/>
        <w:placeholder>
          <w:docPart w:val="GBC22222222222222222222222222222"/>
        </w:placeholder>
      </w:sdtPr>
      <w:sdtEndPr/>
      <w:sdtContent>
        <w:p w14:paraId="60368D3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D35DAE" w14:textId="77777777" w:rsidR="00E57DAA" w:rsidRDefault="00AC4185">
      <w:pPr>
        <w:jc w:val="right"/>
      </w:pPr>
      <w:r>
        <w:rPr>
          <w:rFonts w:hint="eastAsia"/>
        </w:rPr>
        <w:t>单位：</w:t>
      </w:r>
      <w:sdt>
        <w:sdtPr>
          <w:rPr>
            <w:rFonts w:hint="eastAsia"/>
          </w:rPr>
          <w:alias w:val="单位：财务附注：商誉减值准备"/>
          <w:tag w:val="_GBC_f57fd757a9b44c6ebaa3d245d43745bc"/>
          <w:id w:val="-9819339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1269314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3"/>
        <w:gridCol w:w="1953"/>
        <w:gridCol w:w="1952"/>
        <w:gridCol w:w="1816"/>
        <w:gridCol w:w="1395"/>
        <w:gridCol w:w="1292"/>
        <w:gridCol w:w="1722"/>
      </w:tblGrid>
      <w:tr w:rsidR="00E57DAA" w14:paraId="2E92416F" w14:textId="77777777">
        <w:trPr>
          <w:trHeight w:val="255"/>
          <w:jc w:val="center"/>
        </w:trPr>
        <w:sdt>
          <w:sdtPr>
            <w:tag w:val="_PLD_18986b1742bd44dfbf2a33ba8f31cdbc"/>
            <w:id w:val="-1465810632"/>
          </w:sdtPr>
          <w:sdtEndPr/>
          <w:sdtContent>
            <w:tc>
              <w:tcPr>
                <w:tcW w:w="1346" w:type="pct"/>
                <w:vMerge w:val="restart"/>
                <w:shd w:val="clear" w:color="auto" w:fill="auto"/>
                <w:vAlign w:val="center"/>
              </w:tcPr>
              <w:p w14:paraId="72BD9D9F" w14:textId="77777777" w:rsidR="00E57DAA" w:rsidRDefault="00AC4185">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1426177971"/>
          </w:sdtPr>
          <w:sdtEndPr/>
          <w:sdtContent>
            <w:tc>
              <w:tcPr>
                <w:tcW w:w="704" w:type="pct"/>
                <w:vMerge w:val="restart"/>
                <w:shd w:val="clear" w:color="auto" w:fill="auto"/>
                <w:vAlign w:val="center"/>
              </w:tcPr>
              <w:p w14:paraId="6F54CC8D" w14:textId="77777777" w:rsidR="00E57DAA" w:rsidRDefault="00AC4185">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789793216"/>
          </w:sdtPr>
          <w:sdtEndPr/>
          <w:sdtContent>
            <w:tc>
              <w:tcPr>
                <w:tcW w:w="1359" w:type="pct"/>
                <w:gridSpan w:val="2"/>
                <w:shd w:val="clear" w:color="auto" w:fill="auto"/>
                <w:vAlign w:val="center"/>
              </w:tcPr>
              <w:p w14:paraId="23383DBA" w14:textId="77777777" w:rsidR="00E57DAA" w:rsidRDefault="00AC4185">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803767970"/>
          </w:sdtPr>
          <w:sdtEndPr/>
          <w:sdtContent>
            <w:tc>
              <w:tcPr>
                <w:tcW w:w="969" w:type="pct"/>
                <w:gridSpan w:val="2"/>
                <w:shd w:val="clear" w:color="auto" w:fill="auto"/>
                <w:vAlign w:val="center"/>
              </w:tcPr>
              <w:p w14:paraId="3FA4CFD4" w14:textId="77777777" w:rsidR="00E57DAA" w:rsidRDefault="00AC4185">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527679861"/>
          </w:sdtPr>
          <w:sdtEndPr/>
          <w:sdtContent>
            <w:tc>
              <w:tcPr>
                <w:tcW w:w="621" w:type="pct"/>
                <w:vMerge w:val="restart"/>
                <w:shd w:val="clear" w:color="auto" w:fill="auto"/>
                <w:vAlign w:val="center"/>
              </w:tcPr>
              <w:p w14:paraId="30C5C7E4" w14:textId="77777777" w:rsidR="00E57DAA" w:rsidRDefault="00AC4185">
                <w:pPr>
                  <w:autoSpaceDE w:val="0"/>
                  <w:autoSpaceDN w:val="0"/>
                  <w:adjustRightInd w:val="0"/>
                  <w:snapToGrid w:val="0"/>
                  <w:jc w:val="center"/>
                  <w:rPr>
                    <w:szCs w:val="21"/>
                  </w:rPr>
                </w:pPr>
                <w:r>
                  <w:rPr>
                    <w:rFonts w:hint="eastAsia"/>
                    <w:szCs w:val="21"/>
                  </w:rPr>
                  <w:t>期末余额</w:t>
                </w:r>
              </w:p>
            </w:tc>
          </w:sdtContent>
        </w:sdt>
      </w:tr>
      <w:tr w:rsidR="00E57DAA" w14:paraId="7DC79960" w14:textId="77777777">
        <w:trPr>
          <w:trHeight w:val="296"/>
          <w:jc w:val="center"/>
        </w:trPr>
        <w:tc>
          <w:tcPr>
            <w:tcW w:w="1346" w:type="pct"/>
            <w:vMerge/>
            <w:shd w:val="clear" w:color="auto" w:fill="auto"/>
          </w:tcPr>
          <w:p w14:paraId="3BE4FD5E" w14:textId="77777777" w:rsidR="00E57DAA" w:rsidRDefault="00E57DAA">
            <w:pPr>
              <w:autoSpaceDE w:val="0"/>
              <w:autoSpaceDN w:val="0"/>
              <w:adjustRightInd w:val="0"/>
              <w:snapToGrid w:val="0"/>
              <w:rPr>
                <w:szCs w:val="21"/>
              </w:rPr>
            </w:pPr>
          </w:p>
        </w:tc>
        <w:tc>
          <w:tcPr>
            <w:tcW w:w="704" w:type="pct"/>
            <w:vMerge/>
            <w:shd w:val="clear" w:color="auto" w:fill="auto"/>
            <w:vAlign w:val="center"/>
          </w:tcPr>
          <w:p w14:paraId="5AD8C1E9" w14:textId="77777777" w:rsidR="00E57DAA" w:rsidRDefault="00E57DAA">
            <w:pPr>
              <w:autoSpaceDE w:val="0"/>
              <w:autoSpaceDN w:val="0"/>
              <w:adjustRightInd w:val="0"/>
              <w:snapToGrid w:val="0"/>
              <w:jc w:val="right"/>
              <w:rPr>
                <w:szCs w:val="21"/>
              </w:rPr>
            </w:pPr>
          </w:p>
        </w:tc>
        <w:tc>
          <w:tcPr>
            <w:tcW w:w="704" w:type="pct"/>
            <w:shd w:val="clear" w:color="auto" w:fill="auto"/>
            <w:vAlign w:val="center"/>
          </w:tcPr>
          <w:p w14:paraId="4893DB6A" w14:textId="77777777" w:rsidR="00E57DAA" w:rsidRDefault="00AC4185">
            <w:pPr>
              <w:autoSpaceDE w:val="0"/>
              <w:autoSpaceDN w:val="0"/>
              <w:adjustRightInd w:val="0"/>
              <w:snapToGrid w:val="0"/>
              <w:jc w:val="center"/>
              <w:rPr>
                <w:szCs w:val="21"/>
              </w:rPr>
            </w:pPr>
            <w:r>
              <w:rPr>
                <w:rFonts w:hint="eastAsia"/>
                <w:szCs w:val="21"/>
              </w:rPr>
              <w:t>计提</w:t>
            </w:r>
          </w:p>
        </w:tc>
        <w:tc>
          <w:tcPr>
            <w:tcW w:w="655" w:type="pct"/>
            <w:shd w:val="clear" w:color="auto" w:fill="auto"/>
            <w:vAlign w:val="center"/>
          </w:tcPr>
          <w:p w14:paraId="6B554E31" w14:textId="77777777" w:rsidR="00E57DAA" w:rsidRDefault="00AC4185">
            <w:pPr>
              <w:autoSpaceDE w:val="0"/>
              <w:autoSpaceDN w:val="0"/>
              <w:adjustRightInd w:val="0"/>
              <w:snapToGrid w:val="0"/>
              <w:jc w:val="center"/>
              <w:rPr>
                <w:szCs w:val="21"/>
              </w:rPr>
            </w:pPr>
            <w:r>
              <w:rPr>
                <w:rFonts w:hint="eastAsia"/>
                <w:szCs w:val="21"/>
              </w:rPr>
              <w:t>其他</w:t>
            </w:r>
          </w:p>
        </w:tc>
        <w:tc>
          <w:tcPr>
            <w:tcW w:w="503" w:type="pct"/>
            <w:shd w:val="clear" w:color="auto" w:fill="auto"/>
            <w:vAlign w:val="center"/>
          </w:tcPr>
          <w:p w14:paraId="42A5A217" w14:textId="77777777" w:rsidR="00E57DAA" w:rsidRDefault="00AC4185">
            <w:pPr>
              <w:autoSpaceDE w:val="0"/>
              <w:autoSpaceDN w:val="0"/>
              <w:adjustRightInd w:val="0"/>
              <w:snapToGrid w:val="0"/>
              <w:jc w:val="center"/>
              <w:rPr>
                <w:szCs w:val="21"/>
              </w:rPr>
            </w:pPr>
            <w:r>
              <w:rPr>
                <w:rFonts w:hint="eastAsia"/>
                <w:szCs w:val="21"/>
              </w:rPr>
              <w:t>处置</w:t>
            </w:r>
          </w:p>
        </w:tc>
        <w:tc>
          <w:tcPr>
            <w:tcW w:w="466" w:type="pct"/>
            <w:shd w:val="clear" w:color="auto" w:fill="auto"/>
            <w:vAlign w:val="center"/>
          </w:tcPr>
          <w:p w14:paraId="67482299" w14:textId="77777777" w:rsidR="00E57DAA" w:rsidRDefault="00AC4185">
            <w:pPr>
              <w:autoSpaceDE w:val="0"/>
              <w:autoSpaceDN w:val="0"/>
              <w:adjustRightInd w:val="0"/>
              <w:snapToGrid w:val="0"/>
              <w:jc w:val="center"/>
              <w:rPr>
                <w:szCs w:val="21"/>
              </w:rPr>
            </w:pPr>
            <w:r>
              <w:rPr>
                <w:rFonts w:hint="eastAsia"/>
                <w:szCs w:val="21"/>
              </w:rPr>
              <w:t>其他</w:t>
            </w:r>
          </w:p>
        </w:tc>
        <w:tc>
          <w:tcPr>
            <w:tcW w:w="621" w:type="pct"/>
            <w:vMerge/>
            <w:shd w:val="clear" w:color="auto" w:fill="auto"/>
          </w:tcPr>
          <w:p w14:paraId="5564240B" w14:textId="77777777" w:rsidR="00E57DAA" w:rsidRDefault="00E57DAA">
            <w:pPr>
              <w:autoSpaceDE w:val="0"/>
              <w:autoSpaceDN w:val="0"/>
              <w:adjustRightInd w:val="0"/>
              <w:snapToGrid w:val="0"/>
              <w:jc w:val="center"/>
              <w:rPr>
                <w:szCs w:val="21"/>
              </w:rPr>
            </w:pPr>
          </w:p>
        </w:tc>
      </w:tr>
      <w:tr w:rsidR="00E57DAA" w14:paraId="7E3867D8" w14:textId="77777777">
        <w:trPr>
          <w:trHeight w:val="70"/>
          <w:jc w:val="center"/>
        </w:trPr>
        <w:tc>
          <w:tcPr>
            <w:tcW w:w="1346" w:type="pct"/>
            <w:shd w:val="clear" w:color="auto" w:fill="auto"/>
          </w:tcPr>
          <w:p w14:paraId="6D5400D7" w14:textId="77777777" w:rsidR="00E57DAA" w:rsidRDefault="00AC4185">
            <w:pPr>
              <w:autoSpaceDE w:val="0"/>
              <w:autoSpaceDN w:val="0"/>
              <w:adjustRightInd w:val="0"/>
              <w:snapToGrid w:val="0"/>
              <w:rPr>
                <w:szCs w:val="21"/>
              </w:rPr>
            </w:pPr>
            <w:r>
              <w:t>德国HAZEMAG公司</w:t>
            </w:r>
          </w:p>
        </w:tc>
        <w:tc>
          <w:tcPr>
            <w:tcW w:w="704" w:type="pct"/>
            <w:shd w:val="clear" w:color="auto" w:fill="auto"/>
          </w:tcPr>
          <w:p w14:paraId="4AB139CE" w14:textId="77777777" w:rsidR="00E57DAA" w:rsidRDefault="00AC4185">
            <w:pPr>
              <w:autoSpaceDE w:val="0"/>
              <w:autoSpaceDN w:val="0"/>
              <w:adjustRightInd w:val="0"/>
              <w:snapToGrid w:val="0"/>
              <w:jc w:val="right"/>
              <w:rPr>
                <w:szCs w:val="21"/>
              </w:rPr>
            </w:pPr>
            <w:r>
              <w:t>189,059,163.21</w:t>
            </w:r>
          </w:p>
        </w:tc>
        <w:tc>
          <w:tcPr>
            <w:tcW w:w="704" w:type="pct"/>
            <w:shd w:val="clear" w:color="auto" w:fill="auto"/>
          </w:tcPr>
          <w:p w14:paraId="0C037DDD" w14:textId="77777777" w:rsidR="00E57DAA" w:rsidRDefault="00AC4185">
            <w:pPr>
              <w:autoSpaceDE w:val="0"/>
              <w:autoSpaceDN w:val="0"/>
              <w:adjustRightInd w:val="0"/>
              <w:snapToGrid w:val="0"/>
              <w:jc w:val="right"/>
              <w:rPr>
                <w:szCs w:val="21"/>
              </w:rPr>
            </w:pPr>
            <w:r>
              <w:t> </w:t>
            </w:r>
          </w:p>
        </w:tc>
        <w:tc>
          <w:tcPr>
            <w:tcW w:w="655" w:type="pct"/>
            <w:shd w:val="clear" w:color="auto" w:fill="auto"/>
          </w:tcPr>
          <w:p w14:paraId="7D003B95" w14:textId="77777777" w:rsidR="00E57DAA" w:rsidRDefault="00AC4185">
            <w:pPr>
              <w:autoSpaceDE w:val="0"/>
              <w:autoSpaceDN w:val="0"/>
              <w:adjustRightInd w:val="0"/>
              <w:snapToGrid w:val="0"/>
              <w:jc w:val="right"/>
              <w:rPr>
                <w:szCs w:val="21"/>
              </w:rPr>
            </w:pPr>
            <w:r>
              <w:t>11,112,437.58</w:t>
            </w:r>
          </w:p>
        </w:tc>
        <w:tc>
          <w:tcPr>
            <w:tcW w:w="503" w:type="pct"/>
            <w:shd w:val="clear" w:color="auto" w:fill="auto"/>
          </w:tcPr>
          <w:p w14:paraId="0CFABB18" w14:textId="77777777" w:rsidR="00E57DAA" w:rsidRDefault="00AC4185">
            <w:pPr>
              <w:autoSpaceDE w:val="0"/>
              <w:autoSpaceDN w:val="0"/>
              <w:adjustRightInd w:val="0"/>
              <w:snapToGrid w:val="0"/>
              <w:jc w:val="right"/>
              <w:rPr>
                <w:szCs w:val="21"/>
              </w:rPr>
            </w:pPr>
            <w:r>
              <w:t> </w:t>
            </w:r>
          </w:p>
        </w:tc>
        <w:tc>
          <w:tcPr>
            <w:tcW w:w="466" w:type="pct"/>
            <w:shd w:val="clear" w:color="auto" w:fill="auto"/>
          </w:tcPr>
          <w:p w14:paraId="09E833DB" w14:textId="77777777" w:rsidR="00E57DAA" w:rsidRDefault="00AC4185">
            <w:pPr>
              <w:autoSpaceDE w:val="0"/>
              <w:autoSpaceDN w:val="0"/>
              <w:adjustRightInd w:val="0"/>
              <w:snapToGrid w:val="0"/>
              <w:jc w:val="right"/>
              <w:rPr>
                <w:szCs w:val="21"/>
              </w:rPr>
            </w:pPr>
            <w:r>
              <w:t> </w:t>
            </w:r>
          </w:p>
        </w:tc>
        <w:tc>
          <w:tcPr>
            <w:tcW w:w="621" w:type="pct"/>
            <w:shd w:val="clear" w:color="auto" w:fill="auto"/>
          </w:tcPr>
          <w:p w14:paraId="2C1A0B83" w14:textId="77777777" w:rsidR="00E57DAA" w:rsidRDefault="00AC4185">
            <w:pPr>
              <w:autoSpaceDE w:val="0"/>
              <w:autoSpaceDN w:val="0"/>
              <w:adjustRightInd w:val="0"/>
              <w:snapToGrid w:val="0"/>
              <w:jc w:val="right"/>
              <w:rPr>
                <w:szCs w:val="21"/>
              </w:rPr>
            </w:pPr>
            <w:r>
              <w:t>200,171,600.79</w:t>
            </w:r>
          </w:p>
        </w:tc>
      </w:tr>
      <w:tr w:rsidR="00E57DAA" w14:paraId="35457634" w14:textId="77777777">
        <w:trPr>
          <w:trHeight w:val="70"/>
          <w:jc w:val="center"/>
        </w:trPr>
        <w:tc>
          <w:tcPr>
            <w:tcW w:w="1346" w:type="pct"/>
            <w:shd w:val="clear" w:color="auto" w:fill="auto"/>
          </w:tcPr>
          <w:p w14:paraId="54F4BFB4" w14:textId="77777777" w:rsidR="00E57DAA" w:rsidRDefault="00AC4185">
            <w:pPr>
              <w:autoSpaceDE w:val="0"/>
              <w:autoSpaceDN w:val="0"/>
              <w:adjustRightInd w:val="0"/>
              <w:snapToGrid w:val="0"/>
              <w:rPr>
                <w:szCs w:val="21"/>
              </w:rPr>
            </w:pPr>
            <w:r>
              <w:t>中材国际水务科技（合肥）有限公司</w:t>
            </w:r>
          </w:p>
        </w:tc>
        <w:tc>
          <w:tcPr>
            <w:tcW w:w="704" w:type="pct"/>
            <w:shd w:val="clear" w:color="auto" w:fill="auto"/>
          </w:tcPr>
          <w:p w14:paraId="4C6B4E82" w14:textId="77777777" w:rsidR="00E57DAA" w:rsidRDefault="00AC4185">
            <w:pPr>
              <w:autoSpaceDE w:val="0"/>
              <w:autoSpaceDN w:val="0"/>
              <w:adjustRightInd w:val="0"/>
              <w:snapToGrid w:val="0"/>
              <w:jc w:val="right"/>
              <w:rPr>
                <w:szCs w:val="21"/>
              </w:rPr>
            </w:pPr>
            <w:r>
              <w:t>353,073,377.69</w:t>
            </w:r>
          </w:p>
        </w:tc>
        <w:tc>
          <w:tcPr>
            <w:tcW w:w="704" w:type="pct"/>
            <w:shd w:val="clear" w:color="auto" w:fill="auto"/>
          </w:tcPr>
          <w:p w14:paraId="4BAF9D34" w14:textId="77777777" w:rsidR="00E57DAA" w:rsidRDefault="00AC4185">
            <w:pPr>
              <w:autoSpaceDE w:val="0"/>
              <w:autoSpaceDN w:val="0"/>
              <w:adjustRightInd w:val="0"/>
              <w:snapToGrid w:val="0"/>
              <w:jc w:val="right"/>
              <w:rPr>
                <w:szCs w:val="21"/>
              </w:rPr>
            </w:pPr>
            <w:r>
              <w:t> </w:t>
            </w:r>
          </w:p>
        </w:tc>
        <w:tc>
          <w:tcPr>
            <w:tcW w:w="655" w:type="pct"/>
            <w:shd w:val="clear" w:color="auto" w:fill="auto"/>
          </w:tcPr>
          <w:p w14:paraId="2B2EB4C6" w14:textId="77777777" w:rsidR="00E57DAA" w:rsidRDefault="00AC4185">
            <w:pPr>
              <w:autoSpaceDE w:val="0"/>
              <w:autoSpaceDN w:val="0"/>
              <w:adjustRightInd w:val="0"/>
              <w:snapToGrid w:val="0"/>
              <w:jc w:val="right"/>
              <w:rPr>
                <w:szCs w:val="21"/>
              </w:rPr>
            </w:pPr>
            <w:r>
              <w:t> </w:t>
            </w:r>
          </w:p>
        </w:tc>
        <w:tc>
          <w:tcPr>
            <w:tcW w:w="503" w:type="pct"/>
            <w:shd w:val="clear" w:color="auto" w:fill="auto"/>
          </w:tcPr>
          <w:p w14:paraId="39D9E473" w14:textId="77777777" w:rsidR="00E57DAA" w:rsidRDefault="00AC4185">
            <w:pPr>
              <w:autoSpaceDE w:val="0"/>
              <w:autoSpaceDN w:val="0"/>
              <w:adjustRightInd w:val="0"/>
              <w:snapToGrid w:val="0"/>
              <w:jc w:val="right"/>
              <w:rPr>
                <w:szCs w:val="21"/>
              </w:rPr>
            </w:pPr>
            <w:r>
              <w:t> </w:t>
            </w:r>
          </w:p>
        </w:tc>
        <w:tc>
          <w:tcPr>
            <w:tcW w:w="466" w:type="pct"/>
            <w:shd w:val="clear" w:color="auto" w:fill="auto"/>
          </w:tcPr>
          <w:p w14:paraId="771DE56B" w14:textId="77777777" w:rsidR="00E57DAA" w:rsidRDefault="00AC4185">
            <w:pPr>
              <w:autoSpaceDE w:val="0"/>
              <w:autoSpaceDN w:val="0"/>
              <w:adjustRightInd w:val="0"/>
              <w:snapToGrid w:val="0"/>
              <w:jc w:val="right"/>
              <w:rPr>
                <w:szCs w:val="21"/>
              </w:rPr>
            </w:pPr>
            <w:r>
              <w:t> </w:t>
            </w:r>
          </w:p>
        </w:tc>
        <w:tc>
          <w:tcPr>
            <w:tcW w:w="621" w:type="pct"/>
            <w:shd w:val="clear" w:color="auto" w:fill="auto"/>
          </w:tcPr>
          <w:p w14:paraId="50F72B50" w14:textId="77777777" w:rsidR="00E57DAA" w:rsidRDefault="00AC4185">
            <w:pPr>
              <w:autoSpaceDE w:val="0"/>
              <w:autoSpaceDN w:val="0"/>
              <w:adjustRightInd w:val="0"/>
              <w:snapToGrid w:val="0"/>
              <w:jc w:val="right"/>
              <w:rPr>
                <w:szCs w:val="21"/>
              </w:rPr>
            </w:pPr>
            <w:r>
              <w:t>353,073,377.69</w:t>
            </w:r>
          </w:p>
        </w:tc>
      </w:tr>
      <w:tr w:rsidR="00E57DAA" w14:paraId="61F769E4" w14:textId="77777777">
        <w:trPr>
          <w:trHeight w:val="70"/>
          <w:jc w:val="center"/>
        </w:trPr>
        <w:tc>
          <w:tcPr>
            <w:tcW w:w="1346" w:type="pct"/>
            <w:shd w:val="clear" w:color="auto" w:fill="auto"/>
          </w:tcPr>
          <w:p w14:paraId="44D47013" w14:textId="77777777" w:rsidR="00E57DAA" w:rsidRDefault="00AC4185">
            <w:pPr>
              <w:autoSpaceDE w:val="0"/>
              <w:autoSpaceDN w:val="0"/>
              <w:adjustRightInd w:val="0"/>
              <w:snapToGrid w:val="0"/>
              <w:rPr>
                <w:szCs w:val="21"/>
              </w:rPr>
            </w:pPr>
            <w:r>
              <w:t>浙江博宇机电有限公司</w:t>
            </w:r>
          </w:p>
        </w:tc>
        <w:tc>
          <w:tcPr>
            <w:tcW w:w="704" w:type="pct"/>
            <w:shd w:val="clear" w:color="auto" w:fill="auto"/>
          </w:tcPr>
          <w:p w14:paraId="24DC51CF" w14:textId="77777777" w:rsidR="00E57DAA" w:rsidRDefault="00AC4185">
            <w:pPr>
              <w:autoSpaceDE w:val="0"/>
              <w:autoSpaceDN w:val="0"/>
              <w:adjustRightInd w:val="0"/>
              <w:snapToGrid w:val="0"/>
              <w:jc w:val="right"/>
              <w:rPr>
                <w:szCs w:val="21"/>
              </w:rPr>
            </w:pPr>
            <w:r>
              <w:t> </w:t>
            </w:r>
          </w:p>
        </w:tc>
        <w:tc>
          <w:tcPr>
            <w:tcW w:w="704" w:type="pct"/>
            <w:shd w:val="clear" w:color="auto" w:fill="auto"/>
          </w:tcPr>
          <w:p w14:paraId="333B41ED" w14:textId="77777777" w:rsidR="00E57DAA" w:rsidRDefault="00AC4185">
            <w:pPr>
              <w:autoSpaceDE w:val="0"/>
              <w:autoSpaceDN w:val="0"/>
              <w:adjustRightInd w:val="0"/>
              <w:snapToGrid w:val="0"/>
              <w:jc w:val="right"/>
              <w:rPr>
                <w:szCs w:val="21"/>
              </w:rPr>
            </w:pPr>
            <w:r>
              <w:t>136,044,468.12</w:t>
            </w:r>
          </w:p>
        </w:tc>
        <w:tc>
          <w:tcPr>
            <w:tcW w:w="655" w:type="pct"/>
            <w:shd w:val="clear" w:color="auto" w:fill="auto"/>
          </w:tcPr>
          <w:p w14:paraId="035CDEC5" w14:textId="77777777" w:rsidR="00E57DAA" w:rsidRDefault="00AC4185">
            <w:pPr>
              <w:autoSpaceDE w:val="0"/>
              <w:autoSpaceDN w:val="0"/>
              <w:adjustRightInd w:val="0"/>
              <w:snapToGrid w:val="0"/>
              <w:jc w:val="right"/>
              <w:rPr>
                <w:szCs w:val="21"/>
              </w:rPr>
            </w:pPr>
            <w:r>
              <w:t> </w:t>
            </w:r>
          </w:p>
        </w:tc>
        <w:tc>
          <w:tcPr>
            <w:tcW w:w="503" w:type="pct"/>
            <w:shd w:val="clear" w:color="auto" w:fill="auto"/>
          </w:tcPr>
          <w:p w14:paraId="1CDACB7D" w14:textId="77777777" w:rsidR="00E57DAA" w:rsidRDefault="00AC4185">
            <w:pPr>
              <w:autoSpaceDE w:val="0"/>
              <w:autoSpaceDN w:val="0"/>
              <w:adjustRightInd w:val="0"/>
              <w:snapToGrid w:val="0"/>
              <w:jc w:val="right"/>
              <w:rPr>
                <w:szCs w:val="21"/>
              </w:rPr>
            </w:pPr>
            <w:r>
              <w:t> </w:t>
            </w:r>
          </w:p>
        </w:tc>
        <w:tc>
          <w:tcPr>
            <w:tcW w:w="466" w:type="pct"/>
            <w:shd w:val="clear" w:color="auto" w:fill="auto"/>
          </w:tcPr>
          <w:p w14:paraId="10BD3C6D" w14:textId="77777777" w:rsidR="00E57DAA" w:rsidRDefault="00AC4185">
            <w:pPr>
              <w:autoSpaceDE w:val="0"/>
              <w:autoSpaceDN w:val="0"/>
              <w:adjustRightInd w:val="0"/>
              <w:snapToGrid w:val="0"/>
              <w:jc w:val="right"/>
              <w:rPr>
                <w:szCs w:val="21"/>
              </w:rPr>
            </w:pPr>
            <w:r>
              <w:t> </w:t>
            </w:r>
          </w:p>
        </w:tc>
        <w:tc>
          <w:tcPr>
            <w:tcW w:w="621" w:type="pct"/>
            <w:shd w:val="clear" w:color="auto" w:fill="auto"/>
          </w:tcPr>
          <w:p w14:paraId="46C3D60C" w14:textId="77777777" w:rsidR="00E57DAA" w:rsidRDefault="00AC4185">
            <w:pPr>
              <w:autoSpaceDE w:val="0"/>
              <w:autoSpaceDN w:val="0"/>
              <w:adjustRightInd w:val="0"/>
              <w:snapToGrid w:val="0"/>
              <w:jc w:val="right"/>
              <w:rPr>
                <w:szCs w:val="21"/>
              </w:rPr>
            </w:pPr>
            <w:r>
              <w:t>136,044,468.12</w:t>
            </w:r>
          </w:p>
        </w:tc>
      </w:tr>
      <w:tr w:rsidR="00E57DAA" w14:paraId="4DE14C1D" w14:textId="77777777">
        <w:trPr>
          <w:trHeight w:val="70"/>
          <w:jc w:val="center"/>
        </w:trPr>
        <w:tc>
          <w:tcPr>
            <w:tcW w:w="1346" w:type="pct"/>
            <w:shd w:val="clear" w:color="auto" w:fill="auto"/>
          </w:tcPr>
          <w:p w14:paraId="6BA6405E" w14:textId="77777777" w:rsidR="00E57DAA" w:rsidRDefault="00AC4185">
            <w:pPr>
              <w:autoSpaceDE w:val="0"/>
              <w:autoSpaceDN w:val="0"/>
              <w:adjustRightInd w:val="0"/>
              <w:snapToGrid w:val="0"/>
              <w:rPr>
                <w:szCs w:val="21"/>
              </w:rPr>
            </w:pPr>
            <w:r>
              <w:rPr>
                <w:rFonts w:hint="eastAsia"/>
              </w:rPr>
              <w:t>印度</w:t>
            </w:r>
            <w:r>
              <w:t>LNVT私人有限公司</w:t>
            </w:r>
          </w:p>
        </w:tc>
        <w:tc>
          <w:tcPr>
            <w:tcW w:w="704" w:type="pct"/>
            <w:shd w:val="clear" w:color="auto" w:fill="auto"/>
          </w:tcPr>
          <w:p w14:paraId="64004F9B" w14:textId="77777777" w:rsidR="00E57DAA" w:rsidRDefault="00AC4185">
            <w:pPr>
              <w:autoSpaceDE w:val="0"/>
              <w:autoSpaceDN w:val="0"/>
              <w:adjustRightInd w:val="0"/>
              <w:snapToGrid w:val="0"/>
              <w:jc w:val="right"/>
              <w:rPr>
                <w:szCs w:val="21"/>
              </w:rPr>
            </w:pPr>
            <w:r>
              <w:t>57,764,891.11</w:t>
            </w:r>
          </w:p>
        </w:tc>
        <w:tc>
          <w:tcPr>
            <w:tcW w:w="704" w:type="pct"/>
            <w:shd w:val="clear" w:color="auto" w:fill="auto"/>
          </w:tcPr>
          <w:p w14:paraId="7AFAD814" w14:textId="77777777" w:rsidR="00E57DAA" w:rsidRDefault="00AC4185">
            <w:pPr>
              <w:autoSpaceDE w:val="0"/>
              <w:autoSpaceDN w:val="0"/>
              <w:adjustRightInd w:val="0"/>
              <w:snapToGrid w:val="0"/>
              <w:jc w:val="right"/>
              <w:rPr>
                <w:szCs w:val="21"/>
              </w:rPr>
            </w:pPr>
            <w:r>
              <w:t> </w:t>
            </w:r>
          </w:p>
        </w:tc>
        <w:tc>
          <w:tcPr>
            <w:tcW w:w="655" w:type="pct"/>
            <w:shd w:val="clear" w:color="auto" w:fill="auto"/>
          </w:tcPr>
          <w:p w14:paraId="04407141" w14:textId="77777777" w:rsidR="00E57DAA" w:rsidRDefault="00AC4185">
            <w:pPr>
              <w:autoSpaceDE w:val="0"/>
              <w:autoSpaceDN w:val="0"/>
              <w:adjustRightInd w:val="0"/>
              <w:snapToGrid w:val="0"/>
              <w:jc w:val="right"/>
              <w:rPr>
                <w:szCs w:val="21"/>
              </w:rPr>
            </w:pPr>
            <w:r>
              <w:t> </w:t>
            </w:r>
          </w:p>
        </w:tc>
        <w:tc>
          <w:tcPr>
            <w:tcW w:w="503" w:type="pct"/>
            <w:shd w:val="clear" w:color="auto" w:fill="auto"/>
          </w:tcPr>
          <w:p w14:paraId="37457300" w14:textId="77777777" w:rsidR="00E57DAA" w:rsidRDefault="00AC4185">
            <w:pPr>
              <w:autoSpaceDE w:val="0"/>
              <w:autoSpaceDN w:val="0"/>
              <w:adjustRightInd w:val="0"/>
              <w:snapToGrid w:val="0"/>
              <w:jc w:val="right"/>
              <w:rPr>
                <w:szCs w:val="21"/>
              </w:rPr>
            </w:pPr>
            <w:r>
              <w:t> </w:t>
            </w:r>
          </w:p>
        </w:tc>
        <w:tc>
          <w:tcPr>
            <w:tcW w:w="466" w:type="pct"/>
            <w:shd w:val="clear" w:color="auto" w:fill="auto"/>
          </w:tcPr>
          <w:p w14:paraId="7E599D2A" w14:textId="77777777" w:rsidR="00E57DAA" w:rsidRDefault="00AC4185">
            <w:pPr>
              <w:autoSpaceDE w:val="0"/>
              <w:autoSpaceDN w:val="0"/>
              <w:adjustRightInd w:val="0"/>
              <w:snapToGrid w:val="0"/>
              <w:jc w:val="right"/>
              <w:rPr>
                <w:szCs w:val="21"/>
              </w:rPr>
            </w:pPr>
            <w:r>
              <w:t> </w:t>
            </w:r>
          </w:p>
        </w:tc>
        <w:tc>
          <w:tcPr>
            <w:tcW w:w="621" w:type="pct"/>
            <w:shd w:val="clear" w:color="auto" w:fill="auto"/>
          </w:tcPr>
          <w:p w14:paraId="4EEF501D" w14:textId="77777777" w:rsidR="00E57DAA" w:rsidRDefault="00AC4185">
            <w:pPr>
              <w:autoSpaceDE w:val="0"/>
              <w:autoSpaceDN w:val="0"/>
              <w:adjustRightInd w:val="0"/>
              <w:snapToGrid w:val="0"/>
              <w:jc w:val="right"/>
              <w:rPr>
                <w:szCs w:val="21"/>
              </w:rPr>
            </w:pPr>
            <w:r>
              <w:t>57,764,891.11</w:t>
            </w:r>
          </w:p>
        </w:tc>
      </w:tr>
      <w:tr w:rsidR="00E57DAA" w14:paraId="0B433485" w14:textId="77777777">
        <w:trPr>
          <w:trHeight w:val="282"/>
          <w:jc w:val="center"/>
        </w:trPr>
        <w:tc>
          <w:tcPr>
            <w:tcW w:w="1346" w:type="pct"/>
            <w:shd w:val="clear" w:color="auto" w:fill="auto"/>
            <w:vAlign w:val="center"/>
          </w:tcPr>
          <w:p w14:paraId="5731DDBC" w14:textId="77777777" w:rsidR="00E57DAA" w:rsidRDefault="00AC4185">
            <w:pPr>
              <w:autoSpaceDE w:val="0"/>
              <w:autoSpaceDN w:val="0"/>
              <w:adjustRightInd w:val="0"/>
              <w:snapToGrid w:val="0"/>
              <w:jc w:val="center"/>
              <w:rPr>
                <w:szCs w:val="21"/>
                <w:u w:val="double"/>
              </w:rPr>
            </w:pPr>
            <w:r>
              <w:rPr>
                <w:rFonts w:hint="eastAsia"/>
                <w:szCs w:val="21"/>
              </w:rPr>
              <w:t>合计</w:t>
            </w:r>
          </w:p>
        </w:tc>
        <w:tc>
          <w:tcPr>
            <w:tcW w:w="704" w:type="pct"/>
            <w:shd w:val="clear" w:color="auto" w:fill="auto"/>
            <w:vAlign w:val="center"/>
          </w:tcPr>
          <w:p w14:paraId="2F145009" w14:textId="77777777" w:rsidR="00E57DAA" w:rsidRDefault="00AC4185">
            <w:pPr>
              <w:autoSpaceDE w:val="0"/>
              <w:autoSpaceDN w:val="0"/>
              <w:adjustRightInd w:val="0"/>
              <w:snapToGrid w:val="0"/>
              <w:jc w:val="right"/>
              <w:rPr>
                <w:szCs w:val="21"/>
              </w:rPr>
            </w:pPr>
            <w:r>
              <w:t>599,897,432.01</w:t>
            </w:r>
          </w:p>
        </w:tc>
        <w:tc>
          <w:tcPr>
            <w:tcW w:w="704" w:type="pct"/>
            <w:shd w:val="clear" w:color="auto" w:fill="auto"/>
            <w:vAlign w:val="center"/>
          </w:tcPr>
          <w:p w14:paraId="394F41D6" w14:textId="77777777" w:rsidR="00E57DAA" w:rsidRDefault="00AC4185">
            <w:pPr>
              <w:autoSpaceDE w:val="0"/>
              <w:autoSpaceDN w:val="0"/>
              <w:adjustRightInd w:val="0"/>
              <w:snapToGrid w:val="0"/>
              <w:jc w:val="right"/>
              <w:rPr>
                <w:szCs w:val="21"/>
              </w:rPr>
            </w:pPr>
            <w:r>
              <w:t>136,044,468.12</w:t>
            </w:r>
          </w:p>
        </w:tc>
        <w:tc>
          <w:tcPr>
            <w:tcW w:w="655" w:type="pct"/>
            <w:shd w:val="clear" w:color="auto" w:fill="auto"/>
            <w:vAlign w:val="center"/>
          </w:tcPr>
          <w:p w14:paraId="309D7D0B" w14:textId="77777777" w:rsidR="00E57DAA" w:rsidRDefault="00AC4185">
            <w:pPr>
              <w:autoSpaceDE w:val="0"/>
              <w:autoSpaceDN w:val="0"/>
              <w:adjustRightInd w:val="0"/>
              <w:snapToGrid w:val="0"/>
              <w:jc w:val="right"/>
              <w:rPr>
                <w:szCs w:val="21"/>
              </w:rPr>
            </w:pPr>
            <w:r>
              <w:t>11,112,437.58</w:t>
            </w:r>
          </w:p>
        </w:tc>
        <w:tc>
          <w:tcPr>
            <w:tcW w:w="503" w:type="pct"/>
            <w:shd w:val="clear" w:color="auto" w:fill="auto"/>
            <w:vAlign w:val="center"/>
          </w:tcPr>
          <w:p w14:paraId="24D2E1B8" w14:textId="77777777" w:rsidR="00E57DAA" w:rsidRDefault="00E57DAA">
            <w:pPr>
              <w:autoSpaceDE w:val="0"/>
              <w:autoSpaceDN w:val="0"/>
              <w:adjustRightInd w:val="0"/>
              <w:snapToGrid w:val="0"/>
              <w:jc w:val="right"/>
              <w:rPr>
                <w:szCs w:val="21"/>
              </w:rPr>
            </w:pPr>
          </w:p>
        </w:tc>
        <w:tc>
          <w:tcPr>
            <w:tcW w:w="466" w:type="pct"/>
            <w:shd w:val="clear" w:color="auto" w:fill="auto"/>
            <w:vAlign w:val="center"/>
          </w:tcPr>
          <w:p w14:paraId="492A17B3" w14:textId="77777777" w:rsidR="00E57DAA" w:rsidRDefault="00E57DAA">
            <w:pPr>
              <w:autoSpaceDE w:val="0"/>
              <w:autoSpaceDN w:val="0"/>
              <w:adjustRightInd w:val="0"/>
              <w:snapToGrid w:val="0"/>
              <w:jc w:val="right"/>
              <w:rPr>
                <w:szCs w:val="21"/>
              </w:rPr>
            </w:pPr>
          </w:p>
        </w:tc>
        <w:tc>
          <w:tcPr>
            <w:tcW w:w="621" w:type="pct"/>
            <w:shd w:val="clear" w:color="auto" w:fill="auto"/>
            <w:vAlign w:val="center"/>
          </w:tcPr>
          <w:p w14:paraId="6EDC0F48" w14:textId="77777777" w:rsidR="00E57DAA" w:rsidRDefault="00AC4185">
            <w:pPr>
              <w:autoSpaceDE w:val="0"/>
              <w:autoSpaceDN w:val="0"/>
              <w:adjustRightInd w:val="0"/>
              <w:snapToGrid w:val="0"/>
              <w:jc w:val="right"/>
              <w:rPr>
                <w:szCs w:val="21"/>
              </w:rPr>
            </w:pPr>
            <w:r>
              <w:t>747,054,337.71</w:t>
            </w:r>
          </w:p>
        </w:tc>
      </w:tr>
    </w:tbl>
    <w:p w14:paraId="2C42936E" w14:textId="77777777" w:rsidR="00E57DAA" w:rsidRDefault="00E57DAA" w:rsidP="00C25422">
      <w:pPr>
        <w:pStyle w:val="92"/>
      </w:pPr>
    </w:p>
    <w:p w14:paraId="111EB6E2" w14:textId="77777777" w:rsidR="00E57DAA" w:rsidRDefault="00E57DAA">
      <w:pPr>
        <w:pStyle w:val="4"/>
        <w:numPr>
          <w:ilvl w:val="3"/>
          <w:numId w:val="89"/>
        </w:numPr>
        <w:ind w:left="426" w:hanging="426"/>
        <w:rPr>
          <w:rFonts w:ascii="宋体" w:eastAsia="宋体" w:hAnsi="宋体" w:cs="宋体"/>
          <w:kern w:val="0"/>
          <w:szCs w:val="24"/>
        </w:rPr>
        <w:sectPr w:rsidR="00E57DAA" w:rsidSect="00226547">
          <w:pgSz w:w="16838" w:h="11906" w:orient="landscape"/>
          <w:pgMar w:top="1276" w:right="1440" w:bottom="1797" w:left="1525" w:header="856" w:footer="992" w:gutter="0"/>
          <w:cols w:space="425"/>
          <w:docGrid w:linePitch="312"/>
        </w:sectPr>
      </w:pPr>
    </w:p>
    <w:p w14:paraId="625AC05C" w14:textId="77777777" w:rsidR="00E57DAA" w:rsidRDefault="00AC4185">
      <w:pPr>
        <w:pStyle w:val="4"/>
        <w:numPr>
          <w:ilvl w:val="3"/>
          <w:numId w:val="89"/>
        </w:numPr>
        <w:ind w:left="426" w:hanging="426"/>
        <w:rPr>
          <w:rFonts w:ascii="宋体" w:eastAsia="宋体" w:hAnsi="宋体" w:cs="宋体"/>
          <w:kern w:val="0"/>
          <w:szCs w:val="24"/>
        </w:rPr>
      </w:pPr>
      <w:r>
        <w:rPr>
          <w:rFonts w:ascii="宋体" w:eastAsia="宋体" w:hAnsi="宋体" w:cs="宋体" w:hint="eastAsia"/>
          <w:kern w:val="0"/>
          <w:szCs w:val="24"/>
        </w:rPr>
        <w:lastRenderedPageBreak/>
        <w:t>商誉所在资产组或资产组组合的相关信息</w:t>
      </w:r>
    </w:p>
    <w:sdt>
      <w:sdtPr>
        <w:rPr>
          <w:rFonts w:hint="eastAsia"/>
        </w:rPr>
        <w:alias w:val="是否适用：商誉所在资产组或资产组组合的相关信息[双击切换]"/>
        <w:tag w:val="_GBC_119e2aba5afb45e0b1f50033345c80ee"/>
        <w:id w:val="146717977"/>
        <w:placeholder>
          <w:docPart w:val="GBC22222222222222222222222222222"/>
        </w:placeholder>
      </w:sdtPr>
      <w:sdtEndPr/>
      <w:sdtContent>
        <w:p w14:paraId="4E92757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748"/>
        <w:gridCol w:w="2409"/>
        <w:gridCol w:w="1457"/>
      </w:tblGrid>
      <w:tr w:rsidR="00E57DAA" w14:paraId="4F62904C" w14:textId="77777777">
        <w:sdt>
          <w:sdtPr>
            <w:rPr>
              <w:rFonts w:hint="eastAsia"/>
            </w:rPr>
            <w:tag w:val="_PLD_eb7d569a3caa47379b1be2e01ef8c968"/>
            <w:id w:val="967248703"/>
          </w:sdtPr>
          <w:sdtEndPr/>
          <w:sdtContent>
            <w:tc>
              <w:tcPr>
                <w:tcW w:w="2209" w:type="dxa"/>
                <w:shd w:val="clear" w:color="auto" w:fill="auto"/>
                <w:vAlign w:val="center"/>
              </w:tcPr>
              <w:p w14:paraId="63B15395" w14:textId="77777777" w:rsidR="00E57DAA" w:rsidRDefault="00AC4185">
                <w:pPr>
                  <w:jc w:val="center"/>
                </w:pPr>
                <w:r>
                  <w:rPr>
                    <w:rFonts w:hint="eastAsia"/>
                  </w:rPr>
                  <w:t>名称</w:t>
                </w:r>
              </w:p>
            </w:tc>
          </w:sdtContent>
        </w:sdt>
        <w:sdt>
          <w:sdtPr>
            <w:rPr>
              <w:rFonts w:hint="eastAsia"/>
            </w:rPr>
            <w:tag w:val="_PLD_b24715fdd53d4663ac8b33f884ac8840"/>
            <w:id w:val="-1163617985"/>
          </w:sdtPr>
          <w:sdtEndPr/>
          <w:sdtContent>
            <w:tc>
              <w:tcPr>
                <w:tcW w:w="2748" w:type="dxa"/>
                <w:shd w:val="clear" w:color="auto" w:fill="auto"/>
                <w:vAlign w:val="center"/>
              </w:tcPr>
              <w:p w14:paraId="24E076EA" w14:textId="77777777" w:rsidR="00E57DAA" w:rsidRDefault="00AC4185">
                <w:pPr>
                  <w:jc w:val="center"/>
                </w:pPr>
                <w:r>
                  <w:rPr>
                    <w:rFonts w:hint="eastAsia"/>
                  </w:rPr>
                  <w:t>所属资产组或组合的构成及依据</w:t>
                </w:r>
              </w:p>
            </w:tc>
          </w:sdtContent>
        </w:sdt>
        <w:sdt>
          <w:sdtPr>
            <w:rPr>
              <w:rFonts w:hint="eastAsia"/>
            </w:rPr>
            <w:tag w:val="_PLD_0c0d5dbdf7634b84a442e261c73b6e64"/>
            <w:id w:val="1404558491"/>
          </w:sdtPr>
          <w:sdtEndPr/>
          <w:sdtContent>
            <w:tc>
              <w:tcPr>
                <w:tcW w:w="2409" w:type="dxa"/>
                <w:shd w:val="clear" w:color="auto" w:fill="auto"/>
                <w:vAlign w:val="center"/>
              </w:tcPr>
              <w:p w14:paraId="523EA52E" w14:textId="77777777" w:rsidR="00E57DAA" w:rsidRDefault="00AC4185">
                <w:pPr>
                  <w:jc w:val="center"/>
                </w:pPr>
                <w:r>
                  <w:rPr>
                    <w:rFonts w:hint="eastAsia"/>
                  </w:rPr>
                  <w:t>所属经营分部及依据</w:t>
                </w:r>
              </w:p>
            </w:tc>
          </w:sdtContent>
        </w:sdt>
        <w:sdt>
          <w:sdtPr>
            <w:rPr>
              <w:rFonts w:hint="eastAsia"/>
            </w:rPr>
            <w:tag w:val="_PLD_7f438fadf8b643d88b8999f011699a12"/>
            <w:id w:val="-1667159927"/>
          </w:sdtPr>
          <w:sdtEndPr/>
          <w:sdtContent>
            <w:tc>
              <w:tcPr>
                <w:tcW w:w="1457" w:type="dxa"/>
                <w:shd w:val="clear" w:color="auto" w:fill="auto"/>
                <w:vAlign w:val="center"/>
              </w:tcPr>
              <w:p w14:paraId="4853BC10" w14:textId="77777777" w:rsidR="00E57DAA" w:rsidRDefault="00AC4185">
                <w:pPr>
                  <w:jc w:val="center"/>
                </w:pPr>
                <w:r>
                  <w:rPr>
                    <w:rFonts w:hint="eastAsia"/>
                  </w:rPr>
                  <w:t>是否与以前年度保持一致</w:t>
                </w:r>
              </w:p>
            </w:tc>
          </w:sdtContent>
        </w:sdt>
      </w:tr>
      <w:tr w:rsidR="00E57DAA" w14:paraId="156C16D0" w14:textId="77777777">
        <w:tc>
          <w:tcPr>
            <w:tcW w:w="2209" w:type="dxa"/>
            <w:shd w:val="clear" w:color="auto" w:fill="auto"/>
          </w:tcPr>
          <w:p w14:paraId="13468F53" w14:textId="77777777" w:rsidR="00E57DAA" w:rsidRDefault="00AC4185">
            <w:r>
              <w:t>德国HAZEMAG公司资产组</w:t>
            </w:r>
          </w:p>
        </w:tc>
        <w:tc>
          <w:tcPr>
            <w:tcW w:w="2748" w:type="dxa"/>
            <w:shd w:val="clear" w:color="auto" w:fill="auto"/>
          </w:tcPr>
          <w:p w14:paraId="14F52338" w14:textId="77777777" w:rsidR="00E57DAA" w:rsidRDefault="00AC4185">
            <w:r>
              <w:t>德国 HAZEMAG 公司与经营相关长期资产/收购该资产组产生</w:t>
            </w:r>
          </w:p>
        </w:tc>
        <w:tc>
          <w:tcPr>
            <w:tcW w:w="2409" w:type="dxa"/>
            <w:shd w:val="clear" w:color="auto" w:fill="auto"/>
          </w:tcPr>
          <w:p w14:paraId="1B54DA70" w14:textId="77777777" w:rsidR="00E57DAA" w:rsidRDefault="00AC4185">
            <w:r>
              <w:t>装备制造业务，独立产生现金流</w:t>
            </w:r>
          </w:p>
        </w:tc>
        <w:sdt>
          <w:sdtPr>
            <w:alias w:val="商誉所在资产组或资产组组合的相关信息明细_是否与以前年度保持一致"/>
            <w:tag w:val="_GBC_972a31ca8c0e4f7c8adf6a34d8d82c94"/>
            <w:id w:val="1594442567"/>
            <w:comboBox>
              <w:listItem w:displayText="是" w:value="是"/>
              <w:listItem w:displayText="否" w:value="否"/>
            </w:comboBox>
          </w:sdtPr>
          <w:sdtEndPr/>
          <w:sdtContent>
            <w:tc>
              <w:tcPr>
                <w:tcW w:w="1457" w:type="dxa"/>
                <w:shd w:val="clear" w:color="auto" w:fill="auto"/>
              </w:tcPr>
              <w:p w14:paraId="214CABEB" w14:textId="77777777" w:rsidR="00E57DAA" w:rsidRDefault="00AC4185">
                <w:pPr>
                  <w:jc w:val="center"/>
                </w:pPr>
                <w:r>
                  <w:t>是</w:t>
                </w:r>
              </w:p>
            </w:tc>
          </w:sdtContent>
        </w:sdt>
      </w:tr>
      <w:tr w:rsidR="00E57DAA" w14:paraId="1DC2797F" w14:textId="77777777">
        <w:tc>
          <w:tcPr>
            <w:tcW w:w="2209" w:type="dxa"/>
            <w:shd w:val="clear" w:color="auto" w:fill="auto"/>
          </w:tcPr>
          <w:p w14:paraId="6EB3E521" w14:textId="77777777" w:rsidR="00E57DAA" w:rsidRDefault="00AC4185">
            <w:r>
              <w:t>中材国际水务科技（合肥）有限公司资产组</w:t>
            </w:r>
          </w:p>
        </w:tc>
        <w:tc>
          <w:tcPr>
            <w:tcW w:w="2748" w:type="dxa"/>
            <w:shd w:val="clear" w:color="auto" w:fill="auto"/>
          </w:tcPr>
          <w:p w14:paraId="066A0C57" w14:textId="77777777" w:rsidR="00E57DAA" w:rsidRDefault="00AC4185">
            <w:r>
              <w:t>中材国际水务科技(合肥)有限公司与经营相关长期资产/收购该资产组产生</w:t>
            </w:r>
          </w:p>
        </w:tc>
        <w:tc>
          <w:tcPr>
            <w:tcW w:w="2409" w:type="dxa"/>
            <w:shd w:val="clear" w:color="auto" w:fill="auto"/>
          </w:tcPr>
          <w:p w14:paraId="2D682811" w14:textId="77777777" w:rsidR="00E57DAA" w:rsidRDefault="00AC4185">
            <w:r>
              <w:t>节能环保业务，独立产生现金流</w:t>
            </w:r>
          </w:p>
        </w:tc>
        <w:tc>
          <w:tcPr>
            <w:tcW w:w="1457" w:type="dxa"/>
            <w:shd w:val="clear" w:color="auto" w:fill="auto"/>
          </w:tcPr>
          <w:p w14:paraId="0FD5F270" w14:textId="77777777" w:rsidR="00E57DAA" w:rsidRDefault="00AC4185">
            <w:pPr>
              <w:jc w:val="center"/>
            </w:pPr>
            <w:r>
              <w:t>是</w:t>
            </w:r>
          </w:p>
        </w:tc>
      </w:tr>
      <w:tr w:rsidR="00E57DAA" w14:paraId="3EF6CFC0" w14:textId="77777777">
        <w:tc>
          <w:tcPr>
            <w:tcW w:w="2209" w:type="dxa"/>
            <w:shd w:val="clear" w:color="auto" w:fill="auto"/>
          </w:tcPr>
          <w:p w14:paraId="48BBC990" w14:textId="77777777" w:rsidR="00E57DAA" w:rsidRDefault="00AC4185">
            <w:r>
              <w:t>浙江博宇机电有限公司资产组</w:t>
            </w:r>
          </w:p>
        </w:tc>
        <w:tc>
          <w:tcPr>
            <w:tcW w:w="2748" w:type="dxa"/>
            <w:shd w:val="clear" w:color="auto" w:fill="auto"/>
          </w:tcPr>
          <w:p w14:paraId="67307DA4" w14:textId="77777777" w:rsidR="00E57DAA" w:rsidRDefault="00AC4185">
            <w:r>
              <w:t>浙江博宇机电有限公司与经营相关长期资产/收购该资产组产生</w:t>
            </w:r>
          </w:p>
        </w:tc>
        <w:tc>
          <w:tcPr>
            <w:tcW w:w="2409" w:type="dxa"/>
            <w:shd w:val="clear" w:color="auto" w:fill="auto"/>
          </w:tcPr>
          <w:p w14:paraId="4A50DEBC" w14:textId="77777777" w:rsidR="00E57DAA" w:rsidRDefault="00AC4185">
            <w:r>
              <w:t>装备制造业务，独立产生现金流</w:t>
            </w:r>
          </w:p>
        </w:tc>
        <w:tc>
          <w:tcPr>
            <w:tcW w:w="1457" w:type="dxa"/>
            <w:shd w:val="clear" w:color="auto" w:fill="auto"/>
          </w:tcPr>
          <w:p w14:paraId="1B7DAA31" w14:textId="77777777" w:rsidR="00E57DAA" w:rsidRDefault="00AC4185">
            <w:pPr>
              <w:jc w:val="center"/>
            </w:pPr>
            <w:r>
              <w:t>是</w:t>
            </w:r>
          </w:p>
        </w:tc>
      </w:tr>
      <w:tr w:rsidR="00E57DAA" w14:paraId="4908C3A6" w14:textId="77777777">
        <w:tc>
          <w:tcPr>
            <w:tcW w:w="2209" w:type="dxa"/>
            <w:shd w:val="clear" w:color="auto" w:fill="auto"/>
          </w:tcPr>
          <w:p w14:paraId="1D8CCA33" w14:textId="77777777" w:rsidR="00E57DAA" w:rsidRDefault="00AC4185">
            <w:r>
              <w:t>中材智能科技（成都）有限公司资产组</w:t>
            </w:r>
          </w:p>
        </w:tc>
        <w:tc>
          <w:tcPr>
            <w:tcW w:w="2748" w:type="dxa"/>
            <w:shd w:val="clear" w:color="auto" w:fill="auto"/>
          </w:tcPr>
          <w:p w14:paraId="3D35CB03" w14:textId="77777777" w:rsidR="00E57DAA" w:rsidRDefault="00AC4185">
            <w:r>
              <w:t>中材智能科技(成都)有限公司与经营相关长期资产/收购该资产组产生</w:t>
            </w:r>
          </w:p>
        </w:tc>
        <w:tc>
          <w:tcPr>
            <w:tcW w:w="2409" w:type="dxa"/>
            <w:shd w:val="clear" w:color="auto" w:fill="auto"/>
          </w:tcPr>
          <w:p w14:paraId="53BA0CAD" w14:textId="77777777" w:rsidR="00E57DAA" w:rsidRDefault="00AC4185">
            <w:r>
              <w:t>数字智能服务，独立产生现金流</w:t>
            </w:r>
          </w:p>
        </w:tc>
        <w:tc>
          <w:tcPr>
            <w:tcW w:w="1457" w:type="dxa"/>
            <w:shd w:val="clear" w:color="auto" w:fill="auto"/>
          </w:tcPr>
          <w:p w14:paraId="238539D7" w14:textId="77777777" w:rsidR="00E57DAA" w:rsidRDefault="00AC4185">
            <w:pPr>
              <w:jc w:val="center"/>
            </w:pPr>
            <w:r>
              <w:t>是</w:t>
            </w:r>
          </w:p>
        </w:tc>
      </w:tr>
      <w:tr w:rsidR="00E57DAA" w14:paraId="13C4C50E" w14:textId="77777777">
        <w:tc>
          <w:tcPr>
            <w:tcW w:w="2209" w:type="dxa"/>
            <w:shd w:val="clear" w:color="auto" w:fill="auto"/>
          </w:tcPr>
          <w:p w14:paraId="70468946" w14:textId="77777777" w:rsidR="00E57DAA" w:rsidRDefault="00AC4185">
            <w:r>
              <w:t>中建材（合肥）钢构科技有限公司资产组</w:t>
            </w:r>
          </w:p>
        </w:tc>
        <w:tc>
          <w:tcPr>
            <w:tcW w:w="2748" w:type="dxa"/>
            <w:shd w:val="clear" w:color="auto" w:fill="auto"/>
          </w:tcPr>
          <w:p w14:paraId="5D0D37B1" w14:textId="77777777" w:rsidR="00E57DAA" w:rsidRDefault="00AC4185">
            <w:r>
              <w:t>中建材(合肥)钢构科技有限公司与经营相关长期资产/收购该资产组产生</w:t>
            </w:r>
          </w:p>
        </w:tc>
        <w:tc>
          <w:tcPr>
            <w:tcW w:w="2409" w:type="dxa"/>
            <w:shd w:val="clear" w:color="auto" w:fill="auto"/>
          </w:tcPr>
          <w:p w14:paraId="5F1E657A" w14:textId="77777777" w:rsidR="00E57DAA" w:rsidRDefault="00AC4185">
            <w:r>
              <w:t>钢结构业务，独立产生现金流</w:t>
            </w:r>
          </w:p>
        </w:tc>
        <w:tc>
          <w:tcPr>
            <w:tcW w:w="1457" w:type="dxa"/>
            <w:shd w:val="clear" w:color="auto" w:fill="auto"/>
          </w:tcPr>
          <w:p w14:paraId="2C27F3E8" w14:textId="77777777" w:rsidR="00E57DAA" w:rsidRDefault="00AC4185">
            <w:pPr>
              <w:jc w:val="center"/>
            </w:pPr>
            <w:r>
              <w:t>是</w:t>
            </w:r>
          </w:p>
        </w:tc>
      </w:tr>
      <w:tr w:rsidR="00E57DAA" w14:paraId="404764A3" w14:textId="77777777">
        <w:tc>
          <w:tcPr>
            <w:tcW w:w="2209" w:type="dxa"/>
            <w:shd w:val="clear" w:color="auto" w:fill="auto"/>
          </w:tcPr>
          <w:p w14:paraId="7EC85F48" w14:textId="77777777" w:rsidR="00E57DAA" w:rsidRDefault="00AC4185">
            <w:r>
              <w:t>湖北秦鸿新材料股份有限公司资产组</w:t>
            </w:r>
          </w:p>
        </w:tc>
        <w:tc>
          <w:tcPr>
            <w:tcW w:w="2748" w:type="dxa"/>
            <w:shd w:val="clear" w:color="auto" w:fill="auto"/>
          </w:tcPr>
          <w:p w14:paraId="67FC4C02" w14:textId="77777777" w:rsidR="00E57DAA" w:rsidRDefault="00AC4185">
            <w:r>
              <w:t>湖北秦鸿新材料股份有限公司与经营相关长期资产/收购该资产组产生</w:t>
            </w:r>
          </w:p>
        </w:tc>
        <w:tc>
          <w:tcPr>
            <w:tcW w:w="2409" w:type="dxa"/>
            <w:shd w:val="clear" w:color="auto" w:fill="auto"/>
          </w:tcPr>
          <w:p w14:paraId="54FCD67F" w14:textId="77777777" w:rsidR="00E57DAA" w:rsidRDefault="00AC4185">
            <w:r>
              <w:t>金属陶瓷耐磨材料业务，独立产生现金流</w:t>
            </w:r>
          </w:p>
        </w:tc>
        <w:tc>
          <w:tcPr>
            <w:tcW w:w="1457" w:type="dxa"/>
            <w:shd w:val="clear" w:color="auto" w:fill="auto"/>
          </w:tcPr>
          <w:p w14:paraId="02BDA3F3" w14:textId="77777777" w:rsidR="00E57DAA" w:rsidRDefault="00AC4185">
            <w:pPr>
              <w:jc w:val="center"/>
            </w:pPr>
            <w:r>
              <w:t>是</w:t>
            </w:r>
          </w:p>
        </w:tc>
      </w:tr>
      <w:tr w:rsidR="00E57DAA" w14:paraId="4704BE3F" w14:textId="77777777">
        <w:tc>
          <w:tcPr>
            <w:tcW w:w="2209" w:type="dxa"/>
            <w:shd w:val="clear" w:color="auto" w:fill="auto"/>
          </w:tcPr>
          <w:p w14:paraId="0DECA660" w14:textId="77777777" w:rsidR="00E57DAA" w:rsidRDefault="00AC4185">
            <w:r>
              <w:t>江苏凯希盟科技有限公司资产组</w:t>
            </w:r>
          </w:p>
        </w:tc>
        <w:tc>
          <w:tcPr>
            <w:tcW w:w="2748" w:type="dxa"/>
            <w:shd w:val="clear" w:color="auto" w:fill="auto"/>
          </w:tcPr>
          <w:p w14:paraId="4AB75D3B" w14:textId="77777777" w:rsidR="00E57DAA" w:rsidRDefault="00AC4185">
            <w:r>
              <w:t>江苏凯希盟科技有限公司与经营相关长期资产/收购该资产组产生</w:t>
            </w:r>
          </w:p>
        </w:tc>
        <w:tc>
          <w:tcPr>
            <w:tcW w:w="2409" w:type="dxa"/>
            <w:shd w:val="clear" w:color="auto" w:fill="auto"/>
          </w:tcPr>
          <w:p w14:paraId="77808EA6" w14:textId="77777777" w:rsidR="00E57DAA" w:rsidRDefault="00AC4185">
            <w:r>
              <w:t>装备技术服务业务，独立产生现金流</w:t>
            </w:r>
          </w:p>
        </w:tc>
        <w:sdt>
          <w:sdtPr>
            <w:alias w:val="商誉所在资产组或资产组组合的相关信息明细_是否与以前年度保持一致"/>
            <w:tag w:val="_GBC_972a31ca8c0e4f7c8adf6a34d8d82c94"/>
            <w:id w:val="1408195453"/>
            <w:comboBox>
              <w:listItem w:displayText="是" w:value="是"/>
              <w:listItem w:displayText="否" w:value="否"/>
            </w:comboBox>
          </w:sdtPr>
          <w:sdtEndPr/>
          <w:sdtContent>
            <w:tc>
              <w:tcPr>
                <w:tcW w:w="1457" w:type="dxa"/>
                <w:shd w:val="clear" w:color="auto" w:fill="auto"/>
              </w:tcPr>
              <w:p w14:paraId="19ED7DED" w14:textId="77777777" w:rsidR="00E57DAA" w:rsidRDefault="00AC4185">
                <w:pPr>
                  <w:jc w:val="center"/>
                </w:pPr>
                <w:r>
                  <w:t>是</w:t>
                </w:r>
              </w:p>
            </w:tc>
          </w:sdtContent>
        </w:sdt>
      </w:tr>
    </w:tbl>
    <w:p w14:paraId="1C0345DD" w14:textId="77777777" w:rsidR="00E57DAA" w:rsidRDefault="00E57DAA"/>
    <w:p w14:paraId="449BF3FF" w14:textId="77777777" w:rsidR="00E57DAA" w:rsidRDefault="00E57DAA" w:rsidP="00C25422">
      <w:pPr>
        <w:pStyle w:val="92"/>
      </w:pPr>
    </w:p>
    <w:p w14:paraId="2DEC46C5" w14:textId="77777777" w:rsidR="00E57DAA" w:rsidRDefault="00AC4185" w:rsidP="00C25422">
      <w:pPr>
        <w:pStyle w:val="92"/>
      </w:pPr>
      <w:r>
        <w:rPr>
          <w:rFonts w:hint="eastAsia"/>
        </w:rPr>
        <w:t>资产组或资产组组合发生变化</w:t>
      </w:r>
    </w:p>
    <w:bookmarkStart w:id="271" w:name="_Hlk153462880" w:displacedByCustomXml="next"/>
    <w:sdt>
      <w:sdtPr>
        <w:alias w:val="是否适用：资产组或资产组组合发生变化[双击切换]"/>
        <w:tag w:val="_GBC_31d9e35c99cb43c2ad1aced4a6a40606"/>
        <w:id w:val="-745720588"/>
        <w:placeholder>
          <w:docPart w:val="GBC22222222222222222222222222222"/>
        </w:placeholder>
      </w:sdtPr>
      <w:sdtEndPr/>
      <w:sdtContent>
        <w:p w14:paraId="5C63B1D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1"/>
    <w:p w14:paraId="77AA100B" w14:textId="77777777" w:rsidR="00E57DAA" w:rsidRDefault="00E57DAA" w:rsidP="00C25422">
      <w:pPr>
        <w:pStyle w:val="92"/>
      </w:pPr>
    </w:p>
    <w:p w14:paraId="523663C4" w14:textId="77777777" w:rsidR="00E57DAA" w:rsidRDefault="00AC4185" w:rsidP="00C25422">
      <w:pPr>
        <w:pStyle w:val="92"/>
      </w:pPr>
      <w:r>
        <w:rPr>
          <w:rFonts w:hint="eastAsia"/>
        </w:rPr>
        <w:t>其他说明</w:t>
      </w:r>
    </w:p>
    <w:bookmarkStart w:id="272" w:name="_Hlk152948734" w:displacedByCustomXml="next"/>
    <w:sdt>
      <w:sdtPr>
        <w:alias w:val="是否适用：商誉所在资产组或资产组组合的相关信息其他说明[双击切换]"/>
        <w:tag w:val="_GBC_9f9bd4d9cf084d4594694aa545981d14"/>
        <w:id w:val="-1128004944"/>
        <w:placeholder>
          <w:docPart w:val="GBC22222222222222222222222222222"/>
        </w:placeholder>
      </w:sdtPr>
      <w:sdtEndPr/>
      <w:sdtContent>
        <w:p w14:paraId="0B9E341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2"/>
    <w:p w14:paraId="4F4120AF" w14:textId="77777777" w:rsidR="00E57DAA" w:rsidRDefault="00E57DAA" w:rsidP="00C25422">
      <w:pPr>
        <w:pStyle w:val="92"/>
        <w:sectPr w:rsidR="00E57DAA" w:rsidSect="00226547">
          <w:pgSz w:w="11906" w:h="16838"/>
          <w:pgMar w:top="1440" w:right="1797" w:bottom="1525" w:left="1276" w:header="856" w:footer="992" w:gutter="0"/>
          <w:cols w:space="425"/>
          <w:docGrid w:linePitch="312"/>
        </w:sectPr>
      </w:pPr>
    </w:p>
    <w:p w14:paraId="108FBA9C" w14:textId="77777777" w:rsidR="00E57DAA" w:rsidRDefault="00E57DAA" w:rsidP="00C25422">
      <w:pPr>
        <w:pStyle w:val="92"/>
      </w:pPr>
    </w:p>
    <w:p w14:paraId="74F6AEC3" w14:textId="77777777" w:rsidR="00E57DAA" w:rsidRDefault="00AC4185">
      <w:pPr>
        <w:pStyle w:val="4"/>
        <w:numPr>
          <w:ilvl w:val="3"/>
          <w:numId w:val="89"/>
        </w:numPr>
        <w:ind w:left="424" w:hangingChars="201" w:hanging="424"/>
      </w:pPr>
      <w:r>
        <w:rPr>
          <w:rFonts w:hint="eastAsia"/>
        </w:rPr>
        <w:t>可收回金额的具体确定方法</w:t>
      </w:r>
    </w:p>
    <w:p w14:paraId="369B629B" w14:textId="77777777" w:rsidR="00E57DAA" w:rsidRDefault="00AC4185" w:rsidP="00C25422">
      <w:pPr>
        <w:pStyle w:val="92"/>
      </w:pPr>
      <w:r>
        <w:rPr>
          <w:rFonts w:hint="eastAsia"/>
        </w:rPr>
        <w:t>可收回金额按公允价值减去处置费用后的净额确定</w:t>
      </w:r>
    </w:p>
    <w:bookmarkStart w:id="273" w:name="_Hlk153463075" w:displacedByCustomXml="next"/>
    <w:sdt>
      <w:sdtPr>
        <w:alias w:val="是否适用：可收回金额按公允价值减去处置费用后的净额确定[双击切换]"/>
        <w:tag w:val="_GBC_0b6e879ad4b9460fa4cd105a6a6161a9"/>
        <w:id w:val="1813520928"/>
        <w:placeholder>
          <w:docPart w:val="GBC22222222222222222222222222222"/>
        </w:placeholder>
      </w:sdtPr>
      <w:sdtEndPr/>
      <w:sdtContent>
        <w:p w14:paraId="0222A03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691189" w14:textId="77777777" w:rsidR="00E57DAA" w:rsidRDefault="00E57DAA">
      <w:pPr>
        <w:rPr>
          <w:szCs w:val="21"/>
        </w:rPr>
      </w:pPr>
    </w:p>
    <w:p w14:paraId="2AD2670D" w14:textId="77777777" w:rsidR="00E57DAA" w:rsidRDefault="00AC4185" w:rsidP="00C25422">
      <w:pPr>
        <w:pStyle w:val="92"/>
      </w:pPr>
      <w:r>
        <w:rPr>
          <w:rFonts w:hint="eastAsia"/>
        </w:rPr>
        <w:t>可收回金额按预计未来现金流量的现值确定</w:t>
      </w:r>
    </w:p>
    <w:sdt>
      <w:sdtPr>
        <w:rPr>
          <w:rFonts w:hint="eastAsia"/>
        </w:rPr>
        <w:alias w:val="是否适用：可收回金额按预计未来现金流量的现值确定[双击切换]"/>
        <w:tag w:val="_GBC_17189f5d61eb4932aa47036bc0a56c3c"/>
        <w:id w:val="1750543493"/>
        <w:placeholder>
          <w:docPart w:val="GBC22222222222222222222222222222"/>
        </w:placeholder>
      </w:sdtPr>
      <w:sdtEndPr/>
      <w:sdtContent>
        <w:p w14:paraId="64C8239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0B6768" w14:textId="77777777" w:rsidR="00E57DAA" w:rsidRDefault="00AC4185">
      <w:pPr>
        <w:jc w:val="right"/>
      </w:pPr>
      <w:r>
        <w:rPr>
          <w:rFonts w:hint="eastAsia"/>
        </w:rPr>
        <w:t>单位：</w:t>
      </w:r>
      <w:sdt>
        <w:sdtPr>
          <w:rPr>
            <w:rFonts w:hint="eastAsia"/>
          </w:rPr>
          <w:alias w:val="单位：可收回金额按预计未来现金流量的现值确定"/>
          <w:tag w:val="_GBC_a1e7f74ee37c42e9999532af5973f8bf"/>
          <w:id w:val="1962457522"/>
          <w:placeholder>
            <w:docPart w:val="5DA591D38B094FB98E7C7D96E9044906"/>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可收回金额按预计未来现金流量的现值确定"/>
          <w:tag w:val="_GBC_c8ab90a34bd246438ca7125d0c992713"/>
          <w:id w:val="927919590"/>
          <w:placeholder>
            <w:docPart w:val="5DA591D38B094FB98E7C7D96E9044906"/>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1921"/>
        <w:gridCol w:w="2127"/>
        <w:gridCol w:w="1702"/>
        <w:gridCol w:w="1700"/>
        <w:gridCol w:w="1558"/>
        <w:gridCol w:w="851"/>
        <w:gridCol w:w="1417"/>
        <w:gridCol w:w="1253"/>
      </w:tblGrid>
      <w:tr w:rsidR="00E57DAA" w14:paraId="41513A79" w14:textId="77777777">
        <w:trPr>
          <w:jc w:val="center"/>
        </w:trPr>
        <w:sdt>
          <w:sdtPr>
            <w:rPr>
              <w:rFonts w:hint="eastAsia"/>
              <w:szCs w:val="21"/>
            </w:rPr>
            <w:tag w:val="_PLD_cff52f4a589b4f449fd1522d3493334f"/>
            <w:id w:val="-1646647713"/>
          </w:sdtPr>
          <w:sdtEndPr/>
          <w:sdtContent>
            <w:tc>
              <w:tcPr>
                <w:tcW w:w="481" w:type="pct"/>
                <w:shd w:val="clear" w:color="auto" w:fill="auto"/>
                <w:vAlign w:val="center"/>
              </w:tcPr>
              <w:p w14:paraId="698B04CD" w14:textId="77777777" w:rsidR="00E57DAA" w:rsidRDefault="00AC4185">
                <w:pPr>
                  <w:snapToGrid w:val="0"/>
                  <w:spacing w:line="240" w:lineRule="atLeast"/>
                  <w:jc w:val="center"/>
                  <w:rPr>
                    <w:szCs w:val="21"/>
                  </w:rPr>
                </w:pPr>
                <w:r>
                  <w:rPr>
                    <w:rFonts w:hint="eastAsia"/>
                    <w:szCs w:val="21"/>
                  </w:rPr>
                  <w:t>项目</w:t>
                </w:r>
              </w:p>
            </w:tc>
          </w:sdtContent>
        </w:sdt>
        <w:sdt>
          <w:sdtPr>
            <w:tag w:val="_PLD_ebe70a4ae85d48bda1d141bc018ae805"/>
            <w:id w:val="1601379195"/>
          </w:sdtPr>
          <w:sdtEndPr/>
          <w:sdtContent>
            <w:tc>
              <w:tcPr>
                <w:tcW w:w="693" w:type="pct"/>
                <w:vAlign w:val="center"/>
              </w:tcPr>
              <w:p w14:paraId="15442EC7" w14:textId="77777777" w:rsidR="00E57DAA" w:rsidRDefault="00AC4185">
                <w:pPr>
                  <w:snapToGrid w:val="0"/>
                  <w:spacing w:line="240" w:lineRule="atLeast"/>
                  <w:jc w:val="center"/>
                  <w:rPr>
                    <w:szCs w:val="21"/>
                  </w:rPr>
                </w:pPr>
                <w:r>
                  <w:t>账面价值</w:t>
                </w:r>
              </w:p>
            </w:tc>
          </w:sdtContent>
        </w:sdt>
        <w:sdt>
          <w:sdtPr>
            <w:tag w:val="_PLD_f773f20da9964101aae7f8448615d402"/>
            <w:id w:val="-1720505072"/>
          </w:sdtPr>
          <w:sdtEndPr/>
          <w:sdtContent>
            <w:tc>
              <w:tcPr>
                <w:tcW w:w="767" w:type="pct"/>
                <w:vAlign w:val="center"/>
              </w:tcPr>
              <w:p w14:paraId="73C336E5" w14:textId="77777777" w:rsidR="00E57DAA" w:rsidRDefault="00AC4185">
                <w:pPr>
                  <w:snapToGrid w:val="0"/>
                  <w:spacing w:line="240" w:lineRule="atLeast"/>
                  <w:jc w:val="center"/>
                  <w:rPr>
                    <w:szCs w:val="21"/>
                  </w:rPr>
                </w:pPr>
                <w:r>
                  <w:t>可收回金额</w:t>
                </w:r>
              </w:p>
            </w:tc>
          </w:sdtContent>
        </w:sdt>
        <w:sdt>
          <w:sdtPr>
            <w:tag w:val="_PLD_f552c69612994a6a8b36f9b4eff4878e"/>
            <w:id w:val="110711960"/>
          </w:sdtPr>
          <w:sdtEndPr/>
          <w:sdtContent>
            <w:tc>
              <w:tcPr>
                <w:tcW w:w="614" w:type="pct"/>
                <w:vAlign w:val="center"/>
              </w:tcPr>
              <w:p w14:paraId="231DEEA6" w14:textId="77777777" w:rsidR="00E57DAA" w:rsidRDefault="00AC4185">
                <w:pPr>
                  <w:snapToGrid w:val="0"/>
                  <w:spacing w:line="240" w:lineRule="atLeast"/>
                  <w:jc w:val="center"/>
                  <w:rPr>
                    <w:szCs w:val="21"/>
                  </w:rPr>
                </w:pPr>
                <w:r>
                  <w:t>减值金额</w:t>
                </w:r>
              </w:p>
            </w:tc>
          </w:sdtContent>
        </w:sdt>
        <w:sdt>
          <w:sdtPr>
            <w:rPr>
              <w:rFonts w:hint="eastAsia"/>
              <w:szCs w:val="21"/>
            </w:rPr>
            <w:tag w:val="_PLD_6bcc06a594254001a2e2bb63410d31a8"/>
            <w:id w:val="-1472820771"/>
          </w:sdtPr>
          <w:sdtEndPr/>
          <w:sdtContent>
            <w:tc>
              <w:tcPr>
                <w:tcW w:w="613" w:type="pct"/>
                <w:shd w:val="clear" w:color="auto" w:fill="auto"/>
                <w:vAlign w:val="center"/>
              </w:tcPr>
              <w:p w14:paraId="4E5908BB" w14:textId="77777777" w:rsidR="00E57DAA" w:rsidRDefault="00AC4185">
                <w:pPr>
                  <w:snapToGrid w:val="0"/>
                  <w:spacing w:line="240" w:lineRule="atLeast"/>
                  <w:jc w:val="center"/>
                  <w:rPr>
                    <w:szCs w:val="21"/>
                  </w:rPr>
                </w:pPr>
                <w:r>
                  <w:rPr>
                    <w:rFonts w:hint="eastAsia"/>
                    <w:szCs w:val="21"/>
                  </w:rPr>
                  <w:t>预测期的年限</w:t>
                </w:r>
              </w:p>
            </w:tc>
          </w:sdtContent>
        </w:sdt>
        <w:sdt>
          <w:sdtPr>
            <w:rPr>
              <w:rFonts w:hint="eastAsia"/>
              <w:szCs w:val="21"/>
            </w:rPr>
            <w:tag w:val="_PLD_e9c2c2790e9244988fba2da8f5f1d3b2"/>
            <w:id w:val="1101685748"/>
          </w:sdtPr>
          <w:sdtEndPr/>
          <w:sdtContent>
            <w:tc>
              <w:tcPr>
                <w:tcW w:w="562" w:type="pct"/>
                <w:shd w:val="clear" w:color="auto" w:fill="auto"/>
                <w:vAlign w:val="center"/>
              </w:tcPr>
              <w:p w14:paraId="48B0D123" w14:textId="77777777" w:rsidR="00E57DAA" w:rsidRDefault="00AC4185">
                <w:pPr>
                  <w:snapToGrid w:val="0"/>
                  <w:spacing w:line="240" w:lineRule="atLeast"/>
                  <w:jc w:val="center"/>
                  <w:rPr>
                    <w:szCs w:val="21"/>
                  </w:rPr>
                </w:pPr>
                <w:r>
                  <w:rPr>
                    <w:rFonts w:hint="eastAsia"/>
                    <w:szCs w:val="21"/>
                  </w:rPr>
                  <w:t>预测期的关键参数（增长率、利润率等）</w:t>
                </w:r>
              </w:p>
            </w:tc>
          </w:sdtContent>
        </w:sdt>
        <w:sdt>
          <w:sdtPr>
            <w:rPr>
              <w:rFonts w:hint="eastAsia"/>
              <w:szCs w:val="21"/>
            </w:rPr>
            <w:tag w:val="_PLD_13889ff77b974aa3bdaee4845f8f5bc4"/>
            <w:id w:val="-340016086"/>
          </w:sdtPr>
          <w:sdtEndPr/>
          <w:sdtContent>
            <w:tc>
              <w:tcPr>
                <w:tcW w:w="307" w:type="pct"/>
                <w:vAlign w:val="center"/>
              </w:tcPr>
              <w:p w14:paraId="42541870" w14:textId="77777777" w:rsidR="00E57DAA" w:rsidRDefault="00AC4185">
                <w:pPr>
                  <w:snapToGrid w:val="0"/>
                  <w:spacing w:line="240" w:lineRule="atLeast"/>
                  <w:jc w:val="center"/>
                  <w:rPr>
                    <w:szCs w:val="21"/>
                  </w:rPr>
                </w:pPr>
                <w:r>
                  <w:rPr>
                    <w:rFonts w:hint="eastAsia"/>
                    <w:szCs w:val="21"/>
                  </w:rPr>
                  <w:t>预测期内的参数的确定依据</w:t>
                </w:r>
              </w:p>
            </w:tc>
          </w:sdtContent>
        </w:sdt>
        <w:sdt>
          <w:sdtPr>
            <w:rPr>
              <w:rFonts w:hint="eastAsia"/>
              <w:szCs w:val="21"/>
            </w:rPr>
            <w:tag w:val="_PLD_d68512bf9b0d42d691bbe423db48d9bc"/>
            <w:id w:val="-298304238"/>
          </w:sdtPr>
          <w:sdtEndPr/>
          <w:sdtContent>
            <w:tc>
              <w:tcPr>
                <w:tcW w:w="511" w:type="pct"/>
                <w:shd w:val="clear" w:color="auto" w:fill="auto"/>
                <w:vAlign w:val="center"/>
              </w:tcPr>
              <w:p w14:paraId="2F3A49AB" w14:textId="77777777" w:rsidR="00E57DAA" w:rsidRDefault="00AC4185">
                <w:pPr>
                  <w:snapToGrid w:val="0"/>
                  <w:spacing w:line="240" w:lineRule="atLeast"/>
                  <w:jc w:val="center"/>
                  <w:rPr>
                    <w:szCs w:val="21"/>
                  </w:rPr>
                </w:pPr>
                <w:r>
                  <w:rPr>
                    <w:rFonts w:hint="eastAsia"/>
                    <w:szCs w:val="21"/>
                  </w:rPr>
                  <w:t>稳定期的关键参数（增长率、利润率、折现率等）</w:t>
                </w:r>
              </w:p>
            </w:tc>
          </w:sdtContent>
        </w:sdt>
        <w:sdt>
          <w:sdtPr>
            <w:rPr>
              <w:rFonts w:hint="eastAsia"/>
              <w:szCs w:val="21"/>
            </w:rPr>
            <w:tag w:val="_PLD_3c32c12e9fc44415bc9ce83150581d6f"/>
            <w:id w:val="1023286310"/>
          </w:sdtPr>
          <w:sdtEndPr/>
          <w:sdtContent>
            <w:tc>
              <w:tcPr>
                <w:tcW w:w="452" w:type="pct"/>
                <w:shd w:val="clear" w:color="auto" w:fill="auto"/>
                <w:vAlign w:val="center"/>
              </w:tcPr>
              <w:p w14:paraId="6A28FBD0" w14:textId="77777777" w:rsidR="00E57DAA" w:rsidRDefault="00AC4185">
                <w:pPr>
                  <w:snapToGrid w:val="0"/>
                  <w:spacing w:line="240" w:lineRule="atLeast"/>
                  <w:jc w:val="center"/>
                  <w:rPr>
                    <w:b/>
                    <w:szCs w:val="21"/>
                  </w:rPr>
                </w:pPr>
                <w:r>
                  <w:rPr>
                    <w:rFonts w:hint="eastAsia"/>
                    <w:szCs w:val="21"/>
                  </w:rPr>
                  <w:t>稳定期的关键参数的确定依据</w:t>
                </w:r>
              </w:p>
            </w:tc>
          </w:sdtContent>
        </w:sdt>
      </w:tr>
      <w:tr w:rsidR="00E57DAA" w14:paraId="6116B7A7" w14:textId="77777777">
        <w:trPr>
          <w:jc w:val="center"/>
        </w:trPr>
        <w:tc>
          <w:tcPr>
            <w:tcW w:w="481" w:type="pct"/>
            <w:shd w:val="clear" w:color="auto" w:fill="auto"/>
            <w:vAlign w:val="center"/>
          </w:tcPr>
          <w:p w14:paraId="643CFA9D" w14:textId="77777777" w:rsidR="00E57DAA" w:rsidRDefault="00AC4185">
            <w:pPr>
              <w:snapToGrid w:val="0"/>
              <w:spacing w:line="240" w:lineRule="atLeast"/>
              <w:rPr>
                <w:szCs w:val="21"/>
              </w:rPr>
            </w:pPr>
            <w:r>
              <w:t>HAZEMAG &amp;   EPR GmbH资产组组合</w:t>
            </w:r>
          </w:p>
        </w:tc>
        <w:tc>
          <w:tcPr>
            <w:tcW w:w="693" w:type="pct"/>
          </w:tcPr>
          <w:p w14:paraId="12673DE4" w14:textId="77777777" w:rsidR="00E57DAA" w:rsidRDefault="00AC4185">
            <w:pPr>
              <w:snapToGrid w:val="0"/>
              <w:spacing w:line="240" w:lineRule="atLeast"/>
              <w:jc w:val="right"/>
              <w:rPr>
                <w:szCs w:val="21"/>
              </w:rPr>
            </w:pPr>
            <w:r>
              <w:t>719,337,532.17</w:t>
            </w:r>
          </w:p>
        </w:tc>
        <w:tc>
          <w:tcPr>
            <w:tcW w:w="767" w:type="pct"/>
          </w:tcPr>
          <w:p w14:paraId="1DBE1A0A" w14:textId="77777777" w:rsidR="00E57DAA" w:rsidRDefault="00AC4185">
            <w:pPr>
              <w:snapToGrid w:val="0"/>
              <w:spacing w:line="240" w:lineRule="atLeast"/>
              <w:jc w:val="right"/>
              <w:rPr>
                <w:szCs w:val="21"/>
              </w:rPr>
            </w:pPr>
            <w:r>
              <w:t>858,525,647.36</w:t>
            </w:r>
          </w:p>
        </w:tc>
        <w:tc>
          <w:tcPr>
            <w:tcW w:w="614" w:type="pct"/>
          </w:tcPr>
          <w:p w14:paraId="20F9ACAE" w14:textId="77777777" w:rsidR="00E57DAA" w:rsidRDefault="00AC4185">
            <w:pPr>
              <w:snapToGrid w:val="0"/>
              <w:spacing w:line="240" w:lineRule="atLeast"/>
              <w:jc w:val="right"/>
              <w:rPr>
                <w:szCs w:val="21"/>
              </w:rPr>
            </w:pPr>
            <w:r>
              <w:t> </w:t>
            </w:r>
          </w:p>
        </w:tc>
        <w:tc>
          <w:tcPr>
            <w:tcW w:w="613" w:type="pct"/>
            <w:shd w:val="clear" w:color="auto" w:fill="auto"/>
          </w:tcPr>
          <w:p w14:paraId="256247C9" w14:textId="77777777" w:rsidR="00E57DAA" w:rsidRDefault="00AC4185">
            <w:pPr>
              <w:snapToGrid w:val="0"/>
              <w:spacing w:line="240" w:lineRule="atLeast"/>
              <w:rPr>
                <w:szCs w:val="21"/>
              </w:rPr>
            </w:pPr>
            <w:r>
              <w:t>2024-2028(后续为稳定期)</w:t>
            </w:r>
          </w:p>
        </w:tc>
        <w:tc>
          <w:tcPr>
            <w:tcW w:w="562" w:type="pct"/>
            <w:shd w:val="clear" w:color="auto" w:fill="auto"/>
          </w:tcPr>
          <w:p w14:paraId="4668A2D1" w14:textId="77777777" w:rsidR="00E57DAA" w:rsidRDefault="00AC4185">
            <w:pPr>
              <w:snapToGrid w:val="0"/>
              <w:spacing w:line="240" w:lineRule="atLeast"/>
              <w:rPr>
                <w:szCs w:val="21"/>
              </w:rPr>
            </w:pPr>
            <w:r>
              <w:t>增长率-27.8%-275.43%,利润率-0.82%-43.37%</w:t>
            </w:r>
          </w:p>
        </w:tc>
        <w:tc>
          <w:tcPr>
            <w:tcW w:w="307" w:type="pct"/>
          </w:tcPr>
          <w:p w14:paraId="373AF9A1" w14:textId="77777777" w:rsidR="00E57DAA" w:rsidRDefault="00AC4185">
            <w:pPr>
              <w:snapToGrid w:val="0"/>
              <w:spacing w:line="240" w:lineRule="atLeast"/>
              <w:rPr>
                <w:szCs w:val="21"/>
              </w:rPr>
            </w:pPr>
            <w:r>
              <w:t>管理层盈利预测</w:t>
            </w:r>
          </w:p>
        </w:tc>
        <w:tc>
          <w:tcPr>
            <w:tcW w:w="511" w:type="pct"/>
            <w:shd w:val="clear" w:color="auto" w:fill="auto"/>
          </w:tcPr>
          <w:p w14:paraId="6C8756D3" w14:textId="77777777" w:rsidR="00E57DAA" w:rsidRDefault="00AC4185">
            <w:pPr>
              <w:snapToGrid w:val="0"/>
              <w:spacing w:line="240" w:lineRule="atLeast"/>
              <w:rPr>
                <w:szCs w:val="21"/>
              </w:rPr>
            </w:pPr>
            <w:r>
              <w:t>稳定期增长率为   0.00%,利润率   3.56%-43.37%,折现率   11.25%-27.44%</w:t>
            </w:r>
          </w:p>
        </w:tc>
        <w:tc>
          <w:tcPr>
            <w:tcW w:w="452" w:type="pct"/>
            <w:shd w:val="clear" w:color="auto" w:fill="auto"/>
          </w:tcPr>
          <w:p w14:paraId="1F1AC57B" w14:textId="77777777" w:rsidR="00E57DAA" w:rsidRDefault="00AC4185">
            <w:pPr>
              <w:snapToGrid w:val="0"/>
              <w:spacing w:line="240" w:lineRule="atLeast"/>
              <w:rPr>
                <w:szCs w:val="21"/>
              </w:rPr>
            </w:pPr>
            <w:r>
              <w:t>管理层盈利预测\加权平均资本成本计算模型</w:t>
            </w:r>
          </w:p>
        </w:tc>
      </w:tr>
      <w:tr w:rsidR="00E57DAA" w14:paraId="1A638E06" w14:textId="77777777">
        <w:trPr>
          <w:jc w:val="center"/>
        </w:trPr>
        <w:tc>
          <w:tcPr>
            <w:tcW w:w="481" w:type="pct"/>
            <w:shd w:val="clear" w:color="auto" w:fill="auto"/>
            <w:vAlign w:val="center"/>
          </w:tcPr>
          <w:p w14:paraId="3F9075CF" w14:textId="77777777" w:rsidR="00E57DAA" w:rsidRDefault="00AC4185">
            <w:pPr>
              <w:snapToGrid w:val="0"/>
              <w:spacing w:line="240" w:lineRule="atLeast"/>
              <w:rPr>
                <w:szCs w:val="21"/>
              </w:rPr>
            </w:pPr>
            <w:r>
              <w:t>中材国际水务科技（合肥）有限公司资产组</w:t>
            </w:r>
          </w:p>
        </w:tc>
        <w:tc>
          <w:tcPr>
            <w:tcW w:w="693" w:type="pct"/>
          </w:tcPr>
          <w:p w14:paraId="24044E82" w14:textId="77777777" w:rsidR="00E57DAA" w:rsidRDefault="00AC4185">
            <w:pPr>
              <w:snapToGrid w:val="0"/>
              <w:spacing w:line="240" w:lineRule="atLeast"/>
              <w:jc w:val="right"/>
              <w:rPr>
                <w:szCs w:val="21"/>
              </w:rPr>
            </w:pPr>
            <w:r>
              <w:t>405,313,933.55</w:t>
            </w:r>
          </w:p>
        </w:tc>
        <w:tc>
          <w:tcPr>
            <w:tcW w:w="767" w:type="pct"/>
          </w:tcPr>
          <w:p w14:paraId="54448F91" w14:textId="77777777" w:rsidR="00E57DAA" w:rsidRDefault="00AC4185">
            <w:pPr>
              <w:snapToGrid w:val="0"/>
              <w:spacing w:line="240" w:lineRule="atLeast"/>
              <w:jc w:val="right"/>
              <w:rPr>
                <w:szCs w:val="21"/>
              </w:rPr>
            </w:pPr>
            <w:r>
              <w:t>437,964,500.00</w:t>
            </w:r>
          </w:p>
        </w:tc>
        <w:tc>
          <w:tcPr>
            <w:tcW w:w="614" w:type="pct"/>
          </w:tcPr>
          <w:p w14:paraId="65448C4F" w14:textId="77777777" w:rsidR="00E57DAA" w:rsidRDefault="00AC4185">
            <w:pPr>
              <w:snapToGrid w:val="0"/>
              <w:spacing w:line="240" w:lineRule="atLeast"/>
              <w:jc w:val="right"/>
              <w:rPr>
                <w:szCs w:val="21"/>
              </w:rPr>
            </w:pPr>
            <w:r>
              <w:t> </w:t>
            </w:r>
          </w:p>
        </w:tc>
        <w:tc>
          <w:tcPr>
            <w:tcW w:w="613" w:type="pct"/>
            <w:shd w:val="clear" w:color="auto" w:fill="auto"/>
          </w:tcPr>
          <w:p w14:paraId="11C79C5A" w14:textId="77777777" w:rsidR="00E57DAA" w:rsidRDefault="00AC4185">
            <w:pPr>
              <w:snapToGrid w:val="0"/>
              <w:spacing w:line="240" w:lineRule="atLeast"/>
              <w:rPr>
                <w:szCs w:val="21"/>
              </w:rPr>
            </w:pPr>
            <w:r>
              <w:t>2024-2033(后续为稳定期)</w:t>
            </w:r>
          </w:p>
        </w:tc>
        <w:tc>
          <w:tcPr>
            <w:tcW w:w="562" w:type="pct"/>
            <w:shd w:val="clear" w:color="auto" w:fill="auto"/>
          </w:tcPr>
          <w:p w14:paraId="31C5E085" w14:textId="77777777" w:rsidR="00E57DAA" w:rsidRDefault="00AC4185">
            <w:pPr>
              <w:snapToGrid w:val="0"/>
              <w:spacing w:line="240" w:lineRule="atLeast"/>
              <w:rPr>
                <w:szCs w:val="21"/>
              </w:rPr>
            </w:pPr>
            <w:r>
              <w:t>增长率-6.03</w:t>
            </w:r>
            <w:r>
              <w:rPr>
                <w:rFonts w:hint="eastAsia"/>
              </w:rPr>
              <w:t>%</w:t>
            </w:r>
            <w:r>
              <w:t>-322.75%,利润率   3.85%-5.15%</w:t>
            </w:r>
          </w:p>
        </w:tc>
        <w:tc>
          <w:tcPr>
            <w:tcW w:w="307" w:type="pct"/>
          </w:tcPr>
          <w:p w14:paraId="0F430E29" w14:textId="77777777" w:rsidR="00E57DAA" w:rsidRDefault="00AC4185">
            <w:pPr>
              <w:snapToGrid w:val="0"/>
              <w:spacing w:line="240" w:lineRule="atLeast"/>
              <w:rPr>
                <w:szCs w:val="21"/>
              </w:rPr>
            </w:pPr>
            <w:r>
              <w:t>管理层盈利预测</w:t>
            </w:r>
          </w:p>
        </w:tc>
        <w:tc>
          <w:tcPr>
            <w:tcW w:w="511" w:type="pct"/>
            <w:shd w:val="clear" w:color="auto" w:fill="auto"/>
          </w:tcPr>
          <w:p w14:paraId="1A82E515" w14:textId="77777777" w:rsidR="00E57DAA" w:rsidRDefault="00AC4185">
            <w:pPr>
              <w:snapToGrid w:val="0"/>
              <w:spacing w:line="240" w:lineRule="atLeast"/>
              <w:rPr>
                <w:szCs w:val="21"/>
              </w:rPr>
            </w:pPr>
            <w:r>
              <w:t>稳定期增长率为   0.00%,利润率   5.11%,折现率10.86%</w:t>
            </w:r>
          </w:p>
        </w:tc>
        <w:tc>
          <w:tcPr>
            <w:tcW w:w="452" w:type="pct"/>
            <w:shd w:val="clear" w:color="auto" w:fill="auto"/>
          </w:tcPr>
          <w:p w14:paraId="2A9B1439" w14:textId="77777777" w:rsidR="00E57DAA" w:rsidRDefault="00AC4185">
            <w:pPr>
              <w:snapToGrid w:val="0"/>
              <w:spacing w:line="240" w:lineRule="atLeast"/>
              <w:rPr>
                <w:szCs w:val="21"/>
              </w:rPr>
            </w:pPr>
            <w:r>
              <w:t>管理层盈利预测\加权平均资本成本计算模型告</w:t>
            </w:r>
          </w:p>
        </w:tc>
      </w:tr>
      <w:tr w:rsidR="00E57DAA" w14:paraId="05AEE903" w14:textId="77777777">
        <w:trPr>
          <w:jc w:val="center"/>
        </w:trPr>
        <w:tc>
          <w:tcPr>
            <w:tcW w:w="481" w:type="pct"/>
            <w:shd w:val="clear" w:color="auto" w:fill="auto"/>
            <w:vAlign w:val="center"/>
          </w:tcPr>
          <w:p w14:paraId="784C424F" w14:textId="77777777" w:rsidR="00E57DAA" w:rsidRDefault="00AC4185">
            <w:pPr>
              <w:snapToGrid w:val="0"/>
              <w:spacing w:line="240" w:lineRule="atLeast"/>
              <w:rPr>
                <w:szCs w:val="21"/>
              </w:rPr>
            </w:pPr>
            <w:r>
              <w:t>浙江博宇机电有限公司资产组</w:t>
            </w:r>
          </w:p>
        </w:tc>
        <w:tc>
          <w:tcPr>
            <w:tcW w:w="693" w:type="pct"/>
          </w:tcPr>
          <w:p w14:paraId="2098D181" w14:textId="77777777" w:rsidR="00E57DAA" w:rsidRDefault="00AC4185">
            <w:pPr>
              <w:snapToGrid w:val="0"/>
              <w:spacing w:line="240" w:lineRule="atLeast"/>
              <w:jc w:val="right"/>
              <w:rPr>
                <w:szCs w:val="21"/>
              </w:rPr>
            </w:pPr>
            <w:r>
              <w:t>565,493,859.05</w:t>
            </w:r>
          </w:p>
        </w:tc>
        <w:tc>
          <w:tcPr>
            <w:tcW w:w="767" w:type="pct"/>
          </w:tcPr>
          <w:p w14:paraId="21A9FEA2" w14:textId="77777777" w:rsidR="00E57DAA" w:rsidRDefault="00AC4185">
            <w:pPr>
              <w:snapToGrid w:val="0"/>
              <w:spacing w:line="240" w:lineRule="atLeast"/>
              <w:jc w:val="right"/>
              <w:rPr>
                <w:szCs w:val="21"/>
              </w:rPr>
            </w:pPr>
            <w:r>
              <w:t>298,740,000.00</w:t>
            </w:r>
          </w:p>
        </w:tc>
        <w:tc>
          <w:tcPr>
            <w:tcW w:w="614" w:type="pct"/>
          </w:tcPr>
          <w:p w14:paraId="119A4C3E" w14:textId="77777777" w:rsidR="00E57DAA" w:rsidRDefault="00AC4185">
            <w:pPr>
              <w:snapToGrid w:val="0"/>
              <w:spacing w:line="240" w:lineRule="atLeast"/>
              <w:jc w:val="right"/>
              <w:rPr>
                <w:szCs w:val="21"/>
              </w:rPr>
            </w:pPr>
            <w:r>
              <w:t>136,044,468.12</w:t>
            </w:r>
          </w:p>
        </w:tc>
        <w:tc>
          <w:tcPr>
            <w:tcW w:w="613" w:type="pct"/>
            <w:shd w:val="clear" w:color="auto" w:fill="auto"/>
          </w:tcPr>
          <w:p w14:paraId="676BB39F" w14:textId="77777777" w:rsidR="00E57DAA" w:rsidRDefault="00AC4185">
            <w:pPr>
              <w:snapToGrid w:val="0"/>
              <w:spacing w:line="240" w:lineRule="atLeast"/>
              <w:rPr>
                <w:szCs w:val="21"/>
              </w:rPr>
            </w:pPr>
            <w:r>
              <w:t>2024-2028(后续为稳定期)</w:t>
            </w:r>
          </w:p>
        </w:tc>
        <w:tc>
          <w:tcPr>
            <w:tcW w:w="562" w:type="pct"/>
            <w:shd w:val="clear" w:color="auto" w:fill="auto"/>
          </w:tcPr>
          <w:p w14:paraId="29D6D772" w14:textId="77777777" w:rsidR="00E57DAA" w:rsidRDefault="00AC4185">
            <w:pPr>
              <w:snapToGrid w:val="0"/>
              <w:spacing w:line="240" w:lineRule="atLeast"/>
              <w:rPr>
                <w:szCs w:val="21"/>
              </w:rPr>
            </w:pPr>
            <w:r>
              <w:t>增长率9%-18.62%,利润率   20.4%-21.68%</w:t>
            </w:r>
          </w:p>
        </w:tc>
        <w:tc>
          <w:tcPr>
            <w:tcW w:w="307" w:type="pct"/>
          </w:tcPr>
          <w:p w14:paraId="3213ED7B" w14:textId="77777777" w:rsidR="00E57DAA" w:rsidRDefault="00AC4185">
            <w:pPr>
              <w:snapToGrid w:val="0"/>
              <w:spacing w:line="240" w:lineRule="atLeast"/>
              <w:rPr>
                <w:szCs w:val="21"/>
              </w:rPr>
            </w:pPr>
            <w:r>
              <w:t>管理层盈利预测</w:t>
            </w:r>
          </w:p>
        </w:tc>
        <w:tc>
          <w:tcPr>
            <w:tcW w:w="511" w:type="pct"/>
            <w:shd w:val="clear" w:color="auto" w:fill="auto"/>
          </w:tcPr>
          <w:p w14:paraId="418A62F2" w14:textId="77777777" w:rsidR="00E57DAA" w:rsidRDefault="00AC4185">
            <w:pPr>
              <w:snapToGrid w:val="0"/>
              <w:spacing w:line="240" w:lineRule="atLeast"/>
              <w:rPr>
                <w:szCs w:val="21"/>
              </w:rPr>
            </w:pPr>
            <w:r>
              <w:t xml:space="preserve">稳定期增长率为   0.00%,利润率   </w:t>
            </w:r>
            <w:r>
              <w:lastRenderedPageBreak/>
              <w:t>21,68%,折现率   13.77%</w:t>
            </w:r>
          </w:p>
        </w:tc>
        <w:tc>
          <w:tcPr>
            <w:tcW w:w="452" w:type="pct"/>
            <w:shd w:val="clear" w:color="auto" w:fill="auto"/>
          </w:tcPr>
          <w:p w14:paraId="7502C0E4" w14:textId="77777777" w:rsidR="00E57DAA" w:rsidRDefault="00AC4185">
            <w:pPr>
              <w:snapToGrid w:val="0"/>
              <w:spacing w:line="240" w:lineRule="atLeast"/>
              <w:rPr>
                <w:szCs w:val="21"/>
              </w:rPr>
            </w:pPr>
            <w:r>
              <w:lastRenderedPageBreak/>
              <w:t>管理层盈利预测\加权平均资本成本计算模型</w:t>
            </w:r>
          </w:p>
        </w:tc>
      </w:tr>
      <w:tr w:rsidR="00E57DAA" w14:paraId="5CCFE5F3" w14:textId="77777777">
        <w:trPr>
          <w:jc w:val="center"/>
        </w:trPr>
        <w:tc>
          <w:tcPr>
            <w:tcW w:w="481" w:type="pct"/>
            <w:shd w:val="clear" w:color="auto" w:fill="auto"/>
            <w:vAlign w:val="center"/>
          </w:tcPr>
          <w:p w14:paraId="222DC712" w14:textId="77777777" w:rsidR="00E57DAA" w:rsidRDefault="00AC4185">
            <w:pPr>
              <w:snapToGrid w:val="0"/>
              <w:spacing w:line="240" w:lineRule="atLeast"/>
              <w:rPr>
                <w:szCs w:val="21"/>
              </w:rPr>
            </w:pPr>
            <w:r>
              <w:t>中材智能科技（成都）有限公司资产组</w:t>
            </w:r>
          </w:p>
        </w:tc>
        <w:tc>
          <w:tcPr>
            <w:tcW w:w="693" w:type="pct"/>
          </w:tcPr>
          <w:p w14:paraId="513AD31B" w14:textId="77777777" w:rsidR="00E57DAA" w:rsidRDefault="00AC4185">
            <w:pPr>
              <w:snapToGrid w:val="0"/>
              <w:spacing w:line="240" w:lineRule="atLeast"/>
              <w:jc w:val="right"/>
              <w:rPr>
                <w:szCs w:val="21"/>
              </w:rPr>
            </w:pPr>
            <w:r>
              <w:t>40,253,684.11</w:t>
            </w:r>
          </w:p>
        </w:tc>
        <w:tc>
          <w:tcPr>
            <w:tcW w:w="767" w:type="pct"/>
          </w:tcPr>
          <w:p w14:paraId="58C19D48" w14:textId="77777777" w:rsidR="00E57DAA" w:rsidRDefault="00AC4185">
            <w:pPr>
              <w:snapToGrid w:val="0"/>
              <w:spacing w:line="240" w:lineRule="atLeast"/>
              <w:jc w:val="right"/>
              <w:rPr>
                <w:szCs w:val="21"/>
              </w:rPr>
            </w:pPr>
            <w:r>
              <w:t>50,370,200.00</w:t>
            </w:r>
          </w:p>
        </w:tc>
        <w:tc>
          <w:tcPr>
            <w:tcW w:w="614" w:type="pct"/>
          </w:tcPr>
          <w:p w14:paraId="16BBB145" w14:textId="77777777" w:rsidR="00E57DAA" w:rsidRDefault="00AC4185">
            <w:pPr>
              <w:snapToGrid w:val="0"/>
              <w:spacing w:line="240" w:lineRule="atLeast"/>
              <w:jc w:val="right"/>
              <w:rPr>
                <w:szCs w:val="21"/>
              </w:rPr>
            </w:pPr>
            <w:r>
              <w:t> </w:t>
            </w:r>
          </w:p>
        </w:tc>
        <w:tc>
          <w:tcPr>
            <w:tcW w:w="613" w:type="pct"/>
            <w:shd w:val="clear" w:color="auto" w:fill="auto"/>
          </w:tcPr>
          <w:p w14:paraId="398C5CF0" w14:textId="77777777" w:rsidR="00E57DAA" w:rsidRDefault="00AC4185">
            <w:pPr>
              <w:snapToGrid w:val="0"/>
              <w:spacing w:line="240" w:lineRule="atLeast"/>
              <w:rPr>
                <w:szCs w:val="21"/>
              </w:rPr>
            </w:pPr>
            <w:r>
              <w:t>2024-2028(后续为稳定期)</w:t>
            </w:r>
          </w:p>
        </w:tc>
        <w:tc>
          <w:tcPr>
            <w:tcW w:w="562" w:type="pct"/>
            <w:shd w:val="clear" w:color="auto" w:fill="auto"/>
          </w:tcPr>
          <w:p w14:paraId="58D637DB" w14:textId="77777777" w:rsidR="00E57DAA" w:rsidRDefault="00AC4185">
            <w:pPr>
              <w:snapToGrid w:val="0"/>
              <w:spacing w:line="240" w:lineRule="atLeast"/>
              <w:rPr>
                <w:szCs w:val="21"/>
              </w:rPr>
            </w:pPr>
            <w:r>
              <w:t>增长率3%-139.16%-,利润率   9.32%-11.6%</w:t>
            </w:r>
          </w:p>
        </w:tc>
        <w:tc>
          <w:tcPr>
            <w:tcW w:w="307" w:type="pct"/>
          </w:tcPr>
          <w:p w14:paraId="2D29B024" w14:textId="77777777" w:rsidR="00E57DAA" w:rsidRDefault="00AC4185">
            <w:pPr>
              <w:snapToGrid w:val="0"/>
              <w:spacing w:line="240" w:lineRule="atLeast"/>
              <w:rPr>
                <w:szCs w:val="21"/>
              </w:rPr>
            </w:pPr>
            <w:r>
              <w:t>管理层盈利预测</w:t>
            </w:r>
          </w:p>
        </w:tc>
        <w:tc>
          <w:tcPr>
            <w:tcW w:w="511" w:type="pct"/>
            <w:shd w:val="clear" w:color="auto" w:fill="auto"/>
          </w:tcPr>
          <w:p w14:paraId="335717EA" w14:textId="77777777" w:rsidR="00E57DAA" w:rsidRDefault="00AC4185">
            <w:pPr>
              <w:snapToGrid w:val="0"/>
              <w:spacing w:line="240" w:lineRule="atLeast"/>
              <w:rPr>
                <w:szCs w:val="21"/>
              </w:rPr>
            </w:pPr>
            <w:r>
              <w:t>稳定期增长率为   0.00%,利润率11.66%,折现率   10.29%</w:t>
            </w:r>
          </w:p>
        </w:tc>
        <w:tc>
          <w:tcPr>
            <w:tcW w:w="452" w:type="pct"/>
            <w:shd w:val="clear" w:color="auto" w:fill="auto"/>
          </w:tcPr>
          <w:p w14:paraId="2F3D46BF" w14:textId="77777777" w:rsidR="00E57DAA" w:rsidRDefault="00AC4185">
            <w:pPr>
              <w:snapToGrid w:val="0"/>
              <w:spacing w:line="240" w:lineRule="atLeast"/>
              <w:rPr>
                <w:szCs w:val="21"/>
              </w:rPr>
            </w:pPr>
            <w:r>
              <w:t>管理层盈利预测\加权平均资本成本计算模型</w:t>
            </w:r>
          </w:p>
        </w:tc>
      </w:tr>
      <w:tr w:rsidR="00E57DAA" w14:paraId="6C6C4685" w14:textId="77777777">
        <w:trPr>
          <w:jc w:val="center"/>
        </w:trPr>
        <w:tc>
          <w:tcPr>
            <w:tcW w:w="481" w:type="pct"/>
            <w:shd w:val="clear" w:color="auto" w:fill="auto"/>
            <w:vAlign w:val="center"/>
          </w:tcPr>
          <w:p w14:paraId="2EB58FF1" w14:textId="77777777" w:rsidR="00E57DAA" w:rsidRDefault="00AC4185">
            <w:pPr>
              <w:snapToGrid w:val="0"/>
              <w:spacing w:line="240" w:lineRule="atLeast"/>
              <w:rPr>
                <w:szCs w:val="21"/>
              </w:rPr>
            </w:pPr>
            <w:r>
              <w:t>中建材（合肥）钢构科技有限公司资产组</w:t>
            </w:r>
          </w:p>
        </w:tc>
        <w:tc>
          <w:tcPr>
            <w:tcW w:w="693" w:type="pct"/>
          </w:tcPr>
          <w:p w14:paraId="065FE347" w14:textId="77777777" w:rsidR="00E57DAA" w:rsidRDefault="00AC4185">
            <w:pPr>
              <w:snapToGrid w:val="0"/>
              <w:spacing w:line="240" w:lineRule="atLeast"/>
              <w:jc w:val="right"/>
              <w:rPr>
                <w:szCs w:val="21"/>
              </w:rPr>
            </w:pPr>
            <w:r>
              <w:t>114,494,460.76</w:t>
            </w:r>
          </w:p>
        </w:tc>
        <w:tc>
          <w:tcPr>
            <w:tcW w:w="767" w:type="pct"/>
          </w:tcPr>
          <w:p w14:paraId="279EBC4A" w14:textId="77777777" w:rsidR="00E57DAA" w:rsidRDefault="00AC4185">
            <w:pPr>
              <w:snapToGrid w:val="0"/>
              <w:spacing w:line="240" w:lineRule="atLeast"/>
              <w:jc w:val="right"/>
              <w:rPr>
                <w:szCs w:val="21"/>
              </w:rPr>
            </w:pPr>
            <w:r>
              <w:t>1,055,986,113.00</w:t>
            </w:r>
          </w:p>
        </w:tc>
        <w:tc>
          <w:tcPr>
            <w:tcW w:w="614" w:type="pct"/>
          </w:tcPr>
          <w:p w14:paraId="0FAA1DC8" w14:textId="77777777" w:rsidR="00E57DAA" w:rsidRDefault="00AC4185">
            <w:pPr>
              <w:snapToGrid w:val="0"/>
              <w:spacing w:line="240" w:lineRule="atLeast"/>
              <w:jc w:val="right"/>
              <w:rPr>
                <w:szCs w:val="21"/>
              </w:rPr>
            </w:pPr>
            <w:r>
              <w:t> </w:t>
            </w:r>
          </w:p>
        </w:tc>
        <w:tc>
          <w:tcPr>
            <w:tcW w:w="613" w:type="pct"/>
            <w:shd w:val="clear" w:color="auto" w:fill="auto"/>
          </w:tcPr>
          <w:p w14:paraId="0C452C4B" w14:textId="77777777" w:rsidR="00E57DAA" w:rsidRDefault="00AC4185">
            <w:pPr>
              <w:snapToGrid w:val="0"/>
              <w:spacing w:line="240" w:lineRule="atLeast"/>
              <w:rPr>
                <w:szCs w:val="21"/>
              </w:rPr>
            </w:pPr>
            <w:r>
              <w:t>2024-2028(后续为稳定期)</w:t>
            </w:r>
          </w:p>
        </w:tc>
        <w:tc>
          <w:tcPr>
            <w:tcW w:w="562" w:type="pct"/>
            <w:shd w:val="clear" w:color="auto" w:fill="auto"/>
          </w:tcPr>
          <w:p w14:paraId="54C0FA48" w14:textId="77777777" w:rsidR="00E57DAA" w:rsidRDefault="00AC4185">
            <w:pPr>
              <w:snapToGrid w:val="0"/>
              <w:spacing w:line="240" w:lineRule="atLeast"/>
              <w:rPr>
                <w:szCs w:val="21"/>
              </w:rPr>
            </w:pPr>
            <w:r>
              <w:t>增长率6%-7.9%,利润率   9.7%1-9.53%</w:t>
            </w:r>
          </w:p>
        </w:tc>
        <w:tc>
          <w:tcPr>
            <w:tcW w:w="307" w:type="pct"/>
          </w:tcPr>
          <w:p w14:paraId="0A4E8F79" w14:textId="77777777" w:rsidR="00E57DAA" w:rsidRDefault="00AC4185">
            <w:pPr>
              <w:snapToGrid w:val="0"/>
              <w:spacing w:line="240" w:lineRule="atLeast"/>
              <w:rPr>
                <w:szCs w:val="21"/>
              </w:rPr>
            </w:pPr>
            <w:r>
              <w:t>管理层盈利预测</w:t>
            </w:r>
          </w:p>
        </w:tc>
        <w:tc>
          <w:tcPr>
            <w:tcW w:w="511" w:type="pct"/>
            <w:shd w:val="clear" w:color="auto" w:fill="auto"/>
          </w:tcPr>
          <w:p w14:paraId="02E2DD58" w14:textId="77777777" w:rsidR="00E57DAA" w:rsidRDefault="00AC4185">
            <w:pPr>
              <w:snapToGrid w:val="0"/>
              <w:spacing w:line="240" w:lineRule="atLeast"/>
              <w:rPr>
                <w:szCs w:val="21"/>
              </w:rPr>
            </w:pPr>
            <w:r>
              <w:t>稳定期增长率为   0.00%,利润率   9.53%,折现率10.29%</w:t>
            </w:r>
          </w:p>
        </w:tc>
        <w:tc>
          <w:tcPr>
            <w:tcW w:w="452" w:type="pct"/>
            <w:shd w:val="clear" w:color="auto" w:fill="auto"/>
          </w:tcPr>
          <w:p w14:paraId="545217EA" w14:textId="77777777" w:rsidR="00E57DAA" w:rsidRDefault="00AC4185">
            <w:pPr>
              <w:snapToGrid w:val="0"/>
              <w:spacing w:line="240" w:lineRule="atLeast"/>
              <w:rPr>
                <w:szCs w:val="21"/>
              </w:rPr>
            </w:pPr>
            <w:r>
              <w:t>管理层盈利预测\加权平均资本成本计算模型</w:t>
            </w:r>
          </w:p>
        </w:tc>
      </w:tr>
      <w:tr w:rsidR="00E57DAA" w14:paraId="454F0E71" w14:textId="77777777">
        <w:trPr>
          <w:jc w:val="center"/>
        </w:trPr>
        <w:tc>
          <w:tcPr>
            <w:tcW w:w="481" w:type="pct"/>
            <w:shd w:val="clear" w:color="auto" w:fill="auto"/>
            <w:vAlign w:val="center"/>
          </w:tcPr>
          <w:p w14:paraId="10DA5D59" w14:textId="77777777" w:rsidR="00E57DAA" w:rsidRDefault="00AC4185">
            <w:pPr>
              <w:snapToGrid w:val="0"/>
              <w:spacing w:line="240" w:lineRule="atLeast"/>
              <w:rPr>
                <w:szCs w:val="21"/>
              </w:rPr>
            </w:pPr>
            <w:r>
              <w:t>湖北秦鸿新材料股份有限公司资产组</w:t>
            </w:r>
          </w:p>
        </w:tc>
        <w:tc>
          <w:tcPr>
            <w:tcW w:w="693" w:type="pct"/>
          </w:tcPr>
          <w:p w14:paraId="243BCAB8" w14:textId="77777777" w:rsidR="00E57DAA" w:rsidRDefault="00AC4185">
            <w:pPr>
              <w:snapToGrid w:val="0"/>
              <w:spacing w:line="240" w:lineRule="atLeast"/>
              <w:jc w:val="right"/>
              <w:rPr>
                <w:szCs w:val="21"/>
              </w:rPr>
            </w:pPr>
            <w:r>
              <w:t>55,754,710.01</w:t>
            </w:r>
          </w:p>
        </w:tc>
        <w:tc>
          <w:tcPr>
            <w:tcW w:w="767" w:type="pct"/>
          </w:tcPr>
          <w:p w14:paraId="24DCAED7" w14:textId="77777777" w:rsidR="00E57DAA" w:rsidRDefault="00AC4185">
            <w:pPr>
              <w:snapToGrid w:val="0"/>
              <w:spacing w:line="240" w:lineRule="atLeast"/>
              <w:jc w:val="right"/>
              <w:rPr>
                <w:szCs w:val="21"/>
              </w:rPr>
            </w:pPr>
            <w:r>
              <w:t>197,940,000.00</w:t>
            </w:r>
          </w:p>
        </w:tc>
        <w:tc>
          <w:tcPr>
            <w:tcW w:w="614" w:type="pct"/>
          </w:tcPr>
          <w:p w14:paraId="412C3836" w14:textId="77777777" w:rsidR="00E57DAA" w:rsidRDefault="00AC4185">
            <w:pPr>
              <w:snapToGrid w:val="0"/>
              <w:spacing w:line="240" w:lineRule="atLeast"/>
              <w:jc w:val="right"/>
              <w:rPr>
                <w:szCs w:val="21"/>
              </w:rPr>
            </w:pPr>
            <w:r>
              <w:t> </w:t>
            </w:r>
          </w:p>
        </w:tc>
        <w:tc>
          <w:tcPr>
            <w:tcW w:w="613" w:type="pct"/>
            <w:shd w:val="clear" w:color="auto" w:fill="auto"/>
          </w:tcPr>
          <w:p w14:paraId="58753BBE" w14:textId="77777777" w:rsidR="00E57DAA" w:rsidRDefault="00AC4185">
            <w:pPr>
              <w:snapToGrid w:val="0"/>
              <w:spacing w:line="240" w:lineRule="atLeast"/>
              <w:rPr>
                <w:szCs w:val="21"/>
              </w:rPr>
            </w:pPr>
            <w:r>
              <w:t>2024-2028(后续为稳定期)</w:t>
            </w:r>
          </w:p>
        </w:tc>
        <w:tc>
          <w:tcPr>
            <w:tcW w:w="562" w:type="pct"/>
            <w:shd w:val="clear" w:color="auto" w:fill="auto"/>
          </w:tcPr>
          <w:p w14:paraId="2481D6D8" w14:textId="77777777" w:rsidR="00E57DAA" w:rsidRDefault="00AC4185">
            <w:pPr>
              <w:snapToGrid w:val="0"/>
              <w:spacing w:line="240" w:lineRule="atLeast"/>
              <w:rPr>
                <w:szCs w:val="21"/>
              </w:rPr>
            </w:pPr>
            <w:r>
              <w:t>增长率5%-8%,利润率   17.81%-18.25%</w:t>
            </w:r>
          </w:p>
        </w:tc>
        <w:tc>
          <w:tcPr>
            <w:tcW w:w="307" w:type="pct"/>
          </w:tcPr>
          <w:p w14:paraId="241BE8BF" w14:textId="77777777" w:rsidR="00E57DAA" w:rsidRDefault="00AC4185">
            <w:pPr>
              <w:snapToGrid w:val="0"/>
              <w:spacing w:line="240" w:lineRule="atLeast"/>
              <w:rPr>
                <w:szCs w:val="21"/>
              </w:rPr>
            </w:pPr>
            <w:r>
              <w:t>管理层盈利预测</w:t>
            </w:r>
          </w:p>
        </w:tc>
        <w:tc>
          <w:tcPr>
            <w:tcW w:w="511" w:type="pct"/>
            <w:shd w:val="clear" w:color="auto" w:fill="auto"/>
          </w:tcPr>
          <w:p w14:paraId="5DBCBDC7" w14:textId="77777777" w:rsidR="00E57DAA" w:rsidRDefault="00AC4185">
            <w:pPr>
              <w:snapToGrid w:val="0"/>
              <w:spacing w:line="240" w:lineRule="atLeast"/>
              <w:rPr>
                <w:szCs w:val="21"/>
              </w:rPr>
            </w:pPr>
            <w:r>
              <w:t>稳定期增长率为   0.00%,利润率   18.25%,折现率11.4%</w:t>
            </w:r>
          </w:p>
        </w:tc>
        <w:tc>
          <w:tcPr>
            <w:tcW w:w="452" w:type="pct"/>
            <w:shd w:val="clear" w:color="auto" w:fill="auto"/>
          </w:tcPr>
          <w:p w14:paraId="2CC965B1" w14:textId="77777777" w:rsidR="00E57DAA" w:rsidRDefault="00AC4185">
            <w:pPr>
              <w:snapToGrid w:val="0"/>
              <w:spacing w:line="240" w:lineRule="atLeast"/>
              <w:rPr>
                <w:szCs w:val="21"/>
              </w:rPr>
            </w:pPr>
            <w:r>
              <w:t>管理层盈利预测\加权平均资本成本计算模型</w:t>
            </w:r>
          </w:p>
        </w:tc>
      </w:tr>
      <w:tr w:rsidR="00E57DAA" w14:paraId="3D7DFA62" w14:textId="77777777">
        <w:trPr>
          <w:jc w:val="center"/>
        </w:trPr>
        <w:tc>
          <w:tcPr>
            <w:tcW w:w="481" w:type="pct"/>
            <w:shd w:val="clear" w:color="auto" w:fill="auto"/>
            <w:vAlign w:val="center"/>
          </w:tcPr>
          <w:p w14:paraId="04E9E869" w14:textId="77777777" w:rsidR="00E57DAA" w:rsidRDefault="00AC4185">
            <w:pPr>
              <w:snapToGrid w:val="0"/>
              <w:spacing w:line="240" w:lineRule="atLeast"/>
              <w:rPr>
                <w:szCs w:val="21"/>
              </w:rPr>
            </w:pPr>
            <w:r>
              <w:t>江苏凯希盟科技有限公司资产组</w:t>
            </w:r>
          </w:p>
        </w:tc>
        <w:tc>
          <w:tcPr>
            <w:tcW w:w="693" w:type="pct"/>
          </w:tcPr>
          <w:p w14:paraId="1C85B214" w14:textId="77777777" w:rsidR="00E57DAA" w:rsidRDefault="00AC4185">
            <w:pPr>
              <w:snapToGrid w:val="0"/>
              <w:spacing w:line="240" w:lineRule="atLeast"/>
              <w:jc w:val="right"/>
              <w:rPr>
                <w:szCs w:val="21"/>
              </w:rPr>
            </w:pPr>
            <w:r>
              <w:t>5,602,248.90</w:t>
            </w:r>
          </w:p>
        </w:tc>
        <w:tc>
          <w:tcPr>
            <w:tcW w:w="767" w:type="pct"/>
          </w:tcPr>
          <w:p w14:paraId="500D6A01" w14:textId="77777777" w:rsidR="00E57DAA" w:rsidRDefault="00AC4185">
            <w:pPr>
              <w:snapToGrid w:val="0"/>
              <w:spacing w:line="240" w:lineRule="atLeast"/>
              <w:jc w:val="right"/>
              <w:rPr>
                <w:szCs w:val="21"/>
              </w:rPr>
            </w:pPr>
            <w:r>
              <w:t>12,625,096.00</w:t>
            </w:r>
          </w:p>
        </w:tc>
        <w:tc>
          <w:tcPr>
            <w:tcW w:w="614" w:type="pct"/>
          </w:tcPr>
          <w:p w14:paraId="2DA87FCE" w14:textId="77777777" w:rsidR="00E57DAA" w:rsidRDefault="00AC4185">
            <w:pPr>
              <w:snapToGrid w:val="0"/>
              <w:spacing w:line="240" w:lineRule="atLeast"/>
              <w:jc w:val="right"/>
              <w:rPr>
                <w:szCs w:val="21"/>
              </w:rPr>
            </w:pPr>
            <w:r>
              <w:t> </w:t>
            </w:r>
          </w:p>
        </w:tc>
        <w:tc>
          <w:tcPr>
            <w:tcW w:w="613" w:type="pct"/>
            <w:shd w:val="clear" w:color="auto" w:fill="auto"/>
          </w:tcPr>
          <w:p w14:paraId="343BDAB4" w14:textId="77777777" w:rsidR="00E57DAA" w:rsidRDefault="00AC4185">
            <w:pPr>
              <w:snapToGrid w:val="0"/>
              <w:spacing w:line="240" w:lineRule="atLeast"/>
              <w:rPr>
                <w:szCs w:val="21"/>
              </w:rPr>
            </w:pPr>
            <w:r>
              <w:t>2024-2028(后续为稳定期)</w:t>
            </w:r>
          </w:p>
        </w:tc>
        <w:tc>
          <w:tcPr>
            <w:tcW w:w="562" w:type="pct"/>
            <w:shd w:val="clear" w:color="auto" w:fill="auto"/>
          </w:tcPr>
          <w:p w14:paraId="7741EF33" w14:textId="77777777" w:rsidR="00E57DAA" w:rsidRDefault="00AC4185">
            <w:pPr>
              <w:snapToGrid w:val="0"/>
              <w:spacing w:line="240" w:lineRule="atLeast"/>
              <w:rPr>
                <w:szCs w:val="21"/>
              </w:rPr>
            </w:pPr>
            <w:r>
              <w:t>增长率12.92%-64.25%，利润率16.71%-19.82%</w:t>
            </w:r>
          </w:p>
        </w:tc>
        <w:tc>
          <w:tcPr>
            <w:tcW w:w="307" w:type="pct"/>
          </w:tcPr>
          <w:p w14:paraId="37826021" w14:textId="77777777" w:rsidR="00E57DAA" w:rsidRDefault="00AC4185">
            <w:pPr>
              <w:snapToGrid w:val="0"/>
              <w:spacing w:line="240" w:lineRule="atLeast"/>
              <w:rPr>
                <w:szCs w:val="21"/>
              </w:rPr>
            </w:pPr>
            <w:r>
              <w:t>管理层盈利预测</w:t>
            </w:r>
          </w:p>
        </w:tc>
        <w:tc>
          <w:tcPr>
            <w:tcW w:w="511" w:type="pct"/>
            <w:shd w:val="clear" w:color="auto" w:fill="auto"/>
          </w:tcPr>
          <w:p w14:paraId="1FAE9B58" w14:textId="77777777" w:rsidR="00E57DAA" w:rsidRDefault="00AC4185">
            <w:pPr>
              <w:snapToGrid w:val="0"/>
              <w:spacing w:line="240" w:lineRule="atLeast"/>
              <w:rPr>
                <w:szCs w:val="21"/>
              </w:rPr>
            </w:pPr>
            <w:r>
              <w:t>稳定期增长率为   0.00%,利润率   19.82%,折现率10.32%</w:t>
            </w:r>
          </w:p>
        </w:tc>
        <w:tc>
          <w:tcPr>
            <w:tcW w:w="452" w:type="pct"/>
            <w:shd w:val="clear" w:color="auto" w:fill="auto"/>
          </w:tcPr>
          <w:p w14:paraId="088A5225" w14:textId="77777777" w:rsidR="00E57DAA" w:rsidRDefault="00AC4185">
            <w:pPr>
              <w:snapToGrid w:val="0"/>
              <w:spacing w:line="240" w:lineRule="atLeast"/>
              <w:rPr>
                <w:szCs w:val="21"/>
              </w:rPr>
            </w:pPr>
            <w:r>
              <w:t>管理层盈利预测\加权平均资本成本计算模型</w:t>
            </w:r>
          </w:p>
        </w:tc>
      </w:tr>
    </w:tbl>
    <w:p w14:paraId="24FB4A22" w14:textId="77777777" w:rsidR="00E57DAA" w:rsidRDefault="00E57DAA"/>
    <w:p w14:paraId="5757CD99" w14:textId="77777777" w:rsidR="00E57DAA" w:rsidRDefault="00E57DAA" w:rsidP="00C25422">
      <w:pPr>
        <w:pStyle w:val="92"/>
      </w:pPr>
    </w:p>
    <w:p w14:paraId="5E7738DA" w14:textId="77777777" w:rsidR="00E57DAA" w:rsidRDefault="00E57DAA" w:rsidP="00C25422">
      <w:pPr>
        <w:pStyle w:val="92"/>
      </w:pPr>
    </w:p>
    <w:p w14:paraId="1ECCEDF8" w14:textId="77777777" w:rsidR="00E57DAA" w:rsidRDefault="00AC4185" w:rsidP="00C25422">
      <w:pPr>
        <w:pStyle w:val="92"/>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6fedd0cb22e642148a39712dafed8ab2"/>
        <w:id w:val="1078408996"/>
        <w:placeholder>
          <w:docPart w:val="GBC22222222222222222222222222222"/>
        </w:placeholder>
      </w:sdtPr>
      <w:sdtEndPr/>
      <w:sdtContent>
        <w:p w14:paraId="36D216B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BE393B" w14:textId="77777777" w:rsidR="00E57DAA" w:rsidRDefault="00E57DAA">
      <w:pPr>
        <w:snapToGrid w:val="0"/>
        <w:spacing w:line="240" w:lineRule="atLeast"/>
        <w:rPr>
          <w:szCs w:val="21"/>
        </w:rPr>
      </w:pPr>
    </w:p>
    <w:p w14:paraId="00A6629B" w14:textId="77777777" w:rsidR="00E57DAA" w:rsidRDefault="00AC4185" w:rsidP="00C25422">
      <w:pPr>
        <w:pStyle w:val="92"/>
      </w:pPr>
      <w:r>
        <w:rPr>
          <w:rFonts w:hint="eastAsia"/>
        </w:rPr>
        <w:lastRenderedPageBreak/>
        <w:t>公司以前年度减值测试采用信息与当年实际情况明显不一致的差异原因</w:t>
      </w:r>
    </w:p>
    <w:sdt>
      <w:sdtPr>
        <w:alias w:val="是否适用：公司以前年度减值测试采用信息与当年实际情况明显不一致的差异原因[双击切换]"/>
        <w:tag w:val="_GBC_18d33f86a7b9452d90cad7f084f6d59d"/>
        <w:id w:val="-1329978724"/>
        <w:placeholder>
          <w:docPart w:val="GBC22222222222222222222222222222"/>
        </w:placeholder>
      </w:sdtPr>
      <w:sdtEndPr/>
      <w:sdtContent>
        <w:p w14:paraId="0A21837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3"/>
    <w:p w14:paraId="42BC4332" w14:textId="77777777" w:rsidR="00E57DAA" w:rsidRDefault="00E57DAA">
      <w:pPr>
        <w:snapToGrid w:val="0"/>
        <w:spacing w:line="240" w:lineRule="atLeast"/>
        <w:rPr>
          <w:szCs w:val="21"/>
        </w:rPr>
        <w:sectPr w:rsidR="00E57DAA" w:rsidSect="00226547">
          <w:pgSz w:w="16838" w:h="11906" w:orient="landscape"/>
          <w:pgMar w:top="1276" w:right="1440" w:bottom="1797" w:left="1525" w:header="856" w:footer="992" w:gutter="0"/>
          <w:cols w:space="425"/>
          <w:docGrid w:linePitch="312"/>
        </w:sectPr>
      </w:pPr>
    </w:p>
    <w:p w14:paraId="4B6A9C88" w14:textId="77777777" w:rsidR="00E57DAA" w:rsidRDefault="00E57DAA">
      <w:pPr>
        <w:snapToGrid w:val="0"/>
        <w:spacing w:line="240" w:lineRule="atLeast"/>
        <w:rPr>
          <w:szCs w:val="21"/>
        </w:rPr>
      </w:pPr>
    </w:p>
    <w:p w14:paraId="5403FAF3" w14:textId="77777777" w:rsidR="00E57DAA" w:rsidRDefault="00AC4185">
      <w:pPr>
        <w:pStyle w:val="4"/>
        <w:numPr>
          <w:ilvl w:val="3"/>
          <w:numId w:val="89"/>
        </w:numPr>
        <w:ind w:left="426" w:hanging="426"/>
        <w:rPr>
          <w:rFonts w:ascii="宋体" w:eastAsia="宋体" w:hAnsi="宋体" w:cs="宋体"/>
          <w:kern w:val="0"/>
          <w:szCs w:val="24"/>
        </w:rPr>
      </w:pPr>
      <w:r>
        <w:rPr>
          <w:rFonts w:ascii="宋体" w:eastAsia="宋体" w:hAnsi="宋体" w:cs="宋体" w:hint="eastAsia"/>
          <w:kern w:val="0"/>
          <w:szCs w:val="24"/>
        </w:rPr>
        <w:t>业绩承诺及对应商誉减值情况</w:t>
      </w:r>
    </w:p>
    <w:p w14:paraId="37BF2B8C" w14:textId="77777777" w:rsidR="00E57DAA" w:rsidRDefault="00AC4185">
      <w:r>
        <w:rPr>
          <w:rFonts w:hint="eastAsia"/>
        </w:rPr>
        <w:t>形成商誉时存在业绩承诺且报告期或报告期上一期间处于业绩承诺期内</w:t>
      </w:r>
    </w:p>
    <w:sdt>
      <w:sdtPr>
        <w:alias w:val="是否适用：业绩承诺完成及对应商誉减值情况[双击切换]"/>
        <w:tag w:val="_GBC_95d9b287a7584eabae736c33b656195c"/>
        <w:id w:val="104704090"/>
      </w:sdtPr>
      <w:sdtEndPr/>
      <w:sdtContent>
        <w:p w14:paraId="3BF66995" w14:textId="77777777" w:rsidR="00E57DAA" w:rsidRDefault="00AC4185">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773D5D28" w14:textId="77777777" w:rsidR="00E57DAA" w:rsidRDefault="00E57DAA" w:rsidP="00C25422">
      <w:pPr>
        <w:pStyle w:val="92"/>
      </w:pPr>
    </w:p>
    <w:p w14:paraId="082BB42E" w14:textId="77777777" w:rsidR="00E57DAA" w:rsidRDefault="00AC4185" w:rsidP="00C25422">
      <w:pPr>
        <w:pStyle w:val="92"/>
      </w:pPr>
      <w:r>
        <w:rPr>
          <w:rFonts w:hint="eastAsia"/>
        </w:rPr>
        <w:t>其他说明</w:t>
      </w:r>
    </w:p>
    <w:sdt>
      <w:sdtPr>
        <w:alias w:val="是否适用：商誉其他需要说明的事项[双击切换]"/>
        <w:tag w:val="_GBC_99f8ebd0cb464294bea4051ad19cf581"/>
        <w:id w:val="-235928363"/>
        <w:placeholder>
          <w:docPart w:val="GBC22222222222222222222222222222"/>
        </w:placeholder>
      </w:sdtPr>
      <w:sdtEndPr/>
      <w:sdtContent>
        <w:p w14:paraId="0FAC0AE0"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商誉其他需要说明的事项"/>
        <w:tag w:val="_GBC_f4f0a45ebed1481992b673e4a35ff7bb"/>
        <w:id w:val="-1528551101"/>
      </w:sdtPr>
      <w:sdtEndPr/>
      <w:sdtContent>
        <w:p w14:paraId="5629F5C3" w14:textId="77777777" w:rsidR="00E57DAA" w:rsidRDefault="00AC4185">
          <w:pPr>
            <w:ind w:firstLineChars="200" w:firstLine="420"/>
            <w:jc w:val="both"/>
            <w:rPr>
              <w:szCs w:val="21"/>
            </w:rPr>
          </w:pPr>
          <w:r>
            <w:rPr>
              <w:rFonts w:hint="eastAsia"/>
              <w:szCs w:val="21"/>
            </w:rPr>
            <w:t>注</w:t>
          </w:r>
          <w:r>
            <w:rPr>
              <w:szCs w:val="21"/>
            </w:rPr>
            <w:t>1：截至2023年12月31日，德国HAZEMAG公司商誉原值6,487.66万欧元，累计计提商誉减值准备2,546.97万欧元，商誉账面价值3,940.69万欧元。</w:t>
          </w:r>
        </w:p>
        <w:p w14:paraId="22C61122" w14:textId="77777777" w:rsidR="00E57DAA" w:rsidRDefault="00AC4185">
          <w:pPr>
            <w:ind w:firstLineChars="200" w:firstLine="420"/>
            <w:jc w:val="both"/>
            <w:rPr>
              <w:szCs w:val="21"/>
            </w:rPr>
          </w:pPr>
          <w:r>
            <w:rPr>
              <w:rFonts w:hint="eastAsia"/>
              <w:szCs w:val="21"/>
            </w:rPr>
            <w:t>年末，本公司聘请北京北方亚事资产评估事务所（特殊普通合伙）对进行商誉减值测试所涉及的德国</w:t>
          </w:r>
          <w:r>
            <w:rPr>
              <w:szCs w:val="21"/>
            </w:rPr>
            <w:t>HAZEMAG公司包含商誉的资产组组合在评估基准日2023年12月31日的可回收金额进行了评估，并于2024年3月25日出具了北方亚事评报字[2024]第01-200号资产评估报告。在预计投入成本可回收金额时，采用了与商誉有关的资产组组合的未来现金流量现值。资产评估报告测试的资产组组合为有经营业务公司的长期资产。根据资产组组合的过往表现及未来经营的预期，对资产组组合未来现金流量做出估计，再分别按照各自资产组所在国家的加权</w:t>
          </w:r>
          <w:r>
            <w:rPr>
              <w:rFonts w:hint="eastAsia"/>
              <w:szCs w:val="21"/>
            </w:rPr>
            <w:t>平均资本成本进行折现。</w:t>
          </w:r>
        </w:p>
        <w:p w14:paraId="238C1048" w14:textId="77777777" w:rsidR="00E57DAA" w:rsidRDefault="00AC4185">
          <w:pPr>
            <w:ind w:firstLineChars="200" w:firstLine="420"/>
            <w:jc w:val="both"/>
            <w:rPr>
              <w:szCs w:val="21"/>
            </w:rPr>
          </w:pPr>
          <w:r>
            <w:rPr>
              <w:rFonts w:hint="eastAsia"/>
              <w:szCs w:val="21"/>
            </w:rPr>
            <w:t>经评估，德国</w:t>
          </w:r>
          <w:r>
            <w:rPr>
              <w:szCs w:val="21"/>
            </w:rPr>
            <w:t>HAZEMAG公司的资产组组合的可回收金额为10,923.83万欧元，比包含全体股东商誉的相关资产组组合的账面价值高1,771.02万欧元，归属于本公司的商誉本期末未发生减值。</w:t>
          </w:r>
        </w:p>
        <w:p w14:paraId="4F596635" w14:textId="77777777" w:rsidR="00E57DAA" w:rsidRDefault="00AC4185">
          <w:pPr>
            <w:ind w:firstLineChars="200" w:firstLine="420"/>
            <w:jc w:val="both"/>
            <w:rPr>
              <w:szCs w:val="21"/>
            </w:rPr>
          </w:pPr>
          <w:r>
            <w:rPr>
              <w:rFonts w:hint="eastAsia"/>
              <w:szCs w:val="21"/>
            </w:rPr>
            <w:t>注</w:t>
          </w:r>
          <w:r>
            <w:rPr>
              <w:szCs w:val="21"/>
            </w:rPr>
            <w:t>2：截至2023年12月31日，中材国际水务科技（合肥）有限公司商誉原值70,488.01万元，累计计提商誉减值准备35,307.34万元，商誉账面价值35,180.67万元。</w:t>
          </w:r>
        </w:p>
        <w:p w14:paraId="33B2E71B" w14:textId="77777777" w:rsidR="00E57DAA" w:rsidRDefault="00AC4185">
          <w:pPr>
            <w:ind w:firstLineChars="200" w:firstLine="420"/>
            <w:jc w:val="both"/>
            <w:rPr>
              <w:szCs w:val="21"/>
            </w:rPr>
          </w:pPr>
          <w:r>
            <w:rPr>
              <w:rFonts w:hint="eastAsia"/>
              <w:szCs w:val="21"/>
            </w:rPr>
            <w:t>年末，本公司聘请北京北方亚事资产评估事务所（特殊普通合伙）对进行商誉减值测试所涉及的中材国际水务科技（合肥）有限公司包含商誉的业务资产组在评估基准日</w:t>
          </w:r>
          <w:r>
            <w:rPr>
              <w:szCs w:val="21"/>
            </w:rPr>
            <w:t>2023年12月31日的可回收金额进行了评估，并于2024年3月25日出具了北方亚事评报字[2024]第01-199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7158C734" w14:textId="77777777" w:rsidR="00E57DAA" w:rsidRDefault="00AC4185">
          <w:pPr>
            <w:ind w:firstLineChars="200" w:firstLine="420"/>
            <w:jc w:val="both"/>
            <w:rPr>
              <w:szCs w:val="21"/>
            </w:rPr>
          </w:pPr>
          <w:r>
            <w:rPr>
              <w:rFonts w:hint="eastAsia"/>
              <w:szCs w:val="21"/>
            </w:rPr>
            <w:t>经评估，中材国际水务科技（合肥）有限公司资产组的可回收金额为</w:t>
          </w:r>
          <w:r>
            <w:rPr>
              <w:szCs w:val="21"/>
            </w:rPr>
            <w:t>43,796.45万元，比包含全体股东商誉的相关资产组组合的账面价值高3,265.06万元，归属于本公司的商誉本期末未发生减值。</w:t>
          </w:r>
        </w:p>
        <w:p w14:paraId="75DF1245" w14:textId="77777777" w:rsidR="00E57DAA" w:rsidRDefault="00AC4185">
          <w:pPr>
            <w:ind w:firstLineChars="200" w:firstLine="420"/>
            <w:jc w:val="both"/>
            <w:rPr>
              <w:szCs w:val="21"/>
            </w:rPr>
          </w:pPr>
          <w:r>
            <w:rPr>
              <w:rFonts w:hint="eastAsia"/>
              <w:szCs w:val="21"/>
            </w:rPr>
            <w:t>注</w:t>
          </w:r>
          <w:r>
            <w:rPr>
              <w:szCs w:val="21"/>
            </w:rPr>
            <w:t>3：截至2023年12月31日，浙江博宇机电有限公司商誉原值21,883.85万元，累计计提商誉减值准备13,604.45万元，商誉账面价值8,279.40万元。</w:t>
          </w:r>
        </w:p>
        <w:p w14:paraId="09CCCEFD" w14:textId="77777777" w:rsidR="00E57DAA" w:rsidRDefault="00AC4185">
          <w:pPr>
            <w:ind w:firstLineChars="200" w:firstLine="420"/>
            <w:jc w:val="both"/>
            <w:rPr>
              <w:szCs w:val="21"/>
            </w:rPr>
          </w:pPr>
          <w:r>
            <w:rPr>
              <w:rFonts w:hint="eastAsia"/>
              <w:szCs w:val="21"/>
            </w:rPr>
            <w:t>年末，本公司聘请中京民信（北京）资产评估有限公司对进行商誉减值测试所涉及的浙江博宇机电有限公司包含商誉的业务资产组在评估基准日</w:t>
          </w:r>
          <w:r>
            <w:rPr>
              <w:szCs w:val="21"/>
            </w:rPr>
            <w:t>2023年12月31日的可回收金额进行了评估，并于2024年3月25日出具了京信评报字（2024）第109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112D855F" w14:textId="77777777" w:rsidR="00E57DAA" w:rsidRDefault="00AC4185">
          <w:pPr>
            <w:ind w:firstLineChars="200" w:firstLine="420"/>
            <w:jc w:val="both"/>
            <w:rPr>
              <w:szCs w:val="21"/>
            </w:rPr>
          </w:pPr>
          <w:r>
            <w:rPr>
              <w:rFonts w:hint="eastAsia"/>
              <w:szCs w:val="21"/>
            </w:rPr>
            <w:t>经评估，浙江博宇机电有限公司资产组的可回收金额为</w:t>
          </w:r>
          <w:r>
            <w:rPr>
              <w:szCs w:val="21"/>
            </w:rPr>
            <w:t>29,874.00万元，与包含全体股东商誉的相关资产组账面价值56,549.39万元比较后，本期计提商誉减值准备13,604.45万元。</w:t>
          </w:r>
        </w:p>
        <w:p w14:paraId="1A624F9A" w14:textId="77777777" w:rsidR="00E57DAA" w:rsidRDefault="00AC4185">
          <w:pPr>
            <w:ind w:firstLineChars="200" w:firstLine="420"/>
            <w:jc w:val="both"/>
            <w:rPr>
              <w:szCs w:val="21"/>
            </w:rPr>
          </w:pPr>
          <w:r>
            <w:rPr>
              <w:rFonts w:hint="eastAsia"/>
              <w:szCs w:val="21"/>
            </w:rPr>
            <w:t>注</w:t>
          </w:r>
          <w:r>
            <w:rPr>
              <w:szCs w:val="21"/>
            </w:rPr>
            <w:t>4：截至2023年12月31日，中材智能科技（成都）有限公司商誉原值1,399.78万元，未计提商誉减值准备，商誉账面价值1,399.78万元。</w:t>
          </w:r>
        </w:p>
        <w:p w14:paraId="4894825D" w14:textId="77777777" w:rsidR="00E57DAA" w:rsidRDefault="00AC4185">
          <w:pPr>
            <w:ind w:firstLineChars="200" w:firstLine="420"/>
            <w:jc w:val="both"/>
            <w:rPr>
              <w:szCs w:val="21"/>
            </w:rPr>
          </w:pPr>
          <w:r>
            <w:rPr>
              <w:rFonts w:hint="eastAsia"/>
              <w:szCs w:val="21"/>
            </w:rPr>
            <w:t>年末，本公司聘请中京民信（北京）资产评估有限公司对进行商誉减值测试所涉及的中材智能科技（成都）有限公司包含商誉的业务资产组在评估基准日</w:t>
          </w:r>
          <w:r>
            <w:rPr>
              <w:szCs w:val="21"/>
            </w:rPr>
            <w:t>2023年12月31日的可回收金额进行了评估，并于2024年3月25日出具了京信评报字（2024）第110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045A0534" w14:textId="77777777" w:rsidR="00E57DAA" w:rsidRDefault="00AC4185">
          <w:pPr>
            <w:ind w:firstLineChars="200" w:firstLine="420"/>
            <w:jc w:val="both"/>
            <w:rPr>
              <w:szCs w:val="21"/>
            </w:rPr>
          </w:pPr>
          <w:r>
            <w:rPr>
              <w:rFonts w:hint="eastAsia"/>
              <w:szCs w:val="21"/>
            </w:rPr>
            <w:lastRenderedPageBreak/>
            <w:t>经评估，中材智能科技（成都）有限公司资产组的可回收金额为</w:t>
          </w:r>
          <w:r>
            <w:rPr>
              <w:szCs w:val="21"/>
            </w:rPr>
            <w:t>5,037.02万元，比包含全体股东商誉的相关资产组组合的账面价值高1,011.65万元，归属于本公司的商誉本期末未发生减值。</w:t>
          </w:r>
        </w:p>
        <w:p w14:paraId="0C864016" w14:textId="77777777" w:rsidR="00E57DAA" w:rsidRDefault="00AC4185">
          <w:pPr>
            <w:ind w:firstLineChars="200" w:firstLine="420"/>
            <w:jc w:val="both"/>
            <w:rPr>
              <w:szCs w:val="21"/>
            </w:rPr>
          </w:pPr>
          <w:r>
            <w:rPr>
              <w:rFonts w:hint="eastAsia"/>
              <w:szCs w:val="21"/>
            </w:rPr>
            <w:t>注</w:t>
          </w:r>
          <w:r>
            <w:rPr>
              <w:szCs w:val="21"/>
            </w:rPr>
            <w:t>5：截至2023年12月31日，中建材（合肥）钢构科技有限公司商誉原值1,219.99万元，未计提商誉减值准备，商誉账面价值1,219.99万元。</w:t>
          </w:r>
        </w:p>
        <w:p w14:paraId="15553535" w14:textId="77777777" w:rsidR="00E57DAA" w:rsidRDefault="00AC4185">
          <w:pPr>
            <w:ind w:firstLineChars="200" w:firstLine="420"/>
            <w:jc w:val="both"/>
            <w:rPr>
              <w:szCs w:val="21"/>
            </w:rPr>
          </w:pPr>
          <w:r>
            <w:rPr>
              <w:rFonts w:hint="eastAsia"/>
              <w:szCs w:val="21"/>
            </w:rPr>
            <w:t>年末，本公司聘请中京民信（北京）资产评估有限公司对进行商誉减值测试所涉及的中建材（合肥）钢构科技有限公司包含商誉的业务资产组在评估基准日</w:t>
          </w:r>
          <w:r>
            <w:rPr>
              <w:szCs w:val="21"/>
            </w:rPr>
            <w:t>2023年12月31日的可回收金额进行了评估，并于2024年3月25日出具了京信评报字（2024）第111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00E6E1FD" w14:textId="77777777" w:rsidR="00E57DAA" w:rsidRDefault="00AC4185">
          <w:pPr>
            <w:ind w:firstLineChars="200" w:firstLine="420"/>
            <w:jc w:val="both"/>
            <w:rPr>
              <w:szCs w:val="21"/>
            </w:rPr>
          </w:pPr>
          <w:r>
            <w:rPr>
              <w:rFonts w:hint="eastAsia"/>
              <w:szCs w:val="21"/>
            </w:rPr>
            <w:t>经评估，中建材（合肥）钢构科技有限公司的资产组的可回收金额为</w:t>
          </w:r>
          <w:r>
            <w:rPr>
              <w:szCs w:val="21"/>
            </w:rPr>
            <w:t>105,599.00万元，比包含全体股东商誉的相关资产组组合的账面价值高94,149.17万元，归属于本公司的商誉本期末未发生减值。</w:t>
          </w:r>
        </w:p>
        <w:p w14:paraId="34784F13" w14:textId="77777777" w:rsidR="00E57DAA" w:rsidRDefault="00AC4185">
          <w:pPr>
            <w:ind w:firstLineChars="200" w:firstLine="420"/>
            <w:jc w:val="both"/>
            <w:rPr>
              <w:szCs w:val="21"/>
            </w:rPr>
          </w:pPr>
          <w:r>
            <w:rPr>
              <w:rFonts w:hint="eastAsia"/>
              <w:szCs w:val="21"/>
            </w:rPr>
            <w:t>注</w:t>
          </w:r>
          <w:r>
            <w:rPr>
              <w:szCs w:val="21"/>
            </w:rPr>
            <w:t>6：截至2023年12月31日，湖北秦鸿新材料股份有限公司商誉原值825.60万元，未计提商誉减值准备，商誉账面价值825.60万元。</w:t>
          </w:r>
        </w:p>
        <w:p w14:paraId="067E4D2B" w14:textId="77777777" w:rsidR="00E57DAA" w:rsidRDefault="00AC4185">
          <w:pPr>
            <w:ind w:firstLineChars="200" w:firstLine="420"/>
            <w:jc w:val="both"/>
            <w:rPr>
              <w:szCs w:val="21"/>
            </w:rPr>
          </w:pPr>
          <w:r>
            <w:rPr>
              <w:rFonts w:hint="eastAsia"/>
              <w:szCs w:val="21"/>
            </w:rPr>
            <w:t>年末，本公司聘请中京民信（北京）资产评估有限公司对进行商誉减值测试所涉及的湖北秦鸿新材料股份有限公司包含商誉的业务资产组在评估基准日</w:t>
          </w:r>
          <w:r>
            <w:rPr>
              <w:szCs w:val="21"/>
            </w:rPr>
            <w:t>2023年12月31日的可回收金额进行了评估，并于2024年3月25日出具了京信评报字（2024）第112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3663319E" w14:textId="77777777" w:rsidR="00E57DAA" w:rsidRDefault="00AC4185">
          <w:pPr>
            <w:ind w:firstLineChars="200" w:firstLine="420"/>
            <w:jc w:val="both"/>
            <w:rPr>
              <w:szCs w:val="21"/>
            </w:rPr>
          </w:pPr>
          <w:r>
            <w:rPr>
              <w:rFonts w:hint="eastAsia"/>
              <w:szCs w:val="21"/>
            </w:rPr>
            <w:t>经评估，湖北秦鸿新材料股份有限公司资产组的可回收金额为</w:t>
          </w:r>
          <w:r>
            <w:rPr>
              <w:szCs w:val="21"/>
            </w:rPr>
            <w:t>19,794.00万元，比包含全体股东商誉的相关资产组组合的账面价值高14,218.53万元，归属于本公司的商誉本期末未发生减值。</w:t>
          </w:r>
        </w:p>
        <w:p w14:paraId="16734511" w14:textId="77777777" w:rsidR="00E57DAA" w:rsidRDefault="00AC4185">
          <w:pPr>
            <w:ind w:firstLineChars="200" w:firstLine="420"/>
            <w:jc w:val="both"/>
            <w:rPr>
              <w:szCs w:val="21"/>
            </w:rPr>
          </w:pPr>
          <w:r>
            <w:rPr>
              <w:rFonts w:hint="eastAsia"/>
              <w:szCs w:val="21"/>
            </w:rPr>
            <w:t>注</w:t>
          </w:r>
          <w:r>
            <w:rPr>
              <w:szCs w:val="21"/>
            </w:rPr>
            <w:t>7：截至2023年12月31日，江苏凯希盟科技有限公司商誉原值337.56万元，未计提商誉减值准备，商誉账面价值337.56万元。</w:t>
          </w:r>
        </w:p>
        <w:p w14:paraId="5F2D640E" w14:textId="77777777" w:rsidR="00E57DAA" w:rsidRDefault="00AC4185">
          <w:pPr>
            <w:ind w:firstLineChars="200" w:firstLine="420"/>
            <w:jc w:val="both"/>
            <w:rPr>
              <w:szCs w:val="21"/>
            </w:rPr>
          </w:pPr>
          <w:r>
            <w:rPr>
              <w:rFonts w:hint="eastAsia"/>
              <w:szCs w:val="21"/>
            </w:rPr>
            <w:t>年末，本公司聘请中京民信（北京）资产评估有限公司对进行商誉减值测试所涉及的江苏凯希盟科技有限公司包含商誉的业务资产组在评估基准日</w:t>
          </w:r>
          <w:r>
            <w:rPr>
              <w:szCs w:val="21"/>
            </w:rPr>
            <w:t>2023年12月31日的可回收金额进行了评估，并于2024年3月25日出具了京信评报字（2024）第108号资产评估报告。在预计投入成本可回收金额时，采用了与商誉有关的资产组组合的未来现金流量现值。资产评估报告将业务长期资产做为一个资产组，根据资产组的过往表现及未来经营的预期，对资产组未来现金流量做出估计，并按照加权平均资本成本进行折现。</w:t>
          </w:r>
        </w:p>
        <w:p w14:paraId="6B6466D8" w14:textId="77777777" w:rsidR="00E57DAA" w:rsidRDefault="00AC4185">
          <w:pPr>
            <w:ind w:firstLineChars="200" w:firstLine="420"/>
            <w:jc w:val="both"/>
          </w:pPr>
          <w:r>
            <w:rPr>
              <w:rFonts w:hint="eastAsia"/>
              <w:szCs w:val="21"/>
            </w:rPr>
            <w:t>经评估，江苏凯希盟科技有限公司资产组的可回收金额为</w:t>
          </w:r>
          <w:r>
            <w:rPr>
              <w:szCs w:val="21"/>
            </w:rPr>
            <w:t>1,262.51万元，比包含全体股东商誉的相关资产组组合的账面价值高702.28万元，归属于本公司的商誉本期末未发生减值。</w:t>
          </w:r>
        </w:p>
        <w:p w14:paraId="05CA4CAE" w14:textId="77777777" w:rsidR="00E57DAA" w:rsidRDefault="00AC4185">
          <w:pPr>
            <w:ind w:firstLineChars="200" w:firstLine="420"/>
            <w:jc w:val="both"/>
          </w:pPr>
          <w:r>
            <w:rPr>
              <w:rFonts w:hint="eastAsia"/>
            </w:rPr>
            <w:t>注8：</w:t>
          </w:r>
          <w:r>
            <w:t>业绩承诺及对应商誉减值情况</w:t>
          </w:r>
        </w:p>
        <w:p w14:paraId="3CEC6B61" w14:textId="77777777" w:rsidR="00E57DAA" w:rsidRDefault="00AC4185">
          <w:pPr>
            <w:ind w:firstLineChars="200" w:firstLine="420"/>
            <w:jc w:val="both"/>
          </w:pPr>
          <w:r>
            <w:rPr>
              <w:rFonts w:hint="eastAsia"/>
            </w:rPr>
            <w:t>本公司于</w:t>
          </w:r>
          <w:r>
            <w:t>2022年收购浙江博宇机电有限公司（以下简称博宇机电）时形成商誉218,838,507.61元。根据《关于浙江博宇机电有限公司的股权转让协议》约定，转让方承诺，博宇机电在2022年至2024年三个会计年度(业绩承诺期)累计实现净利润不低于29,241.19万元（需考虑非经常性损益和政府补助等影响)。2022年至2023年博宇机电的上述累计实现净利润为10,274.34万元，累计完成率</w:t>
          </w:r>
          <w:r>
            <w:rPr>
              <w:rFonts w:hint="eastAsia"/>
            </w:rPr>
            <w:t>35.14</w:t>
          </w:r>
          <w:r>
            <w:t>%。根据商誉减值测试结果，本年度计提了商誉减值准备136,044,468.12元。</w:t>
          </w:r>
        </w:p>
        <w:p w14:paraId="54E03C9B" w14:textId="77777777" w:rsidR="00E57DAA" w:rsidRDefault="00EB41A1">
          <w:pPr>
            <w:ind w:firstLineChars="200" w:firstLine="420"/>
            <w:jc w:val="both"/>
          </w:pPr>
        </w:p>
      </w:sdtContent>
    </w:sdt>
    <w:p w14:paraId="3981F461" w14:textId="77777777" w:rsidR="00E57DAA" w:rsidRDefault="00E57DAA">
      <w:pPr>
        <w:snapToGrid w:val="0"/>
        <w:spacing w:line="240" w:lineRule="atLeast"/>
        <w:rPr>
          <w:rFonts w:cstheme="minorBidi"/>
          <w:kern w:val="2"/>
          <w:szCs w:val="21"/>
        </w:rPr>
      </w:pPr>
    </w:p>
    <w:p w14:paraId="4989008F" w14:textId="77777777" w:rsidR="00E57DAA" w:rsidRDefault="00AC4185" w:rsidP="00C25422">
      <w:pPr>
        <w:pStyle w:val="91"/>
        <w:numPr>
          <w:ilvl w:val="0"/>
          <w:numId w:val="69"/>
        </w:numPr>
      </w:pPr>
      <w:r>
        <w:rPr>
          <w:rFonts w:hint="eastAsia"/>
        </w:rPr>
        <w:t>长期待摊费用</w:t>
      </w:r>
    </w:p>
    <w:sdt>
      <w:sdtPr>
        <w:alias w:val="是否适用：长期待摊费用[双击切换]"/>
        <w:tag w:val="_GBC_cbcb541b65cd4be6b93f357c0fdd9f09"/>
        <w:id w:val="1155723696"/>
        <w:placeholder>
          <w:docPart w:val="GBC22222222222222222222222222222"/>
        </w:placeholder>
      </w:sdtPr>
      <w:sdtEndPr/>
      <w:sdtContent>
        <w:p w14:paraId="27E7473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A2E316" w14:textId="77777777" w:rsidR="00E57DAA" w:rsidRDefault="00AC4185">
      <w:pPr>
        <w:jc w:val="right"/>
        <w:rPr>
          <w:szCs w:val="21"/>
        </w:rPr>
      </w:pPr>
      <w:r>
        <w:rPr>
          <w:rFonts w:hint="eastAsia"/>
          <w:szCs w:val="21"/>
        </w:rPr>
        <w:t>单位：</w:t>
      </w:r>
      <w:sdt>
        <w:sdtPr>
          <w:rPr>
            <w:rFonts w:hint="eastAsia"/>
            <w:szCs w:val="21"/>
          </w:rPr>
          <w:alias w:val="单位：财务附注：长期待摊费用"/>
          <w:tag w:val="_GBC_bcda40ca2da04d5da4a9e3293430f9ac"/>
          <w:id w:val="16001384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5541214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9"/>
        <w:tblW w:w="5000" w:type="pct"/>
        <w:tblLook w:val="04A0" w:firstRow="1" w:lastRow="0" w:firstColumn="1" w:lastColumn="0" w:noHBand="0" w:noVBand="1"/>
      </w:tblPr>
      <w:tblGrid>
        <w:gridCol w:w="1298"/>
        <w:gridCol w:w="1686"/>
        <w:gridCol w:w="1581"/>
        <w:gridCol w:w="1619"/>
        <w:gridCol w:w="953"/>
        <w:gridCol w:w="1686"/>
      </w:tblGrid>
      <w:tr w:rsidR="00E57DAA" w14:paraId="226B465C" w14:textId="77777777">
        <w:sdt>
          <w:sdtPr>
            <w:tag w:val="_PLD_d70e367624f544f28430d4fa9dc10540"/>
            <w:id w:val="-762367359"/>
          </w:sdtPr>
          <w:sdtEndPr/>
          <w:sdtContent>
            <w:tc>
              <w:tcPr>
                <w:tcW w:w="758" w:type="pct"/>
              </w:tcPr>
              <w:p w14:paraId="79EEBD59" w14:textId="77777777" w:rsidR="00E57DAA" w:rsidRDefault="00AC4185">
                <w:pPr>
                  <w:jc w:val="center"/>
                </w:pPr>
                <w:r>
                  <w:rPr>
                    <w:rFonts w:hint="eastAsia"/>
                  </w:rPr>
                  <w:t>项目</w:t>
                </w:r>
              </w:p>
            </w:tc>
          </w:sdtContent>
        </w:sdt>
        <w:sdt>
          <w:sdtPr>
            <w:tag w:val="_PLD_e9e93178bf6e4ae6b25e934d80cadf90"/>
            <w:id w:val="-1087758733"/>
          </w:sdtPr>
          <w:sdtEndPr/>
          <w:sdtContent>
            <w:tc>
              <w:tcPr>
                <w:tcW w:w="934" w:type="pct"/>
              </w:tcPr>
              <w:p w14:paraId="56E2F0FF" w14:textId="77777777" w:rsidR="00E57DAA" w:rsidRDefault="00AC4185">
                <w:pPr>
                  <w:jc w:val="center"/>
                </w:pPr>
                <w:r>
                  <w:rPr>
                    <w:rFonts w:hint="eastAsia"/>
                  </w:rPr>
                  <w:t>期初余额</w:t>
                </w:r>
              </w:p>
            </w:tc>
          </w:sdtContent>
        </w:sdt>
        <w:sdt>
          <w:sdtPr>
            <w:tag w:val="_PLD_b0304019406b49bba87fd5d26e9e77a3"/>
            <w:id w:val="2142613207"/>
          </w:sdtPr>
          <w:sdtEndPr/>
          <w:sdtContent>
            <w:tc>
              <w:tcPr>
                <w:tcW w:w="874" w:type="pct"/>
              </w:tcPr>
              <w:p w14:paraId="5B44559B" w14:textId="77777777" w:rsidR="00E57DAA" w:rsidRDefault="00AC4185">
                <w:pPr>
                  <w:jc w:val="center"/>
                </w:pPr>
                <w:r>
                  <w:rPr>
                    <w:rFonts w:hint="eastAsia"/>
                  </w:rPr>
                  <w:t>本期增加金额</w:t>
                </w:r>
              </w:p>
            </w:tc>
          </w:sdtContent>
        </w:sdt>
        <w:sdt>
          <w:sdtPr>
            <w:tag w:val="_PLD_e1350bea96cf4f45a6200cab08f11722"/>
            <w:id w:val="-865144577"/>
          </w:sdtPr>
          <w:sdtEndPr/>
          <w:sdtContent>
            <w:tc>
              <w:tcPr>
                <w:tcW w:w="940" w:type="pct"/>
              </w:tcPr>
              <w:p w14:paraId="6794F585" w14:textId="77777777" w:rsidR="00E57DAA" w:rsidRDefault="00AC4185">
                <w:pPr>
                  <w:jc w:val="center"/>
                </w:pPr>
                <w:r>
                  <w:rPr>
                    <w:rFonts w:hint="eastAsia"/>
                  </w:rPr>
                  <w:t>本期摊销金额</w:t>
                </w:r>
              </w:p>
            </w:tc>
          </w:sdtContent>
        </w:sdt>
        <w:sdt>
          <w:sdtPr>
            <w:tag w:val="_PLD_dd7c0d5ab3334691b3e0047d34ecb634"/>
            <w:id w:val="-970136627"/>
          </w:sdtPr>
          <w:sdtEndPr/>
          <w:sdtContent>
            <w:tc>
              <w:tcPr>
                <w:tcW w:w="562" w:type="pct"/>
              </w:tcPr>
              <w:p w14:paraId="589BE3D4" w14:textId="77777777" w:rsidR="00E57DAA" w:rsidRDefault="00AC4185">
                <w:pPr>
                  <w:jc w:val="center"/>
                </w:pPr>
                <w:r>
                  <w:rPr>
                    <w:rFonts w:hint="eastAsia"/>
                  </w:rPr>
                  <w:t>其他减少金额</w:t>
                </w:r>
              </w:p>
            </w:tc>
          </w:sdtContent>
        </w:sdt>
        <w:sdt>
          <w:sdtPr>
            <w:tag w:val="_PLD_3ab32d124e7942f1b1f82c0287c9220f"/>
            <w:id w:val="-1749645274"/>
          </w:sdtPr>
          <w:sdtEndPr/>
          <w:sdtContent>
            <w:tc>
              <w:tcPr>
                <w:tcW w:w="932" w:type="pct"/>
              </w:tcPr>
              <w:p w14:paraId="6F802729" w14:textId="77777777" w:rsidR="00E57DAA" w:rsidRDefault="00AC4185">
                <w:pPr>
                  <w:jc w:val="center"/>
                </w:pPr>
                <w:r>
                  <w:rPr>
                    <w:rFonts w:hint="eastAsia"/>
                  </w:rPr>
                  <w:t>期末余额</w:t>
                </w:r>
              </w:p>
            </w:tc>
          </w:sdtContent>
        </w:sdt>
      </w:tr>
      <w:tr w:rsidR="00E57DAA" w14:paraId="3517467B" w14:textId="77777777">
        <w:tc>
          <w:tcPr>
            <w:tcW w:w="758" w:type="pct"/>
          </w:tcPr>
          <w:p w14:paraId="0876F1A5" w14:textId="77777777" w:rsidR="00E57DAA" w:rsidRDefault="00AC4185" w:rsidP="00C25422">
            <w:pPr>
              <w:pStyle w:val="92"/>
            </w:pPr>
            <w:r>
              <w:t>土地补偿款</w:t>
            </w:r>
          </w:p>
        </w:tc>
        <w:tc>
          <w:tcPr>
            <w:tcW w:w="934" w:type="pct"/>
          </w:tcPr>
          <w:p w14:paraId="5620FF96" w14:textId="77777777" w:rsidR="00E57DAA" w:rsidRDefault="00AC4185">
            <w:pPr>
              <w:jc w:val="right"/>
            </w:pPr>
            <w:r>
              <w:t>46,960,927.82</w:t>
            </w:r>
          </w:p>
        </w:tc>
        <w:tc>
          <w:tcPr>
            <w:tcW w:w="874" w:type="pct"/>
          </w:tcPr>
          <w:p w14:paraId="4AFA039E" w14:textId="77777777" w:rsidR="00E57DAA" w:rsidRDefault="00AC4185">
            <w:pPr>
              <w:jc w:val="right"/>
            </w:pPr>
            <w:r>
              <w:t>25,328,698.24</w:t>
            </w:r>
          </w:p>
        </w:tc>
        <w:tc>
          <w:tcPr>
            <w:tcW w:w="940" w:type="pct"/>
          </w:tcPr>
          <w:p w14:paraId="7469B457" w14:textId="77777777" w:rsidR="00E57DAA" w:rsidRDefault="00AC4185">
            <w:pPr>
              <w:jc w:val="right"/>
            </w:pPr>
            <w:r>
              <w:t>23,036,944.08</w:t>
            </w:r>
          </w:p>
        </w:tc>
        <w:tc>
          <w:tcPr>
            <w:tcW w:w="562" w:type="pct"/>
          </w:tcPr>
          <w:p w14:paraId="163855AF" w14:textId="77777777" w:rsidR="00E57DAA" w:rsidRDefault="00AC4185">
            <w:pPr>
              <w:jc w:val="right"/>
            </w:pPr>
            <w:r>
              <w:t> </w:t>
            </w:r>
          </w:p>
        </w:tc>
        <w:tc>
          <w:tcPr>
            <w:tcW w:w="932" w:type="pct"/>
          </w:tcPr>
          <w:p w14:paraId="0A3BD998" w14:textId="77777777" w:rsidR="00E57DAA" w:rsidRDefault="00AC4185">
            <w:pPr>
              <w:jc w:val="right"/>
            </w:pPr>
            <w:r>
              <w:t>49,252,681.98</w:t>
            </w:r>
          </w:p>
        </w:tc>
      </w:tr>
      <w:tr w:rsidR="00E57DAA" w14:paraId="30E98F78" w14:textId="77777777">
        <w:tc>
          <w:tcPr>
            <w:tcW w:w="758" w:type="pct"/>
          </w:tcPr>
          <w:p w14:paraId="58F7A13E" w14:textId="77777777" w:rsidR="00E57DAA" w:rsidRDefault="00AC4185" w:rsidP="00C25422">
            <w:pPr>
              <w:pStyle w:val="92"/>
            </w:pPr>
            <w:r>
              <w:lastRenderedPageBreak/>
              <w:t>保函手续费</w:t>
            </w:r>
          </w:p>
        </w:tc>
        <w:tc>
          <w:tcPr>
            <w:tcW w:w="934" w:type="pct"/>
          </w:tcPr>
          <w:p w14:paraId="2EF1A915" w14:textId="77777777" w:rsidR="00E57DAA" w:rsidRDefault="00AC4185">
            <w:pPr>
              <w:jc w:val="right"/>
            </w:pPr>
            <w:r>
              <w:t>3,431,059.89</w:t>
            </w:r>
          </w:p>
        </w:tc>
        <w:tc>
          <w:tcPr>
            <w:tcW w:w="874" w:type="pct"/>
          </w:tcPr>
          <w:p w14:paraId="07F05124" w14:textId="77777777" w:rsidR="00E57DAA" w:rsidRDefault="00AC4185">
            <w:pPr>
              <w:jc w:val="right"/>
            </w:pPr>
            <w:r>
              <w:t>2,377,612.00</w:t>
            </w:r>
          </w:p>
        </w:tc>
        <w:tc>
          <w:tcPr>
            <w:tcW w:w="940" w:type="pct"/>
          </w:tcPr>
          <w:p w14:paraId="296582A2" w14:textId="77777777" w:rsidR="00E57DAA" w:rsidRDefault="00AC4185">
            <w:pPr>
              <w:jc w:val="right"/>
            </w:pPr>
            <w:r>
              <w:t>3,724,265.90</w:t>
            </w:r>
          </w:p>
        </w:tc>
        <w:tc>
          <w:tcPr>
            <w:tcW w:w="562" w:type="pct"/>
          </w:tcPr>
          <w:p w14:paraId="36514F4D" w14:textId="77777777" w:rsidR="00E57DAA" w:rsidRDefault="00AC4185">
            <w:pPr>
              <w:jc w:val="right"/>
            </w:pPr>
            <w:r>
              <w:t> </w:t>
            </w:r>
          </w:p>
        </w:tc>
        <w:tc>
          <w:tcPr>
            <w:tcW w:w="932" w:type="pct"/>
          </w:tcPr>
          <w:p w14:paraId="685C1DA1" w14:textId="77777777" w:rsidR="00E57DAA" w:rsidRDefault="00AC4185">
            <w:pPr>
              <w:jc w:val="right"/>
            </w:pPr>
            <w:r>
              <w:t>2,084,405.99</w:t>
            </w:r>
          </w:p>
        </w:tc>
      </w:tr>
      <w:tr w:rsidR="00E57DAA" w14:paraId="78D0B6BA" w14:textId="77777777">
        <w:tc>
          <w:tcPr>
            <w:tcW w:w="758" w:type="pct"/>
          </w:tcPr>
          <w:p w14:paraId="0B31AA3D" w14:textId="77777777" w:rsidR="00E57DAA" w:rsidRDefault="00AC4185" w:rsidP="00C25422">
            <w:pPr>
              <w:pStyle w:val="92"/>
            </w:pPr>
            <w:r>
              <w:t>房屋装修费</w:t>
            </w:r>
          </w:p>
        </w:tc>
        <w:tc>
          <w:tcPr>
            <w:tcW w:w="934" w:type="pct"/>
          </w:tcPr>
          <w:p w14:paraId="0B5CB01E" w14:textId="77777777" w:rsidR="00E57DAA" w:rsidRDefault="00AC4185">
            <w:pPr>
              <w:jc w:val="right"/>
            </w:pPr>
            <w:r>
              <w:t>25,409,391.99</w:t>
            </w:r>
          </w:p>
        </w:tc>
        <w:tc>
          <w:tcPr>
            <w:tcW w:w="874" w:type="pct"/>
          </w:tcPr>
          <w:p w14:paraId="7DDD2D16" w14:textId="77777777" w:rsidR="00E57DAA" w:rsidRDefault="00AC4185">
            <w:pPr>
              <w:jc w:val="right"/>
            </w:pPr>
            <w:r>
              <w:t>7,170,814.63</w:t>
            </w:r>
          </w:p>
        </w:tc>
        <w:tc>
          <w:tcPr>
            <w:tcW w:w="940" w:type="pct"/>
          </w:tcPr>
          <w:p w14:paraId="29179C0E" w14:textId="77777777" w:rsidR="00E57DAA" w:rsidRDefault="00AC4185">
            <w:pPr>
              <w:jc w:val="right"/>
            </w:pPr>
            <w:r>
              <w:t>3,809,267.24</w:t>
            </w:r>
          </w:p>
        </w:tc>
        <w:tc>
          <w:tcPr>
            <w:tcW w:w="562" w:type="pct"/>
          </w:tcPr>
          <w:p w14:paraId="09CA90B1" w14:textId="77777777" w:rsidR="00E57DAA" w:rsidRDefault="00AC4185">
            <w:pPr>
              <w:jc w:val="right"/>
            </w:pPr>
            <w:r>
              <w:t> </w:t>
            </w:r>
          </w:p>
        </w:tc>
        <w:tc>
          <w:tcPr>
            <w:tcW w:w="932" w:type="pct"/>
          </w:tcPr>
          <w:p w14:paraId="3B1D9458" w14:textId="77777777" w:rsidR="00E57DAA" w:rsidRDefault="00AC4185">
            <w:pPr>
              <w:jc w:val="right"/>
            </w:pPr>
            <w:r>
              <w:t>28,770,939.38</w:t>
            </w:r>
          </w:p>
        </w:tc>
      </w:tr>
      <w:tr w:rsidR="00E57DAA" w14:paraId="09A54142" w14:textId="77777777">
        <w:tc>
          <w:tcPr>
            <w:tcW w:w="758" w:type="pct"/>
          </w:tcPr>
          <w:p w14:paraId="79FEF7B3" w14:textId="77777777" w:rsidR="00E57DAA" w:rsidRDefault="00AC4185" w:rsidP="00C25422">
            <w:pPr>
              <w:pStyle w:val="92"/>
            </w:pPr>
            <w:r>
              <w:t>项目代理费</w:t>
            </w:r>
          </w:p>
        </w:tc>
        <w:tc>
          <w:tcPr>
            <w:tcW w:w="934" w:type="pct"/>
          </w:tcPr>
          <w:p w14:paraId="4571913A" w14:textId="77777777" w:rsidR="00E57DAA" w:rsidRDefault="00AC4185">
            <w:pPr>
              <w:jc w:val="right"/>
            </w:pPr>
            <w:r>
              <w:t>2,074,166.12</w:t>
            </w:r>
          </w:p>
        </w:tc>
        <w:tc>
          <w:tcPr>
            <w:tcW w:w="874" w:type="pct"/>
          </w:tcPr>
          <w:p w14:paraId="30DD3A02" w14:textId="77777777" w:rsidR="00E57DAA" w:rsidRDefault="00AC4185">
            <w:pPr>
              <w:jc w:val="right"/>
            </w:pPr>
            <w:r>
              <w:t>12,290,000.00</w:t>
            </w:r>
          </w:p>
        </w:tc>
        <w:tc>
          <w:tcPr>
            <w:tcW w:w="940" w:type="pct"/>
          </w:tcPr>
          <w:p w14:paraId="320733B2" w14:textId="77777777" w:rsidR="00E57DAA" w:rsidRDefault="00AC4185">
            <w:pPr>
              <w:jc w:val="right"/>
            </w:pPr>
            <w:r>
              <w:t>3,188,061.83</w:t>
            </w:r>
          </w:p>
        </w:tc>
        <w:tc>
          <w:tcPr>
            <w:tcW w:w="562" w:type="pct"/>
          </w:tcPr>
          <w:p w14:paraId="59570CC1" w14:textId="77777777" w:rsidR="00E57DAA" w:rsidRDefault="00AC4185">
            <w:pPr>
              <w:jc w:val="right"/>
            </w:pPr>
            <w:r>
              <w:t> </w:t>
            </w:r>
          </w:p>
        </w:tc>
        <w:tc>
          <w:tcPr>
            <w:tcW w:w="932" w:type="pct"/>
          </w:tcPr>
          <w:p w14:paraId="7B9120D3" w14:textId="77777777" w:rsidR="00E57DAA" w:rsidRDefault="00AC4185">
            <w:pPr>
              <w:jc w:val="right"/>
            </w:pPr>
            <w:r>
              <w:t>11,176,104.29</w:t>
            </w:r>
          </w:p>
        </w:tc>
      </w:tr>
      <w:tr w:rsidR="00E57DAA" w14:paraId="006E4812" w14:textId="77777777">
        <w:tc>
          <w:tcPr>
            <w:tcW w:w="758" w:type="pct"/>
          </w:tcPr>
          <w:p w14:paraId="23C5252B" w14:textId="77777777" w:rsidR="00E57DAA" w:rsidRDefault="00AC4185" w:rsidP="00C25422">
            <w:pPr>
              <w:pStyle w:val="92"/>
            </w:pPr>
            <w:r>
              <w:t>资产改良支出</w:t>
            </w:r>
          </w:p>
        </w:tc>
        <w:tc>
          <w:tcPr>
            <w:tcW w:w="934" w:type="pct"/>
          </w:tcPr>
          <w:p w14:paraId="5D2FB232" w14:textId="77777777" w:rsidR="00E57DAA" w:rsidRDefault="00AC4185">
            <w:pPr>
              <w:jc w:val="right"/>
            </w:pPr>
            <w:r>
              <w:t>67,165,812.28</w:t>
            </w:r>
          </w:p>
        </w:tc>
        <w:tc>
          <w:tcPr>
            <w:tcW w:w="874" w:type="pct"/>
          </w:tcPr>
          <w:p w14:paraId="09D3FE43" w14:textId="77777777" w:rsidR="00E57DAA" w:rsidRDefault="00AC4185">
            <w:pPr>
              <w:jc w:val="right"/>
            </w:pPr>
            <w:r>
              <w:t>22,580,941.35</w:t>
            </w:r>
          </w:p>
        </w:tc>
        <w:tc>
          <w:tcPr>
            <w:tcW w:w="940" w:type="pct"/>
          </w:tcPr>
          <w:p w14:paraId="24CDF881" w14:textId="77777777" w:rsidR="00E57DAA" w:rsidRDefault="00AC4185">
            <w:pPr>
              <w:jc w:val="right"/>
            </w:pPr>
            <w:r>
              <w:t>18,173,285.20</w:t>
            </w:r>
          </w:p>
        </w:tc>
        <w:tc>
          <w:tcPr>
            <w:tcW w:w="562" w:type="pct"/>
          </w:tcPr>
          <w:p w14:paraId="0CC32E21" w14:textId="77777777" w:rsidR="00E57DAA" w:rsidRDefault="00AC4185">
            <w:pPr>
              <w:jc w:val="right"/>
            </w:pPr>
            <w:r>
              <w:t> </w:t>
            </w:r>
          </w:p>
        </w:tc>
        <w:tc>
          <w:tcPr>
            <w:tcW w:w="932" w:type="pct"/>
          </w:tcPr>
          <w:p w14:paraId="36CD637B" w14:textId="77777777" w:rsidR="00E57DAA" w:rsidRDefault="00AC4185">
            <w:pPr>
              <w:jc w:val="right"/>
            </w:pPr>
            <w:r>
              <w:t>71,573,468.43</w:t>
            </w:r>
          </w:p>
        </w:tc>
      </w:tr>
      <w:tr w:rsidR="00E57DAA" w14:paraId="0801E1D0" w14:textId="77777777">
        <w:tc>
          <w:tcPr>
            <w:tcW w:w="758" w:type="pct"/>
          </w:tcPr>
          <w:p w14:paraId="21CF7A9C" w14:textId="77777777" w:rsidR="00E57DAA" w:rsidRDefault="00AC4185" w:rsidP="00C25422">
            <w:pPr>
              <w:pStyle w:val="92"/>
            </w:pPr>
            <w:r>
              <w:t>矿山改造支出</w:t>
            </w:r>
          </w:p>
        </w:tc>
        <w:tc>
          <w:tcPr>
            <w:tcW w:w="934" w:type="pct"/>
          </w:tcPr>
          <w:p w14:paraId="2F9F829F" w14:textId="77777777" w:rsidR="00E57DAA" w:rsidRDefault="00AC4185">
            <w:pPr>
              <w:jc w:val="right"/>
            </w:pPr>
            <w:r>
              <w:t>1,325,809.39</w:t>
            </w:r>
          </w:p>
        </w:tc>
        <w:tc>
          <w:tcPr>
            <w:tcW w:w="874" w:type="pct"/>
          </w:tcPr>
          <w:p w14:paraId="1562EBD6" w14:textId="77777777" w:rsidR="00E57DAA" w:rsidRDefault="00AC4185">
            <w:pPr>
              <w:jc w:val="right"/>
            </w:pPr>
            <w:r>
              <w:t>539,431.96</w:t>
            </w:r>
          </w:p>
        </w:tc>
        <w:tc>
          <w:tcPr>
            <w:tcW w:w="940" w:type="pct"/>
          </w:tcPr>
          <w:p w14:paraId="0EFE3950" w14:textId="77777777" w:rsidR="00E57DAA" w:rsidRDefault="00AC4185">
            <w:pPr>
              <w:jc w:val="right"/>
            </w:pPr>
            <w:r>
              <w:t>1,131,647.62</w:t>
            </w:r>
          </w:p>
        </w:tc>
        <w:tc>
          <w:tcPr>
            <w:tcW w:w="562" w:type="pct"/>
          </w:tcPr>
          <w:p w14:paraId="49E9759C" w14:textId="77777777" w:rsidR="00E57DAA" w:rsidRDefault="00AC4185">
            <w:pPr>
              <w:jc w:val="right"/>
            </w:pPr>
            <w:r>
              <w:t> </w:t>
            </w:r>
          </w:p>
        </w:tc>
        <w:tc>
          <w:tcPr>
            <w:tcW w:w="932" w:type="pct"/>
          </w:tcPr>
          <w:p w14:paraId="1C51C511" w14:textId="77777777" w:rsidR="00E57DAA" w:rsidRDefault="00AC4185">
            <w:pPr>
              <w:jc w:val="right"/>
            </w:pPr>
            <w:r>
              <w:t>733,593.73</w:t>
            </w:r>
          </w:p>
        </w:tc>
      </w:tr>
      <w:tr w:rsidR="00E57DAA" w14:paraId="48FF837F" w14:textId="77777777">
        <w:tc>
          <w:tcPr>
            <w:tcW w:w="758" w:type="pct"/>
          </w:tcPr>
          <w:p w14:paraId="4B40AAB9" w14:textId="77777777" w:rsidR="00E57DAA" w:rsidRDefault="00AC4185" w:rsidP="00C25422">
            <w:pPr>
              <w:pStyle w:val="92"/>
            </w:pPr>
            <w:r>
              <w:t>工程费</w:t>
            </w:r>
          </w:p>
        </w:tc>
        <w:tc>
          <w:tcPr>
            <w:tcW w:w="934" w:type="pct"/>
          </w:tcPr>
          <w:p w14:paraId="0AE263F6" w14:textId="77777777" w:rsidR="00E57DAA" w:rsidRDefault="00AC4185">
            <w:pPr>
              <w:jc w:val="right"/>
            </w:pPr>
            <w:r>
              <w:t>4,479,410.28</w:t>
            </w:r>
          </w:p>
        </w:tc>
        <w:tc>
          <w:tcPr>
            <w:tcW w:w="874" w:type="pct"/>
          </w:tcPr>
          <w:p w14:paraId="2A21854C" w14:textId="77777777" w:rsidR="00E57DAA" w:rsidRDefault="00AC4185">
            <w:pPr>
              <w:jc w:val="right"/>
            </w:pPr>
            <w:r>
              <w:t>1,189,600.39</w:t>
            </w:r>
          </w:p>
        </w:tc>
        <w:tc>
          <w:tcPr>
            <w:tcW w:w="940" w:type="pct"/>
          </w:tcPr>
          <w:p w14:paraId="63037F89" w14:textId="77777777" w:rsidR="00E57DAA" w:rsidRDefault="00AC4185">
            <w:pPr>
              <w:jc w:val="right"/>
            </w:pPr>
            <w:r>
              <w:t>1,807,397.00</w:t>
            </w:r>
          </w:p>
        </w:tc>
        <w:tc>
          <w:tcPr>
            <w:tcW w:w="562" w:type="pct"/>
          </w:tcPr>
          <w:p w14:paraId="18409D30" w14:textId="77777777" w:rsidR="00E57DAA" w:rsidRDefault="00AC4185">
            <w:pPr>
              <w:jc w:val="right"/>
            </w:pPr>
            <w:r>
              <w:t> </w:t>
            </w:r>
          </w:p>
        </w:tc>
        <w:tc>
          <w:tcPr>
            <w:tcW w:w="932" w:type="pct"/>
          </w:tcPr>
          <w:p w14:paraId="01DAFBEE" w14:textId="77777777" w:rsidR="00E57DAA" w:rsidRDefault="00AC4185">
            <w:pPr>
              <w:jc w:val="right"/>
            </w:pPr>
            <w:r>
              <w:t>3,861,613.67</w:t>
            </w:r>
          </w:p>
        </w:tc>
      </w:tr>
      <w:tr w:rsidR="00E57DAA" w14:paraId="7C4FED0E" w14:textId="77777777">
        <w:tc>
          <w:tcPr>
            <w:tcW w:w="758" w:type="pct"/>
          </w:tcPr>
          <w:p w14:paraId="0D647529" w14:textId="77777777" w:rsidR="00E57DAA" w:rsidRDefault="00AC4185" w:rsidP="00C25422">
            <w:pPr>
              <w:pStyle w:val="92"/>
            </w:pPr>
            <w:r>
              <w:t>保险费用</w:t>
            </w:r>
          </w:p>
        </w:tc>
        <w:tc>
          <w:tcPr>
            <w:tcW w:w="934" w:type="pct"/>
          </w:tcPr>
          <w:p w14:paraId="61EF5E17" w14:textId="77777777" w:rsidR="00E57DAA" w:rsidRDefault="00AC4185">
            <w:pPr>
              <w:jc w:val="right"/>
            </w:pPr>
            <w:r>
              <w:t>30,197,576.12</w:t>
            </w:r>
          </w:p>
        </w:tc>
        <w:tc>
          <w:tcPr>
            <w:tcW w:w="874" w:type="pct"/>
          </w:tcPr>
          <w:p w14:paraId="36F97B09" w14:textId="77777777" w:rsidR="00E57DAA" w:rsidRDefault="00AC4185">
            <w:pPr>
              <w:jc w:val="right"/>
            </w:pPr>
            <w:r>
              <w:t> </w:t>
            </w:r>
          </w:p>
        </w:tc>
        <w:tc>
          <w:tcPr>
            <w:tcW w:w="940" w:type="pct"/>
          </w:tcPr>
          <w:p w14:paraId="1BF1EA94" w14:textId="77777777" w:rsidR="00E57DAA" w:rsidRDefault="00AC4185">
            <w:pPr>
              <w:jc w:val="right"/>
            </w:pPr>
            <w:r>
              <w:t>13,211,439.60</w:t>
            </w:r>
          </w:p>
        </w:tc>
        <w:tc>
          <w:tcPr>
            <w:tcW w:w="562" w:type="pct"/>
          </w:tcPr>
          <w:p w14:paraId="2AC0EF3B" w14:textId="77777777" w:rsidR="00E57DAA" w:rsidRDefault="00AC4185">
            <w:pPr>
              <w:jc w:val="right"/>
            </w:pPr>
            <w:r>
              <w:t> </w:t>
            </w:r>
          </w:p>
        </w:tc>
        <w:tc>
          <w:tcPr>
            <w:tcW w:w="932" w:type="pct"/>
          </w:tcPr>
          <w:p w14:paraId="46A67E81" w14:textId="77777777" w:rsidR="00E57DAA" w:rsidRDefault="00AC4185">
            <w:pPr>
              <w:jc w:val="right"/>
            </w:pPr>
            <w:r>
              <w:t>16,986,136.52</w:t>
            </w:r>
          </w:p>
        </w:tc>
      </w:tr>
      <w:tr w:rsidR="00E57DAA" w14:paraId="7EC3E603" w14:textId="77777777">
        <w:tc>
          <w:tcPr>
            <w:tcW w:w="758" w:type="pct"/>
          </w:tcPr>
          <w:p w14:paraId="21463C42" w14:textId="77777777" w:rsidR="00E57DAA" w:rsidRDefault="00AC4185" w:rsidP="00C25422">
            <w:pPr>
              <w:pStyle w:val="92"/>
            </w:pPr>
            <w:r>
              <w:t>其他</w:t>
            </w:r>
          </w:p>
        </w:tc>
        <w:tc>
          <w:tcPr>
            <w:tcW w:w="934" w:type="pct"/>
          </w:tcPr>
          <w:p w14:paraId="1E82615B" w14:textId="77777777" w:rsidR="00E57DAA" w:rsidRDefault="00AC4185">
            <w:pPr>
              <w:jc w:val="right"/>
            </w:pPr>
            <w:r>
              <w:t>10,277,418.55</w:t>
            </w:r>
          </w:p>
        </w:tc>
        <w:tc>
          <w:tcPr>
            <w:tcW w:w="874" w:type="pct"/>
          </w:tcPr>
          <w:p w14:paraId="0ADDAE70" w14:textId="77777777" w:rsidR="00E57DAA" w:rsidRDefault="00AC4185">
            <w:pPr>
              <w:jc w:val="right"/>
            </w:pPr>
            <w:r>
              <w:t>4,810,060.90</w:t>
            </w:r>
          </w:p>
        </w:tc>
        <w:tc>
          <w:tcPr>
            <w:tcW w:w="940" w:type="pct"/>
          </w:tcPr>
          <w:p w14:paraId="7579B203" w14:textId="77777777" w:rsidR="00E57DAA" w:rsidRDefault="00AC4185">
            <w:pPr>
              <w:jc w:val="right"/>
            </w:pPr>
            <w:r>
              <w:t>3,915,393.89</w:t>
            </w:r>
          </w:p>
        </w:tc>
        <w:tc>
          <w:tcPr>
            <w:tcW w:w="562" w:type="pct"/>
          </w:tcPr>
          <w:p w14:paraId="58AF0730" w14:textId="77777777" w:rsidR="00E57DAA" w:rsidRDefault="00AC4185">
            <w:pPr>
              <w:jc w:val="right"/>
            </w:pPr>
            <w:r>
              <w:t> </w:t>
            </w:r>
          </w:p>
        </w:tc>
        <w:tc>
          <w:tcPr>
            <w:tcW w:w="932" w:type="pct"/>
          </w:tcPr>
          <w:p w14:paraId="4DB39E12" w14:textId="77777777" w:rsidR="00E57DAA" w:rsidRDefault="00AC4185">
            <w:pPr>
              <w:jc w:val="right"/>
            </w:pPr>
            <w:r>
              <w:t>11,172,085.56</w:t>
            </w:r>
          </w:p>
        </w:tc>
      </w:tr>
      <w:tr w:rsidR="00E57DAA" w14:paraId="589ACCF5" w14:textId="77777777">
        <w:tc>
          <w:tcPr>
            <w:tcW w:w="758" w:type="pct"/>
          </w:tcPr>
          <w:p w14:paraId="3C5BFA40" w14:textId="77777777" w:rsidR="00E57DAA" w:rsidRDefault="00AC4185">
            <w:pPr>
              <w:jc w:val="center"/>
            </w:pPr>
            <w:r>
              <w:rPr>
                <w:rFonts w:hint="eastAsia"/>
              </w:rPr>
              <w:t>合计</w:t>
            </w:r>
          </w:p>
        </w:tc>
        <w:tc>
          <w:tcPr>
            <w:tcW w:w="934" w:type="pct"/>
            <w:vAlign w:val="center"/>
          </w:tcPr>
          <w:p w14:paraId="2F9C3827" w14:textId="77777777" w:rsidR="00E57DAA" w:rsidRDefault="00AC4185">
            <w:pPr>
              <w:jc w:val="right"/>
            </w:pPr>
            <w:r>
              <w:t>191,321,572.44</w:t>
            </w:r>
          </w:p>
        </w:tc>
        <w:tc>
          <w:tcPr>
            <w:tcW w:w="874" w:type="pct"/>
            <w:vAlign w:val="center"/>
          </w:tcPr>
          <w:p w14:paraId="1722EDE9" w14:textId="77777777" w:rsidR="00E57DAA" w:rsidRDefault="00AC4185">
            <w:pPr>
              <w:jc w:val="right"/>
            </w:pPr>
            <w:r>
              <w:t>76,287,159.47</w:t>
            </w:r>
          </w:p>
        </w:tc>
        <w:tc>
          <w:tcPr>
            <w:tcW w:w="940" w:type="pct"/>
            <w:vAlign w:val="center"/>
          </w:tcPr>
          <w:p w14:paraId="320DD0E6" w14:textId="77777777" w:rsidR="00E57DAA" w:rsidRDefault="00AC4185">
            <w:pPr>
              <w:jc w:val="right"/>
            </w:pPr>
            <w:r>
              <w:t>71,997,702.36</w:t>
            </w:r>
          </w:p>
        </w:tc>
        <w:tc>
          <w:tcPr>
            <w:tcW w:w="562" w:type="pct"/>
            <w:vAlign w:val="center"/>
          </w:tcPr>
          <w:p w14:paraId="5713C572" w14:textId="77777777" w:rsidR="00E57DAA" w:rsidRDefault="00E57DAA">
            <w:pPr>
              <w:jc w:val="right"/>
            </w:pPr>
          </w:p>
        </w:tc>
        <w:tc>
          <w:tcPr>
            <w:tcW w:w="932" w:type="pct"/>
            <w:vAlign w:val="center"/>
          </w:tcPr>
          <w:p w14:paraId="2C8A819A" w14:textId="77777777" w:rsidR="00E57DAA" w:rsidRDefault="00AC4185">
            <w:pPr>
              <w:jc w:val="right"/>
            </w:pPr>
            <w:r>
              <w:t>195,611,029.55</w:t>
            </w:r>
          </w:p>
        </w:tc>
      </w:tr>
    </w:tbl>
    <w:p w14:paraId="45B5AEF1" w14:textId="77777777" w:rsidR="00E57DAA" w:rsidRDefault="00E57DAA" w:rsidP="00C25422">
      <w:pPr>
        <w:pStyle w:val="92"/>
      </w:pPr>
    </w:p>
    <w:p w14:paraId="66052884" w14:textId="77777777" w:rsidR="00E57DAA" w:rsidRDefault="00E57DAA">
      <w:pPr>
        <w:rPr>
          <w:szCs w:val="21"/>
        </w:rPr>
      </w:pPr>
    </w:p>
    <w:p w14:paraId="6EF04F67" w14:textId="77777777" w:rsidR="00E57DAA" w:rsidRDefault="00E57DAA">
      <w:pPr>
        <w:rPr>
          <w:szCs w:val="21"/>
        </w:rPr>
      </w:pPr>
    </w:p>
    <w:p w14:paraId="14232180" w14:textId="77777777" w:rsidR="00E57DAA" w:rsidRDefault="00AC4185" w:rsidP="00C25422">
      <w:pPr>
        <w:pStyle w:val="91"/>
        <w:numPr>
          <w:ilvl w:val="0"/>
          <w:numId w:val="69"/>
        </w:numPr>
      </w:pPr>
      <w:r>
        <w:rPr>
          <w:rFonts w:hint="eastAsia"/>
        </w:rPr>
        <w:t>递延所得税资产</w:t>
      </w:r>
      <w:r>
        <w:rPr>
          <w:rFonts w:hint="eastAsia"/>
        </w:rPr>
        <w:t xml:space="preserve">/ </w:t>
      </w:r>
      <w:r>
        <w:rPr>
          <w:rFonts w:hint="eastAsia"/>
        </w:rPr>
        <w:t>递延所得税负债</w:t>
      </w:r>
    </w:p>
    <w:p w14:paraId="22C8E160" w14:textId="77777777" w:rsidR="00E57DAA" w:rsidRDefault="00AC4185">
      <w:pPr>
        <w:pStyle w:val="4"/>
        <w:numPr>
          <w:ilvl w:val="0"/>
          <w:numId w:val="90"/>
        </w:numPr>
        <w:ind w:left="426" w:hanging="426"/>
      </w:pPr>
      <w:r>
        <w:rPr>
          <w:rFonts w:hint="eastAsia"/>
        </w:rPr>
        <w:t>未经抵销的递延所得税资产</w:t>
      </w:r>
    </w:p>
    <w:sdt>
      <w:sdtPr>
        <w:alias w:val="是否适用：未经抵销的递延所得税资产[双击切换]"/>
        <w:tag w:val="_GBC_ba4415ee4af24efe852073192d94c115"/>
        <w:id w:val="1742448053"/>
      </w:sdtPr>
      <w:sdtEndPr/>
      <w:sdtContent>
        <w:p w14:paraId="0F7AEA5B" w14:textId="77777777" w:rsidR="00E57DAA" w:rsidRDefault="00AC4185">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797D6DA9" w14:textId="77777777" w:rsidR="00E57DAA" w:rsidRDefault="00AC4185">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897846233"/>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145930226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1"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1"/>
        <w:gridCol w:w="1896"/>
        <w:gridCol w:w="1686"/>
        <w:gridCol w:w="1896"/>
        <w:gridCol w:w="1686"/>
      </w:tblGrid>
      <w:tr w:rsidR="00E57DAA" w14:paraId="3915F3C1" w14:textId="77777777">
        <w:trPr>
          <w:trHeight w:val="285"/>
        </w:trPr>
        <w:sdt>
          <w:sdtPr>
            <w:tag w:val="_PLD_e006c9e7b70844cd8ef6f2cbb5161589"/>
            <w:id w:val="1779137536"/>
          </w:sdtPr>
          <w:sdtEndPr/>
          <w:sdtContent>
            <w:tc>
              <w:tcPr>
                <w:tcW w:w="941" w:type="pct"/>
                <w:vMerge w:val="restart"/>
                <w:shd w:val="clear" w:color="auto" w:fill="auto"/>
                <w:vAlign w:val="center"/>
              </w:tcPr>
              <w:p w14:paraId="5BE4ECF8" w14:textId="77777777" w:rsidR="00E57DAA" w:rsidRDefault="00AC4185">
                <w:pPr>
                  <w:jc w:val="center"/>
                  <w:rPr>
                    <w:szCs w:val="21"/>
                  </w:rPr>
                </w:pPr>
                <w:r>
                  <w:rPr>
                    <w:rFonts w:hint="eastAsia"/>
                    <w:szCs w:val="21"/>
                  </w:rPr>
                  <w:t>项目</w:t>
                </w:r>
              </w:p>
            </w:tc>
          </w:sdtContent>
        </w:sdt>
        <w:sdt>
          <w:sdtPr>
            <w:tag w:val="_PLD_9380d941020241f39819205f4df8c355"/>
            <w:id w:val="1681233432"/>
          </w:sdtPr>
          <w:sdtEndPr/>
          <w:sdtContent>
            <w:tc>
              <w:tcPr>
                <w:tcW w:w="2029" w:type="pct"/>
                <w:gridSpan w:val="2"/>
                <w:shd w:val="clear" w:color="auto" w:fill="auto"/>
                <w:vAlign w:val="center"/>
              </w:tcPr>
              <w:p w14:paraId="7863DA9B" w14:textId="77777777" w:rsidR="00E57DAA" w:rsidRDefault="00AC4185">
                <w:pPr>
                  <w:jc w:val="center"/>
                  <w:rPr>
                    <w:szCs w:val="21"/>
                  </w:rPr>
                </w:pPr>
                <w:r>
                  <w:rPr>
                    <w:rFonts w:hint="eastAsia"/>
                    <w:szCs w:val="21"/>
                  </w:rPr>
                  <w:t>期末余额</w:t>
                </w:r>
              </w:p>
            </w:tc>
          </w:sdtContent>
        </w:sdt>
        <w:sdt>
          <w:sdtPr>
            <w:tag w:val="_PLD_40d587838e534f37a8f9a9e7e2020671"/>
            <w:id w:val="2001617677"/>
          </w:sdtPr>
          <w:sdtEndPr/>
          <w:sdtContent>
            <w:tc>
              <w:tcPr>
                <w:tcW w:w="2029" w:type="pct"/>
                <w:gridSpan w:val="2"/>
                <w:shd w:val="clear" w:color="auto" w:fill="auto"/>
                <w:vAlign w:val="center"/>
              </w:tcPr>
              <w:p w14:paraId="29C65775" w14:textId="77777777" w:rsidR="00E57DAA" w:rsidRDefault="00AC4185">
                <w:pPr>
                  <w:jc w:val="center"/>
                  <w:rPr>
                    <w:szCs w:val="21"/>
                  </w:rPr>
                </w:pPr>
                <w:r>
                  <w:rPr>
                    <w:rFonts w:hint="eastAsia"/>
                    <w:szCs w:val="21"/>
                  </w:rPr>
                  <w:t>期初余额</w:t>
                </w:r>
              </w:p>
            </w:tc>
          </w:sdtContent>
        </w:sdt>
      </w:tr>
      <w:tr w:rsidR="00E57DAA" w14:paraId="7312C2D9" w14:textId="77777777">
        <w:trPr>
          <w:trHeight w:val="285"/>
        </w:trPr>
        <w:tc>
          <w:tcPr>
            <w:tcW w:w="941" w:type="pct"/>
            <w:vMerge/>
            <w:shd w:val="clear" w:color="auto" w:fill="auto"/>
            <w:vAlign w:val="center"/>
          </w:tcPr>
          <w:p w14:paraId="1A34FB32" w14:textId="77777777" w:rsidR="00E57DAA" w:rsidRDefault="00E57DAA">
            <w:pPr>
              <w:jc w:val="center"/>
              <w:rPr>
                <w:b/>
                <w:szCs w:val="21"/>
              </w:rPr>
            </w:pPr>
          </w:p>
        </w:tc>
        <w:sdt>
          <w:sdtPr>
            <w:tag w:val="_PLD_c239006a5e6040d58bedd94ab36e9784"/>
            <w:id w:val="-1482226608"/>
          </w:sdtPr>
          <w:sdtEndPr/>
          <w:sdtContent>
            <w:tc>
              <w:tcPr>
                <w:tcW w:w="1074" w:type="pct"/>
                <w:shd w:val="clear" w:color="auto" w:fill="auto"/>
                <w:vAlign w:val="center"/>
              </w:tcPr>
              <w:p w14:paraId="7D957CF6" w14:textId="77777777" w:rsidR="00E57DAA" w:rsidRDefault="00AC4185">
                <w:pPr>
                  <w:jc w:val="center"/>
                  <w:rPr>
                    <w:szCs w:val="21"/>
                  </w:rPr>
                </w:pPr>
                <w:r>
                  <w:rPr>
                    <w:rFonts w:hint="eastAsia"/>
                    <w:szCs w:val="21"/>
                  </w:rPr>
                  <w:t>可抵扣暂时性差异</w:t>
                </w:r>
              </w:p>
            </w:tc>
          </w:sdtContent>
        </w:sdt>
        <w:sdt>
          <w:sdtPr>
            <w:tag w:val="_PLD_1559717fc58743e19a1e868ac528fbc0"/>
            <w:id w:val="-1205168325"/>
          </w:sdtPr>
          <w:sdtEndPr/>
          <w:sdtContent>
            <w:tc>
              <w:tcPr>
                <w:tcW w:w="955" w:type="pct"/>
                <w:shd w:val="clear" w:color="auto" w:fill="auto"/>
                <w:vAlign w:val="center"/>
              </w:tcPr>
              <w:p w14:paraId="6AE7D45D" w14:textId="77777777" w:rsidR="00E57DAA" w:rsidRDefault="00AC4185">
                <w:pPr>
                  <w:jc w:val="center"/>
                  <w:rPr>
                    <w:szCs w:val="21"/>
                  </w:rPr>
                </w:pPr>
                <w:r>
                  <w:rPr>
                    <w:rFonts w:hint="eastAsia"/>
                    <w:szCs w:val="21"/>
                  </w:rPr>
                  <w:t>递延所得税</w:t>
                </w:r>
              </w:p>
              <w:p w14:paraId="5ACADC4F" w14:textId="77777777" w:rsidR="00E57DAA" w:rsidRDefault="00AC4185">
                <w:pPr>
                  <w:jc w:val="center"/>
                  <w:rPr>
                    <w:szCs w:val="21"/>
                  </w:rPr>
                </w:pPr>
                <w:r>
                  <w:rPr>
                    <w:rFonts w:hint="eastAsia"/>
                    <w:szCs w:val="21"/>
                  </w:rPr>
                  <w:t>资产</w:t>
                </w:r>
              </w:p>
            </w:tc>
          </w:sdtContent>
        </w:sdt>
        <w:sdt>
          <w:sdtPr>
            <w:tag w:val="_PLD_de171afb73ff474dbccc47c2cec6d4f1"/>
            <w:id w:val="353158288"/>
          </w:sdtPr>
          <w:sdtEndPr/>
          <w:sdtContent>
            <w:tc>
              <w:tcPr>
                <w:tcW w:w="1074" w:type="pct"/>
                <w:shd w:val="clear" w:color="auto" w:fill="auto"/>
                <w:vAlign w:val="center"/>
              </w:tcPr>
              <w:p w14:paraId="3372AB86" w14:textId="77777777" w:rsidR="00E57DAA" w:rsidRDefault="00AC4185">
                <w:pPr>
                  <w:jc w:val="center"/>
                  <w:rPr>
                    <w:szCs w:val="21"/>
                  </w:rPr>
                </w:pPr>
                <w:r>
                  <w:rPr>
                    <w:rFonts w:hint="eastAsia"/>
                    <w:szCs w:val="21"/>
                  </w:rPr>
                  <w:t>可抵扣暂时性差异</w:t>
                </w:r>
              </w:p>
            </w:tc>
          </w:sdtContent>
        </w:sdt>
        <w:sdt>
          <w:sdtPr>
            <w:tag w:val="_PLD_bafc90864e7347e5bb50ec31a5dffe05"/>
            <w:id w:val="629678267"/>
          </w:sdtPr>
          <w:sdtEndPr/>
          <w:sdtContent>
            <w:tc>
              <w:tcPr>
                <w:tcW w:w="955" w:type="pct"/>
                <w:shd w:val="clear" w:color="auto" w:fill="auto"/>
                <w:vAlign w:val="center"/>
              </w:tcPr>
              <w:p w14:paraId="512B11F0" w14:textId="77777777" w:rsidR="00E57DAA" w:rsidRDefault="00AC4185">
                <w:pPr>
                  <w:jc w:val="center"/>
                  <w:rPr>
                    <w:szCs w:val="21"/>
                  </w:rPr>
                </w:pPr>
                <w:r>
                  <w:rPr>
                    <w:rFonts w:hint="eastAsia"/>
                    <w:szCs w:val="21"/>
                  </w:rPr>
                  <w:t>递延所得税</w:t>
                </w:r>
              </w:p>
              <w:p w14:paraId="7C5C115B" w14:textId="77777777" w:rsidR="00E57DAA" w:rsidRDefault="00AC4185">
                <w:pPr>
                  <w:jc w:val="center"/>
                  <w:rPr>
                    <w:szCs w:val="21"/>
                  </w:rPr>
                </w:pPr>
                <w:r>
                  <w:rPr>
                    <w:rFonts w:hint="eastAsia"/>
                    <w:szCs w:val="21"/>
                  </w:rPr>
                  <w:t>资产</w:t>
                </w:r>
              </w:p>
            </w:tc>
          </w:sdtContent>
        </w:sdt>
      </w:tr>
      <w:tr w:rsidR="00E57DAA" w14:paraId="3FCD4A83" w14:textId="77777777">
        <w:trPr>
          <w:trHeight w:val="285"/>
        </w:trPr>
        <w:sdt>
          <w:sdtPr>
            <w:tag w:val="_PLD_a9dd5d10d8174be9a4f6ad53ac178647"/>
            <w:id w:val="-269547694"/>
          </w:sdtPr>
          <w:sdtEndPr/>
          <w:sdtContent>
            <w:tc>
              <w:tcPr>
                <w:tcW w:w="941" w:type="pct"/>
                <w:shd w:val="clear" w:color="auto" w:fill="auto"/>
                <w:vAlign w:val="center"/>
              </w:tcPr>
              <w:p w14:paraId="31C9E32A" w14:textId="77777777" w:rsidR="00E57DAA" w:rsidRDefault="00AC4185">
                <w:pPr>
                  <w:rPr>
                    <w:szCs w:val="21"/>
                  </w:rPr>
                </w:pPr>
                <w:r>
                  <w:rPr>
                    <w:rFonts w:hint="eastAsia"/>
                    <w:szCs w:val="21"/>
                  </w:rPr>
                  <w:t>资产减值准备</w:t>
                </w:r>
              </w:p>
            </w:tc>
          </w:sdtContent>
        </w:sdt>
        <w:tc>
          <w:tcPr>
            <w:tcW w:w="1074" w:type="pct"/>
            <w:shd w:val="clear" w:color="auto" w:fill="auto"/>
            <w:vAlign w:val="center"/>
          </w:tcPr>
          <w:p w14:paraId="291C7E21" w14:textId="77777777" w:rsidR="00E57DAA" w:rsidRDefault="00AC4185">
            <w:pPr>
              <w:jc w:val="right"/>
              <w:rPr>
                <w:szCs w:val="21"/>
              </w:rPr>
            </w:pPr>
            <w:r>
              <w:rPr>
                <w:rFonts w:hint="eastAsia"/>
                <w:szCs w:val="21"/>
              </w:rPr>
              <w:t>2,110,640,989.44</w:t>
            </w:r>
          </w:p>
        </w:tc>
        <w:tc>
          <w:tcPr>
            <w:tcW w:w="955" w:type="pct"/>
            <w:shd w:val="clear" w:color="auto" w:fill="auto"/>
            <w:vAlign w:val="center"/>
          </w:tcPr>
          <w:p w14:paraId="451F707C" w14:textId="77777777" w:rsidR="00E57DAA" w:rsidRDefault="00AC4185">
            <w:pPr>
              <w:jc w:val="right"/>
              <w:rPr>
                <w:szCs w:val="21"/>
              </w:rPr>
            </w:pPr>
            <w:r>
              <w:rPr>
                <w:rFonts w:hint="eastAsia"/>
                <w:szCs w:val="21"/>
              </w:rPr>
              <w:t>329,402,175.71</w:t>
            </w:r>
          </w:p>
        </w:tc>
        <w:tc>
          <w:tcPr>
            <w:tcW w:w="1074" w:type="pct"/>
            <w:shd w:val="clear" w:color="auto" w:fill="auto"/>
            <w:vAlign w:val="center"/>
          </w:tcPr>
          <w:p w14:paraId="622B1D3C" w14:textId="77777777" w:rsidR="00E57DAA" w:rsidRDefault="00AC4185">
            <w:pPr>
              <w:jc w:val="right"/>
              <w:rPr>
                <w:szCs w:val="21"/>
              </w:rPr>
            </w:pPr>
            <w:r>
              <w:rPr>
                <w:rFonts w:hint="eastAsia"/>
                <w:szCs w:val="21"/>
              </w:rPr>
              <w:t>1,877,809,689.16</w:t>
            </w:r>
          </w:p>
        </w:tc>
        <w:tc>
          <w:tcPr>
            <w:tcW w:w="955" w:type="pct"/>
            <w:shd w:val="clear" w:color="auto" w:fill="auto"/>
            <w:vAlign w:val="center"/>
          </w:tcPr>
          <w:p w14:paraId="2B0D7EFC" w14:textId="77777777" w:rsidR="00E57DAA" w:rsidRDefault="00AC4185">
            <w:pPr>
              <w:jc w:val="right"/>
              <w:rPr>
                <w:szCs w:val="21"/>
              </w:rPr>
            </w:pPr>
            <w:r>
              <w:rPr>
                <w:rFonts w:hint="eastAsia"/>
                <w:szCs w:val="21"/>
              </w:rPr>
              <w:t>295,051,990.29</w:t>
            </w:r>
          </w:p>
        </w:tc>
      </w:tr>
      <w:tr w:rsidR="00E57DAA" w14:paraId="2F27F9A3" w14:textId="77777777">
        <w:trPr>
          <w:trHeight w:val="285"/>
        </w:trPr>
        <w:sdt>
          <w:sdtPr>
            <w:tag w:val="_PLD_d888a9019bdb4ec39459c5bfe650b183"/>
            <w:id w:val="802587158"/>
          </w:sdtPr>
          <w:sdtEndPr/>
          <w:sdtContent>
            <w:tc>
              <w:tcPr>
                <w:tcW w:w="941" w:type="pct"/>
                <w:shd w:val="clear" w:color="auto" w:fill="auto"/>
                <w:vAlign w:val="center"/>
              </w:tcPr>
              <w:p w14:paraId="41B04993" w14:textId="77777777" w:rsidR="00E57DAA" w:rsidRDefault="00AC4185">
                <w:pPr>
                  <w:rPr>
                    <w:szCs w:val="21"/>
                  </w:rPr>
                </w:pPr>
                <w:r>
                  <w:rPr>
                    <w:rFonts w:hint="eastAsia"/>
                    <w:szCs w:val="21"/>
                  </w:rPr>
                  <w:t>内部交易未实现利润</w:t>
                </w:r>
              </w:p>
            </w:tc>
          </w:sdtContent>
        </w:sdt>
        <w:tc>
          <w:tcPr>
            <w:tcW w:w="1074" w:type="pct"/>
            <w:shd w:val="clear" w:color="auto" w:fill="auto"/>
            <w:vAlign w:val="center"/>
          </w:tcPr>
          <w:p w14:paraId="230358E8" w14:textId="77777777" w:rsidR="00E57DAA" w:rsidRDefault="00AC4185">
            <w:pPr>
              <w:jc w:val="right"/>
              <w:rPr>
                <w:szCs w:val="21"/>
              </w:rPr>
            </w:pPr>
            <w:r>
              <w:rPr>
                <w:rFonts w:hint="eastAsia"/>
                <w:szCs w:val="21"/>
              </w:rPr>
              <w:t>89,401,938.25</w:t>
            </w:r>
          </w:p>
        </w:tc>
        <w:tc>
          <w:tcPr>
            <w:tcW w:w="955" w:type="pct"/>
            <w:shd w:val="clear" w:color="auto" w:fill="auto"/>
            <w:vAlign w:val="center"/>
          </w:tcPr>
          <w:p w14:paraId="52768137" w14:textId="77777777" w:rsidR="00E57DAA" w:rsidRDefault="00AC4185">
            <w:pPr>
              <w:jc w:val="right"/>
              <w:rPr>
                <w:szCs w:val="21"/>
              </w:rPr>
            </w:pPr>
            <w:r>
              <w:rPr>
                <w:rFonts w:hint="eastAsia"/>
                <w:szCs w:val="21"/>
              </w:rPr>
              <w:t>13,610,619.69</w:t>
            </w:r>
          </w:p>
        </w:tc>
        <w:tc>
          <w:tcPr>
            <w:tcW w:w="1074" w:type="pct"/>
            <w:shd w:val="clear" w:color="auto" w:fill="auto"/>
            <w:vAlign w:val="center"/>
          </w:tcPr>
          <w:p w14:paraId="2747F904" w14:textId="77777777" w:rsidR="00E57DAA" w:rsidRDefault="00AC4185">
            <w:pPr>
              <w:jc w:val="right"/>
              <w:rPr>
                <w:szCs w:val="21"/>
              </w:rPr>
            </w:pPr>
            <w:r>
              <w:rPr>
                <w:rFonts w:hint="eastAsia"/>
                <w:szCs w:val="21"/>
              </w:rPr>
              <w:t>51,439,726.23</w:t>
            </w:r>
          </w:p>
        </w:tc>
        <w:tc>
          <w:tcPr>
            <w:tcW w:w="955" w:type="pct"/>
            <w:shd w:val="clear" w:color="auto" w:fill="auto"/>
            <w:vAlign w:val="center"/>
          </w:tcPr>
          <w:p w14:paraId="0F28E6B9" w14:textId="77777777" w:rsidR="00E57DAA" w:rsidRDefault="00AC4185">
            <w:pPr>
              <w:jc w:val="right"/>
              <w:rPr>
                <w:szCs w:val="21"/>
              </w:rPr>
            </w:pPr>
            <w:r>
              <w:rPr>
                <w:rFonts w:hint="eastAsia"/>
                <w:szCs w:val="21"/>
              </w:rPr>
              <w:t>7,899,925.00</w:t>
            </w:r>
          </w:p>
        </w:tc>
      </w:tr>
      <w:sdt>
        <w:sdtPr>
          <w:rPr>
            <w:szCs w:val="21"/>
          </w:rPr>
          <w:alias w:val="递延所得税资产明细"/>
          <w:tag w:val="_TUP_703575bf8b6048788dc624e748111109"/>
          <w:id w:val="-498040028"/>
        </w:sdtPr>
        <w:sdtEndPr/>
        <w:sdtContent>
          <w:tr w:rsidR="00E57DAA" w14:paraId="3831312C" w14:textId="77777777">
            <w:trPr>
              <w:trHeight w:val="285"/>
            </w:trPr>
            <w:tc>
              <w:tcPr>
                <w:tcW w:w="941" w:type="pct"/>
                <w:shd w:val="clear" w:color="auto" w:fill="auto"/>
                <w:vAlign w:val="center"/>
              </w:tcPr>
              <w:p w14:paraId="2BA09F0F" w14:textId="77777777" w:rsidR="00E57DAA" w:rsidRDefault="00AC4185">
                <w:pPr>
                  <w:rPr>
                    <w:szCs w:val="21"/>
                  </w:rPr>
                </w:pPr>
                <w:r>
                  <w:rPr>
                    <w:rFonts w:hint="eastAsia"/>
                    <w:szCs w:val="21"/>
                  </w:rPr>
                  <w:t>固定资产折旧</w:t>
                </w:r>
              </w:p>
            </w:tc>
            <w:tc>
              <w:tcPr>
                <w:tcW w:w="1074" w:type="pct"/>
                <w:shd w:val="clear" w:color="auto" w:fill="auto"/>
                <w:vAlign w:val="center"/>
              </w:tcPr>
              <w:p w14:paraId="4C02C8CE" w14:textId="77777777" w:rsidR="00E57DAA" w:rsidRDefault="00AC4185">
                <w:pPr>
                  <w:jc w:val="right"/>
                  <w:rPr>
                    <w:szCs w:val="21"/>
                  </w:rPr>
                </w:pPr>
                <w:r>
                  <w:rPr>
                    <w:rFonts w:hint="eastAsia"/>
                    <w:szCs w:val="21"/>
                  </w:rPr>
                  <w:t>10,733,313.71</w:t>
                </w:r>
              </w:p>
            </w:tc>
            <w:tc>
              <w:tcPr>
                <w:tcW w:w="955" w:type="pct"/>
                <w:shd w:val="clear" w:color="auto" w:fill="auto"/>
                <w:vAlign w:val="center"/>
              </w:tcPr>
              <w:p w14:paraId="21DE762E" w14:textId="77777777" w:rsidR="00E57DAA" w:rsidRDefault="00AC4185">
                <w:pPr>
                  <w:jc w:val="right"/>
                  <w:rPr>
                    <w:szCs w:val="21"/>
                  </w:rPr>
                </w:pPr>
                <w:r>
                  <w:rPr>
                    <w:rFonts w:hint="eastAsia"/>
                    <w:szCs w:val="21"/>
                  </w:rPr>
                  <w:t>1,640,199.94</w:t>
                </w:r>
              </w:p>
            </w:tc>
            <w:tc>
              <w:tcPr>
                <w:tcW w:w="1074" w:type="pct"/>
                <w:shd w:val="clear" w:color="auto" w:fill="auto"/>
                <w:vAlign w:val="center"/>
              </w:tcPr>
              <w:p w14:paraId="6E689967" w14:textId="77777777" w:rsidR="00E57DAA" w:rsidRDefault="00AC4185">
                <w:pPr>
                  <w:jc w:val="right"/>
                  <w:rPr>
                    <w:szCs w:val="21"/>
                  </w:rPr>
                </w:pPr>
                <w:r>
                  <w:rPr>
                    <w:rFonts w:hint="eastAsia"/>
                    <w:szCs w:val="21"/>
                  </w:rPr>
                  <w:t>28,690,590.05</w:t>
                </w:r>
              </w:p>
            </w:tc>
            <w:tc>
              <w:tcPr>
                <w:tcW w:w="955" w:type="pct"/>
                <w:shd w:val="clear" w:color="auto" w:fill="auto"/>
                <w:vAlign w:val="center"/>
              </w:tcPr>
              <w:p w14:paraId="3DD1E454" w14:textId="77777777" w:rsidR="00E57DAA" w:rsidRDefault="00AC4185">
                <w:pPr>
                  <w:jc w:val="right"/>
                  <w:rPr>
                    <w:szCs w:val="21"/>
                  </w:rPr>
                </w:pPr>
                <w:r>
                  <w:rPr>
                    <w:rFonts w:hint="eastAsia"/>
                    <w:szCs w:val="21"/>
                  </w:rPr>
                  <w:t>3,977,260.65</w:t>
                </w:r>
              </w:p>
            </w:tc>
          </w:tr>
        </w:sdtContent>
      </w:sdt>
      <w:sdt>
        <w:sdtPr>
          <w:rPr>
            <w:szCs w:val="21"/>
          </w:rPr>
          <w:alias w:val="递延所得税资产明细"/>
          <w:tag w:val="_TUP_703575bf8b6048788dc624e748111109"/>
          <w:id w:val="1587803719"/>
        </w:sdtPr>
        <w:sdtEndPr/>
        <w:sdtContent>
          <w:tr w:rsidR="00E57DAA" w14:paraId="22B37DBE" w14:textId="77777777">
            <w:trPr>
              <w:trHeight w:val="285"/>
            </w:trPr>
            <w:tc>
              <w:tcPr>
                <w:tcW w:w="941" w:type="pct"/>
                <w:shd w:val="clear" w:color="auto" w:fill="auto"/>
                <w:vAlign w:val="center"/>
              </w:tcPr>
              <w:p w14:paraId="523849D6" w14:textId="77777777" w:rsidR="00E57DAA" w:rsidRDefault="00AC4185">
                <w:pPr>
                  <w:rPr>
                    <w:szCs w:val="21"/>
                  </w:rPr>
                </w:pPr>
                <w:r>
                  <w:rPr>
                    <w:rFonts w:hint="eastAsia"/>
                    <w:szCs w:val="21"/>
                  </w:rPr>
                  <w:t>职工薪酬</w:t>
                </w:r>
              </w:p>
            </w:tc>
            <w:tc>
              <w:tcPr>
                <w:tcW w:w="1074" w:type="pct"/>
                <w:shd w:val="clear" w:color="auto" w:fill="auto"/>
                <w:vAlign w:val="center"/>
              </w:tcPr>
              <w:p w14:paraId="54758350" w14:textId="77777777" w:rsidR="00E57DAA" w:rsidRDefault="00AC4185">
                <w:pPr>
                  <w:jc w:val="right"/>
                  <w:rPr>
                    <w:szCs w:val="21"/>
                  </w:rPr>
                </w:pPr>
                <w:r>
                  <w:rPr>
                    <w:rFonts w:hint="eastAsia"/>
                    <w:szCs w:val="21"/>
                  </w:rPr>
                  <w:t>59,916,117.11</w:t>
                </w:r>
              </w:p>
            </w:tc>
            <w:tc>
              <w:tcPr>
                <w:tcW w:w="955" w:type="pct"/>
                <w:shd w:val="clear" w:color="auto" w:fill="auto"/>
                <w:vAlign w:val="center"/>
              </w:tcPr>
              <w:p w14:paraId="3B3B7578" w14:textId="77777777" w:rsidR="00E57DAA" w:rsidRDefault="00AC4185">
                <w:pPr>
                  <w:jc w:val="right"/>
                  <w:rPr>
                    <w:szCs w:val="21"/>
                  </w:rPr>
                </w:pPr>
                <w:r>
                  <w:rPr>
                    <w:rFonts w:hint="eastAsia"/>
                    <w:szCs w:val="21"/>
                  </w:rPr>
                  <w:t>12,494,518.08</w:t>
                </w:r>
              </w:p>
            </w:tc>
            <w:tc>
              <w:tcPr>
                <w:tcW w:w="1074" w:type="pct"/>
                <w:shd w:val="clear" w:color="auto" w:fill="auto"/>
                <w:vAlign w:val="center"/>
              </w:tcPr>
              <w:p w14:paraId="73165B86" w14:textId="77777777" w:rsidR="00E57DAA" w:rsidRDefault="00AC4185">
                <w:pPr>
                  <w:jc w:val="right"/>
                  <w:rPr>
                    <w:szCs w:val="21"/>
                  </w:rPr>
                </w:pPr>
                <w:r>
                  <w:rPr>
                    <w:rFonts w:hint="eastAsia"/>
                    <w:szCs w:val="21"/>
                  </w:rPr>
                  <w:t>46,308,190.79</w:t>
                </w:r>
              </w:p>
            </w:tc>
            <w:tc>
              <w:tcPr>
                <w:tcW w:w="955" w:type="pct"/>
                <w:shd w:val="clear" w:color="auto" w:fill="auto"/>
                <w:vAlign w:val="center"/>
              </w:tcPr>
              <w:p w14:paraId="3BC22934" w14:textId="77777777" w:rsidR="00E57DAA" w:rsidRDefault="00AC4185">
                <w:pPr>
                  <w:jc w:val="right"/>
                  <w:rPr>
                    <w:szCs w:val="21"/>
                  </w:rPr>
                </w:pPr>
                <w:r>
                  <w:rPr>
                    <w:rFonts w:hint="eastAsia"/>
                    <w:szCs w:val="21"/>
                  </w:rPr>
                  <w:t>8,477,878.86</w:t>
                </w:r>
              </w:p>
            </w:tc>
          </w:tr>
        </w:sdtContent>
      </w:sdt>
      <w:sdt>
        <w:sdtPr>
          <w:rPr>
            <w:szCs w:val="21"/>
          </w:rPr>
          <w:alias w:val="递延所得税资产明细"/>
          <w:tag w:val="_TUP_703575bf8b6048788dc624e748111109"/>
          <w:id w:val="1999690005"/>
        </w:sdtPr>
        <w:sdtEndPr/>
        <w:sdtContent>
          <w:tr w:rsidR="00E57DAA" w14:paraId="14725E4C" w14:textId="77777777">
            <w:trPr>
              <w:trHeight w:val="285"/>
            </w:trPr>
            <w:tc>
              <w:tcPr>
                <w:tcW w:w="941" w:type="pct"/>
                <w:shd w:val="clear" w:color="auto" w:fill="auto"/>
                <w:vAlign w:val="center"/>
              </w:tcPr>
              <w:p w14:paraId="5AEBB14C" w14:textId="77777777" w:rsidR="00E57DAA" w:rsidRDefault="00AC4185">
                <w:pPr>
                  <w:rPr>
                    <w:szCs w:val="21"/>
                  </w:rPr>
                </w:pPr>
                <w:r>
                  <w:rPr>
                    <w:rFonts w:hint="eastAsia"/>
                    <w:szCs w:val="21"/>
                  </w:rPr>
                  <w:t>递延收益</w:t>
                </w:r>
              </w:p>
            </w:tc>
            <w:tc>
              <w:tcPr>
                <w:tcW w:w="1074" w:type="pct"/>
                <w:shd w:val="clear" w:color="auto" w:fill="auto"/>
                <w:vAlign w:val="center"/>
              </w:tcPr>
              <w:p w14:paraId="1EFD9132" w14:textId="77777777" w:rsidR="00E57DAA" w:rsidRDefault="00AC4185">
                <w:pPr>
                  <w:jc w:val="right"/>
                  <w:rPr>
                    <w:szCs w:val="21"/>
                  </w:rPr>
                </w:pPr>
                <w:r>
                  <w:rPr>
                    <w:rFonts w:hint="eastAsia"/>
                    <w:szCs w:val="21"/>
                  </w:rPr>
                  <w:t>32,499,133.51</w:t>
                </w:r>
              </w:p>
            </w:tc>
            <w:tc>
              <w:tcPr>
                <w:tcW w:w="955" w:type="pct"/>
                <w:shd w:val="clear" w:color="auto" w:fill="auto"/>
                <w:vAlign w:val="center"/>
              </w:tcPr>
              <w:p w14:paraId="00B7E3D0" w14:textId="77777777" w:rsidR="00E57DAA" w:rsidRDefault="00AC4185">
                <w:pPr>
                  <w:jc w:val="right"/>
                  <w:rPr>
                    <w:szCs w:val="21"/>
                  </w:rPr>
                </w:pPr>
                <w:r>
                  <w:rPr>
                    <w:rFonts w:hint="eastAsia"/>
                    <w:szCs w:val="21"/>
                  </w:rPr>
                  <w:t>4,874,870.03</w:t>
                </w:r>
              </w:p>
            </w:tc>
            <w:tc>
              <w:tcPr>
                <w:tcW w:w="1074" w:type="pct"/>
                <w:shd w:val="clear" w:color="auto" w:fill="auto"/>
                <w:vAlign w:val="center"/>
              </w:tcPr>
              <w:p w14:paraId="29AB6254" w14:textId="77777777" w:rsidR="00E57DAA" w:rsidRDefault="00AC4185">
                <w:pPr>
                  <w:jc w:val="right"/>
                  <w:rPr>
                    <w:szCs w:val="21"/>
                  </w:rPr>
                </w:pPr>
                <w:r>
                  <w:rPr>
                    <w:rFonts w:hint="eastAsia"/>
                    <w:szCs w:val="21"/>
                  </w:rPr>
                  <w:t>43,015,755.57</w:t>
                </w:r>
              </w:p>
            </w:tc>
            <w:tc>
              <w:tcPr>
                <w:tcW w:w="955" w:type="pct"/>
                <w:shd w:val="clear" w:color="auto" w:fill="auto"/>
                <w:vAlign w:val="center"/>
              </w:tcPr>
              <w:p w14:paraId="2EE7FA19" w14:textId="77777777" w:rsidR="00E57DAA" w:rsidRDefault="00AC4185">
                <w:pPr>
                  <w:jc w:val="right"/>
                  <w:rPr>
                    <w:szCs w:val="21"/>
                  </w:rPr>
                </w:pPr>
                <w:r>
                  <w:rPr>
                    <w:rFonts w:hint="eastAsia"/>
                    <w:szCs w:val="21"/>
                  </w:rPr>
                  <w:t>6,452,363.33</w:t>
                </w:r>
              </w:p>
            </w:tc>
          </w:tr>
        </w:sdtContent>
      </w:sdt>
      <w:sdt>
        <w:sdtPr>
          <w:rPr>
            <w:szCs w:val="21"/>
          </w:rPr>
          <w:alias w:val="递延所得税资产明细"/>
          <w:tag w:val="_TUP_703575bf8b6048788dc624e748111109"/>
          <w:id w:val="1441955983"/>
        </w:sdtPr>
        <w:sdtEndPr/>
        <w:sdtContent>
          <w:tr w:rsidR="00E57DAA" w14:paraId="79C24BE9" w14:textId="77777777">
            <w:trPr>
              <w:trHeight w:val="285"/>
            </w:trPr>
            <w:tc>
              <w:tcPr>
                <w:tcW w:w="941" w:type="pct"/>
                <w:shd w:val="clear" w:color="auto" w:fill="auto"/>
                <w:vAlign w:val="center"/>
              </w:tcPr>
              <w:p w14:paraId="02985734" w14:textId="77777777" w:rsidR="00E57DAA" w:rsidRDefault="00AC4185">
                <w:pPr>
                  <w:rPr>
                    <w:szCs w:val="21"/>
                  </w:rPr>
                </w:pPr>
                <w:r>
                  <w:rPr>
                    <w:rFonts w:hint="eastAsia"/>
                    <w:szCs w:val="21"/>
                  </w:rPr>
                  <w:t>预计负债</w:t>
                </w:r>
              </w:p>
            </w:tc>
            <w:tc>
              <w:tcPr>
                <w:tcW w:w="1074" w:type="pct"/>
                <w:shd w:val="clear" w:color="auto" w:fill="auto"/>
                <w:vAlign w:val="center"/>
              </w:tcPr>
              <w:p w14:paraId="29560998" w14:textId="77777777" w:rsidR="00E57DAA" w:rsidRDefault="00AC4185">
                <w:pPr>
                  <w:jc w:val="right"/>
                  <w:rPr>
                    <w:szCs w:val="21"/>
                  </w:rPr>
                </w:pPr>
                <w:r>
                  <w:rPr>
                    <w:rFonts w:hint="eastAsia"/>
                    <w:szCs w:val="21"/>
                  </w:rPr>
                  <w:t>173,715,526.22</w:t>
                </w:r>
              </w:p>
            </w:tc>
            <w:tc>
              <w:tcPr>
                <w:tcW w:w="955" w:type="pct"/>
                <w:shd w:val="clear" w:color="auto" w:fill="auto"/>
                <w:vAlign w:val="center"/>
              </w:tcPr>
              <w:p w14:paraId="64BAE80B" w14:textId="77777777" w:rsidR="00E57DAA" w:rsidRDefault="00AC4185">
                <w:pPr>
                  <w:jc w:val="right"/>
                  <w:rPr>
                    <w:szCs w:val="21"/>
                  </w:rPr>
                </w:pPr>
                <w:r>
                  <w:rPr>
                    <w:rFonts w:hint="eastAsia"/>
                    <w:szCs w:val="21"/>
                  </w:rPr>
                  <w:t>39,815,990.66</w:t>
                </w:r>
              </w:p>
            </w:tc>
            <w:tc>
              <w:tcPr>
                <w:tcW w:w="1074" w:type="pct"/>
                <w:shd w:val="clear" w:color="auto" w:fill="auto"/>
                <w:vAlign w:val="center"/>
              </w:tcPr>
              <w:p w14:paraId="7164E2B2" w14:textId="77777777" w:rsidR="00E57DAA" w:rsidRDefault="00AC4185">
                <w:pPr>
                  <w:jc w:val="right"/>
                  <w:rPr>
                    <w:szCs w:val="21"/>
                  </w:rPr>
                </w:pPr>
                <w:r>
                  <w:rPr>
                    <w:rFonts w:hint="eastAsia"/>
                    <w:szCs w:val="21"/>
                  </w:rPr>
                  <w:t>178,850,887.63</w:t>
                </w:r>
              </w:p>
            </w:tc>
            <w:tc>
              <w:tcPr>
                <w:tcW w:w="955" w:type="pct"/>
                <w:shd w:val="clear" w:color="auto" w:fill="auto"/>
                <w:vAlign w:val="center"/>
              </w:tcPr>
              <w:p w14:paraId="4659B003" w14:textId="77777777" w:rsidR="00E57DAA" w:rsidRDefault="00AC4185">
                <w:pPr>
                  <w:jc w:val="right"/>
                  <w:rPr>
                    <w:szCs w:val="21"/>
                  </w:rPr>
                </w:pPr>
                <w:r>
                  <w:rPr>
                    <w:rFonts w:hint="eastAsia"/>
                    <w:szCs w:val="21"/>
                  </w:rPr>
                  <w:t>32,478,279.16</w:t>
                </w:r>
              </w:p>
            </w:tc>
          </w:tr>
        </w:sdtContent>
      </w:sdt>
      <w:sdt>
        <w:sdtPr>
          <w:rPr>
            <w:szCs w:val="21"/>
          </w:rPr>
          <w:alias w:val="递延所得税资产明细"/>
          <w:tag w:val="_TUP_703575bf8b6048788dc624e748111109"/>
          <w:id w:val="1074162849"/>
        </w:sdtPr>
        <w:sdtEndPr/>
        <w:sdtContent>
          <w:tr w:rsidR="00E57DAA" w14:paraId="666A291D" w14:textId="77777777">
            <w:trPr>
              <w:trHeight w:val="285"/>
            </w:trPr>
            <w:tc>
              <w:tcPr>
                <w:tcW w:w="941" w:type="pct"/>
                <w:shd w:val="clear" w:color="auto" w:fill="auto"/>
                <w:vAlign w:val="center"/>
              </w:tcPr>
              <w:p w14:paraId="2DE72E45" w14:textId="77777777" w:rsidR="00E57DAA" w:rsidRDefault="00AC4185">
                <w:pPr>
                  <w:rPr>
                    <w:szCs w:val="21"/>
                  </w:rPr>
                </w:pPr>
                <w:r>
                  <w:rPr>
                    <w:rFonts w:hint="eastAsia"/>
                    <w:szCs w:val="21"/>
                  </w:rPr>
                  <w:t>长期资产评估减值</w:t>
                </w:r>
              </w:p>
            </w:tc>
            <w:tc>
              <w:tcPr>
                <w:tcW w:w="1074" w:type="pct"/>
                <w:shd w:val="clear" w:color="auto" w:fill="auto"/>
                <w:vAlign w:val="center"/>
              </w:tcPr>
              <w:p w14:paraId="18E6D407" w14:textId="77777777" w:rsidR="00E57DAA" w:rsidRDefault="00AC4185">
                <w:pPr>
                  <w:jc w:val="right"/>
                  <w:rPr>
                    <w:szCs w:val="21"/>
                  </w:rPr>
                </w:pPr>
                <w:r>
                  <w:rPr>
                    <w:rFonts w:hint="eastAsia"/>
                    <w:szCs w:val="21"/>
                  </w:rPr>
                  <w:t>3,683,940.72</w:t>
                </w:r>
              </w:p>
            </w:tc>
            <w:tc>
              <w:tcPr>
                <w:tcW w:w="955" w:type="pct"/>
                <w:shd w:val="clear" w:color="auto" w:fill="auto"/>
                <w:vAlign w:val="center"/>
              </w:tcPr>
              <w:p w14:paraId="6A60C48A" w14:textId="77777777" w:rsidR="00E57DAA" w:rsidRDefault="00AC4185">
                <w:pPr>
                  <w:jc w:val="right"/>
                  <w:rPr>
                    <w:szCs w:val="21"/>
                  </w:rPr>
                </w:pPr>
                <w:r>
                  <w:rPr>
                    <w:rFonts w:hint="eastAsia"/>
                    <w:szCs w:val="21"/>
                  </w:rPr>
                  <w:t>815,278.56</w:t>
                </w:r>
              </w:p>
            </w:tc>
            <w:tc>
              <w:tcPr>
                <w:tcW w:w="1074" w:type="pct"/>
                <w:shd w:val="clear" w:color="auto" w:fill="auto"/>
                <w:vAlign w:val="center"/>
              </w:tcPr>
              <w:p w14:paraId="1D60E496" w14:textId="77777777" w:rsidR="00E57DAA" w:rsidRDefault="00AC4185">
                <w:pPr>
                  <w:jc w:val="right"/>
                  <w:rPr>
                    <w:szCs w:val="21"/>
                  </w:rPr>
                </w:pPr>
                <w:r>
                  <w:rPr>
                    <w:rFonts w:hint="eastAsia"/>
                    <w:szCs w:val="21"/>
                  </w:rPr>
                  <w:t>1,057,065.45</w:t>
                </w:r>
              </w:p>
            </w:tc>
            <w:tc>
              <w:tcPr>
                <w:tcW w:w="955" w:type="pct"/>
                <w:shd w:val="clear" w:color="auto" w:fill="auto"/>
                <w:vAlign w:val="center"/>
              </w:tcPr>
              <w:p w14:paraId="292E0B09" w14:textId="77777777" w:rsidR="00E57DAA" w:rsidRDefault="00AC4185">
                <w:pPr>
                  <w:jc w:val="right"/>
                  <w:rPr>
                    <w:szCs w:val="21"/>
                  </w:rPr>
                </w:pPr>
                <w:r>
                  <w:rPr>
                    <w:rFonts w:hint="eastAsia"/>
                    <w:szCs w:val="21"/>
                  </w:rPr>
                  <w:t>158,559.82</w:t>
                </w:r>
              </w:p>
            </w:tc>
          </w:tr>
        </w:sdtContent>
      </w:sdt>
      <w:sdt>
        <w:sdtPr>
          <w:rPr>
            <w:szCs w:val="21"/>
          </w:rPr>
          <w:alias w:val="递延所得税资产明细"/>
          <w:tag w:val="_TUP_703575bf8b6048788dc624e748111109"/>
          <w:id w:val="-1264299948"/>
        </w:sdtPr>
        <w:sdtEndPr/>
        <w:sdtContent>
          <w:tr w:rsidR="00E57DAA" w14:paraId="1BBA9A73" w14:textId="77777777">
            <w:trPr>
              <w:trHeight w:val="285"/>
            </w:trPr>
            <w:tc>
              <w:tcPr>
                <w:tcW w:w="941" w:type="pct"/>
                <w:shd w:val="clear" w:color="auto" w:fill="auto"/>
                <w:vAlign w:val="center"/>
              </w:tcPr>
              <w:p w14:paraId="11B83D5E" w14:textId="77777777" w:rsidR="00E57DAA" w:rsidRDefault="00AC4185">
                <w:pPr>
                  <w:rPr>
                    <w:szCs w:val="21"/>
                  </w:rPr>
                </w:pPr>
                <w:r>
                  <w:rPr>
                    <w:rFonts w:hint="eastAsia"/>
                    <w:szCs w:val="21"/>
                  </w:rPr>
                  <w:t>未抵扣亏损</w:t>
                </w:r>
              </w:p>
            </w:tc>
            <w:tc>
              <w:tcPr>
                <w:tcW w:w="1074" w:type="pct"/>
                <w:shd w:val="clear" w:color="auto" w:fill="auto"/>
                <w:vAlign w:val="center"/>
              </w:tcPr>
              <w:p w14:paraId="6416EDFA" w14:textId="77777777" w:rsidR="00E57DAA" w:rsidRDefault="00AC4185">
                <w:pPr>
                  <w:jc w:val="right"/>
                  <w:rPr>
                    <w:szCs w:val="21"/>
                  </w:rPr>
                </w:pPr>
                <w:r>
                  <w:rPr>
                    <w:rFonts w:hint="eastAsia"/>
                    <w:szCs w:val="21"/>
                  </w:rPr>
                  <w:t>296,667,779.63</w:t>
                </w:r>
              </w:p>
            </w:tc>
            <w:tc>
              <w:tcPr>
                <w:tcW w:w="955" w:type="pct"/>
                <w:shd w:val="clear" w:color="auto" w:fill="auto"/>
                <w:vAlign w:val="center"/>
              </w:tcPr>
              <w:p w14:paraId="5EB47DD0" w14:textId="77777777" w:rsidR="00E57DAA" w:rsidRDefault="00AC4185">
                <w:pPr>
                  <w:jc w:val="right"/>
                  <w:rPr>
                    <w:szCs w:val="21"/>
                  </w:rPr>
                </w:pPr>
                <w:r>
                  <w:rPr>
                    <w:rFonts w:hint="eastAsia"/>
                    <w:szCs w:val="21"/>
                  </w:rPr>
                  <w:t>86,315,226.01</w:t>
                </w:r>
              </w:p>
            </w:tc>
            <w:tc>
              <w:tcPr>
                <w:tcW w:w="1074" w:type="pct"/>
                <w:shd w:val="clear" w:color="auto" w:fill="auto"/>
                <w:vAlign w:val="center"/>
              </w:tcPr>
              <w:p w14:paraId="4D4B8747" w14:textId="77777777" w:rsidR="00E57DAA" w:rsidRDefault="00AC4185">
                <w:pPr>
                  <w:jc w:val="right"/>
                  <w:rPr>
                    <w:szCs w:val="21"/>
                  </w:rPr>
                </w:pPr>
                <w:r>
                  <w:rPr>
                    <w:rFonts w:hint="eastAsia"/>
                    <w:szCs w:val="21"/>
                  </w:rPr>
                  <w:t>273,017,427.10</w:t>
                </w:r>
              </w:p>
            </w:tc>
            <w:tc>
              <w:tcPr>
                <w:tcW w:w="955" w:type="pct"/>
                <w:shd w:val="clear" w:color="auto" w:fill="auto"/>
                <w:vAlign w:val="center"/>
              </w:tcPr>
              <w:p w14:paraId="65918C27" w14:textId="77777777" w:rsidR="00E57DAA" w:rsidRDefault="00AC4185">
                <w:pPr>
                  <w:jc w:val="right"/>
                  <w:rPr>
                    <w:szCs w:val="21"/>
                  </w:rPr>
                </w:pPr>
                <w:r>
                  <w:rPr>
                    <w:rFonts w:hint="eastAsia"/>
                    <w:szCs w:val="21"/>
                  </w:rPr>
                  <w:t>82,403,402.06</w:t>
                </w:r>
              </w:p>
            </w:tc>
          </w:tr>
        </w:sdtContent>
      </w:sdt>
      <w:sdt>
        <w:sdtPr>
          <w:rPr>
            <w:szCs w:val="21"/>
          </w:rPr>
          <w:alias w:val="递延所得税资产明细"/>
          <w:tag w:val="_TUP_703575bf8b6048788dc624e748111109"/>
          <w:id w:val="-4369231"/>
        </w:sdtPr>
        <w:sdtEndPr/>
        <w:sdtContent>
          <w:tr w:rsidR="00E57DAA" w14:paraId="22EB2015" w14:textId="77777777">
            <w:trPr>
              <w:trHeight w:val="285"/>
            </w:trPr>
            <w:tc>
              <w:tcPr>
                <w:tcW w:w="941" w:type="pct"/>
                <w:shd w:val="clear" w:color="auto" w:fill="auto"/>
                <w:vAlign w:val="center"/>
              </w:tcPr>
              <w:p w14:paraId="60C3DEEE" w14:textId="77777777" w:rsidR="00E57DAA" w:rsidRDefault="00AC4185">
                <w:pPr>
                  <w:rPr>
                    <w:szCs w:val="21"/>
                  </w:rPr>
                </w:pPr>
                <w:r>
                  <w:rPr>
                    <w:rFonts w:hint="eastAsia"/>
                    <w:szCs w:val="21"/>
                  </w:rPr>
                  <w:t>交易性金融工具、衍生金融工具估值</w:t>
                </w:r>
              </w:p>
            </w:tc>
            <w:tc>
              <w:tcPr>
                <w:tcW w:w="1074" w:type="pct"/>
                <w:shd w:val="clear" w:color="auto" w:fill="auto"/>
                <w:vAlign w:val="center"/>
              </w:tcPr>
              <w:p w14:paraId="554C304B" w14:textId="77777777" w:rsidR="00E57DAA" w:rsidRDefault="00AC4185">
                <w:pPr>
                  <w:jc w:val="right"/>
                  <w:rPr>
                    <w:szCs w:val="21"/>
                  </w:rPr>
                </w:pPr>
                <w:r>
                  <w:rPr>
                    <w:rFonts w:hint="eastAsia"/>
                    <w:szCs w:val="21"/>
                  </w:rPr>
                  <w:t>77,197,114.73</w:t>
                </w:r>
              </w:p>
            </w:tc>
            <w:tc>
              <w:tcPr>
                <w:tcW w:w="955" w:type="pct"/>
                <w:shd w:val="clear" w:color="auto" w:fill="auto"/>
                <w:vAlign w:val="center"/>
              </w:tcPr>
              <w:p w14:paraId="66E5934C" w14:textId="77777777" w:rsidR="00E57DAA" w:rsidRDefault="00AC4185">
                <w:pPr>
                  <w:jc w:val="right"/>
                  <w:rPr>
                    <w:szCs w:val="21"/>
                  </w:rPr>
                </w:pPr>
                <w:r>
                  <w:rPr>
                    <w:rFonts w:hint="eastAsia"/>
                    <w:szCs w:val="21"/>
                  </w:rPr>
                  <w:t>11,594,601.49</w:t>
                </w:r>
              </w:p>
            </w:tc>
            <w:tc>
              <w:tcPr>
                <w:tcW w:w="1074" w:type="pct"/>
                <w:shd w:val="clear" w:color="auto" w:fill="auto"/>
                <w:vAlign w:val="center"/>
              </w:tcPr>
              <w:p w14:paraId="1050B396" w14:textId="77777777" w:rsidR="00E57DAA" w:rsidRDefault="00AC4185">
                <w:pPr>
                  <w:jc w:val="right"/>
                  <w:rPr>
                    <w:szCs w:val="21"/>
                  </w:rPr>
                </w:pPr>
                <w:r>
                  <w:rPr>
                    <w:rFonts w:hint="eastAsia"/>
                    <w:szCs w:val="21"/>
                  </w:rPr>
                  <w:t>17,571,095.47</w:t>
                </w:r>
              </w:p>
            </w:tc>
            <w:tc>
              <w:tcPr>
                <w:tcW w:w="955" w:type="pct"/>
                <w:shd w:val="clear" w:color="auto" w:fill="auto"/>
                <w:vAlign w:val="center"/>
              </w:tcPr>
              <w:p w14:paraId="03064754" w14:textId="77777777" w:rsidR="00E57DAA" w:rsidRDefault="00AC4185">
                <w:pPr>
                  <w:jc w:val="right"/>
                  <w:rPr>
                    <w:szCs w:val="21"/>
                  </w:rPr>
                </w:pPr>
                <w:r>
                  <w:rPr>
                    <w:rFonts w:hint="eastAsia"/>
                    <w:szCs w:val="21"/>
                  </w:rPr>
                  <w:t>2,720,065.25</w:t>
                </w:r>
              </w:p>
            </w:tc>
          </w:tr>
        </w:sdtContent>
      </w:sdt>
      <w:sdt>
        <w:sdtPr>
          <w:rPr>
            <w:szCs w:val="21"/>
          </w:rPr>
          <w:alias w:val="递延所得税资产明细"/>
          <w:tag w:val="_TUP_703575bf8b6048788dc624e748111109"/>
          <w:id w:val="-1135017463"/>
        </w:sdtPr>
        <w:sdtEndPr/>
        <w:sdtContent>
          <w:tr w:rsidR="00E57DAA" w14:paraId="00ADD232" w14:textId="77777777">
            <w:trPr>
              <w:trHeight w:val="285"/>
            </w:trPr>
            <w:tc>
              <w:tcPr>
                <w:tcW w:w="941" w:type="pct"/>
                <w:shd w:val="clear" w:color="auto" w:fill="auto"/>
                <w:vAlign w:val="center"/>
              </w:tcPr>
              <w:p w14:paraId="313A92CF" w14:textId="77777777" w:rsidR="00E57DAA" w:rsidRDefault="00AC4185">
                <w:pPr>
                  <w:rPr>
                    <w:szCs w:val="21"/>
                  </w:rPr>
                </w:pPr>
                <w:r>
                  <w:rPr>
                    <w:rFonts w:hint="eastAsia"/>
                    <w:szCs w:val="21"/>
                  </w:rPr>
                  <w:t>会计和税法对收入确认的暂时性差异</w:t>
                </w:r>
              </w:p>
            </w:tc>
            <w:tc>
              <w:tcPr>
                <w:tcW w:w="1074" w:type="pct"/>
                <w:shd w:val="clear" w:color="auto" w:fill="auto"/>
                <w:vAlign w:val="center"/>
              </w:tcPr>
              <w:p w14:paraId="2F1EDD20" w14:textId="77777777" w:rsidR="00E57DAA" w:rsidRDefault="00AC4185">
                <w:pPr>
                  <w:jc w:val="right"/>
                  <w:rPr>
                    <w:szCs w:val="21"/>
                  </w:rPr>
                </w:pPr>
                <w:r>
                  <w:rPr>
                    <w:rFonts w:hint="eastAsia"/>
                    <w:szCs w:val="21"/>
                  </w:rPr>
                  <w:t>478,863,765.17</w:t>
                </w:r>
              </w:p>
            </w:tc>
            <w:tc>
              <w:tcPr>
                <w:tcW w:w="955" w:type="pct"/>
                <w:shd w:val="clear" w:color="auto" w:fill="auto"/>
                <w:vAlign w:val="center"/>
              </w:tcPr>
              <w:p w14:paraId="4E15EADE" w14:textId="77777777" w:rsidR="00E57DAA" w:rsidRDefault="00AC4185">
                <w:pPr>
                  <w:jc w:val="right"/>
                  <w:rPr>
                    <w:szCs w:val="21"/>
                  </w:rPr>
                </w:pPr>
                <w:r>
                  <w:rPr>
                    <w:rFonts w:hint="eastAsia"/>
                    <w:szCs w:val="21"/>
                  </w:rPr>
                  <w:t>71,829,564.77</w:t>
                </w:r>
              </w:p>
            </w:tc>
            <w:tc>
              <w:tcPr>
                <w:tcW w:w="1074" w:type="pct"/>
                <w:shd w:val="clear" w:color="auto" w:fill="auto"/>
                <w:vAlign w:val="center"/>
              </w:tcPr>
              <w:p w14:paraId="39E0231C" w14:textId="77777777" w:rsidR="00E57DAA" w:rsidRDefault="00AC4185">
                <w:pPr>
                  <w:jc w:val="right"/>
                  <w:rPr>
                    <w:szCs w:val="21"/>
                  </w:rPr>
                </w:pPr>
                <w:r>
                  <w:rPr>
                    <w:rFonts w:hint="eastAsia"/>
                    <w:szCs w:val="21"/>
                  </w:rPr>
                  <w:t>582,843,734.38</w:t>
                </w:r>
              </w:p>
            </w:tc>
            <w:tc>
              <w:tcPr>
                <w:tcW w:w="955" w:type="pct"/>
                <w:shd w:val="clear" w:color="auto" w:fill="auto"/>
                <w:vAlign w:val="center"/>
              </w:tcPr>
              <w:p w14:paraId="66AFC88E" w14:textId="77777777" w:rsidR="00E57DAA" w:rsidRDefault="00AC4185">
                <w:pPr>
                  <w:jc w:val="right"/>
                  <w:rPr>
                    <w:szCs w:val="21"/>
                  </w:rPr>
                </w:pPr>
                <w:r>
                  <w:rPr>
                    <w:rFonts w:hint="eastAsia"/>
                    <w:szCs w:val="21"/>
                  </w:rPr>
                  <w:t>87,430,216.04</w:t>
                </w:r>
              </w:p>
            </w:tc>
          </w:tr>
        </w:sdtContent>
      </w:sdt>
      <w:sdt>
        <w:sdtPr>
          <w:rPr>
            <w:szCs w:val="21"/>
          </w:rPr>
          <w:alias w:val="递延所得税资产明细"/>
          <w:tag w:val="_TUP_703575bf8b6048788dc624e748111109"/>
          <w:id w:val="1775286856"/>
        </w:sdtPr>
        <w:sdtEndPr/>
        <w:sdtContent>
          <w:tr w:rsidR="00E57DAA" w14:paraId="123CCBED" w14:textId="77777777">
            <w:trPr>
              <w:trHeight w:val="285"/>
            </w:trPr>
            <w:tc>
              <w:tcPr>
                <w:tcW w:w="941" w:type="pct"/>
                <w:shd w:val="clear" w:color="auto" w:fill="auto"/>
                <w:vAlign w:val="center"/>
              </w:tcPr>
              <w:p w14:paraId="27657D24" w14:textId="77777777" w:rsidR="00E57DAA" w:rsidRDefault="00AC4185">
                <w:pPr>
                  <w:rPr>
                    <w:szCs w:val="21"/>
                  </w:rPr>
                </w:pPr>
                <w:r>
                  <w:rPr>
                    <w:rFonts w:hint="eastAsia"/>
                    <w:szCs w:val="21"/>
                  </w:rPr>
                  <w:t>租赁负债</w:t>
                </w:r>
              </w:p>
            </w:tc>
            <w:tc>
              <w:tcPr>
                <w:tcW w:w="1074" w:type="pct"/>
                <w:shd w:val="clear" w:color="auto" w:fill="auto"/>
                <w:vAlign w:val="center"/>
              </w:tcPr>
              <w:p w14:paraId="7B7E91A9" w14:textId="77777777" w:rsidR="00E57DAA" w:rsidRDefault="00AC4185">
                <w:pPr>
                  <w:jc w:val="right"/>
                  <w:rPr>
                    <w:szCs w:val="21"/>
                  </w:rPr>
                </w:pPr>
                <w:r>
                  <w:rPr>
                    <w:rFonts w:hint="eastAsia"/>
                    <w:szCs w:val="21"/>
                  </w:rPr>
                  <w:t>71,286,070.40</w:t>
                </w:r>
              </w:p>
            </w:tc>
            <w:tc>
              <w:tcPr>
                <w:tcW w:w="955" w:type="pct"/>
                <w:shd w:val="clear" w:color="auto" w:fill="auto"/>
                <w:vAlign w:val="center"/>
              </w:tcPr>
              <w:p w14:paraId="41A705F4" w14:textId="77777777" w:rsidR="00E57DAA" w:rsidRDefault="00AC4185">
                <w:pPr>
                  <w:jc w:val="right"/>
                  <w:rPr>
                    <w:szCs w:val="21"/>
                  </w:rPr>
                </w:pPr>
                <w:r>
                  <w:rPr>
                    <w:rFonts w:hint="eastAsia"/>
                    <w:szCs w:val="21"/>
                  </w:rPr>
                  <w:t>13,675,974.25</w:t>
                </w:r>
              </w:p>
            </w:tc>
            <w:tc>
              <w:tcPr>
                <w:tcW w:w="1074" w:type="pct"/>
                <w:shd w:val="clear" w:color="auto" w:fill="auto"/>
                <w:vAlign w:val="center"/>
              </w:tcPr>
              <w:p w14:paraId="3F9C461F" w14:textId="77777777" w:rsidR="00E57DAA" w:rsidRDefault="00AC4185">
                <w:pPr>
                  <w:jc w:val="right"/>
                  <w:rPr>
                    <w:szCs w:val="21"/>
                  </w:rPr>
                </w:pPr>
                <w:r>
                  <w:rPr>
                    <w:rFonts w:hint="eastAsia"/>
                    <w:szCs w:val="21"/>
                  </w:rPr>
                  <w:t>40,419,525.76</w:t>
                </w:r>
              </w:p>
            </w:tc>
            <w:tc>
              <w:tcPr>
                <w:tcW w:w="955" w:type="pct"/>
                <w:shd w:val="clear" w:color="auto" w:fill="auto"/>
                <w:vAlign w:val="center"/>
              </w:tcPr>
              <w:p w14:paraId="693ADCFD" w14:textId="77777777" w:rsidR="00E57DAA" w:rsidRDefault="00AC4185">
                <w:pPr>
                  <w:jc w:val="right"/>
                  <w:rPr>
                    <w:szCs w:val="21"/>
                  </w:rPr>
                </w:pPr>
                <w:r>
                  <w:rPr>
                    <w:rFonts w:hint="eastAsia"/>
                    <w:szCs w:val="21"/>
                  </w:rPr>
                  <w:t>9,406,430.03</w:t>
                </w:r>
              </w:p>
            </w:tc>
          </w:tr>
        </w:sdtContent>
      </w:sdt>
      <w:sdt>
        <w:sdtPr>
          <w:rPr>
            <w:szCs w:val="21"/>
          </w:rPr>
          <w:alias w:val="递延所得税资产明细"/>
          <w:tag w:val="_TUP_703575bf8b6048788dc624e748111109"/>
          <w:id w:val="-1028801285"/>
        </w:sdtPr>
        <w:sdtEndPr/>
        <w:sdtContent>
          <w:tr w:rsidR="00E57DAA" w14:paraId="57C66C13" w14:textId="77777777">
            <w:trPr>
              <w:trHeight w:val="285"/>
            </w:trPr>
            <w:tc>
              <w:tcPr>
                <w:tcW w:w="941" w:type="pct"/>
                <w:shd w:val="clear" w:color="auto" w:fill="auto"/>
                <w:vAlign w:val="center"/>
              </w:tcPr>
              <w:p w14:paraId="4167F9CC" w14:textId="77777777" w:rsidR="00E57DAA" w:rsidRDefault="00AC4185">
                <w:pPr>
                  <w:rPr>
                    <w:szCs w:val="21"/>
                  </w:rPr>
                </w:pPr>
                <w:r>
                  <w:rPr>
                    <w:rFonts w:hint="eastAsia"/>
                    <w:szCs w:val="21"/>
                  </w:rPr>
                  <w:t>股份支付</w:t>
                </w:r>
              </w:p>
            </w:tc>
            <w:tc>
              <w:tcPr>
                <w:tcW w:w="1074" w:type="pct"/>
                <w:shd w:val="clear" w:color="auto" w:fill="auto"/>
                <w:vAlign w:val="center"/>
              </w:tcPr>
              <w:p w14:paraId="4CE6D183" w14:textId="77777777" w:rsidR="00E57DAA" w:rsidRDefault="00AC4185">
                <w:pPr>
                  <w:jc w:val="right"/>
                  <w:rPr>
                    <w:szCs w:val="21"/>
                  </w:rPr>
                </w:pPr>
                <w:r>
                  <w:rPr>
                    <w:rFonts w:hint="eastAsia"/>
                    <w:szCs w:val="21"/>
                  </w:rPr>
                  <w:t>106,695,912.14</w:t>
                </w:r>
              </w:p>
            </w:tc>
            <w:tc>
              <w:tcPr>
                <w:tcW w:w="955" w:type="pct"/>
                <w:shd w:val="clear" w:color="auto" w:fill="auto"/>
                <w:vAlign w:val="center"/>
              </w:tcPr>
              <w:p w14:paraId="4E007697" w14:textId="77777777" w:rsidR="00E57DAA" w:rsidRDefault="00AC4185">
                <w:pPr>
                  <w:jc w:val="right"/>
                  <w:rPr>
                    <w:szCs w:val="21"/>
                  </w:rPr>
                </w:pPr>
                <w:r>
                  <w:rPr>
                    <w:rFonts w:hint="eastAsia"/>
                    <w:szCs w:val="21"/>
                  </w:rPr>
                  <w:t>16,939,746.43</w:t>
                </w:r>
              </w:p>
            </w:tc>
            <w:tc>
              <w:tcPr>
                <w:tcW w:w="1074" w:type="pct"/>
                <w:shd w:val="clear" w:color="auto" w:fill="auto"/>
                <w:vAlign w:val="center"/>
              </w:tcPr>
              <w:p w14:paraId="02D25D32" w14:textId="77777777" w:rsidR="00E57DAA" w:rsidRDefault="00AC4185">
                <w:pPr>
                  <w:jc w:val="right"/>
                  <w:rPr>
                    <w:szCs w:val="21"/>
                  </w:rPr>
                </w:pPr>
                <w:r>
                  <w:rPr>
                    <w:rFonts w:hint="eastAsia"/>
                    <w:szCs w:val="21"/>
                  </w:rPr>
                  <w:t>31,638,834.64</w:t>
                </w:r>
              </w:p>
            </w:tc>
            <w:tc>
              <w:tcPr>
                <w:tcW w:w="955" w:type="pct"/>
                <w:shd w:val="clear" w:color="auto" w:fill="auto"/>
                <w:vAlign w:val="center"/>
              </w:tcPr>
              <w:p w14:paraId="5B4DEE93" w14:textId="77777777" w:rsidR="00E57DAA" w:rsidRDefault="00AC4185">
                <w:pPr>
                  <w:jc w:val="right"/>
                  <w:rPr>
                    <w:szCs w:val="21"/>
                  </w:rPr>
                </w:pPr>
                <w:r>
                  <w:rPr>
                    <w:rFonts w:hint="eastAsia"/>
                    <w:szCs w:val="21"/>
                  </w:rPr>
                  <w:t>5,068,566.46</w:t>
                </w:r>
              </w:p>
            </w:tc>
          </w:tr>
        </w:sdtContent>
      </w:sdt>
      <w:sdt>
        <w:sdtPr>
          <w:rPr>
            <w:szCs w:val="21"/>
          </w:rPr>
          <w:alias w:val="递延所得税资产明细"/>
          <w:tag w:val="_TUP_703575bf8b6048788dc624e748111109"/>
          <w:id w:val="1134530073"/>
        </w:sdtPr>
        <w:sdtEndPr>
          <w:rPr>
            <w:rFonts w:hint="eastAsia"/>
          </w:rPr>
        </w:sdtEndPr>
        <w:sdtContent>
          <w:tr w:rsidR="00E57DAA" w14:paraId="220D74ED" w14:textId="77777777">
            <w:trPr>
              <w:trHeight w:val="285"/>
            </w:trPr>
            <w:tc>
              <w:tcPr>
                <w:tcW w:w="941" w:type="pct"/>
                <w:shd w:val="clear" w:color="auto" w:fill="auto"/>
                <w:vAlign w:val="center"/>
              </w:tcPr>
              <w:p w14:paraId="722CEA3E" w14:textId="77777777" w:rsidR="00E57DAA" w:rsidRDefault="00AC4185">
                <w:pPr>
                  <w:rPr>
                    <w:szCs w:val="21"/>
                  </w:rPr>
                </w:pPr>
                <w:r>
                  <w:rPr>
                    <w:rFonts w:hint="eastAsia"/>
                    <w:szCs w:val="21"/>
                  </w:rPr>
                  <w:t>其他</w:t>
                </w:r>
              </w:p>
            </w:tc>
            <w:tc>
              <w:tcPr>
                <w:tcW w:w="1074" w:type="pct"/>
                <w:shd w:val="clear" w:color="auto" w:fill="auto"/>
                <w:vAlign w:val="center"/>
              </w:tcPr>
              <w:p w14:paraId="40234875" w14:textId="77777777" w:rsidR="00E57DAA" w:rsidRDefault="00AC4185">
                <w:pPr>
                  <w:jc w:val="right"/>
                  <w:rPr>
                    <w:szCs w:val="21"/>
                  </w:rPr>
                </w:pPr>
                <w:r>
                  <w:t>15,182,271.83</w:t>
                </w:r>
              </w:p>
            </w:tc>
            <w:tc>
              <w:tcPr>
                <w:tcW w:w="955" w:type="pct"/>
                <w:shd w:val="clear" w:color="auto" w:fill="auto"/>
                <w:vAlign w:val="center"/>
              </w:tcPr>
              <w:p w14:paraId="249F74C4" w14:textId="77777777" w:rsidR="00E57DAA" w:rsidRDefault="00AC4185">
                <w:pPr>
                  <w:jc w:val="right"/>
                  <w:rPr>
                    <w:szCs w:val="21"/>
                  </w:rPr>
                </w:pPr>
                <w:r>
                  <w:t>2,277,340.77</w:t>
                </w:r>
              </w:p>
            </w:tc>
            <w:tc>
              <w:tcPr>
                <w:tcW w:w="1074" w:type="pct"/>
                <w:shd w:val="clear" w:color="auto" w:fill="auto"/>
                <w:vAlign w:val="center"/>
              </w:tcPr>
              <w:p w14:paraId="144F48E4" w14:textId="77777777" w:rsidR="00E57DAA" w:rsidRDefault="00AC4185">
                <w:pPr>
                  <w:jc w:val="right"/>
                  <w:rPr>
                    <w:szCs w:val="21"/>
                  </w:rPr>
                </w:pPr>
                <w:r>
                  <w:t>46,430,994.20</w:t>
                </w:r>
              </w:p>
            </w:tc>
            <w:tc>
              <w:tcPr>
                <w:tcW w:w="955" w:type="pct"/>
                <w:shd w:val="clear" w:color="auto" w:fill="auto"/>
                <w:vAlign w:val="center"/>
              </w:tcPr>
              <w:p w14:paraId="40AC0375" w14:textId="77777777" w:rsidR="00E57DAA" w:rsidRDefault="00AC4185">
                <w:pPr>
                  <w:jc w:val="right"/>
                  <w:rPr>
                    <w:szCs w:val="21"/>
                  </w:rPr>
                </w:pPr>
                <w:r>
                  <w:t>6,699,514.69</w:t>
                </w:r>
              </w:p>
            </w:tc>
          </w:tr>
        </w:sdtContent>
      </w:sdt>
      <w:tr w:rsidR="00E57DAA" w14:paraId="4543B922" w14:textId="77777777">
        <w:trPr>
          <w:trHeight w:val="285"/>
        </w:trPr>
        <w:sdt>
          <w:sdtPr>
            <w:tag w:val="_PLD_6fc9224998ff4043b5f3c058cb2e9971"/>
            <w:id w:val="-1327819617"/>
          </w:sdtPr>
          <w:sdtEndPr/>
          <w:sdtContent>
            <w:tc>
              <w:tcPr>
                <w:tcW w:w="941" w:type="pct"/>
                <w:shd w:val="clear" w:color="auto" w:fill="auto"/>
                <w:vAlign w:val="center"/>
              </w:tcPr>
              <w:p w14:paraId="794B5E45" w14:textId="77777777" w:rsidR="00E57DAA" w:rsidRDefault="00AC4185">
                <w:pPr>
                  <w:jc w:val="center"/>
                  <w:rPr>
                    <w:szCs w:val="21"/>
                  </w:rPr>
                </w:pPr>
                <w:r>
                  <w:rPr>
                    <w:rFonts w:hint="eastAsia"/>
                    <w:szCs w:val="21"/>
                  </w:rPr>
                  <w:t>合计</w:t>
                </w:r>
              </w:p>
            </w:tc>
          </w:sdtContent>
        </w:sdt>
        <w:tc>
          <w:tcPr>
            <w:tcW w:w="1074" w:type="pct"/>
            <w:shd w:val="clear" w:color="auto" w:fill="auto"/>
            <w:vAlign w:val="center"/>
          </w:tcPr>
          <w:p w14:paraId="5B6C636B" w14:textId="77777777" w:rsidR="00E57DAA" w:rsidRDefault="00AC4185">
            <w:pPr>
              <w:jc w:val="right"/>
              <w:rPr>
                <w:szCs w:val="21"/>
              </w:rPr>
            </w:pPr>
            <w:r>
              <w:t>3,526,483,872.86</w:t>
            </w:r>
          </w:p>
        </w:tc>
        <w:tc>
          <w:tcPr>
            <w:tcW w:w="955" w:type="pct"/>
            <w:shd w:val="clear" w:color="auto" w:fill="auto"/>
            <w:vAlign w:val="center"/>
          </w:tcPr>
          <w:p w14:paraId="682EDE81" w14:textId="77777777" w:rsidR="00E57DAA" w:rsidRDefault="00AC4185">
            <w:pPr>
              <w:jc w:val="right"/>
              <w:rPr>
                <w:szCs w:val="21"/>
              </w:rPr>
            </w:pPr>
            <w:r>
              <w:t>605,286,106.39</w:t>
            </w:r>
          </w:p>
        </w:tc>
        <w:tc>
          <w:tcPr>
            <w:tcW w:w="1074" w:type="pct"/>
            <w:shd w:val="clear" w:color="auto" w:fill="auto"/>
            <w:vAlign w:val="center"/>
          </w:tcPr>
          <w:p w14:paraId="691AE483" w14:textId="77777777" w:rsidR="00E57DAA" w:rsidRDefault="00AC4185">
            <w:pPr>
              <w:jc w:val="right"/>
              <w:rPr>
                <w:szCs w:val="21"/>
              </w:rPr>
            </w:pPr>
            <w:r>
              <w:t>3,219,093,516.43</w:t>
            </w:r>
          </w:p>
        </w:tc>
        <w:tc>
          <w:tcPr>
            <w:tcW w:w="955" w:type="pct"/>
            <w:shd w:val="clear" w:color="auto" w:fill="auto"/>
            <w:vAlign w:val="center"/>
          </w:tcPr>
          <w:p w14:paraId="47BD53C6" w14:textId="77777777" w:rsidR="00E57DAA" w:rsidRDefault="00AC4185">
            <w:pPr>
              <w:jc w:val="right"/>
              <w:rPr>
                <w:szCs w:val="21"/>
              </w:rPr>
            </w:pPr>
            <w:r>
              <w:t>548,224,451.64</w:t>
            </w:r>
          </w:p>
        </w:tc>
      </w:tr>
    </w:tbl>
    <w:p w14:paraId="52221DE6" w14:textId="77777777" w:rsidR="00E57DAA" w:rsidRDefault="00E57DAA"/>
    <w:p w14:paraId="01E1E483" w14:textId="77777777" w:rsidR="00E57DAA" w:rsidRDefault="00AC4185">
      <w:pPr>
        <w:pStyle w:val="4"/>
        <w:numPr>
          <w:ilvl w:val="0"/>
          <w:numId w:val="90"/>
        </w:numPr>
        <w:ind w:left="426" w:hanging="426"/>
      </w:pPr>
      <w:r>
        <w:rPr>
          <w:rFonts w:hint="eastAsia"/>
        </w:rPr>
        <w:t>未经抵销的递延所得税负债</w:t>
      </w:r>
    </w:p>
    <w:p w14:paraId="520834E7" w14:textId="77777777" w:rsidR="00E57DAA" w:rsidRDefault="00EB41A1">
      <w:sdt>
        <w:sdtPr>
          <w:alias w:val="是否适用：未经抵销的递延所得税负债[双击切换]"/>
          <w:tag w:val="_GBC_e7d8f83d611d4464afa60fcd4c2b0690"/>
          <w:id w:val="1900932545"/>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MACROBUTTON  SnrToggleCheckbox □不适用 </w:instrText>
          </w:r>
          <w:r w:rsidR="00AC4185">
            <w:fldChar w:fldCharType="end"/>
          </w:r>
        </w:sdtContent>
      </w:sdt>
    </w:p>
    <w:p w14:paraId="1FE26E6B" w14:textId="77777777" w:rsidR="00E57DAA" w:rsidRDefault="00AC4185">
      <w:pPr>
        <w:jc w:val="right"/>
      </w:pPr>
      <w:r>
        <w:rPr>
          <w:rFonts w:hint="eastAsia"/>
        </w:rPr>
        <w:t>单位：</w:t>
      </w:r>
      <w:sdt>
        <w:sdtPr>
          <w:rPr>
            <w:rFonts w:hint="eastAsia"/>
          </w:rPr>
          <w:alias w:val="单位：财务附注：未经抵销的递延所得税负债"/>
          <w:tag w:val="_GBC_20c1fd2b551d429d888a1c48c5ee9c5a"/>
          <w:id w:val="197540987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55247331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4"/>
        <w:gridCol w:w="1686"/>
        <w:gridCol w:w="1584"/>
        <w:gridCol w:w="1686"/>
        <w:gridCol w:w="1593"/>
      </w:tblGrid>
      <w:tr w:rsidR="00E57DAA" w14:paraId="2B41EF37" w14:textId="77777777">
        <w:trPr>
          <w:trHeight w:val="285"/>
        </w:trPr>
        <w:sdt>
          <w:sdtPr>
            <w:tag w:val="_PLD_e9bdb30dce784b4a9efd1b5efd6964fb"/>
            <w:id w:val="-166328750"/>
          </w:sdtPr>
          <w:sdtEndPr/>
          <w:sdtContent>
            <w:tc>
              <w:tcPr>
                <w:tcW w:w="1289" w:type="pct"/>
                <w:vMerge w:val="restart"/>
                <w:shd w:val="clear" w:color="auto" w:fill="auto"/>
                <w:vAlign w:val="center"/>
              </w:tcPr>
              <w:p w14:paraId="4CB2C9F3" w14:textId="77777777" w:rsidR="00E57DAA" w:rsidRDefault="00AC4185">
                <w:pPr>
                  <w:jc w:val="center"/>
                  <w:rPr>
                    <w:szCs w:val="21"/>
                  </w:rPr>
                </w:pPr>
                <w:r>
                  <w:rPr>
                    <w:rFonts w:hint="eastAsia"/>
                    <w:szCs w:val="21"/>
                  </w:rPr>
                  <w:t>项目</w:t>
                </w:r>
              </w:p>
            </w:tc>
          </w:sdtContent>
        </w:sdt>
        <w:sdt>
          <w:sdtPr>
            <w:tag w:val="_PLD_600f3752c404468197724275bf44cd43"/>
            <w:id w:val="-1157146181"/>
          </w:sdtPr>
          <w:sdtEndPr/>
          <w:sdtContent>
            <w:tc>
              <w:tcPr>
                <w:tcW w:w="1853" w:type="pct"/>
                <w:gridSpan w:val="2"/>
                <w:shd w:val="clear" w:color="auto" w:fill="auto"/>
                <w:vAlign w:val="center"/>
              </w:tcPr>
              <w:p w14:paraId="01FA4945" w14:textId="77777777" w:rsidR="00E57DAA" w:rsidRDefault="00AC4185">
                <w:pPr>
                  <w:jc w:val="center"/>
                  <w:rPr>
                    <w:szCs w:val="21"/>
                  </w:rPr>
                </w:pPr>
                <w:r>
                  <w:rPr>
                    <w:rFonts w:hint="eastAsia"/>
                    <w:szCs w:val="21"/>
                  </w:rPr>
                  <w:t>期末余额</w:t>
                </w:r>
              </w:p>
            </w:tc>
          </w:sdtContent>
        </w:sdt>
        <w:sdt>
          <w:sdtPr>
            <w:tag w:val="_PLD_7e4b2554e2544865b74424edbdb55d4b"/>
            <w:id w:val="-1282496337"/>
          </w:sdtPr>
          <w:sdtEndPr/>
          <w:sdtContent>
            <w:tc>
              <w:tcPr>
                <w:tcW w:w="1859" w:type="pct"/>
                <w:gridSpan w:val="2"/>
                <w:shd w:val="clear" w:color="auto" w:fill="auto"/>
                <w:vAlign w:val="center"/>
              </w:tcPr>
              <w:p w14:paraId="79D9954F" w14:textId="77777777" w:rsidR="00E57DAA" w:rsidRDefault="00AC4185">
                <w:pPr>
                  <w:jc w:val="center"/>
                  <w:rPr>
                    <w:szCs w:val="21"/>
                  </w:rPr>
                </w:pPr>
                <w:r>
                  <w:rPr>
                    <w:rFonts w:hint="eastAsia"/>
                    <w:szCs w:val="21"/>
                  </w:rPr>
                  <w:t>期初余额</w:t>
                </w:r>
              </w:p>
            </w:tc>
          </w:sdtContent>
        </w:sdt>
      </w:tr>
      <w:tr w:rsidR="00E57DAA" w14:paraId="6DB5D39E" w14:textId="77777777">
        <w:trPr>
          <w:trHeight w:val="285"/>
        </w:trPr>
        <w:tc>
          <w:tcPr>
            <w:tcW w:w="1289" w:type="pct"/>
            <w:vMerge/>
            <w:shd w:val="clear" w:color="auto" w:fill="auto"/>
            <w:vAlign w:val="center"/>
          </w:tcPr>
          <w:p w14:paraId="1B82D099" w14:textId="77777777" w:rsidR="00E57DAA" w:rsidRDefault="00E57DAA">
            <w:pPr>
              <w:jc w:val="center"/>
              <w:rPr>
                <w:b/>
                <w:szCs w:val="21"/>
              </w:rPr>
            </w:pPr>
          </w:p>
        </w:tc>
        <w:sdt>
          <w:sdtPr>
            <w:tag w:val="_PLD_2db432e06e184a41a8eb727ebb64ec40"/>
            <w:id w:val="-1813714224"/>
          </w:sdtPr>
          <w:sdtEndPr/>
          <w:sdtContent>
            <w:tc>
              <w:tcPr>
                <w:tcW w:w="955" w:type="pct"/>
                <w:shd w:val="clear" w:color="auto" w:fill="auto"/>
                <w:vAlign w:val="center"/>
              </w:tcPr>
              <w:p w14:paraId="0489393B" w14:textId="77777777" w:rsidR="00E57DAA" w:rsidRDefault="00AC4185">
                <w:pPr>
                  <w:jc w:val="center"/>
                  <w:rPr>
                    <w:szCs w:val="21"/>
                  </w:rPr>
                </w:pPr>
                <w:r>
                  <w:rPr>
                    <w:rFonts w:ascii="Arial" w:hAnsi="Arial" w:hint="eastAsia"/>
                    <w:szCs w:val="21"/>
                  </w:rPr>
                  <w:t>应纳税暂时性差异</w:t>
                </w:r>
              </w:p>
            </w:tc>
          </w:sdtContent>
        </w:sdt>
        <w:sdt>
          <w:sdtPr>
            <w:tag w:val="_PLD_b3dd3e66f628452aab8284dc189a458b"/>
            <w:id w:val="-1952235370"/>
          </w:sdtPr>
          <w:sdtEndPr/>
          <w:sdtContent>
            <w:tc>
              <w:tcPr>
                <w:tcW w:w="897" w:type="pct"/>
                <w:shd w:val="clear" w:color="auto" w:fill="auto"/>
                <w:vAlign w:val="center"/>
              </w:tcPr>
              <w:p w14:paraId="1F653007" w14:textId="77777777" w:rsidR="00E57DAA" w:rsidRDefault="00AC4185">
                <w:pPr>
                  <w:jc w:val="center"/>
                  <w:rPr>
                    <w:szCs w:val="21"/>
                  </w:rPr>
                </w:pPr>
                <w:r>
                  <w:rPr>
                    <w:rFonts w:hint="eastAsia"/>
                    <w:szCs w:val="21"/>
                  </w:rPr>
                  <w:t>递延所得税</w:t>
                </w:r>
              </w:p>
              <w:p w14:paraId="07F03ABD" w14:textId="77777777" w:rsidR="00E57DAA" w:rsidRDefault="00AC4185">
                <w:pPr>
                  <w:jc w:val="center"/>
                  <w:rPr>
                    <w:szCs w:val="21"/>
                  </w:rPr>
                </w:pPr>
                <w:r>
                  <w:rPr>
                    <w:rFonts w:hint="eastAsia"/>
                    <w:szCs w:val="21"/>
                  </w:rPr>
                  <w:t>负债</w:t>
                </w:r>
              </w:p>
            </w:tc>
          </w:sdtContent>
        </w:sdt>
        <w:sdt>
          <w:sdtPr>
            <w:tag w:val="_PLD_3e69493cf6a2462eab1eaf8ece87a89d"/>
            <w:id w:val="65772595"/>
          </w:sdtPr>
          <w:sdtEndPr/>
          <w:sdtContent>
            <w:tc>
              <w:tcPr>
                <w:tcW w:w="955" w:type="pct"/>
                <w:shd w:val="clear" w:color="auto" w:fill="auto"/>
                <w:vAlign w:val="center"/>
              </w:tcPr>
              <w:p w14:paraId="260A0EFF" w14:textId="77777777" w:rsidR="00E57DAA" w:rsidRDefault="00AC4185">
                <w:pPr>
                  <w:jc w:val="center"/>
                  <w:rPr>
                    <w:szCs w:val="21"/>
                  </w:rPr>
                </w:pPr>
                <w:r>
                  <w:rPr>
                    <w:rFonts w:ascii="Arial" w:hAnsi="Arial" w:hint="eastAsia"/>
                    <w:szCs w:val="21"/>
                  </w:rPr>
                  <w:t>应纳税暂时性差异</w:t>
                </w:r>
              </w:p>
            </w:tc>
          </w:sdtContent>
        </w:sdt>
        <w:sdt>
          <w:sdtPr>
            <w:tag w:val="_PLD_ad4c3389a4a04a96990ace5203f3adbb"/>
            <w:id w:val="-1451078051"/>
          </w:sdtPr>
          <w:sdtEndPr/>
          <w:sdtContent>
            <w:tc>
              <w:tcPr>
                <w:tcW w:w="903" w:type="pct"/>
                <w:shd w:val="clear" w:color="auto" w:fill="auto"/>
                <w:vAlign w:val="center"/>
              </w:tcPr>
              <w:p w14:paraId="6AEE182A" w14:textId="77777777" w:rsidR="00E57DAA" w:rsidRDefault="00AC4185">
                <w:pPr>
                  <w:jc w:val="center"/>
                  <w:rPr>
                    <w:szCs w:val="21"/>
                  </w:rPr>
                </w:pPr>
                <w:r>
                  <w:rPr>
                    <w:rFonts w:hint="eastAsia"/>
                    <w:szCs w:val="21"/>
                  </w:rPr>
                  <w:t>递延所得税</w:t>
                </w:r>
              </w:p>
              <w:p w14:paraId="4B21E0B1" w14:textId="77777777" w:rsidR="00E57DAA" w:rsidRDefault="00AC4185">
                <w:pPr>
                  <w:jc w:val="center"/>
                  <w:rPr>
                    <w:szCs w:val="21"/>
                  </w:rPr>
                </w:pPr>
                <w:r>
                  <w:rPr>
                    <w:rFonts w:hint="eastAsia"/>
                    <w:szCs w:val="21"/>
                  </w:rPr>
                  <w:t>负债</w:t>
                </w:r>
              </w:p>
            </w:tc>
          </w:sdtContent>
        </w:sdt>
      </w:tr>
      <w:sdt>
        <w:sdtPr>
          <w:rPr>
            <w:szCs w:val="21"/>
          </w:rPr>
          <w:alias w:val="递延所得税负债明细"/>
          <w:tag w:val="_TUP_8036f0bdcd3a43a38ae605c99228b929"/>
          <w:id w:val="-1429963707"/>
        </w:sdtPr>
        <w:sdtEndPr/>
        <w:sdtContent>
          <w:tr w:rsidR="00E57DAA" w14:paraId="230532DD" w14:textId="77777777">
            <w:trPr>
              <w:trHeight w:val="285"/>
            </w:trPr>
            <w:tc>
              <w:tcPr>
                <w:tcW w:w="1289" w:type="pct"/>
                <w:shd w:val="clear" w:color="auto" w:fill="auto"/>
                <w:vAlign w:val="center"/>
              </w:tcPr>
              <w:p w14:paraId="7384551F" w14:textId="77777777" w:rsidR="00E57DAA" w:rsidRDefault="00AC4185">
                <w:pPr>
                  <w:rPr>
                    <w:szCs w:val="21"/>
                  </w:rPr>
                </w:pPr>
                <w:r>
                  <w:rPr>
                    <w:rFonts w:hint="eastAsia"/>
                    <w:szCs w:val="21"/>
                  </w:rPr>
                  <w:t>长期资产评估增值</w:t>
                </w:r>
              </w:p>
            </w:tc>
            <w:tc>
              <w:tcPr>
                <w:tcW w:w="955" w:type="pct"/>
                <w:shd w:val="clear" w:color="auto" w:fill="auto"/>
              </w:tcPr>
              <w:p w14:paraId="36C288DD" w14:textId="77777777" w:rsidR="00E57DAA" w:rsidRDefault="00AC4185">
                <w:pPr>
                  <w:jc w:val="right"/>
                  <w:rPr>
                    <w:szCs w:val="21"/>
                  </w:rPr>
                </w:pPr>
                <w:r>
                  <w:rPr>
                    <w:rFonts w:hint="eastAsia"/>
                    <w:szCs w:val="21"/>
                  </w:rPr>
                  <w:t>346,597,812.78</w:t>
                </w:r>
              </w:p>
            </w:tc>
            <w:tc>
              <w:tcPr>
                <w:tcW w:w="897" w:type="pct"/>
                <w:shd w:val="clear" w:color="auto" w:fill="auto"/>
              </w:tcPr>
              <w:p w14:paraId="600950D6" w14:textId="77777777" w:rsidR="00E57DAA" w:rsidRDefault="00AC4185">
                <w:pPr>
                  <w:jc w:val="right"/>
                  <w:rPr>
                    <w:szCs w:val="21"/>
                  </w:rPr>
                </w:pPr>
                <w:r>
                  <w:rPr>
                    <w:rFonts w:hint="eastAsia"/>
                    <w:szCs w:val="21"/>
                  </w:rPr>
                  <w:t>73,521,761.72</w:t>
                </w:r>
              </w:p>
            </w:tc>
            <w:tc>
              <w:tcPr>
                <w:tcW w:w="955" w:type="pct"/>
                <w:shd w:val="clear" w:color="auto" w:fill="auto"/>
              </w:tcPr>
              <w:p w14:paraId="606F17AD" w14:textId="77777777" w:rsidR="00E57DAA" w:rsidRDefault="00AC4185">
                <w:pPr>
                  <w:jc w:val="right"/>
                  <w:rPr>
                    <w:szCs w:val="21"/>
                  </w:rPr>
                </w:pPr>
                <w:r>
                  <w:rPr>
                    <w:rFonts w:hint="eastAsia"/>
                    <w:szCs w:val="21"/>
                  </w:rPr>
                  <w:t>402,215,772.80</w:t>
                </w:r>
              </w:p>
            </w:tc>
            <w:tc>
              <w:tcPr>
                <w:tcW w:w="903" w:type="pct"/>
                <w:shd w:val="clear" w:color="auto" w:fill="auto"/>
              </w:tcPr>
              <w:p w14:paraId="20EC444E" w14:textId="77777777" w:rsidR="00E57DAA" w:rsidRDefault="00AC4185">
                <w:pPr>
                  <w:jc w:val="right"/>
                  <w:rPr>
                    <w:szCs w:val="21"/>
                  </w:rPr>
                </w:pPr>
                <w:r>
                  <w:rPr>
                    <w:rFonts w:hint="eastAsia"/>
                    <w:szCs w:val="21"/>
                  </w:rPr>
                  <w:t>83,374,489.73</w:t>
                </w:r>
              </w:p>
            </w:tc>
          </w:tr>
        </w:sdtContent>
      </w:sdt>
      <w:sdt>
        <w:sdtPr>
          <w:rPr>
            <w:szCs w:val="21"/>
          </w:rPr>
          <w:alias w:val="递延所得税负债明细"/>
          <w:tag w:val="_TUP_8036f0bdcd3a43a38ae605c99228b929"/>
          <w:id w:val="-828906069"/>
        </w:sdtPr>
        <w:sdtEndPr/>
        <w:sdtContent>
          <w:tr w:rsidR="00E57DAA" w14:paraId="5844BD35" w14:textId="77777777">
            <w:trPr>
              <w:trHeight w:val="285"/>
            </w:trPr>
            <w:tc>
              <w:tcPr>
                <w:tcW w:w="1289" w:type="pct"/>
                <w:shd w:val="clear" w:color="auto" w:fill="auto"/>
                <w:vAlign w:val="center"/>
              </w:tcPr>
              <w:p w14:paraId="197D098D" w14:textId="77777777" w:rsidR="00E57DAA" w:rsidRDefault="00AC4185">
                <w:pPr>
                  <w:rPr>
                    <w:szCs w:val="21"/>
                  </w:rPr>
                </w:pPr>
                <w:r>
                  <w:rPr>
                    <w:rFonts w:hint="eastAsia"/>
                    <w:szCs w:val="21"/>
                  </w:rPr>
                  <w:t>交易性金融资产估值</w:t>
                </w:r>
              </w:p>
            </w:tc>
            <w:tc>
              <w:tcPr>
                <w:tcW w:w="955" w:type="pct"/>
                <w:shd w:val="clear" w:color="auto" w:fill="auto"/>
              </w:tcPr>
              <w:p w14:paraId="6CE421B7" w14:textId="77777777" w:rsidR="00E57DAA" w:rsidRDefault="00AC4185">
                <w:pPr>
                  <w:jc w:val="right"/>
                  <w:rPr>
                    <w:szCs w:val="21"/>
                  </w:rPr>
                </w:pPr>
                <w:r>
                  <w:rPr>
                    <w:rFonts w:hint="eastAsia"/>
                    <w:szCs w:val="21"/>
                  </w:rPr>
                  <w:t>25,183,465.81</w:t>
                </w:r>
              </w:p>
            </w:tc>
            <w:tc>
              <w:tcPr>
                <w:tcW w:w="897" w:type="pct"/>
                <w:shd w:val="clear" w:color="auto" w:fill="auto"/>
              </w:tcPr>
              <w:p w14:paraId="06EE4BDD" w14:textId="77777777" w:rsidR="00E57DAA" w:rsidRDefault="00AC4185">
                <w:pPr>
                  <w:jc w:val="right"/>
                  <w:rPr>
                    <w:szCs w:val="21"/>
                  </w:rPr>
                </w:pPr>
                <w:r>
                  <w:rPr>
                    <w:rFonts w:hint="eastAsia"/>
                    <w:szCs w:val="21"/>
                  </w:rPr>
                  <w:t>3,777,519.87</w:t>
                </w:r>
              </w:p>
            </w:tc>
            <w:tc>
              <w:tcPr>
                <w:tcW w:w="955" w:type="pct"/>
                <w:shd w:val="clear" w:color="auto" w:fill="auto"/>
              </w:tcPr>
              <w:p w14:paraId="7EE123CA" w14:textId="77777777" w:rsidR="00E57DAA" w:rsidRDefault="00AC4185">
                <w:pPr>
                  <w:jc w:val="right"/>
                  <w:rPr>
                    <w:szCs w:val="21"/>
                  </w:rPr>
                </w:pPr>
                <w:r>
                  <w:rPr>
                    <w:rFonts w:hint="eastAsia"/>
                    <w:szCs w:val="21"/>
                  </w:rPr>
                  <w:t>12,854,041.58</w:t>
                </w:r>
              </w:p>
            </w:tc>
            <w:tc>
              <w:tcPr>
                <w:tcW w:w="903" w:type="pct"/>
                <w:shd w:val="clear" w:color="auto" w:fill="auto"/>
              </w:tcPr>
              <w:p w14:paraId="1E26F9AA" w14:textId="77777777" w:rsidR="00E57DAA" w:rsidRDefault="00AC4185">
                <w:pPr>
                  <w:jc w:val="right"/>
                  <w:rPr>
                    <w:szCs w:val="21"/>
                  </w:rPr>
                </w:pPr>
                <w:r>
                  <w:rPr>
                    <w:rFonts w:hint="eastAsia"/>
                    <w:szCs w:val="21"/>
                  </w:rPr>
                  <w:t>2,081,856.24</w:t>
                </w:r>
              </w:p>
            </w:tc>
          </w:tr>
        </w:sdtContent>
      </w:sdt>
      <w:sdt>
        <w:sdtPr>
          <w:rPr>
            <w:szCs w:val="21"/>
          </w:rPr>
          <w:alias w:val="递延所得税负债明细"/>
          <w:tag w:val="_TUP_8036f0bdcd3a43a38ae605c99228b929"/>
          <w:id w:val="740452791"/>
        </w:sdtPr>
        <w:sdtEndPr/>
        <w:sdtContent>
          <w:tr w:rsidR="00E57DAA" w14:paraId="3CB1D7B6" w14:textId="77777777">
            <w:trPr>
              <w:trHeight w:val="285"/>
            </w:trPr>
            <w:tc>
              <w:tcPr>
                <w:tcW w:w="1289" w:type="pct"/>
                <w:shd w:val="clear" w:color="auto" w:fill="auto"/>
                <w:vAlign w:val="center"/>
              </w:tcPr>
              <w:p w14:paraId="601B7AE9" w14:textId="77777777" w:rsidR="00E57DAA" w:rsidRDefault="00AC4185">
                <w:pPr>
                  <w:rPr>
                    <w:szCs w:val="21"/>
                  </w:rPr>
                </w:pPr>
                <w:r>
                  <w:rPr>
                    <w:rFonts w:hint="eastAsia"/>
                    <w:szCs w:val="21"/>
                  </w:rPr>
                  <w:t>流动资产评估增值</w:t>
                </w:r>
              </w:p>
            </w:tc>
            <w:tc>
              <w:tcPr>
                <w:tcW w:w="955" w:type="pct"/>
                <w:shd w:val="clear" w:color="auto" w:fill="auto"/>
              </w:tcPr>
              <w:p w14:paraId="194722A0" w14:textId="77777777" w:rsidR="00E57DAA" w:rsidRDefault="00AC4185">
                <w:pPr>
                  <w:jc w:val="right"/>
                  <w:rPr>
                    <w:szCs w:val="21"/>
                  </w:rPr>
                </w:pPr>
                <w:r>
                  <w:rPr>
                    <w:rFonts w:hint="eastAsia"/>
                    <w:szCs w:val="21"/>
                  </w:rPr>
                  <w:t>743,801.07</w:t>
                </w:r>
              </w:p>
            </w:tc>
            <w:tc>
              <w:tcPr>
                <w:tcW w:w="897" w:type="pct"/>
                <w:shd w:val="clear" w:color="auto" w:fill="auto"/>
              </w:tcPr>
              <w:p w14:paraId="59080FC4" w14:textId="77777777" w:rsidR="00E57DAA" w:rsidRDefault="00AC4185">
                <w:pPr>
                  <w:jc w:val="right"/>
                  <w:rPr>
                    <w:szCs w:val="21"/>
                  </w:rPr>
                </w:pPr>
                <w:r>
                  <w:rPr>
                    <w:rFonts w:hint="eastAsia"/>
                    <w:szCs w:val="21"/>
                  </w:rPr>
                  <w:t>111,570.16</w:t>
                </w:r>
              </w:p>
            </w:tc>
            <w:tc>
              <w:tcPr>
                <w:tcW w:w="955" w:type="pct"/>
                <w:shd w:val="clear" w:color="auto" w:fill="auto"/>
              </w:tcPr>
              <w:p w14:paraId="2551C286" w14:textId="77777777" w:rsidR="00E57DAA" w:rsidRDefault="00AC4185">
                <w:pPr>
                  <w:jc w:val="right"/>
                  <w:rPr>
                    <w:szCs w:val="21"/>
                  </w:rPr>
                </w:pPr>
                <w:r>
                  <w:rPr>
                    <w:rFonts w:hint="eastAsia"/>
                    <w:szCs w:val="21"/>
                  </w:rPr>
                  <w:t>12,452,813.04</w:t>
                </w:r>
              </w:p>
            </w:tc>
            <w:tc>
              <w:tcPr>
                <w:tcW w:w="903" w:type="pct"/>
                <w:shd w:val="clear" w:color="auto" w:fill="auto"/>
              </w:tcPr>
              <w:p w14:paraId="4CA04CDF" w14:textId="77777777" w:rsidR="00E57DAA" w:rsidRDefault="00AC4185">
                <w:pPr>
                  <w:jc w:val="right"/>
                  <w:rPr>
                    <w:szCs w:val="21"/>
                  </w:rPr>
                </w:pPr>
                <w:r>
                  <w:rPr>
                    <w:rFonts w:hint="eastAsia"/>
                    <w:szCs w:val="21"/>
                  </w:rPr>
                  <w:t>1,867,921.96</w:t>
                </w:r>
              </w:p>
            </w:tc>
          </w:tr>
        </w:sdtContent>
      </w:sdt>
      <w:sdt>
        <w:sdtPr>
          <w:rPr>
            <w:szCs w:val="21"/>
          </w:rPr>
          <w:alias w:val="递延所得税负债明细"/>
          <w:tag w:val="_TUP_8036f0bdcd3a43a38ae605c99228b929"/>
          <w:id w:val="-52009174"/>
        </w:sdtPr>
        <w:sdtEndPr/>
        <w:sdtContent>
          <w:tr w:rsidR="00E57DAA" w14:paraId="01446A91" w14:textId="77777777">
            <w:trPr>
              <w:trHeight w:val="285"/>
            </w:trPr>
            <w:tc>
              <w:tcPr>
                <w:tcW w:w="1289" w:type="pct"/>
                <w:shd w:val="clear" w:color="auto" w:fill="auto"/>
                <w:vAlign w:val="center"/>
              </w:tcPr>
              <w:p w14:paraId="0DAD2CA6" w14:textId="77777777" w:rsidR="00E57DAA" w:rsidRDefault="00AC4185">
                <w:pPr>
                  <w:rPr>
                    <w:szCs w:val="21"/>
                  </w:rPr>
                </w:pPr>
                <w:r>
                  <w:rPr>
                    <w:rFonts w:hint="eastAsia"/>
                    <w:szCs w:val="21"/>
                  </w:rPr>
                  <w:t>固定资产折旧税会差异</w:t>
                </w:r>
              </w:p>
            </w:tc>
            <w:tc>
              <w:tcPr>
                <w:tcW w:w="955" w:type="pct"/>
                <w:shd w:val="clear" w:color="auto" w:fill="auto"/>
              </w:tcPr>
              <w:p w14:paraId="47969360" w14:textId="77777777" w:rsidR="00E57DAA" w:rsidRDefault="00AC4185">
                <w:pPr>
                  <w:jc w:val="right"/>
                  <w:rPr>
                    <w:szCs w:val="21"/>
                  </w:rPr>
                </w:pPr>
                <w:r>
                  <w:rPr>
                    <w:rFonts w:hint="eastAsia"/>
                    <w:szCs w:val="21"/>
                  </w:rPr>
                  <w:t>2,924,748.19</w:t>
                </w:r>
              </w:p>
            </w:tc>
            <w:tc>
              <w:tcPr>
                <w:tcW w:w="897" w:type="pct"/>
                <w:shd w:val="clear" w:color="auto" w:fill="auto"/>
              </w:tcPr>
              <w:p w14:paraId="76A0B71E" w14:textId="77777777" w:rsidR="00E57DAA" w:rsidRDefault="00AC4185">
                <w:pPr>
                  <w:jc w:val="right"/>
                  <w:rPr>
                    <w:szCs w:val="21"/>
                  </w:rPr>
                </w:pPr>
                <w:r>
                  <w:rPr>
                    <w:rFonts w:hint="eastAsia"/>
                    <w:szCs w:val="21"/>
                  </w:rPr>
                  <w:t>438,712.23</w:t>
                </w:r>
              </w:p>
            </w:tc>
            <w:tc>
              <w:tcPr>
                <w:tcW w:w="955" w:type="pct"/>
                <w:shd w:val="clear" w:color="auto" w:fill="auto"/>
              </w:tcPr>
              <w:p w14:paraId="0E9DF3A9" w14:textId="77777777" w:rsidR="00E57DAA" w:rsidRDefault="00AC4185">
                <w:pPr>
                  <w:jc w:val="right"/>
                  <w:rPr>
                    <w:szCs w:val="21"/>
                  </w:rPr>
                </w:pPr>
                <w:r>
                  <w:rPr>
                    <w:rFonts w:hint="eastAsia"/>
                    <w:szCs w:val="21"/>
                  </w:rPr>
                  <w:t>1,404,404.00</w:t>
                </w:r>
              </w:p>
            </w:tc>
            <w:tc>
              <w:tcPr>
                <w:tcW w:w="903" w:type="pct"/>
                <w:shd w:val="clear" w:color="auto" w:fill="auto"/>
              </w:tcPr>
              <w:p w14:paraId="5C995450" w14:textId="77777777" w:rsidR="00E57DAA" w:rsidRDefault="00AC4185">
                <w:pPr>
                  <w:jc w:val="right"/>
                  <w:rPr>
                    <w:szCs w:val="21"/>
                  </w:rPr>
                </w:pPr>
                <w:r>
                  <w:rPr>
                    <w:rFonts w:hint="eastAsia"/>
                    <w:szCs w:val="21"/>
                  </w:rPr>
                  <w:t>210,660.60</w:t>
                </w:r>
              </w:p>
            </w:tc>
          </w:tr>
        </w:sdtContent>
      </w:sdt>
      <w:sdt>
        <w:sdtPr>
          <w:rPr>
            <w:szCs w:val="21"/>
          </w:rPr>
          <w:alias w:val="递延所得税负债明细"/>
          <w:tag w:val="_TUP_8036f0bdcd3a43a38ae605c99228b929"/>
          <w:id w:val="197055306"/>
        </w:sdtPr>
        <w:sdtEndPr/>
        <w:sdtContent>
          <w:tr w:rsidR="00E57DAA" w14:paraId="17EB681D" w14:textId="77777777">
            <w:trPr>
              <w:trHeight w:val="285"/>
            </w:trPr>
            <w:tc>
              <w:tcPr>
                <w:tcW w:w="1289" w:type="pct"/>
                <w:shd w:val="clear" w:color="auto" w:fill="auto"/>
                <w:vAlign w:val="center"/>
              </w:tcPr>
              <w:p w14:paraId="38B8E690" w14:textId="77777777" w:rsidR="00E57DAA" w:rsidRDefault="00AC4185">
                <w:pPr>
                  <w:rPr>
                    <w:szCs w:val="21"/>
                  </w:rPr>
                </w:pPr>
                <w:r>
                  <w:rPr>
                    <w:rFonts w:hint="eastAsia"/>
                    <w:szCs w:val="21"/>
                  </w:rPr>
                  <w:t>使用权资产</w:t>
                </w:r>
              </w:p>
            </w:tc>
            <w:tc>
              <w:tcPr>
                <w:tcW w:w="955" w:type="pct"/>
                <w:shd w:val="clear" w:color="auto" w:fill="auto"/>
              </w:tcPr>
              <w:p w14:paraId="2871EA65" w14:textId="77777777" w:rsidR="00E57DAA" w:rsidRDefault="00AC4185">
                <w:pPr>
                  <w:jc w:val="right"/>
                  <w:rPr>
                    <w:szCs w:val="21"/>
                  </w:rPr>
                </w:pPr>
                <w:r>
                  <w:rPr>
                    <w:rFonts w:hint="eastAsia"/>
                    <w:szCs w:val="21"/>
                  </w:rPr>
                  <w:t>71,500,784.68</w:t>
                </w:r>
              </w:p>
            </w:tc>
            <w:tc>
              <w:tcPr>
                <w:tcW w:w="897" w:type="pct"/>
                <w:shd w:val="clear" w:color="auto" w:fill="auto"/>
              </w:tcPr>
              <w:p w14:paraId="3539FFF4" w14:textId="77777777" w:rsidR="00E57DAA" w:rsidRDefault="00AC4185">
                <w:pPr>
                  <w:jc w:val="right"/>
                  <w:rPr>
                    <w:szCs w:val="21"/>
                  </w:rPr>
                </w:pPr>
                <w:r>
                  <w:rPr>
                    <w:rFonts w:hint="eastAsia"/>
                    <w:szCs w:val="21"/>
                  </w:rPr>
                  <w:t>13,638,514.54</w:t>
                </w:r>
              </w:p>
            </w:tc>
            <w:tc>
              <w:tcPr>
                <w:tcW w:w="955" w:type="pct"/>
                <w:shd w:val="clear" w:color="auto" w:fill="auto"/>
              </w:tcPr>
              <w:p w14:paraId="0D1D16A0" w14:textId="77777777" w:rsidR="00E57DAA" w:rsidRDefault="00AC4185">
                <w:pPr>
                  <w:jc w:val="right"/>
                  <w:rPr>
                    <w:szCs w:val="21"/>
                  </w:rPr>
                </w:pPr>
                <w:r>
                  <w:rPr>
                    <w:rFonts w:hint="eastAsia"/>
                    <w:szCs w:val="21"/>
                  </w:rPr>
                  <w:t>38,232,990.32</w:t>
                </w:r>
              </w:p>
            </w:tc>
            <w:tc>
              <w:tcPr>
                <w:tcW w:w="903" w:type="pct"/>
                <w:shd w:val="clear" w:color="auto" w:fill="auto"/>
              </w:tcPr>
              <w:p w14:paraId="2FF9A994" w14:textId="77777777" w:rsidR="00E57DAA" w:rsidRDefault="00AC4185">
                <w:pPr>
                  <w:jc w:val="right"/>
                  <w:rPr>
                    <w:szCs w:val="21"/>
                  </w:rPr>
                </w:pPr>
                <w:r>
                  <w:rPr>
                    <w:rFonts w:hint="eastAsia"/>
                    <w:szCs w:val="21"/>
                  </w:rPr>
                  <w:t>9,072,779.08</w:t>
                </w:r>
              </w:p>
            </w:tc>
          </w:tr>
        </w:sdtContent>
      </w:sdt>
      <w:sdt>
        <w:sdtPr>
          <w:rPr>
            <w:szCs w:val="21"/>
          </w:rPr>
          <w:alias w:val="递延所得税负债明细"/>
          <w:tag w:val="_TUP_8036f0bdcd3a43a38ae605c99228b929"/>
          <w:id w:val="382300530"/>
        </w:sdtPr>
        <w:sdtEndPr/>
        <w:sdtContent>
          <w:tr w:rsidR="00E57DAA" w14:paraId="61B88A1D" w14:textId="77777777">
            <w:trPr>
              <w:trHeight w:val="285"/>
            </w:trPr>
            <w:tc>
              <w:tcPr>
                <w:tcW w:w="1289" w:type="pct"/>
                <w:shd w:val="clear" w:color="auto" w:fill="auto"/>
                <w:vAlign w:val="center"/>
              </w:tcPr>
              <w:p w14:paraId="3D05CFBE" w14:textId="77777777" w:rsidR="00E57DAA" w:rsidRDefault="00AC4185">
                <w:pPr>
                  <w:rPr>
                    <w:szCs w:val="21"/>
                  </w:rPr>
                </w:pPr>
                <w:r>
                  <w:rPr>
                    <w:rFonts w:hint="eastAsia"/>
                    <w:szCs w:val="21"/>
                  </w:rPr>
                  <w:t>矿山弃置义务确认资产</w:t>
                </w:r>
              </w:p>
            </w:tc>
            <w:tc>
              <w:tcPr>
                <w:tcW w:w="955" w:type="pct"/>
                <w:shd w:val="clear" w:color="auto" w:fill="auto"/>
              </w:tcPr>
              <w:p w14:paraId="22FF7023" w14:textId="77777777" w:rsidR="00E57DAA" w:rsidRDefault="00AC4185">
                <w:pPr>
                  <w:jc w:val="right"/>
                  <w:rPr>
                    <w:szCs w:val="21"/>
                  </w:rPr>
                </w:pPr>
                <w:r>
                  <w:rPr>
                    <w:rFonts w:hint="eastAsia"/>
                    <w:szCs w:val="21"/>
                  </w:rPr>
                  <w:t>14,769,134.18</w:t>
                </w:r>
              </w:p>
            </w:tc>
            <w:tc>
              <w:tcPr>
                <w:tcW w:w="897" w:type="pct"/>
                <w:shd w:val="clear" w:color="auto" w:fill="auto"/>
              </w:tcPr>
              <w:p w14:paraId="3C7DA676" w14:textId="77777777" w:rsidR="00E57DAA" w:rsidRDefault="00AC4185">
                <w:pPr>
                  <w:jc w:val="right"/>
                  <w:rPr>
                    <w:szCs w:val="21"/>
                  </w:rPr>
                </w:pPr>
                <w:r>
                  <w:rPr>
                    <w:rFonts w:hint="eastAsia"/>
                    <w:szCs w:val="21"/>
                  </w:rPr>
                  <w:t>2,215,370.13</w:t>
                </w:r>
              </w:p>
            </w:tc>
            <w:tc>
              <w:tcPr>
                <w:tcW w:w="955" w:type="pct"/>
                <w:shd w:val="clear" w:color="auto" w:fill="auto"/>
              </w:tcPr>
              <w:p w14:paraId="3B67DC1A" w14:textId="77777777" w:rsidR="00E57DAA" w:rsidRDefault="00AC4185">
                <w:pPr>
                  <w:jc w:val="right"/>
                  <w:rPr>
                    <w:szCs w:val="21"/>
                  </w:rPr>
                </w:pPr>
                <w:r>
                  <w:rPr>
                    <w:rFonts w:hint="eastAsia"/>
                    <w:szCs w:val="21"/>
                  </w:rPr>
                  <w:t>17,656,559.57</w:t>
                </w:r>
              </w:p>
            </w:tc>
            <w:tc>
              <w:tcPr>
                <w:tcW w:w="903" w:type="pct"/>
                <w:shd w:val="clear" w:color="auto" w:fill="auto"/>
              </w:tcPr>
              <w:p w14:paraId="1A73A61E" w14:textId="77777777" w:rsidR="00E57DAA" w:rsidRDefault="00AC4185">
                <w:pPr>
                  <w:jc w:val="right"/>
                  <w:rPr>
                    <w:szCs w:val="21"/>
                  </w:rPr>
                </w:pPr>
                <w:r>
                  <w:rPr>
                    <w:rFonts w:hint="eastAsia"/>
                    <w:szCs w:val="21"/>
                  </w:rPr>
                  <w:t>2,648,483.94</w:t>
                </w:r>
              </w:p>
            </w:tc>
          </w:tr>
        </w:sdtContent>
      </w:sdt>
      <w:tr w:rsidR="00E57DAA" w14:paraId="4321DFCB" w14:textId="77777777">
        <w:trPr>
          <w:trHeight w:val="285"/>
        </w:trPr>
        <w:sdt>
          <w:sdtPr>
            <w:tag w:val="_PLD_b75c52751ee84b8da27bd6f8290a4521"/>
            <w:id w:val="1786930133"/>
          </w:sdtPr>
          <w:sdtEndPr/>
          <w:sdtContent>
            <w:tc>
              <w:tcPr>
                <w:tcW w:w="1289" w:type="pct"/>
                <w:shd w:val="clear" w:color="auto" w:fill="auto"/>
                <w:vAlign w:val="center"/>
              </w:tcPr>
              <w:p w14:paraId="7F9763BB" w14:textId="77777777" w:rsidR="00E57DAA" w:rsidRDefault="00AC4185">
                <w:pPr>
                  <w:jc w:val="center"/>
                  <w:rPr>
                    <w:szCs w:val="21"/>
                  </w:rPr>
                </w:pPr>
                <w:r>
                  <w:rPr>
                    <w:rFonts w:hint="eastAsia"/>
                    <w:szCs w:val="21"/>
                  </w:rPr>
                  <w:t>合计</w:t>
                </w:r>
              </w:p>
            </w:tc>
          </w:sdtContent>
        </w:sdt>
        <w:tc>
          <w:tcPr>
            <w:tcW w:w="955" w:type="pct"/>
            <w:shd w:val="clear" w:color="auto" w:fill="auto"/>
            <w:vAlign w:val="center"/>
          </w:tcPr>
          <w:p w14:paraId="6DD9FE08" w14:textId="77777777" w:rsidR="00E57DAA" w:rsidRDefault="00AC4185">
            <w:pPr>
              <w:jc w:val="right"/>
              <w:rPr>
                <w:szCs w:val="21"/>
              </w:rPr>
            </w:pPr>
            <w:r>
              <w:rPr>
                <w:rFonts w:hint="eastAsia"/>
                <w:szCs w:val="21"/>
              </w:rPr>
              <w:t>461,719,746.71</w:t>
            </w:r>
          </w:p>
        </w:tc>
        <w:tc>
          <w:tcPr>
            <w:tcW w:w="897" w:type="pct"/>
            <w:shd w:val="clear" w:color="auto" w:fill="auto"/>
            <w:vAlign w:val="center"/>
          </w:tcPr>
          <w:p w14:paraId="5EF377E8" w14:textId="77777777" w:rsidR="00E57DAA" w:rsidRDefault="00AC4185">
            <w:pPr>
              <w:jc w:val="right"/>
              <w:rPr>
                <w:szCs w:val="21"/>
              </w:rPr>
            </w:pPr>
            <w:r>
              <w:rPr>
                <w:rFonts w:hint="eastAsia"/>
                <w:szCs w:val="21"/>
              </w:rPr>
              <w:t>93,703,448.65</w:t>
            </w:r>
          </w:p>
        </w:tc>
        <w:tc>
          <w:tcPr>
            <w:tcW w:w="955" w:type="pct"/>
            <w:shd w:val="clear" w:color="auto" w:fill="auto"/>
            <w:vAlign w:val="center"/>
          </w:tcPr>
          <w:p w14:paraId="3D4BFAFD" w14:textId="77777777" w:rsidR="00E57DAA" w:rsidRDefault="00AC4185">
            <w:pPr>
              <w:jc w:val="right"/>
              <w:rPr>
                <w:szCs w:val="21"/>
              </w:rPr>
            </w:pPr>
            <w:r>
              <w:rPr>
                <w:rFonts w:hint="eastAsia"/>
                <w:szCs w:val="21"/>
              </w:rPr>
              <w:t>484,816,581.31</w:t>
            </w:r>
          </w:p>
        </w:tc>
        <w:tc>
          <w:tcPr>
            <w:tcW w:w="903" w:type="pct"/>
            <w:shd w:val="clear" w:color="auto" w:fill="auto"/>
            <w:vAlign w:val="center"/>
          </w:tcPr>
          <w:p w14:paraId="26E8917B" w14:textId="77777777" w:rsidR="00E57DAA" w:rsidRDefault="00AC4185">
            <w:pPr>
              <w:jc w:val="right"/>
              <w:rPr>
                <w:szCs w:val="21"/>
              </w:rPr>
            </w:pPr>
            <w:r>
              <w:rPr>
                <w:rFonts w:hint="eastAsia"/>
                <w:szCs w:val="21"/>
              </w:rPr>
              <w:t>99,256,191.55</w:t>
            </w:r>
          </w:p>
        </w:tc>
      </w:tr>
    </w:tbl>
    <w:p w14:paraId="05934CDC" w14:textId="77777777" w:rsidR="00E57DAA" w:rsidRDefault="00E57DAA"/>
    <w:p w14:paraId="7EF84CCA" w14:textId="77777777" w:rsidR="00E57DAA" w:rsidRDefault="00AC4185">
      <w:pPr>
        <w:pStyle w:val="4"/>
        <w:numPr>
          <w:ilvl w:val="0"/>
          <w:numId w:val="90"/>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1124429464"/>
      </w:sdtPr>
      <w:sdtEndPr/>
      <w:sdtContent>
        <w:p w14:paraId="16A6DC6B" w14:textId="77777777" w:rsidR="00E57DAA" w:rsidRDefault="00AC4185">
          <w:r>
            <w:fldChar w:fldCharType="begin"/>
          </w:r>
          <w: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1A62B23D" w14:textId="77777777" w:rsidR="00E57DAA" w:rsidRDefault="00AC4185">
      <w:pPr>
        <w:wordWrap w:val="0"/>
        <w:jc w:val="right"/>
      </w:pPr>
      <w:r>
        <w:rPr>
          <w:rFonts w:hint="eastAsia"/>
        </w:rPr>
        <w:t>单位：</w:t>
      </w:r>
      <w:sdt>
        <w:sdtPr>
          <w:rPr>
            <w:rFonts w:hint="eastAsia"/>
          </w:rPr>
          <w:alias w:val="单位：财务附注：互抵后的递延所得税资产及负债的组成项目"/>
          <w:tag w:val="_GBC_2b339a7e526d4061aa348bb358a09881"/>
          <w:id w:val="509105424"/>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互抵后的递延所得税资产及负债的组成项目"/>
          <w:tag w:val="_GBC_e04e01fedf4a42b48978284d31c493e1"/>
          <w:id w:val="-174317056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1589"/>
        <w:gridCol w:w="1686"/>
        <w:gridCol w:w="1602"/>
        <w:gridCol w:w="1686"/>
      </w:tblGrid>
      <w:tr w:rsidR="00E57DAA" w14:paraId="412DDD53" w14:textId="77777777">
        <w:sdt>
          <w:sdtPr>
            <w:tag w:val="_PLD_376bc62ed08748b387f49005e1f18dee"/>
            <w:id w:val="405279940"/>
          </w:sdtPr>
          <w:sdtEndPr/>
          <w:sdtContent>
            <w:tc>
              <w:tcPr>
                <w:tcW w:w="1306" w:type="pct"/>
                <w:tcBorders>
                  <w:bottom w:val="single" w:sz="4" w:space="0" w:color="auto"/>
                </w:tcBorders>
                <w:shd w:val="clear" w:color="auto" w:fill="auto"/>
                <w:vAlign w:val="center"/>
              </w:tcPr>
              <w:p w14:paraId="575C9EEF" w14:textId="77777777" w:rsidR="00E57DAA" w:rsidRDefault="00AC4185">
                <w:pPr>
                  <w:jc w:val="center"/>
                  <w:rPr>
                    <w:szCs w:val="21"/>
                  </w:rPr>
                </w:pPr>
                <w:r>
                  <w:rPr>
                    <w:rFonts w:hint="eastAsia"/>
                    <w:szCs w:val="21"/>
                  </w:rPr>
                  <w:t>项目</w:t>
                </w:r>
              </w:p>
            </w:tc>
          </w:sdtContent>
        </w:sdt>
        <w:sdt>
          <w:sdtPr>
            <w:tag w:val="_PLD_6cd13a97416d42f89e9ea2c943014688"/>
            <w:id w:val="-176894877"/>
          </w:sdtPr>
          <w:sdtEndPr/>
          <w:sdtContent>
            <w:tc>
              <w:tcPr>
                <w:tcW w:w="926" w:type="pct"/>
                <w:tcBorders>
                  <w:bottom w:val="single" w:sz="4" w:space="0" w:color="auto"/>
                </w:tcBorders>
                <w:shd w:val="clear" w:color="auto" w:fill="auto"/>
                <w:vAlign w:val="center"/>
              </w:tcPr>
              <w:p w14:paraId="174A0953" w14:textId="77777777" w:rsidR="00E57DAA" w:rsidRDefault="00AC4185">
                <w:pPr>
                  <w:jc w:val="center"/>
                  <w:rPr>
                    <w:szCs w:val="21"/>
                  </w:rPr>
                </w:pPr>
                <w:r>
                  <w:rPr>
                    <w:rFonts w:hint="eastAsia"/>
                    <w:szCs w:val="21"/>
                  </w:rPr>
                  <w:t>递延所得税资产和负债期末互抵金额</w:t>
                </w:r>
              </w:p>
            </w:tc>
          </w:sdtContent>
        </w:sdt>
        <w:sdt>
          <w:sdtPr>
            <w:tag w:val="_PLD_09c02830b1824a4c8ce30fe73cda15b9"/>
            <w:id w:val="1252937780"/>
          </w:sdtPr>
          <w:sdtEndPr/>
          <w:sdtContent>
            <w:tc>
              <w:tcPr>
                <w:tcW w:w="918" w:type="pct"/>
                <w:tcBorders>
                  <w:bottom w:val="single" w:sz="4" w:space="0" w:color="auto"/>
                </w:tcBorders>
                <w:shd w:val="clear" w:color="auto" w:fill="auto"/>
                <w:vAlign w:val="center"/>
              </w:tcPr>
              <w:p w14:paraId="0E54681B" w14:textId="77777777" w:rsidR="00E57DAA" w:rsidRDefault="00AC4185">
                <w:pPr>
                  <w:jc w:val="center"/>
                  <w:rPr>
                    <w:szCs w:val="21"/>
                  </w:rPr>
                </w:pPr>
                <w:r>
                  <w:rPr>
                    <w:rFonts w:hint="eastAsia"/>
                    <w:szCs w:val="21"/>
                  </w:rPr>
                  <w:t>抵销后递延所得税资产或负债期末余额</w:t>
                </w:r>
              </w:p>
            </w:tc>
          </w:sdtContent>
        </w:sdt>
        <w:sdt>
          <w:sdtPr>
            <w:tag w:val="_PLD_862180b8f6b94867ac93686a5c934b4c"/>
            <w:id w:val="620727122"/>
          </w:sdtPr>
          <w:sdtEndPr/>
          <w:sdtContent>
            <w:tc>
              <w:tcPr>
                <w:tcW w:w="933" w:type="pct"/>
                <w:tcBorders>
                  <w:bottom w:val="single" w:sz="4" w:space="0" w:color="auto"/>
                </w:tcBorders>
                <w:shd w:val="clear" w:color="auto" w:fill="auto"/>
                <w:vAlign w:val="center"/>
              </w:tcPr>
              <w:p w14:paraId="572A9B10" w14:textId="77777777" w:rsidR="00E57DAA" w:rsidRDefault="00AC4185">
                <w:pPr>
                  <w:jc w:val="center"/>
                  <w:rPr>
                    <w:szCs w:val="21"/>
                  </w:rPr>
                </w:pPr>
                <w:r>
                  <w:rPr>
                    <w:rFonts w:hint="eastAsia"/>
                    <w:szCs w:val="21"/>
                  </w:rPr>
                  <w:t>递延所得税资产和负债期初互抵金额</w:t>
                </w:r>
              </w:p>
            </w:tc>
          </w:sdtContent>
        </w:sdt>
        <w:sdt>
          <w:sdtPr>
            <w:tag w:val="_PLD_3aec77ff824a48e989777a8da4146bf7"/>
            <w:id w:val="900101565"/>
          </w:sdtPr>
          <w:sdtEndPr/>
          <w:sdtContent>
            <w:tc>
              <w:tcPr>
                <w:tcW w:w="917" w:type="pct"/>
                <w:tcBorders>
                  <w:bottom w:val="single" w:sz="4" w:space="0" w:color="auto"/>
                </w:tcBorders>
                <w:shd w:val="clear" w:color="auto" w:fill="auto"/>
                <w:vAlign w:val="center"/>
              </w:tcPr>
              <w:p w14:paraId="188BAB0D" w14:textId="77777777" w:rsidR="00E57DAA" w:rsidRDefault="00AC4185">
                <w:pPr>
                  <w:jc w:val="center"/>
                  <w:rPr>
                    <w:szCs w:val="21"/>
                  </w:rPr>
                </w:pPr>
                <w:r>
                  <w:rPr>
                    <w:rFonts w:hint="eastAsia"/>
                    <w:szCs w:val="21"/>
                  </w:rPr>
                  <w:t>抵销后递延所得税资产或负债期初余额</w:t>
                </w:r>
              </w:p>
            </w:tc>
          </w:sdtContent>
        </w:sdt>
      </w:tr>
      <w:tr w:rsidR="00E57DAA" w14:paraId="21204BD6" w14:textId="77777777">
        <w:tc>
          <w:tcPr>
            <w:tcW w:w="1306" w:type="pct"/>
            <w:shd w:val="clear" w:color="auto" w:fill="auto"/>
          </w:tcPr>
          <w:p w14:paraId="17909D8F" w14:textId="77777777" w:rsidR="00E57DAA" w:rsidRDefault="00AC4185">
            <w:pPr>
              <w:rPr>
                <w:szCs w:val="21"/>
              </w:rPr>
            </w:pPr>
            <w:r>
              <w:rPr>
                <w:rFonts w:hint="eastAsia"/>
                <w:szCs w:val="21"/>
              </w:rPr>
              <w:t>递延所得税资产</w:t>
            </w:r>
          </w:p>
        </w:tc>
        <w:tc>
          <w:tcPr>
            <w:tcW w:w="926" w:type="pct"/>
            <w:shd w:val="clear" w:color="auto" w:fill="auto"/>
            <w:vAlign w:val="center"/>
          </w:tcPr>
          <w:p w14:paraId="21F939B6" w14:textId="77777777" w:rsidR="00E57DAA" w:rsidRDefault="00AC4185">
            <w:pPr>
              <w:jc w:val="right"/>
              <w:rPr>
                <w:szCs w:val="21"/>
              </w:rPr>
            </w:pPr>
            <w:r>
              <w:t>13,242,136.39</w:t>
            </w:r>
          </w:p>
        </w:tc>
        <w:tc>
          <w:tcPr>
            <w:tcW w:w="918" w:type="pct"/>
            <w:shd w:val="clear" w:color="auto" w:fill="auto"/>
            <w:vAlign w:val="center"/>
          </w:tcPr>
          <w:p w14:paraId="7127CEE2" w14:textId="77777777" w:rsidR="00E57DAA" w:rsidRDefault="00AC4185">
            <w:pPr>
              <w:jc w:val="right"/>
              <w:rPr>
                <w:szCs w:val="21"/>
              </w:rPr>
            </w:pPr>
            <w:r>
              <w:t>592,043,970.00</w:t>
            </w:r>
          </w:p>
        </w:tc>
        <w:tc>
          <w:tcPr>
            <w:tcW w:w="933" w:type="pct"/>
            <w:shd w:val="clear" w:color="auto" w:fill="auto"/>
            <w:vAlign w:val="center"/>
          </w:tcPr>
          <w:p w14:paraId="1F38B727" w14:textId="77777777" w:rsidR="00E57DAA" w:rsidRDefault="00E57DAA">
            <w:pPr>
              <w:jc w:val="right"/>
              <w:rPr>
                <w:szCs w:val="21"/>
              </w:rPr>
            </w:pPr>
          </w:p>
        </w:tc>
        <w:tc>
          <w:tcPr>
            <w:tcW w:w="917" w:type="pct"/>
            <w:shd w:val="clear" w:color="auto" w:fill="auto"/>
            <w:vAlign w:val="center"/>
          </w:tcPr>
          <w:p w14:paraId="5DD7212B" w14:textId="77777777" w:rsidR="00E57DAA" w:rsidRDefault="00AC4185">
            <w:pPr>
              <w:jc w:val="right"/>
              <w:rPr>
                <w:szCs w:val="21"/>
              </w:rPr>
            </w:pPr>
            <w:r>
              <w:t>548,224,451.64</w:t>
            </w:r>
          </w:p>
        </w:tc>
      </w:tr>
      <w:tr w:rsidR="00E57DAA" w14:paraId="67ACCD03" w14:textId="77777777">
        <w:tc>
          <w:tcPr>
            <w:tcW w:w="1306" w:type="pct"/>
            <w:tcBorders>
              <w:bottom w:val="single" w:sz="4" w:space="0" w:color="auto"/>
            </w:tcBorders>
            <w:shd w:val="clear" w:color="auto" w:fill="auto"/>
          </w:tcPr>
          <w:p w14:paraId="6F0A02B8" w14:textId="77777777" w:rsidR="00E57DAA" w:rsidRDefault="00AC4185">
            <w:pPr>
              <w:rPr>
                <w:szCs w:val="21"/>
              </w:rPr>
            </w:pPr>
            <w:r>
              <w:rPr>
                <w:rFonts w:hint="eastAsia"/>
                <w:szCs w:val="21"/>
              </w:rPr>
              <w:t>递延所得税负债</w:t>
            </w:r>
          </w:p>
        </w:tc>
        <w:tc>
          <w:tcPr>
            <w:tcW w:w="926" w:type="pct"/>
            <w:shd w:val="clear" w:color="auto" w:fill="auto"/>
            <w:vAlign w:val="center"/>
          </w:tcPr>
          <w:p w14:paraId="6E172C9A" w14:textId="77777777" w:rsidR="00E57DAA" w:rsidRDefault="00AC4185">
            <w:pPr>
              <w:jc w:val="right"/>
              <w:rPr>
                <w:szCs w:val="21"/>
              </w:rPr>
            </w:pPr>
            <w:r>
              <w:t>13,242,136.39</w:t>
            </w:r>
          </w:p>
        </w:tc>
        <w:tc>
          <w:tcPr>
            <w:tcW w:w="918" w:type="pct"/>
            <w:shd w:val="clear" w:color="auto" w:fill="auto"/>
            <w:vAlign w:val="center"/>
          </w:tcPr>
          <w:p w14:paraId="0A16EF2F" w14:textId="77777777" w:rsidR="00E57DAA" w:rsidRDefault="00AC4185">
            <w:pPr>
              <w:jc w:val="right"/>
              <w:rPr>
                <w:szCs w:val="21"/>
              </w:rPr>
            </w:pPr>
            <w:r>
              <w:t>80,461,312.26</w:t>
            </w:r>
          </w:p>
        </w:tc>
        <w:tc>
          <w:tcPr>
            <w:tcW w:w="933" w:type="pct"/>
            <w:shd w:val="clear" w:color="auto" w:fill="auto"/>
            <w:vAlign w:val="center"/>
          </w:tcPr>
          <w:p w14:paraId="2CE28C75" w14:textId="77777777" w:rsidR="00E57DAA" w:rsidRDefault="00E57DAA">
            <w:pPr>
              <w:jc w:val="right"/>
              <w:rPr>
                <w:szCs w:val="21"/>
              </w:rPr>
            </w:pPr>
          </w:p>
        </w:tc>
        <w:tc>
          <w:tcPr>
            <w:tcW w:w="917" w:type="pct"/>
            <w:shd w:val="clear" w:color="auto" w:fill="auto"/>
            <w:vAlign w:val="center"/>
          </w:tcPr>
          <w:p w14:paraId="0A3328B1" w14:textId="77777777" w:rsidR="00E57DAA" w:rsidRDefault="00AC4185">
            <w:pPr>
              <w:jc w:val="right"/>
              <w:rPr>
                <w:szCs w:val="21"/>
              </w:rPr>
            </w:pPr>
            <w:r>
              <w:t>99,256,191.55</w:t>
            </w:r>
          </w:p>
        </w:tc>
      </w:tr>
    </w:tbl>
    <w:p w14:paraId="6B41ED90" w14:textId="77777777" w:rsidR="00E57DAA" w:rsidRDefault="00E57DAA">
      <w:pPr>
        <w:rPr>
          <w:szCs w:val="21"/>
        </w:rPr>
      </w:pPr>
    </w:p>
    <w:p w14:paraId="5B43A8B8" w14:textId="77777777" w:rsidR="00E57DAA" w:rsidRDefault="00AC4185">
      <w:pPr>
        <w:pStyle w:val="4"/>
        <w:numPr>
          <w:ilvl w:val="0"/>
          <w:numId w:val="90"/>
        </w:numPr>
        <w:ind w:left="426" w:hanging="426"/>
      </w:pPr>
      <w:r>
        <w:rPr>
          <w:rFonts w:hint="eastAsia"/>
        </w:rPr>
        <w:t>未确认递延所得税资产明细</w:t>
      </w:r>
    </w:p>
    <w:sdt>
      <w:sdtPr>
        <w:alias w:val="是否适用：未确认递延所得税资产明细[双击切换]"/>
        <w:tag w:val="_GBC_713996bf5e4d4c6988835fbf892c5ef2"/>
        <w:id w:val="716399535"/>
      </w:sdtPr>
      <w:sdtEndPr/>
      <w:sdtContent>
        <w:p w14:paraId="4DAC7AFA" w14:textId="77777777" w:rsidR="00E57DAA" w:rsidRDefault="00AC4185">
          <w:r>
            <w:fldChar w:fldCharType="begin"/>
          </w:r>
          <w: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6CF6A461" w14:textId="77777777" w:rsidR="00E57DAA" w:rsidRDefault="00E57DAA">
      <w:pPr>
        <w:rPr>
          <w:szCs w:val="21"/>
        </w:rPr>
      </w:pPr>
    </w:p>
    <w:p w14:paraId="4D0D1C17" w14:textId="77777777" w:rsidR="00E57DAA" w:rsidRDefault="00AC4185">
      <w:pPr>
        <w:pStyle w:val="4"/>
        <w:numPr>
          <w:ilvl w:val="0"/>
          <w:numId w:val="90"/>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910460795"/>
      </w:sdtPr>
      <w:sdtEndPr/>
      <w:sdtContent>
        <w:p w14:paraId="0AFB8C21" w14:textId="77777777" w:rsidR="00E57DAA" w:rsidRDefault="00AC4185">
          <w:pPr>
            <w:rPr>
              <w:color w:val="FF00FF"/>
              <w:szCs w:val="21"/>
            </w:rPr>
          </w:pPr>
          <w:r>
            <w:fldChar w:fldCharType="begin"/>
          </w:r>
          <w: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6F3B856F" w14:textId="77777777" w:rsidR="00E57DAA" w:rsidRDefault="00E57DAA">
      <w:pPr>
        <w:rPr>
          <w:color w:val="FF00FF"/>
          <w:szCs w:val="21"/>
        </w:rPr>
      </w:pPr>
    </w:p>
    <w:p w14:paraId="597ADD0C" w14:textId="77777777" w:rsidR="00E57DAA" w:rsidRDefault="00AC4185">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894108687"/>
        <w:placeholder>
          <w:docPart w:val="GBC22222222222222222222222222222"/>
        </w:placeholder>
      </w:sdtPr>
      <w:sdtEndPr/>
      <w:sdtContent>
        <w:p w14:paraId="597EFA96"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60358A"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40F2E24C" w14:textId="77777777" w:rsidR="00E57DAA" w:rsidRDefault="00E57DAA">
      <w:pPr>
        <w:rPr>
          <w:szCs w:val="21"/>
        </w:rPr>
      </w:pPr>
    </w:p>
    <w:p w14:paraId="40E05E7E" w14:textId="77777777" w:rsidR="00E57DAA" w:rsidRDefault="00AC4185" w:rsidP="00C25422">
      <w:pPr>
        <w:pStyle w:val="91"/>
        <w:numPr>
          <w:ilvl w:val="0"/>
          <w:numId w:val="69"/>
        </w:numPr>
      </w:pPr>
      <w:r>
        <w:rPr>
          <w:rFonts w:hint="eastAsia"/>
        </w:rPr>
        <w:t>其他非流动资产</w:t>
      </w:r>
    </w:p>
    <w:bookmarkStart w:id="274" w:name="_Hlk533670093" w:displacedByCustomXml="next"/>
    <w:sdt>
      <w:sdtPr>
        <w:alias w:val="是否适用：其他非流动资产[双击切换]"/>
        <w:tag w:val="_GBC_a847828a70d64218a7f8a07dc593d18b"/>
        <w:id w:val="956141684"/>
        <w:placeholder>
          <w:docPart w:val="GBC22222222222222222222222222222"/>
        </w:placeholder>
      </w:sdtPr>
      <w:sdtEndPr/>
      <w:sdtContent>
        <w:p w14:paraId="7A95DC4A"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230FEE3" w14:textId="77777777" w:rsidR="00E57DAA" w:rsidRDefault="00AC4185">
      <w:pPr>
        <w:jc w:val="right"/>
      </w:pPr>
      <w:r>
        <w:rPr>
          <w:rFonts w:hint="eastAsia"/>
        </w:rPr>
        <w:t>单位：</w:t>
      </w:r>
      <w:sdt>
        <w:sdtPr>
          <w:alias w:val="单位：财务附注：其他非流动资产"/>
          <w:tag w:val="_GBC_7c7ae7cee25948deb399f93e000e5ba2"/>
          <w:id w:val="3577126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b449fdd4941b4ff8a1bda3449b257e1d"/>
          <w:id w:val="-1185310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500"/>
        <w:gridCol w:w="2346"/>
        <w:gridCol w:w="1486"/>
        <w:gridCol w:w="2348"/>
        <w:gridCol w:w="2346"/>
        <w:gridCol w:w="1486"/>
        <w:gridCol w:w="2351"/>
      </w:tblGrid>
      <w:tr w:rsidR="00E57DAA" w14:paraId="1072E133" w14:textId="77777777">
        <w:sdt>
          <w:sdtPr>
            <w:tag w:val="_PLD_2b90e6e62acc45b288941c3eec3d8d88"/>
            <w:id w:val="1268498423"/>
          </w:sdtPr>
          <w:sdtEndPr/>
          <w:sdtContent>
            <w:tc>
              <w:tcPr>
                <w:tcW w:w="541" w:type="pct"/>
                <w:vMerge w:val="restart"/>
                <w:shd w:val="clear" w:color="auto" w:fill="auto"/>
                <w:vAlign w:val="center"/>
              </w:tcPr>
              <w:p w14:paraId="0CAF3BFC" w14:textId="77777777" w:rsidR="00E57DAA" w:rsidRDefault="00AC4185">
                <w:pPr>
                  <w:jc w:val="center"/>
                </w:pPr>
                <w:r>
                  <w:rPr>
                    <w:rFonts w:hint="eastAsia"/>
                  </w:rPr>
                  <w:t>项目</w:t>
                </w:r>
              </w:p>
            </w:tc>
          </w:sdtContent>
        </w:sdt>
        <w:sdt>
          <w:sdtPr>
            <w:tag w:val="_PLD_bb07270ad4df4c0f94d4e0af019ab46c"/>
            <w:id w:val="-894657104"/>
          </w:sdtPr>
          <w:sdtEndPr/>
          <w:sdtContent>
            <w:tc>
              <w:tcPr>
                <w:tcW w:w="2229" w:type="pct"/>
                <w:gridSpan w:val="3"/>
              </w:tcPr>
              <w:p w14:paraId="399CED24" w14:textId="77777777" w:rsidR="00E57DAA" w:rsidRDefault="00AC4185">
                <w:pPr>
                  <w:jc w:val="center"/>
                </w:pPr>
                <w:r>
                  <w:rPr>
                    <w:rFonts w:hint="eastAsia"/>
                  </w:rPr>
                  <w:t>期末余额</w:t>
                </w:r>
              </w:p>
            </w:tc>
          </w:sdtContent>
        </w:sdt>
        <w:sdt>
          <w:sdtPr>
            <w:tag w:val="_PLD_7a3b43a9fc7d404ca5a79aa8f44f7452"/>
            <w:id w:val="-769776790"/>
          </w:sdtPr>
          <w:sdtEndPr/>
          <w:sdtContent>
            <w:tc>
              <w:tcPr>
                <w:tcW w:w="2230" w:type="pct"/>
                <w:gridSpan w:val="3"/>
              </w:tcPr>
              <w:p w14:paraId="54425991" w14:textId="77777777" w:rsidR="00E57DAA" w:rsidRDefault="00AC4185">
                <w:pPr>
                  <w:jc w:val="center"/>
                </w:pPr>
                <w:r>
                  <w:rPr>
                    <w:rFonts w:hint="eastAsia"/>
                  </w:rPr>
                  <w:t>期初余额</w:t>
                </w:r>
              </w:p>
            </w:tc>
          </w:sdtContent>
        </w:sdt>
      </w:tr>
      <w:tr w:rsidR="00E57DAA" w14:paraId="55F35CE1" w14:textId="77777777">
        <w:tc>
          <w:tcPr>
            <w:tcW w:w="541" w:type="pct"/>
            <w:vMerge/>
            <w:shd w:val="clear" w:color="auto" w:fill="auto"/>
            <w:vAlign w:val="center"/>
          </w:tcPr>
          <w:p w14:paraId="22362CFB" w14:textId="77777777" w:rsidR="00E57DAA" w:rsidRDefault="00E57DAA">
            <w:pPr>
              <w:jc w:val="center"/>
            </w:pPr>
          </w:p>
        </w:tc>
        <w:tc>
          <w:tcPr>
            <w:tcW w:w="846" w:type="pct"/>
          </w:tcPr>
          <w:sdt>
            <w:sdtPr>
              <w:rPr>
                <w:rFonts w:hint="eastAsia"/>
                <w:szCs w:val="21"/>
              </w:rPr>
              <w:tag w:val="_PLD_eaca5bccdac9417999d4d9af7ad1eefe"/>
              <w:id w:val="-507680384"/>
            </w:sdtPr>
            <w:sdtEndPr/>
            <w:sdtContent>
              <w:p w14:paraId="13686FA7" w14:textId="77777777" w:rsidR="00E57DAA" w:rsidRDefault="00AC4185">
                <w:pPr>
                  <w:jc w:val="center"/>
                </w:pPr>
                <w:r>
                  <w:rPr>
                    <w:rFonts w:hint="eastAsia"/>
                    <w:szCs w:val="21"/>
                  </w:rPr>
                  <w:t>账面余额</w:t>
                </w:r>
              </w:p>
            </w:sdtContent>
          </w:sdt>
        </w:tc>
        <w:tc>
          <w:tcPr>
            <w:tcW w:w="536" w:type="pct"/>
          </w:tcPr>
          <w:sdt>
            <w:sdtPr>
              <w:tag w:val="_PLD_b913601a6f0c496ba876b57f7e93b40e"/>
              <w:id w:val="-1488621036"/>
            </w:sdtPr>
            <w:sdtEndPr/>
            <w:sdtContent>
              <w:p w14:paraId="289024AC" w14:textId="77777777" w:rsidR="00E57DAA" w:rsidRDefault="00AC4185">
                <w:pPr>
                  <w:jc w:val="center"/>
                </w:pPr>
                <w:r>
                  <w:t>减值准备</w:t>
                </w:r>
              </w:p>
            </w:sdtContent>
          </w:sdt>
        </w:tc>
        <w:tc>
          <w:tcPr>
            <w:tcW w:w="846" w:type="pct"/>
            <w:shd w:val="clear" w:color="auto" w:fill="auto"/>
            <w:vAlign w:val="center"/>
          </w:tcPr>
          <w:sdt>
            <w:sdtPr>
              <w:tag w:val="_PLD_22318356783c413ba8286ddb8d1cda63"/>
              <w:id w:val="-1179883588"/>
            </w:sdtPr>
            <w:sdtEndPr/>
            <w:sdtContent>
              <w:p w14:paraId="3CDBAD81" w14:textId="77777777" w:rsidR="00E57DAA" w:rsidRDefault="00AC4185">
                <w:pPr>
                  <w:jc w:val="center"/>
                </w:pPr>
                <w:r>
                  <w:t>账面价值</w:t>
                </w:r>
              </w:p>
            </w:sdtContent>
          </w:sdt>
        </w:tc>
        <w:tc>
          <w:tcPr>
            <w:tcW w:w="846" w:type="pct"/>
          </w:tcPr>
          <w:sdt>
            <w:sdtPr>
              <w:tag w:val="_PLD_0c6f94cdfaf1457fa98b2252d3b39131"/>
              <w:id w:val="-567723634"/>
            </w:sdtPr>
            <w:sdtEndPr/>
            <w:sdtContent>
              <w:p w14:paraId="529C1198" w14:textId="77777777" w:rsidR="00E57DAA" w:rsidRDefault="00AC4185">
                <w:pPr>
                  <w:jc w:val="center"/>
                </w:pPr>
                <w:r>
                  <w:t>账面余额</w:t>
                </w:r>
              </w:p>
            </w:sdtContent>
          </w:sdt>
        </w:tc>
        <w:tc>
          <w:tcPr>
            <w:tcW w:w="536" w:type="pct"/>
          </w:tcPr>
          <w:sdt>
            <w:sdtPr>
              <w:tag w:val="_PLD_9d7969af67514b9e93b62156119189b9"/>
              <w:id w:val="1130446393"/>
            </w:sdtPr>
            <w:sdtEndPr/>
            <w:sdtContent>
              <w:p w14:paraId="485BC4FE" w14:textId="77777777" w:rsidR="00E57DAA" w:rsidRDefault="00AC4185">
                <w:pPr>
                  <w:jc w:val="center"/>
                </w:pPr>
                <w:r>
                  <w:t>减值准备</w:t>
                </w:r>
              </w:p>
            </w:sdtContent>
          </w:sdt>
        </w:tc>
        <w:tc>
          <w:tcPr>
            <w:tcW w:w="848" w:type="pct"/>
            <w:shd w:val="clear" w:color="auto" w:fill="auto"/>
            <w:vAlign w:val="center"/>
          </w:tcPr>
          <w:sdt>
            <w:sdtPr>
              <w:tag w:val="_PLD_9c8736640ddf4dc897f3c30fb690ab09"/>
              <w:id w:val="1351063850"/>
            </w:sdtPr>
            <w:sdtEndPr/>
            <w:sdtContent>
              <w:p w14:paraId="03A116C6" w14:textId="77777777" w:rsidR="00E57DAA" w:rsidRDefault="00AC4185">
                <w:pPr>
                  <w:jc w:val="center"/>
                </w:pPr>
                <w:r>
                  <w:t>账面价值</w:t>
                </w:r>
              </w:p>
            </w:sdtContent>
          </w:sdt>
        </w:tc>
      </w:tr>
      <w:tr w:rsidR="00E57DAA" w14:paraId="4A52800F" w14:textId="77777777">
        <w:tc>
          <w:tcPr>
            <w:tcW w:w="541" w:type="pct"/>
            <w:shd w:val="clear" w:color="auto" w:fill="auto"/>
            <w:vAlign w:val="center"/>
          </w:tcPr>
          <w:p w14:paraId="743F115B" w14:textId="77777777" w:rsidR="00E57DAA" w:rsidRDefault="00AC4185" w:rsidP="00C25422">
            <w:pPr>
              <w:pStyle w:val="92"/>
            </w:pPr>
            <w:r>
              <w:rPr>
                <w:rFonts w:hint="eastAsia"/>
              </w:rPr>
              <w:t>合同资产</w:t>
            </w:r>
          </w:p>
        </w:tc>
        <w:tc>
          <w:tcPr>
            <w:tcW w:w="846" w:type="pct"/>
            <w:vAlign w:val="center"/>
          </w:tcPr>
          <w:p w14:paraId="3289C64C" w14:textId="77777777" w:rsidR="00E57DAA" w:rsidRDefault="00AC4185">
            <w:pPr>
              <w:jc w:val="right"/>
            </w:pPr>
            <w:r>
              <w:t>5,177,003.59</w:t>
            </w:r>
          </w:p>
        </w:tc>
        <w:tc>
          <w:tcPr>
            <w:tcW w:w="536" w:type="pct"/>
            <w:vAlign w:val="center"/>
          </w:tcPr>
          <w:p w14:paraId="6A891D5C" w14:textId="77777777" w:rsidR="00E57DAA" w:rsidRDefault="00AC4185">
            <w:pPr>
              <w:jc w:val="right"/>
            </w:pPr>
            <w:r>
              <w:t>4,945,090.55</w:t>
            </w:r>
          </w:p>
        </w:tc>
        <w:tc>
          <w:tcPr>
            <w:tcW w:w="846" w:type="pct"/>
            <w:shd w:val="clear" w:color="auto" w:fill="auto"/>
            <w:vAlign w:val="center"/>
          </w:tcPr>
          <w:p w14:paraId="293844C4" w14:textId="77777777" w:rsidR="00E57DAA" w:rsidRDefault="00AC4185">
            <w:pPr>
              <w:jc w:val="right"/>
            </w:pPr>
            <w:r>
              <w:t>231,913.04</w:t>
            </w:r>
          </w:p>
        </w:tc>
        <w:tc>
          <w:tcPr>
            <w:tcW w:w="846" w:type="pct"/>
            <w:vAlign w:val="center"/>
          </w:tcPr>
          <w:p w14:paraId="6EB2CDB8" w14:textId="77777777" w:rsidR="00E57DAA" w:rsidRDefault="00AC4185">
            <w:pPr>
              <w:jc w:val="right"/>
            </w:pPr>
            <w:r>
              <w:t>12,396,050.41</w:t>
            </w:r>
          </w:p>
        </w:tc>
        <w:tc>
          <w:tcPr>
            <w:tcW w:w="536" w:type="pct"/>
            <w:vAlign w:val="center"/>
          </w:tcPr>
          <w:p w14:paraId="5C8B06BA" w14:textId="77777777" w:rsidR="00E57DAA" w:rsidRDefault="00AC4185">
            <w:pPr>
              <w:jc w:val="right"/>
            </w:pPr>
            <w:r>
              <w:t>8,616,786.48</w:t>
            </w:r>
          </w:p>
        </w:tc>
        <w:tc>
          <w:tcPr>
            <w:tcW w:w="848" w:type="pct"/>
            <w:shd w:val="clear" w:color="auto" w:fill="auto"/>
            <w:vAlign w:val="center"/>
          </w:tcPr>
          <w:p w14:paraId="5C8DE336" w14:textId="77777777" w:rsidR="00E57DAA" w:rsidRDefault="00AC4185">
            <w:pPr>
              <w:jc w:val="right"/>
            </w:pPr>
            <w:r>
              <w:t>3,779,263.93</w:t>
            </w:r>
          </w:p>
        </w:tc>
      </w:tr>
      <w:tr w:rsidR="00E57DAA" w14:paraId="30A0A790" w14:textId="77777777">
        <w:tc>
          <w:tcPr>
            <w:tcW w:w="541" w:type="pct"/>
            <w:shd w:val="clear" w:color="auto" w:fill="auto"/>
          </w:tcPr>
          <w:p w14:paraId="5A079970" w14:textId="77777777" w:rsidR="00E57DAA" w:rsidRDefault="00AC4185" w:rsidP="00C25422">
            <w:pPr>
              <w:pStyle w:val="92"/>
            </w:pPr>
            <w:r>
              <w:t>矿山开采服务用临时设施</w:t>
            </w:r>
          </w:p>
        </w:tc>
        <w:tc>
          <w:tcPr>
            <w:tcW w:w="846" w:type="pct"/>
            <w:vAlign w:val="center"/>
          </w:tcPr>
          <w:p w14:paraId="70963D4B" w14:textId="77777777" w:rsidR="00E57DAA" w:rsidRDefault="00AC4185">
            <w:pPr>
              <w:jc w:val="right"/>
            </w:pPr>
            <w:r>
              <w:t>119,708,935.90</w:t>
            </w:r>
          </w:p>
        </w:tc>
        <w:tc>
          <w:tcPr>
            <w:tcW w:w="536" w:type="pct"/>
            <w:vAlign w:val="center"/>
          </w:tcPr>
          <w:p w14:paraId="4EBA5DC2" w14:textId="77777777" w:rsidR="00E57DAA" w:rsidRDefault="00E57DAA">
            <w:pPr>
              <w:jc w:val="right"/>
            </w:pPr>
          </w:p>
        </w:tc>
        <w:tc>
          <w:tcPr>
            <w:tcW w:w="846" w:type="pct"/>
            <w:shd w:val="clear" w:color="auto" w:fill="auto"/>
            <w:vAlign w:val="center"/>
          </w:tcPr>
          <w:p w14:paraId="5EABAA86" w14:textId="77777777" w:rsidR="00E57DAA" w:rsidRDefault="00AC4185">
            <w:pPr>
              <w:jc w:val="right"/>
            </w:pPr>
            <w:r>
              <w:t>119,708,935.90</w:t>
            </w:r>
          </w:p>
        </w:tc>
        <w:tc>
          <w:tcPr>
            <w:tcW w:w="846" w:type="pct"/>
            <w:vAlign w:val="center"/>
          </w:tcPr>
          <w:p w14:paraId="7AB9C8B8" w14:textId="77777777" w:rsidR="00E57DAA" w:rsidRDefault="00AC4185">
            <w:pPr>
              <w:jc w:val="right"/>
            </w:pPr>
            <w:r>
              <w:t>104,821,566.23</w:t>
            </w:r>
          </w:p>
        </w:tc>
        <w:tc>
          <w:tcPr>
            <w:tcW w:w="536" w:type="pct"/>
            <w:vAlign w:val="center"/>
          </w:tcPr>
          <w:p w14:paraId="44562637" w14:textId="77777777" w:rsidR="00E57DAA" w:rsidRDefault="00E57DAA">
            <w:pPr>
              <w:jc w:val="right"/>
            </w:pPr>
          </w:p>
        </w:tc>
        <w:tc>
          <w:tcPr>
            <w:tcW w:w="848" w:type="pct"/>
            <w:shd w:val="clear" w:color="auto" w:fill="auto"/>
            <w:vAlign w:val="center"/>
          </w:tcPr>
          <w:p w14:paraId="3804F10F" w14:textId="77777777" w:rsidR="00E57DAA" w:rsidRDefault="00AC4185">
            <w:pPr>
              <w:jc w:val="right"/>
            </w:pPr>
            <w:r>
              <w:t>104,821,566.23</w:t>
            </w:r>
          </w:p>
        </w:tc>
      </w:tr>
      <w:tr w:rsidR="00E57DAA" w14:paraId="79EAC2C3" w14:textId="77777777">
        <w:tc>
          <w:tcPr>
            <w:tcW w:w="541" w:type="pct"/>
            <w:shd w:val="clear" w:color="auto" w:fill="auto"/>
          </w:tcPr>
          <w:p w14:paraId="1E49145C" w14:textId="77777777" w:rsidR="00E57DAA" w:rsidRDefault="00AC4185" w:rsidP="00C25422">
            <w:pPr>
              <w:pStyle w:val="92"/>
            </w:pPr>
            <w:r>
              <w:t>预付工程款</w:t>
            </w:r>
          </w:p>
        </w:tc>
        <w:tc>
          <w:tcPr>
            <w:tcW w:w="846" w:type="pct"/>
            <w:vAlign w:val="center"/>
          </w:tcPr>
          <w:p w14:paraId="749EC71D" w14:textId="77777777" w:rsidR="00E57DAA" w:rsidRDefault="00AC4185">
            <w:pPr>
              <w:jc w:val="right"/>
            </w:pPr>
            <w:r>
              <w:t>417,260.12</w:t>
            </w:r>
          </w:p>
        </w:tc>
        <w:tc>
          <w:tcPr>
            <w:tcW w:w="536" w:type="pct"/>
            <w:vAlign w:val="center"/>
          </w:tcPr>
          <w:p w14:paraId="0A499E7F" w14:textId="77777777" w:rsidR="00E57DAA" w:rsidRDefault="00E57DAA">
            <w:pPr>
              <w:jc w:val="right"/>
            </w:pPr>
          </w:p>
        </w:tc>
        <w:tc>
          <w:tcPr>
            <w:tcW w:w="846" w:type="pct"/>
            <w:shd w:val="clear" w:color="auto" w:fill="auto"/>
            <w:vAlign w:val="center"/>
          </w:tcPr>
          <w:p w14:paraId="45522476" w14:textId="77777777" w:rsidR="00E57DAA" w:rsidRDefault="00AC4185">
            <w:pPr>
              <w:jc w:val="right"/>
            </w:pPr>
            <w:r>
              <w:t>417,260.12</w:t>
            </w:r>
          </w:p>
        </w:tc>
        <w:tc>
          <w:tcPr>
            <w:tcW w:w="846" w:type="pct"/>
            <w:vAlign w:val="center"/>
          </w:tcPr>
          <w:p w14:paraId="7B4D90CA" w14:textId="77777777" w:rsidR="00E57DAA" w:rsidRDefault="00AC4185">
            <w:pPr>
              <w:jc w:val="right"/>
            </w:pPr>
            <w:r>
              <w:t>684,083.22</w:t>
            </w:r>
          </w:p>
        </w:tc>
        <w:tc>
          <w:tcPr>
            <w:tcW w:w="536" w:type="pct"/>
            <w:vAlign w:val="center"/>
          </w:tcPr>
          <w:p w14:paraId="69B891FD" w14:textId="77777777" w:rsidR="00E57DAA" w:rsidRDefault="00E57DAA">
            <w:pPr>
              <w:jc w:val="right"/>
            </w:pPr>
          </w:p>
        </w:tc>
        <w:tc>
          <w:tcPr>
            <w:tcW w:w="848" w:type="pct"/>
            <w:shd w:val="clear" w:color="auto" w:fill="auto"/>
            <w:vAlign w:val="center"/>
          </w:tcPr>
          <w:p w14:paraId="68C57372" w14:textId="77777777" w:rsidR="00E57DAA" w:rsidRDefault="00AC4185">
            <w:pPr>
              <w:jc w:val="right"/>
            </w:pPr>
            <w:r>
              <w:t>684,083.22</w:t>
            </w:r>
          </w:p>
        </w:tc>
      </w:tr>
      <w:tr w:rsidR="00E57DAA" w14:paraId="27CB2CF8" w14:textId="77777777">
        <w:tc>
          <w:tcPr>
            <w:tcW w:w="541" w:type="pct"/>
            <w:shd w:val="clear" w:color="auto" w:fill="auto"/>
          </w:tcPr>
          <w:p w14:paraId="3E3EB7B0" w14:textId="77777777" w:rsidR="00E57DAA" w:rsidRDefault="00AC4185" w:rsidP="00C25422">
            <w:pPr>
              <w:pStyle w:val="92"/>
            </w:pPr>
            <w:r>
              <w:t>1年以上定期存款及计提未到期利息</w:t>
            </w:r>
          </w:p>
        </w:tc>
        <w:tc>
          <w:tcPr>
            <w:tcW w:w="846" w:type="pct"/>
            <w:vAlign w:val="center"/>
          </w:tcPr>
          <w:p w14:paraId="0719B6BA" w14:textId="77777777" w:rsidR="00E57DAA" w:rsidRDefault="00AC4185">
            <w:pPr>
              <w:jc w:val="right"/>
            </w:pPr>
            <w:r>
              <w:t>431,263,985.84</w:t>
            </w:r>
          </w:p>
        </w:tc>
        <w:tc>
          <w:tcPr>
            <w:tcW w:w="536" w:type="pct"/>
            <w:vAlign w:val="center"/>
          </w:tcPr>
          <w:p w14:paraId="0083C49B" w14:textId="77777777" w:rsidR="00E57DAA" w:rsidRDefault="00E57DAA">
            <w:pPr>
              <w:jc w:val="right"/>
            </w:pPr>
          </w:p>
        </w:tc>
        <w:tc>
          <w:tcPr>
            <w:tcW w:w="846" w:type="pct"/>
            <w:shd w:val="clear" w:color="auto" w:fill="auto"/>
            <w:vAlign w:val="center"/>
          </w:tcPr>
          <w:p w14:paraId="5A1A2947" w14:textId="77777777" w:rsidR="00E57DAA" w:rsidRDefault="00AC4185">
            <w:pPr>
              <w:jc w:val="right"/>
            </w:pPr>
            <w:r>
              <w:t>431,263,985.84</w:t>
            </w:r>
          </w:p>
        </w:tc>
        <w:tc>
          <w:tcPr>
            <w:tcW w:w="846" w:type="pct"/>
            <w:vAlign w:val="center"/>
          </w:tcPr>
          <w:p w14:paraId="38AE60C3" w14:textId="77777777" w:rsidR="00E57DAA" w:rsidRDefault="00AC4185">
            <w:pPr>
              <w:jc w:val="right"/>
            </w:pPr>
            <w:r>
              <w:t>788,334,194.22</w:t>
            </w:r>
          </w:p>
        </w:tc>
        <w:tc>
          <w:tcPr>
            <w:tcW w:w="536" w:type="pct"/>
            <w:vAlign w:val="center"/>
          </w:tcPr>
          <w:p w14:paraId="14C2E139" w14:textId="77777777" w:rsidR="00E57DAA" w:rsidRDefault="00E57DAA">
            <w:pPr>
              <w:jc w:val="right"/>
            </w:pPr>
          </w:p>
        </w:tc>
        <w:tc>
          <w:tcPr>
            <w:tcW w:w="848" w:type="pct"/>
            <w:shd w:val="clear" w:color="auto" w:fill="auto"/>
            <w:vAlign w:val="center"/>
          </w:tcPr>
          <w:p w14:paraId="13470D05" w14:textId="77777777" w:rsidR="00E57DAA" w:rsidRDefault="00AC4185">
            <w:pPr>
              <w:jc w:val="right"/>
            </w:pPr>
            <w:r>
              <w:t>788,334,194.22</w:t>
            </w:r>
          </w:p>
        </w:tc>
      </w:tr>
      <w:tr w:rsidR="00E57DAA" w14:paraId="42752358" w14:textId="77777777">
        <w:tc>
          <w:tcPr>
            <w:tcW w:w="541" w:type="pct"/>
            <w:shd w:val="clear" w:color="auto" w:fill="auto"/>
            <w:vAlign w:val="center"/>
          </w:tcPr>
          <w:p w14:paraId="3888E9C1" w14:textId="77777777" w:rsidR="00E57DAA" w:rsidRDefault="00AC4185">
            <w:pPr>
              <w:jc w:val="center"/>
            </w:pPr>
            <w:r>
              <w:rPr>
                <w:rFonts w:hint="eastAsia"/>
              </w:rPr>
              <w:t>合计</w:t>
            </w:r>
          </w:p>
        </w:tc>
        <w:tc>
          <w:tcPr>
            <w:tcW w:w="846" w:type="pct"/>
            <w:vAlign w:val="center"/>
          </w:tcPr>
          <w:p w14:paraId="777C6BC6" w14:textId="77777777" w:rsidR="00E57DAA" w:rsidRDefault="00AC4185">
            <w:pPr>
              <w:jc w:val="right"/>
            </w:pPr>
            <w:r>
              <w:t>556,567,185.45</w:t>
            </w:r>
          </w:p>
        </w:tc>
        <w:tc>
          <w:tcPr>
            <w:tcW w:w="536" w:type="pct"/>
            <w:vAlign w:val="center"/>
          </w:tcPr>
          <w:p w14:paraId="7B3F82E3" w14:textId="77777777" w:rsidR="00E57DAA" w:rsidRDefault="00AC4185">
            <w:pPr>
              <w:jc w:val="right"/>
            </w:pPr>
            <w:r>
              <w:t>4,945,090.55</w:t>
            </w:r>
          </w:p>
        </w:tc>
        <w:tc>
          <w:tcPr>
            <w:tcW w:w="846" w:type="pct"/>
            <w:shd w:val="clear" w:color="auto" w:fill="auto"/>
            <w:vAlign w:val="center"/>
          </w:tcPr>
          <w:p w14:paraId="4E8D3753" w14:textId="77777777" w:rsidR="00E57DAA" w:rsidRDefault="00AC4185">
            <w:pPr>
              <w:jc w:val="right"/>
            </w:pPr>
            <w:r>
              <w:t>551,622,094.90</w:t>
            </w:r>
          </w:p>
        </w:tc>
        <w:tc>
          <w:tcPr>
            <w:tcW w:w="846" w:type="pct"/>
            <w:vAlign w:val="center"/>
          </w:tcPr>
          <w:p w14:paraId="1A90448B" w14:textId="77777777" w:rsidR="00E57DAA" w:rsidRDefault="00AC4185">
            <w:pPr>
              <w:jc w:val="right"/>
            </w:pPr>
            <w:r>
              <w:t>906,235,894.08</w:t>
            </w:r>
          </w:p>
        </w:tc>
        <w:tc>
          <w:tcPr>
            <w:tcW w:w="536" w:type="pct"/>
            <w:vAlign w:val="center"/>
          </w:tcPr>
          <w:p w14:paraId="2BA256B9" w14:textId="77777777" w:rsidR="00E57DAA" w:rsidRDefault="00AC4185">
            <w:pPr>
              <w:jc w:val="right"/>
            </w:pPr>
            <w:r>
              <w:t>8,616,786.48</w:t>
            </w:r>
          </w:p>
        </w:tc>
        <w:tc>
          <w:tcPr>
            <w:tcW w:w="848" w:type="pct"/>
            <w:shd w:val="clear" w:color="auto" w:fill="auto"/>
            <w:vAlign w:val="center"/>
          </w:tcPr>
          <w:p w14:paraId="0DE5C2F7" w14:textId="77777777" w:rsidR="00E57DAA" w:rsidRDefault="00AC4185">
            <w:pPr>
              <w:jc w:val="right"/>
            </w:pPr>
            <w:r>
              <w:t>897,619,107.60</w:t>
            </w:r>
          </w:p>
        </w:tc>
      </w:tr>
    </w:tbl>
    <w:p w14:paraId="22D9C7DA" w14:textId="77777777" w:rsidR="00E57DAA" w:rsidRDefault="00E57DAA" w:rsidP="00C25422">
      <w:pPr>
        <w:pStyle w:val="92"/>
      </w:pPr>
    </w:p>
    <w:bookmarkEnd w:id="274"/>
    <w:p w14:paraId="17D4CAB8" w14:textId="77777777" w:rsidR="00E57DAA" w:rsidRDefault="00E57DAA">
      <w:pPr>
        <w:rPr>
          <w:szCs w:val="21"/>
        </w:rPr>
        <w:sectPr w:rsidR="00E57DAA" w:rsidSect="00226547">
          <w:pgSz w:w="16838" w:h="11906" w:orient="landscape"/>
          <w:pgMar w:top="1276" w:right="1440" w:bottom="1797" w:left="1525" w:header="856" w:footer="992" w:gutter="0"/>
          <w:cols w:space="425"/>
          <w:docGrid w:linePitch="312"/>
        </w:sectPr>
      </w:pPr>
    </w:p>
    <w:p w14:paraId="5971A41F" w14:textId="77777777" w:rsidR="00E57DAA" w:rsidRDefault="00E57DAA">
      <w:pPr>
        <w:rPr>
          <w:szCs w:val="21"/>
        </w:rPr>
      </w:pPr>
    </w:p>
    <w:p w14:paraId="77B22AB3" w14:textId="77777777" w:rsidR="00E57DAA" w:rsidRDefault="00AC4185" w:rsidP="00C25422">
      <w:pPr>
        <w:pStyle w:val="91"/>
        <w:numPr>
          <w:ilvl w:val="0"/>
          <w:numId w:val="69"/>
        </w:numPr>
      </w:pPr>
      <w:r>
        <w:rPr>
          <w:rFonts w:hint="eastAsia"/>
        </w:rPr>
        <w:t>所有权或使用权受限资产</w:t>
      </w:r>
    </w:p>
    <w:bookmarkStart w:id="275" w:name="_Hlk152949531" w:displacedByCustomXml="next"/>
    <w:sdt>
      <w:sdtPr>
        <w:alias w:val="是否适用：所有权或使用权受到限制的资产[双击切换]"/>
        <w:tag w:val="_GBC_a283d24f027d4d16b90b482ce573c322"/>
        <w:id w:val="1255940606"/>
        <w:placeholder>
          <w:docPart w:val="GBC22222222222222222222222222222"/>
        </w:placeholder>
      </w:sdtPr>
      <w:sdtEndPr/>
      <w:sdtContent>
        <w:p w14:paraId="091D156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CA09EC" w14:textId="77777777" w:rsidR="00E57DAA" w:rsidRDefault="00AC4185" w:rsidP="00F54E38">
      <w:pPr>
        <w:pStyle w:val="73"/>
        <w:ind w:firstLineChars="3300" w:firstLine="6600"/>
      </w:pPr>
      <w:r>
        <w:rPr>
          <w:rFonts w:hint="eastAsia"/>
        </w:rPr>
        <w:t>单位：</w:t>
      </w:r>
      <w:sdt>
        <w:sdtPr>
          <w:rPr>
            <w:rFonts w:hint="eastAsia"/>
          </w:rPr>
          <w:alias w:val="单位：财务附注：所有权或使用权受到限制的资产"/>
          <w:tag w:val="_GBC_3477487b65f945b1991b65aa0ada53b6"/>
          <w:id w:val="17997979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所有权或使用权受到限制的资产"/>
          <w:tag w:val="_GBC_49ce2140e00b44d7b998aa58d39778c8"/>
          <w:id w:val="-16983899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9"/>
        <w:tblW w:w="0" w:type="auto"/>
        <w:tblLook w:val="04A0" w:firstRow="1" w:lastRow="0" w:firstColumn="1" w:lastColumn="0" w:noHBand="0" w:noVBand="1"/>
      </w:tblPr>
      <w:tblGrid>
        <w:gridCol w:w="1832"/>
        <w:gridCol w:w="2245"/>
        <w:gridCol w:w="2268"/>
        <w:gridCol w:w="2477"/>
      </w:tblGrid>
      <w:tr w:rsidR="00E57DAA" w14:paraId="220B5FCF" w14:textId="77777777">
        <w:sdt>
          <w:sdtPr>
            <w:rPr>
              <w:rFonts w:ascii="Times New Roman" w:hAnsi="Times New Roman" w:hint="eastAsia"/>
            </w:rPr>
            <w:tag w:val="_PLD_825ad37db2ce492f9bb6ff7f034b7d59"/>
            <w:id w:val="1904787976"/>
          </w:sdtPr>
          <w:sdtEndPr/>
          <w:sdtContent>
            <w:tc>
              <w:tcPr>
                <w:tcW w:w="1832" w:type="dxa"/>
                <w:vMerge w:val="restart"/>
                <w:vAlign w:val="center"/>
              </w:tcPr>
              <w:p w14:paraId="50EB7AD9" w14:textId="77777777" w:rsidR="00E57DAA" w:rsidRDefault="00AC4185">
                <w:pPr>
                  <w:jc w:val="center"/>
                </w:pPr>
                <w:r>
                  <w:rPr>
                    <w:rFonts w:hint="eastAsia"/>
                  </w:rPr>
                  <w:t>项目</w:t>
                </w:r>
              </w:p>
            </w:tc>
          </w:sdtContent>
        </w:sdt>
        <w:sdt>
          <w:sdtPr>
            <w:rPr>
              <w:rFonts w:ascii="Times New Roman" w:hAnsi="Times New Roman" w:hint="eastAsia"/>
            </w:rPr>
            <w:tag w:val="_PLD_5e34e991b3f446acbd7aca256a1acb2d"/>
            <w:id w:val="595221473"/>
          </w:sdtPr>
          <w:sdtEndPr/>
          <w:sdtContent>
            <w:tc>
              <w:tcPr>
                <w:tcW w:w="6990" w:type="dxa"/>
                <w:gridSpan w:val="3"/>
                <w:vAlign w:val="center"/>
              </w:tcPr>
              <w:p w14:paraId="74D4C80C" w14:textId="77777777" w:rsidR="00E57DAA" w:rsidRDefault="00AC4185">
                <w:pPr>
                  <w:jc w:val="center"/>
                </w:pPr>
                <w:r>
                  <w:rPr>
                    <w:rFonts w:hint="eastAsia"/>
                  </w:rPr>
                  <w:t>期末</w:t>
                </w:r>
              </w:p>
            </w:tc>
          </w:sdtContent>
        </w:sdt>
      </w:tr>
      <w:tr w:rsidR="00E57DAA" w14:paraId="4C0EC7D7" w14:textId="77777777">
        <w:trPr>
          <w:trHeight w:val="70"/>
        </w:trPr>
        <w:tc>
          <w:tcPr>
            <w:tcW w:w="1832" w:type="dxa"/>
            <w:vMerge/>
          </w:tcPr>
          <w:p w14:paraId="29674DF6" w14:textId="77777777" w:rsidR="00E57DAA" w:rsidRDefault="00E57DAA" w:rsidP="00C25422">
            <w:pPr>
              <w:pStyle w:val="92"/>
            </w:pPr>
          </w:p>
        </w:tc>
        <w:sdt>
          <w:sdtPr>
            <w:tag w:val="_PLD_64004453368f45deb228668add3f6655"/>
            <w:id w:val="377370703"/>
          </w:sdtPr>
          <w:sdtEndPr/>
          <w:sdtContent>
            <w:tc>
              <w:tcPr>
                <w:tcW w:w="2245" w:type="dxa"/>
              </w:tcPr>
              <w:p w14:paraId="7B268DF6" w14:textId="77777777" w:rsidR="00E57DAA" w:rsidRDefault="00AC4185">
                <w:pPr>
                  <w:jc w:val="center"/>
                </w:pPr>
                <w:r>
                  <w:t>账面余额</w:t>
                </w:r>
              </w:p>
            </w:tc>
          </w:sdtContent>
        </w:sdt>
        <w:sdt>
          <w:sdtPr>
            <w:tag w:val="_PLD_5a76ffbabf9f4b50a7dc29ed261b076e"/>
            <w:id w:val="2054892193"/>
          </w:sdtPr>
          <w:sdtEndPr/>
          <w:sdtContent>
            <w:tc>
              <w:tcPr>
                <w:tcW w:w="2268" w:type="dxa"/>
              </w:tcPr>
              <w:p w14:paraId="11210E08" w14:textId="77777777" w:rsidR="00E57DAA" w:rsidRDefault="00AC4185">
                <w:pPr>
                  <w:jc w:val="center"/>
                </w:pPr>
                <w:r>
                  <w:t>账面价值</w:t>
                </w:r>
              </w:p>
            </w:tc>
          </w:sdtContent>
        </w:sdt>
        <w:sdt>
          <w:sdtPr>
            <w:tag w:val="_PLD_8a211b26df0b4260a21a41d957e1dfdf"/>
            <w:id w:val="-1336453642"/>
          </w:sdtPr>
          <w:sdtEndPr/>
          <w:sdtContent>
            <w:tc>
              <w:tcPr>
                <w:tcW w:w="2477" w:type="dxa"/>
              </w:tcPr>
              <w:p w14:paraId="3C23FF88" w14:textId="77777777" w:rsidR="00E57DAA" w:rsidRDefault="00AC4185">
                <w:pPr>
                  <w:jc w:val="center"/>
                </w:pPr>
                <w:r>
                  <w:t>受限情况</w:t>
                </w:r>
              </w:p>
            </w:tc>
          </w:sdtContent>
        </w:sdt>
      </w:tr>
      <w:tr w:rsidR="00E57DAA" w14:paraId="0D44A816" w14:textId="77777777">
        <w:tc>
          <w:tcPr>
            <w:tcW w:w="1832" w:type="dxa"/>
          </w:tcPr>
          <w:p w14:paraId="6E156F39" w14:textId="77777777" w:rsidR="00E57DAA" w:rsidRDefault="00AC4185">
            <w:pPr>
              <w:jc w:val="left"/>
            </w:pPr>
            <w:r>
              <w:t>货币资金</w:t>
            </w:r>
          </w:p>
        </w:tc>
        <w:tc>
          <w:tcPr>
            <w:tcW w:w="2245" w:type="dxa"/>
            <w:vAlign w:val="center"/>
          </w:tcPr>
          <w:p w14:paraId="4758E208" w14:textId="77777777" w:rsidR="00E57DAA" w:rsidRDefault="00AC4185">
            <w:pPr>
              <w:jc w:val="right"/>
            </w:pPr>
            <w:r>
              <w:t>998,982,335.75</w:t>
            </w:r>
          </w:p>
        </w:tc>
        <w:tc>
          <w:tcPr>
            <w:tcW w:w="2268" w:type="dxa"/>
            <w:vAlign w:val="center"/>
          </w:tcPr>
          <w:p w14:paraId="37E41E5B" w14:textId="77777777" w:rsidR="00E57DAA" w:rsidRDefault="00AC4185">
            <w:pPr>
              <w:jc w:val="right"/>
            </w:pPr>
            <w:r>
              <w:t>998,982,335.75</w:t>
            </w:r>
          </w:p>
        </w:tc>
        <w:tc>
          <w:tcPr>
            <w:tcW w:w="2477" w:type="dxa"/>
            <w:vAlign w:val="center"/>
          </w:tcPr>
          <w:p w14:paraId="456D4D8B" w14:textId="77777777" w:rsidR="00E57DAA" w:rsidRDefault="00AC4185" w:rsidP="00C25422">
            <w:pPr>
              <w:pStyle w:val="92"/>
            </w:pPr>
            <w:r>
              <w:t>详见本附注</w:t>
            </w:r>
            <w:r>
              <w:rPr>
                <w:rFonts w:hint="eastAsia"/>
              </w:rPr>
              <w:t>七</w:t>
            </w:r>
            <w:r>
              <w:t>、注释1</w:t>
            </w:r>
          </w:p>
        </w:tc>
      </w:tr>
      <w:tr w:rsidR="00E57DAA" w14:paraId="7740A4AF" w14:textId="77777777">
        <w:tc>
          <w:tcPr>
            <w:tcW w:w="1832" w:type="dxa"/>
          </w:tcPr>
          <w:p w14:paraId="1DF11EA0" w14:textId="77777777" w:rsidR="00E57DAA" w:rsidRDefault="00AC4185">
            <w:pPr>
              <w:jc w:val="left"/>
            </w:pPr>
            <w:r>
              <w:t>应收票据</w:t>
            </w:r>
          </w:p>
        </w:tc>
        <w:tc>
          <w:tcPr>
            <w:tcW w:w="2245" w:type="dxa"/>
            <w:vAlign w:val="center"/>
          </w:tcPr>
          <w:p w14:paraId="4630904E" w14:textId="77777777" w:rsidR="00E57DAA" w:rsidRDefault="00AC4185">
            <w:pPr>
              <w:jc w:val="right"/>
            </w:pPr>
            <w:r>
              <w:t>58,227,421.00</w:t>
            </w:r>
          </w:p>
        </w:tc>
        <w:tc>
          <w:tcPr>
            <w:tcW w:w="2268" w:type="dxa"/>
            <w:vAlign w:val="center"/>
          </w:tcPr>
          <w:p w14:paraId="501CD24F" w14:textId="77777777" w:rsidR="00E57DAA" w:rsidRDefault="00AC4185">
            <w:pPr>
              <w:jc w:val="right"/>
            </w:pPr>
            <w:r>
              <w:t>58,227,421.00</w:t>
            </w:r>
          </w:p>
        </w:tc>
        <w:tc>
          <w:tcPr>
            <w:tcW w:w="2477" w:type="dxa"/>
            <w:vAlign w:val="center"/>
          </w:tcPr>
          <w:p w14:paraId="7CBCEF98" w14:textId="77777777" w:rsidR="00E57DAA" w:rsidRDefault="00AC4185" w:rsidP="00C25422">
            <w:pPr>
              <w:pStyle w:val="92"/>
            </w:pPr>
            <w:r>
              <w:t>银行承兑汇票保证金等</w:t>
            </w:r>
          </w:p>
        </w:tc>
      </w:tr>
      <w:tr w:rsidR="00E57DAA" w14:paraId="5906191D" w14:textId="77777777">
        <w:tc>
          <w:tcPr>
            <w:tcW w:w="1832" w:type="dxa"/>
          </w:tcPr>
          <w:p w14:paraId="05FAC131" w14:textId="77777777" w:rsidR="00E57DAA" w:rsidRDefault="00AC4185" w:rsidP="00C25422">
            <w:pPr>
              <w:pStyle w:val="92"/>
            </w:pPr>
            <w:r>
              <w:rPr>
                <w:rFonts w:hint="eastAsia"/>
              </w:rPr>
              <w:t>投资性房地产</w:t>
            </w:r>
          </w:p>
        </w:tc>
        <w:tc>
          <w:tcPr>
            <w:tcW w:w="2245" w:type="dxa"/>
            <w:vAlign w:val="center"/>
          </w:tcPr>
          <w:p w14:paraId="7FD232C3" w14:textId="77777777" w:rsidR="00E57DAA" w:rsidRDefault="00AC4185">
            <w:pPr>
              <w:jc w:val="right"/>
            </w:pPr>
            <w:r>
              <w:t>1,504,652.75</w:t>
            </w:r>
          </w:p>
        </w:tc>
        <w:tc>
          <w:tcPr>
            <w:tcW w:w="2268" w:type="dxa"/>
            <w:vAlign w:val="center"/>
          </w:tcPr>
          <w:p w14:paraId="3DF26B5C" w14:textId="77777777" w:rsidR="00E57DAA" w:rsidRDefault="00AC4185">
            <w:pPr>
              <w:jc w:val="right"/>
            </w:pPr>
            <w:r>
              <w:t>1,006,644.91</w:t>
            </w:r>
          </w:p>
        </w:tc>
        <w:tc>
          <w:tcPr>
            <w:tcW w:w="2477" w:type="dxa"/>
            <w:vAlign w:val="center"/>
          </w:tcPr>
          <w:p w14:paraId="180D8077" w14:textId="77777777" w:rsidR="00E57DAA" w:rsidRDefault="00AC4185" w:rsidP="00C25422">
            <w:pPr>
              <w:pStyle w:val="92"/>
            </w:pPr>
            <w:r>
              <w:t>抵押借款</w:t>
            </w:r>
          </w:p>
        </w:tc>
      </w:tr>
      <w:tr w:rsidR="00E57DAA" w14:paraId="05D82D16" w14:textId="77777777">
        <w:tc>
          <w:tcPr>
            <w:tcW w:w="1832" w:type="dxa"/>
          </w:tcPr>
          <w:p w14:paraId="59FE5D1A" w14:textId="77777777" w:rsidR="00E57DAA" w:rsidRDefault="00AC4185">
            <w:pPr>
              <w:jc w:val="left"/>
            </w:pPr>
            <w:r>
              <w:t>固定资产</w:t>
            </w:r>
          </w:p>
        </w:tc>
        <w:tc>
          <w:tcPr>
            <w:tcW w:w="2245" w:type="dxa"/>
            <w:vAlign w:val="center"/>
          </w:tcPr>
          <w:p w14:paraId="0E469A0C" w14:textId="77777777" w:rsidR="00E57DAA" w:rsidRDefault="00AC4185">
            <w:pPr>
              <w:jc w:val="right"/>
            </w:pPr>
            <w:r>
              <w:t>595,699,004.71</w:t>
            </w:r>
          </w:p>
        </w:tc>
        <w:tc>
          <w:tcPr>
            <w:tcW w:w="2268" w:type="dxa"/>
            <w:vAlign w:val="center"/>
          </w:tcPr>
          <w:p w14:paraId="45906B8B" w14:textId="77777777" w:rsidR="00E57DAA" w:rsidRDefault="00AC4185">
            <w:pPr>
              <w:jc w:val="right"/>
            </w:pPr>
            <w:r>
              <w:t>579,547,554.98</w:t>
            </w:r>
          </w:p>
        </w:tc>
        <w:tc>
          <w:tcPr>
            <w:tcW w:w="2477" w:type="dxa"/>
            <w:vAlign w:val="center"/>
          </w:tcPr>
          <w:p w14:paraId="507A7B47" w14:textId="77777777" w:rsidR="00E57DAA" w:rsidRDefault="00AC4185" w:rsidP="00C25422">
            <w:pPr>
              <w:pStyle w:val="92"/>
            </w:pPr>
            <w:r>
              <w:t>抵押借款</w:t>
            </w:r>
          </w:p>
        </w:tc>
      </w:tr>
      <w:tr w:rsidR="00E57DAA" w14:paraId="31C5D06C" w14:textId="77777777">
        <w:tc>
          <w:tcPr>
            <w:tcW w:w="1832" w:type="dxa"/>
            <w:tcBorders>
              <w:bottom w:val="single" w:sz="4" w:space="0" w:color="auto"/>
            </w:tcBorders>
          </w:tcPr>
          <w:p w14:paraId="514653BF" w14:textId="77777777" w:rsidR="00E57DAA" w:rsidRDefault="00AC4185">
            <w:pPr>
              <w:jc w:val="left"/>
            </w:pPr>
            <w:r>
              <w:t>无形资产</w:t>
            </w:r>
          </w:p>
        </w:tc>
        <w:tc>
          <w:tcPr>
            <w:tcW w:w="2245" w:type="dxa"/>
            <w:vAlign w:val="center"/>
          </w:tcPr>
          <w:p w14:paraId="1207AD6B" w14:textId="77777777" w:rsidR="00E57DAA" w:rsidRDefault="00AC4185">
            <w:pPr>
              <w:jc w:val="right"/>
            </w:pPr>
            <w:r>
              <w:t>18,763,752.33</w:t>
            </w:r>
          </w:p>
        </w:tc>
        <w:tc>
          <w:tcPr>
            <w:tcW w:w="2268" w:type="dxa"/>
            <w:vAlign w:val="center"/>
          </w:tcPr>
          <w:p w14:paraId="4B948BFB" w14:textId="77777777" w:rsidR="00E57DAA" w:rsidRDefault="00AC4185">
            <w:pPr>
              <w:jc w:val="right"/>
            </w:pPr>
            <w:r>
              <w:t>15,386,293.55</w:t>
            </w:r>
          </w:p>
        </w:tc>
        <w:tc>
          <w:tcPr>
            <w:tcW w:w="2477" w:type="dxa"/>
            <w:vAlign w:val="center"/>
          </w:tcPr>
          <w:p w14:paraId="1CCAF92C" w14:textId="77777777" w:rsidR="00E57DAA" w:rsidRDefault="00AC4185" w:rsidP="00C25422">
            <w:pPr>
              <w:pStyle w:val="92"/>
            </w:pPr>
            <w:r>
              <w:rPr>
                <w:rFonts w:hint="eastAsia"/>
              </w:rPr>
              <w:t>抵押</w:t>
            </w:r>
            <w:r>
              <w:t>借款</w:t>
            </w:r>
          </w:p>
        </w:tc>
      </w:tr>
      <w:tr w:rsidR="00E57DAA" w14:paraId="2E0F7552" w14:textId="77777777">
        <w:tc>
          <w:tcPr>
            <w:tcW w:w="1832" w:type="dxa"/>
          </w:tcPr>
          <w:p w14:paraId="0CD984FF" w14:textId="77777777" w:rsidR="00E57DAA" w:rsidRDefault="00AC4185">
            <w:pPr>
              <w:jc w:val="center"/>
            </w:pPr>
            <w:r>
              <w:t>合计</w:t>
            </w:r>
          </w:p>
        </w:tc>
        <w:tc>
          <w:tcPr>
            <w:tcW w:w="2245" w:type="dxa"/>
            <w:vAlign w:val="center"/>
          </w:tcPr>
          <w:p w14:paraId="0FCFE23D" w14:textId="77777777" w:rsidR="00E57DAA" w:rsidRDefault="00AC4185">
            <w:pPr>
              <w:jc w:val="right"/>
            </w:pPr>
            <w:r>
              <w:t>1,673,177,166.54</w:t>
            </w:r>
          </w:p>
        </w:tc>
        <w:tc>
          <w:tcPr>
            <w:tcW w:w="2268" w:type="dxa"/>
            <w:vAlign w:val="center"/>
          </w:tcPr>
          <w:p w14:paraId="3526E918" w14:textId="77777777" w:rsidR="00E57DAA" w:rsidRDefault="00AC4185">
            <w:pPr>
              <w:jc w:val="right"/>
            </w:pPr>
            <w:r>
              <w:t>1,653,150,250.19</w:t>
            </w:r>
          </w:p>
        </w:tc>
        <w:tc>
          <w:tcPr>
            <w:tcW w:w="2477" w:type="dxa"/>
          </w:tcPr>
          <w:p w14:paraId="30C91AA2" w14:textId="77777777" w:rsidR="00E57DAA" w:rsidRDefault="00AC4185">
            <w:pPr>
              <w:jc w:val="center"/>
            </w:pPr>
            <w:r>
              <w:t>/</w:t>
            </w:r>
          </w:p>
        </w:tc>
      </w:tr>
    </w:tbl>
    <w:p w14:paraId="221494AC" w14:textId="77777777" w:rsidR="00E57DAA" w:rsidRDefault="00E57DAA" w:rsidP="00C25422">
      <w:pPr>
        <w:pStyle w:val="92"/>
      </w:pPr>
    </w:p>
    <w:bookmarkEnd w:id="275"/>
    <w:p w14:paraId="0A9841B6" w14:textId="77777777" w:rsidR="00E57DAA" w:rsidRDefault="00AC4185" w:rsidP="00C25422">
      <w:pPr>
        <w:pStyle w:val="91"/>
        <w:numPr>
          <w:ilvl w:val="0"/>
          <w:numId w:val="69"/>
        </w:numPr>
      </w:pPr>
      <w:r>
        <w:rPr>
          <w:rFonts w:hint="eastAsia"/>
        </w:rPr>
        <w:t>短期借款</w:t>
      </w:r>
    </w:p>
    <w:p w14:paraId="0E1D9193" w14:textId="77777777" w:rsidR="00E57DAA" w:rsidRDefault="00AC4185">
      <w:pPr>
        <w:pStyle w:val="4"/>
        <w:numPr>
          <w:ilvl w:val="0"/>
          <w:numId w:val="91"/>
        </w:numPr>
        <w:ind w:left="426" w:hanging="426"/>
      </w:pPr>
      <w:r>
        <w:rPr>
          <w:rFonts w:hint="eastAsia"/>
        </w:rPr>
        <w:t>短期借款分类</w:t>
      </w:r>
    </w:p>
    <w:sdt>
      <w:sdtPr>
        <w:alias w:val="是否适用：短期借款分类[双击切换]"/>
        <w:tag w:val="_GBC_d7624f1054024527b72d59c4122e81cb"/>
        <w:id w:val="419918058"/>
        <w:placeholder>
          <w:docPart w:val="GBC22222222222222222222222222222"/>
        </w:placeholder>
      </w:sdtPr>
      <w:sdtEndPr/>
      <w:sdtContent>
        <w:p w14:paraId="1F667F8F"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384B8B" w14:textId="77777777" w:rsidR="00E57DAA" w:rsidRDefault="00AC4185">
      <w:pPr>
        <w:jc w:val="right"/>
        <w:rPr>
          <w:szCs w:val="21"/>
        </w:rPr>
      </w:pPr>
      <w:r>
        <w:rPr>
          <w:rFonts w:hint="eastAsia"/>
          <w:szCs w:val="21"/>
        </w:rPr>
        <w:t>单位：</w:t>
      </w:r>
      <w:sdt>
        <w:sdtPr>
          <w:rPr>
            <w:rFonts w:hint="eastAsia"/>
            <w:szCs w:val="21"/>
          </w:rPr>
          <w:alias w:val="单位：财务附注：短期借款分类"/>
          <w:tag w:val="_GBC_8d30fbb8785645499f9234dccd6e5b81"/>
          <w:id w:val="1717703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13955786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847"/>
        <w:gridCol w:w="2980"/>
        <w:gridCol w:w="2996"/>
      </w:tblGrid>
      <w:tr w:rsidR="00E57DAA" w14:paraId="3D9BF2BE" w14:textId="77777777">
        <w:trPr>
          <w:cantSplit/>
        </w:trPr>
        <w:sdt>
          <w:sdtPr>
            <w:tag w:val="_PLD_7d518e78e06f4dc9b46aae7b6b47fd01"/>
            <w:id w:val="-1463804413"/>
          </w:sdtPr>
          <w:sdtEndPr/>
          <w:sdtContent>
            <w:tc>
              <w:tcPr>
                <w:tcW w:w="1613" w:type="pct"/>
                <w:vAlign w:val="center"/>
              </w:tcPr>
              <w:p w14:paraId="1CB6EEFC" w14:textId="77777777" w:rsidR="00E57DAA" w:rsidRDefault="00AC418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1304000026"/>
          </w:sdtPr>
          <w:sdtEndPr/>
          <w:sdtContent>
            <w:tc>
              <w:tcPr>
                <w:tcW w:w="1689" w:type="pct"/>
                <w:vAlign w:val="center"/>
              </w:tcPr>
              <w:p w14:paraId="30FB0B12" w14:textId="77777777" w:rsidR="00E57DAA" w:rsidRDefault="00AC4185">
                <w:pPr>
                  <w:jc w:val="center"/>
                  <w:rPr>
                    <w:color w:val="000000" w:themeColor="text1"/>
                    <w:szCs w:val="21"/>
                  </w:rPr>
                </w:pPr>
                <w:r>
                  <w:rPr>
                    <w:rFonts w:hint="eastAsia"/>
                    <w:color w:val="000000" w:themeColor="text1"/>
                    <w:szCs w:val="21"/>
                  </w:rPr>
                  <w:t>期末余额</w:t>
                </w:r>
              </w:p>
            </w:tc>
          </w:sdtContent>
        </w:sdt>
        <w:sdt>
          <w:sdtPr>
            <w:tag w:val="_PLD_805e4b849be14c0ab0ca7f324971119b"/>
            <w:id w:val="-1846467173"/>
          </w:sdtPr>
          <w:sdtEndPr/>
          <w:sdtContent>
            <w:tc>
              <w:tcPr>
                <w:tcW w:w="1698" w:type="pct"/>
                <w:vAlign w:val="center"/>
              </w:tcPr>
              <w:p w14:paraId="29E47CFE" w14:textId="77777777" w:rsidR="00E57DAA" w:rsidRDefault="00AC4185">
                <w:pPr>
                  <w:jc w:val="center"/>
                  <w:rPr>
                    <w:color w:val="000000" w:themeColor="text1"/>
                    <w:szCs w:val="21"/>
                  </w:rPr>
                </w:pPr>
                <w:r>
                  <w:rPr>
                    <w:rFonts w:hint="eastAsia"/>
                    <w:color w:val="000000" w:themeColor="text1"/>
                    <w:szCs w:val="21"/>
                  </w:rPr>
                  <w:t>期初余额</w:t>
                </w:r>
              </w:p>
            </w:tc>
          </w:sdtContent>
        </w:sdt>
      </w:tr>
      <w:tr w:rsidR="00E57DAA" w14:paraId="0C880BC6" w14:textId="77777777">
        <w:trPr>
          <w:cantSplit/>
          <w:trHeight w:val="237"/>
        </w:trPr>
        <w:tc>
          <w:tcPr>
            <w:tcW w:w="1613" w:type="pct"/>
            <w:shd w:val="clear" w:color="auto" w:fill="auto"/>
          </w:tcPr>
          <w:p w14:paraId="22BC2E07" w14:textId="77777777" w:rsidR="00E57DAA" w:rsidRDefault="00AC4185">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tc>
          <w:tcPr>
            <w:tcW w:w="1689" w:type="pct"/>
            <w:shd w:val="clear" w:color="auto" w:fill="auto"/>
            <w:vAlign w:val="center"/>
          </w:tcPr>
          <w:p w14:paraId="283E9591" w14:textId="77777777" w:rsidR="00E57DAA" w:rsidRDefault="00AC4185">
            <w:pPr>
              <w:autoSpaceDE w:val="0"/>
              <w:autoSpaceDN w:val="0"/>
              <w:adjustRightInd w:val="0"/>
              <w:snapToGrid w:val="0"/>
              <w:spacing w:line="240" w:lineRule="atLeast"/>
              <w:ind w:right="180"/>
              <w:jc w:val="right"/>
              <w:rPr>
                <w:szCs w:val="21"/>
              </w:rPr>
            </w:pPr>
            <w:r>
              <w:t>2,012,697,664.84</w:t>
            </w:r>
          </w:p>
        </w:tc>
        <w:tc>
          <w:tcPr>
            <w:tcW w:w="1698" w:type="pct"/>
            <w:shd w:val="clear" w:color="auto" w:fill="auto"/>
            <w:vAlign w:val="center"/>
          </w:tcPr>
          <w:p w14:paraId="03FC990C" w14:textId="77777777" w:rsidR="00E57DAA" w:rsidRDefault="00AC4185">
            <w:pPr>
              <w:autoSpaceDE w:val="0"/>
              <w:autoSpaceDN w:val="0"/>
              <w:adjustRightInd w:val="0"/>
              <w:snapToGrid w:val="0"/>
              <w:spacing w:line="240" w:lineRule="atLeast"/>
              <w:ind w:right="180"/>
              <w:jc w:val="right"/>
              <w:rPr>
                <w:szCs w:val="21"/>
              </w:rPr>
            </w:pPr>
            <w:r>
              <w:t>2,054,906,032.96</w:t>
            </w:r>
          </w:p>
        </w:tc>
      </w:tr>
      <w:tr w:rsidR="00E57DAA" w14:paraId="0F899FC3" w14:textId="77777777">
        <w:trPr>
          <w:cantSplit/>
        </w:trPr>
        <w:tc>
          <w:tcPr>
            <w:tcW w:w="1613" w:type="pct"/>
            <w:shd w:val="clear" w:color="auto" w:fill="auto"/>
          </w:tcPr>
          <w:p w14:paraId="5A385710" w14:textId="77777777" w:rsidR="00E57DAA" w:rsidRDefault="00AC4185">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tc>
          <w:tcPr>
            <w:tcW w:w="1689" w:type="pct"/>
            <w:shd w:val="clear" w:color="auto" w:fill="auto"/>
            <w:vAlign w:val="center"/>
          </w:tcPr>
          <w:p w14:paraId="3E70DA21" w14:textId="77777777" w:rsidR="00E57DAA" w:rsidRDefault="00E57DAA">
            <w:pPr>
              <w:autoSpaceDE w:val="0"/>
              <w:autoSpaceDN w:val="0"/>
              <w:adjustRightInd w:val="0"/>
              <w:snapToGrid w:val="0"/>
              <w:spacing w:line="240" w:lineRule="atLeast"/>
              <w:ind w:right="180"/>
              <w:jc w:val="right"/>
              <w:rPr>
                <w:szCs w:val="21"/>
              </w:rPr>
            </w:pPr>
          </w:p>
        </w:tc>
        <w:tc>
          <w:tcPr>
            <w:tcW w:w="1698" w:type="pct"/>
            <w:shd w:val="clear" w:color="auto" w:fill="auto"/>
            <w:vAlign w:val="center"/>
          </w:tcPr>
          <w:p w14:paraId="0A6CEB40" w14:textId="77777777" w:rsidR="00E57DAA" w:rsidRDefault="00AC4185">
            <w:pPr>
              <w:autoSpaceDE w:val="0"/>
              <w:autoSpaceDN w:val="0"/>
              <w:adjustRightInd w:val="0"/>
              <w:snapToGrid w:val="0"/>
              <w:spacing w:line="240" w:lineRule="atLeast"/>
              <w:ind w:right="180"/>
              <w:jc w:val="right"/>
              <w:rPr>
                <w:szCs w:val="21"/>
              </w:rPr>
            </w:pPr>
            <w:r>
              <w:t>15,498,030.00</w:t>
            </w:r>
          </w:p>
        </w:tc>
      </w:tr>
      <w:tr w:rsidR="00E57DAA" w14:paraId="45B1D179" w14:textId="77777777">
        <w:trPr>
          <w:cantSplit/>
        </w:trPr>
        <w:tc>
          <w:tcPr>
            <w:tcW w:w="1613" w:type="pct"/>
            <w:shd w:val="clear" w:color="auto" w:fill="auto"/>
          </w:tcPr>
          <w:p w14:paraId="2DC2C772" w14:textId="77777777" w:rsidR="00E57DAA" w:rsidRDefault="00AC4185">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tc>
          <w:tcPr>
            <w:tcW w:w="1689" w:type="pct"/>
            <w:shd w:val="clear" w:color="auto" w:fill="auto"/>
            <w:vAlign w:val="center"/>
          </w:tcPr>
          <w:p w14:paraId="246A1E75" w14:textId="77777777" w:rsidR="00E57DAA" w:rsidRDefault="00AC4185">
            <w:pPr>
              <w:autoSpaceDE w:val="0"/>
              <w:autoSpaceDN w:val="0"/>
              <w:adjustRightInd w:val="0"/>
              <w:snapToGrid w:val="0"/>
              <w:spacing w:line="240" w:lineRule="atLeast"/>
              <w:ind w:right="180"/>
              <w:jc w:val="right"/>
              <w:rPr>
                <w:szCs w:val="21"/>
              </w:rPr>
            </w:pPr>
            <w:r>
              <w:t>8,000,000.00</w:t>
            </w:r>
          </w:p>
        </w:tc>
        <w:tc>
          <w:tcPr>
            <w:tcW w:w="1698" w:type="pct"/>
            <w:shd w:val="clear" w:color="auto" w:fill="auto"/>
            <w:vAlign w:val="center"/>
          </w:tcPr>
          <w:p w14:paraId="161F3145" w14:textId="77777777" w:rsidR="00E57DAA" w:rsidRDefault="00AC4185">
            <w:pPr>
              <w:autoSpaceDE w:val="0"/>
              <w:autoSpaceDN w:val="0"/>
              <w:adjustRightInd w:val="0"/>
              <w:snapToGrid w:val="0"/>
              <w:spacing w:line="240" w:lineRule="atLeast"/>
              <w:ind w:right="180"/>
              <w:jc w:val="right"/>
              <w:rPr>
                <w:szCs w:val="21"/>
              </w:rPr>
            </w:pPr>
            <w:r>
              <w:t>30,000,000.00</w:t>
            </w:r>
          </w:p>
        </w:tc>
      </w:tr>
      <w:tr w:rsidR="00E57DAA" w14:paraId="3A3A0F5E" w14:textId="77777777">
        <w:trPr>
          <w:cantSplit/>
        </w:trPr>
        <w:tc>
          <w:tcPr>
            <w:tcW w:w="1613" w:type="pct"/>
            <w:shd w:val="clear" w:color="auto" w:fill="auto"/>
          </w:tcPr>
          <w:p w14:paraId="51BDEBA4" w14:textId="77777777" w:rsidR="00E57DAA" w:rsidRDefault="00AC4185">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tc>
          <w:tcPr>
            <w:tcW w:w="1689" w:type="pct"/>
            <w:shd w:val="clear" w:color="auto" w:fill="auto"/>
            <w:vAlign w:val="center"/>
          </w:tcPr>
          <w:p w14:paraId="7E05E6DD" w14:textId="77777777" w:rsidR="00E57DAA" w:rsidRDefault="00AC4185">
            <w:pPr>
              <w:autoSpaceDE w:val="0"/>
              <w:autoSpaceDN w:val="0"/>
              <w:adjustRightInd w:val="0"/>
              <w:snapToGrid w:val="0"/>
              <w:spacing w:line="240" w:lineRule="atLeast"/>
              <w:ind w:right="180"/>
              <w:jc w:val="right"/>
              <w:rPr>
                <w:szCs w:val="21"/>
              </w:rPr>
            </w:pPr>
            <w:r>
              <w:t>5,000,000.00</w:t>
            </w:r>
          </w:p>
        </w:tc>
        <w:tc>
          <w:tcPr>
            <w:tcW w:w="1698" w:type="pct"/>
            <w:shd w:val="clear" w:color="auto" w:fill="auto"/>
            <w:vAlign w:val="center"/>
          </w:tcPr>
          <w:p w14:paraId="4376A8E4" w14:textId="77777777" w:rsidR="00E57DAA" w:rsidRDefault="00E57DAA">
            <w:pPr>
              <w:autoSpaceDE w:val="0"/>
              <w:autoSpaceDN w:val="0"/>
              <w:adjustRightInd w:val="0"/>
              <w:snapToGrid w:val="0"/>
              <w:spacing w:line="240" w:lineRule="atLeast"/>
              <w:ind w:right="180"/>
              <w:jc w:val="right"/>
              <w:rPr>
                <w:szCs w:val="21"/>
              </w:rPr>
            </w:pPr>
          </w:p>
        </w:tc>
      </w:tr>
      <w:tr w:rsidR="00E57DAA" w14:paraId="664FBC96" w14:textId="77777777">
        <w:trPr>
          <w:cantSplit/>
        </w:trPr>
        <w:tc>
          <w:tcPr>
            <w:tcW w:w="1613" w:type="pct"/>
            <w:vAlign w:val="center"/>
          </w:tcPr>
          <w:p w14:paraId="606C4923" w14:textId="77777777" w:rsidR="00E57DAA" w:rsidRDefault="00AC418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tc>
          <w:tcPr>
            <w:tcW w:w="1689" w:type="pct"/>
            <w:vAlign w:val="center"/>
          </w:tcPr>
          <w:p w14:paraId="353EA233" w14:textId="77777777" w:rsidR="00E57DAA" w:rsidRDefault="00AC4185">
            <w:pPr>
              <w:autoSpaceDE w:val="0"/>
              <w:autoSpaceDN w:val="0"/>
              <w:adjustRightInd w:val="0"/>
              <w:snapToGrid w:val="0"/>
              <w:spacing w:line="240" w:lineRule="atLeast"/>
              <w:ind w:right="180"/>
              <w:jc w:val="right"/>
              <w:rPr>
                <w:szCs w:val="21"/>
              </w:rPr>
            </w:pPr>
            <w:r>
              <w:t>2,025,697,664.84</w:t>
            </w:r>
          </w:p>
        </w:tc>
        <w:tc>
          <w:tcPr>
            <w:tcW w:w="1698" w:type="pct"/>
            <w:vAlign w:val="center"/>
          </w:tcPr>
          <w:p w14:paraId="3EE15A3D" w14:textId="77777777" w:rsidR="00E57DAA" w:rsidRDefault="00AC4185">
            <w:pPr>
              <w:autoSpaceDE w:val="0"/>
              <w:autoSpaceDN w:val="0"/>
              <w:adjustRightInd w:val="0"/>
              <w:snapToGrid w:val="0"/>
              <w:spacing w:line="240" w:lineRule="atLeast"/>
              <w:ind w:right="180"/>
              <w:jc w:val="right"/>
              <w:rPr>
                <w:szCs w:val="21"/>
              </w:rPr>
            </w:pPr>
            <w:r>
              <w:t>2,100,404,062.96</w:t>
            </w:r>
          </w:p>
        </w:tc>
      </w:tr>
    </w:tbl>
    <w:p w14:paraId="1C02ABF3" w14:textId="77777777" w:rsidR="00E57DAA" w:rsidRDefault="00E57DAA" w:rsidP="00C25422">
      <w:pPr>
        <w:pStyle w:val="92"/>
      </w:pPr>
    </w:p>
    <w:p w14:paraId="2D8B3A82" w14:textId="77777777" w:rsidR="00E57DAA" w:rsidRDefault="00AC4185">
      <w:pPr>
        <w:pStyle w:val="4"/>
        <w:numPr>
          <w:ilvl w:val="0"/>
          <w:numId w:val="91"/>
        </w:numPr>
        <w:ind w:left="426" w:hanging="426"/>
      </w:pPr>
      <w:r>
        <w:rPr>
          <w:rFonts w:hint="eastAsia"/>
        </w:rPr>
        <w:t>已逾期未偿还的短期借款情况</w:t>
      </w:r>
    </w:p>
    <w:sdt>
      <w:sdtPr>
        <w:alias w:val="是否适用：已逾期未偿还的短期借款情况[双击切换]"/>
        <w:tag w:val="_GBC_b92057263cbf4b81a96df7b9d664c576"/>
        <w:id w:val="-309410009"/>
        <w:placeholder>
          <w:docPart w:val="GBC22222222222222222222222222222"/>
        </w:placeholder>
      </w:sdtPr>
      <w:sdtEndPr/>
      <w:sdtContent>
        <w:p w14:paraId="51504DAA"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C054B1" w14:textId="77777777" w:rsidR="00E57DAA" w:rsidRDefault="00E57DAA" w:rsidP="00C25422">
      <w:pPr>
        <w:pStyle w:val="92"/>
      </w:pPr>
    </w:p>
    <w:p w14:paraId="3D7DCD4A" w14:textId="77777777" w:rsidR="00E57DAA" w:rsidRDefault="00AC4185" w:rsidP="00C25422">
      <w:pPr>
        <w:pStyle w:val="92"/>
      </w:pPr>
      <w:r>
        <w:t>其中重要的已逾期未偿还的短期借款情况如下：</w:t>
      </w:r>
    </w:p>
    <w:sdt>
      <w:sdtPr>
        <w:alias w:val="是否适用：其中重要的已逾期未偿还的短期借款情况[双击切换]"/>
        <w:tag w:val="_GBC_7c9437a678604c0382802a3e97f4d126"/>
        <w:id w:val="-1718818590"/>
        <w:placeholder>
          <w:docPart w:val="GBC22222222222222222222222222222"/>
        </w:placeholder>
      </w:sdtPr>
      <w:sdtEndPr/>
      <w:sdtContent>
        <w:p w14:paraId="1E39523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13187D" w14:textId="77777777" w:rsidR="00E57DAA" w:rsidRDefault="00E57DAA">
      <w:pPr>
        <w:rPr>
          <w:szCs w:val="21"/>
        </w:rPr>
      </w:pPr>
    </w:p>
    <w:p w14:paraId="2F9F4276" w14:textId="77777777" w:rsidR="00E57DAA" w:rsidRDefault="00AC4185">
      <w:pPr>
        <w:rPr>
          <w:szCs w:val="21"/>
        </w:rPr>
      </w:pPr>
      <w:r>
        <w:rPr>
          <w:rFonts w:hint="eastAsia"/>
          <w:szCs w:val="21"/>
        </w:rPr>
        <w:t>其他说明</w:t>
      </w:r>
    </w:p>
    <w:sdt>
      <w:sdtPr>
        <w:rPr>
          <w:szCs w:val="21"/>
        </w:rPr>
        <w:alias w:val="是否适用：短期借款的说明[双击切换]"/>
        <w:tag w:val="_GBC_c52256f82238457bbb4708bc99652730"/>
        <w:id w:val="-1846083558"/>
        <w:placeholder>
          <w:docPart w:val="GBC22222222222222222222222222222"/>
        </w:placeholder>
      </w:sdtPr>
      <w:sdtEndPr/>
      <w:sdtContent>
        <w:p w14:paraId="0BC5748C"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14E3DF" w14:textId="77777777" w:rsidR="00E57DAA" w:rsidRDefault="00E57DAA">
      <w:pPr>
        <w:rPr>
          <w:szCs w:val="21"/>
        </w:rPr>
      </w:pPr>
    </w:p>
    <w:p w14:paraId="0976A0A8" w14:textId="77777777" w:rsidR="00E57DAA" w:rsidRDefault="00AC4185">
      <w:pPr>
        <w:pStyle w:val="3"/>
        <w:numPr>
          <w:ilvl w:val="0"/>
          <w:numId w:val="69"/>
        </w:numPr>
        <w:shd w:val="clear" w:color="auto" w:fill="auto"/>
        <w:tabs>
          <w:tab w:val="left" w:pos="504"/>
        </w:tabs>
        <w:spacing w:before="60" w:after="60" w:line="240" w:lineRule="auto"/>
        <w:rPr>
          <w:szCs w:val="21"/>
        </w:rPr>
      </w:pPr>
      <w:r>
        <w:rPr>
          <w:rFonts w:hint="eastAsia"/>
          <w:szCs w:val="21"/>
        </w:rPr>
        <w:t>交易性金融负债</w:t>
      </w:r>
    </w:p>
    <w:sdt>
      <w:sdtPr>
        <w:rPr>
          <w:szCs w:val="21"/>
        </w:rPr>
        <w:alias w:val="是否适用：交易性金融负债[双击切换]"/>
        <w:tag w:val="_GBC_c7e98597070f45a4a30160e35e818445"/>
        <w:id w:val="922844888"/>
      </w:sdtPr>
      <w:sdtEndPr/>
      <w:sdtContent>
        <w:p w14:paraId="26FDFAD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p w14:paraId="788BD6B9" w14:textId="77777777" w:rsidR="00E57DAA" w:rsidRDefault="00AC4185">
      <w:pPr>
        <w:jc w:val="right"/>
      </w:pPr>
      <w:r>
        <w:rPr>
          <w:rFonts w:hint="eastAsia"/>
        </w:rPr>
        <w:t>单位：</w:t>
      </w:r>
      <w:sdt>
        <w:sdtPr>
          <w:rPr>
            <w:rFonts w:hint="eastAsia"/>
          </w:rPr>
          <w:alias w:val="单位：财务附注：交易性金融负债"/>
          <w:tag w:val="_GBC_d8a191bb86fa450a980e62ff77f5f4db"/>
          <w:id w:val="-201414414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38af494778db4aada35de89630b8e40c"/>
          <w:id w:val="48159255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090"/>
        <w:gridCol w:w="2001"/>
        <w:gridCol w:w="1867"/>
        <w:gridCol w:w="1865"/>
      </w:tblGrid>
      <w:tr w:rsidR="00E57DAA" w14:paraId="2FB7F968" w14:textId="77777777">
        <w:sdt>
          <w:sdtPr>
            <w:tag w:val="_PLD_0888c2a31fbf4ac9b9be17f2eeae2edd"/>
            <w:id w:val="1831711879"/>
          </w:sdtPr>
          <w:sdtEndPr/>
          <w:sdtContent>
            <w:tc>
              <w:tcPr>
                <w:tcW w:w="1751" w:type="pct"/>
                <w:shd w:val="clear" w:color="auto" w:fill="auto"/>
                <w:vAlign w:val="center"/>
              </w:tcPr>
              <w:p w14:paraId="27B97D41" w14:textId="77777777" w:rsidR="00E57DAA" w:rsidRDefault="00AC4185">
                <w:pPr>
                  <w:jc w:val="center"/>
                  <w:rPr>
                    <w:szCs w:val="21"/>
                  </w:rPr>
                </w:pPr>
                <w:r>
                  <w:rPr>
                    <w:rFonts w:hint="eastAsia"/>
                    <w:szCs w:val="21"/>
                  </w:rPr>
                  <w:t>项目</w:t>
                </w:r>
              </w:p>
            </w:tc>
          </w:sdtContent>
        </w:sdt>
        <w:sdt>
          <w:sdtPr>
            <w:tag w:val="_PLD_723d03b7af45458dbeb5a224d75fee9c"/>
            <w:id w:val="11812652"/>
          </w:sdtPr>
          <w:sdtEndPr/>
          <w:sdtContent>
            <w:tc>
              <w:tcPr>
                <w:tcW w:w="1134" w:type="pct"/>
                <w:shd w:val="clear" w:color="auto" w:fill="auto"/>
                <w:vAlign w:val="center"/>
              </w:tcPr>
              <w:p w14:paraId="1206FECF" w14:textId="77777777" w:rsidR="00E57DAA" w:rsidRDefault="00AC4185">
                <w:pPr>
                  <w:jc w:val="center"/>
                  <w:rPr>
                    <w:szCs w:val="21"/>
                  </w:rPr>
                </w:pPr>
                <w:r>
                  <w:rPr>
                    <w:rFonts w:hint="eastAsia"/>
                    <w:szCs w:val="21"/>
                  </w:rPr>
                  <w:t>期初余额</w:t>
                </w:r>
              </w:p>
            </w:tc>
          </w:sdtContent>
        </w:sdt>
        <w:sdt>
          <w:sdtPr>
            <w:tag w:val="_PLD_d49cb0f2d665490b81b46c9e89fe48b9"/>
            <w:id w:val="-554005232"/>
          </w:sdtPr>
          <w:sdtEndPr/>
          <w:sdtContent>
            <w:tc>
              <w:tcPr>
                <w:tcW w:w="1058" w:type="pct"/>
                <w:shd w:val="clear" w:color="auto" w:fill="auto"/>
                <w:vAlign w:val="center"/>
              </w:tcPr>
              <w:p w14:paraId="3169F6A9" w14:textId="77777777" w:rsidR="00E57DAA" w:rsidRDefault="00AC4185">
                <w:pPr>
                  <w:jc w:val="center"/>
                  <w:rPr>
                    <w:szCs w:val="21"/>
                  </w:rPr>
                </w:pPr>
                <w:r>
                  <w:rPr>
                    <w:rFonts w:hint="eastAsia"/>
                    <w:szCs w:val="21"/>
                  </w:rPr>
                  <w:t>期末余额</w:t>
                </w:r>
              </w:p>
            </w:tc>
          </w:sdtContent>
        </w:sdt>
        <w:sdt>
          <w:sdtPr>
            <w:rPr>
              <w:rFonts w:hint="eastAsia"/>
            </w:rPr>
            <w:tag w:val="_PLD_3848c8c839e648018881af65bd7a82d1"/>
            <w:id w:val="229130476"/>
          </w:sdtPr>
          <w:sdtEndPr/>
          <w:sdtContent>
            <w:tc>
              <w:tcPr>
                <w:tcW w:w="1057" w:type="pct"/>
              </w:tcPr>
              <w:p w14:paraId="4928725B" w14:textId="77777777" w:rsidR="00E57DAA" w:rsidRDefault="00AC4185">
                <w:pPr>
                  <w:jc w:val="center"/>
                </w:pPr>
                <w:r>
                  <w:rPr>
                    <w:rFonts w:hint="eastAsia"/>
                  </w:rPr>
                  <w:t>指定的理由和依据</w:t>
                </w:r>
              </w:p>
            </w:tc>
          </w:sdtContent>
        </w:sdt>
      </w:tr>
      <w:tr w:rsidR="00E57DAA" w14:paraId="492C2DD3" w14:textId="77777777">
        <w:sdt>
          <w:sdtPr>
            <w:tag w:val="_PLD_a1df7d30ad224a67a8319ab3d4b65a31"/>
            <w:id w:val="-250270894"/>
          </w:sdtPr>
          <w:sdtEndPr/>
          <w:sdtContent>
            <w:tc>
              <w:tcPr>
                <w:tcW w:w="1751" w:type="pct"/>
                <w:shd w:val="clear" w:color="auto" w:fill="auto"/>
              </w:tcPr>
              <w:p w14:paraId="3FE7D749" w14:textId="77777777" w:rsidR="00E57DAA" w:rsidRDefault="00AC4185">
                <w:pPr>
                  <w:autoSpaceDE w:val="0"/>
                  <w:autoSpaceDN w:val="0"/>
                  <w:adjustRightInd w:val="0"/>
                  <w:rPr>
                    <w:szCs w:val="21"/>
                  </w:rPr>
                </w:pPr>
                <w:r>
                  <w:rPr>
                    <w:rFonts w:hint="eastAsia"/>
                    <w:szCs w:val="21"/>
                  </w:rPr>
                  <w:t>交易性金融负债</w:t>
                </w:r>
              </w:p>
            </w:tc>
          </w:sdtContent>
        </w:sdt>
        <w:tc>
          <w:tcPr>
            <w:tcW w:w="1134" w:type="pct"/>
            <w:shd w:val="clear" w:color="auto" w:fill="auto"/>
            <w:vAlign w:val="center"/>
          </w:tcPr>
          <w:p w14:paraId="3C3AD074" w14:textId="77777777" w:rsidR="00E57DAA" w:rsidRDefault="00AC4185">
            <w:pPr>
              <w:jc w:val="right"/>
              <w:rPr>
                <w:szCs w:val="21"/>
              </w:rPr>
            </w:pPr>
            <w:r>
              <w:t>4,444,855.13</w:t>
            </w:r>
          </w:p>
        </w:tc>
        <w:tc>
          <w:tcPr>
            <w:tcW w:w="1058" w:type="pct"/>
            <w:shd w:val="clear" w:color="auto" w:fill="auto"/>
            <w:vAlign w:val="center"/>
          </w:tcPr>
          <w:p w14:paraId="375BD02D" w14:textId="77777777" w:rsidR="00E57DAA" w:rsidRDefault="00AC4185">
            <w:pPr>
              <w:jc w:val="right"/>
              <w:rPr>
                <w:szCs w:val="21"/>
              </w:rPr>
            </w:pPr>
            <w:r>
              <w:t>26,115,614.73</w:t>
            </w:r>
          </w:p>
        </w:tc>
        <w:tc>
          <w:tcPr>
            <w:tcW w:w="1057" w:type="pct"/>
          </w:tcPr>
          <w:p w14:paraId="584E269D" w14:textId="77777777" w:rsidR="00E57DAA" w:rsidRDefault="00AC4185">
            <w:pPr>
              <w:jc w:val="center"/>
              <w:rPr>
                <w:szCs w:val="21"/>
              </w:rPr>
            </w:pPr>
            <w:r>
              <w:rPr>
                <w:rFonts w:hint="eastAsia"/>
                <w:szCs w:val="21"/>
              </w:rPr>
              <w:t>/</w:t>
            </w:r>
          </w:p>
        </w:tc>
      </w:tr>
      <w:tr w:rsidR="00E57DAA" w14:paraId="3966F048" w14:textId="77777777">
        <w:sdt>
          <w:sdtPr>
            <w:tag w:val="_PLD_ee6544aff742472ba55d6fb0c1c91a6f"/>
            <w:id w:val="648863991"/>
          </w:sdtPr>
          <w:sdtEndPr/>
          <w:sdtContent>
            <w:tc>
              <w:tcPr>
                <w:tcW w:w="5000" w:type="pct"/>
                <w:gridSpan w:val="4"/>
                <w:shd w:val="clear" w:color="auto" w:fill="auto"/>
              </w:tcPr>
              <w:p w14:paraId="3EE6DADC" w14:textId="77777777" w:rsidR="00E57DAA" w:rsidRDefault="00AC4185">
                <w:pPr>
                  <w:rPr>
                    <w:szCs w:val="21"/>
                  </w:rPr>
                </w:pPr>
                <w:r>
                  <w:rPr>
                    <w:rFonts w:hint="eastAsia"/>
                    <w:szCs w:val="21"/>
                  </w:rPr>
                  <w:t>其中：</w:t>
                </w:r>
              </w:p>
            </w:tc>
          </w:sdtContent>
        </w:sdt>
      </w:tr>
      <w:sdt>
        <w:sdtPr>
          <w:rPr>
            <w:szCs w:val="21"/>
          </w:rPr>
          <w:alias w:val="交易性金融负债中的交易性金融负债明细"/>
          <w:tag w:val="_TUP_bd39d8f897744f41a6a71c10e9b2facb"/>
          <w:id w:val="-1047293306"/>
        </w:sdtPr>
        <w:sdtEndPr/>
        <w:sdtContent>
          <w:tr w:rsidR="00E57DAA" w14:paraId="322BB0DC" w14:textId="77777777">
            <w:tc>
              <w:tcPr>
                <w:tcW w:w="1751" w:type="pct"/>
                <w:shd w:val="clear" w:color="auto" w:fill="auto"/>
              </w:tcPr>
              <w:p w14:paraId="3D1CC323" w14:textId="77777777" w:rsidR="00E57DAA" w:rsidRDefault="00AC4185">
                <w:pPr>
                  <w:autoSpaceDE w:val="0"/>
                  <w:autoSpaceDN w:val="0"/>
                  <w:adjustRightInd w:val="0"/>
                  <w:ind w:firstLineChars="200" w:firstLine="420"/>
                  <w:rPr>
                    <w:szCs w:val="21"/>
                  </w:rPr>
                </w:pPr>
                <w:r>
                  <w:rPr>
                    <w:rFonts w:hint="eastAsia"/>
                  </w:rPr>
                  <w:t>远期外汇合约</w:t>
                </w:r>
              </w:p>
            </w:tc>
            <w:tc>
              <w:tcPr>
                <w:tcW w:w="1134" w:type="pct"/>
                <w:shd w:val="clear" w:color="auto" w:fill="auto"/>
                <w:vAlign w:val="center"/>
              </w:tcPr>
              <w:p w14:paraId="1376EC69" w14:textId="77777777" w:rsidR="00E57DAA" w:rsidRDefault="00AC4185">
                <w:pPr>
                  <w:jc w:val="right"/>
                  <w:rPr>
                    <w:szCs w:val="21"/>
                  </w:rPr>
                </w:pPr>
                <w:r>
                  <w:rPr>
                    <w:rFonts w:hint="eastAsia"/>
                  </w:rPr>
                  <w:t>4,444,855.13</w:t>
                </w:r>
              </w:p>
            </w:tc>
            <w:tc>
              <w:tcPr>
                <w:tcW w:w="1058" w:type="pct"/>
                <w:shd w:val="clear" w:color="auto" w:fill="auto"/>
                <w:vAlign w:val="center"/>
              </w:tcPr>
              <w:p w14:paraId="545831B0" w14:textId="77777777" w:rsidR="00E57DAA" w:rsidRDefault="00AC4185">
                <w:pPr>
                  <w:jc w:val="right"/>
                  <w:rPr>
                    <w:szCs w:val="21"/>
                  </w:rPr>
                </w:pPr>
                <w:r>
                  <w:rPr>
                    <w:szCs w:val="21"/>
                  </w:rPr>
                  <w:t>26,115,614.73</w:t>
                </w:r>
              </w:p>
            </w:tc>
            <w:tc>
              <w:tcPr>
                <w:tcW w:w="1057" w:type="pct"/>
              </w:tcPr>
              <w:p w14:paraId="567719F5" w14:textId="77777777" w:rsidR="00E57DAA" w:rsidRDefault="00AC4185">
                <w:pPr>
                  <w:jc w:val="center"/>
                  <w:rPr>
                    <w:szCs w:val="21"/>
                  </w:rPr>
                </w:pPr>
                <w:r>
                  <w:rPr>
                    <w:szCs w:val="21"/>
                  </w:rPr>
                  <w:t>/</w:t>
                </w:r>
              </w:p>
            </w:tc>
          </w:tr>
        </w:sdtContent>
      </w:sdt>
      <w:tr w:rsidR="00E57DAA" w14:paraId="01178939" w14:textId="77777777">
        <w:sdt>
          <w:sdtPr>
            <w:tag w:val="_PLD_80300316e2fb44c4900112fd82e521a9"/>
            <w:id w:val="2020650668"/>
          </w:sdtPr>
          <w:sdtEndPr/>
          <w:sdtContent>
            <w:tc>
              <w:tcPr>
                <w:tcW w:w="1751" w:type="pct"/>
                <w:shd w:val="clear" w:color="auto" w:fill="auto"/>
                <w:vAlign w:val="center"/>
              </w:tcPr>
              <w:p w14:paraId="512CAE21" w14:textId="77777777" w:rsidR="00E57DAA" w:rsidRDefault="00AC4185">
                <w:pPr>
                  <w:jc w:val="center"/>
                  <w:rPr>
                    <w:szCs w:val="21"/>
                  </w:rPr>
                </w:pPr>
                <w:r>
                  <w:rPr>
                    <w:rFonts w:hint="eastAsia"/>
                    <w:szCs w:val="21"/>
                  </w:rPr>
                  <w:t>合计</w:t>
                </w:r>
              </w:p>
            </w:tc>
          </w:sdtContent>
        </w:sdt>
        <w:tc>
          <w:tcPr>
            <w:tcW w:w="1134" w:type="pct"/>
            <w:shd w:val="clear" w:color="auto" w:fill="auto"/>
          </w:tcPr>
          <w:p w14:paraId="3A210965" w14:textId="77777777" w:rsidR="00E57DAA" w:rsidRDefault="00AC4185">
            <w:pPr>
              <w:jc w:val="right"/>
              <w:rPr>
                <w:szCs w:val="21"/>
              </w:rPr>
            </w:pPr>
            <w:r>
              <w:rPr>
                <w:rFonts w:hint="eastAsia"/>
              </w:rPr>
              <w:t>4,444,855.13</w:t>
            </w:r>
          </w:p>
        </w:tc>
        <w:tc>
          <w:tcPr>
            <w:tcW w:w="1058" w:type="pct"/>
            <w:shd w:val="clear" w:color="auto" w:fill="auto"/>
          </w:tcPr>
          <w:p w14:paraId="207246A1" w14:textId="77777777" w:rsidR="00E57DAA" w:rsidRDefault="00AC4185">
            <w:pPr>
              <w:jc w:val="right"/>
              <w:rPr>
                <w:szCs w:val="21"/>
              </w:rPr>
            </w:pPr>
            <w:r>
              <w:rPr>
                <w:rFonts w:hint="eastAsia"/>
              </w:rPr>
              <w:t>26,115,614.73</w:t>
            </w:r>
          </w:p>
        </w:tc>
        <w:tc>
          <w:tcPr>
            <w:tcW w:w="1057" w:type="pct"/>
          </w:tcPr>
          <w:sdt>
            <w:sdtPr>
              <w:rPr>
                <w:szCs w:val="21"/>
              </w:rPr>
              <w:tag w:val="_PLD_8300f559d1d04f0eace8c7c95fe53307"/>
              <w:id w:val="1502539509"/>
            </w:sdtPr>
            <w:sdtEndPr/>
            <w:sdtContent>
              <w:p w14:paraId="5B0C4748" w14:textId="77777777" w:rsidR="00E57DAA" w:rsidRDefault="00AC4185">
                <w:pPr>
                  <w:jc w:val="center"/>
                  <w:rPr>
                    <w:szCs w:val="21"/>
                  </w:rPr>
                </w:pPr>
                <w:r>
                  <w:rPr>
                    <w:szCs w:val="21"/>
                  </w:rPr>
                  <w:t>/</w:t>
                </w:r>
              </w:p>
            </w:sdtContent>
          </w:sdt>
        </w:tc>
      </w:tr>
    </w:tbl>
    <w:p w14:paraId="7EF8110A" w14:textId="77777777" w:rsidR="00E57DAA" w:rsidRDefault="00E57DAA"/>
    <w:p w14:paraId="0DB2BBD3" w14:textId="77777777" w:rsidR="00E57DAA" w:rsidRDefault="00AC4185">
      <w:r>
        <w:rPr>
          <w:rFonts w:hint="eastAsia"/>
        </w:rPr>
        <w:t>其他</w:t>
      </w:r>
      <w:r>
        <w:t>说明</w:t>
      </w:r>
      <w:r>
        <w:rPr>
          <w:rFonts w:hint="eastAsia"/>
        </w:rPr>
        <w:t>：</w:t>
      </w:r>
    </w:p>
    <w:sdt>
      <w:sdtPr>
        <w:rPr>
          <w:szCs w:val="21"/>
        </w:rPr>
        <w:alias w:val="是否适用：交易性金融负债的说明[双击切换]"/>
        <w:tag w:val="_GBC_995f4c24d1994336b676a94c12f11d69"/>
        <w:id w:val="-1554616492"/>
      </w:sdtPr>
      <w:sdtEndPr/>
      <w:sdtContent>
        <w:p w14:paraId="1CDC512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p w14:paraId="4B2284FC" w14:textId="77777777" w:rsidR="00E57DAA" w:rsidRDefault="00E57DAA"/>
    <w:p w14:paraId="06549164" w14:textId="77777777" w:rsidR="00E57DAA" w:rsidRDefault="00AC4185">
      <w:pPr>
        <w:pStyle w:val="3"/>
        <w:numPr>
          <w:ilvl w:val="0"/>
          <w:numId w:val="69"/>
        </w:numPr>
        <w:shd w:val="clear" w:color="auto" w:fill="auto"/>
        <w:tabs>
          <w:tab w:val="left" w:pos="504"/>
        </w:tabs>
        <w:spacing w:before="60" w:after="60" w:line="240" w:lineRule="auto"/>
        <w:rPr>
          <w:szCs w:val="21"/>
        </w:rPr>
      </w:pPr>
      <w:r>
        <w:rPr>
          <w:rFonts w:hint="eastAsia"/>
          <w:szCs w:val="21"/>
        </w:rPr>
        <w:t>衍生</w:t>
      </w:r>
      <w:r>
        <w:rPr>
          <w:rFonts w:hint="eastAsia"/>
        </w:rPr>
        <w:t>金融</w:t>
      </w:r>
      <w:r>
        <w:rPr>
          <w:rFonts w:hint="eastAsia"/>
          <w:szCs w:val="21"/>
        </w:rPr>
        <w:t>负债</w:t>
      </w:r>
    </w:p>
    <w:p w14:paraId="755A54A2" w14:textId="77777777" w:rsidR="00E57DAA" w:rsidRDefault="00EB41A1">
      <w:pPr>
        <w:rPr>
          <w:szCs w:val="21"/>
        </w:rPr>
      </w:pPr>
      <w:sdt>
        <w:sdtPr>
          <w:rPr>
            <w:szCs w:val="21"/>
          </w:rPr>
          <w:alias w:val="是否适用：衍生金融负债[双击切换]"/>
          <w:tag w:val="_GBC_9a70de9cca174edeb1bce62f4a47d15c"/>
          <w:id w:val="1200204005"/>
        </w:sdtPr>
        <w:sdtEndPr/>
        <w:sdtContent>
          <w:r w:rsidR="00AC4185">
            <w:rPr>
              <w:szCs w:val="21"/>
            </w:rPr>
            <w:fldChar w:fldCharType="begin"/>
          </w:r>
          <w:r w:rsidR="00AC4185">
            <w:rPr>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MACROBUTTON  SnrToggleCheckbox □不适用 </w:instrText>
          </w:r>
          <w:r w:rsidR="00AC4185">
            <w:rPr>
              <w:szCs w:val="21"/>
            </w:rPr>
            <w:fldChar w:fldCharType="end"/>
          </w:r>
        </w:sdtContent>
      </w:sdt>
    </w:p>
    <w:p w14:paraId="256DCA9B" w14:textId="77777777" w:rsidR="00E57DAA" w:rsidRDefault="00AC4185">
      <w:pPr>
        <w:jc w:val="right"/>
        <w:rPr>
          <w:szCs w:val="21"/>
        </w:rPr>
      </w:pPr>
      <w:r>
        <w:rPr>
          <w:rFonts w:hint="eastAsia"/>
          <w:szCs w:val="21"/>
        </w:rPr>
        <w:lastRenderedPageBreak/>
        <w:t>单位：</w:t>
      </w:r>
      <w:sdt>
        <w:sdtPr>
          <w:rPr>
            <w:rFonts w:hint="eastAsia"/>
            <w:szCs w:val="21"/>
          </w:rPr>
          <w:alias w:val="单位：财务附注：衍生金融负债"/>
          <w:tag w:val="_GBC_ff1c86585972441dbbffe87a4b840518"/>
          <w:id w:val="-1190219826"/>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衍生金融负债"/>
          <w:tag w:val="_GBC_87c6ce326ba44cb59ceef0bd57f7ae41"/>
          <w:id w:val="-57820910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217"/>
        <w:gridCol w:w="2832"/>
        <w:gridCol w:w="2774"/>
      </w:tblGrid>
      <w:tr w:rsidR="00E57DAA" w14:paraId="6FF108FA" w14:textId="77777777">
        <w:sdt>
          <w:sdtPr>
            <w:tag w:val="_PLD_4242de38976f451bb70db16b7fa61f63"/>
            <w:id w:val="1379515165"/>
          </w:sdtPr>
          <w:sdtEndPr/>
          <w:sdtContent>
            <w:tc>
              <w:tcPr>
                <w:tcW w:w="1823" w:type="pct"/>
                <w:shd w:val="clear" w:color="auto" w:fill="auto"/>
                <w:vAlign w:val="center"/>
              </w:tcPr>
              <w:p w14:paraId="00026A9D" w14:textId="77777777" w:rsidR="00E57DAA" w:rsidRDefault="00AC4185">
                <w:pPr>
                  <w:jc w:val="center"/>
                  <w:rPr>
                    <w:szCs w:val="21"/>
                  </w:rPr>
                </w:pPr>
                <w:r>
                  <w:rPr>
                    <w:rFonts w:hint="eastAsia"/>
                    <w:szCs w:val="21"/>
                  </w:rPr>
                  <w:t>项目</w:t>
                </w:r>
              </w:p>
            </w:tc>
          </w:sdtContent>
        </w:sdt>
        <w:sdt>
          <w:sdtPr>
            <w:tag w:val="_PLD_f73d6308b05f49bd9dfc782cd9270ee8"/>
            <w:id w:val="-1579904369"/>
          </w:sdtPr>
          <w:sdtEndPr/>
          <w:sdtContent>
            <w:tc>
              <w:tcPr>
                <w:tcW w:w="1605" w:type="pct"/>
                <w:tcBorders>
                  <w:bottom w:val="single" w:sz="6" w:space="0" w:color="auto"/>
                </w:tcBorders>
                <w:shd w:val="clear" w:color="auto" w:fill="auto"/>
                <w:vAlign w:val="center"/>
              </w:tcPr>
              <w:p w14:paraId="77C0B564" w14:textId="77777777" w:rsidR="00E57DAA" w:rsidRDefault="00AC4185">
                <w:pPr>
                  <w:jc w:val="center"/>
                  <w:rPr>
                    <w:szCs w:val="21"/>
                  </w:rPr>
                </w:pPr>
                <w:r>
                  <w:rPr>
                    <w:rFonts w:hint="eastAsia"/>
                    <w:szCs w:val="21"/>
                  </w:rPr>
                  <w:t>期末余额</w:t>
                </w:r>
              </w:p>
            </w:tc>
          </w:sdtContent>
        </w:sdt>
        <w:sdt>
          <w:sdtPr>
            <w:tag w:val="_PLD_4d6b35eb57764b18b2d48e833205e920"/>
            <w:id w:val="-931197568"/>
          </w:sdtPr>
          <w:sdtEndPr/>
          <w:sdtContent>
            <w:tc>
              <w:tcPr>
                <w:tcW w:w="1572" w:type="pct"/>
                <w:shd w:val="clear" w:color="auto" w:fill="auto"/>
                <w:vAlign w:val="center"/>
              </w:tcPr>
              <w:p w14:paraId="36FBAB8D" w14:textId="77777777" w:rsidR="00E57DAA" w:rsidRDefault="00AC4185">
                <w:pPr>
                  <w:jc w:val="center"/>
                  <w:rPr>
                    <w:szCs w:val="21"/>
                  </w:rPr>
                </w:pPr>
                <w:r>
                  <w:rPr>
                    <w:rFonts w:hint="eastAsia"/>
                    <w:szCs w:val="21"/>
                  </w:rPr>
                  <w:t>期初余额</w:t>
                </w:r>
              </w:p>
            </w:tc>
          </w:sdtContent>
        </w:sdt>
      </w:tr>
      <w:sdt>
        <w:sdtPr>
          <w:rPr>
            <w:szCs w:val="21"/>
          </w:rPr>
          <w:alias w:val="衍生金融负债明细"/>
          <w:tag w:val="_TUP_7563466629ff4530ae320cc49abe33de"/>
          <w:id w:val="1121567039"/>
        </w:sdtPr>
        <w:sdtEndPr/>
        <w:sdtContent>
          <w:tr w:rsidR="00E57DAA" w14:paraId="44F40969" w14:textId="77777777">
            <w:tc>
              <w:tcPr>
                <w:tcW w:w="1823" w:type="pct"/>
                <w:shd w:val="clear" w:color="auto" w:fill="auto"/>
                <w:vAlign w:val="center"/>
              </w:tcPr>
              <w:p w14:paraId="0CF246F9" w14:textId="77777777" w:rsidR="00E57DAA" w:rsidRDefault="00AC4185">
                <w:pPr>
                  <w:rPr>
                    <w:szCs w:val="21"/>
                  </w:rPr>
                </w:pPr>
                <w:r>
                  <w:rPr>
                    <w:rFonts w:hint="eastAsia"/>
                  </w:rPr>
                  <w:t>远期外汇合约</w:t>
                </w:r>
              </w:p>
            </w:tc>
            <w:tc>
              <w:tcPr>
                <w:tcW w:w="1605" w:type="pct"/>
                <w:tcBorders>
                  <w:top w:val="single" w:sz="6" w:space="0" w:color="auto"/>
                  <w:bottom w:val="single" w:sz="6" w:space="0" w:color="auto"/>
                </w:tcBorders>
                <w:shd w:val="clear" w:color="auto" w:fill="auto"/>
              </w:tcPr>
              <w:p w14:paraId="45998484" w14:textId="77777777" w:rsidR="00E57DAA" w:rsidRDefault="00AC4185">
                <w:pPr>
                  <w:jc w:val="right"/>
                  <w:rPr>
                    <w:szCs w:val="21"/>
                  </w:rPr>
                </w:pPr>
                <w:r>
                  <w:rPr>
                    <w:rFonts w:hint="eastAsia"/>
                  </w:rPr>
                  <w:t>46,418,000.00</w:t>
                </w:r>
              </w:p>
            </w:tc>
            <w:tc>
              <w:tcPr>
                <w:tcW w:w="1572" w:type="pct"/>
                <w:shd w:val="clear" w:color="auto" w:fill="auto"/>
              </w:tcPr>
              <w:p w14:paraId="2D7D8F6D" w14:textId="77777777" w:rsidR="00E57DAA" w:rsidRDefault="00E57DAA">
                <w:pPr>
                  <w:jc w:val="right"/>
                  <w:rPr>
                    <w:szCs w:val="21"/>
                  </w:rPr>
                </w:pPr>
              </w:p>
            </w:tc>
          </w:tr>
        </w:sdtContent>
      </w:sdt>
      <w:tr w:rsidR="00E57DAA" w14:paraId="05A67EE5" w14:textId="77777777">
        <w:sdt>
          <w:sdtPr>
            <w:tag w:val="_PLD_8fac8ffbd7dc47cba5df45b589093200"/>
            <w:id w:val="-166169321"/>
          </w:sdtPr>
          <w:sdtEndPr/>
          <w:sdtContent>
            <w:tc>
              <w:tcPr>
                <w:tcW w:w="1823" w:type="pct"/>
                <w:shd w:val="clear" w:color="auto" w:fill="auto"/>
                <w:vAlign w:val="center"/>
              </w:tcPr>
              <w:p w14:paraId="6119DF8D" w14:textId="77777777" w:rsidR="00E57DAA" w:rsidRDefault="00AC4185">
                <w:pPr>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vAlign w:val="center"/>
          </w:tcPr>
          <w:p w14:paraId="38A21F55" w14:textId="77777777" w:rsidR="00E57DAA" w:rsidRDefault="00AC4185">
            <w:pPr>
              <w:jc w:val="right"/>
              <w:rPr>
                <w:szCs w:val="21"/>
              </w:rPr>
            </w:pPr>
            <w:r>
              <w:rPr>
                <w:rFonts w:hint="eastAsia"/>
              </w:rPr>
              <w:t>46,418,000.00</w:t>
            </w:r>
          </w:p>
        </w:tc>
        <w:tc>
          <w:tcPr>
            <w:tcW w:w="1572" w:type="pct"/>
            <w:shd w:val="clear" w:color="auto" w:fill="auto"/>
          </w:tcPr>
          <w:p w14:paraId="3E98C410" w14:textId="77777777" w:rsidR="00E57DAA" w:rsidRDefault="00E57DAA">
            <w:pPr>
              <w:jc w:val="right"/>
              <w:rPr>
                <w:szCs w:val="21"/>
              </w:rPr>
            </w:pPr>
          </w:p>
        </w:tc>
      </w:tr>
    </w:tbl>
    <w:p w14:paraId="5F5ECBF0" w14:textId="77777777" w:rsidR="00E57DAA" w:rsidRDefault="00AC4185">
      <w:pPr>
        <w:rPr>
          <w:szCs w:val="21"/>
        </w:rPr>
      </w:pPr>
      <w:r>
        <w:rPr>
          <w:rFonts w:hint="eastAsia"/>
          <w:szCs w:val="21"/>
        </w:rPr>
        <w:t>其他说明:</w:t>
      </w:r>
    </w:p>
    <w:sdt>
      <w:sdtPr>
        <w:rPr>
          <w:rFonts w:hint="eastAsia"/>
          <w:szCs w:val="21"/>
        </w:rPr>
        <w:alias w:val="衍生金融负债其他说明"/>
        <w:tag w:val="_GBC_ff7db81a018844adb2568cd50ea7b0e4"/>
        <w:id w:val="1424290711"/>
      </w:sdtPr>
      <w:sdtEndPr/>
      <w:sdtContent>
        <w:p w14:paraId="52C2B198" w14:textId="77777777" w:rsidR="00E57DAA" w:rsidRDefault="00AC4185">
          <w:pPr>
            <w:ind w:firstLineChars="200" w:firstLine="420"/>
            <w:rPr>
              <w:szCs w:val="21"/>
            </w:rPr>
          </w:pPr>
          <w:r>
            <w:rPr>
              <w:rFonts w:hint="eastAsia"/>
              <w:szCs w:val="21"/>
            </w:rPr>
            <w:t>本公司将外汇远期合约指定对外币销售的欧元、美元兑人民币的外汇风险进行现金流量套期，于</w:t>
          </w:r>
          <w:r>
            <w:rPr>
              <w:szCs w:val="21"/>
            </w:rPr>
            <w:t>2023 年12月 31日，该等衍生金融负债公允价值为人民币46,418,000.00元。</w:t>
          </w:r>
        </w:p>
      </w:sdtContent>
    </w:sdt>
    <w:p w14:paraId="1223F448" w14:textId="77777777" w:rsidR="00E57DAA" w:rsidRDefault="00E57DAA">
      <w:pPr>
        <w:rPr>
          <w:szCs w:val="21"/>
        </w:rPr>
      </w:pPr>
    </w:p>
    <w:p w14:paraId="085F1C64" w14:textId="77777777" w:rsidR="00E57DAA" w:rsidRDefault="00AC4185" w:rsidP="00C25422">
      <w:pPr>
        <w:pStyle w:val="91"/>
        <w:numPr>
          <w:ilvl w:val="0"/>
          <w:numId w:val="69"/>
        </w:numPr>
        <w:rPr>
          <w:szCs w:val="21"/>
        </w:rPr>
      </w:pPr>
      <w:r>
        <w:rPr>
          <w:rFonts w:hint="eastAsia"/>
        </w:rPr>
        <w:t>应付票据</w:t>
      </w:r>
    </w:p>
    <w:p w14:paraId="43D0DE94" w14:textId="77777777" w:rsidR="00E57DAA" w:rsidRDefault="00AC4185">
      <w:pPr>
        <w:pStyle w:val="4"/>
        <w:numPr>
          <w:ilvl w:val="0"/>
          <w:numId w:val="92"/>
        </w:numPr>
        <w:ind w:left="426" w:hanging="426"/>
      </w:pPr>
      <w:r>
        <w:rPr>
          <w:rFonts w:hint="eastAsia"/>
        </w:rPr>
        <w:t>应付票据列示</w:t>
      </w:r>
    </w:p>
    <w:sdt>
      <w:sdtPr>
        <w:alias w:val="是否适用：应付票据[双击切换]"/>
        <w:tag w:val="_GBC_c0116f9cd6f34dcfa483a1f112dac85a"/>
        <w:id w:val="1290468879"/>
        <w:lock w:val="contentLocked"/>
        <w:placeholder>
          <w:docPart w:val="GBC22222222222222222222222222222"/>
        </w:placeholder>
      </w:sdtPr>
      <w:sdtEndPr/>
      <w:sdtContent>
        <w:p w14:paraId="3EF79AB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F78592" w14:textId="77777777" w:rsidR="00E57DAA" w:rsidRDefault="00AC4185">
      <w:pPr>
        <w:jc w:val="right"/>
      </w:pPr>
      <w:r>
        <w:rPr>
          <w:rFonts w:hint="eastAsia"/>
        </w:rPr>
        <w:t>单位：</w:t>
      </w:r>
      <w:bookmarkStart w:id="276" w:name="_Hlk24103817"/>
      <w:sdt>
        <w:sdtPr>
          <w:rPr>
            <w:rFonts w:hint="eastAsia"/>
          </w:rPr>
          <w:alias w:val="单位：财务附注：应付票据"/>
          <w:tag w:val="_GBC_15d55f1cad24473fb8cfaa98468213e2"/>
          <w:id w:val="-296299430"/>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4521684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291"/>
        <w:gridCol w:w="3310"/>
        <w:gridCol w:w="3216"/>
      </w:tblGrid>
      <w:tr w:rsidR="00E57DAA" w14:paraId="21D5A514" w14:textId="77777777">
        <w:trPr>
          <w:cantSplit/>
        </w:trPr>
        <w:sdt>
          <w:sdtPr>
            <w:tag w:val="_PLD_73e624e5fe424f71bbf918594e2a1c9a"/>
            <w:id w:val="142168679"/>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21CC0E21" w14:textId="77777777" w:rsidR="00E57DAA" w:rsidRDefault="00AC4185">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1750341954"/>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2C46C488"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2015190691"/>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31EE6641"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5CADD98E" w14:textId="77777777">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1C2AC576" w14:textId="77777777" w:rsidR="00E57DAA" w:rsidRDefault="00AC4185">
            <w:pPr>
              <w:autoSpaceDE w:val="0"/>
              <w:autoSpaceDN w:val="0"/>
              <w:adjustRightInd w:val="0"/>
              <w:snapToGrid w:val="0"/>
              <w:spacing w:line="240" w:lineRule="atLeast"/>
              <w:rPr>
                <w:szCs w:val="21"/>
              </w:rPr>
            </w:pPr>
            <w:r>
              <w:rPr>
                <w:rFonts w:hint="eastAsia"/>
                <w:szCs w:val="21"/>
              </w:rPr>
              <w:t>银行承兑汇票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2FE60780" w14:textId="77777777" w:rsidR="00E57DAA" w:rsidRDefault="00AC4185">
            <w:pPr>
              <w:ind w:right="13"/>
              <w:jc w:val="right"/>
              <w:rPr>
                <w:szCs w:val="21"/>
              </w:rPr>
            </w:pPr>
            <w:r>
              <w:t>1,764,241,665.48</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26BA85DB" w14:textId="77777777" w:rsidR="00E57DAA" w:rsidRDefault="00AC4185">
            <w:pPr>
              <w:jc w:val="right"/>
              <w:rPr>
                <w:szCs w:val="21"/>
              </w:rPr>
            </w:pPr>
            <w:r>
              <w:t>2,371,096,771.35</w:t>
            </w:r>
          </w:p>
        </w:tc>
      </w:tr>
      <w:tr w:rsidR="00E57DAA" w14:paraId="10853564" w14:textId="77777777">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148002DE" w14:textId="77777777" w:rsidR="00E57DAA" w:rsidRDefault="00AC4185">
            <w:pPr>
              <w:autoSpaceDE w:val="0"/>
              <w:autoSpaceDN w:val="0"/>
              <w:adjustRightInd w:val="0"/>
              <w:snapToGrid w:val="0"/>
              <w:spacing w:line="240" w:lineRule="atLeast"/>
              <w:rPr>
                <w:szCs w:val="21"/>
              </w:rPr>
            </w:pPr>
            <w:r>
              <w:rPr>
                <w:rFonts w:hint="eastAsia"/>
                <w:szCs w:val="21"/>
              </w:rPr>
              <w:t>商业承兑汇票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0DFAAFCE" w14:textId="77777777" w:rsidR="00E57DAA" w:rsidRDefault="00AC4185">
            <w:pPr>
              <w:ind w:right="13"/>
              <w:jc w:val="right"/>
              <w:rPr>
                <w:szCs w:val="21"/>
              </w:rPr>
            </w:pPr>
            <w:r>
              <w:t>108,368,549.04</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65372B4E" w14:textId="77777777" w:rsidR="00E57DAA" w:rsidRDefault="00AC4185">
            <w:pPr>
              <w:jc w:val="right"/>
              <w:rPr>
                <w:szCs w:val="21"/>
              </w:rPr>
            </w:pPr>
            <w:r>
              <w:t>1,918,410.00</w:t>
            </w:r>
          </w:p>
        </w:tc>
      </w:tr>
      <w:tr w:rsidR="00E57DAA" w14:paraId="5D2528A8" w14:textId="77777777">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615DFFF0"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877" w:type="pct"/>
            <w:tcBorders>
              <w:top w:val="single" w:sz="6" w:space="0" w:color="auto"/>
              <w:left w:val="single" w:sz="6" w:space="0" w:color="auto"/>
              <w:bottom w:val="single" w:sz="6" w:space="0" w:color="auto"/>
              <w:right w:val="single" w:sz="6" w:space="0" w:color="auto"/>
            </w:tcBorders>
            <w:vAlign w:val="center"/>
          </w:tcPr>
          <w:p w14:paraId="6E308662" w14:textId="77777777" w:rsidR="00E57DAA" w:rsidRDefault="00AC4185">
            <w:pPr>
              <w:jc w:val="right"/>
              <w:rPr>
                <w:szCs w:val="21"/>
              </w:rPr>
            </w:pPr>
            <w:r>
              <w:t>1,872,610,214.52</w:t>
            </w:r>
          </w:p>
        </w:tc>
        <w:tc>
          <w:tcPr>
            <w:tcW w:w="1824" w:type="pct"/>
            <w:tcBorders>
              <w:top w:val="single" w:sz="6" w:space="0" w:color="auto"/>
              <w:left w:val="single" w:sz="6" w:space="0" w:color="auto"/>
              <w:bottom w:val="single" w:sz="6" w:space="0" w:color="auto"/>
              <w:right w:val="single" w:sz="6" w:space="0" w:color="auto"/>
            </w:tcBorders>
            <w:vAlign w:val="center"/>
          </w:tcPr>
          <w:p w14:paraId="56A04287" w14:textId="77777777" w:rsidR="00E57DAA" w:rsidRDefault="00AC4185">
            <w:pPr>
              <w:jc w:val="right"/>
              <w:rPr>
                <w:szCs w:val="21"/>
              </w:rPr>
            </w:pPr>
            <w:r>
              <w:t>2,373,015,181.35</w:t>
            </w:r>
          </w:p>
        </w:tc>
      </w:tr>
    </w:tbl>
    <w:p w14:paraId="75959948" w14:textId="77777777" w:rsidR="00E57DAA" w:rsidRDefault="00E57DAA" w:rsidP="00C25422">
      <w:pPr>
        <w:pStyle w:val="92"/>
      </w:pPr>
    </w:p>
    <w:bookmarkEnd w:id="276"/>
    <w:p w14:paraId="072660B6" w14:textId="77777777" w:rsidR="00E57DAA" w:rsidRDefault="00AC4185" w:rsidP="00C25422">
      <w:pPr>
        <w:pStyle w:val="91"/>
        <w:numPr>
          <w:ilvl w:val="0"/>
          <w:numId w:val="69"/>
        </w:numPr>
      </w:pPr>
      <w:r>
        <w:rPr>
          <w:rFonts w:hint="eastAsia"/>
        </w:rPr>
        <w:t>应付账款</w:t>
      </w:r>
    </w:p>
    <w:p w14:paraId="6658DBD7" w14:textId="77777777" w:rsidR="00E57DAA" w:rsidRDefault="00AC4185">
      <w:pPr>
        <w:pStyle w:val="4"/>
        <w:numPr>
          <w:ilvl w:val="0"/>
          <w:numId w:val="93"/>
        </w:numPr>
        <w:ind w:left="426" w:hanging="426"/>
      </w:pPr>
      <w:r>
        <w:rPr>
          <w:rFonts w:hint="eastAsia"/>
        </w:rPr>
        <w:t>应付账款列示</w:t>
      </w:r>
    </w:p>
    <w:sdt>
      <w:sdtPr>
        <w:alias w:val="是否适用：应付账款列示[双击切换]"/>
        <w:tag w:val="_GBC_dfb190a9e762454c9f89eb6be64b6eae"/>
        <w:id w:val="-626857096"/>
        <w:placeholder>
          <w:docPart w:val="GBC22222222222222222222222222222"/>
        </w:placeholder>
      </w:sdtPr>
      <w:sdtEndPr/>
      <w:sdtContent>
        <w:p w14:paraId="79F6AA0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E505F1" w14:textId="77777777" w:rsidR="00E57DAA" w:rsidRDefault="00AC4185">
      <w:pPr>
        <w:jc w:val="right"/>
        <w:rPr>
          <w:szCs w:val="21"/>
        </w:rPr>
      </w:pPr>
      <w:r>
        <w:rPr>
          <w:rFonts w:hint="eastAsia"/>
          <w:szCs w:val="21"/>
        </w:rPr>
        <w:t>单位：</w:t>
      </w:r>
      <w:sdt>
        <w:sdtPr>
          <w:rPr>
            <w:rFonts w:hint="eastAsia"/>
            <w:szCs w:val="21"/>
          </w:rPr>
          <w:alias w:val="单位：财务附注：应付账款情况"/>
          <w:tag w:val="_GBC_c14fe17937b74139aa7e100941fb21e9"/>
          <w:id w:val="-9562568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5959000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2795"/>
        <w:gridCol w:w="3257"/>
      </w:tblGrid>
      <w:tr w:rsidR="00E57DAA" w14:paraId="76FE9CFF" w14:textId="77777777">
        <w:sdt>
          <w:sdtPr>
            <w:tag w:val="_PLD_8270d78e97cf4a1cb18154c5c5dafe58"/>
            <w:id w:val="-366595931"/>
          </w:sdtPr>
          <w:sdtEndPr/>
          <w:sdtContent>
            <w:tc>
              <w:tcPr>
                <w:tcW w:w="1570" w:type="pct"/>
                <w:shd w:val="clear" w:color="auto" w:fill="auto"/>
              </w:tcPr>
              <w:p w14:paraId="1B21A1BB" w14:textId="77777777" w:rsidR="00E57DAA" w:rsidRDefault="00AC4185">
                <w:pPr>
                  <w:jc w:val="center"/>
                  <w:rPr>
                    <w:szCs w:val="21"/>
                  </w:rPr>
                </w:pPr>
                <w:r>
                  <w:rPr>
                    <w:rFonts w:hint="eastAsia"/>
                    <w:szCs w:val="21"/>
                  </w:rPr>
                  <w:t>项目</w:t>
                </w:r>
              </w:p>
            </w:tc>
          </w:sdtContent>
        </w:sdt>
        <w:sdt>
          <w:sdtPr>
            <w:tag w:val="_PLD_56127cd5754c44aaacae0a1320139a7a"/>
            <w:id w:val="-2092610032"/>
          </w:sdtPr>
          <w:sdtEndPr/>
          <w:sdtContent>
            <w:tc>
              <w:tcPr>
                <w:tcW w:w="1584" w:type="pct"/>
                <w:shd w:val="clear" w:color="auto" w:fill="auto"/>
              </w:tcPr>
              <w:p w14:paraId="744638BB" w14:textId="77777777" w:rsidR="00E57DAA" w:rsidRDefault="00AC4185">
                <w:pPr>
                  <w:jc w:val="center"/>
                  <w:rPr>
                    <w:szCs w:val="21"/>
                  </w:rPr>
                </w:pPr>
                <w:r>
                  <w:rPr>
                    <w:rFonts w:hint="eastAsia"/>
                    <w:szCs w:val="21"/>
                  </w:rPr>
                  <w:t>期末余额</w:t>
                </w:r>
              </w:p>
            </w:tc>
          </w:sdtContent>
        </w:sdt>
        <w:sdt>
          <w:sdtPr>
            <w:tag w:val="_PLD_27c6d2ca479446539fe00ab23ee1dc13"/>
            <w:id w:val="288248356"/>
          </w:sdtPr>
          <w:sdtEndPr/>
          <w:sdtContent>
            <w:tc>
              <w:tcPr>
                <w:tcW w:w="1846" w:type="pct"/>
                <w:shd w:val="clear" w:color="auto" w:fill="auto"/>
              </w:tcPr>
              <w:p w14:paraId="44FB47CF" w14:textId="77777777" w:rsidR="00E57DAA" w:rsidRDefault="00AC4185">
                <w:pPr>
                  <w:jc w:val="center"/>
                  <w:rPr>
                    <w:szCs w:val="21"/>
                  </w:rPr>
                </w:pPr>
                <w:r>
                  <w:rPr>
                    <w:rFonts w:hint="eastAsia"/>
                    <w:szCs w:val="21"/>
                  </w:rPr>
                  <w:t>期初余额</w:t>
                </w:r>
              </w:p>
            </w:tc>
          </w:sdtContent>
        </w:sdt>
      </w:tr>
      <w:tr w:rsidR="00E57DAA" w14:paraId="7194C4A7" w14:textId="77777777">
        <w:tc>
          <w:tcPr>
            <w:tcW w:w="1570" w:type="pct"/>
            <w:shd w:val="clear" w:color="auto" w:fill="auto"/>
          </w:tcPr>
          <w:p w14:paraId="20D9E9CF" w14:textId="77777777" w:rsidR="00E57DAA" w:rsidRDefault="00AC4185">
            <w:pPr>
              <w:rPr>
                <w:szCs w:val="21"/>
              </w:rPr>
            </w:pPr>
            <w:r>
              <w:t>1年以内</w:t>
            </w:r>
          </w:p>
        </w:tc>
        <w:tc>
          <w:tcPr>
            <w:tcW w:w="1584" w:type="pct"/>
            <w:shd w:val="clear" w:color="auto" w:fill="auto"/>
          </w:tcPr>
          <w:p w14:paraId="62EB77C0" w14:textId="77777777" w:rsidR="00E57DAA" w:rsidRDefault="00AC4185">
            <w:pPr>
              <w:jc w:val="right"/>
              <w:rPr>
                <w:szCs w:val="21"/>
              </w:rPr>
            </w:pPr>
            <w:r>
              <w:t>8,720,547,526.00</w:t>
            </w:r>
          </w:p>
        </w:tc>
        <w:tc>
          <w:tcPr>
            <w:tcW w:w="1846" w:type="pct"/>
            <w:shd w:val="clear" w:color="auto" w:fill="auto"/>
          </w:tcPr>
          <w:p w14:paraId="7E5DDA83" w14:textId="77777777" w:rsidR="00E57DAA" w:rsidRDefault="00AC4185">
            <w:pPr>
              <w:jc w:val="right"/>
              <w:rPr>
                <w:szCs w:val="21"/>
              </w:rPr>
            </w:pPr>
            <w:r>
              <w:t>7,443,974,456.98</w:t>
            </w:r>
          </w:p>
        </w:tc>
      </w:tr>
      <w:tr w:rsidR="00E57DAA" w14:paraId="59978DDB" w14:textId="77777777">
        <w:tc>
          <w:tcPr>
            <w:tcW w:w="1570" w:type="pct"/>
            <w:shd w:val="clear" w:color="auto" w:fill="auto"/>
          </w:tcPr>
          <w:p w14:paraId="73493E9D" w14:textId="77777777" w:rsidR="00E57DAA" w:rsidRDefault="00AC4185">
            <w:pPr>
              <w:rPr>
                <w:szCs w:val="21"/>
              </w:rPr>
            </w:pPr>
            <w:r>
              <w:t>1年以上</w:t>
            </w:r>
          </w:p>
        </w:tc>
        <w:tc>
          <w:tcPr>
            <w:tcW w:w="1584" w:type="pct"/>
            <w:shd w:val="clear" w:color="auto" w:fill="auto"/>
          </w:tcPr>
          <w:p w14:paraId="5BF4084A" w14:textId="77777777" w:rsidR="00E57DAA" w:rsidRDefault="00AC4185">
            <w:pPr>
              <w:jc w:val="right"/>
              <w:rPr>
                <w:szCs w:val="21"/>
              </w:rPr>
            </w:pPr>
            <w:r>
              <w:t>3,741,911,346.40</w:t>
            </w:r>
          </w:p>
        </w:tc>
        <w:tc>
          <w:tcPr>
            <w:tcW w:w="1846" w:type="pct"/>
            <w:shd w:val="clear" w:color="auto" w:fill="auto"/>
          </w:tcPr>
          <w:p w14:paraId="3BEEF771" w14:textId="77777777" w:rsidR="00E57DAA" w:rsidRDefault="00AC4185">
            <w:pPr>
              <w:jc w:val="right"/>
              <w:rPr>
                <w:szCs w:val="21"/>
              </w:rPr>
            </w:pPr>
            <w:r>
              <w:t>2,837,617,821.89</w:t>
            </w:r>
          </w:p>
        </w:tc>
      </w:tr>
      <w:tr w:rsidR="00E57DAA" w14:paraId="7B279BE9" w14:textId="77777777">
        <w:tc>
          <w:tcPr>
            <w:tcW w:w="1570" w:type="pct"/>
            <w:shd w:val="clear" w:color="auto" w:fill="auto"/>
          </w:tcPr>
          <w:p w14:paraId="2629E24D" w14:textId="77777777" w:rsidR="00E57DAA" w:rsidRDefault="00AC4185">
            <w:pPr>
              <w:jc w:val="center"/>
              <w:rPr>
                <w:color w:val="000000" w:themeColor="text1"/>
                <w:szCs w:val="21"/>
              </w:rPr>
            </w:pPr>
            <w:r>
              <w:rPr>
                <w:rFonts w:hint="eastAsia"/>
                <w:color w:val="000000" w:themeColor="text1"/>
                <w:szCs w:val="21"/>
              </w:rPr>
              <w:t>合计</w:t>
            </w:r>
          </w:p>
        </w:tc>
        <w:tc>
          <w:tcPr>
            <w:tcW w:w="1584" w:type="pct"/>
            <w:shd w:val="clear" w:color="auto" w:fill="auto"/>
            <w:vAlign w:val="center"/>
          </w:tcPr>
          <w:p w14:paraId="2FDB7259" w14:textId="77777777" w:rsidR="00E57DAA" w:rsidRDefault="00AC4185">
            <w:pPr>
              <w:jc w:val="right"/>
              <w:rPr>
                <w:szCs w:val="21"/>
              </w:rPr>
            </w:pPr>
            <w:r>
              <w:t>12,462,458,872.40</w:t>
            </w:r>
          </w:p>
        </w:tc>
        <w:tc>
          <w:tcPr>
            <w:tcW w:w="1846" w:type="pct"/>
            <w:shd w:val="clear" w:color="auto" w:fill="auto"/>
            <w:vAlign w:val="center"/>
          </w:tcPr>
          <w:p w14:paraId="10BE9A06" w14:textId="77777777" w:rsidR="00E57DAA" w:rsidRDefault="00AC4185">
            <w:pPr>
              <w:jc w:val="right"/>
              <w:rPr>
                <w:szCs w:val="21"/>
              </w:rPr>
            </w:pPr>
            <w:r>
              <w:t>10,281,592,278.87</w:t>
            </w:r>
          </w:p>
        </w:tc>
      </w:tr>
    </w:tbl>
    <w:p w14:paraId="399541A4" w14:textId="77777777" w:rsidR="00E57DAA" w:rsidRDefault="00E57DAA" w:rsidP="00C25422">
      <w:pPr>
        <w:pStyle w:val="92"/>
      </w:pPr>
    </w:p>
    <w:p w14:paraId="2E03FE21" w14:textId="77777777" w:rsidR="00E57DAA" w:rsidRDefault="00AC4185">
      <w:pPr>
        <w:pStyle w:val="4"/>
        <w:numPr>
          <w:ilvl w:val="0"/>
          <w:numId w:val="93"/>
        </w:numPr>
        <w:ind w:left="426" w:hanging="426"/>
      </w:pPr>
      <w:r>
        <w:rPr>
          <w:rFonts w:hint="eastAsia"/>
        </w:rPr>
        <w:t>账龄超过</w:t>
      </w:r>
      <w:r>
        <w:t>1年</w:t>
      </w:r>
      <w:r>
        <w:rPr>
          <w:rFonts w:hint="eastAsia"/>
        </w:rPr>
        <w:t>或逾期</w:t>
      </w:r>
      <w:r>
        <w:t>的重要应付账款</w:t>
      </w:r>
    </w:p>
    <w:sdt>
      <w:sdtPr>
        <w:alias w:val="是否适用：账龄超过1年的重要应付账款[双击切换]"/>
        <w:tag w:val="_GBC_0eff470980a54dc3a4ea5996ab7721ce"/>
        <w:id w:val="-2021838277"/>
        <w:placeholder>
          <w:docPart w:val="GBC22222222222222222222222222222"/>
        </w:placeholder>
      </w:sdtPr>
      <w:sdtEndPr/>
      <w:sdtContent>
        <w:p w14:paraId="6A3911C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6AE3D2" w14:textId="77777777" w:rsidR="00E57DAA" w:rsidRDefault="00AC4185">
      <w:pPr>
        <w:jc w:val="right"/>
      </w:pPr>
      <w:r>
        <w:rPr>
          <w:rFonts w:hint="eastAsia"/>
        </w:rPr>
        <w:t>单位：</w:t>
      </w:r>
      <w:sdt>
        <w:sdtPr>
          <w:rPr>
            <w:rFonts w:hint="eastAsia"/>
          </w:rPr>
          <w:alias w:val="单位：财务附注：重要的账龄超过1年的应付账款"/>
          <w:tag w:val="_GBC_400afb873eea4650b57e850422f00616"/>
          <w:id w:val="15057812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8793946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2259"/>
        <w:gridCol w:w="2866"/>
      </w:tblGrid>
      <w:tr w:rsidR="00E57DAA" w14:paraId="46FAE35D" w14:textId="77777777">
        <w:sdt>
          <w:sdtPr>
            <w:tag w:val="_PLD_fdad43e863d14167af7eeaf4873d2a72"/>
            <w:id w:val="2126343100"/>
          </w:sdtPr>
          <w:sdtEndPr/>
          <w:sdtContent>
            <w:tc>
              <w:tcPr>
                <w:tcW w:w="2096" w:type="pct"/>
                <w:shd w:val="clear" w:color="auto" w:fill="auto"/>
                <w:vAlign w:val="center"/>
              </w:tcPr>
              <w:p w14:paraId="61B2A66F" w14:textId="77777777" w:rsidR="00E57DAA" w:rsidRDefault="00AC4185">
                <w:pPr>
                  <w:jc w:val="center"/>
                  <w:rPr>
                    <w:szCs w:val="21"/>
                  </w:rPr>
                </w:pPr>
                <w:r>
                  <w:rPr>
                    <w:rFonts w:hint="eastAsia"/>
                    <w:szCs w:val="21"/>
                  </w:rPr>
                  <w:t>项目</w:t>
                </w:r>
              </w:p>
            </w:tc>
          </w:sdtContent>
        </w:sdt>
        <w:sdt>
          <w:sdtPr>
            <w:tag w:val="_PLD_cd3e87440a294e4685cb5994a6fce19b"/>
            <w:id w:val="-797071863"/>
          </w:sdtPr>
          <w:sdtEndPr/>
          <w:sdtContent>
            <w:tc>
              <w:tcPr>
                <w:tcW w:w="1280" w:type="pct"/>
                <w:shd w:val="clear" w:color="auto" w:fill="auto"/>
                <w:vAlign w:val="center"/>
              </w:tcPr>
              <w:p w14:paraId="1DA7E48A" w14:textId="77777777" w:rsidR="00E57DAA" w:rsidRDefault="00AC4185">
                <w:pPr>
                  <w:jc w:val="center"/>
                  <w:rPr>
                    <w:szCs w:val="21"/>
                  </w:rPr>
                </w:pPr>
                <w:r>
                  <w:rPr>
                    <w:rFonts w:hint="eastAsia"/>
                    <w:szCs w:val="21"/>
                  </w:rPr>
                  <w:t>期末余额</w:t>
                </w:r>
              </w:p>
            </w:tc>
          </w:sdtContent>
        </w:sdt>
        <w:sdt>
          <w:sdtPr>
            <w:tag w:val="_PLD_3948dc08dbd84dbd875d1bd042c28c03"/>
            <w:id w:val="-39983087"/>
          </w:sdtPr>
          <w:sdtEndPr/>
          <w:sdtContent>
            <w:tc>
              <w:tcPr>
                <w:tcW w:w="1624" w:type="pct"/>
                <w:shd w:val="clear" w:color="auto" w:fill="auto"/>
                <w:vAlign w:val="center"/>
              </w:tcPr>
              <w:p w14:paraId="4CF75168" w14:textId="77777777" w:rsidR="00E57DAA" w:rsidRDefault="00AC4185">
                <w:pPr>
                  <w:jc w:val="center"/>
                  <w:rPr>
                    <w:szCs w:val="21"/>
                  </w:rPr>
                </w:pPr>
                <w:r>
                  <w:rPr>
                    <w:rFonts w:hint="eastAsia"/>
                    <w:szCs w:val="21"/>
                  </w:rPr>
                  <w:t>未偿还或结转的原因</w:t>
                </w:r>
              </w:p>
            </w:tc>
          </w:sdtContent>
        </w:sdt>
      </w:tr>
      <w:tr w:rsidR="00E57DAA" w14:paraId="21D21CB8" w14:textId="77777777">
        <w:tc>
          <w:tcPr>
            <w:tcW w:w="2096" w:type="pct"/>
            <w:tcBorders>
              <w:bottom w:val="single" w:sz="4" w:space="0" w:color="auto"/>
            </w:tcBorders>
            <w:shd w:val="clear" w:color="auto" w:fill="auto"/>
          </w:tcPr>
          <w:p w14:paraId="21F145CC" w14:textId="77777777" w:rsidR="00E57DAA" w:rsidRDefault="00AC4185">
            <w:pPr>
              <w:rPr>
                <w:szCs w:val="21"/>
              </w:rPr>
            </w:pPr>
            <w:r>
              <w:t>浙江湖州市建工集团有限公司</w:t>
            </w:r>
          </w:p>
        </w:tc>
        <w:tc>
          <w:tcPr>
            <w:tcW w:w="1280" w:type="pct"/>
            <w:shd w:val="clear" w:color="auto" w:fill="auto"/>
          </w:tcPr>
          <w:p w14:paraId="400F62E0" w14:textId="77777777" w:rsidR="00E57DAA" w:rsidRDefault="00AC4185">
            <w:pPr>
              <w:jc w:val="right"/>
              <w:rPr>
                <w:szCs w:val="21"/>
              </w:rPr>
            </w:pPr>
            <w:r>
              <w:t>99,747,405.46</w:t>
            </w:r>
          </w:p>
        </w:tc>
        <w:tc>
          <w:tcPr>
            <w:tcW w:w="1624" w:type="pct"/>
            <w:shd w:val="clear" w:color="auto" w:fill="auto"/>
            <w:vAlign w:val="center"/>
          </w:tcPr>
          <w:p w14:paraId="2950F4F5" w14:textId="77777777" w:rsidR="00E57DAA" w:rsidRDefault="00AC4185">
            <w:pPr>
              <w:rPr>
                <w:szCs w:val="21"/>
              </w:rPr>
            </w:pPr>
            <w:r>
              <w:t>未办理结算工程款未支付</w:t>
            </w:r>
          </w:p>
        </w:tc>
      </w:tr>
      <w:tr w:rsidR="00E57DAA" w14:paraId="40E5763A" w14:textId="77777777">
        <w:tc>
          <w:tcPr>
            <w:tcW w:w="2096" w:type="pct"/>
            <w:tcBorders>
              <w:bottom w:val="single" w:sz="4" w:space="0" w:color="auto"/>
            </w:tcBorders>
            <w:shd w:val="clear" w:color="auto" w:fill="auto"/>
          </w:tcPr>
          <w:p w14:paraId="14A47DC9" w14:textId="77777777" w:rsidR="00E57DAA" w:rsidRDefault="00AC4185">
            <w:pPr>
              <w:rPr>
                <w:szCs w:val="21"/>
              </w:rPr>
            </w:pPr>
            <w:r>
              <w:t>浙江宝盛建设集团有限公司</w:t>
            </w:r>
          </w:p>
        </w:tc>
        <w:tc>
          <w:tcPr>
            <w:tcW w:w="1280" w:type="pct"/>
            <w:shd w:val="clear" w:color="auto" w:fill="auto"/>
          </w:tcPr>
          <w:p w14:paraId="057A51AE" w14:textId="77777777" w:rsidR="00E57DAA" w:rsidRDefault="00AC4185">
            <w:pPr>
              <w:jc w:val="right"/>
              <w:rPr>
                <w:szCs w:val="21"/>
              </w:rPr>
            </w:pPr>
            <w:r>
              <w:t>92,806,074.42</w:t>
            </w:r>
          </w:p>
        </w:tc>
        <w:tc>
          <w:tcPr>
            <w:tcW w:w="1624" w:type="pct"/>
            <w:shd w:val="clear" w:color="auto" w:fill="auto"/>
            <w:vAlign w:val="center"/>
          </w:tcPr>
          <w:p w14:paraId="409C2287" w14:textId="77777777" w:rsidR="00E57DAA" w:rsidRDefault="00AC4185">
            <w:pPr>
              <w:rPr>
                <w:szCs w:val="21"/>
              </w:rPr>
            </w:pPr>
            <w:r>
              <w:t>未办理结算工程款未支付</w:t>
            </w:r>
          </w:p>
        </w:tc>
      </w:tr>
      <w:tr w:rsidR="00E57DAA" w14:paraId="7213355D" w14:textId="77777777">
        <w:tc>
          <w:tcPr>
            <w:tcW w:w="2096" w:type="pct"/>
            <w:tcBorders>
              <w:bottom w:val="single" w:sz="4" w:space="0" w:color="auto"/>
            </w:tcBorders>
            <w:shd w:val="clear" w:color="auto" w:fill="auto"/>
          </w:tcPr>
          <w:p w14:paraId="3DF5591A" w14:textId="77777777" w:rsidR="00E57DAA" w:rsidRDefault="00AC4185">
            <w:pPr>
              <w:rPr>
                <w:szCs w:val="21"/>
              </w:rPr>
            </w:pPr>
            <w:r>
              <w:t>湖南宗向建设工程有限公司</w:t>
            </w:r>
          </w:p>
        </w:tc>
        <w:tc>
          <w:tcPr>
            <w:tcW w:w="1280" w:type="pct"/>
            <w:shd w:val="clear" w:color="auto" w:fill="auto"/>
          </w:tcPr>
          <w:p w14:paraId="0867FF9C" w14:textId="77777777" w:rsidR="00E57DAA" w:rsidRDefault="00AC4185">
            <w:pPr>
              <w:jc w:val="right"/>
              <w:rPr>
                <w:szCs w:val="21"/>
              </w:rPr>
            </w:pPr>
            <w:r>
              <w:t>59,729,907.27</w:t>
            </w:r>
          </w:p>
        </w:tc>
        <w:tc>
          <w:tcPr>
            <w:tcW w:w="1624" w:type="pct"/>
            <w:shd w:val="clear" w:color="auto" w:fill="auto"/>
            <w:vAlign w:val="center"/>
          </w:tcPr>
          <w:p w14:paraId="18C5A9E3" w14:textId="77777777" w:rsidR="00E57DAA" w:rsidRDefault="00AC4185">
            <w:pPr>
              <w:rPr>
                <w:szCs w:val="21"/>
              </w:rPr>
            </w:pPr>
            <w:r>
              <w:t>未办理结算工程款未支付</w:t>
            </w:r>
          </w:p>
        </w:tc>
      </w:tr>
      <w:tr w:rsidR="00E57DAA" w14:paraId="120628BF" w14:textId="77777777">
        <w:tc>
          <w:tcPr>
            <w:tcW w:w="2096" w:type="pct"/>
            <w:tcBorders>
              <w:bottom w:val="single" w:sz="4" w:space="0" w:color="auto"/>
            </w:tcBorders>
            <w:shd w:val="clear" w:color="auto" w:fill="auto"/>
          </w:tcPr>
          <w:p w14:paraId="65F3310F" w14:textId="77777777" w:rsidR="00E57DAA" w:rsidRDefault="00AC4185">
            <w:pPr>
              <w:rPr>
                <w:szCs w:val="21"/>
              </w:rPr>
            </w:pPr>
            <w:r>
              <w:t>中铁十八局集团第四工程有限公司</w:t>
            </w:r>
          </w:p>
        </w:tc>
        <w:tc>
          <w:tcPr>
            <w:tcW w:w="1280" w:type="pct"/>
            <w:shd w:val="clear" w:color="auto" w:fill="auto"/>
          </w:tcPr>
          <w:p w14:paraId="3DAE0B74" w14:textId="77777777" w:rsidR="00E57DAA" w:rsidRDefault="00AC4185">
            <w:pPr>
              <w:jc w:val="right"/>
              <w:rPr>
                <w:szCs w:val="21"/>
              </w:rPr>
            </w:pPr>
            <w:r>
              <w:t>56,124,007.63</w:t>
            </w:r>
          </w:p>
        </w:tc>
        <w:tc>
          <w:tcPr>
            <w:tcW w:w="1624" w:type="pct"/>
            <w:shd w:val="clear" w:color="auto" w:fill="auto"/>
            <w:vAlign w:val="center"/>
          </w:tcPr>
          <w:p w14:paraId="58FA3668" w14:textId="77777777" w:rsidR="00E57DAA" w:rsidRDefault="00AC4185">
            <w:pPr>
              <w:rPr>
                <w:szCs w:val="21"/>
              </w:rPr>
            </w:pPr>
            <w:r>
              <w:t>未办理结算工程款未支付</w:t>
            </w:r>
          </w:p>
        </w:tc>
      </w:tr>
      <w:tr w:rsidR="00E57DAA" w14:paraId="1190F216" w14:textId="77777777">
        <w:tc>
          <w:tcPr>
            <w:tcW w:w="2096" w:type="pct"/>
            <w:tcBorders>
              <w:bottom w:val="single" w:sz="4" w:space="0" w:color="auto"/>
            </w:tcBorders>
            <w:shd w:val="clear" w:color="auto" w:fill="auto"/>
          </w:tcPr>
          <w:p w14:paraId="1155EF9F" w14:textId="77777777" w:rsidR="00E57DAA" w:rsidRDefault="00AC4185">
            <w:pPr>
              <w:rPr>
                <w:szCs w:val="21"/>
              </w:rPr>
            </w:pPr>
            <w:r>
              <w:t>威海廷祥建筑工程有限公司</w:t>
            </w:r>
          </w:p>
        </w:tc>
        <w:tc>
          <w:tcPr>
            <w:tcW w:w="1280" w:type="pct"/>
            <w:shd w:val="clear" w:color="auto" w:fill="auto"/>
          </w:tcPr>
          <w:p w14:paraId="28D65E23" w14:textId="77777777" w:rsidR="00E57DAA" w:rsidRDefault="00AC4185">
            <w:pPr>
              <w:jc w:val="right"/>
              <w:rPr>
                <w:szCs w:val="21"/>
              </w:rPr>
            </w:pPr>
            <w:r>
              <w:t>55,676,959.90</w:t>
            </w:r>
          </w:p>
        </w:tc>
        <w:tc>
          <w:tcPr>
            <w:tcW w:w="1624" w:type="pct"/>
            <w:shd w:val="clear" w:color="auto" w:fill="auto"/>
            <w:vAlign w:val="center"/>
          </w:tcPr>
          <w:p w14:paraId="42E6211B" w14:textId="77777777" w:rsidR="00E57DAA" w:rsidRDefault="00AC4185">
            <w:pPr>
              <w:rPr>
                <w:szCs w:val="21"/>
              </w:rPr>
            </w:pPr>
            <w:r>
              <w:t>未办理结算工程款未支付</w:t>
            </w:r>
          </w:p>
        </w:tc>
      </w:tr>
      <w:tr w:rsidR="00E57DAA" w14:paraId="4FFB7BBC" w14:textId="77777777">
        <w:tc>
          <w:tcPr>
            <w:tcW w:w="2096" w:type="pct"/>
            <w:shd w:val="clear" w:color="auto" w:fill="auto"/>
            <w:vAlign w:val="center"/>
          </w:tcPr>
          <w:p w14:paraId="00A3F157" w14:textId="77777777" w:rsidR="00E57DAA" w:rsidRDefault="00AC4185">
            <w:pPr>
              <w:jc w:val="center"/>
              <w:rPr>
                <w:szCs w:val="21"/>
              </w:rPr>
            </w:pPr>
            <w:r>
              <w:rPr>
                <w:rFonts w:hint="eastAsia"/>
                <w:szCs w:val="21"/>
              </w:rPr>
              <w:t>合计</w:t>
            </w:r>
          </w:p>
        </w:tc>
        <w:tc>
          <w:tcPr>
            <w:tcW w:w="1280" w:type="pct"/>
            <w:shd w:val="clear" w:color="auto" w:fill="auto"/>
          </w:tcPr>
          <w:p w14:paraId="2C6E44B0" w14:textId="77777777" w:rsidR="00E57DAA" w:rsidRDefault="00AC4185">
            <w:pPr>
              <w:jc w:val="right"/>
              <w:rPr>
                <w:szCs w:val="21"/>
              </w:rPr>
            </w:pPr>
            <w:r>
              <w:rPr>
                <w:szCs w:val="21"/>
              </w:rPr>
              <w:t>364,084,354.68</w:t>
            </w:r>
          </w:p>
        </w:tc>
        <w:tc>
          <w:tcPr>
            <w:tcW w:w="1624" w:type="pct"/>
            <w:shd w:val="clear" w:color="auto" w:fill="auto"/>
          </w:tcPr>
          <w:p w14:paraId="1D4DE29E" w14:textId="77777777" w:rsidR="00E57DAA" w:rsidRDefault="00AC4185">
            <w:pPr>
              <w:jc w:val="center"/>
              <w:rPr>
                <w:szCs w:val="21"/>
              </w:rPr>
            </w:pPr>
            <w:r>
              <w:rPr>
                <w:rFonts w:hint="eastAsia"/>
                <w:szCs w:val="21"/>
              </w:rPr>
              <w:t>/</w:t>
            </w:r>
          </w:p>
        </w:tc>
      </w:tr>
    </w:tbl>
    <w:p w14:paraId="7DC6C38E" w14:textId="77777777" w:rsidR="00E57DAA" w:rsidRDefault="00E57DAA" w:rsidP="00C25422">
      <w:pPr>
        <w:pStyle w:val="92"/>
      </w:pPr>
    </w:p>
    <w:p w14:paraId="4D492874" w14:textId="77777777" w:rsidR="00E57DAA" w:rsidRDefault="00AC4185">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908734160"/>
        <w:placeholder>
          <w:docPart w:val="GBC22222222222222222222222222222"/>
        </w:placeholder>
      </w:sdtPr>
      <w:sdtEndPr/>
      <w:sdtContent>
        <w:p w14:paraId="0AA1CC60"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2A375E" w14:textId="77777777" w:rsidR="00E57DAA" w:rsidRDefault="00E57DAA">
      <w:pPr>
        <w:snapToGrid w:val="0"/>
        <w:spacing w:line="240" w:lineRule="atLeast"/>
        <w:rPr>
          <w:szCs w:val="21"/>
        </w:rPr>
      </w:pPr>
    </w:p>
    <w:p w14:paraId="7A9B0FB3" w14:textId="77777777" w:rsidR="00E57DAA" w:rsidRDefault="00AC4185" w:rsidP="00C25422">
      <w:pPr>
        <w:pStyle w:val="91"/>
        <w:numPr>
          <w:ilvl w:val="0"/>
          <w:numId w:val="69"/>
        </w:numPr>
      </w:pPr>
      <w:r>
        <w:rPr>
          <w:rFonts w:hint="eastAsia"/>
        </w:rPr>
        <w:t>预收款项</w:t>
      </w:r>
    </w:p>
    <w:p w14:paraId="29B63E4A" w14:textId="77777777" w:rsidR="00E57DAA" w:rsidRDefault="00AC4185">
      <w:pPr>
        <w:pStyle w:val="4"/>
        <w:numPr>
          <w:ilvl w:val="0"/>
          <w:numId w:val="94"/>
        </w:numPr>
      </w:pPr>
      <w:r>
        <w:rPr>
          <w:rFonts w:hint="eastAsia"/>
        </w:rPr>
        <w:t>预收账款项列示</w:t>
      </w:r>
    </w:p>
    <w:sdt>
      <w:sdtPr>
        <w:alias w:val="是否适用：预收账款项列示[双击切换]"/>
        <w:tag w:val="_GBC_87fabe8d5b22400ca19233d7f82c54fc"/>
        <w:id w:val="701835234"/>
        <w:placeholder>
          <w:docPart w:val="GBC22222222222222222222222222222"/>
        </w:placeholder>
      </w:sdtPr>
      <w:sdtEndPr/>
      <w:sdtContent>
        <w:p w14:paraId="4F8064E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AB47A9" w14:textId="77777777" w:rsidR="00E57DAA" w:rsidRDefault="00AC4185">
      <w:pPr>
        <w:jc w:val="right"/>
        <w:rPr>
          <w:szCs w:val="21"/>
        </w:rPr>
      </w:pPr>
      <w:r>
        <w:rPr>
          <w:rFonts w:hint="eastAsia"/>
          <w:szCs w:val="21"/>
        </w:rPr>
        <w:t>单位：</w:t>
      </w:r>
      <w:sdt>
        <w:sdtPr>
          <w:rPr>
            <w:rFonts w:hint="eastAsia"/>
            <w:szCs w:val="21"/>
          </w:rPr>
          <w:alias w:val="单位：财务附注：预收账款情况"/>
          <w:tag w:val="_GBC_4fab9f590de5470ea6904b137451f241"/>
          <w:id w:val="16194127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7859260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3002"/>
        <w:gridCol w:w="2996"/>
      </w:tblGrid>
      <w:tr w:rsidR="00E57DAA" w14:paraId="2A25868B" w14:textId="77777777">
        <w:sdt>
          <w:sdtPr>
            <w:tag w:val="_PLD_d5178a0aff824e07b02041ccbb504bd9"/>
            <w:id w:val="-904907256"/>
          </w:sdtPr>
          <w:sdtEndPr/>
          <w:sdtContent>
            <w:tc>
              <w:tcPr>
                <w:tcW w:w="1601" w:type="pct"/>
                <w:shd w:val="clear" w:color="auto" w:fill="auto"/>
              </w:tcPr>
              <w:p w14:paraId="44E8E726" w14:textId="77777777" w:rsidR="00E57DAA" w:rsidRDefault="00AC4185">
                <w:pPr>
                  <w:jc w:val="center"/>
                  <w:rPr>
                    <w:szCs w:val="21"/>
                  </w:rPr>
                </w:pPr>
                <w:r>
                  <w:rPr>
                    <w:rFonts w:hint="eastAsia"/>
                    <w:szCs w:val="21"/>
                  </w:rPr>
                  <w:t>项目</w:t>
                </w:r>
              </w:p>
            </w:tc>
          </w:sdtContent>
        </w:sdt>
        <w:sdt>
          <w:sdtPr>
            <w:tag w:val="_PLD_4365dc5a9b404da5ab51b4fe0a65574b"/>
            <w:id w:val="384455416"/>
          </w:sdtPr>
          <w:sdtEndPr/>
          <w:sdtContent>
            <w:tc>
              <w:tcPr>
                <w:tcW w:w="1701" w:type="pct"/>
                <w:shd w:val="clear" w:color="auto" w:fill="auto"/>
              </w:tcPr>
              <w:p w14:paraId="35F884F5" w14:textId="77777777" w:rsidR="00E57DAA" w:rsidRDefault="00AC4185">
                <w:pPr>
                  <w:jc w:val="center"/>
                  <w:rPr>
                    <w:szCs w:val="21"/>
                  </w:rPr>
                </w:pPr>
                <w:r>
                  <w:rPr>
                    <w:rFonts w:hint="eastAsia"/>
                    <w:szCs w:val="21"/>
                  </w:rPr>
                  <w:t>期末余额</w:t>
                </w:r>
              </w:p>
            </w:tc>
          </w:sdtContent>
        </w:sdt>
        <w:sdt>
          <w:sdtPr>
            <w:tag w:val="_PLD_319db0af23654ebca500fecfff199482"/>
            <w:id w:val="1415354009"/>
          </w:sdtPr>
          <w:sdtEndPr/>
          <w:sdtContent>
            <w:tc>
              <w:tcPr>
                <w:tcW w:w="1698" w:type="pct"/>
                <w:shd w:val="clear" w:color="auto" w:fill="auto"/>
              </w:tcPr>
              <w:p w14:paraId="1A1170EA" w14:textId="77777777" w:rsidR="00E57DAA" w:rsidRDefault="00AC4185">
                <w:pPr>
                  <w:jc w:val="center"/>
                  <w:rPr>
                    <w:szCs w:val="21"/>
                  </w:rPr>
                </w:pPr>
                <w:r>
                  <w:rPr>
                    <w:rFonts w:hint="eastAsia"/>
                    <w:szCs w:val="21"/>
                  </w:rPr>
                  <w:t>期初余额</w:t>
                </w:r>
              </w:p>
            </w:tc>
          </w:sdtContent>
        </w:sdt>
      </w:tr>
      <w:tr w:rsidR="00E57DAA" w14:paraId="45B6CB9A" w14:textId="77777777">
        <w:tc>
          <w:tcPr>
            <w:tcW w:w="1601" w:type="pct"/>
            <w:shd w:val="clear" w:color="auto" w:fill="auto"/>
          </w:tcPr>
          <w:p w14:paraId="7CA74B8C" w14:textId="77777777" w:rsidR="00E57DAA" w:rsidRDefault="00AC4185">
            <w:pPr>
              <w:rPr>
                <w:szCs w:val="21"/>
              </w:rPr>
            </w:pPr>
            <w:r>
              <w:t>1年以内</w:t>
            </w:r>
          </w:p>
        </w:tc>
        <w:tc>
          <w:tcPr>
            <w:tcW w:w="1701" w:type="pct"/>
            <w:shd w:val="clear" w:color="auto" w:fill="auto"/>
          </w:tcPr>
          <w:p w14:paraId="390A3DE2" w14:textId="77777777" w:rsidR="00E57DAA" w:rsidRDefault="00AC4185">
            <w:pPr>
              <w:jc w:val="right"/>
              <w:rPr>
                <w:szCs w:val="21"/>
              </w:rPr>
            </w:pPr>
            <w:r>
              <w:t>3,699,010.06</w:t>
            </w:r>
          </w:p>
        </w:tc>
        <w:tc>
          <w:tcPr>
            <w:tcW w:w="1698" w:type="pct"/>
            <w:shd w:val="clear" w:color="auto" w:fill="auto"/>
          </w:tcPr>
          <w:p w14:paraId="58F4E30A" w14:textId="77777777" w:rsidR="00E57DAA" w:rsidRDefault="00AC4185">
            <w:pPr>
              <w:jc w:val="right"/>
              <w:rPr>
                <w:szCs w:val="21"/>
              </w:rPr>
            </w:pPr>
            <w:r>
              <w:t>823,520.53</w:t>
            </w:r>
          </w:p>
        </w:tc>
      </w:tr>
      <w:tr w:rsidR="00E57DAA" w14:paraId="0D3E8194" w14:textId="77777777">
        <w:tc>
          <w:tcPr>
            <w:tcW w:w="1601" w:type="pct"/>
            <w:shd w:val="clear" w:color="auto" w:fill="auto"/>
          </w:tcPr>
          <w:p w14:paraId="10ADAC0A" w14:textId="77777777" w:rsidR="00E57DAA" w:rsidRDefault="00AC4185">
            <w:pPr>
              <w:rPr>
                <w:szCs w:val="21"/>
              </w:rPr>
            </w:pPr>
            <w:r>
              <w:t>1年以上</w:t>
            </w:r>
          </w:p>
        </w:tc>
        <w:tc>
          <w:tcPr>
            <w:tcW w:w="1701" w:type="pct"/>
            <w:shd w:val="clear" w:color="auto" w:fill="auto"/>
          </w:tcPr>
          <w:p w14:paraId="71ADADFB" w14:textId="77777777" w:rsidR="00E57DAA" w:rsidRDefault="00AC4185">
            <w:pPr>
              <w:jc w:val="right"/>
              <w:rPr>
                <w:szCs w:val="21"/>
              </w:rPr>
            </w:pPr>
            <w:r>
              <w:t>272,500.00</w:t>
            </w:r>
          </w:p>
        </w:tc>
        <w:tc>
          <w:tcPr>
            <w:tcW w:w="1698" w:type="pct"/>
            <w:shd w:val="clear" w:color="auto" w:fill="auto"/>
          </w:tcPr>
          <w:p w14:paraId="2EF878C9" w14:textId="77777777" w:rsidR="00E57DAA" w:rsidRDefault="00AC4185">
            <w:pPr>
              <w:jc w:val="right"/>
              <w:rPr>
                <w:szCs w:val="21"/>
              </w:rPr>
            </w:pPr>
            <w:r>
              <w:t>21,440.00</w:t>
            </w:r>
          </w:p>
        </w:tc>
      </w:tr>
      <w:tr w:rsidR="00E57DAA" w14:paraId="7E057707" w14:textId="77777777">
        <w:tc>
          <w:tcPr>
            <w:tcW w:w="1601" w:type="pct"/>
            <w:shd w:val="clear" w:color="auto" w:fill="auto"/>
          </w:tcPr>
          <w:p w14:paraId="31FDB3FA" w14:textId="77777777" w:rsidR="00E57DAA" w:rsidRDefault="00AC4185">
            <w:pPr>
              <w:jc w:val="center"/>
              <w:rPr>
                <w:color w:val="000000" w:themeColor="text1"/>
                <w:szCs w:val="21"/>
              </w:rPr>
            </w:pPr>
            <w:r>
              <w:rPr>
                <w:rFonts w:hint="eastAsia"/>
                <w:color w:val="000000" w:themeColor="text1"/>
                <w:szCs w:val="21"/>
              </w:rPr>
              <w:lastRenderedPageBreak/>
              <w:t>合计</w:t>
            </w:r>
          </w:p>
        </w:tc>
        <w:tc>
          <w:tcPr>
            <w:tcW w:w="1701" w:type="pct"/>
            <w:shd w:val="clear" w:color="auto" w:fill="auto"/>
            <w:vAlign w:val="center"/>
          </w:tcPr>
          <w:p w14:paraId="6CEE53E9" w14:textId="77777777" w:rsidR="00E57DAA" w:rsidRDefault="00AC4185">
            <w:pPr>
              <w:jc w:val="right"/>
              <w:rPr>
                <w:szCs w:val="21"/>
              </w:rPr>
            </w:pPr>
            <w:r>
              <w:t>3,971,510.06</w:t>
            </w:r>
          </w:p>
        </w:tc>
        <w:tc>
          <w:tcPr>
            <w:tcW w:w="1698" w:type="pct"/>
            <w:shd w:val="clear" w:color="auto" w:fill="auto"/>
            <w:vAlign w:val="center"/>
          </w:tcPr>
          <w:p w14:paraId="0E160689" w14:textId="77777777" w:rsidR="00E57DAA" w:rsidRDefault="00AC4185">
            <w:pPr>
              <w:jc w:val="right"/>
              <w:rPr>
                <w:szCs w:val="21"/>
              </w:rPr>
            </w:pPr>
            <w:r>
              <w:t>844,960.53</w:t>
            </w:r>
          </w:p>
        </w:tc>
      </w:tr>
    </w:tbl>
    <w:p w14:paraId="32B44FC4" w14:textId="77777777" w:rsidR="00E57DAA" w:rsidRDefault="00E57DAA" w:rsidP="00C25422">
      <w:pPr>
        <w:pStyle w:val="92"/>
      </w:pPr>
    </w:p>
    <w:p w14:paraId="4A64CE5F" w14:textId="77777777" w:rsidR="00E57DAA" w:rsidRDefault="00AC4185">
      <w:pPr>
        <w:pStyle w:val="4"/>
        <w:numPr>
          <w:ilvl w:val="0"/>
          <w:numId w:val="94"/>
        </w:numPr>
      </w:pPr>
      <w:r>
        <w:rPr>
          <w:rFonts w:hint="eastAsia"/>
        </w:rPr>
        <w:t>账龄超过</w:t>
      </w:r>
      <w:r>
        <w:t>1年的重要预收款项</w:t>
      </w:r>
    </w:p>
    <w:sdt>
      <w:sdtPr>
        <w:alias w:val="是否适用：账龄超过1年的重要预收款项[双击切换]"/>
        <w:tag w:val="_GBC_79146ea4ecd2426b824d2bcf21203a69"/>
        <w:id w:val="-794670722"/>
        <w:placeholder>
          <w:docPart w:val="GBC22222222222222222222222222222"/>
        </w:placeholder>
      </w:sdtPr>
      <w:sdtEndPr/>
      <w:sdtContent>
        <w:p w14:paraId="184DE6E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9F33CE" w14:textId="77777777" w:rsidR="00E57DAA" w:rsidRDefault="00E57DAA">
      <w:pPr>
        <w:rPr>
          <w:rFonts w:cstheme="minorBidi"/>
          <w:szCs w:val="21"/>
        </w:rPr>
      </w:pPr>
    </w:p>
    <w:p w14:paraId="19935F86" w14:textId="77777777" w:rsidR="00E57DAA" w:rsidRDefault="00AC4185">
      <w:pPr>
        <w:pStyle w:val="4"/>
        <w:numPr>
          <w:ilvl w:val="0"/>
          <w:numId w:val="94"/>
        </w:numPr>
        <w:ind w:left="450" w:hanging="450"/>
      </w:pPr>
      <w:r>
        <w:rPr>
          <w:rFonts w:hint="eastAsia"/>
        </w:rPr>
        <w:t>报告期内账面价值发生重大变动的金额和原因</w:t>
      </w:r>
    </w:p>
    <w:sdt>
      <w:sdtPr>
        <w:rPr>
          <w:szCs w:val="21"/>
        </w:rPr>
        <w:alias w:val="是否适用：预收款项账面价值发生重大变动的金额和原因?[双击切换]"/>
        <w:tag w:val="_GBC_080f20e9d1b64963a38dcdee1ed191a2"/>
        <w:id w:val="-1332061404"/>
        <w:placeholder>
          <w:docPart w:val="GBC22222222222222222222222222222"/>
        </w:placeholder>
      </w:sdtPr>
      <w:sdtEndPr/>
      <w:sdtContent>
        <w:p w14:paraId="45C44A8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6D103E" w14:textId="77777777" w:rsidR="00E57DAA" w:rsidRDefault="00E57DAA">
      <w:pPr>
        <w:rPr>
          <w:rFonts w:cs="Times New Roman"/>
          <w:szCs w:val="21"/>
        </w:rPr>
      </w:pPr>
    </w:p>
    <w:p w14:paraId="7114C827" w14:textId="77777777" w:rsidR="00E57DAA" w:rsidRDefault="00AC4185" w:rsidP="00C25422">
      <w:pPr>
        <w:pStyle w:val="92"/>
      </w:pPr>
      <w:r>
        <w:rPr>
          <w:rFonts w:hint="eastAsia"/>
        </w:rPr>
        <w:t>其他说明</w:t>
      </w:r>
    </w:p>
    <w:sdt>
      <w:sdtPr>
        <w:alias w:val="是否适用：预收账款的其他说明[双击切换]"/>
        <w:tag w:val="_GBC_c0e961ba454e4e2cb91293bde731349d"/>
        <w:id w:val="-982621099"/>
        <w:placeholder>
          <w:docPart w:val="GBC22222222222222222222222222222"/>
        </w:placeholder>
      </w:sdtPr>
      <w:sdtEndPr/>
      <w:sdtContent>
        <w:p w14:paraId="454F71C2"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CC0768" w14:textId="77777777" w:rsidR="00E57DAA" w:rsidRDefault="00E57DAA">
      <w:pPr>
        <w:rPr>
          <w:rFonts w:cstheme="minorBidi"/>
          <w:color w:val="000000" w:themeColor="text1"/>
          <w:kern w:val="2"/>
          <w:szCs w:val="21"/>
        </w:rPr>
      </w:pPr>
    </w:p>
    <w:p w14:paraId="1544D1CA" w14:textId="77777777" w:rsidR="00E57DAA" w:rsidRDefault="00AC4185" w:rsidP="00C25422">
      <w:pPr>
        <w:pStyle w:val="91"/>
        <w:numPr>
          <w:ilvl w:val="0"/>
          <w:numId w:val="69"/>
        </w:numPr>
      </w:pPr>
      <w:r>
        <w:rPr>
          <w:rFonts w:hint="eastAsia"/>
        </w:rPr>
        <w:t>合同负债</w:t>
      </w:r>
    </w:p>
    <w:p w14:paraId="0C30DDEB" w14:textId="77777777" w:rsidR="00E57DAA" w:rsidRDefault="00AC4185">
      <w:pPr>
        <w:pStyle w:val="4"/>
        <w:numPr>
          <w:ilvl w:val="0"/>
          <w:numId w:val="95"/>
        </w:numPr>
      </w:pPr>
      <w:r>
        <w:rPr>
          <w:rFonts w:hint="eastAsia"/>
        </w:rPr>
        <w:t>合同负债情况</w:t>
      </w:r>
    </w:p>
    <w:sdt>
      <w:sdtPr>
        <w:alias w:val="是否适用：合同负债情况[双击切换]"/>
        <w:tag w:val="_GBC_257112066c884c67acfede3a1536844a"/>
        <w:id w:val="1792870555"/>
        <w:placeholder>
          <w:docPart w:val="GBC22222222222222222222222222222"/>
        </w:placeholder>
      </w:sdtPr>
      <w:sdtEndPr/>
      <w:sdtContent>
        <w:p w14:paraId="49BE484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E89A33" w14:textId="77777777" w:rsidR="00E57DAA" w:rsidRDefault="00AC4185">
      <w:pPr>
        <w:ind w:left="360"/>
        <w:jc w:val="right"/>
      </w:pPr>
      <w:r>
        <w:rPr>
          <w:rFonts w:hint="eastAsia"/>
        </w:rPr>
        <w:t>单位：</w:t>
      </w:r>
      <w:sdt>
        <w:sdtPr>
          <w:rPr>
            <w:rFonts w:hint="eastAsia"/>
          </w:rPr>
          <w:alias w:val="单位：合同负债情况"/>
          <w:tag w:val="_GBC_ea58ca5e76b74f328a4691ca7c6cc941"/>
          <w:id w:val="16270420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6843968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3002"/>
        <w:gridCol w:w="2996"/>
      </w:tblGrid>
      <w:tr w:rsidR="00E57DAA" w14:paraId="5C10AA5B" w14:textId="77777777">
        <w:sdt>
          <w:sdtPr>
            <w:tag w:val="_PLD_c331ae60cae44b02b2a16eccd02434b1"/>
            <w:id w:val="-1357197913"/>
          </w:sdtPr>
          <w:sdtEndPr/>
          <w:sdtContent>
            <w:tc>
              <w:tcPr>
                <w:tcW w:w="1601" w:type="pct"/>
                <w:shd w:val="clear" w:color="auto" w:fill="auto"/>
              </w:tcPr>
              <w:p w14:paraId="2D706368" w14:textId="77777777" w:rsidR="00E57DAA" w:rsidRDefault="00AC4185">
                <w:pPr>
                  <w:jc w:val="center"/>
                  <w:rPr>
                    <w:szCs w:val="21"/>
                  </w:rPr>
                </w:pPr>
                <w:r>
                  <w:rPr>
                    <w:rFonts w:hint="eastAsia"/>
                    <w:szCs w:val="21"/>
                  </w:rPr>
                  <w:t>项目</w:t>
                </w:r>
              </w:p>
            </w:tc>
          </w:sdtContent>
        </w:sdt>
        <w:sdt>
          <w:sdtPr>
            <w:tag w:val="_PLD_1619b2dd861a497cbc814256ed0e2957"/>
            <w:id w:val="-339547999"/>
          </w:sdtPr>
          <w:sdtEndPr/>
          <w:sdtContent>
            <w:tc>
              <w:tcPr>
                <w:tcW w:w="1701" w:type="pct"/>
                <w:shd w:val="clear" w:color="auto" w:fill="auto"/>
                <w:vAlign w:val="center"/>
              </w:tcPr>
              <w:p w14:paraId="4BA24E31" w14:textId="77777777" w:rsidR="00E57DAA" w:rsidRDefault="00AC418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625391497"/>
          </w:sdtPr>
          <w:sdtEndPr/>
          <w:sdtContent>
            <w:tc>
              <w:tcPr>
                <w:tcW w:w="1698" w:type="pct"/>
                <w:shd w:val="clear" w:color="auto" w:fill="auto"/>
                <w:vAlign w:val="center"/>
              </w:tcPr>
              <w:p w14:paraId="2C9E9D98" w14:textId="77777777" w:rsidR="00E57DAA" w:rsidRDefault="00AC4185">
                <w:pPr>
                  <w:autoSpaceDE w:val="0"/>
                  <w:autoSpaceDN w:val="0"/>
                  <w:adjustRightInd w:val="0"/>
                  <w:snapToGrid w:val="0"/>
                  <w:spacing w:line="240" w:lineRule="atLeast"/>
                  <w:jc w:val="center"/>
                  <w:rPr>
                    <w:szCs w:val="21"/>
                  </w:rPr>
                </w:pPr>
                <w:r>
                  <w:rPr>
                    <w:rFonts w:hint="eastAsia"/>
                    <w:szCs w:val="21"/>
                  </w:rPr>
                  <w:t>期初余额</w:t>
                </w:r>
              </w:p>
            </w:tc>
          </w:sdtContent>
        </w:sdt>
      </w:tr>
      <w:tr w:rsidR="00E57DAA" w14:paraId="4A3E8B6B" w14:textId="77777777">
        <w:tc>
          <w:tcPr>
            <w:tcW w:w="1601" w:type="pct"/>
            <w:shd w:val="clear" w:color="auto" w:fill="auto"/>
          </w:tcPr>
          <w:p w14:paraId="0664529C" w14:textId="77777777" w:rsidR="00E57DAA" w:rsidRDefault="00AC4185">
            <w:pPr>
              <w:rPr>
                <w:szCs w:val="21"/>
              </w:rPr>
            </w:pPr>
            <w:r>
              <w:t>1年以内</w:t>
            </w:r>
          </w:p>
        </w:tc>
        <w:tc>
          <w:tcPr>
            <w:tcW w:w="1701" w:type="pct"/>
            <w:shd w:val="clear" w:color="auto" w:fill="auto"/>
          </w:tcPr>
          <w:p w14:paraId="51C1CD37" w14:textId="77777777" w:rsidR="00E57DAA" w:rsidRDefault="00AC4185">
            <w:pPr>
              <w:jc w:val="right"/>
              <w:rPr>
                <w:szCs w:val="21"/>
              </w:rPr>
            </w:pPr>
            <w:r>
              <w:t>6,801,640,358.64</w:t>
            </w:r>
          </w:p>
        </w:tc>
        <w:tc>
          <w:tcPr>
            <w:tcW w:w="1698" w:type="pct"/>
            <w:shd w:val="clear" w:color="auto" w:fill="auto"/>
          </w:tcPr>
          <w:p w14:paraId="12EA86B5" w14:textId="77777777" w:rsidR="00E57DAA" w:rsidRDefault="00AC4185">
            <w:pPr>
              <w:jc w:val="right"/>
              <w:rPr>
                <w:szCs w:val="21"/>
              </w:rPr>
            </w:pPr>
            <w:r>
              <w:t>5,636,795,103.09</w:t>
            </w:r>
          </w:p>
        </w:tc>
      </w:tr>
      <w:tr w:rsidR="00E57DAA" w14:paraId="35ACF70D" w14:textId="77777777">
        <w:tc>
          <w:tcPr>
            <w:tcW w:w="1601" w:type="pct"/>
            <w:shd w:val="clear" w:color="auto" w:fill="auto"/>
          </w:tcPr>
          <w:p w14:paraId="5C777484" w14:textId="77777777" w:rsidR="00E57DAA" w:rsidRDefault="00AC4185">
            <w:pPr>
              <w:rPr>
                <w:szCs w:val="21"/>
              </w:rPr>
            </w:pPr>
            <w:r>
              <w:t>1年以上</w:t>
            </w:r>
          </w:p>
        </w:tc>
        <w:tc>
          <w:tcPr>
            <w:tcW w:w="1701" w:type="pct"/>
            <w:shd w:val="clear" w:color="auto" w:fill="auto"/>
          </w:tcPr>
          <w:p w14:paraId="6DBDD453" w14:textId="77777777" w:rsidR="00E57DAA" w:rsidRDefault="00AC4185">
            <w:pPr>
              <w:jc w:val="right"/>
              <w:rPr>
                <w:szCs w:val="21"/>
              </w:rPr>
            </w:pPr>
            <w:r>
              <w:t>811,326,112.48</w:t>
            </w:r>
          </w:p>
        </w:tc>
        <w:tc>
          <w:tcPr>
            <w:tcW w:w="1698" w:type="pct"/>
            <w:shd w:val="clear" w:color="auto" w:fill="auto"/>
          </w:tcPr>
          <w:p w14:paraId="26877555" w14:textId="77777777" w:rsidR="00E57DAA" w:rsidRDefault="00AC4185">
            <w:pPr>
              <w:jc w:val="right"/>
              <w:rPr>
                <w:szCs w:val="21"/>
              </w:rPr>
            </w:pPr>
            <w:r>
              <w:t>1,184,238,606.05</w:t>
            </w:r>
          </w:p>
        </w:tc>
      </w:tr>
      <w:tr w:rsidR="00E57DAA" w14:paraId="6040E708" w14:textId="77777777">
        <w:tc>
          <w:tcPr>
            <w:tcW w:w="1601" w:type="pct"/>
            <w:shd w:val="clear" w:color="auto" w:fill="auto"/>
          </w:tcPr>
          <w:p w14:paraId="478E77E7" w14:textId="77777777" w:rsidR="00E57DAA" w:rsidRDefault="00AC4185">
            <w:pPr>
              <w:jc w:val="center"/>
              <w:rPr>
                <w:color w:val="000000"/>
                <w:szCs w:val="21"/>
              </w:rPr>
            </w:pPr>
            <w:r>
              <w:rPr>
                <w:rFonts w:hint="eastAsia"/>
                <w:color w:val="000000"/>
                <w:szCs w:val="21"/>
              </w:rPr>
              <w:t>合计</w:t>
            </w:r>
          </w:p>
        </w:tc>
        <w:tc>
          <w:tcPr>
            <w:tcW w:w="1701" w:type="pct"/>
            <w:shd w:val="clear" w:color="auto" w:fill="auto"/>
            <w:vAlign w:val="center"/>
          </w:tcPr>
          <w:p w14:paraId="3F9AAC04" w14:textId="77777777" w:rsidR="00E57DAA" w:rsidRDefault="00AC4185">
            <w:pPr>
              <w:jc w:val="right"/>
              <w:rPr>
                <w:szCs w:val="21"/>
              </w:rPr>
            </w:pPr>
            <w:r>
              <w:t>7,612,966,471.12</w:t>
            </w:r>
          </w:p>
        </w:tc>
        <w:tc>
          <w:tcPr>
            <w:tcW w:w="1698" w:type="pct"/>
            <w:shd w:val="clear" w:color="auto" w:fill="auto"/>
            <w:vAlign w:val="center"/>
          </w:tcPr>
          <w:p w14:paraId="2BC5D9CA" w14:textId="77777777" w:rsidR="00E57DAA" w:rsidRDefault="00AC4185">
            <w:pPr>
              <w:jc w:val="right"/>
              <w:rPr>
                <w:szCs w:val="21"/>
              </w:rPr>
            </w:pPr>
            <w:r>
              <w:t>6,821,033,709.14</w:t>
            </w:r>
          </w:p>
        </w:tc>
      </w:tr>
    </w:tbl>
    <w:p w14:paraId="34EC1724" w14:textId="77777777" w:rsidR="00E57DAA" w:rsidRDefault="00E57DAA" w:rsidP="00C25422">
      <w:pPr>
        <w:pStyle w:val="92"/>
      </w:pPr>
    </w:p>
    <w:p w14:paraId="604095DF" w14:textId="77777777" w:rsidR="00E57DAA" w:rsidRDefault="00AC4185">
      <w:pPr>
        <w:pStyle w:val="4"/>
        <w:numPr>
          <w:ilvl w:val="0"/>
          <w:numId w:val="95"/>
        </w:numPr>
        <w:ind w:left="450" w:hanging="450"/>
      </w:pPr>
      <w:r>
        <w:rPr>
          <w:rFonts w:hint="eastAsia"/>
        </w:rPr>
        <w:t>账龄超过</w:t>
      </w:r>
      <w:r>
        <w:t>1年的重要合同负债</w:t>
      </w:r>
    </w:p>
    <w:sdt>
      <w:sdtPr>
        <w:alias w:val="是否适用：账龄超过1年的重要合同负债明细[双击切换]"/>
        <w:tag w:val="_GBC_743f27908aba47b4a5755e98b31475ae"/>
        <w:id w:val="1500077989"/>
        <w:placeholder>
          <w:docPart w:val="GBC22222222222222222222222222222"/>
        </w:placeholder>
      </w:sdtPr>
      <w:sdtEndPr/>
      <w:sdtContent>
        <w:p w14:paraId="28C2650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AA8F4A" w14:textId="77777777" w:rsidR="00E57DAA" w:rsidRDefault="00E57DAA" w:rsidP="00C25422">
      <w:pPr>
        <w:pStyle w:val="92"/>
      </w:pPr>
    </w:p>
    <w:p w14:paraId="5E47EA3D" w14:textId="77777777" w:rsidR="00E57DAA" w:rsidRDefault="00AC4185">
      <w:pPr>
        <w:pStyle w:val="4"/>
        <w:numPr>
          <w:ilvl w:val="0"/>
          <w:numId w:val="95"/>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1962252359"/>
        <w:placeholder>
          <w:docPart w:val="GBC22222222222222222222222222222"/>
        </w:placeholder>
      </w:sdtPr>
      <w:sdtEndPr/>
      <w:sdtContent>
        <w:p w14:paraId="07F216A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5AEA9D" w14:textId="77777777" w:rsidR="00E57DAA" w:rsidRDefault="00AC4185">
      <w:pPr>
        <w:ind w:left="360"/>
        <w:jc w:val="right"/>
      </w:pPr>
      <w:r>
        <w:rPr>
          <w:rFonts w:hint="eastAsia"/>
        </w:rPr>
        <w:t>单位：</w:t>
      </w:r>
      <w:sdt>
        <w:sdtPr>
          <w:rPr>
            <w:rFonts w:hint="eastAsia"/>
          </w:rPr>
          <w:alias w:val="单位：合同负债账面价值发生重大变动"/>
          <w:tag w:val="_GBC_520d32bda135454f8608178656cca77a"/>
          <w:id w:val="-20445921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d32e903fe714436dbad7903b33ad4f63"/>
          <w:id w:val="-20883736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3"/>
        <w:gridCol w:w="2489"/>
        <w:gridCol w:w="2210"/>
      </w:tblGrid>
      <w:tr w:rsidR="00E57DAA" w14:paraId="474F4CCA" w14:textId="77777777">
        <w:trPr>
          <w:trHeight w:val="285"/>
        </w:trPr>
        <w:sdt>
          <w:sdtPr>
            <w:tag w:val="_PLD_dfb71d03a87f46e787fbf2fba8bae786"/>
            <w:id w:val="-1723198853"/>
          </w:sdtPr>
          <w:sdtEndPr/>
          <w:sdtContent>
            <w:tc>
              <w:tcPr>
                <w:tcW w:w="2334" w:type="pct"/>
                <w:tcBorders>
                  <w:top w:val="single" w:sz="4" w:space="0" w:color="auto"/>
                  <w:left w:val="single" w:sz="4" w:space="0" w:color="auto"/>
                  <w:bottom w:val="single" w:sz="4" w:space="0" w:color="auto"/>
                  <w:right w:val="single" w:sz="4" w:space="0" w:color="auto"/>
                </w:tcBorders>
                <w:vAlign w:val="center"/>
              </w:tcPr>
              <w:p w14:paraId="53E777DA" w14:textId="77777777" w:rsidR="00E57DAA" w:rsidRDefault="00AC4185">
                <w:pPr>
                  <w:jc w:val="center"/>
                  <w:rPr>
                    <w:szCs w:val="21"/>
                  </w:rPr>
                </w:pPr>
                <w:r>
                  <w:rPr>
                    <w:rFonts w:hint="eastAsia"/>
                    <w:szCs w:val="21"/>
                  </w:rPr>
                  <w:t>项目</w:t>
                </w:r>
              </w:p>
            </w:tc>
          </w:sdtContent>
        </w:sdt>
        <w:sdt>
          <w:sdtPr>
            <w:tag w:val="_PLD_bfb7b2ce38d140fd9dfc099609cc6023"/>
            <w:id w:val="1252087044"/>
          </w:sdtPr>
          <w:sdtEndPr/>
          <w:sdtContent>
            <w:tc>
              <w:tcPr>
                <w:tcW w:w="1412" w:type="pct"/>
                <w:tcBorders>
                  <w:top w:val="single" w:sz="4" w:space="0" w:color="auto"/>
                  <w:left w:val="single" w:sz="4" w:space="0" w:color="auto"/>
                  <w:bottom w:val="single" w:sz="4" w:space="0" w:color="auto"/>
                  <w:right w:val="single" w:sz="4" w:space="0" w:color="auto"/>
                </w:tcBorders>
                <w:vAlign w:val="center"/>
              </w:tcPr>
              <w:p w14:paraId="71EDD8E8" w14:textId="77777777" w:rsidR="00E57DAA" w:rsidRDefault="00AC4185">
                <w:pPr>
                  <w:jc w:val="center"/>
                  <w:rPr>
                    <w:szCs w:val="21"/>
                  </w:rPr>
                </w:pPr>
                <w:r>
                  <w:rPr>
                    <w:rFonts w:hint="eastAsia"/>
                    <w:szCs w:val="21"/>
                  </w:rPr>
                  <w:t>变动金额</w:t>
                </w:r>
              </w:p>
            </w:tc>
          </w:sdtContent>
        </w:sdt>
        <w:sdt>
          <w:sdtPr>
            <w:tag w:val="_PLD_e46ae02ea98f484a89228b517ada39a4"/>
            <w:id w:val="-494881610"/>
          </w:sdtPr>
          <w:sdtEndPr/>
          <w:sdtContent>
            <w:tc>
              <w:tcPr>
                <w:tcW w:w="1254" w:type="pct"/>
                <w:tcBorders>
                  <w:top w:val="single" w:sz="4" w:space="0" w:color="auto"/>
                  <w:left w:val="single" w:sz="4" w:space="0" w:color="auto"/>
                  <w:bottom w:val="single" w:sz="4" w:space="0" w:color="auto"/>
                  <w:right w:val="single" w:sz="4" w:space="0" w:color="auto"/>
                </w:tcBorders>
                <w:vAlign w:val="center"/>
              </w:tcPr>
              <w:p w14:paraId="4CA74001" w14:textId="77777777" w:rsidR="00E57DAA" w:rsidRDefault="00AC4185">
                <w:pPr>
                  <w:jc w:val="center"/>
                  <w:rPr>
                    <w:szCs w:val="21"/>
                  </w:rPr>
                </w:pPr>
                <w:r>
                  <w:rPr>
                    <w:rFonts w:hint="eastAsia"/>
                    <w:szCs w:val="21"/>
                  </w:rPr>
                  <w:t>变动原因</w:t>
                </w:r>
              </w:p>
            </w:tc>
          </w:sdtContent>
        </w:sdt>
      </w:tr>
      <w:tr w:rsidR="00E57DAA" w14:paraId="14E9FB25" w14:textId="77777777">
        <w:trPr>
          <w:trHeight w:val="80"/>
        </w:trPr>
        <w:tc>
          <w:tcPr>
            <w:tcW w:w="2334" w:type="pct"/>
            <w:tcBorders>
              <w:top w:val="single" w:sz="4" w:space="0" w:color="auto"/>
              <w:left w:val="single" w:sz="4" w:space="0" w:color="auto"/>
              <w:bottom w:val="single" w:sz="4" w:space="0" w:color="auto"/>
              <w:right w:val="single" w:sz="4" w:space="0" w:color="auto"/>
            </w:tcBorders>
          </w:tcPr>
          <w:p w14:paraId="4841C6D6" w14:textId="77777777" w:rsidR="00E57DAA" w:rsidRDefault="00AC4185">
            <w:pPr>
              <w:rPr>
                <w:szCs w:val="21"/>
              </w:rPr>
            </w:pPr>
            <w:r>
              <w:t>池州中建材新材料有限公司</w:t>
            </w:r>
          </w:p>
        </w:tc>
        <w:tc>
          <w:tcPr>
            <w:tcW w:w="1412" w:type="pct"/>
            <w:tcBorders>
              <w:top w:val="single" w:sz="4" w:space="0" w:color="auto"/>
              <w:left w:val="single" w:sz="4" w:space="0" w:color="auto"/>
              <w:bottom w:val="single" w:sz="4" w:space="0" w:color="auto"/>
              <w:right w:val="single" w:sz="4" w:space="0" w:color="auto"/>
            </w:tcBorders>
            <w:vAlign w:val="center"/>
          </w:tcPr>
          <w:p w14:paraId="1E75D756" w14:textId="77777777" w:rsidR="00E57DAA" w:rsidRDefault="00AC4185">
            <w:pPr>
              <w:jc w:val="right"/>
              <w:rPr>
                <w:szCs w:val="21"/>
              </w:rPr>
            </w:pPr>
            <w:r>
              <w:t>577,801,157.99</w:t>
            </w:r>
          </w:p>
        </w:tc>
        <w:tc>
          <w:tcPr>
            <w:tcW w:w="1254" w:type="pct"/>
            <w:tcBorders>
              <w:top w:val="single" w:sz="4" w:space="0" w:color="auto"/>
              <w:left w:val="single" w:sz="4" w:space="0" w:color="auto"/>
              <w:bottom w:val="single" w:sz="4" w:space="0" w:color="auto"/>
              <w:right w:val="single" w:sz="4" w:space="0" w:color="auto"/>
            </w:tcBorders>
            <w:vAlign w:val="center"/>
          </w:tcPr>
          <w:p w14:paraId="29D2BEAF" w14:textId="77777777" w:rsidR="00E57DAA" w:rsidRDefault="00AC4185">
            <w:pPr>
              <w:rPr>
                <w:szCs w:val="21"/>
              </w:rPr>
            </w:pPr>
            <w:r>
              <w:t>预收工程款</w:t>
            </w:r>
          </w:p>
        </w:tc>
      </w:tr>
      <w:tr w:rsidR="00E57DAA" w14:paraId="401BB309" w14:textId="77777777">
        <w:trPr>
          <w:trHeight w:val="80"/>
        </w:trPr>
        <w:tc>
          <w:tcPr>
            <w:tcW w:w="2334" w:type="pct"/>
            <w:tcBorders>
              <w:top w:val="single" w:sz="4" w:space="0" w:color="auto"/>
              <w:left w:val="single" w:sz="4" w:space="0" w:color="auto"/>
              <w:bottom w:val="single" w:sz="4" w:space="0" w:color="auto"/>
              <w:right w:val="single" w:sz="4" w:space="0" w:color="auto"/>
            </w:tcBorders>
          </w:tcPr>
          <w:p w14:paraId="6F547D6D" w14:textId="77777777" w:rsidR="00E57DAA" w:rsidRDefault="00AC4185">
            <w:pPr>
              <w:rPr>
                <w:szCs w:val="21"/>
              </w:rPr>
            </w:pPr>
            <w:r>
              <w:t>叙利亚水泥公司</w:t>
            </w:r>
          </w:p>
        </w:tc>
        <w:tc>
          <w:tcPr>
            <w:tcW w:w="1412" w:type="pct"/>
            <w:tcBorders>
              <w:top w:val="single" w:sz="4" w:space="0" w:color="auto"/>
              <w:left w:val="single" w:sz="4" w:space="0" w:color="auto"/>
              <w:bottom w:val="single" w:sz="4" w:space="0" w:color="auto"/>
              <w:right w:val="single" w:sz="4" w:space="0" w:color="auto"/>
            </w:tcBorders>
            <w:vAlign w:val="center"/>
          </w:tcPr>
          <w:p w14:paraId="175CA746" w14:textId="77777777" w:rsidR="00E57DAA" w:rsidRDefault="00AC4185">
            <w:pPr>
              <w:jc w:val="right"/>
              <w:rPr>
                <w:szCs w:val="21"/>
              </w:rPr>
            </w:pPr>
            <w:r>
              <w:t>-291,853,013.46</w:t>
            </w:r>
          </w:p>
        </w:tc>
        <w:tc>
          <w:tcPr>
            <w:tcW w:w="1254" w:type="pct"/>
            <w:tcBorders>
              <w:top w:val="single" w:sz="4" w:space="0" w:color="auto"/>
              <w:left w:val="single" w:sz="4" w:space="0" w:color="auto"/>
              <w:bottom w:val="single" w:sz="4" w:space="0" w:color="auto"/>
              <w:right w:val="single" w:sz="4" w:space="0" w:color="auto"/>
            </w:tcBorders>
            <w:vAlign w:val="center"/>
          </w:tcPr>
          <w:p w14:paraId="5889F8D4" w14:textId="77777777" w:rsidR="00E57DAA" w:rsidRDefault="00AC4185">
            <w:pPr>
              <w:rPr>
                <w:szCs w:val="21"/>
              </w:rPr>
            </w:pPr>
            <w:r>
              <w:t>结转收入</w:t>
            </w:r>
          </w:p>
        </w:tc>
      </w:tr>
      <w:tr w:rsidR="00E57DAA" w14:paraId="1C5BE3AD" w14:textId="77777777">
        <w:trPr>
          <w:trHeight w:val="80"/>
        </w:trPr>
        <w:tc>
          <w:tcPr>
            <w:tcW w:w="2334" w:type="pct"/>
            <w:tcBorders>
              <w:top w:val="single" w:sz="4" w:space="0" w:color="auto"/>
              <w:left w:val="single" w:sz="4" w:space="0" w:color="auto"/>
              <w:bottom w:val="single" w:sz="4" w:space="0" w:color="auto"/>
              <w:right w:val="single" w:sz="4" w:space="0" w:color="auto"/>
            </w:tcBorders>
          </w:tcPr>
          <w:p w14:paraId="01B027D5" w14:textId="77777777" w:rsidR="00E57DAA" w:rsidRDefault="00AC4185">
            <w:pPr>
              <w:rPr>
                <w:szCs w:val="21"/>
              </w:rPr>
            </w:pPr>
            <w:r>
              <w:t>Dangote Cement Plc</w:t>
            </w:r>
          </w:p>
        </w:tc>
        <w:tc>
          <w:tcPr>
            <w:tcW w:w="1412" w:type="pct"/>
            <w:tcBorders>
              <w:top w:val="single" w:sz="4" w:space="0" w:color="auto"/>
              <w:left w:val="single" w:sz="4" w:space="0" w:color="auto"/>
              <w:bottom w:val="single" w:sz="4" w:space="0" w:color="auto"/>
              <w:right w:val="single" w:sz="4" w:space="0" w:color="auto"/>
            </w:tcBorders>
            <w:vAlign w:val="center"/>
          </w:tcPr>
          <w:p w14:paraId="5DF4B566" w14:textId="77777777" w:rsidR="00E57DAA" w:rsidRDefault="00AC4185">
            <w:pPr>
              <w:jc w:val="right"/>
              <w:rPr>
                <w:szCs w:val="21"/>
              </w:rPr>
            </w:pPr>
            <w:r>
              <w:t>287,974,329.57</w:t>
            </w:r>
          </w:p>
        </w:tc>
        <w:tc>
          <w:tcPr>
            <w:tcW w:w="1254" w:type="pct"/>
            <w:tcBorders>
              <w:top w:val="single" w:sz="4" w:space="0" w:color="auto"/>
              <w:left w:val="single" w:sz="4" w:space="0" w:color="auto"/>
              <w:bottom w:val="single" w:sz="4" w:space="0" w:color="auto"/>
              <w:right w:val="single" w:sz="4" w:space="0" w:color="auto"/>
            </w:tcBorders>
            <w:vAlign w:val="center"/>
          </w:tcPr>
          <w:p w14:paraId="0FDFEB8B" w14:textId="77777777" w:rsidR="00E57DAA" w:rsidRDefault="00AC4185">
            <w:pPr>
              <w:rPr>
                <w:szCs w:val="21"/>
              </w:rPr>
            </w:pPr>
            <w:r>
              <w:t>预收工程款</w:t>
            </w:r>
          </w:p>
        </w:tc>
      </w:tr>
      <w:tr w:rsidR="00E57DAA" w14:paraId="51450ABF" w14:textId="77777777">
        <w:trPr>
          <w:trHeight w:val="80"/>
        </w:trPr>
        <w:tc>
          <w:tcPr>
            <w:tcW w:w="2334" w:type="pct"/>
            <w:tcBorders>
              <w:top w:val="single" w:sz="4" w:space="0" w:color="auto"/>
              <w:left w:val="single" w:sz="4" w:space="0" w:color="auto"/>
              <w:bottom w:val="single" w:sz="4" w:space="0" w:color="auto"/>
              <w:right w:val="single" w:sz="4" w:space="0" w:color="auto"/>
            </w:tcBorders>
          </w:tcPr>
          <w:p w14:paraId="0C3A35D3" w14:textId="77777777" w:rsidR="00E57DAA" w:rsidRDefault="00AC4185">
            <w:pPr>
              <w:rPr>
                <w:szCs w:val="21"/>
              </w:rPr>
            </w:pPr>
            <w:r>
              <w:t>多米尼加DOMICEM水泥公司</w:t>
            </w:r>
          </w:p>
        </w:tc>
        <w:tc>
          <w:tcPr>
            <w:tcW w:w="1412" w:type="pct"/>
            <w:tcBorders>
              <w:top w:val="single" w:sz="4" w:space="0" w:color="auto"/>
              <w:left w:val="single" w:sz="4" w:space="0" w:color="auto"/>
              <w:bottom w:val="single" w:sz="4" w:space="0" w:color="auto"/>
              <w:right w:val="single" w:sz="4" w:space="0" w:color="auto"/>
            </w:tcBorders>
            <w:vAlign w:val="center"/>
          </w:tcPr>
          <w:p w14:paraId="302F8831" w14:textId="77777777" w:rsidR="00E57DAA" w:rsidRDefault="00AC4185">
            <w:pPr>
              <w:jc w:val="right"/>
              <w:rPr>
                <w:szCs w:val="21"/>
              </w:rPr>
            </w:pPr>
            <w:r>
              <w:t>-241,057,188.62</w:t>
            </w:r>
          </w:p>
        </w:tc>
        <w:tc>
          <w:tcPr>
            <w:tcW w:w="1254" w:type="pct"/>
            <w:tcBorders>
              <w:top w:val="single" w:sz="4" w:space="0" w:color="auto"/>
              <w:left w:val="single" w:sz="4" w:space="0" w:color="auto"/>
              <w:bottom w:val="single" w:sz="4" w:space="0" w:color="auto"/>
              <w:right w:val="single" w:sz="4" w:space="0" w:color="auto"/>
            </w:tcBorders>
            <w:vAlign w:val="center"/>
          </w:tcPr>
          <w:p w14:paraId="2A887D8B" w14:textId="77777777" w:rsidR="00E57DAA" w:rsidRDefault="00AC4185">
            <w:pPr>
              <w:rPr>
                <w:szCs w:val="21"/>
              </w:rPr>
            </w:pPr>
            <w:r>
              <w:t>结转收入</w:t>
            </w:r>
          </w:p>
        </w:tc>
      </w:tr>
      <w:tr w:rsidR="00E57DAA" w14:paraId="12529FEC" w14:textId="77777777">
        <w:trPr>
          <w:trHeight w:val="80"/>
        </w:trPr>
        <w:tc>
          <w:tcPr>
            <w:tcW w:w="2334" w:type="pct"/>
            <w:tcBorders>
              <w:top w:val="single" w:sz="4" w:space="0" w:color="auto"/>
              <w:left w:val="single" w:sz="4" w:space="0" w:color="auto"/>
              <w:bottom w:val="single" w:sz="4" w:space="0" w:color="auto"/>
              <w:right w:val="single" w:sz="4" w:space="0" w:color="auto"/>
            </w:tcBorders>
          </w:tcPr>
          <w:p w14:paraId="60BA25A4" w14:textId="77777777" w:rsidR="00E57DAA" w:rsidRDefault="00AC4185">
            <w:pPr>
              <w:rPr>
                <w:szCs w:val="21"/>
              </w:rPr>
            </w:pPr>
            <w:r>
              <w:t>CHEMICAL COMPLEX SASTOBE</w:t>
            </w:r>
          </w:p>
        </w:tc>
        <w:tc>
          <w:tcPr>
            <w:tcW w:w="1412" w:type="pct"/>
            <w:tcBorders>
              <w:top w:val="single" w:sz="4" w:space="0" w:color="auto"/>
              <w:left w:val="single" w:sz="4" w:space="0" w:color="auto"/>
              <w:bottom w:val="single" w:sz="4" w:space="0" w:color="auto"/>
              <w:right w:val="single" w:sz="4" w:space="0" w:color="auto"/>
            </w:tcBorders>
            <w:vAlign w:val="center"/>
          </w:tcPr>
          <w:p w14:paraId="6042DFC4" w14:textId="77777777" w:rsidR="00E57DAA" w:rsidRDefault="00AC4185">
            <w:pPr>
              <w:jc w:val="right"/>
              <w:rPr>
                <w:szCs w:val="21"/>
              </w:rPr>
            </w:pPr>
            <w:r>
              <w:t>235,580,901.36</w:t>
            </w:r>
          </w:p>
        </w:tc>
        <w:tc>
          <w:tcPr>
            <w:tcW w:w="1254" w:type="pct"/>
            <w:tcBorders>
              <w:top w:val="single" w:sz="4" w:space="0" w:color="auto"/>
              <w:left w:val="single" w:sz="4" w:space="0" w:color="auto"/>
              <w:bottom w:val="single" w:sz="4" w:space="0" w:color="auto"/>
              <w:right w:val="single" w:sz="4" w:space="0" w:color="auto"/>
            </w:tcBorders>
            <w:vAlign w:val="center"/>
          </w:tcPr>
          <w:p w14:paraId="008F3E38" w14:textId="77777777" w:rsidR="00E57DAA" w:rsidRDefault="00AC4185">
            <w:pPr>
              <w:rPr>
                <w:szCs w:val="21"/>
              </w:rPr>
            </w:pPr>
            <w:r>
              <w:t>预收工程款</w:t>
            </w:r>
          </w:p>
        </w:tc>
      </w:tr>
      <w:tr w:rsidR="00E57DAA" w14:paraId="7F56B1B0" w14:textId="77777777">
        <w:trPr>
          <w:trHeight w:val="285"/>
        </w:trPr>
        <w:tc>
          <w:tcPr>
            <w:tcW w:w="2334" w:type="pct"/>
            <w:tcBorders>
              <w:top w:val="single" w:sz="4" w:space="0" w:color="auto"/>
              <w:left w:val="single" w:sz="4" w:space="0" w:color="auto"/>
              <w:bottom w:val="single" w:sz="4" w:space="0" w:color="auto"/>
              <w:right w:val="single" w:sz="4" w:space="0" w:color="auto"/>
            </w:tcBorders>
            <w:vAlign w:val="bottom"/>
          </w:tcPr>
          <w:p w14:paraId="06CDCF58" w14:textId="77777777" w:rsidR="00E57DAA" w:rsidRDefault="00AC4185">
            <w:pPr>
              <w:jc w:val="center"/>
              <w:rPr>
                <w:szCs w:val="21"/>
              </w:rPr>
            </w:pPr>
            <w:r>
              <w:rPr>
                <w:rFonts w:hint="eastAsia"/>
                <w:szCs w:val="21"/>
              </w:rPr>
              <w:t>合计</w:t>
            </w:r>
          </w:p>
        </w:tc>
        <w:tc>
          <w:tcPr>
            <w:tcW w:w="1412" w:type="pct"/>
            <w:tcBorders>
              <w:top w:val="single" w:sz="4" w:space="0" w:color="auto"/>
              <w:left w:val="single" w:sz="4" w:space="0" w:color="auto"/>
              <w:bottom w:val="single" w:sz="4" w:space="0" w:color="auto"/>
              <w:right w:val="single" w:sz="4" w:space="0" w:color="auto"/>
            </w:tcBorders>
            <w:vAlign w:val="center"/>
          </w:tcPr>
          <w:p w14:paraId="20982133" w14:textId="77777777" w:rsidR="00E57DAA" w:rsidRDefault="00AC4185">
            <w:pPr>
              <w:jc w:val="right"/>
              <w:rPr>
                <w:szCs w:val="21"/>
              </w:rPr>
            </w:pPr>
            <w:r>
              <w:t>568,446,186.84</w:t>
            </w:r>
          </w:p>
        </w:tc>
        <w:tc>
          <w:tcPr>
            <w:tcW w:w="1254" w:type="pct"/>
            <w:tcBorders>
              <w:top w:val="single" w:sz="4" w:space="0" w:color="auto"/>
              <w:left w:val="single" w:sz="4" w:space="0" w:color="auto"/>
              <w:bottom w:val="single" w:sz="4" w:space="0" w:color="auto"/>
              <w:right w:val="single" w:sz="4" w:space="0" w:color="auto"/>
            </w:tcBorders>
          </w:tcPr>
          <w:p w14:paraId="073E6288" w14:textId="77777777" w:rsidR="00E57DAA" w:rsidRDefault="00AC4185">
            <w:pPr>
              <w:jc w:val="center"/>
              <w:rPr>
                <w:szCs w:val="21"/>
              </w:rPr>
            </w:pPr>
            <w:r>
              <w:rPr>
                <w:rFonts w:hint="eastAsia"/>
                <w:szCs w:val="21"/>
              </w:rPr>
              <w:t>/</w:t>
            </w:r>
          </w:p>
        </w:tc>
      </w:tr>
    </w:tbl>
    <w:p w14:paraId="3BEBB0ED" w14:textId="77777777" w:rsidR="00E57DAA" w:rsidRDefault="00E57DAA" w:rsidP="00C25422">
      <w:pPr>
        <w:pStyle w:val="92"/>
      </w:pPr>
    </w:p>
    <w:p w14:paraId="5BEF3941" w14:textId="77777777" w:rsidR="00E57DAA" w:rsidRDefault="00AC4185">
      <w:pPr>
        <w:rPr>
          <w:szCs w:val="21"/>
        </w:rPr>
      </w:pPr>
      <w:r>
        <w:rPr>
          <w:rFonts w:hint="eastAsia"/>
          <w:szCs w:val="21"/>
        </w:rPr>
        <w:t>其他说明：</w:t>
      </w:r>
    </w:p>
    <w:sdt>
      <w:sdtPr>
        <w:alias w:val="是否适用：合同负债其他说明[双击切换]"/>
        <w:tag w:val="_GBC_1c99003b181f47ebb73e6452f4bfa446"/>
        <w:id w:val="87970929"/>
        <w:placeholder>
          <w:docPart w:val="GBC22222222222222222222222222222"/>
        </w:placeholder>
      </w:sdtPr>
      <w:sdtEndPr/>
      <w:sdtContent>
        <w:p w14:paraId="0374658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68C47E" w14:textId="77777777" w:rsidR="00E57DAA" w:rsidRDefault="00E57DAA" w:rsidP="00C25422">
      <w:pPr>
        <w:pStyle w:val="92"/>
      </w:pPr>
    </w:p>
    <w:p w14:paraId="0546C954" w14:textId="77777777" w:rsidR="00E57DAA" w:rsidRDefault="00AC4185" w:rsidP="00C25422">
      <w:pPr>
        <w:pStyle w:val="91"/>
        <w:numPr>
          <w:ilvl w:val="0"/>
          <w:numId w:val="69"/>
        </w:numPr>
      </w:pPr>
      <w:r>
        <w:rPr>
          <w:rFonts w:hint="eastAsia"/>
        </w:rPr>
        <w:t>应付职工薪酬</w:t>
      </w:r>
    </w:p>
    <w:p w14:paraId="07A64DCC" w14:textId="77777777" w:rsidR="00E57DAA" w:rsidRDefault="00AC4185">
      <w:pPr>
        <w:pStyle w:val="4"/>
        <w:numPr>
          <w:ilvl w:val="0"/>
          <w:numId w:val="96"/>
        </w:numPr>
      </w:pPr>
      <w:r>
        <w:rPr>
          <w:rFonts w:hint="eastAsia"/>
        </w:rPr>
        <w:t>应付职工薪酬列示</w:t>
      </w:r>
    </w:p>
    <w:sdt>
      <w:sdtPr>
        <w:alias w:val="是否适用：应付职工薪酬列示[双击切换]"/>
        <w:tag w:val="_GBC_215b41e091df4b2bbb2009fd3c8040b5"/>
        <w:id w:val="-739256208"/>
        <w:placeholder>
          <w:docPart w:val="GBC22222222222222222222222222222"/>
        </w:placeholder>
      </w:sdtPr>
      <w:sdtEndPr/>
      <w:sdtContent>
        <w:p w14:paraId="12033A0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D57A0E" w14:textId="77777777" w:rsidR="00E57DAA" w:rsidRDefault="00AC4185">
      <w:pPr>
        <w:jc w:val="right"/>
      </w:pPr>
      <w:r>
        <w:rPr>
          <w:rFonts w:hint="eastAsia"/>
        </w:rPr>
        <w:t>单位：</w:t>
      </w:r>
      <w:sdt>
        <w:sdtPr>
          <w:rPr>
            <w:rFonts w:hint="eastAsia"/>
          </w:rPr>
          <w:alias w:val="单位：财务附注：应付职工薪酬"/>
          <w:tag w:val="_GBC_6889c0e435324d63b7c01ed595a8e140"/>
          <w:id w:val="-17279094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7833381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701"/>
        <w:gridCol w:w="1983"/>
        <w:gridCol w:w="1842"/>
        <w:gridCol w:w="1740"/>
      </w:tblGrid>
      <w:tr w:rsidR="00E57DAA" w14:paraId="42C86567" w14:textId="77777777">
        <w:sdt>
          <w:sdtPr>
            <w:rPr>
              <w:sz w:val="20"/>
              <w:szCs w:val="22"/>
            </w:rPr>
            <w:tag w:val="_PLD_4761dc2d96c64c3fb5d407cdbec097a2"/>
            <w:id w:val="1433405474"/>
          </w:sdtPr>
          <w:sdtEndPr/>
          <w:sdtContent>
            <w:tc>
              <w:tcPr>
                <w:tcW w:w="882" w:type="pct"/>
                <w:shd w:val="clear" w:color="auto" w:fill="auto"/>
                <w:vAlign w:val="center"/>
              </w:tcPr>
              <w:p w14:paraId="38B83351" w14:textId="77777777" w:rsidR="00E57DAA" w:rsidRDefault="00AC4185">
                <w:pPr>
                  <w:jc w:val="center"/>
                  <w:rPr>
                    <w:sz w:val="20"/>
                    <w:szCs w:val="22"/>
                  </w:rPr>
                </w:pPr>
                <w:r>
                  <w:rPr>
                    <w:rFonts w:hint="eastAsia"/>
                    <w:sz w:val="20"/>
                    <w:szCs w:val="22"/>
                  </w:rPr>
                  <w:t>项目</w:t>
                </w:r>
              </w:p>
            </w:tc>
          </w:sdtContent>
        </w:sdt>
        <w:sdt>
          <w:sdtPr>
            <w:rPr>
              <w:sz w:val="20"/>
              <w:szCs w:val="22"/>
            </w:rPr>
            <w:tag w:val="_PLD_f666739d3c0f4f9891bd8f4974d101ec"/>
            <w:id w:val="1564055864"/>
          </w:sdtPr>
          <w:sdtEndPr/>
          <w:sdtContent>
            <w:tc>
              <w:tcPr>
                <w:tcW w:w="964" w:type="pct"/>
                <w:shd w:val="clear" w:color="auto" w:fill="auto"/>
                <w:vAlign w:val="center"/>
              </w:tcPr>
              <w:p w14:paraId="0D95882A" w14:textId="77777777" w:rsidR="00E57DAA" w:rsidRDefault="00AC4185">
                <w:pPr>
                  <w:jc w:val="center"/>
                  <w:rPr>
                    <w:sz w:val="20"/>
                    <w:szCs w:val="22"/>
                  </w:rPr>
                </w:pPr>
                <w:r>
                  <w:rPr>
                    <w:rFonts w:hint="eastAsia"/>
                    <w:sz w:val="20"/>
                    <w:szCs w:val="22"/>
                  </w:rPr>
                  <w:t>期初余额</w:t>
                </w:r>
              </w:p>
            </w:tc>
          </w:sdtContent>
        </w:sdt>
        <w:sdt>
          <w:sdtPr>
            <w:rPr>
              <w:sz w:val="20"/>
              <w:szCs w:val="22"/>
            </w:rPr>
            <w:tag w:val="_PLD_cc701d3a5a44484d862c996437df1e7d"/>
            <w:id w:val="1619023493"/>
          </w:sdtPr>
          <w:sdtEndPr/>
          <w:sdtContent>
            <w:tc>
              <w:tcPr>
                <w:tcW w:w="1124" w:type="pct"/>
                <w:shd w:val="clear" w:color="auto" w:fill="auto"/>
                <w:vAlign w:val="center"/>
              </w:tcPr>
              <w:p w14:paraId="3C956FA7" w14:textId="77777777" w:rsidR="00E57DAA" w:rsidRDefault="00AC4185">
                <w:pPr>
                  <w:jc w:val="center"/>
                  <w:rPr>
                    <w:sz w:val="20"/>
                    <w:szCs w:val="22"/>
                  </w:rPr>
                </w:pPr>
                <w:r>
                  <w:rPr>
                    <w:rFonts w:hint="eastAsia"/>
                    <w:sz w:val="20"/>
                    <w:szCs w:val="22"/>
                  </w:rPr>
                  <w:t>本期增加</w:t>
                </w:r>
              </w:p>
            </w:tc>
          </w:sdtContent>
        </w:sdt>
        <w:sdt>
          <w:sdtPr>
            <w:rPr>
              <w:sz w:val="20"/>
              <w:szCs w:val="22"/>
            </w:rPr>
            <w:tag w:val="_PLD_0e8f833fca684ce592b0cba6d04c75ef"/>
            <w:id w:val="-1922787428"/>
          </w:sdtPr>
          <w:sdtEndPr/>
          <w:sdtContent>
            <w:tc>
              <w:tcPr>
                <w:tcW w:w="1044" w:type="pct"/>
                <w:shd w:val="clear" w:color="auto" w:fill="auto"/>
                <w:vAlign w:val="center"/>
              </w:tcPr>
              <w:p w14:paraId="4BE91C94" w14:textId="77777777" w:rsidR="00E57DAA" w:rsidRDefault="00AC4185">
                <w:pPr>
                  <w:jc w:val="center"/>
                  <w:rPr>
                    <w:sz w:val="20"/>
                    <w:szCs w:val="22"/>
                  </w:rPr>
                </w:pPr>
                <w:r>
                  <w:rPr>
                    <w:rFonts w:hint="eastAsia"/>
                    <w:sz w:val="20"/>
                    <w:szCs w:val="22"/>
                  </w:rPr>
                  <w:t>本期减少</w:t>
                </w:r>
              </w:p>
            </w:tc>
          </w:sdtContent>
        </w:sdt>
        <w:sdt>
          <w:sdtPr>
            <w:rPr>
              <w:sz w:val="20"/>
              <w:szCs w:val="22"/>
            </w:rPr>
            <w:tag w:val="_PLD_c39a265e94994f0480d13abd59d3eb39"/>
            <w:id w:val="-1862652069"/>
          </w:sdtPr>
          <w:sdtEndPr/>
          <w:sdtContent>
            <w:tc>
              <w:tcPr>
                <w:tcW w:w="986" w:type="pct"/>
                <w:shd w:val="clear" w:color="auto" w:fill="auto"/>
                <w:vAlign w:val="center"/>
              </w:tcPr>
              <w:p w14:paraId="48FA3B79" w14:textId="77777777" w:rsidR="00E57DAA" w:rsidRDefault="00AC4185">
                <w:pPr>
                  <w:jc w:val="center"/>
                  <w:rPr>
                    <w:sz w:val="20"/>
                    <w:szCs w:val="22"/>
                  </w:rPr>
                </w:pPr>
                <w:r>
                  <w:rPr>
                    <w:rFonts w:hint="eastAsia"/>
                    <w:sz w:val="20"/>
                    <w:szCs w:val="22"/>
                  </w:rPr>
                  <w:t>期末余额</w:t>
                </w:r>
              </w:p>
            </w:tc>
          </w:sdtContent>
        </w:sdt>
      </w:tr>
      <w:tr w:rsidR="00E57DAA" w14:paraId="76512B0B" w14:textId="77777777">
        <w:tc>
          <w:tcPr>
            <w:tcW w:w="882" w:type="pct"/>
            <w:shd w:val="clear" w:color="auto" w:fill="auto"/>
          </w:tcPr>
          <w:p w14:paraId="1CE6EF18" w14:textId="77777777" w:rsidR="00E57DAA" w:rsidRDefault="00AC4185">
            <w:pPr>
              <w:rPr>
                <w:sz w:val="20"/>
                <w:szCs w:val="22"/>
              </w:rPr>
            </w:pPr>
            <w:r>
              <w:rPr>
                <w:rFonts w:hint="eastAsia"/>
                <w:sz w:val="20"/>
                <w:szCs w:val="22"/>
              </w:rPr>
              <w:t>一、短期薪酬</w:t>
            </w:r>
          </w:p>
        </w:tc>
        <w:tc>
          <w:tcPr>
            <w:tcW w:w="964" w:type="pct"/>
            <w:shd w:val="clear" w:color="auto" w:fill="auto"/>
            <w:vAlign w:val="center"/>
          </w:tcPr>
          <w:p w14:paraId="626F3AEB" w14:textId="77777777" w:rsidR="00E57DAA" w:rsidRDefault="00AC4185">
            <w:pPr>
              <w:jc w:val="right"/>
              <w:rPr>
                <w:sz w:val="20"/>
                <w:szCs w:val="22"/>
              </w:rPr>
            </w:pPr>
            <w:r>
              <w:rPr>
                <w:sz w:val="20"/>
                <w:szCs w:val="22"/>
              </w:rPr>
              <w:t>915,089,254.16</w:t>
            </w:r>
          </w:p>
        </w:tc>
        <w:tc>
          <w:tcPr>
            <w:tcW w:w="1124" w:type="pct"/>
            <w:shd w:val="clear" w:color="auto" w:fill="auto"/>
            <w:vAlign w:val="center"/>
          </w:tcPr>
          <w:p w14:paraId="603422FC" w14:textId="77777777" w:rsidR="00E57DAA" w:rsidRDefault="00AC4185">
            <w:pPr>
              <w:jc w:val="right"/>
              <w:rPr>
                <w:sz w:val="20"/>
                <w:szCs w:val="22"/>
                <w:highlight w:val="yellow"/>
              </w:rPr>
            </w:pPr>
            <w:r>
              <w:rPr>
                <w:sz w:val="20"/>
                <w:szCs w:val="22"/>
              </w:rPr>
              <w:t>4,082,471,469.55</w:t>
            </w:r>
          </w:p>
        </w:tc>
        <w:tc>
          <w:tcPr>
            <w:tcW w:w="1044" w:type="pct"/>
            <w:shd w:val="clear" w:color="auto" w:fill="auto"/>
            <w:vAlign w:val="center"/>
          </w:tcPr>
          <w:p w14:paraId="4B2F00AD" w14:textId="77777777" w:rsidR="00E57DAA" w:rsidRDefault="00AC4185">
            <w:pPr>
              <w:jc w:val="right"/>
              <w:rPr>
                <w:sz w:val="20"/>
                <w:szCs w:val="22"/>
                <w:highlight w:val="yellow"/>
              </w:rPr>
            </w:pPr>
            <w:r>
              <w:rPr>
                <w:sz w:val="20"/>
                <w:szCs w:val="22"/>
              </w:rPr>
              <w:t>4,115,828,867.43</w:t>
            </w:r>
          </w:p>
        </w:tc>
        <w:tc>
          <w:tcPr>
            <w:tcW w:w="986" w:type="pct"/>
            <w:shd w:val="clear" w:color="auto" w:fill="auto"/>
            <w:vAlign w:val="center"/>
          </w:tcPr>
          <w:p w14:paraId="6539D299" w14:textId="77777777" w:rsidR="00E57DAA" w:rsidRDefault="00AC4185">
            <w:pPr>
              <w:jc w:val="right"/>
              <w:rPr>
                <w:sz w:val="20"/>
                <w:szCs w:val="22"/>
              </w:rPr>
            </w:pPr>
            <w:r>
              <w:rPr>
                <w:sz w:val="20"/>
                <w:szCs w:val="22"/>
              </w:rPr>
              <w:t>881,731,856.28</w:t>
            </w:r>
          </w:p>
        </w:tc>
      </w:tr>
      <w:tr w:rsidR="00E57DAA" w14:paraId="262CA8EA" w14:textId="77777777">
        <w:tc>
          <w:tcPr>
            <w:tcW w:w="882" w:type="pct"/>
            <w:shd w:val="clear" w:color="auto" w:fill="auto"/>
          </w:tcPr>
          <w:p w14:paraId="22ED41AE" w14:textId="77777777" w:rsidR="00E57DAA" w:rsidRDefault="00AC4185">
            <w:pPr>
              <w:rPr>
                <w:sz w:val="20"/>
                <w:szCs w:val="22"/>
              </w:rPr>
            </w:pPr>
            <w:r>
              <w:rPr>
                <w:rFonts w:hint="eastAsia"/>
                <w:sz w:val="20"/>
                <w:szCs w:val="22"/>
              </w:rPr>
              <w:t>二、离职后福利-设定提存计划</w:t>
            </w:r>
          </w:p>
        </w:tc>
        <w:tc>
          <w:tcPr>
            <w:tcW w:w="964" w:type="pct"/>
            <w:shd w:val="clear" w:color="auto" w:fill="auto"/>
            <w:vAlign w:val="center"/>
          </w:tcPr>
          <w:p w14:paraId="02FD6D48" w14:textId="77777777" w:rsidR="00E57DAA" w:rsidRDefault="00AC4185">
            <w:pPr>
              <w:jc w:val="right"/>
              <w:rPr>
                <w:sz w:val="20"/>
                <w:szCs w:val="22"/>
              </w:rPr>
            </w:pPr>
            <w:r>
              <w:rPr>
                <w:sz w:val="20"/>
                <w:szCs w:val="22"/>
              </w:rPr>
              <w:t>10,746,464.62</w:t>
            </w:r>
          </w:p>
        </w:tc>
        <w:tc>
          <w:tcPr>
            <w:tcW w:w="1124" w:type="pct"/>
            <w:shd w:val="clear" w:color="auto" w:fill="auto"/>
            <w:vAlign w:val="center"/>
          </w:tcPr>
          <w:p w14:paraId="4F56180E" w14:textId="77777777" w:rsidR="00E57DAA" w:rsidRDefault="00AC4185">
            <w:pPr>
              <w:jc w:val="right"/>
              <w:rPr>
                <w:sz w:val="20"/>
                <w:szCs w:val="22"/>
              </w:rPr>
            </w:pPr>
            <w:r>
              <w:rPr>
                <w:sz w:val="20"/>
                <w:szCs w:val="22"/>
              </w:rPr>
              <w:t>499,452,671.60</w:t>
            </w:r>
          </w:p>
        </w:tc>
        <w:tc>
          <w:tcPr>
            <w:tcW w:w="1044" w:type="pct"/>
            <w:shd w:val="clear" w:color="auto" w:fill="auto"/>
            <w:vAlign w:val="center"/>
          </w:tcPr>
          <w:p w14:paraId="34E5B412" w14:textId="77777777" w:rsidR="00E57DAA" w:rsidRDefault="00AC4185">
            <w:pPr>
              <w:jc w:val="right"/>
              <w:rPr>
                <w:sz w:val="20"/>
                <w:szCs w:val="22"/>
              </w:rPr>
            </w:pPr>
            <w:r>
              <w:rPr>
                <w:sz w:val="20"/>
                <w:szCs w:val="22"/>
              </w:rPr>
              <w:t>495,497,987.08</w:t>
            </w:r>
          </w:p>
        </w:tc>
        <w:tc>
          <w:tcPr>
            <w:tcW w:w="986" w:type="pct"/>
            <w:shd w:val="clear" w:color="auto" w:fill="auto"/>
            <w:vAlign w:val="center"/>
          </w:tcPr>
          <w:p w14:paraId="6B39DEFE" w14:textId="77777777" w:rsidR="00E57DAA" w:rsidRDefault="00AC4185">
            <w:pPr>
              <w:jc w:val="right"/>
              <w:rPr>
                <w:sz w:val="20"/>
                <w:szCs w:val="22"/>
              </w:rPr>
            </w:pPr>
            <w:r>
              <w:rPr>
                <w:sz w:val="20"/>
                <w:szCs w:val="22"/>
              </w:rPr>
              <w:t>14,701,149.14</w:t>
            </w:r>
          </w:p>
        </w:tc>
      </w:tr>
      <w:tr w:rsidR="00E57DAA" w14:paraId="4AF6A404" w14:textId="77777777">
        <w:tc>
          <w:tcPr>
            <w:tcW w:w="882" w:type="pct"/>
            <w:shd w:val="clear" w:color="auto" w:fill="auto"/>
          </w:tcPr>
          <w:p w14:paraId="1A58EF8D" w14:textId="77777777" w:rsidR="00E57DAA" w:rsidRDefault="00AC4185">
            <w:pPr>
              <w:rPr>
                <w:sz w:val="20"/>
                <w:szCs w:val="22"/>
              </w:rPr>
            </w:pPr>
            <w:r>
              <w:rPr>
                <w:rFonts w:hint="eastAsia"/>
                <w:sz w:val="20"/>
                <w:szCs w:val="22"/>
              </w:rPr>
              <w:t>三、辞退福利</w:t>
            </w:r>
          </w:p>
        </w:tc>
        <w:tc>
          <w:tcPr>
            <w:tcW w:w="964" w:type="pct"/>
            <w:shd w:val="clear" w:color="auto" w:fill="auto"/>
            <w:vAlign w:val="center"/>
          </w:tcPr>
          <w:p w14:paraId="60EAC631" w14:textId="77777777" w:rsidR="00E57DAA" w:rsidRDefault="00AC4185">
            <w:pPr>
              <w:jc w:val="right"/>
              <w:rPr>
                <w:sz w:val="20"/>
                <w:szCs w:val="22"/>
              </w:rPr>
            </w:pPr>
            <w:r>
              <w:rPr>
                <w:sz w:val="20"/>
                <w:szCs w:val="22"/>
              </w:rPr>
              <w:t>4,643,485.34</w:t>
            </w:r>
          </w:p>
        </w:tc>
        <w:tc>
          <w:tcPr>
            <w:tcW w:w="1124" w:type="pct"/>
            <w:shd w:val="clear" w:color="auto" w:fill="auto"/>
            <w:vAlign w:val="center"/>
          </w:tcPr>
          <w:p w14:paraId="29C23B11" w14:textId="77777777" w:rsidR="00E57DAA" w:rsidRDefault="00AC4185">
            <w:pPr>
              <w:jc w:val="right"/>
              <w:rPr>
                <w:sz w:val="20"/>
                <w:szCs w:val="22"/>
              </w:rPr>
            </w:pPr>
            <w:r>
              <w:rPr>
                <w:sz w:val="20"/>
                <w:szCs w:val="22"/>
              </w:rPr>
              <w:t>11,792,901.61</w:t>
            </w:r>
          </w:p>
        </w:tc>
        <w:tc>
          <w:tcPr>
            <w:tcW w:w="1044" w:type="pct"/>
            <w:shd w:val="clear" w:color="auto" w:fill="auto"/>
            <w:vAlign w:val="center"/>
          </w:tcPr>
          <w:p w14:paraId="1B60B8EB" w14:textId="77777777" w:rsidR="00E57DAA" w:rsidRDefault="00AC4185">
            <w:pPr>
              <w:jc w:val="right"/>
              <w:rPr>
                <w:sz w:val="20"/>
                <w:szCs w:val="22"/>
              </w:rPr>
            </w:pPr>
            <w:r>
              <w:rPr>
                <w:sz w:val="20"/>
                <w:szCs w:val="22"/>
              </w:rPr>
              <w:t>15,158,830.66</w:t>
            </w:r>
          </w:p>
        </w:tc>
        <w:tc>
          <w:tcPr>
            <w:tcW w:w="986" w:type="pct"/>
            <w:shd w:val="clear" w:color="auto" w:fill="auto"/>
            <w:vAlign w:val="center"/>
          </w:tcPr>
          <w:p w14:paraId="68A2DC9F" w14:textId="77777777" w:rsidR="00E57DAA" w:rsidRDefault="00AC4185">
            <w:pPr>
              <w:jc w:val="right"/>
              <w:rPr>
                <w:sz w:val="20"/>
                <w:szCs w:val="22"/>
              </w:rPr>
            </w:pPr>
            <w:r>
              <w:rPr>
                <w:sz w:val="20"/>
                <w:szCs w:val="22"/>
              </w:rPr>
              <w:t>1,277,556.29</w:t>
            </w:r>
          </w:p>
        </w:tc>
      </w:tr>
      <w:tr w:rsidR="00E57DAA" w14:paraId="33FB7DC1" w14:textId="77777777">
        <w:tc>
          <w:tcPr>
            <w:tcW w:w="882" w:type="pct"/>
            <w:shd w:val="clear" w:color="auto" w:fill="auto"/>
            <w:vAlign w:val="center"/>
          </w:tcPr>
          <w:p w14:paraId="72FF08A3" w14:textId="77777777" w:rsidR="00E57DAA" w:rsidRDefault="00AC4185">
            <w:pPr>
              <w:jc w:val="center"/>
              <w:rPr>
                <w:sz w:val="20"/>
                <w:szCs w:val="22"/>
              </w:rPr>
            </w:pPr>
            <w:r>
              <w:rPr>
                <w:rFonts w:hint="eastAsia"/>
                <w:sz w:val="20"/>
                <w:szCs w:val="22"/>
              </w:rPr>
              <w:lastRenderedPageBreak/>
              <w:t>合计</w:t>
            </w:r>
          </w:p>
        </w:tc>
        <w:tc>
          <w:tcPr>
            <w:tcW w:w="964" w:type="pct"/>
            <w:shd w:val="clear" w:color="auto" w:fill="auto"/>
            <w:vAlign w:val="center"/>
          </w:tcPr>
          <w:p w14:paraId="3CFB5797" w14:textId="77777777" w:rsidR="00E57DAA" w:rsidRDefault="00AC4185">
            <w:pPr>
              <w:jc w:val="right"/>
              <w:rPr>
                <w:sz w:val="20"/>
                <w:szCs w:val="22"/>
              </w:rPr>
            </w:pPr>
            <w:r>
              <w:rPr>
                <w:sz w:val="20"/>
                <w:szCs w:val="22"/>
              </w:rPr>
              <w:t>930,479,204.12</w:t>
            </w:r>
          </w:p>
        </w:tc>
        <w:tc>
          <w:tcPr>
            <w:tcW w:w="1124" w:type="pct"/>
            <w:shd w:val="clear" w:color="auto" w:fill="auto"/>
            <w:vAlign w:val="center"/>
          </w:tcPr>
          <w:p w14:paraId="115C17CC" w14:textId="77777777" w:rsidR="00E57DAA" w:rsidRDefault="00AC4185">
            <w:pPr>
              <w:jc w:val="right"/>
              <w:rPr>
                <w:sz w:val="20"/>
                <w:szCs w:val="22"/>
              </w:rPr>
            </w:pPr>
            <w:r>
              <w:rPr>
                <w:sz w:val="20"/>
                <w:szCs w:val="22"/>
              </w:rPr>
              <w:t>4,593,717,042.76</w:t>
            </w:r>
          </w:p>
        </w:tc>
        <w:tc>
          <w:tcPr>
            <w:tcW w:w="1044" w:type="pct"/>
            <w:shd w:val="clear" w:color="auto" w:fill="auto"/>
            <w:vAlign w:val="center"/>
          </w:tcPr>
          <w:p w14:paraId="15099BB8" w14:textId="77777777" w:rsidR="00E57DAA" w:rsidRDefault="00AC4185">
            <w:pPr>
              <w:jc w:val="right"/>
              <w:rPr>
                <w:sz w:val="20"/>
                <w:szCs w:val="22"/>
              </w:rPr>
            </w:pPr>
            <w:r>
              <w:rPr>
                <w:sz w:val="20"/>
                <w:szCs w:val="22"/>
              </w:rPr>
              <w:t>4,626,485,685.17</w:t>
            </w:r>
          </w:p>
        </w:tc>
        <w:tc>
          <w:tcPr>
            <w:tcW w:w="986" w:type="pct"/>
            <w:shd w:val="clear" w:color="auto" w:fill="auto"/>
            <w:vAlign w:val="center"/>
          </w:tcPr>
          <w:p w14:paraId="2CA79492" w14:textId="77777777" w:rsidR="00E57DAA" w:rsidRDefault="00AC4185">
            <w:pPr>
              <w:jc w:val="right"/>
              <w:rPr>
                <w:sz w:val="20"/>
                <w:szCs w:val="22"/>
              </w:rPr>
            </w:pPr>
            <w:r>
              <w:rPr>
                <w:sz w:val="20"/>
                <w:szCs w:val="22"/>
              </w:rPr>
              <w:t>897,710,561.71</w:t>
            </w:r>
          </w:p>
        </w:tc>
      </w:tr>
    </w:tbl>
    <w:p w14:paraId="52143159" w14:textId="77777777" w:rsidR="00E57DAA" w:rsidRDefault="00E57DAA" w:rsidP="00C25422">
      <w:pPr>
        <w:pStyle w:val="92"/>
      </w:pPr>
    </w:p>
    <w:p w14:paraId="6BB6142C" w14:textId="77777777" w:rsidR="00E57DAA" w:rsidRDefault="00AC4185">
      <w:pPr>
        <w:pStyle w:val="4"/>
        <w:numPr>
          <w:ilvl w:val="0"/>
          <w:numId w:val="96"/>
        </w:numPr>
      </w:pPr>
      <w:r>
        <w:rPr>
          <w:rFonts w:hint="eastAsia"/>
        </w:rPr>
        <w:t>短期薪酬列示</w:t>
      </w:r>
    </w:p>
    <w:sdt>
      <w:sdtPr>
        <w:alias w:val="是否适用：短期薪酬列示[双击切换]"/>
        <w:tag w:val="_GBC_531fef0ef27e47ad98c1bb26abdf204f"/>
        <w:id w:val="-39366536"/>
        <w:placeholder>
          <w:docPart w:val="GBC22222222222222222222222222222"/>
        </w:placeholder>
      </w:sdtPr>
      <w:sdtEndPr/>
      <w:sdtContent>
        <w:p w14:paraId="4330CAF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E6CCEE" w14:textId="77777777" w:rsidR="00E57DAA" w:rsidRDefault="00AC4185">
      <w:pPr>
        <w:jc w:val="right"/>
        <w:rPr>
          <w:szCs w:val="21"/>
        </w:rPr>
      </w:pPr>
      <w:r>
        <w:rPr>
          <w:rFonts w:hint="eastAsia"/>
          <w:szCs w:val="21"/>
        </w:rPr>
        <w:t>单位：</w:t>
      </w:r>
      <w:sdt>
        <w:sdtPr>
          <w:rPr>
            <w:rFonts w:hint="eastAsia"/>
            <w:szCs w:val="21"/>
          </w:rPr>
          <w:alias w:val="单位：财务附注：短期薪酬"/>
          <w:tag w:val="_GBC_4710a4978b1b4a4bbcd5757aaf80b8d7"/>
          <w:id w:val="14545988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7697310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701"/>
        <w:gridCol w:w="1844"/>
        <w:gridCol w:w="1842"/>
        <w:gridCol w:w="1740"/>
      </w:tblGrid>
      <w:tr w:rsidR="00E57DAA" w14:paraId="43E4712F" w14:textId="77777777">
        <w:sdt>
          <w:sdtPr>
            <w:rPr>
              <w:sz w:val="20"/>
              <w:szCs w:val="20"/>
            </w:rPr>
            <w:tag w:val="_PLD_977153d49ca449b191bb833cd5f689b2"/>
            <w:id w:val="407514169"/>
          </w:sdtPr>
          <w:sdtEndPr/>
          <w:sdtContent>
            <w:tc>
              <w:tcPr>
                <w:tcW w:w="961" w:type="pct"/>
                <w:tcBorders>
                  <w:top w:val="single" w:sz="4" w:space="0" w:color="auto"/>
                  <w:left w:val="single" w:sz="4" w:space="0" w:color="auto"/>
                  <w:bottom w:val="single" w:sz="4" w:space="0" w:color="auto"/>
                  <w:right w:val="single" w:sz="4" w:space="0" w:color="auto"/>
                </w:tcBorders>
                <w:vAlign w:val="center"/>
              </w:tcPr>
              <w:p w14:paraId="4E509B94" w14:textId="77777777" w:rsidR="00E57DAA" w:rsidRDefault="00AC4185">
                <w:pPr>
                  <w:autoSpaceDE w:val="0"/>
                  <w:autoSpaceDN w:val="0"/>
                  <w:adjustRightInd w:val="0"/>
                  <w:jc w:val="center"/>
                  <w:rPr>
                    <w:sz w:val="20"/>
                    <w:szCs w:val="20"/>
                  </w:rPr>
                </w:pPr>
                <w:r>
                  <w:rPr>
                    <w:rFonts w:hint="eastAsia"/>
                    <w:sz w:val="20"/>
                    <w:szCs w:val="20"/>
                  </w:rPr>
                  <w:t>项目</w:t>
                </w:r>
              </w:p>
            </w:tc>
          </w:sdtContent>
        </w:sdt>
        <w:sdt>
          <w:sdtPr>
            <w:rPr>
              <w:sz w:val="20"/>
              <w:szCs w:val="20"/>
            </w:rPr>
            <w:tag w:val="_PLD_557c49ee2a4f40de99f948c76f4c3adc"/>
            <w:id w:val="-866063676"/>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056D63CC" w14:textId="77777777" w:rsidR="00E57DAA" w:rsidRDefault="00AC4185">
                <w:pPr>
                  <w:autoSpaceDE w:val="0"/>
                  <w:autoSpaceDN w:val="0"/>
                  <w:adjustRightInd w:val="0"/>
                  <w:jc w:val="center"/>
                  <w:rPr>
                    <w:sz w:val="20"/>
                    <w:szCs w:val="20"/>
                  </w:rPr>
                </w:pPr>
                <w:r>
                  <w:rPr>
                    <w:rFonts w:hint="eastAsia"/>
                    <w:sz w:val="20"/>
                    <w:szCs w:val="20"/>
                  </w:rPr>
                  <w:t>期初余额</w:t>
                </w:r>
              </w:p>
            </w:tc>
          </w:sdtContent>
        </w:sdt>
        <w:sdt>
          <w:sdtPr>
            <w:rPr>
              <w:sz w:val="20"/>
              <w:szCs w:val="20"/>
            </w:rPr>
            <w:tag w:val="_PLD_98d1ab48f8084264aff0ef3a30e8ba71"/>
            <w:id w:val="-814176368"/>
          </w:sdtPr>
          <w:sdtEndPr/>
          <w:sdtContent>
            <w:tc>
              <w:tcPr>
                <w:tcW w:w="1045" w:type="pct"/>
                <w:tcBorders>
                  <w:top w:val="single" w:sz="4" w:space="0" w:color="auto"/>
                  <w:left w:val="single" w:sz="4" w:space="0" w:color="auto"/>
                  <w:bottom w:val="single" w:sz="4" w:space="0" w:color="auto"/>
                  <w:right w:val="single" w:sz="4" w:space="0" w:color="auto"/>
                </w:tcBorders>
                <w:vAlign w:val="center"/>
              </w:tcPr>
              <w:p w14:paraId="509A3338" w14:textId="77777777" w:rsidR="00E57DAA" w:rsidRDefault="00AC4185">
                <w:pPr>
                  <w:jc w:val="center"/>
                  <w:rPr>
                    <w:sz w:val="20"/>
                    <w:szCs w:val="20"/>
                  </w:rPr>
                </w:pPr>
                <w:r>
                  <w:rPr>
                    <w:rFonts w:hint="eastAsia"/>
                    <w:sz w:val="20"/>
                    <w:szCs w:val="20"/>
                  </w:rPr>
                  <w:t>本期增加</w:t>
                </w:r>
              </w:p>
            </w:tc>
          </w:sdtContent>
        </w:sdt>
        <w:sdt>
          <w:sdtPr>
            <w:rPr>
              <w:sz w:val="20"/>
              <w:szCs w:val="20"/>
            </w:rPr>
            <w:tag w:val="_PLD_e35c4f26db444503b2f9a32896872169"/>
            <w:id w:val="-1612129989"/>
          </w:sdtPr>
          <w:sdtEndPr/>
          <w:sdtContent>
            <w:tc>
              <w:tcPr>
                <w:tcW w:w="1044" w:type="pct"/>
                <w:tcBorders>
                  <w:top w:val="single" w:sz="4" w:space="0" w:color="auto"/>
                  <w:left w:val="single" w:sz="4" w:space="0" w:color="auto"/>
                  <w:bottom w:val="single" w:sz="4" w:space="0" w:color="auto"/>
                  <w:right w:val="single" w:sz="4" w:space="0" w:color="auto"/>
                </w:tcBorders>
                <w:vAlign w:val="center"/>
              </w:tcPr>
              <w:p w14:paraId="46ABC854" w14:textId="77777777" w:rsidR="00E57DAA" w:rsidRDefault="00AC4185">
                <w:pPr>
                  <w:jc w:val="center"/>
                  <w:rPr>
                    <w:sz w:val="20"/>
                    <w:szCs w:val="20"/>
                  </w:rPr>
                </w:pPr>
                <w:r>
                  <w:rPr>
                    <w:sz w:val="20"/>
                    <w:szCs w:val="20"/>
                  </w:rPr>
                  <w:t>本期减少</w:t>
                </w:r>
              </w:p>
            </w:tc>
          </w:sdtContent>
        </w:sdt>
        <w:sdt>
          <w:sdtPr>
            <w:rPr>
              <w:sz w:val="20"/>
              <w:szCs w:val="20"/>
            </w:rPr>
            <w:tag w:val="_PLD_e67d191300ac43c2b1b07c1beddfe891"/>
            <w:id w:val="693500739"/>
          </w:sdtPr>
          <w:sdtEndPr/>
          <w:sdtContent>
            <w:tc>
              <w:tcPr>
                <w:tcW w:w="986" w:type="pct"/>
                <w:tcBorders>
                  <w:top w:val="single" w:sz="4" w:space="0" w:color="auto"/>
                  <w:left w:val="single" w:sz="4" w:space="0" w:color="auto"/>
                  <w:bottom w:val="single" w:sz="4" w:space="0" w:color="auto"/>
                  <w:right w:val="single" w:sz="4" w:space="0" w:color="auto"/>
                </w:tcBorders>
                <w:vAlign w:val="center"/>
              </w:tcPr>
              <w:p w14:paraId="47312850" w14:textId="77777777" w:rsidR="00E57DAA" w:rsidRDefault="00AC4185">
                <w:pPr>
                  <w:autoSpaceDE w:val="0"/>
                  <w:autoSpaceDN w:val="0"/>
                  <w:adjustRightInd w:val="0"/>
                  <w:jc w:val="center"/>
                  <w:rPr>
                    <w:sz w:val="20"/>
                    <w:szCs w:val="20"/>
                  </w:rPr>
                </w:pPr>
                <w:r>
                  <w:rPr>
                    <w:rFonts w:hint="eastAsia"/>
                    <w:sz w:val="20"/>
                    <w:szCs w:val="20"/>
                  </w:rPr>
                  <w:t>期末余额</w:t>
                </w:r>
              </w:p>
            </w:tc>
          </w:sdtContent>
        </w:sdt>
      </w:tr>
      <w:tr w:rsidR="00E57DAA" w14:paraId="0C06227F" w14:textId="77777777">
        <w:tc>
          <w:tcPr>
            <w:tcW w:w="961" w:type="pct"/>
            <w:tcBorders>
              <w:top w:val="single" w:sz="4" w:space="0" w:color="auto"/>
              <w:left w:val="single" w:sz="4" w:space="0" w:color="auto"/>
              <w:bottom w:val="single" w:sz="4" w:space="0" w:color="auto"/>
              <w:right w:val="single" w:sz="4" w:space="0" w:color="auto"/>
            </w:tcBorders>
          </w:tcPr>
          <w:p w14:paraId="2DD6F609" w14:textId="77777777" w:rsidR="00E57DAA" w:rsidRDefault="00AC4185">
            <w:pPr>
              <w:autoSpaceDE w:val="0"/>
              <w:autoSpaceDN w:val="0"/>
              <w:adjustRightInd w:val="0"/>
              <w:rPr>
                <w:sz w:val="20"/>
                <w:szCs w:val="20"/>
              </w:rPr>
            </w:pPr>
            <w:r>
              <w:rPr>
                <w:rFonts w:hint="eastAsia"/>
                <w:sz w:val="20"/>
                <w:szCs w:val="20"/>
              </w:rPr>
              <w:t>一、工资、奖金、津贴和补贴</w:t>
            </w:r>
          </w:p>
        </w:tc>
        <w:tc>
          <w:tcPr>
            <w:tcW w:w="964" w:type="pct"/>
            <w:tcBorders>
              <w:top w:val="single" w:sz="4" w:space="0" w:color="auto"/>
              <w:left w:val="single" w:sz="4" w:space="0" w:color="auto"/>
              <w:bottom w:val="single" w:sz="4" w:space="0" w:color="auto"/>
              <w:right w:val="single" w:sz="4" w:space="0" w:color="auto"/>
            </w:tcBorders>
            <w:vAlign w:val="center"/>
          </w:tcPr>
          <w:p w14:paraId="2AA98891" w14:textId="77777777" w:rsidR="00E57DAA" w:rsidRDefault="00AC4185">
            <w:pPr>
              <w:jc w:val="right"/>
              <w:rPr>
                <w:sz w:val="20"/>
                <w:szCs w:val="20"/>
              </w:rPr>
            </w:pPr>
            <w:r>
              <w:rPr>
                <w:sz w:val="20"/>
                <w:szCs w:val="20"/>
              </w:rPr>
              <w:t>847,604,502.56</w:t>
            </w:r>
          </w:p>
        </w:tc>
        <w:tc>
          <w:tcPr>
            <w:tcW w:w="1045" w:type="pct"/>
            <w:tcBorders>
              <w:top w:val="single" w:sz="4" w:space="0" w:color="auto"/>
              <w:left w:val="single" w:sz="4" w:space="0" w:color="auto"/>
              <w:bottom w:val="single" w:sz="4" w:space="0" w:color="auto"/>
              <w:right w:val="single" w:sz="4" w:space="0" w:color="auto"/>
            </w:tcBorders>
            <w:vAlign w:val="center"/>
          </w:tcPr>
          <w:p w14:paraId="44E8FF96" w14:textId="77777777" w:rsidR="00E57DAA" w:rsidRDefault="00AC4185">
            <w:pPr>
              <w:jc w:val="right"/>
              <w:rPr>
                <w:sz w:val="20"/>
                <w:szCs w:val="20"/>
              </w:rPr>
            </w:pPr>
            <w:r>
              <w:rPr>
                <w:sz w:val="20"/>
                <w:szCs w:val="20"/>
              </w:rPr>
              <w:t>3,251,589,153.58</w:t>
            </w:r>
          </w:p>
        </w:tc>
        <w:tc>
          <w:tcPr>
            <w:tcW w:w="1044" w:type="pct"/>
            <w:tcBorders>
              <w:top w:val="single" w:sz="4" w:space="0" w:color="auto"/>
              <w:left w:val="single" w:sz="4" w:space="0" w:color="auto"/>
              <w:bottom w:val="single" w:sz="4" w:space="0" w:color="auto"/>
              <w:right w:val="single" w:sz="4" w:space="0" w:color="auto"/>
            </w:tcBorders>
            <w:vAlign w:val="center"/>
          </w:tcPr>
          <w:p w14:paraId="39A20053" w14:textId="77777777" w:rsidR="00E57DAA" w:rsidRDefault="00AC4185">
            <w:pPr>
              <w:jc w:val="right"/>
              <w:rPr>
                <w:sz w:val="20"/>
                <w:szCs w:val="20"/>
              </w:rPr>
            </w:pPr>
            <w:r>
              <w:rPr>
                <w:sz w:val="20"/>
                <w:szCs w:val="20"/>
              </w:rPr>
              <w:t>3,285,961,300.07</w:t>
            </w:r>
          </w:p>
        </w:tc>
        <w:tc>
          <w:tcPr>
            <w:tcW w:w="986" w:type="pct"/>
            <w:tcBorders>
              <w:top w:val="single" w:sz="4" w:space="0" w:color="auto"/>
              <w:left w:val="single" w:sz="4" w:space="0" w:color="auto"/>
              <w:bottom w:val="single" w:sz="4" w:space="0" w:color="auto"/>
              <w:right w:val="single" w:sz="4" w:space="0" w:color="auto"/>
            </w:tcBorders>
            <w:vAlign w:val="center"/>
          </w:tcPr>
          <w:p w14:paraId="16F33A09" w14:textId="77777777" w:rsidR="00E57DAA" w:rsidRDefault="00AC4185">
            <w:pPr>
              <w:jc w:val="right"/>
              <w:rPr>
                <w:sz w:val="20"/>
                <w:szCs w:val="20"/>
              </w:rPr>
            </w:pPr>
            <w:r>
              <w:rPr>
                <w:sz w:val="20"/>
                <w:szCs w:val="20"/>
              </w:rPr>
              <w:t>813,232,356.07</w:t>
            </w:r>
          </w:p>
        </w:tc>
      </w:tr>
      <w:tr w:rsidR="00E57DAA" w14:paraId="0A678CD6" w14:textId="77777777">
        <w:tc>
          <w:tcPr>
            <w:tcW w:w="961" w:type="pct"/>
            <w:tcBorders>
              <w:top w:val="single" w:sz="4" w:space="0" w:color="auto"/>
              <w:left w:val="single" w:sz="4" w:space="0" w:color="auto"/>
              <w:bottom w:val="single" w:sz="4" w:space="0" w:color="auto"/>
              <w:right w:val="single" w:sz="4" w:space="0" w:color="auto"/>
            </w:tcBorders>
          </w:tcPr>
          <w:p w14:paraId="62661097" w14:textId="77777777" w:rsidR="00E57DAA" w:rsidRDefault="00AC4185">
            <w:pPr>
              <w:autoSpaceDE w:val="0"/>
              <w:autoSpaceDN w:val="0"/>
              <w:adjustRightInd w:val="0"/>
              <w:rPr>
                <w:sz w:val="20"/>
                <w:szCs w:val="20"/>
              </w:rPr>
            </w:pPr>
            <w:r>
              <w:rPr>
                <w:rFonts w:hint="eastAsia"/>
                <w:sz w:val="20"/>
                <w:szCs w:val="20"/>
              </w:rPr>
              <w:t>二、职工福利费</w:t>
            </w:r>
          </w:p>
        </w:tc>
        <w:tc>
          <w:tcPr>
            <w:tcW w:w="964" w:type="pct"/>
            <w:tcBorders>
              <w:top w:val="single" w:sz="4" w:space="0" w:color="auto"/>
              <w:left w:val="single" w:sz="4" w:space="0" w:color="auto"/>
              <w:bottom w:val="single" w:sz="4" w:space="0" w:color="auto"/>
              <w:right w:val="single" w:sz="4" w:space="0" w:color="auto"/>
            </w:tcBorders>
            <w:vAlign w:val="center"/>
          </w:tcPr>
          <w:p w14:paraId="00976260" w14:textId="77777777" w:rsidR="00E57DAA" w:rsidRDefault="00E57DAA">
            <w:pPr>
              <w:jc w:val="right"/>
              <w:rPr>
                <w:sz w:val="20"/>
                <w:szCs w:val="20"/>
              </w:rPr>
            </w:pPr>
          </w:p>
        </w:tc>
        <w:tc>
          <w:tcPr>
            <w:tcW w:w="1045" w:type="pct"/>
            <w:tcBorders>
              <w:top w:val="single" w:sz="4" w:space="0" w:color="auto"/>
              <w:left w:val="single" w:sz="4" w:space="0" w:color="auto"/>
              <w:bottom w:val="single" w:sz="4" w:space="0" w:color="auto"/>
              <w:right w:val="single" w:sz="4" w:space="0" w:color="auto"/>
            </w:tcBorders>
            <w:vAlign w:val="center"/>
          </w:tcPr>
          <w:p w14:paraId="4AA5B778" w14:textId="77777777" w:rsidR="00E57DAA" w:rsidRDefault="00AC4185">
            <w:pPr>
              <w:jc w:val="right"/>
              <w:rPr>
                <w:sz w:val="20"/>
                <w:szCs w:val="20"/>
              </w:rPr>
            </w:pPr>
            <w:r>
              <w:rPr>
                <w:sz w:val="20"/>
                <w:szCs w:val="20"/>
              </w:rPr>
              <w:t>155,797,773.27</w:t>
            </w:r>
          </w:p>
        </w:tc>
        <w:tc>
          <w:tcPr>
            <w:tcW w:w="1044" w:type="pct"/>
            <w:tcBorders>
              <w:top w:val="single" w:sz="4" w:space="0" w:color="auto"/>
              <w:left w:val="single" w:sz="4" w:space="0" w:color="auto"/>
              <w:bottom w:val="single" w:sz="4" w:space="0" w:color="auto"/>
              <w:right w:val="single" w:sz="4" w:space="0" w:color="auto"/>
            </w:tcBorders>
            <w:vAlign w:val="center"/>
          </w:tcPr>
          <w:p w14:paraId="527C5215" w14:textId="77777777" w:rsidR="00E57DAA" w:rsidRDefault="00AC4185">
            <w:pPr>
              <w:jc w:val="right"/>
              <w:rPr>
                <w:sz w:val="20"/>
                <w:szCs w:val="20"/>
              </w:rPr>
            </w:pPr>
            <w:r>
              <w:rPr>
                <w:sz w:val="20"/>
                <w:szCs w:val="20"/>
              </w:rPr>
              <w:t>155,797,773.27</w:t>
            </w:r>
          </w:p>
        </w:tc>
        <w:tc>
          <w:tcPr>
            <w:tcW w:w="986" w:type="pct"/>
            <w:tcBorders>
              <w:top w:val="single" w:sz="4" w:space="0" w:color="auto"/>
              <w:left w:val="single" w:sz="4" w:space="0" w:color="auto"/>
              <w:bottom w:val="single" w:sz="4" w:space="0" w:color="auto"/>
              <w:right w:val="single" w:sz="4" w:space="0" w:color="auto"/>
            </w:tcBorders>
            <w:vAlign w:val="center"/>
          </w:tcPr>
          <w:p w14:paraId="0665CC9E" w14:textId="77777777" w:rsidR="00E57DAA" w:rsidRDefault="00E57DAA">
            <w:pPr>
              <w:jc w:val="right"/>
              <w:rPr>
                <w:sz w:val="20"/>
                <w:szCs w:val="20"/>
              </w:rPr>
            </w:pPr>
          </w:p>
        </w:tc>
      </w:tr>
      <w:tr w:rsidR="00E57DAA" w14:paraId="0E081B06" w14:textId="77777777">
        <w:tc>
          <w:tcPr>
            <w:tcW w:w="961" w:type="pct"/>
            <w:tcBorders>
              <w:top w:val="single" w:sz="4" w:space="0" w:color="auto"/>
              <w:left w:val="single" w:sz="4" w:space="0" w:color="auto"/>
              <w:bottom w:val="single" w:sz="4" w:space="0" w:color="auto"/>
              <w:right w:val="single" w:sz="4" w:space="0" w:color="auto"/>
            </w:tcBorders>
          </w:tcPr>
          <w:p w14:paraId="4192B380" w14:textId="77777777" w:rsidR="00E57DAA" w:rsidRDefault="00AC4185">
            <w:pPr>
              <w:autoSpaceDE w:val="0"/>
              <w:autoSpaceDN w:val="0"/>
              <w:adjustRightInd w:val="0"/>
              <w:rPr>
                <w:sz w:val="20"/>
                <w:szCs w:val="20"/>
              </w:rPr>
            </w:pPr>
            <w:r>
              <w:rPr>
                <w:rFonts w:hint="eastAsia"/>
                <w:sz w:val="20"/>
                <w:szCs w:val="20"/>
              </w:rPr>
              <w:t>三、社会保险费</w:t>
            </w:r>
          </w:p>
        </w:tc>
        <w:tc>
          <w:tcPr>
            <w:tcW w:w="964" w:type="pct"/>
            <w:tcBorders>
              <w:top w:val="single" w:sz="4" w:space="0" w:color="auto"/>
              <w:left w:val="single" w:sz="4" w:space="0" w:color="auto"/>
              <w:bottom w:val="single" w:sz="4" w:space="0" w:color="auto"/>
              <w:right w:val="single" w:sz="4" w:space="0" w:color="auto"/>
            </w:tcBorders>
            <w:vAlign w:val="center"/>
          </w:tcPr>
          <w:p w14:paraId="33FD1376" w14:textId="77777777" w:rsidR="00E57DAA" w:rsidRDefault="00AC4185">
            <w:pPr>
              <w:jc w:val="right"/>
              <w:rPr>
                <w:sz w:val="20"/>
                <w:szCs w:val="20"/>
              </w:rPr>
            </w:pPr>
            <w:r>
              <w:rPr>
                <w:sz w:val="20"/>
                <w:szCs w:val="20"/>
              </w:rPr>
              <w:t>5,953,605.33</w:t>
            </w:r>
          </w:p>
        </w:tc>
        <w:tc>
          <w:tcPr>
            <w:tcW w:w="1045" w:type="pct"/>
            <w:tcBorders>
              <w:top w:val="single" w:sz="4" w:space="0" w:color="auto"/>
              <w:left w:val="single" w:sz="4" w:space="0" w:color="auto"/>
              <w:bottom w:val="single" w:sz="4" w:space="0" w:color="auto"/>
              <w:right w:val="single" w:sz="4" w:space="0" w:color="auto"/>
            </w:tcBorders>
            <w:vAlign w:val="center"/>
          </w:tcPr>
          <w:p w14:paraId="0EE0672B" w14:textId="77777777" w:rsidR="00E57DAA" w:rsidRDefault="00AC4185">
            <w:pPr>
              <w:jc w:val="right"/>
              <w:rPr>
                <w:sz w:val="20"/>
                <w:szCs w:val="20"/>
              </w:rPr>
            </w:pPr>
            <w:r>
              <w:rPr>
                <w:sz w:val="20"/>
                <w:szCs w:val="20"/>
              </w:rPr>
              <w:t>222,108,664.80</w:t>
            </w:r>
          </w:p>
        </w:tc>
        <w:tc>
          <w:tcPr>
            <w:tcW w:w="1044" w:type="pct"/>
            <w:tcBorders>
              <w:top w:val="single" w:sz="4" w:space="0" w:color="auto"/>
              <w:left w:val="single" w:sz="4" w:space="0" w:color="auto"/>
              <w:bottom w:val="single" w:sz="4" w:space="0" w:color="auto"/>
              <w:right w:val="single" w:sz="4" w:space="0" w:color="auto"/>
            </w:tcBorders>
            <w:vAlign w:val="center"/>
          </w:tcPr>
          <w:p w14:paraId="51E2932B" w14:textId="77777777" w:rsidR="00E57DAA" w:rsidRDefault="00AC4185">
            <w:pPr>
              <w:jc w:val="right"/>
              <w:rPr>
                <w:sz w:val="20"/>
                <w:szCs w:val="20"/>
              </w:rPr>
            </w:pPr>
            <w:r>
              <w:rPr>
                <w:sz w:val="20"/>
                <w:szCs w:val="20"/>
              </w:rPr>
              <w:t>222,114,686.18</w:t>
            </w:r>
          </w:p>
        </w:tc>
        <w:tc>
          <w:tcPr>
            <w:tcW w:w="986" w:type="pct"/>
            <w:tcBorders>
              <w:top w:val="single" w:sz="4" w:space="0" w:color="auto"/>
              <w:left w:val="single" w:sz="4" w:space="0" w:color="auto"/>
              <w:bottom w:val="single" w:sz="4" w:space="0" w:color="auto"/>
              <w:right w:val="single" w:sz="4" w:space="0" w:color="auto"/>
            </w:tcBorders>
            <w:vAlign w:val="center"/>
          </w:tcPr>
          <w:p w14:paraId="7C34BB73" w14:textId="77777777" w:rsidR="00E57DAA" w:rsidRDefault="00AC4185">
            <w:pPr>
              <w:jc w:val="right"/>
              <w:rPr>
                <w:sz w:val="20"/>
                <w:szCs w:val="20"/>
              </w:rPr>
            </w:pPr>
            <w:r>
              <w:rPr>
                <w:sz w:val="20"/>
                <w:szCs w:val="20"/>
              </w:rPr>
              <w:t>5,947,583.95</w:t>
            </w:r>
          </w:p>
        </w:tc>
      </w:tr>
      <w:tr w:rsidR="00E57DAA" w14:paraId="2E7ACFAC" w14:textId="77777777">
        <w:tc>
          <w:tcPr>
            <w:tcW w:w="961" w:type="pct"/>
            <w:tcBorders>
              <w:top w:val="single" w:sz="4" w:space="0" w:color="auto"/>
              <w:left w:val="single" w:sz="4" w:space="0" w:color="auto"/>
              <w:bottom w:val="single" w:sz="4" w:space="0" w:color="auto"/>
              <w:right w:val="single" w:sz="4" w:space="0" w:color="auto"/>
            </w:tcBorders>
          </w:tcPr>
          <w:p w14:paraId="68016C8D" w14:textId="77777777" w:rsidR="00E57DAA" w:rsidRDefault="00AC4185">
            <w:pPr>
              <w:rPr>
                <w:color w:val="008000"/>
                <w:sz w:val="20"/>
                <w:szCs w:val="20"/>
              </w:rPr>
            </w:pPr>
            <w:r>
              <w:rPr>
                <w:rFonts w:hint="eastAsia"/>
                <w:sz w:val="20"/>
                <w:szCs w:val="20"/>
              </w:rPr>
              <w:t>其中：</w:t>
            </w:r>
            <w:r>
              <w:rPr>
                <w:sz w:val="20"/>
                <w:szCs w:val="20"/>
              </w:rPr>
              <w:t>医疗保险费</w:t>
            </w:r>
          </w:p>
        </w:tc>
        <w:tc>
          <w:tcPr>
            <w:tcW w:w="964" w:type="pct"/>
            <w:tcBorders>
              <w:top w:val="single" w:sz="4" w:space="0" w:color="auto"/>
              <w:left w:val="single" w:sz="4" w:space="0" w:color="auto"/>
              <w:bottom w:val="single" w:sz="4" w:space="0" w:color="auto"/>
              <w:right w:val="single" w:sz="4" w:space="0" w:color="auto"/>
            </w:tcBorders>
            <w:vAlign w:val="center"/>
          </w:tcPr>
          <w:p w14:paraId="19AE3FFB" w14:textId="77777777" w:rsidR="00E57DAA" w:rsidRDefault="00AC4185">
            <w:pPr>
              <w:jc w:val="right"/>
              <w:rPr>
                <w:sz w:val="20"/>
                <w:szCs w:val="20"/>
              </w:rPr>
            </w:pPr>
            <w:r>
              <w:rPr>
                <w:sz w:val="20"/>
                <w:szCs w:val="20"/>
              </w:rPr>
              <w:t>5,716,918.97</w:t>
            </w:r>
          </w:p>
        </w:tc>
        <w:tc>
          <w:tcPr>
            <w:tcW w:w="1045" w:type="pct"/>
            <w:tcBorders>
              <w:top w:val="single" w:sz="4" w:space="0" w:color="auto"/>
              <w:left w:val="single" w:sz="4" w:space="0" w:color="auto"/>
              <w:bottom w:val="single" w:sz="4" w:space="0" w:color="auto"/>
              <w:right w:val="single" w:sz="4" w:space="0" w:color="auto"/>
            </w:tcBorders>
            <w:vAlign w:val="center"/>
          </w:tcPr>
          <w:p w14:paraId="4CD94318" w14:textId="77777777" w:rsidR="00E57DAA" w:rsidRDefault="00AC4185">
            <w:pPr>
              <w:jc w:val="right"/>
              <w:rPr>
                <w:sz w:val="20"/>
                <w:szCs w:val="20"/>
              </w:rPr>
            </w:pPr>
            <w:r>
              <w:rPr>
                <w:sz w:val="20"/>
                <w:szCs w:val="20"/>
              </w:rPr>
              <w:t>204,051,069.71</w:t>
            </w:r>
          </w:p>
        </w:tc>
        <w:tc>
          <w:tcPr>
            <w:tcW w:w="1044" w:type="pct"/>
            <w:tcBorders>
              <w:top w:val="single" w:sz="4" w:space="0" w:color="auto"/>
              <w:left w:val="single" w:sz="4" w:space="0" w:color="auto"/>
              <w:bottom w:val="single" w:sz="4" w:space="0" w:color="auto"/>
              <w:right w:val="single" w:sz="4" w:space="0" w:color="auto"/>
            </w:tcBorders>
            <w:vAlign w:val="center"/>
          </w:tcPr>
          <w:p w14:paraId="45EFD16D" w14:textId="77777777" w:rsidR="00E57DAA" w:rsidRDefault="00AC4185">
            <w:pPr>
              <w:jc w:val="right"/>
              <w:rPr>
                <w:sz w:val="20"/>
                <w:szCs w:val="20"/>
              </w:rPr>
            </w:pPr>
            <w:r>
              <w:rPr>
                <w:sz w:val="20"/>
                <w:szCs w:val="20"/>
              </w:rPr>
              <w:t>203,957,488.42</w:t>
            </w:r>
          </w:p>
        </w:tc>
        <w:tc>
          <w:tcPr>
            <w:tcW w:w="986" w:type="pct"/>
            <w:tcBorders>
              <w:top w:val="single" w:sz="4" w:space="0" w:color="auto"/>
              <w:left w:val="single" w:sz="4" w:space="0" w:color="auto"/>
              <w:bottom w:val="single" w:sz="4" w:space="0" w:color="auto"/>
              <w:right w:val="single" w:sz="4" w:space="0" w:color="auto"/>
            </w:tcBorders>
            <w:vAlign w:val="center"/>
          </w:tcPr>
          <w:p w14:paraId="1C42170B" w14:textId="77777777" w:rsidR="00E57DAA" w:rsidRDefault="00AC4185">
            <w:pPr>
              <w:jc w:val="right"/>
              <w:rPr>
                <w:sz w:val="20"/>
                <w:szCs w:val="20"/>
              </w:rPr>
            </w:pPr>
            <w:r>
              <w:rPr>
                <w:sz w:val="20"/>
                <w:szCs w:val="20"/>
              </w:rPr>
              <w:t>5,810,500.26</w:t>
            </w:r>
          </w:p>
        </w:tc>
      </w:tr>
      <w:tr w:rsidR="00E57DAA" w14:paraId="1DBA7035" w14:textId="77777777">
        <w:tc>
          <w:tcPr>
            <w:tcW w:w="961" w:type="pct"/>
            <w:tcBorders>
              <w:top w:val="single" w:sz="4" w:space="0" w:color="auto"/>
              <w:left w:val="single" w:sz="4" w:space="0" w:color="auto"/>
              <w:bottom w:val="single" w:sz="4" w:space="0" w:color="auto"/>
              <w:right w:val="single" w:sz="4" w:space="0" w:color="auto"/>
            </w:tcBorders>
          </w:tcPr>
          <w:p w14:paraId="387DC8AF" w14:textId="77777777" w:rsidR="00E57DAA" w:rsidRDefault="00AC4185">
            <w:pPr>
              <w:ind w:firstLineChars="300" w:firstLine="600"/>
              <w:rPr>
                <w:sz w:val="20"/>
                <w:szCs w:val="20"/>
              </w:rPr>
            </w:pPr>
            <w:r>
              <w:rPr>
                <w:rFonts w:hint="eastAsia"/>
                <w:sz w:val="20"/>
                <w:szCs w:val="20"/>
              </w:rPr>
              <w:t>工伤保险费</w:t>
            </w:r>
          </w:p>
        </w:tc>
        <w:tc>
          <w:tcPr>
            <w:tcW w:w="964" w:type="pct"/>
            <w:tcBorders>
              <w:top w:val="single" w:sz="4" w:space="0" w:color="auto"/>
              <w:left w:val="single" w:sz="4" w:space="0" w:color="auto"/>
              <w:bottom w:val="single" w:sz="4" w:space="0" w:color="auto"/>
              <w:right w:val="single" w:sz="4" w:space="0" w:color="auto"/>
            </w:tcBorders>
            <w:vAlign w:val="center"/>
          </w:tcPr>
          <w:p w14:paraId="4C88BB30" w14:textId="77777777" w:rsidR="00E57DAA" w:rsidRDefault="00AC4185">
            <w:pPr>
              <w:jc w:val="right"/>
              <w:rPr>
                <w:sz w:val="20"/>
                <w:szCs w:val="20"/>
              </w:rPr>
            </w:pPr>
            <w:r>
              <w:rPr>
                <w:sz w:val="20"/>
                <w:szCs w:val="20"/>
              </w:rPr>
              <w:t>176,470.84</w:t>
            </w:r>
          </w:p>
        </w:tc>
        <w:tc>
          <w:tcPr>
            <w:tcW w:w="1045" w:type="pct"/>
            <w:tcBorders>
              <w:top w:val="single" w:sz="4" w:space="0" w:color="auto"/>
              <w:left w:val="single" w:sz="4" w:space="0" w:color="auto"/>
              <w:bottom w:val="single" w:sz="4" w:space="0" w:color="auto"/>
              <w:right w:val="single" w:sz="4" w:space="0" w:color="auto"/>
            </w:tcBorders>
            <w:vAlign w:val="center"/>
          </w:tcPr>
          <w:p w14:paraId="34820392" w14:textId="77777777" w:rsidR="00E57DAA" w:rsidRDefault="00AC4185">
            <w:pPr>
              <w:jc w:val="right"/>
              <w:rPr>
                <w:sz w:val="20"/>
                <w:szCs w:val="20"/>
              </w:rPr>
            </w:pPr>
            <w:r>
              <w:rPr>
                <w:sz w:val="20"/>
                <w:szCs w:val="20"/>
              </w:rPr>
              <w:t>16,044,274.68</w:t>
            </w:r>
          </w:p>
        </w:tc>
        <w:tc>
          <w:tcPr>
            <w:tcW w:w="1044" w:type="pct"/>
            <w:tcBorders>
              <w:top w:val="single" w:sz="4" w:space="0" w:color="auto"/>
              <w:left w:val="single" w:sz="4" w:space="0" w:color="auto"/>
              <w:bottom w:val="single" w:sz="4" w:space="0" w:color="auto"/>
              <w:right w:val="single" w:sz="4" w:space="0" w:color="auto"/>
            </w:tcBorders>
            <w:vAlign w:val="center"/>
          </w:tcPr>
          <w:p w14:paraId="7ACFB76D" w14:textId="77777777" w:rsidR="00E57DAA" w:rsidRDefault="00AC4185">
            <w:pPr>
              <w:jc w:val="right"/>
              <w:rPr>
                <w:sz w:val="20"/>
                <w:szCs w:val="20"/>
              </w:rPr>
            </w:pPr>
            <w:r>
              <w:rPr>
                <w:sz w:val="20"/>
                <w:szCs w:val="20"/>
              </w:rPr>
              <w:t>16,147,090.93</w:t>
            </w:r>
          </w:p>
        </w:tc>
        <w:tc>
          <w:tcPr>
            <w:tcW w:w="986" w:type="pct"/>
            <w:tcBorders>
              <w:top w:val="single" w:sz="4" w:space="0" w:color="auto"/>
              <w:left w:val="single" w:sz="4" w:space="0" w:color="auto"/>
              <w:bottom w:val="single" w:sz="4" w:space="0" w:color="auto"/>
              <w:right w:val="single" w:sz="4" w:space="0" w:color="auto"/>
            </w:tcBorders>
            <w:vAlign w:val="center"/>
          </w:tcPr>
          <w:p w14:paraId="0DBCC411" w14:textId="77777777" w:rsidR="00E57DAA" w:rsidRDefault="00AC4185">
            <w:pPr>
              <w:jc w:val="right"/>
              <w:rPr>
                <w:sz w:val="20"/>
                <w:szCs w:val="20"/>
              </w:rPr>
            </w:pPr>
            <w:r>
              <w:rPr>
                <w:sz w:val="20"/>
                <w:szCs w:val="20"/>
              </w:rPr>
              <w:t>73,654.59</w:t>
            </w:r>
          </w:p>
        </w:tc>
      </w:tr>
      <w:tr w:rsidR="00E57DAA" w14:paraId="1D087C74" w14:textId="77777777">
        <w:tc>
          <w:tcPr>
            <w:tcW w:w="961" w:type="pct"/>
            <w:tcBorders>
              <w:top w:val="single" w:sz="4" w:space="0" w:color="auto"/>
              <w:left w:val="single" w:sz="4" w:space="0" w:color="auto"/>
              <w:bottom w:val="single" w:sz="4" w:space="0" w:color="auto"/>
              <w:right w:val="single" w:sz="4" w:space="0" w:color="auto"/>
            </w:tcBorders>
          </w:tcPr>
          <w:p w14:paraId="146F654B" w14:textId="77777777" w:rsidR="00E57DAA" w:rsidRDefault="00AC4185">
            <w:pPr>
              <w:ind w:firstLineChars="300" w:firstLine="600"/>
              <w:rPr>
                <w:sz w:val="20"/>
                <w:szCs w:val="20"/>
              </w:rPr>
            </w:pPr>
            <w:r>
              <w:rPr>
                <w:rFonts w:hint="eastAsia"/>
                <w:sz w:val="20"/>
                <w:szCs w:val="20"/>
              </w:rPr>
              <w:t>生育保险费</w:t>
            </w:r>
          </w:p>
        </w:tc>
        <w:tc>
          <w:tcPr>
            <w:tcW w:w="964" w:type="pct"/>
            <w:tcBorders>
              <w:top w:val="single" w:sz="4" w:space="0" w:color="auto"/>
              <w:left w:val="single" w:sz="4" w:space="0" w:color="auto"/>
              <w:bottom w:val="single" w:sz="4" w:space="0" w:color="auto"/>
              <w:right w:val="single" w:sz="4" w:space="0" w:color="auto"/>
            </w:tcBorders>
            <w:vAlign w:val="center"/>
          </w:tcPr>
          <w:p w14:paraId="108D9F07" w14:textId="77777777" w:rsidR="00E57DAA" w:rsidRDefault="00AC4185">
            <w:pPr>
              <w:jc w:val="right"/>
              <w:rPr>
                <w:sz w:val="20"/>
                <w:szCs w:val="20"/>
              </w:rPr>
            </w:pPr>
            <w:r>
              <w:rPr>
                <w:sz w:val="20"/>
                <w:szCs w:val="20"/>
              </w:rPr>
              <w:t>60,215.52</w:t>
            </w:r>
          </w:p>
        </w:tc>
        <w:tc>
          <w:tcPr>
            <w:tcW w:w="1045" w:type="pct"/>
            <w:tcBorders>
              <w:top w:val="single" w:sz="4" w:space="0" w:color="auto"/>
              <w:left w:val="single" w:sz="4" w:space="0" w:color="auto"/>
              <w:bottom w:val="single" w:sz="4" w:space="0" w:color="auto"/>
              <w:right w:val="single" w:sz="4" w:space="0" w:color="auto"/>
            </w:tcBorders>
            <w:vAlign w:val="center"/>
          </w:tcPr>
          <w:p w14:paraId="241A8C89" w14:textId="77777777" w:rsidR="00E57DAA" w:rsidRDefault="00AC4185">
            <w:pPr>
              <w:jc w:val="right"/>
              <w:rPr>
                <w:sz w:val="20"/>
                <w:szCs w:val="20"/>
              </w:rPr>
            </w:pPr>
            <w:r>
              <w:rPr>
                <w:sz w:val="20"/>
                <w:szCs w:val="20"/>
              </w:rPr>
              <w:t>2,013,320.41</w:t>
            </w:r>
          </w:p>
        </w:tc>
        <w:tc>
          <w:tcPr>
            <w:tcW w:w="1044" w:type="pct"/>
            <w:tcBorders>
              <w:top w:val="single" w:sz="4" w:space="0" w:color="auto"/>
              <w:left w:val="single" w:sz="4" w:space="0" w:color="auto"/>
              <w:bottom w:val="single" w:sz="4" w:space="0" w:color="auto"/>
              <w:right w:val="single" w:sz="4" w:space="0" w:color="auto"/>
            </w:tcBorders>
            <w:vAlign w:val="center"/>
          </w:tcPr>
          <w:p w14:paraId="298E3811" w14:textId="77777777" w:rsidR="00E57DAA" w:rsidRDefault="00AC4185">
            <w:pPr>
              <w:jc w:val="right"/>
              <w:rPr>
                <w:sz w:val="20"/>
                <w:szCs w:val="20"/>
              </w:rPr>
            </w:pPr>
            <w:r>
              <w:rPr>
                <w:sz w:val="20"/>
                <w:szCs w:val="20"/>
              </w:rPr>
              <w:t>2,010,106.83</w:t>
            </w:r>
          </w:p>
        </w:tc>
        <w:tc>
          <w:tcPr>
            <w:tcW w:w="986" w:type="pct"/>
            <w:tcBorders>
              <w:top w:val="single" w:sz="4" w:space="0" w:color="auto"/>
              <w:left w:val="single" w:sz="4" w:space="0" w:color="auto"/>
              <w:bottom w:val="single" w:sz="4" w:space="0" w:color="auto"/>
              <w:right w:val="single" w:sz="4" w:space="0" w:color="auto"/>
            </w:tcBorders>
            <w:vAlign w:val="center"/>
          </w:tcPr>
          <w:p w14:paraId="5009A4EA" w14:textId="77777777" w:rsidR="00E57DAA" w:rsidRDefault="00AC4185">
            <w:pPr>
              <w:jc w:val="right"/>
              <w:rPr>
                <w:sz w:val="20"/>
                <w:szCs w:val="20"/>
              </w:rPr>
            </w:pPr>
            <w:r>
              <w:rPr>
                <w:sz w:val="20"/>
                <w:szCs w:val="20"/>
              </w:rPr>
              <w:t>63,429.10</w:t>
            </w:r>
          </w:p>
        </w:tc>
      </w:tr>
      <w:tr w:rsidR="00E57DAA" w14:paraId="58DCB67E" w14:textId="77777777">
        <w:tc>
          <w:tcPr>
            <w:tcW w:w="961" w:type="pct"/>
            <w:tcBorders>
              <w:top w:val="single" w:sz="4" w:space="0" w:color="auto"/>
              <w:left w:val="single" w:sz="4" w:space="0" w:color="auto"/>
              <w:bottom w:val="single" w:sz="4" w:space="0" w:color="auto"/>
              <w:right w:val="single" w:sz="4" w:space="0" w:color="auto"/>
            </w:tcBorders>
          </w:tcPr>
          <w:p w14:paraId="699B20A4" w14:textId="77777777" w:rsidR="00E57DAA" w:rsidRDefault="00AC4185">
            <w:pPr>
              <w:autoSpaceDE w:val="0"/>
              <w:autoSpaceDN w:val="0"/>
              <w:adjustRightInd w:val="0"/>
              <w:rPr>
                <w:sz w:val="20"/>
                <w:szCs w:val="20"/>
              </w:rPr>
            </w:pPr>
            <w:r>
              <w:rPr>
                <w:rFonts w:hint="eastAsia"/>
                <w:sz w:val="20"/>
                <w:szCs w:val="20"/>
              </w:rPr>
              <w:t>四、住房公积金</w:t>
            </w:r>
          </w:p>
        </w:tc>
        <w:tc>
          <w:tcPr>
            <w:tcW w:w="964" w:type="pct"/>
            <w:tcBorders>
              <w:top w:val="single" w:sz="4" w:space="0" w:color="auto"/>
              <w:left w:val="single" w:sz="4" w:space="0" w:color="auto"/>
              <w:bottom w:val="single" w:sz="4" w:space="0" w:color="auto"/>
              <w:right w:val="single" w:sz="4" w:space="0" w:color="auto"/>
            </w:tcBorders>
            <w:vAlign w:val="center"/>
          </w:tcPr>
          <w:p w14:paraId="7F401DBF" w14:textId="77777777" w:rsidR="00E57DAA" w:rsidRDefault="00AC4185">
            <w:pPr>
              <w:jc w:val="right"/>
              <w:rPr>
                <w:sz w:val="20"/>
                <w:szCs w:val="20"/>
              </w:rPr>
            </w:pPr>
            <w:r>
              <w:rPr>
                <w:sz w:val="20"/>
                <w:szCs w:val="20"/>
              </w:rPr>
              <w:t>1,303,108.22</w:t>
            </w:r>
          </w:p>
        </w:tc>
        <w:tc>
          <w:tcPr>
            <w:tcW w:w="1045" w:type="pct"/>
            <w:tcBorders>
              <w:top w:val="single" w:sz="4" w:space="0" w:color="auto"/>
              <w:left w:val="single" w:sz="4" w:space="0" w:color="auto"/>
              <w:bottom w:val="single" w:sz="4" w:space="0" w:color="auto"/>
              <w:right w:val="single" w:sz="4" w:space="0" w:color="auto"/>
            </w:tcBorders>
            <w:vAlign w:val="center"/>
          </w:tcPr>
          <w:p w14:paraId="59C23759" w14:textId="77777777" w:rsidR="00E57DAA" w:rsidRDefault="00AC4185">
            <w:pPr>
              <w:jc w:val="right"/>
              <w:rPr>
                <w:sz w:val="20"/>
                <w:szCs w:val="20"/>
              </w:rPr>
            </w:pPr>
            <w:r>
              <w:rPr>
                <w:sz w:val="20"/>
                <w:szCs w:val="20"/>
              </w:rPr>
              <w:t>255,235,631.72</w:t>
            </w:r>
          </w:p>
        </w:tc>
        <w:tc>
          <w:tcPr>
            <w:tcW w:w="1044" w:type="pct"/>
            <w:tcBorders>
              <w:top w:val="single" w:sz="4" w:space="0" w:color="auto"/>
              <w:left w:val="single" w:sz="4" w:space="0" w:color="auto"/>
              <w:bottom w:val="single" w:sz="4" w:space="0" w:color="auto"/>
              <w:right w:val="single" w:sz="4" w:space="0" w:color="auto"/>
            </w:tcBorders>
            <w:vAlign w:val="center"/>
          </w:tcPr>
          <w:p w14:paraId="0AD2410E" w14:textId="77777777" w:rsidR="00E57DAA" w:rsidRDefault="00AC4185">
            <w:pPr>
              <w:jc w:val="right"/>
              <w:rPr>
                <w:sz w:val="20"/>
                <w:szCs w:val="20"/>
              </w:rPr>
            </w:pPr>
            <w:r>
              <w:rPr>
                <w:sz w:val="20"/>
                <w:szCs w:val="20"/>
              </w:rPr>
              <w:t>255,304,794.77</w:t>
            </w:r>
          </w:p>
        </w:tc>
        <w:tc>
          <w:tcPr>
            <w:tcW w:w="986" w:type="pct"/>
            <w:tcBorders>
              <w:top w:val="single" w:sz="4" w:space="0" w:color="auto"/>
              <w:left w:val="single" w:sz="4" w:space="0" w:color="auto"/>
              <w:bottom w:val="single" w:sz="4" w:space="0" w:color="auto"/>
              <w:right w:val="single" w:sz="4" w:space="0" w:color="auto"/>
            </w:tcBorders>
            <w:vAlign w:val="center"/>
          </w:tcPr>
          <w:p w14:paraId="3F1662E5" w14:textId="77777777" w:rsidR="00E57DAA" w:rsidRDefault="00AC4185">
            <w:pPr>
              <w:jc w:val="right"/>
              <w:rPr>
                <w:sz w:val="20"/>
                <w:szCs w:val="20"/>
              </w:rPr>
            </w:pPr>
            <w:r>
              <w:rPr>
                <w:sz w:val="20"/>
                <w:szCs w:val="20"/>
              </w:rPr>
              <w:t>1,233,945.17</w:t>
            </w:r>
          </w:p>
        </w:tc>
      </w:tr>
      <w:tr w:rsidR="00E57DAA" w14:paraId="30E72810" w14:textId="77777777">
        <w:tc>
          <w:tcPr>
            <w:tcW w:w="961" w:type="pct"/>
            <w:tcBorders>
              <w:top w:val="single" w:sz="4" w:space="0" w:color="auto"/>
              <w:left w:val="single" w:sz="4" w:space="0" w:color="auto"/>
              <w:bottom w:val="single" w:sz="4" w:space="0" w:color="auto"/>
              <w:right w:val="single" w:sz="4" w:space="0" w:color="auto"/>
            </w:tcBorders>
          </w:tcPr>
          <w:p w14:paraId="2651EEAB" w14:textId="77777777" w:rsidR="00E57DAA" w:rsidRDefault="00AC4185">
            <w:pPr>
              <w:autoSpaceDE w:val="0"/>
              <w:autoSpaceDN w:val="0"/>
              <w:adjustRightInd w:val="0"/>
              <w:rPr>
                <w:sz w:val="20"/>
                <w:szCs w:val="20"/>
              </w:rPr>
            </w:pPr>
            <w:r>
              <w:rPr>
                <w:rFonts w:hint="eastAsia"/>
                <w:sz w:val="20"/>
                <w:szCs w:val="20"/>
              </w:rPr>
              <w:t>五、工会经费和职工教育经费</w:t>
            </w:r>
          </w:p>
        </w:tc>
        <w:tc>
          <w:tcPr>
            <w:tcW w:w="964" w:type="pct"/>
            <w:tcBorders>
              <w:top w:val="single" w:sz="4" w:space="0" w:color="auto"/>
              <w:left w:val="single" w:sz="4" w:space="0" w:color="auto"/>
              <w:bottom w:val="single" w:sz="4" w:space="0" w:color="auto"/>
              <w:right w:val="single" w:sz="4" w:space="0" w:color="auto"/>
            </w:tcBorders>
            <w:vAlign w:val="center"/>
          </w:tcPr>
          <w:p w14:paraId="303DE95E" w14:textId="77777777" w:rsidR="00E57DAA" w:rsidRDefault="00AC4185">
            <w:pPr>
              <w:jc w:val="right"/>
              <w:rPr>
                <w:sz w:val="20"/>
                <w:szCs w:val="20"/>
              </w:rPr>
            </w:pPr>
            <w:r>
              <w:rPr>
                <w:sz w:val="20"/>
                <w:szCs w:val="20"/>
              </w:rPr>
              <w:t>56,913,820.16</w:t>
            </w:r>
          </w:p>
        </w:tc>
        <w:tc>
          <w:tcPr>
            <w:tcW w:w="1045" w:type="pct"/>
            <w:tcBorders>
              <w:top w:val="single" w:sz="4" w:space="0" w:color="auto"/>
              <w:left w:val="single" w:sz="4" w:space="0" w:color="auto"/>
              <w:bottom w:val="single" w:sz="4" w:space="0" w:color="auto"/>
              <w:right w:val="single" w:sz="4" w:space="0" w:color="auto"/>
            </w:tcBorders>
            <w:vAlign w:val="center"/>
          </w:tcPr>
          <w:p w14:paraId="522E8D6B" w14:textId="77777777" w:rsidR="00E57DAA" w:rsidRDefault="00AC4185">
            <w:pPr>
              <w:jc w:val="right"/>
              <w:rPr>
                <w:sz w:val="20"/>
                <w:szCs w:val="20"/>
              </w:rPr>
            </w:pPr>
            <w:r>
              <w:rPr>
                <w:sz w:val="20"/>
                <w:szCs w:val="20"/>
              </w:rPr>
              <w:t>48,655,883.03</w:t>
            </w:r>
          </w:p>
        </w:tc>
        <w:tc>
          <w:tcPr>
            <w:tcW w:w="1044" w:type="pct"/>
            <w:tcBorders>
              <w:top w:val="single" w:sz="4" w:space="0" w:color="auto"/>
              <w:left w:val="single" w:sz="4" w:space="0" w:color="auto"/>
              <w:bottom w:val="single" w:sz="4" w:space="0" w:color="auto"/>
              <w:right w:val="single" w:sz="4" w:space="0" w:color="auto"/>
            </w:tcBorders>
            <w:vAlign w:val="center"/>
          </w:tcPr>
          <w:p w14:paraId="5EF42CA4" w14:textId="77777777" w:rsidR="00E57DAA" w:rsidRDefault="00AC4185">
            <w:pPr>
              <w:jc w:val="right"/>
              <w:rPr>
                <w:sz w:val="20"/>
                <w:szCs w:val="20"/>
              </w:rPr>
            </w:pPr>
            <w:r>
              <w:rPr>
                <w:sz w:val="20"/>
                <w:szCs w:val="20"/>
              </w:rPr>
              <w:t>47,914,251.38</w:t>
            </w:r>
          </w:p>
        </w:tc>
        <w:tc>
          <w:tcPr>
            <w:tcW w:w="986" w:type="pct"/>
            <w:tcBorders>
              <w:top w:val="single" w:sz="4" w:space="0" w:color="auto"/>
              <w:left w:val="single" w:sz="4" w:space="0" w:color="auto"/>
              <w:bottom w:val="single" w:sz="4" w:space="0" w:color="auto"/>
              <w:right w:val="single" w:sz="4" w:space="0" w:color="auto"/>
            </w:tcBorders>
            <w:vAlign w:val="center"/>
          </w:tcPr>
          <w:p w14:paraId="5861898F" w14:textId="77777777" w:rsidR="00E57DAA" w:rsidRDefault="00AC4185">
            <w:pPr>
              <w:jc w:val="right"/>
              <w:rPr>
                <w:sz w:val="20"/>
                <w:szCs w:val="20"/>
              </w:rPr>
            </w:pPr>
            <w:r>
              <w:rPr>
                <w:sz w:val="20"/>
                <w:szCs w:val="20"/>
              </w:rPr>
              <w:t>57,655,451.81</w:t>
            </w:r>
          </w:p>
        </w:tc>
      </w:tr>
      <w:tr w:rsidR="00E57DAA" w14:paraId="4B3D8011" w14:textId="77777777">
        <w:tc>
          <w:tcPr>
            <w:tcW w:w="961" w:type="pct"/>
            <w:tcBorders>
              <w:top w:val="single" w:sz="4" w:space="0" w:color="auto"/>
              <w:left w:val="single" w:sz="4" w:space="0" w:color="auto"/>
              <w:bottom w:val="single" w:sz="4" w:space="0" w:color="auto"/>
              <w:right w:val="single" w:sz="4" w:space="0" w:color="auto"/>
            </w:tcBorders>
          </w:tcPr>
          <w:p w14:paraId="2EF8C3FB" w14:textId="77777777" w:rsidR="00E57DAA" w:rsidRDefault="00AC4185">
            <w:pPr>
              <w:rPr>
                <w:sz w:val="20"/>
                <w:szCs w:val="20"/>
              </w:rPr>
            </w:pPr>
            <w:r>
              <w:rPr>
                <w:rFonts w:hint="eastAsia"/>
                <w:sz w:val="20"/>
                <w:szCs w:val="20"/>
              </w:rPr>
              <w:t>六、其他短期薪酬</w:t>
            </w:r>
          </w:p>
        </w:tc>
        <w:tc>
          <w:tcPr>
            <w:tcW w:w="964" w:type="pct"/>
            <w:tcBorders>
              <w:top w:val="single" w:sz="4" w:space="0" w:color="auto"/>
              <w:left w:val="single" w:sz="4" w:space="0" w:color="auto"/>
              <w:bottom w:val="single" w:sz="4" w:space="0" w:color="auto"/>
              <w:right w:val="single" w:sz="4" w:space="0" w:color="auto"/>
            </w:tcBorders>
            <w:vAlign w:val="center"/>
          </w:tcPr>
          <w:p w14:paraId="188349AE" w14:textId="77777777" w:rsidR="00E57DAA" w:rsidRDefault="00AC4185">
            <w:pPr>
              <w:jc w:val="right"/>
              <w:rPr>
                <w:sz w:val="20"/>
                <w:szCs w:val="20"/>
              </w:rPr>
            </w:pPr>
            <w:r>
              <w:rPr>
                <w:sz w:val="20"/>
                <w:szCs w:val="20"/>
              </w:rPr>
              <w:t>3,314,217.89</w:t>
            </w:r>
          </w:p>
        </w:tc>
        <w:tc>
          <w:tcPr>
            <w:tcW w:w="1045" w:type="pct"/>
            <w:tcBorders>
              <w:top w:val="single" w:sz="4" w:space="0" w:color="auto"/>
              <w:left w:val="single" w:sz="4" w:space="0" w:color="auto"/>
              <w:bottom w:val="single" w:sz="4" w:space="0" w:color="auto"/>
              <w:right w:val="single" w:sz="4" w:space="0" w:color="auto"/>
            </w:tcBorders>
            <w:vAlign w:val="center"/>
          </w:tcPr>
          <w:p w14:paraId="7FAE5559" w14:textId="77777777" w:rsidR="00E57DAA" w:rsidRDefault="00AC4185">
            <w:pPr>
              <w:jc w:val="right"/>
              <w:rPr>
                <w:sz w:val="20"/>
                <w:szCs w:val="20"/>
              </w:rPr>
            </w:pPr>
            <w:r>
              <w:rPr>
                <w:sz w:val="20"/>
                <w:szCs w:val="20"/>
              </w:rPr>
              <w:t>149,084,363.15</w:t>
            </w:r>
          </w:p>
        </w:tc>
        <w:tc>
          <w:tcPr>
            <w:tcW w:w="1044" w:type="pct"/>
            <w:tcBorders>
              <w:top w:val="single" w:sz="4" w:space="0" w:color="auto"/>
              <w:left w:val="single" w:sz="4" w:space="0" w:color="auto"/>
              <w:bottom w:val="single" w:sz="4" w:space="0" w:color="auto"/>
              <w:right w:val="single" w:sz="4" w:space="0" w:color="auto"/>
            </w:tcBorders>
            <w:vAlign w:val="center"/>
          </w:tcPr>
          <w:p w14:paraId="5E0D3FED" w14:textId="77777777" w:rsidR="00E57DAA" w:rsidRDefault="00AC4185">
            <w:pPr>
              <w:jc w:val="right"/>
              <w:rPr>
                <w:sz w:val="20"/>
                <w:szCs w:val="20"/>
              </w:rPr>
            </w:pPr>
            <w:r>
              <w:rPr>
                <w:sz w:val="20"/>
                <w:szCs w:val="20"/>
              </w:rPr>
              <w:t>148,736,061.76</w:t>
            </w:r>
          </w:p>
        </w:tc>
        <w:tc>
          <w:tcPr>
            <w:tcW w:w="986" w:type="pct"/>
            <w:tcBorders>
              <w:top w:val="single" w:sz="4" w:space="0" w:color="auto"/>
              <w:left w:val="single" w:sz="4" w:space="0" w:color="auto"/>
              <w:bottom w:val="single" w:sz="4" w:space="0" w:color="auto"/>
              <w:right w:val="single" w:sz="4" w:space="0" w:color="auto"/>
            </w:tcBorders>
            <w:vAlign w:val="center"/>
          </w:tcPr>
          <w:p w14:paraId="3D5A4608" w14:textId="77777777" w:rsidR="00E57DAA" w:rsidRDefault="00AC4185">
            <w:pPr>
              <w:jc w:val="right"/>
              <w:rPr>
                <w:sz w:val="20"/>
                <w:szCs w:val="20"/>
              </w:rPr>
            </w:pPr>
            <w:r>
              <w:rPr>
                <w:sz w:val="20"/>
                <w:szCs w:val="20"/>
              </w:rPr>
              <w:t>3,662,519.28</w:t>
            </w:r>
          </w:p>
        </w:tc>
      </w:tr>
      <w:tr w:rsidR="00E57DAA" w14:paraId="148B7FDE" w14:textId="77777777">
        <w:tc>
          <w:tcPr>
            <w:tcW w:w="961" w:type="pct"/>
            <w:tcBorders>
              <w:top w:val="single" w:sz="4" w:space="0" w:color="auto"/>
              <w:left w:val="single" w:sz="4" w:space="0" w:color="auto"/>
              <w:bottom w:val="single" w:sz="4" w:space="0" w:color="auto"/>
              <w:right w:val="single" w:sz="4" w:space="0" w:color="auto"/>
            </w:tcBorders>
            <w:vAlign w:val="center"/>
          </w:tcPr>
          <w:p w14:paraId="1166D9E1" w14:textId="77777777" w:rsidR="00E57DAA" w:rsidRDefault="00AC4185">
            <w:pPr>
              <w:autoSpaceDE w:val="0"/>
              <w:autoSpaceDN w:val="0"/>
              <w:adjustRightInd w:val="0"/>
              <w:jc w:val="center"/>
              <w:rPr>
                <w:sz w:val="20"/>
                <w:szCs w:val="20"/>
              </w:rPr>
            </w:pPr>
            <w:r>
              <w:rPr>
                <w:rFonts w:hint="eastAsia"/>
                <w:sz w:val="20"/>
                <w:szCs w:val="20"/>
              </w:rPr>
              <w:t>合计</w:t>
            </w:r>
          </w:p>
        </w:tc>
        <w:tc>
          <w:tcPr>
            <w:tcW w:w="964" w:type="pct"/>
            <w:tcBorders>
              <w:top w:val="single" w:sz="4" w:space="0" w:color="auto"/>
              <w:left w:val="single" w:sz="4" w:space="0" w:color="auto"/>
              <w:bottom w:val="single" w:sz="4" w:space="0" w:color="auto"/>
              <w:right w:val="single" w:sz="4" w:space="0" w:color="auto"/>
            </w:tcBorders>
            <w:vAlign w:val="center"/>
          </w:tcPr>
          <w:p w14:paraId="31C14E14" w14:textId="77777777" w:rsidR="00E57DAA" w:rsidRDefault="00AC4185">
            <w:pPr>
              <w:jc w:val="right"/>
              <w:rPr>
                <w:sz w:val="20"/>
                <w:szCs w:val="20"/>
              </w:rPr>
            </w:pPr>
            <w:r>
              <w:rPr>
                <w:sz w:val="20"/>
                <w:szCs w:val="20"/>
              </w:rPr>
              <w:t>915,089,254.16</w:t>
            </w:r>
          </w:p>
        </w:tc>
        <w:tc>
          <w:tcPr>
            <w:tcW w:w="1045" w:type="pct"/>
            <w:tcBorders>
              <w:top w:val="single" w:sz="4" w:space="0" w:color="auto"/>
              <w:left w:val="single" w:sz="4" w:space="0" w:color="auto"/>
              <w:bottom w:val="single" w:sz="4" w:space="0" w:color="auto"/>
              <w:right w:val="single" w:sz="4" w:space="0" w:color="auto"/>
            </w:tcBorders>
            <w:vAlign w:val="center"/>
          </w:tcPr>
          <w:p w14:paraId="5FDD17BA" w14:textId="77777777" w:rsidR="00E57DAA" w:rsidRDefault="00AC4185">
            <w:pPr>
              <w:jc w:val="right"/>
              <w:rPr>
                <w:sz w:val="20"/>
                <w:szCs w:val="20"/>
              </w:rPr>
            </w:pPr>
            <w:r>
              <w:rPr>
                <w:sz w:val="20"/>
                <w:szCs w:val="20"/>
              </w:rPr>
              <w:t>4,082,471,469.55</w:t>
            </w:r>
          </w:p>
        </w:tc>
        <w:tc>
          <w:tcPr>
            <w:tcW w:w="1044" w:type="pct"/>
            <w:tcBorders>
              <w:top w:val="single" w:sz="4" w:space="0" w:color="auto"/>
              <w:left w:val="single" w:sz="4" w:space="0" w:color="auto"/>
              <w:bottom w:val="single" w:sz="4" w:space="0" w:color="auto"/>
              <w:right w:val="single" w:sz="4" w:space="0" w:color="auto"/>
            </w:tcBorders>
            <w:vAlign w:val="center"/>
          </w:tcPr>
          <w:p w14:paraId="3FE418D5" w14:textId="77777777" w:rsidR="00E57DAA" w:rsidRDefault="00AC4185">
            <w:pPr>
              <w:jc w:val="right"/>
              <w:rPr>
                <w:sz w:val="20"/>
                <w:szCs w:val="20"/>
              </w:rPr>
            </w:pPr>
            <w:r>
              <w:rPr>
                <w:sz w:val="20"/>
                <w:szCs w:val="20"/>
              </w:rPr>
              <w:t>4,115,828,867.43</w:t>
            </w:r>
          </w:p>
        </w:tc>
        <w:tc>
          <w:tcPr>
            <w:tcW w:w="986" w:type="pct"/>
            <w:tcBorders>
              <w:top w:val="single" w:sz="4" w:space="0" w:color="auto"/>
              <w:left w:val="single" w:sz="4" w:space="0" w:color="auto"/>
              <w:bottom w:val="single" w:sz="4" w:space="0" w:color="auto"/>
              <w:right w:val="single" w:sz="4" w:space="0" w:color="auto"/>
            </w:tcBorders>
            <w:vAlign w:val="center"/>
          </w:tcPr>
          <w:p w14:paraId="2C996A30" w14:textId="77777777" w:rsidR="00E57DAA" w:rsidRDefault="00AC4185">
            <w:pPr>
              <w:jc w:val="right"/>
              <w:rPr>
                <w:sz w:val="20"/>
                <w:szCs w:val="20"/>
              </w:rPr>
            </w:pPr>
            <w:r>
              <w:rPr>
                <w:sz w:val="20"/>
                <w:szCs w:val="20"/>
              </w:rPr>
              <w:t>881,731,856.28</w:t>
            </w:r>
          </w:p>
        </w:tc>
      </w:tr>
    </w:tbl>
    <w:p w14:paraId="46B5259D" w14:textId="77777777" w:rsidR="00E57DAA" w:rsidRDefault="00E57DAA">
      <w:pPr>
        <w:rPr>
          <w:color w:val="000000" w:themeColor="text1"/>
          <w:szCs w:val="21"/>
        </w:rPr>
      </w:pPr>
    </w:p>
    <w:p w14:paraId="2E70DA31" w14:textId="77777777" w:rsidR="00E57DAA" w:rsidRDefault="00AC4185">
      <w:pPr>
        <w:pStyle w:val="4"/>
        <w:numPr>
          <w:ilvl w:val="0"/>
          <w:numId w:val="96"/>
        </w:numPr>
      </w:pPr>
      <w:r>
        <w:rPr>
          <w:rFonts w:hint="eastAsia"/>
        </w:rPr>
        <w:t>设定提存计划列示</w:t>
      </w:r>
    </w:p>
    <w:p w14:paraId="3A6F61B1" w14:textId="77777777" w:rsidR="00E57DAA" w:rsidRDefault="00EB41A1" w:rsidP="00C25422">
      <w:pPr>
        <w:pStyle w:val="92"/>
      </w:pPr>
      <w:sdt>
        <w:sdtPr>
          <w:alias w:val="是否适用：设定提存计划列示[双击切换]"/>
          <w:tag w:val="_GBC_b10b1dbaca2d418ba8658bab8f732ec8"/>
          <w:id w:val="-1492703097"/>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5E039F9C" w14:textId="77777777" w:rsidR="00E57DAA" w:rsidRDefault="00AC4185">
      <w:pPr>
        <w:jc w:val="right"/>
      </w:pPr>
      <w:r>
        <w:rPr>
          <w:rFonts w:hint="eastAsia"/>
        </w:rPr>
        <w:t>单位：</w:t>
      </w:r>
      <w:sdt>
        <w:sdtPr>
          <w:rPr>
            <w:rFonts w:hint="eastAsia"/>
          </w:rPr>
          <w:alias w:val="单位：财务附注：设定提存计划列示"/>
          <w:tag w:val="_GBC_925094ba622346ba8857a40cf7e6f1b2"/>
          <w:id w:val="4734172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2206825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5"/>
        <w:gridCol w:w="1702"/>
        <w:gridCol w:w="1700"/>
        <w:gridCol w:w="1843"/>
        <w:gridCol w:w="1737"/>
      </w:tblGrid>
      <w:tr w:rsidR="00E57DAA" w14:paraId="6981CFBF" w14:textId="77777777">
        <w:sdt>
          <w:sdtPr>
            <w:tag w:val="_PLD_5a05fd1b5f8842ba9ae6094f6792dfbe"/>
            <w:id w:val="-574516654"/>
          </w:sdtPr>
          <w:sdtEndPr/>
          <w:sdtContent>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14:paraId="4C0F1B7B" w14:textId="77777777" w:rsidR="00E57DAA" w:rsidRDefault="00AC4185">
                <w:pPr>
                  <w:jc w:val="center"/>
                </w:pPr>
                <w:r>
                  <w:rPr>
                    <w:rFonts w:hint="eastAsia"/>
                  </w:rPr>
                  <w:t>项目</w:t>
                </w:r>
              </w:p>
            </w:tc>
          </w:sdtContent>
        </w:sdt>
        <w:sdt>
          <w:sdtPr>
            <w:tag w:val="_PLD_fae7d76d85e4429d925f3d30ff27566f"/>
            <w:id w:val="-1490085129"/>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14:paraId="7A9E2887" w14:textId="77777777" w:rsidR="00E57DAA" w:rsidRDefault="00AC4185">
                <w:pPr>
                  <w:jc w:val="center"/>
                </w:pPr>
                <w:r>
                  <w:rPr>
                    <w:rFonts w:hint="eastAsia"/>
                  </w:rPr>
                  <w:t>期初余额</w:t>
                </w:r>
              </w:p>
            </w:tc>
          </w:sdtContent>
        </w:sdt>
        <w:sdt>
          <w:sdtPr>
            <w:tag w:val="_PLD_cd3c897871944aa0a1ea524d70e51704"/>
            <w:id w:val="-844637327"/>
          </w:sdtPr>
          <w:sdtEndPr/>
          <w:sdtContent>
            <w:tc>
              <w:tcPr>
                <w:tcW w:w="964" w:type="pct"/>
                <w:tcBorders>
                  <w:top w:val="single" w:sz="6" w:space="0" w:color="auto"/>
                  <w:left w:val="single" w:sz="6" w:space="0" w:color="auto"/>
                  <w:bottom w:val="single" w:sz="6" w:space="0" w:color="auto"/>
                  <w:right w:val="single" w:sz="6" w:space="0" w:color="auto"/>
                </w:tcBorders>
                <w:shd w:val="clear" w:color="auto" w:fill="auto"/>
                <w:vAlign w:val="center"/>
              </w:tcPr>
              <w:p w14:paraId="2085C3FF" w14:textId="77777777" w:rsidR="00E57DAA" w:rsidRDefault="00AC4185">
                <w:pPr>
                  <w:jc w:val="center"/>
                </w:pPr>
                <w:r>
                  <w:rPr>
                    <w:rFonts w:hint="eastAsia"/>
                  </w:rPr>
                  <w:t>本期增加</w:t>
                </w:r>
              </w:p>
            </w:tc>
          </w:sdtContent>
        </w:sdt>
        <w:sdt>
          <w:sdtPr>
            <w:tag w:val="_PLD_5ef10b06a3d24730bad93c45f119182f"/>
            <w:id w:val="-395133278"/>
          </w:sdtPr>
          <w:sdtEndPr/>
          <w:sdtContent>
            <w:tc>
              <w:tcPr>
                <w:tcW w:w="1045" w:type="pct"/>
                <w:tcBorders>
                  <w:top w:val="single" w:sz="6" w:space="0" w:color="auto"/>
                  <w:left w:val="single" w:sz="6" w:space="0" w:color="auto"/>
                  <w:bottom w:val="single" w:sz="6" w:space="0" w:color="auto"/>
                  <w:right w:val="single" w:sz="6" w:space="0" w:color="auto"/>
                </w:tcBorders>
                <w:shd w:val="clear" w:color="auto" w:fill="auto"/>
                <w:vAlign w:val="center"/>
              </w:tcPr>
              <w:p w14:paraId="46BCD857" w14:textId="77777777" w:rsidR="00E57DAA" w:rsidRDefault="00AC4185">
                <w:pPr>
                  <w:jc w:val="center"/>
                </w:pPr>
                <w:r>
                  <w:rPr>
                    <w:rFonts w:hint="eastAsia"/>
                  </w:rPr>
                  <w:t>本期减少</w:t>
                </w:r>
              </w:p>
            </w:tc>
          </w:sdtContent>
        </w:sdt>
        <w:sdt>
          <w:sdtPr>
            <w:tag w:val="_PLD_13d5e5df016d4921aa56218755dfb8f4"/>
            <w:id w:val="-1205322149"/>
          </w:sdtPr>
          <w:sdtEndPr/>
          <w:sdtContent>
            <w:tc>
              <w:tcPr>
                <w:tcW w:w="985" w:type="pct"/>
                <w:tcBorders>
                  <w:top w:val="single" w:sz="6" w:space="0" w:color="auto"/>
                  <w:left w:val="single" w:sz="6" w:space="0" w:color="auto"/>
                  <w:bottom w:val="single" w:sz="6" w:space="0" w:color="auto"/>
                  <w:right w:val="single" w:sz="6" w:space="0" w:color="auto"/>
                </w:tcBorders>
                <w:shd w:val="clear" w:color="auto" w:fill="auto"/>
                <w:vAlign w:val="center"/>
              </w:tcPr>
              <w:p w14:paraId="55C45F1D" w14:textId="77777777" w:rsidR="00E57DAA" w:rsidRDefault="00AC4185">
                <w:pPr>
                  <w:jc w:val="center"/>
                </w:pPr>
                <w:r>
                  <w:rPr>
                    <w:rFonts w:hint="eastAsia"/>
                  </w:rPr>
                  <w:t>期末余额</w:t>
                </w:r>
              </w:p>
            </w:tc>
          </w:sdtContent>
        </w:sdt>
      </w:tr>
      <w:tr w:rsidR="00E57DAA" w14:paraId="5443F523" w14:textId="77777777">
        <w:tc>
          <w:tcPr>
            <w:tcW w:w="1041" w:type="pct"/>
            <w:tcBorders>
              <w:top w:val="single" w:sz="6" w:space="0" w:color="auto"/>
              <w:left w:val="single" w:sz="6" w:space="0" w:color="auto"/>
              <w:bottom w:val="single" w:sz="6" w:space="0" w:color="auto"/>
              <w:right w:val="single" w:sz="6" w:space="0" w:color="auto"/>
            </w:tcBorders>
            <w:shd w:val="clear" w:color="auto" w:fill="auto"/>
          </w:tcPr>
          <w:p w14:paraId="340BC806" w14:textId="77777777" w:rsidR="00E57DAA" w:rsidRDefault="00AC4185" w:rsidP="00C25422">
            <w:pPr>
              <w:pStyle w:val="92"/>
            </w:pPr>
            <w:r>
              <w:rPr>
                <w:rFonts w:hint="eastAsia"/>
              </w:rPr>
              <w:t>1、基本养老保险</w:t>
            </w:r>
          </w:p>
        </w:tc>
        <w:tc>
          <w:tcPr>
            <w:tcW w:w="965" w:type="pct"/>
            <w:tcBorders>
              <w:top w:val="single" w:sz="4" w:space="0" w:color="auto"/>
              <w:left w:val="single" w:sz="6" w:space="0" w:color="auto"/>
              <w:bottom w:val="single" w:sz="4" w:space="0" w:color="auto"/>
              <w:right w:val="single" w:sz="4" w:space="0" w:color="auto"/>
            </w:tcBorders>
            <w:shd w:val="clear" w:color="auto" w:fill="auto"/>
            <w:vAlign w:val="center"/>
          </w:tcPr>
          <w:p w14:paraId="43056EC3" w14:textId="77777777" w:rsidR="00E57DAA" w:rsidRDefault="00AC4185">
            <w:pPr>
              <w:jc w:val="right"/>
            </w:pPr>
            <w:r>
              <w:t>5,110,384.70</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2770DD9" w14:textId="77777777" w:rsidR="00E57DAA" w:rsidRDefault="00AC4185">
            <w:pPr>
              <w:jc w:val="right"/>
            </w:pPr>
            <w:r>
              <w:t>331,882,455.37</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tcPr>
          <w:p w14:paraId="6C5B23F5" w14:textId="77777777" w:rsidR="00E57DAA" w:rsidRDefault="00AC4185">
            <w:pPr>
              <w:jc w:val="right"/>
            </w:pPr>
            <w:r>
              <w:t>332,431,995.79</w:t>
            </w:r>
          </w:p>
        </w:tc>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7F7F5DF1" w14:textId="77777777" w:rsidR="00E57DAA" w:rsidRDefault="00AC4185">
            <w:pPr>
              <w:jc w:val="right"/>
            </w:pPr>
            <w:r>
              <w:t>4,560,844.28</w:t>
            </w:r>
          </w:p>
        </w:tc>
      </w:tr>
      <w:tr w:rsidR="00E57DAA" w14:paraId="582CC1A7" w14:textId="77777777">
        <w:tc>
          <w:tcPr>
            <w:tcW w:w="1041" w:type="pct"/>
            <w:tcBorders>
              <w:top w:val="single" w:sz="6" w:space="0" w:color="auto"/>
              <w:left w:val="single" w:sz="6" w:space="0" w:color="auto"/>
              <w:bottom w:val="single" w:sz="6" w:space="0" w:color="auto"/>
              <w:right w:val="single" w:sz="6" w:space="0" w:color="auto"/>
            </w:tcBorders>
            <w:shd w:val="clear" w:color="auto" w:fill="auto"/>
          </w:tcPr>
          <w:p w14:paraId="4E203307" w14:textId="77777777" w:rsidR="00E57DAA" w:rsidRDefault="00AC4185" w:rsidP="00C25422">
            <w:pPr>
              <w:pStyle w:val="92"/>
            </w:pPr>
            <w:r>
              <w:rPr>
                <w:rFonts w:hint="eastAsia"/>
              </w:rPr>
              <w:t>2、企业年金缴费</w:t>
            </w:r>
          </w:p>
        </w:tc>
        <w:tc>
          <w:tcPr>
            <w:tcW w:w="965" w:type="pct"/>
            <w:tcBorders>
              <w:top w:val="single" w:sz="4" w:space="0" w:color="auto"/>
              <w:left w:val="single" w:sz="6" w:space="0" w:color="auto"/>
              <w:bottom w:val="single" w:sz="4" w:space="0" w:color="auto"/>
              <w:right w:val="single" w:sz="4" w:space="0" w:color="auto"/>
            </w:tcBorders>
            <w:shd w:val="clear" w:color="auto" w:fill="auto"/>
            <w:vAlign w:val="center"/>
          </w:tcPr>
          <w:p w14:paraId="44528249" w14:textId="77777777" w:rsidR="00E57DAA" w:rsidRDefault="00AC4185">
            <w:pPr>
              <w:jc w:val="right"/>
            </w:pPr>
            <w:r>
              <w:t>4,707,331.31</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C5D1631" w14:textId="77777777" w:rsidR="00E57DAA" w:rsidRDefault="00AC4185">
            <w:pPr>
              <w:jc w:val="right"/>
            </w:pPr>
            <w:r>
              <w:t>153,354,439.08</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tcPr>
          <w:p w14:paraId="0A293051" w14:textId="77777777" w:rsidR="00E57DAA" w:rsidRDefault="00AC4185">
            <w:pPr>
              <w:jc w:val="right"/>
            </w:pPr>
            <w:r>
              <w:t>148,717,589.49</w:t>
            </w:r>
          </w:p>
        </w:tc>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692F5715" w14:textId="77777777" w:rsidR="00E57DAA" w:rsidRDefault="00AC4185">
            <w:pPr>
              <w:jc w:val="right"/>
            </w:pPr>
            <w:r>
              <w:t>9,344,180.90</w:t>
            </w:r>
          </w:p>
        </w:tc>
      </w:tr>
      <w:tr w:rsidR="00E57DAA" w14:paraId="596C2EBF" w14:textId="77777777">
        <w:tc>
          <w:tcPr>
            <w:tcW w:w="1041" w:type="pct"/>
            <w:tcBorders>
              <w:top w:val="single" w:sz="6" w:space="0" w:color="auto"/>
              <w:left w:val="single" w:sz="6" w:space="0" w:color="auto"/>
              <w:bottom w:val="single" w:sz="6" w:space="0" w:color="auto"/>
              <w:right w:val="single" w:sz="6" w:space="0" w:color="auto"/>
            </w:tcBorders>
            <w:shd w:val="clear" w:color="auto" w:fill="auto"/>
          </w:tcPr>
          <w:p w14:paraId="480E1BA1" w14:textId="77777777" w:rsidR="00E57DAA" w:rsidRDefault="00AC4185" w:rsidP="00C25422">
            <w:pPr>
              <w:pStyle w:val="92"/>
            </w:pPr>
            <w:r>
              <w:rPr>
                <w:rFonts w:hint="eastAsia"/>
              </w:rPr>
              <w:t>3、失业保险费</w:t>
            </w:r>
          </w:p>
        </w:tc>
        <w:tc>
          <w:tcPr>
            <w:tcW w:w="965" w:type="pct"/>
            <w:tcBorders>
              <w:top w:val="single" w:sz="4" w:space="0" w:color="auto"/>
              <w:left w:val="single" w:sz="6" w:space="0" w:color="auto"/>
              <w:bottom w:val="single" w:sz="4" w:space="0" w:color="auto"/>
              <w:right w:val="single" w:sz="4" w:space="0" w:color="auto"/>
            </w:tcBorders>
            <w:shd w:val="clear" w:color="auto" w:fill="auto"/>
            <w:vAlign w:val="center"/>
          </w:tcPr>
          <w:p w14:paraId="6046C1E8" w14:textId="77777777" w:rsidR="00E57DAA" w:rsidRDefault="00AC4185">
            <w:pPr>
              <w:jc w:val="right"/>
            </w:pPr>
            <w:r>
              <w:t>928,748.61</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589D9FE" w14:textId="77777777" w:rsidR="00E57DAA" w:rsidRDefault="00AC4185">
            <w:pPr>
              <w:jc w:val="right"/>
            </w:pPr>
            <w:r>
              <w:t>14,215,777.15</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tcPr>
          <w:p w14:paraId="647CB0A6" w14:textId="77777777" w:rsidR="00E57DAA" w:rsidRDefault="00AC4185">
            <w:pPr>
              <w:jc w:val="right"/>
            </w:pPr>
            <w:r>
              <w:t>14,348,401.80</w:t>
            </w:r>
          </w:p>
        </w:tc>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1E91C62B" w14:textId="77777777" w:rsidR="00E57DAA" w:rsidRDefault="00AC4185">
            <w:pPr>
              <w:jc w:val="right"/>
            </w:pPr>
            <w:r>
              <w:t>796,123.96</w:t>
            </w:r>
          </w:p>
        </w:tc>
      </w:tr>
      <w:tr w:rsidR="00E57DAA" w14:paraId="77CB2EC1" w14:textId="77777777">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14:paraId="264A2809" w14:textId="77777777" w:rsidR="00E57DAA" w:rsidRDefault="00AC4185">
            <w:pPr>
              <w:jc w:val="center"/>
            </w:pPr>
            <w:r>
              <w:rPr>
                <w:rFonts w:hint="eastAsia"/>
              </w:rPr>
              <w:t>合计</w:t>
            </w:r>
          </w:p>
        </w:tc>
        <w:tc>
          <w:tcPr>
            <w:tcW w:w="965" w:type="pct"/>
            <w:tcBorders>
              <w:top w:val="single" w:sz="4" w:space="0" w:color="auto"/>
              <w:left w:val="single" w:sz="6" w:space="0" w:color="auto"/>
              <w:bottom w:val="single" w:sz="4" w:space="0" w:color="auto"/>
              <w:right w:val="single" w:sz="4" w:space="0" w:color="auto"/>
            </w:tcBorders>
            <w:shd w:val="clear" w:color="auto" w:fill="auto"/>
            <w:vAlign w:val="center"/>
          </w:tcPr>
          <w:p w14:paraId="05EEA229" w14:textId="77777777" w:rsidR="00E57DAA" w:rsidRDefault="00AC4185">
            <w:pPr>
              <w:jc w:val="right"/>
            </w:pPr>
            <w:r>
              <w:t>10,746,464.62</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ECFBDE9" w14:textId="77777777" w:rsidR="00E57DAA" w:rsidRDefault="00AC4185">
            <w:pPr>
              <w:jc w:val="right"/>
            </w:pPr>
            <w:r>
              <w:t>499,452,671.60</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tcPr>
          <w:p w14:paraId="72B56444" w14:textId="77777777" w:rsidR="00E57DAA" w:rsidRDefault="00AC4185">
            <w:pPr>
              <w:jc w:val="right"/>
            </w:pPr>
            <w:r>
              <w:t>495,497,987.08</w:t>
            </w:r>
          </w:p>
        </w:tc>
        <w:tc>
          <w:tcPr>
            <w:tcW w:w="985" w:type="pct"/>
            <w:tcBorders>
              <w:top w:val="single" w:sz="4" w:space="0" w:color="auto"/>
              <w:left w:val="single" w:sz="4" w:space="0" w:color="auto"/>
              <w:bottom w:val="single" w:sz="4" w:space="0" w:color="auto"/>
              <w:right w:val="single" w:sz="4" w:space="0" w:color="auto"/>
            </w:tcBorders>
            <w:shd w:val="clear" w:color="auto" w:fill="auto"/>
            <w:vAlign w:val="center"/>
          </w:tcPr>
          <w:p w14:paraId="33D46FA0" w14:textId="77777777" w:rsidR="00E57DAA" w:rsidRDefault="00AC4185">
            <w:pPr>
              <w:jc w:val="right"/>
            </w:pPr>
            <w:r>
              <w:t>14,701,149.14</w:t>
            </w:r>
          </w:p>
        </w:tc>
      </w:tr>
    </w:tbl>
    <w:p w14:paraId="48CD95F4" w14:textId="77777777" w:rsidR="00E57DAA" w:rsidRDefault="00E57DAA"/>
    <w:p w14:paraId="11FE8497" w14:textId="77777777" w:rsidR="00E57DAA" w:rsidRDefault="00AC4185">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2098393604"/>
        <w:placeholder>
          <w:docPart w:val="GBC22222222222222222222222222222"/>
        </w:placeholder>
      </w:sdtPr>
      <w:sdtEndPr/>
      <w:sdtContent>
        <w:p w14:paraId="6C314B40" w14:textId="77777777" w:rsidR="00E57DAA" w:rsidRDefault="00AC4185">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20D182" w14:textId="77777777" w:rsidR="00E57DAA" w:rsidRDefault="00E57DAA">
      <w:pPr>
        <w:autoSpaceDE w:val="0"/>
        <w:autoSpaceDN w:val="0"/>
        <w:adjustRightInd w:val="0"/>
        <w:rPr>
          <w:szCs w:val="21"/>
        </w:rPr>
      </w:pPr>
    </w:p>
    <w:p w14:paraId="18123A6D" w14:textId="77777777" w:rsidR="00E57DAA" w:rsidRDefault="00AC4185" w:rsidP="00C25422">
      <w:pPr>
        <w:pStyle w:val="91"/>
        <w:numPr>
          <w:ilvl w:val="0"/>
          <w:numId w:val="69"/>
        </w:numPr>
      </w:pPr>
      <w:r>
        <w:rPr>
          <w:rFonts w:hint="eastAsia"/>
        </w:rPr>
        <w:t>应交税费</w:t>
      </w:r>
    </w:p>
    <w:sdt>
      <w:sdtPr>
        <w:alias w:val="是否适用：应交税费[双击切换]"/>
        <w:tag w:val="_GBC_2ed6216b8f4c4523a1de5c2628cc02a2"/>
        <w:id w:val="-1070886693"/>
        <w:placeholder>
          <w:docPart w:val="GBC22222222222222222222222222222"/>
        </w:placeholder>
      </w:sdtPr>
      <w:sdtEndPr/>
      <w:sdtContent>
        <w:p w14:paraId="0E58250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91C85F" w14:textId="77777777" w:rsidR="00E57DAA" w:rsidRDefault="00AC4185">
      <w:pPr>
        <w:jc w:val="right"/>
        <w:rPr>
          <w:szCs w:val="21"/>
        </w:rPr>
      </w:pPr>
      <w:r>
        <w:rPr>
          <w:rFonts w:hint="eastAsia"/>
          <w:szCs w:val="21"/>
        </w:rPr>
        <w:t>单位：</w:t>
      </w:r>
      <w:sdt>
        <w:sdtPr>
          <w:rPr>
            <w:rFonts w:hint="eastAsia"/>
            <w:szCs w:val="21"/>
          </w:rPr>
          <w:alias w:val="单位：财务附注：应交税费"/>
          <w:tag w:val="_GBC_9fe49c1b8a984180ae11c305f9fe5484"/>
          <w:id w:val="19246041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3248931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2931"/>
        <w:gridCol w:w="2936"/>
      </w:tblGrid>
      <w:tr w:rsidR="00E57DAA" w14:paraId="2FD9D328" w14:textId="77777777">
        <w:trPr>
          <w:cantSplit/>
        </w:trPr>
        <w:sdt>
          <w:sdtPr>
            <w:tag w:val="_PLD_6c8ac0907441450eac644085301d6804"/>
            <w:id w:val="1617957164"/>
          </w:sdtPr>
          <w:sdtEndPr/>
          <w:sdtContent>
            <w:tc>
              <w:tcPr>
                <w:tcW w:w="1675" w:type="pct"/>
                <w:vAlign w:val="center"/>
              </w:tcPr>
              <w:p w14:paraId="01C0D941" w14:textId="77777777" w:rsidR="00E57DAA" w:rsidRDefault="00AC4185">
                <w:pPr>
                  <w:ind w:right="105"/>
                  <w:jc w:val="center"/>
                  <w:rPr>
                    <w:szCs w:val="21"/>
                  </w:rPr>
                </w:pPr>
                <w:r>
                  <w:rPr>
                    <w:rFonts w:hint="eastAsia"/>
                    <w:szCs w:val="21"/>
                  </w:rPr>
                  <w:t>项目</w:t>
                </w:r>
              </w:p>
            </w:tc>
          </w:sdtContent>
        </w:sdt>
        <w:sdt>
          <w:sdtPr>
            <w:tag w:val="_PLD_8dab1e5e153c4b93a2d18673e1365591"/>
            <w:id w:val="-26790428"/>
          </w:sdtPr>
          <w:sdtEndPr/>
          <w:sdtContent>
            <w:tc>
              <w:tcPr>
                <w:tcW w:w="1661" w:type="pct"/>
                <w:vAlign w:val="center"/>
              </w:tcPr>
              <w:p w14:paraId="5E5B45F0" w14:textId="77777777" w:rsidR="00E57DAA" w:rsidRDefault="00AC4185">
                <w:pPr>
                  <w:jc w:val="center"/>
                  <w:rPr>
                    <w:szCs w:val="21"/>
                  </w:rPr>
                </w:pPr>
                <w:r>
                  <w:rPr>
                    <w:rFonts w:hint="eastAsia"/>
                    <w:szCs w:val="21"/>
                  </w:rPr>
                  <w:t>期末余额</w:t>
                </w:r>
              </w:p>
            </w:tc>
          </w:sdtContent>
        </w:sdt>
        <w:sdt>
          <w:sdtPr>
            <w:tag w:val="_PLD_9793c5ba001a43cb914658d949d3dcec"/>
            <w:id w:val="-1250266094"/>
          </w:sdtPr>
          <w:sdtEndPr/>
          <w:sdtContent>
            <w:tc>
              <w:tcPr>
                <w:tcW w:w="1664" w:type="pct"/>
                <w:vAlign w:val="center"/>
              </w:tcPr>
              <w:p w14:paraId="6E96F249" w14:textId="77777777" w:rsidR="00E57DAA" w:rsidRDefault="00AC4185">
                <w:pPr>
                  <w:jc w:val="center"/>
                  <w:rPr>
                    <w:szCs w:val="21"/>
                  </w:rPr>
                </w:pPr>
                <w:r>
                  <w:rPr>
                    <w:rFonts w:hint="eastAsia"/>
                    <w:szCs w:val="21"/>
                  </w:rPr>
                  <w:t>期初余额</w:t>
                </w:r>
              </w:p>
            </w:tc>
          </w:sdtContent>
        </w:sdt>
      </w:tr>
      <w:tr w:rsidR="00E57DAA" w14:paraId="4CF3F6DF" w14:textId="77777777">
        <w:trPr>
          <w:cantSplit/>
        </w:trPr>
        <w:tc>
          <w:tcPr>
            <w:tcW w:w="1675" w:type="pct"/>
            <w:shd w:val="clear" w:color="auto" w:fill="auto"/>
          </w:tcPr>
          <w:p w14:paraId="52866A17" w14:textId="77777777" w:rsidR="00E57DAA" w:rsidRDefault="00AC4185">
            <w:pPr>
              <w:ind w:right="105"/>
              <w:rPr>
                <w:szCs w:val="21"/>
              </w:rPr>
            </w:pPr>
            <w:r>
              <w:rPr>
                <w:rFonts w:hint="eastAsia"/>
                <w:szCs w:val="21"/>
              </w:rPr>
              <w:t>增值税</w:t>
            </w:r>
          </w:p>
        </w:tc>
        <w:tc>
          <w:tcPr>
            <w:tcW w:w="1661" w:type="pct"/>
            <w:shd w:val="clear" w:color="auto" w:fill="auto"/>
            <w:vAlign w:val="center"/>
          </w:tcPr>
          <w:p w14:paraId="09A0D5EA" w14:textId="77777777" w:rsidR="00E57DAA" w:rsidRDefault="00AC4185">
            <w:pPr>
              <w:ind w:right="73"/>
              <w:jc w:val="right"/>
              <w:rPr>
                <w:szCs w:val="21"/>
              </w:rPr>
            </w:pPr>
            <w:r>
              <w:t>176,444,261.44</w:t>
            </w:r>
          </w:p>
        </w:tc>
        <w:tc>
          <w:tcPr>
            <w:tcW w:w="1664" w:type="pct"/>
            <w:shd w:val="clear" w:color="auto" w:fill="auto"/>
            <w:vAlign w:val="center"/>
          </w:tcPr>
          <w:p w14:paraId="7A3B3883" w14:textId="77777777" w:rsidR="00E57DAA" w:rsidRDefault="00AC4185">
            <w:pPr>
              <w:jc w:val="right"/>
              <w:rPr>
                <w:szCs w:val="21"/>
              </w:rPr>
            </w:pPr>
            <w:r>
              <w:t>234,447,601.82</w:t>
            </w:r>
          </w:p>
        </w:tc>
      </w:tr>
      <w:tr w:rsidR="00E57DAA" w14:paraId="41631B0A" w14:textId="77777777">
        <w:trPr>
          <w:cantSplit/>
        </w:trPr>
        <w:tc>
          <w:tcPr>
            <w:tcW w:w="1675" w:type="pct"/>
            <w:shd w:val="clear" w:color="auto" w:fill="auto"/>
          </w:tcPr>
          <w:p w14:paraId="46529776" w14:textId="77777777" w:rsidR="00E57DAA" w:rsidRDefault="00AC4185">
            <w:pPr>
              <w:ind w:right="105"/>
              <w:rPr>
                <w:szCs w:val="21"/>
              </w:rPr>
            </w:pPr>
            <w:r>
              <w:rPr>
                <w:rFonts w:hint="eastAsia"/>
                <w:szCs w:val="21"/>
              </w:rPr>
              <w:t>企业所得税</w:t>
            </w:r>
          </w:p>
        </w:tc>
        <w:tc>
          <w:tcPr>
            <w:tcW w:w="1661" w:type="pct"/>
            <w:shd w:val="clear" w:color="auto" w:fill="auto"/>
            <w:vAlign w:val="center"/>
          </w:tcPr>
          <w:p w14:paraId="69896A86" w14:textId="77777777" w:rsidR="00E57DAA" w:rsidRDefault="00AC4185">
            <w:pPr>
              <w:ind w:right="73"/>
              <w:jc w:val="right"/>
              <w:rPr>
                <w:szCs w:val="21"/>
              </w:rPr>
            </w:pPr>
            <w:r>
              <w:t>382,861,816.78</w:t>
            </w:r>
          </w:p>
        </w:tc>
        <w:tc>
          <w:tcPr>
            <w:tcW w:w="1664" w:type="pct"/>
            <w:shd w:val="clear" w:color="auto" w:fill="auto"/>
            <w:vAlign w:val="center"/>
          </w:tcPr>
          <w:p w14:paraId="57C87CA8" w14:textId="77777777" w:rsidR="00E57DAA" w:rsidRDefault="00AC4185">
            <w:pPr>
              <w:jc w:val="right"/>
              <w:rPr>
                <w:szCs w:val="21"/>
              </w:rPr>
            </w:pPr>
            <w:r>
              <w:t>345,695,266.58</w:t>
            </w:r>
          </w:p>
        </w:tc>
      </w:tr>
      <w:tr w:rsidR="00E57DAA" w14:paraId="64AA22FA" w14:textId="77777777">
        <w:trPr>
          <w:cantSplit/>
        </w:trPr>
        <w:tc>
          <w:tcPr>
            <w:tcW w:w="1675" w:type="pct"/>
            <w:shd w:val="clear" w:color="auto" w:fill="auto"/>
          </w:tcPr>
          <w:p w14:paraId="12111897" w14:textId="77777777" w:rsidR="00E57DAA" w:rsidRDefault="00AC4185">
            <w:pPr>
              <w:ind w:right="105"/>
              <w:rPr>
                <w:szCs w:val="21"/>
              </w:rPr>
            </w:pPr>
            <w:r>
              <w:rPr>
                <w:rFonts w:hint="eastAsia"/>
                <w:szCs w:val="21"/>
              </w:rPr>
              <w:t>个人所得税</w:t>
            </w:r>
          </w:p>
        </w:tc>
        <w:tc>
          <w:tcPr>
            <w:tcW w:w="1661" w:type="pct"/>
            <w:shd w:val="clear" w:color="auto" w:fill="auto"/>
            <w:vAlign w:val="center"/>
          </w:tcPr>
          <w:p w14:paraId="34E9170C" w14:textId="77777777" w:rsidR="00E57DAA" w:rsidRDefault="00AC4185">
            <w:pPr>
              <w:ind w:right="73"/>
              <w:jc w:val="right"/>
              <w:rPr>
                <w:szCs w:val="21"/>
              </w:rPr>
            </w:pPr>
            <w:r>
              <w:t>32,146,244.15</w:t>
            </w:r>
          </w:p>
        </w:tc>
        <w:tc>
          <w:tcPr>
            <w:tcW w:w="1664" w:type="pct"/>
            <w:shd w:val="clear" w:color="auto" w:fill="auto"/>
            <w:vAlign w:val="center"/>
          </w:tcPr>
          <w:p w14:paraId="6D25F80E" w14:textId="77777777" w:rsidR="00E57DAA" w:rsidRDefault="00AC4185">
            <w:pPr>
              <w:jc w:val="right"/>
              <w:rPr>
                <w:szCs w:val="21"/>
              </w:rPr>
            </w:pPr>
            <w:r>
              <w:t>20,634,753.93</w:t>
            </w:r>
          </w:p>
        </w:tc>
      </w:tr>
      <w:tr w:rsidR="00E57DAA" w14:paraId="15606274" w14:textId="77777777">
        <w:trPr>
          <w:cantSplit/>
        </w:trPr>
        <w:tc>
          <w:tcPr>
            <w:tcW w:w="1675" w:type="pct"/>
            <w:shd w:val="clear" w:color="auto" w:fill="auto"/>
          </w:tcPr>
          <w:p w14:paraId="6E0CAE41" w14:textId="77777777" w:rsidR="00E57DAA" w:rsidRDefault="00AC4185">
            <w:pPr>
              <w:ind w:right="105"/>
              <w:rPr>
                <w:szCs w:val="21"/>
              </w:rPr>
            </w:pPr>
            <w:r>
              <w:rPr>
                <w:rFonts w:hint="eastAsia"/>
                <w:szCs w:val="21"/>
              </w:rPr>
              <w:t>城市维护建设税</w:t>
            </w:r>
          </w:p>
        </w:tc>
        <w:tc>
          <w:tcPr>
            <w:tcW w:w="1661" w:type="pct"/>
            <w:shd w:val="clear" w:color="auto" w:fill="auto"/>
            <w:vAlign w:val="center"/>
          </w:tcPr>
          <w:p w14:paraId="7785E0DB" w14:textId="77777777" w:rsidR="00E57DAA" w:rsidRDefault="00AC4185">
            <w:pPr>
              <w:ind w:right="73"/>
              <w:jc w:val="right"/>
              <w:rPr>
                <w:szCs w:val="21"/>
              </w:rPr>
            </w:pPr>
            <w:r>
              <w:t>5,706,460.75</w:t>
            </w:r>
          </w:p>
        </w:tc>
        <w:tc>
          <w:tcPr>
            <w:tcW w:w="1664" w:type="pct"/>
            <w:shd w:val="clear" w:color="auto" w:fill="auto"/>
            <w:vAlign w:val="center"/>
          </w:tcPr>
          <w:p w14:paraId="66102B77" w14:textId="77777777" w:rsidR="00E57DAA" w:rsidRDefault="00AC4185">
            <w:pPr>
              <w:jc w:val="right"/>
              <w:rPr>
                <w:szCs w:val="21"/>
              </w:rPr>
            </w:pPr>
            <w:r>
              <w:t>10,541,909.96</w:t>
            </w:r>
          </w:p>
        </w:tc>
      </w:tr>
      <w:tr w:rsidR="00E57DAA" w14:paraId="59821DC2" w14:textId="77777777">
        <w:trPr>
          <w:cantSplit/>
        </w:trPr>
        <w:tc>
          <w:tcPr>
            <w:tcW w:w="1675" w:type="pct"/>
          </w:tcPr>
          <w:p w14:paraId="2DADB709" w14:textId="77777777" w:rsidR="00E57DAA" w:rsidRDefault="00AC4185">
            <w:pPr>
              <w:ind w:right="105"/>
              <w:rPr>
                <w:szCs w:val="21"/>
              </w:rPr>
            </w:pPr>
            <w:r>
              <w:t>房产税</w:t>
            </w:r>
          </w:p>
        </w:tc>
        <w:tc>
          <w:tcPr>
            <w:tcW w:w="1661" w:type="pct"/>
            <w:vAlign w:val="center"/>
          </w:tcPr>
          <w:p w14:paraId="7C53A543" w14:textId="77777777" w:rsidR="00E57DAA" w:rsidRDefault="00AC4185">
            <w:pPr>
              <w:ind w:right="73"/>
              <w:jc w:val="right"/>
              <w:rPr>
                <w:szCs w:val="21"/>
              </w:rPr>
            </w:pPr>
            <w:r>
              <w:t>4,591,097.80</w:t>
            </w:r>
          </w:p>
        </w:tc>
        <w:tc>
          <w:tcPr>
            <w:tcW w:w="1664" w:type="pct"/>
            <w:vAlign w:val="center"/>
          </w:tcPr>
          <w:p w14:paraId="2FF8091B" w14:textId="77777777" w:rsidR="00E57DAA" w:rsidRDefault="00AC4185">
            <w:pPr>
              <w:jc w:val="right"/>
              <w:rPr>
                <w:szCs w:val="21"/>
              </w:rPr>
            </w:pPr>
            <w:r>
              <w:t>2,688,777.76</w:t>
            </w:r>
          </w:p>
        </w:tc>
      </w:tr>
      <w:tr w:rsidR="00E57DAA" w14:paraId="567416A0" w14:textId="77777777">
        <w:trPr>
          <w:cantSplit/>
        </w:trPr>
        <w:tc>
          <w:tcPr>
            <w:tcW w:w="1675" w:type="pct"/>
          </w:tcPr>
          <w:p w14:paraId="6FBC8A38" w14:textId="77777777" w:rsidR="00E57DAA" w:rsidRDefault="00AC4185">
            <w:pPr>
              <w:ind w:right="105"/>
              <w:rPr>
                <w:szCs w:val="21"/>
              </w:rPr>
            </w:pPr>
            <w:r>
              <w:t>土地使用税</w:t>
            </w:r>
          </w:p>
        </w:tc>
        <w:tc>
          <w:tcPr>
            <w:tcW w:w="1661" w:type="pct"/>
            <w:vAlign w:val="center"/>
          </w:tcPr>
          <w:p w14:paraId="2F0F7204" w14:textId="77777777" w:rsidR="00E57DAA" w:rsidRDefault="00AC4185">
            <w:pPr>
              <w:ind w:right="73"/>
              <w:jc w:val="right"/>
              <w:rPr>
                <w:szCs w:val="21"/>
              </w:rPr>
            </w:pPr>
            <w:r>
              <w:t>2,989,245.47</w:t>
            </w:r>
          </w:p>
        </w:tc>
        <w:tc>
          <w:tcPr>
            <w:tcW w:w="1664" w:type="pct"/>
            <w:vAlign w:val="center"/>
          </w:tcPr>
          <w:p w14:paraId="7E95DE0A" w14:textId="77777777" w:rsidR="00E57DAA" w:rsidRDefault="00AC4185">
            <w:pPr>
              <w:jc w:val="right"/>
              <w:rPr>
                <w:szCs w:val="21"/>
              </w:rPr>
            </w:pPr>
            <w:r>
              <w:t>2,842,709.25</w:t>
            </w:r>
          </w:p>
        </w:tc>
      </w:tr>
      <w:tr w:rsidR="00E57DAA" w14:paraId="64958493" w14:textId="77777777">
        <w:trPr>
          <w:cantSplit/>
        </w:trPr>
        <w:tc>
          <w:tcPr>
            <w:tcW w:w="1675" w:type="pct"/>
          </w:tcPr>
          <w:p w14:paraId="3E94CEAB" w14:textId="77777777" w:rsidR="00E57DAA" w:rsidRDefault="00AC4185">
            <w:pPr>
              <w:ind w:right="105"/>
              <w:rPr>
                <w:szCs w:val="21"/>
              </w:rPr>
            </w:pPr>
            <w:r>
              <w:t>教育费附加</w:t>
            </w:r>
          </w:p>
        </w:tc>
        <w:tc>
          <w:tcPr>
            <w:tcW w:w="1661" w:type="pct"/>
            <w:vAlign w:val="center"/>
          </w:tcPr>
          <w:p w14:paraId="6DC94817" w14:textId="77777777" w:rsidR="00E57DAA" w:rsidRDefault="00AC4185">
            <w:pPr>
              <w:ind w:right="73"/>
              <w:jc w:val="right"/>
              <w:rPr>
                <w:szCs w:val="21"/>
              </w:rPr>
            </w:pPr>
            <w:r>
              <w:t>5,071,385.26</w:t>
            </w:r>
          </w:p>
        </w:tc>
        <w:tc>
          <w:tcPr>
            <w:tcW w:w="1664" w:type="pct"/>
            <w:vAlign w:val="center"/>
          </w:tcPr>
          <w:p w14:paraId="5DDF8F9E" w14:textId="77777777" w:rsidR="00E57DAA" w:rsidRDefault="00AC4185">
            <w:pPr>
              <w:jc w:val="right"/>
              <w:rPr>
                <w:szCs w:val="21"/>
              </w:rPr>
            </w:pPr>
            <w:r>
              <w:t>6,122,034.34</w:t>
            </w:r>
          </w:p>
        </w:tc>
      </w:tr>
      <w:tr w:rsidR="00E57DAA" w14:paraId="135FBE6D" w14:textId="77777777">
        <w:trPr>
          <w:cantSplit/>
        </w:trPr>
        <w:tc>
          <w:tcPr>
            <w:tcW w:w="1675" w:type="pct"/>
          </w:tcPr>
          <w:p w14:paraId="570BF5FC" w14:textId="77777777" w:rsidR="00E57DAA" w:rsidRDefault="00AC4185">
            <w:pPr>
              <w:ind w:right="105"/>
              <w:rPr>
                <w:szCs w:val="21"/>
              </w:rPr>
            </w:pPr>
            <w:r>
              <w:t>其他</w:t>
            </w:r>
          </w:p>
        </w:tc>
        <w:tc>
          <w:tcPr>
            <w:tcW w:w="1661" w:type="pct"/>
            <w:vAlign w:val="center"/>
          </w:tcPr>
          <w:p w14:paraId="00E8A4AF" w14:textId="77777777" w:rsidR="00E57DAA" w:rsidRDefault="00AC4185">
            <w:pPr>
              <w:ind w:right="73"/>
              <w:jc w:val="right"/>
              <w:rPr>
                <w:szCs w:val="21"/>
              </w:rPr>
            </w:pPr>
            <w:r>
              <w:t>16,384,764.74</w:t>
            </w:r>
          </w:p>
        </w:tc>
        <w:tc>
          <w:tcPr>
            <w:tcW w:w="1664" w:type="pct"/>
            <w:vAlign w:val="center"/>
          </w:tcPr>
          <w:p w14:paraId="780282C5" w14:textId="77777777" w:rsidR="00E57DAA" w:rsidRDefault="00AC4185">
            <w:pPr>
              <w:jc w:val="right"/>
              <w:rPr>
                <w:szCs w:val="21"/>
              </w:rPr>
            </w:pPr>
            <w:r>
              <w:t>18,066,086.96</w:t>
            </w:r>
          </w:p>
        </w:tc>
      </w:tr>
      <w:tr w:rsidR="00E57DAA" w14:paraId="52AD8C51" w14:textId="77777777">
        <w:trPr>
          <w:cantSplit/>
        </w:trPr>
        <w:tc>
          <w:tcPr>
            <w:tcW w:w="1675" w:type="pct"/>
            <w:vAlign w:val="center"/>
          </w:tcPr>
          <w:p w14:paraId="5B19082E" w14:textId="77777777" w:rsidR="00E57DAA" w:rsidRDefault="00AC4185">
            <w:pPr>
              <w:ind w:right="105"/>
              <w:jc w:val="center"/>
              <w:rPr>
                <w:szCs w:val="21"/>
              </w:rPr>
            </w:pPr>
            <w:r>
              <w:rPr>
                <w:rFonts w:hint="eastAsia"/>
                <w:szCs w:val="21"/>
              </w:rPr>
              <w:t>合计</w:t>
            </w:r>
          </w:p>
        </w:tc>
        <w:tc>
          <w:tcPr>
            <w:tcW w:w="1661" w:type="pct"/>
            <w:vAlign w:val="center"/>
          </w:tcPr>
          <w:p w14:paraId="6A5BA978" w14:textId="77777777" w:rsidR="00E57DAA" w:rsidRDefault="00AC4185">
            <w:pPr>
              <w:ind w:right="73"/>
              <w:jc w:val="right"/>
              <w:rPr>
                <w:szCs w:val="21"/>
              </w:rPr>
            </w:pPr>
            <w:r>
              <w:t>626,195,276.39</w:t>
            </w:r>
          </w:p>
        </w:tc>
        <w:tc>
          <w:tcPr>
            <w:tcW w:w="1664" w:type="pct"/>
            <w:vAlign w:val="center"/>
          </w:tcPr>
          <w:p w14:paraId="59815BD9" w14:textId="77777777" w:rsidR="00E57DAA" w:rsidRDefault="00AC4185">
            <w:pPr>
              <w:jc w:val="right"/>
              <w:rPr>
                <w:szCs w:val="21"/>
              </w:rPr>
            </w:pPr>
            <w:r>
              <w:t>641,039,140.60</w:t>
            </w:r>
          </w:p>
        </w:tc>
      </w:tr>
    </w:tbl>
    <w:p w14:paraId="66ECDC43" w14:textId="77777777" w:rsidR="00E57DAA" w:rsidRDefault="00E57DAA" w:rsidP="00C25422">
      <w:pPr>
        <w:pStyle w:val="92"/>
      </w:pPr>
    </w:p>
    <w:p w14:paraId="27CAD234" w14:textId="77777777" w:rsidR="00E57DAA" w:rsidRDefault="00E57DAA">
      <w:pPr>
        <w:rPr>
          <w:szCs w:val="21"/>
        </w:rPr>
      </w:pPr>
    </w:p>
    <w:p w14:paraId="2AEEE2E5" w14:textId="77777777" w:rsidR="00E57DAA" w:rsidRDefault="00AC4185" w:rsidP="00C25422">
      <w:pPr>
        <w:pStyle w:val="91"/>
        <w:numPr>
          <w:ilvl w:val="0"/>
          <w:numId w:val="69"/>
        </w:numPr>
      </w:pPr>
      <w:r>
        <w:rPr>
          <w:rFonts w:hint="eastAsia"/>
        </w:rPr>
        <w:t>其他应付款</w:t>
      </w:r>
    </w:p>
    <w:p w14:paraId="2983220A" w14:textId="77777777" w:rsidR="00E57DAA" w:rsidRDefault="00AC4185">
      <w:pPr>
        <w:pStyle w:val="4"/>
        <w:numPr>
          <w:ilvl w:val="0"/>
          <w:numId w:val="97"/>
        </w:numPr>
      </w:pPr>
      <w:r>
        <w:rPr>
          <w:rFonts w:hint="eastAsia"/>
        </w:rPr>
        <w:t>项目列示</w:t>
      </w:r>
    </w:p>
    <w:bookmarkStart w:id="277" w:name="_Hlk532910042" w:displacedByCustomXml="next"/>
    <w:sdt>
      <w:sdtPr>
        <w:alias w:val="是否适用：其他应付款分类列示[双击切换]"/>
        <w:tag w:val="_GBC_66f20e30acfe43c3b4edf860d086ad10"/>
        <w:id w:val="840439935"/>
        <w:placeholder>
          <w:docPart w:val="GBC22222222222222222222222222222"/>
        </w:placeholder>
      </w:sdtPr>
      <w:sdtEndPr/>
      <w:sdtContent>
        <w:p w14:paraId="26BDB1F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617D37" w14:textId="77777777" w:rsidR="00E57DAA" w:rsidRDefault="00AC4185">
      <w:pPr>
        <w:jc w:val="right"/>
        <w:rPr>
          <w:szCs w:val="21"/>
        </w:rPr>
      </w:pPr>
      <w:r>
        <w:rPr>
          <w:rFonts w:hint="eastAsia"/>
          <w:szCs w:val="21"/>
        </w:rPr>
        <w:t>单位：</w:t>
      </w:r>
      <w:sdt>
        <w:sdtPr>
          <w:rPr>
            <w:rFonts w:hint="eastAsia"/>
            <w:szCs w:val="21"/>
          </w:rPr>
          <w:alias w:val="单位：其他应付款分类列示"/>
          <w:tag w:val="_GBC_1d2c755c7a60470390b86f677f589d52"/>
          <w:id w:val="1306813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6223788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E57DAA" w14:paraId="1808BDE6" w14:textId="77777777">
        <w:sdt>
          <w:sdtPr>
            <w:tag w:val="_PLD_5b32323c48c441e4832da1fe28654990"/>
            <w:id w:val="1114719590"/>
          </w:sdtPr>
          <w:sdtEndPr/>
          <w:sdtContent>
            <w:tc>
              <w:tcPr>
                <w:tcW w:w="1828" w:type="pct"/>
                <w:shd w:val="clear" w:color="auto" w:fill="auto"/>
                <w:vAlign w:val="center"/>
              </w:tcPr>
              <w:p w14:paraId="750D8610"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278708441"/>
          </w:sdtPr>
          <w:sdtEndPr/>
          <w:sdtContent>
            <w:tc>
              <w:tcPr>
                <w:tcW w:w="1582" w:type="pct"/>
                <w:shd w:val="clear" w:color="auto" w:fill="auto"/>
                <w:vAlign w:val="center"/>
              </w:tcPr>
              <w:p w14:paraId="22DD00E9" w14:textId="77777777" w:rsidR="00E57DAA" w:rsidRDefault="00AC4185">
                <w:pPr>
                  <w:jc w:val="center"/>
                  <w:rPr>
                    <w:szCs w:val="21"/>
                  </w:rPr>
                </w:pPr>
                <w:r>
                  <w:rPr>
                    <w:rFonts w:hint="eastAsia"/>
                    <w:szCs w:val="21"/>
                  </w:rPr>
                  <w:t>期末余额</w:t>
                </w:r>
              </w:p>
            </w:tc>
          </w:sdtContent>
        </w:sdt>
        <w:sdt>
          <w:sdtPr>
            <w:tag w:val="_PLD_963dd0fff1a644319fa667127e37c635"/>
            <w:id w:val="-1378923799"/>
          </w:sdtPr>
          <w:sdtEndPr/>
          <w:sdtContent>
            <w:tc>
              <w:tcPr>
                <w:tcW w:w="1590" w:type="pct"/>
                <w:shd w:val="clear" w:color="auto" w:fill="auto"/>
                <w:vAlign w:val="center"/>
              </w:tcPr>
              <w:p w14:paraId="1378B01B" w14:textId="77777777" w:rsidR="00E57DAA" w:rsidRDefault="00AC4185">
                <w:pPr>
                  <w:jc w:val="center"/>
                  <w:rPr>
                    <w:szCs w:val="21"/>
                  </w:rPr>
                </w:pPr>
                <w:r>
                  <w:rPr>
                    <w:rFonts w:hint="eastAsia"/>
                    <w:szCs w:val="21"/>
                  </w:rPr>
                  <w:t>期初余额</w:t>
                </w:r>
              </w:p>
            </w:tc>
          </w:sdtContent>
        </w:sdt>
      </w:tr>
      <w:tr w:rsidR="00E57DAA" w14:paraId="3015D540" w14:textId="77777777">
        <w:tc>
          <w:tcPr>
            <w:tcW w:w="1828" w:type="pct"/>
            <w:shd w:val="clear" w:color="auto" w:fill="auto"/>
          </w:tcPr>
          <w:p w14:paraId="2269DBFA"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tc>
          <w:tcPr>
            <w:tcW w:w="1582" w:type="pct"/>
            <w:shd w:val="clear" w:color="auto" w:fill="auto"/>
            <w:vAlign w:val="center"/>
          </w:tcPr>
          <w:p w14:paraId="5228BADE" w14:textId="77777777" w:rsidR="00E57DAA" w:rsidRDefault="00E57DAA">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vAlign w:val="center"/>
          </w:tcPr>
          <w:p w14:paraId="7F95C790" w14:textId="77777777" w:rsidR="00E57DAA" w:rsidRDefault="00E57DAA">
            <w:pPr>
              <w:tabs>
                <w:tab w:val="right" w:pos="3690"/>
                <w:tab w:val="right" w:pos="5130"/>
                <w:tab w:val="right" w:pos="6030"/>
                <w:tab w:val="right" w:pos="7650"/>
                <w:tab w:val="right" w:pos="9270"/>
              </w:tabs>
              <w:adjustRightInd w:val="0"/>
              <w:snapToGrid w:val="0"/>
              <w:jc w:val="right"/>
              <w:rPr>
                <w:szCs w:val="21"/>
              </w:rPr>
            </w:pPr>
          </w:p>
        </w:tc>
      </w:tr>
      <w:tr w:rsidR="00E57DAA" w14:paraId="3C234451" w14:textId="77777777">
        <w:tc>
          <w:tcPr>
            <w:tcW w:w="1828" w:type="pct"/>
            <w:shd w:val="clear" w:color="auto" w:fill="auto"/>
          </w:tcPr>
          <w:p w14:paraId="50A2CE7E"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tc>
          <w:tcPr>
            <w:tcW w:w="1582" w:type="pct"/>
            <w:shd w:val="clear" w:color="auto" w:fill="auto"/>
            <w:vAlign w:val="center"/>
          </w:tcPr>
          <w:p w14:paraId="10D8943D"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363,482,902.39</w:t>
            </w:r>
          </w:p>
        </w:tc>
        <w:tc>
          <w:tcPr>
            <w:tcW w:w="1590" w:type="pct"/>
            <w:shd w:val="clear" w:color="auto" w:fill="auto"/>
            <w:vAlign w:val="center"/>
          </w:tcPr>
          <w:p w14:paraId="5FBBA12E"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416,292,917.26</w:t>
            </w:r>
          </w:p>
        </w:tc>
      </w:tr>
      <w:tr w:rsidR="00E57DAA" w14:paraId="5DB015FB" w14:textId="77777777">
        <w:tc>
          <w:tcPr>
            <w:tcW w:w="1828" w:type="pct"/>
            <w:shd w:val="clear" w:color="auto" w:fill="auto"/>
          </w:tcPr>
          <w:p w14:paraId="3000B2C4"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tc>
          <w:tcPr>
            <w:tcW w:w="1582" w:type="pct"/>
            <w:shd w:val="clear" w:color="auto" w:fill="auto"/>
            <w:vAlign w:val="center"/>
          </w:tcPr>
          <w:p w14:paraId="25D6CCCA"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2,056,654,180.42</w:t>
            </w:r>
          </w:p>
        </w:tc>
        <w:tc>
          <w:tcPr>
            <w:tcW w:w="1590" w:type="pct"/>
            <w:shd w:val="clear" w:color="auto" w:fill="auto"/>
            <w:vAlign w:val="center"/>
          </w:tcPr>
          <w:p w14:paraId="3C7B3514"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2,214,408,064.88</w:t>
            </w:r>
          </w:p>
        </w:tc>
      </w:tr>
      <w:tr w:rsidR="00E57DAA" w14:paraId="63EC3672" w14:textId="77777777">
        <w:tc>
          <w:tcPr>
            <w:tcW w:w="1828" w:type="pct"/>
            <w:shd w:val="clear" w:color="auto" w:fill="auto"/>
          </w:tcPr>
          <w:p w14:paraId="47483698"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1582" w:type="pct"/>
            <w:shd w:val="clear" w:color="auto" w:fill="auto"/>
            <w:vAlign w:val="center"/>
          </w:tcPr>
          <w:p w14:paraId="38633B16"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2,420,137,082.81</w:t>
            </w:r>
          </w:p>
        </w:tc>
        <w:tc>
          <w:tcPr>
            <w:tcW w:w="1590" w:type="pct"/>
            <w:shd w:val="clear" w:color="auto" w:fill="auto"/>
            <w:vAlign w:val="center"/>
          </w:tcPr>
          <w:p w14:paraId="51DE9AF9"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2,630,700,982.14</w:t>
            </w:r>
          </w:p>
        </w:tc>
      </w:tr>
    </w:tbl>
    <w:p w14:paraId="77F19425" w14:textId="77777777" w:rsidR="00E57DAA" w:rsidRDefault="00E57DAA" w:rsidP="00C25422">
      <w:pPr>
        <w:pStyle w:val="92"/>
      </w:pPr>
    </w:p>
    <w:p w14:paraId="09CD3C64" w14:textId="77777777" w:rsidR="00E57DAA" w:rsidRDefault="00AC4185">
      <w:pPr>
        <w:rPr>
          <w:szCs w:val="21"/>
        </w:rPr>
      </w:pPr>
      <w:r>
        <w:rPr>
          <w:rFonts w:hint="eastAsia"/>
          <w:szCs w:val="21"/>
        </w:rPr>
        <w:t>其他说明：</w:t>
      </w:r>
    </w:p>
    <w:bookmarkStart w:id="278" w:name="_Hlk155097683" w:displacedByCustomXml="next"/>
    <w:sdt>
      <w:sdtPr>
        <w:rPr>
          <w:szCs w:val="21"/>
        </w:rPr>
        <w:alias w:val="是否适用：其他应付款分类列示其他说明[双击切换]"/>
        <w:tag w:val="_GBC_9cfb2316deee44a8a3605ab376f15408"/>
        <w:id w:val="649334401"/>
        <w:placeholder>
          <w:docPart w:val="GBC22222222222222222222222222222"/>
        </w:placeholder>
      </w:sdtPr>
      <w:sdtEndPr/>
      <w:sdtContent>
        <w:p w14:paraId="2192800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其他应付款分类列示其他说明"/>
        <w:tag w:val="_GBC_168257a02f834573a7c0f715301ce223"/>
        <w:id w:val="-1482771563"/>
        <w:placeholder>
          <w:docPart w:val="GBC22222222222222222222222222222"/>
        </w:placeholder>
      </w:sdtPr>
      <w:sdtEndPr/>
      <w:sdtContent>
        <w:p w14:paraId="0C455845" w14:textId="77777777" w:rsidR="00E57DAA" w:rsidRDefault="00AC4185" w:rsidP="00C25422">
          <w:pPr>
            <w:pStyle w:val="92"/>
          </w:pPr>
          <w:r>
            <w:rPr>
              <w:rFonts w:hint="eastAsia"/>
            </w:rPr>
            <w:t>注：上表中其他应付款指扣除应付利息、应付股利后的其他应付款。</w:t>
          </w:r>
        </w:p>
      </w:sdtContent>
    </w:sdt>
    <w:p w14:paraId="5B58017E" w14:textId="77777777" w:rsidR="00E57DAA" w:rsidRDefault="00E57DAA" w:rsidP="00C25422">
      <w:pPr>
        <w:pStyle w:val="92"/>
      </w:pPr>
    </w:p>
    <w:p w14:paraId="5A3E21FA" w14:textId="77777777" w:rsidR="00E57DAA" w:rsidRDefault="00AC4185">
      <w:pPr>
        <w:pStyle w:val="4"/>
        <w:numPr>
          <w:ilvl w:val="0"/>
          <w:numId w:val="97"/>
        </w:numPr>
        <w:rPr>
          <w:rFonts w:ascii="宋体" w:eastAsia="宋体" w:hAnsi="宋体" w:cs="宋体"/>
          <w:kern w:val="0"/>
          <w:szCs w:val="24"/>
        </w:rPr>
      </w:pPr>
      <w:r>
        <w:rPr>
          <w:rFonts w:ascii="宋体" w:eastAsia="宋体" w:hAnsi="宋体" w:cs="宋体" w:hint="eastAsia"/>
          <w:kern w:val="0"/>
          <w:szCs w:val="24"/>
        </w:rPr>
        <w:t>应付利息</w:t>
      </w:r>
    </w:p>
    <w:p w14:paraId="1CAA608B" w14:textId="77777777" w:rsidR="00E57DAA" w:rsidRDefault="00AC4185" w:rsidP="00C25422">
      <w:pPr>
        <w:pStyle w:val="92"/>
      </w:pPr>
      <w:r>
        <w:rPr>
          <w:rFonts w:hint="eastAsia"/>
        </w:rPr>
        <w:t>分类列示</w:t>
      </w:r>
    </w:p>
    <w:sdt>
      <w:sdtPr>
        <w:alias w:val="是否适用：应付利息[双击切换]"/>
        <w:tag w:val="_GBC_563016e83d32408f90ee8ae140b7dccd"/>
        <w:id w:val="-1094320833"/>
        <w:placeholder>
          <w:docPart w:val="GBC22222222222222222222222222222"/>
        </w:placeholder>
      </w:sdtPr>
      <w:sdtEndPr/>
      <w:sdtContent>
        <w:p w14:paraId="4F467D7A"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488803" w14:textId="77777777" w:rsidR="00E57DAA" w:rsidRDefault="00E57DAA">
      <w:pPr>
        <w:rPr>
          <w:szCs w:val="21"/>
        </w:rPr>
      </w:pPr>
    </w:p>
    <w:p w14:paraId="1F96BB00" w14:textId="77777777" w:rsidR="00E57DAA" w:rsidRDefault="00AC4185">
      <w:pPr>
        <w:rPr>
          <w:szCs w:val="21"/>
        </w:rPr>
      </w:pPr>
      <w:r>
        <w:rPr>
          <w:rFonts w:hint="eastAsia"/>
          <w:szCs w:val="21"/>
        </w:rPr>
        <w:t>逾期的重要应付利息：</w:t>
      </w:r>
    </w:p>
    <w:sdt>
      <w:sdtPr>
        <w:rPr>
          <w:szCs w:val="21"/>
        </w:rPr>
        <w:alias w:val="是否适用：重要的已逾期未支付的利息情况[双击切换]"/>
        <w:tag w:val="_GBC_e97342df449a4b51897b93180a76915c"/>
        <w:id w:val="-983612271"/>
        <w:placeholder>
          <w:docPart w:val="GBC22222222222222222222222222222"/>
        </w:placeholder>
      </w:sdtPr>
      <w:sdtEndPr/>
      <w:sdtContent>
        <w:p w14:paraId="7490B5A8"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95D2E2" w14:textId="77777777" w:rsidR="00E57DAA" w:rsidRDefault="00E57DAA">
      <w:pPr>
        <w:rPr>
          <w:szCs w:val="21"/>
        </w:rPr>
      </w:pPr>
    </w:p>
    <w:p w14:paraId="04C814D4" w14:textId="77777777" w:rsidR="00E57DAA" w:rsidRDefault="00AC4185">
      <w:pPr>
        <w:spacing w:before="60" w:after="60"/>
        <w:rPr>
          <w:szCs w:val="21"/>
        </w:rPr>
      </w:pPr>
      <w:r>
        <w:rPr>
          <w:rFonts w:hint="eastAsia"/>
          <w:szCs w:val="21"/>
        </w:rPr>
        <w:t>其他说明：</w:t>
      </w:r>
    </w:p>
    <w:sdt>
      <w:sdtPr>
        <w:rPr>
          <w:szCs w:val="21"/>
        </w:rPr>
        <w:alias w:val="是否适用：应付利息说明[双击切换]"/>
        <w:tag w:val="_GBC_8e7eb675343843e89996290865d02478"/>
        <w:id w:val="-982158764"/>
        <w:placeholder>
          <w:docPart w:val="GBC22222222222222222222222222222"/>
        </w:placeholder>
      </w:sdtPr>
      <w:sdtEndPr/>
      <w:sdtContent>
        <w:p w14:paraId="0AD3ABB6" w14:textId="77777777" w:rsidR="00E57DAA" w:rsidRDefault="00AC418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6F1C69" w14:textId="77777777" w:rsidR="00E57DAA" w:rsidRDefault="00E57DAA">
      <w:pPr>
        <w:rPr>
          <w:szCs w:val="21"/>
        </w:rPr>
      </w:pPr>
    </w:p>
    <w:p w14:paraId="42A1EA4C" w14:textId="77777777" w:rsidR="00E57DAA" w:rsidRDefault="00AC4185">
      <w:pPr>
        <w:pStyle w:val="4"/>
        <w:numPr>
          <w:ilvl w:val="0"/>
          <w:numId w:val="97"/>
        </w:numPr>
        <w:rPr>
          <w:rFonts w:ascii="宋体" w:eastAsia="宋体" w:hAnsi="宋体" w:cs="宋体"/>
          <w:kern w:val="0"/>
          <w:szCs w:val="24"/>
        </w:rPr>
      </w:pPr>
      <w:r>
        <w:rPr>
          <w:rFonts w:ascii="宋体" w:eastAsia="宋体" w:hAnsi="宋体" w:cs="宋体" w:hint="eastAsia"/>
          <w:kern w:val="0"/>
          <w:szCs w:val="24"/>
        </w:rPr>
        <w:t>应付股利</w:t>
      </w:r>
    </w:p>
    <w:p w14:paraId="58A62CB7" w14:textId="77777777" w:rsidR="00E57DAA" w:rsidRDefault="00AC4185" w:rsidP="00C25422">
      <w:pPr>
        <w:pStyle w:val="92"/>
      </w:pPr>
      <w:r>
        <w:rPr>
          <w:rFonts w:hint="eastAsia"/>
        </w:rPr>
        <w:t>分类列示</w:t>
      </w:r>
    </w:p>
    <w:sdt>
      <w:sdtPr>
        <w:alias w:val="是否适用：应付股利[双击切换]"/>
        <w:tag w:val="_GBC_b5ae3881f6d849679d4053b7e1707366"/>
        <w:id w:val="1712154007"/>
        <w:placeholder>
          <w:docPart w:val="GBC22222222222222222222222222222"/>
        </w:placeholder>
      </w:sdtPr>
      <w:sdtEndPr/>
      <w:sdtContent>
        <w:p w14:paraId="7A0E50C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3DDC81" w14:textId="77777777" w:rsidR="00E57DAA" w:rsidRDefault="00AC4185">
      <w:pPr>
        <w:jc w:val="right"/>
        <w:rPr>
          <w:szCs w:val="21"/>
        </w:rPr>
      </w:pPr>
      <w:r>
        <w:rPr>
          <w:rFonts w:hint="eastAsia"/>
          <w:szCs w:val="21"/>
        </w:rPr>
        <w:t>单位：</w:t>
      </w:r>
      <w:sdt>
        <w:sdtPr>
          <w:rPr>
            <w:rFonts w:hint="eastAsia"/>
            <w:szCs w:val="21"/>
          </w:rPr>
          <w:alias w:val="单位：财务附注：应付股利"/>
          <w:tag w:val="_GBC_746e24ac62424d15a96488b86eb826bf"/>
          <w:id w:val="-12993653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c18d5382c5f94daeb6547452b4d37f05"/>
          <w:id w:val="969895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835"/>
        <w:gridCol w:w="2993"/>
        <w:gridCol w:w="2995"/>
      </w:tblGrid>
      <w:tr w:rsidR="00E57DAA" w14:paraId="53645410" w14:textId="77777777">
        <w:trPr>
          <w:cantSplit/>
        </w:trPr>
        <w:sdt>
          <w:sdtPr>
            <w:tag w:val="_PLD_88e24e44527e4710873d9194ba96a0df"/>
            <w:id w:val="1196125110"/>
          </w:sdtPr>
          <w:sdtEndPr/>
          <w:sdtContent>
            <w:tc>
              <w:tcPr>
                <w:tcW w:w="1607" w:type="pct"/>
              </w:tcPr>
              <w:p w14:paraId="6A40FE3A" w14:textId="77777777" w:rsidR="00E57DAA" w:rsidRDefault="00AC4185">
                <w:pPr>
                  <w:ind w:right="105"/>
                  <w:jc w:val="center"/>
                  <w:rPr>
                    <w:szCs w:val="21"/>
                  </w:rPr>
                </w:pPr>
                <w:r>
                  <w:rPr>
                    <w:rFonts w:hint="eastAsia"/>
                    <w:szCs w:val="21"/>
                  </w:rPr>
                  <w:t>项目</w:t>
                </w:r>
              </w:p>
            </w:tc>
          </w:sdtContent>
        </w:sdt>
        <w:sdt>
          <w:sdtPr>
            <w:tag w:val="_PLD_af903224d39d4058972c7eba8a903356"/>
            <w:id w:val="-2031103318"/>
          </w:sdtPr>
          <w:sdtEndPr/>
          <w:sdtContent>
            <w:tc>
              <w:tcPr>
                <w:tcW w:w="1696" w:type="pct"/>
              </w:tcPr>
              <w:p w14:paraId="5A65EE34" w14:textId="77777777" w:rsidR="00E57DAA" w:rsidRDefault="00AC4185">
                <w:pPr>
                  <w:jc w:val="center"/>
                  <w:rPr>
                    <w:szCs w:val="21"/>
                  </w:rPr>
                </w:pPr>
                <w:r>
                  <w:rPr>
                    <w:rFonts w:hint="eastAsia"/>
                    <w:szCs w:val="21"/>
                  </w:rPr>
                  <w:t>期末余额</w:t>
                </w:r>
              </w:p>
            </w:tc>
          </w:sdtContent>
        </w:sdt>
        <w:sdt>
          <w:sdtPr>
            <w:tag w:val="_PLD_11459cf9081a4b309da14403cad71071"/>
            <w:id w:val="556126215"/>
          </w:sdtPr>
          <w:sdtEndPr/>
          <w:sdtContent>
            <w:tc>
              <w:tcPr>
                <w:tcW w:w="1697" w:type="pct"/>
              </w:tcPr>
              <w:p w14:paraId="137039C1" w14:textId="77777777" w:rsidR="00E57DAA" w:rsidRDefault="00AC4185">
                <w:pPr>
                  <w:jc w:val="center"/>
                  <w:rPr>
                    <w:szCs w:val="21"/>
                  </w:rPr>
                </w:pPr>
                <w:r>
                  <w:rPr>
                    <w:rFonts w:hint="eastAsia"/>
                    <w:szCs w:val="21"/>
                  </w:rPr>
                  <w:t>期初余额</w:t>
                </w:r>
              </w:p>
            </w:tc>
          </w:sdtContent>
        </w:sdt>
      </w:tr>
      <w:tr w:rsidR="00E57DAA" w14:paraId="6B403B77" w14:textId="77777777">
        <w:trPr>
          <w:cantSplit/>
        </w:trPr>
        <w:tc>
          <w:tcPr>
            <w:tcW w:w="1607" w:type="pct"/>
          </w:tcPr>
          <w:p w14:paraId="4AF9D76F" w14:textId="77777777" w:rsidR="00E57DAA" w:rsidRDefault="00AC4185">
            <w:pPr>
              <w:ind w:right="105"/>
              <w:rPr>
                <w:szCs w:val="21"/>
              </w:rPr>
            </w:pPr>
            <w:r>
              <w:rPr>
                <w:rFonts w:hint="eastAsia"/>
                <w:szCs w:val="21"/>
              </w:rPr>
              <w:t>普通股股利</w:t>
            </w:r>
          </w:p>
        </w:tc>
        <w:tc>
          <w:tcPr>
            <w:tcW w:w="1696" w:type="pct"/>
            <w:vAlign w:val="center"/>
          </w:tcPr>
          <w:p w14:paraId="6DCA8D32" w14:textId="77777777" w:rsidR="00E57DAA" w:rsidRDefault="00AC4185">
            <w:pPr>
              <w:ind w:right="73"/>
              <w:jc w:val="right"/>
              <w:rPr>
                <w:szCs w:val="21"/>
              </w:rPr>
            </w:pPr>
            <w:r>
              <w:t>363,482,902.39</w:t>
            </w:r>
          </w:p>
        </w:tc>
        <w:tc>
          <w:tcPr>
            <w:tcW w:w="1697" w:type="pct"/>
            <w:vAlign w:val="center"/>
          </w:tcPr>
          <w:p w14:paraId="0E97A922" w14:textId="77777777" w:rsidR="00E57DAA" w:rsidRDefault="00AC4185">
            <w:pPr>
              <w:ind w:right="73"/>
              <w:jc w:val="right"/>
              <w:rPr>
                <w:szCs w:val="21"/>
              </w:rPr>
            </w:pPr>
            <w:r>
              <w:t>416,292,917.26</w:t>
            </w:r>
          </w:p>
        </w:tc>
      </w:tr>
      <w:tr w:rsidR="00E57DAA" w14:paraId="1518EE2D" w14:textId="77777777">
        <w:trPr>
          <w:cantSplit/>
        </w:trPr>
        <w:tc>
          <w:tcPr>
            <w:tcW w:w="1607" w:type="pct"/>
          </w:tcPr>
          <w:p w14:paraId="1A363453" w14:textId="77777777" w:rsidR="00E57DAA" w:rsidRDefault="00AC4185">
            <w:pPr>
              <w:ind w:right="105"/>
              <w:jc w:val="center"/>
              <w:rPr>
                <w:color w:val="000000" w:themeColor="text1"/>
                <w:szCs w:val="21"/>
              </w:rPr>
            </w:pPr>
            <w:r>
              <w:rPr>
                <w:rFonts w:hint="eastAsia"/>
                <w:color w:val="000000" w:themeColor="text1"/>
                <w:szCs w:val="21"/>
              </w:rPr>
              <w:t>合计</w:t>
            </w:r>
          </w:p>
        </w:tc>
        <w:tc>
          <w:tcPr>
            <w:tcW w:w="1696" w:type="pct"/>
            <w:vAlign w:val="center"/>
          </w:tcPr>
          <w:p w14:paraId="2C8223CD" w14:textId="77777777" w:rsidR="00E57DAA" w:rsidRDefault="00AC4185">
            <w:pPr>
              <w:ind w:right="73"/>
              <w:jc w:val="right"/>
              <w:rPr>
                <w:szCs w:val="21"/>
              </w:rPr>
            </w:pPr>
            <w:r>
              <w:t>363,482,902.39</w:t>
            </w:r>
          </w:p>
        </w:tc>
        <w:tc>
          <w:tcPr>
            <w:tcW w:w="1697" w:type="pct"/>
            <w:vAlign w:val="center"/>
          </w:tcPr>
          <w:p w14:paraId="17A44C89" w14:textId="77777777" w:rsidR="00E57DAA" w:rsidRDefault="00AC4185">
            <w:pPr>
              <w:ind w:right="73"/>
              <w:jc w:val="right"/>
              <w:rPr>
                <w:szCs w:val="21"/>
              </w:rPr>
            </w:pPr>
            <w:r>
              <w:t>416,292,917.26</w:t>
            </w:r>
          </w:p>
        </w:tc>
      </w:tr>
    </w:tbl>
    <w:p w14:paraId="7875F5FB" w14:textId="77777777" w:rsidR="00E57DAA" w:rsidRDefault="00E57DAA">
      <w:pPr>
        <w:snapToGrid w:val="0"/>
        <w:rPr>
          <w:szCs w:val="21"/>
        </w:rPr>
      </w:pPr>
    </w:p>
    <w:p w14:paraId="606AA2E1" w14:textId="77777777" w:rsidR="00E57DAA" w:rsidRDefault="00AC4185">
      <w:pPr>
        <w:pStyle w:val="4"/>
        <w:numPr>
          <w:ilvl w:val="0"/>
          <w:numId w:val="97"/>
        </w:numPr>
        <w:rPr>
          <w:rFonts w:ascii="宋体" w:eastAsia="宋体" w:hAnsi="宋体" w:cs="宋体"/>
          <w:kern w:val="0"/>
          <w:szCs w:val="24"/>
        </w:rPr>
      </w:pPr>
      <w:r>
        <w:rPr>
          <w:rFonts w:ascii="宋体" w:eastAsia="宋体" w:hAnsi="宋体" w:cs="宋体" w:hint="eastAsia"/>
          <w:kern w:val="0"/>
          <w:szCs w:val="24"/>
        </w:rPr>
        <w:t>其他应付款</w:t>
      </w:r>
    </w:p>
    <w:p w14:paraId="75F785F3" w14:textId="77777777" w:rsidR="00E57DAA" w:rsidRDefault="00AC4185" w:rsidP="00C25422">
      <w:pPr>
        <w:pStyle w:val="92"/>
      </w:pPr>
      <w:r>
        <w:rPr>
          <w:rFonts w:hint="eastAsia"/>
        </w:rPr>
        <w:t>按款项性质列示其他应付款</w:t>
      </w:r>
    </w:p>
    <w:sdt>
      <w:sdtPr>
        <w:alias w:val="是否适用：按款项性质列示其他应付款[双击切换]"/>
        <w:tag w:val="_GBC_57fbe084a94a43569e8618c84187e188"/>
        <w:id w:val="110558866"/>
        <w:placeholder>
          <w:docPart w:val="GBC22222222222222222222222222222"/>
        </w:placeholder>
      </w:sdtPr>
      <w:sdtEndPr/>
      <w:sdtContent>
        <w:p w14:paraId="33DAB0EA"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C1E1BD" w14:textId="77777777" w:rsidR="00E57DAA" w:rsidRDefault="00AC4185">
      <w:pPr>
        <w:jc w:val="right"/>
        <w:rPr>
          <w:szCs w:val="21"/>
        </w:rPr>
      </w:pPr>
      <w:r>
        <w:rPr>
          <w:rFonts w:hint="eastAsia"/>
          <w:szCs w:val="21"/>
        </w:rPr>
        <w:t>单位：</w:t>
      </w:r>
      <w:sdt>
        <w:sdtPr>
          <w:rPr>
            <w:rFonts w:hint="eastAsia"/>
            <w:szCs w:val="21"/>
          </w:rPr>
          <w:alias w:val="单位：财务附注：其他应付款情况"/>
          <w:tag w:val="_GBC_d726e1428c6749b29d7f0a192835a738"/>
          <w:id w:val="-14598715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6d5ce55cea54bfdb348f465f935498d"/>
          <w:id w:val="7892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0"/>
        <w:gridCol w:w="2924"/>
        <w:gridCol w:w="3049"/>
      </w:tblGrid>
      <w:tr w:rsidR="00E57DAA" w14:paraId="5612AECE" w14:textId="77777777">
        <w:sdt>
          <w:sdtPr>
            <w:tag w:val="_PLD_93c8bd274adc4f10996e441415613a6a"/>
            <w:id w:val="-585772050"/>
          </w:sdtPr>
          <w:sdtEndPr/>
          <w:sdtContent>
            <w:tc>
              <w:tcPr>
                <w:tcW w:w="1615" w:type="pct"/>
                <w:shd w:val="clear" w:color="auto" w:fill="auto"/>
              </w:tcPr>
              <w:p w14:paraId="13FDFC9C" w14:textId="77777777" w:rsidR="00E57DAA" w:rsidRDefault="00AC4185">
                <w:pPr>
                  <w:jc w:val="center"/>
                  <w:rPr>
                    <w:szCs w:val="21"/>
                  </w:rPr>
                </w:pPr>
                <w:r>
                  <w:rPr>
                    <w:rFonts w:hint="eastAsia"/>
                    <w:szCs w:val="21"/>
                  </w:rPr>
                  <w:t>项目</w:t>
                </w:r>
              </w:p>
            </w:tc>
          </w:sdtContent>
        </w:sdt>
        <w:sdt>
          <w:sdtPr>
            <w:tag w:val="_PLD_a5c3f7ebd9dd4870a971a7b858fb9f49"/>
            <w:id w:val="-973288933"/>
          </w:sdtPr>
          <w:sdtEndPr/>
          <w:sdtContent>
            <w:tc>
              <w:tcPr>
                <w:tcW w:w="1657" w:type="pct"/>
                <w:shd w:val="clear" w:color="auto" w:fill="auto"/>
              </w:tcPr>
              <w:p w14:paraId="11D0A432" w14:textId="77777777" w:rsidR="00E57DAA" w:rsidRDefault="00AC4185">
                <w:pPr>
                  <w:jc w:val="center"/>
                  <w:rPr>
                    <w:szCs w:val="21"/>
                  </w:rPr>
                </w:pPr>
                <w:r>
                  <w:rPr>
                    <w:rFonts w:hint="eastAsia"/>
                    <w:szCs w:val="21"/>
                  </w:rPr>
                  <w:t>期末余额</w:t>
                </w:r>
              </w:p>
            </w:tc>
          </w:sdtContent>
        </w:sdt>
        <w:sdt>
          <w:sdtPr>
            <w:tag w:val="_PLD_f8823e49aba34d32b07cafa41f32e166"/>
            <w:id w:val="-923645704"/>
          </w:sdtPr>
          <w:sdtEndPr/>
          <w:sdtContent>
            <w:tc>
              <w:tcPr>
                <w:tcW w:w="1728" w:type="pct"/>
                <w:shd w:val="clear" w:color="auto" w:fill="auto"/>
              </w:tcPr>
              <w:p w14:paraId="0C37DC7F" w14:textId="77777777" w:rsidR="00E57DAA" w:rsidRDefault="00AC4185">
                <w:pPr>
                  <w:jc w:val="center"/>
                  <w:rPr>
                    <w:szCs w:val="21"/>
                  </w:rPr>
                </w:pPr>
                <w:r>
                  <w:rPr>
                    <w:rFonts w:hint="eastAsia"/>
                    <w:szCs w:val="21"/>
                  </w:rPr>
                  <w:t>期初余额</w:t>
                </w:r>
              </w:p>
            </w:tc>
          </w:sdtContent>
        </w:sdt>
      </w:tr>
      <w:tr w:rsidR="00E57DAA" w14:paraId="5D70144C" w14:textId="77777777">
        <w:tc>
          <w:tcPr>
            <w:tcW w:w="1615" w:type="pct"/>
            <w:shd w:val="clear" w:color="auto" w:fill="auto"/>
          </w:tcPr>
          <w:p w14:paraId="25C8F74B" w14:textId="77777777" w:rsidR="00E57DAA" w:rsidRDefault="00AC4185">
            <w:pPr>
              <w:rPr>
                <w:szCs w:val="21"/>
              </w:rPr>
            </w:pPr>
            <w:r>
              <w:t>押金及保证金</w:t>
            </w:r>
          </w:p>
        </w:tc>
        <w:tc>
          <w:tcPr>
            <w:tcW w:w="1657" w:type="pct"/>
            <w:shd w:val="clear" w:color="auto" w:fill="auto"/>
            <w:vAlign w:val="center"/>
          </w:tcPr>
          <w:p w14:paraId="29C3C5A6" w14:textId="77777777" w:rsidR="00E57DAA" w:rsidRDefault="00AC4185">
            <w:pPr>
              <w:jc w:val="right"/>
              <w:rPr>
                <w:szCs w:val="21"/>
              </w:rPr>
            </w:pPr>
            <w:r>
              <w:t>647,382,459.43</w:t>
            </w:r>
          </w:p>
        </w:tc>
        <w:tc>
          <w:tcPr>
            <w:tcW w:w="1728" w:type="pct"/>
            <w:shd w:val="clear" w:color="auto" w:fill="auto"/>
            <w:vAlign w:val="center"/>
          </w:tcPr>
          <w:p w14:paraId="56823D22" w14:textId="77777777" w:rsidR="00E57DAA" w:rsidRDefault="00AC4185">
            <w:pPr>
              <w:jc w:val="right"/>
              <w:rPr>
                <w:szCs w:val="21"/>
              </w:rPr>
            </w:pPr>
            <w:r>
              <w:t>557,523,203.20</w:t>
            </w:r>
          </w:p>
        </w:tc>
      </w:tr>
      <w:tr w:rsidR="00E57DAA" w14:paraId="389DD2C1" w14:textId="77777777">
        <w:tc>
          <w:tcPr>
            <w:tcW w:w="1615" w:type="pct"/>
            <w:shd w:val="clear" w:color="auto" w:fill="auto"/>
          </w:tcPr>
          <w:p w14:paraId="2FC7845F" w14:textId="77777777" w:rsidR="00E57DAA" w:rsidRDefault="00AC4185">
            <w:pPr>
              <w:rPr>
                <w:szCs w:val="21"/>
              </w:rPr>
            </w:pPr>
            <w:r>
              <w:t>应付资产购置款</w:t>
            </w:r>
          </w:p>
        </w:tc>
        <w:tc>
          <w:tcPr>
            <w:tcW w:w="1657" w:type="pct"/>
            <w:shd w:val="clear" w:color="auto" w:fill="auto"/>
            <w:vAlign w:val="center"/>
          </w:tcPr>
          <w:p w14:paraId="142E0569" w14:textId="77777777" w:rsidR="00E57DAA" w:rsidRDefault="00AC4185">
            <w:pPr>
              <w:jc w:val="right"/>
              <w:rPr>
                <w:szCs w:val="21"/>
              </w:rPr>
            </w:pPr>
            <w:r>
              <w:t>35,933,623.26</w:t>
            </w:r>
          </w:p>
        </w:tc>
        <w:tc>
          <w:tcPr>
            <w:tcW w:w="1728" w:type="pct"/>
            <w:shd w:val="clear" w:color="auto" w:fill="auto"/>
            <w:vAlign w:val="center"/>
          </w:tcPr>
          <w:p w14:paraId="449238E7" w14:textId="77777777" w:rsidR="00E57DAA" w:rsidRDefault="00AC4185">
            <w:pPr>
              <w:jc w:val="right"/>
              <w:rPr>
                <w:szCs w:val="21"/>
              </w:rPr>
            </w:pPr>
            <w:r>
              <w:t>94,336,247.31</w:t>
            </w:r>
          </w:p>
        </w:tc>
      </w:tr>
      <w:tr w:rsidR="00E57DAA" w14:paraId="6A23A0D7" w14:textId="77777777">
        <w:tc>
          <w:tcPr>
            <w:tcW w:w="1615" w:type="pct"/>
            <w:shd w:val="clear" w:color="auto" w:fill="auto"/>
          </w:tcPr>
          <w:p w14:paraId="19AB11FA" w14:textId="77777777" w:rsidR="00E57DAA" w:rsidRDefault="00AC4185">
            <w:pPr>
              <w:rPr>
                <w:szCs w:val="21"/>
              </w:rPr>
            </w:pPr>
            <w:r>
              <w:t>代收款项</w:t>
            </w:r>
          </w:p>
        </w:tc>
        <w:tc>
          <w:tcPr>
            <w:tcW w:w="1657" w:type="pct"/>
            <w:shd w:val="clear" w:color="auto" w:fill="auto"/>
            <w:vAlign w:val="center"/>
          </w:tcPr>
          <w:p w14:paraId="52DD71D2" w14:textId="77777777" w:rsidR="00E57DAA" w:rsidRDefault="00AC4185">
            <w:pPr>
              <w:jc w:val="right"/>
              <w:rPr>
                <w:szCs w:val="21"/>
              </w:rPr>
            </w:pPr>
            <w:r>
              <w:t>141,618,623.94</w:t>
            </w:r>
          </w:p>
        </w:tc>
        <w:tc>
          <w:tcPr>
            <w:tcW w:w="1728" w:type="pct"/>
            <w:shd w:val="clear" w:color="auto" w:fill="auto"/>
            <w:vAlign w:val="center"/>
          </w:tcPr>
          <w:p w14:paraId="14646281" w14:textId="77777777" w:rsidR="00E57DAA" w:rsidRDefault="00AC4185">
            <w:pPr>
              <w:jc w:val="right"/>
              <w:rPr>
                <w:szCs w:val="21"/>
              </w:rPr>
            </w:pPr>
            <w:r>
              <w:t>61,295,509.05</w:t>
            </w:r>
          </w:p>
        </w:tc>
      </w:tr>
      <w:tr w:rsidR="00E57DAA" w14:paraId="378EE537" w14:textId="77777777">
        <w:tc>
          <w:tcPr>
            <w:tcW w:w="1615" w:type="pct"/>
            <w:shd w:val="clear" w:color="auto" w:fill="auto"/>
          </w:tcPr>
          <w:p w14:paraId="73DE37DC" w14:textId="77777777" w:rsidR="00E57DAA" w:rsidRDefault="00AC4185">
            <w:pPr>
              <w:rPr>
                <w:szCs w:val="21"/>
              </w:rPr>
            </w:pPr>
            <w:r>
              <w:t>往来款</w:t>
            </w:r>
          </w:p>
        </w:tc>
        <w:tc>
          <w:tcPr>
            <w:tcW w:w="1657" w:type="pct"/>
            <w:shd w:val="clear" w:color="auto" w:fill="auto"/>
            <w:vAlign w:val="center"/>
          </w:tcPr>
          <w:p w14:paraId="2F11F85F" w14:textId="77777777" w:rsidR="00E57DAA" w:rsidRDefault="00AC4185">
            <w:pPr>
              <w:jc w:val="right"/>
              <w:rPr>
                <w:szCs w:val="21"/>
              </w:rPr>
            </w:pPr>
            <w:r>
              <w:t>226,596,491.66</w:t>
            </w:r>
          </w:p>
        </w:tc>
        <w:tc>
          <w:tcPr>
            <w:tcW w:w="1728" w:type="pct"/>
            <w:shd w:val="clear" w:color="auto" w:fill="auto"/>
            <w:vAlign w:val="center"/>
          </w:tcPr>
          <w:p w14:paraId="5F721B51" w14:textId="77777777" w:rsidR="00E57DAA" w:rsidRDefault="00AC4185">
            <w:pPr>
              <w:jc w:val="right"/>
              <w:rPr>
                <w:szCs w:val="21"/>
              </w:rPr>
            </w:pPr>
            <w:r>
              <w:t>325,488,862.02</w:t>
            </w:r>
          </w:p>
        </w:tc>
      </w:tr>
      <w:tr w:rsidR="00E57DAA" w14:paraId="19D653D5" w14:textId="77777777">
        <w:tc>
          <w:tcPr>
            <w:tcW w:w="1615" w:type="pct"/>
            <w:shd w:val="clear" w:color="auto" w:fill="auto"/>
          </w:tcPr>
          <w:p w14:paraId="7FFC534E" w14:textId="77777777" w:rsidR="00E57DAA" w:rsidRDefault="00AC4185">
            <w:pPr>
              <w:rPr>
                <w:szCs w:val="21"/>
              </w:rPr>
            </w:pPr>
            <w:r>
              <w:t>资金拆借</w:t>
            </w:r>
          </w:p>
        </w:tc>
        <w:tc>
          <w:tcPr>
            <w:tcW w:w="1657" w:type="pct"/>
            <w:shd w:val="clear" w:color="auto" w:fill="auto"/>
            <w:vAlign w:val="center"/>
          </w:tcPr>
          <w:p w14:paraId="0E14DFDC" w14:textId="77777777" w:rsidR="00E57DAA" w:rsidRDefault="00AC4185">
            <w:pPr>
              <w:jc w:val="right"/>
              <w:rPr>
                <w:szCs w:val="21"/>
              </w:rPr>
            </w:pPr>
            <w:r>
              <w:t>439,260,000.00</w:t>
            </w:r>
          </w:p>
        </w:tc>
        <w:tc>
          <w:tcPr>
            <w:tcW w:w="1728" w:type="pct"/>
            <w:shd w:val="clear" w:color="auto" w:fill="auto"/>
            <w:vAlign w:val="center"/>
          </w:tcPr>
          <w:p w14:paraId="51DCAC99" w14:textId="77777777" w:rsidR="00E57DAA" w:rsidRDefault="00AC4185">
            <w:pPr>
              <w:jc w:val="right"/>
              <w:rPr>
                <w:szCs w:val="21"/>
              </w:rPr>
            </w:pPr>
            <w:r>
              <w:t>442,060,000.00</w:t>
            </w:r>
          </w:p>
        </w:tc>
      </w:tr>
      <w:tr w:rsidR="00E57DAA" w14:paraId="5C7A0BAE" w14:textId="77777777">
        <w:tc>
          <w:tcPr>
            <w:tcW w:w="1615" w:type="pct"/>
            <w:shd w:val="clear" w:color="auto" w:fill="auto"/>
          </w:tcPr>
          <w:p w14:paraId="4E5ADB95" w14:textId="77777777" w:rsidR="00E57DAA" w:rsidRDefault="00AC4185">
            <w:pPr>
              <w:rPr>
                <w:szCs w:val="21"/>
              </w:rPr>
            </w:pPr>
            <w:r>
              <w:t>应付费用款</w:t>
            </w:r>
          </w:p>
        </w:tc>
        <w:tc>
          <w:tcPr>
            <w:tcW w:w="1657" w:type="pct"/>
            <w:shd w:val="clear" w:color="auto" w:fill="auto"/>
            <w:vAlign w:val="center"/>
          </w:tcPr>
          <w:p w14:paraId="0EA6CEBB" w14:textId="77777777" w:rsidR="00E57DAA" w:rsidRDefault="00AC4185">
            <w:pPr>
              <w:jc w:val="right"/>
              <w:rPr>
                <w:szCs w:val="21"/>
              </w:rPr>
            </w:pPr>
            <w:r>
              <w:t>98,294,953.23</w:t>
            </w:r>
          </w:p>
        </w:tc>
        <w:tc>
          <w:tcPr>
            <w:tcW w:w="1728" w:type="pct"/>
            <w:shd w:val="clear" w:color="auto" w:fill="auto"/>
            <w:vAlign w:val="center"/>
          </w:tcPr>
          <w:p w14:paraId="3055891E" w14:textId="77777777" w:rsidR="00E57DAA" w:rsidRDefault="00AC4185">
            <w:pPr>
              <w:jc w:val="right"/>
              <w:rPr>
                <w:szCs w:val="21"/>
              </w:rPr>
            </w:pPr>
            <w:r>
              <w:t>101,565,751.85</w:t>
            </w:r>
          </w:p>
        </w:tc>
      </w:tr>
      <w:tr w:rsidR="00E57DAA" w14:paraId="52B2E112" w14:textId="77777777">
        <w:tc>
          <w:tcPr>
            <w:tcW w:w="1615" w:type="pct"/>
            <w:shd w:val="clear" w:color="auto" w:fill="auto"/>
          </w:tcPr>
          <w:p w14:paraId="511EEC80" w14:textId="77777777" w:rsidR="00E57DAA" w:rsidRDefault="00AC4185">
            <w:pPr>
              <w:rPr>
                <w:szCs w:val="21"/>
              </w:rPr>
            </w:pPr>
            <w:r>
              <w:t>限制性股票回购义务</w:t>
            </w:r>
          </w:p>
        </w:tc>
        <w:tc>
          <w:tcPr>
            <w:tcW w:w="1657" w:type="pct"/>
            <w:shd w:val="clear" w:color="auto" w:fill="auto"/>
            <w:vAlign w:val="center"/>
          </w:tcPr>
          <w:p w14:paraId="2A63BF9F" w14:textId="77777777" w:rsidR="00E57DAA" w:rsidRDefault="00AC4185">
            <w:pPr>
              <w:jc w:val="right"/>
              <w:rPr>
                <w:szCs w:val="21"/>
              </w:rPr>
            </w:pPr>
            <w:r>
              <w:t>306,578,642.37</w:t>
            </w:r>
          </w:p>
        </w:tc>
        <w:tc>
          <w:tcPr>
            <w:tcW w:w="1728" w:type="pct"/>
            <w:shd w:val="clear" w:color="auto" w:fill="auto"/>
            <w:vAlign w:val="center"/>
          </w:tcPr>
          <w:p w14:paraId="4FBAF76D" w14:textId="77777777" w:rsidR="00E57DAA" w:rsidRDefault="00AC4185">
            <w:pPr>
              <w:jc w:val="right"/>
              <w:rPr>
                <w:szCs w:val="21"/>
              </w:rPr>
            </w:pPr>
            <w:r>
              <w:t>267,191,920.55</w:t>
            </w:r>
          </w:p>
        </w:tc>
      </w:tr>
      <w:tr w:rsidR="00E57DAA" w14:paraId="6A2F9B02" w14:textId="77777777">
        <w:tc>
          <w:tcPr>
            <w:tcW w:w="1615" w:type="pct"/>
            <w:shd w:val="clear" w:color="auto" w:fill="auto"/>
          </w:tcPr>
          <w:p w14:paraId="33714C87" w14:textId="77777777" w:rsidR="00E57DAA" w:rsidRDefault="00AC4185">
            <w:pPr>
              <w:rPr>
                <w:szCs w:val="21"/>
              </w:rPr>
            </w:pPr>
            <w:r>
              <w:rPr>
                <w:rFonts w:hint="eastAsia"/>
              </w:rPr>
              <w:t>应付出资、股权转让款</w:t>
            </w:r>
          </w:p>
        </w:tc>
        <w:tc>
          <w:tcPr>
            <w:tcW w:w="1657" w:type="pct"/>
            <w:shd w:val="clear" w:color="auto" w:fill="auto"/>
            <w:vAlign w:val="center"/>
          </w:tcPr>
          <w:p w14:paraId="1C919A7B" w14:textId="77777777" w:rsidR="00E57DAA" w:rsidRDefault="00AC4185">
            <w:pPr>
              <w:jc w:val="right"/>
              <w:rPr>
                <w:szCs w:val="21"/>
              </w:rPr>
            </w:pPr>
            <w:r>
              <w:t>42,294,384.19</w:t>
            </w:r>
          </w:p>
        </w:tc>
        <w:tc>
          <w:tcPr>
            <w:tcW w:w="1728" w:type="pct"/>
            <w:shd w:val="clear" w:color="auto" w:fill="auto"/>
            <w:vAlign w:val="center"/>
          </w:tcPr>
          <w:p w14:paraId="18E02672" w14:textId="77777777" w:rsidR="00E57DAA" w:rsidRDefault="00AC4185">
            <w:pPr>
              <w:jc w:val="right"/>
              <w:rPr>
                <w:szCs w:val="21"/>
              </w:rPr>
            </w:pPr>
            <w:r>
              <w:t>243,595,650.00</w:t>
            </w:r>
          </w:p>
        </w:tc>
      </w:tr>
      <w:tr w:rsidR="00E57DAA" w14:paraId="11F28023" w14:textId="77777777">
        <w:tc>
          <w:tcPr>
            <w:tcW w:w="1615" w:type="pct"/>
            <w:shd w:val="clear" w:color="auto" w:fill="auto"/>
          </w:tcPr>
          <w:p w14:paraId="3F5A9363" w14:textId="77777777" w:rsidR="00E57DAA" w:rsidRDefault="00AC4185">
            <w:pPr>
              <w:rPr>
                <w:szCs w:val="21"/>
              </w:rPr>
            </w:pPr>
            <w:r>
              <w:t>其他</w:t>
            </w:r>
          </w:p>
        </w:tc>
        <w:tc>
          <w:tcPr>
            <w:tcW w:w="1657" w:type="pct"/>
            <w:shd w:val="clear" w:color="auto" w:fill="auto"/>
            <w:vAlign w:val="center"/>
          </w:tcPr>
          <w:p w14:paraId="10D519E1" w14:textId="77777777" w:rsidR="00E57DAA" w:rsidRDefault="00AC4185">
            <w:pPr>
              <w:jc w:val="right"/>
              <w:rPr>
                <w:szCs w:val="21"/>
              </w:rPr>
            </w:pPr>
            <w:r>
              <w:t>118,695,002.34</w:t>
            </w:r>
          </w:p>
        </w:tc>
        <w:tc>
          <w:tcPr>
            <w:tcW w:w="1728" w:type="pct"/>
            <w:shd w:val="clear" w:color="auto" w:fill="auto"/>
            <w:vAlign w:val="center"/>
          </w:tcPr>
          <w:p w14:paraId="5A4E8934" w14:textId="77777777" w:rsidR="00E57DAA" w:rsidRDefault="00AC4185">
            <w:pPr>
              <w:jc w:val="right"/>
              <w:rPr>
                <w:szCs w:val="21"/>
              </w:rPr>
            </w:pPr>
            <w:r>
              <w:t>121,350,920.90</w:t>
            </w:r>
          </w:p>
        </w:tc>
      </w:tr>
      <w:tr w:rsidR="00E57DAA" w14:paraId="2A8268B2" w14:textId="77777777">
        <w:tc>
          <w:tcPr>
            <w:tcW w:w="1615" w:type="pct"/>
            <w:shd w:val="clear" w:color="auto" w:fill="auto"/>
          </w:tcPr>
          <w:p w14:paraId="1F2A75F0" w14:textId="77777777" w:rsidR="00E57DAA" w:rsidRDefault="00AC4185">
            <w:pPr>
              <w:jc w:val="center"/>
              <w:rPr>
                <w:color w:val="000000" w:themeColor="text1"/>
                <w:szCs w:val="21"/>
              </w:rPr>
            </w:pPr>
            <w:r>
              <w:rPr>
                <w:rFonts w:hint="eastAsia"/>
                <w:color w:val="000000" w:themeColor="text1"/>
                <w:szCs w:val="21"/>
              </w:rPr>
              <w:t>合计</w:t>
            </w:r>
          </w:p>
        </w:tc>
        <w:tc>
          <w:tcPr>
            <w:tcW w:w="1657" w:type="pct"/>
            <w:shd w:val="clear" w:color="auto" w:fill="auto"/>
            <w:vAlign w:val="center"/>
          </w:tcPr>
          <w:p w14:paraId="3AFB4D02" w14:textId="77777777" w:rsidR="00E57DAA" w:rsidRDefault="00AC4185">
            <w:pPr>
              <w:jc w:val="right"/>
              <w:rPr>
                <w:szCs w:val="21"/>
              </w:rPr>
            </w:pPr>
            <w:r>
              <w:t>2,056,654,180.42</w:t>
            </w:r>
          </w:p>
        </w:tc>
        <w:tc>
          <w:tcPr>
            <w:tcW w:w="1728" w:type="pct"/>
            <w:shd w:val="clear" w:color="auto" w:fill="auto"/>
            <w:vAlign w:val="center"/>
          </w:tcPr>
          <w:p w14:paraId="55C610E1" w14:textId="77777777" w:rsidR="00E57DAA" w:rsidRDefault="00AC4185">
            <w:pPr>
              <w:jc w:val="right"/>
              <w:rPr>
                <w:szCs w:val="21"/>
              </w:rPr>
            </w:pPr>
            <w:r>
              <w:t>2,214,408,064.88</w:t>
            </w:r>
          </w:p>
        </w:tc>
      </w:tr>
    </w:tbl>
    <w:p w14:paraId="67F75026" w14:textId="77777777" w:rsidR="00E57DAA" w:rsidRDefault="00E57DAA" w:rsidP="00C25422">
      <w:pPr>
        <w:pStyle w:val="92"/>
      </w:pPr>
    </w:p>
    <w:p w14:paraId="15CAB9B1" w14:textId="77777777" w:rsidR="00E57DAA" w:rsidRDefault="00AC4185" w:rsidP="00C25422">
      <w:pPr>
        <w:pStyle w:val="92"/>
      </w:pPr>
      <w:r>
        <w:rPr>
          <w:rFonts w:hint="eastAsia"/>
        </w:rPr>
        <w:t>账龄超过</w:t>
      </w:r>
      <w:r>
        <w:t>1年</w:t>
      </w:r>
      <w:r>
        <w:rPr>
          <w:rFonts w:hint="eastAsia"/>
        </w:rPr>
        <w:t>或逾期</w:t>
      </w:r>
      <w:r>
        <w:t>的重要其他应付款</w:t>
      </w:r>
    </w:p>
    <w:p w14:paraId="1D4286C2" w14:textId="77777777" w:rsidR="00E57DAA" w:rsidRDefault="00EB41A1" w:rsidP="00C25422">
      <w:pPr>
        <w:pStyle w:val="92"/>
      </w:pPr>
      <w:sdt>
        <w:sdtPr>
          <w:alias w:val="是否适用：账龄超过1年的重要其他应付款[双击切换]"/>
          <w:tag w:val="_GBC_fcaee62c74504c20ba2aca131c060029"/>
          <w:id w:val="-1487702608"/>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1C387095" w14:textId="77777777" w:rsidR="00E57DAA" w:rsidRDefault="00AC4185">
      <w:pPr>
        <w:jc w:val="right"/>
      </w:pPr>
      <w:r>
        <w:rPr>
          <w:rFonts w:hint="eastAsia"/>
        </w:rPr>
        <w:t>单位：</w:t>
      </w:r>
      <w:sdt>
        <w:sdtPr>
          <w:rPr>
            <w:rFonts w:hint="eastAsia"/>
          </w:rPr>
          <w:alias w:val="单位：财务附注：账龄超过1年的重要其他应付款"/>
          <w:tag w:val="_GBC_e21231b7e5484676830a99cc2a6d76a0"/>
          <w:id w:val="11136368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5e3f99162ac34319b05e54b554619653"/>
          <w:id w:val="2046155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3"/>
        <w:gridCol w:w="2365"/>
        <w:gridCol w:w="3035"/>
      </w:tblGrid>
      <w:tr w:rsidR="00E57DAA" w14:paraId="0F4C494D" w14:textId="77777777">
        <w:trPr>
          <w:trHeight w:val="269"/>
        </w:trPr>
        <w:sdt>
          <w:sdtPr>
            <w:tag w:val="_PLD_14d2af0850664c16b8395770ef822d33"/>
            <w:id w:val="-996811072"/>
          </w:sdtPr>
          <w:sdtEndPr/>
          <w:sdtContent>
            <w:tc>
              <w:tcPr>
                <w:tcW w:w="1940" w:type="pct"/>
                <w:shd w:val="clear" w:color="auto" w:fill="auto"/>
                <w:vAlign w:val="center"/>
              </w:tcPr>
              <w:p w14:paraId="3C43CF22" w14:textId="77777777" w:rsidR="00E57DAA" w:rsidRDefault="00AC4185">
                <w:pPr>
                  <w:jc w:val="center"/>
                  <w:rPr>
                    <w:szCs w:val="21"/>
                  </w:rPr>
                </w:pPr>
                <w:r>
                  <w:rPr>
                    <w:rFonts w:hint="eastAsia"/>
                    <w:szCs w:val="21"/>
                  </w:rPr>
                  <w:t>项目</w:t>
                </w:r>
              </w:p>
            </w:tc>
          </w:sdtContent>
        </w:sdt>
        <w:sdt>
          <w:sdtPr>
            <w:tag w:val="_PLD_c469b5a44aaf475d9fd5270a942f9c4a"/>
            <w:id w:val="-872533452"/>
          </w:sdtPr>
          <w:sdtEndPr/>
          <w:sdtContent>
            <w:tc>
              <w:tcPr>
                <w:tcW w:w="1340" w:type="pct"/>
                <w:shd w:val="clear" w:color="auto" w:fill="auto"/>
                <w:vAlign w:val="center"/>
              </w:tcPr>
              <w:p w14:paraId="106E1E60" w14:textId="77777777" w:rsidR="00E57DAA" w:rsidRDefault="00AC4185">
                <w:pPr>
                  <w:jc w:val="center"/>
                  <w:rPr>
                    <w:szCs w:val="21"/>
                  </w:rPr>
                </w:pPr>
                <w:r>
                  <w:rPr>
                    <w:rFonts w:hint="eastAsia"/>
                    <w:szCs w:val="21"/>
                  </w:rPr>
                  <w:t>期末余额</w:t>
                </w:r>
              </w:p>
            </w:tc>
          </w:sdtContent>
        </w:sdt>
        <w:sdt>
          <w:sdtPr>
            <w:tag w:val="_PLD_94367c3bf4fa488b95d154694ccf77ca"/>
            <w:id w:val="1475489571"/>
          </w:sdtPr>
          <w:sdtEndPr/>
          <w:sdtContent>
            <w:tc>
              <w:tcPr>
                <w:tcW w:w="1720" w:type="pct"/>
                <w:shd w:val="clear" w:color="auto" w:fill="auto"/>
                <w:vAlign w:val="center"/>
              </w:tcPr>
              <w:p w14:paraId="6B90063D" w14:textId="77777777" w:rsidR="00E57DAA" w:rsidRDefault="00AC4185">
                <w:pPr>
                  <w:jc w:val="center"/>
                  <w:rPr>
                    <w:szCs w:val="21"/>
                  </w:rPr>
                </w:pPr>
                <w:r>
                  <w:rPr>
                    <w:rFonts w:hint="eastAsia"/>
                    <w:szCs w:val="21"/>
                  </w:rPr>
                  <w:t>未偿还或结转的原因</w:t>
                </w:r>
              </w:p>
            </w:tc>
          </w:sdtContent>
        </w:sdt>
      </w:tr>
      <w:tr w:rsidR="00E57DAA" w14:paraId="697F8C1F" w14:textId="77777777">
        <w:tc>
          <w:tcPr>
            <w:tcW w:w="1940" w:type="pct"/>
            <w:tcBorders>
              <w:bottom w:val="single" w:sz="4" w:space="0" w:color="auto"/>
            </w:tcBorders>
            <w:shd w:val="clear" w:color="auto" w:fill="auto"/>
          </w:tcPr>
          <w:p w14:paraId="7CA4BB40" w14:textId="77777777" w:rsidR="00E57DAA" w:rsidRDefault="00AC4185">
            <w:pPr>
              <w:rPr>
                <w:szCs w:val="21"/>
              </w:rPr>
            </w:pPr>
            <w:r>
              <w:t>中国中材集团有限公司</w:t>
            </w:r>
          </w:p>
        </w:tc>
        <w:tc>
          <w:tcPr>
            <w:tcW w:w="1340" w:type="pct"/>
            <w:shd w:val="clear" w:color="auto" w:fill="auto"/>
            <w:vAlign w:val="center"/>
          </w:tcPr>
          <w:p w14:paraId="56B093DD" w14:textId="77777777" w:rsidR="00E57DAA" w:rsidRDefault="00AC4185">
            <w:pPr>
              <w:jc w:val="right"/>
              <w:rPr>
                <w:szCs w:val="21"/>
              </w:rPr>
            </w:pPr>
            <w:r>
              <w:t>406,667,000.00</w:t>
            </w:r>
          </w:p>
        </w:tc>
        <w:tc>
          <w:tcPr>
            <w:tcW w:w="1720" w:type="pct"/>
            <w:shd w:val="clear" w:color="auto" w:fill="auto"/>
            <w:vAlign w:val="center"/>
          </w:tcPr>
          <w:p w14:paraId="4F256AD0" w14:textId="77777777" w:rsidR="00E57DAA" w:rsidRDefault="00AC4185">
            <w:pPr>
              <w:rPr>
                <w:szCs w:val="21"/>
              </w:rPr>
            </w:pPr>
            <w:r>
              <w:t>拆借资金及代垫款未支付</w:t>
            </w:r>
          </w:p>
        </w:tc>
      </w:tr>
      <w:tr w:rsidR="00E57DAA" w14:paraId="7AE14B1B" w14:textId="77777777">
        <w:tc>
          <w:tcPr>
            <w:tcW w:w="1940" w:type="pct"/>
            <w:tcBorders>
              <w:bottom w:val="single" w:sz="4" w:space="0" w:color="auto"/>
            </w:tcBorders>
            <w:shd w:val="clear" w:color="auto" w:fill="auto"/>
          </w:tcPr>
          <w:p w14:paraId="5D2F63F1" w14:textId="77777777" w:rsidR="00E57DAA" w:rsidRDefault="00AC4185">
            <w:pPr>
              <w:rPr>
                <w:szCs w:val="21"/>
              </w:rPr>
            </w:pPr>
            <w:r>
              <w:t>限制性股票回购义务</w:t>
            </w:r>
          </w:p>
        </w:tc>
        <w:tc>
          <w:tcPr>
            <w:tcW w:w="1340" w:type="pct"/>
            <w:shd w:val="clear" w:color="auto" w:fill="auto"/>
            <w:vAlign w:val="center"/>
          </w:tcPr>
          <w:p w14:paraId="7E19F6DA" w14:textId="77777777" w:rsidR="00E57DAA" w:rsidRDefault="00AC4185">
            <w:pPr>
              <w:jc w:val="right"/>
              <w:rPr>
                <w:szCs w:val="21"/>
              </w:rPr>
            </w:pPr>
            <w:r>
              <w:t>267,191,920.55</w:t>
            </w:r>
          </w:p>
        </w:tc>
        <w:tc>
          <w:tcPr>
            <w:tcW w:w="1720" w:type="pct"/>
            <w:shd w:val="clear" w:color="auto" w:fill="auto"/>
            <w:vAlign w:val="center"/>
          </w:tcPr>
          <w:p w14:paraId="45201563" w14:textId="77777777" w:rsidR="00E57DAA" w:rsidRDefault="00AC4185">
            <w:pPr>
              <w:rPr>
                <w:szCs w:val="21"/>
              </w:rPr>
            </w:pPr>
            <w:r>
              <w:t>限制性股票尚在限售期</w:t>
            </w:r>
          </w:p>
        </w:tc>
      </w:tr>
      <w:tr w:rsidR="00E57DAA" w14:paraId="4F570C9D" w14:textId="77777777">
        <w:tc>
          <w:tcPr>
            <w:tcW w:w="1940" w:type="pct"/>
            <w:tcBorders>
              <w:bottom w:val="single" w:sz="4" w:space="0" w:color="auto"/>
            </w:tcBorders>
            <w:shd w:val="clear" w:color="auto" w:fill="auto"/>
          </w:tcPr>
          <w:p w14:paraId="300B4A56" w14:textId="77777777" w:rsidR="00E57DAA" w:rsidRDefault="00AC4185">
            <w:pPr>
              <w:rPr>
                <w:szCs w:val="21"/>
              </w:rPr>
            </w:pPr>
            <w:r>
              <w:t>中新集团新材资产管理有限公司</w:t>
            </w:r>
          </w:p>
        </w:tc>
        <w:tc>
          <w:tcPr>
            <w:tcW w:w="1340" w:type="pct"/>
            <w:shd w:val="clear" w:color="auto" w:fill="auto"/>
            <w:vAlign w:val="center"/>
          </w:tcPr>
          <w:p w14:paraId="3C2FA513" w14:textId="77777777" w:rsidR="00E57DAA" w:rsidRDefault="00AC4185">
            <w:pPr>
              <w:jc w:val="right"/>
              <w:rPr>
                <w:szCs w:val="21"/>
              </w:rPr>
            </w:pPr>
            <w:r>
              <w:t>78,908,142.98</w:t>
            </w:r>
          </w:p>
        </w:tc>
        <w:tc>
          <w:tcPr>
            <w:tcW w:w="1720" w:type="pct"/>
            <w:shd w:val="clear" w:color="auto" w:fill="auto"/>
            <w:vAlign w:val="center"/>
          </w:tcPr>
          <w:p w14:paraId="0ADCAFF5" w14:textId="77777777" w:rsidR="00E57DAA" w:rsidRDefault="00AC4185">
            <w:pPr>
              <w:rPr>
                <w:szCs w:val="21"/>
              </w:rPr>
            </w:pPr>
            <w:r>
              <w:t>应付代垫款项未支付</w:t>
            </w:r>
          </w:p>
        </w:tc>
      </w:tr>
      <w:tr w:rsidR="00E57DAA" w14:paraId="161FADA8" w14:textId="77777777">
        <w:tc>
          <w:tcPr>
            <w:tcW w:w="1940" w:type="pct"/>
            <w:tcBorders>
              <w:bottom w:val="single" w:sz="4" w:space="0" w:color="auto"/>
            </w:tcBorders>
            <w:shd w:val="clear" w:color="auto" w:fill="auto"/>
          </w:tcPr>
          <w:p w14:paraId="598BCF3B" w14:textId="77777777" w:rsidR="00E57DAA" w:rsidRDefault="00AC4185">
            <w:pPr>
              <w:rPr>
                <w:szCs w:val="21"/>
              </w:rPr>
            </w:pPr>
            <w:r>
              <w:t>中国建材股份有限公司</w:t>
            </w:r>
          </w:p>
        </w:tc>
        <w:tc>
          <w:tcPr>
            <w:tcW w:w="1340" w:type="pct"/>
            <w:shd w:val="clear" w:color="auto" w:fill="auto"/>
            <w:vAlign w:val="center"/>
          </w:tcPr>
          <w:p w14:paraId="6399EF5C" w14:textId="77777777" w:rsidR="00E57DAA" w:rsidRDefault="00AC4185">
            <w:pPr>
              <w:jc w:val="right"/>
              <w:rPr>
                <w:szCs w:val="21"/>
              </w:rPr>
            </w:pPr>
            <w:r>
              <w:t>43,860,000.00</w:t>
            </w:r>
          </w:p>
        </w:tc>
        <w:tc>
          <w:tcPr>
            <w:tcW w:w="1720" w:type="pct"/>
            <w:shd w:val="clear" w:color="auto" w:fill="auto"/>
            <w:vAlign w:val="center"/>
          </w:tcPr>
          <w:p w14:paraId="23808FF7" w14:textId="77777777" w:rsidR="00E57DAA" w:rsidRDefault="00AC4185">
            <w:pPr>
              <w:rPr>
                <w:szCs w:val="21"/>
              </w:rPr>
            </w:pPr>
            <w:r>
              <w:t>拆借资金及代收款项未支付</w:t>
            </w:r>
          </w:p>
        </w:tc>
      </w:tr>
      <w:tr w:rsidR="00E57DAA" w14:paraId="77B04A17" w14:textId="77777777">
        <w:tc>
          <w:tcPr>
            <w:tcW w:w="1940" w:type="pct"/>
            <w:tcBorders>
              <w:bottom w:val="single" w:sz="4" w:space="0" w:color="auto"/>
            </w:tcBorders>
            <w:shd w:val="clear" w:color="auto" w:fill="auto"/>
          </w:tcPr>
          <w:p w14:paraId="5855BEFA" w14:textId="77777777" w:rsidR="00E57DAA" w:rsidRDefault="00AC4185">
            <w:pPr>
              <w:rPr>
                <w:szCs w:val="21"/>
              </w:rPr>
            </w:pPr>
            <w:r>
              <w:t>中建材智慧物联有限公司</w:t>
            </w:r>
          </w:p>
        </w:tc>
        <w:tc>
          <w:tcPr>
            <w:tcW w:w="1340" w:type="pct"/>
            <w:shd w:val="clear" w:color="auto" w:fill="auto"/>
            <w:vAlign w:val="center"/>
          </w:tcPr>
          <w:p w14:paraId="6C8C5875" w14:textId="77777777" w:rsidR="00E57DAA" w:rsidRDefault="00AC4185">
            <w:pPr>
              <w:jc w:val="right"/>
              <w:rPr>
                <w:szCs w:val="21"/>
              </w:rPr>
            </w:pPr>
            <w:r>
              <w:t>32,047,884.19</w:t>
            </w:r>
          </w:p>
        </w:tc>
        <w:tc>
          <w:tcPr>
            <w:tcW w:w="1720" w:type="pct"/>
            <w:shd w:val="clear" w:color="auto" w:fill="auto"/>
            <w:vAlign w:val="center"/>
          </w:tcPr>
          <w:p w14:paraId="5F2A5FF6" w14:textId="77777777" w:rsidR="00E57DAA" w:rsidRDefault="00AC4185">
            <w:pPr>
              <w:rPr>
                <w:szCs w:val="21"/>
              </w:rPr>
            </w:pPr>
            <w:r>
              <w:t>应付股权转让款未支付</w:t>
            </w:r>
          </w:p>
        </w:tc>
      </w:tr>
      <w:tr w:rsidR="00E57DAA" w14:paraId="717E54F9" w14:textId="77777777">
        <w:tc>
          <w:tcPr>
            <w:tcW w:w="1940" w:type="pct"/>
            <w:shd w:val="clear" w:color="auto" w:fill="auto"/>
            <w:vAlign w:val="center"/>
          </w:tcPr>
          <w:p w14:paraId="41173982" w14:textId="77777777" w:rsidR="00E57DAA" w:rsidRDefault="00AC4185">
            <w:pPr>
              <w:jc w:val="center"/>
              <w:rPr>
                <w:szCs w:val="21"/>
              </w:rPr>
            </w:pPr>
            <w:r>
              <w:rPr>
                <w:rFonts w:hint="eastAsia"/>
                <w:szCs w:val="21"/>
              </w:rPr>
              <w:t>合计</w:t>
            </w:r>
          </w:p>
        </w:tc>
        <w:tc>
          <w:tcPr>
            <w:tcW w:w="1340" w:type="pct"/>
            <w:shd w:val="clear" w:color="auto" w:fill="auto"/>
            <w:vAlign w:val="center"/>
          </w:tcPr>
          <w:p w14:paraId="33061275" w14:textId="77777777" w:rsidR="00E57DAA" w:rsidRDefault="00AC4185">
            <w:pPr>
              <w:jc w:val="right"/>
              <w:rPr>
                <w:szCs w:val="21"/>
              </w:rPr>
            </w:pPr>
            <w:r>
              <w:t>828,674,947.72</w:t>
            </w:r>
          </w:p>
        </w:tc>
        <w:tc>
          <w:tcPr>
            <w:tcW w:w="1720" w:type="pct"/>
            <w:shd w:val="clear" w:color="auto" w:fill="auto"/>
          </w:tcPr>
          <w:p w14:paraId="0AFEF15E" w14:textId="77777777" w:rsidR="00E57DAA" w:rsidRDefault="00AC4185">
            <w:pPr>
              <w:jc w:val="center"/>
              <w:rPr>
                <w:szCs w:val="21"/>
              </w:rPr>
            </w:pPr>
            <w:r>
              <w:rPr>
                <w:rFonts w:hint="eastAsia"/>
                <w:szCs w:val="21"/>
              </w:rPr>
              <w:t>/</w:t>
            </w:r>
          </w:p>
        </w:tc>
      </w:tr>
    </w:tbl>
    <w:p w14:paraId="168ECCA5" w14:textId="77777777" w:rsidR="00E57DAA" w:rsidRDefault="00E57DAA"/>
    <w:p w14:paraId="7F4D96E7" w14:textId="77777777" w:rsidR="00E57DAA" w:rsidRDefault="00AC4185" w:rsidP="00C25422">
      <w:pPr>
        <w:pStyle w:val="92"/>
      </w:pPr>
      <w:r>
        <w:rPr>
          <w:rFonts w:hint="eastAsia"/>
        </w:rPr>
        <w:t>其他说明：</w:t>
      </w:r>
    </w:p>
    <w:sdt>
      <w:sdtPr>
        <w:alias w:val="是否适用：其他应付款的其他说明[双击切换]"/>
        <w:tag w:val="_GBC_b02a256e4ac940019e9d9179cb6dc349"/>
        <w:id w:val="-1664698781"/>
        <w:placeholder>
          <w:docPart w:val="GBC22222222222222222222222222222"/>
        </w:placeholder>
      </w:sdtPr>
      <w:sdtEndPr/>
      <w:sdtContent>
        <w:p w14:paraId="5EA30843"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80E55B" w14:textId="77777777" w:rsidR="00E57DAA" w:rsidRDefault="00E57DAA">
      <w:pPr>
        <w:rPr>
          <w:szCs w:val="21"/>
        </w:rPr>
      </w:pPr>
    </w:p>
    <w:p w14:paraId="7EEBA6ED" w14:textId="77777777" w:rsidR="00E57DAA" w:rsidRDefault="00AC4185" w:rsidP="00C25422">
      <w:pPr>
        <w:pStyle w:val="91"/>
        <w:numPr>
          <w:ilvl w:val="0"/>
          <w:numId w:val="69"/>
        </w:numPr>
      </w:pPr>
      <w:r>
        <w:rPr>
          <w:rFonts w:ascii="宋体" w:hAnsi="宋体" w:hint="eastAsia"/>
        </w:rPr>
        <w:t>持有</w:t>
      </w:r>
      <w:r>
        <w:rPr>
          <w:rFonts w:hint="eastAsia"/>
        </w:rPr>
        <w:t>待售负债</w:t>
      </w:r>
    </w:p>
    <w:bookmarkEnd w:id="277" w:displacedByCustomXml="next"/>
    <w:bookmarkEnd w:id="278" w:displacedByCustomXml="next"/>
    <w:sdt>
      <w:sdtPr>
        <w:alias w:val="是否适用：划分为持有待售的负债[双击切换]"/>
        <w:tag w:val="_GBC_4ea9b2c6d4024d74b39e491f80a07798"/>
        <w:id w:val="1474944634"/>
        <w:placeholder>
          <w:docPart w:val="GBC22222222222222222222222222222"/>
        </w:placeholder>
      </w:sdtPr>
      <w:sdtEndPr/>
      <w:sdtContent>
        <w:p w14:paraId="316FCE41"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486CB4" w14:textId="77777777" w:rsidR="00E57DAA" w:rsidRDefault="00E57DAA">
      <w:pPr>
        <w:rPr>
          <w:szCs w:val="21"/>
        </w:rPr>
      </w:pPr>
    </w:p>
    <w:p w14:paraId="5A7F0E1B" w14:textId="77777777" w:rsidR="00E57DAA" w:rsidRDefault="00AC4185" w:rsidP="00C25422">
      <w:pPr>
        <w:pStyle w:val="91"/>
        <w:numPr>
          <w:ilvl w:val="0"/>
          <w:numId w:val="69"/>
        </w:numPr>
      </w:pPr>
      <w:r>
        <w:rPr>
          <w:rFonts w:hint="eastAsia"/>
        </w:rPr>
        <w:t>1</w:t>
      </w:r>
      <w:r>
        <w:rPr>
          <w:rFonts w:hint="eastAsia"/>
        </w:rPr>
        <w:t>年内到期的非流动负债</w:t>
      </w:r>
    </w:p>
    <w:bookmarkStart w:id="279" w:name="_Hlk24104125" w:displacedByCustomXml="next"/>
    <w:sdt>
      <w:sdtPr>
        <w:alias w:val="是否适用：1年内到期的非流动负债[双击切换]"/>
        <w:tag w:val="_GBC_bf40c7464345405f8470856436e2c6a3"/>
        <w:id w:val="1661353189"/>
        <w:placeholder>
          <w:docPart w:val="GBC22222222222222222222222222222"/>
        </w:placeholder>
      </w:sdtPr>
      <w:sdtEndPr/>
      <w:sdtContent>
        <w:p w14:paraId="574CFE0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BADCD7" w14:textId="77777777" w:rsidR="00E57DAA" w:rsidRDefault="00AC4185">
      <w:pPr>
        <w:jc w:val="right"/>
        <w:rPr>
          <w:szCs w:val="21"/>
        </w:rPr>
      </w:pPr>
      <w:r>
        <w:rPr>
          <w:rFonts w:hint="eastAsia"/>
          <w:szCs w:val="21"/>
        </w:rPr>
        <w:t>单位：</w:t>
      </w:r>
      <w:sdt>
        <w:sdtPr>
          <w:rPr>
            <w:rFonts w:hint="eastAsia"/>
            <w:szCs w:val="21"/>
          </w:rPr>
          <w:alias w:val="单位：1年内到期的非流动负债情况"/>
          <w:tag w:val="_GBC_fc5bef9f043c4967ab706b443fc31d3c"/>
          <w:id w:val="15921924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4072735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61"/>
        <w:gridCol w:w="3026"/>
      </w:tblGrid>
      <w:tr w:rsidR="00E57DAA" w14:paraId="760B32B0" w14:textId="77777777">
        <w:sdt>
          <w:sdtPr>
            <w:tag w:val="_PLD_e20bf58d6f134f4caedbea03f8659c14"/>
            <w:id w:val="-547379156"/>
          </w:sdtPr>
          <w:sdtEndPr/>
          <w:sdtContent>
            <w:tc>
              <w:tcPr>
                <w:tcW w:w="1607" w:type="pct"/>
                <w:shd w:val="clear" w:color="auto" w:fill="auto"/>
              </w:tcPr>
              <w:p w14:paraId="7EB6ECB5" w14:textId="77777777" w:rsidR="00E57DAA" w:rsidRDefault="00AC4185">
                <w:pPr>
                  <w:jc w:val="center"/>
                  <w:rPr>
                    <w:szCs w:val="21"/>
                  </w:rPr>
                </w:pPr>
                <w:r>
                  <w:rPr>
                    <w:rFonts w:hint="eastAsia"/>
                    <w:szCs w:val="21"/>
                  </w:rPr>
                  <w:t>项目</w:t>
                </w:r>
              </w:p>
            </w:tc>
          </w:sdtContent>
        </w:sdt>
        <w:sdt>
          <w:sdtPr>
            <w:tag w:val="_PLD_dad829d6a45646668218857399318d20"/>
            <w:id w:val="139014539"/>
          </w:sdtPr>
          <w:sdtEndPr/>
          <w:sdtContent>
            <w:tc>
              <w:tcPr>
                <w:tcW w:w="1678" w:type="pct"/>
                <w:shd w:val="clear" w:color="auto" w:fill="auto"/>
              </w:tcPr>
              <w:p w14:paraId="4AA3DC55" w14:textId="77777777" w:rsidR="00E57DAA" w:rsidRDefault="00AC4185">
                <w:pPr>
                  <w:jc w:val="center"/>
                  <w:rPr>
                    <w:szCs w:val="21"/>
                  </w:rPr>
                </w:pPr>
                <w:r>
                  <w:rPr>
                    <w:rFonts w:hint="eastAsia"/>
                    <w:szCs w:val="21"/>
                  </w:rPr>
                  <w:t>期末余额</w:t>
                </w:r>
              </w:p>
            </w:tc>
          </w:sdtContent>
        </w:sdt>
        <w:sdt>
          <w:sdtPr>
            <w:tag w:val="_PLD_9d1d036ddf0544b2b2ddd1dc5633a114"/>
            <w:id w:val="-427662820"/>
          </w:sdtPr>
          <w:sdtEndPr/>
          <w:sdtContent>
            <w:tc>
              <w:tcPr>
                <w:tcW w:w="1715" w:type="pct"/>
                <w:shd w:val="clear" w:color="auto" w:fill="auto"/>
              </w:tcPr>
              <w:p w14:paraId="0B487708" w14:textId="77777777" w:rsidR="00E57DAA" w:rsidRDefault="00AC4185">
                <w:pPr>
                  <w:jc w:val="center"/>
                  <w:rPr>
                    <w:szCs w:val="21"/>
                  </w:rPr>
                </w:pPr>
                <w:r>
                  <w:rPr>
                    <w:rFonts w:hint="eastAsia"/>
                    <w:szCs w:val="21"/>
                  </w:rPr>
                  <w:t>期初余额</w:t>
                </w:r>
              </w:p>
            </w:tc>
          </w:sdtContent>
        </w:sdt>
      </w:tr>
      <w:tr w:rsidR="00E57DAA" w14:paraId="7081BDD5" w14:textId="77777777">
        <w:tc>
          <w:tcPr>
            <w:tcW w:w="1607" w:type="pct"/>
            <w:shd w:val="clear" w:color="auto" w:fill="auto"/>
          </w:tcPr>
          <w:p w14:paraId="26A48067" w14:textId="77777777" w:rsidR="00E57DAA" w:rsidRDefault="00AC4185">
            <w:pPr>
              <w:rPr>
                <w:szCs w:val="21"/>
              </w:rPr>
            </w:pPr>
            <w:r>
              <w:rPr>
                <w:rFonts w:hint="eastAsia"/>
                <w:szCs w:val="21"/>
              </w:rPr>
              <w:t>1年内到期的长期借款</w:t>
            </w:r>
          </w:p>
        </w:tc>
        <w:tc>
          <w:tcPr>
            <w:tcW w:w="1678" w:type="pct"/>
            <w:shd w:val="clear" w:color="auto" w:fill="auto"/>
            <w:vAlign w:val="center"/>
          </w:tcPr>
          <w:p w14:paraId="0FDEA9A4" w14:textId="77777777" w:rsidR="00E57DAA" w:rsidRDefault="00AC4185">
            <w:pPr>
              <w:jc w:val="right"/>
              <w:rPr>
                <w:szCs w:val="21"/>
              </w:rPr>
            </w:pPr>
            <w:r>
              <w:t>992,575,177.53</w:t>
            </w:r>
          </w:p>
        </w:tc>
        <w:tc>
          <w:tcPr>
            <w:tcW w:w="1715" w:type="pct"/>
            <w:shd w:val="clear" w:color="auto" w:fill="auto"/>
            <w:vAlign w:val="center"/>
          </w:tcPr>
          <w:p w14:paraId="6C1EB139" w14:textId="77777777" w:rsidR="00E57DAA" w:rsidRDefault="00AC4185">
            <w:pPr>
              <w:jc w:val="right"/>
              <w:rPr>
                <w:szCs w:val="21"/>
              </w:rPr>
            </w:pPr>
            <w:r>
              <w:t>749,455,825.20</w:t>
            </w:r>
          </w:p>
        </w:tc>
      </w:tr>
      <w:tr w:rsidR="00E57DAA" w14:paraId="70C2489A" w14:textId="77777777">
        <w:tc>
          <w:tcPr>
            <w:tcW w:w="1607" w:type="pct"/>
            <w:shd w:val="clear" w:color="auto" w:fill="auto"/>
          </w:tcPr>
          <w:p w14:paraId="3C5C8466" w14:textId="77777777" w:rsidR="00E57DAA" w:rsidRDefault="00AC4185">
            <w:pPr>
              <w:rPr>
                <w:szCs w:val="21"/>
              </w:rPr>
            </w:pPr>
            <w:r>
              <w:rPr>
                <w:rFonts w:hint="eastAsia"/>
                <w:szCs w:val="21"/>
              </w:rPr>
              <w:t>1年内到期的应付债券</w:t>
            </w:r>
          </w:p>
        </w:tc>
        <w:tc>
          <w:tcPr>
            <w:tcW w:w="1678" w:type="pct"/>
            <w:shd w:val="clear" w:color="auto" w:fill="auto"/>
            <w:vAlign w:val="center"/>
          </w:tcPr>
          <w:p w14:paraId="445005CF" w14:textId="77777777" w:rsidR="00E57DAA" w:rsidRDefault="00AC4185">
            <w:pPr>
              <w:jc w:val="right"/>
              <w:rPr>
                <w:szCs w:val="21"/>
              </w:rPr>
            </w:pPr>
            <w:r>
              <w:t>509,408,219.18</w:t>
            </w:r>
          </w:p>
        </w:tc>
        <w:tc>
          <w:tcPr>
            <w:tcW w:w="1715" w:type="pct"/>
            <w:shd w:val="clear" w:color="auto" w:fill="auto"/>
            <w:vAlign w:val="center"/>
          </w:tcPr>
          <w:p w14:paraId="4CFBBE59" w14:textId="77777777" w:rsidR="00E57DAA" w:rsidRDefault="00AC4185">
            <w:pPr>
              <w:jc w:val="right"/>
              <w:rPr>
                <w:szCs w:val="21"/>
              </w:rPr>
            </w:pPr>
            <w:r>
              <w:t>9,437,808.22</w:t>
            </w:r>
          </w:p>
        </w:tc>
      </w:tr>
      <w:tr w:rsidR="00E57DAA" w14:paraId="2CBD318B" w14:textId="77777777">
        <w:tc>
          <w:tcPr>
            <w:tcW w:w="1607" w:type="pct"/>
            <w:shd w:val="clear" w:color="auto" w:fill="auto"/>
          </w:tcPr>
          <w:p w14:paraId="686827D7" w14:textId="77777777" w:rsidR="00E57DAA" w:rsidRDefault="00AC4185">
            <w:pPr>
              <w:rPr>
                <w:szCs w:val="21"/>
              </w:rPr>
            </w:pPr>
            <w:r>
              <w:rPr>
                <w:rFonts w:hint="eastAsia"/>
                <w:szCs w:val="21"/>
              </w:rPr>
              <w:t>1年内到期的长期应付款</w:t>
            </w:r>
          </w:p>
        </w:tc>
        <w:tc>
          <w:tcPr>
            <w:tcW w:w="1678" w:type="pct"/>
            <w:shd w:val="clear" w:color="auto" w:fill="auto"/>
            <w:vAlign w:val="center"/>
          </w:tcPr>
          <w:p w14:paraId="7ECD5285" w14:textId="77777777" w:rsidR="00E57DAA" w:rsidRDefault="00AC4185">
            <w:pPr>
              <w:jc w:val="right"/>
              <w:rPr>
                <w:szCs w:val="21"/>
              </w:rPr>
            </w:pPr>
            <w:r>
              <w:t>18,482,577.97</w:t>
            </w:r>
          </w:p>
        </w:tc>
        <w:tc>
          <w:tcPr>
            <w:tcW w:w="1715" w:type="pct"/>
            <w:shd w:val="clear" w:color="auto" w:fill="auto"/>
            <w:vAlign w:val="center"/>
          </w:tcPr>
          <w:p w14:paraId="25E3BC58" w14:textId="77777777" w:rsidR="00E57DAA" w:rsidRDefault="00AC4185">
            <w:pPr>
              <w:jc w:val="right"/>
              <w:rPr>
                <w:szCs w:val="21"/>
              </w:rPr>
            </w:pPr>
            <w:r>
              <w:t>9,171,020.66</w:t>
            </w:r>
          </w:p>
        </w:tc>
      </w:tr>
      <w:tr w:rsidR="00E57DAA" w14:paraId="55B956F8" w14:textId="77777777">
        <w:tc>
          <w:tcPr>
            <w:tcW w:w="1607" w:type="pct"/>
            <w:shd w:val="clear" w:color="auto" w:fill="auto"/>
          </w:tcPr>
          <w:p w14:paraId="71227676" w14:textId="77777777" w:rsidR="00E57DAA" w:rsidRDefault="00AC4185" w:rsidP="00C25422">
            <w:pPr>
              <w:pStyle w:val="92"/>
            </w:pPr>
            <w:r>
              <w:rPr>
                <w:rFonts w:hint="eastAsia"/>
              </w:rPr>
              <w:t>1年内到期的租赁负债</w:t>
            </w:r>
          </w:p>
        </w:tc>
        <w:tc>
          <w:tcPr>
            <w:tcW w:w="1678" w:type="pct"/>
            <w:shd w:val="clear" w:color="auto" w:fill="auto"/>
            <w:vAlign w:val="center"/>
          </w:tcPr>
          <w:p w14:paraId="52278C52" w14:textId="77777777" w:rsidR="00E57DAA" w:rsidRDefault="00AC4185">
            <w:pPr>
              <w:jc w:val="right"/>
              <w:rPr>
                <w:szCs w:val="21"/>
              </w:rPr>
            </w:pPr>
            <w:r>
              <w:t>15,866,310.91</w:t>
            </w:r>
          </w:p>
        </w:tc>
        <w:tc>
          <w:tcPr>
            <w:tcW w:w="1715" w:type="pct"/>
            <w:shd w:val="clear" w:color="auto" w:fill="auto"/>
            <w:vAlign w:val="center"/>
          </w:tcPr>
          <w:p w14:paraId="523EFE94" w14:textId="77777777" w:rsidR="00E57DAA" w:rsidRDefault="00AC4185">
            <w:pPr>
              <w:jc w:val="right"/>
              <w:rPr>
                <w:szCs w:val="21"/>
              </w:rPr>
            </w:pPr>
            <w:r>
              <w:t>18,583,005.32</w:t>
            </w:r>
          </w:p>
        </w:tc>
      </w:tr>
      <w:tr w:rsidR="00E57DAA" w14:paraId="703F305D" w14:textId="77777777">
        <w:tc>
          <w:tcPr>
            <w:tcW w:w="1607" w:type="pct"/>
            <w:shd w:val="clear" w:color="auto" w:fill="auto"/>
          </w:tcPr>
          <w:p w14:paraId="424A54D1" w14:textId="77777777" w:rsidR="00E57DAA" w:rsidRDefault="00AC4185">
            <w:pPr>
              <w:jc w:val="center"/>
              <w:rPr>
                <w:szCs w:val="21"/>
              </w:rPr>
            </w:pPr>
            <w:r>
              <w:rPr>
                <w:rFonts w:hint="eastAsia"/>
                <w:szCs w:val="21"/>
              </w:rPr>
              <w:t>合计</w:t>
            </w:r>
          </w:p>
        </w:tc>
        <w:tc>
          <w:tcPr>
            <w:tcW w:w="1678" w:type="pct"/>
            <w:shd w:val="clear" w:color="auto" w:fill="auto"/>
            <w:vAlign w:val="center"/>
          </w:tcPr>
          <w:p w14:paraId="38A49EE8" w14:textId="77777777" w:rsidR="00E57DAA" w:rsidRDefault="00AC4185">
            <w:pPr>
              <w:jc w:val="right"/>
              <w:rPr>
                <w:szCs w:val="21"/>
              </w:rPr>
            </w:pPr>
            <w:r>
              <w:t>1,536,332,285.59</w:t>
            </w:r>
          </w:p>
        </w:tc>
        <w:tc>
          <w:tcPr>
            <w:tcW w:w="1715" w:type="pct"/>
            <w:shd w:val="clear" w:color="auto" w:fill="auto"/>
            <w:vAlign w:val="center"/>
          </w:tcPr>
          <w:p w14:paraId="1E7100FA" w14:textId="77777777" w:rsidR="00E57DAA" w:rsidRDefault="00AC4185">
            <w:pPr>
              <w:jc w:val="right"/>
              <w:rPr>
                <w:szCs w:val="21"/>
              </w:rPr>
            </w:pPr>
            <w:r>
              <w:t>786,647,659.40</w:t>
            </w:r>
          </w:p>
        </w:tc>
      </w:tr>
      <w:bookmarkEnd w:id="279"/>
    </w:tbl>
    <w:p w14:paraId="432F4CCE" w14:textId="77777777" w:rsidR="00E57DAA" w:rsidRDefault="00E57DAA">
      <w:pPr>
        <w:rPr>
          <w:szCs w:val="21"/>
        </w:rPr>
      </w:pPr>
    </w:p>
    <w:p w14:paraId="08A25FC5" w14:textId="77777777" w:rsidR="00E57DAA" w:rsidRDefault="00AC4185" w:rsidP="00C25422">
      <w:pPr>
        <w:pStyle w:val="91"/>
        <w:numPr>
          <w:ilvl w:val="0"/>
          <w:numId w:val="69"/>
        </w:numPr>
      </w:pPr>
      <w:r>
        <w:rPr>
          <w:rFonts w:hint="eastAsia"/>
        </w:rPr>
        <w:t>其他流动负债</w:t>
      </w:r>
    </w:p>
    <w:p w14:paraId="5840AF61" w14:textId="77777777" w:rsidR="00E57DAA" w:rsidRDefault="00AC4185">
      <w:pPr>
        <w:rPr>
          <w:szCs w:val="21"/>
        </w:rPr>
      </w:pPr>
      <w:r>
        <w:rPr>
          <w:rFonts w:hint="eastAsia"/>
          <w:szCs w:val="21"/>
        </w:rPr>
        <w:t>其他流动负债情况</w:t>
      </w:r>
    </w:p>
    <w:bookmarkStart w:id="280" w:name="_Hlk533670262" w:displacedByCustomXml="next"/>
    <w:sdt>
      <w:sdtPr>
        <w:rPr>
          <w:rFonts w:hint="eastAsia"/>
          <w:szCs w:val="21"/>
        </w:rPr>
        <w:alias w:val="是否适用：其他流动负债情况 [双击切换]"/>
        <w:tag w:val="_GBC_a84ebf5eebf04d4ab9f07c3da85115c2"/>
        <w:id w:val="383606129"/>
        <w:placeholder>
          <w:docPart w:val="GBC22222222222222222222222222222"/>
        </w:placeholder>
      </w:sdtPr>
      <w:sdtEndPr/>
      <w:sdtContent>
        <w:p w14:paraId="4494F98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3568FE" w14:textId="77777777" w:rsidR="00E57DAA" w:rsidRDefault="00AC4185">
      <w:pPr>
        <w:jc w:val="right"/>
        <w:rPr>
          <w:szCs w:val="21"/>
        </w:rPr>
      </w:pPr>
      <w:r>
        <w:rPr>
          <w:rFonts w:hint="eastAsia"/>
          <w:szCs w:val="21"/>
        </w:rPr>
        <w:t>单位：</w:t>
      </w:r>
      <w:sdt>
        <w:sdtPr>
          <w:rPr>
            <w:rFonts w:hint="eastAsia"/>
            <w:szCs w:val="21"/>
          </w:rPr>
          <w:alias w:val="单位：财务附注：其他流动负债"/>
          <w:tag w:val="_GBC_1a3ea80bd2b9426ead4537785c82d01e"/>
          <w:id w:val="3486825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20014700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2"/>
        <w:gridCol w:w="3040"/>
        <w:gridCol w:w="3051"/>
      </w:tblGrid>
      <w:tr w:rsidR="00E57DAA" w14:paraId="17F83AF6" w14:textId="77777777">
        <w:trPr>
          <w:jc w:val="center"/>
        </w:trPr>
        <w:bookmarkEnd w:id="280" w:displacedByCustomXml="next"/>
        <w:bookmarkStart w:id="281" w:name="_Hlk533423091" w:displacedByCustomXml="next"/>
        <w:sdt>
          <w:sdtPr>
            <w:tag w:val="_PLD_96b7e8e5e688449c87d23adc1b63439f"/>
            <w:id w:val="-2105793289"/>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76098D8B" w14:textId="77777777" w:rsidR="00E57DAA" w:rsidRDefault="00AC4185">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1908111300"/>
          </w:sdtPr>
          <w:sdtEndPr/>
          <w:sdtContent>
            <w:tc>
              <w:tcPr>
                <w:tcW w:w="1723" w:type="pct"/>
                <w:tcBorders>
                  <w:top w:val="single" w:sz="4" w:space="0" w:color="auto"/>
                  <w:left w:val="single" w:sz="4" w:space="0" w:color="auto"/>
                  <w:bottom w:val="single" w:sz="4" w:space="0" w:color="auto"/>
                  <w:right w:val="single" w:sz="4" w:space="0" w:color="auto"/>
                </w:tcBorders>
              </w:tcPr>
              <w:p w14:paraId="67881351" w14:textId="77777777" w:rsidR="00E57DAA" w:rsidRDefault="00AC4185">
                <w:pPr>
                  <w:adjustRightInd w:val="0"/>
                  <w:snapToGrid w:val="0"/>
                  <w:jc w:val="center"/>
                  <w:rPr>
                    <w:szCs w:val="21"/>
                  </w:rPr>
                </w:pPr>
                <w:r>
                  <w:rPr>
                    <w:rFonts w:hint="eastAsia"/>
                    <w:szCs w:val="21"/>
                  </w:rPr>
                  <w:t>期末余额</w:t>
                </w:r>
              </w:p>
            </w:tc>
          </w:sdtContent>
        </w:sdt>
        <w:sdt>
          <w:sdtPr>
            <w:tag w:val="_PLD_426d25a331b04af9b2ec53d6a7e168d4"/>
            <w:id w:val="-171952943"/>
          </w:sdtPr>
          <w:sdtEndPr/>
          <w:sdtContent>
            <w:tc>
              <w:tcPr>
                <w:tcW w:w="1729" w:type="pct"/>
                <w:tcBorders>
                  <w:top w:val="single" w:sz="4" w:space="0" w:color="auto"/>
                  <w:left w:val="single" w:sz="4" w:space="0" w:color="auto"/>
                  <w:bottom w:val="single" w:sz="4" w:space="0" w:color="auto"/>
                  <w:right w:val="single" w:sz="4" w:space="0" w:color="auto"/>
                </w:tcBorders>
              </w:tcPr>
              <w:p w14:paraId="6A59F426" w14:textId="77777777" w:rsidR="00E57DAA" w:rsidRDefault="00AC4185">
                <w:pPr>
                  <w:adjustRightInd w:val="0"/>
                  <w:snapToGrid w:val="0"/>
                  <w:jc w:val="center"/>
                  <w:rPr>
                    <w:szCs w:val="21"/>
                  </w:rPr>
                </w:pPr>
                <w:r>
                  <w:rPr>
                    <w:rFonts w:hint="eastAsia"/>
                    <w:szCs w:val="21"/>
                  </w:rPr>
                  <w:t>期初余额</w:t>
                </w:r>
              </w:p>
            </w:tc>
          </w:sdtContent>
        </w:sdt>
      </w:tr>
      <w:tr w:rsidR="00E57DAA" w14:paraId="351DA020"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28FAAB16" w14:textId="77777777" w:rsidR="00E57DAA" w:rsidRDefault="00AC4185">
            <w:pPr>
              <w:rPr>
                <w:szCs w:val="21"/>
              </w:rPr>
            </w:pPr>
            <w:r>
              <w:t>待转销项税额</w:t>
            </w:r>
          </w:p>
        </w:tc>
        <w:tc>
          <w:tcPr>
            <w:tcW w:w="1723" w:type="pct"/>
            <w:tcBorders>
              <w:top w:val="single" w:sz="4" w:space="0" w:color="auto"/>
              <w:left w:val="single" w:sz="4" w:space="0" w:color="auto"/>
              <w:bottom w:val="single" w:sz="4" w:space="0" w:color="auto"/>
              <w:right w:val="single" w:sz="4" w:space="0" w:color="auto"/>
            </w:tcBorders>
          </w:tcPr>
          <w:p w14:paraId="33823BEA" w14:textId="77777777" w:rsidR="00E57DAA" w:rsidRDefault="00AC4185">
            <w:pPr>
              <w:jc w:val="right"/>
              <w:rPr>
                <w:szCs w:val="21"/>
              </w:rPr>
            </w:pPr>
            <w:r>
              <w:t>307,339,597.99</w:t>
            </w:r>
          </w:p>
        </w:tc>
        <w:tc>
          <w:tcPr>
            <w:tcW w:w="1729" w:type="pct"/>
            <w:tcBorders>
              <w:top w:val="single" w:sz="4" w:space="0" w:color="auto"/>
              <w:left w:val="single" w:sz="4" w:space="0" w:color="auto"/>
              <w:bottom w:val="single" w:sz="4" w:space="0" w:color="auto"/>
              <w:right w:val="single" w:sz="4" w:space="0" w:color="auto"/>
            </w:tcBorders>
          </w:tcPr>
          <w:p w14:paraId="26416071" w14:textId="77777777" w:rsidR="00E57DAA" w:rsidRDefault="00AC4185">
            <w:pPr>
              <w:jc w:val="right"/>
              <w:rPr>
                <w:szCs w:val="21"/>
              </w:rPr>
            </w:pPr>
            <w:r>
              <w:t>330,083,877.69</w:t>
            </w:r>
          </w:p>
        </w:tc>
      </w:tr>
      <w:tr w:rsidR="00E57DAA" w14:paraId="537C7EBD"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4C94B3A1" w14:textId="77777777" w:rsidR="00E57DAA" w:rsidRDefault="00AC4185">
            <w:pPr>
              <w:rPr>
                <w:szCs w:val="21"/>
              </w:rPr>
            </w:pPr>
            <w:r>
              <w:t>供应链融资</w:t>
            </w:r>
          </w:p>
        </w:tc>
        <w:tc>
          <w:tcPr>
            <w:tcW w:w="1723" w:type="pct"/>
            <w:tcBorders>
              <w:top w:val="single" w:sz="4" w:space="0" w:color="auto"/>
              <w:left w:val="single" w:sz="4" w:space="0" w:color="auto"/>
              <w:bottom w:val="single" w:sz="4" w:space="0" w:color="auto"/>
              <w:right w:val="single" w:sz="4" w:space="0" w:color="auto"/>
            </w:tcBorders>
          </w:tcPr>
          <w:p w14:paraId="7FBC16AE" w14:textId="77777777" w:rsidR="00E57DAA" w:rsidRDefault="00AC4185">
            <w:pPr>
              <w:jc w:val="right"/>
              <w:rPr>
                <w:szCs w:val="21"/>
              </w:rPr>
            </w:pPr>
            <w:r>
              <w:t>62,408,032.53</w:t>
            </w:r>
          </w:p>
        </w:tc>
        <w:tc>
          <w:tcPr>
            <w:tcW w:w="1729" w:type="pct"/>
            <w:tcBorders>
              <w:top w:val="single" w:sz="4" w:space="0" w:color="auto"/>
              <w:left w:val="single" w:sz="4" w:space="0" w:color="auto"/>
              <w:bottom w:val="single" w:sz="4" w:space="0" w:color="auto"/>
              <w:right w:val="single" w:sz="4" w:space="0" w:color="auto"/>
            </w:tcBorders>
          </w:tcPr>
          <w:p w14:paraId="6DBF0054" w14:textId="77777777" w:rsidR="00E57DAA" w:rsidRDefault="00AC4185">
            <w:pPr>
              <w:jc w:val="right"/>
              <w:rPr>
                <w:szCs w:val="21"/>
              </w:rPr>
            </w:pPr>
            <w:r>
              <w:t>30,616,452.05</w:t>
            </w:r>
          </w:p>
        </w:tc>
      </w:tr>
      <w:tr w:rsidR="00E57DAA" w14:paraId="16EE7D0B"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6A170BF9" w14:textId="77777777" w:rsidR="00E57DAA" w:rsidRDefault="00AC4185">
            <w:pPr>
              <w:jc w:val="center"/>
              <w:rPr>
                <w:szCs w:val="21"/>
              </w:rPr>
            </w:pPr>
            <w:r>
              <w:rPr>
                <w:rFonts w:hint="eastAsia"/>
                <w:szCs w:val="21"/>
              </w:rPr>
              <w:t>合计</w:t>
            </w:r>
          </w:p>
        </w:tc>
        <w:tc>
          <w:tcPr>
            <w:tcW w:w="1723" w:type="pct"/>
            <w:tcBorders>
              <w:top w:val="single" w:sz="4" w:space="0" w:color="auto"/>
              <w:left w:val="single" w:sz="4" w:space="0" w:color="auto"/>
              <w:bottom w:val="single" w:sz="4" w:space="0" w:color="auto"/>
              <w:right w:val="single" w:sz="4" w:space="0" w:color="auto"/>
            </w:tcBorders>
            <w:vAlign w:val="center"/>
          </w:tcPr>
          <w:p w14:paraId="11333E34" w14:textId="77777777" w:rsidR="00E57DAA" w:rsidRDefault="00AC4185">
            <w:pPr>
              <w:jc w:val="right"/>
              <w:rPr>
                <w:szCs w:val="21"/>
              </w:rPr>
            </w:pPr>
            <w:r>
              <w:t>369,747,630.52</w:t>
            </w:r>
          </w:p>
        </w:tc>
        <w:tc>
          <w:tcPr>
            <w:tcW w:w="1729" w:type="pct"/>
            <w:tcBorders>
              <w:top w:val="single" w:sz="4" w:space="0" w:color="auto"/>
              <w:left w:val="single" w:sz="4" w:space="0" w:color="auto"/>
              <w:bottom w:val="single" w:sz="4" w:space="0" w:color="auto"/>
              <w:right w:val="single" w:sz="4" w:space="0" w:color="auto"/>
            </w:tcBorders>
            <w:vAlign w:val="center"/>
          </w:tcPr>
          <w:p w14:paraId="75E61632" w14:textId="77777777" w:rsidR="00E57DAA" w:rsidRDefault="00AC4185">
            <w:pPr>
              <w:jc w:val="right"/>
              <w:rPr>
                <w:szCs w:val="21"/>
              </w:rPr>
            </w:pPr>
            <w:r>
              <w:t>360,700,329.74</w:t>
            </w:r>
          </w:p>
        </w:tc>
      </w:tr>
    </w:tbl>
    <w:p w14:paraId="563FD2A8" w14:textId="77777777" w:rsidR="00E57DAA" w:rsidRDefault="00E57DAA" w:rsidP="00C25422">
      <w:pPr>
        <w:pStyle w:val="92"/>
      </w:pPr>
    </w:p>
    <w:p w14:paraId="698151B1" w14:textId="77777777" w:rsidR="00E57DAA" w:rsidRDefault="00E57DAA">
      <w:pPr>
        <w:rPr>
          <w:szCs w:val="21"/>
        </w:rPr>
      </w:pPr>
    </w:p>
    <w:p w14:paraId="2127EB43" w14:textId="77777777" w:rsidR="00E57DAA" w:rsidRDefault="00AC4185" w:rsidP="00C25422">
      <w:pPr>
        <w:pStyle w:val="92"/>
      </w:pPr>
      <w:r>
        <w:rPr>
          <w:rFonts w:hint="eastAsia"/>
        </w:rPr>
        <w:t>短期</w:t>
      </w:r>
      <w:r>
        <w:t>应付债券的增减变动</w:t>
      </w:r>
      <w:r>
        <w:rPr>
          <w:rFonts w:hint="eastAsia"/>
        </w:rPr>
        <w:t>：</w:t>
      </w:r>
    </w:p>
    <w:bookmarkEnd w:id="281" w:displacedByCustomXml="next"/>
    <w:sdt>
      <w:sdtPr>
        <w:alias w:val="是否适用：短期应付债券的增减变动[双击切换]"/>
        <w:tag w:val="_GBC_9702365af41547e6b7eeb62225fd79a4"/>
        <w:id w:val="407122215"/>
        <w:placeholder>
          <w:docPart w:val="GBC22222222222222222222222222222"/>
        </w:placeholder>
      </w:sdtPr>
      <w:sdtEndPr/>
      <w:sdtContent>
        <w:p w14:paraId="13793BC4"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CF67A30" w14:textId="77777777" w:rsidR="00E57DAA" w:rsidRDefault="00E57DAA">
      <w:pPr>
        <w:rPr>
          <w:szCs w:val="21"/>
        </w:rPr>
      </w:pPr>
    </w:p>
    <w:p w14:paraId="06BA4ED2" w14:textId="77777777" w:rsidR="00E57DAA" w:rsidRDefault="00AC4185">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9066375"/>
        <w:placeholder>
          <w:docPart w:val="GBC22222222222222222222222222222"/>
        </w:placeholder>
      </w:sdtPr>
      <w:sdtEndPr/>
      <w:sdtContent>
        <w:p w14:paraId="346E776D" w14:textId="77777777" w:rsidR="00E57DAA" w:rsidRDefault="00AC418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E85FBA" w14:textId="77777777" w:rsidR="00E57DAA" w:rsidRDefault="00E57DAA">
      <w:pPr>
        <w:rPr>
          <w:szCs w:val="21"/>
        </w:rPr>
      </w:pPr>
    </w:p>
    <w:p w14:paraId="49AD0EDA" w14:textId="77777777" w:rsidR="00E57DAA" w:rsidRDefault="00AC4185" w:rsidP="00C25422">
      <w:pPr>
        <w:pStyle w:val="91"/>
        <w:numPr>
          <w:ilvl w:val="0"/>
          <w:numId w:val="69"/>
        </w:numPr>
      </w:pPr>
      <w:r>
        <w:rPr>
          <w:rFonts w:hint="eastAsia"/>
        </w:rPr>
        <w:t>长期借款</w:t>
      </w:r>
    </w:p>
    <w:p w14:paraId="0F1FA873" w14:textId="77777777" w:rsidR="00E57DAA" w:rsidRDefault="00AC4185">
      <w:pPr>
        <w:pStyle w:val="4"/>
        <w:numPr>
          <w:ilvl w:val="3"/>
          <w:numId w:val="98"/>
        </w:numPr>
      </w:pPr>
      <w:r>
        <w:rPr>
          <w:rFonts w:hint="eastAsia"/>
        </w:rPr>
        <w:t>长期借款分类</w:t>
      </w:r>
    </w:p>
    <w:sdt>
      <w:sdtPr>
        <w:alias w:val="是否适用：长期借款分类[双击切换]"/>
        <w:tag w:val="_GBC_f97d0882083646ed86769469b3ee8875"/>
        <w:id w:val="-2093455709"/>
        <w:placeholder>
          <w:docPart w:val="GBC22222222222222222222222222222"/>
        </w:placeholder>
      </w:sdtPr>
      <w:sdtEndPr/>
      <w:sdtContent>
        <w:p w14:paraId="4C8E02C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0DF65E" w14:textId="77777777" w:rsidR="00E57DAA" w:rsidRDefault="00AC4185">
      <w:pPr>
        <w:jc w:val="right"/>
        <w:rPr>
          <w:szCs w:val="21"/>
        </w:rPr>
      </w:pPr>
      <w:r>
        <w:rPr>
          <w:rFonts w:hint="eastAsia"/>
          <w:szCs w:val="21"/>
        </w:rPr>
        <w:t>单位：</w:t>
      </w:r>
      <w:sdt>
        <w:sdtPr>
          <w:rPr>
            <w:rFonts w:hint="eastAsia"/>
            <w:szCs w:val="21"/>
          </w:rPr>
          <w:alias w:val="单位：财务附注：长期借款分类"/>
          <w:tag w:val="_GBC_1469e55f5b66428a857f07acaf1e4ae0"/>
          <w:id w:val="-5809029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5215140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2975"/>
        <w:gridCol w:w="2873"/>
      </w:tblGrid>
      <w:tr w:rsidR="00E57DAA" w14:paraId="095641AB" w14:textId="77777777">
        <w:trPr>
          <w:cantSplit/>
        </w:trPr>
        <w:sdt>
          <w:sdtPr>
            <w:tag w:val="_PLD_4e1b60888e3248369c96087fd1f19eed"/>
            <w:id w:val="1270513493"/>
          </w:sdtPr>
          <w:sdtEndPr/>
          <w:sdtContent>
            <w:tc>
              <w:tcPr>
                <w:tcW w:w="1686" w:type="pct"/>
              </w:tcPr>
              <w:p w14:paraId="55B15F12" w14:textId="77777777" w:rsidR="00E57DAA" w:rsidRDefault="00AC4185">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715935704"/>
          </w:sdtPr>
          <w:sdtEndPr/>
          <w:sdtContent>
            <w:tc>
              <w:tcPr>
                <w:tcW w:w="1686" w:type="pct"/>
              </w:tcPr>
              <w:p w14:paraId="1099172D" w14:textId="77777777" w:rsidR="00E57DAA" w:rsidRDefault="00AC4185">
                <w:pPr>
                  <w:jc w:val="center"/>
                  <w:rPr>
                    <w:szCs w:val="21"/>
                  </w:rPr>
                </w:pPr>
                <w:r>
                  <w:rPr>
                    <w:rFonts w:hint="eastAsia"/>
                    <w:szCs w:val="21"/>
                  </w:rPr>
                  <w:t>期末余额</w:t>
                </w:r>
              </w:p>
            </w:tc>
          </w:sdtContent>
        </w:sdt>
        <w:sdt>
          <w:sdtPr>
            <w:tag w:val="_PLD_9b129c446a5847edb58141b866ffac5d"/>
            <w:id w:val="1749143837"/>
          </w:sdtPr>
          <w:sdtEndPr/>
          <w:sdtContent>
            <w:tc>
              <w:tcPr>
                <w:tcW w:w="1628" w:type="pct"/>
              </w:tcPr>
              <w:p w14:paraId="5C1AC075" w14:textId="77777777" w:rsidR="00E57DAA" w:rsidRDefault="00AC4185">
                <w:pPr>
                  <w:jc w:val="center"/>
                  <w:rPr>
                    <w:szCs w:val="21"/>
                  </w:rPr>
                </w:pPr>
                <w:r>
                  <w:rPr>
                    <w:rFonts w:hint="eastAsia"/>
                    <w:szCs w:val="21"/>
                  </w:rPr>
                  <w:t>期初余额</w:t>
                </w:r>
              </w:p>
            </w:tc>
          </w:sdtContent>
        </w:sdt>
      </w:tr>
      <w:tr w:rsidR="00E57DAA" w14:paraId="711768C7" w14:textId="77777777">
        <w:trPr>
          <w:cantSplit/>
        </w:trPr>
        <w:tc>
          <w:tcPr>
            <w:tcW w:w="1686" w:type="pct"/>
            <w:shd w:val="clear" w:color="auto" w:fill="auto"/>
          </w:tcPr>
          <w:p w14:paraId="4D21E595" w14:textId="77777777" w:rsidR="00E57DAA" w:rsidRDefault="00AC4185">
            <w:pPr>
              <w:autoSpaceDE w:val="0"/>
              <w:autoSpaceDN w:val="0"/>
              <w:adjustRightInd w:val="0"/>
              <w:snapToGrid w:val="0"/>
              <w:rPr>
                <w:szCs w:val="21"/>
              </w:rPr>
            </w:pPr>
            <w:r>
              <w:rPr>
                <w:rFonts w:hint="eastAsia"/>
                <w:szCs w:val="21"/>
              </w:rPr>
              <w:t>信用借款</w:t>
            </w:r>
          </w:p>
        </w:tc>
        <w:tc>
          <w:tcPr>
            <w:tcW w:w="1686" w:type="pct"/>
            <w:shd w:val="clear" w:color="auto" w:fill="auto"/>
            <w:vAlign w:val="center"/>
          </w:tcPr>
          <w:p w14:paraId="28716244" w14:textId="77777777" w:rsidR="00E57DAA" w:rsidRDefault="00AC4185">
            <w:pPr>
              <w:autoSpaceDE w:val="0"/>
              <w:autoSpaceDN w:val="0"/>
              <w:adjustRightInd w:val="0"/>
              <w:snapToGrid w:val="0"/>
              <w:ind w:right="180"/>
              <w:jc w:val="right"/>
              <w:rPr>
                <w:szCs w:val="21"/>
              </w:rPr>
            </w:pPr>
            <w:r>
              <w:t>1,860,553,484.99</w:t>
            </w:r>
          </w:p>
        </w:tc>
        <w:tc>
          <w:tcPr>
            <w:tcW w:w="1628" w:type="pct"/>
            <w:shd w:val="clear" w:color="auto" w:fill="auto"/>
            <w:vAlign w:val="center"/>
          </w:tcPr>
          <w:p w14:paraId="20D39C14" w14:textId="77777777" w:rsidR="00E57DAA" w:rsidRDefault="00AC4185">
            <w:pPr>
              <w:jc w:val="right"/>
              <w:rPr>
                <w:szCs w:val="21"/>
              </w:rPr>
            </w:pPr>
            <w:r>
              <w:t>713,302,297.83</w:t>
            </w:r>
          </w:p>
        </w:tc>
      </w:tr>
      <w:tr w:rsidR="00E57DAA" w14:paraId="5A77D543" w14:textId="77777777">
        <w:trPr>
          <w:cantSplit/>
        </w:trPr>
        <w:tc>
          <w:tcPr>
            <w:tcW w:w="1686" w:type="pct"/>
            <w:shd w:val="clear" w:color="auto" w:fill="auto"/>
          </w:tcPr>
          <w:p w14:paraId="2A1B9F5E" w14:textId="77777777" w:rsidR="00E57DAA" w:rsidRDefault="00AC4185">
            <w:pPr>
              <w:autoSpaceDE w:val="0"/>
              <w:autoSpaceDN w:val="0"/>
              <w:adjustRightInd w:val="0"/>
              <w:snapToGrid w:val="0"/>
              <w:rPr>
                <w:szCs w:val="21"/>
              </w:rPr>
            </w:pPr>
            <w:r>
              <w:rPr>
                <w:rFonts w:hint="eastAsia"/>
                <w:szCs w:val="21"/>
              </w:rPr>
              <w:t>保证借款</w:t>
            </w:r>
          </w:p>
        </w:tc>
        <w:tc>
          <w:tcPr>
            <w:tcW w:w="1686" w:type="pct"/>
            <w:shd w:val="clear" w:color="auto" w:fill="auto"/>
            <w:vAlign w:val="center"/>
          </w:tcPr>
          <w:p w14:paraId="00BDA368" w14:textId="77777777" w:rsidR="00E57DAA" w:rsidRDefault="00AC4185">
            <w:pPr>
              <w:autoSpaceDE w:val="0"/>
              <w:autoSpaceDN w:val="0"/>
              <w:adjustRightInd w:val="0"/>
              <w:snapToGrid w:val="0"/>
              <w:ind w:right="180"/>
              <w:jc w:val="right"/>
              <w:rPr>
                <w:szCs w:val="21"/>
              </w:rPr>
            </w:pPr>
            <w:r>
              <w:t>1,019,231,922.15</w:t>
            </w:r>
          </w:p>
        </w:tc>
        <w:tc>
          <w:tcPr>
            <w:tcW w:w="1628" w:type="pct"/>
            <w:shd w:val="clear" w:color="auto" w:fill="auto"/>
            <w:vAlign w:val="center"/>
          </w:tcPr>
          <w:p w14:paraId="0632807C" w14:textId="77777777" w:rsidR="00E57DAA" w:rsidRDefault="00AC4185">
            <w:pPr>
              <w:jc w:val="right"/>
              <w:rPr>
                <w:szCs w:val="21"/>
              </w:rPr>
            </w:pPr>
            <w:r>
              <w:t>1,682,302,595.20</w:t>
            </w:r>
          </w:p>
        </w:tc>
      </w:tr>
      <w:tr w:rsidR="00E57DAA" w14:paraId="6CDF4607" w14:textId="77777777">
        <w:trPr>
          <w:cantSplit/>
        </w:trPr>
        <w:tc>
          <w:tcPr>
            <w:tcW w:w="1686" w:type="pct"/>
            <w:shd w:val="clear" w:color="auto" w:fill="auto"/>
          </w:tcPr>
          <w:p w14:paraId="423D43DD" w14:textId="77777777" w:rsidR="00E57DAA" w:rsidRDefault="00AC4185">
            <w:pPr>
              <w:autoSpaceDE w:val="0"/>
              <w:autoSpaceDN w:val="0"/>
              <w:adjustRightInd w:val="0"/>
              <w:snapToGrid w:val="0"/>
              <w:rPr>
                <w:szCs w:val="21"/>
              </w:rPr>
            </w:pPr>
            <w:r>
              <w:rPr>
                <w:rFonts w:hint="eastAsia"/>
                <w:szCs w:val="21"/>
              </w:rPr>
              <w:t>抵押借款</w:t>
            </w:r>
          </w:p>
        </w:tc>
        <w:tc>
          <w:tcPr>
            <w:tcW w:w="1686" w:type="pct"/>
            <w:shd w:val="clear" w:color="auto" w:fill="auto"/>
            <w:vAlign w:val="center"/>
          </w:tcPr>
          <w:p w14:paraId="43614BAD" w14:textId="77777777" w:rsidR="00E57DAA" w:rsidRDefault="00AC4185">
            <w:pPr>
              <w:autoSpaceDE w:val="0"/>
              <w:autoSpaceDN w:val="0"/>
              <w:adjustRightInd w:val="0"/>
              <w:snapToGrid w:val="0"/>
              <w:ind w:right="180"/>
              <w:jc w:val="right"/>
              <w:rPr>
                <w:szCs w:val="21"/>
              </w:rPr>
            </w:pPr>
            <w:r>
              <w:t>156,497,662.00</w:t>
            </w:r>
          </w:p>
        </w:tc>
        <w:tc>
          <w:tcPr>
            <w:tcW w:w="1628" w:type="pct"/>
            <w:shd w:val="clear" w:color="auto" w:fill="auto"/>
            <w:vAlign w:val="center"/>
          </w:tcPr>
          <w:p w14:paraId="06A11640" w14:textId="77777777" w:rsidR="00E57DAA" w:rsidRDefault="00AC4185">
            <w:pPr>
              <w:jc w:val="right"/>
              <w:rPr>
                <w:szCs w:val="21"/>
              </w:rPr>
            </w:pPr>
            <w:r>
              <w:t>164,581,122.49</w:t>
            </w:r>
          </w:p>
        </w:tc>
      </w:tr>
      <w:tr w:rsidR="00E57DAA" w14:paraId="2B100F0C" w14:textId="77777777">
        <w:trPr>
          <w:cantSplit/>
        </w:trPr>
        <w:tc>
          <w:tcPr>
            <w:tcW w:w="1686" w:type="pct"/>
          </w:tcPr>
          <w:p w14:paraId="4C8E5DE6" w14:textId="77777777" w:rsidR="00E57DAA" w:rsidRDefault="00AC4185">
            <w:pPr>
              <w:autoSpaceDE w:val="0"/>
              <w:autoSpaceDN w:val="0"/>
              <w:adjustRightInd w:val="0"/>
              <w:snapToGrid w:val="0"/>
              <w:rPr>
                <w:szCs w:val="21"/>
              </w:rPr>
            </w:pPr>
            <w:r>
              <w:t>减：一年内到期的长期借款</w:t>
            </w:r>
          </w:p>
        </w:tc>
        <w:tc>
          <w:tcPr>
            <w:tcW w:w="1686" w:type="pct"/>
          </w:tcPr>
          <w:p w14:paraId="0CB51501" w14:textId="77777777" w:rsidR="00E57DAA" w:rsidRDefault="00AC4185">
            <w:pPr>
              <w:autoSpaceDE w:val="0"/>
              <w:autoSpaceDN w:val="0"/>
              <w:adjustRightInd w:val="0"/>
              <w:snapToGrid w:val="0"/>
              <w:ind w:right="180"/>
              <w:jc w:val="right"/>
              <w:rPr>
                <w:szCs w:val="21"/>
              </w:rPr>
            </w:pPr>
            <w:r>
              <w:t>992,575,177.53</w:t>
            </w:r>
          </w:p>
        </w:tc>
        <w:tc>
          <w:tcPr>
            <w:tcW w:w="1628" w:type="pct"/>
          </w:tcPr>
          <w:p w14:paraId="19F36FAD" w14:textId="77777777" w:rsidR="00E57DAA" w:rsidRDefault="00AC4185">
            <w:pPr>
              <w:jc w:val="right"/>
              <w:rPr>
                <w:szCs w:val="21"/>
              </w:rPr>
            </w:pPr>
            <w:r>
              <w:t>749,455,825.20</w:t>
            </w:r>
          </w:p>
        </w:tc>
      </w:tr>
      <w:tr w:rsidR="00E57DAA" w14:paraId="2397A124" w14:textId="77777777">
        <w:trPr>
          <w:cantSplit/>
        </w:trPr>
        <w:tc>
          <w:tcPr>
            <w:tcW w:w="1686" w:type="pct"/>
            <w:vAlign w:val="center"/>
          </w:tcPr>
          <w:p w14:paraId="221E18FA" w14:textId="77777777" w:rsidR="00E57DAA" w:rsidRDefault="00AC4185">
            <w:pPr>
              <w:autoSpaceDE w:val="0"/>
              <w:autoSpaceDN w:val="0"/>
              <w:adjustRightInd w:val="0"/>
              <w:snapToGrid w:val="0"/>
              <w:jc w:val="center"/>
              <w:rPr>
                <w:szCs w:val="21"/>
              </w:rPr>
            </w:pPr>
            <w:r>
              <w:rPr>
                <w:rFonts w:hint="eastAsia"/>
                <w:szCs w:val="21"/>
              </w:rPr>
              <w:t>合计</w:t>
            </w:r>
          </w:p>
        </w:tc>
        <w:tc>
          <w:tcPr>
            <w:tcW w:w="1686" w:type="pct"/>
            <w:vAlign w:val="center"/>
          </w:tcPr>
          <w:p w14:paraId="77B0EB96" w14:textId="77777777" w:rsidR="00E57DAA" w:rsidRDefault="00AC4185">
            <w:pPr>
              <w:autoSpaceDE w:val="0"/>
              <w:autoSpaceDN w:val="0"/>
              <w:adjustRightInd w:val="0"/>
              <w:snapToGrid w:val="0"/>
              <w:ind w:right="180"/>
              <w:jc w:val="right"/>
              <w:rPr>
                <w:szCs w:val="21"/>
              </w:rPr>
            </w:pPr>
            <w:r>
              <w:t>2,043,707,891.61</w:t>
            </w:r>
          </w:p>
        </w:tc>
        <w:tc>
          <w:tcPr>
            <w:tcW w:w="1628" w:type="pct"/>
            <w:vAlign w:val="center"/>
          </w:tcPr>
          <w:p w14:paraId="594ABF3E" w14:textId="77777777" w:rsidR="00E57DAA" w:rsidRDefault="00AC4185">
            <w:pPr>
              <w:jc w:val="right"/>
              <w:rPr>
                <w:szCs w:val="21"/>
              </w:rPr>
            </w:pPr>
            <w:r>
              <w:t>1,810,730,190.32</w:t>
            </w:r>
          </w:p>
        </w:tc>
      </w:tr>
    </w:tbl>
    <w:p w14:paraId="0B0D9FF9" w14:textId="77777777" w:rsidR="00E57DAA" w:rsidRDefault="00E57DAA" w:rsidP="00C25422">
      <w:pPr>
        <w:pStyle w:val="92"/>
      </w:pPr>
    </w:p>
    <w:p w14:paraId="24BEC849" w14:textId="77777777" w:rsidR="00E57DAA" w:rsidRDefault="00E57DAA">
      <w:pPr>
        <w:snapToGrid w:val="0"/>
        <w:rPr>
          <w:rFonts w:cstheme="minorBidi"/>
          <w:color w:val="000000" w:themeColor="text1"/>
          <w:kern w:val="2"/>
          <w:szCs w:val="21"/>
        </w:rPr>
      </w:pPr>
    </w:p>
    <w:p w14:paraId="46164E2B" w14:textId="77777777" w:rsidR="00E57DAA" w:rsidRDefault="00AC4185">
      <w:pPr>
        <w:snapToGrid w:val="0"/>
        <w:rPr>
          <w:color w:val="000000" w:themeColor="text1"/>
          <w:szCs w:val="21"/>
        </w:rPr>
      </w:pPr>
      <w:r>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1345395120"/>
        <w:placeholder>
          <w:docPart w:val="GBC22222222222222222222222222222"/>
        </w:placeholder>
      </w:sdtPr>
      <w:sdtEndPr/>
      <w:sdtContent>
        <w:p w14:paraId="60C1A38E" w14:textId="77777777" w:rsidR="00E57DAA" w:rsidRDefault="00AC4185">
          <w:pPr>
            <w:snapToGrid w:val="0"/>
            <w:rPr>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14:paraId="7FAC79EA" w14:textId="77777777" w:rsidR="00E57DAA" w:rsidRDefault="00E57DAA">
      <w:pPr>
        <w:rPr>
          <w:szCs w:val="21"/>
        </w:rPr>
      </w:pPr>
    </w:p>
    <w:p w14:paraId="16CE0577" w14:textId="77777777" w:rsidR="00E57DAA" w:rsidRDefault="00AC4185" w:rsidP="00C25422">
      <w:pPr>
        <w:pStyle w:val="91"/>
        <w:numPr>
          <w:ilvl w:val="0"/>
          <w:numId w:val="69"/>
        </w:numPr>
      </w:pPr>
      <w:r>
        <w:rPr>
          <w:rFonts w:hint="eastAsia"/>
        </w:rPr>
        <w:t>应付债券</w:t>
      </w:r>
    </w:p>
    <w:p w14:paraId="78B458A7" w14:textId="77777777" w:rsidR="00E57DAA" w:rsidRDefault="00AC4185">
      <w:pPr>
        <w:pStyle w:val="4"/>
        <w:numPr>
          <w:ilvl w:val="0"/>
          <w:numId w:val="99"/>
        </w:numPr>
        <w:ind w:left="426" w:hanging="426"/>
      </w:pPr>
      <w:r>
        <w:rPr>
          <w:rFonts w:hint="eastAsia"/>
        </w:rPr>
        <w:t>应付债券</w:t>
      </w:r>
    </w:p>
    <w:sdt>
      <w:sdtPr>
        <w:alias w:val="是否适用：应付债券[双击切换]"/>
        <w:tag w:val="_GBC_645b020b25af4284b8eff88f14f8c5c2"/>
        <w:id w:val="73250561"/>
        <w:placeholder>
          <w:docPart w:val="GBC22222222222222222222222222222"/>
        </w:placeholder>
      </w:sdtPr>
      <w:sdtEndPr/>
      <w:sdtContent>
        <w:p w14:paraId="39BA083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DAD285" w14:textId="77777777" w:rsidR="00E57DAA" w:rsidRDefault="00AC4185">
      <w:pPr>
        <w:jc w:val="right"/>
      </w:pPr>
      <w:r>
        <w:rPr>
          <w:rFonts w:hint="eastAsia"/>
        </w:rPr>
        <w:t>单位：</w:t>
      </w:r>
      <w:sdt>
        <w:sdtPr>
          <w:rPr>
            <w:rFonts w:hint="eastAsia"/>
          </w:rPr>
          <w:alias w:val="单位：财务附注：应付债券"/>
          <w:tag w:val="_GBC_57b3a408d4a84bb0a330d1831f7c6f29"/>
          <w:id w:val="400200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债券"/>
          <w:tag w:val="_GBC_058298e5284a4aa58bf3ef0038f20732"/>
          <w:id w:val="9341725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75"/>
        <w:gridCol w:w="2998"/>
        <w:gridCol w:w="2850"/>
      </w:tblGrid>
      <w:tr w:rsidR="00E57DAA" w14:paraId="1A3958C3" w14:textId="77777777">
        <w:trPr>
          <w:cantSplit/>
          <w:trHeight w:val="252"/>
        </w:trPr>
        <w:sdt>
          <w:sdtPr>
            <w:tag w:val="_PLD_b1ab73cce61a4f81a37c70a551b42047"/>
            <w:id w:val="-321585222"/>
          </w:sdtPr>
          <w:sdtEndPr/>
          <w:sdtContent>
            <w:tc>
              <w:tcPr>
                <w:tcW w:w="1686" w:type="pct"/>
                <w:shd w:val="clear" w:color="auto" w:fill="auto"/>
              </w:tcPr>
              <w:p w14:paraId="55CB014C" w14:textId="77777777" w:rsidR="00E57DAA" w:rsidRDefault="00AC4185">
                <w:pPr>
                  <w:jc w:val="center"/>
                </w:pPr>
                <w:r>
                  <w:rPr>
                    <w:rFonts w:hint="eastAsia"/>
                  </w:rPr>
                  <w:t>项目</w:t>
                </w:r>
              </w:p>
            </w:tc>
          </w:sdtContent>
        </w:sdt>
        <w:sdt>
          <w:sdtPr>
            <w:tag w:val="_PLD_3d8bcc7ecd3e4fd5ad328c296fbe1164"/>
            <w:id w:val="-104502766"/>
          </w:sdtPr>
          <w:sdtEndPr/>
          <w:sdtContent>
            <w:tc>
              <w:tcPr>
                <w:tcW w:w="1699" w:type="pct"/>
                <w:shd w:val="clear" w:color="auto" w:fill="auto"/>
              </w:tcPr>
              <w:p w14:paraId="67FD974D" w14:textId="77777777" w:rsidR="00E57DAA" w:rsidRDefault="00AC4185">
                <w:pPr>
                  <w:adjustRightInd w:val="0"/>
                  <w:snapToGrid w:val="0"/>
                  <w:ind w:leftChars="-2" w:left="-2" w:rightChars="9" w:right="19" w:hangingChars="1" w:hanging="2"/>
                  <w:jc w:val="center"/>
                  <w:rPr>
                    <w:b/>
                    <w:szCs w:val="21"/>
                  </w:rPr>
                </w:pPr>
                <w:r>
                  <w:rPr>
                    <w:rFonts w:hint="eastAsia"/>
                    <w:szCs w:val="21"/>
                  </w:rPr>
                  <w:t>期末余额</w:t>
                </w:r>
              </w:p>
            </w:tc>
          </w:sdtContent>
        </w:sdt>
        <w:sdt>
          <w:sdtPr>
            <w:tag w:val="_PLD_82ec823678804bd3ba2932976400cc89"/>
            <w:id w:val="-1906212815"/>
          </w:sdtPr>
          <w:sdtEndPr/>
          <w:sdtContent>
            <w:tc>
              <w:tcPr>
                <w:tcW w:w="1615" w:type="pct"/>
                <w:shd w:val="clear" w:color="auto" w:fill="auto"/>
              </w:tcPr>
              <w:p w14:paraId="06A244E2" w14:textId="77777777" w:rsidR="00E57DAA" w:rsidRDefault="00AC4185">
                <w:pPr>
                  <w:adjustRightInd w:val="0"/>
                  <w:snapToGrid w:val="0"/>
                  <w:ind w:leftChars="-2" w:left="-2" w:rightChars="9" w:right="19" w:hangingChars="1" w:hanging="2"/>
                  <w:jc w:val="center"/>
                  <w:rPr>
                    <w:szCs w:val="21"/>
                  </w:rPr>
                </w:pPr>
                <w:r>
                  <w:rPr>
                    <w:rFonts w:hint="eastAsia"/>
                    <w:szCs w:val="21"/>
                  </w:rPr>
                  <w:t>期初余额</w:t>
                </w:r>
              </w:p>
            </w:tc>
          </w:sdtContent>
        </w:sdt>
      </w:tr>
      <w:tr w:rsidR="00E57DAA" w14:paraId="116C06FE" w14:textId="77777777">
        <w:trPr>
          <w:cantSplit/>
        </w:trPr>
        <w:tc>
          <w:tcPr>
            <w:tcW w:w="1686" w:type="pct"/>
            <w:shd w:val="clear" w:color="auto" w:fill="auto"/>
          </w:tcPr>
          <w:p w14:paraId="250EEF55" w14:textId="77777777" w:rsidR="00E57DAA" w:rsidRDefault="00AC4185" w:rsidP="00C25422">
            <w:pPr>
              <w:pStyle w:val="92"/>
            </w:pPr>
            <w:r>
              <w:t>其他应付债券</w:t>
            </w:r>
          </w:p>
        </w:tc>
        <w:tc>
          <w:tcPr>
            <w:tcW w:w="1699" w:type="pct"/>
            <w:shd w:val="clear" w:color="auto" w:fill="auto"/>
          </w:tcPr>
          <w:p w14:paraId="49005616" w14:textId="77777777" w:rsidR="00E57DAA" w:rsidRDefault="00AC4185">
            <w:pPr>
              <w:jc w:val="right"/>
            </w:pPr>
            <w:r>
              <w:t>1,000,000,000.00</w:t>
            </w:r>
          </w:p>
        </w:tc>
        <w:tc>
          <w:tcPr>
            <w:tcW w:w="1615" w:type="pct"/>
            <w:shd w:val="clear" w:color="auto" w:fill="auto"/>
          </w:tcPr>
          <w:p w14:paraId="2CF36B67" w14:textId="77777777" w:rsidR="00E57DAA" w:rsidRDefault="00AC4185">
            <w:pPr>
              <w:jc w:val="right"/>
            </w:pPr>
            <w:r>
              <w:t>1,500,000,000.00</w:t>
            </w:r>
          </w:p>
        </w:tc>
      </w:tr>
      <w:tr w:rsidR="00E57DAA" w14:paraId="382112B1" w14:textId="77777777">
        <w:trPr>
          <w:cantSplit/>
        </w:trPr>
        <w:tc>
          <w:tcPr>
            <w:tcW w:w="1686" w:type="pct"/>
            <w:shd w:val="clear" w:color="auto" w:fill="auto"/>
          </w:tcPr>
          <w:p w14:paraId="7854F711" w14:textId="77777777" w:rsidR="00E57DAA" w:rsidRDefault="00AC4185">
            <w:pPr>
              <w:jc w:val="center"/>
            </w:pPr>
            <w:r>
              <w:rPr>
                <w:rFonts w:hint="eastAsia"/>
              </w:rPr>
              <w:t>合计</w:t>
            </w:r>
          </w:p>
        </w:tc>
        <w:tc>
          <w:tcPr>
            <w:tcW w:w="1699" w:type="pct"/>
            <w:shd w:val="clear" w:color="auto" w:fill="auto"/>
            <w:vAlign w:val="center"/>
          </w:tcPr>
          <w:p w14:paraId="6E973B3D" w14:textId="77777777" w:rsidR="00E57DAA" w:rsidRDefault="00AC4185">
            <w:pPr>
              <w:jc w:val="right"/>
            </w:pPr>
            <w:r>
              <w:t>1,000,000,000.00</w:t>
            </w:r>
          </w:p>
        </w:tc>
        <w:tc>
          <w:tcPr>
            <w:tcW w:w="1615" w:type="pct"/>
            <w:shd w:val="clear" w:color="auto" w:fill="auto"/>
            <w:vAlign w:val="center"/>
          </w:tcPr>
          <w:p w14:paraId="3AC87AF0" w14:textId="77777777" w:rsidR="00E57DAA" w:rsidRDefault="00AC4185">
            <w:pPr>
              <w:jc w:val="right"/>
            </w:pPr>
            <w:r>
              <w:t>1,500,000,000.00</w:t>
            </w:r>
          </w:p>
        </w:tc>
      </w:tr>
    </w:tbl>
    <w:p w14:paraId="67D6F168" w14:textId="77777777" w:rsidR="00E57DAA" w:rsidRDefault="00E57DAA" w:rsidP="00C25422">
      <w:pPr>
        <w:pStyle w:val="92"/>
      </w:pPr>
    </w:p>
    <w:p w14:paraId="3BF80C35" w14:textId="77777777" w:rsidR="00E57DAA" w:rsidRDefault="00E57DAA" w:rsidP="00C25422">
      <w:pPr>
        <w:pStyle w:val="92"/>
      </w:pPr>
    </w:p>
    <w:p w14:paraId="35F91689" w14:textId="77777777" w:rsidR="00E57DAA" w:rsidRDefault="00E57DAA">
      <w:pPr>
        <w:sectPr w:rsidR="00E57DAA" w:rsidSect="00226547">
          <w:pgSz w:w="11906" w:h="16838"/>
          <w:pgMar w:top="1440" w:right="1797" w:bottom="1525" w:left="1276" w:header="856" w:footer="992" w:gutter="0"/>
          <w:cols w:space="425"/>
          <w:docGrid w:linePitch="312"/>
        </w:sectPr>
      </w:pPr>
    </w:p>
    <w:p w14:paraId="2FE251F9" w14:textId="77777777" w:rsidR="00E57DAA" w:rsidRDefault="00AC4185">
      <w:pPr>
        <w:pStyle w:val="4"/>
        <w:numPr>
          <w:ilvl w:val="0"/>
          <w:numId w:val="99"/>
        </w:numPr>
        <w:ind w:left="426" w:hanging="426"/>
      </w:pPr>
      <w:r>
        <w:lastRenderedPageBreak/>
        <w:t>应付债券的具体情况</w:t>
      </w:r>
      <w:r>
        <w:rPr>
          <w:rFonts w:hint="eastAsia"/>
        </w:rPr>
        <w:t>：（不包括划分为金融负债的优先股、永续债等其他金融工具）</w:t>
      </w:r>
    </w:p>
    <w:sdt>
      <w:sdtPr>
        <w:alias w:val="是否适用：应付债券的增减变动[双击切换]"/>
        <w:tag w:val="_GBC_a682f35f6b7c4d8b840f80705a81f19c"/>
        <w:id w:val="984046089"/>
        <w:placeholder>
          <w:docPart w:val="GBC22222222222222222222222222222"/>
        </w:placeholder>
      </w:sdtPr>
      <w:sdtEndPr/>
      <w:sdtContent>
        <w:p w14:paraId="186F8CE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7C8243" w14:textId="77777777" w:rsidR="00E57DAA" w:rsidRDefault="00AC4185">
      <w:pPr>
        <w:jc w:val="right"/>
      </w:pPr>
      <w:r>
        <w:rPr>
          <w:rFonts w:hint="eastAsia"/>
        </w:rPr>
        <w:t>单位：</w:t>
      </w:r>
      <w:sdt>
        <w:sdtPr>
          <w:rPr>
            <w:rFonts w:hint="eastAsia"/>
          </w:rPr>
          <w:alias w:val="单位：财务附注：应付债券的增减变动"/>
          <w:tag w:val="_GBC_221366b8136447aca9359e6115acb07a"/>
          <w:id w:val="18795897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债券的增减变动"/>
          <w:tag w:val="_GBC_ab4475cd02fd49449e15ccf7e0fadc42"/>
          <w:id w:val="3471407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605"/>
        <w:gridCol w:w="893"/>
        <w:gridCol w:w="1300"/>
        <w:gridCol w:w="610"/>
        <w:gridCol w:w="1464"/>
        <w:gridCol w:w="1325"/>
        <w:gridCol w:w="327"/>
        <w:gridCol w:w="1234"/>
        <w:gridCol w:w="557"/>
        <w:gridCol w:w="1317"/>
        <w:gridCol w:w="1323"/>
        <w:gridCol w:w="1320"/>
        <w:gridCol w:w="588"/>
      </w:tblGrid>
      <w:tr w:rsidR="00E57DAA" w14:paraId="1F0F6567" w14:textId="77777777">
        <w:trPr>
          <w:cantSplit/>
          <w:trHeight w:val="590"/>
        </w:trPr>
        <w:sdt>
          <w:sdtPr>
            <w:rPr>
              <w:sz w:val="13"/>
              <w:szCs w:val="16"/>
            </w:rPr>
            <w:tag w:val="_PLD_e802e0473fe74b70b94a2bc1ff9e6120"/>
            <w:id w:val="28615494"/>
          </w:sdtPr>
          <w:sdtEndPr/>
          <w:sdtContent>
            <w:tc>
              <w:tcPr>
                <w:tcW w:w="579" w:type="pct"/>
                <w:shd w:val="clear" w:color="auto" w:fill="auto"/>
                <w:vAlign w:val="center"/>
              </w:tcPr>
              <w:p w14:paraId="659DF4BE" w14:textId="77777777" w:rsidR="00E57DAA" w:rsidRDefault="00AC4185">
                <w:pPr>
                  <w:jc w:val="center"/>
                  <w:rPr>
                    <w:sz w:val="13"/>
                    <w:szCs w:val="16"/>
                  </w:rPr>
                </w:pPr>
                <w:r>
                  <w:rPr>
                    <w:rFonts w:hint="eastAsia"/>
                    <w:sz w:val="13"/>
                    <w:szCs w:val="16"/>
                  </w:rPr>
                  <w:t>债券</w:t>
                </w:r>
              </w:p>
              <w:p w14:paraId="77C303E6" w14:textId="77777777" w:rsidR="00E57DAA" w:rsidRDefault="00AC4185">
                <w:pPr>
                  <w:jc w:val="center"/>
                  <w:rPr>
                    <w:sz w:val="13"/>
                    <w:szCs w:val="16"/>
                  </w:rPr>
                </w:pPr>
                <w:r>
                  <w:rPr>
                    <w:rFonts w:hint="eastAsia"/>
                    <w:sz w:val="13"/>
                    <w:szCs w:val="16"/>
                  </w:rPr>
                  <w:t>名称</w:t>
                </w:r>
              </w:p>
            </w:tc>
          </w:sdtContent>
        </w:sdt>
        <w:sdt>
          <w:sdtPr>
            <w:rPr>
              <w:sz w:val="13"/>
              <w:szCs w:val="16"/>
            </w:rPr>
            <w:tag w:val="_PLD_3305820c0a7b4304abdad6fc20766aa3"/>
            <w:id w:val="79946882"/>
          </w:sdtPr>
          <w:sdtEndPr/>
          <w:sdtContent>
            <w:tc>
              <w:tcPr>
                <w:tcW w:w="322" w:type="pct"/>
                <w:shd w:val="clear" w:color="auto" w:fill="auto"/>
                <w:vAlign w:val="center"/>
              </w:tcPr>
              <w:p w14:paraId="0F797775" w14:textId="77777777" w:rsidR="00E57DAA" w:rsidRDefault="00AC4185">
                <w:pPr>
                  <w:jc w:val="center"/>
                  <w:rPr>
                    <w:sz w:val="13"/>
                    <w:szCs w:val="16"/>
                  </w:rPr>
                </w:pPr>
                <w:r>
                  <w:rPr>
                    <w:rFonts w:hint="eastAsia"/>
                    <w:sz w:val="13"/>
                    <w:szCs w:val="16"/>
                  </w:rPr>
                  <w:t>面值</w:t>
                </w:r>
              </w:p>
            </w:tc>
          </w:sdtContent>
        </w:sdt>
        <w:sdt>
          <w:sdtPr>
            <w:rPr>
              <w:sz w:val="13"/>
              <w:szCs w:val="16"/>
            </w:rPr>
            <w:tag w:val="_PLD_ee6ba2e107ad4013b8b8d3efeae50c26"/>
            <w:id w:val="-1133794186"/>
          </w:sdtPr>
          <w:sdtEndPr/>
          <w:sdtContent>
            <w:tc>
              <w:tcPr>
                <w:tcW w:w="469" w:type="pct"/>
                <w:shd w:val="clear" w:color="auto" w:fill="auto"/>
                <w:vAlign w:val="center"/>
              </w:tcPr>
              <w:p w14:paraId="41E8825E" w14:textId="77777777" w:rsidR="00E57DAA" w:rsidRDefault="00AC4185">
                <w:pPr>
                  <w:jc w:val="center"/>
                  <w:rPr>
                    <w:sz w:val="13"/>
                    <w:szCs w:val="16"/>
                  </w:rPr>
                </w:pPr>
                <w:r>
                  <w:rPr>
                    <w:rFonts w:hint="eastAsia"/>
                    <w:sz w:val="13"/>
                    <w:szCs w:val="16"/>
                  </w:rPr>
                  <w:t>发行</w:t>
                </w:r>
              </w:p>
              <w:p w14:paraId="0FDE3933" w14:textId="77777777" w:rsidR="00E57DAA" w:rsidRDefault="00AC4185">
                <w:pPr>
                  <w:jc w:val="center"/>
                  <w:rPr>
                    <w:sz w:val="13"/>
                    <w:szCs w:val="16"/>
                  </w:rPr>
                </w:pPr>
                <w:r>
                  <w:rPr>
                    <w:rFonts w:hint="eastAsia"/>
                    <w:sz w:val="13"/>
                    <w:szCs w:val="16"/>
                  </w:rPr>
                  <w:t>日期</w:t>
                </w:r>
              </w:p>
            </w:tc>
          </w:sdtContent>
        </w:sdt>
        <w:sdt>
          <w:sdtPr>
            <w:rPr>
              <w:sz w:val="13"/>
              <w:szCs w:val="16"/>
            </w:rPr>
            <w:tag w:val="_PLD_124bbea948a54d48a0375b121ca28abc"/>
            <w:id w:val="2068843441"/>
          </w:sdtPr>
          <w:sdtEndPr/>
          <w:sdtContent>
            <w:tc>
              <w:tcPr>
                <w:tcW w:w="220" w:type="pct"/>
                <w:shd w:val="clear" w:color="auto" w:fill="auto"/>
                <w:vAlign w:val="center"/>
              </w:tcPr>
              <w:p w14:paraId="5B452654" w14:textId="77777777" w:rsidR="00E57DAA" w:rsidRDefault="00AC4185">
                <w:pPr>
                  <w:jc w:val="center"/>
                  <w:rPr>
                    <w:sz w:val="13"/>
                    <w:szCs w:val="16"/>
                  </w:rPr>
                </w:pPr>
                <w:r>
                  <w:rPr>
                    <w:rFonts w:hint="eastAsia"/>
                    <w:sz w:val="13"/>
                    <w:szCs w:val="16"/>
                  </w:rPr>
                  <w:t>债券</w:t>
                </w:r>
              </w:p>
              <w:p w14:paraId="06DC4554" w14:textId="77777777" w:rsidR="00E57DAA" w:rsidRDefault="00AC4185">
                <w:pPr>
                  <w:jc w:val="center"/>
                  <w:rPr>
                    <w:sz w:val="13"/>
                    <w:szCs w:val="16"/>
                  </w:rPr>
                </w:pPr>
                <w:r>
                  <w:rPr>
                    <w:rFonts w:hint="eastAsia"/>
                    <w:sz w:val="13"/>
                    <w:szCs w:val="16"/>
                  </w:rPr>
                  <w:t>期限</w:t>
                </w:r>
              </w:p>
            </w:tc>
          </w:sdtContent>
        </w:sdt>
        <w:sdt>
          <w:sdtPr>
            <w:rPr>
              <w:sz w:val="13"/>
              <w:szCs w:val="16"/>
            </w:rPr>
            <w:tag w:val="_PLD_7049ab93920145468e81fe6c529385fb"/>
            <w:id w:val="-832372392"/>
          </w:sdtPr>
          <w:sdtEndPr/>
          <w:sdtContent>
            <w:tc>
              <w:tcPr>
                <w:tcW w:w="528" w:type="pct"/>
                <w:shd w:val="clear" w:color="auto" w:fill="auto"/>
                <w:vAlign w:val="center"/>
              </w:tcPr>
              <w:p w14:paraId="4B5C4EB4" w14:textId="77777777" w:rsidR="00E57DAA" w:rsidRDefault="00AC4185">
                <w:pPr>
                  <w:jc w:val="center"/>
                  <w:rPr>
                    <w:sz w:val="13"/>
                    <w:szCs w:val="16"/>
                  </w:rPr>
                </w:pPr>
                <w:r>
                  <w:rPr>
                    <w:rFonts w:hint="eastAsia"/>
                    <w:sz w:val="13"/>
                    <w:szCs w:val="16"/>
                  </w:rPr>
                  <w:t>发行</w:t>
                </w:r>
              </w:p>
              <w:p w14:paraId="2F442928" w14:textId="77777777" w:rsidR="00E57DAA" w:rsidRDefault="00AC4185">
                <w:pPr>
                  <w:jc w:val="center"/>
                  <w:rPr>
                    <w:sz w:val="13"/>
                    <w:szCs w:val="16"/>
                  </w:rPr>
                </w:pPr>
                <w:r>
                  <w:rPr>
                    <w:rFonts w:hint="eastAsia"/>
                    <w:sz w:val="13"/>
                    <w:szCs w:val="16"/>
                  </w:rPr>
                  <w:t>金额</w:t>
                </w:r>
              </w:p>
            </w:tc>
          </w:sdtContent>
        </w:sdt>
        <w:sdt>
          <w:sdtPr>
            <w:rPr>
              <w:sz w:val="13"/>
              <w:szCs w:val="16"/>
            </w:rPr>
            <w:tag w:val="_PLD_38d9b1ec51834164a4568a000acee069"/>
            <w:id w:val="-873451353"/>
          </w:sdtPr>
          <w:sdtEndPr/>
          <w:sdtContent>
            <w:tc>
              <w:tcPr>
                <w:tcW w:w="478" w:type="pct"/>
                <w:shd w:val="clear" w:color="auto" w:fill="auto"/>
                <w:vAlign w:val="center"/>
              </w:tcPr>
              <w:p w14:paraId="64EBAE3C" w14:textId="77777777" w:rsidR="00E57DAA" w:rsidRDefault="00AC4185">
                <w:pPr>
                  <w:jc w:val="center"/>
                  <w:rPr>
                    <w:sz w:val="13"/>
                    <w:szCs w:val="16"/>
                  </w:rPr>
                </w:pPr>
                <w:r>
                  <w:rPr>
                    <w:rFonts w:hint="eastAsia"/>
                    <w:sz w:val="13"/>
                    <w:szCs w:val="16"/>
                  </w:rPr>
                  <w:t>期初</w:t>
                </w:r>
              </w:p>
              <w:p w14:paraId="4088114F" w14:textId="77777777" w:rsidR="00E57DAA" w:rsidRDefault="00AC4185">
                <w:pPr>
                  <w:jc w:val="center"/>
                  <w:rPr>
                    <w:sz w:val="13"/>
                    <w:szCs w:val="16"/>
                  </w:rPr>
                </w:pPr>
                <w:r>
                  <w:rPr>
                    <w:rFonts w:hint="eastAsia"/>
                    <w:sz w:val="13"/>
                    <w:szCs w:val="16"/>
                  </w:rPr>
                  <w:t>余额</w:t>
                </w:r>
              </w:p>
            </w:tc>
          </w:sdtContent>
        </w:sdt>
        <w:sdt>
          <w:sdtPr>
            <w:rPr>
              <w:sz w:val="13"/>
              <w:szCs w:val="16"/>
            </w:rPr>
            <w:tag w:val="_PLD_631bbacf370944efab46658f1d2b4f3d"/>
            <w:id w:val="-1145035704"/>
          </w:sdtPr>
          <w:sdtEndPr/>
          <w:sdtContent>
            <w:tc>
              <w:tcPr>
                <w:tcW w:w="118" w:type="pct"/>
                <w:shd w:val="clear" w:color="auto" w:fill="auto"/>
                <w:vAlign w:val="center"/>
              </w:tcPr>
              <w:p w14:paraId="3F0CD18D" w14:textId="77777777" w:rsidR="00E57DAA" w:rsidRDefault="00AC4185">
                <w:pPr>
                  <w:jc w:val="center"/>
                  <w:rPr>
                    <w:sz w:val="13"/>
                    <w:szCs w:val="16"/>
                  </w:rPr>
                </w:pPr>
                <w:r>
                  <w:rPr>
                    <w:rFonts w:hint="eastAsia"/>
                    <w:sz w:val="13"/>
                    <w:szCs w:val="16"/>
                  </w:rPr>
                  <w:t>本期</w:t>
                </w:r>
              </w:p>
              <w:p w14:paraId="69CFDD7F" w14:textId="77777777" w:rsidR="00E57DAA" w:rsidRDefault="00AC4185">
                <w:pPr>
                  <w:jc w:val="center"/>
                  <w:rPr>
                    <w:sz w:val="13"/>
                    <w:szCs w:val="16"/>
                  </w:rPr>
                </w:pPr>
                <w:r>
                  <w:rPr>
                    <w:rFonts w:hint="eastAsia"/>
                    <w:sz w:val="13"/>
                    <w:szCs w:val="16"/>
                  </w:rPr>
                  <w:t>发行</w:t>
                </w:r>
              </w:p>
            </w:tc>
          </w:sdtContent>
        </w:sdt>
        <w:sdt>
          <w:sdtPr>
            <w:rPr>
              <w:sz w:val="13"/>
              <w:szCs w:val="16"/>
            </w:rPr>
            <w:tag w:val="_PLD_46ecadb6d93742c196106f528dc587fb"/>
            <w:id w:val="951136589"/>
          </w:sdtPr>
          <w:sdtEndPr/>
          <w:sdtContent>
            <w:tc>
              <w:tcPr>
                <w:tcW w:w="445" w:type="pct"/>
                <w:shd w:val="clear" w:color="auto" w:fill="auto"/>
                <w:vAlign w:val="center"/>
              </w:tcPr>
              <w:p w14:paraId="667131B8" w14:textId="77777777" w:rsidR="00E57DAA" w:rsidRDefault="00AC4185">
                <w:pPr>
                  <w:jc w:val="center"/>
                  <w:rPr>
                    <w:sz w:val="13"/>
                    <w:szCs w:val="16"/>
                  </w:rPr>
                </w:pPr>
                <w:r>
                  <w:rPr>
                    <w:rFonts w:hint="eastAsia"/>
                    <w:sz w:val="13"/>
                    <w:szCs w:val="16"/>
                  </w:rPr>
                  <w:t>按面值计提利息</w:t>
                </w:r>
              </w:p>
            </w:tc>
          </w:sdtContent>
        </w:sdt>
        <w:sdt>
          <w:sdtPr>
            <w:rPr>
              <w:sz w:val="13"/>
              <w:szCs w:val="16"/>
            </w:rPr>
            <w:tag w:val="_PLD_ae4bf5f0a7024d7494d06729dd783ba4"/>
            <w:id w:val="-1563160100"/>
          </w:sdtPr>
          <w:sdtEndPr/>
          <w:sdtContent>
            <w:tc>
              <w:tcPr>
                <w:tcW w:w="201" w:type="pct"/>
                <w:shd w:val="clear" w:color="auto" w:fill="auto"/>
                <w:vAlign w:val="center"/>
              </w:tcPr>
              <w:p w14:paraId="1F8D3EDB" w14:textId="77777777" w:rsidR="00E57DAA" w:rsidRDefault="00AC4185">
                <w:pPr>
                  <w:jc w:val="center"/>
                  <w:rPr>
                    <w:sz w:val="13"/>
                    <w:szCs w:val="16"/>
                  </w:rPr>
                </w:pPr>
                <w:r>
                  <w:rPr>
                    <w:rFonts w:hint="eastAsia"/>
                    <w:sz w:val="13"/>
                    <w:szCs w:val="16"/>
                  </w:rPr>
                  <w:t>溢折价摊销</w:t>
                </w:r>
              </w:p>
            </w:tc>
          </w:sdtContent>
        </w:sdt>
        <w:sdt>
          <w:sdtPr>
            <w:rPr>
              <w:sz w:val="13"/>
              <w:szCs w:val="16"/>
            </w:rPr>
            <w:tag w:val="_PLD_4b5846bfb9664157a5fbfb5219160105"/>
            <w:id w:val="2122340046"/>
          </w:sdtPr>
          <w:sdtEndPr/>
          <w:sdtContent>
            <w:tc>
              <w:tcPr>
                <w:tcW w:w="475" w:type="pct"/>
                <w:shd w:val="clear" w:color="auto" w:fill="auto"/>
                <w:vAlign w:val="center"/>
              </w:tcPr>
              <w:p w14:paraId="08B11754" w14:textId="77777777" w:rsidR="00E57DAA" w:rsidRDefault="00AC4185">
                <w:pPr>
                  <w:jc w:val="center"/>
                  <w:rPr>
                    <w:sz w:val="13"/>
                    <w:szCs w:val="16"/>
                  </w:rPr>
                </w:pPr>
                <w:r>
                  <w:rPr>
                    <w:rFonts w:hint="eastAsia"/>
                    <w:sz w:val="13"/>
                    <w:szCs w:val="16"/>
                  </w:rPr>
                  <w:t>本期</w:t>
                </w:r>
              </w:p>
              <w:p w14:paraId="0CD894BC" w14:textId="77777777" w:rsidR="00E57DAA" w:rsidRDefault="00AC4185">
                <w:pPr>
                  <w:jc w:val="center"/>
                  <w:rPr>
                    <w:sz w:val="13"/>
                    <w:szCs w:val="16"/>
                  </w:rPr>
                </w:pPr>
                <w:r>
                  <w:rPr>
                    <w:rFonts w:hint="eastAsia"/>
                    <w:sz w:val="13"/>
                    <w:szCs w:val="16"/>
                  </w:rPr>
                  <w:t>偿还</w:t>
                </w:r>
              </w:p>
            </w:tc>
          </w:sdtContent>
        </w:sdt>
        <w:tc>
          <w:tcPr>
            <w:tcW w:w="477" w:type="pct"/>
            <w:shd w:val="clear" w:color="auto" w:fill="auto"/>
            <w:vAlign w:val="center"/>
          </w:tcPr>
          <w:p w14:paraId="6BCEB202" w14:textId="77777777" w:rsidR="00E57DAA" w:rsidRDefault="00AC4185">
            <w:pPr>
              <w:jc w:val="center"/>
              <w:rPr>
                <w:sz w:val="13"/>
                <w:szCs w:val="16"/>
              </w:rPr>
            </w:pPr>
            <w:r>
              <w:rPr>
                <w:rFonts w:hint="eastAsia"/>
                <w:sz w:val="13"/>
                <w:szCs w:val="16"/>
              </w:rPr>
              <w:t>其他减少</w:t>
            </w:r>
          </w:p>
        </w:tc>
        <w:sdt>
          <w:sdtPr>
            <w:rPr>
              <w:sz w:val="13"/>
              <w:szCs w:val="16"/>
            </w:rPr>
            <w:tag w:val="_PLD_a12b5b0e009f4c31a176550ce24d537b"/>
            <w:id w:val="1872496981"/>
          </w:sdtPr>
          <w:sdtEndPr/>
          <w:sdtContent>
            <w:tc>
              <w:tcPr>
                <w:tcW w:w="476" w:type="pct"/>
                <w:shd w:val="clear" w:color="auto" w:fill="auto"/>
                <w:vAlign w:val="center"/>
              </w:tcPr>
              <w:p w14:paraId="738FDC07" w14:textId="77777777" w:rsidR="00E57DAA" w:rsidRDefault="00AC4185">
                <w:pPr>
                  <w:jc w:val="center"/>
                  <w:rPr>
                    <w:sz w:val="13"/>
                    <w:szCs w:val="16"/>
                  </w:rPr>
                </w:pPr>
                <w:r>
                  <w:rPr>
                    <w:rFonts w:hint="eastAsia"/>
                    <w:sz w:val="13"/>
                    <w:szCs w:val="16"/>
                  </w:rPr>
                  <w:t>期末</w:t>
                </w:r>
              </w:p>
              <w:p w14:paraId="70F8E88F" w14:textId="77777777" w:rsidR="00E57DAA" w:rsidRDefault="00AC4185">
                <w:pPr>
                  <w:jc w:val="center"/>
                  <w:rPr>
                    <w:sz w:val="13"/>
                    <w:szCs w:val="16"/>
                  </w:rPr>
                </w:pPr>
                <w:r>
                  <w:rPr>
                    <w:rFonts w:hint="eastAsia"/>
                    <w:sz w:val="13"/>
                    <w:szCs w:val="16"/>
                  </w:rPr>
                  <w:t>余额</w:t>
                </w:r>
              </w:p>
            </w:tc>
          </w:sdtContent>
        </w:sdt>
        <w:tc>
          <w:tcPr>
            <w:tcW w:w="212" w:type="pct"/>
            <w:vAlign w:val="center"/>
          </w:tcPr>
          <w:sdt>
            <w:sdtPr>
              <w:rPr>
                <w:rFonts w:hint="eastAsia"/>
                <w:sz w:val="13"/>
                <w:szCs w:val="16"/>
              </w:rPr>
              <w:tag w:val="_PLD_fe946a005a854bd5b7b72ef369d885ff"/>
              <w:id w:val="1261110596"/>
            </w:sdtPr>
            <w:sdtEndPr/>
            <w:sdtContent>
              <w:p w14:paraId="17FEA512" w14:textId="77777777" w:rsidR="00E57DAA" w:rsidRDefault="00AC4185">
                <w:pPr>
                  <w:jc w:val="center"/>
                  <w:rPr>
                    <w:sz w:val="13"/>
                    <w:szCs w:val="16"/>
                  </w:rPr>
                </w:pPr>
                <w:r>
                  <w:rPr>
                    <w:rFonts w:hint="eastAsia"/>
                    <w:sz w:val="13"/>
                    <w:szCs w:val="16"/>
                  </w:rPr>
                  <w:t>是否违约</w:t>
                </w:r>
              </w:p>
            </w:sdtContent>
          </w:sdt>
        </w:tc>
      </w:tr>
      <w:tr w:rsidR="00E57DAA" w14:paraId="1DD6B098" w14:textId="77777777">
        <w:trPr>
          <w:cantSplit/>
          <w:trHeight w:val="266"/>
        </w:trPr>
        <w:tc>
          <w:tcPr>
            <w:tcW w:w="579" w:type="pct"/>
            <w:shd w:val="clear" w:color="auto" w:fill="auto"/>
          </w:tcPr>
          <w:p w14:paraId="2CB1ED4C" w14:textId="77777777" w:rsidR="00E57DAA" w:rsidRDefault="00AC4185">
            <w:pPr>
              <w:jc w:val="both"/>
              <w:rPr>
                <w:sz w:val="13"/>
                <w:szCs w:val="16"/>
              </w:rPr>
            </w:pPr>
            <w:r>
              <w:rPr>
                <w:sz w:val="13"/>
                <w:szCs w:val="16"/>
              </w:rPr>
              <w:t>中材国际2021年面向专业投资者公开发行公司债券（第一期）</w:t>
            </w:r>
          </w:p>
        </w:tc>
        <w:tc>
          <w:tcPr>
            <w:tcW w:w="322" w:type="pct"/>
            <w:shd w:val="clear" w:color="auto" w:fill="auto"/>
            <w:vAlign w:val="center"/>
          </w:tcPr>
          <w:p w14:paraId="40E93E06" w14:textId="77777777" w:rsidR="00E57DAA" w:rsidRDefault="00AC4185">
            <w:pPr>
              <w:jc w:val="right"/>
              <w:rPr>
                <w:sz w:val="13"/>
                <w:szCs w:val="16"/>
              </w:rPr>
            </w:pPr>
            <w:r>
              <w:rPr>
                <w:sz w:val="13"/>
                <w:szCs w:val="16"/>
              </w:rPr>
              <w:t>100.00</w:t>
            </w:r>
          </w:p>
        </w:tc>
        <w:tc>
          <w:tcPr>
            <w:tcW w:w="469" w:type="pct"/>
            <w:shd w:val="clear" w:color="auto" w:fill="auto"/>
            <w:vAlign w:val="center"/>
          </w:tcPr>
          <w:p w14:paraId="4EFD359C" w14:textId="77777777" w:rsidR="00E57DAA" w:rsidRDefault="00AC4185">
            <w:pPr>
              <w:jc w:val="right"/>
              <w:rPr>
                <w:sz w:val="13"/>
                <w:szCs w:val="16"/>
              </w:rPr>
            </w:pPr>
            <w:r>
              <w:rPr>
                <w:sz w:val="13"/>
                <w:szCs w:val="16"/>
              </w:rPr>
              <w:t>2021年9月9日</w:t>
            </w:r>
          </w:p>
        </w:tc>
        <w:tc>
          <w:tcPr>
            <w:tcW w:w="220" w:type="pct"/>
            <w:shd w:val="clear" w:color="auto" w:fill="auto"/>
            <w:vAlign w:val="center"/>
          </w:tcPr>
          <w:p w14:paraId="62FE7BCF" w14:textId="77777777" w:rsidR="00E57DAA" w:rsidRDefault="00AC4185">
            <w:pPr>
              <w:rPr>
                <w:sz w:val="13"/>
                <w:szCs w:val="16"/>
              </w:rPr>
            </w:pPr>
            <w:r>
              <w:rPr>
                <w:sz w:val="13"/>
                <w:szCs w:val="16"/>
              </w:rPr>
              <w:t>3年</w:t>
            </w:r>
          </w:p>
        </w:tc>
        <w:tc>
          <w:tcPr>
            <w:tcW w:w="528" w:type="pct"/>
            <w:shd w:val="clear" w:color="auto" w:fill="auto"/>
            <w:vAlign w:val="center"/>
          </w:tcPr>
          <w:p w14:paraId="57E0A1BE" w14:textId="77777777" w:rsidR="00E57DAA" w:rsidRDefault="00AC4185">
            <w:pPr>
              <w:jc w:val="right"/>
              <w:rPr>
                <w:sz w:val="13"/>
                <w:szCs w:val="16"/>
              </w:rPr>
            </w:pPr>
            <w:r>
              <w:rPr>
                <w:sz w:val="13"/>
                <w:szCs w:val="16"/>
              </w:rPr>
              <w:t>500,000,000.00</w:t>
            </w:r>
          </w:p>
        </w:tc>
        <w:tc>
          <w:tcPr>
            <w:tcW w:w="478" w:type="pct"/>
            <w:shd w:val="clear" w:color="auto" w:fill="auto"/>
            <w:vAlign w:val="center"/>
          </w:tcPr>
          <w:p w14:paraId="5FA9E54A" w14:textId="77777777" w:rsidR="00E57DAA" w:rsidRDefault="00AC4185">
            <w:pPr>
              <w:jc w:val="right"/>
              <w:rPr>
                <w:sz w:val="13"/>
                <w:szCs w:val="16"/>
              </w:rPr>
            </w:pPr>
            <w:r>
              <w:rPr>
                <w:sz w:val="13"/>
                <w:szCs w:val="16"/>
              </w:rPr>
              <w:t>500,000,000.00</w:t>
            </w:r>
          </w:p>
        </w:tc>
        <w:tc>
          <w:tcPr>
            <w:tcW w:w="118" w:type="pct"/>
            <w:shd w:val="clear" w:color="auto" w:fill="auto"/>
          </w:tcPr>
          <w:p w14:paraId="13CE3DF9" w14:textId="77777777" w:rsidR="00E57DAA" w:rsidRDefault="00E57DAA">
            <w:pPr>
              <w:jc w:val="right"/>
              <w:rPr>
                <w:sz w:val="13"/>
                <w:szCs w:val="16"/>
              </w:rPr>
            </w:pPr>
          </w:p>
        </w:tc>
        <w:tc>
          <w:tcPr>
            <w:tcW w:w="445" w:type="pct"/>
            <w:shd w:val="clear" w:color="auto" w:fill="auto"/>
            <w:vAlign w:val="center"/>
          </w:tcPr>
          <w:p w14:paraId="6A2C371F" w14:textId="77777777" w:rsidR="00E57DAA" w:rsidRDefault="00AC4185">
            <w:pPr>
              <w:jc w:val="right"/>
              <w:rPr>
                <w:sz w:val="13"/>
                <w:szCs w:val="16"/>
              </w:rPr>
            </w:pPr>
            <w:r>
              <w:rPr>
                <w:sz w:val="13"/>
                <w:szCs w:val="16"/>
              </w:rPr>
              <w:t>16,388,767.12</w:t>
            </w:r>
          </w:p>
        </w:tc>
        <w:tc>
          <w:tcPr>
            <w:tcW w:w="201" w:type="pct"/>
            <w:shd w:val="clear" w:color="auto" w:fill="auto"/>
            <w:vAlign w:val="center"/>
          </w:tcPr>
          <w:p w14:paraId="3D4B8CE9" w14:textId="77777777" w:rsidR="00E57DAA" w:rsidRDefault="00E57DAA">
            <w:pPr>
              <w:jc w:val="right"/>
              <w:rPr>
                <w:sz w:val="13"/>
                <w:szCs w:val="16"/>
              </w:rPr>
            </w:pPr>
          </w:p>
        </w:tc>
        <w:tc>
          <w:tcPr>
            <w:tcW w:w="475" w:type="pct"/>
            <w:shd w:val="clear" w:color="auto" w:fill="auto"/>
            <w:vAlign w:val="center"/>
          </w:tcPr>
          <w:p w14:paraId="166988A9" w14:textId="77777777" w:rsidR="00E57DAA" w:rsidRDefault="00AC4185">
            <w:pPr>
              <w:jc w:val="right"/>
              <w:rPr>
                <w:sz w:val="13"/>
                <w:szCs w:val="16"/>
              </w:rPr>
            </w:pPr>
            <w:r>
              <w:rPr>
                <w:sz w:val="13"/>
                <w:szCs w:val="16"/>
              </w:rPr>
              <w:t>11,367,671.23</w:t>
            </w:r>
          </w:p>
        </w:tc>
        <w:tc>
          <w:tcPr>
            <w:tcW w:w="477" w:type="pct"/>
            <w:shd w:val="clear" w:color="auto" w:fill="auto"/>
            <w:vAlign w:val="center"/>
          </w:tcPr>
          <w:p w14:paraId="69AC6FD8" w14:textId="77777777" w:rsidR="00E57DAA" w:rsidRDefault="00AC4185">
            <w:pPr>
              <w:jc w:val="right"/>
              <w:rPr>
                <w:sz w:val="13"/>
                <w:szCs w:val="16"/>
              </w:rPr>
            </w:pPr>
            <w:r>
              <w:rPr>
                <w:sz w:val="13"/>
                <w:szCs w:val="16"/>
              </w:rPr>
              <w:t>505,021,095.89</w:t>
            </w:r>
          </w:p>
        </w:tc>
        <w:tc>
          <w:tcPr>
            <w:tcW w:w="476" w:type="pct"/>
            <w:shd w:val="clear" w:color="auto" w:fill="auto"/>
            <w:vAlign w:val="center"/>
          </w:tcPr>
          <w:p w14:paraId="174B9101" w14:textId="77777777" w:rsidR="00E57DAA" w:rsidRDefault="00E57DAA">
            <w:pPr>
              <w:jc w:val="right"/>
              <w:rPr>
                <w:sz w:val="13"/>
                <w:szCs w:val="16"/>
              </w:rPr>
            </w:pPr>
          </w:p>
        </w:tc>
        <w:tc>
          <w:tcPr>
            <w:tcW w:w="212" w:type="pct"/>
            <w:vAlign w:val="center"/>
          </w:tcPr>
          <w:p w14:paraId="49069D8B" w14:textId="77777777" w:rsidR="00E57DAA" w:rsidRDefault="00AC4185">
            <w:pPr>
              <w:jc w:val="right"/>
              <w:rPr>
                <w:sz w:val="13"/>
                <w:szCs w:val="16"/>
              </w:rPr>
            </w:pPr>
            <w:r>
              <w:rPr>
                <w:sz w:val="13"/>
                <w:szCs w:val="16"/>
              </w:rPr>
              <w:t>否</w:t>
            </w:r>
          </w:p>
        </w:tc>
      </w:tr>
      <w:tr w:rsidR="00E57DAA" w14:paraId="0D60C1CB" w14:textId="77777777">
        <w:trPr>
          <w:cantSplit/>
          <w:trHeight w:val="266"/>
        </w:trPr>
        <w:tc>
          <w:tcPr>
            <w:tcW w:w="579" w:type="pct"/>
            <w:shd w:val="clear" w:color="auto" w:fill="auto"/>
          </w:tcPr>
          <w:p w14:paraId="50417B8D" w14:textId="77777777" w:rsidR="00E57DAA" w:rsidRDefault="00AC4185">
            <w:pPr>
              <w:jc w:val="both"/>
              <w:rPr>
                <w:sz w:val="13"/>
                <w:szCs w:val="16"/>
              </w:rPr>
            </w:pPr>
            <w:r>
              <w:rPr>
                <w:sz w:val="13"/>
                <w:szCs w:val="16"/>
              </w:rPr>
              <w:t>中材国际2022年度第一期中期票据（科创票据）</w:t>
            </w:r>
          </w:p>
        </w:tc>
        <w:tc>
          <w:tcPr>
            <w:tcW w:w="322" w:type="pct"/>
            <w:shd w:val="clear" w:color="auto" w:fill="auto"/>
            <w:vAlign w:val="center"/>
          </w:tcPr>
          <w:p w14:paraId="7B2DC33C" w14:textId="77777777" w:rsidR="00E57DAA" w:rsidRDefault="00AC4185">
            <w:pPr>
              <w:jc w:val="right"/>
              <w:rPr>
                <w:sz w:val="13"/>
                <w:szCs w:val="16"/>
              </w:rPr>
            </w:pPr>
            <w:r>
              <w:rPr>
                <w:sz w:val="13"/>
                <w:szCs w:val="16"/>
              </w:rPr>
              <w:t>100.00</w:t>
            </w:r>
          </w:p>
        </w:tc>
        <w:tc>
          <w:tcPr>
            <w:tcW w:w="469" w:type="pct"/>
            <w:shd w:val="clear" w:color="auto" w:fill="auto"/>
            <w:vAlign w:val="center"/>
          </w:tcPr>
          <w:p w14:paraId="25A7CE08" w14:textId="77777777" w:rsidR="00E57DAA" w:rsidRDefault="00AC4185">
            <w:pPr>
              <w:jc w:val="right"/>
              <w:rPr>
                <w:sz w:val="13"/>
                <w:szCs w:val="16"/>
              </w:rPr>
            </w:pPr>
            <w:r>
              <w:rPr>
                <w:sz w:val="13"/>
                <w:szCs w:val="16"/>
              </w:rPr>
              <w:t>2022年11月1日</w:t>
            </w:r>
          </w:p>
        </w:tc>
        <w:tc>
          <w:tcPr>
            <w:tcW w:w="220" w:type="pct"/>
            <w:shd w:val="clear" w:color="auto" w:fill="auto"/>
            <w:vAlign w:val="center"/>
          </w:tcPr>
          <w:p w14:paraId="3197DEDA" w14:textId="77777777" w:rsidR="00E57DAA" w:rsidRDefault="00AC4185">
            <w:pPr>
              <w:rPr>
                <w:sz w:val="13"/>
                <w:szCs w:val="16"/>
              </w:rPr>
            </w:pPr>
            <w:r>
              <w:rPr>
                <w:sz w:val="13"/>
                <w:szCs w:val="16"/>
              </w:rPr>
              <w:t>3年</w:t>
            </w:r>
          </w:p>
        </w:tc>
        <w:tc>
          <w:tcPr>
            <w:tcW w:w="528" w:type="pct"/>
            <w:shd w:val="clear" w:color="auto" w:fill="auto"/>
            <w:vAlign w:val="center"/>
          </w:tcPr>
          <w:p w14:paraId="2A4D11C9" w14:textId="77777777" w:rsidR="00E57DAA" w:rsidRDefault="00AC4185">
            <w:pPr>
              <w:jc w:val="right"/>
              <w:rPr>
                <w:sz w:val="13"/>
                <w:szCs w:val="16"/>
              </w:rPr>
            </w:pPr>
            <w:r>
              <w:rPr>
                <w:sz w:val="13"/>
                <w:szCs w:val="16"/>
              </w:rPr>
              <w:t>1,000,000,000.00</w:t>
            </w:r>
          </w:p>
        </w:tc>
        <w:tc>
          <w:tcPr>
            <w:tcW w:w="478" w:type="pct"/>
            <w:shd w:val="clear" w:color="auto" w:fill="auto"/>
            <w:vAlign w:val="center"/>
          </w:tcPr>
          <w:p w14:paraId="69B01586" w14:textId="77777777" w:rsidR="00E57DAA" w:rsidRDefault="00AC4185">
            <w:pPr>
              <w:jc w:val="right"/>
              <w:rPr>
                <w:sz w:val="13"/>
                <w:szCs w:val="16"/>
              </w:rPr>
            </w:pPr>
            <w:r>
              <w:rPr>
                <w:sz w:val="13"/>
                <w:szCs w:val="16"/>
              </w:rPr>
              <w:t>1,000,000,000.00</w:t>
            </w:r>
          </w:p>
        </w:tc>
        <w:tc>
          <w:tcPr>
            <w:tcW w:w="118" w:type="pct"/>
            <w:shd w:val="clear" w:color="auto" w:fill="auto"/>
          </w:tcPr>
          <w:p w14:paraId="233696CA" w14:textId="77777777" w:rsidR="00E57DAA" w:rsidRDefault="00E57DAA">
            <w:pPr>
              <w:jc w:val="right"/>
              <w:rPr>
                <w:sz w:val="13"/>
                <w:szCs w:val="16"/>
              </w:rPr>
            </w:pPr>
          </w:p>
        </w:tc>
        <w:tc>
          <w:tcPr>
            <w:tcW w:w="445" w:type="pct"/>
            <w:shd w:val="clear" w:color="auto" w:fill="auto"/>
            <w:vAlign w:val="center"/>
          </w:tcPr>
          <w:p w14:paraId="00438673" w14:textId="77777777" w:rsidR="00E57DAA" w:rsidRDefault="00AC4185">
            <w:pPr>
              <w:jc w:val="right"/>
              <w:rPr>
                <w:sz w:val="13"/>
                <w:szCs w:val="16"/>
              </w:rPr>
            </w:pPr>
            <w:r>
              <w:rPr>
                <w:sz w:val="13"/>
                <w:szCs w:val="16"/>
              </w:rPr>
              <w:t>26,781,643.84</w:t>
            </w:r>
          </w:p>
        </w:tc>
        <w:tc>
          <w:tcPr>
            <w:tcW w:w="201" w:type="pct"/>
            <w:shd w:val="clear" w:color="auto" w:fill="auto"/>
            <w:vAlign w:val="center"/>
          </w:tcPr>
          <w:p w14:paraId="39898CB2" w14:textId="77777777" w:rsidR="00E57DAA" w:rsidRDefault="00E57DAA">
            <w:pPr>
              <w:jc w:val="right"/>
              <w:rPr>
                <w:sz w:val="13"/>
                <w:szCs w:val="16"/>
              </w:rPr>
            </w:pPr>
          </w:p>
        </w:tc>
        <w:tc>
          <w:tcPr>
            <w:tcW w:w="475" w:type="pct"/>
            <w:shd w:val="clear" w:color="auto" w:fill="auto"/>
            <w:vAlign w:val="center"/>
          </w:tcPr>
          <w:p w14:paraId="6CE754DD" w14:textId="77777777" w:rsidR="00E57DAA" w:rsidRDefault="00AC4185">
            <w:pPr>
              <w:jc w:val="right"/>
              <w:rPr>
                <w:sz w:val="13"/>
                <w:szCs w:val="16"/>
              </w:rPr>
            </w:pPr>
            <w:r>
              <w:rPr>
                <w:sz w:val="13"/>
                <w:szCs w:val="16"/>
              </w:rPr>
              <w:t>22,394,520.55</w:t>
            </w:r>
          </w:p>
        </w:tc>
        <w:tc>
          <w:tcPr>
            <w:tcW w:w="477" w:type="pct"/>
            <w:shd w:val="clear" w:color="auto" w:fill="auto"/>
            <w:vAlign w:val="center"/>
          </w:tcPr>
          <w:p w14:paraId="01AFA676" w14:textId="77777777" w:rsidR="00E57DAA" w:rsidRDefault="00AC4185">
            <w:pPr>
              <w:jc w:val="right"/>
              <w:rPr>
                <w:sz w:val="13"/>
                <w:szCs w:val="16"/>
              </w:rPr>
            </w:pPr>
            <w:r>
              <w:rPr>
                <w:sz w:val="13"/>
                <w:szCs w:val="16"/>
              </w:rPr>
              <w:t>4,387,123.29</w:t>
            </w:r>
          </w:p>
        </w:tc>
        <w:tc>
          <w:tcPr>
            <w:tcW w:w="476" w:type="pct"/>
            <w:shd w:val="clear" w:color="auto" w:fill="auto"/>
            <w:vAlign w:val="center"/>
          </w:tcPr>
          <w:p w14:paraId="4A91C03A" w14:textId="77777777" w:rsidR="00E57DAA" w:rsidRDefault="00AC4185">
            <w:pPr>
              <w:jc w:val="right"/>
              <w:rPr>
                <w:sz w:val="13"/>
                <w:szCs w:val="16"/>
              </w:rPr>
            </w:pPr>
            <w:r>
              <w:rPr>
                <w:sz w:val="13"/>
                <w:szCs w:val="16"/>
              </w:rPr>
              <w:t>1,000,000,000.00</w:t>
            </w:r>
          </w:p>
        </w:tc>
        <w:tc>
          <w:tcPr>
            <w:tcW w:w="212" w:type="pct"/>
            <w:vAlign w:val="center"/>
          </w:tcPr>
          <w:p w14:paraId="5488563A" w14:textId="77777777" w:rsidR="00E57DAA" w:rsidRDefault="00AC4185">
            <w:pPr>
              <w:jc w:val="right"/>
              <w:rPr>
                <w:sz w:val="13"/>
                <w:szCs w:val="16"/>
              </w:rPr>
            </w:pPr>
            <w:r>
              <w:rPr>
                <w:sz w:val="13"/>
                <w:szCs w:val="16"/>
              </w:rPr>
              <w:t>否</w:t>
            </w:r>
          </w:p>
        </w:tc>
      </w:tr>
      <w:tr w:rsidR="00E57DAA" w14:paraId="2CD40F7A" w14:textId="77777777">
        <w:trPr>
          <w:cantSplit/>
          <w:trHeight w:val="266"/>
        </w:trPr>
        <w:tc>
          <w:tcPr>
            <w:tcW w:w="579" w:type="pct"/>
            <w:shd w:val="clear" w:color="auto" w:fill="auto"/>
          </w:tcPr>
          <w:p w14:paraId="53F7509A" w14:textId="77777777" w:rsidR="00E57DAA" w:rsidRDefault="00AC4185">
            <w:pPr>
              <w:jc w:val="center"/>
              <w:rPr>
                <w:sz w:val="13"/>
                <w:szCs w:val="16"/>
              </w:rPr>
            </w:pPr>
            <w:r>
              <w:rPr>
                <w:rFonts w:hint="eastAsia"/>
                <w:sz w:val="13"/>
                <w:szCs w:val="16"/>
              </w:rPr>
              <w:t>合计</w:t>
            </w:r>
          </w:p>
        </w:tc>
        <w:tc>
          <w:tcPr>
            <w:tcW w:w="322" w:type="pct"/>
            <w:shd w:val="clear" w:color="auto" w:fill="auto"/>
          </w:tcPr>
          <w:p w14:paraId="51DC0534" w14:textId="77777777" w:rsidR="00E57DAA" w:rsidRDefault="00AC4185">
            <w:pPr>
              <w:jc w:val="center"/>
              <w:rPr>
                <w:sz w:val="13"/>
                <w:szCs w:val="16"/>
              </w:rPr>
            </w:pPr>
            <w:r>
              <w:rPr>
                <w:rFonts w:hint="eastAsia"/>
                <w:sz w:val="13"/>
                <w:szCs w:val="16"/>
              </w:rPr>
              <w:t>/</w:t>
            </w:r>
          </w:p>
        </w:tc>
        <w:tc>
          <w:tcPr>
            <w:tcW w:w="469" w:type="pct"/>
            <w:shd w:val="clear" w:color="auto" w:fill="auto"/>
          </w:tcPr>
          <w:p w14:paraId="00C06CE4" w14:textId="77777777" w:rsidR="00E57DAA" w:rsidRDefault="00AC4185">
            <w:pPr>
              <w:jc w:val="center"/>
              <w:rPr>
                <w:sz w:val="13"/>
                <w:szCs w:val="16"/>
              </w:rPr>
            </w:pPr>
            <w:r>
              <w:rPr>
                <w:rFonts w:hint="eastAsia"/>
                <w:sz w:val="13"/>
                <w:szCs w:val="16"/>
              </w:rPr>
              <w:t>/</w:t>
            </w:r>
          </w:p>
        </w:tc>
        <w:tc>
          <w:tcPr>
            <w:tcW w:w="220" w:type="pct"/>
            <w:shd w:val="clear" w:color="auto" w:fill="auto"/>
          </w:tcPr>
          <w:p w14:paraId="711E27DD" w14:textId="77777777" w:rsidR="00E57DAA" w:rsidRDefault="00AC4185">
            <w:pPr>
              <w:jc w:val="center"/>
              <w:rPr>
                <w:sz w:val="13"/>
                <w:szCs w:val="16"/>
              </w:rPr>
            </w:pPr>
            <w:r>
              <w:rPr>
                <w:rFonts w:hint="eastAsia"/>
                <w:sz w:val="13"/>
                <w:szCs w:val="16"/>
              </w:rPr>
              <w:t>/</w:t>
            </w:r>
          </w:p>
        </w:tc>
        <w:tc>
          <w:tcPr>
            <w:tcW w:w="528" w:type="pct"/>
            <w:shd w:val="clear" w:color="auto" w:fill="auto"/>
            <w:vAlign w:val="center"/>
          </w:tcPr>
          <w:p w14:paraId="2CEC3C9A" w14:textId="77777777" w:rsidR="00E57DAA" w:rsidRDefault="00AC4185">
            <w:pPr>
              <w:jc w:val="right"/>
              <w:rPr>
                <w:sz w:val="13"/>
                <w:szCs w:val="16"/>
              </w:rPr>
            </w:pPr>
            <w:r>
              <w:rPr>
                <w:sz w:val="13"/>
                <w:szCs w:val="16"/>
              </w:rPr>
              <w:t>1,500,000,000.00</w:t>
            </w:r>
          </w:p>
        </w:tc>
        <w:tc>
          <w:tcPr>
            <w:tcW w:w="478" w:type="pct"/>
            <w:shd w:val="clear" w:color="auto" w:fill="auto"/>
            <w:vAlign w:val="center"/>
          </w:tcPr>
          <w:p w14:paraId="7DDDB3F0" w14:textId="77777777" w:rsidR="00E57DAA" w:rsidRDefault="00AC4185">
            <w:pPr>
              <w:jc w:val="right"/>
              <w:rPr>
                <w:sz w:val="13"/>
                <w:szCs w:val="16"/>
              </w:rPr>
            </w:pPr>
            <w:r>
              <w:rPr>
                <w:sz w:val="13"/>
                <w:szCs w:val="16"/>
              </w:rPr>
              <w:t>1,500,000,000.00</w:t>
            </w:r>
          </w:p>
        </w:tc>
        <w:tc>
          <w:tcPr>
            <w:tcW w:w="118" w:type="pct"/>
            <w:shd w:val="clear" w:color="auto" w:fill="auto"/>
          </w:tcPr>
          <w:p w14:paraId="3D4CEFC7" w14:textId="77777777" w:rsidR="00E57DAA" w:rsidRDefault="00E57DAA">
            <w:pPr>
              <w:jc w:val="right"/>
              <w:rPr>
                <w:sz w:val="13"/>
                <w:szCs w:val="16"/>
              </w:rPr>
            </w:pPr>
          </w:p>
        </w:tc>
        <w:tc>
          <w:tcPr>
            <w:tcW w:w="445" w:type="pct"/>
            <w:shd w:val="clear" w:color="auto" w:fill="auto"/>
            <w:vAlign w:val="center"/>
          </w:tcPr>
          <w:p w14:paraId="4B978D38" w14:textId="77777777" w:rsidR="00E57DAA" w:rsidRDefault="00AC4185">
            <w:pPr>
              <w:jc w:val="right"/>
              <w:rPr>
                <w:sz w:val="13"/>
                <w:szCs w:val="16"/>
              </w:rPr>
            </w:pPr>
            <w:r>
              <w:rPr>
                <w:sz w:val="13"/>
                <w:szCs w:val="16"/>
              </w:rPr>
              <w:t>43,170,410.96</w:t>
            </w:r>
          </w:p>
        </w:tc>
        <w:tc>
          <w:tcPr>
            <w:tcW w:w="201" w:type="pct"/>
            <w:shd w:val="clear" w:color="auto" w:fill="auto"/>
            <w:vAlign w:val="center"/>
          </w:tcPr>
          <w:p w14:paraId="101174B7" w14:textId="77777777" w:rsidR="00E57DAA" w:rsidRDefault="00E57DAA">
            <w:pPr>
              <w:jc w:val="right"/>
              <w:rPr>
                <w:sz w:val="13"/>
                <w:szCs w:val="16"/>
              </w:rPr>
            </w:pPr>
          </w:p>
        </w:tc>
        <w:tc>
          <w:tcPr>
            <w:tcW w:w="475" w:type="pct"/>
            <w:shd w:val="clear" w:color="auto" w:fill="auto"/>
            <w:vAlign w:val="center"/>
          </w:tcPr>
          <w:p w14:paraId="08B73C04" w14:textId="77777777" w:rsidR="00E57DAA" w:rsidRDefault="00AC4185">
            <w:pPr>
              <w:jc w:val="right"/>
              <w:rPr>
                <w:sz w:val="13"/>
                <w:szCs w:val="16"/>
              </w:rPr>
            </w:pPr>
            <w:r>
              <w:rPr>
                <w:sz w:val="13"/>
                <w:szCs w:val="16"/>
              </w:rPr>
              <w:t>33,762,191.78</w:t>
            </w:r>
          </w:p>
        </w:tc>
        <w:tc>
          <w:tcPr>
            <w:tcW w:w="477" w:type="pct"/>
            <w:shd w:val="clear" w:color="auto" w:fill="auto"/>
            <w:vAlign w:val="center"/>
          </w:tcPr>
          <w:p w14:paraId="78862D62" w14:textId="77777777" w:rsidR="00E57DAA" w:rsidRDefault="00AC4185">
            <w:pPr>
              <w:jc w:val="right"/>
              <w:rPr>
                <w:sz w:val="13"/>
                <w:szCs w:val="16"/>
              </w:rPr>
            </w:pPr>
            <w:r>
              <w:rPr>
                <w:sz w:val="13"/>
                <w:szCs w:val="16"/>
              </w:rPr>
              <w:t>509,408,219.18</w:t>
            </w:r>
          </w:p>
        </w:tc>
        <w:tc>
          <w:tcPr>
            <w:tcW w:w="476" w:type="pct"/>
            <w:shd w:val="clear" w:color="auto" w:fill="auto"/>
            <w:vAlign w:val="center"/>
          </w:tcPr>
          <w:p w14:paraId="4E87F0D4" w14:textId="77777777" w:rsidR="00E57DAA" w:rsidRDefault="00AC4185">
            <w:pPr>
              <w:jc w:val="right"/>
              <w:rPr>
                <w:sz w:val="13"/>
                <w:szCs w:val="16"/>
              </w:rPr>
            </w:pPr>
            <w:r>
              <w:rPr>
                <w:sz w:val="13"/>
                <w:szCs w:val="16"/>
              </w:rPr>
              <w:t>1,000,000,000.00</w:t>
            </w:r>
          </w:p>
        </w:tc>
        <w:tc>
          <w:tcPr>
            <w:tcW w:w="212" w:type="pct"/>
            <w:vAlign w:val="center"/>
          </w:tcPr>
          <w:p w14:paraId="502EC1F7" w14:textId="77777777" w:rsidR="00E57DAA" w:rsidRDefault="00AC4185">
            <w:pPr>
              <w:jc w:val="right"/>
              <w:rPr>
                <w:sz w:val="13"/>
                <w:szCs w:val="16"/>
              </w:rPr>
            </w:pPr>
            <w:r>
              <w:rPr>
                <w:sz w:val="13"/>
                <w:szCs w:val="16"/>
              </w:rPr>
              <w:t>——</w:t>
            </w:r>
          </w:p>
        </w:tc>
      </w:tr>
    </w:tbl>
    <w:p w14:paraId="5E6280A1" w14:textId="77777777" w:rsidR="00E57DAA" w:rsidRDefault="00E57DAA" w:rsidP="00C25422">
      <w:pPr>
        <w:pStyle w:val="92"/>
      </w:pPr>
    </w:p>
    <w:p w14:paraId="03ED7B01" w14:textId="77777777" w:rsidR="00E57DAA" w:rsidRDefault="00AC4185">
      <w:pPr>
        <w:pStyle w:val="4"/>
        <w:numPr>
          <w:ilvl w:val="0"/>
          <w:numId w:val="99"/>
        </w:numPr>
        <w:ind w:left="426" w:hanging="426"/>
      </w:pPr>
      <w:r>
        <w:rPr>
          <w:rFonts w:hint="eastAsia"/>
        </w:rPr>
        <w:t>可</w:t>
      </w:r>
      <w:r>
        <w:rPr>
          <w:rFonts w:ascii="宋体" w:hAnsi="宋体" w:hint="eastAsia"/>
        </w:rPr>
        <w:t>转换公司债</w:t>
      </w:r>
      <w:r>
        <w:rPr>
          <w:rFonts w:hint="eastAsia"/>
        </w:rPr>
        <w:t>券的说明</w:t>
      </w:r>
    </w:p>
    <w:sdt>
      <w:sdtPr>
        <w:rPr>
          <w:rFonts w:hint="eastAsia"/>
          <w:szCs w:val="21"/>
        </w:rPr>
        <w:alias w:val="是否适用：可转换公司债券的转股条件、转股时间说明[双击切换]"/>
        <w:tag w:val="_GBC_2b6cb515ba4c417781662a31ccbd84e3"/>
        <w:id w:val="1426999115"/>
        <w:placeholder>
          <w:docPart w:val="GBC22222222222222222222222222222"/>
        </w:placeholder>
      </w:sdtPr>
      <w:sdtEndPr/>
      <w:sdtContent>
        <w:p w14:paraId="48949906" w14:textId="77777777" w:rsidR="00E57DAA" w:rsidRDefault="00AC4185">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BF55D9" w14:textId="77777777" w:rsidR="00E57DAA" w:rsidRDefault="00AC4185">
      <w:pPr>
        <w:spacing w:before="60" w:after="60"/>
        <w:rPr>
          <w:szCs w:val="21"/>
        </w:rPr>
      </w:pPr>
      <w:r>
        <w:rPr>
          <w:rFonts w:hint="eastAsia"/>
          <w:szCs w:val="21"/>
        </w:rPr>
        <w:t>转股权会计处理及判断依据</w:t>
      </w:r>
    </w:p>
    <w:sdt>
      <w:sdtPr>
        <w:rPr>
          <w:szCs w:val="21"/>
        </w:rPr>
        <w:alias w:val="是否适用：转股权会计处理及判断依据[双击切换]"/>
        <w:tag w:val="_GBC_8ec57a1730b24863aa91d9cece86f4d1"/>
        <w:id w:val="1324858309"/>
        <w:placeholder>
          <w:docPart w:val="GBC22222222222222222222222222222"/>
        </w:placeholder>
      </w:sdtPr>
      <w:sdtEndPr/>
      <w:sdtContent>
        <w:p w14:paraId="524D1111" w14:textId="77777777" w:rsidR="00E57DAA" w:rsidRDefault="00AC4185">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948B98" w14:textId="77777777" w:rsidR="00E57DAA" w:rsidRDefault="00AC4185">
      <w:pPr>
        <w:pStyle w:val="4"/>
        <w:numPr>
          <w:ilvl w:val="0"/>
          <w:numId w:val="99"/>
        </w:numPr>
        <w:ind w:left="426" w:hanging="426"/>
      </w:pPr>
      <w:r>
        <w:rPr>
          <w:rFonts w:hint="eastAsia"/>
        </w:rPr>
        <w:t>划分为金融负债的其他金融工具说明</w:t>
      </w:r>
    </w:p>
    <w:p w14:paraId="6ABC3EED" w14:textId="77777777" w:rsidR="00E57DAA" w:rsidRDefault="00AC4185" w:rsidP="00C25422">
      <w:pPr>
        <w:pStyle w:val="92"/>
      </w:pPr>
      <w:r>
        <w:rPr>
          <w:rFonts w:hint="eastAsia"/>
        </w:rPr>
        <w:t>期末发行在外的优先股、永续债等其他金融工具基本情况</w:t>
      </w:r>
    </w:p>
    <w:sdt>
      <w:sdtPr>
        <w:alias w:val="是否适用：划分为金融负债的其他金融工具说明[双击切换]"/>
        <w:tag w:val="_GBC_354a73ce52fe4fcaa9d974bff59ad9cc"/>
        <w:id w:val="-714264065"/>
        <w:placeholder>
          <w:docPart w:val="GBC22222222222222222222222222222"/>
        </w:placeholder>
      </w:sdtPr>
      <w:sdtEndPr/>
      <w:sdtContent>
        <w:p w14:paraId="52C6FBEA"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BB167A" w14:textId="77777777" w:rsidR="00E57DAA" w:rsidRDefault="00E57DAA">
      <w:pPr>
        <w:rPr>
          <w:szCs w:val="21"/>
        </w:rPr>
      </w:pPr>
    </w:p>
    <w:p w14:paraId="425A1153" w14:textId="77777777" w:rsidR="00E57DAA" w:rsidRDefault="00AC4185">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685094096"/>
        <w:placeholder>
          <w:docPart w:val="GBC22222222222222222222222222222"/>
        </w:placeholder>
      </w:sdtPr>
      <w:sdtEndPr/>
      <w:sdtContent>
        <w:p w14:paraId="1457702D"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772BB6" w14:textId="77777777" w:rsidR="00E57DAA" w:rsidRDefault="00E57DAA">
      <w:pPr>
        <w:rPr>
          <w:szCs w:val="21"/>
        </w:rPr>
      </w:pPr>
    </w:p>
    <w:p w14:paraId="6BD4DC40" w14:textId="77777777" w:rsidR="00E57DAA" w:rsidRDefault="00AC4185">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077484001"/>
        <w:placeholder>
          <w:docPart w:val="GBC22222222222222222222222222222"/>
        </w:placeholder>
      </w:sdtPr>
      <w:sdtEndPr/>
      <w:sdtContent>
        <w:p w14:paraId="60127C42" w14:textId="77777777" w:rsidR="00E57DAA" w:rsidRDefault="00AC418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035D74E" w14:textId="77777777" w:rsidR="00E57DAA" w:rsidRDefault="00E57DAA">
      <w:pPr>
        <w:rPr>
          <w:szCs w:val="21"/>
        </w:rPr>
      </w:pPr>
    </w:p>
    <w:p w14:paraId="6C919151" w14:textId="77777777" w:rsidR="00E57DAA" w:rsidRDefault="00AC4185">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379218564"/>
        <w:placeholder>
          <w:docPart w:val="GBC22222222222222222222222222222"/>
        </w:placeholder>
      </w:sdtPr>
      <w:sdtEndPr/>
      <w:sdtContent>
        <w:p w14:paraId="2780C34B" w14:textId="77777777" w:rsidR="00E57DAA" w:rsidRDefault="00AC418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rPr>
        <w:alias w:val="应付债券的其他说明"/>
        <w:tag w:val="_GBC_5f06f53063254e9792ae83ac73255c74"/>
        <w:id w:val="-1429334768"/>
      </w:sdtPr>
      <w:sdtEndPr/>
      <w:sdtContent>
        <w:p w14:paraId="11D0D942" w14:textId="77777777" w:rsidR="00E57DAA" w:rsidRDefault="00AC4185" w:rsidP="00C25422">
          <w:pPr>
            <w:pStyle w:val="92"/>
          </w:pPr>
          <w:r>
            <w:rPr>
              <w:rFonts w:hint="eastAsia"/>
            </w:rPr>
            <w:t>应付债券说明：其他减少</w:t>
          </w:r>
          <w:r>
            <w:t>509,408,219.18元系重分类至“一年内到期的非流动负债”。</w:t>
          </w:r>
        </w:p>
      </w:sdtContent>
    </w:sdt>
    <w:p w14:paraId="142B779F" w14:textId="77777777" w:rsidR="00E57DAA" w:rsidRDefault="00E57DAA">
      <w:pPr>
        <w:rPr>
          <w:szCs w:val="21"/>
        </w:rPr>
      </w:pPr>
    </w:p>
    <w:p w14:paraId="6298BC8B" w14:textId="77777777" w:rsidR="00E57DAA" w:rsidRDefault="00E57DAA">
      <w:pPr>
        <w:rPr>
          <w:szCs w:val="21"/>
        </w:rPr>
        <w:sectPr w:rsidR="00E57DAA" w:rsidSect="00226547">
          <w:pgSz w:w="16838" w:h="11906" w:orient="landscape"/>
          <w:pgMar w:top="1276" w:right="1440" w:bottom="1797" w:left="1525" w:header="856" w:footer="992" w:gutter="0"/>
          <w:cols w:space="425"/>
          <w:docGrid w:linePitch="312"/>
        </w:sectPr>
      </w:pPr>
    </w:p>
    <w:p w14:paraId="1885F9AA" w14:textId="77777777" w:rsidR="00E57DAA" w:rsidRDefault="00E57DAA">
      <w:pPr>
        <w:rPr>
          <w:szCs w:val="21"/>
        </w:rPr>
      </w:pPr>
    </w:p>
    <w:p w14:paraId="66C7A813" w14:textId="77777777" w:rsidR="00E57DAA" w:rsidRDefault="00AC4185" w:rsidP="00C25422">
      <w:pPr>
        <w:pStyle w:val="91"/>
        <w:numPr>
          <w:ilvl w:val="0"/>
          <w:numId w:val="69"/>
        </w:numPr>
      </w:pPr>
      <w:r>
        <w:rPr>
          <w:rFonts w:hint="eastAsia"/>
        </w:rPr>
        <w:t>租赁负债</w:t>
      </w:r>
    </w:p>
    <w:bookmarkStart w:id="282" w:name="_Hlk24026742" w:displacedByCustomXml="next"/>
    <w:sdt>
      <w:sdtPr>
        <w:rPr>
          <w:szCs w:val="21"/>
        </w:rPr>
        <w:alias w:val="是否适用：租赁负债[双击切换]"/>
        <w:tag w:val="_GBC_abf9a23b0ddc4b63b6f39d768c084973"/>
        <w:id w:val="1593425497"/>
        <w:placeholder>
          <w:docPart w:val="GBC22222222222222222222222222222"/>
        </w:placeholder>
      </w:sdtPr>
      <w:sdtEndPr/>
      <w:sdtContent>
        <w:p w14:paraId="1487DF6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917D75" w14:textId="77777777" w:rsidR="00E57DAA" w:rsidRDefault="00AC4185">
      <w:pPr>
        <w:jc w:val="right"/>
        <w:rPr>
          <w:szCs w:val="21"/>
        </w:rPr>
      </w:pPr>
      <w:r>
        <w:rPr>
          <w:rFonts w:hint="eastAsia"/>
          <w:szCs w:val="21"/>
        </w:rPr>
        <w:t>单位：</w:t>
      </w:r>
      <w:sdt>
        <w:sdtPr>
          <w:rPr>
            <w:rFonts w:hint="eastAsia"/>
            <w:szCs w:val="21"/>
          </w:rPr>
          <w:alias w:val="单位：租赁负债"/>
          <w:tag w:val="_GBC_33e504b2a4a34d41946083d1a309022f"/>
          <w:id w:val="-72999276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2749483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5"/>
        <w:gridCol w:w="2848"/>
        <w:gridCol w:w="2850"/>
      </w:tblGrid>
      <w:tr w:rsidR="00E57DAA" w14:paraId="02A12C28" w14:textId="77777777">
        <w:trPr>
          <w:cantSplit/>
          <w:trHeight w:val="307"/>
        </w:trPr>
        <w:sdt>
          <w:sdtPr>
            <w:tag w:val="_PLD_a05982b715d74082b7e01db9e1e265ef"/>
            <w:id w:val="1319071501"/>
          </w:sdtPr>
          <w:sdtEndPr/>
          <w:sdtContent>
            <w:tc>
              <w:tcPr>
                <w:tcW w:w="1771" w:type="pct"/>
                <w:shd w:val="clear" w:color="auto" w:fill="auto"/>
                <w:vAlign w:val="center"/>
              </w:tcPr>
              <w:p w14:paraId="5786B696" w14:textId="77777777" w:rsidR="00E57DAA" w:rsidRDefault="00AC4185">
                <w:pPr>
                  <w:jc w:val="center"/>
                  <w:rPr>
                    <w:szCs w:val="21"/>
                  </w:rPr>
                </w:pPr>
                <w:r>
                  <w:rPr>
                    <w:rFonts w:hint="eastAsia"/>
                    <w:szCs w:val="21"/>
                  </w:rPr>
                  <w:t>项目</w:t>
                </w:r>
              </w:p>
            </w:tc>
          </w:sdtContent>
        </w:sdt>
        <w:sdt>
          <w:sdtPr>
            <w:tag w:val="_PLD_84a0d8719b674f50bfcfc1c6ed86fed6"/>
            <w:id w:val="-1888861632"/>
          </w:sdtPr>
          <w:sdtEndPr/>
          <w:sdtContent>
            <w:tc>
              <w:tcPr>
                <w:tcW w:w="1614" w:type="pct"/>
                <w:shd w:val="clear" w:color="auto" w:fill="auto"/>
                <w:vAlign w:val="center"/>
              </w:tcPr>
              <w:p w14:paraId="66178476" w14:textId="77777777" w:rsidR="00E57DAA" w:rsidRDefault="00AC4185">
                <w:pPr>
                  <w:jc w:val="center"/>
                  <w:rPr>
                    <w:szCs w:val="21"/>
                  </w:rPr>
                </w:pPr>
                <w:r>
                  <w:rPr>
                    <w:rFonts w:hint="eastAsia"/>
                    <w:szCs w:val="21"/>
                  </w:rPr>
                  <w:t>期末余额</w:t>
                </w:r>
              </w:p>
            </w:tc>
          </w:sdtContent>
        </w:sdt>
        <w:sdt>
          <w:sdtPr>
            <w:tag w:val="_PLD_d601589800f8414abb18e7477e7b41d6"/>
            <w:id w:val="-370689491"/>
          </w:sdtPr>
          <w:sdtEndPr/>
          <w:sdtContent>
            <w:tc>
              <w:tcPr>
                <w:tcW w:w="1615" w:type="pct"/>
                <w:shd w:val="clear" w:color="auto" w:fill="auto"/>
                <w:vAlign w:val="center"/>
              </w:tcPr>
              <w:p w14:paraId="2F419941" w14:textId="77777777" w:rsidR="00E57DAA" w:rsidRDefault="00AC4185">
                <w:pPr>
                  <w:jc w:val="center"/>
                  <w:rPr>
                    <w:szCs w:val="21"/>
                  </w:rPr>
                </w:pPr>
                <w:r>
                  <w:rPr>
                    <w:rFonts w:hint="eastAsia"/>
                    <w:szCs w:val="21"/>
                  </w:rPr>
                  <w:t>期初余额</w:t>
                </w:r>
              </w:p>
            </w:tc>
          </w:sdtContent>
        </w:sdt>
      </w:tr>
      <w:tr w:rsidR="00E57DAA" w14:paraId="303B6039" w14:textId="77777777">
        <w:trPr>
          <w:cantSplit/>
          <w:trHeight w:val="186"/>
        </w:trPr>
        <w:tc>
          <w:tcPr>
            <w:tcW w:w="1771" w:type="pct"/>
          </w:tcPr>
          <w:p w14:paraId="7C27B054" w14:textId="77777777" w:rsidR="00E57DAA" w:rsidRDefault="00AC4185">
            <w:pPr>
              <w:rPr>
                <w:szCs w:val="21"/>
              </w:rPr>
            </w:pPr>
            <w:r>
              <w:t>经营租赁应付款</w:t>
            </w:r>
          </w:p>
        </w:tc>
        <w:tc>
          <w:tcPr>
            <w:tcW w:w="1614" w:type="pct"/>
          </w:tcPr>
          <w:p w14:paraId="19A47065" w14:textId="77777777" w:rsidR="00E57DAA" w:rsidRDefault="00AC4185">
            <w:pPr>
              <w:jc w:val="right"/>
              <w:rPr>
                <w:szCs w:val="21"/>
              </w:rPr>
            </w:pPr>
            <w:r>
              <w:t>55,419,759.49</w:t>
            </w:r>
          </w:p>
        </w:tc>
        <w:tc>
          <w:tcPr>
            <w:tcW w:w="1615" w:type="pct"/>
          </w:tcPr>
          <w:p w14:paraId="5478900F" w14:textId="77777777" w:rsidR="00E57DAA" w:rsidRDefault="00AC4185">
            <w:pPr>
              <w:jc w:val="right"/>
              <w:rPr>
                <w:szCs w:val="21"/>
              </w:rPr>
            </w:pPr>
            <w:r>
              <w:t>21,836,520.44</w:t>
            </w:r>
          </w:p>
        </w:tc>
      </w:tr>
      <w:tr w:rsidR="00E57DAA" w14:paraId="046C3E8B" w14:textId="77777777">
        <w:trPr>
          <w:cantSplit/>
          <w:trHeight w:val="186"/>
        </w:trPr>
        <w:tc>
          <w:tcPr>
            <w:tcW w:w="1771" w:type="pct"/>
          </w:tcPr>
          <w:p w14:paraId="70E73D33" w14:textId="77777777" w:rsidR="00E57DAA" w:rsidRDefault="00AC4185">
            <w:pPr>
              <w:jc w:val="center"/>
              <w:rPr>
                <w:szCs w:val="21"/>
              </w:rPr>
            </w:pPr>
            <w:r>
              <w:rPr>
                <w:rFonts w:hint="eastAsia"/>
                <w:szCs w:val="21"/>
              </w:rPr>
              <w:t>合计</w:t>
            </w:r>
          </w:p>
        </w:tc>
        <w:tc>
          <w:tcPr>
            <w:tcW w:w="1614" w:type="pct"/>
            <w:vAlign w:val="center"/>
          </w:tcPr>
          <w:p w14:paraId="7223CD34" w14:textId="77777777" w:rsidR="00E57DAA" w:rsidRDefault="00AC4185">
            <w:pPr>
              <w:jc w:val="right"/>
              <w:rPr>
                <w:szCs w:val="21"/>
              </w:rPr>
            </w:pPr>
            <w:r>
              <w:t>55,419,759.49</w:t>
            </w:r>
          </w:p>
        </w:tc>
        <w:tc>
          <w:tcPr>
            <w:tcW w:w="1615" w:type="pct"/>
            <w:vAlign w:val="center"/>
          </w:tcPr>
          <w:p w14:paraId="62843182" w14:textId="77777777" w:rsidR="00E57DAA" w:rsidRDefault="00AC4185">
            <w:pPr>
              <w:jc w:val="right"/>
              <w:rPr>
                <w:szCs w:val="21"/>
              </w:rPr>
            </w:pPr>
            <w:r>
              <w:t>21,836,520.44</w:t>
            </w:r>
          </w:p>
        </w:tc>
      </w:tr>
      <w:bookmarkEnd w:id="282"/>
    </w:tbl>
    <w:p w14:paraId="47A806B4" w14:textId="77777777" w:rsidR="00E57DAA" w:rsidRDefault="00E57DAA">
      <w:pPr>
        <w:rPr>
          <w:szCs w:val="21"/>
        </w:rPr>
      </w:pPr>
    </w:p>
    <w:p w14:paraId="141607AD" w14:textId="77777777" w:rsidR="00E57DAA" w:rsidRDefault="00AC4185" w:rsidP="00C25422">
      <w:pPr>
        <w:pStyle w:val="91"/>
        <w:numPr>
          <w:ilvl w:val="0"/>
          <w:numId w:val="69"/>
        </w:numPr>
      </w:pPr>
      <w:r>
        <w:rPr>
          <w:rFonts w:hint="eastAsia"/>
        </w:rPr>
        <w:t>长期应付款</w:t>
      </w:r>
    </w:p>
    <w:p w14:paraId="2C313AFC" w14:textId="77777777" w:rsidR="00E57DAA" w:rsidRDefault="00AC4185">
      <w:pPr>
        <w:pStyle w:val="4"/>
      </w:pPr>
      <w:bookmarkStart w:id="283" w:name="_Hlk532911038"/>
      <w:r>
        <w:rPr>
          <w:rFonts w:hint="eastAsia"/>
        </w:rPr>
        <w:t>项目列示</w:t>
      </w:r>
    </w:p>
    <w:sdt>
      <w:sdtPr>
        <w:alias w:val="是否适用：长期应付款分类列示[双击切换]"/>
        <w:tag w:val="_GBC_90d4a9bd673140ef9c99898da48d1614"/>
        <w:id w:val="-1160390018"/>
      </w:sdtPr>
      <w:sdtEndPr/>
      <w:sdtContent>
        <w:p w14:paraId="77B0A5C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ED54B31" w14:textId="77777777" w:rsidR="00E57DAA" w:rsidRDefault="00AC4185">
      <w:pPr>
        <w:jc w:val="right"/>
        <w:rPr>
          <w:szCs w:val="21"/>
        </w:rPr>
      </w:pPr>
      <w:r>
        <w:rPr>
          <w:rFonts w:hint="eastAsia"/>
          <w:szCs w:val="21"/>
        </w:rPr>
        <w:t>单位：</w:t>
      </w:r>
      <w:sdt>
        <w:sdtPr>
          <w:rPr>
            <w:rFonts w:hint="eastAsia"/>
            <w:szCs w:val="21"/>
          </w:rPr>
          <w:alias w:val="单位：长期应付款分类列示"/>
          <w:tag w:val="_GBC_6f1c5753ac2941b597e1d984d66c55a3"/>
          <w:id w:val="1801488733"/>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6591336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E57DAA" w14:paraId="187C340A" w14:textId="77777777">
        <w:sdt>
          <w:sdtPr>
            <w:tag w:val="_PLD_2038af4a07e447f88ceb8aedfaa7f12b"/>
            <w:id w:val="-1911072580"/>
          </w:sdtPr>
          <w:sdtEndPr/>
          <w:sdtContent>
            <w:tc>
              <w:tcPr>
                <w:tcW w:w="1828" w:type="pct"/>
                <w:shd w:val="clear" w:color="auto" w:fill="auto"/>
                <w:vAlign w:val="center"/>
              </w:tcPr>
              <w:p w14:paraId="67B266BF" w14:textId="77777777" w:rsidR="00E57DAA" w:rsidRDefault="00AC418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2015955618"/>
          </w:sdtPr>
          <w:sdtEndPr/>
          <w:sdtContent>
            <w:tc>
              <w:tcPr>
                <w:tcW w:w="1582" w:type="pct"/>
                <w:shd w:val="clear" w:color="auto" w:fill="auto"/>
                <w:vAlign w:val="center"/>
              </w:tcPr>
              <w:p w14:paraId="421CA652" w14:textId="77777777" w:rsidR="00E57DAA" w:rsidRDefault="00AC4185">
                <w:pPr>
                  <w:jc w:val="center"/>
                  <w:rPr>
                    <w:szCs w:val="21"/>
                  </w:rPr>
                </w:pPr>
                <w:r>
                  <w:rPr>
                    <w:rFonts w:hint="eastAsia"/>
                    <w:szCs w:val="21"/>
                  </w:rPr>
                  <w:t>期末余额</w:t>
                </w:r>
              </w:p>
            </w:tc>
          </w:sdtContent>
        </w:sdt>
        <w:sdt>
          <w:sdtPr>
            <w:tag w:val="_PLD_2fa2691f59be4fb398c9e37e50109f5a"/>
            <w:id w:val="875884396"/>
          </w:sdtPr>
          <w:sdtEndPr/>
          <w:sdtContent>
            <w:tc>
              <w:tcPr>
                <w:tcW w:w="1590" w:type="pct"/>
                <w:shd w:val="clear" w:color="auto" w:fill="auto"/>
                <w:vAlign w:val="center"/>
              </w:tcPr>
              <w:p w14:paraId="60257812" w14:textId="77777777" w:rsidR="00E57DAA" w:rsidRDefault="00AC4185">
                <w:pPr>
                  <w:jc w:val="center"/>
                  <w:rPr>
                    <w:szCs w:val="21"/>
                  </w:rPr>
                </w:pPr>
                <w:r>
                  <w:rPr>
                    <w:rFonts w:hint="eastAsia"/>
                    <w:szCs w:val="21"/>
                  </w:rPr>
                  <w:t>期初余额</w:t>
                </w:r>
              </w:p>
            </w:tc>
          </w:sdtContent>
        </w:sdt>
      </w:tr>
      <w:tr w:rsidR="00E57DAA" w14:paraId="4E469CC0" w14:textId="77777777">
        <w:sdt>
          <w:sdtPr>
            <w:tag w:val="_PLD_9698ab5fdf8d4c9c9dd87ec1fb85fb6e"/>
            <w:id w:val="1969624591"/>
            <w:lock w:val="sdtLocked"/>
          </w:sdtPr>
          <w:sdtEndPr/>
          <w:sdtContent>
            <w:tc>
              <w:tcPr>
                <w:tcW w:w="1828" w:type="pct"/>
                <w:shd w:val="clear" w:color="auto" w:fill="auto"/>
              </w:tcPr>
              <w:p w14:paraId="6FE533E1"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vAlign w:val="center"/>
          </w:tcPr>
          <w:p w14:paraId="47042D2F" w14:textId="77777777" w:rsidR="00E57DAA" w:rsidRDefault="00AC4185">
            <w:pPr>
              <w:tabs>
                <w:tab w:val="right" w:pos="3690"/>
                <w:tab w:val="right" w:pos="5130"/>
                <w:tab w:val="right" w:pos="6030"/>
                <w:tab w:val="right" w:pos="7650"/>
                <w:tab w:val="right" w:pos="9270"/>
              </w:tabs>
              <w:adjustRightInd w:val="0"/>
              <w:snapToGrid w:val="0"/>
              <w:jc w:val="right"/>
              <w:rPr>
                <w:szCs w:val="21"/>
              </w:rPr>
            </w:pPr>
            <w:r>
              <w:rPr>
                <w:rFonts w:hint="eastAsia"/>
              </w:rPr>
              <w:t>49,021,744.29</w:t>
            </w:r>
          </w:p>
        </w:tc>
        <w:tc>
          <w:tcPr>
            <w:tcW w:w="1590" w:type="pct"/>
            <w:shd w:val="clear" w:color="auto" w:fill="auto"/>
            <w:vAlign w:val="center"/>
          </w:tcPr>
          <w:p w14:paraId="06463407" w14:textId="77777777" w:rsidR="00E57DAA" w:rsidRDefault="00AC4185">
            <w:pPr>
              <w:tabs>
                <w:tab w:val="right" w:pos="3690"/>
                <w:tab w:val="right" w:pos="5130"/>
                <w:tab w:val="right" w:pos="6030"/>
                <w:tab w:val="right" w:pos="7650"/>
                <w:tab w:val="right" w:pos="9270"/>
              </w:tabs>
              <w:adjustRightInd w:val="0"/>
              <w:snapToGrid w:val="0"/>
              <w:jc w:val="right"/>
              <w:rPr>
                <w:szCs w:val="21"/>
              </w:rPr>
            </w:pPr>
            <w:r>
              <w:rPr>
                <w:rFonts w:hint="eastAsia"/>
              </w:rPr>
              <w:t>70,927,636.51</w:t>
            </w:r>
          </w:p>
        </w:tc>
      </w:tr>
      <w:tr w:rsidR="00E57DAA" w14:paraId="6C2C9EFC" w14:textId="77777777">
        <w:sdt>
          <w:sdtPr>
            <w:tag w:val="_PLD_cad226dd1d604cc6893542d496caa458"/>
            <w:id w:val="2087643893"/>
            <w:lock w:val="sdtLocked"/>
          </w:sdtPr>
          <w:sdtEndPr/>
          <w:sdtContent>
            <w:tc>
              <w:tcPr>
                <w:tcW w:w="1828" w:type="pct"/>
                <w:shd w:val="clear" w:color="auto" w:fill="auto"/>
              </w:tcPr>
              <w:p w14:paraId="05F85209"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226FE668" w14:textId="77777777" w:rsidR="00E57DAA" w:rsidRDefault="00AC4185">
            <w:pPr>
              <w:tabs>
                <w:tab w:val="right" w:pos="3690"/>
                <w:tab w:val="right" w:pos="5130"/>
                <w:tab w:val="right" w:pos="6030"/>
                <w:tab w:val="right" w:pos="7650"/>
                <w:tab w:val="right" w:pos="9270"/>
              </w:tabs>
              <w:adjustRightInd w:val="0"/>
              <w:snapToGrid w:val="0"/>
              <w:jc w:val="right"/>
              <w:rPr>
                <w:szCs w:val="21"/>
              </w:rPr>
            </w:pPr>
            <w:r>
              <w:rPr>
                <w:szCs w:val="21"/>
              </w:rPr>
              <w:t>873,765.82</w:t>
            </w:r>
          </w:p>
        </w:tc>
        <w:tc>
          <w:tcPr>
            <w:tcW w:w="1590" w:type="pct"/>
            <w:shd w:val="clear" w:color="auto" w:fill="auto"/>
          </w:tcPr>
          <w:p w14:paraId="39E6F408" w14:textId="77777777" w:rsidR="00E57DAA" w:rsidRDefault="00E57DAA">
            <w:pPr>
              <w:tabs>
                <w:tab w:val="right" w:pos="3690"/>
                <w:tab w:val="right" w:pos="5130"/>
                <w:tab w:val="right" w:pos="6030"/>
                <w:tab w:val="right" w:pos="7650"/>
                <w:tab w:val="right" w:pos="9270"/>
              </w:tabs>
              <w:adjustRightInd w:val="0"/>
              <w:snapToGrid w:val="0"/>
              <w:jc w:val="right"/>
              <w:rPr>
                <w:szCs w:val="21"/>
              </w:rPr>
            </w:pPr>
          </w:p>
        </w:tc>
      </w:tr>
      <w:tr w:rsidR="00E57DAA" w14:paraId="16AC7B13" w14:textId="77777777">
        <w:sdt>
          <w:sdtPr>
            <w:tag w:val="_PLD_6ea01a87c395412fbdb6e25e411fc93c"/>
            <w:id w:val="532925372"/>
            <w:lock w:val="sdtLocked"/>
          </w:sdtPr>
          <w:sdtEndPr/>
          <w:sdtContent>
            <w:tc>
              <w:tcPr>
                <w:tcW w:w="1828" w:type="pct"/>
                <w:shd w:val="clear" w:color="auto" w:fill="auto"/>
              </w:tcPr>
              <w:p w14:paraId="06DC1FB6" w14:textId="77777777" w:rsidR="00E57DAA" w:rsidRDefault="00AC4185">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vAlign w:val="center"/>
          </w:tcPr>
          <w:p w14:paraId="45B94DD4" w14:textId="77777777" w:rsidR="00E57DAA" w:rsidRDefault="00AC4185">
            <w:pPr>
              <w:tabs>
                <w:tab w:val="right" w:pos="3690"/>
                <w:tab w:val="right" w:pos="5130"/>
                <w:tab w:val="right" w:pos="6030"/>
                <w:tab w:val="right" w:pos="7650"/>
                <w:tab w:val="right" w:pos="9270"/>
              </w:tabs>
              <w:adjustRightInd w:val="0"/>
              <w:snapToGrid w:val="0"/>
              <w:jc w:val="right"/>
              <w:rPr>
                <w:szCs w:val="21"/>
              </w:rPr>
            </w:pPr>
            <w:r>
              <w:t>49,895,510.11</w:t>
            </w:r>
          </w:p>
        </w:tc>
        <w:tc>
          <w:tcPr>
            <w:tcW w:w="1590" w:type="pct"/>
            <w:shd w:val="clear" w:color="auto" w:fill="auto"/>
            <w:vAlign w:val="center"/>
          </w:tcPr>
          <w:p w14:paraId="70EB8725" w14:textId="77777777" w:rsidR="00E57DAA" w:rsidRDefault="00AC4185">
            <w:pPr>
              <w:tabs>
                <w:tab w:val="right" w:pos="3690"/>
                <w:tab w:val="right" w:pos="5130"/>
                <w:tab w:val="right" w:pos="6030"/>
                <w:tab w:val="right" w:pos="7650"/>
                <w:tab w:val="right" w:pos="9270"/>
              </w:tabs>
              <w:adjustRightInd w:val="0"/>
              <w:snapToGrid w:val="0"/>
              <w:jc w:val="right"/>
              <w:rPr>
                <w:szCs w:val="21"/>
              </w:rPr>
            </w:pPr>
            <w:r>
              <w:rPr>
                <w:rFonts w:hint="eastAsia"/>
              </w:rPr>
              <w:t>70,927,636.51</w:t>
            </w:r>
          </w:p>
        </w:tc>
      </w:tr>
    </w:tbl>
    <w:p w14:paraId="71FA3947" w14:textId="77777777" w:rsidR="00E57DAA" w:rsidRDefault="00E57DAA" w:rsidP="00C25422">
      <w:pPr>
        <w:pStyle w:val="92"/>
      </w:pPr>
    </w:p>
    <w:p w14:paraId="27744D88" w14:textId="77777777" w:rsidR="00E57DAA" w:rsidRDefault="00AC4185">
      <w:pPr>
        <w:rPr>
          <w:szCs w:val="21"/>
        </w:rPr>
      </w:pPr>
      <w:r>
        <w:rPr>
          <w:rFonts w:hint="eastAsia"/>
          <w:szCs w:val="21"/>
        </w:rPr>
        <w:t>其他说明：</w:t>
      </w:r>
    </w:p>
    <w:bookmarkEnd w:id="283" w:displacedByCustomXml="next"/>
    <w:bookmarkStart w:id="284" w:name="_Hlk532911057" w:displacedByCustomXml="next"/>
    <w:sdt>
      <w:sdtPr>
        <w:rPr>
          <w:szCs w:val="21"/>
        </w:rPr>
        <w:alias w:val="是否适用：长期应付款分类列示其他说明[双击切换]"/>
        <w:tag w:val="_GBC_e7daa7f55cea4e3d835be6ee6457b35d"/>
        <w:id w:val="1086501256"/>
        <w:placeholder>
          <w:docPart w:val="GBC22222222222222222222222222222"/>
        </w:placeholder>
      </w:sdtPr>
      <w:sdtEndPr/>
      <w:sdtContent>
        <w:p w14:paraId="33CF343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84"/>
    <w:p w14:paraId="2F14268F" w14:textId="77777777" w:rsidR="00E57DAA" w:rsidRDefault="00E57DAA">
      <w:pPr>
        <w:rPr>
          <w:szCs w:val="21"/>
        </w:rPr>
      </w:pPr>
    </w:p>
    <w:p w14:paraId="33181557" w14:textId="77777777" w:rsidR="00E57DAA" w:rsidRDefault="00AC4185">
      <w:pPr>
        <w:pStyle w:val="4"/>
        <w:ind w:left="360" w:hanging="360"/>
      </w:pPr>
      <w:r>
        <w:rPr>
          <w:rFonts w:hint="eastAsia"/>
        </w:rPr>
        <w:t>长期应付款</w:t>
      </w:r>
    </w:p>
    <w:p w14:paraId="3DF778D5" w14:textId="77777777" w:rsidR="00E57DAA" w:rsidRDefault="00AC4185" w:rsidP="00C25422">
      <w:pPr>
        <w:pStyle w:val="90"/>
        <w:numPr>
          <w:ilvl w:val="0"/>
          <w:numId w:val="100"/>
        </w:numPr>
        <w:ind w:leftChars="0"/>
      </w:pPr>
      <w:r>
        <w:rPr>
          <w:rFonts w:hint="eastAsia"/>
        </w:rPr>
        <w:t>按款项性质列示长期应付款</w:t>
      </w:r>
    </w:p>
    <w:sdt>
      <w:sdtPr>
        <w:alias w:val="是否适用：按款项性质列示长期应付款[双击切换]"/>
        <w:tag w:val="_GBC_6a4cca7cce5341018cd4836f32746cd9"/>
        <w:id w:val="402885215"/>
        <w:placeholder>
          <w:docPart w:val="GBC22222222222222222222222222222"/>
        </w:placeholder>
      </w:sdtPr>
      <w:sdtEndPr/>
      <w:sdtContent>
        <w:p w14:paraId="59E34F2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5F9755" w14:textId="77777777" w:rsidR="00E57DAA" w:rsidRDefault="00AC4185">
      <w:pPr>
        <w:jc w:val="right"/>
        <w:rPr>
          <w:szCs w:val="21"/>
        </w:rPr>
      </w:pPr>
      <w:r>
        <w:rPr>
          <w:rFonts w:hint="eastAsia"/>
          <w:szCs w:val="21"/>
        </w:rPr>
        <w:t>单位：</w:t>
      </w:r>
      <w:sdt>
        <w:sdtPr>
          <w:rPr>
            <w:rFonts w:hint="eastAsia"/>
            <w:szCs w:val="21"/>
          </w:rPr>
          <w:alias w:val="单位：财务附注：长期应付款"/>
          <w:tag w:val="_GBC_ddf7b9d28f164198ac6c2f6a82b47d41"/>
          <w:id w:val="-12387081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1220797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25"/>
        <w:gridCol w:w="2848"/>
        <w:gridCol w:w="2850"/>
      </w:tblGrid>
      <w:tr w:rsidR="00E57DAA" w14:paraId="786D269B" w14:textId="77777777">
        <w:trPr>
          <w:cantSplit/>
          <w:trHeight w:val="307"/>
        </w:trPr>
        <w:sdt>
          <w:sdtPr>
            <w:tag w:val="_PLD_80697eb0741143188d1783ddd81c2db2"/>
            <w:id w:val="624363034"/>
          </w:sdtPr>
          <w:sdtEndPr/>
          <w:sdtContent>
            <w:tc>
              <w:tcPr>
                <w:tcW w:w="1771" w:type="pct"/>
                <w:shd w:val="clear" w:color="auto" w:fill="auto"/>
                <w:vAlign w:val="center"/>
              </w:tcPr>
              <w:p w14:paraId="6E3D5265" w14:textId="77777777" w:rsidR="00E57DAA" w:rsidRDefault="00AC4185">
                <w:pPr>
                  <w:jc w:val="center"/>
                  <w:rPr>
                    <w:szCs w:val="21"/>
                  </w:rPr>
                </w:pPr>
                <w:r>
                  <w:rPr>
                    <w:rFonts w:hint="eastAsia"/>
                    <w:szCs w:val="21"/>
                  </w:rPr>
                  <w:t>项目</w:t>
                </w:r>
              </w:p>
            </w:tc>
          </w:sdtContent>
        </w:sdt>
        <w:sdt>
          <w:sdtPr>
            <w:tag w:val="_PLD_b45e38f9b06048e18bf5d20429299b7b"/>
            <w:id w:val="1505247447"/>
          </w:sdtPr>
          <w:sdtEndPr/>
          <w:sdtContent>
            <w:tc>
              <w:tcPr>
                <w:tcW w:w="1614" w:type="pct"/>
                <w:shd w:val="clear" w:color="auto" w:fill="auto"/>
                <w:vAlign w:val="center"/>
              </w:tcPr>
              <w:p w14:paraId="418EE793" w14:textId="77777777" w:rsidR="00E57DAA" w:rsidRDefault="00AC4185">
                <w:pPr>
                  <w:jc w:val="center"/>
                  <w:rPr>
                    <w:szCs w:val="21"/>
                  </w:rPr>
                </w:pPr>
                <w:r>
                  <w:rPr>
                    <w:rFonts w:hint="eastAsia"/>
                    <w:szCs w:val="21"/>
                  </w:rPr>
                  <w:t>期末余额</w:t>
                </w:r>
              </w:p>
            </w:tc>
          </w:sdtContent>
        </w:sdt>
        <w:sdt>
          <w:sdtPr>
            <w:tag w:val="_PLD_361897af892e4de98bc2cf056e2b512c"/>
            <w:id w:val="-1027801211"/>
          </w:sdtPr>
          <w:sdtEndPr/>
          <w:sdtContent>
            <w:tc>
              <w:tcPr>
                <w:tcW w:w="1615" w:type="pct"/>
                <w:shd w:val="clear" w:color="auto" w:fill="auto"/>
                <w:vAlign w:val="center"/>
              </w:tcPr>
              <w:p w14:paraId="2256D66F" w14:textId="77777777" w:rsidR="00E57DAA" w:rsidRDefault="00AC4185">
                <w:pPr>
                  <w:jc w:val="center"/>
                  <w:rPr>
                    <w:szCs w:val="21"/>
                  </w:rPr>
                </w:pPr>
                <w:r>
                  <w:rPr>
                    <w:rFonts w:hint="eastAsia"/>
                    <w:szCs w:val="21"/>
                  </w:rPr>
                  <w:t>期初余额</w:t>
                </w:r>
              </w:p>
            </w:tc>
          </w:sdtContent>
        </w:sdt>
      </w:tr>
      <w:tr w:rsidR="00E57DAA" w14:paraId="5A728792" w14:textId="77777777">
        <w:trPr>
          <w:cantSplit/>
          <w:trHeight w:val="186"/>
        </w:trPr>
        <w:tc>
          <w:tcPr>
            <w:tcW w:w="1771" w:type="pct"/>
          </w:tcPr>
          <w:p w14:paraId="0E6EF0B0" w14:textId="77777777" w:rsidR="00E57DAA" w:rsidRDefault="00AC4185">
            <w:pPr>
              <w:rPr>
                <w:szCs w:val="21"/>
              </w:rPr>
            </w:pPr>
            <w:r>
              <w:t>职工安置费</w:t>
            </w:r>
          </w:p>
        </w:tc>
        <w:tc>
          <w:tcPr>
            <w:tcW w:w="1614" w:type="pct"/>
          </w:tcPr>
          <w:p w14:paraId="51144476" w14:textId="77777777" w:rsidR="00E57DAA" w:rsidRDefault="00AC4185">
            <w:pPr>
              <w:jc w:val="right"/>
              <w:rPr>
                <w:szCs w:val="21"/>
              </w:rPr>
            </w:pPr>
            <w:r>
              <w:t>37,450,881.69</w:t>
            </w:r>
          </w:p>
        </w:tc>
        <w:tc>
          <w:tcPr>
            <w:tcW w:w="1615" w:type="pct"/>
          </w:tcPr>
          <w:p w14:paraId="1193495F" w14:textId="77777777" w:rsidR="00E57DAA" w:rsidRDefault="00AC4185">
            <w:pPr>
              <w:jc w:val="right"/>
              <w:rPr>
                <w:szCs w:val="21"/>
              </w:rPr>
            </w:pPr>
            <w:r>
              <w:t>69,814,942.92</w:t>
            </w:r>
          </w:p>
        </w:tc>
      </w:tr>
      <w:tr w:rsidR="00E57DAA" w14:paraId="46CB1FA1" w14:textId="77777777">
        <w:trPr>
          <w:cantSplit/>
          <w:trHeight w:val="186"/>
        </w:trPr>
        <w:tc>
          <w:tcPr>
            <w:tcW w:w="1771" w:type="pct"/>
          </w:tcPr>
          <w:p w14:paraId="76C7BF82" w14:textId="77777777" w:rsidR="00E57DAA" w:rsidRDefault="00AC4185">
            <w:pPr>
              <w:rPr>
                <w:szCs w:val="21"/>
              </w:rPr>
            </w:pPr>
            <w:r>
              <w:t>项目代理费</w:t>
            </w:r>
          </w:p>
        </w:tc>
        <w:tc>
          <w:tcPr>
            <w:tcW w:w="1614" w:type="pct"/>
          </w:tcPr>
          <w:p w14:paraId="680AC567" w14:textId="77777777" w:rsidR="00E57DAA" w:rsidRDefault="00AC4185">
            <w:pPr>
              <w:jc w:val="right"/>
              <w:rPr>
                <w:szCs w:val="21"/>
              </w:rPr>
            </w:pPr>
            <w:r>
              <w:t>11,570,862.60</w:t>
            </w:r>
          </w:p>
        </w:tc>
        <w:tc>
          <w:tcPr>
            <w:tcW w:w="1615" w:type="pct"/>
          </w:tcPr>
          <w:p w14:paraId="0043DEE8" w14:textId="77777777" w:rsidR="00E57DAA" w:rsidRDefault="00AC4185">
            <w:pPr>
              <w:jc w:val="right"/>
              <w:rPr>
                <w:szCs w:val="21"/>
              </w:rPr>
            </w:pPr>
            <w:r>
              <w:t>1,112,693.59</w:t>
            </w:r>
          </w:p>
        </w:tc>
      </w:tr>
      <w:tr w:rsidR="00E57DAA" w14:paraId="48EADB0E" w14:textId="77777777">
        <w:trPr>
          <w:cantSplit/>
          <w:trHeight w:val="186"/>
        </w:trPr>
        <w:tc>
          <w:tcPr>
            <w:tcW w:w="1771" w:type="pct"/>
          </w:tcPr>
          <w:p w14:paraId="798949EA" w14:textId="77777777" w:rsidR="00E57DAA" w:rsidRDefault="00AC4185" w:rsidP="00C25422">
            <w:pPr>
              <w:pStyle w:val="92"/>
            </w:pPr>
            <w:r>
              <w:t>合计</w:t>
            </w:r>
          </w:p>
        </w:tc>
        <w:tc>
          <w:tcPr>
            <w:tcW w:w="1614" w:type="pct"/>
          </w:tcPr>
          <w:p w14:paraId="22E589D9" w14:textId="77777777" w:rsidR="00E57DAA" w:rsidRDefault="00AC4185">
            <w:pPr>
              <w:jc w:val="right"/>
            </w:pPr>
            <w:r>
              <w:t>49,021,744.29</w:t>
            </w:r>
          </w:p>
        </w:tc>
        <w:tc>
          <w:tcPr>
            <w:tcW w:w="1615" w:type="pct"/>
          </w:tcPr>
          <w:p w14:paraId="5AE61CC7" w14:textId="77777777" w:rsidR="00E57DAA" w:rsidRDefault="00AC4185">
            <w:pPr>
              <w:jc w:val="right"/>
            </w:pPr>
            <w:r>
              <w:t>70,927,636.51</w:t>
            </w:r>
          </w:p>
        </w:tc>
      </w:tr>
    </w:tbl>
    <w:p w14:paraId="74E27CFA" w14:textId="77777777" w:rsidR="00E57DAA" w:rsidRDefault="00E57DAA" w:rsidP="00C25422">
      <w:pPr>
        <w:pStyle w:val="92"/>
      </w:pPr>
    </w:p>
    <w:p w14:paraId="2FE17B4E" w14:textId="77777777" w:rsidR="00E57DAA" w:rsidRDefault="00AC4185">
      <w:pPr>
        <w:pStyle w:val="4"/>
        <w:ind w:left="360" w:hanging="360"/>
      </w:pPr>
      <w:r>
        <w:rPr>
          <w:rFonts w:hint="eastAsia"/>
        </w:rPr>
        <w:t>专项应付款</w:t>
      </w:r>
    </w:p>
    <w:p w14:paraId="78443C2B" w14:textId="77777777" w:rsidR="00E57DAA" w:rsidRDefault="00AC4185" w:rsidP="00C25422">
      <w:pPr>
        <w:pStyle w:val="90"/>
        <w:numPr>
          <w:ilvl w:val="0"/>
          <w:numId w:val="100"/>
        </w:numPr>
        <w:ind w:leftChars="0"/>
      </w:pPr>
      <w:r>
        <w:rPr>
          <w:rFonts w:hint="eastAsia"/>
        </w:rPr>
        <w:t>按款项性质列示专项应付款</w:t>
      </w:r>
    </w:p>
    <w:sdt>
      <w:sdtPr>
        <w:alias w:val="是否适用：专项应付款[双击切换]"/>
        <w:tag w:val="_GBC_857ddecb5bce4a0f99e428cd2635aa03"/>
        <w:id w:val="202827325"/>
        <w:placeholder>
          <w:docPart w:val="GBC22222222222222222222222222222"/>
        </w:placeholder>
      </w:sdtPr>
      <w:sdtEndPr/>
      <w:sdtContent>
        <w:p w14:paraId="6CC53FD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2F35FB" w14:textId="77777777" w:rsidR="00E57DAA" w:rsidRDefault="00AC4185">
      <w:pPr>
        <w:jc w:val="right"/>
        <w:rPr>
          <w:szCs w:val="21"/>
        </w:rPr>
      </w:pPr>
      <w:r>
        <w:rPr>
          <w:rFonts w:hint="eastAsia"/>
          <w:szCs w:val="21"/>
        </w:rPr>
        <w:t>单位：</w:t>
      </w:r>
      <w:sdt>
        <w:sdtPr>
          <w:rPr>
            <w:rFonts w:hint="eastAsia"/>
            <w:szCs w:val="21"/>
          </w:rPr>
          <w:alias w:val="单位：财务附注：专项应付款"/>
          <w:tag w:val="_GBC_17da351113a84d468019127602052875"/>
          <w:id w:val="4626141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3825567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34"/>
        <w:gridCol w:w="1434"/>
        <w:gridCol w:w="1398"/>
        <w:gridCol w:w="1463"/>
        <w:gridCol w:w="1451"/>
        <w:gridCol w:w="1643"/>
      </w:tblGrid>
      <w:tr w:rsidR="00E57DAA" w14:paraId="709C04AA" w14:textId="77777777">
        <w:trPr>
          <w:cantSplit/>
        </w:trPr>
        <w:sdt>
          <w:sdtPr>
            <w:tag w:val="_PLD_a53ee673c4a94254bd1789424c6ff3d7"/>
            <w:id w:val="-452706600"/>
          </w:sdtPr>
          <w:sdtEndPr/>
          <w:sdtContent>
            <w:tc>
              <w:tcPr>
                <w:tcW w:w="813" w:type="pct"/>
                <w:vAlign w:val="center"/>
              </w:tcPr>
              <w:p w14:paraId="3C36C968" w14:textId="77777777" w:rsidR="00E57DAA" w:rsidRDefault="00AC4185">
                <w:pPr>
                  <w:ind w:right="105"/>
                  <w:jc w:val="center"/>
                  <w:rPr>
                    <w:szCs w:val="21"/>
                  </w:rPr>
                </w:pPr>
                <w:r>
                  <w:rPr>
                    <w:rFonts w:hint="eastAsia"/>
                    <w:szCs w:val="21"/>
                  </w:rPr>
                  <w:t>项目</w:t>
                </w:r>
              </w:p>
            </w:tc>
          </w:sdtContent>
        </w:sdt>
        <w:sdt>
          <w:sdtPr>
            <w:tag w:val="_PLD_a2bded2bd4b64db99375c871cadc7bfe"/>
            <w:id w:val="700448866"/>
          </w:sdtPr>
          <w:sdtEndPr/>
          <w:sdtContent>
            <w:tc>
              <w:tcPr>
                <w:tcW w:w="813" w:type="pct"/>
              </w:tcPr>
              <w:p w14:paraId="1CD971DA" w14:textId="77777777" w:rsidR="00E57DAA" w:rsidRDefault="00AC4185">
                <w:pPr>
                  <w:jc w:val="center"/>
                  <w:rPr>
                    <w:szCs w:val="21"/>
                  </w:rPr>
                </w:pPr>
                <w:r>
                  <w:rPr>
                    <w:rFonts w:hint="eastAsia"/>
                    <w:szCs w:val="21"/>
                  </w:rPr>
                  <w:t>期初余额</w:t>
                </w:r>
              </w:p>
            </w:tc>
          </w:sdtContent>
        </w:sdt>
        <w:sdt>
          <w:sdtPr>
            <w:tag w:val="_PLD_38d8ecb0074145e2a543b0f0e8520f81"/>
            <w:id w:val="-61955735"/>
          </w:sdtPr>
          <w:sdtEndPr/>
          <w:sdtContent>
            <w:tc>
              <w:tcPr>
                <w:tcW w:w="792" w:type="pct"/>
                <w:shd w:val="clear" w:color="auto" w:fill="auto"/>
              </w:tcPr>
              <w:p w14:paraId="5CF16E38" w14:textId="77777777" w:rsidR="00E57DAA" w:rsidRDefault="00AC4185">
                <w:pPr>
                  <w:jc w:val="center"/>
                  <w:rPr>
                    <w:szCs w:val="21"/>
                  </w:rPr>
                </w:pPr>
                <w:r>
                  <w:rPr>
                    <w:rFonts w:hint="eastAsia"/>
                    <w:szCs w:val="21"/>
                  </w:rPr>
                  <w:t>本期增加</w:t>
                </w:r>
              </w:p>
            </w:tc>
          </w:sdtContent>
        </w:sdt>
        <w:sdt>
          <w:sdtPr>
            <w:tag w:val="_PLD_b5e01b5460594423805476f202eecf1c"/>
            <w:id w:val="-1782795306"/>
          </w:sdtPr>
          <w:sdtEndPr/>
          <w:sdtContent>
            <w:tc>
              <w:tcPr>
                <w:tcW w:w="829" w:type="pct"/>
                <w:shd w:val="clear" w:color="auto" w:fill="auto"/>
              </w:tcPr>
              <w:p w14:paraId="351E32C3" w14:textId="77777777" w:rsidR="00E57DAA" w:rsidRDefault="00AC4185">
                <w:pPr>
                  <w:jc w:val="center"/>
                  <w:rPr>
                    <w:szCs w:val="21"/>
                  </w:rPr>
                </w:pPr>
                <w:r>
                  <w:rPr>
                    <w:rFonts w:hint="eastAsia"/>
                    <w:szCs w:val="21"/>
                  </w:rPr>
                  <w:t>本期减少</w:t>
                </w:r>
              </w:p>
            </w:tc>
          </w:sdtContent>
        </w:sdt>
        <w:sdt>
          <w:sdtPr>
            <w:tag w:val="_PLD_f5bb3951cab74130adf727fbe35ac9d4"/>
            <w:id w:val="1847048801"/>
          </w:sdtPr>
          <w:sdtEndPr/>
          <w:sdtContent>
            <w:tc>
              <w:tcPr>
                <w:tcW w:w="822" w:type="pct"/>
              </w:tcPr>
              <w:p w14:paraId="628E2334" w14:textId="77777777" w:rsidR="00E57DAA" w:rsidRDefault="00AC4185">
                <w:pPr>
                  <w:jc w:val="center"/>
                  <w:rPr>
                    <w:szCs w:val="21"/>
                  </w:rPr>
                </w:pPr>
                <w:r>
                  <w:rPr>
                    <w:rFonts w:hint="eastAsia"/>
                    <w:szCs w:val="21"/>
                  </w:rPr>
                  <w:t>期末余额</w:t>
                </w:r>
              </w:p>
            </w:tc>
          </w:sdtContent>
        </w:sdt>
        <w:sdt>
          <w:sdtPr>
            <w:tag w:val="_PLD_1bb67b7225804d0fb21b0788ddc7b7d2"/>
            <w:id w:val="-2136928876"/>
          </w:sdtPr>
          <w:sdtEndPr/>
          <w:sdtContent>
            <w:tc>
              <w:tcPr>
                <w:tcW w:w="931" w:type="pct"/>
                <w:shd w:val="clear" w:color="auto" w:fill="auto"/>
              </w:tcPr>
              <w:p w14:paraId="01E95CDC" w14:textId="77777777" w:rsidR="00E57DAA" w:rsidRDefault="00AC4185">
                <w:pPr>
                  <w:jc w:val="center"/>
                  <w:rPr>
                    <w:szCs w:val="21"/>
                  </w:rPr>
                </w:pPr>
                <w:r>
                  <w:rPr>
                    <w:rFonts w:hint="eastAsia"/>
                    <w:szCs w:val="21"/>
                  </w:rPr>
                  <w:t>形成原因</w:t>
                </w:r>
              </w:p>
            </w:tc>
          </w:sdtContent>
        </w:sdt>
      </w:tr>
      <w:tr w:rsidR="00E57DAA" w14:paraId="18B0332F" w14:textId="77777777">
        <w:trPr>
          <w:cantSplit/>
        </w:trPr>
        <w:tc>
          <w:tcPr>
            <w:tcW w:w="813" w:type="pct"/>
          </w:tcPr>
          <w:p w14:paraId="2C6BD610" w14:textId="77777777" w:rsidR="00E57DAA" w:rsidRDefault="00AC4185">
            <w:pPr>
              <w:ind w:right="105"/>
              <w:rPr>
                <w:szCs w:val="21"/>
              </w:rPr>
            </w:pPr>
            <w:r>
              <w:t>境外员工帮扶专项资金</w:t>
            </w:r>
          </w:p>
        </w:tc>
        <w:tc>
          <w:tcPr>
            <w:tcW w:w="813" w:type="pct"/>
          </w:tcPr>
          <w:p w14:paraId="3FFFE85F" w14:textId="77777777" w:rsidR="00E57DAA" w:rsidRDefault="00AC4185">
            <w:pPr>
              <w:ind w:right="73"/>
              <w:jc w:val="right"/>
              <w:rPr>
                <w:szCs w:val="21"/>
              </w:rPr>
            </w:pPr>
            <w:r>
              <w:t> </w:t>
            </w:r>
          </w:p>
        </w:tc>
        <w:tc>
          <w:tcPr>
            <w:tcW w:w="792" w:type="pct"/>
            <w:shd w:val="clear" w:color="auto" w:fill="auto"/>
          </w:tcPr>
          <w:p w14:paraId="57826611" w14:textId="77777777" w:rsidR="00E57DAA" w:rsidRDefault="00AC4185">
            <w:pPr>
              <w:jc w:val="right"/>
              <w:rPr>
                <w:szCs w:val="21"/>
              </w:rPr>
            </w:pPr>
            <w:r>
              <w:t>886</w:t>
            </w:r>
            <w:r>
              <w:rPr>
                <w:rFonts w:hint="eastAsia"/>
              </w:rPr>
              <w:t>,</w:t>
            </w:r>
            <w:r>
              <w:t>700.00</w:t>
            </w:r>
          </w:p>
        </w:tc>
        <w:tc>
          <w:tcPr>
            <w:tcW w:w="829" w:type="pct"/>
            <w:shd w:val="clear" w:color="auto" w:fill="auto"/>
          </w:tcPr>
          <w:p w14:paraId="4092870C" w14:textId="77777777" w:rsidR="00E57DAA" w:rsidRDefault="00AC4185">
            <w:pPr>
              <w:jc w:val="right"/>
              <w:rPr>
                <w:szCs w:val="21"/>
              </w:rPr>
            </w:pPr>
            <w:r>
              <w:t> 12</w:t>
            </w:r>
            <w:r>
              <w:rPr>
                <w:rFonts w:hint="eastAsia"/>
              </w:rPr>
              <w:t>,</w:t>
            </w:r>
            <w:r>
              <w:t>934.18</w:t>
            </w:r>
          </w:p>
        </w:tc>
        <w:tc>
          <w:tcPr>
            <w:tcW w:w="822" w:type="pct"/>
          </w:tcPr>
          <w:p w14:paraId="5053AE47" w14:textId="77777777" w:rsidR="00E57DAA" w:rsidRDefault="00AC4185">
            <w:pPr>
              <w:ind w:right="73"/>
              <w:jc w:val="right"/>
              <w:rPr>
                <w:szCs w:val="21"/>
              </w:rPr>
            </w:pPr>
            <w:r>
              <w:t>873,765.82</w:t>
            </w:r>
          </w:p>
        </w:tc>
        <w:tc>
          <w:tcPr>
            <w:tcW w:w="931" w:type="pct"/>
            <w:shd w:val="clear" w:color="auto" w:fill="auto"/>
          </w:tcPr>
          <w:p w14:paraId="3551A83E" w14:textId="77777777" w:rsidR="00E57DAA" w:rsidRDefault="00AC4185">
            <w:pPr>
              <w:rPr>
                <w:szCs w:val="21"/>
              </w:rPr>
            </w:pPr>
            <w:r>
              <w:t> </w:t>
            </w:r>
          </w:p>
        </w:tc>
      </w:tr>
      <w:tr w:rsidR="00E57DAA" w14:paraId="0029DBE9" w14:textId="77777777">
        <w:trPr>
          <w:cantSplit/>
        </w:trPr>
        <w:tc>
          <w:tcPr>
            <w:tcW w:w="813" w:type="pct"/>
            <w:vAlign w:val="center"/>
          </w:tcPr>
          <w:p w14:paraId="3AA851B0" w14:textId="77777777" w:rsidR="00E57DAA" w:rsidRDefault="00AC4185">
            <w:pPr>
              <w:ind w:right="105"/>
              <w:jc w:val="center"/>
              <w:rPr>
                <w:color w:val="000000" w:themeColor="text1"/>
                <w:szCs w:val="21"/>
              </w:rPr>
            </w:pPr>
            <w:r>
              <w:rPr>
                <w:rFonts w:hint="eastAsia"/>
                <w:color w:val="000000" w:themeColor="text1"/>
                <w:szCs w:val="21"/>
              </w:rPr>
              <w:t>合计</w:t>
            </w:r>
          </w:p>
        </w:tc>
        <w:tc>
          <w:tcPr>
            <w:tcW w:w="813" w:type="pct"/>
            <w:vAlign w:val="center"/>
          </w:tcPr>
          <w:p w14:paraId="6652AEF1" w14:textId="77777777" w:rsidR="00E57DAA" w:rsidRDefault="00E57DAA">
            <w:pPr>
              <w:ind w:right="73"/>
              <w:jc w:val="right"/>
              <w:rPr>
                <w:szCs w:val="21"/>
              </w:rPr>
            </w:pPr>
          </w:p>
        </w:tc>
        <w:tc>
          <w:tcPr>
            <w:tcW w:w="792" w:type="pct"/>
            <w:shd w:val="clear" w:color="auto" w:fill="auto"/>
            <w:vAlign w:val="center"/>
          </w:tcPr>
          <w:p w14:paraId="0D0E43DF" w14:textId="77777777" w:rsidR="00E57DAA" w:rsidRDefault="00AC4185">
            <w:pPr>
              <w:jc w:val="right"/>
              <w:rPr>
                <w:szCs w:val="21"/>
              </w:rPr>
            </w:pPr>
            <w:r>
              <w:t>886,700.00</w:t>
            </w:r>
          </w:p>
        </w:tc>
        <w:tc>
          <w:tcPr>
            <w:tcW w:w="829" w:type="pct"/>
            <w:shd w:val="clear" w:color="auto" w:fill="auto"/>
            <w:vAlign w:val="center"/>
          </w:tcPr>
          <w:p w14:paraId="774E8033" w14:textId="77777777" w:rsidR="00E57DAA" w:rsidRDefault="00AC4185">
            <w:pPr>
              <w:jc w:val="right"/>
              <w:rPr>
                <w:szCs w:val="21"/>
              </w:rPr>
            </w:pPr>
            <w:r>
              <w:t>12,934.18</w:t>
            </w:r>
          </w:p>
        </w:tc>
        <w:tc>
          <w:tcPr>
            <w:tcW w:w="822" w:type="pct"/>
            <w:vAlign w:val="center"/>
          </w:tcPr>
          <w:p w14:paraId="19991B97" w14:textId="77777777" w:rsidR="00E57DAA" w:rsidRDefault="00AC4185">
            <w:pPr>
              <w:ind w:right="73"/>
              <w:jc w:val="right"/>
              <w:rPr>
                <w:szCs w:val="21"/>
              </w:rPr>
            </w:pPr>
            <w:r>
              <w:t>873,765.82</w:t>
            </w:r>
          </w:p>
        </w:tc>
        <w:tc>
          <w:tcPr>
            <w:tcW w:w="931" w:type="pct"/>
            <w:shd w:val="clear" w:color="auto" w:fill="auto"/>
          </w:tcPr>
          <w:p w14:paraId="21C43B76" w14:textId="77777777" w:rsidR="00E57DAA" w:rsidRDefault="00AC4185">
            <w:pPr>
              <w:jc w:val="center"/>
              <w:rPr>
                <w:color w:val="000000" w:themeColor="text1"/>
                <w:szCs w:val="21"/>
              </w:rPr>
            </w:pPr>
            <w:r>
              <w:rPr>
                <w:color w:val="000000" w:themeColor="text1"/>
                <w:szCs w:val="21"/>
              </w:rPr>
              <w:t>/</w:t>
            </w:r>
          </w:p>
        </w:tc>
      </w:tr>
    </w:tbl>
    <w:p w14:paraId="60E63C67" w14:textId="77777777" w:rsidR="00E57DAA" w:rsidRDefault="00E57DAA">
      <w:pPr>
        <w:snapToGrid w:val="0"/>
        <w:rPr>
          <w:szCs w:val="21"/>
        </w:rPr>
      </w:pPr>
    </w:p>
    <w:p w14:paraId="7BA8358D" w14:textId="77777777" w:rsidR="00E57DAA" w:rsidRDefault="00AC4185" w:rsidP="00C25422">
      <w:pPr>
        <w:pStyle w:val="91"/>
        <w:numPr>
          <w:ilvl w:val="0"/>
          <w:numId w:val="69"/>
        </w:numPr>
      </w:pPr>
      <w:r>
        <w:rPr>
          <w:rFonts w:hint="eastAsia"/>
        </w:rPr>
        <w:t>长期应付职工薪酬</w:t>
      </w:r>
    </w:p>
    <w:sdt>
      <w:sdtPr>
        <w:alias w:val="是否适用：长期应付职工薪酬[双击切换]"/>
        <w:tag w:val="_GBC_24f9546075204a64926cf2cb24e64f0e"/>
        <w:id w:val="1032855614"/>
        <w:placeholder>
          <w:docPart w:val="GBC22222222222222222222222222222"/>
        </w:placeholder>
      </w:sdtPr>
      <w:sdtEndPr/>
      <w:sdtContent>
        <w:p w14:paraId="7F1B4D4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7125D0" w14:textId="77777777" w:rsidR="00E57DAA" w:rsidRDefault="00AC4185">
      <w:pPr>
        <w:pStyle w:val="4"/>
        <w:numPr>
          <w:ilvl w:val="0"/>
          <w:numId w:val="101"/>
        </w:numPr>
        <w:ind w:left="426" w:hanging="426"/>
      </w:pPr>
      <w:r>
        <w:rPr>
          <w:rFonts w:hint="eastAsia"/>
        </w:rPr>
        <w:t>长期应付职工薪酬表</w:t>
      </w:r>
    </w:p>
    <w:sdt>
      <w:sdtPr>
        <w:alias w:val="是否适用：长期应付职工薪酬表[双击切换]"/>
        <w:tag w:val="_GBC_b44de9fd198c4a3499852d2770fe541b"/>
        <w:id w:val="629825062"/>
        <w:placeholder>
          <w:docPart w:val="GBC22222222222222222222222222222"/>
        </w:placeholder>
      </w:sdtPr>
      <w:sdtEndPr/>
      <w:sdtContent>
        <w:p w14:paraId="70C4883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AB4050" w14:textId="77777777" w:rsidR="00E57DAA" w:rsidRDefault="00AC4185">
      <w:pPr>
        <w:jc w:val="right"/>
      </w:pPr>
      <w:r>
        <w:rPr>
          <w:rFonts w:hint="eastAsia"/>
        </w:rPr>
        <w:t>单位：</w:t>
      </w:r>
      <w:sdt>
        <w:sdtPr>
          <w:rPr>
            <w:rFonts w:hint="eastAsia"/>
          </w:rPr>
          <w:alias w:val="单位：财务附注：长期应付职工薪酬"/>
          <w:tag w:val="_GBC_494e432bb7b842a4b2966c2a30e46b7c"/>
          <w:id w:val="5696220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9008219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2564"/>
        <w:gridCol w:w="2693"/>
      </w:tblGrid>
      <w:tr w:rsidR="00E57DAA" w14:paraId="7A456A18" w14:textId="77777777">
        <w:sdt>
          <w:sdtPr>
            <w:tag w:val="_PLD_87f8419ee43a44a3851aeb0ae20db3b3"/>
            <w:id w:val="1803354918"/>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4ACF00B9" w14:textId="77777777" w:rsidR="00E57DAA" w:rsidRDefault="00AC4185">
                <w:pPr>
                  <w:jc w:val="center"/>
                </w:pPr>
                <w:r>
                  <w:rPr>
                    <w:rFonts w:hint="eastAsia"/>
                  </w:rPr>
                  <w:t>项目</w:t>
                </w:r>
              </w:p>
            </w:tc>
          </w:sdtContent>
        </w:sdt>
        <w:sdt>
          <w:sdtPr>
            <w:tag w:val="_PLD_dc953e100cbb4806858d7d10436872c1"/>
            <w:id w:val="168689769"/>
          </w:sdtPr>
          <w:sdtEnd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025B93E0" w14:textId="77777777" w:rsidR="00E57DAA" w:rsidRDefault="00AC4185">
                <w:pPr>
                  <w:jc w:val="center"/>
                </w:pPr>
                <w:r>
                  <w:rPr>
                    <w:rFonts w:hint="eastAsia"/>
                  </w:rPr>
                  <w:t>期末余额</w:t>
                </w:r>
              </w:p>
            </w:tc>
          </w:sdtContent>
        </w:sdt>
        <w:sdt>
          <w:sdtPr>
            <w:tag w:val="_PLD_28d4785454ea4bd99f4433899ff434f8"/>
            <w:id w:val="123358620"/>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0E44A39D" w14:textId="77777777" w:rsidR="00E57DAA" w:rsidRDefault="00AC4185">
                <w:pPr>
                  <w:jc w:val="center"/>
                </w:pPr>
                <w:r>
                  <w:rPr>
                    <w:rFonts w:hint="eastAsia"/>
                  </w:rPr>
                  <w:t>期初余额</w:t>
                </w:r>
              </w:p>
            </w:tc>
          </w:sdtContent>
        </w:sdt>
      </w:tr>
      <w:tr w:rsidR="00E57DAA" w14:paraId="5E6F6825" w14:textId="77777777">
        <w:tc>
          <w:tcPr>
            <w:tcW w:w="2019" w:type="pct"/>
            <w:tcBorders>
              <w:top w:val="single" w:sz="6" w:space="0" w:color="auto"/>
              <w:left w:val="single" w:sz="6" w:space="0" w:color="auto"/>
              <w:bottom w:val="single" w:sz="6" w:space="0" w:color="auto"/>
              <w:right w:val="single" w:sz="6" w:space="0" w:color="auto"/>
            </w:tcBorders>
            <w:shd w:val="clear" w:color="auto" w:fill="auto"/>
          </w:tcPr>
          <w:p w14:paraId="54040411" w14:textId="77777777" w:rsidR="00E57DAA" w:rsidRDefault="00AC4185" w:rsidP="00C25422">
            <w:pPr>
              <w:pStyle w:val="92"/>
            </w:pPr>
            <w:r>
              <w:rPr>
                <w:rFonts w:hint="eastAsia"/>
              </w:rPr>
              <w:t>一、离职后福利-设定受益计划净负债</w:t>
            </w:r>
          </w:p>
        </w:tc>
        <w:tc>
          <w:tcPr>
            <w:tcW w:w="1454" w:type="pct"/>
            <w:tcBorders>
              <w:top w:val="single" w:sz="6" w:space="0" w:color="auto"/>
              <w:left w:val="single" w:sz="6" w:space="0" w:color="auto"/>
              <w:bottom w:val="single" w:sz="4" w:space="0" w:color="auto"/>
              <w:right w:val="single" w:sz="4" w:space="0" w:color="auto"/>
            </w:tcBorders>
            <w:shd w:val="clear" w:color="auto" w:fill="auto"/>
            <w:vAlign w:val="center"/>
          </w:tcPr>
          <w:p w14:paraId="391CE900" w14:textId="77777777" w:rsidR="00E57DAA" w:rsidRDefault="00AC4185">
            <w:pPr>
              <w:jc w:val="right"/>
            </w:pPr>
            <w:r>
              <w:t>232,606,683.19</w:t>
            </w:r>
          </w:p>
        </w:tc>
        <w:tc>
          <w:tcPr>
            <w:tcW w:w="1527" w:type="pct"/>
            <w:tcBorders>
              <w:top w:val="single" w:sz="6" w:space="0" w:color="auto"/>
              <w:left w:val="single" w:sz="4" w:space="0" w:color="auto"/>
              <w:bottom w:val="single" w:sz="4" w:space="0" w:color="auto"/>
              <w:right w:val="single" w:sz="4" w:space="0" w:color="auto"/>
            </w:tcBorders>
            <w:shd w:val="clear" w:color="auto" w:fill="auto"/>
            <w:vAlign w:val="center"/>
          </w:tcPr>
          <w:p w14:paraId="25238343" w14:textId="77777777" w:rsidR="00E57DAA" w:rsidRDefault="00AC4185">
            <w:pPr>
              <w:jc w:val="right"/>
            </w:pPr>
            <w:r>
              <w:t>232,132,686.04</w:t>
            </w:r>
          </w:p>
        </w:tc>
      </w:tr>
      <w:tr w:rsidR="00E57DAA" w14:paraId="4D149166" w14:textId="77777777">
        <w:tc>
          <w:tcPr>
            <w:tcW w:w="2019" w:type="pct"/>
            <w:tcBorders>
              <w:top w:val="single" w:sz="6" w:space="0" w:color="auto"/>
              <w:left w:val="single" w:sz="6" w:space="0" w:color="auto"/>
              <w:bottom w:val="single" w:sz="6" w:space="0" w:color="auto"/>
              <w:right w:val="single" w:sz="6" w:space="0" w:color="auto"/>
            </w:tcBorders>
            <w:shd w:val="clear" w:color="auto" w:fill="auto"/>
          </w:tcPr>
          <w:p w14:paraId="72FB463B" w14:textId="77777777" w:rsidR="00E57DAA" w:rsidRDefault="00AC4185" w:rsidP="00C25422">
            <w:pPr>
              <w:pStyle w:val="92"/>
            </w:pPr>
            <w:r>
              <w:rPr>
                <w:rFonts w:hint="eastAsia"/>
              </w:rPr>
              <w:t>二、辞退福利</w:t>
            </w:r>
          </w:p>
        </w:tc>
        <w:tc>
          <w:tcPr>
            <w:tcW w:w="1454" w:type="pct"/>
            <w:tcBorders>
              <w:top w:val="single" w:sz="6" w:space="0" w:color="auto"/>
              <w:left w:val="single" w:sz="6" w:space="0" w:color="auto"/>
              <w:bottom w:val="single" w:sz="4" w:space="0" w:color="auto"/>
              <w:right w:val="single" w:sz="4" w:space="0" w:color="auto"/>
            </w:tcBorders>
            <w:shd w:val="clear" w:color="auto" w:fill="auto"/>
            <w:vAlign w:val="center"/>
          </w:tcPr>
          <w:p w14:paraId="2CC229C4" w14:textId="77777777" w:rsidR="00E57DAA" w:rsidRDefault="00AC4185">
            <w:pPr>
              <w:jc w:val="right"/>
            </w:pPr>
            <w:r>
              <w:t>14,158,523.46</w:t>
            </w:r>
          </w:p>
        </w:tc>
        <w:tc>
          <w:tcPr>
            <w:tcW w:w="1527" w:type="pct"/>
            <w:tcBorders>
              <w:top w:val="single" w:sz="6" w:space="0" w:color="auto"/>
              <w:left w:val="single" w:sz="4" w:space="0" w:color="auto"/>
              <w:bottom w:val="single" w:sz="4" w:space="0" w:color="auto"/>
              <w:right w:val="single" w:sz="4" w:space="0" w:color="auto"/>
            </w:tcBorders>
            <w:shd w:val="clear" w:color="auto" w:fill="auto"/>
            <w:vAlign w:val="center"/>
          </w:tcPr>
          <w:p w14:paraId="2FC90012" w14:textId="77777777" w:rsidR="00E57DAA" w:rsidRDefault="00AC4185">
            <w:pPr>
              <w:jc w:val="right"/>
            </w:pPr>
            <w:r>
              <w:t>17,036,523.46</w:t>
            </w:r>
          </w:p>
        </w:tc>
      </w:tr>
      <w:tr w:rsidR="00E57DAA" w14:paraId="634E4E9C" w14:textId="77777777">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91ACE3F" w14:textId="77777777" w:rsidR="00E57DAA" w:rsidRDefault="00AC4185">
            <w:pPr>
              <w:jc w:val="center"/>
            </w:pPr>
            <w:r>
              <w:rPr>
                <w:rFonts w:hint="eastAsia"/>
              </w:rPr>
              <w:t>合计</w:t>
            </w:r>
          </w:p>
        </w:tc>
        <w:tc>
          <w:tcPr>
            <w:tcW w:w="1454" w:type="pct"/>
            <w:tcBorders>
              <w:top w:val="single" w:sz="4" w:space="0" w:color="auto"/>
              <w:left w:val="single" w:sz="6" w:space="0" w:color="auto"/>
              <w:bottom w:val="single" w:sz="4" w:space="0" w:color="auto"/>
              <w:right w:val="single" w:sz="4" w:space="0" w:color="auto"/>
            </w:tcBorders>
            <w:shd w:val="clear" w:color="auto" w:fill="auto"/>
            <w:vAlign w:val="center"/>
          </w:tcPr>
          <w:p w14:paraId="046718B6" w14:textId="77777777" w:rsidR="00E57DAA" w:rsidRDefault="00AC4185">
            <w:pPr>
              <w:jc w:val="right"/>
            </w:pPr>
            <w:r>
              <w:t>246,765,206.65</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tcPr>
          <w:p w14:paraId="022BBF16" w14:textId="77777777" w:rsidR="00E57DAA" w:rsidRDefault="00AC4185">
            <w:pPr>
              <w:jc w:val="right"/>
            </w:pPr>
            <w:r>
              <w:t>249,169,209.50</w:t>
            </w:r>
          </w:p>
        </w:tc>
      </w:tr>
    </w:tbl>
    <w:p w14:paraId="4E2AA98A" w14:textId="77777777" w:rsidR="00E57DAA" w:rsidRDefault="00E57DAA" w:rsidP="00C25422">
      <w:pPr>
        <w:pStyle w:val="92"/>
      </w:pPr>
    </w:p>
    <w:p w14:paraId="55B6EF12" w14:textId="77777777" w:rsidR="00E57DAA" w:rsidRDefault="00AC4185">
      <w:pPr>
        <w:pStyle w:val="4"/>
        <w:numPr>
          <w:ilvl w:val="0"/>
          <w:numId w:val="101"/>
        </w:numPr>
        <w:ind w:left="426" w:hanging="426"/>
      </w:pPr>
      <w:r>
        <w:rPr>
          <w:rFonts w:hint="eastAsia"/>
        </w:rPr>
        <w:t>设定受益计划变动情况</w:t>
      </w:r>
    </w:p>
    <w:p w14:paraId="65FE5A81" w14:textId="77777777" w:rsidR="00E57DAA" w:rsidRDefault="00AC4185">
      <w:pPr>
        <w:rPr>
          <w:szCs w:val="21"/>
        </w:rPr>
      </w:pPr>
      <w:r>
        <w:rPr>
          <w:rFonts w:hint="eastAsia"/>
          <w:szCs w:val="21"/>
        </w:rPr>
        <w:t>设定受益计划义务现值：</w:t>
      </w:r>
    </w:p>
    <w:sdt>
      <w:sdtPr>
        <w:alias w:val="是否适用：设定受益计划义务现值[双击切换]"/>
        <w:tag w:val="_GBC_898bbd8ee5bb4ad698965551469ae3fb"/>
        <w:id w:val="-1414852520"/>
        <w:placeholder>
          <w:docPart w:val="GBC22222222222222222222222222222"/>
        </w:placeholder>
      </w:sdtPr>
      <w:sdtEndPr/>
      <w:sdtContent>
        <w:p w14:paraId="69E3065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762A24" w14:textId="77777777" w:rsidR="00E57DAA" w:rsidRDefault="00AC4185">
      <w:pPr>
        <w:jc w:val="right"/>
      </w:pPr>
      <w:r>
        <w:rPr>
          <w:rFonts w:hint="eastAsia"/>
        </w:rPr>
        <w:t>单位：</w:t>
      </w:r>
      <w:sdt>
        <w:sdtPr>
          <w:rPr>
            <w:rFonts w:hint="eastAsia"/>
          </w:rPr>
          <w:alias w:val="单位：财务附注：设定受益计划义务现值"/>
          <w:tag w:val="_GBC_d87db3237cee4a5a822494fe218bb633"/>
          <w:id w:val="15414683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1038695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5"/>
        <w:tblW w:w="5000" w:type="pct"/>
        <w:tblLook w:val="04A0" w:firstRow="1" w:lastRow="0" w:firstColumn="1" w:lastColumn="0" w:noHBand="0" w:noVBand="1"/>
      </w:tblPr>
      <w:tblGrid>
        <w:gridCol w:w="3395"/>
        <w:gridCol w:w="2716"/>
        <w:gridCol w:w="2712"/>
      </w:tblGrid>
      <w:tr w:rsidR="00E57DAA" w14:paraId="68495EAD" w14:textId="77777777">
        <w:sdt>
          <w:sdtPr>
            <w:tag w:val="_PLD_3dee25d75b904d5fa25c2c52ba200ae2"/>
            <w:id w:val="832187072"/>
          </w:sdtPr>
          <w:sdtEndPr/>
          <w:sdtContent>
            <w:tc>
              <w:tcPr>
                <w:tcW w:w="1924" w:type="pct"/>
              </w:tcPr>
              <w:p w14:paraId="613B8350" w14:textId="77777777" w:rsidR="00E57DAA" w:rsidRDefault="00AC4185">
                <w:pPr>
                  <w:jc w:val="center"/>
                </w:pPr>
                <w:r>
                  <w:rPr>
                    <w:rFonts w:hint="eastAsia"/>
                  </w:rPr>
                  <w:t>项目</w:t>
                </w:r>
              </w:p>
            </w:tc>
          </w:sdtContent>
        </w:sdt>
        <w:sdt>
          <w:sdtPr>
            <w:tag w:val="_PLD_a95376567d1a4834b376e3089b85f864"/>
            <w:id w:val="1200666297"/>
          </w:sdtPr>
          <w:sdtEndPr/>
          <w:sdtContent>
            <w:tc>
              <w:tcPr>
                <w:tcW w:w="1539" w:type="pct"/>
              </w:tcPr>
              <w:p w14:paraId="432984E8" w14:textId="77777777" w:rsidR="00E57DAA" w:rsidRDefault="00AC4185">
                <w:pPr>
                  <w:jc w:val="center"/>
                </w:pPr>
                <w:r>
                  <w:rPr>
                    <w:rFonts w:hint="eastAsia"/>
                  </w:rPr>
                  <w:t>本期发生额</w:t>
                </w:r>
              </w:p>
            </w:tc>
          </w:sdtContent>
        </w:sdt>
        <w:sdt>
          <w:sdtPr>
            <w:tag w:val="_PLD_86c4cd0f85c94b3197fb39dcde827282"/>
            <w:id w:val="965094612"/>
          </w:sdtPr>
          <w:sdtEndPr/>
          <w:sdtContent>
            <w:tc>
              <w:tcPr>
                <w:tcW w:w="1537" w:type="pct"/>
              </w:tcPr>
              <w:p w14:paraId="2ADC80E3" w14:textId="77777777" w:rsidR="00E57DAA" w:rsidRDefault="00AC4185">
                <w:pPr>
                  <w:jc w:val="center"/>
                </w:pPr>
                <w:r>
                  <w:rPr>
                    <w:rFonts w:hint="eastAsia"/>
                  </w:rPr>
                  <w:t>上期发生额</w:t>
                </w:r>
              </w:p>
            </w:tc>
          </w:sdtContent>
        </w:sdt>
      </w:tr>
      <w:tr w:rsidR="00E57DAA" w14:paraId="2B0FE34D" w14:textId="77777777">
        <w:tc>
          <w:tcPr>
            <w:tcW w:w="1924" w:type="pct"/>
          </w:tcPr>
          <w:p w14:paraId="61C2075C" w14:textId="77777777" w:rsidR="00E57DAA" w:rsidRDefault="00AC4185" w:rsidP="00C25422">
            <w:pPr>
              <w:pStyle w:val="92"/>
            </w:pPr>
            <w:r>
              <w:rPr>
                <w:rFonts w:hint="eastAsia"/>
              </w:rPr>
              <w:t>一、期初余额</w:t>
            </w:r>
          </w:p>
        </w:tc>
        <w:tc>
          <w:tcPr>
            <w:tcW w:w="1539" w:type="pct"/>
          </w:tcPr>
          <w:p w14:paraId="6BA13F91" w14:textId="77777777" w:rsidR="00E57DAA" w:rsidRDefault="00AC4185">
            <w:pPr>
              <w:jc w:val="right"/>
            </w:pPr>
            <w:r>
              <w:t>232,132,686.04</w:t>
            </w:r>
          </w:p>
        </w:tc>
        <w:tc>
          <w:tcPr>
            <w:tcW w:w="1537" w:type="pct"/>
          </w:tcPr>
          <w:p w14:paraId="24109424" w14:textId="77777777" w:rsidR="00E57DAA" w:rsidRDefault="00AC4185">
            <w:pPr>
              <w:jc w:val="right"/>
            </w:pPr>
            <w:r>
              <w:t>238,553,948.40</w:t>
            </w:r>
          </w:p>
        </w:tc>
      </w:tr>
      <w:tr w:rsidR="00E57DAA" w14:paraId="275037FD" w14:textId="77777777">
        <w:tc>
          <w:tcPr>
            <w:tcW w:w="1924" w:type="pct"/>
          </w:tcPr>
          <w:p w14:paraId="1B8FB99F" w14:textId="77777777" w:rsidR="00E57DAA" w:rsidRDefault="00AC4185" w:rsidP="00C25422">
            <w:pPr>
              <w:pStyle w:val="92"/>
            </w:pPr>
            <w:r>
              <w:rPr>
                <w:rFonts w:hint="eastAsia"/>
              </w:rPr>
              <w:t>二、计入当期损益的设定受益成本</w:t>
            </w:r>
          </w:p>
        </w:tc>
        <w:tc>
          <w:tcPr>
            <w:tcW w:w="1539" w:type="pct"/>
          </w:tcPr>
          <w:p w14:paraId="73D0C886" w14:textId="77777777" w:rsidR="00E57DAA" w:rsidRDefault="00AC4185">
            <w:pPr>
              <w:jc w:val="right"/>
            </w:pPr>
            <w:r>
              <w:t>11,341,497.60</w:t>
            </w:r>
          </w:p>
        </w:tc>
        <w:tc>
          <w:tcPr>
            <w:tcW w:w="1537" w:type="pct"/>
          </w:tcPr>
          <w:p w14:paraId="2BA9ACA0" w14:textId="77777777" w:rsidR="00E57DAA" w:rsidRDefault="00AC4185">
            <w:pPr>
              <w:jc w:val="right"/>
            </w:pPr>
            <w:r>
              <w:t>10,170,485.51</w:t>
            </w:r>
          </w:p>
        </w:tc>
      </w:tr>
      <w:tr w:rsidR="00E57DAA" w14:paraId="6264C245" w14:textId="77777777">
        <w:tc>
          <w:tcPr>
            <w:tcW w:w="1924" w:type="pct"/>
          </w:tcPr>
          <w:p w14:paraId="4B80B1C9" w14:textId="77777777" w:rsidR="00E57DAA" w:rsidRDefault="00AC4185" w:rsidP="00C25422">
            <w:pPr>
              <w:pStyle w:val="92"/>
            </w:pPr>
            <w:r>
              <w:t>1.</w:t>
            </w:r>
            <w:r>
              <w:rPr>
                <w:rFonts w:hint="eastAsia"/>
              </w:rPr>
              <w:t>当期服务成本</w:t>
            </w:r>
          </w:p>
        </w:tc>
        <w:tc>
          <w:tcPr>
            <w:tcW w:w="1539" w:type="pct"/>
          </w:tcPr>
          <w:p w14:paraId="233153CC" w14:textId="77777777" w:rsidR="00E57DAA" w:rsidRDefault="00AC4185">
            <w:pPr>
              <w:jc w:val="right"/>
            </w:pPr>
            <w:r>
              <w:t>3,803,577.60</w:t>
            </w:r>
          </w:p>
        </w:tc>
        <w:tc>
          <w:tcPr>
            <w:tcW w:w="1537" w:type="pct"/>
          </w:tcPr>
          <w:p w14:paraId="3668828A" w14:textId="77777777" w:rsidR="00E57DAA" w:rsidRDefault="00AC4185">
            <w:pPr>
              <w:jc w:val="right"/>
            </w:pPr>
            <w:r>
              <w:t>3,421,940.74</w:t>
            </w:r>
          </w:p>
        </w:tc>
      </w:tr>
      <w:tr w:rsidR="00E57DAA" w14:paraId="2CC53776" w14:textId="77777777">
        <w:tc>
          <w:tcPr>
            <w:tcW w:w="1924" w:type="pct"/>
          </w:tcPr>
          <w:p w14:paraId="4E7DBE9C" w14:textId="77777777" w:rsidR="00E57DAA" w:rsidRDefault="00AC4185" w:rsidP="00C25422">
            <w:pPr>
              <w:pStyle w:val="92"/>
            </w:pPr>
            <w:r>
              <w:t>2.</w:t>
            </w:r>
            <w:r>
              <w:rPr>
                <w:rFonts w:hint="eastAsia"/>
              </w:rPr>
              <w:t>过去服务成本</w:t>
            </w:r>
          </w:p>
        </w:tc>
        <w:tc>
          <w:tcPr>
            <w:tcW w:w="1539" w:type="pct"/>
          </w:tcPr>
          <w:p w14:paraId="490655F1" w14:textId="77777777" w:rsidR="00E57DAA" w:rsidRDefault="00AC4185">
            <w:pPr>
              <w:jc w:val="right"/>
            </w:pPr>
            <w:r>
              <w:t>364,000.00</w:t>
            </w:r>
          </w:p>
        </w:tc>
        <w:tc>
          <w:tcPr>
            <w:tcW w:w="1537" w:type="pct"/>
          </w:tcPr>
          <w:p w14:paraId="131BCE47" w14:textId="77777777" w:rsidR="00E57DAA" w:rsidRDefault="00AC4185">
            <w:pPr>
              <w:jc w:val="right"/>
            </w:pPr>
            <w:r>
              <w:t>462,544.77</w:t>
            </w:r>
          </w:p>
        </w:tc>
      </w:tr>
      <w:tr w:rsidR="00E57DAA" w14:paraId="4B177137" w14:textId="77777777">
        <w:tc>
          <w:tcPr>
            <w:tcW w:w="1924" w:type="pct"/>
          </w:tcPr>
          <w:p w14:paraId="24ED7027" w14:textId="77777777" w:rsidR="00E57DAA" w:rsidRDefault="00AC4185" w:rsidP="00C25422">
            <w:pPr>
              <w:pStyle w:val="92"/>
            </w:pPr>
            <w:r>
              <w:t>3.</w:t>
            </w:r>
            <w:r>
              <w:rPr>
                <w:rFonts w:hint="eastAsia"/>
              </w:rPr>
              <w:t>结算利得（损失以“－”表示）</w:t>
            </w:r>
          </w:p>
        </w:tc>
        <w:tc>
          <w:tcPr>
            <w:tcW w:w="1539" w:type="pct"/>
          </w:tcPr>
          <w:p w14:paraId="43F44A2E" w14:textId="77777777" w:rsidR="00E57DAA" w:rsidRDefault="00E57DAA">
            <w:pPr>
              <w:jc w:val="right"/>
            </w:pPr>
          </w:p>
        </w:tc>
        <w:tc>
          <w:tcPr>
            <w:tcW w:w="1537" w:type="pct"/>
          </w:tcPr>
          <w:p w14:paraId="0DCEA187" w14:textId="77777777" w:rsidR="00E57DAA" w:rsidRDefault="00AC4185">
            <w:pPr>
              <w:jc w:val="right"/>
            </w:pPr>
            <w:r>
              <w:t>186,000.00</w:t>
            </w:r>
          </w:p>
        </w:tc>
      </w:tr>
      <w:tr w:rsidR="00E57DAA" w14:paraId="7D958952" w14:textId="77777777">
        <w:tc>
          <w:tcPr>
            <w:tcW w:w="1924" w:type="pct"/>
          </w:tcPr>
          <w:p w14:paraId="5D5F1528" w14:textId="77777777" w:rsidR="00E57DAA" w:rsidRDefault="00AC4185" w:rsidP="00C25422">
            <w:pPr>
              <w:pStyle w:val="92"/>
            </w:pPr>
            <w:r>
              <w:t>4</w:t>
            </w:r>
            <w:r>
              <w:rPr>
                <w:rFonts w:hint="eastAsia"/>
              </w:rPr>
              <w:t>、利息净额</w:t>
            </w:r>
          </w:p>
        </w:tc>
        <w:tc>
          <w:tcPr>
            <w:tcW w:w="1539" w:type="pct"/>
          </w:tcPr>
          <w:p w14:paraId="23BB98FE" w14:textId="77777777" w:rsidR="00E57DAA" w:rsidRDefault="00AC4185">
            <w:pPr>
              <w:jc w:val="right"/>
            </w:pPr>
            <w:r>
              <w:t>7,173,920.00</w:t>
            </w:r>
          </w:p>
        </w:tc>
        <w:tc>
          <w:tcPr>
            <w:tcW w:w="1537" w:type="pct"/>
          </w:tcPr>
          <w:p w14:paraId="6EE90C9B" w14:textId="77777777" w:rsidR="00E57DAA" w:rsidRDefault="00AC4185">
            <w:pPr>
              <w:jc w:val="right"/>
            </w:pPr>
            <w:r>
              <w:t>6,100,000.00</w:t>
            </w:r>
          </w:p>
        </w:tc>
      </w:tr>
      <w:tr w:rsidR="00E57DAA" w14:paraId="13E46DAC" w14:textId="77777777">
        <w:tc>
          <w:tcPr>
            <w:tcW w:w="1924" w:type="pct"/>
          </w:tcPr>
          <w:p w14:paraId="6CC20818" w14:textId="77777777" w:rsidR="00E57DAA" w:rsidRDefault="00AC4185" w:rsidP="00C25422">
            <w:pPr>
              <w:pStyle w:val="92"/>
            </w:pPr>
            <w:r>
              <w:rPr>
                <w:rFonts w:hint="eastAsia"/>
              </w:rPr>
              <w:t>三、计入其他综合收益的设定收益成本</w:t>
            </w:r>
          </w:p>
        </w:tc>
        <w:tc>
          <w:tcPr>
            <w:tcW w:w="1539" w:type="pct"/>
          </w:tcPr>
          <w:p w14:paraId="6ABD83EA" w14:textId="77777777" w:rsidR="00E57DAA" w:rsidRDefault="00AC4185">
            <w:pPr>
              <w:jc w:val="right"/>
            </w:pPr>
            <w:r>
              <w:t>-1,551,781.15</w:t>
            </w:r>
          </w:p>
        </w:tc>
        <w:tc>
          <w:tcPr>
            <w:tcW w:w="1537" w:type="pct"/>
          </w:tcPr>
          <w:p w14:paraId="037AAA50" w14:textId="77777777" w:rsidR="00E57DAA" w:rsidRDefault="00AC4185">
            <w:pPr>
              <w:jc w:val="right"/>
            </w:pPr>
            <w:r>
              <w:t>83,634.97</w:t>
            </w:r>
          </w:p>
        </w:tc>
      </w:tr>
      <w:tr w:rsidR="00E57DAA" w14:paraId="1F54A861" w14:textId="77777777">
        <w:tc>
          <w:tcPr>
            <w:tcW w:w="1924" w:type="pct"/>
          </w:tcPr>
          <w:p w14:paraId="3D501236" w14:textId="77777777" w:rsidR="00E57DAA" w:rsidRDefault="00AC4185" w:rsidP="00C25422">
            <w:pPr>
              <w:pStyle w:val="92"/>
            </w:pPr>
            <w:r>
              <w:t>1.</w:t>
            </w:r>
            <w:r>
              <w:rPr>
                <w:rFonts w:hint="eastAsia"/>
              </w:rPr>
              <w:t>精算利得（损失以“－”表示）</w:t>
            </w:r>
          </w:p>
        </w:tc>
        <w:tc>
          <w:tcPr>
            <w:tcW w:w="1539" w:type="pct"/>
          </w:tcPr>
          <w:p w14:paraId="43D77A55" w14:textId="77777777" w:rsidR="00E57DAA" w:rsidRDefault="00AC4185">
            <w:pPr>
              <w:jc w:val="right"/>
            </w:pPr>
            <w:r>
              <w:t>-1,551,781.15</w:t>
            </w:r>
          </w:p>
        </w:tc>
        <w:tc>
          <w:tcPr>
            <w:tcW w:w="1537" w:type="pct"/>
          </w:tcPr>
          <w:p w14:paraId="3C7CEB1E" w14:textId="77777777" w:rsidR="00E57DAA" w:rsidRDefault="00AC4185">
            <w:pPr>
              <w:jc w:val="right"/>
            </w:pPr>
            <w:r>
              <w:t>355,958.49</w:t>
            </w:r>
          </w:p>
        </w:tc>
      </w:tr>
      <w:tr w:rsidR="00E57DAA" w14:paraId="09BEE46F" w14:textId="77777777">
        <w:tc>
          <w:tcPr>
            <w:tcW w:w="1924" w:type="pct"/>
          </w:tcPr>
          <w:p w14:paraId="0DCC59D9" w14:textId="77777777" w:rsidR="00E57DAA" w:rsidRDefault="00AC4185" w:rsidP="00C25422">
            <w:pPr>
              <w:pStyle w:val="92"/>
            </w:pPr>
            <w:r>
              <w:t>2.计划资产回报（计入利息净额的除外）</w:t>
            </w:r>
          </w:p>
        </w:tc>
        <w:tc>
          <w:tcPr>
            <w:tcW w:w="1539" w:type="pct"/>
          </w:tcPr>
          <w:p w14:paraId="739F8DAE" w14:textId="77777777" w:rsidR="00E57DAA" w:rsidRDefault="00E57DAA">
            <w:pPr>
              <w:jc w:val="right"/>
            </w:pPr>
          </w:p>
        </w:tc>
        <w:tc>
          <w:tcPr>
            <w:tcW w:w="1537" w:type="pct"/>
          </w:tcPr>
          <w:p w14:paraId="4B0B40B9" w14:textId="77777777" w:rsidR="00E57DAA" w:rsidRDefault="00AC4185">
            <w:pPr>
              <w:jc w:val="right"/>
            </w:pPr>
            <w:r>
              <w:t>-272,323.52</w:t>
            </w:r>
          </w:p>
        </w:tc>
      </w:tr>
      <w:tr w:rsidR="00E57DAA" w14:paraId="654E7CF9" w14:textId="77777777">
        <w:tc>
          <w:tcPr>
            <w:tcW w:w="1924" w:type="pct"/>
          </w:tcPr>
          <w:p w14:paraId="7B4E2706" w14:textId="77777777" w:rsidR="00E57DAA" w:rsidRDefault="00AC4185" w:rsidP="00C25422">
            <w:pPr>
              <w:pStyle w:val="92"/>
            </w:pPr>
            <w:r>
              <w:rPr>
                <w:rFonts w:hint="eastAsia"/>
              </w:rPr>
              <w:t>四、其他变动</w:t>
            </w:r>
          </w:p>
        </w:tc>
        <w:tc>
          <w:tcPr>
            <w:tcW w:w="1539" w:type="pct"/>
          </w:tcPr>
          <w:p w14:paraId="003C13EF" w14:textId="77777777" w:rsidR="00E57DAA" w:rsidRDefault="00AC4185">
            <w:pPr>
              <w:jc w:val="right"/>
            </w:pPr>
            <w:r>
              <w:t>-9,315,719.30</w:t>
            </w:r>
          </w:p>
        </w:tc>
        <w:tc>
          <w:tcPr>
            <w:tcW w:w="1537" w:type="pct"/>
          </w:tcPr>
          <w:p w14:paraId="1BD569F4" w14:textId="77777777" w:rsidR="00E57DAA" w:rsidRDefault="00AC4185">
            <w:pPr>
              <w:jc w:val="right"/>
            </w:pPr>
            <w:r>
              <w:t>-16,675,382.84</w:t>
            </w:r>
          </w:p>
        </w:tc>
      </w:tr>
      <w:tr w:rsidR="00E57DAA" w14:paraId="3A1E49FB" w14:textId="77777777">
        <w:tc>
          <w:tcPr>
            <w:tcW w:w="1924" w:type="pct"/>
          </w:tcPr>
          <w:p w14:paraId="0F1D41B0" w14:textId="77777777" w:rsidR="00E57DAA" w:rsidRDefault="00AC4185" w:rsidP="00C25422">
            <w:pPr>
              <w:pStyle w:val="92"/>
            </w:pPr>
            <w:r>
              <w:t>1.</w:t>
            </w:r>
            <w:r>
              <w:rPr>
                <w:rFonts w:hint="eastAsia"/>
              </w:rPr>
              <w:t>结算时支付的对价</w:t>
            </w:r>
          </w:p>
        </w:tc>
        <w:tc>
          <w:tcPr>
            <w:tcW w:w="1539" w:type="pct"/>
          </w:tcPr>
          <w:p w14:paraId="706DBF9F" w14:textId="77777777" w:rsidR="00E57DAA" w:rsidRDefault="00E57DAA">
            <w:pPr>
              <w:jc w:val="right"/>
            </w:pPr>
          </w:p>
        </w:tc>
        <w:tc>
          <w:tcPr>
            <w:tcW w:w="1537" w:type="pct"/>
          </w:tcPr>
          <w:p w14:paraId="3D5D29ED" w14:textId="77777777" w:rsidR="00E57DAA" w:rsidRDefault="00E57DAA">
            <w:pPr>
              <w:jc w:val="right"/>
            </w:pPr>
          </w:p>
        </w:tc>
      </w:tr>
      <w:tr w:rsidR="00E57DAA" w14:paraId="0506997A" w14:textId="77777777">
        <w:tc>
          <w:tcPr>
            <w:tcW w:w="1924" w:type="pct"/>
          </w:tcPr>
          <w:p w14:paraId="3708F6B4" w14:textId="77777777" w:rsidR="00E57DAA" w:rsidRDefault="00AC4185" w:rsidP="00C25422">
            <w:pPr>
              <w:pStyle w:val="92"/>
            </w:pPr>
            <w:r>
              <w:t>2.</w:t>
            </w:r>
            <w:r>
              <w:rPr>
                <w:rFonts w:hint="eastAsia"/>
              </w:rPr>
              <w:t>已支付的福利</w:t>
            </w:r>
          </w:p>
        </w:tc>
        <w:tc>
          <w:tcPr>
            <w:tcW w:w="1539" w:type="pct"/>
          </w:tcPr>
          <w:p w14:paraId="6DED2D08" w14:textId="77777777" w:rsidR="00E57DAA" w:rsidRDefault="00AC4185">
            <w:pPr>
              <w:jc w:val="right"/>
            </w:pPr>
            <w:r>
              <w:t>-11,800,190.40</w:t>
            </w:r>
          </w:p>
        </w:tc>
        <w:tc>
          <w:tcPr>
            <w:tcW w:w="1537" w:type="pct"/>
          </w:tcPr>
          <w:p w14:paraId="3EE57D59" w14:textId="77777777" w:rsidR="00E57DAA" w:rsidRDefault="00AC4185">
            <w:pPr>
              <w:jc w:val="right"/>
            </w:pPr>
            <w:r>
              <w:t>-8,607,591.57</w:t>
            </w:r>
          </w:p>
        </w:tc>
      </w:tr>
      <w:tr w:rsidR="00E57DAA" w14:paraId="585B6D18" w14:textId="77777777">
        <w:tc>
          <w:tcPr>
            <w:tcW w:w="1924" w:type="pct"/>
          </w:tcPr>
          <w:p w14:paraId="693A7E23" w14:textId="77777777" w:rsidR="00E57DAA" w:rsidRDefault="00AC4185" w:rsidP="00C25422">
            <w:pPr>
              <w:pStyle w:val="92"/>
            </w:pPr>
            <w:r>
              <w:rPr>
                <w:rFonts w:hint="eastAsia"/>
              </w:rPr>
              <w:t>3.其他</w:t>
            </w:r>
          </w:p>
        </w:tc>
        <w:tc>
          <w:tcPr>
            <w:tcW w:w="1539" w:type="pct"/>
          </w:tcPr>
          <w:p w14:paraId="0405F3FD" w14:textId="77777777" w:rsidR="00E57DAA" w:rsidRDefault="00AC4185">
            <w:pPr>
              <w:jc w:val="right"/>
            </w:pPr>
            <w:r>
              <w:t>2,484,471.10</w:t>
            </w:r>
          </w:p>
        </w:tc>
        <w:tc>
          <w:tcPr>
            <w:tcW w:w="1537" w:type="pct"/>
          </w:tcPr>
          <w:p w14:paraId="736DDA45" w14:textId="77777777" w:rsidR="00E57DAA" w:rsidRDefault="00AC4185">
            <w:pPr>
              <w:jc w:val="right"/>
            </w:pPr>
            <w:r>
              <w:t>-8,067,791.27</w:t>
            </w:r>
          </w:p>
        </w:tc>
      </w:tr>
      <w:tr w:rsidR="00E57DAA" w14:paraId="217A207E" w14:textId="77777777">
        <w:tc>
          <w:tcPr>
            <w:tcW w:w="1924" w:type="pct"/>
          </w:tcPr>
          <w:p w14:paraId="46751E71" w14:textId="77777777" w:rsidR="00E57DAA" w:rsidRDefault="00AC4185" w:rsidP="00C25422">
            <w:pPr>
              <w:pStyle w:val="92"/>
            </w:pPr>
            <w:r>
              <w:rPr>
                <w:rFonts w:hint="eastAsia"/>
              </w:rPr>
              <w:t>五、期末余额</w:t>
            </w:r>
          </w:p>
        </w:tc>
        <w:tc>
          <w:tcPr>
            <w:tcW w:w="1539" w:type="pct"/>
          </w:tcPr>
          <w:p w14:paraId="161D9E09" w14:textId="77777777" w:rsidR="00E57DAA" w:rsidRDefault="00AC4185">
            <w:pPr>
              <w:jc w:val="right"/>
            </w:pPr>
            <w:r>
              <w:t>232,606,683.19</w:t>
            </w:r>
          </w:p>
        </w:tc>
        <w:tc>
          <w:tcPr>
            <w:tcW w:w="1537" w:type="pct"/>
          </w:tcPr>
          <w:p w14:paraId="09446F9A" w14:textId="77777777" w:rsidR="00E57DAA" w:rsidRDefault="00AC4185">
            <w:pPr>
              <w:jc w:val="right"/>
            </w:pPr>
            <w:r>
              <w:t>232,132,686.04</w:t>
            </w:r>
          </w:p>
        </w:tc>
      </w:tr>
    </w:tbl>
    <w:p w14:paraId="653D486E" w14:textId="77777777" w:rsidR="00E57DAA" w:rsidRDefault="00E57DAA" w:rsidP="00C25422">
      <w:pPr>
        <w:pStyle w:val="92"/>
      </w:pPr>
    </w:p>
    <w:p w14:paraId="7B1088D0" w14:textId="77777777" w:rsidR="00E57DAA" w:rsidRDefault="00AC4185">
      <w:pPr>
        <w:rPr>
          <w:szCs w:val="21"/>
        </w:rPr>
      </w:pPr>
      <w:r>
        <w:rPr>
          <w:rFonts w:hint="eastAsia"/>
          <w:szCs w:val="21"/>
        </w:rPr>
        <w:t>计划资产：</w:t>
      </w:r>
    </w:p>
    <w:p w14:paraId="445D8022" w14:textId="77777777" w:rsidR="00E57DAA" w:rsidRDefault="00EB41A1" w:rsidP="00C25422">
      <w:pPr>
        <w:pStyle w:val="92"/>
      </w:pPr>
      <w:sdt>
        <w:sdtPr>
          <w:rPr>
            <w:rFonts w:hint="eastAsia"/>
          </w:rPr>
          <w:alias w:val="是否适用：设定受益计划变动情况_计划资产[双击切换]"/>
          <w:tag w:val="_GBC_da74e4a7bfc84e888afc38ffa6096a31"/>
          <w:id w:val="113637079"/>
          <w:placeholder>
            <w:docPart w:val="GBC22222222222222222222222222222"/>
          </w:placeholder>
        </w:sdtPr>
        <w:sdtEndPr/>
        <w:sdtContent>
          <w:r w:rsidR="00AC4185">
            <w:fldChar w:fldCharType="begin"/>
          </w:r>
          <w:r w:rsidR="00AC4185">
            <w:instrText xml:space="preserve"> 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520979D5" w14:textId="77777777" w:rsidR="00E57DAA" w:rsidRDefault="00E57DAA" w:rsidP="00C25422">
      <w:pPr>
        <w:pStyle w:val="92"/>
      </w:pPr>
    </w:p>
    <w:p w14:paraId="5093C648" w14:textId="77777777" w:rsidR="00E57DAA" w:rsidRDefault="00AC4185" w:rsidP="00C25422">
      <w:pPr>
        <w:pStyle w:val="92"/>
      </w:pPr>
      <w:r>
        <w:rPr>
          <w:rFonts w:hint="eastAsia"/>
        </w:rPr>
        <w:t>设定受益计划净负债（净资产）</w:t>
      </w:r>
    </w:p>
    <w:sdt>
      <w:sdtPr>
        <w:alias w:val="是否适用：设定受益计划变动情况_设定受益计划净负债[双击切换]"/>
        <w:tag w:val="_GBC_4ef7ea9e6dc7431c9365dcd01da99b90"/>
        <w:id w:val="302204795"/>
        <w:placeholder>
          <w:docPart w:val="GBC22222222222222222222222222222"/>
        </w:placeholder>
      </w:sdtPr>
      <w:sdtEndPr/>
      <w:sdtContent>
        <w:p w14:paraId="502A933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5DB33E" w14:textId="77777777" w:rsidR="00E57DAA" w:rsidRDefault="00E57DAA">
      <w:pPr>
        <w:rPr>
          <w:szCs w:val="21"/>
        </w:rPr>
      </w:pPr>
    </w:p>
    <w:p w14:paraId="01B20F58" w14:textId="77777777" w:rsidR="00E57DAA" w:rsidRDefault="00AC4185">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2080660552"/>
        <w:placeholder>
          <w:docPart w:val="GBC22222222222222222222222222222"/>
        </w:placeholder>
      </w:sdtPr>
      <w:sdtEndPr/>
      <w:sdtContent>
        <w:p w14:paraId="270350D4"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408ECA" w14:textId="77777777" w:rsidR="00E57DAA" w:rsidRDefault="00E57DAA">
      <w:pPr>
        <w:rPr>
          <w:szCs w:val="21"/>
        </w:rPr>
      </w:pPr>
    </w:p>
    <w:p w14:paraId="58B2A795" w14:textId="77777777" w:rsidR="00E57DAA" w:rsidRDefault="00AC4185">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961772360"/>
        <w:placeholder>
          <w:docPart w:val="GBC22222222222222222222222222222"/>
        </w:placeholder>
      </w:sdtPr>
      <w:sdtEndPr/>
      <w:sdtContent>
        <w:p w14:paraId="58D3F4EA"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kern w:val="0"/>
          <w:szCs w:val="21"/>
        </w:rPr>
        <w:alias w:val="设定受益计划重大精算假设及敏感性分析结果说明"/>
        <w:tag w:val="_GBC_9c923d91b13f47b798cfd40efd61959a"/>
        <w:id w:val="-460421353"/>
        <w:placeholder>
          <w:docPart w:val="GBC22222222222222222222222222222"/>
        </w:placeholder>
      </w:sdtPr>
      <w:sdtEndPr/>
      <w:sdtContent>
        <w:p w14:paraId="5667A387" w14:textId="77777777" w:rsidR="00E57DAA" w:rsidRDefault="00AC4185">
          <w:pPr>
            <w:pStyle w:val="Style242"/>
            <w:widowControl w:val="0"/>
            <w:snapToGrid w:val="0"/>
            <w:spacing w:beforeLines="50" w:before="120" w:line="360" w:lineRule="auto"/>
            <w:ind w:firstLineChars="202" w:firstLine="424"/>
            <w:jc w:val="both"/>
            <w:rPr>
              <w:rFonts w:ascii="宋体" w:hAnsi="宋体"/>
              <w:sz w:val="20"/>
              <w:szCs w:val="20"/>
            </w:rPr>
          </w:pPr>
          <w:r>
            <w:rPr>
              <w:rFonts w:ascii="宋体" w:hAnsi="宋体" w:cs="宋体" w:hint="eastAsia"/>
              <w:kern w:val="0"/>
              <w:szCs w:val="21"/>
            </w:rPr>
            <w:t>1）</w:t>
          </w:r>
          <w:r>
            <w:rPr>
              <w:rFonts w:ascii="宋体" w:hAnsi="宋体" w:hint="eastAsia"/>
              <w:sz w:val="20"/>
              <w:szCs w:val="20"/>
            </w:rPr>
            <w:t>本公司部分子公司为离退休职工提供医疗费报销、丧葬补助等社会统筹外的补充福利计划，精算所采用的主要假设如下：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763"/>
            <w:gridCol w:w="2537"/>
            <w:gridCol w:w="2533"/>
          </w:tblGrid>
          <w:tr w:rsidR="00E57DAA" w14:paraId="1A616EB4" w14:textId="77777777">
            <w:trPr>
              <w:trHeight w:val="340"/>
            </w:trPr>
            <w:tc>
              <w:tcPr>
                <w:tcW w:w="2130" w:type="pct"/>
                <w:tcBorders>
                  <w:top w:val="single" w:sz="12" w:space="0" w:color="auto"/>
                  <w:left w:val="nil"/>
                  <w:bottom w:val="dotted" w:sz="4" w:space="0" w:color="auto"/>
                  <w:right w:val="dotted" w:sz="4" w:space="0" w:color="auto"/>
                </w:tcBorders>
                <w:vAlign w:val="center"/>
              </w:tcPr>
              <w:p w14:paraId="60F948CF"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精算估计的重大假设</w:t>
                </w:r>
              </w:p>
            </w:tc>
            <w:tc>
              <w:tcPr>
                <w:tcW w:w="1436" w:type="pct"/>
                <w:tcBorders>
                  <w:top w:val="single" w:sz="12" w:space="0" w:color="auto"/>
                  <w:left w:val="dotted" w:sz="4" w:space="0" w:color="auto"/>
                  <w:bottom w:val="dotted" w:sz="4" w:space="0" w:color="auto"/>
                  <w:right w:val="dotted" w:sz="4" w:space="0" w:color="auto"/>
                </w:tcBorders>
                <w:vAlign w:val="center"/>
              </w:tcPr>
              <w:p w14:paraId="566B1413"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本期期末</w:t>
                </w:r>
              </w:p>
            </w:tc>
            <w:tc>
              <w:tcPr>
                <w:tcW w:w="1434" w:type="pct"/>
                <w:tcBorders>
                  <w:top w:val="single" w:sz="12" w:space="0" w:color="auto"/>
                  <w:left w:val="dotted" w:sz="4" w:space="0" w:color="auto"/>
                  <w:bottom w:val="dotted" w:sz="4" w:space="0" w:color="auto"/>
                  <w:right w:val="nil"/>
                </w:tcBorders>
                <w:vAlign w:val="center"/>
              </w:tcPr>
              <w:p w14:paraId="64EE05CD"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上期期末</w:t>
                </w:r>
              </w:p>
            </w:tc>
          </w:tr>
          <w:tr w:rsidR="00E57DAA" w14:paraId="5A4B7319" w14:textId="77777777">
            <w:trPr>
              <w:trHeight w:val="340"/>
            </w:trPr>
            <w:tc>
              <w:tcPr>
                <w:tcW w:w="2130" w:type="pct"/>
                <w:tcBorders>
                  <w:top w:val="dotted" w:sz="4" w:space="0" w:color="auto"/>
                  <w:left w:val="nil"/>
                  <w:bottom w:val="dotted" w:sz="4" w:space="0" w:color="auto"/>
                  <w:right w:val="dotted" w:sz="4" w:space="0" w:color="auto"/>
                </w:tcBorders>
                <w:vAlign w:val="center"/>
              </w:tcPr>
              <w:p w14:paraId="26E0B214" w14:textId="77777777" w:rsidR="00E57DAA" w:rsidRDefault="00AC4185">
                <w:pPr>
                  <w:widowControl w:val="0"/>
                  <w:tabs>
                    <w:tab w:val="left" w:pos="196"/>
                    <w:tab w:val="left" w:pos="426"/>
                  </w:tabs>
                  <w:snapToGrid w:val="0"/>
                  <w:rPr>
                    <w:sz w:val="20"/>
                    <w:szCs w:val="20"/>
                  </w:rPr>
                </w:pPr>
                <w:r>
                  <w:rPr>
                    <w:rFonts w:hint="eastAsia"/>
                    <w:sz w:val="20"/>
                    <w:szCs w:val="20"/>
                  </w:rPr>
                  <w:t>折现率</w:t>
                </w:r>
              </w:p>
            </w:tc>
            <w:tc>
              <w:tcPr>
                <w:tcW w:w="1436" w:type="pct"/>
                <w:tcBorders>
                  <w:top w:val="dotted" w:sz="4" w:space="0" w:color="auto"/>
                  <w:left w:val="dotted" w:sz="4" w:space="0" w:color="auto"/>
                  <w:bottom w:val="dotted" w:sz="4" w:space="0" w:color="auto"/>
                  <w:right w:val="dotted" w:sz="4" w:space="0" w:color="auto"/>
                </w:tcBorders>
                <w:vAlign w:val="center"/>
              </w:tcPr>
              <w:p w14:paraId="151C7612" w14:textId="77777777" w:rsidR="00E57DAA" w:rsidRDefault="00AC4185">
                <w:pPr>
                  <w:widowControl w:val="0"/>
                  <w:tabs>
                    <w:tab w:val="left" w:pos="196"/>
                    <w:tab w:val="left" w:pos="426"/>
                  </w:tabs>
                  <w:snapToGrid w:val="0"/>
                  <w:jc w:val="center"/>
                  <w:rPr>
                    <w:sz w:val="20"/>
                    <w:szCs w:val="20"/>
                  </w:rPr>
                </w:pPr>
                <w:r>
                  <w:rPr>
                    <w:sz w:val="20"/>
                    <w:szCs w:val="20"/>
                  </w:rPr>
                  <w:t>2.90%</w:t>
                </w:r>
              </w:p>
            </w:tc>
            <w:tc>
              <w:tcPr>
                <w:tcW w:w="1434" w:type="pct"/>
                <w:tcBorders>
                  <w:top w:val="dotted" w:sz="4" w:space="0" w:color="auto"/>
                  <w:left w:val="dotted" w:sz="4" w:space="0" w:color="auto"/>
                  <w:bottom w:val="dotted" w:sz="4" w:space="0" w:color="auto"/>
                  <w:right w:val="nil"/>
                </w:tcBorders>
                <w:vAlign w:val="center"/>
              </w:tcPr>
              <w:p w14:paraId="7FEA4AFB"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2.90%</w:t>
                </w:r>
              </w:p>
            </w:tc>
          </w:tr>
          <w:tr w:rsidR="00E57DAA" w14:paraId="625A7B35" w14:textId="77777777">
            <w:trPr>
              <w:trHeight w:val="340"/>
            </w:trPr>
            <w:tc>
              <w:tcPr>
                <w:tcW w:w="2130" w:type="pct"/>
                <w:tcBorders>
                  <w:top w:val="dotted" w:sz="4" w:space="0" w:color="auto"/>
                  <w:left w:val="nil"/>
                  <w:bottom w:val="dotted" w:sz="4" w:space="0" w:color="auto"/>
                  <w:right w:val="dotted" w:sz="4" w:space="0" w:color="auto"/>
                </w:tcBorders>
                <w:vAlign w:val="center"/>
              </w:tcPr>
              <w:p w14:paraId="1B8B5FEC" w14:textId="77777777" w:rsidR="00E57DAA" w:rsidRDefault="00AC4185">
                <w:pPr>
                  <w:widowControl w:val="0"/>
                  <w:tabs>
                    <w:tab w:val="left" w:pos="196"/>
                    <w:tab w:val="left" w:pos="426"/>
                  </w:tabs>
                  <w:snapToGrid w:val="0"/>
                  <w:rPr>
                    <w:sz w:val="20"/>
                    <w:szCs w:val="20"/>
                  </w:rPr>
                </w:pPr>
                <w:r>
                  <w:rPr>
                    <w:rFonts w:hint="eastAsia"/>
                    <w:sz w:val="20"/>
                    <w:szCs w:val="20"/>
                  </w:rPr>
                  <w:t>福利增长率</w:t>
                </w:r>
              </w:p>
            </w:tc>
            <w:tc>
              <w:tcPr>
                <w:tcW w:w="1436" w:type="pct"/>
                <w:tcBorders>
                  <w:top w:val="dotted" w:sz="4" w:space="0" w:color="auto"/>
                  <w:left w:val="dotted" w:sz="4" w:space="0" w:color="auto"/>
                  <w:bottom w:val="dotted" w:sz="4" w:space="0" w:color="auto"/>
                  <w:right w:val="dotted" w:sz="4" w:space="0" w:color="auto"/>
                </w:tcBorders>
                <w:vAlign w:val="center"/>
              </w:tcPr>
              <w:p w14:paraId="4CEBB268" w14:textId="77777777" w:rsidR="00E57DAA" w:rsidRDefault="00AC4185">
                <w:pPr>
                  <w:widowControl w:val="0"/>
                  <w:tabs>
                    <w:tab w:val="left" w:pos="196"/>
                    <w:tab w:val="left" w:pos="426"/>
                  </w:tabs>
                  <w:snapToGrid w:val="0"/>
                  <w:jc w:val="center"/>
                  <w:rPr>
                    <w:sz w:val="20"/>
                    <w:szCs w:val="20"/>
                  </w:rPr>
                </w:pPr>
                <w:r>
                  <w:rPr>
                    <w:rFonts w:hint="eastAsia"/>
                    <w:sz w:val="20"/>
                    <w:szCs w:val="20"/>
                  </w:rPr>
                  <w:t>——</w:t>
                </w:r>
              </w:p>
            </w:tc>
            <w:tc>
              <w:tcPr>
                <w:tcW w:w="1434" w:type="pct"/>
                <w:tcBorders>
                  <w:top w:val="dotted" w:sz="4" w:space="0" w:color="auto"/>
                  <w:left w:val="dotted" w:sz="4" w:space="0" w:color="auto"/>
                  <w:bottom w:val="dotted" w:sz="4" w:space="0" w:color="auto"/>
                  <w:right w:val="nil"/>
                </w:tcBorders>
                <w:vAlign w:val="center"/>
              </w:tcPr>
              <w:p w14:paraId="0928192D" w14:textId="77777777" w:rsidR="00E57DAA" w:rsidRDefault="00AC4185">
                <w:pPr>
                  <w:widowControl w:val="0"/>
                  <w:tabs>
                    <w:tab w:val="left" w:pos="196"/>
                    <w:tab w:val="left" w:pos="426"/>
                  </w:tabs>
                  <w:snapToGrid w:val="0"/>
                  <w:jc w:val="center"/>
                  <w:rPr>
                    <w:color w:val="000000"/>
                    <w:sz w:val="20"/>
                    <w:szCs w:val="20"/>
                  </w:rPr>
                </w:pPr>
                <w:r>
                  <w:rPr>
                    <w:rFonts w:hint="eastAsia"/>
                    <w:color w:val="000000"/>
                    <w:sz w:val="20"/>
                    <w:szCs w:val="20"/>
                  </w:rPr>
                  <w:t>——</w:t>
                </w:r>
              </w:p>
            </w:tc>
          </w:tr>
          <w:tr w:rsidR="00E57DAA" w14:paraId="60F8DFC3" w14:textId="77777777">
            <w:trPr>
              <w:trHeight w:val="340"/>
            </w:trPr>
            <w:tc>
              <w:tcPr>
                <w:tcW w:w="2130" w:type="pct"/>
                <w:tcBorders>
                  <w:top w:val="dotted" w:sz="4" w:space="0" w:color="auto"/>
                  <w:left w:val="nil"/>
                  <w:bottom w:val="dotted" w:sz="4" w:space="0" w:color="auto"/>
                  <w:right w:val="dotted" w:sz="4" w:space="0" w:color="auto"/>
                </w:tcBorders>
                <w:vAlign w:val="center"/>
              </w:tcPr>
              <w:p w14:paraId="4435925F" w14:textId="77777777" w:rsidR="00E57DAA" w:rsidRDefault="00AC4185">
                <w:pPr>
                  <w:widowControl w:val="0"/>
                  <w:tabs>
                    <w:tab w:val="left" w:pos="196"/>
                    <w:tab w:val="left" w:pos="426"/>
                  </w:tabs>
                  <w:snapToGrid w:val="0"/>
                  <w:rPr>
                    <w:sz w:val="20"/>
                    <w:szCs w:val="20"/>
                  </w:rPr>
                </w:pPr>
                <w:r>
                  <w:rPr>
                    <w:rFonts w:hint="eastAsia"/>
                    <w:sz w:val="20"/>
                    <w:szCs w:val="20"/>
                  </w:rPr>
                  <w:t>其中：社会保险费</w:t>
                </w:r>
              </w:p>
            </w:tc>
            <w:tc>
              <w:tcPr>
                <w:tcW w:w="1436" w:type="pct"/>
                <w:tcBorders>
                  <w:top w:val="dotted" w:sz="4" w:space="0" w:color="auto"/>
                  <w:left w:val="dotted" w:sz="4" w:space="0" w:color="auto"/>
                  <w:bottom w:val="dotted" w:sz="4" w:space="0" w:color="auto"/>
                  <w:right w:val="dotted" w:sz="4" w:space="0" w:color="auto"/>
                </w:tcBorders>
                <w:vAlign w:val="center"/>
              </w:tcPr>
              <w:p w14:paraId="563D127D" w14:textId="77777777" w:rsidR="00E57DAA" w:rsidRDefault="00AC4185">
                <w:pPr>
                  <w:widowControl w:val="0"/>
                  <w:tabs>
                    <w:tab w:val="left" w:pos="196"/>
                    <w:tab w:val="left" w:pos="426"/>
                  </w:tabs>
                  <w:snapToGrid w:val="0"/>
                  <w:jc w:val="center"/>
                  <w:rPr>
                    <w:sz w:val="20"/>
                    <w:szCs w:val="20"/>
                    <w:highlight w:val="yellow"/>
                  </w:rPr>
                </w:pPr>
                <w:r>
                  <w:rPr>
                    <w:color w:val="000000"/>
                    <w:sz w:val="20"/>
                    <w:szCs w:val="20"/>
                  </w:rPr>
                  <w:t>5.00%</w:t>
                </w:r>
              </w:p>
            </w:tc>
            <w:tc>
              <w:tcPr>
                <w:tcW w:w="1434" w:type="pct"/>
                <w:tcBorders>
                  <w:top w:val="dotted" w:sz="4" w:space="0" w:color="auto"/>
                  <w:left w:val="dotted" w:sz="4" w:space="0" w:color="auto"/>
                  <w:bottom w:val="dotted" w:sz="4" w:space="0" w:color="auto"/>
                  <w:right w:val="nil"/>
                </w:tcBorders>
                <w:vAlign w:val="center"/>
              </w:tcPr>
              <w:p w14:paraId="7FFB264A"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5.00%</w:t>
                </w:r>
              </w:p>
            </w:tc>
          </w:tr>
          <w:tr w:rsidR="00E57DAA" w14:paraId="56D77489" w14:textId="77777777">
            <w:trPr>
              <w:trHeight w:val="340"/>
            </w:trPr>
            <w:tc>
              <w:tcPr>
                <w:tcW w:w="2130" w:type="pct"/>
                <w:tcBorders>
                  <w:top w:val="dotted" w:sz="4" w:space="0" w:color="auto"/>
                  <w:left w:val="nil"/>
                  <w:bottom w:val="dotted" w:sz="4" w:space="0" w:color="auto"/>
                  <w:right w:val="dotted" w:sz="4" w:space="0" w:color="auto"/>
                </w:tcBorders>
                <w:vAlign w:val="center"/>
              </w:tcPr>
              <w:p w14:paraId="46AD37D9" w14:textId="77777777" w:rsidR="00E57DAA" w:rsidRDefault="00AC4185">
                <w:pPr>
                  <w:widowControl w:val="0"/>
                  <w:tabs>
                    <w:tab w:val="left" w:pos="196"/>
                    <w:tab w:val="left" w:pos="426"/>
                  </w:tabs>
                  <w:snapToGrid w:val="0"/>
                  <w:ind w:firstLineChars="300" w:firstLine="600"/>
                  <w:rPr>
                    <w:sz w:val="20"/>
                    <w:szCs w:val="20"/>
                  </w:rPr>
                </w:pPr>
                <w:r>
                  <w:rPr>
                    <w:rFonts w:hint="eastAsia"/>
                    <w:sz w:val="20"/>
                    <w:szCs w:val="20"/>
                  </w:rPr>
                  <w:t>丧葬费</w:t>
                </w:r>
              </w:p>
            </w:tc>
            <w:tc>
              <w:tcPr>
                <w:tcW w:w="1436" w:type="pct"/>
                <w:tcBorders>
                  <w:top w:val="dotted" w:sz="4" w:space="0" w:color="auto"/>
                  <w:left w:val="dotted" w:sz="4" w:space="0" w:color="auto"/>
                  <w:bottom w:val="dotted" w:sz="4" w:space="0" w:color="auto"/>
                  <w:right w:val="dotted" w:sz="4" w:space="0" w:color="auto"/>
                </w:tcBorders>
                <w:vAlign w:val="center"/>
              </w:tcPr>
              <w:p w14:paraId="7E444AE8" w14:textId="77777777" w:rsidR="00E57DAA" w:rsidRDefault="00AC4185">
                <w:pPr>
                  <w:widowControl w:val="0"/>
                  <w:tabs>
                    <w:tab w:val="left" w:pos="196"/>
                    <w:tab w:val="left" w:pos="426"/>
                  </w:tabs>
                  <w:snapToGrid w:val="0"/>
                  <w:jc w:val="center"/>
                  <w:rPr>
                    <w:sz w:val="20"/>
                    <w:szCs w:val="20"/>
                    <w:highlight w:val="yellow"/>
                  </w:rPr>
                </w:pPr>
                <w:r>
                  <w:rPr>
                    <w:color w:val="000000"/>
                    <w:sz w:val="20"/>
                    <w:szCs w:val="20"/>
                  </w:rPr>
                  <w:t>5.00%</w:t>
                </w:r>
              </w:p>
            </w:tc>
            <w:tc>
              <w:tcPr>
                <w:tcW w:w="1434" w:type="pct"/>
                <w:tcBorders>
                  <w:top w:val="dotted" w:sz="4" w:space="0" w:color="auto"/>
                  <w:left w:val="dotted" w:sz="4" w:space="0" w:color="auto"/>
                  <w:bottom w:val="dotted" w:sz="4" w:space="0" w:color="auto"/>
                  <w:right w:val="nil"/>
                </w:tcBorders>
                <w:vAlign w:val="center"/>
              </w:tcPr>
              <w:p w14:paraId="1CFAA6A3"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5.00%</w:t>
                </w:r>
              </w:p>
            </w:tc>
          </w:tr>
          <w:tr w:rsidR="00E57DAA" w14:paraId="7F6082FB" w14:textId="77777777">
            <w:trPr>
              <w:trHeight w:val="340"/>
            </w:trPr>
            <w:tc>
              <w:tcPr>
                <w:tcW w:w="2130" w:type="pct"/>
                <w:tcBorders>
                  <w:top w:val="dotted" w:sz="4" w:space="0" w:color="auto"/>
                  <w:left w:val="nil"/>
                  <w:bottom w:val="dotted" w:sz="4" w:space="0" w:color="auto"/>
                  <w:right w:val="dotted" w:sz="4" w:space="0" w:color="auto"/>
                </w:tcBorders>
                <w:vAlign w:val="center"/>
              </w:tcPr>
              <w:p w14:paraId="229E83E3" w14:textId="77777777" w:rsidR="00E57DAA" w:rsidRDefault="00AC4185">
                <w:pPr>
                  <w:widowControl w:val="0"/>
                  <w:tabs>
                    <w:tab w:val="left" w:pos="196"/>
                    <w:tab w:val="left" w:pos="426"/>
                  </w:tabs>
                  <w:snapToGrid w:val="0"/>
                  <w:ind w:firstLineChars="300" w:firstLine="600"/>
                  <w:rPr>
                    <w:sz w:val="20"/>
                    <w:szCs w:val="20"/>
                  </w:rPr>
                </w:pPr>
                <w:r>
                  <w:rPr>
                    <w:rFonts w:hint="eastAsia"/>
                    <w:sz w:val="20"/>
                    <w:szCs w:val="20"/>
                  </w:rPr>
                  <w:t>医疗费</w:t>
                </w:r>
              </w:p>
            </w:tc>
            <w:tc>
              <w:tcPr>
                <w:tcW w:w="1436" w:type="pct"/>
                <w:tcBorders>
                  <w:top w:val="dotted" w:sz="4" w:space="0" w:color="auto"/>
                  <w:left w:val="dotted" w:sz="4" w:space="0" w:color="auto"/>
                  <w:bottom w:val="dotted" w:sz="4" w:space="0" w:color="auto"/>
                  <w:right w:val="dotted" w:sz="4" w:space="0" w:color="auto"/>
                </w:tcBorders>
                <w:vAlign w:val="center"/>
              </w:tcPr>
              <w:p w14:paraId="36366652" w14:textId="77777777" w:rsidR="00E57DAA" w:rsidRDefault="00AC4185">
                <w:pPr>
                  <w:widowControl w:val="0"/>
                  <w:tabs>
                    <w:tab w:val="left" w:pos="196"/>
                    <w:tab w:val="left" w:pos="426"/>
                  </w:tabs>
                  <w:snapToGrid w:val="0"/>
                  <w:jc w:val="center"/>
                  <w:rPr>
                    <w:sz w:val="20"/>
                    <w:szCs w:val="20"/>
                    <w:highlight w:val="yellow"/>
                  </w:rPr>
                </w:pPr>
                <w:r>
                  <w:rPr>
                    <w:color w:val="000000"/>
                    <w:sz w:val="20"/>
                    <w:szCs w:val="20"/>
                  </w:rPr>
                  <w:t>6.00%</w:t>
                </w:r>
              </w:p>
            </w:tc>
            <w:tc>
              <w:tcPr>
                <w:tcW w:w="1434" w:type="pct"/>
                <w:tcBorders>
                  <w:top w:val="dotted" w:sz="4" w:space="0" w:color="auto"/>
                  <w:left w:val="dotted" w:sz="4" w:space="0" w:color="auto"/>
                  <w:bottom w:val="dotted" w:sz="4" w:space="0" w:color="auto"/>
                  <w:right w:val="nil"/>
                </w:tcBorders>
                <w:vAlign w:val="center"/>
              </w:tcPr>
              <w:p w14:paraId="60001CDF"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6.00%</w:t>
                </w:r>
              </w:p>
            </w:tc>
          </w:tr>
          <w:tr w:rsidR="00E57DAA" w14:paraId="27C3BDF9" w14:textId="77777777">
            <w:trPr>
              <w:trHeight w:val="340"/>
            </w:trPr>
            <w:tc>
              <w:tcPr>
                <w:tcW w:w="2130" w:type="pct"/>
                <w:tcBorders>
                  <w:top w:val="dotted" w:sz="4" w:space="0" w:color="auto"/>
                  <w:left w:val="nil"/>
                  <w:bottom w:val="dotted" w:sz="4" w:space="0" w:color="auto"/>
                  <w:right w:val="dotted" w:sz="4" w:space="0" w:color="auto"/>
                </w:tcBorders>
                <w:vAlign w:val="center"/>
              </w:tcPr>
              <w:p w14:paraId="348DCD92" w14:textId="77777777" w:rsidR="00E57DAA" w:rsidRDefault="00AC4185">
                <w:pPr>
                  <w:widowControl w:val="0"/>
                  <w:tabs>
                    <w:tab w:val="left" w:pos="196"/>
                    <w:tab w:val="left" w:pos="426"/>
                  </w:tabs>
                  <w:snapToGrid w:val="0"/>
                  <w:rPr>
                    <w:sz w:val="20"/>
                    <w:szCs w:val="20"/>
                  </w:rPr>
                </w:pPr>
                <w:r>
                  <w:rPr>
                    <w:rFonts w:hint="eastAsia"/>
                    <w:sz w:val="20"/>
                    <w:szCs w:val="20"/>
                  </w:rPr>
                  <w:t>死亡率</w:t>
                </w:r>
              </w:p>
            </w:tc>
            <w:tc>
              <w:tcPr>
                <w:tcW w:w="1436" w:type="pct"/>
                <w:tcBorders>
                  <w:top w:val="dotted" w:sz="4" w:space="0" w:color="auto"/>
                  <w:left w:val="dotted" w:sz="4" w:space="0" w:color="auto"/>
                  <w:bottom w:val="dotted" w:sz="4" w:space="0" w:color="auto"/>
                  <w:right w:val="dotted" w:sz="4" w:space="0" w:color="auto"/>
                </w:tcBorders>
                <w:vAlign w:val="center"/>
              </w:tcPr>
              <w:p w14:paraId="3F143394" w14:textId="77777777" w:rsidR="00E57DAA" w:rsidRDefault="00AC4185">
                <w:pPr>
                  <w:widowControl w:val="0"/>
                  <w:tabs>
                    <w:tab w:val="left" w:pos="196"/>
                    <w:tab w:val="left" w:pos="426"/>
                  </w:tabs>
                  <w:snapToGrid w:val="0"/>
                  <w:jc w:val="center"/>
                  <w:rPr>
                    <w:sz w:val="20"/>
                    <w:szCs w:val="20"/>
                  </w:rPr>
                </w:pPr>
                <w:r>
                  <w:rPr>
                    <w:rFonts w:hint="eastAsia"/>
                    <w:sz w:val="20"/>
                    <w:szCs w:val="20"/>
                  </w:rPr>
                  <w:t>——</w:t>
                </w:r>
              </w:p>
            </w:tc>
            <w:tc>
              <w:tcPr>
                <w:tcW w:w="1434" w:type="pct"/>
                <w:tcBorders>
                  <w:top w:val="dotted" w:sz="4" w:space="0" w:color="auto"/>
                  <w:left w:val="dotted" w:sz="4" w:space="0" w:color="auto"/>
                  <w:bottom w:val="dotted" w:sz="4" w:space="0" w:color="auto"/>
                  <w:right w:val="nil"/>
                </w:tcBorders>
                <w:vAlign w:val="center"/>
              </w:tcPr>
              <w:p w14:paraId="050B90EE" w14:textId="77777777" w:rsidR="00E57DAA" w:rsidRDefault="00AC4185">
                <w:pPr>
                  <w:widowControl w:val="0"/>
                  <w:tabs>
                    <w:tab w:val="left" w:pos="196"/>
                    <w:tab w:val="left" w:pos="426"/>
                  </w:tabs>
                  <w:snapToGrid w:val="0"/>
                  <w:jc w:val="center"/>
                  <w:rPr>
                    <w:color w:val="000000"/>
                    <w:sz w:val="20"/>
                    <w:szCs w:val="20"/>
                  </w:rPr>
                </w:pPr>
                <w:r>
                  <w:rPr>
                    <w:rFonts w:hint="eastAsia"/>
                    <w:color w:val="000000"/>
                    <w:sz w:val="20"/>
                    <w:szCs w:val="20"/>
                  </w:rPr>
                  <w:t>——</w:t>
                </w:r>
              </w:p>
            </w:tc>
          </w:tr>
          <w:tr w:rsidR="00E57DAA" w14:paraId="1284E89A" w14:textId="77777777">
            <w:trPr>
              <w:trHeight w:val="340"/>
            </w:trPr>
            <w:tc>
              <w:tcPr>
                <w:tcW w:w="2130" w:type="pct"/>
                <w:tcBorders>
                  <w:top w:val="dotted" w:sz="4" w:space="0" w:color="auto"/>
                  <w:left w:val="nil"/>
                  <w:bottom w:val="dotted" w:sz="4" w:space="0" w:color="auto"/>
                  <w:right w:val="dotted" w:sz="4" w:space="0" w:color="auto"/>
                </w:tcBorders>
                <w:vAlign w:val="center"/>
              </w:tcPr>
              <w:p w14:paraId="1B5BC630" w14:textId="77777777" w:rsidR="00E57DAA" w:rsidRDefault="00AC4185">
                <w:pPr>
                  <w:widowControl w:val="0"/>
                  <w:tabs>
                    <w:tab w:val="left" w:pos="196"/>
                    <w:tab w:val="left" w:pos="426"/>
                  </w:tabs>
                  <w:snapToGrid w:val="0"/>
                  <w:rPr>
                    <w:sz w:val="20"/>
                    <w:szCs w:val="20"/>
                  </w:rPr>
                </w:pPr>
                <w:r>
                  <w:rPr>
                    <w:rFonts w:hint="eastAsia"/>
                    <w:sz w:val="20"/>
                    <w:szCs w:val="20"/>
                  </w:rPr>
                  <w:t>其中：男性</w:t>
                </w:r>
              </w:p>
            </w:tc>
            <w:tc>
              <w:tcPr>
                <w:tcW w:w="1436" w:type="pct"/>
                <w:tcBorders>
                  <w:top w:val="dotted" w:sz="4" w:space="0" w:color="auto"/>
                  <w:left w:val="dotted" w:sz="4" w:space="0" w:color="auto"/>
                  <w:bottom w:val="dotted" w:sz="4" w:space="0" w:color="auto"/>
                  <w:right w:val="dotted" w:sz="4" w:space="0" w:color="auto"/>
                </w:tcBorders>
                <w:vAlign w:val="center"/>
              </w:tcPr>
              <w:p w14:paraId="2ACED2EA" w14:textId="77777777" w:rsidR="00E57DAA" w:rsidRDefault="00AC4185">
                <w:pPr>
                  <w:widowControl w:val="0"/>
                  <w:tabs>
                    <w:tab w:val="left" w:pos="196"/>
                    <w:tab w:val="left" w:pos="426"/>
                  </w:tabs>
                  <w:snapToGrid w:val="0"/>
                  <w:jc w:val="center"/>
                  <w:rPr>
                    <w:sz w:val="20"/>
                    <w:szCs w:val="20"/>
                    <w:highlight w:val="yellow"/>
                  </w:rPr>
                </w:pPr>
                <w:r>
                  <w:rPr>
                    <w:color w:val="000000"/>
                    <w:sz w:val="20"/>
                    <w:szCs w:val="20"/>
                  </w:rPr>
                  <w:t>1.19%</w:t>
                </w:r>
              </w:p>
            </w:tc>
            <w:tc>
              <w:tcPr>
                <w:tcW w:w="1434" w:type="pct"/>
                <w:tcBorders>
                  <w:top w:val="dotted" w:sz="4" w:space="0" w:color="auto"/>
                  <w:left w:val="dotted" w:sz="4" w:space="0" w:color="auto"/>
                  <w:bottom w:val="dotted" w:sz="4" w:space="0" w:color="auto"/>
                  <w:right w:val="nil"/>
                </w:tcBorders>
                <w:vAlign w:val="center"/>
              </w:tcPr>
              <w:p w14:paraId="5B7E2CAE"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1.19%</w:t>
                </w:r>
              </w:p>
            </w:tc>
          </w:tr>
          <w:tr w:rsidR="00E57DAA" w14:paraId="70F5C118" w14:textId="77777777">
            <w:trPr>
              <w:trHeight w:val="340"/>
            </w:trPr>
            <w:tc>
              <w:tcPr>
                <w:tcW w:w="2130" w:type="pct"/>
                <w:tcBorders>
                  <w:top w:val="dotted" w:sz="4" w:space="0" w:color="auto"/>
                  <w:left w:val="nil"/>
                  <w:bottom w:val="single" w:sz="12" w:space="0" w:color="auto"/>
                  <w:right w:val="dotted" w:sz="4" w:space="0" w:color="auto"/>
                </w:tcBorders>
                <w:vAlign w:val="center"/>
              </w:tcPr>
              <w:p w14:paraId="0FDC2A2C" w14:textId="77777777" w:rsidR="00E57DAA" w:rsidRDefault="00AC4185">
                <w:pPr>
                  <w:widowControl w:val="0"/>
                  <w:tabs>
                    <w:tab w:val="left" w:pos="196"/>
                    <w:tab w:val="left" w:pos="426"/>
                  </w:tabs>
                  <w:snapToGrid w:val="0"/>
                  <w:ind w:firstLineChars="300" w:firstLine="600"/>
                  <w:rPr>
                    <w:sz w:val="20"/>
                    <w:szCs w:val="20"/>
                  </w:rPr>
                </w:pPr>
                <w:r>
                  <w:rPr>
                    <w:rFonts w:hint="eastAsia"/>
                    <w:sz w:val="20"/>
                    <w:szCs w:val="20"/>
                  </w:rPr>
                  <w:t>女性</w:t>
                </w:r>
              </w:p>
            </w:tc>
            <w:tc>
              <w:tcPr>
                <w:tcW w:w="1436" w:type="pct"/>
                <w:tcBorders>
                  <w:top w:val="dotted" w:sz="4" w:space="0" w:color="auto"/>
                  <w:left w:val="dotted" w:sz="4" w:space="0" w:color="auto"/>
                  <w:bottom w:val="single" w:sz="12" w:space="0" w:color="auto"/>
                  <w:right w:val="dotted" w:sz="4" w:space="0" w:color="auto"/>
                </w:tcBorders>
                <w:vAlign w:val="center"/>
              </w:tcPr>
              <w:p w14:paraId="0C4AA5BE" w14:textId="77777777" w:rsidR="00E57DAA" w:rsidRDefault="00AC4185">
                <w:pPr>
                  <w:widowControl w:val="0"/>
                  <w:tabs>
                    <w:tab w:val="left" w:pos="196"/>
                    <w:tab w:val="left" w:pos="426"/>
                  </w:tabs>
                  <w:snapToGrid w:val="0"/>
                  <w:jc w:val="center"/>
                  <w:rPr>
                    <w:sz w:val="20"/>
                    <w:szCs w:val="20"/>
                    <w:highlight w:val="yellow"/>
                  </w:rPr>
                </w:pPr>
                <w:r>
                  <w:rPr>
                    <w:color w:val="000000"/>
                    <w:sz w:val="20"/>
                    <w:szCs w:val="20"/>
                  </w:rPr>
                  <w:t>0.75%</w:t>
                </w:r>
              </w:p>
            </w:tc>
            <w:tc>
              <w:tcPr>
                <w:tcW w:w="1434" w:type="pct"/>
                <w:tcBorders>
                  <w:top w:val="dotted" w:sz="4" w:space="0" w:color="auto"/>
                  <w:left w:val="dotted" w:sz="4" w:space="0" w:color="auto"/>
                  <w:bottom w:val="single" w:sz="12" w:space="0" w:color="auto"/>
                  <w:right w:val="nil"/>
                </w:tcBorders>
                <w:vAlign w:val="center"/>
              </w:tcPr>
              <w:p w14:paraId="26C50FA4" w14:textId="77777777" w:rsidR="00E57DAA" w:rsidRDefault="00AC4185">
                <w:pPr>
                  <w:widowControl w:val="0"/>
                  <w:tabs>
                    <w:tab w:val="left" w:pos="196"/>
                    <w:tab w:val="left" w:pos="426"/>
                  </w:tabs>
                  <w:snapToGrid w:val="0"/>
                  <w:jc w:val="center"/>
                  <w:rPr>
                    <w:color w:val="000000"/>
                    <w:sz w:val="20"/>
                    <w:szCs w:val="20"/>
                  </w:rPr>
                </w:pPr>
                <w:r>
                  <w:rPr>
                    <w:color w:val="000000"/>
                    <w:sz w:val="20"/>
                    <w:szCs w:val="20"/>
                  </w:rPr>
                  <w:t>0.75%</w:t>
                </w:r>
              </w:p>
            </w:tc>
          </w:tr>
        </w:tbl>
        <w:p w14:paraId="1EFDB09A" w14:textId="77777777" w:rsidR="00E57DAA" w:rsidRDefault="00E57DAA">
          <w:pPr>
            <w:pStyle w:val="Style243"/>
            <w:widowControl w:val="0"/>
            <w:tabs>
              <w:tab w:val="clear" w:pos="714"/>
            </w:tabs>
            <w:spacing w:line="120" w:lineRule="auto"/>
            <w:ind w:left="420" w:firstLine="0"/>
            <w:outlineLvl w:val="9"/>
            <w:rPr>
              <w:sz w:val="20"/>
              <w:szCs w:val="20"/>
            </w:rPr>
          </w:pPr>
        </w:p>
        <w:p w14:paraId="056CD998" w14:textId="77777777" w:rsidR="00E57DAA" w:rsidRDefault="00AC4185">
          <w:pPr>
            <w:pStyle w:val="Style242"/>
            <w:widowControl w:val="0"/>
            <w:snapToGrid w:val="0"/>
            <w:spacing w:beforeLines="50" w:before="120" w:line="360" w:lineRule="auto"/>
            <w:ind w:firstLineChars="202" w:firstLine="404"/>
            <w:jc w:val="both"/>
            <w:rPr>
              <w:rFonts w:ascii="宋体" w:hAnsi="宋体"/>
              <w:sz w:val="20"/>
              <w:szCs w:val="20"/>
            </w:rPr>
          </w:pPr>
          <w:r>
            <w:rPr>
              <w:rFonts w:ascii="宋体" w:hAnsi="宋体" w:hint="eastAsia"/>
              <w:sz w:val="20"/>
              <w:szCs w:val="20"/>
            </w:rPr>
            <w:lastRenderedPageBreak/>
            <w:t>本公司对上述指标的敏感性分析如下：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2922"/>
            <w:gridCol w:w="1669"/>
            <w:gridCol w:w="2279"/>
            <w:gridCol w:w="1963"/>
          </w:tblGrid>
          <w:tr w:rsidR="00E57DAA" w14:paraId="5DE22221" w14:textId="77777777">
            <w:trPr>
              <w:trHeight w:val="340"/>
            </w:trPr>
            <w:tc>
              <w:tcPr>
                <w:tcW w:w="1654" w:type="pct"/>
                <w:vMerge w:val="restart"/>
                <w:tcBorders>
                  <w:top w:val="single" w:sz="12" w:space="0" w:color="auto"/>
                  <w:left w:val="nil"/>
                  <w:bottom w:val="dotted" w:sz="4" w:space="0" w:color="auto"/>
                  <w:right w:val="dotted" w:sz="4" w:space="0" w:color="auto"/>
                </w:tcBorders>
                <w:vAlign w:val="center"/>
              </w:tcPr>
              <w:p w14:paraId="3BE440EF" w14:textId="77777777" w:rsidR="00E57DAA" w:rsidRDefault="00AC4185">
                <w:pPr>
                  <w:widowControl w:val="0"/>
                  <w:tabs>
                    <w:tab w:val="left" w:pos="196"/>
                    <w:tab w:val="left" w:pos="426"/>
                  </w:tabs>
                  <w:snapToGrid w:val="0"/>
                  <w:jc w:val="center"/>
                  <w:rPr>
                    <w:sz w:val="20"/>
                    <w:szCs w:val="20"/>
                  </w:rPr>
                </w:pPr>
                <w:r>
                  <w:rPr>
                    <w:rFonts w:hint="eastAsia"/>
                    <w:sz w:val="20"/>
                    <w:szCs w:val="20"/>
                  </w:rPr>
                  <w:t>精算估计的重大假设</w:t>
                </w:r>
              </w:p>
            </w:tc>
            <w:tc>
              <w:tcPr>
                <w:tcW w:w="945" w:type="pct"/>
                <w:vMerge w:val="restart"/>
                <w:tcBorders>
                  <w:top w:val="single" w:sz="12" w:space="0" w:color="auto"/>
                  <w:left w:val="dotted" w:sz="4" w:space="0" w:color="auto"/>
                  <w:bottom w:val="dotted" w:sz="4" w:space="0" w:color="auto"/>
                  <w:right w:val="dotted" w:sz="4" w:space="0" w:color="auto"/>
                </w:tcBorders>
                <w:vAlign w:val="center"/>
              </w:tcPr>
              <w:p w14:paraId="3E9BEAD0" w14:textId="77777777" w:rsidR="00E57DAA" w:rsidRDefault="00AC4185">
                <w:pPr>
                  <w:widowControl w:val="0"/>
                  <w:tabs>
                    <w:tab w:val="left" w:pos="196"/>
                    <w:tab w:val="left" w:pos="426"/>
                  </w:tabs>
                  <w:snapToGrid w:val="0"/>
                  <w:jc w:val="center"/>
                  <w:rPr>
                    <w:sz w:val="20"/>
                    <w:szCs w:val="20"/>
                  </w:rPr>
                </w:pPr>
                <w:r>
                  <w:rPr>
                    <w:rFonts w:hint="eastAsia"/>
                    <w:sz w:val="20"/>
                    <w:szCs w:val="20"/>
                  </w:rPr>
                  <w:t>假设变动幅度</w:t>
                </w:r>
              </w:p>
            </w:tc>
            <w:tc>
              <w:tcPr>
                <w:tcW w:w="2401" w:type="pct"/>
                <w:gridSpan w:val="2"/>
                <w:tcBorders>
                  <w:top w:val="single" w:sz="12" w:space="0" w:color="auto"/>
                  <w:left w:val="dotted" w:sz="4" w:space="0" w:color="auto"/>
                  <w:bottom w:val="dotted" w:sz="4" w:space="0" w:color="auto"/>
                  <w:right w:val="nil"/>
                </w:tcBorders>
                <w:vAlign w:val="center"/>
              </w:tcPr>
              <w:p w14:paraId="7E8C0D2B" w14:textId="77777777" w:rsidR="00E57DAA" w:rsidRDefault="00AC4185">
                <w:pPr>
                  <w:widowControl w:val="0"/>
                  <w:tabs>
                    <w:tab w:val="left" w:pos="196"/>
                    <w:tab w:val="left" w:pos="426"/>
                  </w:tabs>
                  <w:snapToGrid w:val="0"/>
                  <w:jc w:val="center"/>
                  <w:rPr>
                    <w:sz w:val="20"/>
                    <w:szCs w:val="20"/>
                  </w:rPr>
                </w:pPr>
                <w:r>
                  <w:rPr>
                    <w:rFonts w:hint="eastAsia"/>
                    <w:sz w:val="20"/>
                    <w:szCs w:val="20"/>
                  </w:rPr>
                  <w:t>对期末设定受益计划现值的影响</w:t>
                </w:r>
              </w:p>
            </w:tc>
          </w:tr>
          <w:tr w:rsidR="00E57DAA" w14:paraId="45E51491" w14:textId="77777777">
            <w:trPr>
              <w:trHeight w:val="340"/>
            </w:trPr>
            <w:tc>
              <w:tcPr>
                <w:tcW w:w="0" w:type="auto"/>
                <w:vMerge/>
                <w:tcBorders>
                  <w:top w:val="single" w:sz="12" w:space="0" w:color="auto"/>
                  <w:left w:val="nil"/>
                  <w:bottom w:val="dotted" w:sz="4" w:space="0" w:color="auto"/>
                  <w:right w:val="dotted" w:sz="4" w:space="0" w:color="auto"/>
                </w:tcBorders>
                <w:vAlign w:val="center"/>
              </w:tcPr>
              <w:p w14:paraId="47444167" w14:textId="77777777" w:rsidR="00E57DAA" w:rsidRDefault="00E57DAA">
                <w:pPr>
                  <w:rPr>
                    <w:sz w:val="20"/>
                    <w:szCs w:val="20"/>
                  </w:rPr>
                </w:pPr>
              </w:p>
            </w:tc>
            <w:tc>
              <w:tcPr>
                <w:tcW w:w="0" w:type="auto"/>
                <w:vMerge/>
                <w:tcBorders>
                  <w:top w:val="single" w:sz="12" w:space="0" w:color="auto"/>
                  <w:left w:val="dotted" w:sz="4" w:space="0" w:color="auto"/>
                  <w:bottom w:val="dotted" w:sz="4" w:space="0" w:color="auto"/>
                  <w:right w:val="dotted" w:sz="4" w:space="0" w:color="auto"/>
                </w:tcBorders>
                <w:vAlign w:val="center"/>
              </w:tcPr>
              <w:p w14:paraId="208DD819" w14:textId="77777777" w:rsidR="00E57DAA" w:rsidRDefault="00E57DAA">
                <w:pPr>
                  <w:rPr>
                    <w:sz w:val="20"/>
                    <w:szCs w:val="20"/>
                  </w:rPr>
                </w:pPr>
              </w:p>
            </w:tc>
            <w:tc>
              <w:tcPr>
                <w:tcW w:w="1290" w:type="pct"/>
                <w:tcBorders>
                  <w:top w:val="dotted" w:sz="4" w:space="0" w:color="auto"/>
                  <w:left w:val="dotted" w:sz="4" w:space="0" w:color="auto"/>
                  <w:bottom w:val="dotted" w:sz="4" w:space="0" w:color="auto"/>
                  <w:right w:val="dotted" w:sz="4" w:space="0" w:color="auto"/>
                </w:tcBorders>
                <w:vAlign w:val="center"/>
              </w:tcPr>
              <w:p w14:paraId="7CA7FC16" w14:textId="77777777" w:rsidR="00E57DAA" w:rsidRDefault="00AC4185">
                <w:pPr>
                  <w:widowControl w:val="0"/>
                  <w:tabs>
                    <w:tab w:val="left" w:pos="196"/>
                    <w:tab w:val="left" w:pos="426"/>
                  </w:tabs>
                  <w:snapToGrid w:val="0"/>
                  <w:jc w:val="center"/>
                  <w:rPr>
                    <w:sz w:val="20"/>
                    <w:szCs w:val="20"/>
                  </w:rPr>
                </w:pPr>
                <w:r>
                  <w:rPr>
                    <w:rFonts w:hint="eastAsia"/>
                    <w:sz w:val="20"/>
                    <w:szCs w:val="20"/>
                  </w:rPr>
                  <w:t>假设增加</w:t>
                </w:r>
              </w:p>
            </w:tc>
            <w:tc>
              <w:tcPr>
                <w:tcW w:w="1111" w:type="pct"/>
                <w:tcBorders>
                  <w:top w:val="dotted" w:sz="4" w:space="0" w:color="auto"/>
                  <w:left w:val="dotted" w:sz="4" w:space="0" w:color="auto"/>
                  <w:bottom w:val="dotted" w:sz="4" w:space="0" w:color="auto"/>
                  <w:right w:val="nil"/>
                </w:tcBorders>
                <w:vAlign w:val="center"/>
              </w:tcPr>
              <w:p w14:paraId="537EE35C" w14:textId="77777777" w:rsidR="00E57DAA" w:rsidRDefault="00AC4185">
                <w:pPr>
                  <w:widowControl w:val="0"/>
                  <w:tabs>
                    <w:tab w:val="left" w:pos="196"/>
                    <w:tab w:val="left" w:pos="426"/>
                  </w:tabs>
                  <w:snapToGrid w:val="0"/>
                  <w:jc w:val="center"/>
                  <w:rPr>
                    <w:sz w:val="20"/>
                    <w:szCs w:val="20"/>
                  </w:rPr>
                </w:pPr>
                <w:r>
                  <w:rPr>
                    <w:rFonts w:hint="eastAsia"/>
                    <w:sz w:val="20"/>
                    <w:szCs w:val="20"/>
                  </w:rPr>
                  <w:t>假设减少</w:t>
                </w:r>
              </w:p>
            </w:tc>
          </w:tr>
          <w:tr w:rsidR="00E57DAA" w14:paraId="3213F95F" w14:textId="77777777">
            <w:trPr>
              <w:trHeight w:val="340"/>
            </w:trPr>
            <w:tc>
              <w:tcPr>
                <w:tcW w:w="1654" w:type="pct"/>
                <w:tcBorders>
                  <w:top w:val="dotted" w:sz="4" w:space="0" w:color="auto"/>
                  <w:left w:val="nil"/>
                  <w:bottom w:val="dotted" w:sz="4" w:space="0" w:color="auto"/>
                  <w:right w:val="dotted" w:sz="4" w:space="0" w:color="auto"/>
                </w:tcBorders>
                <w:vAlign w:val="center"/>
              </w:tcPr>
              <w:p w14:paraId="0052D7D8" w14:textId="77777777" w:rsidR="00E57DAA" w:rsidRDefault="00AC4185">
                <w:pPr>
                  <w:widowControl w:val="0"/>
                  <w:tabs>
                    <w:tab w:val="left" w:pos="196"/>
                    <w:tab w:val="left" w:pos="426"/>
                  </w:tabs>
                  <w:snapToGrid w:val="0"/>
                  <w:rPr>
                    <w:sz w:val="20"/>
                    <w:szCs w:val="20"/>
                  </w:rPr>
                </w:pPr>
                <w:r>
                  <w:rPr>
                    <w:rFonts w:hint="eastAsia"/>
                    <w:sz w:val="20"/>
                    <w:szCs w:val="20"/>
                  </w:rPr>
                  <w:t>折现率</w:t>
                </w:r>
              </w:p>
            </w:tc>
            <w:tc>
              <w:tcPr>
                <w:tcW w:w="945" w:type="pct"/>
                <w:tcBorders>
                  <w:top w:val="dotted" w:sz="4" w:space="0" w:color="auto"/>
                  <w:left w:val="dotted" w:sz="4" w:space="0" w:color="auto"/>
                  <w:bottom w:val="dotted" w:sz="4" w:space="0" w:color="auto"/>
                  <w:right w:val="dotted" w:sz="4" w:space="0" w:color="auto"/>
                </w:tcBorders>
                <w:vAlign w:val="center"/>
              </w:tcPr>
              <w:p w14:paraId="052F32CB" w14:textId="77777777" w:rsidR="00E57DAA" w:rsidRDefault="00AC4185">
                <w:pPr>
                  <w:widowControl w:val="0"/>
                  <w:tabs>
                    <w:tab w:val="left" w:pos="196"/>
                    <w:tab w:val="left" w:pos="426"/>
                  </w:tabs>
                  <w:snapToGrid w:val="0"/>
                  <w:jc w:val="center"/>
                  <w:rPr>
                    <w:sz w:val="20"/>
                    <w:szCs w:val="20"/>
                  </w:rPr>
                </w:pPr>
                <w:r>
                  <w:rPr>
                    <w:rFonts w:hint="eastAsia"/>
                    <w:sz w:val="20"/>
                    <w:szCs w:val="20"/>
                  </w:rPr>
                  <w:t>减少</w:t>
                </w:r>
                <w:r>
                  <w:rPr>
                    <w:sz w:val="20"/>
                    <w:szCs w:val="20"/>
                  </w:rPr>
                  <w:t>0.5%</w:t>
                </w:r>
              </w:p>
            </w:tc>
            <w:tc>
              <w:tcPr>
                <w:tcW w:w="1290" w:type="pct"/>
                <w:tcBorders>
                  <w:top w:val="dotted" w:sz="4" w:space="0" w:color="auto"/>
                  <w:left w:val="dotted" w:sz="4" w:space="0" w:color="auto"/>
                  <w:bottom w:val="dotted" w:sz="4" w:space="0" w:color="auto"/>
                  <w:right w:val="dotted" w:sz="4" w:space="0" w:color="auto"/>
                </w:tcBorders>
                <w:vAlign w:val="center"/>
              </w:tcPr>
              <w:p w14:paraId="7EBC477F" w14:textId="77777777" w:rsidR="00E57DAA" w:rsidRDefault="00AC4185">
                <w:pPr>
                  <w:widowControl w:val="0"/>
                  <w:tabs>
                    <w:tab w:val="left" w:pos="196"/>
                    <w:tab w:val="left" w:pos="426"/>
                  </w:tabs>
                  <w:snapToGrid w:val="0"/>
                  <w:jc w:val="right"/>
                  <w:rPr>
                    <w:sz w:val="20"/>
                    <w:szCs w:val="20"/>
                  </w:rPr>
                </w:pPr>
                <w:r>
                  <w:rPr>
                    <w:sz w:val="20"/>
                    <w:szCs w:val="20"/>
                  </w:rPr>
                  <w:t>1,445,000.00</w:t>
                </w:r>
              </w:p>
            </w:tc>
            <w:tc>
              <w:tcPr>
                <w:tcW w:w="1111" w:type="pct"/>
                <w:tcBorders>
                  <w:top w:val="dotted" w:sz="4" w:space="0" w:color="auto"/>
                  <w:left w:val="dotted" w:sz="4" w:space="0" w:color="auto"/>
                  <w:bottom w:val="dotted" w:sz="4" w:space="0" w:color="auto"/>
                  <w:right w:val="nil"/>
                </w:tcBorders>
                <w:vAlign w:val="center"/>
              </w:tcPr>
              <w:p w14:paraId="180FD2BA" w14:textId="77777777" w:rsidR="00E57DAA" w:rsidRDefault="00E57DAA">
                <w:pPr>
                  <w:widowControl w:val="0"/>
                  <w:tabs>
                    <w:tab w:val="left" w:pos="196"/>
                    <w:tab w:val="left" w:pos="426"/>
                  </w:tabs>
                  <w:snapToGrid w:val="0"/>
                  <w:jc w:val="center"/>
                  <w:rPr>
                    <w:sz w:val="20"/>
                    <w:szCs w:val="20"/>
                  </w:rPr>
                </w:pPr>
              </w:p>
            </w:tc>
          </w:tr>
          <w:tr w:rsidR="00E57DAA" w14:paraId="013B33D4" w14:textId="77777777">
            <w:trPr>
              <w:trHeight w:val="340"/>
            </w:trPr>
            <w:tc>
              <w:tcPr>
                <w:tcW w:w="1654" w:type="pct"/>
                <w:tcBorders>
                  <w:top w:val="dotted" w:sz="4" w:space="0" w:color="auto"/>
                  <w:left w:val="nil"/>
                  <w:bottom w:val="dotted" w:sz="4" w:space="0" w:color="auto"/>
                  <w:right w:val="dotted" w:sz="4" w:space="0" w:color="auto"/>
                </w:tcBorders>
                <w:vAlign w:val="center"/>
              </w:tcPr>
              <w:p w14:paraId="43527625" w14:textId="77777777" w:rsidR="00E57DAA" w:rsidRDefault="00AC4185">
                <w:pPr>
                  <w:widowControl w:val="0"/>
                  <w:tabs>
                    <w:tab w:val="left" w:pos="196"/>
                    <w:tab w:val="left" w:pos="426"/>
                  </w:tabs>
                  <w:snapToGrid w:val="0"/>
                  <w:rPr>
                    <w:sz w:val="20"/>
                    <w:szCs w:val="20"/>
                  </w:rPr>
                </w:pPr>
                <w:r>
                  <w:rPr>
                    <w:rFonts w:hint="eastAsia"/>
                    <w:sz w:val="20"/>
                    <w:szCs w:val="20"/>
                  </w:rPr>
                  <w:t>福利增长率</w:t>
                </w:r>
              </w:p>
            </w:tc>
            <w:tc>
              <w:tcPr>
                <w:tcW w:w="945" w:type="pct"/>
                <w:tcBorders>
                  <w:top w:val="dotted" w:sz="4" w:space="0" w:color="auto"/>
                  <w:left w:val="dotted" w:sz="4" w:space="0" w:color="auto"/>
                  <w:bottom w:val="dotted" w:sz="4" w:space="0" w:color="auto"/>
                  <w:right w:val="dotted" w:sz="4" w:space="0" w:color="auto"/>
                </w:tcBorders>
                <w:vAlign w:val="center"/>
              </w:tcPr>
              <w:p w14:paraId="4D8B51F7" w14:textId="77777777" w:rsidR="00E57DAA" w:rsidRDefault="00AC4185">
                <w:pPr>
                  <w:widowControl w:val="0"/>
                  <w:tabs>
                    <w:tab w:val="left" w:pos="196"/>
                    <w:tab w:val="left" w:pos="426"/>
                  </w:tabs>
                  <w:snapToGrid w:val="0"/>
                  <w:jc w:val="center"/>
                  <w:rPr>
                    <w:sz w:val="20"/>
                    <w:szCs w:val="20"/>
                  </w:rPr>
                </w:pPr>
                <w:r>
                  <w:rPr>
                    <w:rFonts w:hint="eastAsia"/>
                    <w:sz w:val="20"/>
                    <w:szCs w:val="20"/>
                  </w:rPr>
                  <w:t>增加</w:t>
                </w:r>
                <w:r>
                  <w:rPr>
                    <w:sz w:val="20"/>
                    <w:szCs w:val="20"/>
                  </w:rPr>
                  <w:t>0.5%</w:t>
                </w:r>
              </w:p>
            </w:tc>
            <w:tc>
              <w:tcPr>
                <w:tcW w:w="1290" w:type="pct"/>
                <w:tcBorders>
                  <w:top w:val="dotted" w:sz="4" w:space="0" w:color="auto"/>
                  <w:left w:val="dotted" w:sz="4" w:space="0" w:color="auto"/>
                  <w:bottom w:val="dotted" w:sz="4" w:space="0" w:color="auto"/>
                  <w:right w:val="dotted" w:sz="4" w:space="0" w:color="auto"/>
                </w:tcBorders>
                <w:vAlign w:val="center"/>
              </w:tcPr>
              <w:p w14:paraId="74D4597A" w14:textId="77777777" w:rsidR="00E57DAA" w:rsidRDefault="00AC4185">
                <w:pPr>
                  <w:widowControl w:val="0"/>
                  <w:tabs>
                    <w:tab w:val="left" w:pos="196"/>
                    <w:tab w:val="left" w:pos="426"/>
                  </w:tabs>
                  <w:snapToGrid w:val="0"/>
                  <w:jc w:val="right"/>
                  <w:rPr>
                    <w:sz w:val="20"/>
                    <w:szCs w:val="20"/>
                  </w:rPr>
                </w:pPr>
                <w:r>
                  <w:rPr>
                    <w:sz w:val="20"/>
                    <w:szCs w:val="20"/>
                  </w:rPr>
                  <w:t>1,464,000.00</w:t>
                </w:r>
              </w:p>
            </w:tc>
            <w:tc>
              <w:tcPr>
                <w:tcW w:w="1111" w:type="pct"/>
                <w:tcBorders>
                  <w:top w:val="dotted" w:sz="4" w:space="0" w:color="auto"/>
                  <w:left w:val="dotted" w:sz="4" w:space="0" w:color="auto"/>
                  <w:bottom w:val="dotted" w:sz="4" w:space="0" w:color="auto"/>
                  <w:right w:val="nil"/>
                </w:tcBorders>
                <w:vAlign w:val="center"/>
              </w:tcPr>
              <w:p w14:paraId="11799AFA" w14:textId="77777777" w:rsidR="00E57DAA" w:rsidRDefault="00E57DAA">
                <w:pPr>
                  <w:widowControl w:val="0"/>
                  <w:tabs>
                    <w:tab w:val="left" w:pos="196"/>
                    <w:tab w:val="left" w:pos="426"/>
                  </w:tabs>
                  <w:snapToGrid w:val="0"/>
                  <w:jc w:val="center"/>
                  <w:rPr>
                    <w:sz w:val="20"/>
                    <w:szCs w:val="20"/>
                  </w:rPr>
                </w:pPr>
              </w:p>
            </w:tc>
          </w:tr>
          <w:tr w:rsidR="00E57DAA" w14:paraId="27085169" w14:textId="77777777">
            <w:trPr>
              <w:trHeight w:val="340"/>
            </w:trPr>
            <w:tc>
              <w:tcPr>
                <w:tcW w:w="1654" w:type="pct"/>
                <w:tcBorders>
                  <w:top w:val="dotted" w:sz="4" w:space="0" w:color="auto"/>
                  <w:left w:val="nil"/>
                  <w:bottom w:val="single" w:sz="12" w:space="0" w:color="auto"/>
                  <w:right w:val="dotted" w:sz="4" w:space="0" w:color="auto"/>
                </w:tcBorders>
                <w:vAlign w:val="center"/>
              </w:tcPr>
              <w:p w14:paraId="573FF8AC" w14:textId="77777777" w:rsidR="00E57DAA" w:rsidRDefault="00AC4185">
                <w:pPr>
                  <w:widowControl w:val="0"/>
                  <w:tabs>
                    <w:tab w:val="left" w:pos="196"/>
                    <w:tab w:val="left" w:pos="426"/>
                  </w:tabs>
                  <w:snapToGrid w:val="0"/>
                  <w:rPr>
                    <w:sz w:val="20"/>
                    <w:szCs w:val="20"/>
                  </w:rPr>
                </w:pPr>
                <w:r>
                  <w:rPr>
                    <w:rFonts w:hint="eastAsia"/>
                    <w:sz w:val="20"/>
                    <w:szCs w:val="20"/>
                  </w:rPr>
                  <w:t>死亡率</w:t>
                </w:r>
              </w:p>
            </w:tc>
            <w:tc>
              <w:tcPr>
                <w:tcW w:w="945" w:type="pct"/>
                <w:tcBorders>
                  <w:top w:val="dotted" w:sz="4" w:space="0" w:color="auto"/>
                  <w:left w:val="dotted" w:sz="4" w:space="0" w:color="auto"/>
                  <w:bottom w:val="single" w:sz="12" w:space="0" w:color="auto"/>
                  <w:right w:val="dotted" w:sz="4" w:space="0" w:color="auto"/>
                </w:tcBorders>
                <w:vAlign w:val="center"/>
              </w:tcPr>
              <w:p w14:paraId="4C33C237" w14:textId="77777777" w:rsidR="00E57DAA" w:rsidRDefault="00AC4185">
                <w:pPr>
                  <w:widowControl w:val="0"/>
                  <w:tabs>
                    <w:tab w:val="left" w:pos="196"/>
                    <w:tab w:val="left" w:pos="426"/>
                  </w:tabs>
                  <w:snapToGrid w:val="0"/>
                  <w:jc w:val="center"/>
                  <w:rPr>
                    <w:sz w:val="20"/>
                    <w:szCs w:val="20"/>
                  </w:rPr>
                </w:pPr>
                <w:r>
                  <w:rPr>
                    <w:rFonts w:hint="eastAsia"/>
                    <w:sz w:val="20"/>
                    <w:szCs w:val="20"/>
                  </w:rPr>
                  <w:t>减少</w:t>
                </w:r>
                <w:r>
                  <w:rPr>
                    <w:sz w:val="20"/>
                    <w:szCs w:val="20"/>
                  </w:rPr>
                  <w:t>0.5%</w:t>
                </w:r>
              </w:p>
            </w:tc>
            <w:tc>
              <w:tcPr>
                <w:tcW w:w="1290" w:type="pct"/>
                <w:tcBorders>
                  <w:top w:val="dotted" w:sz="4" w:space="0" w:color="auto"/>
                  <w:left w:val="dotted" w:sz="4" w:space="0" w:color="auto"/>
                  <w:bottom w:val="single" w:sz="12" w:space="0" w:color="auto"/>
                  <w:right w:val="dotted" w:sz="4" w:space="0" w:color="auto"/>
                </w:tcBorders>
                <w:vAlign w:val="center"/>
              </w:tcPr>
              <w:p w14:paraId="78AE9437" w14:textId="77777777" w:rsidR="00E57DAA" w:rsidRDefault="00AC4185">
                <w:pPr>
                  <w:widowControl w:val="0"/>
                  <w:tabs>
                    <w:tab w:val="left" w:pos="196"/>
                    <w:tab w:val="left" w:pos="426"/>
                  </w:tabs>
                  <w:snapToGrid w:val="0"/>
                  <w:jc w:val="right"/>
                  <w:rPr>
                    <w:sz w:val="20"/>
                    <w:szCs w:val="20"/>
                  </w:rPr>
                </w:pPr>
                <w:r>
                  <w:rPr>
                    <w:sz w:val="20"/>
                    <w:szCs w:val="20"/>
                  </w:rPr>
                  <w:t>609,000.00</w:t>
                </w:r>
              </w:p>
            </w:tc>
            <w:tc>
              <w:tcPr>
                <w:tcW w:w="1111" w:type="pct"/>
                <w:tcBorders>
                  <w:top w:val="dotted" w:sz="4" w:space="0" w:color="auto"/>
                  <w:left w:val="dotted" w:sz="4" w:space="0" w:color="auto"/>
                  <w:bottom w:val="single" w:sz="12" w:space="0" w:color="auto"/>
                  <w:right w:val="nil"/>
                </w:tcBorders>
                <w:vAlign w:val="center"/>
              </w:tcPr>
              <w:p w14:paraId="5C78F2D2" w14:textId="77777777" w:rsidR="00E57DAA" w:rsidRDefault="00E57DAA">
                <w:pPr>
                  <w:widowControl w:val="0"/>
                  <w:tabs>
                    <w:tab w:val="left" w:pos="196"/>
                    <w:tab w:val="left" w:pos="426"/>
                  </w:tabs>
                  <w:snapToGrid w:val="0"/>
                  <w:jc w:val="center"/>
                  <w:rPr>
                    <w:sz w:val="20"/>
                    <w:szCs w:val="20"/>
                  </w:rPr>
                </w:pPr>
              </w:p>
            </w:tc>
          </w:tr>
        </w:tbl>
        <w:p w14:paraId="0527EAEF" w14:textId="77777777" w:rsidR="00E57DAA" w:rsidRDefault="00E57DAA">
          <w:pPr>
            <w:pStyle w:val="Style243"/>
            <w:widowControl w:val="0"/>
            <w:tabs>
              <w:tab w:val="clear" w:pos="714"/>
            </w:tabs>
            <w:spacing w:line="120" w:lineRule="auto"/>
            <w:ind w:left="420" w:firstLine="0"/>
            <w:outlineLvl w:val="9"/>
            <w:rPr>
              <w:sz w:val="20"/>
              <w:szCs w:val="20"/>
            </w:rPr>
          </w:pPr>
        </w:p>
        <w:p w14:paraId="676C98BB" w14:textId="77777777" w:rsidR="00E57DAA" w:rsidRDefault="00AC4185">
          <w:pPr>
            <w:pStyle w:val="Style242"/>
            <w:widowControl w:val="0"/>
            <w:snapToGrid w:val="0"/>
            <w:spacing w:beforeLines="50" w:before="120" w:line="360" w:lineRule="auto"/>
            <w:ind w:firstLineChars="202" w:firstLine="404"/>
            <w:jc w:val="both"/>
            <w:rPr>
              <w:rFonts w:ascii="宋体" w:hAnsi="宋体"/>
              <w:sz w:val="20"/>
              <w:szCs w:val="20"/>
            </w:rPr>
          </w:pPr>
          <w:r>
            <w:rPr>
              <w:rFonts w:ascii="宋体" w:hAnsi="宋体" w:hint="eastAsia"/>
              <w:sz w:val="20"/>
              <w:szCs w:val="20"/>
            </w:rPr>
            <w:t>2）本公司之二级子公司德国HAZEMAG公司为职工提供养老金的福利计划，精算所采用的主要假设如下：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946"/>
            <w:gridCol w:w="2235"/>
            <w:gridCol w:w="2652"/>
          </w:tblGrid>
          <w:tr w:rsidR="00E57DAA" w14:paraId="40A5E356" w14:textId="77777777">
            <w:trPr>
              <w:trHeight w:val="340"/>
            </w:trPr>
            <w:tc>
              <w:tcPr>
                <w:tcW w:w="2234" w:type="pct"/>
                <w:tcBorders>
                  <w:top w:val="single" w:sz="12" w:space="0" w:color="auto"/>
                  <w:left w:val="nil"/>
                  <w:bottom w:val="dotted" w:sz="4" w:space="0" w:color="auto"/>
                  <w:right w:val="dotted" w:sz="4" w:space="0" w:color="auto"/>
                </w:tcBorders>
                <w:vAlign w:val="center"/>
              </w:tcPr>
              <w:p w14:paraId="4C2C29D4" w14:textId="77777777" w:rsidR="00E57DAA" w:rsidRDefault="00AC4185">
                <w:pPr>
                  <w:widowControl w:val="0"/>
                  <w:tabs>
                    <w:tab w:val="left" w:pos="196"/>
                    <w:tab w:val="left" w:pos="426"/>
                  </w:tabs>
                  <w:snapToGrid w:val="0"/>
                  <w:jc w:val="center"/>
                  <w:rPr>
                    <w:sz w:val="20"/>
                    <w:szCs w:val="20"/>
                  </w:rPr>
                </w:pPr>
                <w:r>
                  <w:rPr>
                    <w:rFonts w:hint="eastAsia"/>
                    <w:sz w:val="20"/>
                    <w:szCs w:val="20"/>
                  </w:rPr>
                  <w:t>精算估计的重大假设</w:t>
                </w:r>
              </w:p>
            </w:tc>
            <w:tc>
              <w:tcPr>
                <w:tcW w:w="1265" w:type="pct"/>
                <w:tcBorders>
                  <w:top w:val="single" w:sz="12" w:space="0" w:color="auto"/>
                  <w:left w:val="dotted" w:sz="4" w:space="0" w:color="auto"/>
                  <w:bottom w:val="dotted" w:sz="4" w:space="0" w:color="auto"/>
                  <w:right w:val="dotted" w:sz="4" w:space="0" w:color="auto"/>
                </w:tcBorders>
                <w:vAlign w:val="center"/>
              </w:tcPr>
              <w:p w14:paraId="554D996F" w14:textId="77777777" w:rsidR="00E57DAA" w:rsidRDefault="00AC4185">
                <w:pPr>
                  <w:widowControl w:val="0"/>
                  <w:tabs>
                    <w:tab w:val="left" w:pos="196"/>
                    <w:tab w:val="left" w:pos="426"/>
                  </w:tabs>
                  <w:snapToGrid w:val="0"/>
                  <w:jc w:val="center"/>
                  <w:rPr>
                    <w:sz w:val="20"/>
                    <w:szCs w:val="20"/>
                  </w:rPr>
                </w:pPr>
                <w:r>
                  <w:rPr>
                    <w:rFonts w:hint="eastAsia"/>
                    <w:sz w:val="20"/>
                    <w:szCs w:val="20"/>
                  </w:rPr>
                  <w:t>本期期末</w:t>
                </w:r>
              </w:p>
            </w:tc>
            <w:tc>
              <w:tcPr>
                <w:tcW w:w="1501" w:type="pct"/>
                <w:tcBorders>
                  <w:top w:val="single" w:sz="12" w:space="0" w:color="auto"/>
                  <w:left w:val="dotted" w:sz="4" w:space="0" w:color="auto"/>
                  <w:bottom w:val="dotted" w:sz="4" w:space="0" w:color="auto"/>
                  <w:right w:val="nil"/>
                </w:tcBorders>
                <w:vAlign w:val="center"/>
              </w:tcPr>
              <w:p w14:paraId="1D0414FD" w14:textId="77777777" w:rsidR="00E57DAA" w:rsidRDefault="00AC4185">
                <w:pPr>
                  <w:widowControl w:val="0"/>
                  <w:tabs>
                    <w:tab w:val="left" w:pos="196"/>
                    <w:tab w:val="left" w:pos="426"/>
                  </w:tabs>
                  <w:snapToGrid w:val="0"/>
                  <w:jc w:val="center"/>
                  <w:rPr>
                    <w:sz w:val="20"/>
                    <w:szCs w:val="20"/>
                  </w:rPr>
                </w:pPr>
                <w:r>
                  <w:rPr>
                    <w:rFonts w:hint="eastAsia"/>
                    <w:sz w:val="20"/>
                    <w:szCs w:val="20"/>
                  </w:rPr>
                  <w:t>上期期末</w:t>
                </w:r>
              </w:p>
            </w:tc>
          </w:tr>
          <w:tr w:rsidR="00E57DAA" w14:paraId="77A6051D" w14:textId="77777777">
            <w:trPr>
              <w:trHeight w:val="340"/>
            </w:trPr>
            <w:tc>
              <w:tcPr>
                <w:tcW w:w="2234" w:type="pct"/>
                <w:tcBorders>
                  <w:top w:val="dotted" w:sz="4" w:space="0" w:color="auto"/>
                  <w:left w:val="nil"/>
                  <w:bottom w:val="dotted" w:sz="4" w:space="0" w:color="auto"/>
                  <w:right w:val="dotted" w:sz="4" w:space="0" w:color="auto"/>
                </w:tcBorders>
                <w:vAlign w:val="center"/>
              </w:tcPr>
              <w:p w14:paraId="370F2146" w14:textId="77777777" w:rsidR="00E57DAA" w:rsidRDefault="00AC4185">
                <w:pPr>
                  <w:widowControl w:val="0"/>
                  <w:tabs>
                    <w:tab w:val="left" w:pos="196"/>
                    <w:tab w:val="left" w:pos="426"/>
                  </w:tabs>
                  <w:snapToGrid w:val="0"/>
                  <w:rPr>
                    <w:sz w:val="20"/>
                    <w:szCs w:val="20"/>
                  </w:rPr>
                </w:pPr>
                <w:r>
                  <w:rPr>
                    <w:rFonts w:hint="eastAsia"/>
                    <w:sz w:val="20"/>
                    <w:szCs w:val="20"/>
                  </w:rPr>
                  <w:t>折现率</w:t>
                </w:r>
              </w:p>
            </w:tc>
            <w:tc>
              <w:tcPr>
                <w:tcW w:w="1265" w:type="pct"/>
                <w:tcBorders>
                  <w:top w:val="dotted" w:sz="4" w:space="0" w:color="auto"/>
                  <w:left w:val="dotted" w:sz="4" w:space="0" w:color="auto"/>
                  <w:bottom w:val="dotted" w:sz="4" w:space="0" w:color="auto"/>
                  <w:right w:val="dotted" w:sz="4" w:space="0" w:color="auto"/>
                </w:tcBorders>
                <w:vAlign w:val="center"/>
              </w:tcPr>
              <w:p w14:paraId="5A7C5BC3" w14:textId="77777777" w:rsidR="00E57DAA" w:rsidRDefault="00AC4185">
                <w:pPr>
                  <w:widowControl w:val="0"/>
                  <w:tabs>
                    <w:tab w:val="left" w:pos="196"/>
                    <w:tab w:val="left" w:pos="426"/>
                  </w:tabs>
                  <w:snapToGrid w:val="0"/>
                  <w:jc w:val="center"/>
                  <w:rPr>
                    <w:sz w:val="20"/>
                    <w:szCs w:val="20"/>
                  </w:rPr>
                </w:pPr>
                <w:r>
                  <w:rPr>
                    <w:sz w:val="20"/>
                    <w:szCs w:val="20"/>
                  </w:rPr>
                  <w:t>3.90%</w:t>
                </w:r>
              </w:p>
            </w:tc>
            <w:tc>
              <w:tcPr>
                <w:tcW w:w="1501" w:type="pct"/>
                <w:tcBorders>
                  <w:top w:val="dotted" w:sz="4" w:space="0" w:color="auto"/>
                  <w:left w:val="dotted" w:sz="4" w:space="0" w:color="auto"/>
                  <w:bottom w:val="dotted" w:sz="4" w:space="0" w:color="auto"/>
                  <w:right w:val="nil"/>
                </w:tcBorders>
                <w:vAlign w:val="center"/>
              </w:tcPr>
              <w:p w14:paraId="6FD91FCE"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3.48%</w:t>
                </w:r>
              </w:p>
            </w:tc>
          </w:tr>
          <w:tr w:rsidR="00E57DAA" w14:paraId="4FF61C86" w14:textId="77777777">
            <w:trPr>
              <w:trHeight w:val="340"/>
            </w:trPr>
            <w:tc>
              <w:tcPr>
                <w:tcW w:w="2234" w:type="pct"/>
                <w:tcBorders>
                  <w:top w:val="dotted" w:sz="4" w:space="0" w:color="auto"/>
                  <w:left w:val="nil"/>
                  <w:bottom w:val="dotted" w:sz="4" w:space="0" w:color="auto"/>
                  <w:right w:val="dotted" w:sz="4" w:space="0" w:color="auto"/>
                </w:tcBorders>
                <w:vAlign w:val="center"/>
              </w:tcPr>
              <w:p w14:paraId="371F1D4D" w14:textId="77777777" w:rsidR="00E57DAA" w:rsidRDefault="00AC4185">
                <w:pPr>
                  <w:widowControl w:val="0"/>
                  <w:tabs>
                    <w:tab w:val="left" w:pos="196"/>
                    <w:tab w:val="left" w:pos="426"/>
                  </w:tabs>
                  <w:snapToGrid w:val="0"/>
                  <w:rPr>
                    <w:sz w:val="20"/>
                    <w:szCs w:val="20"/>
                  </w:rPr>
                </w:pPr>
                <w:r>
                  <w:rPr>
                    <w:rFonts w:hint="eastAsia"/>
                    <w:sz w:val="20"/>
                    <w:szCs w:val="20"/>
                  </w:rPr>
                  <w:t>福利增值率</w:t>
                </w:r>
              </w:p>
            </w:tc>
            <w:tc>
              <w:tcPr>
                <w:tcW w:w="1265" w:type="pct"/>
                <w:tcBorders>
                  <w:top w:val="dotted" w:sz="4" w:space="0" w:color="auto"/>
                  <w:left w:val="dotted" w:sz="4" w:space="0" w:color="auto"/>
                  <w:bottom w:val="dotted" w:sz="4" w:space="0" w:color="auto"/>
                  <w:right w:val="dotted" w:sz="4" w:space="0" w:color="auto"/>
                </w:tcBorders>
                <w:vAlign w:val="center"/>
              </w:tcPr>
              <w:p w14:paraId="3FB3DEE0" w14:textId="77777777" w:rsidR="00E57DAA" w:rsidRDefault="00AC4185">
                <w:pPr>
                  <w:widowControl w:val="0"/>
                  <w:tabs>
                    <w:tab w:val="left" w:pos="196"/>
                    <w:tab w:val="left" w:pos="426"/>
                  </w:tabs>
                  <w:snapToGrid w:val="0"/>
                  <w:jc w:val="center"/>
                  <w:rPr>
                    <w:sz w:val="20"/>
                    <w:szCs w:val="20"/>
                  </w:rPr>
                </w:pPr>
                <w:r>
                  <w:rPr>
                    <w:sz w:val="20"/>
                    <w:szCs w:val="20"/>
                  </w:rPr>
                  <w:t>3.00%</w:t>
                </w:r>
              </w:p>
            </w:tc>
            <w:tc>
              <w:tcPr>
                <w:tcW w:w="1501" w:type="pct"/>
                <w:tcBorders>
                  <w:top w:val="dotted" w:sz="4" w:space="0" w:color="auto"/>
                  <w:left w:val="dotted" w:sz="4" w:space="0" w:color="auto"/>
                  <w:bottom w:val="dotted" w:sz="4" w:space="0" w:color="auto"/>
                  <w:right w:val="nil"/>
                </w:tcBorders>
                <w:vAlign w:val="center"/>
              </w:tcPr>
              <w:p w14:paraId="727A1149"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1.75%</w:t>
                </w:r>
              </w:p>
            </w:tc>
          </w:tr>
          <w:tr w:rsidR="00E57DAA" w14:paraId="7316DC07" w14:textId="77777777">
            <w:trPr>
              <w:trHeight w:val="340"/>
            </w:trPr>
            <w:tc>
              <w:tcPr>
                <w:tcW w:w="2234" w:type="pct"/>
                <w:tcBorders>
                  <w:top w:val="dotted" w:sz="4" w:space="0" w:color="auto"/>
                  <w:left w:val="nil"/>
                  <w:bottom w:val="single" w:sz="12" w:space="0" w:color="auto"/>
                  <w:right w:val="dotted" w:sz="4" w:space="0" w:color="auto"/>
                </w:tcBorders>
                <w:vAlign w:val="center"/>
              </w:tcPr>
              <w:p w14:paraId="2FB11606" w14:textId="77777777" w:rsidR="00E57DAA" w:rsidRDefault="00AC4185">
                <w:pPr>
                  <w:widowControl w:val="0"/>
                  <w:tabs>
                    <w:tab w:val="left" w:pos="196"/>
                    <w:tab w:val="left" w:pos="426"/>
                  </w:tabs>
                  <w:snapToGrid w:val="0"/>
                  <w:rPr>
                    <w:sz w:val="20"/>
                    <w:szCs w:val="20"/>
                  </w:rPr>
                </w:pPr>
                <w:r>
                  <w:rPr>
                    <w:rFonts w:hint="eastAsia"/>
                    <w:sz w:val="20"/>
                    <w:szCs w:val="20"/>
                  </w:rPr>
                  <w:t>补偿增长率</w:t>
                </w:r>
              </w:p>
            </w:tc>
            <w:tc>
              <w:tcPr>
                <w:tcW w:w="1265" w:type="pct"/>
                <w:tcBorders>
                  <w:top w:val="dotted" w:sz="4" w:space="0" w:color="auto"/>
                  <w:left w:val="dotted" w:sz="4" w:space="0" w:color="auto"/>
                  <w:bottom w:val="single" w:sz="12" w:space="0" w:color="auto"/>
                  <w:right w:val="dotted" w:sz="4" w:space="0" w:color="auto"/>
                </w:tcBorders>
                <w:vAlign w:val="center"/>
              </w:tcPr>
              <w:p w14:paraId="37A6B9C0" w14:textId="77777777" w:rsidR="00E57DAA" w:rsidRDefault="00AC4185">
                <w:pPr>
                  <w:widowControl w:val="0"/>
                  <w:tabs>
                    <w:tab w:val="left" w:pos="196"/>
                    <w:tab w:val="left" w:pos="426"/>
                  </w:tabs>
                  <w:snapToGrid w:val="0"/>
                  <w:jc w:val="center"/>
                  <w:rPr>
                    <w:sz w:val="20"/>
                    <w:szCs w:val="20"/>
                  </w:rPr>
                </w:pPr>
                <w:r>
                  <w:rPr>
                    <w:sz w:val="20"/>
                    <w:szCs w:val="20"/>
                  </w:rPr>
                  <w:t>2.00%</w:t>
                </w:r>
              </w:p>
            </w:tc>
            <w:tc>
              <w:tcPr>
                <w:tcW w:w="1501" w:type="pct"/>
                <w:tcBorders>
                  <w:top w:val="dotted" w:sz="4" w:space="0" w:color="auto"/>
                  <w:left w:val="dotted" w:sz="4" w:space="0" w:color="auto"/>
                  <w:bottom w:val="single" w:sz="12" w:space="0" w:color="auto"/>
                  <w:right w:val="nil"/>
                </w:tcBorders>
                <w:vAlign w:val="center"/>
              </w:tcPr>
              <w:p w14:paraId="1230BEDD"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2.00%</w:t>
                </w:r>
              </w:p>
            </w:tc>
          </w:tr>
        </w:tbl>
        <w:p w14:paraId="4F03FE24" w14:textId="77777777" w:rsidR="00E57DAA" w:rsidRDefault="00E57DAA">
          <w:pPr>
            <w:pStyle w:val="Style243"/>
            <w:widowControl w:val="0"/>
            <w:tabs>
              <w:tab w:val="clear" w:pos="714"/>
            </w:tabs>
            <w:spacing w:line="120" w:lineRule="auto"/>
            <w:ind w:left="420" w:firstLine="0"/>
            <w:outlineLvl w:val="9"/>
            <w:rPr>
              <w:sz w:val="20"/>
              <w:szCs w:val="20"/>
            </w:rPr>
          </w:pPr>
        </w:p>
        <w:p w14:paraId="67397FD2" w14:textId="77777777" w:rsidR="00E57DAA" w:rsidRDefault="00AC4185">
          <w:pPr>
            <w:pStyle w:val="Style242"/>
            <w:widowControl w:val="0"/>
            <w:snapToGrid w:val="0"/>
            <w:spacing w:beforeLines="50" w:before="120" w:line="360" w:lineRule="auto"/>
            <w:ind w:firstLineChars="202" w:firstLine="404"/>
            <w:jc w:val="both"/>
            <w:rPr>
              <w:rFonts w:ascii="宋体" w:hAnsi="宋体"/>
              <w:sz w:val="20"/>
              <w:szCs w:val="20"/>
            </w:rPr>
          </w:pPr>
          <w:r>
            <w:rPr>
              <w:rFonts w:ascii="宋体" w:hAnsi="宋体" w:hint="eastAsia"/>
              <w:sz w:val="20"/>
              <w:szCs w:val="20"/>
            </w:rPr>
            <w:t>本公司对上述指标的敏感性分析如下：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2561"/>
            <w:gridCol w:w="2180"/>
            <w:gridCol w:w="2046"/>
            <w:gridCol w:w="2046"/>
          </w:tblGrid>
          <w:tr w:rsidR="00E57DAA" w14:paraId="62EB2A76" w14:textId="77777777">
            <w:trPr>
              <w:trHeight w:val="340"/>
            </w:trPr>
            <w:tc>
              <w:tcPr>
                <w:tcW w:w="1450" w:type="pct"/>
                <w:vMerge w:val="restart"/>
                <w:tcBorders>
                  <w:top w:val="single" w:sz="12" w:space="0" w:color="auto"/>
                  <w:left w:val="nil"/>
                  <w:bottom w:val="dotted" w:sz="4" w:space="0" w:color="auto"/>
                  <w:right w:val="dotted" w:sz="4" w:space="0" w:color="auto"/>
                </w:tcBorders>
                <w:vAlign w:val="center"/>
              </w:tcPr>
              <w:p w14:paraId="23E985D7" w14:textId="77777777" w:rsidR="00E57DAA" w:rsidRDefault="00AC4185">
                <w:pPr>
                  <w:widowControl w:val="0"/>
                  <w:tabs>
                    <w:tab w:val="left" w:pos="196"/>
                    <w:tab w:val="left" w:pos="426"/>
                  </w:tabs>
                  <w:snapToGrid w:val="0"/>
                  <w:jc w:val="center"/>
                  <w:rPr>
                    <w:sz w:val="20"/>
                    <w:szCs w:val="20"/>
                  </w:rPr>
                </w:pPr>
                <w:r>
                  <w:rPr>
                    <w:rFonts w:hint="eastAsia"/>
                    <w:sz w:val="20"/>
                    <w:szCs w:val="20"/>
                  </w:rPr>
                  <w:t>精算估计的重大假设</w:t>
                </w:r>
              </w:p>
            </w:tc>
            <w:tc>
              <w:tcPr>
                <w:tcW w:w="1234" w:type="pct"/>
                <w:vMerge w:val="restart"/>
                <w:tcBorders>
                  <w:top w:val="single" w:sz="12" w:space="0" w:color="auto"/>
                  <w:left w:val="dotted" w:sz="4" w:space="0" w:color="auto"/>
                  <w:bottom w:val="dotted" w:sz="4" w:space="0" w:color="auto"/>
                  <w:right w:val="dotted" w:sz="4" w:space="0" w:color="auto"/>
                </w:tcBorders>
                <w:vAlign w:val="center"/>
              </w:tcPr>
              <w:p w14:paraId="50C047D2" w14:textId="77777777" w:rsidR="00E57DAA" w:rsidRDefault="00AC4185">
                <w:pPr>
                  <w:widowControl w:val="0"/>
                  <w:tabs>
                    <w:tab w:val="left" w:pos="196"/>
                    <w:tab w:val="left" w:pos="426"/>
                  </w:tabs>
                  <w:snapToGrid w:val="0"/>
                  <w:jc w:val="center"/>
                  <w:rPr>
                    <w:sz w:val="20"/>
                    <w:szCs w:val="20"/>
                  </w:rPr>
                </w:pPr>
                <w:r>
                  <w:rPr>
                    <w:rFonts w:hint="eastAsia"/>
                    <w:sz w:val="20"/>
                    <w:szCs w:val="20"/>
                  </w:rPr>
                  <w:t>假设变动幅度</w:t>
                </w:r>
              </w:p>
            </w:tc>
            <w:tc>
              <w:tcPr>
                <w:tcW w:w="2316" w:type="pct"/>
                <w:gridSpan w:val="2"/>
                <w:tcBorders>
                  <w:top w:val="single" w:sz="12" w:space="0" w:color="auto"/>
                  <w:left w:val="dotted" w:sz="4" w:space="0" w:color="auto"/>
                  <w:bottom w:val="dotted" w:sz="4" w:space="0" w:color="auto"/>
                  <w:right w:val="nil"/>
                </w:tcBorders>
                <w:vAlign w:val="center"/>
              </w:tcPr>
              <w:p w14:paraId="7B901E66" w14:textId="77777777" w:rsidR="00E57DAA" w:rsidRDefault="00AC4185">
                <w:pPr>
                  <w:widowControl w:val="0"/>
                  <w:tabs>
                    <w:tab w:val="left" w:pos="196"/>
                    <w:tab w:val="left" w:pos="426"/>
                  </w:tabs>
                  <w:snapToGrid w:val="0"/>
                  <w:jc w:val="center"/>
                  <w:rPr>
                    <w:sz w:val="20"/>
                    <w:szCs w:val="20"/>
                  </w:rPr>
                </w:pPr>
                <w:r>
                  <w:rPr>
                    <w:rFonts w:hint="eastAsia"/>
                    <w:sz w:val="20"/>
                    <w:szCs w:val="20"/>
                  </w:rPr>
                  <w:t>对期末设定受益计划现值的影响</w:t>
                </w:r>
              </w:p>
            </w:tc>
          </w:tr>
          <w:tr w:rsidR="00E57DAA" w14:paraId="52441E3E" w14:textId="77777777">
            <w:trPr>
              <w:trHeight w:val="340"/>
            </w:trPr>
            <w:tc>
              <w:tcPr>
                <w:tcW w:w="0" w:type="auto"/>
                <w:vMerge/>
                <w:tcBorders>
                  <w:top w:val="single" w:sz="12" w:space="0" w:color="auto"/>
                  <w:left w:val="nil"/>
                  <w:bottom w:val="dotted" w:sz="4" w:space="0" w:color="auto"/>
                  <w:right w:val="dotted" w:sz="4" w:space="0" w:color="auto"/>
                </w:tcBorders>
                <w:vAlign w:val="center"/>
              </w:tcPr>
              <w:p w14:paraId="72C8D0FF" w14:textId="77777777" w:rsidR="00E57DAA" w:rsidRDefault="00E57DAA">
                <w:pPr>
                  <w:rPr>
                    <w:sz w:val="20"/>
                    <w:szCs w:val="20"/>
                  </w:rPr>
                </w:pPr>
              </w:p>
            </w:tc>
            <w:tc>
              <w:tcPr>
                <w:tcW w:w="0" w:type="auto"/>
                <w:vMerge/>
                <w:tcBorders>
                  <w:top w:val="single" w:sz="12" w:space="0" w:color="auto"/>
                  <w:left w:val="dotted" w:sz="4" w:space="0" w:color="auto"/>
                  <w:bottom w:val="dotted" w:sz="4" w:space="0" w:color="auto"/>
                  <w:right w:val="dotted" w:sz="4" w:space="0" w:color="auto"/>
                </w:tcBorders>
                <w:vAlign w:val="center"/>
              </w:tcPr>
              <w:p w14:paraId="1D06C891" w14:textId="77777777" w:rsidR="00E57DAA" w:rsidRDefault="00E57DAA">
                <w:pPr>
                  <w:rPr>
                    <w:sz w:val="20"/>
                    <w:szCs w:val="20"/>
                  </w:rPr>
                </w:pPr>
              </w:p>
            </w:tc>
            <w:tc>
              <w:tcPr>
                <w:tcW w:w="1158" w:type="pct"/>
                <w:tcBorders>
                  <w:top w:val="dotted" w:sz="4" w:space="0" w:color="auto"/>
                  <w:left w:val="dotted" w:sz="4" w:space="0" w:color="auto"/>
                  <w:bottom w:val="dotted" w:sz="4" w:space="0" w:color="auto"/>
                  <w:right w:val="dotted" w:sz="4" w:space="0" w:color="auto"/>
                </w:tcBorders>
                <w:vAlign w:val="center"/>
              </w:tcPr>
              <w:p w14:paraId="284914F4" w14:textId="77777777" w:rsidR="00E57DAA" w:rsidRDefault="00AC4185">
                <w:pPr>
                  <w:widowControl w:val="0"/>
                  <w:tabs>
                    <w:tab w:val="left" w:pos="196"/>
                    <w:tab w:val="left" w:pos="426"/>
                  </w:tabs>
                  <w:snapToGrid w:val="0"/>
                  <w:jc w:val="center"/>
                  <w:rPr>
                    <w:sz w:val="20"/>
                    <w:szCs w:val="20"/>
                  </w:rPr>
                </w:pPr>
                <w:r>
                  <w:rPr>
                    <w:rFonts w:hint="eastAsia"/>
                    <w:sz w:val="20"/>
                    <w:szCs w:val="20"/>
                  </w:rPr>
                  <w:t>假设增加</w:t>
                </w:r>
              </w:p>
            </w:tc>
            <w:tc>
              <w:tcPr>
                <w:tcW w:w="1158" w:type="pct"/>
                <w:tcBorders>
                  <w:top w:val="dotted" w:sz="4" w:space="0" w:color="auto"/>
                  <w:left w:val="dotted" w:sz="4" w:space="0" w:color="auto"/>
                  <w:bottom w:val="dotted" w:sz="4" w:space="0" w:color="auto"/>
                  <w:right w:val="nil"/>
                </w:tcBorders>
                <w:vAlign w:val="center"/>
              </w:tcPr>
              <w:p w14:paraId="16B5A9E9" w14:textId="77777777" w:rsidR="00E57DAA" w:rsidRDefault="00AC4185">
                <w:pPr>
                  <w:widowControl w:val="0"/>
                  <w:tabs>
                    <w:tab w:val="left" w:pos="196"/>
                    <w:tab w:val="left" w:pos="426"/>
                  </w:tabs>
                  <w:snapToGrid w:val="0"/>
                  <w:jc w:val="center"/>
                  <w:rPr>
                    <w:sz w:val="20"/>
                    <w:szCs w:val="20"/>
                  </w:rPr>
                </w:pPr>
                <w:r>
                  <w:rPr>
                    <w:rFonts w:hint="eastAsia"/>
                    <w:sz w:val="20"/>
                    <w:szCs w:val="20"/>
                  </w:rPr>
                  <w:t>假设减少</w:t>
                </w:r>
              </w:p>
            </w:tc>
          </w:tr>
          <w:tr w:rsidR="00E57DAA" w14:paraId="574A4FD6" w14:textId="77777777">
            <w:trPr>
              <w:trHeight w:val="340"/>
            </w:trPr>
            <w:tc>
              <w:tcPr>
                <w:tcW w:w="1450" w:type="pct"/>
                <w:vMerge w:val="restart"/>
                <w:tcBorders>
                  <w:top w:val="dotted" w:sz="4" w:space="0" w:color="auto"/>
                  <w:left w:val="nil"/>
                  <w:bottom w:val="dotted" w:sz="4" w:space="0" w:color="auto"/>
                  <w:right w:val="dotted" w:sz="4" w:space="0" w:color="auto"/>
                </w:tcBorders>
                <w:vAlign w:val="center"/>
              </w:tcPr>
              <w:p w14:paraId="1A491F1F" w14:textId="77777777" w:rsidR="00E57DAA" w:rsidRDefault="00AC4185">
                <w:pPr>
                  <w:widowControl w:val="0"/>
                  <w:tabs>
                    <w:tab w:val="left" w:pos="196"/>
                    <w:tab w:val="left" w:pos="426"/>
                  </w:tabs>
                  <w:snapToGrid w:val="0"/>
                  <w:rPr>
                    <w:sz w:val="20"/>
                    <w:szCs w:val="20"/>
                  </w:rPr>
                </w:pPr>
                <w:r>
                  <w:rPr>
                    <w:rFonts w:hint="eastAsia"/>
                    <w:sz w:val="20"/>
                    <w:szCs w:val="20"/>
                  </w:rPr>
                  <w:t>折现率</w:t>
                </w:r>
                <w:r>
                  <w:rPr>
                    <w:sz w:val="20"/>
                    <w:szCs w:val="20"/>
                  </w:rPr>
                  <w:t>(%)</w:t>
                </w:r>
              </w:p>
            </w:tc>
            <w:tc>
              <w:tcPr>
                <w:tcW w:w="1234" w:type="pct"/>
                <w:tcBorders>
                  <w:top w:val="dotted" w:sz="4" w:space="0" w:color="auto"/>
                  <w:left w:val="dotted" w:sz="4" w:space="0" w:color="auto"/>
                  <w:bottom w:val="dotted" w:sz="4" w:space="0" w:color="auto"/>
                  <w:right w:val="dotted" w:sz="4" w:space="0" w:color="auto"/>
                </w:tcBorders>
                <w:vAlign w:val="center"/>
              </w:tcPr>
              <w:p w14:paraId="023B9FA3" w14:textId="77777777" w:rsidR="00E57DAA" w:rsidRDefault="00AC4185">
                <w:pPr>
                  <w:widowControl w:val="0"/>
                  <w:tabs>
                    <w:tab w:val="left" w:pos="196"/>
                    <w:tab w:val="left" w:pos="426"/>
                  </w:tabs>
                  <w:snapToGrid w:val="0"/>
                  <w:jc w:val="center"/>
                  <w:rPr>
                    <w:sz w:val="20"/>
                    <w:szCs w:val="20"/>
                  </w:rPr>
                </w:pPr>
                <w:r>
                  <w:rPr>
                    <w:rFonts w:hint="eastAsia"/>
                    <w:sz w:val="20"/>
                    <w:szCs w:val="20"/>
                  </w:rPr>
                  <w:t>增加</w:t>
                </w:r>
                <w:r>
                  <w:rPr>
                    <w:sz w:val="20"/>
                    <w:szCs w:val="20"/>
                  </w:rPr>
                  <w:t>0.5%</w:t>
                </w:r>
              </w:p>
            </w:tc>
            <w:tc>
              <w:tcPr>
                <w:tcW w:w="1158" w:type="pct"/>
                <w:tcBorders>
                  <w:top w:val="dotted" w:sz="4" w:space="0" w:color="auto"/>
                  <w:left w:val="dotted" w:sz="4" w:space="0" w:color="auto"/>
                  <w:bottom w:val="dotted" w:sz="4" w:space="0" w:color="auto"/>
                  <w:right w:val="dotted" w:sz="4" w:space="0" w:color="auto"/>
                </w:tcBorders>
                <w:vAlign w:val="center"/>
              </w:tcPr>
              <w:p w14:paraId="4467EC9B" w14:textId="77777777" w:rsidR="00E57DAA" w:rsidRDefault="00E57DAA">
                <w:pPr>
                  <w:widowControl w:val="0"/>
                  <w:tabs>
                    <w:tab w:val="left" w:pos="196"/>
                    <w:tab w:val="left" w:pos="426"/>
                  </w:tabs>
                  <w:snapToGrid w:val="0"/>
                  <w:jc w:val="right"/>
                  <w:rPr>
                    <w:sz w:val="20"/>
                    <w:szCs w:val="20"/>
                  </w:rPr>
                </w:pPr>
              </w:p>
            </w:tc>
            <w:tc>
              <w:tcPr>
                <w:tcW w:w="1158" w:type="pct"/>
                <w:tcBorders>
                  <w:top w:val="dotted" w:sz="4" w:space="0" w:color="auto"/>
                  <w:left w:val="dotted" w:sz="4" w:space="0" w:color="auto"/>
                  <w:bottom w:val="dotted" w:sz="4" w:space="0" w:color="auto"/>
                  <w:right w:val="nil"/>
                </w:tcBorders>
                <w:vAlign w:val="center"/>
              </w:tcPr>
              <w:p w14:paraId="61ECDF95" w14:textId="77777777" w:rsidR="00E57DAA" w:rsidRDefault="00AC4185">
                <w:pPr>
                  <w:widowControl w:val="0"/>
                  <w:tabs>
                    <w:tab w:val="left" w:pos="196"/>
                    <w:tab w:val="left" w:pos="426"/>
                  </w:tabs>
                  <w:snapToGrid w:val="0"/>
                  <w:jc w:val="right"/>
                  <w:rPr>
                    <w:sz w:val="20"/>
                    <w:szCs w:val="20"/>
                  </w:rPr>
                </w:pPr>
                <w:r>
                  <w:rPr>
                    <w:sz w:val="20"/>
                    <w:szCs w:val="20"/>
                  </w:rPr>
                  <w:t>1,045,273.60</w:t>
                </w:r>
              </w:p>
            </w:tc>
          </w:tr>
          <w:tr w:rsidR="00E57DAA" w14:paraId="6E25180D" w14:textId="77777777">
            <w:trPr>
              <w:trHeight w:val="340"/>
            </w:trPr>
            <w:tc>
              <w:tcPr>
                <w:tcW w:w="0" w:type="auto"/>
                <w:vMerge/>
                <w:tcBorders>
                  <w:top w:val="dotted" w:sz="4" w:space="0" w:color="auto"/>
                  <w:left w:val="nil"/>
                  <w:bottom w:val="dotted" w:sz="4" w:space="0" w:color="auto"/>
                  <w:right w:val="dotted" w:sz="4" w:space="0" w:color="auto"/>
                </w:tcBorders>
                <w:vAlign w:val="center"/>
              </w:tcPr>
              <w:p w14:paraId="58E5B67B" w14:textId="77777777" w:rsidR="00E57DAA" w:rsidRDefault="00E57DAA">
                <w:pPr>
                  <w:rPr>
                    <w:sz w:val="20"/>
                    <w:szCs w:val="20"/>
                  </w:rPr>
                </w:pPr>
              </w:p>
            </w:tc>
            <w:tc>
              <w:tcPr>
                <w:tcW w:w="1234" w:type="pct"/>
                <w:tcBorders>
                  <w:top w:val="dotted" w:sz="4" w:space="0" w:color="auto"/>
                  <w:left w:val="dotted" w:sz="4" w:space="0" w:color="auto"/>
                  <w:bottom w:val="dotted" w:sz="4" w:space="0" w:color="auto"/>
                  <w:right w:val="dotted" w:sz="4" w:space="0" w:color="auto"/>
                </w:tcBorders>
                <w:vAlign w:val="center"/>
              </w:tcPr>
              <w:p w14:paraId="7F96828B" w14:textId="77777777" w:rsidR="00E57DAA" w:rsidRDefault="00AC4185">
                <w:pPr>
                  <w:widowControl w:val="0"/>
                  <w:tabs>
                    <w:tab w:val="left" w:pos="196"/>
                    <w:tab w:val="left" w:pos="426"/>
                  </w:tabs>
                  <w:snapToGrid w:val="0"/>
                  <w:jc w:val="center"/>
                  <w:rPr>
                    <w:sz w:val="20"/>
                    <w:szCs w:val="20"/>
                  </w:rPr>
                </w:pPr>
                <w:r>
                  <w:rPr>
                    <w:rFonts w:hint="eastAsia"/>
                    <w:sz w:val="20"/>
                    <w:szCs w:val="20"/>
                  </w:rPr>
                  <w:t>减少</w:t>
                </w:r>
                <w:r>
                  <w:rPr>
                    <w:sz w:val="20"/>
                    <w:szCs w:val="20"/>
                  </w:rPr>
                  <w:t>0.5%</w:t>
                </w:r>
              </w:p>
            </w:tc>
            <w:tc>
              <w:tcPr>
                <w:tcW w:w="1158" w:type="pct"/>
                <w:tcBorders>
                  <w:top w:val="dotted" w:sz="4" w:space="0" w:color="auto"/>
                  <w:left w:val="dotted" w:sz="4" w:space="0" w:color="auto"/>
                  <w:bottom w:val="dotted" w:sz="4" w:space="0" w:color="auto"/>
                  <w:right w:val="dotted" w:sz="4" w:space="0" w:color="auto"/>
                </w:tcBorders>
                <w:vAlign w:val="center"/>
              </w:tcPr>
              <w:p w14:paraId="4C1B03FC" w14:textId="77777777" w:rsidR="00E57DAA" w:rsidRDefault="00AC4185">
                <w:pPr>
                  <w:widowControl w:val="0"/>
                  <w:tabs>
                    <w:tab w:val="left" w:pos="196"/>
                    <w:tab w:val="left" w:pos="426"/>
                  </w:tabs>
                  <w:snapToGrid w:val="0"/>
                  <w:jc w:val="right"/>
                  <w:rPr>
                    <w:sz w:val="20"/>
                    <w:szCs w:val="20"/>
                  </w:rPr>
                </w:pPr>
                <w:r>
                  <w:rPr>
                    <w:sz w:val="20"/>
                    <w:szCs w:val="20"/>
                  </w:rPr>
                  <w:t>1,155,302.40</w:t>
                </w:r>
              </w:p>
            </w:tc>
            <w:tc>
              <w:tcPr>
                <w:tcW w:w="1158" w:type="pct"/>
                <w:tcBorders>
                  <w:top w:val="dotted" w:sz="4" w:space="0" w:color="auto"/>
                  <w:left w:val="dotted" w:sz="4" w:space="0" w:color="auto"/>
                  <w:bottom w:val="dotted" w:sz="4" w:space="0" w:color="auto"/>
                  <w:right w:val="nil"/>
                </w:tcBorders>
                <w:vAlign w:val="center"/>
              </w:tcPr>
              <w:p w14:paraId="4374AD31" w14:textId="77777777" w:rsidR="00E57DAA" w:rsidRDefault="00E57DAA">
                <w:pPr>
                  <w:widowControl w:val="0"/>
                  <w:tabs>
                    <w:tab w:val="left" w:pos="196"/>
                    <w:tab w:val="left" w:pos="426"/>
                  </w:tabs>
                  <w:snapToGrid w:val="0"/>
                  <w:jc w:val="right"/>
                  <w:rPr>
                    <w:sz w:val="20"/>
                    <w:szCs w:val="20"/>
                  </w:rPr>
                </w:pPr>
              </w:p>
            </w:tc>
          </w:tr>
          <w:tr w:rsidR="00E57DAA" w14:paraId="0BBC574B" w14:textId="77777777">
            <w:trPr>
              <w:trHeight w:val="340"/>
            </w:trPr>
            <w:tc>
              <w:tcPr>
                <w:tcW w:w="1450" w:type="pct"/>
                <w:vMerge w:val="restart"/>
                <w:tcBorders>
                  <w:top w:val="dotted" w:sz="4" w:space="0" w:color="auto"/>
                  <w:left w:val="nil"/>
                  <w:bottom w:val="single" w:sz="12" w:space="0" w:color="auto"/>
                  <w:right w:val="dotted" w:sz="4" w:space="0" w:color="auto"/>
                </w:tcBorders>
                <w:vAlign w:val="center"/>
              </w:tcPr>
              <w:p w14:paraId="2018901A" w14:textId="77777777" w:rsidR="00E57DAA" w:rsidRDefault="00AC4185">
                <w:pPr>
                  <w:widowControl w:val="0"/>
                  <w:tabs>
                    <w:tab w:val="left" w:pos="196"/>
                    <w:tab w:val="left" w:pos="426"/>
                  </w:tabs>
                  <w:snapToGrid w:val="0"/>
                  <w:rPr>
                    <w:sz w:val="20"/>
                    <w:szCs w:val="20"/>
                  </w:rPr>
                </w:pPr>
                <w:r>
                  <w:rPr>
                    <w:rFonts w:hint="eastAsia"/>
                    <w:sz w:val="20"/>
                    <w:szCs w:val="20"/>
                  </w:rPr>
                  <w:t>寿命</w:t>
                </w:r>
              </w:p>
            </w:tc>
            <w:tc>
              <w:tcPr>
                <w:tcW w:w="1234" w:type="pct"/>
                <w:tcBorders>
                  <w:top w:val="dotted" w:sz="4" w:space="0" w:color="auto"/>
                  <w:left w:val="dotted" w:sz="4" w:space="0" w:color="auto"/>
                  <w:bottom w:val="dotted" w:sz="4" w:space="0" w:color="auto"/>
                  <w:right w:val="dotted" w:sz="4" w:space="0" w:color="auto"/>
                </w:tcBorders>
                <w:vAlign w:val="center"/>
              </w:tcPr>
              <w:p w14:paraId="695D0624" w14:textId="77777777" w:rsidR="00E57DAA" w:rsidRDefault="00AC4185">
                <w:pPr>
                  <w:widowControl w:val="0"/>
                  <w:tabs>
                    <w:tab w:val="left" w:pos="196"/>
                    <w:tab w:val="left" w:pos="426"/>
                  </w:tabs>
                  <w:snapToGrid w:val="0"/>
                  <w:jc w:val="center"/>
                  <w:rPr>
                    <w:sz w:val="20"/>
                    <w:szCs w:val="20"/>
                  </w:rPr>
                </w:pPr>
                <w:r>
                  <w:rPr>
                    <w:rFonts w:hint="eastAsia"/>
                    <w:sz w:val="20"/>
                    <w:szCs w:val="20"/>
                  </w:rPr>
                  <w:t>增加</w:t>
                </w:r>
                <w:r>
                  <w:rPr>
                    <w:sz w:val="20"/>
                    <w:szCs w:val="20"/>
                  </w:rPr>
                  <w:t>1</w:t>
                </w:r>
                <w:r>
                  <w:rPr>
                    <w:rFonts w:hint="eastAsia"/>
                    <w:sz w:val="20"/>
                    <w:szCs w:val="20"/>
                  </w:rPr>
                  <w:t>年</w:t>
                </w:r>
              </w:p>
            </w:tc>
            <w:tc>
              <w:tcPr>
                <w:tcW w:w="1158" w:type="pct"/>
                <w:tcBorders>
                  <w:top w:val="dotted" w:sz="4" w:space="0" w:color="auto"/>
                  <w:left w:val="dotted" w:sz="4" w:space="0" w:color="auto"/>
                  <w:bottom w:val="dotted" w:sz="4" w:space="0" w:color="auto"/>
                  <w:right w:val="dotted" w:sz="4" w:space="0" w:color="auto"/>
                </w:tcBorders>
                <w:vAlign w:val="center"/>
              </w:tcPr>
              <w:p w14:paraId="30C184F8" w14:textId="77777777" w:rsidR="00E57DAA" w:rsidRDefault="00AC4185">
                <w:pPr>
                  <w:widowControl w:val="0"/>
                  <w:tabs>
                    <w:tab w:val="left" w:pos="196"/>
                    <w:tab w:val="left" w:pos="426"/>
                  </w:tabs>
                  <w:snapToGrid w:val="0"/>
                  <w:jc w:val="right"/>
                  <w:rPr>
                    <w:sz w:val="20"/>
                    <w:szCs w:val="20"/>
                  </w:rPr>
                </w:pPr>
                <w:r>
                  <w:rPr>
                    <w:sz w:val="20"/>
                    <w:szCs w:val="20"/>
                  </w:rPr>
                  <w:t>707,328.00</w:t>
                </w:r>
              </w:p>
            </w:tc>
            <w:tc>
              <w:tcPr>
                <w:tcW w:w="1158" w:type="pct"/>
                <w:tcBorders>
                  <w:top w:val="dotted" w:sz="4" w:space="0" w:color="auto"/>
                  <w:left w:val="dotted" w:sz="4" w:space="0" w:color="auto"/>
                  <w:bottom w:val="dotted" w:sz="4" w:space="0" w:color="auto"/>
                  <w:right w:val="nil"/>
                </w:tcBorders>
                <w:vAlign w:val="center"/>
              </w:tcPr>
              <w:p w14:paraId="0B16FB88" w14:textId="77777777" w:rsidR="00E57DAA" w:rsidRDefault="00E57DAA">
                <w:pPr>
                  <w:widowControl w:val="0"/>
                  <w:tabs>
                    <w:tab w:val="left" w:pos="196"/>
                    <w:tab w:val="left" w:pos="426"/>
                  </w:tabs>
                  <w:snapToGrid w:val="0"/>
                  <w:jc w:val="right"/>
                  <w:rPr>
                    <w:sz w:val="20"/>
                    <w:szCs w:val="20"/>
                  </w:rPr>
                </w:pPr>
              </w:p>
            </w:tc>
          </w:tr>
          <w:tr w:rsidR="00E57DAA" w14:paraId="41927600" w14:textId="77777777">
            <w:trPr>
              <w:trHeight w:val="340"/>
            </w:trPr>
            <w:tc>
              <w:tcPr>
                <w:tcW w:w="0" w:type="auto"/>
                <w:vMerge/>
                <w:tcBorders>
                  <w:top w:val="dotted" w:sz="4" w:space="0" w:color="auto"/>
                  <w:left w:val="nil"/>
                  <w:bottom w:val="single" w:sz="12" w:space="0" w:color="auto"/>
                  <w:right w:val="dotted" w:sz="4" w:space="0" w:color="auto"/>
                </w:tcBorders>
                <w:vAlign w:val="center"/>
              </w:tcPr>
              <w:p w14:paraId="536D8547" w14:textId="77777777" w:rsidR="00E57DAA" w:rsidRDefault="00E57DAA">
                <w:pPr>
                  <w:rPr>
                    <w:sz w:val="20"/>
                    <w:szCs w:val="20"/>
                  </w:rPr>
                </w:pPr>
              </w:p>
            </w:tc>
            <w:tc>
              <w:tcPr>
                <w:tcW w:w="1234" w:type="pct"/>
                <w:tcBorders>
                  <w:top w:val="dotted" w:sz="4" w:space="0" w:color="auto"/>
                  <w:left w:val="dotted" w:sz="4" w:space="0" w:color="auto"/>
                  <w:bottom w:val="single" w:sz="12" w:space="0" w:color="auto"/>
                  <w:right w:val="dotted" w:sz="4" w:space="0" w:color="auto"/>
                </w:tcBorders>
                <w:vAlign w:val="center"/>
              </w:tcPr>
              <w:p w14:paraId="2B9ED501" w14:textId="77777777" w:rsidR="00E57DAA" w:rsidRDefault="00AC4185">
                <w:pPr>
                  <w:widowControl w:val="0"/>
                  <w:tabs>
                    <w:tab w:val="left" w:pos="196"/>
                    <w:tab w:val="left" w:pos="426"/>
                  </w:tabs>
                  <w:snapToGrid w:val="0"/>
                  <w:jc w:val="center"/>
                  <w:rPr>
                    <w:sz w:val="20"/>
                    <w:szCs w:val="20"/>
                  </w:rPr>
                </w:pPr>
                <w:r>
                  <w:rPr>
                    <w:rFonts w:hint="eastAsia"/>
                    <w:sz w:val="20"/>
                    <w:szCs w:val="20"/>
                  </w:rPr>
                  <w:t>减少</w:t>
                </w:r>
                <w:r>
                  <w:rPr>
                    <w:sz w:val="20"/>
                    <w:szCs w:val="20"/>
                  </w:rPr>
                  <w:t>1</w:t>
                </w:r>
                <w:r>
                  <w:rPr>
                    <w:rFonts w:hint="eastAsia"/>
                    <w:sz w:val="20"/>
                    <w:szCs w:val="20"/>
                  </w:rPr>
                  <w:t>年</w:t>
                </w:r>
              </w:p>
            </w:tc>
            <w:tc>
              <w:tcPr>
                <w:tcW w:w="1158" w:type="pct"/>
                <w:tcBorders>
                  <w:top w:val="dotted" w:sz="4" w:space="0" w:color="auto"/>
                  <w:left w:val="dotted" w:sz="4" w:space="0" w:color="auto"/>
                  <w:bottom w:val="single" w:sz="12" w:space="0" w:color="auto"/>
                  <w:right w:val="dotted" w:sz="4" w:space="0" w:color="auto"/>
                </w:tcBorders>
                <w:vAlign w:val="center"/>
              </w:tcPr>
              <w:p w14:paraId="075E4389" w14:textId="77777777" w:rsidR="00E57DAA" w:rsidRDefault="00E57DAA">
                <w:pPr>
                  <w:widowControl w:val="0"/>
                  <w:tabs>
                    <w:tab w:val="left" w:pos="196"/>
                    <w:tab w:val="left" w:pos="426"/>
                  </w:tabs>
                  <w:snapToGrid w:val="0"/>
                  <w:jc w:val="right"/>
                  <w:rPr>
                    <w:sz w:val="20"/>
                    <w:szCs w:val="20"/>
                  </w:rPr>
                </w:pPr>
              </w:p>
            </w:tc>
            <w:tc>
              <w:tcPr>
                <w:tcW w:w="1158" w:type="pct"/>
                <w:tcBorders>
                  <w:top w:val="dotted" w:sz="4" w:space="0" w:color="auto"/>
                  <w:left w:val="dotted" w:sz="4" w:space="0" w:color="auto"/>
                  <w:bottom w:val="single" w:sz="12" w:space="0" w:color="auto"/>
                  <w:right w:val="nil"/>
                </w:tcBorders>
                <w:vAlign w:val="center"/>
              </w:tcPr>
              <w:p w14:paraId="46518CC7" w14:textId="77777777" w:rsidR="00E57DAA" w:rsidRDefault="00AC4185">
                <w:pPr>
                  <w:widowControl w:val="0"/>
                  <w:tabs>
                    <w:tab w:val="left" w:pos="196"/>
                    <w:tab w:val="left" w:pos="426"/>
                  </w:tabs>
                  <w:snapToGrid w:val="0"/>
                  <w:jc w:val="right"/>
                  <w:rPr>
                    <w:sz w:val="20"/>
                    <w:szCs w:val="20"/>
                  </w:rPr>
                </w:pPr>
                <w:r>
                  <w:rPr>
                    <w:sz w:val="20"/>
                    <w:szCs w:val="20"/>
                  </w:rPr>
                  <w:t>707.328.00</w:t>
                </w:r>
              </w:p>
            </w:tc>
          </w:tr>
        </w:tbl>
        <w:p w14:paraId="2AC5B152" w14:textId="77777777" w:rsidR="00E57DAA" w:rsidRDefault="00E57DAA">
          <w:pPr>
            <w:pStyle w:val="Style243"/>
            <w:widowControl w:val="0"/>
            <w:tabs>
              <w:tab w:val="clear" w:pos="714"/>
            </w:tabs>
            <w:spacing w:line="120" w:lineRule="auto"/>
            <w:ind w:left="420" w:firstLine="0"/>
            <w:outlineLvl w:val="9"/>
            <w:rPr>
              <w:sz w:val="20"/>
              <w:szCs w:val="20"/>
            </w:rPr>
          </w:pPr>
        </w:p>
        <w:p w14:paraId="7D307006" w14:textId="77777777" w:rsidR="00E57DAA" w:rsidRDefault="00AC4185">
          <w:pPr>
            <w:pStyle w:val="Style242"/>
            <w:widowControl w:val="0"/>
            <w:snapToGrid w:val="0"/>
            <w:spacing w:beforeLines="50" w:before="120" w:line="360" w:lineRule="auto"/>
            <w:ind w:firstLineChars="202" w:firstLine="404"/>
            <w:jc w:val="both"/>
            <w:rPr>
              <w:rFonts w:ascii="宋体" w:hAnsi="宋体"/>
              <w:sz w:val="20"/>
              <w:szCs w:val="20"/>
            </w:rPr>
          </w:pPr>
          <w:r>
            <w:rPr>
              <w:rFonts w:ascii="宋体" w:hAnsi="宋体" w:hint="eastAsia"/>
              <w:sz w:val="20"/>
              <w:szCs w:val="20"/>
            </w:rPr>
            <w:t>3）本公司之二级子公司合肥水泥研究设计院有限公司为职工提供养老金、辞退福利的福利计划，精算所采用的主要假设如下: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763"/>
            <w:gridCol w:w="2537"/>
            <w:gridCol w:w="2533"/>
          </w:tblGrid>
          <w:tr w:rsidR="00E57DAA" w14:paraId="765721F7" w14:textId="77777777">
            <w:trPr>
              <w:trHeight w:val="340"/>
            </w:trPr>
            <w:tc>
              <w:tcPr>
                <w:tcW w:w="2130" w:type="pct"/>
                <w:tcBorders>
                  <w:top w:val="single" w:sz="12" w:space="0" w:color="auto"/>
                  <w:left w:val="nil"/>
                  <w:bottom w:val="dotted" w:sz="4" w:space="0" w:color="auto"/>
                  <w:right w:val="dotted" w:sz="4" w:space="0" w:color="auto"/>
                </w:tcBorders>
                <w:vAlign w:val="center"/>
              </w:tcPr>
              <w:p w14:paraId="4646A332" w14:textId="77777777" w:rsidR="00E57DAA" w:rsidRDefault="00AC4185">
                <w:pPr>
                  <w:widowControl w:val="0"/>
                  <w:tabs>
                    <w:tab w:val="left" w:pos="196"/>
                    <w:tab w:val="left" w:pos="426"/>
                  </w:tabs>
                  <w:snapToGrid w:val="0"/>
                  <w:jc w:val="center"/>
                  <w:rPr>
                    <w:sz w:val="20"/>
                    <w:szCs w:val="20"/>
                  </w:rPr>
                </w:pPr>
                <w:r>
                  <w:rPr>
                    <w:rFonts w:hint="eastAsia"/>
                    <w:sz w:val="20"/>
                    <w:szCs w:val="20"/>
                  </w:rPr>
                  <w:t>精算估计的重大假设</w:t>
                </w:r>
              </w:p>
            </w:tc>
            <w:tc>
              <w:tcPr>
                <w:tcW w:w="1436" w:type="pct"/>
                <w:tcBorders>
                  <w:top w:val="single" w:sz="12" w:space="0" w:color="auto"/>
                  <w:left w:val="dotted" w:sz="4" w:space="0" w:color="auto"/>
                  <w:bottom w:val="dotted" w:sz="4" w:space="0" w:color="auto"/>
                  <w:right w:val="dotted" w:sz="4" w:space="0" w:color="auto"/>
                </w:tcBorders>
                <w:vAlign w:val="center"/>
              </w:tcPr>
              <w:p w14:paraId="1EEF8950" w14:textId="77777777" w:rsidR="00E57DAA" w:rsidRDefault="00AC4185">
                <w:pPr>
                  <w:widowControl w:val="0"/>
                  <w:tabs>
                    <w:tab w:val="left" w:pos="196"/>
                    <w:tab w:val="left" w:pos="426"/>
                  </w:tabs>
                  <w:snapToGrid w:val="0"/>
                  <w:jc w:val="center"/>
                  <w:rPr>
                    <w:sz w:val="20"/>
                    <w:szCs w:val="20"/>
                  </w:rPr>
                </w:pPr>
                <w:r>
                  <w:rPr>
                    <w:rFonts w:hint="eastAsia"/>
                    <w:sz w:val="20"/>
                    <w:szCs w:val="20"/>
                  </w:rPr>
                  <w:t>本期期末</w:t>
                </w:r>
              </w:p>
            </w:tc>
            <w:tc>
              <w:tcPr>
                <w:tcW w:w="1434" w:type="pct"/>
                <w:tcBorders>
                  <w:top w:val="single" w:sz="12" w:space="0" w:color="auto"/>
                  <w:left w:val="dotted" w:sz="4" w:space="0" w:color="auto"/>
                  <w:bottom w:val="dotted" w:sz="4" w:space="0" w:color="auto"/>
                  <w:right w:val="nil"/>
                </w:tcBorders>
                <w:vAlign w:val="center"/>
              </w:tcPr>
              <w:p w14:paraId="667374DD" w14:textId="77777777" w:rsidR="00E57DAA" w:rsidRDefault="00AC4185">
                <w:pPr>
                  <w:widowControl w:val="0"/>
                  <w:tabs>
                    <w:tab w:val="left" w:pos="196"/>
                    <w:tab w:val="left" w:pos="426"/>
                  </w:tabs>
                  <w:snapToGrid w:val="0"/>
                  <w:jc w:val="center"/>
                  <w:rPr>
                    <w:sz w:val="20"/>
                    <w:szCs w:val="20"/>
                  </w:rPr>
                </w:pPr>
                <w:r>
                  <w:rPr>
                    <w:rFonts w:hint="eastAsia"/>
                    <w:sz w:val="20"/>
                    <w:szCs w:val="20"/>
                  </w:rPr>
                  <w:t>上期期末</w:t>
                </w:r>
              </w:p>
            </w:tc>
          </w:tr>
          <w:tr w:rsidR="00E57DAA" w14:paraId="62C4C39A" w14:textId="77777777">
            <w:trPr>
              <w:trHeight w:val="340"/>
            </w:trPr>
            <w:tc>
              <w:tcPr>
                <w:tcW w:w="2130" w:type="pct"/>
                <w:tcBorders>
                  <w:top w:val="dotted" w:sz="4" w:space="0" w:color="auto"/>
                  <w:left w:val="nil"/>
                  <w:bottom w:val="dotted" w:sz="4" w:space="0" w:color="auto"/>
                  <w:right w:val="dotted" w:sz="4" w:space="0" w:color="auto"/>
                </w:tcBorders>
                <w:vAlign w:val="center"/>
              </w:tcPr>
              <w:p w14:paraId="07BEFF37" w14:textId="77777777" w:rsidR="00E57DAA" w:rsidRDefault="00AC4185">
                <w:pPr>
                  <w:widowControl w:val="0"/>
                  <w:tabs>
                    <w:tab w:val="left" w:pos="196"/>
                    <w:tab w:val="left" w:pos="426"/>
                  </w:tabs>
                  <w:snapToGrid w:val="0"/>
                  <w:rPr>
                    <w:sz w:val="20"/>
                    <w:szCs w:val="20"/>
                    <w:highlight w:val="yellow"/>
                  </w:rPr>
                </w:pPr>
                <w:r>
                  <w:rPr>
                    <w:rFonts w:hint="eastAsia"/>
                    <w:sz w:val="20"/>
                    <w:szCs w:val="20"/>
                  </w:rPr>
                  <w:t>折现率—离职后福利</w:t>
                </w:r>
              </w:p>
            </w:tc>
            <w:tc>
              <w:tcPr>
                <w:tcW w:w="1436" w:type="pct"/>
                <w:tcBorders>
                  <w:top w:val="dotted" w:sz="4" w:space="0" w:color="auto"/>
                  <w:left w:val="dotted" w:sz="4" w:space="0" w:color="auto"/>
                  <w:bottom w:val="dotted" w:sz="4" w:space="0" w:color="auto"/>
                  <w:right w:val="dotted" w:sz="4" w:space="0" w:color="auto"/>
                </w:tcBorders>
                <w:vAlign w:val="center"/>
              </w:tcPr>
              <w:p w14:paraId="45518578"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2.85%</w:t>
                </w:r>
              </w:p>
            </w:tc>
            <w:tc>
              <w:tcPr>
                <w:tcW w:w="1434" w:type="pct"/>
                <w:tcBorders>
                  <w:top w:val="dotted" w:sz="4" w:space="0" w:color="auto"/>
                  <w:left w:val="dotted" w:sz="4" w:space="0" w:color="auto"/>
                  <w:bottom w:val="dotted" w:sz="4" w:space="0" w:color="auto"/>
                  <w:right w:val="nil"/>
                </w:tcBorders>
                <w:vAlign w:val="center"/>
              </w:tcPr>
              <w:p w14:paraId="637A380A"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3.25%</w:t>
                </w:r>
              </w:p>
            </w:tc>
          </w:tr>
          <w:tr w:rsidR="00E57DAA" w14:paraId="6DFC78C7" w14:textId="77777777">
            <w:trPr>
              <w:trHeight w:val="340"/>
            </w:trPr>
            <w:tc>
              <w:tcPr>
                <w:tcW w:w="2130" w:type="pct"/>
                <w:tcBorders>
                  <w:top w:val="dotted" w:sz="4" w:space="0" w:color="auto"/>
                  <w:left w:val="nil"/>
                  <w:bottom w:val="dotted" w:sz="4" w:space="0" w:color="auto"/>
                  <w:right w:val="dotted" w:sz="4" w:space="0" w:color="auto"/>
                </w:tcBorders>
                <w:vAlign w:val="center"/>
              </w:tcPr>
              <w:p w14:paraId="3190E155" w14:textId="77777777" w:rsidR="00E57DAA" w:rsidRDefault="00AC4185">
                <w:pPr>
                  <w:widowControl w:val="0"/>
                  <w:tabs>
                    <w:tab w:val="left" w:pos="196"/>
                    <w:tab w:val="left" w:pos="426"/>
                  </w:tabs>
                  <w:snapToGrid w:val="0"/>
                  <w:rPr>
                    <w:sz w:val="20"/>
                    <w:szCs w:val="20"/>
                    <w:highlight w:val="yellow"/>
                  </w:rPr>
                </w:pPr>
                <w:r>
                  <w:rPr>
                    <w:rFonts w:hint="eastAsia"/>
                    <w:sz w:val="20"/>
                    <w:szCs w:val="20"/>
                  </w:rPr>
                  <w:t>折现率—辞退福利</w:t>
                </w:r>
              </w:p>
            </w:tc>
            <w:tc>
              <w:tcPr>
                <w:tcW w:w="1436" w:type="pct"/>
                <w:tcBorders>
                  <w:top w:val="dotted" w:sz="4" w:space="0" w:color="auto"/>
                  <w:left w:val="dotted" w:sz="4" w:space="0" w:color="auto"/>
                  <w:bottom w:val="dotted" w:sz="4" w:space="0" w:color="auto"/>
                  <w:right w:val="dotted" w:sz="4" w:space="0" w:color="auto"/>
                </w:tcBorders>
                <w:vAlign w:val="center"/>
              </w:tcPr>
              <w:p w14:paraId="1E21536C"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2.40%</w:t>
                </w:r>
              </w:p>
            </w:tc>
            <w:tc>
              <w:tcPr>
                <w:tcW w:w="1434" w:type="pct"/>
                <w:tcBorders>
                  <w:top w:val="dotted" w:sz="4" w:space="0" w:color="auto"/>
                  <w:left w:val="dotted" w:sz="4" w:space="0" w:color="auto"/>
                  <w:bottom w:val="dotted" w:sz="4" w:space="0" w:color="auto"/>
                  <w:right w:val="nil"/>
                </w:tcBorders>
                <w:vAlign w:val="center"/>
              </w:tcPr>
              <w:p w14:paraId="7F8A0C08"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2.25%</w:t>
                </w:r>
              </w:p>
            </w:tc>
          </w:tr>
          <w:tr w:rsidR="00E57DAA" w14:paraId="54F16EB0" w14:textId="77777777">
            <w:trPr>
              <w:trHeight w:val="340"/>
            </w:trPr>
            <w:tc>
              <w:tcPr>
                <w:tcW w:w="2130" w:type="pct"/>
                <w:tcBorders>
                  <w:top w:val="dotted" w:sz="4" w:space="0" w:color="auto"/>
                  <w:left w:val="nil"/>
                  <w:bottom w:val="dotted" w:sz="4" w:space="0" w:color="auto"/>
                  <w:right w:val="dotted" w:sz="4" w:space="0" w:color="auto"/>
                </w:tcBorders>
                <w:vAlign w:val="center"/>
              </w:tcPr>
              <w:p w14:paraId="09B25D76" w14:textId="77777777" w:rsidR="00E57DAA" w:rsidRDefault="00AC4185">
                <w:pPr>
                  <w:widowControl w:val="0"/>
                  <w:tabs>
                    <w:tab w:val="left" w:pos="196"/>
                    <w:tab w:val="left" w:pos="426"/>
                  </w:tabs>
                  <w:snapToGrid w:val="0"/>
                  <w:rPr>
                    <w:sz w:val="20"/>
                    <w:szCs w:val="20"/>
                    <w:highlight w:val="yellow"/>
                  </w:rPr>
                </w:pPr>
                <w:r>
                  <w:rPr>
                    <w:rFonts w:hint="eastAsia"/>
                    <w:sz w:val="20"/>
                    <w:szCs w:val="20"/>
                  </w:rPr>
                  <w:t>离职率</w:t>
                </w:r>
              </w:p>
            </w:tc>
            <w:tc>
              <w:tcPr>
                <w:tcW w:w="1436" w:type="pct"/>
                <w:tcBorders>
                  <w:top w:val="dotted" w:sz="4" w:space="0" w:color="auto"/>
                  <w:left w:val="dotted" w:sz="4" w:space="0" w:color="auto"/>
                  <w:bottom w:val="dotted" w:sz="4" w:space="0" w:color="auto"/>
                  <w:right w:val="dotted" w:sz="4" w:space="0" w:color="auto"/>
                </w:tcBorders>
                <w:vAlign w:val="center"/>
              </w:tcPr>
              <w:p w14:paraId="1AB83264"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0.50%</w:t>
                </w:r>
              </w:p>
            </w:tc>
            <w:tc>
              <w:tcPr>
                <w:tcW w:w="1434" w:type="pct"/>
                <w:tcBorders>
                  <w:top w:val="dotted" w:sz="4" w:space="0" w:color="auto"/>
                  <w:left w:val="dotted" w:sz="4" w:space="0" w:color="auto"/>
                  <w:bottom w:val="dotted" w:sz="4" w:space="0" w:color="auto"/>
                  <w:right w:val="nil"/>
                </w:tcBorders>
                <w:vAlign w:val="center"/>
              </w:tcPr>
              <w:p w14:paraId="2771D47C"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0.50%</w:t>
                </w:r>
              </w:p>
            </w:tc>
          </w:tr>
          <w:tr w:rsidR="00E57DAA" w14:paraId="415D525C" w14:textId="77777777">
            <w:trPr>
              <w:trHeight w:val="340"/>
            </w:trPr>
            <w:tc>
              <w:tcPr>
                <w:tcW w:w="2130" w:type="pct"/>
                <w:tcBorders>
                  <w:top w:val="dotted" w:sz="4" w:space="0" w:color="auto"/>
                  <w:left w:val="nil"/>
                  <w:bottom w:val="dotted" w:sz="4" w:space="0" w:color="auto"/>
                  <w:right w:val="dotted" w:sz="4" w:space="0" w:color="auto"/>
                </w:tcBorders>
                <w:vAlign w:val="center"/>
              </w:tcPr>
              <w:p w14:paraId="4D304761" w14:textId="77777777" w:rsidR="00E57DAA" w:rsidRDefault="00AC4185">
                <w:pPr>
                  <w:widowControl w:val="0"/>
                  <w:tabs>
                    <w:tab w:val="left" w:pos="196"/>
                    <w:tab w:val="left" w:pos="426"/>
                  </w:tabs>
                  <w:snapToGrid w:val="0"/>
                  <w:rPr>
                    <w:sz w:val="20"/>
                    <w:szCs w:val="20"/>
                    <w:highlight w:val="yellow"/>
                  </w:rPr>
                </w:pPr>
                <w:r>
                  <w:rPr>
                    <w:rFonts w:hint="eastAsia"/>
                    <w:sz w:val="20"/>
                    <w:szCs w:val="20"/>
                  </w:rPr>
                  <w:t>事企养老金补差年增长率</w:t>
                </w:r>
              </w:p>
            </w:tc>
            <w:tc>
              <w:tcPr>
                <w:tcW w:w="1436" w:type="pct"/>
                <w:tcBorders>
                  <w:top w:val="dotted" w:sz="4" w:space="0" w:color="auto"/>
                  <w:left w:val="dotted" w:sz="4" w:space="0" w:color="auto"/>
                  <w:bottom w:val="dotted" w:sz="4" w:space="0" w:color="auto"/>
                  <w:right w:val="dotted" w:sz="4" w:space="0" w:color="auto"/>
                </w:tcBorders>
                <w:vAlign w:val="center"/>
              </w:tcPr>
              <w:p w14:paraId="502F2E3A"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5.00%</w:t>
                </w:r>
              </w:p>
            </w:tc>
            <w:tc>
              <w:tcPr>
                <w:tcW w:w="1434" w:type="pct"/>
                <w:tcBorders>
                  <w:top w:val="dotted" w:sz="4" w:space="0" w:color="auto"/>
                  <w:left w:val="dotted" w:sz="4" w:space="0" w:color="auto"/>
                  <w:bottom w:val="dotted" w:sz="4" w:space="0" w:color="auto"/>
                  <w:right w:val="nil"/>
                </w:tcBorders>
                <w:vAlign w:val="center"/>
              </w:tcPr>
              <w:p w14:paraId="3D0D46AE"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5.00%</w:t>
                </w:r>
              </w:p>
            </w:tc>
          </w:tr>
          <w:tr w:rsidR="00E57DAA" w14:paraId="2C6C4882" w14:textId="77777777">
            <w:trPr>
              <w:trHeight w:val="340"/>
            </w:trPr>
            <w:tc>
              <w:tcPr>
                <w:tcW w:w="2130" w:type="pct"/>
                <w:tcBorders>
                  <w:top w:val="dotted" w:sz="4" w:space="0" w:color="auto"/>
                  <w:left w:val="nil"/>
                  <w:bottom w:val="dotted" w:sz="4" w:space="0" w:color="auto"/>
                  <w:right w:val="dotted" w:sz="4" w:space="0" w:color="auto"/>
                </w:tcBorders>
                <w:vAlign w:val="center"/>
              </w:tcPr>
              <w:p w14:paraId="342D6266" w14:textId="77777777" w:rsidR="00E57DAA" w:rsidRDefault="00AC4185">
                <w:pPr>
                  <w:widowControl w:val="0"/>
                  <w:tabs>
                    <w:tab w:val="left" w:pos="196"/>
                    <w:tab w:val="left" w:pos="426"/>
                  </w:tabs>
                  <w:snapToGrid w:val="0"/>
                  <w:rPr>
                    <w:sz w:val="20"/>
                    <w:szCs w:val="20"/>
                    <w:highlight w:val="yellow"/>
                  </w:rPr>
                </w:pPr>
                <w:r>
                  <w:rPr>
                    <w:rFonts w:hint="eastAsia"/>
                    <w:sz w:val="20"/>
                    <w:szCs w:val="20"/>
                  </w:rPr>
                  <w:t>补充医疗福利年增长率</w:t>
                </w:r>
              </w:p>
            </w:tc>
            <w:tc>
              <w:tcPr>
                <w:tcW w:w="1436" w:type="pct"/>
                <w:tcBorders>
                  <w:top w:val="dotted" w:sz="4" w:space="0" w:color="auto"/>
                  <w:left w:val="dotted" w:sz="4" w:space="0" w:color="auto"/>
                  <w:bottom w:val="dotted" w:sz="4" w:space="0" w:color="auto"/>
                  <w:right w:val="dotted" w:sz="4" w:space="0" w:color="auto"/>
                </w:tcBorders>
                <w:vAlign w:val="center"/>
              </w:tcPr>
              <w:p w14:paraId="4C24A7C3"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6.00%</w:t>
                </w:r>
              </w:p>
            </w:tc>
            <w:tc>
              <w:tcPr>
                <w:tcW w:w="1434" w:type="pct"/>
                <w:tcBorders>
                  <w:top w:val="dotted" w:sz="4" w:space="0" w:color="auto"/>
                  <w:left w:val="dotted" w:sz="4" w:space="0" w:color="auto"/>
                  <w:bottom w:val="dotted" w:sz="4" w:space="0" w:color="auto"/>
                  <w:right w:val="nil"/>
                </w:tcBorders>
                <w:vAlign w:val="center"/>
              </w:tcPr>
              <w:p w14:paraId="3544D356"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6.00%</w:t>
                </w:r>
              </w:p>
            </w:tc>
          </w:tr>
          <w:tr w:rsidR="00E57DAA" w14:paraId="7F00DF0C" w14:textId="77777777">
            <w:trPr>
              <w:trHeight w:val="340"/>
            </w:trPr>
            <w:tc>
              <w:tcPr>
                <w:tcW w:w="2130" w:type="pct"/>
                <w:tcBorders>
                  <w:top w:val="dotted" w:sz="4" w:space="0" w:color="auto"/>
                  <w:left w:val="nil"/>
                  <w:bottom w:val="dotted" w:sz="4" w:space="0" w:color="auto"/>
                  <w:right w:val="dotted" w:sz="4" w:space="0" w:color="auto"/>
                </w:tcBorders>
                <w:vAlign w:val="center"/>
              </w:tcPr>
              <w:p w14:paraId="51267AE4" w14:textId="77777777" w:rsidR="00E57DAA" w:rsidRDefault="00AC4185">
                <w:pPr>
                  <w:widowControl w:val="0"/>
                  <w:tabs>
                    <w:tab w:val="left" w:pos="196"/>
                    <w:tab w:val="left" w:pos="426"/>
                  </w:tabs>
                  <w:snapToGrid w:val="0"/>
                  <w:rPr>
                    <w:sz w:val="20"/>
                    <w:szCs w:val="20"/>
                    <w:highlight w:val="yellow"/>
                  </w:rPr>
                </w:pPr>
                <w:r>
                  <w:rPr>
                    <w:rFonts w:hint="eastAsia"/>
                    <w:sz w:val="20"/>
                    <w:szCs w:val="20"/>
                  </w:rPr>
                  <w:t>基本医疗保险缴费年增长率</w:t>
                </w:r>
              </w:p>
            </w:tc>
            <w:tc>
              <w:tcPr>
                <w:tcW w:w="1436" w:type="pct"/>
                <w:tcBorders>
                  <w:top w:val="dotted" w:sz="4" w:space="0" w:color="auto"/>
                  <w:left w:val="dotted" w:sz="4" w:space="0" w:color="auto"/>
                  <w:bottom w:val="dotted" w:sz="4" w:space="0" w:color="auto"/>
                  <w:right w:val="dotted" w:sz="4" w:space="0" w:color="auto"/>
                </w:tcBorders>
                <w:vAlign w:val="center"/>
              </w:tcPr>
              <w:p w14:paraId="4C456A99"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10.00%</w:t>
                </w:r>
              </w:p>
            </w:tc>
            <w:tc>
              <w:tcPr>
                <w:tcW w:w="1434" w:type="pct"/>
                <w:tcBorders>
                  <w:top w:val="dotted" w:sz="4" w:space="0" w:color="auto"/>
                  <w:left w:val="dotted" w:sz="4" w:space="0" w:color="auto"/>
                  <w:bottom w:val="dotted" w:sz="4" w:space="0" w:color="auto"/>
                  <w:right w:val="nil"/>
                </w:tcBorders>
                <w:vAlign w:val="center"/>
              </w:tcPr>
              <w:p w14:paraId="1E174D65"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10.00%</w:t>
                </w:r>
              </w:p>
            </w:tc>
          </w:tr>
          <w:tr w:rsidR="00E57DAA" w14:paraId="7FF6EBCF" w14:textId="77777777">
            <w:trPr>
              <w:trHeight w:val="340"/>
            </w:trPr>
            <w:tc>
              <w:tcPr>
                <w:tcW w:w="2130" w:type="pct"/>
                <w:tcBorders>
                  <w:top w:val="dotted" w:sz="4" w:space="0" w:color="auto"/>
                  <w:left w:val="nil"/>
                  <w:bottom w:val="single" w:sz="12" w:space="0" w:color="auto"/>
                  <w:right w:val="dotted" w:sz="4" w:space="0" w:color="auto"/>
                </w:tcBorders>
                <w:vAlign w:val="center"/>
              </w:tcPr>
              <w:p w14:paraId="5F79DAE0" w14:textId="77777777" w:rsidR="00E57DAA" w:rsidRDefault="00AC4185">
                <w:pPr>
                  <w:widowControl w:val="0"/>
                  <w:tabs>
                    <w:tab w:val="left" w:pos="196"/>
                    <w:tab w:val="left" w:pos="426"/>
                  </w:tabs>
                  <w:snapToGrid w:val="0"/>
                  <w:rPr>
                    <w:sz w:val="20"/>
                    <w:szCs w:val="20"/>
                    <w:highlight w:val="yellow"/>
                  </w:rPr>
                </w:pPr>
                <w:r>
                  <w:rPr>
                    <w:rFonts w:hint="eastAsia"/>
                    <w:sz w:val="20"/>
                    <w:szCs w:val="20"/>
                  </w:rPr>
                  <w:t>遗属补贴福利年增长率</w:t>
                </w:r>
              </w:p>
            </w:tc>
            <w:tc>
              <w:tcPr>
                <w:tcW w:w="1436" w:type="pct"/>
                <w:tcBorders>
                  <w:top w:val="dotted" w:sz="4" w:space="0" w:color="auto"/>
                  <w:left w:val="dotted" w:sz="4" w:space="0" w:color="auto"/>
                  <w:bottom w:val="single" w:sz="12" w:space="0" w:color="auto"/>
                  <w:right w:val="dotted" w:sz="4" w:space="0" w:color="auto"/>
                </w:tcBorders>
                <w:vAlign w:val="center"/>
              </w:tcPr>
              <w:p w14:paraId="60CEA59B" w14:textId="77777777" w:rsidR="00E57DAA" w:rsidRDefault="00AC4185">
                <w:pPr>
                  <w:widowControl w:val="0"/>
                  <w:tabs>
                    <w:tab w:val="left" w:pos="196"/>
                    <w:tab w:val="left" w:pos="426"/>
                  </w:tabs>
                  <w:snapToGrid w:val="0"/>
                  <w:jc w:val="center"/>
                  <w:rPr>
                    <w:sz w:val="20"/>
                    <w:szCs w:val="20"/>
                  </w:rPr>
                </w:pPr>
                <w:r>
                  <w:rPr>
                    <w:rFonts w:cs="Arial Narrow"/>
                    <w:snapToGrid w:val="0"/>
                    <w:color w:val="000000"/>
                    <w:sz w:val="20"/>
                    <w:szCs w:val="20"/>
                    <w:lang w:bidi="ar"/>
                  </w:rPr>
                  <w:t>2.00%</w:t>
                </w:r>
              </w:p>
            </w:tc>
            <w:tc>
              <w:tcPr>
                <w:tcW w:w="1434" w:type="pct"/>
                <w:tcBorders>
                  <w:top w:val="dotted" w:sz="4" w:space="0" w:color="auto"/>
                  <w:left w:val="dotted" w:sz="4" w:space="0" w:color="auto"/>
                  <w:bottom w:val="single" w:sz="12" w:space="0" w:color="auto"/>
                  <w:right w:val="nil"/>
                </w:tcBorders>
                <w:vAlign w:val="center"/>
              </w:tcPr>
              <w:p w14:paraId="72B40A2A" w14:textId="77777777" w:rsidR="00E57DAA" w:rsidRDefault="00AC4185">
                <w:pPr>
                  <w:widowControl w:val="0"/>
                  <w:tabs>
                    <w:tab w:val="left" w:pos="196"/>
                    <w:tab w:val="left" w:pos="426"/>
                  </w:tabs>
                  <w:snapToGrid w:val="0"/>
                  <w:jc w:val="center"/>
                  <w:rPr>
                    <w:rFonts w:cs="Arial Narrow"/>
                    <w:snapToGrid w:val="0"/>
                    <w:color w:val="000000"/>
                    <w:sz w:val="20"/>
                    <w:szCs w:val="20"/>
                    <w:lang w:bidi="ar"/>
                  </w:rPr>
                </w:pPr>
                <w:r>
                  <w:rPr>
                    <w:rFonts w:cs="Arial Narrow"/>
                    <w:snapToGrid w:val="0"/>
                    <w:color w:val="000000"/>
                    <w:sz w:val="20"/>
                    <w:szCs w:val="20"/>
                    <w:lang w:bidi="ar"/>
                  </w:rPr>
                  <w:t>6.00%</w:t>
                </w:r>
              </w:p>
            </w:tc>
          </w:tr>
        </w:tbl>
        <w:p w14:paraId="3EC15C76" w14:textId="77777777" w:rsidR="00E57DAA" w:rsidRDefault="00E57DAA">
          <w:pPr>
            <w:pStyle w:val="Style243"/>
            <w:widowControl w:val="0"/>
            <w:tabs>
              <w:tab w:val="clear" w:pos="714"/>
            </w:tabs>
            <w:spacing w:line="120" w:lineRule="auto"/>
            <w:ind w:left="420" w:firstLine="0"/>
            <w:outlineLvl w:val="9"/>
            <w:rPr>
              <w:sz w:val="20"/>
              <w:szCs w:val="20"/>
            </w:rPr>
          </w:pPr>
        </w:p>
        <w:p w14:paraId="1B04E2E0" w14:textId="77777777" w:rsidR="00E57DAA" w:rsidRDefault="00AC4185">
          <w:pPr>
            <w:pStyle w:val="Style242"/>
            <w:widowControl w:val="0"/>
            <w:snapToGrid w:val="0"/>
            <w:spacing w:beforeLines="50" w:before="120" w:line="360" w:lineRule="auto"/>
            <w:ind w:firstLineChars="202" w:firstLine="404"/>
            <w:jc w:val="both"/>
            <w:rPr>
              <w:rFonts w:ascii="宋体" w:hAnsi="宋体"/>
              <w:sz w:val="20"/>
              <w:szCs w:val="20"/>
            </w:rPr>
          </w:pPr>
          <w:r>
            <w:rPr>
              <w:rFonts w:ascii="宋体" w:hAnsi="宋体" w:hint="eastAsia"/>
              <w:sz w:val="20"/>
              <w:szCs w:val="20"/>
            </w:rPr>
            <w:t>本公司对上述指标的敏感性分析如下：</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2922"/>
            <w:gridCol w:w="1669"/>
            <w:gridCol w:w="2279"/>
            <w:gridCol w:w="1963"/>
          </w:tblGrid>
          <w:tr w:rsidR="00E57DAA" w14:paraId="6D6CAFA5" w14:textId="77777777">
            <w:trPr>
              <w:trHeight w:val="340"/>
            </w:trPr>
            <w:tc>
              <w:tcPr>
                <w:tcW w:w="1654" w:type="pct"/>
                <w:vMerge w:val="restart"/>
                <w:tcBorders>
                  <w:top w:val="single" w:sz="12" w:space="0" w:color="auto"/>
                  <w:left w:val="nil"/>
                  <w:bottom w:val="dotted" w:sz="4" w:space="0" w:color="auto"/>
                  <w:right w:val="dotted" w:sz="4" w:space="0" w:color="auto"/>
                </w:tcBorders>
                <w:vAlign w:val="center"/>
              </w:tcPr>
              <w:p w14:paraId="25807435" w14:textId="77777777" w:rsidR="00E57DAA" w:rsidRDefault="00AC4185">
                <w:pPr>
                  <w:widowControl w:val="0"/>
                  <w:tabs>
                    <w:tab w:val="left" w:pos="196"/>
                    <w:tab w:val="left" w:pos="426"/>
                  </w:tabs>
                  <w:snapToGrid w:val="0"/>
                  <w:jc w:val="center"/>
                  <w:rPr>
                    <w:sz w:val="20"/>
                    <w:szCs w:val="20"/>
                  </w:rPr>
                </w:pPr>
                <w:r>
                  <w:rPr>
                    <w:rFonts w:hint="eastAsia"/>
                    <w:sz w:val="20"/>
                    <w:szCs w:val="20"/>
                  </w:rPr>
                  <w:t>精算估计的重大假设</w:t>
                </w:r>
              </w:p>
            </w:tc>
            <w:tc>
              <w:tcPr>
                <w:tcW w:w="945" w:type="pct"/>
                <w:vMerge w:val="restart"/>
                <w:tcBorders>
                  <w:top w:val="single" w:sz="12" w:space="0" w:color="auto"/>
                  <w:left w:val="dotted" w:sz="4" w:space="0" w:color="auto"/>
                  <w:bottom w:val="dotted" w:sz="4" w:space="0" w:color="auto"/>
                  <w:right w:val="dotted" w:sz="4" w:space="0" w:color="auto"/>
                </w:tcBorders>
                <w:vAlign w:val="center"/>
              </w:tcPr>
              <w:p w14:paraId="4BF6DE02" w14:textId="77777777" w:rsidR="00E57DAA" w:rsidRDefault="00AC4185">
                <w:pPr>
                  <w:widowControl w:val="0"/>
                  <w:tabs>
                    <w:tab w:val="left" w:pos="196"/>
                    <w:tab w:val="left" w:pos="426"/>
                  </w:tabs>
                  <w:snapToGrid w:val="0"/>
                  <w:jc w:val="center"/>
                  <w:rPr>
                    <w:sz w:val="20"/>
                    <w:szCs w:val="20"/>
                  </w:rPr>
                </w:pPr>
                <w:r>
                  <w:rPr>
                    <w:rFonts w:hint="eastAsia"/>
                    <w:sz w:val="20"/>
                    <w:szCs w:val="20"/>
                  </w:rPr>
                  <w:t>假设变动幅度</w:t>
                </w:r>
                <w:r>
                  <w:rPr>
                    <w:sz w:val="20"/>
                    <w:szCs w:val="20"/>
                  </w:rPr>
                  <w:t>(%)</w:t>
                </w:r>
              </w:p>
            </w:tc>
            <w:tc>
              <w:tcPr>
                <w:tcW w:w="2401" w:type="pct"/>
                <w:gridSpan w:val="2"/>
                <w:tcBorders>
                  <w:top w:val="single" w:sz="12" w:space="0" w:color="auto"/>
                  <w:left w:val="dotted" w:sz="4" w:space="0" w:color="auto"/>
                  <w:bottom w:val="dotted" w:sz="4" w:space="0" w:color="auto"/>
                  <w:right w:val="nil"/>
                </w:tcBorders>
                <w:vAlign w:val="center"/>
              </w:tcPr>
              <w:p w14:paraId="58AFDAE0" w14:textId="77777777" w:rsidR="00E57DAA" w:rsidRDefault="00AC4185">
                <w:pPr>
                  <w:widowControl w:val="0"/>
                  <w:tabs>
                    <w:tab w:val="left" w:pos="196"/>
                    <w:tab w:val="left" w:pos="426"/>
                  </w:tabs>
                  <w:snapToGrid w:val="0"/>
                  <w:jc w:val="center"/>
                  <w:rPr>
                    <w:sz w:val="20"/>
                    <w:szCs w:val="20"/>
                  </w:rPr>
                </w:pPr>
                <w:r>
                  <w:rPr>
                    <w:rFonts w:hint="eastAsia"/>
                    <w:sz w:val="20"/>
                    <w:szCs w:val="20"/>
                  </w:rPr>
                  <w:t>对期末设定受益计划现值的影响</w:t>
                </w:r>
              </w:p>
            </w:tc>
          </w:tr>
          <w:tr w:rsidR="00E57DAA" w14:paraId="414A99CC" w14:textId="77777777">
            <w:trPr>
              <w:trHeight w:val="340"/>
            </w:trPr>
            <w:tc>
              <w:tcPr>
                <w:tcW w:w="0" w:type="auto"/>
                <w:vMerge/>
                <w:tcBorders>
                  <w:top w:val="single" w:sz="12" w:space="0" w:color="auto"/>
                  <w:left w:val="nil"/>
                  <w:bottom w:val="dotted" w:sz="4" w:space="0" w:color="auto"/>
                  <w:right w:val="dotted" w:sz="4" w:space="0" w:color="auto"/>
                </w:tcBorders>
                <w:vAlign w:val="center"/>
              </w:tcPr>
              <w:p w14:paraId="7D9B38D6" w14:textId="77777777" w:rsidR="00E57DAA" w:rsidRDefault="00E57DAA">
                <w:pPr>
                  <w:rPr>
                    <w:sz w:val="20"/>
                    <w:szCs w:val="20"/>
                  </w:rPr>
                </w:pPr>
              </w:p>
            </w:tc>
            <w:tc>
              <w:tcPr>
                <w:tcW w:w="0" w:type="auto"/>
                <w:vMerge/>
                <w:tcBorders>
                  <w:top w:val="single" w:sz="12" w:space="0" w:color="auto"/>
                  <w:left w:val="dotted" w:sz="4" w:space="0" w:color="auto"/>
                  <w:bottom w:val="dotted" w:sz="4" w:space="0" w:color="auto"/>
                  <w:right w:val="dotted" w:sz="4" w:space="0" w:color="auto"/>
                </w:tcBorders>
                <w:vAlign w:val="center"/>
              </w:tcPr>
              <w:p w14:paraId="46E05929" w14:textId="77777777" w:rsidR="00E57DAA" w:rsidRDefault="00E57DAA">
                <w:pPr>
                  <w:rPr>
                    <w:sz w:val="20"/>
                    <w:szCs w:val="20"/>
                  </w:rPr>
                </w:pPr>
              </w:p>
            </w:tc>
            <w:tc>
              <w:tcPr>
                <w:tcW w:w="1290" w:type="pct"/>
                <w:tcBorders>
                  <w:top w:val="dotted" w:sz="4" w:space="0" w:color="auto"/>
                  <w:left w:val="dotted" w:sz="4" w:space="0" w:color="auto"/>
                  <w:bottom w:val="dotted" w:sz="4" w:space="0" w:color="auto"/>
                  <w:right w:val="dotted" w:sz="4" w:space="0" w:color="auto"/>
                </w:tcBorders>
                <w:vAlign w:val="center"/>
              </w:tcPr>
              <w:p w14:paraId="27C957A2" w14:textId="77777777" w:rsidR="00E57DAA" w:rsidRDefault="00AC4185">
                <w:pPr>
                  <w:widowControl w:val="0"/>
                  <w:tabs>
                    <w:tab w:val="left" w:pos="196"/>
                    <w:tab w:val="left" w:pos="426"/>
                  </w:tabs>
                  <w:snapToGrid w:val="0"/>
                  <w:jc w:val="center"/>
                  <w:rPr>
                    <w:sz w:val="20"/>
                    <w:szCs w:val="20"/>
                  </w:rPr>
                </w:pPr>
                <w:r>
                  <w:rPr>
                    <w:rFonts w:hint="eastAsia"/>
                    <w:sz w:val="20"/>
                    <w:szCs w:val="20"/>
                  </w:rPr>
                  <w:t>假设增加</w:t>
                </w:r>
              </w:p>
            </w:tc>
            <w:tc>
              <w:tcPr>
                <w:tcW w:w="1111" w:type="pct"/>
                <w:tcBorders>
                  <w:top w:val="dotted" w:sz="4" w:space="0" w:color="auto"/>
                  <w:left w:val="dotted" w:sz="4" w:space="0" w:color="auto"/>
                  <w:bottom w:val="dotted" w:sz="4" w:space="0" w:color="auto"/>
                  <w:right w:val="nil"/>
                </w:tcBorders>
                <w:vAlign w:val="center"/>
              </w:tcPr>
              <w:p w14:paraId="72339E3E" w14:textId="77777777" w:rsidR="00E57DAA" w:rsidRDefault="00AC4185">
                <w:pPr>
                  <w:widowControl w:val="0"/>
                  <w:tabs>
                    <w:tab w:val="left" w:pos="196"/>
                    <w:tab w:val="left" w:pos="426"/>
                  </w:tabs>
                  <w:snapToGrid w:val="0"/>
                  <w:jc w:val="center"/>
                  <w:rPr>
                    <w:sz w:val="20"/>
                    <w:szCs w:val="20"/>
                  </w:rPr>
                </w:pPr>
                <w:r>
                  <w:rPr>
                    <w:rFonts w:hint="eastAsia"/>
                    <w:sz w:val="20"/>
                    <w:szCs w:val="20"/>
                  </w:rPr>
                  <w:t>假设减少</w:t>
                </w:r>
              </w:p>
            </w:tc>
          </w:tr>
          <w:tr w:rsidR="00E57DAA" w14:paraId="7E1B0732" w14:textId="77777777">
            <w:trPr>
              <w:trHeight w:val="340"/>
            </w:trPr>
            <w:tc>
              <w:tcPr>
                <w:tcW w:w="1654" w:type="pct"/>
                <w:tcBorders>
                  <w:top w:val="dotted" w:sz="4" w:space="0" w:color="auto"/>
                  <w:left w:val="nil"/>
                  <w:bottom w:val="dotted" w:sz="4" w:space="0" w:color="auto"/>
                  <w:right w:val="dotted" w:sz="4" w:space="0" w:color="auto"/>
                </w:tcBorders>
                <w:vAlign w:val="center"/>
              </w:tcPr>
              <w:p w14:paraId="65FB08E4" w14:textId="77777777" w:rsidR="00E57DAA" w:rsidRDefault="00AC4185">
                <w:pPr>
                  <w:widowControl w:val="0"/>
                  <w:tabs>
                    <w:tab w:val="left" w:pos="196"/>
                    <w:tab w:val="left" w:pos="426"/>
                  </w:tabs>
                  <w:snapToGrid w:val="0"/>
                  <w:rPr>
                    <w:sz w:val="20"/>
                    <w:szCs w:val="20"/>
                    <w:highlight w:val="yellow"/>
                  </w:rPr>
                </w:pPr>
                <w:r>
                  <w:rPr>
                    <w:rFonts w:hint="eastAsia"/>
                    <w:sz w:val="20"/>
                    <w:szCs w:val="20"/>
                  </w:rPr>
                  <w:t>折现率</w:t>
                </w:r>
              </w:p>
            </w:tc>
            <w:tc>
              <w:tcPr>
                <w:tcW w:w="945" w:type="pct"/>
                <w:tcBorders>
                  <w:top w:val="dotted" w:sz="4" w:space="0" w:color="auto"/>
                  <w:left w:val="dotted" w:sz="4" w:space="0" w:color="auto"/>
                  <w:bottom w:val="dotted" w:sz="4" w:space="0" w:color="auto"/>
                  <w:right w:val="dotted" w:sz="4" w:space="0" w:color="auto"/>
                </w:tcBorders>
                <w:vAlign w:val="center"/>
              </w:tcPr>
              <w:p w14:paraId="6A90EE3D"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减少</w:t>
                </w:r>
                <w:r>
                  <w:rPr>
                    <w:sz w:val="20"/>
                    <w:szCs w:val="20"/>
                  </w:rPr>
                  <w:t>0.5%</w:t>
                </w:r>
              </w:p>
            </w:tc>
            <w:tc>
              <w:tcPr>
                <w:tcW w:w="1290" w:type="pct"/>
                <w:tcBorders>
                  <w:top w:val="dotted" w:sz="4" w:space="0" w:color="auto"/>
                  <w:left w:val="dotted" w:sz="4" w:space="0" w:color="auto"/>
                  <w:bottom w:val="dotted" w:sz="4" w:space="0" w:color="auto"/>
                  <w:right w:val="dotted" w:sz="4" w:space="0" w:color="auto"/>
                </w:tcBorders>
                <w:vAlign w:val="center"/>
              </w:tcPr>
              <w:p w14:paraId="55108B13" w14:textId="77777777" w:rsidR="00E57DAA" w:rsidRDefault="00AC4185">
                <w:pPr>
                  <w:widowControl w:val="0"/>
                  <w:tabs>
                    <w:tab w:val="left" w:pos="196"/>
                    <w:tab w:val="left" w:pos="426"/>
                  </w:tabs>
                  <w:snapToGrid w:val="0"/>
                  <w:jc w:val="right"/>
                  <w:rPr>
                    <w:sz w:val="20"/>
                    <w:szCs w:val="20"/>
                  </w:rPr>
                </w:pPr>
                <w:r>
                  <w:rPr>
                    <w:sz w:val="20"/>
                    <w:szCs w:val="20"/>
                  </w:rPr>
                  <w:t>23,679,000.00</w:t>
                </w:r>
              </w:p>
            </w:tc>
            <w:tc>
              <w:tcPr>
                <w:tcW w:w="1111" w:type="pct"/>
                <w:tcBorders>
                  <w:top w:val="dotted" w:sz="4" w:space="0" w:color="auto"/>
                  <w:left w:val="dotted" w:sz="4" w:space="0" w:color="auto"/>
                  <w:bottom w:val="dotted" w:sz="4" w:space="0" w:color="auto"/>
                  <w:right w:val="nil"/>
                </w:tcBorders>
                <w:vAlign w:val="center"/>
              </w:tcPr>
              <w:p w14:paraId="76B44DD6" w14:textId="77777777" w:rsidR="00E57DAA" w:rsidRDefault="00E57DAA">
                <w:pPr>
                  <w:widowControl w:val="0"/>
                  <w:tabs>
                    <w:tab w:val="left" w:pos="196"/>
                    <w:tab w:val="left" w:pos="426"/>
                  </w:tabs>
                  <w:snapToGrid w:val="0"/>
                  <w:jc w:val="center"/>
                  <w:rPr>
                    <w:sz w:val="20"/>
                    <w:szCs w:val="20"/>
                    <w:highlight w:val="yellow"/>
                  </w:rPr>
                </w:pPr>
              </w:p>
            </w:tc>
          </w:tr>
          <w:tr w:rsidR="00E57DAA" w14:paraId="2F254F2F" w14:textId="77777777">
            <w:trPr>
              <w:trHeight w:val="340"/>
            </w:trPr>
            <w:tc>
              <w:tcPr>
                <w:tcW w:w="1654" w:type="pct"/>
                <w:tcBorders>
                  <w:top w:val="dotted" w:sz="4" w:space="0" w:color="auto"/>
                  <w:left w:val="nil"/>
                  <w:bottom w:val="dotted" w:sz="4" w:space="0" w:color="auto"/>
                  <w:right w:val="dotted" w:sz="4" w:space="0" w:color="auto"/>
                </w:tcBorders>
                <w:vAlign w:val="center"/>
              </w:tcPr>
              <w:p w14:paraId="6DEFFE20" w14:textId="77777777" w:rsidR="00E57DAA" w:rsidRDefault="00AC4185">
                <w:pPr>
                  <w:widowControl w:val="0"/>
                  <w:tabs>
                    <w:tab w:val="left" w:pos="196"/>
                    <w:tab w:val="left" w:pos="426"/>
                  </w:tabs>
                  <w:snapToGrid w:val="0"/>
                  <w:rPr>
                    <w:sz w:val="20"/>
                    <w:szCs w:val="20"/>
                  </w:rPr>
                </w:pPr>
                <w:r>
                  <w:rPr>
                    <w:rFonts w:hint="eastAsia"/>
                    <w:sz w:val="20"/>
                    <w:szCs w:val="20"/>
                  </w:rPr>
                  <w:t>福利增长率</w:t>
                </w:r>
              </w:p>
            </w:tc>
            <w:tc>
              <w:tcPr>
                <w:tcW w:w="945" w:type="pct"/>
                <w:tcBorders>
                  <w:top w:val="dotted" w:sz="4" w:space="0" w:color="auto"/>
                  <w:left w:val="dotted" w:sz="4" w:space="0" w:color="auto"/>
                  <w:bottom w:val="dotted" w:sz="4" w:space="0" w:color="auto"/>
                  <w:right w:val="dotted" w:sz="4" w:space="0" w:color="auto"/>
                </w:tcBorders>
                <w:vAlign w:val="center"/>
              </w:tcPr>
              <w:p w14:paraId="2AF5004C"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增加</w:t>
                </w:r>
                <w:r>
                  <w:rPr>
                    <w:sz w:val="20"/>
                    <w:szCs w:val="20"/>
                  </w:rPr>
                  <w:t>0.5%</w:t>
                </w:r>
              </w:p>
            </w:tc>
            <w:tc>
              <w:tcPr>
                <w:tcW w:w="1290" w:type="pct"/>
                <w:tcBorders>
                  <w:top w:val="dotted" w:sz="4" w:space="0" w:color="auto"/>
                  <w:left w:val="dotted" w:sz="4" w:space="0" w:color="auto"/>
                  <w:bottom w:val="dotted" w:sz="4" w:space="0" w:color="auto"/>
                  <w:right w:val="dotted" w:sz="4" w:space="0" w:color="auto"/>
                </w:tcBorders>
                <w:vAlign w:val="center"/>
              </w:tcPr>
              <w:p w14:paraId="14192207" w14:textId="77777777" w:rsidR="00E57DAA" w:rsidRDefault="00AC4185">
                <w:pPr>
                  <w:widowControl w:val="0"/>
                  <w:tabs>
                    <w:tab w:val="left" w:pos="196"/>
                    <w:tab w:val="left" w:pos="426"/>
                  </w:tabs>
                  <w:snapToGrid w:val="0"/>
                  <w:jc w:val="right"/>
                  <w:rPr>
                    <w:sz w:val="20"/>
                    <w:szCs w:val="20"/>
                  </w:rPr>
                </w:pPr>
                <w:r>
                  <w:rPr>
                    <w:sz w:val="20"/>
                    <w:szCs w:val="20"/>
                  </w:rPr>
                  <w:t>21,094,000.00</w:t>
                </w:r>
              </w:p>
            </w:tc>
            <w:tc>
              <w:tcPr>
                <w:tcW w:w="1111" w:type="pct"/>
                <w:tcBorders>
                  <w:top w:val="dotted" w:sz="4" w:space="0" w:color="auto"/>
                  <w:left w:val="dotted" w:sz="4" w:space="0" w:color="auto"/>
                  <w:bottom w:val="dotted" w:sz="4" w:space="0" w:color="auto"/>
                  <w:right w:val="nil"/>
                </w:tcBorders>
                <w:vAlign w:val="center"/>
              </w:tcPr>
              <w:p w14:paraId="233B25C9" w14:textId="77777777" w:rsidR="00E57DAA" w:rsidRDefault="00E57DAA">
                <w:pPr>
                  <w:widowControl w:val="0"/>
                  <w:tabs>
                    <w:tab w:val="left" w:pos="196"/>
                    <w:tab w:val="left" w:pos="426"/>
                  </w:tabs>
                  <w:snapToGrid w:val="0"/>
                  <w:jc w:val="center"/>
                  <w:rPr>
                    <w:sz w:val="20"/>
                    <w:szCs w:val="20"/>
                    <w:highlight w:val="yellow"/>
                  </w:rPr>
                </w:pPr>
              </w:p>
            </w:tc>
          </w:tr>
          <w:tr w:rsidR="00E57DAA" w14:paraId="1E0F7B10" w14:textId="77777777">
            <w:trPr>
              <w:trHeight w:val="340"/>
            </w:trPr>
            <w:tc>
              <w:tcPr>
                <w:tcW w:w="1654" w:type="pct"/>
                <w:tcBorders>
                  <w:top w:val="dotted" w:sz="4" w:space="0" w:color="auto"/>
                  <w:left w:val="nil"/>
                  <w:bottom w:val="single" w:sz="12" w:space="0" w:color="auto"/>
                  <w:right w:val="dotted" w:sz="4" w:space="0" w:color="auto"/>
                </w:tcBorders>
                <w:vAlign w:val="center"/>
              </w:tcPr>
              <w:p w14:paraId="455B9CA2" w14:textId="77777777" w:rsidR="00E57DAA" w:rsidRDefault="00AC4185">
                <w:pPr>
                  <w:widowControl w:val="0"/>
                  <w:tabs>
                    <w:tab w:val="left" w:pos="196"/>
                    <w:tab w:val="left" w:pos="426"/>
                  </w:tabs>
                  <w:snapToGrid w:val="0"/>
                  <w:rPr>
                    <w:sz w:val="20"/>
                    <w:szCs w:val="20"/>
                  </w:rPr>
                </w:pPr>
                <w:r>
                  <w:rPr>
                    <w:rFonts w:hint="eastAsia"/>
                    <w:sz w:val="20"/>
                    <w:szCs w:val="20"/>
                  </w:rPr>
                  <w:t>死亡率</w:t>
                </w:r>
              </w:p>
            </w:tc>
            <w:tc>
              <w:tcPr>
                <w:tcW w:w="945" w:type="pct"/>
                <w:tcBorders>
                  <w:top w:val="dotted" w:sz="4" w:space="0" w:color="auto"/>
                  <w:left w:val="dotted" w:sz="4" w:space="0" w:color="auto"/>
                  <w:bottom w:val="single" w:sz="12" w:space="0" w:color="auto"/>
                  <w:right w:val="dotted" w:sz="4" w:space="0" w:color="auto"/>
                </w:tcBorders>
                <w:vAlign w:val="center"/>
              </w:tcPr>
              <w:p w14:paraId="6694D588" w14:textId="77777777" w:rsidR="00E57DAA" w:rsidRDefault="00AC4185">
                <w:pPr>
                  <w:widowControl w:val="0"/>
                  <w:tabs>
                    <w:tab w:val="left" w:pos="196"/>
                    <w:tab w:val="left" w:pos="426"/>
                  </w:tabs>
                  <w:snapToGrid w:val="0"/>
                  <w:jc w:val="center"/>
                  <w:rPr>
                    <w:sz w:val="20"/>
                    <w:szCs w:val="20"/>
                    <w:highlight w:val="yellow"/>
                  </w:rPr>
                </w:pPr>
                <w:r>
                  <w:rPr>
                    <w:rFonts w:hint="eastAsia"/>
                    <w:sz w:val="20"/>
                    <w:szCs w:val="20"/>
                  </w:rPr>
                  <w:t>减少</w:t>
                </w:r>
                <w:r>
                  <w:rPr>
                    <w:sz w:val="20"/>
                    <w:szCs w:val="20"/>
                  </w:rPr>
                  <w:t>0.5%</w:t>
                </w:r>
              </w:p>
            </w:tc>
            <w:tc>
              <w:tcPr>
                <w:tcW w:w="1290" w:type="pct"/>
                <w:tcBorders>
                  <w:top w:val="dotted" w:sz="4" w:space="0" w:color="auto"/>
                  <w:left w:val="dotted" w:sz="4" w:space="0" w:color="auto"/>
                  <w:bottom w:val="single" w:sz="12" w:space="0" w:color="auto"/>
                  <w:right w:val="dotted" w:sz="4" w:space="0" w:color="auto"/>
                </w:tcBorders>
                <w:vAlign w:val="center"/>
              </w:tcPr>
              <w:p w14:paraId="76D0A4B6" w14:textId="77777777" w:rsidR="00E57DAA" w:rsidRDefault="00AC4185">
                <w:pPr>
                  <w:widowControl w:val="0"/>
                  <w:tabs>
                    <w:tab w:val="left" w:pos="196"/>
                    <w:tab w:val="left" w:pos="426"/>
                  </w:tabs>
                  <w:snapToGrid w:val="0"/>
                  <w:jc w:val="right"/>
                  <w:rPr>
                    <w:sz w:val="20"/>
                    <w:szCs w:val="20"/>
                  </w:rPr>
                </w:pPr>
                <w:r>
                  <w:rPr>
                    <w:sz w:val="20"/>
                    <w:szCs w:val="20"/>
                  </w:rPr>
                  <w:t>6,199,000.00</w:t>
                </w:r>
              </w:p>
            </w:tc>
            <w:tc>
              <w:tcPr>
                <w:tcW w:w="1111" w:type="pct"/>
                <w:tcBorders>
                  <w:top w:val="dotted" w:sz="4" w:space="0" w:color="auto"/>
                  <w:left w:val="dotted" w:sz="4" w:space="0" w:color="auto"/>
                  <w:bottom w:val="single" w:sz="12" w:space="0" w:color="auto"/>
                  <w:right w:val="nil"/>
                </w:tcBorders>
                <w:vAlign w:val="center"/>
              </w:tcPr>
              <w:p w14:paraId="3D4BBFF2" w14:textId="77777777" w:rsidR="00E57DAA" w:rsidRDefault="00E57DAA">
                <w:pPr>
                  <w:widowControl w:val="0"/>
                  <w:tabs>
                    <w:tab w:val="left" w:pos="196"/>
                    <w:tab w:val="left" w:pos="426"/>
                  </w:tabs>
                  <w:snapToGrid w:val="0"/>
                  <w:jc w:val="center"/>
                  <w:rPr>
                    <w:sz w:val="20"/>
                    <w:szCs w:val="20"/>
                    <w:highlight w:val="yellow"/>
                  </w:rPr>
                </w:pPr>
              </w:p>
            </w:tc>
          </w:tr>
        </w:tbl>
        <w:p w14:paraId="52F0C79D" w14:textId="77777777" w:rsidR="00E57DAA" w:rsidRDefault="00EB41A1">
          <w:pPr>
            <w:rPr>
              <w:szCs w:val="21"/>
            </w:rPr>
          </w:pPr>
        </w:p>
      </w:sdtContent>
    </w:sdt>
    <w:p w14:paraId="7A26B1B7" w14:textId="77777777" w:rsidR="00E57DAA" w:rsidRDefault="00E57DAA">
      <w:pPr>
        <w:rPr>
          <w:szCs w:val="21"/>
        </w:rPr>
      </w:pPr>
    </w:p>
    <w:p w14:paraId="397CB7F6" w14:textId="77777777" w:rsidR="00E57DAA" w:rsidRDefault="00AC4185">
      <w:pPr>
        <w:rPr>
          <w:szCs w:val="21"/>
        </w:rPr>
      </w:pPr>
      <w:r>
        <w:rPr>
          <w:rFonts w:hint="eastAsia"/>
          <w:szCs w:val="21"/>
        </w:rPr>
        <w:t>其他说明：</w:t>
      </w:r>
    </w:p>
    <w:sdt>
      <w:sdtPr>
        <w:rPr>
          <w:szCs w:val="21"/>
        </w:rPr>
        <w:alias w:val="是否适用：长期应付职工薪酬的其他说明[双击切换]"/>
        <w:tag w:val="_GBC_4c32051ec1ee486180dafb68d556d339"/>
        <w:id w:val="-902595889"/>
        <w:placeholder>
          <w:docPart w:val="GBC22222222222222222222222222222"/>
        </w:placeholder>
      </w:sdtPr>
      <w:sdtEndPr/>
      <w:sdtContent>
        <w:p w14:paraId="00AA233A"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1606CB" w14:textId="77777777" w:rsidR="00E57DAA" w:rsidRDefault="00E57DAA">
      <w:pPr>
        <w:rPr>
          <w:szCs w:val="21"/>
        </w:rPr>
      </w:pPr>
    </w:p>
    <w:p w14:paraId="5A0F5F5B" w14:textId="77777777" w:rsidR="00E57DAA" w:rsidRDefault="00AC4185" w:rsidP="00C25422">
      <w:pPr>
        <w:pStyle w:val="91"/>
        <w:numPr>
          <w:ilvl w:val="0"/>
          <w:numId w:val="69"/>
        </w:numPr>
      </w:pPr>
      <w:r>
        <w:rPr>
          <w:rFonts w:hint="eastAsia"/>
        </w:rPr>
        <w:t>预计负债</w:t>
      </w:r>
    </w:p>
    <w:bookmarkStart w:id="285" w:name="_Hlk533670325" w:displacedByCustomXml="next"/>
    <w:sdt>
      <w:sdtPr>
        <w:alias w:val="是否适用：预计负债[双击切换]"/>
        <w:tag w:val="_GBC_d57ab9083835465c9b1fdeb5ed46b3ce"/>
        <w:id w:val="-1162770055"/>
        <w:placeholder>
          <w:docPart w:val="GBC22222222222222222222222222222"/>
        </w:placeholder>
      </w:sdtPr>
      <w:sdtEndPr/>
      <w:sdtContent>
        <w:p w14:paraId="1ACA019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AB9947" w14:textId="77777777" w:rsidR="00E57DAA" w:rsidRDefault="00AC4185">
      <w:pPr>
        <w:jc w:val="right"/>
        <w:rPr>
          <w:szCs w:val="21"/>
        </w:rPr>
      </w:pPr>
      <w:r>
        <w:rPr>
          <w:rFonts w:hint="eastAsia"/>
          <w:szCs w:val="21"/>
        </w:rPr>
        <w:t>单位：</w:t>
      </w:r>
      <w:sdt>
        <w:sdtPr>
          <w:rPr>
            <w:rFonts w:hint="eastAsia"/>
            <w:szCs w:val="21"/>
          </w:rPr>
          <w:alias w:val="单位：财务附注：预计负债"/>
          <w:tag w:val="_GBC_579154bdef014b44aba03cac00df126c"/>
          <w:id w:val="14544427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3829848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05"/>
        <w:gridCol w:w="2206"/>
        <w:gridCol w:w="2206"/>
        <w:gridCol w:w="2206"/>
      </w:tblGrid>
      <w:tr w:rsidR="00E57DAA" w14:paraId="5115A7BA" w14:textId="77777777">
        <w:trPr>
          <w:cantSplit/>
        </w:trPr>
        <w:sdt>
          <w:sdtPr>
            <w:tag w:val="_PLD_afddd1066e934e598ead7a6e38343c21"/>
            <w:id w:val="567994162"/>
          </w:sdtPr>
          <w:sdtEndPr/>
          <w:sdtContent>
            <w:tc>
              <w:tcPr>
                <w:tcW w:w="1250" w:type="pct"/>
                <w:vAlign w:val="center"/>
              </w:tcPr>
              <w:p w14:paraId="1C242511" w14:textId="77777777" w:rsidR="00E57DAA" w:rsidRDefault="00AC4185">
                <w:pPr>
                  <w:ind w:right="105"/>
                  <w:jc w:val="center"/>
                  <w:rPr>
                    <w:szCs w:val="21"/>
                  </w:rPr>
                </w:pPr>
                <w:r>
                  <w:rPr>
                    <w:rFonts w:hint="eastAsia"/>
                    <w:szCs w:val="21"/>
                  </w:rPr>
                  <w:t>项目</w:t>
                </w:r>
              </w:p>
            </w:tc>
          </w:sdtContent>
        </w:sdt>
        <w:sdt>
          <w:sdtPr>
            <w:tag w:val="_PLD_d493e26e1fb643299cea253bb9f43ca1"/>
            <w:id w:val="-545072288"/>
          </w:sdtPr>
          <w:sdtEndPr/>
          <w:sdtContent>
            <w:tc>
              <w:tcPr>
                <w:tcW w:w="1250" w:type="pct"/>
              </w:tcPr>
              <w:p w14:paraId="31AEC2B6" w14:textId="77777777" w:rsidR="00E57DAA" w:rsidRDefault="00AC4185">
                <w:pPr>
                  <w:jc w:val="center"/>
                  <w:rPr>
                    <w:szCs w:val="21"/>
                  </w:rPr>
                </w:pPr>
                <w:r>
                  <w:rPr>
                    <w:rFonts w:hint="eastAsia"/>
                    <w:szCs w:val="21"/>
                  </w:rPr>
                  <w:t>期初余额</w:t>
                </w:r>
              </w:p>
            </w:tc>
          </w:sdtContent>
        </w:sdt>
        <w:sdt>
          <w:sdtPr>
            <w:tag w:val="_PLD_34e5a75912204ec1a95f806f18cf2748"/>
            <w:id w:val="1635986244"/>
          </w:sdtPr>
          <w:sdtEndPr/>
          <w:sdtContent>
            <w:tc>
              <w:tcPr>
                <w:tcW w:w="1250" w:type="pct"/>
              </w:tcPr>
              <w:p w14:paraId="1870892D" w14:textId="77777777" w:rsidR="00E57DAA" w:rsidRDefault="00AC4185">
                <w:pPr>
                  <w:jc w:val="center"/>
                  <w:rPr>
                    <w:szCs w:val="21"/>
                  </w:rPr>
                </w:pPr>
                <w:r>
                  <w:rPr>
                    <w:rFonts w:hint="eastAsia"/>
                    <w:szCs w:val="21"/>
                  </w:rPr>
                  <w:t>期末余额</w:t>
                </w:r>
              </w:p>
            </w:tc>
          </w:sdtContent>
        </w:sdt>
        <w:sdt>
          <w:sdtPr>
            <w:tag w:val="_PLD_4ab9627b71924167a2397cf4a5d9e546"/>
            <w:id w:val="757415468"/>
          </w:sdtPr>
          <w:sdtEndPr/>
          <w:sdtContent>
            <w:tc>
              <w:tcPr>
                <w:tcW w:w="1250" w:type="pct"/>
              </w:tcPr>
              <w:p w14:paraId="304B3AA5" w14:textId="77777777" w:rsidR="00E57DAA" w:rsidRDefault="00AC4185">
                <w:pPr>
                  <w:jc w:val="center"/>
                  <w:rPr>
                    <w:szCs w:val="21"/>
                  </w:rPr>
                </w:pPr>
                <w:r>
                  <w:rPr>
                    <w:rFonts w:hint="eastAsia"/>
                    <w:szCs w:val="21"/>
                  </w:rPr>
                  <w:t>形成原因</w:t>
                </w:r>
              </w:p>
            </w:tc>
          </w:sdtContent>
        </w:sdt>
      </w:tr>
      <w:tr w:rsidR="00E57DAA" w14:paraId="24781ABB" w14:textId="77777777">
        <w:trPr>
          <w:cantSplit/>
        </w:trPr>
        <w:tc>
          <w:tcPr>
            <w:tcW w:w="1250" w:type="pct"/>
            <w:shd w:val="clear" w:color="auto" w:fill="auto"/>
            <w:vAlign w:val="center"/>
          </w:tcPr>
          <w:p w14:paraId="46D077F7" w14:textId="77777777" w:rsidR="00E57DAA" w:rsidRDefault="00AC4185">
            <w:pPr>
              <w:ind w:right="105"/>
              <w:rPr>
                <w:szCs w:val="21"/>
              </w:rPr>
            </w:pPr>
            <w:r>
              <w:rPr>
                <w:rFonts w:hint="eastAsia"/>
                <w:szCs w:val="21"/>
              </w:rPr>
              <w:t>未决诉讼</w:t>
            </w:r>
          </w:p>
        </w:tc>
        <w:tc>
          <w:tcPr>
            <w:tcW w:w="1250" w:type="pct"/>
            <w:vAlign w:val="center"/>
          </w:tcPr>
          <w:p w14:paraId="46972010" w14:textId="77777777" w:rsidR="00E57DAA" w:rsidRDefault="00AC4185">
            <w:pPr>
              <w:jc w:val="right"/>
              <w:rPr>
                <w:szCs w:val="21"/>
              </w:rPr>
            </w:pPr>
            <w:r>
              <w:t>53,755,014.29</w:t>
            </w:r>
          </w:p>
        </w:tc>
        <w:tc>
          <w:tcPr>
            <w:tcW w:w="1250" w:type="pct"/>
            <w:vAlign w:val="center"/>
          </w:tcPr>
          <w:p w14:paraId="2EB5DDC8" w14:textId="77777777" w:rsidR="00E57DAA" w:rsidRDefault="00AC4185">
            <w:pPr>
              <w:jc w:val="right"/>
              <w:rPr>
                <w:szCs w:val="21"/>
              </w:rPr>
            </w:pPr>
            <w:r>
              <w:t>473,673.00</w:t>
            </w:r>
          </w:p>
        </w:tc>
        <w:tc>
          <w:tcPr>
            <w:tcW w:w="1250" w:type="pct"/>
          </w:tcPr>
          <w:p w14:paraId="1209FE93" w14:textId="77777777" w:rsidR="00E57DAA" w:rsidRDefault="00E57DAA">
            <w:pPr>
              <w:ind w:right="73"/>
              <w:rPr>
                <w:szCs w:val="21"/>
              </w:rPr>
            </w:pPr>
          </w:p>
        </w:tc>
      </w:tr>
      <w:tr w:rsidR="00E57DAA" w14:paraId="0CD82C08" w14:textId="77777777">
        <w:trPr>
          <w:cantSplit/>
        </w:trPr>
        <w:tc>
          <w:tcPr>
            <w:tcW w:w="1250" w:type="pct"/>
            <w:shd w:val="clear" w:color="auto" w:fill="auto"/>
            <w:vAlign w:val="center"/>
          </w:tcPr>
          <w:p w14:paraId="2EA63CCB" w14:textId="77777777" w:rsidR="00E57DAA" w:rsidRDefault="00AC4185">
            <w:pPr>
              <w:ind w:right="105"/>
              <w:rPr>
                <w:szCs w:val="21"/>
              </w:rPr>
            </w:pPr>
            <w:r>
              <w:rPr>
                <w:rFonts w:hint="eastAsia"/>
                <w:szCs w:val="21"/>
              </w:rPr>
              <w:t>产品质量保证</w:t>
            </w:r>
          </w:p>
        </w:tc>
        <w:tc>
          <w:tcPr>
            <w:tcW w:w="1250" w:type="pct"/>
            <w:vAlign w:val="center"/>
          </w:tcPr>
          <w:p w14:paraId="3A770ED0" w14:textId="77777777" w:rsidR="00E57DAA" w:rsidRDefault="00AC4185">
            <w:pPr>
              <w:jc w:val="right"/>
              <w:rPr>
                <w:szCs w:val="21"/>
              </w:rPr>
            </w:pPr>
            <w:r>
              <w:t>25,125,145.67</w:t>
            </w:r>
          </w:p>
        </w:tc>
        <w:tc>
          <w:tcPr>
            <w:tcW w:w="1250" w:type="pct"/>
            <w:vAlign w:val="center"/>
          </w:tcPr>
          <w:p w14:paraId="04801DF4" w14:textId="77777777" w:rsidR="00E57DAA" w:rsidRDefault="00AC4185">
            <w:pPr>
              <w:jc w:val="right"/>
              <w:rPr>
                <w:szCs w:val="21"/>
              </w:rPr>
            </w:pPr>
            <w:r>
              <w:t>1,932,881.62</w:t>
            </w:r>
          </w:p>
        </w:tc>
        <w:tc>
          <w:tcPr>
            <w:tcW w:w="1250" w:type="pct"/>
          </w:tcPr>
          <w:p w14:paraId="4209CBB1" w14:textId="77777777" w:rsidR="00E57DAA" w:rsidRDefault="00E57DAA">
            <w:pPr>
              <w:ind w:right="73"/>
              <w:rPr>
                <w:szCs w:val="21"/>
              </w:rPr>
            </w:pPr>
          </w:p>
        </w:tc>
      </w:tr>
      <w:tr w:rsidR="00E57DAA" w14:paraId="6B7C443C" w14:textId="77777777">
        <w:trPr>
          <w:cantSplit/>
        </w:trPr>
        <w:tc>
          <w:tcPr>
            <w:tcW w:w="1250" w:type="pct"/>
            <w:shd w:val="clear" w:color="auto" w:fill="auto"/>
            <w:vAlign w:val="center"/>
          </w:tcPr>
          <w:p w14:paraId="5C1DE381" w14:textId="77777777" w:rsidR="00E57DAA" w:rsidRDefault="00AC4185">
            <w:pPr>
              <w:ind w:right="105"/>
              <w:rPr>
                <w:szCs w:val="21"/>
              </w:rPr>
            </w:pPr>
            <w:r>
              <w:rPr>
                <w:rFonts w:hint="eastAsia"/>
                <w:szCs w:val="21"/>
              </w:rPr>
              <w:t>合同违约赔偿准备金</w:t>
            </w:r>
          </w:p>
        </w:tc>
        <w:tc>
          <w:tcPr>
            <w:tcW w:w="1250" w:type="pct"/>
            <w:vAlign w:val="center"/>
          </w:tcPr>
          <w:p w14:paraId="01ADB956" w14:textId="77777777" w:rsidR="00E57DAA" w:rsidRDefault="00AC4185">
            <w:pPr>
              <w:jc w:val="right"/>
              <w:rPr>
                <w:szCs w:val="21"/>
              </w:rPr>
            </w:pPr>
            <w:r>
              <w:t>23,116,894.97</w:t>
            </w:r>
          </w:p>
        </w:tc>
        <w:tc>
          <w:tcPr>
            <w:tcW w:w="1250" w:type="pct"/>
            <w:vAlign w:val="center"/>
          </w:tcPr>
          <w:p w14:paraId="00ABDA2F" w14:textId="77777777" w:rsidR="00E57DAA" w:rsidRDefault="00AC4185">
            <w:pPr>
              <w:jc w:val="right"/>
              <w:rPr>
                <w:szCs w:val="21"/>
              </w:rPr>
            </w:pPr>
            <w:r>
              <w:t>23,355,337.01</w:t>
            </w:r>
          </w:p>
        </w:tc>
        <w:tc>
          <w:tcPr>
            <w:tcW w:w="1250" w:type="pct"/>
          </w:tcPr>
          <w:p w14:paraId="5BDDEA8F" w14:textId="77777777" w:rsidR="00E57DAA" w:rsidRDefault="00E57DAA">
            <w:pPr>
              <w:ind w:right="73"/>
              <w:rPr>
                <w:szCs w:val="21"/>
              </w:rPr>
            </w:pPr>
          </w:p>
        </w:tc>
      </w:tr>
      <w:tr w:rsidR="00E57DAA" w14:paraId="50C05231" w14:textId="77777777">
        <w:trPr>
          <w:cantSplit/>
        </w:trPr>
        <w:tc>
          <w:tcPr>
            <w:tcW w:w="1250" w:type="pct"/>
            <w:shd w:val="clear" w:color="auto" w:fill="auto"/>
          </w:tcPr>
          <w:p w14:paraId="1952AC28" w14:textId="77777777" w:rsidR="00E57DAA" w:rsidRDefault="00AC4185">
            <w:pPr>
              <w:ind w:right="105"/>
              <w:rPr>
                <w:szCs w:val="21"/>
              </w:rPr>
            </w:pPr>
            <w:r>
              <w:rPr>
                <w:rFonts w:hint="eastAsia"/>
                <w:szCs w:val="21"/>
              </w:rPr>
              <w:t>待执行的亏损合同</w:t>
            </w:r>
          </w:p>
        </w:tc>
        <w:tc>
          <w:tcPr>
            <w:tcW w:w="1250" w:type="pct"/>
            <w:vAlign w:val="center"/>
          </w:tcPr>
          <w:p w14:paraId="13A345D6" w14:textId="77777777" w:rsidR="00E57DAA" w:rsidRDefault="00AC4185">
            <w:pPr>
              <w:jc w:val="right"/>
              <w:rPr>
                <w:szCs w:val="21"/>
              </w:rPr>
            </w:pPr>
            <w:r>
              <w:t>60,982,512.97</w:t>
            </w:r>
          </w:p>
        </w:tc>
        <w:tc>
          <w:tcPr>
            <w:tcW w:w="1250" w:type="pct"/>
            <w:vAlign w:val="center"/>
          </w:tcPr>
          <w:p w14:paraId="79BAEB45" w14:textId="77777777" w:rsidR="00E57DAA" w:rsidRDefault="00AC4185">
            <w:pPr>
              <w:jc w:val="right"/>
              <w:rPr>
                <w:szCs w:val="21"/>
              </w:rPr>
            </w:pPr>
            <w:r>
              <w:t>78,395,625.48</w:t>
            </w:r>
          </w:p>
        </w:tc>
        <w:tc>
          <w:tcPr>
            <w:tcW w:w="1250" w:type="pct"/>
          </w:tcPr>
          <w:p w14:paraId="12E0AFAE" w14:textId="77777777" w:rsidR="00E57DAA" w:rsidRDefault="00E57DAA">
            <w:pPr>
              <w:rPr>
                <w:szCs w:val="21"/>
              </w:rPr>
            </w:pPr>
          </w:p>
        </w:tc>
      </w:tr>
      <w:tr w:rsidR="00E57DAA" w14:paraId="2D408431" w14:textId="77777777">
        <w:trPr>
          <w:cantSplit/>
        </w:trPr>
        <w:tc>
          <w:tcPr>
            <w:tcW w:w="1250" w:type="pct"/>
            <w:shd w:val="clear" w:color="auto" w:fill="auto"/>
          </w:tcPr>
          <w:p w14:paraId="7D1E138A" w14:textId="77777777" w:rsidR="00E57DAA" w:rsidRDefault="00AC4185">
            <w:pPr>
              <w:ind w:right="105"/>
              <w:rPr>
                <w:szCs w:val="21"/>
              </w:rPr>
            </w:pPr>
            <w:r>
              <w:rPr>
                <w:rFonts w:hint="eastAsia"/>
                <w:szCs w:val="21"/>
              </w:rPr>
              <w:t>弃置费用</w:t>
            </w:r>
          </w:p>
        </w:tc>
        <w:tc>
          <w:tcPr>
            <w:tcW w:w="1250" w:type="pct"/>
            <w:vAlign w:val="center"/>
          </w:tcPr>
          <w:p w14:paraId="05E08B00" w14:textId="77777777" w:rsidR="00E57DAA" w:rsidRDefault="00AC4185">
            <w:pPr>
              <w:jc w:val="right"/>
              <w:rPr>
                <w:szCs w:val="21"/>
              </w:rPr>
            </w:pPr>
            <w:r>
              <w:t>25,987,000.00</w:t>
            </w:r>
          </w:p>
        </w:tc>
        <w:tc>
          <w:tcPr>
            <w:tcW w:w="1250" w:type="pct"/>
            <w:vAlign w:val="center"/>
          </w:tcPr>
          <w:p w14:paraId="124127D7" w14:textId="77777777" w:rsidR="00E57DAA" w:rsidRDefault="00AC4185">
            <w:pPr>
              <w:jc w:val="right"/>
              <w:rPr>
                <w:szCs w:val="21"/>
              </w:rPr>
            </w:pPr>
            <w:r>
              <w:t>25,987,000.00</w:t>
            </w:r>
          </w:p>
        </w:tc>
        <w:tc>
          <w:tcPr>
            <w:tcW w:w="1250" w:type="pct"/>
          </w:tcPr>
          <w:p w14:paraId="68A2165B" w14:textId="77777777" w:rsidR="00E57DAA" w:rsidRDefault="00E57DAA">
            <w:pPr>
              <w:rPr>
                <w:szCs w:val="21"/>
              </w:rPr>
            </w:pPr>
          </w:p>
        </w:tc>
      </w:tr>
      <w:tr w:rsidR="00E57DAA" w14:paraId="1C2B0C56" w14:textId="77777777">
        <w:trPr>
          <w:cantSplit/>
        </w:trPr>
        <w:tc>
          <w:tcPr>
            <w:tcW w:w="1250" w:type="pct"/>
            <w:vAlign w:val="center"/>
          </w:tcPr>
          <w:p w14:paraId="1F1C0B31" w14:textId="77777777" w:rsidR="00E57DAA" w:rsidRDefault="00AC4185">
            <w:pPr>
              <w:ind w:right="105"/>
              <w:jc w:val="center"/>
              <w:rPr>
                <w:szCs w:val="21"/>
              </w:rPr>
            </w:pPr>
            <w:r>
              <w:rPr>
                <w:rFonts w:hint="eastAsia"/>
                <w:szCs w:val="21"/>
              </w:rPr>
              <w:t>合计</w:t>
            </w:r>
          </w:p>
        </w:tc>
        <w:tc>
          <w:tcPr>
            <w:tcW w:w="1250" w:type="pct"/>
            <w:vAlign w:val="center"/>
          </w:tcPr>
          <w:p w14:paraId="11E623E8" w14:textId="77777777" w:rsidR="00E57DAA" w:rsidRDefault="00AC4185">
            <w:pPr>
              <w:jc w:val="right"/>
              <w:rPr>
                <w:szCs w:val="21"/>
              </w:rPr>
            </w:pPr>
            <w:r>
              <w:t>188,966,567.90</w:t>
            </w:r>
          </w:p>
        </w:tc>
        <w:tc>
          <w:tcPr>
            <w:tcW w:w="1250" w:type="pct"/>
            <w:vAlign w:val="center"/>
          </w:tcPr>
          <w:p w14:paraId="44FC2B3C" w14:textId="77777777" w:rsidR="00E57DAA" w:rsidRDefault="00AC4185">
            <w:pPr>
              <w:jc w:val="right"/>
              <w:rPr>
                <w:szCs w:val="21"/>
              </w:rPr>
            </w:pPr>
            <w:r>
              <w:t>130,144,517.11</w:t>
            </w:r>
          </w:p>
        </w:tc>
        <w:tc>
          <w:tcPr>
            <w:tcW w:w="1250" w:type="pct"/>
          </w:tcPr>
          <w:p w14:paraId="1913803B" w14:textId="77777777" w:rsidR="00E57DAA" w:rsidRDefault="00AC4185">
            <w:pPr>
              <w:jc w:val="center"/>
              <w:rPr>
                <w:color w:val="000000" w:themeColor="text1"/>
                <w:szCs w:val="21"/>
              </w:rPr>
            </w:pPr>
            <w:r>
              <w:rPr>
                <w:rFonts w:hint="eastAsia"/>
                <w:color w:val="000000" w:themeColor="text1"/>
                <w:szCs w:val="21"/>
              </w:rPr>
              <w:t>/</w:t>
            </w:r>
          </w:p>
        </w:tc>
      </w:tr>
      <w:bookmarkEnd w:id="285"/>
    </w:tbl>
    <w:p w14:paraId="3A84FBDC" w14:textId="77777777" w:rsidR="00E57DAA" w:rsidRDefault="00E57DAA">
      <w:pPr>
        <w:autoSpaceDE w:val="0"/>
        <w:autoSpaceDN w:val="0"/>
        <w:adjustRightInd w:val="0"/>
        <w:rPr>
          <w:szCs w:val="21"/>
        </w:rPr>
      </w:pPr>
    </w:p>
    <w:p w14:paraId="1ABEFEBE" w14:textId="77777777" w:rsidR="00E57DAA" w:rsidRDefault="00E57DAA">
      <w:pPr>
        <w:rPr>
          <w:szCs w:val="21"/>
        </w:rPr>
      </w:pPr>
    </w:p>
    <w:p w14:paraId="2C3F6E01" w14:textId="77777777" w:rsidR="00E57DAA" w:rsidRDefault="00AC4185" w:rsidP="00C25422">
      <w:pPr>
        <w:pStyle w:val="91"/>
        <w:numPr>
          <w:ilvl w:val="0"/>
          <w:numId w:val="69"/>
        </w:numPr>
      </w:pPr>
      <w:r>
        <w:rPr>
          <w:rFonts w:hint="eastAsia"/>
        </w:rPr>
        <w:t>递延收益</w:t>
      </w:r>
    </w:p>
    <w:p w14:paraId="186BF1EF" w14:textId="77777777" w:rsidR="00E57DAA" w:rsidRDefault="00AC4185" w:rsidP="00C25422">
      <w:pPr>
        <w:pStyle w:val="73"/>
        <w:ind w:firstLine="400"/>
      </w:pPr>
      <w:r>
        <w:rPr>
          <w:rFonts w:hint="eastAsia"/>
        </w:rPr>
        <w:t>递延收益情况</w:t>
      </w:r>
    </w:p>
    <w:sdt>
      <w:sdtPr>
        <w:rPr>
          <w:rFonts w:hint="eastAsia"/>
        </w:rPr>
        <w:alias w:val="是否适用：递延收益情况 [双击切换]"/>
        <w:tag w:val="_GBC_1dc89c2a3092474186405d574af5f0a9"/>
        <w:id w:val="1651332785"/>
        <w:placeholder>
          <w:docPart w:val="GBC22222222222222222222222222222"/>
        </w:placeholder>
      </w:sdtPr>
      <w:sdtEndPr/>
      <w:sdtContent>
        <w:p w14:paraId="002D21F0" w14:textId="77777777" w:rsidR="00E57DAA" w:rsidRDefault="00AC4185" w:rsidP="00C25422">
          <w:pPr>
            <w:pStyle w:val="73"/>
            <w:ind w:firstLine="400"/>
          </w:pPr>
          <w:r>
            <w:fldChar w:fldCharType="begin"/>
          </w:r>
          <w:r>
            <w:instrText xml:space="preserve"> </w:instrText>
          </w:r>
          <w:r>
            <w:rPr>
              <w:rFonts w:hint="eastAsia"/>
            </w:rPr>
            <w:instrText xml:space="preserve">MACROBUTTON  SnrToggleCheckbox </w:instrText>
          </w:r>
          <w:r>
            <w:rPr>
              <w:rFonts w:hint="eastAsia"/>
            </w:rPr>
            <w:instrText>√适用</w:instrText>
          </w:r>
          <w:r>
            <w:rPr>
              <w:rFonts w:hint="eastAsia"/>
            </w:rPr>
            <w:instrText xml:space="preserve"> </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E7BABEF" w14:textId="77777777" w:rsidR="00E57DAA" w:rsidRDefault="00AC4185" w:rsidP="00C25422">
      <w:pPr>
        <w:pStyle w:val="73"/>
        <w:ind w:firstLine="400"/>
      </w:pPr>
      <w:r>
        <w:rPr>
          <w:rFonts w:hint="eastAsia"/>
        </w:rPr>
        <w:t>单位：</w:t>
      </w:r>
      <w:sdt>
        <w:sdtPr>
          <w:rPr>
            <w:rFonts w:hint="eastAsia"/>
          </w:rPr>
          <w:alias w:val="单位：财务附注：递延收益"/>
          <w:tag w:val="_GBC_302facde74424f4893f0a42db0d6e1ba"/>
          <w:id w:val="3197051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递延收益"/>
          <w:tag w:val="_GBC_99380f3ab3514d54aa39945566772fb3"/>
          <w:id w:val="-15456731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91"/>
        <w:gridCol w:w="1696"/>
        <w:gridCol w:w="1591"/>
        <w:gridCol w:w="1591"/>
        <w:gridCol w:w="1696"/>
        <w:gridCol w:w="1158"/>
      </w:tblGrid>
      <w:tr w:rsidR="00E57DAA" w14:paraId="5504F2E0" w14:textId="77777777">
        <w:trPr>
          <w:cantSplit/>
          <w:trHeight w:val="335"/>
        </w:trPr>
        <w:sdt>
          <w:sdtPr>
            <w:tag w:val="_PLD_06c0ddfa4a2746ca8f12eddff124e05c"/>
            <w:id w:val="2020193682"/>
          </w:sdtPr>
          <w:sdtEndPr/>
          <w:sdtContent>
            <w:tc>
              <w:tcPr>
                <w:tcW w:w="844" w:type="pct"/>
                <w:shd w:val="clear" w:color="auto" w:fill="auto"/>
                <w:vAlign w:val="center"/>
              </w:tcPr>
              <w:p w14:paraId="497FCF0F" w14:textId="77777777" w:rsidR="00E57DAA" w:rsidRDefault="00AC4185">
                <w:pPr>
                  <w:jc w:val="center"/>
                  <w:rPr>
                    <w:szCs w:val="21"/>
                  </w:rPr>
                </w:pPr>
                <w:r>
                  <w:rPr>
                    <w:rFonts w:hint="eastAsia"/>
                    <w:szCs w:val="21"/>
                  </w:rPr>
                  <w:t>项目</w:t>
                </w:r>
              </w:p>
            </w:tc>
          </w:sdtContent>
        </w:sdt>
        <w:sdt>
          <w:sdtPr>
            <w:tag w:val="_PLD_4c41187d18a94eb4908c030c31b5a141"/>
            <w:id w:val="-29265119"/>
          </w:sdtPr>
          <w:sdtEndPr/>
          <w:sdtContent>
            <w:tc>
              <w:tcPr>
                <w:tcW w:w="811" w:type="pct"/>
                <w:shd w:val="clear" w:color="auto" w:fill="auto"/>
                <w:vAlign w:val="center"/>
              </w:tcPr>
              <w:p w14:paraId="47375581" w14:textId="77777777" w:rsidR="00E57DAA" w:rsidRDefault="00AC4185">
                <w:pPr>
                  <w:jc w:val="center"/>
                  <w:rPr>
                    <w:szCs w:val="21"/>
                  </w:rPr>
                </w:pPr>
                <w:r>
                  <w:rPr>
                    <w:rFonts w:hint="eastAsia"/>
                    <w:szCs w:val="21"/>
                  </w:rPr>
                  <w:t>期初余额</w:t>
                </w:r>
              </w:p>
            </w:tc>
          </w:sdtContent>
        </w:sdt>
        <w:sdt>
          <w:sdtPr>
            <w:tag w:val="_PLD_7823db68b61845e58a185dffbbfd2804"/>
            <w:id w:val="589127869"/>
          </w:sdtPr>
          <w:sdtEndPr/>
          <w:sdtContent>
            <w:tc>
              <w:tcPr>
                <w:tcW w:w="819" w:type="pct"/>
                <w:shd w:val="clear" w:color="auto" w:fill="auto"/>
                <w:vAlign w:val="center"/>
              </w:tcPr>
              <w:p w14:paraId="30D814A6" w14:textId="77777777" w:rsidR="00E57DAA" w:rsidRDefault="00AC4185">
                <w:pPr>
                  <w:jc w:val="center"/>
                  <w:rPr>
                    <w:szCs w:val="21"/>
                  </w:rPr>
                </w:pPr>
                <w:r>
                  <w:rPr>
                    <w:rFonts w:hint="eastAsia"/>
                    <w:szCs w:val="21"/>
                  </w:rPr>
                  <w:t>本期增加</w:t>
                </w:r>
              </w:p>
            </w:tc>
          </w:sdtContent>
        </w:sdt>
        <w:sdt>
          <w:sdtPr>
            <w:tag w:val="_PLD_53b43bfd28984007852c2e00c870c71e"/>
            <w:id w:val="284927524"/>
          </w:sdtPr>
          <w:sdtEndPr/>
          <w:sdtContent>
            <w:tc>
              <w:tcPr>
                <w:tcW w:w="810" w:type="pct"/>
                <w:shd w:val="clear" w:color="auto" w:fill="auto"/>
                <w:vAlign w:val="center"/>
              </w:tcPr>
              <w:p w14:paraId="6C9CF586" w14:textId="77777777" w:rsidR="00E57DAA" w:rsidRDefault="00AC4185">
                <w:pPr>
                  <w:jc w:val="center"/>
                  <w:rPr>
                    <w:szCs w:val="21"/>
                  </w:rPr>
                </w:pPr>
                <w:r>
                  <w:rPr>
                    <w:rFonts w:hint="eastAsia"/>
                    <w:szCs w:val="21"/>
                  </w:rPr>
                  <w:t>本期减少</w:t>
                </w:r>
              </w:p>
            </w:tc>
          </w:sdtContent>
        </w:sdt>
        <w:bookmarkStart w:id="286" w:name="OLE_LINK66" w:displacedByCustomXml="next"/>
        <w:bookmarkStart w:id="287" w:name="OLE_LINK67" w:displacedByCustomXml="next"/>
        <w:sdt>
          <w:sdtPr>
            <w:tag w:val="_PLD_f07e96209c8b4d728b2a1b24ad38bcf7"/>
            <w:id w:val="446825467"/>
          </w:sdtPr>
          <w:sdtEndPr/>
          <w:sdtContent>
            <w:tc>
              <w:tcPr>
                <w:tcW w:w="835" w:type="pct"/>
                <w:shd w:val="clear" w:color="auto" w:fill="auto"/>
                <w:vAlign w:val="center"/>
              </w:tcPr>
              <w:p w14:paraId="5C8411FC" w14:textId="77777777" w:rsidR="00E57DAA" w:rsidRDefault="00AC4185">
                <w:pPr>
                  <w:jc w:val="center"/>
                  <w:rPr>
                    <w:szCs w:val="21"/>
                  </w:rPr>
                </w:pPr>
                <w:r>
                  <w:rPr>
                    <w:rFonts w:hint="eastAsia"/>
                    <w:szCs w:val="21"/>
                  </w:rPr>
                  <w:t>期末余额</w:t>
                </w:r>
              </w:p>
            </w:tc>
          </w:sdtContent>
        </w:sdt>
        <w:bookmarkEnd w:id="286" w:displacedByCustomXml="next"/>
        <w:bookmarkEnd w:id="287" w:displacedByCustomXml="next"/>
        <w:sdt>
          <w:sdtPr>
            <w:tag w:val="_PLD_86dc51c05b1340c5968feded0e64c1f1"/>
            <w:id w:val="72638003"/>
          </w:sdtPr>
          <w:sdtEndPr/>
          <w:sdtContent>
            <w:tc>
              <w:tcPr>
                <w:tcW w:w="881" w:type="pct"/>
                <w:shd w:val="clear" w:color="auto" w:fill="auto"/>
                <w:vAlign w:val="center"/>
              </w:tcPr>
              <w:p w14:paraId="51B2D793" w14:textId="77777777" w:rsidR="00E57DAA" w:rsidRDefault="00AC4185">
                <w:pPr>
                  <w:jc w:val="center"/>
                  <w:rPr>
                    <w:szCs w:val="21"/>
                  </w:rPr>
                </w:pPr>
                <w:r>
                  <w:rPr>
                    <w:rFonts w:hint="eastAsia"/>
                    <w:szCs w:val="21"/>
                  </w:rPr>
                  <w:t>形成原因</w:t>
                </w:r>
              </w:p>
            </w:tc>
          </w:sdtContent>
        </w:sdt>
      </w:tr>
      <w:tr w:rsidR="00E57DAA" w14:paraId="4388911B" w14:textId="77777777">
        <w:trPr>
          <w:cantSplit/>
        </w:trPr>
        <w:tc>
          <w:tcPr>
            <w:tcW w:w="844" w:type="pct"/>
            <w:shd w:val="clear" w:color="auto" w:fill="auto"/>
            <w:vAlign w:val="center"/>
          </w:tcPr>
          <w:p w14:paraId="39E6585D" w14:textId="77777777" w:rsidR="00E57DAA" w:rsidRDefault="00AC4185">
            <w:pPr>
              <w:rPr>
                <w:szCs w:val="21"/>
              </w:rPr>
            </w:pPr>
            <w:r>
              <w:rPr>
                <w:rFonts w:hint="eastAsia"/>
                <w:szCs w:val="21"/>
              </w:rPr>
              <w:t>政府补助</w:t>
            </w:r>
          </w:p>
        </w:tc>
        <w:tc>
          <w:tcPr>
            <w:tcW w:w="811" w:type="pct"/>
            <w:shd w:val="clear" w:color="auto" w:fill="auto"/>
            <w:vAlign w:val="center"/>
          </w:tcPr>
          <w:p w14:paraId="54D8AB38" w14:textId="77777777" w:rsidR="00E57DAA" w:rsidRDefault="00AC4185">
            <w:pPr>
              <w:jc w:val="right"/>
              <w:rPr>
                <w:szCs w:val="21"/>
              </w:rPr>
            </w:pPr>
            <w:r>
              <w:t>337,760,504.33</w:t>
            </w:r>
          </w:p>
        </w:tc>
        <w:tc>
          <w:tcPr>
            <w:tcW w:w="819" w:type="pct"/>
            <w:shd w:val="clear" w:color="auto" w:fill="auto"/>
            <w:vAlign w:val="center"/>
          </w:tcPr>
          <w:p w14:paraId="172D6F78" w14:textId="77777777" w:rsidR="00E57DAA" w:rsidRDefault="00AC4185">
            <w:pPr>
              <w:jc w:val="right"/>
              <w:rPr>
                <w:szCs w:val="21"/>
              </w:rPr>
            </w:pPr>
            <w:r>
              <w:t>40,872,647.22</w:t>
            </w:r>
          </w:p>
        </w:tc>
        <w:tc>
          <w:tcPr>
            <w:tcW w:w="810" w:type="pct"/>
            <w:shd w:val="clear" w:color="auto" w:fill="auto"/>
            <w:vAlign w:val="center"/>
          </w:tcPr>
          <w:p w14:paraId="451A0631" w14:textId="77777777" w:rsidR="00E57DAA" w:rsidRDefault="00AC4185">
            <w:pPr>
              <w:jc w:val="right"/>
              <w:rPr>
                <w:szCs w:val="21"/>
              </w:rPr>
            </w:pPr>
            <w:r>
              <w:t>76,967,488.38</w:t>
            </w:r>
          </w:p>
        </w:tc>
        <w:tc>
          <w:tcPr>
            <w:tcW w:w="835" w:type="pct"/>
            <w:shd w:val="clear" w:color="auto" w:fill="auto"/>
            <w:vAlign w:val="center"/>
          </w:tcPr>
          <w:p w14:paraId="126C571A" w14:textId="77777777" w:rsidR="00E57DAA" w:rsidRDefault="00AC4185">
            <w:pPr>
              <w:jc w:val="right"/>
              <w:rPr>
                <w:szCs w:val="21"/>
              </w:rPr>
            </w:pPr>
            <w:r>
              <w:t>301,665,663.17</w:t>
            </w:r>
          </w:p>
        </w:tc>
        <w:tc>
          <w:tcPr>
            <w:tcW w:w="881" w:type="pct"/>
            <w:shd w:val="clear" w:color="auto" w:fill="auto"/>
          </w:tcPr>
          <w:p w14:paraId="615636FE" w14:textId="77777777" w:rsidR="00E57DAA" w:rsidRDefault="00E57DAA">
            <w:pPr>
              <w:widowControl w:val="0"/>
              <w:tabs>
                <w:tab w:val="left" w:pos="812"/>
              </w:tabs>
              <w:snapToGrid w:val="0"/>
              <w:spacing w:line="360" w:lineRule="auto"/>
              <w:ind w:firstLineChars="200" w:firstLine="420"/>
              <w:jc w:val="both"/>
              <w:rPr>
                <w:szCs w:val="21"/>
              </w:rPr>
            </w:pPr>
          </w:p>
        </w:tc>
      </w:tr>
      <w:tr w:rsidR="00E57DAA" w14:paraId="68FD59A1" w14:textId="77777777">
        <w:trPr>
          <w:cantSplit/>
        </w:trPr>
        <w:tc>
          <w:tcPr>
            <w:tcW w:w="844" w:type="pct"/>
            <w:shd w:val="clear" w:color="auto" w:fill="auto"/>
            <w:vAlign w:val="center"/>
          </w:tcPr>
          <w:p w14:paraId="693382B0" w14:textId="77777777" w:rsidR="00E57DAA" w:rsidRDefault="00AC4185">
            <w:pPr>
              <w:jc w:val="center"/>
              <w:rPr>
                <w:szCs w:val="21"/>
              </w:rPr>
            </w:pPr>
            <w:r>
              <w:rPr>
                <w:rFonts w:hint="eastAsia"/>
                <w:szCs w:val="21"/>
              </w:rPr>
              <w:t>合计</w:t>
            </w:r>
          </w:p>
        </w:tc>
        <w:tc>
          <w:tcPr>
            <w:tcW w:w="811" w:type="pct"/>
            <w:shd w:val="clear" w:color="auto" w:fill="auto"/>
            <w:vAlign w:val="center"/>
          </w:tcPr>
          <w:p w14:paraId="78297785" w14:textId="77777777" w:rsidR="00E57DAA" w:rsidRDefault="00AC4185">
            <w:pPr>
              <w:jc w:val="right"/>
              <w:rPr>
                <w:szCs w:val="21"/>
              </w:rPr>
            </w:pPr>
            <w:r>
              <w:t>337,760,504.33</w:t>
            </w:r>
          </w:p>
        </w:tc>
        <w:tc>
          <w:tcPr>
            <w:tcW w:w="819" w:type="pct"/>
            <w:shd w:val="clear" w:color="auto" w:fill="auto"/>
            <w:vAlign w:val="center"/>
          </w:tcPr>
          <w:p w14:paraId="69DB247F" w14:textId="77777777" w:rsidR="00E57DAA" w:rsidRDefault="00AC4185">
            <w:pPr>
              <w:jc w:val="right"/>
              <w:rPr>
                <w:szCs w:val="21"/>
              </w:rPr>
            </w:pPr>
            <w:r>
              <w:t>40,872,647.22</w:t>
            </w:r>
          </w:p>
        </w:tc>
        <w:tc>
          <w:tcPr>
            <w:tcW w:w="810" w:type="pct"/>
            <w:shd w:val="clear" w:color="auto" w:fill="auto"/>
            <w:vAlign w:val="center"/>
          </w:tcPr>
          <w:p w14:paraId="17140DA8" w14:textId="77777777" w:rsidR="00E57DAA" w:rsidRDefault="00AC4185">
            <w:pPr>
              <w:jc w:val="right"/>
              <w:rPr>
                <w:szCs w:val="21"/>
              </w:rPr>
            </w:pPr>
            <w:r>
              <w:t>76,967,488.38</w:t>
            </w:r>
          </w:p>
        </w:tc>
        <w:tc>
          <w:tcPr>
            <w:tcW w:w="835" w:type="pct"/>
            <w:shd w:val="clear" w:color="auto" w:fill="auto"/>
            <w:vAlign w:val="center"/>
          </w:tcPr>
          <w:p w14:paraId="775CA09F" w14:textId="77777777" w:rsidR="00E57DAA" w:rsidRDefault="00AC4185">
            <w:pPr>
              <w:jc w:val="right"/>
              <w:rPr>
                <w:szCs w:val="21"/>
              </w:rPr>
            </w:pPr>
            <w:r>
              <w:t>301,665,663.17</w:t>
            </w:r>
          </w:p>
        </w:tc>
        <w:tc>
          <w:tcPr>
            <w:tcW w:w="881" w:type="pct"/>
            <w:shd w:val="clear" w:color="auto" w:fill="auto"/>
          </w:tcPr>
          <w:p w14:paraId="378AF59D" w14:textId="77777777" w:rsidR="00E57DAA" w:rsidRDefault="00AC4185">
            <w:pPr>
              <w:jc w:val="center"/>
              <w:rPr>
                <w:szCs w:val="21"/>
              </w:rPr>
            </w:pPr>
            <w:r>
              <w:rPr>
                <w:rFonts w:hint="eastAsia"/>
                <w:szCs w:val="21"/>
              </w:rPr>
              <w:t>/</w:t>
            </w:r>
          </w:p>
        </w:tc>
      </w:tr>
    </w:tbl>
    <w:p w14:paraId="5A646E45" w14:textId="77777777" w:rsidR="00E57DAA" w:rsidRDefault="00E57DAA" w:rsidP="00C25422">
      <w:pPr>
        <w:pStyle w:val="92"/>
      </w:pPr>
      <w:bookmarkStart w:id="288" w:name="_Hlk532902569"/>
      <w:bookmarkStart w:id="289" w:name="_Hlk532902543"/>
    </w:p>
    <w:p w14:paraId="59E745C6" w14:textId="77777777" w:rsidR="00E57DAA" w:rsidRDefault="00AC4185">
      <w:pPr>
        <w:spacing w:before="60" w:after="60"/>
        <w:rPr>
          <w:szCs w:val="21"/>
        </w:rPr>
      </w:pPr>
      <w:r>
        <w:rPr>
          <w:rFonts w:hint="eastAsia"/>
          <w:szCs w:val="21"/>
        </w:rPr>
        <w:t>其他说明：</w:t>
      </w:r>
    </w:p>
    <w:bookmarkEnd w:id="289" w:displacedByCustomXml="next"/>
    <w:bookmarkEnd w:id="288" w:displacedByCustomXml="next"/>
    <w:bookmarkStart w:id="290" w:name="OLE_LINK85" w:displacedByCustomXml="next"/>
    <w:bookmarkStart w:id="291" w:name="OLE_LINK84" w:displacedByCustomXml="next"/>
    <w:sdt>
      <w:sdtPr>
        <w:rPr>
          <w:szCs w:val="21"/>
        </w:rPr>
        <w:alias w:val="是否适用：递延收益的其他说明[双击切换]"/>
        <w:tag w:val="_GBC_0c28db54a76349869056f2b92b5d9400"/>
        <w:id w:val="450756712"/>
        <w:placeholder>
          <w:docPart w:val="GBC22222222222222222222222222222"/>
        </w:placeholder>
      </w:sdtPr>
      <w:sdtEndPr/>
      <w:sdtContent>
        <w:p w14:paraId="186CAEAC" w14:textId="77777777" w:rsidR="00E57DAA" w:rsidRDefault="00AC4185">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731930071"/>
        <w:placeholder>
          <w:docPart w:val="GBC22222222222222222222222222222"/>
        </w:placeholder>
      </w:sdtPr>
      <w:sdtEndPr/>
      <w:sdtContent>
        <w:p w14:paraId="1C75CBFC" w14:textId="77777777" w:rsidR="00E57DAA" w:rsidRDefault="00AC4185">
          <w:pPr>
            <w:rPr>
              <w:szCs w:val="21"/>
            </w:rPr>
          </w:pPr>
          <w:r>
            <w:rPr>
              <w:rFonts w:hint="eastAsia"/>
              <w:szCs w:val="21"/>
            </w:rPr>
            <w:t>本公司政府补助详见附注十一、政府补助（二）涉及政府补助的负债项目。</w:t>
          </w:r>
        </w:p>
      </w:sdtContent>
    </w:sdt>
    <w:bookmarkEnd w:id="291"/>
    <w:bookmarkEnd w:id="290"/>
    <w:p w14:paraId="6E1F51AB" w14:textId="77777777" w:rsidR="00E57DAA" w:rsidRDefault="00E57DAA">
      <w:pPr>
        <w:snapToGrid w:val="0"/>
        <w:spacing w:line="240" w:lineRule="atLeast"/>
        <w:rPr>
          <w:szCs w:val="21"/>
        </w:rPr>
      </w:pPr>
    </w:p>
    <w:p w14:paraId="428D0621" w14:textId="77777777" w:rsidR="00E57DAA" w:rsidRDefault="00AC4185" w:rsidP="00C25422">
      <w:pPr>
        <w:pStyle w:val="91"/>
        <w:numPr>
          <w:ilvl w:val="0"/>
          <w:numId w:val="69"/>
        </w:numPr>
      </w:pPr>
      <w:r>
        <w:rPr>
          <w:rFonts w:hint="eastAsia"/>
        </w:rPr>
        <w:t>其他非流动负债</w:t>
      </w:r>
    </w:p>
    <w:bookmarkStart w:id="292" w:name="_Hlk533670383" w:displacedByCustomXml="next"/>
    <w:sdt>
      <w:sdtPr>
        <w:alias w:val="是否适用：其他非流动负债[双击切换]"/>
        <w:tag w:val="_GBC_05e5676f32624ce18727385761bd1a9a"/>
        <w:id w:val="1808578943"/>
        <w:placeholder>
          <w:docPart w:val="GBC22222222222222222222222222222"/>
        </w:placeholder>
      </w:sdtPr>
      <w:sdtEndPr/>
      <w:sdtContent>
        <w:p w14:paraId="37310751" w14:textId="77777777" w:rsidR="00E57DAA" w:rsidRDefault="00AC418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92"/>
    <w:p w14:paraId="6EF27468" w14:textId="77777777" w:rsidR="00E57DAA" w:rsidRDefault="00E57DAA">
      <w:pPr>
        <w:rPr>
          <w:szCs w:val="21"/>
        </w:rPr>
      </w:pPr>
    </w:p>
    <w:p w14:paraId="6668ACA5" w14:textId="77777777" w:rsidR="00E57DAA" w:rsidRDefault="00AC4185" w:rsidP="00C25422">
      <w:pPr>
        <w:pStyle w:val="91"/>
        <w:numPr>
          <w:ilvl w:val="0"/>
          <w:numId w:val="69"/>
        </w:numPr>
      </w:pPr>
      <w:r>
        <w:rPr>
          <w:rFonts w:hint="eastAsia"/>
        </w:rPr>
        <w:t>股本</w:t>
      </w:r>
    </w:p>
    <w:sdt>
      <w:sdtPr>
        <w:alias w:val="是否适用：股本[双击切换]"/>
        <w:tag w:val="_GBC_a2069fb3657946ee9810a9154eb11422"/>
        <w:id w:val="-1290278964"/>
        <w:placeholder>
          <w:docPart w:val="GBC22222222222222222222222222222"/>
        </w:placeholder>
      </w:sdtPr>
      <w:sdtEndPr/>
      <w:sdtContent>
        <w:p w14:paraId="58B4215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6EDF12" w14:textId="77777777" w:rsidR="00E57DAA" w:rsidRDefault="00AC4185">
      <w:pPr>
        <w:jc w:val="right"/>
        <w:rPr>
          <w:szCs w:val="21"/>
        </w:rPr>
      </w:pPr>
      <w:r>
        <w:rPr>
          <w:rFonts w:hint="eastAsia"/>
          <w:szCs w:val="21"/>
        </w:rPr>
        <w:t>单位：</w:t>
      </w:r>
      <w:sdt>
        <w:sdtPr>
          <w:rPr>
            <w:rFonts w:hint="eastAsia"/>
            <w:szCs w:val="21"/>
          </w:rPr>
          <w:alias w:val="单位：财务附注：股本"/>
          <w:tag w:val="_GBC_e2cacf7f2d9f4ad78dce53a3e345569e"/>
          <w:id w:val="-4379111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0935147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1816"/>
        <w:gridCol w:w="1616"/>
        <w:gridCol w:w="416"/>
        <w:gridCol w:w="416"/>
        <w:gridCol w:w="471"/>
        <w:gridCol w:w="1616"/>
        <w:gridCol w:w="1816"/>
      </w:tblGrid>
      <w:tr w:rsidR="00E57DAA" w14:paraId="361AB6EC" w14:textId="77777777">
        <w:trPr>
          <w:cantSplit/>
          <w:trHeight w:val="270"/>
        </w:trPr>
        <w:tc>
          <w:tcPr>
            <w:tcW w:w="515" w:type="pct"/>
            <w:vMerge w:val="restart"/>
            <w:tcBorders>
              <w:top w:val="single" w:sz="4" w:space="0" w:color="auto"/>
              <w:left w:val="single" w:sz="4" w:space="0" w:color="auto"/>
              <w:bottom w:val="single" w:sz="4" w:space="0" w:color="auto"/>
              <w:right w:val="single" w:sz="4" w:space="0" w:color="auto"/>
            </w:tcBorders>
          </w:tcPr>
          <w:p w14:paraId="65706351" w14:textId="77777777" w:rsidR="00E57DAA" w:rsidRDefault="00E57DAA">
            <w:pPr>
              <w:jc w:val="center"/>
              <w:rPr>
                <w:sz w:val="20"/>
                <w:szCs w:val="20"/>
              </w:rPr>
            </w:pPr>
          </w:p>
        </w:tc>
        <w:sdt>
          <w:sdtPr>
            <w:rPr>
              <w:sz w:val="20"/>
              <w:szCs w:val="20"/>
            </w:rPr>
            <w:tag w:val="_PLD_fd63a619db16496bad52eeb145839158"/>
            <w:id w:val="-2105330362"/>
          </w:sdtPr>
          <w:sdtEndPr/>
          <w:sdtContent>
            <w:tc>
              <w:tcPr>
                <w:tcW w:w="1074" w:type="pct"/>
                <w:vMerge w:val="restart"/>
                <w:tcBorders>
                  <w:top w:val="single" w:sz="4" w:space="0" w:color="auto"/>
                  <w:left w:val="single" w:sz="4" w:space="0" w:color="auto"/>
                  <w:right w:val="single" w:sz="4" w:space="0" w:color="auto"/>
                </w:tcBorders>
                <w:vAlign w:val="center"/>
              </w:tcPr>
              <w:p w14:paraId="239F19F5" w14:textId="77777777" w:rsidR="00E57DAA" w:rsidRDefault="00AC4185">
                <w:pPr>
                  <w:jc w:val="center"/>
                  <w:rPr>
                    <w:sz w:val="20"/>
                    <w:szCs w:val="20"/>
                  </w:rPr>
                </w:pPr>
                <w:r>
                  <w:rPr>
                    <w:rFonts w:hint="eastAsia"/>
                    <w:sz w:val="20"/>
                    <w:szCs w:val="20"/>
                  </w:rPr>
                  <w:t>期初余额</w:t>
                </w:r>
              </w:p>
            </w:tc>
          </w:sdtContent>
        </w:sdt>
        <w:sdt>
          <w:sdtPr>
            <w:rPr>
              <w:sz w:val="20"/>
              <w:szCs w:val="20"/>
            </w:rPr>
            <w:tag w:val="_PLD_2cb33d9d8b0d47539581498c039e86aa"/>
            <w:id w:val="29687139"/>
          </w:sdtPr>
          <w:sdtEndPr/>
          <w:sdtContent>
            <w:tc>
              <w:tcPr>
                <w:tcW w:w="2786" w:type="pct"/>
                <w:gridSpan w:val="5"/>
                <w:tcBorders>
                  <w:top w:val="single" w:sz="4" w:space="0" w:color="auto"/>
                  <w:left w:val="single" w:sz="4" w:space="0" w:color="auto"/>
                  <w:bottom w:val="single" w:sz="4" w:space="0" w:color="auto"/>
                  <w:right w:val="single" w:sz="4" w:space="0" w:color="auto"/>
                </w:tcBorders>
                <w:vAlign w:val="center"/>
              </w:tcPr>
              <w:p w14:paraId="29B38553" w14:textId="77777777" w:rsidR="00E57DAA" w:rsidRDefault="00AC4185">
                <w:pPr>
                  <w:jc w:val="center"/>
                  <w:rPr>
                    <w:sz w:val="20"/>
                    <w:szCs w:val="20"/>
                  </w:rPr>
                </w:pPr>
                <w:r>
                  <w:rPr>
                    <w:rFonts w:hint="eastAsia"/>
                    <w:sz w:val="20"/>
                    <w:szCs w:val="20"/>
                  </w:rPr>
                  <w:t>本次变动增减（+、一）</w:t>
                </w:r>
              </w:p>
            </w:tc>
          </w:sdtContent>
        </w:sdt>
        <w:sdt>
          <w:sdtPr>
            <w:rPr>
              <w:sz w:val="20"/>
              <w:szCs w:val="20"/>
            </w:rPr>
            <w:tag w:val="_PLD_e579078cb28f47a09273701ab9e2e37a"/>
            <w:id w:val="495470365"/>
          </w:sdtPr>
          <w:sdtEndPr/>
          <w:sdtContent>
            <w:tc>
              <w:tcPr>
                <w:tcW w:w="625" w:type="pct"/>
                <w:vMerge w:val="restart"/>
                <w:tcBorders>
                  <w:top w:val="single" w:sz="4" w:space="0" w:color="auto"/>
                  <w:left w:val="single" w:sz="4" w:space="0" w:color="auto"/>
                  <w:right w:val="single" w:sz="4" w:space="0" w:color="auto"/>
                </w:tcBorders>
                <w:vAlign w:val="center"/>
              </w:tcPr>
              <w:p w14:paraId="670E9944" w14:textId="77777777" w:rsidR="00E57DAA" w:rsidRDefault="00AC4185">
                <w:pPr>
                  <w:jc w:val="center"/>
                  <w:rPr>
                    <w:sz w:val="20"/>
                    <w:szCs w:val="20"/>
                  </w:rPr>
                </w:pPr>
                <w:r>
                  <w:rPr>
                    <w:rFonts w:hint="eastAsia"/>
                    <w:sz w:val="20"/>
                    <w:szCs w:val="20"/>
                  </w:rPr>
                  <w:t>期末余额</w:t>
                </w:r>
              </w:p>
            </w:tc>
          </w:sdtContent>
        </w:sdt>
      </w:tr>
      <w:tr w:rsidR="00E57DAA" w14:paraId="268275CD" w14:textId="77777777">
        <w:trPr>
          <w:cantSplit/>
          <w:trHeight w:val="312"/>
        </w:trPr>
        <w:tc>
          <w:tcPr>
            <w:tcW w:w="515" w:type="pct"/>
            <w:vMerge/>
            <w:tcBorders>
              <w:top w:val="single" w:sz="4" w:space="0" w:color="auto"/>
              <w:left w:val="single" w:sz="4" w:space="0" w:color="auto"/>
              <w:bottom w:val="single" w:sz="4" w:space="0" w:color="auto"/>
              <w:right w:val="single" w:sz="4" w:space="0" w:color="auto"/>
            </w:tcBorders>
          </w:tcPr>
          <w:p w14:paraId="39E840D2" w14:textId="77777777" w:rsidR="00E57DAA" w:rsidRDefault="00E57DAA">
            <w:pPr>
              <w:rPr>
                <w:sz w:val="20"/>
                <w:szCs w:val="20"/>
              </w:rPr>
            </w:pPr>
          </w:p>
        </w:tc>
        <w:tc>
          <w:tcPr>
            <w:tcW w:w="1074" w:type="pct"/>
            <w:vMerge/>
            <w:tcBorders>
              <w:left w:val="single" w:sz="4" w:space="0" w:color="auto"/>
              <w:bottom w:val="single" w:sz="4" w:space="0" w:color="auto"/>
              <w:right w:val="single" w:sz="4" w:space="0" w:color="auto"/>
            </w:tcBorders>
          </w:tcPr>
          <w:p w14:paraId="1E0B7DE6" w14:textId="77777777" w:rsidR="00E57DAA" w:rsidRDefault="00E57DAA">
            <w:pPr>
              <w:ind w:leftChars="-119" w:left="-250" w:firstLineChars="119" w:firstLine="238"/>
              <w:rPr>
                <w:sz w:val="20"/>
                <w:szCs w:val="20"/>
              </w:rPr>
            </w:pPr>
          </w:p>
        </w:tc>
        <w:sdt>
          <w:sdtPr>
            <w:rPr>
              <w:sz w:val="20"/>
              <w:szCs w:val="20"/>
            </w:rPr>
            <w:tag w:val="_PLD_2f067dcfa40a4e2d896a383f16e2e483"/>
            <w:id w:val="1821778129"/>
          </w:sdtPr>
          <w:sdtEndPr/>
          <w:sdtContent>
            <w:tc>
              <w:tcPr>
                <w:tcW w:w="955" w:type="pct"/>
                <w:tcBorders>
                  <w:top w:val="single" w:sz="4" w:space="0" w:color="auto"/>
                  <w:left w:val="single" w:sz="4" w:space="0" w:color="auto"/>
                  <w:bottom w:val="single" w:sz="4" w:space="0" w:color="auto"/>
                  <w:right w:val="single" w:sz="4" w:space="0" w:color="auto"/>
                </w:tcBorders>
                <w:vAlign w:val="center"/>
              </w:tcPr>
              <w:p w14:paraId="39E9B094" w14:textId="77777777" w:rsidR="00E57DAA" w:rsidRDefault="00AC4185">
                <w:pPr>
                  <w:jc w:val="center"/>
                  <w:rPr>
                    <w:sz w:val="20"/>
                    <w:szCs w:val="20"/>
                  </w:rPr>
                </w:pPr>
                <w:r>
                  <w:rPr>
                    <w:rFonts w:hint="eastAsia"/>
                    <w:sz w:val="20"/>
                    <w:szCs w:val="20"/>
                  </w:rPr>
                  <w:t>发行</w:t>
                </w:r>
              </w:p>
              <w:p w14:paraId="5527F74E" w14:textId="77777777" w:rsidR="00E57DAA" w:rsidRDefault="00AC4185">
                <w:pPr>
                  <w:jc w:val="center"/>
                  <w:rPr>
                    <w:sz w:val="20"/>
                    <w:szCs w:val="20"/>
                  </w:rPr>
                </w:pPr>
                <w:r>
                  <w:rPr>
                    <w:rFonts w:hint="eastAsia"/>
                    <w:sz w:val="20"/>
                    <w:szCs w:val="20"/>
                  </w:rPr>
                  <w:t>新股</w:t>
                </w:r>
              </w:p>
            </w:tc>
          </w:sdtContent>
        </w:sdt>
        <w:sdt>
          <w:sdtPr>
            <w:rPr>
              <w:sz w:val="20"/>
              <w:szCs w:val="20"/>
            </w:rPr>
            <w:tag w:val="_PLD_afc58df66e0343a29873ec3c2270451e"/>
            <w:id w:val="879364490"/>
          </w:sdtPr>
          <w:sdtEndPr/>
          <w:sdtContent>
            <w:tc>
              <w:tcPr>
                <w:tcW w:w="428" w:type="pct"/>
                <w:tcBorders>
                  <w:top w:val="single" w:sz="4" w:space="0" w:color="auto"/>
                  <w:left w:val="single" w:sz="4" w:space="0" w:color="auto"/>
                  <w:bottom w:val="single" w:sz="4" w:space="0" w:color="auto"/>
                  <w:right w:val="single" w:sz="4" w:space="0" w:color="auto"/>
                </w:tcBorders>
                <w:vAlign w:val="center"/>
              </w:tcPr>
              <w:p w14:paraId="7947477F" w14:textId="77777777" w:rsidR="00E57DAA" w:rsidRDefault="00AC4185">
                <w:pPr>
                  <w:jc w:val="center"/>
                  <w:rPr>
                    <w:sz w:val="20"/>
                    <w:szCs w:val="20"/>
                  </w:rPr>
                </w:pPr>
                <w:r>
                  <w:rPr>
                    <w:rFonts w:hint="eastAsia"/>
                    <w:sz w:val="20"/>
                    <w:szCs w:val="20"/>
                  </w:rPr>
                  <w:t>送股</w:t>
                </w:r>
              </w:p>
            </w:tc>
          </w:sdtContent>
        </w:sdt>
        <w:sdt>
          <w:sdtPr>
            <w:rPr>
              <w:sz w:val="20"/>
              <w:szCs w:val="20"/>
            </w:rPr>
            <w:tag w:val="_PLD_31d618a387e243239ea8ee139a3a39da"/>
            <w:id w:val="861011055"/>
          </w:sdtPr>
          <w:sdtEndPr/>
          <w:sdtContent>
            <w:tc>
              <w:tcPr>
                <w:tcW w:w="467" w:type="pct"/>
                <w:tcBorders>
                  <w:top w:val="single" w:sz="4" w:space="0" w:color="auto"/>
                  <w:left w:val="single" w:sz="4" w:space="0" w:color="auto"/>
                  <w:bottom w:val="single" w:sz="4" w:space="0" w:color="auto"/>
                  <w:right w:val="single" w:sz="4" w:space="0" w:color="auto"/>
                </w:tcBorders>
                <w:vAlign w:val="center"/>
              </w:tcPr>
              <w:p w14:paraId="3E8EBD03" w14:textId="77777777" w:rsidR="00E57DAA" w:rsidRDefault="00AC4185">
                <w:pPr>
                  <w:jc w:val="center"/>
                  <w:rPr>
                    <w:sz w:val="20"/>
                    <w:szCs w:val="20"/>
                  </w:rPr>
                </w:pPr>
                <w:r>
                  <w:rPr>
                    <w:rFonts w:hint="eastAsia"/>
                    <w:sz w:val="20"/>
                    <w:szCs w:val="20"/>
                  </w:rPr>
                  <w:t>公积金</w:t>
                </w:r>
              </w:p>
              <w:p w14:paraId="04F5E8E5" w14:textId="77777777" w:rsidR="00E57DAA" w:rsidRDefault="00AC4185">
                <w:pPr>
                  <w:jc w:val="center"/>
                  <w:rPr>
                    <w:sz w:val="20"/>
                    <w:szCs w:val="20"/>
                  </w:rPr>
                </w:pPr>
                <w:r>
                  <w:rPr>
                    <w:rFonts w:hint="eastAsia"/>
                    <w:sz w:val="20"/>
                    <w:szCs w:val="20"/>
                  </w:rPr>
                  <w:t>转股</w:t>
                </w:r>
              </w:p>
            </w:tc>
          </w:sdtContent>
        </w:sdt>
        <w:sdt>
          <w:sdtPr>
            <w:rPr>
              <w:sz w:val="20"/>
              <w:szCs w:val="20"/>
            </w:rPr>
            <w:tag w:val="_PLD_12526084dedd4dc68d673c8a71c73862"/>
            <w:id w:val="-1692222882"/>
          </w:sdtPr>
          <w:sdtEndPr/>
          <w:sdtContent>
            <w:tc>
              <w:tcPr>
                <w:tcW w:w="475" w:type="pct"/>
                <w:tcBorders>
                  <w:top w:val="single" w:sz="4" w:space="0" w:color="auto"/>
                  <w:left w:val="single" w:sz="4" w:space="0" w:color="auto"/>
                  <w:bottom w:val="single" w:sz="4" w:space="0" w:color="auto"/>
                  <w:right w:val="single" w:sz="4" w:space="0" w:color="auto"/>
                </w:tcBorders>
                <w:vAlign w:val="center"/>
              </w:tcPr>
              <w:p w14:paraId="68F453A2" w14:textId="77777777" w:rsidR="00E57DAA" w:rsidRDefault="00AC4185">
                <w:pPr>
                  <w:jc w:val="center"/>
                  <w:rPr>
                    <w:sz w:val="20"/>
                    <w:szCs w:val="20"/>
                  </w:rPr>
                </w:pPr>
                <w:r>
                  <w:rPr>
                    <w:rFonts w:hint="eastAsia"/>
                    <w:sz w:val="20"/>
                    <w:szCs w:val="20"/>
                  </w:rPr>
                  <w:t>其他</w:t>
                </w:r>
              </w:p>
            </w:tc>
          </w:sdtContent>
        </w:sdt>
        <w:sdt>
          <w:sdtPr>
            <w:rPr>
              <w:sz w:val="20"/>
              <w:szCs w:val="20"/>
            </w:rPr>
            <w:tag w:val="_PLD_fe70bd23af2d4fd680087e555e574f82"/>
            <w:id w:val="148410225"/>
          </w:sdtPr>
          <w:sdtEndPr/>
          <w:sdtContent>
            <w:tc>
              <w:tcPr>
                <w:tcW w:w="460" w:type="pct"/>
                <w:tcBorders>
                  <w:top w:val="single" w:sz="4" w:space="0" w:color="auto"/>
                  <w:left w:val="single" w:sz="4" w:space="0" w:color="auto"/>
                  <w:bottom w:val="single" w:sz="4" w:space="0" w:color="auto"/>
                  <w:right w:val="single" w:sz="4" w:space="0" w:color="auto"/>
                </w:tcBorders>
                <w:vAlign w:val="center"/>
              </w:tcPr>
              <w:p w14:paraId="003961C5" w14:textId="77777777" w:rsidR="00E57DAA" w:rsidRDefault="00AC4185">
                <w:pPr>
                  <w:jc w:val="center"/>
                  <w:rPr>
                    <w:sz w:val="20"/>
                    <w:szCs w:val="20"/>
                  </w:rPr>
                </w:pPr>
                <w:r>
                  <w:rPr>
                    <w:rFonts w:hint="eastAsia"/>
                    <w:sz w:val="20"/>
                    <w:szCs w:val="20"/>
                  </w:rPr>
                  <w:t>小计</w:t>
                </w:r>
              </w:p>
            </w:tc>
          </w:sdtContent>
        </w:sdt>
        <w:tc>
          <w:tcPr>
            <w:tcW w:w="625" w:type="pct"/>
            <w:vMerge/>
            <w:tcBorders>
              <w:left w:val="single" w:sz="4" w:space="0" w:color="auto"/>
              <w:bottom w:val="single" w:sz="4" w:space="0" w:color="auto"/>
              <w:right w:val="single" w:sz="4" w:space="0" w:color="auto"/>
            </w:tcBorders>
          </w:tcPr>
          <w:p w14:paraId="346875F8" w14:textId="77777777" w:rsidR="00E57DAA" w:rsidRDefault="00E57DAA">
            <w:pPr>
              <w:rPr>
                <w:sz w:val="20"/>
                <w:szCs w:val="20"/>
              </w:rPr>
            </w:pPr>
          </w:p>
        </w:tc>
      </w:tr>
      <w:tr w:rsidR="00E57DAA" w14:paraId="1DDF956C" w14:textId="77777777">
        <w:trPr>
          <w:cantSplit/>
        </w:trPr>
        <w:tc>
          <w:tcPr>
            <w:tcW w:w="515" w:type="pct"/>
            <w:tcBorders>
              <w:top w:val="single" w:sz="4" w:space="0" w:color="auto"/>
              <w:left w:val="single" w:sz="4" w:space="0" w:color="auto"/>
              <w:bottom w:val="single" w:sz="4" w:space="0" w:color="auto"/>
              <w:right w:val="single" w:sz="4" w:space="0" w:color="auto"/>
            </w:tcBorders>
          </w:tcPr>
          <w:p w14:paraId="75EDFF01" w14:textId="77777777" w:rsidR="00E57DAA" w:rsidRDefault="00AC4185">
            <w:pPr>
              <w:jc w:val="center"/>
              <w:rPr>
                <w:sz w:val="20"/>
                <w:szCs w:val="20"/>
              </w:rPr>
            </w:pPr>
            <w:r>
              <w:rPr>
                <w:rFonts w:hint="eastAsia"/>
                <w:sz w:val="20"/>
                <w:szCs w:val="20"/>
              </w:rPr>
              <w:t>股份总数</w:t>
            </w:r>
          </w:p>
        </w:tc>
        <w:tc>
          <w:tcPr>
            <w:tcW w:w="1074" w:type="pct"/>
            <w:tcBorders>
              <w:top w:val="single" w:sz="4" w:space="0" w:color="auto"/>
              <w:left w:val="single" w:sz="4" w:space="0" w:color="auto"/>
              <w:bottom w:val="single" w:sz="4" w:space="0" w:color="auto"/>
              <w:right w:val="single" w:sz="4" w:space="0" w:color="auto"/>
            </w:tcBorders>
            <w:vAlign w:val="center"/>
          </w:tcPr>
          <w:p w14:paraId="465CB8C8" w14:textId="77777777" w:rsidR="00E57DAA" w:rsidRDefault="00AC4185">
            <w:pPr>
              <w:jc w:val="right"/>
              <w:rPr>
                <w:sz w:val="20"/>
                <w:szCs w:val="20"/>
              </w:rPr>
            </w:pPr>
            <w:r>
              <w:rPr>
                <w:sz w:val="20"/>
                <w:szCs w:val="20"/>
              </w:rPr>
              <w:t>2,265,632,064.00</w:t>
            </w:r>
          </w:p>
        </w:tc>
        <w:tc>
          <w:tcPr>
            <w:tcW w:w="955" w:type="pct"/>
            <w:tcBorders>
              <w:top w:val="single" w:sz="4" w:space="0" w:color="auto"/>
              <w:left w:val="single" w:sz="4" w:space="0" w:color="auto"/>
              <w:bottom w:val="single" w:sz="4" w:space="0" w:color="auto"/>
              <w:right w:val="single" w:sz="4" w:space="0" w:color="auto"/>
            </w:tcBorders>
            <w:vAlign w:val="center"/>
          </w:tcPr>
          <w:p w14:paraId="6E29AE64" w14:textId="77777777" w:rsidR="00E57DAA" w:rsidRDefault="00AC4185">
            <w:pPr>
              <w:jc w:val="right"/>
              <w:rPr>
                <w:sz w:val="20"/>
                <w:szCs w:val="20"/>
              </w:rPr>
            </w:pPr>
            <w:r>
              <w:rPr>
                <w:sz w:val="20"/>
                <w:szCs w:val="20"/>
              </w:rPr>
              <w:t>376,685,359.00</w:t>
            </w:r>
          </w:p>
        </w:tc>
        <w:tc>
          <w:tcPr>
            <w:tcW w:w="428" w:type="pct"/>
            <w:tcBorders>
              <w:top w:val="single" w:sz="4" w:space="0" w:color="auto"/>
              <w:left w:val="single" w:sz="4" w:space="0" w:color="auto"/>
              <w:bottom w:val="single" w:sz="4" w:space="0" w:color="auto"/>
              <w:right w:val="single" w:sz="4" w:space="0" w:color="auto"/>
            </w:tcBorders>
          </w:tcPr>
          <w:p w14:paraId="50141515" w14:textId="77777777" w:rsidR="00E57DAA" w:rsidRDefault="00E57DAA">
            <w:pPr>
              <w:jc w:val="right"/>
              <w:rPr>
                <w:sz w:val="20"/>
                <w:szCs w:val="20"/>
              </w:rPr>
            </w:pPr>
          </w:p>
        </w:tc>
        <w:tc>
          <w:tcPr>
            <w:tcW w:w="467" w:type="pct"/>
            <w:tcBorders>
              <w:top w:val="single" w:sz="4" w:space="0" w:color="auto"/>
              <w:left w:val="single" w:sz="4" w:space="0" w:color="auto"/>
              <w:bottom w:val="single" w:sz="4" w:space="0" w:color="auto"/>
              <w:right w:val="single" w:sz="4" w:space="0" w:color="auto"/>
            </w:tcBorders>
          </w:tcPr>
          <w:p w14:paraId="2D79B00E" w14:textId="77777777" w:rsidR="00E57DAA" w:rsidRDefault="00E57DAA">
            <w:pPr>
              <w:jc w:val="right"/>
              <w:rPr>
                <w:sz w:val="20"/>
                <w:szCs w:val="20"/>
              </w:rPr>
            </w:pPr>
          </w:p>
        </w:tc>
        <w:tc>
          <w:tcPr>
            <w:tcW w:w="475" w:type="pct"/>
            <w:tcBorders>
              <w:top w:val="single" w:sz="4" w:space="0" w:color="auto"/>
              <w:left w:val="single" w:sz="4" w:space="0" w:color="auto"/>
              <w:bottom w:val="single" w:sz="4" w:space="0" w:color="auto"/>
              <w:right w:val="single" w:sz="4" w:space="0" w:color="auto"/>
            </w:tcBorders>
          </w:tcPr>
          <w:p w14:paraId="3063D25E" w14:textId="77777777" w:rsidR="00E57DAA" w:rsidRDefault="00E57DAA">
            <w:pPr>
              <w:jc w:val="right"/>
              <w:rPr>
                <w:sz w:val="20"/>
                <w:szCs w:val="20"/>
              </w:rPr>
            </w:pPr>
          </w:p>
        </w:tc>
        <w:tc>
          <w:tcPr>
            <w:tcW w:w="460" w:type="pct"/>
            <w:tcBorders>
              <w:top w:val="single" w:sz="4" w:space="0" w:color="auto"/>
              <w:left w:val="single" w:sz="4" w:space="0" w:color="auto"/>
              <w:bottom w:val="single" w:sz="4" w:space="0" w:color="auto"/>
              <w:right w:val="single" w:sz="4" w:space="0" w:color="auto"/>
            </w:tcBorders>
            <w:vAlign w:val="center"/>
          </w:tcPr>
          <w:p w14:paraId="008A2C5B" w14:textId="77777777" w:rsidR="00E57DAA" w:rsidRDefault="00AC4185">
            <w:pPr>
              <w:jc w:val="right"/>
              <w:rPr>
                <w:sz w:val="20"/>
                <w:szCs w:val="20"/>
              </w:rPr>
            </w:pPr>
            <w:r>
              <w:rPr>
                <w:sz w:val="20"/>
                <w:szCs w:val="20"/>
              </w:rPr>
              <w:t>376,685,359.00</w:t>
            </w:r>
          </w:p>
        </w:tc>
        <w:tc>
          <w:tcPr>
            <w:tcW w:w="625" w:type="pct"/>
            <w:tcBorders>
              <w:top w:val="single" w:sz="4" w:space="0" w:color="auto"/>
              <w:left w:val="single" w:sz="4" w:space="0" w:color="auto"/>
              <w:bottom w:val="single" w:sz="4" w:space="0" w:color="auto"/>
              <w:right w:val="single" w:sz="4" w:space="0" w:color="auto"/>
            </w:tcBorders>
            <w:vAlign w:val="center"/>
          </w:tcPr>
          <w:p w14:paraId="4FD4481E" w14:textId="77777777" w:rsidR="00E57DAA" w:rsidRDefault="00AC4185">
            <w:pPr>
              <w:jc w:val="right"/>
              <w:rPr>
                <w:sz w:val="20"/>
                <w:szCs w:val="20"/>
              </w:rPr>
            </w:pPr>
            <w:r>
              <w:rPr>
                <w:sz w:val="20"/>
                <w:szCs w:val="20"/>
              </w:rPr>
              <w:t>2,642,317,423.00</w:t>
            </w:r>
          </w:p>
        </w:tc>
      </w:tr>
    </w:tbl>
    <w:p w14:paraId="25740C1B" w14:textId="77777777" w:rsidR="00E57DAA" w:rsidRDefault="00AC4185">
      <w:pPr>
        <w:spacing w:before="60" w:after="60"/>
        <w:rPr>
          <w:szCs w:val="21"/>
        </w:rPr>
      </w:pPr>
      <w:r>
        <w:rPr>
          <w:rFonts w:hint="eastAsia"/>
          <w:szCs w:val="21"/>
        </w:rPr>
        <w:t>其他说明：</w:t>
      </w:r>
    </w:p>
    <w:sdt>
      <w:sdtPr>
        <w:rPr>
          <w:szCs w:val="21"/>
        </w:rPr>
        <w:alias w:val="股本变动情况说明"/>
        <w:tag w:val="_GBC_6600e13aac194caa9cb58963beb3073e"/>
        <w:id w:val="1289247149"/>
        <w:placeholder>
          <w:docPart w:val="GBC22222222222222222222222222222"/>
        </w:placeholder>
      </w:sdtPr>
      <w:sdtEndPr/>
      <w:sdtContent>
        <w:p w14:paraId="7001204D" w14:textId="77777777" w:rsidR="00E57DAA" w:rsidRDefault="00AC4185">
          <w:pPr>
            <w:ind w:firstLineChars="200" w:firstLine="420"/>
            <w:rPr>
              <w:szCs w:val="21"/>
            </w:rPr>
          </w:pPr>
          <w:r>
            <w:rPr>
              <w:rFonts w:hint="eastAsia"/>
              <w:szCs w:val="21"/>
            </w:rPr>
            <w:t>本期发行新股</w:t>
          </w:r>
          <w:r>
            <w:rPr>
              <w:szCs w:val="21"/>
            </w:rPr>
            <w:t>376,685,359.00元，包括：（1）经中国证监会《关于核准中国中材国际工程股份有限公司向中国建筑材料科学研究总院有限公司发行股份购买资产申请的批复》（证监许可</w:t>
          </w:r>
          <w:r>
            <w:rPr>
              <w:szCs w:val="21"/>
            </w:rPr>
            <w:lastRenderedPageBreak/>
            <w:t>[2023]264号）批准，公司发行股份及支付现金购买合肥水泥研究设计院有限公司（以下简称“合肥院”）100%股权，新增股本366,878,106.00元；（2）公司向激励对象（董事及高级管理人员，核心管理、业务及技术骨干）授予限制性股票，发行新股增加股本9,807,253.00元。</w:t>
          </w:r>
        </w:p>
      </w:sdtContent>
    </w:sdt>
    <w:p w14:paraId="76412886" w14:textId="77777777" w:rsidR="00E57DAA" w:rsidRDefault="00E57DAA">
      <w:pPr>
        <w:rPr>
          <w:szCs w:val="21"/>
        </w:rPr>
      </w:pPr>
    </w:p>
    <w:p w14:paraId="3CBC94F1" w14:textId="77777777" w:rsidR="00E57DAA" w:rsidRDefault="00AC4185" w:rsidP="00C25422">
      <w:pPr>
        <w:pStyle w:val="91"/>
        <w:numPr>
          <w:ilvl w:val="0"/>
          <w:numId w:val="69"/>
        </w:numPr>
      </w:pPr>
      <w:r>
        <w:rPr>
          <w:rFonts w:cs="宋体" w:hint="eastAsia"/>
          <w:kern w:val="0"/>
        </w:rPr>
        <w:t>其</w:t>
      </w:r>
      <w:r>
        <w:rPr>
          <w:rFonts w:hint="eastAsia"/>
        </w:rPr>
        <w:t>他权益工具</w:t>
      </w:r>
    </w:p>
    <w:p w14:paraId="29AAA98F" w14:textId="77777777" w:rsidR="00E57DAA" w:rsidRDefault="00AC4185">
      <w:pPr>
        <w:pStyle w:val="4"/>
        <w:numPr>
          <w:ilvl w:val="0"/>
          <w:numId w:val="102"/>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526088764"/>
        <w:placeholder>
          <w:docPart w:val="GBC22222222222222222222222222222"/>
        </w:placeholder>
      </w:sdtPr>
      <w:sdtEndPr/>
      <w:sdtContent>
        <w:p w14:paraId="13379BC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7601069" w14:textId="77777777" w:rsidR="00E57DAA" w:rsidRDefault="00E57DAA" w:rsidP="00C25422">
      <w:pPr>
        <w:pStyle w:val="92"/>
      </w:pPr>
    </w:p>
    <w:p w14:paraId="1B62744C" w14:textId="77777777" w:rsidR="00E57DAA" w:rsidRDefault="00AC4185">
      <w:pPr>
        <w:pStyle w:val="4"/>
        <w:numPr>
          <w:ilvl w:val="0"/>
          <w:numId w:val="102"/>
        </w:numPr>
        <w:ind w:left="426" w:hanging="426"/>
      </w:pPr>
      <w:r>
        <w:rPr>
          <w:rFonts w:hint="eastAsia"/>
        </w:rPr>
        <w:t>期末发行在外的优先股、永续债等金融工具变动情况表</w:t>
      </w:r>
    </w:p>
    <w:bookmarkStart w:id="293" w:name="_Hlk89785156" w:displacedByCustomXml="next"/>
    <w:sdt>
      <w:sdtPr>
        <w:alias w:val="是否适用：期末发行在外的优先股、永续债等金融工具变动情况表_其他权益工具[双击切换]"/>
        <w:tag w:val="_GBC_894eb45c6bf3473785ba1a45bf437264"/>
        <w:id w:val="-1196531946"/>
        <w:placeholder>
          <w:docPart w:val="GBC22222222222222222222222222222"/>
        </w:placeholder>
      </w:sdtPr>
      <w:sdtEndPr/>
      <w:sdtContent>
        <w:p w14:paraId="2B144D85"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EEACDA" w14:textId="77777777" w:rsidR="00E57DAA" w:rsidRDefault="00E57DAA">
      <w:pPr>
        <w:rPr>
          <w:szCs w:val="21"/>
        </w:rPr>
      </w:pPr>
    </w:p>
    <w:p w14:paraId="1369F041" w14:textId="77777777" w:rsidR="00E57DAA" w:rsidRDefault="00AC4185">
      <w:pPr>
        <w:rPr>
          <w:szCs w:val="21"/>
        </w:rPr>
      </w:pPr>
      <w:r>
        <w:rPr>
          <w:rFonts w:hint="eastAsia"/>
          <w:szCs w:val="21"/>
        </w:rPr>
        <w:t>其他权益工具本期增减变动情况、变动原因说明，以及相关会计处理的依据：</w:t>
      </w:r>
    </w:p>
    <w:bookmarkEnd w:id="293" w:displacedByCustomXml="next"/>
    <w:bookmarkStart w:id="294" w:name="_Hlk89785136" w:displacedByCustomXml="next"/>
    <w:sdt>
      <w:sdtPr>
        <w:rPr>
          <w:szCs w:val="21"/>
        </w:rPr>
        <w:alias w:val="是否适用：其他权益工具本期增减变动情况、变动原因说明，以及相关会计处理的依据[双击切换]"/>
        <w:tag w:val="_GBC_e803942788b34e5092c70a4cbf71f4b5"/>
        <w:id w:val="762031098"/>
        <w:placeholder>
          <w:docPart w:val="GBC22222222222222222222222222222"/>
        </w:placeholder>
      </w:sdtPr>
      <w:sdtEndPr/>
      <w:sdtContent>
        <w:p w14:paraId="6232A4E9"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94"/>
    <w:p w14:paraId="4BED5A6E" w14:textId="77777777" w:rsidR="00E57DAA" w:rsidRDefault="00E57DAA">
      <w:pPr>
        <w:rPr>
          <w:szCs w:val="21"/>
        </w:rPr>
      </w:pPr>
    </w:p>
    <w:p w14:paraId="6BB31B5B" w14:textId="77777777" w:rsidR="00E57DAA" w:rsidRDefault="00AC4185">
      <w:pPr>
        <w:rPr>
          <w:szCs w:val="21"/>
        </w:rPr>
      </w:pPr>
      <w:r>
        <w:rPr>
          <w:rFonts w:hint="eastAsia"/>
          <w:szCs w:val="21"/>
        </w:rPr>
        <w:t>其他说明:</w:t>
      </w:r>
    </w:p>
    <w:bookmarkStart w:id="295" w:name="_Hlk89785124" w:displacedByCustomXml="next"/>
    <w:sdt>
      <w:sdtPr>
        <w:rPr>
          <w:szCs w:val="21"/>
        </w:rPr>
        <w:alias w:val="是否适用：其他权益工具的其他说明[双击切换]"/>
        <w:tag w:val="_GBC_af2e32ae9c704175a99ebad592dec5f2"/>
        <w:id w:val="-149131654"/>
        <w:placeholder>
          <w:docPart w:val="GBC22222222222222222222222222222"/>
        </w:placeholder>
      </w:sdtPr>
      <w:sdtEndPr/>
      <w:sdtContent>
        <w:p w14:paraId="512D5364"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95"/>
    <w:p w14:paraId="52E4FB5E" w14:textId="77777777" w:rsidR="00E57DAA" w:rsidRDefault="00E57DAA">
      <w:pPr>
        <w:rPr>
          <w:szCs w:val="21"/>
        </w:rPr>
      </w:pPr>
    </w:p>
    <w:p w14:paraId="358C2F66" w14:textId="77777777" w:rsidR="00E57DAA" w:rsidRDefault="00AC4185" w:rsidP="00C25422">
      <w:pPr>
        <w:pStyle w:val="91"/>
        <w:numPr>
          <w:ilvl w:val="0"/>
          <w:numId w:val="69"/>
        </w:numPr>
      </w:pPr>
      <w:r>
        <w:rPr>
          <w:rFonts w:hint="eastAsia"/>
        </w:rPr>
        <w:t>资本公积</w:t>
      </w:r>
    </w:p>
    <w:sdt>
      <w:sdtPr>
        <w:alias w:val="是否适用：资本公积[双击切换]"/>
        <w:tag w:val="_GBC_58b0344d8757456787af32396840e233"/>
        <w:id w:val="-1705866450"/>
        <w:placeholder>
          <w:docPart w:val="GBC22222222222222222222222222222"/>
        </w:placeholder>
      </w:sdtPr>
      <w:sdtEndPr/>
      <w:sdtContent>
        <w:p w14:paraId="5E03254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B94093" w14:textId="77777777" w:rsidR="00E57DAA" w:rsidRDefault="00AC4185">
      <w:pPr>
        <w:jc w:val="right"/>
        <w:rPr>
          <w:szCs w:val="21"/>
        </w:rPr>
      </w:pPr>
      <w:r>
        <w:rPr>
          <w:rFonts w:hint="eastAsia"/>
          <w:szCs w:val="21"/>
        </w:rPr>
        <w:t>单位：</w:t>
      </w:r>
      <w:sdt>
        <w:sdtPr>
          <w:rPr>
            <w:rFonts w:hint="eastAsia"/>
            <w:szCs w:val="21"/>
          </w:rPr>
          <w:alias w:val="单位：财务附注：资本公积"/>
          <w:tag w:val="_GBC_1b11e7474fd44870ad976b16c25b20f4"/>
          <w:id w:val="-7610760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1120982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9"/>
        <w:gridCol w:w="1906"/>
        <w:gridCol w:w="1906"/>
        <w:gridCol w:w="1906"/>
        <w:gridCol w:w="1696"/>
      </w:tblGrid>
      <w:tr w:rsidR="00E57DAA" w14:paraId="0403B928" w14:textId="77777777">
        <w:sdt>
          <w:sdtPr>
            <w:tag w:val="_PLD_b4e0b77813064aeb83afd63c7bafbdab"/>
            <w:id w:val="-569968619"/>
          </w:sdtPr>
          <w:sdtEndPr/>
          <w:sdtContent>
            <w:tc>
              <w:tcPr>
                <w:tcW w:w="942" w:type="pct"/>
                <w:vAlign w:val="center"/>
              </w:tcPr>
              <w:p w14:paraId="12EF1AF3" w14:textId="77777777" w:rsidR="00E57DAA" w:rsidRDefault="00AC4185">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1401517856"/>
          </w:sdtPr>
          <w:sdtEndPr/>
          <w:sdtContent>
            <w:tc>
              <w:tcPr>
                <w:tcW w:w="1005" w:type="pct"/>
                <w:vAlign w:val="center"/>
              </w:tcPr>
              <w:p w14:paraId="79E9A40E" w14:textId="77777777" w:rsidR="00E57DAA" w:rsidRDefault="00AC4185">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1633743182"/>
          </w:sdtPr>
          <w:sdtEndPr/>
          <w:sdtContent>
            <w:tc>
              <w:tcPr>
                <w:tcW w:w="1024" w:type="pct"/>
                <w:vAlign w:val="center"/>
              </w:tcPr>
              <w:p w14:paraId="1347ADBE" w14:textId="77777777" w:rsidR="00E57DAA" w:rsidRDefault="00AC4185">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147125168"/>
          </w:sdtPr>
          <w:sdtEndPr/>
          <w:sdtContent>
            <w:tc>
              <w:tcPr>
                <w:tcW w:w="1015" w:type="pct"/>
                <w:vAlign w:val="center"/>
              </w:tcPr>
              <w:p w14:paraId="3FE100DB" w14:textId="77777777" w:rsidR="00E57DAA" w:rsidRDefault="00AC4185">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082714450"/>
          </w:sdtPr>
          <w:sdtEndPr/>
          <w:sdtContent>
            <w:tc>
              <w:tcPr>
                <w:tcW w:w="1014" w:type="pct"/>
                <w:vAlign w:val="center"/>
              </w:tcPr>
              <w:p w14:paraId="35EA9931" w14:textId="77777777" w:rsidR="00E57DAA" w:rsidRDefault="00AC4185">
                <w:pPr>
                  <w:autoSpaceDE w:val="0"/>
                  <w:autoSpaceDN w:val="0"/>
                  <w:adjustRightInd w:val="0"/>
                  <w:snapToGrid w:val="0"/>
                  <w:jc w:val="center"/>
                  <w:rPr>
                    <w:szCs w:val="21"/>
                  </w:rPr>
                </w:pPr>
                <w:r>
                  <w:rPr>
                    <w:rFonts w:hint="eastAsia"/>
                    <w:szCs w:val="21"/>
                  </w:rPr>
                  <w:t>期末余额</w:t>
                </w:r>
              </w:p>
            </w:tc>
          </w:sdtContent>
        </w:sdt>
      </w:tr>
      <w:tr w:rsidR="00E57DAA" w14:paraId="7A367254" w14:textId="77777777">
        <w:tc>
          <w:tcPr>
            <w:tcW w:w="942" w:type="pct"/>
            <w:shd w:val="clear" w:color="auto" w:fill="auto"/>
          </w:tcPr>
          <w:p w14:paraId="1DE2EA88" w14:textId="77777777" w:rsidR="00E57DAA" w:rsidRDefault="00AC4185">
            <w:pPr>
              <w:autoSpaceDE w:val="0"/>
              <w:autoSpaceDN w:val="0"/>
              <w:adjustRightInd w:val="0"/>
              <w:snapToGrid w:val="0"/>
              <w:rPr>
                <w:szCs w:val="21"/>
              </w:rPr>
            </w:pPr>
            <w:r>
              <w:rPr>
                <w:rFonts w:hint="eastAsia"/>
                <w:szCs w:val="21"/>
              </w:rPr>
              <w:t>资本溢价（股本溢价）</w:t>
            </w:r>
          </w:p>
        </w:tc>
        <w:tc>
          <w:tcPr>
            <w:tcW w:w="1005" w:type="pct"/>
            <w:shd w:val="clear" w:color="auto" w:fill="auto"/>
            <w:vAlign w:val="center"/>
          </w:tcPr>
          <w:p w14:paraId="254C2352" w14:textId="77777777" w:rsidR="00E57DAA" w:rsidRDefault="00AC4185">
            <w:pPr>
              <w:autoSpaceDE w:val="0"/>
              <w:autoSpaceDN w:val="0"/>
              <w:adjustRightInd w:val="0"/>
              <w:snapToGrid w:val="0"/>
              <w:jc w:val="right"/>
              <w:rPr>
                <w:szCs w:val="21"/>
              </w:rPr>
            </w:pPr>
            <w:r>
              <w:t>984,885,704.75</w:t>
            </w:r>
          </w:p>
        </w:tc>
        <w:tc>
          <w:tcPr>
            <w:tcW w:w="1024" w:type="pct"/>
            <w:shd w:val="clear" w:color="auto" w:fill="auto"/>
            <w:vAlign w:val="center"/>
          </w:tcPr>
          <w:p w14:paraId="74F3D84D" w14:textId="77777777" w:rsidR="00E57DAA" w:rsidRDefault="00AC4185">
            <w:pPr>
              <w:autoSpaceDE w:val="0"/>
              <w:autoSpaceDN w:val="0"/>
              <w:adjustRightInd w:val="0"/>
              <w:snapToGrid w:val="0"/>
              <w:jc w:val="right"/>
              <w:rPr>
                <w:szCs w:val="21"/>
              </w:rPr>
            </w:pPr>
            <w:r>
              <w:t>2,805,682,420.88</w:t>
            </w:r>
          </w:p>
        </w:tc>
        <w:tc>
          <w:tcPr>
            <w:tcW w:w="1015" w:type="pct"/>
            <w:shd w:val="clear" w:color="auto" w:fill="auto"/>
            <w:vAlign w:val="center"/>
          </w:tcPr>
          <w:p w14:paraId="49BE082B" w14:textId="77777777" w:rsidR="00E57DAA" w:rsidRDefault="00AC4185">
            <w:pPr>
              <w:autoSpaceDE w:val="0"/>
              <w:autoSpaceDN w:val="0"/>
              <w:adjustRightInd w:val="0"/>
              <w:snapToGrid w:val="0"/>
              <w:jc w:val="right"/>
              <w:rPr>
                <w:szCs w:val="21"/>
              </w:rPr>
            </w:pPr>
            <w:r>
              <w:t>3,647,199,995.70</w:t>
            </w:r>
          </w:p>
        </w:tc>
        <w:tc>
          <w:tcPr>
            <w:tcW w:w="1014" w:type="pct"/>
            <w:shd w:val="clear" w:color="auto" w:fill="auto"/>
            <w:vAlign w:val="center"/>
          </w:tcPr>
          <w:p w14:paraId="1A4C3FC0" w14:textId="77777777" w:rsidR="00E57DAA" w:rsidRDefault="00AC4185">
            <w:pPr>
              <w:autoSpaceDE w:val="0"/>
              <w:autoSpaceDN w:val="0"/>
              <w:adjustRightInd w:val="0"/>
              <w:snapToGrid w:val="0"/>
              <w:jc w:val="right"/>
              <w:rPr>
                <w:szCs w:val="21"/>
              </w:rPr>
            </w:pPr>
            <w:r>
              <w:t>143,368,129.93</w:t>
            </w:r>
          </w:p>
        </w:tc>
      </w:tr>
      <w:tr w:rsidR="00E57DAA" w14:paraId="43BD6EFE" w14:textId="77777777">
        <w:tc>
          <w:tcPr>
            <w:tcW w:w="942" w:type="pct"/>
            <w:shd w:val="clear" w:color="auto" w:fill="auto"/>
          </w:tcPr>
          <w:p w14:paraId="15CCE898" w14:textId="77777777" w:rsidR="00E57DAA" w:rsidRDefault="00AC4185">
            <w:pPr>
              <w:autoSpaceDE w:val="0"/>
              <w:autoSpaceDN w:val="0"/>
              <w:adjustRightInd w:val="0"/>
              <w:snapToGrid w:val="0"/>
              <w:rPr>
                <w:szCs w:val="21"/>
              </w:rPr>
            </w:pPr>
            <w:r>
              <w:rPr>
                <w:rFonts w:hint="eastAsia"/>
                <w:szCs w:val="21"/>
              </w:rPr>
              <w:t>其他资本公积</w:t>
            </w:r>
          </w:p>
        </w:tc>
        <w:tc>
          <w:tcPr>
            <w:tcW w:w="1005" w:type="pct"/>
            <w:shd w:val="clear" w:color="auto" w:fill="auto"/>
            <w:vAlign w:val="center"/>
          </w:tcPr>
          <w:p w14:paraId="7103CE3B" w14:textId="77777777" w:rsidR="00E57DAA" w:rsidRDefault="00AC4185">
            <w:pPr>
              <w:autoSpaceDE w:val="0"/>
              <w:autoSpaceDN w:val="0"/>
              <w:adjustRightInd w:val="0"/>
              <w:snapToGrid w:val="0"/>
              <w:jc w:val="right"/>
              <w:rPr>
                <w:szCs w:val="21"/>
              </w:rPr>
            </w:pPr>
            <w:r>
              <w:t>198,991,612.13</w:t>
            </w:r>
          </w:p>
        </w:tc>
        <w:tc>
          <w:tcPr>
            <w:tcW w:w="1024" w:type="pct"/>
            <w:shd w:val="clear" w:color="auto" w:fill="auto"/>
            <w:vAlign w:val="center"/>
          </w:tcPr>
          <w:p w14:paraId="3A0BA46C" w14:textId="77777777" w:rsidR="00E57DAA" w:rsidRDefault="00AC4185">
            <w:pPr>
              <w:autoSpaceDE w:val="0"/>
              <w:autoSpaceDN w:val="0"/>
              <w:adjustRightInd w:val="0"/>
              <w:snapToGrid w:val="0"/>
              <w:jc w:val="right"/>
              <w:rPr>
                <w:szCs w:val="21"/>
              </w:rPr>
            </w:pPr>
            <w:r>
              <w:t>67,563,832.43</w:t>
            </w:r>
          </w:p>
        </w:tc>
        <w:tc>
          <w:tcPr>
            <w:tcW w:w="1015" w:type="pct"/>
            <w:shd w:val="clear" w:color="auto" w:fill="auto"/>
            <w:vAlign w:val="center"/>
          </w:tcPr>
          <w:p w14:paraId="6BAF87CB" w14:textId="77777777" w:rsidR="00E57DAA" w:rsidRDefault="00AC4185">
            <w:pPr>
              <w:autoSpaceDE w:val="0"/>
              <w:autoSpaceDN w:val="0"/>
              <w:adjustRightInd w:val="0"/>
              <w:snapToGrid w:val="0"/>
              <w:jc w:val="right"/>
              <w:rPr>
                <w:szCs w:val="21"/>
              </w:rPr>
            </w:pPr>
            <w:r>
              <w:t>1,362.71</w:t>
            </w:r>
          </w:p>
        </w:tc>
        <w:tc>
          <w:tcPr>
            <w:tcW w:w="1014" w:type="pct"/>
            <w:shd w:val="clear" w:color="auto" w:fill="auto"/>
            <w:vAlign w:val="center"/>
          </w:tcPr>
          <w:p w14:paraId="47F9584D" w14:textId="77777777" w:rsidR="00E57DAA" w:rsidRDefault="00AC4185">
            <w:pPr>
              <w:autoSpaceDE w:val="0"/>
              <w:autoSpaceDN w:val="0"/>
              <w:adjustRightInd w:val="0"/>
              <w:snapToGrid w:val="0"/>
              <w:jc w:val="right"/>
              <w:rPr>
                <w:szCs w:val="21"/>
              </w:rPr>
            </w:pPr>
            <w:r>
              <w:t>266,554,081.85</w:t>
            </w:r>
          </w:p>
        </w:tc>
      </w:tr>
      <w:tr w:rsidR="00E57DAA" w14:paraId="2BBA271A" w14:textId="77777777">
        <w:tc>
          <w:tcPr>
            <w:tcW w:w="942" w:type="pct"/>
            <w:vAlign w:val="center"/>
          </w:tcPr>
          <w:p w14:paraId="5557EB20" w14:textId="77777777" w:rsidR="00E57DAA" w:rsidRDefault="00AC4185">
            <w:pPr>
              <w:autoSpaceDE w:val="0"/>
              <w:autoSpaceDN w:val="0"/>
              <w:adjustRightInd w:val="0"/>
              <w:snapToGrid w:val="0"/>
              <w:jc w:val="center"/>
              <w:rPr>
                <w:szCs w:val="21"/>
              </w:rPr>
            </w:pPr>
            <w:r>
              <w:rPr>
                <w:rFonts w:hint="eastAsia"/>
                <w:szCs w:val="21"/>
              </w:rPr>
              <w:t>合计</w:t>
            </w:r>
          </w:p>
        </w:tc>
        <w:tc>
          <w:tcPr>
            <w:tcW w:w="1005" w:type="pct"/>
            <w:vAlign w:val="center"/>
          </w:tcPr>
          <w:p w14:paraId="28E41733" w14:textId="77777777" w:rsidR="00E57DAA" w:rsidRDefault="00AC4185">
            <w:pPr>
              <w:autoSpaceDE w:val="0"/>
              <w:autoSpaceDN w:val="0"/>
              <w:adjustRightInd w:val="0"/>
              <w:snapToGrid w:val="0"/>
              <w:jc w:val="right"/>
              <w:rPr>
                <w:szCs w:val="21"/>
              </w:rPr>
            </w:pPr>
            <w:r>
              <w:t>1,183,877,316.88</w:t>
            </w:r>
          </w:p>
        </w:tc>
        <w:tc>
          <w:tcPr>
            <w:tcW w:w="1024" w:type="pct"/>
            <w:vAlign w:val="center"/>
          </w:tcPr>
          <w:p w14:paraId="515ABA92" w14:textId="77777777" w:rsidR="00E57DAA" w:rsidRDefault="00AC4185">
            <w:pPr>
              <w:autoSpaceDE w:val="0"/>
              <w:autoSpaceDN w:val="0"/>
              <w:adjustRightInd w:val="0"/>
              <w:snapToGrid w:val="0"/>
              <w:jc w:val="right"/>
              <w:rPr>
                <w:szCs w:val="21"/>
              </w:rPr>
            </w:pPr>
            <w:r>
              <w:t>2,873,246,253.31</w:t>
            </w:r>
          </w:p>
        </w:tc>
        <w:tc>
          <w:tcPr>
            <w:tcW w:w="1015" w:type="pct"/>
            <w:vAlign w:val="center"/>
          </w:tcPr>
          <w:p w14:paraId="20B451FA" w14:textId="77777777" w:rsidR="00E57DAA" w:rsidRDefault="00AC4185">
            <w:pPr>
              <w:autoSpaceDE w:val="0"/>
              <w:autoSpaceDN w:val="0"/>
              <w:adjustRightInd w:val="0"/>
              <w:snapToGrid w:val="0"/>
              <w:jc w:val="right"/>
              <w:rPr>
                <w:szCs w:val="21"/>
              </w:rPr>
            </w:pPr>
            <w:r>
              <w:t>3,647,201,358.41</w:t>
            </w:r>
          </w:p>
        </w:tc>
        <w:tc>
          <w:tcPr>
            <w:tcW w:w="1014" w:type="pct"/>
            <w:vAlign w:val="center"/>
          </w:tcPr>
          <w:p w14:paraId="40B99C9E" w14:textId="77777777" w:rsidR="00E57DAA" w:rsidRDefault="00AC4185">
            <w:pPr>
              <w:autoSpaceDE w:val="0"/>
              <w:autoSpaceDN w:val="0"/>
              <w:adjustRightInd w:val="0"/>
              <w:snapToGrid w:val="0"/>
              <w:jc w:val="right"/>
              <w:rPr>
                <w:szCs w:val="21"/>
              </w:rPr>
            </w:pPr>
            <w:r>
              <w:t>409,922,211.78</w:t>
            </w:r>
          </w:p>
        </w:tc>
      </w:tr>
    </w:tbl>
    <w:p w14:paraId="1F7AD1C9" w14:textId="77777777" w:rsidR="00E57DAA" w:rsidRDefault="00AC4185">
      <w:pPr>
        <w:rPr>
          <w:szCs w:val="21"/>
        </w:rPr>
      </w:pPr>
      <w:r>
        <w:rPr>
          <w:rFonts w:hint="eastAsia"/>
          <w:szCs w:val="21"/>
        </w:rPr>
        <w:t>其他说明，包括本期增减变动情况、变动原因说明：</w:t>
      </w:r>
    </w:p>
    <w:sdt>
      <w:sdtPr>
        <w:rPr>
          <w:szCs w:val="21"/>
        </w:rPr>
        <w:alias w:val="资本公积说明"/>
        <w:tag w:val="_GBC_bd957b69783b49af88b2c285825bd0fc"/>
        <w:id w:val="1384444816"/>
        <w:placeholder>
          <w:docPart w:val="GBC22222222222222222222222222222"/>
        </w:placeholder>
      </w:sdtPr>
      <w:sdtEndPr/>
      <w:sdtContent>
        <w:p w14:paraId="45CECE7B" w14:textId="77777777" w:rsidR="00E57DAA" w:rsidRDefault="00AC4185">
          <w:pPr>
            <w:ind w:firstLineChars="200" w:firstLine="420"/>
            <w:jc w:val="both"/>
            <w:rPr>
              <w:szCs w:val="21"/>
            </w:rPr>
          </w:pPr>
          <w:r>
            <w:rPr>
              <w:rFonts w:hint="eastAsia"/>
              <w:szCs w:val="21"/>
            </w:rPr>
            <w:t>1、股本溢价本期增加</w:t>
          </w:r>
          <w:r>
            <w:rPr>
              <w:szCs w:val="21"/>
            </w:rPr>
            <w:t>2,805,682,420.88元。（1）公司发行股份及支付现金购买合肥院100%股权，发行价与股本差额增加股本溢价2,732,895,778.28元；（2）向激励对象授予限制性股票，授予价与股本的差额增加股本溢价46,486,379.22元；（3）购买子公司中材智能科技（成都）有限公司25.83%股权，合并报表层面增加股本溢价26,300,263.38元。</w:t>
          </w:r>
        </w:p>
        <w:p w14:paraId="29D422F2" w14:textId="77777777" w:rsidR="00E57DAA" w:rsidRDefault="00AC4185">
          <w:pPr>
            <w:pStyle w:val="Style244"/>
            <w:widowControl w:val="0"/>
            <w:tabs>
              <w:tab w:val="left" w:pos="196"/>
              <w:tab w:val="left" w:pos="426"/>
            </w:tabs>
            <w:spacing w:line="240" w:lineRule="auto"/>
            <w:ind w:leftChars="0" w:left="0" w:firstLineChars="200" w:firstLine="420"/>
            <w:jc w:val="both"/>
            <w:rPr>
              <w:rFonts w:cs="宋体"/>
              <w:kern w:val="0"/>
            </w:rPr>
          </w:pPr>
          <w:r>
            <w:rPr>
              <w:rFonts w:cs="宋体" w:hint="eastAsia"/>
              <w:kern w:val="0"/>
            </w:rPr>
            <w:t>2、股本溢价本期减少</w:t>
          </w:r>
          <w:r>
            <w:rPr>
              <w:rFonts w:cs="宋体"/>
              <w:kern w:val="0"/>
            </w:rPr>
            <w:t>3,647,199,995.70</w:t>
          </w:r>
          <w:r>
            <w:rPr>
              <w:rFonts w:cs="宋体" w:hint="eastAsia"/>
              <w:kern w:val="0"/>
            </w:rPr>
            <w:t>元。（1）公司发行股份及支付现金购买合肥院100%股权为同一控制下企业合并，确认对合肥院的长期股权投资与交易对价的差额减少股本溢价</w:t>
          </w:r>
          <w:r>
            <w:rPr>
              <w:rFonts w:cs="宋体"/>
              <w:kern w:val="0"/>
            </w:rPr>
            <w:t>778,013,246.03</w:t>
          </w:r>
          <w:r>
            <w:rPr>
              <w:rFonts w:cs="宋体" w:hint="eastAsia"/>
              <w:kern w:val="0"/>
            </w:rPr>
            <w:t>元；（2）合并报表层面转回合肥院合并日的留存收益减少股本溢价</w:t>
          </w:r>
          <w:r>
            <w:rPr>
              <w:rFonts w:cs="宋体"/>
              <w:kern w:val="0"/>
            </w:rPr>
            <w:t>1,886,583,756.79</w:t>
          </w:r>
          <w:r>
            <w:rPr>
              <w:rFonts w:cs="宋体" w:hint="eastAsia"/>
              <w:kern w:val="0"/>
            </w:rPr>
            <w:t>元；（3）按同一控制下企业合并重溯2022年度合并报表模拟的股本溢价</w:t>
          </w:r>
          <w:r>
            <w:rPr>
              <w:rFonts w:cs="宋体"/>
              <w:kern w:val="0"/>
            </w:rPr>
            <w:t>982,602,992.88</w:t>
          </w:r>
          <w:r>
            <w:rPr>
              <w:rFonts w:cs="宋体" w:hint="eastAsia"/>
              <w:kern w:val="0"/>
            </w:rPr>
            <w:t>元在本期减少。</w:t>
          </w:r>
        </w:p>
        <w:p w14:paraId="4A4D64B9" w14:textId="77777777" w:rsidR="00E57DAA" w:rsidRDefault="00AC4185">
          <w:pPr>
            <w:pStyle w:val="Style244"/>
            <w:widowControl w:val="0"/>
            <w:tabs>
              <w:tab w:val="left" w:pos="196"/>
              <w:tab w:val="left" w:pos="426"/>
            </w:tabs>
            <w:spacing w:line="240" w:lineRule="auto"/>
            <w:ind w:leftChars="0" w:left="0" w:firstLineChars="200" w:firstLine="420"/>
            <w:jc w:val="both"/>
            <w:rPr>
              <w:rFonts w:cs="宋体"/>
              <w:kern w:val="0"/>
            </w:rPr>
          </w:pPr>
          <w:r>
            <w:rPr>
              <w:rFonts w:cs="宋体" w:hint="eastAsia"/>
              <w:kern w:val="0"/>
            </w:rPr>
            <w:t>3、其他资本公积本期增加</w:t>
          </w:r>
          <w:r>
            <w:rPr>
              <w:rFonts w:cs="宋体"/>
              <w:kern w:val="0"/>
            </w:rPr>
            <w:t>67,563,832.43</w:t>
          </w:r>
          <w:r>
            <w:rPr>
              <w:rFonts w:cs="宋体" w:hint="eastAsia"/>
              <w:kern w:val="0"/>
            </w:rPr>
            <w:t>元系限制性股票的股份支付费用摊销。</w:t>
          </w:r>
        </w:p>
        <w:p w14:paraId="161DD9A3" w14:textId="77777777" w:rsidR="00E57DAA" w:rsidRDefault="00AC4185">
          <w:pPr>
            <w:ind w:firstLineChars="200" w:firstLine="420"/>
            <w:jc w:val="both"/>
            <w:rPr>
              <w:szCs w:val="21"/>
            </w:rPr>
          </w:pPr>
          <w:r>
            <w:rPr>
              <w:rFonts w:hint="eastAsia"/>
              <w:szCs w:val="21"/>
            </w:rPr>
            <w:t>4、其他资本公积本期减少</w:t>
          </w:r>
          <w:r>
            <w:rPr>
              <w:szCs w:val="21"/>
            </w:rPr>
            <w:t>1,362.71</w:t>
          </w:r>
          <w:r>
            <w:rPr>
              <w:rFonts w:hint="eastAsia"/>
              <w:szCs w:val="21"/>
            </w:rPr>
            <w:t>元系按权益法确认联营企业专项储备变化。</w:t>
          </w:r>
        </w:p>
      </w:sdtContent>
    </w:sdt>
    <w:p w14:paraId="1233002F" w14:textId="77777777" w:rsidR="00E57DAA" w:rsidRDefault="00E57DAA">
      <w:pPr>
        <w:rPr>
          <w:szCs w:val="21"/>
        </w:rPr>
      </w:pPr>
    </w:p>
    <w:p w14:paraId="499AC6DE" w14:textId="77777777" w:rsidR="00E57DAA" w:rsidRDefault="00AC4185" w:rsidP="00C25422">
      <w:pPr>
        <w:pStyle w:val="91"/>
        <w:numPr>
          <w:ilvl w:val="0"/>
          <w:numId w:val="69"/>
        </w:numPr>
      </w:pPr>
      <w:r>
        <w:rPr>
          <w:rFonts w:hint="eastAsia"/>
        </w:rPr>
        <w:t>库存股</w:t>
      </w:r>
    </w:p>
    <w:sdt>
      <w:sdtPr>
        <w:alias w:val="是否适用：库存股[双击切换]"/>
        <w:tag w:val="_GBC_8e4fbb6e216145d28e75f17bb16e2ed0"/>
        <w:id w:val="1188568291"/>
        <w:placeholder>
          <w:docPart w:val="GBC22222222222222222222222222222"/>
        </w:placeholder>
      </w:sdtPr>
      <w:sdtEndPr/>
      <w:sdtContent>
        <w:p w14:paraId="51CC0A8A"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BD2C72" w14:textId="77777777" w:rsidR="00E57DAA" w:rsidRDefault="00AC4185" w:rsidP="00C25422">
      <w:pPr>
        <w:pStyle w:val="73"/>
        <w:ind w:firstLine="400"/>
      </w:pPr>
      <w:r>
        <w:rPr>
          <w:rFonts w:hint="eastAsia"/>
        </w:rPr>
        <w:t>单位：</w:t>
      </w:r>
      <w:sdt>
        <w:sdtPr>
          <w:rPr>
            <w:rFonts w:hint="eastAsia"/>
          </w:rPr>
          <w:alias w:val="单位：财务附注：库存股"/>
          <w:tag w:val="_GBC_1762a395ee414a4ab9d088576fc67b95"/>
          <w:id w:val="18038036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库存股"/>
          <w:tag w:val="_GBC_aa9b77277b2f445fb00ee31519c400b8"/>
          <w:id w:val="16578057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68"/>
        <w:gridCol w:w="1761"/>
        <w:gridCol w:w="1789"/>
        <w:gridCol w:w="1802"/>
        <w:gridCol w:w="1803"/>
      </w:tblGrid>
      <w:tr w:rsidR="00E57DAA" w14:paraId="2B7036A9" w14:textId="77777777">
        <w:sdt>
          <w:sdtPr>
            <w:tag w:val="_PLD_3bb42fd3c8c244e1ba361777cd8b061c"/>
            <w:id w:val="-849950939"/>
          </w:sdtPr>
          <w:sdtEndPr/>
          <w:sdtContent>
            <w:tc>
              <w:tcPr>
                <w:tcW w:w="945" w:type="pct"/>
                <w:shd w:val="clear" w:color="auto" w:fill="auto"/>
                <w:vAlign w:val="center"/>
              </w:tcPr>
              <w:p w14:paraId="435EE2DC" w14:textId="77777777" w:rsidR="00E57DAA" w:rsidRDefault="00AC4185">
                <w:pPr>
                  <w:jc w:val="center"/>
                  <w:rPr>
                    <w:szCs w:val="21"/>
                  </w:rPr>
                </w:pPr>
                <w:r>
                  <w:rPr>
                    <w:rFonts w:hint="eastAsia"/>
                    <w:szCs w:val="21"/>
                  </w:rPr>
                  <w:t>项目</w:t>
                </w:r>
              </w:p>
            </w:tc>
          </w:sdtContent>
        </w:sdt>
        <w:sdt>
          <w:sdtPr>
            <w:tag w:val="_PLD_dbccb5fb3e6647159adf418aaf7a819d"/>
            <w:id w:val="1183704431"/>
          </w:sdtPr>
          <w:sdtEndPr/>
          <w:sdtContent>
            <w:tc>
              <w:tcPr>
                <w:tcW w:w="998" w:type="pct"/>
                <w:shd w:val="clear" w:color="auto" w:fill="auto"/>
                <w:vAlign w:val="center"/>
              </w:tcPr>
              <w:p w14:paraId="2A31FCC5" w14:textId="77777777" w:rsidR="00E57DAA" w:rsidRDefault="00AC4185">
                <w:pPr>
                  <w:jc w:val="center"/>
                  <w:rPr>
                    <w:szCs w:val="21"/>
                  </w:rPr>
                </w:pPr>
                <w:r>
                  <w:rPr>
                    <w:rFonts w:hint="eastAsia"/>
                    <w:szCs w:val="21"/>
                  </w:rPr>
                  <w:t>期初余额</w:t>
                </w:r>
              </w:p>
            </w:tc>
          </w:sdtContent>
        </w:sdt>
        <w:sdt>
          <w:sdtPr>
            <w:tag w:val="_PLD_efd45699d9ff4436b9e070adb8fb59ad"/>
            <w:id w:val="1123817540"/>
          </w:sdtPr>
          <w:sdtEndPr/>
          <w:sdtContent>
            <w:tc>
              <w:tcPr>
                <w:tcW w:w="1014" w:type="pct"/>
                <w:shd w:val="clear" w:color="auto" w:fill="auto"/>
                <w:vAlign w:val="center"/>
              </w:tcPr>
              <w:p w14:paraId="5ABAEC27" w14:textId="77777777" w:rsidR="00E57DAA" w:rsidRDefault="00AC4185">
                <w:pPr>
                  <w:jc w:val="center"/>
                  <w:rPr>
                    <w:szCs w:val="21"/>
                  </w:rPr>
                </w:pPr>
                <w:r>
                  <w:rPr>
                    <w:rFonts w:hint="eastAsia"/>
                    <w:szCs w:val="21"/>
                  </w:rPr>
                  <w:t>本期增加</w:t>
                </w:r>
              </w:p>
            </w:tc>
          </w:sdtContent>
        </w:sdt>
        <w:sdt>
          <w:sdtPr>
            <w:tag w:val="_PLD_98330c8585594c0b8f1ac93353a4e2bc"/>
            <w:id w:val="702517149"/>
          </w:sdtPr>
          <w:sdtEndPr/>
          <w:sdtContent>
            <w:tc>
              <w:tcPr>
                <w:tcW w:w="1021" w:type="pct"/>
                <w:shd w:val="clear" w:color="auto" w:fill="auto"/>
                <w:vAlign w:val="center"/>
              </w:tcPr>
              <w:p w14:paraId="50028529" w14:textId="77777777" w:rsidR="00E57DAA" w:rsidRDefault="00AC4185">
                <w:pPr>
                  <w:jc w:val="center"/>
                  <w:rPr>
                    <w:szCs w:val="21"/>
                  </w:rPr>
                </w:pPr>
                <w:r>
                  <w:rPr>
                    <w:rFonts w:hint="eastAsia"/>
                    <w:szCs w:val="21"/>
                  </w:rPr>
                  <w:t>本期减少</w:t>
                </w:r>
              </w:p>
            </w:tc>
          </w:sdtContent>
        </w:sdt>
        <w:sdt>
          <w:sdtPr>
            <w:tag w:val="_PLD_6d3e824a5a6f4f1fbc66e6ffabf43d1e"/>
            <w:id w:val="-501043294"/>
          </w:sdtPr>
          <w:sdtEndPr/>
          <w:sdtContent>
            <w:tc>
              <w:tcPr>
                <w:tcW w:w="1022" w:type="pct"/>
                <w:shd w:val="clear" w:color="auto" w:fill="auto"/>
                <w:vAlign w:val="center"/>
              </w:tcPr>
              <w:p w14:paraId="0BBB4C71" w14:textId="77777777" w:rsidR="00E57DAA" w:rsidRDefault="00AC4185">
                <w:pPr>
                  <w:jc w:val="center"/>
                  <w:rPr>
                    <w:szCs w:val="21"/>
                  </w:rPr>
                </w:pPr>
                <w:r>
                  <w:rPr>
                    <w:rFonts w:hint="eastAsia"/>
                    <w:szCs w:val="21"/>
                  </w:rPr>
                  <w:t>期末余额</w:t>
                </w:r>
              </w:p>
            </w:tc>
          </w:sdtContent>
        </w:sdt>
      </w:tr>
      <w:tr w:rsidR="00E57DAA" w14:paraId="31370336" w14:textId="77777777">
        <w:tc>
          <w:tcPr>
            <w:tcW w:w="945" w:type="pct"/>
            <w:shd w:val="clear" w:color="auto" w:fill="auto"/>
          </w:tcPr>
          <w:p w14:paraId="0AEDC04C" w14:textId="77777777" w:rsidR="00E57DAA" w:rsidRDefault="00AC4185">
            <w:pPr>
              <w:rPr>
                <w:szCs w:val="21"/>
              </w:rPr>
            </w:pPr>
            <w:r>
              <w:t>限制性股份支付</w:t>
            </w:r>
          </w:p>
        </w:tc>
        <w:tc>
          <w:tcPr>
            <w:tcW w:w="998" w:type="pct"/>
            <w:shd w:val="clear" w:color="auto" w:fill="auto"/>
          </w:tcPr>
          <w:p w14:paraId="5DF6E159" w14:textId="77777777" w:rsidR="00E57DAA" w:rsidRDefault="00AC4185">
            <w:pPr>
              <w:jc w:val="right"/>
              <w:rPr>
                <w:szCs w:val="21"/>
              </w:rPr>
            </w:pPr>
            <w:r>
              <w:t>267,191,920.55</w:t>
            </w:r>
          </w:p>
        </w:tc>
        <w:tc>
          <w:tcPr>
            <w:tcW w:w="1014" w:type="pct"/>
            <w:shd w:val="clear" w:color="auto" w:fill="auto"/>
          </w:tcPr>
          <w:p w14:paraId="633006F2" w14:textId="77777777" w:rsidR="00E57DAA" w:rsidRDefault="00AC4185">
            <w:pPr>
              <w:jc w:val="right"/>
              <w:rPr>
                <w:szCs w:val="21"/>
              </w:rPr>
            </w:pPr>
            <w:r>
              <w:t>56,293,632.22</w:t>
            </w:r>
          </w:p>
        </w:tc>
        <w:tc>
          <w:tcPr>
            <w:tcW w:w="1021" w:type="pct"/>
            <w:shd w:val="clear" w:color="auto" w:fill="auto"/>
          </w:tcPr>
          <w:p w14:paraId="4487562B" w14:textId="77777777" w:rsidR="00E57DAA" w:rsidRDefault="00AC4185">
            <w:pPr>
              <w:jc w:val="right"/>
              <w:rPr>
                <w:szCs w:val="21"/>
              </w:rPr>
            </w:pPr>
            <w:r>
              <w:t>16,906,910.40</w:t>
            </w:r>
          </w:p>
        </w:tc>
        <w:tc>
          <w:tcPr>
            <w:tcW w:w="1022" w:type="pct"/>
            <w:shd w:val="clear" w:color="auto" w:fill="auto"/>
          </w:tcPr>
          <w:p w14:paraId="17018AD0" w14:textId="77777777" w:rsidR="00E57DAA" w:rsidRDefault="00AC4185">
            <w:pPr>
              <w:jc w:val="right"/>
              <w:rPr>
                <w:szCs w:val="21"/>
              </w:rPr>
            </w:pPr>
            <w:r>
              <w:t>306,578,642.37</w:t>
            </w:r>
          </w:p>
        </w:tc>
      </w:tr>
      <w:tr w:rsidR="00E57DAA" w14:paraId="1E9606B4" w14:textId="77777777">
        <w:tc>
          <w:tcPr>
            <w:tcW w:w="945" w:type="pct"/>
            <w:shd w:val="clear" w:color="auto" w:fill="auto"/>
            <w:vAlign w:val="center"/>
          </w:tcPr>
          <w:p w14:paraId="26830A8E" w14:textId="77777777" w:rsidR="00E57DAA" w:rsidRDefault="00AC4185">
            <w:pPr>
              <w:jc w:val="center"/>
              <w:rPr>
                <w:szCs w:val="21"/>
              </w:rPr>
            </w:pPr>
            <w:r>
              <w:rPr>
                <w:rFonts w:hint="eastAsia"/>
                <w:szCs w:val="21"/>
              </w:rPr>
              <w:t>合计</w:t>
            </w:r>
          </w:p>
        </w:tc>
        <w:tc>
          <w:tcPr>
            <w:tcW w:w="998" w:type="pct"/>
            <w:shd w:val="clear" w:color="auto" w:fill="auto"/>
            <w:vAlign w:val="center"/>
          </w:tcPr>
          <w:p w14:paraId="0C38BE8F" w14:textId="77777777" w:rsidR="00E57DAA" w:rsidRDefault="00AC4185">
            <w:pPr>
              <w:jc w:val="right"/>
              <w:rPr>
                <w:szCs w:val="21"/>
              </w:rPr>
            </w:pPr>
            <w:r>
              <w:t>267,191,920.55</w:t>
            </w:r>
          </w:p>
        </w:tc>
        <w:tc>
          <w:tcPr>
            <w:tcW w:w="1014" w:type="pct"/>
            <w:shd w:val="clear" w:color="auto" w:fill="auto"/>
            <w:vAlign w:val="center"/>
          </w:tcPr>
          <w:p w14:paraId="77F326AC" w14:textId="77777777" w:rsidR="00E57DAA" w:rsidRDefault="00AC4185">
            <w:pPr>
              <w:jc w:val="right"/>
              <w:rPr>
                <w:szCs w:val="21"/>
              </w:rPr>
            </w:pPr>
            <w:r>
              <w:t>56,293,632.22</w:t>
            </w:r>
          </w:p>
        </w:tc>
        <w:tc>
          <w:tcPr>
            <w:tcW w:w="1021" w:type="pct"/>
            <w:shd w:val="clear" w:color="auto" w:fill="auto"/>
            <w:vAlign w:val="center"/>
          </w:tcPr>
          <w:p w14:paraId="461F9390" w14:textId="77777777" w:rsidR="00E57DAA" w:rsidRDefault="00AC4185">
            <w:pPr>
              <w:jc w:val="right"/>
              <w:rPr>
                <w:szCs w:val="21"/>
              </w:rPr>
            </w:pPr>
            <w:r>
              <w:t>16,906,910.40</w:t>
            </w:r>
          </w:p>
        </w:tc>
        <w:tc>
          <w:tcPr>
            <w:tcW w:w="1022" w:type="pct"/>
            <w:shd w:val="clear" w:color="auto" w:fill="auto"/>
            <w:vAlign w:val="center"/>
          </w:tcPr>
          <w:p w14:paraId="446CD78D" w14:textId="77777777" w:rsidR="00E57DAA" w:rsidRDefault="00AC4185">
            <w:pPr>
              <w:jc w:val="right"/>
              <w:rPr>
                <w:szCs w:val="21"/>
              </w:rPr>
            </w:pPr>
            <w:r>
              <w:t>306,578,642.37</w:t>
            </w:r>
          </w:p>
        </w:tc>
      </w:tr>
    </w:tbl>
    <w:p w14:paraId="7C8BEFFE" w14:textId="77777777" w:rsidR="00E57DAA" w:rsidRDefault="00E57DAA" w:rsidP="00C25422">
      <w:pPr>
        <w:pStyle w:val="92"/>
      </w:pPr>
    </w:p>
    <w:p w14:paraId="1F82E3DA" w14:textId="77777777" w:rsidR="00E57DAA" w:rsidRDefault="00AC4185">
      <w:pPr>
        <w:rPr>
          <w:szCs w:val="21"/>
        </w:rPr>
      </w:pPr>
      <w:r>
        <w:rPr>
          <w:rFonts w:hint="eastAsia"/>
          <w:szCs w:val="21"/>
        </w:rPr>
        <w:t>其他说明，包括本期增减变动情况、变动原因说明：</w:t>
      </w:r>
    </w:p>
    <w:p w14:paraId="7B6BF058" w14:textId="77777777" w:rsidR="00E57DAA" w:rsidRDefault="00EB41A1">
      <w:pPr>
        <w:rPr>
          <w:b/>
          <w:szCs w:val="21"/>
        </w:rPr>
      </w:pPr>
      <w:sdt>
        <w:sdtPr>
          <w:rPr>
            <w:szCs w:val="21"/>
          </w:rPr>
          <w:alias w:val="库存股情况说明"/>
          <w:tag w:val="_GBC_42d286884eca4cfab482f6fcc10c0c0b"/>
          <w:id w:val="756254673"/>
          <w:placeholder>
            <w:docPart w:val="GBC22222222222222222222222222222"/>
          </w:placeholder>
        </w:sdtPr>
        <w:sdtEndPr/>
        <w:sdtContent>
          <w:r w:rsidR="00AC4185">
            <w:rPr>
              <w:rFonts w:hint="eastAsia"/>
              <w:szCs w:val="21"/>
            </w:rPr>
            <w:t>如“注释55</w:t>
          </w:r>
          <w:r w:rsidR="00AC4185">
            <w:rPr>
              <w:szCs w:val="21"/>
            </w:rPr>
            <w:t>.资本公积”所述，根据所授予的限制性股票，确认库存股及回购义务56,293,632.22元；本期向限制性股票激励对象分配现金股利（可撤销）16,906,910.40元，相应减少库存股16,906,910.40元。</w:t>
          </w:r>
        </w:sdtContent>
      </w:sdt>
    </w:p>
    <w:p w14:paraId="76F04B1D"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bookmarkStart w:id="296" w:name="_Hlk10537776"/>
      <w:bookmarkEnd w:id="296"/>
    </w:p>
    <w:p w14:paraId="7B7E8E25" w14:textId="77777777" w:rsidR="00E57DAA" w:rsidRDefault="00E57DAA">
      <w:pPr>
        <w:rPr>
          <w:szCs w:val="21"/>
        </w:rPr>
      </w:pPr>
    </w:p>
    <w:p w14:paraId="41200FF6" w14:textId="77777777" w:rsidR="00E57DAA" w:rsidRDefault="00AC4185" w:rsidP="00C25422">
      <w:pPr>
        <w:pStyle w:val="91"/>
        <w:numPr>
          <w:ilvl w:val="0"/>
          <w:numId w:val="69"/>
        </w:numPr>
      </w:pPr>
      <w:r>
        <w:rPr>
          <w:rFonts w:hint="eastAsia"/>
        </w:rPr>
        <w:t>其他综合收益</w:t>
      </w:r>
    </w:p>
    <w:bookmarkStart w:id="297" w:name="_Hlk24027351" w:displacedByCustomXml="next"/>
    <w:sdt>
      <w:sdtPr>
        <w:alias w:val="是否适用：其他综合收益[双击切换]"/>
        <w:tag w:val="_GBC_60105f81909745c788232a2118ec8260"/>
        <w:id w:val="-863432985"/>
        <w:placeholder>
          <w:docPart w:val="GBC22222222222222222222222222222"/>
        </w:placeholder>
      </w:sdtPr>
      <w:sdtEndPr/>
      <w:sdtContent>
        <w:p w14:paraId="0611273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1A0A19" w14:textId="77777777" w:rsidR="00E57DAA" w:rsidRDefault="00AC4185">
      <w:pPr>
        <w:jc w:val="right"/>
        <w:rPr>
          <w:szCs w:val="21"/>
        </w:rPr>
      </w:pPr>
      <w:r>
        <w:rPr>
          <w:rFonts w:hint="eastAsia"/>
          <w:szCs w:val="21"/>
        </w:rPr>
        <w:t>单位：</w:t>
      </w:r>
      <w:sdt>
        <w:sdtPr>
          <w:rPr>
            <w:rFonts w:hint="eastAsia"/>
            <w:szCs w:val="21"/>
          </w:rPr>
          <w:alias w:val="单位：财务附注：其他综合收益情况"/>
          <w:tag w:val="_GBC_e409bf7299734ac38578b7aeaafe4b22"/>
          <w:id w:val="-2164357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962574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8"/>
        <w:gridCol w:w="1747"/>
        <w:gridCol w:w="1844"/>
        <w:gridCol w:w="1051"/>
        <w:gridCol w:w="934"/>
        <w:gridCol w:w="1558"/>
        <w:gridCol w:w="1700"/>
        <w:gridCol w:w="1702"/>
        <w:gridCol w:w="1819"/>
      </w:tblGrid>
      <w:tr w:rsidR="00E57DAA" w14:paraId="035EFFB8" w14:textId="77777777">
        <w:trPr>
          <w:trHeight w:val="215"/>
        </w:trPr>
        <w:sdt>
          <w:sdtPr>
            <w:rPr>
              <w:sz w:val="20"/>
              <w:szCs w:val="20"/>
            </w:rPr>
            <w:tag w:val="_PLD_b9ff3615ccfb4fb8b5b240bdfb50f58f"/>
            <w:id w:val="-1394342869"/>
          </w:sdtPr>
          <w:sdtEndPr/>
          <w:sdtContent>
            <w:tc>
              <w:tcPr>
                <w:tcW w:w="544" w:type="pct"/>
                <w:vMerge w:val="restart"/>
                <w:shd w:val="clear" w:color="auto" w:fill="auto"/>
                <w:vAlign w:val="center"/>
              </w:tcPr>
              <w:p w14:paraId="110245DD" w14:textId="77777777" w:rsidR="00E57DAA" w:rsidRDefault="00AC4185">
                <w:pPr>
                  <w:jc w:val="center"/>
                  <w:rPr>
                    <w:sz w:val="20"/>
                    <w:szCs w:val="20"/>
                  </w:rPr>
                </w:pPr>
                <w:r>
                  <w:rPr>
                    <w:rFonts w:hint="eastAsia"/>
                    <w:sz w:val="20"/>
                    <w:szCs w:val="20"/>
                  </w:rPr>
                  <w:t>项目</w:t>
                </w:r>
              </w:p>
            </w:tc>
          </w:sdtContent>
        </w:sdt>
        <w:sdt>
          <w:sdtPr>
            <w:rPr>
              <w:sz w:val="20"/>
              <w:szCs w:val="20"/>
            </w:rPr>
            <w:tag w:val="_PLD_c452eb3cb7084e41ba725641dbad27ab"/>
            <w:id w:val="1040238595"/>
          </w:sdtPr>
          <w:sdtEndPr/>
          <w:sdtContent>
            <w:tc>
              <w:tcPr>
                <w:tcW w:w="630" w:type="pct"/>
                <w:vMerge w:val="restart"/>
                <w:shd w:val="clear" w:color="auto" w:fill="auto"/>
                <w:vAlign w:val="center"/>
              </w:tcPr>
              <w:p w14:paraId="1F3EEE87" w14:textId="77777777" w:rsidR="00E57DAA" w:rsidRDefault="00AC4185">
                <w:pPr>
                  <w:jc w:val="center"/>
                  <w:rPr>
                    <w:sz w:val="20"/>
                    <w:szCs w:val="20"/>
                  </w:rPr>
                </w:pPr>
                <w:r>
                  <w:rPr>
                    <w:rFonts w:hint="eastAsia"/>
                    <w:sz w:val="20"/>
                    <w:szCs w:val="20"/>
                  </w:rPr>
                  <w:t>期初</w:t>
                </w:r>
              </w:p>
              <w:p w14:paraId="4C517035" w14:textId="77777777" w:rsidR="00E57DAA" w:rsidRDefault="00AC4185">
                <w:pPr>
                  <w:jc w:val="center"/>
                  <w:rPr>
                    <w:sz w:val="20"/>
                    <w:szCs w:val="20"/>
                  </w:rPr>
                </w:pPr>
                <w:r>
                  <w:rPr>
                    <w:rFonts w:hint="eastAsia"/>
                    <w:sz w:val="20"/>
                    <w:szCs w:val="20"/>
                  </w:rPr>
                  <w:t>余额</w:t>
                </w:r>
              </w:p>
            </w:tc>
          </w:sdtContent>
        </w:sdt>
        <w:sdt>
          <w:sdtPr>
            <w:rPr>
              <w:sz w:val="20"/>
              <w:szCs w:val="20"/>
            </w:rPr>
            <w:tag w:val="_PLD_c4c67158aa744717a253a7b51b99ed00"/>
            <w:id w:val="-1915388991"/>
          </w:sdtPr>
          <w:sdtEndPr/>
          <w:sdtContent>
            <w:tc>
              <w:tcPr>
                <w:tcW w:w="3170" w:type="pct"/>
                <w:gridSpan w:val="6"/>
                <w:shd w:val="clear" w:color="auto" w:fill="auto"/>
                <w:vAlign w:val="center"/>
              </w:tcPr>
              <w:p w14:paraId="6B4A7FD0" w14:textId="77777777" w:rsidR="00E57DAA" w:rsidRDefault="00AC4185">
                <w:pPr>
                  <w:jc w:val="center"/>
                  <w:rPr>
                    <w:sz w:val="20"/>
                    <w:szCs w:val="20"/>
                  </w:rPr>
                </w:pPr>
                <w:r>
                  <w:rPr>
                    <w:rFonts w:hint="eastAsia"/>
                    <w:sz w:val="20"/>
                    <w:szCs w:val="20"/>
                  </w:rPr>
                  <w:t>本期发生金额</w:t>
                </w:r>
              </w:p>
            </w:tc>
          </w:sdtContent>
        </w:sdt>
        <w:sdt>
          <w:sdtPr>
            <w:rPr>
              <w:sz w:val="20"/>
              <w:szCs w:val="20"/>
            </w:rPr>
            <w:tag w:val="_PLD_2fcdc30e089b48d0af01eff4e6c0c7ad"/>
            <w:id w:val="-381174569"/>
          </w:sdtPr>
          <w:sdtEndPr/>
          <w:sdtContent>
            <w:tc>
              <w:tcPr>
                <w:tcW w:w="656" w:type="pct"/>
                <w:vMerge w:val="restart"/>
                <w:shd w:val="clear" w:color="auto" w:fill="auto"/>
                <w:vAlign w:val="center"/>
              </w:tcPr>
              <w:p w14:paraId="2416313F" w14:textId="77777777" w:rsidR="00E57DAA" w:rsidRDefault="00AC4185">
                <w:pPr>
                  <w:jc w:val="center"/>
                  <w:rPr>
                    <w:sz w:val="20"/>
                    <w:szCs w:val="20"/>
                  </w:rPr>
                </w:pPr>
                <w:r>
                  <w:rPr>
                    <w:rFonts w:hint="eastAsia"/>
                    <w:sz w:val="20"/>
                    <w:szCs w:val="20"/>
                  </w:rPr>
                  <w:t>期末</w:t>
                </w:r>
              </w:p>
              <w:p w14:paraId="026BF9E9" w14:textId="77777777" w:rsidR="00E57DAA" w:rsidRDefault="00AC4185">
                <w:pPr>
                  <w:jc w:val="center"/>
                  <w:rPr>
                    <w:sz w:val="20"/>
                    <w:szCs w:val="20"/>
                  </w:rPr>
                </w:pPr>
                <w:r>
                  <w:rPr>
                    <w:rFonts w:hint="eastAsia"/>
                    <w:sz w:val="20"/>
                    <w:szCs w:val="20"/>
                  </w:rPr>
                  <w:t>余额</w:t>
                </w:r>
              </w:p>
            </w:tc>
          </w:sdtContent>
        </w:sdt>
      </w:tr>
      <w:tr w:rsidR="00E57DAA" w14:paraId="2324DA2F" w14:textId="77777777">
        <w:tc>
          <w:tcPr>
            <w:tcW w:w="544" w:type="pct"/>
            <w:vMerge/>
            <w:shd w:val="clear" w:color="auto" w:fill="auto"/>
          </w:tcPr>
          <w:p w14:paraId="6E84DF6E" w14:textId="77777777" w:rsidR="00E57DAA" w:rsidRDefault="00E57DAA">
            <w:pPr>
              <w:jc w:val="center"/>
              <w:rPr>
                <w:sz w:val="20"/>
                <w:szCs w:val="20"/>
              </w:rPr>
            </w:pPr>
          </w:p>
        </w:tc>
        <w:tc>
          <w:tcPr>
            <w:tcW w:w="630" w:type="pct"/>
            <w:vMerge/>
            <w:shd w:val="clear" w:color="auto" w:fill="auto"/>
          </w:tcPr>
          <w:p w14:paraId="7A7C6886" w14:textId="77777777" w:rsidR="00E57DAA" w:rsidRDefault="00E57DAA">
            <w:pPr>
              <w:jc w:val="center"/>
              <w:rPr>
                <w:sz w:val="20"/>
                <w:szCs w:val="20"/>
              </w:rPr>
            </w:pPr>
          </w:p>
        </w:tc>
        <w:sdt>
          <w:sdtPr>
            <w:rPr>
              <w:sz w:val="20"/>
              <w:szCs w:val="20"/>
            </w:rPr>
            <w:tag w:val="_PLD_08b0381418824e1685e4223515aed1f1"/>
            <w:id w:val="-490401332"/>
          </w:sdtPr>
          <w:sdtEndPr/>
          <w:sdtContent>
            <w:tc>
              <w:tcPr>
                <w:tcW w:w="665" w:type="pct"/>
                <w:shd w:val="clear" w:color="auto" w:fill="auto"/>
                <w:vAlign w:val="center"/>
              </w:tcPr>
              <w:p w14:paraId="11C2CB0D" w14:textId="77777777" w:rsidR="00E57DAA" w:rsidRDefault="00AC4185">
                <w:pPr>
                  <w:jc w:val="center"/>
                  <w:rPr>
                    <w:sz w:val="20"/>
                    <w:szCs w:val="20"/>
                  </w:rPr>
                </w:pPr>
                <w:r>
                  <w:rPr>
                    <w:rFonts w:hint="eastAsia"/>
                    <w:sz w:val="20"/>
                    <w:szCs w:val="20"/>
                  </w:rPr>
                  <w:t>本期所得税前发生额</w:t>
                </w:r>
              </w:p>
            </w:tc>
          </w:sdtContent>
        </w:sdt>
        <w:sdt>
          <w:sdtPr>
            <w:rPr>
              <w:sz w:val="20"/>
              <w:szCs w:val="20"/>
            </w:rPr>
            <w:tag w:val="_PLD_b9b4a9789ab94b46aa682fa396296a6f"/>
            <w:id w:val="324251356"/>
          </w:sdtPr>
          <w:sdtEndPr/>
          <w:sdtContent>
            <w:tc>
              <w:tcPr>
                <w:tcW w:w="379" w:type="pct"/>
                <w:shd w:val="clear" w:color="auto" w:fill="auto"/>
                <w:vAlign w:val="center"/>
              </w:tcPr>
              <w:p w14:paraId="78F47AA0" w14:textId="77777777" w:rsidR="00E57DAA" w:rsidRDefault="00AC4185">
                <w:pPr>
                  <w:jc w:val="center"/>
                  <w:rPr>
                    <w:sz w:val="20"/>
                    <w:szCs w:val="20"/>
                  </w:rPr>
                </w:pPr>
                <w:r>
                  <w:rPr>
                    <w:rFonts w:hint="eastAsia"/>
                    <w:sz w:val="20"/>
                    <w:szCs w:val="20"/>
                  </w:rPr>
                  <w:t>减：前期计入其他综合收益当期转入损益</w:t>
                </w:r>
              </w:p>
            </w:tc>
          </w:sdtContent>
        </w:sdt>
        <w:tc>
          <w:tcPr>
            <w:tcW w:w="337" w:type="pct"/>
          </w:tcPr>
          <w:sdt>
            <w:sdtPr>
              <w:rPr>
                <w:rFonts w:hint="eastAsia"/>
                <w:sz w:val="20"/>
                <w:szCs w:val="20"/>
              </w:rPr>
              <w:tag w:val="_PLD_a38fa46c72bd4d5dbd427d2107ab58cc"/>
              <w:id w:val="-1963104310"/>
            </w:sdtPr>
            <w:sdtEndPr/>
            <w:sdtContent>
              <w:p w14:paraId="56114236" w14:textId="77777777" w:rsidR="00E57DAA" w:rsidRDefault="00AC4185">
                <w:pPr>
                  <w:jc w:val="center"/>
                  <w:rPr>
                    <w:sz w:val="20"/>
                    <w:szCs w:val="20"/>
                  </w:rPr>
                </w:pPr>
                <w:r>
                  <w:rPr>
                    <w:rFonts w:hint="eastAsia"/>
                    <w:sz w:val="20"/>
                    <w:szCs w:val="20"/>
                  </w:rPr>
                  <w:t>减：前期计入其他综合收益当期转入留存收益</w:t>
                </w:r>
              </w:p>
            </w:sdtContent>
          </w:sdt>
        </w:tc>
        <w:sdt>
          <w:sdtPr>
            <w:rPr>
              <w:sz w:val="20"/>
              <w:szCs w:val="20"/>
            </w:rPr>
            <w:tag w:val="_PLD_3aa0b45624ce4714ba49e23b657915b8"/>
            <w:id w:val="358861415"/>
          </w:sdtPr>
          <w:sdtEndPr/>
          <w:sdtContent>
            <w:tc>
              <w:tcPr>
                <w:tcW w:w="562" w:type="pct"/>
                <w:shd w:val="clear" w:color="auto" w:fill="auto"/>
                <w:vAlign w:val="center"/>
              </w:tcPr>
              <w:p w14:paraId="6F25F5A5" w14:textId="77777777" w:rsidR="00E57DAA" w:rsidRDefault="00AC4185">
                <w:pPr>
                  <w:jc w:val="center"/>
                  <w:rPr>
                    <w:sz w:val="20"/>
                    <w:szCs w:val="20"/>
                  </w:rPr>
                </w:pPr>
                <w:r>
                  <w:rPr>
                    <w:rFonts w:hint="eastAsia"/>
                    <w:sz w:val="20"/>
                    <w:szCs w:val="20"/>
                  </w:rPr>
                  <w:t>减：所得税费用</w:t>
                </w:r>
              </w:p>
            </w:tc>
          </w:sdtContent>
        </w:sdt>
        <w:sdt>
          <w:sdtPr>
            <w:rPr>
              <w:sz w:val="20"/>
              <w:szCs w:val="20"/>
            </w:rPr>
            <w:tag w:val="_PLD_8b3cddc1172740f1a089204a9d0cbe76"/>
            <w:id w:val="692574969"/>
          </w:sdtPr>
          <w:sdtEndPr/>
          <w:sdtContent>
            <w:tc>
              <w:tcPr>
                <w:tcW w:w="613" w:type="pct"/>
                <w:shd w:val="clear" w:color="auto" w:fill="auto"/>
                <w:vAlign w:val="center"/>
              </w:tcPr>
              <w:p w14:paraId="1E4DA797" w14:textId="77777777" w:rsidR="00E57DAA" w:rsidRDefault="00AC4185">
                <w:pPr>
                  <w:jc w:val="center"/>
                  <w:rPr>
                    <w:sz w:val="20"/>
                    <w:szCs w:val="20"/>
                  </w:rPr>
                </w:pPr>
                <w:r>
                  <w:rPr>
                    <w:rFonts w:hint="eastAsia"/>
                    <w:sz w:val="20"/>
                    <w:szCs w:val="20"/>
                  </w:rPr>
                  <w:t>税后归属于母公司</w:t>
                </w:r>
              </w:p>
            </w:tc>
          </w:sdtContent>
        </w:sdt>
        <w:sdt>
          <w:sdtPr>
            <w:rPr>
              <w:sz w:val="20"/>
              <w:szCs w:val="20"/>
            </w:rPr>
            <w:tag w:val="_PLD_addbe2b10c3b49449f4532c4ee8679a0"/>
            <w:id w:val="-290602336"/>
          </w:sdtPr>
          <w:sdtEndPr/>
          <w:sdtContent>
            <w:tc>
              <w:tcPr>
                <w:tcW w:w="614" w:type="pct"/>
                <w:shd w:val="clear" w:color="auto" w:fill="auto"/>
                <w:vAlign w:val="center"/>
              </w:tcPr>
              <w:p w14:paraId="24230E05" w14:textId="77777777" w:rsidR="00E57DAA" w:rsidRDefault="00AC4185">
                <w:pPr>
                  <w:jc w:val="center"/>
                  <w:rPr>
                    <w:sz w:val="20"/>
                    <w:szCs w:val="20"/>
                  </w:rPr>
                </w:pPr>
                <w:r>
                  <w:rPr>
                    <w:rFonts w:hint="eastAsia"/>
                    <w:sz w:val="20"/>
                    <w:szCs w:val="20"/>
                  </w:rPr>
                  <w:t>税后归属于少数股东</w:t>
                </w:r>
              </w:p>
            </w:tc>
          </w:sdtContent>
        </w:sdt>
        <w:tc>
          <w:tcPr>
            <w:tcW w:w="656" w:type="pct"/>
            <w:vMerge/>
            <w:shd w:val="clear" w:color="auto" w:fill="auto"/>
          </w:tcPr>
          <w:p w14:paraId="6FDD9833" w14:textId="77777777" w:rsidR="00E57DAA" w:rsidRDefault="00E57DAA">
            <w:pPr>
              <w:jc w:val="center"/>
              <w:rPr>
                <w:sz w:val="20"/>
                <w:szCs w:val="20"/>
              </w:rPr>
            </w:pPr>
          </w:p>
        </w:tc>
      </w:tr>
      <w:tr w:rsidR="00E57DAA" w14:paraId="623E74F4" w14:textId="77777777">
        <w:tc>
          <w:tcPr>
            <w:tcW w:w="544" w:type="pct"/>
            <w:shd w:val="clear" w:color="auto" w:fill="auto"/>
            <w:vAlign w:val="center"/>
          </w:tcPr>
          <w:p w14:paraId="57D30814" w14:textId="77777777" w:rsidR="00E57DAA" w:rsidRDefault="00AC4185">
            <w:pPr>
              <w:rPr>
                <w:sz w:val="20"/>
                <w:szCs w:val="20"/>
              </w:rPr>
            </w:pPr>
            <w:r>
              <w:rPr>
                <w:rFonts w:hint="eastAsia"/>
                <w:sz w:val="20"/>
                <w:szCs w:val="20"/>
              </w:rPr>
              <w:t>一、不能重分类进损益的其他综合收益</w:t>
            </w:r>
          </w:p>
        </w:tc>
        <w:tc>
          <w:tcPr>
            <w:tcW w:w="630" w:type="pct"/>
            <w:shd w:val="clear" w:color="auto" w:fill="auto"/>
            <w:vAlign w:val="center"/>
          </w:tcPr>
          <w:p w14:paraId="55E9BA49" w14:textId="77777777" w:rsidR="00E57DAA" w:rsidRDefault="00AC4185">
            <w:pPr>
              <w:jc w:val="right"/>
              <w:rPr>
                <w:sz w:val="20"/>
                <w:szCs w:val="20"/>
              </w:rPr>
            </w:pPr>
            <w:r>
              <w:rPr>
                <w:sz w:val="20"/>
                <w:szCs w:val="20"/>
              </w:rPr>
              <w:t>-23,535,137.04</w:t>
            </w:r>
          </w:p>
        </w:tc>
        <w:tc>
          <w:tcPr>
            <w:tcW w:w="665" w:type="pct"/>
            <w:shd w:val="clear" w:color="auto" w:fill="auto"/>
            <w:vAlign w:val="center"/>
          </w:tcPr>
          <w:p w14:paraId="029C6641" w14:textId="77777777" w:rsidR="00E57DAA" w:rsidRDefault="00AC4185">
            <w:pPr>
              <w:jc w:val="right"/>
              <w:rPr>
                <w:sz w:val="20"/>
                <w:szCs w:val="20"/>
              </w:rPr>
            </w:pPr>
            <w:r>
              <w:rPr>
                <w:sz w:val="20"/>
                <w:szCs w:val="20"/>
              </w:rPr>
              <w:t>1,551,781.15</w:t>
            </w:r>
          </w:p>
        </w:tc>
        <w:tc>
          <w:tcPr>
            <w:tcW w:w="379" w:type="pct"/>
            <w:shd w:val="clear" w:color="auto" w:fill="auto"/>
          </w:tcPr>
          <w:p w14:paraId="450B7606" w14:textId="77777777" w:rsidR="00E57DAA" w:rsidRDefault="00E57DAA">
            <w:pPr>
              <w:jc w:val="right"/>
              <w:rPr>
                <w:sz w:val="20"/>
                <w:szCs w:val="20"/>
              </w:rPr>
            </w:pPr>
          </w:p>
        </w:tc>
        <w:tc>
          <w:tcPr>
            <w:tcW w:w="337" w:type="pct"/>
          </w:tcPr>
          <w:p w14:paraId="63BB96AD" w14:textId="77777777" w:rsidR="00E57DAA" w:rsidRDefault="00E57DAA">
            <w:pPr>
              <w:jc w:val="right"/>
              <w:rPr>
                <w:sz w:val="20"/>
                <w:szCs w:val="20"/>
              </w:rPr>
            </w:pPr>
          </w:p>
        </w:tc>
        <w:tc>
          <w:tcPr>
            <w:tcW w:w="562" w:type="pct"/>
            <w:shd w:val="clear" w:color="auto" w:fill="auto"/>
            <w:vAlign w:val="center"/>
          </w:tcPr>
          <w:p w14:paraId="2E905B2B" w14:textId="77777777" w:rsidR="00E57DAA" w:rsidRDefault="00AC4185">
            <w:pPr>
              <w:jc w:val="right"/>
              <w:rPr>
                <w:sz w:val="20"/>
                <w:szCs w:val="20"/>
              </w:rPr>
            </w:pPr>
            <w:r>
              <w:rPr>
                <w:sz w:val="20"/>
                <w:szCs w:val="20"/>
              </w:rPr>
              <w:t>18,816.90</w:t>
            </w:r>
          </w:p>
        </w:tc>
        <w:tc>
          <w:tcPr>
            <w:tcW w:w="613" w:type="pct"/>
            <w:shd w:val="clear" w:color="auto" w:fill="auto"/>
            <w:vAlign w:val="center"/>
          </w:tcPr>
          <w:p w14:paraId="73063ECF" w14:textId="77777777" w:rsidR="00E57DAA" w:rsidRDefault="00AC4185">
            <w:pPr>
              <w:jc w:val="right"/>
              <w:rPr>
                <w:sz w:val="20"/>
                <w:szCs w:val="20"/>
              </w:rPr>
            </w:pPr>
            <w:r>
              <w:rPr>
                <w:sz w:val="20"/>
                <w:szCs w:val="20"/>
              </w:rPr>
              <w:t>1,361,975.08</w:t>
            </w:r>
          </w:p>
        </w:tc>
        <w:tc>
          <w:tcPr>
            <w:tcW w:w="614" w:type="pct"/>
            <w:shd w:val="clear" w:color="auto" w:fill="auto"/>
            <w:vAlign w:val="center"/>
          </w:tcPr>
          <w:p w14:paraId="51A48242" w14:textId="77777777" w:rsidR="00E57DAA" w:rsidRDefault="00AC4185">
            <w:pPr>
              <w:jc w:val="right"/>
              <w:rPr>
                <w:sz w:val="20"/>
                <w:szCs w:val="20"/>
              </w:rPr>
            </w:pPr>
            <w:r>
              <w:rPr>
                <w:sz w:val="20"/>
                <w:szCs w:val="20"/>
              </w:rPr>
              <w:t>170,989.17</w:t>
            </w:r>
          </w:p>
        </w:tc>
        <w:tc>
          <w:tcPr>
            <w:tcW w:w="656" w:type="pct"/>
            <w:shd w:val="clear" w:color="auto" w:fill="auto"/>
            <w:vAlign w:val="center"/>
          </w:tcPr>
          <w:p w14:paraId="2F260FF2" w14:textId="77777777" w:rsidR="00E57DAA" w:rsidRDefault="00AC4185">
            <w:pPr>
              <w:jc w:val="right"/>
              <w:rPr>
                <w:sz w:val="20"/>
                <w:szCs w:val="20"/>
              </w:rPr>
            </w:pPr>
            <w:r>
              <w:rPr>
                <w:sz w:val="20"/>
                <w:szCs w:val="20"/>
              </w:rPr>
              <w:t>-22,173,161.96</w:t>
            </w:r>
          </w:p>
        </w:tc>
      </w:tr>
      <w:tr w:rsidR="00E57DAA" w14:paraId="2C82B717" w14:textId="77777777">
        <w:tc>
          <w:tcPr>
            <w:tcW w:w="544" w:type="pct"/>
            <w:shd w:val="clear" w:color="auto" w:fill="auto"/>
            <w:vAlign w:val="center"/>
          </w:tcPr>
          <w:p w14:paraId="11199DC5" w14:textId="77777777" w:rsidR="00E57DAA" w:rsidRDefault="00AC4185">
            <w:pPr>
              <w:rPr>
                <w:sz w:val="20"/>
                <w:szCs w:val="20"/>
              </w:rPr>
            </w:pPr>
            <w:r>
              <w:rPr>
                <w:rFonts w:hint="eastAsia"/>
                <w:sz w:val="20"/>
                <w:szCs w:val="20"/>
              </w:rPr>
              <w:t>其中：重新计量设定受益计划变动额</w:t>
            </w:r>
          </w:p>
        </w:tc>
        <w:tc>
          <w:tcPr>
            <w:tcW w:w="630" w:type="pct"/>
            <w:shd w:val="clear" w:color="auto" w:fill="auto"/>
            <w:vAlign w:val="center"/>
          </w:tcPr>
          <w:p w14:paraId="1EC63BFA" w14:textId="77777777" w:rsidR="00E57DAA" w:rsidRDefault="00AC4185">
            <w:pPr>
              <w:jc w:val="right"/>
              <w:rPr>
                <w:sz w:val="20"/>
                <w:szCs w:val="20"/>
              </w:rPr>
            </w:pPr>
            <w:r>
              <w:rPr>
                <w:sz w:val="20"/>
                <w:szCs w:val="20"/>
              </w:rPr>
              <w:t>-23,535,137.04</w:t>
            </w:r>
          </w:p>
        </w:tc>
        <w:tc>
          <w:tcPr>
            <w:tcW w:w="665" w:type="pct"/>
            <w:shd w:val="clear" w:color="auto" w:fill="auto"/>
            <w:vAlign w:val="center"/>
          </w:tcPr>
          <w:p w14:paraId="35F79C25" w14:textId="77777777" w:rsidR="00E57DAA" w:rsidRDefault="00AC4185">
            <w:pPr>
              <w:jc w:val="right"/>
              <w:rPr>
                <w:sz w:val="20"/>
                <w:szCs w:val="20"/>
              </w:rPr>
            </w:pPr>
            <w:r>
              <w:rPr>
                <w:sz w:val="20"/>
                <w:szCs w:val="20"/>
              </w:rPr>
              <w:t>1,551,781.15</w:t>
            </w:r>
          </w:p>
        </w:tc>
        <w:tc>
          <w:tcPr>
            <w:tcW w:w="379" w:type="pct"/>
            <w:shd w:val="clear" w:color="auto" w:fill="auto"/>
          </w:tcPr>
          <w:p w14:paraId="772E055D" w14:textId="77777777" w:rsidR="00E57DAA" w:rsidRDefault="00E57DAA">
            <w:pPr>
              <w:jc w:val="right"/>
              <w:rPr>
                <w:sz w:val="20"/>
                <w:szCs w:val="20"/>
              </w:rPr>
            </w:pPr>
          </w:p>
        </w:tc>
        <w:tc>
          <w:tcPr>
            <w:tcW w:w="337" w:type="pct"/>
          </w:tcPr>
          <w:p w14:paraId="3B90BD64" w14:textId="77777777" w:rsidR="00E57DAA" w:rsidRDefault="00E57DAA">
            <w:pPr>
              <w:jc w:val="right"/>
              <w:rPr>
                <w:sz w:val="20"/>
                <w:szCs w:val="20"/>
              </w:rPr>
            </w:pPr>
          </w:p>
        </w:tc>
        <w:tc>
          <w:tcPr>
            <w:tcW w:w="562" w:type="pct"/>
            <w:shd w:val="clear" w:color="auto" w:fill="auto"/>
            <w:vAlign w:val="center"/>
          </w:tcPr>
          <w:p w14:paraId="3ABE81DD" w14:textId="77777777" w:rsidR="00E57DAA" w:rsidRDefault="00AC4185">
            <w:pPr>
              <w:jc w:val="right"/>
              <w:rPr>
                <w:sz w:val="20"/>
                <w:szCs w:val="20"/>
              </w:rPr>
            </w:pPr>
            <w:r>
              <w:rPr>
                <w:sz w:val="20"/>
                <w:szCs w:val="20"/>
              </w:rPr>
              <w:t>18,816.90</w:t>
            </w:r>
          </w:p>
        </w:tc>
        <w:tc>
          <w:tcPr>
            <w:tcW w:w="613" w:type="pct"/>
            <w:shd w:val="clear" w:color="auto" w:fill="auto"/>
            <w:vAlign w:val="center"/>
          </w:tcPr>
          <w:p w14:paraId="3988E1A3" w14:textId="77777777" w:rsidR="00E57DAA" w:rsidRDefault="00AC4185">
            <w:pPr>
              <w:jc w:val="right"/>
              <w:rPr>
                <w:sz w:val="20"/>
                <w:szCs w:val="20"/>
              </w:rPr>
            </w:pPr>
            <w:r>
              <w:rPr>
                <w:sz w:val="20"/>
                <w:szCs w:val="20"/>
              </w:rPr>
              <w:t>1,361,975.08</w:t>
            </w:r>
          </w:p>
        </w:tc>
        <w:tc>
          <w:tcPr>
            <w:tcW w:w="614" w:type="pct"/>
            <w:shd w:val="clear" w:color="auto" w:fill="auto"/>
            <w:vAlign w:val="center"/>
          </w:tcPr>
          <w:p w14:paraId="534508B3" w14:textId="77777777" w:rsidR="00E57DAA" w:rsidRDefault="00AC4185">
            <w:pPr>
              <w:jc w:val="right"/>
              <w:rPr>
                <w:sz w:val="20"/>
                <w:szCs w:val="20"/>
              </w:rPr>
            </w:pPr>
            <w:r>
              <w:rPr>
                <w:sz w:val="20"/>
                <w:szCs w:val="20"/>
              </w:rPr>
              <w:t>170,989.17</w:t>
            </w:r>
          </w:p>
        </w:tc>
        <w:tc>
          <w:tcPr>
            <w:tcW w:w="656" w:type="pct"/>
            <w:shd w:val="clear" w:color="auto" w:fill="auto"/>
            <w:vAlign w:val="center"/>
          </w:tcPr>
          <w:p w14:paraId="1A6B96BE" w14:textId="77777777" w:rsidR="00E57DAA" w:rsidRDefault="00AC4185">
            <w:pPr>
              <w:jc w:val="right"/>
              <w:rPr>
                <w:sz w:val="20"/>
                <w:szCs w:val="20"/>
              </w:rPr>
            </w:pPr>
            <w:r>
              <w:rPr>
                <w:sz w:val="20"/>
                <w:szCs w:val="20"/>
              </w:rPr>
              <w:t>-22,173,161.96</w:t>
            </w:r>
          </w:p>
        </w:tc>
      </w:tr>
      <w:tr w:rsidR="00E57DAA" w14:paraId="6E188CD8" w14:textId="77777777">
        <w:tc>
          <w:tcPr>
            <w:tcW w:w="544" w:type="pct"/>
            <w:shd w:val="clear" w:color="auto" w:fill="auto"/>
          </w:tcPr>
          <w:p w14:paraId="2DB6AC72" w14:textId="77777777" w:rsidR="00E57DAA" w:rsidRDefault="00AC4185">
            <w:pPr>
              <w:rPr>
                <w:sz w:val="20"/>
                <w:szCs w:val="20"/>
              </w:rPr>
            </w:pPr>
            <w:r>
              <w:rPr>
                <w:rFonts w:hint="eastAsia"/>
                <w:sz w:val="20"/>
                <w:szCs w:val="20"/>
              </w:rPr>
              <w:t>二、将重分类进损益的其他综合收益</w:t>
            </w:r>
          </w:p>
        </w:tc>
        <w:tc>
          <w:tcPr>
            <w:tcW w:w="630" w:type="pct"/>
            <w:shd w:val="clear" w:color="auto" w:fill="auto"/>
            <w:vAlign w:val="center"/>
          </w:tcPr>
          <w:p w14:paraId="54026901" w14:textId="77777777" w:rsidR="00E57DAA" w:rsidRDefault="00AC4185">
            <w:pPr>
              <w:jc w:val="right"/>
              <w:rPr>
                <w:sz w:val="20"/>
                <w:szCs w:val="20"/>
              </w:rPr>
            </w:pPr>
            <w:r>
              <w:rPr>
                <w:sz w:val="20"/>
                <w:szCs w:val="20"/>
              </w:rPr>
              <w:t>-76,141,986.19</w:t>
            </w:r>
          </w:p>
        </w:tc>
        <w:tc>
          <w:tcPr>
            <w:tcW w:w="665" w:type="pct"/>
            <w:shd w:val="clear" w:color="auto" w:fill="auto"/>
            <w:vAlign w:val="center"/>
          </w:tcPr>
          <w:p w14:paraId="7B833229" w14:textId="77777777" w:rsidR="00E57DAA" w:rsidRDefault="00AC4185">
            <w:pPr>
              <w:jc w:val="right"/>
              <w:rPr>
                <w:sz w:val="20"/>
                <w:szCs w:val="20"/>
              </w:rPr>
            </w:pPr>
            <w:r>
              <w:rPr>
                <w:sz w:val="20"/>
                <w:szCs w:val="20"/>
              </w:rPr>
              <w:t>-12,008,489.55</w:t>
            </w:r>
          </w:p>
        </w:tc>
        <w:tc>
          <w:tcPr>
            <w:tcW w:w="379" w:type="pct"/>
            <w:shd w:val="clear" w:color="auto" w:fill="auto"/>
          </w:tcPr>
          <w:p w14:paraId="73285730" w14:textId="77777777" w:rsidR="00E57DAA" w:rsidRDefault="00E57DAA">
            <w:pPr>
              <w:jc w:val="right"/>
              <w:rPr>
                <w:sz w:val="20"/>
                <w:szCs w:val="20"/>
              </w:rPr>
            </w:pPr>
          </w:p>
        </w:tc>
        <w:tc>
          <w:tcPr>
            <w:tcW w:w="337" w:type="pct"/>
          </w:tcPr>
          <w:p w14:paraId="6DA5B5DC" w14:textId="77777777" w:rsidR="00E57DAA" w:rsidRDefault="00E57DAA">
            <w:pPr>
              <w:jc w:val="right"/>
              <w:rPr>
                <w:sz w:val="20"/>
                <w:szCs w:val="20"/>
              </w:rPr>
            </w:pPr>
          </w:p>
        </w:tc>
        <w:tc>
          <w:tcPr>
            <w:tcW w:w="562" w:type="pct"/>
            <w:shd w:val="clear" w:color="auto" w:fill="auto"/>
            <w:vAlign w:val="center"/>
          </w:tcPr>
          <w:p w14:paraId="093EA8A5" w14:textId="77777777" w:rsidR="00E57DAA" w:rsidRDefault="00AC4185">
            <w:pPr>
              <w:jc w:val="right"/>
              <w:rPr>
                <w:sz w:val="20"/>
                <w:szCs w:val="20"/>
              </w:rPr>
            </w:pPr>
            <w:r>
              <w:rPr>
                <w:sz w:val="20"/>
                <w:szCs w:val="20"/>
              </w:rPr>
              <w:t>-2,234,340.80</w:t>
            </w:r>
          </w:p>
        </w:tc>
        <w:tc>
          <w:tcPr>
            <w:tcW w:w="613" w:type="pct"/>
            <w:shd w:val="clear" w:color="auto" w:fill="auto"/>
            <w:vAlign w:val="center"/>
          </w:tcPr>
          <w:p w14:paraId="43D86ED3" w14:textId="77777777" w:rsidR="00E57DAA" w:rsidRDefault="00AC4185">
            <w:pPr>
              <w:jc w:val="right"/>
              <w:rPr>
                <w:sz w:val="20"/>
                <w:szCs w:val="20"/>
              </w:rPr>
            </w:pPr>
            <w:r>
              <w:rPr>
                <w:sz w:val="20"/>
                <w:szCs w:val="20"/>
              </w:rPr>
              <w:t>-18,152,549.16</w:t>
            </w:r>
          </w:p>
        </w:tc>
        <w:tc>
          <w:tcPr>
            <w:tcW w:w="614" w:type="pct"/>
            <w:shd w:val="clear" w:color="auto" w:fill="auto"/>
            <w:vAlign w:val="center"/>
          </w:tcPr>
          <w:p w14:paraId="612066EC" w14:textId="77777777" w:rsidR="00E57DAA" w:rsidRDefault="00AC4185">
            <w:pPr>
              <w:jc w:val="right"/>
              <w:rPr>
                <w:sz w:val="20"/>
                <w:szCs w:val="20"/>
              </w:rPr>
            </w:pPr>
            <w:r>
              <w:rPr>
                <w:sz w:val="20"/>
                <w:szCs w:val="20"/>
              </w:rPr>
              <w:t>8,378,400.41</w:t>
            </w:r>
          </w:p>
        </w:tc>
        <w:tc>
          <w:tcPr>
            <w:tcW w:w="656" w:type="pct"/>
            <w:shd w:val="clear" w:color="auto" w:fill="auto"/>
            <w:vAlign w:val="center"/>
          </w:tcPr>
          <w:p w14:paraId="33195682" w14:textId="77777777" w:rsidR="00E57DAA" w:rsidRDefault="00AC4185">
            <w:pPr>
              <w:jc w:val="right"/>
              <w:rPr>
                <w:sz w:val="20"/>
                <w:szCs w:val="20"/>
              </w:rPr>
            </w:pPr>
            <w:r>
              <w:rPr>
                <w:sz w:val="20"/>
                <w:szCs w:val="20"/>
              </w:rPr>
              <w:t>-94,294,535.35</w:t>
            </w:r>
          </w:p>
        </w:tc>
      </w:tr>
      <w:tr w:rsidR="00E57DAA" w14:paraId="10AC9DE2" w14:textId="77777777">
        <w:tc>
          <w:tcPr>
            <w:tcW w:w="544" w:type="pct"/>
            <w:shd w:val="clear" w:color="auto" w:fill="auto"/>
          </w:tcPr>
          <w:p w14:paraId="3EE02F95" w14:textId="77777777" w:rsidR="00E57DAA" w:rsidRDefault="00AC4185">
            <w:pPr>
              <w:rPr>
                <w:sz w:val="20"/>
                <w:szCs w:val="20"/>
              </w:rPr>
            </w:pPr>
            <w:r>
              <w:rPr>
                <w:rFonts w:hint="eastAsia"/>
                <w:sz w:val="20"/>
                <w:szCs w:val="20"/>
              </w:rPr>
              <w:t>其中：权益法下可转损益的其他综合收益</w:t>
            </w:r>
          </w:p>
        </w:tc>
        <w:tc>
          <w:tcPr>
            <w:tcW w:w="630" w:type="pct"/>
            <w:shd w:val="clear" w:color="auto" w:fill="auto"/>
            <w:vAlign w:val="center"/>
          </w:tcPr>
          <w:p w14:paraId="398E3D5F" w14:textId="77777777" w:rsidR="00E57DAA" w:rsidRDefault="00AC4185">
            <w:pPr>
              <w:jc w:val="right"/>
              <w:rPr>
                <w:sz w:val="20"/>
                <w:szCs w:val="20"/>
              </w:rPr>
            </w:pPr>
            <w:r>
              <w:rPr>
                <w:sz w:val="20"/>
                <w:szCs w:val="20"/>
              </w:rPr>
              <w:t>1,090,223.42</w:t>
            </w:r>
          </w:p>
        </w:tc>
        <w:tc>
          <w:tcPr>
            <w:tcW w:w="665" w:type="pct"/>
            <w:shd w:val="clear" w:color="auto" w:fill="auto"/>
            <w:vAlign w:val="center"/>
          </w:tcPr>
          <w:p w14:paraId="20D541FA" w14:textId="77777777" w:rsidR="00E57DAA" w:rsidRDefault="00AC4185">
            <w:pPr>
              <w:jc w:val="right"/>
              <w:rPr>
                <w:sz w:val="20"/>
                <w:szCs w:val="20"/>
              </w:rPr>
            </w:pPr>
            <w:r>
              <w:rPr>
                <w:sz w:val="20"/>
                <w:szCs w:val="20"/>
              </w:rPr>
              <w:t>420,446.88</w:t>
            </w:r>
          </w:p>
        </w:tc>
        <w:tc>
          <w:tcPr>
            <w:tcW w:w="379" w:type="pct"/>
            <w:shd w:val="clear" w:color="auto" w:fill="auto"/>
          </w:tcPr>
          <w:p w14:paraId="3050CCD8" w14:textId="77777777" w:rsidR="00E57DAA" w:rsidRDefault="00E57DAA">
            <w:pPr>
              <w:jc w:val="right"/>
              <w:rPr>
                <w:sz w:val="20"/>
                <w:szCs w:val="20"/>
              </w:rPr>
            </w:pPr>
          </w:p>
        </w:tc>
        <w:tc>
          <w:tcPr>
            <w:tcW w:w="337" w:type="pct"/>
          </w:tcPr>
          <w:p w14:paraId="26CF36B7" w14:textId="77777777" w:rsidR="00E57DAA" w:rsidRDefault="00E57DAA">
            <w:pPr>
              <w:jc w:val="right"/>
              <w:rPr>
                <w:sz w:val="20"/>
                <w:szCs w:val="20"/>
              </w:rPr>
            </w:pPr>
          </w:p>
        </w:tc>
        <w:tc>
          <w:tcPr>
            <w:tcW w:w="562" w:type="pct"/>
            <w:shd w:val="clear" w:color="auto" w:fill="auto"/>
            <w:vAlign w:val="center"/>
          </w:tcPr>
          <w:p w14:paraId="7672BF74" w14:textId="77777777" w:rsidR="00E57DAA" w:rsidRDefault="00E57DAA">
            <w:pPr>
              <w:jc w:val="right"/>
              <w:rPr>
                <w:sz w:val="20"/>
                <w:szCs w:val="20"/>
              </w:rPr>
            </w:pPr>
          </w:p>
        </w:tc>
        <w:tc>
          <w:tcPr>
            <w:tcW w:w="613" w:type="pct"/>
            <w:shd w:val="clear" w:color="auto" w:fill="auto"/>
            <w:vAlign w:val="center"/>
          </w:tcPr>
          <w:p w14:paraId="2B27AF17" w14:textId="77777777" w:rsidR="00E57DAA" w:rsidRDefault="00AC4185">
            <w:pPr>
              <w:jc w:val="right"/>
              <w:rPr>
                <w:sz w:val="20"/>
                <w:szCs w:val="20"/>
              </w:rPr>
            </w:pPr>
            <w:r>
              <w:rPr>
                <w:sz w:val="20"/>
                <w:szCs w:val="20"/>
              </w:rPr>
              <w:t>420,446.88</w:t>
            </w:r>
          </w:p>
        </w:tc>
        <w:tc>
          <w:tcPr>
            <w:tcW w:w="614" w:type="pct"/>
            <w:shd w:val="clear" w:color="auto" w:fill="auto"/>
            <w:vAlign w:val="center"/>
          </w:tcPr>
          <w:p w14:paraId="2C74D934" w14:textId="77777777" w:rsidR="00E57DAA" w:rsidRDefault="00E57DAA">
            <w:pPr>
              <w:jc w:val="right"/>
              <w:rPr>
                <w:sz w:val="20"/>
                <w:szCs w:val="20"/>
              </w:rPr>
            </w:pPr>
          </w:p>
        </w:tc>
        <w:tc>
          <w:tcPr>
            <w:tcW w:w="656" w:type="pct"/>
            <w:shd w:val="clear" w:color="auto" w:fill="auto"/>
            <w:vAlign w:val="center"/>
          </w:tcPr>
          <w:p w14:paraId="19BD5D2F" w14:textId="77777777" w:rsidR="00E57DAA" w:rsidRDefault="00AC4185">
            <w:pPr>
              <w:jc w:val="right"/>
              <w:rPr>
                <w:sz w:val="20"/>
                <w:szCs w:val="20"/>
              </w:rPr>
            </w:pPr>
            <w:r>
              <w:rPr>
                <w:sz w:val="20"/>
                <w:szCs w:val="20"/>
              </w:rPr>
              <w:t>1,510,670.30</w:t>
            </w:r>
          </w:p>
        </w:tc>
      </w:tr>
      <w:tr w:rsidR="00E57DAA" w14:paraId="608F567F" w14:textId="77777777">
        <w:tc>
          <w:tcPr>
            <w:tcW w:w="544" w:type="pct"/>
            <w:shd w:val="clear" w:color="auto" w:fill="auto"/>
          </w:tcPr>
          <w:p w14:paraId="4931975B" w14:textId="77777777" w:rsidR="00E57DAA" w:rsidRDefault="00AC4185">
            <w:pPr>
              <w:rPr>
                <w:sz w:val="20"/>
                <w:szCs w:val="20"/>
              </w:rPr>
            </w:pPr>
            <w:r>
              <w:rPr>
                <w:rFonts w:hint="eastAsia"/>
                <w:sz w:val="20"/>
                <w:szCs w:val="20"/>
              </w:rPr>
              <w:t xml:space="preserve">  现金流量套期储备</w:t>
            </w:r>
          </w:p>
        </w:tc>
        <w:tc>
          <w:tcPr>
            <w:tcW w:w="630" w:type="pct"/>
            <w:shd w:val="clear" w:color="auto" w:fill="auto"/>
            <w:vAlign w:val="center"/>
          </w:tcPr>
          <w:p w14:paraId="0E885700" w14:textId="77777777" w:rsidR="00E57DAA" w:rsidRDefault="00AC4185">
            <w:pPr>
              <w:jc w:val="right"/>
              <w:rPr>
                <w:sz w:val="20"/>
                <w:szCs w:val="20"/>
              </w:rPr>
            </w:pPr>
            <w:r>
              <w:rPr>
                <w:sz w:val="20"/>
                <w:szCs w:val="20"/>
              </w:rPr>
              <w:t>9,700,132.87</w:t>
            </w:r>
          </w:p>
        </w:tc>
        <w:tc>
          <w:tcPr>
            <w:tcW w:w="665" w:type="pct"/>
            <w:shd w:val="clear" w:color="auto" w:fill="auto"/>
            <w:vAlign w:val="center"/>
          </w:tcPr>
          <w:p w14:paraId="1F7E65C8" w14:textId="77777777" w:rsidR="00E57DAA" w:rsidRDefault="00AC4185">
            <w:pPr>
              <w:jc w:val="right"/>
              <w:rPr>
                <w:sz w:val="20"/>
                <w:szCs w:val="20"/>
              </w:rPr>
            </w:pPr>
            <w:r>
              <w:rPr>
                <w:sz w:val="20"/>
                <w:szCs w:val="20"/>
              </w:rPr>
              <w:t>-23,108,636.58</w:t>
            </w:r>
          </w:p>
        </w:tc>
        <w:tc>
          <w:tcPr>
            <w:tcW w:w="379" w:type="pct"/>
            <w:shd w:val="clear" w:color="auto" w:fill="auto"/>
          </w:tcPr>
          <w:p w14:paraId="4F1367C5" w14:textId="77777777" w:rsidR="00E57DAA" w:rsidRDefault="00E57DAA">
            <w:pPr>
              <w:jc w:val="right"/>
              <w:rPr>
                <w:sz w:val="20"/>
                <w:szCs w:val="20"/>
              </w:rPr>
            </w:pPr>
          </w:p>
        </w:tc>
        <w:tc>
          <w:tcPr>
            <w:tcW w:w="337" w:type="pct"/>
          </w:tcPr>
          <w:p w14:paraId="3680E0A9" w14:textId="77777777" w:rsidR="00E57DAA" w:rsidRDefault="00E57DAA">
            <w:pPr>
              <w:jc w:val="right"/>
              <w:rPr>
                <w:sz w:val="20"/>
                <w:szCs w:val="20"/>
              </w:rPr>
            </w:pPr>
          </w:p>
        </w:tc>
        <w:tc>
          <w:tcPr>
            <w:tcW w:w="562" w:type="pct"/>
            <w:shd w:val="clear" w:color="auto" w:fill="auto"/>
            <w:vAlign w:val="center"/>
          </w:tcPr>
          <w:p w14:paraId="0937830C" w14:textId="77777777" w:rsidR="00E57DAA" w:rsidRDefault="00AC4185">
            <w:pPr>
              <w:jc w:val="right"/>
              <w:rPr>
                <w:sz w:val="20"/>
                <w:szCs w:val="20"/>
              </w:rPr>
            </w:pPr>
            <w:r>
              <w:rPr>
                <w:sz w:val="20"/>
                <w:szCs w:val="20"/>
              </w:rPr>
              <w:t>-2,234,340.80</w:t>
            </w:r>
          </w:p>
        </w:tc>
        <w:tc>
          <w:tcPr>
            <w:tcW w:w="613" w:type="pct"/>
            <w:shd w:val="clear" w:color="auto" w:fill="auto"/>
            <w:vAlign w:val="center"/>
          </w:tcPr>
          <w:p w14:paraId="31AB1A0F" w14:textId="77777777" w:rsidR="00E57DAA" w:rsidRDefault="00AC4185">
            <w:pPr>
              <w:jc w:val="right"/>
              <w:rPr>
                <w:sz w:val="20"/>
                <w:szCs w:val="20"/>
              </w:rPr>
            </w:pPr>
            <w:r>
              <w:rPr>
                <w:sz w:val="20"/>
                <w:szCs w:val="20"/>
              </w:rPr>
              <w:t>-20,874,129.96</w:t>
            </w:r>
          </w:p>
        </w:tc>
        <w:tc>
          <w:tcPr>
            <w:tcW w:w="614" w:type="pct"/>
            <w:shd w:val="clear" w:color="auto" w:fill="auto"/>
            <w:vAlign w:val="center"/>
          </w:tcPr>
          <w:p w14:paraId="0C137BDB" w14:textId="77777777" w:rsidR="00E57DAA" w:rsidRDefault="00AC4185">
            <w:pPr>
              <w:jc w:val="right"/>
              <w:rPr>
                <w:sz w:val="20"/>
                <w:szCs w:val="20"/>
              </w:rPr>
            </w:pPr>
            <w:r>
              <w:rPr>
                <w:sz w:val="20"/>
                <w:szCs w:val="20"/>
              </w:rPr>
              <w:t>-165.82</w:t>
            </w:r>
          </w:p>
        </w:tc>
        <w:tc>
          <w:tcPr>
            <w:tcW w:w="656" w:type="pct"/>
            <w:shd w:val="clear" w:color="auto" w:fill="auto"/>
            <w:vAlign w:val="center"/>
          </w:tcPr>
          <w:p w14:paraId="62834232" w14:textId="77777777" w:rsidR="00E57DAA" w:rsidRDefault="00AC4185">
            <w:pPr>
              <w:jc w:val="right"/>
              <w:rPr>
                <w:sz w:val="20"/>
                <w:szCs w:val="20"/>
              </w:rPr>
            </w:pPr>
            <w:r>
              <w:rPr>
                <w:sz w:val="20"/>
                <w:szCs w:val="20"/>
              </w:rPr>
              <w:t>-11,173,997.09</w:t>
            </w:r>
          </w:p>
        </w:tc>
      </w:tr>
      <w:tr w:rsidR="00E57DAA" w14:paraId="3795A5D1" w14:textId="77777777">
        <w:tc>
          <w:tcPr>
            <w:tcW w:w="544" w:type="pct"/>
            <w:shd w:val="clear" w:color="auto" w:fill="auto"/>
          </w:tcPr>
          <w:p w14:paraId="75F63A46" w14:textId="77777777" w:rsidR="00E57DAA" w:rsidRDefault="00AC4185">
            <w:pPr>
              <w:rPr>
                <w:sz w:val="20"/>
                <w:szCs w:val="20"/>
              </w:rPr>
            </w:pPr>
            <w:r>
              <w:rPr>
                <w:rFonts w:hint="eastAsia"/>
                <w:sz w:val="20"/>
                <w:szCs w:val="20"/>
              </w:rPr>
              <w:t xml:space="preserve">  外币财务报表折算差额</w:t>
            </w:r>
          </w:p>
        </w:tc>
        <w:tc>
          <w:tcPr>
            <w:tcW w:w="630" w:type="pct"/>
            <w:shd w:val="clear" w:color="auto" w:fill="auto"/>
            <w:vAlign w:val="center"/>
          </w:tcPr>
          <w:p w14:paraId="02267E1A" w14:textId="77777777" w:rsidR="00E57DAA" w:rsidRDefault="00AC4185">
            <w:pPr>
              <w:jc w:val="right"/>
              <w:rPr>
                <w:sz w:val="20"/>
                <w:szCs w:val="20"/>
              </w:rPr>
            </w:pPr>
            <w:r>
              <w:rPr>
                <w:sz w:val="20"/>
                <w:szCs w:val="20"/>
              </w:rPr>
              <w:t>-86,932,342.48</w:t>
            </w:r>
          </w:p>
        </w:tc>
        <w:tc>
          <w:tcPr>
            <w:tcW w:w="665" w:type="pct"/>
            <w:shd w:val="clear" w:color="auto" w:fill="auto"/>
            <w:vAlign w:val="center"/>
          </w:tcPr>
          <w:p w14:paraId="19C069DD" w14:textId="77777777" w:rsidR="00E57DAA" w:rsidRDefault="00AC4185">
            <w:pPr>
              <w:jc w:val="right"/>
              <w:rPr>
                <w:sz w:val="20"/>
                <w:szCs w:val="20"/>
              </w:rPr>
            </w:pPr>
            <w:r>
              <w:rPr>
                <w:sz w:val="20"/>
                <w:szCs w:val="20"/>
              </w:rPr>
              <w:t>10,679,700.15</w:t>
            </w:r>
          </w:p>
        </w:tc>
        <w:tc>
          <w:tcPr>
            <w:tcW w:w="379" w:type="pct"/>
            <w:shd w:val="clear" w:color="auto" w:fill="auto"/>
          </w:tcPr>
          <w:p w14:paraId="05AA0288" w14:textId="77777777" w:rsidR="00E57DAA" w:rsidRDefault="00E57DAA">
            <w:pPr>
              <w:jc w:val="right"/>
              <w:rPr>
                <w:sz w:val="20"/>
                <w:szCs w:val="20"/>
              </w:rPr>
            </w:pPr>
          </w:p>
        </w:tc>
        <w:tc>
          <w:tcPr>
            <w:tcW w:w="337" w:type="pct"/>
          </w:tcPr>
          <w:p w14:paraId="662FCB35" w14:textId="77777777" w:rsidR="00E57DAA" w:rsidRDefault="00E57DAA">
            <w:pPr>
              <w:jc w:val="right"/>
              <w:rPr>
                <w:sz w:val="20"/>
                <w:szCs w:val="20"/>
              </w:rPr>
            </w:pPr>
          </w:p>
        </w:tc>
        <w:tc>
          <w:tcPr>
            <w:tcW w:w="562" w:type="pct"/>
            <w:shd w:val="clear" w:color="auto" w:fill="auto"/>
            <w:vAlign w:val="center"/>
          </w:tcPr>
          <w:p w14:paraId="5293AC1C" w14:textId="77777777" w:rsidR="00E57DAA" w:rsidRDefault="00E57DAA">
            <w:pPr>
              <w:jc w:val="right"/>
              <w:rPr>
                <w:sz w:val="20"/>
                <w:szCs w:val="20"/>
              </w:rPr>
            </w:pPr>
          </w:p>
        </w:tc>
        <w:tc>
          <w:tcPr>
            <w:tcW w:w="613" w:type="pct"/>
            <w:shd w:val="clear" w:color="auto" w:fill="auto"/>
            <w:vAlign w:val="center"/>
          </w:tcPr>
          <w:p w14:paraId="063E91AE" w14:textId="77777777" w:rsidR="00E57DAA" w:rsidRDefault="00AC4185">
            <w:pPr>
              <w:jc w:val="right"/>
              <w:rPr>
                <w:sz w:val="20"/>
                <w:szCs w:val="20"/>
              </w:rPr>
            </w:pPr>
            <w:r>
              <w:rPr>
                <w:sz w:val="20"/>
                <w:szCs w:val="20"/>
              </w:rPr>
              <w:t>2,301,133.92</w:t>
            </w:r>
          </w:p>
        </w:tc>
        <w:tc>
          <w:tcPr>
            <w:tcW w:w="614" w:type="pct"/>
            <w:shd w:val="clear" w:color="auto" w:fill="auto"/>
            <w:vAlign w:val="center"/>
          </w:tcPr>
          <w:p w14:paraId="29677C15" w14:textId="77777777" w:rsidR="00E57DAA" w:rsidRDefault="00AC4185">
            <w:pPr>
              <w:jc w:val="right"/>
              <w:rPr>
                <w:sz w:val="20"/>
                <w:szCs w:val="20"/>
              </w:rPr>
            </w:pPr>
            <w:r>
              <w:rPr>
                <w:sz w:val="20"/>
                <w:szCs w:val="20"/>
              </w:rPr>
              <w:t>8,378,566.23</w:t>
            </w:r>
          </w:p>
        </w:tc>
        <w:tc>
          <w:tcPr>
            <w:tcW w:w="656" w:type="pct"/>
            <w:shd w:val="clear" w:color="auto" w:fill="auto"/>
            <w:vAlign w:val="center"/>
          </w:tcPr>
          <w:p w14:paraId="020FEA21" w14:textId="77777777" w:rsidR="00E57DAA" w:rsidRDefault="00AC4185">
            <w:pPr>
              <w:jc w:val="right"/>
              <w:rPr>
                <w:sz w:val="20"/>
                <w:szCs w:val="20"/>
              </w:rPr>
            </w:pPr>
            <w:r>
              <w:rPr>
                <w:sz w:val="20"/>
                <w:szCs w:val="20"/>
              </w:rPr>
              <w:t>-84,631,208.56</w:t>
            </w:r>
          </w:p>
        </w:tc>
      </w:tr>
      <w:tr w:rsidR="00E57DAA" w14:paraId="67F4494B" w14:textId="77777777">
        <w:tc>
          <w:tcPr>
            <w:tcW w:w="544" w:type="pct"/>
            <w:shd w:val="clear" w:color="auto" w:fill="auto"/>
            <w:vAlign w:val="center"/>
          </w:tcPr>
          <w:p w14:paraId="030714C1" w14:textId="77777777" w:rsidR="00E57DAA" w:rsidRDefault="00AC4185">
            <w:pPr>
              <w:rPr>
                <w:sz w:val="20"/>
                <w:szCs w:val="20"/>
              </w:rPr>
            </w:pPr>
            <w:r>
              <w:rPr>
                <w:rFonts w:hint="eastAsia"/>
                <w:sz w:val="20"/>
                <w:szCs w:val="20"/>
              </w:rPr>
              <w:t>其他综合收益合计</w:t>
            </w:r>
          </w:p>
        </w:tc>
        <w:tc>
          <w:tcPr>
            <w:tcW w:w="630" w:type="pct"/>
            <w:shd w:val="clear" w:color="auto" w:fill="auto"/>
            <w:vAlign w:val="center"/>
          </w:tcPr>
          <w:p w14:paraId="41B3E1B7" w14:textId="77777777" w:rsidR="00E57DAA" w:rsidRDefault="00AC4185">
            <w:pPr>
              <w:jc w:val="right"/>
              <w:rPr>
                <w:sz w:val="20"/>
                <w:szCs w:val="20"/>
              </w:rPr>
            </w:pPr>
            <w:r>
              <w:rPr>
                <w:sz w:val="20"/>
                <w:szCs w:val="20"/>
              </w:rPr>
              <w:t>-99,677,123.23</w:t>
            </w:r>
          </w:p>
        </w:tc>
        <w:tc>
          <w:tcPr>
            <w:tcW w:w="665" w:type="pct"/>
            <w:shd w:val="clear" w:color="auto" w:fill="auto"/>
            <w:vAlign w:val="center"/>
          </w:tcPr>
          <w:p w14:paraId="2CE70CC4" w14:textId="77777777" w:rsidR="00E57DAA" w:rsidRDefault="00AC4185">
            <w:pPr>
              <w:jc w:val="right"/>
              <w:rPr>
                <w:sz w:val="20"/>
                <w:szCs w:val="20"/>
              </w:rPr>
            </w:pPr>
            <w:r>
              <w:rPr>
                <w:sz w:val="20"/>
                <w:szCs w:val="20"/>
              </w:rPr>
              <w:t>-10,456,708.40</w:t>
            </w:r>
          </w:p>
        </w:tc>
        <w:tc>
          <w:tcPr>
            <w:tcW w:w="379" w:type="pct"/>
            <w:shd w:val="clear" w:color="auto" w:fill="auto"/>
          </w:tcPr>
          <w:p w14:paraId="36E1792B" w14:textId="77777777" w:rsidR="00E57DAA" w:rsidRDefault="00E57DAA">
            <w:pPr>
              <w:jc w:val="right"/>
              <w:rPr>
                <w:sz w:val="20"/>
                <w:szCs w:val="20"/>
              </w:rPr>
            </w:pPr>
          </w:p>
        </w:tc>
        <w:tc>
          <w:tcPr>
            <w:tcW w:w="337" w:type="pct"/>
          </w:tcPr>
          <w:p w14:paraId="02F248C8" w14:textId="77777777" w:rsidR="00E57DAA" w:rsidRDefault="00E57DAA">
            <w:pPr>
              <w:jc w:val="right"/>
              <w:rPr>
                <w:sz w:val="20"/>
                <w:szCs w:val="20"/>
              </w:rPr>
            </w:pPr>
          </w:p>
        </w:tc>
        <w:tc>
          <w:tcPr>
            <w:tcW w:w="562" w:type="pct"/>
            <w:shd w:val="clear" w:color="auto" w:fill="auto"/>
            <w:vAlign w:val="center"/>
          </w:tcPr>
          <w:p w14:paraId="23DED230" w14:textId="77777777" w:rsidR="00E57DAA" w:rsidRDefault="00AC4185">
            <w:pPr>
              <w:jc w:val="right"/>
              <w:rPr>
                <w:sz w:val="20"/>
                <w:szCs w:val="20"/>
              </w:rPr>
            </w:pPr>
            <w:r>
              <w:rPr>
                <w:sz w:val="20"/>
                <w:szCs w:val="20"/>
              </w:rPr>
              <w:t>-2,215,523.90</w:t>
            </w:r>
          </w:p>
        </w:tc>
        <w:tc>
          <w:tcPr>
            <w:tcW w:w="613" w:type="pct"/>
            <w:shd w:val="clear" w:color="auto" w:fill="auto"/>
            <w:vAlign w:val="center"/>
          </w:tcPr>
          <w:p w14:paraId="36323164" w14:textId="77777777" w:rsidR="00E57DAA" w:rsidRDefault="00AC4185">
            <w:pPr>
              <w:jc w:val="right"/>
              <w:rPr>
                <w:sz w:val="20"/>
                <w:szCs w:val="20"/>
              </w:rPr>
            </w:pPr>
            <w:r>
              <w:rPr>
                <w:sz w:val="20"/>
                <w:szCs w:val="20"/>
              </w:rPr>
              <w:t>-16,790,574.08</w:t>
            </w:r>
          </w:p>
        </w:tc>
        <w:tc>
          <w:tcPr>
            <w:tcW w:w="614" w:type="pct"/>
            <w:shd w:val="clear" w:color="auto" w:fill="auto"/>
            <w:vAlign w:val="center"/>
          </w:tcPr>
          <w:p w14:paraId="3E9D8B6A" w14:textId="77777777" w:rsidR="00E57DAA" w:rsidRDefault="00AC4185">
            <w:pPr>
              <w:jc w:val="right"/>
              <w:rPr>
                <w:sz w:val="20"/>
                <w:szCs w:val="20"/>
              </w:rPr>
            </w:pPr>
            <w:r>
              <w:rPr>
                <w:sz w:val="20"/>
                <w:szCs w:val="20"/>
              </w:rPr>
              <w:t>8,549,389.58</w:t>
            </w:r>
          </w:p>
        </w:tc>
        <w:tc>
          <w:tcPr>
            <w:tcW w:w="656" w:type="pct"/>
            <w:shd w:val="clear" w:color="auto" w:fill="auto"/>
            <w:vAlign w:val="center"/>
          </w:tcPr>
          <w:p w14:paraId="3CFA434A" w14:textId="77777777" w:rsidR="00E57DAA" w:rsidRDefault="00AC4185">
            <w:pPr>
              <w:jc w:val="right"/>
              <w:rPr>
                <w:sz w:val="20"/>
                <w:szCs w:val="20"/>
              </w:rPr>
            </w:pPr>
            <w:r>
              <w:rPr>
                <w:sz w:val="20"/>
                <w:szCs w:val="20"/>
              </w:rPr>
              <w:t>-116,467,697.31</w:t>
            </w:r>
          </w:p>
        </w:tc>
      </w:tr>
    </w:tbl>
    <w:p w14:paraId="21ACB32A" w14:textId="77777777" w:rsidR="00E57DAA" w:rsidRDefault="00E57DAA" w:rsidP="00C25422">
      <w:pPr>
        <w:pStyle w:val="92"/>
      </w:pPr>
    </w:p>
    <w:p w14:paraId="796221D4" w14:textId="77777777" w:rsidR="00E57DAA" w:rsidRDefault="00E57DAA">
      <w:pPr>
        <w:rPr>
          <w:szCs w:val="21"/>
        </w:rPr>
        <w:sectPr w:rsidR="00E57DAA" w:rsidSect="00226547">
          <w:pgSz w:w="16838" w:h="11906" w:orient="landscape"/>
          <w:pgMar w:top="1276" w:right="1440" w:bottom="1797" w:left="1525" w:header="856" w:footer="992" w:gutter="0"/>
          <w:cols w:space="425"/>
          <w:docGrid w:linePitch="312"/>
        </w:sectPr>
      </w:pPr>
    </w:p>
    <w:bookmarkEnd w:id="297"/>
    <w:p w14:paraId="44B8BE79" w14:textId="77777777" w:rsidR="00E57DAA" w:rsidRDefault="00E57DAA">
      <w:pPr>
        <w:rPr>
          <w:szCs w:val="21"/>
        </w:rPr>
      </w:pPr>
    </w:p>
    <w:p w14:paraId="7E6FF68E" w14:textId="77777777" w:rsidR="00E57DAA" w:rsidRDefault="00AC4185" w:rsidP="00C25422">
      <w:pPr>
        <w:pStyle w:val="91"/>
        <w:numPr>
          <w:ilvl w:val="0"/>
          <w:numId w:val="69"/>
        </w:numPr>
      </w:pPr>
      <w:r>
        <w:rPr>
          <w:rFonts w:hint="eastAsia"/>
        </w:rPr>
        <w:t>专项储备</w:t>
      </w:r>
    </w:p>
    <w:sdt>
      <w:sdtPr>
        <w:alias w:val="是否适用：专项储备[双击切换]"/>
        <w:tag w:val="_GBC_0e2f337ccf9a4bc6919cf02a896e57c1"/>
        <w:id w:val="-530268580"/>
        <w:placeholder>
          <w:docPart w:val="GBC22222222222222222222222222222"/>
        </w:placeholder>
      </w:sdtPr>
      <w:sdtEndPr/>
      <w:sdtContent>
        <w:p w14:paraId="2852942F"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30B8673" w14:textId="77777777" w:rsidR="00E57DAA" w:rsidRDefault="00AC4185" w:rsidP="00C25422">
      <w:pPr>
        <w:pStyle w:val="73"/>
        <w:ind w:firstLine="400"/>
      </w:pPr>
      <w:r>
        <w:rPr>
          <w:rFonts w:hint="eastAsia"/>
        </w:rPr>
        <w:t>单位：</w:t>
      </w:r>
      <w:sdt>
        <w:sdtPr>
          <w:rPr>
            <w:rFonts w:hint="eastAsia"/>
          </w:rPr>
          <w:alias w:val="单位：财务附注：专项储备"/>
          <w:tag w:val="_GBC_b47176c62a0d4cb08df78fbfc975ed8c"/>
          <w:id w:val="11211888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专项储备"/>
          <w:tag w:val="_GBC_0d38a2dae28a4705ad4e665e5fcad88c"/>
          <w:id w:val="-2721673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68"/>
        <w:gridCol w:w="1775"/>
        <w:gridCol w:w="1775"/>
        <w:gridCol w:w="1816"/>
        <w:gridCol w:w="1789"/>
      </w:tblGrid>
      <w:tr w:rsidR="00E57DAA" w14:paraId="76018E4B" w14:textId="77777777">
        <w:sdt>
          <w:sdtPr>
            <w:tag w:val="_PLD_1b8418d949a749fe8d001c0cc33cf61e"/>
            <w:id w:val="-1737999628"/>
          </w:sdtPr>
          <w:sdtEndPr/>
          <w:sdtContent>
            <w:tc>
              <w:tcPr>
                <w:tcW w:w="945" w:type="pct"/>
                <w:shd w:val="clear" w:color="auto" w:fill="auto"/>
                <w:vAlign w:val="center"/>
              </w:tcPr>
              <w:p w14:paraId="6C31A62B" w14:textId="77777777" w:rsidR="00E57DAA" w:rsidRDefault="00AC4185">
                <w:pPr>
                  <w:jc w:val="center"/>
                  <w:rPr>
                    <w:szCs w:val="21"/>
                  </w:rPr>
                </w:pPr>
                <w:r>
                  <w:rPr>
                    <w:rFonts w:hint="eastAsia"/>
                    <w:szCs w:val="21"/>
                  </w:rPr>
                  <w:t>项目</w:t>
                </w:r>
              </w:p>
            </w:tc>
          </w:sdtContent>
        </w:sdt>
        <w:sdt>
          <w:sdtPr>
            <w:tag w:val="_PLD_080ff0821e57448ea6f6c5e836583c19"/>
            <w:id w:val="-330220445"/>
          </w:sdtPr>
          <w:sdtEndPr/>
          <w:sdtContent>
            <w:tc>
              <w:tcPr>
                <w:tcW w:w="1006" w:type="pct"/>
                <w:shd w:val="clear" w:color="auto" w:fill="auto"/>
                <w:vAlign w:val="center"/>
              </w:tcPr>
              <w:p w14:paraId="47C0A8E6" w14:textId="77777777" w:rsidR="00E57DAA" w:rsidRDefault="00AC4185">
                <w:pPr>
                  <w:jc w:val="center"/>
                  <w:rPr>
                    <w:szCs w:val="21"/>
                  </w:rPr>
                </w:pPr>
                <w:r>
                  <w:rPr>
                    <w:rFonts w:hint="eastAsia"/>
                    <w:szCs w:val="21"/>
                  </w:rPr>
                  <w:t>期初余额</w:t>
                </w:r>
              </w:p>
            </w:tc>
          </w:sdtContent>
        </w:sdt>
        <w:sdt>
          <w:sdtPr>
            <w:tag w:val="_PLD_99281caa76a54a77b09eef392dfa3e36"/>
            <w:id w:val="-338627107"/>
          </w:sdtPr>
          <w:sdtEndPr/>
          <w:sdtContent>
            <w:tc>
              <w:tcPr>
                <w:tcW w:w="1006" w:type="pct"/>
                <w:shd w:val="clear" w:color="auto" w:fill="auto"/>
                <w:vAlign w:val="center"/>
              </w:tcPr>
              <w:p w14:paraId="451C51E7" w14:textId="77777777" w:rsidR="00E57DAA" w:rsidRDefault="00AC4185">
                <w:pPr>
                  <w:jc w:val="center"/>
                  <w:rPr>
                    <w:szCs w:val="21"/>
                  </w:rPr>
                </w:pPr>
                <w:r>
                  <w:rPr>
                    <w:rFonts w:hint="eastAsia"/>
                    <w:szCs w:val="21"/>
                  </w:rPr>
                  <w:t>本期增加</w:t>
                </w:r>
              </w:p>
            </w:tc>
          </w:sdtContent>
        </w:sdt>
        <w:sdt>
          <w:sdtPr>
            <w:tag w:val="_PLD_c1f0c2bb01df4af28d10ddd8f2af79a9"/>
            <w:id w:val="-1622999898"/>
          </w:sdtPr>
          <w:sdtEndPr/>
          <w:sdtContent>
            <w:tc>
              <w:tcPr>
                <w:tcW w:w="1029" w:type="pct"/>
                <w:shd w:val="clear" w:color="auto" w:fill="auto"/>
                <w:vAlign w:val="center"/>
              </w:tcPr>
              <w:p w14:paraId="6A7ED64B" w14:textId="77777777" w:rsidR="00E57DAA" w:rsidRDefault="00AC4185">
                <w:pPr>
                  <w:jc w:val="center"/>
                  <w:rPr>
                    <w:szCs w:val="21"/>
                  </w:rPr>
                </w:pPr>
                <w:r>
                  <w:rPr>
                    <w:rFonts w:hint="eastAsia"/>
                    <w:szCs w:val="21"/>
                  </w:rPr>
                  <w:t>本期减少</w:t>
                </w:r>
              </w:p>
            </w:tc>
          </w:sdtContent>
        </w:sdt>
        <w:sdt>
          <w:sdtPr>
            <w:tag w:val="_PLD_c07fab254eb14bc88273a7ed58442223"/>
            <w:id w:val="-599491050"/>
          </w:sdtPr>
          <w:sdtEndPr/>
          <w:sdtContent>
            <w:tc>
              <w:tcPr>
                <w:tcW w:w="1014" w:type="pct"/>
                <w:shd w:val="clear" w:color="auto" w:fill="auto"/>
                <w:vAlign w:val="center"/>
              </w:tcPr>
              <w:p w14:paraId="1EEFF11C" w14:textId="77777777" w:rsidR="00E57DAA" w:rsidRDefault="00AC4185">
                <w:pPr>
                  <w:jc w:val="center"/>
                  <w:rPr>
                    <w:szCs w:val="21"/>
                  </w:rPr>
                </w:pPr>
                <w:r>
                  <w:rPr>
                    <w:rFonts w:hint="eastAsia"/>
                    <w:szCs w:val="21"/>
                  </w:rPr>
                  <w:t>期末余额</w:t>
                </w:r>
              </w:p>
            </w:tc>
          </w:sdtContent>
        </w:sdt>
      </w:tr>
      <w:tr w:rsidR="00E57DAA" w14:paraId="26E5EAD2" w14:textId="77777777">
        <w:tc>
          <w:tcPr>
            <w:tcW w:w="945" w:type="pct"/>
            <w:shd w:val="clear" w:color="auto" w:fill="auto"/>
          </w:tcPr>
          <w:p w14:paraId="34BCCC42" w14:textId="77777777" w:rsidR="00E57DAA" w:rsidRDefault="00AC4185">
            <w:pPr>
              <w:rPr>
                <w:szCs w:val="21"/>
              </w:rPr>
            </w:pPr>
            <w:r>
              <w:rPr>
                <w:rFonts w:hint="eastAsia"/>
                <w:szCs w:val="21"/>
              </w:rPr>
              <w:t>安全生产费</w:t>
            </w:r>
          </w:p>
        </w:tc>
        <w:tc>
          <w:tcPr>
            <w:tcW w:w="1006" w:type="pct"/>
            <w:shd w:val="clear" w:color="auto" w:fill="auto"/>
            <w:vAlign w:val="center"/>
          </w:tcPr>
          <w:p w14:paraId="49F4C0F0" w14:textId="77777777" w:rsidR="00E57DAA" w:rsidRDefault="00AC4185">
            <w:pPr>
              <w:jc w:val="right"/>
              <w:rPr>
                <w:szCs w:val="21"/>
              </w:rPr>
            </w:pPr>
            <w:r>
              <w:t>291,213,204.10</w:t>
            </w:r>
          </w:p>
        </w:tc>
        <w:tc>
          <w:tcPr>
            <w:tcW w:w="1006" w:type="pct"/>
            <w:shd w:val="clear" w:color="auto" w:fill="auto"/>
            <w:vAlign w:val="center"/>
          </w:tcPr>
          <w:p w14:paraId="4D9AA389" w14:textId="77777777" w:rsidR="00E57DAA" w:rsidRDefault="00AC4185">
            <w:pPr>
              <w:jc w:val="right"/>
              <w:rPr>
                <w:szCs w:val="21"/>
              </w:rPr>
            </w:pPr>
            <w:r>
              <w:t>474,609,504.83</w:t>
            </w:r>
          </w:p>
        </w:tc>
        <w:tc>
          <w:tcPr>
            <w:tcW w:w="1029" w:type="pct"/>
            <w:shd w:val="clear" w:color="auto" w:fill="auto"/>
            <w:vAlign w:val="center"/>
          </w:tcPr>
          <w:p w14:paraId="40808B46" w14:textId="77777777" w:rsidR="00E57DAA" w:rsidRDefault="00AC4185">
            <w:pPr>
              <w:jc w:val="right"/>
              <w:rPr>
                <w:szCs w:val="21"/>
              </w:rPr>
            </w:pPr>
            <w:r>
              <w:t>474,819,965.50</w:t>
            </w:r>
          </w:p>
        </w:tc>
        <w:tc>
          <w:tcPr>
            <w:tcW w:w="1014" w:type="pct"/>
            <w:shd w:val="clear" w:color="auto" w:fill="auto"/>
            <w:vAlign w:val="center"/>
          </w:tcPr>
          <w:p w14:paraId="1E6BC15E" w14:textId="77777777" w:rsidR="00E57DAA" w:rsidRDefault="00AC4185">
            <w:pPr>
              <w:jc w:val="right"/>
              <w:rPr>
                <w:szCs w:val="21"/>
              </w:rPr>
            </w:pPr>
            <w:r>
              <w:t>291,002,743.43</w:t>
            </w:r>
          </w:p>
        </w:tc>
      </w:tr>
      <w:tr w:rsidR="00E57DAA" w14:paraId="015296AD" w14:textId="77777777">
        <w:tc>
          <w:tcPr>
            <w:tcW w:w="945" w:type="pct"/>
            <w:shd w:val="clear" w:color="auto" w:fill="auto"/>
            <w:vAlign w:val="center"/>
          </w:tcPr>
          <w:p w14:paraId="5D6E528E" w14:textId="77777777" w:rsidR="00E57DAA" w:rsidRDefault="00AC4185">
            <w:pPr>
              <w:jc w:val="center"/>
              <w:rPr>
                <w:szCs w:val="21"/>
              </w:rPr>
            </w:pPr>
            <w:r>
              <w:rPr>
                <w:rFonts w:hint="eastAsia"/>
                <w:szCs w:val="21"/>
              </w:rPr>
              <w:t>合计</w:t>
            </w:r>
          </w:p>
        </w:tc>
        <w:tc>
          <w:tcPr>
            <w:tcW w:w="1006" w:type="pct"/>
            <w:shd w:val="clear" w:color="auto" w:fill="auto"/>
            <w:vAlign w:val="center"/>
          </w:tcPr>
          <w:p w14:paraId="6C61EA60" w14:textId="77777777" w:rsidR="00E57DAA" w:rsidRDefault="00AC4185">
            <w:pPr>
              <w:jc w:val="right"/>
              <w:rPr>
                <w:szCs w:val="21"/>
              </w:rPr>
            </w:pPr>
            <w:r>
              <w:t>291,213,204.10</w:t>
            </w:r>
          </w:p>
        </w:tc>
        <w:tc>
          <w:tcPr>
            <w:tcW w:w="1006" w:type="pct"/>
            <w:shd w:val="clear" w:color="auto" w:fill="auto"/>
            <w:vAlign w:val="center"/>
          </w:tcPr>
          <w:p w14:paraId="03694816" w14:textId="77777777" w:rsidR="00E57DAA" w:rsidRDefault="00AC4185">
            <w:pPr>
              <w:jc w:val="right"/>
              <w:rPr>
                <w:szCs w:val="21"/>
              </w:rPr>
            </w:pPr>
            <w:r>
              <w:t>474,609,504.83</w:t>
            </w:r>
          </w:p>
        </w:tc>
        <w:tc>
          <w:tcPr>
            <w:tcW w:w="1029" w:type="pct"/>
            <w:shd w:val="clear" w:color="auto" w:fill="auto"/>
            <w:vAlign w:val="center"/>
          </w:tcPr>
          <w:p w14:paraId="78FF13FC" w14:textId="77777777" w:rsidR="00E57DAA" w:rsidRDefault="00AC4185">
            <w:pPr>
              <w:jc w:val="right"/>
              <w:rPr>
                <w:szCs w:val="21"/>
              </w:rPr>
            </w:pPr>
            <w:r>
              <w:t>474,819,965.50</w:t>
            </w:r>
          </w:p>
        </w:tc>
        <w:tc>
          <w:tcPr>
            <w:tcW w:w="1014" w:type="pct"/>
            <w:shd w:val="clear" w:color="auto" w:fill="auto"/>
            <w:vAlign w:val="center"/>
          </w:tcPr>
          <w:p w14:paraId="6CAE99E3" w14:textId="77777777" w:rsidR="00E57DAA" w:rsidRDefault="00AC4185">
            <w:pPr>
              <w:jc w:val="right"/>
              <w:rPr>
                <w:szCs w:val="21"/>
              </w:rPr>
            </w:pPr>
            <w:r>
              <w:t>291,002,743.43</w:t>
            </w:r>
          </w:p>
        </w:tc>
      </w:tr>
    </w:tbl>
    <w:p w14:paraId="586B0C0A" w14:textId="77777777" w:rsidR="00E57DAA" w:rsidRDefault="00E57DAA">
      <w:pPr>
        <w:rPr>
          <w:szCs w:val="21"/>
        </w:rPr>
      </w:pPr>
    </w:p>
    <w:p w14:paraId="1DB9C762" w14:textId="77777777" w:rsidR="00E57DAA" w:rsidRDefault="00AC4185" w:rsidP="00C25422">
      <w:pPr>
        <w:pStyle w:val="91"/>
        <w:numPr>
          <w:ilvl w:val="0"/>
          <w:numId w:val="69"/>
        </w:numPr>
      </w:pPr>
      <w:r>
        <w:rPr>
          <w:rFonts w:hint="eastAsia"/>
        </w:rPr>
        <w:t>盈余公积</w:t>
      </w:r>
    </w:p>
    <w:sdt>
      <w:sdtPr>
        <w:alias w:val="是否适用：盈余公积[双击切换]"/>
        <w:tag w:val="_GBC_5a507b0ba3a44a2c828e4df049852353"/>
        <w:id w:val="1909036248"/>
        <w:placeholder>
          <w:docPart w:val="GBC22222222222222222222222222222"/>
        </w:placeholder>
      </w:sdtPr>
      <w:sdtEndPr/>
      <w:sdtContent>
        <w:p w14:paraId="7B22C12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5A05F5" w14:textId="77777777" w:rsidR="00E57DAA" w:rsidRDefault="00AC4185">
      <w:pPr>
        <w:jc w:val="right"/>
        <w:rPr>
          <w:szCs w:val="21"/>
        </w:rPr>
      </w:pPr>
      <w:r>
        <w:rPr>
          <w:rFonts w:hint="eastAsia"/>
          <w:szCs w:val="21"/>
        </w:rPr>
        <w:t>单位：</w:t>
      </w:r>
      <w:sdt>
        <w:sdtPr>
          <w:rPr>
            <w:rFonts w:hint="eastAsia"/>
            <w:szCs w:val="21"/>
          </w:rPr>
          <w:alias w:val="单位：财务附注：盈余公积"/>
          <w:tag w:val="_GBC_8ca7c8f8d04e47ff92c33109bbf55576"/>
          <w:id w:val="-19108432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0852220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1626"/>
        <w:gridCol w:w="1751"/>
        <w:gridCol w:w="1756"/>
        <w:gridCol w:w="1770"/>
        <w:gridCol w:w="1920"/>
      </w:tblGrid>
      <w:tr w:rsidR="00E57DAA" w14:paraId="7924FAB6" w14:textId="77777777">
        <w:sdt>
          <w:sdtPr>
            <w:tag w:val="_PLD_448cc13fae91499a9f41c6e4c1f51937"/>
            <w:id w:val="-441225380"/>
          </w:sdtPr>
          <w:sdtEndPr/>
          <w:sdtContent>
            <w:tc>
              <w:tcPr>
                <w:tcW w:w="921" w:type="pct"/>
              </w:tcPr>
              <w:p w14:paraId="3BA378C6" w14:textId="77777777" w:rsidR="00E57DAA" w:rsidRDefault="00AC4185">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2074072374"/>
          </w:sdtPr>
          <w:sdtEndPr/>
          <w:sdtContent>
            <w:tc>
              <w:tcPr>
                <w:tcW w:w="992" w:type="pct"/>
              </w:tcPr>
              <w:p w14:paraId="095D05A5" w14:textId="77777777" w:rsidR="00E57DAA" w:rsidRDefault="00AC4185">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556940014"/>
          </w:sdtPr>
          <w:sdtEndPr/>
          <w:sdtContent>
            <w:tc>
              <w:tcPr>
                <w:tcW w:w="995" w:type="pct"/>
              </w:tcPr>
              <w:p w14:paraId="50AE49E1" w14:textId="77777777" w:rsidR="00E57DAA" w:rsidRDefault="00AC4185">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1116754110"/>
          </w:sdtPr>
          <w:sdtEndPr/>
          <w:sdtContent>
            <w:tc>
              <w:tcPr>
                <w:tcW w:w="1003" w:type="pct"/>
              </w:tcPr>
              <w:p w14:paraId="49552CC1" w14:textId="77777777" w:rsidR="00E57DAA" w:rsidRDefault="00AC4185">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416321632"/>
          </w:sdtPr>
          <w:sdtEndPr/>
          <w:sdtContent>
            <w:tc>
              <w:tcPr>
                <w:tcW w:w="1088" w:type="pct"/>
              </w:tcPr>
              <w:p w14:paraId="63A2D728" w14:textId="77777777" w:rsidR="00E57DAA" w:rsidRDefault="00AC4185">
                <w:pPr>
                  <w:autoSpaceDE w:val="0"/>
                  <w:autoSpaceDN w:val="0"/>
                  <w:adjustRightInd w:val="0"/>
                  <w:snapToGrid w:val="0"/>
                  <w:jc w:val="center"/>
                  <w:rPr>
                    <w:szCs w:val="21"/>
                  </w:rPr>
                </w:pPr>
                <w:r>
                  <w:rPr>
                    <w:rFonts w:hint="eastAsia"/>
                    <w:szCs w:val="21"/>
                  </w:rPr>
                  <w:t>期末余额</w:t>
                </w:r>
              </w:p>
            </w:tc>
          </w:sdtContent>
        </w:sdt>
      </w:tr>
      <w:tr w:rsidR="00E57DAA" w14:paraId="48788BA9" w14:textId="77777777">
        <w:tc>
          <w:tcPr>
            <w:tcW w:w="921" w:type="pct"/>
            <w:shd w:val="clear" w:color="auto" w:fill="auto"/>
            <w:vAlign w:val="center"/>
          </w:tcPr>
          <w:p w14:paraId="1AB30883" w14:textId="77777777" w:rsidR="00E57DAA" w:rsidRDefault="00AC4185">
            <w:pPr>
              <w:autoSpaceDE w:val="0"/>
              <w:autoSpaceDN w:val="0"/>
              <w:adjustRightInd w:val="0"/>
              <w:snapToGrid w:val="0"/>
              <w:jc w:val="both"/>
              <w:rPr>
                <w:szCs w:val="21"/>
              </w:rPr>
            </w:pPr>
            <w:r>
              <w:rPr>
                <w:rFonts w:hint="eastAsia"/>
                <w:szCs w:val="21"/>
              </w:rPr>
              <w:t>法定盈余公积</w:t>
            </w:r>
          </w:p>
        </w:tc>
        <w:tc>
          <w:tcPr>
            <w:tcW w:w="992" w:type="pct"/>
            <w:shd w:val="clear" w:color="auto" w:fill="auto"/>
            <w:vAlign w:val="center"/>
          </w:tcPr>
          <w:p w14:paraId="615A4EBF" w14:textId="77777777" w:rsidR="00E57DAA" w:rsidRDefault="00AC4185">
            <w:pPr>
              <w:autoSpaceDE w:val="0"/>
              <w:autoSpaceDN w:val="0"/>
              <w:adjustRightInd w:val="0"/>
              <w:snapToGrid w:val="0"/>
              <w:ind w:right="180"/>
              <w:jc w:val="right"/>
              <w:rPr>
                <w:szCs w:val="21"/>
              </w:rPr>
            </w:pPr>
            <w:r>
              <w:t>976,748,193.92</w:t>
            </w:r>
          </w:p>
        </w:tc>
        <w:tc>
          <w:tcPr>
            <w:tcW w:w="995" w:type="pct"/>
            <w:shd w:val="clear" w:color="auto" w:fill="auto"/>
            <w:vAlign w:val="center"/>
          </w:tcPr>
          <w:p w14:paraId="608BE853" w14:textId="77777777" w:rsidR="00E57DAA" w:rsidRDefault="00AC4185">
            <w:pPr>
              <w:autoSpaceDE w:val="0"/>
              <w:autoSpaceDN w:val="0"/>
              <w:adjustRightInd w:val="0"/>
              <w:snapToGrid w:val="0"/>
              <w:ind w:right="180"/>
              <w:jc w:val="right"/>
              <w:rPr>
                <w:szCs w:val="21"/>
              </w:rPr>
            </w:pPr>
            <w:r>
              <w:t>86,377,489.91</w:t>
            </w:r>
          </w:p>
        </w:tc>
        <w:tc>
          <w:tcPr>
            <w:tcW w:w="1003" w:type="pct"/>
            <w:shd w:val="clear" w:color="auto" w:fill="auto"/>
            <w:vAlign w:val="center"/>
          </w:tcPr>
          <w:p w14:paraId="725CAA6A" w14:textId="77777777" w:rsidR="00E57DAA" w:rsidRDefault="00E57DAA">
            <w:pPr>
              <w:autoSpaceDE w:val="0"/>
              <w:autoSpaceDN w:val="0"/>
              <w:adjustRightInd w:val="0"/>
              <w:snapToGrid w:val="0"/>
              <w:ind w:right="180"/>
              <w:jc w:val="right"/>
              <w:rPr>
                <w:szCs w:val="21"/>
              </w:rPr>
            </w:pPr>
          </w:p>
        </w:tc>
        <w:tc>
          <w:tcPr>
            <w:tcW w:w="1088" w:type="pct"/>
            <w:shd w:val="clear" w:color="auto" w:fill="auto"/>
            <w:vAlign w:val="center"/>
          </w:tcPr>
          <w:p w14:paraId="6802A4C8" w14:textId="77777777" w:rsidR="00E57DAA" w:rsidRDefault="00AC4185">
            <w:pPr>
              <w:autoSpaceDE w:val="0"/>
              <w:autoSpaceDN w:val="0"/>
              <w:adjustRightInd w:val="0"/>
              <w:snapToGrid w:val="0"/>
              <w:ind w:right="180"/>
              <w:jc w:val="right"/>
              <w:rPr>
                <w:szCs w:val="21"/>
              </w:rPr>
            </w:pPr>
            <w:r>
              <w:t>1,063,125,683.83</w:t>
            </w:r>
          </w:p>
        </w:tc>
      </w:tr>
      <w:tr w:rsidR="00E57DAA" w14:paraId="7F0B8741" w14:textId="77777777">
        <w:tc>
          <w:tcPr>
            <w:tcW w:w="921" w:type="pct"/>
            <w:shd w:val="clear" w:color="auto" w:fill="auto"/>
            <w:vAlign w:val="center"/>
          </w:tcPr>
          <w:p w14:paraId="5392A7A9" w14:textId="77777777" w:rsidR="00E57DAA" w:rsidRDefault="00AC4185">
            <w:pPr>
              <w:autoSpaceDE w:val="0"/>
              <w:autoSpaceDN w:val="0"/>
              <w:adjustRightInd w:val="0"/>
              <w:snapToGrid w:val="0"/>
              <w:jc w:val="both"/>
              <w:rPr>
                <w:szCs w:val="21"/>
              </w:rPr>
            </w:pPr>
            <w:r>
              <w:rPr>
                <w:rFonts w:hint="eastAsia"/>
                <w:szCs w:val="21"/>
              </w:rPr>
              <w:t>任意盈余公积</w:t>
            </w:r>
          </w:p>
        </w:tc>
        <w:tc>
          <w:tcPr>
            <w:tcW w:w="992" w:type="pct"/>
            <w:shd w:val="clear" w:color="auto" w:fill="auto"/>
          </w:tcPr>
          <w:p w14:paraId="3C36F35C" w14:textId="77777777" w:rsidR="00E57DAA" w:rsidRDefault="00E57DAA">
            <w:pPr>
              <w:autoSpaceDE w:val="0"/>
              <w:autoSpaceDN w:val="0"/>
              <w:adjustRightInd w:val="0"/>
              <w:snapToGrid w:val="0"/>
              <w:ind w:right="180"/>
              <w:jc w:val="right"/>
              <w:rPr>
                <w:szCs w:val="21"/>
              </w:rPr>
            </w:pPr>
          </w:p>
        </w:tc>
        <w:tc>
          <w:tcPr>
            <w:tcW w:w="995" w:type="pct"/>
            <w:shd w:val="clear" w:color="auto" w:fill="auto"/>
          </w:tcPr>
          <w:p w14:paraId="2322D8A8" w14:textId="77777777" w:rsidR="00E57DAA" w:rsidRDefault="00E57DAA">
            <w:pPr>
              <w:autoSpaceDE w:val="0"/>
              <w:autoSpaceDN w:val="0"/>
              <w:adjustRightInd w:val="0"/>
              <w:snapToGrid w:val="0"/>
              <w:ind w:right="180"/>
              <w:jc w:val="right"/>
              <w:rPr>
                <w:szCs w:val="21"/>
              </w:rPr>
            </w:pPr>
          </w:p>
        </w:tc>
        <w:tc>
          <w:tcPr>
            <w:tcW w:w="1003" w:type="pct"/>
            <w:shd w:val="clear" w:color="auto" w:fill="auto"/>
          </w:tcPr>
          <w:p w14:paraId="0ADE5C68" w14:textId="77777777" w:rsidR="00E57DAA" w:rsidRDefault="00E57DAA">
            <w:pPr>
              <w:autoSpaceDE w:val="0"/>
              <w:autoSpaceDN w:val="0"/>
              <w:adjustRightInd w:val="0"/>
              <w:snapToGrid w:val="0"/>
              <w:ind w:right="180"/>
              <w:jc w:val="right"/>
              <w:rPr>
                <w:szCs w:val="21"/>
              </w:rPr>
            </w:pPr>
          </w:p>
        </w:tc>
        <w:tc>
          <w:tcPr>
            <w:tcW w:w="1088" w:type="pct"/>
            <w:shd w:val="clear" w:color="auto" w:fill="auto"/>
          </w:tcPr>
          <w:p w14:paraId="0F8BBE2D" w14:textId="77777777" w:rsidR="00E57DAA" w:rsidRDefault="00E57DAA">
            <w:pPr>
              <w:autoSpaceDE w:val="0"/>
              <w:autoSpaceDN w:val="0"/>
              <w:adjustRightInd w:val="0"/>
              <w:snapToGrid w:val="0"/>
              <w:ind w:right="180"/>
              <w:jc w:val="right"/>
              <w:rPr>
                <w:szCs w:val="21"/>
              </w:rPr>
            </w:pPr>
          </w:p>
        </w:tc>
      </w:tr>
      <w:tr w:rsidR="00E57DAA" w14:paraId="57EB1BF2" w14:textId="77777777">
        <w:tc>
          <w:tcPr>
            <w:tcW w:w="921" w:type="pct"/>
          </w:tcPr>
          <w:p w14:paraId="7850D0AE" w14:textId="77777777" w:rsidR="00E57DAA" w:rsidRDefault="00AC4185">
            <w:pPr>
              <w:autoSpaceDE w:val="0"/>
              <w:autoSpaceDN w:val="0"/>
              <w:adjustRightInd w:val="0"/>
              <w:snapToGrid w:val="0"/>
              <w:jc w:val="center"/>
              <w:rPr>
                <w:szCs w:val="21"/>
              </w:rPr>
            </w:pPr>
            <w:r>
              <w:rPr>
                <w:rFonts w:hint="eastAsia"/>
                <w:szCs w:val="21"/>
              </w:rPr>
              <w:t>合计</w:t>
            </w:r>
          </w:p>
        </w:tc>
        <w:tc>
          <w:tcPr>
            <w:tcW w:w="992" w:type="pct"/>
            <w:vAlign w:val="center"/>
          </w:tcPr>
          <w:p w14:paraId="4F629E05" w14:textId="77777777" w:rsidR="00E57DAA" w:rsidRDefault="00AC4185">
            <w:pPr>
              <w:autoSpaceDE w:val="0"/>
              <w:autoSpaceDN w:val="0"/>
              <w:adjustRightInd w:val="0"/>
              <w:snapToGrid w:val="0"/>
              <w:ind w:right="180"/>
              <w:jc w:val="right"/>
              <w:rPr>
                <w:szCs w:val="21"/>
              </w:rPr>
            </w:pPr>
            <w:r>
              <w:t>976,748,193.92</w:t>
            </w:r>
          </w:p>
        </w:tc>
        <w:tc>
          <w:tcPr>
            <w:tcW w:w="995" w:type="pct"/>
            <w:vAlign w:val="center"/>
          </w:tcPr>
          <w:p w14:paraId="1554F492" w14:textId="77777777" w:rsidR="00E57DAA" w:rsidRDefault="00AC4185">
            <w:pPr>
              <w:autoSpaceDE w:val="0"/>
              <w:autoSpaceDN w:val="0"/>
              <w:adjustRightInd w:val="0"/>
              <w:snapToGrid w:val="0"/>
              <w:ind w:right="180"/>
              <w:jc w:val="right"/>
              <w:rPr>
                <w:szCs w:val="21"/>
              </w:rPr>
            </w:pPr>
            <w:r>
              <w:t>86,377,489.91</w:t>
            </w:r>
          </w:p>
        </w:tc>
        <w:tc>
          <w:tcPr>
            <w:tcW w:w="1003" w:type="pct"/>
            <w:vAlign w:val="center"/>
          </w:tcPr>
          <w:p w14:paraId="773734D7" w14:textId="77777777" w:rsidR="00E57DAA" w:rsidRDefault="00E57DAA">
            <w:pPr>
              <w:autoSpaceDE w:val="0"/>
              <w:autoSpaceDN w:val="0"/>
              <w:adjustRightInd w:val="0"/>
              <w:snapToGrid w:val="0"/>
              <w:ind w:right="180"/>
              <w:jc w:val="right"/>
              <w:rPr>
                <w:szCs w:val="21"/>
              </w:rPr>
            </w:pPr>
          </w:p>
        </w:tc>
        <w:tc>
          <w:tcPr>
            <w:tcW w:w="1088" w:type="pct"/>
            <w:vAlign w:val="center"/>
          </w:tcPr>
          <w:p w14:paraId="1BF317F7" w14:textId="77777777" w:rsidR="00E57DAA" w:rsidRDefault="00AC4185">
            <w:pPr>
              <w:autoSpaceDE w:val="0"/>
              <w:autoSpaceDN w:val="0"/>
              <w:adjustRightInd w:val="0"/>
              <w:snapToGrid w:val="0"/>
              <w:ind w:right="180"/>
              <w:jc w:val="right"/>
              <w:rPr>
                <w:szCs w:val="21"/>
              </w:rPr>
            </w:pPr>
            <w:r>
              <w:t>1,063,125,683.83</w:t>
            </w:r>
          </w:p>
        </w:tc>
      </w:tr>
    </w:tbl>
    <w:p w14:paraId="719BFC1C" w14:textId="77777777" w:rsidR="00E57DAA" w:rsidRDefault="00AC4185">
      <w:pPr>
        <w:spacing w:before="60" w:after="60"/>
        <w:rPr>
          <w:szCs w:val="21"/>
        </w:rPr>
      </w:pPr>
      <w:r>
        <w:rPr>
          <w:rFonts w:hint="eastAsia"/>
          <w:szCs w:val="21"/>
        </w:rPr>
        <w:t>盈余公积说明，包括本期增减变动情况、变动原因说明：</w:t>
      </w:r>
    </w:p>
    <w:sdt>
      <w:sdtPr>
        <w:rPr>
          <w:szCs w:val="21"/>
        </w:rPr>
        <w:alias w:val="盈余公积说明"/>
        <w:tag w:val="_GBC_538b8c4ba55d480592f5f9485177617e"/>
        <w:id w:val="-1764673238"/>
        <w:placeholder>
          <w:docPart w:val="GBC22222222222222222222222222222"/>
        </w:placeholder>
      </w:sdtPr>
      <w:sdtEndPr/>
      <w:sdtContent>
        <w:p w14:paraId="0823BF47" w14:textId="77777777" w:rsidR="00E57DAA" w:rsidRDefault="00AC4185">
          <w:pPr>
            <w:autoSpaceDE w:val="0"/>
            <w:autoSpaceDN w:val="0"/>
            <w:adjustRightInd w:val="0"/>
            <w:ind w:firstLineChars="200" w:firstLine="420"/>
            <w:rPr>
              <w:szCs w:val="21"/>
            </w:rPr>
          </w:pPr>
          <w:r>
            <w:rPr>
              <w:rFonts w:hint="eastAsia"/>
              <w:szCs w:val="21"/>
            </w:rPr>
            <w:t>法定盈余公积按照母公司净利润的</w:t>
          </w:r>
          <w:r>
            <w:rPr>
              <w:szCs w:val="21"/>
            </w:rPr>
            <w:t>10%计提。</w:t>
          </w:r>
        </w:p>
      </w:sdtContent>
    </w:sdt>
    <w:p w14:paraId="5E6DB911" w14:textId="77777777" w:rsidR="00E57DAA" w:rsidRDefault="00E57DAA">
      <w:pPr>
        <w:autoSpaceDE w:val="0"/>
        <w:autoSpaceDN w:val="0"/>
        <w:adjustRightInd w:val="0"/>
        <w:rPr>
          <w:color w:val="000000" w:themeColor="text1"/>
          <w:szCs w:val="21"/>
        </w:rPr>
      </w:pPr>
    </w:p>
    <w:p w14:paraId="3261BCCF" w14:textId="77777777" w:rsidR="00E57DAA" w:rsidRDefault="00AC4185" w:rsidP="00C25422">
      <w:pPr>
        <w:pStyle w:val="91"/>
        <w:numPr>
          <w:ilvl w:val="0"/>
          <w:numId w:val="69"/>
        </w:numPr>
      </w:pPr>
      <w:r>
        <w:rPr>
          <w:rFonts w:hint="eastAsia"/>
        </w:rPr>
        <w:t>未分配利润</w:t>
      </w:r>
    </w:p>
    <w:p w14:paraId="6A951FCC" w14:textId="77777777" w:rsidR="00E57DAA" w:rsidRDefault="00EB41A1" w:rsidP="00C25422">
      <w:pPr>
        <w:pStyle w:val="92"/>
      </w:pPr>
      <w:sdt>
        <w:sdtPr>
          <w:alias w:val="是否适用：未分配利润[双击切换]"/>
          <w:tag w:val="_GBC_0ccb002da9b649db91afd1ca2a9330f8"/>
          <w:id w:val="1593201199"/>
          <w:lock w:val="contentLocked"/>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75F1C3B3" w14:textId="77777777" w:rsidR="00E57DAA" w:rsidRDefault="00AC4185">
      <w:pPr>
        <w:jc w:val="right"/>
        <w:rPr>
          <w:szCs w:val="21"/>
        </w:rPr>
      </w:pPr>
      <w:r>
        <w:rPr>
          <w:rFonts w:hint="eastAsia"/>
          <w:szCs w:val="21"/>
        </w:rPr>
        <w:t>单位：</w:t>
      </w:r>
      <w:sdt>
        <w:sdtPr>
          <w:rPr>
            <w:rFonts w:hint="eastAsia"/>
            <w:szCs w:val="21"/>
          </w:rPr>
          <w:alias w:val="单位：财务附注：未分配利润"/>
          <w:tag w:val="_GBC_fc12fabcd66949d39f6f74b747284465"/>
          <w:id w:val="58550584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75258605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400"/>
        <w:gridCol w:w="2755"/>
        <w:gridCol w:w="2668"/>
      </w:tblGrid>
      <w:tr w:rsidR="00E57DAA" w14:paraId="62375B56" w14:textId="77777777">
        <w:trPr>
          <w:cantSplit/>
        </w:trPr>
        <w:sdt>
          <w:sdtPr>
            <w:tag w:val="_PLD_30da0a90f08b46f090b6fee887a691bc"/>
            <w:id w:val="-395520015"/>
          </w:sdtPr>
          <w:sdtEndPr/>
          <w:sdtContent>
            <w:tc>
              <w:tcPr>
                <w:tcW w:w="1927" w:type="pct"/>
                <w:vAlign w:val="center"/>
              </w:tcPr>
              <w:p w14:paraId="56EDAE20" w14:textId="77777777" w:rsidR="00E57DAA" w:rsidRDefault="00AC4185">
                <w:pPr>
                  <w:jc w:val="center"/>
                  <w:rPr>
                    <w:szCs w:val="21"/>
                  </w:rPr>
                </w:pPr>
                <w:r>
                  <w:rPr>
                    <w:rFonts w:hint="eastAsia"/>
                    <w:szCs w:val="21"/>
                  </w:rPr>
                  <w:t>项目</w:t>
                </w:r>
              </w:p>
            </w:tc>
          </w:sdtContent>
        </w:sdt>
        <w:sdt>
          <w:sdtPr>
            <w:tag w:val="_PLD_27c0ff4064964dc5b9e335151d04b603"/>
            <w:id w:val="-1893112736"/>
          </w:sdtPr>
          <w:sdtEndPr/>
          <w:sdtContent>
            <w:tc>
              <w:tcPr>
                <w:tcW w:w="1561" w:type="pct"/>
                <w:vAlign w:val="center"/>
              </w:tcPr>
              <w:p w14:paraId="773DE474" w14:textId="77777777" w:rsidR="00E57DAA" w:rsidRDefault="00AC4185">
                <w:pPr>
                  <w:jc w:val="center"/>
                  <w:rPr>
                    <w:szCs w:val="21"/>
                  </w:rPr>
                </w:pPr>
                <w:r>
                  <w:rPr>
                    <w:rFonts w:hint="eastAsia"/>
                    <w:szCs w:val="21"/>
                  </w:rPr>
                  <w:t>本期</w:t>
                </w:r>
              </w:p>
            </w:tc>
          </w:sdtContent>
        </w:sdt>
        <w:sdt>
          <w:sdtPr>
            <w:tag w:val="_PLD_613460741a0147b7be8212812793694e"/>
            <w:id w:val="-6140822"/>
          </w:sdtPr>
          <w:sdtEndPr/>
          <w:sdtContent>
            <w:tc>
              <w:tcPr>
                <w:tcW w:w="1512" w:type="pct"/>
                <w:vAlign w:val="center"/>
              </w:tcPr>
              <w:p w14:paraId="1C722663" w14:textId="77777777" w:rsidR="00E57DAA" w:rsidRDefault="00AC4185">
                <w:pPr>
                  <w:jc w:val="center"/>
                  <w:rPr>
                    <w:szCs w:val="21"/>
                  </w:rPr>
                </w:pPr>
                <w:r>
                  <w:rPr>
                    <w:rFonts w:hint="eastAsia"/>
                    <w:szCs w:val="21"/>
                  </w:rPr>
                  <w:t>上期</w:t>
                </w:r>
              </w:p>
            </w:tc>
          </w:sdtContent>
        </w:sdt>
      </w:tr>
      <w:tr w:rsidR="00E57DAA" w14:paraId="2AFCF3A5" w14:textId="77777777">
        <w:trPr>
          <w:cantSplit/>
        </w:trPr>
        <w:sdt>
          <w:sdtPr>
            <w:tag w:val="_PLD_a8a908ccb6754af7b684355be7043ef6"/>
            <w:id w:val="-542983694"/>
          </w:sdtPr>
          <w:sdtEndPr/>
          <w:sdtContent>
            <w:tc>
              <w:tcPr>
                <w:tcW w:w="1927" w:type="pct"/>
              </w:tcPr>
              <w:p w14:paraId="00B7D500" w14:textId="77777777" w:rsidR="00E57DAA" w:rsidRDefault="00AC4185">
                <w:pPr>
                  <w:rPr>
                    <w:szCs w:val="21"/>
                  </w:rPr>
                </w:pPr>
                <w:r>
                  <w:rPr>
                    <w:rFonts w:hint="eastAsia"/>
                    <w:szCs w:val="21"/>
                  </w:rPr>
                  <w:t>调整前上期末未分配利润</w:t>
                </w:r>
              </w:p>
            </w:tc>
          </w:sdtContent>
        </w:sdt>
        <w:tc>
          <w:tcPr>
            <w:tcW w:w="1561" w:type="pct"/>
            <w:vAlign w:val="center"/>
          </w:tcPr>
          <w:p w14:paraId="277323EA" w14:textId="77777777" w:rsidR="00E57DAA" w:rsidRDefault="00AC4185">
            <w:pPr>
              <w:ind w:right="6"/>
              <w:jc w:val="right"/>
              <w:rPr>
                <w:szCs w:val="21"/>
              </w:rPr>
            </w:pPr>
            <w:r>
              <w:rPr>
                <w:rFonts w:hint="eastAsia"/>
              </w:rPr>
              <w:t>13,077,801,169.02</w:t>
            </w:r>
          </w:p>
        </w:tc>
        <w:tc>
          <w:tcPr>
            <w:tcW w:w="1512" w:type="pct"/>
            <w:vAlign w:val="center"/>
          </w:tcPr>
          <w:p w14:paraId="0735835B" w14:textId="77777777" w:rsidR="00E57DAA" w:rsidRDefault="00AC4185">
            <w:pPr>
              <w:jc w:val="right"/>
              <w:rPr>
                <w:szCs w:val="21"/>
              </w:rPr>
            </w:pPr>
            <w:r>
              <w:rPr>
                <w:rFonts w:hint="eastAsia"/>
              </w:rPr>
              <w:t>9,808,777,429.66</w:t>
            </w:r>
          </w:p>
        </w:tc>
      </w:tr>
      <w:tr w:rsidR="00E57DAA" w14:paraId="663A5B0D" w14:textId="77777777">
        <w:trPr>
          <w:cantSplit/>
        </w:trPr>
        <w:sdt>
          <w:sdtPr>
            <w:tag w:val="_PLD_02ab5ac1239f40a6a46e28f567884d1f"/>
            <w:id w:val="-712498348"/>
          </w:sdtPr>
          <w:sdtEndPr/>
          <w:sdtContent>
            <w:tc>
              <w:tcPr>
                <w:tcW w:w="1927" w:type="pct"/>
              </w:tcPr>
              <w:p w14:paraId="451BB7E7" w14:textId="77777777" w:rsidR="00E57DAA" w:rsidRDefault="00AC4185">
                <w:pPr>
                  <w:rPr>
                    <w:szCs w:val="21"/>
                  </w:rPr>
                </w:pPr>
                <w:r>
                  <w:rPr>
                    <w:rFonts w:hint="eastAsia"/>
                    <w:szCs w:val="21"/>
                  </w:rPr>
                  <w:t>调整期初未分配利润合计数（调增</w:t>
                </w:r>
                <w:r>
                  <w:rPr>
                    <w:szCs w:val="21"/>
                  </w:rPr>
                  <w:t>+</w:t>
                </w:r>
                <w:r>
                  <w:rPr>
                    <w:rFonts w:hint="eastAsia"/>
                    <w:szCs w:val="21"/>
                  </w:rPr>
                  <w:t>，调减－）</w:t>
                </w:r>
              </w:p>
            </w:tc>
          </w:sdtContent>
        </w:sdt>
        <w:tc>
          <w:tcPr>
            <w:tcW w:w="1561" w:type="pct"/>
          </w:tcPr>
          <w:p w14:paraId="536AE887" w14:textId="77777777" w:rsidR="00E57DAA" w:rsidRDefault="00E57DAA">
            <w:pPr>
              <w:ind w:right="6"/>
              <w:jc w:val="right"/>
              <w:rPr>
                <w:szCs w:val="21"/>
              </w:rPr>
            </w:pPr>
          </w:p>
        </w:tc>
        <w:tc>
          <w:tcPr>
            <w:tcW w:w="1512" w:type="pct"/>
            <w:vAlign w:val="center"/>
          </w:tcPr>
          <w:p w14:paraId="47676FD7" w14:textId="77777777" w:rsidR="00E57DAA" w:rsidRDefault="00AC4185">
            <w:pPr>
              <w:ind w:right="6"/>
              <w:jc w:val="right"/>
              <w:rPr>
                <w:szCs w:val="21"/>
              </w:rPr>
            </w:pPr>
            <w:r>
              <w:rPr>
                <w:rFonts w:hint="eastAsia"/>
                <w:szCs w:val="21"/>
              </w:rPr>
              <w:t>1,944,005,119.27</w:t>
            </w:r>
          </w:p>
        </w:tc>
      </w:tr>
      <w:tr w:rsidR="00E57DAA" w14:paraId="70EF098F" w14:textId="77777777">
        <w:trPr>
          <w:cantSplit/>
        </w:trPr>
        <w:sdt>
          <w:sdtPr>
            <w:tag w:val="_PLD_77ca15ebef62468eb0dd24c8e090b1ab"/>
            <w:id w:val="-1452700286"/>
          </w:sdtPr>
          <w:sdtEndPr/>
          <w:sdtContent>
            <w:tc>
              <w:tcPr>
                <w:tcW w:w="1927" w:type="pct"/>
              </w:tcPr>
              <w:p w14:paraId="67C3FAA8" w14:textId="77777777" w:rsidR="00E57DAA" w:rsidRDefault="00AC4185">
                <w:pPr>
                  <w:rPr>
                    <w:szCs w:val="21"/>
                  </w:rPr>
                </w:pPr>
                <w:r>
                  <w:rPr>
                    <w:rFonts w:hint="eastAsia"/>
                    <w:szCs w:val="21"/>
                  </w:rPr>
                  <w:t>调整后期初未分配利润</w:t>
                </w:r>
              </w:p>
            </w:tc>
          </w:sdtContent>
        </w:sdt>
        <w:tc>
          <w:tcPr>
            <w:tcW w:w="1561" w:type="pct"/>
            <w:vAlign w:val="center"/>
          </w:tcPr>
          <w:p w14:paraId="6473DF50" w14:textId="77777777" w:rsidR="00E57DAA" w:rsidRDefault="00AC4185">
            <w:pPr>
              <w:ind w:right="6"/>
              <w:jc w:val="right"/>
              <w:rPr>
                <w:szCs w:val="21"/>
              </w:rPr>
            </w:pPr>
            <w:r>
              <w:rPr>
                <w:rFonts w:hint="eastAsia"/>
              </w:rPr>
              <w:t>13,077,801,169.02</w:t>
            </w:r>
          </w:p>
        </w:tc>
        <w:tc>
          <w:tcPr>
            <w:tcW w:w="1512" w:type="pct"/>
            <w:vAlign w:val="center"/>
          </w:tcPr>
          <w:p w14:paraId="4C4AE990" w14:textId="77777777" w:rsidR="00E57DAA" w:rsidRDefault="00AC4185">
            <w:pPr>
              <w:ind w:right="6"/>
              <w:jc w:val="right"/>
              <w:rPr>
                <w:szCs w:val="21"/>
              </w:rPr>
            </w:pPr>
            <w:r>
              <w:rPr>
                <w:rFonts w:hint="eastAsia"/>
                <w:szCs w:val="21"/>
              </w:rPr>
              <w:t>11,752,782,548.93</w:t>
            </w:r>
          </w:p>
        </w:tc>
      </w:tr>
      <w:tr w:rsidR="00E57DAA" w14:paraId="30B8C73D" w14:textId="77777777">
        <w:trPr>
          <w:cantSplit/>
        </w:trPr>
        <w:sdt>
          <w:sdtPr>
            <w:tag w:val="_PLD_9fc7a2bfee39423d80a60d153fe240df"/>
            <w:id w:val="459934893"/>
          </w:sdtPr>
          <w:sdtEndPr/>
          <w:sdtContent>
            <w:tc>
              <w:tcPr>
                <w:tcW w:w="1927" w:type="pct"/>
              </w:tcPr>
              <w:p w14:paraId="1D4EA165" w14:textId="77777777" w:rsidR="00E57DAA" w:rsidRDefault="00AC4185">
                <w:pPr>
                  <w:ind w:right="6"/>
                  <w:rPr>
                    <w:szCs w:val="21"/>
                  </w:rPr>
                </w:pPr>
                <w:r>
                  <w:rPr>
                    <w:rFonts w:hint="eastAsia"/>
                    <w:szCs w:val="21"/>
                  </w:rPr>
                  <w:t>加：本期归属于母公司所有者的净利润</w:t>
                </w:r>
              </w:p>
            </w:tc>
          </w:sdtContent>
        </w:sdt>
        <w:tc>
          <w:tcPr>
            <w:tcW w:w="1561" w:type="pct"/>
            <w:vAlign w:val="center"/>
          </w:tcPr>
          <w:p w14:paraId="6C926FA3" w14:textId="77777777" w:rsidR="00E57DAA" w:rsidRDefault="00AC4185">
            <w:pPr>
              <w:ind w:right="6"/>
              <w:jc w:val="right"/>
              <w:rPr>
                <w:szCs w:val="21"/>
              </w:rPr>
            </w:pPr>
            <w:r>
              <w:rPr>
                <w:rFonts w:hint="eastAsia"/>
              </w:rPr>
              <w:t>2,915,811,638.72</w:t>
            </w:r>
          </w:p>
        </w:tc>
        <w:tc>
          <w:tcPr>
            <w:tcW w:w="1512" w:type="pct"/>
            <w:vAlign w:val="center"/>
          </w:tcPr>
          <w:p w14:paraId="48D1B926" w14:textId="77777777" w:rsidR="00E57DAA" w:rsidRDefault="00AC4185">
            <w:pPr>
              <w:ind w:right="6"/>
              <w:jc w:val="right"/>
              <w:rPr>
                <w:szCs w:val="21"/>
              </w:rPr>
            </w:pPr>
            <w:r>
              <w:rPr>
                <w:rFonts w:hint="eastAsia"/>
                <w:szCs w:val="21"/>
              </w:rPr>
              <w:t>2,541,219,862.18</w:t>
            </w:r>
          </w:p>
        </w:tc>
      </w:tr>
      <w:tr w:rsidR="00E57DAA" w14:paraId="631600E0" w14:textId="77777777">
        <w:trPr>
          <w:cantSplit/>
        </w:trPr>
        <w:sdt>
          <w:sdtPr>
            <w:tag w:val="_PLD_45ceb5eda6064d7ea7b72559c6fb383d"/>
            <w:id w:val="-1714034633"/>
          </w:sdtPr>
          <w:sdtEndPr/>
          <w:sdtContent>
            <w:tc>
              <w:tcPr>
                <w:tcW w:w="1927" w:type="pct"/>
              </w:tcPr>
              <w:p w14:paraId="3BC0403C" w14:textId="77777777" w:rsidR="00E57DAA" w:rsidRDefault="00AC4185">
                <w:pPr>
                  <w:autoSpaceDE w:val="0"/>
                  <w:autoSpaceDN w:val="0"/>
                  <w:adjustRightInd w:val="0"/>
                  <w:rPr>
                    <w:szCs w:val="21"/>
                  </w:rPr>
                </w:pPr>
                <w:r>
                  <w:rPr>
                    <w:rFonts w:hint="eastAsia"/>
                    <w:szCs w:val="21"/>
                  </w:rPr>
                  <w:t>减：提取法定盈余公积</w:t>
                </w:r>
              </w:p>
            </w:tc>
          </w:sdtContent>
        </w:sdt>
        <w:tc>
          <w:tcPr>
            <w:tcW w:w="1561" w:type="pct"/>
            <w:vAlign w:val="center"/>
          </w:tcPr>
          <w:p w14:paraId="596D05CD" w14:textId="77777777" w:rsidR="00E57DAA" w:rsidRDefault="00AC4185">
            <w:pPr>
              <w:jc w:val="right"/>
              <w:rPr>
                <w:szCs w:val="21"/>
              </w:rPr>
            </w:pPr>
            <w:r>
              <w:rPr>
                <w:rFonts w:hint="eastAsia"/>
              </w:rPr>
              <w:t>86,377,489.91</w:t>
            </w:r>
          </w:p>
        </w:tc>
        <w:tc>
          <w:tcPr>
            <w:tcW w:w="1512" w:type="pct"/>
            <w:vAlign w:val="center"/>
          </w:tcPr>
          <w:p w14:paraId="468478AB" w14:textId="77777777" w:rsidR="00E57DAA" w:rsidRDefault="00AC4185">
            <w:pPr>
              <w:ind w:right="6"/>
              <w:jc w:val="right"/>
              <w:rPr>
                <w:szCs w:val="21"/>
              </w:rPr>
            </w:pPr>
            <w:r>
              <w:rPr>
                <w:rFonts w:hint="eastAsia"/>
                <w:szCs w:val="21"/>
              </w:rPr>
              <w:t>68,725,223.71</w:t>
            </w:r>
          </w:p>
        </w:tc>
      </w:tr>
      <w:tr w:rsidR="00E57DAA" w14:paraId="49132267" w14:textId="77777777">
        <w:trPr>
          <w:cantSplit/>
        </w:trPr>
        <w:sdt>
          <w:sdtPr>
            <w:tag w:val="_PLD_87bbb7d2e8fe4a08961cba210a7ec6dc"/>
            <w:id w:val="-374773234"/>
          </w:sdtPr>
          <w:sdtEndPr/>
          <w:sdtContent>
            <w:tc>
              <w:tcPr>
                <w:tcW w:w="1927" w:type="pct"/>
              </w:tcPr>
              <w:p w14:paraId="5E2C7986" w14:textId="77777777" w:rsidR="00E57DAA" w:rsidRDefault="00AC4185">
                <w:pPr>
                  <w:autoSpaceDE w:val="0"/>
                  <w:autoSpaceDN w:val="0"/>
                  <w:adjustRightInd w:val="0"/>
                  <w:ind w:firstLine="420"/>
                  <w:rPr>
                    <w:szCs w:val="21"/>
                  </w:rPr>
                </w:pPr>
                <w:r>
                  <w:rPr>
                    <w:rFonts w:hint="eastAsia"/>
                    <w:szCs w:val="21"/>
                  </w:rPr>
                  <w:t>应付普通股股利</w:t>
                </w:r>
              </w:p>
            </w:tc>
          </w:sdtContent>
        </w:sdt>
        <w:tc>
          <w:tcPr>
            <w:tcW w:w="1561" w:type="pct"/>
            <w:vAlign w:val="center"/>
          </w:tcPr>
          <w:p w14:paraId="6B3EF5F3" w14:textId="77777777" w:rsidR="00E57DAA" w:rsidRDefault="00AC4185">
            <w:pPr>
              <w:jc w:val="right"/>
              <w:rPr>
                <w:szCs w:val="21"/>
              </w:rPr>
            </w:pPr>
            <w:r>
              <w:rPr>
                <w:rFonts w:hint="eastAsia"/>
              </w:rPr>
              <w:t>792,695,226.90</w:t>
            </w:r>
          </w:p>
        </w:tc>
        <w:tc>
          <w:tcPr>
            <w:tcW w:w="1512" w:type="pct"/>
            <w:vAlign w:val="center"/>
          </w:tcPr>
          <w:p w14:paraId="696E572C" w14:textId="77777777" w:rsidR="00E57DAA" w:rsidRDefault="00AC4185">
            <w:pPr>
              <w:ind w:right="6"/>
              <w:jc w:val="right"/>
              <w:rPr>
                <w:szCs w:val="21"/>
              </w:rPr>
            </w:pPr>
            <w:r>
              <w:rPr>
                <w:rFonts w:hint="eastAsia"/>
                <w:szCs w:val="21"/>
              </w:rPr>
              <w:t>1,144,595,374.71</w:t>
            </w:r>
          </w:p>
        </w:tc>
      </w:tr>
      <w:sdt>
        <w:sdtPr>
          <w:rPr>
            <w:rFonts w:hint="eastAsia"/>
            <w:szCs w:val="21"/>
          </w:rPr>
          <w:alias w:val="本期其他利润分配"/>
          <w:tag w:val="_TUP_9c08dab1f601442f9635f5bc53591d1f"/>
          <w:id w:val="-377853019"/>
        </w:sdtPr>
        <w:sdtEndPr/>
        <w:sdtContent>
          <w:tr w:rsidR="00E57DAA" w14:paraId="33DFD61A" w14:textId="77777777">
            <w:trPr>
              <w:cantSplit/>
            </w:trPr>
            <w:tc>
              <w:tcPr>
                <w:tcW w:w="1927" w:type="pct"/>
              </w:tcPr>
              <w:p w14:paraId="7E1BA713" w14:textId="77777777" w:rsidR="00E57DAA" w:rsidRDefault="00AC4185">
                <w:pPr>
                  <w:autoSpaceDE w:val="0"/>
                  <w:autoSpaceDN w:val="0"/>
                  <w:adjustRightInd w:val="0"/>
                  <w:ind w:firstLineChars="200" w:firstLine="420"/>
                  <w:rPr>
                    <w:szCs w:val="21"/>
                  </w:rPr>
                </w:pPr>
                <w:r>
                  <w:rPr>
                    <w:rFonts w:hint="eastAsia"/>
                    <w:szCs w:val="21"/>
                  </w:rPr>
                  <w:t>提取职工奖福基金</w:t>
                </w:r>
              </w:p>
            </w:tc>
            <w:tc>
              <w:tcPr>
                <w:tcW w:w="1561" w:type="pct"/>
                <w:vAlign w:val="center"/>
              </w:tcPr>
              <w:p w14:paraId="05E5860F" w14:textId="77777777" w:rsidR="00E57DAA" w:rsidRDefault="00AC4185">
                <w:pPr>
                  <w:ind w:right="6"/>
                  <w:jc w:val="right"/>
                  <w:rPr>
                    <w:szCs w:val="21"/>
                  </w:rPr>
                </w:pPr>
                <w:r>
                  <w:t>2,500,000.00</w:t>
                </w:r>
              </w:p>
            </w:tc>
            <w:tc>
              <w:tcPr>
                <w:tcW w:w="1512" w:type="pct"/>
                <w:vAlign w:val="center"/>
              </w:tcPr>
              <w:p w14:paraId="51548E31" w14:textId="77777777" w:rsidR="00E57DAA" w:rsidRDefault="00AC4185">
                <w:pPr>
                  <w:ind w:right="6"/>
                  <w:jc w:val="right"/>
                  <w:rPr>
                    <w:szCs w:val="21"/>
                  </w:rPr>
                </w:pPr>
                <w:r>
                  <w:t>2,740,000.00</w:t>
                </w:r>
              </w:p>
            </w:tc>
          </w:tr>
        </w:sdtContent>
      </w:sdt>
      <w:sdt>
        <w:sdtPr>
          <w:rPr>
            <w:rFonts w:hint="eastAsia"/>
            <w:szCs w:val="21"/>
          </w:rPr>
          <w:alias w:val="本期其他利润分配"/>
          <w:tag w:val="_TUP_9c08dab1f601442f9635f5bc53591d1f"/>
          <w:id w:val="-346792808"/>
        </w:sdtPr>
        <w:sdtEndPr/>
        <w:sdtContent>
          <w:tr w:rsidR="00E57DAA" w14:paraId="291BA5CE" w14:textId="77777777">
            <w:trPr>
              <w:cantSplit/>
            </w:trPr>
            <w:tc>
              <w:tcPr>
                <w:tcW w:w="1927" w:type="pct"/>
              </w:tcPr>
              <w:p w14:paraId="2D25774B" w14:textId="77777777" w:rsidR="00E57DAA" w:rsidRDefault="00AC4185">
                <w:pPr>
                  <w:autoSpaceDE w:val="0"/>
                  <w:autoSpaceDN w:val="0"/>
                  <w:adjustRightInd w:val="0"/>
                  <w:rPr>
                    <w:szCs w:val="21"/>
                  </w:rPr>
                </w:pPr>
                <w:r>
                  <w:rPr>
                    <w:rFonts w:hint="eastAsia"/>
                    <w:szCs w:val="21"/>
                  </w:rPr>
                  <w:t>其他减少</w:t>
                </w:r>
              </w:p>
            </w:tc>
            <w:tc>
              <w:tcPr>
                <w:tcW w:w="1561" w:type="pct"/>
                <w:vAlign w:val="center"/>
              </w:tcPr>
              <w:p w14:paraId="115E358A" w14:textId="77777777" w:rsidR="00E57DAA" w:rsidRDefault="00E57DAA">
                <w:pPr>
                  <w:ind w:right="6"/>
                  <w:jc w:val="right"/>
                  <w:rPr>
                    <w:szCs w:val="21"/>
                  </w:rPr>
                </w:pPr>
              </w:p>
            </w:tc>
            <w:tc>
              <w:tcPr>
                <w:tcW w:w="1512" w:type="pct"/>
                <w:vAlign w:val="center"/>
              </w:tcPr>
              <w:p w14:paraId="6638B8EF" w14:textId="77777777" w:rsidR="00E57DAA" w:rsidRDefault="00AC4185">
                <w:pPr>
                  <w:ind w:right="6"/>
                  <w:jc w:val="right"/>
                  <w:rPr>
                    <w:szCs w:val="21"/>
                  </w:rPr>
                </w:pPr>
                <w:r>
                  <w:rPr>
                    <w:szCs w:val="21"/>
                  </w:rPr>
                  <w:t>140,643.67</w:t>
                </w:r>
              </w:p>
            </w:tc>
          </w:tr>
        </w:sdtContent>
      </w:sdt>
      <w:tr w:rsidR="00E57DAA" w14:paraId="0046F18D" w14:textId="77777777">
        <w:trPr>
          <w:cantSplit/>
        </w:trPr>
        <w:sdt>
          <w:sdtPr>
            <w:tag w:val="_PLD_d7d3f7cba9bf4a16a498b0ccb214564d"/>
            <w:id w:val="-1826431397"/>
          </w:sdtPr>
          <w:sdtEndPr/>
          <w:sdtContent>
            <w:tc>
              <w:tcPr>
                <w:tcW w:w="1927" w:type="pct"/>
              </w:tcPr>
              <w:p w14:paraId="24B4A8C7" w14:textId="77777777" w:rsidR="00E57DAA" w:rsidRDefault="00AC4185">
                <w:pPr>
                  <w:autoSpaceDE w:val="0"/>
                  <w:autoSpaceDN w:val="0"/>
                  <w:adjustRightInd w:val="0"/>
                  <w:rPr>
                    <w:szCs w:val="21"/>
                  </w:rPr>
                </w:pPr>
                <w:r>
                  <w:rPr>
                    <w:rFonts w:hint="eastAsia"/>
                    <w:szCs w:val="21"/>
                  </w:rPr>
                  <w:t>期末未分配利润</w:t>
                </w:r>
              </w:p>
            </w:tc>
          </w:sdtContent>
        </w:sdt>
        <w:tc>
          <w:tcPr>
            <w:tcW w:w="1561" w:type="pct"/>
            <w:vAlign w:val="center"/>
          </w:tcPr>
          <w:p w14:paraId="41BBA512" w14:textId="77777777" w:rsidR="00E57DAA" w:rsidRDefault="00AC4185">
            <w:pPr>
              <w:jc w:val="right"/>
              <w:rPr>
                <w:szCs w:val="21"/>
              </w:rPr>
            </w:pPr>
            <w:r>
              <w:rPr>
                <w:rFonts w:hint="eastAsia"/>
              </w:rPr>
              <w:t>15,112,040,090.93</w:t>
            </w:r>
          </w:p>
        </w:tc>
        <w:tc>
          <w:tcPr>
            <w:tcW w:w="1512" w:type="pct"/>
            <w:vAlign w:val="center"/>
          </w:tcPr>
          <w:p w14:paraId="56B88804" w14:textId="77777777" w:rsidR="00E57DAA" w:rsidRDefault="00AC4185">
            <w:pPr>
              <w:ind w:right="6"/>
              <w:jc w:val="right"/>
              <w:rPr>
                <w:szCs w:val="21"/>
              </w:rPr>
            </w:pPr>
            <w:r>
              <w:rPr>
                <w:rFonts w:hint="eastAsia"/>
                <w:szCs w:val="21"/>
              </w:rPr>
              <w:t>13,077,801,169.02</w:t>
            </w:r>
          </w:p>
        </w:tc>
      </w:tr>
    </w:tbl>
    <w:p w14:paraId="3CAD5782" w14:textId="77777777" w:rsidR="00E57DAA" w:rsidRDefault="00E57DAA">
      <w:pPr>
        <w:rPr>
          <w:szCs w:val="21"/>
        </w:rPr>
      </w:pPr>
    </w:p>
    <w:p w14:paraId="6102F34A" w14:textId="77777777" w:rsidR="00E57DAA" w:rsidRDefault="00AC4185" w:rsidP="00C25422">
      <w:pPr>
        <w:pStyle w:val="91"/>
        <w:numPr>
          <w:ilvl w:val="0"/>
          <w:numId w:val="69"/>
        </w:numPr>
      </w:pPr>
      <w:r>
        <w:t>营业</w:t>
      </w:r>
      <w:r>
        <w:rPr>
          <w:rFonts w:ascii="宋体" w:hAnsi="宋体"/>
        </w:rPr>
        <w:t>收入</w:t>
      </w:r>
      <w:r>
        <w:t>和营业成本</w:t>
      </w:r>
    </w:p>
    <w:p w14:paraId="493C36AC" w14:textId="77777777" w:rsidR="00E57DAA" w:rsidRDefault="00AC4185">
      <w:pPr>
        <w:pStyle w:val="4"/>
        <w:numPr>
          <w:ilvl w:val="0"/>
          <w:numId w:val="103"/>
        </w:numPr>
        <w:ind w:left="426" w:hanging="426"/>
      </w:pPr>
      <w:r>
        <w:rPr>
          <w:rFonts w:hint="eastAsia"/>
        </w:rPr>
        <w:t>营业收入和营业成本情况</w:t>
      </w:r>
    </w:p>
    <w:sdt>
      <w:sdtPr>
        <w:alias w:val="是否适用：营业收入和营业成本[双击切换]"/>
        <w:tag w:val="_GBC_c0388196e3634afc823f4b5822c5937a"/>
        <w:id w:val="-1304686840"/>
        <w:placeholder>
          <w:docPart w:val="GBC22222222222222222222222222222"/>
        </w:placeholder>
      </w:sdtPr>
      <w:sdtEndPr/>
      <w:sdtContent>
        <w:p w14:paraId="260A47B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6D17A8" w14:textId="77777777" w:rsidR="00E57DAA" w:rsidRDefault="00AC4185">
      <w:pPr>
        <w:jc w:val="right"/>
        <w:rPr>
          <w:szCs w:val="21"/>
        </w:rPr>
      </w:pPr>
      <w:r>
        <w:rPr>
          <w:rFonts w:hint="eastAsia"/>
          <w:bCs/>
          <w:szCs w:val="21"/>
        </w:rPr>
        <w:t>单位：</w:t>
      </w:r>
      <w:sdt>
        <w:sdtPr>
          <w:rPr>
            <w:rFonts w:hint="eastAsia"/>
            <w:bCs/>
            <w:szCs w:val="21"/>
          </w:rPr>
          <w:alias w:val="单位：财务附注：营业收入"/>
          <w:tag w:val="_GBC_65cadde8ae1e4b178e7f2737b89bb434"/>
          <w:id w:val="-5220961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474604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2001"/>
        <w:gridCol w:w="2001"/>
        <w:gridCol w:w="2001"/>
        <w:gridCol w:w="2001"/>
      </w:tblGrid>
      <w:tr w:rsidR="00E57DAA" w14:paraId="40821B15" w14:textId="77777777">
        <w:sdt>
          <w:sdtPr>
            <w:tag w:val="_PLD_77e8683f75cd4c9e919404e1278fe9a0"/>
            <w:id w:val="485206073"/>
          </w:sdtPr>
          <w:sdtEnd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3B317760" w14:textId="77777777" w:rsidR="00E57DAA" w:rsidRDefault="00AC4185">
                <w:pPr>
                  <w:jc w:val="center"/>
                  <w:rPr>
                    <w:szCs w:val="21"/>
                  </w:rPr>
                </w:pPr>
                <w:r>
                  <w:rPr>
                    <w:rFonts w:hint="eastAsia"/>
                    <w:szCs w:val="21"/>
                  </w:rPr>
                  <w:t>项目</w:t>
                </w:r>
              </w:p>
            </w:tc>
          </w:sdtContent>
        </w:sdt>
        <w:sdt>
          <w:sdtPr>
            <w:tag w:val="_PLD_e956f55a311f45a19dc3ce9396b931c9"/>
            <w:id w:val="-112135581"/>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BD74B7" w14:textId="77777777" w:rsidR="00E57DAA" w:rsidRDefault="00AC4185">
                <w:pPr>
                  <w:jc w:val="center"/>
                  <w:rPr>
                    <w:szCs w:val="21"/>
                  </w:rPr>
                </w:pPr>
                <w:r>
                  <w:rPr>
                    <w:rFonts w:hint="eastAsia"/>
                    <w:szCs w:val="21"/>
                  </w:rPr>
                  <w:t>本期发生额</w:t>
                </w:r>
              </w:p>
            </w:tc>
          </w:sdtContent>
        </w:sdt>
        <w:sdt>
          <w:sdtPr>
            <w:tag w:val="_PLD_d175a7df90684e2bbdccc1ba942f2760"/>
            <w:id w:val="929004794"/>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337E53" w14:textId="77777777" w:rsidR="00E57DAA" w:rsidRDefault="00AC4185">
                <w:pPr>
                  <w:jc w:val="center"/>
                  <w:rPr>
                    <w:szCs w:val="21"/>
                  </w:rPr>
                </w:pPr>
                <w:r>
                  <w:rPr>
                    <w:rFonts w:hint="eastAsia"/>
                    <w:szCs w:val="21"/>
                  </w:rPr>
                  <w:t>上期发生额</w:t>
                </w:r>
              </w:p>
            </w:tc>
          </w:sdtContent>
        </w:sdt>
      </w:tr>
      <w:tr w:rsidR="00E57DAA" w14:paraId="047A0EEA" w14:textId="77777777">
        <w:tc>
          <w:tcPr>
            <w:tcW w:w="805" w:type="pct"/>
            <w:vMerge/>
            <w:tcBorders>
              <w:left w:val="single" w:sz="4" w:space="0" w:color="auto"/>
              <w:bottom w:val="single" w:sz="4" w:space="0" w:color="auto"/>
              <w:right w:val="single" w:sz="4" w:space="0" w:color="auto"/>
            </w:tcBorders>
            <w:shd w:val="clear" w:color="auto" w:fill="auto"/>
          </w:tcPr>
          <w:p w14:paraId="5A55C1CE" w14:textId="77777777" w:rsidR="00E57DAA" w:rsidRDefault="00E57DAA">
            <w:pPr>
              <w:jc w:val="center"/>
              <w:rPr>
                <w:szCs w:val="21"/>
              </w:rPr>
            </w:pPr>
          </w:p>
        </w:tc>
        <w:sdt>
          <w:sdtPr>
            <w:tag w:val="_PLD_fe053e4bca564a1fbda44c85256ce067"/>
            <w:id w:val="-326745397"/>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26F8D920" w14:textId="77777777" w:rsidR="00E57DAA" w:rsidRDefault="00AC4185">
                <w:pPr>
                  <w:jc w:val="center"/>
                  <w:rPr>
                    <w:szCs w:val="21"/>
                  </w:rPr>
                </w:pPr>
                <w:r>
                  <w:rPr>
                    <w:rFonts w:hint="eastAsia"/>
                    <w:szCs w:val="21"/>
                  </w:rPr>
                  <w:t>收入</w:t>
                </w:r>
              </w:p>
            </w:tc>
          </w:sdtContent>
        </w:sdt>
        <w:sdt>
          <w:sdtPr>
            <w:tag w:val="_PLD_88be7d92d03d4168a79d4492be4a258c"/>
            <w:id w:val="-1437283246"/>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3AE5992" w14:textId="77777777" w:rsidR="00E57DAA" w:rsidRDefault="00AC4185">
                <w:pPr>
                  <w:jc w:val="center"/>
                  <w:rPr>
                    <w:szCs w:val="21"/>
                  </w:rPr>
                </w:pPr>
                <w:r>
                  <w:rPr>
                    <w:rFonts w:hint="eastAsia"/>
                    <w:szCs w:val="21"/>
                  </w:rPr>
                  <w:t>成本</w:t>
                </w:r>
              </w:p>
            </w:tc>
          </w:sdtContent>
        </w:sdt>
        <w:sdt>
          <w:sdtPr>
            <w:tag w:val="_PLD_5ba4682bc5644bc38c4b795c78508b1f"/>
            <w:id w:val="-595247050"/>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2AF11AD" w14:textId="77777777" w:rsidR="00E57DAA" w:rsidRDefault="00AC4185">
                <w:pPr>
                  <w:jc w:val="center"/>
                  <w:rPr>
                    <w:szCs w:val="21"/>
                  </w:rPr>
                </w:pPr>
                <w:r>
                  <w:rPr>
                    <w:rFonts w:hint="eastAsia"/>
                    <w:szCs w:val="21"/>
                  </w:rPr>
                  <w:t>收入</w:t>
                </w:r>
              </w:p>
            </w:tc>
          </w:sdtContent>
        </w:sdt>
        <w:sdt>
          <w:sdtPr>
            <w:tag w:val="_PLD_94a3ede4ab834e37a20364f2c6897976"/>
            <w:id w:val="-1606497674"/>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145F94E" w14:textId="77777777" w:rsidR="00E57DAA" w:rsidRDefault="00AC4185">
                <w:pPr>
                  <w:jc w:val="center"/>
                  <w:rPr>
                    <w:szCs w:val="21"/>
                  </w:rPr>
                </w:pPr>
                <w:r>
                  <w:rPr>
                    <w:rFonts w:hint="eastAsia"/>
                    <w:szCs w:val="21"/>
                  </w:rPr>
                  <w:t>成本</w:t>
                </w:r>
              </w:p>
            </w:tc>
          </w:sdtContent>
        </w:sdt>
      </w:tr>
      <w:tr w:rsidR="00E57DAA" w14:paraId="20782414" w14:textId="77777777">
        <w:tc>
          <w:tcPr>
            <w:tcW w:w="805" w:type="pct"/>
            <w:tcBorders>
              <w:top w:val="single" w:sz="4" w:space="0" w:color="auto"/>
              <w:left w:val="single" w:sz="4" w:space="0" w:color="auto"/>
              <w:bottom w:val="single" w:sz="4" w:space="0" w:color="auto"/>
              <w:right w:val="single" w:sz="4" w:space="0" w:color="auto"/>
            </w:tcBorders>
            <w:shd w:val="clear" w:color="auto" w:fill="auto"/>
          </w:tcPr>
          <w:p w14:paraId="599AD7DC" w14:textId="77777777" w:rsidR="00E57DAA" w:rsidRDefault="00AC4185">
            <w:pPr>
              <w:rPr>
                <w:szCs w:val="21"/>
              </w:rPr>
            </w:pPr>
            <w:r>
              <w:rPr>
                <w:rFonts w:hint="eastAsia"/>
                <w:szCs w:val="21"/>
              </w:rPr>
              <w:t>主营业务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2457FD3F" w14:textId="77777777" w:rsidR="00E57DAA" w:rsidRDefault="00AC4185">
            <w:pPr>
              <w:jc w:val="right"/>
              <w:rPr>
                <w:szCs w:val="21"/>
              </w:rPr>
            </w:pPr>
            <w:r>
              <w:t>45,581,767,765.84</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E9B2A0F" w14:textId="77777777" w:rsidR="00E57DAA" w:rsidRDefault="00AC4185">
            <w:pPr>
              <w:jc w:val="right"/>
              <w:rPr>
                <w:szCs w:val="21"/>
              </w:rPr>
            </w:pPr>
            <w:r>
              <w:t>36,788,784,442.00</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1A968EE" w14:textId="77777777" w:rsidR="00E57DAA" w:rsidRDefault="00AC4185">
            <w:pPr>
              <w:jc w:val="right"/>
              <w:rPr>
                <w:szCs w:val="21"/>
              </w:rPr>
            </w:pPr>
            <w:r>
              <w:t>42,553,596,885.57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B2B2004" w14:textId="77777777" w:rsidR="00E57DAA" w:rsidRDefault="00AC4185">
            <w:pPr>
              <w:jc w:val="right"/>
              <w:rPr>
                <w:szCs w:val="21"/>
              </w:rPr>
            </w:pPr>
            <w:r>
              <w:t>35,244,195,676.70</w:t>
            </w:r>
          </w:p>
        </w:tc>
      </w:tr>
      <w:tr w:rsidR="00E57DAA" w14:paraId="2876F9DB" w14:textId="77777777">
        <w:tc>
          <w:tcPr>
            <w:tcW w:w="805" w:type="pct"/>
            <w:tcBorders>
              <w:top w:val="single" w:sz="4" w:space="0" w:color="auto"/>
              <w:left w:val="single" w:sz="4" w:space="0" w:color="auto"/>
              <w:bottom w:val="single" w:sz="4" w:space="0" w:color="auto"/>
              <w:right w:val="single" w:sz="4" w:space="0" w:color="auto"/>
            </w:tcBorders>
            <w:shd w:val="clear" w:color="auto" w:fill="auto"/>
          </w:tcPr>
          <w:p w14:paraId="3C0CE46A" w14:textId="77777777" w:rsidR="00E57DAA" w:rsidRDefault="00AC4185">
            <w:pPr>
              <w:rPr>
                <w:szCs w:val="21"/>
              </w:rPr>
            </w:pPr>
            <w:r>
              <w:rPr>
                <w:rFonts w:hint="eastAsia"/>
                <w:szCs w:val="21"/>
              </w:rPr>
              <w:t>其他业务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55A3857B" w14:textId="77777777" w:rsidR="00E57DAA" w:rsidRDefault="00AC4185">
            <w:pPr>
              <w:jc w:val="right"/>
              <w:rPr>
                <w:szCs w:val="21"/>
              </w:rPr>
            </w:pPr>
            <w:r>
              <w:t>217,076,410.59</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D44AAC1" w14:textId="77777777" w:rsidR="00E57DAA" w:rsidRDefault="00AC4185">
            <w:pPr>
              <w:jc w:val="right"/>
              <w:rPr>
                <w:szCs w:val="21"/>
              </w:rPr>
            </w:pPr>
            <w:r>
              <w:t>111,600,720.97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E579D9B" w14:textId="77777777" w:rsidR="00E57DAA" w:rsidRDefault="00AC4185">
            <w:pPr>
              <w:jc w:val="right"/>
              <w:rPr>
                <w:szCs w:val="21"/>
              </w:rPr>
            </w:pPr>
            <w:r>
              <w:t>272,161,127.17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24627F1" w14:textId="77777777" w:rsidR="00E57DAA" w:rsidRDefault="00AC4185">
            <w:pPr>
              <w:jc w:val="right"/>
              <w:rPr>
                <w:szCs w:val="21"/>
              </w:rPr>
            </w:pPr>
            <w:r>
              <w:t>156,008,496.21</w:t>
            </w:r>
          </w:p>
        </w:tc>
      </w:tr>
      <w:tr w:rsidR="00E57DAA" w14:paraId="5E809086" w14:textId="77777777">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775C0DF6" w14:textId="77777777" w:rsidR="00E57DAA" w:rsidRDefault="00AC4185">
            <w:pPr>
              <w:jc w:val="center"/>
              <w:rPr>
                <w:szCs w:val="21"/>
              </w:rPr>
            </w:pPr>
            <w:r>
              <w:rPr>
                <w:rFonts w:hint="eastAsia"/>
                <w:szCs w:val="21"/>
              </w:rPr>
              <w:t>合计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21909A8B" w14:textId="77777777" w:rsidR="00E57DAA" w:rsidRDefault="00AC4185">
            <w:pPr>
              <w:jc w:val="right"/>
              <w:rPr>
                <w:szCs w:val="21"/>
              </w:rPr>
            </w:pPr>
            <w:r>
              <w:t>45,798,844,176.43</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38589DB" w14:textId="77777777" w:rsidR="00E57DAA" w:rsidRDefault="00AC4185">
            <w:pPr>
              <w:jc w:val="right"/>
              <w:rPr>
                <w:szCs w:val="21"/>
              </w:rPr>
            </w:pPr>
            <w:r>
              <w:t>36,900,385,162.97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5067BB5" w14:textId="77777777" w:rsidR="00E57DAA" w:rsidRDefault="00AC4185">
            <w:pPr>
              <w:jc w:val="right"/>
              <w:rPr>
                <w:szCs w:val="21"/>
              </w:rPr>
            </w:pPr>
            <w:r>
              <w:t>42,825,758,012.74</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4C4D734" w14:textId="77777777" w:rsidR="00E57DAA" w:rsidRDefault="00AC4185">
            <w:pPr>
              <w:jc w:val="right"/>
              <w:rPr>
                <w:szCs w:val="21"/>
              </w:rPr>
            </w:pPr>
            <w:r>
              <w:t>35,400,204,172.91</w:t>
            </w:r>
          </w:p>
        </w:tc>
      </w:tr>
    </w:tbl>
    <w:p w14:paraId="05354C16" w14:textId="77777777" w:rsidR="00E57DAA" w:rsidRDefault="00E57DAA" w:rsidP="00C25422">
      <w:pPr>
        <w:pStyle w:val="92"/>
      </w:pPr>
    </w:p>
    <w:p w14:paraId="68B48E94" w14:textId="77777777" w:rsidR="00E57DAA" w:rsidRDefault="00E57DAA" w:rsidP="00C25422">
      <w:pPr>
        <w:pStyle w:val="92"/>
      </w:pPr>
    </w:p>
    <w:p w14:paraId="71CEB282" w14:textId="77777777" w:rsidR="00E57DAA" w:rsidRDefault="00E57DAA">
      <w:pPr>
        <w:sectPr w:rsidR="00E57DAA" w:rsidSect="00226547">
          <w:pgSz w:w="11906" w:h="16838"/>
          <w:pgMar w:top="1440" w:right="1797" w:bottom="1525" w:left="1276" w:header="856" w:footer="992" w:gutter="0"/>
          <w:cols w:space="425"/>
          <w:docGrid w:linePitch="312"/>
        </w:sectPr>
      </w:pPr>
    </w:p>
    <w:p w14:paraId="21A310E7" w14:textId="77777777" w:rsidR="00E57DAA" w:rsidRDefault="00E57DAA" w:rsidP="00C25422">
      <w:pPr>
        <w:pStyle w:val="92"/>
      </w:pPr>
    </w:p>
    <w:sdt>
      <w:sdtPr>
        <w:rPr>
          <w:rFonts w:ascii="宋体" w:eastAsia="宋体" w:hAnsi="宋体" w:cs="宋体" w:hint="eastAsia"/>
          <w:b w:val="0"/>
          <w:bCs w:val="0"/>
          <w:kern w:val="0"/>
          <w:sz w:val="20"/>
          <w:szCs w:val="24"/>
        </w:rPr>
        <w:alias w:val="模块:合同产生的收入的情况"/>
        <w:tag w:val="_SEC_020e88e24a604d8684cb34b724e2379b"/>
        <w:id w:val="-247042037"/>
        <w:placeholder>
          <w:docPart w:val="GBC22222222222222222222222222222"/>
        </w:placeholder>
      </w:sdtPr>
      <w:sdtEndPr>
        <w:rPr>
          <w:rFonts w:hint="default"/>
        </w:rPr>
      </w:sdtEndPr>
      <w:sdtContent>
        <w:p w14:paraId="07CC2226" w14:textId="77777777" w:rsidR="00E57DAA" w:rsidRDefault="00AC4185">
          <w:pPr>
            <w:pStyle w:val="4"/>
            <w:numPr>
              <w:ilvl w:val="0"/>
              <w:numId w:val="103"/>
            </w:numPr>
            <w:ind w:left="426" w:hanging="426"/>
          </w:pPr>
          <w:r>
            <w:rPr>
              <w:rFonts w:hint="eastAsia"/>
            </w:rPr>
            <w:t>营业收入、营业成本的分解信息</w:t>
          </w:r>
          <w:r>
            <w:t xml:space="preserve"> </w:t>
          </w:r>
        </w:p>
        <w:sdt>
          <w:sdtPr>
            <w:alias w:val="是否适用：营业收入、营业成本的分解信息 [双击切换]"/>
            <w:tag w:val="_GBC_9ca3964974eb4c71856442f0683fa140"/>
            <w:id w:val="-2027243129"/>
            <w:placeholder>
              <w:docPart w:val="GBC22222222222222222222222222222"/>
            </w:placeholder>
          </w:sdtPr>
          <w:sdtEndPr/>
          <w:sdtContent>
            <w:p w14:paraId="3D46B012" w14:textId="77777777" w:rsidR="00E57DAA" w:rsidRDefault="00AC4185" w:rsidP="00C25422">
              <w:pPr>
                <w:pStyle w:val="73"/>
                <w:ind w:firstLine="40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5BDD7914" w14:textId="77777777" w:rsidR="00E57DAA" w:rsidRDefault="00AC4185" w:rsidP="00C25422">
          <w:pPr>
            <w:pStyle w:val="73"/>
            <w:ind w:firstLine="400"/>
          </w:pPr>
          <w:r>
            <w:rPr>
              <w:rFonts w:hint="eastAsia"/>
            </w:rPr>
            <w:t>单位：</w:t>
          </w:r>
          <w:sdt>
            <w:sdtPr>
              <w:rPr>
                <w:rFonts w:hint="eastAsia"/>
              </w:rPr>
              <w:alias w:val="单位：营业收入、营业成本的分解信息 "/>
              <w:tag w:val="_GBC_712aadfd959247489c16d4246880bfef"/>
              <w:id w:val="-4221899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营业收入、营业成本的分解信息 "/>
              <w:tag w:val="_GBC_ca9b26593dbf458b829ac632033cd724"/>
              <w:id w:val="9703252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1"/>
            <w:gridCol w:w="3822"/>
          </w:tblGrid>
          <w:tr w:rsidR="00E57DAA" w14:paraId="2981A893" w14:textId="77777777">
            <w:sdt>
              <w:sdtPr>
                <w:rPr>
                  <w:rFonts w:hint="eastAsia"/>
                  <w:szCs w:val="21"/>
                </w:rPr>
                <w:tag w:val="_PLD_0e9269f20e6e4b7f8a6a8c59b9077225"/>
                <w:id w:val="-147750643"/>
              </w:sdtPr>
              <w:sdtEndPr/>
              <w:sdtContent>
                <w:tc>
                  <w:tcPr>
                    <w:tcW w:w="2834" w:type="pct"/>
                    <w:vMerge w:val="restart"/>
                    <w:tcBorders>
                      <w:top w:val="single" w:sz="4" w:space="0" w:color="auto"/>
                      <w:left w:val="single" w:sz="4" w:space="0" w:color="auto"/>
                      <w:right w:val="single" w:sz="4" w:space="0" w:color="auto"/>
                    </w:tcBorders>
                    <w:shd w:val="clear" w:color="auto" w:fill="auto"/>
                    <w:vAlign w:val="center"/>
                  </w:tcPr>
                  <w:p w14:paraId="5A7AEC99" w14:textId="77777777" w:rsidR="00E57DAA" w:rsidRDefault="00AC4185">
                    <w:pPr>
                      <w:jc w:val="center"/>
                      <w:rPr>
                        <w:szCs w:val="21"/>
                      </w:rPr>
                    </w:pPr>
                    <w:r>
                      <w:rPr>
                        <w:rFonts w:hint="eastAsia"/>
                        <w:szCs w:val="21"/>
                      </w:rPr>
                      <w:t>合同分类</w:t>
                    </w:r>
                  </w:p>
                </w:tc>
              </w:sdtContent>
            </w:sdt>
            <w:sdt>
              <w:sdtPr>
                <w:rPr>
                  <w:rFonts w:hint="eastAsia"/>
                  <w:szCs w:val="21"/>
                </w:rPr>
                <w:tag w:val="_PLD_4c617eb15d544d45ba3090cf4fb369da"/>
                <w:id w:val="494071712"/>
              </w:sdt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38D39ED8" w14:textId="77777777" w:rsidR="00E57DAA" w:rsidRDefault="00AC4185">
                    <w:pPr>
                      <w:jc w:val="center"/>
                      <w:rPr>
                        <w:szCs w:val="21"/>
                      </w:rPr>
                    </w:pPr>
                    <w:r>
                      <w:rPr>
                        <w:rFonts w:hint="eastAsia"/>
                        <w:szCs w:val="21"/>
                      </w:rPr>
                      <w:t>合计</w:t>
                    </w:r>
                  </w:p>
                </w:tc>
              </w:sdtContent>
            </w:sdt>
          </w:tr>
          <w:tr w:rsidR="00E57DAA" w14:paraId="5C56F712" w14:textId="77777777">
            <w:tc>
              <w:tcPr>
                <w:tcW w:w="2834" w:type="pct"/>
                <w:vMerge/>
                <w:tcBorders>
                  <w:left w:val="single" w:sz="4" w:space="0" w:color="auto"/>
                  <w:bottom w:val="single" w:sz="4" w:space="0" w:color="auto"/>
                  <w:right w:val="single" w:sz="4" w:space="0" w:color="auto"/>
                </w:tcBorders>
                <w:shd w:val="clear" w:color="auto" w:fill="auto"/>
              </w:tcPr>
              <w:p w14:paraId="6E2CDCA7" w14:textId="77777777" w:rsidR="00E57DAA" w:rsidRDefault="00E57DAA">
                <w:pPr>
                  <w:jc w:val="center"/>
                  <w:rPr>
                    <w:szCs w:val="21"/>
                  </w:rPr>
                </w:pPr>
              </w:p>
            </w:tc>
            <w:sdt>
              <w:sdtPr>
                <w:rPr>
                  <w:rFonts w:hint="eastAsia"/>
                  <w:szCs w:val="21"/>
                </w:rPr>
                <w:tag w:val="_PLD_63400df9f177476bb0975376f62b78b9"/>
                <w:id w:val="22062096"/>
              </w:sdt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4A19D6EC" w14:textId="77777777" w:rsidR="00E57DAA" w:rsidRDefault="00AC4185">
                    <w:pPr>
                      <w:jc w:val="center"/>
                      <w:rPr>
                        <w:szCs w:val="21"/>
                      </w:rPr>
                    </w:pPr>
                    <w:r>
                      <w:rPr>
                        <w:rFonts w:hint="eastAsia"/>
                        <w:szCs w:val="21"/>
                      </w:rPr>
                      <w:t>营业收入</w:t>
                    </w:r>
                  </w:p>
                </w:tc>
              </w:sdtContent>
            </w:sdt>
          </w:tr>
          <w:tr w:rsidR="00E57DAA" w14:paraId="21DA2387"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0F51577E" w14:textId="77777777" w:rsidR="00E57DAA" w:rsidRDefault="00AC4185">
                <w:pPr>
                  <w:rPr>
                    <w:szCs w:val="21"/>
                  </w:rPr>
                </w:pPr>
                <w:r>
                  <w:rPr>
                    <w:rFonts w:hint="eastAsia"/>
                    <w:szCs w:val="21"/>
                  </w:rPr>
                  <w:t>商品类型</w:t>
                </w:r>
              </w:p>
            </w:tc>
            <w:tc>
              <w:tcPr>
                <w:tcW w:w="2166" w:type="pct"/>
                <w:tcBorders>
                  <w:top w:val="single" w:sz="4" w:space="0" w:color="auto"/>
                  <w:left w:val="single" w:sz="4" w:space="0" w:color="auto"/>
                  <w:bottom w:val="single" w:sz="4" w:space="0" w:color="auto"/>
                  <w:right w:val="single" w:sz="4" w:space="0" w:color="auto"/>
                </w:tcBorders>
              </w:tcPr>
              <w:p w14:paraId="3E962A1B" w14:textId="77777777" w:rsidR="00E57DAA" w:rsidRDefault="00AC4185">
                <w:pPr>
                  <w:jc w:val="right"/>
                  <w:rPr>
                    <w:szCs w:val="21"/>
                  </w:rPr>
                </w:pPr>
                <w:r>
                  <w:rPr>
                    <w:rFonts w:hint="eastAsia"/>
                  </w:rPr>
                  <w:t xml:space="preserve">　</w:t>
                </w:r>
              </w:p>
            </w:tc>
          </w:tr>
          <w:tr w:rsidR="00E57DAA" w14:paraId="2ED676B1"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4891C417" w14:textId="77777777" w:rsidR="00E57DAA" w:rsidRDefault="00AC4185">
                <w:pPr>
                  <w:ind w:firstLineChars="200" w:firstLine="420"/>
                  <w:rPr>
                    <w:szCs w:val="21"/>
                  </w:rPr>
                </w:pPr>
                <w:r>
                  <w:rPr>
                    <w:rFonts w:hint="eastAsia"/>
                  </w:rPr>
                  <w:t>一、工程技术服务</w:t>
                </w:r>
              </w:p>
            </w:tc>
            <w:tc>
              <w:tcPr>
                <w:tcW w:w="2166" w:type="pct"/>
                <w:tcBorders>
                  <w:top w:val="single" w:sz="4" w:space="0" w:color="auto"/>
                  <w:left w:val="single" w:sz="4" w:space="0" w:color="auto"/>
                  <w:bottom w:val="single" w:sz="4" w:space="0" w:color="auto"/>
                  <w:right w:val="single" w:sz="4" w:space="0" w:color="auto"/>
                </w:tcBorders>
                <w:vAlign w:val="center"/>
              </w:tcPr>
              <w:p w14:paraId="1B1C7C3A" w14:textId="77777777" w:rsidR="00E57DAA" w:rsidRDefault="00AC4185">
                <w:pPr>
                  <w:jc w:val="right"/>
                  <w:rPr>
                    <w:szCs w:val="21"/>
                  </w:rPr>
                </w:pPr>
                <w:r>
                  <w:t>26,664,944,327.67</w:t>
                </w:r>
              </w:p>
            </w:tc>
          </w:tr>
          <w:tr w:rsidR="00E57DAA" w14:paraId="2A207F0A"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749431EC" w14:textId="77777777" w:rsidR="00E57DAA" w:rsidRDefault="00AC4185">
                <w:pPr>
                  <w:ind w:firstLineChars="200" w:firstLine="420"/>
                  <w:rPr>
                    <w:szCs w:val="21"/>
                  </w:rPr>
                </w:pPr>
                <w:r>
                  <w:rPr>
                    <w:rFonts w:hint="eastAsia"/>
                  </w:rPr>
                  <w:t>二、高端装备制造</w:t>
                </w:r>
              </w:p>
            </w:tc>
            <w:tc>
              <w:tcPr>
                <w:tcW w:w="2166" w:type="pct"/>
                <w:tcBorders>
                  <w:top w:val="single" w:sz="4" w:space="0" w:color="auto"/>
                  <w:left w:val="single" w:sz="4" w:space="0" w:color="auto"/>
                  <w:bottom w:val="single" w:sz="4" w:space="0" w:color="auto"/>
                  <w:right w:val="single" w:sz="4" w:space="0" w:color="auto"/>
                </w:tcBorders>
                <w:vAlign w:val="center"/>
              </w:tcPr>
              <w:p w14:paraId="744C31D4" w14:textId="77777777" w:rsidR="00E57DAA" w:rsidRDefault="00AC4185">
                <w:pPr>
                  <w:jc w:val="right"/>
                  <w:rPr>
                    <w:szCs w:val="21"/>
                  </w:rPr>
                </w:pPr>
                <w:r>
                  <w:t>6,382,899,462.16</w:t>
                </w:r>
              </w:p>
            </w:tc>
          </w:tr>
          <w:tr w:rsidR="00E57DAA" w14:paraId="612A0CAD"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3BB66133" w14:textId="77777777" w:rsidR="00E57DAA" w:rsidRDefault="00AC4185">
                <w:pPr>
                  <w:ind w:firstLineChars="200" w:firstLine="420"/>
                  <w:rPr>
                    <w:szCs w:val="21"/>
                  </w:rPr>
                </w:pPr>
                <w:r>
                  <w:rPr>
                    <w:rFonts w:hint="eastAsia"/>
                  </w:rPr>
                  <w:t>三、生产运营服务</w:t>
                </w:r>
              </w:p>
            </w:tc>
            <w:tc>
              <w:tcPr>
                <w:tcW w:w="2166" w:type="pct"/>
                <w:tcBorders>
                  <w:top w:val="single" w:sz="4" w:space="0" w:color="auto"/>
                  <w:left w:val="single" w:sz="4" w:space="0" w:color="auto"/>
                  <w:bottom w:val="single" w:sz="4" w:space="0" w:color="auto"/>
                  <w:right w:val="single" w:sz="4" w:space="0" w:color="auto"/>
                </w:tcBorders>
                <w:vAlign w:val="center"/>
              </w:tcPr>
              <w:p w14:paraId="5EBBAEB4" w14:textId="77777777" w:rsidR="00E57DAA" w:rsidRDefault="00AC4185">
                <w:pPr>
                  <w:jc w:val="right"/>
                  <w:rPr>
                    <w:szCs w:val="21"/>
                  </w:rPr>
                </w:pPr>
                <w:r>
                  <w:t>10,517,998,965.88</w:t>
                </w:r>
              </w:p>
            </w:tc>
          </w:tr>
          <w:tr w:rsidR="00E57DAA" w14:paraId="0A8CEB15"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25352829" w14:textId="77777777" w:rsidR="00E57DAA" w:rsidRDefault="00AC4185">
                <w:pPr>
                  <w:ind w:firstLineChars="200" w:firstLine="420"/>
                  <w:rPr>
                    <w:szCs w:val="21"/>
                  </w:rPr>
                </w:pPr>
                <w:r>
                  <w:rPr>
                    <w:rFonts w:hint="eastAsia"/>
                  </w:rPr>
                  <w:t>四、其他</w:t>
                </w:r>
              </w:p>
            </w:tc>
            <w:tc>
              <w:tcPr>
                <w:tcW w:w="2166" w:type="pct"/>
                <w:tcBorders>
                  <w:top w:val="single" w:sz="4" w:space="0" w:color="auto"/>
                  <w:left w:val="single" w:sz="4" w:space="0" w:color="auto"/>
                  <w:bottom w:val="single" w:sz="4" w:space="0" w:color="auto"/>
                  <w:right w:val="single" w:sz="4" w:space="0" w:color="auto"/>
                </w:tcBorders>
                <w:vAlign w:val="center"/>
              </w:tcPr>
              <w:p w14:paraId="0352622C" w14:textId="77777777" w:rsidR="00E57DAA" w:rsidRDefault="00AC4185">
                <w:pPr>
                  <w:jc w:val="right"/>
                  <w:rPr>
                    <w:szCs w:val="21"/>
                  </w:rPr>
                </w:pPr>
                <w:r>
                  <w:t>2,015,925,010.13</w:t>
                </w:r>
              </w:p>
            </w:tc>
          </w:tr>
          <w:tr w:rsidR="00E57DAA" w14:paraId="41418266" w14:textId="77777777">
            <w:tc>
              <w:tcPr>
                <w:tcW w:w="2834" w:type="pct"/>
                <w:tcBorders>
                  <w:top w:val="single" w:sz="4" w:space="0" w:color="auto"/>
                  <w:left w:val="single" w:sz="4" w:space="0" w:color="auto"/>
                  <w:bottom w:val="single" w:sz="4" w:space="0" w:color="auto"/>
                  <w:right w:val="single" w:sz="4" w:space="0" w:color="auto"/>
                </w:tcBorders>
                <w:shd w:val="clear" w:color="auto" w:fill="auto"/>
              </w:tcPr>
              <w:p w14:paraId="5B2347D7" w14:textId="77777777" w:rsidR="00E57DAA" w:rsidRDefault="00AC4185">
                <w:pPr>
                  <w:jc w:val="center"/>
                  <w:rPr>
                    <w:szCs w:val="21"/>
                  </w:rPr>
                </w:pPr>
                <w:r>
                  <w:rPr>
                    <w:rFonts w:hint="eastAsia"/>
                    <w:szCs w:val="21"/>
                  </w:rPr>
                  <w:t>合计</w:t>
                </w:r>
              </w:p>
            </w:tc>
            <w:tc>
              <w:tcPr>
                <w:tcW w:w="2166" w:type="pct"/>
                <w:tcBorders>
                  <w:top w:val="single" w:sz="4" w:space="0" w:color="auto"/>
                  <w:left w:val="single" w:sz="4" w:space="0" w:color="auto"/>
                  <w:bottom w:val="single" w:sz="4" w:space="0" w:color="auto"/>
                  <w:right w:val="single" w:sz="4" w:space="0" w:color="auto"/>
                </w:tcBorders>
                <w:vAlign w:val="center"/>
              </w:tcPr>
              <w:p w14:paraId="7387F150" w14:textId="77777777" w:rsidR="00E57DAA" w:rsidRDefault="00AC4185">
                <w:pPr>
                  <w:jc w:val="right"/>
                  <w:rPr>
                    <w:szCs w:val="21"/>
                  </w:rPr>
                </w:pPr>
                <w:r>
                  <w:t>45,581,767,765.84</w:t>
                </w:r>
              </w:p>
            </w:tc>
          </w:tr>
        </w:tbl>
        <w:p w14:paraId="0934521C" w14:textId="77777777" w:rsidR="00E57DAA" w:rsidRDefault="00E57DAA" w:rsidP="00C25422">
          <w:pPr>
            <w:pStyle w:val="92"/>
          </w:pPr>
        </w:p>
        <w:p w14:paraId="373EA17D" w14:textId="77777777" w:rsidR="00E57DAA" w:rsidRDefault="00AC4185" w:rsidP="00C25422">
          <w:pPr>
            <w:pStyle w:val="92"/>
          </w:pPr>
          <w:r>
            <w:rPr>
              <w:rFonts w:hint="eastAsia"/>
            </w:rPr>
            <w:t>其他说明</w:t>
          </w:r>
        </w:p>
        <w:sdt>
          <w:sdtPr>
            <w:alias w:val="是否适用：营业收入、营业成本的分解信息说明 [双击切换]"/>
            <w:tag w:val="_GBC_f134aa472e8b45f8af819092314ab743"/>
            <w:id w:val="1391841573"/>
            <w:placeholder>
              <w:docPart w:val="GBC22222222222222222222222222222"/>
            </w:placeholder>
          </w:sdtPr>
          <w:sdtEndPr/>
          <w:sdtContent>
            <w:p w14:paraId="78C5FD6A" w14:textId="77777777" w:rsidR="00E57DAA" w:rsidRDefault="00AC4185">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97D6DF" w14:textId="77777777" w:rsidR="00E57DAA" w:rsidRDefault="00EB41A1" w:rsidP="00C25422">
          <w:pPr>
            <w:pStyle w:val="92"/>
          </w:pPr>
        </w:p>
      </w:sdtContent>
    </w:sdt>
    <w:p w14:paraId="021B2386" w14:textId="77777777" w:rsidR="00E57DAA" w:rsidRDefault="00AC4185">
      <w:pPr>
        <w:pStyle w:val="4"/>
        <w:numPr>
          <w:ilvl w:val="0"/>
          <w:numId w:val="103"/>
        </w:numPr>
        <w:ind w:left="426" w:hanging="426"/>
      </w:pPr>
      <w:r>
        <w:rPr>
          <w:rFonts w:hint="eastAsia"/>
        </w:rPr>
        <w:t>履约义务的说明</w:t>
      </w:r>
    </w:p>
    <w:bookmarkStart w:id="298" w:name="_Hlk533670431" w:displacedByCustomXml="next"/>
    <w:sdt>
      <w:sdtPr>
        <w:alias w:val="是否适用：履约义务的说明[双击切换]"/>
        <w:tag w:val="_GBC_2bcc2970f5df4fc982ad2497089d8292"/>
        <w:id w:val="-1519694108"/>
        <w:placeholder>
          <w:docPart w:val="GBC22222222222222222222222222222"/>
        </w:placeholder>
      </w:sdtPr>
      <w:sdtEndPr/>
      <w:sdtContent>
        <w:p w14:paraId="662E7E7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98"/>
    <w:p w14:paraId="20B7145F" w14:textId="77777777" w:rsidR="00E57DAA" w:rsidRDefault="00E57DAA" w:rsidP="00C25422">
      <w:pPr>
        <w:pStyle w:val="92"/>
      </w:pPr>
    </w:p>
    <w:p w14:paraId="2A954945" w14:textId="77777777" w:rsidR="00E57DAA" w:rsidRDefault="00AC4185">
      <w:pPr>
        <w:pStyle w:val="4"/>
        <w:numPr>
          <w:ilvl w:val="0"/>
          <w:numId w:val="103"/>
        </w:numPr>
        <w:ind w:left="426" w:hanging="426"/>
      </w:pPr>
      <w:r>
        <w:rPr>
          <w:rFonts w:hint="eastAsia"/>
        </w:rPr>
        <w:t>分摊至剩余履约义务的说明</w:t>
      </w:r>
    </w:p>
    <w:bookmarkStart w:id="299" w:name="_Hlk533423938" w:displacedByCustomXml="next"/>
    <w:sdt>
      <w:sdtPr>
        <w:alias w:val="是否适用：分摊至剩余履约义务的说明[双击切换]"/>
        <w:tag w:val="_GBC_67defaacf38a42549a2ed747c0fdb075"/>
        <w:id w:val="-625536398"/>
        <w:placeholder>
          <w:docPart w:val="GBC22222222222222222222222222222"/>
        </w:placeholder>
      </w:sdtPr>
      <w:sdtEndPr/>
      <w:sdtContent>
        <w:p w14:paraId="3C289DDB"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3CA077" w14:textId="77777777" w:rsidR="00E57DAA" w:rsidRDefault="00E57DAA">
      <w:pPr>
        <w:rPr>
          <w:szCs w:val="21"/>
        </w:rPr>
      </w:pPr>
    </w:p>
    <w:bookmarkEnd w:id="299"/>
    <w:p w14:paraId="19E4E121" w14:textId="77777777" w:rsidR="00E57DAA" w:rsidRDefault="00AC4185">
      <w:pPr>
        <w:pStyle w:val="4"/>
        <w:numPr>
          <w:ilvl w:val="0"/>
          <w:numId w:val="103"/>
        </w:numPr>
        <w:ind w:left="426" w:hanging="426"/>
      </w:pPr>
      <w:r>
        <w:rPr>
          <w:rFonts w:hint="eastAsia"/>
        </w:rPr>
        <w:t>重大合同变更或重大交易价格调整</w:t>
      </w:r>
    </w:p>
    <w:sdt>
      <w:sdtPr>
        <w:alias w:val="是否适用：重大合同变更或重大交易价格调整[双击切换]"/>
        <w:tag w:val="_GBC_0445697eb8d6440497b15f440010cd1d"/>
        <w:id w:val="-648828438"/>
        <w:placeholder>
          <w:docPart w:val="GBC22222222222222222222222222222"/>
        </w:placeholder>
      </w:sdtPr>
      <w:sdtEndPr/>
      <w:sdtContent>
        <w:p w14:paraId="7C9D780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131BA8" w14:textId="77777777" w:rsidR="00E57DAA" w:rsidRDefault="00E57DAA">
      <w:pPr>
        <w:rPr>
          <w:szCs w:val="21"/>
        </w:rPr>
      </w:pPr>
    </w:p>
    <w:p w14:paraId="3818D7F8" w14:textId="77777777" w:rsidR="00E57DAA" w:rsidRDefault="00AC4185" w:rsidP="00C25422">
      <w:pPr>
        <w:pStyle w:val="91"/>
        <w:numPr>
          <w:ilvl w:val="0"/>
          <w:numId w:val="69"/>
        </w:numPr>
      </w:pPr>
      <w:r>
        <w:rPr>
          <w:rFonts w:hint="eastAsia"/>
        </w:rPr>
        <w:t>税金及附加</w:t>
      </w:r>
    </w:p>
    <w:sdt>
      <w:sdtPr>
        <w:alias w:val="是否适用：税金及附加[双击切换]"/>
        <w:tag w:val="_GBC_08eb9cdd2a3940549b0f2b47081f0a3d"/>
        <w:id w:val="-583075416"/>
        <w:placeholder>
          <w:docPart w:val="GBC22222222222222222222222222222"/>
        </w:placeholder>
      </w:sdtPr>
      <w:sdtEndPr/>
      <w:sdtContent>
        <w:p w14:paraId="2C221A1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34EB0E7" w14:textId="77777777" w:rsidR="00E57DAA" w:rsidRDefault="00AC4185">
      <w:pPr>
        <w:jc w:val="right"/>
        <w:rPr>
          <w:b/>
          <w:szCs w:val="21"/>
        </w:rPr>
      </w:pPr>
      <w:r>
        <w:rPr>
          <w:rFonts w:hint="eastAsia"/>
          <w:szCs w:val="21"/>
        </w:rPr>
        <w:t>单位：</w:t>
      </w:r>
      <w:sdt>
        <w:sdtPr>
          <w:rPr>
            <w:rFonts w:hint="eastAsia"/>
            <w:szCs w:val="21"/>
          </w:rPr>
          <w:alias w:val="单位：财务附注：税金及附加"/>
          <w:tag w:val="_GBC_6e5742d697d44a7dabc4411d4cd3c055"/>
          <w:id w:val="2936489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6042320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833"/>
        <w:gridCol w:w="2995"/>
        <w:gridCol w:w="2995"/>
      </w:tblGrid>
      <w:tr w:rsidR="00E57DAA" w14:paraId="1B27FF39" w14:textId="77777777">
        <w:sdt>
          <w:sdtPr>
            <w:tag w:val="_PLD_82dcdcc171754a7b940a70d1c7daa5c1"/>
            <w:id w:val="-376697441"/>
          </w:sdtPr>
          <w:sdtEndPr/>
          <w:sdtContent>
            <w:tc>
              <w:tcPr>
                <w:tcW w:w="1605" w:type="pct"/>
                <w:vAlign w:val="center"/>
              </w:tcPr>
              <w:p w14:paraId="6CE566A1"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463046168"/>
          </w:sdtPr>
          <w:sdtEndPr/>
          <w:sdtContent>
            <w:tc>
              <w:tcPr>
                <w:tcW w:w="1697" w:type="pct"/>
              </w:tcPr>
              <w:p w14:paraId="379F3117" w14:textId="77777777" w:rsidR="00E57DAA" w:rsidRDefault="00AC4185">
                <w:pPr>
                  <w:jc w:val="center"/>
                  <w:rPr>
                    <w:szCs w:val="21"/>
                  </w:rPr>
                </w:pPr>
                <w:r>
                  <w:rPr>
                    <w:rFonts w:hint="eastAsia"/>
                    <w:szCs w:val="21"/>
                  </w:rPr>
                  <w:t>本期发生额</w:t>
                </w:r>
              </w:p>
            </w:tc>
          </w:sdtContent>
        </w:sdt>
        <w:sdt>
          <w:sdtPr>
            <w:tag w:val="_PLD_5e944d291c9a4b0aab9f6558226d9112"/>
            <w:id w:val="244151561"/>
          </w:sdtPr>
          <w:sdtEndPr/>
          <w:sdtContent>
            <w:tc>
              <w:tcPr>
                <w:tcW w:w="1697" w:type="pct"/>
                <w:vAlign w:val="center"/>
              </w:tcPr>
              <w:p w14:paraId="712B09E8" w14:textId="77777777" w:rsidR="00E57DAA" w:rsidRDefault="00AC4185">
                <w:pPr>
                  <w:jc w:val="center"/>
                  <w:rPr>
                    <w:szCs w:val="21"/>
                  </w:rPr>
                </w:pPr>
                <w:r>
                  <w:rPr>
                    <w:rFonts w:hint="eastAsia"/>
                    <w:szCs w:val="21"/>
                  </w:rPr>
                  <w:t>上期发生额</w:t>
                </w:r>
              </w:p>
            </w:tc>
          </w:sdtContent>
        </w:sdt>
      </w:tr>
      <w:tr w:rsidR="00E57DAA" w14:paraId="6FDA4FC8" w14:textId="77777777">
        <w:tc>
          <w:tcPr>
            <w:tcW w:w="1605" w:type="pct"/>
            <w:vAlign w:val="center"/>
          </w:tcPr>
          <w:p w14:paraId="6876DD96" w14:textId="77777777" w:rsidR="00E57DAA" w:rsidRDefault="00AC4185">
            <w:pPr>
              <w:autoSpaceDE w:val="0"/>
              <w:autoSpaceDN w:val="0"/>
              <w:adjustRightInd w:val="0"/>
              <w:snapToGrid w:val="0"/>
              <w:spacing w:line="240" w:lineRule="atLeast"/>
              <w:rPr>
                <w:szCs w:val="21"/>
              </w:rPr>
            </w:pPr>
            <w:r>
              <w:rPr>
                <w:rFonts w:hint="eastAsia"/>
                <w:szCs w:val="21"/>
              </w:rPr>
              <w:t>城市维护建设税</w:t>
            </w:r>
          </w:p>
        </w:tc>
        <w:tc>
          <w:tcPr>
            <w:tcW w:w="1697" w:type="pct"/>
            <w:vAlign w:val="center"/>
          </w:tcPr>
          <w:p w14:paraId="331F9FF4" w14:textId="77777777" w:rsidR="00E57DAA" w:rsidRDefault="00AC4185">
            <w:pPr>
              <w:autoSpaceDE w:val="0"/>
              <w:autoSpaceDN w:val="0"/>
              <w:adjustRightInd w:val="0"/>
              <w:snapToGrid w:val="0"/>
              <w:spacing w:line="240" w:lineRule="atLeast"/>
              <w:jc w:val="right"/>
              <w:rPr>
                <w:szCs w:val="21"/>
              </w:rPr>
            </w:pPr>
            <w:r>
              <w:t>43,576,756.93</w:t>
            </w:r>
          </w:p>
        </w:tc>
        <w:tc>
          <w:tcPr>
            <w:tcW w:w="1697" w:type="pct"/>
            <w:vAlign w:val="center"/>
          </w:tcPr>
          <w:p w14:paraId="5F483306" w14:textId="77777777" w:rsidR="00E57DAA" w:rsidRDefault="00AC4185">
            <w:pPr>
              <w:jc w:val="right"/>
              <w:rPr>
                <w:szCs w:val="21"/>
              </w:rPr>
            </w:pPr>
            <w:r>
              <w:t>46,097,436.87</w:t>
            </w:r>
          </w:p>
        </w:tc>
      </w:tr>
      <w:tr w:rsidR="00E57DAA" w14:paraId="150424D9" w14:textId="77777777">
        <w:tc>
          <w:tcPr>
            <w:tcW w:w="1605" w:type="pct"/>
            <w:vAlign w:val="center"/>
          </w:tcPr>
          <w:p w14:paraId="2533AD5C" w14:textId="77777777" w:rsidR="00E57DAA" w:rsidRDefault="00AC4185">
            <w:pPr>
              <w:autoSpaceDE w:val="0"/>
              <w:autoSpaceDN w:val="0"/>
              <w:adjustRightInd w:val="0"/>
              <w:snapToGrid w:val="0"/>
              <w:spacing w:line="240" w:lineRule="atLeast"/>
              <w:rPr>
                <w:szCs w:val="21"/>
              </w:rPr>
            </w:pPr>
            <w:r>
              <w:rPr>
                <w:rFonts w:hint="eastAsia"/>
                <w:szCs w:val="21"/>
              </w:rPr>
              <w:t>教育费附加</w:t>
            </w:r>
          </w:p>
        </w:tc>
        <w:tc>
          <w:tcPr>
            <w:tcW w:w="1697" w:type="pct"/>
            <w:vAlign w:val="center"/>
          </w:tcPr>
          <w:p w14:paraId="4A8E6615" w14:textId="77777777" w:rsidR="00E57DAA" w:rsidRDefault="00AC4185">
            <w:pPr>
              <w:autoSpaceDE w:val="0"/>
              <w:autoSpaceDN w:val="0"/>
              <w:adjustRightInd w:val="0"/>
              <w:snapToGrid w:val="0"/>
              <w:spacing w:line="240" w:lineRule="atLeast"/>
              <w:jc w:val="right"/>
              <w:rPr>
                <w:szCs w:val="21"/>
              </w:rPr>
            </w:pPr>
            <w:r>
              <w:t>38,664,996.76</w:t>
            </w:r>
          </w:p>
        </w:tc>
        <w:tc>
          <w:tcPr>
            <w:tcW w:w="1697" w:type="pct"/>
            <w:vAlign w:val="center"/>
          </w:tcPr>
          <w:p w14:paraId="53EF0E4B" w14:textId="77777777" w:rsidR="00E57DAA" w:rsidRDefault="00AC4185">
            <w:pPr>
              <w:jc w:val="right"/>
              <w:rPr>
                <w:szCs w:val="21"/>
              </w:rPr>
            </w:pPr>
            <w:r>
              <w:t>38,655,822.87</w:t>
            </w:r>
          </w:p>
        </w:tc>
      </w:tr>
      <w:tr w:rsidR="00E57DAA" w14:paraId="5B846D11" w14:textId="77777777">
        <w:tc>
          <w:tcPr>
            <w:tcW w:w="1605" w:type="pct"/>
            <w:vAlign w:val="center"/>
          </w:tcPr>
          <w:p w14:paraId="5B0644E3" w14:textId="77777777" w:rsidR="00E57DAA" w:rsidRDefault="00AC4185">
            <w:pPr>
              <w:autoSpaceDE w:val="0"/>
              <w:autoSpaceDN w:val="0"/>
              <w:adjustRightInd w:val="0"/>
              <w:snapToGrid w:val="0"/>
              <w:spacing w:line="240" w:lineRule="atLeast"/>
              <w:rPr>
                <w:szCs w:val="21"/>
              </w:rPr>
            </w:pPr>
            <w:r>
              <w:rPr>
                <w:rFonts w:hint="eastAsia"/>
                <w:szCs w:val="21"/>
              </w:rPr>
              <w:t>资源税</w:t>
            </w:r>
          </w:p>
        </w:tc>
        <w:tc>
          <w:tcPr>
            <w:tcW w:w="1697" w:type="pct"/>
            <w:vAlign w:val="center"/>
          </w:tcPr>
          <w:p w14:paraId="1A8DB12D" w14:textId="77777777" w:rsidR="00E57DAA" w:rsidRDefault="00AC4185">
            <w:pPr>
              <w:autoSpaceDE w:val="0"/>
              <w:autoSpaceDN w:val="0"/>
              <w:adjustRightInd w:val="0"/>
              <w:snapToGrid w:val="0"/>
              <w:spacing w:line="240" w:lineRule="atLeast"/>
              <w:jc w:val="right"/>
              <w:rPr>
                <w:szCs w:val="21"/>
              </w:rPr>
            </w:pPr>
            <w:r>
              <w:t>21,589,034.93</w:t>
            </w:r>
          </w:p>
        </w:tc>
        <w:tc>
          <w:tcPr>
            <w:tcW w:w="1697" w:type="pct"/>
            <w:vAlign w:val="center"/>
          </w:tcPr>
          <w:p w14:paraId="48D2D6BA" w14:textId="77777777" w:rsidR="00E57DAA" w:rsidRDefault="00AC4185">
            <w:pPr>
              <w:jc w:val="right"/>
              <w:rPr>
                <w:szCs w:val="21"/>
              </w:rPr>
            </w:pPr>
            <w:r>
              <w:t>28,574,900.03</w:t>
            </w:r>
          </w:p>
        </w:tc>
      </w:tr>
      <w:tr w:rsidR="00E57DAA" w14:paraId="0A710881" w14:textId="77777777">
        <w:tc>
          <w:tcPr>
            <w:tcW w:w="1605" w:type="pct"/>
            <w:vAlign w:val="center"/>
          </w:tcPr>
          <w:p w14:paraId="02591AAB" w14:textId="77777777" w:rsidR="00E57DAA" w:rsidRDefault="00AC4185">
            <w:pPr>
              <w:autoSpaceDE w:val="0"/>
              <w:autoSpaceDN w:val="0"/>
              <w:adjustRightInd w:val="0"/>
              <w:snapToGrid w:val="0"/>
              <w:spacing w:line="240" w:lineRule="atLeast"/>
              <w:rPr>
                <w:szCs w:val="21"/>
              </w:rPr>
            </w:pPr>
            <w:r>
              <w:rPr>
                <w:rFonts w:hint="eastAsia"/>
              </w:rPr>
              <w:t>房产税</w:t>
            </w:r>
          </w:p>
        </w:tc>
        <w:tc>
          <w:tcPr>
            <w:tcW w:w="1697" w:type="pct"/>
            <w:vAlign w:val="center"/>
          </w:tcPr>
          <w:p w14:paraId="2F60BE68" w14:textId="77777777" w:rsidR="00E57DAA" w:rsidRDefault="00AC4185">
            <w:pPr>
              <w:autoSpaceDE w:val="0"/>
              <w:autoSpaceDN w:val="0"/>
              <w:adjustRightInd w:val="0"/>
              <w:snapToGrid w:val="0"/>
              <w:spacing w:line="240" w:lineRule="atLeast"/>
              <w:jc w:val="right"/>
              <w:rPr>
                <w:szCs w:val="21"/>
              </w:rPr>
            </w:pPr>
            <w:r>
              <w:t>43,558,760.54</w:t>
            </w:r>
          </w:p>
        </w:tc>
        <w:tc>
          <w:tcPr>
            <w:tcW w:w="1697" w:type="pct"/>
            <w:vAlign w:val="center"/>
          </w:tcPr>
          <w:p w14:paraId="2D755CAC" w14:textId="77777777" w:rsidR="00E57DAA" w:rsidRDefault="00AC4185">
            <w:pPr>
              <w:jc w:val="right"/>
              <w:rPr>
                <w:szCs w:val="21"/>
              </w:rPr>
            </w:pPr>
            <w:r>
              <w:t>27,450,575.97</w:t>
            </w:r>
          </w:p>
        </w:tc>
      </w:tr>
      <w:tr w:rsidR="00E57DAA" w14:paraId="4C69DBA4" w14:textId="77777777">
        <w:tc>
          <w:tcPr>
            <w:tcW w:w="1605" w:type="pct"/>
            <w:vAlign w:val="center"/>
          </w:tcPr>
          <w:p w14:paraId="2D60046C" w14:textId="77777777" w:rsidR="00E57DAA" w:rsidRDefault="00AC4185">
            <w:pPr>
              <w:autoSpaceDE w:val="0"/>
              <w:autoSpaceDN w:val="0"/>
              <w:adjustRightInd w:val="0"/>
              <w:snapToGrid w:val="0"/>
              <w:spacing w:line="240" w:lineRule="atLeast"/>
              <w:rPr>
                <w:szCs w:val="21"/>
              </w:rPr>
            </w:pPr>
            <w:r>
              <w:rPr>
                <w:rFonts w:hint="eastAsia"/>
              </w:rPr>
              <w:t>土地使用税</w:t>
            </w:r>
          </w:p>
        </w:tc>
        <w:tc>
          <w:tcPr>
            <w:tcW w:w="1697" w:type="pct"/>
            <w:vAlign w:val="center"/>
          </w:tcPr>
          <w:p w14:paraId="5796689E" w14:textId="77777777" w:rsidR="00E57DAA" w:rsidRDefault="00AC4185">
            <w:pPr>
              <w:autoSpaceDE w:val="0"/>
              <w:autoSpaceDN w:val="0"/>
              <w:adjustRightInd w:val="0"/>
              <w:snapToGrid w:val="0"/>
              <w:spacing w:line="240" w:lineRule="atLeast"/>
              <w:jc w:val="right"/>
              <w:rPr>
                <w:szCs w:val="21"/>
              </w:rPr>
            </w:pPr>
            <w:r>
              <w:t>18,984,865.31</w:t>
            </w:r>
          </w:p>
        </w:tc>
        <w:tc>
          <w:tcPr>
            <w:tcW w:w="1697" w:type="pct"/>
            <w:vAlign w:val="center"/>
          </w:tcPr>
          <w:p w14:paraId="403856E1" w14:textId="77777777" w:rsidR="00E57DAA" w:rsidRDefault="00AC4185">
            <w:pPr>
              <w:jc w:val="right"/>
              <w:rPr>
                <w:szCs w:val="21"/>
              </w:rPr>
            </w:pPr>
            <w:r>
              <w:t>16,146,878.70</w:t>
            </w:r>
          </w:p>
        </w:tc>
      </w:tr>
      <w:tr w:rsidR="00E57DAA" w14:paraId="5CE2C4EF" w14:textId="77777777">
        <w:tc>
          <w:tcPr>
            <w:tcW w:w="1605" w:type="pct"/>
            <w:vAlign w:val="center"/>
          </w:tcPr>
          <w:p w14:paraId="141BFD9E" w14:textId="77777777" w:rsidR="00E57DAA" w:rsidRDefault="00AC4185">
            <w:pPr>
              <w:autoSpaceDE w:val="0"/>
              <w:autoSpaceDN w:val="0"/>
              <w:adjustRightInd w:val="0"/>
              <w:snapToGrid w:val="0"/>
              <w:spacing w:line="240" w:lineRule="atLeast"/>
              <w:rPr>
                <w:szCs w:val="21"/>
              </w:rPr>
            </w:pPr>
            <w:r>
              <w:rPr>
                <w:rFonts w:hint="eastAsia"/>
              </w:rPr>
              <w:t>印花税</w:t>
            </w:r>
          </w:p>
        </w:tc>
        <w:tc>
          <w:tcPr>
            <w:tcW w:w="1697" w:type="pct"/>
            <w:vAlign w:val="center"/>
          </w:tcPr>
          <w:p w14:paraId="10DD647A" w14:textId="77777777" w:rsidR="00E57DAA" w:rsidRDefault="00AC4185">
            <w:pPr>
              <w:autoSpaceDE w:val="0"/>
              <w:autoSpaceDN w:val="0"/>
              <w:adjustRightInd w:val="0"/>
              <w:snapToGrid w:val="0"/>
              <w:spacing w:line="240" w:lineRule="atLeast"/>
              <w:jc w:val="right"/>
              <w:rPr>
                <w:szCs w:val="21"/>
              </w:rPr>
            </w:pPr>
            <w:r>
              <w:t>26,440,361.89</w:t>
            </w:r>
          </w:p>
        </w:tc>
        <w:tc>
          <w:tcPr>
            <w:tcW w:w="1697" w:type="pct"/>
            <w:vAlign w:val="center"/>
          </w:tcPr>
          <w:p w14:paraId="18645A24" w14:textId="77777777" w:rsidR="00E57DAA" w:rsidRDefault="00AC4185">
            <w:pPr>
              <w:jc w:val="right"/>
              <w:rPr>
                <w:szCs w:val="21"/>
              </w:rPr>
            </w:pPr>
            <w:r>
              <w:t>24,513,662.21</w:t>
            </w:r>
          </w:p>
        </w:tc>
      </w:tr>
      <w:tr w:rsidR="00E57DAA" w14:paraId="2C9BCCF5" w14:textId="77777777">
        <w:tc>
          <w:tcPr>
            <w:tcW w:w="1605" w:type="pct"/>
            <w:vAlign w:val="center"/>
          </w:tcPr>
          <w:p w14:paraId="02A9E4F6" w14:textId="77777777" w:rsidR="00E57DAA" w:rsidRDefault="00AC4185">
            <w:pPr>
              <w:autoSpaceDE w:val="0"/>
              <w:autoSpaceDN w:val="0"/>
              <w:adjustRightInd w:val="0"/>
              <w:snapToGrid w:val="0"/>
              <w:spacing w:line="240" w:lineRule="atLeast"/>
              <w:rPr>
                <w:szCs w:val="21"/>
              </w:rPr>
            </w:pPr>
            <w:r>
              <w:rPr>
                <w:rFonts w:hint="eastAsia"/>
                <w:szCs w:val="21"/>
              </w:rPr>
              <w:t>其他</w:t>
            </w:r>
          </w:p>
        </w:tc>
        <w:tc>
          <w:tcPr>
            <w:tcW w:w="1697" w:type="pct"/>
            <w:vAlign w:val="center"/>
          </w:tcPr>
          <w:p w14:paraId="4AC16691" w14:textId="77777777" w:rsidR="00E57DAA" w:rsidRDefault="00AC4185">
            <w:pPr>
              <w:autoSpaceDE w:val="0"/>
              <w:autoSpaceDN w:val="0"/>
              <w:adjustRightInd w:val="0"/>
              <w:snapToGrid w:val="0"/>
              <w:spacing w:line="240" w:lineRule="atLeast"/>
              <w:jc w:val="right"/>
              <w:rPr>
                <w:szCs w:val="21"/>
              </w:rPr>
            </w:pPr>
            <w:r>
              <w:t>27,900,268.84</w:t>
            </w:r>
          </w:p>
        </w:tc>
        <w:tc>
          <w:tcPr>
            <w:tcW w:w="1697" w:type="pct"/>
            <w:vAlign w:val="center"/>
          </w:tcPr>
          <w:p w14:paraId="7888A12A" w14:textId="77777777" w:rsidR="00E57DAA" w:rsidRDefault="00AC4185">
            <w:pPr>
              <w:jc w:val="right"/>
              <w:rPr>
                <w:szCs w:val="21"/>
              </w:rPr>
            </w:pPr>
            <w:r>
              <w:t>11,073,836.00</w:t>
            </w:r>
          </w:p>
        </w:tc>
      </w:tr>
      <w:tr w:rsidR="00E57DAA" w14:paraId="23EEFB1F" w14:textId="77777777">
        <w:tc>
          <w:tcPr>
            <w:tcW w:w="1605" w:type="pct"/>
            <w:vAlign w:val="center"/>
          </w:tcPr>
          <w:p w14:paraId="7012A0DA"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697" w:type="pct"/>
            <w:vAlign w:val="center"/>
          </w:tcPr>
          <w:p w14:paraId="15B1C0D6" w14:textId="77777777" w:rsidR="00E57DAA" w:rsidRDefault="00AC4185">
            <w:pPr>
              <w:autoSpaceDE w:val="0"/>
              <w:autoSpaceDN w:val="0"/>
              <w:adjustRightInd w:val="0"/>
              <w:snapToGrid w:val="0"/>
              <w:spacing w:line="240" w:lineRule="atLeast"/>
              <w:jc w:val="right"/>
              <w:rPr>
                <w:szCs w:val="21"/>
              </w:rPr>
            </w:pPr>
            <w:r>
              <w:rPr>
                <w:szCs w:val="21"/>
              </w:rPr>
              <w:t>220,715,045.20</w:t>
            </w:r>
          </w:p>
        </w:tc>
        <w:tc>
          <w:tcPr>
            <w:tcW w:w="1697" w:type="pct"/>
          </w:tcPr>
          <w:p w14:paraId="5F3F8C1C" w14:textId="77777777" w:rsidR="00E57DAA" w:rsidRDefault="00AC4185">
            <w:pPr>
              <w:jc w:val="right"/>
              <w:rPr>
                <w:szCs w:val="21"/>
              </w:rPr>
            </w:pPr>
            <w:r>
              <w:rPr>
                <w:szCs w:val="21"/>
              </w:rPr>
              <w:t>192,513,112.65</w:t>
            </w:r>
          </w:p>
        </w:tc>
      </w:tr>
    </w:tbl>
    <w:p w14:paraId="22248BC9" w14:textId="77777777" w:rsidR="00E57DAA" w:rsidRDefault="00E57DAA">
      <w:pPr>
        <w:rPr>
          <w:szCs w:val="21"/>
        </w:rPr>
      </w:pPr>
    </w:p>
    <w:p w14:paraId="6F136859" w14:textId="77777777" w:rsidR="00E57DAA" w:rsidRDefault="00AC4185" w:rsidP="00C25422">
      <w:pPr>
        <w:pStyle w:val="91"/>
        <w:numPr>
          <w:ilvl w:val="0"/>
          <w:numId w:val="69"/>
        </w:numPr>
      </w:pPr>
      <w:r>
        <w:rPr>
          <w:rFonts w:hint="eastAsia"/>
        </w:rPr>
        <w:t>销售费用</w:t>
      </w:r>
    </w:p>
    <w:sdt>
      <w:sdtPr>
        <w:alias w:val="是否适用：销售费用[双击切换]"/>
        <w:tag w:val="_GBC_1a0ad35d35924f068ce1b2a2dc02a25f"/>
        <w:id w:val="1022589442"/>
        <w:placeholder>
          <w:docPart w:val="GBC22222222222222222222222222222"/>
        </w:placeholder>
      </w:sdtPr>
      <w:sdtEndPr/>
      <w:sdtContent>
        <w:p w14:paraId="5696FF5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CF7550" w14:textId="77777777" w:rsidR="00E57DAA" w:rsidRDefault="00AC4185" w:rsidP="00C25422">
      <w:pPr>
        <w:pStyle w:val="73"/>
        <w:ind w:firstLine="400"/>
      </w:pPr>
      <w:r>
        <w:rPr>
          <w:rFonts w:hint="eastAsia"/>
        </w:rPr>
        <w:t>单位：</w:t>
      </w:r>
      <w:sdt>
        <w:sdtPr>
          <w:rPr>
            <w:rFonts w:hint="eastAsia"/>
          </w:rPr>
          <w:alias w:val="单位：销售费用"/>
          <w:tag w:val="_GBC_c5a59d97d8a94cda9b9fbd8a93ad19dc"/>
          <w:id w:val="-460694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销售费用"/>
          <w:tag w:val="_GBC_57a629bddf6343a1aebbefc90d9378b0"/>
          <w:id w:val="-21084986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9"/>
        <w:gridCol w:w="2788"/>
        <w:gridCol w:w="2786"/>
      </w:tblGrid>
      <w:tr w:rsidR="00E57DAA" w14:paraId="48CEC7E8" w14:textId="77777777">
        <w:sdt>
          <w:sdtPr>
            <w:tag w:val="_PLD_27c4bc503cfe4eafa415de62f182f2c1"/>
            <w:id w:val="-130249700"/>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6D478CC" w14:textId="77777777" w:rsidR="00E57DAA" w:rsidRDefault="00AC4185">
                <w:pPr>
                  <w:jc w:val="center"/>
                  <w:rPr>
                    <w:szCs w:val="21"/>
                  </w:rPr>
                </w:pPr>
                <w:r>
                  <w:rPr>
                    <w:rFonts w:hint="eastAsia"/>
                    <w:szCs w:val="21"/>
                  </w:rPr>
                  <w:t>项目</w:t>
                </w:r>
              </w:p>
            </w:tc>
          </w:sdtContent>
        </w:sdt>
        <w:sdt>
          <w:sdtPr>
            <w:tag w:val="_PLD_105cce5212fb42a182b1fd8e309ba67c"/>
            <w:id w:val="1627113311"/>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02AF1F7" w14:textId="77777777" w:rsidR="00E57DAA" w:rsidRDefault="00AC4185">
                <w:pPr>
                  <w:jc w:val="center"/>
                  <w:rPr>
                    <w:szCs w:val="21"/>
                  </w:rPr>
                </w:pPr>
                <w:r>
                  <w:rPr>
                    <w:rFonts w:hint="eastAsia"/>
                    <w:szCs w:val="21"/>
                  </w:rPr>
                  <w:t>本期发生额</w:t>
                </w:r>
              </w:p>
            </w:tc>
          </w:sdtContent>
        </w:sdt>
        <w:sdt>
          <w:sdtPr>
            <w:tag w:val="_PLD_5f148659054c4187a80f7bdffc9e9cde"/>
            <w:id w:val="-159782445"/>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A9171FD" w14:textId="77777777" w:rsidR="00E57DAA" w:rsidRDefault="00AC4185">
                <w:pPr>
                  <w:jc w:val="center"/>
                  <w:rPr>
                    <w:szCs w:val="21"/>
                  </w:rPr>
                </w:pPr>
                <w:r>
                  <w:rPr>
                    <w:rFonts w:hint="eastAsia"/>
                    <w:szCs w:val="21"/>
                  </w:rPr>
                  <w:t>上期发生额</w:t>
                </w:r>
              </w:p>
            </w:tc>
          </w:sdtContent>
        </w:sdt>
      </w:tr>
      <w:tr w:rsidR="00E57DAA" w14:paraId="3106B5E8"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FD7F6AF" w14:textId="77777777" w:rsidR="00E57DAA" w:rsidRDefault="00AC4185">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B1F6486" w14:textId="77777777" w:rsidR="00E57DAA" w:rsidRDefault="00AC4185">
            <w:pPr>
              <w:jc w:val="right"/>
              <w:rPr>
                <w:szCs w:val="21"/>
              </w:rPr>
            </w:pPr>
            <w:r>
              <w:t>268,000,234.20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E60576C" w14:textId="77777777" w:rsidR="00E57DAA" w:rsidRDefault="00AC4185">
            <w:pPr>
              <w:jc w:val="right"/>
              <w:rPr>
                <w:szCs w:val="21"/>
              </w:rPr>
            </w:pPr>
            <w:r>
              <w:t>293,636,665.17</w:t>
            </w:r>
          </w:p>
        </w:tc>
      </w:tr>
      <w:tr w:rsidR="00E57DAA" w14:paraId="502C2108"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97D5FCB" w14:textId="77777777" w:rsidR="00E57DAA" w:rsidRDefault="00AC4185">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9D0D8C6" w14:textId="77777777" w:rsidR="00E57DAA" w:rsidRDefault="00AC4185">
            <w:pPr>
              <w:jc w:val="right"/>
              <w:rPr>
                <w:szCs w:val="21"/>
              </w:rPr>
            </w:pPr>
            <w:r>
              <w:t>87,220,590.56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C18D83B" w14:textId="77777777" w:rsidR="00E57DAA" w:rsidRDefault="00AC4185">
            <w:pPr>
              <w:jc w:val="right"/>
              <w:rPr>
                <w:szCs w:val="21"/>
              </w:rPr>
            </w:pPr>
            <w:r>
              <w:t>41,976,625.97</w:t>
            </w:r>
          </w:p>
        </w:tc>
      </w:tr>
      <w:tr w:rsidR="00E57DAA" w14:paraId="5BA0A041"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7FC0254" w14:textId="77777777" w:rsidR="00E57DAA" w:rsidRDefault="00AC4185">
            <w:pPr>
              <w:rPr>
                <w:szCs w:val="21"/>
              </w:rPr>
            </w:pPr>
            <w:r>
              <w:t>产品质量保证</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9F222DD" w14:textId="77777777" w:rsidR="00E57DAA" w:rsidRDefault="00AC4185">
            <w:pPr>
              <w:jc w:val="right"/>
              <w:rPr>
                <w:szCs w:val="21"/>
              </w:rPr>
            </w:pPr>
            <w:r>
              <w:t>45,158,789.85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93043AA" w14:textId="77777777" w:rsidR="00E57DAA" w:rsidRDefault="00AC4185">
            <w:pPr>
              <w:jc w:val="right"/>
              <w:rPr>
                <w:szCs w:val="21"/>
              </w:rPr>
            </w:pPr>
            <w:r>
              <w:t>43,568,764.32</w:t>
            </w:r>
          </w:p>
        </w:tc>
      </w:tr>
      <w:tr w:rsidR="00E57DAA" w14:paraId="780F0BAF"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C30D31A" w14:textId="77777777" w:rsidR="00E57DAA" w:rsidRDefault="00AC4185">
            <w:pPr>
              <w:rPr>
                <w:szCs w:val="21"/>
              </w:rPr>
            </w:pPr>
            <w:r>
              <w:t>销售代理费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81F5F18" w14:textId="77777777" w:rsidR="00E57DAA" w:rsidRDefault="00AC4185">
            <w:pPr>
              <w:jc w:val="right"/>
              <w:rPr>
                <w:szCs w:val="21"/>
              </w:rPr>
            </w:pPr>
            <w:r>
              <w:t>29,101,497.30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68FDC9C" w14:textId="77777777" w:rsidR="00E57DAA" w:rsidRDefault="00AC4185">
            <w:pPr>
              <w:jc w:val="right"/>
              <w:rPr>
                <w:szCs w:val="21"/>
              </w:rPr>
            </w:pPr>
            <w:r>
              <w:t>24,620,304.81</w:t>
            </w:r>
          </w:p>
        </w:tc>
      </w:tr>
      <w:tr w:rsidR="00E57DAA" w14:paraId="5227266B"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4402F8F" w14:textId="77777777" w:rsidR="00E57DAA" w:rsidRDefault="00AC4185">
            <w:pPr>
              <w:rPr>
                <w:szCs w:val="21"/>
              </w:rPr>
            </w:pPr>
            <w:r>
              <w:t>劳务费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D6D6BDF" w14:textId="77777777" w:rsidR="00E57DAA" w:rsidRDefault="00AC4185">
            <w:pPr>
              <w:jc w:val="right"/>
              <w:rPr>
                <w:szCs w:val="21"/>
              </w:rPr>
            </w:pPr>
            <w:r>
              <w:t>17,820,634.33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9D02BA5" w14:textId="77777777" w:rsidR="00E57DAA" w:rsidRDefault="00AC4185">
            <w:pPr>
              <w:jc w:val="right"/>
              <w:rPr>
                <w:szCs w:val="21"/>
              </w:rPr>
            </w:pPr>
            <w:r>
              <w:t>15,732,117.09</w:t>
            </w:r>
          </w:p>
        </w:tc>
      </w:tr>
      <w:tr w:rsidR="00E57DAA" w14:paraId="2F186C2C"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2F9A9AB" w14:textId="77777777" w:rsidR="00E57DAA" w:rsidRDefault="00AC4185">
            <w:pPr>
              <w:rPr>
                <w:szCs w:val="21"/>
              </w:rPr>
            </w:pPr>
            <w:r>
              <w:lastRenderedPageBreak/>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EEED3F1" w14:textId="77777777" w:rsidR="00E57DAA" w:rsidRDefault="00AC4185">
            <w:pPr>
              <w:jc w:val="right"/>
              <w:rPr>
                <w:szCs w:val="21"/>
              </w:rPr>
            </w:pPr>
            <w:r>
              <w:t>23,708,312.02</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B45C80D" w14:textId="77777777" w:rsidR="00E57DAA" w:rsidRDefault="00AC4185">
            <w:pPr>
              <w:jc w:val="right"/>
              <w:rPr>
                <w:szCs w:val="21"/>
              </w:rPr>
            </w:pPr>
            <w:r>
              <w:t>20,800,022.76</w:t>
            </w:r>
          </w:p>
        </w:tc>
      </w:tr>
      <w:tr w:rsidR="00E57DAA" w14:paraId="5DD32EEE"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6FA9878" w14:textId="77777777" w:rsidR="00E57DAA" w:rsidRDefault="00AC4185">
            <w:pPr>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6B80E2E" w14:textId="77777777" w:rsidR="00E57DAA" w:rsidRDefault="00AC4185">
            <w:pPr>
              <w:jc w:val="right"/>
              <w:rPr>
                <w:szCs w:val="21"/>
              </w:rPr>
            </w:pPr>
            <w:r>
              <w:t>22,229,548.69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E04EBB4" w14:textId="77777777" w:rsidR="00E57DAA" w:rsidRDefault="00AC4185">
            <w:pPr>
              <w:jc w:val="right"/>
              <w:rPr>
                <w:szCs w:val="21"/>
              </w:rPr>
            </w:pPr>
            <w:r>
              <w:t>12,267,373.25</w:t>
            </w:r>
          </w:p>
        </w:tc>
      </w:tr>
      <w:tr w:rsidR="00E57DAA" w14:paraId="7C3109A0"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9BC58CD" w14:textId="77777777" w:rsidR="00E57DAA" w:rsidRDefault="00AC4185">
            <w:pPr>
              <w:rPr>
                <w:szCs w:val="21"/>
              </w:rPr>
            </w:pPr>
            <w:r>
              <w:t>广告费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9A75903" w14:textId="77777777" w:rsidR="00E57DAA" w:rsidRDefault="00AC4185">
            <w:pPr>
              <w:jc w:val="right"/>
              <w:rPr>
                <w:szCs w:val="21"/>
              </w:rPr>
            </w:pPr>
            <w:r>
              <w:t>17,517,706.14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40E85D5" w14:textId="77777777" w:rsidR="00E57DAA" w:rsidRDefault="00AC4185">
            <w:pPr>
              <w:jc w:val="right"/>
              <w:rPr>
                <w:szCs w:val="21"/>
              </w:rPr>
            </w:pPr>
            <w:r>
              <w:t>19,365,453.61</w:t>
            </w:r>
          </w:p>
        </w:tc>
      </w:tr>
      <w:tr w:rsidR="00E57DAA" w14:paraId="6A578697"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04B49BF" w14:textId="77777777" w:rsidR="00E57DAA" w:rsidRDefault="00AC4185">
            <w:pPr>
              <w:rPr>
                <w:szCs w:val="21"/>
              </w:rPr>
            </w:pPr>
            <w:r>
              <w:t>综合服务费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358D95C" w14:textId="77777777" w:rsidR="00E57DAA" w:rsidRDefault="00AC4185">
            <w:pPr>
              <w:jc w:val="right"/>
              <w:rPr>
                <w:szCs w:val="21"/>
              </w:rPr>
            </w:pPr>
            <w:r>
              <w:t>20,323,399.02</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297885F" w14:textId="77777777" w:rsidR="00E57DAA" w:rsidRDefault="00AC4185">
            <w:pPr>
              <w:jc w:val="right"/>
              <w:rPr>
                <w:szCs w:val="21"/>
              </w:rPr>
            </w:pPr>
            <w:r>
              <w:t>18,170,922.30</w:t>
            </w:r>
          </w:p>
        </w:tc>
      </w:tr>
      <w:tr w:rsidR="00E57DAA" w14:paraId="66F536C3"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AD34624" w14:textId="77777777" w:rsidR="00E57DAA" w:rsidRDefault="00AC4185">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636B383" w14:textId="77777777" w:rsidR="00E57DAA" w:rsidRDefault="00AC4185">
            <w:pPr>
              <w:jc w:val="right"/>
              <w:rPr>
                <w:szCs w:val="21"/>
              </w:rPr>
            </w:pPr>
            <w:r>
              <w:t>26,881,132.48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B9179AA" w14:textId="77777777" w:rsidR="00E57DAA" w:rsidRDefault="00AC4185">
            <w:pPr>
              <w:jc w:val="right"/>
              <w:rPr>
                <w:szCs w:val="21"/>
              </w:rPr>
            </w:pPr>
            <w:r>
              <w:t>19,257,574.06</w:t>
            </w:r>
          </w:p>
        </w:tc>
      </w:tr>
      <w:tr w:rsidR="00E57DAA" w14:paraId="6CE1E8C9" w14:textId="7777777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842C608" w14:textId="77777777" w:rsidR="00E57DAA" w:rsidRDefault="00AC4185">
            <w:pPr>
              <w:jc w:val="center"/>
              <w:rPr>
                <w:szCs w:val="21"/>
              </w:rPr>
            </w:pPr>
            <w:r>
              <w:rPr>
                <w:rFonts w:hint="eastAsia"/>
                <w:szCs w:val="21"/>
              </w:rPr>
              <w:t>合计</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4B41006" w14:textId="77777777" w:rsidR="00E57DAA" w:rsidRDefault="00AC4185">
            <w:pPr>
              <w:jc w:val="right"/>
              <w:rPr>
                <w:szCs w:val="21"/>
              </w:rPr>
            </w:pPr>
            <w:r>
              <w:t>557,961,844.59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AD79E54" w14:textId="77777777" w:rsidR="00E57DAA" w:rsidRDefault="00AC4185">
            <w:pPr>
              <w:jc w:val="right"/>
              <w:rPr>
                <w:szCs w:val="21"/>
              </w:rPr>
            </w:pPr>
            <w:r>
              <w:t>509,395,823.34</w:t>
            </w:r>
          </w:p>
        </w:tc>
      </w:tr>
    </w:tbl>
    <w:p w14:paraId="31AC52FE" w14:textId="77777777" w:rsidR="00E57DAA" w:rsidRDefault="00E57DAA" w:rsidP="00C25422">
      <w:pPr>
        <w:pStyle w:val="92"/>
      </w:pPr>
    </w:p>
    <w:p w14:paraId="3AF8AA5F" w14:textId="77777777" w:rsidR="00E57DAA" w:rsidRDefault="00E57DAA">
      <w:pPr>
        <w:rPr>
          <w:szCs w:val="21"/>
        </w:rPr>
      </w:pPr>
    </w:p>
    <w:p w14:paraId="70ACDF04" w14:textId="77777777" w:rsidR="00E57DAA" w:rsidRDefault="00AC4185" w:rsidP="00C25422">
      <w:pPr>
        <w:pStyle w:val="91"/>
        <w:numPr>
          <w:ilvl w:val="0"/>
          <w:numId w:val="69"/>
        </w:numPr>
      </w:pPr>
      <w:r>
        <w:rPr>
          <w:rFonts w:hint="eastAsia"/>
        </w:rPr>
        <w:t>管理费用</w:t>
      </w:r>
    </w:p>
    <w:sdt>
      <w:sdtPr>
        <w:alias w:val="是否适用：管理费用[双击切换]"/>
        <w:tag w:val="_GBC_b376fd9abaac4f3b8e5956b8dcd72faf"/>
        <w:id w:val="-1409990898"/>
        <w:placeholder>
          <w:docPart w:val="GBC22222222222222222222222222222"/>
        </w:placeholder>
      </w:sdtPr>
      <w:sdtEndPr/>
      <w:sdtContent>
        <w:p w14:paraId="32F49AD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E5ADE1" w14:textId="77777777" w:rsidR="00E57DAA" w:rsidRDefault="00AC4185">
      <w:pPr>
        <w:jc w:val="right"/>
      </w:pPr>
      <w:r>
        <w:rPr>
          <w:rFonts w:hint="eastAsia"/>
        </w:rPr>
        <w:t>单位：</w:t>
      </w:r>
      <w:sdt>
        <w:sdtPr>
          <w:rPr>
            <w:rFonts w:hint="eastAsia"/>
          </w:rPr>
          <w:alias w:val="单位：管理费用"/>
          <w:tag w:val="_GBC_73606f31bd404afb8bfe5aabe1a68278"/>
          <w:id w:val="11266583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1932362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E57DAA" w14:paraId="68A3C1EE" w14:textId="77777777">
        <w:sdt>
          <w:sdtPr>
            <w:tag w:val="_PLD_588268d9a550441d943c27cfc1105eb0"/>
            <w:id w:val="-992878350"/>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24C8746" w14:textId="77777777" w:rsidR="00E57DAA" w:rsidRDefault="00AC4185">
                <w:pPr>
                  <w:jc w:val="center"/>
                </w:pPr>
                <w:r>
                  <w:rPr>
                    <w:rFonts w:hint="eastAsia"/>
                  </w:rPr>
                  <w:t>项目</w:t>
                </w:r>
              </w:p>
            </w:tc>
          </w:sdtContent>
        </w:sdt>
        <w:sdt>
          <w:sdtPr>
            <w:tag w:val="_PLD_0e4f4d04bcb2408d8a5744ac90a1f89b"/>
            <w:id w:val="63770057"/>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CEE700F" w14:textId="77777777" w:rsidR="00E57DAA" w:rsidRDefault="00AC4185">
                <w:pPr>
                  <w:jc w:val="center"/>
                </w:pPr>
                <w:r>
                  <w:rPr>
                    <w:rFonts w:hint="eastAsia"/>
                  </w:rPr>
                  <w:t>本期发生额</w:t>
                </w:r>
              </w:p>
            </w:tc>
          </w:sdtContent>
        </w:sdt>
        <w:sdt>
          <w:sdtPr>
            <w:tag w:val="_PLD_6f1ab61237164c0db56540ae1980b62c"/>
            <w:id w:val="484674985"/>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24DAAF2" w14:textId="77777777" w:rsidR="00E57DAA" w:rsidRDefault="00AC4185">
                <w:pPr>
                  <w:jc w:val="center"/>
                </w:pPr>
                <w:r>
                  <w:rPr>
                    <w:rFonts w:hint="eastAsia"/>
                  </w:rPr>
                  <w:t>上期发生额</w:t>
                </w:r>
              </w:p>
            </w:tc>
          </w:sdtContent>
        </w:sdt>
      </w:tr>
      <w:tr w:rsidR="00E57DAA" w14:paraId="1FB8AD47"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D53B441" w14:textId="77777777" w:rsidR="00E57DAA" w:rsidRDefault="00AC4185" w:rsidP="00C25422">
            <w:pPr>
              <w:pStyle w:val="92"/>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F3717ED" w14:textId="77777777" w:rsidR="00E57DAA" w:rsidRDefault="00AC4185">
            <w:pPr>
              <w:jc w:val="right"/>
            </w:pPr>
            <w:r>
              <w:t>1,390,795,271.65</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F9DB1BE" w14:textId="77777777" w:rsidR="00E57DAA" w:rsidRDefault="00AC4185">
            <w:pPr>
              <w:jc w:val="right"/>
            </w:pPr>
            <w:r>
              <w:t>1,430,000,403.61</w:t>
            </w:r>
          </w:p>
        </w:tc>
      </w:tr>
      <w:tr w:rsidR="00E57DAA" w14:paraId="12F7542D"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ADC3BD0" w14:textId="77777777" w:rsidR="00E57DAA" w:rsidRDefault="00AC4185" w:rsidP="00C25422">
            <w:pPr>
              <w:pStyle w:val="92"/>
            </w:pPr>
            <w:r>
              <w:t>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EF44D3" w14:textId="77777777" w:rsidR="00E57DAA" w:rsidRDefault="00AC4185">
            <w:pPr>
              <w:jc w:val="right"/>
            </w:pPr>
            <w:r>
              <w:t>103,889,164.31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F301737" w14:textId="77777777" w:rsidR="00E57DAA" w:rsidRDefault="00AC4185">
            <w:pPr>
              <w:jc w:val="right"/>
            </w:pPr>
            <w:r>
              <w:t>76,203,324.40</w:t>
            </w:r>
          </w:p>
        </w:tc>
      </w:tr>
      <w:tr w:rsidR="00E57DAA" w14:paraId="07D3743B"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56508DB" w14:textId="77777777" w:rsidR="00E57DAA" w:rsidRDefault="00AC4185" w:rsidP="00C25422">
            <w:pPr>
              <w:pStyle w:val="92"/>
            </w:pPr>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011907B" w14:textId="77777777" w:rsidR="00E57DAA" w:rsidRDefault="00AC4185">
            <w:pPr>
              <w:jc w:val="right"/>
            </w:pPr>
            <w:r>
              <w:t>94,816,643.43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CE066C5" w14:textId="77777777" w:rsidR="00E57DAA" w:rsidRDefault="00AC4185">
            <w:pPr>
              <w:jc w:val="right"/>
            </w:pPr>
            <w:r>
              <w:t>84,707,213.18</w:t>
            </w:r>
          </w:p>
        </w:tc>
      </w:tr>
      <w:tr w:rsidR="00E57DAA" w14:paraId="69630C29"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1EA252" w14:textId="77777777" w:rsidR="00E57DAA" w:rsidRDefault="00AC4185" w:rsidP="00C25422">
            <w:pPr>
              <w:pStyle w:val="92"/>
            </w:pPr>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046080A" w14:textId="77777777" w:rsidR="00E57DAA" w:rsidRDefault="00AC4185">
            <w:pPr>
              <w:jc w:val="right"/>
            </w:pPr>
            <w:r>
              <w:t>74,878,021.62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AF692F" w14:textId="77777777" w:rsidR="00E57DAA" w:rsidRDefault="00AC4185">
            <w:pPr>
              <w:jc w:val="right"/>
            </w:pPr>
            <w:r>
              <w:t>67,452,696.15</w:t>
            </w:r>
          </w:p>
        </w:tc>
      </w:tr>
      <w:tr w:rsidR="00E57DAA" w14:paraId="6C45C9CE"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7D663CD" w14:textId="77777777" w:rsidR="00E57DAA" w:rsidRDefault="00AC4185" w:rsidP="00C25422">
            <w:pPr>
              <w:pStyle w:val="92"/>
            </w:pPr>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6BF8053" w14:textId="77777777" w:rsidR="00E57DAA" w:rsidRDefault="00AC4185">
            <w:pPr>
              <w:jc w:val="right"/>
            </w:pPr>
            <w:r>
              <w:t>80,899,484.15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AAA341" w14:textId="77777777" w:rsidR="00E57DAA" w:rsidRDefault="00AC4185">
            <w:pPr>
              <w:jc w:val="right"/>
            </w:pPr>
            <w:r>
              <w:t>49,564,360.84</w:t>
            </w:r>
          </w:p>
        </w:tc>
      </w:tr>
      <w:tr w:rsidR="00E57DAA" w14:paraId="68EE5EAC"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C5BD1D5" w14:textId="77777777" w:rsidR="00E57DAA" w:rsidRDefault="00AC4185" w:rsidP="00C25422">
            <w:pPr>
              <w:pStyle w:val="92"/>
            </w:pPr>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8DA4BA" w14:textId="77777777" w:rsidR="00E57DAA" w:rsidRDefault="00AC4185">
            <w:pPr>
              <w:jc w:val="right"/>
            </w:pPr>
            <w:r>
              <w:t>90,844,028.44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F5774B" w14:textId="77777777" w:rsidR="00E57DAA" w:rsidRDefault="00AC4185">
            <w:pPr>
              <w:jc w:val="right"/>
            </w:pPr>
            <w:r>
              <w:t>48,938,527.98</w:t>
            </w:r>
          </w:p>
        </w:tc>
      </w:tr>
      <w:tr w:rsidR="00E57DAA" w14:paraId="653982A6"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B2D1F1" w14:textId="77777777" w:rsidR="00E57DAA" w:rsidRDefault="00AC4185" w:rsidP="00C25422">
            <w:pPr>
              <w:pStyle w:val="92"/>
            </w:pPr>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2CBBC8" w14:textId="77777777" w:rsidR="00E57DAA" w:rsidRDefault="00AC4185">
            <w:pPr>
              <w:jc w:val="right"/>
            </w:pPr>
            <w:r>
              <w:t>71,680,183.14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2CA818" w14:textId="77777777" w:rsidR="00E57DAA" w:rsidRDefault="00AC4185">
            <w:pPr>
              <w:jc w:val="right"/>
            </w:pPr>
            <w:r>
              <w:t>59,646,122.69</w:t>
            </w:r>
          </w:p>
        </w:tc>
      </w:tr>
      <w:tr w:rsidR="00E57DAA" w14:paraId="35181280"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5603BA" w14:textId="77777777" w:rsidR="00E57DAA" w:rsidRDefault="00AC4185" w:rsidP="00C25422">
            <w:pPr>
              <w:pStyle w:val="92"/>
            </w:pPr>
            <w:r>
              <w:t>房租物业费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0D9E638" w14:textId="77777777" w:rsidR="00E57DAA" w:rsidRDefault="00AC4185">
            <w:pPr>
              <w:jc w:val="right"/>
            </w:pPr>
            <w:r>
              <w:t>63,394,014.23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261982F" w14:textId="77777777" w:rsidR="00E57DAA" w:rsidRDefault="00AC4185">
            <w:pPr>
              <w:jc w:val="right"/>
            </w:pPr>
            <w:r>
              <w:t>43,074,262.65</w:t>
            </w:r>
          </w:p>
        </w:tc>
      </w:tr>
      <w:tr w:rsidR="00E57DAA" w14:paraId="0E2FEE58"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8A8C1E" w14:textId="77777777" w:rsidR="00E57DAA" w:rsidRDefault="00AC4185" w:rsidP="00C25422">
            <w:pPr>
              <w:pStyle w:val="92"/>
            </w:pPr>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92E5004" w14:textId="77777777" w:rsidR="00E57DAA" w:rsidRDefault="00AC4185">
            <w:pPr>
              <w:jc w:val="right"/>
            </w:pPr>
            <w:r>
              <w:t>19,789,032.33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C05956" w14:textId="77777777" w:rsidR="00E57DAA" w:rsidRDefault="00AC4185">
            <w:pPr>
              <w:jc w:val="right"/>
            </w:pPr>
            <w:r>
              <w:t>14,725,222.36</w:t>
            </w:r>
          </w:p>
        </w:tc>
      </w:tr>
      <w:tr w:rsidR="00E57DAA" w14:paraId="784839D4"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D75EFD" w14:textId="77777777" w:rsidR="00E57DAA" w:rsidRDefault="00AC4185" w:rsidP="00C25422">
            <w:pPr>
              <w:pStyle w:val="92"/>
            </w:pPr>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463F284" w14:textId="77777777" w:rsidR="00E57DAA" w:rsidRDefault="00AC4185">
            <w:pPr>
              <w:jc w:val="right"/>
            </w:pPr>
            <w:r>
              <w:t>31,309,326.95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95B8D4A" w14:textId="77777777" w:rsidR="00E57DAA" w:rsidRDefault="00AC4185">
            <w:pPr>
              <w:jc w:val="right"/>
            </w:pPr>
            <w:r>
              <w:t>23,506,530.31</w:t>
            </w:r>
          </w:p>
        </w:tc>
      </w:tr>
      <w:tr w:rsidR="00E57DAA" w14:paraId="470317F5"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5DF7414" w14:textId="77777777" w:rsidR="00E57DAA" w:rsidRDefault="00AC4185" w:rsidP="00C25422">
            <w:pPr>
              <w:pStyle w:val="92"/>
            </w:pPr>
            <w:r>
              <w:t>党建工作经费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874D2B1" w14:textId="77777777" w:rsidR="00E57DAA" w:rsidRDefault="00AC4185">
            <w:pPr>
              <w:jc w:val="right"/>
            </w:pPr>
            <w:r>
              <w:t>11,639,018.54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4C3CFAD" w14:textId="77777777" w:rsidR="00E57DAA" w:rsidRDefault="00AC4185">
            <w:pPr>
              <w:jc w:val="right"/>
            </w:pPr>
            <w:r>
              <w:t>17,817,251.58</w:t>
            </w:r>
          </w:p>
        </w:tc>
      </w:tr>
      <w:tr w:rsidR="00E57DAA" w14:paraId="500BD875"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BAF25C" w14:textId="77777777" w:rsidR="00E57DAA" w:rsidRDefault="00AC4185" w:rsidP="00C25422">
            <w:pPr>
              <w:pStyle w:val="92"/>
            </w:pPr>
            <w:r>
              <w:t>股份支付</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AF0A3E5" w14:textId="77777777" w:rsidR="00E57DAA" w:rsidRDefault="00AC4185">
            <w:pPr>
              <w:jc w:val="right"/>
            </w:pPr>
            <w:r>
              <w:t>67,601,608.89</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CCC2DF4" w14:textId="77777777" w:rsidR="00E57DAA" w:rsidRDefault="00AC4185">
            <w:pPr>
              <w:jc w:val="right"/>
            </w:pPr>
            <w:r>
              <w:t>42,681,407.94</w:t>
            </w:r>
          </w:p>
        </w:tc>
      </w:tr>
      <w:tr w:rsidR="00E57DAA" w14:paraId="2A63D24F"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7BF324" w14:textId="77777777" w:rsidR="00E57DAA" w:rsidRDefault="00AC4185" w:rsidP="00C25422">
            <w:pPr>
              <w:pStyle w:val="92"/>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B2BA8D6" w14:textId="77777777" w:rsidR="00E57DAA" w:rsidRDefault="00AC4185">
            <w:pPr>
              <w:jc w:val="right"/>
            </w:pPr>
            <w:r>
              <w:t>63,354,649.26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4F8DDDB" w14:textId="77777777" w:rsidR="00E57DAA" w:rsidRDefault="00AC4185">
            <w:pPr>
              <w:jc w:val="right"/>
            </w:pPr>
            <w:r>
              <w:t>69,731,312.89</w:t>
            </w:r>
          </w:p>
        </w:tc>
      </w:tr>
      <w:tr w:rsidR="00E57DAA" w14:paraId="7B251713"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287D992" w14:textId="77777777" w:rsidR="00E57DAA" w:rsidRDefault="00AC4185">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0B28AB5" w14:textId="77777777" w:rsidR="00E57DAA" w:rsidRDefault="00AC4185">
            <w:pPr>
              <w:jc w:val="right"/>
            </w:pPr>
            <w:r>
              <w:t>2,164,890,446.94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C802556" w14:textId="77777777" w:rsidR="00E57DAA" w:rsidRDefault="00AC4185">
            <w:pPr>
              <w:jc w:val="right"/>
            </w:pPr>
            <w:r>
              <w:t>2,028,048,636.58</w:t>
            </w:r>
          </w:p>
        </w:tc>
      </w:tr>
    </w:tbl>
    <w:p w14:paraId="58F33501" w14:textId="77777777" w:rsidR="00E57DAA" w:rsidRDefault="00E57DAA" w:rsidP="00C25422">
      <w:pPr>
        <w:pStyle w:val="92"/>
      </w:pPr>
    </w:p>
    <w:p w14:paraId="05454002" w14:textId="77777777" w:rsidR="00E57DAA" w:rsidRDefault="00AC4185" w:rsidP="00C25422">
      <w:pPr>
        <w:pStyle w:val="91"/>
        <w:numPr>
          <w:ilvl w:val="0"/>
          <w:numId w:val="69"/>
        </w:numPr>
      </w:pPr>
      <w:r>
        <w:rPr>
          <w:rFonts w:hint="eastAsia"/>
        </w:rPr>
        <w:t>研发费用</w:t>
      </w:r>
    </w:p>
    <w:bookmarkStart w:id="300" w:name="_Hlk532912714" w:displacedByCustomXml="next"/>
    <w:bookmarkStart w:id="301" w:name="_Hlk155098459" w:displacedByCustomXml="next"/>
    <w:sdt>
      <w:sdtPr>
        <w:rPr>
          <w:szCs w:val="21"/>
        </w:rPr>
        <w:alias w:val="是否适用：研发费用[双击切换]"/>
        <w:tag w:val="_GBC_9898510b9c0a486f9cd9779f4b72b75c"/>
        <w:id w:val="-301935632"/>
        <w:placeholder>
          <w:docPart w:val="GBC22222222222222222222222222222"/>
        </w:placeholder>
      </w:sdtPr>
      <w:sdtEndPr/>
      <w:sdtContent>
        <w:p w14:paraId="4CB53BA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BD8473" w14:textId="77777777" w:rsidR="00E57DAA" w:rsidRDefault="00AC4185" w:rsidP="00C25422">
      <w:pPr>
        <w:pStyle w:val="73"/>
        <w:ind w:firstLine="400"/>
      </w:pPr>
      <w:r>
        <w:rPr>
          <w:rFonts w:hint="eastAsia"/>
        </w:rPr>
        <w:t>单位：</w:t>
      </w:r>
      <w:sdt>
        <w:sdtPr>
          <w:rPr>
            <w:rFonts w:hint="eastAsia"/>
          </w:rPr>
          <w:alias w:val="单位：研发费用"/>
          <w:tag w:val="_GBC_f2389528805243908680cac1cbf74aac"/>
          <w:id w:val="166530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研发费用"/>
          <w:tag w:val="_GBC_fd53f958c2294dce9fb017f8207a7ff4"/>
          <w:id w:val="20280531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E57DAA" w14:paraId="1348A3DB" w14:textId="77777777">
        <w:sdt>
          <w:sdtPr>
            <w:tag w:val="_PLD_70c22a459f7a4323bcf2b066e0398aee"/>
            <w:id w:val="-2144104396"/>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48F1E60" w14:textId="77777777" w:rsidR="00E57DAA" w:rsidRDefault="00AC4185">
                <w:pPr>
                  <w:jc w:val="center"/>
                  <w:rPr>
                    <w:szCs w:val="21"/>
                  </w:rPr>
                </w:pPr>
                <w:r>
                  <w:rPr>
                    <w:rFonts w:hint="eastAsia"/>
                    <w:szCs w:val="21"/>
                  </w:rPr>
                  <w:t>项目</w:t>
                </w:r>
              </w:p>
            </w:tc>
          </w:sdtContent>
        </w:sdt>
        <w:sdt>
          <w:sdtPr>
            <w:tag w:val="_PLD_76c559fcf2df4f56bfb2994739826eb3"/>
            <w:id w:val="2115629484"/>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18D0040" w14:textId="77777777" w:rsidR="00E57DAA" w:rsidRDefault="00AC4185">
                <w:pPr>
                  <w:jc w:val="center"/>
                  <w:rPr>
                    <w:szCs w:val="21"/>
                  </w:rPr>
                </w:pPr>
                <w:r>
                  <w:rPr>
                    <w:rFonts w:hint="eastAsia"/>
                    <w:szCs w:val="21"/>
                  </w:rPr>
                  <w:t>本期发生额</w:t>
                </w:r>
              </w:p>
            </w:tc>
          </w:sdtContent>
        </w:sdt>
        <w:sdt>
          <w:sdtPr>
            <w:tag w:val="_PLD_ec7e9f373a83410d886ebef444573eb8"/>
            <w:id w:val="-1210341260"/>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94F53A5" w14:textId="77777777" w:rsidR="00E57DAA" w:rsidRDefault="00AC4185">
                <w:pPr>
                  <w:jc w:val="center"/>
                  <w:rPr>
                    <w:szCs w:val="21"/>
                  </w:rPr>
                </w:pPr>
                <w:r>
                  <w:rPr>
                    <w:rFonts w:hint="eastAsia"/>
                    <w:szCs w:val="21"/>
                  </w:rPr>
                  <w:t>上期发生额</w:t>
                </w:r>
              </w:p>
            </w:tc>
          </w:sdtContent>
        </w:sdt>
      </w:tr>
      <w:tr w:rsidR="00E57DAA" w14:paraId="6CDD5C20"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4C2CF67" w14:textId="77777777" w:rsidR="00E57DAA" w:rsidRDefault="00AC4185">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09B8583" w14:textId="77777777" w:rsidR="00E57DAA" w:rsidRDefault="00AC4185">
            <w:pPr>
              <w:jc w:val="right"/>
              <w:rPr>
                <w:szCs w:val="21"/>
              </w:rPr>
            </w:pPr>
            <w:r>
              <w:t>994,292,131.78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95DC1B8" w14:textId="77777777" w:rsidR="00E57DAA" w:rsidRDefault="00AC4185">
            <w:pPr>
              <w:jc w:val="right"/>
              <w:rPr>
                <w:szCs w:val="21"/>
              </w:rPr>
            </w:pPr>
            <w:r>
              <w:t>868,549,875.87</w:t>
            </w:r>
          </w:p>
        </w:tc>
      </w:tr>
      <w:tr w:rsidR="00E57DAA" w14:paraId="37848A01"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3241EE1" w14:textId="77777777" w:rsidR="00E57DAA" w:rsidRDefault="00AC4185">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BC15CE8" w14:textId="77777777" w:rsidR="00E57DAA" w:rsidRDefault="00AC4185">
            <w:pPr>
              <w:jc w:val="right"/>
              <w:rPr>
                <w:szCs w:val="21"/>
              </w:rPr>
            </w:pPr>
            <w:r>
              <w:t>725,486,823.88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415E87A" w14:textId="77777777" w:rsidR="00E57DAA" w:rsidRDefault="00AC4185">
            <w:pPr>
              <w:jc w:val="right"/>
              <w:rPr>
                <w:szCs w:val="21"/>
              </w:rPr>
            </w:pPr>
            <w:r>
              <w:t>644,342,772.77</w:t>
            </w:r>
          </w:p>
        </w:tc>
      </w:tr>
      <w:tr w:rsidR="00E57DAA" w14:paraId="6CD0C4BC"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2AF219A" w14:textId="77777777" w:rsidR="00E57DAA" w:rsidRDefault="00AC4185">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3A8F799" w14:textId="77777777" w:rsidR="00E57DAA" w:rsidRDefault="00AC4185">
            <w:pPr>
              <w:jc w:val="right"/>
              <w:rPr>
                <w:szCs w:val="21"/>
              </w:rPr>
            </w:pPr>
            <w:r>
              <w:t>48,344,852.43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42F7CBA" w14:textId="77777777" w:rsidR="00E57DAA" w:rsidRDefault="00AC4185">
            <w:pPr>
              <w:jc w:val="right"/>
              <w:rPr>
                <w:szCs w:val="21"/>
              </w:rPr>
            </w:pPr>
            <w:r>
              <w:t>42,761,276.00</w:t>
            </w:r>
          </w:p>
        </w:tc>
      </w:tr>
      <w:tr w:rsidR="00E57DAA" w14:paraId="62718FFD"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183FFC" w14:textId="77777777" w:rsidR="00E57DAA" w:rsidRDefault="00AC4185">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D5B585F" w14:textId="77777777" w:rsidR="00E57DAA" w:rsidRDefault="00AC4185">
            <w:pPr>
              <w:jc w:val="right"/>
              <w:rPr>
                <w:szCs w:val="21"/>
              </w:rPr>
            </w:pPr>
            <w:r>
              <w:t>73,419,837.83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45A2CB3" w14:textId="77777777" w:rsidR="00E57DAA" w:rsidRDefault="00AC4185">
            <w:pPr>
              <w:jc w:val="right"/>
              <w:rPr>
                <w:szCs w:val="21"/>
              </w:rPr>
            </w:pPr>
            <w:r>
              <w:t>70,923,976.87</w:t>
            </w:r>
          </w:p>
        </w:tc>
      </w:tr>
      <w:tr w:rsidR="00E57DAA" w14:paraId="7C392F6E"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ADC942" w14:textId="77777777" w:rsidR="00E57DAA" w:rsidRDefault="00AC4185">
            <w:pPr>
              <w:jc w:val="center"/>
              <w:rPr>
                <w:szCs w:val="21"/>
              </w:rPr>
            </w:pPr>
            <w:r>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B0EB57A" w14:textId="77777777" w:rsidR="00E57DAA" w:rsidRDefault="00AC4185">
            <w:pPr>
              <w:jc w:val="right"/>
              <w:rPr>
                <w:szCs w:val="21"/>
              </w:rPr>
            </w:pPr>
            <w:r>
              <w:t>1,841,543,645.92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E54F49E" w14:textId="77777777" w:rsidR="00E57DAA" w:rsidRDefault="00AC4185">
            <w:pPr>
              <w:jc w:val="right"/>
              <w:rPr>
                <w:szCs w:val="21"/>
              </w:rPr>
            </w:pPr>
            <w:r>
              <w:t>1,626,577,901.51</w:t>
            </w:r>
          </w:p>
        </w:tc>
      </w:tr>
    </w:tbl>
    <w:p w14:paraId="38DD8D97" w14:textId="77777777" w:rsidR="00E57DAA" w:rsidRDefault="00E57DAA" w:rsidP="00C25422">
      <w:pPr>
        <w:pStyle w:val="92"/>
      </w:pPr>
    </w:p>
    <w:bookmarkEnd w:id="301"/>
    <w:bookmarkEnd w:id="300"/>
    <w:p w14:paraId="268DB2CC" w14:textId="77777777" w:rsidR="00E57DAA" w:rsidRDefault="00AC4185" w:rsidP="00C25422">
      <w:pPr>
        <w:pStyle w:val="91"/>
        <w:numPr>
          <w:ilvl w:val="0"/>
          <w:numId w:val="69"/>
        </w:numPr>
      </w:pPr>
      <w:r>
        <w:rPr>
          <w:rFonts w:hint="eastAsia"/>
        </w:rPr>
        <w:t>财务费用</w:t>
      </w:r>
    </w:p>
    <w:sdt>
      <w:sdtPr>
        <w:alias w:val="是否适用：财务费用[双击切换]"/>
        <w:tag w:val="_GBC_7e467c6faebc402ab141f588df31680d"/>
        <w:id w:val="-891341543"/>
        <w:placeholder>
          <w:docPart w:val="GBC22222222222222222222222222222"/>
        </w:placeholder>
      </w:sdtPr>
      <w:sdtEndPr/>
      <w:sdtContent>
        <w:p w14:paraId="251106E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4216F2" w14:textId="77777777" w:rsidR="00E57DAA" w:rsidRDefault="00AC4185">
      <w:pPr>
        <w:jc w:val="right"/>
      </w:pPr>
      <w:r>
        <w:rPr>
          <w:rFonts w:hint="eastAsia"/>
        </w:rPr>
        <w:t>单位：</w:t>
      </w:r>
      <w:sdt>
        <w:sdtPr>
          <w:rPr>
            <w:rFonts w:hint="eastAsia"/>
          </w:rPr>
          <w:alias w:val="单位：财务费用"/>
          <w:tag w:val="_GBC_adcf988d29cd43aba011ce1310eac264"/>
          <w:id w:val="11921930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4624654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E57DAA" w14:paraId="002B32C7" w14:textId="77777777">
        <w:sdt>
          <w:sdtPr>
            <w:tag w:val="_PLD_49977e87dd3f474489b24bbaed00293d"/>
            <w:id w:val="-142278802"/>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7770BA5" w14:textId="77777777" w:rsidR="00E57DAA" w:rsidRDefault="00AC4185">
                <w:pPr>
                  <w:jc w:val="center"/>
                </w:pPr>
                <w:r>
                  <w:rPr>
                    <w:rFonts w:hint="eastAsia"/>
                  </w:rPr>
                  <w:t>项目</w:t>
                </w:r>
              </w:p>
            </w:tc>
          </w:sdtContent>
        </w:sdt>
        <w:sdt>
          <w:sdtPr>
            <w:tag w:val="_PLD_f64aa2e290ce4904a39347c56117acb7"/>
            <w:id w:val="-2114817813"/>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D068897" w14:textId="77777777" w:rsidR="00E57DAA" w:rsidRDefault="00AC4185">
                <w:pPr>
                  <w:jc w:val="center"/>
                </w:pPr>
                <w:r>
                  <w:rPr>
                    <w:rFonts w:hint="eastAsia"/>
                  </w:rPr>
                  <w:t>本期发生额</w:t>
                </w:r>
              </w:p>
            </w:tc>
          </w:sdtContent>
        </w:sdt>
        <w:sdt>
          <w:sdtPr>
            <w:tag w:val="_PLD_178c78585f7e495ebd86923cb8c24338"/>
            <w:id w:val="1379199193"/>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EB2E5EB" w14:textId="77777777" w:rsidR="00E57DAA" w:rsidRDefault="00AC4185">
                <w:pPr>
                  <w:jc w:val="center"/>
                </w:pPr>
                <w:r>
                  <w:rPr>
                    <w:rFonts w:hint="eastAsia"/>
                  </w:rPr>
                  <w:t>上期发生额</w:t>
                </w:r>
              </w:p>
            </w:tc>
          </w:sdtContent>
        </w:sdt>
      </w:tr>
      <w:tr w:rsidR="00E57DAA" w14:paraId="49C2F7FE"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47BDEF" w14:textId="77777777" w:rsidR="00E57DAA" w:rsidRDefault="00AC4185" w:rsidP="00C25422">
            <w:pPr>
              <w:pStyle w:val="92"/>
            </w:pPr>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F4E31CD" w14:textId="77777777" w:rsidR="00E57DAA" w:rsidRDefault="00AC4185">
            <w:pPr>
              <w:jc w:val="right"/>
            </w:pPr>
            <w:r>
              <w:t>295,148,845.07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5D93B41" w14:textId="77777777" w:rsidR="00E57DAA" w:rsidRDefault="00AC4185">
            <w:pPr>
              <w:jc w:val="right"/>
            </w:pPr>
            <w:r>
              <w:t>240,839,441.61</w:t>
            </w:r>
          </w:p>
        </w:tc>
      </w:tr>
      <w:tr w:rsidR="00E57DAA" w14:paraId="3962E12F"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7B09AC5" w14:textId="77777777" w:rsidR="00E57DAA" w:rsidRDefault="00AC4185" w:rsidP="00C25422">
            <w:pPr>
              <w:pStyle w:val="92"/>
            </w:pPr>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2E6D0E" w14:textId="77777777" w:rsidR="00E57DAA" w:rsidRDefault="00AC4185">
            <w:pPr>
              <w:jc w:val="right"/>
            </w:pPr>
            <w:r>
              <w:rPr>
                <w:rFonts w:hint="eastAsia"/>
              </w:rPr>
              <w:t>-</w:t>
            </w:r>
            <w:r>
              <w:t>333,021,434.06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91A84BB" w14:textId="77777777" w:rsidR="00E57DAA" w:rsidRDefault="00AC4185">
            <w:pPr>
              <w:jc w:val="right"/>
            </w:pPr>
            <w:r>
              <w:rPr>
                <w:rFonts w:hint="eastAsia"/>
              </w:rPr>
              <w:t>-</w:t>
            </w:r>
            <w:r>
              <w:t>298,263,059.04</w:t>
            </w:r>
          </w:p>
        </w:tc>
      </w:tr>
      <w:tr w:rsidR="00E57DAA" w14:paraId="4B6E7465"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165AD74" w14:textId="77777777" w:rsidR="00E57DAA" w:rsidRDefault="00AC4185" w:rsidP="00C25422">
            <w:pPr>
              <w:pStyle w:val="92"/>
            </w:pPr>
            <w:r>
              <w:t>汇兑损益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BC0BC3" w14:textId="77777777" w:rsidR="00E57DAA" w:rsidRDefault="00AC4185">
            <w:pPr>
              <w:jc w:val="right"/>
            </w:pPr>
            <w:r>
              <w:t>227,343,777.48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D1C22C3" w14:textId="77777777" w:rsidR="00E57DAA" w:rsidRDefault="00AC4185">
            <w:pPr>
              <w:jc w:val="right"/>
            </w:pPr>
            <w:r>
              <w:t>-175,403,051.14</w:t>
            </w:r>
          </w:p>
        </w:tc>
      </w:tr>
      <w:tr w:rsidR="00E57DAA" w14:paraId="0AABB1D6"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74338F" w14:textId="77777777" w:rsidR="00E57DAA" w:rsidRDefault="00AC4185" w:rsidP="00C25422">
            <w:pPr>
              <w:pStyle w:val="92"/>
            </w:pPr>
            <w:r>
              <w:t>银行手续费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FEAF23A" w14:textId="77777777" w:rsidR="00E57DAA" w:rsidRDefault="00AC4185">
            <w:pPr>
              <w:jc w:val="right"/>
            </w:pPr>
            <w:r>
              <w:t>47,713,238.68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5B8FE3" w14:textId="77777777" w:rsidR="00E57DAA" w:rsidRDefault="00AC4185">
            <w:pPr>
              <w:jc w:val="right"/>
            </w:pPr>
            <w:r>
              <w:t>48,058,067.35</w:t>
            </w:r>
          </w:p>
        </w:tc>
      </w:tr>
      <w:tr w:rsidR="00E57DAA" w14:paraId="38B21A45"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D22552" w14:textId="77777777" w:rsidR="00E57DAA" w:rsidRDefault="00AC4185" w:rsidP="00C25422">
            <w:pPr>
              <w:pStyle w:val="92"/>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3EEBF09" w14:textId="77777777" w:rsidR="00E57DAA" w:rsidRDefault="00AC4185">
            <w:pPr>
              <w:jc w:val="right"/>
            </w:pPr>
            <w:r>
              <w:t>15,204,959.04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923AD0A" w14:textId="77777777" w:rsidR="00E57DAA" w:rsidRDefault="00AC4185">
            <w:pPr>
              <w:jc w:val="right"/>
            </w:pPr>
            <w:r>
              <w:t>13,752,365.95</w:t>
            </w:r>
          </w:p>
        </w:tc>
      </w:tr>
      <w:tr w:rsidR="00E57DAA" w14:paraId="22CE764D"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A6A767" w14:textId="77777777" w:rsidR="00E57DAA" w:rsidRDefault="00AC4185">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B70E831" w14:textId="77777777" w:rsidR="00E57DAA" w:rsidRDefault="00AC4185">
            <w:pPr>
              <w:jc w:val="right"/>
            </w:pPr>
            <w:r>
              <w:t>252,389,386.21</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5888E78" w14:textId="77777777" w:rsidR="00E57DAA" w:rsidRDefault="00AC4185">
            <w:pPr>
              <w:jc w:val="right"/>
            </w:pPr>
            <w:r>
              <w:t>-171,016,235.27</w:t>
            </w:r>
          </w:p>
        </w:tc>
      </w:tr>
    </w:tbl>
    <w:p w14:paraId="659D203E" w14:textId="77777777" w:rsidR="00E57DAA" w:rsidRDefault="00E57DAA" w:rsidP="00C25422">
      <w:pPr>
        <w:pStyle w:val="92"/>
      </w:pPr>
    </w:p>
    <w:p w14:paraId="57EAD42C" w14:textId="77777777" w:rsidR="00E57DAA" w:rsidRDefault="00E57DAA">
      <w:pPr>
        <w:rPr>
          <w:szCs w:val="21"/>
        </w:rPr>
      </w:pPr>
    </w:p>
    <w:p w14:paraId="66DA7A2B" w14:textId="77777777" w:rsidR="00E57DAA" w:rsidRDefault="00AC4185" w:rsidP="00C25422">
      <w:pPr>
        <w:pStyle w:val="91"/>
        <w:numPr>
          <w:ilvl w:val="0"/>
          <w:numId w:val="69"/>
        </w:numPr>
      </w:pPr>
      <w:r>
        <w:rPr>
          <w:rFonts w:hint="eastAsia"/>
        </w:rPr>
        <w:t>其他收益</w:t>
      </w:r>
    </w:p>
    <w:sdt>
      <w:sdtPr>
        <w:rPr>
          <w:bCs/>
        </w:rPr>
        <w:alias w:val="是否适用：财务报表其他收益[双击切换]"/>
        <w:tag w:val="_GBC_24722ffac3b6474db1e1d7972d6e4a7b"/>
        <w:id w:val="642394245"/>
        <w:placeholder>
          <w:docPart w:val="GBC22222222222222222222222222222"/>
        </w:placeholder>
      </w:sdtPr>
      <w:sdtEndPr/>
      <w:sdtContent>
        <w:p w14:paraId="668DA9D2" w14:textId="77777777" w:rsidR="00E57DAA" w:rsidRDefault="00AC418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63B8D433" w14:textId="77777777" w:rsidR="00E57DAA" w:rsidRDefault="00AC4185" w:rsidP="00C25422">
      <w:pPr>
        <w:pStyle w:val="73"/>
        <w:ind w:firstLine="400"/>
      </w:pPr>
      <w:r>
        <w:t>单位：</w:t>
      </w:r>
      <w:sdt>
        <w:sdtPr>
          <w:alias w:val="单位：财务报表其他收益明细"/>
          <w:tag w:val="_GBC_74ea52f952324be7ab2c4c494ff673ce"/>
          <w:id w:val="-11556854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t xml:space="preserve">  </w:t>
      </w:r>
      <w:r>
        <w:t>币种：</w:t>
      </w:r>
      <w:sdt>
        <w:sdtPr>
          <w:alias w:val="币种：财务报表其他收益明细"/>
          <w:tag w:val="_GBC_8360ed9b182a496c9b5d2220a414a4cb"/>
          <w:id w:val="3792149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8"/>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2960"/>
        <w:gridCol w:w="2956"/>
      </w:tblGrid>
      <w:tr w:rsidR="00E57DAA" w14:paraId="743682CF" w14:textId="77777777">
        <w:sdt>
          <w:sdtPr>
            <w:tag w:val="_PLD_7df5d6dc8fe1463b8e0d41784241e311"/>
            <w:id w:val="-1572334142"/>
          </w:sdtPr>
          <w:sdtEndPr/>
          <w:sdtContent>
            <w:tc>
              <w:tcPr>
                <w:tcW w:w="2907" w:type="dxa"/>
                <w:shd w:val="clear" w:color="auto" w:fill="auto"/>
              </w:tcPr>
              <w:p w14:paraId="44B18C7B" w14:textId="77777777" w:rsidR="00E57DAA" w:rsidRDefault="00AC4185">
                <w:pPr>
                  <w:jc w:val="center"/>
                </w:pPr>
                <w:r>
                  <w:rPr>
                    <w:rFonts w:hint="eastAsia"/>
                  </w:rPr>
                  <w:t>按性质分类</w:t>
                </w:r>
              </w:p>
            </w:tc>
          </w:sdtContent>
        </w:sdt>
        <w:sdt>
          <w:sdtPr>
            <w:tag w:val="_PLD_2c34d48a6a534080943d2d340c325c15"/>
            <w:id w:val="-287132312"/>
          </w:sdtPr>
          <w:sdtEndPr/>
          <w:sdtContent>
            <w:tc>
              <w:tcPr>
                <w:tcW w:w="2960" w:type="dxa"/>
                <w:shd w:val="clear" w:color="auto" w:fill="auto"/>
              </w:tcPr>
              <w:p w14:paraId="6A67305C" w14:textId="77777777" w:rsidR="00E57DAA" w:rsidRDefault="00AC4185">
                <w:pPr>
                  <w:jc w:val="center"/>
                </w:pPr>
                <w:r>
                  <w:rPr>
                    <w:rFonts w:hint="eastAsia"/>
                  </w:rPr>
                  <w:t>本期发生额</w:t>
                </w:r>
              </w:p>
            </w:tc>
          </w:sdtContent>
        </w:sdt>
        <w:sdt>
          <w:sdtPr>
            <w:tag w:val="_PLD_1a2c9ed0a9704089897421e22b8696dd"/>
            <w:id w:val="-1203941453"/>
          </w:sdtPr>
          <w:sdtEndPr/>
          <w:sdtContent>
            <w:tc>
              <w:tcPr>
                <w:tcW w:w="2956" w:type="dxa"/>
                <w:shd w:val="clear" w:color="auto" w:fill="auto"/>
              </w:tcPr>
              <w:p w14:paraId="13B725EC" w14:textId="77777777" w:rsidR="00E57DAA" w:rsidRDefault="00AC4185">
                <w:pPr>
                  <w:jc w:val="center"/>
                </w:pPr>
                <w:r>
                  <w:rPr>
                    <w:rFonts w:hint="eastAsia"/>
                  </w:rPr>
                  <w:t>上期发生额</w:t>
                </w:r>
              </w:p>
            </w:tc>
          </w:sdtContent>
        </w:sdt>
      </w:tr>
      <w:tr w:rsidR="00E57DAA" w14:paraId="728BE5AA" w14:textId="77777777">
        <w:tc>
          <w:tcPr>
            <w:tcW w:w="2907" w:type="dxa"/>
            <w:shd w:val="clear" w:color="auto" w:fill="auto"/>
          </w:tcPr>
          <w:p w14:paraId="6A452241" w14:textId="77777777" w:rsidR="00E57DAA" w:rsidRDefault="00AC4185" w:rsidP="00C25422">
            <w:pPr>
              <w:pStyle w:val="92"/>
            </w:pPr>
            <w:r>
              <w:t>政府补助</w:t>
            </w:r>
          </w:p>
        </w:tc>
        <w:tc>
          <w:tcPr>
            <w:tcW w:w="2960" w:type="dxa"/>
            <w:shd w:val="clear" w:color="auto" w:fill="auto"/>
          </w:tcPr>
          <w:p w14:paraId="793FF68B" w14:textId="77777777" w:rsidR="00E57DAA" w:rsidRDefault="00AC4185">
            <w:pPr>
              <w:jc w:val="right"/>
            </w:pPr>
            <w:r>
              <w:t>176,159,804.67</w:t>
            </w:r>
          </w:p>
        </w:tc>
        <w:tc>
          <w:tcPr>
            <w:tcW w:w="2956" w:type="dxa"/>
            <w:shd w:val="clear" w:color="auto" w:fill="auto"/>
          </w:tcPr>
          <w:p w14:paraId="25E23805" w14:textId="77777777" w:rsidR="00E57DAA" w:rsidRDefault="00AC4185">
            <w:pPr>
              <w:jc w:val="right"/>
            </w:pPr>
            <w:r>
              <w:t>89,428,486.44</w:t>
            </w:r>
          </w:p>
        </w:tc>
      </w:tr>
      <w:tr w:rsidR="00E57DAA" w14:paraId="73D84977" w14:textId="77777777">
        <w:tc>
          <w:tcPr>
            <w:tcW w:w="2907" w:type="dxa"/>
            <w:shd w:val="clear" w:color="auto" w:fill="auto"/>
          </w:tcPr>
          <w:p w14:paraId="7BF6A064" w14:textId="77777777" w:rsidR="00E57DAA" w:rsidRDefault="00AC4185" w:rsidP="00C25422">
            <w:pPr>
              <w:pStyle w:val="92"/>
            </w:pPr>
            <w:r>
              <w:t>代扣代缴个税手续费返还</w:t>
            </w:r>
          </w:p>
        </w:tc>
        <w:tc>
          <w:tcPr>
            <w:tcW w:w="2960" w:type="dxa"/>
            <w:shd w:val="clear" w:color="auto" w:fill="auto"/>
          </w:tcPr>
          <w:p w14:paraId="3F74236D" w14:textId="77777777" w:rsidR="00E57DAA" w:rsidRDefault="00AC4185">
            <w:pPr>
              <w:jc w:val="right"/>
            </w:pPr>
            <w:r>
              <w:t>3,894,337.64</w:t>
            </w:r>
          </w:p>
        </w:tc>
        <w:tc>
          <w:tcPr>
            <w:tcW w:w="2956" w:type="dxa"/>
            <w:shd w:val="clear" w:color="auto" w:fill="auto"/>
          </w:tcPr>
          <w:p w14:paraId="657FD341" w14:textId="77777777" w:rsidR="00E57DAA" w:rsidRDefault="00AC4185">
            <w:pPr>
              <w:jc w:val="right"/>
            </w:pPr>
            <w:r>
              <w:t>2,707,399.33</w:t>
            </w:r>
          </w:p>
        </w:tc>
      </w:tr>
      <w:tr w:rsidR="00E57DAA" w14:paraId="5A220C88" w14:textId="77777777">
        <w:tc>
          <w:tcPr>
            <w:tcW w:w="2907" w:type="dxa"/>
            <w:shd w:val="clear" w:color="auto" w:fill="auto"/>
          </w:tcPr>
          <w:p w14:paraId="4B8746CD" w14:textId="77777777" w:rsidR="00E57DAA" w:rsidRDefault="00AC4185">
            <w:pPr>
              <w:jc w:val="center"/>
            </w:pPr>
            <w:r>
              <w:rPr>
                <w:rFonts w:hint="eastAsia"/>
              </w:rPr>
              <w:t>合计</w:t>
            </w:r>
          </w:p>
        </w:tc>
        <w:tc>
          <w:tcPr>
            <w:tcW w:w="2960" w:type="dxa"/>
            <w:shd w:val="clear" w:color="auto" w:fill="auto"/>
            <w:vAlign w:val="center"/>
          </w:tcPr>
          <w:p w14:paraId="1FB407F5" w14:textId="77777777" w:rsidR="00E57DAA" w:rsidRDefault="00AC4185">
            <w:pPr>
              <w:jc w:val="right"/>
            </w:pPr>
            <w:r>
              <w:t>180,054,142.31</w:t>
            </w:r>
          </w:p>
        </w:tc>
        <w:tc>
          <w:tcPr>
            <w:tcW w:w="2956" w:type="dxa"/>
            <w:shd w:val="clear" w:color="auto" w:fill="auto"/>
            <w:vAlign w:val="center"/>
          </w:tcPr>
          <w:p w14:paraId="58A2018B" w14:textId="77777777" w:rsidR="00E57DAA" w:rsidRDefault="00AC4185">
            <w:pPr>
              <w:jc w:val="right"/>
            </w:pPr>
            <w:r>
              <w:t>92,135,885.77</w:t>
            </w:r>
          </w:p>
        </w:tc>
      </w:tr>
    </w:tbl>
    <w:p w14:paraId="6747B1D8" w14:textId="77777777" w:rsidR="00E57DAA" w:rsidRDefault="00E57DAA" w:rsidP="00C25422">
      <w:pPr>
        <w:pStyle w:val="92"/>
      </w:pPr>
      <w:bookmarkStart w:id="302" w:name="_Hlk11857276"/>
      <w:bookmarkEnd w:id="302"/>
    </w:p>
    <w:p w14:paraId="447E8FA6" w14:textId="77777777" w:rsidR="00E57DAA" w:rsidRDefault="00AC4185" w:rsidP="00C25422">
      <w:pPr>
        <w:pStyle w:val="92"/>
      </w:pPr>
      <w:r>
        <w:rPr>
          <w:rFonts w:hint="eastAsia"/>
        </w:rPr>
        <w:t>其他说明：</w:t>
      </w:r>
    </w:p>
    <w:sdt>
      <w:sdtPr>
        <w:alias w:val="财务报表其他收益其他说明"/>
        <w:tag w:val="_GBC_4b4ba73a66704c609e7c6617d0fa6694"/>
        <w:id w:val="-444156467"/>
        <w:placeholder>
          <w:docPart w:val="GBC22222222222222222222222222222"/>
        </w:placeholder>
      </w:sdtPr>
      <w:sdtEndPr/>
      <w:sdtContent>
        <w:p w14:paraId="4659A786" w14:textId="77777777" w:rsidR="00E57DAA" w:rsidRDefault="00AC4185" w:rsidP="00C25422">
          <w:pPr>
            <w:pStyle w:val="92"/>
          </w:pPr>
          <w:r>
            <w:rPr>
              <w:rFonts w:hint="eastAsia"/>
            </w:rPr>
            <w:t>本公司政府补助详见附注十一、政府补助3、计入当期损益的政府补助。</w:t>
          </w:r>
        </w:p>
      </w:sdtContent>
    </w:sdt>
    <w:p w14:paraId="787C9FCF" w14:textId="77777777" w:rsidR="00E57DAA" w:rsidRDefault="00E57DAA" w:rsidP="00C25422">
      <w:pPr>
        <w:pStyle w:val="92"/>
      </w:pPr>
    </w:p>
    <w:p w14:paraId="600BCA20" w14:textId="77777777" w:rsidR="00E57DAA" w:rsidRDefault="00AC4185" w:rsidP="00C25422">
      <w:pPr>
        <w:pStyle w:val="91"/>
        <w:numPr>
          <w:ilvl w:val="0"/>
          <w:numId w:val="69"/>
        </w:numPr>
      </w:pPr>
      <w:r>
        <w:rPr>
          <w:rFonts w:hint="eastAsia"/>
        </w:rPr>
        <w:t>投资收益</w:t>
      </w:r>
    </w:p>
    <w:bookmarkStart w:id="303" w:name="_Hlk24027658" w:displacedByCustomXml="next"/>
    <w:sdt>
      <w:sdtPr>
        <w:alias w:val="是否适用：投资收益[双击切换]"/>
        <w:tag w:val="_GBC_f581223c46c2426aa46b9e88b6b47f4f"/>
        <w:id w:val="-871219812"/>
        <w:placeholder>
          <w:docPart w:val="GBC22222222222222222222222222222"/>
        </w:placeholder>
      </w:sdtPr>
      <w:sdtEndPr/>
      <w:sdtContent>
        <w:p w14:paraId="3F56064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3B33F8" w14:textId="77777777" w:rsidR="00E57DAA" w:rsidRDefault="00AC4185">
      <w:pPr>
        <w:jc w:val="right"/>
        <w:rPr>
          <w:b/>
          <w:szCs w:val="21"/>
        </w:rPr>
      </w:pPr>
      <w:bookmarkStart w:id="304"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7385530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15403905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7"/>
        <w:gridCol w:w="2080"/>
        <w:gridCol w:w="2636"/>
      </w:tblGrid>
      <w:tr w:rsidR="00E57DAA" w14:paraId="70FA13AB" w14:textId="77777777">
        <w:bookmarkEnd w:id="304" w:displacedByCustomXml="next"/>
        <w:sdt>
          <w:sdtPr>
            <w:tag w:val="_PLD_998e1ec79cfc4df397c6fa0a751f3489"/>
            <w:id w:val="-2146808953"/>
          </w:sdtPr>
          <w:sdtEndPr/>
          <w:sdtContent>
            <w:tc>
              <w:tcPr>
                <w:tcW w:w="2327" w:type="pct"/>
                <w:vAlign w:val="center"/>
              </w:tcPr>
              <w:p w14:paraId="1445A60F" w14:textId="77777777" w:rsidR="00E57DAA" w:rsidRDefault="00AC4185">
                <w:pPr>
                  <w:ind w:left="420" w:hanging="420"/>
                  <w:jc w:val="center"/>
                  <w:rPr>
                    <w:szCs w:val="21"/>
                  </w:rPr>
                </w:pPr>
                <w:r>
                  <w:rPr>
                    <w:rFonts w:hint="eastAsia"/>
                    <w:szCs w:val="21"/>
                  </w:rPr>
                  <w:t>项目</w:t>
                </w:r>
              </w:p>
            </w:tc>
          </w:sdtContent>
        </w:sdt>
        <w:sdt>
          <w:sdtPr>
            <w:tag w:val="_PLD_239208f1271348119306f77c15ab0ec0"/>
            <w:id w:val="-934049257"/>
          </w:sdtPr>
          <w:sdtEndPr/>
          <w:sdtContent>
            <w:tc>
              <w:tcPr>
                <w:tcW w:w="1179" w:type="pct"/>
                <w:vAlign w:val="center"/>
              </w:tcPr>
              <w:p w14:paraId="4F0055AE" w14:textId="77777777" w:rsidR="00E57DAA" w:rsidRDefault="00AC4185">
                <w:pPr>
                  <w:jc w:val="center"/>
                  <w:rPr>
                    <w:szCs w:val="21"/>
                  </w:rPr>
                </w:pPr>
                <w:r>
                  <w:rPr>
                    <w:rFonts w:hint="eastAsia"/>
                    <w:szCs w:val="21"/>
                  </w:rPr>
                  <w:t>本期发生额</w:t>
                </w:r>
              </w:p>
            </w:tc>
          </w:sdtContent>
        </w:sdt>
        <w:sdt>
          <w:sdtPr>
            <w:tag w:val="_PLD_c548c34a5b7b4e3eb5536d1408d6cc7b"/>
            <w:id w:val="-497651479"/>
          </w:sdtPr>
          <w:sdtEndPr/>
          <w:sdtContent>
            <w:tc>
              <w:tcPr>
                <w:tcW w:w="1494" w:type="pct"/>
                <w:vAlign w:val="center"/>
              </w:tcPr>
              <w:p w14:paraId="5AE3D1F2" w14:textId="77777777" w:rsidR="00E57DAA" w:rsidRDefault="00AC4185">
                <w:pPr>
                  <w:jc w:val="center"/>
                  <w:rPr>
                    <w:szCs w:val="21"/>
                  </w:rPr>
                </w:pPr>
                <w:r>
                  <w:rPr>
                    <w:rFonts w:hint="eastAsia"/>
                    <w:szCs w:val="21"/>
                  </w:rPr>
                  <w:t>上期发生额</w:t>
                </w:r>
              </w:p>
            </w:tc>
          </w:sdtContent>
        </w:sdt>
      </w:tr>
      <w:tr w:rsidR="00E57DAA" w14:paraId="4A754411" w14:textId="77777777">
        <w:tc>
          <w:tcPr>
            <w:tcW w:w="2327" w:type="pct"/>
          </w:tcPr>
          <w:p w14:paraId="44D17065" w14:textId="77777777" w:rsidR="00E57DAA" w:rsidRDefault="00AC4185">
            <w:pPr>
              <w:rPr>
                <w:szCs w:val="21"/>
              </w:rPr>
            </w:pPr>
            <w:r>
              <w:rPr>
                <w:rFonts w:hint="eastAsia"/>
                <w:szCs w:val="21"/>
              </w:rPr>
              <w:t>权益法核算的长期股权投资收益</w:t>
            </w:r>
          </w:p>
        </w:tc>
        <w:tc>
          <w:tcPr>
            <w:tcW w:w="1179" w:type="pct"/>
            <w:vAlign w:val="center"/>
          </w:tcPr>
          <w:p w14:paraId="31D1B479" w14:textId="77777777" w:rsidR="00E57DAA" w:rsidRDefault="00AC4185">
            <w:pPr>
              <w:jc w:val="right"/>
              <w:rPr>
                <w:szCs w:val="21"/>
              </w:rPr>
            </w:pPr>
            <w:r>
              <w:t>-9,521,391.15</w:t>
            </w:r>
          </w:p>
        </w:tc>
        <w:tc>
          <w:tcPr>
            <w:tcW w:w="1494" w:type="pct"/>
            <w:vAlign w:val="center"/>
          </w:tcPr>
          <w:p w14:paraId="5505615E" w14:textId="77777777" w:rsidR="00E57DAA" w:rsidRDefault="00AC4185">
            <w:pPr>
              <w:jc w:val="right"/>
              <w:rPr>
                <w:szCs w:val="21"/>
              </w:rPr>
            </w:pPr>
            <w:r>
              <w:t>12,392,663.77</w:t>
            </w:r>
          </w:p>
        </w:tc>
      </w:tr>
      <w:tr w:rsidR="00E57DAA" w14:paraId="5EBAF1E6" w14:textId="77777777">
        <w:tc>
          <w:tcPr>
            <w:tcW w:w="2327" w:type="pct"/>
          </w:tcPr>
          <w:p w14:paraId="0FC10FC1" w14:textId="77777777" w:rsidR="00E57DAA" w:rsidRDefault="00AC4185">
            <w:pPr>
              <w:rPr>
                <w:szCs w:val="21"/>
              </w:rPr>
            </w:pPr>
            <w:r>
              <w:rPr>
                <w:rFonts w:hint="eastAsia"/>
                <w:szCs w:val="21"/>
              </w:rPr>
              <w:t>以摊余成本计量的金融资产终止确认收益</w:t>
            </w:r>
          </w:p>
        </w:tc>
        <w:tc>
          <w:tcPr>
            <w:tcW w:w="1179" w:type="pct"/>
            <w:vAlign w:val="center"/>
          </w:tcPr>
          <w:p w14:paraId="7C860ED7" w14:textId="77777777" w:rsidR="00E57DAA" w:rsidRDefault="00AC4185">
            <w:pPr>
              <w:jc w:val="right"/>
              <w:rPr>
                <w:szCs w:val="21"/>
              </w:rPr>
            </w:pPr>
            <w:r>
              <w:t>47,716,843.09</w:t>
            </w:r>
          </w:p>
        </w:tc>
        <w:tc>
          <w:tcPr>
            <w:tcW w:w="1494" w:type="pct"/>
            <w:vAlign w:val="center"/>
          </w:tcPr>
          <w:p w14:paraId="3DF442FE" w14:textId="77777777" w:rsidR="00E57DAA" w:rsidRDefault="00AC4185">
            <w:pPr>
              <w:jc w:val="right"/>
              <w:rPr>
                <w:szCs w:val="21"/>
              </w:rPr>
            </w:pPr>
            <w:r>
              <w:t>50,183,706.79</w:t>
            </w:r>
          </w:p>
        </w:tc>
      </w:tr>
      <w:tr w:rsidR="00E57DAA" w14:paraId="366B0145" w14:textId="77777777">
        <w:tc>
          <w:tcPr>
            <w:tcW w:w="2327" w:type="pct"/>
          </w:tcPr>
          <w:p w14:paraId="44DEE669" w14:textId="77777777" w:rsidR="00E57DAA" w:rsidRDefault="00AC4185">
            <w:pPr>
              <w:rPr>
                <w:szCs w:val="21"/>
              </w:rPr>
            </w:pPr>
            <w:r>
              <w:rPr>
                <w:rFonts w:hint="eastAsia"/>
                <w:szCs w:val="21"/>
              </w:rPr>
              <w:t>处置长期股权投资产生的投资收益</w:t>
            </w:r>
          </w:p>
        </w:tc>
        <w:tc>
          <w:tcPr>
            <w:tcW w:w="1179" w:type="pct"/>
            <w:vAlign w:val="center"/>
          </w:tcPr>
          <w:p w14:paraId="363A2C87" w14:textId="77777777" w:rsidR="00E57DAA" w:rsidRDefault="00E57DAA">
            <w:pPr>
              <w:jc w:val="right"/>
              <w:rPr>
                <w:szCs w:val="21"/>
              </w:rPr>
            </w:pPr>
          </w:p>
        </w:tc>
        <w:tc>
          <w:tcPr>
            <w:tcW w:w="1494" w:type="pct"/>
            <w:vAlign w:val="center"/>
          </w:tcPr>
          <w:p w14:paraId="70CAFD79" w14:textId="77777777" w:rsidR="00E57DAA" w:rsidRDefault="00AC4185">
            <w:pPr>
              <w:jc w:val="right"/>
              <w:rPr>
                <w:szCs w:val="21"/>
              </w:rPr>
            </w:pPr>
            <w:r>
              <w:t>15,131,561.52</w:t>
            </w:r>
          </w:p>
        </w:tc>
      </w:tr>
      <w:tr w:rsidR="00E57DAA" w14:paraId="09332DAB" w14:textId="77777777">
        <w:tc>
          <w:tcPr>
            <w:tcW w:w="2327" w:type="pct"/>
          </w:tcPr>
          <w:p w14:paraId="421C86B6" w14:textId="77777777" w:rsidR="00E57DAA" w:rsidRDefault="00AC4185" w:rsidP="00C25422">
            <w:pPr>
              <w:pStyle w:val="92"/>
            </w:pPr>
            <w:r>
              <w:rPr>
                <w:rFonts w:hint="eastAsia"/>
              </w:rPr>
              <w:t>交易性金融资产在持有期间的投资收益</w:t>
            </w:r>
          </w:p>
        </w:tc>
        <w:tc>
          <w:tcPr>
            <w:tcW w:w="1179" w:type="pct"/>
            <w:vAlign w:val="center"/>
          </w:tcPr>
          <w:p w14:paraId="5B68DB5E" w14:textId="77777777" w:rsidR="00E57DAA" w:rsidRDefault="00AC4185">
            <w:pPr>
              <w:jc w:val="right"/>
              <w:rPr>
                <w:szCs w:val="21"/>
              </w:rPr>
            </w:pPr>
            <w:r>
              <w:t>153,900.00</w:t>
            </w:r>
          </w:p>
        </w:tc>
        <w:tc>
          <w:tcPr>
            <w:tcW w:w="1494" w:type="pct"/>
            <w:vAlign w:val="center"/>
          </w:tcPr>
          <w:p w14:paraId="60B48A86" w14:textId="77777777" w:rsidR="00E57DAA" w:rsidRDefault="00AC4185">
            <w:pPr>
              <w:jc w:val="right"/>
              <w:rPr>
                <w:szCs w:val="21"/>
              </w:rPr>
            </w:pPr>
            <w:r>
              <w:t>22,678,969.41</w:t>
            </w:r>
          </w:p>
        </w:tc>
      </w:tr>
      <w:tr w:rsidR="00E57DAA" w14:paraId="0C3190D3" w14:textId="77777777">
        <w:tc>
          <w:tcPr>
            <w:tcW w:w="2327" w:type="pct"/>
          </w:tcPr>
          <w:p w14:paraId="0B6BBDAF" w14:textId="77777777" w:rsidR="00E57DAA" w:rsidRDefault="00AC4185" w:rsidP="00C25422">
            <w:pPr>
              <w:pStyle w:val="92"/>
            </w:pPr>
            <w:r>
              <w:rPr>
                <w:rFonts w:hint="eastAsia"/>
              </w:rPr>
              <w:t>处置交易性金融资产取得的投资收益</w:t>
            </w:r>
          </w:p>
        </w:tc>
        <w:tc>
          <w:tcPr>
            <w:tcW w:w="1179" w:type="pct"/>
            <w:vAlign w:val="center"/>
          </w:tcPr>
          <w:p w14:paraId="3F589DC5" w14:textId="77777777" w:rsidR="00E57DAA" w:rsidRDefault="00AC4185">
            <w:pPr>
              <w:jc w:val="right"/>
              <w:rPr>
                <w:szCs w:val="21"/>
              </w:rPr>
            </w:pPr>
            <w:r>
              <w:t>-7,586,664.87</w:t>
            </w:r>
          </w:p>
        </w:tc>
        <w:tc>
          <w:tcPr>
            <w:tcW w:w="1494" w:type="pct"/>
            <w:vAlign w:val="center"/>
          </w:tcPr>
          <w:p w14:paraId="45A95513" w14:textId="77777777" w:rsidR="00E57DAA" w:rsidRDefault="00AC4185">
            <w:pPr>
              <w:jc w:val="right"/>
              <w:rPr>
                <w:szCs w:val="21"/>
              </w:rPr>
            </w:pPr>
            <w:r>
              <w:t>-80,288,120.15</w:t>
            </w:r>
          </w:p>
        </w:tc>
      </w:tr>
      <w:tr w:rsidR="00E57DAA" w14:paraId="2B7E8F6D" w14:textId="77777777">
        <w:tc>
          <w:tcPr>
            <w:tcW w:w="2327" w:type="pct"/>
          </w:tcPr>
          <w:p w14:paraId="648D96BD" w14:textId="77777777" w:rsidR="00E57DAA" w:rsidRDefault="00AC4185" w:rsidP="00C25422">
            <w:pPr>
              <w:pStyle w:val="92"/>
            </w:pPr>
            <w:r>
              <w:t>处置交易性金融负债收益</w:t>
            </w:r>
          </w:p>
        </w:tc>
        <w:tc>
          <w:tcPr>
            <w:tcW w:w="1179" w:type="pct"/>
            <w:vAlign w:val="center"/>
          </w:tcPr>
          <w:p w14:paraId="26DCB152" w14:textId="77777777" w:rsidR="00E57DAA" w:rsidRDefault="00AC4185">
            <w:pPr>
              <w:jc w:val="right"/>
              <w:rPr>
                <w:szCs w:val="21"/>
              </w:rPr>
            </w:pPr>
            <w:r>
              <w:t>-63,918,446.87</w:t>
            </w:r>
          </w:p>
        </w:tc>
        <w:tc>
          <w:tcPr>
            <w:tcW w:w="1494" w:type="pct"/>
            <w:vAlign w:val="center"/>
          </w:tcPr>
          <w:p w14:paraId="7B8B5666" w14:textId="77777777" w:rsidR="00E57DAA" w:rsidRDefault="00AC4185">
            <w:pPr>
              <w:jc w:val="right"/>
              <w:rPr>
                <w:szCs w:val="21"/>
              </w:rPr>
            </w:pPr>
            <w:r>
              <w:t>-7,410,010.00</w:t>
            </w:r>
          </w:p>
        </w:tc>
      </w:tr>
      <w:tr w:rsidR="00E57DAA" w14:paraId="16C7FCCE" w14:textId="77777777">
        <w:tc>
          <w:tcPr>
            <w:tcW w:w="2327" w:type="pct"/>
          </w:tcPr>
          <w:p w14:paraId="3151128E" w14:textId="77777777" w:rsidR="00E57DAA" w:rsidRDefault="00AC4185" w:rsidP="00C25422">
            <w:pPr>
              <w:pStyle w:val="92"/>
            </w:pPr>
            <w:r>
              <w:t>其他</w:t>
            </w:r>
          </w:p>
        </w:tc>
        <w:tc>
          <w:tcPr>
            <w:tcW w:w="1179" w:type="pct"/>
            <w:vAlign w:val="center"/>
          </w:tcPr>
          <w:p w14:paraId="0E418FC8" w14:textId="77777777" w:rsidR="00E57DAA" w:rsidRDefault="00AC4185">
            <w:pPr>
              <w:jc w:val="right"/>
              <w:rPr>
                <w:szCs w:val="21"/>
              </w:rPr>
            </w:pPr>
            <w:r>
              <w:t>586,057.29</w:t>
            </w:r>
          </w:p>
        </w:tc>
        <w:tc>
          <w:tcPr>
            <w:tcW w:w="1494" w:type="pct"/>
            <w:vAlign w:val="center"/>
          </w:tcPr>
          <w:p w14:paraId="043595FF" w14:textId="77777777" w:rsidR="00E57DAA" w:rsidRDefault="00AC4185">
            <w:pPr>
              <w:jc w:val="right"/>
              <w:rPr>
                <w:szCs w:val="21"/>
              </w:rPr>
            </w:pPr>
            <w:r>
              <w:t>1,953,547.88</w:t>
            </w:r>
          </w:p>
        </w:tc>
      </w:tr>
      <w:tr w:rsidR="00E57DAA" w14:paraId="6E3D5CF8" w14:textId="77777777">
        <w:tc>
          <w:tcPr>
            <w:tcW w:w="2327" w:type="pct"/>
            <w:vAlign w:val="center"/>
          </w:tcPr>
          <w:p w14:paraId="113A21E9" w14:textId="77777777" w:rsidR="00E57DAA" w:rsidRDefault="00AC4185">
            <w:pPr>
              <w:jc w:val="center"/>
              <w:rPr>
                <w:szCs w:val="21"/>
              </w:rPr>
            </w:pPr>
            <w:r>
              <w:rPr>
                <w:rFonts w:hint="eastAsia"/>
                <w:szCs w:val="21"/>
              </w:rPr>
              <w:t>合计</w:t>
            </w:r>
          </w:p>
        </w:tc>
        <w:tc>
          <w:tcPr>
            <w:tcW w:w="1179" w:type="pct"/>
            <w:vAlign w:val="center"/>
          </w:tcPr>
          <w:p w14:paraId="7E33AE86" w14:textId="77777777" w:rsidR="00E57DAA" w:rsidRDefault="00AC4185">
            <w:pPr>
              <w:jc w:val="right"/>
              <w:rPr>
                <w:szCs w:val="21"/>
              </w:rPr>
            </w:pPr>
            <w:r>
              <w:t>-32,569,702.51</w:t>
            </w:r>
          </w:p>
        </w:tc>
        <w:tc>
          <w:tcPr>
            <w:tcW w:w="1494" w:type="pct"/>
            <w:vAlign w:val="center"/>
          </w:tcPr>
          <w:p w14:paraId="1FBB4471" w14:textId="77777777" w:rsidR="00E57DAA" w:rsidRDefault="00AC4185">
            <w:pPr>
              <w:jc w:val="right"/>
              <w:rPr>
                <w:szCs w:val="21"/>
              </w:rPr>
            </w:pPr>
            <w:r>
              <w:t>14,642,319.22</w:t>
            </w:r>
          </w:p>
        </w:tc>
      </w:tr>
    </w:tbl>
    <w:p w14:paraId="43247F98" w14:textId="77777777" w:rsidR="00E57DAA" w:rsidRDefault="00E57DAA" w:rsidP="00C25422">
      <w:pPr>
        <w:pStyle w:val="92"/>
      </w:pPr>
    </w:p>
    <w:bookmarkEnd w:id="303"/>
    <w:p w14:paraId="6A3FBA77" w14:textId="77777777" w:rsidR="00E57DAA" w:rsidRDefault="00AC4185" w:rsidP="00C25422">
      <w:pPr>
        <w:pStyle w:val="91"/>
        <w:numPr>
          <w:ilvl w:val="0"/>
          <w:numId w:val="69"/>
        </w:numPr>
      </w:pPr>
      <w:r>
        <w:rPr>
          <w:rFonts w:hint="eastAsia"/>
        </w:rPr>
        <w:t>净敞口套期收益</w:t>
      </w:r>
    </w:p>
    <w:sdt>
      <w:sdtPr>
        <w:alias w:val="是否适用：净敞口套期收益[双击切换]"/>
        <w:tag w:val="_GBC_0b9c0635e78547e1b23b27daf08672cd"/>
        <w:id w:val="-183818459"/>
        <w:placeholder>
          <w:docPart w:val="GBC22222222222222222222222222222"/>
        </w:placeholder>
      </w:sdtPr>
      <w:sdtEndPr/>
      <w:sdtContent>
        <w:p w14:paraId="29E155AD"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A09DA5" w14:textId="77777777" w:rsidR="00E57DAA" w:rsidRDefault="00E57DAA">
      <w:pPr>
        <w:autoSpaceDE w:val="0"/>
        <w:autoSpaceDN w:val="0"/>
        <w:adjustRightInd w:val="0"/>
        <w:rPr>
          <w:szCs w:val="21"/>
        </w:rPr>
      </w:pPr>
    </w:p>
    <w:p w14:paraId="60CCADF0" w14:textId="77777777" w:rsidR="00E57DAA" w:rsidRDefault="00AC4185">
      <w:pPr>
        <w:pStyle w:val="3"/>
        <w:numPr>
          <w:ilvl w:val="0"/>
          <w:numId w:val="69"/>
        </w:numPr>
        <w:shd w:val="clear" w:color="auto" w:fill="auto"/>
        <w:tabs>
          <w:tab w:val="left" w:pos="504"/>
        </w:tabs>
        <w:spacing w:before="60" w:after="60" w:line="240" w:lineRule="auto"/>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282238988"/>
      </w:sdtPr>
      <w:sdtEndPr/>
      <w:sdtContent>
        <w:p w14:paraId="2739B8B7" w14:textId="77777777" w:rsidR="00E57DAA" w:rsidRDefault="00AC4185">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6C7006DD" w14:textId="77777777" w:rsidR="00E57DAA" w:rsidRDefault="00AC4185">
      <w:pPr>
        <w:jc w:val="right"/>
        <w:rPr>
          <w:szCs w:val="21"/>
        </w:rPr>
      </w:pPr>
      <w:r>
        <w:rPr>
          <w:rFonts w:hint="eastAsia"/>
          <w:szCs w:val="21"/>
        </w:rPr>
        <w:t>单位：</w:t>
      </w:r>
      <w:sdt>
        <w:sdtPr>
          <w:rPr>
            <w:rFonts w:hint="eastAsia"/>
            <w:szCs w:val="21"/>
          </w:rPr>
          <w:alias w:val="单位：财务附注：公允价值变动收益"/>
          <w:tag w:val="_GBC_c4e1118ffbdf4d6f90815a9b487cc79b"/>
          <w:id w:val="147456775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21180616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410"/>
        <w:gridCol w:w="2590"/>
      </w:tblGrid>
      <w:tr w:rsidR="00E57DAA" w14:paraId="3AEF250A" w14:textId="77777777">
        <w:sdt>
          <w:sdtPr>
            <w:tag w:val="_PLD_6e9a92135b46440eb6d0daa39f0ec40f"/>
            <w:id w:val="-1417238511"/>
          </w:sdt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20C449F1" w14:textId="77777777" w:rsidR="00E57DAA" w:rsidRDefault="00AC4185">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53905399"/>
          </w:sdtPr>
          <w:sdtEndPr/>
          <w:sdtContent>
            <w:tc>
              <w:tcPr>
                <w:tcW w:w="1365" w:type="pct"/>
                <w:tcBorders>
                  <w:top w:val="single" w:sz="4" w:space="0" w:color="auto"/>
                  <w:left w:val="single" w:sz="4" w:space="0" w:color="auto"/>
                  <w:bottom w:val="single" w:sz="4" w:space="0" w:color="auto"/>
                  <w:right w:val="single" w:sz="4" w:space="0" w:color="auto"/>
                </w:tcBorders>
                <w:vAlign w:val="center"/>
              </w:tcPr>
              <w:p w14:paraId="25556D8E" w14:textId="77777777" w:rsidR="00E57DAA" w:rsidRDefault="00AC4185">
                <w:pPr>
                  <w:autoSpaceDE w:val="0"/>
                  <w:autoSpaceDN w:val="0"/>
                  <w:adjustRightInd w:val="0"/>
                  <w:jc w:val="center"/>
                  <w:rPr>
                    <w:szCs w:val="21"/>
                  </w:rPr>
                </w:pPr>
                <w:r>
                  <w:rPr>
                    <w:rFonts w:hint="eastAsia"/>
                    <w:szCs w:val="21"/>
                  </w:rPr>
                  <w:t>本期发生额</w:t>
                </w:r>
              </w:p>
            </w:tc>
          </w:sdtContent>
        </w:sdt>
        <w:sdt>
          <w:sdtPr>
            <w:tag w:val="_PLD_1ebddc94af9345a99e7800415f9811c7"/>
            <w:id w:val="1642769128"/>
          </w:sdtPr>
          <w:sdtEndPr/>
          <w:sdtContent>
            <w:tc>
              <w:tcPr>
                <w:tcW w:w="1468" w:type="pct"/>
                <w:tcBorders>
                  <w:top w:val="single" w:sz="4" w:space="0" w:color="auto"/>
                  <w:left w:val="single" w:sz="4" w:space="0" w:color="auto"/>
                  <w:bottom w:val="single" w:sz="4" w:space="0" w:color="auto"/>
                  <w:right w:val="single" w:sz="4" w:space="0" w:color="auto"/>
                </w:tcBorders>
                <w:vAlign w:val="center"/>
              </w:tcPr>
              <w:p w14:paraId="5958B39B" w14:textId="77777777" w:rsidR="00E57DAA" w:rsidRDefault="00AC4185">
                <w:pPr>
                  <w:autoSpaceDE w:val="0"/>
                  <w:autoSpaceDN w:val="0"/>
                  <w:adjustRightInd w:val="0"/>
                  <w:jc w:val="center"/>
                  <w:rPr>
                    <w:szCs w:val="21"/>
                  </w:rPr>
                </w:pPr>
                <w:r>
                  <w:rPr>
                    <w:rFonts w:hint="eastAsia"/>
                    <w:szCs w:val="21"/>
                  </w:rPr>
                  <w:t>上期发生额</w:t>
                </w:r>
              </w:p>
            </w:tc>
          </w:sdtContent>
        </w:sdt>
      </w:tr>
      <w:tr w:rsidR="00E57DAA" w14:paraId="6424CF6D" w14:textId="77777777">
        <w:sdt>
          <w:sdtPr>
            <w:tag w:val="_PLD_b8fdad34a3ea4bf88d13d2cea1763e5f"/>
            <w:id w:val="-146831351"/>
          </w:sdtPr>
          <w:sdtEndPr/>
          <w:sdtContent>
            <w:tc>
              <w:tcPr>
                <w:tcW w:w="2166" w:type="pct"/>
                <w:tcBorders>
                  <w:top w:val="single" w:sz="4" w:space="0" w:color="auto"/>
                  <w:left w:val="single" w:sz="4" w:space="0" w:color="auto"/>
                  <w:bottom w:val="single" w:sz="4" w:space="0" w:color="auto"/>
                  <w:right w:val="single" w:sz="4" w:space="0" w:color="auto"/>
                </w:tcBorders>
              </w:tcPr>
              <w:p w14:paraId="036CC169" w14:textId="77777777" w:rsidR="00E57DAA" w:rsidRDefault="00AC4185">
                <w:pPr>
                  <w:rPr>
                    <w:szCs w:val="21"/>
                  </w:rPr>
                </w:pPr>
                <w:r>
                  <w:rPr>
                    <w:rFonts w:hint="eastAsia"/>
                    <w:szCs w:val="21"/>
                  </w:rPr>
                  <w:t>交易性金融资产</w:t>
                </w:r>
              </w:p>
            </w:tc>
          </w:sdtContent>
        </w:sdt>
        <w:tc>
          <w:tcPr>
            <w:tcW w:w="1365" w:type="pct"/>
            <w:tcBorders>
              <w:top w:val="single" w:sz="4" w:space="0" w:color="auto"/>
              <w:left w:val="single" w:sz="4" w:space="0" w:color="auto"/>
              <w:bottom w:val="single" w:sz="4" w:space="0" w:color="auto"/>
              <w:right w:val="single" w:sz="4" w:space="0" w:color="auto"/>
            </w:tcBorders>
            <w:vAlign w:val="center"/>
          </w:tcPr>
          <w:p w14:paraId="7E448546" w14:textId="77777777" w:rsidR="00E57DAA" w:rsidRDefault="00AC4185">
            <w:pPr>
              <w:autoSpaceDE w:val="0"/>
              <w:autoSpaceDN w:val="0"/>
              <w:adjustRightInd w:val="0"/>
              <w:jc w:val="right"/>
              <w:rPr>
                <w:szCs w:val="21"/>
              </w:rPr>
            </w:pPr>
            <w:r>
              <w:rPr>
                <w:rFonts w:hint="eastAsia"/>
                <w:szCs w:val="21"/>
              </w:rPr>
              <w:t>126,333,922.93</w:t>
            </w:r>
          </w:p>
        </w:tc>
        <w:tc>
          <w:tcPr>
            <w:tcW w:w="1468" w:type="pct"/>
            <w:tcBorders>
              <w:top w:val="single" w:sz="4" w:space="0" w:color="auto"/>
              <w:left w:val="single" w:sz="4" w:space="0" w:color="auto"/>
              <w:bottom w:val="single" w:sz="4" w:space="0" w:color="auto"/>
              <w:right w:val="single" w:sz="4" w:space="0" w:color="auto"/>
            </w:tcBorders>
            <w:vAlign w:val="center"/>
          </w:tcPr>
          <w:p w14:paraId="25B9CE1C" w14:textId="77777777" w:rsidR="00E57DAA" w:rsidRDefault="00AC4185">
            <w:pPr>
              <w:autoSpaceDE w:val="0"/>
              <w:autoSpaceDN w:val="0"/>
              <w:adjustRightInd w:val="0"/>
              <w:jc w:val="right"/>
              <w:rPr>
                <w:szCs w:val="21"/>
              </w:rPr>
            </w:pPr>
            <w:r>
              <w:rPr>
                <w:rFonts w:hint="eastAsia"/>
                <w:szCs w:val="21"/>
              </w:rPr>
              <w:t>-6,773,552.02</w:t>
            </w:r>
          </w:p>
        </w:tc>
      </w:tr>
      <w:tr w:rsidR="00E57DAA" w14:paraId="57724481" w14:textId="77777777">
        <w:sdt>
          <w:sdtPr>
            <w:tag w:val="_PLD_9bbf0a974c3b4741b9d53ed083461508"/>
            <w:id w:val="331872545"/>
          </w:sdtPr>
          <w:sdtEndPr/>
          <w:sdtContent>
            <w:tc>
              <w:tcPr>
                <w:tcW w:w="2166" w:type="pct"/>
                <w:tcBorders>
                  <w:top w:val="single" w:sz="4" w:space="0" w:color="auto"/>
                  <w:left w:val="single" w:sz="4" w:space="0" w:color="auto"/>
                  <w:bottom w:val="single" w:sz="4" w:space="0" w:color="auto"/>
                  <w:right w:val="single" w:sz="4" w:space="0" w:color="auto"/>
                </w:tcBorders>
              </w:tcPr>
              <w:p w14:paraId="73367ED5" w14:textId="77777777" w:rsidR="00E57DAA" w:rsidRDefault="00AC4185">
                <w:pPr>
                  <w:rPr>
                    <w:szCs w:val="21"/>
                  </w:rPr>
                </w:pPr>
                <w:r>
                  <w:rPr>
                    <w:rFonts w:hint="eastAsia"/>
                    <w:szCs w:val="21"/>
                  </w:rPr>
                  <w:t>交易性金融负债</w:t>
                </w:r>
              </w:p>
            </w:tc>
          </w:sdtContent>
        </w:sdt>
        <w:tc>
          <w:tcPr>
            <w:tcW w:w="1365" w:type="pct"/>
            <w:tcBorders>
              <w:top w:val="single" w:sz="4" w:space="0" w:color="auto"/>
              <w:left w:val="single" w:sz="4" w:space="0" w:color="auto"/>
              <w:bottom w:val="single" w:sz="4" w:space="0" w:color="auto"/>
              <w:right w:val="single" w:sz="4" w:space="0" w:color="auto"/>
            </w:tcBorders>
            <w:vAlign w:val="center"/>
          </w:tcPr>
          <w:p w14:paraId="0CACA359" w14:textId="77777777" w:rsidR="00E57DAA" w:rsidRDefault="00AC4185">
            <w:pPr>
              <w:autoSpaceDE w:val="0"/>
              <w:autoSpaceDN w:val="0"/>
              <w:adjustRightInd w:val="0"/>
              <w:jc w:val="right"/>
              <w:rPr>
                <w:szCs w:val="21"/>
              </w:rPr>
            </w:pPr>
            <w:r>
              <w:rPr>
                <w:rFonts w:hint="eastAsia"/>
                <w:szCs w:val="21"/>
              </w:rPr>
              <w:t>-22,608,541.53</w:t>
            </w:r>
          </w:p>
        </w:tc>
        <w:tc>
          <w:tcPr>
            <w:tcW w:w="1468" w:type="pct"/>
            <w:tcBorders>
              <w:top w:val="single" w:sz="4" w:space="0" w:color="auto"/>
              <w:left w:val="single" w:sz="4" w:space="0" w:color="auto"/>
              <w:bottom w:val="single" w:sz="4" w:space="0" w:color="auto"/>
              <w:right w:val="single" w:sz="4" w:space="0" w:color="auto"/>
            </w:tcBorders>
            <w:vAlign w:val="center"/>
          </w:tcPr>
          <w:p w14:paraId="56034B72" w14:textId="77777777" w:rsidR="00E57DAA" w:rsidRDefault="00AC4185">
            <w:pPr>
              <w:autoSpaceDE w:val="0"/>
              <w:autoSpaceDN w:val="0"/>
              <w:adjustRightInd w:val="0"/>
              <w:jc w:val="right"/>
              <w:rPr>
                <w:szCs w:val="21"/>
              </w:rPr>
            </w:pPr>
            <w:r>
              <w:rPr>
                <w:rFonts w:hint="eastAsia"/>
                <w:szCs w:val="21"/>
              </w:rPr>
              <w:t>-12,879,155.13</w:t>
            </w:r>
          </w:p>
        </w:tc>
      </w:tr>
      <w:sdt>
        <w:sdtPr>
          <w:rPr>
            <w:rFonts w:hint="eastAsia"/>
            <w:szCs w:val="21"/>
          </w:rPr>
          <w:alias w:val="产生公允价值变动收益的来源的明细"/>
          <w:tag w:val="_TUP_cb0a9a1123534ddd91a13ca9387f76d8"/>
          <w:id w:val="-469055685"/>
        </w:sdtPr>
        <w:sdtEndPr/>
        <w:sdtContent>
          <w:tr w:rsidR="00E57DAA" w14:paraId="2662155C" w14:textId="77777777">
            <w:tc>
              <w:tcPr>
                <w:tcW w:w="2166" w:type="pct"/>
                <w:tcBorders>
                  <w:top w:val="single" w:sz="4" w:space="0" w:color="auto"/>
                  <w:left w:val="single" w:sz="4" w:space="0" w:color="auto"/>
                  <w:bottom w:val="single" w:sz="4" w:space="0" w:color="auto"/>
                  <w:right w:val="single" w:sz="4" w:space="0" w:color="auto"/>
                </w:tcBorders>
              </w:tcPr>
              <w:p w14:paraId="55BAFEE0" w14:textId="77777777" w:rsidR="00E57DAA" w:rsidRDefault="00AC4185">
                <w:pPr>
                  <w:rPr>
                    <w:szCs w:val="21"/>
                  </w:rPr>
                </w:pPr>
                <w:r>
                  <w:rPr>
                    <w:rFonts w:hint="eastAsia"/>
                    <w:szCs w:val="21"/>
                  </w:rPr>
                  <w:t>衍生金融工具产生的公允价值变动收益</w:t>
                </w:r>
              </w:p>
            </w:tc>
            <w:tc>
              <w:tcPr>
                <w:tcW w:w="1365" w:type="pct"/>
                <w:tcBorders>
                  <w:top w:val="single" w:sz="4" w:space="0" w:color="auto"/>
                  <w:left w:val="single" w:sz="4" w:space="0" w:color="auto"/>
                  <w:bottom w:val="single" w:sz="4" w:space="0" w:color="auto"/>
                  <w:right w:val="single" w:sz="4" w:space="0" w:color="auto"/>
                </w:tcBorders>
              </w:tcPr>
              <w:p w14:paraId="01D0B471" w14:textId="77777777" w:rsidR="00E57DAA" w:rsidRDefault="00AC4185">
                <w:pPr>
                  <w:jc w:val="right"/>
                  <w:rPr>
                    <w:szCs w:val="21"/>
                  </w:rPr>
                </w:pPr>
                <w:r>
                  <w:rPr>
                    <w:szCs w:val="21"/>
                  </w:rPr>
                  <w:t>-25,338,122.91</w:t>
                </w:r>
              </w:p>
            </w:tc>
            <w:tc>
              <w:tcPr>
                <w:tcW w:w="1468" w:type="pct"/>
                <w:tcBorders>
                  <w:top w:val="single" w:sz="4" w:space="0" w:color="auto"/>
                  <w:left w:val="single" w:sz="4" w:space="0" w:color="auto"/>
                  <w:bottom w:val="single" w:sz="4" w:space="0" w:color="auto"/>
                  <w:right w:val="single" w:sz="4" w:space="0" w:color="auto"/>
                </w:tcBorders>
              </w:tcPr>
              <w:p w14:paraId="3EA6F717" w14:textId="77777777" w:rsidR="00E57DAA" w:rsidRDefault="00E57DAA">
                <w:pPr>
                  <w:autoSpaceDE w:val="0"/>
                  <w:autoSpaceDN w:val="0"/>
                  <w:adjustRightInd w:val="0"/>
                  <w:jc w:val="right"/>
                  <w:rPr>
                    <w:szCs w:val="21"/>
                  </w:rPr>
                </w:pPr>
              </w:p>
            </w:tc>
          </w:tr>
        </w:sdtContent>
      </w:sdt>
      <w:tr w:rsidR="00E57DAA" w14:paraId="6FC47B81" w14:textId="77777777">
        <w:sdt>
          <w:sdtPr>
            <w:tag w:val="_PLD_3de60e6b2a8a44ce9663011df3f14a75"/>
            <w:id w:val="-2033101644"/>
          </w:sdtPr>
          <w:sdtEndPr/>
          <w:sdtContent>
            <w:tc>
              <w:tcPr>
                <w:tcW w:w="2166" w:type="pct"/>
                <w:tcBorders>
                  <w:top w:val="single" w:sz="4" w:space="0" w:color="auto"/>
                  <w:left w:val="single" w:sz="4" w:space="0" w:color="auto"/>
                  <w:bottom w:val="single" w:sz="4" w:space="0" w:color="auto"/>
                  <w:right w:val="single" w:sz="4" w:space="0" w:color="auto"/>
                </w:tcBorders>
                <w:vAlign w:val="center"/>
              </w:tcPr>
              <w:p w14:paraId="1BDA3966" w14:textId="77777777" w:rsidR="00E57DAA" w:rsidRDefault="00AC4185">
                <w:pPr>
                  <w:autoSpaceDE w:val="0"/>
                  <w:autoSpaceDN w:val="0"/>
                  <w:adjustRightInd w:val="0"/>
                  <w:jc w:val="center"/>
                  <w:rPr>
                    <w:szCs w:val="21"/>
                  </w:rPr>
                </w:pPr>
                <w:r>
                  <w:rPr>
                    <w:rFonts w:hint="eastAsia"/>
                    <w:szCs w:val="21"/>
                  </w:rPr>
                  <w:t>合计</w:t>
                </w:r>
              </w:p>
            </w:tc>
          </w:sdtContent>
        </w:sdt>
        <w:tc>
          <w:tcPr>
            <w:tcW w:w="1365" w:type="pct"/>
            <w:tcBorders>
              <w:top w:val="single" w:sz="4" w:space="0" w:color="auto"/>
              <w:left w:val="single" w:sz="4" w:space="0" w:color="auto"/>
              <w:bottom w:val="single" w:sz="4" w:space="0" w:color="auto"/>
              <w:right w:val="single" w:sz="4" w:space="0" w:color="auto"/>
            </w:tcBorders>
            <w:vAlign w:val="center"/>
          </w:tcPr>
          <w:p w14:paraId="1DD8C2C4" w14:textId="77777777" w:rsidR="00E57DAA" w:rsidRDefault="00AC4185">
            <w:pPr>
              <w:jc w:val="right"/>
              <w:rPr>
                <w:szCs w:val="21"/>
              </w:rPr>
            </w:pPr>
            <w:r>
              <w:rPr>
                <w:rFonts w:hint="eastAsia"/>
                <w:szCs w:val="21"/>
              </w:rPr>
              <w:t>78,387,258.49</w:t>
            </w:r>
          </w:p>
        </w:tc>
        <w:tc>
          <w:tcPr>
            <w:tcW w:w="1468" w:type="pct"/>
            <w:tcBorders>
              <w:top w:val="single" w:sz="4" w:space="0" w:color="auto"/>
              <w:left w:val="single" w:sz="4" w:space="0" w:color="auto"/>
              <w:bottom w:val="single" w:sz="4" w:space="0" w:color="auto"/>
              <w:right w:val="single" w:sz="4" w:space="0" w:color="auto"/>
            </w:tcBorders>
            <w:vAlign w:val="center"/>
          </w:tcPr>
          <w:p w14:paraId="1FB4A256" w14:textId="77777777" w:rsidR="00E57DAA" w:rsidRDefault="00AC4185">
            <w:pPr>
              <w:autoSpaceDE w:val="0"/>
              <w:autoSpaceDN w:val="0"/>
              <w:adjustRightInd w:val="0"/>
              <w:jc w:val="right"/>
              <w:rPr>
                <w:szCs w:val="21"/>
              </w:rPr>
            </w:pPr>
            <w:r>
              <w:rPr>
                <w:rFonts w:hint="eastAsia"/>
                <w:szCs w:val="21"/>
              </w:rPr>
              <w:t>-19,652,707.15</w:t>
            </w:r>
          </w:p>
        </w:tc>
      </w:tr>
    </w:tbl>
    <w:p w14:paraId="5FC301E4" w14:textId="77777777" w:rsidR="00E57DAA" w:rsidRDefault="00AC4185">
      <w:pPr>
        <w:spacing w:before="60" w:after="60"/>
        <w:rPr>
          <w:szCs w:val="21"/>
        </w:rPr>
      </w:pPr>
      <w:r>
        <w:rPr>
          <w:rFonts w:hint="eastAsia"/>
          <w:szCs w:val="21"/>
        </w:rPr>
        <w:t>其他说明：</w:t>
      </w:r>
    </w:p>
    <w:sdt>
      <w:sdtPr>
        <w:rPr>
          <w:rFonts w:hint="eastAsia"/>
          <w:szCs w:val="21"/>
        </w:rPr>
        <w:alias w:val="公允价值变动收益的说明"/>
        <w:tag w:val="_GBC_2de79fa0260c440dae18401771bdd5db"/>
        <w:id w:val="-477225520"/>
      </w:sdtPr>
      <w:sdtEndPr/>
      <w:sdtContent>
        <w:p w14:paraId="572C75BF" w14:textId="77777777" w:rsidR="00E57DAA" w:rsidRDefault="00AC4185">
          <w:pPr>
            <w:rPr>
              <w:szCs w:val="21"/>
            </w:rPr>
          </w:pPr>
          <w:r>
            <w:rPr>
              <w:rFonts w:hint="eastAsia"/>
              <w:szCs w:val="21"/>
            </w:rPr>
            <w:t>交易性金融资产公允价值变动损益主要是根据本公司于2022年收购的子公司浙江博宇机电有限公司时的业绩承诺所确认的或有对价13,095.85万元，计入了公允价值变动损益。</w:t>
          </w:r>
        </w:p>
      </w:sdtContent>
    </w:sdt>
    <w:p w14:paraId="5FAE0C22" w14:textId="77777777" w:rsidR="00E57DAA" w:rsidRDefault="00E57DAA"/>
    <w:p w14:paraId="331455D6" w14:textId="77777777" w:rsidR="00E57DAA" w:rsidRDefault="00AC4185" w:rsidP="00C25422">
      <w:pPr>
        <w:pStyle w:val="91"/>
        <w:numPr>
          <w:ilvl w:val="0"/>
          <w:numId w:val="69"/>
        </w:numPr>
      </w:pPr>
      <w:r>
        <w:rPr>
          <w:rFonts w:hint="eastAsia"/>
        </w:rPr>
        <w:t>信用减值损失</w:t>
      </w:r>
    </w:p>
    <w:sdt>
      <w:sdtPr>
        <w:alias w:val="是否适用：信用减值损失[双击切换]"/>
        <w:tag w:val="_GBC_3e1c9d9dad6c4530991d2befd4b098e3"/>
        <w:id w:val="-210507057"/>
        <w:placeholder>
          <w:docPart w:val="GBC22222222222222222222222222222"/>
        </w:placeholder>
      </w:sdtPr>
      <w:sdtEndPr/>
      <w:sdtContent>
        <w:p w14:paraId="2E2DB24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1D4F32" w14:textId="77777777" w:rsidR="00E57DAA" w:rsidRDefault="00AC4185" w:rsidP="00451496">
      <w:pPr>
        <w:pStyle w:val="73"/>
        <w:ind w:firstLineChars="3300" w:firstLine="6600"/>
      </w:pPr>
      <w:r>
        <w:rPr>
          <w:rFonts w:hint="eastAsia"/>
        </w:rPr>
        <w:t>单位：</w:t>
      </w:r>
      <w:sdt>
        <w:sdtPr>
          <w:rPr>
            <w:rFonts w:hint="eastAsia"/>
          </w:rPr>
          <w:alias w:val="单位：信用减值损失"/>
          <w:tag w:val="_GBC_64c0f12c02d44b548838a6936d90e525"/>
          <w:id w:val="18109008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17920812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2620"/>
        <w:gridCol w:w="2643"/>
      </w:tblGrid>
      <w:tr w:rsidR="00E57DAA" w14:paraId="5E100AC9" w14:textId="77777777">
        <w:sdt>
          <w:sdtPr>
            <w:tag w:val="_PLD_32efbc222fba4f8b87e71fbd7550f57d"/>
            <w:id w:val="1589663259"/>
          </w:sdtPr>
          <w:sdtEndPr/>
          <w:sdtContent>
            <w:tc>
              <w:tcPr>
                <w:tcW w:w="2017" w:type="pct"/>
                <w:shd w:val="clear" w:color="auto" w:fill="auto"/>
                <w:vAlign w:val="center"/>
              </w:tcPr>
              <w:p w14:paraId="4173FF3D" w14:textId="77777777" w:rsidR="00E57DAA" w:rsidRDefault="00AC4185">
                <w:pPr>
                  <w:jc w:val="center"/>
                  <w:rPr>
                    <w:szCs w:val="21"/>
                  </w:rPr>
                </w:pPr>
                <w:r>
                  <w:rPr>
                    <w:rFonts w:hint="eastAsia"/>
                    <w:szCs w:val="21"/>
                  </w:rPr>
                  <w:t>项目</w:t>
                </w:r>
              </w:p>
            </w:tc>
          </w:sdtContent>
        </w:sdt>
        <w:sdt>
          <w:sdtPr>
            <w:tag w:val="_PLD_57fc93ac35684eca9207e23d2b2d6664"/>
            <w:id w:val="-1416927268"/>
          </w:sdtPr>
          <w:sdtEndPr/>
          <w:sdtContent>
            <w:tc>
              <w:tcPr>
                <w:tcW w:w="1485" w:type="pct"/>
                <w:shd w:val="clear" w:color="auto" w:fill="auto"/>
                <w:vAlign w:val="center"/>
              </w:tcPr>
              <w:p w14:paraId="1A13AB58" w14:textId="77777777" w:rsidR="00E57DAA" w:rsidRDefault="00AC4185">
                <w:pPr>
                  <w:jc w:val="center"/>
                  <w:rPr>
                    <w:szCs w:val="21"/>
                  </w:rPr>
                </w:pPr>
                <w:r>
                  <w:rPr>
                    <w:rFonts w:hint="eastAsia"/>
                    <w:szCs w:val="21"/>
                  </w:rPr>
                  <w:t>本期发生额</w:t>
                </w:r>
              </w:p>
            </w:tc>
          </w:sdtContent>
        </w:sdt>
        <w:sdt>
          <w:sdtPr>
            <w:tag w:val="_PLD_ddb6bc4a58314fb2abbbb04ed4af2419"/>
            <w:id w:val="-886651191"/>
          </w:sdtPr>
          <w:sdtEndPr/>
          <w:sdtContent>
            <w:tc>
              <w:tcPr>
                <w:tcW w:w="1498" w:type="pct"/>
                <w:shd w:val="clear" w:color="auto" w:fill="auto"/>
                <w:vAlign w:val="center"/>
              </w:tcPr>
              <w:p w14:paraId="7FA0FCD2" w14:textId="77777777" w:rsidR="00E57DAA" w:rsidRDefault="00AC4185">
                <w:pPr>
                  <w:jc w:val="center"/>
                  <w:rPr>
                    <w:szCs w:val="21"/>
                  </w:rPr>
                </w:pPr>
                <w:r>
                  <w:rPr>
                    <w:rFonts w:hint="eastAsia"/>
                    <w:szCs w:val="21"/>
                  </w:rPr>
                  <w:t>上期发生额</w:t>
                </w:r>
              </w:p>
            </w:tc>
          </w:sdtContent>
        </w:sdt>
      </w:tr>
      <w:tr w:rsidR="00E57DAA" w14:paraId="2C09A6C4" w14:textId="77777777">
        <w:tc>
          <w:tcPr>
            <w:tcW w:w="2017" w:type="pct"/>
            <w:shd w:val="clear" w:color="auto" w:fill="auto"/>
            <w:vAlign w:val="center"/>
          </w:tcPr>
          <w:p w14:paraId="287A9CA9" w14:textId="77777777" w:rsidR="00E57DAA" w:rsidRDefault="00AC4185">
            <w:pPr>
              <w:rPr>
                <w:szCs w:val="21"/>
              </w:rPr>
            </w:pPr>
            <w:r>
              <w:rPr>
                <w:rFonts w:hint="eastAsia"/>
                <w:szCs w:val="21"/>
              </w:rPr>
              <w:t>应收票据坏账损失</w:t>
            </w:r>
          </w:p>
        </w:tc>
        <w:tc>
          <w:tcPr>
            <w:tcW w:w="1485" w:type="pct"/>
            <w:shd w:val="clear" w:color="auto" w:fill="auto"/>
            <w:vAlign w:val="center"/>
          </w:tcPr>
          <w:p w14:paraId="02D8B87E" w14:textId="77777777" w:rsidR="00E57DAA" w:rsidRDefault="00AC4185">
            <w:pPr>
              <w:jc w:val="right"/>
              <w:rPr>
                <w:szCs w:val="21"/>
              </w:rPr>
            </w:pPr>
            <w:r>
              <w:t>1,212,141.81</w:t>
            </w:r>
          </w:p>
        </w:tc>
        <w:tc>
          <w:tcPr>
            <w:tcW w:w="1498" w:type="pct"/>
            <w:shd w:val="clear" w:color="auto" w:fill="auto"/>
            <w:vAlign w:val="center"/>
          </w:tcPr>
          <w:p w14:paraId="4F2A7CFC" w14:textId="77777777" w:rsidR="00E57DAA" w:rsidRDefault="00AC4185">
            <w:pPr>
              <w:jc w:val="right"/>
              <w:rPr>
                <w:szCs w:val="21"/>
              </w:rPr>
            </w:pPr>
            <w:r>
              <w:t>327,436.30</w:t>
            </w:r>
          </w:p>
        </w:tc>
      </w:tr>
      <w:tr w:rsidR="00E57DAA" w14:paraId="29C529DC" w14:textId="77777777">
        <w:tc>
          <w:tcPr>
            <w:tcW w:w="2017" w:type="pct"/>
            <w:shd w:val="clear" w:color="auto" w:fill="auto"/>
            <w:vAlign w:val="center"/>
          </w:tcPr>
          <w:p w14:paraId="094F882B" w14:textId="77777777" w:rsidR="00E57DAA" w:rsidRDefault="00AC4185">
            <w:pPr>
              <w:rPr>
                <w:szCs w:val="21"/>
              </w:rPr>
            </w:pPr>
            <w:r>
              <w:rPr>
                <w:rFonts w:hint="eastAsia"/>
                <w:szCs w:val="21"/>
              </w:rPr>
              <w:t>应收账款坏账损失</w:t>
            </w:r>
          </w:p>
        </w:tc>
        <w:tc>
          <w:tcPr>
            <w:tcW w:w="1485" w:type="pct"/>
            <w:shd w:val="clear" w:color="auto" w:fill="auto"/>
            <w:vAlign w:val="center"/>
          </w:tcPr>
          <w:p w14:paraId="4B27A0BA" w14:textId="77777777" w:rsidR="00E57DAA" w:rsidRDefault="00AC4185">
            <w:pPr>
              <w:jc w:val="right"/>
              <w:rPr>
                <w:szCs w:val="21"/>
              </w:rPr>
            </w:pPr>
            <w:r>
              <w:t>-206,281,548.62</w:t>
            </w:r>
          </w:p>
        </w:tc>
        <w:tc>
          <w:tcPr>
            <w:tcW w:w="1498" w:type="pct"/>
            <w:shd w:val="clear" w:color="auto" w:fill="auto"/>
            <w:vAlign w:val="center"/>
          </w:tcPr>
          <w:p w14:paraId="4A4DE7DF" w14:textId="77777777" w:rsidR="00E57DAA" w:rsidRDefault="00AC4185">
            <w:pPr>
              <w:jc w:val="right"/>
              <w:rPr>
                <w:szCs w:val="21"/>
              </w:rPr>
            </w:pPr>
            <w:r>
              <w:t>-29,505,252.97</w:t>
            </w:r>
          </w:p>
        </w:tc>
      </w:tr>
      <w:tr w:rsidR="00E57DAA" w14:paraId="568DC827" w14:textId="77777777">
        <w:tc>
          <w:tcPr>
            <w:tcW w:w="2017" w:type="pct"/>
            <w:shd w:val="clear" w:color="auto" w:fill="auto"/>
            <w:vAlign w:val="center"/>
          </w:tcPr>
          <w:p w14:paraId="0BE39A37" w14:textId="77777777" w:rsidR="00E57DAA" w:rsidRDefault="00AC4185">
            <w:pPr>
              <w:rPr>
                <w:szCs w:val="21"/>
              </w:rPr>
            </w:pPr>
            <w:r>
              <w:rPr>
                <w:rFonts w:hint="eastAsia"/>
                <w:szCs w:val="21"/>
              </w:rPr>
              <w:t>其他应收款坏账损失</w:t>
            </w:r>
          </w:p>
        </w:tc>
        <w:tc>
          <w:tcPr>
            <w:tcW w:w="1485" w:type="pct"/>
            <w:shd w:val="clear" w:color="auto" w:fill="auto"/>
            <w:vAlign w:val="center"/>
          </w:tcPr>
          <w:p w14:paraId="359FF9C9" w14:textId="77777777" w:rsidR="00E57DAA" w:rsidRDefault="00AC4185">
            <w:pPr>
              <w:jc w:val="right"/>
              <w:rPr>
                <w:szCs w:val="21"/>
              </w:rPr>
            </w:pPr>
            <w:r>
              <w:t>-50,552,652.36</w:t>
            </w:r>
          </w:p>
        </w:tc>
        <w:tc>
          <w:tcPr>
            <w:tcW w:w="1498" w:type="pct"/>
            <w:shd w:val="clear" w:color="auto" w:fill="auto"/>
            <w:vAlign w:val="center"/>
          </w:tcPr>
          <w:p w14:paraId="553E6AA3" w14:textId="77777777" w:rsidR="00E57DAA" w:rsidRDefault="00AC4185">
            <w:pPr>
              <w:jc w:val="right"/>
              <w:rPr>
                <w:szCs w:val="21"/>
              </w:rPr>
            </w:pPr>
            <w:r>
              <w:t>-33,508,854.78</w:t>
            </w:r>
          </w:p>
        </w:tc>
      </w:tr>
      <w:tr w:rsidR="00E57DAA" w14:paraId="7F2FFCB2" w14:textId="77777777">
        <w:tc>
          <w:tcPr>
            <w:tcW w:w="2017" w:type="pct"/>
            <w:shd w:val="clear" w:color="auto" w:fill="auto"/>
            <w:vAlign w:val="center"/>
          </w:tcPr>
          <w:p w14:paraId="18447150" w14:textId="77777777" w:rsidR="00E57DAA" w:rsidRDefault="00AC4185">
            <w:pPr>
              <w:rPr>
                <w:szCs w:val="21"/>
              </w:rPr>
            </w:pPr>
            <w:r>
              <w:rPr>
                <w:rFonts w:hint="eastAsia"/>
                <w:szCs w:val="21"/>
              </w:rPr>
              <w:lastRenderedPageBreak/>
              <w:t>长期应收款坏账损失</w:t>
            </w:r>
          </w:p>
        </w:tc>
        <w:tc>
          <w:tcPr>
            <w:tcW w:w="1485" w:type="pct"/>
            <w:shd w:val="clear" w:color="auto" w:fill="auto"/>
            <w:vAlign w:val="center"/>
          </w:tcPr>
          <w:p w14:paraId="14BBC82E" w14:textId="77777777" w:rsidR="00E57DAA" w:rsidRDefault="00AC4185">
            <w:pPr>
              <w:jc w:val="right"/>
              <w:rPr>
                <w:szCs w:val="21"/>
              </w:rPr>
            </w:pPr>
            <w:r>
              <w:t>-17,365,335.37</w:t>
            </w:r>
          </w:p>
        </w:tc>
        <w:tc>
          <w:tcPr>
            <w:tcW w:w="1498" w:type="pct"/>
            <w:shd w:val="clear" w:color="auto" w:fill="auto"/>
            <w:vAlign w:val="center"/>
          </w:tcPr>
          <w:p w14:paraId="02FB5672" w14:textId="77777777" w:rsidR="00E57DAA" w:rsidRDefault="00AC4185">
            <w:pPr>
              <w:jc w:val="right"/>
              <w:rPr>
                <w:szCs w:val="21"/>
              </w:rPr>
            </w:pPr>
            <w:r>
              <w:t>-25,605,833.37</w:t>
            </w:r>
          </w:p>
        </w:tc>
      </w:tr>
      <w:tr w:rsidR="00E57DAA" w14:paraId="1F1786DA" w14:textId="77777777">
        <w:tc>
          <w:tcPr>
            <w:tcW w:w="2017" w:type="pct"/>
            <w:shd w:val="clear" w:color="auto" w:fill="auto"/>
            <w:vAlign w:val="center"/>
          </w:tcPr>
          <w:p w14:paraId="6EFE3C17" w14:textId="77777777" w:rsidR="00E57DAA" w:rsidRDefault="00AC4185">
            <w:pPr>
              <w:jc w:val="center"/>
              <w:rPr>
                <w:szCs w:val="21"/>
              </w:rPr>
            </w:pPr>
            <w:r>
              <w:rPr>
                <w:rFonts w:hint="eastAsia"/>
                <w:szCs w:val="21"/>
              </w:rPr>
              <w:t>合计</w:t>
            </w:r>
          </w:p>
        </w:tc>
        <w:tc>
          <w:tcPr>
            <w:tcW w:w="1485" w:type="pct"/>
            <w:shd w:val="clear" w:color="auto" w:fill="auto"/>
            <w:vAlign w:val="center"/>
          </w:tcPr>
          <w:p w14:paraId="2A541FD7" w14:textId="77777777" w:rsidR="00E57DAA" w:rsidRDefault="00AC4185">
            <w:pPr>
              <w:jc w:val="right"/>
              <w:rPr>
                <w:szCs w:val="21"/>
              </w:rPr>
            </w:pPr>
            <w:r>
              <w:t>-272,987,394.54</w:t>
            </w:r>
          </w:p>
        </w:tc>
        <w:tc>
          <w:tcPr>
            <w:tcW w:w="1498" w:type="pct"/>
            <w:shd w:val="clear" w:color="auto" w:fill="auto"/>
            <w:vAlign w:val="center"/>
          </w:tcPr>
          <w:p w14:paraId="78563AB7" w14:textId="77777777" w:rsidR="00E57DAA" w:rsidRDefault="00AC4185">
            <w:pPr>
              <w:jc w:val="right"/>
              <w:rPr>
                <w:szCs w:val="21"/>
              </w:rPr>
            </w:pPr>
            <w:r>
              <w:t>-88,292,504.82</w:t>
            </w:r>
          </w:p>
        </w:tc>
      </w:tr>
    </w:tbl>
    <w:p w14:paraId="649D2326" w14:textId="77777777" w:rsidR="00E57DAA" w:rsidRDefault="00E57DAA" w:rsidP="00C25422">
      <w:pPr>
        <w:pStyle w:val="92"/>
      </w:pPr>
    </w:p>
    <w:p w14:paraId="7B5A4D5B" w14:textId="77777777" w:rsidR="00E57DAA" w:rsidRDefault="00AC4185" w:rsidP="00C25422">
      <w:pPr>
        <w:pStyle w:val="91"/>
        <w:numPr>
          <w:ilvl w:val="0"/>
          <w:numId w:val="69"/>
        </w:numPr>
      </w:pPr>
      <w:r>
        <w:rPr>
          <w:rFonts w:hint="eastAsia"/>
        </w:rPr>
        <w:t>资产减值损失</w:t>
      </w:r>
    </w:p>
    <w:sdt>
      <w:sdtPr>
        <w:alias w:val="是否适用：资产减值损失[双击切换]"/>
        <w:tag w:val="_GBC_8b37643fea7c43289fdaf85f79b2bcae"/>
        <w:id w:val="2136204013"/>
        <w:placeholder>
          <w:docPart w:val="GBC22222222222222222222222222222"/>
        </w:placeholder>
      </w:sdtPr>
      <w:sdtEndPr/>
      <w:sdtContent>
        <w:p w14:paraId="5256931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56D7DD" w14:textId="77777777" w:rsidR="00E57DAA" w:rsidRDefault="00AC4185">
      <w:pPr>
        <w:jc w:val="right"/>
        <w:rPr>
          <w:szCs w:val="21"/>
        </w:rPr>
      </w:pPr>
      <w:r>
        <w:rPr>
          <w:rFonts w:hint="eastAsia"/>
          <w:szCs w:val="21"/>
        </w:rPr>
        <w:t>单位：</w:t>
      </w:r>
      <w:sdt>
        <w:sdtPr>
          <w:rPr>
            <w:rFonts w:hint="eastAsia"/>
            <w:szCs w:val="21"/>
          </w:rPr>
          <w:alias w:val="单位：财务附注：资产减值损失"/>
          <w:tag w:val="_GBC_fe85f36c54dd476ea970b9d8ae08135d"/>
          <w:id w:val="895095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3467887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gridCol w:w="2626"/>
        <w:gridCol w:w="2636"/>
      </w:tblGrid>
      <w:tr w:rsidR="00E57DAA" w14:paraId="70BAC7D0" w14:textId="77777777">
        <w:sdt>
          <w:sdtPr>
            <w:tag w:val="_PLD_344de032f71b4e06985c561df3bcf55a"/>
            <w:id w:val="-439138544"/>
          </w:sdtPr>
          <w:sdtEndPr/>
          <w:sdtContent>
            <w:tc>
              <w:tcPr>
                <w:tcW w:w="2018" w:type="pct"/>
                <w:tcBorders>
                  <w:top w:val="single" w:sz="4" w:space="0" w:color="auto"/>
                  <w:left w:val="single" w:sz="4" w:space="0" w:color="auto"/>
                  <w:bottom w:val="single" w:sz="4" w:space="0" w:color="auto"/>
                  <w:right w:val="single" w:sz="4" w:space="0" w:color="auto"/>
                </w:tcBorders>
                <w:vAlign w:val="center"/>
              </w:tcPr>
              <w:p w14:paraId="44A41DB0" w14:textId="77777777" w:rsidR="00E57DAA" w:rsidRDefault="00AC4185">
                <w:pPr>
                  <w:autoSpaceDE w:val="0"/>
                  <w:autoSpaceDN w:val="0"/>
                  <w:adjustRightInd w:val="0"/>
                  <w:jc w:val="center"/>
                  <w:rPr>
                    <w:szCs w:val="21"/>
                  </w:rPr>
                </w:pPr>
                <w:r>
                  <w:rPr>
                    <w:rFonts w:hint="eastAsia"/>
                    <w:szCs w:val="21"/>
                  </w:rPr>
                  <w:t>项目</w:t>
                </w:r>
              </w:p>
            </w:tc>
          </w:sdtContent>
        </w:sdt>
        <w:sdt>
          <w:sdtPr>
            <w:tag w:val="_PLD_9551307ec5c049a3aa84c3c7d3e61d92"/>
            <w:id w:val="-2100084524"/>
          </w:sdtPr>
          <w:sdtEndPr/>
          <w:sdtContent>
            <w:tc>
              <w:tcPr>
                <w:tcW w:w="1488" w:type="pct"/>
                <w:tcBorders>
                  <w:top w:val="single" w:sz="4" w:space="0" w:color="auto"/>
                  <w:left w:val="single" w:sz="4" w:space="0" w:color="auto"/>
                  <w:bottom w:val="single" w:sz="4" w:space="0" w:color="auto"/>
                  <w:right w:val="single" w:sz="4" w:space="0" w:color="auto"/>
                </w:tcBorders>
                <w:vAlign w:val="center"/>
              </w:tcPr>
              <w:p w14:paraId="6713D20F" w14:textId="77777777" w:rsidR="00E57DAA" w:rsidRDefault="00AC4185">
                <w:pPr>
                  <w:autoSpaceDE w:val="0"/>
                  <w:autoSpaceDN w:val="0"/>
                  <w:adjustRightInd w:val="0"/>
                  <w:jc w:val="center"/>
                  <w:rPr>
                    <w:szCs w:val="21"/>
                  </w:rPr>
                </w:pPr>
                <w:r>
                  <w:rPr>
                    <w:rFonts w:hint="eastAsia"/>
                    <w:szCs w:val="21"/>
                  </w:rPr>
                  <w:t>本期发生额</w:t>
                </w:r>
              </w:p>
            </w:tc>
          </w:sdtContent>
        </w:sdt>
        <w:sdt>
          <w:sdtPr>
            <w:tag w:val="_PLD_46a2a62cd1b1406f877f135b9d7e38a6"/>
            <w:id w:val="1465693251"/>
          </w:sdtPr>
          <w:sdtEndPr/>
          <w:sdtContent>
            <w:tc>
              <w:tcPr>
                <w:tcW w:w="1494" w:type="pct"/>
                <w:tcBorders>
                  <w:top w:val="single" w:sz="4" w:space="0" w:color="auto"/>
                  <w:left w:val="single" w:sz="4" w:space="0" w:color="auto"/>
                  <w:bottom w:val="single" w:sz="4" w:space="0" w:color="auto"/>
                  <w:right w:val="single" w:sz="4" w:space="0" w:color="auto"/>
                </w:tcBorders>
                <w:vAlign w:val="center"/>
              </w:tcPr>
              <w:p w14:paraId="7E6E8394" w14:textId="77777777" w:rsidR="00E57DAA" w:rsidRDefault="00AC4185">
                <w:pPr>
                  <w:autoSpaceDE w:val="0"/>
                  <w:autoSpaceDN w:val="0"/>
                  <w:adjustRightInd w:val="0"/>
                  <w:jc w:val="center"/>
                  <w:rPr>
                    <w:szCs w:val="21"/>
                  </w:rPr>
                </w:pPr>
                <w:r>
                  <w:rPr>
                    <w:rFonts w:hint="eastAsia"/>
                    <w:szCs w:val="21"/>
                  </w:rPr>
                  <w:t>上期发生额</w:t>
                </w:r>
              </w:p>
            </w:tc>
          </w:sdtContent>
        </w:sdt>
      </w:tr>
      <w:tr w:rsidR="00E57DAA" w14:paraId="16819749" w14:textId="77777777">
        <w:tc>
          <w:tcPr>
            <w:tcW w:w="2018" w:type="pct"/>
            <w:tcBorders>
              <w:top w:val="single" w:sz="4" w:space="0" w:color="auto"/>
              <w:left w:val="single" w:sz="4" w:space="0" w:color="auto"/>
              <w:bottom w:val="single" w:sz="4" w:space="0" w:color="auto"/>
              <w:right w:val="single" w:sz="4" w:space="0" w:color="auto"/>
            </w:tcBorders>
          </w:tcPr>
          <w:p w14:paraId="48906AED" w14:textId="77777777" w:rsidR="00E57DAA" w:rsidRDefault="00AC4185">
            <w:pPr>
              <w:autoSpaceDE w:val="0"/>
              <w:autoSpaceDN w:val="0"/>
              <w:adjustRightInd w:val="0"/>
            </w:pPr>
            <w:r>
              <w:rPr>
                <w:rFonts w:hint="eastAsia"/>
              </w:rPr>
              <w:t>一、合同资产减值损失</w:t>
            </w:r>
          </w:p>
        </w:tc>
        <w:tc>
          <w:tcPr>
            <w:tcW w:w="1488" w:type="pct"/>
            <w:tcBorders>
              <w:top w:val="single" w:sz="4" w:space="0" w:color="auto"/>
              <w:left w:val="single" w:sz="4" w:space="0" w:color="auto"/>
              <w:bottom w:val="single" w:sz="4" w:space="0" w:color="auto"/>
              <w:right w:val="single" w:sz="4" w:space="0" w:color="auto"/>
            </w:tcBorders>
            <w:vAlign w:val="center"/>
          </w:tcPr>
          <w:p w14:paraId="6762E362" w14:textId="77777777" w:rsidR="00E57DAA" w:rsidRDefault="00AC4185">
            <w:pPr>
              <w:jc w:val="right"/>
              <w:rPr>
                <w:szCs w:val="21"/>
              </w:rPr>
            </w:pPr>
            <w:r>
              <w:t>-79,991,086.96</w:t>
            </w:r>
          </w:p>
        </w:tc>
        <w:tc>
          <w:tcPr>
            <w:tcW w:w="1494" w:type="pct"/>
            <w:tcBorders>
              <w:top w:val="single" w:sz="4" w:space="0" w:color="auto"/>
              <w:left w:val="single" w:sz="4" w:space="0" w:color="auto"/>
              <w:bottom w:val="single" w:sz="4" w:space="0" w:color="auto"/>
              <w:right w:val="single" w:sz="4" w:space="0" w:color="auto"/>
            </w:tcBorders>
            <w:vAlign w:val="center"/>
          </w:tcPr>
          <w:p w14:paraId="57BA05E9" w14:textId="77777777" w:rsidR="00E57DAA" w:rsidRDefault="00AC4185">
            <w:pPr>
              <w:jc w:val="right"/>
              <w:rPr>
                <w:szCs w:val="21"/>
              </w:rPr>
            </w:pPr>
            <w:r>
              <w:t>-39,069,468.89</w:t>
            </w:r>
          </w:p>
        </w:tc>
      </w:tr>
      <w:tr w:rsidR="00E57DAA" w14:paraId="4FD86DCA" w14:textId="77777777">
        <w:tc>
          <w:tcPr>
            <w:tcW w:w="2018" w:type="pct"/>
            <w:tcBorders>
              <w:top w:val="single" w:sz="4" w:space="0" w:color="auto"/>
              <w:left w:val="single" w:sz="4" w:space="0" w:color="auto"/>
              <w:bottom w:val="single" w:sz="4" w:space="0" w:color="auto"/>
              <w:right w:val="single" w:sz="4" w:space="0" w:color="auto"/>
            </w:tcBorders>
          </w:tcPr>
          <w:p w14:paraId="0495849E" w14:textId="77777777" w:rsidR="00E57DAA" w:rsidRDefault="00AC4185">
            <w:pPr>
              <w:autoSpaceDE w:val="0"/>
              <w:autoSpaceDN w:val="0"/>
              <w:adjustRightInd w:val="0"/>
            </w:pPr>
            <w:r>
              <w:rPr>
                <w:rFonts w:hint="eastAsia"/>
              </w:rPr>
              <w:t>二、存货跌价损失及合同履约成本减值损失</w:t>
            </w:r>
          </w:p>
        </w:tc>
        <w:tc>
          <w:tcPr>
            <w:tcW w:w="1488" w:type="pct"/>
            <w:tcBorders>
              <w:top w:val="single" w:sz="4" w:space="0" w:color="auto"/>
              <w:left w:val="single" w:sz="4" w:space="0" w:color="auto"/>
              <w:bottom w:val="single" w:sz="4" w:space="0" w:color="auto"/>
              <w:right w:val="single" w:sz="4" w:space="0" w:color="auto"/>
            </w:tcBorders>
            <w:vAlign w:val="center"/>
          </w:tcPr>
          <w:p w14:paraId="770D649B" w14:textId="77777777" w:rsidR="00E57DAA" w:rsidRDefault="00AC4185">
            <w:pPr>
              <w:jc w:val="right"/>
              <w:rPr>
                <w:szCs w:val="21"/>
              </w:rPr>
            </w:pPr>
            <w:r>
              <w:t>-1,355,048.65</w:t>
            </w:r>
          </w:p>
        </w:tc>
        <w:tc>
          <w:tcPr>
            <w:tcW w:w="1494" w:type="pct"/>
            <w:tcBorders>
              <w:top w:val="single" w:sz="4" w:space="0" w:color="auto"/>
              <w:left w:val="single" w:sz="4" w:space="0" w:color="auto"/>
              <w:bottom w:val="single" w:sz="4" w:space="0" w:color="auto"/>
              <w:right w:val="single" w:sz="4" w:space="0" w:color="auto"/>
            </w:tcBorders>
            <w:vAlign w:val="center"/>
          </w:tcPr>
          <w:p w14:paraId="57D98BE3" w14:textId="77777777" w:rsidR="00E57DAA" w:rsidRDefault="00AC4185">
            <w:pPr>
              <w:jc w:val="right"/>
              <w:rPr>
                <w:szCs w:val="21"/>
              </w:rPr>
            </w:pPr>
            <w:r>
              <w:t>-5,075,290.02</w:t>
            </w:r>
          </w:p>
        </w:tc>
      </w:tr>
      <w:tr w:rsidR="00E57DAA" w14:paraId="307BF28F" w14:textId="77777777">
        <w:tc>
          <w:tcPr>
            <w:tcW w:w="2018" w:type="pct"/>
            <w:tcBorders>
              <w:top w:val="single" w:sz="4" w:space="0" w:color="auto"/>
              <w:left w:val="single" w:sz="4" w:space="0" w:color="auto"/>
              <w:bottom w:val="single" w:sz="4" w:space="0" w:color="auto"/>
              <w:right w:val="single" w:sz="4" w:space="0" w:color="auto"/>
            </w:tcBorders>
          </w:tcPr>
          <w:p w14:paraId="3CF8AE8E" w14:textId="77777777" w:rsidR="00E57DAA" w:rsidRDefault="00AC4185">
            <w:pPr>
              <w:autoSpaceDE w:val="0"/>
              <w:autoSpaceDN w:val="0"/>
              <w:adjustRightInd w:val="0"/>
            </w:pPr>
            <w:r>
              <w:rPr>
                <w:rFonts w:hint="eastAsia"/>
              </w:rPr>
              <w:t>三、长期股权投资减值损失</w:t>
            </w:r>
          </w:p>
        </w:tc>
        <w:tc>
          <w:tcPr>
            <w:tcW w:w="1488" w:type="pct"/>
            <w:tcBorders>
              <w:top w:val="single" w:sz="4" w:space="0" w:color="auto"/>
              <w:left w:val="single" w:sz="4" w:space="0" w:color="auto"/>
              <w:bottom w:val="single" w:sz="4" w:space="0" w:color="auto"/>
              <w:right w:val="single" w:sz="4" w:space="0" w:color="auto"/>
            </w:tcBorders>
          </w:tcPr>
          <w:p w14:paraId="2B4D6510" w14:textId="77777777" w:rsidR="00E57DAA" w:rsidRDefault="00E57DAA">
            <w:pPr>
              <w:autoSpaceDE w:val="0"/>
              <w:autoSpaceDN w:val="0"/>
              <w:adjustRightInd w:val="0"/>
              <w:jc w:val="right"/>
            </w:pPr>
          </w:p>
        </w:tc>
        <w:tc>
          <w:tcPr>
            <w:tcW w:w="1494" w:type="pct"/>
            <w:tcBorders>
              <w:top w:val="single" w:sz="4" w:space="0" w:color="auto"/>
              <w:left w:val="single" w:sz="4" w:space="0" w:color="auto"/>
              <w:bottom w:val="single" w:sz="4" w:space="0" w:color="auto"/>
              <w:right w:val="single" w:sz="4" w:space="0" w:color="auto"/>
            </w:tcBorders>
          </w:tcPr>
          <w:p w14:paraId="532AEABB" w14:textId="77777777" w:rsidR="00E57DAA" w:rsidRDefault="00E57DAA">
            <w:pPr>
              <w:autoSpaceDE w:val="0"/>
              <w:autoSpaceDN w:val="0"/>
              <w:adjustRightInd w:val="0"/>
              <w:jc w:val="right"/>
            </w:pPr>
          </w:p>
        </w:tc>
      </w:tr>
      <w:tr w:rsidR="00E57DAA" w14:paraId="05CABE01" w14:textId="77777777">
        <w:tc>
          <w:tcPr>
            <w:tcW w:w="2018" w:type="pct"/>
            <w:tcBorders>
              <w:top w:val="single" w:sz="4" w:space="0" w:color="auto"/>
              <w:left w:val="single" w:sz="4" w:space="0" w:color="auto"/>
              <w:bottom w:val="single" w:sz="4" w:space="0" w:color="auto"/>
              <w:right w:val="single" w:sz="4" w:space="0" w:color="auto"/>
            </w:tcBorders>
          </w:tcPr>
          <w:p w14:paraId="1E151DA3" w14:textId="77777777" w:rsidR="00E57DAA" w:rsidRDefault="00AC4185">
            <w:pPr>
              <w:autoSpaceDE w:val="0"/>
              <w:autoSpaceDN w:val="0"/>
              <w:adjustRightInd w:val="0"/>
              <w:rPr>
                <w:szCs w:val="21"/>
              </w:rPr>
            </w:pPr>
            <w:r>
              <w:rPr>
                <w:rFonts w:hint="eastAsia"/>
              </w:rPr>
              <w:t>四</w:t>
            </w:r>
            <w:r>
              <w:rPr>
                <w:rFonts w:hint="eastAsia"/>
                <w:szCs w:val="21"/>
              </w:rPr>
              <w:t>、投资性房地产减值损失</w:t>
            </w:r>
          </w:p>
        </w:tc>
        <w:tc>
          <w:tcPr>
            <w:tcW w:w="1488" w:type="pct"/>
            <w:tcBorders>
              <w:top w:val="single" w:sz="4" w:space="0" w:color="auto"/>
              <w:left w:val="single" w:sz="4" w:space="0" w:color="auto"/>
              <w:bottom w:val="single" w:sz="4" w:space="0" w:color="auto"/>
              <w:right w:val="single" w:sz="4" w:space="0" w:color="auto"/>
            </w:tcBorders>
          </w:tcPr>
          <w:p w14:paraId="2B1EA6D8"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51F381E3" w14:textId="77777777" w:rsidR="00E57DAA" w:rsidRDefault="00E57DAA">
            <w:pPr>
              <w:jc w:val="right"/>
              <w:rPr>
                <w:szCs w:val="21"/>
              </w:rPr>
            </w:pPr>
          </w:p>
        </w:tc>
      </w:tr>
      <w:tr w:rsidR="00E57DAA" w14:paraId="3B91E4A9" w14:textId="77777777">
        <w:tc>
          <w:tcPr>
            <w:tcW w:w="2018" w:type="pct"/>
            <w:tcBorders>
              <w:top w:val="single" w:sz="4" w:space="0" w:color="auto"/>
              <w:left w:val="single" w:sz="4" w:space="0" w:color="auto"/>
              <w:bottom w:val="single" w:sz="4" w:space="0" w:color="auto"/>
              <w:right w:val="single" w:sz="4" w:space="0" w:color="auto"/>
            </w:tcBorders>
          </w:tcPr>
          <w:p w14:paraId="4DE7EC5A" w14:textId="77777777" w:rsidR="00E57DAA" w:rsidRDefault="00AC4185">
            <w:pPr>
              <w:autoSpaceDE w:val="0"/>
              <w:autoSpaceDN w:val="0"/>
              <w:adjustRightInd w:val="0"/>
              <w:rPr>
                <w:szCs w:val="21"/>
              </w:rPr>
            </w:pPr>
            <w:r>
              <w:rPr>
                <w:rFonts w:hint="eastAsia"/>
              </w:rPr>
              <w:t>五</w:t>
            </w:r>
            <w:r>
              <w:rPr>
                <w:rFonts w:hint="eastAsia"/>
                <w:szCs w:val="21"/>
              </w:rPr>
              <w:t>、固定资产减值损失</w:t>
            </w:r>
          </w:p>
        </w:tc>
        <w:tc>
          <w:tcPr>
            <w:tcW w:w="1488" w:type="pct"/>
            <w:tcBorders>
              <w:top w:val="single" w:sz="4" w:space="0" w:color="auto"/>
              <w:left w:val="single" w:sz="4" w:space="0" w:color="auto"/>
              <w:bottom w:val="single" w:sz="4" w:space="0" w:color="auto"/>
              <w:right w:val="single" w:sz="4" w:space="0" w:color="auto"/>
            </w:tcBorders>
            <w:vAlign w:val="center"/>
          </w:tcPr>
          <w:p w14:paraId="5563172E" w14:textId="77777777" w:rsidR="00E57DAA" w:rsidRDefault="00AC4185">
            <w:pPr>
              <w:jc w:val="right"/>
              <w:rPr>
                <w:szCs w:val="21"/>
              </w:rPr>
            </w:pPr>
            <w:r>
              <w:t>-627,513.78</w:t>
            </w:r>
          </w:p>
        </w:tc>
        <w:tc>
          <w:tcPr>
            <w:tcW w:w="1494" w:type="pct"/>
            <w:tcBorders>
              <w:top w:val="single" w:sz="4" w:space="0" w:color="auto"/>
              <w:left w:val="single" w:sz="4" w:space="0" w:color="auto"/>
              <w:bottom w:val="single" w:sz="4" w:space="0" w:color="auto"/>
              <w:right w:val="single" w:sz="4" w:space="0" w:color="auto"/>
            </w:tcBorders>
            <w:vAlign w:val="center"/>
          </w:tcPr>
          <w:p w14:paraId="557D1B6C" w14:textId="77777777" w:rsidR="00E57DAA" w:rsidRDefault="00E57DAA">
            <w:pPr>
              <w:jc w:val="right"/>
              <w:rPr>
                <w:szCs w:val="21"/>
              </w:rPr>
            </w:pPr>
          </w:p>
        </w:tc>
      </w:tr>
      <w:tr w:rsidR="00E57DAA" w14:paraId="1DC2B134" w14:textId="77777777">
        <w:tc>
          <w:tcPr>
            <w:tcW w:w="2018" w:type="pct"/>
            <w:tcBorders>
              <w:top w:val="single" w:sz="4" w:space="0" w:color="auto"/>
              <w:left w:val="single" w:sz="4" w:space="0" w:color="auto"/>
              <w:bottom w:val="single" w:sz="4" w:space="0" w:color="auto"/>
              <w:right w:val="single" w:sz="4" w:space="0" w:color="auto"/>
            </w:tcBorders>
          </w:tcPr>
          <w:p w14:paraId="66FE0CD8" w14:textId="77777777" w:rsidR="00E57DAA" w:rsidRDefault="00AC4185">
            <w:pPr>
              <w:autoSpaceDE w:val="0"/>
              <w:autoSpaceDN w:val="0"/>
              <w:adjustRightInd w:val="0"/>
              <w:rPr>
                <w:szCs w:val="21"/>
              </w:rPr>
            </w:pPr>
            <w:r>
              <w:rPr>
                <w:rFonts w:hint="eastAsia"/>
              </w:rPr>
              <w:t>六</w:t>
            </w:r>
            <w:r>
              <w:rPr>
                <w:rFonts w:hint="eastAsia"/>
                <w:szCs w:val="21"/>
              </w:rPr>
              <w:t>、工程物资减值损失</w:t>
            </w:r>
          </w:p>
        </w:tc>
        <w:tc>
          <w:tcPr>
            <w:tcW w:w="1488" w:type="pct"/>
            <w:tcBorders>
              <w:top w:val="single" w:sz="4" w:space="0" w:color="auto"/>
              <w:left w:val="single" w:sz="4" w:space="0" w:color="auto"/>
              <w:bottom w:val="single" w:sz="4" w:space="0" w:color="auto"/>
              <w:right w:val="single" w:sz="4" w:space="0" w:color="auto"/>
            </w:tcBorders>
          </w:tcPr>
          <w:p w14:paraId="3B3FB86C"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1692EE0A" w14:textId="77777777" w:rsidR="00E57DAA" w:rsidRDefault="00E57DAA">
            <w:pPr>
              <w:jc w:val="right"/>
              <w:rPr>
                <w:szCs w:val="21"/>
              </w:rPr>
            </w:pPr>
          </w:p>
        </w:tc>
      </w:tr>
      <w:tr w:rsidR="00E57DAA" w14:paraId="5BA57E68" w14:textId="77777777">
        <w:tc>
          <w:tcPr>
            <w:tcW w:w="2018" w:type="pct"/>
            <w:tcBorders>
              <w:top w:val="single" w:sz="4" w:space="0" w:color="auto"/>
              <w:left w:val="single" w:sz="4" w:space="0" w:color="auto"/>
              <w:bottom w:val="single" w:sz="4" w:space="0" w:color="auto"/>
              <w:right w:val="single" w:sz="4" w:space="0" w:color="auto"/>
            </w:tcBorders>
          </w:tcPr>
          <w:p w14:paraId="5114DAE0" w14:textId="77777777" w:rsidR="00E57DAA" w:rsidRDefault="00AC4185">
            <w:pPr>
              <w:autoSpaceDE w:val="0"/>
              <w:autoSpaceDN w:val="0"/>
              <w:adjustRightInd w:val="0"/>
              <w:rPr>
                <w:szCs w:val="21"/>
              </w:rPr>
            </w:pPr>
            <w:r>
              <w:rPr>
                <w:rFonts w:hint="eastAsia"/>
              </w:rPr>
              <w:t>七</w:t>
            </w:r>
            <w:r>
              <w:rPr>
                <w:rFonts w:hint="eastAsia"/>
                <w:szCs w:val="21"/>
              </w:rPr>
              <w:t>、在建工程减值损失</w:t>
            </w:r>
          </w:p>
        </w:tc>
        <w:tc>
          <w:tcPr>
            <w:tcW w:w="1488" w:type="pct"/>
            <w:tcBorders>
              <w:top w:val="single" w:sz="4" w:space="0" w:color="auto"/>
              <w:left w:val="single" w:sz="4" w:space="0" w:color="auto"/>
              <w:bottom w:val="single" w:sz="4" w:space="0" w:color="auto"/>
              <w:right w:val="single" w:sz="4" w:space="0" w:color="auto"/>
            </w:tcBorders>
          </w:tcPr>
          <w:p w14:paraId="281DAC0D"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155E3F0C" w14:textId="77777777" w:rsidR="00E57DAA" w:rsidRDefault="00E57DAA">
            <w:pPr>
              <w:jc w:val="right"/>
              <w:rPr>
                <w:szCs w:val="21"/>
              </w:rPr>
            </w:pPr>
          </w:p>
        </w:tc>
      </w:tr>
      <w:tr w:rsidR="00E57DAA" w14:paraId="5A169112" w14:textId="77777777">
        <w:tc>
          <w:tcPr>
            <w:tcW w:w="2018" w:type="pct"/>
            <w:tcBorders>
              <w:top w:val="single" w:sz="4" w:space="0" w:color="auto"/>
              <w:left w:val="single" w:sz="4" w:space="0" w:color="auto"/>
              <w:bottom w:val="single" w:sz="4" w:space="0" w:color="auto"/>
              <w:right w:val="single" w:sz="4" w:space="0" w:color="auto"/>
            </w:tcBorders>
          </w:tcPr>
          <w:p w14:paraId="76EF4DD2" w14:textId="77777777" w:rsidR="00E57DAA" w:rsidRDefault="00AC4185">
            <w:pPr>
              <w:autoSpaceDE w:val="0"/>
              <w:autoSpaceDN w:val="0"/>
              <w:adjustRightInd w:val="0"/>
              <w:rPr>
                <w:szCs w:val="21"/>
              </w:rPr>
            </w:pPr>
            <w:r>
              <w:rPr>
                <w:rFonts w:hint="eastAsia"/>
              </w:rPr>
              <w:t>八</w:t>
            </w:r>
            <w:r>
              <w:rPr>
                <w:rFonts w:hint="eastAsia"/>
                <w:szCs w:val="21"/>
              </w:rPr>
              <w:t>、生产性生物资产减值损失</w:t>
            </w:r>
          </w:p>
        </w:tc>
        <w:tc>
          <w:tcPr>
            <w:tcW w:w="1488" w:type="pct"/>
            <w:tcBorders>
              <w:top w:val="single" w:sz="4" w:space="0" w:color="auto"/>
              <w:left w:val="single" w:sz="4" w:space="0" w:color="auto"/>
              <w:bottom w:val="single" w:sz="4" w:space="0" w:color="auto"/>
              <w:right w:val="single" w:sz="4" w:space="0" w:color="auto"/>
            </w:tcBorders>
          </w:tcPr>
          <w:p w14:paraId="55895CA9"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11B4A47A" w14:textId="77777777" w:rsidR="00E57DAA" w:rsidRDefault="00E57DAA">
            <w:pPr>
              <w:jc w:val="right"/>
              <w:rPr>
                <w:szCs w:val="21"/>
              </w:rPr>
            </w:pPr>
          </w:p>
        </w:tc>
      </w:tr>
      <w:tr w:rsidR="00E57DAA" w14:paraId="30C91585" w14:textId="77777777">
        <w:tc>
          <w:tcPr>
            <w:tcW w:w="2018" w:type="pct"/>
            <w:tcBorders>
              <w:top w:val="single" w:sz="4" w:space="0" w:color="auto"/>
              <w:left w:val="single" w:sz="4" w:space="0" w:color="auto"/>
              <w:bottom w:val="single" w:sz="4" w:space="0" w:color="auto"/>
              <w:right w:val="single" w:sz="4" w:space="0" w:color="auto"/>
            </w:tcBorders>
          </w:tcPr>
          <w:p w14:paraId="2EC83496" w14:textId="77777777" w:rsidR="00E57DAA" w:rsidRDefault="00AC4185">
            <w:pPr>
              <w:autoSpaceDE w:val="0"/>
              <w:autoSpaceDN w:val="0"/>
              <w:adjustRightInd w:val="0"/>
              <w:rPr>
                <w:szCs w:val="21"/>
              </w:rPr>
            </w:pPr>
            <w:r>
              <w:rPr>
                <w:rFonts w:hint="eastAsia"/>
              </w:rPr>
              <w:t>九</w:t>
            </w:r>
            <w:r>
              <w:rPr>
                <w:rFonts w:hint="eastAsia"/>
                <w:szCs w:val="21"/>
              </w:rPr>
              <w:t>、油气资产减值损失</w:t>
            </w:r>
          </w:p>
        </w:tc>
        <w:tc>
          <w:tcPr>
            <w:tcW w:w="1488" w:type="pct"/>
            <w:tcBorders>
              <w:top w:val="single" w:sz="4" w:space="0" w:color="auto"/>
              <w:left w:val="single" w:sz="4" w:space="0" w:color="auto"/>
              <w:bottom w:val="single" w:sz="4" w:space="0" w:color="auto"/>
              <w:right w:val="single" w:sz="4" w:space="0" w:color="auto"/>
            </w:tcBorders>
          </w:tcPr>
          <w:p w14:paraId="51961830"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062ABE09" w14:textId="77777777" w:rsidR="00E57DAA" w:rsidRDefault="00E57DAA">
            <w:pPr>
              <w:jc w:val="right"/>
              <w:rPr>
                <w:szCs w:val="21"/>
              </w:rPr>
            </w:pPr>
          </w:p>
        </w:tc>
      </w:tr>
      <w:tr w:rsidR="00E57DAA" w14:paraId="6FA69648" w14:textId="77777777">
        <w:tc>
          <w:tcPr>
            <w:tcW w:w="2018" w:type="pct"/>
            <w:tcBorders>
              <w:top w:val="single" w:sz="4" w:space="0" w:color="auto"/>
              <w:left w:val="single" w:sz="4" w:space="0" w:color="auto"/>
              <w:bottom w:val="single" w:sz="4" w:space="0" w:color="auto"/>
              <w:right w:val="single" w:sz="4" w:space="0" w:color="auto"/>
            </w:tcBorders>
          </w:tcPr>
          <w:p w14:paraId="2D4B5646" w14:textId="77777777" w:rsidR="00E57DAA" w:rsidRDefault="00AC4185">
            <w:pPr>
              <w:autoSpaceDE w:val="0"/>
              <w:autoSpaceDN w:val="0"/>
              <w:adjustRightInd w:val="0"/>
              <w:rPr>
                <w:szCs w:val="21"/>
              </w:rPr>
            </w:pPr>
            <w:r>
              <w:rPr>
                <w:rFonts w:hint="eastAsia"/>
              </w:rPr>
              <w:t>十</w:t>
            </w:r>
            <w:r>
              <w:rPr>
                <w:rFonts w:hint="eastAsia"/>
                <w:szCs w:val="21"/>
              </w:rPr>
              <w:t>、无形资产减值损失</w:t>
            </w:r>
          </w:p>
        </w:tc>
        <w:tc>
          <w:tcPr>
            <w:tcW w:w="1488" w:type="pct"/>
            <w:tcBorders>
              <w:top w:val="single" w:sz="4" w:space="0" w:color="auto"/>
              <w:left w:val="single" w:sz="4" w:space="0" w:color="auto"/>
              <w:bottom w:val="single" w:sz="4" w:space="0" w:color="auto"/>
              <w:right w:val="single" w:sz="4" w:space="0" w:color="auto"/>
            </w:tcBorders>
          </w:tcPr>
          <w:p w14:paraId="3E3995CB"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423468D5" w14:textId="77777777" w:rsidR="00E57DAA" w:rsidRDefault="00E57DAA">
            <w:pPr>
              <w:jc w:val="right"/>
              <w:rPr>
                <w:szCs w:val="21"/>
              </w:rPr>
            </w:pPr>
          </w:p>
        </w:tc>
      </w:tr>
      <w:tr w:rsidR="00E57DAA" w14:paraId="5D6B56F4" w14:textId="77777777">
        <w:tc>
          <w:tcPr>
            <w:tcW w:w="2018" w:type="pct"/>
            <w:tcBorders>
              <w:top w:val="single" w:sz="4" w:space="0" w:color="auto"/>
              <w:left w:val="single" w:sz="4" w:space="0" w:color="auto"/>
              <w:bottom w:val="single" w:sz="4" w:space="0" w:color="auto"/>
              <w:right w:val="single" w:sz="4" w:space="0" w:color="auto"/>
            </w:tcBorders>
          </w:tcPr>
          <w:p w14:paraId="64E03F5E" w14:textId="77777777" w:rsidR="00E57DAA" w:rsidRDefault="00AC4185">
            <w:pPr>
              <w:autoSpaceDE w:val="0"/>
              <w:autoSpaceDN w:val="0"/>
              <w:adjustRightInd w:val="0"/>
              <w:rPr>
                <w:szCs w:val="21"/>
              </w:rPr>
            </w:pPr>
            <w:r>
              <w:rPr>
                <w:rFonts w:hint="eastAsia"/>
                <w:szCs w:val="21"/>
              </w:rPr>
              <w:t>十一、商誉减值损失</w:t>
            </w:r>
          </w:p>
        </w:tc>
        <w:tc>
          <w:tcPr>
            <w:tcW w:w="1488" w:type="pct"/>
            <w:tcBorders>
              <w:top w:val="single" w:sz="4" w:space="0" w:color="auto"/>
              <w:left w:val="single" w:sz="4" w:space="0" w:color="auto"/>
              <w:bottom w:val="single" w:sz="4" w:space="0" w:color="auto"/>
              <w:right w:val="single" w:sz="4" w:space="0" w:color="auto"/>
            </w:tcBorders>
            <w:vAlign w:val="center"/>
          </w:tcPr>
          <w:p w14:paraId="09EBD2B1" w14:textId="77777777" w:rsidR="00E57DAA" w:rsidRDefault="00AC4185">
            <w:pPr>
              <w:jc w:val="right"/>
              <w:rPr>
                <w:szCs w:val="21"/>
              </w:rPr>
            </w:pPr>
            <w:r>
              <w:t>-136,044,468.12</w:t>
            </w:r>
          </w:p>
        </w:tc>
        <w:tc>
          <w:tcPr>
            <w:tcW w:w="1494" w:type="pct"/>
            <w:tcBorders>
              <w:top w:val="single" w:sz="4" w:space="0" w:color="auto"/>
              <w:left w:val="single" w:sz="4" w:space="0" w:color="auto"/>
              <w:bottom w:val="single" w:sz="4" w:space="0" w:color="auto"/>
              <w:right w:val="single" w:sz="4" w:space="0" w:color="auto"/>
            </w:tcBorders>
            <w:vAlign w:val="center"/>
          </w:tcPr>
          <w:p w14:paraId="36FE861A" w14:textId="77777777" w:rsidR="00E57DAA" w:rsidRDefault="00AC4185">
            <w:pPr>
              <w:jc w:val="right"/>
              <w:rPr>
                <w:szCs w:val="21"/>
              </w:rPr>
            </w:pPr>
            <w:r>
              <w:t>-67,765,323.42</w:t>
            </w:r>
          </w:p>
        </w:tc>
      </w:tr>
      <w:tr w:rsidR="00E57DAA" w14:paraId="0C691235" w14:textId="77777777">
        <w:tc>
          <w:tcPr>
            <w:tcW w:w="2018" w:type="pct"/>
            <w:tcBorders>
              <w:top w:val="single" w:sz="4" w:space="0" w:color="auto"/>
              <w:left w:val="single" w:sz="4" w:space="0" w:color="auto"/>
              <w:bottom w:val="single" w:sz="4" w:space="0" w:color="auto"/>
              <w:right w:val="single" w:sz="4" w:space="0" w:color="auto"/>
            </w:tcBorders>
          </w:tcPr>
          <w:p w14:paraId="79F3C1BA" w14:textId="77777777" w:rsidR="00E57DAA" w:rsidRDefault="00AC4185">
            <w:pPr>
              <w:autoSpaceDE w:val="0"/>
              <w:autoSpaceDN w:val="0"/>
              <w:adjustRightInd w:val="0"/>
              <w:rPr>
                <w:szCs w:val="21"/>
              </w:rPr>
            </w:pPr>
            <w:r>
              <w:rPr>
                <w:rFonts w:hint="eastAsia"/>
                <w:szCs w:val="21"/>
              </w:rPr>
              <w:t>十二、其他</w:t>
            </w:r>
          </w:p>
        </w:tc>
        <w:tc>
          <w:tcPr>
            <w:tcW w:w="1488" w:type="pct"/>
            <w:tcBorders>
              <w:top w:val="single" w:sz="4" w:space="0" w:color="auto"/>
              <w:left w:val="single" w:sz="4" w:space="0" w:color="auto"/>
              <w:bottom w:val="single" w:sz="4" w:space="0" w:color="auto"/>
              <w:right w:val="single" w:sz="4" w:space="0" w:color="auto"/>
            </w:tcBorders>
          </w:tcPr>
          <w:p w14:paraId="175BFCC7" w14:textId="77777777" w:rsidR="00E57DAA" w:rsidRDefault="00E57DAA">
            <w:pPr>
              <w:jc w:val="right"/>
              <w:rPr>
                <w:szCs w:val="21"/>
              </w:rPr>
            </w:pPr>
          </w:p>
        </w:tc>
        <w:tc>
          <w:tcPr>
            <w:tcW w:w="1494" w:type="pct"/>
            <w:tcBorders>
              <w:top w:val="single" w:sz="4" w:space="0" w:color="auto"/>
              <w:left w:val="single" w:sz="4" w:space="0" w:color="auto"/>
              <w:bottom w:val="single" w:sz="4" w:space="0" w:color="auto"/>
              <w:right w:val="single" w:sz="4" w:space="0" w:color="auto"/>
            </w:tcBorders>
          </w:tcPr>
          <w:p w14:paraId="3EFD09AD" w14:textId="77777777" w:rsidR="00E57DAA" w:rsidRDefault="00E57DAA">
            <w:pPr>
              <w:jc w:val="right"/>
              <w:rPr>
                <w:szCs w:val="21"/>
              </w:rPr>
            </w:pPr>
          </w:p>
        </w:tc>
      </w:tr>
      <w:tr w:rsidR="00E57DAA" w14:paraId="1473DA7E" w14:textId="77777777">
        <w:tc>
          <w:tcPr>
            <w:tcW w:w="2018" w:type="pct"/>
            <w:tcBorders>
              <w:top w:val="single" w:sz="4" w:space="0" w:color="auto"/>
              <w:left w:val="single" w:sz="4" w:space="0" w:color="auto"/>
              <w:bottom w:val="single" w:sz="4" w:space="0" w:color="auto"/>
              <w:right w:val="single" w:sz="4" w:space="0" w:color="auto"/>
            </w:tcBorders>
          </w:tcPr>
          <w:p w14:paraId="35EC455C" w14:textId="77777777" w:rsidR="00E57DAA" w:rsidRDefault="00AC4185">
            <w:pPr>
              <w:autoSpaceDE w:val="0"/>
              <w:autoSpaceDN w:val="0"/>
              <w:adjustRightInd w:val="0"/>
              <w:jc w:val="center"/>
              <w:rPr>
                <w:szCs w:val="21"/>
              </w:rPr>
            </w:pPr>
            <w:r>
              <w:rPr>
                <w:rFonts w:hint="eastAsia"/>
                <w:szCs w:val="21"/>
              </w:rPr>
              <w:t>合计</w:t>
            </w:r>
          </w:p>
        </w:tc>
        <w:tc>
          <w:tcPr>
            <w:tcW w:w="1488" w:type="pct"/>
            <w:tcBorders>
              <w:top w:val="single" w:sz="4" w:space="0" w:color="auto"/>
              <w:left w:val="single" w:sz="4" w:space="0" w:color="auto"/>
              <w:bottom w:val="single" w:sz="4" w:space="0" w:color="auto"/>
              <w:right w:val="single" w:sz="4" w:space="0" w:color="auto"/>
            </w:tcBorders>
            <w:vAlign w:val="center"/>
          </w:tcPr>
          <w:p w14:paraId="442DA68D" w14:textId="77777777" w:rsidR="00E57DAA" w:rsidRDefault="00AC4185">
            <w:pPr>
              <w:jc w:val="right"/>
              <w:rPr>
                <w:szCs w:val="21"/>
              </w:rPr>
            </w:pPr>
            <w:r>
              <w:t>-218,018,117.51</w:t>
            </w:r>
          </w:p>
        </w:tc>
        <w:tc>
          <w:tcPr>
            <w:tcW w:w="1494" w:type="pct"/>
            <w:tcBorders>
              <w:top w:val="single" w:sz="4" w:space="0" w:color="auto"/>
              <w:left w:val="single" w:sz="4" w:space="0" w:color="auto"/>
              <w:bottom w:val="single" w:sz="4" w:space="0" w:color="auto"/>
              <w:right w:val="single" w:sz="4" w:space="0" w:color="auto"/>
            </w:tcBorders>
            <w:vAlign w:val="center"/>
          </w:tcPr>
          <w:p w14:paraId="265B37AE" w14:textId="77777777" w:rsidR="00E57DAA" w:rsidRDefault="00AC4185">
            <w:pPr>
              <w:jc w:val="right"/>
              <w:rPr>
                <w:szCs w:val="21"/>
              </w:rPr>
            </w:pPr>
            <w:r>
              <w:t>-111,910,082.33</w:t>
            </w:r>
          </w:p>
        </w:tc>
      </w:tr>
    </w:tbl>
    <w:p w14:paraId="3B91C3CE" w14:textId="77777777" w:rsidR="00E57DAA" w:rsidRDefault="00E57DAA">
      <w:pPr>
        <w:rPr>
          <w:rFonts w:asciiTheme="minorHAnsi" w:eastAsiaTheme="minorEastAsia" w:hAnsiTheme="minorHAnsi"/>
          <w:szCs w:val="22"/>
        </w:rPr>
      </w:pPr>
    </w:p>
    <w:p w14:paraId="621179DE" w14:textId="77777777" w:rsidR="00E57DAA" w:rsidRDefault="00AC4185" w:rsidP="00C25422">
      <w:pPr>
        <w:pStyle w:val="91"/>
        <w:numPr>
          <w:ilvl w:val="0"/>
          <w:numId w:val="69"/>
        </w:numPr>
      </w:pPr>
      <w:r>
        <w:rPr>
          <w:rFonts w:hint="eastAsia"/>
        </w:rPr>
        <w:t>资产处置收益</w:t>
      </w:r>
    </w:p>
    <w:sdt>
      <w:sdtPr>
        <w:rPr>
          <w:bCs/>
        </w:rPr>
        <w:alias w:val="是否适用：资产处置收益[双击切换]"/>
        <w:tag w:val="_GBC_b76400e6a673420c9bc522936e82c207"/>
        <w:id w:val="-492569992"/>
        <w:lock w:val="contentLocked"/>
        <w:placeholder>
          <w:docPart w:val="GBC22222222222222222222222222222"/>
        </w:placeholder>
      </w:sdtPr>
      <w:sdtEndPr/>
      <w:sdtContent>
        <w:p w14:paraId="537D3727" w14:textId="77777777" w:rsidR="00E57DAA" w:rsidRDefault="00AC418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05B9B687" w14:textId="77777777" w:rsidR="00E57DAA" w:rsidRDefault="00AC4185" w:rsidP="00C25422">
      <w:pPr>
        <w:pStyle w:val="73"/>
        <w:ind w:firstLine="400"/>
      </w:pPr>
      <w:r>
        <w:t>单位：</w:t>
      </w:r>
      <w:sdt>
        <w:sdtPr>
          <w:alias w:val="单位：资产处置收益明细"/>
          <w:tag w:val="_GBC_7ec9558ba3654efb8bffe62787e178bb"/>
          <w:id w:val="8193976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t xml:space="preserve">  </w:t>
      </w:r>
      <w:r>
        <w:t>币种：</w:t>
      </w:r>
      <w:sdt>
        <w:sdtPr>
          <w:alias w:val="币种：资产处置收益明细"/>
          <w:tag w:val="_GBC_6a67bd424d2842be9fe48ecebd5d6f35"/>
          <w:id w:val="16651263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8"/>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8"/>
        <w:gridCol w:w="2957"/>
        <w:gridCol w:w="2958"/>
      </w:tblGrid>
      <w:tr w:rsidR="00E57DAA" w14:paraId="1C913332" w14:textId="77777777">
        <w:sdt>
          <w:sdtPr>
            <w:tag w:val="_PLD_6aa248f59d784f95a8d1e935bd71e05e"/>
            <w:id w:val="-1772703634"/>
          </w:sdtPr>
          <w:sdtEndPr/>
          <w:sdtContent>
            <w:tc>
              <w:tcPr>
                <w:tcW w:w="2908" w:type="dxa"/>
                <w:shd w:val="clear" w:color="auto" w:fill="auto"/>
              </w:tcPr>
              <w:p w14:paraId="409C06F9" w14:textId="77777777" w:rsidR="00E57DAA" w:rsidRDefault="00AC4185">
                <w:pPr>
                  <w:jc w:val="center"/>
                </w:pPr>
                <w:r>
                  <w:rPr>
                    <w:rFonts w:hint="eastAsia"/>
                  </w:rPr>
                  <w:t>项目</w:t>
                </w:r>
              </w:p>
            </w:tc>
          </w:sdtContent>
        </w:sdt>
        <w:sdt>
          <w:sdtPr>
            <w:tag w:val="_PLD_130aaf0b75144f7d943c5d780cfc1b6b"/>
            <w:id w:val="-677183380"/>
          </w:sdtPr>
          <w:sdtEndPr/>
          <w:sdtContent>
            <w:tc>
              <w:tcPr>
                <w:tcW w:w="2957" w:type="dxa"/>
                <w:shd w:val="clear" w:color="auto" w:fill="auto"/>
              </w:tcPr>
              <w:p w14:paraId="3CC4658F" w14:textId="77777777" w:rsidR="00E57DAA" w:rsidRDefault="00AC4185">
                <w:pPr>
                  <w:jc w:val="center"/>
                </w:pPr>
                <w:r>
                  <w:rPr>
                    <w:rFonts w:hint="eastAsia"/>
                  </w:rPr>
                  <w:t>本期发生额</w:t>
                </w:r>
              </w:p>
            </w:tc>
          </w:sdtContent>
        </w:sdt>
        <w:sdt>
          <w:sdtPr>
            <w:tag w:val="_PLD_482f220f08ce46dc8e769190f957eec7"/>
            <w:id w:val="-2127696777"/>
          </w:sdtPr>
          <w:sdtEndPr/>
          <w:sdtContent>
            <w:tc>
              <w:tcPr>
                <w:tcW w:w="2958" w:type="dxa"/>
                <w:shd w:val="clear" w:color="auto" w:fill="auto"/>
              </w:tcPr>
              <w:p w14:paraId="5578F664" w14:textId="77777777" w:rsidR="00E57DAA" w:rsidRDefault="00AC4185">
                <w:pPr>
                  <w:jc w:val="center"/>
                </w:pPr>
                <w:r>
                  <w:rPr>
                    <w:rFonts w:hint="eastAsia"/>
                  </w:rPr>
                  <w:t>上期发生额</w:t>
                </w:r>
              </w:p>
            </w:tc>
          </w:sdtContent>
        </w:sdt>
      </w:tr>
      <w:tr w:rsidR="00E57DAA" w14:paraId="2B924302" w14:textId="77777777">
        <w:tc>
          <w:tcPr>
            <w:tcW w:w="2908" w:type="dxa"/>
            <w:shd w:val="clear" w:color="auto" w:fill="auto"/>
          </w:tcPr>
          <w:p w14:paraId="0965C8FA" w14:textId="77777777" w:rsidR="00E57DAA" w:rsidRDefault="00AC4185" w:rsidP="00C25422">
            <w:pPr>
              <w:pStyle w:val="92"/>
            </w:pPr>
            <w:r>
              <w:t>固定资产处置利得或损失</w:t>
            </w:r>
          </w:p>
        </w:tc>
        <w:tc>
          <w:tcPr>
            <w:tcW w:w="2957" w:type="dxa"/>
            <w:shd w:val="clear" w:color="auto" w:fill="auto"/>
          </w:tcPr>
          <w:p w14:paraId="20DBE10F" w14:textId="77777777" w:rsidR="00E57DAA" w:rsidRDefault="00AC4185">
            <w:pPr>
              <w:jc w:val="right"/>
            </w:pPr>
            <w:r>
              <w:t>15,934,995.17</w:t>
            </w:r>
          </w:p>
        </w:tc>
        <w:tc>
          <w:tcPr>
            <w:tcW w:w="2958" w:type="dxa"/>
            <w:shd w:val="clear" w:color="auto" w:fill="auto"/>
          </w:tcPr>
          <w:p w14:paraId="2E55C5CE" w14:textId="77777777" w:rsidR="00E57DAA" w:rsidRDefault="00AC4185">
            <w:pPr>
              <w:jc w:val="right"/>
            </w:pPr>
            <w:r>
              <w:t>28,060,059.38</w:t>
            </w:r>
          </w:p>
        </w:tc>
      </w:tr>
      <w:tr w:rsidR="00E57DAA" w14:paraId="049C3019" w14:textId="77777777">
        <w:tc>
          <w:tcPr>
            <w:tcW w:w="2908" w:type="dxa"/>
            <w:shd w:val="clear" w:color="auto" w:fill="auto"/>
          </w:tcPr>
          <w:p w14:paraId="25216F08" w14:textId="77777777" w:rsidR="00E57DAA" w:rsidRDefault="00AC4185" w:rsidP="00C25422">
            <w:pPr>
              <w:pStyle w:val="92"/>
            </w:pPr>
            <w:r>
              <w:t>无形资产处置利得或损失</w:t>
            </w:r>
          </w:p>
        </w:tc>
        <w:tc>
          <w:tcPr>
            <w:tcW w:w="2957" w:type="dxa"/>
            <w:shd w:val="clear" w:color="auto" w:fill="auto"/>
          </w:tcPr>
          <w:p w14:paraId="0EAD4E71" w14:textId="77777777" w:rsidR="00E57DAA" w:rsidRDefault="00AC4185">
            <w:pPr>
              <w:jc w:val="right"/>
            </w:pPr>
            <w:r>
              <w:t> </w:t>
            </w:r>
          </w:p>
        </w:tc>
        <w:tc>
          <w:tcPr>
            <w:tcW w:w="2958" w:type="dxa"/>
            <w:shd w:val="clear" w:color="auto" w:fill="auto"/>
          </w:tcPr>
          <w:p w14:paraId="29A6F1EF" w14:textId="77777777" w:rsidR="00E57DAA" w:rsidRDefault="00AC4185">
            <w:pPr>
              <w:jc w:val="right"/>
            </w:pPr>
            <w:r>
              <w:t>1,458,338.80</w:t>
            </w:r>
          </w:p>
        </w:tc>
      </w:tr>
      <w:tr w:rsidR="00E57DAA" w14:paraId="5B0E2E38" w14:textId="77777777">
        <w:tc>
          <w:tcPr>
            <w:tcW w:w="2908" w:type="dxa"/>
            <w:shd w:val="clear" w:color="auto" w:fill="auto"/>
          </w:tcPr>
          <w:p w14:paraId="76EDF37D" w14:textId="77777777" w:rsidR="00E57DAA" w:rsidRDefault="00AC4185" w:rsidP="00C25422">
            <w:pPr>
              <w:pStyle w:val="92"/>
            </w:pPr>
            <w:r>
              <w:t>其他</w:t>
            </w:r>
          </w:p>
        </w:tc>
        <w:tc>
          <w:tcPr>
            <w:tcW w:w="2957" w:type="dxa"/>
            <w:shd w:val="clear" w:color="auto" w:fill="auto"/>
          </w:tcPr>
          <w:p w14:paraId="21A2FC65" w14:textId="77777777" w:rsidR="00E57DAA" w:rsidRDefault="00AC4185">
            <w:pPr>
              <w:jc w:val="right"/>
            </w:pPr>
            <w:r>
              <w:t>12,480.00</w:t>
            </w:r>
          </w:p>
        </w:tc>
        <w:tc>
          <w:tcPr>
            <w:tcW w:w="2958" w:type="dxa"/>
            <w:shd w:val="clear" w:color="auto" w:fill="auto"/>
          </w:tcPr>
          <w:p w14:paraId="04B97D72" w14:textId="77777777" w:rsidR="00E57DAA" w:rsidRDefault="00AC4185">
            <w:pPr>
              <w:jc w:val="right"/>
            </w:pPr>
            <w:r>
              <w:t>263,035.51</w:t>
            </w:r>
          </w:p>
        </w:tc>
      </w:tr>
      <w:tr w:rsidR="00E57DAA" w14:paraId="76B48CC1" w14:textId="77777777">
        <w:tc>
          <w:tcPr>
            <w:tcW w:w="2908" w:type="dxa"/>
            <w:shd w:val="clear" w:color="auto" w:fill="auto"/>
          </w:tcPr>
          <w:p w14:paraId="4A0FEFD6" w14:textId="77777777" w:rsidR="00E57DAA" w:rsidRDefault="00AC4185">
            <w:pPr>
              <w:jc w:val="center"/>
            </w:pPr>
            <w:r>
              <w:rPr>
                <w:rFonts w:hint="eastAsia"/>
              </w:rPr>
              <w:t>合计</w:t>
            </w:r>
          </w:p>
        </w:tc>
        <w:tc>
          <w:tcPr>
            <w:tcW w:w="2957" w:type="dxa"/>
            <w:shd w:val="clear" w:color="auto" w:fill="auto"/>
            <w:vAlign w:val="center"/>
          </w:tcPr>
          <w:p w14:paraId="6070C83F" w14:textId="77777777" w:rsidR="00E57DAA" w:rsidRDefault="00AC4185">
            <w:pPr>
              <w:jc w:val="right"/>
            </w:pPr>
            <w:r>
              <w:t>15,947,475.17</w:t>
            </w:r>
          </w:p>
        </w:tc>
        <w:tc>
          <w:tcPr>
            <w:tcW w:w="2958" w:type="dxa"/>
            <w:shd w:val="clear" w:color="auto" w:fill="auto"/>
            <w:vAlign w:val="center"/>
          </w:tcPr>
          <w:p w14:paraId="61BEFB1E" w14:textId="77777777" w:rsidR="00E57DAA" w:rsidRDefault="00AC4185">
            <w:pPr>
              <w:jc w:val="right"/>
            </w:pPr>
            <w:r>
              <w:t>29,781,433.69</w:t>
            </w:r>
          </w:p>
        </w:tc>
      </w:tr>
    </w:tbl>
    <w:p w14:paraId="0788C6AC" w14:textId="77777777" w:rsidR="00E57DAA" w:rsidRDefault="00E57DAA" w:rsidP="00C25422">
      <w:pPr>
        <w:pStyle w:val="92"/>
      </w:pPr>
    </w:p>
    <w:p w14:paraId="253A6005" w14:textId="77777777" w:rsidR="00E57DAA" w:rsidRDefault="00AC4185" w:rsidP="00C25422">
      <w:pPr>
        <w:pStyle w:val="91"/>
        <w:numPr>
          <w:ilvl w:val="0"/>
          <w:numId w:val="69"/>
        </w:numPr>
      </w:pPr>
      <w:r>
        <w:rPr>
          <w:rFonts w:hint="eastAsia"/>
        </w:rPr>
        <w:t>营业外收入</w:t>
      </w:r>
    </w:p>
    <w:p w14:paraId="4B8267BF" w14:textId="77777777" w:rsidR="00E57DAA" w:rsidRDefault="00AC4185" w:rsidP="00C25422">
      <w:pPr>
        <w:pStyle w:val="92"/>
      </w:pPr>
      <w:r>
        <w:rPr>
          <w:rFonts w:hint="eastAsia"/>
        </w:rPr>
        <w:t>营业外收入情况</w:t>
      </w:r>
    </w:p>
    <w:sdt>
      <w:sdtPr>
        <w:rPr>
          <w:rFonts w:hint="eastAsia"/>
        </w:rPr>
        <w:alias w:val="是否适用：营业外收入情况 [双击切换]"/>
        <w:tag w:val="_GBC_4aec8b65d0e744aaaddac8859ae249bc"/>
        <w:id w:val="234442729"/>
        <w:placeholder>
          <w:docPart w:val="GBC22222222222222222222222222222"/>
        </w:placeholder>
      </w:sdtPr>
      <w:sdtEndPr/>
      <w:sdtContent>
        <w:p w14:paraId="64D2F29C"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BB23DEA" w14:textId="77777777" w:rsidR="00E57DAA" w:rsidRDefault="00AC4185">
      <w:pPr>
        <w:jc w:val="right"/>
      </w:pPr>
      <w:r>
        <w:rPr>
          <w:rFonts w:hint="eastAsia"/>
        </w:rPr>
        <w:t>单位：</w:t>
      </w:r>
      <w:sdt>
        <w:sdtPr>
          <w:rPr>
            <w:rFonts w:hint="eastAsia"/>
          </w:rPr>
          <w:alias w:val="单位：财务附注：营业外收入"/>
          <w:tag w:val="_GBC_79d3fe1c29e746e7b2a9a9acfcc43449"/>
          <w:id w:val="-402081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5048293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701"/>
        <w:gridCol w:w="1701"/>
        <w:gridCol w:w="2024"/>
      </w:tblGrid>
      <w:tr w:rsidR="00E57DAA" w14:paraId="778C8F90" w14:textId="77777777">
        <w:sdt>
          <w:sdtPr>
            <w:tag w:val="_PLD_1b52b1902e1443609ba6891d7076aebe"/>
            <w:id w:val="-1028722627"/>
          </w:sdtPr>
          <w:sdtEndPr/>
          <w:sdtContent>
            <w:tc>
              <w:tcPr>
                <w:tcW w:w="1925" w:type="pct"/>
                <w:tcBorders>
                  <w:top w:val="single" w:sz="4" w:space="0" w:color="auto"/>
                  <w:left w:val="single" w:sz="4" w:space="0" w:color="auto"/>
                  <w:bottom w:val="single" w:sz="4" w:space="0" w:color="auto"/>
                  <w:right w:val="single" w:sz="4" w:space="0" w:color="auto"/>
                </w:tcBorders>
                <w:vAlign w:val="center"/>
              </w:tcPr>
              <w:p w14:paraId="4FFDFB6B" w14:textId="77777777" w:rsidR="00E57DAA" w:rsidRDefault="00AC4185">
                <w:pPr>
                  <w:autoSpaceDE w:val="0"/>
                  <w:autoSpaceDN w:val="0"/>
                  <w:adjustRightInd w:val="0"/>
                  <w:jc w:val="center"/>
                  <w:rPr>
                    <w:szCs w:val="21"/>
                  </w:rPr>
                </w:pPr>
                <w:r>
                  <w:rPr>
                    <w:rFonts w:hint="eastAsia"/>
                    <w:szCs w:val="21"/>
                  </w:rPr>
                  <w:t>项目</w:t>
                </w:r>
              </w:p>
            </w:tc>
          </w:sdtContent>
        </w:sdt>
        <w:sdt>
          <w:sdtPr>
            <w:tag w:val="_PLD_9dc87bd465124a2289f545f76d28c96c"/>
            <w:id w:val="-1336992489"/>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5DA327AA" w14:textId="77777777" w:rsidR="00E57DAA" w:rsidRDefault="00AC4185">
                <w:pPr>
                  <w:autoSpaceDE w:val="0"/>
                  <w:autoSpaceDN w:val="0"/>
                  <w:adjustRightInd w:val="0"/>
                  <w:jc w:val="center"/>
                  <w:rPr>
                    <w:szCs w:val="21"/>
                  </w:rPr>
                </w:pPr>
                <w:r>
                  <w:rPr>
                    <w:rFonts w:hint="eastAsia"/>
                    <w:szCs w:val="21"/>
                  </w:rPr>
                  <w:t>本期发生额</w:t>
                </w:r>
              </w:p>
            </w:tc>
          </w:sdtContent>
        </w:sdt>
        <w:sdt>
          <w:sdtPr>
            <w:tag w:val="_PLD_e1b91f5db91a439083c1f9a1b7d17ef9"/>
            <w:id w:val="1363783450"/>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57357EE5" w14:textId="77777777" w:rsidR="00E57DAA" w:rsidRDefault="00AC4185">
                <w:pPr>
                  <w:autoSpaceDE w:val="0"/>
                  <w:autoSpaceDN w:val="0"/>
                  <w:adjustRightInd w:val="0"/>
                  <w:jc w:val="center"/>
                  <w:rPr>
                    <w:szCs w:val="21"/>
                  </w:rPr>
                </w:pPr>
                <w:r>
                  <w:rPr>
                    <w:rFonts w:hint="eastAsia"/>
                    <w:szCs w:val="21"/>
                  </w:rPr>
                  <w:t>上期发生额</w:t>
                </w:r>
              </w:p>
            </w:tc>
          </w:sdtContent>
        </w:sdt>
        <w:sdt>
          <w:sdtPr>
            <w:tag w:val="_PLD_db1c9e08e7ea407889a350e8451d2848"/>
            <w:id w:val="-832757998"/>
          </w:sdtPr>
          <w:sdtEndPr/>
          <w:sdtContent>
            <w:tc>
              <w:tcPr>
                <w:tcW w:w="1147" w:type="pct"/>
                <w:tcBorders>
                  <w:top w:val="single" w:sz="4" w:space="0" w:color="auto"/>
                  <w:left w:val="single" w:sz="4" w:space="0" w:color="auto"/>
                  <w:bottom w:val="single" w:sz="4" w:space="0" w:color="auto"/>
                  <w:right w:val="single" w:sz="4" w:space="0" w:color="auto"/>
                </w:tcBorders>
                <w:vAlign w:val="center"/>
              </w:tcPr>
              <w:p w14:paraId="3A5204BD" w14:textId="77777777" w:rsidR="00E57DAA" w:rsidRDefault="00AC4185">
                <w:pPr>
                  <w:autoSpaceDE w:val="0"/>
                  <w:autoSpaceDN w:val="0"/>
                  <w:adjustRightInd w:val="0"/>
                  <w:jc w:val="center"/>
                  <w:rPr>
                    <w:color w:val="FF0000"/>
                    <w:szCs w:val="21"/>
                  </w:rPr>
                </w:pPr>
                <w:r>
                  <w:rPr>
                    <w:rFonts w:hint="eastAsia"/>
                    <w:szCs w:val="21"/>
                  </w:rPr>
                  <w:t>计入当期非经常性损益的金额</w:t>
                </w:r>
              </w:p>
            </w:tc>
          </w:sdtContent>
        </w:sdt>
      </w:tr>
      <w:tr w:rsidR="00E57DAA" w14:paraId="7D293A63" w14:textId="77777777">
        <w:tc>
          <w:tcPr>
            <w:tcW w:w="1925" w:type="pct"/>
            <w:tcBorders>
              <w:top w:val="single" w:sz="4" w:space="0" w:color="auto"/>
              <w:left w:val="single" w:sz="4" w:space="0" w:color="auto"/>
              <w:bottom w:val="single" w:sz="4" w:space="0" w:color="auto"/>
              <w:right w:val="single" w:sz="4" w:space="0" w:color="auto"/>
            </w:tcBorders>
          </w:tcPr>
          <w:p w14:paraId="666C7D66" w14:textId="77777777" w:rsidR="00E57DAA" w:rsidRDefault="00AC4185">
            <w:pPr>
              <w:rPr>
                <w:szCs w:val="21"/>
              </w:rPr>
            </w:pPr>
            <w:r>
              <w:t>与日常活动无关的政府补助</w:t>
            </w:r>
          </w:p>
        </w:tc>
        <w:tc>
          <w:tcPr>
            <w:tcW w:w="964" w:type="pct"/>
            <w:tcBorders>
              <w:top w:val="single" w:sz="4" w:space="0" w:color="auto"/>
              <w:left w:val="single" w:sz="4" w:space="0" w:color="auto"/>
              <w:bottom w:val="single" w:sz="4" w:space="0" w:color="auto"/>
              <w:right w:val="single" w:sz="4" w:space="0" w:color="auto"/>
            </w:tcBorders>
          </w:tcPr>
          <w:p w14:paraId="6B139615" w14:textId="77777777" w:rsidR="00E57DAA" w:rsidRDefault="00AC4185">
            <w:pPr>
              <w:jc w:val="right"/>
              <w:rPr>
                <w:szCs w:val="21"/>
              </w:rPr>
            </w:pPr>
            <w:r>
              <w:t>68,190.00</w:t>
            </w:r>
          </w:p>
        </w:tc>
        <w:tc>
          <w:tcPr>
            <w:tcW w:w="964" w:type="pct"/>
            <w:tcBorders>
              <w:top w:val="single" w:sz="4" w:space="0" w:color="auto"/>
              <w:left w:val="single" w:sz="4" w:space="0" w:color="auto"/>
              <w:bottom w:val="single" w:sz="4" w:space="0" w:color="auto"/>
              <w:right w:val="single" w:sz="4" w:space="0" w:color="auto"/>
            </w:tcBorders>
          </w:tcPr>
          <w:p w14:paraId="69719046" w14:textId="77777777" w:rsidR="00E57DAA" w:rsidRDefault="00AC4185">
            <w:pPr>
              <w:jc w:val="right"/>
              <w:rPr>
                <w:szCs w:val="21"/>
              </w:rPr>
            </w:pPr>
            <w:r>
              <w:t>19,112,788.53</w:t>
            </w:r>
          </w:p>
        </w:tc>
        <w:tc>
          <w:tcPr>
            <w:tcW w:w="1147" w:type="pct"/>
            <w:tcBorders>
              <w:top w:val="single" w:sz="4" w:space="0" w:color="auto"/>
              <w:left w:val="single" w:sz="4" w:space="0" w:color="auto"/>
              <w:bottom w:val="single" w:sz="4" w:space="0" w:color="auto"/>
              <w:right w:val="single" w:sz="4" w:space="0" w:color="auto"/>
            </w:tcBorders>
          </w:tcPr>
          <w:p w14:paraId="44B8B5F4" w14:textId="77777777" w:rsidR="00E57DAA" w:rsidRDefault="00AC4185">
            <w:pPr>
              <w:jc w:val="right"/>
              <w:rPr>
                <w:szCs w:val="21"/>
              </w:rPr>
            </w:pPr>
            <w:r>
              <w:t>68,190.00</w:t>
            </w:r>
          </w:p>
        </w:tc>
      </w:tr>
      <w:tr w:rsidR="00E57DAA" w14:paraId="0BCBDC77" w14:textId="77777777">
        <w:tc>
          <w:tcPr>
            <w:tcW w:w="1925" w:type="pct"/>
            <w:tcBorders>
              <w:top w:val="single" w:sz="4" w:space="0" w:color="auto"/>
              <w:left w:val="single" w:sz="4" w:space="0" w:color="auto"/>
              <w:bottom w:val="single" w:sz="4" w:space="0" w:color="auto"/>
              <w:right w:val="single" w:sz="4" w:space="0" w:color="auto"/>
            </w:tcBorders>
          </w:tcPr>
          <w:p w14:paraId="31B1E59F" w14:textId="77777777" w:rsidR="00E57DAA" w:rsidRDefault="00AC4185">
            <w:pPr>
              <w:rPr>
                <w:szCs w:val="21"/>
              </w:rPr>
            </w:pPr>
            <w:r>
              <w:t>清理无需支付的应付款项</w:t>
            </w:r>
          </w:p>
        </w:tc>
        <w:tc>
          <w:tcPr>
            <w:tcW w:w="964" w:type="pct"/>
            <w:tcBorders>
              <w:top w:val="single" w:sz="4" w:space="0" w:color="auto"/>
              <w:left w:val="single" w:sz="4" w:space="0" w:color="auto"/>
              <w:bottom w:val="single" w:sz="4" w:space="0" w:color="auto"/>
              <w:right w:val="single" w:sz="4" w:space="0" w:color="auto"/>
            </w:tcBorders>
          </w:tcPr>
          <w:p w14:paraId="10C2CFC5" w14:textId="77777777" w:rsidR="00E57DAA" w:rsidRDefault="00AC4185">
            <w:pPr>
              <w:jc w:val="right"/>
              <w:rPr>
                <w:szCs w:val="21"/>
              </w:rPr>
            </w:pPr>
            <w:r>
              <w:t>34,683,296.63</w:t>
            </w:r>
          </w:p>
        </w:tc>
        <w:tc>
          <w:tcPr>
            <w:tcW w:w="964" w:type="pct"/>
            <w:tcBorders>
              <w:top w:val="single" w:sz="4" w:space="0" w:color="auto"/>
              <w:left w:val="single" w:sz="4" w:space="0" w:color="auto"/>
              <w:bottom w:val="single" w:sz="4" w:space="0" w:color="auto"/>
              <w:right w:val="single" w:sz="4" w:space="0" w:color="auto"/>
            </w:tcBorders>
          </w:tcPr>
          <w:p w14:paraId="1CA9653A" w14:textId="77777777" w:rsidR="00E57DAA" w:rsidRDefault="00AC4185">
            <w:pPr>
              <w:jc w:val="right"/>
              <w:rPr>
                <w:szCs w:val="21"/>
              </w:rPr>
            </w:pPr>
            <w:r>
              <w:t>61,869,126.19</w:t>
            </w:r>
          </w:p>
        </w:tc>
        <w:tc>
          <w:tcPr>
            <w:tcW w:w="1147" w:type="pct"/>
            <w:tcBorders>
              <w:top w:val="single" w:sz="4" w:space="0" w:color="auto"/>
              <w:left w:val="single" w:sz="4" w:space="0" w:color="auto"/>
              <w:bottom w:val="single" w:sz="4" w:space="0" w:color="auto"/>
              <w:right w:val="single" w:sz="4" w:space="0" w:color="auto"/>
            </w:tcBorders>
          </w:tcPr>
          <w:p w14:paraId="299D1F70" w14:textId="77777777" w:rsidR="00E57DAA" w:rsidRDefault="00AC4185">
            <w:pPr>
              <w:jc w:val="right"/>
              <w:rPr>
                <w:szCs w:val="21"/>
              </w:rPr>
            </w:pPr>
            <w:r>
              <w:t>34,683,296.63</w:t>
            </w:r>
          </w:p>
        </w:tc>
      </w:tr>
      <w:tr w:rsidR="00E57DAA" w14:paraId="161AF74F" w14:textId="77777777">
        <w:tc>
          <w:tcPr>
            <w:tcW w:w="1925" w:type="pct"/>
            <w:tcBorders>
              <w:top w:val="single" w:sz="4" w:space="0" w:color="auto"/>
              <w:left w:val="single" w:sz="4" w:space="0" w:color="auto"/>
              <w:bottom w:val="single" w:sz="4" w:space="0" w:color="auto"/>
              <w:right w:val="single" w:sz="4" w:space="0" w:color="auto"/>
            </w:tcBorders>
          </w:tcPr>
          <w:p w14:paraId="26D56D5D" w14:textId="77777777" w:rsidR="00E57DAA" w:rsidRDefault="00AC4185">
            <w:pPr>
              <w:rPr>
                <w:szCs w:val="21"/>
              </w:rPr>
            </w:pPr>
            <w:r>
              <w:t>违约赔偿收入</w:t>
            </w:r>
          </w:p>
        </w:tc>
        <w:tc>
          <w:tcPr>
            <w:tcW w:w="964" w:type="pct"/>
            <w:tcBorders>
              <w:top w:val="single" w:sz="4" w:space="0" w:color="auto"/>
              <w:left w:val="single" w:sz="4" w:space="0" w:color="auto"/>
              <w:bottom w:val="single" w:sz="4" w:space="0" w:color="auto"/>
              <w:right w:val="single" w:sz="4" w:space="0" w:color="auto"/>
            </w:tcBorders>
          </w:tcPr>
          <w:p w14:paraId="64D16219" w14:textId="77777777" w:rsidR="00E57DAA" w:rsidRDefault="00AC4185">
            <w:pPr>
              <w:jc w:val="right"/>
              <w:rPr>
                <w:szCs w:val="21"/>
              </w:rPr>
            </w:pPr>
            <w:r>
              <w:t>7,284,226.79</w:t>
            </w:r>
          </w:p>
        </w:tc>
        <w:tc>
          <w:tcPr>
            <w:tcW w:w="964" w:type="pct"/>
            <w:tcBorders>
              <w:top w:val="single" w:sz="4" w:space="0" w:color="auto"/>
              <w:left w:val="single" w:sz="4" w:space="0" w:color="auto"/>
              <w:bottom w:val="single" w:sz="4" w:space="0" w:color="auto"/>
              <w:right w:val="single" w:sz="4" w:space="0" w:color="auto"/>
            </w:tcBorders>
          </w:tcPr>
          <w:p w14:paraId="4FAD46B4" w14:textId="77777777" w:rsidR="00E57DAA" w:rsidRDefault="00AC4185">
            <w:pPr>
              <w:jc w:val="right"/>
              <w:rPr>
                <w:szCs w:val="21"/>
              </w:rPr>
            </w:pPr>
            <w:r>
              <w:t>3,902,553.40</w:t>
            </w:r>
          </w:p>
        </w:tc>
        <w:tc>
          <w:tcPr>
            <w:tcW w:w="1147" w:type="pct"/>
            <w:tcBorders>
              <w:top w:val="single" w:sz="4" w:space="0" w:color="auto"/>
              <w:left w:val="single" w:sz="4" w:space="0" w:color="auto"/>
              <w:bottom w:val="single" w:sz="4" w:space="0" w:color="auto"/>
              <w:right w:val="single" w:sz="4" w:space="0" w:color="auto"/>
            </w:tcBorders>
          </w:tcPr>
          <w:p w14:paraId="457E3744" w14:textId="77777777" w:rsidR="00E57DAA" w:rsidRDefault="00AC4185">
            <w:pPr>
              <w:jc w:val="right"/>
              <w:rPr>
                <w:szCs w:val="21"/>
              </w:rPr>
            </w:pPr>
            <w:r>
              <w:t>7,284,226.79</w:t>
            </w:r>
          </w:p>
        </w:tc>
      </w:tr>
      <w:tr w:rsidR="00E57DAA" w14:paraId="00068278" w14:textId="77777777">
        <w:tc>
          <w:tcPr>
            <w:tcW w:w="1925" w:type="pct"/>
            <w:tcBorders>
              <w:top w:val="single" w:sz="4" w:space="0" w:color="auto"/>
              <w:left w:val="single" w:sz="4" w:space="0" w:color="auto"/>
              <w:bottom w:val="single" w:sz="4" w:space="0" w:color="auto"/>
              <w:right w:val="single" w:sz="4" w:space="0" w:color="auto"/>
            </w:tcBorders>
          </w:tcPr>
          <w:p w14:paraId="238E4FBE" w14:textId="77777777" w:rsidR="00E57DAA" w:rsidRDefault="00AC4185">
            <w:pPr>
              <w:rPr>
                <w:szCs w:val="21"/>
              </w:rPr>
            </w:pPr>
            <w:r>
              <w:t>报废、毁损资产处置收入</w:t>
            </w:r>
          </w:p>
        </w:tc>
        <w:tc>
          <w:tcPr>
            <w:tcW w:w="964" w:type="pct"/>
            <w:tcBorders>
              <w:top w:val="single" w:sz="4" w:space="0" w:color="auto"/>
              <w:left w:val="single" w:sz="4" w:space="0" w:color="auto"/>
              <w:bottom w:val="single" w:sz="4" w:space="0" w:color="auto"/>
              <w:right w:val="single" w:sz="4" w:space="0" w:color="auto"/>
            </w:tcBorders>
          </w:tcPr>
          <w:p w14:paraId="2595EEC9" w14:textId="77777777" w:rsidR="00E57DAA" w:rsidRDefault="00AC4185">
            <w:pPr>
              <w:jc w:val="right"/>
              <w:rPr>
                <w:szCs w:val="21"/>
              </w:rPr>
            </w:pPr>
            <w:r>
              <w:t>1,685,304.04</w:t>
            </w:r>
          </w:p>
        </w:tc>
        <w:tc>
          <w:tcPr>
            <w:tcW w:w="964" w:type="pct"/>
            <w:tcBorders>
              <w:top w:val="single" w:sz="4" w:space="0" w:color="auto"/>
              <w:left w:val="single" w:sz="4" w:space="0" w:color="auto"/>
              <w:bottom w:val="single" w:sz="4" w:space="0" w:color="auto"/>
              <w:right w:val="single" w:sz="4" w:space="0" w:color="auto"/>
            </w:tcBorders>
          </w:tcPr>
          <w:p w14:paraId="03F668CB" w14:textId="77777777" w:rsidR="00E57DAA" w:rsidRDefault="00AC4185">
            <w:pPr>
              <w:jc w:val="right"/>
              <w:rPr>
                <w:szCs w:val="21"/>
              </w:rPr>
            </w:pPr>
            <w:r>
              <w:t>8,450,416.86</w:t>
            </w:r>
          </w:p>
        </w:tc>
        <w:tc>
          <w:tcPr>
            <w:tcW w:w="1147" w:type="pct"/>
            <w:tcBorders>
              <w:top w:val="single" w:sz="4" w:space="0" w:color="auto"/>
              <w:left w:val="single" w:sz="4" w:space="0" w:color="auto"/>
              <w:bottom w:val="single" w:sz="4" w:space="0" w:color="auto"/>
              <w:right w:val="single" w:sz="4" w:space="0" w:color="auto"/>
            </w:tcBorders>
          </w:tcPr>
          <w:p w14:paraId="1F1EEA12" w14:textId="77777777" w:rsidR="00E57DAA" w:rsidRDefault="00AC4185">
            <w:pPr>
              <w:jc w:val="right"/>
              <w:rPr>
                <w:szCs w:val="21"/>
              </w:rPr>
            </w:pPr>
            <w:r>
              <w:t>1,685,304.04</w:t>
            </w:r>
          </w:p>
        </w:tc>
      </w:tr>
      <w:tr w:rsidR="00E57DAA" w14:paraId="25079D4A" w14:textId="77777777">
        <w:tc>
          <w:tcPr>
            <w:tcW w:w="1925" w:type="pct"/>
            <w:tcBorders>
              <w:top w:val="single" w:sz="4" w:space="0" w:color="auto"/>
              <w:left w:val="single" w:sz="4" w:space="0" w:color="auto"/>
              <w:bottom w:val="single" w:sz="4" w:space="0" w:color="auto"/>
              <w:right w:val="single" w:sz="4" w:space="0" w:color="auto"/>
            </w:tcBorders>
          </w:tcPr>
          <w:p w14:paraId="14C7E57A" w14:textId="77777777" w:rsidR="00E57DAA" w:rsidRDefault="00AC4185">
            <w:pPr>
              <w:rPr>
                <w:szCs w:val="21"/>
              </w:rPr>
            </w:pPr>
            <w:r>
              <w:t>科学技术部拨付转制科研院所经费</w:t>
            </w:r>
          </w:p>
        </w:tc>
        <w:tc>
          <w:tcPr>
            <w:tcW w:w="964" w:type="pct"/>
            <w:tcBorders>
              <w:top w:val="single" w:sz="4" w:space="0" w:color="auto"/>
              <w:left w:val="single" w:sz="4" w:space="0" w:color="auto"/>
              <w:bottom w:val="single" w:sz="4" w:space="0" w:color="auto"/>
              <w:right w:val="single" w:sz="4" w:space="0" w:color="auto"/>
            </w:tcBorders>
          </w:tcPr>
          <w:p w14:paraId="53BB2F6B" w14:textId="77777777" w:rsidR="00E57DAA" w:rsidRDefault="00AC4185">
            <w:pPr>
              <w:jc w:val="right"/>
              <w:rPr>
                <w:szCs w:val="21"/>
              </w:rPr>
            </w:pPr>
            <w:r>
              <w:t>14,489,800.00</w:t>
            </w:r>
          </w:p>
        </w:tc>
        <w:tc>
          <w:tcPr>
            <w:tcW w:w="964" w:type="pct"/>
            <w:tcBorders>
              <w:top w:val="single" w:sz="4" w:space="0" w:color="auto"/>
              <w:left w:val="single" w:sz="4" w:space="0" w:color="auto"/>
              <w:bottom w:val="single" w:sz="4" w:space="0" w:color="auto"/>
              <w:right w:val="single" w:sz="4" w:space="0" w:color="auto"/>
            </w:tcBorders>
          </w:tcPr>
          <w:p w14:paraId="4F1708E9" w14:textId="77777777" w:rsidR="00E57DAA" w:rsidRDefault="00AC4185">
            <w:pPr>
              <w:jc w:val="right"/>
              <w:rPr>
                <w:szCs w:val="21"/>
              </w:rPr>
            </w:pPr>
            <w:r>
              <w:t>24,242,100.00</w:t>
            </w:r>
          </w:p>
        </w:tc>
        <w:tc>
          <w:tcPr>
            <w:tcW w:w="1147" w:type="pct"/>
            <w:tcBorders>
              <w:top w:val="single" w:sz="4" w:space="0" w:color="auto"/>
              <w:left w:val="single" w:sz="4" w:space="0" w:color="auto"/>
              <w:bottom w:val="single" w:sz="4" w:space="0" w:color="auto"/>
              <w:right w:val="single" w:sz="4" w:space="0" w:color="auto"/>
            </w:tcBorders>
          </w:tcPr>
          <w:p w14:paraId="41BDAFA1" w14:textId="77777777" w:rsidR="00E57DAA" w:rsidRDefault="00E57DAA">
            <w:pPr>
              <w:jc w:val="right"/>
              <w:rPr>
                <w:szCs w:val="21"/>
              </w:rPr>
            </w:pPr>
          </w:p>
        </w:tc>
      </w:tr>
      <w:tr w:rsidR="00E57DAA" w14:paraId="515126D7" w14:textId="77777777">
        <w:tc>
          <w:tcPr>
            <w:tcW w:w="1925" w:type="pct"/>
            <w:tcBorders>
              <w:top w:val="single" w:sz="4" w:space="0" w:color="auto"/>
              <w:left w:val="single" w:sz="4" w:space="0" w:color="auto"/>
              <w:bottom w:val="single" w:sz="4" w:space="0" w:color="auto"/>
              <w:right w:val="single" w:sz="4" w:space="0" w:color="auto"/>
            </w:tcBorders>
          </w:tcPr>
          <w:p w14:paraId="3029E5A4" w14:textId="77777777" w:rsidR="00E57DAA" w:rsidRDefault="00AC4185">
            <w:pPr>
              <w:rPr>
                <w:szCs w:val="21"/>
              </w:rPr>
            </w:pPr>
            <w:r>
              <w:t>预计负债转回</w:t>
            </w:r>
          </w:p>
        </w:tc>
        <w:tc>
          <w:tcPr>
            <w:tcW w:w="964" w:type="pct"/>
            <w:tcBorders>
              <w:top w:val="single" w:sz="4" w:space="0" w:color="auto"/>
              <w:left w:val="single" w:sz="4" w:space="0" w:color="auto"/>
              <w:bottom w:val="single" w:sz="4" w:space="0" w:color="auto"/>
              <w:right w:val="single" w:sz="4" w:space="0" w:color="auto"/>
            </w:tcBorders>
          </w:tcPr>
          <w:p w14:paraId="525BA28A" w14:textId="77777777" w:rsidR="00E57DAA" w:rsidRDefault="00AC4185">
            <w:pPr>
              <w:jc w:val="right"/>
              <w:rPr>
                <w:szCs w:val="21"/>
              </w:rPr>
            </w:pPr>
            <w:r>
              <w:t>44,940,347.86</w:t>
            </w:r>
          </w:p>
        </w:tc>
        <w:tc>
          <w:tcPr>
            <w:tcW w:w="964" w:type="pct"/>
            <w:tcBorders>
              <w:top w:val="single" w:sz="4" w:space="0" w:color="auto"/>
              <w:left w:val="single" w:sz="4" w:space="0" w:color="auto"/>
              <w:bottom w:val="single" w:sz="4" w:space="0" w:color="auto"/>
              <w:right w:val="single" w:sz="4" w:space="0" w:color="auto"/>
            </w:tcBorders>
          </w:tcPr>
          <w:p w14:paraId="2077596F" w14:textId="77777777" w:rsidR="00E57DAA" w:rsidRDefault="00AC4185">
            <w:pPr>
              <w:jc w:val="right"/>
              <w:rPr>
                <w:szCs w:val="21"/>
              </w:rPr>
            </w:pPr>
            <w:r>
              <w:t> </w:t>
            </w:r>
          </w:p>
        </w:tc>
        <w:tc>
          <w:tcPr>
            <w:tcW w:w="1147" w:type="pct"/>
            <w:tcBorders>
              <w:top w:val="single" w:sz="4" w:space="0" w:color="auto"/>
              <w:left w:val="single" w:sz="4" w:space="0" w:color="auto"/>
              <w:bottom w:val="single" w:sz="4" w:space="0" w:color="auto"/>
              <w:right w:val="single" w:sz="4" w:space="0" w:color="auto"/>
            </w:tcBorders>
          </w:tcPr>
          <w:p w14:paraId="1DAEADE0" w14:textId="77777777" w:rsidR="00E57DAA" w:rsidRDefault="00AC4185">
            <w:pPr>
              <w:jc w:val="right"/>
              <w:rPr>
                <w:szCs w:val="21"/>
              </w:rPr>
            </w:pPr>
            <w:r>
              <w:t>44,940,347.86</w:t>
            </w:r>
          </w:p>
        </w:tc>
      </w:tr>
      <w:tr w:rsidR="00E57DAA" w14:paraId="4B7C0C99" w14:textId="77777777">
        <w:tc>
          <w:tcPr>
            <w:tcW w:w="1925" w:type="pct"/>
            <w:tcBorders>
              <w:top w:val="single" w:sz="4" w:space="0" w:color="auto"/>
              <w:left w:val="single" w:sz="4" w:space="0" w:color="auto"/>
              <w:bottom w:val="single" w:sz="4" w:space="0" w:color="auto"/>
              <w:right w:val="single" w:sz="4" w:space="0" w:color="auto"/>
            </w:tcBorders>
          </w:tcPr>
          <w:p w14:paraId="314BF659" w14:textId="77777777" w:rsidR="00E57DAA" w:rsidRDefault="00AC4185">
            <w:pPr>
              <w:rPr>
                <w:szCs w:val="21"/>
              </w:rPr>
            </w:pPr>
            <w:r>
              <w:t>其他</w:t>
            </w:r>
          </w:p>
        </w:tc>
        <w:tc>
          <w:tcPr>
            <w:tcW w:w="964" w:type="pct"/>
            <w:tcBorders>
              <w:top w:val="single" w:sz="4" w:space="0" w:color="auto"/>
              <w:left w:val="single" w:sz="4" w:space="0" w:color="auto"/>
              <w:bottom w:val="single" w:sz="4" w:space="0" w:color="auto"/>
              <w:right w:val="single" w:sz="4" w:space="0" w:color="auto"/>
            </w:tcBorders>
          </w:tcPr>
          <w:p w14:paraId="4A3691EB" w14:textId="77777777" w:rsidR="00E57DAA" w:rsidRDefault="00AC4185">
            <w:pPr>
              <w:jc w:val="right"/>
              <w:rPr>
                <w:szCs w:val="21"/>
              </w:rPr>
            </w:pPr>
            <w:r>
              <w:t>14,906,182.83</w:t>
            </w:r>
          </w:p>
        </w:tc>
        <w:tc>
          <w:tcPr>
            <w:tcW w:w="964" w:type="pct"/>
            <w:tcBorders>
              <w:top w:val="single" w:sz="4" w:space="0" w:color="auto"/>
              <w:left w:val="single" w:sz="4" w:space="0" w:color="auto"/>
              <w:bottom w:val="single" w:sz="4" w:space="0" w:color="auto"/>
              <w:right w:val="single" w:sz="4" w:space="0" w:color="auto"/>
            </w:tcBorders>
          </w:tcPr>
          <w:p w14:paraId="2A88B931" w14:textId="77777777" w:rsidR="00E57DAA" w:rsidRDefault="00AC4185">
            <w:pPr>
              <w:jc w:val="right"/>
              <w:rPr>
                <w:szCs w:val="21"/>
              </w:rPr>
            </w:pPr>
            <w:r>
              <w:t>11,066,342.12</w:t>
            </w:r>
          </w:p>
        </w:tc>
        <w:tc>
          <w:tcPr>
            <w:tcW w:w="1147" w:type="pct"/>
            <w:tcBorders>
              <w:top w:val="single" w:sz="4" w:space="0" w:color="auto"/>
              <w:left w:val="single" w:sz="4" w:space="0" w:color="auto"/>
              <w:bottom w:val="single" w:sz="4" w:space="0" w:color="auto"/>
              <w:right w:val="single" w:sz="4" w:space="0" w:color="auto"/>
            </w:tcBorders>
          </w:tcPr>
          <w:p w14:paraId="5A3557F4" w14:textId="77777777" w:rsidR="00E57DAA" w:rsidRDefault="00AC4185">
            <w:pPr>
              <w:jc w:val="right"/>
              <w:rPr>
                <w:szCs w:val="21"/>
              </w:rPr>
            </w:pPr>
            <w:r>
              <w:t>14,906,182.83</w:t>
            </w:r>
          </w:p>
        </w:tc>
      </w:tr>
      <w:tr w:rsidR="00E57DAA" w14:paraId="25C02FFD" w14:textId="77777777">
        <w:tc>
          <w:tcPr>
            <w:tcW w:w="1925" w:type="pct"/>
            <w:tcBorders>
              <w:top w:val="single" w:sz="4" w:space="0" w:color="auto"/>
              <w:left w:val="single" w:sz="4" w:space="0" w:color="auto"/>
              <w:bottom w:val="single" w:sz="4" w:space="0" w:color="auto"/>
              <w:right w:val="single" w:sz="4" w:space="0" w:color="auto"/>
            </w:tcBorders>
            <w:vAlign w:val="center"/>
          </w:tcPr>
          <w:p w14:paraId="70FC2511" w14:textId="77777777" w:rsidR="00E57DAA" w:rsidRDefault="00AC4185">
            <w:pPr>
              <w:jc w:val="center"/>
              <w:rPr>
                <w:szCs w:val="21"/>
              </w:rPr>
            </w:pPr>
            <w:r>
              <w:rPr>
                <w:rFonts w:hint="eastAsia"/>
                <w:szCs w:val="21"/>
              </w:rPr>
              <w:t>合计</w:t>
            </w:r>
          </w:p>
        </w:tc>
        <w:tc>
          <w:tcPr>
            <w:tcW w:w="964" w:type="pct"/>
            <w:tcBorders>
              <w:top w:val="single" w:sz="4" w:space="0" w:color="auto"/>
              <w:left w:val="single" w:sz="4" w:space="0" w:color="auto"/>
              <w:bottom w:val="single" w:sz="4" w:space="0" w:color="auto"/>
              <w:right w:val="single" w:sz="4" w:space="0" w:color="auto"/>
            </w:tcBorders>
          </w:tcPr>
          <w:p w14:paraId="1426F510" w14:textId="77777777" w:rsidR="00E57DAA" w:rsidRDefault="00AC4185">
            <w:pPr>
              <w:jc w:val="right"/>
              <w:rPr>
                <w:szCs w:val="21"/>
              </w:rPr>
            </w:pPr>
            <w:r>
              <w:t>118,057,348.15</w:t>
            </w:r>
          </w:p>
        </w:tc>
        <w:tc>
          <w:tcPr>
            <w:tcW w:w="964" w:type="pct"/>
            <w:tcBorders>
              <w:top w:val="single" w:sz="4" w:space="0" w:color="auto"/>
              <w:left w:val="single" w:sz="4" w:space="0" w:color="auto"/>
              <w:bottom w:val="single" w:sz="4" w:space="0" w:color="auto"/>
              <w:right w:val="single" w:sz="4" w:space="0" w:color="auto"/>
            </w:tcBorders>
          </w:tcPr>
          <w:p w14:paraId="35943244" w14:textId="77777777" w:rsidR="00E57DAA" w:rsidRDefault="00AC4185">
            <w:pPr>
              <w:jc w:val="right"/>
              <w:rPr>
                <w:szCs w:val="21"/>
              </w:rPr>
            </w:pPr>
            <w:r>
              <w:t>128,643,327.10</w:t>
            </w:r>
          </w:p>
        </w:tc>
        <w:tc>
          <w:tcPr>
            <w:tcW w:w="1147" w:type="pct"/>
            <w:tcBorders>
              <w:top w:val="single" w:sz="4" w:space="0" w:color="auto"/>
              <w:left w:val="single" w:sz="4" w:space="0" w:color="auto"/>
              <w:bottom w:val="single" w:sz="4" w:space="0" w:color="auto"/>
              <w:right w:val="single" w:sz="4" w:space="0" w:color="auto"/>
            </w:tcBorders>
          </w:tcPr>
          <w:p w14:paraId="1159312C" w14:textId="77777777" w:rsidR="00E57DAA" w:rsidRDefault="00AC4185">
            <w:pPr>
              <w:autoSpaceDE w:val="0"/>
              <w:autoSpaceDN w:val="0"/>
              <w:adjustRightInd w:val="0"/>
              <w:jc w:val="right"/>
              <w:rPr>
                <w:szCs w:val="21"/>
              </w:rPr>
            </w:pPr>
            <w:r>
              <w:t>103,567,548.15</w:t>
            </w:r>
          </w:p>
        </w:tc>
      </w:tr>
    </w:tbl>
    <w:p w14:paraId="58FDCFEE" w14:textId="77777777" w:rsidR="00E57DAA" w:rsidRDefault="00AC4185">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835735936"/>
        <w:placeholder>
          <w:docPart w:val="GBC22222222222222222222222222222"/>
        </w:placeholder>
      </w:sdtPr>
      <w:sdtEndPr/>
      <w:sdtContent>
        <w:p w14:paraId="1C1EC131" w14:textId="77777777" w:rsidR="00E57DAA" w:rsidRDefault="00AC4185">
          <w:pPr>
            <w:spacing w:before="60" w:after="60" w:line="360" w:lineRule="exact"/>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240634016"/>
        <w:placeholder>
          <w:docPart w:val="GBC22222222222222222222222222222"/>
        </w:placeholder>
      </w:sdtPr>
      <w:sdtEndPr/>
      <w:sdtContent>
        <w:p w14:paraId="62E64592" w14:textId="77777777" w:rsidR="00E57DAA" w:rsidRDefault="00AC4185">
          <w:pPr>
            <w:rPr>
              <w:szCs w:val="21"/>
            </w:rPr>
          </w:pPr>
          <w:r>
            <w:rPr>
              <w:rFonts w:hint="eastAsia"/>
              <w:szCs w:val="21"/>
            </w:rPr>
            <w:t>本公司政府补助详见附注十一、政府补助3、计入当期损益的政府补助。</w:t>
          </w:r>
        </w:p>
      </w:sdtContent>
    </w:sdt>
    <w:p w14:paraId="3707EAE6" w14:textId="77777777" w:rsidR="00E57DAA" w:rsidRDefault="00E57DAA" w:rsidP="00C25422">
      <w:pPr>
        <w:pStyle w:val="92"/>
      </w:pPr>
    </w:p>
    <w:p w14:paraId="45CB52DF" w14:textId="77777777" w:rsidR="00E57DAA" w:rsidRDefault="00AC4185" w:rsidP="00C25422">
      <w:pPr>
        <w:pStyle w:val="91"/>
        <w:numPr>
          <w:ilvl w:val="0"/>
          <w:numId w:val="69"/>
        </w:numPr>
      </w:pPr>
      <w:r>
        <w:rPr>
          <w:rFonts w:hint="eastAsia"/>
        </w:rPr>
        <w:t>营业外支出</w:t>
      </w:r>
    </w:p>
    <w:sdt>
      <w:sdtPr>
        <w:rPr>
          <w:rFonts w:hint="eastAsia"/>
          <w:szCs w:val="21"/>
        </w:rPr>
        <w:alias w:val="是否适用：营业外支出[双击切换]"/>
        <w:tag w:val="_GBC_8e8d3e6e563742f48edf759d6034f4ce"/>
        <w:id w:val="-1649584728"/>
        <w:placeholder>
          <w:docPart w:val="GBC22222222222222222222222222222"/>
        </w:placeholder>
      </w:sdtPr>
      <w:sdtEndPr/>
      <w:sdtContent>
        <w:p w14:paraId="2436FC45"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C78B2F0" w14:textId="77777777" w:rsidR="00E57DAA" w:rsidRDefault="00AC4185">
      <w:pPr>
        <w:jc w:val="right"/>
        <w:rPr>
          <w:szCs w:val="21"/>
        </w:rPr>
      </w:pPr>
      <w:r>
        <w:rPr>
          <w:rFonts w:hint="eastAsia"/>
          <w:szCs w:val="21"/>
        </w:rPr>
        <w:t>单位：</w:t>
      </w:r>
      <w:sdt>
        <w:sdtPr>
          <w:rPr>
            <w:rFonts w:hint="eastAsia"/>
            <w:szCs w:val="21"/>
          </w:rPr>
          <w:alias w:val="单位：财务附注：营业外支出"/>
          <w:tag w:val="_GBC_825ccc5a51fd47a4888bf19121bc88e6"/>
          <w:id w:val="15954372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8207684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2317"/>
        <w:gridCol w:w="2271"/>
        <w:gridCol w:w="2259"/>
      </w:tblGrid>
      <w:tr w:rsidR="00E57DAA" w14:paraId="15FF2F53" w14:textId="77777777">
        <w:sdt>
          <w:sdtPr>
            <w:tag w:val="_PLD_3e5b39f95fae41609c103f36a1017c54"/>
            <w:id w:val="250554438"/>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6D759327" w14:textId="77777777" w:rsidR="00E57DAA" w:rsidRDefault="00AC4185">
                <w:pPr>
                  <w:autoSpaceDE w:val="0"/>
                  <w:autoSpaceDN w:val="0"/>
                  <w:adjustRightInd w:val="0"/>
                  <w:jc w:val="center"/>
                  <w:rPr>
                    <w:szCs w:val="21"/>
                  </w:rPr>
                </w:pPr>
                <w:r>
                  <w:rPr>
                    <w:rFonts w:hint="eastAsia"/>
                    <w:szCs w:val="21"/>
                  </w:rPr>
                  <w:t>项目</w:t>
                </w:r>
              </w:p>
            </w:tc>
          </w:sdtContent>
        </w:sdt>
        <w:sdt>
          <w:sdtPr>
            <w:tag w:val="_PLD_9ea5703e0d9641a1acf20638053e3dd5"/>
            <w:id w:val="1711838614"/>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529B23A5" w14:textId="77777777" w:rsidR="00E57DAA" w:rsidRDefault="00AC4185">
                <w:pPr>
                  <w:autoSpaceDE w:val="0"/>
                  <w:autoSpaceDN w:val="0"/>
                  <w:adjustRightInd w:val="0"/>
                  <w:jc w:val="center"/>
                  <w:rPr>
                    <w:szCs w:val="21"/>
                  </w:rPr>
                </w:pPr>
                <w:r>
                  <w:rPr>
                    <w:rFonts w:hint="eastAsia"/>
                    <w:szCs w:val="21"/>
                  </w:rPr>
                  <w:t>本期发生额</w:t>
                </w:r>
              </w:p>
            </w:tc>
          </w:sdtContent>
        </w:sdt>
        <w:sdt>
          <w:sdtPr>
            <w:tag w:val="_PLD_27cbc4bb29594bcfa61154a0d46b4d20"/>
            <w:id w:val="-282496206"/>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24B3611C" w14:textId="77777777" w:rsidR="00E57DAA" w:rsidRDefault="00AC4185">
                <w:pPr>
                  <w:autoSpaceDE w:val="0"/>
                  <w:autoSpaceDN w:val="0"/>
                  <w:adjustRightInd w:val="0"/>
                  <w:jc w:val="center"/>
                  <w:rPr>
                    <w:szCs w:val="21"/>
                  </w:rPr>
                </w:pPr>
                <w:r>
                  <w:rPr>
                    <w:rFonts w:hint="eastAsia"/>
                    <w:szCs w:val="21"/>
                  </w:rPr>
                  <w:t>上期发生额</w:t>
                </w:r>
              </w:p>
            </w:tc>
          </w:sdtContent>
        </w:sdt>
        <w:sdt>
          <w:sdtPr>
            <w:tag w:val="_PLD_cab5bf568f924fed9d087fb26b588481"/>
            <w:id w:val="-1387871004"/>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10A145CB" w14:textId="77777777" w:rsidR="00E57DAA" w:rsidRDefault="00AC4185">
                <w:pPr>
                  <w:autoSpaceDE w:val="0"/>
                  <w:autoSpaceDN w:val="0"/>
                  <w:adjustRightInd w:val="0"/>
                  <w:jc w:val="center"/>
                  <w:rPr>
                    <w:szCs w:val="21"/>
                  </w:rPr>
                </w:pPr>
                <w:r>
                  <w:rPr>
                    <w:rFonts w:hint="eastAsia"/>
                    <w:szCs w:val="21"/>
                  </w:rPr>
                  <w:t>计入当期非经常性损益的金额</w:t>
                </w:r>
              </w:p>
            </w:tc>
          </w:sdtContent>
        </w:sdt>
      </w:tr>
      <w:tr w:rsidR="00E57DAA" w14:paraId="6B419CA8" w14:textId="77777777">
        <w:tc>
          <w:tcPr>
            <w:tcW w:w="1120" w:type="pct"/>
            <w:tcBorders>
              <w:top w:val="single" w:sz="4" w:space="0" w:color="auto"/>
              <w:left w:val="single" w:sz="4" w:space="0" w:color="auto"/>
              <w:bottom w:val="single" w:sz="4" w:space="0" w:color="auto"/>
              <w:right w:val="single" w:sz="4" w:space="0" w:color="auto"/>
            </w:tcBorders>
          </w:tcPr>
          <w:p w14:paraId="79C74DED" w14:textId="77777777" w:rsidR="00E57DAA" w:rsidRDefault="00AC4185">
            <w:pPr>
              <w:autoSpaceDE w:val="0"/>
              <w:autoSpaceDN w:val="0"/>
              <w:adjustRightInd w:val="0"/>
              <w:rPr>
                <w:szCs w:val="21"/>
              </w:rPr>
            </w:pPr>
            <w:r>
              <w:rPr>
                <w:rFonts w:hint="eastAsia"/>
                <w:szCs w:val="21"/>
              </w:rPr>
              <w:t>对外捐赠</w:t>
            </w:r>
          </w:p>
        </w:tc>
        <w:tc>
          <w:tcPr>
            <w:tcW w:w="1313" w:type="pct"/>
            <w:tcBorders>
              <w:top w:val="single" w:sz="4" w:space="0" w:color="auto"/>
              <w:left w:val="single" w:sz="4" w:space="0" w:color="auto"/>
              <w:bottom w:val="single" w:sz="4" w:space="0" w:color="auto"/>
              <w:right w:val="single" w:sz="4" w:space="0" w:color="auto"/>
            </w:tcBorders>
            <w:vAlign w:val="center"/>
          </w:tcPr>
          <w:p w14:paraId="6E0587F0" w14:textId="77777777" w:rsidR="00E57DAA" w:rsidRDefault="00AC4185">
            <w:pPr>
              <w:jc w:val="right"/>
              <w:rPr>
                <w:szCs w:val="21"/>
              </w:rPr>
            </w:pPr>
            <w:r>
              <w:t>6,341,120.20</w:t>
            </w:r>
          </w:p>
        </w:tc>
        <w:tc>
          <w:tcPr>
            <w:tcW w:w="1287" w:type="pct"/>
            <w:tcBorders>
              <w:top w:val="single" w:sz="4" w:space="0" w:color="auto"/>
              <w:left w:val="single" w:sz="4" w:space="0" w:color="auto"/>
              <w:bottom w:val="single" w:sz="4" w:space="0" w:color="auto"/>
              <w:right w:val="single" w:sz="4" w:space="0" w:color="auto"/>
            </w:tcBorders>
            <w:vAlign w:val="center"/>
          </w:tcPr>
          <w:p w14:paraId="653CF25A" w14:textId="77777777" w:rsidR="00E57DAA" w:rsidRDefault="00AC4185">
            <w:pPr>
              <w:jc w:val="right"/>
              <w:rPr>
                <w:szCs w:val="21"/>
              </w:rPr>
            </w:pPr>
            <w:r>
              <w:t>5,697,029.78</w:t>
            </w:r>
          </w:p>
        </w:tc>
        <w:tc>
          <w:tcPr>
            <w:tcW w:w="1280" w:type="pct"/>
            <w:tcBorders>
              <w:top w:val="single" w:sz="4" w:space="0" w:color="auto"/>
              <w:left w:val="single" w:sz="4" w:space="0" w:color="auto"/>
              <w:bottom w:val="single" w:sz="4" w:space="0" w:color="auto"/>
              <w:right w:val="single" w:sz="4" w:space="0" w:color="auto"/>
            </w:tcBorders>
            <w:vAlign w:val="center"/>
          </w:tcPr>
          <w:p w14:paraId="6E2A63C0" w14:textId="77777777" w:rsidR="00E57DAA" w:rsidRDefault="00AC4185">
            <w:pPr>
              <w:autoSpaceDE w:val="0"/>
              <w:autoSpaceDN w:val="0"/>
              <w:adjustRightInd w:val="0"/>
              <w:jc w:val="right"/>
              <w:rPr>
                <w:szCs w:val="21"/>
              </w:rPr>
            </w:pPr>
            <w:r>
              <w:t>6,341,120.20</w:t>
            </w:r>
          </w:p>
        </w:tc>
      </w:tr>
      <w:tr w:rsidR="00E57DAA" w14:paraId="70F4BE6B" w14:textId="77777777">
        <w:tc>
          <w:tcPr>
            <w:tcW w:w="1120" w:type="pct"/>
            <w:tcBorders>
              <w:top w:val="single" w:sz="4" w:space="0" w:color="auto"/>
              <w:left w:val="single" w:sz="4" w:space="0" w:color="auto"/>
              <w:bottom w:val="single" w:sz="4" w:space="0" w:color="auto"/>
              <w:right w:val="single" w:sz="4" w:space="0" w:color="auto"/>
            </w:tcBorders>
          </w:tcPr>
          <w:p w14:paraId="4F23C60D" w14:textId="77777777" w:rsidR="00E57DAA" w:rsidRDefault="00AC4185">
            <w:pPr>
              <w:rPr>
                <w:szCs w:val="21"/>
              </w:rPr>
            </w:pPr>
            <w:r>
              <w:t>赔偿款</w:t>
            </w:r>
          </w:p>
        </w:tc>
        <w:tc>
          <w:tcPr>
            <w:tcW w:w="1313" w:type="pct"/>
            <w:tcBorders>
              <w:top w:val="single" w:sz="4" w:space="0" w:color="auto"/>
              <w:left w:val="single" w:sz="4" w:space="0" w:color="auto"/>
              <w:bottom w:val="single" w:sz="4" w:space="0" w:color="auto"/>
              <w:right w:val="single" w:sz="4" w:space="0" w:color="auto"/>
            </w:tcBorders>
            <w:vAlign w:val="center"/>
          </w:tcPr>
          <w:p w14:paraId="2A71C5A7" w14:textId="77777777" w:rsidR="00E57DAA" w:rsidRDefault="00AC4185">
            <w:pPr>
              <w:jc w:val="right"/>
              <w:rPr>
                <w:szCs w:val="21"/>
              </w:rPr>
            </w:pPr>
            <w:r>
              <w:t>1,915,704.91</w:t>
            </w:r>
          </w:p>
        </w:tc>
        <w:tc>
          <w:tcPr>
            <w:tcW w:w="1287" w:type="pct"/>
            <w:tcBorders>
              <w:top w:val="single" w:sz="4" w:space="0" w:color="auto"/>
              <w:left w:val="single" w:sz="4" w:space="0" w:color="auto"/>
              <w:bottom w:val="single" w:sz="4" w:space="0" w:color="auto"/>
              <w:right w:val="single" w:sz="4" w:space="0" w:color="auto"/>
            </w:tcBorders>
            <w:vAlign w:val="center"/>
          </w:tcPr>
          <w:p w14:paraId="69B864D8" w14:textId="77777777" w:rsidR="00E57DAA" w:rsidRDefault="00AC4185">
            <w:pPr>
              <w:jc w:val="right"/>
              <w:rPr>
                <w:szCs w:val="21"/>
              </w:rPr>
            </w:pPr>
            <w:r>
              <w:t>2,837,435.15</w:t>
            </w:r>
          </w:p>
        </w:tc>
        <w:tc>
          <w:tcPr>
            <w:tcW w:w="1280" w:type="pct"/>
            <w:tcBorders>
              <w:top w:val="single" w:sz="4" w:space="0" w:color="auto"/>
              <w:left w:val="single" w:sz="4" w:space="0" w:color="auto"/>
              <w:bottom w:val="single" w:sz="4" w:space="0" w:color="auto"/>
              <w:right w:val="single" w:sz="4" w:space="0" w:color="auto"/>
            </w:tcBorders>
            <w:vAlign w:val="center"/>
          </w:tcPr>
          <w:p w14:paraId="62018FC1" w14:textId="77777777" w:rsidR="00E57DAA" w:rsidRDefault="00AC4185">
            <w:pPr>
              <w:jc w:val="right"/>
              <w:rPr>
                <w:szCs w:val="21"/>
              </w:rPr>
            </w:pPr>
            <w:r>
              <w:t>1,915,704.91</w:t>
            </w:r>
          </w:p>
        </w:tc>
      </w:tr>
      <w:tr w:rsidR="00E57DAA" w14:paraId="68522D28" w14:textId="77777777">
        <w:tc>
          <w:tcPr>
            <w:tcW w:w="1120" w:type="pct"/>
            <w:tcBorders>
              <w:top w:val="single" w:sz="4" w:space="0" w:color="auto"/>
              <w:left w:val="single" w:sz="4" w:space="0" w:color="auto"/>
              <w:bottom w:val="single" w:sz="4" w:space="0" w:color="auto"/>
              <w:right w:val="single" w:sz="4" w:space="0" w:color="auto"/>
            </w:tcBorders>
          </w:tcPr>
          <w:p w14:paraId="783A10DE" w14:textId="77777777" w:rsidR="00E57DAA" w:rsidRDefault="00AC4185">
            <w:pPr>
              <w:rPr>
                <w:szCs w:val="21"/>
              </w:rPr>
            </w:pPr>
            <w:r>
              <w:t>罚款及滞纳金</w:t>
            </w:r>
          </w:p>
        </w:tc>
        <w:tc>
          <w:tcPr>
            <w:tcW w:w="1313" w:type="pct"/>
            <w:tcBorders>
              <w:top w:val="single" w:sz="4" w:space="0" w:color="auto"/>
              <w:left w:val="single" w:sz="4" w:space="0" w:color="auto"/>
              <w:bottom w:val="single" w:sz="4" w:space="0" w:color="auto"/>
              <w:right w:val="single" w:sz="4" w:space="0" w:color="auto"/>
            </w:tcBorders>
            <w:vAlign w:val="center"/>
          </w:tcPr>
          <w:p w14:paraId="66A61A8B" w14:textId="77777777" w:rsidR="00E57DAA" w:rsidRDefault="00AC4185">
            <w:pPr>
              <w:jc w:val="right"/>
              <w:rPr>
                <w:szCs w:val="21"/>
              </w:rPr>
            </w:pPr>
            <w:r>
              <w:t>3,143,525.21</w:t>
            </w:r>
          </w:p>
        </w:tc>
        <w:tc>
          <w:tcPr>
            <w:tcW w:w="1287" w:type="pct"/>
            <w:tcBorders>
              <w:top w:val="single" w:sz="4" w:space="0" w:color="auto"/>
              <w:left w:val="single" w:sz="4" w:space="0" w:color="auto"/>
              <w:bottom w:val="single" w:sz="4" w:space="0" w:color="auto"/>
              <w:right w:val="single" w:sz="4" w:space="0" w:color="auto"/>
            </w:tcBorders>
            <w:vAlign w:val="center"/>
          </w:tcPr>
          <w:p w14:paraId="0D55371E" w14:textId="77777777" w:rsidR="00E57DAA" w:rsidRDefault="00AC4185">
            <w:pPr>
              <w:jc w:val="right"/>
              <w:rPr>
                <w:szCs w:val="21"/>
              </w:rPr>
            </w:pPr>
            <w:r>
              <w:t>1,995,213.32</w:t>
            </w:r>
          </w:p>
        </w:tc>
        <w:tc>
          <w:tcPr>
            <w:tcW w:w="1280" w:type="pct"/>
            <w:tcBorders>
              <w:top w:val="single" w:sz="4" w:space="0" w:color="auto"/>
              <w:left w:val="single" w:sz="4" w:space="0" w:color="auto"/>
              <w:bottom w:val="single" w:sz="4" w:space="0" w:color="auto"/>
              <w:right w:val="single" w:sz="4" w:space="0" w:color="auto"/>
            </w:tcBorders>
            <w:vAlign w:val="center"/>
          </w:tcPr>
          <w:p w14:paraId="19302D9A" w14:textId="77777777" w:rsidR="00E57DAA" w:rsidRDefault="00AC4185">
            <w:pPr>
              <w:jc w:val="right"/>
              <w:rPr>
                <w:szCs w:val="21"/>
              </w:rPr>
            </w:pPr>
            <w:r>
              <w:t>3,143,525.21</w:t>
            </w:r>
          </w:p>
        </w:tc>
      </w:tr>
      <w:tr w:rsidR="00E57DAA" w14:paraId="4A83B716" w14:textId="77777777">
        <w:tc>
          <w:tcPr>
            <w:tcW w:w="1120" w:type="pct"/>
            <w:tcBorders>
              <w:top w:val="single" w:sz="4" w:space="0" w:color="auto"/>
              <w:left w:val="single" w:sz="4" w:space="0" w:color="auto"/>
              <w:bottom w:val="single" w:sz="4" w:space="0" w:color="auto"/>
              <w:right w:val="single" w:sz="4" w:space="0" w:color="auto"/>
            </w:tcBorders>
          </w:tcPr>
          <w:p w14:paraId="339B4AEC" w14:textId="77777777" w:rsidR="00E57DAA" w:rsidRDefault="00AC4185">
            <w:pPr>
              <w:rPr>
                <w:szCs w:val="21"/>
              </w:rPr>
            </w:pPr>
            <w:r>
              <w:t>非流动资产毁损报废损失</w:t>
            </w:r>
          </w:p>
        </w:tc>
        <w:tc>
          <w:tcPr>
            <w:tcW w:w="1313" w:type="pct"/>
            <w:tcBorders>
              <w:top w:val="single" w:sz="4" w:space="0" w:color="auto"/>
              <w:left w:val="single" w:sz="4" w:space="0" w:color="auto"/>
              <w:bottom w:val="single" w:sz="4" w:space="0" w:color="auto"/>
              <w:right w:val="single" w:sz="4" w:space="0" w:color="auto"/>
            </w:tcBorders>
            <w:vAlign w:val="center"/>
          </w:tcPr>
          <w:p w14:paraId="67960F15" w14:textId="77777777" w:rsidR="00E57DAA" w:rsidRDefault="00AC4185">
            <w:pPr>
              <w:jc w:val="right"/>
              <w:rPr>
                <w:szCs w:val="21"/>
              </w:rPr>
            </w:pPr>
            <w:r>
              <w:t>5,054,048.79</w:t>
            </w:r>
          </w:p>
        </w:tc>
        <w:tc>
          <w:tcPr>
            <w:tcW w:w="1287" w:type="pct"/>
            <w:tcBorders>
              <w:top w:val="single" w:sz="4" w:space="0" w:color="auto"/>
              <w:left w:val="single" w:sz="4" w:space="0" w:color="auto"/>
              <w:bottom w:val="single" w:sz="4" w:space="0" w:color="auto"/>
              <w:right w:val="single" w:sz="4" w:space="0" w:color="auto"/>
            </w:tcBorders>
            <w:vAlign w:val="center"/>
          </w:tcPr>
          <w:p w14:paraId="02CD802F" w14:textId="77777777" w:rsidR="00E57DAA" w:rsidRDefault="00AC4185">
            <w:pPr>
              <w:jc w:val="right"/>
              <w:rPr>
                <w:szCs w:val="21"/>
              </w:rPr>
            </w:pPr>
            <w:r>
              <w:t>2,958,639.80</w:t>
            </w:r>
          </w:p>
        </w:tc>
        <w:tc>
          <w:tcPr>
            <w:tcW w:w="1280" w:type="pct"/>
            <w:tcBorders>
              <w:top w:val="single" w:sz="4" w:space="0" w:color="auto"/>
              <w:left w:val="single" w:sz="4" w:space="0" w:color="auto"/>
              <w:bottom w:val="single" w:sz="4" w:space="0" w:color="auto"/>
              <w:right w:val="single" w:sz="4" w:space="0" w:color="auto"/>
            </w:tcBorders>
            <w:vAlign w:val="center"/>
          </w:tcPr>
          <w:p w14:paraId="20BB3F9A" w14:textId="77777777" w:rsidR="00E57DAA" w:rsidRDefault="00AC4185">
            <w:pPr>
              <w:jc w:val="right"/>
              <w:rPr>
                <w:szCs w:val="21"/>
              </w:rPr>
            </w:pPr>
            <w:r>
              <w:t>5,054,048.79</w:t>
            </w:r>
          </w:p>
        </w:tc>
      </w:tr>
      <w:tr w:rsidR="00E57DAA" w14:paraId="0A347C76" w14:textId="77777777">
        <w:tc>
          <w:tcPr>
            <w:tcW w:w="1120" w:type="pct"/>
            <w:tcBorders>
              <w:top w:val="single" w:sz="4" w:space="0" w:color="auto"/>
              <w:left w:val="single" w:sz="4" w:space="0" w:color="auto"/>
              <w:bottom w:val="single" w:sz="4" w:space="0" w:color="auto"/>
              <w:right w:val="single" w:sz="4" w:space="0" w:color="auto"/>
            </w:tcBorders>
          </w:tcPr>
          <w:p w14:paraId="3A13A40E" w14:textId="77777777" w:rsidR="00E57DAA" w:rsidRDefault="00AC4185">
            <w:pPr>
              <w:rPr>
                <w:szCs w:val="21"/>
              </w:rPr>
            </w:pPr>
            <w:r>
              <w:t>公司改制前离退休人员薪酬支出</w:t>
            </w:r>
          </w:p>
        </w:tc>
        <w:tc>
          <w:tcPr>
            <w:tcW w:w="1313" w:type="pct"/>
            <w:tcBorders>
              <w:top w:val="single" w:sz="4" w:space="0" w:color="auto"/>
              <w:left w:val="single" w:sz="4" w:space="0" w:color="auto"/>
              <w:bottom w:val="single" w:sz="4" w:space="0" w:color="auto"/>
              <w:right w:val="single" w:sz="4" w:space="0" w:color="auto"/>
            </w:tcBorders>
            <w:vAlign w:val="center"/>
          </w:tcPr>
          <w:p w14:paraId="1E89777E" w14:textId="77777777" w:rsidR="00E57DAA" w:rsidRDefault="00AC4185">
            <w:pPr>
              <w:jc w:val="right"/>
              <w:rPr>
                <w:szCs w:val="21"/>
              </w:rPr>
            </w:pPr>
            <w:r>
              <w:t>14,091,754.44</w:t>
            </w:r>
          </w:p>
        </w:tc>
        <w:tc>
          <w:tcPr>
            <w:tcW w:w="1287" w:type="pct"/>
            <w:tcBorders>
              <w:top w:val="single" w:sz="4" w:space="0" w:color="auto"/>
              <w:left w:val="single" w:sz="4" w:space="0" w:color="auto"/>
              <w:bottom w:val="single" w:sz="4" w:space="0" w:color="auto"/>
              <w:right w:val="single" w:sz="4" w:space="0" w:color="auto"/>
            </w:tcBorders>
            <w:vAlign w:val="center"/>
          </w:tcPr>
          <w:p w14:paraId="1AB9DE6A" w14:textId="77777777" w:rsidR="00E57DAA" w:rsidRDefault="00AC4185">
            <w:pPr>
              <w:jc w:val="right"/>
              <w:rPr>
                <w:szCs w:val="21"/>
              </w:rPr>
            </w:pPr>
            <w:r>
              <w:t>15,488,604.66</w:t>
            </w:r>
          </w:p>
        </w:tc>
        <w:tc>
          <w:tcPr>
            <w:tcW w:w="1280" w:type="pct"/>
            <w:tcBorders>
              <w:top w:val="single" w:sz="4" w:space="0" w:color="auto"/>
              <w:left w:val="single" w:sz="4" w:space="0" w:color="auto"/>
              <w:bottom w:val="single" w:sz="4" w:space="0" w:color="auto"/>
              <w:right w:val="single" w:sz="4" w:space="0" w:color="auto"/>
            </w:tcBorders>
            <w:vAlign w:val="center"/>
          </w:tcPr>
          <w:p w14:paraId="6796407A" w14:textId="77777777" w:rsidR="00E57DAA" w:rsidRDefault="00E57DAA">
            <w:pPr>
              <w:jc w:val="right"/>
              <w:rPr>
                <w:szCs w:val="21"/>
              </w:rPr>
            </w:pPr>
          </w:p>
        </w:tc>
      </w:tr>
      <w:tr w:rsidR="00E57DAA" w14:paraId="2D04AD20" w14:textId="77777777">
        <w:tc>
          <w:tcPr>
            <w:tcW w:w="1120" w:type="pct"/>
            <w:tcBorders>
              <w:top w:val="single" w:sz="4" w:space="0" w:color="auto"/>
              <w:left w:val="single" w:sz="4" w:space="0" w:color="auto"/>
              <w:bottom w:val="single" w:sz="4" w:space="0" w:color="auto"/>
              <w:right w:val="single" w:sz="4" w:space="0" w:color="auto"/>
            </w:tcBorders>
          </w:tcPr>
          <w:p w14:paraId="1A97832D" w14:textId="77777777" w:rsidR="00E57DAA" w:rsidRDefault="00AC4185">
            <w:pPr>
              <w:rPr>
                <w:szCs w:val="21"/>
              </w:rPr>
            </w:pPr>
            <w:r>
              <w:t>其他</w:t>
            </w:r>
          </w:p>
        </w:tc>
        <w:tc>
          <w:tcPr>
            <w:tcW w:w="1313" w:type="pct"/>
            <w:tcBorders>
              <w:top w:val="single" w:sz="4" w:space="0" w:color="auto"/>
              <w:left w:val="single" w:sz="4" w:space="0" w:color="auto"/>
              <w:bottom w:val="single" w:sz="4" w:space="0" w:color="auto"/>
              <w:right w:val="single" w:sz="4" w:space="0" w:color="auto"/>
            </w:tcBorders>
            <w:vAlign w:val="center"/>
          </w:tcPr>
          <w:p w14:paraId="419013B0" w14:textId="77777777" w:rsidR="00E57DAA" w:rsidRDefault="00AC4185">
            <w:pPr>
              <w:jc w:val="right"/>
              <w:rPr>
                <w:szCs w:val="21"/>
              </w:rPr>
            </w:pPr>
            <w:r>
              <w:t>1,743,907.04</w:t>
            </w:r>
          </w:p>
        </w:tc>
        <w:tc>
          <w:tcPr>
            <w:tcW w:w="1287" w:type="pct"/>
            <w:tcBorders>
              <w:top w:val="single" w:sz="4" w:space="0" w:color="auto"/>
              <w:left w:val="single" w:sz="4" w:space="0" w:color="auto"/>
              <w:bottom w:val="single" w:sz="4" w:space="0" w:color="auto"/>
              <w:right w:val="single" w:sz="4" w:space="0" w:color="auto"/>
            </w:tcBorders>
            <w:vAlign w:val="center"/>
          </w:tcPr>
          <w:p w14:paraId="4F502592" w14:textId="77777777" w:rsidR="00E57DAA" w:rsidRDefault="00AC4185">
            <w:pPr>
              <w:jc w:val="right"/>
              <w:rPr>
                <w:szCs w:val="21"/>
              </w:rPr>
            </w:pPr>
            <w:r>
              <w:t>6,811,247.30</w:t>
            </w:r>
          </w:p>
        </w:tc>
        <w:tc>
          <w:tcPr>
            <w:tcW w:w="1280" w:type="pct"/>
            <w:tcBorders>
              <w:top w:val="single" w:sz="4" w:space="0" w:color="auto"/>
              <w:left w:val="single" w:sz="4" w:space="0" w:color="auto"/>
              <w:bottom w:val="single" w:sz="4" w:space="0" w:color="auto"/>
              <w:right w:val="single" w:sz="4" w:space="0" w:color="auto"/>
            </w:tcBorders>
            <w:vAlign w:val="center"/>
          </w:tcPr>
          <w:p w14:paraId="50BE3BB0" w14:textId="77777777" w:rsidR="00E57DAA" w:rsidRDefault="00AC4185">
            <w:pPr>
              <w:jc w:val="right"/>
              <w:rPr>
                <w:szCs w:val="21"/>
              </w:rPr>
            </w:pPr>
            <w:r>
              <w:t>1,743,907.04</w:t>
            </w:r>
          </w:p>
        </w:tc>
      </w:tr>
      <w:tr w:rsidR="00E57DAA" w14:paraId="1C0B81D0" w14:textId="77777777">
        <w:tc>
          <w:tcPr>
            <w:tcW w:w="1120" w:type="pct"/>
            <w:tcBorders>
              <w:top w:val="single" w:sz="4" w:space="0" w:color="auto"/>
              <w:left w:val="single" w:sz="4" w:space="0" w:color="auto"/>
              <w:bottom w:val="single" w:sz="4" w:space="0" w:color="auto"/>
              <w:right w:val="single" w:sz="4" w:space="0" w:color="auto"/>
            </w:tcBorders>
          </w:tcPr>
          <w:p w14:paraId="27726477" w14:textId="77777777" w:rsidR="00E57DAA" w:rsidRDefault="00AC4185">
            <w:pPr>
              <w:ind w:right="6"/>
              <w:jc w:val="center"/>
              <w:rPr>
                <w:szCs w:val="21"/>
              </w:rPr>
            </w:pPr>
            <w:r>
              <w:rPr>
                <w:rFonts w:hint="eastAsia"/>
                <w:szCs w:val="21"/>
              </w:rPr>
              <w:t>合计</w:t>
            </w:r>
          </w:p>
        </w:tc>
        <w:tc>
          <w:tcPr>
            <w:tcW w:w="1313" w:type="pct"/>
            <w:tcBorders>
              <w:top w:val="single" w:sz="4" w:space="0" w:color="auto"/>
              <w:left w:val="single" w:sz="4" w:space="0" w:color="auto"/>
              <w:bottom w:val="single" w:sz="4" w:space="0" w:color="auto"/>
              <w:right w:val="single" w:sz="4" w:space="0" w:color="auto"/>
            </w:tcBorders>
            <w:vAlign w:val="center"/>
          </w:tcPr>
          <w:p w14:paraId="6A84F9C7" w14:textId="77777777" w:rsidR="00E57DAA" w:rsidRDefault="00AC4185">
            <w:pPr>
              <w:jc w:val="right"/>
              <w:rPr>
                <w:szCs w:val="21"/>
              </w:rPr>
            </w:pPr>
            <w:r>
              <w:t>32,290,060.59</w:t>
            </w:r>
          </w:p>
        </w:tc>
        <w:tc>
          <w:tcPr>
            <w:tcW w:w="1287" w:type="pct"/>
            <w:tcBorders>
              <w:top w:val="single" w:sz="4" w:space="0" w:color="auto"/>
              <w:left w:val="single" w:sz="4" w:space="0" w:color="auto"/>
              <w:bottom w:val="single" w:sz="4" w:space="0" w:color="auto"/>
              <w:right w:val="single" w:sz="4" w:space="0" w:color="auto"/>
            </w:tcBorders>
            <w:vAlign w:val="center"/>
          </w:tcPr>
          <w:p w14:paraId="0A6F2B40" w14:textId="77777777" w:rsidR="00E57DAA" w:rsidRDefault="00AC4185">
            <w:pPr>
              <w:jc w:val="right"/>
              <w:rPr>
                <w:szCs w:val="21"/>
              </w:rPr>
            </w:pPr>
            <w:r>
              <w:t>35,788,170.01</w:t>
            </w:r>
          </w:p>
        </w:tc>
        <w:tc>
          <w:tcPr>
            <w:tcW w:w="1280" w:type="pct"/>
            <w:tcBorders>
              <w:top w:val="single" w:sz="4" w:space="0" w:color="auto"/>
              <w:left w:val="single" w:sz="4" w:space="0" w:color="auto"/>
              <w:bottom w:val="single" w:sz="4" w:space="0" w:color="auto"/>
              <w:right w:val="single" w:sz="4" w:space="0" w:color="auto"/>
            </w:tcBorders>
            <w:vAlign w:val="center"/>
          </w:tcPr>
          <w:p w14:paraId="65DAF590" w14:textId="77777777" w:rsidR="00E57DAA" w:rsidRDefault="00AC4185">
            <w:pPr>
              <w:autoSpaceDE w:val="0"/>
              <w:autoSpaceDN w:val="0"/>
              <w:adjustRightInd w:val="0"/>
              <w:jc w:val="right"/>
              <w:rPr>
                <w:szCs w:val="21"/>
              </w:rPr>
            </w:pPr>
            <w:r>
              <w:t>18,198,306.15</w:t>
            </w:r>
          </w:p>
        </w:tc>
      </w:tr>
    </w:tbl>
    <w:p w14:paraId="007FBCA4" w14:textId="77777777" w:rsidR="00E57DAA" w:rsidRDefault="00E57DAA" w:rsidP="00C25422">
      <w:pPr>
        <w:pStyle w:val="92"/>
      </w:pPr>
    </w:p>
    <w:p w14:paraId="3F749C45" w14:textId="77777777" w:rsidR="00E57DAA" w:rsidRDefault="00AC4185" w:rsidP="00C25422">
      <w:pPr>
        <w:pStyle w:val="91"/>
        <w:numPr>
          <w:ilvl w:val="0"/>
          <w:numId w:val="69"/>
        </w:numPr>
      </w:pPr>
      <w:r>
        <w:rPr>
          <w:rFonts w:hint="eastAsia"/>
        </w:rPr>
        <w:t>所得税费用</w:t>
      </w:r>
    </w:p>
    <w:p w14:paraId="779BE1D9" w14:textId="77777777" w:rsidR="00E57DAA" w:rsidRDefault="00AC4185">
      <w:pPr>
        <w:pStyle w:val="4"/>
        <w:numPr>
          <w:ilvl w:val="0"/>
          <w:numId w:val="104"/>
        </w:numPr>
        <w:ind w:left="426" w:hanging="426"/>
      </w:pPr>
      <w:r>
        <w:rPr>
          <w:rFonts w:hint="eastAsia"/>
        </w:rPr>
        <w:t>所得税费用表</w:t>
      </w:r>
    </w:p>
    <w:sdt>
      <w:sdtPr>
        <w:alias w:val="是否适用：所得税费用表[双击切换]"/>
        <w:tag w:val="_GBC_3ea18046339d457a8712506679035498"/>
        <w:id w:val="-1154133129"/>
        <w:placeholder>
          <w:docPart w:val="GBC22222222222222222222222222222"/>
        </w:placeholder>
      </w:sdtPr>
      <w:sdtEndPr/>
      <w:sdtContent>
        <w:p w14:paraId="323444E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43601B" w14:textId="77777777" w:rsidR="00E57DAA" w:rsidRDefault="00AC4185">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1329088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694052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31"/>
        <w:gridCol w:w="2854"/>
        <w:gridCol w:w="2838"/>
      </w:tblGrid>
      <w:tr w:rsidR="00E57DAA" w14:paraId="29287927" w14:textId="77777777">
        <w:trPr>
          <w:trHeight w:val="279"/>
        </w:trPr>
        <w:sdt>
          <w:sdtPr>
            <w:tag w:val="_PLD_e0d72a7f55e04c898352587240ce636b"/>
            <w:id w:val="1952662678"/>
          </w:sdtPr>
          <w:sdtEndPr/>
          <w:sdtContent>
            <w:tc>
              <w:tcPr>
                <w:tcW w:w="1774" w:type="pct"/>
                <w:vAlign w:val="center"/>
              </w:tcPr>
              <w:p w14:paraId="25CAA2A8" w14:textId="77777777" w:rsidR="00E57DAA" w:rsidRDefault="00AC4185">
                <w:pPr>
                  <w:ind w:right="6"/>
                  <w:jc w:val="center"/>
                  <w:rPr>
                    <w:szCs w:val="21"/>
                  </w:rPr>
                </w:pPr>
                <w:r>
                  <w:rPr>
                    <w:rFonts w:hint="eastAsia"/>
                    <w:szCs w:val="21"/>
                  </w:rPr>
                  <w:t>项目</w:t>
                </w:r>
              </w:p>
            </w:tc>
          </w:sdtContent>
        </w:sdt>
        <w:sdt>
          <w:sdtPr>
            <w:tag w:val="_PLD_e2b12491de324856a6b2f7034aa875da"/>
            <w:id w:val="-1931811821"/>
          </w:sdtPr>
          <w:sdtEndPr/>
          <w:sdtContent>
            <w:tc>
              <w:tcPr>
                <w:tcW w:w="1617" w:type="pct"/>
                <w:vAlign w:val="center"/>
              </w:tcPr>
              <w:p w14:paraId="69CEDF5F" w14:textId="77777777" w:rsidR="00E57DAA" w:rsidRDefault="00AC4185">
                <w:pPr>
                  <w:ind w:right="6"/>
                  <w:jc w:val="center"/>
                  <w:rPr>
                    <w:szCs w:val="21"/>
                  </w:rPr>
                </w:pPr>
                <w:r>
                  <w:rPr>
                    <w:rFonts w:hint="eastAsia"/>
                    <w:szCs w:val="21"/>
                  </w:rPr>
                  <w:t>本期发生额</w:t>
                </w:r>
              </w:p>
            </w:tc>
          </w:sdtContent>
        </w:sdt>
        <w:sdt>
          <w:sdtPr>
            <w:tag w:val="_PLD_4b2515977b8d462088eb538637703bf1"/>
            <w:id w:val="1275139957"/>
          </w:sdtPr>
          <w:sdtEndPr/>
          <w:sdtContent>
            <w:tc>
              <w:tcPr>
                <w:tcW w:w="1608" w:type="pct"/>
                <w:vAlign w:val="center"/>
              </w:tcPr>
              <w:p w14:paraId="405C1F45" w14:textId="77777777" w:rsidR="00E57DAA" w:rsidRDefault="00AC4185">
                <w:pPr>
                  <w:ind w:right="6"/>
                  <w:jc w:val="center"/>
                  <w:rPr>
                    <w:szCs w:val="21"/>
                  </w:rPr>
                </w:pPr>
                <w:r>
                  <w:rPr>
                    <w:rFonts w:hint="eastAsia"/>
                    <w:szCs w:val="21"/>
                  </w:rPr>
                  <w:t>上期发生额</w:t>
                </w:r>
              </w:p>
            </w:tc>
          </w:sdtContent>
        </w:sdt>
      </w:tr>
      <w:tr w:rsidR="00E57DAA" w14:paraId="01F82AF0" w14:textId="77777777">
        <w:tc>
          <w:tcPr>
            <w:tcW w:w="1774" w:type="pct"/>
          </w:tcPr>
          <w:p w14:paraId="10BC93E7" w14:textId="77777777" w:rsidR="00E57DAA" w:rsidRDefault="00AC4185">
            <w:pPr>
              <w:ind w:right="6"/>
              <w:rPr>
                <w:b/>
                <w:bCs/>
                <w:szCs w:val="21"/>
              </w:rPr>
            </w:pPr>
            <w:r>
              <w:rPr>
                <w:rFonts w:hint="eastAsia"/>
                <w:szCs w:val="21"/>
              </w:rPr>
              <w:t>当期所得税费用</w:t>
            </w:r>
          </w:p>
        </w:tc>
        <w:tc>
          <w:tcPr>
            <w:tcW w:w="1617" w:type="pct"/>
            <w:vAlign w:val="center"/>
          </w:tcPr>
          <w:p w14:paraId="2D82CA61" w14:textId="77777777" w:rsidR="00E57DAA" w:rsidRDefault="00AC4185">
            <w:pPr>
              <w:jc w:val="right"/>
              <w:rPr>
                <w:szCs w:val="21"/>
              </w:rPr>
            </w:pPr>
            <w:r>
              <w:t>553,096,233.09</w:t>
            </w:r>
          </w:p>
        </w:tc>
        <w:tc>
          <w:tcPr>
            <w:tcW w:w="1608" w:type="pct"/>
            <w:vAlign w:val="center"/>
          </w:tcPr>
          <w:p w14:paraId="0D9AAD54" w14:textId="77777777" w:rsidR="00E57DAA" w:rsidRDefault="00AC4185">
            <w:pPr>
              <w:ind w:right="6"/>
              <w:jc w:val="right"/>
              <w:rPr>
                <w:szCs w:val="21"/>
              </w:rPr>
            </w:pPr>
            <w:r>
              <w:t>426,120,006.55</w:t>
            </w:r>
          </w:p>
        </w:tc>
      </w:tr>
      <w:tr w:rsidR="00E57DAA" w14:paraId="02C8B77B" w14:textId="77777777">
        <w:tc>
          <w:tcPr>
            <w:tcW w:w="1774" w:type="pct"/>
          </w:tcPr>
          <w:p w14:paraId="2893EE3D" w14:textId="77777777" w:rsidR="00E57DAA" w:rsidRDefault="00AC4185">
            <w:pPr>
              <w:ind w:right="6"/>
              <w:rPr>
                <w:szCs w:val="21"/>
              </w:rPr>
            </w:pPr>
            <w:r>
              <w:rPr>
                <w:rFonts w:hint="eastAsia"/>
                <w:szCs w:val="21"/>
              </w:rPr>
              <w:t>递延所得税费用</w:t>
            </w:r>
          </w:p>
        </w:tc>
        <w:tc>
          <w:tcPr>
            <w:tcW w:w="1617" w:type="pct"/>
            <w:vAlign w:val="center"/>
          </w:tcPr>
          <w:p w14:paraId="4E2764B7" w14:textId="77777777" w:rsidR="00E57DAA" w:rsidRDefault="00AC4185">
            <w:pPr>
              <w:jc w:val="right"/>
              <w:rPr>
                <w:szCs w:val="21"/>
              </w:rPr>
            </w:pPr>
            <w:r>
              <w:t>-41,676,273.80</w:t>
            </w:r>
          </w:p>
        </w:tc>
        <w:tc>
          <w:tcPr>
            <w:tcW w:w="1608" w:type="pct"/>
            <w:vAlign w:val="center"/>
          </w:tcPr>
          <w:p w14:paraId="584FA70E" w14:textId="77777777" w:rsidR="00E57DAA" w:rsidRDefault="00AC4185">
            <w:pPr>
              <w:ind w:right="6"/>
              <w:jc w:val="right"/>
              <w:rPr>
                <w:szCs w:val="21"/>
              </w:rPr>
            </w:pPr>
            <w:r>
              <w:t>-942,345.57</w:t>
            </w:r>
          </w:p>
        </w:tc>
      </w:tr>
      <w:tr w:rsidR="00E57DAA" w14:paraId="6178F14F" w14:textId="77777777">
        <w:tc>
          <w:tcPr>
            <w:tcW w:w="1774" w:type="pct"/>
          </w:tcPr>
          <w:p w14:paraId="693392AB" w14:textId="77777777" w:rsidR="00E57DAA" w:rsidRDefault="00AC4185">
            <w:pPr>
              <w:ind w:right="6"/>
              <w:jc w:val="center"/>
              <w:rPr>
                <w:szCs w:val="21"/>
              </w:rPr>
            </w:pPr>
            <w:r>
              <w:rPr>
                <w:rFonts w:hint="eastAsia"/>
                <w:szCs w:val="21"/>
              </w:rPr>
              <w:t>合计</w:t>
            </w:r>
          </w:p>
        </w:tc>
        <w:tc>
          <w:tcPr>
            <w:tcW w:w="1617" w:type="pct"/>
            <w:vAlign w:val="center"/>
          </w:tcPr>
          <w:p w14:paraId="7A8E91AC" w14:textId="77777777" w:rsidR="00E57DAA" w:rsidRDefault="00AC4185">
            <w:pPr>
              <w:ind w:right="6"/>
              <w:jc w:val="right"/>
              <w:rPr>
                <w:szCs w:val="21"/>
              </w:rPr>
            </w:pPr>
            <w:r>
              <w:t>511,419,959.29</w:t>
            </w:r>
          </w:p>
        </w:tc>
        <w:tc>
          <w:tcPr>
            <w:tcW w:w="1608" w:type="pct"/>
            <w:vAlign w:val="center"/>
          </w:tcPr>
          <w:p w14:paraId="4A776560" w14:textId="77777777" w:rsidR="00E57DAA" w:rsidRDefault="00AC4185">
            <w:pPr>
              <w:ind w:right="6"/>
              <w:jc w:val="right"/>
              <w:rPr>
                <w:szCs w:val="21"/>
              </w:rPr>
            </w:pPr>
            <w:r>
              <w:t>425,177,660.98</w:t>
            </w:r>
          </w:p>
        </w:tc>
      </w:tr>
    </w:tbl>
    <w:p w14:paraId="77CE50F1" w14:textId="77777777" w:rsidR="00E57DAA" w:rsidRDefault="00E57DAA">
      <w:pPr>
        <w:rPr>
          <w:szCs w:val="21"/>
        </w:rPr>
      </w:pPr>
    </w:p>
    <w:p w14:paraId="4104274F" w14:textId="77777777" w:rsidR="00E57DAA" w:rsidRDefault="00AC4185">
      <w:pPr>
        <w:pStyle w:val="4"/>
        <w:numPr>
          <w:ilvl w:val="0"/>
          <w:numId w:val="104"/>
        </w:numPr>
        <w:ind w:left="426" w:hanging="426"/>
      </w:pPr>
      <w:r>
        <w:rPr>
          <w:rFonts w:hint="eastAsia"/>
        </w:rPr>
        <w:t>会计利润与所得税费用调整过程</w:t>
      </w:r>
    </w:p>
    <w:sdt>
      <w:sdtPr>
        <w:alias w:val="是否适用：会计利润与所得税费用调整过程[双击切换]"/>
        <w:tag w:val="_GBC_add00d323e2049ad8bc932f632966661"/>
        <w:id w:val="491446291"/>
        <w:placeholder>
          <w:docPart w:val="GBC22222222222222222222222222222"/>
        </w:placeholder>
      </w:sdtPr>
      <w:sdtEndPr/>
      <w:sdtContent>
        <w:p w14:paraId="5764E1F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3E43AF" w14:textId="77777777" w:rsidR="00E57DAA" w:rsidRDefault="00AC4185">
      <w:pPr>
        <w:jc w:val="right"/>
      </w:pPr>
      <w:r>
        <w:rPr>
          <w:rFonts w:hint="eastAsia"/>
        </w:rPr>
        <w:t>单位：</w:t>
      </w:r>
      <w:sdt>
        <w:sdtPr>
          <w:rPr>
            <w:rFonts w:hint="eastAsia"/>
          </w:rPr>
          <w:alias w:val="单位：会计利润与所得税费用调整过程"/>
          <w:tag w:val="_GBC_10825cb9bb5e445c9210ee34dc80406a"/>
          <w:id w:val="-13655225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3809875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4998"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6736"/>
        <w:gridCol w:w="2083"/>
      </w:tblGrid>
      <w:tr w:rsidR="00E57DAA" w14:paraId="6E486A3E" w14:textId="77777777">
        <w:sdt>
          <w:sdtPr>
            <w:tag w:val="_PLD_1123621c9879400694da9a8842888e14"/>
            <w:id w:val="53205092"/>
          </w:sdtPr>
          <w:sdtEndPr/>
          <w:sdtContent>
            <w:tc>
              <w:tcPr>
                <w:tcW w:w="3819" w:type="pct"/>
                <w:tcBorders>
                  <w:top w:val="single" w:sz="4" w:space="0" w:color="auto"/>
                  <w:left w:val="single" w:sz="4" w:space="0" w:color="auto"/>
                  <w:bottom w:val="single" w:sz="4" w:space="0" w:color="auto"/>
                  <w:right w:val="single" w:sz="4" w:space="0" w:color="auto"/>
                </w:tcBorders>
                <w:shd w:val="clear" w:color="auto" w:fill="auto"/>
              </w:tcPr>
              <w:p w14:paraId="73B760D2" w14:textId="77777777" w:rsidR="00E57DAA" w:rsidRDefault="00AC4185">
                <w:pPr>
                  <w:jc w:val="center"/>
                </w:pPr>
                <w:r>
                  <w:rPr>
                    <w:rFonts w:hint="eastAsia"/>
                  </w:rPr>
                  <w:t>项目</w:t>
                </w:r>
              </w:p>
            </w:tc>
          </w:sdtContent>
        </w:sdt>
        <w:sdt>
          <w:sdtPr>
            <w:tag w:val="_PLD_4a270148a32846b69754961e55c75a04"/>
            <w:id w:val="-280489697"/>
          </w:sdtPr>
          <w:sdtEndPr/>
          <w:sdtContent>
            <w:tc>
              <w:tcPr>
                <w:tcW w:w="1181" w:type="pct"/>
                <w:tcBorders>
                  <w:top w:val="single" w:sz="4" w:space="0" w:color="auto"/>
                  <w:left w:val="single" w:sz="4" w:space="0" w:color="auto"/>
                  <w:bottom w:val="single" w:sz="4" w:space="0" w:color="auto"/>
                  <w:right w:val="single" w:sz="4" w:space="0" w:color="auto"/>
                </w:tcBorders>
                <w:shd w:val="clear" w:color="auto" w:fill="auto"/>
              </w:tcPr>
              <w:p w14:paraId="5D0A46BB" w14:textId="77777777" w:rsidR="00E57DAA" w:rsidRDefault="00AC4185">
                <w:pPr>
                  <w:jc w:val="center"/>
                </w:pPr>
                <w:r>
                  <w:rPr>
                    <w:rFonts w:hint="eastAsia"/>
                  </w:rPr>
                  <w:t>本期发生额</w:t>
                </w:r>
              </w:p>
            </w:tc>
          </w:sdtContent>
        </w:sdt>
      </w:tr>
      <w:tr w:rsidR="00E57DAA" w14:paraId="41D83D56"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6B20C575" w14:textId="77777777" w:rsidR="00E57DAA" w:rsidRDefault="00AC4185">
            <w:pPr>
              <w:ind w:right="6"/>
              <w:rPr>
                <w:b/>
                <w:bCs/>
                <w:szCs w:val="21"/>
              </w:rPr>
            </w:pPr>
            <w:r>
              <w:rPr>
                <w:rFonts w:hint="eastAsia"/>
                <w:szCs w:val="21"/>
              </w:rPr>
              <w:t>利润总额</w:t>
            </w:r>
          </w:p>
        </w:tc>
        <w:tc>
          <w:tcPr>
            <w:tcW w:w="1181" w:type="pct"/>
            <w:tcBorders>
              <w:top w:val="single" w:sz="4" w:space="0" w:color="auto"/>
              <w:left w:val="single" w:sz="4" w:space="0" w:color="auto"/>
              <w:bottom w:val="single" w:sz="6" w:space="0" w:color="auto"/>
              <w:right w:val="single" w:sz="6" w:space="0" w:color="auto"/>
            </w:tcBorders>
            <w:shd w:val="clear" w:color="auto" w:fill="auto"/>
            <w:vAlign w:val="center"/>
          </w:tcPr>
          <w:p w14:paraId="6343F9EF" w14:textId="77777777" w:rsidR="00E57DAA" w:rsidRDefault="00AC4185">
            <w:pPr>
              <w:jc w:val="right"/>
            </w:pPr>
            <w:r>
              <w:t>3,697,539,593.57</w:t>
            </w:r>
          </w:p>
        </w:tc>
      </w:tr>
      <w:tr w:rsidR="00E57DAA" w14:paraId="234CBA38"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1FB5DB38" w14:textId="77777777" w:rsidR="00E57DAA" w:rsidRDefault="00AC4185">
            <w:pPr>
              <w:ind w:right="6"/>
            </w:pPr>
            <w:r>
              <w:rPr>
                <w:rFonts w:hint="eastAsia"/>
              </w:rPr>
              <w:t>按法定</w:t>
            </w:r>
            <w:r>
              <w:t>/</w:t>
            </w:r>
            <w:r>
              <w:rPr>
                <w:rFonts w:hint="eastAsia"/>
              </w:rPr>
              <w:t>适用税率计算的所得税费用</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1EA7B80E" w14:textId="77777777" w:rsidR="00E57DAA" w:rsidRDefault="00AC4185">
            <w:pPr>
              <w:jc w:val="right"/>
            </w:pPr>
            <w:r>
              <w:t>554,630,939.04</w:t>
            </w:r>
          </w:p>
        </w:tc>
      </w:tr>
      <w:tr w:rsidR="00E57DAA" w14:paraId="03137D04" w14:textId="77777777">
        <w:trPr>
          <w:trHeight w:val="139"/>
        </w:trPr>
        <w:tc>
          <w:tcPr>
            <w:tcW w:w="3819" w:type="pct"/>
            <w:tcBorders>
              <w:top w:val="single" w:sz="4" w:space="0" w:color="auto"/>
              <w:left w:val="single" w:sz="4" w:space="0" w:color="auto"/>
              <w:bottom w:val="single" w:sz="4" w:space="0" w:color="auto"/>
              <w:right w:val="single" w:sz="4" w:space="0" w:color="auto"/>
            </w:tcBorders>
            <w:shd w:val="clear" w:color="auto" w:fill="auto"/>
          </w:tcPr>
          <w:p w14:paraId="5190B49C" w14:textId="77777777" w:rsidR="00E57DAA" w:rsidRDefault="00AC4185">
            <w:pPr>
              <w:ind w:right="6"/>
            </w:pPr>
            <w:r>
              <w:rPr>
                <w:rFonts w:hint="eastAsia"/>
              </w:rPr>
              <w:t>子公司适用不同税率的影响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376D9C57" w14:textId="77777777" w:rsidR="00E57DAA" w:rsidRDefault="00AC4185">
            <w:pPr>
              <w:jc w:val="right"/>
            </w:pPr>
            <w:r>
              <w:t>34,824,300.66</w:t>
            </w:r>
          </w:p>
        </w:tc>
      </w:tr>
      <w:tr w:rsidR="00E57DAA" w14:paraId="15411DF4"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1DAFB9E7" w14:textId="77777777" w:rsidR="00E57DAA" w:rsidRDefault="00AC4185">
            <w:pPr>
              <w:ind w:right="6"/>
            </w:pPr>
            <w:r>
              <w:rPr>
                <w:rFonts w:hint="eastAsia"/>
              </w:rPr>
              <w:t>调整以前期间所得税的影响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797B9647" w14:textId="77777777" w:rsidR="00E57DAA" w:rsidRDefault="00AC4185">
            <w:pPr>
              <w:jc w:val="right"/>
            </w:pPr>
            <w:r>
              <w:t>-27,088,112.67</w:t>
            </w:r>
          </w:p>
        </w:tc>
      </w:tr>
      <w:tr w:rsidR="00E57DAA" w14:paraId="585C9C85"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7E26CC5D" w14:textId="77777777" w:rsidR="00E57DAA" w:rsidRDefault="00AC4185">
            <w:pPr>
              <w:ind w:right="6"/>
            </w:pPr>
            <w:r>
              <w:rPr>
                <w:rFonts w:hint="eastAsia"/>
              </w:rPr>
              <w:t>非应税收入的影响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317B0ADD" w14:textId="77777777" w:rsidR="00E57DAA" w:rsidRDefault="00AC4185">
            <w:pPr>
              <w:jc w:val="right"/>
            </w:pPr>
            <w:r>
              <w:t>1,828,461.59</w:t>
            </w:r>
          </w:p>
        </w:tc>
      </w:tr>
      <w:tr w:rsidR="00E57DAA" w14:paraId="5A4F44CA"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73ED8B28" w14:textId="77777777" w:rsidR="00E57DAA" w:rsidRDefault="00AC4185">
            <w:pPr>
              <w:ind w:right="6"/>
            </w:pPr>
            <w:r>
              <w:rPr>
                <w:rFonts w:hint="eastAsia"/>
              </w:rPr>
              <w:t>不可抵扣的成本、费用和损失的影响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7B006C7F" w14:textId="77777777" w:rsidR="00E57DAA" w:rsidRDefault="00AC4185">
            <w:pPr>
              <w:jc w:val="right"/>
            </w:pPr>
            <w:r>
              <w:t>42,240,693.66</w:t>
            </w:r>
          </w:p>
        </w:tc>
      </w:tr>
      <w:tr w:rsidR="00E57DAA" w14:paraId="70E2D467"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2E0ECE94" w14:textId="77777777" w:rsidR="00E57DAA" w:rsidRDefault="00AC4185">
            <w:pPr>
              <w:ind w:right="6"/>
            </w:pPr>
            <w:r>
              <w:rPr>
                <w:rFonts w:hint="eastAsia"/>
              </w:rPr>
              <w:t>使用前期未确认递延所得税资产的可抵扣亏损的影响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0917CB67" w14:textId="77777777" w:rsidR="00E57DAA" w:rsidRDefault="00AC4185">
            <w:pPr>
              <w:jc w:val="right"/>
            </w:pPr>
            <w:r>
              <w:t>-32,910,423.43</w:t>
            </w:r>
          </w:p>
        </w:tc>
      </w:tr>
      <w:tr w:rsidR="00E57DAA" w14:paraId="6532E850"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48FB7724" w14:textId="77777777" w:rsidR="00E57DAA" w:rsidRDefault="00AC4185">
            <w:pPr>
              <w:ind w:right="6"/>
            </w:pPr>
            <w:r>
              <w:rPr>
                <w:rFonts w:hint="eastAsia"/>
              </w:rPr>
              <w:t>本期未确认递延所得税资产的可抵扣暂时性差异或可抵扣亏损的影响</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72168681" w14:textId="77777777" w:rsidR="00E57DAA" w:rsidRDefault="00AC4185">
            <w:pPr>
              <w:jc w:val="right"/>
            </w:pPr>
            <w:r>
              <w:t>34,779,627.56</w:t>
            </w:r>
          </w:p>
        </w:tc>
      </w:tr>
      <w:tr w:rsidR="00E57DAA" w14:paraId="40B58E7A" w14:textId="77777777">
        <w:tc>
          <w:tcPr>
            <w:tcW w:w="3819" w:type="pct"/>
            <w:tcBorders>
              <w:top w:val="single" w:sz="4" w:space="0" w:color="auto"/>
              <w:left w:val="single" w:sz="6" w:space="0" w:color="auto"/>
              <w:bottom w:val="single" w:sz="6" w:space="0" w:color="auto"/>
              <w:right w:val="single" w:sz="6" w:space="0" w:color="auto"/>
            </w:tcBorders>
            <w:shd w:val="clear" w:color="auto" w:fill="auto"/>
            <w:vAlign w:val="center"/>
          </w:tcPr>
          <w:p w14:paraId="6D07432A" w14:textId="77777777" w:rsidR="00E57DAA" w:rsidRDefault="00AC4185" w:rsidP="00C25422">
            <w:pPr>
              <w:pStyle w:val="92"/>
            </w:pPr>
            <w:r>
              <w:t>研发费用等费用项目加计扣除</w:t>
            </w:r>
          </w:p>
        </w:tc>
        <w:tc>
          <w:tcPr>
            <w:tcW w:w="1181" w:type="pct"/>
            <w:tcBorders>
              <w:top w:val="single" w:sz="6" w:space="0" w:color="auto"/>
              <w:left w:val="single" w:sz="6" w:space="0" w:color="auto"/>
              <w:bottom w:val="single" w:sz="6" w:space="0" w:color="auto"/>
              <w:right w:val="single" w:sz="6" w:space="0" w:color="auto"/>
            </w:tcBorders>
            <w:shd w:val="clear" w:color="auto" w:fill="auto"/>
            <w:vAlign w:val="center"/>
          </w:tcPr>
          <w:p w14:paraId="4AA896FF" w14:textId="77777777" w:rsidR="00E57DAA" w:rsidRDefault="00AC4185">
            <w:pPr>
              <w:jc w:val="right"/>
            </w:pPr>
            <w:r>
              <w:t>-96,885,527.12</w:t>
            </w:r>
          </w:p>
        </w:tc>
      </w:tr>
      <w:tr w:rsidR="00E57DAA" w14:paraId="179653FC" w14:textId="77777777">
        <w:tc>
          <w:tcPr>
            <w:tcW w:w="3819" w:type="pct"/>
            <w:tcBorders>
              <w:top w:val="single" w:sz="4" w:space="0" w:color="auto"/>
              <w:left w:val="single" w:sz="4" w:space="0" w:color="auto"/>
              <w:bottom w:val="single" w:sz="4" w:space="0" w:color="auto"/>
              <w:right w:val="single" w:sz="4" w:space="0" w:color="auto"/>
            </w:tcBorders>
            <w:shd w:val="clear" w:color="auto" w:fill="auto"/>
          </w:tcPr>
          <w:p w14:paraId="1027AFFF" w14:textId="77777777" w:rsidR="00E57DAA" w:rsidRDefault="00AC4185" w:rsidP="00C25422">
            <w:pPr>
              <w:pStyle w:val="92"/>
            </w:pPr>
            <w:r>
              <w:rPr>
                <w:rFonts w:hint="eastAsia"/>
              </w:rPr>
              <w:t>所得税费用</w:t>
            </w:r>
          </w:p>
        </w:tc>
        <w:tc>
          <w:tcPr>
            <w:tcW w:w="1181" w:type="pct"/>
            <w:tcBorders>
              <w:top w:val="single" w:sz="6" w:space="0" w:color="auto"/>
              <w:left w:val="single" w:sz="4" w:space="0" w:color="auto"/>
              <w:bottom w:val="single" w:sz="6" w:space="0" w:color="auto"/>
              <w:right w:val="single" w:sz="6" w:space="0" w:color="auto"/>
            </w:tcBorders>
            <w:shd w:val="clear" w:color="auto" w:fill="auto"/>
            <w:vAlign w:val="center"/>
          </w:tcPr>
          <w:p w14:paraId="5D977CA9" w14:textId="77777777" w:rsidR="00E57DAA" w:rsidRDefault="00AC4185">
            <w:pPr>
              <w:jc w:val="right"/>
            </w:pPr>
            <w:r>
              <w:t>511,419,959.29</w:t>
            </w:r>
          </w:p>
        </w:tc>
      </w:tr>
    </w:tbl>
    <w:p w14:paraId="7D20B64C" w14:textId="77777777" w:rsidR="00E57DAA" w:rsidRDefault="00E57DAA" w:rsidP="00C25422">
      <w:pPr>
        <w:pStyle w:val="92"/>
      </w:pPr>
    </w:p>
    <w:p w14:paraId="6AFE73F3" w14:textId="77777777" w:rsidR="00E57DAA" w:rsidRDefault="00AC4185">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390778130"/>
        <w:placeholder>
          <w:docPart w:val="GBC22222222222222222222222222222"/>
        </w:placeholder>
      </w:sdtPr>
      <w:sdtEndPr/>
      <w:sdtContent>
        <w:p w14:paraId="3EB3124F" w14:textId="77777777" w:rsidR="00E57DAA" w:rsidRDefault="00AC418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D2433A" w14:textId="77777777" w:rsidR="00E57DAA" w:rsidRDefault="00E57DAA">
      <w:pPr>
        <w:rPr>
          <w:b/>
        </w:rPr>
      </w:pPr>
    </w:p>
    <w:p w14:paraId="7B6A02CD" w14:textId="77777777" w:rsidR="00E57DAA" w:rsidRDefault="00AC4185" w:rsidP="00C25422">
      <w:pPr>
        <w:pStyle w:val="91"/>
        <w:numPr>
          <w:ilvl w:val="0"/>
          <w:numId w:val="69"/>
        </w:numPr>
      </w:pPr>
      <w:r>
        <w:rPr>
          <w:rFonts w:hint="eastAsia"/>
        </w:rPr>
        <w:t>其他综合收益</w:t>
      </w:r>
    </w:p>
    <w:sdt>
      <w:sdtPr>
        <w:alias w:val="是否适用：其他综合收益说明[双击切换]"/>
        <w:tag w:val="_GBC_055e86e99cd742699e3e89a438a26b74"/>
        <w:id w:val="-1672861580"/>
        <w:placeholder>
          <w:docPart w:val="GBC22222222222222222222222222222"/>
        </w:placeholder>
      </w:sdtPr>
      <w:sdtEndPr/>
      <w:sdtContent>
        <w:p w14:paraId="2CFA60B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C5C47A3" w14:textId="77777777" w:rsidR="00E57DAA" w:rsidRDefault="00EB41A1" w:rsidP="00C25422">
      <w:pPr>
        <w:pStyle w:val="92"/>
      </w:pPr>
      <w:sdt>
        <w:sdtPr>
          <w:rPr>
            <w:rFonts w:hint="eastAsia"/>
          </w:rPr>
          <w:alias w:val="其他综合收益详见附注"/>
          <w:tag w:val="_GBC_88f79522b3404a9cba25ea8b611e6680"/>
          <w:id w:val="860399325"/>
          <w:placeholder>
            <w:docPart w:val="GBC22222222222222222222222222222"/>
          </w:placeholder>
        </w:sdtPr>
        <w:sdtEndPr/>
        <w:sdtContent>
          <w:r w:rsidR="00AC4185">
            <w:rPr>
              <w:rFonts w:hint="eastAsia"/>
            </w:rPr>
            <w:t>详见附注</w:t>
          </w:r>
        </w:sdtContent>
      </w:sdt>
    </w:p>
    <w:p w14:paraId="1B34E9D2" w14:textId="77777777" w:rsidR="00E57DAA" w:rsidRDefault="00E57DAA" w:rsidP="00C25422">
      <w:pPr>
        <w:pStyle w:val="92"/>
      </w:pPr>
    </w:p>
    <w:p w14:paraId="57FADA34" w14:textId="77777777" w:rsidR="00E57DAA" w:rsidRDefault="00AC4185" w:rsidP="00C25422">
      <w:pPr>
        <w:pStyle w:val="91"/>
        <w:numPr>
          <w:ilvl w:val="0"/>
          <w:numId w:val="69"/>
        </w:numPr>
      </w:pPr>
      <w:r>
        <w:rPr>
          <w:rFonts w:hint="eastAsia"/>
        </w:rPr>
        <w:t>现金流量表项目</w:t>
      </w:r>
    </w:p>
    <w:p w14:paraId="4D91F094" w14:textId="77777777" w:rsidR="00E57DAA" w:rsidRDefault="00AC4185">
      <w:pPr>
        <w:pStyle w:val="4"/>
        <w:numPr>
          <w:ilvl w:val="0"/>
          <w:numId w:val="105"/>
        </w:numPr>
        <w:ind w:left="426" w:hanging="426"/>
      </w:pPr>
      <w:r>
        <w:rPr>
          <w:rFonts w:hint="eastAsia"/>
        </w:rPr>
        <w:t>与经营活动有关的现金</w:t>
      </w:r>
    </w:p>
    <w:p w14:paraId="72C748FC" w14:textId="77777777" w:rsidR="00E57DAA" w:rsidRDefault="00AC4185" w:rsidP="00C25422">
      <w:pPr>
        <w:pStyle w:val="92"/>
      </w:pPr>
      <w:r>
        <w:rPr>
          <w:rFonts w:hint="eastAsia"/>
        </w:rPr>
        <w:t>收到的其他与经营活动有关的现金</w:t>
      </w:r>
    </w:p>
    <w:sdt>
      <w:sdtPr>
        <w:alias w:val="是否适用：收到的其他与经营活动有关的现金[双击切换]"/>
        <w:tag w:val="_GBC_27345010807c4445aa9d99ce1518a33b"/>
        <w:id w:val="-732316044"/>
        <w:placeholder>
          <w:docPart w:val="GBC22222222222222222222222222222"/>
        </w:placeholder>
      </w:sdtPr>
      <w:sdtEndPr/>
      <w:sdtContent>
        <w:p w14:paraId="6247E8FA"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C19B5A" w14:textId="77777777" w:rsidR="00E57DAA" w:rsidRDefault="00AC4185">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8838679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2595618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56"/>
        <w:gridCol w:w="2746"/>
      </w:tblGrid>
      <w:tr w:rsidR="00E57DAA" w14:paraId="1A990CBD" w14:textId="77777777">
        <w:sdt>
          <w:sdtPr>
            <w:tag w:val="_PLD_f7a5d7090c5c4e2b95d9e6f0ea383580"/>
            <w:id w:val="1912968290"/>
          </w:sdtPr>
          <w:sdtEndPr/>
          <w:sdtContent>
            <w:tc>
              <w:tcPr>
                <w:tcW w:w="1882" w:type="pct"/>
              </w:tcPr>
              <w:p w14:paraId="4D71D869"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890966366"/>
          </w:sdtPr>
          <w:sdtEndPr/>
          <w:sdtContent>
            <w:tc>
              <w:tcPr>
                <w:tcW w:w="1562" w:type="pct"/>
              </w:tcPr>
              <w:p w14:paraId="238812C8" w14:textId="77777777" w:rsidR="00E57DAA" w:rsidRDefault="00AC4185">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877207978"/>
          </w:sdtPr>
          <w:sdtEndPr/>
          <w:sdtContent>
            <w:tc>
              <w:tcPr>
                <w:tcW w:w="1556" w:type="pct"/>
              </w:tcPr>
              <w:p w14:paraId="364545F1" w14:textId="77777777" w:rsidR="00E57DAA" w:rsidRDefault="00AC4185">
                <w:pPr>
                  <w:autoSpaceDE w:val="0"/>
                  <w:autoSpaceDN w:val="0"/>
                  <w:adjustRightInd w:val="0"/>
                  <w:snapToGrid w:val="0"/>
                  <w:spacing w:line="240" w:lineRule="atLeast"/>
                  <w:jc w:val="center"/>
                  <w:rPr>
                    <w:szCs w:val="21"/>
                  </w:rPr>
                </w:pPr>
                <w:r>
                  <w:rPr>
                    <w:rFonts w:hint="eastAsia"/>
                  </w:rPr>
                  <w:t>上期发生额</w:t>
                </w:r>
              </w:p>
            </w:tc>
          </w:sdtContent>
        </w:sdt>
      </w:tr>
      <w:tr w:rsidR="00E57DAA" w14:paraId="08980F9D" w14:textId="77777777">
        <w:tc>
          <w:tcPr>
            <w:tcW w:w="1882" w:type="pct"/>
          </w:tcPr>
          <w:p w14:paraId="7C8A6E7F" w14:textId="77777777" w:rsidR="00E57DAA" w:rsidRDefault="00AC4185">
            <w:pPr>
              <w:autoSpaceDE w:val="0"/>
              <w:autoSpaceDN w:val="0"/>
              <w:adjustRightInd w:val="0"/>
              <w:snapToGrid w:val="0"/>
              <w:spacing w:line="240" w:lineRule="atLeast"/>
              <w:rPr>
                <w:szCs w:val="21"/>
              </w:rPr>
            </w:pPr>
            <w:r>
              <w:t>往来款</w:t>
            </w:r>
          </w:p>
        </w:tc>
        <w:tc>
          <w:tcPr>
            <w:tcW w:w="1562" w:type="pct"/>
            <w:vAlign w:val="center"/>
          </w:tcPr>
          <w:p w14:paraId="65BDF50C" w14:textId="77777777" w:rsidR="00E57DAA" w:rsidRDefault="00AC4185">
            <w:pPr>
              <w:jc w:val="right"/>
              <w:rPr>
                <w:szCs w:val="21"/>
              </w:rPr>
            </w:pPr>
            <w:r>
              <w:t>46,863,161.59</w:t>
            </w:r>
          </w:p>
        </w:tc>
        <w:tc>
          <w:tcPr>
            <w:tcW w:w="1556" w:type="pct"/>
          </w:tcPr>
          <w:p w14:paraId="436EB164" w14:textId="77777777" w:rsidR="00E57DAA" w:rsidRDefault="00AC4185">
            <w:pPr>
              <w:jc w:val="right"/>
              <w:rPr>
                <w:szCs w:val="21"/>
              </w:rPr>
            </w:pPr>
            <w:r>
              <w:t>141,368,966.82</w:t>
            </w:r>
          </w:p>
        </w:tc>
      </w:tr>
      <w:tr w:rsidR="00E57DAA" w14:paraId="1B93BE7F" w14:textId="77777777">
        <w:tc>
          <w:tcPr>
            <w:tcW w:w="1882" w:type="pct"/>
          </w:tcPr>
          <w:p w14:paraId="4C9BBC0C" w14:textId="77777777" w:rsidR="00E57DAA" w:rsidRDefault="00AC4185">
            <w:pPr>
              <w:autoSpaceDE w:val="0"/>
              <w:autoSpaceDN w:val="0"/>
              <w:adjustRightInd w:val="0"/>
              <w:snapToGrid w:val="0"/>
              <w:spacing w:line="240" w:lineRule="atLeast"/>
              <w:rPr>
                <w:szCs w:val="21"/>
              </w:rPr>
            </w:pPr>
            <w:r>
              <w:t>政府补助</w:t>
            </w:r>
          </w:p>
        </w:tc>
        <w:tc>
          <w:tcPr>
            <w:tcW w:w="1562" w:type="pct"/>
            <w:vAlign w:val="center"/>
          </w:tcPr>
          <w:p w14:paraId="0D89F32D" w14:textId="77777777" w:rsidR="00E57DAA" w:rsidRDefault="00AC4185">
            <w:pPr>
              <w:jc w:val="right"/>
              <w:rPr>
                <w:szCs w:val="21"/>
              </w:rPr>
            </w:pPr>
            <w:r>
              <w:t>122,253,955.26</w:t>
            </w:r>
          </w:p>
        </w:tc>
        <w:tc>
          <w:tcPr>
            <w:tcW w:w="1556" w:type="pct"/>
          </w:tcPr>
          <w:p w14:paraId="0042BE86" w14:textId="77777777" w:rsidR="00E57DAA" w:rsidRDefault="00AC4185">
            <w:pPr>
              <w:jc w:val="right"/>
              <w:rPr>
                <w:szCs w:val="21"/>
              </w:rPr>
            </w:pPr>
            <w:r>
              <w:t>99,440,751.23</w:t>
            </w:r>
          </w:p>
        </w:tc>
      </w:tr>
      <w:tr w:rsidR="00E57DAA" w14:paraId="00714C3F" w14:textId="77777777">
        <w:tc>
          <w:tcPr>
            <w:tcW w:w="1882" w:type="pct"/>
          </w:tcPr>
          <w:p w14:paraId="0DFFE13D" w14:textId="77777777" w:rsidR="00E57DAA" w:rsidRDefault="00AC4185">
            <w:pPr>
              <w:autoSpaceDE w:val="0"/>
              <w:autoSpaceDN w:val="0"/>
              <w:adjustRightInd w:val="0"/>
              <w:snapToGrid w:val="0"/>
              <w:spacing w:line="240" w:lineRule="atLeast"/>
              <w:rPr>
                <w:szCs w:val="21"/>
              </w:rPr>
            </w:pPr>
            <w:r>
              <w:t>受限资金减少</w:t>
            </w:r>
          </w:p>
        </w:tc>
        <w:tc>
          <w:tcPr>
            <w:tcW w:w="1562" w:type="pct"/>
            <w:vAlign w:val="center"/>
          </w:tcPr>
          <w:p w14:paraId="2C708D85" w14:textId="77777777" w:rsidR="00E57DAA" w:rsidRDefault="00E57DAA">
            <w:pPr>
              <w:jc w:val="right"/>
              <w:rPr>
                <w:szCs w:val="21"/>
              </w:rPr>
            </w:pPr>
          </w:p>
        </w:tc>
        <w:tc>
          <w:tcPr>
            <w:tcW w:w="1556" w:type="pct"/>
          </w:tcPr>
          <w:p w14:paraId="74F1EF2B" w14:textId="77777777" w:rsidR="00E57DAA" w:rsidRDefault="00AC4185">
            <w:pPr>
              <w:jc w:val="right"/>
              <w:rPr>
                <w:szCs w:val="21"/>
              </w:rPr>
            </w:pPr>
            <w:r>
              <w:t>291,905,809.87</w:t>
            </w:r>
          </w:p>
        </w:tc>
      </w:tr>
      <w:tr w:rsidR="00E57DAA" w14:paraId="73E38A27" w14:textId="77777777">
        <w:tc>
          <w:tcPr>
            <w:tcW w:w="1882" w:type="pct"/>
          </w:tcPr>
          <w:p w14:paraId="1586B7AC" w14:textId="77777777" w:rsidR="00E57DAA" w:rsidRDefault="00AC4185">
            <w:pPr>
              <w:autoSpaceDE w:val="0"/>
              <w:autoSpaceDN w:val="0"/>
              <w:adjustRightInd w:val="0"/>
              <w:snapToGrid w:val="0"/>
              <w:spacing w:line="240" w:lineRule="atLeast"/>
              <w:rPr>
                <w:szCs w:val="21"/>
              </w:rPr>
            </w:pPr>
            <w:r>
              <w:t>投标、质量保证金</w:t>
            </w:r>
          </w:p>
        </w:tc>
        <w:tc>
          <w:tcPr>
            <w:tcW w:w="1562" w:type="pct"/>
            <w:vAlign w:val="center"/>
          </w:tcPr>
          <w:p w14:paraId="6C411075" w14:textId="77777777" w:rsidR="00E57DAA" w:rsidRDefault="00AC4185">
            <w:pPr>
              <w:jc w:val="right"/>
              <w:rPr>
                <w:szCs w:val="21"/>
              </w:rPr>
            </w:pPr>
            <w:r>
              <w:t>499,240,345.94</w:t>
            </w:r>
          </w:p>
        </w:tc>
        <w:tc>
          <w:tcPr>
            <w:tcW w:w="1556" w:type="pct"/>
          </w:tcPr>
          <w:p w14:paraId="17214F15" w14:textId="77777777" w:rsidR="00E57DAA" w:rsidRDefault="00AC4185">
            <w:pPr>
              <w:jc w:val="right"/>
              <w:rPr>
                <w:szCs w:val="21"/>
              </w:rPr>
            </w:pPr>
            <w:r>
              <w:t>329,517,857.43</w:t>
            </w:r>
          </w:p>
        </w:tc>
      </w:tr>
      <w:tr w:rsidR="00E57DAA" w14:paraId="37058E05" w14:textId="77777777">
        <w:tc>
          <w:tcPr>
            <w:tcW w:w="1882" w:type="pct"/>
          </w:tcPr>
          <w:p w14:paraId="7B37FCD7" w14:textId="77777777" w:rsidR="00E57DAA" w:rsidRDefault="00AC4185">
            <w:pPr>
              <w:autoSpaceDE w:val="0"/>
              <w:autoSpaceDN w:val="0"/>
              <w:adjustRightInd w:val="0"/>
              <w:snapToGrid w:val="0"/>
              <w:spacing w:line="240" w:lineRule="atLeast"/>
              <w:rPr>
                <w:szCs w:val="21"/>
              </w:rPr>
            </w:pPr>
            <w:r>
              <w:t>利息收入</w:t>
            </w:r>
          </w:p>
        </w:tc>
        <w:tc>
          <w:tcPr>
            <w:tcW w:w="1562" w:type="pct"/>
            <w:vAlign w:val="center"/>
          </w:tcPr>
          <w:p w14:paraId="2DEBBBEB" w14:textId="77777777" w:rsidR="00E57DAA" w:rsidRDefault="00AC4185">
            <w:pPr>
              <w:jc w:val="right"/>
              <w:rPr>
                <w:szCs w:val="21"/>
              </w:rPr>
            </w:pPr>
            <w:r>
              <w:t>276,768,099.71</w:t>
            </w:r>
          </w:p>
        </w:tc>
        <w:tc>
          <w:tcPr>
            <w:tcW w:w="1556" w:type="pct"/>
          </w:tcPr>
          <w:p w14:paraId="4794EAEE" w14:textId="77777777" w:rsidR="00E57DAA" w:rsidRDefault="00AC4185">
            <w:pPr>
              <w:jc w:val="right"/>
              <w:rPr>
                <w:szCs w:val="21"/>
              </w:rPr>
            </w:pPr>
            <w:r>
              <w:t>172,695,071.27</w:t>
            </w:r>
          </w:p>
        </w:tc>
      </w:tr>
      <w:tr w:rsidR="00E57DAA" w14:paraId="17B69592" w14:textId="77777777">
        <w:tc>
          <w:tcPr>
            <w:tcW w:w="1882" w:type="pct"/>
          </w:tcPr>
          <w:p w14:paraId="6B261C52" w14:textId="77777777" w:rsidR="00E57DAA" w:rsidRDefault="00AC4185">
            <w:pPr>
              <w:autoSpaceDE w:val="0"/>
              <w:autoSpaceDN w:val="0"/>
              <w:adjustRightInd w:val="0"/>
              <w:snapToGrid w:val="0"/>
              <w:spacing w:line="240" w:lineRule="atLeast"/>
              <w:rPr>
                <w:szCs w:val="21"/>
              </w:rPr>
            </w:pPr>
            <w:r>
              <w:t>备用金</w:t>
            </w:r>
          </w:p>
        </w:tc>
        <w:tc>
          <w:tcPr>
            <w:tcW w:w="1562" w:type="pct"/>
            <w:vAlign w:val="center"/>
          </w:tcPr>
          <w:p w14:paraId="30197312" w14:textId="77777777" w:rsidR="00E57DAA" w:rsidRDefault="00AC4185">
            <w:pPr>
              <w:jc w:val="right"/>
              <w:rPr>
                <w:szCs w:val="21"/>
              </w:rPr>
            </w:pPr>
            <w:r>
              <w:t>63,031,935.39</w:t>
            </w:r>
          </w:p>
        </w:tc>
        <w:tc>
          <w:tcPr>
            <w:tcW w:w="1556" w:type="pct"/>
          </w:tcPr>
          <w:p w14:paraId="5B6047FD" w14:textId="77777777" w:rsidR="00E57DAA" w:rsidRDefault="00AC4185">
            <w:pPr>
              <w:jc w:val="right"/>
              <w:rPr>
                <w:szCs w:val="21"/>
              </w:rPr>
            </w:pPr>
            <w:r>
              <w:t>64,229,904.51</w:t>
            </w:r>
          </w:p>
        </w:tc>
      </w:tr>
      <w:tr w:rsidR="00E57DAA" w14:paraId="02FAA808" w14:textId="77777777">
        <w:tc>
          <w:tcPr>
            <w:tcW w:w="1882" w:type="pct"/>
          </w:tcPr>
          <w:p w14:paraId="5294C1A7" w14:textId="77777777" w:rsidR="00E57DAA" w:rsidRDefault="00AC4185">
            <w:pPr>
              <w:autoSpaceDE w:val="0"/>
              <w:autoSpaceDN w:val="0"/>
              <w:adjustRightInd w:val="0"/>
              <w:snapToGrid w:val="0"/>
              <w:spacing w:line="240" w:lineRule="atLeast"/>
              <w:rPr>
                <w:szCs w:val="21"/>
              </w:rPr>
            </w:pPr>
            <w:r>
              <w:t>其他</w:t>
            </w:r>
          </w:p>
        </w:tc>
        <w:tc>
          <w:tcPr>
            <w:tcW w:w="1562" w:type="pct"/>
            <w:vAlign w:val="center"/>
          </w:tcPr>
          <w:p w14:paraId="2FD605AD" w14:textId="77777777" w:rsidR="00E57DAA" w:rsidRDefault="00AC4185">
            <w:pPr>
              <w:jc w:val="right"/>
              <w:rPr>
                <w:szCs w:val="21"/>
              </w:rPr>
            </w:pPr>
            <w:r>
              <w:t>91,912,154.60</w:t>
            </w:r>
          </w:p>
        </w:tc>
        <w:tc>
          <w:tcPr>
            <w:tcW w:w="1556" w:type="pct"/>
          </w:tcPr>
          <w:p w14:paraId="40A487CD" w14:textId="77777777" w:rsidR="00E57DAA" w:rsidRDefault="00AC4185">
            <w:pPr>
              <w:jc w:val="right"/>
              <w:rPr>
                <w:szCs w:val="21"/>
              </w:rPr>
            </w:pPr>
            <w:r>
              <w:t>24,884,384.58</w:t>
            </w:r>
          </w:p>
        </w:tc>
      </w:tr>
      <w:tr w:rsidR="00E57DAA" w14:paraId="6D84B312" w14:textId="77777777">
        <w:tc>
          <w:tcPr>
            <w:tcW w:w="1882" w:type="pct"/>
          </w:tcPr>
          <w:p w14:paraId="650CE53D"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562" w:type="pct"/>
            <w:vAlign w:val="center"/>
          </w:tcPr>
          <w:p w14:paraId="3AC3470E" w14:textId="77777777" w:rsidR="00E57DAA" w:rsidRDefault="00AC4185">
            <w:pPr>
              <w:jc w:val="right"/>
              <w:rPr>
                <w:szCs w:val="21"/>
              </w:rPr>
            </w:pPr>
            <w:r>
              <w:t>1,100,069,652.49</w:t>
            </w:r>
          </w:p>
        </w:tc>
        <w:tc>
          <w:tcPr>
            <w:tcW w:w="1556" w:type="pct"/>
            <w:vAlign w:val="center"/>
          </w:tcPr>
          <w:p w14:paraId="7089B229" w14:textId="77777777" w:rsidR="00E57DAA" w:rsidRDefault="00AC4185">
            <w:pPr>
              <w:jc w:val="right"/>
              <w:rPr>
                <w:szCs w:val="21"/>
              </w:rPr>
            </w:pPr>
            <w:r>
              <w:t>1,124,042,745.71</w:t>
            </w:r>
          </w:p>
        </w:tc>
      </w:tr>
    </w:tbl>
    <w:p w14:paraId="16D6B433" w14:textId="77777777" w:rsidR="00E57DAA" w:rsidRDefault="00E57DAA">
      <w:pPr>
        <w:rPr>
          <w:szCs w:val="21"/>
        </w:rPr>
      </w:pPr>
    </w:p>
    <w:p w14:paraId="45CBC957" w14:textId="77777777" w:rsidR="00E57DAA" w:rsidRDefault="00AC4185" w:rsidP="00C25422">
      <w:pPr>
        <w:pStyle w:val="92"/>
      </w:pPr>
      <w:r>
        <w:rPr>
          <w:rFonts w:hint="eastAsia"/>
        </w:rPr>
        <w:t>支付的其他与经营活动有关的现金</w:t>
      </w:r>
    </w:p>
    <w:sdt>
      <w:sdtPr>
        <w:alias w:val="是否适用：支付的其他与经营活动有关的现金[双击切换]"/>
        <w:tag w:val="_GBC_f4dd9812849049808cd722f0acb16a7a"/>
        <w:id w:val="-804161420"/>
        <w:placeholder>
          <w:docPart w:val="GBC22222222222222222222222222222"/>
        </w:placeholder>
      </w:sdtPr>
      <w:sdtEndPr/>
      <w:sdtContent>
        <w:p w14:paraId="35F7ED04"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34C8733" w14:textId="77777777" w:rsidR="00E57DAA" w:rsidRDefault="00AC4185">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6860941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9485776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37"/>
        <w:gridCol w:w="2765"/>
      </w:tblGrid>
      <w:tr w:rsidR="00E57DAA" w14:paraId="15DE4823" w14:textId="77777777">
        <w:sdt>
          <w:sdtPr>
            <w:tag w:val="_PLD_313336294a534de9a634e32311d5592e"/>
            <w:id w:val="1151485375"/>
          </w:sdtPr>
          <w:sdtEndPr/>
          <w:sdtContent>
            <w:tc>
              <w:tcPr>
                <w:tcW w:w="1882" w:type="pct"/>
              </w:tcPr>
              <w:p w14:paraId="29EB73B7" w14:textId="77777777" w:rsidR="00E57DAA" w:rsidRDefault="00AC4185">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30934965"/>
          </w:sdtPr>
          <w:sdtEndPr/>
          <w:sdtContent>
            <w:tc>
              <w:tcPr>
                <w:tcW w:w="1551" w:type="pct"/>
              </w:tcPr>
              <w:p w14:paraId="48C2F233" w14:textId="77777777" w:rsidR="00E57DAA" w:rsidRDefault="00AC4185">
                <w:pPr>
                  <w:autoSpaceDE w:val="0"/>
                  <w:autoSpaceDN w:val="0"/>
                  <w:adjustRightInd w:val="0"/>
                  <w:snapToGrid w:val="0"/>
                  <w:jc w:val="center"/>
                  <w:rPr>
                    <w:szCs w:val="21"/>
                  </w:rPr>
                </w:pPr>
                <w:r>
                  <w:rPr>
                    <w:rFonts w:hint="eastAsia"/>
                  </w:rPr>
                  <w:t>本期发生额</w:t>
                </w:r>
              </w:p>
            </w:tc>
          </w:sdtContent>
        </w:sdt>
        <w:sdt>
          <w:sdtPr>
            <w:tag w:val="_PLD_7dc479c1c10240cc94f89ea3fc1d6136"/>
            <w:id w:val="-727846612"/>
          </w:sdtPr>
          <w:sdtEndPr/>
          <w:sdtContent>
            <w:tc>
              <w:tcPr>
                <w:tcW w:w="1567" w:type="pct"/>
              </w:tcPr>
              <w:p w14:paraId="79D25A47" w14:textId="77777777" w:rsidR="00E57DAA" w:rsidRDefault="00AC4185">
                <w:pPr>
                  <w:autoSpaceDE w:val="0"/>
                  <w:autoSpaceDN w:val="0"/>
                  <w:adjustRightInd w:val="0"/>
                  <w:snapToGrid w:val="0"/>
                  <w:jc w:val="center"/>
                  <w:rPr>
                    <w:szCs w:val="21"/>
                  </w:rPr>
                </w:pPr>
                <w:r>
                  <w:rPr>
                    <w:rFonts w:hint="eastAsia"/>
                  </w:rPr>
                  <w:t>上期发生额</w:t>
                </w:r>
              </w:p>
            </w:tc>
          </w:sdtContent>
        </w:sdt>
      </w:tr>
      <w:tr w:rsidR="00E57DAA" w14:paraId="532F1A06" w14:textId="77777777">
        <w:tc>
          <w:tcPr>
            <w:tcW w:w="1882" w:type="pct"/>
          </w:tcPr>
          <w:p w14:paraId="0B822163" w14:textId="77777777" w:rsidR="00E57DAA" w:rsidRDefault="00AC4185">
            <w:pPr>
              <w:autoSpaceDE w:val="0"/>
              <w:autoSpaceDN w:val="0"/>
              <w:adjustRightInd w:val="0"/>
              <w:snapToGrid w:val="0"/>
            </w:pPr>
            <w:r>
              <w:t>销售费用</w:t>
            </w:r>
          </w:p>
        </w:tc>
        <w:tc>
          <w:tcPr>
            <w:tcW w:w="1551" w:type="pct"/>
            <w:vAlign w:val="center"/>
          </w:tcPr>
          <w:p w14:paraId="1A478F0F" w14:textId="77777777" w:rsidR="00E57DAA" w:rsidRDefault="00AC4185">
            <w:pPr>
              <w:jc w:val="right"/>
              <w:rPr>
                <w:highlight w:val="yellow"/>
              </w:rPr>
            </w:pPr>
            <w:r>
              <w:t>183,665,584.83</w:t>
            </w:r>
          </w:p>
        </w:tc>
        <w:tc>
          <w:tcPr>
            <w:tcW w:w="1567" w:type="pct"/>
            <w:vAlign w:val="center"/>
          </w:tcPr>
          <w:p w14:paraId="4647FFDA" w14:textId="77777777" w:rsidR="00E57DAA" w:rsidRDefault="00AC4185">
            <w:pPr>
              <w:jc w:val="right"/>
            </w:pPr>
            <w:r>
              <w:t>165,656,758.60</w:t>
            </w:r>
          </w:p>
        </w:tc>
      </w:tr>
      <w:tr w:rsidR="00E57DAA" w14:paraId="09124B1F" w14:textId="77777777">
        <w:tc>
          <w:tcPr>
            <w:tcW w:w="1882" w:type="pct"/>
          </w:tcPr>
          <w:p w14:paraId="51062B20" w14:textId="77777777" w:rsidR="00E57DAA" w:rsidRDefault="00AC4185">
            <w:pPr>
              <w:autoSpaceDE w:val="0"/>
              <w:autoSpaceDN w:val="0"/>
              <w:adjustRightInd w:val="0"/>
              <w:snapToGrid w:val="0"/>
              <w:rPr>
                <w:szCs w:val="21"/>
              </w:rPr>
            </w:pPr>
            <w:r>
              <w:t>管理费用</w:t>
            </w:r>
          </w:p>
        </w:tc>
        <w:tc>
          <w:tcPr>
            <w:tcW w:w="1551" w:type="pct"/>
            <w:vAlign w:val="center"/>
          </w:tcPr>
          <w:p w14:paraId="74B14762" w14:textId="77777777" w:rsidR="00E57DAA" w:rsidRDefault="00AC4185">
            <w:pPr>
              <w:jc w:val="right"/>
              <w:rPr>
                <w:szCs w:val="21"/>
                <w:highlight w:val="yellow"/>
              </w:rPr>
            </w:pPr>
            <w:r>
              <w:t>543,947,523.70</w:t>
            </w:r>
          </w:p>
        </w:tc>
        <w:tc>
          <w:tcPr>
            <w:tcW w:w="1567" w:type="pct"/>
            <w:vAlign w:val="center"/>
          </w:tcPr>
          <w:p w14:paraId="500C75DC" w14:textId="77777777" w:rsidR="00E57DAA" w:rsidRDefault="00AC4185">
            <w:pPr>
              <w:jc w:val="right"/>
              <w:rPr>
                <w:szCs w:val="21"/>
              </w:rPr>
            </w:pPr>
            <w:r>
              <w:t>384,606,771.62</w:t>
            </w:r>
          </w:p>
        </w:tc>
      </w:tr>
      <w:tr w:rsidR="00E57DAA" w14:paraId="45608542" w14:textId="77777777">
        <w:tc>
          <w:tcPr>
            <w:tcW w:w="1882" w:type="pct"/>
          </w:tcPr>
          <w:p w14:paraId="1DD8A1B5" w14:textId="77777777" w:rsidR="00E57DAA" w:rsidRDefault="00AC4185">
            <w:pPr>
              <w:autoSpaceDE w:val="0"/>
              <w:autoSpaceDN w:val="0"/>
              <w:adjustRightInd w:val="0"/>
              <w:snapToGrid w:val="0"/>
              <w:rPr>
                <w:szCs w:val="21"/>
              </w:rPr>
            </w:pPr>
            <w:r>
              <w:t>往来款</w:t>
            </w:r>
          </w:p>
        </w:tc>
        <w:tc>
          <w:tcPr>
            <w:tcW w:w="1551" w:type="pct"/>
            <w:vAlign w:val="center"/>
          </w:tcPr>
          <w:p w14:paraId="1AC04E22" w14:textId="77777777" w:rsidR="00E57DAA" w:rsidRDefault="00AC4185">
            <w:pPr>
              <w:jc w:val="right"/>
              <w:rPr>
                <w:szCs w:val="21"/>
                <w:highlight w:val="yellow"/>
              </w:rPr>
            </w:pPr>
            <w:r>
              <w:t>132,729,809.85</w:t>
            </w:r>
          </w:p>
        </w:tc>
        <w:tc>
          <w:tcPr>
            <w:tcW w:w="1567" w:type="pct"/>
            <w:vAlign w:val="center"/>
          </w:tcPr>
          <w:p w14:paraId="5E823CBA" w14:textId="77777777" w:rsidR="00E57DAA" w:rsidRDefault="00AC4185">
            <w:pPr>
              <w:jc w:val="right"/>
              <w:rPr>
                <w:szCs w:val="21"/>
              </w:rPr>
            </w:pPr>
            <w:r>
              <w:t>227,451,284.59</w:t>
            </w:r>
          </w:p>
        </w:tc>
      </w:tr>
      <w:tr w:rsidR="00E57DAA" w14:paraId="462CC9AF" w14:textId="77777777">
        <w:tc>
          <w:tcPr>
            <w:tcW w:w="1882" w:type="pct"/>
          </w:tcPr>
          <w:p w14:paraId="22E51F14" w14:textId="77777777" w:rsidR="00E57DAA" w:rsidRDefault="00AC4185">
            <w:pPr>
              <w:autoSpaceDE w:val="0"/>
              <w:autoSpaceDN w:val="0"/>
              <w:adjustRightInd w:val="0"/>
              <w:snapToGrid w:val="0"/>
              <w:rPr>
                <w:szCs w:val="21"/>
              </w:rPr>
            </w:pPr>
            <w:r>
              <w:t>投标、质量保证金</w:t>
            </w:r>
          </w:p>
        </w:tc>
        <w:tc>
          <w:tcPr>
            <w:tcW w:w="1551" w:type="pct"/>
            <w:vAlign w:val="center"/>
          </w:tcPr>
          <w:p w14:paraId="4AE5FD89" w14:textId="77777777" w:rsidR="00E57DAA" w:rsidRDefault="00AC4185">
            <w:pPr>
              <w:jc w:val="right"/>
              <w:rPr>
                <w:szCs w:val="21"/>
                <w:highlight w:val="yellow"/>
              </w:rPr>
            </w:pPr>
            <w:r>
              <w:t>465,259,828.30</w:t>
            </w:r>
          </w:p>
        </w:tc>
        <w:tc>
          <w:tcPr>
            <w:tcW w:w="1567" w:type="pct"/>
            <w:vAlign w:val="center"/>
          </w:tcPr>
          <w:p w14:paraId="743C3E3E" w14:textId="77777777" w:rsidR="00E57DAA" w:rsidRDefault="00AC4185">
            <w:pPr>
              <w:jc w:val="right"/>
              <w:rPr>
                <w:szCs w:val="21"/>
              </w:rPr>
            </w:pPr>
            <w:r>
              <w:t>494,823,150.29</w:t>
            </w:r>
          </w:p>
        </w:tc>
      </w:tr>
      <w:tr w:rsidR="00E57DAA" w14:paraId="6B62C810" w14:textId="77777777">
        <w:tc>
          <w:tcPr>
            <w:tcW w:w="1882" w:type="pct"/>
          </w:tcPr>
          <w:p w14:paraId="3F420D79" w14:textId="77777777" w:rsidR="00E57DAA" w:rsidRDefault="00AC4185">
            <w:pPr>
              <w:autoSpaceDE w:val="0"/>
              <w:autoSpaceDN w:val="0"/>
              <w:adjustRightInd w:val="0"/>
              <w:snapToGrid w:val="0"/>
              <w:rPr>
                <w:szCs w:val="21"/>
              </w:rPr>
            </w:pPr>
            <w:r>
              <w:t>备用金</w:t>
            </w:r>
          </w:p>
        </w:tc>
        <w:tc>
          <w:tcPr>
            <w:tcW w:w="1551" w:type="pct"/>
            <w:vAlign w:val="center"/>
          </w:tcPr>
          <w:p w14:paraId="640BBF0F" w14:textId="77777777" w:rsidR="00E57DAA" w:rsidRDefault="00AC4185">
            <w:pPr>
              <w:jc w:val="right"/>
              <w:rPr>
                <w:szCs w:val="21"/>
                <w:highlight w:val="yellow"/>
              </w:rPr>
            </w:pPr>
            <w:r>
              <w:t>162,735,931.83</w:t>
            </w:r>
          </w:p>
        </w:tc>
        <w:tc>
          <w:tcPr>
            <w:tcW w:w="1567" w:type="pct"/>
            <w:vAlign w:val="center"/>
          </w:tcPr>
          <w:p w14:paraId="31AD9611" w14:textId="77777777" w:rsidR="00E57DAA" w:rsidRDefault="00AC4185">
            <w:pPr>
              <w:jc w:val="right"/>
              <w:rPr>
                <w:szCs w:val="21"/>
              </w:rPr>
            </w:pPr>
            <w:r>
              <w:t>158,832,860.41</w:t>
            </w:r>
          </w:p>
        </w:tc>
      </w:tr>
      <w:tr w:rsidR="00E57DAA" w14:paraId="3E3AAF38" w14:textId="77777777">
        <w:tc>
          <w:tcPr>
            <w:tcW w:w="1882" w:type="pct"/>
          </w:tcPr>
          <w:p w14:paraId="47A20F5D" w14:textId="77777777" w:rsidR="00E57DAA" w:rsidRDefault="00AC4185">
            <w:pPr>
              <w:autoSpaceDE w:val="0"/>
              <w:autoSpaceDN w:val="0"/>
              <w:adjustRightInd w:val="0"/>
              <w:snapToGrid w:val="0"/>
              <w:rPr>
                <w:szCs w:val="21"/>
              </w:rPr>
            </w:pPr>
            <w:r>
              <w:t>银行手续费</w:t>
            </w:r>
          </w:p>
        </w:tc>
        <w:tc>
          <w:tcPr>
            <w:tcW w:w="1551" w:type="pct"/>
            <w:vAlign w:val="center"/>
          </w:tcPr>
          <w:p w14:paraId="2F343EE0" w14:textId="77777777" w:rsidR="00E57DAA" w:rsidRDefault="00AC4185">
            <w:pPr>
              <w:jc w:val="right"/>
              <w:rPr>
                <w:szCs w:val="21"/>
                <w:highlight w:val="yellow"/>
              </w:rPr>
            </w:pPr>
            <w:r>
              <w:t>30,240,944.96</w:t>
            </w:r>
          </w:p>
        </w:tc>
        <w:tc>
          <w:tcPr>
            <w:tcW w:w="1567" w:type="pct"/>
            <w:vAlign w:val="center"/>
          </w:tcPr>
          <w:p w14:paraId="025CD3EC" w14:textId="77777777" w:rsidR="00E57DAA" w:rsidRDefault="00AC4185">
            <w:pPr>
              <w:jc w:val="right"/>
              <w:rPr>
                <w:szCs w:val="21"/>
              </w:rPr>
            </w:pPr>
            <w:r>
              <w:t>30,354,844.91</w:t>
            </w:r>
          </w:p>
        </w:tc>
      </w:tr>
      <w:tr w:rsidR="00E57DAA" w14:paraId="632E74F0" w14:textId="77777777">
        <w:tc>
          <w:tcPr>
            <w:tcW w:w="1882" w:type="pct"/>
          </w:tcPr>
          <w:p w14:paraId="6C60D0CF" w14:textId="77777777" w:rsidR="00E57DAA" w:rsidRDefault="00AC4185">
            <w:pPr>
              <w:autoSpaceDE w:val="0"/>
              <w:autoSpaceDN w:val="0"/>
              <w:adjustRightInd w:val="0"/>
              <w:snapToGrid w:val="0"/>
              <w:rPr>
                <w:szCs w:val="21"/>
              </w:rPr>
            </w:pPr>
            <w:r>
              <w:t>受限资金增加</w:t>
            </w:r>
          </w:p>
        </w:tc>
        <w:tc>
          <w:tcPr>
            <w:tcW w:w="1551" w:type="pct"/>
            <w:vAlign w:val="center"/>
          </w:tcPr>
          <w:p w14:paraId="59378165" w14:textId="77777777" w:rsidR="00E57DAA" w:rsidRDefault="00AC4185">
            <w:pPr>
              <w:jc w:val="right"/>
              <w:rPr>
                <w:szCs w:val="21"/>
                <w:highlight w:val="yellow"/>
              </w:rPr>
            </w:pPr>
            <w:r>
              <w:t>111,793,297.82</w:t>
            </w:r>
          </w:p>
        </w:tc>
        <w:tc>
          <w:tcPr>
            <w:tcW w:w="1567" w:type="pct"/>
            <w:vAlign w:val="center"/>
          </w:tcPr>
          <w:p w14:paraId="416BE49F" w14:textId="77777777" w:rsidR="00E57DAA" w:rsidRDefault="00E57DAA">
            <w:pPr>
              <w:jc w:val="right"/>
              <w:rPr>
                <w:szCs w:val="21"/>
              </w:rPr>
            </w:pPr>
          </w:p>
        </w:tc>
      </w:tr>
      <w:tr w:rsidR="00E57DAA" w14:paraId="5F82E623" w14:textId="77777777">
        <w:tc>
          <w:tcPr>
            <w:tcW w:w="1882" w:type="pct"/>
          </w:tcPr>
          <w:p w14:paraId="0848F87A" w14:textId="77777777" w:rsidR="00E57DAA" w:rsidRDefault="00AC4185">
            <w:pPr>
              <w:autoSpaceDE w:val="0"/>
              <w:autoSpaceDN w:val="0"/>
              <w:adjustRightInd w:val="0"/>
              <w:snapToGrid w:val="0"/>
              <w:rPr>
                <w:szCs w:val="21"/>
              </w:rPr>
            </w:pPr>
            <w:r>
              <w:t>其他</w:t>
            </w:r>
          </w:p>
        </w:tc>
        <w:tc>
          <w:tcPr>
            <w:tcW w:w="1551" w:type="pct"/>
            <w:vAlign w:val="center"/>
          </w:tcPr>
          <w:p w14:paraId="72711943" w14:textId="77777777" w:rsidR="00E57DAA" w:rsidRDefault="00AC4185">
            <w:pPr>
              <w:jc w:val="right"/>
              <w:rPr>
                <w:szCs w:val="21"/>
                <w:highlight w:val="yellow"/>
              </w:rPr>
            </w:pPr>
            <w:r>
              <w:t>124,804,385.33</w:t>
            </w:r>
          </w:p>
        </w:tc>
        <w:tc>
          <w:tcPr>
            <w:tcW w:w="1567" w:type="pct"/>
            <w:vAlign w:val="center"/>
          </w:tcPr>
          <w:p w14:paraId="77E32156" w14:textId="77777777" w:rsidR="00E57DAA" w:rsidRDefault="00AC4185">
            <w:pPr>
              <w:jc w:val="right"/>
              <w:rPr>
                <w:szCs w:val="21"/>
              </w:rPr>
            </w:pPr>
            <w:r>
              <w:t>261,816,407.34</w:t>
            </w:r>
          </w:p>
        </w:tc>
      </w:tr>
      <w:tr w:rsidR="00E57DAA" w14:paraId="34C7AA04" w14:textId="77777777">
        <w:tc>
          <w:tcPr>
            <w:tcW w:w="1882" w:type="pct"/>
          </w:tcPr>
          <w:p w14:paraId="3BC3BD55" w14:textId="77777777" w:rsidR="00E57DAA" w:rsidRDefault="00AC4185">
            <w:pPr>
              <w:autoSpaceDE w:val="0"/>
              <w:autoSpaceDN w:val="0"/>
              <w:adjustRightInd w:val="0"/>
              <w:snapToGrid w:val="0"/>
              <w:jc w:val="center"/>
              <w:rPr>
                <w:szCs w:val="21"/>
              </w:rPr>
            </w:pPr>
            <w:r>
              <w:rPr>
                <w:rFonts w:hint="eastAsia"/>
                <w:szCs w:val="21"/>
              </w:rPr>
              <w:t>合计</w:t>
            </w:r>
          </w:p>
        </w:tc>
        <w:tc>
          <w:tcPr>
            <w:tcW w:w="1551" w:type="pct"/>
            <w:vAlign w:val="center"/>
          </w:tcPr>
          <w:p w14:paraId="5F433FF1" w14:textId="77777777" w:rsidR="00E57DAA" w:rsidRDefault="00AC4185">
            <w:pPr>
              <w:jc w:val="right"/>
              <w:rPr>
                <w:szCs w:val="21"/>
                <w:highlight w:val="yellow"/>
              </w:rPr>
            </w:pPr>
            <w:r>
              <w:t>1,755,177,306.62</w:t>
            </w:r>
          </w:p>
        </w:tc>
        <w:tc>
          <w:tcPr>
            <w:tcW w:w="1567" w:type="pct"/>
            <w:vAlign w:val="center"/>
          </w:tcPr>
          <w:p w14:paraId="31F8E721" w14:textId="77777777" w:rsidR="00E57DAA" w:rsidRDefault="00AC4185">
            <w:pPr>
              <w:jc w:val="right"/>
              <w:rPr>
                <w:szCs w:val="21"/>
              </w:rPr>
            </w:pPr>
            <w:r>
              <w:t>1,723,542,077.76</w:t>
            </w:r>
          </w:p>
        </w:tc>
      </w:tr>
    </w:tbl>
    <w:p w14:paraId="6AD22ACD" w14:textId="77777777" w:rsidR="00E57DAA" w:rsidRDefault="00E57DAA"/>
    <w:p w14:paraId="1BC0E207" w14:textId="77777777" w:rsidR="00E57DAA" w:rsidRDefault="00AC4185">
      <w:pPr>
        <w:pStyle w:val="4"/>
        <w:numPr>
          <w:ilvl w:val="0"/>
          <w:numId w:val="105"/>
        </w:numPr>
        <w:ind w:left="426" w:hanging="426"/>
      </w:pPr>
      <w:r>
        <w:rPr>
          <w:rFonts w:hint="eastAsia"/>
        </w:rPr>
        <w:t>与投资活动有关的现金</w:t>
      </w:r>
    </w:p>
    <w:p w14:paraId="51ABDB38" w14:textId="77777777" w:rsidR="00E57DAA" w:rsidRDefault="00AC4185" w:rsidP="00C25422">
      <w:pPr>
        <w:pStyle w:val="92"/>
      </w:pPr>
      <w:r>
        <w:rPr>
          <w:rFonts w:hint="eastAsia"/>
        </w:rPr>
        <w:t>收到的重要的投资活动有关的现金</w:t>
      </w:r>
    </w:p>
    <w:sdt>
      <w:sdtPr>
        <w:alias w:val="是否适用：收到的重要的投资活动有关的现金[双击切换]"/>
        <w:tag w:val="_GBC_9196f5edd13f48c58cf11429e2524db4"/>
        <w:id w:val="-2079434502"/>
      </w:sdtPr>
      <w:sdtEndPr/>
      <w:sdtContent>
        <w:p w14:paraId="4905C16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DA0A0C" w14:textId="77777777" w:rsidR="00E57DAA" w:rsidRDefault="00AC4185">
      <w:pPr>
        <w:jc w:val="right"/>
        <w:rPr>
          <w:szCs w:val="21"/>
        </w:rPr>
      </w:pPr>
      <w:r>
        <w:rPr>
          <w:rFonts w:hint="eastAsia"/>
        </w:rPr>
        <w:t xml:space="preserve">  </w:t>
      </w:r>
      <w:r>
        <w:rPr>
          <w:rFonts w:hint="eastAsia"/>
          <w:szCs w:val="21"/>
        </w:rPr>
        <w:t>单位：</w:t>
      </w:r>
      <w:sdt>
        <w:sdtPr>
          <w:rPr>
            <w:rFonts w:hint="eastAsia"/>
            <w:szCs w:val="21"/>
          </w:rPr>
          <w:alias w:val="单位：收到的重要的投资活动有关的现金"/>
          <w:tag w:val="_GBC_30082088374344d4809bf9f5b59559f9"/>
          <w:id w:val="-879937458"/>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收到的重要的投资活动有关的现金"/>
          <w:tag w:val="_GBC_aad9cf5ff1554131b4e4b043d133db0c"/>
          <w:id w:val="1420292701"/>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56"/>
        <w:gridCol w:w="2746"/>
      </w:tblGrid>
      <w:tr w:rsidR="00E57DAA" w14:paraId="38A46535" w14:textId="77777777">
        <w:sdt>
          <w:sdtPr>
            <w:rPr>
              <w:rFonts w:hint="eastAsia"/>
              <w:szCs w:val="21"/>
            </w:rPr>
            <w:tag w:val="_PLD_86537d51cc694654b45c76bb3b965b60"/>
            <w:id w:val="915973330"/>
          </w:sdtPr>
          <w:sdtEndPr/>
          <w:sdtContent>
            <w:tc>
              <w:tcPr>
                <w:tcW w:w="1882" w:type="pct"/>
              </w:tcPr>
              <w:p w14:paraId="53C068F1"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rPr>
              <w:rFonts w:hint="eastAsia"/>
            </w:rPr>
            <w:tag w:val="_PLD_8df780a4dd194dc4b58890fceac9b4d7"/>
            <w:id w:val="1861614110"/>
          </w:sdtPr>
          <w:sdtEndPr/>
          <w:sdtContent>
            <w:tc>
              <w:tcPr>
                <w:tcW w:w="1562" w:type="pct"/>
              </w:tcPr>
              <w:p w14:paraId="1786C5B0" w14:textId="77777777" w:rsidR="00E57DAA" w:rsidRDefault="00AC4185">
                <w:pPr>
                  <w:autoSpaceDE w:val="0"/>
                  <w:autoSpaceDN w:val="0"/>
                  <w:adjustRightInd w:val="0"/>
                  <w:snapToGrid w:val="0"/>
                  <w:spacing w:line="240" w:lineRule="atLeast"/>
                  <w:jc w:val="center"/>
                  <w:rPr>
                    <w:szCs w:val="21"/>
                  </w:rPr>
                </w:pPr>
                <w:r>
                  <w:rPr>
                    <w:rFonts w:hint="eastAsia"/>
                  </w:rPr>
                  <w:t>本期发生额</w:t>
                </w:r>
              </w:p>
            </w:tc>
          </w:sdtContent>
        </w:sdt>
        <w:sdt>
          <w:sdtPr>
            <w:rPr>
              <w:rFonts w:hint="eastAsia"/>
            </w:rPr>
            <w:tag w:val="_PLD_e3e736b7d56b47b9a0860a6d7e262f11"/>
            <w:id w:val="-1026252039"/>
          </w:sdtPr>
          <w:sdtEndPr/>
          <w:sdtContent>
            <w:tc>
              <w:tcPr>
                <w:tcW w:w="1556" w:type="pct"/>
              </w:tcPr>
              <w:p w14:paraId="285AA623" w14:textId="77777777" w:rsidR="00E57DAA" w:rsidRDefault="00AC4185">
                <w:pPr>
                  <w:autoSpaceDE w:val="0"/>
                  <w:autoSpaceDN w:val="0"/>
                  <w:adjustRightInd w:val="0"/>
                  <w:snapToGrid w:val="0"/>
                  <w:spacing w:line="240" w:lineRule="atLeast"/>
                  <w:jc w:val="center"/>
                  <w:rPr>
                    <w:szCs w:val="21"/>
                  </w:rPr>
                </w:pPr>
                <w:r>
                  <w:rPr>
                    <w:rFonts w:hint="eastAsia"/>
                  </w:rPr>
                  <w:t>上期发生额</w:t>
                </w:r>
              </w:p>
            </w:tc>
          </w:sdtContent>
        </w:sdt>
      </w:tr>
      <w:tr w:rsidR="00E57DAA" w14:paraId="754005FC" w14:textId="77777777">
        <w:tc>
          <w:tcPr>
            <w:tcW w:w="1882" w:type="pct"/>
          </w:tcPr>
          <w:p w14:paraId="15CB6997" w14:textId="77777777" w:rsidR="00E57DAA" w:rsidRDefault="00AC4185">
            <w:pPr>
              <w:autoSpaceDE w:val="0"/>
              <w:autoSpaceDN w:val="0"/>
              <w:adjustRightInd w:val="0"/>
              <w:snapToGrid w:val="0"/>
              <w:spacing w:line="240" w:lineRule="atLeast"/>
              <w:rPr>
                <w:szCs w:val="21"/>
              </w:rPr>
            </w:pPr>
            <w:r>
              <w:t>联营企业股权转让款</w:t>
            </w:r>
          </w:p>
        </w:tc>
        <w:tc>
          <w:tcPr>
            <w:tcW w:w="1562" w:type="pct"/>
            <w:vAlign w:val="bottom"/>
          </w:tcPr>
          <w:p w14:paraId="379E7656" w14:textId="77777777" w:rsidR="00E57DAA" w:rsidRDefault="00AC4185">
            <w:pPr>
              <w:jc w:val="right"/>
              <w:rPr>
                <w:szCs w:val="21"/>
              </w:rPr>
            </w:pPr>
            <w:r>
              <w:t>36,701,986.61</w:t>
            </w:r>
          </w:p>
        </w:tc>
        <w:tc>
          <w:tcPr>
            <w:tcW w:w="1556" w:type="pct"/>
          </w:tcPr>
          <w:p w14:paraId="552E88B9" w14:textId="77777777" w:rsidR="00E57DAA" w:rsidRDefault="00E57DAA">
            <w:pPr>
              <w:jc w:val="right"/>
              <w:rPr>
                <w:szCs w:val="21"/>
              </w:rPr>
            </w:pPr>
          </w:p>
        </w:tc>
      </w:tr>
      <w:tr w:rsidR="00E57DAA" w14:paraId="66CCEB5E" w14:textId="77777777">
        <w:tc>
          <w:tcPr>
            <w:tcW w:w="1882" w:type="pct"/>
          </w:tcPr>
          <w:p w14:paraId="34327A27"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562" w:type="pct"/>
            <w:vAlign w:val="bottom"/>
          </w:tcPr>
          <w:p w14:paraId="0F84E956" w14:textId="77777777" w:rsidR="00E57DAA" w:rsidRDefault="00AC4185">
            <w:pPr>
              <w:jc w:val="right"/>
              <w:rPr>
                <w:szCs w:val="21"/>
              </w:rPr>
            </w:pPr>
            <w:r>
              <w:rPr>
                <w:szCs w:val="21"/>
              </w:rPr>
              <w:t>36,701,986.61</w:t>
            </w:r>
          </w:p>
        </w:tc>
        <w:tc>
          <w:tcPr>
            <w:tcW w:w="1556" w:type="pct"/>
          </w:tcPr>
          <w:p w14:paraId="78F8406F" w14:textId="77777777" w:rsidR="00E57DAA" w:rsidRDefault="00E57DAA">
            <w:pPr>
              <w:jc w:val="right"/>
              <w:rPr>
                <w:szCs w:val="21"/>
              </w:rPr>
            </w:pPr>
          </w:p>
        </w:tc>
      </w:tr>
    </w:tbl>
    <w:p w14:paraId="5E6E5787" w14:textId="77777777" w:rsidR="00E57DAA" w:rsidRDefault="00E57DAA"/>
    <w:p w14:paraId="4A20C2D7" w14:textId="77777777" w:rsidR="00E57DAA" w:rsidRDefault="00E57DAA" w:rsidP="00C25422">
      <w:pPr>
        <w:pStyle w:val="92"/>
      </w:pPr>
    </w:p>
    <w:p w14:paraId="65DF820D" w14:textId="77777777" w:rsidR="00E57DAA" w:rsidRDefault="00AC4185" w:rsidP="00C25422">
      <w:pPr>
        <w:pStyle w:val="92"/>
      </w:pPr>
      <w:r>
        <w:rPr>
          <w:rFonts w:hint="eastAsia"/>
        </w:rPr>
        <w:t>支付的重要的投资活动有关的现金</w:t>
      </w:r>
    </w:p>
    <w:sdt>
      <w:sdtPr>
        <w:alias w:val="是否适用：支付的重要的投资活动有关的现金[双击切换]"/>
        <w:tag w:val="_GBC_87278c8d34004ae4ad117e1026d10209"/>
        <w:id w:val="-1665697985"/>
        <w:placeholder>
          <w:docPart w:val="GBC22222222222222222222222222222"/>
        </w:placeholder>
      </w:sdtPr>
      <w:sdtEndPr/>
      <w:sdtContent>
        <w:p w14:paraId="4A8D25A8"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EA7E51" w14:textId="77777777" w:rsidR="00E57DAA" w:rsidRDefault="00AC4185">
      <w:pPr>
        <w:jc w:val="right"/>
        <w:rPr>
          <w:szCs w:val="21"/>
        </w:rPr>
      </w:pPr>
      <w:r>
        <w:rPr>
          <w:rFonts w:hint="eastAsia"/>
        </w:rPr>
        <w:t xml:space="preserve">  </w:t>
      </w:r>
      <w:r>
        <w:rPr>
          <w:rFonts w:hint="eastAsia"/>
          <w:szCs w:val="21"/>
        </w:rPr>
        <w:t>单位：</w:t>
      </w:r>
      <w:sdt>
        <w:sdtPr>
          <w:rPr>
            <w:rFonts w:hint="eastAsia"/>
            <w:szCs w:val="21"/>
          </w:rPr>
          <w:alias w:val="单位：支付的重要的投资活动有关的现金"/>
          <w:tag w:val="_GBC_a0deec14b3b44f78b9368ad871e8d8c6"/>
          <w:id w:val="344908258"/>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支付的重要的投资活动有关的现金"/>
          <w:tag w:val="_GBC_e41f8522f445479ba58238ec8d2c3147"/>
          <w:id w:val="191662308"/>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56"/>
        <w:gridCol w:w="2746"/>
      </w:tblGrid>
      <w:tr w:rsidR="00E57DAA" w14:paraId="56661E6F" w14:textId="77777777">
        <w:sdt>
          <w:sdtPr>
            <w:rPr>
              <w:rFonts w:hint="eastAsia"/>
              <w:szCs w:val="21"/>
            </w:rPr>
            <w:tag w:val="_PLD_328e6bb5fcc74d9c87ca178b8d42f9b8"/>
            <w:id w:val="-539053889"/>
          </w:sdtPr>
          <w:sdtEndPr/>
          <w:sdtContent>
            <w:tc>
              <w:tcPr>
                <w:tcW w:w="1882" w:type="pct"/>
              </w:tcPr>
              <w:p w14:paraId="75FCAC8F"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rPr>
              <w:rFonts w:hint="eastAsia"/>
            </w:rPr>
            <w:tag w:val="_PLD_fc885c8be4db48b78be0f1dad4d4c6a8"/>
            <w:id w:val="-250118612"/>
          </w:sdtPr>
          <w:sdtEndPr/>
          <w:sdtContent>
            <w:tc>
              <w:tcPr>
                <w:tcW w:w="1562" w:type="pct"/>
              </w:tcPr>
              <w:p w14:paraId="7974E08F" w14:textId="77777777" w:rsidR="00E57DAA" w:rsidRDefault="00AC4185">
                <w:pPr>
                  <w:autoSpaceDE w:val="0"/>
                  <w:autoSpaceDN w:val="0"/>
                  <w:adjustRightInd w:val="0"/>
                  <w:snapToGrid w:val="0"/>
                  <w:spacing w:line="240" w:lineRule="atLeast"/>
                  <w:jc w:val="center"/>
                  <w:rPr>
                    <w:szCs w:val="21"/>
                  </w:rPr>
                </w:pPr>
                <w:r>
                  <w:rPr>
                    <w:rFonts w:hint="eastAsia"/>
                  </w:rPr>
                  <w:t>本期发生额</w:t>
                </w:r>
              </w:p>
            </w:tc>
          </w:sdtContent>
        </w:sdt>
        <w:sdt>
          <w:sdtPr>
            <w:rPr>
              <w:rFonts w:hint="eastAsia"/>
            </w:rPr>
            <w:tag w:val="_PLD_b15712f434d644b0954dad3a0d7e73ef"/>
            <w:id w:val="-1234854330"/>
          </w:sdtPr>
          <w:sdtEndPr/>
          <w:sdtContent>
            <w:tc>
              <w:tcPr>
                <w:tcW w:w="1556" w:type="pct"/>
              </w:tcPr>
              <w:p w14:paraId="13D7BC79" w14:textId="77777777" w:rsidR="00E57DAA" w:rsidRDefault="00AC4185">
                <w:pPr>
                  <w:autoSpaceDE w:val="0"/>
                  <w:autoSpaceDN w:val="0"/>
                  <w:adjustRightInd w:val="0"/>
                  <w:snapToGrid w:val="0"/>
                  <w:spacing w:line="240" w:lineRule="atLeast"/>
                  <w:jc w:val="center"/>
                  <w:rPr>
                    <w:szCs w:val="21"/>
                  </w:rPr>
                </w:pPr>
                <w:r>
                  <w:rPr>
                    <w:rFonts w:hint="eastAsia"/>
                  </w:rPr>
                  <w:t>上期发生额</w:t>
                </w:r>
              </w:p>
            </w:tc>
          </w:sdtContent>
        </w:sdt>
      </w:tr>
      <w:tr w:rsidR="00E57DAA" w14:paraId="05679C90" w14:textId="77777777">
        <w:tc>
          <w:tcPr>
            <w:tcW w:w="1882" w:type="pct"/>
          </w:tcPr>
          <w:p w14:paraId="26AA762C" w14:textId="77777777" w:rsidR="00E57DAA" w:rsidRDefault="00AC4185">
            <w:pPr>
              <w:autoSpaceDE w:val="0"/>
              <w:autoSpaceDN w:val="0"/>
              <w:adjustRightInd w:val="0"/>
              <w:snapToGrid w:val="0"/>
              <w:spacing w:line="240" w:lineRule="atLeast"/>
              <w:rPr>
                <w:szCs w:val="21"/>
              </w:rPr>
            </w:pPr>
            <w:r>
              <w:t>对联营企业的投资</w:t>
            </w:r>
          </w:p>
        </w:tc>
        <w:tc>
          <w:tcPr>
            <w:tcW w:w="1562" w:type="pct"/>
            <w:vAlign w:val="bottom"/>
          </w:tcPr>
          <w:p w14:paraId="74843466" w14:textId="77777777" w:rsidR="00E57DAA" w:rsidRDefault="00AC4185">
            <w:pPr>
              <w:jc w:val="right"/>
              <w:rPr>
                <w:szCs w:val="21"/>
              </w:rPr>
            </w:pPr>
            <w:r>
              <w:t>500,000,000.00</w:t>
            </w:r>
          </w:p>
        </w:tc>
        <w:tc>
          <w:tcPr>
            <w:tcW w:w="1556" w:type="pct"/>
          </w:tcPr>
          <w:p w14:paraId="0EDB12A9" w14:textId="77777777" w:rsidR="00E57DAA" w:rsidRDefault="00AC4185">
            <w:pPr>
              <w:jc w:val="right"/>
              <w:rPr>
                <w:szCs w:val="21"/>
              </w:rPr>
            </w:pPr>
            <w:r>
              <w:t>129,128,665.00</w:t>
            </w:r>
          </w:p>
        </w:tc>
      </w:tr>
      <w:tr w:rsidR="00E57DAA" w14:paraId="32916B31" w14:textId="77777777">
        <w:tc>
          <w:tcPr>
            <w:tcW w:w="1882" w:type="pct"/>
          </w:tcPr>
          <w:p w14:paraId="72EDF882"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562" w:type="pct"/>
            <w:vAlign w:val="center"/>
          </w:tcPr>
          <w:p w14:paraId="2E6375E9" w14:textId="77777777" w:rsidR="00E57DAA" w:rsidRDefault="00AC4185">
            <w:pPr>
              <w:jc w:val="right"/>
              <w:rPr>
                <w:szCs w:val="21"/>
              </w:rPr>
            </w:pPr>
            <w:r>
              <w:t>500,000,000.00</w:t>
            </w:r>
          </w:p>
        </w:tc>
        <w:tc>
          <w:tcPr>
            <w:tcW w:w="1556" w:type="pct"/>
            <w:vAlign w:val="center"/>
          </w:tcPr>
          <w:p w14:paraId="38AF27AA" w14:textId="77777777" w:rsidR="00E57DAA" w:rsidRDefault="00AC4185">
            <w:pPr>
              <w:jc w:val="right"/>
              <w:rPr>
                <w:szCs w:val="21"/>
              </w:rPr>
            </w:pPr>
            <w:r>
              <w:t>129,128,665.00</w:t>
            </w:r>
          </w:p>
        </w:tc>
      </w:tr>
    </w:tbl>
    <w:p w14:paraId="0FCA06C1" w14:textId="77777777" w:rsidR="00E57DAA" w:rsidRDefault="00E57DAA" w:rsidP="00C25422">
      <w:pPr>
        <w:pStyle w:val="92"/>
      </w:pPr>
    </w:p>
    <w:p w14:paraId="5471C652" w14:textId="77777777" w:rsidR="00E57DAA" w:rsidRDefault="00AC4185" w:rsidP="00C25422">
      <w:pPr>
        <w:pStyle w:val="92"/>
      </w:pPr>
      <w:r>
        <w:rPr>
          <w:rFonts w:hint="eastAsia"/>
        </w:rPr>
        <w:t>收到的其他与投资活动有关的现金</w:t>
      </w:r>
    </w:p>
    <w:sdt>
      <w:sdtPr>
        <w:alias w:val="是否适用：收到的其他与投资活动有关的现金[双击切换]"/>
        <w:tag w:val="_GBC_a9d11a87566b448d9e6aac9a017a8388"/>
        <w:id w:val="1092827761"/>
        <w:placeholder>
          <w:docPart w:val="GBC22222222222222222222222222222"/>
        </w:placeholder>
      </w:sdtPr>
      <w:sdtEndPr/>
      <w:sdtContent>
        <w:p w14:paraId="2BD21813"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F2540A" w14:textId="77777777" w:rsidR="00E57DAA" w:rsidRDefault="00AC4185">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15891110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2581414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39"/>
        <w:gridCol w:w="2663"/>
      </w:tblGrid>
      <w:tr w:rsidR="00E57DAA" w14:paraId="6290FD15" w14:textId="77777777">
        <w:bookmarkStart w:id="305" w:name="_Hlk162169058" w:displacedByCustomXml="next"/>
        <w:sdt>
          <w:sdtPr>
            <w:tag w:val="_PLD_8fe69c5749494bb49faf620c5198417e"/>
            <w:id w:val="118027839"/>
          </w:sdtPr>
          <w:sdtEndPr/>
          <w:sdtContent>
            <w:tc>
              <w:tcPr>
                <w:tcW w:w="1882" w:type="pct"/>
              </w:tcPr>
              <w:p w14:paraId="2C8ED3E2" w14:textId="77777777" w:rsidR="00E57DAA" w:rsidRDefault="00AC4185">
                <w:pPr>
                  <w:autoSpaceDE w:val="0"/>
                  <w:autoSpaceDN w:val="0"/>
                  <w:adjustRightInd w:val="0"/>
                  <w:snapToGrid w:val="0"/>
                  <w:spacing w:line="240" w:lineRule="atLeast"/>
                  <w:jc w:val="center"/>
                  <w:rPr>
                    <w:szCs w:val="21"/>
                  </w:rPr>
                </w:pPr>
                <w:r>
                  <w:rPr>
                    <w:rFonts w:hint="eastAsia"/>
                    <w:szCs w:val="21"/>
                  </w:rPr>
                  <w:t>项目</w:t>
                </w:r>
              </w:p>
            </w:tc>
          </w:sdtContent>
        </w:sdt>
        <w:sdt>
          <w:sdtPr>
            <w:tag w:val="_PLD_bf91a26c50244250a28701d650837068"/>
            <w:id w:val="954605157"/>
          </w:sdtPr>
          <w:sdtEndPr/>
          <w:sdtContent>
            <w:tc>
              <w:tcPr>
                <w:tcW w:w="1609" w:type="pct"/>
              </w:tcPr>
              <w:p w14:paraId="7E634D2E" w14:textId="77777777" w:rsidR="00E57DAA" w:rsidRDefault="00AC4185">
                <w:pPr>
                  <w:autoSpaceDE w:val="0"/>
                  <w:autoSpaceDN w:val="0"/>
                  <w:adjustRightInd w:val="0"/>
                  <w:snapToGrid w:val="0"/>
                  <w:spacing w:line="240" w:lineRule="atLeast"/>
                  <w:jc w:val="center"/>
                  <w:rPr>
                    <w:szCs w:val="21"/>
                  </w:rPr>
                </w:pPr>
                <w:r>
                  <w:rPr>
                    <w:rFonts w:hint="eastAsia"/>
                  </w:rPr>
                  <w:t>本期发生额</w:t>
                </w:r>
              </w:p>
            </w:tc>
          </w:sdtContent>
        </w:sdt>
        <w:sdt>
          <w:sdtPr>
            <w:tag w:val="_PLD_6ba4cebdd5f34f0ebe4577174e11dd6c"/>
            <w:id w:val="1286162176"/>
          </w:sdtPr>
          <w:sdtEndPr/>
          <w:sdtContent>
            <w:tc>
              <w:tcPr>
                <w:tcW w:w="1509" w:type="pct"/>
              </w:tcPr>
              <w:p w14:paraId="4294D3DF" w14:textId="77777777" w:rsidR="00E57DAA" w:rsidRDefault="00AC4185">
                <w:pPr>
                  <w:autoSpaceDE w:val="0"/>
                  <w:autoSpaceDN w:val="0"/>
                  <w:adjustRightInd w:val="0"/>
                  <w:snapToGrid w:val="0"/>
                  <w:spacing w:line="240" w:lineRule="atLeast"/>
                  <w:jc w:val="center"/>
                  <w:rPr>
                    <w:szCs w:val="21"/>
                  </w:rPr>
                </w:pPr>
                <w:r>
                  <w:rPr>
                    <w:rFonts w:hint="eastAsia"/>
                  </w:rPr>
                  <w:t>上期发生额</w:t>
                </w:r>
              </w:p>
            </w:tc>
          </w:sdtContent>
        </w:sdt>
      </w:tr>
      <w:tr w:rsidR="00E57DAA" w14:paraId="344DF06A" w14:textId="77777777">
        <w:tc>
          <w:tcPr>
            <w:tcW w:w="1882" w:type="pct"/>
          </w:tcPr>
          <w:p w14:paraId="6F49FE1F" w14:textId="77777777" w:rsidR="00E57DAA" w:rsidRDefault="00AC4185">
            <w:pPr>
              <w:autoSpaceDE w:val="0"/>
              <w:autoSpaceDN w:val="0"/>
              <w:adjustRightInd w:val="0"/>
              <w:snapToGrid w:val="0"/>
              <w:spacing w:line="240" w:lineRule="atLeast"/>
              <w:rPr>
                <w:szCs w:val="21"/>
              </w:rPr>
            </w:pPr>
            <w:r>
              <w:t>理财产品</w:t>
            </w:r>
            <w:r>
              <w:rPr>
                <w:rFonts w:hint="eastAsia"/>
              </w:rPr>
              <w:t>及定期存款</w:t>
            </w:r>
          </w:p>
        </w:tc>
        <w:tc>
          <w:tcPr>
            <w:tcW w:w="1609" w:type="pct"/>
            <w:vAlign w:val="bottom"/>
          </w:tcPr>
          <w:p w14:paraId="04A6CFE5" w14:textId="77777777" w:rsidR="00E57DAA" w:rsidRDefault="00AC4185">
            <w:pPr>
              <w:jc w:val="right"/>
              <w:rPr>
                <w:szCs w:val="21"/>
              </w:rPr>
            </w:pPr>
            <w:r>
              <w:t>921,533,267.11</w:t>
            </w:r>
          </w:p>
        </w:tc>
        <w:tc>
          <w:tcPr>
            <w:tcW w:w="1509" w:type="pct"/>
          </w:tcPr>
          <w:p w14:paraId="0E823593" w14:textId="77777777" w:rsidR="00E57DAA" w:rsidRDefault="00AC4185">
            <w:pPr>
              <w:jc w:val="right"/>
              <w:rPr>
                <w:szCs w:val="21"/>
              </w:rPr>
            </w:pPr>
            <w:r>
              <w:t>5,874,546,793.44</w:t>
            </w:r>
          </w:p>
        </w:tc>
      </w:tr>
      <w:tr w:rsidR="00E57DAA" w14:paraId="42D5C0EF" w14:textId="77777777">
        <w:tc>
          <w:tcPr>
            <w:tcW w:w="1882" w:type="pct"/>
          </w:tcPr>
          <w:p w14:paraId="2D0CEC33" w14:textId="77777777" w:rsidR="00E57DAA" w:rsidRDefault="00AC4185">
            <w:pPr>
              <w:autoSpaceDE w:val="0"/>
              <w:autoSpaceDN w:val="0"/>
              <w:adjustRightInd w:val="0"/>
              <w:snapToGrid w:val="0"/>
              <w:spacing w:line="240" w:lineRule="atLeast"/>
              <w:rPr>
                <w:szCs w:val="21"/>
              </w:rPr>
            </w:pPr>
            <w:r>
              <w:t>收购子公司取得的现金</w:t>
            </w:r>
          </w:p>
        </w:tc>
        <w:tc>
          <w:tcPr>
            <w:tcW w:w="1609" w:type="pct"/>
            <w:vAlign w:val="bottom"/>
          </w:tcPr>
          <w:p w14:paraId="63CE2443" w14:textId="77777777" w:rsidR="00E57DAA" w:rsidRDefault="00AC4185">
            <w:pPr>
              <w:jc w:val="right"/>
              <w:rPr>
                <w:szCs w:val="21"/>
              </w:rPr>
            </w:pPr>
            <w:r>
              <w:t>14,256,370.60</w:t>
            </w:r>
          </w:p>
        </w:tc>
        <w:tc>
          <w:tcPr>
            <w:tcW w:w="1509" w:type="pct"/>
          </w:tcPr>
          <w:p w14:paraId="7651FFF8" w14:textId="77777777" w:rsidR="00E57DAA" w:rsidRDefault="00AC4185">
            <w:pPr>
              <w:jc w:val="right"/>
              <w:rPr>
                <w:szCs w:val="21"/>
              </w:rPr>
            </w:pPr>
            <w:r>
              <w:t>46,479,225.72</w:t>
            </w:r>
          </w:p>
        </w:tc>
      </w:tr>
      <w:tr w:rsidR="00E57DAA" w14:paraId="66E84E44" w14:textId="77777777">
        <w:tc>
          <w:tcPr>
            <w:tcW w:w="1882" w:type="pct"/>
          </w:tcPr>
          <w:p w14:paraId="1D5763C6" w14:textId="77777777" w:rsidR="00E57DAA" w:rsidRDefault="00AC4185">
            <w:pPr>
              <w:autoSpaceDE w:val="0"/>
              <w:autoSpaceDN w:val="0"/>
              <w:adjustRightInd w:val="0"/>
              <w:snapToGrid w:val="0"/>
              <w:spacing w:line="240" w:lineRule="atLeast"/>
              <w:rPr>
                <w:szCs w:val="21"/>
              </w:rPr>
            </w:pPr>
            <w:r>
              <w:t>外币套保</w:t>
            </w:r>
          </w:p>
        </w:tc>
        <w:tc>
          <w:tcPr>
            <w:tcW w:w="1609" w:type="pct"/>
            <w:vAlign w:val="bottom"/>
          </w:tcPr>
          <w:p w14:paraId="3C9B5954" w14:textId="77777777" w:rsidR="00E57DAA" w:rsidRDefault="00AC4185">
            <w:pPr>
              <w:jc w:val="right"/>
              <w:rPr>
                <w:szCs w:val="21"/>
              </w:rPr>
            </w:pPr>
            <w:r>
              <w:t> </w:t>
            </w:r>
          </w:p>
        </w:tc>
        <w:tc>
          <w:tcPr>
            <w:tcW w:w="1509" w:type="pct"/>
          </w:tcPr>
          <w:p w14:paraId="2EBEC069" w14:textId="77777777" w:rsidR="00E57DAA" w:rsidRDefault="00AC4185">
            <w:pPr>
              <w:jc w:val="right"/>
              <w:rPr>
                <w:szCs w:val="21"/>
              </w:rPr>
            </w:pPr>
            <w:r>
              <w:t>15,141,200.00</w:t>
            </w:r>
          </w:p>
        </w:tc>
      </w:tr>
      <w:tr w:rsidR="00E57DAA" w14:paraId="5169FE2B" w14:textId="77777777">
        <w:tc>
          <w:tcPr>
            <w:tcW w:w="1882" w:type="pct"/>
          </w:tcPr>
          <w:p w14:paraId="790F6389" w14:textId="77777777" w:rsidR="00E57DAA" w:rsidRDefault="00AC4185">
            <w:pPr>
              <w:autoSpaceDE w:val="0"/>
              <w:autoSpaceDN w:val="0"/>
              <w:adjustRightInd w:val="0"/>
              <w:snapToGrid w:val="0"/>
              <w:spacing w:line="240" w:lineRule="atLeast"/>
              <w:rPr>
                <w:szCs w:val="21"/>
              </w:rPr>
            </w:pPr>
            <w:r>
              <w:t>其他</w:t>
            </w:r>
          </w:p>
        </w:tc>
        <w:tc>
          <w:tcPr>
            <w:tcW w:w="1609" w:type="pct"/>
            <w:vAlign w:val="bottom"/>
          </w:tcPr>
          <w:p w14:paraId="5E6A80FE" w14:textId="77777777" w:rsidR="00E57DAA" w:rsidRDefault="00AC4185">
            <w:pPr>
              <w:jc w:val="right"/>
              <w:rPr>
                <w:szCs w:val="21"/>
              </w:rPr>
            </w:pPr>
            <w:r>
              <w:t> </w:t>
            </w:r>
          </w:p>
        </w:tc>
        <w:tc>
          <w:tcPr>
            <w:tcW w:w="1509" w:type="pct"/>
          </w:tcPr>
          <w:p w14:paraId="36E384CA" w14:textId="77777777" w:rsidR="00E57DAA" w:rsidRDefault="00AC4185">
            <w:pPr>
              <w:jc w:val="right"/>
              <w:rPr>
                <w:szCs w:val="21"/>
              </w:rPr>
            </w:pPr>
            <w:r>
              <w:t>406,600.00</w:t>
            </w:r>
          </w:p>
        </w:tc>
      </w:tr>
      <w:tr w:rsidR="00E57DAA" w14:paraId="5ABD889E" w14:textId="77777777">
        <w:tc>
          <w:tcPr>
            <w:tcW w:w="1882" w:type="pct"/>
          </w:tcPr>
          <w:p w14:paraId="6A4887B8" w14:textId="77777777" w:rsidR="00E57DAA" w:rsidRDefault="00AC4185">
            <w:pPr>
              <w:autoSpaceDE w:val="0"/>
              <w:autoSpaceDN w:val="0"/>
              <w:adjustRightInd w:val="0"/>
              <w:snapToGrid w:val="0"/>
              <w:spacing w:line="240" w:lineRule="atLeast"/>
              <w:jc w:val="center"/>
              <w:rPr>
                <w:szCs w:val="21"/>
              </w:rPr>
            </w:pPr>
            <w:r>
              <w:rPr>
                <w:rFonts w:hint="eastAsia"/>
                <w:szCs w:val="21"/>
              </w:rPr>
              <w:t>合计</w:t>
            </w:r>
          </w:p>
        </w:tc>
        <w:tc>
          <w:tcPr>
            <w:tcW w:w="1609" w:type="pct"/>
            <w:vAlign w:val="center"/>
          </w:tcPr>
          <w:p w14:paraId="7B8B7E59" w14:textId="77777777" w:rsidR="00E57DAA" w:rsidRDefault="00AC4185">
            <w:pPr>
              <w:jc w:val="right"/>
              <w:rPr>
                <w:szCs w:val="21"/>
              </w:rPr>
            </w:pPr>
            <w:r>
              <w:t>935,789,637.71</w:t>
            </w:r>
          </w:p>
        </w:tc>
        <w:tc>
          <w:tcPr>
            <w:tcW w:w="1509" w:type="pct"/>
            <w:vAlign w:val="center"/>
          </w:tcPr>
          <w:p w14:paraId="317B1ABD" w14:textId="77777777" w:rsidR="00E57DAA" w:rsidRDefault="00AC4185">
            <w:pPr>
              <w:jc w:val="right"/>
              <w:rPr>
                <w:szCs w:val="21"/>
              </w:rPr>
            </w:pPr>
            <w:r>
              <w:t>5,936,573,819.16</w:t>
            </w:r>
          </w:p>
        </w:tc>
      </w:tr>
      <w:bookmarkEnd w:id="305"/>
    </w:tbl>
    <w:p w14:paraId="342F0BF0" w14:textId="77777777" w:rsidR="00E57DAA" w:rsidRDefault="00E57DAA" w:rsidP="00C25422">
      <w:pPr>
        <w:pStyle w:val="92"/>
      </w:pPr>
    </w:p>
    <w:p w14:paraId="0BE9B74E" w14:textId="77777777" w:rsidR="00E57DAA" w:rsidRDefault="00AC4185" w:rsidP="00C25422">
      <w:pPr>
        <w:pStyle w:val="92"/>
      </w:pPr>
      <w:r>
        <w:rPr>
          <w:rFonts w:hint="eastAsia"/>
        </w:rPr>
        <w:t>支付的其他与投资活动有关的现金</w:t>
      </w:r>
    </w:p>
    <w:sdt>
      <w:sdtPr>
        <w:alias w:val="是否适用：支付的其他与投资活动有关的现金[双击切换]"/>
        <w:tag w:val="_GBC_c733aab18a804ecea142a329ce5180ba"/>
        <w:id w:val="459309601"/>
        <w:placeholder>
          <w:docPart w:val="GBC22222222222222222222222222222"/>
        </w:placeholder>
      </w:sdtPr>
      <w:sdtEndPr/>
      <w:sdtContent>
        <w:p w14:paraId="2029D8E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728D75" w14:textId="77777777" w:rsidR="00E57DAA" w:rsidRDefault="00AC4185">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21312801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19226744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41"/>
        <w:gridCol w:w="2661"/>
      </w:tblGrid>
      <w:tr w:rsidR="00E57DAA" w14:paraId="4F49222C" w14:textId="77777777">
        <w:bookmarkStart w:id="306" w:name="_Hlk162169336" w:displacedByCustomXml="next"/>
        <w:sdt>
          <w:sdtPr>
            <w:tag w:val="_PLD_587dffb6cb394ed0abe3449c37ec4700"/>
            <w:id w:val="-80913388"/>
          </w:sdtPr>
          <w:sdtEndPr/>
          <w:sdtContent>
            <w:tc>
              <w:tcPr>
                <w:tcW w:w="1882" w:type="pct"/>
              </w:tcPr>
              <w:p w14:paraId="45A960D3" w14:textId="77777777" w:rsidR="00E57DAA" w:rsidRDefault="00AC4185">
                <w:pPr>
                  <w:autoSpaceDE w:val="0"/>
                  <w:autoSpaceDN w:val="0"/>
                  <w:adjustRightInd w:val="0"/>
                  <w:snapToGrid w:val="0"/>
                  <w:jc w:val="center"/>
                  <w:rPr>
                    <w:szCs w:val="21"/>
                  </w:rPr>
                </w:pPr>
                <w:r>
                  <w:rPr>
                    <w:rFonts w:hint="eastAsia"/>
                    <w:szCs w:val="21"/>
                  </w:rPr>
                  <w:t>项目</w:t>
                </w:r>
              </w:p>
            </w:tc>
          </w:sdtContent>
        </w:sdt>
        <w:sdt>
          <w:sdtPr>
            <w:tag w:val="_PLD_df7899e6c0274bae9f145af85a8eb277"/>
            <w:id w:val="-800617742"/>
          </w:sdtPr>
          <w:sdtEndPr/>
          <w:sdtContent>
            <w:tc>
              <w:tcPr>
                <w:tcW w:w="1610" w:type="pct"/>
              </w:tcPr>
              <w:p w14:paraId="0DF455A6" w14:textId="77777777" w:rsidR="00E57DAA" w:rsidRDefault="00AC4185">
                <w:pPr>
                  <w:autoSpaceDE w:val="0"/>
                  <w:autoSpaceDN w:val="0"/>
                  <w:adjustRightInd w:val="0"/>
                  <w:snapToGrid w:val="0"/>
                  <w:jc w:val="center"/>
                  <w:rPr>
                    <w:szCs w:val="21"/>
                  </w:rPr>
                </w:pPr>
                <w:r>
                  <w:rPr>
                    <w:rFonts w:hint="eastAsia"/>
                  </w:rPr>
                  <w:t>本期发生额</w:t>
                </w:r>
              </w:p>
            </w:tc>
          </w:sdtContent>
        </w:sdt>
        <w:sdt>
          <w:sdtPr>
            <w:tag w:val="_PLD_f161b1c392e440818862ceb1761bb906"/>
            <w:id w:val="-1187750664"/>
          </w:sdtPr>
          <w:sdtEndPr/>
          <w:sdtContent>
            <w:tc>
              <w:tcPr>
                <w:tcW w:w="1508" w:type="pct"/>
              </w:tcPr>
              <w:p w14:paraId="71867BD2" w14:textId="77777777" w:rsidR="00E57DAA" w:rsidRDefault="00AC4185">
                <w:pPr>
                  <w:autoSpaceDE w:val="0"/>
                  <w:autoSpaceDN w:val="0"/>
                  <w:adjustRightInd w:val="0"/>
                  <w:snapToGrid w:val="0"/>
                  <w:jc w:val="center"/>
                  <w:rPr>
                    <w:szCs w:val="21"/>
                  </w:rPr>
                </w:pPr>
                <w:r>
                  <w:rPr>
                    <w:rFonts w:hint="eastAsia"/>
                  </w:rPr>
                  <w:t>上期发生额</w:t>
                </w:r>
              </w:p>
            </w:tc>
          </w:sdtContent>
        </w:sdt>
      </w:tr>
      <w:tr w:rsidR="00E57DAA" w14:paraId="72158370" w14:textId="77777777">
        <w:tc>
          <w:tcPr>
            <w:tcW w:w="1882" w:type="pct"/>
          </w:tcPr>
          <w:p w14:paraId="43B0C7A1" w14:textId="77777777" w:rsidR="00E57DAA" w:rsidRDefault="00AC4185">
            <w:pPr>
              <w:autoSpaceDE w:val="0"/>
              <w:autoSpaceDN w:val="0"/>
              <w:adjustRightInd w:val="0"/>
              <w:snapToGrid w:val="0"/>
              <w:rPr>
                <w:szCs w:val="21"/>
              </w:rPr>
            </w:pPr>
            <w:r>
              <w:t>理财产品</w:t>
            </w:r>
            <w:r>
              <w:rPr>
                <w:rFonts w:hint="eastAsia"/>
              </w:rPr>
              <w:t>及定期存款</w:t>
            </w:r>
          </w:p>
        </w:tc>
        <w:tc>
          <w:tcPr>
            <w:tcW w:w="1610" w:type="pct"/>
            <w:vAlign w:val="bottom"/>
          </w:tcPr>
          <w:p w14:paraId="6FE73690" w14:textId="77777777" w:rsidR="00E57DAA" w:rsidRDefault="00AC4185">
            <w:pPr>
              <w:jc w:val="right"/>
              <w:rPr>
                <w:szCs w:val="21"/>
              </w:rPr>
            </w:pPr>
            <w:r>
              <w:t>348,590,455.12</w:t>
            </w:r>
          </w:p>
        </w:tc>
        <w:tc>
          <w:tcPr>
            <w:tcW w:w="1508" w:type="pct"/>
          </w:tcPr>
          <w:p w14:paraId="142532AB" w14:textId="77777777" w:rsidR="00E57DAA" w:rsidRDefault="00AC4185">
            <w:pPr>
              <w:jc w:val="right"/>
              <w:rPr>
                <w:szCs w:val="21"/>
              </w:rPr>
            </w:pPr>
            <w:r>
              <w:t>5,326,256,571.21</w:t>
            </w:r>
          </w:p>
        </w:tc>
      </w:tr>
      <w:tr w:rsidR="00E57DAA" w14:paraId="460A0664" w14:textId="77777777">
        <w:tc>
          <w:tcPr>
            <w:tcW w:w="1882" w:type="pct"/>
          </w:tcPr>
          <w:p w14:paraId="3E605E2B" w14:textId="77777777" w:rsidR="00E57DAA" w:rsidRDefault="00AC4185">
            <w:pPr>
              <w:autoSpaceDE w:val="0"/>
              <w:autoSpaceDN w:val="0"/>
              <w:adjustRightInd w:val="0"/>
              <w:snapToGrid w:val="0"/>
              <w:rPr>
                <w:szCs w:val="21"/>
              </w:rPr>
            </w:pPr>
            <w:r>
              <w:t>外币套保</w:t>
            </w:r>
          </w:p>
        </w:tc>
        <w:tc>
          <w:tcPr>
            <w:tcW w:w="1610" w:type="pct"/>
            <w:vAlign w:val="center"/>
          </w:tcPr>
          <w:p w14:paraId="1209627A" w14:textId="77777777" w:rsidR="00E57DAA" w:rsidRDefault="00AC4185">
            <w:pPr>
              <w:jc w:val="right"/>
              <w:rPr>
                <w:szCs w:val="21"/>
              </w:rPr>
            </w:pPr>
            <w:r>
              <w:t>35,444,500.00</w:t>
            </w:r>
          </w:p>
        </w:tc>
        <w:tc>
          <w:tcPr>
            <w:tcW w:w="1508" w:type="pct"/>
          </w:tcPr>
          <w:p w14:paraId="0D13A768" w14:textId="77777777" w:rsidR="00E57DAA" w:rsidRDefault="00AC4185">
            <w:pPr>
              <w:jc w:val="right"/>
              <w:rPr>
                <w:szCs w:val="21"/>
              </w:rPr>
            </w:pPr>
            <w:r>
              <w:t>72,477,600.00</w:t>
            </w:r>
          </w:p>
        </w:tc>
      </w:tr>
      <w:tr w:rsidR="00E57DAA" w14:paraId="6D06DE06" w14:textId="77777777">
        <w:tc>
          <w:tcPr>
            <w:tcW w:w="1882" w:type="pct"/>
          </w:tcPr>
          <w:p w14:paraId="09A3FA5B" w14:textId="77777777" w:rsidR="00E57DAA" w:rsidRDefault="00AC4185">
            <w:pPr>
              <w:autoSpaceDE w:val="0"/>
              <w:autoSpaceDN w:val="0"/>
              <w:adjustRightInd w:val="0"/>
              <w:snapToGrid w:val="0"/>
              <w:rPr>
                <w:szCs w:val="21"/>
              </w:rPr>
            </w:pPr>
            <w:r>
              <w:t>其他</w:t>
            </w:r>
          </w:p>
        </w:tc>
        <w:tc>
          <w:tcPr>
            <w:tcW w:w="1610" w:type="pct"/>
            <w:vAlign w:val="center"/>
          </w:tcPr>
          <w:p w14:paraId="72C8283B" w14:textId="77777777" w:rsidR="00E57DAA" w:rsidRDefault="00AC4185">
            <w:pPr>
              <w:jc w:val="right"/>
              <w:rPr>
                <w:szCs w:val="21"/>
              </w:rPr>
            </w:pPr>
            <w:r>
              <w:t>1,147,125.42</w:t>
            </w:r>
          </w:p>
        </w:tc>
        <w:tc>
          <w:tcPr>
            <w:tcW w:w="1508" w:type="pct"/>
          </w:tcPr>
          <w:p w14:paraId="03BC61F6" w14:textId="77777777" w:rsidR="00E57DAA" w:rsidRDefault="00AC4185">
            <w:pPr>
              <w:jc w:val="right"/>
              <w:rPr>
                <w:szCs w:val="21"/>
              </w:rPr>
            </w:pPr>
            <w:r>
              <w:t> </w:t>
            </w:r>
          </w:p>
        </w:tc>
      </w:tr>
      <w:tr w:rsidR="00E57DAA" w14:paraId="3AF6CF87" w14:textId="77777777">
        <w:tc>
          <w:tcPr>
            <w:tcW w:w="1882" w:type="pct"/>
          </w:tcPr>
          <w:p w14:paraId="3B808D35" w14:textId="77777777" w:rsidR="00E57DAA" w:rsidRDefault="00AC4185">
            <w:pPr>
              <w:autoSpaceDE w:val="0"/>
              <w:autoSpaceDN w:val="0"/>
              <w:adjustRightInd w:val="0"/>
              <w:snapToGrid w:val="0"/>
              <w:jc w:val="center"/>
              <w:rPr>
                <w:szCs w:val="21"/>
              </w:rPr>
            </w:pPr>
            <w:r>
              <w:rPr>
                <w:rFonts w:hint="eastAsia"/>
                <w:szCs w:val="21"/>
              </w:rPr>
              <w:t>合计</w:t>
            </w:r>
          </w:p>
        </w:tc>
        <w:tc>
          <w:tcPr>
            <w:tcW w:w="1610" w:type="pct"/>
            <w:vAlign w:val="center"/>
          </w:tcPr>
          <w:p w14:paraId="4DB5FC00" w14:textId="77777777" w:rsidR="00E57DAA" w:rsidRDefault="00AC4185">
            <w:pPr>
              <w:jc w:val="right"/>
              <w:rPr>
                <w:szCs w:val="21"/>
              </w:rPr>
            </w:pPr>
            <w:r>
              <w:t>385,182,080.54</w:t>
            </w:r>
          </w:p>
        </w:tc>
        <w:tc>
          <w:tcPr>
            <w:tcW w:w="1508" w:type="pct"/>
            <w:vAlign w:val="center"/>
          </w:tcPr>
          <w:p w14:paraId="59916C5B" w14:textId="77777777" w:rsidR="00E57DAA" w:rsidRDefault="00AC4185">
            <w:pPr>
              <w:jc w:val="right"/>
              <w:rPr>
                <w:szCs w:val="21"/>
              </w:rPr>
            </w:pPr>
            <w:r>
              <w:t>5,398,734,171.21</w:t>
            </w:r>
          </w:p>
        </w:tc>
      </w:tr>
      <w:bookmarkEnd w:id="306"/>
    </w:tbl>
    <w:p w14:paraId="29843A2C" w14:textId="77777777" w:rsidR="00E57DAA" w:rsidRDefault="00E57DAA" w:rsidP="00C25422">
      <w:pPr>
        <w:pStyle w:val="92"/>
      </w:pPr>
    </w:p>
    <w:p w14:paraId="50B87270" w14:textId="77777777" w:rsidR="00E57DAA" w:rsidRDefault="00AC4185">
      <w:pPr>
        <w:pStyle w:val="4"/>
        <w:numPr>
          <w:ilvl w:val="0"/>
          <w:numId w:val="105"/>
        </w:numPr>
        <w:ind w:left="426" w:hanging="426"/>
      </w:pPr>
      <w:r>
        <w:rPr>
          <w:rFonts w:hint="eastAsia"/>
        </w:rPr>
        <w:t>与筹资活动有关的现金</w:t>
      </w:r>
    </w:p>
    <w:p w14:paraId="4F0B2554" w14:textId="77777777" w:rsidR="00E57DAA" w:rsidRDefault="00AC4185" w:rsidP="00C25422">
      <w:pPr>
        <w:pStyle w:val="92"/>
      </w:pPr>
      <w:r>
        <w:rPr>
          <w:rFonts w:hint="eastAsia"/>
        </w:rPr>
        <w:t>收到的其他与筹资活动有关的现金</w:t>
      </w:r>
    </w:p>
    <w:sdt>
      <w:sdtPr>
        <w:alias w:val="是否适用：收到的其他与筹资活动有关的现金[双击切换]"/>
        <w:tag w:val="_GBC_031910cf781944cf80900ffa99f7a9d7"/>
        <w:id w:val="-331691118"/>
        <w:placeholder>
          <w:docPart w:val="GBC22222222222222222222222222222"/>
        </w:placeholder>
      </w:sdtPr>
      <w:sdtEndPr/>
      <w:sdtContent>
        <w:p w14:paraId="79A3DDE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84F7AF" w14:textId="77777777" w:rsidR="00E57DAA" w:rsidRDefault="00E57DAA" w:rsidP="00C25422">
      <w:pPr>
        <w:pStyle w:val="92"/>
      </w:pPr>
    </w:p>
    <w:p w14:paraId="6E1EA55A" w14:textId="77777777" w:rsidR="00E57DAA" w:rsidRDefault="00E57DAA" w:rsidP="00C25422">
      <w:pPr>
        <w:pStyle w:val="92"/>
      </w:pPr>
    </w:p>
    <w:p w14:paraId="28BA510D" w14:textId="77777777" w:rsidR="00E57DAA" w:rsidRDefault="00AC4185" w:rsidP="00C25422">
      <w:pPr>
        <w:pStyle w:val="92"/>
      </w:pPr>
      <w:r>
        <w:rPr>
          <w:rFonts w:hint="eastAsia"/>
        </w:rPr>
        <w:t>支付的其他与筹资活动有关的现金</w:t>
      </w:r>
    </w:p>
    <w:sdt>
      <w:sdtPr>
        <w:alias w:val="是否适用：支付的其他与筹资活动有关的现金[双击切换]"/>
        <w:tag w:val="_GBC_fcc0d0c43a2d4fa88ca685f3e36f2f40"/>
        <w:id w:val="421691135"/>
        <w:placeholder>
          <w:docPart w:val="GBC22222222222222222222222222222"/>
        </w:placeholder>
      </w:sdtPr>
      <w:sdtEndPr/>
      <w:sdtContent>
        <w:p w14:paraId="0EC4342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12244C" w14:textId="77777777" w:rsidR="00E57DAA" w:rsidRDefault="00AC4185">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6022126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9688240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41"/>
        <w:gridCol w:w="2661"/>
      </w:tblGrid>
      <w:tr w:rsidR="00E57DAA" w14:paraId="76682E0D" w14:textId="77777777">
        <w:sdt>
          <w:sdtPr>
            <w:tag w:val="_PLD_e2db8e0335cc47fe9b6461eeb2befa7e"/>
            <w:id w:val="-1361965666"/>
          </w:sdtPr>
          <w:sdtEndPr/>
          <w:sdtContent>
            <w:tc>
              <w:tcPr>
                <w:tcW w:w="1882" w:type="pct"/>
              </w:tcPr>
              <w:p w14:paraId="0B0746D0" w14:textId="77777777" w:rsidR="00E57DAA" w:rsidRDefault="00AC4185">
                <w:pPr>
                  <w:autoSpaceDE w:val="0"/>
                  <w:autoSpaceDN w:val="0"/>
                  <w:adjustRightInd w:val="0"/>
                  <w:snapToGrid w:val="0"/>
                  <w:jc w:val="center"/>
                </w:pPr>
                <w:r>
                  <w:rPr>
                    <w:rFonts w:hint="eastAsia"/>
                  </w:rPr>
                  <w:t>项目</w:t>
                </w:r>
              </w:p>
            </w:tc>
          </w:sdtContent>
        </w:sdt>
        <w:sdt>
          <w:sdtPr>
            <w:tag w:val="_PLD_bb4a54a8a5be4a6691e4d59483217c64"/>
            <w:id w:val="-1391808907"/>
          </w:sdtPr>
          <w:sdtEndPr/>
          <w:sdtContent>
            <w:tc>
              <w:tcPr>
                <w:tcW w:w="1610" w:type="pct"/>
              </w:tcPr>
              <w:p w14:paraId="31344CD1" w14:textId="77777777" w:rsidR="00E57DAA" w:rsidRDefault="00AC4185">
                <w:pPr>
                  <w:autoSpaceDE w:val="0"/>
                  <w:autoSpaceDN w:val="0"/>
                  <w:adjustRightInd w:val="0"/>
                  <w:snapToGrid w:val="0"/>
                  <w:jc w:val="center"/>
                </w:pPr>
                <w:r>
                  <w:rPr>
                    <w:rFonts w:hint="eastAsia"/>
                  </w:rPr>
                  <w:t>本期发生额</w:t>
                </w:r>
              </w:p>
            </w:tc>
          </w:sdtContent>
        </w:sdt>
        <w:sdt>
          <w:sdtPr>
            <w:tag w:val="_PLD_a4930447bc4d450faf79f923eef8597b"/>
            <w:id w:val="249243326"/>
          </w:sdtPr>
          <w:sdtEndPr/>
          <w:sdtContent>
            <w:tc>
              <w:tcPr>
                <w:tcW w:w="1508" w:type="pct"/>
              </w:tcPr>
              <w:p w14:paraId="3E73AAB1" w14:textId="77777777" w:rsidR="00E57DAA" w:rsidRDefault="00AC4185">
                <w:pPr>
                  <w:autoSpaceDE w:val="0"/>
                  <w:autoSpaceDN w:val="0"/>
                  <w:adjustRightInd w:val="0"/>
                  <w:snapToGrid w:val="0"/>
                  <w:jc w:val="center"/>
                </w:pPr>
                <w:r>
                  <w:rPr>
                    <w:rFonts w:hint="eastAsia"/>
                  </w:rPr>
                  <w:t>上期发生额</w:t>
                </w:r>
              </w:p>
            </w:tc>
          </w:sdtContent>
        </w:sdt>
      </w:tr>
      <w:tr w:rsidR="00E57DAA" w14:paraId="73C0D7A6" w14:textId="77777777">
        <w:tc>
          <w:tcPr>
            <w:tcW w:w="1882" w:type="pct"/>
          </w:tcPr>
          <w:p w14:paraId="15BB9C31" w14:textId="77777777" w:rsidR="00E57DAA" w:rsidRDefault="00AC4185">
            <w:pPr>
              <w:autoSpaceDE w:val="0"/>
              <w:autoSpaceDN w:val="0"/>
              <w:adjustRightInd w:val="0"/>
              <w:snapToGrid w:val="0"/>
            </w:pPr>
            <w:r>
              <w:t>购买股权支付对价</w:t>
            </w:r>
          </w:p>
        </w:tc>
        <w:tc>
          <w:tcPr>
            <w:tcW w:w="1610" w:type="pct"/>
            <w:vAlign w:val="bottom"/>
          </w:tcPr>
          <w:p w14:paraId="5963B3D4" w14:textId="77777777" w:rsidR="00E57DAA" w:rsidRDefault="00AC4185">
            <w:pPr>
              <w:jc w:val="right"/>
            </w:pPr>
            <w:r>
              <w:t>718,384,926.33</w:t>
            </w:r>
          </w:p>
        </w:tc>
        <w:tc>
          <w:tcPr>
            <w:tcW w:w="1508" w:type="pct"/>
          </w:tcPr>
          <w:p w14:paraId="60F6B66A" w14:textId="77777777" w:rsidR="00E57DAA" w:rsidRDefault="00AC4185">
            <w:pPr>
              <w:jc w:val="right"/>
            </w:pPr>
            <w:r>
              <w:t>203,385,197.43</w:t>
            </w:r>
          </w:p>
        </w:tc>
      </w:tr>
      <w:tr w:rsidR="00E57DAA" w14:paraId="762EEADA" w14:textId="77777777">
        <w:tc>
          <w:tcPr>
            <w:tcW w:w="1882" w:type="pct"/>
          </w:tcPr>
          <w:p w14:paraId="481DDEA9" w14:textId="77777777" w:rsidR="00E57DAA" w:rsidRDefault="00AC4185">
            <w:pPr>
              <w:autoSpaceDE w:val="0"/>
              <w:autoSpaceDN w:val="0"/>
              <w:adjustRightInd w:val="0"/>
              <w:snapToGrid w:val="0"/>
            </w:pPr>
            <w:r>
              <w:t>经营租赁费及手续费</w:t>
            </w:r>
          </w:p>
        </w:tc>
        <w:tc>
          <w:tcPr>
            <w:tcW w:w="1610" w:type="pct"/>
            <w:vAlign w:val="bottom"/>
          </w:tcPr>
          <w:p w14:paraId="3CF3CDD7" w14:textId="77777777" w:rsidR="00E57DAA" w:rsidRDefault="00AC4185">
            <w:pPr>
              <w:jc w:val="right"/>
            </w:pPr>
            <w:r>
              <w:t>26,453,543.35</w:t>
            </w:r>
          </w:p>
        </w:tc>
        <w:tc>
          <w:tcPr>
            <w:tcW w:w="1508" w:type="pct"/>
          </w:tcPr>
          <w:p w14:paraId="702C7FC7" w14:textId="77777777" w:rsidR="00E57DAA" w:rsidRDefault="00AC4185">
            <w:pPr>
              <w:jc w:val="right"/>
            </w:pPr>
            <w:r>
              <w:t>9,235,330.57</w:t>
            </w:r>
          </w:p>
        </w:tc>
      </w:tr>
      <w:tr w:rsidR="00E57DAA" w14:paraId="1D2C238B" w14:textId="77777777">
        <w:tc>
          <w:tcPr>
            <w:tcW w:w="1882" w:type="pct"/>
          </w:tcPr>
          <w:p w14:paraId="00F4AD40" w14:textId="77777777" w:rsidR="00E57DAA" w:rsidRDefault="00AC4185">
            <w:pPr>
              <w:autoSpaceDE w:val="0"/>
              <w:autoSpaceDN w:val="0"/>
              <w:adjustRightInd w:val="0"/>
              <w:snapToGrid w:val="0"/>
            </w:pPr>
            <w:r>
              <w:t>其他</w:t>
            </w:r>
          </w:p>
        </w:tc>
        <w:tc>
          <w:tcPr>
            <w:tcW w:w="1610" w:type="pct"/>
            <w:vAlign w:val="bottom"/>
          </w:tcPr>
          <w:p w14:paraId="45A7340F" w14:textId="77777777" w:rsidR="00E57DAA" w:rsidRDefault="00AC4185">
            <w:pPr>
              <w:jc w:val="right"/>
            </w:pPr>
            <w:r>
              <w:t>5,364,383.95</w:t>
            </w:r>
          </w:p>
        </w:tc>
        <w:tc>
          <w:tcPr>
            <w:tcW w:w="1508" w:type="pct"/>
          </w:tcPr>
          <w:p w14:paraId="3A850C0D" w14:textId="77777777" w:rsidR="00E57DAA" w:rsidRDefault="00AC4185">
            <w:pPr>
              <w:jc w:val="right"/>
            </w:pPr>
            <w:r>
              <w:t>841,682.06</w:t>
            </w:r>
          </w:p>
        </w:tc>
      </w:tr>
      <w:tr w:rsidR="00E57DAA" w14:paraId="539AFE89" w14:textId="77777777">
        <w:tc>
          <w:tcPr>
            <w:tcW w:w="1882" w:type="pct"/>
          </w:tcPr>
          <w:p w14:paraId="415C56A6" w14:textId="77777777" w:rsidR="00E57DAA" w:rsidRDefault="00AC4185">
            <w:pPr>
              <w:autoSpaceDE w:val="0"/>
              <w:autoSpaceDN w:val="0"/>
              <w:adjustRightInd w:val="0"/>
              <w:snapToGrid w:val="0"/>
              <w:jc w:val="center"/>
            </w:pPr>
            <w:r>
              <w:rPr>
                <w:rFonts w:hint="eastAsia"/>
              </w:rPr>
              <w:t>合计</w:t>
            </w:r>
          </w:p>
        </w:tc>
        <w:tc>
          <w:tcPr>
            <w:tcW w:w="1610" w:type="pct"/>
            <w:vAlign w:val="center"/>
          </w:tcPr>
          <w:p w14:paraId="0E74FF44" w14:textId="77777777" w:rsidR="00E57DAA" w:rsidRDefault="00AC4185">
            <w:pPr>
              <w:jc w:val="right"/>
            </w:pPr>
            <w:r>
              <w:t>750,202,853.63</w:t>
            </w:r>
          </w:p>
        </w:tc>
        <w:tc>
          <w:tcPr>
            <w:tcW w:w="1508" w:type="pct"/>
            <w:vAlign w:val="center"/>
          </w:tcPr>
          <w:p w14:paraId="397188D4" w14:textId="77777777" w:rsidR="00E57DAA" w:rsidRDefault="00AC4185">
            <w:pPr>
              <w:jc w:val="right"/>
            </w:pPr>
            <w:r>
              <w:t>213,462,210.06</w:t>
            </w:r>
          </w:p>
        </w:tc>
      </w:tr>
    </w:tbl>
    <w:p w14:paraId="7C23BF95" w14:textId="77777777" w:rsidR="00E57DAA" w:rsidRDefault="00E57DAA" w:rsidP="00C25422">
      <w:pPr>
        <w:pStyle w:val="92"/>
      </w:pPr>
    </w:p>
    <w:p w14:paraId="0279B3F7" w14:textId="77777777" w:rsidR="00E57DAA" w:rsidRDefault="00AC4185">
      <w:pPr>
        <w:ind w:right="5"/>
      </w:pPr>
      <w:r>
        <w:rPr>
          <w:rFonts w:hint="eastAsia"/>
        </w:rPr>
        <w:t>筹资活动产生的各项负债变动情况</w:t>
      </w:r>
    </w:p>
    <w:sdt>
      <w:sdtPr>
        <w:alias w:val="是否适用：筹资活动产生的各项负债变动情况[双击切换]"/>
        <w:tag w:val="_GBC_6935418490e145edaf7010b5534b8d6c"/>
        <w:id w:val="-1952081277"/>
        <w:placeholder>
          <w:docPart w:val="GBC22222222222222222222222222222"/>
        </w:placeholder>
      </w:sdtPr>
      <w:sdtEndPr/>
      <w:sdtContent>
        <w:p w14:paraId="11F9AF8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CF6247" w14:textId="77777777" w:rsidR="00E57DAA" w:rsidRDefault="00E57DAA" w:rsidP="00C25422">
      <w:pPr>
        <w:pStyle w:val="92"/>
      </w:pPr>
    </w:p>
    <w:p w14:paraId="58FA09EB" w14:textId="77777777" w:rsidR="00E57DAA" w:rsidRDefault="00AC4185">
      <w:pPr>
        <w:pStyle w:val="4"/>
        <w:numPr>
          <w:ilvl w:val="0"/>
          <w:numId w:val="105"/>
        </w:numPr>
        <w:ind w:left="426" w:hanging="426"/>
      </w:pPr>
      <w:r>
        <w:rPr>
          <w:rFonts w:hint="eastAsia"/>
        </w:rPr>
        <w:t>以净额列报现金流量的说明</w:t>
      </w:r>
    </w:p>
    <w:sdt>
      <w:sdtPr>
        <w:alias w:val="是否适用：以净额列报现金流量的说明[双击切换]"/>
        <w:tag w:val="_GBC_3444590230dd455c82f347bceb8bbf05"/>
        <w:id w:val="51207508"/>
        <w:placeholder>
          <w:docPart w:val="GBC22222222222222222222222222222"/>
        </w:placeholder>
      </w:sdtPr>
      <w:sdtEndPr/>
      <w:sdtContent>
        <w:p w14:paraId="0B5B6B3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2C0314" w14:textId="77777777" w:rsidR="00E57DAA" w:rsidRDefault="00E57DAA" w:rsidP="00C25422">
      <w:pPr>
        <w:pStyle w:val="92"/>
      </w:pPr>
    </w:p>
    <w:p w14:paraId="2C7EECA9" w14:textId="77777777" w:rsidR="00E57DAA" w:rsidRDefault="00AC4185">
      <w:pPr>
        <w:pStyle w:val="4"/>
        <w:numPr>
          <w:ilvl w:val="0"/>
          <w:numId w:val="105"/>
        </w:numPr>
        <w:ind w:left="426" w:hanging="426"/>
      </w:pPr>
      <w:r>
        <w:rPr>
          <w:rFonts w:hint="eastAsia"/>
        </w:rPr>
        <w:t>不涉及当期现金收支、但影响企业财务状况或在未来可能影响企业现金流量的重大活动及财务影响</w:t>
      </w:r>
    </w:p>
    <w:sdt>
      <w:sdtPr>
        <w:alias w:val="是否适用：不涉及当期现金收支、但影响企业财务状况或在未来可能影响企业现金流量的重大活动及财务影响[双击切换]"/>
        <w:tag w:val="_GBC_e3d6d1f344c64af2ad0a827f24c95739"/>
        <w:id w:val="-1377389485"/>
        <w:placeholder>
          <w:docPart w:val="GBC22222222222222222222222222222"/>
        </w:placeholder>
      </w:sdtPr>
      <w:sdtEndPr/>
      <w:sdtContent>
        <w:p w14:paraId="1C49D36F" w14:textId="77777777" w:rsidR="00E57DAA" w:rsidRDefault="00AC4185">
          <w:pPr>
            <w:rPr>
              <w:color w:val="00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40FA1A" w14:textId="77777777" w:rsidR="00E57DAA" w:rsidRDefault="00E57DAA">
      <w:pPr>
        <w:ind w:right="5"/>
        <w:rPr>
          <w:rFonts w:ascii="Calibri" w:hAnsi="Calibri" w:cs="Times New Roman"/>
          <w:kern w:val="2"/>
          <w:szCs w:val="22"/>
        </w:rPr>
      </w:pPr>
    </w:p>
    <w:p w14:paraId="72C79ACC" w14:textId="77777777" w:rsidR="00E57DAA" w:rsidRDefault="00AC4185" w:rsidP="00C25422">
      <w:pPr>
        <w:pStyle w:val="91"/>
        <w:numPr>
          <w:ilvl w:val="0"/>
          <w:numId w:val="69"/>
        </w:numPr>
      </w:pPr>
      <w:r>
        <w:rPr>
          <w:rFonts w:hint="eastAsia"/>
        </w:rPr>
        <w:t>现金流量表</w:t>
      </w:r>
      <w:r>
        <w:rPr>
          <w:rFonts w:ascii="宋体" w:hAnsi="宋体" w:hint="eastAsia"/>
          <w:szCs w:val="21"/>
        </w:rPr>
        <w:t>补充</w:t>
      </w:r>
      <w:r>
        <w:rPr>
          <w:rFonts w:hint="eastAsia"/>
        </w:rPr>
        <w:t>资料</w:t>
      </w:r>
    </w:p>
    <w:p w14:paraId="6E8A7EC4" w14:textId="77777777" w:rsidR="00E57DAA" w:rsidRDefault="00AC4185">
      <w:pPr>
        <w:pStyle w:val="4"/>
        <w:numPr>
          <w:ilvl w:val="0"/>
          <w:numId w:val="106"/>
        </w:numPr>
        <w:ind w:left="426" w:hanging="426"/>
      </w:pPr>
      <w:r>
        <w:rPr>
          <w:rFonts w:hint="eastAsia"/>
        </w:rPr>
        <w:t>现金流量表补充资料</w:t>
      </w:r>
    </w:p>
    <w:sdt>
      <w:sdtPr>
        <w:rPr>
          <w:rFonts w:hint="eastAsia"/>
        </w:rPr>
        <w:alias w:val="是否适用：现金流量表补充资料[双击切换]"/>
        <w:tag w:val="_GBC_f77ea662869c431fa9c3cd98fccb529c"/>
        <w:id w:val="959766844"/>
        <w:placeholder>
          <w:docPart w:val="GBC22222222222222222222222222222"/>
        </w:placeholder>
      </w:sdtPr>
      <w:sdtEndPr/>
      <w:sdtContent>
        <w:p w14:paraId="522E0C61"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4B9DC3B9" w14:textId="77777777" w:rsidR="00E57DAA" w:rsidRDefault="00AC4185">
      <w:pPr>
        <w:jc w:val="right"/>
      </w:pPr>
      <w:r>
        <w:rPr>
          <w:rFonts w:hint="eastAsia"/>
        </w:rPr>
        <w:t>单位：</w:t>
      </w:r>
      <w:sdt>
        <w:sdtPr>
          <w:rPr>
            <w:rFonts w:hint="eastAsia"/>
          </w:rPr>
          <w:alias w:val="单位：财务附注：现金流量表补充资料"/>
          <w:tag w:val="_GBC_816fc4f2c97b4b12911114202247ee82"/>
          <w:id w:val="9001776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515042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32"/>
        <w:gridCol w:w="2126"/>
        <w:gridCol w:w="2165"/>
      </w:tblGrid>
      <w:tr w:rsidR="00E57DAA" w14:paraId="3B7562C6" w14:textId="77777777">
        <w:sdt>
          <w:sdtPr>
            <w:tag w:val="_PLD_39bfd38318b44efe9fa609ad19a8685a"/>
            <w:id w:val="-666165176"/>
          </w:sdtPr>
          <w:sdtEndPr/>
          <w:sdtContent>
            <w:tc>
              <w:tcPr>
                <w:tcW w:w="2568" w:type="pct"/>
                <w:tcBorders>
                  <w:top w:val="single" w:sz="4" w:space="0" w:color="auto"/>
                  <w:left w:val="single" w:sz="4" w:space="0" w:color="auto"/>
                  <w:bottom w:val="single" w:sz="4" w:space="0" w:color="auto"/>
                  <w:right w:val="single" w:sz="4" w:space="0" w:color="auto"/>
                </w:tcBorders>
                <w:shd w:val="clear" w:color="auto" w:fill="auto"/>
                <w:vAlign w:val="center"/>
              </w:tcPr>
              <w:p w14:paraId="7E6A6BEA" w14:textId="77777777" w:rsidR="00E57DAA" w:rsidRDefault="00AC4185">
                <w:pPr>
                  <w:jc w:val="center"/>
                  <w:rPr>
                    <w:bCs/>
                  </w:rPr>
                </w:pPr>
                <w:r>
                  <w:rPr>
                    <w:rFonts w:hint="eastAsia"/>
                    <w:bCs/>
                  </w:rPr>
                  <w:t>补充资料</w:t>
                </w:r>
              </w:p>
            </w:tc>
          </w:sdtContent>
        </w:sdt>
        <w:sdt>
          <w:sdtPr>
            <w:tag w:val="_PLD_8ef3863737f6403496cc160c411b0b03"/>
            <w:id w:val="-915708173"/>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53BAFCCC" w14:textId="77777777" w:rsidR="00E57DAA" w:rsidRDefault="00AC4185">
                <w:pPr>
                  <w:jc w:val="center"/>
                </w:pPr>
                <w:r>
                  <w:rPr>
                    <w:rFonts w:hint="eastAsia"/>
                  </w:rPr>
                  <w:t>本期金额</w:t>
                </w:r>
              </w:p>
            </w:tc>
          </w:sdtContent>
        </w:sdt>
        <w:sdt>
          <w:sdtPr>
            <w:tag w:val="_PLD_73eb01f791e44a84b1edbc96aa42b3f3"/>
            <w:id w:val="-507442818"/>
          </w:sdtPr>
          <w:sdtEndPr/>
          <w:sdtContent>
            <w:tc>
              <w:tcPr>
                <w:tcW w:w="1227" w:type="pct"/>
                <w:tcBorders>
                  <w:top w:val="single" w:sz="4" w:space="0" w:color="auto"/>
                  <w:left w:val="single" w:sz="4" w:space="0" w:color="auto"/>
                  <w:bottom w:val="single" w:sz="4" w:space="0" w:color="auto"/>
                  <w:right w:val="single" w:sz="4" w:space="0" w:color="auto"/>
                </w:tcBorders>
                <w:shd w:val="clear" w:color="auto" w:fill="auto"/>
                <w:vAlign w:val="center"/>
              </w:tcPr>
              <w:p w14:paraId="478103A3" w14:textId="77777777" w:rsidR="00E57DAA" w:rsidRDefault="00AC4185">
                <w:pPr>
                  <w:jc w:val="center"/>
                </w:pPr>
                <w:r>
                  <w:rPr>
                    <w:rFonts w:hint="eastAsia"/>
                  </w:rPr>
                  <w:t>上期金额</w:t>
                </w:r>
              </w:p>
            </w:tc>
          </w:sdtContent>
        </w:sdt>
      </w:tr>
      <w:tr w:rsidR="00E57DAA" w14:paraId="4131CAFA" w14:textId="77777777">
        <w:sdt>
          <w:sdtPr>
            <w:tag w:val="_PLD_c6db035658bd4a67bcf46ade47da315d"/>
            <w:id w:val="-2071875896"/>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215B289D" w14:textId="77777777" w:rsidR="00E57DAA" w:rsidRDefault="00AC4185">
                <w:pPr>
                  <w:jc w:val="both"/>
                  <w:rPr>
                    <w:b/>
                  </w:rPr>
                </w:pPr>
                <w:r>
                  <w:rPr>
                    <w:b/>
                    <w:bCs/>
                  </w:rPr>
                  <w:t>1</w:t>
                </w:r>
                <w:r>
                  <w:rPr>
                    <w:rFonts w:hint="eastAsia"/>
                    <w:b/>
                    <w:bCs/>
                  </w:rPr>
                  <w:t>．将净利润调节为经营活动现金流量：</w:t>
                </w:r>
              </w:p>
            </w:tc>
          </w:sdtContent>
        </w:sdt>
      </w:tr>
      <w:tr w:rsidR="00E57DAA" w14:paraId="2615E158"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E44BEA6" w14:textId="77777777" w:rsidR="00E57DAA" w:rsidRDefault="00AC4185" w:rsidP="00C25422">
            <w:pPr>
              <w:pStyle w:val="92"/>
            </w:pPr>
            <w:r>
              <w:rPr>
                <w:rFonts w:hint="eastAsia"/>
              </w:rPr>
              <w:t>净利润</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1E52BA60" w14:textId="77777777" w:rsidR="00E57DAA" w:rsidRDefault="00AC4185">
            <w:pPr>
              <w:jc w:val="right"/>
            </w:pPr>
            <w:r>
              <w:t>3,186,119,634.28</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6C4C712" w14:textId="77777777" w:rsidR="00E57DAA" w:rsidRDefault="00AC4185">
            <w:pPr>
              <w:jc w:val="right"/>
            </w:pPr>
            <w:r>
              <w:t>2,824,416,441.51</w:t>
            </w:r>
          </w:p>
        </w:tc>
      </w:tr>
      <w:tr w:rsidR="00E57DAA" w14:paraId="28010FF8"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3072C4B6" w14:textId="77777777" w:rsidR="00E57DAA" w:rsidRDefault="00AC4185" w:rsidP="00C25422">
            <w:pPr>
              <w:pStyle w:val="92"/>
            </w:pPr>
            <w:r>
              <w:rPr>
                <w:rFonts w:hint="eastAsia"/>
              </w:rPr>
              <w:t>加：资产减值准备</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3DF1487E" w14:textId="77777777" w:rsidR="00E57DAA" w:rsidRDefault="00AC4185">
            <w:pPr>
              <w:jc w:val="right"/>
            </w:pPr>
            <w:r>
              <w:t>218,018,117.51</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C76E376" w14:textId="77777777" w:rsidR="00E57DAA" w:rsidRDefault="00AC4185">
            <w:pPr>
              <w:jc w:val="right"/>
            </w:pPr>
            <w:r>
              <w:t>111,910,082.33</w:t>
            </w:r>
          </w:p>
        </w:tc>
      </w:tr>
      <w:tr w:rsidR="00E57DAA" w14:paraId="177D738B"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BCE585D" w14:textId="77777777" w:rsidR="00E57DAA" w:rsidRDefault="00AC4185" w:rsidP="00C25422">
            <w:pPr>
              <w:pStyle w:val="92"/>
            </w:pPr>
            <w:r>
              <w:rPr>
                <w:rFonts w:hint="eastAsia"/>
              </w:rPr>
              <w:lastRenderedPageBreak/>
              <w:t>信用减值损失</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4620B543" w14:textId="77777777" w:rsidR="00E57DAA" w:rsidRDefault="00AC4185">
            <w:pPr>
              <w:jc w:val="right"/>
            </w:pPr>
            <w:r>
              <w:t>272,987,394.54</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FD69E22" w14:textId="77777777" w:rsidR="00E57DAA" w:rsidRDefault="00AC4185">
            <w:pPr>
              <w:jc w:val="right"/>
            </w:pPr>
            <w:r>
              <w:t>88,292,504.82</w:t>
            </w:r>
          </w:p>
        </w:tc>
      </w:tr>
      <w:tr w:rsidR="00E57DAA" w14:paraId="66181762"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2C65245" w14:textId="77777777" w:rsidR="00E57DAA" w:rsidRDefault="00AC4185" w:rsidP="00C25422">
            <w:pPr>
              <w:pStyle w:val="92"/>
            </w:pPr>
            <w:r>
              <w:rPr>
                <w:rFonts w:hint="eastAsia"/>
              </w:rPr>
              <w:t>固定资产折旧、油气资产折耗、生产性生物资产折旧</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4D4EF270" w14:textId="77777777" w:rsidR="00E57DAA" w:rsidRDefault="00AC4185">
            <w:pPr>
              <w:jc w:val="right"/>
            </w:pPr>
            <w:r>
              <w:t>375,411,164.97</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8B79691" w14:textId="77777777" w:rsidR="00E57DAA" w:rsidRDefault="00AC4185">
            <w:pPr>
              <w:jc w:val="right"/>
            </w:pPr>
            <w:r>
              <w:t>322,375,649.35</w:t>
            </w:r>
          </w:p>
        </w:tc>
      </w:tr>
      <w:tr w:rsidR="00E57DAA" w14:paraId="4AC53773"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545FB38" w14:textId="77777777" w:rsidR="00E57DAA" w:rsidRDefault="00AC4185" w:rsidP="00C25422">
            <w:pPr>
              <w:pStyle w:val="92"/>
            </w:pPr>
            <w:r>
              <w:rPr>
                <w:rFonts w:hint="eastAsia"/>
              </w:rPr>
              <w:t>使用权资产摊销</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28C36D69" w14:textId="77777777" w:rsidR="00E57DAA" w:rsidRDefault="00AC4185">
            <w:pPr>
              <w:jc w:val="right"/>
            </w:pPr>
            <w:r>
              <w:t>23,056,830.84</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C49155B" w14:textId="77777777" w:rsidR="00E57DAA" w:rsidRDefault="00AC4185">
            <w:pPr>
              <w:jc w:val="right"/>
            </w:pPr>
            <w:r>
              <w:t>20,165,734.81</w:t>
            </w:r>
          </w:p>
        </w:tc>
      </w:tr>
      <w:tr w:rsidR="00E57DAA" w14:paraId="0E48224D"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0AED0621" w14:textId="77777777" w:rsidR="00E57DAA" w:rsidRDefault="00AC4185" w:rsidP="00C25422">
            <w:pPr>
              <w:pStyle w:val="92"/>
            </w:pPr>
            <w:r>
              <w:rPr>
                <w:rFonts w:hint="eastAsia"/>
              </w:rPr>
              <w:t>无形资产摊销</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4210E12D" w14:textId="77777777" w:rsidR="00E57DAA" w:rsidRDefault="00AC4185">
            <w:pPr>
              <w:jc w:val="right"/>
            </w:pPr>
            <w:r>
              <w:t>82,050,061.65</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1C9B563D" w14:textId="77777777" w:rsidR="00E57DAA" w:rsidRDefault="00AC4185">
            <w:pPr>
              <w:jc w:val="right"/>
            </w:pPr>
            <w:r>
              <w:t>71,222,026.37</w:t>
            </w:r>
          </w:p>
        </w:tc>
      </w:tr>
      <w:tr w:rsidR="00E57DAA" w14:paraId="77F0C984"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0058AA09" w14:textId="77777777" w:rsidR="00E57DAA" w:rsidRDefault="00AC4185" w:rsidP="00C25422">
            <w:pPr>
              <w:pStyle w:val="92"/>
            </w:pPr>
            <w:r>
              <w:rPr>
                <w:rFonts w:hint="eastAsia"/>
              </w:rPr>
              <w:t>长期待摊费用摊销</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647FC860" w14:textId="77777777" w:rsidR="00E57DAA" w:rsidRDefault="00AC4185">
            <w:pPr>
              <w:jc w:val="right"/>
            </w:pPr>
            <w:r>
              <w:t>71,997,702.36</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1536F20E" w14:textId="77777777" w:rsidR="00E57DAA" w:rsidRDefault="00AC4185">
            <w:pPr>
              <w:jc w:val="right"/>
            </w:pPr>
            <w:r>
              <w:t>69,662,618.89</w:t>
            </w:r>
          </w:p>
        </w:tc>
      </w:tr>
      <w:tr w:rsidR="00E57DAA" w14:paraId="7A8B6C60"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6B6FC343" w14:textId="77777777" w:rsidR="00E57DAA" w:rsidRDefault="00AC4185" w:rsidP="00C25422">
            <w:pPr>
              <w:pStyle w:val="92"/>
            </w:pPr>
            <w:r>
              <w:rPr>
                <w:rFonts w:hint="eastAsia"/>
              </w:rPr>
              <w:t>处置固定资产、无形资产和其他长期资产的损失（收益以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39A2DA5A" w14:textId="77777777" w:rsidR="00E57DAA" w:rsidRDefault="00AC4185">
            <w:pPr>
              <w:jc w:val="right"/>
            </w:pPr>
            <w:r>
              <w:t>-15,947,475.17</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379F6FA9" w14:textId="77777777" w:rsidR="00E57DAA" w:rsidRDefault="00AC4185">
            <w:pPr>
              <w:jc w:val="right"/>
            </w:pPr>
            <w:r>
              <w:t>-29,781,433.69</w:t>
            </w:r>
          </w:p>
        </w:tc>
      </w:tr>
      <w:tr w:rsidR="00E57DAA" w14:paraId="24179CCB"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51C991BD" w14:textId="77777777" w:rsidR="00E57DAA" w:rsidRDefault="00AC4185" w:rsidP="00C25422">
            <w:pPr>
              <w:pStyle w:val="92"/>
            </w:pPr>
            <w:r>
              <w:rPr>
                <w:rFonts w:hint="eastAsia"/>
              </w:rPr>
              <w:t>固定资产报废损失（收益以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3CE8EB08" w14:textId="77777777" w:rsidR="00E57DAA" w:rsidRDefault="00AC4185">
            <w:pPr>
              <w:jc w:val="right"/>
            </w:pPr>
            <w:r>
              <w:t>3,368,744.75</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4E8D76E9" w14:textId="77777777" w:rsidR="00E57DAA" w:rsidRDefault="00AC4185">
            <w:pPr>
              <w:jc w:val="right"/>
            </w:pPr>
            <w:r>
              <w:t>-5,491,777.06</w:t>
            </w:r>
          </w:p>
        </w:tc>
      </w:tr>
      <w:tr w:rsidR="00E57DAA" w14:paraId="4FBFE9E3"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38E6CA8C" w14:textId="77777777" w:rsidR="00E57DAA" w:rsidRDefault="00AC4185" w:rsidP="00C25422">
            <w:pPr>
              <w:pStyle w:val="92"/>
            </w:pPr>
            <w:r>
              <w:rPr>
                <w:rFonts w:hint="eastAsia"/>
              </w:rPr>
              <w:t>公允价值变动损失（收益以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08F53C8C" w14:textId="77777777" w:rsidR="00E57DAA" w:rsidRDefault="00AC4185">
            <w:pPr>
              <w:jc w:val="right"/>
            </w:pPr>
            <w:r>
              <w:t>-78,387,258.49</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4320789D" w14:textId="77777777" w:rsidR="00E57DAA" w:rsidRDefault="00AC4185">
            <w:pPr>
              <w:jc w:val="right"/>
            </w:pPr>
            <w:r>
              <w:t>19,652,707.15</w:t>
            </w:r>
          </w:p>
        </w:tc>
      </w:tr>
      <w:tr w:rsidR="00E57DAA" w14:paraId="57885BC6"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107C94EA" w14:textId="77777777" w:rsidR="00E57DAA" w:rsidRDefault="00AC4185" w:rsidP="00C25422">
            <w:pPr>
              <w:pStyle w:val="92"/>
            </w:pPr>
            <w:r>
              <w:rPr>
                <w:rFonts w:hint="eastAsia"/>
              </w:rPr>
              <w:t>财务费用（收益以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16699A9E" w14:textId="77777777" w:rsidR="00E57DAA" w:rsidRDefault="00AC4185">
            <w:pPr>
              <w:jc w:val="right"/>
            </w:pPr>
            <w:r>
              <w:t>255,425,599.44</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C5D6F6B" w14:textId="77777777" w:rsidR="00E57DAA" w:rsidRDefault="00AC4185">
            <w:pPr>
              <w:jc w:val="right"/>
            </w:pPr>
            <w:r>
              <w:t>325,086,929.88</w:t>
            </w:r>
          </w:p>
        </w:tc>
      </w:tr>
      <w:tr w:rsidR="00E57DAA" w14:paraId="305C11F0"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535972B" w14:textId="77777777" w:rsidR="00E57DAA" w:rsidRDefault="00AC4185" w:rsidP="00C25422">
            <w:pPr>
              <w:pStyle w:val="92"/>
            </w:pPr>
            <w:r>
              <w:rPr>
                <w:rFonts w:hint="eastAsia"/>
              </w:rPr>
              <w:t>投资损失（收益以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13F5171A" w14:textId="77777777" w:rsidR="00E57DAA" w:rsidRDefault="00AC4185">
            <w:pPr>
              <w:jc w:val="right"/>
            </w:pPr>
            <w:r>
              <w:t>32,569,702.51</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3C84090D" w14:textId="77777777" w:rsidR="00E57DAA" w:rsidRDefault="00AC4185">
            <w:pPr>
              <w:jc w:val="right"/>
            </w:pPr>
            <w:r>
              <w:t>-14,642,319.22</w:t>
            </w:r>
          </w:p>
        </w:tc>
      </w:tr>
      <w:tr w:rsidR="00E57DAA" w14:paraId="41B3CA1B"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5728F256" w14:textId="77777777" w:rsidR="00E57DAA" w:rsidRDefault="00AC4185" w:rsidP="00C25422">
            <w:pPr>
              <w:pStyle w:val="92"/>
            </w:pPr>
            <w:r>
              <w:rPr>
                <w:rFonts w:hint="eastAsia"/>
              </w:rPr>
              <w:t>递延所得税资产减少（增加以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58E5B863" w14:textId="77777777" w:rsidR="00E57DAA" w:rsidRDefault="00AC4185">
            <w:pPr>
              <w:jc w:val="right"/>
            </w:pPr>
            <w:r>
              <w:t>-36,092,067.26</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7FDFA46C" w14:textId="77777777" w:rsidR="00E57DAA" w:rsidRDefault="00AC4185">
            <w:pPr>
              <w:jc w:val="right"/>
            </w:pPr>
            <w:r>
              <w:t>7,252,935.02</w:t>
            </w:r>
          </w:p>
        </w:tc>
      </w:tr>
      <w:tr w:rsidR="00E57DAA" w14:paraId="0BA3CD0E"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95D45DA" w14:textId="77777777" w:rsidR="00E57DAA" w:rsidRDefault="00AC4185" w:rsidP="00C25422">
            <w:pPr>
              <w:pStyle w:val="92"/>
            </w:pPr>
            <w:r>
              <w:rPr>
                <w:rFonts w:hint="eastAsia"/>
              </w:rPr>
              <w:t>递延所得税负债增加（减少以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7A4D8014" w14:textId="77777777" w:rsidR="00E57DAA" w:rsidRDefault="00AC4185">
            <w:pPr>
              <w:jc w:val="right"/>
            </w:pPr>
            <w:r>
              <w:t>-5,584,206.54</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0A376ED6" w14:textId="77777777" w:rsidR="00E57DAA" w:rsidRDefault="00AC4185">
            <w:pPr>
              <w:jc w:val="right"/>
            </w:pPr>
            <w:r>
              <w:t>-11,929,626.88</w:t>
            </w:r>
          </w:p>
        </w:tc>
      </w:tr>
      <w:tr w:rsidR="00E57DAA" w14:paraId="6DDBE93C"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5FE463D" w14:textId="77777777" w:rsidR="00E57DAA" w:rsidRDefault="00AC4185" w:rsidP="00C25422">
            <w:pPr>
              <w:pStyle w:val="92"/>
            </w:pPr>
            <w:r>
              <w:rPr>
                <w:rFonts w:hint="eastAsia"/>
              </w:rPr>
              <w:t>存货的减少（增加以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26D955D3" w14:textId="77777777" w:rsidR="00E57DAA" w:rsidRDefault="00AC4185">
            <w:pPr>
              <w:jc w:val="right"/>
            </w:pPr>
            <w:r>
              <w:t>191,447,051.36</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7ABE33F3" w14:textId="77777777" w:rsidR="00E57DAA" w:rsidRDefault="00AC4185">
            <w:pPr>
              <w:jc w:val="right"/>
            </w:pPr>
            <w:r>
              <w:t>309,344,907.27</w:t>
            </w:r>
          </w:p>
        </w:tc>
      </w:tr>
      <w:tr w:rsidR="00E57DAA" w14:paraId="5C63209E"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88F9BA8" w14:textId="77777777" w:rsidR="00E57DAA" w:rsidRDefault="00AC4185" w:rsidP="00C25422">
            <w:pPr>
              <w:pStyle w:val="92"/>
            </w:pPr>
            <w:r>
              <w:rPr>
                <w:rFonts w:hint="eastAsia"/>
              </w:rPr>
              <w:t>经营性应收项目的减少（增加以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2853556C" w14:textId="77777777" w:rsidR="00E57DAA" w:rsidRDefault="00AC4185">
            <w:pPr>
              <w:jc w:val="right"/>
            </w:pPr>
            <w:r>
              <w:t>-3,217,219,594.26</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2000DE76" w14:textId="77777777" w:rsidR="00E57DAA" w:rsidRDefault="00AC4185">
            <w:pPr>
              <w:jc w:val="right"/>
              <w:rPr>
                <w:b/>
              </w:rPr>
            </w:pPr>
            <w:r>
              <w:t>-1,649,065,981.86</w:t>
            </w:r>
          </w:p>
        </w:tc>
      </w:tr>
      <w:tr w:rsidR="00E57DAA" w14:paraId="401A1A19"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61E73FBD" w14:textId="77777777" w:rsidR="00E57DAA" w:rsidRDefault="00AC4185" w:rsidP="00C25422">
            <w:pPr>
              <w:pStyle w:val="92"/>
            </w:pPr>
            <w:r>
              <w:rPr>
                <w:rFonts w:hint="eastAsia"/>
              </w:rPr>
              <w:t>经营性应付项目的增加（减少以</w:t>
            </w:r>
            <w:r>
              <w:t>“</w:t>
            </w:r>
            <w:r>
              <w:rPr>
                <w:rFonts w:hint="eastAsia"/>
              </w:rPr>
              <w:t>－</w:t>
            </w:r>
            <w:r>
              <w:t>”</w:t>
            </w:r>
            <w:r>
              <w:rPr>
                <w:rFonts w:hint="eastAsia"/>
              </w:rPr>
              <w:t>号填列）</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7F85168A" w14:textId="77777777" w:rsidR="00E57DAA" w:rsidRDefault="00AC4185">
            <w:pPr>
              <w:jc w:val="right"/>
            </w:pPr>
            <w:r>
              <w:t>2,064,843,441.47</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2FBEA704" w14:textId="77777777" w:rsidR="00E57DAA" w:rsidRDefault="00AC4185">
            <w:pPr>
              <w:jc w:val="right"/>
              <w:rPr>
                <w:b/>
              </w:rPr>
            </w:pPr>
            <w:r>
              <w:t>-1,610,094,619.71</w:t>
            </w:r>
          </w:p>
        </w:tc>
      </w:tr>
      <w:tr w:rsidR="00E57DAA" w14:paraId="7B881A43"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467FC29" w14:textId="77777777" w:rsidR="00E57DAA" w:rsidRDefault="00AC4185" w:rsidP="00C25422">
            <w:pPr>
              <w:pStyle w:val="92"/>
            </w:pPr>
            <w:r>
              <w:rPr>
                <w:rFonts w:hint="eastAsia"/>
              </w:rPr>
              <w:t>其他</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64418AE2" w14:textId="77777777" w:rsidR="00E57DAA" w:rsidRDefault="00AC4185">
            <w:pPr>
              <w:jc w:val="right"/>
            </w:pPr>
            <w:r>
              <w:t>111,793,297.82</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4179DFB6" w14:textId="77777777" w:rsidR="00E57DAA" w:rsidRDefault="00AC4185">
            <w:pPr>
              <w:jc w:val="right"/>
            </w:pPr>
            <w:r>
              <w:t>291,905,809.87</w:t>
            </w:r>
          </w:p>
        </w:tc>
      </w:tr>
      <w:tr w:rsidR="00E57DAA" w14:paraId="6D54A8B1"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F6471AE" w14:textId="77777777" w:rsidR="00E57DAA" w:rsidRDefault="00AC4185" w:rsidP="00C25422">
            <w:pPr>
              <w:pStyle w:val="92"/>
            </w:pPr>
            <w:r>
              <w:rPr>
                <w:rFonts w:hint="eastAsia"/>
              </w:rPr>
              <w:t>经营活动产生的现金流量净额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3B69E512" w14:textId="77777777" w:rsidR="00E57DAA" w:rsidRDefault="00AC4185">
            <w:pPr>
              <w:jc w:val="right"/>
            </w:pPr>
            <w:r>
              <w:t>3,535,858,141.78</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885BA9B" w14:textId="77777777" w:rsidR="00E57DAA" w:rsidRDefault="00AC4185">
            <w:pPr>
              <w:jc w:val="right"/>
            </w:pPr>
            <w:r>
              <w:t>1,140,282,588.85</w:t>
            </w:r>
          </w:p>
        </w:tc>
      </w:tr>
      <w:tr w:rsidR="00E57DAA" w14:paraId="05A91EFF" w14:textId="77777777">
        <w:sdt>
          <w:sdtPr>
            <w:tag w:val="_PLD_4b9bf22c7a64477db916821f6ee032d7"/>
            <w:id w:val="-2056301696"/>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63D88D14" w14:textId="77777777" w:rsidR="00E57DAA" w:rsidRDefault="00AC4185" w:rsidP="00C25422">
                <w:pPr>
                  <w:pStyle w:val="92"/>
                </w:pPr>
                <w:r>
                  <w:t>2</w:t>
                </w:r>
                <w:r>
                  <w:rPr>
                    <w:rFonts w:hint="eastAsia"/>
                  </w:rPr>
                  <w:t>．不涉及现金收支的重大投资和筹资活动：</w:t>
                </w:r>
              </w:p>
            </w:tc>
          </w:sdtContent>
        </w:sdt>
      </w:tr>
      <w:tr w:rsidR="00E57DAA" w14:paraId="1295A736"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416D13D" w14:textId="77777777" w:rsidR="00E57DAA" w:rsidRDefault="00AC4185" w:rsidP="00C25422">
            <w:pPr>
              <w:pStyle w:val="92"/>
            </w:pPr>
            <w:r>
              <w:rPr>
                <w:rFonts w:hint="eastAsia"/>
              </w:rPr>
              <w:t>债务转为资本</w:t>
            </w:r>
          </w:p>
        </w:tc>
        <w:tc>
          <w:tcPr>
            <w:tcW w:w="1205" w:type="pct"/>
            <w:tcBorders>
              <w:top w:val="outset" w:sz="4" w:space="0" w:color="auto"/>
              <w:left w:val="single" w:sz="4" w:space="0" w:color="auto"/>
              <w:bottom w:val="outset" w:sz="4" w:space="0" w:color="auto"/>
              <w:right w:val="outset" w:sz="4" w:space="0" w:color="auto"/>
            </w:tcBorders>
            <w:shd w:val="clear" w:color="auto" w:fill="auto"/>
          </w:tcPr>
          <w:p w14:paraId="3A65D845" w14:textId="77777777" w:rsidR="00E57DAA" w:rsidRDefault="00E57DAA">
            <w:pPr>
              <w:jc w:val="right"/>
            </w:pPr>
          </w:p>
        </w:tc>
        <w:tc>
          <w:tcPr>
            <w:tcW w:w="1227" w:type="pct"/>
            <w:tcBorders>
              <w:top w:val="outset" w:sz="4" w:space="0" w:color="auto"/>
              <w:left w:val="outset" w:sz="4" w:space="0" w:color="auto"/>
              <w:bottom w:val="outset" w:sz="4" w:space="0" w:color="auto"/>
              <w:right w:val="outset" w:sz="4" w:space="0" w:color="auto"/>
            </w:tcBorders>
            <w:shd w:val="clear" w:color="auto" w:fill="auto"/>
          </w:tcPr>
          <w:p w14:paraId="70269100" w14:textId="77777777" w:rsidR="00E57DAA" w:rsidRDefault="00E57DAA">
            <w:pPr>
              <w:jc w:val="right"/>
            </w:pPr>
          </w:p>
        </w:tc>
      </w:tr>
      <w:tr w:rsidR="00E57DAA" w14:paraId="16BFA4D6"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123C7FFD" w14:textId="77777777" w:rsidR="00E57DAA" w:rsidRDefault="00AC4185" w:rsidP="00C25422">
            <w:pPr>
              <w:pStyle w:val="92"/>
            </w:pPr>
            <w:r>
              <w:rPr>
                <w:rFonts w:hint="eastAsia"/>
              </w:rPr>
              <w:t>一年内到期的可转换公司债券</w:t>
            </w:r>
          </w:p>
        </w:tc>
        <w:tc>
          <w:tcPr>
            <w:tcW w:w="1205" w:type="pct"/>
            <w:tcBorders>
              <w:top w:val="outset" w:sz="4" w:space="0" w:color="auto"/>
              <w:left w:val="single" w:sz="4" w:space="0" w:color="auto"/>
              <w:bottom w:val="outset" w:sz="4" w:space="0" w:color="auto"/>
              <w:right w:val="outset" w:sz="4" w:space="0" w:color="auto"/>
            </w:tcBorders>
            <w:shd w:val="clear" w:color="auto" w:fill="auto"/>
          </w:tcPr>
          <w:p w14:paraId="3606B752" w14:textId="77777777" w:rsidR="00E57DAA" w:rsidRDefault="00E57DAA">
            <w:pPr>
              <w:jc w:val="right"/>
            </w:pPr>
          </w:p>
        </w:tc>
        <w:tc>
          <w:tcPr>
            <w:tcW w:w="1227" w:type="pct"/>
            <w:tcBorders>
              <w:top w:val="outset" w:sz="4" w:space="0" w:color="auto"/>
              <w:left w:val="outset" w:sz="4" w:space="0" w:color="auto"/>
              <w:bottom w:val="outset" w:sz="4" w:space="0" w:color="auto"/>
              <w:right w:val="outset" w:sz="4" w:space="0" w:color="auto"/>
            </w:tcBorders>
            <w:shd w:val="clear" w:color="auto" w:fill="auto"/>
          </w:tcPr>
          <w:p w14:paraId="3AB39749" w14:textId="77777777" w:rsidR="00E57DAA" w:rsidRDefault="00E57DAA">
            <w:pPr>
              <w:jc w:val="right"/>
            </w:pPr>
          </w:p>
        </w:tc>
      </w:tr>
      <w:tr w:rsidR="00E57DAA" w14:paraId="196C6F3A"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51236D00" w14:textId="77777777" w:rsidR="00E57DAA" w:rsidRDefault="00AC4185" w:rsidP="00C25422">
            <w:pPr>
              <w:pStyle w:val="92"/>
            </w:pPr>
            <w:r>
              <w:rPr>
                <w:rFonts w:hint="eastAsia"/>
              </w:rPr>
              <w:t>融资租入固定资产</w:t>
            </w:r>
          </w:p>
        </w:tc>
        <w:tc>
          <w:tcPr>
            <w:tcW w:w="1205" w:type="pct"/>
            <w:tcBorders>
              <w:top w:val="outset" w:sz="4" w:space="0" w:color="auto"/>
              <w:left w:val="single" w:sz="4" w:space="0" w:color="auto"/>
              <w:bottom w:val="outset" w:sz="4" w:space="0" w:color="auto"/>
              <w:right w:val="outset" w:sz="4" w:space="0" w:color="auto"/>
            </w:tcBorders>
            <w:shd w:val="clear" w:color="auto" w:fill="auto"/>
          </w:tcPr>
          <w:p w14:paraId="571968DF" w14:textId="77777777" w:rsidR="00E57DAA" w:rsidRDefault="00E57DAA">
            <w:pPr>
              <w:jc w:val="right"/>
            </w:pPr>
          </w:p>
        </w:tc>
        <w:tc>
          <w:tcPr>
            <w:tcW w:w="1227" w:type="pct"/>
            <w:tcBorders>
              <w:top w:val="outset" w:sz="4" w:space="0" w:color="auto"/>
              <w:left w:val="outset" w:sz="4" w:space="0" w:color="auto"/>
              <w:bottom w:val="outset" w:sz="4" w:space="0" w:color="auto"/>
              <w:right w:val="outset" w:sz="4" w:space="0" w:color="auto"/>
            </w:tcBorders>
            <w:shd w:val="clear" w:color="auto" w:fill="auto"/>
          </w:tcPr>
          <w:p w14:paraId="04D924FB" w14:textId="77777777" w:rsidR="00E57DAA" w:rsidRDefault="00E57DAA">
            <w:pPr>
              <w:jc w:val="right"/>
            </w:pPr>
          </w:p>
        </w:tc>
      </w:tr>
      <w:tr w:rsidR="00E57DAA" w14:paraId="761FAD25" w14:textId="77777777">
        <w:sdt>
          <w:sdtPr>
            <w:tag w:val="_PLD_b32f2ba3b4a94101978cc22144b58749"/>
            <w:id w:val="-1385256923"/>
          </w:sdtPr>
          <w:sdtEnd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6FF3C6D4" w14:textId="77777777" w:rsidR="00E57DAA" w:rsidRDefault="00AC4185" w:rsidP="00C25422">
                <w:pPr>
                  <w:pStyle w:val="92"/>
                </w:pPr>
                <w:r>
                  <w:t>3</w:t>
                </w:r>
                <w:r>
                  <w:rPr>
                    <w:rFonts w:hint="eastAsia"/>
                  </w:rPr>
                  <w:t>．现金及现金等价物净变动情况：</w:t>
                </w:r>
              </w:p>
            </w:tc>
          </w:sdtContent>
        </w:sdt>
      </w:tr>
      <w:tr w:rsidR="00E57DAA" w14:paraId="704C0CD2"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384267A4" w14:textId="77777777" w:rsidR="00E57DAA" w:rsidRDefault="00AC4185" w:rsidP="00C25422">
            <w:pPr>
              <w:pStyle w:val="92"/>
            </w:pPr>
            <w:r>
              <w:rPr>
                <w:rFonts w:hint="eastAsia"/>
              </w:rPr>
              <w:t>现金的期末余额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668EDA83" w14:textId="77777777" w:rsidR="00E57DAA" w:rsidRDefault="00AC4185">
            <w:pPr>
              <w:jc w:val="right"/>
            </w:pPr>
            <w:r>
              <w:t>8,639,160,503.16</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1161CEED" w14:textId="77777777" w:rsidR="00E57DAA" w:rsidRDefault="00AC4185">
            <w:pPr>
              <w:jc w:val="right"/>
            </w:pPr>
            <w:r>
              <w:t>7,873,518,289.12</w:t>
            </w:r>
          </w:p>
        </w:tc>
      </w:tr>
      <w:tr w:rsidR="00E57DAA" w14:paraId="69791F04"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3094D35E" w14:textId="77777777" w:rsidR="00E57DAA" w:rsidRDefault="00AC4185" w:rsidP="00C25422">
            <w:pPr>
              <w:pStyle w:val="92"/>
            </w:pPr>
            <w:r>
              <w:rPr>
                <w:rFonts w:hint="eastAsia"/>
              </w:rPr>
              <w:t>减：现金的期初余额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587D9962" w14:textId="77777777" w:rsidR="00E57DAA" w:rsidRDefault="00AC4185">
            <w:pPr>
              <w:jc w:val="right"/>
              <w:rPr>
                <w:bCs/>
              </w:rPr>
            </w:pPr>
            <w:r>
              <w:t>7,873,518,289.12</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5723571" w14:textId="77777777" w:rsidR="00E57DAA" w:rsidRDefault="00AC4185">
            <w:pPr>
              <w:jc w:val="right"/>
              <w:rPr>
                <w:bCs/>
              </w:rPr>
            </w:pPr>
            <w:r>
              <w:t>8,458,440,802.02</w:t>
            </w:r>
          </w:p>
        </w:tc>
      </w:tr>
      <w:tr w:rsidR="00E57DAA" w14:paraId="4ACD5BE5"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66A7DD07" w14:textId="77777777" w:rsidR="00E57DAA" w:rsidRDefault="00AC4185" w:rsidP="00C25422">
            <w:pPr>
              <w:pStyle w:val="92"/>
            </w:pPr>
            <w:r>
              <w:rPr>
                <w:rFonts w:hint="eastAsia"/>
              </w:rPr>
              <w:t>加：现金等价物的期末余额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50D74A0E" w14:textId="77777777" w:rsidR="00E57DAA" w:rsidRDefault="00E57DAA">
            <w:pPr>
              <w:jc w:val="right"/>
            </w:pP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E40E63B" w14:textId="77777777" w:rsidR="00E57DAA" w:rsidRDefault="00E57DAA">
            <w:pPr>
              <w:jc w:val="right"/>
            </w:pPr>
          </w:p>
        </w:tc>
      </w:tr>
      <w:tr w:rsidR="00E57DAA" w14:paraId="4967D001"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434B40C6" w14:textId="77777777" w:rsidR="00E57DAA" w:rsidRDefault="00AC4185" w:rsidP="00C25422">
            <w:pPr>
              <w:pStyle w:val="92"/>
            </w:pPr>
            <w:r>
              <w:rPr>
                <w:rFonts w:hint="eastAsia"/>
              </w:rPr>
              <w:t>减：现金等价物的期初余额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3900CAF1" w14:textId="77777777" w:rsidR="00E57DAA" w:rsidRDefault="00E57DAA">
            <w:pPr>
              <w:jc w:val="right"/>
              <w:rPr>
                <w:bCs/>
              </w:rPr>
            </w:pP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6E763F50" w14:textId="77777777" w:rsidR="00E57DAA" w:rsidRDefault="00E57DAA">
            <w:pPr>
              <w:jc w:val="right"/>
              <w:rPr>
                <w:bCs/>
              </w:rPr>
            </w:pPr>
          </w:p>
        </w:tc>
      </w:tr>
      <w:tr w:rsidR="00E57DAA" w14:paraId="4C1FD38C" w14:textId="77777777">
        <w:tc>
          <w:tcPr>
            <w:tcW w:w="2568" w:type="pct"/>
            <w:tcBorders>
              <w:top w:val="single" w:sz="4" w:space="0" w:color="auto"/>
              <w:left w:val="single" w:sz="4" w:space="0" w:color="auto"/>
              <w:bottom w:val="single" w:sz="4" w:space="0" w:color="auto"/>
              <w:right w:val="single" w:sz="4" w:space="0" w:color="auto"/>
            </w:tcBorders>
            <w:shd w:val="clear" w:color="auto" w:fill="auto"/>
          </w:tcPr>
          <w:p w14:paraId="2EA39E97" w14:textId="77777777" w:rsidR="00E57DAA" w:rsidRDefault="00AC4185" w:rsidP="00C25422">
            <w:pPr>
              <w:pStyle w:val="92"/>
            </w:pPr>
            <w:r>
              <w:rPr>
                <w:rFonts w:hint="eastAsia"/>
              </w:rPr>
              <w:t>现金及现金等价物净增加额</w:t>
            </w:r>
          </w:p>
        </w:tc>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5607D3BB" w14:textId="77777777" w:rsidR="00E57DAA" w:rsidRDefault="00AC4185">
            <w:pPr>
              <w:jc w:val="right"/>
            </w:pPr>
            <w:r>
              <w:t>765,642,214.04</w:t>
            </w:r>
          </w:p>
        </w:tc>
        <w:tc>
          <w:tcPr>
            <w:tcW w:w="1227" w:type="pct"/>
            <w:tcBorders>
              <w:top w:val="outset" w:sz="4" w:space="0" w:color="auto"/>
              <w:left w:val="outset" w:sz="4" w:space="0" w:color="auto"/>
              <w:bottom w:val="outset" w:sz="4" w:space="0" w:color="auto"/>
              <w:right w:val="outset" w:sz="4" w:space="0" w:color="auto"/>
            </w:tcBorders>
            <w:shd w:val="clear" w:color="auto" w:fill="auto"/>
            <w:vAlign w:val="center"/>
          </w:tcPr>
          <w:p w14:paraId="055294B7" w14:textId="77777777" w:rsidR="00E57DAA" w:rsidRDefault="00AC4185">
            <w:pPr>
              <w:jc w:val="right"/>
              <w:rPr>
                <w:bCs/>
              </w:rPr>
            </w:pPr>
            <w:r>
              <w:t>-584,922,512.90</w:t>
            </w:r>
          </w:p>
        </w:tc>
      </w:tr>
    </w:tbl>
    <w:p w14:paraId="7C037BFF" w14:textId="77777777" w:rsidR="00E57DAA" w:rsidRDefault="00E57DAA" w:rsidP="00C25422">
      <w:pPr>
        <w:pStyle w:val="92"/>
      </w:pPr>
    </w:p>
    <w:p w14:paraId="2CB8D32F" w14:textId="77777777" w:rsidR="00E57DAA" w:rsidRDefault="00AC4185">
      <w:pPr>
        <w:pStyle w:val="4"/>
        <w:numPr>
          <w:ilvl w:val="0"/>
          <w:numId w:val="106"/>
        </w:numPr>
        <w:ind w:left="426" w:hanging="426"/>
      </w:pPr>
      <w:r>
        <w:rPr>
          <w:rFonts w:hint="eastAsia"/>
        </w:rPr>
        <w:t>本期</w:t>
      </w:r>
      <w:r>
        <w:rPr>
          <w:rFonts w:ascii="宋体" w:hAnsi="宋体" w:cs="宋体" w:hint="eastAsia"/>
          <w:kern w:val="0"/>
        </w:rPr>
        <w:t>支付的</w:t>
      </w:r>
      <w:r>
        <w:rPr>
          <w:rFonts w:hint="eastAsia"/>
        </w:rPr>
        <w:t>取得子公司的现金净额</w:t>
      </w:r>
    </w:p>
    <w:p w14:paraId="498A7B21" w14:textId="77777777" w:rsidR="00E57DAA" w:rsidRDefault="00EB41A1" w:rsidP="00C25422">
      <w:pPr>
        <w:pStyle w:val="92"/>
      </w:pPr>
      <w:sdt>
        <w:sdtPr>
          <w:alias w:val="是否适用：本期支付的取得子公司的现金净额[双击切换]"/>
          <w:tag w:val="_GBC_e15d87c710624e119515f4697cba951d"/>
          <w:id w:val="-400215463"/>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0A27EA6" w14:textId="77777777" w:rsidR="00E57DAA" w:rsidRDefault="00E57DAA" w:rsidP="00C25422">
      <w:pPr>
        <w:pStyle w:val="92"/>
      </w:pPr>
    </w:p>
    <w:p w14:paraId="54E18217" w14:textId="77777777" w:rsidR="00E57DAA" w:rsidRDefault="00E57DAA" w:rsidP="00C25422">
      <w:pPr>
        <w:pStyle w:val="92"/>
      </w:pPr>
    </w:p>
    <w:p w14:paraId="6A4899C0" w14:textId="77777777" w:rsidR="00E57DAA" w:rsidRDefault="00AC4185">
      <w:pPr>
        <w:pStyle w:val="4"/>
        <w:numPr>
          <w:ilvl w:val="0"/>
          <w:numId w:val="106"/>
        </w:numPr>
        <w:ind w:left="426" w:hanging="426"/>
      </w:pPr>
      <w:r>
        <w:rPr>
          <w:rFonts w:ascii="宋体" w:hAnsi="宋体" w:cs="宋体" w:hint="eastAsia"/>
          <w:kern w:val="0"/>
          <w:szCs w:val="24"/>
        </w:rPr>
        <w:t>本期收到的</w:t>
      </w:r>
      <w:r>
        <w:rPr>
          <w:rFonts w:hint="eastAsia"/>
        </w:rPr>
        <w:t>处置子公司的现金净额</w:t>
      </w:r>
    </w:p>
    <w:p w14:paraId="7E3F3C14" w14:textId="77777777" w:rsidR="00E57DAA" w:rsidRDefault="00EB41A1" w:rsidP="00C25422">
      <w:pPr>
        <w:pStyle w:val="92"/>
      </w:pPr>
      <w:sdt>
        <w:sdtPr>
          <w:alias w:val="是否适用：本期收到的处置子公司的现金净额[双击切换]"/>
          <w:tag w:val="_GBC_34f955c7fd1f404b9df6ccd09e080d38"/>
          <w:id w:val="-949465325"/>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5AF0C998" w14:textId="77777777" w:rsidR="00E57DAA" w:rsidRDefault="00E57DAA" w:rsidP="00C25422">
      <w:pPr>
        <w:pStyle w:val="92"/>
      </w:pPr>
    </w:p>
    <w:p w14:paraId="6272AFA6" w14:textId="77777777" w:rsidR="00E57DAA" w:rsidRDefault="00E57DAA" w:rsidP="00C25422">
      <w:pPr>
        <w:pStyle w:val="92"/>
      </w:pPr>
    </w:p>
    <w:p w14:paraId="64C94E91" w14:textId="77777777" w:rsidR="00E57DAA" w:rsidRDefault="00AC4185">
      <w:pPr>
        <w:pStyle w:val="4"/>
        <w:numPr>
          <w:ilvl w:val="0"/>
          <w:numId w:val="106"/>
        </w:numPr>
        <w:ind w:left="426" w:hanging="426"/>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w:t>
      </w:r>
      <w:r>
        <w:rPr>
          <w:rFonts w:ascii="宋体" w:eastAsia="宋体" w:hAnsi="宋体" w:cs="宋体" w:hint="eastAsia"/>
          <w:kern w:val="0"/>
          <w:szCs w:val="24"/>
        </w:rPr>
        <w:t>构成</w:t>
      </w:r>
    </w:p>
    <w:bookmarkStart w:id="307" w:name="_Hlk152667287" w:displacedByCustomXml="next"/>
    <w:sdt>
      <w:sdtPr>
        <w:alias w:val="是否适用：现金和现金等价物的构成[双击切换]"/>
        <w:tag w:val="_GBC_e0555d7e87b94189b1eb8131088a70ab"/>
        <w:id w:val="-237088807"/>
        <w:placeholder>
          <w:docPart w:val="GBC22222222222222222222222222222"/>
        </w:placeholder>
      </w:sdtPr>
      <w:sdtEndPr/>
      <w:sdtContent>
        <w:p w14:paraId="19D7F3A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AB4BDA" w14:textId="77777777" w:rsidR="00E57DAA" w:rsidRDefault="00AC4185">
      <w:pPr>
        <w:jc w:val="right"/>
        <w:rPr>
          <w:b/>
          <w:szCs w:val="21"/>
        </w:rPr>
      </w:pPr>
      <w:r>
        <w:rPr>
          <w:rFonts w:hint="eastAsia"/>
        </w:rPr>
        <w:t>单位：</w:t>
      </w:r>
      <w:sdt>
        <w:sdtPr>
          <w:rPr>
            <w:rFonts w:hint="eastAsia"/>
          </w:rPr>
          <w:alias w:val="单位：财务附注：现金和现金等价物的构成"/>
          <w:tag w:val="_GBC_1e304caf56fc443fa3c4a1d772d34293"/>
          <w:id w:val="-189626905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d3515d75fc184b1e9585a67f7cb04faa"/>
          <w:id w:val="-6320157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1936"/>
        <w:gridCol w:w="2082"/>
      </w:tblGrid>
      <w:tr w:rsidR="00E57DAA" w14:paraId="44ECE3CB" w14:textId="77777777">
        <w:trPr>
          <w:trHeight w:val="285"/>
        </w:trPr>
        <w:sdt>
          <w:sdtPr>
            <w:tag w:val="_PLD_7ae145dd51fc48d4a76bb239061b0a6e"/>
            <w:id w:val="-1607725905"/>
          </w:sdtPr>
          <w:sdtEndPr/>
          <w:sdtContent>
            <w:tc>
              <w:tcPr>
                <w:tcW w:w="2723" w:type="pct"/>
                <w:tcBorders>
                  <w:bottom w:val="single" w:sz="4" w:space="0" w:color="auto"/>
                </w:tcBorders>
                <w:shd w:val="clear" w:color="auto" w:fill="auto"/>
                <w:vAlign w:val="center"/>
              </w:tcPr>
              <w:p w14:paraId="2289992D" w14:textId="77777777" w:rsidR="00E57DAA" w:rsidRDefault="00AC4185">
                <w:pPr>
                  <w:ind w:leftChars="-51" w:left="-107"/>
                  <w:jc w:val="center"/>
                  <w:rPr>
                    <w:szCs w:val="21"/>
                  </w:rPr>
                </w:pPr>
                <w:r>
                  <w:rPr>
                    <w:rFonts w:hint="eastAsia"/>
                    <w:szCs w:val="21"/>
                  </w:rPr>
                  <w:t>项目</w:t>
                </w:r>
              </w:p>
            </w:tc>
          </w:sdtContent>
        </w:sdt>
        <w:sdt>
          <w:sdtPr>
            <w:tag w:val="_PLD_426ac24378064f8ab324e59db3ac5d98"/>
            <w:id w:val="-801685621"/>
          </w:sdtPr>
          <w:sdtEndPr/>
          <w:sdtContent>
            <w:tc>
              <w:tcPr>
                <w:tcW w:w="1097" w:type="pct"/>
                <w:shd w:val="clear" w:color="auto" w:fill="auto"/>
                <w:vAlign w:val="center"/>
              </w:tcPr>
              <w:p w14:paraId="13C628EB" w14:textId="77777777" w:rsidR="00E57DAA" w:rsidRDefault="00AC4185">
                <w:pPr>
                  <w:jc w:val="center"/>
                  <w:rPr>
                    <w:szCs w:val="21"/>
                  </w:rPr>
                </w:pPr>
                <w:r>
                  <w:rPr>
                    <w:rFonts w:hint="eastAsia"/>
                    <w:szCs w:val="21"/>
                  </w:rPr>
                  <w:t>期末余额</w:t>
                </w:r>
              </w:p>
            </w:tc>
          </w:sdtContent>
        </w:sdt>
        <w:sdt>
          <w:sdtPr>
            <w:tag w:val="_PLD_d8d41db246514c0dbfacfe0f48eeceac"/>
            <w:id w:val="-23027517"/>
          </w:sdtPr>
          <w:sdtEndPr/>
          <w:sdtContent>
            <w:tc>
              <w:tcPr>
                <w:tcW w:w="1180" w:type="pct"/>
                <w:shd w:val="clear" w:color="auto" w:fill="auto"/>
              </w:tcPr>
              <w:p w14:paraId="341C837B" w14:textId="77777777" w:rsidR="00E57DAA" w:rsidRDefault="00AC4185">
                <w:pPr>
                  <w:jc w:val="center"/>
                  <w:rPr>
                    <w:szCs w:val="21"/>
                  </w:rPr>
                </w:pPr>
                <w:r>
                  <w:rPr>
                    <w:rFonts w:hint="eastAsia"/>
                    <w:szCs w:val="21"/>
                  </w:rPr>
                  <w:t>期初余额</w:t>
                </w:r>
              </w:p>
            </w:tc>
          </w:sdtContent>
        </w:sdt>
      </w:tr>
      <w:tr w:rsidR="00E57DAA" w14:paraId="7135A920" w14:textId="77777777">
        <w:trPr>
          <w:trHeight w:val="285"/>
        </w:trPr>
        <w:tc>
          <w:tcPr>
            <w:tcW w:w="2723" w:type="pct"/>
            <w:shd w:val="clear" w:color="auto" w:fill="auto"/>
            <w:vAlign w:val="center"/>
          </w:tcPr>
          <w:p w14:paraId="4EEBC1FB" w14:textId="77777777" w:rsidR="00E57DAA" w:rsidRDefault="00AC4185">
            <w:pPr>
              <w:rPr>
                <w:szCs w:val="21"/>
              </w:rPr>
            </w:pPr>
            <w:r>
              <w:rPr>
                <w:rFonts w:hint="eastAsia"/>
                <w:szCs w:val="21"/>
              </w:rPr>
              <w:t>一、现金</w:t>
            </w:r>
          </w:p>
        </w:tc>
        <w:tc>
          <w:tcPr>
            <w:tcW w:w="1097" w:type="pct"/>
            <w:shd w:val="clear" w:color="auto" w:fill="auto"/>
            <w:vAlign w:val="center"/>
          </w:tcPr>
          <w:p w14:paraId="457D8EDA" w14:textId="77777777" w:rsidR="00E57DAA" w:rsidRDefault="00AC4185">
            <w:pPr>
              <w:jc w:val="right"/>
              <w:rPr>
                <w:szCs w:val="21"/>
              </w:rPr>
            </w:pPr>
            <w:r>
              <w:t>8,639,160,503.16</w:t>
            </w:r>
          </w:p>
        </w:tc>
        <w:tc>
          <w:tcPr>
            <w:tcW w:w="1180" w:type="pct"/>
            <w:shd w:val="clear" w:color="auto" w:fill="auto"/>
            <w:vAlign w:val="center"/>
          </w:tcPr>
          <w:p w14:paraId="7CDE24C6" w14:textId="77777777" w:rsidR="00E57DAA" w:rsidRDefault="00AC4185">
            <w:pPr>
              <w:jc w:val="right"/>
              <w:rPr>
                <w:szCs w:val="21"/>
              </w:rPr>
            </w:pPr>
            <w:r>
              <w:t>7,873,518,289.12</w:t>
            </w:r>
          </w:p>
        </w:tc>
      </w:tr>
      <w:tr w:rsidR="00E57DAA" w14:paraId="6E27FC10" w14:textId="77777777">
        <w:trPr>
          <w:trHeight w:val="285"/>
        </w:trPr>
        <w:tc>
          <w:tcPr>
            <w:tcW w:w="2723" w:type="pct"/>
            <w:shd w:val="clear" w:color="auto" w:fill="auto"/>
            <w:vAlign w:val="center"/>
          </w:tcPr>
          <w:p w14:paraId="32A631BA" w14:textId="77777777" w:rsidR="00E57DAA" w:rsidRDefault="00AC4185">
            <w:pPr>
              <w:rPr>
                <w:szCs w:val="21"/>
              </w:rPr>
            </w:pPr>
            <w:r>
              <w:rPr>
                <w:rFonts w:hint="eastAsia"/>
                <w:szCs w:val="21"/>
              </w:rPr>
              <w:t>其中：库存现金</w:t>
            </w:r>
          </w:p>
        </w:tc>
        <w:tc>
          <w:tcPr>
            <w:tcW w:w="1097" w:type="pct"/>
            <w:shd w:val="clear" w:color="auto" w:fill="auto"/>
            <w:vAlign w:val="center"/>
          </w:tcPr>
          <w:p w14:paraId="2CCE8536" w14:textId="77777777" w:rsidR="00E57DAA" w:rsidRDefault="00AC4185">
            <w:pPr>
              <w:jc w:val="right"/>
              <w:rPr>
                <w:szCs w:val="21"/>
              </w:rPr>
            </w:pPr>
            <w:r>
              <w:t>26,230,083.78</w:t>
            </w:r>
          </w:p>
        </w:tc>
        <w:tc>
          <w:tcPr>
            <w:tcW w:w="1180" w:type="pct"/>
            <w:shd w:val="clear" w:color="auto" w:fill="auto"/>
            <w:vAlign w:val="center"/>
          </w:tcPr>
          <w:p w14:paraId="09D93DE4" w14:textId="77777777" w:rsidR="00E57DAA" w:rsidRDefault="00AC4185">
            <w:pPr>
              <w:jc w:val="right"/>
              <w:rPr>
                <w:szCs w:val="21"/>
              </w:rPr>
            </w:pPr>
            <w:r>
              <w:t>39,769,210.33</w:t>
            </w:r>
          </w:p>
        </w:tc>
      </w:tr>
      <w:tr w:rsidR="00E57DAA" w14:paraId="28747608" w14:textId="77777777">
        <w:trPr>
          <w:trHeight w:val="285"/>
        </w:trPr>
        <w:tc>
          <w:tcPr>
            <w:tcW w:w="2723" w:type="pct"/>
            <w:shd w:val="clear" w:color="auto" w:fill="auto"/>
            <w:vAlign w:val="center"/>
          </w:tcPr>
          <w:p w14:paraId="0EFDE069" w14:textId="77777777" w:rsidR="00E57DAA" w:rsidRDefault="00AC4185">
            <w:pPr>
              <w:rPr>
                <w:szCs w:val="21"/>
              </w:rPr>
            </w:pPr>
            <w:r>
              <w:rPr>
                <w:rFonts w:hint="eastAsia"/>
                <w:szCs w:val="21"/>
              </w:rPr>
              <w:t xml:space="preserve">　　可随时用于支付的银行存款</w:t>
            </w:r>
          </w:p>
        </w:tc>
        <w:tc>
          <w:tcPr>
            <w:tcW w:w="1097" w:type="pct"/>
            <w:shd w:val="clear" w:color="auto" w:fill="auto"/>
            <w:vAlign w:val="center"/>
          </w:tcPr>
          <w:p w14:paraId="3C96D384" w14:textId="77777777" w:rsidR="00E57DAA" w:rsidRDefault="00AC4185">
            <w:pPr>
              <w:jc w:val="right"/>
              <w:rPr>
                <w:szCs w:val="21"/>
              </w:rPr>
            </w:pPr>
            <w:r>
              <w:t>8,611,670,497.62</w:t>
            </w:r>
          </w:p>
        </w:tc>
        <w:tc>
          <w:tcPr>
            <w:tcW w:w="1180" w:type="pct"/>
            <w:shd w:val="clear" w:color="auto" w:fill="auto"/>
            <w:vAlign w:val="center"/>
          </w:tcPr>
          <w:p w14:paraId="013D51B6" w14:textId="77777777" w:rsidR="00E57DAA" w:rsidRDefault="00AC4185">
            <w:pPr>
              <w:jc w:val="right"/>
              <w:rPr>
                <w:szCs w:val="21"/>
              </w:rPr>
            </w:pPr>
            <w:r>
              <w:t>7,827,394,934.61</w:t>
            </w:r>
          </w:p>
        </w:tc>
      </w:tr>
      <w:tr w:rsidR="00E57DAA" w14:paraId="504904FC" w14:textId="77777777">
        <w:trPr>
          <w:trHeight w:val="285"/>
        </w:trPr>
        <w:tc>
          <w:tcPr>
            <w:tcW w:w="2723" w:type="pct"/>
            <w:shd w:val="clear" w:color="auto" w:fill="auto"/>
            <w:vAlign w:val="center"/>
          </w:tcPr>
          <w:p w14:paraId="16E0CC41" w14:textId="77777777" w:rsidR="00E57DAA" w:rsidRDefault="00AC4185">
            <w:pPr>
              <w:rPr>
                <w:szCs w:val="21"/>
              </w:rPr>
            </w:pPr>
            <w:r>
              <w:rPr>
                <w:rFonts w:hint="eastAsia"/>
                <w:szCs w:val="21"/>
              </w:rPr>
              <w:t xml:space="preserve">　　可随时用于支付的其他货币资金</w:t>
            </w:r>
          </w:p>
        </w:tc>
        <w:tc>
          <w:tcPr>
            <w:tcW w:w="1097" w:type="pct"/>
            <w:shd w:val="clear" w:color="auto" w:fill="auto"/>
            <w:vAlign w:val="center"/>
          </w:tcPr>
          <w:p w14:paraId="49089332" w14:textId="77777777" w:rsidR="00E57DAA" w:rsidRDefault="00AC4185">
            <w:pPr>
              <w:jc w:val="right"/>
              <w:rPr>
                <w:szCs w:val="21"/>
              </w:rPr>
            </w:pPr>
            <w:r>
              <w:t>1,259,921.76</w:t>
            </w:r>
          </w:p>
        </w:tc>
        <w:tc>
          <w:tcPr>
            <w:tcW w:w="1180" w:type="pct"/>
            <w:shd w:val="clear" w:color="auto" w:fill="auto"/>
            <w:vAlign w:val="center"/>
          </w:tcPr>
          <w:p w14:paraId="6903C27C" w14:textId="77777777" w:rsidR="00E57DAA" w:rsidRDefault="00AC4185">
            <w:pPr>
              <w:jc w:val="right"/>
              <w:rPr>
                <w:szCs w:val="21"/>
              </w:rPr>
            </w:pPr>
            <w:r>
              <w:t>6,354,144.18</w:t>
            </w:r>
          </w:p>
        </w:tc>
      </w:tr>
      <w:tr w:rsidR="00E57DAA" w14:paraId="0D094079" w14:textId="77777777">
        <w:trPr>
          <w:trHeight w:val="285"/>
        </w:trPr>
        <w:tc>
          <w:tcPr>
            <w:tcW w:w="2723" w:type="pct"/>
            <w:shd w:val="clear" w:color="auto" w:fill="auto"/>
            <w:vAlign w:val="center"/>
          </w:tcPr>
          <w:p w14:paraId="1C510DA4" w14:textId="77777777" w:rsidR="00E57DAA" w:rsidRDefault="00AC4185">
            <w:pPr>
              <w:rPr>
                <w:szCs w:val="21"/>
              </w:rPr>
            </w:pPr>
            <w:r>
              <w:rPr>
                <w:rFonts w:hint="eastAsia"/>
                <w:szCs w:val="21"/>
              </w:rPr>
              <w:t>二、现金等价物</w:t>
            </w:r>
          </w:p>
        </w:tc>
        <w:tc>
          <w:tcPr>
            <w:tcW w:w="1097" w:type="pct"/>
            <w:shd w:val="clear" w:color="auto" w:fill="auto"/>
            <w:vAlign w:val="center"/>
          </w:tcPr>
          <w:p w14:paraId="6C851B1A" w14:textId="77777777" w:rsidR="00E57DAA" w:rsidRDefault="00E57DAA">
            <w:pPr>
              <w:jc w:val="right"/>
              <w:rPr>
                <w:szCs w:val="21"/>
              </w:rPr>
            </w:pPr>
          </w:p>
        </w:tc>
        <w:tc>
          <w:tcPr>
            <w:tcW w:w="1180" w:type="pct"/>
            <w:shd w:val="clear" w:color="auto" w:fill="auto"/>
            <w:vAlign w:val="center"/>
          </w:tcPr>
          <w:p w14:paraId="496D9C12" w14:textId="77777777" w:rsidR="00E57DAA" w:rsidRDefault="00E57DAA">
            <w:pPr>
              <w:jc w:val="right"/>
              <w:rPr>
                <w:szCs w:val="21"/>
              </w:rPr>
            </w:pPr>
          </w:p>
        </w:tc>
      </w:tr>
      <w:tr w:rsidR="00E57DAA" w14:paraId="1B0538BE" w14:textId="77777777">
        <w:trPr>
          <w:trHeight w:val="285"/>
        </w:trPr>
        <w:tc>
          <w:tcPr>
            <w:tcW w:w="2723" w:type="pct"/>
            <w:tcBorders>
              <w:bottom w:val="single" w:sz="4" w:space="0" w:color="auto"/>
            </w:tcBorders>
            <w:shd w:val="clear" w:color="auto" w:fill="auto"/>
            <w:vAlign w:val="center"/>
          </w:tcPr>
          <w:p w14:paraId="36FB24F2" w14:textId="77777777" w:rsidR="00E57DAA" w:rsidRDefault="00AC4185">
            <w:pPr>
              <w:rPr>
                <w:szCs w:val="21"/>
              </w:rPr>
            </w:pPr>
            <w:r>
              <w:rPr>
                <w:rFonts w:hint="eastAsia"/>
                <w:szCs w:val="21"/>
              </w:rPr>
              <w:t>其中：三个月内到期的债券投资</w:t>
            </w:r>
          </w:p>
        </w:tc>
        <w:tc>
          <w:tcPr>
            <w:tcW w:w="1097" w:type="pct"/>
            <w:tcBorders>
              <w:bottom w:val="single" w:sz="4" w:space="0" w:color="auto"/>
            </w:tcBorders>
            <w:shd w:val="clear" w:color="auto" w:fill="auto"/>
            <w:vAlign w:val="center"/>
          </w:tcPr>
          <w:p w14:paraId="5BC51A39" w14:textId="77777777" w:rsidR="00E57DAA" w:rsidRDefault="00E57DAA">
            <w:pPr>
              <w:jc w:val="right"/>
              <w:rPr>
                <w:szCs w:val="21"/>
              </w:rPr>
            </w:pPr>
          </w:p>
        </w:tc>
        <w:tc>
          <w:tcPr>
            <w:tcW w:w="1180" w:type="pct"/>
            <w:tcBorders>
              <w:bottom w:val="single" w:sz="4" w:space="0" w:color="auto"/>
            </w:tcBorders>
            <w:shd w:val="clear" w:color="auto" w:fill="auto"/>
            <w:vAlign w:val="center"/>
          </w:tcPr>
          <w:p w14:paraId="338BF365" w14:textId="77777777" w:rsidR="00E57DAA" w:rsidRDefault="00E57DAA">
            <w:pPr>
              <w:jc w:val="right"/>
              <w:rPr>
                <w:szCs w:val="21"/>
              </w:rPr>
            </w:pPr>
          </w:p>
        </w:tc>
      </w:tr>
      <w:tr w:rsidR="00E57DAA" w14:paraId="08530399" w14:textId="77777777">
        <w:trPr>
          <w:trHeight w:val="285"/>
        </w:trPr>
        <w:tc>
          <w:tcPr>
            <w:tcW w:w="2723" w:type="pct"/>
            <w:shd w:val="clear" w:color="auto" w:fill="auto"/>
            <w:vAlign w:val="center"/>
          </w:tcPr>
          <w:p w14:paraId="325E9CB4" w14:textId="77777777" w:rsidR="00E57DAA" w:rsidRDefault="00AC4185">
            <w:pPr>
              <w:rPr>
                <w:szCs w:val="21"/>
              </w:rPr>
            </w:pPr>
            <w:r>
              <w:rPr>
                <w:rFonts w:hint="eastAsia"/>
                <w:szCs w:val="21"/>
              </w:rPr>
              <w:lastRenderedPageBreak/>
              <w:t>三、期末现金及现金等价物余额</w:t>
            </w:r>
          </w:p>
        </w:tc>
        <w:tc>
          <w:tcPr>
            <w:tcW w:w="1097" w:type="pct"/>
            <w:shd w:val="clear" w:color="auto" w:fill="auto"/>
            <w:vAlign w:val="center"/>
          </w:tcPr>
          <w:p w14:paraId="72AE6A66" w14:textId="77777777" w:rsidR="00E57DAA" w:rsidRDefault="00AC4185">
            <w:pPr>
              <w:jc w:val="right"/>
              <w:rPr>
                <w:szCs w:val="21"/>
              </w:rPr>
            </w:pPr>
            <w:r>
              <w:t>8,639,160,503.16</w:t>
            </w:r>
          </w:p>
        </w:tc>
        <w:tc>
          <w:tcPr>
            <w:tcW w:w="1180" w:type="pct"/>
            <w:shd w:val="clear" w:color="auto" w:fill="auto"/>
            <w:vAlign w:val="center"/>
          </w:tcPr>
          <w:p w14:paraId="2834B00F" w14:textId="77777777" w:rsidR="00E57DAA" w:rsidRDefault="00AC4185">
            <w:pPr>
              <w:jc w:val="right"/>
              <w:rPr>
                <w:szCs w:val="21"/>
              </w:rPr>
            </w:pPr>
            <w:r>
              <w:t>7,873,518,289.12</w:t>
            </w:r>
          </w:p>
        </w:tc>
      </w:tr>
      <w:tr w:rsidR="00E57DAA" w14:paraId="1B5E99F1" w14:textId="77777777">
        <w:trPr>
          <w:trHeight w:val="285"/>
        </w:trPr>
        <w:tc>
          <w:tcPr>
            <w:tcW w:w="2723" w:type="pct"/>
            <w:shd w:val="clear" w:color="auto" w:fill="auto"/>
            <w:vAlign w:val="center"/>
          </w:tcPr>
          <w:p w14:paraId="73BDB761" w14:textId="77777777" w:rsidR="00E57DAA" w:rsidRDefault="00AC4185">
            <w:pPr>
              <w:rPr>
                <w:szCs w:val="21"/>
              </w:rPr>
            </w:pPr>
            <w:r>
              <w:rPr>
                <w:rFonts w:hint="eastAsia"/>
                <w:szCs w:val="21"/>
              </w:rPr>
              <w:t>其中：母公司或集团内子公司使用受限制的现金和现金等价物</w:t>
            </w:r>
          </w:p>
        </w:tc>
        <w:tc>
          <w:tcPr>
            <w:tcW w:w="1097" w:type="pct"/>
            <w:shd w:val="clear" w:color="auto" w:fill="auto"/>
          </w:tcPr>
          <w:p w14:paraId="50310A49" w14:textId="77777777" w:rsidR="00E57DAA" w:rsidRDefault="00E57DAA">
            <w:pPr>
              <w:jc w:val="right"/>
              <w:rPr>
                <w:szCs w:val="21"/>
              </w:rPr>
            </w:pPr>
          </w:p>
        </w:tc>
        <w:tc>
          <w:tcPr>
            <w:tcW w:w="1180" w:type="pct"/>
            <w:shd w:val="clear" w:color="auto" w:fill="auto"/>
          </w:tcPr>
          <w:p w14:paraId="04646AB7" w14:textId="77777777" w:rsidR="00E57DAA" w:rsidRDefault="00E57DAA">
            <w:pPr>
              <w:jc w:val="right"/>
              <w:rPr>
                <w:szCs w:val="21"/>
              </w:rPr>
            </w:pPr>
          </w:p>
        </w:tc>
      </w:tr>
    </w:tbl>
    <w:p w14:paraId="17447384" w14:textId="77777777" w:rsidR="00E57DAA" w:rsidRDefault="00E57DAA">
      <w:pPr>
        <w:spacing w:before="60" w:after="60"/>
        <w:rPr>
          <w:szCs w:val="21"/>
        </w:rPr>
      </w:pPr>
    </w:p>
    <w:p w14:paraId="381054F0" w14:textId="77777777" w:rsidR="00E57DAA" w:rsidRDefault="00AC4185">
      <w:pPr>
        <w:pStyle w:val="4"/>
        <w:numPr>
          <w:ilvl w:val="0"/>
          <w:numId w:val="106"/>
        </w:numPr>
        <w:ind w:left="426" w:hanging="426"/>
      </w:pPr>
      <w:r>
        <w:rPr>
          <w:rFonts w:hint="eastAsia"/>
        </w:rPr>
        <w:t>使用范围受限但仍作为现金和现金等价物列示的情况</w:t>
      </w:r>
    </w:p>
    <w:sdt>
      <w:sdtPr>
        <w:alias w:val="是否适用：使用范围受限但仍作为现金和现金等价物列示的情况[双击切换]"/>
        <w:tag w:val="_GBC_3f4f3ab69b8d40ad90e4e461178c0e10"/>
        <w:id w:val="-1447312413"/>
        <w:placeholder>
          <w:docPart w:val="GBC22222222222222222222222222222"/>
        </w:placeholder>
      </w:sdtPr>
      <w:sdtEndPr/>
      <w:sdtContent>
        <w:p w14:paraId="659747B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A6163B" w14:textId="77777777" w:rsidR="00E57DAA" w:rsidRDefault="00E57DAA">
      <w:pPr>
        <w:rPr>
          <w:szCs w:val="21"/>
        </w:rPr>
      </w:pPr>
    </w:p>
    <w:p w14:paraId="39AFD9D5" w14:textId="77777777" w:rsidR="00E57DAA" w:rsidRDefault="00AC4185">
      <w:pPr>
        <w:pStyle w:val="4"/>
        <w:numPr>
          <w:ilvl w:val="0"/>
          <w:numId w:val="106"/>
        </w:numPr>
        <w:ind w:left="426" w:hanging="426"/>
      </w:pPr>
      <w:r>
        <w:rPr>
          <w:rFonts w:hint="eastAsia"/>
        </w:rPr>
        <w:t>不属于现金及现金等价物的货币资金</w:t>
      </w:r>
    </w:p>
    <w:sdt>
      <w:sdtPr>
        <w:alias w:val="是否适用：不属于现金及现金等价物的货币资金[双击切换]"/>
        <w:tag w:val="_GBC_a99c932c933e4271bbb13783f71a0a6a"/>
        <w:id w:val="797880123"/>
        <w:placeholder>
          <w:docPart w:val="GBC22222222222222222222222222222"/>
        </w:placeholder>
      </w:sdtPr>
      <w:sdtEndPr/>
      <w:sdtContent>
        <w:p w14:paraId="2A4498B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A3AA9B" w14:textId="77777777" w:rsidR="00E57DAA" w:rsidRDefault="00E57DAA">
      <w:pPr>
        <w:rPr>
          <w:szCs w:val="21"/>
        </w:rPr>
      </w:pPr>
    </w:p>
    <w:p w14:paraId="35D4B508" w14:textId="77777777" w:rsidR="00E57DAA" w:rsidRDefault="00AC4185">
      <w:pPr>
        <w:spacing w:before="60" w:after="60"/>
        <w:rPr>
          <w:szCs w:val="21"/>
        </w:rPr>
      </w:pPr>
      <w:r>
        <w:rPr>
          <w:rFonts w:hint="eastAsia"/>
          <w:szCs w:val="21"/>
        </w:rPr>
        <w:t>其他说明：</w:t>
      </w:r>
    </w:p>
    <w:sdt>
      <w:sdtPr>
        <w:rPr>
          <w:szCs w:val="21"/>
        </w:rPr>
        <w:alias w:val="是否适用：现金流量表补充资料的说明[双击切换]"/>
        <w:tag w:val="_GBC_73894bf4981b4beaae2551b205a2e7cc"/>
        <w:id w:val="-1031798592"/>
        <w:placeholder>
          <w:docPart w:val="GBC22222222222222222222222222222"/>
        </w:placeholder>
      </w:sdtPr>
      <w:sdtEndPr/>
      <w:sdtContent>
        <w:p w14:paraId="3C31BAA4" w14:textId="77777777" w:rsidR="00E57DAA" w:rsidRDefault="00AC4185">
          <w:pPr>
            <w:spacing w:before="60" w:after="60"/>
            <w:rPr>
              <w:szCs w:val="22"/>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D1EB09" w14:textId="77777777" w:rsidR="00E57DAA" w:rsidRDefault="00E57DAA" w:rsidP="00C25422">
      <w:pPr>
        <w:pStyle w:val="92"/>
      </w:pPr>
    </w:p>
    <w:p w14:paraId="4232A0B8" w14:textId="77777777" w:rsidR="00E57DAA" w:rsidRDefault="00AC4185" w:rsidP="00C25422">
      <w:pPr>
        <w:pStyle w:val="91"/>
        <w:numPr>
          <w:ilvl w:val="0"/>
          <w:numId w:val="69"/>
        </w:numPr>
      </w:pPr>
      <w:r>
        <w:rPr>
          <w:rFonts w:hint="eastAsia"/>
        </w:rPr>
        <w:t>所有者权益变动表项目注释</w:t>
      </w:r>
    </w:p>
    <w:p w14:paraId="2B4C94A0" w14:textId="77777777" w:rsidR="00E57DAA" w:rsidRDefault="00AC4185" w:rsidP="00C25422">
      <w:pPr>
        <w:pStyle w:val="92"/>
      </w:pPr>
      <w:r>
        <w:rPr>
          <w:rFonts w:hint="eastAsia"/>
        </w:rPr>
        <w:t>说明对上年期末余额进行调整的“其他”项目名称及调整金额等事项：</w:t>
      </w:r>
    </w:p>
    <w:bookmarkEnd w:id="307" w:displacedByCustomXml="next"/>
    <w:sdt>
      <w:sdtPr>
        <w:alias w:val="是否适用：所有者权益变动表项目注释[双击切换]"/>
        <w:tag w:val="_GBC_fca039532a374a3e9daa81c75d491b1f"/>
        <w:id w:val="33470568"/>
        <w:placeholder>
          <w:docPart w:val="GBC22222222222222222222222222222"/>
        </w:placeholder>
      </w:sdtPr>
      <w:sdtEndPr/>
      <w:sdtContent>
        <w:p w14:paraId="33EE998A" w14:textId="77777777" w:rsidR="00E57DAA" w:rsidRDefault="00AC4185">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850DAF" w14:textId="77777777" w:rsidR="00E57DAA" w:rsidRDefault="00E57DAA">
      <w:pPr>
        <w:rPr>
          <w:szCs w:val="21"/>
        </w:rPr>
      </w:pPr>
    </w:p>
    <w:p w14:paraId="026AE884" w14:textId="77777777" w:rsidR="00E57DAA" w:rsidRDefault="00AC4185" w:rsidP="00C25422">
      <w:pPr>
        <w:pStyle w:val="91"/>
        <w:numPr>
          <w:ilvl w:val="0"/>
          <w:numId w:val="69"/>
        </w:numPr>
      </w:pPr>
      <w:r>
        <w:rPr>
          <w:rFonts w:hint="eastAsia"/>
        </w:rPr>
        <w:t>外币货币性项目</w:t>
      </w:r>
    </w:p>
    <w:p w14:paraId="5A66BFAE" w14:textId="77777777" w:rsidR="00E57DAA" w:rsidRDefault="00AC4185">
      <w:pPr>
        <w:pStyle w:val="4"/>
        <w:numPr>
          <w:ilvl w:val="0"/>
          <w:numId w:val="107"/>
        </w:numPr>
        <w:ind w:left="426" w:hanging="426"/>
        <w:rPr>
          <w:rFonts w:ascii="宋体" w:hAnsi="宋体"/>
          <w:b w:val="0"/>
          <w:szCs w:val="21"/>
        </w:rPr>
      </w:pPr>
      <w:r>
        <w:rPr>
          <w:rStyle w:val="85"/>
          <w:rFonts w:ascii="宋体" w:hAnsi="宋体" w:hint="eastAsia"/>
          <w:b/>
          <w:szCs w:val="21"/>
        </w:rPr>
        <w:t>外币货币性项目</w:t>
      </w:r>
    </w:p>
    <w:sdt>
      <w:sdtPr>
        <w:alias w:val="是否适用：外币货币性项目[双击切换]"/>
        <w:tag w:val="_GBC_6b0f646811a94c228ba6be3453047191"/>
        <w:id w:val="-570653584"/>
        <w:placeholder>
          <w:docPart w:val="GBC22222222222222222222222222222"/>
        </w:placeholder>
      </w:sdtPr>
      <w:sdtEndPr/>
      <w:sdtContent>
        <w:p w14:paraId="32D46B1A"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1D9CB7" w14:textId="77777777" w:rsidR="00E57DAA" w:rsidRDefault="00AC4185" w:rsidP="00C25422">
      <w:pPr>
        <w:pStyle w:val="73"/>
        <w:ind w:firstLine="400"/>
      </w:pPr>
      <w:r>
        <w:rPr>
          <w:rFonts w:hint="eastAsia"/>
        </w:rPr>
        <w:t>单位：</w:t>
      </w:r>
      <w:sdt>
        <w:sdtPr>
          <w:rPr>
            <w:rFonts w:hint="eastAsia"/>
          </w:rPr>
          <w:alias w:val="单位：财务附注：外币货币性项目"/>
          <w:tag w:val="_GBC_43871b6586c8428c8da522abb267c528"/>
          <w:id w:val="3081380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1998"/>
        <w:gridCol w:w="2006"/>
        <w:gridCol w:w="1994"/>
      </w:tblGrid>
      <w:tr w:rsidR="00E57DAA" w14:paraId="188C0A22" w14:textId="77777777">
        <w:sdt>
          <w:sdtPr>
            <w:tag w:val="_PLD_a5c3516dfa974dea983fcf6d3a5e4272"/>
            <w:id w:val="-1297757358"/>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D11CAE7" w14:textId="77777777" w:rsidR="00E57DAA" w:rsidRDefault="00AC4185">
                <w:pPr>
                  <w:jc w:val="center"/>
                  <w:rPr>
                    <w:szCs w:val="21"/>
                  </w:rPr>
                </w:pPr>
                <w:r>
                  <w:rPr>
                    <w:rFonts w:hint="eastAsia"/>
                    <w:szCs w:val="21"/>
                  </w:rPr>
                  <w:t>项目</w:t>
                </w:r>
              </w:p>
            </w:tc>
          </w:sdtContent>
        </w:sdt>
        <w:sdt>
          <w:sdtPr>
            <w:tag w:val="_PLD_c677b8fd217342e7b28e98a1c8e497e9"/>
            <w:id w:val="1846669012"/>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EA2097D" w14:textId="77777777" w:rsidR="00E57DAA" w:rsidRDefault="00AC4185">
                <w:pPr>
                  <w:jc w:val="center"/>
                  <w:rPr>
                    <w:szCs w:val="21"/>
                  </w:rPr>
                </w:pPr>
                <w:r>
                  <w:rPr>
                    <w:rFonts w:hint="eastAsia"/>
                    <w:szCs w:val="21"/>
                  </w:rPr>
                  <w:t>期末外币余额</w:t>
                </w:r>
              </w:p>
            </w:tc>
          </w:sdtContent>
        </w:sdt>
        <w:sdt>
          <w:sdtPr>
            <w:tag w:val="_PLD_e0e88022a2754ae991eb4bb1a9caae4f"/>
            <w:id w:val="-1157762960"/>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952C6C5" w14:textId="77777777" w:rsidR="00E57DAA" w:rsidRDefault="00AC4185">
                <w:pPr>
                  <w:jc w:val="center"/>
                  <w:rPr>
                    <w:szCs w:val="21"/>
                  </w:rPr>
                </w:pPr>
                <w:r>
                  <w:rPr>
                    <w:rFonts w:hint="eastAsia"/>
                    <w:szCs w:val="21"/>
                  </w:rPr>
                  <w:t>折算汇率</w:t>
                </w:r>
              </w:p>
            </w:tc>
          </w:sdtContent>
        </w:sdt>
        <w:sdt>
          <w:sdtPr>
            <w:tag w:val="_PLD_a1542d7b69a444ef9e91ceaf4a96f49d"/>
            <w:id w:val="1827702762"/>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7A03C8D" w14:textId="77777777" w:rsidR="00E57DAA" w:rsidRDefault="00AC4185">
                <w:pPr>
                  <w:jc w:val="center"/>
                  <w:rPr>
                    <w:szCs w:val="21"/>
                  </w:rPr>
                </w:pPr>
                <w:r>
                  <w:rPr>
                    <w:rFonts w:hint="eastAsia"/>
                    <w:szCs w:val="21"/>
                  </w:rPr>
                  <w:t>期末折算人民币</w:t>
                </w:r>
              </w:p>
              <w:p w14:paraId="793F9D8C" w14:textId="77777777" w:rsidR="00E57DAA" w:rsidRDefault="00AC4185">
                <w:pPr>
                  <w:jc w:val="center"/>
                  <w:rPr>
                    <w:szCs w:val="21"/>
                  </w:rPr>
                </w:pPr>
                <w:r>
                  <w:rPr>
                    <w:rFonts w:hint="eastAsia"/>
                    <w:szCs w:val="21"/>
                  </w:rPr>
                  <w:t>余额</w:t>
                </w:r>
              </w:p>
            </w:tc>
          </w:sdtContent>
        </w:sdt>
      </w:tr>
      <w:tr w:rsidR="00E57DAA" w14:paraId="2532A33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F6D8102" w14:textId="77777777" w:rsidR="00E57DAA" w:rsidRDefault="00AC4185">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6FB0E95"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86B3056"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32A34A7" w14:textId="77777777" w:rsidR="00E57DAA" w:rsidRDefault="00E57DAA">
            <w:pPr>
              <w:jc w:val="right"/>
              <w:rPr>
                <w:szCs w:val="21"/>
              </w:rPr>
            </w:pPr>
          </w:p>
        </w:tc>
      </w:tr>
      <w:tr w:rsidR="00E57DAA" w14:paraId="16AB4EE6"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2AD3A52"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202906151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AA3297D" w14:textId="77777777" w:rsidR="00E57DAA" w:rsidRDefault="00AC4185">
            <w:pPr>
              <w:jc w:val="right"/>
              <w:rPr>
                <w:szCs w:val="21"/>
              </w:rPr>
            </w:pPr>
            <w:r>
              <w:t>272,035,109.69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07B881D"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E2182FE" w14:textId="77777777" w:rsidR="00E57DAA" w:rsidRDefault="00AC4185">
            <w:pPr>
              <w:jc w:val="right"/>
              <w:rPr>
                <w:szCs w:val="21"/>
              </w:rPr>
            </w:pPr>
            <w:r>
              <w:t>1,926,743,071.43</w:t>
            </w:r>
          </w:p>
        </w:tc>
      </w:tr>
      <w:tr w:rsidR="00E57DAA" w14:paraId="7A637A09"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4FE9483" w14:textId="77777777" w:rsidR="00E57DAA" w:rsidRDefault="00AC4185">
            <w:pPr>
              <w:rPr>
                <w:szCs w:val="21"/>
              </w:rPr>
            </w:pPr>
            <w:r>
              <w:t xml:space="preserve">　　　</w:t>
            </w:r>
            <w:sdt>
              <w:sdtPr>
                <w:rPr>
                  <w:szCs w:val="21"/>
                </w:rPr>
                <w:alias w:val="以外币核算的币种明细-币种名称"/>
                <w:tag w:val="_GBC_b9ad493c07994625bf872e807197c998"/>
                <w:id w:val="208656360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5943FF3" w14:textId="77777777" w:rsidR="00E57DAA" w:rsidRDefault="00AC4185">
            <w:pPr>
              <w:jc w:val="right"/>
              <w:rPr>
                <w:szCs w:val="21"/>
              </w:rPr>
            </w:pPr>
            <w:r>
              <w:t>6,861.16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3664FBA" w14:textId="77777777" w:rsidR="00E57DAA" w:rsidRDefault="00AC4185">
            <w:pPr>
              <w:jc w:val="right"/>
              <w:rPr>
                <w:szCs w:val="21"/>
              </w:rPr>
            </w:pPr>
            <w:r>
              <w:t>0.9062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70D758E" w14:textId="77777777" w:rsidR="00E57DAA" w:rsidRDefault="00AC4185">
            <w:pPr>
              <w:jc w:val="right"/>
              <w:rPr>
                <w:szCs w:val="21"/>
              </w:rPr>
            </w:pPr>
            <w:r>
              <w:t>6,217.58</w:t>
            </w:r>
          </w:p>
        </w:tc>
      </w:tr>
      <w:tr w:rsidR="00E57DAA" w14:paraId="7DF4D18B"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554DA6FA" w14:textId="77777777" w:rsidR="00E57DAA" w:rsidRDefault="00AC4185">
            <w:pPr>
              <w:rPr>
                <w:szCs w:val="21"/>
              </w:rPr>
            </w:pPr>
            <w:r>
              <w:t xml:space="preserve">　　　</w:t>
            </w:r>
            <w:sdt>
              <w:sdtPr>
                <w:rPr>
                  <w:szCs w:val="21"/>
                </w:rPr>
                <w:alias w:val="以外币核算的币种明细-币种名称"/>
                <w:tag w:val="_GBC_b9ad493c07994625bf872e807197c998"/>
                <w:id w:val="131313534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F0B9A77" w14:textId="77777777" w:rsidR="00E57DAA" w:rsidRDefault="00AC4185">
            <w:pPr>
              <w:jc w:val="right"/>
              <w:rPr>
                <w:szCs w:val="21"/>
              </w:rPr>
            </w:pPr>
            <w:r>
              <w:t>63,700,228.51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B319250"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7C6BAB0" w14:textId="77777777" w:rsidR="00E57DAA" w:rsidRDefault="00AC4185">
            <w:pPr>
              <w:jc w:val="right"/>
              <w:rPr>
                <w:szCs w:val="21"/>
              </w:rPr>
            </w:pPr>
            <w:r>
              <w:t>500,632,835.92</w:t>
            </w:r>
          </w:p>
        </w:tc>
      </w:tr>
      <w:tr w:rsidR="00E57DAA" w14:paraId="10F3303D"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3417B902" w14:textId="77777777" w:rsidR="00E57DAA" w:rsidRDefault="00AC4185">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D2150C8"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224ADF8"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432EE77" w14:textId="77777777" w:rsidR="00E57DAA" w:rsidRDefault="00E57DAA">
            <w:pPr>
              <w:jc w:val="right"/>
              <w:rPr>
                <w:szCs w:val="21"/>
              </w:rPr>
            </w:pPr>
          </w:p>
        </w:tc>
      </w:tr>
      <w:tr w:rsidR="00E57DAA" w14:paraId="056F6FBB"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5C8E41F1"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33491720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88493B7" w14:textId="77777777" w:rsidR="00E57DAA" w:rsidRDefault="00AC4185">
            <w:pPr>
              <w:jc w:val="right"/>
              <w:rPr>
                <w:szCs w:val="21"/>
              </w:rPr>
            </w:pPr>
            <w:r>
              <w:t>184,260,103.49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123B329"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19D2A61" w14:textId="77777777" w:rsidR="00E57DAA" w:rsidRDefault="00AC4185">
            <w:pPr>
              <w:jc w:val="right"/>
              <w:rPr>
                <w:szCs w:val="21"/>
              </w:rPr>
            </w:pPr>
            <w:r>
              <w:t>1,305,059,034.99</w:t>
            </w:r>
          </w:p>
        </w:tc>
      </w:tr>
      <w:tr w:rsidR="00E57DAA" w14:paraId="0B7F119C"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1F1E1E05" w14:textId="77777777" w:rsidR="00E57DAA" w:rsidRDefault="00AC4185">
            <w:pPr>
              <w:rPr>
                <w:szCs w:val="21"/>
              </w:rPr>
            </w:pPr>
            <w:r>
              <w:t xml:space="preserve">　　　</w:t>
            </w:r>
            <w:sdt>
              <w:sdtPr>
                <w:rPr>
                  <w:szCs w:val="21"/>
                </w:rPr>
                <w:alias w:val="以外币核算的币种明细-币种名称"/>
                <w:tag w:val="_GBC_b9ad493c07994625bf872e807197c998"/>
                <w:id w:val="148157974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17276EB" w14:textId="77777777" w:rsidR="00E57DAA" w:rsidRDefault="00AC4185">
            <w:pPr>
              <w:jc w:val="right"/>
              <w:rPr>
                <w:szCs w:val="21"/>
              </w:rPr>
            </w:pPr>
            <w:r>
              <w:t>62,955,424.26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F4912C3"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161AEE3" w14:textId="77777777" w:rsidR="00E57DAA" w:rsidRDefault="00AC4185">
            <w:pPr>
              <w:jc w:val="right"/>
              <w:rPr>
                <w:szCs w:val="21"/>
              </w:rPr>
            </w:pPr>
            <w:r>
              <w:t>494,779,270.33</w:t>
            </w:r>
          </w:p>
        </w:tc>
      </w:tr>
      <w:tr w:rsidR="00E57DAA" w14:paraId="418DA095"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4D34AAA" w14:textId="77777777" w:rsidR="00E57DAA" w:rsidRDefault="00AC4185">
            <w:pPr>
              <w:rPr>
                <w:szCs w:val="21"/>
              </w:rPr>
            </w:pPr>
            <w:r>
              <w:rPr>
                <w:rFonts w:hint="eastAsia"/>
                <w:szCs w:val="21"/>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8E4300D"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51449D3"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660FB18" w14:textId="77777777" w:rsidR="00E57DAA" w:rsidRDefault="00E57DAA">
            <w:pPr>
              <w:jc w:val="right"/>
              <w:rPr>
                <w:szCs w:val="21"/>
              </w:rPr>
            </w:pPr>
          </w:p>
        </w:tc>
      </w:tr>
      <w:tr w:rsidR="00E57DAA" w14:paraId="012024C3"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71565E4D"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49661314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96C9893" w14:textId="77777777" w:rsidR="00E57DAA" w:rsidRDefault="00AC4185">
            <w:pPr>
              <w:jc w:val="right"/>
              <w:rPr>
                <w:szCs w:val="21"/>
              </w:rPr>
            </w:pPr>
            <w:r>
              <w:t>7,353,487.41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62608C1"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C2ACDA6" w14:textId="77777777" w:rsidR="00E57DAA" w:rsidRDefault="00AC4185">
            <w:pPr>
              <w:jc w:val="right"/>
              <w:rPr>
                <w:szCs w:val="21"/>
              </w:rPr>
            </w:pPr>
            <w:r>
              <w:t>52,082,545.25</w:t>
            </w:r>
          </w:p>
        </w:tc>
      </w:tr>
      <w:tr w:rsidR="00E57DAA" w14:paraId="5143957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92EFCF2" w14:textId="77777777" w:rsidR="00E57DAA" w:rsidRDefault="00AC4185">
            <w:pPr>
              <w:rPr>
                <w:szCs w:val="21"/>
              </w:rPr>
            </w:pPr>
            <w:r>
              <w:t xml:space="preserve">　　　</w:t>
            </w:r>
            <w:sdt>
              <w:sdtPr>
                <w:rPr>
                  <w:szCs w:val="21"/>
                </w:rPr>
                <w:alias w:val="以外币核算的币种明细-币种名称"/>
                <w:tag w:val="_GBC_b9ad493c07994625bf872e807197c998"/>
                <w:id w:val="-186604937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AAA9AEC" w14:textId="77777777" w:rsidR="00E57DAA" w:rsidRDefault="00AC4185">
            <w:pPr>
              <w:jc w:val="right"/>
              <w:rPr>
                <w:szCs w:val="21"/>
              </w:rPr>
            </w:pPr>
            <w:r>
              <w:t>4,088,918.52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E0607DA"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8683845" w14:textId="77777777" w:rsidR="00E57DAA" w:rsidRDefault="00AC4185">
            <w:pPr>
              <w:jc w:val="right"/>
              <w:rPr>
                <w:szCs w:val="21"/>
              </w:rPr>
            </w:pPr>
            <w:r>
              <w:t>32,135,628.43</w:t>
            </w:r>
          </w:p>
        </w:tc>
      </w:tr>
      <w:tr w:rsidR="00E57DAA" w14:paraId="30D8D370"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8CAE84E" w14:textId="77777777" w:rsidR="00E57DAA" w:rsidRDefault="00AC4185">
            <w:pPr>
              <w:rPr>
                <w:szCs w:val="21"/>
              </w:rPr>
            </w:pPr>
            <w:r>
              <w:rPr>
                <w:rFonts w:hint="eastAsia"/>
                <w:szCs w:val="21"/>
              </w:rPr>
              <w:t>长期应收款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B3EB089"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F073415"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266124C" w14:textId="77777777" w:rsidR="00E57DAA" w:rsidRDefault="00E57DAA">
            <w:pPr>
              <w:jc w:val="right"/>
              <w:rPr>
                <w:szCs w:val="21"/>
              </w:rPr>
            </w:pPr>
          </w:p>
        </w:tc>
      </w:tr>
      <w:tr w:rsidR="00E57DAA" w14:paraId="4B98DF93"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93443C3"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28366183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5183BAD" w14:textId="77777777" w:rsidR="00E57DAA" w:rsidRDefault="00AC4185">
            <w:pPr>
              <w:jc w:val="right"/>
              <w:rPr>
                <w:szCs w:val="21"/>
              </w:rPr>
            </w:pPr>
            <w:r>
              <w:t>19,533,812.22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DB61949"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DF503A0" w14:textId="77777777" w:rsidR="00E57DAA" w:rsidRDefault="00AC4185">
            <w:pPr>
              <w:jc w:val="right"/>
              <w:rPr>
                <w:szCs w:val="21"/>
              </w:rPr>
            </w:pPr>
            <w:r>
              <w:t>138,352,131.81</w:t>
            </w:r>
          </w:p>
        </w:tc>
      </w:tr>
      <w:tr w:rsidR="00E57DAA" w14:paraId="14A525E6"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2C5EB0F" w14:textId="77777777" w:rsidR="00E57DAA" w:rsidRDefault="00AC4185">
            <w:pPr>
              <w:rPr>
                <w:szCs w:val="21"/>
              </w:rPr>
            </w:pPr>
            <w:r>
              <w:t xml:space="preserve">　　　</w:t>
            </w:r>
            <w:sdt>
              <w:sdtPr>
                <w:rPr>
                  <w:szCs w:val="21"/>
                </w:rPr>
                <w:alias w:val="以外币核算的币种明细-币种名称"/>
                <w:tag w:val="_GBC_b9ad493c07994625bf872e807197c998"/>
                <w:id w:val="-49326163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DD7846D" w14:textId="77777777" w:rsidR="00E57DAA" w:rsidRDefault="00AC4185">
            <w:pPr>
              <w:jc w:val="right"/>
              <w:rPr>
                <w:szCs w:val="21"/>
              </w:rPr>
            </w:pPr>
            <w:r>
              <w:t>275,400,000.00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0002B9B"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195A343" w14:textId="77777777" w:rsidR="00E57DAA" w:rsidRDefault="00AC4185">
            <w:pPr>
              <w:jc w:val="right"/>
              <w:rPr>
                <w:szCs w:val="21"/>
              </w:rPr>
            </w:pPr>
            <w:r>
              <w:t>2,164,423,680.00</w:t>
            </w:r>
          </w:p>
        </w:tc>
      </w:tr>
      <w:tr w:rsidR="00E57DAA" w14:paraId="5FD0F4F3"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1EAB930B" w14:textId="77777777" w:rsidR="00E57DAA" w:rsidRDefault="00AC4185">
            <w:pPr>
              <w:rPr>
                <w:szCs w:val="21"/>
              </w:rPr>
            </w:pPr>
            <w:r>
              <w:rPr>
                <w:rFonts w:hint="eastAsia"/>
                <w:szCs w:val="21"/>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734C019"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DBA5446"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3FEF6C" w14:textId="77777777" w:rsidR="00E57DAA" w:rsidRDefault="00E57DAA">
            <w:pPr>
              <w:jc w:val="right"/>
              <w:rPr>
                <w:szCs w:val="21"/>
              </w:rPr>
            </w:pPr>
          </w:p>
        </w:tc>
      </w:tr>
      <w:tr w:rsidR="00E57DAA" w14:paraId="230C16AF"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6E51EBB6"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128858713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7CC925D" w14:textId="77777777" w:rsidR="00E57DAA" w:rsidRDefault="00AC4185">
            <w:pPr>
              <w:jc w:val="right"/>
              <w:rPr>
                <w:szCs w:val="21"/>
              </w:rPr>
            </w:pPr>
            <w:r>
              <w:t>22,930,719.57</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E17CD54"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22CFDA9" w14:textId="77777777" w:rsidR="00E57DAA" w:rsidRDefault="00AC4185">
            <w:pPr>
              <w:jc w:val="right"/>
              <w:rPr>
                <w:szCs w:val="21"/>
              </w:rPr>
            </w:pPr>
            <w:r>
              <w:t>180,217,111.21</w:t>
            </w:r>
          </w:p>
        </w:tc>
      </w:tr>
      <w:tr w:rsidR="00E57DAA" w14:paraId="3B0E2BF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1CF0CB2" w14:textId="77777777" w:rsidR="00E57DAA" w:rsidRDefault="00AC4185">
            <w:pPr>
              <w:rPr>
                <w:szCs w:val="21"/>
              </w:rPr>
            </w:pPr>
            <w:r>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26C954"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E066BFD"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769A5E5" w14:textId="77777777" w:rsidR="00E57DAA" w:rsidRDefault="00E57DAA">
            <w:pPr>
              <w:jc w:val="right"/>
              <w:rPr>
                <w:szCs w:val="21"/>
              </w:rPr>
            </w:pPr>
          </w:p>
        </w:tc>
      </w:tr>
      <w:tr w:rsidR="00E57DAA" w14:paraId="388A535B"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9BA7509"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17311067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12891DD" w14:textId="77777777" w:rsidR="00E57DAA" w:rsidRDefault="00AC4185">
            <w:pPr>
              <w:jc w:val="right"/>
              <w:rPr>
                <w:szCs w:val="21"/>
              </w:rPr>
            </w:pPr>
            <w:r>
              <w:t>3,520,926.89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C70C2F2"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CF39AE6" w14:textId="77777777" w:rsidR="00E57DAA" w:rsidRDefault="00AC4185">
            <w:pPr>
              <w:jc w:val="right"/>
              <w:rPr>
                <w:szCs w:val="21"/>
              </w:rPr>
            </w:pPr>
            <w:r>
              <w:t>24,937,668.91</w:t>
            </w:r>
          </w:p>
        </w:tc>
      </w:tr>
      <w:tr w:rsidR="00E57DAA" w14:paraId="6F963094"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DAC8FD1" w14:textId="77777777" w:rsidR="00E57DAA" w:rsidRDefault="00AC4185">
            <w:pPr>
              <w:rPr>
                <w:szCs w:val="21"/>
              </w:rPr>
            </w:pPr>
            <w:r>
              <w:t xml:space="preserve">　　　</w:t>
            </w:r>
            <w:sdt>
              <w:sdtPr>
                <w:rPr>
                  <w:szCs w:val="21"/>
                </w:rPr>
                <w:alias w:val="以外币核算的币种明细-币种名称"/>
                <w:tag w:val="_GBC_b9ad493c07994625bf872e807197c998"/>
                <w:id w:val="163505305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01622E3" w14:textId="77777777" w:rsidR="00E57DAA" w:rsidRDefault="00AC4185">
            <w:pPr>
              <w:jc w:val="right"/>
              <w:rPr>
                <w:szCs w:val="21"/>
              </w:rPr>
            </w:pPr>
            <w:r>
              <w:t>1,103,381.60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C452FC2" w14:textId="77777777" w:rsidR="00E57DAA" w:rsidRDefault="00AC4185">
            <w:pPr>
              <w:jc w:val="right"/>
              <w:rPr>
                <w:szCs w:val="21"/>
              </w:rPr>
            </w:pPr>
            <w:r>
              <w:t>0.9062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54628C1" w14:textId="77777777" w:rsidR="00E57DAA" w:rsidRDefault="00AC4185">
            <w:pPr>
              <w:jc w:val="right"/>
              <w:rPr>
                <w:szCs w:val="21"/>
              </w:rPr>
            </w:pPr>
            <w:r>
              <w:t>999,884.41</w:t>
            </w:r>
          </w:p>
        </w:tc>
      </w:tr>
      <w:tr w:rsidR="00E57DAA" w14:paraId="14E4C6B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6FD28E01" w14:textId="77777777" w:rsidR="00E57DAA" w:rsidRDefault="00AC4185">
            <w:pPr>
              <w:rPr>
                <w:szCs w:val="21"/>
              </w:rPr>
            </w:pPr>
            <w:r>
              <w:t xml:space="preserve">　　　</w:t>
            </w:r>
            <w:sdt>
              <w:sdtPr>
                <w:rPr>
                  <w:szCs w:val="21"/>
                </w:rPr>
                <w:alias w:val="以外币核算的币种明细-币种名称"/>
                <w:tag w:val="_GBC_b9ad493c07994625bf872e807197c998"/>
                <w:id w:val="19396610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B9EC075" w14:textId="77777777" w:rsidR="00E57DAA" w:rsidRDefault="00AC4185">
            <w:pPr>
              <w:jc w:val="right"/>
              <w:rPr>
                <w:szCs w:val="21"/>
              </w:rPr>
            </w:pPr>
            <w:r>
              <w:t>41,916,281.26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44A51B3"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22D09FC" w14:textId="77777777" w:rsidR="00E57DAA" w:rsidRDefault="00AC4185">
            <w:pPr>
              <w:jc w:val="right"/>
              <w:rPr>
                <w:szCs w:val="21"/>
              </w:rPr>
            </w:pPr>
            <w:r>
              <w:t>329,428,437.71</w:t>
            </w:r>
          </w:p>
        </w:tc>
      </w:tr>
      <w:tr w:rsidR="00E57DAA" w14:paraId="66E9FC6D"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7A9115D" w14:textId="77777777" w:rsidR="00E57DAA" w:rsidRDefault="00AC4185">
            <w:pPr>
              <w:rPr>
                <w:szCs w:val="21"/>
              </w:rPr>
            </w:pPr>
            <w:r>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C0BD8F5"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D8EDD03"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CC183CC" w14:textId="77777777" w:rsidR="00E57DAA" w:rsidRDefault="00E57DAA">
            <w:pPr>
              <w:jc w:val="right"/>
              <w:rPr>
                <w:szCs w:val="21"/>
              </w:rPr>
            </w:pPr>
          </w:p>
        </w:tc>
      </w:tr>
      <w:tr w:rsidR="00E57DAA" w14:paraId="1794671D"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3985E134"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136533298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01D482D" w14:textId="77777777" w:rsidR="00E57DAA" w:rsidRDefault="00AC4185">
            <w:pPr>
              <w:jc w:val="right"/>
              <w:rPr>
                <w:szCs w:val="21"/>
              </w:rPr>
            </w:pPr>
            <w:r>
              <w:t>1,940,378.34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E66E0B4" w14:textId="77777777" w:rsidR="00E57DAA" w:rsidRDefault="00AC4185">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BC74AFC" w14:textId="77777777" w:rsidR="00E57DAA" w:rsidRDefault="00AC4185">
            <w:pPr>
              <w:jc w:val="right"/>
              <w:rPr>
                <w:szCs w:val="21"/>
              </w:rPr>
            </w:pPr>
            <w:r>
              <w:t>13,743,117.70</w:t>
            </w:r>
          </w:p>
        </w:tc>
      </w:tr>
      <w:tr w:rsidR="00E57DAA" w14:paraId="563FE9F8"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3344748A" w14:textId="77777777" w:rsidR="00E57DAA" w:rsidRDefault="00AC4185">
            <w:pPr>
              <w:rPr>
                <w:szCs w:val="21"/>
              </w:rPr>
            </w:pPr>
            <w:r>
              <w:t xml:space="preserve">　　　</w:t>
            </w:r>
            <w:sdt>
              <w:sdtPr>
                <w:rPr>
                  <w:szCs w:val="21"/>
                </w:rPr>
                <w:alias w:val="以外币核算的币种明细-币种名称"/>
                <w:tag w:val="_GBC_b9ad493c07994625bf872e807197c998"/>
                <w:id w:val="91699089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437A407" w14:textId="77777777" w:rsidR="00E57DAA" w:rsidRDefault="00AC4185">
            <w:pPr>
              <w:jc w:val="right"/>
              <w:rPr>
                <w:szCs w:val="21"/>
              </w:rPr>
            </w:pPr>
            <w:r>
              <w:t>1,308,117.81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59C8ED6"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2208FF8" w14:textId="77777777" w:rsidR="00E57DAA" w:rsidRDefault="00AC4185">
            <w:pPr>
              <w:jc w:val="right"/>
              <w:rPr>
                <w:szCs w:val="21"/>
              </w:rPr>
            </w:pPr>
            <w:r>
              <w:t>10,280,759.53</w:t>
            </w:r>
          </w:p>
        </w:tc>
      </w:tr>
      <w:tr w:rsidR="00E57DAA" w14:paraId="4841DD9A"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6CFFB6DE" w14:textId="77777777" w:rsidR="00E57DAA" w:rsidRDefault="00AC4185">
            <w:pPr>
              <w:rPr>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9175271" w14:textId="77777777" w:rsidR="00E57DAA" w:rsidRDefault="00AC418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C29330" w14:textId="77777777" w:rsidR="00E57DAA" w:rsidRDefault="00AC418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99585FC" w14:textId="77777777" w:rsidR="00E57DAA" w:rsidRDefault="00E57DAA">
            <w:pPr>
              <w:jc w:val="right"/>
              <w:rPr>
                <w:szCs w:val="21"/>
              </w:rPr>
            </w:pPr>
          </w:p>
        </w:tc>
      </w:tr>
      <w:tr w:rsidR="00E57DAA" w14:paraId="7E45CFB0"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1DF3A9C" w14:textId="77777777" w:rsidR="00E57DAA" w:rsidRDefault="00AC4185">
            <w:pPr>
              <w:rPr>
                <w:szCs w:val="21"/>
              </w:rPr>
            </w:pPr>
            <w:r>
              <w:rPr>
                <w:rFonts w:hint="eastAsia"/>
                <w:szCs w:val="21"/>
              </w:rPr>
              <w:t>其中：</w:t>
            </w:r>
            <w:sdt>
              <w:sdtPr>
                <w:rPr>
                  <w:szCs w:val="21"/>
                </w:rPr>
                <w:alias w:val="以外币核算的币种明细-币种名称"/>
                <w:tag w:val="_GBC_b9ad493c07994625bf872e807197c998"/>
                <w:id w:val="-84539675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BD82819" w14:textId="77777777" w:rsidR="00E57DAA" w:rsidRDefault="00AC4185">
            <w:pPr>
              <w:jc w:val="right"/>
              <w:rPr>
                <w:szCs w:val="21"/>
              </w:rPr>
            </w:pPr>
            <w:r>
              <w:t>21,117,049.19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E870E1C" w14:textId="77777777" w:rsidR="00E57DAA" w:rsidRDefault="00AC4185">
            <w:pPr>
              <w:jc w:val="right"/>
              <w:rPr>
                <w:szCs w:val="21"/>
              </w:rPr>
            </w:pPr>
            <w: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E354FDF" w14:textId="77777777" w:rsidR="00E57DAA" w:rsidRDefault="00AC4185">
            <w:pPr>
              <w:jc w:val="right"/>
              <w:rPr>
                <w:szCs w:val="21"/>
              </w:rPr>
            </w:pPr>
            <w:r>
              <w:t>165,963,112.96</w:t>
            </w:r>
          </w:p>
        </w:tc>
      </w:tr>
    </w:tbl>
    <w:p w14:paraId="573D7D2F" w14:textId="77777777" w:rsidR="00E57DAA" w:rsidRDefault="00E57DAA" w:rsidP="00C25422">
      <w:pPr>
        <w:pStyle w:val="92"/>
      </w:pPr>
    </w:p>
    <w:p w14:paraId="6CF863CA" w14:textId="77777777" w:rsidR="00E57DAA" w:rsidRDefault="00E57DAA">
      <w:pPr>
        <w:rPr>
          <w:szCs w:val="21"/>
        </w:rPr>
      </w:pPr>
    </w:p>
    <w:p w14:paraId="101935EB" w14:textId="77777777" w:rsidR="00E57DAA" w:rsidRDefault="00E57DAA">
      <w:pPr>
        <w:rPr>
          <w:szCs w:val="21"/>
        </w:rPr>
      </w:pPr>
    </w:p>
    <w:p w14:paraId="323643D3" w14:textId="77777777" w:rsidR="00E57DAA" w:rsidRDefault="00AC4185">
      <w:pPr>
        <w:pStyle w:val="4"/>
        <w:numPr>
          <w:ilvl w:val="0"/>
          <w:numId w:val="107"/>
        </w:numPr>
        <w:ind w:left="426" w:hanging="426"/>
        <w:rPr>
          <w:szCs w:val="21"/>
        </w:rPr>
      </w:pPr>
      <w:r>
        <w:rPr>
          <w:rStyle w:val="85"/>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66D4CC1E" w14:textId="77777777" w:rsidR="00E57DAA" w:rsidRDefault="00EB41A1">
      <w:pPr>
        <w:rPr>
          <w:szCs w:val="21"/>
        </w:rPr>
      </w:pPr>
      <w:sdt>
        <w:sdtPr>
          <w:rPr>
            <w:szCs w:val="21"/>
          </w:rPr>
          <w:alias w:val="是否适用：境外经营实体主要报表项目的折算汇率[双击切换]"/>
          <w:tag w:val="_GBC_c433d39e245c4fb79cd5170717bb5b9c"/>
          <w:id w:val="442199097"/>
          <w:placeholder>
            <w:docPart w:val="GBC22222222222222222222222222222"/>
          </w:placeholder>
        </w:sdtPr>
        <w:sdtEndPr/>
        <w:sdtContent>
          <w:r w:rsidR="00AC4185">
            <w:rPr>
              <w:szCs w:val="21"/>
            </w:rPr>
            <w:fldChar w:fldCharType="begin"/>
          </w:r>
          <w:r w:rsidR="00AC4185">
            <w:rPr>
              <w:rFonts w:hint="eastAsia"/>
              <w:szCs w:val="21"/>
            </w:rPr>
            <w:instrText xml:space="preserve">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p>
    <w:sdt>
      <w:sdtPr>
        <w:rPr>
          <w:sz w:val="20"/>
          <w:szCs w:val="21"/>
        </w:rPr>
        <w:alias w:val="境外经营实体主要报表项目的折算汇率"/>
        <w:tag w:val="_GBC_24ad08f8e8ec4d4db3f0bf80f7306c7e"/>
        <w:id w:val="540247676"/>
        <w:placeholder>
          <w:docPart w:val="GBC22222222222222222222222222222"/>
        </w:placeholder>
      </w:sdtPr>
      <w:sdtEndPr>
        <w:rPr>
          <w:sz w:val="21"/>
          <w:szCs w:val="24"/>
        </w:rPr>
      </w:sdtEndPr>
      <w:sdtContent>
        <w:p w14:paraId="0CA78C45" w14:textId="77777777" w:rsidR="00E57DAA" w:rsidRDefault="00E57DAA">
          <w:pPr>
            <w:rPr>
              <w:szCs w:val="21"/>
            </w:rPr>
          </w:pPr>
        </w:p>
        <w:tbl>
          <w:tblPr>
            <w:tblStyle w:val="g9"/>
            <w:tblW w:w="0" w:type="auto"/>
            <w:tblLook w:val="04A0" w:firstRow="1" w:lastRow="0" w:firstColumn="1" w:lastColumn="0" w:noHBand="0" w:noVBand="1"/>
          </w:tblPr>
          <w:tblGrid>
            <w:gridCol w:w="4503"/>
            <w:gridCol w:w="1984"/>
            <w:gridCol w:w="2336"/>
          </w:tblGrid>
          <w:tr w:rsidR="00E57DAA" w14:paraId="246AD204" w14:textId="77777777">
            <w:tc>
              <w:tcPr>
                <w:tcW w:w="4503" w:type="dxa"/>
              </w:tcPr>
              <w:p w14:paraId="12BCDFBA" w14:textId="77777777" w:rsidR="00E57DAA" w:rsidRDefault="00AC4185">
                <w:pPr>
                  <w:jc w:val="center"/>
                </w:pPr>
                <w:r>
                  <w:t>重要境外子公司</w:t>
                </w:r>
              </w:p>
            </w:tc>
            <w:tc>
              <w:tcPr>
                <w:tcW w:w="1984" w:type="dxa"/>
              </w:tcPr>
              <w:p w14:paraId="72DF9FEF" w14:textId="77777777" w:rsidR="00E57DAA" w:rsidRDefault="00AC4185">
                <w:pPr>
                  <w:jc w:val="center"/>
                </w:pPr>
                <w:r>
                  <w:t>主要经营地</w:t>
                </w:r>
              </w:p>
            </w:tc>
            <w:tc>
              <w:tcPr>
                <w:tcW w:w="2336" w:type="dxa"/>
              </w:tcPr>
              <w:p w14:paraId="08078AF7" w14:textId="77777777" w:rsidR="00E57DAA" w:rsidRDefault="00AC4185">
                <w:pPr>
                  <w:jc w:val="center"/>
                </w:pPr>
                <w:r>
                  <w:t>记账本位币</w:t>
                </w:r>
              </w:p>
            </w:tc>
          </w:tr>
          <w:tr w:rsidR="00E57DAA" w14:paraId="15C3328C" w14:textId="77777777">
            <w:tc>
              <w:tcPr>
                <w:tcW w:w="4503" w:type="dxa"/>
              </w:tcPr>
              <w:p w14:paraId="3107A458" w14:textId="77777777" w:rsidR="00E57DAA" w:rsidRDefault="00AC4185" w:rsidP="00C25422">
                <w:pPr>
                  <w:pStyle w:val="92"/>
                </w:pPr>
                <w:r>
                  <w:t>德国HAZEMAG公司</w:t>
                </w:r>
              </w:p>
            </w:tc>
            <w:tc>
              <w:tcPr>
                <w:tcW w:w="1984" w:type="dxa"/>
              </w:tcPr>
              <w:p w14:paraId="0D3882FD" w14:textId="77777777" w:rsidR="00E57DAA" w:rsidRDefault="00AC4185" w:rsidP="00C25422">
                <w:pPr>
                  <w:pStyle w:val="92"/>
                </w:pPr>
                <w:r>
                  <w:t>德国</w:t>
                </w:r>
              </w:p>
            </w:tc>
            <w:tc>
              <w:tcPr>
                <w:tcW w:w="2336" w:type="dxa"/>
              </w:tcPr>
              <w:p w14:paraId="4C05CE2B" w14:textId="77777777" w:rsidR="00E57DAA" w:rsidRDefault="00AC4185" w:rsidP="00C25422">
                <w:pPr>
                  <w:pStyle w:val="92"/>
                </w:pPr>
                <w:r>
                  <w:t>欧元</w:t>
                </w:r>
              </w:p>
            </w:tc>
          </w:tr>
          <w:tr w:rsidR="00E57DAA" w14:paraId="481BCA1C" w14:textId="77777777">
            <w:tc>
              <w:tcPr>
                <w:tcW w:w="4503" w:type="dxa"/>
              </w:tcPr>
              <w:p w14:paraId="7C76E00D" w14:textId="77777777" w:rsidR="00E57DAA" w:rsidRDefault="00AC4185" w:rsidP="00C25422">
                <w:pPr>
                  <w:pStyle w:val="92"/>
                </w:pPr>
                <w:r>
                  <w:t>能源和基建有限公司</w:t>
                </w:r>
              </w:p>
            </w:tc>
            <w:tc>
              <w:tcPr>
                <w:tcW w:w="1984" w:type="dxa"/>
              </w:tcPr>
              <w:p w14:paraId="777E3F97" w14:textId="77777777" w:rsidR="00E57DAA" w:rsidRDefault="00AC4185" w:rsidP="00C25422">
                <w:pPr>
                  <w:pStyle w:val="92"/>
                </w:pPr>
                <w:r>
                  <w:t>沙特</w:t>
                </w:r>
              </w:p>
            </w:tc>
            <w:tc>
              <w:tcPr>
                <w:tcW w:w="2336" w:type="dxa"/>
              </w:tcPr>
              <w:p w14:paraId="415A8136" w14:textId="77777777" w:rsidR="00E57DAA" w:rsidRDefault="00AC4185" w:rsidP="00C25422">
                <w:pPr>
                  <w:pStyle w:val="92"/>
                </w:pPr>
                <w:r>
                  <w:t>里亚尔</w:t>
                </w:r>
              </w:p>
            </w:tc>
          </w:tr>
          <w:tr w:rsidR="00E57DAA" w14:paraId="2FCB03B0" w14:textId="77777777">
            <w:tc>
              <w:tcPr>
                <w:tcW w:w="4503" w:type="dxa"/>
              </w:tcPr>
              <w:p w14:paraId="6D2577AD" w14:textId="77777777" w:rsidR="00E57DAA" w:rsidRDefault="00AC4185" w:rsidP="00C25422">
                <w:pPr>
                  <w:pStyle w:val="92"/>
                </w:pPr>
                <w:r>
                  <w:t>中国中材国际（香港）有限公司</w:t>
                </w:r>
              </w:p>
            </w:tc>
            <w:tc>
              <w:tcPr>
                <w:tcW w:w="1984" w:type="dxa"/>
              </w:tcPr>
              <w:p w14:paraId="516D0A14" w14:textId="77777777" w:rsidR="00E57DAA" w:rsidRDefault="00AC4185" w:rsidP="00C25422">
                <w:pPr>
                  <w:pStyle w:val="92"/>
                </w:pPr>
                <w:r>
                  <w:t>香港</w:t>
                </w:r>
              </w:p>
            </w:tc>
            <w:tc>
              <w:tcPr>
                <w:tcW w:w="2336" w:type="dxa"/>
              </w:tcPr>
              <w:p w14:paraId="5F288033" w14:textId="77777777" w:rsidR="00E57DAA" w:rsidRDefault="00AC4185" w:rsidP="00C25422">
                <w:pPr>
                  <w:pStyle w:val="92"/>
                </w:pPr>
                <w:r>
                  <w:t>人民币</w:t>
                </w:r>
              </w:p>
            </w:tc>
          </w:tr>
          <w:tr w:rsidR="00E57DAA" w14:paraId="72C186B6" w14:textId="77777777">
            <w:tc>
              <w:tcPr>
                <w:tcW w:w="4503" w:type="dxa"/>
              </w:tcPr>
              <w:p w14:paraId="1A5944A4" w14:textId="77777777" w:rsidR="00E57DAA" w:rsidRDefault="00AC4185" w:rsidP="00C25422">
                <w:pPr>
                  <w:pStyle w:val="92"/>
                </w:pPr>
                <w:r>
                  <w:t>印度LNVT私人有限公司</w:t>
                </w:r>
              </w:p>
            </w:tc>
            <w:tc>
              <w:tcPr>
                <w:tcW w:w="1984" w:type="dxa"/>
              </w:tcPr>
              <w:p w14:paraId="6DAB08EA" w14:textId="77777777" w:rsidR="00E57DAA" w:rsidRDefault="00AC4185" w:rsidP="00C25422">
                <w:pPr>
                  <w:pStyle w:val="92"/>
                </w:pPr>
                <w:r>
                  <w:t>印度</w:t>
                </w:r>
              </w:p>
            </w:tc>
            <w:tc>
              <w:tcPr>
                <w:tcW w:w="2336" w:type="dxa"/>
              </w:tcPr>
              <w:p w14:paraId="5581E1D5" w14:textId="77777777" w:rsidR="00E57DAA" w:rsidRDefault="00AC4185" w:rsidP="00C25422">
                <w:pPr>
                  <w:pStyle w:val="92"/>
                </w:pPr>
                <w:r>
                  <w:t>卢比</w:t>
                </w:r>
              </w:p>
            </w:tc>
          </w:tr>
          <w:tr w:rsidR="00E57DAA" w14:paraId="38F37457" w14:textId="77777777">
            <w:tc>
              <w:tcPr>
                <w:tcW w:w="4503" w:type="dxa"/>
              </w:tcPr>
              <w:p w14:paraId="0559E843" w14:textId="77777777" w:rsidR="00E57DAA" w:rsidRDefault="00AC4185" w:rsidP="00C25422">
                <w:pPr>
                  <w:pStyle w:val="92"/>
                </w:pPr>
                <w:r>
                  <w:t>南京凯盛（波兰）有限公司</w:t>
                </w:r>
              </w:p>
            </w:tc>
            <w:tc>
              <w:tcPr>
                <w:tcW w:w="1984" w:type="dxa"/>
              </w:tcPr>
              <w:p w14:paraId="652FF46E" w14:textId="77777777" w:rsidR="00E57DAA" w:rsidRDefault="00AC4185" w:rsidP="00C25422">
                <w:pPr>
                  <w:pStyle w:val="92"/>
                </w:pPr>
                <w:r>
                  <w:t>波兰</w:t>
                </w:r>
              </w:p>
            </w:tc>
            <w:tc>
              <w:tcPr>
                <w:tcW w:w="2336" w:type="dxa"/>
              </w:tcPr>
              <w:p w14:paraId="7BC11299" w14:textId="77777777" w:rsidR="00E57DAA" w:rsidRDefault="00AC4185" w:rsidP="00C25422">
                <w:pPr>
                  <w:pStyle w:val="92"/>
                </w:pPr>
                <w:r>
                  <w:t>兹罗提</w:t>
                </w:r>
              </w:p>
            </w:tc>
          </w:tr>
          <w:tr w:rsidR="00E57DAA" w14:paraId="1C509607" w14:textId="77777777">
            <w:tc>
              <w:tcPr>
                <w:tcW w:w="4503" w:type="dxa"/>
              </w:tcPr>
              <w:p w14:paraId="6EC2F1B6" w14:textId="77777777" w:rsidR="00E57DAA" w:rsidRDefault="00AC4185" w:rsidP="00C25422">
                <w:pPr>
                  <w:pStyle w:val="92"/>
                </w:pPr>
                <w:r>
                  <w:t>中材装备集团有限公司迪拜公司</w:t>
                </w:r>
              </w:p>
            </w:tc>
            <w:tc>
              <w:tcPr>
                <w:tcW w:w="1984" w:type="dxa"/>
              </w:tcPr>
              <w:p w14:paraId="47BFD797" w14:textId="77777777" w:rsidR="00E57DAA" w:rsidRDefault="00AC4185" w:rsidP="00C25422">
                <w:pPr>
                  <w:pStyle w:val="92"/>
                </w:pPr>
                <w:r>
                  <w:t>阿联酋</w:t>
                </w:r>
              </w:p>
            </w:tc>
            <w:tc>
              <w:tcPr>
                <w:tcW w:w="2336" w:type="dxa"/>
              </w:tcPr>
              <w:p w14:paraId="25BE9B17" w14:textId="77777777" w:rsidR="00E57DAA" w:rsidRDefault="00AC4185" w:rsidP="00C25422">
                <w:pPr>
                  <w:pStyle w:val="92"/>
                </w:pPr>
                <w:r>
                  <w:t>美元</w:t>
                </w:r>
              </w:p>
            </w:tc>
          </w:tr>
          <w:tr w:rsidR="00E57DAA" w14:paraId="127A140F" w14:textId="77777777">
            <w:tc>
              <w:tcPr>
                <w:tcW w:w="4503" w:type="dxa"/>
              </w:tcPr>
              <w:p w14:paraId="5A9847C2" w14:textId="77777777" w:rsidR="00E57DAA" w:rsidRDefault="00AC4185" w:rsidP="00C25422">
                <w:pPr>
                  <w:pStyle w:val="92"/>
                </w:pPr>
                <w:r>
                  <w:t>CITEC印度尼西亚工程公司</w:t>
                </w:r>
              </w:p>
            </w:tc>
            <w:tc>
              <w:tcPr>
                <w:tcW w:w="1984" w:type="dxa"/>
              </w:tcPr>
              <w:p w14:paraId="1F05C6AE" w14:textId="77777777" w:rsidR="00E57DAA" w:rsidRDefault="00AC4185" w:rsidP="00C25422">
                <w:pPr>
                  <w:pStyle w:val="92"/>
                </w:pPr>
                <w:r>
                  <w:t>印度尼西亚</w:t>
                </w:r>
              </w:p>
            </w:tc>
            <w:tc>
              <w:tcPr>
                <w:tcW w:w="2336" w:type="dxa"/>
              </w:tcPr>
              <w:p w14:paraId="3BA3B596" w14:textId="77777777" w:rsidR="00E57DAA" w:rsidRDefault="00AC4185" w:rsidP="00C25422">
                <w:pPr>
                  <w:pStyle w:val="92"/>
                </w:pPr>
                <w:r>
                  <w:t>印尼盾</w:t>
                </w:r>
              </w:p>
            </w:tc>
          </w:tr>
          <w:tr w:rsidR="00E57DAA" w14:paraId="31069ED2" w14:textId="77777777">
            <w:tc>
              <w:tcPr>
                <w:tcW w:w="4503" w:type="dxa"/>
              </w:tcPr>
              <w:p w14:paraId="706051BF" w14:textId="77777777" w:rsidR="00E57DAA" w:rsidRDefault="00AC4185" w:rsidP="00C25422">
                <w:pPr>
                  <w:pStyle w:val="92"/>
                </w:pPr>
                <w:r>
                  <w:t>中材国际工业工程（马）有限公司</w:t>
                </w:r>
              </w:p>
            </w:tc>
            <w:tc>
              <w:tcPr>
                <w:tcW w:w="1984" w:type="dxa"/>
              </w:tcPr>
              <w:p w14:paraId="3A2D0579" w14:textId="77777777" w:rsidR="00E57DAA" w:rsidRDefault="00AC4185" w:rsidP="00C25422">
                <w:pPr>
                  <w:pStyle w:val="92"/>
                </w:pPr>
                <w:r>
                  <w:t>马来西亚</w:t>
                </w:r>
              </w:p>
            </w:tc>
            <w:tc>
              <w:tcPr>
                <w:tcW w:w="2336" w:type="dxa"/>
              </w:tcPr>
              <w:p w14:paraId="6C37BAD0" w14:textId="77777777" w:rsidR="00E57DAA" w:rsidRDefault="00AC4185" w:rsidP="00C25422">
                <w:pPr>
                  <w:pStyle w:val="92"/>
                </w:pPr>
                <w:r>
                  <w:t>林吉特</w:t>
                </w:r>
              </w:p>
            </w:tc>
          </w:tr>
          <w:tr w:rsidR="00E57DAA" w14:paraId="2CCC44BA" w14:textId="77777777">
            <w:tc>
              <w:tcPr>
                <w:tcW w:w="4503" w:type="dxa"/>
              </w:tcPr>
              <w:p w14:paraId="6607AF6F" w14:textId="77777777" w:rsidR="00E57DAA" w:rsidRDefault="00AC4185" w:rsidP="00C25422">
                <w:pPr>
                  <w:pStyle w:val="92"/>
                </w:pPr>
                <w:r>
                  <w:t>中材宁锐（南京）国际物流尼日利亚子公司</w:t>
                </w:r>
              </w:p>
            </w:tc>
            <w:tc>
              <w:tcPr>
                <w:tcW w:w="1984" w:type="dxa"/>
              </w:tcPr>
              <w:p w14:paraId="4FE22AA9" w14:textId="77777777" w:rsidR="00E57DAA" w:rsidRDefault="00AC4185" w:rsidP="00C25422">
                <w:pPr>
                  <w:pStyle w:val="92"/>
                </w:pPr>
                <w:r>
                  <w:t>尼日利亚</w:t>
                </w:r>
              </w:p>
            </w:tc>
            <w:tc>
              <w:tcPr>
                <w:tcW w:w="2336" w:type="dxa"/>
              </w:tcPr>
              <w:p w14:paraId="328B8078" w14:textId="77777777" w:rsidR="00E57DAA" w:rsidRDefault="00AC4185" w:rsidP="00C25422">
                <w:pPr>
                  <w:pStyle w:val="92"/>
                </w:pPr>
                <w:r>
                  <w:t>尼日利亚奈拉</w:t>
                </w:r>
              </w:p>
            </w:tc>
          </w:tr>
          <w:tr w:rsidR="00E57DAA" w14:paraId="70CA1C08" w14:textId="77777777">
            <w:tc>
              <w:tcPr>
                <w:tcW w:w="4503" w:type="dxa"/>
              </w:tcPr>
              <w:p w14:paraId="337551D6" w14:textId="77777777" w:rsidR="00E57DAA" w:rsidRDefault="00AC4185" w:rsidP="00C25422">
                <w:pPr>
                  <w:pStyle w:val="92"/>
                </w:pPr>
                <w:r>
                  <w:t>FABCOM   STRUCTURAL LTD</w:t>
                </w:r>
              </w:p>
            </w:tc>
            <w:tc>
              <w:tcPr>
                <w:tcW w:w="1984" w:type="dxa"/>
              </w:tcPr>
              <w:p w14:paraId="36D15669" w14:textId="77777777" w:rsidR="00E57DAA" w:rsidRDefault="00AC4185" w:rsidP="00C25422">
                <w:pPr>
                  <w:pStyle w:val="92"/>
                </w:pPr>
                <w:r>
                  <w:t>尼日利亚</w:t>
                </w:r>
              </w:p>
            </w:tc>
            <w:tc>
              <w:tcPr>
                <w:tcW w:w="2336" w:type="dxa"/>
              </w:tcPr>
              <w:p w14:paraId="17ECC18E" w14:textId="77777777" w:rsidR="00E57DAA" w:rsidRDefault="00AC4185" w:rsidP="00C25422">
                <w:pPr>
                  <w:pStyle w:val="92"/>
                </w:pPr>
                <w:r>
                  <w:t>尼日利亚奈拉</w:t>
                </w:r>
              </w:p>
            </w:tc>
          </w:tr>
          <w:tr w:rsidR="00E57DAA" w14:paraId="5C936435" w14:textId="77777777">
            <w:tc>
              <w:tcPr>
                <w:tcW w:w="4503" w:type="dxa"/>
              </w:tcPr>
              <w:p w14:paraId="14A248A2" w14:textId="77777777" w:rsidR="00E57DAA" w:rsidRDefault="00AC4185" w:rsidP="00C25422">
                <w:pPr>
                  <w:pStyle w:val="92"/>
                </w:pPr>
                <w:r>
                  <w:t>中材矿山建设老挝有限公司</w:t>
                </w:r>
              </w:p>
            </w:tc>
            <w:tc>
              <w:tcPr>
                <w:tcW w:w="1984" w:type="dxa"/>
              </w:tcPr>
              <w:p w14:paraId="30C92DB8" w14:textId="77777777" w:rsidR="00E57DAA" w:rsidRDefault="00AC4185" w:rsidP="00C25422">
                <w:pPr>
                  <w:pStyle w:val="92"/>
                </w:pPr>
                <w:r>
                  <w:t>老挝</w:t>
                </w:r>
              </w:p>
            </w:tc>
            <w:tc>
              <w:tcPr>
                <w:tcW w:w="2336" w:type="dxa"/>
              </w:tcPr>
              <w:p w14:paraId="30EBAE88" w14:textId="77777777" w:rsidR="00E57DAA" w:rsidRDefault="00AC4185" w:rsidP="00C25422">
                <w:pPr>
                  <w:pStyle w:val="92"/>
                </w:pPr>
                <w:r>
                  <w:t>人民币</w:t>
                </w:r>
              </w:p>
            </w:tc>
          </w:tr>
          <w:tr w:rsidR="00E57DAA" w14:paraId="3551B9ED" w14:textId="77777777">
            <w:tc>
              <w:tcPr>
                <w:tcW w:w="4503" w:type="dxa"/>
              </w:tcPr>
              <w:p w14:paraId="1D782610" w14:textId="77777777" w:rsidR="00E57DAA" w:rsidRDefault="00AC4185" w:rsidP="00C25422">
                <w:pPr>
                  <w:pStyle w:val="92"/>
                </w:pPr>
                <w:r>
                  <w:t>新迈克工程（中东）有限公司</w:t>
                </w:r>
              </w:p>
            </w:tc>
            <w:tc>
              <w:tcPr>
                <w:tcW w:w="1984" w:type="dxa"/>
              </w:tcPr>
              <w:p w14:paraId="2559015E" w14:textId="77777777" w:rsidR="00E57DAA" w:rsidRDefault="00AC4185" w:rsidP="00C25422">
                <w:pPr>
                  <w:pStyle w:val="92"/>
                </w:pPr>
                <w:r>
                  <w:t>阿联酋</w:t>
                </w:r>
              </w:p>
            </w:tc>
            <w:tc>
              <w:tcPr>
                <w:tcW w:w="2336" w:type="dxa"/>
              </w:tcPr>
              <w:p w14:paraId="6296268C" w14:textId="77777777" w:rsidR="00E57DAA" w:rsidRDefault="00AC4185" w:rsidP="00C25422">
                <w:pPr>
                  <w:pStyle w:val="92"/>
                </w:pPr>
                <w:r>
                  <w:t>人民币</w:t>
                </w:r>
              </w:p>
            </w:tc>
          </w:tr>
          <w:tr w:rsidR="00E57DAA" w14:paraId="7F14F438" w14:textId="77777777">
            <w:tc>
              <w:tcPr>
                <w:tcW w:w="4503" w:type="dxa"/>
              </w:tcPr>
              <w:p w14:paraId="1B56969C" w14:textId="77777777" w:rsidR="00E57DAA" w:rsidRDefault="00AC4185" w:rsidP="00C25422">
                <w:pPr>
                  <w:pStyle w:val="92"/>
                </w:pPr>
                <w:r>
                  <w:t>中材工贸（伊拉克）有限公司</w:t>
                </w:r>
              </w:p>
            </w:tc>
            <w:tc>
              <w:tcPr>
                <w:tcW w:w="1984" w:type="dxa"/>
              </w:tcPr>
              <w:p w14:paraId="63DCAC85" w14:textId="77777777" w:rsidR="00E57DAA" w:rsidRDefault="00AC4185" w:rsidP="00C25422">
                <w:pPr>
                  <w:pStyle w:val="92"/>
                </w:pPr>
                <w:r>
                  <w:t>伊拉克</w:t>
                </w:r>
              </w:p>
            </w:tc>
            <w:tc>
              <w:tcPr>
                <w:tcW w:w="2336" w:type="dxa"/>
              </w:tcPr>
              <w:p w14:paraId="23D35FF5" w14:textId="77777777" w:rsidR="00E57DAA" w:rsidRDefault="00AC4185" w:rsidP="00C25422">
                <w:pPr>
                  <w:pStyle w:val="92"/>
                </w:pPr>
                <w:r>
                  <w:t>人民币</w:t>
                </w:r>
              </w:p>
            </w:tc>
          </w:tr>
          <w:tr w:rsidR="00E57DAA" w14:paraId="1562647A" w14:textId="77777777">
            <w:tc>
              <w:tcPr>
                <w:tcW w:w="4503" w:type="dxa"/>
              </w:tcPr>
              <w:p w14:paraId="61EA0DB7" w14:textId="77777777" w:rsidR="00E57DAA" w:rsidRDefault="00AC4185" w:rsidP="00C25422">
                <w:pPr>
                  <w:pStyle w:val="92"/>
                </w:pPr>
                <w:r>
                  <w:t>中建材智慧工业埃塞公司</w:t>
                </w:r>
              </w:p>
            </w:tc>
            <w:tc>
              <w:tcPr>
                <w:tcW w:w="1984" w:type="dxa"/>
              </w:tcPr>
              <w:p w14:paraId="6B1D0B9B" w14:textId="77777777" w:rsidR="00E57DAA" w:rsidRDefault="00AC4185" w:rsidP="00C25422">
                <w:pPr>
                  <w:pStyle w:val="92"/>
                </w:pPr>
                <w:r>
                  <w:t>埃塞俄比亚</w:t>
                </w:r>
              </w:p>
            </w:tc>
            <w:tc>
              <w:tcPr>
                <w:tcW w:w="2336" w:type="dxa"/>
              </w:tcPr>
              <w:p w14:paraId="54532940" w14:textId="77777777" w:rsidR="00E57DAA" w:rsidRDefault="00AC4185" w:rsidP="00C25422">
                <w:pPr>
                  <w:pStyle w:val="92"/>
                </w:pPr>
                <w:r>
                  <w:t>比尔</w:t>
                </w:r>
              </w:p>
            </w:tc>
          </w:tr>
          <w:tr w:rsidR="00E57DAA" w14:paraId="15443F32" w14:textId="77777777">
            <w:tc>
              <w:tcPr>
                <w:tcW w:w="4503" w:type="dxa"/>
              </w:tcPr>
              <w:p w14:paraId="7AB56932" w14:textId="77777777" w:rsidR="00E57DAA" w:rsidRDefault="00AC4185" w:rsidP="00C25422">
                <w:pPr>
                  <w:pStyle w:val="92"/>
                </w:pPr>
                <w:r>
                  <w:t>中材宁锐（南京）国际物流越南子公司</w:t>
                </w:r>
              </w:p>
            </w:tc>
            <w:tc>
              <w:tcPr>
                <w:tcW w:w="1984" w:type="dxa"/>
              </w:tcPr>
              <w:p w14:paraId="1C918AF1" w14:textId="77777777" w:rsidR="00E57DAA" w:rsidRDefault="00AC4185" w:rsidP="00C25422">
                <w:pPr>
                  <w:pStyle w:val="92"/>
                </w:pPr>
                <w:r>
                  <w:t>越南</w:t>
                </w:r>
              </w:p>
            </w:tc>
            <w:tc>
              <w:tcPr>
                <w:tcW w:w="2336" w:type="dxa"/>
              </w:tcPr>
              <w:p w14:paraId="168C090F" w14:textId="77777777" w:rsidR="00E57DAA" w:rsidRDefault="00AC4185" w:rsidP="00C25422">
                <w:pPr>
                  <w:pStyle w:val="92"/>
                </w:pPr>
                <w:r>
                  <w:t>越南盾</w:t>
                </w:r>
              </w:p>
            </w:tc>
          </w:tr>
          <w:tr w:rsidR="00E57DAA" w14:paraId="1E9DACB9" w14:textId="77777777">
            <w:tc>
              <w:tcPr>
                <w:tcW w:w="4503" w:type="dxa"/>
              </w:tcPr>
              <w:p w14:paraId="76392439" w14:textId="77777777" w:rsidR="00E57DAA" w:rsidRDefault="00AC4185" w:rsidP="00C25422">
                <w:pPr>
                  <w:pStyle w:val="92"/>
                </w:pPr>
                <w:r>
                  <w:t>中阿现代工业工程公司</w:t>
                </w:r>
              </w:p>
            </w:tc>
            <w:tc>
              <w:tcPr>
                <w:tcW w:w="1984" w:type="dxa"/>
              </w:tcPr>
              <w:p w14:paraId="092F8E5B" w14:textId="77777777" w:rsidR="00E57DAA" w:rsidRDefault="00AC4185" w:rsidP="00C25422">
                <w:pPr>
                  <w:pStyle w:val="92"/>
                </w:pPr>
                <w:r>
                  <w:t>阿尔及利亚</w:t>
                </w:r>
              </w:p>
            </w:tc>
            <w:tc>
              <w:tcPr>
                <w:tcW w:w="2336" w:type="dxa"/>
              </w:tcPr>
              <w:p w14:paraId="0074DF0D" w14:textId="77777777" w:rsidR="00E57DAA" w:rsidRDefault="00AC4185" w:rsidP="00C25422">
                <w:pPr>
                  <w:pStyle w:val="92"/>
                </w:pPr>
                <w:r>
                  <w:t>人民币</w:t>
                </w:r>
              </w:p>
            </w:tc>
          </w:tr>
          <w:tr w:rsidR="00E57DAA" w14:paraId="6CBEFEEE" w14:textId="77777777">
            <w:tc>
              <w:tcPr>
                <w:tcW w:w="4503" w:type="dxa"/>
              </w:tcPr>
              <w:p w14:paraId="21F7F520" w14:textId="77777777" w:rsidR="00E57DAA" w:rsidRDefault="00AC4185" w:rsidP="00C25422">
                <w:pPr>
                  <w:pStyle w:val="92"/>
                </w:pPr>
                <w:r>
                  <w:t>中国建材屋面系统肯尼亚有限公司</w:t>
                </w:r>
              </w:p>
            </w:tc>
            <w:tc>
              <w:tcPr>
                <w:tcW w:w="1984" w:type="dxa"/>
              </w:tcPr>
              <w:p w14:paraId="40838948" w14:textId="77777777" w:rsidR="00E57DAA" w:rsidRDefault="00AC4185" w:rsidP="00C25422">
                <w:pPr>
                  <w:pStyle w:val="92"/>
                </w:pPr>
                <w:r>
                  <w:t>肯尼亚</w:t>
                </w:r>
              </w:p>
            </w:tc>
            <w:tc>
              <w:tcPr>
                <w:tcW w:w="2336" w:type="dxa"/>
              </w:tcPr>
              <w:p w14:paraId="11365747" w14:textId="77777777" w:rsidR="00E57DAA" w:rsidRDefault="00AC4185" w:rsidP="00C25422">
                <w:pPr>
                  <w:pStyle w:val="92"/>
                </w:pPr>
                <w:r>
                  <w:t>人民币</w:t>
                </w:r>
              </w:p>
            </w:tc>
          </w:tr>
          <w:tr w:rsidR="00E57DAA" w14:paraId="6D495326" w14:textId="77777777">
            <w:tc>
              <w:tcPr>
                <w:tcW w:w="4503" w:type="dxa"/>
              </w:tcPr>
              <w:p w14:paraId="7646DCE1" w14:textId="77777777" w:rsidR="00E57DAA" w:rsidRDefault="00AC4185" w:rsidP="00C25422">
                <w:pPr>
                  <w:pStyle w:val="92"/>
                </w:pPr>
                <w:r>
                  <w:t>SINOMA绿色基础材料有限公司</w:t>
                </w:r>
              </w:p>
            </w:tc>
            <w:tc>
              <w:tcPr>
                <w:tcW w:w="1984" w:type="dxa"/>
              </w:tcPr>
              <w:p w14:paraId="17949DA6" w14:textId="77777777" w:rsidR="00E57DAA" w:rsidRDefault="00AC4185" w:rsidP="00C25422">
                <w:pPr>
                  <w:pStyle w:val="92"/>
                </w:pPr>
                <w:r>
                  <w:t>乌兹别克斯坦</w:t>
                </w:r>
              </w:p>
            </w:tc>
            <w:tc>
              <w:tcPr>
                <w:tcW w:w="2336" w:type="dxa"/>
              </w:tcPr>
              <w:p w14:paraId="3B70B129" w14:textId="77777777" w:rsidR="00E57DAA" w:rsidRDefault="00AC4185" w:rsidP="00C25422">
                <w:pPr>
                  <w:pStyle w:val="92"/>
                </w:pPr>
                <w:r>
                  <w:t>苏姆</w:t>
                </w:r>
              </w:p>
            </w:tc>
          </w:tr>
          <w:tr w:rsidR="00E57DAA" w14:paraId="4A9D7A9A" w14:textId="77777777">
            <w:tc>
              <w:tcPr>
                <w:tcW w:w="4503" w:type="dxa"/>
              </w:tcPr>
              <w:p w14:paraId="3107D02B" w14:textId="77777777" w:rsidR="00E57DAA" w:rsidRDefault="00AC4185" w:rsidP="00C25422">
                <w:pPr>
                  <w:pStyle w:val="92"/>
                </w:pPr>
                <w:r>
                  <w:t>绿色基础材料有限公司</w:t>
                </w:r>
              </w:p>
            </w:tc>
            <w:tc>
              <w:tcPr>
                <w:tcW w:w="1984" w:type="dxa"/>
              </w:tcPr>
              <w:p w14:paraId="13C9C2BD" w14:textId="77777777" w:rsidR="00E57DAA" w:rsidRDefault="00AC4185" w:rsidP="00C25422">
                <w:pPr>
                  <w:pStyle w:val="92"/>
                </w:pPr>
                <w:r>
                  <w:t>乌兹别克斯坦</w:t>
                </w:r>
              </w:p>
            </w:tc>
            <w:tc>
              <w:tcPr>
                <w:tcW w:w="2336" w:type="dxa"/>
              </w:tcPr>
              <w:p w14:paraId="3E407A38" w14:textId="77777777" w:rsidR="00E57DAA" w:rsidRDefault="00AC4185" w:rsidP="00C25422">
                <w:pPr>
                  <w:pStyle w:val="92"/>
                </w:pPr>
                <w:r>
                  <w:t>苏姆</w:t>
                </w:r>
              </w:p>
            </w:tc>
          </w:tr>
        </w:tbl>
        <w:p w14:paraId="167551FF" w14:textId="77777777" w:rsidR="00E57DAA" w:rsidRDefault="00EB41A1"/>
      </w:sdtContent>
    </w:sdt>
    <w:p w14:paraId="2DD75444" w14:textId="77777777" w:rsidR="00E57DAA" w:rsidRDefault="00E57DAA" w:rsidP="00C25422">
      <w:pPr>
        <w:pStyle w:val="92"/>
      </w:pPr>
    </w:p>
    <w:p w14:paraId="38C88A1F" w14:textId="77777777" w:rsidR="00E57DAA" w:rsidRDefault="00AC4185" w:rsidP="00C25422">
      <w:pPr>
        <w:pStyle w:val="91"/>
        <w:numPr>
          <w:ilvl w:val="0"/>
          <w:numId w:val="69"/>
        </w:numPr>
      </w:pPr>
      <w:r>
        <w:rPr>
          <w:rFonts w:hint="eastAsia"/>
        </w:rPr>
        <w:t>租赁</w:t>
      </w:r>
    </w:p>
    <w:p w14:paraId="0067A3CD" w14:textId="77777777" w:rsidR="00E57DAA" w:rsidRDefault="00AC4185">
      <w:pPr>
        <w:pStyle w:val="4"/>
        <w:numPr>
          <w:ilvl w:val="0"/>
          <w:numId w:val="108"/>
        </w:numPr>
        <w:ind w:left="0" w:firstLine="0"/>
      </w:pPr>
      <w:r>
        <w:t>作为承租人</w:t>
      </w:r>
    </w:p>
    <w:sdt>
      <w:sdtPr>
        <w:alias w:val="是否适用：作为承租人[双击切换]"/>
        <w:tag w:val="_GBC_fe311ebf6010457c8817199183148161"/>
        <w:id w:val="1857071151"/>
        <w:placeholder>
          <w:docPart w:val="GBC22222222222222222222222222222"/>
        </w:placeholder>
      </w:sdtPr>
      <w:sdtEndPr/>
      <w:sdtContent>
        <w:p w14:paraId="2303AF7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6F205A" w14:textId="77777777" w:rsidR="00E57DAA" w:rsidRDefault="00E57DAA" w:rsidP="00C25422">
      <w:pPr>
        <w:pStyle w:val="92"/>
      </w:pPr>
    </w:p>
    <w:p w14:paraId="453906CB" w14:textId="77777777" w:rsidR="00E57DAA" w:rsidRDefault="00E57DAA" w:rsidP="00C25422">
      <w:pPr>
        <w:pStyle w:val="92"/>
      </w:pPr>
    </w:p>
    <w:p w14:paraId="37C67B61" w14:textId="77777777" w:rsidR="00E57DAA" w:rsidRDefault="00AC4185">
      <w:pPr>
        <w:pStyle w:val="4"/>
        <w:numPr>
          <w:ilvl w:val="0"/>
          <w:numId w:val="108"/>
        </w:numPr>
        <w:ind w:left="0" w:firstLine="0"/>
      </w:pPr>
      <w:r>
        <w:t>作为出租人</w:t>
      </w:r>
    </w:p>
    <w:p w14:paraId="547805B7" w14:textId="77777777" w:rsidR="00E57DAA" w:rsidRDefault="00AC4185" w:rsidP="00C25422">
      <w:pPr>
        <w:pStyle w:val="92"/>
      </w:pPr>
      <w:r>
        <w:t>作为出租人的经营</w:t>
      </w:r>
      <w:r>
        <w:rPr>
          <w:rFonts w:hint="eastAsia"/>
        </w:rPr>
        <w:t>租赁</w:t>
      </w:r>
    </w:p>
    <w:sdt>
      <w:sdtPr>
        <w:rPr>
          <w:rFonts w:hint="eastAsia"/>
        </w:rPr>
        <w:alias w:val="是否适用：作为出租人的经营租赁[双击切换]"/>
        <w:tag w:val="_GBC_d5cd3a4b291f4a089f0080385207b552"/>
        <w:id w:val="-2074574568"/>
        <w:placeholder>
          <w:docPart w:val="GBC22222222222222222222222222222"/>
        </w:placeholder>
      </w:sdtPr>
      <w:sdtEndPr/>
      <w:sdtContent>
        <w:p w14:paraId="1B80104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FD429F" w14:textId="77777777" w:rsidR="00E57DAA" w:rsidRDefault="00E57DAA">
      <w:pPr>
        <w:rPr>
          <w:b/>
          <w:szCs w:val="21"/>
        </w:rPr>
      </w:pPr>
    </w:p>
    <w:p w14:paraId="00F1848A" w14:textId="77777777" w:rsidR="00E57DAA" w:rsidRDefault="00AC4185" w:rsidP="00C25422">
      <w:pPr>
        <w:pStyle w:val="92"/>
      </w:pPr>
      <w:r>
        <w:t>作为出租人的融资租赁</w:t>
      </w:r>
    </w:p>
    <w:sdt>
      <w:sdtPr>
        <w:alias w:val="是否适用：作为出租人的融资租赁[双击切换]"/>
        <w:tag w:val="_GBC_a96fee2f2d7c4192a3a8f10ae08d73cc"/>
        <w:id w:val="-563495207"/>
        <w:placeholder>
          <w:docPart w:val="GBC22222222222222222222222222222"/>
        </w:placeholder>
      </w:sdtPr>
      <w:sdtEndPr/>
      <w:sdtContent>
        <w:p w14:paraId="4C764D2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7A41F5" w14:textId="77777777" w:rsidR="00E57DAA" w:rsidRDefault="00E57DAA">
      <w:pPr>
        <w:rPr>
          <w:b/>
          <w:szCs w:val="21"/>
        </w:rPr>
      </w:pPr>
    </w:p>
    <w:p w14:paraId="7A413E2D" w14:textId="77777777" w:rsidR="00E57DAA" w:rsidRDefault="00AC4185" w:rsidP="00C25422">
      <w:pPr>
        <w:pStyle w:val="92"/>
      </w:pPr>
      <w:r>
        <w:t>未折现租赁收款额与租赁投资净额的调节表</w:t>
      </w:r>
    </w:p>
    <w:sdt>
      <w:sdtPr>
        <w:alias w:val="是否适用：未折现租赁收款额与租赁投资净额的调节表?[双击切换]"/>
        <w:tag w:val="_GBC_4a108274280e49bd8dc1cba49cff5159"/>
        <w:id w:val="-334998263"/>
        <w:placeholder>
          <w:docPart w:val="GBC22222222222222222222222222222"/>
        </w:placeholder>
      </w:sdtPr>
      <w:sdtEndPr/>
      <w:sdtContent>
        <w:p w14:paraId="33FB2D06"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FB0F94" w14:textId="77777777" w:rsidR="00E57DAA" w:rsidRDefault="00E57DAA">
      <w:pPr>
        <w:rPr>
          <w:b/>
          <w:szCs w:val="21"/>
        </w:rPr>
      </w:pPr>
    </w:p>
    <w:p w14:paraId="4B9176C8" w14:textId="77777777" w:rsidR="00E57DAA" w:rsidRDefault="00AC4185" w:rsidP="00C25422">
      <w:pPr>
        <w:pStyle w:val="92"/>
      </w:pPr>
      <w:r>
        <w:t>未来五年</w:t>
      </w:r>
      <w:r>
        <w:rPr>
          <w:rFonts w:hint="eastAsia"/>
        </w:rPr>
        <w:t>未</w:t>
      </w:r>
      <w:r>
        <w:t>折现租赁收款额</w:t>
      </w:r>
    </w:p>
    <w:sdt>
      <w:sdtPr>
        <w:alias w:val="是否适用：未来五年未折现租赁收款额[双击切换]"/>
        <w:tag w:val="_GBC_60c95c043b424e188bd225c67d071e24"/>
        <w:id w:val="-1664148566"/>
        <w:placeholder>
          <w:docPart w:val="GBC22222222222222222222222222222"/>
        </w:placeholder>
      </w:sdtPr>
      <w:sdtEndPr/>
      <w:sdtContent>
        <w:p w14:paraId="2686C49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302727" w14:textId="77777777" w:rsidR="00E57DAA" w:rsidRDefault="00E57DAA">
      <w:pPr>
        <w:rPr>
          <w:b/>
          <w:szCs w:val="21"/>
        </w:rPr>
      </w:pPr>
    </w:p>
    <w:p w14:paraId="215ABE4A" w14:textId="77777777" w:rsidR="00E57DAA" w:rsidRDefault="00AC4185">
      <w:pPr>
        <w:pStyle w:val="4"/>
        <w:numPr>
          <w:ilvl w:val="0"/>
          <w:numId w:val="108"/>
        </w:numPr>
        <w:ind w:left="0" w:firstLine="0"/>
      </w:pPr>
      <w:r>
        <w:t>作为生产商或经销商确认融资租赁销售损益</w:t>
      </w:r>
    </w:p>
    <w:sdt>
      <w:sdtPr>
        <w:alias w:val="是否适用：作为生产商或经销商确认融资租赁销售损益[双击切换]"/>
        <w:tag w:val="_GBC_595c7ca108a34d50bffdd3e765cca466"/>
        <w:id w:val="-1557086192"/>
        <w:placeholder>
          <w:docPart w:val="GBC22222222222222222222222222222"/>
        </w:placeholder>
      </w:sdtPr>
      <w:sdtEndPr/>
      <w:sdtContent>
        <w:p w14:paraId="3142DC6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0EF645" w14:textId="77777777" w:rsidR="00E57DAA" w:rsidRDefault="00E57DAA" w:rsidP="00C25422">
      <w:pPr>
        <w:pStyle w:val="92"/>
      </w:pPr>
    </w:p>
    <w:p w14:paraId="720AA981" w14:textId="77777777" w:rsidR="00E57DAA" w:rsidRDefault="00AC4185" w:rsidP="00C25422">
      <w:pPr>
        <w:pStyle w:val="91"/>
        <w:numPr>
          <w:ilvl w:val="0"/>
          <w:numId w:val="69"/>
        </w:numPr>
      </w:pPr>
      <w:r>
        <w:rPr>
          <w:rFonts w:hint="eastAsia"/>
        </w:rPr>
        <w:t>其他</w:t>
      </w:r>
    </w:p>
    <w:sdt>
      <w:sdtPr>
        <w:alias w:val="是否适用：合并财务报表项目注释其他需要说明的事项[双击切换]"/>
        <w:tag w:val="_GBC_67815da71293483fad0e823098235edb"/>
        <w:id w:val="-1812704597"/>
        <w:placeholder>
          <w:docPart w:val="GBC22222222222222222222222222222"/>
        </w:placeholder>
      </w:sdtPr>
      <w:sdtEndPr/>
      <w:sdtContent>
        <w:p w14:paraId="1E159E32"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62A008" w14:textId="77777777" w:rsidR="00E57DAA" w:rsidRDefault="00E57DAA">
      <w:pPr>
        <w:rPr>
          <w:szCs w:val="21"/>
        </w:rPr>
      </w:pPr>
    </w:p>
    <w:p w14:paraId="68A231C3" w14:textId="77777777" w:rsidR="00E57DAA" w:rsidRDefault="00AC4185" w:rsidP="00C25422">
      <w:pPr>
        <w:pStyle w:val="2CharCharChar1"/>
        <w:numPr>
          <w:ilvl w:val="0"/>
          <w:numId w:val="58"/>
        </w:numPr>
      </w:pPr>
      <w:r>
        <w:rPr>
          <w:rFonts w:hint="eastAsia"/>
        </w:rPr>
        <w:t>研发支出</w:t>
      </w:r>
    </w:p>
    <w:p w14:paraId="315C0465" w14:textId="77777777" w:rsidR="00E57DAA" w:rsidRDefault="00AC4185" w:rsidP="00C25422">
      <w:pPr>
        <w:pStyle w:val="91"/>
        <w:numPr>
          <w:ilvl w:val="0"/>
          <w:numId w:val="109"/>
        </w:numPr>
      </w:pPr>
      <w:r>
        <w:rPr>
          <w:rFonts w:hint="eastAsia"/>
        </w:rPr>
        <w:t>按费用性质列示</w:t>
      </w:r>
    </w:p>
    <w:bookmarkStart w:id="308" w:name="_Hlk40108415" w:displacedByCustomXml="next"/>
    <w:sdt>
      <w:sdtPr>
        <w:rPr>
          <w:szCs w:val="21"/>
        </w:rPr>
        <w:alias w:val="是否适用：研发费用[双击切换]"/>
        <w:tag w:val="_GBC_04b52b9f74d642ed996cff71b3380562"/>
        <w:id w:val="-1326517578"/>
        <w:placeholder>
          <w:docPart w:val="GBC22222222222222222222222222222"/>
        </w:placeholder>
      </w:sdtPr>
      <w:sdtEndPr/>
      <w:sdtContent>
        <w:p w14:paraId="3221688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B350EA" w14:textId="77777777" w:rsidR="00E57DAA" w:rsidRDefault="00AC4185" w:rsidP="00C25422">
      <w:pPr>
        <w:pStyle w:val="73"/>
        <w:ind w:firstLine="400"/>
      </w:pPr>
      <w:r>
        <w:rPr>
          <w:rFonts w:hint="eastAsia"/>
        </w:rPr>
        <w:t>单位：</w:t>
      </w:r>
      <w:sdt>
        <w:sdtPr>
          <w:rPr>
            <w:rFonts w:hint="eastAsia"/>
          </w:rPr>
          <w:alias w:val="单位：研发费用"/>
          <w:tag w:val="_GBC_cf8eb084313b4a1daa3dbb7d47c6cc60"/>
          <w:id w:val="-18674312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研发费用"/>
          <w:tag w:val="_GBC_572bef247e4247e09454933a69c36e65"/>
          <w:id w:val="20210425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E57DAA" w14:paraId="16A70BED" w14:textId="77777777">
        <w:sdt>
          <w:sdtPr>
            <w:tag w:val="_PLD_373a371c2fc74073850def05593a1e6b"/>
            <w:id w:val="-1432191264"/>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8340D5A" w14:textId="77777777" w:rsidR="00E57DAA" w:rsidRDefault="00AC4185">
                <w:pPr>
                  <w:jc w:val="center"/>
                  <w:rPr>
                    <w:szCs w:val="21"/>
                  </w:rPr>
                </w:pPr>
                <w:r>
                  <w:rPr>
                    <w:rFonts w:hint="eastAsia"/>
                    <w:szCs w:val="21"/>
                  </w:rPr>
                  <w:t>项目</w:t>
                </w:r>
              </w:p>
            </w:tc>
          </w:sdtContent>
        </w:sdt>
        <w:sdt>
          <w:sdtPr>
            <w:tag w:val="_PLD_6822cfd6a9f74188bf87ee408083b254"/>
            <w:id w:val="-1396034051"/>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FF12890" w14:textId="77777777" w:rsidR="00E57DAA" w:rsidRDefault="00AC4185">
                <w:pPr>
                  <w:jc w:val="center"/>
                  <w:rPr>
                    <w:szCs w:val="21"/>
                  </w:rPr>
                </w:pPr>
                <w:r>
                  <w:rPr>
                    <w:rFonts w:hint="eastAsia"/>
                    <w:szCs w:val="21"/>
                  </w:rPr>
                  <w:t>本期发生额</w:t>
                </w:r>
              </w:p>
            </w:tc>
          </w:sdtContent>
        </w:sdt>
        <w:sdt>
          <w:sdtPr>
            <w:tag w:val="_PLD_9179c21572a24986aa54bad16a61a225"/>
            <w:id w:val="-1969042161"/>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1ADE13F" w14:textId="77777777" w:rsidR="00E57DAA" w:rsidRDefault="00AC4185">
                <w:pPr>
                  <w:jc w:val="center"/>
                  <w:rPr>
                    <w:szCs w:val="21"/>
                  </w:rPr>
                </w:pPr>
                <w:r>
                  <w:rPr>
                    <w:rFonts w:hint="eastAsia"/>
                    <w:szCs w:val="21"/>
                  </w:rPr>
                  <w:t>上期发生额</w:t>
                </w:r>
              </w:p>
            </w:tc>
          </w:sdtContent>
        </w:sdt>
      </w:tr>
      <w:tr w:rsidR="00E57DAA" w14:paraId="0A3C9037"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1813501" w14:textId="77777777" w:rsidR="00E57DAA" w:rsidRDefault="00AC4185">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4DB19CA" w14:textId="77777777" w:rsidR="00E57DAA" w:rsidRDefault="00AC4185">
            <w:pPr>
              <w:jc w:val="right"/>
              <w:rPr>
                <w:szCs w:val="21"/>
              </w:rPr>
            </w:pPr>
            <w:r>
              <w:t>994,292,131.78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4793D97" w14:textId="77777777" w:rsidR="00E57DAA" w:rsidRDefault="00AC4185">
            <w:pPr>
              <w:jc w:val="right"/>
              <w:rPr>
                <w:szCs w:val="21"/>
              </w:rPr>
            </w:pPr>
            <w:r>
              <w:t>868,549,875.87</w:t>
            </w:r>
          </w:p>
        </w:tc>
      </w:tr>
      <w:tr w:rsidR="00E57DAA" w14:paraId="2597D515"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7556F6" w14:textId="77777777" w:rsidR="00E57DAA" w:rsidRDefault="00AC4185">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095F20F" w14:textId="77777777" w:rsidR="00E57DAA" w:rsidRDefault="00AC4185">
            <w:pPr>
              <w:jc w:val="right"/>
              <w:rPr>
                <w:szCs w:val="21"/>
              </w:rPr>
            </w:pPr>
            <w:r>
              <w:t>725,486,823.88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374095B" w14:textId="77777777" w:rsidR="00E57DAA" w:rsidRDefault="00AC4185">
            <w:pPr>
              <w:jc w:val="right"/>
              <w:rPr>
                <w:szCs w:val="21"/>
              </w:rPr>
            </w:pPr>
            <w:r>
              <w:t>644,342,772.77</w:t>
            </w:r>
          </w:p>
        </w:tc>
      </w:tr>
      <w:tr w:rsidR="00E57DAA" w14:paraId="40D483EF"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CD6451E" w14:textId="77777777" w:rsidR="00E57DAA" w:rsidRDefault="00AC4185">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3267C78" w14:textId="77777777" w:rsidR="00E57DAA" w:rsidRDefault="00AC4185">
            <w:pPr>
              <w:jc w:val="right"/>
              <w:rPr>
                <w:szCs w:val="21"/>
              </w:rPr>
            </w:pPr>
            <w:r>
              <w:t>48,344,852.43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681E901" w14:textId="77777777" w:rsidR="00E57DAA" w:rsidRDefault="00AC4185">
            <w:pPr>
              <w:jc w:val="right"/>
              <w:rPr>
                <w:szCs w:val="21"/>
              </w:rPr>
            </w:pPr>
            <w:r>
              <w:t>42,761,276.00</w:t>
            </w:r>
          </w:p>
        </w:tc>
      </w:tr>
      <w:tr w:rsidR="00E57DAA" w14:paraId="3DF19251"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D646FC" w14:textId="77777777" w:rsidR="00E57DAA" w:rsidRDefault="00AC4185">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E6DFF3F" w14:textId="77777777" w:rsidR="00E57DAA" w:rsidRDefault="00AC4185">
            <w:pPr>
              <w:jc w:val="right"/>
              <w:rPr>
                <w:szCs w:val="21"/>
              </w:rPr>
            </w:pPr>
            <w:r>
              <w:t>73,419,837.83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CE5FB97" w14:textId="77777777" w:rsidR="00E57DAA" w:rsidRDefault="00AC4185">
            <w:pPr>
              <w:jc w:val="right"/>
              <w:rPr>
                <w:szCs w:val="21"/>
              </w:rPr>
            </w:pPr>
            <w:r>
              <w:t>70,923,976.87</w:t>
            </w:r>
          </w:p>
        </w:tc>
      </w:tr>
      <w:tr w:rsidR="00E57DAA" w14:paraId="1922DBC4"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870BAF" w14:textId="77777777" w:rsidR="00E57DAA" w:rsidRDefault="00AC4185">
            <w:pPr>
              <w:jc w:val="center"/>
              <w:rPr>
                <w:szCs w:val="21"/>
              </w:rPr>
            </w:pPr>
            <w:r>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2D825BF" w14:textId="77777777" w:rsidR="00E57DAA" w:rsidRDefault="00AC4185">
            <w:pPr>
              <w:jc w:val="right"/>
              <w:rPr>
                <w:szCs w:val="21"/>
              </w:rPr>
            </w:pPr>
            <w:r>
              <w:t>1,841,543,645.92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92CDCE4" w14:textId="77777777" w:rsidR="00E57DAA" w:rsidRDefault="00AC4185">
            <w:pPr>
              <w:jc w:val="right"/>
              <w:rPr>
                <w:szCs w:val="21"/>
              </w:rPr>
            </w:pPr>
            <w:r>
              <w:t>1,626,577,901.51</w:t>
            </w:r>
          </w:p>
        </w:tc>
      </w:tr>
      <w:tr w:rsidR="00E57DAA" w14:paraId="6E44DF5A"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55A5DF" w14:textId="77777777" w:rsidR="00E57DAA" w:rsidRDefault="00AC4185" w:rsidP="00C25422">
            <w:pPr>
              <w:pStyle w:val="92"/>
            </w:pPr>
            <w:r>
              <w:rPr>
                <w:rFonts w:hint="eastAsia"/>
              </w:rPr>
              <w:t>其中：费用化研发支出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5C95AA5" w14:textId="77777777" w:rsidR="00E57DAA" w:rsidRDefault="00AC4185">
            <w:pPr>
              <w:jc w:val="right"/>
              <w:rPr>
                <w:szCs w:val="21"/>
              </w:rPr>
            </w:pPr>
            <w:r>
              <w:t>1,841,543,645.92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8A71E5E" w14:textId="77777777" w:rsidR="00E57DAA" w:rsidRDefault="00AC4185">
            <w:pPr>
              <w:jc w:val="right"/>
              <w:rPr>
                <w:szCs w:val="21"/>
              </w:rPr>
            </w:pPr>
            <w:r>
              <w:t>1,626,577,901.51</w:t>
            </w:r>
          </w:p>
        </w:tc>
      </w:tr>
      <w:tr w:rsidR="00E57DAA" w14:paraId="798F6043"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3396C6A" w14:textId="77777777" w:rsidR="00E57DAA" w:rsidRDefault="00AC4185">
            <w:pPr>
              <w:ind w:firstLineChars="300" w:firstLine="630"/>
            </w:pPr>
            <w:r>
              <w:rPr>
                <w:rFonts w:hint="eastAsia"/>
              </w:rPr>
              <w:t>资本化研发支出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010DED" w14:textId="77777777" w:rsidR="00E57DAA" w:rsidRDefault="00E57DAA">
            <w:pPr>
              <w:jc w:val="right"/>
              <w:rPr>
                <w:szCs w:val="21"/>
              </w:rPr>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C801AC3" w14:textId="77777777" w:rsidR="00E57DAA" w:rsidRDefault="00E57DAA">
            <w:pPr>
              <w:jc w:val="right"/>
              <w:rPr>
                <w:szCs w:val="21"/>
              </w:rPr>
            </w:pPr>
          </w:p>
        </w:tc>
      </w:tr>
    </w:tbl>
    <w:p w14:paraId="0C6CD7BD" w14:textId="77777777" w:rsidR="00E57DAA" w:rsidRDefault="00E57DAA" w:rsidP="00C25422">
      <w:pPr>
        <w:pStyle w:val="92"/>
      </w:pPr>
    </w:p>
    <w:p w14:paraId="469D28A1" w14:textId="77777777" w:rsidR="00E57DAA" w:rsidRDefault="00AC4185" w:rsidP="00C25422">
      <w:pPr>
        <w:pStyle w:val="91"/>
        <w:numPr>
          <w:ilvl w:val="0"/>
          <w:numId w:val="109"/>
        </w:numPr>
      </w:pPr>
      <w:r>
        <w:t>符合资本化条件的研发项目</w:t>
      </w:r>
      <w:r>
        <w:rPr>
          <w:rFonts w:hint="eastAsia"/>
        </w:rPr>
        <w:t>开发支出</w:t>
      </w:r>
    </w:p>
    <w:bookmarkEnd w:id="308" w:displacedByCustomXml="next"/>
    <w:bookmarkStart w:id="309" w:name="_Hlk153266294" w:displacedByCustomXml="next"/>
    <w:sdt>
      <w:sdtPr>
        <w:alias w:val="是否适用：开发支出[双击切换]"/>
        <w:tag w:val="_GBC_173f2bb3b2db483e82638801b8b2955b"/>
        <w:id w:val="621892580"/>
        <w:placeholder>
          <w:docPart w:val="GBC22222222222222222222222222222"/>
        </w:placeholder>
      </w:sdtPr>
      <w:sdtEndPr/>
      <w:sdtContent>
        <w:p w14:paraId="162C8075"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48C56C" w14:textId="77777777" w:rsidR="00E57DAA" w:rsidRDefault="00E57DAA">
      <w:pPr>
        <w:rPr>
          <w:szCs w:val="21"/>
        </w:rPr>
      </w:pPr>
    </w:p>
    <w:p w14:paraId="36CA8D90" w14:textId="77777777" w:rsidR="00E57DAA" w:rsidRDefault="00AC4185">
      <w:pPr>
        <w:rPr>
          <w:szCs w:val="21"/>
        </w:rPr>
      </w:pPr>
      <w:r>
        <w:rPr>
          <w:szCs w:val="21"/>
        </w:rPr>
        <w:t>重要的资本化研发项目</w:t>
      </w:r>
    </w:p>
    <w:bookmarkEnd w:id="309" w:displacedByCustomXml="next"/>
    <w:sdt>
      <w:sdtPr>
        <w:rPr>
          <w:szCs w:val="21"/>
        </w:rPr>
        <w:alias w:val="是否适用：重要的资本化研发项目[双击切换]"/>
        <w:tag w:val="_GBC_d1b90c9364924f2791f75c6b9a12139f"/>
        <w:id w:val="-1359499641"/>
        <w:placeholder>
          <w:docPart w:val="GBC22222222222222222222222222222"/>
        </w:placeholder>
      </w:sdtPr>
      <w:sdtEndPr/>
      <w:sdtContent>
        <w:p w14:paraId="13A5922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E5790D" w14:textId="77777777" w:rsidR="00E57DAA" w:rsidRDefault="00E57DAA">
      <w:pPr>
        <w:rPr>
          <w:szCs w:val="21"/>
        </w:rPr>
      </w:pPr>
    </w:p>
    <w:p w14:paraId="6B61C41B" w14:textId="77777777" w:rsidR="00E57DAA" w:rsidRDefault="00AC4185">
      <w:pPr>
        <w:rPr>
          <w:szCs w:val="21"/>
        </w:rPr>
      </w:pPr>
      <w:r>
        <w:rPr>
          <w:szCs w:val="21"/>
        </w:rPr>
        <w:t>开发支出减值准备</w:t>
      </w:r>
    </w:p>
    <w:sdt>
      <w:sdtPr>
        <w:rPr>
          <w:szCs w:val="21"/>
        </w:rPr>
        <w:alias w:val="是否适用：开发支出减值准备[双击切换]"/>
        <w:tag w:val="_GBC_54eb6a513e574cfa85e9b90a1588b10f"/>
        <w:id w:val="-664624591"/>
        <w:placeholder>
          <w:docPart w:val="GBC22222222222222222222222222222"/>
        </w:placeholder>
      </w:sdtPr>
      <w:sdtEndPr/>
      <w:sdtContent>
        <w:p w14:paraId="20AD3E9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46E738" w14:textId="77777777" w:rsidR="00E57DAA" w:rsidRDefault="00E57DAA">
      <w:pPr>
        <w:rPr>
          <w:szCs w:val="21"/>
        </w:rPr>
      </w:pPr>
    </w:p>
    <w:p w14:paraId="08212A4F" w14:textId="77777777" w:rsidR="00E57DAA" w:rsidRDefault="00AC4185" w:rsidP="00C25422">
      <w:pPr>
        <w:pStyle w:val="91"/>
        <w:numPr>
          <w:ilvl w:val="0"/>
          <w:numId w:val="109"/>
        </w:numPr>
      </w:pPr>
      <w:r>
        <w:t>重要的外购在研项目</w:t>
      </w:r>
    </w:p>
    <w:sdt>
      <w:sdtPr>
        <w:rPr>
          <w:szCs w:val="21"/>
        </w:rPr>
        <w:alias w:val="是否适用：重要的外购在研项目[双击切换]"/>
        <w:tag w:val="_GBC_8385c2c52dfe44b6b2522468b8800584"/>
        <w:id w:val="-1764453000"/>
        <w:placeholder>
          <w:docPart w:val="GBC22222222222222222222222222222"/>
        </w:placeholder>
      </w:sdtPr>
      <w:sdtEndPr/>
      <w:sdtContent>
        <w:p w14:paraId="7B60DFC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E76CA23" w14:textId="77777777" w:rsidR="00E57DAA" w:rsidRDefault="00E57DAA">
      <w:pPr>
        <w:rPr>
          <w:szCs w:val="21"/>
        </w:rPr>
      </w:pPr>
    </w:p>
    <w:p w14:paraId="3E35748F" w14:textId="77777777" w:rsidR="00E57DAA" w:rsidRDefault="00E57DAA">
      <w:pPr>
        <w:rPr>
          <w:szCs w:val="21"/>
        </w:rPr>
        <w:sectPr w:rsidR="00E57DAA" w:rsidSect="00226547">
          <w:pgSz w:w="11906" w:h="16838"/>
          <w:pgMar w:top="1440" w:right="1797" w:bottom="1525" w:left="1276" w:header="856" w:footer="992" w:gutter="0"/>
          <w:cols w:space="425"/>
          <w:docGrid w:linePitch="312"/>
        </w:sectPr>
      </w:pPr>
    </w:p>
    <w:p w14:paraId="23C5759B" w14:textId="77777777" w:rsidR="00E57DAA" w:rsidRDefault="00E57DAA">
      <w:pPr>
        <w:rPr>
          <w:szCs w:val="21"/>
        </w:rPr>
      </w:pPr>
    </w:p>
    <w:p w14:paraId="693D851C" w14:textId="77777777" w:rsidR="00E57DAA" w:rsidRDefault="00AC4185" w:rsidP="00C25422">
      <w:pPr>
        <w:pStyle w:val="2CharCharChar1"/>
        <w:numPr>
          <w:ilvl w:val="0"/>
          <w:numId w:val="58"/>
        </w:numPr>
      </w:pPr>
      <w:r>
        <w:rPr>
          <w:rFonts w:hint="eastAsia"/>
        </w:rPr>
        <w:t>合并范围的变更</w:t>
      </w:r>
    </w:p>
    <w:p w14:paraId="78288026" w14:textId="77777777" w:rsidR="00E57DAA" w:rsidRDefault="00AC4185" w:rsidP="00C25422">
      <w:pPr>
        <w:pStyle w:val="91"/>
        <w:numPr>
          <w:ilvl w:val="0"/>
          <w:numId w:val="110"/>
        </w:numPr>
      </w:pPr>
      <w:r>
        <w:rPr>
          <w:rFonts w:hint="eastAsia"/>
        </w:rPr>
        <w:t>非同一控制下企业合并</w:t>
      </w:r>
    </w:p>
    <w:sdt>
      <w:sdtPr>
        <w:alias w:val="是否适用：非同一控制下企业合并[双击切换]"/>
        <w:tag w:val="_GBC_f305adddf4654659bd28ceedc072aa05"/>
        <w:id w:val="2074997467"/>
        <w:placeholder>
          <w:docPart w:val="GBC22222222222222222222222222222"/>
        </w:placeholder>
      </w:sdtPr>
      <w:sdtEndPr/>
      <w:sdtContent>
        <w:p w14:paraId="44C9311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6DCA06" w14:textId="77777777" w:rsidR="00E57DAA" w:rsidRDefault="00AC4185">
      <w:pPr>
        <w:pStyle w:val="4"/>
        <w:numPr>
          <w:ilvl w:val="0"/>
          <w:numId w:val="111"/>
        </w:numPr>
        <w:ind w:left="426" w:hanging="426"/>
        <w:rPr>
          <w:rStyle w:val="85"/>
          <w:rFonts w:ascii="宋体" w:hAnsi="宋体"/>
          <w:b/>
          <w:szCs w:val="21"/>
        </w:rPr>
      </w:pPr>
      <w:r>
        <w:rPr>
          <w:rStyle w:val="85"/>
          <w:rFonts w:ascii="宋体" w:hAnsi="宋体" w:hint="eastAsia"/>
          <w:b/>
          <w:szCs w:val="21"/>
        </w:rPr>
        <w:t>本期发生的非同一控制下企业合并交易</w:t>
      </w:r>
    </w:p>
    <w:sdt>
      <w:sdtPr>
        <w:alias w:val="是否适用：本期发生的非同一控制下企业合并[双击切换]"/>
        <w:tag w:val="_GBC_01020b54a2124714b02e7c09b7def8bd"/>
        <w:id w:val="614326382"/>
        <w:placeholder>
          <w:docPart w:val="GBC22222222222222222222222222222"/>
        </w:placeholder>
      </w:sdtPr>
      <w:sdtEndPr/>
      <w:sdtContent>
        <w:p w14:paraId="0FEC33A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856D3E" w14:textId="77777777" w:rsidR="00E57DAA" w:rsidRDefault="00AC4185">
      <w:pPr>
        <w:jc w:val="right"/>
      </w:pPr>
      <w:r>
        <w:rPr>
          <w:rFonts w:hint="eastAsia"/>
        </w:rPr>
        <w:t>单位：</w:t>
      </w:r>
      <w:sdt>
        <w:sdtPr>
          <w:rPr>
            <w:rFonts w:hint="eastAsia"/>
          </w:rPr>
          <w:alias w:val="单位：非同一控制下企业合并取得的子公司"/>
          <w:tag w:val="_GBC_fcde16a13e0e4a4796343f753c84803d"/>
          <w:id w:val="10465666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非同一控制下企业合并取得的子公司"/>
          <w:tag w:val="_GBC_198f79b078c64e2b8192c9334f9181eb"/>
          <w:id w:val="-15819837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7"/>
        <w:gridCol w:w="1201"/>
        <w:gridCol w:w="1581"/>
        <w:gridCol w:w="1176"/>
        <w:gridCol w:w="1198"/>
        <w:gridCol w:w="1143"/>
        <w:gridCol w:w="1384"/>
        <w:gridCol w:w="1683"/>
        <w:gridCol w:w="1681"/>
        <w:gridCol w:w="1679"/>
      </w:tblGrid>
      <w:tr w:rsidR="00E57DAA" w14:paraId="31D7829F" w14:textId="77777777">
        <w:trPr>
          <w:trHeight w:val="954"/>
        </w:trPr>
        <w:sdt>
          <w:sdtPr>
            <w:tag w:val="_PLD_47313b226bb241edbbfe476519f517de"/>
            <w:id w:val="1904015402"/>
          </w:sdtPr>
          <w:sdtEndPr/>
          <w:sdtContent>
            <w:tc>
              <w:tcPr>
                <w:tcW w:w="426" w:type="pct"/>
                <w:shd w:val="clear" w:color="auto" w:fill="auto"/>
                <w:vAlign w:val="center"/>
              </w:tcPr>
              <w:p w14:paraId="60BCE7D8" w14:textId="77777777" w:rsidR="00E57DAA" w:rsidRDefault="00AC4185">
                <w:pPr>
                  <w:jc w:val="center"/>
                  <w:rPr>
                    <w:rFonts w:cs="Arial"/>
                    <w:szCs w:val="21"/>
                  </w:rPr>
                </w:pPr>
                <w:r>
                  <w:rPr>
                    <w:rFonts w:cs="Arial" w:hint="eastAsia"/>
                    <w:szCs w:val="21"/>
                    <w:lang w:val="en-GB"/>
                  </w:rPr>
                  <w:t>被购买方名称</w:t>
                </w:r>
              </w:p>
            </w:tc>
          </w:sdtContent>
        </w:sdt>
        <w:sdt>
          <w:sdtPr>
            <w:tag w:val="_PLD_dc0c99da28ce4b13a6cd7fe82fe8e3c8"/>
            <w:id w:val="-847091574"/>
          </w:sdtPr>
          <w:sdtEndPr/>
          <w:sdtContent>
            <w:tc>
              <w:tcPr>
                <w:tcW w:w="449" w:type="pct"/>
                <w:shd w:val="clear" w:color="auto" w:fill="auto"/>
                <w:vAlign w:val="center"/>
              </w:tcPr>
              <w:p w14:paraId="4A174147" w14:textId="77777777" w:rsidR="00E57DAA" w:rsidRDefault="00AC4185">
                <w:pPr>
                  <w:jc w:val="center"/>
                  <w:rPr>
                    <w:rFonts w:cs="Arial"/>
                    <w:color w:val="000000"/>
                    <w:szCs w:val="21"/>
                    <w:lang w:val="en-GB"/>
                  </w:rPr>
                </w:pPr>
                <w:r>
                  <w:rPr>
                    <w:rFonts w:cs="Arial" w:hint="eastAsia"/>
                    <w:color w:val="000000"/>
                    <w:szCs w:val="21"/>
                    <w:lang w:val="en-GB"/>
                  </w:rPr>
                  <w:t>股权取得时点</w:t>
                </w:r>
              </w:p>
            </w:tc>
          </w:sdtContent>
        </w:sdt>
        <w:sdt>
          <w:sdtPr>
            <w:tag w:val="_PLD_e44e3f75dbdd4f3eba8921a4dd00a4f7"/>
            <w:id w:val="-993180205"/>
          </w:sdtPr>
          <w:sdtEndPr/>
          <w:sdtContent>
            <w:tc>
              <w:tcPr>
                <w:tcW w:w="428" w:type="pct"/>
                <w:shd w:val="clear" w:color="auto" w:fill="auto"/>
                <w:vAlign w:val="center"/>
              </w:tcPr>
              <w:p w14:paraId="79302BA3" w14:textId="77777777" w:rsidR="00E57DAA" w:rsidRDefault="00AC4185">
                <w:pPr>
                  <w:jc w:val="center"/>
                  <w:rPr>
                    <w:rFonts w:cs="Arial"/>
                    <w:color w:val="000000"/>
                    <w:szCs w:val="21"/>
                    <w:lang w:val="en-GB"/>
                  </w:rPr>
                </w:pPr>
                <w:r>
                  <w:rPr>
                    <w:rFonts w:cs="Arial" w:hint="eastAsia"/>
                    <w:color w:val="000000"/>
                    <w:szCs w:val="21"/>
                    <w:lang w:val="en-GB"/>
                  </w:rPr>
                  <w:t>股权取得成本</w:t>
                </w:r>
              </w:p>
            </w:tc>
          </w:sdtContent>
        </w:sdt>
        <w:sdt>
          <w:sdtPr>
            <w:tag w:val="_PLD_53f68901c1b44908bfe90cc7ea5fa67a"/>
            <w:id w:val="270977191"/>
          </w:sdtPr>
          <w:sdtEndPr/>
          <w:sdtContent>
            <w:tc>
              <w:tcPr>
                <w:tcW w:w="440" w:type="pct"/>
                <w:shd w:val="clear" w:color="auto" w:fill="auto"/>
                <w:vAlign w:val="center"/>
              </w:tcPr>
              <w:p w14:paraId="48070D2B" w14:textId="77777777" w:rsidR="00E57DAA" w:rsidRDefault="00AC4185">
                <w:pPr>
                  <w:jc w:val="center"/>
                  <w:rPr>
                    <w:rFonts w:cs="Arial"/>
                    <w:color w:val="000000"/>
                    <w:szCs w:val="21"/>
                    <w:lang w:val="en-GB"/>
                  </w:rPr>
                </w:pPr>
                <w:r>
                  <w:rPr>
                    <w:rFonts w:cs="Arial" w:hint="eastAsia"/>
                    <w:color w:val="000000"/>
                    <w:szCs w:val="21"/>
                    <w:lang w:val="en-GB"/>
                  </w:rPr>
                  <w:t>股权取得比例</w:t>
                </w:r>
              </w:p>
              <w:p w14:paraId="5190F553" w14:textId="77777777" w:rsidR="00E57DAA" w:rsidRDefault="00AC4185">
                <w:pPr>
                  <w:jc w:val="center"/>
                  <w:rPr>
                    <w:rFonts w:cs="Arial"/>
                    <w:color w:val="000000"/>
                    <w:szCs w:val="21"/>
                    <w:lang w:val="en-GB"/>
                  </w:rPr>
                </w:pPr>
                <w:r>
                  <w:rPr>
                    <w:rFonts w:cs="Arial" w:hint="eastAsia"/>
                    <w:color w:val="000000"/>
                    <w:szCs w:val="21"/>
                    <w:lang w:val="en-GB"/>
                  </w:rPr>
                  <w:t>（%）</w:t>
                </w:r>
              </w:p>
            </w:tc>
          </w:sdtContent>
        </w:sdt>
        <w:sdt>
          <w:sdtPr>
            <w:tag w:val="_PLD_a7601514f0744f1198842ff0f479013e"/>
            <w:id w:val="183630856"/>
          </w:sdtPr>
          <w:sdtEndPr/>
          <w:sdtContent>
            <w:tc>
              <w:tcPr>
                <w:tcW w:w="448" w:type="pct"/>
                <w:shd w:val="clear" w:color="auto" w:fill="auto"/>
                <w:vAlign w:val="center"/>
              </w:tcPr>
              <w:p w14:paraId="41204EAA" w14:textId="77777777" w:rsidR="00E57DAA" w:rsidRDefault="00AC4185">
                <w:pPr>
                  <w:jc w:val="center"/>
                  <w:rPr>
                    <w:rFonts w:cs="Arial"/>
                    <w:color w:val="000000"/>
                    <w:szCs w:val="21"/>
                    <w:lang w:val="en-GB"/>
                  </w:rPr>
                </w:pPr>
                <w:r>
                  <w:rPr>
                    <w:rFonts w:cs="Arial" w:hint="eastAsia"/>
                    <w:color w:val="000000"/>
                    <w:szCs w:val="21"/>
                    <w:lang w:val="en-GB"/>
                  </w:rPr>
                  <w:t>股权取得方式</w:t>
                </w:r>
              </w:p>
            </w:tc>
          </w:sdtContent>
        </w:sdt>
        <w:sdt>
          <w:sdtPr>
            <w:tag w:val="_PLD_dcc7459c3ddf44309e84789d53d1b6ae"/>
            <w:id w:val="949754436"/>
          </w:sdtPr>
          <w:sdtEndPr/>
          <w:sdtContent>
            <w:tc>
              <w:tcPr>
                <w:tcW w:w="428" w:type="pct"/>
                <w:shd w:val="clear" w:color="auto" w:fill="auto"/>
                <w:vAlign w:val="center"/>
              </w:tcPr>
              <w:p w14:paraId="0F769D9D" w14:textId="77777777" w:rsidR="00E57DAA" w:rsidRDefault="00AC4185">
                <w:pPr>
                  <w:jc w:val="center"/>
                  <w:rPr>
                    <w:rFonts w:cs="Arial"/>
                    <w:szCs w:val="21"/>
                    <w:lang w:val="en-GB"/>
                  </w:rPr>
                </w:pPr>
                <w:r>
                  <w:rPr>
                    <w:rFonts w:cs="Arial" w:hint="eastAsia"/>
                    <w:szCs w:val="21"/>
                    <w:lang w:val="en-GB"/>
                  </w:rPr>
                  <w:t>购买日</w:t>
                </w:r>
              </w:p>
            </w:tc>
          </w:sdtContent>
        </w:sdt>
        <w:sdt>
          <w:sdtPr>
            <w:tag w:val="_PLD_673b9f68d29e4ec48e46975a55ae150c"/>
            <w:id w:val="-50084213"/>
          </w:sdtPr>
          <w:sdtEndPr/>
          <w:sdtContent>
            <w:tc>
              <w:tcPr>
                <w:tcW w:w="515" w:type="pct"/>
                <w:shd w:val="clear" w:color="auto" w:fill="auto"/>
                <w:vAlign w:val="center"/>
              </w:tcPr>
              <w:p w14:paraId="548938F2" w14:textId="77777777" w:rsidR="00E57DAA" w:rsidRDefault="00AC4185">
                <w:pPr>
                  <w:jc w:val="center"/>
                  <w:rPr>
                    <w:rFonts w:cs="Arial"/>
                    <w:szCs w:val="21"/>
                    <w:lang w:val="en-GB"/>
                  </w:rPr>
                </w:pPr>
                <w:r>
                  <w:rPr>
                    <w:rFonts w:cs="Arial" w:hint="eastAsia"/>
                    <w:szCs w:val="21"/>
                    <w:lang w:val="en-GB"/>
                  </w:rPr>
                  <w:t>购买日的确定依据</w:t>
                </w:r>
              </w:p>
            </w:tc>
          </w:sdtContent>
        </w:sdt>
        <w:sdt>
          <w:sdtPr>
            <w:tag w:val="_PLD_c79473461a2d498b8407f26b5d7e7e7c"/>
            <w:id w:val="435566898"/>
          </w:sdtPr>
          <w:sdtEndPr/>
          <w:sdtContent>
            <w:tc>
              <w:tcPr>
                <w:tcW w:w="623" w:type="pct"/>
                <w:shd w:val="clear" w:color="auto" w:fill="auto"/>
                <w:vAlign w:val="center"/>
              </w:tcPr>
              <w:p w14:paraId="2F5A7C7F" w14:textId="77777777" w:rsidR="00E57DAA" w:rsidRDefault="00AC4185">
                <w:pPr>
                  <w:jc w:val="center"/>
                  <w:rPr>
                    <w:rFonts w:cs="Arial"/>
                    <w:szCs w:val="21"/>
                  </w:rPr>
                </w:pPr>
                <w:r>
                  <w:rPr>
                    <w:rFonts w:cs="Arial" w:hint="eastAsia"/>
                    <w:szCs w:val="21"/>
                    <w:lang w:val="en-GB"/>
                  </w:rPr>
                  <w:t>购买日至期末被购买方的收入</w:t>
                </w:r>
              </w:p>
            </w:tc>
          </w:sdtContent>
        </w:sdt>
        <w:sdt>
          <w:sdtPr>
            <w:tag w:val="_PLD_0ee18331d2744bf9afac56c02c88540b"/>
            <w:id w:val="1925144474"/>
          </w:sdtPr>
          <w:sdtEndPr/>
          <w:sdtContent>
            <w:tc>
              <w:tcPr>
                <w:tcW w:w="622" w:type="pct"/>
                <w:shd w:val="clear" w:color="auto" w:fill="auto"/>
                <w:vAlign w:val="center"/>
              </w:tcPr>
              <w:p w14:paraId="3D66F325" w14:textId="77777777" w:rsidR="00E57DAA" w:rsidRDefault="00AC4185">
                <w:pPr>
                  <w:jc w:val="center"/>
                  <w:rPr>
                    <w:rFonts w:cs="Arial"/>
                    <w:szCs w:val="21"/>
                  </w:rPr>
                </w:pPr>
                <w:r>
                  <w:rPr>
                    <w:rFonts w:cs="Arial" w:hint="eastAsia"/>
                    <w:szCs w:val="21"/>
                    <w:lang w:val="en-GB"/>
                  </w:rPr>
                  <w:t>购买日至期末被购买方的净利润</w:t>
                </w:r>
              </w:p>
            </w:tc>
          </w:sdtContent>
        </w:sdt>
        <w:tc>
          <w:tcPr>
            <w:tcW w:w="622" w:type="pct"/>
          </w:tcPr>
          <w:sdt>
            <w:sdtPr>
              <w:rPr>
                <w:rFonts w:cs="Arial" w:hint="eastAsia"/>
                <w:szCs w:val="21"/>
                <w:lang w:val="en-GB"/>
              </w:rPr>
              <w:tag w:val="_PLD_0ec24f77e57847489546e07fba073290"/>
              <w:id w:val="-346326645"/>
            </w:sdtPr>
            <w:sdtEndPr/>
            <w:sdtContent>
              <w:p w14:paraId="318AB892" w14:textId="77777777" w:rsidR="00E57DAA" w:rsidRDefault="00AC4185">
                <w:pPr>
                  <w:jc w:val="center"/>
                </w:pPr>
                <w:r>
                  <w:rPr>
                    <w:rFonts w:cs="Arial" w:hint="eastAsia"/>
                    <w:szCs w:val="21"/>
                    <w:lang w:val="en-GB"/>
                  </w:rPr>
                  <w:t>购买日至期末被购买方的现金流量</w:t>
                </w:r>
              </w:p>
            </w:sdtContent>
          </w:sdt>
        </w:tc>
      </w:tr>
      <w:tr w:rsidR="00E57DAA" w14:paraId="4C49D33A" w14:textId="77777777">
        <w:trPr>
          <w:trHeight w:val="293"/>
        </w:trPr>
        <w:tc>
          <w:tcPr>
            <w:tcW w:w="426" w:type="pct"/>
            <w:shd w:val="clear" w:color="auto" w:fill="auto"/>
          </w:tcPr>
          <w:p w14:paraId="33BACF7A" w14:textId="77777777" w:rsidR="00E57DAA" w:rsidRDefault="00AC4185">
            <w:pPr>
              <w:rPr>
                <w:szCs w:val="21"/>
              </w:rPr>
            </w:pPr>
            <w:r>
              <w:t>江苏凯希盟科技有限公司</w:t>
            </w:r>
          </w:p>
        </w:tc>
        <w:tc>
          <w:tcPr>
            <w:tcW w:w="449" w:type="pct"/>
            <w:shd w:val="clear" w:color="auto" w:fill="auto"/>
          </w:tcPr>
          <w:p w14:paraId="20B63A43" w14:textId="77777777" w:rsidR="00E57DAA" w:rsidRDefault="00AC4185">
            <w:pPr>
              <w:rPr>
                <w:szCs w:val="21"/>
              </w:rPr>
            </w:pPr>
            <w:r>
              <w:t>2023   年 4 月 1 日</w:t>
            </w:r>
          </w:p>
        </w:tc>
        <w:tc>
          <w:tcPr>
            <w:tcW w:w="428" w:type="pct"/>
            <w:shd w:val="clear" w:color="auto" w:fill="auto"/>
          </w:tcPr>
          <w:p w14:paraId="09E5E5FF" w14:textId="77777777" w:rsidR="00E57DAA" w:rsidRDefault="00AC4185">
            <w:pPr>
              <w:jc w:val="right"/>
              <w:rPr>
                <w:szCs w:val="21"/>
              </w:rPr>
            </w:pPr>
            <w:r>
              <w:t>17,921,400.00</w:t>
            </w:r>
          </w:p>
        </w:tc>
        <w:tc>
          <w:tcPr>
            <w:tcW w:w="440" w:type="pct"/>
            <w:shd w:val="clear" w:color="auto" w:fill="auto"/>
          </w:tcPr>
          <w:p w14:paraId="53B53051" w14:textId="77777777" w:rsidR="00E57DAA" w:rsidRDefault="00AC4185">
            <w:pPr>
              <w:jc w:val="right"/>
              <w:rPr>
                <w:szCs w:val="21"/>
              </w:rPr>
            </w:pPr>
            <w:r>
              <w:t>65</w:t>
            </w:r>
          </w:p>
        </w:tc>
        <w:tc>
          <w:tcPr>
            <w:tcW w:w="448" w:type="pct"/>
            <w:shd w:val="clear" w:color="auto" w:fill="auto"/>
          </w:tcPr>
          <w:p w14:paraId="690B749B" w14:textId="77777777" w:rsidR="00E57DAA" w:rsidRDefault="00AC4185">
            <w:pPr>
              <w:rPr>
                <w:szCs w:val="21"/>
              </w:rPr>
            </w:pPr>
            <w:r>
              <w:t>受让股权</w:t>
            </w:r>
          </w:p>
        </w:tc>
        <w:tc>
          <w:tcPr>
            <w:tcW w:w="428" w:type="pct"/>
            <w:shd w:val="clear" w:color="auto" w:fill="auto"/>
          </w:tcPr>
          <w:p w14:paraId="77854EB3" w14:textId="77777777" w:rsidR="00E57DAA" w:rsidRDefault="00AC4185">
            <w:pPr>
              <w:rPr>
                <w:szCs w:val="21"/>
              </w:rPr>
            </w:pPr>
            <w:r>
              <w:t>2023</w:t>
            </w:r>
            <w:r>
              <w:rPr>
                <w:rFonts w:hint="eastAsia"/>
              </w:rPr>
              <w:t>-</w:t>
            </w:r>
            <w:r>
              <w:t>4</w:t>
            </w:r>
            <w:r>
              <w:rPr>
                <w:rFonts w:hint="eastAsia"/>
              </w:rPr>
              <w:t>-</w:t>
            </w:r>
            <w:r>
              <w:t>1</w:t>
            </w:r>
          </w:p>
        </w:tc>
        <w:tc>
          <w:tcPr>
            <w:tcW w:w="515" w:type="pct"/>
            <w:shd w:val="clear" w:color="auto" w:fill="auto"/>
          </w:tcPr>
          <w:p w14:paraId="5029148C" w14:textId="77777777" w:rsidR="00E57DAA" w:rsidRDefault="00AC4185">
            <w:pPr>
              <w:rPr>
                <w:szCs w:val="21"/>
              </w:rPr>
            </w:pPr>
            <w:r>
              <w:t>控制权转移</w:t>
            </w:r>
          </w:p>
        </w:tc>
        <w:tc>
          <w:tcPr>
            <w:tcW w:w="623" w:type="pct"/>
            <w:shd w:val="clear" w:color="auto" w:fill="auto"/>
          </w:tcPr>
          <w:p w14:paraId="530631E0" w14:textId="77777777" w:rsidR="00E57DAA" w:rsidRDefault="00AC4185">
            <w:pPr>
              <w:jc w:val="right"/>
              <w:rPr>
                <w:szCs w:val="21"/>
              </w:rPr>
            </w:pPr>
            <w:r>
              <w:t>5,481,888.42</w:t>
            </w:r>
          </w:p>
        </w:tc>
        <w:tc>
          <w:tcPr>
            <w:tcW w:w="622" w:type="pct"/>
            <w:shd w:val="clear" w:color="auto" w:fill="auto"/>
          </w:tcPr>
          <w:p w14:paraId="2FB4313F" w14:textId="77777777" w:rsidR="00E57DAA" w:rsidRDefault="00AC4185">
            <w:pPr>
              <w:jc w:val="right"/>
              <w:rPr>
                <w:szCs w:val="21"/>
              </w:rPr>
            </w:pPr>
            <w:r>
              <w:t>1,764,676.80</w:t>
            </w:r>
          </w:p>
        </w:tc>
        <w:tc>
          <w:tcPr>
            <w:tcW w:w="622" w:type="pct"/>
          </w:tcPr>
          <w:p w14:paraId="2ED213AE" w14:textId="77777777" w:rsidR="00E57DAA" w:rsidRDefault="00AC4185">
            <w:pPr>
              <w:jc w:val="right"/>
              <w:rPr>
                <w:szCs w:val="21"/>
              </w:rPr>
            </w:pPr>
            <w:r>
              <w:t>-867,536.39</w:t>
            </w:r>
          </w:p>
        </w:tc>
      </w:tr>
      <w:tr w:rsidR="00E57DAA" w14:paraId="50370EA9" w14:textId="77777777">
        <w:trPr>
          <w:trHeight w:val="293"/>
        </w:trPr>
        <w:tc>
          <w:tcPr>
            <w:tcW w:w="426" w:type="pct"/>
            <w:shd w:val="clear" w:color="auto" w:fill="auto"/>
          </w:tcPr>
          <w:p w14:paraId="473929D1" w14:textId="77777777" w:rsidR="00E57DAA" w:rsidRDefault="00AC4185">
            <w:pPr>
              <w:rPr>
                <w:szCs w:val="21"/>
              </w:rPr>
            </w:pPr>
            <w:r>
              <w:t>绿色基础材料有限公司</w:t>
            </w:r>
          </w:p>
        </w:tc>
        <w:tc>
          <w:tcPr>
            <w:tcW w:w="449" w:type="pct"/>
            <w:shd w:val="clear" w:color="auto" w:fill="auto"/>
          </w:tcPr>
          <w:p w14:paraId="77061748" w14:textId="77777777" w:rsidR="00E57DAA" w:rsidRDefault="00AC4185">
            <w:pPr>
              <w:rPr>
                <w:szCs w:val="21"/>
              </w:rPr>
            </w:pPr>
            <w:r>
              <w:t>2023年11月30日</w:t>
            </w:r>
          </w:p>
        </w:tc>
        <w:tc>
          <w:tcPr>
            <w:tcW w:w="428" w:type="pct"/>
            <w:shd w:val="clear" w:color="auto" w:fill="auto"/>
          </w:tcPr>
          <w:p w14:paraId="3FB815A0" w14:textId="77777777" w:rsidR="00E57DAA" w:rsidRDefault="00AC4185">
            <w:pPr>
              <w:jc w:val="right"/>
              <w:rPr>
                <w:szCs w:val="21"/>
              </w:rPr>
            </w:pPr>
            <w:r>
              <w:t>1,318,635.59</w:t>
            </w:r>
          </w:p>
        </w:tc>
        <w:tc>
          <w:tcPr>
            <w:tcW w:w="440" w:type="pct"/>
            <w:shd w:val="clear" w:color="auto" w:fill="auto"/>
          </w:tcPr>
          <w:p w14:paraId="14226754" w14:textId="77777777" w:rsidR="00E57DAA" w:rsidRDefault="00AC4185">
            <w:pPr>
              <w:jc w:val="right"/>
              <w:rPr>
                <w:szCs w:val="21"/>
              </w:rPr>
            </w:pPr>
            <w:r>
              <w:t>100</w:t>
            </w:r>
          </w:p>
        </w:tc>
        <w:tc>
          <w:tcPr>
            <w:tcW w:w="448" w:type="pct"/>
            <w:shd w:val="clear" w:color="auto" w:fill="auto"/>
          </w:tcPr>
          <w:p w14:paraId="06E2D0F2" w14:textId="77777777" w:rsidR="00E57DAA" w:rsidRDefault="00AC4185">
            <w:pPr>
              <w:rPr>
                <w:szCs w:val="21"/>
              </w:rPr>
            </w:pPr>
            <w:r>
              <w:t>受让股权</w:t>
            </w:r>
          </w:p>
        </w:tc>
        <w:tc>
          <w:tcPr>
            <w:tcW w:w="428" w:type="pct"/>
            <w:shd w:val="clear" w:color="auto" w:fill="auto"/>
          </w:tcPr>
          <w:p w14:paraId="467675B5" w14:textId="77777777" w:rsidR="00E57DAA" w:rsidRDefault="00AC4185">
            <w:pPr>
              <w:rPr>
                <w:szCs w:val="21"/>
              </w:rPr>
            </w:pPr>
            <w:r>
              <w:t>2023</w:t>
            </w:r>
            <w:r>
              <w:rPr>
                <w:rFonts w:hint="eastAsia"/>
              </w:rPr>
              <w:t>-</w:t>
            </w:r>
            <w:r>
              <w:t>1</w:t>
            </w:r>
            <w:r>
              <w:rPr>
                <w:rFonts w:hint="eastAsia"/>
              </w:rPr>
              <w:t>1-</w:t>
            </w:r>
            <w:r>
              <w:t>30</w:t>
            </w:r>
          </w:p>
        </w:tc>
        <w:tc>
          <w:tcPr>
            <w:tcW w:w="515" w:type="pct"/>
            <w:shd w:val="clear" w:color="auto" w:fill="auto"/>
          </w:tcPr>
          <w:p w14:paraId="498E7785" w14:textId="77777777" w:rsidR="00E57DAA" w:rsidRDefault="00AC4185">
            <w:pPr>
              <w:rPr>
                <w:szCs w:val="21"/>
              </w:rPr>
            </w:pPr>
            <w:r>
              <w:t>控制权转移</w:t>
            </w:r>
          </w:p>
        </w:tc>
        <w:tc>
          <w:tcPr>
            <w:tcW w:w="623" w:type="pct"/>
            <w:shd w:val="clear" w:color="auto" w:fill="auto"/>
          </w:tcPr>
          <w:p w14:paraId="798C1031" w14:textId="77777777" w:rsidR="00E57DAA" w:rsidRDefault="00AC4185">
            <w:pPr>
              <w:jc w:val="right"/>
              <w:rPr>
                <w:szCs w:val="21"/>
              </w:rPr>
            </w:pPr>
            <w:r>
              <w:t>65,305,273.77</w:t>
            </w:r>
          </w:p>
        </w:tc>
        <w:tc>
          <w:tcPr>
            <w:tcW w:w="622" w:type="pct"/>
            <w:shd w:val="clear" w:color="auto" w:fill="auto"/>
          </w:tcPr>
          <w:p w14:paraId="0D5610B4" w14:textId="77777777" w:rsidR="00E57DAA" w:rsidRDefault="00AC4185">
            <w:pPr>
              <w:jc w:val="right"/>
              <w:rPr>
                <w:szCs w:val="21"/>
              </w:rPr>
            </w:pPr>
            <w:r>
              <w:t>3,477,109.67</w:t>
            </w:r>
          </w:p>
        </w:tc>
        <w:tc>
          <w:tcPr>
            <w:tcW w:w="622" w:type="pct"/>
          </w:tcPr>
          <w:p w14:paraId="39CB8842" w14:textId="77777777" w:rsidR="00E57DAA" w:rsidRDefault="00AC4185">
            <w:pPr>
              <w:jc w:val="right"/>
              <w:rPr>
                <w:szCs w:val="21"/>
              </w:rPr>
            </w:pPr>
            <w:r>
              <w:t>-5,105,526.51</w:t>
            </w:r>
          </w:p>
        </w:tc>
      </w:tr>
    </w:tbl>
    <w:p w14:paraId="6B3A5C8F" w14:textId="77777777" w:rsidR="00E57DAA" w:rsidRDefault="00E57DAA" w:rsidP="00C25422">
      <w:pPr>
        <w:pStyle w:val="92"/>
      </w:pPr>
    </w:p>
    <w:p w14:paraId="38FDBAC2" w14:textId="77777777" w:rsidR="00E57DAA" w:rsidRDefault="00E57DAA">
      <w:pPr>
        <w:rPr>
          <w:rFonts w:cs="Arial"/>
          <w:szCs w:val="21"/>
        </w:rPr>
        <w:sectPr w:rsidR="00E57DAA" w:rsidSect="00226547">
          <w:pgSz w:w="16838" w:h="11906" w:orient="landscape"/>
          <w:pgMar w:top="1276" w:right="1440" w:bottom="1797" w:left="1525" w:header="856" w:footer="992" w:gutter="0"/>
          <w:cols w:space="425"/>
          <w:docGrid w:linePitch="312"/>
        </w:sectPr>
      </w:pPr>
    </w:p>
    <w:p w14:paraId="78F27206" w14:textId="77777777" w:rsidR="00E57DAA" w:rsidRDefault="00E57DAA">
      <w:pPr>
        <w:rPr>
          <w:rFonts w:cs="Arial"/>
          <w:szCs w:val="21"/>
        </w:rPr>
      </w:pPr>
    </w:p>
    <w:p w14:paraId="080D5050" w14:textId="77777777" w:rsidR="00E57DAA" w:rsidRDefault="00AC4185">
      <w:pPr>
        <w:pStyle w:val="4"/>
        <w:numPr>
          <w:ilvl w:val="0"/>
          <w:numId w:val="111"/>
        </w:numPr>
        <w:ind w:left="426" w:hanging="426"/>
      </w:pPr>
      <w:r>
        <w:rPr>
          <w:rStyle w:val="85"/>
          <w:rFonts w:ascii="宋体" w:hAnsi="宋体" w:hint="eastAsia"/>
          <w:b/>
          <w:szCs w:val="21"/>
        </w:rPr>
        <w:t>合并成本及商誉</w:t>
      </w:r>
    </w:p>
    <w:sdt>
      <w:sdtPr>
        <w:alias w:val="是否适用：合并成本及商誉[双击切换]"/>
        <w:tag w:val="_GBC_a60bf29a08f34ad38e2b707d1dc7dd55"/>
        <w:id w:val="499325647"/>
        <w:placeholder>
          <w:docPart w:val="GBC22222222222222222222222222222"/>
        </w:placeholder>
      </w:sdtPr>
      <w:sdtEndPr/>
      <w:sdtContent>
        <w:p w14:paraId="01CEB18F"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17E59AB" w14:textId="77777777" w:rsidR="00E57DAA" w:rsidRDefault="00AC4185">
      <w:pPr>
        <w:jc w:val="right"/>
      </w:pPr>
      <w:r>
        <w:rPr>
          <w:rFonts w:hint="eastAsia"/>
        </w:rPr>
        <w:t>单位：</w:t>
      </w:r>
      <w:sdt>
        <w:sdtPr>
          <w:rPr>
            <w:rFonts w:hint="eastAsia"/>
          </w:rPr>
          <w:alias w:val="单位：财务附注：合并成本及商誉"/>
          <w:tag w:val="_GBC_55f78e089abe4703bf6af0398e8e5fc3"/>
          <w:id w:val="-10520746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合并成本及商誉"/>
          <w:tag w:val="_GBC_d846b24ae9324e33823f301c0e2106ce"/>
          <w:id w:val="13009610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4"/>
        <w:gridCol w:w="2499"/>
      </w:tblGrid>
      <w:tr w:rsidR="00E57DAA" w14:paraId="65A13BDC" w14:textId="77777777">
        <w:trPr>
          <w:jc w:val="center"/>
        </w:trPr>
        <w:sdt>
          <w:sdtPr>
            <w:tag w:val="_PLD_3aa63ccb0e1b4e55ac7882126c0cf058"/>
            <w:id w:val="104937639"/>
          </w:sdtPr>
          <w:sdtEndPr/>
          <w:sdtContent>
            <w:tc>
              <w:tcPr>
                <w:tcW w:w="3584" w:type="pct"/>
                <w:shd w:val="clear" w:color="auto" w:fill="auto"/>
              </w:tcPr>
              <w:p w14:paraId="1742E119" w14:textId="77777777" w:rsidR="00E57DAA" w:rsidRDefault="00AC4185">
                <w:pPr>
                  <w:rPr>
                    <w:rFonts w:cs="Arial"/>
                    <w:szCs w:val="21"/>
                  </w:rPr>
                </w:pPr>
                <w:r>
                  <w:rPr>
                    <w:rFonts w:cs="Arial" w:hint="eastAsia"/>
                    <w:szCs w:val="21"/>
                    <w:lang w:val="en-GB"/>
                  </w:rPr>
                  <w:t>合并成本</w:t>
                </w:r>
              </w:p>
            </w:tc>
          </w:sdtContent>
        </w:sdt>
        <w:sdt>
          <w:sdtPr>
            <w:rPr>
              <w:szCs w:val="21"/>
            </w:rPr>
            <w:alias w:val="非同一控制下企业合并成本及商誉明细-公司名称"/>
            <w:tag w:val="_GBC_9bef51a4e9fc4de3a3b167b11e31a267"/>
            <w:id w:val="-1655520203"/>
          </w:sdtPr>
          <w:sdtEndPr/>
          <w:sdtContent>
            <w:tc>
              <w:tcPr>
                <w:tcW w:w="1416" w:type="pct"/>
              </w:tcPr>
              <w:p w14:paraId="7BC23CBE" w14:textId="77777777" w:rsidR="00E57DAA" w:rsidRDefault="00AC4185">
                <w:pPr>
                  <w:rPr>
                    <w:szCs w:val="21"/>
                  </w:rPr>
                </w:pPr>
                <w:r>
                  <w:rPr>
                    <w:rFonts w:hint="eastAsia"/>
                    <w:szCs w:val="21"/>
                  </w:rPr>
                  <w:t>江苏凯希盟科技有限</w:t>
                </w:r>
                <w:r>
                  <w:rPr>
                    <w:szCs w:val="21"/>
                  </w:rPr>
                  <w:t>公司</w:t>
                </w:r>
              </w:p>
            </w:tc>
          </w:sdtContent>
        </w:sdt>
      </w:tr>
      <w:tr w:rsidR="00E57DAA" w14:paraId="57809051" w14:textId="77777777">
        <w:trPr>
          <w:jc w:val="center"/>
        </w:trPr>
        <w:tc>
          <w:tcPr>
            <w:tcW w:w="3584" w:type="pct"/>
            <w:shd w:val="clear" w:color="auto" w:fill="auto"/>
            <w:vAlign w:val="center"/>
          </w:tcPr>
          <w:p w14:paraId="7582440E"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现金</w:t>
            </w:r>
          </w:p>
        </w:tc>
        <w:tc>
          <w:tcPr>
            <w:tcW w:w="1416" w:type="pct"/>
            <w:vAlign w:val="center"/>
          </w:tcPr>
          <w:p w14:paraId="2179C4D3" w14:textId="77777777" w:rsidR="00E57DAA" w:rsidRDefault="00AC4185">
            <w:pPr>
              <w:jc w:val="right"/>
              <w:rPr>
                <w:szCs w:val="21"/>
              </w:rPr>
            </w:pPr>
            <w:r>
              <w:t>17,921,400.00</w:t>
            </w:r>
          </w:p>
        </w:tc>
      </w:tr>
      <w:tr w:rsidR="00E57DAA" w14:paraId="4E373DE5" w14:textId="77777777">
        <w:trPr>
          <w:jc w:val="center"/>
        </w:trPr>
        <w:tc>
          <w:tcPr>
            <w:tcW w:w="3584" w:type="pct"/>
            <w:shd w:val="clear" w:color="auto" w:fill="auto"/>
            <w:vAlign w:val="center"/>
          </w:tcPr>
          <w:p w14:paraId="7A2D6012" w14:textId="77777777" w:rsidR="00E57DAA" w:rsidRDefault="00AC4185">
            <w:pPr>
              <w:rPr>
                <w:rFonts w:cs="Arial"/>
                <w:color w:val="000000"/>
                <w:szCs w:val="21"/>
              </w:rPr>
            </w:pPr>
            <w:r>
              <w:rPr>
                <w:rFonts w:cs="Arial" w:hint="eastAsia"/>
                <w:color w:val="000000"/>
                <w:szCs w:val="21"/>
                <w:lang w:val="en-GB"/>
              </w:rPr>
              <w:t>合并成本合计</w:t>
            </w:r>
          </w:p>
        </w:tc>
        <w:tc>
          <w:tcPr>
            <w:tcW w:w="1416" w:type="pct"/>
            <w:vAlign w:val="center"/>
          </w:tcPr>
          <w:p w14:paraId="39CB7AEA" w14:textId="77777777" w:rsidR="00E57DAA" w:rsidRDefault="00AC4185">
            <w:pPr>
              <w:jc w:val="right"/>
              <w:rPr>
                <w:szCs w:val="21"/>
              </w:rPr>
            </w:pPr>
            <w:r>
              <w:t>17,921,400.00</w:t>
            </w:r>
          </w:p>
        </w:tc>
      </w:tr>
      <w:tr w:rsidR="00E57DAA" w14:paraId="05D256AE" w14:textId="77777777">
        <w:trPr>
          <w:jc w:val="center"/>
        </w:trPr>
        <w:tc>
          <w:tcPr>
            <w:tcW w:w="3584" w:type="pct"/>
            <w:shd w:val="clear" w:color="auto" w:fill="auto"/>
            <w:vAlign w:val="center"/>
          </w:tcPr>
          <w:p w14:paraId="384E60B2" w14:textId="77777777" w:rsidR="00E57DAA" w:rsidRDefault="00AC4185">
            <w:pPr>
              <w:rPr>
                <w:rFonts w:cs="Arial"/>
                <w:color w:val="000000"/>
                <w:szCs w:val="21"/>
              </w:rPr>
            </w:pPr>
            <w:r>
              <w:rPr>
                <w:rFonts w:cs="Arial" w:hint="eastAsia"/>
                <w:color w:val="000000"/>
                <w:szCs w:val="21"/>
                <w:lang w:val="en-GB"/>
              </w:rPr>
              <w:t>减：取得的可辨认净资产公允价值份额</w:t>
            </w:r>
          </w:p>
        </w:tc>
        <w:tc>
          <w:tcPr>
            <w:tcW w:w="1416" w:type="pct"/>
            <w:vAlign w:val="center"/>
          </w:tcPr>
          <w:p w14:paraId="31E052B9" w14:textId="77777777" w:rsidR="00E57DAA" w:rsidRDefault="00AC4185">
            <w:pPr>
              <w:jc w:val="right"/>
              <w:rPr>
                <w:szCs w:val="21"/>
              </w:rPr>
            </w:pPr>
            <w:r>
              <w:t>14,545,805.31</w:t>
            </w:r>
          </w:p>
        </w:tc>
      </w:tr>
      <w:tr w:rsidR="00E57DAA" w14:paraId="7487CB99" w14:textId="77777777">
        <w:trPr>
          <w:jc w:val="center"/>
        </w:trPr>
        <w:tc>
          <w:tcPr>
            <w:tcW w:w="3584" w:type="pct"/>
            <w:shd w:val="clear" w:color="auto" w:fill="auto"/>
            <w:vAlign w:val="center"/>
          </w:tcPr>
          <w:p w14:paraId="71541205" w14:textId="77777777" w:rsidR="00E57DAA" w:rsidRDefault="00AC4185">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tc>
          <w:tcPr>
            <w:tcW w:w="1416" w:type="pct"/>
            <w:vAlign w:val="center"/>
          </w:tcPr>
          <w:p w14:paraId="41444E97" w14:textId="77777777" w:rsidR="00E57DAA" w:rsidRDefault="00AC4185">
            <w:pPr>
              <w:jc w:val="right"/>
              <w:rPr>
                <w:szCs w:val="21"/>
              </w:rPr>
            </w:pPr>
            <w:r>
              <w:t>3,375,594.69</w:t>
            </w:r>
          </w:p>
        </w:tc>
      </w:tr>
    </w:tbl>
    <w:p w14:paraId="189A9722" w14:textId="77777777" w:rsidR="00E57DAA" w:rsidRDefault="00E57DAA" w:rsidP="00C25422">
      <w:pPr>
        <w:pStyle w:val="92"/>
      </w:pPr>
    </w:p>
    <w:p w14:paraId="7DA4B237" w14:textId="77777777" w:rsidR="00E57DAA" w:rsidRDefault="00E57DAA" w:rsidP="00C25422">
      <w:pPr>
        <w:pStyle w:val="92"/>
      </w:pPr>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4"/>
        <w:gridCol w:w="3189"/>
      </w:tblGrid>
      <w:tr w:rsidR="00E57DAA" w14:paraId="52CB7C4D" w14:textId="77777777">
        <w:trPr>
          <w:jc w:val="center"/>
        </w:trPr>
        <w:sdt>
          <w:sdtPr>
            <w:tag w:val="_PLD_3aa63ccb0e1b4e55ac7882126c0cf058"/>
            <w:id w:val="-1775709465"/>
          </w:sdtPr>
          <w:sdtEndPr/>
          <w:sdtContent>
            <w:tc>
              <w:tcPr>
                <w:tcW w:w="3193" w:type="pct"/>
                <w:shd w:val="clear" w:color="auto" w:fill="auto"/>
              </w:tcPr>
              <w:p w14:paraId="3255D108" w14:textId="77777777" w:rsidR="00E57DAA" w:rsidRDefault="00AC4185">
                <w:pPr>
                  <w:rPr>
                    <w:rFonts w:cs="Arial"/>
                    <w:szCs w:val="21"/>
                  </w:rPr>
                </w:pPr>
                <w:r>
                  <w:rPr>
                    <w:rFonts w:cs="Arial" w:hint="eastAsia"/>
                    <w:szCs w:val="21"/>
                    <w:lang w:val="en-GB"/>
                  </w:rPr>
                  <w:t>合并成本</w:t>
                </w:r>
              </w:p>
            </w:tc>
          </w:sdtContent>
        </w:sdt>
        <w:sdt>
          <w:sdtPr>
            <w:rPr>
              <w:szCs w:val="21"/>
            </w:rPr>
            <w:alias w:val="非同一控制下企业合并成本及商誉明细-公司名称"/>
            <w:tag w:val="_GBC_9bef51a4e9fc4de3a3b167b11e31a267"/>
            <w:id w:val="1222096609"/>
          </w:sdtPr>
          <w:sdtEndPr/>
          <w:sdtContent>
            <w:tc>
              <w:tcPr>
                <w:tcW w:w="1807" w:type="pct"/>
              </w:tcPr>
              <w:p w14:paraId="2140ECDC" w14:textId="77777777" w:rsidR="00E57DAA" w:rsidRDefault="00AC4185">
                <w:pPr>
                  <w:rPr>
                    <w:szCs w:val="21"/>
                  </w:rPr>
                </w:pPr>
                <w:r>
                  <w:rPr>
                    <w:szCs w:val="21"/>
                  </w:rPr>
                  <w:t>绿色基础材料有限公司</w:t>
                </w:r>
              </w:p>
            </w:tc>
          </w:sdtContent>
        </w:sdt>
      </w:tr>
      <w:tr w:rsidR="00E57DAA" w14:paraId="762B5929" w14:textId="77777777">
        <w:trPr>
          <w:jc w:val="center"/>
        </w:trPr>
        <w:tc>
          <w:tcPr>
            <w:tcW w:w="3193" w:type="pct"/>
            <w:shd w:val="clear" w:color="auto" w:fill="auto"/>
            <w:vAlign w:val="center"/>
          </w:tcPr>
          <w:p w14:paraId="636C81A5"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现金</w:t>
            </w:r>
          </w:p>
        </w:tc>
        <w:tc>
          <w:tcPr>
            <w:tcW w:w="1807" w:type="pct"/>
            <w:vAlign w:val="center"/>
          </w:tcPr>
          <w:p w14:paraId="54B67174" w14:textId="77777777" w:rsidR="00E57DAA" w:rsidRDefault="00AC4185">
            <w:pPr>
              <w:jc w:val="right"/>
              <w:rPr>
                <w:szCs w:val="21"/>
              </w:rPr>
            </w:pPr>
            <w:r>
              <w:t>1,318,635.59</w:t>
            </w:r>
          </w:p>
        </w:tc>
      </w:tr>
      <w:tr w:rsidR="00E57DAA" w14:paraId="29542C1E" w14:textId="77777777">
        <w:trPr>
          <w:jc w:val="center"/>
        </w:trPr>
        <w:tc>
          <w:tcPr>
            <w:tcW w:w="3193" w:type="pct"/>
            <w:shd w:val="clear" w:color="auto" w:fill="auto"/>
            <w:vAlign w:val="center"/>
          </w:tcPr>
          <w:p w14:paraId="78087AEB" w14:textId="77777777" w:rsidR="00E57DAA" w:rsidRDefault="00AC4185">
            <w:pPr>
              <w:rPr>
                <w:rFonts w:cs="Arial"/>
                <w:color w:val="000000"/>
                <w:szCs w:val="21"/>
              </w:rPr>
            </w:pPr>
            <w:r>
              <w:rPr>
                <w:rFonts w:cs="Arial" w:hint="eastAsia"/>
                <w:color w:val="000000"/>
                <w:szCs w:val="21"/>
                <w:lang w:val="en-GB"/>
              </w:rPr>
              <w:t>合并成本合计</w:t>
            </w:r>
          </w:p>
        </w:tc>
        <w:tc>
          <w:tcPr>
            <w:tcW w:w="1807" w:type="pct"/>
            <w:vAlign w:val="center"/>
          </w:tcPr>
          <w:p w14:paraId="7860817A" w14:textId="77777777" w:rsidR="00E57DAA" w:rsidRDefault="00AC4185">
            <w:pPr>
              <w:jc w:val="right"/>
              <w:rPr>
                <w:szCs w:val="21"/>
              </w:rPr>
            </w:pPr>
            <w:r>
              <w:t>1,318,635.59</w:t>
            </w:r>
          </w:p>
        </w:tc>
      </w:tr>
      <w:tr w:rsidR="00E57DAA" w14:paraId="2816A2F4" w14:textId="77777777">
        <w:trPr>
          <w:jc w:val="center"/>
        </w:trPr>
        <w:tc>
          <w:tcPr>
            <w:tcW w:w="3193" w:type="pct"/>
            <w:shd w:val="clear" w:color="auto" w:fill="auto"/>
            <w:vAlign w:val="center"/>
          </w:tcPr>
          <w:p w14:paraId="1D2D4C0C" w14:textId="77777777" w:rsidR="00E57DAA" w:rsidRDefault="00AC4185">
            <w:pPr>
              <w:rPr>
                <w:rFonts w:cs="Arial"/>
                <w:color w:val="000000"/>
                <w:szCs w:val="21"/>
              </w:rPr>
            </w:pPr>
            <w:r>
              <w:rPr>
                <w:rFonts w:cs="Arial" w:hint="eastAsia"/>
                <w:color w:val="000000"/>
                <w:szCs w:val="21"/>
                <w:lang w:val="en-GB"/>
              </w:rPr>
              <w:t>减：取得的可辨认净资产公允价值份额</w:t>
            </w:r>
          </w:p>
        </w:tc>
        <w:tc>
          <w:tcPr>
            <w:tcW w:w="1807" w:type="pct"/>
            <w:vAlign w:val="center"/>
          </w:tcPr>
          <w:p w14:paraId="6DCB3755" w14:textId="77777777" w:rsidR="00E57DAA" w:rsidRDefault="00AC4185">
            <w:pPr>
              <w:jc w:val="right"/>
              <w:rPr>
                <w:szCs w:val="21"/>
              </w:rPr>
            </w:pPr>
            <w:r>
              <w:t>1,550,283.26</w:t>
            </w:r>
          </w:p>
        </w:tc>
      </w:tr>
      <w:tr w:rsidR="00E57DAA" w14:paraId="5FF44CB8" w14:textId="77777777">
        <w:trPr>
          <w:jc w:val="center"/>
        </w:trPr>
        <w:tc>
          <w:tcPr>
            <w:tcW w:w="3193" w:type="pct"/>
            <w:shd w:val="clear" w:color="auto" w:fill="auto"/>
            <w:vAlign w:val="center"/>
          </w:tcPr>
          <w:p w14:paraId="077633D9" w14:textId="77777777" w:rsidR="00E57DAA" w:rsidRDefault="00AC4185">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tc>
          <w:tcPr>
            <w:tcW w:w="1807" w:type="pct"/>
            <w:vAlign w:val="center"/>
          </w:tcPr>
          <w:p w14:paraId="5CAFD110" w14:textId="77777777" w:rsidR="00E57DAA" w:rsidRDefault="00AC4185">
            <w:pPr>
              <w:jc w:val="right"/>
              <w:rPr>
                <w:szCs w:val="21"/>
              </w:rPr>
            </w:pPr>
            <w:r>
              <w:t>-231,647.67</w:t>
            </w:r>
          </w:p>
        </w:tc>
      </w:tr>
    </w:tbl>
    <w:p w14:paraId="3A301CFD" w14:textId="77777777" w:rsidR="00E57DAA" w:rsidRDefault="00E57DAA" w:rsidP="00C25422">
      <w:pPr>
        <w:pStyle w:val="92"/>
      </w:pPr>
    </w:p>
    <w:p w14:paraId="62D4F032" w14:textId="77777777" w:rsidR="00E57DAA" w:rsidRDefault="00AC4185">
      <w:pPr>
        <w:rPr>
          <w:rFonts w:cs="Arial"/>
          <w:szCs w:val="21"/>
        </w:rPr>
      </w:pPr>
      <w:r>
        <w:rPr>
          <w:rFonts w:cs="Arial" w:hint="eastAsia"/>
          <w:szCs w:val="21"/>
        </w:rPr>
        <w:t>合并成本公允价值的确定方法：</w:t>
      </w:r>
    </w:p>
    <w:sdt>
      <w:sdtPr>
        <w:alias w:val="是否适用：合并成本公允价值的确定方法[双击切换]"/>
        <w:tag w:val="_GBC_9d4e8f99f2ba4edfa428f0d421da5aa8"/>
        <w:id w:val="1257328394"/>
        <w:placeholder>
          <w:docPart w:val="GBC22222222222222222222222222222"/>
        </w:placeholder>
      </w:sdtPr>
      <w:sdtEndPr/>
      <w:sdtContent>
        <w:p w14:paraId="1E0FA9A6" w14:textId="77777777" w:rsidR="00E57DAA" w:rsidRDefault="00AC4185">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EC05F7" w14:textId="77777777" w:rsidR="00E57DAA" w:rsidRDefault="00E57DAA">
      <w:pPr>
        <w:rPr>
          <w:rFonts w:cs="Arial"/>
          <w:szCs w:val="21"/>
        </w:rPr>
      </w:pPr>
    </w:p>
    <w:p w14:paraId="4EADCB91" w14:textId="77777777" w:rsidR="00E57DAA" w:rsidRDefault="00AC4185">
      <w:pPr>
        <w:rPr>
          <w:rFonts w:cs="Arial"/>
          <w:szCs w:val="21"/>
        </w:rPr>
      </w:pPr>
      <w:r>
        <w:rPr>
          <w:rFonts w:cs="Arial" w:hint="eastAsia"/>
          <w:szCs w:val="21"/>
        </w:rPr>
        <w:t>业绩承诺的完成情况：</w:t>
      </w:r>
    </w:p>
    <w:sdt>
      <w:sdtPr>
        <w:rPr>
          <w:szCs w:val="21"/>
        </w:rPr>
        <w:alias w:val="是否适用：披露业绩承诺的完成情况[双击切换]"/>
        <w:tag w:val="_GBC_36cca5d937644cbf81864500e0f0d2ff"/>
        <w:id w:val="-1826582027"/>
        <w:placeholder>
          <w:docPart w:val="GBC22222222222222222222222222222"/>
        </w:placeholder>
      </w:sdtPr>
      <w:sdtEndPr/>
      <w:sdtContent>
        <w:p w14:paraId="7C6756A9"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747B32" w14:textId="77777777" w:rsidR="00E57DAA" w:rsidRDefault="00E57DAA">
      <w:pPr>
        <w:rPr>
          <w:rFonts w:cs="Arial"/>
          <w:szCs w:val="21"/>
        </w:rPr>
      </w:pPr>
    </w:p>
    <w:p w14:paraId="46A6F2EC" w14:textId="77777777" w:rsidR="00E57DAA" w:rsidRDefault="00AC4185">
      <w:pPr>
        <w:rPr>
          <w:rFonts w:cs="Arial"/>
          <w:szCs w:val="21"/>
        </w:rPr>
      </w:pPr>
      <w:r>
        <w:rPr>
          <w:rFonts w:cs="Arial" w:hint="eastAsia"/>
          <w:szCs w:val="21"/>
        </w:rPr>
        <w:t>大额商誉形成的主要原因：</w:t>
      </w:r>
    </w:p>
    <w:sdt>
      <w:sdtPr>
        <w:rPr>
          <w:rFonts w:cs="Arial" w:hint="eastAsia"/>
          <w:szCs w:val="21"/>
        </w:rPr>
        <w:alias w:val="是否适用：大额商誉形成的主要原因[双击切换]"/>
        <w:tag w:val="_GBC_a84ea95e6f3942f7ac1b4dc99331dd7d"/>
        <w:id w:val="-989022596"/>
        <w:placeholder>
          <w:docPart w:val="GBC22222222222222222222222222222"/>
        </w:placeholder>
      </w:sdtPr>
      <w:sdtEndPr/>
      <w:sdtContent>
        <w:p w14:paraId="0DC225B3" w14:textId="77777777" w:rsidR="00E57DAA" w:rsidRDefault="00AC418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C2CEEF5" w14:textId="77777777" w:rsidR="00E57DAA" w:rsidRDefault="00E57DAA">
      <w:pPr>
        <w:rPr>
          <w:rFonts w:cs="Arial"/>
          <w:szCs w:val="21"/>
        </w:rPr>
      </w:pPr>
    </w:p>
    <w:p w14:paraId="12D83048" w14:textId="77777777" w:rsidR="00E57DAA" w:rsidRDefault="00AC4185">
      <w:pPr>
        <w:pStyle w:val="4"/>
        <w:numPr>
          <w:ilvl w:val="0"/>
          <w:numId w:val="111"/>
        </w:numPr>
        <w:ind w:left="426" w:hanging="426"/>
      </w:pPr>
      <w:r>
        <w:rPr>
          <w:rFonts w:hint="eastAsia"/>
        </w:rPr>
        <w:t>被购买方于</w:t>
      </w:r>
      <w:r>
        <w:rPr>
          <w:rStyle w:val="85"/>
          <w:rFonts w:ascii="宋体" w:hAnsi="宋体" w:hint="eastAsia"/>
          <w:b/>
          <w:szCs w:val="21"/>
        </w:rPr>
        <w:t>购买</w:t>
      </w:r>
      <w:r>
        <w:rPr>
          <w:rFonts w:hint="eastAsia"/>
        </w:rPr>
        <w:t>日可辨认资产、负债</w:t>
      </w:r>
    </w:p>
    <w:sdt>
      <w:sdtPr>
        <w:alias w:val="是否适用：被购买方于购买日可辨认资产、负债[双击切换]"/>
        <w:tag w:val="_GBC_35c89f63b29241e89ece385e44435f24"/>
        <w:id w:val="603464424"/>
        <w:placeholder>
          <w:docPart w:val="GBC22222222222222222222222222222"/>
        </w:placeholder>
      </w:sdtPr>
      <w:sdtEndPr/>
      <w:sdtContent>
        <w:p w14:paraId="0AC0F6A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C22202" w14:textId="77777777" w:rsidR="00E57DAA" w:rsidRDefault="00AC4185" w:rsidP="00C25422">
      <w:pPr>
        <w:pStyle w:val="73"/>
        <w:ind w:firstLine="400"/>
      </w:pPr>
      <w:r>
        <w:rPr>
          <w:rFonts w:hint="eastAsia"/>
        </w:rPr>
        <w:t>单位：</w:t>
      </w:r>
      <w:sdt>
        <w:sdtPr>
          <w:rPr>
            <w:rFonts w:hint="eastAsia"/>
          </w:rPr>
          <w:alias w:val="单位：财务附注：被购买方于购买日可辨认资产、负债"/>
          <w:tag w:val="_GBC_cfb9cca1c9804ce9a2c621206dea8abd"/>
          <w:id w:val="20022278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财务附注：被购买方于购买日可辨认资产、负债"/>
          <w:tag w:val="_GBC_8b006f972f524278a1e83cdcd98648d1"/>
          <w:id w:val="-15889150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1652"/>
        <w:gridCol w:w="1652"/>
        <w:gridCol w:w="1686"/>
        <w:gridCol w:w="1800"/>
      </w:tblGrid>
      <w:tr w:rsidR="00E57DAA" w14:paraId="168648C2" w14:textId="77777777">
        <w:trPr>
          <w:jc w:val="center"/>
        </w:trPr>
        <w:sdt>
          <w:sdtPr>
            <w:tag w:val="_GBC_c2e90753741a4e2ea682899e8216ea23"/>
            <w:id w:val="1278990982"/>
          </w:sdtPr>
          <w:sdtEndPr/>
          <w:sdtContent>
            <w:tc>
              <w:tcPr>
                <w:tcW w:w="1156" w:type="pct"/>
                <w:vMerge w:val="restart"/>
                <w:shd w:val="clear" w:color="auto" w:fill="auto"/>
              </w:tcPr>
              <w:p w14:paraId="5D9F5DF2" w14:textId="77777777" w:rsidR="00E57DAA" w:rsidRDefault="00E57DAA">
                <w:pPr>
                  <w:rPr>
                    <w:rFonts w:cs="Arial"/>
                    <w:szCs w:val="21"/>
                  </w:rPr>
                </w:pPr>
              </w:p>
            </w:tc>
          </w:sdtContent>
        </w:sdt>
        <w:sdt>
          <w:sdtPr>
            <w:rPr>
              <w:rFonts w:cs="Arial" w:hint="eastAsia"/>
              <w:szCs w:val="21"/>
              <w:lang w:val="en-GB"/>
            </w:rPr>
            <w:alias w:val="被购买方于购买日可辨认资产、负债明细-公司名称"/>
            <w:tag w:val="_GBC_c2e90753741a4e2ea682899e8216ea23"/>
            <w:id w:val="-1201480243"/>
          </w:sdtPr>
          <w:sdtEndPr/>
          <w:sdtContent>
            <w:tc>
              <w:tcPr>
                <w:tcW w:w="1880" w:type="pct"/>
                <w:gridSpan w:val="2"/>
                <w:shd w:val="clear" w:color="auto" w:fill="auto"/>
                <w:vAlign w:val="center"/>
              </w:tcPr>
              <w:p w14:paraId="45E40819" w14:textId="77777777" w:rsidR="00E57DAA" w:rsidRDefault="00AC4185">
                <w:pPr>
                  <w:jc w:val="center"/>
                  <w:rPr>
                    <w:rFonts w:cs="Arial"/>
                    <w:szCs w:val="21"/>
                    <w:lang w:val="en-GB"/>
                  </w:rPr>
                </w:pPr>
                <w:r>
                  <w:rPr>
                    <w:rFonts w:cs="Arial" w:hint="eastAsia"/>
                    <w:szCs w:val="21"/>
                    <w:lang w:val="en-GB"/>
                  </w:rPr>
                  <w:t>江苏凯希盟科技有限公司</w:t>
                </w:r>
              </w:p>
            </w:tc>
          </w:sdtContent>
        </w:sdt>
        <w:sdt>
          <w:sdtPr>
            <w:rPr>
              <w:rFonts w:cs="Arial" w:hint="eastAsia"/>
              <w:szCs w:val="21"/>
              <w:lang w:val="en-GB"/>
            </w:rPr>
            <w:alias w:val="被购买方于购买日可辨认资产、负债明细-公司名称"/>
            <w:tag w:val="_GBC_c2e90753741a4e2ea682899e8216ea23"/>
            <w:id w:val="2088336366"/>
          </w:sdtPr>
          <w:sdtEndPr/>
          <w:sdtContent>
            <w:tc>
              <w:tcPr>
                <w:tcW w:w="1964" w:type="pct"/>
                <w:gridSpan w:val="2"/>
                <w:shd w:val="clear" w:color="auto" w:fill="auto"/>
                <w:vAlign w:val="center"/>
              </w:tcPr>
              <w:p w14:paraId="5817723C" w14:textId="77777777" w:rsidR="00E57DAA" w:rsidRDefault="00AC4185">
                <w:pPr>
                  <w:jc w:val="center"/>
                  <w:rPr>
                    <w:rFonts w:cs="Arial"/>
                    <w:szCs w:val="21"/>
                    <w:lang w:val="en-GB"/>
                  </w:rPr>
                </w:pPr>
                <w:r>
                  <w:rPr>
                    <w:rFonts w:cs="Arial"/>
                    <w:szCs w:val="21"/>
                    <w:lang w:val="en-GB"/>
                  </w:rPr>
                  <w:t>绿色基础材料有限公司</w:t>
                </w:r>
              </w:p>
            </w:tc>
          </w:sdtContent>
        </w:sdt>
      </w:tr>
      <w:tr w:rsidR="00E57DAA" w14:paraId="1EA62FD7" w14:textId="77777777">
        <w:trPr>
          <w:trHeight w:hRule="exact" w:val="291"/>
          <w:jc w:val="center"/>
        </w:trPr>
        <w:tc>
          <w:tcPr>
            <w:tcW w:w="1156" w:type="pct"/>
            <w:vMerge/>
            <w:shd w:val="clear" w:color="auto" w:fill="auto"/>
            <w:vAlign w:val="center"/>
          </w:tcPr>
          <w:p w14:paraId="38A1EF9A" w14:textId="77777777" w:rsidR="00E57DAA" w:rsidRDefault="00E57DAA">
            <w:pPr>
              <w:jc w:val="center"/>
              <w:rPr>
                <w:rFonts w:cs="Arial"/>
                <w:szCs w:val="21"/>
              </w:rPr>
            </w:pPr>
          </w:p>
        </w:tc>
        <w:tc>
          <w:tcPr>
            <w:tcW w:w="940" w:type="pct"/>
            <w:shd w:val="clear" w:color="auto" w:fill="auto"/>
            <w:vAlign w:val="center"/>
          </w:tcPr>
          <w:p w14:paraId="3771B878" w14:textId="77777777" w:rsidR="00E57DAA" w:rsidRDefault="00AC4185">
            <w:pPr>
              <w:jc w:val="center"/>
              <w:rPr>
                <w:rFonts w:cs="Arial"/>
                <w:szCs w:val="21"/>
              </w:rPr>
            </w:pPr>
            <w:r>
              <w:rPr>
                <w:rFonts w:cs="Arial" w:hint="eastAsia"/>
                <w:szCs w:val="21"/>
                <w:lang w:val="en-GB"/>
              </w:rPr>
              <w:t>购买日公允价值</w:t>
            </w:r>
          </w:p>
        </w:tc>
        <w:tc>
          <w:tcPr>
            <w:tcW w:w="940" w:type="pct"/>
            <w:vAlign w:val="center"/>
          </w:tcPr>
          <w:p w14:paraId="20BE9F0C" w14:textId="77777777" w:rsidR="00E57DAA" w:rsidRDefault="00AC4185">
            <w:pPr>
              <w:jc w:val="center"/>
              <w:rPr>
                <w:rFonts w:cs="Arial"/>
                <w:szCs w:val="21"/>
                <w:lang w:val="en-GB"/>
              </w:rPr>
            </w:pPr>
            <w:r>
              <w:rPr>
                <w:rFonts w:cs="Arial" w:hint="eastAsia"/>
                <w:szCs w:val="21"/>
                <w:lang w:val="en-GB"/>
              </w:rPr>
              <w:t>购买日账面价值</w:t>
            </w:r>
          </w:p>
        </w:tc>
        <w:tc>
          <w:tcPr>
            <w:tcW w:w="940" w:type="pct"/>
            <w:shd w:val="clear" w:color="auto" w:fill="auto"/>
            <w:vAlign w:val="center"/>
          </w:tcPr>
          <w:p w14:paraId="4BE865D4" w14:textId="77777777" w:rsidR="00E57DAA" w:rsidRDefault="00AC4185">
            <w:pPr>
              <w:jc w:val="center"/>
              <w:rPr>
                <w:rFonts w:cs="Arial"/>
                <w:szCs w:val="21"/>
              </w:rPr>
            </w:pPr>
            <w:r>
              <w:rPr>
                <w:rFonts w:cs="Arial" w:hint="eastAsia"/>
                <w:szCs w:val="21"/>
                <w:lang w:val="en-GB"/>
              </w:rPr>
              <w:t>购买日公允价值</w:t>
            </w:r>
          </w:p>
        </w:tc>
        <w:tc>
          <w:tcPr>
            <w:tcW w:w="1024" w:type="pct"/>
            <w:vAlign w:val="center"/>
          </w:tcPr>
          <w:p w14:paraId="2D974105" w14:textId="77777777" w:rsidR="00E57DAA" w:rsidRDefault="00AC4185">
            <w:pPr>
              <w:jc w:val="center"/>
              <w:rPr>
                <w:rFonts w:cs="Arial"/>
                <w:szCs w:val="21"/>
                <w:lang w:val="en-GB"/>
              </w:rPr>
            </w:pPr>
            <w:r>
              <w:rPr>
                <w:rFonts w:cs="Arial" w:hint="eastAsia"/>
                <w:szCs w:val="21"/>
                <w:lang w:val="en-GB"/>
              </w:rPr>
              <w:t>购买日账面价值</w:t>
            </w:r>
          </w:p>
        </w:tc>
      </w:tr>
      <w:tr w:rsidR="00E57DAA" w14:paraId="29A4FA7D" w14:textId="77777777">
        <w:trPr>
          <w:jc w:val="center"/>
        </w:trPr>
        <w:tc>
          <w:tcPr>
            <w:tcW w:w="1156" w:type="pct"/>
            <w:shd w:val="clear" w:color="auto" w:fill="auto"/>
            <w:vAlign w:val="center"/>
          </w:tcPr>
          <w:p w14:paraId="68860878" w14:textId="77777777" w:rsidR="00E57DAA" w:rsidRDefault="00AC4185">
            <w:pPr>
              <w:rPr>
                <w:rFonts w:cs="Arial"/>
                <w:szCs w:val="21"/>
              </w:rPr>
            </w:pPr>
            <w:r>
              <w:rPr>
                <w:rFonts w:cs="Arial" w:hint="eastAsia"/>
                <w:szCs w:val="21"/>
                <w:lang w:val="en-GB"/>
              </w:rPr>
              <w:t>资产：</w:t>
            </w:r>
          </w:p>
        </w:tc>
        <w:tc>
          <w:tcPr>
            <w:tcW w:w="940" w:type="pct"/>
            <w:shd w:val="clear" w:color="auto" w:fill="auto"/>
            <w:vAlign w:val="center"/>
          </w:tcPr>
          <w:p w14:paraId="78FFDABA" w14:textId="77777777" w:rsidR="00E57DAA" w:rsidRDefault="00AC4185">
            <w:pPr>
              <w:jc w:val="right"/>
              <w:rPr>
                <w:rFonts w:cs="Arial"/>
                <w:szCs w:val="21"/>
              </w:rPr>
            </w:pPr>
            <w:r>
              <w:t>22,899,176.06</w:t>
            </w:r>
          </w:p>
        </w:tc>
        <w:tc>
          <w:tcPr>
            <w:tcW w:w="940" w:type="pct"/>
            <w:vAlign w:val="center"/>
          </w:tcPr>
          <w:p w14:paraId="0A770A6F" w14:textId="77777777" w:rsidR="00E57DAA" w:rsidRDefault="00AC4185">
            <w:pPr>
              <w:jc w:val="right"/>
              <w:rPr>
                <w:szCs w:val="21"/>
              </w:rPr>
            </w:pPr>
            <w:r>
              <w:t>22,773,321.50</w:t>
            </w:r>
          </w:p>
        </w:tc>
        <w:tc>
          <w:tcPr>
            <w:tcW w:w="940" w:type="pct"/>
            <w:shd w:val="clear" w:color="auto" w:fill="auto"/>
            <w:vAlign w:val="center"/>
          </w:tcPr>
          <w:p w14:paraId="13D7F75A" w14:textId="77777777" w:rsidR="00E57DAA" w:rsidRDefault="00AC4185">
            <w:pPr>
              <w:jc w:val="right"/>
              <w:rPr>
                <w:rFonts w:cs="Arial"/>
                <w:szCs w:val="21"/>
              </w:rPr>
            </w:pPr>
            <w:r>
              <w:t>105,233,274.79</w:t>
            </w:r>
          </w:p>
        </w:tc>
        <w:tc>
          <w:tcPr>
            <w:tcW w:w="1024" w:type="pct"/>
            <w:vAlign w:val="center"/>
          </w:tcPr>
          <w:p w14:paraId="5F3905EB" w14:textId="77777777" w:rsidR="00E57DAA" w:rsidRDefault="00AC4185">
            <w:pPr>
              <w:jc w:val="right"/>
              <w:rPr>
                <w:szCs w:val="21"/>
              </w:rPr>
            </w:pPr>
            <w:r>
              <w:t>105,233,274.79</w:t>
            </w:r>
          </w:p>
        </w:tc>
      </w:tr>
      <w:tr w:rsidR="00E57DAA" w14:paraId="090A3191" w14:textId="77777777">
        <w:trPr>
          <w:jc w:val="center"/>
        </w:trPr>
        <w:tc>
          <w:tcPr>
            <w:tcW w:w="1156" w:type="pct"/>
            <w:shd w:val="clear" w:color="auto" w:fill="auto"/>
            <w:vAlign w:val="center"/>
          </w:tcPr>
          <w:p w14:paraId="392A5963" w14:textId="77777777" w:rsidR="00E57DAA" w:rsidRDefault="00AC4185">
            <w:pPr>
              <w:rPr>
                <w:rFonts w:cs="Arial"/>
                <w:szCs w:val="21"/>
                <w:lang w:val="en-GB"/>
              </w:rPr>
            </w:pPr>
            <w:r>
              <w:rPr>
                <w:rFonts w:cs="Arial" w:hint="eastAsia"/>
                <w:szCs w:val="21"/>
                <w:lang w:val="en-GB"/>
              </w:rPr>
              <w:t>货币资金</w:t>
            </w:r>
          </w:p>
        </w:tc>
        <w:tc>
          <w:tcPr>
            <w:tcW w:w="940" w:type="pct"/>
            <w:shd w:val="clear" w:color="auto" w:fill="auto"/>
            <w:vAlign w:val="center"/>
          </w:tcPr>
          <w:p w14:paraId="28B40BD9" w14:textId="77777777" w:rsidR="00E57DAA" w:rsidRDefault="00AC4185">
            <w:pPr>
              <w:spacing w:line="276" w:lineRule="auto"/>
              <w:jc w:val="right"/>
              <w:rPr>
                <w:rFonts w:cs="Arial"/>
                <w:szCs w:val="21"/>
              </w:rPr>
            </w:pPr>
            <w:r>
              <w:t>18,623,633.15</w:t>
            </w:r>
          </w:p>
        </w:tc>
        <w:tc>
          <w:tcPr>
            <w:tcW w:w="940" w:type="pct"/>
            <w:vAlign w:val="center"/>
          </w:tcPr>
          <w:p w14:paraId="1E37585B" w14:textId="77777777" w:rsidR="00E57DAA" w:rsidRDefault="00AC4185">
            <w:pPr>
              <w:spacing w:line="276" w:lineRule="auto"/>
              <w:jc w:val="right"/>
              <w:rPr>
                <w:rFonts w:cs="Arial"/>
                <w:szCs w:val="21"/>
              </w:rPr>
            </w:pPr>
            <w:r>
              <w:t>18,623,633.15</w:t>
            </w:r>
          </w:p>
        </w:tc>
        <w:tc>
          <w:tcPr>
            <w:tcW w:w="940" w:type="pct"/>
            <w:shd w:val="clear" w:color="auto" w:fill="auto"/>
            <w:vAlign w:val="center"/>
          </w:tcPr>
          <w:p w14:paraId="4C454A57" w14:textId="77777777" w:rsidR="00E57DAA" w:rsidRDefault="00AC4185">
            <w:pPr>
              <w:spacing w:line="276" w:lineRule="auto"/>
              <w:jc w:val="right"/>
              <w:rPr>
                <w:rFonts w:cs="Arial"/>
                <w:szCs w:val="21"/>
              </w:rPr>
            </w:pPr>
            <w:r>
              <w:t>15,575,006.19</w:t>
            </w:r>
          </w:p>
        </w:tc>
        <w:tc>
          <w:tcPr>
            <w:tcW w:w="1024" w:type="pct"/>
            <w:vAlign w:val="center"/>
          </w:tcPr>
          <w:p w14:paraId="1941B6B0" w14:textId="77777777" w:rsidR="00E57DAA" w:rsidRDefault="00AC4185">
            <w:pPr>
              <w:spacing w:line="276" w:lineRule="auto"/>
              <w:jc w:val="right"/>
              <w:rPr>
                <w:rFonts w:cs="Arial"/>
                <w:szCs w:val="21"/>
              </w:rPr>
            </w:pPr>
            <w:r>
              <w:t>15,575,006.19</w:t>
            </w:r>
          </w:p>
        </w:tc>
      </w:tr>
      <w:tr w:rsidR="00E57DAA" w14:paraId="70337BE7" w14:textId="77777777">
        <w:trPr>
          <w:jc w:val="center"/>
        </w:trPr>
        <w:tc>
          <w:tcPr>
            <w:tcW w:w="1156" w:type="pct"/>
            <w:shd w:val="clear" w:color="auto" w:fill="auto"/>
            <w:vAlign w:val="center"/>
          </w:tcPr>
          <w:p w14:paraId="671C40EB" w14:textId="77777777" w:rsidR="00E57DAA" w:rsidRDefault="00AC4185">
            <w:pPr>
              <w:rPr>
                <w:rFonts w:cs="Arial"/>
                <w:szCs w:val="21"/>
                <w:lang w:val="en-GB"/>
              </w:rPr>
            </w:pPr>
            <w:r>
              <w:rPr>
                <w:rFonts w:cs="Arial" w:hint="eastAsia"/>
                <w:szCs w:val="21"/>
                <w:lang w:val="en-GB"/>
              </w:rPr>
              <w:t>应收款项</w:t>
            </w:r>
          </w:p>
        </w:tc>
        <w:tc>
          <w:tcPr>
            <w:tcW w:w="940" w:type="pct"/>
            <w:shd w:val="clear" w:color="auto" w:fill="auto"/>
            <w:vAlign w:val="center"/>
          </w:tcPr>
          <w:p w14:paraId="41F36EE2" w14:textId="77777777" w:rsidR="00E57DAA" w:rsidRDefault="00AC4185">
            <w:pPr>
              <w:spacing w:line="276" w:lineRule="auto"/>
              <w:jc w:val="right"/>
              <w:rPr>
                <w:rFonts w:cs="Arial"/>
                <w:szCs w:val="21"/>
              </w:rPr>
            </w:pPr>
            <w:r>
              <w:t>3,242,040.54</w:t>
            </w:r>
          </w:p>
        </w:tc>
        <w:tc>
          <w:tcPr>
            <w:tcW w:w="940" w:type="pct"/>
            <w:vAlign w:val="center"/>
          </w:tcPr>
          <w:p w14:paraId="32F1A314" w14:textId="77777777" w:rsidR="00E57DAA" w:rsidRDefault="00AC4185">
            <w:pPr>
              <w:spacing w:line="276" w:lineRule="auto"/>
              <w:jc w:val="right"/>
              <w:rPr>
                <w:rFonts w:cs="Arial"/>
                <w:szCs w:val="21"/>
              </w:rPr>
            </w:pPr>
            <w:r>
              <w:t>3,242,040.54</w:t>
            </w:r>
          </w:p>
        </w:tc>
        <w:tc>
          <w:tcPr>
            <w:tcW w:w="940" w:type="pct"/>
            <w:shd w:val="clear" w:color="auto" w:fill="auto"/>
            <w:vAlign w:val="center"/>
          </w:tcPr>
          <w:p w14:paraId="7B09FAF9" w14:textId="77777777" w:rsidR="00E57DAA" w:rsidRDefault="00AC4185">
            <w:pPr>
              <w:spacing w:line="276" w:lineRule="auto"/>
              <w:jc w:val="right"/>
              <w:rPr>
                <w:rFonts w:cs="Arial"/>
                <w:szCs w:val="21"/>
              </w:rPr>
            </w:pPr>
            <w:r>
              <w:t>12,095,193.45</w:t>
            </w:r>
          </w:p>
        </w:tc>
        <w:tc>
          <w:tcPr>
            <w:tcW w:w="1024" w:type="pct"/>
            <w:vAlign w:val="center"/>
          </w:tcPr>
          <w:p w14:paraId="48EE11F3" w14:textId="77777777" w:rsidR="00E57DAA" w:rsidRDefault="00AC4185">
            <w:pPr>
              <w:spacing w:line="276" w:lineRule="auto"/>
              <w:jc w:val="right"/>
              <w:rPr>
                <w:rFonts w:cs="Arial"/>
                <w:szCs w:val="21"/>
              </w:rPr>
            </w:pPr>
            <w:r>
              <w:t>12,095,193.45</w:t>
            </w:r>
          </w:p>
        </w:tc>
      </w:tr>
      <w:tr w:rsidR="00E57DAA" w14:paraId="0EFC9F7C" w14:textId="77777777">
        <w:trPr>
          <w:jc w:val="center"/>
        </w:trPr>
        <w:tc>
          <w:tcPr>
            <w:tcW w:w="1156" w:type="pct"/>
            <w:shd w:val="clear" w:color="auto" w:fill="auto"/>
          </w:tcPr>
          <w:p w14:paraId="02254AF4" w14:textId="77777777" w:rsidR="00E57DAA" w:rsidRDefault="00AC4185">
            <w:pPr>
              <w:rPr>
                <w:rFonts w:cs="Arial"/>
                <w:szCs w:val="21"/>
              </w:rPr>
            </w:pPr>
            <w:r>
              <w:rPr>
                <w:rFonts w:cs="Arial" w:hint="eastAsia"/>
                <w:szCs w:val="21"/>
              </w:rPr>
              <w:t>预付账款</w:t>
            </w:r>
          </w:p>
        </w:tc>
        <w:tc>
          <w:tcPr>
            <w:tcW w:w="940" w:type="pct"/>
            <w:vAlign w:val="center"/>
          </w:tcPr>
          <w:p w14:paraId="6BB913D5" w14:textId="77777777" w:rsidR="00E57DAA" w:rsidRDefault="00AC4185">
            <w:pPr>
              <w:jc w:val="right"/>
              <w:rPr>
                <w:rFonts w:cs="Arial"/>
                <w:szCs w:val="21"/>
              </w:rPr>
            </w:pPr>
            <w:r>
              <w:t>116,789.62</w:t>
            </w:r>
          </w:p>
        </w:tc>
        <w:tc>
          <w:tcPr>
            <w:tcW w:w="940" w:type="pct"/>
            <w:vAlign w:val="center"/>
          </w:tcPr>
          <w:p w14:paraId="363ABE21" w14:textId="77777777" w:rsidR="00E57DAA" w:rsidRDefault="00AC4185">
            <w:pPr>
              <w:jc w:val="right"/>
              <w:rPr>
                <w:szCs w:val="21"/>
              </w:rPr>
            </w:pPr>
            <w:r>
              <w:t>116,789.62</w:t>
            </w:r>
          </w:p>
        </w:tc>
        <w:tc>
          <w:tcPr>
            <w:tcW w:w="940" w:type="pct"/>
            <w:vAlign w:val="center"/>
          </w:tcPr>
          <w:p w14:paraId="069CCA30" w14:textId="77777777" w:rsidR="00E57DAA" w:rsidRDefault="00AC4185">
            <w:pPr>
              <w:jc w:val="right"/>
            </w:pPr>
            <w:r>
              <w:t>9,808,535.09</w:t>
            </w:r>
          </w:p>
        </w:tc>
        <w:tc>
          <w:tcPr>
            <w:tcW w:w="1024" w:type="pct"/>
            <w:vAlign w:val="center"/>
          </w:tcPr>
          <w:p w14:paraId="480550E1" w14:textId="77777777" w:rsidR="00E57DAA" w:rsidRDefault="00AC4185">
            <w:pPr>
              <w:jc w:val="right"/>
            </w:pPr>
            <w:r>
              <w:t>9,808,535.09</w:t>
            </w:r>
          </w:p>
        </w:tc>
      </w:tr>
      <w:tr w:rsidR="00E57DAA" w14:paraId="51660B60" w14:textId="77777777">
        <w:trPr>
          <w:jc w:val="center"/>
        </w:trPr>
        <w:tc>
          <w:tcPr>
            <w:tcW w:w="1156" w:type="pct"/>
            <w:shd w:val="clear" w:color="auto" w:fill="auto"/>
            <w:vAlign w:val="center"/>
          </w:tcPr>
          <w:p w14:paraId="0C7F0010" w14:textId="77777777" w:rsidR="00E57DAA" w:rsidRDefault="00AC4185">
            <w:pPr>
              <w:rPr>
                <w:rFonts w:cs="Arial"/>
                <w:szCs w:val="21"/>
                <w:lang w:val="en-GB"/>
              </w:rPr>
            </w:pPr>
            <w:r>
              <w:rPr>
                <w:rFonts w:cs="Arial" w:hint="eastAsia"/>
                <w:szCs w:val="21"/>
                <w:lang w:val="en-GB"/>
              </w:rPr>
              <w:t>存货</w:t>
            </w:r>
          </w:p>
        </w:tc>
        <w:tc>
          <w:tcPr>
            <w:tcW w:w="940" w:type="pct"/>
            <w:shd w:val="clear" w:color="auto" w:fill="auto"/>
            <w:vAlign w:val="center"/>
          </w:tcPr>
          <w:p w14:paraId="7F321923" w14:textId="77777777" w:rsidR="00E57DAA" w:rsidRDefault="00E57DAA">
            <w:pPr>
              <w:spacing w:line="276" w:lineRule="auto"/>
              <w:jc w:val="right"/>
              <w:rPr>
                <w:rFonts w:cs="Arial"/>
                <w:szCs w:val="21"/>
              </w:rPr>
            </w:pPr>
          </w:p>
        </w:tc>
        <w:tc>
          <w:tcPr>
            <w:tcW w:w="940" w:type="pct"/>
            <w:vAlign w:val="center"/>
          </w:tcPr>
          <w:p w14:paraId="3FFB3DD0" w14:textId="77777777" w:rsidR="00E57DAA" w:rsidRDefault="00E57DAA">
            <w:pPr>
              <w:spacing w:line="276" w:lineRule="auto"/>
              <w:jc w:val="right"/>
              <w:rPr>
                <w:rFonts w:cs="Arial"/>
                <w:szCs w:val="21"/>
              </w:rPr>
            </w:pPr>
          </w:p>
        </w:tc>
        <w:tc>
          <w:tcPr>
            <w:tcW w:w="940" w:type="pct"/>
            <w:shd w:val="clear" w:color="auto" w:fill="auto"/>
            <w:vAlign w:val="center"/>
          </w:tcPr>
          <w:p w14:paraId="247F3632" w14:textId="77777777" w:rsidR="00E57DAA" w:rsidRDefault="00AC4185">
            <w:pPr>
              <w:spacing w:line="276" w:lineRule="auto"/>
              <w:jc w:val="right"/>
              <w:rPr>
                <w:rFonts w:cs="Arial"/>
                <w:szCs w:val="21"/>
              </w:rPr>
            </w:pPr>
            <w:r>
              <w:t>15,873,388.71</w:t>
            </w:r>
          </w:p>
        </w:tc>
        <w:tc>
          <w:tcPr>
            <w:tcW w:w="1024" w:type="pct"/>
            <w:vAlign w:val="center"/>
          </w:tcPr>
          <w:p w14:paraId="3F4EE9A4" w14:textId="77777777" w:rsidR="00E57DAA" w:rsidRDefault="00AC4185">
            <w:pPr>
              <w:spacing w:line="276" w:lineRule="auto"/>
              <w:jc w:val="right"/>
              <w:rPr>
                <w:rFonts w:cs="Arial"/>
                <w:szCs w:val="21"/>
              </w:rPr>
            </w:pPr>
            <w:r>
              <w:t>15,873,388.71</w:t>
            </w:r>
          </w:p>
        </w:tc>
      </w:tr>
      <w:tr w:rsidR="00E57DAA" w14:paraId="0E4709F6" w14:textId="77777777">
        <w:trPr>
          <w:jc w:val="center"/>
        </w:trPr>
        <w:tc>
          <w:tcPr>
            <w:tcW w:w="1156" w:type="pct"/>
            <w:shd w:val="clear" w:color="auto" w:fill="auto"/>
          </w:tcPr>
          <w:p w14:paraId="52CF30B3" w14:textId="77777777" w:rsidR="00E57DAA" w:rsidRDefault="00AC4185">
            <w:pPr>
              <w:rPr>
                <w:rFonts w:cs="Arial"/>
                <w:szCs w:val="21"/>
              </w:rPr>
            </w:pPr>
            <w:r>
              <w:rPr>
                <w:rFonts w:cs="Arial" w:hint="eastAsia"/>
                <w:szCs w:val="21"/>
              </w:rPr>
              <w:t>其他流动资产</w:t>
            </w:r>
          </w:p>
        </w:tc>
        <w:tc>
          <w:tcPr>
            <w:tcW w:w="940" w:type="pct"/>
            <w:vAlign w:val="center"/>
          </w:tcPr>
          <w:p w14:paraId="718C2029" w14:textId="77777777" w:rsidR="00E57DAA" w:rsidRDefault="00E57DAA">
            <w:pPr>
              <w:jc w:val="right"/>
              <w:rPr>
                <w:rFonts w:cs="Arial"/>
                <w:szCs w:val="21"/>
              </w:rPr>
            </w:pPr>
          </w:p>
        </w:tc>
        <w:tc>
          <w:tcPr>
            <w:tcW w:w="940" w:type="pct"/>
            <w:vAlign w:val="center"/>
          </w:tcPr>
          <w:p w14:paraId="27BABCA2" w14:textId="77777777" w:rsidR="00E57DAA" w:rsidRDefault="00E57DAA">
            <w:pPr>
              <w:jc w:val="right"/>
              <w:rPr>
                <w:szCs w:val="21"/>
              </w:rPr>
            </w:pPr>
          </w:p>
        </w:tc>
        <w:tc>
          <w:tcPr>
            <w:tcW w:w="940" w:type="pct"/>
            <w:vAlign w:val="center"/>
          </w:tcPr>
          <w:p w14:paraId="41E35085" w14:textId="77777777" w:rsidR="00E57DAA" w:rsidRDefault="00AC4185">
            <w:pPr>
              <w:jc w:val="right"/>
            </w:pPr>
            <w:r>
              <w:t>2,442,567.53</w:t>
            </w:r>
          </w:p>
        </w:tc>
        <w:tc>
          <w:tcPr>
            <w:tcW w:w="1024" w:type="pct"/>
            <w:vAlign w:val="center"/>
          </w:tcPr>
          <w:p w14:paraId="4894C499" w14:textId="77777777" w:rsidR="00E57DAA" w:rsidRDefault="00AC4185">
            <w:pPr>
              <w:jc w:val="right"/>
            </w:pPr>
            <w:r>
              <w:t>2,442,567.53</w:t>
            </w:r>
          </w:p>
        </w:tc>
      </w:tr>
      <w:tr w:rsidR="00E57DAA" w14:paraId="31DEF3C2" w14:textId="77777777">
        <w:trPr>
          <w:jc w:val="center"/>
        </w:trPr>
        <w:tc>
          <w:tcPr>
            <w:tcW w:w="1156" w:type="pct"/>
            <w:shd w:val="clear" w:color="auto" w:fill="auto"/>
            <w:vAlign w:val="center"/>
          </w:tcPr>
          <w:p w14:paraId="5655D6D1" w14:textId="77777777" w:rsidR="00E57DAA" w:rsidRDefault="00AC4185">
            <w:pPr>
              <w:rPr>
                <w:rFonts w:cs="Arial"/>
                <w:szCs w:val="21"/>
                <w:lang w:val="en-GB"/>
              </w:rPr>
            </w:pPr>
            <w:r>
              <w:rPr>
                <w:rFonts w:cs="Arial" w:hint="eastAsia"/>
                <w:szCs w:val="21"/>
                <w:lang w:val="en-GB"/>
              </w:rPr>
              <w:t>固定资产</w:t>
            </w:r>
          </w:p>
        </w:tc>
        <w:tc>
          <w:tcPr>
            <w:tcW w:w="940" w:type="pct"/>
            <w:shd w:val="clear" w:color="auto" w:fill="auto"/>
            <w:vAlign w:val="center"/>
          </w:tcPr>
          <w:p w14:paraId="361EEF76" w14:textId="77777777" w:rsidR="00E57DAA" w:rsidRDefault="00AC4185">
            <w:pPr>
              <w:spacing w:line="276" w:lineRule="auto"/>
              <w:jc w:val="right"/>
              <w:rPr>
                <w:rFonts w:cs="Arial"/>
                <w:szCs w:val="21"/>
              </w:rPr>
            </w:pPr>
            <w:r>
              <w:t>392,176.66</w:t>
            </w:r>
          </w:p>
        </w:tc>
        <w:tc>
          <w:tcPr>
            <w:tcW w:w="940" w:type="pct"/>
            <w:vAlign w:val="center"/>
          </w:tcPr>
          <w:p w14:paraId="5BD54C0B" w14:textId="77777777" w:rsidR="00E57DAA" w:rsidRDefault="00AC4185">
            <w:pPr>
              <w:spacing w:line="276" w:lineRule="auto"/>
              <w:jc w:val="right"/>
              <w:rPr>
                <w:rFonts w:cs="Arial"/>
                <w:szCs w:val="21"/>
              </w:rPr>
            </w:pPr>
            <w:r>
              <w:t>342,526.63</w:t>
            </w:r>
          </w:p>
        </w:tc>
        <w:tc>
          <w:tcPr>
            <w:tcW w:w="940" w:type="pct"/>
            <w:shd w:val="clear" w:color="auto" w:fill="auto"/>
            <w:vAlign w:val="center"/>
          </w:tcPr>
          <w:p w14:paraId="20D33B75" w14:textId="77777777" w:rsidR="00E57DAA" w:rsidRDefault="00AC4185">
            <w:pPr>
              <w:spacing w:line="276" w:lineRule="auto"/>
              <w:jc w:val="right"/>
              <w:rPr>
                <w:rFonts w:cs="Arial"/>
                <w:szCs w:val="21"/>
              </w:rPr>
            </w:pPr>
            <w:r>
              <w:t>45,720,572.79</w:t>
            </w:r>
          </w:p>
        </w:tc>
        <w:tc>
          <w:tcPr>
            <w:tcW w:w="1024" w:type="pct"/>
            <w:vAlign w:val="center"/>
          </w:tcPr>
          <w:p w14:paraId="629CBBD6" w14:textId="77777777" w:rsidR="00E57DAA" w:rsidRDefault="00AC4185">
            <w:pPr>
              <w:spacing w:line="276" w:lineRule="auto"/>
              <w:jc w:val="right"/>
              <w:rPr>
                <w:rFonts w:cs="Arial"/>
                <w:szCs w:val="21"/>
              </w:rPr>
            </w:pPr>
            <w:r>
              <w:t>45,720,572.79</w:t>
            </w:r>
          </w:p>
        </w:tc>
      </w:tr>
      <w:tr w:rsidR="00E57DAA" w14:paraId="72D4A4B1" w14:textId="77777777">
        <w:trPr>
          <w:jc w:val="center"/>
        </w:trPr>
        <w:tc>
          <w:tcPr>
            <w:tcW w:w="1156" w:type="pct"/>
            <w:shd w:val="clear" w:color="auto" w:fill="auto"/>
            <w:vAlign w:val="center"/>
          </w:tcPr>
          <w:p w14:paraId="513A2C59" w14:textId="77777777" w:rsidR="00E57DAA" w:rsidRDefault="00AC4185">
            <w:pPr>
              <w:rPr>
                <w:rFonts w:cs="Arial"/>
                <w:szCs w:val="21"/>
                <w:lang w:val="en-GB"/>
              </w:rPr>
            </w:pPr>
            <w:r>
              <w:rPr>
                <w:rFonts w:cs="Arial" w:hint="eastAsia"/>
                <w:szCs w:val="21"/>
                <w:lang w:val="en-GB"/>
              </w:rPr>
              <w:t>无形资产</w:t>
            </w:r>
          </w:p>
        </w:tc>
        <w:tc>
          <w:tcPr>
            <w:tcW w:w="940" w:type="pct"/>
            <w:shd w:val="clear" w:color="auto" w:fill="auto"/>
            <w:vAlign w:val="center"/>
          </w:tcPr>
          <w:p w14:paraId="3FC42820" w14:textId="77777777" w:rsidR="00E57DAA" w:rsidRDefault="00AC4185">
            <w:pPr>
              <w:spacing w:line="276" w:lineRule="auto"/>
              <w:jc w:val="right"/>
              <w:rPr>
                <w:rFonts w:cs="Arial"/>
                <w:szCs w:val="21"/>
              </w:rPr>
            </w:pPr>
            <w:r>
              <w:t>308,216.57</w:t>
            </w:r>
          </w:p>
        </w:tc>
        <w:tc>
          <w:tcPr>
            <w:tcW w:w="940" w:type="pct"/>
            <w:vAlign w:val="center"/>
          </w:tcPr>
          <w:p w14:paraId="63442CA3" w14:textId="77777777" w:rsidR="00E57DAA" w:rsidRDefault="00AC4185">
            <w:pPr>
              <w:spacing w:line="276" w:lineRule="auto"/>
              <w:jc w:val="right"/>
              <w:rPr>
                <w:rFonts w:cs="Arial"/>
                <w:szCs w:val="21"/>
              </w:rPr>
            </w:pPr>
            <w:r>
              <w:t>232,012.04</w:t>
            </w:r>
          </w:p>
        </w:tc>
        <w:tc>
          <w:tcPr>
            <w:tcW w:w="940" w:type="pct"/>
            <w:shd w:val="clear" w:color="auto" w:fill="auto"/>
            <w:vAlign w:val="center"/>
          </w:tcPr>
          <w:p w14:paraId="49716153" w14:textId="77777777" w:rsidR="00E57DAA" w:rsidRDefault="00AC4185">
            <w:pPr>
              <w:spacing w:line="276" w:lineRule="auto"/>
              <w:jc w:val="right"/>
              <w:rPr>
                <w:rFonts w:cs="Arial"/>
                <w:szCs w:val="21"/>
              </w:rPr>
            </w:pPr>
            <w:r>
              <w:t>3,718,011.03</w:t>
            </w:r>
          </w:p>
        </w:tc>
        <w:tc>
          <w:tcPr>
            <w:tcW w:w="1024" w:type="pct"/>
            <w:vAlign w:val="center"/>
          </w:tcPr>
          <w:p w14:paraId="1DAF8D83" w14:textId="77777777" w:rsidR="00E57DAA" w:rsidRDefault="00AC4185">
            <w:pPr>
              <w:spacing w:line="276" w:lineRule="auto"/>
              <w:jc w:val="right"/>
              <w:rPr>
                <w:rFonts w:cs="Arial"/>
                <w:szCs w:val="21"/>
              </w:rPr>
            </w:pPr>
            <w:r>
              <w:t>3,718,011.03</w:t>
            </w:r>
          </w:p>
        </w:tc>
      </w:tr>
      <w:tr w:rsidR="00E57DAA" w14:paraId="2355466D" w14:textId="77777777">
        <w:trPr>
          <w:jc w:val="center"/>
        </w:trPr>
        <w:tc>
          <w:tcPr>
            <w:tcW w:w="1156" w:type="pct"/>
            <w:shd w:val="clear" w:color="auto" w:fill="auto"/>
          </w:tcPr>
          <w:p w14:paraId="62BF0CCA" w14:textId="77777777" w:rsidR="00E57DAA" w:rsidRDefault="00AC4185">
            <w:pPr>
              <w:rPr>
                <w:rFonts w:cs="Arial"/>
                <w:szCs w:val="21"/>
              </w:rPr>
            </w:pPr>
            <w:r>
              <w:rPr>
                <w:rFonts w:cs="Arial" w:hint="eastAsia"/>
                <w:szCs w:val="21"/>
              </w:rPr>
              <w:t>长期待摊销费用</w:t>
            </w:r>
          </w:p>
        </w:tc>
        <w:tc>
          <w:tcPr>
            <w:tcW w:w="940" w:type="pct"/>
            <w:vAlign w:val="center"/>
          </w:tcPr>
          <w:p w14:paraId="565A9033" w14:textId="77777777" w:rsidR="00E57DAA" w:rsidRDefault="00AC4185">
            <w:pPr>
              <w:jc w:val="right"/>
              <w:rPr>
                <w:rFonts w:cs="Arial"/>
                <w:szCs w:val="21"/>
              </w:rPr>
            </w:pPr>
            <w:r>
              <w:t>216,319.52</w:t>
            </w:r>
          </w:p>
        </w:tc>
        <w:tc>
          <w:tcPr>
            <w:tcW w:w="940" w:type="pct"/>
            <w:vAlign w:val="center"/>
          </w:tcPr>
          <w:p w14:paraId="6B5AE72A" w14:textId="77777777" w:rsidR="00E57DAA" w:rsidRDefault="00AC4185">
            <w:pPr>
              <w:jc w:val="right"/>
              <w:rPr>
                <w:szCs w:val="21"/>
              </w:rPr>
            </w:pPr>
            <w:r>
              <w:t>216,319.52</w:t>
            </w:r>
          </w:p>
        </w:tc>
        <w:tc>
          <w:tcPr>
            <w:tcW w:w="940" w:type="pct"/>
            <w:vAlign w:val="center"/>
          </w:tcPr>
          <w:p w14:paraId="19633304" w14:textId="77777777" w:rsidR="00E57DAA" w:rsidRDefault="00E57DAA">
            <w:pPr>
              <w:jc w:val="right"/>
              <w:rPr>
                <w:rFonts w:cs="Arial"/>
                <w:szCs w:val="21"/>
              </w:rPr>
            </w:pPr>
          </w:p>
        </w:tc>
        <w:tc>
          <w:tcPr>
            <w:tcW w:w="1024" w:type="pct"/>
            <w:vAlign w:val="center"/>
          </w:tcPr>
          <w:p w14:paraId="0DA8E491" w14:textId="77777777" w:rsidR="00E57DAA" w:rsidRDefault="00E57DAA">
            <w:pPr>
              <w:jc w:val="right"/>
              <w:rPr>
                <w:szCs w:val="21"/>
              </w:rPr>
            </w:pPr>
          </w:p>
        </w:tc>
      </w:tr>
      <w:tr w:rsidR="00E57DAA" w14:paraId="3EC7F6DC" w14:textId="77777777">
        <w:trPr>
          <w:jc w:val="center"/>
        </w:trPr>
        <w:tc>
          <w:tcPr>
            <w:tcW w:w="1156" w:type="pct"/>
            <w:shd w:val="clear" w:color="auto" w:fill="auto"/>
          </w:tcPr>
          <w:p w14:paraId="197B7C79" w14:textId="77777777" w:rsidR="00E57DAA" w:rsidRDefault="00AC4185">
            <w:pPr>
              <w:rPr>
                <w:rFonts w:cs="Arial"/>
                <w:szCs w:val="21"/>
                <w:lang w:val="en-GB"/>
              </w:rPr>
            </w:pPr>
            <w:r>
              <w:rPr>
                <w:rFonts w:cs="Arial" w:hint="eastAsia"/>
                <w:szCs w:val="21"/>
                <w:lang w:val="en-GB"/>
              </w:rPr>
              <w:t>负债：</w:t>
            </w:r>
          </w:p>
        </w:tc>
        <w:tc>
          <w:tcPr>
            <w:tcW w:w="940" w:type="pct"/>
            <w:vAlign w:val="center"/>
          </w:tcPr>
          <w:p w14:paraId="3162DC44" w14:textId="77777777" w:rsidR="00E57DAA" w:rsidRDefault="00AC4185">
            <w:pPr>
              <w:jc w:val="right"/>
              <w:rPr>
                <w:rFonts w:cs="Arial"/>
                <w:szCs w:val="21"/>
              </w:rPr>
            </w:pPr>
            <w:r>
              <w:t>521,014.04</w:t>
            </w:r>
          </w:p>
        </w:tc>
        <w:tc>
          <w:tcPr>
            <w:tcW w:w="940" w:type="pct"/>
            <w:vAlign w:val="center"/>
          </w:tcPr>
          <w:p w14:paraId="38A8D9EC" w14:textId="77777777" w:rsidR="00E57DAA" w:rsidRDefault="00AC4185">
            <w:pPr>
              <w:jc w:val="right"/>
              <w:rPr>
                <w:szCs w:val="21"/>
              </w:rPr>
            </w:pPr>
            <w:r>
              <w:t>489,550.40</w:t>
            </w:r>
          </w:p>
        </w:tc>
        <w:tc>
          <w:tcPr>
            <w:tcW w:w="940" w:type="pct"/>
            <w:vAlign w:val="center"/>
          </w:tcPr>
          <w:p w14:paraId="40BCF592" w14:textId="77777777" w:rsidR="00E57DAA" w:rsidRDefault="00AC4185">
            <w:pPr>
              <w:jc w:val="right"/>
              <w:rPr>
                <w:rFonts w:cs="Arial"/>
                <w:szCs w:val="21"/>
              </w:rPr>
            </w:pPr>
            <w:r>
              <w:t>103,682,991.53</w:t>
            </w:r>
          </w:p>
        </w:tc>
        <w:tc>
          <w:tcPr>
            <w:tcW w:w="1024" w:type="pct"/>
            <w:vAlign w:val="center"/>
          </w:tcPr>
          <w:p w14:paraId="2C25BCC7" w14:textId="77777777" w:rsidR="00E57DAA" w:rsidRDefault="00AC4185">
            <w:pPr>
              <w:jc w:val="right"/>
              <w:rPr>
                <w:szCs w:val="21"/>
              </w:rPr>
            </w:pPr>
            <w:r>
              <w:t>103,682,991.53</w:t>
            </w:r>
          </w:p>
        </w:tc>
      </w:tr>
      <w:tr w:rsidR="00E57DAA" w14:paraId="1C3F20F1" w14:textId="77777777">
        <w:trPr>
          <w:jc w:val="center"/>
        </w:trPr>
        <w:tc>
          <w:tcPr>
            <w:tcW w:w="1156" w:type="pct"/>
            <w:shd w:val="clear" w:color="auto" w:fill="auto"/>
          </w:tcPr>
          <w:p w14:paraId="1856243A" w14:textId="77777777" w:rsidR="00E57DAA" w:rsidRDefault="00AC4185">
            <w:pPr>
              <w:rPr>
                <w:rFonts w:cs="Arial"/>
                <w:szCs w:val="21"/>
              </w:rPr>
            </w:pPr>
            <w:r>
              <w:rPr>
                <w:rFonts w:cs="Arial" w:hint="eastAsia"/>
                <w:szCs w:val="21"/>
              </w:rPr>
              <w:t>借款</w:t>
            </w:r>
          </w:p>
        </w:tc>
        <w:tc>
          <w:tcPr>
            <w:tcW w:w="940" w:type="pct"/>
          </w:tcPr>
          <w:p w14:paraId="3BB8716E" w14:textId="77777777" w:rsidR="00E57DAA" w:rsidRDefault="00E57DAA">
            <w:pPr>
              <w:spacing w:line="276" w:lineRule="auto"/>
              <w:jc w:val="right"/>
              <w:rPr>
                <w:rFonts w:cs="Arial"/>
                <w:szCs w:val="21"/>
              </w:rPr>
            </w:pPr>
          </w:p>
        </w:tc>
        <w:tc>
          <w:tcPr>
            <w:tcW w:w="940" w:type="pct"/>
          </w:tcPr>
          <w:p w14:paraId="2DE450D2" w14:textId="77777777" w:rsidR="00E57DAA" w:rsidRDefault="00E57DAA">
            <w:pPr>
              <w:spacing w:line="276" w:lineRule="auto"/>
              <w:jc w:val="right"/>
              <w:rPr>
                <w:rFonts w:cs="Arial"/>
                <w:szCs w:val="21"/>
              </w:rPr>
            </w:pPr>
          </w:p>
        </w:tc>
        <w:tc>
          <w:tcPr>
            <w:tcW w:w="940" w:type="pct"/>
          </w:tcPr>
          <w:p w14:paraId="2AFD432F" w14:textId="77777777" w:rsidR="00E57DAA" w:rsidRDefault="00E57DAA">
            <w:pPr>
              <w:spacing w:line="276" w:lineRule="auto"/>
              <w:jc w:val="right"/>
              <w:rPr>
                <w:rFonts w:cs="Arial"/>
                <w:szCs w:val="21"/>
              </w:rPr>
            </w:pPr>
          </w:p>
        </w:tc>
        <w:tc>
          <w:tcPr>
            <w:tcW w:w="1024" w:type="pct"/>
          </w:tcPr>
          <w:p w14:paraId="51073312" w14:textId="77777777" w:rsidR="00E57DAA" w:rsidRDefault="00E57DAA">
            <w:pPr>
              <w:spacing w:line="276" w:lineRule="auto"/>
              <w:jc w:val="right"/>
              <w:rPr>
                <w:rFonts w:cs="Arial"/>
                <w:szCs w:val="21"/>
              </w:rPr>
            </w:pPr>
          </w:p>
        </w:tc>
      </w:tr>
      <w:tr w:rsidR="00E57DAA" w14:paraId="10CB98C1" w14:textId="77777777">
        <w:trPr>
          <w:jc w:val="center"/>
        </w:trPr>
        <w:tc>
          <w:tcPr>
            <w:tcW w:w="1156" w:type="pct"/>
            <w:shd w:val="clear" w:color="auto" w:fill="auto"/>
          </w:tcPr>
          <w:p w14:paraId="3CDF8A81" w14:textId="77777777" w:rsidR="00E57DAA" w:rsidRDefault="00AC4185">
            <w:pPr>
              <w:rPr>
                <w:rFonts w:cs="Arial"/>
                <w:szCs w:val="21"/>
              </w:rPr>
            </w:pPr>
            <w:r>
              <w:rPr>
                <w:rFonts w:cs="Arial" w:hint="eastAsia"/>
                <w:szCs w:val="21"/>
              </w:rPr>
              <w:t>应付款项</w:t>
            </w:r>
          </w:p>
        </w:tc>
        <w:tc>
          <w:tcPr>
            <w:tcW w:w="940" w:type="pct"/>
            <w:vAlign w:val="center"/>
          </w:tcPr>
          <w:p w14:paraId="66D13F3E" w14:textId="77777777" w:rsidR="00E57DAA" w:rsidRDefault="00AC4185">
            <w:pPr>
              <w:spacing w:line="276" w:lineRule="auto"/>
              <w:jc w:val="right"/>
              <w:rPr>
                <w:rFonts w:cs="Arial"/>
                <w:szCs w:val="21"/>
              </w:rPr>
            </w:pPr>
            <w:r>
              <w:t>489,550.40</w:t>
            </w:r>
          </w:p>
        </w:tc>
        <w:tc>
          <w:tcPr>
            <w:tcW w:w="940" w:type="pct"/>
            <w:vAlign w:val="center"/>
          </w:tcPr>
          <w:p w14:paraId="04741933" w14:textId="77777777" w:rsidR="00E57DAA" w:rsidRDefault="00AC4185">
            <w:pPr>
              <w:spacing w:line="276" w:lineRule="auto"/>
              <w:jc w:val="right"/>
              <w:rPr>
                <w:rFonts w:cs="Arial"/>
                <w:szCs w:val="21"/>
              </w:rPr>
            </w:pPr>
            <w:r>
              <w:t>489,550.40</w:t>
            </w:r>
          </w:p>
        </w:tc>
        <w:tc>
          <w:tcPr>
            <w:tcW w:w="940" w:type="pct"/>
            <w:vAlign w:val="center"/>
          </w:tcPr>
          <w:p w14:paraId="74F76DAD" w14:textId="77777777" w:rsidR="00E57DAA" w:rsidRDefault="00AC4185">
            <w:pPr>
              <w:spacing w:line="276" w:lineRule="auto"/>
              <w:jc w:val="right"/>
              <w:rPr>
                <w:rFonts w:cs="Arial"/>
                <w:szCs w:val="21"/>
              </w:rPr>
            </w:pPr>
            <w:r>
              <w:t>103,682,991.53</w:t>
            </w:r>
          </w:p>
        </w:tc>
        <w:tc>
          <w:tcPr>
            <w:tcW w:w="1024" w:type="pct"/>
            <w:vAlign w:val="center"/>
          </w:tcPr>
          <w:p w14:paraId="53376FDF" w14:textId="77777777" w:rsidR="00E57DAA" w:rsidRDefault="00AC4185">
            <w:pPr>
              <w:spacing w:line="276" w:lineRule="auto"/>
              <w:jc w:val="right"/>
              <w:rPr>
                <w:rFonts w:cs="Arial"/>
                <w:szCs w:val="21"/>
              </w:rPr>
            </w:pPr>
            <w:r>
              <w:t>103,682,991.53</w:t>
            </w:r>
          </w:p>
        </w:tc>
      </w:tr>
      <w:tr w:rsidR="00E57DAA" w14:paraId="1F9D4E98" w14:textId="77777777">
        <w:trPr>
          <w:jc w:val="center"/>
        </w:trPr>
        <w:tc>
          <w:tcPr>
            <w:tcW w:w="1156" w:type="pct"/>
            <w:shd w:val="clear" w:color="auto" w:fill="auto"/>
          </w:tcPr>
          <w:p w14:paraId="6DAFD650" w14:textId="77777777" w:rsidR="00E57DAA" w:rsidRDefault="00AC4185">
            <w:pPr>
              <w:rPr>
                <w:rFonts w:cs="Arial"/>
                <w:szCs w:val="21"/>
              </w:rPr>
            </w:pPr>
            <w:r>
              <w:rPr>
                <w:rFonts w:cs="Arial" w:hint="eastAsia"/>
                <w:szCs w:val="21"/>
              </w:rPr>
              <w:t>递延所得税负债</w:t>
            </w:r>
          </w:p>
        </w:tc>
        <w:tc>
          <w:tcPr>
            <w:tcW w:w="940" w:type="pct"/>
            <w:vAlign w:val="center"/>
          </w:tcPr>
          <w:p w14:paraId="0DBDAFBB" w14:textId="77777777" w:rsidR="00E57DAA" w:rsidRDefault="00AC4185">
            <w:pPr>
              <w:spacing w:line="276" w:lineRule="auto"/>
              <w:jc w:val="right"/>
              <w:rPr>
                <w:rFonts w:cs="Arial"/>
                <w:szCs w:val="21"/>
              </w:rPr>
            </w:pPr>
            <w:r>
              <w:t>31,463.64</w:t>
            </w:r>
          </w:p>
        </w:tc>
        <w:tc>
          <w:tcPr>
            <w:tcW w:w="940" w:type="pct"/>
            <w:vAlign w:val="center"/>
          </w:tcPr>
          <w:p w14:paraId="410B455E" w14:textId="77777777" w:rsidR="00E57DAA" w:rsidRDefault="00E57DAA">
            <w:pPr>
              <w:spacing w:line="276" w:lineRule="auto"/>
              <w:jc w:val="right"/>
              <w:rPr>
                <w:rFonts w:cs="Arial"/>
                <w:szCs w:val="21"/>
              </w:rPr>
            </w:pPr>
          </w:p>
        </w:tc>
        <w:tc>
          <w:tcPr>
            <w:tcW w:w="940" w:type="pct"/>
            <w:vAlign w:val="center"/>
          </w:tcPr>
          <w:p w14:paraId="6870F5F9" w14:textId="77777777" w:rsidR="00E57DAA" w:rsidRDefault="00E57DAA">
            <w:pPr>
              <w:spacing w:line="276" w:lineRule="auto"/>
              <w:jc w:val="right"/>
              <w:rPr>
                <w:rFonts w:cs="Arial"/>
                <w:szCs w:val="21"/>
              </w:rPr>
            </w:pPr>
          </w:p>
        </w:tc>
        <w:tc>
          <w:tcPr>
            <w:tcW w:w="1024" w:type="pct"/>
            <w:vAlign w:val="center"/>
          </w:tcPr>
          <w:p w14:paraId="50992E98" w14:textId="77777777" w:rsidR="00E57DAA" w:rsidRDefault="00E57DAA">
            <w:pPr>
              <w:spacing w:line="276" w:lineRule="auto"/>
              <w:jc w:val="right"/>
              <w:rPr>
                <w:rFonts w:cs="Arial"/>
                <w:szCs w:val="21"/>
              </w:rPr>
            </w:pPr>
          </w:p>
        </w:tc>
      </w:tr>
      <w:tr w:rsidR="00E57DAA" w14:paraId="738EE741" w14:textId="77777777">
        <w:trPr>
          <w:jc w:val="center"/>
        </w:trPr>
        <w:tc>
          <w:tcPr>
            <w:tcW w:w="1156" w:type="pct"/>
          </w:tcPr>
          <w:p w14:paraId="70DCDABB" w14:textId="77777777" w:rsidR="00E57DAA" w:rsidRDefault="00AC4185">
            <w:pPr>
              <w:ind w:left="3"/>
              <w:rPr>
                <w:rFonts w:cs="Arial"/>
                <w:szCs w:val="21"/>
              </w:rPr>
            </w:pPr>
            <w:r>
              <w:rPr>
                <w:rFonts w:cs="Arial" w:hint="eastAsia"/>
                <w:szCs w:val="21"/>
                <w:lang w:val="en-GB"/>
              </w:rPr>
              <w:t>净资产</w:t>
            </w:r>
          </w:p>
        </w:tc>
        <w:tc>
          <w:tcPr>
            <w:tcW w:w="940" w:type="pct"/>
            <w:vAlign w:val="center"/>
          </w:tcPr>
          <w:p w14:paraId="63C03D01" w14:textId="77777777" w:rsidR="00E57DAA" w:rsidRDefault="00AC4185">
            <w:pPr>
              <w:jc w:val="right"/>
              <w:rPr>
                <w:rFonts w:cs="Arial"/>
                <w:szCs w:val="21"/>
              </w:rPr>
            </w:pPr>
            <w:r>
              <w:t>22,378,162.02</w:t>
            </w:r>
          </w:p>
        </w:tc>
        <w:tc>
          <w:tcPr>
            <w:tcW w:w="940" w:type="pct"/>
            <w:vAlign w:val="center"/>
          </w:tcPr>
          <w:p w14:paraId="60F13FFB" w14:textId="77777777" w:rsidR="00E57DAA" w:rsidRDefault="00AC4185">
            <w:pPr>
              <w:jc w:val="right"/>
              <w:rPr>
                <w:szCs w:val="21"/>
              </w:rPr>
            </w:pPr>
            <w:r>
              <w:t>22,283,771.10</w:t>
            </w:r>
          </w:p>
        </w:tc>
        <w:tc>
          <w:tcPr>
            <w:tcW w:w="940" w:type="pct"/>
            <w:vAlign w:val="center"/>
          </w:tcPr>
          <w:p w14:paraId="22305A40" w14:textId="77777777" w:rsidR="00E57DAA" w:rsidRDefault="00AC4185">
            <w:pPr>
              <w:jc w:val="right"/>
              <w:rPr>
                <w:rFonts w:cs="Arial"/>
                <w:szCs w:val="21"/>
              </w:rPr>
            </w:pPr>
            <w:r>
              <w:t>1,550,283.26</w:t>
            </w:r>
          </w:p>
        </w:tc>
        <w:tc>
          <w:tcPr>
            <w:tcW w:w="1024" w:type="pct"/>
            <w:vAlign w:val="center"/>
          </w:tcPr>
          <w:p w14:paraId="34030977" w14:textId="77777777" w:rsidR="00E57DAA" w:rsidRDefault="00AC4185">
            <w:pPr>
              <w:jc w:val="right"/>
              <w:rPr>
                <w:szCs w:val="21"/>
              </w:rPr>
            </w:pPr>
            <w:r>
              <w:t>1,550,283.26</w:t>
            </w:r>
          </w:p>
        </w:tc>
      </w:tr>
      <w:tr w:rsidR="00E57DAA" w14:paraId="1035FAF7" w14:textId="77777777">
        <w:trPr>
          <w:jc w:val="center"/>
        </w:trPr>
        <w:tc>
          <w:tcPr>
            <w:tcW w:w="1156" w:type="pct"/>
          </w:tcPr>
          <w:p w14:paraId="4C4A9E53" w14:textId="77777777" w:rsidR="00E57DAA" w:rsidRDefault="00AC4185">
            <w:pPr>
              <w:ind w:left="3"/>
              <w:rPr>
                <w:rFonts w:cs="Arial"/>
                <w:szCs w:val="21"/>
              </w:rPr>
            </w:pPr>
            <w:r>
              <w:rPr>
                <w:rFonts w:cs="Arial" w:hint="eastAsia"/>
                <w:szCs w:val="21"/>
                <w:lang w:val="en-GB"/>
              </w:rPr>
              <w:t>减：少数股东权益</w:t>
            </w:r>
          </w:p>
        </w:tc>
        <w:tc>
          <w:tcPr>
            <w:tcW w:w="940" w:type="pct"/>
            <w:vAlign w:val="center"/>
          </w:tcPr>
          <w:p w14:paraId="65A8BDC7" w14:textId="77777777" w:rsidR="00E57DAA" w:rsidRDefault="00AC4185">
            <w:pPr>
              <w:jc w:val="right"/>
              <w:rPr>
                <w:rFonts w:cs="Arial"/>
                <w:szCs w:val="21"/>
              </w:rPr>
            </w:pPr>
            <w:r>
              <w:t>7,832,356.71</w:t>
            </w:r>
          </w:p>
        </w:tc>
        <w:tc>
          <w:tcPr>
            <w:tcW w:w="940" w:type="pct"/>
            <w:vAlign w:val="center"/>
          </w:tcPr>
          <w:p w14:paraId="15855D27" w14:textId="77777777" w:rsidR="00E57DAA" w:rsidRDefault="00AC4185">
            <w:pPr>
              <w:jc w:val="right"/>
              <w:rPr>
                <w:szCs w:val="21"/>
              </w:rPr>
            </w:pPr>
            <w:r>
              <w:t>7,799,319.89</w:t>
            </w:r>
          </w:p>
        </w:tc>
        <w:tc>
          <w:tcPr>
            <w:tcW w:w="940" w:type="pct"/>
            <w:vAlign w:val="center"/>
          </w:tcPr>
          <w:p w14:paraId="38535D30" w14:textId="77777777" w:rsidR="00E57DAA" w:rsidRDefault="00E57DAA">
            <w:pPr>
              <w:jc w:val="right"/>
              <w:rPr>
                <w:rFonts w:cs="Arial"/>
                <w:szCs w:val="21"/>
              </w:rPr>
            </w:pPr>
          </w:p>
        </w:tc>
        <w:tc>
          <w:tcPr>
            <w:tcW w:w="1024" w:type="pct"/>
            <w:vAlign w:val="center"/>
          </w:tcPr>
          <w:p w14:paraId="712AC0DE" w14:textId="77777777" w:rsidR="00E57DAA" w:rsidRDefault="00E57DAA">
            <w:pPr>
              <w:jc w:val="right"/>
              <w:rPr>
                <w:szCs w:val="21"/>
              </w:rPr>
            </w:pPr>
          </w:p>
        </w:tc>
      </w:tr>
      <w:tr w:rsidR="00E57DAA" w14:paraId="7270CC7C" w14:textId="77777777">
        <w:trPr>
          <w:jc w:val="center"/>
        </w:trPr>
        <w:tc>
          <w:tcPr>
            <w:tcW w:w="1156" w:type="pct"/>
          </w:tcPr>
          <w:p w14:paraId="01E98204" w14:textId="77777777" w:rsidR="00E57DAA" w:rsidRDefault="00AC4185">
            <w:pPr>
              <w:ind w:left="3"/>
              <w:rPr>
                <w:rFonts w:cs="Arial"/>
                <w:szCs w:val="21"/>
              </w:rPr>
            </w:pPr>
            <w:r>
              <w:rPr>
                <w:rFonts w:cs="Arial" w:hint="eastAsia"/>
                <w:szCs w:val="21"/>
                <w:lang w:val="en-GB"/>
              </w:rPr>
              <w:lastRenderedPageBreak/>
              <w:t>取得的净资产</w:t>
            </w:r>
          </w:p>
        </w:tc>
        <w:tc>
          <w:tcPr>
            <w:tcW w:w="940" w:type="pct"/>
            <w:vAlign w:val="center"/>
          </w:tcPr>
          <w:p w14:paraId="762D9457" w14:textId="77777777" w:rsidR="00E57DAA" w:rsidRDefault="00AC4185">
            <w:pPr>
              <w:jc w:val="right"/>
              <w:rPr>
                <w:rFonts w:cs="Arial"/>
                <w:szCs w:val="21"/>
              </w:rPr>
            </w:pPr>
            <w:r>
              <w:t>14,545,805.31</w:t>
            </w:r>
          </w:p>
        </w:tc>
        <w:tc>
          <w:tcPr>
            <w:tcW w:w="940" w:type="pct"/>
            <w:vAlign w:val="center"/>
          </w:tcPr>
          <w:p w14:paraId="4DA0B2FC" w14:textId="77777777" w:rsidR="00E57DAA" w:rsidRDefault="00AC4185">
            <w:pPr>
              <w:jc w:val="right"/>
              <w:rPr>
                <w:szCs w:val="21"/>
              </w:rPr>
            </w:pPr>
            <w:r>
              <w:t>14,484,451.21</w:t>
            </w:r>
          </w:p>
        </w:tc>
        <w:tc>
          <w:tcPr>
            <w:tcW w:w="940" w:type="pct"/>
            <w:vAlign w:val="center"/>
          </w:tcPr>
          <w:p w14:paraId="28FF552D" w14:textId="77777777" w:rsidR="00E57DAA" w:rsidRDefault="00AC4185">
            <w:pPr>
              <w:jc w:val="right"/>
              <w:rPr>
                <w:rFonts w:cs="Arial"/>
                <w:szCs w:val="21"/>
              </w:rPr>
            </w:pPr>
            <w:r>
              <w:t>1,550,283.26</w:t>
            </w:r>
          </w:p>
        </w:tc>
        <w:tc>
          <w:tcPr>
            <w:tcW w:w="1024" w:type="pct"/>
            <w:vAlign w:val="center"/>
          </w:tcPr>
          <w:p w14:paraId="66735AD7" w14:textId="77777777" w:rsidR="00E57DAA" w:rsidRDefault="00AC4185">
            <w:pPr>
              <w:jc w:val="right"/>
              <w:rPr>
                <w:szCs w:val="21"/>
              </w:rPr>
            </w:pPr>
            <w:r>
              <w:t>1,550,283.26</w:t>
            </w:r>
          </w:p>
        </w:tc>
      </w:tr>
    </w:tbl>
    <w:p w14:paraId="6C619DD7" w14:textId="77777777" w:rsidR="00E57DAA" w:rsidRDefault="00E57DAA" w:rsidP="00C25422">
      <w:pPr>
        <w:pStyle w:val="92"/>
      </w:pPr>
    </w:p>
    <w:p w14:paraId="77F1376A" w14:textId="77777777" w:rsidR="00E57DAA" w:rsidRDefault="00AC4185">
      <w:pPr>
        <w:pStyle w:val="4"/>
        <w:numPr>
          <w:ilvl w:val="0"/>
          <w:numId w:val="111"/>
        </w:numPr>
        <w:ind w:left="426" w:hanging="426"/>
        <w:rPr>
          <w:rFonts w:ascii="Calibri" w:hAnsi="Calibri"/>
          <w:szCs w:val="22"/>
        </w:rPr>
      </w:pPr>
      <w:r>
        <w:rPr>
          <w:rFonts w:hint="eastAsia"/>
        </w:rPr>
        <w:t>购买日之前持有的股权按照公允价值重新计量产生的利得或损失</w:t>
      </w:r>
    </w:p>
    <w:p w14:paraId="7BE7D684" w14:textId="77777777" w:rsidR="00E57DAA" w:rsidRDefault="00AC4185">
      <w:pPr>
        <w:rPr>
          <w:rFonts w:ascii="Calibri" w:hAnsi="Calibri" w:cs="Times New Roman"/>
          <w:kern w:val="2"/>
          <w:szCs w:val="22"/>
        </w:rPr>
      </w:pPr>
      <w:r>
        <w:rPr>
          <w:rFonts w:hint="eastAsia"/>
        </w:rPr>
        <w:t>是否存在通过多次交易分步实现企业合并且在报告期内取得控制权的交易</w:t>
      </w:r>
    </w:p>
    <w:p w14:paraId="081D6D48" w14:textId="77777777" w:rsidR="00E57DAA" w:rsidRDefault="00EB41A1">
      <w:pPr>
        <w:rPr>
          <w:rFonts w:cs="Arial"/>
          <w:szCs w:val="21"/>
        </w:rPr>
      </w:pPr>
      <w:sdt>
        <w:sdtPr>
          <w:alias w:val="是否存在通过多次交易分步实现企业合并且在本报告期取得控制权的情形[双击切换]"/>
          <w:tag w:val="_GBC_f16c6a756bf64379a37d1a5a881514ea"/>
          <w:id w:val="-1051451279"/>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6BF62936" w14:textId="77777777" w:rsidR="00E57DAA" w:rsidRDefault="00E57DAA">
      <w:pPr>
        <w:rPr>
          <w:rFonts w:cs="Arial"/>
          <w:szCs w:val="21"/>
        </w:rPr>
      </w:pPr>
    </w:p>
    <w:p w14:paraId="5D97F673" w14:textId="77777777" w:rsidR="00E57DAA" w:rsidRDefault="00AC4185">
      <w:pPr>
        <w:pStyle w:val="4"/>
        <w:numPr>
          <w:ilvl w:val="0"/>
          <w:numId w:val="111"/>
        </w:numPr>
        <w:ind w:left="426" w:hanging="426"/>
      </w:pPr>
      <w:r>
        <w:rPr>
          <w:rFonts w:hint="eastAsia"/>
        </w:rPr>
        <w:t>购买日或合并当期期末无法合理确定合并对价或被购买方可辨认资产、负债公允价值的相关说明</w:t>
      </w:r>
    </w:p>
    <w:sdt>
      <w:sdtPr>
        <w:rPr>
          <w:rFonts w:cs="Arial" w:hint="eastAsia"/>
          <w:szCs w:val="21"/>
        </w:rPr>
        <w:alias w:val="是否适用：购买日或合并当期期末无法合理确定合并对价或被购买方可辨认资产、负债公允价值的相关说明[双击切换]"/>
        <w:tag w:val="_GBC_356c94258e3a4bd7bb489882bf311bd0"/>
        <w:id w:val="-453948381"/>
        <w:placeholder>
          <w:docPart w:val="GBC22222222222222222222222222222"/>
        </w:placeholder>
      </w:sdtPr>
      <w:sdtEndPr/>
      <w:sdtContent>
        <w:p w14:paraId="29D6811B" w14:textId="77777777" w:rsidR="00E57DAA" w:rsidRDefault="00AC4185">
          <w:pPr>
            <w:rPr>
              <w:rFonts w:cs="Arial"/>
              <w:b/>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523AECB" w14:textId="77777777" w:rsidR="00E57DAA" w:rsidRDefault="00E57DAA">
      <w:pPr>
        <w:rPr>
          <w:rFonts w:cs="Arial"/>
          <w:szCs w:val="21"/>
        </w:rPr>
      </w:pPr>
    </w:p>
    <w:p w14:paraId="64F56E3F" w14:textId="77777777" w:rsidR="00E57DAA" w:rsidRDefault="00AC4185">
      <w:pPr>
        <w:pStyle w:val="4"/>
        <w:numPr>
          <w:ilvl w:val="0"/>
          <w:numId w:val="111"/>
        </w:numPr>
        <w:ind w:left="426" w:hanging="426"/>
      </w:pPr>
      <w:r>
        <w:rPr>
          <w:rFonts w:hint="eastAsia"/>
        </w:rPr>
        <w:t>其他说明</w:t>
      </w:r>
    </w:p>
    <w:sdt>
      <w:sdtPr>
        <w:rPr>
          <w:rFonts w:hint="eastAsia"/>
          <w:szCs w:val="21"/>
        </w:rPr>
        <w:alias w:val="是否适用：非同一控制下企业合并其他需要说明的事项[双击切换]"/>
        <w:tag w:val="_GBC_34e320a5c7264ae9995be47f5972ed90"/>
        <w:id w:val="1044331469"/>
        <w:placeholder>
          <w:docPart w:val="GBC22222222222222222222222222222"/>
        </w:placeholder>
      </w:sdtPr>
      <w:sdtEndPr/>
      <w:sdtContent>
        <w:p w14:paraId="3693522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非同一控制下企业合并其他需要说明的事项"/>
        <w:tag w:val="_GBC_d561efe19b7b4c37b4824e4f1bba9d1c"/>
        <w:id w:val="1720327259"/>
      </w:sdtPr>
      <w:sdtEndPr/>
      <w:sdtContent>
        <w:p w14:paraId="4CC4B31C" w14:textId="77777777" w:rsidR="00E57DAA" w:rsidRDefault="00AC4185">
          <w:pPr>
            <w:rPr>
              <w:szCs w:val="21"/>
            </w:rPr>
          </w:pPr>
          <w:r>
            <w:rPr>
              <w:szCs w:val="21"/>
            </w:rPr>
            <w:t>4．</w:t>
          </w:r>
          <w:r>
            <w:rPr>
              <w:szCs w:val="21"/>
            </w:rPr>
            <w:tab/>
            <w:t>购买日至报告期末被购买方的收入、净利润及现金流量</w:t>
          </w:r>
        </w:p>
        <w:p w14:paraId="31181170" w14:textId="77777777" w:rsidR="00E57DAA" w:rsidRDefault="00AC4185">
          <w:pPr>
            <w:jc w:val="right"/>
            <w:rPr>
              <w:szCs w:val="21"/>
            </w:rPr>
          </w:pPr>
          <w:r>
            <w:rPr>
              <w:rFonts w:hint="eastAsia"/>
              <w:szCs w:val="21"/>
            </w:rPr>
            <w:t>单位：元</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2597"/>
            <w:gridCol w:w="2906"/>
            <w:gridCol w:w="3330"/>
          </w:tblGrid>
          <w:tr w:rsidR="00E57DAA" w14:paraId="03505E67" w14:textId="77777777">
            <w:trPr>
              <w:trHeight w:val="340"/>
              <w:tblHeader/>
            </w:trPr>
            <w:tc>
              <w:tcPr>
                <w:tcW w:w="1470" w:type="pct"/>
                <w:vMerge w:val="restart"/>
                <w:shd w:val="clear" w:color="auto" w:fill="auto"/>
                <w:vAlign w:val="center"/>
              </w:tcPr>
              <w:p w14:paraId="0361CE7B" w14:textId="77777777" w:rsidR="00E57DAA" w:rsidRDefault="00AC4185">
                <w:pPr>
                  <w:rPr>
                    <w:szCs w:val="21"/>
                  </w:rPr>
                </w:pPr>
                <w:r>
                  <w:rPr>
                    <w:rFonts w:hint="eastAsia"/>
                    <w:szCs w:val="21"/>
                  </w:rPr>
                  <w:t>项目</w:t>
                </w:r>
              </w:p>
            </w:tc>
            <w:tc>
              <w:tcPr>
                <w:tcW w:w="1645" w:type="pct"/>
                <w:shd w:val="clear" w:color="auto" w:fill="auto"/>
                <w:vAlign w:val="center"/>
              </w:tcPr>
              <w:p w14:paraId="5A3B0186" w14:textId="77777777" w:rsidR="00E57DAA" w:rsidRDefault="00AC4185">
                <w:pPr>
                  <w:rPr>
                    <w:szCs w:val="21"/>
                  </w:rPr>
                </w:pPr>
                <w:r>
                  <w:rPr>
                    <w:rFonts w:hint="eastAsia"/>
                    <w:szCs w:val="21"/>
                  </w:rPr>
                  <w:t>江苏凯希盟科技有限公司</w:t>
                </w:r>
              </w:p>
            </w:tc>
            <w:tc>
              <w:tcPr>
                <w:tcW w:w="1885" w:type="pct"/>
                <w:vAlign w:val="center"/>
              </w:tcPr>
              <w:p w14:paraId="24B65E67" w14:textId="77777777" w:rsidR="00E57DAA" w:rsidRDefault="00AC4185">
                <w:pPr>
                  <w:rPr>
                    <w:szCs w:val="21"/>
                  </w:rPr>
                </w:pPr>
                <w:r>
                  <w:rPr>
                    <w:szCs w:val="21"/>
                  </w:rPr>
                  <w:t>绿色基础材料有限公司</w:t>
                </w:r>
              </w:p>
            </w:tc>
          </w:tr>
          <w:tr w:rsidR="00E57DAA" w14:paraId="1B17DFDB" w14:textId="77777777">
            <w:trPr>
              <w:trHeight w:val="340"/>
            </w:trPr>
            <w:tc>
              <w:tcPr>
                <w:tcW w:w="1470" w:type="pct"/>
                <w:vMerge/>
                <w:shd w:val="clear" w:color="auto" w:fill="auto"/>
                <w:vAlign w:val="center"/>
              </w:tcPr>
              <w:p w14:paraId="3D4245BF" w14:textId="77777777" w:rsidR="00E57DAA" w:rsidRDefault="00E57DAA">
                <w:pPr>
                  <w:rPr>
                    <w:szCs w:val="21"/>
                  </w:rPr>
                </w:pPr>
              </w:p>
            </w:tc>
            <w:tc>
              <w:tcPr>
                <w:tcW w:w="1645" w:type="pct"/>
                <w:shd w:val="clear" w:color="auto" w:fill="auto"/>
                <w:vAlign w:val="center"/>
              </w:tcPr>
              <w:p w14:paraId="327A904C" w14:textId="77777777" w:rsidR="00E57DAA" w:rsidRDefault="00AC4185">
                <w:pPr>
                  <w:rPr>
                    <w:szCs w:val="21"/>
                  </w:rPr>
                </w:pPr>
                <w:r>
                  <w:rPr>
                    <w:rFonts w:hint="eastAsia"/>
                    <w:szCs w:val="21"/>
                  </w:rPr>
                  <w:t>购买日至报告期末</w:t>
                </w:r>
              </w:p>
            </w:tc>
            <w:tc>
              <w:tcPr>
                <w:tcW w:w="1885" w:type="pct"/>
                <w:vAlign w:val="center"/>
              </w:tcPr>
              <w:p w14:paraId="22FE9146" w14:textId="77777777" w:rsidR="00E57DAA" w:rsidRDefault="00AC4185">
                <w:pPr>
                  <w:rPr>
                    <w:szCs w:val="21"/>
                  </w:rPr>
                </w:pPr>
                <w:r>
                  <w:rPr>
                    <w:rFonts w:hint="eastAsia"/>
                    <w:szCs w:val="21"/>
                  </w:rPr>
                  <w:t>购买日至报告期末</w:t>
                </w:r>
              </w:p>
            </w:tc>
          </w:tr>
          <w:tr w:rsidR="00E57DAA" w14:paraId="76719091" w14:textId="77777777">
            <w:trPr>
              <w:trHeight w:val="340"/>
            </w:trPr>
            <w:tc>
              <w:tcPr>
                <w:tcW w:w="1470" w:type="pct"/>
                <w:shd w:val="clear" w:color="auto" w:fill="auto"/>
                <w:vAlign w:val="center"/>
              </w:tcPr>
              <w:p w14:paraId="7DF39B96" w14:textId="77777777" w:rsidR="00E57DAA" w:rsidRDefault="00AC4185">
                <w:pPr>
                  <w:rPr>
                    <w:szCs w:val="21"/>
                  </w:rPr>
                </w:pPr>
                <w:r>
                  <w:rPr>
                    <w:rFonts w:hint="eastAsia"/>
                    <w:szCs w:val="21"/>
                  </w:rPr>
                  <w:t>营业收入</w:t>
                </w:r>
              </w:p>
            </w:tc>
            <w:tc>
              <w:tcPr>
                <w:tcW w:w="1645" w:type="pct"/>
                <w:shd w:val="clear" w:color="auto" w:fill="auto"/>
                <w:vAlign w:val="center"/>
              </w:tcPr>
              <w:p w14:paraId="05A4D131" w14:textId="77777777" w:rsidR="00E57DAA" w:rsidRDefault="00AC4185">
                <w:pPr>
                  <w:jc w:val="right"/>
                  <w:rPr>
                    <w:szCs w:val="21"/>
                  </w:rPr>
                </w:pPr>
                <w:r>
                  <w:rPr>
                    <w:szCs w:val="21"/>
                  </w:rPr>
                  <w:t>5,481,888.42</w:t>
                </w:r>
              </w:p>
            </w:tc>
            <w:tc>
              <w:tcPr>
                <w:tcW w:w="1885" w:type="pct"/>
                <w:shd w:val="clear" w:color="auto" w:fill="auto"/>
                <w:vAlign w:val="center"/>
              </w:tcPr>
              <w:p w14:paraId="1EF9F67B" w14:textId="77777777" w:rsidR="00E57DAA" w:rsidRDefault="00AC4185">
                <w:pPr>
                  <w:jc w:val="right"/>
                  <w:rPr>
                    <w:szCs w:val="21"/>
                  </w:rPr>
                </w:pPr>
                <w:r>
                  <w:rPr>
                    <w:szCs w:val="21"/>
                  </w:rPr>
                  <w:t>65,305,273.77</w:t>
                </w:r>
              </w:p>
            </w:tc>
          </w:tr>
          <w:tr w:rsidR="00E57DAA" w14:paraId="090FF6BF" w14:textId="77777777">
            <w:trPr>
              <w:trHeight w:val="340"/>
            </w:trPr>
            <w:tc>
              <w:tcPr>
                <w:tcW w:w="1470" w:type="pct"/>
                <w:shd w:val="clear" w:color="auto" w:fill="auto"/>
                <w:vAlign w:val="center"/>
              </w:tcPr>
              <w:p w14:paraId="7DC3FA3E" w14:textId="77777777" w:rsidR="00E57DAA" w:rsidRDefault="00AC4185">
                <w:pPr>
                  <w:rPr>
                    <w:szCs w:val="21"/>
                  </w:rPr>
                </w:pPr>
                <w:r>
                  <w:rPr>
                    <w:rFonts w:hint="eastAsia"/>
                    <w:szCs w:val="21"/>
                  </w:rPr>
                  <w:t>净利润</w:t>
                </w:r>
              </w:p>
            </w:tc>
            <w:tc>
              <w:tcPr>
                <w:tcW w:w="1645" w:type="pct"/>
                <w:shd w:val="clear" w:color="auto" w:fill="auto"/>
                <w:vAlign w:val="center"/>
              </w:tcPr>
              <w:p w14:paraId="62640832" w14:textId="77777777" w:rsidR="00E57DAA" w:rsidRDefault="00AC4185">
                <w:pPr>
                  <w:jc w:val="right"/>
                  <w:rPr>
                    <w:szCs w:val="21"/>
                  </w:rPr>
                </w:pPr>
                <w:r>
                  <w:rPr>
                    <w:szCs w:val="21"/>
                  </w:rPr>
                  <w:t>1,764,676.80</w:t>
                </w:r>
              </w:p>
            </w:tc>
            <w:tc>
              <w:tcPr>
                <w:tcW w:w="1885" w:type="pct"/>
                <w:shd w:val="clear" w:color="auto" w:fill="auto"/>
                <w:vAlign w:val="center"/>
              </w:tcPr>
              <w:p w14:paraId="329B40C1" w14:textId="77777777" w:rsidR="00E57DAA" w:rsidRDefault="00AC4185">
                <w:pPr>
                  <w:jc w:val="right"/>
                  <w:rPr>
                    <w:szCs w:val="21"/>
                  </w:rPr>
                </w:pPr>
                <w:r>
                  <w:rPr>
                    <w:szCs w:val="21"/>
                  </w:rPr>
                  <w:t>3,477,109.67</w:t>
                </w:r>
              </w:p>
            </w:tc>
          </w:tr>
          <w:tr w:rsidR="00E57DAA" w14:paraId="4FC38EFF" w14:textId="77777777">
            <w:trPr>
              <w:trHeight w:val="340"/>
            </w:trPr>
            <w:tc>
              <w:tcPr>
                <w:tcW w:w="1470" w:type="pct"/>
                <w:shd w:val="clear" w:color="auto" w:fill="auto"/>
                <w:vAlign w:val="center"/>
              </w:tcPr>
              <w:p w14:paraId="4479AD91" w14:textId="77777777" w:rsidR="00E57DAA" w:rsidRDefault="00AC4185">
                <w:pPr>
                  <w:rPr>
                    <w:szCs w:val="21"/>
                  </w:rPr>
                </w:pPr>
                <w:r>
                  <w:rPr>
                    <w:rFonts w:hint="eastAsia"/>
                    <w:szCs w:val="21"/>
                  </w:rPr>
                  <w:t>经营活动现金净流量</w:t>
                </w:r>
              </w:p>
            </w:tc>
            <w:tc>
              <w:tcPr>
                <w:tcW w:w="1645" w:type="pct"/>
                <w:shd w:val="clear" w:color="auto" w:fill="auto"/>
                <w:vAlign w:val="center"/>
              </w:tcPr>
              <w:p w14:paraId="0B0465A7" w14:textId="77777777" w:rsidR="00E57DAA" w:rsidRDefault="00AC4185">
                <w:pPr>
                  <w:jc w:val="right"/>
                  <w:rPr>
                    <w:szCs w:val="21"/>
                  </w:rPr>
                </w:pPr>
                <w:r>
                  <w:rPr>
                    <w:szCs w:val="21"/>
                  </w:rPr>
                  <w:t>-867,536.39</w:t>
                </w:r>
              </w:p>
            </w:tc>
            <w:tc>
              <w:tcPr>
                <w:tcW w:w="1885" w:type="pct"/>
                <w:shd w:val="clear" w:color="auto" w:fill="auto"/>
                <w:vAlign w:val="center"/>
              </w:tcPr>
              <w:p w14:paraId="42BC6034" w14:textId="77777777" w:rsidR="00E57DAA" w:rsidRDefault="00AC4185">
                <w:pPr>
                  <w:jc w:val="right"/>
                  <w:rPr>
                    <w:szCs w:val="21"/>
                  </w:rPr>
                </w:pPr>
                <w:r>
                  <w:rPr>
                    <w:szCs w:val="21"/>
                  </w:rPr>
                  <w:t>-3,805,312.35</w:t>
                </w:r>
              </w:p>
            </w:tc>
          </w:tr>
          <w:tr w:rsidR="00E57DAA" w14:paraId="724E29EB" w14:textId="77777777">
            <w:trPr>
              <w:trHeight w:val="340"/>
            </w:trPr>
            <w:tc>
              <w:tcPr>
                <w:tcW w:w="1470" w:type="pct"/>
                <w:shd w:val="clear" w:color="auto" w:fill="auto"/>
                <w:vAlign w:val="center"/>
              </w:tcPr>
              <w:p w14:paraId="1C5199E4" w14:textId="77777777" w:rsidR="00E57DAA" w:rsidRDefault="00AC4185">
                <w:pPr>
                  <w:rPr>
                    <w:szCs w:val="21"/>
                  </w:rPr>
                </w:pPr>
                <w:r>
                  <w:rPr>
                    <w:rFonts w:hint="eastAsia"/>
                    <w:szCs w:val="21"/>
                  </w:rPr>
                  <w:t>投资活动现金净流量</w:t>
                </w:r>
              </w:p>
            </w:tc>
            <w:tc>
              <w:tcPr>
                <w:tcW w:w="1645" w:type="pct"/>
                <w:shd w:val="clear" w:color="auto" w:fill="auto"/>
                <w:vAlign w:val="center"/>
              </w:tcPr>
              <w:p w14:paraId="01897DB9" w14:textId="77777777" w:rsidR="00E57DAA" w:rsidRDefault="00E57DAA">
                <w:pPr>
                  <w:jc w:val="right"/>
                  <w:rPr>
                    <w:szCs w:val="21"/>
                  </w:rPr>
                </w:pPr>
              </w:p>
            </w:tc>
            <w:tc>
              <w:tcPr>
                <w:tcW w:w="1885" w:type="pct"/>
                <w:shd w:val="clear" w:color="auto" w:fill="auto"/>
                <w:vAlign w:val="center"/>
              </w:tcPr>
              <w:p w14:paraId="12A8D709" w14:textId="77777777" w:rsidR="00E57DAA" w:rsidRDefault="00AC4185">
                <w:pPr>
                  <w:jc w:val="right"/>
                  <w:rPr>
                    <w:szCs w:val="21"/>
                  </w:rPr>
                </w:pPr>
                <w:r>
                  <w:rPr>
                    <w:szCs w:val="21"/>
                  </w:rPr>
                  <w:t>-4,555.07</w:t>
                </w:r>
              </w:p>
            </w:tc>
          </w:tr>
          <w:tr w:rsidR="00E57DAA" w14:paraId="4364B64B" w14:textId="77777777">
            <w:trPr>
              <w:trHeight w:val="340"/>
            </w:trPr>
            <w:tc>
              <w:tcPr>
                <w:tcW w:w="1470" w:type="pct"/>
                <w:shd w:val="clear" w:color="auto" w:fill="auto"/>
                <w:vAlign w:val="center"/>
              </w:tcPr>
              <w:p w14:paraId="3BAB03CF" w14:textId="77777777" w:rsidR="00E57DAA" w:rsidRDefault="00AC4185">
                <w:pPr>
                  <w:rPr>
                    <w:szCs w:val="21"/>
                  </w:rPr>
                </w:pPr>
                <w:r>
                  <w:rPr>
                    <w:rFonts w:hint="eastAsia"/>
                    <w:szCs w:val="21"/>
                  </w:rPr>
                  <w:t>筹资活动现金净流量</w:t>
                </w:r>
              </w:p>
            </w:tc>
            <w:tc>
              <w:tcPr>
                <w:tcW w:w="1645" w:type="pct"/>
                <w:shd w:val="clear" w:color="auto" w:fill="auto"/>
                <w:vAlign w:val="center"/>
              </w:tcPr>
              <w:p w14:paraId="2ABDFFEE" w14:textId="77777777" w:rsidR="00E57DAA" w:rsidRDefault="00E57DAA">
                <w:pPr>
                  <w:jc w:val="right"/>
                  <w:rPr>
                    <w:szCs w:val="21"/>
                  </w:rPr>
                </w:pPr>
              </w:p>
            </w:tc>
            <w:tc>
              <w:tcPr>
                <w:tcW w:w="1885" w:type="pct"/>
                <w:shd w:val="clear" w:color="auto" w:fill="auto"/>
                <w:vAlign w:val="center"/>
              </w:tcPr>
              <w:p w14:paraId="56101E3C" w14:textId="77777777" w:rsidR="00E57DAA" w:rsidRDefault="00AC4185">
                <w:pPr>
                  <w:jc w:val="right"/>
                  <w:rPr>
                    <w:szCs w:val="21"/>
                  </w:rPr>
                </w:pPr>
                <w:r>
                  <w:rPr>
                    <w:szCs w:val="21"/>
                  </w:rPr>
                  <w:t>-1,094,314.47</w:t>
                </w:r>
              </w:p>
            </w:tc>
          </w:tr>
          <w:tr w:rsidR="00E57DAA" w14:paraId="722D439C" w14:textId="77777777">
            <w:trPr>
              <w:trHeight w:val="340"/>
            </w:trPr>
            <w:tc>
              <w:tcPr>
                <w:tcW w:w="1470" w:type="pct"/>
                <w:shd w:val="clear" w:color="auto" w:fill="auto"/>
                <w:vAlign w:val="center"/>
              </w:tcPr>
              <w:p w14:paraId="09B23490" w14:textId="77777777" w:rsidR="00E57DAA" w:rsidRDefault="00AC4185">
                <w:pPr>
                  <w:rPr>
                    <w:szCs w:val="21"/>
                  </w:rPr>
                </w:pPr>
                <w:r>
                  <w:rPr>
                    <w:rFonts w:hint="eastAsia"/>
                    <w:szCs w:val="21"/>
                  </w:rPr>
                  <w:t>现金及现金等价物净额</w:t>
                </w:r>
              </w:p>
            </w:tc>
            <w:tc>
              <w:tcPr>
                <w:tcW w:w="1645" w:type="pct"/>
                <w:shd w:val="clear" w:color="auto" w:fill="auto"/>
                <w:vAlign w:val="center"/>
              </w:tcPr>
              <w:p w14:paraId="14973F93" w14:textId="77777777" w:rsidR="00E57DAA" w:rsidRDefault="00AC4185">
                <w:pPr>
                  <w:jc w:val="right"/>
                  <w:rPr>
                    <w:szCs w:val="21"/>
                  </w:rPr>
                </w:pPr>
                <w:r>
                  <w:rPr>
                    <w:szCs w:val="21"/>
                  </w:rPr>
                  <w:t>17,756,096.76</w:t>
                </w:r>
              </w:p>
            </w:tc>
            <w:tc>
              <w:tcPr>
                <w:tcW w:w="1885" w:type="pct"/>
                <w:shd w:val="clear" w:color="auto" w:fill="auto"/>
                <w:vAlign w:val="center"/>
              </w:tcPr>
              <w:p w14:paraId="096E93EB" w14:textId="77777777" w:rsidR="00E57DAA" w:rsidRDefault="00AC4185">
                <w:pPr>
                  <w:jc w:val="right"/>
                  <w:rPr>
                    <w:szCs w:val="21"/>
                  </w:rPr>
                </w:pPr>
                <w:r>
                  <w:rPr>
                    <w:szCs w:val="21"/>
                  </w:rPr>
                  <w:t>10,469,479.68</w:t>
                </w:r>
              </w:p>
            </w:tc>
          </w:tr>
        </w:tbl>
        <w:p w14:paraId="4D879C13" w14:textId="77777777" w:rsidR="00E57DAA" w:rsidRDefault="00EB41A1">
          <w:pPr>
            <w:rPr>
              <w:szCs w:val="21"/>
            </w:rPr>
          </w:pPr>
        </w:p>
      </w:sdtContent>
    </w:sdt>
    <w:p w14:paraId="667B6E06" w14:textId="77777777" w:rsidR="00E57DAA" w:rsidRDefault="00AC4185" w:rsidP="00C25422">
      <w:pPr>
        <w:pStyle w:val="91"/>
        <w:numPr>
          <w:ilvl w:val="0"/>
          <w:numId w:val="110"/>
        </w:numPr>
      </w:pPr>
      <w:r>
        <w:rPr>
          <w:rFonts w:hint="eastAsia"/>
        </w:rPr>
        <w:t>同一控制下企业合并</w:t>
      </w:r>
    </w:p>
    <w:sdt>
      <w:sdtPr>
        <w:alias w:val="是否适用：同一控制下企业合并[双击切换]"/>
        <w:tag w:val="_GBC_698d1a451f094ec0bf9c3a278d26a0d3"/>
        <w:id w:val="518667473"/>
        <w:placeholder>
          <w:docPart w:val="GBC22222222222222222222222222222"/>
        </w:placeholder>
      </w:sdtPr>
      <w:sdtEndPr/>
      <w:sdtContent>
        <w:p w14:paraId="2838D65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8297C0" w14:textId="77777777" w:rsidR="00E57DAA" w:rsidRDefault="00AC4185">
      <w:pPr>
        <w:pStyle w:val="4"/>
        <w:numPr>
          <w:ilvl w:val="0"/>
          <w:numId w:val="112"/>
        </w:numPr>
        <w:ind w:left="426" w:hanging="426"/>
      </w:pPr>
      <w:r>
        <w:rPr>
          <w:rFonts w:hint="eastAsia"/>
        </w:rPr>
        <w:t>本期发生的同一控制下企业合并</w:t>
      </w:r>
    </w:p>
    <w:sdt>
      <w:sdtPr>
        <w:alias w:val="是否适用：本期发生的同一控制下企业合并[双击切换]"/>
        <w:tag w:val="_GBC_50aeb159f0be4e099170131affd5d1bc"/>
        <w:id w:val="2073778103"/>
        <w:placeholder>
          <w:docPart w:val="GBC22222222222222222222222222222"/>
        </w:placeholder>
      </w:sdtPr>
      <w:sdtEndPr/>
      <w:sdtContent>
        <w:p w14:paraId="58046EA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16B917" w14:textId="77777777" w:rsidR="00E57DAA" w:rsidRDefault="00AC4185">
      <w:pPr>
        <w:jc w:val="right"/>
        <w:rPr>
          <w:b/>
          <w:szCs w:val="21"/>
        </w:rPr>
      </w:pPr>
      <w:r>
        <w:rPr>
          <w:rFonts w:hint="eastAsia"/>
          <w:szCs w:val="21"/>
        </w:rPr>
        <w:t>单位:</w:t>
      </w:r>
      <w:sdt>
        <w:sdtPr>
          <w:rPr>
            <w:rFonts w:hint="eastAsia"/>
            <w:szCs w:val="21"/>
          </w:rPr>
          <w:alias w:val="单位：发生的同一控制下企业合并"/>
          <w:tag w:val="_GBC_6c807af61b7c4d1dad8dbcd9238f2985"/>
          <w:id w:val="12957215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发生的同一控制下企业合并"/>
          <w:tag w:val="_GBC_d0e9edec9a044027a7e3968e6e6224ea"/>
          <w:id w:val="-12366246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971"/>
        <w:gridCol w:w="831"/>
        <w:gridCol w:w="1519"/>
        <w:gridCol w:w="1521"/>
        <w:gridCol w:w="1659"/>
        <w:gridCol w:w="1526"/>
      </w:tblGrid>
      <w:tr w:rsidR="00E57DAA" w14:paraId="63A2E8C2" w14:textId="77777777">
        <w:trPr>
          <w:trHeight w:val="1113"/>
        </w:trPr>
        <w:sdt>
          <w:sdtPr>
            <w:rPr>
              <w:sz w:val="18"/>
              <w:szCs w:val="21"/>
            </w:rPr>
            <w:tag w:val="_PLD_cf4cad5fd924471dbbecdf354d5ad2e3"/>
            <w:id w:val="-1543435228"/>
          </w:sdtPr>
          <w:sdtEndPr/>
          <w:sdtContent>
            <w:tc>
              <w:tcPr>
                <w:tcW w:w="451" w:type="pct"/>
                <w:shd w:val="clear" w:color="auto" w:fill="auto"/>
                <w:vAlign w:val="center"/>
              </w:tcPr>
              <w:p w14:paraId="2BC783D2" w14:textId="77777777" w:rsidR="00E57DAA" w:rsidRDefault="00AC4185">
                <w:pPr>
                  <w:jc w:val="center"/>
                  <w:rPr>
                    <w:sz w:val="18"/>
                    <w:szCs w:val="21"/>
                  </w:rPr>
                </w:pPr>
                <w:r>
                  <w:rPr>
                    <w:rFonts w:hint="eastAsia"/>
                    <w:sz w:val="18"/>
                    <w:szCs w:val="21"/>
                  </w:rPr>
                  <w:t>被合并方名称</w:t>
                </w:r>
              </w:p>
            </w:tc>
          </w:sdtContent>
        </w:sdt>
        <w:sdt>
          <w:sdtPr>
            <w:rPr>
              <w:sz w:val="18"/>
              <w:szCs w:val="21"/>
            </w:rPr>
            <w:tag w:val="_PLD_ea6ca5b536474fc18ca1201904cdab3b"/>
            <w:id w:val="462000930"/>
          </w:sdtPr>
          <w:sdtEndPr/>
          <w:sdtContent>
            <w:tc>
              <w:tcPr>
                <w:tcW w:w="550" w:type="pct"/>
                <w:shd w:val="clear" w:color="auto" w:fill="auto"/>
                <w:vAlign w:val="center"/>
              </w:tcPr>
              <w:p w14:paraId="2018C850" w14:textId="77777777" w:rsidR="00E57DAA" w:rsidRDefault="00AC4185">
                <w:pPr>
                  <w:jc w:val="center"/>
                  <w:rPr>
                    <w:sz w:val="18"/>
                    <w:szCs w:val="21"/>
                  </w:rPr>
                </w:pPr>
                <w:r>
                  <w:rPr>
                    <w:rFonts w:hint="eastAsia"/>
                    <w:sz w:val="18"/>
                    <w:szCs w:val="21"/>
                  </w:rPr>
                  <w:t>企业合并中取得的权益比例</w:t>
                </w:r>
              </w:p>
            </w:tc>
          </w:sdtContent>
        </w:sdt>
        <w:sdt>
          <w:sdtPr>
            <w:rPr>
              <w:sz w:val="18"/>
              <w:szCs w:val="21"/>
            </w:rPr>
            <w:tag w:val="_PLD_e8fd59ee75374533bfc1d1ff5c5dd604"/>
            <w:id w:val="-860974640"/>
          </w:sdtPr>
          <w:sdtEndPr/>
          <w:sdtContent>
            <w:tc>
              <w:tcPr>
                <w:tcW w:w="471" w:type="pct"/>
                <w:shd w:val="clear" w:color="auto" w:fill="auto"/>
                <w:vAlign w:val="center"/>
              </w:tcPr>
              <w:p w14:paraId="71C9614D" w14:textId="77777777" w:rsidR="00E57DAA" w:rsidRDefault="00AC4185">
                <w:pPr>
                  <w:jc w:val="center"/>
                  <w:rPr>
                    <w:sz w:val="18"/>
                    <w:szCs w:val="21"/>
                  </w:rPr>
                </w:pPr>
                <w:r>
                  <w:rPr>
                    <w:rFonts w:hint="eastAsia"/>
                    <w:sz w:val="18"/>
                    <w:szCs w:val="21"/>
                  </w:rPr>
                  <w:t>合并日</w:t>
                </w:r>
              </w:p>
            </w:tc>
          </w:sdtContent>
        </w:sdt>
        <w:sdt>
          <w:sdtPr>
            <w:rPr>
              <w:sz w:val="18"/>
              <w:szCs w:val="21"/>
            </w:rPr>
            <w:tag w:val="_PLD_d625705be55e4fdd9e867728c1965db0"/>
            <w:id w:val="1182701104"/>
          </w:sdtPr>
          <w:sdtEndPr/>
          <w:sdtContent>
            <w:tc>
              <w:tcPr>
                <w:tcW w:w="861" w:type="pct"/>
                <w:shd w:val="clear" w:color="auto" w:fill="auto"/>
                <w:vAlign w:val="center"/>
              </w:tcPr>
              <w:p w14:paraId="55A6C8AC" w14:textId="77777777" w:rsidR="00E57DAA" w:rsidRDefault="00AC4185">
                <w:pPr>
                  <w:jc w:val="center"/>
                  <w:rPr>
                    <w:sz w:val="18"/>
                    <w:szCs w:val="21"/>
                  </w:rPr>
                </w:pPr>
                <w:r>
                  <w:rPr>
                    <w:rFonts w:hint="eastAsia"/>
                    <w:sz w:val="18"/>
                    <w:szCs w:val="21"/>
                  </w:rPr>
                  <w:t>合并当期期初至合并日被合并方的收入</w:t>
                </w:r>
              </w:p>
            </w:tc>
          </w:sdtContent>
        </w:sdt>
        <w:sdt>
          <w:sdtPr>
            <w:rPr>
              <w:sz w:val="18"/>
              <w:szCs w:val="21"/>
            </w:rPr>
            <w:tag w:val="_PLD_03b7d7d580ac4e22b699e2e17f8f3009"/>
            <w:id w:val="242606877"/>
          </w:sdtPr>
          <w:sdtEndPr/>
          <w:sdtContent>
            <w:tc>
              <w:tcPr>
                <w:tcW w:w="862" w:type="pct"/>
                <w:shd w:val="clear" w:color="auto" w:fill="auto"/>
                <w:vAlign w:val="center"/>
              </w:tcPr>
              <w:p w14:paraId="7A6D5881" w14:textId="77777777" w:rsidR="00E57DAA" w:rsidRDefault="00AC4185">
                <w:pPr>
                  <w:jc w:val="center"/>
                  <w:rPr>
                    <w:sz w:val="18"/>
                    <w:szCs w:val="21"/>
                  </w:rPr>
                </w:pPr>
                <w:r>
                  <w:rPr>
                    <w:rFonts w:hint="eastAsia"/>
                    <w:sz w:val="18"/>
                    <w:szCs w:val="21"/>
                  </w:rPr>
                  <w:t>合并当期期初至合并日被合并方的净利润</w:t>
                </w:r>
              </w:p>
            </w:tc>
          </w:sdtContent>
        </w:sdt>
        <w:sdt>
          <w:sdtPr>
            <w:rPr>
              <w:sz w:val="18"/>
              <w:szCs w:val="21"/>
            </w:rPr>
            <w:tag w:val="_PLD_a1bf6594ef214561a400037e9b2c868d"/>
            <w:id w:val="1234902655"/>
          </w:sdtPr>
          <w:sdtEndPr/>
          <w:sdtContent>
            <w:tc>
              <w:tcPr>
                <w:tcW w:w="940" w:type="pct"/>
                <w:vAlign w:val="center"/>
              </w:tcPr>
              <w:p w14:paraId="4FE94DE4" w14:textId="77777777" w:rsidR="00E57DAA" w:rsidRDefault="00AC4185">
                <w:pPr>
                  <w:jc w:val="center"/>
                  <w:rPr>
                    <w:sz w:val="18"/>
                    <w:szCs w:val="21"/>
                  </w:rPr>
                </w:pPr>
                <w:r>
                  <w:rPr>
                    <w:rFonts w:hint="eastAsia"/>
                    <w:sz w:val="18"/>
                    <w:szCs w:val="21"/>
                  </w:rPr>
                  <w:t>比较期间被合并方的收入</w:t>
                </w:r>
              </w:p>
            </w:tc>
          </w:sdtContent>
        </w:sdt>
        <w:sdt>
          <w:sdtPr>
            <w:rPr>
              <w:sz w:val="18"/>
              <w:szCs w:val="21"/>
            </w:rPr>
            <w:tag w:val="_PLD_c3156d36b4534057acbc9a11456c7f76"/>
            <w:id w:val="967937498"/>
          </w:sdtPr>
          <w:sdtEndPr/>
          <w:sdtContent>
            <w:tc>
              <w:tcPr>
                <w:tcW w:w="865" w:type="pct"/>
                <w:vAlign w:val="center"/>
              </w:tcPr>
              <w:p w14:paraId="445DF593" w14:textId="77777777" w:rsidR="00E57DAA" w:rsidRDefault="00AC4185">
                <w:pPr>
                  <w:jc w:val="center"/>
                  <w:rPr>
                    <w:sz w:val="18"/>
                    <w:szCs w:val="21"/>
                  </w:rPr>
                </w:pPr>
                <w:r>
                  <w:rPr>
                    <w:rFonts w:hint="eastAsia"/>
                    <w:sz w:val="18"/>
                    <w:szCs w:val="21"/>
                  </w:rPr>
                  <w:t>比较期间被合并方的净利润</w:t>
                </w:r>
              </w:p>
            </w:tc>
          </w:sdtContent>
        </w:sdt>
      </w:tr>
      <w:tr w:rsidR="00E57DAA" w14:paraId="65C5DFB7" w14:textId="77777777">
        <w:trPr>
          <w:trHeight w:val="301"/>
        </w:trPr>
        <w:tc>
          <w:tcPr>
            <w:tcW w:w="451" w:type="pct"/>
            <w:shd w:val="clear" w:color="auto" w:fill="auto"/>
          </w:tcPr>
          <w:p w14:paraId="7BC84AF1" w14:textId="77777777" w:rsidR="00E57DAA" w:rsidRDefault="00AC4185">
            <w:pPr>
              <w:rPr>
                <w:sz w:val="18"/>
                <w:szCs w:val="21"/>
              </w:rPr>
            </w:pPr>
            <w:r>
              <w:rPr>
                <w:sz w:val="18"/>
                <w:szCs w:val="21"/>
              </w:rPr>
              <w:t>合肥水泥研究设计院有限公司</w:t>
            </w:r>
          </w:p>
        </w:tc>
        <w:tc>
          <w:tcPr>
            <w:tcW w:w="550" w:type="pct"/>
            <w:shd w:val="clear" w:color="auto" w:fill="auto"/>
          </w:tcPr>
          <w:p w14:paraId="4DEFF20A" w14:textId="77777777" w:rsidR="00E57DAA" w:rsidRDefault="00AC4185">
            <w:pPr>
              <w:jc w:val="right"/>
              <w:rPr>
                <w:sz w:val="18"/>
                <w:szCs w:val="21"/>
              </w:rPr>
            </w:pPr>
            <w:r>
              <w:rPr>
                <w:sz w:val="18"/>
                <w:szCs w:val="21"/>
              </w:rPr>
              <w:t>100.00</w:t>
            </w:r>
          </w:p>
        </w:tc>
        <w:tc>
          <w:tcPr>
            <w:tcW w:w="471" w:type="pct"/>
            <w:shd w:val="clear" w:color="auto" w:fill="auto"/>
          </w:tcPr>
          <w:p w14:paraId="09255875" w14:textId="77777777" w:rsidR="00E57DAA" w:rsidRDefault="00AC4185">
            <w:pPr>
              <w:jc w:val="right"/>
              <w:rPr>
                <w:sz w:val="18"/>
                <w:szCs w:val="21"/>
              </w:rPr>
            </w:pPr>
            <w:r>
              <w:rPr>
                <w:sz w:val="18"/>
                <w:szCs w:val="21"/>
              </w:rPr>
              <w:t>2023年2月13日</w:t>
            </w:r>
          </w:p>
        </w:tc>
        <w:tc>
          <w:tcPr>
            <w:tcW w:w="861" w:type="pct"/>
            <w:shd w:val="clear" w:color="auto" w:fill="auto"/>
          </w:tcPr>
          <w:p w14:paraId="78BF266A" w14:textId="77777777" w:rsidR="00E57DAA" w:rsidRDefault="00AC4185">
            <w:pPr>
              <w:jc w:val="right"/>
              <w:rPr>
                <w:sz w:val="18"/>
                <w:szCs w:val="21"/>
              </w:rPr>
            </w:pPr>
            <w:r>
              <w:rPr>
                <w:sz w:val="18"/>
                <w:szCs w:val="21"/>
              </w:rPr>
              <w:t>222,166,756.29</w:t>
            </w:r>
          </w:p>
        </w:tc>
        <w:tc>
          <w:tcPr>
            <w:tcW w:w="862" w:type="pct"/>
            <w:shd w:val="clear" w:color="auto" w:fill="auto"/>
          </w:tcPr>
          <w:p w14:paraId="5831AD43" w14:textId="77777777" w:rsidR="00E57DAA" w:rsidRDefault="00AC4185">
            <w:pPr>
              <w:jc w:val="right"/>
              <w:rPr>
                <w:sz w:val="18"/>
                <w:szCs w:val="21"/>
              </w:rPr>
            </w:pPr>
            <w:r>
              <w:rPr>
                <w:sz w:val="18"/>
                <w:szCs w:val="21"/>
              </w:rPr>
              <w:t>-19,936,478.05</w:t>
            </w:r>
          </w:p>
        </w:tc>
        <w:tc>
          <w:tcPr>
            <w:tcW w:w="940" w:type="pct"/>
          </w:tcPr>
          <w:p w14:paraId="04D0CDD1" w14:textId="77777777" w:rsidR="00E57DAA" w:rsidRDefault="00AC4185">
            <w:pPr>
              <w:jc w:val="right"/>
              <w:rPr>
                <w:sz w:val="18"/>
                <w:szCs w:val="21"/>
              </w:rPr>
            </w:pPr>
            <w:r>
              <w:rPr>
                <w:sz w:val="18"/>
                <w:szCs w:val="21"/>
              </w:rPr>
              <w:t>4,296,761,538.81</w:t>
            </w:r>
          </w:p>
        </w:tc>
        <w:tc>
          <w:tcPr>
            <w:tcW w:w="865" w:type="pct"/>
          </w:tcPr>
          <w:p w14:paraId="597482AC" w14:textId="77777777" w:rsidR="00E57DAA" w:rsidRDefault="00AC4185">
            <w:pPr>
              <w:jc w:val="right"/>
              <w:rPr>
                <w:sz w:val="18"/>
                <w:szCs w:val="21"/>
              </w:rPr>
            </w:pPr>
            <w:r>
              <w:rPr>
                <w:sz w:val="18"/>
                <w:szCs w:val="21"/>
              </w:rPr>
              <w:t>482,154,078.96</w:t>
            </w:r>
          </w:p>
        </w:tc>
      </w:tr>
    </w:tbl>
    <w:p w14:paraId="73246A83" w14:textId="77777777" w:rsidR="00E57DAA" w:rsidRDefault="00E57DAA" w:rsidP="00C25422">
      <w:pPr>
        <w:pStyle w:val="92"/>
      </w:pPr>
    </w:p>
    <w:p w14:paraId="5717072B" w14:textId="77777777" w:rsidR="00E57DAA" w:rsidRDefault="00AC4185">
      <w:pPr>
        <w:pStyle w:val="4"/>
        <w:numPr>
          <w:ilvl w:val="0"/>
          <w:numId w:val="112"/>
        </w:numPr>
        <w:ind w:left="426" w:hanging="426"/>
      </w:pPr>
      <w:r>
        <w:rPr>
          <w:rFonts w:hint="eastAsia"/>
        </w:rPr>
        <w:t>合并成本</w:t>
      </w:r>
    </w:p>
    <w:sdt>
      <w:sdtPr>
        <w:alias w:val="是否适用：合并成本[双击切换]"/>
        <w:tag w:val="_GBC_5a2f1a0aa219473a9ea30bef3c2b1ffb"/>
        <w:id w:val="1425458190"/>
        <w:placeholder>
          <w:docPart w:val="GBC22222222222222222222222222222"/>
        </w:placeholder>
      </w:sdtPr>
      <w:sdtEndPr/>
      <w:sdtContent>
        <w:p w14:paraId="297AE5E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D263E5" w14:textId="77777777" w:rsidR="00E57DAA" w:rsidRDefault="00AC4185">
      <w:pPr>
        <w:jc w:val="right"/>
      </w:pPr>
      <w:r>
        <w:rPr>
          <w:rFonts w:hint="eastAsia"/>
        </w:rPr>
        <w:t>单位：</w:t>
      </w:r>
      <w:sdt>
        <w:sdtPr>
          <w:rPr>
            <w:rFonts w:hint="eastAsia"/>
          </w:rPr>
          <w:alias w:val="单位：合并成本"/>
          <w:tag w:val="_GBC_357520090212412ea44dcf12e5071db1"/>
          <w:id w:val="-11467310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并成本"/>
          <w:tag w:val="_GBC_bf160fe83cf848c7bc9823481e0c4b39"/>
          <w:id w:val="16580318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6"/>
        <w:gridCol w:w="4487"/>
      </w:tblGrid>
      <w:tr w:rsidR="00E57DAA" w14:paraId="59170CEB" w14:textId="77777777">
        <w:trPr>
          <w:jc w:val="center"/>
        </w:trPr>
        <w:sdt>
          <w:sdtPr>
            <w:tag w:val="_PLD_3861184c57a746659a54c9c232ed66d0"/>
            <w:id w:val="-1464719443"/>
          </w:sdtPr>
          <w:sdtEndPr/>
          <w:sdtContent>
            <w:tc>
              <w:tcPr>
                <w:tcW w:w="2457" w:type="pct"/>
                <w:shd w:val="clear" w:color="auto" w:fill="auto"/>
              </w:tcPr>
              <w:p w14:paraId="244F4300" w14:textId="77777777" w:rsidR="00E57DAA" w:rsidRDefault="00AC4185">
                <w:pPr>
                  <w:rPr>
                    <w:rFonts w:cs="Arial"/>
                    <w:szCs w:val="21"/>
                  </w:rPr>
                </w:pPr>
                <w:r>
                  <w:rPr>
                    <w:rFonts w:cs="Arial" w:hint="eastAsia"/>
                    <w:szCs w:val="21"/>
                    <w:lang w:val="en-GB"/>
                  </w:rPr>
                  <w:t>合并成本</w:t>
                </w:r>
              </w:p>
            </w:tc>
          </w:sdtContent>
        </w:sdt>
        <w:sdt>
          <w:sdtPr>
            <w:rPr>
              <w:szCs w:val="21"/>
            </w:rPr>
            <w:alias w:val="同一控制下企业合并成本明细-公司名称"/>
            <w:tag w:val="_GBC_d09ee04f3f7d4790be8d5ece4cb0b451"/>
            <w:id w:val="1593355552"/>
          </w:sdtPr>
          <w:sdtEndPr/>
          <w:sdtContent>
            <w:tc>
              <w:tcPr>
                <w:tcW w:w="2543" w:type="pct"/>
              </w:tcPr>
              <w:p w14:paraId="0FCA25C1" w14:textId="77777777" w:rsidR="00E57DAA" w:rsidRDefault="00AC4185">
                <w:pPr>
                  <w:rPr>
                    <w:szCs w:val="21"/>
                  </w:rPr>
                </w:pPr>
                <w:r>
                  <w:rPr>
                    <w:rFonts w:hint="eastAsia"/>
                    <w:szCs w:val="21"/>
                  </w:rPr>
                  <w:t>合肥水泥研究设计院有限</w:t>
                </w:r>
                <w:r>
                  <w:rPr>
                    <w:szCs w:val="21"/>
                  </w:rPr>
                  <w:t>公司</w:t>
                </w:r>
              </w:p>
            </w:tc>
          </w:sdtContent>
        </w:sdt>
      </w:tr>
      <w:tr w:rsidR="00E57DAA" w14:paraId="37702C9D" w14:textId="77777777">
        <w:trPr>
          <w:jc w:val="center"/>
        </w:trPr>
        <w:tc>
          <w:tcPr>
            <w:tcW w:w="2457" w:type="pct"/>
            <w:shd w:val="clear" w:color="auto" w:fill="auto"/>
            <w:vAlign w:val="center"/>
          </w:tcPr>
          <w:p w14:paraId="645768DD"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现金</w:t>
            </w:r>
          </w:p>
        </w:tc>
        <w:tc>
          <w:tcPr>
            <w:tcW w:w="2543" w:type="pct"/>
          </w:tcPr>
          <w:p w14:paraId="085EC9CB" w14:textId="77777777" w:rsidR="00E57DAA" w:rsidRDefault="00AC4185">
            <w:pPr>
              <w:jc w:val="right"/>
              <w:rPr>
                <w:szCs w:val="21"/>
              </w:rPr>
            </w:pPr>
            <w:r>
              <w:rPr>
                <w:szCs w:val="21"/>
              </w:rPr>
              <w:t>547,080,000.00</w:t>
            </w:r>
          </w:p>
        </w:tc>
      </w:tr>
      <w:tr w:rsidR="00E57DAA" w14:paraId="00088F6D" w14:textId="77777777">
        <w:trPr>
          <w:jc w:val="center"/>
        </w:trPr>
        <w:tc>
          <w:tcPr>
            <w:tcW w:w="2457" w:type="pct"/>
            <w:shd w:val="clear" w:color="auto" w:fill="auto"/>
            <w:vAlign w:val="center"/>
          </w:tcPr>
          <w:p w14:paraId="656C61E4"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非现金资产的账面价值</w:t>
            </w:r>
          </w:p>
        </w:tc>
        <w:tc>
          <w:tcPr>
            <w:tcW w:w="2543" w:type="pct"/>
          </w:tcPr>
          <w:p w14:paraId="09F46663" w14:textId="77777777" w:rsidR="00E57DAA" w:rsidRDefault="00E57DAA">
            <w:pPr>
              <w:jc w:val="right"/>
              <w:rPr>
                <w:szCs w:val="21"/>
              </w:rPr>
            </w:pPr>
          </w:p>
        </w:tc>
      </w:tr>
      <w:tr w:rsidR="00E57DAA" w14:paraId="49E600BF" w14:textId="77777777">
        <w:trPr>
          <w:jc w:val="center"/>
        </w:trPr>
        <w:tc>
          <w:tcPr>
            <w:tcW w:w="2457" w:type="pct"/>
            <w:shd w:val="clear" w:color="auto" w:fill="auto"/>
            <w:vAlign w:val="center"/>
          </w:tcPr>
          <w:p w14:paraId="6373098F"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发行或承担的债务的账面价值</w:t>
            </w:r>
          </w:p>
        </w:tc>
        <w:tc>
          <w:tcPr>
            <w:tcW w:w="2543" w:type="pct"/>
          </w:tcPr>
          <w:p w14:paraId="4F429F4C" w14:textId="77777777" w:rsidR="00E57DAA" w:rsidRDefault="00E57DAA">
            <w:pPr>
              <w:jc w:val="right"/>
              <w:rPr>
                <w:szCs w:val="21"/>
              </w:rPr>
            </w:pPr>
          </w:p>
        </w:tc>
      </w:tr>
      <w:tr w:rsidR="00E57DAA" w14:paraId="47FF56A8" w14:textId="77777777">
        <w:trPr>
          <w:jc w:val="center"/>
        </w:trPr>
        <w:tc>
          <w:tcPr>
            <w:tcW w:w="2457" w:type="pct"/>
            <w:shd w:val="clear" w:color="auto" w:fill="auto"/>
            <w:vAlign w:val="center"/>
          </w:tcPr>
          <w:p w14:paraId="17B78CEF"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发行的权益性证券的面值</w:t>
            </w:r>
          </w:p>
        </w:tc>
        <w:tc>
          <w:tcPr>
            <w:tcW w:w="2543" w:type="pct"/>
          </w:tcPr>
          <w:p w14:paraId="77A675BA" w14:textId="77777777" w:rsidR="00E57DAA" w:rsidRDefault="00AC4185">
            <w:pPr>
              <w:jc w:val="right"/>
              <w:rPr>
                <w:szCs w:val="21"/>
              </w:rPr>
            </w:pPr>
            <w:r>
              <w:rPr>
                <w:szCs w:val="21"/>
              </w:rPr>
              <w:t>366,878,106.00</w:t>
            </w:r>
          </w:p>
        </w:tc>
      </w:tr>
      <w:tr w:rsidR="00E57DAA" w14:paraId="0FB88419" w14:textId="77777777">
        <w:trPr>
          <w:jc w:val="center"/>
        </w:trPr>
        <w:tc>
          <w:tcPr>
            <w:tcW w:w="2457" w:type="pct"/>
            <w:shd w:val="clear" w:color="auto" w:fill="auto"/>
            <w:vAlign w:val="center"/>
          </w:tcPr>
          <w:p w14:paraId="29AC4F10" w14:textId="77777777" w:rsidR="00E57DAA" w:rsidRDefault="00AC4185">
            <w:pPr>
              <w:rPr>
                <w:rFonts w:cs="Arial"/>
                <w:color w:val="000000"/>
                <w:szCs w:val="21"/>
              </w:rPr>
            </w:pPr>
            <w:r>
              <w:rPr>
                <w:rFonts w:cs="Arial"/>
                <w:color w:val="000000"/>
                <w:szCs w:val="21"/>
              </w:rPr>
              <w:lastRenderedPageBreak/>
              <w:t>--</w:t>
            </w:r>
            <w:r>
              <w:rPr>
                <w:rFonts w:cs="Arial" w:hint="eastAsia"/>
                <w:color w:val="000000"/>
                <w:szCs w:val="21"/>
                <w:lang w:val="en-GB"/>
              </w:rPr>
              <w:t>或有对价</w:t>
            </w:r>
          </w:p>
        </w:tc>
        <w:tc>
          <w:tcPr>
            <w:tcW w:w="2543" w:type="pct"/>
          </w:tcPr>
          <w:p w14:paraId="5261DF18" w14:textId="77777777" w:rsidR="00E57DAA" w:rsidRDefault="00E57DAA">
            <w:pPr>
              <w:jc w:val="right"/>
              <w:rPr>
                <w:szCs w:val="21"/>
              </w:rPr>
            </w:pPr>
          </w:p>
        </w:tc>
      </w:tr>
    </w:tbl>
    <w:p w14:paraId="34B06788" w14:textId="77777777" w:rsidR="00E57DAA" w:rsidRDefault="00E57DAA">
      <w:pPr>
        <w:rPr>
          <w:rFonts w:cs="Arial"/>
          <w:szCs w:val="21"/>
        </w:rPr>
      </w:pPr>
    </w:p>
    <w:p w14:paraId="6E80ABF0" w14:textId="77777777" w:rsidR="00E57DAA" w:rsidRDefault="00AC4185">
      <w:pPr>
        <w:pStyle w:val="4"/>
        <w:numPr>
          <w:ilvl w:val="0"/>
          <w:numId w:val="112"/>
        </w:numPr>
        <w:ind w:left="426" w:hanging="426"/>
      </w:pPr>
      <w:r>
        <w:rPr>
          <w:rFonts w:hint="eastAsia"/>
        </w:rPr>
        <w:t>合并日被合并方资产、负债的账面价值</w:t>
      </w:r>
    </w:p>
    <w:sdt>
      <w:sdtPr>
        <w:alias w:val="是否适用：合并日被合并方资产、负债的账面价值[双击切换]"/>
        <w:tag w:val="_GBC_5dec2961a29c4f7dba84a8d8fd453dab"/>
        <w:id w:val="380291840"/>
        <w:placeholder>
          <w:docPart w:val="GBC22222222222222222222222222222"/>
        </w:placeholder>
      </w:sdtPr>
      <w:sdtEndPr/>
      <w:sdtContent>
        <w:p w14:paraId="595106B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7C072F" w14:textId="77777777" w:rsidR="00E57DAA" w:rsidRDefault="00AC4185">
      <w:pPr>
        <w:jc w:val="right"/>
      </w:pPr>
      <w:r>
        <w:rPr>
          <w:rFonts w:hint="eastAsia"/>
        </w:rPr>
        <w:t>单位:</w:t>
      </w:r>
      <w:sdt>
        <w:sdtPr>
          <w:rPr>
            <w:rFonts w:hint="eastAsia"/>
          </w:rPr>
          <w:alias w:val="单位：财务附注：合并日被合并方资产、负债的账面价值"/>
          <w:tag w:val="_GBC_40ecb31d91524802888565cf5e740942"/>
          <w:id w:val="4559144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合并日被合并方资产、负债的账面价值"/>
          <w:tag w:val="_GBC_10e87b9f74f84d0e9a09bd5eed205468"/>
          <w:id w:val="-14948801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6"/>
        <w:gridCol w:w="2188"/>
        <w:gridCol w:w="2499"/>
      </w:tblGrid>
      <w:tr w:rsidR="00E57DAA" w14:paraId="27529EB3" w14:textId="77777777">
        <w:trPr>
          <w:jc w:val="center"/>
        </w:trPr>
        <w:sdt>
          <w:sdtPr>
            <w:tag w:val="_GBC_e9b1593733f643f9a2c837eefae98a8d"/>
            <w:id w:val="-902368317"/>
          </w:sdtPr>
          <w:sdtEndPr/>
          <w:sdtContent>
            <w:tc>
              <w:tcPr>
                <w:tcW w:w="2344" w:type="pct"/>
                <w:vMerge w:val="restart"/>
                <w:shd w:val="clear" w:color="auto" w:fill="auto"/>
              </w:tcPr>
              <w:p w14:paraId="752C41FB" w14:textId="77777777" w:rsidR="00E57DAA" w:rsidRDefault="00E57DAA">
                <w:pPr>
                  <w:rPr>
                    <w:rFonts w:cs="Arial"/>
                    <w:szCs w:val="21"/>
                  </w:rPr>
                </w:pPr>
              </w:p>
            </w:tc>
          </w:sdtContent>
        </w:sdt>
        <w:sdt>
          <w:sdtPr>
            <w:rPr>
              <w:rFonts w:cs="Arial" w:hint="eastAsia"/>
              <w:szCs w:val="21"/>
              <w:lang w:val="en-GB"/>
            </w:rPr>
            <w:alias w:val="被合并方的资产、负债明细-公司名称"/>
            <w:tag w:val="_GBC_e9b1593733f643f9a2c837eefae98a8d"/>
            <w:id w:val="-158237433"/>
          </w:sdtPr>
          <w:sdtEndPr/>
          <w:sdtContent>
            <w:tc>
              <w:tcPr>
                <w:tcW w:w="2656" w:type="pct"/>
                <w:gridSpan w:val="2"/>
                <w:shd w:val="clear" w:color="auto" w:fill="auto"/>
              </w:tcPr>
              <w:p w14:paraId="3DEC24F5" w14:textId="77777777" w:rsidR="00E57DAA" w:rsidRDefault="00AC4185">
                <w:pPr>
                  <w:jc w:val="center"/>
                  <w:rPr>
                    <w:rFonts w:cs="Arial"/>
                    <w:szCs w:val="21"/>
                    <w:lang w:val="en-GB"/>
                  </w:rPr>
                </w:pPr>
                <w:r>
                  <w:rPr>
                    <w:rFonts w:cs="Arial" w:hint="eastAsia"/>
                    <w:szCs w:val="21"/>
                    <w:lang w:val="en-GB"/>
                  </w:rPr>
                  <w:t>合肥水泥研究设计院有限公司</w:t>
                </w:r>
              </w:p>
            </w:tc>
          </w:sdtContent>
        </w:sdt>
      </w:tr>
      <w:tr w:rsidR="00E57DAA" w14:paraId="229ACEC9" w14:textId="77777777">
        <w:trPr>
          <w:jc w:val="center"/>
        </w:trPr>
        <w:tc>
          <w:tcPr>
            <w:tcW w:w="2344" w:type="pct"/>
            <w:vMerge/>
            <w:shd w:val="clear" w:color="auto" w:fill="auto"/>
          </w:tcPr>
          <w:p w14:paraId="279F0EBF" w14:textId="77777777" w:rsidR="00E57DAA" w:rsidRDefault="00E57DAA">
            <w:pPr>
              <w:rPr>
                <w:rFonts w:cs="Arial"/>
                <w:szCs w:val="21"/>
              </w:rPr>
            </w:pPr>
          </w:p>
        </w:tc>
        <w:sdt>
          <w:sdtPr>
            <w:tag w:val="_PLD_bee6c3563d97418a99a2ebc03e19e7e6"/>
            <w:id w:val="-1074502566"/>
          </w:sdtPr>
          <w:sdtEndPr/>
          <w:sdtContent>
            <w:tc>
              <w:tcPr>
                <w:tcW w:w="1240" w:type="pct"/>
                <w:shd w:val="clear" w:color="auto" w:fill="auto"/>
              </w:tcPr>
              <w:p w14:paraId="1C058770" w14:textId="77777777" w:rsidR="00E57DAA" w:rsidRDefault="00AC4185">
                <w:pPr>
                  <w:jc w:val="center"/>
                  <w:rPr>
                    <w:rFonts w:cs="Arial"/>
                    <w:szCs w:val="21"/>
                  </w:rPr>
                </w:pPr>
                <w:r>
                  <w:rPr>
                    <w:rFonts w:cs="Arial" w:hint="eastAsia"/>
                    <w:szCs w:val="21"/>
                    <w:lang w:val="en-GB"/>
                  </w:rPr>
                  <w:t>合并日</w:t>
                </w:r>
              </w:p>
            </w:tc>
          </w:sdtContent>
        </w:sdt>
        <w:sdt>
          <w:sdtPr>
            <w:tag w:val="_PLD_d6af255a88be4e5e82a7e5c33e295842"/>
            <w:id w:val="847141839"/>
          </w:sdtPr>
          <w:sdtEndPr/>
          <w:sdtContent>
            <w:tc>
              <w:tcPr>
                <w:tcW w:w="1416" w:type="pct"/>
                <w:shd w:val="clear" w:color="auto" w:fill="auto"/>
              </w:tcPr>
              <w:p w14:paraId="1B298332" w14:textId="77777777" w:rsidR="00E57DAA" w:rsidRDefault="00AC4185">
                <w:pPr>
                  <w:jc w:val="center"/>
                  <w:rPr>
                    <w:rFonts w:cs="Arial"/>
                    <w:szCs w:val="21"/>
                    <w:lang w:val="en-GB"/>
                  </w:rPr>
                </w:pPr>
                <w:r>
                  <w:rPr>
                    <w:rFonts w:cs="Arial" w:hint="eastAsia"/>
                    <w:szCs w:val="21"/>
                    <w:lang w:val="en-GB"/>
                  </w:rPr>
                  <w:t>上期期末</w:t>
                </w:r>
              </w:p>
            </w:tc>
          </w:sdtContent>
        </w:sdt>
      </w:tr>
      <w:tr w:rsidR="00E57DAA" w14:paraId="0D7114DA" w14:textId="77777777">
        <w:trPr>
          <w:jc w:val="center"/>
        </w:trPr>
        <w:tc>
          <w:tcPr>
            <w:tcW w:w="2344" w:type="pct"/>
            <w:shd w:val="clear" w:color="auto" w:fill="auto"/>
            <w:vAlign w:val="center"/>
          </w:tcPr>
          <w:p w14:paraId="27FBC2A6" w14:textId="77777777" w:rsidR="00E57DAA" w:rsidRDefault="00AC4185">
            <w:pPr>
              <w:rPr>
                <w:rFonts w:cs="Arial"/>
                <w:color w:val="000000"/>
                <w:szCs w:val="21"/>
              </w:rPr>
            </w:pPr>
            <w:r>
              <w:rPr>
                <w:rFonts w:cs="Arial" w:hint="eastAsia"/>
                <w:color w:val="000000"/>
                <w:szCs w:val="21"/>
                <w:lang w:val="en-GB"/>
              </w:rPr>
              <w:t>资产:</w:t>
            </w:r>
          </w:p>
        </w:tc>
        <w:tc>
          <w:tcPr>
            <w:tcW w:w="1240" w:type="pct"/>
            <w:vAlign w:val="center"/>
          </w:tcPr>
          <w:p w14:paraId="006714AE" w14:textId="77777777" w:rsidR="00E57DAA" w:rsidRDefault="00AC4185">
            <w:pPr>
              <w:jc w:val="right"/>
              <w:rPr>
                <w:rFonts w:cs="Arial"/>
                <w:szCs w:val="21"/>
              </w:rPr>
            </w:pPr>
            <w:r>
              <w:t>6,802,930,737.36</w:t>
            </w:r>
          </w:p>
        </w:tc>
        <w:tc>
          <w:tcPr>
            <w:tcW w:w="1416" w:type="pct"/>
            <w:vAlign w:val="center"/>
          </w:tcPr>
          <w:p w14:paraId="0D90F76F" w14:textId="77777777" w:rsidR="00E57DAA" w:rsidRDefault="00AC4185">
            <w:pPr>
              <w:jc w:val="right"/>
              <w:rPr>
                <w:rFonts w:cs="Arial"/>
                <w:szCs w:val="21"/>
              </w:rPr>
            </w:pPr>
            <w:r>
              <w:t>6,733,778,789.38</w:t>
            </w:r>
          </w:p>
        </w:tc>
      </w:tr>
      <w:tr w:rsidR="00E57DAA" w14:paraId="0DDCB9D7" w14:textId="77777777">
        <w:trPr>
          <w:jc w:val="center"/>
        </w:trPr>
        <w:tc>
          <w:tcPr>
            <w:tcW w:w="2344" w:type="pct"/>
            <w:shd w:val="clear" w:color="auto" w:fill="auto"/>
          </w:tcPr>
          <w:p w14:paraId="4639A187" w14:textId="77777777" w:rsidR="00E57DAA" w:rsidRDefault="00AC4185">
            <w:pPr>
              <w:rPr>
                <w:rFonts w:cs="Arial"/>
                <w:szCs w:val="21"/>
              </w:rPr>
            </w:pPr>
            <w:r>
              <w:rPr>
                <w:rFonts w:cs="Arial" w:hint="eastAsia"/>
                <w:szCs w:val="21"/>
              </w:rPr>
              <w:t>货币资金</w:t>
            </w:r>
          </w:p>
        </w:tc>
        <w:tc>
          <w:tcPr>
            <w:tcW w:w="1240" w:type="pct"/>
            <w:vAlign w:val="center"/>
          </w:tcPr>
          <w:p w14:paraId="2BF69C21" w14:textId="77777777" w:rsidR="00E57DAA" w:rsidRDefault="00AC4185">
            <w:pPr>
              <w:spacing w:line="276" w:lineRule="auto"/>
              <w:jc w:val="right"/>
              <w:rPr>
                <w:rFonts w:cs="Arial"/>
                <w:szCs w:val="21"/>
              </w:rPr>
            </w:pPr>
            <w:r>
              <w:t>1,104,266,001.03</w:t>
            </w:r>
          </w:p>
        </w:tc>
        <w:tc>
          <w:tcPr>
            <w:tcW w:w="1416" w:type="pct"/>
            <w:vAlign w:val="center"/>
          </w:tcPr>
          <w:p w14:paraId="2ED0731C" w14:textId="77777777" w:rsidR="00E57DAA" w:rsidRDefault="00AC4185">
            <w:pPr>
              <w:spacing w:line="276" w:lineRule="auto"/>
              <w:jc w:val="right"/>
              <w:rPr>
                <w:rFonts w:cs="Arial"/>
                <w:szCs w:val="21"/>
              </w:rPr>
            </w:pPr>
            <w:r>
              <w:t>1,174,980,816.99</w:t>
            </w:r>
          </w:p>
        </w:tc>
      </w:tr>
      <w:tr w:rsidR="00E57DAA" w14:paraId="41481D2B" w14:textId="77777777">
        <w:trPr>
          <w:jc w:val="center"/>
        </w:trPr>
        <w:tc>
          <w:tcPr>
            <w:tcW w:w="2344" w:type="pct"/>
            <w:shd w:val="clear" w:color="auto" w:fill="auto"/>
          </w:tcPr>
          <w:p w14:paraId="67D21737" w14:textId="77777777" w:rsidR="00E57DAA" w:rsidRDefault="00AC4185">
            <w:pPr>
              <w:rPr>
                <w:rFonts w:cs="Arial"/>
                <w:szCs w:val="21"/>
              </w:rPr>
            </w:pPr>
            <w:r>
              <w:rPr>
                <w:rFonts w:hint="eastAsia"/>
              </w:rPr>
              <w:t>交易性金融资产</w:t>
            </w:r>
          </w:p>
        </w:tc>
        <w:tc>
          <w:tcPr>
            <w:tcW w:w="1240" w:type="pct"/>
            <w:vAlign w:val="center"/>
          </w:tcPr>
          <w:p w14:paraId="01D175F8" w14:textId="77777777" w:rsidR="00E57DAA" w:rsidRDefault="00AC4185">
            <w:pPr>
              <w:jc w:val="right"/>
              <w:rPr>
                <w:rFonts w:cs="Arial"/>
                <w:szCs w:val="21"/>
              </w:rPr>
            </w:pPr>
            <w:r>
              <w:t>317,497,360.95</w:t>
            </w:r>
          </w:p>
        </w:tc>
        <w:tc>
          <w:tcPr>
            <w:tcW w:w="1416" w:type="pct"/>
            <w:vAlign w:val="center"/>
          </w:tcPr>
          <w:p w14:paraId="5BA76E87" w14:textId="77777777" w:rsidR="00E57DAA" w:rsidRDefault="00AC4185">
            <w:pPr>
              <w:jc w:val="right"/>
              <w:rPr>
                <w:rFonts w:cs="Arial"/>
                <w:szCs w:val="21"/>
              </w:rPr>
            </w:pPr>
            <w:r>
              <w:t>430,373,270.21</w:t>
            </w:r>
          </w:p>
        </w:tc>
      </w:tr>
      <w:tr w:rsidR="00E57DAA" w14:paraId="2B979391" w14:textId="77777777">
        <w:trPr>
          <w:jc w:val="center"/>
        </w:trPr>
        <w:tc>
          <w:tcPr>
            <w:tcW w:w="2344" w:type="pct"/>
            <w:shd w:val="clear" w:color="auto" w:fill="auto"/>
          </w:tcPr>
          <w:p w14:paraId="0693C93A" w14:textId="77777777" w:rsidR="00E57DAA" w:rsidRDefault="00AC4185">
            <w:pPr>
              <w:rPr>
                <w:rFonts w:cs="Arial"/>
                <w:szCs w:val="21"/>
              </w:rPr>
            </w:pPr>
            <w:r>
              <w:rPr>
                <w:rFonts w:hint="eastAsia"/>
              </w:rPr>
              <w:t>应收票据</w:t>
            </w:r>
          </w:p>
        </w:tc>
        <w:tc>
          <w:tcPr>
            <w:tcW w:w="1240" w:type="pct"/>
            <w:vAlign w:val="center"/>
          </w:tcPr>
          <w:p w14:paraId="6E9B57EF" w14:textId="77777777" w:rsidR="00E57DAA" w:rsidRDefault="00AC4185">
            <w:pPr>
              <w:jc w:val="right"/>
              <w:rPr>
                <w:rFonts w:cs="Arial"/>
                <w:szCs w:val="21"/>
              </w:rPr>
            </w:pPr>
            <w:r>
              <w:t>551,408,434.41</w:t>
            </w:r>
          </w:p>
        </w:tc>
        <w:tc>
          <w:tcPr>
            <w:tcW w:w="1416" w:type="pct"/>
            <w:vAlign w:val="center"/>
          </w:tcPr>
          <w:p w14:paraId="58896FEC" w14:textId="77777777" w:rsidR="00E57DAA" w:rsidRDefault="00AC4185">
            <w:pPr>
              <w:jc w:val="right"/>
              <w:rPr>
                <w:rFonts w:cs="Arial"/>
                <w:szCs w:val="21"/>
              </w:rPr>
            </w:pPr>
            <w:r>
              <w:t>429,130,307.66</w:t>
            </w:r>
          </w:p>
        </w:tc>
      </w:tr>
      <w:tr w:rsidR="00E57DAA" w14:paraId="2F1569DC" w14:textId="77777777">
        <w:trPr>
          <w:jc w:val="center"/>
        </w:trPr>
        <w:tc>
          <w:tcPr>
            <w:tcW w:w="2344" w:type="pct"/>
            <w:shd w:val="clear" w:color="auto" w:fill="auto"/>
          </w:tcPr>
          <w:p w14:paraId="7104EB8D" w14:textId="77777777" w:rsidR="00E57DAA" w:rsidRDefault="00AC4185">
            <w:pPr>
              <w:rPr>
                <w:rFonts w:cs="Arial"/>
                <w:szCs w:val="21"/>
              </w:rPr>
            </w:pPr>
            <w:r>
              <w:rPr>
                <w:rFonts w:hint="eastAsia"/>
              </w:rPr>
              <w:t>应收账款</w:t>
            </w:r>
          </w:p>
        </w:tc>
        <w:tc>
          <w:tcPr>
            <w:tcW w:w="1240" w:type="pct"/>
            <w:vAlign w:val="center"/>
          </w:tcPr>
          <w:p w14:paraId="64CD842B" w14:textId="77777777" w:rsidR="00E57DAA" w:rsidRDefault="00AC4185">
            <w:pPr>
              <w:jc w:val="right"/>
              <w:rPr>
                <w:rFonts w:cs="Arial"/>
                <w:szCs w:val="21"/>
              </w:rPr>
            </w:pPr>
            <w:r>
              <w:t>590,169,476.17</w:t>
            </w:r>
          </w:p>
        </w:tc>
        <w:tc>
          <w:tcPr>
            <w:tcW w:w="1416" w:type="pct"/>
            <w:vAlign w:val="center"/>
          </w:tcPr>
          <w:p w14:paraId="3B5460E1" w14:textId="77777777" w:rsidR="00E57DAA" w:rsidRDefault="00AC4185">
            <w:pPr>
              <w:jc w:val="right"/>
              <w:rPr>
                <w:rFonts w:cs="Arial"/>
                <w:szCs w:val="21"/>
              </w:rPr>
            </w:pPr>
            <w:r>
              <w:t>625,059,671.39</w:t>
            </w:r>
          </w:p>
        </w:tc>
      </w:tr>
      <w:tr w:rsidR="00E57DAA" w14:paraId="6351ED84" w14:textId="77777777">
        <w:trPr>
          <w:jc w:val="center"/>
        </w:trPr>
        <w:tc>
          <w:tcPr>
            <w:tcW w:w="2344" w:type="pct"/>
            <w:shd w:val="clear" w:color="auto" w:fill="auto"/>
          </w:tcPr>
          <w:p w14:paraId="638AF9C2" w14:textId="77777777" w:rsidR="00E57DAA" w:rsidRDefault="00AC4185">
            <w:pPr>
              <w:rPr>
                <w:rFonts w:cs="Arial"/>
                <w:szCs w:val="21"/>
              </w:rPr>
            </w:pPr>
            <w:r>
              <w:rPr>
                <w:rFonts w:hint="eastAsia"/>
              </w:rPr>
              <w:t>应收款项融资</w:t>
            </w:r>
          </w:p>
        </w:tc>
        <w:tc>
          <w:tcPr>
            <w:tcW w:w="1240" w:type="pct"/>
            <w:vAlign w:val="center"/>
          </w:tcPr>
          <w:p w14:paraId="659C6356" w14:textId="77777777" w:rsidR="00E57DAA" w:rsidRDefault="00AC4185">
            <w:pPr>
              <w:jc w:val="right"/>
              <w:rPr>
                <w:rFonts w:cs="Arial"/>
                <w:szCs w:val="21"/>
              </w:rPr>
            </w:pPr>
            <w:r>
              <w:t>151,456,211.43</w:t>
            </w:r>
          </w:p>
        </w:tc>
        <w:tc>
          <w:tcPr>
            <w:tcW w:w="1416" w:type="pct"/>
            <w:vAlign w:val="center"/>
          </w:tcPr>
          <w:p w14:paraId="3B9BCE9B" w14:textId="77777777" w:rsidR="00E57DAA" w:rsidRDefault="00AC4185">
            <w:pPr>
              <w:jc w:val="right"/>
              <w:rPr>
                <w:rFonts w:cs="Arial"/>
                <w:szCs w:val="21"/>
              </w:rPr>
            </w:pPr>
            <w:r>
              <w:t>156,664,005.94</w:t>
            </w:r>
          </w:p>
        </w:tc>
      </w:tr>
      <w:tr w:rsidR="00E57DAA" w14:paraId="3D6F9D54" w14:textId="77777777">
        <w:trPr>
          <w:jc w:val="center"/>
        </w:trPr>
        <w:tc>
          <w:tcPr>
            <w:tcW w:w="2344" w:type="pct"/>
            <w:shd w:val="clear" w:color="auto" w:fill="auto"/>
          </w:tcPr>
          <w:p w14:paraId="5911DFA8" w14:textId="77777777" w:rsidR="00E57DAA" w:rsidRDefault="00AC4185">
            <w:pPr>
              <w:rPr>
                <w:rFonts w:cs="Arial"/>
                <w:szCs w:val="21"/>
              </w:rPr>
            </w:pPr>
            <w:r>
              <w:rPr>
                <w:rFonts w:hint="eastAsia"/>
              </w:rPr>
              <w:t>预付款项</w:t>
            </w:r>
          </w:p>
        </w:tc>
        <w:tc>
          <w:tcPr>
            <w:tcW w:w="1240" w:type="pct"/>
            <w:vAlign w:val="center"/>
          </w:tcPr>
          <w:p w14:paraId="1DBE0FCB" w14:textId="77777777" w:rsidR="00E57DAA" w:rsidRDefault="00AC4185">
            <w:pPr>
              <w:jc w:val="right"/>
              <w:rPr>
                <w:rFonts w:cs="Arial"/>
                <w:szCs w:val="21"/>
              </w:rPr>
            </w:pPr>
            <w:r>
              <w:t>222,329,822.84</w:t>
            </w:r>
          </w:p>
        </w:tc>
        <w:tc>
          <w:tcPr>
            <w:tcW w:w="1416" w:type="pct"/>
            <w:vAlign w:val="center"/>
          </w:tcPr>
          <w:p w14:paraId="1F709778" w14:textId="77777777" w:rsidR="00E57DAA" w:rsidRDefault="00AC4185">
            <w:pPr>
              <w:jc w:val="right"/>
              <w:rPr>
                <w:rFonts w:cs="Arial"/>
                <w:szCs w:val="21"/>
              </w:rPr>
            </w:pPr>
            <w:r>
              <w:t>165,778,246.77</w:t>
            </w:r>
          </w:p>
        </w:tc>
      </w:tr>
      <w:tr w:rsidR="00E57DAA" w14:paraId="4BAF3B0A" w14:textId="77777777">
        <w:trPr>
          <w:jc w:val="center"/>
        </w:trPr>
        <w:tc>
          <w:tcPr>
            <w:tcW w:w="2344" w:type="pct"/>
            <w:shd w:val="clear" w:color="auto" w:fill="auto"/>
          </w:tcPr>
          <w:p w14:paraId="7DF364F8" w14:textId="77777777" w:rsidR="00E57DAA" w:rsidRDefault="00AC4185">
            <w:pPr>
              <w:rPr>
                <w:rFonts w:cs="Arial"/>
                <w:szCs w:val="21"/>
              </w:rPr>
            </w:pPr>
            <w:r>
              <w:rPr>
                <w:rFonts w:hint="eastAsia"/>
              </w:rPr>
              <w:t>其他应收款</w:t>
            </w:r>
          </w:p>
        </w:tc>
        <w:tc>
          <w:tcPr>
            <w:tcW w:w="1240" w:type="pct"/>
            <w:vAlign w:val="center"/>
          </w:tcPr>
          <w:p w14:paraId="7D758CE7" w14:textId="77777777" w:rsidR="00E57DAA" w:rsidRDefault="00AC4185">
            <w:pPr>
              <w:jc w:val="right"/>
              <w:rPr>
                <w:rFonts w:cs="Arial"/>
                <w:szCs w:val="21"/>
              </w:rPr>
            </w:pPr>
            <w:r>
              <w:t>66,220,069.68</w:t>
            </w:r>
          </w:p>
        </w:tc>
        <w:tc>
          <w:tcPr>
            <w:tcW w:w="1416" w:type="pct"/>
            <w:vAlign w:val="center"/>
          </w:tcPr>
          <w:p w14:paraId="21AB8237" w14:textId="77777777" w:rsidR="00E57DAA" w:rsidRDefault="00AC4185">
            <w:pPr>
              <w:jc w:val="right"/>
              <w:rPr>
                <w:rFonts w:cs="Arial"/>
                <w:szCs w:val="21"/>
              </w:rPr>
            </w:pPr>
            <w:r>
              <w:t>41,500,529.81</w:t>
            </w:r>
          </w:p>
        </w:tc>
      </w:tr>
      <w:tr w:rsidR="00E57DAA" w14:paraId="68A1D8F7" w14:textId="77777777">
        <w:trPr>
          <w:trHeight w:val="65"/>
          <w:jc w:val="center"/>
        </w:trPr>
        <w:tc>
          <w:tcPr>
            <w:tcW w:w="2344" w:type="pct"/>
            <w:shd w:val="clear" w:color="auto" w:fill="auto"/>
          </w:tcPr>
          <w:p w14:paraId="1C78DE47" w14:textId="77777777" w:rsidR="00E57DAA" w:rsidRDefault="00AC4185">
            <w:pPr>
              <w:rPr>
                <w:rFonts w:cs="Arial"/>
                <w:szCs w:val="21"/>
              </w:rPr>
            </w:pPr>
            <w:r>
              <w:rPr>
                <w:rFonts w:cs="Arial" w:hint="eastAsia"/>
                <w:szCs w:val="21"/>
              </w:rPr>
              <w:t>存货</w:t>
            </w:r>
          </w:p>
        </w:tc>
        <w:tc>
          <w:tcPr>
            <w:tcW w:w="1240" w:type="pct"/>
            <w:vAlign w:val="center"/>
          </w:tcPr>
          <w:p w14:paraId="63F415FE" w14:textId="77777777" w:rsidR="00E57DAA" w:rsidRDefault="00AC4185">
            <w:pPr>
              <w:spacing w:line="276" w:lineRule="auto"/>
              <w:jc w:val="right"/>
              <w:rPr>
                <w:rFonts w:cs="Arial"/>
                <w:szCs w:val="21"/>
              </w:rPr>
            </w:pPr>
            <w:r>
              <w:t>682,345,162.18</w:t>
            </w:r>
          </w:p>
        </w:tc>
        <w:tc>
          <w:tcPr>
            <w:tcW w:w="1416" w:type="pct"/>
            <w:vAlign w:val="center"/>
          </w:tcPr>
          <w:p w14:paraId="25FCA710" w14:textId="77777777" w:rsidR="00E57DAA" w:rsidRDefault="00AC4185">
            <w:pPr>
              <w:spacing w:line="276" w:lineRule="auto"/>
              <w:jc w:val="right"/>
              <w:rPr>
                <w:rFonts w:cs="Arial"/>
                <w:szCs w:val="21"/>
              </w:rPr>
            </w:pPr>
            <w:r>
              <w:t>594,954,276.81</w:t>
            </w:r>
          </w:p>
        </w:tc>
      </w:tr>
      <w:tr w:rsidR="00E57DAA" w14:paraId="660786F4" w14:textId="77777777">
        <w:trPr>
          <w:jc w:val="center"/>
        </w:trPr>
        <w:tc>
          <w:tcPr>
            <w:tcW w:w="2344" w:type="pct"/>
            <w:shd w:val="clear" w:color="auto" w:fill="auto"/>
          </w:tcPr>
          <w:p w14:paraId="240D78DD" w14:textId="77777777" w:rsidR="00E57DAA" w:rsidRDefault="00AC4185">
            <w:pPr>
              <w:rPr>
                <w:rFonts w:cs="Arial"/>
                <w:szCs w:val="21"/>
              </w:rPr>
            </w:pPr>
            <w:r>
              <w:rPr>
                <w:rFonts w:cs="Arial"/>
                <w:szCs w:val="21"/>
              </w:rPr>
              <w:t>合同资产</w:t>
            </w:r>
          </w:p>
        </w:tc>
        <w:tc>
          <w:tcPr>
            <w:tcW w:w="1240" w:type="pct"/>
            <w:vAlign w:val="center"/>
          </w:tcPr>
          <w:p w14:paraId="33E276CD" w14:textId="77777777" w:rsidR="00E57DAA" w:rsidRDefault="00AC4185">
            <w:pPr>
              <w:jc w:val="right"/>
              <w:rPr>
                <w:rFonts w:cs="Arial"/>
                <w:szCs w:val="21"/>
              </w:rPr>
            </w:pPr>
            <w:r>
              <w:t>751,181,113.16</w:t>
            </w:r>
          </w:p>
        </w:tc>
        <w:tc>
          <w:tcPr>
            <w:tcW w:w="1416" w:type="pct"/>
            <w:vAlign w:val="center"/>
          </w:tcPr>
          <w:p w14:paraId="11F45903" w14:textId="77777777" w:rsidR="00E57DAA" w:rsidRDefault="00AC4185">
            <w:pPr>
              <w:jc w:val="right"/>
              <w:rPr>
                <w:rFonts w:cs="Arial"/>
                <w:szCs w:val="21"/>
              </w:rPr>
            </w:pPr>
            <w:r>
              <w:t>785,511,286.59</w:t>
            </w:r>
          </w:p>
        </w:tc>
      </w:tr>
      <w:tr w:rsidR="00E57DAA" w14:paraId="3147672A" w14:textId="77777777">
        <w:trPr>
          <w:jc w:val="center"/>
        </w:trPr>
        <w:tc>
          <w:tcPr>
            <w:tcW w:w="2344" w:type="pct"/>
            <w:shd w:val="clear" w:color="auto" w:fill="auto"/>
          </w:tcPr>
          <w:p w14:paraId="49D127B1" w14:textId="77777777" w:rsidR="00E57DAA" w:rsidRDefault="00AC4185">
            <w:pPr>
              <w:rPr>
                <w:rFonts w:cs="Arial"/>
                <w:szCs w:val="21"/>
              </w:rPr>
            </w:pPr>
            <w:r>
              <w:rPr>
                <w:rFonts w:cs="Arial"/>
                <w:szCs w:val="21"/>
              </w:rPr>
              <w:t>一年内到期的非流动资产</w:t>
            </w:r>
          </w:p>
        </w:tc>
        <w:tc>
          <w:tcPr>
            <w:tcW w:w="1240" w:type="pct"/>
            <w:vAlign w:val="center"/>
          </w:tcPr>
          <w:p w14:paraId="77EC7E19" w14:textId="77777777" w:rsidR="00E57DAA" w:rsidRDefault="00AC4185">
            <w:pPr>
              <w:jc w:val="right"/>
              <w:rPr>
                <w:rFonts w:cs="Arial"/>
                <w:szCs w:val="21"/>
              </w:rPr>
            </w:pPr>
            <w:r>
              <w:t>123,883,920.85</w:t>
            </w:r>
          </w:p>
        </w:tc>
        <w:tc>
          <w:tcPr>
            <w:tcW w:w="1416" w:type="pct"/>
            <w:vAlign w:val="center"/>
          </w:tcPr>
          <w:p w14:paraId="46AE8C41" w14:textId="77777777" w:rsidR="00E57DAA" w:rsidRDefault="00AC4185">
            <w:pPr>
              <w:jc w:val="right"/>
              <w:rPr>
                <w:rFonts w:cs="Arial"/>
                <w:szCs w:val="21"/>
              </w:rPr>
            </w:pPr>
            <w:r>
              <w:t>125,526,720.85</w:t>
            </w:r>
          </w:p>
        </w:tc>
      </w:tr>
      <w:tr w:rsidR="00E57DAA" w14:paraId="649343E2" w14:textId="77777777">
        <w:trPr>
          <w:jc w:val="center"/>
        </w:trPr>
        <w:tc>
          <w:tcPr>
            <w:tcW w:w="2344" w:type="pct"/>
            <w:shd w:val="clear" w:color="auto" w:fill="auto"/>
          </w:tcPr>
          <w:p w14:paraId="1B4D9006" w14:textId="77777777" w:rsidR="00E57DAA" w:rsidRDefault="00AC4185">
            <w:pPr>
              <w:rPr>
                <w:rFonts w:cs="Arial"/>
                <w:szCs w:val="21"/>
              </w:rPr>
            </w:pPr>
            <w:r>
              <w:rPr>
                <w:rFonts w:cs="Arial"/>
                <w:szCs w:val="21"/>
              </w:rPr>
              <w:t>其他流动资产</w:t>
            </w:r>
          </w:p>
        </w:tc>
        <w:tc>
          <w:tcPr>
            <w:tcW w:w="1240" w:type="pct"/>
            <w:vAlign w:val="center"/>
          </w:tcPr>
          <w:p w14:paraId="099B00E3" w14:textId="77777777" w:rsidR="00E57DAA" w:rsidRDefault="00AC4185">
            <w:pPr>
              <w:jc w:val="right"/>
              <w:rPr>
                <w:rFonts w:cs="Arial"/>
                <w:szCs w:val="21"/>
              </w:rPr>
            </w:pPr>
            <w:r>
              <w:t>12,708,484.92</w:t>
            </w:r>
          </w:p>
        </w:tc>
        <w:tc>
          <w:tcPr>
            <w:tcW w:w="1416" w:type="pct"/>
            <w:vAlign w:val="center"/>
          </w:tcPr>
          <w:p w14:paraId="1A7DBB9D" w14:textId="77777777" w:rsidR="00E57DAA" w:rsidRDefault="00AC4185">
            <w:pPr>
              <w:jc w:val="right"/>
              <w:rPr>
                <w:rFonts w:cs="Arial"/>
                <w:szCs w:val="21"/>
              </w:rPr>
            </w:pPr>
            <w:r>
              <w:t>10,761,640.79</w:t>
            </w:r>
          </w:p>
        </w:tc>
      </w:tr>
      <w:tr w:rsidR="00E57DAA" w14:paraId="49351509" w14:textId="77777777">
        <w:trPr>
          <w:jc w:val="center"/>
        </w:trPr>
        <w:tc>
          <w:tcPr>
            <w:tcW w:w="2344" w:type="pct"/>
            <w:shd w:val="clear" w:color="auto" w:fill="auto"/>
          </w:tcPr>
          <w:p w14:paraId="00A02ABE" w14:textId="77777777" w:rsidR="00E57DAA" w:rsidRDefault="00AC4185">
            <w:pPr>
              <w:rPr>
                <w:rFonts w:cs="Arial"/>
                <w:szCs w:val="21"/>
              </w:rPr>
            </w:pPr>
            <w:r>
              <w:rPr>
                <w:rFonts w:cs="Arial"/>
                <w:szCs w:val="21"/>
              </w:rPr>
              <w:t>长期应收款</w:t>
            </w:r>
          </w:p>
        </w:tc>
        <w:tc>
          <w:tcPr>
            <w:tcW w:w="1240" w:type="pct"/>
            <w:vAlign w:val="center"/>
          </w:tcPr>
          <w:p w14:paraId="1B94753F" w14:textId="77777777" w:rsidR="00E57DAA" w:rsidRDefault="00AC4185">
            <w:pPr>
              <w:jc w:val="right"/>
              <w:rPr>
                <w:rFonts w:cs="Arial"/>
                <w:szCs w:val="21"/>
              </w:rPr>
            </w:pPr>
            <w:r>
              <w:t>78,843,346.79</w:t>
            </w:r>
          </w:p>
        </w:tc>
        <w:tc>
          <w:tcPr>
            <w:tcW w:w="1416" w:type="pct"/>
            <w:vAlign w:val="center"/>
          </w:tcPr>
          <w:p w14:paraId="2962AA89" w14:textId="77777777" w:rsidR="00E57DAA" w:rsidRDefault="00AC4185">
            <w:pPr>
              <w:jc w:val="right"/>
              <w:rPr>
                <w:rFonts w:cs="Arial"/>
                <w:szCs w:val="21"/>
              </w:rPr>
            </w:pPr>
            <w:r>
              <w:t>78,782,072.37</w:t>
            </w:r>
          </w:p>
        </w:tc>
      </w:tr>
      <w:tr w:rsidR="00E57DAA" w14:paraId="67334ED7" w14:textId="77777777">
        <w:trPr>
          <w:jc w:val="center"/>
        </w:trPr>
        <w:tc>
          <w:tcPr>
            <w:tcW w:w="2344" w:type="pct"/>
            <w:shd w:val="clear" w:color="auto" w:fill="auto"/>
          </w:tcPr>
          <w:p w14:paraId="1474D280" w14:textId="77777777" w:rsidR="00E57DAA" w:rsidRDefault="00AC4185">
            <w:pPr>
              <w:rPr>
                <w:rFonts w:cs="Arial"/>
                <w:szCs w:val="21"/>
              </w:rPr>
            </w:pPr>
            <w:r>
              <w:rPr>
                <w:rFonts w:cs="Arial"/>
                <w:szCs w:val="21"/>
              </w:rPr>
              <w:t>长期股权投资</w:t>
            </w:r>
          </w:p>
        </w:tc>
        <w:tc>
          <w:tcPr>
            <w:tcW w:w="1240" w:type="pct"/>
            <w:vAlign w:val="center"/>
          </w:tcPr>
          <w:p w14:paraId="60BC3A96" w14:textId="77777777" w:rsidR="00E57DAA" w:rsidRDefault="00AC4185">
            <w:pPr>
              <w:jc w:val="right"/>
              <w:rPr>
                <w:rFonts w:cs="Arial"/>
                <w:szCs w:val="21"/>
              </w:rPr>
            </w:pPr>
            <w:r>
              <w:t>27,406,907.03</w:t>
            </w:r>
          </w:p>
        </w:tc>
        <w:tc>
          <w:tcPr>
            <w:tcW w:w="1416" w:type="pct"/>
            <w:vAlign w:val="center"/>
          </w:tcPr>
          <w:p w14:paraId="30206E46" w14:textId="77777777" w:rsidR="00E57DAA" w:rsidRDefault="00AC4185">
            <w:pPr>
              <w:jc w:val="right"/>
              <w:rPr>
                <w:rFonts w:cs="Arial"/>
                <w:szCs w:val="21"/>
              </w:rPr>
            </w:pPr>
            <w:r>
              <w:t>29,354,285.17</w:t>
            </w:r>
          </w:p>
        </w:tc>
      </w:tr>
      <w:tr w:rsidR="00E57DAA" w14:paraId="539ED1C7" w14:textId="77777777">
        <w:trPr>
          <w:jc w:val="center"/>
        </w:trPr>
        <w:tc>
          <w:tcPr>
            <w:tcW w:w="2344" w:type="pct"/>
            <w:shd w:val="clear" w:color="auto" w:fill="auto"/>
          </w:tcPr>
          <w:p w14:paraId="36647F06" w14:textId="77777777" w:rsidR="00E57DAA" w:rsidRDefault="00AC4185">
            <w:pPr>
              <w:rPr>
                <w:rFonts w:cs="Arial"/>
                <w:szCs w:val="21"/>
              </w:rPr>
            </w:pPr>
            <w:r>
              <w:rPr>
                <w:rFonts w:cs="Arial"/>
                <w:szCs w:val="21"/>
              </w:rPr>
              <w:t>投资性房地产</w:t>
            </w:r>
          </w:p>
        </w:tc>
        <w:tc>
          <w:tcPr>
            <w:tcW w:w="1240" w:type="pct"/>
            <w:vAlign w:val="center"/>
          </w:tcPr>
          <w:p w14:paraId="4869D8C1" w14:textId="77777777" w:rsidR="00E57DAA" w:rsidRDefault="00AC4185">
            <w:pPr>
              <w:jc w:val="right"/>
              <w:rPr>
                <w:rFonts w:cs="Arial"/>
                <w:szCs w:val="21"/>
              </w:rPr>
            </w:pPr>
            <w:r>
              <w:t>6,269,216.38</w:t>
            </w:r>
          </w:p>
        </w:tc>
        <w:tc>
          <w:tcPr>
            <w:tcW w:w="1416" w:type="pct"/>
            <w:vAlign w:val="center"/>
          </w:tcPr>
          <w:p w14:paraId="1FAD3A35" w14:textId="77777777" w:rsidR="00E57DAA" w:rsidRDefault="00AC4185">
            <w:pPr>
              <w:jc w:val="right"/>
              <w:rPr>
                <w:rFonts w:cs="Arial"/>
                <w:szCs w:val="21"/>
              </w:rPr>
            </w:pPr>
            <w:r>
              <w:t>6,286,578.57</w:t>
            </w:r>
          </w:p>
        </w:tc>
      </w:tr>
      <w:tr w:rsidR="00E57DAA" w14:paraId="561C6E92" w14:textId="77777777">
        <w:trPr>
          <w:jc w:val="center"/>
        </w:trPr>
        <w:tc>
          <w:tcPr>
            <w:tcW w:w="2344" w:type="pct"/>
            <w:shd w:val="clear" w:color="auto" w:fill="auto"/>
          </w:tcPr>
          <w:p w14:paraId="0EE2A6EC" w14:textId="77777777" w:rsidR="00E57DAA" w:rsidRDefault="00AC4185">
            <w:pPr>
              <w:rPr>
                <w:rFonts w:cs="Arial"/>
                <w:szCs w:val="21"/>
              </w:rPr>
            </w:pPr>
            <w:r>
              <w:rPr>
                <w:rFonts w:cs="Arial" w:hint="eastAsia"/>
                <w:szCs w:val="21"/>
              </w:rPr>
              <w:t>固定资产</w:t>
            </w:r>
          </w:p>
        </w:tc>
        <w:tc>
          <w:tcPr>
            <w:tcW w:w="1240" w:type="pct"/>
            <w:vAlign w:val="center"/>
          </w:tcPr>
          <w:p w14:paraId="282A673B" w14:textId="77777777" w:rsidR="00E57DAA" w:rsidRDefault="00AC4185">
            <w:pPr>
              <w:spacing w:line="276" w:lineRule="auto"/>
              <w:jc w:val="right"/>
              <w:rPr>
                <w:rFonts w:cs="Arial"/>
                <w:szCs w:val="21"/>
              </w:rPr>
            </w:pPr>
            <w:r>
              <w:t>648,523,721.53</w:t>
            </w:r>
          </w:p>
        </w:tc>
        <w:tc>
          <w:tcPr>
            <w:tcW w:w="1416" w:type="pct"/>
            <w:vAlign w:val="center"/>
          </w:tcPr>
          <w:p w14:paraId="7DC6FE73" w14:textId="77777777" w:rsidR="00E57DAA" w:rsidRDefault="00AC4185">
            <w:pPr>
              <w:spacing w:line="276" w:lineRule="auto"/>
              <w:jc w:val="right"/>
              <w:rPr>
                <w:rFonts w:cs="Arial"/>
                <w:szCs w:val="21"/>
              </w:rPr>
            </w:pPr>
            <w:r>
              <w:t>650,924,161.85</w:t>
            </w:r>
          </w:p>
        </w:tc>
      </w:tr>
      <w:tr w:rsidR="00E57DAA" w14:paraId="760C850B" w14:textId="77777777">
        <w:trPr>
          <w:jc w:val="center"/>
        </w:trPr>
        <w:tc>
          <w:tcPr>
            <w:tcW w:w="2344" w:type="pct"/>
            <w:shd w:val="clear" w:color="auto" w:fill="auto"/>
          </w:tcPr>
          <w:p w14:paraId="1BCACD5A" w14:textId="77777777" w:rsidR="00E57DAA" w:rsidRDefault="00AC4185">
            <w:pPr>
              <w:rPr>
                <w:rFonts w:cs="Arial"/>
                <w:szCs w:val="21"/>
              </w:rPr>
            </w:pPr>
            <w:r>
              <w:rPr>
                <w:rFonts w:hint="eastAsia"/>
              </w:rPr>
              <w:t>在建工程</w:t>
            </w:r>
          </w:p>
        </w:tc>
        <w:tc>
          <w:tcPr>
            <w:tcW w:w="1240" w:type="pct"/>
            <w:vAlign w:val="center"/>
          </w:tcPr>
          <w:p w14:paraId="4E34C844" w14:textId="77777777" w:rsidR="00E57DAA" w:rsidRDefault="00AC4185">
            <w:pPr>
              <w:jc w:val="right"/>
              <w:rPr>
                <w:rFonts w:cs="Arial"/>
                <w:szCs w:val="21"/>
              </w:rPr>
            </w:pPr>
            <w:r>
              <w:t>347,694,876.21</w:t>
            </w:r>
          </w:p>
        </w:tc>
        <w:tc>
          <w:tcPr>
            <w:tcW w:w="1416" w:type="pct"/>
            <w:vAlign w:val="center"/>
          </w:tcPr>
          <w:p w14:paraId="59F3B8FC" w14:textId="77777777" w:rsidR="00E57DAA" w:rsidRDefault="00AC4185">
            <w:pPr>
              <w:jc w:val="right"/>
              <w:rPr>
                <w:rFonts w:cs="Arial"/>
                <w:szCs w:val="21"/>
              </w:rPr>
            </w:pPr>
            <w:r>
              <w:t>277,883,381.69</w:t>
            </w:r>
          </w:p>
        </w:tc>
      </w:tr>
      <w:tr w:rsidR="00E57DAA" w14:paraId="01313789" w14:textId="77777777">
        <w:trPr>
          <w:jc w:val="center"/>
        </w:trPr>
        <w:tc>
          <w:tcPr>
            <w:tcW w:w="2344" w:type="pct"/>
            <w:shd w:val="clear" w:color="auto" w:fill="auto"/>
          </w:tcPr>
          <w:p w14:paraId="5958ED9B" w14:textId="77777777" w:rsidR="00E57DAA" w:rsidRDefault="00AC4185">
            <w:pPr>
              <w:rPr>
                <w:rFonts w:cs="Arial"/>
                <w:szCs w:val="21"/>
              </w:rPr>
            </w:pPr>
            <w:r>
              <w:rPr>
                <w:rFonts w:hint="eastAsia"/>
              </w:rPr>
              <w:t>使用权资产</w:t>
            </w:r>
          </w:p>
        </w:tc>
        <w:tc>
          <w:tcPr>
            <w:tcW w:w="1240" w:type="pct"/>
            <w:vAlign w:val="center"/>
          </w:tcPr>
          <w:p w14:paraId="43A041D4" w14:textId="77777777" w:rsidR="00E57DAA" w:rsidRDefault="00AC4185">
            <w:pPr>
              <w:jc w:val="right"/>
              <w:rPr>
                <w:rFonts w:cs="Arial"/>
                <w:szCs w:val="21"/>
              </w:rPr>
            </w:pPr>
            <w:r>
              <w:t>2,460,994.10</w:t>
            </w:r>
          </w:p>
        </w:tc>
        <w:tc>
          <w:tcPr>
            <w:tcW w:w="1416" w:type="pct"/>
            <w:vAlign w:val="center"/>
          </w:tcPr>
          <w:p w14:paraId="760A38C8" w14:textId="77777777" w:rsidR="00E57DAA" w:rsidRDefault="00AC4185">
            <w:pPr>
              <w:jc w:val="right"/>
              <w:rPr>
                <w:rFonts w:cs="Arial"/>
                <w:szCs w:val="21"/>
              </w:rPr>
            </w:pPr>
            <w:r>
              <w:t>2,610,717.72</w:t>
            </w:r>
          </w:p>
        </w:tc>
      </w:tr>
      <w:tr w:rsidR="00E57DAA" w14:paraId="5F479800" w14:textId="77777777">
        <w:trPr>
          <w:trHeight w:val="65"/>
          <w:jc w:val="center"/>
        </w:trPr>
        <w:tc>
          <w:tcPr>
            <w:tcW w:w="2344" w:type="pct"/>
            <w:shd w:val="clear" w:color="auto" w:fill="auto"/>
          </w:tcPr>
          <w:p w14:paraId="582C4561" w14:textId="77777777" w:rsidR="00E57DAA" w:rsidRDefault="00AC4185">
            <w:pPr>
              <w:rPr>
                <w:rFonts w:cs="Arial"/>
                <w:szCs w:val="21"/>
              </w:rPr>
            </w:pPr>
            <w:r>
              <w:rPr>
                <w:rFonts w:cs="Arial" w:hint="eastAsia"/>
                <w:szCs w:val="21"/>
              </w:rPr>
              <w:t>无形资产</w:t>
            </w:r>
          </w:p>
        </w:tc>
        <w:tc>
          <w:tcPr>
            <w:tcW w:w="1240" w:type="pct"/>
            <w:vAlign w:val="center"/>
          </w:tcPr>
          <w:p w14:paraId="356E8670" w14:textId="77777777" w:rsidR="00E57DAA" w:rsidRDefault="00AC4185">
            <w:pPr>
              <w:spacing w:line="276" w:lineRule="auto"/>
              <w:jc w:val="right"/>
              <w:rPr>
                <w:rFonts w:cs="Arial"/>
                <w:szCs w:val="21"/>
              </w:rPr>
            </w:pPr>
            <w:r>
              <w:t>284,308,786.77</w:t>
            </w:r>
          </w:p>
        </w:tc>
        <w:tc>
          <w:tcPr>
            <w:tcW w:w="1416" w:type="pct"/>
            <w:vAlign w:val="center"/>
          </w:tcPr>
          <w:p w14:paraId="6C2840B7" w14:textId="77777777" w:rsidR="00E57DAA" w:rsidRDefault="00AC4185">
            <w:pPr>
              <w:spacing w:line="276" w:lineRule="auto"/>
              <w:jc w:val="right"/>
              <w:rPr>
                <w:rFonts w:cs="Arial"/>
                <w:szCs w:val="21"/>
              </w:rPr>
            </w:pPr>
            <w:r>
              <w:t>280,834,742.82</w:t>
            </w:r>
          </w:p>
        </w:tc>
      </w:tr>
      <w:tr w:rsidR="00E57DAA" w14:paraId="7396D100" w14:textId="77777777">
        <w:trPr>
          <w:jc w:val="center"/>
        </w:trPr>
        <w:tc>
          <w:tcPr>
            <w:tcW w:w="2344" w:type="pct"/>
            <w:shd w:val="clear" w:color="auto" w:fill="auto"/>
          </w:tcPr>
          <w:p w14:paraId="589F2B04" w14:textId="77777777" w:rsidR="00E57DAA" w:rsidRDefault="00AC4185">
            <w:pPr>
              <w:rPr>
                <w:rFonts w:cs="Arial"/>
                <w:szCs w:val="21"/>
              </w:rPr>
            </w:pPr>
            <w:r>
              <w:rPr>
                <w:rFonts w:hint="eastAsia"/>
              </w:rPr>
              <w:t>商誉</w:t>
            </w:r>
          </w:p>
        </w:tc>
        <w:tc>
          <w:tcPr>
            <w:tcW w:w="1240" w:type="pct"/>
            <w:vAlign w:val="center"/>
          </w:tcPr>
          <w:p w14:paraId="6D420B52" w14:textId="77777777" w:rsidR="00E57DAA" w:rsidRDefault="00AC4185">
            <w:pPr>
              <w:jc w:val="right"/>
              <w:rPr>
                <w:rFonts w:cs="Arial"/>
                <w:szCs w:val="21"/>
              </w:rPr>
            </w:pPr>
            <w:r>
              <w:t>20,455,872.09</w:t>
            </w:r>
          </w:p>
        </w:tc>
        <w:tc>
          <w:tcPr>
            <w:tcW w:w="1416" w:type="pct"/>
            <w:vAlign w:val="center"/>
          </w:tcPr>
          <w:p w14:paraId="19B944F3" w14:textId="77777777" w:rsidR="00E57DAA" w:rsidRDefault="00AC4185">
            <w:pPr>
              <w:jc w:val="right"/>
              <w:rPr>
                <w:rFonts w:cs="Arial"/>
                <w:szCs w:val="21"/>
              </w:rPr>
            </w:pPr>
            <w:r>
              <w:t>20,455,872.09</w:t>
            </w:r>
          </w:p>
        </w:tc>
      </w:tr>
      <w:tr w:rsidR="00E57DAA" w14:paraId="1B34AA73" w14:textId="77777777">
        <w:trPr>
          <w:jc w:val="center"/>
        </w:trPr>
        <w:tc>
          <w:tcPr>
            <w:tcW w:w="2344" w:type="pct"/>
            <w:shd w:val="clear" w:color="auto" w:fill="auto"/>
          </w:tcPr>
          <w:p w14:paraId="7BDCEC13" w14:textId="77777777" w:rsidR="00E57DAA" w:rsidRDefault="00AC4185">
            <w:pPr>
              <w:rPr>
                <w:rFonts w:cs="Arial"/>
                <w:szCs w:val="21"/>
              </w:rPr>
            </w:pPr>
            <w:r>
              <w:rPr>
                <w:rFonts w:hint="eastAsia"/>
              </w:rPr>
              <w:t>长期待摊费用</w:t>
            </w:r>
          </w:p>
        </w:tc>
        <w:tc>
          <w:tcPr>
            <w:tcW w:w="1240" w:type="pct"/>
            <w:vAlign w:val="center"/>
          </w:tcPr>
          <w:p w14:paraId="65599780" w14:textId="77777777" w:rsidR="00E57DAA" w:rsidRDefault="00AC4185">
            <w:pPr>
              <w:jc w:val="right"/>
              <w:rPr>
                <w:rFonts w:cs="Arial"/>
                <w:szCs w:val="21"/>
              </w:rPr>
            </w:pPr>
            <w:r>
              <w:t>534,345.98</w:t>
            </w:r>
          </w:p>
        </w:tc>
        <w:tc>
          <w:tcPr>
            <w:tcW w:w="1416" w:type="pct"/>
            <w:vAlign w:val="center"/>
          </w:tcPr>
          <w:p w14:paraId="3915FA6B" w14:textId="77777777" w:rsidR="00E57DAA" w:rsidRDefault="00AC4185">
            <w:pPr>
              <w:jc w:val="right"/>
              <w:rPr>
                <w:rFonts w:cs="Arial"/>
                <w:szCs w:val="21"/>
              </w:rPr>
            </w:pPr>
            <w:r>
              <w:t>556,610.40</w:t>
            </w:r>
          </w:p>
        </w:tc>
      </w:tr>
      <w:tr w:rsidR="00E57DAA" w14:paraId="00BDCFCF" w14:textId="77777777">
        <w:trPr>
          <w:jc w:val="center"/>
        </w:trPr>
        <w:tc>
          <w:tcPr>
            <w:tcW w:w="2344" w:type="pct"/>
            <w:shd w:val="clear" w:color="auto" w:fill="auto"/>
          </w:tcPr>
          <w:p w14:paraId="4E7BAD82" w14:textId="77777777" w:rsidR="00E57DAA" w:rsidRDefault="00AC4185">
            <w:pPr>
              <w:rPr>
                <w:rFonts w:cs="Arial"/>
                <w:szCs w:val="21"/>
              </w:rPr>
            </w:pPr>
            <w:r>
              <w:rPr>
                <w:rFonts w:hint="eastAsia"/>
              </w:rPr>
              <w:t>递延所得税资产</w:t>
            </w:r>
          </w:p>
        </w:tc>
        <w:tc>
          <w:tcPr>
            <w:tcW w:w="1240" w:type="pct"/>
            <w:vAlign w:val="center"/>
          </w:tcPr>
          <w:p w14:paraId="79BC22C0" w14:textId="77777777" w:rsidR="00E57DAA" w:rsidRDefault="00AC4185">
            <w:pPr>
              <w:jc w:val="right"/>
              <w:rPr>
                <w:rFonts w:cs="Arial"/>
                <w:szCs w:val="21"/>
              </w:rPr>
            </w:pPr>
            <w:r>
              <w:t>56,268,170.03</w:t>
            </w:r>
          </w:p>
        </w:tc>
        <w:tc>
          <w:tcPr>
            <w:tcW w:w="1416" w:type="pct"/>
            <w:vAlign w:val="center"/>
          </w:tcPr>
          <w:p w14:paraId="418E0760" w14:textId="77777777" w:rsidR="00E57DAA" w:rsidRDefault="00AC4185">
            <w:pPr>
              <w:jc w:val="right"/>
              <w:rPr>
                <w:rFonts w:cs="Arial"/>
                <w:szCs w:val="21"/>
              </w:rPr>
            </w:pPr>
            <w:r>
              <w:t>57,515,398.67</w:t>
            </w:r>
          </w:p>
        </w:tc>
      </w:tr>
      <w:tr w:rsidR="00E57DAA" w14:paraId="5E931419" w14:textId="77777777">
        <w:trPr>
          <w:jc w:val="center"/>
        </w:trPr>
        <w:tc>
          <w:tcPr>
            <w:tcW w:w="2344" w:type="pct"/>
            <w:shd w:val="clear" w:color="auto" w:fill="auto"/>
          </w:tcPr>
          <w:p w14:paraId="0CD9FB30" w14:textId="77777777" w:rsidR="00E57DAA" w:rsidRDefault="00AC4185">
            <w:pPr>
              <w:rPr>
                <w:rFonts w:cs="Arial"/>
                <w:szCs w:val="21"/>
              </w:rPr>
            </w:pPr>
            <w:r>
              <w:rPr>
                <w:rFonts w:hint="eastAsia"/>
              </w:rPr>
              <w:t>其他非流动资产</w:t>
            </w:r>
          </w:p>
        </w:tc>
        <w:tc>
          <w:tcPr>
            <w:tcW w:w="1240" w:type="pct"/>
            <w:vAlign w:val="center"/>
          </w:tcPr>
          <w:p w14:paraId="218622C1" w14:textId="77777777" w:rsidR="00E57DAA" w:rsidRDefault="00AC4185">
            <w:pPr>
              <w:jc w:val="right"/>
              <w:rPr>
                <w:rFonts w:cs="Arial"/>
                <w:szCs w:val="21"/>
              </w:rPr>
            </w:pPr>
            <w:r>
              <w:t>756,698,442.83</w:t>
            </w:r>
          </w:p>
        </w:tc>
        <w:tc>
          <w:tcPr>
            <w:tcW w:w="1416" w:type="pct"/>
            <w:vAlign w:val="center"/>
          </w:tcPr>
          <w:p w14:paraId="31EFFB93" w14:textId="77777777" w:rsidR="00E57DAA" w:rsidRDefault="00AC4185">
            <w:pPr>
              <w:jc w:val="right"/>
              <w:rPr>
                <w:rFonts w:cs="Arial"/>
                <w:szCs w:val="21"/>
              </w:rPr>
            </w:pPr>
            <w:r>
              <w:t>788,334,194.22</w:t>
            </w:r>
          </w:p>
        </w:tc>
      </w:tr>
      <w:tr w:rsidR="00E57DAA" w14:paraId="16E5A1E0" w14:textId="77777777">
        <w:trPr>
          <w:jc w:val="center"/>
        </w:trPr>
        <w:tc>
          <w:tcPr>
            <w:tcW w:w="2344" w:type="pct"/>
            <w:shd w:val="clear" w:color="auto" w:fill="auto"/>
          </w:tcPr>
          <w:p w14:paraId="4B76F589" w14:textId="77777777" w:rsidR="00E57DAA" w:rsidRDefault="00AC4185">
            <w:pPr>
              <w:rPr>
                <w:rFonts w:cs="Arial"/>
                <w:color w:val="000000"/>
                <w:szCs w:val="21"/>
              </w:rPr>
            </w:pPr>
            <w:r>
              <w:rPr>
                <w:rFonts w:cs="Arial" w:hint="eastAsia"/>
                <w:color w:val="000000"/>
                <w:szCs w:val="21"/>
                <w:lang w:val="en-GB"/>
              </w:rPr>
              <w:t>负债:</w:t>
            </w:r>
          </w:p>
        </w:tc>
        <w:tc>
          <w:tcPr>
            <w:tcW w:w="1240" w:type="pct"/>
            <w:vAlign w:val="center"/>
          </w:tcPr>
          <w:p w14:paraId="2DB660E3" w14:textId="77777777" w:rsidR="00E57DAA" w:rsidRDefault="00AC4185">
            <w:pPr>
              <w:jc w:val="right"/>
              <w:rPr>
                <w:rFonts w:cs="Arial"/>
                <w:szCs w:val="21"/>
              </w:rPr>
            </w:pPr>
            <w:r>
              <w:t>3,406,063,830.25</w:t>
            </w:r>
          </w:p>
        </w:tc>
        <w:tc>
          <w:tcPr>
            <w:tcW w:w="1416" w:type="pct"/>
            <w:vAlign w:val="center"/>
          </w:tcPr>
          <w:p w14:paraId="48AFAF51" w14:textId="77777777" w:rsidR="00E57DAA" w:rsidRDefault="00AC4185">
            <w:pPr>
              <w:jc w:val="right"/>
              <w:rPr>
                <w:rFonts w:cs="Arial"/>
                <w:szCs w:val="21"/>
              </w:rPr>
            </w:pPr>
            <w:r>
              <w:t>3,308,740,507.01</w:t>
            </w:r>
          </w:p>
        </w:tc>
      </w:tr>
      <w:tr w:rsidR="00E57DAA" w14:paraId="4EF03CEE" w14:textId="77777777">
        <w:trPr>
          <w:jc w:val="center"/>
        </w:trPr>
        <w:tc>
          <w:tcPr>
            <w:tcW w:w="2344" w:type="pct"/>
            <w:shd w:val="clear" w:color="auto" w:fill="auto"/>
          </w:tcPr>
          <w:p w14:paraId="027FD3FD" w14:textId="77777777" w:rsidR="00E57DAA" w:rsidRDefault="00AC4185">
            <w:pPr>
              <w:rPr>
                <w:rFonts w:cs="Arial"/>
                <w:szCs w:val="21"/>
              </w:rPr>
            </w:pPr>
            <w:r>
              <w:rPr>
                <w:rFonts w:hint="eastAsia"/>
              </w:rPr>
              <w:t>短期借款 </w:t>
            </w:r>
          </w:p>
        </w:tc>
        <w:tc>
          <w:tcPr>
            <w:tcW w:w="1240" w:type="pct"/>
          </w:tcPr>
          <w:p w14:paraId="7CF43A91" w14:textId="77777777" w:rsidR="00E57DAA" w:rsidRDefault="00AC4185">
            <w:pPr>
              <w:jc w:val="right"/>
              <w:rPr>
                <w:rFonts w:cs="Arial"/>
                <w:szCs w:val="21"/>
              </w:rPr>
            </w:pPr>
            <w:r>
              <w:rPr>
                <w:rFonts w:hint="eastAsia"/>
              </w:rPr>
              <w:t>64,800,000.00</w:t>
            </w:r>
          </w:p>
        </w:tc>
        <w:tc>
          <w:tcPr>
            <w:tcW w:w="1416" w:type="pct"/>
          </w:tcPr>
          <w:p w14:paraId="4077CC95" w14:textId="77777777" w:rsidR="00E57DAA" w:rsidRDefault="00AC4185">
            <w:pPr>
              <w:jc w:val="right"/>
              <w:rPr>
                <w:rFonts w:cs="Arial"/>
                <w:szCs w:val="21"/>
              </w:rPr>
            </w:pPr>
            <w:r>
              <w:rPr>
                <w:rFonts w:hint="eastAsia"/>
              </w:rPr>
              <w:t>57,462,405.26</w:t>
            </w:r>
          </w:p>
        </w:tc>
      </w:tr>
      <w:tr w:rsidR="00E57DAA" w14:paraId="39F3F7D5" w14:textId="77777777">
        <w:trPr>
          <w:jc w:val="center"/>
        </w:trPr>
        <w:tc>
          <w:tcPr>
            <w:tcW w:w="2344" w:type="pct"/>
            <w:shd w:val="clear" w:color="auto" w:fill="auto"/>
          </w:tcPr>
          <w:p w14:paraId="715E5744" w14:textId="77777777" w:rsidR="00E57DAA" w:rsidRDefault="00AC4185" w:rsidP="00C25422">
            <w:pPr>
              <w:pStyle w:val="92"/>
            </w:pPr>
            <w:r>
              <w:t>应付票据 </w:t>
            </w:r>
          </w:p>
        </w:tc>
        <w:tc>
          <w:tcPr>
            <w:tcW w:w="1240" w:type="pct"/>
          </w:tcPr>
          <w:p w14:paraId="4B46BF9E" w14:textId="77777777" w:rsidR="00E57DAA" w:rsidRDefault="00AC4185">
            <w:pPr>
              <w:jc w:val="right"/>
            </w:pPr>
            <w:r>
              <w:t>421,738,859.32</w:t>
            </w:r>
          </w:p>
        </w:tc>
        <w:tc>
          <w:tcPr>
            <w:tcW w:w="1416" w:type="pct"/>
          </w:tcPr>
          <w:p w14:paraId="7431EA3C" w14:textId="77777777" w:rsidR="00E57DAA" w:rsidRDefault="00AC4185">
            <w:pPr>
              <w:jc w:val="right"/>
            </w:pPr>
            <w:r>
              <w:t>383,396,499.25</w:t>
            </w:r>
          </w:p>
        </w:tc>
      </w:tr>
      <w:tr w:rsidR="00E57DAA" w14:paraId="50A53BE2" w14:textId="77777777">
        <w:trPr>
          <w:jc w:val="center"/>
        </w:trPr>
        <w:tc>
          <w:tcPr>
            <w:tcW w:w="2344" w:type="pct"/>
            <w:shd w:val="clear" w:color="auto" w:fill="auto"/>
          </w:tcPr>
          <w:p w14:paraId="5F777FEB" w14:textId="77777777" w:rsidR="00E57DAA" w:rsidRDefault="00AC4185" w:rsidP="00C25422">
            <w:pPr>
              <w:pStyle w:val="92"/>
            </w:pPr>
            <w:r>
              <w:t>应付账款 </w:t>
            </w:r>
          </w:p>
        </w:tc>
        <w:tc>
          <w:tcPr>
            <w:tcW w:w="1240" w:type="pct"/>
          </w:tcPr>
          <w:p w14:paraId="06733689" w14:textId="77777777" w:rsidR="00E57DAA" w:rsidRDefault="00AC4185">
            <w:pPr>
              <w:jc w:val="right"/>
            </w:pPr>
            <w:r>
              <w:t>804,912,167.15</w:t>
            </w:r>
          </w:p>
        </w:tc>
        <w:tc>
          <w:tcPr>
            <w:tcW w:w="1416" w:type="pct"/>
          </w:tcPr>
          <w:p w14:paraId="0CFFE949" w14:textId="77777777" w:rsidR="00E57DAA" w:rsidRDefault="00AC4185">
            <w:pPr>
              <w:jc w:val="right"/>
            </w:pPr>
            <w:r>
              <w:t>897,499,118.79</w:t>
            </w:r>
          </w:p>
        </w:tc>
      </w:tr>
      <w:tr w:rsidR="00E57DAA" w14:paraId="7716060C" w14:textId="77777777">
        <w:trPr>
          <w:jc w:val="center"/>
        </w:trPr>
        <w:tc>
          <w:tcPr>
            <w:tcW w:w="2344" w:type="pct"/>
            <w:shd w:val="clear" w:color="auto" w:fill="auto"/>
          </w:tcPr>
          <w:p w14:paraId="6DF726F0" w14:textId="77777777" w:rsidR="00E57DAA" w:rsidRDefault="00AC4185" w:rsidP="00C25422">
            <w:pPr>
              <w:pStyle w:val="92"/>
            </w:pPr>
            <w:r>
              <w:t>预收款项 </w:t>
            </w:r>
          </w:p>
        </w:tc>
        <w:tc>
          <w:tcPr>
            <w:tcW w:w="1240" w:type="pct"/>
          </w:tcPr>
          <w:p w14:paraId="3D9DBD39" w14:textId="77777777" w:rsidR="00E57DAA" w:rsidRDefault="00AC4185">
            <w:pPr>
              <w:jc w:val="right"/>
            </w:pPr>
            <w:r>
              <w:t>1,946,239.87</w:t>
            </w:r>
          </w:p>
        </w:tc>
        <w:tc>
          <w:tcPr>
            <w:tcW w:w="1416" w:type="pct"/>
          </w:tcPr>
          <w:p w14:paraId="67710D3F" w14:textId="77777777" w:rsidR="00E57DAA" w:rsidRDefault="00AC4185">
            <w:pPr>
              <w:jc w:val="right"/>
            </w:pPr>
            <w:r>
              <w:t>409,652.48</w:t>
            </w:r>
          </w:p>
        </w:tc>
      </w:tr>
      <w:tr w:rsidR="00E57DAA" w14:paraId="34CDADE1" w14:textId="77777777">
        <w:trPr>
          <w:jc w:val="center"/>
        </w:trPr>
        <w:tc>
          <w:tcPr>
            <w:tcW w:w="2344" w:type="pct"/>
            <w:shd w:val="clear" w:color="auto" w:fill="auto"/>
          </w:tcPr>
          <w:p w14:paraId="22F2E43C" w14:textId="77777777" w:rsidR="00E57DAA" w:rsidRDefault="00AC4185" w:rsidP="00C25422">
            <w:pPr>
              <w:pStyle w:val="92"/>
            </w:pPr>
            <w:r>
              <w:t>合同负债 </w:t>
            </w:r>
          </w:p>
        </w:tc>
        <w:tc>
          <w:tcPr>
            <w:tcW w:w="1240" w:type="pct"/>
          </w:tcPr>
          <w:p w14:paraId="5B2A9E99" w14:textId="77777777" w:rsidR="00E57DAA" w:rsidRDefault="00AC4185">
            <w:pPr>
              <w:jc w:val="right"/>
            </w:pPr>
            <w:r>
              <w:t>822,859,396.20</w:t>
            </w:r>
          </w:p>
        </w:tc>
        <w:tc>
          <w:tcPr>
            <w:tcW w:w="1416" w:type="pct"/>
          </w:tcPr>
          <w:p w14:paraId="0D133465" w14:textId="77777777" w:rsidR="00E57DAA" w:rsidRDefault="00AC4185">
            <w:pPr>
              <w:jc w:val="right"/>
            </w:pPr>
            <w:r>
              <w:t>727,553,114.41</w:t>
            </w:r>
          </w:p>
        </w:tc>
      </w:tr>
      <w:tr w:rsidR="00E57DAA" w14:paraId="2606A04A" w14:textId="77777777">
        <w:trPr>
          <w:jc w:val="center"/>
        </w:trPr>
        <w:tc>
          <w:tcPr>
            <w:tcW w:w="2344" w:type="pct"/>
            <w:shd w:val="clear" w:color="auto" w:fill="auto"/>
          </w:tcPr>
          <w:p w14:paraId="51946A80" w14:textId="77777777" w:rsidR="00E57DAA" w:rsidRDefault="00AC4185" w:rsidP="00C25422">
            <w:pPr>
              <w:pStyle w:val="92"/>
            </w:pPr>
            <w:r>
              <w:t>应付职工薪酬 </w:t>
            </w:r>
          </w:p>
        </w:tc>
        <w:tc>
          <w:tcPr>
            <w:tcW w:w="1240" w:type="pct"/>
          </w:tcPr>
          <w:p w14:paraId="45C6A191" w14:textId="77777777" w:rsidR="00E57DAA" w:rsidRDefault="00AC4185">
            <w:pPr>
              <w:jc w:val="right"/>
            </w:pPr>
            <w:r>
              <w:t>15,332,663.35</w:t>
            </w:r>
          </w:p>
        </w:tc>
        <w:tc>
          <w:tcPr>
            <w:tcW w:w="1416" w:type="pct"/>
          </w:tcPr>
          <w:p w14:paraId="7031152F" w14:textId="77777777" w:rsidR="00E57DAA" w:rsidRDefault="00AC4185">
            <w:pPr>
              <w:jc w:val="right"/>
            </w:pPr>
            <w:r>
              <w:t>17,361,238.64</w:t>
            </w:r>
          </w:p>
        </w:tc>
      </w:tr>
      <w:tr w:rsidR="00E57DAA" w14:paraId="0E3D3AD4" w14:textId="77777777">
        <w:trPr>
          <w:jc w:val="center"/>
        </w:trPr>
        <w:tc>
          <w:tcPr>
            <w:tcW w:w="2344" w:type="pct"/>
            <w:shd w:val="clear" w:color="auto" w:fill="auto"/>
          </w:tcPr>
          <w:p w14:paraId="6740063B" w14:textId="77777777" w:rsidR="00E57DAA" w:rsidRDefault="00AC4185" w:rsidP="00C25422">
            <w:pPr>
              <w:pStyle w:val="92"/>
            </w:pPr>
            <w:r>
              <w:t>应交税费 </w:t>
            </w:r>
          </w:p>
        </w:tc>
        <w:tc>
          <w:tcPr>
            <w:tcW w:w="1240" w:type="pct"/>
          </w:tcPr>
          <w:p w14:paraId="1E3BECFD" w14:textId="77777777" w:rsidR="00E57DAA" w:rsidRDefault="00AC4185">
            <w:pPr>
              <w:jc w:val="right"/>
            </w:pPr>
            <w:r>
              <w:t>96,881,138.87</w:t>
            </w:r>
          </w:p>
        </w:tc>
        <w:tc>
          <w:tcPr>
            <w:tcW w:w="1416" w:type="pct"/>
          </w:tcPr>
          <w:p w14:paraId="7BFF5A6E" w14:textId="77777777" w:rsidR="00E57DAA" w:rsidRDefault="00AC4185">
            <w:pPr>
              <w:jc w:val="right"/>
            </w:pPr>
            <w:r>
              <w:t>170,946,731.03</w:t>
            </w:r>
          </w:p>
        </w:tc>
      </w:tr>
      <w:tr w:rsidR="00E57DAA" w14:paraId="0848125A" w14:textId="77777777">
        <w:trPr>
          <w:jc w:val="center"/>
        </w:trPr>
        <w:tc>
          <w:tcPr>
            <w:tcW w:w="2344" w:type="pct"/>
            <w:shd w:val="clear" w:color="auto" w:fill="auto"/>
          </w:tcPr>
          <w:p w14:paraId="5E069D12" w14:textId="77777777" w:rsidR="00E57DAA" w:rsidRDefault="00AC4185" w:rsidP="00C25422">
            <w:pPr>
              <w:pStyle w:val="92"/>
            </w:pPr>
            <w:r>
              <w:t>其他应付款 </w:t>
            </w:r>
          </w:p>
        </w:tc>
        <w:tc>
          <w:tcPr>
            <w:tcW w:w="1240" w:type="pct"/>
          </w:tcPr>
          <w:p w14:paraId="3EC4B55F" w14:textId="77777777" w:rsidR="00E57DAA" w:rsidRDefault="00AC4185">
            <w:pPr>
              <w:jc w:val="right"/>
            </w:pPr>
            <w:r>
              <w:t>435,886,032.53</w:t>
            </w:r>
          </w:p>
        </w:tc>
        <w:tc>
          <w:tcPr>
            <w:tcW w:w="1416" w:type="pct"/>
          </w:tcPr>
          <w:p w14:paraId="1B6EE4B1" w14:textId="77777777" w:rsidR="00E57DAA" w:rsidRDefault="00AC4185">
            <w:pPr>
              <w:jc w:val="right"/>
            </w:pPr>
            <w:r>
              <w:t>409,150,779.38</w:t>
            </w:r>
          </w:p>
        </w:tc>
      </w:tr>
      <w:tr w:rsidR="00E57DAA" w14:paraId="3965F0BF" w14:textId="77777777">
        <w:trPr>
          <w:jc w:val="center"/>
        </w:trPr>
        <w:tc>
          <w:tcPr>
            <w:tcW w:w="2344" w:type="pct"/>
            <w:shd w:val="clear" w:color="auto" w:fill="auto"/>
          </w:tcPr>
          <w:p w14:paraId="4FF4B513" w14:textId="77777777" w:rsidR="00E57DAA" w:rsidRDefault="00AC4185" w:rsidP="00C25422">
            <w:pPr>
              <w:pStyle w:val="92"/>
            </w:pPr>
            <w:r>
              <w:t>一年内到期的非流动负债 </w:t>
            </w:r>
          </w:p>
        </w:tc>
        <w:tc>
          <w:tcPr>
            <w:tcW w:w="1240" w:type="pct"/>
          </w:tcPr>
          <w:p w14:paraId="79D38472" w14:textId="77777777" w:rsidR="00E57DAA" w:rsidRDefault="00AC4185">
            <w:pPr>
              <w:jc w:val="right"/>
            </w:pPr>
            <w:r>
              <w:t>4,359,161.02</w:t>
            </w:r>
          </w:p>
        </w:tc>
        <w:tc>
          <w:tcPr>
            <w:tcW w:w="1416" w:type="pct"/>
          </w:tcPr>
          <w:p w14:paraId="428D14DB" w14:textId="77777777" w:rsidR="00E57DAA" w:rsidRDefault="00AC4185">
            <w:pPr>
              <w:jc w:val="right"/>
            </w:pPr>
            <w:r>
              <w:t>4,349,061.33</w:t>
            </w:r>
          </w:p>
        </w:tc>
      </w:tr>
      <w:tr w:rsidR="00E57DAA" w14:paraId="26EDEF9D" w14:textId="77777777">
        <w:trPr>
          <w:jc w:val="center"/>
        </w:trPr>
        <w:tc>
          <w:tcPr>
            <w:tcW w:w="2344" w:type="pct"/>
            <w:shd w:val="clear" w:color="auto" w:fill="auto"/>
          </w:tcPr>
          <w:p w14:paraId="16D1AB67" w14:textId="77777777" w:rsidR="00E57DAA" w:rsidRDefault="00AC4185" w:rsidP="00C25422">
            <w:pPr>
              <w:pStyle w:val="92"/>
            </w:pPr>
            <w:r>
              <w:t>其他流动负债 </w:t>
            </w:r>
          </w:p>
        </w:tc>
        <w:tc>
          <w:tcPr>
            <w:tcW w:w="1240" w:type="pct"/>
          </w:tcPr>
          <w:p w14:paraId="04A943FF" w14:textId="77777777" w:rsidR="00E57DAA" w:rsidRDefault="00AC4185">
            <w:pPr>
              <w:jc w:val="right"/>
            </w:pPr>
            <w:r>
              <w:t>465,219,958.30</w:t>
            </w:r>
          </w:p>
        </w:tc>
        <w:tc>
          <w:tcPr>
            <w:tcW w:w="1416" w:type="pct"/>
          </w:tcPr>
          <w:p w14:paraId="6CA23C3D" w14:textId="77777777" w:rsidR="00E57DAA" w:rsidRDefault="00AC4185">
            <w:pPr>
              <w:jc w:val="right"/>
            </w:pPr>
            <w:r>
              <w:t>359,255,964.35</w:t>
            </w:r>
          </w:p>
        </w:tc>
      </w:tr>
      <w:tr w:rsidR="00E57DAA" w14:paraId="576EDC23" w14:textId="77777777">
        <w:trPr>
          <w:jc w:val="center"/>
        </w:trPr>
        <w:tc>
          <w:tcPr>
            <w:tcW w:w="2344" w:type="pct"/>
            <w:shd w:val="clear" w:color="auto" w:fill="auto"/>
          </w:tcPr>
          <w:p w14:paraId="110E32D4" w14:textId="77777777" w:rsidR="00E57DAA" w:rsidRDefault="00AC4185" w:rsidP="00C25422">
            <w:pPr>
              <w:pStyle w:val="92"/>
            </w:pPr>
            <w:r>
              <w:t>长期应付职工薪酬 </w:t>
            </w:r>
          </w:p>
        </w:tc>
        <w:tc>
          <w:tcPr>
            <w:tcW w:w="1240" w:type="pct"/>
          </w:tcPr>
          <w:p w14:paraId="68C0ABDB" w14:textId="77777777" w:rsidR="00E57DAA" w:rsidRDefault="00AC4185">
            <w:pPr>
              <w:jc w:val="right"/>
            </w:pPr>
            <w:r>
              <w:t>177,691,089.54</w:t>
            </w:r>
          </w:p>
        </w:tc>
        <w:tc>
          <w:tcPr>
            <w:tcW w:w="1416" w:type="pct"/>
          </w:tcPr>
          <w:p w14:paraId="428DDD48" w14:textId="77777777" w:rsidR="00E57DAA" w:rsidRDefault="00AC4185">
            <w:pPr>
              <w:jc w:val="right"/>
            </w:pPr>
            <w:r>
              <w:t>187,171,089.54</w:t>
            </w:r>
          </w:p>
        </w:tc>
      </w:tr>
      <w:tr w:rsidR="00E57DAA" w14:paraId="574119DB" w14:textId="77777777">
        <w:trPr>
          <w:jc w:val="center"/>
        </w:trPr>
        <w:tc>
          <w:tcPr>
            <w:tcW w:w="2344" w:type="pct"/>
            <w:shd w:val="clear" w:color="auto" w:fill="auto"/>
          </w:tcPr>
          <w:p w14:paraId="53000168" w14:textId="77777777" w:rsidR="00E57DAA" w:rsidRDefault="00AC4185" w:rsidP="00C25422">
            <w:pPr>
              <w:pStyle w:val="92"/>
            </w:pPr>
            <w:r>
              <w:t>预计负债 </w:t>
            </w:r>
          </w:p>
        </w:tc>
        <w:tc>
          <w:tcPr>
            <w:tcW w:w="1240" w:type="pct"/>
          </w:tcPr>
          <w:p w14:paraId="4242D2B1" w14:textId="77777777" w:rsidR="00E57DAA" w:rsidRDefault="00AC4185">
            <w:pPr>
              <w:jc w:val="right"/>
            </w:pPr>
            <w:r>
              <w:t>54,584,869.46</w:t>
            </w:r>
          </w:p>
        </w:tc>
        <w:tc>
          <w:tcPr>
            <w:tcW w:w="1416" w:type="pct"/>
          </w:tcPr>
          <w:p w14:paraId="189996F6" w14:textId="77777777" w:rsidR="00E57DAA" w:rsidRDefault="00AC4185">
            <w:pPr>
              <w:jc w:val="right"/>
            </w:pPr>
            <w:r>
              <w:t>53,281,341.29</w:t>
            </w:r>
          </w:p>
        </w:tc>
      </w:tr>
      <w:tr w:rsidR="00E57DAA" w14:paraId="5EC6005B" w14:textId="77777777">
        <w:trPr>
          <w:jc w:val="center"/>
        </w:trPr>
        <w:tc>
          <w:tcPr>
            <w:tcW w:w="2344" w:type="pct"/>
            <w:shd w:val="clear" w:color="auto" w:fill="auto"/>
          </w:tcPr>
          <w:p w14:paraId="7789D320" w14:textId="77777777" w:rsidR="00E57DAA" w:rsidRDefault="00AC4185" w:rsidP="00C25422">
            <w:pPr>
              <w:pStyle w:val="92"/>
            </w:pPr>
            <w:r>
              <w:t>递延收益 </w:t>
            </w:r>
          </w:p>
        </w:tc>
        <w:tc>
          <w:tcPr>
            <w:tcW w:w="1240" w:type="pct"/>
          </w:tcPr>
          <w:p w14:paraId="7D757A64" w14:textId="77777777" w:rsidR="00E57DAA" w:rsidRDefault="00AC4185">
            <w:pPr>
              <w:jc w:val="right"/>
            </w:pPr>
            <w:r>
              <w:t>32,958,998.02</w:t>
            </w:r>
          </w:p>
        </w:tc>
        <w:tc>
          <w:tcPr>
            <w:tcW w:w="1416" w:type="pct"/>
          </w:tcPr>
          <w:p w14:paraId="1EE553A1" w14:textId="77777777" w:rsidR="00E57DAA" w:rsidRDefault="00AC4185">
            <w:pPr>
              <w:jc w:val="right"/>
            </w:pPr>
            <w:r>
              <w:t>33,518,998.02</w:t>
            </w:r>
          </w:p>
        </w:tc>
      </w:tr>
      <w:tr w:rsidR="00E57DAA" w14:paraId="078F05DE" w14:textId="77777777">
        <w:trPr>
          <w:jc w:val="center"/>
        </w:trPr>
        <w:tc>
          <w:tcPr>
            <w:tcW w:w="2344" w:type="pct"/>
            <w:shd w:val="clear" w:color="auto" w:fill="auto"/>
          </w:tcPr>
          <w:p w14:paraId="6D089E17" w14:textId="77777777" w:rsidR="00E57DAA" w:rsidRDefault="00AC4185">
            <w:pPr>
              <w:rPr>
                <w:rFonts w:cs="Arial"/>
                <w:szCs w:val="21"/>
              </w:rPr>
            </w:pPr>
            <w:r>
              <w:rPr>
                <w:rFonts w:hint="eastAsia"/>
              </w:rPr>
              <w:t>递延所得税负债 </w:t>
            </w:r>
          </w:p>
        </w:tc>
        <w:tc>
          <w:tcPr>
            <w:tcW w:w="1240" w:type="pct"/>
          </w:tcPr>
          <w:p w14:paraId="7EA5BBEF" w14:textId="77777777" w:rsidR="00E57DAA" w:rsidRDefault="00AC4185">
            <w:pPr>
              <w:jc w:val="right"/>
              <w:rPr>
                <w:rFonts w:cs="Arial"/>
                <w:szCs w:val="21"/>
              </w:rPr>
            </w:pPr>
            <w:r>
              <w:rPr>
                <w:rFonts w:hint="eastAsia"/>
              </w:rPr>
              <w:t>6,893,256.62</w:t>
            </w:r>
          </w:p>
        </w:tc>
        <w:tc>
          <w:tcPr>
            <w:tcW w:w="1416" w:type="pct"/>
          </w:tcPr>
          <w:p w14:paraId="3727A919" w14:textId="77777777" w:rsidR="00E57DAA" w:rsidRDefault="00AC4185">
            <w:pPr>
              <w:jc w:val="right"/>
              <w:rPr>
                <w:rFonts w:cs="Arial"/>
                <w:szCs w:val="21"/>
              </w:rPr>
            </w:pPr>
            <w:r>
              <w:rPr>
                <w:rFonts w:hint="eastAsia"/>
              </w:rPr>
              <w:t>7,384,513.24</w:t>
            </w:r>
          </w:p>
        </w:tc>
      </w:tr>
      <w:tr w:rsidR="00E57DAA" w14:paraId="6654BD7B" w14:textId="77777777">
        <w:trPr>
          <w:jc w:val="center"/>
        </w:trPr>
        <w:tc>
          <w:tcPr>
            <w:tcW w:w="2344" w:type="pct"/>
            <w:shd w:val="clear" w:color="auto" w:fill="auto"/>
          </w:tcPr>
          <w:p w14:paraId="14E0CAB3" w14:textId="77777777" w:rsidR="00E57DAA" w:rsidRDefault="00AC4185">
            <w:pPr>
              <w:ind w:left="3"/>
              <w:rPr>
                <w:rFonts w:cs="Arial"/>
                <w:color w:val="000000"/>
                <w:szCs w:val="21"/>
              </w:rPr>
            </w:pPr>
            <w:r>
              <w:rPr>
                <w:rFonts w:cs="Arial" w:hint="eastAsia"/>
                <w:color w:val="000000"/>
                <w:szCs w:val="21"/>
                <w:lang w:val="en-GB"/>
              </w:rPr>
              <w:t>净资产</w:t>
            </w:r>
          </w:p>
        </w:tc>
        <w:tc>
          <w:tcPr>
            <w:tcW w:w="1240" w:type="pct"/>
            <w:vAlign w:val="center"/>
          </w:tcPr>
          <w:p w14:paraId="0ECCFF96" w14:textId="77777777" w:rsidR="00E57DAA" w:rsidRDefault="00AC4185">
            <w:pPr>
              <w:jc w:val="right"/>
              <w:rPr>
                <w:rFonts w:cs="Arial"/>
                <w:szCs w:val="21"/>
              </w:rPr>
            </w:pPr>
            <w:r>
              <w:t>3,396,866,907.11</w:t>
            </w:r>
          </w:p>
        </w:tc>
        <w:tc>
          <w:tcPr>
            <w:tcW w:w="1416" w:type="pct"/>
            <w:vAlign w:val="center"/>
          </w:tcPr>
          <w:p w14:paraId="6975C6B3" w14:textId="77777777" w:rsidR="00E57DAA" w:rsidRDefault="00AC4185">
            <w:pPr>
              <w:jc w:val="right"/>
              <w:rPr>
                <w:rFonts w:cs="Arial"/>
                <w:szCs w:val="21"/>
              </w:rPr>
            </w:pPr>
            <w:r>
              <w:t>3,425,038,282.37</w:t>
            </w:r>
          </w:p>
        </w:tc>
      </w:tr>
      <w:tr w:rsidR="00E57DAA" w14:paraId="46BABC6A" w14:textId="77777777">
        <w:trPr>
          <w:jc w:val="center"/>
        </w:trPr>
        <w:tc>
          <w:tcPr>
            <w:tcW w:w="2344" w:type="pct"/>
            <w:shd w:val="clear" w:color="auto" w:fill="auto"/>
          </w:tcPr>
          <w:p w14:paraId="5BF60C92" w14:textId="77777777" w:rsidR="00E57DAA" w:rsidRDefault="00AC4185">
            <w:pPr>
              <w:ind w:left="3"/>
              <w:rPr>
                <w:rFonts w:cs="Arial"/>
                <w:color w:val="000000"/>
                <w:szCs w:val="21"/>
              </w:rPr>
            </w:pPr>
            <w:r>
              <w:rPr>
                <w:rFonts w:cs="Arial" w:hint="eastAsia"/>
                <w:color w:val="000000"/>
                <w:szCs w:val="21"/>
                <w:lang w:val="en-GB"/>
              </w:rPr>
              <w:t>减：少数股东权益</w:t>
            </w:r>
          </w:p>
        </w:tc>
        <w:tc>
          <w:tcPr>
            <w:tcW w:w="1240" w:type="pct"/>
            <w:vAlign w:val="center"/>
          </w:tcPr>
          <w:p w14:paraId="094D24AB" w14:textId="77777777" w:rsidR="00E57DAA" w:rsidRDefault="00AC4185">
            <w:pPr>
              <w:jc w:val="right"/>
              <w:rPr>
                <w:rFonts w:cs="Arial"/>
                <w:szCs w:val="21"/>
              </w:rPr>
            </w:pPr>
            <w:r>
              <w:t>527,680,157.44</w:t>
            </w:r>
          </w:p>
        </w:tc>
        <w:tc>
          <w:tcPr>
            <w:tcW w:w="1416" w:type="pct"/>
            <w:vAlign w:val="center"/>
          </w:tcPr>
          <w:p w14:paraId="6F846F9D" w14:textId="77777777" w:rsidR="00E57DAA" w:rsidRDefault="00AC4185">
            <w:pPr>
              <w:jc w:val="right"/>
              <w:rPr>
                <w:rFonts w:cs="Arial"/>
                <w:szCs w:val="21"/>
              </w:rPr>
            </w:pPr>
            <w:r>
              <w:t>536,931,664.72</w:t>
            </w:r>
          </w:p>
        </w:tc>
      </w:tr>
      <w:tr w:rsidR="00E57DAA" w14:paraId="600C80D7" w14:textId="77777777">
        <w:trPr>
          <w:jc w:val="center"/>
        </w:trPr>
        <w:tc>
          <w:tcPr>
            <w:tcW w:w="2344" w:type="pct"/>
            <w:shd w:val="clear" w:color="auto" w:fill="auto"/>
          </w:tcPr>
          <w:p w14:paraId="04DB1B62" w14:textId="77777777" w:rsidR="00E57DAA" w:rsidRDefault="00AC4185">
            <w:pPr>
              <w:ind w:left="3"/>
              <w:rPr>
                <w:rFonts w:cs="Arial"/>
                <w:color w:val="000000"/>
                <w:szCs w:val="21"/>
              </w:rPr>
            </w:pPr>
            <w:r>
              <w:rPr>
                <w:rFonts w:cs="Arial" w:hint="eastAsia"/>
                <w:color w:val="000000"/>
                <w:szCs w:val="21"/>
                <w:lang w:val="en-GB"/>
              </w:rPr>
              <w:t>取得的净资产</w:t>
            </w:r>
          </w:p>
        </w:tc>
        <w:tc>
          <w:tcPr>
            <w:tcW w:w="1240" w:type="pct"/>
            <w:vAlign w:val="center"/>
          </w:tcPr>
          <w:p w14:paraId="64B62F27" w14:textId="77777777" w:rsidR="00E57DAA" w:rsidRDefault="00AC4185">
            <w:pPr>
              <w:jc w:val="right"/>
              <w:rPr>
                <w:rFonts w:cs="Arial"/>
                <w:szCs w:val="21"/>
              </w:rPr>
            </w:pPr>
            <w:r>
              <w:t>2,869,186,749.67</w:t>
            </w:r>
          </w:p>
        </w:tc>
        <w:tc>
          <w:tcPr>
            <w:tcW w:w="1416" w:type="pct"/>
            <w:vAlign w:val="center"/>
          </w:tcPr>
          <w:p w14:paraId="3C3BDFFB" w14:textId="77777777" w:rsidR="00E57DAA" w:rsidRDefault="00AC4185">
            <w:pPr>
              <w:jc w:val="right"/>
              <w:rPr>
                <w:rFonts w:cs="Arial"/>
                <w:szCs w:val="21"/>
              </w:rPr>
            </w:pPr>
            <w:r>
              <w:t>2,888,106,617.65</w:t>
            </w:r>
          </w:p>
        </w:tc>
      </w:tr>
    </w:tbl>
    <w:p w14:paraId="5AB79E15" w14:textId="77777777" w:rsidR="00E57DAA" w:rsidRDefault="00E57DAA" w:rsidP="00C25422">
      <w:pPr>
        <w:pStyle w:val="92"/>
      </w:pPr>
    </w:p>
    <w:p w14:paraId="51386DA2" w14:textId="77777777" w:rsidR="00E57DAA" w:rsidRDefault="00AC4185" w:rsidP="00C25422">
      <w:pPr>
        <w:pStyle w:val="91"/>
        <w:numPr>
          <w:ilvl w:val="0"/>
          <w:numId w:val="110"/>
        </w:numPr>
      </w:pPr>
      <w:r>
        <w:rPr>
          <w:rFonts w:hint="eastAsia"/>
        </w:rPr>
        <w:t>反向购买</w:t>
      </w:r>
    </w:p>
    <w:sdt>
      <w:sdtPr>
        <w:alias w:val="是否适用：反向购买[双击切换]"/>
        <w:tag w:val="_GBC_717fa638fefe45c09c1f2627ba167ee4"/>
        <w:id w:val="1616795249"/>
        <w:placeholder>
          <w:docPart w:val="GBC22222222222222222222222222222"/>
        </w:placeholder>
      </w:sdtPr>
      <w:sdtEndPr/>
      <w:sdtContent>
        <w:p w14:paraId="7CD2D02A" w14:textId="77777777" w:rsidR="00E57DAA" w:rsidRDefault="00AC4185">
          <w:pPr>
            <w:rPr>
              <w:rFonts w:cs="Arial"/>
              <w:szCs w:val="21"/>
              <w:lang w:val="en-GB"/>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88E62D" w14:textId="77777777" w:rsidR="00E57DAA" w:rsidRDefault="00E57DAA">
      <w:pPr>
        <w:rPr>
          <w:rFonts w:cs="Arial"/>
          <w:szCs w:val="21"/>
        </w:rPr>
      </w:pPr>
    </w:p>
    <w:p w14:paraId="24F31D32" w14:textId="77777777" w:rsidR="00E57DAA" w:rsidRDefault="00AC4185" w:rsidP="00C25422">
      <w:pPr>
        <w:pStyle w:val="91"/>
        <w:numPr>
          <w:ilvl w:val="0"/>
          <w:numId w:val="110"/>
        </w:numPr>
      </w:pPr>
      <w:r>
        <w:rPr>
          <w:rFonts w:hint="eastAsia"/>
        </w:rPr>
        <w:t>处置子公司</w:t>
      </w:r>
    </w:p>
    <w:p w14:paraId="1DB3E0A2" w14:textId="77777777" w:rsidR="00E57DAA" w:rsidRDefault="00AC4185" w:rsidP="00C25422">
      <w:pPr>
        <w:pStyle w:val="92"/>
      </w:pPr>
      <w:r>
        <w:rPr>
          <w:rFonts w:hint="eastAsia"/>
        </w:rPr>
        <w:t>本期是否存在</w:t>
      </w:r>
      <w:r>
        <w:t>丧失</w:t>
      </w:r>
      <w:r>
        <w:rPr>
          <w:rFonts w:hint="eastAsia"/>
        </w:rPr>
        <w:t>子公司</w:t>
      </w:r>
      <w:r>
        <w:t>控制权</w:t>
      </w:r>
      <w:r>
        <w:rPr>
          <w:rFonts w:hint="eastAsia"/>
        </w:rPr>
        <w:t>的交易或事项</w:t>
      </w:r>
    </w:p>
    <w:sdt>
      <w:sdtPr>
        <w:rPr>
          <w:rFonts w:cs="Arial" w:hint="eastAsia"/>
          <w:szCs w:val="21"/>
        </w:rPr>
        <w:alias w:val="是否存在单次交易处置对子公司投资即丧失控制权的情形[双击切换]"/>
        <w:tag w:val="_GBC_34b271ee01844be4a0580269d95adcf3"/>
        <w:id w:val="-1872140486"/>
        <w:placeholder>
          <w:docPart w:val="GBC22222222222222222222222222222"/>
        </w:placeholder>
      </w:sdtPr>
      <w:sdtEndPr/>
      <w:sdtContent>
        <w:p w14:paraId="18BD55AF" w14:textId="77777777" w:rsidR="00E57DAA" w:rsidRDefault="00AC418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28CE235" w14:textId="77777777" w:rsidR="00E57DAA" w:rsidRDefault="00E57DAA" w:rsidP="00C25422">
      <w:pPr>
        <w:pStyle w:val="92"/>
      </w:pPr>
    </w:p>
    <w:p w14:paraId="61CED79B" w14:textId="77777777" w:rsidR="00E57DAA" w:rsidRDefault="00AC4185">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816369994"/>
        <w:placeholder>
          <w:docPart w:val="GBC22222222222222222222222222222"/>
        </w:placeholder>
      </w:sdtPr>
      <w:sdtEndPr/>
      <w:sdtContent>
        <w:p w14:paraId="573232AB" w14:textId="77777777" w:rsidR="00E57DAA" w:rsidRDefault="00AC4185">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3BCEB066" w14:textId="77777777" w:rsidR="00E57DAA" w:rsidRDefault="00E57DAA" w:rsidP="00C25422">
      <w:pPr>
        <w:pStyle w:val="77"/>
      </w:pPr>
    </w:p>
    <w:p w14:paraId="03521093" w14:textId="77777777" w:rsidR="00E57DAA" w:rsidRDefault="00AC4185">
      <w:pPr>
        <w:rPr>
          <w:rFonts w:cs="Arial"/>
          <w:szCs w:val="21"/>
        </w:rPr>
      </w:pPr>
      <w:r>
        <w:rPr>
          <w:rFonts w:cs="Arial" w:hint="eastAsia"/>
          <w:szCs w:val="21"/>
        </w:rPr>
        <w:t>是否存在通过多次交易分步处置对子公司投资且在本期丧失控制权的情形</w:t>
      </w:r>
    </w:p>
    <w:bookmarkStart w:id="310" w:name="_Hlk153549147" w:displacedByCustomXml="next"/>
    <w:sdt>
      <w:sdtPr>
        <w:rPr>
          <w:rFonts w:hint="eastAsia"/>
        </w:rPr>
        <w:alias w:val="是否存在通过多次交易分步处置对子公司投资且在本期丧失控制权的情形[双击切换]"/>
        <w:tag w:val="_GBC_4b70a49fc9804e569104ce532e1e0bd8"/>
        <w:id w:val="-1089142686"/>
        <w:placeholder>
          <w:docPart w:val="GBC22222222222222222222222222222"/>
        </w:placeholder>
      </w:sdtPr>
      <w:sdtEndPr/>
      <w:sdtContent>
        <w:p w14:paraId="7E5290DE" w14:textId="77777777" w:rsidR="00E57DAA" w:rsidRDefault="00AC4185" w:rsidP="00C25422">
          <w:pPr>
            <w:pStyle w:val="77"/>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bookmarkEnd w:id="310"/>
    <w:p w14:paraId="408CA111" w14:textId="77777777" w:rsidR="00E57DAA" w:rsidRDefault="00E57DAA" w:rsidP="00C25422">
      <w:pPr>
        <w:pStyle w:val="92"/>
      </w:pPr>
    </w:p>
    <w:p w14:paraId="6E0BE2DD" w14:textId="77777777" w:rsidR="00E57DAA" w:rsidRDefault="00AC4185">
      <w:pPr>
        <w:rPr>
          <w:rFonts w:cs="Arial"/>
          <w:color w:val="000000"/>
          <w:szCs w:val="21"/>
        </w:rPr>
      </w:pPr>
      <w:r>
        <w:rPr>
          <w:rFonts w:cs="Arial" w:hint="eastAsia"/>
          <w:color w:val="000000"/>
          <w:szCs w:val="21"/>
        </w:rPr>
        <w:t>其他说明：</w:t>
      </w:r>
    </w:p>
    <w:sdt>
      <w:sdtPr>
        <w:rPr>
          <w:rFonts w:cs="Arial"/>
          <w:color w:val="000000"/>
          <w:szCs w:val="21"/>
        </w:rPr>
        <w:alias w:val="是否适用：是否存在通过多次交易分步处置对子公司投资且在本期丧失控制权的情形的说明[双击切换]"/>
        <w:tag w:val="_GBC_c934ae55b23744bba8048538d6771d0e"/>
        <w:id w:val="11893397"/>
        <w:placeholder>
          <w:docPart w:val="GBC22222222222222222222222222222"/>
        </w:placeholder>
      </w:sdtPr>
      <w:sdtEndPr/>
      <w:sdtContent>
        <w:p w14:paraId="590B2262" w14:textId="77777777" w:rsidR="00E57DAA" w:rsidRDefault="00AC4185">
          <w:pPr>
            <w:rPr>
              <w:rFonts w:cs="Arial"/>
              <w:color w:val="000000"/>
              <w:szCs w:val="21"/>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1B32EB3C" w14:textId="77777777" w:rsidR="00E57DAA" w:rsidRDefault="00E57DAA">
      <w:pPr>
        <w:rPr>
          <w:rFonts w:ascii="Calibri" w:hAnsi="Calibri" w:cs="Arial"/>
          <w:color w:val="000000"/>
        </w:rPr>
      </w:pPr>
    </w:p>
    <w:p w14:paraId="0B772A47" w14:textId="77777777" w:rsidR="00E57DAA" w:rsidRDefault="00AC4185" w:rsidP="00C25422">
      <w:pPr>
        <w:pStyle w:val="91"/>
        <w:numPr>
          <w:ilvl w:val="0"/>
          <w:numId w:val="110"/>
        </w:numPr>
      </w:pPr>
      <w:r>
        <w:rPr>
          <w:rFonts w:hint="eastAsia"/>
        </w:rPr>
        <w:t>其他原因的合并范围变动</w:t>
      </w:r>
    </w:p>
    <w:p w14:paraId="759D9239" w14:textId="77777777" w:rsidR="00E57DAA" w:rsidRDefault="00AC4185" w:rsidP="00C25422">
      <w:pPr>
        <w:pStyle w:val="92"/>
      </w:pPr>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06049596"/>
        <w:placeholder>
          <w:docPart w:val="GBC22222222222222222222222222222"/>
        </w:placeholder>
      </w:sdtPr>
      <w:sdtEndPr/>
      <w:sdtContent>
        <w:p w14:paraId="38FF89E5"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3146fc6fdcf14cec8af7bcae81e1ef18"/>
        <w:id w:val="171542959"/>
        <w:placeholder>
          <w:docPart w:val="GBC22222222222222222222222222222"/>
        </w:placeholder>
      </w:sdtPr>
      <w:sdtEndPr>
        <w:rPr>
          <w:rFonts w:asciiTheme="minorHAnsi" w:eastAsiaTheme="minorEastAsia" w:hAnsiTheme="minorHAnsi"/>
        </w:rPr>
      </w:sdtEndPr>
      <w:sdtContent>
        <w:p w14:paraId="3E59F354" w14:textId="77777777" w:rsidR="00E57DAA" w:rsidRDefault="00AC4185">
          <w:pPr>
            <w:ind w:firstLineChars="200" w:firstLine="420"/>
            <w:rPr>
              <w:rFonts w:asciiTheme="minorHAnsi" w:eastAsiaTheme="minorEastAsia" w:hAnsiTheme="minorHAnsi" w:cs="Arial"/>
              <w:color w:val="000000"/>
            </w:rPr>
          </w:pPr>
          <w:r>
            <w:rPr>
              <w:rFonts w:cs="Arial" w:hint="eastAsia"/>
              <w:color w:val="000000"/>
            </w:rPr>
            <w:t>新设增加</w:t>
          </w:r>
          <w:r>
            <w:rPr>
              <w:rFonts w:cs="Arial"/>
              <w:color w:val="000000"/>
            </w:rPr>
            <w:t>5家三级子公司：中阿现代工业工程公司、中国建材屋面系统肯尼亚有限公司、中材宁锐越南子公司、中材（莱州）石材有限公司、</w:t>
          </w:r>
          <w:r>
            <w:rPr>
              <w:rFonts w:cs="Arial" w:hint="eastAsia"/>
              <w:color w:val="000000"/>
            </w:rPr>
            <w:t>SINOMA</w:t>
          </w:r>
          <w:r>
            <w:t>绿色基础材料有限公司</w:t>
          </w:r>
          <w:r>
            <w:rPr>
              <w:rFonts w:cs="Arial"/>
              <w:color w:val="000000"/>
            </w:rPr>
            <w:t>；注销减少1家四级子公司：江西宁瑞矿业工程有限公司</w:t>
          </w:r>
        </w:p>
      </w:sdtContent>
    </w:sdt>
    <w:p w14:paraId="1BD8AEE4" w14:textId="77777777" w:rsidR="00E57DAA" w:rsidRDefault="00E57DAA">
      <w:pPr>
        <w:rPr>
          <w:rFonts w:asciiTheme="minorHAnsi" w:eastAsiaTheme="minorEastAsia" w:hAnsiTheme="minorHAnsi" w:cs="Arial"/>
          <w:color w:val="000000"/>
        </w:rPr>
      </w:pPr>
    </w:p>
    <w:p w14:paraId="62BA1E58" w14:textId="77777777" w:rsidR="00E57DAA" w:rsidRDefault="00AC4185" w:rsidP="00C25422">
      <w:pPr>
        <w:pStyle w:val="91"/>
        <w:numPr>
          <w:ilvl w:val="0"/>
          <w:numId w:val="110"/>
        </w:numPr>
      </w:pPr>
      <w:r>
        <w:rPr>
          <w:rFonts w:hint="eastAsia"/>
        </w:rPr>
        <w:t>其他</w:t>
      </w:r>
    </w:p>
    <w:sdt>
      <w:sdtPr>
        <w:rPr>
          <w:rFonts w:cs="Arial" w:hint="eastAsia"/>
          <w:color w:val="000000"/>
        </w:rPr>
        <w:alias w:val="是否适用：合并范围的变更-其他说明[双击切换]"/>
        <w:tag w:val="_GBC_f93907dc64cd43f0a9e4c85b200aec0c"/>
        <w:id w:val="1402323874"/>
        <w:placeholder>
          <w:docPart w:val="GBC22222222222222222222222222222"/>
        </w:placeholder>
      </w:sdtPr>
      <w:sdtEndPr/>
      <w:sdtContent>
        <w:p w14:paraId="192AF4AE" w14:textId="77777777" w:rsidR="00E57DAA" w:rsidRDefault="00AC4185">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p w14:paraId="1FF98178" w14:textId="77777777" w:rsidR="00E57DAA" w:rsidRDefault="00E57DAA">
      <w:pPr>
        <w:rPr>
          <w:rFonts w:cs="Arial"/>
          <w:color w:val="000000"/>
        </w:rPr>
      </w:pPr>
    </w:p>
    <w:p w14:paraId="41E88C4B" w14:textId="77777777" w:rsidR="00E57DAA" w:rsidRDefault="00E57DAA">
      <w:pPr>
        <w:rPr>
          <w:rFonts w:cs="Arial"/>
          <w:color w:val="000000"/>
        </w:rPr>
        <w:sectPr w:rsidR="00E57DAA" w:rsidSect="00226547">
          <w:pgSz w:w="11906" w:h="16838"/>
          <w:pgMar w:top="1525" w:right="1276" w:bottom="1440" w:left="1797" w:header="856" w:footer="992" w:gutter="0"/>
          <w:cols w:space="425"/>
          <w:docGrid w:linePitch="312"/>
        </w:sectPr>
      </w:pPr>
    </w:p>
    <w:p w14:paraId="115AFFD3" w14:textId="77777777" w:rsidR="00E57DAA" w:rsidRDefault="00AC4185" w:rsidP="00C25422">
      <w:pPr>
        <w:pStyle w:val="2CharCharChar1"/>
        <w:numPr>
          <w:ilvl w:val="0"/>
          <w:numId w:val="58"/>
        </w:numPr>
      </w:pPr>
      <w:r>
        <w:rPr>
          <w:rFonts w:hint="eastAsia"/>
        </w:rPr>
        <w:lastRenderedPageBreak/>
        <w:t>在其他主体中的权益</w:t>
      </w:r>
    </w:p>
    <w:p w14:paraId="6B150EAD" w14:textId="77777777" w:rsidR="00E57DAA" w:rsidRDefault="00AC4185" w:rsidP="00C25422">
      <w:pPr>
        <w:pStyle w:val="91"/>
        <w:numPr>
          <w:ilvl w:val="2"/>
          <w:numId w:val="113"/>
        </w:numPr>
      </w:pPr>
      <w:r>
        <w:rPr>
          <w:rFonts w:hint="eastAsia"/>
        </w:rPr>
        <w:t>在子公司中的权益</w:t>
      </w:r>
    </w:p>
    <w:p w14:paraId="21E0F890" w14:textId="77777777" w:rsidR="00E57DAA" w:rsidRDefault="00AC4185">
      <w:pPr>
        <w:pStyle w:val="4"/>
        <w:numPr>
          <w:ilvl w:val="3"/>
          <w:numId w:val="114"/>
        </w:numPr>
        <w:ind w:left="426" w:hangingChars="202" w:hanging="426"/>
      </w:pPr>
      <w:r>
        <w:rPr>
          <w:rFonts w:hint="eastAsia"/>
        </w:rPr>
        <w:t>企业集团的构成</w:t>
      </w:r>
    </w:p>
    <w:sdt>
      <w:sdtPr>
        <w:alias w:val="是否适用：企业集团的构成[双击切换]"/>
        <w:tag w:val="_GBC_f4dcd24cd0a6465f817fe278addb6568"/>
        <w:id w:val="-2035183137"/>
      </w:sdtPr>
      <w:sdtEndPr/>
      <w:sdtContent>
        <w:p w14:paraId="4EAC6D93" w14:textId="77777777" w:rsidR="00E57DAA" w:rsidRDefault="00AC4185">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7F48242" w14:textId="77777777" w:rsidR="00E57DAA" w:rsidRDefault="00AC4185">
      <w:pPr>
        <w:jc w:val="right"/>
      </w:pPr>
      <w:r>
        <w:rPr>
          <w:rFonts w:hint="eastAsia"/>
        </w:rPr>
        <w:t>单位:</w:t>
      </w:r>
      <w:sdt>
        <w:sdtPr>
          <w:rPr>
            <w:rFonts w:hint="eastAsia"/>
          </w:rPr>
          <w:alias w:val="单位：企业集团的构成"/>
          <w:tag w:val="_GBC_69130484488a4b33b14f19ef0f1abce9"/>
          <w:id w:val="1952042770"/>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企业集团的构成"/>
          <w:tag w:val="_GBC_3be075e5c9a5407c89e1aab348039bf5"/>
          <w:id w:val="1625424576"/>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1"/>
        <w:gridCol w:w="991"/>
        <w:gridCol w:w="977"/>
        <w:gridCol w:w="977"/>
        <w:gridCol w:w="1003"/>
        <w:gridCol w:w="992"/>
        <w:gridCol w:w="992"/>
        <w:gridCol w:w="1100"/>
      </w:tblGrid>
      <w:tr w:rsidR="00E57DAA" w14:paraId="39387BED" w14:textId="77777777">
        <w:trPr>
          <w:trHeight w:val="247"/>
        </w:trPr>
        <w:sdt>
          <w:sdtPr>
            <w:tag w:val="_PLD_d102f36c2e2645ad9579603ca28588c8"/>
            <w:id w:val="-1193613150"/>
          </w:sdtPr>
          <w:sdtEndPr/>
          <w:sdtContent>
            <w:tc>
              <w:tcPr>
                <w:tcW w:w="581" w:type="pct"/>
                <w:vMerge w:val="restart"/>
                <w:shd w:val="clear" w:color="auto" w:fill="auto"/>
                <w:vAlign w:val="center"/>
              </w:tcPr>
              <w:p w14:paraId="0A36005C" w14:textId="77777777" w:rsidR="00E57DAA" w:rsidRDefault="00AC4185">
                <w:pPr>
                  <w:jc w:val="center"/>
                  <w:rPr>
                    <w:rFonts w:cs="Arial"/>
                    <w:szCs w:val="21"/>
                    <w:lang w:val="en-GB"/>
                  </w:rPr>
                </w:pPr>
                <w:r>
                  <w:rPr>
                    <w:rFonts w:cs="Arial" w:hint="eastAsia"/>
                    <w:szCs w:val="21"/>
                    <w:lang w:val="en-GB"/>
                  </w:rPr>
                  <w:t>子公司</w:t>
                </w:r>
              </w:p>
              <w:p w14:paraId="54B88FDB" w14:textId="77777777" w:rsidR="00E57DAA" w:rsidRDefault="00AC4185">
                <w:pPr>
                  <w:jc w:val="center"/>
                  <w:rPr>
                    <w:rFonts w:cs="Arial"/>
                    <w:szCs w:val="21"/>
                  </w:rPr>
                </w:pPr>
                <w:r>
                  <w:rPr>
                    <w:rFonts w:cs="Arial" w:hint="eastAsia"/>
                    <w:szCs w:val="21"/>
                    <w:lang w:val="en-GB"/>
                  </w:rPr>
                  <w:t>名称</w:t>
                </w:r>
              </w:p>
            </w:tc>
          </w:sdtContent>
        </w:sdt>
        <w:sdt>
          <w:sdtPr>
            <w:tag w:val="_PLD_f2f68356b5494ce8941038ba206c0e79"/>
            <w:id w:val="-4989334"/>
          </w:sdtPr>
          <w:sdtEndPr/>
          <w:sdtContent>
            <w:tc>
              <w:tcPr>
                <w:tcW w:w="624" w:type="pct"/>
                <w:vMerge w:val="restart"/>
                <w:shd w:val="clear" w:color="auto" w:fill="auto"/>
                <w:vAlign w:val="center"/>
              </w:tcPr>
              <w:p w14:paraId="47739482" w14:textId="77777777" w:rsidR="00E57DAA" w:rsidRDefault="00AC4185">
                <w:pPr>
                  <w:jc w:val="center"/>
                  <w:rPr>
                    <w:rFonts w:cs="Arial"/>
                    <w:szCs w:val="21"/>
                  </w:rPr>
                </w:pPr>
                <w:r>
                  <w:rPr>
                    <w:rFonts w:cs="Arial" w:hint="eastAsia"/>
                    <w:szCs w:val="21"/>
                    <w:lang w:val="en-GB"/>
                  </w:rPr>
                  <w:t>主要经营地</w:t>
                </w:r>
              </w:p>
            </w:tc>
          </w:sdtContent>
        </w:sdt>
        <w:tc>
          <w:tcPr>
            <w:tcW w:w="616" w:type="pct"/>
            <w:vMerge w:val="restart"/>
            <w:vAlign w:val="center"/>
          </w:tcPr>
          <w:sdt>
            <w:sdtPr>
              <w:rPr>
                <w:rFonts w:hint="eastAsia"/>
              </w:rPr>
              <w:tag w:val="_PLD_e8bcd6ecc6b44104942668e86b86bbbe"/>
              <w:id w:val="-472287365"/>
              <w:lock w:val="sdtLocked"/>
            </w:sdtPr>
            <w:sdtEndPr/>
            <w:sdtContent>
              <w:p w14:paraId="381511CC" w14:textId="77777777" w:rsidR="00E57DAA" w:rsidRDefault="00AC4185">
                <w:pPr>
                  <w:jc w:val="center"/>
                </w:pPr>
                <w:r>
                  <w:rPr>
                    <w:rFonts w:hint="eastAsia"/>
                  </w:rPr>
                  <w:t>注册资本</w:t>
                </w:r>
              </w:p>
            </w:sdtContent>
          </w:sdt>
        </w:tc>
        <w:sdt>
          <w:sdtPr>
            <w:tag w:val="_PLD_e9cbfd017bcc45b9be4599d5ee950f92"/>
            <w:id w:val="221489460"/>
          </w:sdtPr>
          <w:sdtEndPr/>
          <w:sdtContent>
            <w:tc>
              <w:tcPr>
                <w:tcW w:w="616" w:type="pct"/>
                <w:vMerge w:val="restart"/>
                <w:shd w:val="clear" w:color="auto" w:fill="auto"/>
                <w:vAlign w:val="center"/>
              </w:tcPr>
              <w:p w14:paraId="1B589F65" w14:textId="77777777" w:rsidR="00E57DAA" w:rsidRDefault="00AC4185">
                <w:pPr>
                  <w:jc w:val="center"/>
                  <w:rPr>
                    <w:rFonts w:cs="Arial"/>
                    <w:szCs w:val="21"/>
                  </w:rPr>
                </w:pPr>
                <w:r>
                  <w:rPr>
                    <w:rFonts w:cs="Arial" w:hint="eastAsia"/>
                    <w:szCs w:val="21"/>
                    <w:lang w:val="en-GB"/>
                  </w:rPr>
                  <w:t>注册地</w:t>
                </w:r>
              </w:p>
            </w:tc>
          </w:sdtContent>
        </w:sdt>
        <w:sdt>
          <w:sdtPr>
            <w:tag w:val="_PLD_da5558f3e8f24c30b756f825b0ebca03"/>
            <w:id w:val="-2047436586"/>
          </w:sdtPr>
          <w:sdtEndPr/>
          <w:sdtContent>
            <w:tc>
              <w:tcPr>
                <w:tcW w:w="630" w:type="pct"/>
                <w:vMerge w:val="restart"/>
                <w:shd w:val="clear" w:color="auto" w:fill="auto"/>
                <w:vAlign w:val="center"/>
              </w:tcPr>
              <w:p w14:paraId="31E7A8D4" w14:textId="77777777" w:rsidR="00E57DAA" w:rsidRDefault="00AC4185">
                <w:pPr>
                  <w:jc w:val="center"/>
                  <w:rPr>
                    <w:rFonts w:cs="Arial"/>
                    <w:szCs w:val="21"/>
                  </w:rPr>
                </w:pPr>
                <w:r>
                  <w:rPr>
                    <w:rFonts w:cs="Arial" w:hint="eastAsia"/>
                    <w:szCs w:val="21"/>
                    <w:lang w:val="en-GB"/>
                  </w:rPr>
                  <w:t>业务性质</w:t>
                </w:r>
              </w:p>
            </w:tc>
          </w:sdtContent>
        </w:sdt>
        <w:sdt>
          <w:sdtPr>
            <w:tag w:val="_PLD_817e427c8eff4fd1875d12860133e99e"/>
            <w:id w:val="-1619831325"/>
          </w:sdtPr>
          <w:sdtEndPr/>
          <w:sdtContent>
            <w:tc>
              <w:tcPr>
                <w:tcW w:w="1248" w:type="pct"/>
                <w:gridSpan w:val="2"/>
                <w:shd w:val="clear" w:color="auto" w:fill="auto"/>
                <w:vAlign w:val="center"/>
              </w:tcPr>
              <w:p w14:paraId="1F449D44" w14:textId="77777777" w:rsidR="00E57DAA" w:rsidRDefault="00AC4185">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921068062"/>
          </w:sdtPr>
          <w:sdtEndPr/>
          <w:sdtContent>
            <w:tc>
              <w:tcPr>
                <w:tcW w:w="685" w:type="pct"/>
                <w:vMerge w:val="restart"/>
                <w:shd w:val="clear" w:color="auto" w:fill="auto"/>
                <w:vAlign w:val="center"/>
              </w:tcPr>
              <w:p w14:paraId="265201C9" w14:textId="77777777" w:rsidR="00E57DAA" w:rsidRDefault="00AC4185">
                <w:pPr>
                  <w:jc w:val="center"/>
                  <w:rPr>
                    <w:rFonts w:cs="Arial"/>
                    <w:szCs w:val="21"/>
                    <w:lang w:val="en-GB"/>
                  </w:rPr>
                </w:pPr>
                <w:r>
                  <w:rPr>
                    <w:rFonts w:cs="Arial" w:hint="eastAsia"/>
                    <w:szCs w:val="21"/>
                    <w:lang w:val="en-GB"/>
                  </w:rPr>
                  <w:t>取得</w:t>
                </w:r>
              </w:p>
              <w:p w14:paraId="331B4BD2" w14:textId="77777777" w:rsidR="00E57DAA" w:rsidRDefault="00AC4185">
                <w:pPr>
                  <w:jc w:val="center"/>
                  <w:rPr>
                    <w:rFonts w:cs="Arial"/>
                    <w:szCs w:val="21"/>
                    <w:lang w:val="en-GB"/>
                  </w:rPr>
                </w:pPr>
                <w:r>
                  <w:rPr>
                    <w:rFonts w:cs="Arial" w:hint="eastAsia"/>
                    <w:szCs w:val="21"/>
                    <w:lang w:val="en-GB"/>
                  </w:rPr>
                  <w:t>方式</w:t>
                </w:r>
              </w:p>
            </w:tc>
          </w:sdtContent>
        </w:sdt>
      </w:tr>
      <w:tr w:rsidR="00E57DAA" w14:paraId="7F18BF3F" w14:textId="77777777">
        <w:trPr>
          <w:trHeight w:val="278"/>
        </w:trPr>
        <w:tc>
          <w:tcPr>
            <w:tcW w:w="581" w:type="pct"/>
            <w:vMerge/>
            <w:shd w:val="clear" w:color="auto" w:fill="auto"/>
            <w:vAlign w:val="center"/>
          </w:tcPr>
          <w:p w14:paraId="46F6F542" w14:textId="77777777" w:rsidR="00E57DAA" w:rsidRDefault="00E57DAA">
            <w:pPr>
              <w:rPr>
                <w:rFonts w:cs="Arial"/>
                <w:szCs w:val="21"/>
              </w:rPr>
            </w:pPr>
          </w:p>
        </w:tc>
        <w:tc>
          <w:tcPr>
            <w:tcW w:w="624" w:type="pct"/>
            <w:vMerge/>
            <w:shd w:val="clear" w:color="auto" w:fill="auto"/>
            <w:vAlign w:val="center"/>
          </w:tcPr>
          <w:p w14:paraId="0B2BCDBB" w14:textId="77777777" w:rsidR="00E57DAA" w:rsidRDefault="00E57DAA">
            <w:pPr>
              <w:rPr>
                <w:rFonts w:cs="Arial"/>
                <w:szCs w:val="21"/>
              </w:rPr>
            </w:pPr>
          </w:p>
        </w:tc>
        <w:tc>
          <w:tcPr>
            <w:tcW w:w="616" w:type="pct"/>
            <w:vMerge/>
          </w:tcPr>
          <w:p w14:paraId="2A802FDD" w14:textId="77777777" w:rsidR="00E57DAA" w:rsidRDefault="00E57DAA">
            <w:pPr>
              <w:rPr>
                <w:rFonts w:cs="Arial"/>
                <w:szCs w:val="21"/>
              </w:rPr>
            </w:pPr>
          </w:p>
        </w:tc>
        <w:tc>
          <w:tcPr>
            <w:tcW w:w="616" w:type="pct"/>
            <w:vMerge/>
            <w:shd w:val="clear" w:color="auto" w:fill="auto"/>
            <w:vAlign w:val="center"/>
          </w:tcPr>
          <w:p w14:paraId="12B8FC37" w14:textId="77777777" w:rsidR="00E57DAA" w:rsidRDefault="00E57DAA">
            <w:pPr>
              <w:rPr>
                <w:rFonts w:cs="Arial"/>
                <w:szCs w:val="21"/>
              </w:rPr>
            </w:pPr>
          </w:p>
        </w:tc>
        <w:tc>
          <w:tcPr>
            <w:tcW w:w="630" w:type="pct"/>
            <w:vMerge/>
            <w:shd w:val="clear" w:color="auto" w:fill="auto"/>
            <w:vAlign w:val="center"/>
          </w:tcPr>
          <w:p w14:paraId="5DB09608" w14:textId="77777777" w:rsidR="00E57DAA" w:rsidRDefault="00E57DAA">
            <w:pPr>
              <w:rPr>
                <w:rFonts w:cs="Arial"/>
                <w:szCs w:val="21"/>
              </w:rPr>
            </w:pPr>
          </w:p>
        </w:tc>
        <w:sdt>
          <w:sdtPr>
            <w:tag w:val="_PLD_3f641d83162f4ae3a8840b93258d7ced"/>
            <w:id w:val="1921288898"/>
          </w:sdtPr>
          <w:sdtEndPr/>
          <w:sdtContent>
            <w:tc>
              <w:tcPr>
                <w:tcW w:w="624" w:type="pct"/>
                <w:shd w:val="clear" w:color="auto" w:fill="auto"/>
                <w:vAlign w:val="center"/>
              </w:tcPr>
              <w:p w14:paraId="5A7898C1" w14:textId="77777777" w:rsidR="00E57DAA" w:rsidRDefault="00AC4185">
                <w:pPr>
                  <w:jc w:val="center"/>
                  <w:rPr>
                    <w:rFonts w:cs="Arial"/>
                    <w:szCs w:val="21"/>
                  </w:rPr>
                </w:pPr>
                <w:r>
                  <w:rPr>
                    <w:rFonts w:cs="Arial" w:hint="eastAsia"/>
                    <w:szCs w:val="21"/>
                    <w:lang w:val="en-GB"/>
                  </w:rPr>
                  <w:t>直接</w:t>
                </w:r>
              </w:p>
            </w:tc>
          </w:sdtContent>
        </w:sdt>
        <w:sdt>
          <w:sdtPr>
            <w:tag w:val="_PLD_ebc96648c2794ae08bfb57e63f0a34c5"/>
            <w:id w:val="-1918082594"/>
          </w:sdtPr>
          <w:sdtEndPr/>
          <w:sdtContent>
            <w:tc>
              <w:tcPr>
                <w:tcW w:w="624" w:type="pct"/>
                <w:shd w:val="clear" w:color="auto" w:fill="auto"/>
                <w:vAlign w:val="center"/>
              </w:tcPr>
              <w:p w14:paraId="5F891ADF" w14:textId="77777777" w:rsidR="00E57DAA" w:rsidRDefault="00AC4185">
                <w:pPr>
                  <w:jc w:val="center"/>
                  <w:rPr>
                    <w:rFonts w:cs="Arial"/>
                    <w:szCs w:val="21"/>
                  </w:rPr>
                </w:pPr>
                <w:r>
                  <w:rPr>
                    <w:rFonts w:cs="Arial" w:hint="eastAsia"/>
                    <w:szCs w:val="21"/>
                    <w:lang w:val="en-GB"/>
                  </w:rPr>
                  <w:t>间接</w:t>
                </w:r>
              </w:p>
            </w:tc>
          </w:sdtContent>
        </w:sdt>
        <w:tc>
          <w:tcPr>
            <w:tcW w:w="685" w:type="pct"/>
            <w:vMerge/>
          </w:tcPr>
          <w:p w14:paraId="29D8D965" w14:textId="77777777" w:rsidR="00E57DAA" w:rsidRDefault="00E57DAA">
            <w:pPr>
              <w:rPr>
                <w:rFonts w:cs="Arial"/>
                <w:szCs w:val="21"/>
              </w:rPr>
            </w:pPr>
          </w:p>
        </w:tc>
      </w:tr>
      <w:sdt>
        <w:sdtPr>
          <w:rPr>
            <w:szCs w:val="21"/>
          </w:rPr>
          <w:alias w:val="企业合并及合并财务报表明细"/>
          <w:tag w:val="_GBC_986bfe326d834fea9d2920637e286f21"/>
          <w:id w:val="-960185942"/>
          <w:lock w:val="sdtLocked"/>
          <w:placeholder>
            <w:docPart w:val="EC92B77F7A79415C863C1C8AE4A17B8C"/>
          </w:placeholder>
        </w:sdtPr>
        <w:sdtEndPr/>
        <w:sdtContent>
          <w:tr w:rsidR="00E57DAA" w14:paraId="4C329A15" w14:textId="77777777">
            <w:tc>
              <w:tcPr>
                <w:tcW w:w="581" w:type="pct"/>
              </w:tcPr>
              <w:p w14:paraId="736DBFA1" w14:textId="77777777" w:rsidR="00E57DAA" w:rsidRDefault="00AC4185">
                <w:pPr>
                  <w:jc w:val="both"/>
                  <w:rPr>
                    <w:szCs w:val="21"/>
                  </w:rPr>
                </w:pPr>
                <w:r>
                  <w:rPr>
                    <w:rFonts w:hint="eastAsia"/>
                  </w:rPr>
                  <w:t>天津水泥工业设计研究院有限公司</w:t>
                </w:r>
              </w:p>
            </w:tc>
            <w:tc>
              <w:tcPr>
                <w:tcW w:w="624" w:type="pct"/>
              </w:tcPr>
              <w:p w14:paraId="545D8B7B" w14:textId="77777777" w:rsidR="00E57DAA" w:rsidRDefault="00AC4185">
                <w:pPr>
                  <w:rPr>
                    <w:szCs w:val="21"/>
                  </w:rPr>
                </w:pPr>
                <w:r>
                  <w:rPr>
                    <w:rFonts w:hint="eastAsia"/>
                    <w:szCs w:val="21"/>
                  </w:rPr>
                  <w:t>天津市</w:t>
                </w:r>
              </w:p>
            </w:tc>
            <w:tc>
              <w:tcPr>
                <w:tcW w:w="616" w:type="pct"/>
              </w:tcPr>
              <w:p w14:paraId="23BCE19A" w14:textId="77777777" w:rsidR="00E57DAA" w:rsidRDefault="00E57DAA">
                <w:pPr>
                  <w:jc w:val="right"/>
                  <w:rPr>
                    <w:szCs w:val="21"/>
                  </w:rPr>
                </w:pPr>
              </w:p>
            </w:tc>
            <w:tc>
              <w:tcPr>
                <w:tcW w:w="616" w:type="pct"/>
              </w:tcPr>
              <w:p w14:paraId="20278459" w14:textId="77777777" w:rsidR="00E57DAA" w:rsidRDefault="00AC4185">
                <w:pPr>
                  <w:rPr>
                    <w:szCs w:val="21"/>
                  </w:rPr>
                </w:pPr>
                <w:r>
                  <w:rPr>
                    <w:rFonts w:hint="eastAsia"/>
                  </w:rPr>
                  <w:t>天津市</w:t>
                </w:r>
              </w:p>
            </w:tc>
            <w:tc>
              <w:tcPr>
                <w:tcW w:w="630" w:type="pct"/>
              </w:tcPr>
              <w:p w14:paraId="270D150A" w14:textId="77777777" w:rsidR="00E57DAA" w:rsidRDefault="00AC4185">
                <w:pPr>
                  <w:rPr>
                    <w:szCs w:val="21"/>
                  </w:rPr>
                </w:pPr>
                <w:r>
                  <w:rPr>
                    <w:rFonts w:hint="eastAsia"/>
                  </w:rPr>
                  <w:t>工程承包</w:t>
                </w:r>
              </w:p>
            </w:tc>
            <w:tc>
              <w:tcPr>
                <w:tcW w:w="624" w:type="pct"/>
              </w:tcPr>
              <w:p w14:paraId="3BECD7C8" w14:textId="77777777" w:rsidR="00E57DAA" w:rsidRDefault="00AC4185">
                <w:pPr>
                  <w:jc w:val="right"/>
                  <w:rPr>
                    <w:szCs w:val="21"/>
                  </w:rPr>
                </w:pPr>
                <w:r>
                  <w:rPr>
                    <w:rFonts w:hint="eastAsia"/>
                    <w:szCs w:val="21"/>
                  </w:rPr>
                  <w:t>100.00</w:t>
                </w:r>
              </w:p>
            </w:tc>
            <w:tc>
              <w:tcPr>
                <w:tcW w:w="624" w:type="pct"/>
              </w:tcPr>
              <w:p w14:paraId="081EE183" w14:textId="77777777" w:rsidR="00E57DAA" w:rsidRDefault="00E57DAA">
                <w:pPr>
                  <w:jc w:val="right"/>
                  <w:rPr>
                    <w:szCs w:val="21"/>
                  </w:rPr>
                </w:pPr>
              </w:p>
            </w:tc>
            <w:tc>
              <w:tcPr>
                <w:tcW w:w="685" w:type="pct"/>
              </w:tcPr>
              <w:p w14:paraId="23BE0781"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222961936"/>
          <w:lock w:val="sdtLocked"/>
          <w:placeholder>
            <w:docPart w:val="EC92B77F7A79415C863C1C8AE4A17B8C"/>
          </w:placeholder>
        </w:sdtPr>
        <w:sdtEndPr/>
        <w:sdtContent>
          <w:tr w:rsidR="00E57DAA" w14:paraId="3A8ED0F2" w14:textId="77777777">
            <w:tc>
              <w:tcPr>
                <w:tcW w:w="581" w:type="pct"/>
              </w:tcPr>
              <w:p w14:paraId="4C4DF6A3" w14:textId="77777777" w:rsidR="00E57DAA" w:rsidRDefault="00AC4185">
                <w:pPr>
                  <w:jc w:val="both"/>
                  <w:rPr>
                    <w:szCs w:val="21"/>
                  </w:rPr>
                </w:pPr>
                <w:r>
                  <w:rPr>
                    <w:rFonts w:hint="eastAsia"/>
                  </w:rPr>
                  <w:t>成都建筑材料工业设计研究院有限公司</w:t>
                </w:r>
              </w:p>
            </w:tc>
            <w:tc>
              <w:tcPr>
                <w:tcW w:w="624" w:type="pct"/>
              </w:tcPr>
              <w:p w14:paraId="65FBB157" w14:textId="77777777" w:rsidR="00E57DAA" w:rsidRDefault="00AC4185">
                <w:pPr>
                  <w:rPr>
                    <w:szCs w:val="21"/>
                  </w:rPr>
                </w:pPr>
                <w:r>
                  <w:rPr>
                    <w:rFonts w:hint="eastAsia"/>
                    <w:szCs w:val="21"/>
                  </w:rPr>
                  <w:t>四川省成都市</w:t>
                </w:r>
              </w:p>
            </w:tc>
            <w:tc>
              <w:tcPr>
                <w:tcW w:w="616" w:type="pct"/>
              </w:tcPr>
              <w:p w14:paraId="03CF468D" w14:textId="77777777" w:rsidR="00E57DAA" w:rsidRDefault="00E57DAA">
                <w:pPr>
                  <w:jc w:val="right"/>
                  <w:rPr>
                    <w:szCs w:val="21"/>
                  </w:rPr>
                </w:pPr>
              </w:p>
            </w:tc>
            <w:tc>
              <w:tcPr>
                <w:tcW w:w="616" w:type="pct"/>
              </w:tcPr>
              <w:p w14:paraId="41D250EF" w14:textId="77777777" w:rsidR="00E57DAA" w:rsidRDefault="00AC4185">
                <w:pPr>
                  <w:rPr>
                    <w:szCs w:val="21"/>
                  </w:rPr>
                </w:pPr>
                <w:r>
                  <w:rPr>
                    <w:rFonts w:hint="eastAsia"/>
                  </w:rPr>
                  <w:t>四川省成都市</w:t>
                </w:r>
              </w:p>
            </w:tc>
            <w:tc>
              <w:tcPr>
                <w:tcW w:w="630" w:type="pct"/>
              </w:tcPr>
              <w:p w14:paraId="3C77C621" w14:textId="77777777" w:rsidR="00E57DAA" w:rsidRDefault="00AC4185">
                <w:pPr>
                  <w:rPr>
                    <w:szCs w:val="21"/>
                  </w:rPr>
                </w:pPr>
                <w:r>
                  <w:rPr>
                    <w:rFonts w:hint="eastAsia"/>
                  </w:rPr>
                  <w:t>工程承包</w:t>
                </w:r>
              </w:p>
            </w:tc>
            <w:tc>
              <w:tcPr>
                <w:tcW w:w="624" w:type="pct"/>
              </w:tcPr>
              <w:p w14:paraId="59F8A9A4" w14:textId="77777777" w:rsidR="00E57DAA" w:rsidRDefault="00AC4185">
                <w:pPr>
                  <w:jc w:val="right"/>
                  <w:rPr>
                    <w:szCs w:val="21"/>
                  </w:rPr>
                </w:pPr>
                <w:r>
                  <w:rPr>
                    <w:rFonts w:hint="eastAsia"/>
                    <w:szCs w:val="21"/>
                  </w:rPr>
                  <w:t>100.00</w:t>
                </w:r>
              </w:p>
            </w:tc>
            <w:tc>
              <w:tcPr>
                <w:tcW w:w="624" w:type="pct"/>
              </w:tcPr>
              <w:p w14:paraId="3390E79F" w14:textId="77777777" w:rsidR="00E57DAA" w:rsidRDefault="00E57DAA">
                <w:pPr>
                  <w:jc w:val="right"/>
                  <w:rPr>
                    <w:szCs w:val="21"/>
                  </w:rPr>
                </w:pPr>
              </w:p>
            </w:tc>
            <w:tc>
              <w:tcPr>
                <w:tcW w:w="685" w:type="pct"/>
              </w:tcPr>
              <w:p w14:paraId="59129FF1"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436123616"/>
          <w:lock w:val="sdtLocked"/>
          <w:placeholder>
            <w:docPart w:val="EC92B77F7A79415C863C1C8AE4A17B8C"/>
          </w:placeholder>
        </w:sdtPr>
        <w:sdtEndPr/>
        <w:sdtContent>
          <w:tr w:rsidR="00E57DAA" w14:paraId="3F36229A" w14:textId="77777777">
            <w:tc>
              <w:tcPr>
                <w:tcW w:w="581" w:type="pct"/>
              </w:tcPr>
              <w:p w14:paraId="13F29913" w14:textId="77777777" w:rsidR="00E57DAA" w:rsidRDefault="00AC4185">
                <w:pPr>
                  <w:jc w:val="both"/>
                  <w:rPr>
                    <w:szCs w:val="21"/>
                  </w:rPr>
                </w:pPr>
                <w:r>
                  <w:rPr>
                    <w:rFonts w:hint="eastAsia"/>
                  </w:rPr>
                  <w:t>中材矿山建设有限公司</w:t>
                </w:r>
              </w:p>
            </w:tc>
            <w:tc>
              <w:tcPr>
                <w:tcW w:w="624" w:type="pct"/>
              </w:tcPr>
              <w:p w14:paraId="5CE73A7A" w14:textId="77777777" w:rsidR="00E57DAA" w:rsidRDefault="00AC4185">
                <w:pPr>
                  <w:rPr>
                    <w:szCs w:val="21"/>
                  </w:rPr>
                </w:pPr>
                <w:r>
                  <w:rPr>
                    <w:rFonts w:hint="eastAsia"/>
                    <w:szCs w:val="21"/>
                  </w:rPr>
                  <w:t>天津市</w:t>
                </w:r>
              </w:p>
            </w:tc>
            <w:tc>
              <w:tcPr>
                <w:tcW w:w="616" w:type="pct"/>
              </w:tcPr>
              <w:p w14:paraId="2DBB4C96" w14:textId="77777777" w:rsidR="00E57DAA" w:rsidRDefault="00E57DAA">
                <w:pPr>
                  <w:jc w:val="right"/>
                  <w:rPr>
                    <w:szCs w:val="21"/>
                  </w:rPr>
                </w:pPr>
              </w:p>
            </w:tc>
            <w:tc>
              <w:tcPr>
                <w:tcW w:w="616" w:type="pct"/>
              </w:tcPr>
              <w:p w14:paraId="0575F069" w14:textId="77777777" w:rsidR="00E57DAA" w:rsidRDefault="00AC4185">
                <w:pPr>
                  <w:rPr>
                    <w:szCs w:val="21"/>
                  </w:rPr>
                </w:pPr>
                <w:r>
                  <w:rPr>
                    <w:rFonts w:hint="eastAsia"/>
                  </w:rPr>
                  <w:t>天津市</w:t>
                </w:r>
              </w:p>
            </w:tc>
            <w:tc>
              <w:tcPr>
                <w:tcW w:w="630" w:type="pct"/>
              </w:tcPr>
              <w:p w14:paraId="18949E6D" w14:textId="77777777" w:rsidR="00E57DAA" w:rsidRDefault="00AC4185">
                <w:pPr>
                  <w:rPr>
                    <w:szCs w:val="21"/>
                  </w:rPr>
                </w:pPr>
                <w:r>
                  <w:rPr>
                    <w:rFonts w:hint="eastAsia"/>
                  </w:rPr>
                  <w:t>采矿工程服务</w:t>
                </w:r>
              </w:p>
            </w:tc>
            <w:tc>
              <w:tcPr>
                <w:tcW w:w="624" w:type="pct"/>
              </w:tcPr>
              <w:p w14:paraId="188E6A81" w14:textId="77777777" w:rsidR="00E57DAA" w:rsidRDefault="00AC4185">
                <w:pPr>
                  <w:jc w:val="right"/>
                  <w:rPr>
                    <w:szCs w:val="21"/>
                  </w:rPr>
                </w:pPr>
                <w:r>
                  <w:rPr>
                    <w:rFonts w:hint="eastAsia"/>
                    <w:szCs w:val="21"/>
                  </w:rPr>
                  <w:t>100.00</w:t>
                </w:r>
              </w:p>
            </w:tc>
            <w:tc>
              <w:tcPr>
                <w:tcW w:w="624" w:type="pct"/>
              </w:tcPr>
              <w:p w14:paraId="2A98A577" w14:textId="77777777" w:rsidR="00E57DAA" w:rsidRDefault="00E57DAA">
                <w:pPr>
                  <w:jc w:val="right"/>
                  <w:rPr>
                    <w:szCs w:val="21"/>
                  </w:rPr>
                </w:pPr>
              </w:p>
            </w:tc>
            <w:tc>
              <w:tcPr>
                <w:tcW w:w="685" w:type="pct"/>
              </w:tcPr>
              <w:p w14:paraId="3D108E76"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347176829"/>
          <w:lock w:val="sdtLocked"/>
          <w:placeholder>
            <w:docPart w:val="EC92B77F7A79415C863C1C8AE4A17B8C"/>
          </w:placeholder>
        </w:sdtPr>
        <w:sdtEndPr/>
        <w:sdtContent>
          <w:tr w:rsidR="00E57DAA" w14:paraId="1CF35F3E" w14:textId="77777777">
            <w:tc>
              <w:tcPr>
                <w:tcW w:w="581" w:type="pct"/>
              </w:tcPr>
              <w:p w14:paraId="1ADA50B4" w14:textId="77777777" w:rsidR="00E57DAA" w:rsidRDefault="00AC4185">
                <w:pPr>
                  <w:jc w:val="both"/>
                  <w:rPr>
                    <w:szCs w:val="21"/>
                  </w:rPr>
                </w:pPr>
                <w:r>
                  <w:rPr>
                    <w:rFonts w:hint="eastAsia"/>
                  </w:rPr>
                  <w:t>中材建设有限公司</w:t>
                </w:r>
              </w:p>
            </w:tc>
            <w:tc>
              <w:tcPr>
                <w:tcW w:w="624" w:type="pct"/>
              </w:tcPr>
              <w:p w14:paraId="4456CC4D" w14:textId="77777777" w:rsidR="00E57DAA" w:rsidRDefault="00AC4185">
                <w:pPr>
                  <w:rPr>
                    <w:szCs w:val="21"/>
                  </w:rPr>
                </w:pPr>
                <w:r>
                  <w:rPr>
                    <w:rFonts w:hint="eastAsia"/>
                    <w:szCs w:val="21"/>
                  </w:rPr>
                  <w:t>河北省唐山市</w:t>
                </w:r>
              </w:p>
            </w:tc>
            <w:tc>
              <w:tcPr>
                <w:tcW w:w="616" w:type="pct"/>
              </w:tcPr>
              <w:p w14:paraId="50E887AE" w14:textId="77777777" w:rsidR="00E57DAA" w:rsidRDefault="00E57DAA">
                <w:pPr>
                  <w:jc w:val="right"/>
                  <w:rPr>
                    <w:szCs w:val="21"/>
                  </w:rPr>
                </w:pPr>
              </w:p>
            </w:tc>
            <w:tc>
              <w:tcPr>
                <w:tcW w:w="616" w:type="pct"/>
              </w:tcPr>
              <w:p w14:paraId="03A9F2A9" w14:textId="77777777" w:rsidR="00E57DAA" w:rsidRDefault="00AC4185">
                <w:pPr>
                  <w:rPr>
                    <w:szCs w:val="21"/>
                  </w:rPr>
                </w:pPr>
                <w:r>
                  <w:rPr>
                    <w:rFonts w:hint="eastAsia"/>
                  </w:rPr>
                  <w:t>河北省唐山市</w:t>
                </w:r>
              </w:p>
            </w:tc>
            <w:tc>
              <w:tcPr>
                <w:tcW w:w="630" w:type="pct"/>
              </w:tcPr>
              <w:p w14:paraId="29CEE5B5" w14:textId="77777777" w:rsidR="00E57DAA" w:rsidRDefault="00AC4185">
                <w:pPr>
                  <w:rPr>
                    <w:szCs w:val="21"/>
                  </w:rPr>
                </w:pPr>
                <w:r>
                  <w:rPr>
                    <w:rFonts w:hint="eastAsia"/>
                  </w:rPr>
                  <w:t>工程承包</w:t>
                </w:r>
              </w:p>
            </w:tc>
            <w:tc>
              <w:tcPr>
                <w:tcW w:w="624" w:type="pct"/>
              </w:tcPr>
              <w:p w14:paraId="014F1FF5" w14:textId="77777777" w:rsidR="00E57DAA" w:rsidRDefault="00AC4185">
                <w:pPr>
                  <w:jc w:val="right"/>
                  <w:rPr>
                    <w:szCs w:val="21"/>
                  </w:rPr>
                </w:pPr>
                <w:r>
                  <w:rPr>
                    <w:rFonts w:hint="eastAsia"/>
                    <w:szCs w:val="21"/>
                  </w:rPr>
                  <w:t>100.00</w:t>
                </w:r>
              </w:p>
            </w:tc>
            <w:tc>
              <w:tcPr>
                <w:tcW w:w="624" w:type="pct"/>
              </w:tcPr>
              <w:p w14:paraId="5389AD41" w14:textId="77777777" w:rsidR="00E57DAA" w:rsidRDefault="00E57DAA">
                <w:pPr>
                  <w:jc w:val="right"/>
                  <w:rPr>
                    <w:szCs w:val="21"/>
                  </w:rPr>
                </w:pPr>
              </w:p>
            </w:tc>
            <w:tc>
              <w:tcPr>
                <w:tcW w:w="685" w:type="pct"/>
              </w:tcPr>
              <w:p w14:paraId="63C879BE"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923369022"/>
          <w:lock w:val="sdtLocked"/>
          <w:placeholder>
            <w:docPart w:val="EC92B77F7A79415C863C1C8AE4A17B8C"/>
          </w:placeholder>
        </w:sdtPr>
        <w:sdtEndPr/>
        <w:sdtContent>
          <w:tr w:rsidR="00E57DAA" w14:paraId="607ED2F4" w14:textId="77777777">
            <w:tc>
              <w:tcPr>
                <w:tcW w:w="581" w:type="pct"/>
              </w:tcPr>
              <w:p w14:paraId="3F99929C" w14:textId="77777777" w:rsidR="00E57DAA" w:rsidRDefault="00AC4185">
                <w:pPr>
                  <w:jc w:val="both"/>
                  <w:rPr>
                    <w:szCs w:val="21"/>
                  </w:rPr>
                </w:pPr>
                <w:r>
                  <w:rPr>
                    <w:rFonts w:hint="eastAsia"/>
                  </w:rPr>
                  <w:t>中国中材海外科技发展有限公司</w:t>
                </w:r>
              </w:p>
            </w:tc>
            <w:tc>
              <w:tcPr>
                <w:tcW w:w="624" w:type="pct"/>
              </w:tcPr>
              <w:p w14:paraId="019A3049" w14:textId="77777777" w:rsidR="00E57DAA" w:rsidRDefault="00AC4185">
                <w:pPr>
                  <w:rPr>
                    <w:szCs w:val="21"/>
                  </w:rPr>
                </w:pPr>
                <w:r>
                  <w:rPr>
                    <w:rFonts w:hint="eastAsia"/>
                    <w:szCs w:val="21"/>
                  </w:rPr>
                  <w:t>北京市</w:t>
                </w:r>
              </w:p>
            </w:tc>
            <w:tc>
              <w:tcPr>
                <w:tcW w:w="616" w:type="pct"/>
              </w:tcPr>
              <w:p w14:paraId="133B0A2F" w14:textId="77777777" w:rsidR="00E57DAA" w:rsidRDefault="00E57DAA">
                <w:pPr>
                  <w:jc w:val="right"/>
                  <w:rPr>
                    <w:szCs w:val="21"/>
                  </w:rPr>
                </w:pPr>
              </w:p>
            </w:tc>
            <w:tc>
              <w:tcPr>
                <w:tcW w:w="616" w:type="pct"/>
              </w:tcPr>
              <w:p w14:paraId="5B026040" w14:textId="77777777" w:rsidR="00E57DAA" w:rsidRDefault="00AC4185">
                <w:pPr>
                  <w:rPr>
                    <w:szCs w:val="21"/>
                  </w:rPr>
                </w:pPr>
                <w:r>
                  <w:rPr>
                    <w:rFonts w:hint="eastAsia"/>
                  </w:rPr>
                  <w:t>北京市</w:t>
                </w:r>
              </w:p>
            </w:tc>
            <w:tc>
              <w:tcPr>
                <w:tcW w:w="630" w:type="pct"/>
              </w:tcPr>
              <w:p w14:paraId="05335EEB" w14:textId="77777777" w:rsidR="00E57DAA" w:rsidRDefault="00AC4185">
                <w:pPr>
                  <w:rPr>
                    <w:szCs w:val="21"/>
                  </w:rPr>
                </w:pPr>
                <w:r>
                  <w:rPr>
                    <w:rFonts w:hint="eastAsia"/>
                  </w:rPr>
                  <w:t>物流贸易</w:t>
                </w:r>
              </w:p>
            </w:tc>
            <w:tc>
              <w:tcPr>
                <w:tcW w:w="624" w:type="pct"/>
              </w:tcPr>
              <w:p w14:paraId="1ECD0922" w14:textId="77777777" w:rsidR="00E57DAA" w:rsidRDefault="00AC4185">
                <w:pPr>
                  <w:jc w:val="right"/>
                  <w:rPr>
                    <w:szCs w:val="21"/>
                  </w:rPr>
                </w:pPr>
                <w:r>
                  <w:rPr>
                    <w:rFonts w:hint="eastAsia"/>
                    <w:szCs w:val="21"/>
                  </w:rPr>
                  <w:t>100.00</w:t>
                </w:r>
              </w:p>
            </w:tc>
            <w:tc>
              <w:tcPr>
                <w:tcW w:w="624" w:type="pct"/>
              </w:tcPr>
              <w:p w14:paraId="3AE413D3" w14:textId="77777777" w:rsidR="00E57DAA" w:rsidRDefault="00E57DAA">
                <w:pPr>
                  <w:jc w:val="right"/>
                  <w:rPr>
                    <w:szCs w:val="21"/>
                  </w:rPr>
                </w:pPr>
              </w:p>
            </w:tc>
            <w:tc>
              <w:tcPr>
                <w:tcW w:w="685" w:type="pct"/>
              </w:tcPr>
              <w:p w14:paraId="5AD96183"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1041898118"/>
          <w:lock w:val="sdtLocked"/>
          <w:placeholder>
            <w:docPart w:val="EC92B77F7A79415C863C1C8AE4A17B8C"/>
          </w:placeholder>
        </w:sdtPr>
        <w:sdtEndPr/>
        <w:sdtContent>
          <w:tr w:rsidR="00E57DAA" w14:paraId="6500E193" w14:textId="77777777">
            <w:tc>
              <w:tcPr>
                <w:tcW w:w="581" w:type="pct"/>
              </w:tcPr>
              <w:p w14:paraId="7C6FB7D9" w14:textId="77777777" w:rsidR="00E57DAA" w:rsidRDefault="00AC4185">
                <w:pPr>
                  <w:jc w:val="both"/>
                  <w:rPr>
                    <w:szCs w:val="21"/>
                  </w:rPr>
                </w:pPr>
                <w:r>
                  <w:rPr>
                    <w:rFonts w:hint="eastAsia"/>
                  </w:rPr>
                  <w:t>中材国际智能科技有限公司</w:t>
                </w:r>
              </w:p>
            </w:tc>
            <w:tc>
              <w:tcPr>
                <w:tcW w:w="624" w:type="pct"/>
              </w:tcPr>
              <w:p w14:paraId="64ECFE89" w14:textId="77777777" w:rsidR="00E57DAA" w:rsidRDefault="00AC4185">
                <w:pPr>
                  <w:rPr>
                    <w:szCs w:val="21"/>
                  </w:rPr>
                </w:pPr>
                <w:r>
                  <w:rPr>
                    <w:rFonts w:hint="eastAsia"/>
                    <w:szCs w:val="21"/>
                  </w:rPr>
                  <w:t>江苏省南京市</w:t>
                </w:r>
              </w:p>
            </w:tc>
            <w:tc>
              <w:tcPr>
                <w:tcW w:w="616" w:type="pct"/>
              </w:tcPr>
              <w:p w14:paraId="72EDAD9A" w14:textId="77777777" w:rsidR="00E57DAA" w:rsidRDefault="00E57DAA">
                <w:pPr>
                  <w:jc w:val="right"/>
                  <w:rPr>
                    <w:szCs w:val="21"/>
                  </w:rPr>
                </w:pPr>
              </w:p>
            </w:tc>
            <w:tc>
              <w:tcPr>
                <w:tcW w:w="616" w:type="pct"/>
              </w:tcPr>
              <w:p w14:paraId="2329D300" w14:textId="77777777" w:rsidR="00E57DAA" w:rsidRDefault="00AC4185">
                <w:pPr>
                  <w:rPr>
                    <w:szCs w:val="21"/>
                  </w:rPr>
                </w:pPr>
                <w:r>
                  <w:rPr>
                    <w:rFonts w:hint="eastAsia"/>
                  </w:rPr>
                  <w:t>江苏省南京市</w:t>
                </w:r>
              </w:p>
            </w:tc>
            <w:tc>
              <w:tcPr>
                <w:tcW w:w="630" w:type="pct"/>
              </w:tcPr>
              <w:p w14:paraId="169069C4" w14:textId="77777777" w:rsidR="00E57DAA" w:rsidRDefault="00AC4185">
                <w:pPr>
                  <w:rPr>
                    <w:szCs w:val="21"/>
                  </w:rPr>
                </w:pPr>
                <w:r>
                  <w:rPr>
                    <w:rFonts w:hint="eastAsia"/>
                  </w:rPr>
                  <w:t>工程承包</w:t>
                </w:r>
              </w:p>
            </w:tc>
            <w:tc>
              <w:tcPr>
                <w:tcW w:w="624" w:type="pct"/>
              </w:tcPr>
              <w:p w14:paraId="3D36319C" w14:textId="77777777" w:rsidR="00E57DAA" w:rsidRDefault="00AC4185">
                <w:pPr>
                  <w:jc w:val="right"/>
                  <w:rPr>
                    <w:szCs w:val="21"/>
                  </w:rPr>
                </w:pPr>
                <w:r>
                  <w:rPr>
                    <w:rFonts w:hint="eastAsia"/>
                    <w:szCs w:val="21"/>
                  </w:rPr>
                  <w:t>98.00</w:t>
                </w:r>
              </w:p>
            </w:tc>
            <w:tc>
              <w:tcPr>
                <w:tcW w:w="624" w:type="pct"/>
              </w:tcPr>
              <w:p w14:paraId="631A0A5B" w14:textId="77777777" w:rsidR="00E57DAA" w:rsidRDefault="00E57DAA">
                <w:pPr>
                  <w:jc w:val="right"/>
                  <w:rPr>
                    <w:szCs w:val="21"/>
                  </w:rPr>
                </w:pPr>
              </w:p>
            </w:tc>
            <w:tc>
              <w:tcPr>
                <w:tcW w:w="685" w:type="pct"/>
              </w:tcPr>
              <w:p w14:paraId="790C3958"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1813524353"/>
          <w:lock w:val="sdtLocked"/>
          <w:placeholder>
            <w:docPart w:val="EC92B77F7A79415C863C1C8AE4A17B8C"/>
          </w:placeholder>
        </w:sdtPr>
        <w:sdtEndPr/>
        <w:sdtContent>
          <w:tr w:rsidR="00E57DAA" w14:paraId="2B3AAD5B" w14:textId="77777777">
            <w:tc>
              <w:tcPr>
                <w:tcW w:w="581" w:type="pct"/>
              </w:tcPr>
              <w:p w14:paraId="6DDAA0F0" w14:textId="77777777" w:rsidR="00E57DAA" w:rsidRDefault="00AC4185">
                <w:pPr>
                  <w:jc w:val="both"/>
                  <w:rPr>
                    <w:szCs w:val="21"/>
                  </w:rPr>
                </w:pPr>
                <w:r>
                  <w:rPr>
                    <w:rFonts w:hint="eastAsia"/>
                  </w:rPr>
                  <w:t>北京凯盛建材工程有限公司</w:t>
                </w:r>
              </w:p>
            </w:tc>
            <w:tc>
              <w:tcPr>
                <w:tcW w:w="624" w:type="pct"/>
              </w:tcPr>
              <w:p w14:paraId="775CFD89" w14:textId="77777777" w:rsidR="00E57DAA" w:rsidRDefault="00AC4185">
                <w:pPr>
                  <w:rPr>
                    <w:szCs w:val="21"/>
                  </w:rPr>
                </w:pPr>
                <w:r>
                  <w:rPr>
                    <w:rFonts w:hint="eastAsia"/>
                    <w:szCs w:val="21"/>
                  </w:rPr>
                  <w:t>北京市</w:t>
                </w:r>
              </w:p>
            </w:tc>
            <w:tc>
              <w:tcPr>
                <w:tcW w:w="616" w:type="pct"/>
              </w:tcPr>
              <w:p w14:paraId="457775C4" w14:textId="77777777" w:rsidR="00E57DAA" w:rsidRDefault="00E57DAA">
                <w:pPr>
                  <w:jc w:val="right"/>
                  <w:rPr>
                    <w:szCs w:val="21"/>
                  </w:rPr>
                </w:pPr>
              </w:p>
            </w:tc>
            <w:tc>
              <w:tcPr>
                <w:tcW w:w="616" w:type="pct"/>
              </w:tcPr>
              <w:p w14:paraId="12EDC9EE" w14:textId="77777777" w:rsidR="00E57DAA" w:rsidRDefault="00AC4185">
                <w:pPr>
                  <w:rPr>
                    <w:szCs w:val="21"/>
                  </w:rPr>
                </w:pPr>
                <w:r>
                  <w:rPr>
                    <w:rFonts w:hint="eastAsia"/>
                  </w:rPr>
                  <w:t>北京市</w:t>
                </w:r>
              </w:p>
            </w:tc>
            <w:tc>
              <w:tcPr>
                <w:tcW w:w="630" w:type="pct"/>
              </w:tcPr>
              <w:p w14:paraId="47686E40" w14:textId="77777777" w:rsidR="00E57DAA" w:rsidRDefault="00AC4185">
                <w:pPr>
                  <w:rPr>
                    <w:szCs w:val="21"/>
                  </w:rPr>
                </w:pPr>
                <w:r>
                  <w:rPr>
                    <w:rFonts w:hint="eastAsia"/>
                  </w:rPr>
                  <w:t>工程承包</w:t>
                </w:r>
              </w:p>
            </w:tc>
            <w:tc>
              <w:tcPr>
                <w:tcW w:w="624" w:type="pct"/>
              </w:tcPr>
              <w:p w14:paraId="0C5A6F56" w14:textId="77777777" w:rsidR="00E57DAA" w:rsidRDefault="00AC4185">
                <w:pPr>
                  <w:jc w:val="right"/>
                  <w:rPr>
                    <w:szCs w:val="21"/>
                  </w:rPr>
                </w:pPr>
                <w:r>
                  <w:rPr>
                    <w:rFonts w:hint="eastAsia"/>
                    <w:szCs w:val="21"/>
                  </w:rPr>
                  <w:t>100.00</w:t>
                </w:r>
              </w:p>
            </w:tc>
            <w:tc>
              <w:tcPr>
                <w:tcW w:w="624" w:type="pct"/>
              </w:tcPr>
              <w:p w14:paraId="046DE0CE" w14:textId="77777777" w:rsidR="00E57DAA" w:rsidRDefault="00E57DAA">
                <w:pPr>
                  <w:jc w:val="right"/>
                  <w:rPr>
                    <w:szCs w:val="21"/>
                  </w:rPr>
                </w:pPr>
              </w:p>
            </w:tc>
            <w:tc>
              <w:tcPr>
                <w:tcW w:w="685" w:type="pct"/>
              </w:tcPr>
              <w:p w14:paraId="0655F8E9"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968592117"/>
          <w:lock w:val="sdtLocked"/>
          <w:placeholder>
            <w:docPart w:val="EC92B77F7A79415C863C1C8AE4A17B8C"/>
          </w:placeholder>
        </w:sdtPr>
        <w:sdtEndPr/>
        <w:sdtContent>
          <w:tr w:rsidR="00E57DAA" w14:paraId="140C3631" w14:textId="77777777">
            <w:tc>
              <w:tcPr>
                <w:tcW w:w="581" w:type="pct"/>
              </w:tcPr>
              <w:p w14:paraId="05194412" w14:textId="77777777" w:rsidR="00E57DAA" w:rsidRDefault="00AC4185">
                <w:pPr>
                  <w:jc w:val="both"/>
                  <w:rPr>
                    <w:szCs w:val="21"/>
                  </w:rPr>
                </w:pPr>
                <w:r>
                  <w:rPr>
                    <w:rFonts w:hint="eastAsia"/>
                  </w:rPr>
                  <w:t>苏州中材建设有限公司</w:t>
                </w:r>
              </w:p>
            </w:tc>
            <w:tc>
              <w:tcPr>
                <w:tcW w:w="624" w:type="pct"/>
              </w:tcPr>
              <w:p w14:paraId="35550902" w14:textId="77777777" w:rsidR="00E57DAA" w:rsidRDefault="00AC4185">
                <w:pPr>
                  <w:rPr>
                    <w:szCs w:val="21"/>
                  </w:rPr>
                </w:pPr>
                <w:r>
                  <w:rPr>
                    <w:rFonts w:hint="eastAsia"/>
                    <w:szCs w:val="21"/>
                  </w:rPr>
                  <w:t>江苏省苏州市</w:t>
                </w:r>
              </w:p>
            </w:tc>
            <w:tc>
              <w:tcPr>
                <w:tcW w:w="616" w:type="pct"/>
              </w:tcPr>
              <w:p w14:paraId="1A475A7C" w14:textId="77777777" w:rsidR="00E57DAA" w:rsidRDefault="00E57DAA">
                <w:pPr>
                  <w:jc w:val="right"/>
                  <w:rPr>
                    <w:szCs w:val="21"/>
                  </w:rPr>
                </w:pPr>
              </w:p>
            </w:tc>
            <w:tc>
              <w:tcPr>
                <w:tcW w:w="616" w:type="pct"/>
              </w:tcPr>
              <w:p w14:paraId="3E6708D6" w14:textId="77777777" w:rsidR="00E57DAA" w:rsidRDefault="00AC4185">
                <w:pPr>
                  <w:rPr>
                    <w:szCs w:val="21"/>
                  </w:rPr>
                </w:pPr>
                <w:r>
                  <w:rPr>
                    <w:rFonts w:hint="eastAsia"/>
                  </w:rPr>
                  <w:t>江苏省苏州市</w:t>
                </w:r>
              </w:p>
            </w:tc>
            <w:tc>
              <w:tcPr>
                <w:tcW w:w="630" w:type="pct"/>
              </w:tcPr>
              <w:p w14:paraId="11CABFA7" w14:textId="77777777" w:rsidR="00E57DAA" w:rsidRDefault="00AC4185">
                <w:pPr>
                  <w:rPr>
                    <w:szCs w:val="21"/>
                  </w:rPr>
                </w:pPr>
                <w:r>
                  <w:rPr>
                    <w:rFonts w:hint="eastAsia"/>
                  </w:rPr>
                  <w:t>工程承包</w:t>
                </w:r>
              </w:p>
            </w:tc>
            <w:tc>
              <w:tcPr>
                <w:tcW w:w="624" w:type="pct"/>
              </w:tcPr>
              <w:p w14:paraId="2A272F34" w14:textId="77777777" w:rsidR="00E57DAA" w:rsidRDefault="00AC4185">
                <w:pPr>
                  <w:jc w:val="right"/>
                  <w:rPr>
                    <w:szCs w:val="21"/>
                  </w:rPr>
                </w:pPr>
                <w:r>
                  <w:rPr>
                    <w:rFonts w:hint="eastAsia"/>
                    <w:szCs w:val="21"/>
                  </w:rPr>
                  <w:t>62.58</w:t>
                </w:r>
              </w:p>
            </w:tc>
            <w:tc>
              <w:tcPr>
                <w:tcW w:w="624" w:type="pct"/>
              </w:tcPr>
              <w:p w14:paraId="3C4AA6F2" w14:textId="77777777" w:rsidR="00E57DAA" w:rsidRDefault="00AC4185">
                <w:pPr>
                  <w:jc w:val="right"/>
                  <w:rPr>
                    <w:szCs w:val="21"/>
                  </w:rPr>
                </w:pPr>
                <w:r>
                  <w:rPr>
                    <w:rFonts w:hint="eastAsia"/>
                    <w:szCs w:val="21"/>
                  </w:rPr>
                  <w:t>37.42</w:t>
                </w:r>
              </w:p>
            </w:tc>
            <w:tc>
              <w:tcPr>
                <w:tcW w:w="685" w:type="pct"/>
              </w:tcPr>
              <w:p w14:paraId="16F36F94"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972661572"/>
          <w:lock w:val="sdtLocked"/>
          <w:placeholder>
            <w:docPart w:val="EC92B77F7A79415C863C1C8AE4A17B8C"/>
          </w:placeholder>
        </w:sdtPr>
        <w:sdtEndPr/>
        <w:sdtContent>
          <w:tr w:rsidR="00E57DAA" w14:paraId="15AB3AF6" w14:textId="77777777">
            <w:tc>
              <w:tcPr>
                <w:tcW w:w="581" w:type="pct"/>
              </w:tcPr>
              <w:p w14:paraId="3387BCD5" w14:textId="77777777" w:rsidR="00E57DAA" w:rsidRDefault="00AC4185">
                <w:pPr>
                  <w:jc w:val="both"/>
                  <w:rPr>
                    <w:szCs w:val="21"/>
                  </w:rPr>
                </w:pPr>
                <w:r>
                  <w:rPr>
                    <w:rFonts w:hint="eastAsia"/>
                  </w:rPr>
                  <w:t>邯郸中材建设有限责任公司</w:t>
                </w:r>
              </w:p>
            </w:tc>
            <w:tc>
              <w:tcPr>
                <w:tcW w:w="624" w:type="pct"/>
              </w:tcPr>
              <w:p w14:paraId="796418B5" w14:textId="77777777" w:rsidR="00E57DAA" w:rsidRDefault="00AC4185">
                <w:pPr>
                  <w:rPr>
                    <w:szCs w:val="21"/>
                  </w:rPr>
                </w:pPr>
                <w:r>
                  <w:rPr>
                    <w:rFonts w:hint="eastAsia"/>
                    <w:szCs w:val="21"/>
                  </w:rPr>
                  <w:t>河北省邯郸市</w:t>
                </w:r>
              </w:p>
            </w:tc>
            <w:tc>
              <w:tcPr>
                <w:tcW w:w="616" w:type="pct"/>
              </w:tcPr>
              <w:p w14:paraId="1014D616" w14:textId="77777777" w:rsidR="00E57DAA" w:rsidRDefault="00E57DAA">
                <w:pPr>
                  <w:jc w:val="right"/>
                  <w:rPr>
                    <w:szCs w:val="21"/>
                  </w:rPr>
                </w:pPr>
              </w:p>
            </w:tc>
            <w:tc>
              <w:tcPr>
                <w:tcW w:w="616" w:type="pct"/>
              </w:tcPr>
              <w:p w14:paraId="0A65C710" w14:textId="77777777" w:rsidR="00E57DAA" w:rsidRDefault="00AC4185">
                <w:pPr>
                  <w:rPr>
                    <w:szCs w:val="21"/>
                  </w:rPr>
                </w:pPr>
                <w:r>
                  <w:rPr>
                    <w:rFonts w:hint="eastAsia"/>
                  </w:rPr>
                  <w:t>河北省邯郸市</w:t>
                </w:r>
              </w:p>
            </w:tc>
            <w:tc>
              <w:tcPr>
                <w:tcW w:w="630" w:type="pct"/>
              </w:tcPr>
              <w:p w14:paraId="7D9265B5" w14:textId="77777777" w:rsidR="00E57DAA" w:rsidRDefault="00AC4185">
                <w:pPr>
                  <w:rPr>
                    <w:szCs w:val="21"/>
                  </w:rPr>
                </w:pPr>
                <w:r>
                  <w:rPr>
                    <w:rFonts w:hint="eastAsia"/>
                  </w:rPr>
                  <w:t>工程承包</w:t>
                </w:r>
              </w:p>
            </w:tc>
            <w:tc>
              <w:tcPr>
                <w:tcW w:w="624" w:type="pct"/>
              </w:tcPr>
              <w:p w14:paraId="7454DA18" w14:textId="77777777" w:rsidR="00E57DAA" w:rsidRDefault="00AC4185">
                <w:pPr>
                  <w:jc w:val="right"/>
                  <w:rPr>
                    <w:szCs w:val="21"/>
                  </w:rPr>
                </w:pPr>
                <w:r>
                  <w:rPr>
                    <w:rFonts w:hint="eastAsia"/>
                    <w:szCs w:val="21"/>
                  </w:rPr>
                  <w:t>100.00</w:t>
                </w:r>
              </w:p>
            </w:tc>
            <w:tc>
              <w:tcPr>
                <w:tcW w:w="624" w:type="pct"/>
              </w:tcPr>
              <w:p w14:paraId="763FC8F8" w14:textId="77777777" w:rsidR="00E57DAA" w:rsidRDefault="00E57DAA">
                <w:pPr>
                  <w:jc w:val="right"/>
                  <w:rPr>
                    <w:szCs w:val="21"/>
                  </w:rPr>
                </w:pPr>
              </w:p>
            </w:tc>
            <w:tc>
              <w:tcPr>
                <w:tcW w:w="685" w:type="pct"/>
              </w:tcPr>
              <w:p w14:paraId="080DD4D9"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1839760353"/>
          <w:lock w:val="sdtLocked"/>
          <w:placeholder>
            <w:docPart w:val="EC92B77F7A79415C863C1C8AE4A17B8C"/>
          </w:placeholder>
        </w:sdtPr>
        <w:sdtEndPr/>
        <w:sdtContent>
          <w:tr w:rsidR="00E57DAA" w14:paraId="52BA4EC4" w14:textId="77777777">
            <w:tc>
              <w:tcPr>
                <w:tcW w:w="581" w:type="pct"/>
              </w:tcPr>
              <w:p w14:paraId="6501B6B2" w14:textId="77777777" w:rsidR="00E57DAA" w:rsidRDefault="00AC4185">
                <w:pPr>
                  <w:jc w:val="both"/>
                  <w:rPr>
                    <w:szCs w:val="21"/>
                  </w:rPr>
                </w:pPr>
                <w:r>
                  <w:rPr>
                    <w:rFonts w:hint="eastAsia"/>
                  </w:rPr>
                  <w:t>中材国际环境工程（北京）有限公司</w:t>
                </w:r>
              </w:p>
            </w:tc>
            <w:tc>
              <w:tcPr>
                <w:tcW w:w="624" w:type="pct"/>
              </w:tcPr>
              <w:p w14:paraId="0DCAC7DF" w14:textId="77777777" w:rsidR="00E57DAA" w:rsidRDefault="00AC4185">
                <w:pPr>
                  <w:rPr>
                    <w:szCs w:val="21"/>
                  </w:rPr>
                </w:pPr>
                <w:r>
                  <w:rPr>
                    <w:rFonts w:hint="eastAsia"/>
                    <w:szCs w:val="21"/>
                  </w:rPr>
                  <w:t>北京市</w:t>
                </w:r>
              </w:p>
            </w:tc>
            <w:tc>
              <w:tcPr>
                <w:tcW w:w="616" w:type="pct"/>
              </w:tcPr>
              <w:p w14:paraId="37627D7F" w14:textId="77777777" w:rsidR="00E57DAA" w:rsidRDefault="00E57DAA">
                <w:pPr>
                  <w:jc w:val="right"/>
                  <w:rPr>
                    <w:szCs w:val="21"/>
                  </w:rPr>
                </w:pPr>
              </w:p>
            </w:tc>
            <w:tc>
              <w:tcPr>
                <w:tcW w:w="616" w:type="pct"/>
              </w:tcPr>
              <w:p w14:paraId="58752F8D" w14:textId="77777777" w:rsidR="00E57DAA" w:rsidRDefault="00AC4185">
                <w:pPr>
                  <w:rPr>
                    <w:szCs w:val="21"/>
                  </w:rPr>
                </w:pPr>
                <w:r>
                  <w:rPr>
                    <w:rFonts w:hint="eastAsia"/>
                  </w:rPr>
                  <w:t>北京市</w:t>
                </w:r>
              </w:p>
            </w:tc>
            <w:tc>
              <w:tcPr>
                <w:tcW w:w="630" w:type="pct"/>
              </w:tcPr>
              <w:p w14:paraId="22AE19D4" w14:textId="77777777" w:rsidR="00E57DAA" w:rsidRDefault="00AC4185">
                <w:pPr>
                  <w:rPr>
                    <w:szCs w:val="21"/>
                  </w:rPr>
                </w:pPr>
                <w:r>
                  <w:rPr>
                    <w:rFonts w:hint="eastAsia"/>
                  </w:rPr>
                  <w:t>工程技术</w:t>
                </w:r>
              </w:p>
            </w:tc>
            <w:tc>
              <w:tcPr>
                <w:tcW w:w="624" w:type="pct"/>
              </w:tcPr>
              <w:p w14:paraId="0C21992F" w14:textId="77777777" w:rsidR="00E57DAA" w:rsidRDefault="00AC4185">
                <w:pPr>
                  <w:jc w:val="right"/>
                  <w:rPr>
                    <w:szCs w:val="21"/>
                  </w:rPr>
                </w:pPr>
                <w:r>
                  <w:rPr>
                    <w:rFonts w:hint="eastAsia"/>
                    <w:szCs w:val="21"/>
                  </w:rPr>
                  <w:t>100.00</w:t>
                </w:r>
              </w:p>
            </w:tc>
            <w:tc>
              <w:tcPr>
                <w:tcW w:w="624" w:type="pct"/>
              </w:tcPr>
              <w:p w14:paraId="7FFE5844" w14:textId="77777777" w:rsidR="00E57DAA" w:rsidRDefault="00E57DAA">
                <w:pPr>
                  <w:jc w:val="right"/>
                  <w:rPr>
                    <w:szCs w:val="21"/>
                  </w:rPr>
                </w:pPr>
              </w:p>
            </w:tc>
            <w:tc>
              <w:tcPr>
                <w:tcW w:w="685" w:type="pct"/>
              </w:tcPr>
              <w:p w14:paraId="5B8D31BF"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43331533"/>
          <w:lock w:val="sdtLocked"/>
          <w:placeholder>
            <w:docPart w:val="EC92B77F7A79415C863C1C8AE4A17B8C"/>
          </w:placeholder>
        </w:sdtPr>
        <w:sdtEndPr/>
        <w:sdtContent>
          <w:tr w:rsidR="00E57DAA" w14:paraId="3DB9ECD8" w14:textId="77777777">
            <w:tc>
              <w:tcPr>
                <w:tcW w:w="581" w:type="pct"/>
              </w:tcPr>
              <w:p w14:paraId="506CA200" w14:textId="77777777" w:rsidR="00E57DAA" w:rsidRDefault="00AC4185">
                <w:pPr>
                  <w:jc w:val="both"/>
                  <w:rPr>
                    <w:szCs w:val="21"/>
                  </w:rPr>
                </w:pPr>
                <w:r>
                  <w:rPr>
                    <w:rFonts w:hint="eastAsia"/>
                  </w:rPr>
                  <w:t>中材国际水务科技（合肥）有限公司</w:t>
                </w:r>
              </w:p>
            </w:tc>
            <w:tc>
              <w:tcPr>
                <w:tcW w:w="624" w:type="pct"/>
              </w:tcPr>
              <w:p w14:paraId="728FA9F2" w14:textId="77777777" w:rsidR="00E57DAA" w:rsidRDefault="00AC4185">
                <w:pPr>
                  <w:rPr>
                    <w:szCs w:val="21"/>
                  </w:rPr>
                </w:pPr>
                <w:r>
                  <w:rPr>
                    <w:rFonts w:hint="eastAsia"/>
                    <w:szCs w:val="21"/>
                  </w:rPr>
                  <w:t>安徽省合肥市</w:t>
                </w:r>
              </w:p>
            </w:tc>
            <w:tc>
              <w:tcPr>
                <w:tcW w:w="616" w:type="pct"/>
              </w:tcPr>
              <w:p w14:paraId="0C77A1DA" w14:textId="77777777" w:rsidR="00E57DAA" w:rsidRDefault="00E57DAA">
                <w:pPr>
                  <w:jc w:val="right"/>
                  <w:rPr>
                    <w:szCs w:val="21"/>
                  </w:rPr>
                </w:pPr>
              </w:p>
            </w:tc>
            <w:tc>
              <w:tcPr>
                <w:tcW w:w="616" w:type="pct"/>
              </w:tcPr>
              <w:p w14:paraId="6488E243" w14:textId="77777777" w:rsidR="00E57DAA" w:rsidRDefault="00AC4185">
                <w:pPr>
                  <w:rPr>
                    <w:szCs w:val="21"/>
                  </w:rPr>
                </w:pPr>
                <w:r>
                  <w:rPr>
                    <w:rFonts w:hint="eastAsia"/>
                  </w:rPr>
                  <w:t>安徽省合肥市</w:t>
                </w:r>
              </w:p>
            </w:tc>
            <w:tc>
              <w:tcPr>
                <w:tcW w:w="630" w:type="pct"/>
              </w:tcPr>
              <w:p w14:paraId="725D1BC6" w14:textId="77777777" w:rsidR="00E57DAA" w:rsidRDefault="00AC4185">
                <w:pPr>
                  <w:rPr>
                    <w:szCs w:val="21"/>
                  </w:rPr>
                </w:pPr>
                <w:r>
                  <w:rPr>
                    <w:rFonts w:hint="eastAsia"/>
                  </w:rPr>
                  <w:t>节能环保</w:t>
                </w:r>
              </w:p>
            </w:tc>
            <w:tc>
              <w:tcPr>
                <w:tcW w:w="624" w:type="pct"/>
              </w:tcPr>
              <w:p w14:paraId="78FF694C" w14:textId="77777777" w:rsidR="00E57DAA" w:rsidRDefault="00AC4185">
                <w:pPr>
                  <w:jc w:val="right"/>
                  <w:rPr>
                    <w:szCs w:val="21"/>
                  </w:rPr>
                </w:pPr>
                <w:r>
                  <w:rPr>
                    <w:rFonts w:hint="eastAsia"/>
                    <w:szCs w:val="21"/>
                  </w:rPr>
                  <w:t>100.00</w:t>
                </w:r>
              </w:p>
            </w:tc>
            <w:tc>
              <w:tcPr>
                <w:tcW w:w="624" w:type="pct"/>
              </w:tcPr>
              <w:p w14:paraId="797777E0" w14:textId="77777777" w:rsidR="00E57DAA" w:rsidRDefault="00E57DAA">
                <w:pPr>
                  <w:jc w:val="right"/>
                  <w:rPr>
                    <w:szCs w:val="21"/>
                  </w:rPr>
                </w:pPr>
              </w:p>
            </w:tc>
            <w:tc>
              <w:tcPr>
                <w:tcW w:w="685" w:type="pct"/>
              </w:tcPr>
              <w:p w14:paraId="773EC289" w14:textId="77777777" w:rsidR="00E57DAA" w:rsidRDefault="00AC4185">
                <w:pPr>
                  <w:rPr>
                    <w:szCs w:val="21"/>
                  </w:rPr>
                </w:pPr>
                <w:r>
                  <w:rPr>
                    <w:rFonts w:hint="eastAsia"/>
                  </w:rPr>
                  <w:t>非同一控制下企业合并</w:t>
                </w:r>
              </w:p>
            </w:tc>
          </w:tr>
        </w:sdtContent>
      </w:sdt>
      <w:sdt>
        <w:sdtPr>
          <w:rPr>
            <w:szCs w:val="21"/>
          </w:rPr>
          <w:alias w:val="企业合并及合并财务报表明细"/>
          <w:tag w:val="_GBC_986bfe326d834fea9d2920637e286f21"/>
          <w:id w:val="-928655759"/>
          <w:lock w:val="sdtLocked"/>
          <w:placeholder>
            <w:docPart w:val="EC92B77F7A79415C863C1C8AE4A17B8C"/>
          </w:placeholder>
        </w:sdtPr>
        <w:sdtEndPr/>
        <w:sdtContent>
          <w:tr w:rsidR="00E57DAA" w14:paraId="0861B933" w14:textId="77777777">
            <w:tc>
              <w:tcPr>
                <w:tcW w:w="581" w:type="pct"/>
              </w:tcPr>
              <w:p w14:paraId="20BFE3AD" w14:textId="77777777" w:rsidR="00E57DAA" w:rsidRDefault="00AC4185">
                <w:pPr>
                  <w:jc w:val="both"/>
                  <w:rPr>
                    <w:szCs w:val="21"/>
                  </w:rPr>
                </w:pPr>
                <w:r>
                  <w:rPr>
                    <w:rFonts w:hint="eastAsia"/>
                  </w:rPr>
                  <w:t>中材技术服务（北京）有限公司</w:t>
                </w:r>
              </w:p>
            </w:tc>
            <w:tc>
              <w:tcPr>
                <w:tcW w:w="624" w:type="pct"/>
              </w:tcPr>
              <w:p w14:paraId="7C8E2914" w14:textId="77777777" w:rsidR="00E57DAA" w:rsidRDefault="00AC4185">
                <w:pPr>
                  <w:rPr>
                    <w:szCs w:val="21"/>
                  </w:rPr>
                </w:pPr>
                <w:r>
                  <w:rPr>
                    <w:rFonts w:hint="eastAsia"/>
                    <w:szCs w:val="21"/>
                  </w:rPr>
                  <w:t>北京市</w:t>
                </w:r>
              </w:p>
            </w:tc>
            <w:tc>
              <w:tcPr>
                <w:tcW w:w="616" w:type="pct"/>
              </w:tcPr>
              <w:p w14:paraId="74CADE2C" w14:textId="77777777" w:rsidR="00E57DAA" w:rsidRDefault="00E57DAA">
                <w:pPr>
                  <w:jc w:val="right"/>
                  <w:rPr>
                    <w:szCs w:val="21"/>
                  </w:rPr>
                </w:pPr>
              </w:p>
            </w:tc>
            <w:tc>
              <w:tcPr>
                <w:tcW w:w="616" w:type="pct"/>
              </w:tcPr>
              <w:p w14:paraId="25BA2C35" w14:textId="77777777" w:rsidR="00E57DAA" w:rsidRDefault="00AC4185">
                <w:pPr>
                  <w:rPr>
                    <w:szCs w:val="21"/>
                  </w:rPr>
                </w:pPr>
                <w:r>
                  <w:rPr>
                    <w:rFonts w:hint="eastAsia"/>
                  </w:rPr>
                  <w:t>北京市</w:t>
                </w:r>
              </w:p>
            </w:tc>
            <w:tc>
              <w:tcPr>
                <w:tcW w:w="630" w:type="pct"/>
              </w:tcPr>
              <w:p w14:paraId="723EA838" w14:textId="77777777" w:rsidR="00E57DAA" w:rsidRDefault="00AC4185">
                <w:pPr>
                  <w:rPr>
                    <w:szCs w:val="21"/>
                  </w:rPr>
                </w:pPr>
                <w:r>
                  <w:rPr>
                    <w:rFonts w:hint="eastAsia"/>
                  </w:rPr>
                  <w:t>贸易物业</w:t>
                </w:r>
              </w:p>
            </w:tc>
            <w:tc>
              <w:tcPr>
                <w:tcW w:w="624" w:type="pct"/>
              </w:tcPr>
              <w:p w14:paraId="68C86AAC" w14:textId="77777777" w:rsidR="00E57DAA" w:rsidRDefault="00AC4185">
                <w:pPr>
                  <w:jc w:val="right"/>
                  <w:rPr>
                    <w:szCs w:val="21"/>
                  </w:rPr>
                </w:pPr>
                <w:r>
                  <w:rPr>
                    <w:rFonts w:hint="eastAsia"/>
                    <w:szCs w:val="21"/>
                  </w:rPr>
                  <w:t>100.00</w:t>
                </w:r>
              </w:p>
            </w:tc>
            <w:tc>
              <w:tcPr>
                <w:tcW w:w="624" w:type="pct"/>
              </w:tcPr>
              <w:p w14:paraId="6BB12BE9" w14:textId="77777777" w:rsidR="00E57DAA" w:rsidRDefault="00E57DAA">
                <w:pPr>
                  <w:jc w:val="right"/>
                  <w:rPr>
                    <w:szCs w:val="21"/>
                  </w:rPr>
                </w:pPr>
              </w:p>
            </w:tc>
            <w:tc>
              <w:tcPr>
                <w:tcW w:w="685" w:type="pct"/>
              </w:tcPr>
              <w:p w14:paraId="06EE8B46" w14:textId="77777777" w:rsidR="00E57DAA" w:rsidRDefault="00AC4185">
                <w:pPr>
                  <w:rPr>
                    <w:szCs w:val="21"/>
                  </w:rPr>
                </w:pPr>
                <w:r>
                  <w:rPr>
                    <w:rFonts w:hint="eastAsia"/>
                  </w:rPr>
                  <w:t>非同一控制下企业合并</w:t>
                </w:r>
              </w:p>
            </w:tc>
          </w:tr>
        </w:sdtContent>
      </w:sdt>
      <w:sdt>
        <w:sdtPr>
          <w:rPr>
            <w:szCs w:val="21"/>
          </w:rPr>
          <w:alias w:val="企业合并及合并财务报表明细"/>
          <w:tag w:val="_GBC_986bfe326d834fea9d2920637e286f21"/>
          <w:id w:val="354165585"/>
          <w:lock w:val="sdtLocked"/>
          <w:placeholder>
            <w:docPart w:val="EC92B77F7A79415C863C1C8AE4A17B8C"/>
          </w:placeholder>
        </w:sdtPr>
        <w:sdtEndPr/>
        <w:sdtContent>
          <w:tr w:rsidR="00E57DAA" w14:paraId="49B203E8" w14:textId="77777777">
            <w:tc>
              <w:tcPr>
                <w:tcW w:w="581" w:type="pct"/>
              </w:tcPr>
              <w:p w14:paraId="280A98EB" w14:textId="77777777" w:rsidR="00E57DAA" w:rsidRDefault="00AC4185">
                <w:pPr>
                  <w:jc w:val="both"/>
                  <w:rPr>
                    <w:szCs w:val="21"/>
                  </w:rPr>
                </w:pPr>
                <w:proofErr w:type="spellStart"/>
                <w:r>
                  <w:rPr>
                    <w:rFonts w:hint="eastAsia"/>
                  </w:rPr>
                  <w:t>HAZEMAG&amp;EPRGmbH</w:t>
                </w:r>
                <w:proofErr w:type="spellEnd"/>
              </w:p>
            </w:tc>
            <w:tc>
              <w:tcPr>
                <w:tcW w:w="624" w:type="pct"/>
              </w:tcPr>
              <w:p w14:paraId="39993C79" w14:textId="77777777" w:rsidR="00E57DAA" w:rsidRDefault="00AC4185">
                <w:pPr>
                  <w:rPr>
                    <w:szCs w:val="21"/>
                  </w:rPr>
                </w:pPr>
                <w:r>
                  <w:rPr>
                    <w:rFonts w:hint="eastAsia"/>
                    <w:szCs w:val="21"/>
                  </w:rPr>
                  <w:t>德国</w:t>
                </w:r>
              </w:p>
            </w:tc>
            <w:tc>
              <w:tcPr>
                <w:tcW w:w="616" w:type="pct"/>
              </w:tcPr>
              <w:p w14:paraId="46B1C446" w14:textId="77777777" w:rsidR="00E57DAA" w:rsidRDefault="00E57DAA">
                <w:pPr>
                  <w:jc w:val="right"/>
                  <w:rPr>
                    <w:szCs w:val="21"/>
                  </w:rPr>
                </w:pPr>
              </w:p>
            </w:tc>
            <w:tc>
              <w:tcPr>
                <w:tcW w:w="616" w:type="pct"/>
              </w:tcPr>
              <w:p w14:paraId="2CC394DC" w14:textId="77777777" w:rsidR="00E57DAA" w:rsidRDefault="00AC4185">
                <w:pPr>
                  <w:rPr>
                    <w:szCs w:val="21"/>
                  </w:rPr>
                </w:pPr>
                <w:r>
                  <w:rPr>
                    <w:rFonts w:hint="eastAsia"/>
                  </w:rPr>
                  <w:t>德国</w:t>
                </w:r>
              </w:p>
            </w:tc>
            <w:tc>
              <w:tcPr>
                <w:tcW w:w="630" w:type="pct"/>
              </w:tcPr>
              <w:p w14:paraId="6632972F" w14:textId="77777777" w:rsidR="00E57DAA" w:rsidRDefault="00AC4185">
                <w:pPr>
                  <w:rPr>
                    <w:szCs w:val="21"/>
                  </w:rPr>
                </w:pPr>
                <w:r>
                  <w:rPr>
                    <w:rFonts w:hint="eastAsia"/>
                  </w:rPr>
                  <w:t>装备制造</w:t>
                </w:r>
              </w:p>
            </w:tc>
            <w:tc>
              <w:tcPr>
                <w:tcW w:w="624" w:type="pct"/>
              </w:tcPr>
              <w:p w14:paraId="3DDEC90E" w14:textId="77777777" w:rsidR="00E57DAA" w:rsidRDefault="00AC4185">
                <w:pPr>
                  <w:jc w:val="right"/>
                  <w:rPr>
                    <w:szCs w:val="21"/>
                  </w:rPr>
                </w:pPr>
                <w:r>
                  <w:rPr>
                    <w:rFonts w:hint="eastAsia"/>
                    <w:szCs w:val="21"/>
                  </w:rPr>
                  <w:t>59.09</w:t>
                </w:r>
              </w:p>
            </w:tc>
            <w:tc>
              <w:tcPr>
                <w:tcW w:w="624" w:type="pct"/>
              </w:tcPr>
              <w:p w14:paraId="26D3F5E7" w14:textId="77777777" w:rsidR="00E57DAA" w:rsidRDefault="00E57DAA">
                <w:pPr>
                  <w:jc w:val="right"/>
                  <w:rPr>
                    <w:szCs w:val="21"/>
                  </w:rPr>
                </w:pPr>
              </w:p>
            </w:tc>
            <w:tc>
              <w:tcPr>
                <w:tcW w:w="685" w:type="pct"/>
              </w:tcPr>
              <w:p w14:paraId="2C8D7443" w14:textId="77777777" w:rsidR="00E57DAA" w:rsidRDefault="00AC4185">
                <w:pPr>
                  <w:rPr>
                    <w:szCs w:val="21"/>
                  </w:rPr>
                </w:pPr>
                <w:r>
                  <w:rPr>
                    <w:rFonts w:hint="eastAsia"/>
                  </w:rPr>
                  <w:t>非同一控制下企业合并</w:t>
                </w:r>
              </w:p>
            </w:tc>
          </w:tr>
        </w:sdtContent>
      </w:sdt>
      <w:sdt>
        <w:sdtPr>
          <w:rPr>
            <w:szCs w:val="21"/>
          </w:rPr>
          <w:alias w:val="企业合并及合并财务报表明细"/>
          <w:tag w:val="_GBC_986bfe326d834fea9d2920637e286f21"/>
          <w:id w:val="470715961"/>
          <w:lock w:val="sdtLocked"/>
          <w:placeholder>
            <w:docPart w:val="EC92B77F7A79415C863C1C8AE4A17B8C"/>
          </w:placeholder>
        </w:sdtPr>
        <w:sdtEndPr/>
        <w:sdtContent>
          <w:tr w:rsidR="00E57DAA" w14:paraId="1D711C0A" w14:textId="77777777">
            <w:tc>
              <w:tcPr>
                <w:tcW w:w="581" w:type="pct"/>
              </w:tcPr>
              <w:p w14:paraId="4D4CC5C1" w14:textId="77777777" w:rsidR="00E57DAA" w:rsidRDefault="00AC4185">
                <w:pPr>
                  <w:jc w:val="both"/>
                  <w:rPr>
                    <w:szCs w:val="21"/>
                  </w:rPr>
                </w:pPr>
                <w:r>
                  <w:rPr>
                    <w:rFonts w:hint="eastAsia"/>
                  </w:rPr>
                  <w:t>中材宁锐（南京）国际物流有限公司</w:t>
                </w:r>
              </w:p>
            </w:tc>
            <w:tc>
              <w:tcPr>
                <w:tcW w:w="624" w:type="pct"/>
              </w:tcPr>
              <w:p w14:paraId="154B5B3A" w14:textId="77777777" w:rsidR="00E57DAA" w:rsidRDefault="00AC4185">
                <w:pPr>
                  <w:rPr>
                    <w:szCs w:val="21"/>
                  </w:rPr>
                </w:pPr>
                <w:r>
                  <w:rPr>
                    <w:rFonts w:hint="eastAsia"/>
                    <w:szCs w:val="21"/>
                  </w:rPr>
                  <w:t>江苏省南京市</w:t>
                </w:r>
              </w:p>
            </w:tc>
            <w:tc>
              <w:tcPr>
                <w:tcW w:w="616" w:type="pct"/>
              </w:tcPr>
              <w:p w14:paraId="06F778F2" w14:textId="77777777" w:rsidR="00E57DAA" w:rsidRDefault="00E57DAA">
                <w:pPr>
                  <w:jc w:val="right"/>
                  <w:rPr>
                    <w:szCs w:val="21"/>
                  </w:rPr>
                </w:pPr>
              </w:p>
            </w:tc>
            <w:tc>
              <w:tcPr>
                <w:tcW w:w="616" w:type="pct"/>
              </w:tcPr>
              <w:p w14:paraId="5EE78A38" w14:textId="77777777" w:rsidR="00E57DAA" w:rsidRDefault="00AC4185">
                <w:pPr>
                  <w:rPr>
                    <w:szCs w:val="21"/>
                  </w:rPr>
                </w:pPr>
                <w:r>
                  <w:rPr>
                    <w:rFonts w:hint="eastAsia"/>
                  </w:rPr>
                  <w:t>江苏省南京市</w:t>
                </w:r>
              </w:p>
            </w:tc>
            <w:tc>
              <w:tcPr>
                <w:tcW w:w="630" w:type="pct"/>
              </w:tcPr>
              <w:p w14:paraId="73AE69EC" w14:textId="77777777" w:rsidR="00E57DAA" w:rsidRDefault="00AC4185">
                <w:pPr>
                  <w:rPr>
                    <w:szCs w:val="21"/>
                  </w:rPr>
                </w:pPr>
                <w:r>
                  <w:rPr>
                    <w:rFonts w:hint="eastAsia"/>
                  </w:rPr>
                  <w:t>物流</w:t>
                </w:r>
              </w:p>
            </w:tc>
            <w:tc>
              <w:tcPr>
                <w:tcW w:w="624" w:type="pct"/>
              </w:tcPr>
              <w:p w14:paraId="05226BF0" w14:textId="77777777" w:rsidR="00E57DAA" w:rsidRDefault="00AC4185">
                <w:pPr>
                  <w:jc w:val="right"/>
                  <w:rPr>
                    <w:szCs w:val="21"/>
                  </w:rPr>
                </w:pPr>
                <w:r>
                  <w:rPr>
                    <w:rFonts w:hint="eastAsia"/>
                    <w:szCs w:val="21"/>
                  </w:rPr>
                  <w:t>90.00</w:t>
                </w:r>
              </w:p>
            </w:tc>
            <w:tc>
              <w:tcPr>
                <w:tcW w:w="624" w:type="pct"/>
              </w:tcPr>
              <w:p w14:paraId="14938A91" w14:textId="77777777" w:rsidR="00E57DAA" w:rsidRDefault="00E57DAA">
                <w:pPr>
                  <w:jc w:val="right"/>
                  <w:rPr>
                    <w:szCs w:val="21"/>
                  </w:rPr>
                </w:pPr>
              </w:p>
            </w:tc>
            <w:tc>
              <w:tcPr>
                <w:tcW w:w="685" w:type="pct"/>
              </w:tcPr>
              <w:p w14:paraId="7B378EE0" w14:textId="77777777" w:rsidR="00E57DAA" w:rsidRDefault="00AC4185">
                <w:pPr>
                  <w:rPr>
                    <w:szCs w:val="21"/>
                  </w:rPr>
                </w:pPr>
                <w:r>
                  <w:rPr>
                    <w:rFonts w:hint="eastAsia"/>
                  </w:rPr>
                  <w:t>新设</w:t>
                </w:r>
              </w:p>
            </w:tc>
          </w:tr>
        </w:sdtContent>
      </w:sdt>
      <w:sdt>
        <w:sdtPr>
          <w:rPr>
            <w:szCs w:val="21"/>
          </w:rPr>
          <w:alias w:val="企业合并及合并财务报表明细"/>
          <w:tag w:val="_GBC_986bfe326d834fea9d2920637e286f21"/>
          <w:id w:val="-2061706613"/>
          <w:lock w:val="sdtLocked"/>
          <w:placeholder>
            <w:docPart w:val="EC92B77F7A79415C863C1C8AE4A17B8C"/>
          </w:placeholder>
        </w:sdtPr>
        <w:sdtEndPr/>
        <w:sdtContent>
          <w:tr w:rsidR="00E57DAA" w14:paraId="1A5E6C88" w14:textId="77777777">
            <w:tc>
              <w:tcPr>
                <w:tcW w:w="581" w:type="pct"/>
              </w:tcPr>
              <w:p w14:paraId="174D7E6E" w14:textId="77777777" w:rsidR="00E57DAA" w:rsidRDefault="00AC4185">
                <w:pPr>
                  <w:jc w:val="both"/>
                  <w:rPr>
                    <w:szCs w:val="21"/>
                  </w:rPr>
                </w:pPr>
                <w:r>
                  <w:rPr>
                    <w:rFonts w:hint="eastAsia"/>
                  </w:rPr>
                  <w:t>浙江中材工程设计研究院有限公司</w:t>
                </w:r>
              </w:p>
            </w:tc>
            <w:tc>
              <w:tcPr>
                <w:tcW w:w="624" w:type="pct"/>
              </w:tcPr>
              <w:p w14:paraId="12F810CA" w14:textId="77777777" w:rsidR="00E57DAA" w:rsidRDefault="00AC4185">
                <w:pPr>
                  <w:rPr>
                    <w:szCs w:val="21"/>
                  </w:rPr>
                </w:pPr>
                <w:r>
                  <w:rPr>
                    <w:rFonts w:hint="eastAsia"/>
                    <w:szCs w:val="21"/>
                  </w:rPr>
                  <w:t>浙江省杭州市</w:t>
                </w:r>
              </w:p>
            </w:tc>
            <w:tc>
              <w:tcPr>
                <w:tcW w:w="616" w:type="pct"/>
              </w:tcPr>
              <w:p w14:paraId="51A8CC28" w14:textId="77777777" w:rsidR="00E57DAA" w:rsidRDefault="00E57DAA">
                <w:pPr>
                  <w:jc w:val="right"/>
                  <w:rPr>
                    <w:szCs w:val="21"/>
                  </w:rPr>
                </w:pPr>
              </w:p>
            </w:tc>
            <w:tc>
              <w:tcPr>
                <w:tcW w:w="616" w:type="pct"/>
              </w:tcPr>
              <w:p w14:paraId="53ACEBE7" w14:textId="77777777" w:rsidR="00E57DAA" w:rsidRDefault="00AC4185">
                <w:pPr>
                  <w:rPr>
                    <w:szCs w:val="21"/>
                  </w:rPr>
                </w:pPr>
                <w:r>
                  <w:rPr>
                    <w:rFonts w:hint="eastAsia"/>
                  </w:rPr>
                  <w:t>浙江省杭州市</w:t>
                </w:r>
              </w:p>
            </w:tc>
            <w:tc>
              <w:tcPr>
                <w:tcW w:w="630" w:type="pct"/>
              </w:tcPr>
              <w:p w14:paraId="2BE2E0CD" w14:textId="77777777" w:rsidR="00E57DAA" w:rsidRDefault="00AC4185">
                <w:pPr>
                  <w:rPr>
                    <w:szCs w:val="21"/>
                  </w:rPr>
                </w:pPr>
                <w:r>
                  <w:rPr>
                    <w:rFonts w:hint="eastAsia"/>
                  </w:rPr>
                  <w:t>工程设计</w:t>
                </w:r>
              </w:p>
            </w:tc>
            <w:tc>
              <w:tcPr>
                <w:tcW w:w="624" w:type="pct"/>
              </w:tcPr>
              <w:p w14:paraId="39D6D0D2" w14:textId="77777777" w:rsidR="00E57DAA" w:rsidRDefault="00AC4185">
                <w:pPr>
                  <w:jc w:val="right"/>
                  <w:rPr>
                    <w:szCs w:val="21"/>
                  </w:rPr>
                </w:pPr>
                <w:r>
                  <w:rPr>
                    <w:rFonts w:hint="eastAsia"/>
                    <w:szCs w:val="21"/>
                  </w:rPr>
                  <w:t>100.00</w:t>
                </w:r>
              </w:p>
            </w:tc>
            <w:tc>
              <w:tcPr>
                <w:tcW w:w="624" w:type="pct"/>
              </w:tcPr>
              <w:p w14:paraId="0115D28C" w14:textId="77777777" w:rsidR="00E57DAA" w:rsidRDefault="00E57DAA">
                <w:pPr>
                  <w:jc w:val="right"/>
                  <w:rPr>
                    <w:szCs w:val="21"/>
                  </w:rPr>
                </w:pPr>
              </w:p>
            </w:tc>
            <w:tc>
              <w:tcPr>
                <w:tcW w:w="685" w:type="pct"/>
              </w:tcPr>
              <w:p w14:paraId="3D3AF88F"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825231989"/>
          <w:lock w:val="sdtLocked"/>
          <w:placeholder>
            <w:docPart w:val="EC92B77F7A79415C863C1C8AE4A17B8C"/>
          </w:placeholder>
        </w:sdtPr>
        <w:sdtEndPr/>
        <w:sdtContent>
          <w:tr w:rsidR="00E57DAA" w14:paraId="65BC2A32" w14:textId="77777777">
            <w:tc>
              <w:tcPr>
                <w:tcW w:w="581" w:type="pct"/>
              </w:tcPr>
              <w:p w14:paraId="33764F89" w14:textId="77777777" w:rsidR="00E57DAA" w:rsidRDefault="00AC4185">
                <w:pPr>
                  <w:jc w:val="both"/>
                  <w:rPr>
                    <w:szCs w:val="21"/>
                  </w:rPr>
                </w:pPr>
                <w:r>
                  <w:rPr>
                    <w:rFonts w:hint="eastAsia"/>
                  </w:rPr>
                  <w:t>中材天安（天津）工程有限公司</w:t>
                </w:r>
              </w:p>
            </w:tc>
            <w:tc>
              <w:tcPr>
                <w:tcW w:w="624" w:type="pct"/>
              </w:tcPr>
              <w:p w14:paraId="5CD6021A" w14:textId="77777777" w:rsidR="00E57DAA" w:rsidRDefault="00AC4185">
                <w:pPr>
                  <w:rPr>
                    <w:szCs w:val="21"/>
                  </w:rPr>
                </w:pPr>
                <w:r>
                  <w:rPr>
                    <w:rFonts w:hint="eastAsia"/>
                    <w:szCs w:val="21"/>
                  </w:rPr>
                  <w:t>天津市</w:t>
                </w:r>
              </w:p>
            </w:tc>
            <w:tc>
              <w:tcPr>
                <w:tcW w:w="616" w:type="pct"/>
              </w:tcPr>
              <w:p w14:paraId="191B764A" w14:textId="77777777" w:rsidR="00E57DAA" w:rsidRDefault="00E57DAA">
                <w:pPr>
                  <w:jc w:val="right"/>
                  <w:rPr>
                    <w:szCs w:val="21"/>
                  </w:rPr>
                </w:pPr>
              </w:p>
            </w:tc>
            <w:tc>
              <w:tcPr>
                <w:tcW w:w="616" w:type="pct"/>
              </w:tcPr>
              <w:p w14:paraId="4D95BC5D" w14:textId="77777777" w:rsidR="00E57DAA" w:rsidRDefault="00AC4185">
                <w:pPr>
                  <w:rPr>
                    <w:szCs w:val="21"/>
                  </w:rPr>
                </w:pPr>
                <w:r>
                  <w:rPr>
                    <w:rFonts w:hint="eastAsia"/>
                  </w:rPr>
                  <w:t>天津市</w:t>
                </w:r>
              </w:p>
            </w:tc>
            <w:tc>
              <w:tcPr>
                <w:tcW w:w="630" w:type="pct"/>
              </w:tcPr>
              <w:p w14:paraId="04682091" w14:textId="77777777" w:rsidR="00E57DAA" w:rsidRDefault="00AC4185">
                <w:pPr>
                  <w:rPr>
                    <w:szCs w:val="21"/>
                  </w:rPr>
                </w:pPr>
                <w:r>
                  <w:rPr>
                    <w:rFonts w:hint="eastAsia"/>
                  </w:rPr>
                  <w:t>工程承包</w:t>
                </w:r>
              </w:p>
            </w:tc>
            <w:tc>
              <w:tcPr>
                <w:tcW w:w="624" w:type="pct"/>
              </w:tcPr>
              <w:p w14:paraId="29B619EB" w14:textId="77777777" w:rsidR="00E57DAA" w:rsidRDefault="00AC4185">
                <w:pPr>
                  <w:jc w:val="right"/>
                  <w:rPr>
                    <w:szCs w:val="21"/>
                  </w:rPr>
                </w:pPr>
                <w:r>
                  <w:rPr>
                    <w:rFonts w:hint="eastAsia"/>
                    <w:szCs w:val="21"/>
                  </w:rPr>
                  <w:t>66.875</w:t>
                </w:r>
              </w:p>
            </w:tc>
            <w:tc>
              <w:tcPr>
                <w:tcW w:w="624" w:type="pct"/>
              </w:tcPr>
              <w:p w14:paraId="4A0D0B89" w14:textId="77777777" w:rsidR="00E57DAA" w:rsidRDefault="00E57DAA">
                <w:pPr>
                  <w:jc w:val="right"/>
                  <w:rPr>
                    <w:szCs w:val="21"/>
                  </w:rPr>
                </w:pPr>
              </w:p>
            </w:tc>
            <w:tc>
              <w:tcPr>
                <w:tcW w:w="685" w:type="pct"/>
              </w:tcPr>
              <w:p w14:paraId="71806554"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20314384"/>
          <w:lock w:val="sdtLocked"/>
          <w:placeholder>
            <w:docPart w:val="EC92B77F7A79415C863C1C8AE4A17B8C"/>
          </w:placeholder>
        </w:sdtPr>
        <w:sdtEndPr/>
        <w:sdtContent>
          <w:tr w:rsidR="00E57DAA" w14:paraId="5922FA41" w14:textId="77777777">
            <w:tc>
              <w:tcPr>
                <w:tcW w:w="581" w:type="pct"/>
              </w:tcPr>
              <w:p w14:paraId="7EABA28B" w14:textId="77777777" w:rsidR="00E57DAA" w:rsidRDefault="00AC4185">
                <w:pPr>
                  <w:jc w:val="both"/>
                  <w:rPr>
                    <w:szCs w:val="21"/>
                  </w:rPr>
                </w:pPr>
                <w:r>
                  <w:rPr>
                    <w:rFonts w:hint="eastAsia"/>
                  </w:rPr>
                  <w:t>中国中材国际（香港）有限公司</w:t>
                </w:r>
              </w:p>
            </w:tc>
            <w:tc>
              <w:tcPr>
                <w:tcW w:w="624" w:type="pct"/>
              </w:tcPr>
              <w:p w14:paraId="19879B4B" w14:textId="77777777" w:rsidR="00E57DAA" w:rsidRDefault="00AC4185">
                <w:pPr>
                  <w:rPr>
                    <w:szCs w:val="21"/>
                  </w:rPr>
                </w:pPr>
                <w:r>
                  <w:rPr>
                    <w:rFonts w:hint="eastAsia"/>
                    <w:szCs w:val="21"/>
                  </w:rPr>
                  <w:t>香港</w:t>
                </w:r>
              </w:p>
            </w:tc>
            <w:tc>
              <w:tcPr>
                <w:tcW w:w="616" w:type="pct"/>
              </w:tcPr>
              <w:p w14:paraId="025D5C33" w14:textId="77777777" w:rsidR="00E57DAA" w:rsidRDefault="00E57DAA">
                <w:pPr>
                  <w:jc w:val="right"/>
                  <w:rPr>
                    <w:szCs w:val="21"/>
                  </w:rPr>
                </w:pPr>
              </w:p>
            </w:tc>
            <w:tc>
              <w:tcPr>
                <w:tcW w:w="616" w:type="pct"/>
              </w:tcPr>
              <w:p w14:paraId="52A6BCBC" w14:textId="77777777" w:rsidR="00E57DAA" w:rsidRDefault="00AC4185">
                <w:pPr>
                  <w:rPr>
                    <w:szCs w:val="21"/>
                  </w:rPr>
                </w:pPr>
                <w:r>
                  <w:rPr>
                    <w:rFonts w:hint="eastAsia"/>
                  </w:rPr>
                  <w:t>香港</w:t>
                </w:r>
              </w:p>
            </w:tc>
            <w:tc>
              <w:tcPr>
                <w:tcW w:w="630" w:type="pct"/>
              </w:tcPr>
              <w:p w14:paraId="61A35895" w14:textId="77777777" w:rsidR="00E57DAA" w:rsidRDefault="00AC4185">
                <w:pPr>
                  <w:rPr>
                    <w:szCs w:val="21"/>
                  </w:rPr>
                </w:pPr>
                <w:r>
                  <w:rPr>
                    <w:rFonts w:hint="eastAsia"/>
                  </w:rPr>
                  <w:t>投资</w:t>
                </w:r>
              </w:p>
            </w:tc>
            <w:tc>
              <w:tcPr>
                <w:tcW w:w="624" w:type="pct"/>
              </w:tcPr>
              <w:p w14:paraId="528A2644" w14:textId="77777777" w:rsidR="00E57DAA" w:rsidRDefault="00AC4185">
                <w:pPr>
                  <w:jc w:val="right"/>
                  <w:rPr>
                    <w:szCs w:val="21"/>
                  </w:rPr>
                </w:pPr>
                <w:r>
                  <w:rPr>
                    <w:rFonts w:hint="eastAsia"/>
                    <w:szCs w:val="21"/>
                  </w:rPr>
                  <w:t>100.00</w:t>
                </w:r>
              </w:p>
            </w:tc>
            <w:tc>
              <w:tcPr>
                <w:tcW w:w="624" w:type="pct"/>
              </w:tcPr>
              <w:p w14:paraId="18EAEC40" w14:textId="77777777" w:rsidR="00E57DAA" w:rsidRDefault="00E57DAA">
                <w:pPr>
                  <w:jc w:val="right"/>
                  <w:rPr>
                    <w:szCs w:val="21"/>
                  </w:rPr>
                </w:pPr>
              </w:p>
            </w:tc>
            <w:tc>
              <w:tcPr>
                <w:tcW w:w="685" w:type="pct"/>
              </w:tcPr>
              <w:p w14:paraId="07761C29"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2137215436"/>
          <w:lock w:val="sdtLocked"/>
          <w:placeholder>
            <w:docPart w:val="EC92B77F7A79415C863C1C8AE4A17B8C"/>
          </w:placeholder>
        </w:sdtPr>
        <w:sdtEndPr/>
        <w:sdtContent>
          <w:tr w:rsidR="00E57DAA" w14:paraId="343C0AE2" w14:textId="77777777">
            <w:tc>
              <w:tcPr>
                <w:tcW w:w="581" w:type="pct"/>
              </w:tcPr>
              <w:p w14:paraId="2DE773A5" w14:textId="77777777" w:rsidR="00E57DAA" w:rsidRDefault="00AC4185">
                <w:pPr>
                  <w:jc w:val="both"/>
                  <w:rPr>
                    <w:szCs w:val="21"/>
                  </w:rPr>
                </w:pPr>
                <w:r>
                  <w:rPr>
                    <w:rFonts w:hint="eastAsia"/>
                  </w:rPr>
                  <w:t>中材智能科技（成都）有限公司</w:t>
                </w:r>
              </w:p>
            </w:tc>
            <w:tc>
              <w:tcPr>
                <w:tcW w:w="624" w:type="pct"/>
              </w:tcPr>
              <w:p w14:paraId="234C473A" w14:textId="77777777" w:rsidR="00E57DAA" w:rsidRDefault="00AC4185">
                <w:pPr>
                  <w:rPr>
                    <w:szCs w:val="21"/>
                  </w:rPr>
                </w:pPr>
                <w:r>
                  <w:rPr>
                    <w:rFonts w:hint="eastAsia"/>
                    <w:szCs w:val="21"/>
                  </w:rPr>
                  <w:t>四川省成都市</w:t>
                </w:r>
              </w:p>
            </w:tc>
            <w:tc>
              <w:tcPr>
                <w:tcW w:w="616" w:type="pct"/>
              </w:tcPr>
              <w:p w14:paraId="40553E15" w14:textId="77777777" w:rsidR="00E57DAA" w:rsidRDefault="00E57DAA">
                <w:pPr>
                  <w:jc w:val="right"/>
                  <w:rPr>
                    <w:szCs w:val="21"/>
                  </w:rPr>
                </w:pPr>
              </w:p>
            </w:tc>
            <w:tc>
              <w:tcPr>
                <w:tcW w:w="616" w:type="pct"/>
              </w:tcPr>
              <w:p w14:paraId="213B8672" w14:textId="77777777" w:rsidR="00E57DAA" w:rsidRDefault="00AC4185">
                <w:pPr>
                  <w:rPr>
                    <w:szCs w:val="21"/>
                  </w:rPr>
                </w:pPr>
                <w:r>
                  <w:rPr>
                    <w:rFonts w:hint="eastAsia"/>
                  </w:rPr>
                  <w:t>四川省成都市</w:t>
                </w:r>
              </w:p>
            </w:tc>
            <w:tc>
              <w:tcPr>
                <w:tcW w:w="630" w:type="pct"/>
              </w:tcPr>
              <w:p w14:paraId="03A17C97" w14:textId="77777777" w:rsidR="00E57DAA" w:rsidRDefault="00AC4185">
                <w:pPr>
                  <w:rPr>
                    <w:szCs w:val="21"/>
                  </w:rPr>
                </w:pPr>
                <w:r>
                  <w:rPr>
                    <w:rFonts w:hint="eastAsia"/>
                  </w:rPr>
                  <w:t>工程技术</w:t>
                </w:r>
              </w:p>
            </w:tc>
            <w:tc>
              <w:tcPr>
                <w:tcW w:w="624" w:type="pct"/>
              </w:tcPr>
              <w:p w14:paraId="653550AB" w14:textId="77777777" w:rsidR="00E57DAA" w:rsidRDefault="00AC4185">
                <w:pPr>
                  <w:jc w:val="right"/>
                  <w:rPr>
                    <w:szCs w:val="21"/>
                  </w:rPr>
                </w:pPr>
                <w:r>
                  <w:rPr>
                    <w:rFonts w:hint="eastAsia"/>
                    <w:szCs w:val="21"/>
                  </w:rPr>
                  <w:t>44.17</w:t>
                </w:r>
              </w:p>
            </w:tc>
            <w:tc>
              <w:tcPr>
                <w:tcW w:w="624" w:type="pct"/>
              </w:tcPr>
              <w:p w14:paraId="4964A994" w14:textId="77777777" w:rsidR="00E57DAA" w:rsidRDefault="00AC4185">
                <w:pPr>
                  <w:jc w:val="right"/>
                  <w:rPr>
                    <w:szCs w:val="21"/>
                  </w:rPr>
                </w:pPr>
                <w:r>
                  <w:rPr>
                    <w:szCs w:val="21"/>
                  </w:rPr>
                  <w:t>25.83</w:t>
                </w:r>
              </w:p>
            </w:tc>
            <w:tc>
              <w:tcPr>
                <w:tcW w:w="685" w:type="pct"/>
              </w:tcPr>
              <w:p w14:paraId="35CA7D77" w14:textId="77777777" w:rsidR="00E57DAA" w:rsidRDefault="00AC4185">
                <w:pPr>
                  <w:rPr>
                    <w:szCs w:val="21"/>
                  </w:rPr>
                </w:pPr>
                <w:r>
                  <w:rPr>
                    <w:rFonts w:hint="eastAsia"/>
                  </w:rPr>
                  <w:t>非同一控制下企业合并</w:t>
                </w:r>
              </w:p>
            </w:tc>
          </w:tr>
        </w:sdtContent>
      </w:sdt>
      <w:sdt>
        <w:sdtPr>
          <w:rPr>
            <w:szCs w:val="21"/>
          </w:rPr>
          <w:alias w:val="企业合并及合并财务报表明细"/>
          <w:tag w:val="_GBC_986bfe326d834fea9d2920637e286f21"/>
          <w:id w:val="1691022912"/>
          <w:lock w:val="sdtLocked"/>
          <w:placeholder>
            <w:docPart w:val="EC92B77F7A79415C863C1C8AE4A17B8C"/>
          </w:placeholder>
        </w:sdtPr>
        <w:sdtEndPr/>
        <w:sdtContent>
          <w:tr w:rsidR="00E57DAA" w14:paraId="268BC5BB" w14:textId="77777777">
            <w:tc>
              <w:tcPr>
                <w:tcW w:w="581" w:type="pct"/>
              </w:tcPr>
              <w:p w14:paraId="7E7A52F8" w14:textId="77777777" w:rsidR="00E57DAA" w:rsidRDefault="00AC4185">
                <w:pPr>
                  <w:jc w:val="both"/>
                  <w:rPr>
                    <w:szCs w:val="21"/>
                  </w:rPr>
                </w:pPr>
                <w:r>
                  <w:rPr>
                    <w:rFonts w:hint="eastAsia"/>
                  </w:rPr>
                  <w:t>江苏水泥工程杂志社</w:t>
                </w:r>
              </w:p>
            </w:tc>
            <w:tc>
              <w:tcPr>
                <w:tcW w:w="624" w:type="pct"/>
              </w:tcPr>
              <w:p w14:paraId="35CDF040" w14:textId="77777777" w:rsidR="00E57DAA" w:rsidRDefault="00AC4185">
                <w:pPr>
                  <w:rPr>
                    <w:szCs w:val="21"/>
                  </w:rPr>
                </w:pPr>
                <w:r>
                  <w:rPr>
                    <w:rFonts w:hint="eastAsia"/>
                    <w:szCs w:val="21"/>
                  </w:rPr>
                  <w:t>江苏省南京市</w:t>
                </w:r>
              </w:p>
            </w:tc>
            <w:tc>
              <w:tcPr>
                <w:tcW w:w="616" w:type="pct"/>
              </w:tcPr>
              <w:p w14:paraId="3886A057" w14:textId="77777777" w:rsidR="00E57DAA" w:rsidRDefault="00E57DAA">
                <w:pPr>
                  <w:jc w:val="right"/>
                  <w:rPr>
                    <w:szCs w:val="21"/>
                  </w:rPr>
                </w:pPr>
              </w:p>
            </w:tc>
            <w:tc>
              <w:tcPr>
                <w:tcW w:w="616" w:type="pct"/>
              </w:tcPr>
              <w:p w14:paraId="1FC20253" w14:textId="77777777" w:rsidR="00E57DAA" w:rsidRDefault="00AC4185">
                <w:pPr>
                  <w:rPr>
                    <w:szCs w:val="21"/>
                  </w:rPr>
                </w:pPr>
                <w:r>
                  <w:rPr>
                    <w:rFonts w:hint="eastAsia"/>
                  </w:rPr>
                  <w:t>江苏省南京市</w:t>
                </w:r>
              </w:p>
            </w:tc>
            <w:tc>
              <w:tcPr>
                <w:tcW w:w="630" w:type="pct"/>
              </w:tcPr>
              <w:p w14:paraId="70DFE006" w14:textId="77777777" w:rsidR="00E57DAA" w:rsidRDefault="00AC4185">
                <w:pPr>
                  <w:rPr>
                    <w:szCs w:val="21"/>
                  </w:rPr>
                </w:pPr>
                <w:r>
                  <w:rPr>
                    <w:rFonts w:hint="eastAsia"/>
                  </w:rPr>
                  <w:t>杂志出版</w:t>
                </w:r>
              </w:p>
            </w:tc>
            <w:tc>
              <w:tcPr>
                <w:tcW w:w="624" w:type="pct"/>
              </w:tcPr>
              <w:p w14:paraId="57A23705" w14:textId="77777777" w:rsidR="00E57DAA" w:rsidRDefault="00AC4185">
                <w:pPr>
                  <w:jc w:val="right"/>
                  <w:rPr>
                    <w:szCs w:val="21"/>
                  </w:rPr>
                </w:pPr>
                <w:r>
                  <w:rPr>
                    <w:rFonts w:hint="eastAsia"/>
                    <w:szCs w:val="21"/>
                  </w:rPr>
                  <w:t>100.00</w:t>
                </w:r>
              </w:p>
            </w:tc>
            <w:tc>
              <w:tcPr>
                <w:tcW w:w="624" w:type="pct"/>
              </w:tcPr>
              <w:p w14:paraId="0525A9F0" w14:textId="77777777" w:rsidR="00E57DAA" w:rsidRDefault="00E57DAA">
                <w:pPr>
                  <w:jc w:val="right"/>
                  <w:rPr>
                    <w:szCs w:val="21"/>
                  </w:rPr>
                </w:pPr>
              </w:p>
            </w:tc>
            <w:tc>
              <w:tcPr>
                <w:tcW w:w="685" w:type="pct"/>
              </w:tcPr>
              <w:p w14:paraId="10F51DFA"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1923443933"/>
          <w:lock w:val="sdtLocked"/>
          <w:placeholder>
            <w:docPart w:val="EC92B77F7A79415C863C1C8AE4A17B8C"/>
          </w:placeholder>
        </w:sdtPr>
        <w:sdtEndPr/>
        <w:sdtContent>
          <w:tr w:rsidR="00E57DAA" w14:paraId="1211038D" w14:textId="77777777">
            <w:tc>
              <w:tcPr>
                <w:tcW w:w="581" w:type="pct"/>
              </w:tcPr>
              <w:p w14:paraId="5B2D5C77" w14:textId="77777777" w:rsidR="00E57DAA" w:rsidRDefault="00AC4185">
                <w:pPr>
                  <w:jc w:val="both"/>
                  <w:rPr>
                    <w:szCs w:val="21"/>
                  </w:rPr>
                </w:pPr>
                <w:r>
                  <w:rPr>
                    <w:rFonts w:hint="eastAsia"/>
                  </w:rPr>
                  <w:t>能源和基建有限公司</w:t>
                </w:r>
              </w:p>
            </w:tc>
            <w:tc>
              <w:tcPr>
                <w:tcW w:w="624" w:type="pct"/>
              </w:tcPr>
              <w:p w14:paraId="764130A5" w14:textId="77777777" w:rsidR="00E57DAA" w:rsidRDefault="00AC4185">
                <w:pPr>
                  <w:rPr>
                    <w:szCs w:val="21"/>
                  </w:rPr>
                </w:pPr>
                <w:r>
                  <w:rPr>
                    <w:rFonts w:hint="eastAsia"/>
                    <w:szCs w:val="21"/>
                  </w:rPr>
                  <w:t>沙特</w:t>
                </w:r>
              </w:p>
            </w:tc>
            <w:tc>
              <w:tcPr>
                <w:tcW w:w="616" w:type="pct"/>
              </w:tcPr>
              <w:p w14:paraId="3DF42DF7" w14:textId="77777777" w:rsidR="00E57DAA" w:rsidRDefault="00E57DAA">
                <w:pPr>
                  <w:jc w:val="right"/>
                  <w:rPr>
                    <w:szCs w:val="21"/>
                  </w:rPr>
                </w:pPr>
              </w:p>
            </w:tc>
            <w:tc>
              <w:tcPr>
                <w:tcW w:w="616" w:type="pct"/>
              </w:tcPr>
              <w:p w14:paraId="5B9438AB" w14:textId="77777777" w:rsidR="00E57DAA" w:rsidRDefault="00AC4185">
                <w:pPr>
                  <w:rPr>
                    <w:szCs w:val="21"/>
                  </w:rPr>
                </w:pPr>
                <w:r>
                  <w:rPr>
                    <w:rFonts w:hint="eastAsia"/>
                  </w:rPr>
                  <w:t>沙特</w:t>
                </w:r>
              </w:p>
            </w:tc>
            <w:tc>
              <w:tcPr>
                <w:tcW w:w="630" w:type="pct"/>
              </w:tcPr>
              <w:p w14:paraId="604ECD17" w14:textId="77777777" w:rsidR="00E57DAA" w:rsidRDefault="00AC4185">
                <w:pPr>
                  <w:rPr>
                    <w:szCs w:val="21"/>
                  </w:rPr>
                </w:pPr>
                <w:r>
                  <w:rPr>
                    <w:rFonts w:hint="eastAsia"/>
                  </w:rPr>
                  <w:t>工程承包</w:t>
                </w:r>
              </w:p>
            </w:tc>
            <w:tc>
              <w:tcPr>
                <w:tcW w:w="624" w:type="pct"/>
              </w:tcPr>
              <w:p w14:paraId="4A1EC472" w14:textId="77777777" w:rsidR="00E57DAA" w:rsidRDefault="00AC4185">
                <w:pPr>
                  <w:jc w:val="right"/>
                  <w:rPr>
                    <w:szCs w:val="21"/>
                  </w:rPr>
                </w:pPr>
                <w:r>
                  <w:rPr>
                    <w:rFonts w:hint="eastAsia"/>
                    <w:szCs w:val="21"/>
                  </w:rPr>
                  <w:t>51.00</w:t>
                </w:r>
              </w:p>
            </w:tc>
            <w:tc>
              <w:tcPr>
                <w:tcW w:w="624" w:type="pct"/>
              </w:tcPr>
              <w:p w14:paraId="19632222" w14:textId="77777777" w:rsidR="00E57DAA" w:rsidRDefault="00E57DAA">
                <w:pPr>
                  <w:jc w:val="right"/>
                  <w:rPr>
                    <w:szCs w:val="21"/>
                  </w:rPr>
                </w:pPr>
              </w:p>
            </w:tc>
            <w:tc>
              <w:tcPr>
                <w:tcW w:w="685" w:type="pct"/>
              </w:tcPr>
              <w:p w14:paraId="0B21283B" w14:textId="77777777" w:rsidR="00E57DAA" w:rsidRDefault="00AC4185">
                <w:pPr>
                  <w:rPr>
                    <w:szCs w:val="21"/>
                  </w:rPr>
                </w:pPr>
                <w:r>
                  <w:rPr>
                    <w:rFonts w:hint="eastAsia"/>
                  </w:rPr>
                  <w:t>其他方式</w:t>
                </w:r>
              </w:p>
            </w:tc>
          </w:tr>
        </w:sdtContent>
      </w:sdt>
      <w:sdt>
        <w:sdtPr>
          <w:rPr>
            <w:szCs w:val="21"/>
          </w:rPr>
          <w:alias w:val="企业合并及合并财务报表明细"/>
          <w:tag w:val="_GBC_986bfe326d834fea9d2920637e286f21"/>
          <w:id w:val="-1396968039"/>
          <w:lock w:val="sdtLocked"/>
          <w:placeholder>
            <w:docPart w:val="EC92B77F7A79415C863C1C8AE4A17B8C"/>
          </w:placeholder>
        </w:sdtPr>
        <w:sdtEndPr/>
        <w:sdtContent>
          <w:tr w:rsidR="00E57DAA" w14:paraId="14D56DE5" w14:textId="77777777">
            <w:tc>
              <w:tcPr>
                <w:tcW w:w="581" w:type="pct"/>
              </w:tcPr>
              <w:p w14:paraId="31C200D4" w14:textId="77777777" w:rsidR="00E57DAA" w:rsidRDefault="00AC4185">
                <w:pPr>
                  <w:jc w:val="both"/>
                  <w:rPr>
                    <w:szCs w:val="21"/>
                  </w:rPr>
                </w:pPr>
                <w:r>
                  <w:rPr>
                    <w:rFonts w:hint="eastAsia"/>
                  </w:rPr>
                  <w:t>中建材智慧工业科技有限公司</w:t>
                </w:r>
              </w:p>
            </w:tc>
            <w:tc>
              <w:tcPr>
                <w:tcW w:w="624" w:type="pct"/>
              </w:tcPr>
              <w:p w14:paraId="7AA69F3A" w14:textId="77777777" w:rsidR="00E57DAA" w:rsidRDefault="00AC4185">
                <w:pPr>
                  <w:rPr>
                    <w:szCs w:val="21"/>
                  </w:rPr>
                </w:pPr>
                <w:r>
                  <w:rPr>
                    <w:rFonts w:hint="eastAsia"/>
                    <w:szCs w:val="21"/>
                  </w:rPr>
                  <w:t>北京市</w:t>
                </w:r>
              </w:p>
            </w:tc>
            <w:tc>
              <w:tcPr>
                <w:tcW w:w="616" w:type="pct"/>
              </w:tcPr>
              <w:p w14:paraId="65376895" w14:textId="77777777" w:rsidR="00E57DAA" w:rsidRDefault="00E57DAA">
                <w:pPr>
                  <w:jc w:val="right"/>
                  <w:rPr>
                    <w:szCs w:val="21"/>
                  </w:rPr>
                </w:pPr>
              </w:p>
            </w:tc>
            <w:tc>
              <w:tcPr>
                <w:tcW w:w="616" w:type="pct"/>
              </w:tcPr>
              <w:p w14:paraId="19B4075B" w14:textId="77777777" w:rsidR="00E57DAA" w:rsidRDefault="00AC4185">
                <w:pPr>
                  <w:rPr>
                    <w:szCs w:val="21"/>
                  </w:rPr>
                </w:pPr>
                <w:r>
                  <w:rPr>
                    <w:rFonts w:hint="eastAsia"/>
                  </w:rPr>
                  <w:t>北京市</w:t>
                </w:r>
              </w:p>
            </w:tc>
            <w:tc>
              <w:tcPr>
                <w:tcW w:w="630" w:type="pct"/>
              </w:tcPr>
              <w:p w14:paraId="2A8ADEC3" w14:textId="77777777" w:rsidR="00E57DAA" w:rsidRDefault="00AC4185">
                <w:pPr>
                  <w:rPr>
                    <w:szCs w:val="21"/>
                  </w:rPr>
                </w:pPr>
                <w:r>
                  <w:rPr>
                    <w:rFonts w:hint="eastAsia"/>
                  </w:rPr>
                  <w:t>工程技术</w:t>
                </w:r>
              </w:p>
            </w:tc>
            <w:tc>
              <w:tcPr>
                <w:tcW w:w="624" w:type="pct"/>
              </w:tcPr>
              <w:p w14:paraId="2C90BB3A" w14:textId="77777777" w:rsidR="00E57DAA" w:rsidRDefault="00AC4185">
                <w:pPr>
                  <w:jc w:val="right"/>
                  <w:rPr>
                    <w:szCs w:val="21"/>
                  </w:rPr>
                </w:pPr>
                <w:r>
                  <w:rPr>
                    <w:rFonts w:hint="eastAsia"/>
                    <w:szCs w:val="21"/>
                  </w:rPr>
                  <w:t>100.00</w:t>
                </w:r>
              </w:p>
            </w:tc>
            <w:tc>
              <w:tcPr>
                <w:tcW w:w="624" w:type="pct"/>
              </w:tcPr>
              <w:p w14:paraId="476B787C" w14:textId="77777777" w:rsidR="00E57DAA" w:rsidRDefault="00E57DAA">
                <w:pPr>
                  <w:jc w:val="right"/>
                  <w:rPr>
                    <w:szCs w:val="21"/>
                  </w:rPr>
                </w:pPr>
              </w:p>
            </w:tc>
            <w:tc>
              <w:tcPr>
                <w:tcW w:w="685" w:type="pct"/>
              </w:tcPr>
              <w:p w14:paraId="00FA13C7"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1506023031"/>
          <w:lock w:val="sdtLocked"/>
          <w:placeholder>
            <w:docPart w:val="EC92B77F7A79415C863C1C8AE4A17B8C"/>
          </w:placeholder>
        </w:sdtPr>
        <w:sdtEndPr/>
        <w:sdtContent>
          <w:tr w:rsidR="00E57DAA" w14:paraId="4E5D339E" w14:textId="77777777">
            <w:tc>
              <w:tcPr>
                <w:tcW w:w="581" w:type="pct"/>
              </w:tcPr>
              <w:p w14:paraId="5AE5B14C" w14:textId="77777777" w:rsidR="00E57DAA" w:rsidRDefault="00AC4185">
                <w:pPr>
                  <w:jc w:val="both"/>
                  <w:rPr>
                    <w:szCs w:val="21"/>
                  </w:rPr>
                </w:pPr>
                <w:r>
                  <w:rPr>
                    <w:rFonts w:hint="eastAsia"/>
                  </w:rPr>
                  <w:t>浙江博宇机电有限公司</w:t>
                </w:r>
              </w:p>
            </w:tc>
            <w:tc>
              <w:tcPr>
                <w:tcW w:w="624" w:type="pct"/>
              </w:tcPr>
              <w:p w14:paraId="38CFA469" w14:textId="77777777" w:rsidR="00E57DAA" w:rsidRDefault="00AC4185">
                <w:pPr>
                  <w:rPr>
                    <w:szCs w:val="21"/>
                  </w:rPr>
                </w:pPr>
                <w:r>
                  <w:rPr>
                    <w:rFonts w:hint="eastAsia"/>
                    <w:szCs w:val="21"/>
                  </w:rPr>
                  <w:t>浙江省嘉兴市</w:t>
                </w:r>
              </w:p>
            </w:tc>
            <w:tc>
              <w:tcPr>
                <w:tcW w:w="616" w:type="pct"/>
              </w:tcPr>
              <w:p w14:paraId="10E3329A" w14:textId="77777777" w:rsidR="00E57DAA" w:rsidRDefault="00E57DAA">
                <w:pPr>
                  <w:jc w:val="right"/>
                  <w:rPr>
                    <w:szCs w:val="21"/>
                  </w:rPr>
                </w:pPr>
              </w:p>
            </w:tc>
            <w:tc>
              <w:tcPr>
                <w:tcW w:w="616" w:type="pct"/>
              </w:tcPr>
              <w:p w14:paraId="77190B58" w14:textId="77777777" w:rsidR="00E57DAA" w:rsidRDefault="00AC4185">
                <w:pPr>
                  <w:rPr>
                    <w:szCs w:val="21"/>
                  </w:rPr>
                </w:pPr>
                <w:r>
                  <w:rPr>
                    <w:rFonts w:hint="eastAsia"/>
                  </w:rPr>
                  <w:t>浙江省嘉兴市</w:t>
                </w:r>
              </w:p>
            </w:tc>
            <w:tc>
              <w:tcPr>
                <w:tcW w:w="630" w:type="pct"/>
              </w:tcPr>
              <w:p w14:paraId="16D5212A" w14:textId="77777777" w:rsidR="00E57DAA" w:rsidRDefault="00AC4185">
                <w:pPr>
                  <w:rPr>
                    <w:szCs w:val="21"/>
                  </w:rPr>
                </w:pPr>
                <w:r>
                  <w:rPr>
                    <w:rFonts w:hint="eastAsia"/>
                  </w:rPr>
                  <w:t>装备制造</w:t>
                </w:r>
              </w:p>
            </w:tc>
            <w:tc>
              <w:tcPr>
                <w:tcW w:w="624" w:type="pct"/>
              </w:tcPr>
              <w:p w14:paraId="0965F4D8" w14:textId="77777777" w:rsidR="00E57DAA" w:rsidRDefault="00AC4185">
                <w:pPr>
                  <w:jc w:val="right"/>
                  <w:rPr>
                    <w:szCs w:val="21"/>
                  </w:rPr>
                </w:pPr>
                <w:r>
                  <w:rPr>
                    <w:rFonts w:hint="eastAsia"/>
                    <w:szCs w:val="21"/>
                  </w:rPr>
                  <w:t>51.00</w:t>
                </w:r>
              </w:p>
            </w:tc>
            <w:tc>
              <w:tcPr>
                <w:tcW w:w="624" w:type="pct"/>
              </w:tcPr>
              <w:p w14:paraId="276EB8DE" w14:textId="77777777" w:rsidR="00E57DAA" w:rsidRDefault="00E57DAA">
                <w:pPr>
                  <w:jc w:val="right"/>
                  <w:rPr>
                    <w:szCs w:val="21"/>
                  </w:rPr>
                </w:pPr>
              </w:p>
            </w:tc>
            <w:tc>
              <w:tcPr>
                <w:tcW w:w="685" w:type="pct"/>
              </w:tcPr>
              <w:p w14:paraId="5DB6F18A" w14:textId="77777777" w:rsidR="00E57DAA" w:rsidRDefault="00AC4185">
                <w:pPr>
                  <w:rPr>
                    <w:szCs w:val="21"/>
                  </w:rPr>
                </w:pPr>
                <w:r>
                  <w:rPr>
                    <w:rFonts w:hint="eastAsia"/>
                  </w:rPr>
                  <w:t>非同一控制下企业合并</w:t>
                </w:r>
              </w:p>
            </w:tc>
          </w:tr>
        </w:sdtContent>
      </w:sdt>
      <w:sdt>
        <w:sdtPr>
          <w:rPr>
            <w:szCs w:val="21"/>
          </w:rPr>
          <w:alias w:val="企业合并及合并财务报表明细"/>
          <w:tag w:val="_GBC_986bfe326d834fea9d2920637e286f21"/>
          <w:id w:val="761340171"/>
          <w:lock w:val="sdtLocked"/>
          <w:placeholder>
            <w:docPart w:val="EC92B77F7A79415C863C1C8AE4A17B8C"/>
          </w:placeholder>
        </w:sdtPr>
        <w:sdtEndPr/>
        <w:sdtContent>
          <w:tr w:rsidR="00E57DAA" w14:paraId="12A218B4" w14:textId="77777777">
            <w:tc>
              <w:tcPr>
                <w:tcW w:w="581" w:type="pct"/>
              </w:tcPr>
              <w:p w14:paraId="6892113C" w14:textId="77777777" w:rsidR="00E57DAA" w:rsidRDefault="00AC4185">
                <w:pPr>
                  <w:jc w:val="both"/>
                  <w:rPr>
                    <w:szCs w:val="21"/>
                  </w:rPr>
                </w:pPr>
                <w:r>
                  <w:rPr>
                    <w:rFonts w:hint="eastAsia"/>
                  </w:rPr>
                  <w:t>合肥水泥研究设计院有限公司</w:t>
                </w:r>
              </w:p>
            </w:tc>
            <w:tc>
              <w:tcPr>
                <w:tcW w:w="624" w:type="pct"/>
              </w:tcPr>
              <w:p w14:paraId="46AC06A9" w14:textId="77777777" w:rsidR="00E57DAA" w:rsidRDefault="00AC4185">
                <w:pPr>
                  <w:rPr>
                    <w:szCs w:val="21"/>
                  </w:rPr>
                </w:pPr>
                <w:r>
                  <w:rPr>
                    <w:rFonts w:hint="eastAsia"/>
                    <w:szCs w:val="21"/>
                  </w:rPr>
                  <w:t>安徽省合肥市</w:t>
                </w:r>
              </w:p>
            </w:tc>
            <w:tc>
              <w:tcPr>
                <w:tcW w:w="616" w:type="pct"/>
              </w:tcPr>
              <w:p w14:paraId="50884F65" w14:textId="77777777" w:rsidR="00E57DAA" w:rsidRDefault="00E57DAA">
                <w:pPr>
                  <w:jc w:val="right"/>
                  <w:rPr>
                    <w:szCs w:val="21"/>
                  </w:rPr>
                </w:pPr>
              </w:p>
            </w:tc>
            <w:tc>
              <w:tcPr>
                <w:tcW w:w="616" w:type="pct"/>
              </w:tcPr>
              <w:p w14:paraId="185AB2E8" w14:textId="77777777" w:rsidR="00E57DAA" w:rsidRDefault="00AC4185">
                <w:pPr>
                  <w:rPr>
                    <w:szCs w:val="21"/>
                  </w:rPr>
                </w:pPr>
                <w:r>
                  <w:rPr>
                    <w:rFonts w:hint="eastAsia"/>
                  </w:rPr>
                  <w:t>安徽省合肥市</w:t>
                </w:r>
              </w:p>
            </w:tc>
            <w:tc>
              <w:tcPr>
                <w:tcW w:w="630" w:type="pct"/>
              </w:tcPr>
              <w:p w14:paraId="6A8E2042" w14:textId="77777777" w:rsidR="00E57DAA" w:rsidRDefault="00AC4185">
                <w:pPr>
                  <w:rPr>
                    <w:szCs w:val="21"/>
                  </w:rPr>
                </w:pPr>
                <w:r>
                  <w:rPr>
                    <w:rFonts w:hint="eastAsia"/>
                  </w:rPr>
                  <w:t>工程承包装备制造</w:t>
                </w:r>
              </w:p>
            </w:tc>
            <w:tc>
              <w:tcPr>
                <w:tcW w:w="624" w:type="pct"/>
              </w:tcPr>
              <w:p w14:paraId="697863BC" w14:textId="77777777" w:rsidR="00E57DAA" w:rsidRDefault="00AC4185">
                <w:pPr>
                  <w:jc w:val="right"/>
                  <w:rPr>
                    <w:szCs w:val="21"/>
                  </w:rPr>
                </w:pPr>
                <w:r>
                  <w:rPr>
                    <w:rFonts w:hint="eastAsia"/>
                    <w:szCs w:val="21"/>
                  </w:rPr>
                  <w:t>100.00</w:t>
                </w:r>
              </w:p>
            </w:tc>
            <w:tc>
              <w:tcPr>
                <w:tcW w:w="624" w:type="pct"/>
              </w:tcPr>
              <w:p w14:paraId="4A970261" w14:textId="77777777" w:rsidR="00E57DAA" w:rsidRDefault="00E57DAA">
                <w:pPr>
                  <w:jc w:val="right"/>
                  <w:rPr>
                    <w:szCs w:val="21"/>
                  </w:rPr>
                </w:pPr>
              </w:p>
            </w:tc>
            <w:tc>
              <w:tcPr>
                <w:tcW w:w="685" w:type="pct"/>
              </w:tcPr>
              <w:p w14:paraId="1E433056" w14:textId="77777777" w:rsidR="00E57DAA" w:rsidRDefault="00AC4185">
                <w:pPr>
                  <w:rPr>
                    <w:szCs w:val="21"/>
                  </w:rPr>
                </w:pPr>
                <w:r>
                  <w:rPr>
                    <w:rFonts w:hint="eastAsia"/>
                  </w:rPr>
                  <w:t>同一控制下企业合并</w:t>
                </w:r>
              </w:p>
            </w:tc>
          </w:tr>
        </w:sdtContent>
      </w:sdt>
      <w:sdt>
        <w:sdtPr>
          <w:rPr>
            <w:szCs w:val="21"/>
          </w:rPr>
          <w:alias w:val="企业合并及合并财务报表明细"/>
          <w:tag w:val="_GBC_986bfe326d834fea9d2920637e286f21"/>
          <w:id w:val="-266936546"/>
          <w:lock w:val="sdtLocked"/>
          <w:placeholder>
            <w:docPart w:val="EC92B77F7A79415C863C1C8AE4A17B8C"/>
          </w:placeholder>
        </w:sdtPr>
        <w:sdtEndPr/>
        <w:sdtContent>
          <w:tr w:rsidR="00E57DAA" w14:paraId="60454EC5" w14:textId="77777777">
            <w:tc>
              <w:tcPr>
                <w:tcW w:w="581" w:type="pct"/>
              </w:tcPr>
              <w:p w14:paraId="6F9A737A" w14:textId="77777777" w:rsidR="00E57DAA" w:rsidRDefault="00AC4185">
                <w:pPr>
                  <w:jc w:val="both"/>
                  <w:rPr>
                    <w:szCs w:val="21"/>
                  </w:rPr>
                </w:pPr>
                <w:r>
                  <w:rPr>
                    <w:rFonts w:hint="eastAsia"/>
                  </w:rPr>
                  <w:t>中建材凯慧国际工程有限公司</w:t>
                </w:r>
              </w:p>
            </w:tc>
            <w:tc>
              <w:tcPr>
                <w:tcW w:w="624" w:type="pct"/>
              </w:tcPr>
              <w:p w14:paraId="134CF11B" w14:textId="77777777" w:rsidR="00E57DAA" w:rsidRDefault="00AC4185">
                <w:pPr>
                  <w:rPr>
                    <w:szCs w:val="21"/>
                  </w:rPr>
                </w:pPr>
                <w:r>
                  <w:rPr>
                    <w:rFonts w:hint="eastAsia"/>
                    <w:szCs w:val="21"/>
                  </w:rPr>
                  <w:t>北京市</w:t>
                </w:r>
              </w:p>
            </w:tc>
            <w:tc>
              <w:tcPr>
                <w:tcW w:w="616" w:type="pct"/>
              </w:tcPr>
              <w:p w14:paraId="09CA4DF0" w14:textId="77777777" w:rsidR="00E57DAA" w:rsidRDefault="00E57DAA">
                <w:pPr>
                  <w:jc w:val="right"/>
                  <w:rPr>
                    <w:szCs w:val="21"/>
                  </w:rPr>
                </w:pPr>
              </w:p>
            </w:tc>
            <w:tc>
              <w:tcPr>
                <w:tcW w:w="616" w:type="pct"/>
              </w:tcPr>
              <w:p w14:paraId="311C9B59" w14:textId="77777777" w:rsidR="00E57DAA" w:rsidRDefault="00AC4185">
                <w:pPr>
                  <w:rPr>
                    <w:szCs w:val="21"/>
                  </w:rPr>
                </w:pPr>
                <w:r>
                  <w:rPr>
                    <w:rFonts w:hint="eastAsia"/>
                  </w:rPr>
                  <w:t>北京市</w:t>
                </w:r>
              </w:p>
            </w:tc>
            <w:tc>
              <w:tcPr>
                <w:tcW w:w="630" w:type="pct"/>
              </w:tcPr>
              <w:p w14:paraId="318070C9" w14:textId="77777777" w:rsidR="00E57DAA" w:rsidRDefault="00AC4185">
                <w:pPr>
                  <w:rPr>
                    <w:szCs w:val="21"/>
                  </w:rPr>
                </w:pPr>
                <w:r>
                  <w:rPr>
                    <w:rFonts w:hint="eastAsia"/>
                  </w:rPr>
                  <w:t>工程承包</w:t>
                </w:r>
              </w:p>
            </w:tc>
            <w:tc>
              <w:tcPr>
                <w:tcW w:w="624" w:type="pct"/>
              </w:tcPr>
              <w:p w14:paraId="2773A57D" w14:textId="77777777" w:rsidR="00E57DAA" w:rsidRDefault="00AC4185">
                <w:pPr>
                  <w:jc w:val="right"/>
                  <w:rPr>
                    <w:szCs w:val="21"/>
                  </w:rPr>
                </w:pPr>
                <w:r>
                  <w:rPr>
                    <w:rFonts w:hint="eastAsia"/>
                    <w:szCs w:val="21"/>
                  </w:rPr>
                  <w:t>50.00</w:t>
                </w:r>
              </w:p>
            </w:tc>
            <w:tc>
              <w:tcPr>
                <w:tcW w:w="624" w:type="pct"/>
              </w:tcPr>
              <w:p w14:paraId="1AA0776A" w14:textId="77777777" w:rsidR="00E57DAA" w:rsidRDefault="00AC4185">
                <w:pPr>
                  <w:jc w:val="right"/>
                  <w:rPr>
                    <w:szCs w:val="21"/>
                  </w:rPr>
                </w:pPr>
                <w:r>
                  <w:rPr>
                    <w:rFonts w:hint="eastAsia"/>
                    <w:szCs w:val="21"/>
                  </w:rPr>
                  <w:t>49.00</w:t>
                </w:r>
              </w:p>
            </w:tc>
            <w:tc>
              <w:tcPr>
                <w:tcW w:w="685" w:type="pct"/>
              </w:tcPr>
              <w:p w14:paraId="1911F088" w14:textId="77777777" w:rsidR="00E57DAA" w:rsidRDefault="00AC4185">
                <w:pPr>
                  <w:rPr>
                    <w:szCs w:val="21"/>
                  </w:rPr>
                </w:pPr>
                <w:r>
                  <w:rPr>
                    <w:rFonts w:hint="eastAsia"/>
                  </w:rPr>
                  <w:t>其他方式</w:t>
                </w:r>
              </w:p>
            </w:tc>
          </w:tr>
        </w:sdtContent>
      </w:sdt>
    </w:tbl>
    <w:p w14:paraId="5DEBD2B3" w14:textId="77777777" w:rsidR="00E57DAA" w:rsidRDefault="00E57DAA">
      <w:pPr>
        <w:rPr>
          <w:rFonts w:cs="Arial"/>
          <w:szCs w:val="21"/>
        </w:rPr>
      </w:pPr>
    </w:p>
    <w:p w14:paraId="3AFF15E3" w14:textId="77777777" w:rsidR="00E57DAA" w:rsidRDefault="00AC4185">
      <w:pPr>
        <w:pStyle w:val="4"/>
        <w:numPr>
          <w:ilvl w:val="3"/>
          <w:numId w:val="114"/>
        </w:numPr>
        <w:ind w:left="426" w:hangingChars="202" w:hanging="426"/>
      </w:pPr>
      <w:r>
        <w:rPr>
          <w:rFonts w:hint="eastAsia"/>
        </w:rPr>
        <w:t>重要的非全资子公司</w:t>
      </w:r>
    </w:p>
    <w:sdt>
      <w:sdtPr>
        <w:alias w:val="是否适用：重要的非全资子公司[双击切换]"/>
        <w:tag w:val="_GBC_51a84bfe201248b8bd5edb53b6cd6283"/>
        <w:id w:val="-263535417"/>
        <w:placeholder>
          <w:docPart w:val="GBC22222222222222222222222222222"/>
        </w:placeholder>
      </w:sdtPr>
      <w:sdtEndPr/>
      <w:sdtContent>
        <w:p w14:paraId="66F77EC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C785EA" w14:textId="77777777" w:rsidR="00E57DAA" w:rsidRDefault="00AC4185">
      <w:pPr>
        <w:jc w:val="right"/>
      </w:pPr>
      <w:r>
        <w:rPr>
          <w:rFonts w:hint="eastAsia"/>
        </w:rPr>
        <w:t>单位:</w:t>
      </w:r>
      <w:sdt>
        <w:sdtPr>
          <w:rPr>
            <w:rFonts w:hint="eastAsia"/>
          </w:rPr>
          <w:alias w:val="单位：财务附注：重要的非全资子公司"/>
          <w:tag w:val="_GBC_e5936e9952394755bacf71d437afcd44"/>
          <w:id w:val="19166577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9057238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1"/>
        <w:gridCol w:w="1700"/>
        <w:gridCol w:w="1820"/>
        <w:gridCol w:w="1826"/>
        <w:gridCol w:w="1686"/>
      </w:tblGrid>
      <w:tr w:rsidR="00E57DAA" w14:paraId="7AF5C5C8" w14:textId="77777777">
        <w:trPr>
          <w:trHeight w:val="241"/>
        </w:trPr>
        <w:sdt>
          <w:sdtPr>
            <w:tag w:val="_PLD_5428bb469efb45b09d2152fb27b33f8a"/>
            <w:id w:val="-997807158"/>
          </w:sdtPr>
          <w:sdtEndPr/>
          <w:sdtContent>
            <w:tc>
              <w:tcPr>
                <w:tcW w:w="890" w:type="pct"/>
                <w:shd w:val="clear" w:color="auto" w:fill="auto"/>
                <w:vAlign w:val="center"/>
              </w:tcPr>
              <w:p w14:paraId="646931E1" w14:textId="77777777" w:rsidR="00E57DAA" w:rsidRDefault="00AC4185">
                <w:pPr>
                  <w:jc w:val="center"/>
                  <w:rPr>
                    <w:rFonts w:cs="Arial"/>
                    <w:szCs w:val="21"/>
                  </w:rPr>
                </w:pPr>
                <w:r>
                  <w:rPr>
                    <w:rFonts w:cs="Arial" w:hint="eastAsia"/>
                    <w:szCs w:val="21"/>
                    <w:lang w:val="en-GB"/>
                  </w:rPr>
                  <w:t>子公司名称</w:t>
                </w:r>
              </w:p>
            </w:tc>
          </w:sdtContent>
        </w:sdt>
        <w:sdt>
          <w:sdtPr>
            <w:tag w:val="_PLD_6f42810edcef4f808238b34484325c1a"/>
            <w:id w:val="-868226052"/>
          </w:sdtPr>
          <w:sdtEndPr/>
          <w:sdtContent>
            <w:tc>
              <w:tcPr>
                <w:tcW w:w="1002" w:type="pct"/>
                <w:shd w:val="clear" w:color="auto" w:fill="auto"/>
                <w:vAlign w:val="center"/>
              </w:tcPr>
              <w:p w14:paraId="32AB76B5" w14:textId="77777777" w:rsidR="00E57DAA" w:rsidRDefault="00AC4185">
                <w:pPr>
                  <w:jc w:val="center"/>
                  <w:rPr>
                    <w:rFonts w:cs="Arial"/>
                    <w:bCs/>
                    <w:szCs w:val="21"/>
                    <w:lang w:val="en-GB"/>
                  </w:rPr>
                </w:pPr>
                <w:r>
                  <w:rPr>
                    <w:rFonts w:cs="Arial" w:hint="eastAsia"/>
                    <w:bCs/>
                    <w:szCs w:val="21"/>
                    <w:lang w:val="en-GB"/>
                  </w:rPr>
                  <w:t>少数股东持股</w:t>
                </w:r>
              </w:p>
              <w:p w14:paraId="76F5BBCB" w14:textId="77777777" w:rsidR="00E57DAA" w:rsidRDefault="00AC4185">
                <w:pPr>
                  <w:jc w:val="center"/>
                  <w:rPr>
                    <w:rFonts w:cs="Arial"/>
                    <w:szCs w:val="21"/>
                  </w:rPr>
                </w:pPr>
                <w:r>
                  <w:rPr>
                    <w:rFonts w:cs="Arial" w:hint="eastAsia"/>
                    <w:bCs/>
                    <w:szCs w:val="21"/>
                    <w:lang w:val="en-GB"/>
                  </w:rPr>
                  <w:t>比例</w:t>
                </w:r>
              </w:p>
            </w:tc>
          </w:sdtContent>
        </w:sdt>
        <w:sdt>
          <w:sdtPr>
            <w:tag w:val="_PLD_5fe25832d2ec4782a2b0dd4183a7a18d"/>
            <w:id w:val="-2050358993"/>
          </w:sdtPr>
          <w:sdtEndPr/>
          <w:sdtContent>
            <w:tc>
              <w:tcPr>
                <w:tcW w:w="1070" w:type="pct"/>
                <w:shd w:val="clear" w:color="auto" w:fill="auto"/>
                <w:vAlign w:val="center"/>
              </w:tcPr>
              <w:p w14:paraId="4C3243DF" w14:textId="77777777" w:rsidR="00E57DAA" w:rsidRDefault="00AC4185">
                <w:pPr>
                  <w:jc w:val="center"/>
                  <w:rPr>
                    <w:rFonts w:cs="Arial"/>
                    <w:szCs w:val="21"/>
                  </w:rPr>
                </w:pPr>
                <w:r>
                  <w:rPr>
                    <w:rFonts w:cs="Arial" w:hint="eastAsia"/>
                    <w:bCs/>
                    <w:szCs w:val="21"/>
                    <w:lang w:val="en-GB"/>
                  </w:rPr>
                  <w:t>本期归属于少数股东的损益</w:t>
                </w:r>
              </w:p>
            </w:tc>
          </w:sdtContent>
        </w:sdt>
        <w:sdt>
          <w:sdtPr>
            <w:tag w:val="_PLD_2a49e43dba264aa2a5a6a65baca97c74"/>
            <w:id w:val="-995874924"/>
          </w:sdtPr>
          <w:sdtEndPr/>
          <w:sdtContent>
            <w:tc>
              <w:tcPr>
                <w:tcW w:w="1073" w:type="pct"/>
                <w:shd w:val="clear" w:color="auto" w:fill="auto"/>
                <w:vAlign w:val="center"/>
              </w:tcPr>
              <w:p w14:paraId="3F6295DB" w14:textId="77777777" w:rsidR="00E57DAA" w:rsidRDefault="00AC4185">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1438056974"/>
          </w:sdtPr>
          <w:sdtEndPr/>
          <w:sdtContent>
            <w:tc>
              <w:tcPr>
                <w:tcW w:w="963" w:type="pct"/>
                <w:shd w:val="clear" w:color="auto" w:fill="auto"/>
                <w:vAlign w:val="center"/>
              </w:tcPr>
              <w:p w14:paraId="441BD637" w14:textId="77777777" w:rsidR="00E57DAA" w:rsidRDefault="00AC4185">
                <w:pPr>
                  <w:ind w:right="-16"/>
                  <w:jc w:val="center"/>
                  <w:rPr>
                    <w:rFonts w:cs="Arial"/>
                    <w:bCs/>
                    <w:szCs w:val="21"/>
                  </w:rPr>
                </w:pPr>
                <w:r>
                  <w:rPr>
                    <w:rFonts w:cs="Arial" w:hint="eastAsia"/>
                    <w:bCs/>
                    <w:szCs w:val="21"/>
                    <w:lang w:val="en-GB"/>
                  </w:rPr>
                  <w:t>期末少数股东权益余额</w:t>
                </w:r>
              </w:p>
            </w:tc>
          </w:sdtContent>
        </w:sdt>
      </w:tr>
      <w:tr w:rsidR="00E57DAA" w14:paraId="7650E8B2" w14:textId="77777777">
        <w:tc>
          <w:tcPr>
            <w:tcW w:w="890" w:type="pct"/>
          </w:tcPr>
          <w:p w14:paraId="41B186A3" w14:textId="77777777" w:rsidR="00E57DAA" w:rsidRDefault="00AC4185">
            <w:pPr>
              <w:rPr>
                <w:szCs w:val="21"/>
              </w:rPr>
            </w:pPr>
            <w:proofErr w:type="spellStart"/>
            <w:r>
              <w:t>HAZEMAG&amp;EPRGmbH</w:t>
            </w:r>
            <w:proofErr w:type="spellEnd"/>
          </w:p>
        </w:tc>
        <w:tc>
          <w:tcPr>
            <w:tcW w:w="1002" w:type="pct"/>
          </w:tcPr>
          <w:p w14:paraId="5286F427" w14:textId="77777777" w:rsidR="00E57DAA" w:rsidRDefault="00AC4185">
            <w:pPr>
              <w:jc w:val="right"/>
              <w:rPr>
                <w:szCs w:val="21"/>
              </w:rPr>
            </w:pPr>
            <w:r>
              <w:t>40.91</w:t>
            </w:r>
          </w:p>
        </w:tc>
        <w:tc>
          <w:tcPr>
            <w:tcW w:w="1070" w:type="pct"/>
          </w:tcPr>
          <w:p w14:paraId="1E516D50" w14:textId="77777777" w:rsidR="00E57DAA" w:rsidRDefault="00AC4185">
            <w:pPr>
              <w:jc w:val="right"/>
              <w:rPr>
                <w:szCs w:val="21"/>
              </w:rPr>
            </w:pPr>
            <w:r>
              <w:t>31,111,709.12</w:t>
            </w:r>
          </w:p>
        </w:tc>
        <w:tc>
          <w:tcPr>
            <w:tcW w:w="1073" w:type="pct"/>
          </w:tcPr>
          <w:p w14:paraId="34DB542E" w14:textId="77777777" w:rsidR="00E57DAA" w:rsidRDefault="00AC4185">
            <w:pPr>
              <w:jc w:val="right"/>
              <w:rPr>
                <w:szCs w:val="21"/>
              </w:rPr>
            </w:pPr>
            <w:r>
              <w:t>7,167,934.96</w:t>
            </w:r>
          </w:p>
        </w:tc>
        <w:tc>
          <w:tcPr>
            <w:tcW w:w="963" w:type="pct"/>
          </w:tcPr>
          <w:p w14:paraId="5D393270" w14:textId="77777777" w:rsidR="00E57DAA" w:rsidRDefault="00AC4185">
            <w:pPr>
              <w:jc w:val="right"/>
              <w:rPr>
                <w:szCs w:val="21"/>
              </w:rPr>
            </w:pPr>
            <w:r>
              <w:t>262,258,138.90</w:t>
            </w:r>
          </w:p>
        </w:tc>
      </w:tr>
      <w:tr w:rsidR="00E57DAA" w14:paraId="09C39A3F" w14:textId="77777777">
        <w:tc>
          <w:tcPr>
            <w:tcW w:w="890" w:type="pct"/>
          </w:tcPr>
          <w:p w14:paraId="18FBF817" w14:textId="77777777" w:rsidR="00E57DAA" w:rsidRDefault="00AC4185">
            <w:pPr>
              <w:rPr>
                <w:szCs w:val="21"/>
              </w:rPr>
            </w:pPr>
            <w:r>
              <w:t>中材国际智能科技有限公司</w:t>
            </w:r>
          </w:p>
        </w:tc>
        <w:tc>
          <w:tcPr>
            <w:tcW w:w="1002" w:type="pct"/>
          </w:tcPr>
          <w:p w14:paraId="156954E9" w14:textId="77777777" w:rsidR="00E57DAA" w:rsidRDefault="00AC4185">
            <w:pPr>
              <w:jc w:val="right"/>
              <w:rPr>
                <w:szCs w:val="21"/>
              </w:rPr>
            </w:pPr>
            <w:r>
              <w:t>2.00</w:t>
            </w:r>
          </w:p>
        </w:tc>
        <w:tc>
          <w:tcPr>
            <w:tcW w:w="1070" w:type="pct"/>
          </w:tcPr>
          <w:p w14:paraId="04EB3E39" w14:textId="77777777" w:rsidR="00E57DAA" w:rsidRDefault="00AC4185">
            <w:pPr>
              <w:jc w:val="right"/>
              <w:rPr>
                <w:szCs w:val="21"/>
              </w:rPr>
            </w:pPr>
            <w:r>
              <w:t>3,661,565.96</w:t>
            </w:r>
          </w:p>
        </w:tc>
        <w:tc>
          <w:tcPr>
            <w:tcW w:w="1073" w:type="pct"/>
          </w:tcPr>
          <w:p w14:paraId="4FBEC070" w14:textId="77777777" w:rsidR="00E57DAA" w:rsidRDefault="00AC4185">
            <w:pPr>
              <w:jc w:val="right"/>
              <w:rPr>
                <w:szCs w:val="21"/>
              </w:rPr>
            </w:pPr>
            <w:r>
              <w:t>1,291,147.45</w:t>
            </w:r>
          </w:p>
        </w:tc>
        <w:tc>
          <w:tcPr>
            <w:tcW w:w="963" w:type="pct"/>
          </w:tcPr>
          <w:p w14:paraId="63E95736" w14:textId="77777777" w:rsidR="00E57DAA" w:rsidRDefault="00AC4185">
            <w:pPr>
              <w:jc w:val="right"/>
              <w:rPr>
                <w:szCs w:val="21"/>
              </w:rPr>
            </w:pPr>
            <w:r>
              <w:t>19,945,754.64</w:t>
            </w:r>
          </w:p>
        </w:tc>
      </w:tr>
    </w:tbl>
    <w:p w14:paraId="30011E62" w14:textId="77777777" w:rsidR="00E57DAA" w:rsidRDefault="00E57DAA" w:rsidP="00C25422">
      <w:pPr>
        <w:pStyle w:val="92"/>
      </w:pPr>
    </w:p>
    <w:p w14:paraId="35F7519F" w14:textId="77777777" w:rsidR="00E57DAA" w:rsidRDefault="00AC4185">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1986919488"/>
        <w:placeholder>
          <w:docPart w:val="GBC22222222222222222222222222222"/>
        </w:placeholder>
      </w:sdtPr>
      <w:sdtEndPr/>
      <w:sdtContent>
        <w:p w14:paraId="6C030731" w14:textId="77777777" w:rsidR="00E57DAA" w:rsidRDefault="00AC418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B37D91D" w14:textId="77777777" w:rsidR="00E57DAA" w:rsidRDefault="00E57DAA">
      <w:pPr>
        <w:rPr>
          <w:rFonts w:cs="Arial"/>
          <w:szCs w:val="21"/>
        </w:rPr>
      </w:pPr>
    </w:p>
    <w:p w14:paraId="3891002F" w14:textId="77777777" w:rsidR="00E57DAA" w:rsidRDefault="00AC4185">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876439974"/>
        <w:placeholder>
          <w:docPart w:val="GBC22222222222222222222222222222"/>
        </w:placeholder>
      </w:sdtPr>
      <w:sdtEndPr/>
      <w:sdtContent>
        <w:p w14:paraId="2DC0CBF7" w14:textId="77777777" w:rsidR="00E57DAA" w:rsidRDefault="00AC418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585D81BE" w14:textId="77777777" w:rsidR="00E57DAA" w:rsidRDefault="00E57DAA">
      <w:pPr>
        <w:rPr>
          <w:rFonts w:cs="Arial"/>
          <w:szCs w:val="21"/>
        </w:rPr>
        <w:sectPr w:rsidR="00E57DAA" w:rsidSect="00226547">
          <w:pgSz w:w="11906" w:h="16838"/>
          <w:pgMar w:top="1525" w:right="1276" w:bottom="1440" w:left="1797" w:header="856" w:footer="992" w:gutter="0"/>
          <w:cols w:space="425"/>
          <w:docGrid w:linePitch="312"/>
        </w:sectPr>
      </w:pPr>
    </w:p>
    <w:p w14:paraId="16474D03" w14:textId="77777777" w:rsidR="00E57DAA" w:rsidRDefault="00E57DAA">
      <w:pPr>
        <w:rPr>
          <w:rFonts w:cs="Arial"/>
          <w:szCs w:val="21"/>
        </w:rPr>
      </w:pPr>
    </w:p>
    <w:p w14:paraId="486230A6" w14:textId="77777777" w:rsidR="00E57DAA" w:rsidRDefault="00AC4185">
      <w:pPr>
        <w:pStyle w:val="4"/>
        <w:numPr>
          <w:ilvl w:val="3"/>
          <w:numId w:val="114"/>
        </w:numPr>
        <w:ind w:left="426" w:hangingChars="202" w:hanging="426"/>
      </w:pPr>
      <w:r>
        <w:rPr>
          <w:rFonts w:hint="eastAsia"/>
        </w:rPr>
        <w:t>重要非全资子公司的主要财务信息</w:t>
      </w:r>
    </w:p>
    <w:sdt>
      <w:sdtPr>
        <w:alias w:val="是否适用：重要非全资子公司的主要财务信息[双击切换]"/>
        <w:tag w:val="_GBC_04ab753eff3c46fda94161ee757bd1fa"/>
        <w:id w:val="1280991866"/>
        <w:placeholder>
          <w:docPart w:val="GBC22222222222222222222222222222"/>
        </w:placeholder>
      </w:sdtPr>
      <w:sdtEndPr/>
      <w:sdtContent>
        <w:p w14:paraId="79F131DC"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512B1CB" w14:textId="77777777" w:rsidR="00E57DAA" w:rsidRDefault="00AC4185">
      <w:pPr>
        <w:jc w:val="right"/>
      </w:pPr>
      <w:r>
        <w:rPr>
          <w:rFonts w:hint="eastAsia"/>
        </w:rPr>
        <w:t>单位:</w:t>
      </w:r>
      <w:sdt>
        <w:sdtPr>
          <w:rPr>
            <w:rFonts w:hint="eastAsia"/>
          </w:rPr>
          <w:alias w:val="单位：财务附注：重要非全资子公司的主要财务信息"/>
          <w:tag w:val="_GBC_ba918360b15748859fb63cacad1f617d"/>
          <w:id w:val="10356280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5372771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1"/>
        <w:gridCol w:w="1206"/>
        <w:gridCol w:w="986"/>
        <w:gridCol w:w="1096"/>
        <w:gridCol w:w="1096"/>
        <w:gridCol w:w="986"/>
        <w:gridCol w:w="1096"/>
        <w:gridCol w:w="1096"/>
        <w:gridCol w:w="986"/>
        <w:gridCol w:w="1096"/>
        <w:gridCol w:w="1096"/>
        <w:gridCol w:w="986"/>
        <w:gridCol w:w="1096"/>
      </w:tblGrid>
      <w:tr w:rsidR="00E57DAA" w14:paraId="0B2A60E7" w14:textId="77777777">
        <w:trPr>
          <w:trHeight w:val="241"/>
        </w:trPr>
        <w:sdt>
          <w:sdtPr>
            <w:rPr>
              <w:sz w:val="11"/>
              <w:szCs w:val="11"/>
            </w:rPr>
            <w:tag w:val="_PLD_d5dae06c1d0c4fdea02e2f6e645a1e09"/>
            <w:id w:val="746394677"/>
          </w:sdtPr>
          <w:sdtEndPr/>
          <w:sdtContent>
            <w:tc>
              <w:tcPr>
                <w:tcW w:w="354" w:type="pct"/>
                <w:vMerge w:val="restart"/>
                <w:shd w:val="clear" w:color="auto" w:fill="auto"/>
                <w:vAlign w:val="center"/>
              </w:tcPr>
              <w:p w14:paraId="293B8FBD" w14:textId="77777777" w:rsidR="00E57DAA" w:rsidRDefault="00AC4185">
                <w:pPr>
                  <w:ind w:right="-16"/>
                  <w:jc w:val="center"/>
                  <w:rPr>
                    <w:rFonts w:cs="Arial"/>
                    <w:bCs/>
                    <w:sz w:val="11"/>
                    <w:szCs w:val="11"/>
                  </w:rPr>
                </w:pPr>
                <w:r>
                  <w:rPr>
                    <w:rFonts w:cs="Arial" w:hint="eastAsia"/>
                    <w:bCs/>
                    <w:sz w:val="11"/>
                    <w:szCs w:val="11"/>
                    <w:lang w:val="en-GB"/>
                  </w:rPr>
                  <w:t>子公司名称</w:t>
                </w:r>
              </w:p>
            </w:tc>
          </w:sdtContent>
        </w:sdt>
        <w:sdt>
          <w:sdtPr>
            <w:rPr>
              <w:sz w:val="11"/>
              <w:szCs w:val="11"/>
            </w:rPr>
            <w:tag w:val="_PLD_6cc7af9079654f428ee1cf0edd2c70b1"/>
            <w:id w:val="-1894031023"/>
          </w:sdtPr>
          <w:sdtEndPr/>
          <w:sdtContent>
            <w:tc>
              <w:tcPr>
                <w:tcW w:w="3077" w:type="pct"/>
                <w:gridSpan w:val="6"/>
                <w:shd w:val="clear" w:color="auto" w:fill="auto"/>
                <w:vAlign w:val="center"/>
              </w:tcPr>
              <w:p w14:paraId="6D061B13" w14:textId="77777777" w:rsidR="00E57DAA" w:rsidRDefault="00AC4185">
                <w:pPr>
                  <w:ind w:right="-16"/>
                  <w:jc w:val="center"/>
                  <w:rPr>
                    <w:rFonts w:cs="Arial"/>
                    <w:bCs/>
                    <w:sz w:val="11"/>
                    <w:szCs w:val="11"/>
                  </w:rPr>
                </w:pPr>
                <w:r>
                  <w:rPr>
                    <w:rFonts w:cs="Arial" w:hint="eastAsia"/>
                    <w:bCs/>
                    <w:sz w:val="11"/>
                    <w:szCs w:val="11"/>
                    <w:lang w:val="en-GB"/>
                  </w:rPr>
                  <w:t>期末余额</w:t>
                </w:r>
              </w:p>
            </w:tc>
          </w:sdtContent>
        </w:sdt>
        <w:sdt>
          <w:sdtPr>
            <w:rPr>
              <w:sz w:val="11"/>
              <w:szCs w:val="11"/>
            </w:rPr>
            <w:tag w:val="_PLD_64749f66f68948bd92fb0a885f835f78"/>
            <w:id w:val="-1500108221"/>
          </w:sdtPr>
          <w:sdtEndPr/>
          <w:sdtContent>
            <w:tc>
              <w:tcPr>
                <w:tcW w:w="1569" w:type="pct"/>
                <w:gridSpan w:val="6"/>
                <w:shd w:val="clear" w:color="auto" w:fill="auto"/>
                <w:vAlign w:val="center"/>
              </w:tcPr>
              <w:p w14:paraId="1E49AACE" w14:textId="77777777" w:rsidR="00E57DAA" w:rsidRDefault="00AC4185">
                <w:pPr>
                  <w:ind w:right="-16"/>
                  <w:jc w:val="center"/>
                  <w:rPr>
                    <w:rFonts w:cs="Arial"/>
                    <w:bCs/>
                    <w:sz w:val="11"/>
                    <w:szCs w:val="11"/>
                  </w:rPr>
                </w:pPr>
                <w:r>
                  <w:rPr>
                    <w:rFonts w:cs="Arial" w:hint="eastAsia"/>
                    <w:bCs/>
                    <w:sz w:val="11"/>
                    <w:szCs w:val="11"/>
                    <w:lang w:val="en-GB"/>
                  </w:rPr>
                  <w:t>期初余额</w:t>
                </w:r>
              </w:p>
            </w:tc>
          </w:sdtContent>
        </w:sdt>
      </w:tr>
      <w:tr w:rsidR="00E57DAA" w14:paraId="3F920CBE" w14:textId="77777777">
        <w:trPr>
          <w:trHeight w:val="241"/>
        </w:trPr>
        <w:tc>
          <w:tcPr>
            <w:tcW w:w="354" w:type="pct"/>
            <w:vMerge/>
            <w:shd w:val="clear" w:color="auto" w:fill="auto"/>
            <w:vAlign w:val="center"/>
          </w:tcPr>
          <w:p w14:paraId="73D43D01" w14:textId="77777777" w:rsidR="00E57DAA" w:rsidRDefault="00E57DAA">
            <w:pPr>
              <w:jc w:val="center"/>
              <w:rPr>
                <w:rFonts w:cs="Arial"/>
                <w:bCs/>
                <w:sz w:val="11"/>
                <w:szCs w:val="11"/>
              </w:rPr>
            </w:pPr>
          </w:p>
        </w:tc>
        <w:sdt>
          <w:sdtPr>
            <w:rPr>
              <w:sz w:val="11"/>
              <w:szCs w:val="11"/>
            </w:rPr>
            <w:tag w:val="_PLD_bfcbeed8b46d4b8da13c03613130a3c9"/>
            <w:id w:val="-1659754900"/>
          </w:sdtPr>
          <w:sdtEndPr/>
          <w:sdtContent>
            <w:tc>
              <w:tcPr>
                <w:tcW w:w="574" w:type="pct"/>
                <w:shd w:val="clear" w:color="auto" w:fill="auto"/>
                <w:vAlign w:val="center"/>
              </w:tcPr>
              <w:p w14:paraId="30354D52" w14:textId="77777777" w:rsidR="00E57DAA" w:rsidRDefault="00AC4185">
                <w:pPr>
                  <w:jc w:val="center"/>
                  <w:rPr>
                    <w:rFonts w:cs="Arial"/>
                    <w:sz w:val="11"/>
                    <w:szCs w:val="11"/>
                  </w:rPr>
                </w:pPr>
                <w:r>
                  <w:rPr>
                    <w:rFonts w:cs="Arial" w:hint="eastAsia"/>
                    <w:sz w:val="11"/>
                    <w:szCs w:val="11"/>
                    <w:lang w:val="en-GB"/>
                  </w:rPr>
                  <w:t>流动资产</w:t>
                </w:r>
              </w:p>
            </w:tc>
          </w:sdtContent>
        </w:sdt>
        <w:sdt>
          <w:sdtPr>
            <w:rPr>
              <w:sz w:val="11"/>
              <w:szCs w:val="11"/>
            </w:rPr>
            <w:tag w:val="_PLD_22bcaa48c51f400d9b2d6a387002778f"/>
            <w:id w:val="1016353489"/>
          </w:sdtPr>
          <w:sdtEndPr/>
          <w:sdtContent>
            <w:tc>
              <w:tcPr>
                <w:tcW w:w="427" w:type="pct"/>
                <w:shd w:val="clear" w:color="auto" w:fill="auto"/>
                <w:vAlign w:val="center"/>
              </w:tcPr>
              <w:p w14:paraId="07E4034E" w14:textId="77777777" w:rsidR="00E57DAA" w:rsidRDefault="00AC4185">
                <w:pPr>
                  <w:ind w:left="-40" w:right="-97"/>
                  <w:jc w:val="center"/>
                  <w:rPr>
                    <w:rFonts w:cs="Arial"/>
                    <w:sz w:val="11"/>
                    <w:szCs w:val="11"/>
                  </w:rPr>
                </w:pPr>
                <w:r>
                  <w:rPr>
                    <w:rFonts w:cs="Arial" w:hint="eastAsia"/>
                    <w:sz w:val="11"/>
                    <w:szCs w:val="11"/>
                    <w:lang w:val="en-GB"/>
                  </w:rPr>
                  <w:t>非流动资产</w:t>
                </w:r>
              </w:p>
            </w:tc>
          </w:sdtContent>
        </w:sdt>
        <w:sdt>
          <w:sdtPr>
            <w:rPr>
              <w:sz w:val="11"/>
              <w:szCs w:val="11"/>
            </w:rPr>
            <w:tag w:val="_PLD_a7790df686914e0f8cc8668009824e9e"/>
            <w:id w:val="1986508710"/>
          </w:sdtPr>
          <w:sdtEndPr/>
          <w:sdtContent>
            <w:tc>
              <w:tcPr>
                <w:tcW w:w="501" w:type="pct"/>
                <w:shd w:val="clear" w:color="auto" w:fill="auto"/>
                <w:vAlign w:val="center"/>
              </w:tcPr>
              <w:p w14:paraId="515F89DF" w14:textId="77777777" w:rsidR="00E57DAA" w:rsidRDefault="00AC4185">
                <w:pPr>
                  <w:jc w:val="center"/>
                  <w:rPr>
                    <w:rFonts w:cs="Arial"/>
                    <w:sz w:val="11"/>
                    <w:szCs w:val="11"/>
                  </w:rPr>
                </w:pPr>
                <w:r>
                  <w:rPr>
                    <w:rFonts w:cs="Arial" w:hint="eastAsia"/>
                    <w:sz w:val="11"/>
                    <w:szCs w:val="11"/>
                    <w:lang w:val="en-GB"/>
                  </w:rPr>
                  <w:t>资产合计</w:t>
                </w:r>
              </w:p>
            </w:tc>
          </w:sdtContent>
        </w:sdt>
        <w:sdt>
          <w:sdtPr>
            <w:rPr>
              <w:sz w:val="11"/>
              <w:szCs w:val="11"/>
            </w:rPr>
            <w:tag w:val="_PLD_a6a87cbf1eb046db9bbca57bcceaf08a"/>
            <w:id w:val="-1268541899"/>
          </w:sdtPr>
          <w:sdtEndPr/>
          <w:sdtContent>
            <w:tc>
              <w:tcPr>
                <w:tcW w:w="574" w:type="pct"/>
                <w:shd w:val="clear" w:color="auto" w:fill="auto"/>
                <w:vAlign w:val="center"/>
              </w:tcPr>
              <w:p w14:paraId="5939153D" w14:textId="77777777" w:rsidR="00E57DAA" w:rsidRDefault="00AC4185">
                <w:pPr>
                  <w:jc w:val="center"/>
                  <w:rPr>
                    <w:rFonts w:cs="Arial"/>
                    <w:sz w:val="11"/>
                    <w:szCs w:val="11"/>
                  </w:rPr>
                </w:pPr>
                <w:r>
                  <w:rPr>
                    <w:rFonts w:cs="Arial" w:hint="eastAsia"/>
                    <w:sz w:val="11"/>
                    <w:szCs w:val="11"/>
                    <w:lang w:val="en-GB"/>
                  </w:rPr>
                  <w:t>流动负债</w:t>
                </w:r>
              </w:p>
            </w:tc>
          </w:sdtContent>
        </w:sdt>
        <w:sdt>
          <w:sdtPr>
            <w:rPr>
              <w:sz w:val="11"/>
              <w:szCs w:val="11"/>
            </w:rPr>
            <w:tag w:val="_PLD_bed2f2ec1880450a93ab1b045e836c87"/>
            <w:id w:val="-734620463"/>
          </w:sdtPr>
          <w:sdtEndPr/>
          <w:sdtContent>
            <w:tc>
              <w:tcPr>
                <w:tcW w:w="427" w:type="pct"/>
                <w:shd w:val="clear" w:color="auto" w:fill="auto"/>
                <w:vAlign w:val="center"/>
              </w:tcPr>
              <w:p w14:paraId="7DF0AE35" w14:textId="77777777" w:rsidR="00E57DAA" w:rsidRDefault="00AC4185">
                <w:pPr>
                  <w:ind w:left="-40" w:right="-97"/>
                  <w:jc w:val="center"/>
                  <w:rPr>
                    <w:rFonts w:cs="Arial"/>
                    <w:sz w:val="11"/>
                    <w:szCs w:val="11"/>
                  </w:rPr>
                </w:pPr>
                <w:r>
                  <w:rPr>
                    <w:rFonts w:cs="Arial" w:hint="eastAsia"/>
                    <w:sz w:val="11"/>
                    <w:szCs w:val="11"/>
                    <w:lang w:val="en-GB"/>
                  </w:rPr>
                  <w:t>非流动负债</w:t>
                </w:r>
              </w:p>
            </w:tc>
          </w:sdtContent>
        </w:sdt>
        <w:sdt>
          <w:sdtPr>
            <w:rPr>
              <w:sz w:val="11"/>
              <w:szCs w:val="11"/>
            </w:rPr>
            <w:tag w:val="_PLD_3609f15b31554b67a5a1ff617bd5582d"/>
            <w:id w:val="-2122912235"/>
          </w:sdtPr>
          <w:sdtEndPr/>
          <w:sdtContent>
            <w:tc>
              <w:tcPr>
                <w:tcW w:w="574" w:type="pct"/>
                <w:shd w:val="clear" w:color="auto" w:fill="auto"/>
                <w:vAlign w:val="center"/>
              </w:tcPr>
              <w:p w14:paraId="15581A6C" w14:textId="77777777" w:rsidR="00E57DAA" w:rsidRDefault="00AC4185">
                <w:pPr>
                  <w:jc w:val="center"/>
                  <w:rPr>
                    <w:rFonts w:cs="Arial"/>
                    <w:sz w:val="11"/>
                    <w:szCs w:val="11"/>
                  </w:rPr>
                </w:pPr>
                <w:r>
                  <w:rPr>
                    <w:rFonts w:cs="Arial" w:hint="eastAsia"/>
                    <w:sz w:val="11"/>
                    <w:szCs w:val="11"/>
                    <w:lang w:val="en-GB"/>
                  </w:rPr>
                  <w:t>负债合计</w:t>
                </w:r>
              </w:p>
            </w:tc>
          </w:sdtContent>
        </w:sdt>
        <w:sdt>
          <w:sdtPr>
            <w:rPr>
              <w:sz w:val="11"/>
              <w:szCs w:val="11"/>
            </w:rPr>
            <w:tag w:val="_PLD_35c03e5c5e124d339d35180c4515f97a"/>
            <w:id w:val="93217039"/>
          </w:sdtPr>
          <w:sdtEndPr/>
          <w:sdtContent>
            <w:tc>
              <w:tcPr>
                <w:tcW w:w="261" w:type="pct"/>
                <w:shd w:val="clear" w:color="auto" w:fill="auto"/>
                <w:vAlign w:val="center"/>
              </w:tcPr>
              <w:p w14:paraId="6FFA5BC0" w14:textId="77777777" w:rsidR="00E57DAA" w:rsidRDefault="00AC4185">
                <w:pPr>
                  <w:jc w:val="center"/>
                  <w:rPr>
                    <w:rFonts w:cs="Arial"/>
                    <w:sz w:val="11"/>
                    <w:szCs w:val="11"/>
                  </w:rPr>
                </w:pPr>
                <w:r>
                  <w:rPr>
                    <w:rFonts w:cs="Arial" w:hint="eastAsia"/>
                    <w:sz w:val="11"/>
                    <w:szCs w:val="11"/>
                    <w:lang w:val="en-GB"/>
                  </w:rPr>
                  <w:t>流动资产</w:t>
                </w:r>
              </w:p>
            </w:tc>
          </w:sdtContent>
        </w:sdt>
        <w:sdt>
          <w:sdtPr>
            <w:rPr>
              <w:sz w:val="11"/>
              <w:szCs w:val="11"/>
            </w:rPr>
            <w:tag w:val="_PLD_c9852fe654ce474bb582d7b8dab46c0a"/>
            <w:id w:val="-578745576"/>
          </w:sdtPr>
          <w:sdtEndPr/>
          <w:sdtContent>
            <w:tc>
              <w:tcPr>
                <w:tcW w:w="261" w:type="pct"/>
                <w:shd w:val="clear" w:color="auto" w:fill="auto"/>
                <w:vAlign w:val="center"/>
              </w:tcPr>
              <w:p w14:paraId="729ECFA1" w14:textId="77777777" w:rsidR="00E57DAA" w:rsidRDefault="00AC4185">
                <w:pPr>
                  <w:ind w:left="-40" w:right="-97"/>
                  <w:jc w:val="center"/>
                  <w:rPr>
                    <w:rFonts w:cs="Arial"/>
                    <w:sz w:val="11"/>
                    <w:szCs w:val="11"/>
                  </w:rPr>
                </w:pPr>
                <w:r>
                  <w:rPr>
                    <w:rFonts w:cs="Arial" w:hint="eastAsia"/>
                    <w:sz w:val="11"/>
                    <w:szCs w:val="11"/>
                    <w:lang w:val="en-GB"/>
                  </w:rPr>
                  <w:t>非流动资产</w:t>
                </w:r>
              </w:p>
            </w:tc>
          </w:sdtContent>
        </w:sdt>
        <w:sdt>
          <w:sdtPr>
            <w:rPr>
              <w:sz w:val="11"/>
              <w:szCs w:val="11"/>
            </w:rPr>
            <w:tag w:val="_PLD_e7455f798f7740fdafaf89940e8195c3"/>
            <w:id w:val="-436058324"/>
          </w:sdtPr>
          <w:sdtEndPr/>
          <w:sdtContent>
            <w:tc>
              <w:tcPr>
                <w:tcW w:w="261" w:type="pct"/>
                <w:shd w:val="clear" w:color="auto" w:fill="auto"/>
                <w:vAlign w:val="center"/>
              </w:tcPr>
              <w:p w14:paraId="51904F7E" w14:textId="77777777" w:rsidR="00E57DAA" w:rsidRDefault="00AC4185">
                <w:pPr>
                  <w:jc w:val="center"/>
                  <w:rPr>
                    <w:rFonts w:cs="Arial"/>
                    <w:sz w:val="11"/>
                    <w:szCs w:val="11"/>
                  </w:rPr>
                </w:pPr>
                <w:r>
                  <w:rPr>
                    <w:rFonts w:cs="Arial" w:hint="eastAsia"/>
                    <w:sz w:val="11"/>
                    <w:szCs w:val="11"/>
                    <w:lang w:val="en-GB"/>
                  </w:rPr>
                  <w:t>资产合计</w:t>
                </w:r>
              </w:p>
            </w:tc>
          </w:sdtContent>
        </w:sdt>
        <w:sdt>
          <w:sdtPr>
            <w:rPr>
              <w:sz w:val="11"/>
              <w:szCs w:val="11"/>
            </w:rPr>
            <w:tag w:val="_PLD_b590bdfc5abd4f30a4b1c3cf13a2772b"/>
            <w:id w:val="-1457723271"/>
          </w:sdtPr>
          <w:sdtEndPr/>
          <w:sdtContent>
            <w:tc>
              <w:tcPr>
                <w:tcW w:w="261" w:type="pct"/>
                <w:shd w:val="clear" w:color="auto" w:fill="auto"/>
                <w:vAlign w:val="center"/>
              </w:tcPr>
              <w:p w14:paraId="2846864B" w14:textId="77777777" w:rsidR="00E57DAA" w:rsidRDefault="00AC4185">
                <w:pPr>
                  <w:jc w:val="center"/>
                  <w:rPr>
                    <w:rFonts w:cs="Arial"/>
                    <w:sz w:val="11"/>
                    <w:szCs w:val="11"/>
                  </w:rPr>
                </w:pPr>
                <w:r>
                  <w:rPr>
                    <w:rFonts w:cs="Arial" w:hint="eastAsia"/>
                    <w:sz w:val="11"/>
                    <w:szCs w:val="11"/>
                    <w:lang w:val="en-GB"/>
                  </w:rPr>
                  <w:t>流动负债</w:t>
                </w:r>
              </w:p>
            </w:tc>
          </w:sdtContent>
        </w:sdt>
        <w:sdt>
          <w:sdtPr>
            <w:rPr>
              <w:sz w:val="11"/>
              <w:szCs w:val="11"/>
            </w:rPr>
            <w:tag w:val="_PLD_acc4c516f1954954b9ffdd4ee0900cfe"/>
            <w:id w:val="-985931863"/>
          </w:sdtPr>
          <w:sdtEndPr/>
          <w:sdtContent>
            <w:tc>
              <w:tcPr>
                <w:tcW w:w="261" w:type="pct"/>
                <w:shd w:val="clear" w:color="auto" w:fill="auto"/>
                <w:vAlign w:val="center"/>
              </w:tcPr>
              <w:p w14:paraId="349AA5D7" w14:textId="77777777" w:rsidR="00E57DAA" w:rsidRDefault="00AC4185">
                <w:pPr>
                  <w:ind w:left="-40" w:right="-97"/>
                  <w:jc w:val="center"/>
                  <w:rPr>
                    <w:rFonts w:cs="Arial"/>
                    <w:sz w:val="11"/>
                    <w:szCs w:val="11"/>
                  </w:rPr>
                </w:pPr>
                <w:r>
                  <w:rPr>
                    <w:rFonts w:cs="Arial" w:hint="eastAsia"/>
                    <w:sz w:val="11"/>
                    <w:szCs w:val="11"/>
                    <w:lang w:val="en-GB"/>
                  </w:rPr>
                  <w:t>非流动负债</w:t>
                </w:r>
              </w:p>
            </w:tc>
          </w:sdtContent>
        </w:sdt>
        <w:sdt>
          <w:sdtPr>
            <w:rPr>
              <w:sz w:val="11"/>
              <w:szCs w:val="11"/>
            </w:rPr>
            <w:tag w:val="_PLD_397eebedf0c14a0e8060aa378e6e579d"/>
            <w:id w:val="-1149596467"/>
          </w:sdtPr>
          <w:sdtEndPr/>
          <w:sdtContent>
            <w:tc>
              <w:tcPr>
                <w:tcW w:w="261" w:type="pct"/>
                <w:shd w:val="clear" w:color="auto" w:fill="auto"/>
                <w:vAlign w:val="center"/>
              </w:tcPr>
              <w:p w14:paraId="2BD90498" w14:textId="77777777" w:rsidR="00E57DAA" w:rsidRDefault="00AC4185">
                <w:pPr>
                  <w:jc w:val="center"/>
                  <w:rPr>
                    <w:rFonts w:cs="Arial"/>
                    <w:sz w:val="11"/>
                    <w:szCs w:val="11"/>
                  </w:rPr>
                </w:pPr>
                <w:r>
                  <w:rPr>
                    <w:rFonts w:cs="Arial" w:hint="eastAsia"/>
                    <w:sz w:val="11"/>
                    <w:szCs w:val="11"/>
                    <w:lang w:val="en-GB"/>
                  </w:rPr>
                  <w:t>负债合计</w:t>
                </w:r>
              </w:p>
            </w:tc>
          </w:sdtContent>
        </w:sdt>
      </w:tr>
      <w:tr w:rsidR="00E57DAA" w14:paraId="095430D9" w14:textId="77777777">
        <w:tc>
          <w:tcPr>
            <w:tcW w:w="354" w:type="pct"/>
            <w:vAlign w:val="center"/>
          </w:tcPr>
          <w:p w14:paraId="60FFA079" w14:textId="77777777" w:rsidR="00E57DAA" w:rsidRDefault="00AC4185">
            <w:pPr>
              <w:jc w:val="center"/>
              <w:rPr>
                <w:sz w:val="11"/>
                <w:szCs w:val="11"/>
              </w:rPr>
            </w:pPr>
            <w:proofErr w:type="spellStart"/>
            <w:r>
              <w:rPr>
                <w:sz w:val="11"/>
                <w:szCs w:val="11"/>
              </w:rPr>
              <w:t>HAZEMAG&amp;EPRGmbH</w:t>
            </w:r>
            <w:proofErr w:type="spellEnd"/>
          </w:p>
        </w:tc>
        <w:tc>
          <w:tcPr>
            <w:tcW w:w="574" w:type="pct"/>
            <w:vAlign w:val="center"/>
          </w:tcPr>
          <w:p w14:paraId="49BC3ECA" w14:textId="77777777" w:rsidR="00E57DAA" w:rsidRDefault="00AC4185">
            <w:pPr>
              <w:jc w:val="center"/>
              <w:rPr>
                <w:sz w:val="11"/>
                <w:szCs w:val="11"/>
              </w:rPr>
            </w:pPr>
            <w:r>
              <w:rPr>
                <w:sz w:val="11"/>
                <w:szCs w:val="11"/>
              </w:rPr>
              <w:t>993,695,021.75</w:t>
            </w:r>
          </w:p>
        </w:tc>
        <w:tc>
          <w:tcPr>
            <w:tcW w:w="427" w:type="pct"/>
            <w:vAlign w:val="center"/>
          </w:tcPr>
          <w:p w14:paraId="55C19663" w14:textId="77777777" w:rsidR="00E57DAA" w:rsidRDefault="00AC4185">
            <w:pPr>
              <w:jc w:val="center"/>
              <w:rPr>
                <w:sz w:val="11"/>
                <w:szCs w:val="11"/>
              </w:rPr>
            </w:pPr>
            <w:r>
              <w:rPr>
                <w:sz w:val="11"/>
                <w:szCs w:val="11"/>
              </w:rPr>
              <w:t>330,286,158.52</w:t>
            </w:r>
          </w:p>
        </w:tc>
        <w:tc>
          <w:tcPr>
            <w:tcW w:w="501" w:type="pct"/>
            <w:vAlign w:val="center"/>
          </w:tcPr>
          <w:p w14:paraId="7EB326FB" w14:textId="77777777" w:rsidR="00E57DAA" w:rsidRDefault="00AC4185">
            <w:pPr>
              <w:jc w:val="center"/>
              <w:rPr>
                <w:sz w:val="11"/>
                <w:szCs w:val="11"/>
              </w:rPr>
            </w:pPr>
            <w:r>
              <w:rPr>
                <w:sz w:val="11"/>
                <w:szCs w:val="11"/>
              </w:rPr>
              <w:t>1,323,981,180.27</w:t>
            </w:r>
          </w:p>
        </w:tc>
        <w:tc>
          <w:tcPr>
            <w:tcW w:w="574" w:type="pct"/>
            <w:vAlign w:val="center"/>
          </w:tcPr>
          <w:p w14:paraId="39EB7547" w14:textId="77777777" w:rsidR="00E57DAA" w:rsidRDefault="00AC4185">
            <w:pPr>
              <w:jc w:val="center"/>
              <w:rPr>
                <w:sz w:val="11"/>
                <w:szCs w:val="11"/>
              </w:rPr>
            </w:pPr>
            <w:r>
              <w:rPr>
                <w:sz w:val="11"/>
                <w:szCs w:val="11"/>
              </w:rPr>
              <w:t>616,462,865.03</w:t>
            </w:r>
          </w:p>
        </w:tc>
        <w:tc>
          <w:tcPr>
            <w:tcW w:w="427" w:type="pct"/>
            <w:vAlign w:val="center"/>
          </w:tcPr>
          <w:p w14:paraId="18FEF5A5" w14:textId="77777777" w:rsidR="00E57DAA" w:rsidRDefault="00AC4185">
            <w:pPr>
              <w:jc w:val="center"/>
              <w:rPr>
                <w:sz w:val="11"/>
                <w:szCs w:val="11"/>
              </w:rPr>
            </w:pPr>
            <w:r>
              <w:rPr>
                <w:sz w:val="11"/>
                <w:szCs w:val="11"/>
              </w:rPr>
              <w:t>116,735,574.57</w:t>
            </w:r>
          </w:p>
        </w:tc>
        <w:tc>
          <w:tcPr>
            <w:tcW w:w="574" w:type="pct"/>
            <w:vAlign w:val="center"/>
          </w:tcPr>
          <w:p w14:paraId="08226E0C" w14:textId="77777777" w:rsidR="00E57DAA" w:rsidRDefault="00AC4185">
            <w:pPr>
              <w:jc w:val="center"/>
              <w:rPr>
                <w:sz w:val="11"/>
                <w:szCs w:val="11"/>
              </w:rPr>
            </w:pPr>
            <w:r>
              <w:rPr>
                <w:sz w:val="11"/>
                <w:szCs w:val="11"/>
              </w:rPr>
              <w:t>733,198,439.60</w:t>
            </w:r>
          </w:p>
        </w:tc>
        <w:tc>
          <w:tcPr>
            <w:tcW w:w="261" w:type="pct"/>
            <w:vAlign w:val="center"/>
          </w:tcPr>
          <w:p w14:paraId="2BE47131" w14:textId="77777777" w:rsidR="00E57DAA" w:rsidRDefault="00AC4185">
            <w:pPr>
              <w:jc w:val="center"/>
              <w:rPr>
                <w:sz w:val="11"/>
                <w:szCs w:val="11"/>
              </w:rPr>
            </w:pPr>
            <w:r>
              <w:rPr>
                <w:sz w:val="11"/>
                <w:szCs w:val="11"/>
              </w:rPr>
              <w:t>919,776,228.99</w:t>
            </w:r>
          </w:p>
        </w:tc>
        <w:tc>
          <w:tcPr>
            <w:tcW w:w="261" w:type="pct"/>
            <w:vAlign w:val="center"/>
          </w:tcPr>
          <w:p w14:paraId="75D72C6E" w14:textId="77777777" w:rsidR="00E57DAA" w:rsidRDefault="00AC4185">
            <w:pPr>
              <w:jc w:val="center"/>
              <w:rPr>
                <w:sz w:val="11"/>
                <w:szCs w:val="11"/>
              </w:rPr>
            </w:pPr>
            <w:r>
              <w:rPr>
                <w:sz w:val="11"/>
                <w:szCs w:val="11"/>
              </w:rPr>
              <w:t>312,318,133.74</w:t>
            </w:r>
          </w:p>
        </w:tc>
        <w:tc>
          <w:tcPr>
            <w:tcW w:w="261" w:type="pct"/>
            <w:vAlign w:val="center"/>
          </w:tcPr>
          <w:p w14:paraId="5AD06AAD" w14:textId="77777777" w:rsidR="00E57DAA" w:rsidRDefault="00AC4185">
            <w:pPr>
              <w:jc w:val="center"/>
              <w:rPr>
                <w:sz w:val="11"/>
                <w:szCs w:val="11"/>
              </w:rPr>
            </w:pPr>
            <w:r>
              <w:rPr>
                <w:sz w:val="11"/>
                <w:szCs w:val="11"/>
              </w:rPr>
              <w:t>1,232,094,362.73</w:t>
            </w:r>
          </w:p>
        </w:tc>
        <w:tc>
          <w:tcPr>
            <w:tcW w:w="261" w:type="pct"/>
            <w:vAlign w:val="center"/>
          </w:tcPr>
          <w:p w14:paraId="08994C49" w14:textId="77777777" w:rsidR="00E57DAA" w:rsidRDefault="00AC4185">
            <w:pPr>
              <w:jc w:val="center"/>
              <w:rPr>
                <w:sz w:val="11"/>
                <w:szCs w:val="11"/>
              </w:rPr>
            </w:pPr>
            <w:r>
              <w:rPr>
                <w:sz w:val="11"/>
                <w:szCs w:val="11"/>
              </w:rPr>
              <w:t>593,261,512.50</w:t>
            </w:r>
          </w:p>
        </w:tc>
        <w:tc>
          <w:tcPr>
            <w:tcW w:w="261" w:type="pct"/>
            <w:vAlign w:val="center"/>
          </w:tcPr>
          <w:p w14:paraId="7C105366" w14:textId="77777777" w:rsidR="00E57DAA" w:rsidRDefault="00AC4185">
            <w:pPr>
              <w:jc w:val="center"/>
              <w:rPr>
                <w:sz w:val="11"/>
                <w:szCs w:val="11"/>
              </w:rPr>
            </w:pPr>
            <w:r>
              <w:rPr>
                <w:sz w:val="11"/>
                <w:szCs w:val="11"/>
              </w:rPr>
              <w:t>116,925,870.72</w:t>
            </w:r>
          </w:p>
        </w:tc>
        <w:tc>
          <w:tcPr>
            <w:tcW w:w="261" w:type="pct"/>
            <w:vAlign w:val="center"/>
          </w:tcPr>
          <w:p w14:paraId="195C69D1" w14:textId="77777777" w:rsidR="00E57DAA" w:rsidRDefault="00AC4185">
            <w:pPr>
              <w:jc w:val="center"/>
              <w:rPr>
                <w:sz w:val="11"/>
                <w:szCs w:val="11"/>
              </w:rPr>
            </w:pPr>
            <w:r>
              <w:rPr>
                <w:sz w:val="11"/>
                <w:szCs w:val="11"/>
              </w:rPr>
              <w:t>710,187,383.22</w:t>
            </w:r>
          </w:p>
        </w:tc>
      </w:tr>
      <w:tr w:rsidR="00E57DAA" w14:paraId="026A8977" w14:textId="77777777">
        <w:tc>
          <w:tcPr>
            <w:tcW w:w="354" w:type="pct"/>
            <w:vAlign w:val="center"/>
          </w:tcPr>
          <w:p w14:paraId="7DE2B7F7" w14:textId="77777777" w:rsidR="00E57DAA" w:rsidRDefault="00AC4185">
            <w:pPr>
              <w:jc w:val="center"/>
              <w:rPr>
                <w:sz w:val="11"/>
                <w:szCs w:val="11"/>
              </w:rPr>
            </w:pPr>
            <w:r>
              <w:rPr>
                <w:sz w:val="11"/>
                <w:szCs w:val="11"/>
              </w:rPr>
              <w:t>中材国际智能科技有限公司</w:t>
            </w:r>
          </w:p>
        </w:tc>
        <w:tc>
          <w:tcPr>
            <w:tcW w:w="574" w:type="pct"/>
            <w:vAlign w:val="center"/>
          </w:tcPr>
          <w:p w14:paraId="7DB87557" w14:textId="77777777" w:rsidR="00E57DAA" w:rsidRDefault="00AC4185">
            <w:pPr>
              <w:jc w:val="center"/>
              <w:rPr>
                <w:sz w:val="11"/>
                <w:szCs w:val="11"/>
              </w:rPr>
            </w:pPr>
            <w:r>
              <w:rPr>
                <w:sz w:val="11"/>
                <w:szCs w:val="11"/>
              </w:rPr>
              <w:t>2,981,321,413.32</w:t>
            </w:r>
          </w:p>
        </w:tc>
        <w:tc>
          <w:tcPr>
            <w:tcW w:w="427" w:type="pct"/>
            <w:vAlign w:val="center"/>
          </w:tcPr>
          <w:p w14:paraId="287A7920" w14:textId="77777777" w:rsidR="00E57DAA" w:rsidRDefault="00AC4185">
            <w:pPr>
              <w:jc w:val="center"/>
              <w:rPr>
                <w:sz w:val="11"/>
                <w:szCs w:val="11"/>
              </w:rPr>
            </w:pPr>
            <w:r>
              <w:rPr>
                <w:sz w:val="11"/>
                <w:szCs w:val="11"/>
              </w:rPr>
              <w:t>146,718,463.94</w:t>
            </w:r>
          </w:p>
        </w:tc>
        <w:tc>
          <w:tcPr>
            <w:tcW w:w="501" w:type="pct"/>
            <w:vAlign w:val="center"/>
          </w:tcPr>
          <w:p w14:paraId="7D859777" w14:textId="77777777" w:rsidR="00E57DAA" w:rsidRDefault="00AC4185">
            <w:pPr>
              <w:jc w:val="center"/>
              <w:rPr>
                <w:sz w:val="11"/>
                <w:szCs w:val="11"/>
              </w:rPr>
            </w:pPr>
            <w:r>
              <w:rPr>
                <w:sz w:val="11"/>
                <w:szCs w:val="11"/>
              </w:rPr>
              <w:t>3,128,039,877.26</w:t>
            </w:r>
          </w:p>
        </w:tc>
        <w:tc>
          <w:tcPr>
            <w:tcW w:w="574" w:type="pct"/>
            <w:vAlign w:val="center"/>
          </w:tcPr>
          <w:p w14:paraId="09109E14" w14:textId="77777777" w:rsidR="00E57DAA" w:rsidRDefault="00AC4185">
            <w:pPr>
              <w:jc w:val="center"/>
              <w:rPr>
                <w:sz w:val="11"/>
                <w:szCs w:val="11"/>
              </w:rPr>
            </w:pPr>
            <w:r>
              <w:rPr>
                <w:sz w:val="11"/>
                <w:szCs w:val="11"/>
              </w:rPr>
              <w:t>2,130,752,145.10</w:t>
            </w:r>
          </w:p>
        </w:tc>
        <w:tc>
          <w:tcPr>
            <w:tcW w:w="427" w:type="pct"/>
            <w:vAlign w:val="center"/>
          </w:tcPr>
          <w:p w14:paraId="5D8D23D4" w14:textId="77777777" w:rsidR="00E57DAA" w:rsidRDefault="00E57DAA">
            <w:pPr>
              <w:jc w:val="center"/>
              <w:rPr>
                <w:sz w:val="11"/>
                <w:szCs w:val="11"/>
              </w:rPr>
            </w:pPr>
          </w:p>
        </w:tc>
        <w:tc>
          <w:tcPr>
            <w:tcW w:w="574" w:type="pct"/>
            <w:vAlign w:val="center"/>
          </w:tcPr>
          <w:p w14:paraId="0AA46F8F" w14:textId="77777777" w:rsidR="00E57DAA" w:rsidRDefault="00AC4185">
            <w:pPr>
              <w:jc w:val="center"/>
              <w:rPr>
                <w:sz w:val="11"/>
                <w:szCs w:val="11"/>
              </w:rPr>
            </w:pPr>
            <w:r>
              <w:rPr>
                <w:sz w:val="11"/>
                <w:szCs w:val="11"/>
              </w:rPr>
              <w:t>2,130,752,145.10</w:t>
            </w:r>
          </w:p>
        </w:tc>
        <w:tc>
          <w:tcPr>
            <w:tcW w:w="261" w:type="pct"/>
            <w:vAlign w:val="center"/>
          </w:tcPr>
          <w:p w14:paraId="615877DF" w14:textId="77777777" w:rsidR="00E57DAA" w:rsidRDefault="00AC4185">
            <w:pPr>
              <w:jc w:val="center"/>
              <w:rPr>
                <w:sz w:val="11"/>
                <w:szCs w:val="11"/>
              </w:rPr>
            </w:pPr>
            <w:r>
              <w:rPr>
                <w:sz w:val="11"/>
                <w:szCs w:val="11"/>
              </w:rPr>
              <w:t>2,914,038,946.03</w:t>
            </w:r>
          </w:p>
        </w:tc>
        <w:tc>
          <w:tcPr>
            <w:tcW w:w="261" w:type="pct"/>
            <w:vAlign w:val="center"/>
          </w:tcPr>
          <w:p w14:paraId="19FB8553" w14:textId="77777777" w:rsidR="00E57DAA" w:rsidRDefault="00AC4185">
            <w:pPr>
              <w:jc w:val="center"/>
              <w:rPr>
                <w:sz w:val="11"/>
                <w:szCs w:val="11"/>
              </w:rPr>
            </w:pPr>
            <w:r>
              <w:rPr>
                <w:sz w:val="11"/>
                <w:szCs w:val="11"/>
              </w:rPr>
              <w:t>117,164,733.56</w:t>
            </w:r>
          </w:p>
        </w:tc>
        <w:tc>
          <w:tcPr>
            <w:tcW w:w="261" w:type="pct"/>
            <w:vAlign w:val="center"/>
          </w:tcPr>
          <w:p w14:paraId="6136766D" w14:textId="77777777" w:rsidR="00E57DAA" w:rsidRDefault="00AC4185">
            <w:pPr>
              <w:jc w:val="center"/>
              <w:rPr>
                <w:sz w:val="11"/>
                <w:szCs w:val="11"/>
              </w:rPr>
            </w:pPr>
            <w:r>
              <w:rPr>
                <w:sz w:val="11"/>
                <w:szCs w:val="11"/>
              </w:rPr>
              <w:t>3,031,203,679.59</w:t>
            </w:r>
          </w:p>
        </w:tc>
        <w:tc>
          <w:tcPr>
            <w:tcW w:w="261" w:type="pct"/>
            <w:vAlign w:val="center"/>
          </w:tcPr>
          <w:p w14:paraId="016A130F" w14:textId="77777777" w:rsidR="00E57DAA" w:rsidRDefault="00AC4185">
            <w:pPr>
              <w:jc w:val="center"/>
              <w:rPr>
                <w:sz w:val="11"/>
                <w:szCs w:val="11"/>
              </w:rPr>
            </w:pPr>
            <w:r>
              <w:rPr>
                <w:sz w:val="11"/>
                <w:szCs w:val="11"/>
              </w:rPr>
              <w:t>2,152,916,374.42</w:t>
            </w:r>
          </w:p>
        </w:tc>
        <w:tc>
          <w:tcPr>
            <w:tcW w:w="261" w:type="pct"/>
            <w:vAlign w:val="center"/>
          </w:tcPr>
          <w:p w14:paraId="5D69E9A9" w14:textId="77777777" w:rsidR="00E57DAA" w:rsidRDefault="00AC4185">
            <w:pPr>
              <w:jc w:val="center"/>
              <w:rPr>
                <w:sz w:val="11"/>
                <w:szCs w:val="11"/>
              </w:rPr>
            </w:pPr>
            <w:r>
              <w:rPr>
                <w:sz w:val="11"/>
                <w:szCs w:val="11"/>
              </w:rPr>
              <w:t>501,550.56</w:t>
            </w:r>
          </w:p>
        </w:tc>
        <w:tc>
          <w:tcPr>
            <w:tcW w:w="261" w:type="pct"/>
            <w:vAlign w:val="center"/>
          </w:tcPr>
          <w:p w14:paraId="4335CF9D" w14:textId="77777777" w:rsidR="00E57DAA" w:rsidRDefault="00AC4185">
            <w:pPr>
              <w:jc w:val="center"/>
              <w:rPr>
                <w:sz w:val="11"/>
                <w:szCs w:val="11"/>
              </w:rPr>
            </w:pPr>
            <w:r>
              <w:rPr>
                <w:sz w:val="11"/>
                <w:szCs w:val="11"/>
              </w:rPr>
              <w:t>2,153,417,924.98</w:t>
            </w:r>
          </w:p>
        </w:tc>
      </w:tr>
    </w:tbl>
    <w:p w14:paraId="4C283C06" w14:textId="77777777" w:rsidR="00E57DAA" w:rsidRDefault="00E57DAA">
      <w:pPr>
        <w:rPr>
          <w:sz w:val="15"/>
          <w:szCs w:val="18"/>
        </w:rPr>
      </w:pPr>
    </w:p>
    <w:p w14:paraId="3E9388F3" w14:textId="77777777" w:rsidR="00E57DAA" w:rsidRDefault="00E57DAA">
      <w:pPr>
        <w:rPr>
          <w:rFonts w:cs="Arial"/>
          <w:sz w:val="15"/>
          <w:szCs w:val="15"/>
        </w:rPr>
      </w:pPr>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9"/>
        <w:gridCol w:w="1801"/>
        <w:gridCol w:w="1593"/>
        <w:gridCol w:w="1593"/>
        <w:gridCol w:w="1593"/>
        <w:gridCol w:w="1416"/>
        <w:gridCol w:w="1266"/>
        <w:gridCol w:w="1266"/>
        <w:gridCol w:w="1356"/>
      </w:tblGrid>
      <w:tr w:rsidR="00E57DAA" w14:paraId="740151E6" w14:textId="77777777">
        <w:trPr>
          <w:trHeight w:val="241"/>
        </w:trPr>
        <w:sdt>
          <w:sdtPr>
            <w:rPr>
              <w:sz w:val="15"/>
              <w:szCs w:val="18"/>
            </w:rPr>
            <w:tag w:val="_PLD_f862f5520ccd48d7b0fd3b875414eb44"/>
            <w:id w:val="-241099014"/>
          </w:sdtPr>
          <w:sdtEndPr/>
          <w:sdtContent>
            <w:tc>
              <w:tcPr>
                <w:tcW w:w="718" w:type="pct"/>
                <w:vMerge w:val="restart"/>
                <w:shd w:val="clear" w:color="auto" w:fill="auto"/>
                <w:vAlign w:val="center"/>
              </w:tcPr>
              <w:p w14:paraId="3CF9A9CB" w14:textId="77777777" w:rsidR="00E57DAA" w:rsidRDefault="00AC4185">
                <w:pPr>
                  <w:spacing w:line="276" w:lineRule="auto"/>
                  <w:ind w:right="-16"/>
                  <w:jc w:val="center"/>
                  <w:rPr>
                    <w:rFonts w:cs="Arial"/>
                    <w:bCs/>
                    <w:sz w:val="15"/>
                    <w:szCs w:val="15"/>
                  </w:rPr>
                </w:pPr>
                <w:r>
                  <w:rPr>
                    <w:rFonts w:cs="Arial" w:hint="eastAsia"/>
                    <w:bCs/>
                    <w:sz w:val="15"/>
                    <w:szCs w:val="15"/>
                    <w:lang w:val="en-GB"/>
                  </w:rPr>
                  <w:t>子公司名称</w:t>
                </w:r>
              </w:p>
            </w:tc>
          </w:sdtContent>
        </w:sdt>
        <w:sdt>
          <w:sdtPr>
            <w:rPr>
              <w:sz w:val="15"/>
              <w:szCs w:val="18"/>
            </w:rPr>
            <w:tag w:val="_PLD_5506f9b7657a4249a69db52c93f94b62"/>
            <w:id w:val="-1635246100"/>
          </w:sdtPr>
          <w:sdtEndPr/>
          <w:sdtContent>
            <w:tc>
              <w:tcPr>
                <w:tcW w:w="2389" w:type="pct"/>
                <w:gridSpan w:val="4"/>
                <w:shd w:val="clear" w:color="auto" w:fill="auto"/>
                <w:vAlign w:val="center"/>
              </w:tcPr>
              <w:p w14:paraId="50F3B094" w14:textId="77777777" w:rsidR="00E57DAA" w:rsidRDefault="00AC4185">
                <w:pPr>
                  <w:spacing w:line="276" w:lineRule="auto"/>
                  <w:ind w:right="-16"/>
                  <w:jc w:val="center"/>
                  <w:rPr>
                    <w:rFonts w:cs="Arial"/>
                    <w:bCs/>
                    <w:sz w:val="15"/>
                    <w:szCs w:val="15"/>
                  </w:rPr>
                </w:pPr>
                <w:r>
                  <w:rPr>
                    <w:rFonts w:cs="Arial" w:hint="eastAsia"/>
                    <w:bCs/>
                    <w:sz w:val="15"/>
                    <w:szCs w:val="15"/>
                    <w:lang w:val="en-GB"/>
                  </w:rPr>
                  <w:t>本期发生额</w:t>
                </w:r>
              </w:p>
            </w:tc>
          </w:sdtContent>
        </w:sdt>
        <w:sdt>
          <w:sdtPr>
            <w:rPr>
              <w:sz w:val="15"/>
              <w:szCs w:val="18"/>
            </w:rPr>
            <w:tag w:val="_PLD_063dddde33114bd0989718130d614207"/>
            <w:id w:val="-356430616"/>
          </w:sdtPr>
          <w:sdtEndPr/>
          <w:sdtContent>
            <w:tc>
              <w:tcPr>
                <w:tcW w:w="1892" w:type="pct"/>
                <w:gridSpan w:val="4"/>
                <w:shd w:val="clear" w:color="auto" w:fill="auto"/>
                <w:vAlign w:val="center"/>
              </w:tcPr>
              <w:p w14:paraId="2FCA03D2" w14:textId="77777777" w:rsidR="00E57DAA" w:rsidRDefault="00AC4185">
                <w:pPr>
                  <w:spacing w:line="276" w:lineRule="auto"/>
                  <w:ind w:right="-16"/>
                  <w:jc w:val="center"/>
                  <w:rPr>
                    <w:rFonts w:cs="Arial"/>
                    <w:bCs/>
                    <w:sz w:val="15"/>
                    <w:szCs w:val="15"/>
                  </w:rPr>
                </w:pPr>
                <w:r>
                  <w:rPr>
                    <w:rFonts w:cs="Arial" w:hint="eastAsia"/>
                    <w:bCs/>
                    <w:sz w:val="15"/>
                    <w:szCs w:val="15"/>
                    <w:lang w:val="en-GB"/>
                  </w:rPr>
                  <w:t>上期发生额</w:t>
                </w:r>
              </w:p>
            </w:tc>
          </w:sdtContent>
        </w:sdt>
      </w:tr>
      <w:tr w:rsidR="00E57DAA" w14:paraId="62999E13" w14:textId="77777777">
        <w:trPr>
          <w:trHeight w:val="241"/>
        </w:trPr>
        <w:tc>
          <w:tcPr>
            <w:tcW w:w="718" w:type="pct"/>
            <w:vMerge/>
            <w:shd w:val="clear" w:color="auto" w:fill="auto"/>
            <w:vAlign w:val="center"/>
          </w:tcPr>
          <w:p w14:paraId="71AFD0C0" w14:textId="77777777" w:rsidR="00E57DAA" w:rsidRDefault="00E57DAA">
            <w:pPr>
              <w:jc w:val="center"/>
              <w:rPr>
                <w:rFonts w:cs="Arial"/>
                <w:bCs/>
                <w:sz w:val="15"/>
                <w:szCs w:val="15"/>
              </w:rPr>
            </w:pPr>
          </w:p>
        </w:tc>
        <w:sdt>
          <w:sdtPr>
            <w:rPr>
              <w:sz w:val="15"/>
              <w:szCs w:val="18"/>
            </w:rPr>
            <w:tag w:val="_PLD_0ff6644b89fa49828839f84e0b320d2e"/>
            <w:id w:val="-1421328484"/>
          </w:sdtPr>
          <w:sdtEndPr/>
          <w:sdtContent>
            <w:tc>
              <w:tcPr>
                <w:tcW w:w="654" w:type="pct"/>
                <w:shd w:val="clear" w:color="auto" w:fill="auto"/>
                <w:vAlign w:val="center"/>
              </w:tcPr>
              <w:p w14:paraId="00E83AAF" w14:textId="77777777" w:rsidR="00E57DAA" w:rsidRDefault="00AC4185">
                <w:pPr>
                  <w:spacing w:line="276" w:lineRule="auto"/>
                  <w:jc w:val="center"/>
                  <w:rPr>
                    <w:rFonts w:cs="Arial"/>
                    <w:sz w:val="15"/>
                    <w:szCs w:val="15"/>
                  </w:rPr>
                </w:pPr>
                <w:r>
                  <w:rPr>
                    <w:rFonts w:cs="Arial" w:hint="eastAsia"/>
                    <w:sz w:val="15"/>
                    <w:szCs w:val="15"/>
                    <w:lang w:val="en-GB"/>
                  </w:rPr>
                  <w:t>营业收入</w:t>
                </w:r>
              </w:p>
            </w:tc>
          </w:sdtContent>
        </w:sdt>
        <w:sdt>
          <w:sdtPr>
            <w:rPr>
              <w:sz w:val="15"/>
              <w:szCs w:val="18"/>
            </w:rPr>
            <w:tag w:val="_PLD_3ed6f54533ae4b35b5749cded650328b"/>
            <w:id w:val="-1804468352"/>
          </w:sdtPr>
          <w:sdtEndPr/>
          <w:sdtContent>
            <w:tc>
              <w:tcPr>
                <w:tcW w:w="579" w:type="pct"/>
                <w:shd w:val="clear" w:color="auto" w:fill="auto"/>
                <w:vAlign w:val="center"/>
              </w:tcPr>
              <w:p w14:paraId="681FF276" w14:textId="77777777" w:rsidR="00E57DAA" w:rsidRDefault="00AC4185">
                <w:pPr>
                  <w:spacing w:line="276" w:lineRule="auto"/>
                  <w:jc w:val="center"/>
                  <w:rPr>
                    <w:rFonts w:cs="Arial"/>
                    <w:sz w:val="15"/>
                    <w:szCs w:val="15"/>
                  </w:rPr>
                </w:pPr>
                <w:r>
                  <w:rPr>
                    <w:rFonts w:cs="Arial" w:hint="eastAsia"/>
                    <w:sz w:val="15"/>
                    <w:szCs w:val="15"/>
                    <w:lang w:val="en-GB"/>
                  </w:rPr>
                  <w:t>净利润</w:t>
                </w:r>
              </w:p>
            </w:tc>
          </w:sdtContent>
        </w:sdt>
        <w:sdt>
          <w:sdtPr>
            <w:rPr>
              <w:sz w:val="15"/>
              <w:szCs w:val="18"/>
            </w:rPr>
            <w:tag w:val="_PLD_f277e496f88240b8a09027ca500f53c9"/>
            <w:id w:val="996462713"/>
          </w:sdtPr>
          <w:sdtEndPr/>
          <w:sdtContent>
            <w:tc>
              <w:tcPr>
                <w:tcW w:w="579" w:type="pct"/>
                <w:shd w:val="clear" w:color="auto" w:fill="auto"/>
                <w:vAlign w:val="center"/>
              </w:tcPr>
              <w:p w14:paraId="2CA57D20" w14:textId="77777777" w:rsidR="00E57DAA" w:rsidRDefault="00AC4185">
                <w:pPr>
                  <w:spacing w:line="276" w:lineRule="auto"/>
                  <w:jc w:val="center"/>
                  <w:rPr>
                    <w:rFonts w:cs="Arial"/>
                    <w:sz w:val="15"/>
                    <w:szCs w:val="15"/>
                  </w:rPr>
                </w:pPr>
                <w:r>
                  <w:rPr>
                    <w:rFonts w:cs="Arial" w:hint="eastAsia"/>
                    <w:sz w:val="15"/>
                    <w:szCs w:val="15"/>
                    <w:lang w:val="en-GB"/>
                  </w:rPr>
                  <w:t>综合收益总额</w:t>
                </w:r>
              </w:p>
            </w:tc>
          </w:sdtContent>
        </w:sdt>
        <w:sdt>
          <w:sdtPr>
            <w:rPr>
              <w:sz w:val="15"/>
              <w:szCs w:val="18"/>
            </w:rPr>
            <w:tag w:val="_PLD_b06ad8ebb20b4c158ab41b3105f22658"/>
            <w:id w:val="154275649"/>
          </w:sdtPr>
          <w:sdtEndPr/>
          <w:sdtContent>
            <w:tc>
              <w:tcPr>
                <w:tcW w:w="579" w:type="pct"/>
                <w:shd w:val="clear" w:color="auto" w:fill="auto"/>
                <w:vAlign w:val="center"/>
              </w:tcPr>
              <w:p w14:paraId="63BDF4E9" w14:textId="77777777" w:rsidR="00E57DAA" w:rsidRDefault="00AC4185">
                <w:pPr>
                  <w:spacing w:line="276" w:lineRule="auto"/>
                  <w:jc w:val="center"/>
                  <w:rPr>
                    <w:rFonts w:cs="Arial"/>
                    <w:sz w:val="15"/>
                    <w:szCs w:val="15"/>
                  </w:rPr>
                </w:pPr>
                <w:r>
                  <w:rPr>
                    <w:rFonts w:cs="Arial" w:hint="eastAsia"/>
                    <w:sz w:val="15"/>
                    <w:szCs w:val="15"/>
                    <w:lang w:val="en-GB"/>
                  </w:rPr>
                  <w:t>经营活动现金流量</w:t>
                </w:r>
              </w:p>
            </w:tc>
          </w:sdtContent>
        </w:sdt>
        <w:sdt>
          <w:sdtPr>
            <w:rPr>
              <w:sz w:val="15"/>
              <w:szCs w:val="18"/>
            </w:rPr>
            <w:tag w:val="_PLD_4fc4163d4ea74839b6634e2ab30a43dd"/>
            <w:id w:val="-2012983664"/>
          </w:sdtPr>
          <w:sdtEndPr/>
          <w:sdtContent>
            <w:tc>
              <w:tcPr>
                <w:tcW w:w="511" w:type="pct"/>
                <w:shd w:val="clear" w:color="auto" w:fill="auto"/>
                <w:vAlign w:val="center"/>
              </w:tcPr>
              <w:p w14:paraId="09698902" w14:textId="77777777" w:rsidR="00E57DAA" w:rsidRDefault="00AC4185">
                <w:pPr>
                  <w:spacing w:line="276" w:lineRule="auto"/>
                  <w:jc w:val="center"/>
                  <w:rPr>
                    <w:rFonts w:cs="Arial"/>
                    <w:sz w:val="15"/>
                    <w:szCs w:val="15"/>
                  </w:rPr>
                </w:pPr>
                <w:r>
                  <w:rPr>
                    <w:rFonts w:cs="Arial" w:hint="eastAsia"/>
                    <w:sz w:val="15"/>
                    <w:szCs w:val="15"/>
                    <w:lang w:val="en-GB"/>
                  </w:rPr>
                  <w:t>营业收入</w:t>
                </w:r>
              </w:p>
            </w:tc>
          </w:sdtContent>
        </w:sdt>
        <w:sdt>
          <w:sdtPr>
            <w:rPr>
              <w:sz w:val="15"/>
              <w:szCs w:val="18"/>
            </w:rPr>
            <w:tag w:val="_PLD_afe353d057d34119880797ab0530197f"/>
            <w:id w:val="1078323008"/>
          </w:sdtPr>
          <w:sdtEndPr/>
          <w:sdtContent>
            <w:tc>
              <w:tcPr>
                <w:tcW w:w="457" w:type="pct"/>
                <w:shd w:val="clear" w:color="auto" w:fill="auto"/>
                <w:vAlign w:val="center"/>
              </w:tcPr>
              <w:p w14:paraId="30B9B698" w14:textId="77777777" w:rsidR="00E57DAA" w:rsidRDefault="00AC4185">
                <w:pPr>
                  <w:spacing w:line="276" w:lineRule="auto"/>
                  <w:jc w:val="center"/>
                  <w:rPr>
                    <w:rFonts w:cs="Arial"/>
                    <w:sz w:val="15"/>
                    <w:szCs w:val="15"/>
                  </w:rPr>
                </w:pPr>
                <w:r>
                  <w:rPr>
                    <w:rFonts w:cs="Arial" w:hint="eastAsia"/>
                    <w:sz w:val="15"/>
                    <w:szCs w:val="15"/>
                    <w:lang w:val="en-GB"/>
                  </w:rPr>
                  <w:t>净利润</w:t>
                </w:r>
              </w:p>
            </w:tc>
          </w:sdtContent>
        </w:sdt>
        <w:sdt>
          <w:sdtPr>
            <w:rPr>
              <w:sz w:val="15"/>
              <w:szCs w:val="18"/>
            </w:rPr>
            <w:tag w:val="_PLD_06c5ed8a09a8478bb7daf6526e9a9894"/>
            <w:id w:val="-36981192"/>
          </w:sdtPr>
          <w:sdtEndPr/>
          <w:sdtContent>
            <w:tc>
              <w:tcPr>
                <w:tcW w:w="422" w:type="pct"/>
                <w:shd w:val="clear" w:color="auto" w:fill="auto"/>
                <w:vAlign w:val="center"/>
              </w:tcPr>
              <w:p w14:paraId="5F9EA6C8" w14:textId="77777777" w:rsidR="00E57DAA" w:rsidRDefault="00AC4185">
                <w:pPr>
                  <w:spacing w:line="276" w:lineRule="auto"/>
                  <w:jc w:val="center"/>
                  <w:rPr>
                    <w:rFonts w:cs="Arial"/>
                    <w:sz w:val="15"/>
                    <w:szCs w:val="15"/>
                  </w:rPr>
                </w:pPr>
                <w:r>
                  <w:rPr>
                    <w:rFonts w:cs="Arial" w:hint="eastAsia"/>
                    <w:sz w:val="15"/>
                    <w:szCs w:val="15"/>
                    <w:lang w:val="en-GB"/>
                  </w:rPr>
                  <w:t>综合收益总额</w:t>
                </w:r>
              </w:p>
            </w:tc>
          </w:sdtContent>
        </w:sdt>
        <w:sdt>
          <w:sdtPr>
            <w:rPr>
              <w:sz w:val="15"/>
              <w:szCs w:val="18"/>
            </w:rPr>
            <w:tag w:val="_PLD_4bb5318561af41709725de1d7e458dde"/>
            <w:id w:val="-553380287"/>
          </w:sdtPr>
          <w:sdtEndPr/>
          <w:sdtContent>
            <w:tc>
              <w:tcPr>
                <w:tcW w:w="503" w:type="pct"/>
                <w:shd w:val="clear" w:color="auto" w:fill="auto"/>
                <w:vAlign w:val="center"/>
              </w:tcPr>
              <w:p w14:paraId="64711E05" w14:textId="77777777" w:rsidR="00E57DAA" w:rsidRDefault="00AC4185">
                <w:pPr>
                  <w:spacing w:line="276" w:lineRule="auto"/>
                  <w:jc w:val="center"/>
                  <w:rPr>
                    <w:rFonts w:cs="Arial"/>
                    <w:sz w:val="15"/>
                    <w:szCs w:val="15"/>
                  </w:rPr>
                </w:pPr>
                <w:r>
                  <w:rPr>
                    <w:rFonts w:cs="Arial" w:hint="eastAsia"/>
                    <w:sz w:val="15"/>
                    <w:szCs w:val="15"/>
                    <w:lang w:val="en-GB"/>
                  </w:rPr>
                  <w:t>经营活动现金流量</w:t>
                </w:r>
              </w:p>
            </w:tc>
          </w:sdtContent>
        </w:sdt>
      </w:tr>
      <w:tr w:rsidR="00E57DAA" w14:paraId="03DF5660" w14:textId="77777777">
        <w:tc>
          <w:tcPr>
            <w:tcW w:w="718" w:type="pct"/>
          </w:tcPr>
          <w:p w14:paraId="3A522D33" w14:textId="77777777" w:rsidR="00E57DAA" w:rsidRDefault="00AC4185">
            <w:pPr>
              <w:spacing w:line="276" w:lineRule="auto"/>
              <w:rPr>
                <w:sz w:val="15"/>
                <w:szCs w:val="15"/>
              </w:rPr>
            </w:pPr>
            <w:proofErr w:type="spellStart"/>
            <w:r>
              <w:rPr>
                <w:sz w:val="15"/>
                <w:szCs w:val="18"/>
              </w:rPr>
              <w:t>HAZEMAG&amp;EPRGmbH</w:t>
            </w:r>
            <w:proofErr w:type="spellEnd"/>
          </w:p>
        </w:tc>
        <w:tc>
          <w:tcPr>
            <w:tcW w:w="654" w:type="pct"/>
            <w:vAlign w:val="center"/>
          </w:tcPr>
          <w:p w14:paraId="7D9CBF63" w14:textId="77777777" w:rsidR="00E57DAA" w:rsidRDefault="00AC4185">
            <w:pPr>
              <w:spacing w:line="276" w:lineRule="auto"/>
              <w:jc w:val="right"/>
              <w:rPr>
                <w:sz w:val="15"/>
                <w:szCs w:val="15"/>
              </w:rPr>
            </w:pPr>
            <w:r>
              <w:rPr>
                <w:sz w:val="15"/>
                <w:szCs w:val="18"/>
              </w:rPr>
              <w:t>1,258,623,276.62</w:t>
            </w:r>
          </w:p>
        </w:tc>
        <w:tc>
          <w:tcPr>
            <w:tcW w:w="579" w:type="pct"/>
            <w:vAlign w:val="center"/>
          </w:tcPr>
          <w:p w14:paraId="01672C35" w14:textId="77777777" w:rsidR="00E57DAA" w:rsidRDefault="00AC4185">
            <w:pPr>
              <w:spacing w:line="276" w:lineRule="auto"/>
              <w:jc w:val="right"/>
              <w:rPr>
                <w:sz w:val="15"/>
                <w:szCs w:val="15"/>
              </w:rPr>
            </w:pPr>
            <w:r>
              <w:rPr>
                <w:sz w:val="15"/>
                <w:szCs w:val="18"/>
              </w:rPr>
              <w:t>63,963,909.57</w:t>
            </w:r>
          </w:p>
        </w:tc>
        <w:tc>
          <w:tcPr>
            <w:tcW w:w="579" w:type="pct"/>
            <w:vAlign w:val="center"/>
          </w:tcPr>
          <w:p w14:paraId="6E17AED0" w14:textId="77777777" w:rsidR="00E57DAA" w:rsidRDefault="00AC4185">
            <w:pPr>
              <w:spacing w:line="276" w:lineRule="auto"/>
              <w:jc w:val="right"/>
              <w:rPr>
                <w:sz w:val="15"/>
                <w:szCs w:val="15"/>
              </w:rPr>
            </w:pPr>
            <w:r>
              <w:rPr>
                <w:sz w:val="15"/>
                <w:szCs w:val="18"/>
              </w:rPr>
              <w:t>63,963,909.57</w:t>
            </w:r>
          </w:p>
        </w:tc>
        <w:tc>
          <w:tcPr>
            <w:tcW w:w="579" w:type="pct"/>
            <w:vAlign w:val="center"/>
          </w:tcPr>
          <w:p w14:paraId="1D9A5F4C" w14:textId="77777777" w:rsidR="00E57DAA" w:rsidRDefault="00AC4185">
            <w:pPr>
              <w:spacing w:line="276" w:lineRule="auto"/>
              <w:jc w:val="right"/>
              <w:rPr>
                <w:sz w:val="15"/>
                <w:szCs w:val="15"/>
              </w:rPr>
            </w:pPr>
            <w:r>
              <w:rPr>
                <w:sz w:val="15"/>
                <w:szCs w:val="18"/>
              </w:rPr>
              <w:t>86,449,603.37</w:t>
            </w:r>
          </w:p>
        </w:tc>
        <w:tc>
          <w:tcPr>
            <w:tcW w:w="511" w:type="pct"/>
            <w:vAlign w:val="center"/>
          </w:tcPr>
          <w:p w14:paraId="46469DAE" w14:textId="77777777" w:rsidR="00E57DAA" w:rsidRDefault="00AC4185">
            <w:pPr>
              <w:spacing w:line="276" w:lineRule="auto"/>
              <w:jc w:val="right"/>
              <w:rPr>
                <w:sz w:val="15"/>
                <w:szCs w:val="15"/>
              </w:rPr>
            </w:pPr>
            <w:r>
              <w:rPr>
                <w:sz w:val="15"/>
                <w:szCs w:val="18"/>
              </w:rPr>
              <w:t>1,092,658,087.26</w:t>
            </w:r>
          </w:p>
        </w:tc>
        <w:tc>
          <w:tcPr>
            <w:tcW w:w="457" w:type="pct"/>
            <w:vAlign w:val="center"/>
          </w:tcPr>
          <w:p w14:paraId="1E1C0975" w14:textId="77777777" w:rsidR="00E57DAA" w:rsidRDefault="00AC4185">
            <w:pPr>
              <w:spacing w:line="276" w:lineRule="auto"/>
              <w:jc w:val="right"/>
              <w:rPr>
                <w:sz w:val="15"/>
                <w:szCs w:val="15"/>
              </w:rPr>
            </w:pPr>
            <w:r>
              <w:rPr>
                <w:sz w:val="15"/>
                <w:szCs w:val="18"/>
              </w:rPr>
              <w:t>44,127,803.20</w:t>
            </w:r>
          </w:p>
        </w:tc>
        <w:tc>
          <w:tcPr>
            <w:tcW w:w="422" w:type="pct"/>
            <w:vAlign w:val="center"/>
          </w:tcPr>
          <w:p w14:paraId="34A3A0E6" w14:textId="77777777" w:rsidR="00E57DAA" w:rsidRDefault="00AC4185">
            <w:pPr>
              <w:spacing w:line="276" w:lineRule="auto"/>
              <w:jc w:val="right"/>
              <w:rPr>
                <w:sz w:val="15"/>
                <w:szCs w:val="15"/>
              </w:rPr>
            </w:pPr>
            <w:r>
              <w:rPr>
                <w:sz w:val="15"/>
                <w:szCs w:val="18"/>
              </w:rPr>
              <w:t>44,127,803.20</w:t>
            </w:r>
          </w:p>
        </w:tc>
        <w:tc>
          <w:tcPr>
            <w:tcW w:w="503" w:type="pct"/>
            <w:vAlign w:val="center"/>
          </w:tcPr>
          <w:p w14:paraId="046077C4" w14:textId="77777777" w:rsidR="00E57DAA" w:rsidRDefault="00AC4185">
            <w:pPr>
              <w:spacing w:line="276" w:lineRule="auto"/>
              <w:jc w:val="right"/>
              <w:rPr>
                <w:sz w:val="15"/>
                <w:szCs w:val="15"/>
              </w:rPr>
            </w:pPr>
            <w:r>
              <w:rPr>
                <w:sz w:val="15"/>
                <w:szCs w:val="18"/>
              </w:rPr>
              <w:t>53,243,163.68</w:t>
            </w:r>
          </w:p>
        </w:tc>
      </w:tr>
      <w:tr w:rsidR="00E57DAA" w14:paraId="3BCC54A8" w14:textId="77777777">
        <w:tc>
          <w:tcPr>
            <w:tcW w:w="718" w:type="pct"/>
          </w:tcPr>
          <w:p w14:paraId="2A014EE2" w14:textId="77777777" w:rsidR="00E57DAA" w:rsidRDefault="00AC4185">
            <w:pPr>
              <w:spacing w:line="276" w:lineRule="auto"/>
              <w:rPr>
                <w:sz w:val="15"/>
                <w:szCs w:val="15"/>
              </w:rPr>
            </w:pPr>
            <w:r>
              <w:rPr>
                <w:sz w:val="15"/>
                <w:szCs w:val="18"/>
              </w:rPr>
              <w:t>中材国际智能科技有限公司</w:t>
            </w:r>
          </w:p>
        </w:tc>
        <w:tc>
          <w:tcPr>
            <w:tcW w:w="654" w:type="pct"/>
            <w:vAlign w:val="center"/>
          </w:tcPr>
          <w:p w14:paraId="0F3BFBD0" w14:textId="77777777" w:rsidR="00E57DAA" w:rsidRDefault="00AC4185">
            <w:pPr>
              <w:spacing w:line="276" w:lineRule="auto"/>
              <w:jc w:val="right"/>
              <w:rPr>
                <w:sz w:val="15"/>
                <w:szCs w:val="15"/>
              </w:rPr>
            </w:pPr>
            <w:r>
              <w:rPr>
                <w:sz w:val="15"/>
                <w:szCs w:val="18"/>
              </w:rPr>
              <w:t>3,296,106,675.12</w:t>
            </w:r>
          </w:p>
        </w:tc>
        <w:tc>
          <w:tcPr>
            <w:tcW w:w="579" w:type="pct"/>
            <w:vAlign w:val="center"/>
          </w:tcPr>
          <w:p w14:paraId="0B380786" w14:textId="77777777" w:rsidR="00E57DAA" w:rsidRDefault="00AC4185">
            <w:pPr>
              <w:spacing w:line="276" w:lineRule="auto"/>
              <w:jc w:val="right"/>
              <w:rPr>
                <w:sz w:val="15"/>
                <w:szCs w:val="15"/>
              </w:rPr>
            </w:pPr>
            <w:r>
              <w:rPr>
                <w:sz w:val="15"/>
                <w:szCs w:val="18"/>
              </w:rPr>
              <w:t>201,196,488.12</w:t>
            </w:r>
          </w:p>
        </w:tc>
        <w:tc>
          <w:tcPr>
            <w:tcW w:w="579" w:type="pct"/>
            <w:vAlign w:val="center"/>
          </w:tcPr>
          <w:p w14:paraId="7F85528D" w14:textId="77777777" w:rsidR="00E57DAA" w:rsidRDefault="00AC4185">
            <w:pPr>
              <w:spacing w:line="276" w:lineRule="auto"/>
              <w:jc w:val="right"/>
              <w:rPr>
                <w:sz w:val="15"/>
                <w:szCs w:val="15"/>
              </w:rPr>
            </w:pPr>
            <w:r>
              <w:rPr>
                <w:sz w:val="15"/>
                <w:szCs w:val="18"/>
              </w:rPr>
              <w:t>202,135,023.50</w:t>
            </w:r>
          </w:p>
        </w:tc>
        <w:tc>
          <w:tcPr>
            <w:tcW w:w="579" w:type="pct"/>
            <w:vAlign w:val="center"/>
          </w:tcPr>
          <w:p w14:paraId="38BCF83D" w14:textId="77777777" w:rsidR="00E57DAA" w:rsidRDefault="00AC4185">
            <w:pPr>
              <w:spacing w:line="276" w:lineRule="auto"/>
              <w:jc w:val="right"/>
              <w:rPr>
                <w:sz w:val="15"/>
                <w:szCs w:val="15"/>
              </w:rPr>
            </w:pPr>
            <w:r>
              <w:rPr>
                <w:sz w:val="15"/>
                <w:szCs w:val="18"/>
              </w:rPr>
              <w:t>292,090,376.63</w:t>
            </w:r>
          </w:p>
        </w:tc>
        <w:tc>
          <w:tcPr>
            <w:tcW w:w="511" w:type="pct"/>
            <w:vAlign w:val="center"/>
          </w:tcPr>
          <w:p w14:paraId="448C104E" w14:textId="77777777" w:rsidR="00E57DAA" w:rsidRDefault="00AC4185">
            <w:pPr>
              <w:spacing w:line="276" w:lineRule="auto"/>
              <w:jc w:val="right"/>
              <w:rPr>
                <w:sz w:val="15"/>
                <w:szCs w:val="15"/>
              </w:rPr>
            </w:pPr>
            <w:r>
              <w:rPr>
                <w:sz w:val="15"/>
                <w:szCs w:val="18"/>
              </w:rPr>
              <w:t>2,154,007,174.28</w:t>
            </w:r>
          </w:p>
        </w:tc>
        <w:tc>
          <w:tcPr>
            <w:tcW w:w="457" w:type="pct"/>
            <w:vAlign w:val="center"/>
          </w:tcPr>
          <w:p w14:paraId="4C5A5980" w14:textId="77777777" w:rsidR="00E57DAA" w:rsidRDefault="00AC4185">
            <w:pPr>
              <w:spacing w:line="276" w:lineRule="auto"/>
              <w:jc w:val="right"/>
              <w:rPr>
                <w:sz w:val="15"/>
                <w:szCs w:val="15"/>
              </w:rPr>
            </w:pPr>
            <w:r>
              <w:rPr>
                <w:sz w:val="15"/>
                <w:szCs w:val="18"/>
              </w:rPr>
              <w:t>181,252,082.05</w:t>
            </w:r>
          </w:p>
        </w:tc>
        <w:tc>
          <w:tcPr>
            <w:tcW w:w="422" w:type="pct"/>
            <w:vAlign w:val="center"/>
          </w:tcPr>
          <w:p w14:paraId="4128632F" w14:textId="77777777" w:rsidR="00E57DAA" w:rsidRDefault="00AC4185">
            <w:pPr>
              <w:spacing w:line="276" w:lineRule="auto"/>
              <w:jc w:val="right"/>
              <w:rPr>
                <w:sz w:val="15"/>
                <w:szCs w:val="15"/>
              </w:rPr>
            </w:pPr>
            <w:r>
              <w:rPr>
                <w:sz w:val="15"/>
                <w:szCs w:val="18"/>
              </w:rPr>
              <w:t>181,436,626.61</w:t>
            </w:r>
          </w:p>
        </w:tc>
        <w:tc>
          <w:tcPr>
            <w:tcW w:w="503" w:type="pct"/>
            <w:vAlign w:val="center"/>
          </w:tcPr>
          <w:p w14:paraId="4571DA31" w14:textId="77777777" w:rsidR="00E57DAA" w:rsidRDefault="00AC4185">
            <w:pPr>
              <w:spacing w:line="276" w:lineRule="auto"/>
              <w:jc w:val="right"/>
              <w:rPr>
                <w:sz w:val="15"/>
                <w:szCs w:val="15"/>
              </w:rPr>
            </w:pPr>
            <w:r>
              <w:rPr>
                <w:sz w:val="15"/>
                <w:szCs w:val="18"/>
              </w:rPr>
              <w:t>-108,890,012.39</w:t>
            </w:r>
          </w:p>
        </w:tc>
      </w:tr>
    </w:tbl>
    <w:p w14:paraId="28D8761E" w14:textId="77777777" w:rsidR="00E57DAA" w:rsidRDefault="00E57DAA" w:rsidP="00C25422">
      <w:pPr>
        <w:pStyle w:val="92"/>
      </w:pPr>
    </w:p>
    <w:p w14:paraId="13382283" w14:textId="77777777" w:rsidR="00E57DAA" w:rsidRDefault="00E57DAA">
      <w:pPr>
        <w:rPr>
          <w:rFonts w:cs="Arial"/>
          <w:szCs w:val="21"/>
        </w:rPr>
        <w:sectPr w:rsidR="00E57DAA" w:rsidSect="00226547">
          <w:pgSz w:w="16838" w:h="11906" w:orient="landscape"/>
          <w:pgMar w:top="1797" w:right="1525" w:bottom="1276" w:left="1440" w:header="856" w:footer="992" w:gutter="0"/>
          <w:cols w:space="425"/>
          <w:docGrid w:linePitch="312"/>
        </w:sectPr>
      </w:pPr>
    </w:p>
    <w:p w14:paraId="6B90A53F" w14:textId="77777777" w:rsidR="00E57DAA" w:rsidRDefault="00E57DAA">
      <w:pPr>
        <w:rPr>
          <w:rFonts w:cs="Arial"/>
          <w:szCs w:val="21"/>
        </w:rPr>
      </w:pPr>
    </w:p>
    <w:p w14:paraId="272061CB" w14:textId="77777777" w:rsidR="00E57DAA" w:rsidRDefault="00AC4185">
      <w:pPr>
        <w:pStyle w:val="4"/>
        <w:numPr>
          <w:ilvl w:val="3"/>
          <w:numId w:val="114"/>
        </w:numPr>
        <w:ind w:left="426" w:hangingChars="202" w:hanging="426"/>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212169715"/>
        <w:placeholder>
          <w:docPart w:val="GBC22222222222222222222222222222"/>
        </w:placeholder>
      </w:sdtPr>
      <w:sdtEndPr/>
      <w:sdtContent>
        <w:p w14:paraId="20545E9F" w14:textId="77777777" w:rsidR="00E57DAA" w:rsidRDefault="00AC4185">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BEC43D" w14:textId="77777777" w:rsidR="00E57DAA" w:rsidRDefault="00E57DAA">
      <w:pPr>
        <w:rPr>
          <w:rFonts w:cs="Arial"/>
          <w:szCs w:val="21"/>
        </w:rPr>
      </w:pPr>
    </w:p>
    <w:p w14:paraId="347B4721" w14:textId="77777777" w:rsidR="00E57DAA" w:rsidRDefault="00AC4185">
      <w:pPr>
        <w:pStyle w:val="4"/>
        <w:numPr>
          <w:ilvl w:val="3"/>
          <w:numId w:val="114"/>
        </w:numPr>
        <w:ind w:left="426" w:hangingChars="202" w:hanging="426"/>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647659828"/>
        <w:placeholder>
          <w:docPart w:val="GBC22222222222222222222222222222"/>
        </w:placeholder>
      </w:sdtPr>
      <w:sdtEndPr/>
      <w:sdtContent>
        <w:p w14:paraId="78649733" w14:textId="77777777" w:rsidR="00E57DAA" w:rsidRDefault="00AC418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609740A" w14:textId="77777777" w:rsidR="00E57DAA" w:rsidRDefault="00E57DAA">
      <w:pPr>
        <w:rPr>
          <w:rFonts w:cs="Arial"/>
          <w:b/>
          <w:szCs w:val="21"/>
        </w:rPr>
      </w:pPr>
    </w:p>
    <w:p w14:paraId="73B58EDA" w14:textId="77777777" w:rsidR="00E57DAA" w:rsidRDefault="00AC4185">
      <w:pPr>
        <w:rPr>
          <w:szCs w:val="21"/>
        </w:rPr>
      </w:pPr>
      <w:r>
        <w:rPr>
          <w:rFonts w:hint="eastAsia"/>
          <w:szCs w:val="21"/>
        </w:rPr>
        <w:t>其他说明：</w:t>
      </w:r>
    </w:p>
    <w:sdt>
      <w:sdtPr>
        <w:rPr>
          <w:szCs w:val="21"/>
        </w:rPr>
        <w:alias w:val="是否适用：在子公司中的权益其他说明[双击切换]"/>
        <w:tag w:val="_GBC_b26ad9d381c8467f9c05b435b2cb6493"/>
        <w:id w:val="1490369125"/>
        <w:placeholder>
          <w:docPart w:val="GBC22222222222222222222222222222"/>
        </w:placeholder>
      </w:sdtPr>
      <w:sdtEndPr/>
      <w:sdtContent>
        <w:p w14:paraId="17363EA1"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0D5CAA" w14:textId="77777777" w:rsidR="00E57DAA" w:rsidRDefault="00E57DAA">
      <w:pPr>
        <w:rPr>
          <w:szCs w:val="21"/>
        </w:rPr>
      </w:pPr>
    </w:p>
    <w:p w14:paraId="76A8A5BE" w14:textId="77777777" w:rsidR="00E57DAA" w:rsidRDefault="00AC4185" w:rsidP="00C25422">
      <w:pPr>
        <w:pStyle w:val="91"/>
        <w:numPr>
          <w:ilvl w:val="2"/>
          <w:numId w:val="113"/>
        </w:numPr>
      </w:pPr>
      <w:r>
        <w:rPr>
          <w:rFonts w:hint="eastAsia"/>
        </w:rPr>
        <w:t>在子公司的所有者权益份额发生变化且仍控制子公司的交易</w:t>
      </w:r>
    </w:p>
    <w:sdt>
      <w:sdtPr>
        <w:alias w:val="是否适用：在子公司的所有者权益份额发生变化且仍控制子公司的交易[双击切换]"/>
        <w:tag w:val="_GBC_4c0599836d204e25b4d5d4f8434a2c4c"/>
        <w:id w:val="-2052531287"/>
        <w:placeholder>
          <w:docPart w:val="GBC22222222222222222222222222222"/>
        </w:placeholder>
      </w:sdtPr>
      <w:sdtEndPr/>
      <w:sdtContent>
        <w:p w14:paraId="3EEB6EDF" w14:textId="77777777" w:rsidR="00E57DAA" w:rsidRDefault="00AC4185">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093CCC" w14:textId="77777777" w:rsidR="00E57DAA" w:rsidRDefault="00E57DAA">
      <w:pPr>
        <w:rPr>
          <w:rFonts w:cs="Arial"/>
          <w:szCs w:val="21"/>
        </w:rPr>
      </w:pPr>
    </w:p>
    <w:p w14:paraId="226E4B82" w14:textId="77777777" w:rsidR="00E57DAA" w:rsidRDefault="00AC4185" w:rsidP="00C25422">
      <w:pPr>
        <w:pStyle w:val="91"/>
        <w:numPr>
          <w:ilvl w:val="2"/>
          <w:numId w:val="113"/>
        </w:numPr>
      </w:pPr>
      <w:r>
        <w:rPr>
          <w:rFonts w:hint="eastAsia"/>
        </w:rPr>
        <w:t>在合营企业或联营企业中的权益</w:t>
      </w:r>
    </w:p>
    <w:sdt>
      <w:sdtPr>
        <w:alias w:val="是否适用：在合营企业或联营企业中的权益[双击切换]"/>
        <w:tag w:val="_GBC_2bff91875b7a49f3929c4613048756c1"/>
        <w:id w:val="1233189344"/>
        <w:placeholder>
          <w:docPart w:val="GBC22222222222222222222222222222"/>
        </w:placeholder>
      </w:sdtPr>
      <w:sdtEndPr/>
      <w:sdtContent>
        <w:p w14:paraId="7C53753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8C3D722" w14:textId="77777777" w:rsidR="00E57DAA" w:rsidRDefault="00AC4185">
      <w:pPr>
        <w:pStyle w:val="4"/>
        <w:numPr>
          <w:ilvl w:val="3"/>
          <w:numId w:val="115"/>
        </w:numPr>
        <w:ind w:left="426" w:hangingChars="202" w:hanging="426"/>
      </w:pPr>
      <w:r>
        <w:rPr>
          <w:rFonts w:hint="eastAsia"/>
        </w:rPr>
        <w:t>重要的合营企业或联营企业</w:t>
      </w:r>
    </w:p>
    <w:sdt>
      <w:sdtPr>
        <w:rPr>
          <w:rFonts w:hint="eastAsia"/>
        </w:rPr>
        <w:alias w:val="是否适用：重要的合营企业或联营企业[双击切换]"/>
        <w:tag w:val="_GBC_99df64ed4bb84c2da5fb54cda5ae039b"/>
        <w:id w:val="-2068705399"/>
        <w:placeholder>
          <w:docPart w:val="GBC22222222222222222222222222222"/>
        </w:placeholder>
      </w:sdtPr>
      <w:sdtEndPr/>
      <w:sdtContent>
        <w:p w14:paraId="7C20F06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1296"/>
        <w:gridCol w:w="1219"/>
        <w:gridCol w:w="1260"/>
        <w:gridCol w:w="1034"/>
        <w:gridCol w:w="1066"/>
        <w:gridCol w:w="1770"/>
      </w:tblGrid>
      <w:tr w:rsidR="00E57DAA" w14:paraId="268184C5" w14:textId="77777777">
        <w:trPr>
          <w:trHeight w:val="451"/>
        </w:trPr>
        <w:sdt>
          <w:sdtPr>
            <w:tag w:val="_PLD_6004d65b7e3443dc82381484e3885a6b"/>
            <w:id w:val="1284155924"/>
          </w:sdtPr>
          <w:sdtEndPr/>
          <w:sdtContent>
            <w:tc>
              <w:tcPr>
                <w:tcW w:w="667" w:type="pct"/>
                <w:vMerge w:val="restart"/>
                <w:shd w:val="clear" w:color="auto" w:fill="auto"/>
                <w:vAlign w:val="center"/>
              </w:tcPr>
              <w:p w14:paraId="16B41423" w14:textId="77777777" w:rsidR="00E57DAA" w:rsidRDefault="00AC4185">
                <w:pPr>
                  <w:jc w:val="center"/>
                  <w:rPr>
                    <w:rFonts w:cs="Arial"/>
                    <w:szCs w:val="21"/>
                  </w:rPr>
                </w:pPr>
                <w:r>
                  <w:rPr>
                    <w:rFonts w:cs="Arial" w:hint="eastAsia"/>
                    <w:szCs w:val="21"/>
                    <w:lang w:val="en-GB"/>
                  </w:rPr>
                  <w:t>合营企业或联营企业名称</w:t>
                </w:r>
              </w:p>
            </w:tc>
          </w:sdtContent>
        </w:sdt>
        <w:sdt>
          <w:sdtPr>
            <w:tag w:val="_PLD_2e148655e91e4b998bd7a7d0b10c96fd"/>
            <w:id w:val="735744915"/>
          </w:sdtPr>
          <w:sdtEndPr/>
          <w:sdtContent>
            <w:tc>
              <w:tcPr>
                <w:tcW w:w="734" w:type="pct"/>
                <w:vMerge w:val="restart"/>
                <w:shd w:val="clear" w:color="auto" w:fill="auto"/>
                <w:vAlign w:val="center"/>
              </w:tcPr>
              <w:p w14:paraId="15753F7C" w14:textId="77777777" w:rsidR="00E57DAA" w:rsidRDefault="00AC4185">
                <w:pPr>
                  <w:jc w:val="center"/>
                  <w:rPr>
                    <w:rFonts w:cs="Arial"/>
                    <w:szCs w:val="21"/>
                  </w:rPr>
                </w:pPr>
                <w:r>
                  <w:rPr>
                    <w:rFonts w:cs="Arial" w:hint="eastAsia"/>
                    <w:szCs w:val="21"/>
                    <w:lang w:val="en-GB"/>
                  </w:rPr>
                  <w:t>主要经营地</w:t>
                </w:r>
              </w:p>
            </w:tc>
          </w:sdtContent>
        </w:sdt>
        <w:sdt>
          <w:sdtPr>
            <w:tag w:val="_PLD_32e2714eb7074350886ae0d40b5c34b1"/>
            <w:id w:val="-1126227812"/>
          </w:sdtPr>
          <w:sdtEndPr/>
          <w:sdtContent>
            <w:tc>
              <w:tcPr>
                <w:tcW w:w="691" w:type="pct"/>
                <w:vMerge w:val="restart"/>
                <w:shd w:val="clear" w:color="auto" w:fill="auto"/>
                <w:vAlign w:val="center"/>
              </w:tcPr>
              <w:p w14:paraId="4E113770" w14:textId="77777777" w:rsidR="00E57DAA" w:rsidRDefault="00AC4185">
                <w:pPr>
                  <w:jc w:val="center"/>
                  <w:rPr>
                    <w:rFonts w:cs="Arial"/>
                    <w:szCs w:val="21"/>
                  </w:rPr>
                </w:pPr>
                <w:r>
                  <w:rPr>
                    <w:rFonts w:cs="Arial" w:hint="eastAsia"/>
                    <w:szCs w:val="21"/>
                    <w:lang w:val="en-GB"/>
                  </w:rPr>
                  <w:t>注册地</w:t>
                </w:r>
              </w:p>
            </w:tc>
          </w:sdtContent>
        </w:sdt>
        <w:sdt>
          <w:sdtPr>
            <w:tag w:val="_PLD_d429c77b8bef473a98608606ebcd4d75"/>
            <w:id w:val="1176392327"/>
          </w:sdtPr>
          <w:sdtEndPr/>
          <w:sdtContent>
            <w:tc>
              <w:tcPr>
                <w:tcW w:w="714" w:type="pct"/>
                <w:vMerge w:val="restart"/>
                <w:shd w:val="clear" w:color="auto" w:fill="auto"/>
                <w:vAlign w:val="center"/>
              </w:tcPr>
              <w:p w14:paraId="058890CB" w14:textId="77777777" w:rsidR="00E57DAA" w:rsidRDefault="00AC4185">
                <w:pPr>
                  <w:jc w:val="center"/>
                  <w:rPr>
                    <w:rFonts w:cs="Arial"/>
                    <w:szCs w:val="21"/>
                  </w:rPr>
                </w:pPr>
                <w:r>
                  <w:rPr>
                    <w:rFonts w:cs="Arial" w:hint="eastAsia"/>
                    <w:szCs w:val="21"/>
                    <w:lang w:val="en-GB"/>
                  </w:rPr>
                  <w:t>业务性质</w:t>
                </w:r>
              </w:p>
            </w:tc>
          </w:sdtContent>
        </w:sdt>
        <w:sdt>
          <w:sdtPr>
            <w:tag w:val="_PLD_bc055f9d5073401a85de2316f2a2b7ce"/>
            <w:id w:val="1718082944"/>
          </w:sdtPr>
          <w:sdtEndPr/>
          <w:sdtContent>
            <w:tc>
              <w:tcPr>
                <w:tcW w:w="1190" w:type="pct"/>
                <w:gridSpan w:val="2"/>
                <w:shd w:val="clear" w:color="auto" w:fill="auto"/>
                <w:vAlign w:val="center"/>
              </w:tcPr>
              <w:p w14:paraId="63276BB3" w14:textId="77777777" w:rsidR="00E57DAA" w:rsidRDefault="00AC4185">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793678342"/>
          </w:sdtPr>
          <w:sdtEndPr/>
          <w:sdtContent>
            <w:tc>
              <w:tcPr>
                <w:tcW w:w="1003" w:type="pct"/>
                <w:vMerge w:val="restart"/>
                <w:shd w:val="clear" w:color="auto" w:fill="auto"/>
                <w:vAlign w:val="center"/>
              </w:tcPr>
              <w:p w14:paraId="7A5B9574" w14:textId="77777777" w:rsidR="00E57DAA" w:rsidRDefault="00AC4185">
                <w:pPr>
                  <w:jc w:val="center"/>
                  <w:rPr>
                    <w:rFonts w:cs="Arial"/>
                    <w:szCs w:val="21"/>
                  </w:rPr>
                </w:pPr>
                <w:r>
                  <w:rPr>
                    <w:rFonts w:cs="Arial" w:hint="eastAsia"/>
                    <w:szCs w:val="21"/>
                    <w:lang w:val="en-GB"/>
                  </w:rPr>
                  <w:t>对合营企业或联营企业投资的会计处理方法</w:t>
                </w:r>
              </w:p>
            </w:tc>
          </w:sdtContent>
        </w:sdt>
      </w:tr>
      <w:tr w:rsidR="00E57DAA" w14:paraId="22ED06C6" w14:textId="77777777">
        <w:trPr>
          <w:trHeight w:val="278"/>
        </w:trPr>
        <w:tc>
          <w:tcPr>
            <w:tcW w:w="667" w:type="pct"/>
            <w:vMerge/>
            <w:shd w:val="clear" w:color="auto" w:fill="auto"/>
            <w:vAlign w:val="center"/>
          </w:tcPr>
          <w:p w14:paraId="51CF3655" w14:textId="77777777" w:rsidR="00E57DAA" w:rsidRDefault="00E57DAA">
            <w:pPr>
              <w:rPr>
                <w:rFonts w:cs="Arial"/>
                <w:szCs w:val="21"/>
              </w:rPr>
            </w:pPr>
          </w:p>
        </w:tc>
        <w:tc>
          <w:tcPr>
            <w:tcW w:w="734" w:type="pct"/>
            <w:vMerge/>
            <w:shd w:val="clear" w:color="auto" w:fill="auto"/>
            <w:vAlign w:val="center"/>
          </w:tcPr>
          <w:p w14:paraId="156440A2" w14:textId="77777777" w:rsidR="00E57DAA" w:rsidRDefault="00E57DAA">
            <w:pPr>
              <w:rPr>
                <w:rFonts w:cs="Arial"/>
                <w:szCs w:val="21"/>
              </w:rPr>
            </w:pPr>
          </w:p>
        </w:tc>
        <w:tc>
          <w:tcPr>
            <w:tcW w:w="691" w:type="pct"/>
            <w:vMerge/>
            <w:shd w:val="clear" w:color="auto" w:fill="auto"/>
            <w:vAlign w:val="center"/>
          </w:tcPr>
          <w:p w14:paraId="421053F4" w14:textId="77777777" w:rsidR="00E57DAA" w:rsidRDefault="00E57DAA">
            <w:pPr>
              <w:rPr>
                <w:rFonts w:cs="Arial"/>
                <w:szCs w:val="21"/>
              </w:rPr>
            </w:pPr>
          </w:p>
        </w:tc>
        <w:tc>
          <w:tcPr>
            <w:tcW w:w="714" w:type="pct"/>
            <w:vMerge/>
            <w:shd w:val="clear" w:color="auto" w:fill="auto"/>
            <w:vAlign w:val="center"/>
          </w:tcPr>
          <w:p w14:paraId="07718DF6" w14:textId="77777777" w:rsidR="00E57DAA" w:rsidRDefault="00E57DAA">
            <w:pPr>
              <w:rPr>
                <w:rFonts w:cs="Arial"/>
                <w:szCs w:val="21"/>
              </w:rPr>
            </w:pPr>
          </w:p>
        </w:tc>
        <w:sdt>
          <w:sdtPr>
            <w:tag w:val="_PLD_076e5c9e7ab64e6db098592664f75c64"/>
            <w:id w:val="1719626775"/>
          </w:sdtPr>
          <w:sdtEndPr/>
          <w:sdtContent>
            <w:tc>
              <w:tcPr>
                <w:tcW w:w="586" w:type="pct"/>
                <w:shd w:val="clear" w:color="auto" w:fill="auto"/>
                <w:vAlign w:val="center"/>
              </w:tcPr>
              <w:p w14:paraId="2A5FD36F" w14:textId="77777777" w:rsidR="00E57DAA" w:rsidRDefault="00AC4185">
                <w:pPr>
                  <w:jc w:val="center"/>
                  <w:rPr>
                    <w:rFonts w:cs="Arial"/>
                    <w:szCs w:val="21"/>
                  </w:rPr>
                </w:pPr>
                <w:r>
                  <w:rPr>
                    <w:rFonts w:cs="Arial" w:hint="eastAsia"/>
                    <w:szCs w:val="21"/>
                    <w:lang w:val="en-GB"/>
                  </w:rPr>
                  <w:t>直接</w:t>
                </w:r>
              </w:p>
            </w:tc>
          </w:sdtContent>
        </w:sdt>
        <w:sdt>
          <w:sdtPr>
            <w:tag w:val="_PLD_49b77f1690ee4cc88f829d510135f0bf"/>
            <w:id w:val="160740347"/>
          </w:sdtPr>
          <w:sdtEndPr/>
          <w:sdtContent>
            <w:tc>
              <w:tcPr>
                <w:tcW w:w="604" w:type="pct"/>
                <w:shd w:val="clear" w:color="auto" w:fill="auto"/>
                <w:vAlign w:val="center"/>
              </w:tcPr>
              <w:p w14:paraId="393F2496" w14:textId="77777777" w:rsidR="00E57DAA" w:rsidRDefault="00AC4185">
                <w:pPr>
                  <w:jc w:val="center"/>
                  <w:rPr>
                    <w:rFonts w:cs="Arial"/>
                    <w:szCs w:val="21"/>
                  </w:rPr>
                </w:pPr>
                <w:r>
                  <w:rPr>
                    <w:rFonts w:cs="Arial" w:hint="eastAsia"/>
                    <w:szCs w:val="21"/>
                    <w:lang w:val="en-GB"/>
                  </w:rPr>
                  <w:t>间接</w:t>
                </w:r>
              </w:p>
            </w:tc>
          </w:sdtContent>
        </w:sdt>
        <w:tc>
          <w:tcPr>
            <w:tcW w:w="1003" w:type="pct"/>
            <w:vMerge/>
            <w:vAlign w:val="center"/>
          </w:tcPr>
          <w:p w14:paraId="466B7179" w14:textId="77777777" w:rsidR="00E57DAA" w:rsidRDefault="00E57DAA">
            <w:pPr>
              <w:rPr>
                <w:rFonts w:cs="Arial"/>
                <w:szCs w:val="21"/>
              </w:rPr>
            </w:pPr>
          </w:p>
        </w:tc>
      </w:tr>
      <w:tr w:rsidR="00E57DAA" w14:paraId="14BC1FE3" w14:textId="77777777">
        <w:tc>
          <w:tcPr>
            <w:tcW w:w="667" w:type="pct"/>
          </w:tcPr>
          <w:p w14:paraId="7A29AF45" w14:textId="77777777" w:rsidR="00E57DAA" w:rsidRDefault="00AC4185">
            <w:pPr>
              <w:rPr>
                <w:szCs w:val="21"/>
              </w:rPr>
            </w:pPr>
            <w:r>
              <w:t>中才邦业（杭州）智能技术有限公司</w:t>
            </w:r>
          </w:p>
        </w:tc>
        <w:tc>
          <w:tcPr>
            <w:tcW w:w="734" w:type="pct"/>
          </w:tcPr>
          <w:p w14:paraId="2C35E600" w14:textId="77777777" w:rsidR="00E57DAA" w:rsidRDefault="00AC4185">
            <w:pPr>
              <w:rPr>
                <w:szCs w:val="21"/>
              </w:rPr>
            </w:pPr>
            <w:r>
              <w:t>浙江省杭州市</w:t>
            </w:r>
          </w:p>
        </w:tc>
        <w:tc>
          <w:tcPr>
            <w:tcW w:w="691" w:type="pct"/>
          </w:tcPr>
          <w:p w14:paraId="2AC55243" w14:textId="77777777" w:rsidR="00E57DAA" w:rsidRDefault="00AC4185">
            <w:pPr>
              <w:rPr>
                <w:szCs w:val="21"/>
              </w:rPr>
            </w:pPr>
            <w:r>
              <w:t>浙江省杭州市</w:t>
            </w:r>
          </w:p>
        </w:tc>
        <w:tc>
          <w:tcPr>
            <w:tcW w:w="714" w:type="pct"/>
          </w:tcPr>
          <w:p w14:paraId="6EF19A05" w14:textId="77777777" w:rsidR="00E57DAA" w:rsidRDefault="00AC4185">
            <w:pPr>
              <w:rPr>
                <w:szCs w:val="21"/>
              </w:rPr>
            </w:pPr>
            <w:r>
              <w:t>装备制造</w:t>
            </w:r>
          </w:p>
        </w:tc>
        <w:tc>
          <w:tcPr>
            <w:tcW w:w="586" w:type="pct"/>
          </w:tcPr>
          <w:p w14:paraId="45AEAF2C" w14:textId="77777777" w:rsidR="00E57DAA" w:rsidRDefault="00AC4185">
            <w:pPr>
              <w:jc w:val="right"/>
              <w:rPr>
                <w:szCs w:val="21"/>
              </w:rPr>
            </w:pPr>
            <w:r>
              <w:t> </w:t>
            </w:r>
          </w:p>
        </w:tc>
        <w:tc>
          <w:tcPr>
            <w:tcW w:w="604" w:type="pct"/>
          </w:tcPr>
          <w:p w14:paraId="5983007A" w14:textId="77777777" w:rsidR="00E57DAA" w:rsidRDefault="00AC4185">
            <w:pPr>
              <w:jc w:val="right"/>
              <w:rPr>
                <w:szCs w:val="21"/>
              </w:rPr>
            </w:pPr>
            <w:r>
              <w:t>40.00</w:t>
            </w:r>
          </w:p>
        </w:tc>
        <w:tc>
          <w:tcPr>
            <w:tcW w:w="1003" w:type="pct"/>
          </w:tcPr>
          <w:p w14:paraId="11B62BD4" w14:textId="77777777" w:rsidR="00E57DAA" w:rsidRDefault="00AC4185">
            <w:pPr>
              <w:rPr>
                <w:szCs w:val="21"/>
              </w:rPr>
            </w:pPr>
            <w:r>
              <w:t>权益法核算</w:t>
            </w:r>
          </w:p>
        </w:tc>
      </w:tr>
      <w:tr w:rsidR="00E57DAA" w14:paraId="419A6406" w14:textId="77777777">
        <w:tc>
          <w:tcPr>
            <w:tcW w:w="667" w:type="pct"/>
          </w:tcPr>
          <w:p w14:paraId="101FFFF7" w14:textId="77777777" w:rsidR="00E57DAA" w:rsidRDefault="00AC4185">
            <w:pPr>
              <w:rPr>
                <w:szCs w:val="21"/>
              </w:rPr>
            </w:pPr>
            <w:r>
              <w:t>中建（淄博）重型机械有限公司</w:t>
            </w:r>
          </w:p>
        </w:tc>
        <w:tc>
          <w:tcPr>
            <w:tcW w:w="734" w:type="pct"/>
          </w:tcPr>
          <w:p w14:paraId="36AB588F" w14:textId="77777777" w:rsidR="00E57DAA" w:rsidRDefault="00AC4185">
            <w:pPr>
              <w:rPr>
                <w:szCs w:val="21"/>
              </w:rPr>
            </w:pPr>
            <w:r>
              <w:t>山东省淄博市</w:t>
            </w:r>
          </w:p>
        </w:tc>
        <w:tc>
          <w:tcPr>
            <w:tcW w:w="691" w:type="pct"/>
          </w:tcPr>
          <w:p w14:paraId="667137C5" w14:textId="77777777" w:rsidR="00E57DAA" w:rsidRDefault="00AC4185">
            <w:pPr>
              <w:rPr>
                <w:szCs w:val="21"/>
              </w:rPr>
            </w:pPr>
            <w:r>
              <w:t>山东省淄博市</w:t>
            </w:r>
          </w:p>
        </w:tc>
        <w:tc>
          <w:tcPr>
            <w:tcW w:w="714" w:type="pct"/>
          </w:tcPr>
          <w:p w14:paraId="207567E5" w14:textId="77777777" w:rsidR="00E57DAA" w:rsidRDefault="00AC4185">
            <w:pPr>
              <w:rPr>
                <w:szCs w:val="21"/>
              </w:rPr>
            </w:pPr>
            <w:r>
              <w:t>装备制造</w:t>
            </w:r>
          </w:p>
        </w:tc>
        <w:tc>
          <w:tcPr>
            <w:tcW w:w="586" w:type="pct"/>
          </w:tcPr>
          <w:p w14:paraId="531F822C" w14:textId="77777777" w:rsidR="00E57DAA" w:rsidRDefault="00AC4185">
            <w:pPr>
              <w:jc w:val="right"/>
              <w:rPr>
                <w:szCs w:val="21"/>
              </w:rPr>
            </w:pPr>
            <w:r>
              <w:t> </w:t>
            </w:r>
          </w:p>
        </w:tc>
        <w:tc>
          <w:tcPr>
            <w:tcW w:w="604" w:type="pct"/>
          </w:tcPr>
          <w:p w14:paraId="7AD1C4D9" w14:textId="77777777" w:rsidR="00E57DAA" w:rsidRDefault="00AC4185">
            <w:pPr>
              <w:jc w:val="right"/>
              <w:rPr>
                <w:szCs w:val="21"/>
              </w:rPr>
            </w:pPr>
            <w:r>
              <w:t>49.00</w:t>
            </w:r>
          </w:p>
        </w:tc>
        <w:tc>
          <w:tcPr>
            <w:tcW w:w="1003" w:type="pct"/>
          </w:tcPr>
          <w:p w14:paraId="5C79A421" w14:textId="77777777" w:rsidR="00E57DAA" w:rsidRDefault="00AC4185">
            <w:pPr>
              <w:rPr>
                <w:szCs w:val="21"/>
              </w:rPr>
            </w:pPr>
            <w:r>
              <w:t>权益法核算</w:t>
            </w:r>
          </w:p>
        </w:tc>
      </w:tr>
      <w:tr w:rsidR="00E57DAA" w14:paraId="42022D6E" w14:textId="77777777">
        <w:tc>
          <w:tcPr>
            <w:tcW w:w="667" w:type="pct"/>
          </w:tcPr>
          <w:p w14:paraId="5AFC1272" w14:textId="77777777" w:rsidR="00E57DAA" w:rsidRDefault="00AC4185">
            <w:pPr>
              <w:rPr>
                <w:szCs w:val="21"/>
              </w:rPr>
            </w:pPr>
            <w:r>
              <w:t>安徽马钢矿业资源集团建材科技有限公司</w:t>
            </w:r>
          </w:p>
        </w:tc>
        <w:tc>
          <w:tcPr>
            <w:tcW w:w="734" w:type="pct"/>
          </w:tcPr>
          <w:p w14:paraId="135C7835" w14:textId="77777777" w:rsidR="00E57DAA" w:rsidRDefault="00AC4185">
            <w:pPr>
              <w:rPr>
                <w:szCs w:val="21"/>
              </w:rPr>
            </w:pPr>
            <w:r>
              <w:t>安徽省马鞍山市</w:t>
            </w:r>
          </w:p>
        </w:tc>
        <w:tc>
          <w:tcPr>
            <w:tcW w:w="691" w:type="pct"/>
          </w:tcPr>
          <w:p w14:paraId="5D7C4618" w14:textId="77777777" w:rsidR="00E57DAA" w:rsidRDefault="00AC4185">
            <w:pPr>
              <w:rPr>
                <w:szCs w:val="21"/>
              </w:rPr>
            </w:pPr>
            <w:r>
              <w:t>安徽省马鞍山市</w:t>
            </w:r>
          </w:p>
        </w:tc>
        <w:tc>
          <w:tcPr>
            <w:tcW w:w="714" w:type="pct"/>
          </w:tcPr>
          <w:p w14:paraId="0399F372" w14:textId="77777777" w:rsidR="00E57DAA" w:rsidRDefault="00AC4185">
            <w:pPr>
              <w:rPr>
                <w:szCs w:val="21"/>
              </w:rPr>
            </w:pPr>
            <w:r>
              <w:t>非金属矿物制品制造</w:t>
            </w:r>
          </w:p>
        </w:tc>
        <w:tc>
          <w:tcPr>
            <w:tcW w:w="586" w:type="pct"/>
          </w:tcPr>
          <w:p w14:paraId="441CFF08" w14:textId="77777777" w:rsidR="00E57DAA" w:rsidRDefault="00AC4185">
            <w:pPr>
              <w:jc w:val="right"/>
              <w:rPr>
                <w:szCs w:val="21"/>
              </w:rPr>
            </w:pPr>
            <w:r>
              <w:t> </w:t>
            </w:r>
          </w:p>
        </w:tc>
        <w:tc>
          <w:tcPr>
            <w:tcW w:w="604" w:type="pct"/>
          </w:tcPr>
          <w:p w14:paraId="2770AC9A" w14:textId="77777777" w:rsidR="00E57DAA" w:rsidRDefault="00AC4185">
            <w:pPr>
              <w:jc w:val="right"/>
              <w:rPr>
                <w:szCs w:val="21"/>
              </w:rPr>
            </w:pPr>
            <w:r>
              <w:t>20.00</w:t>
            </w:r>
          </w:p>
        </w:tc>
        <w:tc>
          <w:tcPr>
            <w:tcW w:w="1003" w:type="pct"/>
          </w:tcPr>
          <w:p w14:paraId="289A497E" w14:textId="77777777" w:rsidR="00E57DAA" w:rsidRDefault="00AC4185">
            <w:pPr>
              <w:rPr>
                <w:szCs w:val="21"/>
              </w:rPr>
            </w:pPr>
            <w:r>
              <w:t>权益法核算</w:t>
            </w:r>
          </w:p>
        </w:tc>
      </w:tr>
      <w:tr w:rsidR="00E57DAA" w14:paraId="74A929E9" w14:textId="77777777">
        <w:tc>
          <w:tcPr>
            <w:tcW w:w="667" w:type="pct"/>
          </w:tcPr>
          <w:p w14:paraId="6895B9D0" w14:textId="77777777" w:rsidR="00E57DAA" w:rsidRDefault="00AC4185">
            <w:pPr>
              <w:rPr>
                <w:szCs w:val="21"/>
              </w:rPr>
            </w:pPr>
            <w:r>
              <w:t>葛洲坝中材洁新（武汉）科技有限公司</w:t>
            </w:r>
          </w:p>
        </w:tc>
        <w:tc>
          <w:tcPr>
            <w:tcW w:w="734" w:type="pct"/>
          </w:tcPr>
          <w:p w14:paraId="53064D22" w14:textId="77777777" w:rsidR="00E57DAA" w:rsidRDefault="00AC4185">
            <w:pPr>
              <w:rPr>
                <w:szCs w:val="21"/>
              </w:rPr>
            </w:pPr>
            <w:r>
              <w:t>湖北省武汉市</w:t>
            </w:r>
          </w:p>
        </w:tc>
        <w:tc>
          <w:tcPr>
            <w:tcW w:w="691" w:type="pct"/>
          </w:tcPr>
          <w:p w14:paraId="33C9F2C2" w14:textId="77777777" w:rsidR="00E57DAA" w:rsidRDefault="00AC4185">
            <w:pPr>
              <w:rPr>
                <w:szCs w:val="21"/>
              </w:rPr>
            </w:pPr>
            <w:r>
              <w:t>湖北省武汉市</w:t>
            </w:r>
          </w:p>
        </w:tc>
        <w:tc>
          <w:tcPr>
            <w:tcW w:w="714" w:type="pct"/>
          </w:tcPr>
          <w:p w14:paraId="6572DB69" w14:textId="77777777" w:rsidR="00E57DAA" w:rsidRDefault="00AC4185">
            <w:pPr>
              <w:rPr>
                <w:szCs w:val="21"/>
              </w:rPr>
            </w:pPr>
            <w:r>
              <w:t>工程技术</w:t>
            </w:r>
          </w:p>
        </w:tc>
        <w:tc>
          <w:tcPr>
            <w:tcW w:w="586" w:type="pct"/>
          </w:tcPr>
          <w:p w14:paraId="02582A4F" w14:textId="77777777" w:rsidR="00E57DAA" w:rsidRDefault="00AC4185">
            <w:pPr>
              <w:jc w:val="right"/>
              <w:rPr>
                <w:szCs w:val="21"/>
              </w:rPr>
            </w:pPr>
            <w:r>
              <w:t> </w:t>
            </w:r>
          </w:p>
        </w:tc>
        <w:tc>
          <w:tcPr>
            <w:tcW w:w="604" w:type="pct"/>
          </w:tcPr>
          <w:p w14:paraId="0B5BC00A" w14:textId="77777777" w:rsidR="00E57DAA" w:rsidRDefault="00AC4185">
            <w:pPr>
              <w:jc w:val="right"/>
              <w:rPr>
                <w:szCs w:val="21"/>
              </w:rPr>
            </w:pPr>
            <w:r>
              <w:t>30.00</w:t>
            </w:r>
          </w:p>
        </w:tc>
        <w:tc>
          <w:tcPr>
            <w:tcW w:w="1003" w:type="pct"/>
          </w:tcPr>
          <w:p w14:paraId="59E300F9" w14:textId="77777777" w:rsidR="00E57DAA" w:rsidRDefault="00AC4185">
            <w:pPr>
              <w:rPr>
                <w:szCs w:val="21"/>
              </w:rPr>
            </w:pPr>
            <w:r>
              <w:t>权益法核算</w:t>
            </w:r>
          </w:p>
        </w:tc>
      </w:tr>
      <w:tr w:rsidR="00E57DAA" w14:paraId="3F2CF778" w14:textId="77777777">
        <w:tc>
          <w:tcPr>
            <w:tcW w:w="667" w:type="pct"/>
          </w:tcPr>
          <w:p w14:paraId="18B9BBEB" w14:textId="77777777" w:rsidR="00E57DAA" w:rsidRDefault="00AC4185">
            <w:pPr>
              <w:rPr>
                <w:szCs w:val="21"/>
              </w:rPr>
            </w:pPr>
            <w:r>
              <w:t>安徽长江环境科技有限公司</w:t>
            </w:r>
          </w:p>
        </w:tc>
        <w:tc>
          <w:tcPr>
            <w:tcW w:w="734" w:type="pct"/>
          </w:tcPr>
          <w:p w14:paraId="286AEBFB" w14:textId="77777777" w:rsidR="00E57DAA" w:rsidRDefault="00AC4185">
            <w:pPr>
              <w:rPr>
                <w:szCs w:val="21"/>
              </w:rPr>
            </w:pPr>
            <w:r>
              <w:t>安徽省铜陵市</w:t>
            </w:r>
          </w:p>
        </w:tc>
        <w:tc>
          <w:tcPr>
            <w:tcW w:w="691" w:type="pct"/>
          </w:tcPr>
          <w:p w14:paraId="28EBCC35" w14:textId="77777777" w:rsidR="00E57DAA" w:rsidRDefault="00AC4185">
            <w:pPr>
              <w:rPr>
                <w:szCs w:val="21"/>
              </w:rPr>
            </w:pPr>
            <w:r>
              <w:t>安徽省铜陵市</w:t>
            </w:r>
          </w:p>
        </w:tc>
        <w:tc>
          <w:tcPr>
            <w:tcW w:w="714" w:type="pct"/>
          </w:tcPr>
          <w:p w14:paraId="7905E6CA" w14:textId="77777777" w:rsidR="00E57DAA" w:rsidRDefault="00AC4185">
            <w:pPr>
              <w:rPr>
                <w:szCs w:val="21"/>
              </w:rPr>
            </w:pPr>
            <w:r>
              <w:t>工程技术</w:t>
            </w:r>
          </w:p>
        </w:tc>
        <w:tc>
          <w:tcPr>
            <w:tcW w:w="586" w:type="pct"/>
          </w:tcPr>
          <w:p w14:paraId="7273D5E8" w14:textId="77777777" w:rsidR="00E57DAA" w:rsidRDefault="00AC4185">
            <w:pPr>
              <w:jc w:val="right"/>
              <w:rPr>
                <w:szCs w:val="21"/>
              </w:rPr>
            </w:pPr>
            <w:r>
              <w:t> </w:t>
            </w:r>
          </w:p>
        </w:tc>
        <w:tc>
          <w:tcPr>
            <w:tcW w:w="604" w:type="pct"/>
          </w:tcPr>
          <w:p w14:paraId="60E20F4E" w14:textId="77777777" w:rsidR="00E57DAA" w:rsidRDefault="00AC4185">
            <w:pPr>
              <w:jc w:val="right"/>
              <w:rPr>
                <w:szCs w:val="21"/>
              </w:rPr>
            </w:pPr>
            <w:r>
              <w:t>40.00</w:t>
            </w:r>
          </w:p>
        </w:tc>
        <w:tc>
          <w:tcPr>
            <w:tcW w:w="1003" w:type="pct"/>
          </w:tcPr>
          <w:p w14:paraId="5B71FE13" w14:textId="77777777" w:rsidR="00E57DAA" w:rsidRDefault="00AC4185">
            <w:pPr>
              <w:rPr>
                <w:szCs w:val="21"/>
              </w:rPr>
            </w:pPr>
            <w:r>
              <w:t>权益法核算</w:t>
            </w:r>
          </w:p>
        </w:tc>
      </w:tr>
      <w:tr w:rsidR="00E57DAA" w14:paraId="7916415A" w14:textId="77777777">
        <w:tc>
          <w:tcPr>
            <w:tcW w:w="667" w:type="pct"/>
          </w:tcPr>
          <w:p w14:paraId="3B1E84E5" w14:textId="77777777" w:rsidR="00E57DAA" w:rsidRDefault="00AC4185">
            <w:r>
              <w:t>中材水泥有限责任公司</w:t>
            </w:r>
          </w:p>
        </w:tc>
        <w:tc>
          <w:tcPr>
            <w:tcW w:w="734" w:type="pct"/>
          </w:tcPr>
          <w:p w14:paraId="1CDD17EA" w14:textId="77777777" w:rsidR="00E57DAA" w:rsidRDefault="00AC4185">
            <w:r>
              <w:t>北京市</w:t>
            </w:r>
          </w:p>
        </w:tc>
        <w:tc>
          <w:tcPr>
            <w:tcW w:w="691" w:type="pct"/>
          </w:tcPr>
          <w:p w14:paraId="68EB33DD" w14:textId="77777777" w:rsidR="00E57DAA" w:rsidRDefault="00AC4185">
            <w:r>
              <w:t>北京市</w:t>
            </w:r>
          </w:p>
        </w:tc>
        <w:tc>
          <w:tcPr>
            <w:tcW w:w="714" w:type="pct"/>
          </w:tcPr>
          <w:p w14:paraId="2231868B" w14:textId="77777777" w:rsidR="00E57DAA" w:rsidRDefault="00AC4185">
            <w:r>
              <w:t>水泥生产</w:t>
            </w:r>
          </w:p>
        </w:tc>
        <w:tc>
          <w:tcPr>
            <w:tcW w:w="586" w:type="pct"/>
          </w:tcPr>
          <w:p w14:paraId="6103537E" w14:textId="77777777" w:rsidR="00E57DAA" w:rsidRDefault="00AC4185">
            <w:pPr>
              <w:jc w:val="right"/>
            </w:pPr>
            <w:r>
              <w:t>21.25</w:t>
            </w:r>
          </w:p>
        </w:tc>
        <w:tc>
          <w:tcPr>
            <w:tcW w:w="604" w:type="pct"/>
          </w:tcPr>
          <w:p w14:paraId="57A6F02C" w14:textId="77777777" w:rsidR="00E57DAA" w:rsidRDefault="00AC4185">
            <w:pPr>
              <w:jc w:val="right"/>
            </w:pPr>
            <w:r>
              <w:t> </w:t>
            </w:r>
          </w:p>
        </w:tc>
        <w:tc>
          <w:tcPr>
            <w:tcW w:w="1003" w:type="pct"/>
          </w:tcPr>
          <w:p w14:paraId="3A58BB4D" w14:textId="77777777" w:rsidR="00E57DAA" w:rsidRDefault="00AC4185">
            <w:r>
              <w:t>权益法核算</w:t>
            </w:r>
          </w:p>
        </w:tc>
      </w:tr>
    </w:tbl>
    <w:p w14:paraId="65D6055E" w14:textId="77777777" w:rsidR="00E57DAA" w:rsidRDefault="00E57DAA"/>
    <w:p w14:paraId="5E98C1BC" w14:textId="77777777" w:rsidR="00E57DAA" w:rsidRDefault="00AC4185">
      <w:pPr>
        <w:pStyle w:val="4"/>
        <w:numPr>
          <w:ilvl w:val="3"/>
          <w:numId w:val="115"/>
        </w:numPr>
        <w:ind w:left="424" w:hangingChars="201" w:hanging="424"/>
      </w:pPr>
      <w:r>
        <w:rPr>
          <w:rFonts w:hint="eastAsia"/>
        </w:rPr>
        <w:t>重要合营企业的主要财务信息</w:t>
      </w:r>
    </w:p>
    <w:sdt>
      <w:sdtPr>
        <w:rPr>
          <w:rFonts w:hint="eastAsia"/>
        </w:rPr>
        <w:alias w:val="是否适用：重要合营企业的主要财务信息[双击切换]"/>
        <w:tag w:val="_GBC_8218a872fcd045d290940ccf3b3bdfa5"/>
        <w:id w:val="231048712"/>
        <w:placeholder>
          <w:docPart w:val="GBC22222222222222222222222222222"/>
        </w:placeholder>
      </w:sdtPr>
      <w:sdtEndPr/>
      <w:sdtContent>
        <w:p w14:paraId="254D3A4A" w14:textId="77777777" w:rsidR="00E57DAA" w:rsidRDefault="00AC4185">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C1FF6D" w14:textId="77777777" w:rsidR="00E57DAA" w:rsidRDefault="00E57DAA">
      <w:pPr>
        <w:rPr>
          <w:rFonts w:cs="Arial"/>
          <w:szCs w:val="21"/>
        </w:rPr>
      </w:pPr>
    </w:p>
    <w:p w14:paraId="1370CA92" w14:textId="77777777" w:rsidR="00E57DAA" w:rsidRDefault="00E57DAA">
      <w:pPr>
        <w:rPr>
          <w:rFonts w:cstheme="minorBidi"/>
          <w:szCs w:val="21"/>
        </w:rPr>
        <w:sectPr w:rsidR="00E57DAA" w:rsidSect="00226547">
          <w:pgSz w:w="11906" w:h="16838"/>
          <w:pgMar w:top="1525" w:right="1276" w:bottom="1440" w:left="1797" w:header="856" w:footer="992" w:gutter="0"/>
          <w:cols w:space="425"/>
          <w:docGrid w:linePitch="312"/>
        </w:sectPr>
      </w:pPr>
    </w:p>
    <w:p w14:paraId="691811F0" w14:textId="77777777" w:rsidR="00E57DAA" w:rsidRDefault="00E57DAA">
      <w:pPr>
        <w:rPr>
          <w:rFonts w:cstheme="minorBidi"/>
          <w:szCs w:val="21"/>
        </w:rPr>
      </w:pPr>
    </w:p>
    <w:p w14:paraId="5B75084A" w14:textId="77777777" w:rsidR="00E57DAA" w:rsidRDefault="00AC4185">
      <w:pPr>
        <w:pStyle w:val="4"/>
        <w:numPr>
          <w:ilvl w:val="3"/>
          <w:numId w:val="115"/>
        </w:numPr>
        <w:ind w:left="424" w:hangingChars="201" w:hanging="424"/>
      </w:pPr>
      <w:r>
        <w:rPr>
          <w:rFonts w:hint="eastAsia"/>
        </w:rPr>
        <w:t>重要联营企业的主要财务信息</w:t>
      </w:r>
    </w:p>
    <w:sdt>
      <w:sdtPr>
        <w:rPr>
          <w:rFonts w:hint="eastAsia"/>
        </w:rPr>
        <w:alias w:val="是否适用：重要联营企业的主要财务信息[双击切换]"/>
        <w:tag w:val="_GBC_e570958be6b64b7d8be73c12ea5135f1"/>
        <w:id w:val="1078635624"/>
        <w:placeholder>
          <w:docPart w:val="GBC22222222222222222222222222222"/>
        </w:placeholder>
      </w:sdtPr>
      <w:sdtEndPr/>
      <w:sdtContent>
        <w:p w14:paraId="33CBF280"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222D664" w14:textId="77777777" w:rsidR="00E57DAA" w:rsidRDefault="00AC4185">
      <w:pPr>
        <w:jc w:val="right"/>
      </w:pPr>
      <w:r>
        <w:rPr>
          <w:rFonts w:hint="eastAsia"/>
        </w:rPr>
        <w:t>单位：</w:t>
      </w:r>
      <w:sdt>
        <w:sdtPr>
          <w:rPr>
            <w:rFonts w:hint="eastAsia"/>
          </w:rPr>
          <w:alias w:val="单位：财务附注：重要联营企业的主要财务信息"/>
          <w:tag w:val="_GBC_0306b30be35040cd86d2b964142011d4"/>
          <w:id w:val="20062402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7209071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36"/>
        <w:gridCol w:w="1126"/>
        <w:gridCol w:w="1138"/>
        <w:gridCol w:w="1134"/>
        <w:gridCol w:w="1189"/>
        <w:gridCol w:w="1278"/>
        <w:gridCol w:w="1447"/>
        <w:gridCol w:w="1137"/>
        <w:gridCol w:w="1137"/>
        <w:gridCol w:w="1137"/>
        <w:gridCol w:w="1070"/>
        <w:gridCol w:w="1131"/>
      </w:tblGrid>
      <w:tr w:rsidR="00E57DAA" w14:paraId="14635C18" w14:textId="77777777">
        <w:trPr>
          <w:trHeight w:val="120"/>
        </w:trPr>
        <w:tc>
          <w:tcPr>
            <w:tcW w:w="338" w:type="pct"/>
            <w:vMerge w:val="restart"/>
            <w:tcBorders>
              <w:top w:val="single" w:sz="4" w:space="0" w:color="auto"/>
              <w:left w:val="single" w:sz="4" w:space="0" w:color="auto"/>
              <w:bottom w:val="single" w:sz="6" w:space="0" w:color="auto"/>
              <w:right w:val="single" w:sz="6" w:space="0" w:color="auto"/>
            </w:tcBorders>
            <w:shd w:val="clear" w:color="auto" w:fill="auto"/>
          </w:tcPr>
          <w:p w14:paraId="7D879583" w14:textId="77777777" w:rsidR="00E57DAA" w:rsidRDefault="00E57DAA">
            <w:pPr>
              <w:jc w:val="center"/>
              <w:rPr>
                <w:rFonts w:cs="Arial"/>
                <w:sz w:val="13"/>
                <w:szCs w:val="13"/>
              </w:rPr>
            </w:pPr>
          </w:p>
        </w:tc>
        <w:tc>
          <w:tcPr>
            <w:tcW w:w="2638" w:type="pct"/>
            <w:gridSpan w:val="6"/>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 w:val="13"/>
                <w:szCs w:val="13"/>
                <w:lang w:val="en-GB"/>
              </w:rPr>
              <w:tag w:val="_PLD_3f5fa209abb242d7b7cbb1f0a249e5ed"/>
              <w:id w:val="1586262034"/>
            </w:sdtPr>
            <w:sdtEndPr/>
            <w:sdtContent>
              <w:p w14:paraId="557FC4F7" w14:textId="77777777" w:rsidR="00E57DAA" w:rsidRDefault="00AC4185">
                <w:pPr>
                  <w:jc w:val="center"/>
                  <w:rPr>
                    <w:rFonts w:cs="Arial"/>
                    <w:sz w:val="13"/>
                    <w:szCs w:val="13"/>
                  </w:rPr>
                </w:pPr>
                <w:r>
                  <w:rPr>
                    <w:rFonts w:cs="Arial" w:hint="eastAsia"/>
                    <w:sz w:val="13"/>
                    <w:szCs w:val="13"/>
                    <w:lang w:val="en-GB"/>
                  </w:rPr>
                  <w:t>期末余额</w:t>
                </w:r>
                <w:r>
                  <w:rPr>
                    <w:rFonts w:cs="Arial"/>
                    <w:sz w:val="13"/>
                    <w:szCs w:val="13"/>
                  </w:rPr>
                  <w:t xml:space="preserve">/ </w:t>
                </w:r>
                <w:r>
                  <w:rPr>
                    <w:rFonts w:cs="Arial" w:hint="eastAsia"/>
                    <w:sz w:val="13"/>
                    <w:szCs w:val="13"/>
                    <w:lang w:val="en-GB"/>
                  </w:rPr>
                  <w:t>本期发生额</w:t>
                </w:r>
              </w:p>
            </w:sdtContent>
          </w:sdt>
        </w:tc>
        <w:tc>
          <w:tcPr>
            <w:tcW w:w="2025" w:type="pct"/>
            <w:gridSpan w:val="5"/>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 w:val="13"/>
                <w:szCs w:val="13"/>
                <w:lang w:val="en-GB"/>
              </w:rPr>
              <w:tag w:val="_PLD_84be18983356408eb53d1d34932bd41a"/>
              <w:id w:val="-1053235826"/>
            </w:sdtPr>
            <w:sdtEndPr/>
            <w:sdtContent>
              <w:p w14:paraId="21B413AB" w14:textId="77777777" w:rsidR="00E57DAA" w:rsidRDefault="00AC4185">
                <w:pPr>
                  <w:jc w:val="center"/>
                  <w:rPr>
                    <w:rFonts w:cs="Arial"/>
                    <w:sz w:val="13"/>
                    <w:szCs w:val="13"/>
                    <w:lang w:val="en-GB"/>
                  </w:rPr>
                </w:pPr>
                <w:r>
                  <w:rPr>
                    <w:rFonts w:cs="Arial" w:hint="eastAsia"/>
                    <w:sz w:val="13"/>
                    <w:szCs w:val="13"/>
                    <w:lang w:val="en-GB"/>
                  </w:rPr>
                  <w:t>期初余额</w:t>
                </w:r>
                <w:r>
                  <w:rPr>
                    <w:rFonts w:cs="Arial"/>
                    <w:sz w:val="13"/>
                    <w:szCs w:val="13"/>
                  </w:rPr>
                  <w:t xml:space="preserve">/ </w:t>
                </w:r>
                <w:r>
                  <w:rPr>
                    <w:rFonts w:cs="Arial" w:hint="eastAsia"/>
                    <w:sz w:val="13"/>
                    <w:szCs w:val="13"/>
                    <w:lang w:val="en-GB"/>
                  </w:rPr>
                  <w:t>上期发生额</w:t>
                </w:r>
              </w:p>
            </w:sdtContent>
          </w:sdt>
        </w:tc>
      </w:tr>
      <w:tr w:rsidR="00E57DAA" w14:paraId="28C789DC" w14:textId="77777777">
        <w:trPr>
          <w:trHeight w:val="120"/>
        </w:trPr>
        <w:tc>
          <w:tcPr>
            <w:tcW w:w="338"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2D0B772" w14:textId="77777777" w:rsidR="00E57DAA" w:rsidRDefault="00E57DAA">
            <w:pPr>
              <w:rPr>
                <w:rFonts w:cs="Arial"/>
                <w:sz w:val="13"/>
                <w:szCs w:val="13"/>
              </w:rPr>
            </w:pPr>
          </w:p>
        </w:tc>
        <w:tc>
          <w:tcPr>
            <w:tcW w:w="406" w:type="pct"/>
            <w:tcBorders>
              <w:top w:val="single" w:sz="6" w:space="0" w:color="auto"/>
              <w:left w:val="single" w:sz="6" w:space="0" w:color="auto"/>
              <w:right w:val="single" w:sz="6" w:space="0" w:color="auto"/>
            </w:tcBorders>
            <w:shd w:val="clear" w:color="auto" w:fill="auto"/>
            <w:vAlign w:val="center"/>
          </w:tcPr>
          <w:p w14:paraId="5C1A6921" w14:textId="77777777" w:rsidR="00E57DAA" w:rsidRDefault="00AC4185">
            <w:pPr>
              <w:jc w:val="center"/>
              <w:rPr>
                <w:sz w:val="13"/>
                <w:szCs w:val="13"/>
              </w:rPr>
            </w:pPr>
            <w:r>
              <w:rPr>
                <w:sz w:val="13"/>
                <w:szCs w:val="13"/>
              </w:rPr>
              <w:t>中才邦业（杭州）智能技术有限公司</w:t>
            </w:r>
          </w:p>
        </w:tc>
        <w:tc>
          <w:tcPr>
            <w:tcW w:w="411" w:type="pct"/>
            <w:tcBorders>
              <w:top w:val="single" w:sz="6" w:space="0" w:color="auto"/>
              <w:left w:val="single" w:sz="6" w:space="0" w:color="auto"/>
              <w:right w:val="single" w:sz="6" w:space="0" w:color="auto"/>
            </w:tcBorders>
            <w:shd w:val="clear" w:color="auto" w:fill="auto"/>
            <w:vAlign w:val="center"/>
          </w:tcPr>
          <w:p w14:paraId="7C3FF339" w14:textId="77777777" w:rsidR="00E57DAA" w:rsidRDefault="00AC4185">
            <w:pPr>
              <w:jc w:val="center"/>
              <w:rPr>
                <w:sz w:val="13"/>
                <w:szCs w:val="13"/>
              </w:rPr>
            </w:pPr>
            <w:r>
              <w:rPr>
                <w:sz w:val="13"/>
                <w:szCs w:val="13"/>
              </w:rPr>
              <w:t>中建（淄博）重型机械有限公司</w:t>
            </w:r>
          </w:p>
        </w:tc>
        <w:tc>
          <w:tcPr>
            <w:tcW w:w="409" w:type="pct"/>
            <w:tcBorders>
              <w:top w:val="single" w:sz="6" w:space="0" w:color="auto"/>
              <w:left w:val="single" w:sz="6" w:space="0" w:color="auto"/>
              <w:right w:val="single" w:sz="6" w:space="0" w:color="auto"/>
            </w:tcBorders>
            <w:shd w:val="clear" w:color="auto" w:fill="auto"/>
            <w:vAlign w:val="center"/>
          </w:tcPr>
          <w:p w14:paraId="3C62C28D" w14:textId="77777777" w:rsidR="00E57DAA" w:rsidRDefault="00AC4185">
            <w:pPr>
              <w:jc w:val="center"/>
              <w:rPr>
                <w:sz w:val="13"/>
                <w:szCs w:val="13"/>
              </w:rPr>
            </w:pPr>
            <w:r>
              <w:rPr>
                <w:sz w:val="13"/>
                <w:szCs w:val="13"/>
              </w:rPr>
              <w:t>葛洲坝中材洁新（武汉）科技有限公司</w:t>
            </w:r>
          </w:p>
        </w:tc>
        <w:tc>
          <w:tcPr>
            <w:tcW w:w="429" w:type="pct"/>
            <w:tcBorders>
              <w:top w:val="single" w:sz="6" w:space="0" w:color="auto"/>
              <w:left w:val="single" w:sz="6" w:space="0" w:color="auto"/>
              <w:right w:val="single" w:sz="6" w:space="0" w:color="auto"/>
            </w:tcBorders>
            <w:shd w:val="clear" w:color="auto" w:fill="auto"/>
            <w:vAlign w:val="center"/>
          </w:tcPr>
          <w:p w14:paraId="33CE63FB" w14:textId="77777777" w:rsidR="00E57DAA" w:rsidRDefault="00AC4185">
            <w:pPr>
              <w:jc w:val="center"/>
              <w:rPr>
                <w:sz w:val="13"/>
                <w:szCs w:val="13"/>
              </w:rPr>
            </w:pPr>
            <w:r>
              <w:rPr>
                <w:sz w:val="13"/>
                <w:szCs w:val="13"/>
              </w:rPr>
              <w:t>安徽长江环境科技有限公司</w:t>
            </w:r>
          </w:p>
        </w:tc>
        <w:tc>
          <w:tcPr>
            <w:tcW w:w="461" w:type="pct"/>
            <w:tcBorders>
              <w:top w:val="single" w:sz="6" w:space="0" w:color="auto"/>
              <w:left w:val="single" w:sz="6" w:space="0" w:color="auto"/>
              <w:right w:val="single" w:sz="6" w:space="0" w:color="auto"/>
            </w:tcBorders>
            <w:shd w:val="clear" w:color="auto" w:fill="auto"/>
            <w:vAlign w:val="center"/>
          </w:tcPr>
          <w:p w14:paraId="0FDE55F9" w14:textId="77777777" w:rsidR="00E57DAA" w:rsidRDefault="00AC4185">
            <w:pPr>
              <w:jc w:val="center"/>
              <w:rPr>
                <w:sz w:val="13"/>
                <w:szCs w:val="13"/>
              </w:rPr>
            </w:pPr>
            <w:r>
              <w:rPr>
                <w:sz w:val="13"/>
                <w:szCs w:val="13"/>
              </w:rPr>
              <w:t>安徽马钢矿业资源集团建材科技有限公司</w:t>
            </w:r>
          </w:p>
        </w:tc>
        <w:tc>
          <w:tcPr>
            <w:tcW w:w="522" w:type="pct"/>
            <w:tcBorders>
              <w:top w:val="single" w:sz="6" w:space="0" w:color="auto"/>
              <w:left w:val="single" w:sz="6" w:space="0" w:color="auto"/>
              <w:right w:val="single" w:sz="6" w:space="0" w:color="auto"/>
            </w:tcBorders>
            <w:shd w:val="clear" w:color="auto" w:fill="auto"/>
            <w:vAlign w:val="center"/>
          </w:tcPr>
          <w:p w14:paraId="5F94F75D" w14:textId="77777777" w:rsidR="00E57DAA" w:rsidRDefault="00AC4185">
            <w:pPr>
              <w:jc w:val="center"/>
              <w:rPr>
                <w:sz w:val="13"/>
                <w:szCs w:val="13"/>
              </w:rPr>
            </w:pPr>
            <w:r>
              <w:rPr>
                <w:rFonts w:hint="eastAsia"/>
                <w:sz w:val="13"/>
                <w:szCs w:val="13"/>
              </w:rPr>
              <w:t>中材水泥有限责任公司</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0E296AE" w14:textId="77777777" w:rsidR="00E57DAA" w:rsidRDefault="00AC4185">
            <w:pPr>
              <w:jc w:val="center"/>
              <w:rPr>
                <w:sz w:val="13"/>
                <w:szCs w:val="13"/>
              </w:rPr>
            </w:pPr>
            <w:r>
              <w:rPr>
                <w:sz w:val="13"/>
                <w:szCs w:val="13"/>
              </w:rPr>
              <w:t>中材邦业（杭州）智能技术有限公司</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3FBB80A1" w14:textId="77777777" w:rsidR="00E57DAA" w:rsidRDefault="00AC4185">
            <w:pPr>
              <w:jc w:val="center"/>
              <w:rPr>
                <w:sz w:val="13"/>
                <w:szCs w:val="13"/>
              </w:rPr>
            </w:pPr>
            <w:r>
              <w:rPr>
                <w:sz w:val="13"/>
                <w:szCs w:val="13"/>
              </w:rPr>
              <w:t>中建（淄博）重型机械有限公司</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17427E3A" w14:textId="77777777" w:rsidR="00E57DAA" w:rsidRDefault="00AC4185">
            <w:pPr>
              <w:jc w:val="center"/>
              <w:rPr>
                <w:sz w:val="13"/>
                <w:szCs w:val="13"/>
              </w:rPr>
            </w:pPr>
            <w:r>
              <w:rPr>
                <w:sz w:val="13"/>
                <w:szCs w:val="13"/>
              </w:rPr>
              <w:t>葛洲坝中材洁新（武汉）科技有限公司</w:t>
            </w:r>
          </w:p>
        </w:tc>
        <w:tc>
          <w:tcPr>
            <w:tcW w:w="386" w:type="pct"/>
            <w:tcBorders>
              <w:top w:val="single" w:sz="6" w:space="0" w:color="auto"/>
              <w:left w:val="single" w:sz="6" w:space="0" w:color="auto"/>
              <w:bottom w:val="single" w:sz="6" w:space="0" w:color="auto"/>
              <w:right w:val="single" w:sz="6" w:space="0" w:color="auto"/>
            </w:tcBorders>
            <w:shd w:val="clear" w:color="auto" w:fill="auto"/>
            <w:vAlign w:val="center"/>
          </w:tcPr>
          <w:p w14:paraId="6CF13376" w14:textId="77777777" w:rsidR="00E57DAA" w:rsidRDefault="00AC4185">
            <w:pPr>
              <w:jc w:val="center"/>
              <w:rPr>
                <w:sz w:val="13"/>
                <w:szCs w:val="13"/>
              </w:rPr>
            </w:pPr>
            <w:r>
              <w:rPr>
                <w:sz w:val="13"/>
                <w:szCs w:val="13"/>
              </w:rPr>
              <w:t>安徽长江环境科技有限公司</w:t>
            </w:r>
          </w:p>
        </w:tc>
        <w:tc>
          <w:tcPr>
            <w:tcW w:w="408" w:type="pct"/>
            <w:tcBorders>
              <w:top w:val="single" w:sz="6" w:space="0" w:color="auto"/>
              <w:left w:val="single" w:sz="6" w:space="0" w:color="auto"/>
              <w:bottom w:val="single" w:sz="6" w:space="0" w:color="auto"/>
              <w:right w:val="single" w:sz="6" w:space="0" w:color="auto"/>
            </w:tcBorders>
            <w:shd w:val="clear" w:color="auto" w:fill="auto"/>
            <w:vAlign w:val="center"/>
          </w:tcPr>
          <w:p w14:paraId="7C501F23" w14:textId="77777777" w:rsidR="00E57DAA" w:rsidRDefault="00AC4185">
            <w:pPr>
              <w:jc w:val="center"/>
              <w:rPr>
                <w:sz w:val="13"/>
                <w:szCs w:val="13"/>
              </w:rPr>
            </w:pPr>
            <w:r>
              <w:rPr>
                <w:sz w:val="13"/>
                <w:szCs w:val="13"/>
              </w:rPr>
              <w:t>安徽马钢矿业资源集团建材科技有限公司</w:t>
            </w:r>
          </w:p>
        </w:tc>
      </w:tr>
      <w:tr w:rsidR="00E57DAA" w14:paraId="353C192A"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0A00986A" w14:textId="77777777" w:rsidR="00E57DAA" w:rsidRDefault="00AC4185">
            <w:pPr>
              <w:rPr>
                <w:rFonts w:cs="Arial"/>
                <w:color w:val="000000"/>
                <w:sz w:val="13"/>
                <w:szCs w:val="13"/>
              </w:rPr>
            </w:pPr>
            <w:r>
              <w:rPr>
                <w:rFonts w:cs="Arial" w:hint="eastAsia"/>
                <w:color w:val="000000"/>
                <w:sz w:val="13"/>
                <w:szCs w:val="13"/>
                <w:lang w:val="en-GB"/>
              </w:rPr>
              <w:t>流动资产</w:t>
            </w:r>
          </w:p>
        </w:tc>
        <w:tc>
          <w:tcPr>
            <w:tcW w:w="406" w:type="pct"/>
            <w:tcBorders>
              <w:left w:val="single" w:sz="6" w:space="0" w:color="auto"/>
              <w:right w:val="single" w:sz="6" w:space="0" w:color="auto"/>
            </w:tcBorders>
            <w:shd w:val="clear" w:color="auto" w:fill="auto"/>
            <w:vAlign w:val="center"/>
          </w:tcPr>
          <w:p w14:paraId="53E3C5AA" w14:textId="77777777" w:rsidR="00E57DAA" w:rsidRDefault="00AC4185">
            <w:pPr>
              <w:jc w:val="right"/>
              <w:rPr>
                <w:sz w:val="13"/>
                <w:szCs w:val="13"/>
              </w:rPr>
            </w:pPr>
            <w:r>
              <w:rPr>
                <w:sz w:val="13"/>
                <w:szCs w:val="13"/>
              </w:rPr>
              <w:t>168,565,958.97</w:t>
            </w:r>
          </w:p>
        </w:tc>
        <w:tc>
          <w:tcPr>
            <w:tcW w:w="411" w:type="pct"/>
            <w:tcBorders>
              <w:left w:val="single" w:sz="6" w:space="0" w:color="auto"/>
              <w:right w:val="single" w:sz="6" w:space="0" w:color="auto"/>
            </w:tcBorders>
            <w:shd w:val="clear" w:color="auto" w:fill="auto"/>
            <w:vAlign w:val="center"/>
          </w:tcPr>
          <w:p w14:paraId="6422FC92" w14:textId="77777777" w:rsidR="00E57DAA" w:rsidRDefault="00AC4185">
            <w:pPr>
              <w:jc w:val="right"/>
              <w:rPr>
                <w:sz w:val="13"/>
                <w:szCs w:val="13"/>
              </w:rPr>
            </w:pPr>
            <w:r>
              <w:rPr>
                <w:sz w:val="13"/>
                <w:szCs w:val="13"/>
              </w:rPr>
              <w:t>84,141,818.36</w:t>
            </w:r>
          </w:p>
        </w:tc>
        <w:tc>
          <w:tcPr>
            <w:tcW w:w="409" w:type="pct"/>
            <w:tcBorders>
              <w:left w:val="single" w:sz="6" w:space="0" w:color="auto"/>
              <w:right w:val="single" w:sz="6" w:space="0" w:color="auto"/>
            </w:tcBorders>
            <w:shd w:val="clear" w:color="auto" w:fill="auto"/>
            <w:vAlign w:val="center"/>
          </w:tcPr>
          <w:p w14:paraId="2D4069DF" w14:textId="77777777" w:rsidR="00E57DAA" w:rsidRDefault="00AC4185">
            <w:pPr>
              <w:jc w:val="right"/>
              <w:rPr>
                <w:sz w:val="13"/>
                <w:szCs w:val="13"/>
              </w:rPr>
            </w:pPr>
            <w:r>
              <w:rPr>
                <w:sz w:val="13"/>
                <w:szCs w:val="13"/>
              </w:rPr>
              <w:t>73,210,104.98</w:t>
            </w:r>
          </w:p>
        </w:tc>
        <w:tc>
          <w:tcPr>
            <w:tcW w:w="429" w:type="pct"/>
            <w:tcBorders>
              <w:left w:val="single" w:sz="6" w:space="0" w:color="auto"/>
              <w:right w:val="single" w:sz="6" w:space="0" w:color="auto"/>
            </w:tcBorders>
            <w:shd w:val="clear" w:color="auto" w:fill="auto"/>
            <w:vAlign w:val="center"/>
          </w:tcPr>
          <w:p w14:paraId="1B2A5B04" w14:textId="77777777" w:rsidR="00E57DAA" w:rsidRDefault="00AC4185">
            <w:pPr>
              <w:jc w:val="right"/>
              <w:rPr>
                <w:sz w:val="13"/>
                <w:szCs w:val="13"/>
              </w:rPr>
            </w:pPr>
            <w:r>
              <w:rPr>
                <w:sz w:val="13"/>
                <w:szCs w:val="13"/>
              </w:rPr>
              <w:t>58,060,344.05</w:t>
            </w:r>
          </w:p>
        </w:tc>
        <w:tc>
          <w:tcPr>
            <w:tcW w:w="461" w:type="pct"/>
            <w:tcBorders>
              <w:left w:val="single" w:sz="6" w:space="0" w:color="auto"/>
              <w:right w:val="single" w:sz="6" w:space="0" w:color="auto"/>
            </w:tcBorders>
            <w:shd w:val="clear" w:color="auto" w:fill="auto"/>
            <w:vAlign w:val="center"/>
          </w:tcPr>
          <w:p w14:paraId="42F27B79" w14:textId="77777777" w:rsidR="00E57DAA" w:rsidRDefault="00AC4185">
            <w:pPr>
              <w:jc w:val="right"/>
              <w:rPr>
                <w:sz w:val="13"/>
                <w:szCs w:val="13"/>
              </w:rPr>
            </w:pPr>
            <w:r>
              <w:rPr>
                <w:sz w:val="13"/>
                <w:szCs w:val="13"/>
              </w:rPr>
              <w:t>86,000,527.91</w:t>
            </w:r>
          </w:p>
        </w:tc>
        <w:tc>
          <w:tcPr>
            <w:tcW w:w="522" w:type="pct"/>
            <w:tcBorders>
              <w:left w:val="single" w:sz="6" w:space="0" w:color="auto"/>
              <w:right w:val="single" w:sz="6" w:space="0" w:color="auto"/>
            </w:tcBorders>
            <w:shd w:val="clear" w:color="auto" w:fill="auto"/>
            <w:vAlign w:val="center"/>
          </w:tcPr>
          <w:p w14:paraId="6B77B4AF" w14:textId="77777777" w:rsidR="00E57DAA" w:rsidRDefault="00AC4185">
            <w:pPr>
              <w:jc w:val="right"/>
              <w:rPr>
                <w:sz w:val="13"/>
                <w:szCs w:val="13"/>
              </w:rPr>
            </w:pPr>
            <w:r>
              <w:rPr>
                <w:sz w:val="13"/>
                <w:szCs w:val="13"/>
              </w:rPr>
              <w:t>1,392,948,080.66</w:t>
            </w:r>
          </w:p>
        </w:tc>
        <w:tc>
          <w:tcPr>
            <w:tcW w:w="410" w:type="pct"/>
            <w:tcBorders>
              <w:top w:val="single" w:sz="6" w:space="0" w:color="auto"/>
              <w:left w:val="single" w:sz="6" w:space="0" w:color="auto"/>
              <w:bottom w:val="single" w:sz="6" w:space="0" w:color="auto"/>
              <w:right w:val="single" w:sz="6" w:space="0" w:color="auto"/>
            </w:tcBorders>
            <w:vAlign w:val="center"/>
          </w:tcPr>
          <w:p w14:paraId="6A5B94B5" w14:textId="77777777" w:rsidR="00E57DAA" w:rsidRDefault="00AC4185">
            <w:pPr>
              <w:jc w:val="right"/>
              <w:rPr>
                <w:sz w:val="13"/>
                <w:szCs w:val="13"/>
              </w:rPr>
            </w:pPr>
            <w:r>
              <w:rPr>
                <w:sz w:val="13"/>
                <w:szCs w:val="13"/>
              </w:rPr>
              <w:t>109,202,696.44</w:t>
            </w:r>
          </w:p>
        </w:tc>
        <w:tc>
          <w:tcPr>
            <w:tcW w:w="410" w:type="pct"/>
            <w:tcBorders>
              <w:top w:val="single" w:sz="6" w:space="0" w:color="auto"/>
              <w:left w:val="single" w:sz="6" w:space="0" w:color="auto"/>
              <w:bottom w:val="single" w:sz="6" w:space="0" w:color="auto"/>
              <w:right w:val="single" w:sz="6" w:space="0" w:color="auto"/>
            </w:tcBorders>
            <w:vAlign w:val="center"/>
          </w:tcPr>
          <w:p w14:paraId="5664DCC3" w14:textId="77777777" w:rsidR="00E57DAA" w:rsidRDefault="00AC4185">
            <w:pPr>
              <w:jc w:val="right"/>
              <w:rPr>
                <w:sz w:val="13"/>
                <w:szCs w:val="13"/>
              </w:rPr>
            </w:pPr>
            <w:r>
              <w:rPr>
                <w:sz w:val="13"/>
                <w:szCs w:val="13"/>
              </w:rPr>
              <w:t>88,419,591.58</w:t>
            </w:r>
          </w:p>
        </w:tc>
        <w:tc>
          <w:tcPr>
            <w:tcW w:w="410" w:type="pct"/>
            <w:tcBorders>
              <w:top w:val="single" w:sz="6" w:space="0" w:color="auto"/>
              <w:left w:val="single" w:sz="6" w:space="0" w:color="auto"/>
              <w:bottom w:val="single" w:sz="6" w:space="0" w:color="auto"/>
              <w:right w:val="single" w:sz="6" w:space="0" w:color="auto"/>
            </w:tcBorders>
            <w:vAlign w:val="center"/>
          </w:tcPr>
          <w:p w14:paraId="76760C17" w14:textId="77777777" w:rsidR="00E57DAA" w:rsidRDefault="00AC4185">
            <w:pPr>
              <w:jc w:val="right"/>
              <w:rPr>
                <w:sz w:val="13"/>
                <w:szCs w:val="13"/>
              </w:rPr>
            </w:pPr>
            <w:r>
              <w:rPr>
                <w:sz w:val="13"/>
                <w:szCs w:val="13"/>
              </w:rPr>
              <w:t>32,642,314.16</w:t>
            </w:r>
          </w:p>
        </w:tc>
        <w:tc>
          <w:tcPr>
            <w:tcW w:w="386" w:type="pct"/>
            <w:tcBorders>
              <w:top w:val="single" w:sz="6" w:space="0" w:color="auto"/>
              <w:left w:val="single" w:sz="6" w:space="0" w:color="auto"/>
              <w:bottom w:val="single" w:sz="6" w:space="0" w:color="auto"/>
              <w:right w:val="single" w:sz="6" w:space="0" w:color="auto"/>
            </w:tcBorders>
            <w:vAlign w:val="center"/>
          </w:tcPr>
          <w:p w14:paraId="29BAB3BC" w14:textId="77777777" w:rsidR="00E57DAA" w:rsidRDefault="00AC4185">
            <w:pPr>
              <w:jc w:val="right"/>
              <w:rPr>
                <w:sz w:val="13"/>
                <w:szCs w:val="13"/>
              </w:rPr>
            </w:pPr>
            <w:r>
              <w:rPr>
                <w:sz w:val="13"/>
                <w:szCs w:val="13"/>
              </w:rPr>
              <w:t>61,865,593.35</w:t>
            </w:r>
          </w:p>
        </w:tc>
        <w:tc>
          <w:tcPr>
            <w:tcW w:w="408" w:type="pct"/>
            <w:tcBorders>
              <w:top w:val="single" w:sz="6" w:space="0" w:color="auto"/>
              <w:left w:val="single" w:sz="6" w:space="0" w:color="auto"/>
              <w:bottom w:val="single" w:sz="6" w:space="0" w:color="auto"/>
              <w:right w:val="single" w:sz="6" w:space="0" w:color="auto"/>
            </w:tcBorders>
            <w:vAlign w:val="center"/>
          </w:tcPr>
          <w:p w14:paraId="7A8E03FE" w14:textId="77777777" w:rsidR="00E57DAA" w:rsidRDefault="00AC4185">
            <w:pPr>
              <w:jc w:val="right"/>
              <w:rPr>
                <w:sz w:val="13"/>
                <w:szCs w:val="13"/>
              </w:rPr>
            </w:pPr>
            <w:r>
              <w:rPr>
                <w:sz w:val="13"/>
                <w:szCs w:val="13"/>
              </w:rPr>
              <w:t>117,098,712.02</w:t>
            </w:r>
          </w:p>
        </w:tc>
      </w:tr>
      <w:tr w:rsidR="00E57DAA" w14:paraId="6200C3B9"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D9E3DB1" w14:textId="77777777" w:rsidR="00E57DAA" w:rsidRDefault="00AC4185">
            <w:pPr>
              <w:rPr>
                <w:rFonts w:cs="Arial"/>
                <w:color w:val="000000"/>
                <w:sz w:val="13"/>
                <w:szCs w:val="13"/>
              </w:rPr>
            </w:pPr>
            <w:r>
              <w:rPr>
                <w:rFonts w:cs="Arial" w:hint="eastAsia"/>
                <w:color w:val="000000"/>
                <w:sz w:val="13"/>
                <w:szCs w:val="13"/>
                <w:lang w:val="en-GB"/>
              </w:rPr>
              <w:t>非流动资产</w:t>
            </w:r>
          </w:p>
        </w:tc>
        <w:tc>
          <w:tcPr>
            <w:tcW w:w="406" w:type="pct"/>
            <w:tcBorders>
              <w:left w:val="single" w:sz="6" w:space="0" w:color="auto"/>
              <w:right w:val="single" w:sz="6" w:space="0" w:color="auto"/>
            </w:tcBorders>
            <w:shd w:val="clear" w:color="auto" w:fill="auto"/>
            <w:vAlign w:val="center"/>
          </w:tcPr>
          <w:p w14:paraId="1AB19C8D" w14:textId="77777777" w:rsidR="00E57DAA" w:rsidRDefault="00AC4185">
            <w:pPr>
              <w:jc w:val="right"/>
              <w:rPr>
                <w:sz w:val="13"/>
                <w:szCs w:val="13"/>
              </w:rPr>
            </w:pPr>
            <w:r>
              <w:rPr>
                <w:sz w:val="13"/>
                <w:szCs w:val="13"/>
              </w:rPr>
              <w:t>3,705,591.19</w:t>
            </w:r>
          </w:p>
        </w:tc>
        <w:tc>
          <w:tcPr>
            <w:tcW w:w="411" w:type="pct"/>
            <w:tcBorders>
              <w:left w:val="single" w:sz="6" w:space="0" w:color="auto"/>
              <w:right w:val="single" w:sz="6" w:space="0" w:color="auto"/>
            </w:tcBorders>
            <w:shd w:val="clear" w:color="auto" w:fill="auto"/>
            <w:vAlign w:val="center"/>
          </w:tcPr>
          <w:p w14:paraId="2ACF7A42" w14:textId="77777777" w:rsidR="00E57DAA" w:rsidRDefault="00AC4185">
            <w:pPr>
              <w:jc w:val="right"/>
              <w:rPr>
                <w:sz w:val="13"/>
                <w:szCs w:val="13"/>
              </w:rPr>
            </w:pPr>
            <w:r>
              <w:rPr>
                <w:sz w:val="13"/>
                <w:szCs w:val="13"/>
              </w:rPr>
              <w:t>57,732,471.65</w:t>
            </w:r>
          </w:p>
        </w:tc>
        <w:tc>
          <w:tcPr>
            <w:tcW w:w="409" w:type="pct"/>
            <w:tcBorders>
              <w:left w:val="single" w:sz="6" w:space="0" w:color="auto"/>
              <w:right w:val="single" w:sz="6" w:space="0" w:color="auto"/>
            </w:tcBorders>
            <w:shd w:val="clear" w:color="auto" w:fill="auto"/>
            <w:vAlign w:val="center"/>
          </w:tcPr>
          <w:p w14:paraId="7491EFD1" w14:textId="77777777" w:rsidR="00E57DAA" w:rsidRDefault="00AC4185">
            <w:pPr>
              <w:jc w:val="right"/>
              <w:rPr>
                <w:sz w:val="13"/>
                <w:szCs w:val="13"/>
              </w:rPr>
            </w:pPr>
            <w:r>
              <w:rPr>
                <w:sz w:val="13"/>
                <w:szCs w:val="13"/>
              </w:rPr>
              <w:t>136,048,547.59</w:t>
            </w:r>
          </w:p>
        </w:tc>
        <w:tc>
          <w:tcPr>
            <w:tcW w:w="429" w:type="pct"/>
            <w:tcBorders>
              <w:left w:val="single" w:sz="6" w:space="0" w:color="auto"/>
              <w:right w:val="single" w:sz="6" w:space="0" w:color="auto"/>
            </w:tcBorders>
            <w:shd w:val="clear" w:color="auto" w:fill="auto"/>
            <w:vAlign w:val="center"/>
          </w:tcPr>
          <w:p w14:paraId="1DAA2DD2" w14:textId="77777777" w:rsidR="00E57DAA" w:rsidRDefault="00AC4185">
            <w:pPr>
              <w:jc w:val="right"/>
              <w:rPr>
                <w:sz w:val="13"/>
                <w:szCs w:val="13"/>
              </w:rPr>
            </w:pPr>
            <w:r>
              <w:rPr>
                <w:sz w:val="13"/>
                <w:szCs w:val="13"/>
              </w:rPr>
              <w:t>20,404,358.02</w:t>
            </w:r>
          </w:p>
        </w:tc>
        <w:tc>
          <w:tcPr>
            <w:tcW w:w="461" w:type="pct"/>
            <w:tcBorders>
              <w:left w:val="single" w:sz="6" w:space="0" w:color="auto"/>
              <w:right w:val="single" w:sz="6" w:space="0" w:color="auto"/>
            </w:tcBorders>
            <w:shd w:val="clear" w:color="auto" w:fill="auto"/>
            <w:vAlign w:val="center"/>
          </w:tcPr>
          <w:p w14:paraId="24ACA5BC" w14:textId="77777777" w:rsidR="00E57DAA" w:rsidRDefault="00AC4185">
            <w:pPr>
              <w:jc w:val="right"/>
              <w:rPr>
                <w:sz w:val="13"/>
                <w:szCs w:val="13"/>
              </w:rPr>
            </w:pPr>
            <w:r>
              <w:rPr>
                <w:sz w:val="13"/>
                <w:szCs w:val="13"/>
              </w:rPr>
              <w:t>103,540,258.65</w:t>
            </w:r>
          </w:p>
        </w:tc>
        <w:tc>
          <w:tcPr>
            <w:tcW w:w="522" w:type="pct"/>
            <w:tcBorders>
              <w:left w:val="single" w:sz="6" w:space="0" w:color="auto"/>
              <w:right w:val="single" w:sz="6" w:space="0" w:color="auto"/>
            </w:tcBorders>
            <w:shd w:val="clear" w:color="auto" w:fill="auto"/>
            <w:vAlign w:val="center"/>
          </w:tcPr>
          <w:p w14:paraId="0E5EEBFA" w14:textId="77777777" w:rsidR="00E57DAA" w:rsidRDefault="00AC4185">
            <w:pPr>
              <w:jc w:val="right"/>
              <w:rPr>
                <w:sz w:val="13"/>
                <w:szCs w:val="13"/>
              </w:rPr>
            </w:pPr>
            <w:r>
              <w:rPr>
                <w:sz w:val="13"/>
                <w:szCs w:val="13"/>
              </w:rPr>
              <w:t>1,657,978,736.09</w:t>
            </w:r>
          </w:p>
        </w:tc>
        <w:tc>
          <w:tcPr>
            <w:tcW w:w="410" w:type="pct"/>
            <w:tcBorders>
              <w:top w:val="single" w:sz="6" w:space="0" w:color="auto"/>
              <w:left w:val="single" w:sz="6" w:space="0" w:color="auto"/>
              <w:bottom w:val="single" w:sz="6" w:space="0" w:color="auto"/>
              <w:right w:val="single" w:sz="6" w:space="0" w:color="auto"/>
            </w:tcBorders>
            <w:vAlign w:val="center"/>
          </w:tcPr>
          <w:p w14:paraId="6A8F7EA7" w14:textId="77777777" w:rsidR="00E57DAA" w:rsidRDefault="00AC4185">
            <w:pPr>
              <w:jc w:val="right"/>
              <w:rPr>
                <w:sz w:val="13"/>
                <w:szCs w:val="13"/>
              </w:rPr>
            </w:pPr>
            <w:r>
              <w:rPr>
                <w:sz w:val="13"/>
                <w:szCs w:val="13"/>
              </w:rPr>
              <w:t>3,773,357.10</w:t>
            </w:r>
          </w:p>
        </w:tc>
        <w:tc>
          <w:tcPr>
            <w:tcW w:w="410" w:type="pct"/>
            <w:tcBorders>
              <w:top w:val="single" w:sz="6" w:space="0" w:color="auto"/>
              <w:left w:val="single" w:sz="6" w:space="0" w:color="auto"/>
              <w:bottom w:val="single" w:sz="6" w:space="0" w:color="auto"/>
              <w:right w:val="single" w:sz="6" w:space="0" w:color="auto"/>
            </w:tcBorders>
            <w:vAlign w:val="center"/>
          </w:tcPr>
          <w:p w14:paraId="1DFACCA6" w14:textId="77777777" w:rsidR="00E57DAA" w:rsidRDefault="00AC4185">
            <w:pPr>
              <w:jc w:val="right"/>
              <w:rPr>
                <w:sz w:val="13"/>
                <w:szCs w:val="13"/>
              </w:rPr>
            </w:pPr>
            <w:r>
              <w:rPr>
                <w:sz w:val="13"/>
                <w:szCs w:val="13"/>
              </w:rPr>
              <w:t>59,341,785.85</w:t>
            </w:r>
          </w:p>
        </w:tc>
        <w:tc>
          <w:tcPr>
            <w:tcW w:w="410" w:type="pct"/>
            <w:tcBorders>
              <w:top w:val="single" w:sz="6" w:space="0" w:color="auto"/>
              <w:left w:val="single" w:sz="6" w:space="0" w:color="auto"/>
              <w:bottom w:val="single" w:sz="6" w:space="0" w:color="auto"/>
              <w:right w:val="single" w:sz="6" w:space="0" w:color="auto"/>
            </w:tcBorders>
            <w:vAlign w:val="center"/>
          </w:tcPr>
          <w:p w14:paraId="3989B912" w14:textId="77777777" w:rsidR="00E57DAA" w:rsidRDefault="00AC4185">
            <w:pPr>
              <w:jc w:val="right"/>
              <w:rPr>
                <w:sz w:val="13"/>
                <w:szCs w:val="13"/>
              </w:rPr>
            </w:pPr>
            <w:r>
              <w:rPr>
                <w:sz w:val="13"/>
                <w:szCs w:val="13"/>
              </w:rPr>
              <w:t>141,579,316.50</w:t>
            </w:r>
          </w:p>
        </w:tc>
        <w:tc>
          <w:tcPr>
            <w:tcW w:w="386" w:type="pct"/>
            <w:tcBorders>
              <w:top w:val="single" w:sz="6" w:space="0" w:color="auto"/>
              <w:left w:val="single" w:sz="6" w:space="0" w:color="auto"/>
              <w:bottom w:val="single" w:sz="6" w:space="0" w:color="auto"/>
              <w:right w:val="single" w:sz="6" w:space="0" w:color="auto"/>
            </w:tcBorders>
            <w:vAlign w:val="center"/>
          </w:tcPr>
          <w:p w14:paraId="738DCD4A" w14:textId="77777777" w:rsidR="00E57DAA" w:rsidRDefault="00AC4185">
            <w:pPr>
              <w:jc w:val="right"/>
              <w:rPr>
                <w:sz w:val="13"/>
                <w:szCs w:val="13"/>
              </w:rPr>
            </w:pPr>
            <w:r>
              <w:rPr>
                <w:sz w:val="13"/>
                <w:szCs w:val="13"/>
              </w:rPr>
              <w:t>5,903,455.02</w:t>
            </w:r>
          </w:p>
        </w:tc>
        <w:tc>
          <w:tcPr>
            <w:tcW w:w="408" w:type="pct"/>
            <w:tcBorders>
              <w:top w:val="single" w:sz="6" w:space="0" w:color="auto"/>
              <w:left w:val="single" w:sz="6" w:space="0" w:color="auto"/>
              <w:bottom w:val="single" w:sz="6" w:space="0" w:color="auto"/>
              <w:right w:val="single" w:sz="6" w:space="0" w:color="auto"/>
            </w:tcBorders>
            <w:vAlign w:val="center"/>
          </w:tcPr>
          <w:p w14:paraId="22098359" w14:textId="77777777" w:rsidR="00E57DAA" w:rsidRDefault="00AC4185">
            <w:pPr>
              <w:jc w:val="right"/>
              <w:rPr>
                <w:sz w:val="13"/>
                <w:szCs w:val="13"/>
              </w:rPr>
            </w:pPr>
            <w:r>
              <w:rPr>
                <w:sz w:val="13"/>
                <w:szCs w:val="13"/>
              </w:rPr>
              <w:t>104,658,406.59</w:t>
            </w:r>
          </w:p>
        </w:tc>
      </w:tr>
      <w:tr w:rsidR="00E57DAA" w14:paraId="6FABBC15"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2617A9B" w14:textId="77777777" w:rsidR="00E57DAA" w:rsidRDefault="00AC4185">
            <w:pPr>
              <w:rPr>
                <w:rFonts w:cs="Arial"/>
                <w:color w:val="000000"/>
                <w:sz w:val="13"/>
                <w:szCs w:val="13"/>
              </w:rPr>
            </w:pPr>
            <w:r>
              <w:rPr>
                <w:rFonts w:cs="Arial" w:hint="eastAsia"/>
                <w:color w:val="000000"/>
                <w:sz w:val="13"/>
                <w:szCs w:val="13"/>
                <w:lang w:val="en-GB"/>
              </w:rPr>
              <w:t>资产合计</w:t>
            </w:r>
          </w:p>
        </w:tc>
        <w:tc>
          <w:tcPr>
            <w:tcW w:w="406" w:type="pct"/>
            <w:tcBorders>
              <w:left w:val="single" w:sz="6" w:space="0" w:color="auto"/>
              <w:right w:val="single" w:sz="6" w:space="0" w:color="auto"/>
            </w:tcBorders>
            <w:shd w:val="clear" w:color="auto" w:fill="auto"/>
            <w:vAlign w:val="center"/>
          </w:tcPr>
          <w:p w14:paraId="00A96374" w14:textId="77777777" w:rsidR="00E57DAA" w:rsidRDefault="00AC4185">
            <w:pPr>
              <w:jc w:val="right"/>
              <w:rPr>
                <w:sz w:val="13"/>
                <w:szCs w:val="13"/>
              </w:rPr>
            </w:pPr>
            <w:r>
              <w:rPr>
                <w:sz w:val="13"/>
                <w:szCs w:val="13"/>
              </w:rPr>
              <w:t>172,271,550.16</w:t>
            </w:r>
          </w:p>
        </w:tc>
        <w:tc>
          <w:tcPr>
            <w:tcW w:w="411" w:type="pct"/>
            <w:tcBorders>
              <w:left w:val="single" w:sz="6" w:space="0" w:color="auto"/>
              <w:right w:val="single" w:sz="6" w:space="0" w:color="auto"/>
            </w:tcBorders>
            <w:shd w:val="clear" w:color="auto" w:fill="auto"/>
            <w:vAlign w:val="center"/>
          </w:tcPr>
          <w:p w14:paraId="7D591621" w14:textId="77777777" w:rsidR="00E57DAA" w:rsidRDefault="00AC4185">
            <w:pPr>
              <w:jc w:val="right"/>
              <w:rPr>
                <w:sz w:val="13"/>
                <w:szCs w:val="13"/>
              </w:rPr>
            </w:pPr>
            <w:r>
              <w:rPr>
                <w:sz w:val="13"/>
                <w:szCs w:val="13"/>
              </w:rPr>
              <w:t>141,874,290.01</w:t>
            </w:r>
          </w:p>
        </w:tc>
        <w:tc>
          <w:tcPr>
            <w:tcW w:w="409" w:type="pct"/>
            <w:tcBorders>
              <w:left w:val="single" w:sz="6" w:space="0" w:color="auto"/>
              <w:right w:val="single" w:sz="6" w:space="0" w:color="auto"/>
            </w:tcBorders>
            <w:shd w:val="clear" w:color="auto" w:fill="auto"/>
            <w:vAlign w:val="center"/>
          </w:tcPr>
          <w:p w14:paraId="5DB2EAA5" w14:textId="77777777" w:rsidR="00E57DAA" w:rsidRDefault="00AC4185">
            <w:pPr>
              <w:jc w:val="right"/>
              <w:rPr>
                <w:sz w:val="13"/>
                <w:szCs w:val="13"/>
              </w:rPr>
            </w:pPr>
            <w:r>
              <w:rPr>
                <w:sz w:val="13"/>
                <w:szCs w:val="13"/>
              </w:rPr>
              <w:t>209,258,652.57</w:t>
            </w:r>
          </w:p>
        </w:tc>
        <w:tc>
          <w:tcPr>
            <w:tcW w:w="429" w:type="pct"/>
            <w:tcBorders>
              <w:left w:val="single" w:sz="6" w:space="0" w:color="auto"/>
              <w:right w:val="single" w:sz="6" w:space="0" w:color="auto"/>
            </w:tcBorders>
            <w:shd w:val="clear" w:color="auto" w:fill="auto"/>
            <w:vAlign w:val="center"/>
          </w:tcPr>
          <w:p w14:paraId="33E0AEA8" w14:textId="77777777" w:rsidR="00E57DAA" w:rsidRDefault="00AC4185">
            <w:pPr>
              <w:jc w:val="right"/>
              <w:rPr>
                <w:sz w:val="13"/>
                <w:szCs w:val="13"/>
              </w:rPr>
            </w:pPr>
            <w:r>
              <w:rPr>
                <w:sz w:val="13"/>
                <w:szCs w:val="13"/>
              </w:rPr>
              <w:t>78,464,702.07</w:t>
            </w:r>
          </w:p>
        </w:tc>
        <w:tc>
          <w:tcPr>
            <w:tcW w:w="461" w:type="pct"/>
            <w:tcBorders>
              <w:left w:val="single" w:sz="6" w:space="0" w:color="auto"/>
              <w:right w:val="single" w:sz="6" w:space="0" w:color="auto"/>
            </w:tcBorders>
            <w:shd w:val="clear" w:color="auto" w:fill="auto"/>
            <w:vAlign w:val="center"/>
          </w:tcPr>
          <w:p w14:paraId="4D994064" w14:textId="77777777" w:rsidR="00E57DAA" w:rsidRDefault="00AC4185">
            <w:pPr>
              <w:jc w:val="right"/>
              <w:rPr>
                <w:sz w:val="13"/>
                <w:szCs w:val="13"/>
              </w:rPr>
            </w:pPr>
            <w:r>
              <w:rPr>
                <w:sz w:val="13"/>
                <w:szCs w:val="13"/>
              </w:rPr>
              <w:t>189,540,786.56</w:t>
            </w:r>
          </w:p>
        </w:tc>
        <w:tc>
          <w:tcPr>
            <w:tcW w:w="522" w:type="pct"/>
            <w:tcBorders>
              <w:left w:val="single" w:sz="6" w:space="0" w:color="auto"/>
              <w:right w:val="single" w:sz="6" w:space="0" w:color="auto"/>
            </w:tcBorders>
            <w:shd w:val="clear" w:color="auto" w:fill="auto"/>
            <w:vAlign w:val="center"/>
          </w:tcPr>
          <w:p w14:paraId="0B48229C" w14:textId="77777777" w:rsidR="00E57DAA" w:rsidRDefault="00AC4185">
            <w:pPr>
              <w:jc w:val="right"/>
              <w:rPr>
                <w:sz w:val="13"/>
                <w:szCs w:val="13"/>
              </w:rPr>
            </w:pPr>
            <w:r>
              <w:rPr>
                <w:sz w:val="13"/>
                <w:szCs w:val="13"/>
              </w:rPr>
              <w:t>3,050,926,816.75</w:t>
            </w:r>
          </w:p>
        </w:tc>
        <w:tc>
          <w:tcPr>
            <w:tcW w:w="410" w:type="pct"/>
            <w:tcBorders>
              <w:top w:val="single" w:sz="6" w:space="0" w:color="auto"/>
              <w:left w:val="single" w:sz="6" w:space="0" w:color="auto"/>
              <w:bottom w:val="single" w:sz="6" w:space="0" w:color="auto"/>
              <w:right w:val="single" w:sz="6" w:space="0" w:color="auto"/>
            </w:tcBorders>
            <w:vAlign w:val="center"/>
          </w:tcPr>
          <w:p w14:paraId="69646BD3" w14:textId="77777777" w:rsidR="00E57DAA" w:rsidRDefault="00AC4185">
            <w:pPr>
              <w:jc w:val="right"/>
              <w:rPr>
                <w:sz w:val="13"/>
                <w:szCs w:val="13"/>
              </w:rPr>
            </w:pPr>
            <w:r>
              <w:rPr>
                <w:sz w:val="13"/>
                <w:szCs w:val="13"/>
              </w:rPr>
              <w:t>112,976,053.54</w:t>
            </w:r>
          </w:p>
        </w:tc>
        <w:tc>
          <w:tcPr>
            <w:tcW w:w="410" w:type="pct"/>
            <w:tcBorders>
              <w:top w:val="single" w:sz="6" w:space="0" w:color="auto"/>
              <w:left w:val="single" w:sz="6" w:space="0" w:color="auto"/>
              <w:bottom w:val="single" w:sz="6" w:space="0" w:color="auto"/>
              <w:right w:val="single" w:sz="6" w:space="0" w:color="auto"/>
            </w:tcBorders>
            <w:vAlign w:val="center"/>
          </w:tcPr>
          <w:p w14:paraId="4C895D7C" w14:textId="77777777" w:rsidR="00E57DAA" w:rsidRDefault="00AC4185">
            <w:pPr>
              <w:jc w:val="right"/>
              <w:rPr>
                <w:sz w:val="13"/>
                <w:szCs w:val="13"/>
              </w:rPr>
            </w:pPr>
            <w:r>
              <w:rPr>
                <w:sz w:val="13"/>
                <w:szCs w:val="13"/>
              </w:rPr>
              <w:t>147,761,377.43</w:t>
            </w:r>
          </w:p>
        </w:tc>
        <w:tc>
          <w:tcPr>
            <w:tcW w:w="410" w:type="pct"/>
            <w:tcBorders>
              <w:top w:val="single" w:sz="6" w:space="0" w:color="auto"/>
              <w:left w:val="single" w:sz="6" w:space="0" w:color="auto"/>
              <w:bottom w:val="single" w:sz="6" w:space="0" w:color="auto"/>
              <w:right w:val="single" w:sz="6" w:space="0" w:color="auto"/>
            </w:tcBorders>
            <w:vAlign w:val="center"/>
          </w:tcPr>
          <w:p w14:paraId="4CD44419" w14:textId="77777777" w:rsidR="00E57DAA" w:rsidRDefault="00AC4185">
            <w:pPr>
              <w:jc w:val="right"/>
              <w:rPr>
                <w:sz w:val="13"/>
                <w:szCs w:val="13"/>
              </w:rPr>
            </w:pPr>
            <w:r>
              <w:rPr>
                <w:sz w:val="13"/>
                <w:szCs w:val="13"/>
              </w:rPr>
              <w:t>174,221,630.66</w:t>
            </w:r>
          </w:p>
        </w:tc>
        <w:tc>
          <w:tcPr>
            <w:tcW w:w="386" w:type="pct"/>
            <w:tcBorders>
              <w:top w:val="single" w:sz="6" w:space="0" w:color="auto"/>
              <w:left w:val="single" w:sz="6" w:space="0" w:color="auto"/>
              <w:bottom w:val="single" w:sz="6" w:space="0" w:color="auto"/>
              <w:right w:val="single" w:sz="6" w:space="0" w:color="auto"/>
            </w:tcBorders>
            <w:vAlign w:val="center"/>
          </w:tcPr>
          <w:p w14:paraId="06455C0F" w14:textId="77777777" w:rsidR="00E57DAA" w:rsidRDefault="00AC4185">
            <w:pPr>
              <w:jc w:val="right"/>
              <w:rPr>
                <w:sz w:val="13"/>
                <w:szCs w:val="13"/>
              </w:rPr>
            </w:pPr>
            <w:r>
              <w:rPr>
                <w:sz w:val="13"/>
                <w:szCs w:val="13"/>
              </w:rPr>
              <w:t>67,769,048.37</w:t>
            </w:r>
          </w:p>
        </w:tc>
        <w:tc>
          <w:tcPr>
            <w:tcW w:w="408" w:type="pct"/>
            <w:tcBorders>
              <w:top w:val="single" w:sz="6" w:space="0" w:color="auto"/>
              <w:left w:val="single" w:sz="6" w:space="0" w:color="auto"/>
              <w:bottom w:val="single" w:sz="6" w:space="0" w:color="auto"/>
              <w:right w:val="single" w:sz="6" w:space="0" w:color="auto"/>
            </w:tcBorders>
            <w:vAlign w:val="center"/>
          </w:tcPr>
          <w:p w14:paraId="2DE97149" w14:textId="77777777" w:rsidR="00E57DAA" w:rsidRDefault="00AC4185">
            <w:pPr>
              <w:jc w:val="right"/>
              <w:rPr>
                <w:sz w:val="13"/>
                <w:szCs w:val="13"/>
              </w:rPr>
            </w:pPr>
            <w:r>
              <w:rPr>
                <w:sz w:val="13"/>
                <w:szCs w:val="13"/>
              </w:rPr>
              <w:t>221,757,118.61</w:t>
            </w:r>
          </w:p>
        </w:tc>
      </w:tr>
      <w:tr w:rsidR="00E57DAA" w14:paraId="0F45000F" w14:textId="77777777">
        <w:tc>
          <w:tcPr>
            <w:tcW w:w="5000" w:type="pct"/>
            <w:gridSpan w:val="12"/>
            <w:tcBorders>
              <w:top w:val="single" w:sz="6" w:space="0" w:color="auto"/>
              <w:left w:val="single" w:sz="4" w:space="0" w:color="auto"/>
              <w:bottom w:val="single" w:sz="6" w:space="0" w:color="auto"/>
              <w:right w:val="single" w:sz="6" w:space="0" w:color="auto"/>
            </w:tcBorders>
            <w:shd w:val="clear" w:color="auto" w:fill="auto"/>
            <w:vAlign w:val="bottom"/>
          </w:tcPr>
          <w:p w14:paraId="2A5B652C" w14:textId="77777777" w:rsidR="00E57DAA" w:rsidRDefault="00E57DAA">
            <w:pPr>
              <w:jc w:val="right"/>
              <w:rPr>
                <w:sz w:val="13"/>
                <w:szCs w:val="13"/>
              </w:rPr>
            </w:pPr>
          </w:p>
        </w:tc>
      </w:tr>
      <w:tr w:rsidR="00E57DAA" w14:paraId="7A4D7851"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65200654" w14:textId="77777777" w:rsidR="00E57DAA" w:rsidRDefault="00AC4185">
            <w:pPr>
              <w:rPr>
                <w:rFonts w:cs="Arial"/>
                <w:color w:val="000000"/>
                <w:sz w:val="13"/>
                <w:szCs w:val="13"/>
              </w:rPr>
            </w:pPr>
            <w:r>
              <w:rPr>
                <w:rFonts w:cs="Arial" w:hint="eastAsia"/>
                <w:color w:val="000000"/>
                <w:sz w:val="13"/>
                <w:szCs w:val="13"/>
                <w:lang w:val="en-GB"/>
              </w:rPr>
              <w:t>流动负债</w:t>
            </w:r>
          </w:p>
        </w:tc>
        <w:tc>
          <w:tcPr>
            <w:tcW w:w="406" w:type="pct"/>
            <w:tcBorders>
              <w:left w:val="single" w:sz="6" w:space="0" w:color="auto"/>
              <w:right w:val="single" w:sz="6" w:space="0" w:color="auto"/>
            </w:tcBorders>
            <w:shd w:val="clear" w:color="auto" w:fill="auto"/>
            <w:vAlign w:val="center"/>
          </w:tcPr>
          <w:p w14:paraId="189FBE47" w14:textId="77777777" w:rsidR="00E57DAA" w:rsidRDefault="00AC4185">
            <w:pPr>
              <w:jc w:val="right"/>
              <w:rPr>
                <w:sz w:val="13"/>
                <w:szCs w:val="13"/>
              </w:rPr>
            </w:pPr>
            <w:r>
              <w:rPr>
                <w:sz w:val="13"/>
                <w:szCs w:val="13"/>
              </w:rPr>
              <w:t>104,425,858.31</w:t>
            </w:r>
          </w:p>
        </w:tc>
        <w:tc>
          <w:tcPr>
            <w:tcW w:w="411" w:type="pct"/>
            <w:tcBorders>
              <w:left w:val="single" w:sz="6" w:space="0" w:color="auto"/>
              <w:right w:val="single" w:sz="6" w:space="0" w:color="auto"/>
            </w:tcBorders>
            <w:shd w:val="clear" w:color="auto" w:fill="auto"/>
            <w:vAlign w:val="center"/>
          </w:tcPr>
          <w:p w14:paraId="435363A3" w14:textId="77777777" w:rsidR="00E57DAA" w:rsidRDefault="00AC4185">
            <w:pPr>
              <w:jc w:val="right"/>
              <w:rPr>
                <w:sz w:val="13"/>
                <w:szCs w:val="13"/>
              </w:rPr>
            </w:pPr>
            <w:r>
              <w:rPr>
                <w:sz w:val="13"/>
                <w:szCs w:val="13"/>
              </w:rPr>
              <w:t>135,704,647.64</w:t>
            </w:r>
          </w:p>
        </w:tc>
        <w:tc>
          <w:tcPr>
            <w:tcW w:w="409" w:type="pct"/>
            <w:tcBorders>
              <w:left w:val="single" w:sz="6" w:space="0" w:color="auto"/>
              <w:right w:val="single" w:sz="6" w:space="0" w:color="auto"/>
            </w:tcBorders>
            <w:shd w:val="clear" w:color="auto" w:fill="auto"/>
            <w:vAlign w:val="center"/>
          </w:tcPr>
          <w:p w14:paraId="712246BE" w14:textId="77777777" w:rsidR="00E57DAA" w:rsidRDefault="00AC4185">
            <w:pPr>
              <w:jc w:val="right"/>
              <w:rPr>
                <w:sz w:val="13"/>
                <w:szCs w:val="13"/>
              </w:rPr>
            </w:pPr>
            <w:r>
              <w:rPr>
                <w:sz w:val="13"/>
                <w:szCs w:val="13"/>
              </w:rPr>
              <w:t>52,763,341.24</w:t>
            </w:r>
          </w:p>
        </w:tc>
        <w:tc>
          <w:tcPr>
            <w:tcW w:w="429" w:type="pct"/>
            <w:tcBorders>
              <w:left w:val="single" w:sz="6" w:space="0" w:color="auto"/>
              <w:right w:val="single" w:sz="6" w:space="0" w:color="auto"/>
            </w:tcBorders>
            <w:shd w:val="clear" w:color="auto" w:fill="auto"/>
            <w:vAlign w:val="center"/>
          </w:tcPr>
          <w:p w14:paraId="4B00E1C1" w14:textId="77777777" w:rsidR="00E57DAA" w:rsidRDefault="00AC4185">
            <w:pPr>
              <w:jc w:val="right"/>
              <w:rPr>
                <w:sz w:val="13"/>
                <w:szCs w:val="13"/>
              </w:rPr>
            </w:pPr>
            <w:r>
              <w:rPr>
                <w:sz w:val="13"/>
                <w:szCs w:val="13"/>
              </w:rPr>
              <w:t>49,478,288.82</w:t>
            </w:r>
          </w:p>
        </w:tc>
        <w:tc>
          <w:tcPr>
            <w:tcW w:w="461" w:type="pct"/>
            <w:tcBorders>
              <w:left w:val="single" w:sz="6" w:space="0" w:color="auto"/>
              <w:right w:val="single" w:sz="6" w:space="0" w:color="auto"/>
            </w:tcBorders>
            <w:shd w:val="clear" w:color="auto" w:fill="auto"/>
            <w:vAlign w:val="center"/>
          </w:tcPr>
          <w:p w14:paraId="7BE19754" w14:textId="77777777" w:rsidR="00E57DAA" w:rsidRDefault="00AC4185">
            <w:pPr>
              <w:jc w:val="right"/>
              <w:rPr>
                <w:sz w:val="13"/>
                <w:szCs w:val="13"/>
              </w:rPr>
            </w:pPr>
            <w:r>
              <w:rPr>
                <w:sz w:val="13"/>
                <w:szCs w:val="13"/>
              </w:rPr>
              <w:t>10,825,531.99</w:t>
            </w:r>
          </w:p>
        </w:tc>
        <w:tc>
          <w:tcPr>
            <w:tcW w:w="522" w:type="pct"/>
            <w:tcBorders>
              <w:left w:val="single" w:sz="6" w:space="0" w:color="auto"/>
              <w:right w:val="single" w:sz="6" w:space="0" w:color="auto"/>
            </w:tcBorders>
            <w:shd w:val="clear" w:color="auto" w:fill="auto"/>
            <w:vAlign w:val="center"/>
          </w:tcPr>
          <w:p w14:paraId="18777923" w14:textId="77777777" w:rsidR="00E57DAA" w:rsidRDefault="00AC4185">
            <w:pPr>
              <w:jc w:val="right"/>
              <w:rPr>
                <w:sz w:val="13"/>
                <w:szCs w:val="13"/>
              </w:rPr>
            </w:pPr>
            <w:r>
              <w:rPr>
                <w:sz w:val="13"/>
                <w:szCs w:val="13"/>
              </w:rPr>
              <w:t>629,586,121.49</w:t>
            </w:r>
          </w:p>
        </w:tc>
        <w:tc>
          <w:tcPr>
            <w:tcW w:w="410" w:type="pct"/>
            <w:tcBorders>
              <w:top w:val="single" w:sz="6" w:space="0" w:color="auto"/>
              <w:left w:val="single" w:sz="6" w:space="0" w:color="auto"/>
              <w:bottom w:val="single" w:sz="6" w:space="0" w:color="auto"/>
              <w:right w:val="single" w:sz="6" w:space="0" w:color="auto"/>
            </w:tcBorders>
            <w:vAlign w:val="center"/>
          </w:tcPr>
          <w:p w14:paraId="3A6F04DD" w14:textId="77777777" w:rsidR="00E57DAA" w:rsidRDefault="00AC4185">
            <w:pPr>
              <w:jc w:val="right"/>
              <w:rPr>
                <w:sz w:val="13"/>
                <w:szCs w:val="13"/>
              </w:rPr>
            </w:pPr>
            <w:r>
              <w:rPr>
                <w:sz w:val="13"/>
                <w:szCs w:val="13"/>
              </w:rPr>
              <w:t>76,356,008.48</w:t>
            </w:r>
          </w:p>
        </w:tc>
        <w:tc>
          <w:tcPr>
            <w:tcW w:w="410" w:type="pct"/>
            <w:tcBorders>
              <w:top w:val="single" w:sz="6" w:space="0" w:color="auto"/>
              <w:left w:val="single" w:sz="6" w:space="0" w:color="auto"/>
              <w:bottom w:val="single" w:sz="6" w:space="0" w:color="auto"/>
              <w:right w:val="single" w:sz="6" w:space="0" w:color="auto"/>
            </w:tcBorders>
            <w:vAlign w:val="center"/>
          </w:tcPr>
          <w:p w14:paraId="501A6142" w14:textId="77777777" w:rsidR="00E57DAA" w:rsidRDefault="00AC4185">
            <w:pPr>
              <w:jc w:val="right"/>
              <w:rPr>
                <w:sz w:val="13"/>
                <w:szCs w:val="13"/>
              </w:rPr>
            </w:pPr>
            <w:r>
              <w:rPr>
                <w:sz w:val="13"/>
                <w:szCs w:val="13"/>
              </w:rPr>
              <w:t>149,256,008.01</w:t>
            </w:r>
          </w:p>
        </w:tc>
        <w:tc>
          <w:tcPr>
            <w:tcW w:w="410" w:type="pct"/>
            <w:tcBorders>
              <w:top w:val="single" w:sz="6" w:space="0" w:color="auto"/>
              <w:left w:val="single" w:sz="6" w:space="0" w:color="auto"/>
              <w:bottom w:val="single" w:sz="6" w:space="0" w:color="auto"/>
              <w:right w:val="single" w:sz="6" w:space="0" w:color="auto"/>
            </w:tcBorders>
            <w:vAlign w:val="center"/>
          </w:tcPr>
          <w:p w14:paraId="1F120C0D" w14:textId="77777777" w:rsidR="00E57DAA" w:rsidRDefault="00AC4185">
            <w:pPr>
              <w:jc w:val="right"/>
              <w:rPr>
                <w:sz w:val="13"/>
                <w:szCs w:val="13"/>
              </w:rPr>
            </w:pPr>
            <w:r>
              <w:rPr>
                <w:sz w:val="13"/>
                <w:szCs w:val="13"/>
              </w:rPr>
              <w:t>16,983,291.51</w:t>
            </w:r>
          </w:p>
        </w:tc>
        <w:tc>
          <w:tcPr>
            <w:tcW w:w="386" w:type="pct"/>
            <w:tcBorders>
              <w:top w:val="single" w:sz="6" w:space="0" w:color="auto"/>
              <w:left w:val="single" w:sz="6" w:space="0" w:color="auto"/>
              <w:bottom w:val="single" w:sz="6" w:space="0" w:color="auto"/>
              <w:right w:val="single" w:sz="6" w:space="0" w:color="auto"/>
            </w:tcBorders>
            <w:vAlign w:val="center"/>
          </w:tcPr>
          <w:p w14:paraId="126517DB" w14:textId="77777777" w:rsidR="00E57DAA" w:rsidRDefault="00AC4185">
            <w:pPr>
              <w:jc w:val="right"/>
              <w:rPr>
                <w:sz w:val="13"/>
                <w:szCs w:val="13"/>
              </w:rPr>
            </w:pPr>
            <w:r>
              <w:rPr>
                <w:sz w:val="13"/>
                <w:szCs w:val="13"/>
              </w:rPr>
              <w:t>39,232,781.71</w:t>
            </w:r>
          </w:p>
        </w:tc>
        <w:tc>
          <w:tcPr>
            <w:tcW w:w="408" w:type="pct"/>
            <w:tcBorders>
              <w:top w:val="single" w:sz="6" w:space="0" w:color="auto"/>
              <w:left w:val="single" w:sz="6" w:space="0" w:color="auto"/>
              <w:bottom w:val="single" w:sz="6" w:space="0" w:color="auto"/>
              <w:right w:val="single" w:sz="6" w:space="0" w:color="auto"/>
            </w:tcBorders>
            <w:vAlign w:val="center"/>
          </w:tcPr>
          <w:p w14:paraId="4B50EAD3" w14:textId="77777777" w:rsidR="00E57DAA" w:rsidRDefault="00AC4185">
            <w:pPr>
              <w:jc w:val="right"/>
              <w:rPr>
                <w:sz w:val="13"/>
                <w:szCs w:val="13"/>
              </w:rPr>
            </w:pPr>
            <w:r>
              <w:rPr>
                <w:sz w:val="13"/>
                <w:szCs w:val="13"/>
              </w:rPr>
              <w:t>27,674,928.27</w:t>
            </w:r>
          </w:p>
        </w:tc>
      </w:tr>
      <w:tr w:rsidR="00E57DAA" w14:paraId="707CA5FF"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090DA933" w14:textId="77777777" w:rsidR="00E57DAA" w:rsidRDefault="00AC4185">
            <w:pPr>
              <w:rPr>
                <w:rFonts w:cs="Arial"/>
                <w:color w:val="000000"/>
                <w:sz w:val="13"/>
                <w:szCs w:val="13"/>
              </w:rPr>
            </w:pPr>
            <w:r>
              <w:rPr>
                <w:rFonts w:cs="Arial" w:hint="eastAsia"/>
                <w:color w:val="000000"/>
                <w:sz w:val="13"/>
                <w:szCs w:val="13"/>
                <w:lang w:val="en-GB"/>
              </w:rPr>
              <w:t>非流动负债</w:t>
            </w:r>
          </w:p>
        </w:tc>
        <w:tc>
          <w:tcPr>
            <w:tcW w:w="406" w:type="pct"/>
            <w:tcBorders>
              <w:left w:val="single" w:sz="6" w:space="0" w:color="auto"/>
              <w:right w:val="single" w:sz="6" w:space="0" w:color="auto"/>
            </w:tcBorders>
            <w:shd w:val="clear" w:color="auto" w:fill="auto"/>
            <w:vAlign w:val="center"/>
          </w:tcPr>
          <w:p w14:paraId="6C20C10C" w14:textId="77777777" w:rsidR="00E57DAA" w:rsidRDefault="00AC4185">
            <w:pPr>
              <w:jc w:val="right"/>
              <w:rPr>
                <w:sz w:val="13"/>
                <w:szCs w:val="13"/>
              </w:rPr>
            </w:pPr>
            <w:r>
              <w:rPr>
                <w:sz w:val="13"/>
                <w:szCs w:val="13"/>
              </w:rPr>
              <w:t>654,520.55</w:t>
            </w:r>
          </w:p>
        </w:tc>
        <w:tc>
          <w:tcPr>
            <w:tcW w:w="411" w:type="pct"/>
            <w:tcBorders>
              <w:left w:val="single" w:sz="6" w:space="0" w:color="auto"/>
              <w:right w:val="single" w:sz="6" w:space="0" w:color="auto"/>
            </w:tcBorders>
            <w:shd w:val="clear" w:color="auto" w:fill="auto"/>
            <w:vAlign w:val="center"/>
          </w:tcPr>
          <w:p w14:paraId="3F9ADA0D" w14:textId="77777777" w:rsidR="00E57DAA" w:rsidRDefault="00AC4185">
            <w:pPr>
              <w:jc w:val="right"/>
              <w:rPr>
                <w:sz w:val="13"/>
                <w:szCs w:val="13"/>
              </w:rPr>
            </w:pPr>
            <w:r>
              <w:rPr>
                <w:sz w:val="13"/>
                <w:szCs w:val="13"/>
              </w:rPr>
              <w:t>3,770,917.50</w:t>
            </w:r>
          </w:p>
        </w:tc>
        <w:tc>
          <w:tcPr>
            <w:tcW w:w="409" w:type="pct"/>
            <w:tcBorders>
              <w:left w:val="single" w:sz="6" w:space="0" w:color="auto"/>
              <w:right w:val="single" w:sz="6" w:space="0" w:color="auto"/>
            </w:tcBorders>
            <w:shd w:val="clear" w:color="auto" w:fill="auto"/>
            <w:vAlign w:val="center"/>
          </w:tcPr>
          <w:p w14:paraId="32AC05C2" w14:textId="77777777" w:rsidR="00E57DAA" w:rsidRDefault="00AC4185">
            <w:pPr>
              <w:jc w:val="right"/>
              <w:rPr>
                <w:sz w:val="13"/>
                <w:szCs w:val="13"/>
              </w:rPr>
            </w:pPr>
            <w:r>
              <w:rPr>
                <w:sz w:val="13"/>
                <w:szCs w:val="13"/>
              </w:rPr>
              <w:t>33,826,686.08</w:t>
            </w:r>
          </w:p>
        </w:tc>
        <w:tc>
          <w:tcPr>
            <w:tcW w:w="429" w:type="pct"/>
            <w:tcBorders>
              <w:left w:val="single" w:sz="6" w:space="0" w:color="auto"/>
              <w:right w:val="single" w:sz="6" w:space="0" w:color="auto"/>
            </w:tcBorders>
            <w:shd w:val="clear" w:color="auto" w:fill="auto"/>
            <w:vAlign w:val="center"/>
          </w:tcPr>
          <w:p w14:paraId="0C659F93"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vAlign w:val="center"/>
          </w:tcPr>
          <w:p w14:paraId="31A77171"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vAlign w:val="center"/>
          </w:tcPr>
          <w:p w14:paraId="7FB7C7E0"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487BD5AF" w14:textId="77777777" w:rsidR="00E57DAA" w:rsidRDefault="00AC4185">
            <w:pPr>
              <w:jc w:val="right"/>
              <w:rPr>
                <w:sz w:val="13"/>
                <w:szCs w:val="13"/>
              </w:rPr>
            </w:pPr>
            <w:r>
              <w:rPr>
                <w:sz w:val="13"/>
                <w:szCs w:val="13"/>
              </w:rPr>
              <w:t>248,902.25</w:t>
            </w:r>
          </w:p>
        </w:tc>
        <w:tc>
          <w:tcPr>
            <w:tcW w:w="410" w:type="pct"/>
            <w:tcBorders>
              <w:top w:val="single" w:sz="6" w:space="0" w:color="auto"/>
              <w:left w:val="single" w:sz="6" w:space="0" w:color="auto"/>
              <w:bottom w:val="single" w:sz="6" w:space="0" w:color="auto"/>
              <w:right w:val="single" w:sz="6" w:space="0" w:color="auto"/>
            </w:tcBorders>
            <w:vAlign w:val="center"/>
          </w:tcPr>
          <w:p w14:paraId="51C17769" w14:textId="77777777" w:rsidR="00E57DAA" w:rsidRDefault="00AC4185">
            <w:pPr>
              <w:jc w:val="right"/>
              <w:rPr>
                <w:sz w:val="13"/>
                <w:szCs w:val="13"/>
              </w:rPr>
            </w:pPr>
            <w:r>
              <w:rPr>
                <w:sz w:val="13"/>
                <w:szCs w:val="13"/>
              </w:rPr>
              <w:t>4,014,202.50</w:t>
            </w:r>
          </w:p>
        </w:tc>
        <w:tc>
          <w:tcPr>
            <w:tcW w:w="410" w:type="pct"/>
            <w:tcBorders>
              <w:top w:val="single" w:sz="6" w:space="0" w:color="auto"/>
              <w:left w:val="single" w:sz="6" w:space="0" w:color="auto"/>
              <w:bottom w:val="single" w:sz="6" w:space="0" w:color="auto"/>
              <w:right w:val="single" w:sz="6" w:space="0" w:color="auto"/>
            </w:tcBorders>
            <w:vAlign w:val="center"/>
          </w:tcPr>
          <w:p w14:paraId="060ED303" w14:textId="77777777" w:rsidR="00E57DAA" w:rsidRDefault="00AC4185">
            <w:pPr>
              <w:jc w:val="right"/>
              <w:rPr>
                <w:sz w:val="13"/>
                <w:szCs w:val="13"/>
              </w:rPr>
            </w:pPr>
            <w:r>
              <w:rPr>
                <w:sz w:val="13"/>
                <w:szCs w:val="13"/>
              </w:rPr>
              <w:t>37,098,704.00</w:t>
            </w:r>
          </w:p>
        </w:tc>
        <w:tc>
          <w:tcPr>
            <w:tcW w:w="386" w:type="pct"/>
            <w:tcBorders>
              <w:top w:val="single" w:sz="6" w:space="0" w:color="auto"/>
              <w:left w:val="single" w:sz="6" w:space="0" w:color="auto"/>
              <w:bottom w:val="single" w:sz="6" w:space="0" w:color="auto"/>
              <w:right w:val="single" w:sz="6" w:space="0" w:color="auto"/>
            </w:tcBorders>
            <w:vAlign w:val="center"/>
          </w:tcPr>
          <w:p w14:paraId="01C1C1BB"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vAlign w:val="center"/>
          </w:tcPr>
          <w:p w14:paraId="0131D9C9" w14:textId="77777777" w:rsidR="00E57DAA" w:rsidRDefault="00E57DAA">
            <w:pPr>
              <w:jc w:val="right"/>
              <w:rPr>
                <w:sz w:val="13"/>
                <w:szCs w:val="13"/>
              </w:rPr>
            </w:pPr>
          </w:p>
        </w:tc>
      </w:tr>
      <w:tr w:rsidR="00E57DAA" w14:paraId="35C4FDFA"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78F91E64" w14:textId="77777777" w:rsidR="00E57DAA" w:rsidRDefault="00AC4185">
            <w:pPr>
              <w:rPr>
                <w:rFonts w:cs="Arial"/>
                <w:color w:val="000000"/>
                <w:sz w:val="13"/>
                <w:szCs w:val="13"/>
              </w:rPr>
            </w:pPr>
            <w:r>
              <w:rPr>
                <w:rFonts w:cs="Arial" w:hint="eastAsia"/>
                <w:color w:val="000000"/>
                <w:sz w:val="13"/>
                <w:szCs w:val="13"/>
                <w:lang w:val="en-GB"/>
              </w:rPr>
              <w:t>负债合计</w:t>
            </w:r>
          </w:p>
        </w:tc>
        <w:tc>
          <w:tcPr>
            <w:tcW w:w="406" w:type="pct"/>
            <w:tcBorders>
              <w:left w:val="single" w:sz="6" w:space="0" w:color="auto"/>
              <w:right w:val="single" w:sz="6" w:space="0" w:color="auto"/>
            </w:tcBorders>
            <w:shd w:val="clear" w:color="auto" w:fill="auto"/>
            <w:vAlign w:val="center"/>
          </w:tcPr>
          <w:p w14:paraId="080FCB9B" w14:textId="77777777" w:rsidR="00E57DAA" w:rsidRDefault="00AC4185">
            <w:pPr>
              <w:jc w:val="right"/>
              <w:rPr>
                <w:sz w:val="13"/>
                <w:szCs w:val="13"/>
              </w:rPr>
            </w:pPr>
            <w:r>
              <w:rPr>
                <w:sz w:val="13"/>
                <w:szCs w:val="13"/>
              </w:rPr>
              <w:t>105,080,378.86</w:t>
            </w:r>
          </w:p>
        </w:tc>
        <w:tc>
          <w:tcPr>
            <w:tcW w:w="411" w:type="pct"/>
            <w:tcBorders>
              <w:left w:val="single" w:sz="6" w:space="0" w:color="auto"/>
              <w:right w:val="single" w:sz="6" w:space="0" w:color="auto"/>
            </w:tcBorders>
            <w:shd w:val="clear" w:color="auto" w:fill="auto"/>
            <w:vAlign w:val="center"/>
          </w:tcPr>
          <w:p w14:paraId="6102B4BA" w14:textId="77777777" w:rsidR="00E57DAA" w:rsidRDefault="00AC4185">
            <w:pPr>
              <w:jc w:val="right"/>
              <w:rPr>
                <w:sz w:val="13"/>
                <w:szCs w:val="13"/>
              </w:rPr>
            </w:pPr>
            <w:r>
              <w:rPr>
                <w:sz w:val="13"/>
                <w:szCs w:val="13"/>
              </w:rPr>
              <w:t>139,475,565.14</w:t>
            </w:r>
          </w:p>
        </w:tc>
        <w:tc>
          <w:tcPr>
            <w:tcW w:w="409" w:type="pct"/>
            <w:tcBorders>
              <w:left w:val="single" w:sz="6" w:space="0" w:color="auto"/>
              <w:right w:val="single" w:sz="6" w:space="0" w:color="auto"/>
            </w:tcBorders>
            <w:shd w:val="clear" w:color="auto" w:fill="auto"/>
            <w:vAlign w:val="center"/>
          </w:tcPr>
          <w:p w14:paraId="3FDC1EFC" w14:textId="77777777" w:rsidR="00E57DAA" w:rsidRDefault="00AC4185">
            <w:pPr>
              <w:jc w:val="right"/>
              <w:rPr>
                <w:sz w:val="13"/>
                <w:szCs w:val="13"/>
              </w:rPr>
            </w:pPr>
            <w:r>
              <w:rPr>
                <w:sz w:val="13"/>
                <w:szCs w:val="13"/>
              </w:rPr>
              <w:t>86,590,027.32</w:t>
            </w:r>
          </w:p>
        </w:tc>
        <w:tc>
          <w:tcPr>
            <w:tcW w:w="429" w:type="pct"/>
            <w:tcBorders>
              <w:left w:val="single" w:sz="6" w:space="0" w:color="auto"/>
              <w:right w:val="single" w:sz="6" w:space="0" w:color="auto"/>
            </w:tcBorders>
            <w:shd w:val="clear" w:color="auto" w:fill="auto"/>
            <w:vAlign w:val="center"/>
          </w:tcPr>
          <w:p w14:paraId="7A9D7419" w14:textId="77777777" w:rsidR="00E57DAA" w:rsidRDefault="00AC4185">
            <w:pPr>
              <w:jc w:val="right"/>
              <w:rPr>
                <w:sz w:val="13"/>
                <w:szCs w:val="13"/>
              </w:rPr>
            </w:pPr>
            <w:r>
              <w:rPr>
                <w:sz w:val="13"/>
                <w:szCs w:val="13"/>
              </w:rPr>
              <w:t>49,478,288.82</w:t>
            </w:r>
          </w:p>
        </w:tc>
        <w:tc>
          <w:tcPr>
            <w:tcW w:w="461" w:type="pct"/>
            <w:tcBorders>
              <w:left w:val="single" w:sz="6" w:space="0" w:color="auto"/>
              <w:right w:val="single" w:sz="6" w:space="0" w:color="auto"/>
            </w:tcBorders>
            <w:shd w:val="clear" w:color="auto" w:fill="auto"/>
            <w:vAlign w:val="center"/>
          </w:tcPr>
          <w:p w14:paraId="057BD906" w14:textId="77777777" w:rsidR="00E57DAA" w:rsidRDefault="00AC4185">
            <w:pPr>
              <w:jc w:val="right"/>
              <w:rPr>
                <w:sz w:val="13"/>
                <w:szCs w:val="13"/>
              </w:rPr>
            </w:pPr>
            <w:r>
              <w:rPr>
                <w:sz w:val="13"/>
                <w:szCs w:val="13"/>
              </w:rPr>
              <w:t>10,825,531.99</w:t>
            </w:r>
          </w:p>
        </w:tc>
        <w:tc>
          <w:tcPr>
            <w:tcW w:w="522" w:type="pct"/>
            <w:tcBorders>
              <w:left w:val="single" w:sz="6" w:space="0" w:color="auto"/>
              <w:right w:val="single" w:sz="6" w:space="0" w:color="auto"/>
            </w:tcBorders>
            <w:shd w:val="clear" w:color="auto" w:fill="auto"/>
            <w:vAlign w:val="center"/>
          </w:tcPr>
          <w:p w14:paraId="7B416B0E" w14:textId="77777777" w:rsidR="00E57DAA" w:rsidRDefault="00AC4185">
            <w:pPr>
              <w:jc w:val="right"/>
              <w:rPr>
                <w:sz w:val="13"/>
                <w:szCs w:val="13"/>
              </w:rPr>
            </w:pPr>
            <w:r>
              <w:rPr>
                <w:sz w:val="13"/>
                <w:szCs w:val="13"/>
              </w:rPr>
              <w:t>629,586,121.49</w:t>
            </w:r>
          </w:p>
        </w:tc>
        <w:tc>
          <w:tcPr>
            <w:tcW w:w="410" w:type="pct"/>
            <w:tcBorders>
              <w:top w:val="single" w:sz="6" w:space="0" w:color="auto"/>
              <w:left w:val="single" w:sz="6" w:space="0" w:color="auto"/>
              <w:bottom w:val="single" w:sz="6" w:space="0" w:color="auto"/>
              <w:right w:val="single" w:sz="6" w:space="0" w:color="auto"/>
            </w:tcBorders>
            <w:vAlign w:val="center"/>
          </w:tcPr>
          <w:p w14:paraId="17B4FAEA" w14:textId="77777777" w:rsidR="00E57DAA" w:rsidRDefault="00AC4185">
            <w:pPr>
              <w:jc w:val="right"/>
              <w:rPr>
                <w:sz w:val="13"/>
                <w:szCs w:val="13"/>
              </w:rPr>
            </w:pPr>
            <w:r>
              <w:rPr>
                <w:sz w:val="13"/>
                <w:szCs w:val="13"/>
              </w:rPr>
              <w:t>76,604,910.73</w:t>
            </w:r>
          </w:p>
        </w:tc>
        <w:tc>
          <w:tcPr>
            <w:tcW w:w="410" w:type="pct"/>
            <w:tcBorders>
              <w:top w:val="single" w:sz="6" w:space="0" w:color="auto"/>
              <w:left w:val="single" w:sz="6" w:space="0" w:color="auto"/>
              <w:bottom w:val="single" w:sz="6" w:space="0" w:color="auto"/>
              <w:right w:val="single" w:sz="6" w:space="0" w:color="auto"/>
            </w:tcBorders>
            <w:vAlign w:val="center"/>
          </w:tcPr>
          <w:p w14:paraId="150A9C2E" w14:textId="77777777" w:rsidR="00E57DAA" w:rsidRDefault="00AC4185">
            <w:pPr>
              <w:jc w:val="right"/>
              <w:rPr>
                <w:sz w:val="13"/>
                <w:szCs w:val="13"/>
              </w:rPr>
            </w:pPr>
            <w:r>
              <w:rPr>
                <w:sz w:val="13"/>
                <w:szCs w:val="13"/>
              </w:rPr>
              <w:t>153,270,210.51</w:t>
            </w:r>
          </w:p>
        </w:tc>
        <w:tc>
          <w:tcPr>
            <w:tcW w:w="410" w:type="pct"/>
            <w:tcBorders>
              <w:top w:val="single" w:sz="6" w:space="0" w:color="auto"/>
              <w:left w:val="single" w:sz="6" w:space="0" w:color="auto"/>
              <w:bottom w:val="single" w:sz="6" w:space="0" w:color="auto"/>
              <w:right w:val="single" w:sz="6" w:space="0" w:color="auto"/>
            </w:tcBorders>
            <w:vAlign w:val="center"/>
          </w:tcPr>
          <w:p w14:paraId="53165AE4" w14:textId="77777777" w:rsidR="00E57DAA" w:rsidRDefault="00AC4185">
            <w:pPr>
              <w:jc w:val="right"/>
              <w:rPr>
                <w:sz w:val="13"/>
                <w:szCs w:val="13"/>
              </w:rPr>
            </w:pPr>
            <w:r>
              <w:rPr>
                <w:sz w:val="13"/>
                <w:szCs w:val="13"/>
              </w:rPr>
              <w:t>54,081,995.51</w:t>
            </w:r>
          </w:p>
        </w:tc>
        <w:tc>
          <w:tcPr>
            <w:tcW w:w="386" w:type="pct"/>
            <w:tcBorders>
              <w:top w:val="single" w:sz="6" w:space="0" w:color="auto"/>
              <w:left w:val="single" w:sz="6" w:space="0" w:color="auto"/>
              <w:bottom w:val="single" w:sz="6" w:space="0" w:color="auto"/>
              <w:right w:val="single" w:sz="6" w:space="0" w:color="auto"/>
            </w:tcBorders>
            <w:vAlign w:val="center"/>
          </w:tcPr>
          <w:p w14:paraId="1BA9AFED" w14:textId="77777777" w:rsidR="00E57DAA" w:rsidRDefault="00AC4185">
            <w:pPr>
              <w:jc w:val="right"/>
              <w:rPr>
                <w:sz w:val="13"/>
                <w:szCs w:val="13"/>
              </w:rPr>
            </w:pPr>
            <w:r>
              <w:rPr>
                <w:sz w:val="13"/>
                <w:szCs w:val="13"/>
              </w:rPr>
              <w:t>39,232,781.71</w:t>
            </w:r>
          </w:p>
        </w:tc>
        <w:tc>
          <w:tcPr>
            <w:tcW w:w="408" w:type="pct"/>
            <w:tcBorders>
              <w:top w:val="single" w:sz="6" w:space="0" w:color="auto"/>
              <w:left w:val="single" w:sz="6" w:space="0" w:color="auto"/>
              <w:bottom w:val="single" w:sz="6" w:space="0" w:color="auto"/>
              <w:right w:val="single" w:sz="6" w:space="0" w:color="auto"/>
            </w:tcBorders>
            <w:vAlign w:val="center"/>
          </w:tcPr>
          <w:p w14:paraId="57CEDB6E" w14:textId="77777777" w:rsidR="00E57DAA" w:rsidRDefault="00AC4185">
            <w:pPr>
              <w:jc w:val="right"/>
              <w:rPr>
                <w:sz w:val="13"/>
                <w:szCs w:val="13"/>
              </w:rPr>
            </w:pPr>
            <w:r>
              <w:rPr>
                <w:sz w:val="13"/>
                <w:szCs w:val="13"/>
              </w:rPr>
              <w:t>27,674,928.27</w:t>
            </w:r>
          </w:p>
        </w:tc>
      </w:tr>
      <w:tr w:rsidR="00E57DAA" w14:paraId="5CB58618" w14:textId="77777777">
        <w:tc>
          <w:tcPr>
            <w:tcW w:w="5000" w:type="pct"/>
            <w:gridSpan w:val="12"/>
            <w:tcBorders>
              <w:top w:val="single" w:sz="6" w:space="0" w:color="auto"/>
              <w:left w:val="single" w:sz="4" w:space="0" w:color="auto"/>
              <w:bottom w:val="single" w:sz="6" w:space="0" w:color="auto"/>
              <w:right w:val="single" w:sz="6" w:space="0" w:color="auto"/>
            </w:tcBorders>
            <w:shd w:val="clear" w:color="auto" w:fill="auto"/>
            <w:vAlign w:val="bottom"/>
          </w:tcPr>
          <w:p w14:paraId="615032B0" w14:textId="77777777" w:rsidR="00E57DAA" w:rsidRDefault="00E57DAA">
            <w:pPr>
              <w:jc w:val="right"/>
              <w:rPr>
                <w:sz w:val="13"/>
                <w:szCs w:val="13"/>
              </w:rPr>
            </w:pPr>
          </w:p>
        </w:tc>
      </w:tr>
      <w:tr w:rsidR="00E57DAA" w14:paraId="342A5784"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3AE61FBC" w14:textId="77777777" w:rsidR="00E57DAA" w:rsidRDefault="00AC4185">
            <w:pPr>
              <w:rPr>
                <w:rFonts w:cs="Arial"/>
                <w:color w:val="000000"/>
                <w:sz w:val="13"/>
                <w:szCs w:val="13"/>
              </w:rPr>
            </w:pPr>
            <w:r>
              <w:rPr>
                <w:rFonts w:cs="Arial" w:hint="eastAsia"/>
                <w:color w:val="000000"/>
                <w:sz w:val="13"/>
                <w:szCs w:val="13"/>
                <w:lang w:val="en-GB"/>
              </w:rPr>
              <w:t>少数股东权益</w:t>
            </w:r>
          </w:p>
        </w:tc>
        <w:tc>
          <w:tcPr>
            <w:tcW w:w="406" w:type="pct"/>
            <w:tcBorders>
              <w:left w:val="single" w:sz="6" w:space="0" w:color="auto"/>
              <w:right w:val="single" w:sz="6" w:space="0" w:color="auto"/>
            </w:tcBorders>
            <w:shd w:val="clear" w:color="auto" w:fill="auto"/>
          </w:tcPr>
          <w:p w14:paraId="295C410C"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tcPr>
          <w:p w14:paraId="5338235A"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tcPr>
          <w:p w14:paraId="2BB1242A"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tcPr>
          <w:p w14:paraId="45C52B63"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tcPr>
          <w:p w14:paraId="381E3D6C"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vAlign w:val="center"/>
          </w:tcPr>
          <w:p w14:paraId="7B272482" w14:textId="77777777" w:rsidR="00E57DAA" w:rsidRDefault="00AC4185">
            <w:pPr>
              <w:jc w:val="right"/>
              <w:rPr>
                <w:sz w:val="13"/>
                <w:szCs w:val="13"/>
              </w:rPr>
            </w:pPr>
            <w:r>
              <w:rPr>
                <w:sz w:val="13"/>
                <w:szCs w:val="13"/>
              </w:rPr>
              <w:t>73,860,943.19</w:t>
            </w:r>
          </w:p>
        </w:tc>
        <w:tc>
          <w:tcPr>
            <w:tcW w:w="410" w:type="pct"/>
            <w:tcBorders>
              <w:top w:val="single" w:sz="6" w:space="0" w:color="auto"/>
              <w:left w:val="single" w:sz="6" w:space="0" w:color="auto"/>
              <w:bottom w:val="single" w:sz="6" w:space="0" w:color="auto"/>
              <w:right w:val="single" w:sz="6" w:space="0" w:color="auto"/>
            </w:tcBorders>
          </w:tcPr>
          <w:p w14:paraId="27B08BFC"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tcPr>
          <w:p w14:paraId="3AF706A8"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tcPr>
          <w:p w14:paraId="31C73924"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tcPr>
          <w:p w14:paraId="42E7F950"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tcPr>
          <w:p w14:paraId="585446BB" w14:textId="77777777" w:rsidR="00E57DAA" w:rsidRDefault="00E57DAA">
            <w:pPr>
              <w:jc w:val="right"/>
              <w:rPr>
                <w:sz w:val="13"/>
                <w:szCs w:val="13"/>
              </w:rPr>
            </w:pPr>
          </w:p>
        </w:tc>
      </w:tr>
      <w:tr w:rsidR="00E57DAA" w14:paraId="0453A526"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76C25CA" w14:textId="77777777" w:rsidR="00E57DAA" w:rsidRDefault="00AC4185">
            <w:pPr>
              <w:rPr>
                <w:rFonts w:cs="Arial"/>
                <w:color w:val="000000"/>
                <w:sz w:val="13"/>
                <w:szCs w:val="13"/>
              </w:rPr>
            </w:pPr>
            <w:r>
              <w:rPr>
                <w:rFonts w:cs="Arial" w:hint="eastAsia"/>
                <w:color w:val="000000"/>
                <w:sz w:val="13"/>
                <w:szCs w:val="13"/>
                <w:lang w:val="en-GB"/>
              </w:rPr>
              <w:t>归属于母公司股东权益</w:t>
            </w:r>
          </w:p>
        </w:tc>
        <w:tc>
          <w:tcPr>
            <w:tcW w:w="406" w:type="pct"/>
            <w:tcBorders>
              <w:left w:val="single" w:sz="6" w:space="0" w:color="auto"/>
              <w:right w:val="single" w:sz="6" w:space="0" w:color="auto"/>
            </w:tcBorders>
            <w:shd w:val="clear" w:color="auto" w:fill="auto"/>
            <w:vAlign w:val="center"/>
          </w:tcPr>
          <w:p w14:paraId="6AF2911E" w14:textId="77777777" w:rsidR="00E57DAA" w:rsidRDefault="00AC4185">
            <w:pPr>
              <w:jc w:val="right"/>
              <w:rPr>
                <w:sz w:val="13"/>
                <w:szCs w:val="13"/>
              </w:rPr>
            </w:pPr>
            <w:r>
              <w:rPr>
                <w:sz w:val="13"/>
                <w:szCs w:val="13"/>
              </w:rPr>
              <w:t>67,191,171.30</w:t>
            </w:r>
          </w:p>
        </w:tc>
        <w:tc>
          <w:tcPr>
            <w:tcW w:w="411" w:type="pct"/>
            <w:tcBorders>
              <w:left w:val="single" w:sz="6" w:space="0" w:color="auto"/>
              <w:right w:val="single" w:sz="6" w:space="0" w:color="auto"/>
            </w:tcBorders>
            <w:shd w:val="clear" w:color="auto" w:fill="auto"/>
            <w:vAlign w:val="center"/>
          </w:tcPr>
          <w:p w14:paraId="76B62AD3" w14:textId="77777777" w:rsidR="00E57DAA" w:rsidRDefault="00AC4185">
            <w:pPr>
              <w:jc w:val="right"/>
              <w:rPr>
                <w:sz w:val="13"/>
                <w:szCs w:val="13"/>
              </w:rPr>
            </w:pPr>
            <w:r>
              <w:rPr>
                <w:sz w:val="13"/>
                <w:szCs w:val="13"/>
              </w:rPr>
              <w:t>2,398,724.87</w:t>
            </w:r>
          </w:p>
        </w:tc>
        <w:tc>
          <w:tcPr>
            <w:tcW w:w="409" w:type="pct"/>
            <w:tcBorders>
              <w:left w:val="single" w:sz="6" w:space="0" w:color="auto"/>
              <w:right w:val="single" w:sz="6" w:space="0" w:color="auto"/>
            </w:tcBorders>
            <w:shd w:val="clear" w:color="auto" w:fill="auto"/>
            <w:vAlign w:val="center"/>
          </w:tcPr>
          <w:p w14:paraId="4595D577" w14:textId="77777777" w:rsidR="00E57DAA" w:rsidRDefault="00AC4185">
            <w:pPr>
              <w:jc w:val="right"/>
              <w:rPr>
                <w:sz w:val="13"/>
                <w:szCs w:val="13"/>
              </w:rPr>
            </w:pPr>
            <w:r>
              <w:rPr>
                <w:sz w:val="13"/>
                <w:szCs w:val="13"/>
              </w:rPr>
              <w:t>122,668,625.25</w:t>
            </w:r>
          </w:p>
        </w:tc>
        <w:tc>
          <w:tcPr>
            <w:tcW w:w="429" w:type="pct"/>
            <w:tcBorders>
              <w:left w:val="single" w:sz="6" w:space="0" w:color="auto"/>
              <w:right w:val="single" w:sz="6" w:space="0" w:color="auto"/>
            </w:tcBorders>
            <w:shd w:val="clear" w:color="auto" w:fill="auto"/>
            <w:vAlign w:val="center"/>
          </w:tcPr>
          <w:p w14:paraId="202B16F7" w14:textId="77777777" w:rsidR="00E57DAA" w:rsidRDefault="00AC4185">
            <w:pPr>
              <w:jc w:val="right"/>
              <w:rPr>
                <w:sz w:val="13"/>
                <w:szCs w:val="13"/>
                <w:highlight w:val="yellow"/>
              </w:rPr>
            </w:pPr>
            <w:r>
              <w:rPr>
                <w:sz w:val="13"/>
                <w:szCs w:val="13"/>
              </w:rPr>
              <w:t>28,986,413.25</w:t>
            </w:r>
          </w:p>
        </w:tc>
        <w:tc>
          <w:tcPr>
            <w:tcW w:w="461" w:type="pct"/>
            <w:tcBorders>
              <w:left w:val="single" w:sz="6" w:space="0" w:color="auto"/>
              <w:right w:val="single" w:sz="6" w:space="0" w:color="auto"/>
            </w:tcBorders>
            <w:shd w:val="clear" w:color="auto" w:fill="auto"/>
            <w:vAlign w:val="center"/>
          </w:tcPr>
          <w:p w14:paraId="301CC850" w14:textId="77777777" w:rsidR="00E57DAA" w:rsidRDefault="00AC4185">
            <w:pPr>
              <w:jc w:val="right"/>
              <w:rPr>
                <w:sz w:val="13"/>
                <w:szCs w:val="13"/>
                <w:highlight w:val="yellow"/>
              </w:rPr>
            </w:pPr>
            <w:r>
              <w:rPr>
                <w:sz w:val="13"/>
                <w:szCs w:val="13"/>
              </w:rPr>
              <w:t>178,715,254.57</w:t>
            </w:r>
          </w:p>
        </w:tc>
        <w:tc>
          <w:tcPr>
            <w:tcW w:w="522" w:type="pct"/>
            <w:tcBorders>
              <w:left w:val="single" w:sz="6" w:space="0" w:color="auto"/>
              <w:right w:val="single" w:sz="6" w:space="0" w:color="auto"/>
            </w:tcBorders>
            <w:shd w:val="clear" w:color="auto" w:fill="auto"/>
            <w:vAlign w:val="center"/>
          </w:tcPr>
          <w:p w14:paraId="5B3D82F2" w14:textId="77777777" w:rsidR="00E57DAA" w:rsidRDefault="00AC4185">
            <w:pPr>
              <w:jc w:val="right"/>
              <w:rPr>
                <w:sz w:val="13"/>
                <w:szCs w:val="13"/>
                <w:highlight w:val="yellow"/>
              </w:rPr>
            </w:pPr>
            <w:r>
              <w:rPr>
                <w:sz w:val="13"/>
                <w:szCs w:val="13"/>
              </w:rPr>
              <w:t>2,347,479,752.07</w:t>
            </w:r>
          </w:p>
        </w:tc>
        <w:tc>
          <w:tcPr>
            <w:tcW w:w="410" w:type="pct"/>
            <w:tcBorders>
              <w:top w:val="single" w:sz="6" w:space="0" w:color="auto"/>
              <w:left w:val="single" w:sz="6" w:space="0" w:color="auto"/>
              <w:bottom w:val="single" w:sz="6" w:space="0" w:color="auto"/>
              <w:right w:val="single" w:sz="6" w:space="0" w:color="auto"/>
            </w:tcBorders>
            <w:vAlign w:val="center"/>
          </w:tcPr>
          <w:p w14:paraId="61D56E9B" w14:textId="77777777" w:rsidR="00E57DAA" w:rsidRDefault="00AC4185">
            <w:pPr>
              <w:jc w:val="right"/>
              <w:rPr>
                <w:sz w:val="13"/>
                <w:szCs w:val="13"/>
              </w:rPr>
            </w:pPr>
            <w:r>
              <w:rPr>
                <w:sz w:val="13"/>
                <w:szCs w:val="13"/>
              </w:rPr>
              <w:t>36,371,142.81</w:t>
            </w:r>
          </w:p>
        </w:tc>
        <w:tc>
          <w:tcPr>
            <w:tcW w:w="410" w:type="pct"/>
            <w:tcBorders>
              <w:top w:val="single" w:sz="6" w:space="0" w:color="auto"/>
              <w:left w:val="single" w:sz="6" w:space="0" w:color="auto"/>
              <w:bottom w:val="single" w:sz="6" w:space="0" w:color="auto"/>
              <w:right w:val="single" w:sz="6" w:space="0" w:color="auto"/>
            </w:tcBorders>
            <w:vAlign w:val="center"/>
          </w:tcPr>
          <w:p w14:paraId="54011157" w14:textId="77777777" w:rsidR="00E57DAA" w:rsidRDefault="00AC4185">
            <w:pPr>
              <w:jc w:val="right"/>
              <w:rPr>
                <w:sz w:val="13"/>
                <w:szCs w:val="13"/>
              </w:rPr>
            </w:pPr>
            <w:r>
              <w:rPr>
                <w:sz w:val="13"/>
                <w:szCs w:val="13"/>
              </w:rPr>
              <w:t>-5,508,833.08</w:t>
            </w:r>
          </w:p>
        </w:tc>
        <w:tc>
          <w:tcPr>
            <w:tcW w:w="410" w:type="pct"/>
            <w:tcBorders>
              <w:top w:val="single" w:sz="6" w:space="0" w:color="auto"/>
              <w:left w:val="single" w:sz="6" w:space="0" w:color="auto"/>
              <w:bottom w:val="single" w:sz="6" w:space="0" w:color="auto"/>
              <w:right w:val="single" w:sz="6" w:space="0" w:color="auto"/>
            </w:tcBorders>
            <w:vAlign w:val="center"/>
          </w:tcPr>
          <w:p w14:paraId="48031910" w14:textId="77777777" w:rsidR="00E57DAA" w:rsidRDefault="00AC4185">
            <w:pPr>
              <w:jc w:val="right"/>
              <w:rPr>
                <w:sz w:val="13"/>
                <w:szCs w:val="13"/>
              </w:rPr>
            </w:pPr>
            <w:r>
              <w:rPr>
                <w:sz w:val="13"/>
                <w:szCs w:val="13"/>
              </w:rPr>
              <w:t>120,139,635.15</w:t>
            </w:r>
          </w:p>
        </w:tc>
        <w:tc>
          <w:tcPr>
            <w:tcW w:w="386" w:type="pct"/>
            <w:tcBorders>
              <w:top w:val="single" w:sz="6" w:space="0" w:color="auto"/>
              <w:left w:val="single" w:sz="6" w:space="0" w:color="auto"/>
              <w:bottom w:val="single" w:sz="6" w:space="0" w:color="auto"/>
              <w:right w:val="single" w:sz="6" w:space="0" w:color="auto"/>
            </w:tcBorders>
            <w:vAlign w:val="center"/>
          </w:tcPr>
          <w:p w14:paraId="39E54837" w14:textId="77777777" w:rsidR="00E57DAA" w:rsidRDefault="00AC4185">
            <w:pPr>
              <w:jc w:val="right"/>
              <w:rPr>
                <w:sz w:val="13"/>
                <w:szCs w:val="13"/>
              </w:rPr>
            </w:pPr>
            <w:r>
              <w:rPr>
                <w:sz w:val="13"/>
                <w:szCs w:val="13"/>
              </w:rPr>
              <w:t>28,536,266.66</w:t>
            </w:r>
          </w:p>
        </w:tc>
        <w:tc>
          <w:tcPr>
            <w:tcW w:w="408" w:type="pct"/>
            <w:tcBorders>
              <w:top w:val="single" w:sz="6" w:space="0" w:color="auto"/>
              <w:left w:val="single" w:sz="6" w:space="0" w:color="auto"/>
              <w:bottom w:val="single" w:sz="6" w:space="0" w:color="auto"/>
              <w:right w:val="single" w:sz="6" w:space="0" w:color="auto"/>
            </w:tcBorders>
            <w:vAlign w:val="center"/>
          </w:tcPr>
          <w:p w14:paraId="2C1031CF" w14:textId="77777777" w:rsidR="00E57DAA" w:rsidRDefault="00AC4185">
            <w:pPr>
              <w:jc w:val="right"/>
              <w:rPr>
                <w:sz w:val="13"/>
                <w:szCs w:val="13"/>
              </w:rPr>
            </w:pPr>
            <w:r>
              <w:rPr>
                <w:sz w:val="13"/>
                <w:szCs w:val="13"/>
              </w:rPr>
              <w:t>194,082,190.34</w:t>
            </w:r>
          </w:p>
        </w:tc>
      </w:tr>
      <w:tr w:rsidR="00E57DAA" w14:paraId="6DB1F4C8" w14:textId="77777777">
        <w:tc>
          <w:tcPr>
            <w:tcW w:w="5000" w:type="pct"/>
            <w:gridSpan w:val="12"/>
            <w:tcBorders>
              <w:top w:val="single" w:sz="6" w:space="0" w:color="auto"/>
              <w:left w:val="single" w:sz="4" w:space="0" w:color="auto"/>
              <w:bottom w:val="single" w:sz="6" w:space="0" w:color="auto"/>
              <w:right w:val="single" w:sz="6" w:space="0" w:color="auto"/>
            </w:tcBorders>
            <w:shd w:val="clear" w:color="auto" w:fill="auto"/>
            <w:vAlign w:val="bottom"/>
          </w:tcPr>
          <w:p w14:paraId="17F35935" w14:textId="77777777" w:rsidR="00E57DAA" w:rsidRDefault="00E57DAA">
            <w:pPr>
              <w:jc w:val="right"/>
              <w:rPr>
                <w:sz w:val="13"/>
                <w:szCs w:val="13"/>
              </w:rPr>
            </w:pPr>
          </w:p>
        </w:tc>
      </w:tr>
      <w:tr w:rsidR="00E57DAA" w14:paraId="2EF32602"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F089524" w14:textId="77777777" w:rsidR="00E57DAA" w:rsidRDefault="00AC4185">
            <w:pPr>
              <w:rPr>
                <w:rFonts w:cs="Arial"/>
                <w:color w:val="000000"/>
                <w:sz w:val="13"/>
                <w:szCs w:val="13"/>
              </w:rPr>
            </w:pPr>
            <w:r>
              <w:rPr>
                <w:rFonts w:cs="Arial" w:hint="eastAsia"/>
                <w:color w:val="000000"/>
                <w:sz w:val="13"/>
                <w:szCs w:val="13"/>
                <w:lang w:val="en-GB"/>
              </w:rPr>
              <w:t>按持股比例计算的净资产份额</w:t>
            </w:r>
          </w:p>
        </w:tc>
        <w:tc>
          <w:tcPr>
            <w:tcW w:w="406" w:type="pct"/>
            <w:tcBorders>
              <w:left w:val="single" w:sz="6" w:space="0" w:color="auto"/>
              <w:right w:val="single" w:sz="6" w:space="0" w:color="auto"/>
            </w:tcBorders>
            <w:shd w:val="clear" w:color="auto" w:fill="auto"/>
            <w:vAlign w:val="center"/>
          </w:tcPr>
          <w:p w14:paraId="674E62EA" w14:textId="77777777" w:rsidR="00E57DAA" w:rsidRDefault="00AC4185">
            <w:pPr>
              <w:jc w:val="right"/>
              <w:rPr>
                <w:sz w:val="13"/>
                <w:szCs w:val="13"/>
              </w:rPr>
            </w:pPr>
            <w:r>
              <w:rPr>
                <w:sz w:val="13"/>
                <w:szCs w:val="13"/>
              </w:rPr>
              <w:t>26,876,468.52</w:t>
            </w:r>
          </w:p>
        </w:tc>
        <w:tc>
          <w:tcPr>
            <w:tcW w:w="411" w:type="pct"/>
            <w:tcBorders>
              <w:left w:val="single" w:sz="6" w:space="0" w:color="auto"/>
              <w:right w:val="single" w:sz="6" w:space="0" w:color="auto"/>
            </w:tcBorders>
            <w:shd w:val="clear" w:color="auto" w:fill="auto"/>
            <w:vAlign w:val="center"/>
          </w:tcPr>
          <w:p w14:paraId="453586DF" w14:textId="77777777" w:rsidR="00E57DAA" w:rsidRDefault="00AC4185">
            <w:pPr>
              <w:jc w:val="right"/>
              <w:rPr>
                <w:sz w:val="13"/>
                <w:szCs w:val="13"/>
              </w:rPr>
            </w:pPr>
            <w:r>
              <w:rPr>
                <w:sz w:val="13"/>
                <w:szCs w:val="13"/>
              </w:rPr>
              <w:t>1,175,375.19</w:t>
            </w:r>
          </w:p>
        </w:tc>
        <w:tc>
          <w:tcPr>
            <w:tcW w:w="409" w:type="pct"/>
            <w:tcBorders>
              <w:left w:val="single" w:sz="6" w:space="0" w:color="auto"/>
              <w:right w:val="single" w:sz="6" w:space="0" w:color="auto"/>
            </w:tcBorders>
            <w:shd w:val="clear" w:color="auto" w:fill="auto"/>
            <w:vAlign w:val="center"/>
          </w:tcPr>
          <w:p w14:paraId="3183E703" w14:textId="77777777" w:rsidR="00E57DAA" w:rsidRDefault="00AC4185">
            <w:pPr>
              <w:jc w:val="right"/>
              <w:rPr>
                <w:sz w:val="13"/>
                <w:szCs w:val="13"/>
              </w:rPr>
            </w:pPr>
            <w:r>
              <w:rPr>
                <w:sz w:val="13"/>
                <w:szCs w:val="13"/>
              </w:rPr>
              <w:t>36,800,587.58</w:t>
            </w:r>
          </w:p>
        </w:tc>
        <w:tc>
          <w:tcPr>
            <w:tcW w:w="429" w:type="pct"/>
            <w:tcBorders>
              <w:left w:val="single" w:sz="6" w:space="0" w:color="auto"/>
              <w:right w:val="single" w:sz="6" w:space="0" w:color="auto"/>
            </w:tcBorders>
            <w:shd w:val="clear" w:color="auto" w:fill="auto"/>
            <w:vAlign w:val="center"/>
          </w:tcPr>
          <w:p w14:paraId="2C423B4D" w14:textId="77777777" w:rsidR="00E57DAA" w:rsidRDefault="00AC4185">
            <w:pPr>
              <w:jc w:val="right"/>
              <w:rPr>
                <w:sz w:val="13"/>
                <w:szCs w:val="13"/>
              </w:rPr>
            </w:pPr>
            <w:r>
              <w:rPr>
                <w:sz w:val="13"/>
                <w:szCs w:val="13"/>
              </w:rPr>
              <w:t>11,594,565.30</w:t>
            </w:r>
          </w:p>
        </w:tc>
        <w:tc>
          <w:tcPr>
            <w:tcW w:w="461" w:type="pct"/>
            <w:tcBorders>
              <w:left w:val="single" w:sz="6" w:space="0" w:color="auto"/>
              <w:right w:val="single" w:sz="6" w:space="0" w:color="auto"/>
            </w:tcBorders>
            <w:shd w:val="clear" w:color="auto" w:fill="auto"/>
            <w:vAlign w:val="center"/>
          </w:tcPr>
          <w:p w14:paraId="03E9D151" w14:textId="77777777" w:rsidR="00E57DAA" w:rsidRDefault="00AC4185">
            <w:pPr>
              <w:jc w:val="right"/>
              <w:rPr>
                <w:sz w:val="13"/>
                <w:szCs w:val="13"/>
              </w:rPr>
            </w:pPr>
            <w:r>
              <w:rPr>
                <w:sz w:val="13"/>
                <w:szCs w:val="13"/>
              </w:rPr>
              <w:t>35,743,050.91</w:t>
            </w:r>
          </w:p>
        </w:tc>
        <w:tc>
          <w:tcPr>
            <w:tcW w:w="522" w:type="pct"/>
            <w:tcBorders>
              <w:left w:val="single" w:sz="6" w:space="0" w:color="auto"/>
              <w:right w:val="single" w:sz="6" w:space="0" w:color="auto"/>
            </w:tcBorders>
            <w:shd w:val="clear" w:color="auto" w:fill="auto"/>
            <w:vAlign w:val="center"/>
          </w:tcPr>
          <w:p w14:paraId="3C0FC9D2" w14:textId="77777777" w:rsidR="00E57DAA" w:rsidRDefault="00AC4185">
            <w:pPr>
              <w:jc w:val="right"/>
              <w:rPr>
                <w:sz w:val="13"/>
                <w:szCs w:val="13"/>
              </w:rPr>
            </w:pPr>
            <w:r>
              <w:rPr>
                <w:sz w:val="13"/>
                <w:szCs w:val="13"/>
              </w:rPr>
              <w:t>498,839,447.31</w:t>
            </w:r>
          </w:p>
        </w:tc>
        <w:tc>
          <w:tcPr>
            <w:tcW w:w="410" w:type="pct"/>
            <w:tcBorders>
              <w:top w:val="single" w:sz="6" w:space="0" w:color="auto"/>
              <w:left w:val="single" w:sz="6" w:space="0" w:color="auto"/>
              <w:bottom w:val="single" w:sz="6" w:space="0" w:color="auto"/>
              <w:right w:val="single" w:sz="6" w:space="0" w:color="auto"/>
            </w:tcBorders>
            <w:vAlign w:val="center"/>
          </w:tcPr>
          <w:p w14:paraId="44BE5C60" w14:textId="77777777" w:rsidR="00E57DAA" w:rsidRDefault="00AC4185">
            <w:pPr>
              <w:jc w:val="right"/>
              <w:rPr>
                <w:sz w:val="13"/>
                <w:szCs w:val="13"/>
              </w:rPr>
            </w:pPr>
            <w:r>
              <w:rPr>
                <w:sz w:val="13"/>
                <w:szCs w:val="13"/>
              </w:rPr>
              <w:t>14,548,457.12</w:t>
            </w:r>
          </w:p>
        </w:tc>
        <w:tc>
          <w:tcPr>
            <w:tcW w:w="410" w:type="pct"/>
            <w:tcBorders>
              <w:top w:val="single" w:sz="6" w:space="0" w:color="auto"/>
              <w:left w:val="single" w:sz="6" w:space="0" w:color="auto"/>
              <w:bottom w:val="single" w:sz="6" w:space="0" w:color="auto"/>
              <w:right w:val="single" w:sz="6" w:space="0" w:color="auto"/>
            </w:tcBorders>
            <w:vAlign w:val="center"/>
          </w:tcPr>
          <w:p w14:paraId="55EA959B" w14:textId="77777777" w:rsidR="00E57DAA" w:rsidRDefault="00AC4185">
            <w:pPr>
              <w:jc w:val="right"/>
              <w:rPr>
                <w:sz w:val="13"/>
                <w:szCs w:val="13"/>
              </w:rPr>
            </w:pPr>
            <w:r>
              <w:rPr>
                <w:sz w:val="13"/>
                <w:szCs w:val="13"/>
              </w:rPr>
              <w:t>-2,699,328.21</w:t>
            </w:r>
          </w:p>
        </w:tc>
        <w:tc>
          <w:tcPr>
            <w:tcW w:w="410" w:type="pct"/>
            <w:tcBorders>
              <w:top w:val="single" w:sz="6" w:space="0" w:color="auto"/>
              <w:left w:val="single" w:sz="6" w:space="0" w:color="auto"/>
              <w:bottom w:val="single" w:sz="6" w:space="0" w:color="auto"/>
              <w:right w:val="single" w:sz="6" w:space="0" w:color="auto"/>
            </w:tcBorders>
            <w:vAlign w:val="center"/>
          </w:tcPr>
          <w:p w14:paraId="237A4722" w14:textId="77777777" w:rsidR="00E57DAA" w:rsidRDefault="00AC4185">
            <w:pPr>
              <w:jc w:val="right"/>
              <w:rPr>
                <w:sz w:val="13"/>
                <w:szCs w:val="13"/>
              </w:rPr>
            </w:pPr>
            <w:r>
              <w:rPr>
                <w:sz w:val="13"/>
                <w:szCs w:val="13"/>
              </w:rPr>
              <w:t>36,041,890.55</w:t>
            </w:r>
          </w:p>
        </w:tc>
        <w:tc>
          <w:tcPr>
            <w:tcW w:w="386" w:type="pct"/>
            <w:tcBorders>
              <w:top w:val="single" w:sz="6" w:space="0" w:color="auto"/>
              <w:left w:val="single" w:sz="6" w:space="0" w:color="auto"/>
              <w:bottom w:val="single" w:sz="6" w:space="0" w:color="auto"/>
              <w:right w:val="single" w:sz="6" w:space="0" w:color="auto"/>
            </w:tcBorders>
            <w:vAlign w:val="center"/>
          </w:tcPr>
          <w:p w14:paraId="2507A571" w14:textId="77777777" w:rsidR="00E57DAA" w:rsidRDefault="00AC4185">
            <w:pPr>
              <w:jc w:val="right"/>
              <w:rPr>
                <w:sz w:val="13"/>
                <w:szCs w:val="13"/>
              </w:rPr>
            </w:pPr>
            <w:r>
              <w:rPr>
                <w:sz w:val="13"/>
                <w:szCs w:val="13"/>
              </w:rPr>
              <w:t>11,414,506.66</w:t>
            </w:r>
          </w:p>
        </w:tc>
        <w:tc>
          <w:tcPr>
            <w:tcW w:w="408" w:type="pct"/>
            <w:tcBorders>
              <w:top w:val="single" w:sz="6" w:space="0" w:color="auto"/>
              <w:left w:val="single" w:sz="6" w:space="0" w:color="auto"/>
              <w:bottom w:val="single" w:sz="6" w:space="0" w:color="auto"/>
              <w:right w:val="single" w:sz="6" w:space="0" w:color="auto"/>
            </w:tcBorders>
            <w:vAlign w:val="center"/>
          </w:tcPr>
          <w:p w14:paraId="31629B78" w14:textId="77777777" w:rsidR="00E57DAA" w:rsidRDefault="00AC4185">
            <w:pPr>
              <w:jc w:val="right"/>
              <w:rPr>
                <w:sz w:val="13"/>
                <w:szCs w:val="13"/>
              </w:rPr>
            </w:pPr>
            <w:r>
              <w:rPr>
                <w:sz w:val="13"/>
                <w:szCs w:val="13"/>
              </w:rPr>
              <w:t>38,816,438.07</w:t>
            </w:r>
          </w:p>
        </w:tc>
      </w:tr>
      <w:tr w:rsidR="00E57DAA" w14:paraId="75BE1643"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4105E548" w14:textId="77777777" w:rsidR="00E57DAA" w:rsidRDefault="00AC4185">
            <w:pPr>
              <w:rPr>
                <w:rFonts w:cs="Arial"/>
                <w:color w:val="000000"/>
                <w:sz w:val="13"/>
                <w:szCs w:val="13"/>
              </w:rPr>
            </w:pPr>
            <w:r>
              <w:rPr>
                <w:rFonts w:cs="Arial" w:hint="eastAsia"/>
                <w:color w:val="000000"/>
                <w:sz w:val="13"/>
                <w:szCs w:val="13"/>
                <w:lang w:val="en-GB"/>
              </w:rPr>
              <w:t>调整事项</w:t>
            </w:r>
          </w:p>
        </w:tc>
        <w:tc>
          <w:tcPr>
            <w:tcW w:w="406" w:type="pct"/>
            <w:tcBorders>
              <w:left w:val="single" w:sz="6" w:space="0" w:color="auto"/>
              <w:right w:val="single" w:sz="6" w:space="0" w:color="auto"/>
            </w:tcBorders>
            <w:shd w:val="clear" w:color="auto" w:fill="auto"/>
            <w:vAlign w:val="center"/>
          </w:tcPr>
          <w:p w14:paraId="1A39CABC" w14:textId="77777777" w:rsidR="00E57DAA" w:rsidRDefault="00AC4185">
            <w:pPr>
              <w:jc w:val="right"/>
              <w:rPr>
                <w:sz w:val="13"/>
                <w:szCs w:val="13"/>
              </w:rPr>
            </w:pPr>
            <w:r>
              <w:rPr>
                <w:sz w:val="13"/>
                <w:szCs w:val="13"/>
              </w:rPr>
              <w:t>370,869.11</w:t>
            </w:r>
          </w:p>
        </w:tc>
        <w:tc>
          <w:tcPr>
            <w:tcW w:w="411" w:type="pct"/>
            <w:tcBorders>
              <w:left w:val="single" w:sz="6" w:space="0" w:color="auto"/>
              <w:right w:val="single" w:sz="6" w:space="0" w:color="auto"/>
            </w:tcBorders>
            <w:shd w:val="clear" w:color="auto" w:fill="auto"/>
            <w:vAlign w:val="center"/>
          </w:tcPr>
          <w:p w14:paraId="36233E07" w14:textId="77777777" w:rsidR="00E57DAA" w:rsidRDefault="00AC4185">
            <w:pPr>
              <w:jc w:val="right"/>
              <w:rPr>
                <w:sz w:val="13"/>
                <w:szCs w:val="13"/>
              </w:rPr>
            </w:pPr>
            <w:r>
              <w:rPr>
                <w:sz w:val="13"/>
                <w:szCs w:val="13"/>
              </w:rPr>
              <w:t>26,791,524.73</w:t>
            </w:r>
          </w:p>
        </w:tc>
        <w:tc>
          <w:tcPr>
            <w:tcW w:w="409" w:type="pct"/>
            <w:tcBorders>
              <w:left w:val="single" w:sz="6" w:space="0" w:color="auto"/>
              <w:right w:val="single" w:sz="6" w:space="0" w:color="auto"/>
            </w:tcBorders>
            <w:shd w:val="clear" w:color="auto" w:fill="auto"/>
            <w:vAlign w:val="center"/>
          </w:tcPr>
          <w:p w14:paraId="010F6112" w14:textId="77777777" w:rsidR="00E57DAA" w:rsidRDefault="00AC4185">
            <w:pPr>
              <w:jc w:val="right"/>
              <w:rPr>
                <w:sz w:val="13"/>
                <w:szCs w:val="13"/>
              </w:rPr>
            </w:pPr>
            <w:r>
              <w:rPr>
                <w:sz w:val="13"/>
                <w:szCs w:val="13"/>
              </w:rPr>
              <w:t>-713,365.2</w:t>
            </w:r>
            <w:r>
              <w:rPr>
                <w:rFonts w:hint="eastAsia"/>
                <w:sz w:val="13"/>
                <w:szCs w:val="13"/>
              </w:rPr>
              <w:t>4</w:t>
            </w:r>
          </w:p>
        </w:tc>
        <w:tc>
          <w:tcPr>
            <w:tcW w:w="429" w:type="pct"/>
            <w:tcBorders>
              <w:left w:val="single" w:sz="6" w:space="0" w:color="auto"/>
              <w:right w:val="single" w:sz="6" w:space="0" w:color="auto"/>
            </w:tcBorders>
            <w:shd w:val="clear" w:color="auto" w:fill="auto"/>
            <w:vAlign w:val="center"/>
          </w:tcPr>
          <w:p w14:paraId="460BB0CD" w14:textId="77777777" w:rsidR="00E57DAA" w:rsidRDefault="00AC4185">
            <w:pPr>
              <w:jc w:val="right"/>
              <w:rPr>
                <w:sz w:val="13"/>
                <w:szCs w:val="13"/>
              </w:rPr>
            </w:pPr>
            <w:r>
              <w:rPr>
                <w:sz w:val="13"/>
                <w:szCs w:val="13"/>
              </w:rPr>
              <w:t>6,123,183.21</w:t>
            </w:r>
          </w:p>
        </w:tc>
        <w:tc>
          <w:tcPr>
            <w:tcW w:w="461" w:type="pct"/>
            <w:tcBorders>
              <w:left w:val="single" w:sz="6" w:space="0" w:color="auto"/>
              <w:right w:val="single" w:sz="6" w:space="0" w:color="auto"/>
            </w:tcBorders>
            <w:shd w:val="clear" w:color="auto" w:fill="auto"/>
            <w:vAlign w:val="center"/>
          </w:tcPr>
          <w:p w14:paraId="498A8A54" w14:textId="77777777" w:rsidR="00E57DAA" w:rsidRDefault="00AC4185">
            <w:pPr>
              <w:jc w:val="right"/>
              <w:rPr>
                <w:sz w:val="13"/>
                <w:szCs w:val="13"/>
              </w:rPr>
            </w:pPr>
            <w:r>
              <w:rPr>
                <w:sz w:val="13"/>
                <w:szCs w:val="13"/>
              </w:rPr>
              <w:t>-179,593.02</w:t>
            </w:r>
          </w:p>
        </w:tc>
        <w:tc>
          <w:tcPr>
            <w:tcW w:w="522" w:type="pct"/>
            <w:tcBorders>
              <w:left w:val="single" w:sz="6" w:space="0" w:color="auto"/>
              <w:right w:val="single" w:sz="6" w:space="0" w:color="auto"/>
            </w:tcBorders>
            <w:shd w:val="clear" w:color="auto" w:fill="auto"/>
            <w:vAlign w:val="center"/>
          </w:tcPr>
          <w:p w14:paraId="62E9A65C" w14:textId="77777777" w:rsidR="00E57DAA" w:rsidRDefault="00AC4185">
            <w:pPr>
              <w:jc w:val="right"/>
              <w:rPr>
                <w:sz w:val="13"/>
                <w:szCs w:val="13"/>
              </w:rPr>
            </w:pPr>
            <w:r>
              <w:rPr>
                <w:sz w:val="13"/>
                <w:szCs w:val="13"/>
              </w:rPr>
              <w:t>1,160,552.69</w:t>
            </w:r>
          </w:p>
        </w:tc>
        <w:tc>
          <w:tcPr>
            <w:tcW w:w="410" w:type="pct"/>
            <w:tcBorders>
              <w:top w:val="single" w:sz="6" w:space="0" w:color="auto"/>
              <w:left w:val="single" w:sz="6" w:space="0" w:color="auto"/>
              <w:bottom w:val="single" w:sz="6" w:space="0" w:color="auto"/>
              <w:right w:val="single" w:sz="6" w:space="0" w:color="auto"/>
            </w:tcBorders>
            <w:vAlign w:val="center"/>
          </w:tcPr>
          <w:p w14:paraId="389FFC34" w14:textId="77777777" w:rsidR="00E57DAA" w:rsidRDefault="00AC4185">
            <w:pPr>
              <w:jc w:val="right"/>
              <w:rPr>
                <w:sz w:val="13"/>
                <w:szCs w:val="13"/>
              </w:rPr>
            </w:pPr>
            <w:r>
              <w:rPr>
                <w:sz w:val="13"/>
                <w:szCs w:val="13"/>
              </w:rPr>
              <w:t>370,869.11</w:t>
            </w:r>
          </w:p>
        </w:tc>
        <w:tc>
          <w:tcPr>
            <w:tcW w:w="410" w:type="pct"/>
            <w:tcBorders>
              <w:top w:val="single" w:sz="6" w:space="0" w:color="auto"/>
              <w:left w:val="single" w:sz="6" w:space="0" w:color="auto"/>
              <w:bottom w:val="single" w:sz="6" w:space="0" w:color="auto"/>
              <w:right w:val="single" w:sz="6" w:space="0" w:color="auto"/>
            </w:tcBorders>
            <w:vAlign w:val="center"/>
          </w:tcPr>
          <w:p w14:paraId="6C9B1621" w14:textId="77777777" w:rsidR="00E57DAA" w:rsidRDefault="00AC4185">
            <w:pPr>
              <w:jc w:val="right"/>
              <w:rPr>
                <w:sz w:val="13"/>
                <w:szCs w:val="13"/>
              </w:rPr>
            </w:pPr>
            <w:r>
              <w:rPr>
                <w:sz w:val="13"/>
                <w:szCs w:val="13"/>
              </w:rPr>
              <w:t>26,780,962.55</w:t>
            </w:r>
          </w:p>
        </w:tc>
        <w:tc>
          <w:tcPr>
            <w:tcW w:w="410" w:type="pct"/>
            <w:tcBorders>
              <w:top w:val="single" w:sz="6" w:space="0" w:color="auto"/>
              <w:left w:val="single" w:sz="6" w:space="0" w:color="auto"/>
              <w:bottom w:val="single" w:sz="6" w:space="0" w:color="auto"/>
              <w:right w:val="single" w:sz="6" w:space="0" w:color="auto"/>
            </w:tcBorders>
            <w:vAlign w:val="center"/>
          </w:tcPr>
          <w:p w14:paraId="14ACD585"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45880796" w14:textId="77777777" w:rsidR="00E57DAA" w:rsidRDefault="00AC4185">
            <w:pPr>
              <w:jc w:val="right"/>
              <w:rPr>
                <w:sz w:val="13"/>
                <w:szCs w:val="13"/>
              </w:rPr>
            </w:pPr>
            <w:r>
              <w:rPr>
                <w:sz w:val="13"/>
                <w:szCs w:val="13"/>
              </w:rPr>
              <w:t>9,097,180.82</w:t>
            </w:r>
          </w:p>
        </w:tc>
        <w:tc>
          <w:tcPr>
            <w:tcW w:w="408" w:type="pct"/>
            <w:tcBorders>
              <w:top w:val="single" w:sz="6" w:space="0" w:color="auto"/>
              <w:left w:val="single" w:sz="6" w:space="0" w:color="auto"/>
              <w:bottom w:val="single" w:sz="6" w:space="0" w:color="auto"/>
              <w:right w:val="single" w:sz="6" w:space="0" w:color="auto"/>
            </w:tcBorders>
            <w:vAlign w:val="center"/>
          </w:tcPr>
          <w:p w14:paraId="0E97EF25" w14:textId="77777777" w:rsidR="00E57DAA" w:rsidRDefault="00AC4185">
            <w:pPr>
              <w:jc w:val="right"/>
              <w:rPr>
                <w:sz w:val="13"/>
                <w:szCs w:val="13"/>
              </w:rPr>
            </w:pPr>
            <w:r>
              <w:rPr>
                <w:sz w:val="13"/>
                <w:szCs w:val="13"/>
              </w:rPr>
              <w:t>-197,763.15</w:t>
            </w:r>
          </w:p>
        </w:tc>
      </w:tr>
      <w:tr w:rsidR="00E57DAA" w14:paraId="19CAB271"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1868EE8B" w14:textId="77777777" w:rsidR="00E57DAA" w:rsidRDefault="00AC4185">
            <w:pPr>
              <w:rPr>
                <w:rFonts w:cs="Arial"/>
                <w:color w:val="000000"/>
                <w:sz w:val="13"/>
                <w:szCs w:val="13"/>
              </w:rPr>
            </w:pPr>
            <w:r>
              <w:rPr>
                <w:rFonts w:cs="Arial"/>
                <w:color w:val="000000"/>
                <w:sz w:val="13"/>
                <w:szCs w:val="13"/>
              </w:rPr>
              <w:t>--</w:t>
            </w:r>
            <w:r>
              <w:rPr>
                <w:rFonts w:cs="Arial" w:hint="eastAsia"/>
                <w:color w:val="000000"/>
                <w:sz w:val="13"/>
                <w:szCs w:val="13"/>
                <w:lang w:val="en-GB"/>
              </w:rPr>
              <w:t>商誉</w:t>
            </w:r>
          </w:p>
        </w:tc>
        <w:tc>
          <w:tcPr>
            <w:tcW w:w="406" w:type="pct"/>
            <w:tcBorders>
              <w:left w:val="single" w:sz="6" w:space="0" w:color="auto"/>
              <w:right w:val="single" w:sz="6" w:space="0" w:color="auto"/>
            </w:tcBorders>
            <w:shd w:val="clear" w:color="auto" w:fill="auto"/>
            <w:vAlign w:val="center"/>
          </w:tcPr>
          <w:p w14:paraId="0C941B0C"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vAlign w:val="center"/>
          </w:tcPr>
          <w:p w14:paraId="28DE58F4"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vAlign w:val="center"/>
          </w:tcPr>
          <w:p w14:paraId="750747F4"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vAlign w:val="center"/>
          </w:tcPr>
          <w:p w14:paraId="33604823"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vAlign w:val="center"/>
          </w:tcPr>
          <w:p w14:paraId="0FBC4128"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vAlign w:val="center"/>
          </w:tcPr>
          <w:p w14:paraId="441C5839" w14:textId="77777777" w:rsidR="00E57DAA" w:rsidRDefault="00AC4185">
            <w:pPr>
              <w:jc w:val="right"/>
              <w:rPr>
                <w:sz w:val="13"/>
                <w:szCs w:val="13"/>
              </w:rPr>
            </w:pPr>
            <w:r>
              <w:rPr>
                <w:sz w:val="13"/>
                <w:szCs w:val="13"/>
              </w:rPr>
              <w:t>1,160,552.69</w:t>
            </w:r>
          </w:p>
        </w:tc>
        <w:tc>
          <w:tcPr>
            <w:tcW w:w="410" w:type="pct"/>
            <w:tcBorders>
              <w:top w:val="single" w:sz="6" w:space="0" w:color="auto"/>
              <w:left w:val="single" w:sz="6" w:space="0" w:color="auto"/>
              <w:bottom w:val="single" w:sz="6" w:space="0" w:color="auto"/>
              <w:right w:val="single" w:sz="6" w:space="0" w:color="auto"/>
            </w:tcBorders>
            <w:vAlign w:val="center"/>
          </w:tcPr>
          <w:p w14:paraId="0E71617F"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2EB5EFFF"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14C4DF95"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5FC217B7"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vAlign w:val="center"/>
          </w:tcPr>
          <w:p w14:paraId="3414B759" w14:textId="77777777" w:rsidR="00E57DAA" w:rsidRDefault="00E57DAA">
            <w:pPr>
              <w:jc w:val="right"/>
              <w:rPr>
                <w:sz w:val="13"/>
                <w:szCs w:val="13"/>
              </w:rPr>
            </w:pPr>
          </w:p>
        </w:tc>
      </w:tr>
      <w:tr w:rsidR="00E57DAA" w14:paraId="6E3AA703"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102C5C1D" w14:textId="77777777" w:rsidR="00E57DAA" w:rsidRDefault="00AC4185">
            <w:pPr>
              <w:rPr>
                <w:rFonts w:cs="Arial"/>
                <w:color w:val="000000"/>
                <w:sz w:val="13"/>
                <w:szCs w:val="13"/>
              </w:rPr>
            </w:pPr>
            <w:r>
              <w:rPr>
                <w:rFonts w:cs="Arial"/>
                <w:color w:val="000000"/>
                <w:sz w:val="13"/>
                <w:szCs w:val="13"/>
              </w:rPr>
              <w:t>--</w:t>
            </w:r>
            <w:r>
              <w:rPr>
                <w:rFonts w:cs="Arial" w:hint="eastAsia"/>
                <w:color w:val="000000"/>
                <w:sz w:val="13"/>
                <w:szCs w:val="13"/>
                <w:lang w:val="en-GB"/>
              </w:rPr>
              <w:t>内部交易未实现利润</w:t>
            </w:r>
          </w:p>
        </w:tc>
        <w:tc>
          <w:tcPr>
            <w:tcW w:w="406" w:type="pct"/>
            <w:tcBorders>
              <w:left w:val="single" w:sz="6" w:space="0" w:color="auto"/>
              <w:right w:val="single" w:sz="6" w:space="0" w:color="auto"/>
            </w:tcBorders>
            <w:shd w:val="clear" w:color="auto" w:fill="auto"/>
            <w:vAlign w:val="center"/>
          </w:tcPr>
          <w:p w14:paraId="10D68DD1"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vAlign w:val="center"/>
          </w:tcPr>
          <w:p w14:paraId="120B5722"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vAlign w:val="center"/>
          </w:tcPr>
          <w:p w14:paraId="581A5C69"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vAlign w:val="center"/>
          </w:tcPr>
          <w:p w14:paraId="065816AB"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vAlign w:val="center"/>
          </w:tcPr>
          <w:p w14:paraId="7C6A4E85"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vAlign w:val="center"/>
          </w:tcPr>
          <w:p w14:paraId="1553518F"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386C9D90"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39E56325"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3019675F"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599F74B0"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vAlign w:val="center"/>
          </w:tcPr>
          <w:p w14:paraId="554C6139" w14:textId="77777777" w:rsidR="00E57DAA" w:rsidRDefault="00E57DAA">
            <w:pPr>
              <w:jc w:val="right"/>
              <w:rPr>
                <w:sz w:val="13"/>
                <w:szCs w:val="13"/>
              </w:rPr>
            </w:pPr>
          </w:p>
        </w:tc>
      </w:tr>
      <w:tr w:rsidR="00E57DAA" w14:paraId="46B6967D"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B262017" w14:textId="77777777" w:rsidR="00E57DAA" w:rsidRDefault="00AC4185">
            <w:pPr>
              <w:rPr>
                <w:rFonts w:cs="Arial"/>
                <w:color w:val="000000"/>
                <w:sz w:val="13"/>
                <w:szCs w:val="13"/>
              </w:rPr>
            </w:pPr>
            <w:r>
              <w:rPr>
                <w:rFonts w:cs="Arial"/>
                <w:color w:val="000000"/>
                <w:sz w:val="13"/>
                <w:szCs w:val="13"/>
              </w:rPr>
              <w:t>--</w:t>
            </w:r>
            <w:r>
              <w:rPr>
                <w:rFonts w:cs="Arial" w:hint="eastAsia"/>
                <w:color w:val="000000"/>
                <w:sz w:val="13"/>
                <w:szCs w:val="13"/>
                <w:lang w:val="en-GB"/>
              </w:rPr>
              <w:t>其他</w:t>
            </w:r>
          </w:p>
        </w:tc>
        <w:tc>
          <w:tcPr>
            <w:tcW w:w="406" w:type="pct"/>
            <w:tcBorders>
              <w:left w:val="single" w:sz="6" w:space="0" w:color="auto"/>
              <w:right w:val="single" w:sz="6" w:space="0" w:color="auto"/>
            </w:tcBorders>
            <w:shd w:val="clear" w:color="auto" w:fill="auto"/>
            <w:vAlign w:val="center"/>
          </w:tcPr>
          <w:p w14:paraId="60A9F1E3" w14:textId="77777777" w:rsidR="00E57DAA" w:rsidRDefault="00AC4185">
            <w:pPr>
              <w:jc w:val="right"/>
              <w:rPr>
                <w:sz w:val="13"/>
                <w:szCs w:val="13"/>
              </w:rPr>
            </w:pPr>
            <w:r>
              <w:rPr>
                <w:sz w:val="13"/>
                <w:szCs w:val="13"/>
              </w:rPr>
              <w:t>370,869.11</w:t>
            </w:r>
          </w:p>
        </w:tc>
        <w:tc>
          <w:tcPr>
            <w:tcW w:w="411" w:type="pct"/>
            <w:tcBorders>
              <w:left w:val="single" w:sz="6" w:space="0" w:color="auto"/>
              <w:right w:val="single" w:sz="6" w:space="0" w:color="auto"/>
            </w:tcBorders>
            <w:shd w:val="clear" w:color="auto" w:fill="auto"/>
            <w:vAlign w:val="center"/>
          </w:tcPr>
          <w:p w14:paraId="72B18201" w14:textId="77777777" w:rsidR="00E57DAA" w:rsidRDefault="00AC4185">
            <w:pPr>
              <w:jc w:val="right"/>
              <w:rPr>
                <w:sz w:val="13"/>
                <w:szCs w:val="13"/>
              </w:rPr>
            </w:pPr>
            <w:r>
              <w:rPr>
                <w:sz w:val="13"/>
                <w:szCs w:val="13"/>
              </w:rPr>
              <w:t>26,791,524.73</w:t>
            </w:r>
          </w:p>
        </w:tc>
        <w:tc>
          <w:tcPr>
            <w:tcW w:w="409" w:type="pct"/>
            <w:tcBorders>
              <w:left w:val="single" w:sz="6" w:space="0" w:color="auto"/>
              <w:right w:val="single" w:sz="6" w:space="0" w:color="auto"/>
            </w:tcBorders>
            <w:shd w:val="clear" w:color="auto" w:fill="auto"/>
            <w:vAlign w:val="center"/>
          </w:tcPr>
          <w:p w14:paraId="1ED559D3" w14:textId="77777777" w:rsidR="00E57DAA" w:rsidRDefault="00AC4185">
            <w:pPr>
              <w:jc w:val="right"/>
              <w:rPr>
                <w:sz w:val="13"/>
                <w:szCs w:val="13"/>
              </w:rPr>
            </w:pPr>
            <w:r>
              <w:rPr>
                <w:sz w:val="13"/>
                <w:szCs w:val="13"/>
              </w:rPr>
              <w:t>-713,365.2</w:t>
            </w:r>
            <w:r>
              <w:rPr>
                <w:rFonts w:hint="eastAsia"/>
                <w:sz w:val="13"/>
                <w:szCs w:val="13"/>
              </w:rPr>
              <w:t>4</w:t>
            </w:r>
          </w:p>
        </w:tc>
        <w:tc>
          <w:tcPr>
            <w:tcW w:w="429" w:type="pct"/>
            <w:tcBorders>
              <w:left w:val="single" w:sz="6" w:space="0" w:color="auto"/>
              <w:right w:val="single" w:sz="6" w:space="0" w:color="auto"/>
            </w:tcBorders>
            <w:shd w:val="clear" w:color="auto" w:fill="auto"/>
            <w:vAlign w:val="center"/>
          </w:tcPr>
          <w:p w14:paraId="79E3B80F" w14:textId="77777777" w:rsidR="00E57DAA" w:rsidRDefault="00AC4185">
            <w:pPr>
              <w:jc w:val="right"/>
              <w:rPr>
                <w:sz w:val="13"/>
                <w:szCs w:val="13"/>
              </w:rPr>
            </w:pPr>
            <w:r>
              <w:rPr>
                <w:sz w:val="13"/>
                <w:szCs w:val="13"/>
              </w:rPr>
              <w:t>6,123,183.21</w:t>
            </w:r>
          </w:p>
        </w:tc>
        <w:tc>
          <w:tcPr>
            <w:tcW w:w="461" w:type="pct"/>
            <w:tcBorders>
              <w:left w:val="single" w:sz="6" w:space="0" w:color="auto"/>
              <w:right w:val="single" w:sz="6" w:space="0" w:color="auto"/>
            </w:tcBorders>
            <w:shd w:val="clear" w:color="auto" w:fill="auto"/>
            <w:vAlign w:val="center"/>
          </w:tcPr>
          <w:p w14:paraId="3019116F" w14:textId="77777777" w:rsidR="00E57DAA" w:rsidRDefault="00AC4185">
            <w:pPr>
              <w:jc w:val="right"/>
              <w:rPr>
                <w:sz w:val="13"/>
                <w:szCs w:val="13"/>
              </w:rPr>
            </w:pPr>
            <w:r>
              <w:rPr>
                <w:sz w:val="13"/>
                <w:szCs w:val="13"/>
              </w:rPr>
              <w:t>-179,593.02</w:t>
            </w:r>
          </w:p>
        </w:tc>
        <w:tc>
          <w:tcPr>
            <w:tcW w:w="522" w:type="pct"/>
            <w:tcBorders>
              <w:left w:val="single" w:sz="6" w:space="0" w:color="auto"/>
              <w:right w:val="single" w:sz="6" w:space="0" w:color="auto"/>
            </w:tcBorders>
            <w:shd w:val="clear" w:color="auto" w:fill="auto"/>
            <w:vAlign w:val="center"/>
          </w:tcPr>
          <w:p w14:paraId="4CBE9E13"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47C31512" w14:textId="77777777" w:rsidR="00E57DAA" w:rsidRDefault="00AC4185">
            <w:pPr>
              <w:jc w:val="right"/>
              <w:rPr>
                <w:sz w:val="13"/>
                <w:szCs w:val="13"/>
              </w:rPr>
            </w:pPr>
            <w:r>
              <w:rPr>
                <w:sz w:val="13"/>
                <w:szCs w:val="13"/>
              </w:rPr>
              <w:t>370,869.11</w:t>
            </w:r>
          </w:p>
        </w:tc>
        <w:tc>
          <w:tcPr>
            <w:tcW w:w="410" w:type="pct"/>
            <w:tcBorders>
              <w:top w:val="single" w:sz="6" w:space="0" w:color="auto"/>
              <w:left w:val="single" w:sz="6" w:space="0" w:color="auto"/>
              <w:bottom w:val="single" w:sz="6" w:space="0" w:color="auto"/>
              <w:right w:val="single" w:sz="6" w:space="0" w:color="auto"/>
            </w:tcBorders>
            <w:vAlign w:val="center"/>
          </w:tcPr>
          <w:p w14:paraId="220C2909" w14:textId="77777777" w:rsidR="00E57DAA" w:rsidRDefault="00AC4185">
            <w:pPr>
              <w:jc w:val="right"/>
              <w:rPr>
                <w:sz w:val="13"/>
                <w:szCs w:val="13"/>
              </w:rPr>
            </w:pPr>
            <w:r>
              <w:rPr>
                <w:sz w:val="13"/>
                <w:szCs w:val="13"/>
              </w:rPr>
              <w:t>26,780,962.55</w:t>
            </w:r>
          </w:p>
        </w:tc>
        <w:tc>
          <w:tcPr>
            <w:tcW w:w="410" w:type="pct"/>
            <w:tcBorders>
              <w:top w:val="single" w:sz="6" w:space="0" w:color="auto"/>
              <w:left w:val="single" w:sz="6" w:space="0" w:color="auto"/>
              <w:bottom w:val="single" w:sz="6" w:space="0" w:color="auto"/>
              <w:right w:val="single" w:sz="6" w:space="0" w:color="auto"/>
            </w:tcBorders>
            <w:vAlign w:val="center"/>
          </w:tcPr>
          <w:p w14:paraId="478EFB69"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534FCD60" w14:textId="77777777" w:rsidR="00E57DAA" w:rsidRDefault="00AC4185">
            <w:pPr>
              <w:jc w:val="right"/>
              <w:rPr>
                <w:sz w:val="13"/>
                <w:szCs w:val="13"/>
              </w:rPr>
            </w:pPr>
            <w:r>
              <w:rPr>
                <w:sz w:val="13"/>
                <w:szCs w:val="13"/>
              </w:rPr>
              <w:t>9,097,180.82</w:t>
            </w:r>
          </w:p>
        </w:tc>
        <w:tc>
          <w:tcPr>
            <w:tcW w:w="408" w:type="pct"/>
            <w:tcBorders>
              <w:top w:val="single" w:sz="6" w:space="0" w:color="auto"/>
              <w:left w:val="single" w:sz="6" w:space="0" w:color="auto"/>
              <w:bottom w:val="single" w:sz="6" w:space="0" w:color="auto"/>
              <w:right w:val="single" w:sz="6" w:space="0" w:color="auto"/>
            </w:tcBorders>
            <w:vAlign w:val="center"/>
          </w:tcPr>
          <w:p w14:paraId="3786BABC" w14:textId="77777777" w:rsidR="00E57DAA" w:rsidRDefault="00AC4185">
            <w:pPr>
              <w:jc w:val="right"/>
              <w:rPr>
                <w:sz w:val="13"/>
                <w:szCs w:val="13"/>
              </w:rPr>
            </w:pPr>
            <w:r>
              <w:rPr>
                <w:sz w:val="13"/>
                <w:szCs w:val="13"/>
              </w:rPr>
              <w:t>-197,763.15</w:t>
            </w:r>
          </w:p>
        </w:tc>
      </w:tr>
      <w:tr w:rsidR="00E57DAA" w14:paraId="53845600"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65B80B3B" w14:textId="77777777" w:rsidR="00E57DAA" w:rsidRDefault="00AC4185">
            <w:pPr>
              <w:rPr>
                <w:rFonts w:cs="Arial"/>
                <w:color w:val="000000"/>
                <w:sz w:val="13"/>
                <w:szCs w:val="13"/>
              </w:rPr>
            </w:pPr>
            <w:r>
              <w:rPr>
                <w:rFonts w:cs="Arial" w:hint="eastAsia"/>
                <w:color w:val="000000"/>
                <w:sz w:val="13"/>
                <w:szCs w:val="13"/>
                <w:lang w:val="en-GB"/>
              </w:rPr>
              <w:t>对联营企业权益投资的账面价值</w:t>
            </w:r>
          </w:p>
        </w:tc>
        <w:tc>
          <w:tcPr>
            <w:tcW w:w="406" w:type="pct"/>
            <w:tcBorders>
              <w:left w:val="single" w:sz="6" w:space="0" w:color="auto"/>
              <w:right w:val="single" w:sz="6" w:space="0" w:color="auto"/>
            </w:tcBorders>
            <w:shd w:val="clear" w:color="auto" w:fill="auto"/>
            <w:vAlign w:val="center"/>
          </w:tcPr>
          <w:p w14:paraId="6093BDC2" w14:textId="77777777" w:rsidR="00E57DAA" w:rsidRDefault="00AC4185">
            <w:pPr>
              <w:jc w:val="right"/>
              <w:rPr>
                <w:sz w:val="13"/>
                <w:szCs w:val="13"/>
              </w:rPr>
            </w:pPr>
            <w:r>
              <w:rPr>
                <w:sz w:val="13"/>
                <w:szCs w:val="13"/>
              </w:rPr>
              <w:t>27,247,337.63</w:t>
            </w:r>
          </w:p>
        </w:tc>
        <w:tc>
          <w:tcPr>
            <w:tcW w:w="411" w:type="pct"/>
            <w:tcBorders>
              <w:left w:val="single" w:sz="6" w:space="0" w:color="auto"/>
              <w:right w:val="single" w:sz="6" w:space="0" w:color="auto"/>
            </w:tcBorders>
            <w:shd w:val="clear" w:color="auto" w:fill="auto"/>
            <w:vAlign w:val="center"/>
          </w:tcPr>
          <w:p w14:paraId="1EE3A7D3" w14:textId="77777777" w:rsidR="00E57DAA" w:rsidRDefault="00AC4185">
            <w:pPr>
              <w:jc w:val="right"/>
              <w:rPr>
                <w:sz w:val="13"/>
                <w:szCs w:val="13"/>
              </w:rPr>
            </w:pPr>
            <w:r>
              <w:rPr>
                <w:sz w:val="13"/>
                <w:szCs w:val="13"/>
              </w:rPr>
              <w:t>27,966,899.92</w:t>
            </w:r>
          </w:p>
        </w:tc>
        <w:tc>
          <w:tcPr>
            <w:tcW w:w="409" w:type="pct"/>
            <w:tcBorders>
              <w:left w:val="single" w:sz="6" w:space="0" w:color="auto"/>
              <w:right w:val="single" w:sz="6" w:space="0" w:color="auto"/>
            </w:tcBorders>
            <w:shd w:val="clear" w:color="auto" w:fill="auto"/>
            <w:vAlign w:val="center"/>
          </w:tcPr>
          <w:p w14:paraId="1EAA1628" w14:textId="77777777" w:rsidR="00E57DAA" w:rsidRDefault="00AC4185">
            <w:pPr>
              <w:jc w:val="right"/>
              <w:rPr>
                <w:sz w:val="13"/>
                <w:szCs w:val="13"/>
              </w:rPr>
            </w:pPr>
            <w:r>
              <w:rPr>
                <w:sz w:val="13"/>
                <w:szCs w:val="13"/>
              </w:rPr>
              <w:t>36,087,222.34</w:t>
            </w:r>
          </w:p>
        </w:tc>
        <w:tc>
          <w:tcPr>
            <w:tcW w:w="429" w:type="pct"/>
            <w:tcBorders>
              <w:left w:val="single" w:sz="6" w:space="0" w:color="auto"/>
              <w:right w:val="single" w:sz="6" w:space="0" w:color="auto"/>
            </w:tcBorders>
            <w:shd w:val="clear" w:color="auto" w:fill="auto"/>
            <w:vAlign w:val="center"/>
          </w:tcPr>
          <w:p w14:paraId="7E20C176" w14:textId="77777777" w:rsidR="00E57DAA" w:rsidRDefault="00AC4185">
            <w:pPr>
              <w:jc w:val="right"/>
              <w:rPr>
                <w:sz w:val="13"/>
                <w:szCs w:val="13"/>
              </w:rPr>
            </w:pPr>
            <w:r>
              <w:rPr>
                <w:sz w:val="13"/>
                <w:szCs w:val="13"/>
              </w:rPr>
              <w:t>17,717,748.51</w:t>
            </w:r>
          </w:p>
        </w:tc>
        <w:tc>
          <w:tcPr>
            <w:tcW w:w="461" w:type="pct"/>
            <w:tcBorders>
              <w:left w:val="single" w:sz="6" w:space="0" w:color="auto"/>
              <w:right w:val="single" w:sz="6" w:space="0" w:color="auto"/>
            </w:tcBorders>
            <w:shd w:val="clear" w:color="auto" w:fill="auto"/>
            <w:vAlign w:val="center"/>
          </w:tcPr>
          <w:p w14:paraId="49AAD044" w14:textId="77777777" w:rsidR="00E57DAA" w:rsidRDefault="00AC4185">
            <w:pPr>
              <w:jc w:val="right"/>
              <w:rPr>
                <w:sz w:val="13"/>
                <w:szCs w:val="13"/>
              </w:rPr>
            </w:pPr>
            <w:r>
              <w:rPr>
                <w:sz w:val="13"/>
                <w:szCs w:val="13"/>
              </w:rPr>
              <w:t>35,563,457.89</w:t>
            </w:r>
          </w:p>
        </w:tc>
        <w:tc>
          <w:tcPr>
            <w:tcW w:w="522" w:type="pct"/>
            <w:tcBorders>
              <w:left w:val="single" w:sz="6" w:space="0" w:color="auto"/>
              <w:right w:val="single" w:sz="6" w:space="0" w:color="auto"/>
            </w:tcBorders>
            <w:shd w:val="clear" w:color="auto" w:fill="auto"/>
            <w:vAlign w:val="center"/>
          </w:tcPr>
          <w:p w14:paraId="3904990B" w14:textId="77777777" w:rsidR="00E57DAA" w:rsidRDefault="00AC4185">
            <w:pPr>
              <w:jc w:val="right"/>
              <w:rPr>
                <w:sz w:val="13"/>
                <w:szCs w:val="13"/>
              </w:rPr>
            </w:pPr>
            <w:r>
              <w:rPr>
                <w:sz w:val="13"/>
                <w:szCs w:val="13"/>
              </w:rPr>
              <w:t>500,000,000.00</w:t>
            </w:r>
          </w:p>
        </w:tc>
        <w:tc>
          <w:tcPr>
            <w:tcW w:w="410" w:type="pct"/>
            <w:tcBorders>
              <w:top w:val="single" w:sz="6" w:space="0" w:color="auto"/>
              <w:left w:val="single" w:sz="6" w:space="0" w:color="auto"/>
              <w:bottom w:val="single" w:sz="6" w:space="0" w:color="auto"/>
              <w:right w:val="single" w:sz="6" w:space="0" w:color="auto"/>
            </w:tcBorders>
            <w:vAlign w:val="center"/>
          </w:tcPr>
          <w:p w14:paraId="00701AC2" w14:textId="77777777" w:rsidR="00E57DAA" w:rsidRDefault="00AC4185">
            <w:pPr>
              <w:jc w:val="right"/>
              <w:rPr>
                <w:sz w:val="13"/>
                <w:szCs w:val="13"/>
              </w:rPr>
            </w:pPr>
            <w:r>
              <w:rPr>
                <w:sz w:val="13"/>
                <w:szCs w:val="13"/>
              </w:rPr>
              <w:t>14,919,326.23</w:t>
            </w:r>
          </w:p>
        </w:tc>
        <w:tc>
          <w:tcPr>
            <w:tcW w:w="410" w:type="pct"/>
            <w:tcBorders>
              <w:top w:val="single" w:sz="6" w:space="0" w:color="auto"/>
              <w:left w:val="single" w:sz="6" w:space="0" w:color="auto"/>
              <w:bottom w:val="single" w:sz="6" w:space="0" w:color="auto"/>
              <w:right w:val="single" w:sz="6" w:space="0" w:color="auto"/>
            </w:tcBorders>
            <w:vAlign w:val="center"/>
          </w:tcPr>
          <w:p w14:paraId="67BF3D32" w14:textId="77777777" w:rsidR="00E57DAA" w:rsidRDefault="00AC4185">
            <w:pPr>
              <w:jc w:val="right"/>
              <w:rPr>
                <w:sz w:val="13"/>
                <w:szCs w:val="13"/>
              </w:rPr>
            </w:pPr>
            <w:r>
              <w:rPr>
                <w:sz w:val="13"/>
                <w:szCs w:val="13"/>
              </w:rPr>
              <w:t>24,081,634.34</w:t>
            </w:r>
          </w:p>
        </w:tc>
        <w:tc>
          <w:tcPr>
            <w:tcW w:w="410" w:type="pct"/>
            <w:tcBorders>
              <w:top w:val="single" w:sz="6" w:space="0" w:color="auto"/>
              <w:left w:val="single" w:sz="6" w:space="0" w:color="auto"/>
              <w:bottom w:val="single" w:sz="6" w:space="0" w:color="auto"/>
              <w:right w:val="single" w:sz="6" w:space="0" w:color="auto"/>
            </w:tcBorders>
            <w:vAlign w:val="center"/>
          </w:tcPr>
          <w:p w14:paraId="2E9B9443" w14:textId="77777777" w:rsidR="00E57DAA" w:rsidRDefault="00AC4185">
            <w:pPr>
              <w:jc w:val="right"/>
              <w:rPr>
                <w:sz w:val="13"/>
                <w:szCs w:val="13"/>
              </w:rPr>
            </w:pPr>
            <w:r>
              <w:rPr>
                <w:sz w:val="13"/>
                <w:szCs w:val="13"/>
              </w:rPr>
              <w:t>36,041,890.55</w:t>
            </w:r>
          </w:p>
        </w:tc>
        <w:tc>
          <w:tcPr>
            <w:tcW w:w="386" w:type="pct"/>
            <w:tcBorders>
              <w:top w:val="single" w:sz="6" w:space="0" w:color="auto"/>
              <w:left w:val="single" w:sz="6" w:space="0" w:color="auto"/>
              <w:bottom w:val="single" w:sz="6" w:space="0" w:color="auto"/>
              <w:right w:val="single" w:sz="6" w:space="0" w:color="auto"/>
            </w:tcBorders>
            <w:vAlign w:val="center"/>
          </w:tcPr>
          <w:p w14:paraId="21939F44" w14:textId="77777777" w:rsidR="00E57DAA" w:rsidRDefault="00AC4185">
            <w:pPr>
              <w:jc w:val="right"/>
              <w:rPr>
                <w:sz w:val="13"/>
                <w:szCs w:val="13"/>
              </w:rPr>
            </w:pPr>
            <w:r>
              <w:rPr>
                <w:sz w:val="13"/>
                <w:szCs w:val="13"/>
              </w:rPr>
              <w:t>20,511,687.48</w:t>
            </w:r>
          </w:p>
        </w:tc>
        <w:tc>
          <w:tcPr>
            <w:tcW w:w="408" w:type="pct"/>
            <w:tcBorders>
              <w:top w:val="single" w:sz="6" w:space="0" w:color="auto"/>
              <w:left w:val="single" w:sz="6" w:space="0" w:color="auto"/>
              <w:bottom w:val="single" w:sz="6" w:space="0" w:color="auto"/>
              <w:right w:val="single" w:sz="6" w:space="0" w:color="auto"/>
            </w:tcBorders>
            <w:vAlign w:val="center"/>
          </w:tcPr>
          <w:p w14:paraId="3751ADC6" w14:textId="77777777" w:rsidR="00E57DAA" w:rsidRDefault="00AC4185">
            <w:pPr>
              <w:jc w:val="right"/>
              <w:rPr>
                <w:sz w:val="13"/>
                <w:szCs w:val="13"/>
              </w:rPr>
            </w:pPr>
            <w:r>
              <w:rPr>
                <w:sz w:val="13"/>
                <w:szCs w:val="13"/>
              </w:rPr>
              <w:t>38,618,674.92</w:t>
            </w:r>
          </w:p>
        </w:tc>
      </w:tr>
      <w:tr w:rsidR="00E57DAA" w14:paraId="20568D36"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16E42C5F" w14:textId="77777777" w:rsidR="00E57DAA" w:rsidRDefault="00AC4185">
            <w:pPr>
              <w:rPr>
                <w:rFonts w:cs="Arial"/>
                <w:color w:val="000000"/>
                <w:sz w:val="13"/>
                <w:szCs w:val="13"/>
              </w:rPr>
            </w:pPr>
            <w:r>
              <w:rPr>
                <w:rFonts w:cs="Arial" w:hint="eastAsia"/>
                <w:color w:val="000000"/>
                <w:sz w:val="13"/>
                <w:szCs w:val="13"/>
                <w:lang w:val="en-GB"/>
              </w:rPr>
              <w:t>存在公开报价的联营企业权益投资的公允价值</w:t>
            </w:r>
          </w:p>
        </w:tc>
        <w:tc>
          <w:tcPr>
            <w:tcW w:w="406" w:type="pct"/>
            <w:tcBorders>
              <w:left w:val="single" w:sz="6" w:space="0" w:color="auto"/>
              <w:right w:val="single" w:sz="6" w:space="0" w:color="auto"/>
            </w:tcBorders>
            <w:shd w:val="clear" w:color="auto" w:fill="auto"/>
          </w:tcPr>
          <w:p w14:paraId="4A870157"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tcPr>
          <w:p w14:paraId="384B55BA"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tcPr>
          <w:p w14:paraId="3D24825C"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tcPr>
          <w:p w14:paraId="3CA9C955"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tcPr>
          <w:p w14:paraId="589D8769"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tcPr>
          <w:p w14:paraId="2E60B690"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tcPr>
          <w:p w14:paraId="4F488FF9"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tcPr>
          <w:p w14:paraId="2DC81F3F"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tcPr>
          <w:p w14:paraId="71637AEB"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tcPr>
          <w:p w14:paraId="106F6AB5"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tcPr>
          <w:p w14:paraId="1D5D536F" w14:textId="77777777" w:rsidR="00E57DAA" w:rsidRDefault="00E57DAA">
            <w:pPr>
              <w:jc w:val="right"/>
              <w:rPr>
                <w:sz w:val="13"/>
                <w:szCs w:val="13"/>
              </w:rPr>
            </w:pPr>
          </w:p>
        </w:tc>
      </w:tr>
      <w:tr w:rsidR="00E57DAA" w14:paraId="080F78E4" w14:textId="77777777">
        <w:tc>
          <w:tcPr>
            <w:tcW w:w="5000" w:type="pct"/>
            <w:gridSpan w:val="12"/>
            <w:tcBorders>
              <w:top w:val="single" w:sz="6" w:space="0" w:color="auto"/>
              <w:left w:val="single" w:sz="4" w:space="0" w:color="auto"/>
              <w:bottom w:val="single" w:sz="6" w:space="0" w:color="auto"/>
              <w:right w:val="single" w:sz="6" w:space="0" w:color="auto"/>
            </w:tcBorders>
            <w:shd w:val="clear" w:color="auto" w:fill="auto"/>
            <w:vAlign w:val="bottom"/>
          </w:tcPr>
          <w:p w14:paraId="337419D3" w14:textId="77777777" w:rsidR="00E57DAA" w:rsidRDefault="00E57DAA">
            <w:pPr>
              <w:jc w:val="right"/>
              <w:rPr>
                <w:sz w:val="13"/>
                <w:szCs w:val="13"/>
              </w:rPr>
            </w:pPr>
          </w:p>
        </w:tc>
      </w:tr>
      <w:tr w:rsidR="00E57DAA" w14:paraId="4F925E49"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549D7002" w14:textId="77777777" w:rsidR="00E57DAA" w:rsidRDefault="00AC4185">
            <w:pPr>
              <w:rPr>
                <w:rFonts w:cs="Arial"/>
                <w:color w:val="000000"/>
                <w:sz w:val="13"/>
                <w:szCs w:val="13"/>
              </w:rPr>
            </w:pPr>
            <w:r>
              <w:rPr>
                <w:rFonts w:cs="Arial" w:hint="eastAsia"/>
                <w:color w:val="000000"/>
                <w:sz w:val="13"/>
                <w:szCs w:val="13"/>
                <w:lang w:val="en-GB"/>
              </w:rPr>
              <w:t>营业收入</w:t>
            </w:r>
          </w:p>
        </w:tc>
        <w:tc>
          <w:tcPr>
            <w:tcW w:w="406" w:type="pct"/>
            <w:tcBorders>
              <w:left w:val="single" w:sz="6" w:space="0" w:color="auto"/>
              <w:right w:val="single" w:sz="6" w:space="0" w:color="auto"/>
            </w:tcBorders>
            <w:shd w:val="clear" w:color="auto" w:fill="auto"/>
            <w:vAlign w:val="center"/>
          </w:tcPr>
          <w:p w14:paraId="36DEEADF" w14:textId="77777777" w:rsidR="00E57DAA" w:rsidRDefault="00AC4185">
            <w:pPr>
              <w:jc w:val="right"/>
              <w:rPr>
                <w:sz w:val="13"/>
                <w:szCs w:val="13"/>
              </w:rPr>
            </w:pPr>
            <w:r>
              <w:rPr>
                <w:sz w:val="13"/>
                <w:szCs w:val="13"/>
              </w:rPr>
              <w:t>160,446,452.66</w:t>
            </w:r>
          </w:p>
        </w:tc>
        <w:tc>
          <w:tcPr>
            <w:tcW w:w="411" w:type="pct"/>
            <w:tcBorders>
              <w:left w:val="single" w:sz="6" w:space="0" w:color="auto"/>
              <w:right w:val="single" w:sz="6" w:space="0" w:color="auto"/>
            </w:tcBorders>
            <w:shd w:val="clear" w:color="auto" w:fill="auto"/>
            <w:vAlign w:val="center"/>
          </w:tcPr>
          <w:p w14:paraId="20E5474D" w14:textId="77777777" w:rsidR="00E57DAA" w:rsidRDefault="00AC4185">
            <w:pPr>
              <w:jc w:val="right"/>
              <w:rPr>
                <w:sz w:val="13"/>
                <w:szCs w:val="13"/>
              </w:rPr>
            </w:pPr>
            <w:r>
              <w:rPr>
                <w:sz w:val="13"/>
                <w:szCs w:val="13"/>
              </w:rPr>
              <w:t>131,386,543.74</w:t>
            </w:r>
          </w:p>
        </w:tc>
        <w:tc>
          <w:tcPr>
            <w:tcW w:w="409" w:type="pct"/>
            <w:tcBorders>
              <w:left w:val="single" w:sz="6" w:space="0" w:color="auto"/>
              <w:right w:val="single" w:sz="6" w:space="0" w:color="auto"/>
            </w:tcBorders>
            <w:shd w:val="clear" w:color="auto" w:fill="auto"/>
            <w:vAlign w:val="center"/>
          </w:tcPr>
          <w:p w14:paraId="16ED2A18" w14:textId="77777777" w:rsidR="00E57DAA" w:rsidRDefault="00AC4185">
            <w:pPr>
              <w:jc w:val="right"/>
              <w:rPr>
                <w:sz w:val="13"/>
                <w:szCs w:val="13"/>
              </w:rPr>
            </w:pPr>
            <w:r>
              <w:rPr>
                <w:sz w:val="13"/>
                <w:szCs w:val="13"/>
              </w:rPr>
              <w:t>127,399,652.33</w:t>
            </w:r>
          </w:p>
        </w:tc>
        <w:tc>
          <w:tcPr>
            <w:tcW w:w="429" w:type="pct"/>
            <w:tcBorders>
              <w:left w:val="single" w:sz="6" w:space="0" w:color="auto"/>
              <w:right w:val="single" w:sz="6" w:space="0" w:color="auto"/>
            </w:tcBorders>
            <w:shd w:val="clear" w:color="auto" w:fill="auto"/>
            <w:vAlign w:val="center"/>
          </w:tcPr>
          <w:p w14:paraId="23749B62" w14:textId="77777777" w:rsidR="00E57DAA" w:rsidRDefault="00AC4185">
            <w:pPr>
              <w:jc w:val="right"/>
              <w:rPr>
                <w:sz w:val="13"/>
                <w:szCs w:val="13"/>
              </w:rPr>
            </w:pPr>
            <w:r>
              <w:rPr>
                <w:sz w:val="13"/>
                <w:szCs w:val="13"/>
              </w:rPr>
              <w:t>953,584.91</w:t>
            </w:r>
          </w:p>
        </w:tc>
        <w:tc>
          <w:tcPr>
            <w:tcW w:w="461" w:type="pct"/>
            <w:tcBorders>
              <w:left w:val="single" w:sz="6" w:space="0" w:color="auto"/>
              <w:right w:val="single" w:sz="6" w:space="0" w:color="auto"/>
            </w:tcBorders>
            <w:shd w:val="clear" w:color="auto" w:fill="auto"/>
            <w:vAlign w:val="center"/>
          </w:tcPr>
          <w:p w14:paraId="4B79CF13" w14:textId="77777777" w:rsidR="00E57DAA" w:rsidRDefault="00AC4185">
            <w:pPr>
              <w:jc w:val="right"/>
              <w:rPr>
                <w:sz w:val="13"/>
                <w:szCs w:val="13"/>
              </w:rPr>
            </w:pPr>
            <w:r>
              <w:rPr>
                <w:sz w:val="13"/>
                <w:szCs w:val="13"/>
              </w:rPr>
              <w:t>144,232,311.83</w:t>
            </w:r>
          </w:p>
        </w:tc>
        <w:tc>
          <w:tcPr>
            <w:tcW w:w="522" w:type="pct"/>
            <w:tcBorders>
              <w:left w:val="single" w:sz="6" w:space="0" w:color="auto"/>
              <w:right w:val="single" w:sz="6" w:space="0" w:color="auto"/>
            </w:tcBorders>
            <w:shd w:val="clear" w:color="auto" w:fill="auto"/>
            <w:vAlign w:val="center"/>
          </w:tcPr>
          <w:p w14:paraId="1B09E8E4" w14:textId="77777777" w:rsidR="00E57DAA" w:rsidRDefault="00AC4185">
            <w:pPr>
              <w:jc w:val="right"/>
              <w:rPr>
                <w:sz w:val="13"/>
                <w:szCs w:val="13"/>
              </w:rPr>
            </w:pPr>
            <w:r>
              <w:rPr>
                <w:sz w:val="13"/>
                <w:szCs w:val="13"/>
              </w:rPr>
              <w:t>870,877,875.64</w:t>
            </w:r>
          </w:p>
        </w:tc>
        <w:tc>
          <w:tcPr>
            <w:tcW w:w="410" w:type="pct"/>
            <w:tcBorders>
              <w:top w:val="single" w:sz="6" w:space="0" w:color="auto"/>
              <w:left w:val="single" w:sz="6" w:space="0" w:color="auto"/>
              <w:bottom w:val="single" w:sz="6" w:space="0" w:color="auto"/>
              <w:right w:val="single" w:sz="6" w:space="0" w:color="auto"/>
            </w:tcBorders>
            <w:vAlign w:val="center"/>
          </w:tcPr>
          <w:p w14:paraId="66383643" w14:textId="77777777" w:rsidR="00E57DAA" w:rsidRDefault="00AC4185">
            <w:pPr>
              <w:jc w:val="right"/>
              <w:rPr>
                <w:sz w:val="13"/>
                <w:szCs w:val="13"/>
              </w:rPr>
            </w:pPr>
            <w:r>
              <w:rPr>
                <w:sz w:val="13"/>
                <w:szCs w:val="13"/>
              </w:rPr>
              <w:t>152,842,575.51</w:t>
            </w:r>
          </w:p>
        </w:tc>
        <w:tc>
          <w:tcPr>
            <w:tcW w:w="410" w:type="pct"/>
            <w:tcBorders>
              <w:top w:val="single" w:sz="6" w:space="0" w:color="auto"/>
              <w:left w:val="single" w:sz="6" w:space="0" w:color="auto"/>
              <w:bottom w:val="single" w:sz="6" w:space="0" w:color="auto"/>
              <w:right w:val="single" w:sz="6" w:space="0" w:color="auto"/>
            </w:tcBorders>
            <w:vAlign w:val="center"/>
          </w:tcPr>
          <w:p w14:paraId="15869477" w14:textId="77777777" w:rsidR="00E57DAA" w:rsidRDefault="00AC4185">
            <w:pPr>
              <w:jc w:val="right"/>
              <w:rPr>
                <w:sz w:val="13"/>
                <w:szCs w:val="13"/>
              </w:rPr>
            </w:pPr>
            <w:r>
              <w:rPr>
                <w:sz w:val="13"/>
                <w:szCs w:val="13"/>
              </w:rPr>
              <w:t>130,012,568.19</w:t>
            </w:r>
          </w:p>
        </w:tc>
        <w:tc>
          <w:tcPr>
            <w:tcW w:w="410" w:type="pct"/>
            <w:tcBorders>
              <w:top w:val="single" w:sz="6" w:space="0" w:color="auto"/>
              <w:left w:val="single" w:sz="6" w:space="0" w:color="auto"/>
              <w:bottom w:val="single" w:sz="6" w:space="0" w:color="auto"/>
              <w:right w:val="single" w:sz="6" w:space="0" w:color="auto"/>
            </w:tcBorders>
            <w:vAlign w:val="center"/>
          </w:tcPr>
          <w:p w14:paraId="66FA50D3" w14:textId="77777777" w:rsidR="00E57DAA" w:rsidRDefault="00AC4185">
            <w:pPr>
              <w:jc w:val="right"/>
              <w:rPr>
                <w:sz w:val="13"/>
                <w:szCs w:val="13"/>
              </w:rPr>
            </w:pPr>
            <w:r>
              <w:rPr>
                <w:sz w:val="13"/>
                <w:szCs w:val="13"/>
              </w:rPr>
              <w:t>39,024,943.12</w:t>
            </w:r>
          </w:p>
        </w:tc>
        <w:tc>
          <w:tcPr>
            <w:tcW w:w="386" w:type="pct"/>
            <w:tcBorders>
              <w:top w:val="single" w:sz="6" w:space="0" w:color="auto"/>
              <w:left w:val="single" w:sz="6" w:space="0" w:color="auto"/>
              <w:bottom w:val="single" w:sz="6" w:space="0" w:color="auto"/>
              <w:right w:val="single" w:sz="6" w:space="0" w:color="auto"/>
            </w:tcBorders>
            <w:vAlign w:val="center"/>
          </w:tcPr>
          <w:p w14:paraId="2BFBA650" w14:textId="77777777" w:rsidR="00E57DAA" w:rsidRDefault="00AC4185">
            <w:pPr>
              <w:jc w:val="right"/>
              <w:rPr>
                <w:sz w:val="13"/>
                <w:szCs w:val="13"/>
              </w:rPr>
            </w:pPr>
            <w:r>
              <w:rPr>
                <w:sz w:val="13"/>
                <w:szCs w:val="13"/>
              </w:rPr>
              <w:t>9,850,000.00</w:t>
            </w:r>
          </w:p>
        </w:tc>
        <w:tc>
          <w:tcPr>
            <w:tcW w:w="408" w:type="pct"/>
            <w:tcBorders>
              <w:top w:val="single" w:sz="6" w:space="0" w:color="auto"/>
              <w:left w:val="single" w:sz="6" w:space="0" w:color="auto"/>
              <w:bottom w:val="single" w:sz="6" w:space="0" w:color="auto"/>
              <w:right w:val="single" w:sz="6" w:space="0" w:color="auto"/>
            </w:tcBorders>
            <w:vAlign w:val="center"/>
          </w:tcPr>
          <w:p w14:paraId="702827F9" w14:textId="77777777" w:rsidR="00E57DAA" w:rsidRDefault="00AC4185">
            <w:pPr>
              <w:jc w:val="right"/>
              <w:rPr>
                <w:sz w:val="13"/>
                <w:szCs w:val="13"/>
              </w:rPr>
            </w:pPr>
            <w:r>
              <w:rPr>
                <w:sz w:val="13"/>
                <w:szCs w:val="13"/>
              </w:rPr>
              <w:t>151,021,816.77</w:t>
            </w:r>
          </w:p>
        </w:tc>
      </w:tr>
      <w:tr w:rsidR="00E57DAA" w14:paraId="03116DC5"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3D3806D6" w14:textId="77777777" w:rsidR="00E57DAA" w:rsidRDefault="00AC4185">
            <w:pPr>
              <w:rPr>
                <w:rFonts w:cs="Arial"/>
                <w:color w:val="000000"/>
                <w:sz w:val="13"/>
                <w:szCs w:val="13"/>
              </w:rPr>
            </w:pPr>
            <w:r>
              <w:rPr>
                <w:rFonts w:cs="Arial" w:hint="eastAsia"/>
                <w:color w:val="000000"/>
                <w:sz w:val="13"/>
                <w:szCs w:val="13"/>
                <w:lang w:val="en-GB"/>
              </w:rPr>
              <w:t>净利润</w:t>
            </w:r>
          </w:p>
        </w:tc>
        <w:tc>
          <w:tcPr>
            <w:tcW w:w="406" w:type="pct"/>
            <w:tcBorders>
              <w:left w:val="single" w:sz="6" w:space="0" w:color="auto"/>
              <w:right w:val="single" w:sz="6" w:space="0" w:color="auto"/>
            </w:tcBorders>
            <w:shd w:val="clear" w:color="auto" w:fill="auto"/>
            <w:vAlign w:val="center"/>
          </w:tcPr>
          <w:p w14:paraId="296B244C" w14:textId="77777777" w:rsidR="00E57DAA" w:rsidRDefault="00AC4185">
            <w:pPr>
              <w:jc w:val="right"/>
              <w:rPr>
                <w:sz w:val="13"/>
                <w:szCs w:val="13"/>
              </w:rPr>
            </w:pPr>
            <w:r>
              <w:rPr>
                <w:sz w:val="13"/>
                <w:szCs w:val="13"/>
              </w:rPr>
              <w:t>30,820,028.49</w:t>
            </w:r>
          </w:p>
        </w:tc>
        <w:tc>
          <w:tcPr>
            <w:tcW w:w="411" w:type="pct"/>
            <w:tcBorders>
              <w:left w:val="single" w:sz="6" w:space="0" w:color="auto"/>
              <w:right w:val="single" w:sz="6" w:space="0" w:color="auto"/>
            </w:tcBorders>
            <w:shd w:val="clear" w:color="auto" w:fill="auto"/>
            <w:vAlign w:val="center"/>
          </w:tcPr>
          <w:p w14:paraId="0E5C484F" w14:textId="77777777" w:rsidR="00E57DAA" w:rsidRDefault="00AC4185">
            <w:pPr>
              <w:jc w:val="right"/>
              <w:rPr>
                <w:sz w:val="13"/>
                <w:szCs w:val="13"/>
              </w:rPr>
            </w:pPr>
            <w:r>
              <w:rPr>
                <w:sz w:val="13"/>
                <w:szCs w:val="13"/>
              </w:rPr>
              <w:t>7,929,113.43</w:t>
            </w:r>
          </w:p>
        </w:tc>
        <w:tc>
          <w:tcPr>
            <w:tcW w:w="409" w:type="pct"/>
            <w:tcBorders>
              <w:left w:val="single" w:sz="6" w:space="0" w:color="auto"/>
              <w:right w:val="single" w:sz="6" w:space="0" w:color="auto"/>
            </w:tcBorders>
            <w:shd w:val="clear" w:color="auto" w:fill="auto"/>
            <w:vAlign w:val="center"/>
          </w:tcPr>
          <w:p w14:paraId="054ECA3B" w14:textId="77777777" w:rsidR="00E57DAA" w:rsidRDefault="00AC4185">
            <w:pPr>
              <w:jc w:val="right"/>
              <w:rPr>
                <w:sz w:val="13"/>
                <w:szCs w:val="13"/>
              </w:rPr>
            </w:pPr>
            <w:r>
              <w:rPr>
                <w:sz w:val="13"/>
                <w:szCs w:val="13"/>
              </w:rPr>
              <w:t>151,105.96</w:t>
            </w:r>
          </w:p>
        </w:tc>
        <w:tc>
          <w:tcPr>
            <w:tcW w:w="429" w:type="pct"/>
            <w:tcBorders>
              <w:left w:val="single" w:sz="6" w:space="0" w:color="auto"/>
              <w:right w:val="single" w:sz="6" w:space="0" w:color="auto"/>
            </w:tcBorders>
            <w:shd w:val="clear" w:color="auto" w:fill="auto"/>
            <w:vAlign w:val="center"/>
          </w:tcPr>
          <w:p w14:paraId="3AB0F082" w14:textId="77777777" w:rsidR="00E57DAA" w:rsidRDefault="00AC4185">
            <w:pPr>
              <w:jc w:val="right"/>
              <w:rPr>
                <w:sz w:val="13"/>
                <w:szCs w:val="13"/>
              </w:rPr>
            </w:pPr>
            <w:r>
              <w:rPr>
                <w:sz w:val="13"/>
                <w:szCs w:val="13"/>
              </w:rPr>
              <w:t>-6,984,847.42</w:t>
            </w:r>
          </w:p>
        </w:tc>
        <w:tc>
          <w:tcPr>
            <w:tcW w:w="461" w:type="pct"/>
            <w:tcBorders>
              <w:left w:val="single" w:sz="6" w:space="0" w:color="auto"/>
              <w:right w:val="single" w:sz="6" w:space="0" w:color="auto"/>
            </w:tcBorders>
            <w:shd w:val="clear" w:color="auto" w:fill="auto"/>
            <w:vAlign w:val="center"/>
          </w:tcPr>
          <w:p w14:paraId="3107721C" w14:textId="77777777" w:rsidR="00E57DAA" w:rsidRDefault="00AC4185">
            <w:pPr>
              <w:jc w:val="right"/>
              <w:rPr>
                <w:sz w:val="13"/>
                <w:szCs w:val="13"/>
              </w:rPr>
            </w:pPr>
            <w:r>
              <w:rPr>
                <w:sz w:val="13"/>
                <w:szCs w:val="13"/>
              </w:rPr>
              <w:t>20,572,884.42</w:t>
            </w:r>
          </w:p>
        </w:tc>
        <w:tc>
          <w:tcPr>
            <w:tcW w:w="522" w:type="pct"/>
            <w:tcBorders>
              <w:left w:val="single" w:sz="6" w:space="0" w:color="auto"/>
              <w:right w:val="single" w:sz="6" w:space="0" w:color="auto"/>
            </w:tcBorders>
            <w:shd w:val="clear" w:color="auto" w:fill="auto"/>
            <w:vAlign w:val="center"/>
          </w:tcPr>
          <w:p w14:paraId="05B16F92" w14:textId="77777777" w:rsidR="00E57DAA" w:rsidRDefault="00AC4185">
            <w:pPr>
              <w:jc w:val="right"/>
              <w:rPr>
                <w:sz w:val="13"/>
                <w:szCs w:val="13"/>
              </w:rPr>
            </w:pPr>
            <w:r>
              <w:rPr>
                <w:sz w:val="13"/>
                <w:szCs w:val="13"/>
              </w:rPr>
              <w:t>156,937,070.67</w:t>
            </w:r>
          </w:p>
        </w:tc>
        <w:tc>
          <w:tcPr>
            <w:tcW w:w="410" w:type="pct"/>
            <w:tcBorders>
              <w:top w:val="single" w:sz="6" w:space="0" w:color="auto"/>
              <w:left w:val="single" w:sz="6" w:space="0" w:color="auto"/>
              <w:bottom w:val="single" w:sz="6" w:space="0" w:color="auto"/>
              <w:right w:val="single" w:sz="6" w:space="0" w:color="auto"/>
            </w:tcBorders>
            <w:vAlign w:val="center"/>
          </w:tcPr>
          <w:p w14:paraId="0311EDE3" w14:textId="77777777" w:rsidR="00E57DAA" w:rsidRDefault="00AC4185">
            <w:pPr>
              <w:jc w:val="right"/>
              <w:rPr>
                <w:sz w:val="13"/>
                <w:szCs w:val="13"/>
              </w:rPr>
            </w:pPr>
            <w:r>
              <w:rPr>
                <w:sz w:val="13"/>
                <w:szCs w:val="13"/>
              </w:rPr>
              <w:t>16,333,500.00</w:t>
            </w:r>
          </w:p>
        </w:tc>
        <w:tc>
          <w:tcPr>
            <w:tcW w:w="410" w:type="pct"/>
            <w:tcBorders>
              <w:top w:val="single" w:sz="6" w:space="0" w:color="auto"/>
              <w:left w:val="single" w:sz="6" w:space="0" w:color="auto"/>
              <w:bottom w:val="single" w:sz="6" w:space="0" w:color="auto"/>
              <w:right w:val="single" w:sz="6" w:space="0" w:color="auto"/>
            </w:tcBorders>
            <w:vAlign w:val="center"/>
          </w:tcPr>
          <w:p w14:paraId="61DFD9A1" w14:textId="77777777" w:rsidR="00E57DAA" w:rsidRDefault="00AC4185">
            <w:pPr>
              <w:jc w:val="right"/>
              <w:rPr>
                <w:sz w:val="13"/>
                <w:szCs w:val="13"/>
              </w:rPr>
            </w:pPr>
            <w:r>
              <w:rPr>
                <w:sz w:val="13"/>
                <w:szCs w:val="13"/>
              </w:rPr>
              <w:t>8,053,445.49</w:t>
            </w:r>
          </w:p>
        </w:tc>
        <w:tc>
          <w:tcPr>
            <w:tcW w:w="410" w:type="pct"/>
            <w:tcBorders>
              <w:top w:val="single" w:sz="6" w:space="0" w:color="auto"/>
              <w:left w:val="single" w:sz="6" w:space="0" w:color="auto"/>
              <w:bottom w:val="single" w:sz="6" w:space="0" w:color="auto"/>
              <w:right w:val="single" w:sz="6" w:space="0" w:color="auto"/>
            </w:tcBorders>
            <w:vAlign w:val="center"/>
          </w:tcPr>
          <w:p w14:paraId="63ACF039" w14:textId="77777777" w:rsidR="00E57DAA" w:rsidRDefault="00AC4185">
            <w:pPr>
              <w:jc w:val="right"/>
              <w:rPr>
                <w:sz w:val="13"/>
                <w:szCs w:val="13"/>
              </w:rPr>
            </w:pPr>
            <w:r>
              <w:rPr>
                <w:sz w:val="13"/>
                <w:szCs w:val="13"/>
              </w:rPr>
              <w:t>4,340,475.52</w:t>
            </w:r>
          </w:p>
        </w:tc>
        <w:tc>
          <w:tcPr>
            <w:tcW w:w="386" w:type="pct"/>
            <w:tcBorders>
              <w:top w:val="single" w:sz="6" w:space="0" w:color="auto"/>
              <w:left w:val="single" w:sz="6" w:space="0" w:color="auto"/>
              <w:bottom w:val="single" w:sz="6" w:space="0" w:color="auto"/>
              <w:right w:val="single" w:sz="6" w:space="0" w:color="auto"/>
            </w:tcBorders>
            <w:vAlign w:val="center"/>
          </w:tcPr>
          <w:p w14:paraId="7C88996A" w14:textId="77777777" w:rsidR="00E57DAA" w:rsidRDefault="00AC4185">
            <w:pPr>
              <w:jc w:val="right"/>
              <w:rPr>
                <w:sz w:val="13"/>
                <w:szCs w:val="13"/>
              </w:rPr>
            </w:pPr>
            <w:r>
              <w:rPr>
                <w:sz w:val="13"/>
                <w:szCs w:val="13"/>
              </w:rPr>
              <w:t>1,279,218.70</w:t>
            </w:r>
          </w:p>
        </w:tc>
        <w:tc>
          <w:tcPr>
            <w:tcW w:w="408" w:type="pct"/>
            <w:tcBorders>
              <w:top w:val="single" w:sz="6" w:space="0" w:color="auto"/>
              <w:left w:val="single" w:sz="6" w:space="0" w:color="auto"/>
              <w:bottom w:val="single" w:sz="6" w:space="0" w:color="auto"/>
              <w:right w:val="single" w:sz="6" w:space="0" w:color="auto"/>
            </w:tcBorders>
            <w:vAlign w:val="center"/>
          </w:tcPr>
          <w:p w14:paraId="1F726821" w14:textId="77777777" w:rsidR="00E57DAA" w:rsidRDefault="00AC4185">
            <w:pPr>
              <w:jc w:val="right"/>
              <w:rPr>
                <w:sz w:val="13"/>
                <w:szCs w:val="13"/>
              </w:rPr>
            </w:pPr>
            <w:r>
              <w:rPr>
                <w:sz w:val="13"/>
                <w:szCs w:val="13"/>
              </w:rPr>
              <w:t>49,881,524.26</w:t>
            </w:r>
          </w:p>
        </w:tc>
      </w:tr>
      <w:tr w:rsidR="00E57DAA" w14:paraId="7EDE684E"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4EACBF62" w14:textId="77777777" w:rsidR="00E57DAA" w:rsidRDefault="00AC4185">
            <w:pPr>
              <w:rPr>
                <w:rFonts w:cs="Arial"/>
                <w:color w:val="000000"/>
                <w:sz w:val="13"/>
                <w:szCs w:val="13"/>
                <w:lang w:val="en-GB"/>
              </w:rPr>
            </w:pPr>
            <w:r>
              <w:rPr>
                <w:rFonts w:cs="Arial" w:hint="eastAsia"/>
                <w:color w:val="000000"/>
                <w:sz w:val="13"/>
                <w:szCs w:val="13"/>
                <w:lang w:val="en-GB"/>
              </w:rPr>
              <w:t>终止经营的净利润</w:t>
            </w:r>
          </w:p>
        </w:tc>
        <w:tc>
          <w:tcPr>
            <w:tcW w:w="406" w:type="pct"/>
            <w:tcBorders>
              <w:left w:val="single" w:sz="6" w:space="0" w:color="auto"/>
              <w:right w:val="single" w:sz="6" w:space="0" w:color="auto"/>
            </w:tcBorders>
            <w:shd w:val="clear" w:color="auto" w:fill="auto"/>
          </w:tcPr>
          <w:p w14:paraId="543701DF"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tcPr>
          <w:p w14:paraId="5D4FAEBD"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tcPr>
          <w:p w14:paraId="54EF639F"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tcPr>
          <w:p w14:paraId="7ECDB83A"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tcPr>
          <w:p w14:paraId="352197BC"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tcPr>
          <w:p w14:paraId="64C6DB24"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3BD1D7BC"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7C4E1119"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59F2E910"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56E3E3C0"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vAlign w:val="center"/>
          </w:tcPr>
          <w:p w14:paraId="7FA52DE3" w14:textId="77777777" w:rsidR="00E57DAA" w:rsidRDefault="00E57DAA">
            <w:pPr>
              <w:jc w:val="right"/>
              <w:rPr>
                <w:sz w:val="13"/>
                <w:szCs w:val="13"/>
              </w:rPr>
            </w:pPr>
          </w:p>
        </w:tc>
      </w:tr>
      <w:tr w:rsidR="00E57DAA" w14:paraId="2CC3D668"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35546881" w14:textId="77777777" w:rsidR="00E57DAA" w:rsidRDefault="00AC4185">
            <w:pPr>
              <w:rPr>
                <w:rFonts w:cs="Arial"/>
                <w:color w:val="000000"/>
                <w:sz w:val="13"/>
                <w:szCs w:val="13"/>
              </w:rPr>
            </w:pPr>
            <w:r>
              <w:rPr>
                <w:rFonts w:cs="Arial" w:hint="eastAsia"/>
                <w:color w:val="000000"/>
                <w:sz w:val="13"/>
                <w:szCs w:val="13"/>
                <w:lang w:val="en-GB"/>
              </w:rPr>
              <w:t>其他综合收益</w:t>
            </w:r>
          </w:p>
        </w:tc>
        <w:tc>
          <w:tcPr>
            <w:tcW w:w="406" w:type="pct"/>
            <w:tcBorders>
              <w:left w:val="single" w:sz="6" w:space="0" w:color="auto"/>
              <w:right w:val="single" w:sz="6" w:space="0" w:color="auto"/>
            </w:tcBorders>
            <w:shd w:val="clear" w:color="auto" w:fill="auto"/>
          </w:tcPr>
          <w:p w14:paraId="0239F38F" w14:textId="77777777" w:rsidR="00E57DAA" w:rsidRDefault="00E57DAA">
            <w:pPr>
              <w:jc w:val="right"/>
              <w:rPr>
                <w:sz w:val="13"/>
                <w:szCs w:val="13"/>
              </w:rPr>
            </w:pPr>
          </w:p>
        </w:tc>
        <w:tc>
          <w:tcPr>
            <w:tcW w:w="411" w:type="pct"/>
            <w:tcBorders>
              <w:left w:val="single" w:sz="6" w:space="0" w:color="auto"/>
              <w:right w:val="single" w:sz="6" w:space="0" w:color="auto"/>
            </w:tcBorders>
            <w:shd w:val="clear" w:color="auto" w:fill="auto"/>
          </w:tcPr>
          <w:p w14:paraId="04416E80" w14:textId="77777777" w:rsidR="00E57DAA" w:rsidRDefault="00E57DAA">
            <w:pPr>
              <w:jc w:val="right"/>
              <w:rPr>
                <w:sz w:val="13"/>
                <w:szCs w:val="13"/>
              </w:rPr>
            </w:pPr>
          </w:p>
        </w:tc>
        <w:tc>
          <w:tcPr>
            <w:tcW w:w="409" w:type="pct"/>
            <w:tcBorders>
              <w:left w:val="single" w:sz="6" w:space="0" w:color="auto"/>
              <w:right w:val="single" w:sz="6" w:space="0" w:color="auto"/>
            </w:tcBorders>
            <w:shd w:val="clear" w:color="auto" w:fill="auto"/>
          </w:tcPr>
          <w:p w14:paraId="5D38C4CC" w14:textId="77777777" w:rsidR="00E57DAA" w:rsidRDefault="00E57DAA">
            <w:pPr>
              <w:jc w:val="right"/>
              <w:rPr>
                <w:sz w:val="13"/>
                <w:szCs w:val="13"/>
              </w:rPr>
            </w:pPr>
          </w:p>
        </w:tc>
        <w:tc>
          <w:tcPr>
            <w:tcW w:w="429" w:type="pct"/>
            <w:tcBorders>
              <w:left w:val="single" w:sz="6" w:space="0" w:color="auto"/>
              <w:right w:val="single" w:sz="6" w:space="0" w:color="auto"/>
            </w:tcBorders>
            <w:shd w:val="clear" w:color="auto" w:fill="auto"/>
          </w:tcPr>
          <w:p w14:paraId="65E29B97" w14:textId="77777777" w:rsidR="00E57DAA" w:rsidRDefault="00E57DAA">
            <w:pPr>
              <w:jc w:val="right"/>
              <w:rPr>
                <w:sz w:val="13"/>
                <w:szCs w:val="13"/>
              </w:rPr>
            </w:pPr>
          </w:p>
        </w:tc>
        <w:tc>
          <w:tcPr>
            <w:tcW w:w="461" w:type="pct"/>
            <w:tcBorders>
              <w:left w:val="single" w:sz="6" w:space="0" w:color="auto"/>
              <w:right w:val="single" w:sz="6" w:space="0" w:color="auto"/>
            </w:tcBorders>
            <w:shd w:val="clear" w:color="auto" w:fill="auto"/>
          </w:tcPr>
          <w:p w14:paraId="4177EA70" w14:textId="77777777" w:rsidR="00E57DAA" w:rsidRDefault="00E57DAA">
            <w:pPr>
              <w:jc w:val="right"/>
              <w:rPr>
                <w:sz w:val="13"/>
                <w:szCs w:val="13"/>
              </w:rPr>
            </w:pPr>
          </w:p>
        </w:tc>
        <w:tc>
          <w:tcPr>
            <w:tcW w:w="522" w:type="pct"/>
            <w:tcBorders>
              <w:left w:val="single" w:sz="6" w:space="0" w:color="auto"/>
              <w:right w:val="single" w:sz="6" w:space="0" w:color="auto"/>
            </w:tcBorders>
            <w:shd w:val="clear" w:color="auto" w:fill="auto"/>
            <w:vAlign w:val="center"/>
          </w:tcPr>
          <w:p w14:paraId="3069AAD2" w14:textId="77777777" w:rsidR="00E57DAA" w:rsidRDefault="00AC4185">
            <w:pPr>
              <w:jc w:val="right"/>
              <w:rPr>
                <w:sz w:val="13"/>
                <w:szCs w:val="13"/>
              </w:rPr>
            </w:pPr>
            <w:r>
              <w:rPr>
                <w:sz w:val="13"/>
                <w:szCs w:val="13"/>
              </w:rPr>
              <w:t>-15,942,682.57</w:t>
            </w:r>
          </w:p>
        </w:tc>
        <w:tc>
          <w:tcPr>
            <w:tcW w:w="410" w:type="pct"/>
            <w:tcBorders>
              <w:top w:val="single" w:sz="6" w:space="0" w:color="auto"/>
              <w:left w:val="single" w:sz="6" w:space="0" w:color="auto"/>
              <w:bottom w:val="single" w:sz="6" w:space="0" w:color="auto"/>
              <w:right w:val="single" w:sz="6" w:space="0" w:color="auto"/>
            </w:tcBorders>
            <w:vAlign w:val="center"/>
          </w:tcPr>
          <w:p w14:paraId="60CB15DA"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6A1224AF" w14:textId="77777777" w:rsidR="00E57DAA" w:rsidRDefault="00E57DAA">
            <w:pPr>
              <w:jc w:val="right"/>
              <w:rPr>
                <w:sz w:val="13"/>
                <w:szCs w:val="13"/>
              </w:rPr>
            </w:pPr>
          </w:p>
        </w:tc>
        <w:tc>
          <w:tcPr>
            <w:tcW w:w="410" w:type="pct"/>
            <w:tcBorders>
              <w:top w:val="single" w:sz="6" w:space="0" w:color="auto"/>
              <w:left w:val="single" w:sz="6" w:space="0" w:color="auto"/>
              <w:bottom w:val="single" w:sz="6" w:space="0" w:color="auto"/>
              <w:right w:val="single" w:sz="6" w:space="0" w:color="auto"/>
            </w:tcBorders>
            <w:vAlign w:val="center"/>
          </w:tcPr>
          <w:p w14:paraId="55163B45" w14:textId="77777777" w:rsidR="00E57DAA" w:rsidRDefault="00E57DAA">
            <w:pPr>
              <w:jc w:val="right"/>
              <w:rPr>
                <w:sz w:val="13"/>
                <w:szCs w:val="13"/>
              </w:rPr>
            </w:pPr>
          </w:p>
        </w:tc>
        <w:tc>
          <w:tcPr>
            <w:tcW w:w="386" w:type="pct"/>
            <w:tcBorders>
              <w:top w:val="single" w:sz="6" w:space="0" w:color="auto"/>
              <w:left w:val="single" w:sz="6" w:space="0" w:color="auto"/>
              <w:bottom w:val="single" w:sz="6" w:space="0" w:color="auto"/>
              <w:right w:val="single" w:sz="6" w:space="0" w:color="auto"/>
            </w:tcBorders>
            <w:vAlign w:val="center"/>
          </w:tcPr>
          <w:p w14:paraId="50EC9CE8" w14:textId="77777777" w:rsidR="00E57DAA" w:rsidRDefault="00E57DAA">
            <w:pPr>
              <w:jc w:val="right"/>
              <w:rPr>
                <w:sz w:val="13"/>
                <w:szCs w:val="13"/>
              </w:rPr>
            </w:pPr>
          </w:p>
        </w:tc>
        <w:tc>
          <w:tcPr>
            <w:tcW w:w="408" w:type="pct"/>
            <w:tcBorders>
              <w:top w:val="single" w:sz="6" w:space="0" w:color="auto"/>
              <w:left w:val="single" w:sz="6" w:space="0" w:color="auto"/>
              <w:bottom w:val="single" w:sz="6" w:space="0" w:color="auto"/>
              <w:right w:val="single" w:sz="6" w:space="0" w:color="auto"/>
            </w:tcBorders>
            <w:vAlign w:val="center"/>
          </w:tcPr>
          <w:p w14:paraId="204C5E21" w14:textId="77777777" w:rsidR="00E57DAA" w:rsidRDefault="00E57DAA">
            <w:pPr>
              <w:jc w:val="right"/>
              <w:rPr>
                <w:sz w:val="13"/>
                <w:szCs w:val="13"/>
              </w:rPr>
            </w:pPr>
          </w:p>
        </w:tc>
      </w:tr>
      <w:tr w:rsidR="00E57DAA" w14:paraId="448A4A22" w14:textId="77777777">
        <w:tc>
          <w:tcPr>
            <w:tcW w:w="338" w:type="pct"/>
            <w:tcBorders>
              <w:top w:val="single" w:sz="6" w:space="0" w:color="auto"/>
              <w:left w:val="single" w:sz="4" w:space="0" w:color="auto"/>
              <w:bottom w:val="single" w:sz="6" w:space="0" w:color="auto"/>
              <w:right w:val="single" w:sz="6" w:space="0" w:color="auto"/>
            </w:tcBorders>
            <w:shd w:val="clear" w:color="auto" w:fill="auto"/>
            <w:vAlign w:val="bottom"/>
          </w:tcPr>
          <w:p w14:paraId="70051305" w14:textId="77777777" w:rsidR="00E57DAA" w:rsidRDefault="00AC4185">
            <w:pPr>
              <w:rPr>
                <w:rFonts w:cs="Arial"/>
                <w:color w:val="000000"/>
                <w:sz w:val="13"/>
                <w:szCs w:val="13"/>
              </w:rPr>
            </w:pPr>
            <w:r>
              <w:rPr>
                <w:rFonts w:cs="Arial" w:hint="eastAsia"/>
                <w:color w:val="000000"/>
                <w:sz w:val="13"/>
                <w:szCs w:val="13"/>
                <w:lang w:val="en-GB"/>
              </w:rPr>
              <w:t>综合收益总额</w:t>
            </w:r>
          </w:p>
        </w:tc>
        <w:tc>
          <w:tcPr>
            <w:tcW w:w="406" w:type="pct"/>
            <w:tcBorders>
              <w:left w:val="single" w:sz="6" w:space="0" w:color="auto"/>
              <w:right w:val="single" w:sz="6" w:space="0" w:color="auto"/>
            </w:tcBorders>
            <w:shd w:val="clear" w:color="auto" w:fill="auto"/>
            <w:vAlign w:val="center"/>
          </w:tcPr>
          <w:p w14:paraId="0DB78C59" w14:textId="77777777" w:rsidR="00E57DAA" w:rsidRDefault="00AC4185">
            <w:pPr>
              <w:jc w:val="right"/>
              <w:rPr>
                <w:sz w:val="13"/>
                <w:szCs w:val="13"/>
              </w:rPr>
            </w:pPr>
            <w:r>
              <w:rPr>
                <w:sz w:val="13"/>
                <w:szCs w:val="13"/>
              </w:rPr>
              <w:t>30,820,028.49</w:t>
            </w:r>
          </w:p>
        </w:tc>
        <w:tc>
          <w:tcPr>
            <w:tcW w:w="411" w:type="pct"/>
            <w:tcBorders>
              <w:left w:val="single" w:sz="6" w:space="0" w:color="auto"/>
              <w:right w:val="single" w:sz="6" w:space="0" w:color="auto"/>
            </w:tcBorders>
            <w:shd w:val="clear" w:color="auto" w:fill="auto"/>
            <w:vAlign w:val="center"/>
          </w:tcPr>
          <w:p w14:paraId="558FEA9A" w14:textId="77777777" w:rsidR="00E57DAA" w:rsidRDefault="00AC4185">
            <w:pPr>
              <w:jc w:val="right"/>
              <w:rPr>
                <w:sz w:val="13"/>
                <w:szCs w:val="13"/>
              </w:rPr>
            </w:pPr>
            <w:r>
              <w:rPr>
                <w:sz w:val="13"/>
                <w:szCs w:val="13"/>
              </w:rPr>
              <w:t>7,929,113.43</w:t>
            </w:r>
          </w:p>
        </w:tc>
        <w:tc>
          <w:tcPr>
            <w:tcW w:w="409" w:type="pct"/>
            <w:tcBorders>
              <w:left w:val="single" w:sz="6" w:space="0" w:color="auto"/>
              <w:right w:val="single" w:sz="6" w:space="0" w:color="auto"/>
            </w:tcBorders>
            <w:shd w:val="clear" w:color="auto" w:fill="auto"/>
            <w:vAlign w:val="center"/>
          </w:tcPr>
          <w:p w14:paraId="0D27FF99" w14:textId="77777777" w:rsidR="00E57DAA" w:rsidRDefault="00AC4185">
            <w:pPr>
              <w:jc w:val="right"/>
              <w:rPr>
                <w:sz w:val="13"/>
                <w:szCs w:val="13"/>
              </w:rPr>
            </w:pPr>
            <w:r>
              <w:rPr>
                <w:sz w:val="13"/>
                <w:szCs w:val="13"/>
              </w:rPr>
              <w:t>151,105.96</w:t>
            </w:r>
          </w:p>
        </w:tc>
        <w:tc>
          <w:tcPr>
            <w:tcW w:w="429" w:type="pct"/>
            <w:tcBorders>
              <w:left w:val="single" w:sz="6" w:space="0" w:color="auto"/>
              <w:right w:val="single" w:sz="6" w:space="0" w:color="auto"/>
            </w:tcBorders>
            <w:shd w:val="clear" w:color="auto" w:fill="auto"/>
            <w:vAlign w:val="center"/>
          </w:tcPr>
          <w:p w14:paraId="52854867" w14:textId="77777777" w:rsidR="00E57DAA" w:rsidRDefault="00AC4185">
            <w:pPr>
              <w:jc w:val="right"/>
              <w:rPr>
                <w:sz w:val="13"/>
                <w:szCs w:val="13"/>
              </w:rPr>
            </w:pPr>
            <w:r>
              <w:rPr>
                <w:sz w:val="13"/>
                <w:szCs w:val="13"/>
              </w:rPr>
              <w:t>-6,984,847.42</w:t>
            </w:r>
          </w:p>
        </w:tc>
        <w:tc>
          <w:tcPr>
            <w:tcW w:w="461" w:type="pct"/>
            <w:tcBorders>
              <w:left w:val="single" w:sz="6" w:space="0" w:color="auto"/>
              <w:right w:val="single" w:sz="6" w:space="0" w:color="auto"/>
            </w:tcBorders>
            <w:shd w:val="clear" w:color="auto" w:fill="auto"/>
            <w:vAlign w:val="center"/>
          </w:tcPr>
          <w:p w14:paraId="5E377D9E" w14:textId="77777777" w:rsidR="00E57DAA" w:rsidRDefault="00AC4185">
            <w:pPr>
              <w:jc w:val="right"/>
              <w:rPr>
                <w:sz w:val="13"/>
                <w:szCs w:val="13"/>
              </w:rPr>
            </w:pPr>
            <w:r>
              <w:rPr>
                <w:sz w:val="13"/>
                <w:szCs w:val="13"/>
              </w:rPr>
              <w:t>20,572,884.42</w:t>
            </w:r>
          </w:p>
        </w:tc>
        <w:tc>
          <w:tcPr>
            <w:tcW w:w="522" w:type="pct"/>
            <w:tcBorders>
              <w:left w:val="single" w:sz="6" w:space="0" w:color="auto"/>
              <w:right w:val="single" w:sz="6" w:space="0" w:color="auto"/>
            </w:tcBorders>
            <w:shd w:val="clear" w:color="auto" w:fill="auto"/>
            <w:vAlign w:val="center"/>
          </w:tcPr>
          <w:p w14:paraId="11DB0D50" w14:textId="77777777" w:rsidR="00E57DAA" w:rsidRDefault="00AC4185">
            <w:pPr>
              <w:jc w:val="right"/>
              <w:rPr>
                <w:sz w:val="13"/>
                <w:szCs w:val="13"/>
              </w:rPr>
            </w:pPr>
            <w:r>
              <w:rPr>
                <w:sz w:val="13"/>
                <w:szCs w:val="13"/>
              </w:rPr>
              <w:t>140,994,388.10</w:t>
            </w:r>
          </w:p>
        </w:tc>
        <w:tc>
          <w:tcPr>
            <w:tcW w:w="410" w:type="pct"/>
            <w:tcBorders>
              <w:top w:val="single" w:sz="6" w:space="0" w:color="auto"/>
              <w:left w:val="single" w:sz="6" w:space="0" w:color="auto"/>
              <w:bottom w:val="single" w:sz="6" w:space="0" w:color="auto"/>
              <w:right w:val="single" w:sz="6" w:space="0" w:color="auto"/>
            </w:tcBorders>
            <w:vAlign w:val="center"/>
          </w:tcPr>
          <w:p w14:paraId="1B9A73A8" w14:textId="77777777" w:rsidR="00E57DAA" w:rsidRDefault="00AC4185">
            <w:pPr>
              <w:jc w:val="right"/>
              <w:rPr>
                <w:sz w:val="13"/>
                <w:szCs w:val="13"/>
              </w:rPr>
            </w:pPr>
            <w:r>
              <w:rPr>
                <w:sz w:val="13"/>
                <w:szCs w:val="13"/>
              </w:rPr>
              <w:t>16,333,500.00</w:t>
            </w:r>
          </w:p>
        </w:tc>
        <w:tc>
          <w:tcPr>
            <w:tcW w:w="410" w:type="pct"/>
            <w:tcBorders>
              <w:top w:val="single" w:sz="6" w:space="0" w:color="auto"/>
              <w:left w:val="single" w:sz="6" w:space="0" w:color="auto"/>
              <w:bottom w:val="single" w:sz="6" w:space="0" w:color="auto"/>
              <w:right w:val="single" w:sz="6" w:space="0" w:color="auto"/>
            </w:tcBorders>
            <w:vAlign w:val="center"/>
          </w:tcPr>
          <w:p w14:paraId="0F53B359" w14:textId="77777777" w:rsidR="00E57DAA" w:rsidRDefault="00AC4185">
            <w:pPr>
              <w:jc w:val="right"/>
              <w:rPr>
                <w:sz w:val="13"/>
                <w:szCs w:val="13"/>
              </w:rPr>
            </w:pPr>
            <w:r>
              <w:rPr>
                <w:sz w:val="13"/>
                <w:szCs w:val="13"/>
              </w:rPr>
              <w:t>8,053,445.49</w:t>
            </w:r>
          </w:p>
        </w:tc>
        <w:tc>
          <w:tcPr>
            <w:tcW w:w="410" w:type="pct"/>
            <w:tcBorders>
              <w:top w:val="single" w:sz="6" w:space="0" w:color="auto"/>
              <w:left w:val="single" w:sz="6" w:space="0" w:color="auto"/>
              <w:bottom w:val="single" w:sz="6" w:space="0" w:color="auto"/>
              <w:right w:val="single" w:sz="6" w:space="0" w:color="auto"/>
            </w:tcBorders>
            <w:vAlign w:val="center"/>
          </w:tcPr>
          <w:p w14:paraId="19142378" w14:textId="77777777" w:rsidR="00E57DAA" w:rsidRDefault="00AC4185">
            <w:pPr>
              <w:jc w:val="right"/>
              <w:rPr>
                <w:sz w:val="13"/>
                <w:szCs w:val="13"/>
              </w:rPr>
            </w:pPr>
            <w:r>
              <w:rPr>
                <w:sz w:val="13"/>
                <w:szCs w:val="13"/>
              </w:rPr>
              <w:t>4,340,475.52</w:t>
            </w:r>
          </w:p>
        </w:tc>
        <w:tc>
          <w:tcPr>
            <w:tcW w:w="386" w:type="pct"/>
            <w:tcBorders>
              <w:top w:val="single" w:sz="6" w:space="0" w:color="auto"/>
              <w:left w:val="single" w:sz="6" w:space="0" w:color="auto"/>
              <w:bottom w:val="single" w:sz="6" w:space="0" w:color="auto"/>
              <w:right w:val="single" w:sz="6" w:space="0" w:color="auto"/>
            </w:tcBorders>
            <w:vAlign w:val="center"/>
          </w:tcPr>
          <w:p w14:paraId="34A166AC" w14:textId="77777777" w:rsidR="00E57DAA" w:rsidRDefault="00AC4185">
            <w:pPr>
              <w:jc w:val="right"/>
              <w:rPr>
                <w:sz w:val="13"/>
                <w:szCs w:val="13"/>
              </w:rPr>
            </w:pPr>
            <w:r>
              <w:rPr>
                <w:sz w:val="13"/>
                <w:szCs w:val="13"/>
              </w:rPr>
              <w:t>1,279,218.70</w:t>
            </w:r>
          </w:p>
        </w:tc>
        <w:tc>
          <w:tcPr>
            <w:tcW w:w="408" w:type="pct"/>
            <w:tcBorders>
              <w:top w:val="single" w:sz="6" w:space="0" w:color="auto"/>
              <w:left w:val="single" w:sz="6" w:space="0" w:color="auto"/>
              <w:bottom w:val="single" w:sz="6" w:space="0" w:color="auto"/>
              <w:right w:val="single" w:sz="6" w:space="0" w:color="auto"/>
            </w:tcBorders>
            <w:vAlign w:val="center"/>
          </w:tcPr>
          <w:p w14:paraId="2EEC912D" w14:textId="77777777" w:rsidR="00E57DAA" w:rsidRDefault="00AC4185">
            <w:pPr>
              <w:jc w:val="right"/>
              <w:rPr>
                <w:sz w:val="13"/>
                <w:szCs w:val="13"/>
              </w:rPr>
            </w:pPr>
            <w:r>
              <w:rPr>
                <w:sz w:val="13"/>
                <w:szCs w:val="13"/>
              </w:rPr>
              <w:t>49,881,524.26</w:t>
            </w:r>
          </w:p>
        </w:tc>
      </w:tr>
      <w:tr w:rsidR="00E57DAA" w14:paraId="38709C59" w14:textId="77777777">
        <w:tc>
          <w:tcPr>
            <w:tcW w:w="5000" w:type="pct"/>
            <w:gridSpan w:val="12"/>
            <w:tcBorders>
              <w:top w:val="single" w:sz="6" w:space="0" w:color="auto"/>
              <w:left w:val="single" w:sz="4" w:space="0" w:color="auto"/>
              <w:bottom w:val="single" w:sz="4" w:space="0" w:color="auto"/>
              <w:right w:val="single" w:sz="6" w:space="0" w:color="auto"/>
            </w:tcBorders>
            <w:shd w:val="clear" w:color="auto" w:fill="auto"/>
            <w:vAlign w:val="bottom"/>
          </w:tcPr>
          <w:p w14:paraId="084ACB94" w14:textId="77777777" w:rsidR="00E57DAA" w:rsidRDefault="00E57DAA">
            <w:pPr>
              <w:jc w:val="right"/>
              <w:rPr>
                <w:sz w:val="13"/>
                <w:szCs w:val="13"/>
              </w:rPr>
            </w:pPr>
          </w:p>
        </w:tc>
      </w:tr>
      <w:tr w:rsidR="00E57DAA" w14:paraId="2845776F" w14:textId="77777777">
        <w:tc>
          <w:tcPr>
            <w:tcW w:w="338" w:type="pct"/>
            <w:tcBorders>
              <w:top w:val="single" w:sz="6" w:space="0" w:color="auto"/>
              <w:left w:val="single" w:sz="4" w:space="0" w:color="auto"/>
              <w:bottom w:val="single" w:sz="4" w:space="0" w:color="auto"/>
              <w:right w:val="single" w:sz="6" w:space="0" w:color="auto"/>
            </w:tcBorders>
            <w:shd w:val="clear" w:color="auto" w:fill="auto"/>
            <w:vAlign w:val="bottom"/>
          </w:tcPr>
          <w:p w14:paraId="532AC2EB" w14:textId="77777777" w:rsidR="00E57DAA" w:rsidRDefault="00AC4185">
            <w:pPr>
              <w:rPr>
                <w:rFonts w:cs="Arial"/>
                <w:color w:val="000000"/>
                <w:sz w:val="13"/>
                <w:szCs w:val="13"/>
              </w:rPr>
            </w:pPr>
            <w:r>
              <w:rPr>
                <w:rFonts w:cs="Arial" w:hint="eastAsia"/>
                <w:color w:val="000000"/>
                <w:sz w:val="13"/>
                <w:szCs w:val="13"/>
                <w:lang w:val="en-GB"/>
              </w:rPr>
              <w:t>本年度收到的来自联营企业的股利</w:t>
            </w:r>
          </w:p>
        </w:tc>
        <w:tc>
          <w:tcPr>
            <w:tcW w:w="406" w:type="pct"/>
            <w:tcBorders>
              <w:left w:val="single" w:sz="6" w:space="0" w:color="auto"/>
              <w:bottom w:val="single" w:sz="4" w:space="0" w:color="auto"/>
              <w:right w:val="single" w:sz="6" w:space="0" w:color="auto"/>
            </w:tcBorders>
            <w:shd w:val="clear" w:color="auto" w:fill="auto"/>
            <w:vAlign w:val="center"/>
          </w:tcPr>
          <w:p w14:paraId="2A84A13E" w14:textId="77777777" w:rsidR="00E57DAA" w:rsidRDefault="00E57DAA">
            <w:pPr>
              <w:jc w:val="right"/>
              <w:rPr>
                <w:sz w:val="13"/>
                <w:szCs w:val="13"/>
              </w:rPr>
            </w:pPr>
          </w:p>
        </w:tc>
        <w:tc>
          <w:tcPr>
            <w:tcW w:w="411" w:type="pct"/>
            <w:tcBorders>
              <w:left w:val="single" w:sz="6" w:space="0" w:color="auto"/>
              <w:bottom w:val="single" w:sz="4" w:space="0" w:color="auto"/>
              <w:right w:val="single" w:sz="6" w:space="0" w:color="auto"/>
            </w:tcBorders>
            <w:shd w:val="clear" w:color="auto" w:fill="auto"/>
            <w:vAlign w:val="center"/>
          </w:tcPr>
          <w:p w14:paraId="3D2A8245" w14:textId="77777777" w:rsidR="00E57DAA" w:rsidRDefault="00E57DAA">
            <w:pPr>
              <w:jc w:val="right"/>
              <w:rPr>
                <w:sz w:val="13"/>
                <w:szCs w:val="13"/>
              </w:rPr>
            </w:pPr>
          </w:p>
        </w:tc>
        <w:tc>
          <w:tcPr>
            <w:tcW w:w="409" w:type="pct"/>
            <w:tcBorders>
              <w:left w:val="single" w:sz="6" w:space="0" w:color="auto"/>
              <w:bottom w:val="single" w:sz="4" w:space="0" w:color="auto"/>
              <w:right w:val="single" w:sz="6" w:space="0" w:color="auto"/>
            </w:tcBorders>
            <w:shd w:val="clear" w:color="auto" w:fill="auto"/>
            <w:vAlign w:val="center"/>
          </w:tcPr>
          <w:p w14:paraId="22D45421" w14:textId="77777777" w:rsidR="00E57DAA" w:rsidRDefault="00E57DAA">
            <w:pPr>
              <w:jc w:val="right"/>
              <w:rPr>
                <w:sz w:val="13"/>
                <w:szCs w:val="13"/>
              </w:rPr>
            </w:pPr>
          </w:p>
        </w:tc>
        <w:tc>
          <w:tcPr>
            <w:tcW w:w="429" w:type="pct"/>
            <w:tcBorders>
              <w:left w:val="single" w:sz="6" w:space="0" w:color="auto"/>
              <w:bottom w:val="single" w:sz="4" w:space="0" w:color="auto"/>
              <w:right w:val="single" w:sz="6" w:space="0" w:color="auto"/>
            </w:tcBorders>
            <w:shd w:val="clear" w:color="auto" w:fill="auto"/>
            <w:vAlign w:val="center"/>
          </w:tcPr>
          <w:p w14:paraId="46AC3F45" w14:textId="77777777" w:rsidR="00E57DAA" w:rsidRDefault="00E57DAA">
            <w:pPr>
              <w:jc w:val="right"/>
              <w:rPr>
                <w:sz w:val="13"/>
                <w:szCs w:val="13"/>
              </w:rPr>
            </w:pPr>
          </w:p>
        </w:tc>
        <w:tc>
          <w:tcPr>
            <w:tcW w:w="461" w:type="pct"/>
            <w:tcBorders>
              <w:left w:val="single" w:sz="6" w:space="0" w:color="auto"/>
              <w:bottom w:val="single" w:sz="4" w:space="0" w:color="auto"/>
              <w:right w:val="single" w:sz="6" w:space="0" w:color="auto"/>
            </w:tcBorders>
            <w:shd w:val="clear" w:color="auto" w:fill="auto"/>
            <w:vAlign w:val="center"/>
          </w:tcPr>
          <w:p w14:paraId="59040644" w14:textId="77777777" w:rsidR="00E57DAA" w:rsidRDefault="00AC4185">
            <w:pPr>
              <w:jc w:val="right"/>
              <w:rPr>
                <w:sz w:val="13"/>
                <w:szCs w:val="13"/>
              </w:rPr>
            </w:pPr>
            <w:r>
              <w:rPr>
                <w:sz w:val="13"/>
                <w:szCs w:val="13"/>
              </w:rPr>
              <w:t>7,168,403.39</w:t>
            </w:r>
          </w:p>
        </w:tc>
        <w:tc>
          <w:tcPr>
            <w:tcW w:w="522" w:type="pct"/>
            <w:tcBorders>
              <w:left w:val="single" w:sz="6" w:space="0" w:color="auto"/>
              <w:bottom w:val="single" w:sz="4" w:space="0" w:color="auto"/>
              <w:right w:val="single" w:sz="6" w:space="0" w:color="auto"/>
            </w:tcBorders>
            <w:shd w:val="clear" w:color="auto" w:fill="auto"/>
            <w:vAlign w:val="center"/>
          </w:tcPr>
          <w:p w14:paraId="0A71547E" w14:textId="77777777" w:rsidR="00E57DAA" w:rsidRDefault="00E57DAA">
            <w:pPr>
              <w:jc w:val="right"/>
              <w:rPr>
                <w:sz w:val="13"/>
                <w:szCs w:val="13"/>
              </w:rPr>
            </w:pPr>
          </w:p>
        </w:tc>
        <w:tc>
          <w:tcPr>
            <w:tcW w:w="410" w:type="pct"/>
            <w:tcBorders>
              <w:top w:val="single" w:sz="6" w:space="0" w:color="auto"/>
              <w:left w:val="single" w:sz="6" w:space="0" w:color="auto"/>
              <w:bottom w:val="single" w:sz="4" w:space="0" w:color="auto"/>
              <w:right w:val="single" w:sz="6" w:space="0" w:color="auto"/>
            </w:tcBorders>
            <w:vAlign w:val="center"/>
          </w:tcPr>
          <w:p w14:paraId="38C32DEE" w14:textId="77777777" w:rsidR="00E57DAA" w:rsidRDefault="00AC4185">
            <w:pPr>
              <w:jc w:val="right"/>
              <w:rPr>
                <w:sz w:val="13"/>
                <w:szCs w:val="13"/>
              </w:rPr>
            </w:pPr>
            <w:r>
              <w:rPr>
                <w:sz w:val="13"/>
                <w:szCs w:val="13"/>
              </w:rPr>
              <w:t>2,040,114.46</w:t>
            </w:r>
          </w:p>
        </w:tc>
        <w:tc>
          <w:tcPr>
            <w:tcW w:w="410" w:type="pct"/>
            <w:tcBorders>
              <w:top w:val="single" w:sz="6" w:space="0" w:color="auto"/>
              <w:left w:val="single" w:sz="6" w:space="0" w:color="auto"/>
              <w:bottom w:val="single" w:sz="4" w:space="0" w:color="auto"/>
              <w:right w:val="single" w:sz="6" w:space="0" w:color="auto"/>
            </w:tcBorders>
            <w:vAlign w:val="center"/>
          </w:tcPr>
          <w:p w14:paraId="32C5DA3B" w14:textId="77777777" w:rsidR="00E57DAA" w:rsidRDefault="00E57DAA">
            <w:pPr>
              <w:jc w:val="right"/>
              <w:rPr>
                <w:sz w:val="13"/>
                <w:szCs w:val="13"/>
              </w:rPr>
            </w:pPr>
          </w:p>
        </w:tc>
        <w:tc>
          <w:tcPr>
            <w:tcW w:w="410" w:type="pct"/>
            <w:tcBorders>
              <w:top w:val="single" w:sz="6" w:space="0" w:color="auto"/>
              <w:left w:val="single" w:sz="6" w:space="0" w:color="auto"/>
              <w:bottom w:val="single" w:sz="4" w:space="0" w:color="auto"/>
              <w:right w:val="single" w:sz="6" w:space="0" w:color="auto"/>
            </w:tcBorders>
            <w:vAlign w:val="center"/>
          </w:tcPr>
          <w:p w14:paraId="6B51C9F2" w14:textId="77777777" w:rsidR="00E57DAA" w:rsidRDefault="00E57DAA">
            <w:pPr>
              <w:jc w:val="right"/>
              <w:rPr>
                <w:sz w:val="13"/>
                <w:szCs w:val="13"/>
              </w:rPr>
            </w:pPr>
          </w:p>
        </w:tc>
        <w:tc>
          <w:tcPr>
            <w:tcW w:w="386" w:type="pct"/>
            <w:tcBorders>
              <w:top w:val="single" w:sz="6" w:space="0" w:color="auto"/>
              <w:left w:val="single" w:sz="6" w:space="0" w:color="auto"/>
              <w:bottom w:val="single" w:sz="4" w:space="0" w:color="auto"/>
              <w:right w:val="single" w:sz="6" w:space="0" w:color="auto"/>
            </w:tcBorders>
            <w:vAlign w:val="center"/>
          </w:tcPr>
          <w:p w14:paraId="3BBD31D0" w14:textId="77777777" w:rsidR="00E57DAA" w:rsidRDefault="00E57DAA">
            <w:pPr>
              <w:jc w:val="right"/>
              <w:rPr>
                <w:sz w:val="13"/>
                <w:szCs w:val="13"/>
              </w:rPr>
            </w:pPr>
          </w:p>
        </w:tc>
        <w:tc>
          <w:tcPr>
            <w:tcW w:w="408" w:type="pct"/>
            <w:tcBorders>
              <w:top w:val="single" w:sz="6" w:space="0" w:color="auto"/>
              <w:left w:val="single" w:sz="6" w:space="0" w:color="auto"/>
              <w:bottom w:val="single" w:sz="4" w:space="0" w:color="auto"/>
              <w:right w:val="single" w:sz="6" w:space="0" w:color="auto"/>
            </w:tcBorders>
            <w:vAlign w:val="center"/>
          </w:tcPr>
          <w:p w14:paraId="642CDDCA" w14:textId="77777777" w:rsidR="00E57DAA" w:rsidRDefault="00AC4185">
            <w:pPr>
              <w:jc w:val="right"/>
              <w:rPr>
                <w:sz w:val="13"/>
                <w:szCs w:val="13"/>
              </w:rPr>
            </w:pPr>
            <w:r>
              <w:rPr>
                <w:sz w:val="13"/>
                <w:szCs w:val="13"/>
              </w:rPr>
              <w:t>12,533,024.73</w:t>
            </w:r>
          </w:p>
        </w:tc>
      </w:tr>
    </w:tbl>
    <w:p w14:paraId="0C03AA21" w14:textId="77777777" w:rsidR="00E57DAA" w:rsidRDefault="00E57DAA"/>
    <w:p w14:paraId="03A26E70" w14:textId="77777777" w:rsidR="00E57DAA" w:rsidRDefault="00E57DAA">
      <w:pPr>
        <w:rPr>
          <w:rFonts w:cs="Arial"/>
          <w:szCs w:val="21"/>
        </w:rPr>
        <w:sectPr w:rsidR="00E57DAA" w:rsidSect="00226547">
          <w:pgSz w:w="16838" w:h="11906" w:orient="landscape"/>
          <w:pgMar w:top="1797" w:right="1525" w:bottom="1276" w:left="1440" w:header="856" w:footer="992" w:gutter="0"/>
          <w:cols w:space="425"/>
          <w:docGrid w:linePitch="312"/>
        </w:sectPr>
      </w:pPr>
    </w:p>
    <w:p w14:paraId="097365E1" w14:textId="77777777" w:rsidR="00E57DAA" w:rsidRDefault="00E57DAA">
      <w:pPr>
        <w:rPr>
          <w:rFonts w:cs="Arial"/>
          <w:szCs w:val="21"/>
        </w:rPr>
      </w:pPr>
    </w:p>
    <w:p w14:paraId="2B181C24" w14:textId="77777777" w:rsidR="00E57DAA" w:rsidRDefault="00E57DAA">
      <w:pPr>
        <w:rPr>
          <w:rFonts w:cs="Arial"/>
          <w:szCs w:val="21"/>
        </w:rPr>
      </w:pPr>
    </w:p>
    <w:p w14:paraId="56FC5BC8" w14:textId="77777777" w:rsidR="00E57DAA" w:rsidRDefault="00AC4185">
      <w:pPr>
        <w:pStyle w:val="4"/>
        <w:numPr>
          <w:ilvl w:val="3"/>
          <w:numId w:val="115"/>
        </w:numPr>
        <w:ind w:left="426" w:hangingChars="202" w:hanging="426"/>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552158522"/>
        <w:placeholder>
          <w:docPart w:val="GBC22222222222222222222222222222"/>
        </w:placeholder>
      </w:sdtPr>
      <w:sdtEndPr/>
      <w:sdtContent>
        <w:p w14:paraId="2A59E52B"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55B97078" w14:textId="77777777" w:rsidR="00E57DAA" w:rsidRDefault="00AC4185">
      <w:pPr>
        <w:jc w:val="right"/>
      </w:pPr>
      <w:r>
        <w:rPr>
          <w:rFonts w:hint="eastAsia"/>
        </w:rPr>
        <w:t>单位：</w:t>
      </w:r>
      <w:sdt>
        <w:sdtPr>
          <w:rPr>
            <w:rFonts w:hint="eastAsia"/>
          </w:rPr>
          <w:alias w:val="单位：财务附注：不重要的合营企业和联营企业的汇总财务信息"/>
          <w:tag w:val="_GBC_d02efd9c85904b029b5a51b02d9519e8"/>
          <w:id w:val="-17177341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8392766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2995"/>
        <w:gridCol w:w="2998"/>
      </w:tblGrid>
      <w:tr w:rsidR="00E57DAA" w14:paraId="730FC9FE" w14:textId="77777777">
        <w:trPr>
          <w:trHeight w:val="241"/>
          <w:jc w:val="center"/>
        </w:trPr>
        <w:tc>
          <w:tcPr>
            <w:tcW w:w="1604" w:type="pct"/>
            <w:shd w:val="clear" w:color="auto" w:fill="auto"/>
          </w:tcPr>
          <w:p w14:paraId="461CA13B" w14:textId="77777777" w:rsidR="00E57DAA" w:rsidRDefault="00E57DAA">
            <w:pPr>
              <w:jc w:val="center"/>
              <w:rPr>
                <w:rFonts w:cs="Arial"/>
                <w:szCs w:val="21"/>
              </w:rPr>
            </w:pPr>
          </w:p>
        </w:tc>
        <w:sdt>
          <w:sdtPr>
            <w:tag w:val="_PLD_0f94e995a1b3419692bd4d8e5c6d3e83"/>
            <w:id w:val="-1042277374"/>
          </w:sdtPr>
          <w:sdtEndPr/>
          <w:sdtContent>
            <w:tc>
              <w:tcPr>
                <w:tcW w:w="1697" w:type="pct"/>
                <w:shd w:val="clear" w:color="auto" w:fill="auto"/>
              </w:tcPr>
              <w:p w14:paraId="53623504" w14:textId="77777777" w:rsidR="00E57DAA" w:rsidRDefault="00AC4185">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789818990"/>
          </w:sdtPr>
          <w:sdtEndPr/>
          <w:sdtContent>
            <w:tc>
              <w:tcPr>
                <w:tcW w:w="1699" w:type="pct"/>
                <w:shd w:val="clear" w:color="auto" w:fill="auto"/>
              </w:tcPr>
              <w:p w14:paraId="7998B976" w14:textId="77777777" w:rsidR="00E57DAA" w:rsidRDefault="00AC4185">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E57DAA" w14:paraId="0468D701" w14:textId="77777777">
        <w:trPr>
          <w:jc w:val="center"/>
        </w:trPr>
        <w:sdt>
          <w:sdtPr>
            <w:tag w:val="_PLD_cbda7c3468d14ed7a076bd7c6a1d9c6f"/>
            <w:id w:val="-1318030962"/>
          </w:sdtPr>
          <w:sdtEndPr/>
          <w:sdtContent>
            <w:tc>
              <w:tcPr>
                <w:tcW w:w="5000" w:type="pct"/>
                <w:gridSpan w:val="3"/>
                <w:shd w:val="clear" w:color="auto" w:fill="auto"/>
              </w:tcPr>
              <w:p w14:paraId="3FC5054B" w14:textId="77777777" w:rsidR="00E57DAA" w:rsidRDefault="00AC4185">
                <w:pPr>
                  <w:rPr>
                    <w:szCs w:val="21"/>
                  </w:rPr>
                </w:pPr>
                <w:r>
                  <w:rPr>
                    <w:rFonts w:cs="Arial" w:hint="eastAsia"/>
                    <w:szCs w:val="21"/>
                    <w:lang w:val="en-GB"/>
                  </w:rPr>
                  <w:t>联营企业：</w:t>
                </w:r>
              </w:p>
            </w:tc>
          </w:sdtContent>
        </w:sdt>
      </w:tr>
      <w:tr w:rsidR="00E57DAA" w14:paraId="25DAD288" w14:textId="77777777">
        <w:trPr>
          <w:jc w:val="center"/>
        </w:trPr>
        <w:tc>
          <w:tcPr>
            <w:tcW w:w="1604" w:type="pct"/>
            <w:shd w:val="clear" w:color="auto" w:fill="auto"/>
            <w:vAlign w:val="center"/>
          </w:tcPr>
          <w:p w14:paraId="450D0326" w14:textId="77777777" w:rsidR="00E57DAA" w:rsidRDefault="00AC4185">
            <w:pPr>
              <w:rPr>
                <w:rFonts w:cs="Arial"/>
                <w:color w:val="000000"/>
                <w:szCs w:val="21"/>
              </w:rPr>
            </w:pPr>
            <w:r>
              <w:rPr>
                <w:rFonts w:cs="Arial" w:hint="eastAsia"/>
                <w:color w:val="000000"/>
                <w:szCs w:val="21"/>
                <w:lang w:val="en-GB"/>
              </w:rPr>
              <w:t>投资账面价值合计</w:t>
            </w:r>
          </w:p>
        </w:tc>
        <w:tc>
          <w:tcPr>
            <w:tcW w:w="1697" w:type="pct"/>
            <w:vAlign w:val="center"/>
          </w:tcPr>
          <w:p w14:paraId="1F3EB514" w14:textId="77777777" w:rsidR="00E57DAA" w:rsidRDefault="00AC4185">
            <w:pPr>
              <w:jc w:val="right"/>
              <w:rPr>
                <w:szCs w:val="21"/>
              </w:rPr>
            </w:pPr>
            <w:r>
              <w:t>571,126,760.79</w:t>
            </w:r>
          </w:p>
        </w:tc>
        <w:tc>
          <w:tcPr>
            <w:tcW w:w="1699" w:type="pct"/>
            <w:vAlign w:val="center"/>
          </w:tcPr>
          <w:p w14:paraId="43B585CD" w14:textId="77777777" w:rsidR="00E57DAA" w:rsidRDefault="00AC4185">
            <w:pPr>
              <w:jc w:val="right"/>
              <w:rPr>
                <w:szCs w:val="21"/>
              </w:rPr>
            </w:pPr>
            <w:r>
              <w:t>523,736,021.39</w:t>
            </w:r>
          </w:p>
        </w:tc>
      </w:tr>
      <w:tr w:rsidR="00E57DAA" w14:paraId="53966F2D" w14:textId="77777777">
        <w:trPr>
          <w:jc w:val="center"/>
        </w:trPr>
        <w:sdt>
          <w:sdtPr>
            <w:tag w:val="_PLD_83ce74083a4545808d6b87b66cb814b0"/>
            <w:id w:val="-1398670864"/>
          </w:sdtPr>
          <w:sdtEndPr/>
          <w:sdtContent>
            <w:tc>
              <w:tcPr>
                <w:tcW w:w="5000" w:type="pct"/>
                <w:gridSpan w:val="3"/>
                <w:shd w:val="clear" w:color="auto" w:fill="auto"/>
                <w:vAlign w:val="center"/>
              </w:tcPr>
              <w:p w14:paraId="56CB62B4" w14:textId="77777777" w:rsidR="00E57DAA" w:rsidRDefault="00AC4185">
                <w:pPr>
                  <w:rPr>
                    <w:szCs w:val="21"/>
                  </w:rPr>
                </w:pPr>
                <w:r>
                  <w:rPr>
                    <w:rFonts w:cs="Arial" w:hint="eastAsia"/>
                    <w:color w:val="000000"/>
                    <w:szCs w:val="21"/>
                    <w:lang w:val="en-GB"/>
                  </w:rPr>
                  <w:t>下列各项按持股比例计算的合计数</w:t>
                </w:r>
              </w:p>
            </w:tc>
          </w:sdtContent>
        </w:sdt>
      </w:tr>
      <w:tr w:rsidR="00E57DAA" w14:paraId="5D4C1875" w14:textId="77777777">
        <w:trPr>
          <w:jc w:val="center"/>
        </w:trPr>
        <w:tc>
          <w:tcPr>
            <w:tcW w:w="1604" w:type="pct"/>
            <w:shd w:val="clear" w:color="auto" w:fill="auto"/>
            <w:vAlign w:val="center"/>
          </w:tcPr>
          <w:p w14:paraId="4D33FEBE"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净利润</w:t>
            </w:r>
          </w:p>
        </w:tc>
        <w:tc>
          <w:tcPr>
            <w:tcW w:w="1697" w:type="pct"/>
            <w:vAlign w:val="center"/>
          </w:tcPr>
          <w:p w14:paraId="5EC0A05B" w14:textId="77777777" w:rsidR="00E57DAA" w:rsidRDefault="00AC4185">
            <w:pPr>
              <w:jc w:val="right"/>
              <w:rPr>
                <w:szCs w:val="21"/>
              </w:rPr>
            </w:pPr>
            <w:r>
              <w:t>-27,100,637.83</w:t>
            </w:r>
          </w:p>
        </w:tc>
        <w:tc>
          <w:tcPr>
            <w:tcW w:w="1699" w:type="pct"/>
            <w:vAlign w:val="center"/>
          </w:tcPr>
          <w:p w14:paraId="1ED49B07" w14:textId="77777777" w:rsidR="00E57DAA" w:rsidRDefault="00AC4185">
            <w:pPr>
              <w:jc w:val="right"/>
              <w:rPr>
                <w:szCs w:val="21"/>
              </w:rPr>
            </w:pPr>
            <w:r>
              <w:t>-13,125,606.77</w:t>
            </w:r>
          </w:p>
        </w:tc>
      </w:tr>
      <w:tr w:rsidR="00E57DAA" w14:paraId="03C19547" w14:textId="77777777">
        <w:trPr>
          <w:jc w:val="center"/>
        </w:trPr>
        <w:tc>
          <w:tcPr>
            <w:tcW w:w="1604" w:type="pct"/>
            <w:shd w:val="clear" w:color="auto" w:fill="auto"/>
            <w:vAlign w:val="center"/>
          </w:tcPr>
          <w:p w14:paraId="4B533431"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其他综合收益</w:t>
            </w:r>
          </w:p>
        </w:tc>
        <w:tc>
          <w:tcPr>
            <w:tcW w:w="1697" w:type="pct"/>
            <w:vAlign w:val="center"/>
          </w:tcPr>
          <w:p w14:paraId="52062706" w14:textId="77777777" w:rsidR="00E57DAA" w:rsidRDefault="00AC4185">
            <w:pPr>
              <w:jc w:val="right"/>
              <w:rPr>
                <w:szCs w:val="21"/>
              </w:rPr>
            </w:pPr>
            <w:r>
              <w:t>420,446.88</w:t>
            </w:r>
          </w:p>
        </w:tc>
        <w:tc>
          <w:tcPr>
            <w:tcW w:w="1699" w:type="pct"/>
            <w:vAlign w:val="center"/>
          </w:tcPr>
          <w:p w14:paraId="5113E83F" w14:textId="77777777" w:rsidR="00E57DAA" w:rsidRDefault="00AC4185">
            <w:pPr>
              <w:jc w:val="right"/>
              <w:rPr>
                <w:szCs w:val="21"/>
              </w:rPr>
            </w:pPr>
            <w:r>
              <w:t>1,090,223.42</w:t>
            </w:r>
          </w:p>
        </w:tc>
      </w:tr>
      <w:tr w:rsidR="00E57DAA" w14:paraId="1902893F" w14:textId="77777777">
        <w:trPr>
          <w:jc w:val="center"/>
        </w:trPr>
        <w:tc>
          <w:tcPr>
            <w:tcW w:w="1604" w:type="pct"/>
            <w:shd w:val="clear" w:color="auto" w:fill="auto"/>
            <w:vAlign w:val="center"/>
          </w:tcPr>
          <w:p w14:paraId="348876D9" w14:textId="77777777" w:rsidR="00E57DAA" w:rsidRDefault="00AC4185">
            <w:pPr>
              <w:rPr>
                <w:rFonts w:cs="Arial"/>
                <w:color w:val="000000"/>
                <w:szCs w:val="21"/>
              </w:rPr>
            </w:pPr>
            <w:r>
              <w:rPr>
                <w:rFonts w:cs="Arial"/>
                <w:color w:val="000000"/>
                <w:szCs w:val="21"/>
              </w:rPr>
              <w:t>--</w:t>
            </w:r>
            <w:r>
              <w:rPr>
                <w:rFonts w:cs="Arial" w:hint="eastAsia"/>
                <w:color w:val="000000"/>
                <w:szCs w:val="21"/>
                <w:lang w:val="en-GB"/>
              </w:rPr>
              <w:t>综合收益总额</w:t>
            </w:r>
          </w:p>
        </w:tc>
        <w:tc>
          <w:tcPr>
            <w:tcW w:w="1697" w:type="pct"/>
            <w:vAlign w:val="center"/>
          </w:tcPr>
          <w:p w14:paraId="72442331" w14:textId="77777777" w:rsidR="00E57DAA" w:rsidRDefault="00AC4185">
            <w:pPr>
              <w:jc w:val="right"/>
              <w:rPr>
                <w:szCs w:val="21"/>
              </w:rPr>
            </w:pPr>
            <w:r>
              <w:t>-26,680,190.95</w:t>
            </w:r>
          </w:p>
        </w:tc>
        <w:tc>
          <w:tcPr>
            <w:tcW w:w="1699" w:type="pct"/>
            <w:vAlign w:val="center"/>
          </w:tcPr>
          <w:p w14:paraId="3B071021" w14:textId="77777777" w:rsidR="00E57DAA" w:rsidRDefault="00AC4185">
            <w:pPr>
              <w:jc w:val="right"/>
              <w:rPr>
                <w:szCs w:val="21"/>
              </w:rPr>
            </w:pPr>
            <w:r>
              <w:t>-12,035,383.35</w:t>
            </w:r>
          </w:p>
        </w:tc>
      </w:tr>
    </w:tbl>
    <w:p w14:paraId="115805C3" w14:textId="77777777" w:rsidR="00E57DAA" w:rsidRDefault="00E57DAA" w:rsidP="00C25422">
      <w:pPr>
        <w:pStyle w:val="92"/>
      </w:pPr>
    </w:p>
    <w:p w14:paraId="78E1D570" w14:textId="77777777" w:rsidR="00E57DAA" w:rsidRDefault="00E57DAA">
      <w:pPr>
        <w:rPr>
          <w:rFonts w:cs="Arial"/>
          <w:szCs w:val="21"/>
        </w:rPr>
      </w:pPr>
    </w:p>
    <w:p w14:paraId="0AC63475" w14:textId="77777777" w:rsidR="00E57DAA" w:rsidRDefault="00AC4185">
      <w:pPr>
        <w:pStyle w:val="4"/>
        <w:numPr>
          <w:ilvl w:val="3"/>
          <w:numId w:val="115"/>
        </w:numPr>
        <w:ind w:left="426" w:hangingChars="202" w:hanging="426"/>
      </w:pPr>
      <w:r>
        <w:rPr>
          <w:rFonts w:hint="eastAsia"/>
        </w:rPr>
        <w:t>合营企业或联营企业向本公司转移资金的能力存在重大限制的说明</w:t>
      </w:r>
    </w:p>
    <w:sdt>
      <w:sdtPr>
        <w:rPr>
          <w:rFonts w:hint="eastAsia"/>
        </w:rPr>
        <w:alias w:val="是否适用：合营企业或联营企业向本公司转移资金的能力存在重大限制的说明[双击切换]"/>
        <w:tag w:val="_GBC_6adf336cbf6141a59d29de2be4c5a55b"/>
        <w:id w:val="-425352586"/>
        <w:placeholder>
          <w:docPart w:val="GBC22222222222222222222222222222"/>
        </w:placeholder>
      </w:sdtPr>
      <w:sdtEndPr/>
      <w:sdtContent>
        <w:p w14:paraId="70D72F4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3D177A" w14:textId="77777777" w:rsidR="00E57DAA" w:rsidRDefault="00E57DAA">
      <w:pPr>
        <w:rPr>
          <w:rFonts w:cs="Arial"/>
          <w:szCs w:val="21"/>
        </w:rPr>
      </w:pPr>
    </w:p>
    <w:p w14:paraId="64BA59CB" w14:textId="77777777" w:rsidR="00E57DAA" w:rsidRDefault="00AC4185">
      <w:pPr>
        <w:pStyle w:val="4"/>
        <w:numPr>
          <w:ilvl w:val="3"/>
          <w:numId w:val="115"/>
        </w:numPr>
        <w:ind w:left="426" w:hangingChars="202" w:hanging="426"/>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92847038"/>
        <w:placeholder>
          <w:docPart w:val="GBC22222222222222222222222222222"/>
        </w:placeholder>
      </w:sdtPr>
      <w:sdtEndPr/>
      <w:sdtContent>
        <w:p w14:paraId="5C139C9B" w14:textId="77777777" w:rsidR="00E57DAA" w:rsidRDefault="00AC4185">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6BDAAB" w14:textId="77777777" w:rsidR="00E57DAA" w:rsidRDefault="00E57DAA">
      <w:pPr>
        <w:rPr>
          <w:rFonts w:cs="Arial"/>
          <w:szCs w:val="21"/>
        </w:rPr>
      </w:pPr>
    </w:p>
    <w:p w14:paraId="7FB0D5B1" w14:textId="77777777" w:rsidR="00E57DAA" w:rsidRDefault="00E57DAA">
      <w:pPr>
        <w:rPr>
          <w:rFonts w:cs="Arial"/>
          <w:szCs w:val="21"/>
        </w:rPr>
      </w:pPr>
    </w:p>
    <w:p w14:paraId="3E02E601" w14:textId="77777777" w:rsidR="00E57DAA" w:rsidRDefault="00AC4185">
      <w:pPr>
        <w:pStyle w:val="4"/>
        <w:numPr>
          <w:ilvl w:val="3"/>
          <w:numId w:val="115"/>
        </w:numPr>
        <w:ind w:left="426" w:hangingChars="202" w:hanging="426"/>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999078282"/>
        <w:placeholder>
          <w:docPart w:val="GBC22222222222222222222222222222"/>
        </w:placeholder>
      </w:sdtPr>
      <w:sdtEndPr/>
      <w:sdtContent>
        <w:p w14:paraId="103E9433" w14:textId="77777777" w:rsidR="00E57DAA" w:rsidRDefault="00AC418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BC82837" w14:textId="77777777" w:rsidR="00E57DAA" w:rsidRDefault="00E57DAA">
      <w:pPr>
        <w:rPr>
          <w:rFonts w:cs="Arial"/>
          <w:szCs w:val="21"/>
        </w:rPr>
      </w:pPr>
    </w:p>
    <w:p w14:paraId="58BBAEF4" w14:textId="77777777" w:rsidR="00E57DAA" w:rsidRDefault="00AC4185">
      <w:pPr>
        <w:pStyle w:val="4"/>
        <w:numPr>
          <w:ilvl w:val="3"/>
          <w:numId w:val="115"/>
        </w:numPr>
        <w:ind w:left="426" w:hangingChars="202" w:hanging="426"/>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101537368"/>
        <w:placeholder>
          <w:docPart w:val="GBC22222222222222222222222222222"/>
        </w:placeholder>
      </w:sdtPr>
      <w:sdtEndPr/>
      <w:sdtContent>
        <w:p w14:paraId="3333B2D7" w14:textId="77777777" w:rsidR="00E57DAA" w:rsidRDefault="00AC418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160A0AB" w14:textId="77777777" w:rsidR="00E57DAA" w:rsidRDefault="00E57DAA">
      <w:pPr>
        <w:rPr>
          <w:rFonts w:cs="Arial"/>
          <w:szCs w:val="21"/>
        </w:rPr>
      </w:pPr>
    </w:p>
    <w:p w14:paraId="5300B3A9" w14:textId="77777777" w:rsidR="00E57DAA" w:rsidRDefault="00AC4185" w:rsidP="00C25422">
      <w:pPr>
        <w:pStyle w:val="91"/>
        <w:numPr>
          <w:ilvl w:val="2"/>
          <w:numId w:val="113"/>
        </w:numPr>
      </w:pPr>
      <w:r>
        <w:rPr>
          <w:rFonts w:hint="eastAsia"/>
        </w:rPr>
        <w:t>重要的共同经营</w:t>
      </w:r>
    </w:p>
    <w:sdt>
      <w:sdtPr>
        <w:alias w:val="是否适用：重要的共同经营[双击切换]"/>
        <w:tag w:val="_GBC_8a0341a844454c89848e95b9c64a8efb"/>
        <w:id w:val="537550675"/>
        <w:placeholder>
          <w:docPart w:val="GBC22222222222222222222222222222"/>
        </w:placeholder>
      </w:sdtPr>
      <w:sdtEndPr/>
      <w:sdtContent>
        <w:p w14:paraId="5CF937AE" w14:textId="77777777" w:rsidR="00E57DAA" w:rsidRDefault="00AC4185">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D9ED85" w14:textId="77777777" w:rsidR="00E57DAA" w:rsidRDefault="00E57DAA">
      <w:pPr>
        <w:rPr>
          <w:rFonts w:cs="Arial"/>
          <w:szCs w:val="21"/>
        </w:rPr>
      </w:pPr>
    </w:p>
    <w:p w14:paraId="4679E2F4" w14:textId="77777777" w:rsidR="00E57DAA" w:rsidRDefault="00E57DAA">
      <w:pPr>
        <w:rPr>
          <w:rFonts w:cs="Arial"/>
          <w:szCs w:val="21"/>
        </w:rPr>
      </w:pPr>
    </w:p>
    <w:p w14:paraId="4D048A19" w14:textId="77777777" w:rsidR="00E57DAA" w:rsidRDefault="00AC4185" w:rsidP="00C25422">
      <w:pPr>
        <w:pStyle w:val="91"/>
        <w:numPr>
          <w:ilvl w:val="2"/>
          <w:numId w:val="113"/>
        </w:numPr>
      </w:pPr>
      <w:r>
        <w:rPr>
          <w:rFonts w:hint="eastAsia"/>
        </w:rPr>
        <w:t>在未纳入合并财务报表范围的结构化主体中的权益</w:t>
      </w:r>
    </w:p>
    <w:p w14:paraId="4232CAA8" w14:textId="77777777" w:rsidR="00E57DAA" w:rsidRDefault="00AC4185">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935021169"/>
        <w:placeholder>
          <w:docPart w:val="GBC22222222222222222222222222222"/>
        </w:placeholder>
      </w:sdtPr>
      <w:sdtEndPr/>
      <w:sdtContent>
        <w:p w14:paraId="31956640" w14:textId="77777777" w:rsidR="00E57DAA" w:rsidRDefault="00AC418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B806936" w14:textId="77777777" w:rsidR="00E57DAA" w:rsidRDefault="00E57DAA">
      <w:pPr>
        <w:rPr>
          <w:rFonts w:cs="Arial"/>
          <w:szCs w:val="21"/>
        </w:rPr>
      </w:pPr>
    </w:p>
    <w:p w14:paraId="18510CCB" w14:textId="77777777" w:rsidR="00E57DAA" w:rsidRDefault="00AC4185" w:rsidP="00C25422">
      <w:pPr>
        <w:pStyle w:val="91"/>
        <w:numPr>
          <w:ilvl w:val="2"/>
          <w:numId w:val="113"/>
        </w:numPr>
      </w:pPr>
      <w:r>
        <w:rPr>
          <w:rFonts w:hint="eastAsia"/>
        </w:rPr>
        <w:t>其他</w:t>
      </w:r>
    </w:p>
    <w:sdt>
      <w:sdtPr>
        <w:rPr>
          <w:rFonts w:hint="eastAsia"/>
        </w:rPr>
        <w:alias w:val="是否适用：在其他主体中的权益其他需要说明的事项[双击切换]"/>
        <w:tag w:val="_GBC_f97a284e61d54ed588c46ec336af6ef8"/>
        <w:id w:val="322090419"/>
        <w:placeholder>
          <w:docPart w:val="GBC22222222222222222222222222222"/>
        </w:placeholder>
      </w:sdtPr>
      <w:sdtEndPr/>
      <w:sdtContent>
        <w:p w14:paraId="786488D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E333D7" w14:textId="77777777" w:rsidR="00E57DAA" w:rsidRDefault="00E57DAA" w:rsidP="00C25422">
      <w:pPr>
        <w:pStyle w:val="92"/>
      </w:pPr>
    </w:p>
    <w:p w14:paraId="7E48A9BA" w14:textId="77777777" w:rsidR="00E57DAA" w:rsidRDefault="00AC4185" w:rsidP="00C25422">
      <w:pPr>
        <w:pStyle w:val="2CharCharChar1"/>
        <w:numPr>
          <w:ilvl w:val="0"/>
          <w:numId w:val="58"/>
        </w:numPr>
      </w:pPr>
      <w:r>
        <w:rPr>
          <w:rFonts w:hint="eastAsia"/>
        </w:rPr>
        <w:t>政府补助</w:t>
      </w:r>
    </w:p>
    <w:p w14:paraId="44A4309E" w14:textId="77777777" w:rsidR="00E57DAA" w:rsidRDefault="00AC4185" w:rsidP="00C25422">
      <w:pPr>
        <w:pStyle w:val="91"/>
        <w:numPr>
          <w:ilvl w:val="0"/>
          <w:numId w:val="116"/>
        </w:numPr>
      </w:pPr>
      <w:r>
        <w:t>报告期末按应收金额确认的政府补助</w:t>
      </w:r>
    </w:p>
    <w:sdt>
      <w:sdtPr>
        <w:alias w:val="是否适用：按应收金额确认的政府补助[双击切换]"/>
        <w:tag w:val="_GBC_e1e20d7c43844cb8b0392ce8a915912f"/>
        <w:id w:val="-393585154"/>
        <w:placeholder>
          <w:docPart w:val="GBC22222222222222222222222222222"/>
        </w:placeholder>
      </w:sdtPr>
      <w:sdtEndPr/>
      <w:sdtContent>
        <w:p w14:paraId="69E9F48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57357D" w14:textId="77777777" w:rsidR="00E57DAA" w:rsidRDefault="00E57DAA" w:rsidP="00C25422">
      <w:pPr>
        <w:pStyle w:val="92"/>
      </w:pPr>
    </w:p>
    <w:p w14:paraId="5FABD0B4" w14:textId="77777777" w:rsidR="00E57DAA" w:rsidRDefault="00AC4185" w:rsidP="00C25422">
      <w:pPr>
        <w:pStyle w:val="92"/>
      </w:pPr>
      <w:r>
        <w:t>未能在预计时点收到预计金额的政府补助</w:t>
      </w:r>
      <w:r>
        <w:rPr>
          <w:rFonts w:hint="eastAsia"/>
        </w:rPr>
        <w:t>的</w:t>
      </w:r>
      <w:r>
        <w:t>原因</w:t>
      </w:r>
    </w:p>
    <w:sdt>
      <w:sdtPr>
        <w:alias w:val="是否适用：未能在预计时点收到预计金额的政府补助的原因[双击切换]"/>
        <w:tag w:val="_GBC_c472b4b5f35848de9076579016736dc0"/>
        <w:id w:val="652867065"/>
        <w:placeholder>
          <w:docPart w:val="GBC22222222222222222222222222222"/>
        </w:placeholder>
      </w:sdtPr>
      <w:sdtEndPr/>
      <w:sdtContent>
        <w:p w14:paraId="5D72707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526938" w14:textId="77777777" w:rsidR="00E57DAA" w:rsidRDefault="00E57DAA">
      <w:pPr>
        <w:sectPr w:rsidR="00E57DAA" w:rsidSect="00226547">
          <w:pgSz w:w="11906" w:h="16838"/>
          <w:pgMar w:top="1525" w:right="1276" w:bottom="1440" w:left="1797" w:header="856" w:footer="992" w:gutter="0"/>
          <w:cols w:space="425"/>
          <w:docGrid w:linePitch="312"/>
        </w:sectPr>
      </w:pPr>
    </w:p>
    <w:p w14:paraId="169B3BD9" w14:textId="77777777" w:rsidR="00E57DAA" w:rsidRDefault="00E57DAA" w:rsidP="00C25422">
      <w:pPr>
        <w:pStyle w:val="92"/>
      </w:pPr>
    </w:p>
    <w:p w14:paraId="5C53B7A4" w14:textId="77777777" w:rsidR="00E57DAA" w:rsidRDefault="00AC4185" w:rsidP="00C25422">
      <w:pPr>
        <w:pStyle w:val="91"/>
        <w:numPr>
          <w:ilvl w:val="0"/>
          <w:numId w:val="116"/>
        </w:numPr>
      </w:pPr>
      <w:r>
        <w:t>涉及政府补助的负债项目</w:t>
      </w:r>
    </w:p>
    <w:sdt>
      <w:sdtPr>
        <w:alias w:val="是否适用：涉及政府补助的负债项目[双击切换]"/>
        <w:tag w:val="_GBC_ed9e8fabcc8e4318b2ec33d01e83aec4"/>
        <w:id w:val="-876001651"/>
        <w:placeholder>
          <w:docPart w:val="GBC22222222222222222222222222222"/>
        </w:placeholder>
      </w:sdtPr>
      <w:sdtEndPr/>
      <w:sdtContent>
        <w:p w14:paraId="12B8F72E"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EF6910" w14:textId="77777777" w:rsidR="00E57DAA" w:rsidRDefault="00AC4185">
      <w:pPr>
        <w:jc w:val="right"/>
      </w:pPr>
      <w:r>
        <w:rPr>
          <w:rFonts w:hint="eastAsia"/>
        </w:rPr>
        <w:t>单位：</w:t>
      </w:r>
      <w:sdt>
        <w:sdtPr>
          <w:rPr>
            <w:rFonts w:hint="eastAsia"/>
          </w:rPr>
          <w:alias w:val="单位：涉及政府补助的负债项目"/>
          <w:tag w:val="_GBC_7f1d795aca2d46699971ecb934072fbd"/>
          <w:id w:val="-19724401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涉及政府补助的负债项目"/>
          <w:tag w:val="_GBC_ba4177cbae6044fa854e8e3dea407bcc"/>
          <w:id w:val="16342886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884"/>
        <w:gridCol w:w="2351"/>
        <w:gridCol w:w="649"/>
        <w:gridCol w:w="1777"/>
        <w:gridCol w:w="1844"/>
        <w:gridCol w:w="2127"/>
        <w:gridCol w:w="1960"/>
      </w:tblGrid>
      <w:tr w:rsidR="00E57DAA" w14:paraId="246A17D3" w14:textId="77777777">
        <w:sdt>
          <w:sdtPr>
            <w:rPr>
              <w:rFonts w:hint="eastAsia"/>
            </w:rPr>
            <w:tag w:val="_PLD_51e96a8ef830445cb15689886ccd8ab5"/>
            <w:id w:val="968553267"/>
          </w:sdtPr>
          <w:sdtEndPr/>
          <w:sdtContent>
            <w:tc>
              <w:tcPr>
                <w:tcW w:w="458" w:type="pct"/>
                <w:shd w:val="clear" w:color="auto" w:fill="auto"/>
                <w:vAlign w:val="center"/>
              </w:tcPr>
              <w:p w14:paraId="679E8458" w14:textId="77777777" w:rsidR="00E57DAA" w:rsidRDefault="00AC4185">
                <w:pPr>
                  <w:jc w:val="center"/>
                </w:pPr>
                <w:r>
                  <w:rPr>
                    <w:rFonts w:hint="eastAsia"/>
                  </w:rPr>
                  <w:t>财务报表项目</w:t>
                </w:r>
              </w:p>
            </w:tc>
          </w:sdtContent>
        </w:sdt>
        <w:sdt>
          <w:sdtPr>
            <w:rPr>
              <w:rFonts w:hint="eastAsia"/>
            </w:rPr>
            <w:tag w:val="_PLD_13c2708d76d140e9a2c8b42ee30372fa"/>
            <w:id w:val="1471875697"/>
          </w:sdtPr>
          <w:sdtEndPr/>
          <w:sdtContent>
            <w:tc>
              <w:tcPr>
                <w:tcW w:w="679" w:type="pct"/>
                <w:shd w:val="clear" w:color="auto" w:fill="auto"/>
                <w:vAlign w:val="center"/>
              </w:tcPr>
              <w:p w14:paraId="474815A3" w14:textId="77777777" w:rsidR="00E57DAA" w:rsidRDefault="00AC4185">
                <w:pPr>
                  <w:jc w:val="center"/>
                </w:pPr>
                <w:r>
                  <w:rPr>
                    <w:rFonts w:hint="eastAsia"/>
                  </w:rPr>
                  <w:t>期初余额</w:t>
                </w:r>
              </w:p>
            </w:tc>
          </w:sdtContent>
        </w:sdt>
        <w:sdt>
          <w:sdtPr>
            <w:tag w:val="_PLD_baee6e4484a048eca37a455836f6d23a"/>
            <w:id w:val="-388500474"/>
          </w:sdtPr>
          <w:sdtEndPr/>
          <w:sdtContent>
            <w:tc>
              <w:tcPr>
                <w:tcW w:w="848" w:type="pct"/>
                <w:shd w:val="clear" w:color="auto" w:fill="auto"/>
                <w:vAlign w:val="center"/>
              </w:tcPr>
              <w:p w14:paraId="3372D6BF" w14:textId="77777777" w:rsidR="00E57DAA" w:rsidRDefault="00AC4185">
                <w:pPr>
                  <w:jc w:val="center"/>
                </w:pPr>
                <w:r>
                  <w:t>本期新增补助金额</w:t>
                </w:r>
              </w:p>
            </w:tc>
          </w:sdtContent>
        </w:sdt>
        <w:sdt>
          <w:sdtPr>
            <w:tag w:val="_PLD_d4b5cb214b114ec4bb3ec943b3f45a12"/>
            <w:id w:val="32012754"/>
          </w:sdtPr>
          <w:sdtEndPr/>
          <w:sdtContent>
            <w:tc>
              <w:tcPr>
                <w:tcW w:w="234" w:type="pct"/>
                <w:shd w:val="clear" w:color="auto" w:fill="auto"/>
                <w:vAlign w:val="center"/>
              </w:tcPr>
              <w:p w14:paraId="57A530A2" w14:textId="77777777" w:rsidR="00E57DAA" w:rsidRDefault="00AC4185">
                <w:pPr>
                  <w:jc w:val="center"/>
                </w:pPr>
                <w:r>
                  <w:t>本期计入营业外收入金额</w:t>
                </w:r>
              </w:p>
            </w:tc>
          </w:sdtContent>
        </w:sdt>
        <w:sdt>
          <w:sdtPr>
            <w:tag w:val="_PLD_fe390be730354706a1af1589fdc9ce78"/>
            <w:id w:val="-1447381434"/>
          </w:sdtPr>
          <w:sdtEndPr/>
          <w:sdtContent>
            <w:tc>
              <w:tcPr>
                <w:tcW w:w="641" w:type="pct"/>
                <w:vAlign w:val="center"/>
              </w:tcPr>
              <w:p w14:paraId="7747891F" w14:textId="77777777" w:rsidR="00E57DAA" w:rsidRDefault="00AC4185">
                <w:pPr>
                  <w:jc w:val="center"/>
                </w:pPr>
                <w:r>
                  <w:t>本期转入其他收益</w:t>
                </w:r>
              </w:p>
            </w:tc>
          </w:sdtContent>
        </w:sdt>
        <w:sdt>
          <w:sdtPr>
            <w:rPr>
              <w:rFonts w:hint="eastAsia"/>
            </w:rPr>
            <w:tag w:val="_PLD_0574cd35fdf24bda85fc60dbc5d663ad"/>
            <w:id w:val="-177740580"/>
          </w:sdtPr>
          <w:sdtEndPr/>
          <w:sdtContent>
            <w:tc>
              <w:tcPr>
                <w:tcW w:w="665" w:type="pct"/>
                <w:vAlign w:val="center"/>
              </w:tcPr>
              <w:p w14:paraId="0E64550A" w14:textId="77777777" w:rsidR="00E57DAA" w:rsidRDefault="00AC4185">
                <w:pPr>
                  <w:jc w:val="center"/>
                </w:pPr>
                <w:r>
                  <w:rPr>
                    <w:rFonts w:hint="eastAsia"/>
                  </w:rPr>
                  <w:t>本期其他变动</w:t>
                </w:r>
              </w:p>
            </w:tc>
          </w:sdtContent>
        </w:sdt>
        <w:sdt>
          <w:sdtPr>
            <w:rPr>
              <w:rFonts w:hint="eastAsia"/>
            </w:rPr>
            <w:tag w:val="_PLD_b4cd227caa134d8da03257df3775b63f"/>
            <w:id w:val="745695830"/>
          </w:sdtPr>
          <w:sdtEndPr/>
          <w:sdtContent>
            <w:tc>
              <w:tcPr>
                <w:tcW w:w="767" w:type="pct"/>
                <w:vAlign w:val="center"/>
              </w:tcPr>
              <w:p w14:paraId="3A1F0DF7" w14:textId="77777777" w:rsidR="00E57DAA" w:rsidRDefault="00AC4185">
                <w:pPr>
                  <w:jc w:val="center"/>
                </w:pPr>
                <w:r>
                  <w:rPr>
                    <w:rFonts w:hint="eastAsia"/>
                  </w:rPr>
                  <w:t>期末余额</w:t>
                </w:r>
              </w:p>
            </w:tc>
          </w:sdtContent>
        </w:sdt>
        <w:sdt>
          <w:sdtPr>
            <w:rPr>
              <w:rFonts w:hint="eastAsia"/>
            </w:rPr>
            <w:tag w:val="_PLD_9149efa168c746cfa58bdc4f4b4275bd"/>
            <w:id w:val="-819648204"/>
          </w:sdtPr>
          <w:sdtEndPr>
            <w:rPr>
              <w:rFonts w:hint="default"/>
            </w:rPr>
          </w:sdtEndPr>
          <w:sdtContent>
            <w:tc>
              <w:tcPr>
                <w:tcW w:w="707" w:type="pct"/>
                <w:vAlign w:val="center"/>
              </w:tcPr>
              <w:p w14:paraId="54679273" w14:textId="77777777" w:rsidR="00E57DAA" w:rsidRDefault="00AC4185">
                <w:pPr>
                  <w:jc w:val="center"/>
                </w:pPr>
                <w:r>
                  <w:rPr>
                    <w:rFonts w:hint="eastAsia"/>
                  </w:rPr>
                  <w:t>与资产</w:t>
                </w:r>
                <w:r>
                  <w:t>/收益相关</w:t>
                </w:r>
              </w:p>
            </w:tc>
          </w:sdtContent>
        </w:sdt>
      </w:tr>
      <w:tr w:rsidR="00E57DAA" w14:paraId="2E4D23CA" w14:textId="77777777">
        <w:tc>
          <w:tcPr>
            <w:tcW w:w="458" w:type="pct"/>
            <w:shd w:val="clear" w:color="auto" w:fill="auto"/>
          </w:tcPr>
          <w:p w14:paraId="1520CF86" w14:textId="77777777" w:rsidR="00E57DAA" w:rsidRDefault="00AC4185" w:rsidP="00C25422">
            <w:pPr>
              <w:pStyle w:val="92"/>
            </w:pPr>
            <w:r>
              <w:t>递延收益</w:t>
            </w:r>
          </w:p>
        </w:tc>
        <w:tc>
          <w:tcPr>
            <w:tcW w:w="679" w:type="pct"/>
            <w:shd w:val="clear" w:color="auto" w:fill="auto"/>
            <w:vAlign w:val="center"/>
          </w:tcPr>
          <w:p w14:paraId="26C6014D" w14:textId="77777777" w:rsidR="00E57DAA" w:rsidRDefault="00AC4185">
            <w:pPr>
              <w:jc w:val="right"/>
            </w:pPr>
            <w:r>
              <w:t>302,259,421.55</w:t>
            </w:r>
          </w:p>
        </w:tc>
        <w:tc>
          <w:tcPr>
            <w:tcW w:w="848" w:type="pct"/>
            <w:shd w:val="clear" w:color="auto" w:fill="auto"/>
            <w:vAlign w:val="center"/>
          </w:tcPr>
          <w:p w14:paraId="152CB49A" w14:textId="77777777" w:rsidR="00E57DAA" w:rsidRDefault="00AC4185">
            <w:pPr>
              <w:jc w:val="right"/>
            </w:pPr>
            <w:r>
              <w:t>5,067,090.21</w:t>
            </w:r>
          </w:p>
        </w:tc>
        <w:tc>
          <w:tcPr>
            <w:tcW w:w="234" w:type="pct"/>
            <w:shd w:val="clear" w:color="auto" w:fill="auto"/>
            <w:vAlign w:val="center"/>
          </w:tcPr>
          <w:p w14:paraId="6F193250" w14:textId="77777777" w:rsidR="00E57DAA" w:rsidRDefault="00E57DAA">
            <w:pPr>
              <w:jc w:val="right"/>
            </w:pPr>
          </w:p>
        </w:tc>
        <w:tc>
          <w:tcPr>
            <w:tcW w:w="641" w:type="pct"/>
            <w:vAlign w:val="center"/>
          </w:tcPr>
          <w:p w14:paraId="34AC1402" w14:textId="77777777" w:rsidR="00E57DAA" w:rsidRDefault="00AC4185">
            <w:pPr>
              <w:jc w:val="right"/>
            </w:pPr>
            <w:r>
              <w:t>24,911,611.07</w:t>
            </w:r>
          </w:p>
        </w:tc>
        <w:tc>
          <w:tcPr>
            <w:tcW w:w="665" w:type="pct"/>
            <w:vAlign w:val="center"/>
          </w:tcPr>
          <w:p w14:paraId="48886EC3" w14:textId="77777777" w:rsidR="00E57DAA" w:rsidRDefault="00AC4185">
            <w:pPr>
              <w:jc w:val="right"/>
            </w:pPr>
            <w:r>
              <w:t>3,478,794.00</w:t>
            </w:r>
          </w:p>
        </w:tc>
        <w:tc>
          <w:tcPr>
            <w:tcW w:w="767" w:type="pct"/>
            <w:vAlign w:val="center"/>
          </w:tcPr>
          <w:p w14:paraId="350E071B" w14:textId="77777777" w:rsidR="00E57DAA" w:rsidRDefault="00AC4185">
            <w:pPr>
              <w:jc w:val="right"/>
            </w:pPr>
            <w:r>
              <w:t>278,936,106.69</w:t>
            </w:r>
          </w:p>
        </w:tc>
        <w:tc>
          <w:tcPr>
            <w:tcW w:w="707" w:type="pct"/>
            <w:vAlign w:val="center"/>
          </w:tcPr>
          <w:p w14:paraId="76336F98" w14:textId="77777777" w:rsidR="00E57DAA" w:rsidRDefault="00AC4185" w:rsidP="00C25422">
            <w:pPr>
              <w:pStyle w:val="92"/>
            </w:pPr>
            <w:r>
              <w:t>与资产相关</w:t>
            </w:r>
          </w:p>
        </w:tc>
      </w:tr>
      <w:tr w:rsidR="00E57DAA" w14:paraId="136B32D7" w14:textId="77777777">
        <w:tc>
          <w:tcPr>
            <w:tcW w:w="458" w:type="pct"/>
            <w:shd w:val="clear" w:color="auto" w:fill="auto"/>
          </w:tcPr>
          <w:p w14:paraId="6062C2BD" w14:textId="77777777" w:rsidR="00E57DAA" w:rsidRDefault="00AC4185" w:rsidP="00C25422">
            <w:pPr>
              <w:pStyle w:val="92"/>
            </w:pPr>
            <w:r>
              <w:t>递延收益</w:t>
            </w:r>
          </w:p>
        </w:tc>
        <w:tc>
          <w:tcPr>
            <w:tcW w:w="679" w:type="pct"/>
            <w:shd w:val="clear" w:color="auto" w:fill="auto"/>
            <w:vAlign w:val="center"/>
          </w:tcPr>
          <w:p w14:paraId="47D5BC01" w14:textId="77777777" w:rsidR="00E57DAA" w:rsidRDefault="00AC4185">
            <w:pPr>
              <w:jc w:val="right"/>
            </w:pPr>
            <w:r>
              <w:t>35,501,082.78</w:t>
            </w:r>
          </w:p>
        </w:tc>
        <w:tc>
          <w:tcPr>
            <w:tcW w:w="848" w:type="pct"/>
            <w:shd w:val="clear" w:color="auto" w:fill="auto"/>
            <w:vAlign w:val="center"/>
          </w:tcPr>
          <w:p w14:paraId="6D9A490E" w14:textId="77777777" w:rsidR="00E57DAA" w:rsidRDefault="00AC4185">
            <w:pPr>
              <w:jc w:val="right"/>
            </w:pPr>
            <w:r>
              <w:t>35,805,557.01</w:t>
            </w:r>
          </w:p>
        </w:tc>
        <w:tc>
          <w:tcPr>
            <w:tcW w:w="234" w:type="pct"/>
            <w:shd w:val="clear" w:color="auto" w:fill="auto"/>
            <w:vAlign w:val="center"/>
          </w:tcPr>
          <w:p w14:paraId="52F17DFE" w14:textId="77777777" w:rsidR="00E57DAA" w:rsidRDefault="00E57DAA">
            <w:pPr>
              <w:jc w:val="right"/>
            </w:pPr>
          </w:p>
        </w:tc>
        <w:tc>
          <w:tcPr>
            <w:tcW w:w="641" w:type="pct"/>
            <w:vAlign w:val="center"/>
          </w:tcPr>
          <w:p w14:paraId="157B664C" w14:textId="77777777" w:rsidR="00E57DAA" w:rsidRDefault="00AC4185">
            <w:pPr>
              <w:jc w:val="right"/>
            </w:pPr>
            <w:r>
              <w:t>46,457,083.31</w:t>
            </w:r>
          </w:p>
        </w:tc>
        <w:tc>
          <w:tcPr>
            <w:tcW w:w="665" w:type="pct"/>
            <w:vAlign w:val="center"/>
          </w:tcPr>
          <w:p w14:paraId="3A10301A" w14:textId="77777777" w:rsidR="00E57DAA" w:rsidRDefault="00AC4185">
            <w:pPr>
              <w:jc w:val="right"/>
            </w:pPr>
            <w:r>
              <w:t>2,120,000.00</w:t>
            </w:r>
          </w:p>
        </w:tc>
        <w:tc>
          <w:tcPr>
            <w:tcW w:w="767" w:type="pct"/>
            <w:vAlign w:val="center"/>
          </w:tcPr>
          <w:p w14:paraId="1A121BA8" w14:textId="77777777" w:rsidR="00E57DAA" w:rsidRDefault="00AC4185">
            <w:pPr>
              <w:jc w:val="right"/>
            </w:pPr>
            <w:r>
              <w:t>22,729,556.48</w:t>
            </w:r>
          </w:p>
        </w:tc>
        <w:tc>
          <w:tcPr>
            <w:tcW w:w="707" w:type="pct"/>
            <w:vAlign w:val="center"/>
          </w:tcPr>
          <w:p w14:paraId="43BBB713" w14:textId="77777777" w:rsidR="00E57DAA" w:rsidRDefault="00AC4185" w:rsidP="00C25422">
            <w:pPr>
              <w:pStyle w:val="92"/>
            </w:pPr>
            <w:r>
              <w:t>与收益相关</w:t>
            </w:r>
          </w:p>
        </w:tc>
      </w:tr>
      <w:tr w:rsidR="00E57DAA" w14:paraId="6D49A225" w14:textId="77777777">
        <w:tc>
          <w:tcPr>
            <w:tcW w:w="458" w:type="pct"/>
            <w:tcBorders>
              <w:top w:val="single" w:sz="4" w:space="0" w:color="auto"/>
              <w:left w:val="single" w:sz="4" w:space="0" w:color="auto"/>
              <w:bottom w:val="single" w:sz="4" w:space="0" w:color="auto"/>
              <w:right w:val="single" w:sz="4" w:space="0" w:color="auto"/>
            </w:tcBorders>
            <w:shd w:val="clear" w:color="auto" w:fill="auto"/>
          </w:tcPr>
          <w:p w14:paraId="128A1AE7" w14:textId="77777777" w:rsidR="00E57DAA" w:rsidRDefault="00AC4185">
            <w:pPr>
              <w:jc w:val="center"/>
            </w:pPr>
            <w:r>
              <w:t>合计</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5736DD9E" w14:textId="77777777" w:rsidR="00E57DAA" w:rsidRDefault="00AC4185">
            <w:pPr>
              <w:jc w:val="right"/>
            </w:pPr>
            <w:r>
              <w:t>337,760,504.33</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14:paraId="6EE0DE19" w14:textId="77777777" w:rsidR="00E57DAA" w:rsidRDefault="00AC4185">
            <w:pPr>
              <w:jc w:val="right"/>
            </w:pPr>
            <w:r>
              <w:t>40,872,647.22</w:t>
            </w:r>
          </w:p>
        </w:tc>
        <w:tc>
          <w:tcPr>
            <w:tcW w:w="234" w:type="pct"/>
            <w:tcBorders>
              <w:top w:val="single" w:sz="4" w:space="0" w:color="auto"/>
              <w:left w:val="single" w:sz="4" w:space="0" w:color="auto"/>
              <w:bottom w:val="single" w:sz="4" w:space="0" w:color="auto"/>
              <w:right w:val="single" w:sz="4" w:space="0" w:color="auto"/>
            </w:tcBorders>
            <w:shd w:val="clear" w:color="auto" w:fill="auto"/>
            <w:vAlign w:val="center"/>
          </w:tcPr>
          <w:p w14:paraId="43B54DE8" w14:textId="77777777" w:rsidR="00E57DAA" w:rsidRDefault="00E57DAA">
            <w:pPr>
              <w:jc w:val="right"/>
            </w:pPr>
          </w:p>
        </w:tc>
        <w:tc>
          <w:tcPr>
            <w:tcW w:w="641" w:type="pct"/>
            <w:tcBorders>
              <w:top w:val="single" w:sz="4" w:space="0" w:color="auto"/>
              <w:left w:val="single" w:sz="4" w:space="0" w:color="auto"/>
              <w:bottom w:val="single" w:sz="4" w:space="0" w:color="auto"/>
              <w:right w:val="single" w:sz="4" w:space="0" w:color="auto"/>
            </w:tcBorders>
            <w:vAlign w:val="center"/>
          </w:tcPr>
          <w:p w14:paraId="1D7A9B9E" w14:textId="77777777" w:rsidR="00E57DAA" w:rsidRDefault="00AC4185">
            <w:pPr>
              <w:jc w:val="right"/>
            </w:pPr>
            <w:r>
              <w:t>71,368,694.38</w:t>
            </w:r>
          </w:p>
        </w:tc>
        <w:tc>
          <w:tcPr>
            <w:tcW w:w="665" w:type="pct"/>
            <w:tcBorders>
              <w:top w:val="single" w:sz="4" w:space="0" w:color="auto"/>
              <w:left w:val="single" w:sz="4" w:space="0" w:color="auto"/>
              <w:bottom w:val="single" w:sz="4" w:space="0" w:color="auto"/>
              <w:right w:val="single" w:sz="4" w:space="0" w:color="auto"/>
            </w:tcBorders>
            <w:vAlign w:val="center"/>
          </w:tcPr>
          <w:p w14:paraId="03B0CA2E" w14:textId="77777777" w:rsidR="00E57DAA" w:rsidRDefault="00AC4185">
            <w:pPr>
              <w:jc w:val="right"/>
            </w:pPr>
            <w:r>
              <w:t>5,598,794.00</w:t>
            </w:r>
          </w:p>
        </w:tc>
        <w:tc>
          <w:tcPr>
            <w:tcW w:w="767" w:type="pct"/>
            <w:tcBorders>
              <w:top w:val="single" w:sz="4" w:space="0" w:color="auto"/>
              <w:left w:val="single" w:sz="4" w:space="0" w:color="auto"/>
              <w:bottom w:val="single" w:sz="4" w:space="0" w:color="auto"/>
              <w:right w:val="single" w:sz="4" w:space="0" w:color="auto"/>
            </w:tcBorders>
            <w:vAlign w:val="center"/>
          </w:tcPr>
          <w:p w14:paraId="3048E8A8" w14:textId="77777777" w:rsidR="00E57DAA" w:rsidRDefault="00AC4185">
            <w:pPr>
              <w:jc w:val="right"/>
            </w:pPr>
            <w:r>
              <w:t>301,665,663.17</w:t>
            </w:r>
          </w:p>
        </w:tc>
        <w:tc>
          <w:tcPr>
            <w:tcW w:w="707" w:type="pct"/>
            <w:tcBorders>
              <w:top w:val="single" w:sz="4" w:space="0" w:color="auto"/>
              <w:left w:val="single" w:sz="4" w:space="0" w:color="auto"/>
              <w:bottom w:val="single" w:sz="4" w:space="0" w:color="auto"/>
              <w:right w:val="single" w:sz="4" w:space="0" w:color="auto"/>
            </w:tcBorders>
          </w:tcPr>
          <w:p w14:paraId="7812335E" w14:textId="77777777" w:rsidR="00E57DAA" w:rsidRDefault="00AC4185" w:rsidP="00C25422">
            <w:pPr>
              <w:pStyle w:val="92"/>
            </w:pPr>
            <w:r>
              <w:rPr>
                <w:rFonts w:hint="eastAsia"/>
              </w:rPr>
              <w:t>/</w:t>
            </w:r>
          </w:p>
        </w:tc>
      </w:tr>
    </w:tbl>
    <w:p w14:paraId="3CDE4F2A" w14:textId="77777777" w:rsidR="00E57DAA" w:rsidRDefault="00E57DAA" w:rsidP="00C25422">
      <w:pPr>
        <w:pStyle w:val="92"/>
      </w:pPr>
    </w:p>
    <w:p w14:paraId="378FE37D" w14:textId="77777777" w:rsidR="00E57DAA" w:rsidRDefault="00AC4185" w:rsidP="00C25422">
      <w:pPr>
        <w:pStyle w:val="91"/>
        <w:numPr>
          <w:ilvl w:val="0"/>
          <w:numId w:val="116"/>
        </w:numPr>
      </w:pPr>
      <w:r>
        <w:rPr>
          <w:rFonts w:hint="eastAsia"/>
        </w:rPr>
        <w:t>计入当期</w:t>
      </w:r>
      <w:r>
        <w:rPr>
          <w:rFonts w:ascii="宋体" w:hAnsi="宋体" w:hint="eastAsia"/>
        </w:rPr>
        <w:t>损益</w:t>
      </w:r>
      <w:r>
        <w:rPr>
          <w:rFonts w:hint="eastAsia"/>
        </w:rPr>
        <w:t>的政府补助</w:t>
      </w:r>
    </w:p>
    <w:bookmarkStart w:id="311" w:name="_Hlk153267407" w:displacedByCustomXml="next"/>
    <w:sdt>
      <w:sdtPr>
        <w:rPr>
          <w:rStyle w:val="85"/>
          <w:rFonts w:ascii="宋体" w:hAnsi="宋体"/>
          <w:b w:val="0"/>
          <w:szCs w:val="21"/>
        </w:rPr>
        <w:alias w:val="是否适用：计入当期损益的政府补助[双击切换]"/>
        <w:tag w:val="_GBC_8ddf92f66bfa4f87b73074ebf5a7bd32"/>
        <w:id w:val="2950138"/>
        <w:placeholder>
          <w:docPart w:val="GBC22222222222222222222222222222"/>
        </w:placeholder>
      </w:sdtPr>
      <w:sdtEndPr>
        <w:rPr>
          <w:rStyle w:val="85"/>
        </w:rPr>
      </w:sdtEndPr>
      <w:sdtContent>
        <w:p w14:paraId="2616F519" w14:textId="77777777" w:rsidR="00E57DAA" w:rsidRDefault="00AC4185">
          <w:pPr>
            <w:rPr>
              <w:rStyle w:val="85"/>
              <w:rFonts w:ascii="宋体" w:hAnsi="宋体"/>
              <w:b w:val="0"/>
              <w:szCs w:val="21"/>
            </w:rPr>
          </w:pPr>
          <w:r>
            <w:rPr>
              <w:rStyle w:val="85"/>
              <w:rFonts w:ascii="宋体" w:hAnsi="宋体"/>
              <w:b w:val="0"/>
              <w:szCs w:val="21"/>
            </w:rPr>
            <w:fldChar w:fldCharType="begin"/>
          </w:r>
          <w:r>
            <w:rPr>
              <w:rStyle w:val="85"/>
              <w:rFonts w:ascii="宋体" w:hAnsi="宋体" w:hint="eastAsia"/>
              <w:b w:val="0"/>
              <w:szCs w:val="21"/>
            </w:rPr>
            <w:instrText xml:space="preserve">MACROBUTTON  SnrToggleCheckbox √适用 </w:instrText>
          </w:r>
          <w:r>
            <w:rPr>
              <w:rStyle w:val="85"/>
              <w:rFonts w:ascii="宋体" w:hAnsi="宋体"/>
              <w:b w:val="0"/>
              <w:szCs w:val="21"/>
            </w:rPr>
            <w:fldChar w:fldCharType="end"/>
          </w:r>
          <w:r>
            <w:rPr>
              <w:rStyle w:val="85"/>
              <w:rFonts w:ascii="宋体" w:hAnsi="宋体"/>
              <w:b w:val="0"/>
              <w:szCs w:val="21"/>
            </w:rPr>
            <w:fldChar w:fldCharType="begin"/>
          </w:r>
          <w:r>
            <w:rPr>
              <w:rStyle w:val="85"/>
              <w:rFonts w:ascii="宋体" w:hAnsi="宋体"/>
              <w:b w:val="0"/>
              <w:szCs w:val="21"/>
            </w:rPr>
            <w:instrText xml:space="preserve"> MACROBUTTON  SnrToggleCheckbox □不适用 </w:instrText>
          </w:r>
          <w:r>
            <w:rPr>
              <w:rStyle w:val="85"/>
              <w:rFonts w:ascii="宋体" w:hAnsi="宋体"/>
              <w:b w:val="0"/>
              <w:szCs w:val="21"/>
            </w:rPr>
            <w:fldChar w:fldCharType="end"/>
          </w:r>
        </w:p>
      </w:sdtContent>
    </w:sdt>
    <w:p w14:paraId="59C58CE2" w14:textId="77777777" w:rsidR="00E57DAA" w:rsidRDefault="00AC4185">
      <w:pPr>
        <w:jc w:val="right"/>
        <w:rPr>
          <w:szCs w:val="21"/>
        </w:rPr>
      </w:pPr>
      <w:r>
        <w:rPr>
          <w:rFonts w:hint="eastAsia"/>
          <w:szCs w:val="21"/>
        </w:rPr>
        <w:t xml:space="preserve"> 单位：</w:t>
      </w:r>
      <w:sdt>
        <w:sdtPr>
          <w:rPr>
            <w:rFonts w:hint="eastAsia"/>
            <w:szCs w:val="21"/>
          </w:rPr>
          <w:alias w:val="单位：财务附注：计入当期损益的政府补助"/>
          <w:tag w:val="_GBC_e18208ff61f24ff591a3dc1a23c8a26c"/>
          <w:id w:val="-4091559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46d58cfd963545aba949fdc131aee974"/>
          <w:id w:val="-2268402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783"/>
        <w:gridCol w:w="6274"/>
        <w:gridCol w:w="1675"/>
        <w:gridCol w:w="2304"/>
        <w:gridCol w:w="1827"/>
      </w:tblGrid>
      <w:tr w:rsidR="00E57DAA" w14:paraId="5CB0356A" w14:textId="77777777">
        <w:trPr>
          <w:trHeight w:val="556"/>
          <w:jc w:val="center"/>
        </w:trPr>
        <w:bookmarkEnd w:id="311" w:displacedByCustomXml="next"/>
        <w:bookmarkStart w:id="312" w:name="_Hlk153267868" w:displacedByCustomXml="next"/>
        <w:sdt>
          <w:sdtPr>
            <w:tag w:val="_PLD_5b4079791e994686811417a70944bd9d"/>
            <w:id w:val="591592625"/>
          </w:sdtPr>
          <w:sdtEndPr/>
          <w:sdtContent>
            <w:tc>
              <w:tcPr>
                <w:tcW w:w="643" w:type="pct"/>
                <w:tcBorders>
                  <w:top w:val="single" w:sz="4" w:space="0" w:color="auto"/>
                  <w:left w:val="single" w:sz="4" w:space="0" w:color="auto"/>
                  <w:bottom w:val="single" w:sz="4" w:space="0" w:color="auto"/>
                  <w:right w:val="single" w:sz="4" w:space="0" w:color="auto"/>
                </w:tcBorders>
                <w:vAlign w:val="center"/>
              </w:tcPr>
              <w:p w14:paraId="0ABA9AEA" w14:textId="77777777" w:rsidR="00E57DAA" w:rsidRDefault="00AC4185">
                <w:pPr>
                  <w:jc w:val="center"/>
                  <w:rPr>
                    <w:szCs w:val="21"/>
                  </w:rPr>
                </w:pPr>
                <w:r>
                  <w:rPr>
                    <w:rFonts w:hint="eastAsia"/>
                  </w:rPr>
                  <w:t>类型</w:t>
                </w:r>
              </w:p>
            </w:tc>
          </w:sdtContent>
        </w:sdt>
        <w:tc>
          <w:tcPr>
            <w:tcW w:w="2263" w:type="pct"/>
            <w:tcBorders>
              <w:top w:val="single" w:sz="4" w:space="0" w:color="auto"/>
              <w:left w:val="single" w:sz="4" w:space="0" w:color="auto"/>
              <w:bottom w:val="single" w:sz="4" w:space="0" w:color="auto"/>
              <w:right w:val="single" w:sz="4" w:space="0" w:color="auto"/>
            </w:tcBorders>
            <w:vAlign w:val="center"/>
          </w:tcPr>
          <w:p w14:paraId="33D5AA32" w14:textId="77777777" w:rsidR="00E57DAA" w:rsidRDefault="00AC4185">
            <w:pPr>
              <w:jc w:val="center"/>
              <w:rPr>
                <w:szCs w:val="21"/>
              </w:rPr>
            </w:pPr>
            <w:r>
              <w:t>补助项目</w:t>
            </w:r>
          </w:p>
        </w:tc>
        <w:tc>
          <w:tcPr>
            <w:tcW w:w="604" w:type="pct"/>
            <w:tcBorders>
              <w:top w:val="single" w:sz="4" w:space="0" w:color="auto"/>
              <w:left w:val="single" w:sz="4" w:space="0" w:color="auto"/>
              <w:bottom w:val="single" w:sz="4" w:space="0" w:color="auto"/>
              <w:right w:val="single" w:sz="4" w:space="0" w:color="auto"/>
            </w:tcBorders>
            <w:vAlign w:val="center"/>
          </w:tcPr>
          <w:p w14:paraId="26EF19EE" w14:textId="77777777" w:rsidR="00E57DAA" w:rsidRDefault="00AC4185">
            <w:pPr>
              <w:jc w:val="center"/>
              <w:rPr>
                <w:szCs w:val="21"/>
              </w:rPr>
            </w:pPr>
            <w:r>
              <w:t>会计科目</w:t>
            </w:r>
          </w:p>
        </w:tc>
        <w:sdt>
          <w:sdtPr>
            <w:tag w:val="_PLD_ae1ceb2d189344a5ad7763348cb654c3"/>
            <w:id w:val="-1906915831"/>
          </w:sdtPr>
          <w:sdtEndPr/>
          <w:sdtContent>
            <w:tc>
              <w:tcPr>
                <w:tcW w:w="831" w:type="pct"/>
                <w:tcBorders>
                  <w:top w:val="single" w:sz="4" w:space="0" w:color="auto"/>
                  <w:left w:val="single" w:sz="4" w:space="0" w:color="auto"/>
                  <w:bottom w:val="single" w:sz="4" w:space="0" w:color="auto"/>
                  <w:right w:val="single" w:sz="4" w:space="0" w:color="auto"/>
                </w:tcBorders>
                <w:vAlign w:val="center"/>
              </w:tcPr>
              <w:p w14:paraId="3DC28A2A" w14:textId="77777777" w:rsidR="00E57DAA" w:rsidRDefault="00AC4185">
                <w:pPr>
                  <w:jc w:val="center"/>
                  <w:rPr>
                    <w:szCs w:val="21"/>
                  </w:rPr>
                </w:pPr>
                <w:r>
                  <w:rPr>
                    <w:szCs w:val="21"/>
                  </w:rPr>
                  <w:t>本期发生额</w:t>
                </w:r>
              </w:p>
            </w:tc>
          </w:sdtContent>
        </w:sdt>
        <w:sdt>
          <w:sdtPr>
            <w:tag w:val="_PLD_e615d326bd42416e8f3721fad0ff2852"/>
            <w:id w:val="-1412149994"/>
          </w:sdtPr>
          <w:sdtEndPr/>
          <w:sdtContent>
            <w:tc>
              <w:tcPr>
                <w:tcW w:w="659" w:type="pct"/>
                <w:tcBorders>
                  <w:top w:val="single" w:sz="4" w:space="0" w:color="auto"/>
                  <w:left w:val="single" w:sz="4" w:space="0" w:color="auto"/>
                  <w:bottom w:val="single" w:sz="4" w:space="0" w:color="auto"/>
                  <w:right w:val="single" w:sz="4" w:space="0" w:color="auto"/>
                </w:tcBorders>
                <w:vAlign w:val="center"/>
              </w:tcPr>
              <w:p w14:paraId="6B3B4AC4" w14:textId="77777777" w:rsidR="00E57DAA" w:rsidRDefault="00AC4185">
                <w:pPr>
                  <w:jc w:val="center"/>
                  <w:rPr>
                    <w:szCs w:val="21"/>
                  </w:rPr>
                </w:pPr>
                <w:r>
                  <w:rPr>
                    <w:szCs w:val="21"/>
                  </w:rPr>
                  <w:t>上期发生额</w:t>
                </w:r>
              </w:p>
            </w:tc>
          </w:sdtContent>
        </w:sdt>
      </w:tr>
      <w:tr w:rsidR="00E57DAA" w14:paraId="2B3CC3DD"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EFE1938"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51A60E6" w14:textId="77777777" w:rsidR="00E57DAA" w:rsidRDefault="00AC4185">
            <w:pPr>
              <w:rPr>
                <w:szCs w:val="21"/>
              </w:rPr>
            </w:pPr>
            <w:r>
              <w:t>增值税加计抵减</w:t>
            </w:r>
          </w:p>
        </w:tc>
        <w:tc>
          <w:tcPr>
            <w:tcW w:w="604" w:type="pct"/>
            <w:tcBorders>
              <w:top w:val="single" w:sz="4" w:space="0" w:color="auto"/>
              <w:left w:val="single" w:sz="4" w:space="0" w:color="auto"/>
              <w:bottom w:val="single" w:sz="4" w:space="0" w:color="auto"/>
              <w:right w:val="single" w:sz="4" w:space="0" w:color="auto"/>
            </w:tcBorders>
            <w:vAlign w:val="center"/>
          </w:tcPr>
          <w:p w14:paraId="00040C3C"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6560183" w14:textId="77777777" w:rsidR="00E57DAA" w:rsidRDefault="00AC4185">
            <w:pPr>
              <w:jc w:val="right"/>
              <w:rPr>
                <w:szCs w:val="21"/>
              </w:rPr>
            </w:pPr>
            <w:r>
              <w:t>31,459,735.17</w:t>
            </w:r>
          </w:p>
        </w:tc>
        <w:tc>
          <w:tcPr>
            <w:tcW w:w="659" w:type="pct"/>
            <w:tcBorders>
              <w:top w:val="single" w:sz="4" w:space="0" w:color="auto"/>
              <w:left w:val="single" w:sz="4" w:space="0" w:color="auto"/>
              <w:bottom w:val="single" w:sz="4" w:space="0" w:color="auto"/>
              <w:right w:val="single" w:sz="4" w:space="0" w:color="auto"/>
            </w:tcBorders>
            <w:vAlign w:val="center"/>
          </w:tcPr>
          <w:p w14:paraId="1C84BC69" w14:textId="77777777" w:rsidR="00E57DAA" w:rsidRDefault="00AC4185">
            <w:pPr>
              <w:jc w:val="right"/>
              <w:rPr>
                <w:szCs w:val="21"/>
              </w:rPr>
            </w:pPr>
            <w:r>
              <w:t>373,645.84</w:t>
            </w:r>
          </w:p>
        </w:tc>
      </w:tr>
      <w:tr w:rsidR="00E57DAA" w14:paraId="4DB81BC3"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532C635"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7EABFB0" w14:textId="77777777" w:rsidR="00E57DAA" w:rsidRDefault="00AC4185">
            <w:pPr>
              <w:rPr>
                <w:szCs w:val="21"/>
              </w:rPr>
            </w:pPr>
            <w:r>
              <w:t>北辰区财政局智能制造资金奖励</w:t>
            </w:r>
          </w:p>
        </w:tc>
        <w:tc>
          <w:tcPr>
            <w:tcW w:w="604" w:type="pct"/>
            <w:tcBorders>
              <w:top w:val="single" w:sz="4" w:space="0" w:color="auto"/>
              <w:left w:val="single" w:sz="4" w:space="0" w:color="auto"/>
              <w:bottom w:val="single" w:sz="4" w:space="0" w:color="auto"/>
              <w:right w:val="single" w:sz="4" w:space="0" w:color="auto"/>
            </w:tcBorders>
            <w:vAlign w:val="center"/>
          </w:tcPr>
          <w:p w14:paraId="23C89403"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0E2FF18" w14:textId="77777777" w:rsidR="00E57DAA" w:rsidRDefault="00AC4185">
            <w:pPr>
              <w:jc w:val="right"/>
              <w:rPr>
                <w:szCs w:val="21"/>
              </w:rPr>
            </w:pPr>
            <w:r>
              <w:t>10,000,000.00</w:t>
            </w:r>
          </w:p>
        </w:tc>
        <w:tc>
          <w:tcPr>
            <w:tcW w:w="659" w:type="pct"/>
            <w:tcBorders>
              <w:top w:val="single" w:sz="4" w:space="0" w:color="auto"/>
              <w:left w:val="single" w:sz="4" w:space="0" w:color="auto"/>
              <w:bottom w:val="single" w:sz="4" w:space="0" w:color="auto"/>
              <w:right w:val="single" w:sz="4" w:space="0" w:color="auto"/>
            </w:tcBorders>
            <w:vAlign w:val="center"/>
          </w:tcPr>
          <w:p w14:paraId="7F612AE9" w14:textId="77777777" w:rsidR="00E57DAA" w:rsidRDefault="00E57DAA">
            <w:pPr>
              <w:jc w:val="right"/>
              <w:rPr>
                <w:szCs w:val="21"/>
              </w:rPr>
            </w:pPr>
          </w:p>
        </w:tc>
      </w:tr>
      <w:tr w:rsidR="00E57DAA" w14:paraId="49E7D920"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B0DF011"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0BF890D" w14:textId="77777777" w:rsidR="00E57DAA" w:rsidRDefault="00AC4185">
            <w:pPr>
              <w:rPr>
                <w:szCs w:val="21"/>
              </w:rPr>
            </w:pPr>
            <w:r>
              <w:t>花桥经济开发区经济发展促进局2022年经营贡献奖</w:t>
            </w:r>
          </w:p>
        </w:tc>
        <w:tc>
          <w:tcPr>
            <w:tcW w:w="604" w:type="pct"/>
            <w:tcBorders>
              <w:top w:val="single" w:sz="4" w:space="0" w:color="auto"/>
              <w:left w:val="single" w:sz="4" w:space="0" w:color="auto"/>
              <w:bottom w:val="single" w:sz="4" w:space="0" w:color="auto"/>
              <w:right w:val="single" w:sz="4" w:space="0" w:color="auto"/>
            </w:tcBorders>
            <w:vAlign w:val="center"/>
          </w:tcPr>
          <w:p w14:paraId="5EF99F7F"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2968BAEE" w14:textId="77777777" w:rsidR="00E57DAA" w:rsidRDefault="00AC4185">
            <w:pPr>
              <w:jc w:val="right"/>
              <w:rPr>
                <w:szCs w:val="21"/>
              </w:rPr>
            </w:pPr>
            <w:r>
              <w:t>6,379,500.00</w:t>
            </w:r>
          </w:p>
        </w:tc>
        <w:tc>
          <w:tcPr>
            <w:tcW w:w="659" w:type="pct"/>
            <w:tcBorders>
              <w:top w:val="single" w:sz="4" w:space="0" w:color="auto"/>
              <w:left w:val="single" w:sz="4" w:space="0" w:color="auto"/>
              <w:bottom w:val="single" w:sz="4" w:space="0" w:color="auto"/>
              <w:right w:val="single" w:sz="4" w:space="0" w:color="auto"/>
            </w:tcBorders>
            <w:vAlign w:val="center"/>
          </w:tcPr>
          <w:p w14:paraId="31D8169A" w14:textId="77777777" w:rsidR="00E57DAA" w:rsidRDefault="00AC4185">
            <w:pPr>
              <w:jc w:val="right"/>
              <w:rPr>
                <w:szCs w:val="21"/>
              </w:rPr>
            </w:pPr>
            <w:r>
              <w:t>5,698,200.00</w:t>
            </w:r>
          </w:p>
        </w:tc>
      </w:tr>
      <w:tr w:rsidR="00E57DAA" w14:paraId="474A786A"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E818FE4"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B7A13EB" w14:textId="77777777" w:rsidR="00E57DAA" w:rsidRDefault="00AC4185">
            <w:pPr>
              <w:rPr>
                <w:szCs w:val="21"/>
              </w:rPr>
            </w:pPr>
            <w:r>
              <w:t>2023年省级商务发展专项资金</w:t>
            </w:r>
          </w:p>
        </w:tc>
        <w:tc>
          <w:tcPr>
            <w:tcW w:w="604" w:type="pct"/>
            <w:tcBorders>
              <w:top w:val="single" w:sz="4" w:space="0" w:color="auto"/>
              <w:left w:val="single" w:sz="4" w:space="0" w:color="auto"/>
              <w:bottom w:val="single" w:sz="4" w:space="0" w:color="auto"/>
              <w:right w:val="single" w:sz="4" w:space="0" w:color="auto"/>
            </w:tcBorders>
            <w:vAlign w:val="center"/>
          </w:tcPr>
          <w:p w14:paraId="055ADC0A"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09B831EB" w14:textId="77777777" w:rsidR="00E57DAA" w:rsidRDefault="00AC4185">
            <w:pPr>
              <w:jc w:val="right"/>
              <w:rPr>
                <w:szCs w:val="21"/>
              </w:rPr>
            </w:pPr>
            <w:r>
              <w:t>4,851,600.00</w:t>
            </w:r>
          </w:p>
        </w:tc>
        <w:tc>
          <w:tcPr>
            <w:tcW w:w="659" w:type="pct"/>
            <w:tcBorders>
              <w:top w:val="single" w:sz="4" w:space="0" w:color="auto"/>
              <w:left w:val="single" w:sz="4" w:space="0" w:color="auto"/>
              <w:bottom w:val="single" w:sz="4" w:space="0" w:color="auto"/>
              <w:right w:val="single" w:sz="4" w:space="0" w:color="auto"/>
            </w:tcBorders>
            <w:vAlign w:val="center"/>
          </w:tcPr>
          <w:p w14:paraId="7A5FC661" w14:textId="77777777" w:rsidR="00E57DAA" w:rsidRDefault="00E57DAA">
            <w:pPr>
              <w:jc w:val="right"/>
              <w:rPr>
                <w:szCs w:val="21"/>
              </w:rPr>
            </w:pPr>
          </w:p>
        </w:tc>
      </w:tr>
      <w:tr w:rsidR="00E57DAA" w14:paraId="7CE74449"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EFA5A0B"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55D222D" w14:textId="77777777" w:rsidR="00E57DAA" w:rsidRDefault="00AC4185">
            <w:pPr>
              <w:rPr>
                <w:szCs w:val="21"/>
              </w:rPr>
            </w:pPr>
            <w:r>
              <w:t>稳岗补贴</w:t>
            </w:r>
          </w:p>
        </w:tc>
        <w:tc>
          <w:tcPr>
            <w:tcW w:w="604" w:type="pct"/>
            <w:tcBorders>
              <w:top w:val="single" w:sz="4" w:space="0" w:color="auto"/>
              <w:left w:val="single" w:sz="4" w:space="0" w:color="auto"/>
              <w:bottom w:val="single" w:sz="4" w:space="0" w:color="auto"/>
              <w:right w:val="single" w:sz="4" w:space="0" w:color="auto"/>
            </w:tcBorders>
            <w:vAlign w:val="center"/>
          </w:tcPr>
          <w:p w14:paraId="50F4EB71"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EF938BF" w14:textId="77777777" w:rsidR="00E57DAA" w:rsidRDefault="00AC4185">
            <w:pPr>
              <w:jc w:val="right"/>
              <w:rPr>
                <w:szCs w:val="21"/>
              </w:rPr>
            </w:pPr>
            <w:r>
              <w:t>3,630,549.92</w:t>
            </w:r>
          </w:p>
        </w:tc>
        <w:tc>
          <w:tcPr>
            <w:tcW w:w="659" w:type="pct"/>
            <w:tcBorders>
              <w:top w:val="single" w:sz="4" w:space="0" w:color="auto"/>
              <w:left w:val="single" w:sz="4" w:space="0" w:color="auto"/>
              <w:bottom w:val="single" w:sz="4" w:space="0" w:color="auto"/>
              <w:right w:val="single" w:sz="4" w:space="0" w:color="auto"/>
            </w:tcBorders>
            <w:vAlign w:val="center"/>
          </w:tcPr>
          <w:p w14:paraId="1A02EA67" w14:textId="77777777" w:rsidR="00E57DAA" w:rsidRDefault="00AC4185">
            <w:pPr>
              <w:jc w:val="right"/>
              <w:rPr>
                <w:szCs w:val="21"/>
              </w:rPr>
            </w:pPr>
            <w:r>
              <w:t>3,781,931.08</w:t>
            </w:r>
          </w:p>
        </w:tc>
      </w:tr>
      <w:tr w:rsidR="00E57DAA" w14:paraId="4CF00AB2"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F33A0AD"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AA7E5F1" w14:textId="77777777" w:rsidR="00E57DAA" w:rsidRDefault="00AC4185">
            <w:pPr>
              <w:rPr>
                <w:szCs w:val="21"/>
              </w:rPr>
            </w:pPr>
            <w:r>
              <w:t>江苏省商务发展专项基金（第二批）对外投资与经济合作安集延项目补助</w:t>
            </w:r>
          </w:p>
        </w:tc>
        <w:tc>
          <w:tcPr>
            <w:tcW w:w="604" w:type="pct"/>
            <w:tcBorders>
              <w:top w:val="single" w:sz="4" w:space="0" w:color="auto"/>
              <w:left w:val="single" w:sz="4" w:space="0" w:color="auto"/>
              <w:bottom w:val="single" w:sz="4" w:space="0" w:color="auto"/>
              <w:right w:val="single" w:sz="4" w:space="0" w:color="auto"/>
            </w:tcBorders>
            <w:vAlign w:val="center"/>
          </w:tcPr>
          <w:p w14:paraId="662D00E7"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7887A27" w14:textId="77777777" w:rsidR="00E57DAA" w:rsidRDefault="00AC4185">
            <w:pPr>
              <w:jc w:val="right"/>
              <w:rPr>
                <w:szCs w:val="21"/>
              </w:rPr>
            </w:pPr>
            <w:r>
              <w:t>3,016,000.00</w:t>
            </w:r>
          </w:p>
        </w:tc>
        <w:tc>
          <w:tcPr>
            <w:tcW w:w="659" w:type="pct"/>
            <w:tcBorders>
              <w:top w:val="single" w:sz="4" w:space="0" w:color="auto"/>
              <w:left w:val="single" w:sz="4" w:space="0" w:color="auto"/>
              <w:bottom w:val="single" w:sz="4" w:space="0" w:color="auto"/>
              <w:right w:val="single" w:sz="4" w:space="0" w:color="auto"/>
            </w:tcBorders>
            <w:vAlign w:val="center"/>
          </w:tcPr>
          <w:p w14:paraId="79C31B02" w14:textId="77777777" w:rsidR="00E57DAA" w:rsidRDefault="00E57DAA">
            <w:pPr>
              <w:jc w:val="right"/>
              <w:rPr>
                <w:szCs w:val="21"/>
              </w:rPr>
            </w:pPr>
          </w:p>
        </w:tc>
      </w:tr>
      <w:tr w:rsidR="00E57DAA" w14:paraId="12A52BC3"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FD728F4"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C4AEDC2" w14:textId="77777777" w:rsidR="00E57DAA" w:rsidRDefault="00AC4185">
            <w:pPr>
              <w:rPr>
                <w:szCs w:val="21"/>
              </w:rPr>
            </w:pPr>
            <w:r>
              <w:t>中央外经贸发展专项资金</w:t>
            </w:r>
          </w:p>
        </w:tc>
        <w:tc>
          <w:tcPr>
            <w:tcW w:w="604" w:type="pct"/>
            <w:tcBorders>
              <w:top w:val="single" w:sz="4" w:space="0" w:color="auto"/>
              <w:left w:val="single" w:sz="4" w:space="0" w:color="auto"/>
              <w:bottom w:val="single" w:sz="4" w:space="0" w:color="auto"/>
              <w:right w:val="single" w:sz="4" w:space="0" w:color="auto"/>
            </w:tcBorders>
            <w:vAlign w:val="center"/>
          </w:tcPr>
          <w:p w14:paraId="11901282"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F22AF69" w14:textId="77777777" w:rsidR="00E57DAA" w:rsidRDefault="00AC4185">
            <w:pPr>
              <w:jc w:val="right"/>
              <w:rPr>
                <w:szCs w:val="21"/>
              </w:rPr>
            </w:pPr>
            <w:r>
              <w:t>2,249,000.00</w:t>
            </w:r>
          </w:p>
        </w:tc>
        <w:tc>
          <w:tcPr>
            <w:tcW w:w="659" w:type="pct"/>
            <w:tcBorders>
              <w:top w:val="single" w:sz="4" w:space="0" w:color="auto"/>
              <w:left w:val="single" w:sz="4" w:space="0" w:color="auto"/>
              <w:bottom w:val="single" w:sz="4" w:space="0" w:color="auto"/>
              <w:right w:val="single" w:sz="4" w:space="0" w:color="auto"/>
            </w:tcBorders>
            <w:vAlign w:val="center"/>
          </w:tcPr>
          <w:p w14:paraId="50B03319" w14:textId="77777777" w:rsidR="00E57DAA" w:rsidRDefault="00AC4185">
            <w:pPr>
              <w:jc w:val="right"/>
              <w:rPr>
                <w:szCs w:val="21"/>
              </w:rPr>
            </w:pPr>
            <w:r>
              <w:t>2,010,000.00</w:t>
            </w:r>
          </w:p>
        </w:tc>
      </w:tr>
      <w:tr w:rsidR="00E57DAA" w14:paraId="444D7EB2"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58C9DF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E9533E5" w14:textId="77777777" w:rsidR="00E57DAA" w:rsidRDefault="00AC4185">
            <w:pPr>
              <w:rPr>
                <w:szCs w:val="21"/>
              </w:rPr>
            </w:pPr>
            <w:r>
              <w:t>鼓楼科技园产业扶持资金</w:t>
            </w:r>
          </w:p>
        </w:tc>
        <w:tc>
          <w:tcPr>
            <w:tcW w:w="604" w:type="pct"/>
            <w:tcBorders>
              <w:top w:val="single" w:sz="4" w:space="0" w:color="auto"/>
              <w:left w:val="single" w:sz="4" w:space="0" w:color="auto"/>
              <w:bottom w:val="single" w:sz="4" w:space="0" w:color="auto"/>
              <w:right w:val="single" w:sz="4" w:space="0" w:color="auto"/>
            </w:tcBorders>
            <w:vAlign w:val="center"/>
          </w:tcPr>
          <w:p w14:paraId="1CF4BB40"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3C03EAB" w14:textId="77777777" w:rsidR="00E57DAA" w:rsidRDefault="00AC4185">
            <w:pPr>
              <w:jc w:val="right"/>
              <w:rPr>
                <w:szCs w:val="21"/>
              </w:rPr>
            </w:pPr>
            <w:r>
              <w:t>2,230,000.00</w:t>
            </w:r>
          </w:p>
        </w:tc>
        <w:tc>
          <w:tcPr>
            <w:tcW w:w="659" w:type="pct"/>
            <w:tcBorders>
              <w:top w:val="single" w:sz="4" w:space="0" w:color="auto"/>
              <w:left w:val="single" w:sz="4" w:space="0" w:color="auto"/>
              <w:bottom w:val="single" w:sz="4" w:space="0" w:color="auto"/>
              <w:right w:val="single" w:sz="4" w:space="0" w:color="auto"/>
            </w:tcBorders>
            <w:vAlign w:val="center"/>
          </w:tcPr>
          <w:p w14:paraId="31311DB5" w14:textId="77777777" w:rsidR="00E57DAA" w:rsidRDefault="00AC4185">
            <w:pPr>
              <w:jc w:val="right"/>
              <w:rPr>
                <w:szCs w:val="21"/>
              </w:rPr>
            </w:pPr>
            <w:r>
              <w:t>1,907,000.00</w:t>
            </w:r>
          </w:p>
        </w:tc>
      </w:tr>
      <w:tr w:rsidR="00E57DAA" w14:paraId="4D8D9143"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C02599D"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134CBE8" w14:textId="77777777" w:rsidR="00E57DAA" w:rsidRDefault="00AC4185">
            <w:pPr>
              <w:rPr>
                <w:szCs w:val="21"/>
              </w:rPr>
            </w:pPr>
            <w:r>
              <w:t>2022年区级第一批政策兑现</w:t>
            </w:r>
          </w:p>
        </w:tc>
        <w:tc>
          <w:tcPr>
            <w:tcW w:w="604" w:type="pct"/>
            <w:tcBorders>
              <w:top w:val="single" w:sz="4" w:space="0" w:color="auto"/>
              <w:left w:val="single" w:sz="4" w:space="0" w:color="auto"/>
              <w:bottom w:val="single" w:sz="4" w:space="0" w:color="auto"/>
              <w:right w:val="single" w:sz="4" w:space="0" w:color="auto"/>
            </w:tcBorders>
            <w:vAlign w:val="center"/>
          </w:tcPr>
          <w:p w14:paraId="517F3E19"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97E357A" w14:textId="77777777" w:rsidR="00E57DAA" w:rsidRDefault="00AC4185">
            <w:pPr>
              <w:jc w:val="right"/>
              <w:rPr>
                <w:szCs w:val="21"/>
              </w:rPr>
            </w:pPr>
            <w:r>
              <w:t>2,037,354.00</w:t>
            </w:r>
          </w:p>
        </w:tc>
        <w:tc>
          <w:tcPr>
            <w:tcW w:w="659" w:type="pct"/>
            <w:tcBorders>
              <w:top w:val="single" w:sz="4" w:space="0" w:color="auto"/>
              <w:left w:val="single" w:sz="4" w:space="0" w:color="auto"/>
              <w:bottom w:val="single" w:sz="4" w:space="0" w:color="auto"/>
              <w:right w:val="single" w:sz="4" w:space="0" w:color="auto"/>
            </w:tcBorders>
            <w:vAlign w:val="center"/>
          </w:tcPr>
          <w:p w14:paraId="19D64E7B" w14:textId="77777777" w:rsidR="00E57DAA" w:rsidRDefault="00E57DAA">
            <w:pPr>
              <w:jc w:val="right"/>
              <w:rPr>
                <w:szCs w:val="21"/>
              </w:rPr>
            </w:pPr>
          </w:p>
        </w:tc>
      </w:tr>
      <w:tr w:rsidR="00E57DAA" w14:paraId="47FFF208"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B0A833E"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D59BB6F" w14:textId="77777777" w:rsidR="00E57DAA" w:rsidRDefault="00AC4185">
            <w:pPr>
              <w:rPr>
                <w:szCs w:val="21"/>
              </w:rPr>
            </w:pPr>
            <w:r>
              <w:t>合肥市包河区经济和信息化局-中小企业（民营）发展专项资金</w:t>
            </w:r>
          </w:p>
        </w:tc>
        <w:tc>
          <w:tcPr>
            <w:tcW w:w="604" w:type="pct"/>
            <w:tcBorders>
              <w:top w:val="single" w:sz="4" w:space="0" w:color="auto"/>
              <w:left w:val="single" w:sz="4" w:space="0" w:color="auto"/>
              <w:bottom w:val="single" w:sz="4" w:space="0" w:color="auto"/>
              <w:right w:val="single" w:sz="4" w:space="0" w:color="auto"/>
            </w:tcBorders>
            <w:vAlign w:val="center"/>
          </w:tcPr>
          <w:p w14:paraId="2678905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A45BBDB" w14:textId="77777777" w:rsidR="00E57DAA" w:rsidRDefault="00AC4185">
            <w:pPr>
              <w:jc w:val="right"/>
              <w:rPr>
                <w:szCs w:val="21"/>
              </w:rPr>
            </w:pPr>
            <w:r>
              <w:t>2,000,000.00</w:t>
            </w:r>
          </w:p>
        </w:tc>
        <w:tc>
          <w:tcPr>
            <w:tcW w:w="659" w:type="pct"/>
            <w:tcBorders>
              <w:top w:val="single" w:sz="4" w:space="0" w:color="auto"/>
              <w:left w:val="single" w:sz="4" w:space="0" w:color="auto"/>
              <w:bottom w:val="single" w:sz="4" w:space="0" w:color="auto"/>
              <w:right w:val="single" w:sz="4" w:space="0" w:color="auto"/>
            </w:tcBorders>
            <w:vAlign w:val="center"/>
          </w:tcPr>
          <w:p w14:paraId="6044BC7D" w14:textId="77777777" w:rsidR="00E57DAA" w:rsidRDefault="00E57DAA">
            <w:pPr>
              <w:jc w:val="right"/>
              <w:rPr>
                <w:szCs w:val="21"/>
              </w:rPr>
            </w:pPr>
          </w:p>
        </w:tc>
      </w:tr>
      <w:tr w:rsidR="00E57DAA" w14:paraId="533C2A3E"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0F508F4" w14:textId="77777777" w:rsidR="00E57DAA" w:rsidRDefault="00AC4185">
            <w:pPr>
              <w:rPr>
                <w:szCs w:val="21"/>
              </w:rPr>
            </w:pPr>
            <w:r>
              <w:lastRenderedPageBreak/>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3654FA3" w14:textId="77777777" w:rsidR="00E57DAA" w:rsidRDefault="00AC4185">
            <w:pPr>
              <w:rPr>
                <w:szCs w:val="21"/>
              </w:rPr>
            </w:pPr>
            <w:r>
              <w:t>中央大气污染防治资金企业补助</w:t>
            </w:r>
          </w:p>
        </w:tc>
        <w:tc>
          <w:tcPr>
            <w:tcW w:w="604" w:type="pct"/>
            <w:tcBorders>
              <w:top w:val="single" w:sz="4" w:space="0" w:color="auto"/>
              <w:left w:val="single" w:sz="4" w:space="0" w:color="auto"/>
              <w:bottom w:val="single" w:sz="4" w:space="0" w:color="auto"/>
              <w:right w:val="single" w:sz="4" w:space="0" w:color="auto"/>
            </w:tcBorders>
            <w:vAlign w:val="center"/>
          </w:tcPr>
          <w:p w14:paraId="30ACCF45"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098669A" w14:textId="77777777" w:rsidR="00E57DAA" w:rsidRDefault="00AC4185">
            <w:pPr>
              <w:jc w:val="right"/>
              <w:rPr>
                <w:szCs w:val="21"/>
              </w:rPr>
            </w:pPr>
            <w:r>
              <w:t>1,770,000.00</w:t>
            </w:r>
          </w:p>
        </w:tc>
        <w:tc>
          <w:tcPr>
            <w:tcW w:w="659" w:type="pct"/>
            <w:tcBorders>
              <w:top w:val="single" w:sz="4" w:space="0" w:color="auto"/>
              <w:left w:val="single" w:sz="4" w:space="0" w:color="auto"/>
              <w:bottom w:val="single" w:sz="4" w:space="0" w:color="auto"/>
              <w:right w:val="single" w:sz="4" w:space="0" w:color="auto"/>
            </w:tcBorders>
            <w:vAlign w:val="center"/>
          </w:tcPr>
          <w:p w14:paraId="21A5084D" w14:textId="77777777" w:rsidR="00E57DAA" w:rsidRDefault="00E57DAA">
            <w:pPr>
              <w:jc w:val="right"/>
              <w:rPr>
                <w:szCs w:val="21"/>
              </w:rPr>
            </w:pPr>
          </w:p>
        </w:tc>
      </w:tr>
      <w:tr w:rsidR="00E57DAA" w14:paraId="090F2A5D"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62D762C"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91B542B" w14:textId="77777777" w:rsidR="00E57DAA" w:rsidRDefault="00AC4185">
            <w:pPr>
              <w:rPr>
                <w:szCs w:val="21"/>
              </w:rPr>
            </w:pPr>
            <w:r>
              <w:t>新经济和科技局数字赋能产业扶持资金</w:t>
            </w:r>
          </w:p>
        </w:tc>
        <w:tc>
          <w:tcPr>
            <w:tcW w:w="604" w:type="pct"/>
            <w:tcBorders>
              <w:top w:val="single" w:sz="4" w:space="0" w:color="auto"/>
              <w:left w:val="single" w:sz="4" w:space="0" w:color="auto"/>
              <w:bottom w:val="single" w:sz="4" w:space="0" w:color="auto"/>
              <w:right w:val="single" w:sz="4" w:space="0" w:color="auto"/>
            </w:tcBorders>
            <w:vAlign w:val="center"/>
          </w:tcPr>
          <w:p w14:paraId="0878DBD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F95FE34" w14:textId="77777777" w:rsidR="00E57DAA" w:rsidRDefault="00AC4185">
            <w:pPr>
              <w:jc w:val="right"/>
              <w:rPr>
                <w:szCs w:val="21"/>
              </w:rPr>
            </w:pPr>
            <w:r>
              <w:t>1,593,090.00</w:t>
            </w:r>
          </w:p>
        </w:tc>
        <w:tc>
          <w:tcPr>
            <w:tcW w:w="659" w:type="pct"/>
            <w:tcBorders>
              <w:top w:val="single" w:sz="4" w:space="0" w:color="auto"/>
              <w:left w:val="single" w:sz="4" w:space="0" w:color="auto"/>
              <w:bottom w:val="single" w:sz="4" w:space="0" w:color="auto"/>
              <w:right w:val="single" w:sz="4" w:space="0" w:color="auto"/>
            </w:tcBorders>
            <w:vAlign w:val="center"/>
          </w:tcPr>
          <w:p w14:paraId="5845CE7B" w14:textId="77777777" w:rsidR="00E57DAA" w:rsidRDefault="00AC4185">
            <w:pPr>
              <w:jc w:val="right"/>
              <w:rPr>
                <w:szCs w:val="21"/>
              </w:rPr>
            </w:pPr>
            <w:r>
              <w:t>100,000.00</w:t>
            </w:r>
          </w:p>
        </w:tc>
      </w:tr>
      <w:tr w:rsidR="00E57DAA" w14:paraId="71867BB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5D8F7EC"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FABCCD0" w14:textId="77777777" w:rsidR="00E57DAA" w:rsidRDefault="00AC4185">
            <w:pPr>
              <w:rPr>
                <w:szCs w:val="21"/>
              </w:rPr>
            </w:pPr>
            <w:r>
              <w:t>天津生态环境局升级改造车间中央补助资金</w:t>
            </w:r>
          </w:p>
        </w:tc>
        <w:tc>
          <w:tcPr>
            <w:tcW w:w="604" w:type="pct"/>
            <w:tcBorders>
              <w:top w:val="single" w:sz="4" w:space="0" w:color="auto"/>
              <w:left w:val="single" w:sz="4" w:space="0" w:color="auto"/>
              <w:bottom w:val="single" w:sz="4" w:space="0" w:color="auto"/>
              <w:right w:val="single" w:sz="4" w:space="0" w:color="auto"/>
            </w:tcBorders>
            <w:vAlign w:val="center"/>
          </w:tcPr>
          <w:p w14:paraId="4CDD0441"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5F91066" w14:textId="77777777" w:rsidR="00E57DAA" w:rsidRDefault="00AC4185">
            <w:pPr>
              <w:jc w:val="right"/>
              <w:rPr>
                <w:szCs w:val="21"/>
              </w:rPr>
            </w:pPr>
            <w:r>
              <w:t>1,400,000.00</w:t>
            </w:r>
          </w:p>
        </w:tc>
        <w:tc>
          <w:tcPr>
            <w:tcW w:w="659" w:type="pct"/>
            <w:tcBorders>
              <w:top w:val="single" w:sz="4" w:space="0" w:color="auto"/>
              <w:left w:val="single" w:sz="4" w:space="0" w:color="auto"/>
              <w:bottom w:val="single" w:sz="4" w:space="0" w:color="auto"/>
              <w:right w:val="single" w:sz="4" w:space="0" w:color="auto"/>
            </w:tcBorders>
            <w:vAlign w:val="center"/>
          </w:tcPr>
          <w:p w14:paraId="4EF6EA47" w14:textId="77777777" w:rsidR="00E57DAA" w:rsidRDefault="00E57DAA">
            <w:pPr>
              <w:jc w:val="right"/>
              <w:rPr>
                <w:szCs w:val="21"/>
              </w:rPr>
            </w:pPr>
          </w:p>
        </w:tc>
      </w:tr>
      <w:tr w:rsidR="00E57DAA" w14:paraId="7DDDC5C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F45C23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239DAE8" w14:textId="77777777" w:rsidR="00E57DAA" w:rsidRDefault="00AC4185">
            <w:pPr>
              <w:rPr>
                <w:szCs w:val="21"/>
              </w:rPr>
            </w:pPr>
            <w:r>
              <w:t>天津市财政局2022年对外投资和对外服务外包资金补助[MateBook1]</w:t>
            </w:r>
          </w:p>
        </w:tc>
        <w:tc>
          <w:tcPr>
            <w:tcW w:w="604" w:type="pct"/>
            <w:tcBorders>
              <w:top w:val="single" w:sz="4" w:space="0" w:color="auto"/>
              <w:left w:val="single" w:sz="4" w:space="0" w:color="auto"/>
              <w:bottom w:val="single" w:sz="4" w:space="0" w:color="auto"/>
              <w:right w:val="single" w:sz="4" w:space="0" w:color="auto"/>
            </w:tcBorders>
            <w:vAlign w:val="center"/>
          </w:tcPr>
          <w:p w14:paraId="408FBEF6"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59DC48C" w14:textId="77777777" w:rsidR="00E57DAA" w:rsidRDefault="00AC4185">
            <w:pPr>
              <w:jc w:val="right"/>
              <w:rPr>
                <w:szCs w:val="21"/>
              </w:rPr>
            </w:pPr>
            <w:r>
              <w:t>1,312,500.00</w:t>
            </w:r>
          </w:p>
        </w:tc>
        <w:tc>
          <w:tcPr>
            <w:tcW w:w="659" w:type="pct"/>
            <w:tcBorders>
              <w:top w:val="single" w:sz="4" w:space="0" w:color="auto"/>
              <w:left w:val="single" w:sz="4" w:space="0" w:color="auto"/>
              <w:bottom w:val="single" w:sz="4" w:space="0" w:color="auto"/>
              <w:right w:val="single" w:sz="4" w:space="0" w:color="auto"/>
            </w:tcBorders>
            <w:vAlign w:val="center"/>
          </w:tcPr>
          <w:p w14:paraId="708A1F40" w14:textId="77777777" w:rsidR="00E57DAA" w:rsidRDefault="00E57DAA">
            <w:pPr>
              <w:jc w:val="right"/>
              <w:rPr>
                <w:szCs w:val="21"/>
              </w:rPr>
            </w:pPr>
          </w:p>
        </w:tc>
      </w:tr>
      <w:tr w:rsidR="00E57DAA" w14:paraId="42EA6D17"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FF90995"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FF16C13" w14:textId="77777777" w:rsidR="00E57DAA" w:rsidRDefault="00AC4185">
            <w:pPr>
              <w:rPr>
                <w:szCs w:val="21"/>
              </w:rPr>
            </w:pPr>
            <w:r>
              <w:t>2021年肥西县支持先进制造业发展政策第三批次项目奖补资金</w:t>
            </w:r>
          </w:p>
        </w:tc>
        <w:tc>
          <w:tcPr>
            <w:tcW w:w="604" w:type="pct"/>
            <w:tcBorders>
              <w:top w:val="single" w:sz="4" w:space="0" w:color="auto"/>
              <w:left w:val="single" w:sz="4" w:space="0" w:color="auto"/>
              <w:bottom w:val="single" w:sz="4" w:space="0" w:color="auto"/>
              <w:right w:val="single" w:sz="4" w:space="0" w:color="auto"/>
            </w:tcBorders>
            <w:vAlign w:val="center"/>
          </w:tcPr>
          <w:p w14:paraId="7BCBF1A9"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A02DBA6" w14:textId="77777777" w:rsidR="00E57DAA" w:rsidRDefault="00AC4185">
            <w:pPr>
              <w:jc w:val="right"/>
              <w:rPr>
                <w:szCs w:val="21"/>
              </w:rPr>
            </w:pPr>
            <w:r>
              <w:t>1,052,700.00</w:t>
            </w:r>
          </w:p>
        </w:tc>
        <w:tc>
          <w:tcPr>
            <w:tcW w:w="659" w:type="pct"/>
            <w:tcBorders>
              <w:top w:val="single" w:sz="4" w:space="0" w:color="auto"/>
              <w:left w:val="single" w:sz="4" w:space="0" w:color="auto"/>
              <w:bottom w:val="single" w:sz="4" w:space="0" w:color="auto"/>
              <w:right w:val="single" w:sz="4" w:space="0" w:color="auto"/>
            </w:tcBorders>
            <w:vAlign w:val="center"/>
          </w:tcPr>
          <w:p w14:paraId="3AB167DD" w14:textId="77777777" w:rsidR="00E57DAA" w:rsidRDefault="00E57DAA">
            <w:pPr>
              <w:jc w:val="right"/>
              <w:rPr>
                <w:szCs w:val="21"/>
              </w:rPr>
            </w:pPr>
          </w:p>
        </w:tc>
      </w:tr>
      <w:tr w:rsidR="00E57DAA" w14:paraId="16A88AFE"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667E31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A800475" w14:textId="77777777" w:rsidR="00E57DAA" w:rsidRDefault="00AC4185">
            <w:pPr>
              <w:rPr>
                <w:szCs w:val="21"/>
              </w:rPr>
            </w:pPr>
            <w:r>
              <w:t>2023省制造业高质量发展财政资金项目</w:t>
            </w:r>
          </w:p>
        </w:tc>
        <w:tc>
          <w:tcPr>
            <w:tcW w:w="604" w:type="pct"/>
            <w:tcBorders>
              <w:top w:val="single" w:sz="4" w:space="0" w:color="auto"/>
              <w:left w:val="single" w:sz="4" w:space="0" w:color="auto"/>
              <w:bottom w:val="single" w:sz="4" w:space="0" w:color="auto"/>
              <w:right w:val="single" w:sz="4" w:space="0" w:color="auto"/>
            </w:tcBorders>
            <w:vAlign w:val="center"/>
          </w:tcPr>
          <w:p w14:paraId="2C37D632"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520FFE5" w14:textId="77777777" w:rsidR="00E57DAA" w:rsidRDefault="00AC4185">
            <w:pPr>
              <w:jc w:val="right"/>
              <w:rPr>
                <w:szCs w:val="21"/>
              </w:rPr>
            </w:pPr>
            <w:r>
              <w:t>1,045,730.00</w:t>
            </w:r>
          </w:p>
        </w:tc>
        <w:tc>
          <w:tcPr>
            <w:tcW w:w="659" w:type="pct"/>
            <w:tcBorders>
              <w:top w:val="single" w:sz="4" w:space="0" w:color="auto"/>
              <w:left w:val="single" w:sz="4" w:space="0" w:color="auto"/>
              <w:bottom w:val="single" w:sz="4" w:space="0" w:color="auto"/>
              <w:right w:val="single" w:sz="4" w:space="0" w:color="auto"/>
            </w:tcBorders>
            <w:vAlign w:val="center"/>
          </w:tcPr>
          <w:p w14:paraId="0E05FC31" w14:textId="77777777" w:rsidR="00E57DAA" w:rsidRDefault="00E57DAA">
            <w:pPr>
              <w:jc w:val="right"/>
              <w:rPr>
                <w:szCs w:val="21"/>
              </w:rPr>
            </w:pPr>
          </w:p>
        </w:tc>
      </w:tr>
      <w:tr w:rsidR="00E57DAA" w14:paraId="2FCB64D9"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AE8E5AC"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3BFE88D" w14:textId="77777777" w:rsidR="00E57DAA" w:rsidRDefault="00AC4185">
            <w:pPr>
              <w:rPr>
                <w:szCs w:val="21"/>
              </w:rPr>
            </w:pPr>
            <w:r>
              <w:t>软著退税</w:t>
            </w:r>
          </w:p>
        </w:tc>
        <w:tc>
          <w:tcPr>
            <w:tcW w:w="604" w:type="pct"/>
            <w:tcBorders>
              <w:top w:val="single" w:sz="4" w:space="0" w:color="auto"/>
              <w:left w:val="single" w:sz="4" w:space="0" w:color="auto"/>
              <w:bottom w:val="single" w:sz="4" w:space="0" w:color="auto"/>
              <w:right w:val="single" w:sz="4" w:space="0" w:color="auto"/>
            </w:tcBorders>
            <w:vAlign w:val="center"/>
          </w:tcPr>
          <w:p w14:paraId="644946BB"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A2B6825" w14:textId="77777777" w:rsidR="00E57DAA" w:rsidRDefault="00AC4185">
            <w:pPr>
              <w:jc w:val="right"/>
              <w:rPr>
                <w:szCs w:val="21"/>
              </w:rPr>
            </w:pPr>
            <w:r>
              <w:t>1,022,733.28</w:t>
            </w:r>
          </w:p>
        </w:tc>
        <w:tc>
          <w:tcPr>
            <w:tcW w:w="659" w:type="pct"/>
            <w:tcBorders>
              <w:top w:val="single" w:sz="4" w:space="0" w:color="auto"/>
              <w:left w:val="single" w:sz="4" w:space="0" w:color="auto"/>
              <w:bottom w:val="single" w:sz="4" w:space="0" w:color="auto"/>
              <w:right w:val="single" w:sz="4" w:space="0" w:color="auto"/>
            </w:tcBorders>
            <w:vAlign w:val="center"/>
          </w:tcPr>
          <w:p w14:paraId="1E474915" w14:textId="77777777" w:rsidR="00E57DAA" w:rsidRDefault="00E57DAA">
            <w:pPr>
              <w:jc w:val="right"/>
              <w:rPr>
                <w:szCs w:val="21"/>
              </w:rPr>
            </w:pPr>
          </w:p>
        </w:tc>
      </w:tr>
      <w:tr w:rsidR="00E57DAA" w14:paraId="43EA2F1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8E8B7D8"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2E1993D" w14:textId="77777777" w:rsidR="00E57DAA" w:rsidRDefault="00AC4185">
            <w:pPr>
              <w:rPr>
                <w:szCs w:val="21"/>
              </w:rPr>
            </w:pPr>
            <w:r>
              <w:t>2023年制造强省政策资金</w:t>
            </w:r>
          </w:p>
        </w:tc>
        <w:tc>
          <w:tcPr>
            <w:tcW w:w="604" w:type="pct"/>
            <w:tcBorders>
              <w:top w:val="single" w:sz="4" w:space="0" w:color="auto"/>
              <w:left w:val="single" w:sz="4" w:space="0" w:color="auto"/>
              <w:bottom w:val="single" w:sz="4" w:space="0" w:color="auto"/>
              <w:right w:val="single" w:sz="4" w:space="0" w:color="auto"/>
            </w:tcBorders>
            <w:vAlign w:val="center"/>
          </w:tcPr>
          <w:p w14:paraId="23C05C61"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25A4B6F4" w14:textId="77777777" w:rsidR="00E57DAA" w:rsidRDefault="00AC4185">
            <w:pPr>
              <w:jc w:val="right"/>
              <w:rPr>
                <w:szCs w:val="21"/>
              </w:rPr>
            </w:pPr>
            <w:r>
              <w:t>1,000,000.00</w:t>
            </w:r>
          </w:p>
        </w:tc>
        <w:tc>
          <w:tcPr>
            <w:tcW w:w="659" w:type="pct"/>
            <w:tcBorders>
              <w:top w:val="single" w:sz="4" w:space="0" w:color="auto"/>
              <w:left w:val="single" w:sz="4" w:space="0" w:color="auto"/>
              <w:bottom w:val="single" w:sz="4" w:space="0" w:color="auto"/>
              <w:right w:val="single" w:sz="4" w:space="0" w:color="auto"/>
            </w:tcBorders>
            <w:vAlign w:val="center"/>
          </w:tcPr>
          <w:p w14:paraId="3B0B8496" w14:textId="77777777" w:rsidR="00E57DAA" w:rsidRDefault="00AC4185">
            <w:pPr>
              <w:jc w:val="right"/>
              <w:rPr>
                <w:szCs w:val="21"/>
              </w:rPr>
            </w:pPr>
            <w:r>
              <w:t>800,000.00</w:t>
            </w:r>
          </w:p>
        </w:tc>
      </w:tr>
      <w:tr w:rsidR="00E57DAA" w14:paraId="7256F43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A1D0223"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5E7B376" w14:textId="77777777" w:rsidR="00E57DAA" w:rsidRDefault="00AC4185">
            <w:pPr>
              <w:rPr>
                <w:szCs w:val="21"/>
              </w:rPr>
            </w:pPr>
            <w:r>
              <w:t>2019年合肥市自主创新政策“借转补”项目</w:t>
            </w:r>
          </w:p>
        </w:tc>
        <w:tc>
          <w:tcPr>
            <w:tcW w:w="604" w:type="pct"/>
            <w:tcBorders>
              <w:top w:val="single" w:sz="4" w:space="0" w:color="auto"/>
              <w:left w:val="single" w:sz="4" w:space="0" w:color="auto"/>
              <w:bottom w:val="single" w:sz="4" w:space="0" w:color="auto"/>
              <w:right w:val="single" w:sz="4" w:space="0" w:color="auto"/>
            </w:tcBorders>
            <w:vAlign w:val="center"/>
          </w:tcPr>
          <w:p w14:paraId="74DC78ED"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9180BBE" w14:textId="77777777" w:rsidR="00E57DAA" w:rsidRDefault="00AC4185">
            <w:pPr>
              <w:jc w:val="right"/>
              <w:rPr>
                <w:szCs w:val="21"/>
              </w:rPr>
            </w:pPr>
            <w:r>
              <w:t>1,000,000.00</w:t>
            </w:r>
          </w:p>
        </w:tc>
        <w:tc>
          <w:tcPr>
            <w:tcW w:w="659" w:type="pct"/>
            <w:tcBorders>
              <w:top w:val="single" w:sz="4" w:space="0" w:color="auto"/>
              <w:left w:val="single" w:sz="4" w:space="0" w:color="auto"/>
              <w:bottom w:val="single" w:sz="4" w:space="0" w:color="auto"/>
              <w:right w:val="single" w:sz="4" w:space="0" w:color="auto"/>
            </w:tcBorders>
            <w:vAlign w:val="center"/>
          </w:tcPr>
          <w:p w14:paraId="3A874460" w14:textId="77777777" w:rsidR="00E57DAA" w:rsidRDefault="00E57DAA">
            <w:pPr>
              <w:jc w:val="right"/>
              <w:rPr>
                <w:szCs w:val="21"/>
              </w:rPr>
            </w:pPr>
          </w:p>
        </w:tc>
      </w:tr>
      <w:tr w:rsidR="00E57DAA" w14:paraId="7C6858BE"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CE48814"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645187F" w14:textId="77777777" w:rsidR="00E57DAA" w:rsidRDefault="00AC4185">
            <w:pPr>
              <w:rPr>
                <w:szCs w:val="21"/>
              </w:rPr>
            </w:pPr>
            <w:r>
              <w:t>猛追湾街道办2022年促进高质量发展区级奖励</w:t>
            </w:r>
          </w:p>
        </w:tc>
        <w:tc>
          <w:tcPr>
            <w:tcW w:w="604" w:type="pct"/>
            <w:tcBorders>
              <w:top w:val="single" w:sz="4" w:space="0" w:color="auto"/>
              <w:left w:val="single" w:sz="4" w:space="0" w:color="auto"/>
              <w:bottom w:val="single" w:sz="4" w:space="0" w:color="auto"/>
              <w:right w:val="single" w:sz="4" w:space="0" w:color="auto"/>
            </w:tcBorders>
            <w:vAlign w:val="center"/>
          </w:tcPr>
          <w:p w14:paraId="13C9809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4566956" w14:textId="77777777" w:rsidR="00E57DAA" w:rsidRDefault="00AC4185">
            <w:pPr>
              <w:jc w:val="right"/>
              <w:rPr>
                <w:szCs w:val="21"/>
              </w:rPr>
            </w:pPr>
            <w:r>
              <w:t>1,000,000.00</w:t>
            </w:r>
          </w:p>
        </w:tc>
        <w:tc>
          <w:tcPr>
            <w:tcW w:w="659" w:type="pct"/>
            <w:tcBorders>
              <w:top w:val="single" w:sz="4" w:space="0" w:color="auto"/>
              <w:left w:val="single" w:sz="4" w:space="0" w:color="auto"/>
              <w:bottom w:val="single" w:sz="4" w:space="0" w:color="auto"/>
              <w:right w:val="single" w:sz="4" w:space="0" w:color="auto"/>
            </w:tcBorders>
            <w:vAlign w:val="center"/>
          </w:tcPr>
          <w:p w14:paraId="7213CB3A" w14:textId="77777777" w:rsidR="00E57DAA" w:rsidRDefault="00E57DAA">
            <w:pPr>
              <w:jc w:val="right"/>
              <w:rPr>
                <w:szCs w:val="21"/>
              </w:rPr>
            </w:pPr>
          </w:p>
        </w:tc>
      </w:tr>
      <w:tr w:rsidR="00E57DAA" w14:paraId="213048D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A2167C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7E97601C" w14:textId="77777777" w:rsidR="00E57DAA" w:rsidRDefault="00AC4185">
            <w:pPr>
              <w:rPr>
                <w:szCs w:val="21"/>
              </w:rPr>
            </w:pPr>
            <w:r>
              <w:t>南京经济技术开发区财政局2022年度联合创新体线效奖励</w:t>
            </w:r>
          </w:p>
        </w:tc>
        <w:tc>
          <w:tcPr>
            <w:tcW w:w="604" w:type="pct"/>
            <w:tcBorders>
              <w:top w:val="single" w:sz="4" w:space="0" w:color="auto"/>
              <w:left w:val="single" w:sz="4" w:space="0" w:color="auto"/>
              <w:bottom w:val="single" w:sz="4" w:space="0" w:color="auto"/>
              <w:right w:val="single" w:sz="4" w:space="0" w:color="auto"/>
            </w:tcBorders>
            <w:vAlign w:val="center"/>
          </w:tcPr>
          <w:p w14:paraId="104F0710"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2CEB213" w14:textId="77777777" w:rsidR="00E57DAA" w:rsidRDefault="00AC4185">
            <w:pPr>
              <w:jc w:val="right"/>
              <w:rPr>
                <w:szCs w:val="21"/>
              </w:rPr>
            </w:pPr>
            <w:r>
              <w:t>1,000,000.00</w:t>
            </w:r>
          </w:p>
        </w:tc>
        <w:tc>
          <w:tcPr>
            <w:tcW w:w="659" w:type="pct"/>
            <w:tcBorders>
              <w:top w:val="single" w:sz="4" w:space="0" w:color="auto"/>
              <w:left w:val="single" w:sz="4" w:space="0" w:color="auto"/>
              <w:bottom w:val="single" w:sz="4" w:space="0" w:color="auto"/>
              <w:right w:val="single" w:sz="4" w:space="0" w:color="auto"/>
            </w:tcBorders>
            <w:vAlign w:val="center"/>
          </w:tcPr>
          <w:p w14:paraId="0E9264C3" w14:textId="77777777" w:rsidR="00E57DAA" w:rsidRDefault="00E57DAA">
            <w:pPr>
              <w:jc w:val="right"/>
              <w:rPr>
                <w:szCs w:val="21"/>
              </w:rPr>
            </w:pPr>
          </w:p>
        </w:tc>
      </w:tr>
      <w:tr w:rsidR="00E57DAA" w14:paraId="632091A2"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467E65B"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0FD0102" w14:textId="77777777" w:rsidR="00E57DAA" w:rsidRDefault="00AC4185">
            <w:pPr>
              <w:rPr>
                <w:szCs w:val="21"/>
              </w:rPr>
            </w:pPr>
            <w:r>
              <w:t>先进制造业发展政策固定资产补贴</w:t>
            </w:r>
          </w:p>
        </w:tc>
        <w:tc>
          <w:tcPr>
            <w:tcW w:w="604" w:type="pct"/>
            <w:tcBorders>
              <w:top w:val="single" w:sz="4" w:space="0" w:color="auto"/>
              <w:left w:val="single" w:sz="4" w:space="0" w:color="auto"/>
              <w:bottom w:val="single" w:sz="4" w:space="0" w:color="auto"/>
              <w:right w:val="single" w:sz="4" w:space="0" w:color="auto"/>
            </w:tcBorders>
            <w:vAlign w:val="center"/>
          </w:tcPr>
          <w:p w14:paraId="751C7C4B"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0D94FE4" w14:textId="77777777" w:rsidR="00E57DAA" w:rsidRDefault="00AC4185">
            <w:pPr>
              <w:jc w:val="right"/>
              <w:rPr>
                <w:szCs w:val="21"/>
              </w:rPr>
            </w:pPr>
            <w:r>
              <w:t>954,300.00</w:t>
            </w:r>
          </w:p>
        </w:tc>
        <w:tc>
          <w:tcPr>
            <w:tcW w:w="659" w:type="pct"/>
            <w:tcBorders>
              <w:top w:val="single" w:sz="4" w:space="0" w:color="auto"/>
              <w:left w:val="single" w:sz="4" w:space="0" w:color="auto"/>
              <w:bottom w:val="single" w:sz="4" w:space="0" w:color="auto"/>
              <w:right w:val="single" w:sz="4" w:space="0" w:color="auto"/>
            </w:tcBorders>
            <w:vAlign w:val="center"/>
          </w:tcPr>
          <w:p w14:paraId="0BDAC768" w14:textId="77777777" w:rsidR="00E57DAA" w:rsidRDefault="00AC4185">
            <w:pPr>
              <w:jc w:val="right"/>
              <w:rPr>
                <w:szCs w:val="21"/>
              </w:rPr>
            </w:pPr>
            <w:r>
              <w:t>474,000.00</w:t>
            </w:r>
          </w:p>
        </w:tc>
      </w:tr>
      <w:tr w:rsidR="00E57DAA" w14:paraId="23837DB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737FDE2C"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B7B3486" w14:textId="77777777" w:rsidR="00E57DAA" w:rsidRDefault="00AC4185">
            <w:pPr>
              <w:rPr>
                <w:szCs w:val="21"/>
              </w:rPr>
            </w:pPr>
            <w:r>
              <w:t>经信局专项资金补助</w:t>
            </w:r>
          </w:p>
        </w:tc>
        <w:tc>
          <w:tcPr>
            <w:tcW w:w="604" w:type="pct"/>
            <w:tcBorders>
              <w:top w:val="single" w:sz="4" w:space="0" w:color="auto"/>
              <w:left w:val="single" w:sz="4" w:space="0" w:color="auto"/>
              <w:bottom w:val="single" w:sz="4" w:space="0" w:color="auto"/>
              <w:right w:val="single" w:sz="4" w:space="0" w:color="auto"/>
            </w:tcBorders>
            <w:vAlign w:val="center"/>
          </w:tcPr>
          <w:p w14:paraId="109AB9F2"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ADC3469" w14:textId="77777777" w:rsidR="00E57DAA" w:rsidRDefault="00AC4185">
            <w:pPr>
              <w:jc w:val="right"/>
              <w:rPr>
                <w:szCs w:val="21"/>
              </w:rPr>
            </w:pPr>
            <w:r>
              <w:t>909,000.00</w:t>
            </w:r>
          </w:p>
        </w:tc>
        <w:tc>
          <w:tcPr>
            <w:tcW w:w="659" w:type="pct"/>
            <w:tcBorders>
              <w:top w:val="single" w:sz="4" w:space="0" w:color="auto"/>
              <w:left w:val="single" w:sz="4" w:space="0" w:color="auto"/>
              <w:bottom w:val="single" w:sz="4" w:space="0" w:color="auto"/>
              <w:right w:val="single" w:sz="4" w:space="0" w:color="auto"/>
            </w:tcBorders>
            <w:vAlign w:val="center"/>
          </w:tcPr>
          <w:p w14:paraId="0CD35C2A" w14:textId="77777777" w:rsidR="00E57DAA" w:rsidRDefault="00AC4185">
            <w:pPr>
              <w:jc w:val="right"/>
              <w:rPr>
                <w:szCs w:val="21"/>
              </w:rPr>
            </w:pPr>
            <w:r>
              <w:t>1,579,190.00</w:t>
            </w:r>
          </w:p>
        </w:tc>
      </w:tr>
      <w:tr w:rsidR="00E57DAA" w14:paraId="518F1BAF"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679BF41"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7AACCD3" w14:textId="77777777" w:rsidR="00E57DAA" w:rsidRDefault="00AC4185">
            <w:pPr>
              <w:rPr>
                <w:szCs w:val="21"/>
              </w:rPr>
            </w:pPr>
            <w:r>
              <w:t>2023年市级工信资金第三批补助</w:t>
            </w:r>
          </w:p>
        </w:tc>
        <w:tc>
          <w:tcPr>
            <w:tcW w:w="604" w:type="pct"/>
            <w:tcBorders>
              <w:top w:val="single" w:sz="4" w:space="0" w:color="auto"/>
              <w:left w:val="single" w:sz="4" w:space="0" w:color="auto"/>
              <w:bottom w:val="single" w:sz="4" w:space="0" w:color="auto"/>
              <w:right w:val="single" w:sz="4" w:space="0" w:color="auto"/>
            </w:tcBorders>
            <w:vAlign w:val="center"/>
          </w:tcPr>
          <w:p w14:paraId="3E807493"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104EE89" w14:textId="77777777" w:rsidR="00E57DAA" w:rsidRDefault="00AC4185">
            <w:pPr>
              <w:jc w:val="right"/>
              <w:rPr>
                <w:szCs w:val="21"/>
              </w:rPr>
            </w:pPr>
            <w:r>
              <w:t>850,000.00</w:t>
            </w:r>
          </w:p>
        </w:tc>
        <w:tc>
          <w:tcPr>
            <w:tcW w:w="659" w:type="pct"/>
            <w:tcBorders>
              <w:top w:val="single" w:sz="4" w:space="0" w:color="auto"/>
              <w:left w:val="single" w:sz="4" w:space="0" w:color="auto"/>
              <w:bottom w:val="single" w:sz="4" w:space="0" w:color="auto"/>
              <w:right w:val="single" w:sz="4" w:space="0" w:color="auto"/>
            </w:tcBorders>
            <w:vAlign w:val="center"/>
          </w:tcPr>
          <w:p w14:paraId="153FF462" w14:textId="77777777" w:rsidR="00E57DAA" w:rsidRDefault="00E57DAA">
            <w:pPr>
              <w:jc w:val="right"/>
              <w:rPr>
                <w:szCs w:val="21"/>
              </w:rPr>
            </w:pPr>
          </w:p>
        </w:tc>
      </w:tr>
      <w:tr w:rsidR="00E57DAA" w14:paraId="2D3F236B"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7A25D85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8EA9F83" w14:textId="77777777" w:rsidR="00E57DAA" w:rsidRDefault="00AC4185">
            <w:pPr>
              <w:rPr>
                <w:szCs w:val="21"/>
              </w:rPr>
            </w:pPr>
            <w:r>
              <w:t>合肥经济发展局（科学技术局）研发投入补贴</w:t>
            </w:r>
          </w:p>
        </w:tc>
        <w:tc>
          <w:tcPr>
            <w:tcW w:w="604" w:type="pct"/>
            <w:tcBorders>
              <w:top w:val="single" w:sz="4" w:space="0" w:color="auto"/>
              <w:left w:val="single" w:sz="4" w:space="0" w:color="auto"/>
              <w:bottom w:val="single" w:sz="4" w:space="0" w:color="auto"/>
              <w:right w:val="single" w:sz="4" w:space="0" w:color="auto"/>
            </w:tcBorders>
            <w:vAlign w:val="center"/>
          </w:tcPr>
          <w:p w14:paraId="7BF626C0"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2D397C80" w14:textId="77777777" w:rsidR="00E57DAA" w:rsidRDefault="00AC4185">
            <w:pPr>
              <w:jc w:val="right"/>
              <w:rPr>
                <w:szCs w:val="21"/>
              </w:rPr>
            </w:pPr>
            <w:r>
              <w:t>795,310.00</w:t>
            </w:r>
          </w:p>
        </w:tc>
        <w:tc>
          <w:tcPr>
            <w:tcW w:w="659" w:type="pct"/>
            <w:tcBorders>
              <w:top w:val="single" w:sz="4" w:space="0" w:color="auto"/>
              <w:left w:val="single" w:sz="4" w:space="0" w:color="auto"/>
              <w:bottom w:val="single" w:sz="4" w:space="0" w:color="auto"/>
              <w:right w:val="single" w:sz="4" w:space="0" w:color="auto"/>
            </w:tcBorders>
            <w:vAlign w:val="center"/>
          </w:tcPr>
          <w:p w14:paraId="116A11F2" w14:textId="77777777" w:rsidR="00E57DAA" w:rsidRDefault="00AC4185">
            <w:pPr>
              <w:jc w:val="right"/>
              <w:rPr>
                <w:szCs w:val="21"/>
              </w:rPr>
            </w:pPr>
            <w:r>
              <w:t>1,080,000.00</w:t>
            </w:r>
          </w:p>
        </w:tc>
      </w:tr>
      <w:tr w:rsidR="00E57DAA" w14:paraId="2ABB7DE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A3E83AE"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7B4E92CF" w14:textId="77777777" w:rsidR="00E57DAA" w:rsidRDefault="00AC4185">
            <w:pPr>
              <w:rPr>
                <w:szCs w:val="21"/>
              </w:rPr>
            </w:pPr>
            <w:r>
              <w:t>北辰区北仓镇人民政府2021年度企业研发投入后补助资金</w:t>
            </w:r>
          </w:p>
        </w:tc>
        <w:tc>
          <w:tcPr>
            <w:tcW w:w="604" w:type="pct"/>
            <w:tcBorders>
              <w:top w:val="single" w:sz="4" w:space="0" w:color="auto"/>
              <w:left w:val="single" w:sz="4" w:space="0" w:color="auto"/>
              <w:bottom w:val="single" w:sz="4" w:space="0" w:color="auto"/>
              <w:right w:val="single" w:sz="4" w:space="0" w:color="auto"/>
            </w:tcBorders>
            <w:vAlign w:val="center"/>
          </w:tcPr>
          <w:p w14:paraId="1062FEEC"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0DA509E" w14:textId="77777777" w:rsidR="00E57DAA" w:rsidRDefault="00AC4185">
            <w:pPr>
              <w:jc w:val="right"/>
              <w:rPr>
                <w:szCs w:val="21"/>
              </w:rPr>
            </w:pPr>
            <w:r>
              <w:t>757,584.00</w:t>
            </w:r>
          </w:p>
        </w:tc>
        <w:tc>
          <w:tcPr>
            <w:tcW w:w="659" w:type="pct"/>
            <w:tcBorders>
              <w:top w:val="single" w:sz="4" w:space="0" w:color="auto"/>
              <w:left w:val="single" w:sz="4" w:space="0" w:color="auto"/>
              <w:bottom w:val="single" w:sz="4" w:space="0" w:color="auto"/>
              <w:right w:val="single" w:sz="4" w:space="0" w:color="auto"/>
            </w:tcBorders>
            <w:vAlign w:val="center"/>
          </w:tcPr>
          <w:p w14:paraId="12538FAC" w14:textId="77777777" w:rsidR="00E57DAA" w:rsidRDefault="00E57DAA">
            <w:pPr>
              <w:jc w:val="right"/>
              <w:rPr>
                <w:szCs w:val="21"/>
              </w:rPr>
            </w:pPr>
          </w:p>
        </w:tc>
      </w:tr>
      <w:tr w:rsidR="00E57DAA" w14:paraId="70147F74"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75D98DC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6223350" w14:textId="77777777" w:rsidR="00E57DAA" w:rsidRDefault="00AC4185">
            <w:pPr>
              <w:rPr>
                <w:szCs w:val="21"/>
              </w:rPr>
            </w:pPr>
            <w:r>
              <w:t>天津市财政局2023年度服务贸易创新发展贴息</w:t>
            </w:r>
          </w:p>
        </w:tc>
        <w:tc>
          <w:tcPr>
            <w:tcW w:w="604" w:type="pct"/>
            <w:tcBorders>
              <w:top w:val="single" w:sz="4" w:space="0" w:color="auto"/>
              <w:left w:val="single" w:sz="4" w:space="0" w:color="auto"/>
              <w:bottom w:val="single" w:sz="4" w:space="0" w:color="auto"/>
              <w:right w:val="single" w:sz="4" w:space="0" w:color="auto"/>
            </w:tcBorders>
            <w:vAlign w:val="center"/>
          </w:tcPr>
          <w:p w14:paraId="59175A4E"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FF03ECB" w14:textId="77777777" w:rsidR="00E57DAA" w:rsidRDefault="00AC4185">
            <w:pPr>
              <w:jc w:val="right"/>
              <w:rPr>
                <w:szCs w:val="21"/>
              </w:rPr>
            </w:pPr>
            <w:r>
              <w:t>752,400.00</w:t>
            </w:r>
          </w:p>
        </w:tc>
        <w:tc>
          <w:tcPr>
            <w:tcW w:w="659" w:type="pct"/>
            <w:tcBorders>
              <w:top w:val="single" w:sz="4" w:space="0" w:color="auto"/>
              <w:left w:val="single" w:sz="4" w:space="0" w:color="auto"/>
              <w:bottom w:val="single" w:sz="4" w:space="0" w:color="auto"/>
              <w:right w:val="single" w:sz="4" w:space="0" w:color="auto"/>
            </w:tcBorders>
            <w:vAlign w:val="center"/>
          </w:tcPr>
          <w:p w14:paraId="6EA5F77E" w14:textId="77777777" w:rsidR="00E57DAA" w:rsidRDefault="00E57DAA">
            <w:pPr>
              <w:jc w:val="right"/>
              <w:rPr>
                <w:szCs w:val="21"/>
              </w:rPr>
            </w:pPr>
          </w:p>
        </w:tc>
      </w:tr>
      <w:tr w:rsidR="00E57DAA" w14:paraId="045ADA1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D6A6785"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6124630" w14:textId="77777777" w:rsidR="00E57DAA" w:rsidRDefault="00AC4185">
            <w:pPr>
              <w:rPr>
                <w:szCs w:val="21"/>
              </w:rPr>
            </w:pPr>
            <w:r>
              <w:t>北辰区北仓镇人民政府2021年度企业研发投入后补助奖励奖金20%</w:t>
            </w:r>
          </w:p>
        </w:tc>
        <w:tc>
          <w:tcPr>
            <w:tcW w:w="604" w:type="pct"/>
            <w:tcBorders>
              <w:top w:val="single" w:sz="4" w:space="0" w:color="auto"/>
              <w:left w:val="single" w:sz="4" w:space="0" w:color="auto"/>
              <w:bottom w:val="single" w:sz="4" w:space="0" w:color="auto"/>
              <w:right w:val="single" w:sz="4" w:space="0" w:color="auto"/>
            </w:tcBorders>
            <w:vAlign w:val="center"/>
          </w:tcPr>
          <w:p w14:paraId="161B765B"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6984F82" w14:textId="77777777" w:rsidR="00E57DAA" w:rsidRDefault="00AC4185">
            <w:pPr>
              <w:jc w:val="right"/>
              <w:rPr>
                <w:szCs w:val="21"/>
              </w:rPr>
            </w:pPr>
            <w:r>
              <w:t>631,320.00</w:t>
            </w:r>
          </w:p>
        </w:tc>
        <w:tc>
          <w:tcPr>
            <w:tcW w:w="659" w:type="pct"/>
            <w:tcBorders>
              <w:top w:val="single" w:sz="4" w:space="0" w:color="auto"/>
              <w:left w:val="single" w:sz="4" w:space="0" w:color="auto"/>
              <w:bottom w:val="single" w:sz="4" w:space="0" w:color="auto"/>
              <w:right w:val="single" w:sz="4" w:space="0" w:color="auto"/>
            </w:tcBorders>
            <w:vAlign w:val="center"/>
          </w:tcPr>
          <w:p w14:paraId="0C2F0EE3" w14:textId="77777777" w:rsidR="00E57DAA" w:rsidRDefault="00E57DAA">
            <w:pPr>
              <w:jc w:val="right"/>
              <w:rPr>
                <w:szCs w:val="21"/>
              </w:rPr>
            </w:pPr>
          </w:p>
        </w:tc>
      </w:tr>
      <w:tr w:rsidR="00E57DAA" w14:paraId="29EB417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C6D1346"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F892E62" w14:textId="77777777" w:rsidR="00E57DAA" w:rsidRDefault="00AC4185">
            <w:pPr>
              <w:rPr>
                <w:szCs w:val="21"/>
              </w:rPr>
            </w:pPr>
            <w:r>
              <w:t>昆山市商务局汇推动加工贸易稳中提质发展款</w:t>
            </w:r>
          </w:p>
        </w:tc>
        <w:tc>
          <w:tcPr>
            <w:tcW w:w="604" w:type="pct"/>
            <w:tcBorders>
              <w:top w:val="single" w:sz="4" w:space="0" w:color="auto"/>
              <w:left w:val="single" w:sz="4" w:space="0" w:color="auto"/>
              <w:bottom w:val="single" w:sz="4" w:space="0" w:color="auto"/>
              <w:right w:val="single" w:sz="4" w:space="0" w:color="auto"/>
            </w:tcBorders>
            <w:vAlign w:val="center"/>
          </w:tcPr>
          <w:p w14:paraId="7CC54A27"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7BAB161" w14:textId="77777777" w:rsidR="00E57DAA" w:rsidRDefault="00AC4185">
            <w:pPr>
              <w:jc w:val="right"/>
              <w:rPr>
                <w:szCs w:val="21"/>
              </w:rPr>
            </w:pPr>
            <w:r>
              <w:t>600,000.00</w:t>
            </w:r>
          </w:p>
        </w:tc>
        <w:tc>
          <w:tcPr>
            <w:tcW w:w="659" w:type="pct"/>
            <w:tcBorders>
              <w:top w:val="single" w:sz="4" w:space="0" w:color="auto"/>
              <w:left w:val="single" w:sz="4" w:space="0" w:color="auto"/>
              <w:bottom w:val="single" w:sz="4" w:space="0" w:color="auto"/>
              <w:right w:val="single" w:sz="4" w:space="0" w:color="auto"/>
            </w:tcBorders>
            <w:vAlign w:val="center"/>
          </w:tcPr>
          <w:p w14:paraId="1033AFC8" w14:textId="77777777" w:rsidR="00E57DAA" w:rsidRDefault="00E57DAA">
            <w:pPr>
              <w:jc w:val="right"/>
              <w:rPr>
                <w:szCs w:val="21"/>
              </w:rPr>
            </w:pPr>
          </w:p>
        </w:tc>
      </w:tr>
      <w:tr w:rsidR="00E57DAA" w14:paraId="334AD72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13AE904"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C0A0B2F" w14:textId="77777777" w:rsidR="00E57DAA" w:rsidRDefault="00AC4185">
            <w:pPr>
              <w:rPr>
                <w:szCs w:val="21"/>
              </w:rPr>
            </w:pPr>
            <w:r>
              <w:t>税费减免-房产税、土地使用税</w:t>
            </w:r>
          </w:p>
        </w:tc>
        <w:tc>
          <w:tcPr>
            <w:tcW w:w="604" w:type="pct"/>
            <w:tcBorders>
              <w:top w:val="single" w:sz="4" w:space="0" w:color="auto"/>
              <w:left w:val="single" w:sz="4" w:space="0" w:color="auto"/>
              <w:bottom w:val="single" w:sz="4" w:space="0" w:color="auto"/>
              <w:right w:val="single" w:sz="4" w:space="0" w:color="auto"/>
            </w:tcBorders>
            <w:vAlign w:val="center"/>
          </w:tcPr>
          <w:p w14:paraId="785BBD8C"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2839BE4" w14:textId="77777777" w:rsidR="00E57DAA" w:rsidRDefault="00AC4185">
            <w:pPr>
              <w:jc w:val="right"/>
              <w:rPr>
                <w:szCs w:val="21"/>
              </w:rPr>
            </w:pPr>
            <w:r>
              <w:t>587,360.73</w:t>
            </w:r>
          </w:p>
        </w:tc>
        <w:tc>
          <w:tcPr>
            <w:tcW w:w="659" w:type="pct"/>
            <w:tcBorders>
              <w:top w:val="single" w:sz="4" w:space="0" w:color="auto"/>
              <w:left w:val="single" w:sz="4" w:space="0" w:color="auto"/>
              <w:bottom w:val="single" w:sz="4" w:space="0" w:color="auto"/>
              <w:right w:val="single" w:sz="4" w:space="0" w:color="auto"/>
            </w:tcBorders>
            <w:vAlign w:val="center"/>
          </w:tcPr>
          <w:p w14:paraId="3E0079BB" w14:textId="77777777" w:rsidR="00E57DAA" w:rsidRDefault="00E57DAA">
            <w:pPr>
              <w:jc w:val="right"/>
              <w:rPr>
                <w:szCs w:val="21"/>
              </w:rPr>
            </w:pPr>
          </w:p>
        </w:tc>
      </w:tr>
      <w:tr w:rsidR="00E57DAA" w14:paraId="3078B4AD"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92D7D76"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13306D6" w14:textId="77777777" w:rsidR="00E57DAA" w:rsidRDefault="00AC4185">
            <w:pPr>
              <w:rPr>
                <w:szCs w:val="21"/>
              </w:rPr>
            </w:pPr>
            <w:r>
              <w:t>2023中央外经贸发展资金</w:t>
            </w:r>
          </w:p>
        </w:tc>
        <w:tc>
          <w:tcPr>
            <w:tcW w:w="604" w:type="pct"/>
            <w:tcBorders>
              <w:top w:val="single" w:sz="4" w:space="0" w:color="auto"/>
              <w:left w:val="single" w:sz="4" w:space="0" w:color="auto"/>
              <w:bottom w:val="single" w:sz="4" w:space="0" w:color="auto"/>
              <w:right w:val="single" w:sz="4" w:space="0" w:color="auto"/>
            </w:tcBorders>
            <w:vAlign w:val="center"/>
          </w:tcPr>
          <w:p w14:paraId="5D9A19F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BE29A27" w14:textId="77777777" w:rsidR="00E57DAA" w:rsidRDefault="00AC4185">
            <w:pPr>
              <w:jc w:val="right"/>
              <w:rPr>
                <w:szCs w:val="21"/>
              </w:rPr>
            </w:pPr>
            <w:r>
              <w:t>585,000.00</w:t>
            </w:r>
          </w:p>
        </w:tc>
        <w:tc>
          <w:tcPr>
            <w:tcW w:w="659" w:type="pct"/>
            <w:tcBorders>
              <w:top w:val="single" w:sz="4" w:space="0" w:color="auto"/>
              <w:left w:val="single" w:sz="4" w:space="0" w:color="auto"/>
              <w:bottom w:val="single" w:sz="4" w:space="0" w:color="auto"/>
              <w:right w:val="single" w:sz="4" w:space="0" w:color="auto"/>
            </w:tcBorders>
            <w:vAlign w:val="center"/>
          </w:tcPr>
          <w:p w14:paraId="3F40B551" w14:textId="77777777" w:rsidR="00E57DAA" w:rsidRDefault="00E57DAA">
            <w:pPr>
              <w:jc w:val="right"/>
              <w:rPr>
                <w:szCs w:val="21"/>
              </w:rPr>
            </w:pPr>
          </w:p>
        </w:tc>
      </w:tr>
      <w:tr w:rsidR="00E57DAA" w14:paraId="012BA8FE"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1B818EE"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EA13243" w14:textId="77777777" w:rsidR="00E57DAA" w:rsidRDefault="00AC4185">
            <w:pPr>
              <w:rPr>
                <w:szCs w:val="21"/>
              </w:rPr>
            </w:pPr>
            <w:r>
              <w:t>鼓楼市场监督局专利奖</w:t>
            </w:r>
          </w:p>
        </w:tc>
        <w:tc>
          <w:tcPr>
            <w:tcW w:w="604" w:type="pct"/>
            <w:tcBorders>
              <w:top w:val="single" w:sz="4" w:space="0" w:color="auto"/>
              <w:left w:val="single" w:sz="4" w:space="0" w:color="auto"/>
              <w:bottom w:val="single" w:sz="4" w:space="0" w:color="auto"/>
              <w:right w:val="single" w:sz="4" w:space="0" w:color="auto"/>
            </w:tcBorders>
            <w:vAlign w:val="center"/>
          </w:tcPr>
          <w:p w14:paraId="7911F8F9"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18950FB" w14:textId="77777777" w:rsidR="00E57DAA" w:rsidRDefault="00AC4185">
            <w:pPr>
              <w:jc w:val="right"/>
              <w:rPr>
                <w:szCs w:val="21"/>
              </w:rPr>
            </w:pPr>
            <w:r>
              <w:t>520,000.00</w:t>
            </w:r>
          </w:p>
        </w:tc>
        <w:tc>
          <w:tcPr>
            <w:tcW w:w="659" w:type="pct"/>
            <w:tcBorders>
              <w:top w:val="single" w:sz="4" w:space="0" w:color="auto"/>
              <w:left w:val="single" w:sz="4" w:space="0" w:color="auto"/>
              <w:bottom w:val="single" w:sz="4" w:space="0" w:color="auto"/>
              <w:right w:val="single" w:sz="4" w:space="0" w:color="auto"/>
            </w:tcBorders>
            <w:vAlign w:val="center"/>
          </w:tcPr>
          <w:p w14:paraId="4BF49602" w14:textId="77777777" w:rsidR="00E57DAA" w:rsidRDefault="00AC4185">
            <w:pPr>
              <w:jc w:val="right"/>
              <w:rPr>
                <w:szCs w:val="21"/>
              </w:rPr>
            </w:pPr>
            <w:r>
              <w:t>600,000.00</w:t>
            </w:r>
          </w:p>
        </w:tc>
      </w:tr>
      <w:tr w:rsidR="00E57DAA" w14:paraId="2FC9835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2FEB8B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1013747" w14:textId="77777777" w:rsidR="00E57DAA" w:rsidRDefault="00AC4185">
            <w:pPr>
              <w:rPr>
                <w:szCs w:val="21"/>
              </w:rPr>
            </w:pPr>
            <w:r>
              <w:t>天府智能制造产业园管委会补贴资金</w:t>
            </w:r>
          </w:p>
        </w:tc>
        <w:tc>
          <w:tcPr>
            <w:tcW w:w="604" w:type="pct"/>
            <w:tcBorders>
              <w:top w:val="single" w:sz="4" w:space="0" w:color="auto"/>
              <w:left w:val="single" w:sz="4" w:space="0" w:color="auto"/>
              <w:bottom w:val="single" w:sz="4" w:space="0" w:color="auto"/>
              <w:right w:val="single" w:sz="4" w:space="0" w:color="auto"/>
            </w:tcBorders>
            <w:vAlign w:val="center"/>
          </w:tcPr>
          <w:p w14:paraId="26B241E5"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F96C801"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76838D1D" w14:textId="77777777" w:rsidR="00E57DAA" w:rsidRDefault="00AC4185">
            <w:pPr>
              <w:jc w:val="right"/>
              <w:rPr>
                <w:szCs w:val="21"/>
              </w:rPr>
            </w:pPr>
            <w:r>
              <w:t>2,521,857.46</w:t>
            </w:r>
          </w:p>
        </w:tc>
      </w:tr>
      <w:tr w:rsidR="00E57DAA" w14:paraId="4F9BBA54"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0BF7A57"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CC53320" w14:textId="77777777" w:rsidR="00E57DAA" w:rsidRDefault="00AC4185">
            <w:pPr>
              <w:rPr>
                <w:szCs w:val="21"/>
              </w:rPr>
            </w:pPr>
            <w:r>
              <w:t>水泥窑头窑尾超低排放大型袋式收尘器项目奖补</w:t>
            </w:r>
          </w:p>
        </w:tc>
        <w:tc>
          <w:tcPr>
            <w:tcW w:w="604" w:type="pct"/>
            <w:tcBorders>
              <w:top w:val="single" w:sz="4" w:space="0" w:color="auto"/>
              <w:left w:val="single" w:sz="4" w:space="0" w:color="auto"/>
              <w:bottom w:val="single" w:sz="4" w:space="0" w:color="auto"/>
              <w:right w:val="single" w:sz="4" w:space="0" w:color="auto"/>
            </w:tcBorders>
            <w:vAlign w:val="center"/>
          </w:tcPr>
          <w:p w14:paraId="24470C19"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4A7DAC5"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4680A08A" w14:textId="77777777" w:rsidR="00E57DAA" w:rsidRDefault="00AC4185">
            <w:pPr>
              <w:jc w:val="right"/>
              <w:rPr>
                <w:szCs w:val="21"/>
              </w:rPr>
            </w:pPr>
            <w:r>
              <w:t>2,011,000.00</w:t>
            </w:r>
          </w:p>
        </w:tc>
      </w:tr>
      <w:tr w:rsidR="00E57DAA" w14:paraId="54000F4B"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4480D72"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7B389B96" w14:textId="77777777" w:rsidR="00E57DAA" w:rsidRDefault="00AC4185">
            <w:pPr>
              <w:rPr>
                <w:szCs w:val="21"/>
              </w:rPr>
            </w:pPr>
            <w:r>
              <w:t>重点原材料行业碳达峰、碳中和公共服务平台建设</w:t>
            </w:r>
          </w:p>
        </w:tc>
        <w:tc>
          <w:tcPr>
            <w:tcW w:w="604" w:type="pct"/>
            <w:tcBorders>
              <w:top w:val="single" w:sz="4" w:space="0" w:color="auto"/>
              <w:left w:val="single" w:sz="4" w:space="0" w:color="auto"/>
              <w:bottom w:val="single" w:sz="4" w:space="0" w:color="auto"/>
              <w:right w:val="single" w:sz="4" w:space="0" w:color="auto"/>
            </w:tcBorders>
            <w:vAlign w:val="center"/>
          </w:tcPr>
          <w:p w14:paraId="45B5CD2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A8BBD76"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DF03A7A" w14:textId="77777777" w:rsidR="00E57DAA" w:rsidRDefault="00AC4185">
            <w:pPr>
              <w:jc w:val="right"/>
              <w:rPr>
                <w:szCs w:val="21"/>
              </w:rPr>
            </w:pPr>
            <w:r>
              <w:t>2,000,000.00</w:t>
            </w:r>
          </w:p>
        </w:tc>
      </w:tr>
      <w:tr w:rsidR="00E57DAA" w14:paraId="43A52468"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1579A32"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8C343DC" w14:textId="77777777" w:rsidR="00E57DAA" w:rsidRDefault="00AC4185">
            <w:pPr>
              <w:rPr>
                <w:szCs w:val="21"/>
              </w:rPr>
            </w:pPr>
            <w:r>
              <w:t>鼓楼发改委制造业发展资金</w:t>
            </w:r>
          </w:p>
        </w:tc>
        <w:tc>
          <w:tcPr>
            <w:tcW w:w="604" w:type="pct"/>
            <w:tcBorders>
              <w:top w:val="single" w:sz="4" w:space="0" w:color="auto"/>
              <w:left w:val="single" w:sz="4" w:space="0" w:color="auto"/>
              <w:bottom w:val="single" w:sz="4" w:space="0" w:color="auto"/>
              <w:right w:val="single" w:sz="4" w:space="0" w:color="auto"/>
            </w:tcBorders>
            <w:vAlign w:val="center"/>
          </w:tcPr>
          <w:p w14:paraId="360F24A4"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DFD799F"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02FC4FF" w14:textId="77777777" w:rsidR="00E57DAA" w:rsidRDefault="00AC4185">
            <w:pPr>
              <w:jc w:val="right"/>
              <w:rPr>
                <w:szCs w:val="21"/>
              </w:rPr>
            </w:pPr>
            <w:r>
              <w:t>1,760,000.00</w:t>
            </w:r>
          </w:p>
        </w:tc>
      </w:tr>
      <w:tr w:rsidR="00E57DAA" w14:paraId="0BEEFCC6"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172855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17267D9" w14:textId="77777777" w:rsidR="00E57DAA" w:rsidRDefault="00AC4185">
            <w:pPr>
              <w:rPr>
                <w:szCs w:val="21"/>
              </w:rPr>
            </w:pPr>
            <w:r>
              <w:t>2021年制造强省建设系列政策、民营经济政策奖</w:t>
            </w:r>
          </w:p>
        </w:tc>
        <w:tc>
          <w:tcPr>
            <w:tcW w:w="604" w:type="pct"/>
            <w:tcBorders>
              <w:top w:val="single" w:sz="4" w:space="0" w:color="auto"/>
              <w:left w:val="single" w:sz="4" w:space="0" w:color="auto"/>
              <w:bottom w:val="single" w:sz="4" w:space="0" w:color="auto"/>
              <w:right w:val="single" w:sz="4" w:space="0" w:color="auto"/>
            </w:tcBorders>
            <w:vAlign w:val="center"/>
          </w:tcPr>
          <w:p w14:paraId="6D06B25E"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4F5A561"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4ED63D00" w14:textId="77777777" w:rsidR="00E57DAA" w:rsidRDefault="00AC4185">
            <w:pPr>
              <w:jc w:val="right"/>
              <w:rPr>
                <w:szCs w:val="21"/>
              </w:rPr>
            </w:pPr>
            <w:r>
              <w:t>1,380,000.00</w:t>
            </w:r>
          </w:p>
        </w:tc>
      </w:tr>
      <w:tr w:rsidR="00E57DAA" w14:paraId="649B32BB"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A63EE40"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6B8018B" w14:textId="77777777" w:rsidR="00E57DAA" w:rsidRDefault="00AC4185">
            <w:pPr>
              <w:rPr>
                <w:szCs w:val="21"/>
              </w:rPr>
            </w:pPr>
            <w:r>
              <w:t>合肥市包河区住房和城乡建设局政策兑现奖励扶持资金</w:t>
            </w:r>
          </w:p>
        </w:tc>
        <w:tc>
          <w:tcPr>
            <w:tcW w:w="604" w:type="pct"/>
            <w:tcBorders>
              <w:top w:val="single" w:sz="4" w:space="0" w:color="auto"/>
              <w:left w:val="single" w:sz="4" w:space="0" w:color="auto"/>
              <w:bottom w:val="single" w:sz="4" w:space="0" w:color="auto"/>
              <w:right w:val="single" w:sz="4" w:space="0" w:color="auto"/>
            </w:tcBorders>
            <w:vAlign w:val="center"/>
          </w:tcPr>
          <w:p w14:paraId="2C1FE160"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E15FC56"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C7E4EA1" w14:textId="77777777" w:rsidR="00E57DAA" w:rsidRDefault="00AC4185">
            <w:pPr>
              <w:jc w:val="right"/>
              <w:rPr>
                <w:szCs w:val="21"/>
              </w:rPr>
            </w:pPr>
            <w:r>
              <w:t>1,000,000.00</w:t>
            </w:r>
          </w:p>
        </w:tc>
      </w:tr>
      <w:tr w:rsidR="00E57DAA" w14:paraId="72E1A36F"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0F60B46" w14:textId="77777777" w:rsidR="00E57DAA" w:rsidRDefault="00AC4185">
            <w:pPr>
              <w:rPr>
                <w:szCs w:val="21"/>
              </w:rPr>
            </w:pPr>
            <w:r>
              <w:lastRenderedPageBreak/>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A1B4003" w14:textId="77777777" w:rsidR="00E57DAA" w:rsidRDefault="00AC4185">
            <w:pPr>
              <w:rPr>
                <w:szCs w:val="21"/>
              </w:rPr>
            </w:pPr>
            <w:r>
              <w:t>合肥经济技术开发区经贸发展局三重一创建设补贴</w:t>
            </w:r>
          </w:p>
        </w:tc>
        <w:tc>
          <w:tcPr>
            <w:tcW w:w="604" w:type="pct"/>
            <w:tcBorders>
              <w:top w:val="single" w:sz="4" w:space="0" w:color="auto"/>
              <w:left w:val="single" w:sz="4" w:space="0" w:color="auto"/>
              <w:bottom w:val="single" w:sz="4" w:space="0" w:color="auto"/>
              <w:right w:val="single" w:sz="4" w:space="0" w:color="auto"/>
            </w:tcBorders>
            <w:vAlign w:val="center"/>
          </w:tcPr>
          <w:p w14:paraId="3273AD26"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AC66086"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4771C6BA" w14:textId="77777777" w:rsidR="00E57DAA" w:rsidRDefault="00AC4185">
            <w:pPr>
              <w:jc w:val="right"/>
              <w:rPr>
                <w:szCs w:val="21"/>
              </w:rPr>
            </w:pPr>
            <w:r>
              <w:t>1,000,000.00</w:t>
            </w:r>
          </w:p>
        </w:tc>
      </w:tr>
      <w:tr w:rsidR="00E57DAA" w14:paraId="6CC3C0AE"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5547DFAB"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15C972F" w14:textId="77777777" w:rsidR="00E57DAA" w:rsidRDefault="00AC4185">
            <w:pPr>
              <w:rPr>
                <w:szCs w:val="21"/>
              </w:rPr>
            </w:pPr>
            <w:r>
              <w:t>合经区经贸发展局企业研发投入奖励</w:t>
            </w:r>
          </w:p>
        </w:tc>
        <w:tc>
          <w:tcPr>
            <w:tcW w:w="604" w:type="pct"/>
            <w:tcBorders>
              <w:top w:val="single" w:sz="4" w:space="0" w:color="auto"/>
              <w:left w:val="single" w:sz="4" w:space="0" w:color="auto"/>
              <w:bottom w:val="single" w:sz="4" w:space="0" w:color="auto"/>
              <w:right w:val="single" w:sz="4" w:space="0" w:color="auto"/>
            </w:tcBorders>
            <w:vAlign w:val="center"/>
          </w:tcPr>
          <w:p w14:paraId="1820CDC7"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D830DC1"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7B3835F" w14:textId="77777777" w:rsidR="00E57DAA" w:rsidRDefault="00AC4185">
            <w:pPr>
              <w:jc w:val="right"/>
              <w:rPr>
                <w:szCs w:val="21"/>
              </w:rPr>
            </w:pPr>
            <w:r>
              <w:t>1,000,000.00</w:t>
            </w:r>
          </w:p>
        </w:tc>
      </w:tr>
      <w:tr w:rsidR="00E57DAA" w14:paraId="770091AA"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CC3C601"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D8FD254" w14:textId="77777777" w:rsidR="00E57DAA" w:rsidRDefault="00AC4185">
            <w:pPr>
              <w:rPr>
                <w:szCs w:val="21"/>
              </w:rPr>
            </w:pPr>
            <w:r>
              <w:t>成都市成华区人民政府猛追湾街道办事处企业扶持奖</w:t>
            </w:r>
          </w:p>
        </w:tc>
        <w:tc>
          <w:tcPr>
            <w:tcW w:w="604" w:type="pct"/>
            <w:tcBorders>
              <w:top w:val="single" w:sz="4" w:space="0" w:color="auto"/>
              <w:left w:val="single" w:sz="4" w:space="0" w:color="auto"/>
              <w:bottom w:val="single" w:sz="4" w:space="0" w:color="auto"/>
              <w:right w:val="single" w:sz="4" w:space="0" w:color="auto"/>
            </w:tcBorders>
            <w:vAlign w:val="center"/>
          </w:tcPr>
          <w:p w14:paraId="4184C2AC"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D2D1887"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612B6ED" w14:textId="77777777" w:rsidR="00E57DAA" w:rsidRDefault="00AC4185">
            <w:pPr>
              <w:jc w:val="right"/>
              <w:rPr>
                <w:szCs w:val="21"/>
              </w:rPr>
            </w:pPr>
            <w:r>
              <w:t>1,000,000.00</w:t>
            </w:r>
          </w:p>
        </w:tc>
      </w:tr>
      <w:tr w:rsidR="00E57DAA" w14:paraId="44101FC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BE1125A"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48A009B" w14:textId="77777777" w:rsidR="00E57DAA" w:rsidRDefault="00AC4185">
            <w:pPr>
              <w:rPr>
                <w:szCs w:val="21"/>
              </w:rPr>
            </w:pPr>
            <w:r>
              <w:t>2022年第五批包河区推动经济高质量发展奖补</w:t>
            </w:r>
          </w:p>
        </w:tc>
        <w:tc>
          <w:tcPr>
            <w:tcW w:w="604" w:type="pct"/>
            <w:tcBorders>
              <w:top w:val="single" w:sz="4" w:space="0" w:color="auto"/>
              <w:left w:val="single" w:sz="4" w:space="0" w:color="auto"/>
              <w:bottom w:val="single" w:sz="4" w:space="0" w:color="auto"/>
              <w:right w:val="single" w:sz="4" w:space="0" w:color="auto"/>
            </w:tcBorders>
            <w:vAlign w:val="center"/>
          </w:tcPr>
          <w:p w14:paraId="2D46022B"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1CDE683"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31126F4" w14:textId="77777777" w:rsidR="00E57DAA" w:rsidRDefault="00AC4185">
            <w:pPr>
              <w:jc w:val="right"/>
              <w:rPr>
                <w:szCs w:val="21"/>
              </w:rPr>
            </w:pPr>
            <w:r>
              <w:t>1,000,000.00</w:t>
            </w:r>
          </w:p>
        </w:tc>
      </w:tr>
      <w:tr w:rsidR="00E57DAA" w14:paraId="25560F92"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99F030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4444B89" w14:textId="77777777" w:rsidR="00E57DAA" w:rsidRDefault="00AC4185">
            <w:pPr>
              <w:rPr>
                <w:szCs w:val="21"/>
              </w:rPr>
            </w:pPr>
            <w:r>
              <w:t>2021年朝阳区促进中小企业发展引导资金项目补助资金</w:t>
            </w:r>
          </w:p>
        </w:tc>
        <w:tc>
          <w:tcPr>
            <w:tcW w:w="604" w:type="pct"/>
            <w:tcBorders>
              <w:top w:val="single" w:sz="4" w:space="0" w:color="auto"/>
              <w:left w:val="single" w:sz="4" w:space="0" w:color="auto"/>
              <w:bottom w:val="single" w:sz="4" w:space="0" w:color="auto"/>
              <w:right w:val="single" w:sz="4" w:space="0" w:color="auto"/>
            </w:tcBorders>
            <w:vAlign w:val="center"/>
          </w:tcPr>
          <w:p w14:paraId="6B128362"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04744C8"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9268201" w14:textId="77777777" w:rsidR="00E57DAA" w:rsidRDefault="00AC4185">
            <w:pPr>
              <w:jc w:val="right"/>
              <w:rPr>
                <w:szCs w:val="21"/>
              </w:rPr>
            </w:pPr>
            <w:r>
              <w:t>1,000,000.00</w:t>
            </w:r>
          </w:p>
        </w:tc>
      </w:tr>
      <w:tr w:rsidR="00E57DAA" w14:paraId="7C6DF670"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71A01825"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5CB47EB" w14:textId="77777777" w:rsidR="00E57DAA" w:rsidRDefault="00AC4185">
            <w:pPr>
              <w:rPr>
                <w:szCs w:val="21"/>
              </w:rPr>
            </w:pPr>
            <w:r>
              <w:t>合肥市经济和信息化局-三首产品——首台套</w:t>
            </w:r>
          </w:p>
        </w:tc>
        <w:tc>
          <w:tcPr>
            <w:tcW w:w="604" w:type="pct"/>
            <w:tcBorders>
              <w:top w:val="single" w:sz="4" w:space="0" w:color="auto"/>
              <w:left w:val="single" w:sz="4" w:space="0" w:color="auto"/>
              <w:bottom w:val="single" w:sz="4" w:space="0" w:color="auto"/>
              <w:right w:val="single" w:sz="4" w:space="0" w:color="auto"/>
            </w:tcBorders>
            <w:vAlign w:val="center"/>
          </w:tcPr>
          <w:p w14:paraId="0292BB3F"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52260E31"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18FB5163" w14:textId="77777777" w:rsidR="00E57DAA" w:rsidRDefault="00AC4185">
            <w:pPr>
              <w:jc w:val="right"/>
              <w:rPr>
                <w:szCs w:val="21"/>
              </w:rPr>
            </w:pPr>
            <w:r>
              <w:t>930,600.00</w:t>
            </w:r>
          </w:p>
        </w:tc>
      </w:tr>
      <w:tr w:rsidR="00E57DAA" w14:paraId="4CC2980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1941EBA"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A6B78BF" w14:textId="77777777" w:rsidR="00E57DAA" w:rsidRDefault="00AC4185">
            <w:pPr>
              <w:rPr>
                <w:szCs w:val="21"/>
              </w:rPr>
            </w:pPr>
            <w:r>
              <w:t>合肥市包河区商务局2022年第六批高质量发展政策兑现资金</w:t>
            </w:r>
          </w:p>
        </w:tc>
        <w:tc>
          <w:tcPr>
            <w:tcW w:w="604" w:type="pct"/>
            <w:tcBorders>
              <w:top w:val="single" w:sz="4" w:space="0" w:color="auto"/>
              <w:left w:val="single" w:sz="4" w:space="0" w:color="auto"/>
              <w:bottom w:val="single" w:sz="4" w:space="0" w:color="auto"/>
              <w:right w:val="single" w:sz="4" w:space="0" w:color="auto"/>
            </w:tcBorders>
            <w:vAlign w:val="center"/>
          </w:tcPr>
          <w:p w14:paraId="1804138D"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F6ECBBB"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88AB807" w14:textId="77777777" w:rsidR="00E57DAA" w:rsidRDefault="00AC4185">
            <w:pPr>
              <w:jc w:val="right"/>
              <w:rPr>
                <w:szCs w:val="21"/>
              </w:rPr>
            </w:pPr>
            <w:r>
              <w:t>704,700.00</w:t>
            </w:r>
          </w:p>
        </w:tc>
      </w:tr>
      <w:tr w:rsidR="00E57DAA" w14:paraId="3CF0F0B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04EC97D"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99499CD" w14:textId="77777777" w:rsidR="00E57DAA" w:rsidRDefault="00AC4185">
            <w:pPr>
              <w:rPr>
                <w:szCs w:val="21"/>
              </w:rPr>
            </w:pPr>
            <w:r>
              <w:t>合肥市包河区科学技术局补助</w:t>
            </w:r>
          </w:p>
        </w:tc>
        <w:tc>
          <w:tcPr>
            <w:tcW w:w="604" w:type="pct"/>
            <w:tcBorders>
              <w:top w:val="single" w:sz="4" w:space="0" w:color="auto"/>
              <w:left w:val="single" w:sz="4" w:space="0" w:color="auto"/>
              <w:bottom w:val="single" w:sz="4" w:space="0" w:color="auto"/>
              <w:right w:val="single" w:sz="4" w:space="0" w:color="auto"/>
            </w:tcBorders>
            <w:vAlign w:val="center"/>
          </w:tcPr>
          <w:p w14:paraId="64DD1BB2"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117C6DC8"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D8C5DA2" w14:textId="77777777" w:rsidR="00E57DAA" w:rsidRDefault="00AC4185">
            <w:pPr>
              <w:jc w:val="right"/>
              <w:rPr>
                <w:szCs w:val="21"/>
              </w:rPr>
            </w:pPr>
            <w:r>
              <w:t>700,000.00</w:t>
            </w:r>
          </w:p>
        </w:tc>
      </w:tr>
      <w:tr w:rsidR="00E57DAA" w14:paraId="0AA47865"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25030E5"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9707770" w14:textId="77777777" w:rsidR="00E57DAA" w:rsidRDefault="00AC4185">
            <w:pPr>
              <w:rPr>
                <w:szCs w:val="21"/>
              </w:rPr>
            </w:pPr>
            <w:r>
              <w:t>合肥市包河区商务局2021年度合肥市外贸促进政策资金</w:t>
            </w:r>
          </w:p>
        </w:tc>
        <w:tc>
          <w:tcPr>
            <w:tcW w:w="604" w:type="pct"/>
            <w:tcBorders>
              <w:top w:val="single" w:sz="4" w:space="0" w:color="auto"/>
              <w:left w:val="single" w:sz="4" w:space="0" w:color="auto"/>
              <w:bottom w:val="single" w:sz="4" w:space="0" w:color="auto"/>
              <w:right w:val="single" w:sz="4" w:space="0" w:color="auto"/>
            </w:tcBorders>
            <w:vAlign w:val="center"/>
          </w:tcPr>
          <w:p w14:paraId="4AA2F103"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804CB17"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1AF02ABE" w14:textId="77777777" w:rsidR="00E57DAA" w:rsidRDefault="00AC4185">
            <w:pPr>
              <w:jc w:val="right"/>
              <w:rPr>
                <w:szCs w:val="21"/>
              </w:rPr>
            </w:pPr>
            <w:r>
              <w:t>620,487.00</w:t>
            </w:r>
          </w:p>
        </w:tc>
      </w:tr>
      <w:tr w:rsidR="00E57DAA" w14:paraId="2EDCE749"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2AB6519"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645268F1" w14:textId="77777777" w:rsidR="00E57DAA" w:rsidRDefault="00AC4185">
            <w:pPr>
              <w:rPr>
                <w:szCs w:val="21"/>
              </w:rPr>
            </w:pPr>
            <w:r>
              <w:t>水泥窑NOx超低排放组合技术与装备的研发</w:t>
            </w:r>
          </w:p>
        </w:tc>
        <w:tc>
          <w:tcPr>
            <w:tcW w:w="604" w:type="pct"/>
            <w:tcBorders>
              <w:top w:val="single" w:sz="4" w:space="0" w:color="auto"/>
              <w:left w:val="single" w:sz="4" w:space="0" w:color="auto"/>
              <w:bottom w:val="single" w:sz="4" w:space="0" w:color="auto"/>
              <w:right w:val="single" w:sz="4" w:space="0" w:color="auto"/>
            </w:tcBorders>
            <w:vAlign w:val="center"/>
          </w:tcPr>
          <w:p w14:paraId="4890BEDD"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73F711E7"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876C127" w14:textId="77777777" w:rsidR="00E57DAA" w:rsidRDefault="00AC4185">
            <w:pPr>
              <w:jc w:val="right"/>
              <w:rPr>
                <w:szCs w:val="21"/>
              </w:rPr>
            </w:pPr>
            <w:r>
              <w:t>600,000.00</w:t>
            </w:r>
          </w:p>
        </w:tc>
      </w:tr>
      <w:tr w:rsidR="00E57DAA" w14:paraId="152E61B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BA1A77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3A39405" w14:textId="77777777" w:rsidR="00E57DAA" w:rsidRDefault="00AC4185">
            <w:pPr>
              <w:rPr>
                <w:szCs w:val="21"/>
              </w:rPr>
            </w:pPr>
            <w:r>
              <w:t>大掺量市政污泥水泥窑协同处置关键技术及装备研究</w:t>
            </w:r>
          </w:p>
        </w:tc>
        <w:tc>
          <w:tcPr>
            <w:tcW w:w="604" w:type="pct"/>
            <w:tcBorders>
              <w:top w:val="single" w:sz="4" w:space="0" w:color="auto"/>
              <w:left w:val="single" w:sz="4" w:space="0" w:color="auto"/>
              <w:bottom w:val="single" w:sz="4" w:space="0" w:color="auto"/>
              <w:right w:val="single" w:sz="4" w:space="0" w:color="auto"/>
            </w:tcBorders>
            <w:vAlign w:val="center"/>
          </w:tcPr>
          <w:p w14:paraId="2572586A"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2EB690C2"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2CDC296F" w14:textId="77777777" w:rsidR="00E57DAA" w:rsidRDefault="00AC4185">
            <w:pPr>
              <w:jc w:val="right"/>
              <w:rPr>
                <w:szCs w:val="21"/>
              </w:rPr>
            </w:pPr>
            <w:r>
              <w:t>600,000.00</w:t>
            </w:r>
          </w:p>
        </w:tc>
      </w:tr>
      <w:tr w:rsidR="00E57DAA" w14:paraId="3CAFE68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2F667907"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93DBE17" w14:textId="77777777" w:rsidR="00E57DAA" w:rsidRDefault="00AC4185">
            <w:pPr>
              <w:rPr>
                <w:szCs w:val="21"/>
              </w:rPr>
            </w:pPr>
            <w:r>
              <w:t>高新技术企业奖补及研发奖</w:t>
            </w:r>
          </w:p>
        </w:tc>
        <w:tc>
          <w:tcPr>
            <w:tcW w:w="604" w:type="pct"/>
            <w:tcBorders>
              <w:top w:val="single" w:sz="4" w:space="0" w:color="auto"/>
              <w:left w:val="single" w:sz="4" w:space="0" w:color="auto"/>
              <w:bottom w:val="single" w:sz="4" w:space="0" w:color="auto"/>
              <w:right w:val="single" w:sz="4" w:space="0" w:color="auto"/>
            </w:tcBorders>
            <w:vAlign w:val="center"/>
          </w:tcPr>
          <w:p w14:paraId="20B222D8"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CEF6B91"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37FE953C" w14:textId="77777777" w:rsidR="00E57DAA" w:rsidRDefault="00AC4185">
            <w:pPr>
              <w:jc w:val="right"/>
              <w:rPr>
                <w:szCs w:val="21"/>
              </w:rPr>
            </w:pPr>
            <w:r>
              <w:t>540,000.00</w:t>
            </w:r>
          </w:p>
        </w:tc>
      </w:tr>
      <w:tr w:rsidR="00E57DAA" w14:paraId="4A1AFAA8"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32AB62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89C0250" w14:textId="77777777" w:rsidR="00E57DAA" w:rsidRDefault="00AC4185">
            <w:pPr>
              <w:rPr>
                <w:szCs w:val="21"/>
              </w:rPr>
            </w:pPr>
            <w:r>
              <w:t>合肥市包河区经济和信息化局补助</w:t>
            </w:r>
          </w:p>
        </w:tc>
        <w:tc>
          <w:tcPr>
            <w:tcW w:w="604" w:type="pct"/>
            <w:tcBorders>
              <w:top w:val="single" w:sz="4" w:space="0" w:color="auto"/>
              <w:left w:val="single" w:sz="4" w:space="0" w:color="auto"/>
              <w:bottom w:val="single" w:sz="4" w:space="0" w:color="auto"/>
              <w:right w:val="single" w:sz="4" w:space="0" w:color="auto"/>
            </w:tcBorders>
            <w:vAlign w:val="center"/>
          </w:tcPr>
          <w:p w14:paraId="74119DB6"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62DC4979"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37FB98A0" w14:textId="77777777" w:rsidR="00E57DAA" w:rsidRDefault="00AC4185">
            <w:pPr>
              <w:jc w:val="right"/>
              <w:rPr>
                <w:szCs w:val="21"/>
              </w:rPr>
            </w:pPr>
            <w:r>
              <w:t>504,400.00</w:t>
            </w:r>
          </w:p>
        </w:tc>
      </w:tr>
      <w:tr w:rsidR="00E57DAA" w14:paraId="5DC97FB0"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80ED248"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BA5C011" w14:textId="77777777" w:rsidR="00E57DAA" w:rsidRDefault="00AC4185">
            <w:pPr>
              <w:rPr>
                <w:szCs w:val="21"/>
              </w:rPr>
            </w:pPr>
            <w:r>
              <w:t>鼓楼科技局碳达峰中和补贴</w:t>
            </w:r>
          </w:p>
        </w:tc>
        <w:tc>
          <w:tcPr>
            <w:tcW w:w="604" w:type="pct"/>
            <w:tcBorders>
              <w:top w:val="single" w:sz="4" w:space="0" w:color="auto"/>
              <w:left w:val="single" w:sz="4" w:space="0" w:color="auto"/>
              <w:bottom w:val="single" w:sz="4" w:space="0" w:color="auto"/>
              <w:right w:val="single" w:sz="4" w:space="0" w:color="auto"/>
            </w:tcBorders>
            <w:vAlign w:val="center"/>
          </w:tcPr>
          <w:p w14:paraId="60C61095"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29771E1D"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59CB0D49" w14:textId="77777777" w:rsidR="00E57DAA" w:rsidRDefault="00AC4185">
            <w:pPr>
              <w:jc w:val="right"/>
              <w:rPr>
                <w:szCs w:val="21"/>
              </w:rPr>
            </w:pPr>
            <w:r>
              <w:t>500,000.00</w:t>
            </w:r>
          </w:p>
        </w:tc>
      </w:tr>
      <w:tr w:rsidR="00E57DAA" w14:paraId="7D553E8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1634586F"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71315777" w14:textId="77777777" w:rsidR="00E57DAA" w:rsidRDefault="00AC4185">
            <w:pPr>
              <w:rPr>
                <w:szCs w:val="21"/>
              </w:rPr>
            </w:pPr>
            <w:r>
              <w:t>其他政府补助</w:t>
            </w:r>
          </w:p>
        </w:tc>
        <w:tc>
          <w:tcPr>
            <w:tcW w:w="604" w:type="pct"/>
            <w:tcBorders>
              <w:top w:val="single" w:sz="4" w:space="0" w:color="auto"/>
              <w:left w:val="single" w:sz="4" w:space="0" w:color="auto"/>
              <w:bottom w:val="single" w:sz="4" w:space="0" w:color="auto"/>
              <w:right w:val="single" w:sz="4" w:space="0" w:color="auto"/>
            </w:tcBorders>
            <w:vAlign w:val="center"/>
          </w:tcPr>
          <w:p w14:paraId="0CF55277" w14:textId="77777777" w:rsidR="00E57DAA" w:rsidRDefault="00AC4185">
            <w:pPr>
              <w:rPr>
                <w:szCs w:val="21"/>
              </w:rPr>
            </w:pPr>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3A6957CD" w14:textId="77777777" w:rsidR="00E57DAA" w:rsidRDefault="00AC4185">
            <w:pPr>
              <w:jc w:val="right"/>
              <w:rPr>
                <w:szCs w:val="21"/>
              </w:rPr>
            </w:pPr>
            <w:r>
              <w:t>15,798,343.19</w:t>
            </w:r>
          </w:p>
        </w:tc>
        <w:tc>
          <w:tcPr>
            <w:tcW w:w="659" w:type="pct"/>
            <w:tcBorders>
              <w:top w:val="single" w:sz="4" w:space="0" w:color="auto"/>
              <w:left w:val="single" w:sz="4" w:space="0" w:color="auto"/>
              <w:bottom w:val="single" w:sz="4" w:space="0" w:color="auto"/>
              <w:right w:val="single" w:sz="4" w:space="0" w:color="auto"/>
            </w:tcBorders>
            <w:vAlign w:val="center"/>
          </w:tcPr>
          <w:p w14:paraId="765A32A1" w14:textId="77777777" w:rsidR="00E57DAA" w:rsidRDefault="00AC4185">
            <w:pPr>
              <w:jc w:val="right"/>
              <w:rPr>
                <w:szCs w:val="21"/>
              </w:rPr>
            </w:pPr>
            <w:r>
              <w:t>7,566,727.10</w:t>
            </w:r>
          </w:p>
        </w:tc>
      </w:tr>
      <w:tr w:rsidR="00E57DAA" w14:paraId="7BB1A4C8"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A4D8EFF" w14:textId="77777777" w:rsidR="00E57DAA" w:rsidRDefault="00AC4185">
            <w:pPr>
              <w:ind w:firstLineChars="100" w:firstLine="210"/>
            </w:pPr>
            <w:r>
              <w:rPr>
                <w:rFonts w:hint="eastAsia"/>
              </w:rPr>
              <w:t>其他</w:t>
            </w:r>
          </w:p>
        </w:tc>
        <w:tc>
          <w:tcPr>
            <w:tcW w:w="2263" w:type="pct"/>
            <w:tcBorders>
              <w:top w:val="single" w:sz="4" w:space="0" w:color="auto"/>
              <w:left w:val="single" w:sz="4" w:space="0" w:color="auto"/>
              <w:bottom w:val="single" w:sz="4" w:space="0" w:color="auto"/>
              <w:right w:val="single" w:sz="4" w:space="0" w:color="auto"/>
            </w:tcBorders>
            <w:vAlign w:val="center"/>
          </w:tcPr>
          <w:p w14:paraId="1C73BC82" w14:textId="77777777" w:rsidR="00E57DAA" w:rsidRDefault="00AC4185">
            <w:r>
              <w:t>递延收益摊销</w:t>
            </w:r>
          </w:p>
        </w:tc>
        <w:tc>
          <w:tcPr>
            <w:tcW w:w="604" w:type="pct"/>
            <w:tcBorders>
              <w:top w:val="single" w:sz="4" w:space="0" w:color="auto"/>
              <w:left w:val="single" w:sz="4" w:space="0" w:color="auto"/>
              <w:bottom w:val="single" w:sz="4" w:space="0" w:color="auto"/>
              <w:right w:val="single" w:sz="4" w:space="0" w:color="auto"/>
            </w:tcBorders>
            <w:vAlign w:val="center"/>
          </w:tcPr>
          <w:p w14:paraId="1F1381F9" w14:textId="77777777" w:rsidR="00E57DAA" w:rsidRDefault="00AC4185">
            <w:r>
              <w:t>其他收益</w:t>
            </w:r>
          </w:p>
        </w:tc>
        <w:tc>
          <w:tcPr>
            <w:tcW w:w="831" w:type="pct"/>
            <w:tcBorders>
              <w:top w:val="single" w:sz="4" w:space="0" w:color="auto"/>
              <w:left w:val="single" w:sz="4" w:space="0" w:color="auto"/>
              <w:bottom w:val="single" w:sz="4" w:space="0" w:color="auto"/>
              <w:right w:val="single" w:sz="4" w:space="0" w:color="auto"/>
            </w:tcBorders>
            <w:vAlign w:val="center"/>
          </w:tcPr>
          <w:p w14:paraId="4A6DF084" w14:textId="77777777" w:rsidR="00E57DAA" w:rsidRDefault="00AC4185">
            <w:pPr>
              <w:jc w:val="right"/>
            </w:pPr>
            <w:r>
              <w:t>71,368,694.38</w:t>
            </w:r>
          </w:p>
        </w:tc>
        <w:tc>
          <w:tcPr>
            <w:tcW w:w="659" w:type="pct"/>
            <w:tcBorders>
              <w:top w:val="single" w:sz="4" w:space="0" w:color="auto"/>
              <w:left w:val="single" w:sz="4" w:space="0" w:color="auto"/>
              <w:bottom w:val="single" w:sz="4" w:space="0" w:color="auto"/>
              <w:right w:val="single" w:sz="4" w:space="0" w:color="auto"/>
            </w:tcBorders>
            <w:vAlign w:val="center"/>
          </w:tcPr>
          <w:p w14:paraId="76B0E798" w14:textId="77777777" w:rsidR="00E57DAA" w:rsidRDefault="00AC4185">
            <w:pPr>
              <w:jc w:val="right"/>
            </w:pPr>
            <w:r>
              <w:t>42,084,747.96</w:t>
            </w:r>
          </w:p>
        </w:tc>
      </w:tr>
      <w:tr w:rsidR="00E57DAA" w14:paraId="3187B31C"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90B8284" w14:textId="77777777" w:rsidR="00E57DAA" w:rsidRDefault="00AC4185">
            <w:pPr>
              <w:ind w:firstLineChars="100" w:firstLine="210"/>
            </w:pPr>
            <w:r>
              <w:rPr>
                <w:rFonts w:hint="eastAsia"/>
              </w:rPr>
              <w:t>与收益相关</w:t>
            </w:r>
          </w:p>
        </w:tc>
        <w:tc>
          <w:tcPr>
            <w:tcW w:w="2263" w:type="pct"/>
            <w:tcBorders>
              <w:top w:val="single" w:sz="4" w:space="0" w:color="auto"/>
              <w:left w:val="single" w:sz="4" w:space="0" w:color="auto"/>
              <w:bottom w:val="single" w:sz="4" w:space="0" w:color="auto"/>
              <w:right w:val="single" w:sz="4" w:space="0" w:color="auto"/>
            </w:tcBorders>
            <w:vAlign w:val="center"/>
          </w:tcPr>
          <w:p w14:paraId="799AF783" w14:textId="77777777" w:rsidR="00E57DAA" w:rsidRDefault="00AC4185">
            <w:r>
              <w:t>经营贡献奖</w:t>
            </w:r>
          </w:p>
        </w:tc>
        <w:tc>
          <w:tcPr>
            <w:tcW w:w="604" w:type="pct"/>
            <w:tcBorders>
              <w:top w:val="single" w:sz="4" w:space="0" w:color="auto"/>
              <w:left w:val="single" w:sz="4" w:space="0" w:color="auto"/>
              <w:bottom w:val="single" w:sz="4" w:space="0" w:color="auto"/>
              <w:right w:val="single" w:sz="4" w:space="0" w:color="auto"/>
            </w:tcBorders>
            <w:vAlign w:val="center"/>
          </w:tcPr>
          <w:p w14:paraId="49165C91" w14:textId="77777777" w:rsidR="00E57DAA" w:rsidRDefault="00AC4185">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79EA09CD" w14:textId="77777777" w:rsidR="00E57DAA" w:rsidRDefault="00E57DAA">
            <w:pPr>
              <w:jc w:val="right"/>
            </w:pPr>
          </w:p>
        </w:tc>
        <w:tc>
          <w:tcPr>
            <w:tcW w:w="659" w:type="pct"/>
            <w:tcBorders>
              <w:top w:val="single" w:sz="4" w:space="0" w:color="auto"/>
              <w:left w:val="single" w:sz="4" w:space="0" w:color="auto"/>
              <w:bottom w:val="single" w:sz="4" w:space="0" w:color="auto"/>
              <w:right w:val="single" w:sz="4" w:space="0" w:color="auto"/>
            </w:tcBorders>
            <w:vAlign w:val="center"/>
          </w:tcPr>
          <w:p w14:paraId="22870997" w14:textId="77777777" w:rsidR="00E57DAA" w:rsidRDefault="00AC4185">
            <w:pPr>
              <w:jc w:val="right"/>
            </w:pPr>
            <w:r>
              <w:t>6,347,000.00</w:t>
            </w:r>
          </w:p>
        </w:tc>
      </w:tr>
      <w:tr w:rsidR="00E57DAA" w14:paraId="77B146AD"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3DEEF710"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1388FC01" w14:textId="77777777" w:rsidR="00E57DAA" w:rsidRDefault="00AC4185">
            <w:pPr>
              <w:rPr>
                <w:szCs w:val="21"/>
              </w:rPr>
            </w:pPr>
            <w:r>
              <w:t>省级商务发展专项资金</w:t>
            </w:r>
          </w:p>
        </w:tc>
        <w:tc>
          <w:tcPr>
            <w:tcW w:w="604" w:type="pct"/>
            <w:tcBorders>
              <w:top w:val="single" w:sz="4" w:space="0" w:color="auto"/>
              <w:left w:val="single" w:sz="4" w:space="0" w:color="auto"/>
              <w:bottom w:val="single" w:sz="4" w:space="0" w:color="auto"/>
              <w:right w:val="single" w:sz="4" w:space="0" w:color="auto"/>
            </w:tcBorders>
            <w:vAlign w:val="center"/>
          </w:tcPr>
          <w:p w14:paraId="09386804"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53FB1707"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2AF3C83" w14:textId="77777777" w:rsidR="00E57DAA" w:rsidRDefault="00AC4185">
            <w:pPr>
              <w:jc w:val="right"/>
              <w:rPr>
                <w:szCs w:val="21"/>
              </w:rPr>
            </w:pPr>
            <w:r>
              <w:t>5,706,800.00</w:t>
            </w:r>
          </w:p>
        </w:tc>
      </w:tr>
      <w:tr w:rsidR="00E57DAA" w14:paraId="5B82E071"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6F159ED"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5413B555" w14:textId="77777777" w:rsidR="00E57DAA" w:rsidRDefault="00AC4185">
            <w:pPr>
              <w:rPr>
                <w:szCs w:val="21"/>
              </w:rPr>
            </w:pPr>
            <w:r>
              <w:t>天津市蓟州区人力资源和社会保障局企业吸引建档立卡贫困户劳动力补贴</w:t>
            </w:r>
          </w:p>
        </w:tc>
        <w:tc>
          <w:tcPr>
            <w:tcW w:w="604" w:type="pct"/>
            <w:tcBorders>
              <w:top w:val="single" w:sz="4" w:space="0" w:color="auto"/>
              <w:left w:val="single" w:sz="4" w:space="0" w:color="auto"/>
              <w:bottom w:val="single" w:sz="4" w:space="0" w:color="auto"/>
              <w:right w:val="single" w:sz="4" w:space="0" w:color="auto"/>
            </w:tcBorders>
            <w:vAlign w:val="center"/>
          </w:tcPr>
          <w:p w14:paraId="13206EB9"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5E4477D0"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03B540C8" w14:textId="77777777" w:rsidR="00E57DAA" w:rsidRDefault="00AC4185">
            <w:pPr>
              <w:jc w:val="right"/>
              <w:rPr>
                <w:szCs w:val="21"/>
              </w:rPr>
            </w:pPr>
            <w:r>
              <w:t>1,058,364.09</w:t>
            </w:r>
          </w:p>
        </w:tc>
      </w:tr>
      <w:tr w:rsidR="00E57DAA" w14:paraId="407C9F79"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6E93A33"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7C6A869F" w14:textId="77777777" w:rsidR="00E57DAA" w:rsidRDefault="00AC4185">
            <w:pPr>
              <w:rPr>
                <w:szCs w:val="21"/>
              </w:rPr>
            </w:pPr>
            <w:r>
              <w:t>高端研发机构奖励</w:t>
            </w:r>
          </w:p>
        </w:tc>
        <w:tc>
          <w:tcPr>
            <w:tcW w:w="604" w:type="pct"/>
            <w:tcBorders>
              <w:top w:val="single" w:sz="4" w:space="0" w:color="auto"/>
              <w:left w:val="single" w:sz="4" w:space="0" w:color="auto"/>
              <w:bottom w:val="single" w:sz="4" w:space="0" w:color="auto"/>
              <w:right w:val="single" w:sz="4" w:space="0" w:color="auto"/>
            </w:tcBorders>
            <w:vAlign w:val="center"/>
          </w:tcPr>
          <w:p w14:paraId="1DBB88A3"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3E7586E5"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3DC4C314" w14:textId="77777777" w:rsidR="00E57DAA" w:rsidRDefault="00AC4185">
            <w:pPr>
              <w:jc w:val="right"/>
              <w:rPr>
                <w:szCs w:val="21"/>
              </w:rPr>
            </w:pPr>
            <w:r>
              <w:t>1,000,000.00</w:t>
            </w:r>
          </w:p>
        </w:tc>
      </w:tr>
      <w:tr w:rsidR="00E57DAA" w14:paraId="0D1E8899"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7FEAA32"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4FD3ED58" w14:textId="77777777" w:rsidR="00E57DAA" w:rsidRDefault="00AC4185">
            <w:pPr>
              <w:rPr>
                <w:szCs w:val="21"/>
              </w:rPr>
            </w:pPr>
            <w:r>
              <w:t>2022年度科技服务骨干机构绩效奖补</w:t>
            </w:r>
          </w:p>
        </w:tc>
        <w:tc>
          <w:tcPr>
            <w:tcW w:w="604" w:type="pct"/>
            <w:tcBorders>
              <w:top w:val="single" w:sz="4" w:space="0" w:color="auto"/>
              <w:left w:val="single" w:sz="4" w:space="0" w:color="auto"/>
              <w:bottom w:val="single" w:sz="4" w:space="0" w:color="auto"/>
              <w:right w:val="single" w:sz="4" w:space="0" w:color="auto"/>
            </w:tcBorders>
            <w:vAlign w:val="center"/>
          </w:tcPr>
          <w:p w14:paraId="1045371E"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4A602DD3"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66CACCC5" w14:textId="77777777" w:rsidR="00E57DAA" w:rsidRDefault="00AC4185">
            <w:pPr>
              <w:jc w:val="right"/>
              <w:rPr>
                <w:szCs w:val="21"/>
              </w:rPr>
            </w:pPr>
            <w:r>
              <w:t>600,000.00</w:t>
            </w:r>
          </w:p>
        </w:tc>
      </w:tr>
      <w:tr w:rsidR="00E57DAA" w14:paraId="535DB096"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676AFFB1"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0EE0064A" w14:textId="77777777" w:rsidR="00E57DAA" w:rsidRDefault="00AC4185">
            <w:pPr>
              <w:rPr>
                <w:szCs w:val="21"/>
              </w:rPr>
            </w:pPr>
            <w:r>
              <w:t>就业服务中心高校毕业生社会保险补贴</w:t>
            </w:r>
          </w:p>
        </w:tc>
        <w:tc>
          <w:tcPr>
            <w:tcW w:w="604" w:type="pct"/>
            <w:tcBorders>
              <w:top w:val="single" w:sz="4" w:space="0" w:color="auto"/>
              <w:left w:val="single" w:sz="4" w:space="0" w:color="auto"/>
              <w:bottom w:val="single" w:sz="4" w:space="0" w:color="auto"/>
              <w:right w:val="single" w:sz="4" w:space="0" w:color="auto"/>
            </w:tcBorders>
            <w:vAlign w:val="center"/>
          </w:tcPr>
          <w:p w14:paraId="435E0852"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0971F78D"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743293D1" w14:textId="77777777" w:rsidR="00E57DAA" w:rsidRDefault="00AC4185">
            <w:pPr>
              <w:jc w:val="right"/>
              <w:rPr>
                <w:szCs w:val="21"/>
              </w:rPr>
            </w:pPr>
            <w:r>
              <w:t>574,200.00</w:t>
            </w:r>
          </w:p>
        </w:tc>
      </w:tr>
      <w:tr w:rsidR="00E57DAA" w14:paraId="69B29DC4"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4C4C477A"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255EFD1F" w14:textId="77777777" w:rsidR="00E57DAA" w:rsidRDefault="00AC4185">
            <w:pPr>
              <w:rPr>
                <w:szCs w:val="21"/>
              </w:rPr>
            </w:pPr>
            <w:r>
              <w:t>高成长性企业优质企业奖励</w:t>
            </w:r>
          </w:p>
        </w:tc>
        <w:tc>
          <w:tcPr>
            <w:tcW w:w="604" w:type="pct"/>
            <w:tcBorders>
              <w:top w:val="single" w:sz="4" w:space="0" w:color="auto"/>
              <w:left w:val="single" w:sz="4" w:space="0" w:color="auto"/>
              <w:bottom w:val="single" w:sz="4" w:space="0" w:color="auto"/>
              <w:right w:val="single" w:sz="4" w:space="0" w:color="auto"/>
            </w:tcBorders>
            <w:vAlign w:val="center"/>
          </w:tcPr>
          <w:p w14:paraId="48215405"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41A121C7" w14:textId="77777777" w:rsidR="00E57DAA" w:rsidRDefault="00E57DAA">
            <w:pPr>
              <w:jc w:val="right"/>
              <w:rPr>
                <w:szCs w:val="21"/>
              </w:rPr>
            </w:pPr>
          </w:p>
        </w:tc>
        <w:tc>
          <w:tcPr>
            <w:tcW w:w="659" w:type="pct"/>
            <w:tcBorders>
              <w:top w:val="single" w:sz="4" w:space="0" w:color="auto"/>
              <w:left w:val="single" w:sz="4" w:space="0" w:color="auto"/>
              <w:bottom w:val="single" w:sz="4" w:space="0" w:color="auto"/>
              <w:right w:val="single" w:sz="4" w:space="0" w:color="auto"/>
            </w:tcBorders>
            <w:vAlign w:val="center"/>
          </w:tcPr>
          <w:p w14:paraId="5D99A097" w14:textId="77777777" w:rsidR="00E57DAA" w:rsidRDefault="00AC4185">
            <w:pPr>
              <w:jc w:val="right"/>
              <w:rPr>
                <w:szCs w:val="21"/>
              </w:rPr>
            </w:pPr>
            <w:r>
              <w:t>516,000.00</w:t>
            </w:r>
          </w:p>
        </w:tc>
      </w:tr>
      <w:tr w:rsidR="00E57DAA" w14:paraId="08C189F7"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45B4B0A" w14:textId="77777777" w:rsidR="00E57DAA" w:rsidRDefault="00AC4185">
            <w:pPr>
              <w:rPr>
                <w:szCs w:val="21"/>
              </w:rPr>
            </w:pPr>
            <w:r>
              <w:t> 与收益相关 </w:t>
            </w:r>
          </w:p>
        </w:tc>
        <w:tc>
          <w:tcPr>
            <w:tcW w:w="2263" w:type="pct"/>
            <w:tcBorders>
              <w:top w:val="single" w:sz="4" w:space="0" w:color="auto"/>
              <w:left w:val="single" w:sz="4" w:space="0" w:color="auto"/>
              <w:bottom w:val="single" w:sz="4" w:space="0" w:color="auto"/>
              <w:right w:val="single" w:sz="4" w:space="0" w:color="auto"/>
            </w:tcBorders>
            <w:vAlign w:val="center"/>
          </w:tcPr>
          <w:p w14:paraId="3D5A6226" w14:textId="77777777" w:rsidR="00E57DAA" w:rsidRDefault="00AC4185">
            <w:pPr>
              <w:rPr>
                <w:szCs w:val="21"/>
              </w:rPr>
            </w:pPr>
            <w:r>
              <w:t>其他政府补助</w:t>
            </w:r>
          </w:p>
        </w:tc>
        <w:tc>
          <w:tcPr>
            <w:tcW w:w="604" w:type="pct"/>
            <w:tcBorders>
              <w:top w:val="single" w:sz="4" w:space="0" w:color="auto"/>
              <w:left w:val="single" w:sz="4" w:space="0" w:color="auto"/>
              <w:bottom w:val="single" w:sz="4" w:space="0" w:color="auto"/>
              <w:right w:val="single" w:sz="4" w:space="0" w:color="auto"/>
            </w:tcBorders>
            <w:vAlign w:val="center"/>
          </w:tcPr>
          <w:p w14:paraId="4F742964" w14:textId="77777777" w:rsidR="00E57DAA" w:rsidRDefault="00AC4185">
            <w:pPr>
              <w:rPr>
                <w:szCs w:val="21"/>
              </w:rPr>
            </w:pPr>
            <w:r>
              <w:t>营业外收入</w:t>
            </w:r>
          </w:p>
        </w:tc>
        <w:tc>
          <w:tcPr>
            <w:tcW w:w="831" w:type="pct"/>
            <w:tcBorders>
              <w:top w:val="single" w:sz="4" w:space="0" w:color="auto"/>
              <w:left w:val="single" w:sz="4" w:space="0" w:color="auto"/>
              <w:bottom w:val="single" w:sz="4" w:space="0" w:color="auto"/>
              <w:right w:val="single" w:sz="4" w:space="0" w:color="auto"/>
            </w:tcBorders>
            <w:vAlign w:val="center"/>
          </w:tcPr>
          <w:p w14:paraId="3664B626" w14:textId="77777777" w:rsidR="00E57DAA" w:rsidRDefault="00AC4185">
            <w:pPr>
              <w:jc w:val="right"/>
              <w:rPr>
                <w:szCs w:val="21"/>
              </w:rPr>
            </w:pPr>
            <w:r>
              <w:t>68,190.00</w:t>
            </w:r>
          </w:p>
        </w:tc>
        <w:tc>
          <w:tcPr>
            <w:tcW w:w="659" w:type="pct"/>
            <w:tcBorders>
              <w:top w:val="single" w:sz="4" w:space="0" w:color="auto"/>
              <w:left w:val="single" w:sz="4" w:space="0" w:color="auto"/>
              <w:bottom w:val="single" w:sz="4" w:space="0" w:color="auto"/>
              <w:right w:val="single" w:sz="4" w:space="0" w:color="auto"/>
            </w:tcBorders>
            <w:vAlign w:val="center"/>
          </w:tcPr>
          <w:p w14:paraId="50AC9AF5" w14:textId="77777777" w:rsidR="00E57DAA" w:rsidRDefault="00AC4185">
            <w:pPr>
              <w:jc w:val="right"/>
              <w:rPr>
                <w:szCs w:val="21"/>
              </w:rPr>
            </w:pPr>
            <w:r>
              <w:t>3,310,424.44</w:t>
            </w:r>
          </w:p>
        </w:tc>
      </w:tr>
      <w:tr w:rsidR="00E57DAA" w14:paraId="07F39E04" w14:textId="77777777">
        <w:trPr>
          <w:jc w:val="center"/>
        </w:trPr>
        <w:tc>
          <w:tcPr>
            <w:tcW w:w="643" w:type="pct"/>
            <w:tcBorders>
              <w:top w:val="single" w:sz="4" w:space="0" w:color="auto"/>
              <w:left w:val="single" w:sz="4" w:space="0" w:color="auto"/>
              <w:bottom w:val="single" w:sz="4" w:space="0" w:color="auto"/>
              <w:right w:val="single" w:sz="4" w:space="0" w:color="auto"/>
            </w:tcBorders>
            <w:vAlign w:val="center"/>
          </w:tcPr>
          <w:p w14:paraId="03D67DDC" w14:textId="77777777" w:rsidR="00E57DAA" w:rsidRDefault="00AC4185">
            <w:pPr>
              <w:jc w:val="center"/>
              <w:rPr>
                <w:szCs w:val="21"/>
              </w:rPr>
            </w:pPr>
            <w:r>
              <w:rPr>
                <w:rFonts w:hint="eastAsia"/>
                <w:szCs w:val="21"/>
              </w:rPr>
              <w:t>合计</w:t>
            </w:r>
          </w:p>
        </w:tc>
        <w:tc>
          <w:tcPr>
            <w:tcW w:w="2263" w:type="pct"/>
            <w:tcBorders>
              <w:top w:val="single" w:sz="4" w:space="0" w:color="auto"/>
              <w:left w:val="single" w:sz="4" w:space="0" w:color="auto"/>
              <w:bottom w:val="single" w:sz="4" w:space="0" w:color="auto"/>
              <w:right w:val="single" w:sz="4" w:space="0" w:color="auto"/>
            </w:tcBorders>
            <w:vAlign w:val="center"/>
          </w:tcPr>
          <w:p w14:paraId="56A70C14" w14:textId="77777777" w:rsidR="00E57DAA" w:rsidRDefault="00E57DAA">
            <w:pPr>
              <w:jc w:val="center"/>
              <w:rPr>
                <w:szCs w:val="21"/>
              </w:rPr>
            </w:pPr>
          </w:p>
        </w:tc>
        <w:tc>
          <w:tcPr>
            <w:tcW w:w="604" w:type="pct"/>
            <w:tcBorders>
              <w:top w:val="single" w:sz="4" w:space="0" w:color="auto"/>
              <w:left w:val="single" w:sz="4" w:space="0" w:color="auto"/>
              <w:bottom w:val="single" w:sz="4" w:space="0" w:color="auto"/>
              <w:right w:val="single" w:sz="4" w:space="0" w:color="auto"/>
            </w:tcBorders>
            <w:vAlign w:val="center"/>
          </w:tcPr>
          <w:p w14:paraId="61874D14" w14:textId="77777777" w:rsidR="00E57DAA" w:rsidRDefault="00E57DAA">
            <w:pPr>
              <w:jc w:val="center"/>
              <w:rPr>
                <w:szCs w:val="21"/>
              </w:rPr>
            </w:pPr>
          </w:p>
        </w:tc>
        <w:tc>
          <w:tcPr>
            <w:tcW w:w="831" w:type="pct"/>
            <w:tcBorders>
              <w:top w:val="single" w:sz="4" w:space="0" w:color="auto"/>
              <w:left w:val="single" w:sz="4" w:space="0" w:color="auto"/>
              <w:bottom w:val="single" w:sz="4" w:space="0" w:color="auto"/>
              <w:right w:val="single" w:sz="4" w:space="0" w:color="auto"/>
            </w:tcBorders>
            <w:vAlign w:val="center"/>
          </w:tcPr>
          <w:p w14:paraId="1EA4F519" w14:textId="77777777" w:rsidR="00E57DAA" w:rsidRDefault="00AC4185">
            <w:pPr>
              <w:jc w:val="right"/>
              <w:rPr>
                <w:szCs w:val="21"/>
              </w:rPr>
            </w:pPr>
            <w:r>
              <w:t>176,227,994.67</w:t>
            </w:r>
          </w:p>
        </w:tc>
        <w:tc>
          <w:tcPr>
            <w:tcW w:w="659" w:type="pct"/>
            <w:tcBorders>
              <w:top w:val="single" w:sz="4" w:space="0" w:color="auto"/>
              <w:left w:val="single" w:sz="4" w:space="0" w:color="auto"/>
              <w:bottom w:val="single" w:sz="4" w:space="0" w:color="auto"/>
              <w:right w:val="single" w:sz="4" w:space="0" w:color="auto"/>
            </w:tcBorders>
            <w:vAlign w:val="center"/>
          </w:tcPr>
          <w:p w14:paraId="395B8B16" w14:textId="77777777" w:rsidR="00E57DAA" w:rsidRDefault="00AC4185">
            <w:pPr>
              <w:jc w:val="right"/>
              <w:rPr>
                <w:szCs w:val="21"/>
              </w:rPr>
            </w:pPr>
            <w:r>
              <w:t>108,541,274.97</w:t>
            </w:r>
          </w:p>
        </w:tc>
      </w:tr>
    </w:tbl>
    <w:p w14:paraId="2801BCD2" w14:textId="77777777" w:rsidR="00E57DAA" w:rsidRDefault="00E57DAA"/>
    <w:p w14:paraId="65B5950F" w14:textId="77777777" w:rsidR="00E57DAA" w:rsidRDefault="00E57DAA">
      <w:pPr>
        <w:sectPr w:rsidR="00E57DAA" w:rsidSect="00226547">
          <w:pgSz w:w="16838" w:h="11906" w:orient="landscape"/>
          <w:pgMar w:top="1797" w:right="1525" w:bottom="1276" w:left="1440" w:header="856" w:footer="992" w:gutter="0"/>
          <w:cols w:space="425"/>
          <w:docGrid w:linePitch="312"/>
        </w:sectPr>
      </w:pPr>
    </w:p>
    <w:p w14:paraId="02245950" w14:textId="77777777" w:rsidR="00E57DAA" w:rsidRDefault="00E57DAA" w:rsidP="00C25422">
      <w:pPr>
        <w:pStyle w:val="92"/>
      </w:pPr>
    </w:p>
    <w:bookmarkEnd w:id="312"/>
    <w:p w14:paraId="47830503" w14:textId="77777777" w:rsidR="00E57DAA" w:rsidRDefault="00E57DAA" w:rsidP="00C25422">
      <w:pPr>
        <w:pStyle w:val="92"/>
      </w:pPr>
    </w:p>
    <w:p w14:paraId="086431B7" w14:textId="77777777" w:rsidR="00E57DAA" w:rsidRDefault="00AC4185" w:rsidP="00C25422">
      <w:pPr>
        <w:pStyle w:val="2CharCharChar1"/>
        <w:numPr>
          <w:ilvl w:val="0"/>
          <w:numId w:val="58"/>
        </w:numPr>
      </w:pPr>
      <w:r>
        <w:rPr>
          <w:rFonts w:hint="eastAsia"/>
        </w:rPr>
        <w:t>与金融工具相关的风险</w:t>
      </w:r>
    </w:p>
    <w:p w14:paraId="06D3F9FF" w14:textId="77777777" w:rsidR="00E57DAA" w:rsidRDefault="00AC4185" w:rsidP="00C25422">
      <w:pPr>
        <w:pStyle w:val="91"/>
        <w:numPr>
          <w:ilvl w:val="0"/>
          <w:numId w:val="117"/>
        </w:numPr>
      </w:pPr>
      <w:r>
        <w:rPr>
          <w:rFonts w:hint="eastAsia"/>
        </w:rPr>
        <w:t>金融工具的风险</w:t>
      </w:r>
    </w:p>
    <w:sdt>
      <w:sdtPr>
        <w:alias w:val="是否适用：与金融工具相关的风险[双击切换]"/>
        <w:tag w:val="_GBC_2be38aac6aaa4945a48be2cdc11eaaf6"/>
        <w:id w:val="-1959326092"/>
        <w:placeholder>
          <w:docPart w:val="GBC22222222222222222222222222222"/>
        </w:placeholder>
      </w:sdtPr>
      <w:sdtEndPr/>
      <w:sdtContent>
        <w:p w14:paraId="0D2A6E2D"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332054456"/>
        <w:placeholder>
          <w:docPart w:val="GBC22222222222222222222222222222"/>
        </w:placeholder>
      </w:sdtPr>
      <w:sdtEndPr>
        <w:rPr>
          <w:b/>
        </w:rPr>
      </w:sdtEndPr>
      <w:sdtContent>
        <w:p w14:paraId="2FD17337" w14:textId="77777777" w:rsidR="00E57DAA" w:rsidRDefault="00AC4185">
          <w:pPr>
            <w:ind w:firstLineChars="200" w:firstLine="420"/>
            <w:rPr>
              <w:szCs w:val="21"/>
            </w:rPr>
          </w:pPr>
          <w:r>
            <w:rPr>
              <w:rFonts w:hint="eastAsia"/>
              <w:szCs w:val="21"/>
            </w:rPr>
            <w:t>本公司的主要金融工具包括借款、应收款项、应付款项、交易性金融资产、交易性金融负债等，各项金融工具的详细情况说明见本附注七。与这些金融工具有关的风险，以及本公司为降低这些风险所采取的风险管理政策如下所述。本公司管理层对这些风险敞口进行管理和监控以确保将上述风险控制在限定的范围之内。</w:t>
          </w:r>
        </w:p>
        <w:p w14:paraId="113DC7AB" w14:textId="77777777" w:rsidR="00E57DAA" w:rsidRDefault="00AC4185">
          <w:pPr>
            <w:ind w:firstLineChars="200" w:firstLine="420"/>
            <w:rPr>
              <w:szCs w:val="21"/>
            </w:rPr>
          </w:pPr>
          <w:r>
            <w:rPr>
              <w:rFonts w:hint="eastAsia"/>
              <w:szCs w:val="21"/>
            </w:rPr>
            <w:t>各类风险管理目标和政策：</w:t>
          </w:r>
        </w:p>
        <w:p w14:paraId="0A21B7ED" w14:textId="77777777" w:rsidR="00E57DAA" w:rsidRDefault="00AC4185">
          <w:pPr>
            <w:ind w:firstLineChars="200" w:firstLine="420"/>
            <w:rPr>
              <w:szCs w:val="21"/>
            </w:rPr>
          </w:pPr>
          <w:r>
            <w:rPr>
              <w:rFonts w:hint="eastAsia"/>
              <w:szCs w:val="21"/>
            </w:rPr>
            <w:t>本公司从事风险管理的目标是在风险和收益之间取得适当的平衡，将风险对本公司经营业绩的负面影响降低到最低水平，使股东及其它权益投资者的利益最大化。基于该风险管理目标，本公司风险管理的基本策略是确定和分析本公司所面临的各种风险，建立适当的风险承受底线并进行风险管理，并及时可靠地对各种风险进行监督，将风险控制在限定的范围之内。</w:t>
          </w:r>
        </w:p>
        <w:p w14:paraId="4A99B98B" w14:textId="77777777" w:rsidR="00E57DAA" w:rsidRDefault="00AC4185">
          <w:pPr>
            <w:ind w:firstLineChars="200" w:firstLine="420"/>
            <w:rPr>
              <w:szCs w:val="21"/>
            </w:rPr>
          </w:pPr>
          <w:r>
            <w:rPr>
              <w:rFonts w:hint="eastAsia"/>
              <w:szCs w:val="21"/>
            </w:rPr>
            <w:t>（一）</w:t>
          </w:r>
          <w:r>
            <w:rPr>
              <w:szCs w:val="21"/>
            </w:rPr>
            <w:tab/>
            <w:t>金融工具产生的各类风险</w:t>
          </w:r>
        </w:p>
        <w:p w14:paraId="066FD70D" w14:textId="77777777" w:rsidR="00E57DAA" w:rsidRDefault="00AC4185">
          <w:pPr>
            <w:ind w:firstLineChars="200" w:firstLine="420"/>
            <w:rPr>
              <w:szCs w:val="21"/>
            </w:rPr>
          </w:pPr>
          <w:r>
            <w:rPr>
              <w:szCs w:val="21"/>
            </w:rPr>
            <w:t>1．</w:t>
          </w:r>
          <w:r>
            <w:rPr>
              <w:szCs w:val="21"/>
            </w:rPr>
            <w:tab/>
            <w:t>信用风险</w:t>
          </w:r>
        </w:p>
        <w:p w14:paraId="0B99C121" w14:textId="77777777" w:rsidR="00E57DAA" w:rsidRDefault="00AC4185">
          <w:pPr>
            <w:ind w:firstLineChars="200" w:firstLine="420"/>
            <w:rPr>
              <w:szCs w:val="21"/>
            </w:rPr>
          </w:pPr>
          <w:r>
            <w:rPr>
              <w:rFonts w:hint="eastAsia"/>
              <w:szCs w:val="21"/>
            </w:rPr>
            <w:t>于</w:t>
          </w:r>
          <w:r>
            <w:rPr>
              <w:szCs w:val="21"/>
            </w:rPr>
            <w:t>2023年12月31日，可能引起本公司财务损失的最大信用风险敞口主要来自于合同另一方未能履行义务而导致本公司金融资产产生的损失以及本公司承担的财务担保。</w:t>
          </w:r>
        </w:p>
        <w:p w14:paraId="2492B355" w14:textId="77777777" w:rsidR="00E57DAA" w:rsidRDefault="00AC4185">
          <w:pPr>
            <w:ind w:firstLineChars="200" w:firstLine="420"/>
            <w:rPr>
              <w:szCs w:val="21"/>
            </w:rPr>
          </w:pPr>
          <w:r>
            <w:rPr>
              <w:rFonts w:hint="eastAsia"/>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2AF67B07" w14:textId="77777777" w:rsidR="00E57DAA" w:rsidRDefault="00AC4185">
          <w:pPr>
            <w:ind w:firstLineChars="200" w:firstLine="420"/>
            <w:rPr>
              <w:szCs w:val="21"/>
            </w:rPr>
          </w:pPr>
          <w:r>
            <w:rPr>
              <w:rFonts w:hint="eastAsia"/>
              <w:szCs w:val="21"/>
            </w:rPr>
            <w:t>为降低信用风险，本公司进行信用额度管理和信用审批，并执行其他监控程序以确保采取必要的措施回收过期债权。此外，本公司于每个资产负债表日审核每一单项应收款的回收情况，以确保就无法回收的款项计提充分的坏账准备。</w:t>
          </w:r>
        </w:p>
        <w:p w14:paraId="4CDA8965" w14:textId="77777777" w:rsidR="00E57DAA" w:rsidRDefault="00AC4185">
          <w:pPr>
            <w:ind w:firstLineChars="200" w:firstLine="420"/>
            <w:rPr>
              <w:szCs w:val="21"/>
            </w:rPr>
          </w:pPr>
          <w:r>
            <w:rPr>
              <w:rFonts w:hint="eastAsia"/>
              <w:szCs w:val="21"/>
            </w:rPr>
            <w:t>本公司的流动资金存放在信用评级较高的银行，故流动资金的信用风险较低。</w:t>
          </w:r>
        </w:p>
        <w:p w14:paraId="76D5B6F6" w14:textId="77777777" w:rsidR="00E57DAA" w:rsidRDefault="00AC4185">
          <w:pPr>
            <w:ind w:firstLineChars="200" w:firstLine="420"/>
            <w:rPr>
              <w:szCs w:val="21"/>
            </w:rPr>
          </w:pPr>
          <w:r>
            <w:rPr>
              <w:rFonts w:hint="eastAsia"/>
              <w:szCs w:val="21"/>
            </w:rPr>
            <w:t>本公司采用了必要的政策确保所有销售客户均具有良好的信用记录。除应收账款金额前五名外，本公司无其他重大信用集中风险。</w:t>
          </w:r>
        </w:p>
        <w:p w14:paraId="7FD9024F" w14:textId="77777777" w:rsidR="00E57DAA" w:rsidRDefault="00AC4185">
          <w:pPr>
            <w:ind w:firstLineChars="200" w:firstLine="420"/>
            <w:rPr>
              <w:szCs w:val="21"/>
            </w:rPr>
          </w:pPr>
          <w:r>
            <w:rPr>
              <w:rFonts w:hint="eastAsia"/>
              <w:szCs w:val="21"/>
            </w:rPr>
            <w:t>应收账款前五名原值金额合计：</w:t>
          </w:r>
          <w:r>
            <w:rPr>
              <w:szCs w:val="21"/>
            </w:rPr>
            <w:t>905,523,493.50元。</w:t>
          </w:r>
        </w:p>
        <w:p w14:paraId="433A9626" w14:textId="77777777" w:rsidR="00E57DAA" w:rsidRDefault="00AC4185">
          <w:pPr>
            <w:ind w:firstLineChars="200" w:firstLine="420"/>
            <w:rPr>
              <w:szCs w:val="21"/>
            </w:rPr>
          </w:pPr>
          <w:r>
            <w:rPr>
              <w:szCs w:val="21"/>
            </w:rPr>
            <w:t>2．</w:t>
          </w:r>
          <w:r>
            <w:rPr>
              <w:szCs w:val="21"/>
            </w:rPr>
            <w:tab/>
            <w:t>流动性风险</w:t>
          </w:r>
        </w:p>
        <w:p w14:paraId="399EF69D" w14:textId="77777777" w:rsidR="00E57DAA" w:rsidRDefault="00AC4185">
          <w:pPr>
            <w:ind w:firstLineChars="200" w:firstLine="420"/>
            <w:rPr>
              <w:szCs w:val="21"/>
            </w:rPr>
          </w:pPr>
          <w:r>
            <w:rPr>
              <w:rFonts w:hint="eastAsia"/>
              <w:szCs w:val="21"/>
            </w:rPr>
            <w:t>流动风险为本公司在到期日无法履行其财务义务的风险。本公司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14:paraId="2267B177" w14:textId="77777777" w:rsidR="00E57DAA" w:rsidRDefault="00AC4185">
          <w:pPr>
            <w:ind w:firstLineChars="200" w:firstLine="420"/>
            <w:rPr>
              <w:szCs w:val="21"/>
            </w:rPr>
          </w:pPr>
          <w:r>
            <w:rPr>
              <w:szCs w:val="21"/>
            </w:rPr>
            <w:t>3．</w:t>
          </w:r>
          <w:r>
            <w:rPr>
              <w:szCs w:val="21"/>
            </w:rPr>
            <w:tab/>
            <w:t>市场风险</w:t>
          </w:r>
        </w:p>
        <w:p w14:paraId="7F0FE031" w14:textId="77777777" w:rsidR="00E57DAA" w:rsidRDefault="00AC4185">
          <w:pPr>
            <w:ind w:firstLineChars="200" w:firstLine="420"/>
            <w:rPr>
              <w:szCs w:val="21"/>
            </w:rPr>
          </w:pPr>
          <w:r>
            <w:rPr>
              <w:rFonts w:hint="eastAsia"/>
              <w:szCs w:val="21"/>
            </w:rPr>
            <w:t>（</w:t>
          </w:r>
          <w:r>
            <w:rPr>
              <w:szCs w:val="21"/>
            </w:rPr>
            <w:t>1）</w:t>
          </w:r>
          <w:r>
            <w:rPr>
              <w:szCs w:val="21"/>
            </w:rPr>
            <w:tab/>
            <w:t>汇率风险</w:t>
          </w:r>
        </w:p>
        <w:p w14:paraId="1F18C053" w14:textId="77777777" w:rsidR="00E57DAA" w:rsidRDefault="00AC4185">
          <w:pPr>
            <w:ind w:firstLineChars="200" w:firstLine="420"/>
            <w:rPr>
              <w:szCs w:val="21"/>
            </w:rPr>
          </w:pPr>
          <w:r>
            <w:rPr>
              <w:rFonts w:hint="eastAsia"/>
              <w:szCs w:val="21"/>
            </w:rPr>
            <w:t>本公司承受汇率风险主要与美元、欧元、尼日利亚奈拉、埃镑有关。于</w:t>
          </w:r>
          <w:r>
            <w:rPr>
              <w:szCs w:val="21"/>
            </w:rPr>
            <w:t>2023年12月31日，资产负债表上有大量美元、欧元、尼日利亚奈拉、埃镑余额，具体如下表所示。该外币资产和负债产生的汇率风险可能对本公司的经营业绩产生影响。</w:t>
          </w:r>
        </w:p>
        <w:p w14:paraId="1396E1D5" w14:textId="77777777" w:rsidR="00E57DAA" w:rsidRDefault="00AC4185">
          <w:pPr>
            <w:ind w:firstLineChars="200" w:firstLine="420"/>
            <w:jc w:val="right"/>
            <w:rPr>
              <w:szCs w:val="21"/>
            </w:rPr>
          </w:pPr>
          <w:r>
            <w:rPr>
              <w:rFonts w:hint="eastAsia"/>
              <w:szCs w:val="21"/>
            </w:rPr>
            <w:t>单位：人民币元</w:t>
          </w:r>
        </w:p>
        <w:tbl>
          <w:tblPr>
            <w:tblStyle w:val="g3"/>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3639"/>
            <w:gridCol w:w="2597"/>
            <w:gridCol w:w="2597"/>
          </w:tblGrid>
          <w:tr w:rsidR="00E57DAA" w14:paraId="11A5BB49" w14:textId="77777777">
            <w:trPr>
              <w:trHeight w:val="340"/>
              <w:tblHeader/>
            </w:trPr>
            <w:tc>
              <w:tcPr>
                <w:tcW w:w="2060" w:type="pct"/>
                <w:vAlign w:val="center"/>
              </w:tcPr>
              <w:p w14:paraId="1E626C44" w14:textId="77777777" w:rsidR="00E57DAA" w:rsidRDefault="00AC4185">
                <w:pPr>
                  <w:ind w:firstLineChars="200" w:firstLine="420"/>
                  <w:rPr>
                    <w:szCs w:val="21"/>
                  </w:rPr>
                </w:pPr>
                <w:r>
                  <w:rPr>
                    <w:rFonts w:hint="eastAsia"/>
                    <w:szCs w:val="21"/>
                  </w:rPr>
                  <w:t>项目</w:t>
                </w:r>
              </w:p>
            </w:tc>
            <w:tc>
              <w:tcPr>
                <w:tcW w:w="1470" w:type="pct"/>
                <w:shd w:val="clear" w:color="auto" w:fill="auto"/>
                <w:vAlign w:val="center"/>
              </w:tcPr>
              <w:p w14:paraId="40E035E9" w14:textId="77777777" w:rsidR="00E57DAA" w:rsidRDefault="00AC4185">
                <w:pPr>
                  <w:ind w:firstLineChars="200" w:firstLine="420"/>
                  <w:rPr>
                    <w:szCs w:val="21"/>
                  </w:rPr>
                </w:pPr>
                <w:r>
                  <w:rPr>
                    <w:rFonts w:hint="eastAsia"/>
                    <w:szCs w:val="21"/>
                  </w:rPr>
                  <w:t>20</w:t>
                </w:r>
                <w:r>
                  <w:rPr>
                    <w:szCs w:val="21"/>
                  </w:rPr>
                  <w:t>23</w:t>
                </w:r>
                <w:r>
                  <w:rPr>
                    <w:rFonts w:hint="eastAsia"/>
                    <w:szCs w:val="21"/>
                  </w:rPr>
                  <w:t>年</w:t>
                </w:r>
                <w:r>
                  <w:rPr>
                    <w:szCs w:val="21"/>
                  </w:rPr>
                  <w:t>12</w:t>
                </w:r>
                <w:r>
                  <w:rPr>
                    <w:rFonts w:hint="eastAsia"/>
                    <w:szCs w:val="21"/>
                  </w:rPr>
                  <w:t>月</w:t>
                </w:r>
                <w:r>
                  <w:rPr>
                    <w:szCs w:val="21"/>
                  </w:rPr>
                  <w:t>31</w:t>
                </w:r>
                <w:r>
                  <w:rPr>
                    <w:rFonts w:hint="eastAsia"/>
                    <w:szCs w:val="21"/>
                  </w:rPr>
                  <w:t>日</w:t>
                </w:r>
              </w:p>
            </w:tc>
            <w:tc>
              <w:tcPr>
                <w:tcW w:w="1470" w:type="pct"/>
                <w:shd w:val="clear" w:color="auto" w:fill="auto"/>
                <w:vAlign w:val="center"/>
              </w:tcPr>
              <w:p w14:paraId="7480F0E0" w14:textId="77777777" w:rsidR="00E57DAA" w:rsidRDefault="00AC4185">
                <w:pPr>
                  <w:ind w:firstLineChars="200" w:firstLine="420"/>
                  <w:rPr>
                    <w:szCs w:val="21"/>
                  </w:rPr>
                </w:pPr>
                <w:r>
                  <w:rPr>
                    <w:rFonts w:hint="eastAsia"/>
                    <w:szCs w:val="21"/>
                  </w:rPr>
                  <w:t>20</w:t>
                </w:r>
                <w:r>
                  <w:rPr>
                    <w:szCs w:val="21"/>
                  </w:rPr>
                  <w:t>22</w:t>
                </w:r>
                <w:r>
                  <w:rPr>
                    <w:rFonts w:hint="eastAsia"/>
                    <w:szCs w:val="21"/>
                  </w:rPr>
                  <w:t>年</w:t>
                </w:r>
                <w:r>
                  <w:rPr>
                    <w:szCs w:val="21"/>
                  </w:rPr>
                  <w:t>12</w:t>
                </w:r>
                <w:r>
                  <w:rPr>
                    <w:rFonts w:hint="eastAsia"/>
                    <w:szCs w:val="21"/>
                  </w:rPr>
                  <w:t>月</w:t>
                </w:r>
                <w:r>
                  <w:rPr>
                    <w:szCs w:val="21"/>
                  </w:rPr>
                  <w:t>31</w:t>
                </w:r>
                <w:r>
                  <w:rPr>
                    <w:rFonts w:hint="eastAsia"/>
                    <w:szCs w:val="21"/>
                  </w:rPr>
                  <w:t>日</w:t>
                </w:r>
              </w:p>
            </w:tc>
          </w:tr>
          <w:tr w:rsidR="00E57DAA" w14:paraId="6C8F89BB" w14:textId="77777777">
            <w:trPr>
              <w:trHeight w:val="340"/>
            </w:trPr>
            <w:tc>
              <w:tcPr>
                <w:tcW w:w="2060" w:type="pct"/>
                <w:vAlign w:val="center"/>
              </w:tcPr>
              <w:p w14:paraId="1E0EA761" w14:textId="77777777" w:rsidR="00E57DAA" w:rsidRDefault="00AC4185">
                <w:pPr>
                  <w:ind w:firstLineChars="200" w:firstLine="420"/>
                  <w:rPr>
                    <w:i/>
                    <w:szCs w:val="21"/>
                  </w:rPr>
                </w:pPr>
                <w:r>
                  <w:rPr>
                    <w:szCs w:val="21"/>
                  </w:rPr>
                  <w:t>货币资金</w:t>
                </w:r>
                <w:r>
                  <w:rPr>
                    <w:rFonts w:hint="eastAsia"/>
                    <w:szCs w:val="21"/>
                  </w:rPr>
                  <w:t>—美元</w:t>
                </w:r>
              </w:p>
            </w:tc>
            <w:tc>
              <w:tcPr>
                <w:tcW w:w="1470" w:type="pct"/>
                <w:shd w:val="clear" w:color="auto" w:fill="auto"/>
                <w:vAlign w:val="center"/>
              </w:tcPr>
              <w:p w14:paraId="3337EF22" w14:textId="77777777" w:rsidR="00E57DAA" w:rsidRDefault="00AC4185">
                <w:pPr>
                  <w:ind w:firstLineChars="200" w:firstLine="420"/>
                  <w:jc w:val="right"/>
                  <w:rPr>
                    <w:szCs w:val="21"/>
                  </w:rPr>
                </w:pPr>
                <w:r>
                  <w:rPr>
                    <w:szCs w:val="21"/>
                  </w:rPr>
                  <w:t>1,926,743,071.43</w:t>
                </w:r>
              </w:p>
            </w:tc>
            <w:tc>
              <w:tcPr>
                <w:tcW w:w="1470" w:type="pct"/>
                <w:shd w:val="clear" w:color="auto" w:fill="auto"/>
                <w:vAlign w:val="center"/>
              </w:tcPr>
              <w:p w14:paraId="03DDBC5A" w14:textId="77777777" w:rsidR="00E57DAA" w:rsidRDefault="00AC4185">
                <w:pPr>
                  <w:ind w:firstLineChars="200" w:firstLine="420"/>
                  <w:jc w:val="right"/>
                  <w:rPr>
                    <w:szCs w:val="21"/>
                  </w:rPr>
                </w:pPr>
                <w:r>
                  <w:rPr>
                    <w:szCs w:val="21"/>
                  </w:rPr>
                  <w:t>338,693,071.68</w:t>
                </w:r>
              </w:p>
            </w:tc>
          </w:tr>
          <w:tr w:rsidR="00E57DAA" w14:paraId="55ED1273" w14:textId="77777777">
            <w:trPr>
              <w:trHeight w:val="340"/>
            </w:trPr>
            <w:tc>
              <w:tcPr>
                <w:tcW w:w="2060" w:type="pct"/>
                <w:vAlign w:val="center"/>
              </w:tcPr>
              <w:p w14:paraId="59A3BE3F" w14:textId="77777777" w:rsidR="00E57DAA" w:rsidRDefault="00AC4185">
                <w:pPr>
                  <w:ind w:firstLineChars="200" w:firstLine="420"/>
                  <w:rPr>
                    <w:i/>
                    <w:szCs w:val="21"/>
                  </w:rPr>
                </w:pPr>
                <w:r>
                  <w:rPr>
                    <w:szCs w:val="21"/>
                  </w:rPr>
                  <w:t>货币资金</w:t>
                </w:r>
                <w:r>
                  <w:rPr>
                    <w:rFonts w:hint="eastAsia"/>
                    <w:szCs w:val="21"/>
                  </w:rPr>
                  <w:t>—</w:t>
                </w:r>
                <w:r>
                  <w:rPr>
                    <w:szCs w:val="21"/>
                  </w:rPr>
                  <w:t>欧元</w:t>
                </w:r>
              </w:p>
            </w:tc>
            <w:tc>
              <w:tcPr>
                <w:tcW w:w="1470" w:type="pct"/>
                <w:shd w:val="clear" w:color="auto" w:fill="auto"/>
                <w:vAlign w:val="center"/>
              </w:tcPr>
              <w:p w14:paraId="79C665B4" w14:textId="77777777" w:rsidR="00E57DAA" w:rsidRDefault="00AC4185">
                <w:pPr>
                  <w:ind w:firstLineChars="200" w:firstLine="420"/>
                  <w:jc w:val="right"/>
                  <w:rPr>
                    <w:szCs w:val="21"/>
                  </w:rPr>
                </w:pPr>
                <w:r>
                  <w:rPr>
                    <w:szCs w:val="21"/>
                  </w:rPr>
                  <w:t>500,632,835.92</w:t>
                </w:r>
              </w:p>
            </w:tc>
            <w:tc>
              <w:tcPr>
                <w:tcW w:w="1470" w:type="pct"/>
                <w:shd w:val="clear" w:color="auto" w:fill="auto"/>
                <w:vAlign w:val="center"/>
              </w:tcPr>
              <w:p w14:paraId="4B389D08" w14:textId="77777777" w:rsidR="00E57DAA" w:rsidRDefault="00AC4185">
                <w:pPr>
                  <w:ind w:firstLineChars="200" w:firstLine="420"/>
                  <w:jc w:val="right"/>
                  <w:rPr>
                    <w:szCs w:val="21"/>
                  </w:rPr>
                </w:pPr>
                <w:r>
                  <w:rPr>
                    <w:szCs w:val="21"/>
                  </w:rPr>
                  <w:t>69,026,886.09</w:t>
                </w:r>
              </w:p>
            </w:tc>
          </w:tr>
          <w:tr w:rsidR="00E57DAA" w14:paraId="065DFB67" w14:textId="77777777">
            <w:trPr>
              <w:trHeight w:val="340"/>
            </w:trPr>
            <w:tc>
              <w:tcPr>
                <w:tcW w:w="2060" w:type="pct"/>
                <w:vAlign w:val="center"/>
              </w:tcPr>
              <w:p w14:paraId="02E997C1" w14:textId="77777777" w:rsidR="00E57DAA" w:rsidRDefault="00AC4185">
                <w:pPr>
                  <w:ind w:firstLineChars="200" w:firstLine="420"/>
                  <w:rPr>
                    <w:szCs w:val="21"/>
                  </w:rPr>
                </w:pPr>
                <w:r>
                  <w:rPr>
                    <w:rFonts w:hint="eastAsia"/>
                    <w:szCs w:val="21"/>
                  </w:rPr>
                  <w:t>货币资金—尼日利亚奈拉</w:t>
                </w:r>
              </w:p>
            </w:tc>
            <w:tc>
              <w:tcPr>
                <w:tcW w:w="1470" w:type="pct"/>
                <w:shd w:val="clear" w:color="auto" w:fill="auto"/>
                <w:vAlign w:val="center"/>
              </w:tcPr>
              <w:p w14:paraId="566F6FA6" w14:textId="77777777" w:rsidR="00E57DAA" w:rsidRDefault="00AC4185">
                <w:pPr>
                  <w:ind w:firstLineChars="200" w:firstLine="420"/>
                  <w:jc w:val="right"/>
                  <w:rPr>
                    <w:szCs w:val="21"/>
                  </w:rPr>
                </w:pPr>
                <w:r>
                  <w:rPr>
                    <w:szCs w:val="21"/>
                  </w:rPr>
                  <w:t>152,332,949.31</w:t>
                </w:r>
              </w:p>
            </w:tc>
            <w:tc>
              <w:tcPr>
                <w:tcW w:w="1470" w:type="pct"/>
                <w:shd w:val="clear" w:color="auto" w:fill="auto"/>
                <w:vAlign w:val="center"/>
              </w:tcPr>
              <w:p w14:paraId="0C1B176A" w14:textId="77777777" w:rsidR="00E57DAA" w:rsidRDefault="00AC4185">
                <w:pPr>
                  <w:ind w:firstLineChars="200" w:firstLine="420"/>
                  <w:jc w:val="right"/>
                  <w:rPr>
                    <w:szCs w:val="21"/>
                  </w:rPr>
                </w:pPr>
                <w:r>
                  <w:rPr>
                    <w:szCs w:val="21"/>
                  </w:rPr>
                  <w:t>316,887,094.65</w:t>
                </w:r>
              </w:p>
            </w:tc>
          </w:tr>
          <w:tr w:rsidR="00E57DAA" w14:paraId="75D060B8" w14:textId="77777777">
            <w:trPr>
              <w:trHeight w:val="340"/>
            </w:trPr>
            <w:tc>
              <w:tcPr>
                <w:tcW w:w="2060" w:type="pct"/>
                <w:vAlign w:val="center"/>
              </w:tcPr>
              <w:p w14:paraId="5E82533E" w14:textId="77777777" w:rsidR="00E57DAA" w:rsidRDefault="00AC4185">
                <w:pPr>
                  <w:ind w:firstLineChars="200" w:firstLine="420"/>
                  <w:rPr>
                    <w:szCs w:val="21"/>
                  </w:rPr>
                </w:pPr>
                <w:r>
                  <w:rPr>
                    <w:rFonts w:hint="eastAsia"/>
                    <w:szCs w:val="21"/>
                  </w:rPr>
                  <w:t>货币资金—埃镑</w:t>
                </w:r>
              </w:p>
            </w:tc>
            <w:tc>
              <w:tcPr>
                <w:tcW w:w="1470" w:type="pct"/>
                <w:shd w:val="clear" w:color="auto" w:fill="auto"/>
                <w:vAlign w:val="center"/>
              </w:tcPr>
              <w:p w14:paraId="48C04D89" w14:textId="77777777" w:rsidR="00E57DAA" w:rsidRDefault="00AC4185">
                <w:pPr>
                  <w:ind w:firstLineChars="200" w:firstLine="420"/>
                  <w:jc w:val="right"/>
                  <w:rPr>
                    <w:szCs w:val="21"/>
                  </w:rPr>
                </w:pPr>
                <w:r>
                  <w:rPr>
                    <w:szCs w:val="21"/>
                  </w:rPr>
                  <w:t>378,466,928.15</w:t>
                </w:r>
              </w:p>
            </w:tc>
            <w:tc>
              <w:tcPr>
                <w:tcW w:w="1470" w:type="pct"/>
                <w:shd w:val="clear" w:color="auto" w:fill="auto"/>
                <w:vAlign w:val="center"/>
              </w:tcPr>
              <w:p w14:paraId="146B5CB6" w14:textId="77777777" w:rsidR="00E57DAA" w:rsidRDefault="00AC4185">
                <w:pPr>
                  <w:ind w:firstLineChars="200" w:firstLine="420"/>
                  <w:jc w:val="right"/>
                  <w:rPr>
                    <w:szCs w:val="21"/>
                  </w:rPr>
                </w:pPr>
                <w:r>
                  <w:rPr>
                    <w:szCs w:val="21"/>
                  </w:rPr>
                  <w:t>291,427,670.51</w:t>
                </w:r>
              </w:p>
            </w:tc>
          </w:tr>
          <w:tr w:rsidR="00E57DAA" w14:paraId="26C722B3" w14:textId="77777777">
            <w:trPr>
              <w:trHeight w:val="340"/>
            </w:trPr>
            <w:tc>
              <w:tcPr>
                <w:tcW w:w="2060" w:type="pct"/>
                <w:vAlign w:val="center"/>
              </w:tcPr>
              <w:p w14:paraId="561B724C" w14:textId="77777777" w:rsidR="00E57DAA" w:rsidRDefault="00AC4185">
                <w:pPr>
                  <w:ind w:firstLineChars="200" w:firstLine="420"/>
                  <w:rPr>
                    <w:i/>
                    <w:szCs w:val="21"/>
                  </w:rPr>
                </w:pPr>
                <w:r>
                  <w:rPr>
                    <w:szCs w:val="21"/>
                  </w:rPr>
                  <w:t>应收账款</w:t>
                </w:r>
                <w:r>
                  <w:rPr>
                    <w:rFonts w:hint="eastAsia"/>
                    <w:szCs w:val="21"/>
                  </w:rPr>
                  <w:t>—美元</w:t>
                </w:r>
              </w:p>
            </w:tc>
            <w:tc>
              <w:tcPr>
                <w:tcW w:w="1470" w:type="pct"/>
                <w:shd w:val="clear" w:color="auto" w:fill="auto"/>
                <w:vAlign w:val="center"/>
              </w:tcPr>
              <w:p w14:paraId="75FCA665" w14:textId="77777777" w:rsidR="00E57DAA" w:rsidRDefault="00AC4185">
                <w:pPr>
                  <w:ind w:firstLineChars="200" w:firstLine="420"/>
                  <w:jc w:val="right"/>
                  <w:rPr>
                    <w:szCs w:val="21"/>
                  </w:rPr>
                </w:pPr>
                <w:r>
                  <w:rPr>
                    <w:szCs w:val="21"/>
                  </w:rPr>
                  <w:t>1,305,059,034.99</w:t>
                </w:r>
              </w:p>
            </w:tc>
            <w:tc>
              <w:tcPr>
                <w:tcW w:w="1470" w:type="pct"/>
                <w:shd w:val="clear" w:color="auto" w:fill="auto"/>
                <w:vAlign w:val="center"/>
              </w:tcPr>
              <w:p w14:paraId="78887A42" w14:textId="77777777" w:rsidR="00E57DAA" w:rsidRDefault="00AC4185">
                <w:pPr>
                  <w:ind w:firstLineChars="200" w:firstLine="420"/>
                  <w:jc w:val="right"/>
                  <w:rPr>
                    <w:szCs w:val="21"/>
                  </w:rPr>
                </w:pPr>
                <w:r>
                  <w:rPr>
                    <w:szCs w:val="21"/>
                  </w:rPr>
                  <w:t>245,087,486.21</w:t>
                </w:r>
              </w:p>
            </w:tc>
          </w:tr>
          <w:tr w:rsidR="00E57DAA" w14:paraId="6475A084" w14:textId="77777777">
            <w:trPr>
              <w:trHeight w:val="340"/>
            </w:trPr>
            <w:tc>
              <w:tcPr>
                <w:tcW w:w="2060" w:type="pct"/>
                <w:vAlign w:val="center"/>
              </w:tcPr>
              <w:p w14:paraId="408AF615" w14:textId="77777777" w:rsidR="00E57DAA" w:rsidRDefault="00AC4185">
                <w:pPr>
                  <w:ind w:firstLineChars="200" w:firstLine="420"/>
                  <w:rPr>
                    <w:i/>
                    <w:szCs w:val="21"/>
                  </w:rPr>
                </w:pPr>
                <w:r>
                  <w:rPr>
                    <w:szCs w:val="21"/>
                  </w:rPr>
                  <w:t>应收账款</w:t>
                </w:r>
                <w:r>
                  <w:rPr>
                    <w:rFonts w:hint="eastAsia"/>
                    <w:szCs w:val="21"/>
                  </w:rPr>
                  <w:t>—</w:t>
                </w:r>
                <w:r>
                  <w:rPr>
                    <w:szCs w:val="21"/>
                  </w:rPr>
                  <w:t>欧元</w:t>
                </w:r>
              </w:p>
            </w:tc>
            <w:tc>
              <w:tcPr>
                <w:tcW w:w="1470" w:type="pct"/>
                <w:shd w:val="clear" w:color="auto" w:fill="auto"/>
                <w:vAlign w:val="center"/>
              </w:tcPr>
              <w:p w14:paraId="2E0F614A" w14:textId="77777777" w:rsidR="00E57DAA" w:rsidRDefault="00AC4185">
                <w:pPr>
                  <w:ind w:firstLineChars="200" w:firstLine="420"/>
                  <w:jc w:val="right"/>
                  <w:rPr>
                    <w:szCs w:val="21"/>
                  </w:rPr>
                </w:pPr>
                <w:r>
                  <w:rPr>
                    <w:szCs w:val="21"/>
                  </w:rPr>
                  <w:t>494,779,270.33</w:t>
                </w:r>
              </w:p>
            </w:tc>
            <w:tc>
              <w:tcPr>
                <w:tcW w:w="1470" w:type="pct"/>
                <w:shd w:val="clear" w:color="auto" w:fill="auto"/>
                <w:vAlign w:val="center"/>
              </w:tcPr>
              <w:p w14:paraId="1F142FAC" w14:textId="77777777" w:rsidR="00E57DAA" w:rsidRDefault="00AC4185">
                <w:pPr>
                  <w:ind w:firstLineChars="200" w:firstLine="420"/>
                  <w:jc w:val="right"/>
                  <w:rPr>
                    <w:szCs w:val="21"/>
                  </w:rPr>
                </w:pPr>
                <w:r>
                  <w:rPr>
                    <w:szCs w:val="21"/>
                  </w:rPr>
                  <w:t>58,003,911.67</w:t>
                </w:r>
              </w:p>
            </w:tc>
          </w:tr>
          <w:tr w:rsidR="00E57DAA" w14:paraId="5BBEF0D7" w14:textId="77777777">
            <w:trPr>
              <w:trHeight w:val="340"/>
            </w:trPr>
            <w:tc>
              <w:tcPr>
                <w:tcW w:w="2060" w:type="pct"/>
                <w:vAlign w:val="center"/>
              </w:tcPr>
              <w:p w14:paraId="0F9BC94A" w14:textId="77777777" w:rsidR="00E57DAA" w:rsidRDefault="00AC4185">
                <w:pPr>
                  <w:ind w:firstLineChars="200" w:firstLine="420"/>
                  <w:rPr>
                    <w:szCs w:val="21"/>
                  </w:rPr>
                </w:pPr>
                <w:r>
                  <w:rPr>
                    <w:szCs w:val="21"/>
                  </w:rPr>
                  <w:t>应收账款</w:t>
                </w:r>
                <w:r>
                  <w:rPr>
                    <w:rFonts w:hint="eastAsia"/>
                    <w:szCs w:val="21"/>
                  </w:rPr>
                  <w:t>—尼日利亚奈拉</w:t>
                </w:r>
              </w:p>
            </w:tc>
            <w:tc>
              <w:tcPr>
                <w:tcW w:w="1470" w:type="pct"/>
                <w:shd w:val="clear" w:color="auto" w:fill="auto"/>
                <w:vAlign w:val="center"/>
              </w:tcPr>
              <w:p w14:paraId="6685CD7C" w14:textId="77777777" w:rsidR="00E57DAA" w:rsidRDefault="00AC4185">
                <w:pPr>
                  <w:ind w:firstLineChars="200" w:firstLine="420"/>
                  <w:jc w:val="right"/>
                  <w:rPr>
                    <w:szCs w:val="21"/>
                  </w:rPr>
                </w:pPr>
                <w:r>
                  <w:rPr>
                    <w:szCs w:val="21"/>
                  </w:rPr>
                  <w:t>85,928,749.41</w:t>
                </w:r>
              </w:p>
            </w:tc>
            <w:tc>
              <w:tcPr>
                <w:tcW w:w="1470" w:type="pct"/>
                <w:shd w:val="clear" w:color="auto" w:fill="auto"/>
                <w:vAlign w:val="center"/>
              </w:tcPr>
              <w:p w14:paraId="3628F154" w14:textId="77777777" w:rsidR="00E57DAA" w:rsidRDefault="00AC4185">
                <w:pPr>
                  <w:ind w:firstLineChars="200" w:firstLine="420"/>
                  <w:jc w:val="right"/>
                  <w:rPr>
                    <w:szCs w:val="21"/>
                  </w:rPr>
                </w:pPr>
                <w:r>
                  <w:rPr>
                    <w:szCs w:val="21"/>
                  </w:rPr>
                  <w:t>20,718,500.65</w:t>
                </w:r>
              </w:p>
            </w:tc>
          </w:tr>
          <w:tr w:rsidR="00E57DAA" w14:paraId="6D24445E" w14:textId="77777777">
            <w:trPr>
              <w:trHeight w:val="340"/>
            </w:trPr>
            <w:tc>
              <w:tcPr>
                <w:tcW w:w="2060" w:type="pct"/>
                <w:vAlign w:val="center"/>
              </w:tcPr>
              <w:p w14:paraId="472A5354" w14:textId="77777777" w:rsidR="00E57DAA" w:rsidRDefault="00AC4185">
                <w:pPr>
                  <w:ind w:firstLineChars="200" w:firstLine="420"/>
                  <w:rPr>
                    <w:szCs w:val="21"/>
                  </w:rPr>
                </w:pPr>
                <w:r>
                  <w:rPr>
                    <w:rFonts w:hint="eastAsia"/>
                    <w:szCs w:val="21"/>
                  </w:rPr>
                  <w:lastRenderedPageBreak/>
                  <w:t>应收账款-埃镑</w:t>
                </w:r>
              </w:p>
            </w:tc>
            <w:tc>
              <w:tcPr>
                <w:tcW w:w="1470" w:type="pct"/>
                <w:shd w:val="clear" w:color="auto" w:fill="auto"/>
                <w:vAlign w:val="center"/>
              </w:tcPr>
              <w:p w14:paraId="3DCB9495" w14:textId="77777777" w:rsidR="00E57DAA" w:rsidRDefault="00AC4185">
                <w:pPr>
                  <w:ind w:firstLineChars="200" w:firstLine="420"/>
                  <w:jc w:val="right"/>
                  <w:rPr>
                    <w:szCs w:val="21"/>
                  </w:rPr>
                </w:pPr>
                <w:r>
                  <w:rPr>
                    <w:szCs w:val="21"/>
                  </w:rPr>
                  <w:t>188,794,139.57</w:t>
                </w:r>
              </w:p>
            </w:tc>
            <w:tc>
              <w:tcPr>
                <w:tcW w:w="1470" w:type="pct"/>
                <w:shd w:val="clear" w:color="auto" w:fill="auto"/>
                <w:vAlign w:val="center"/>
              </w:tcPr>
              <w:p w14:paraId="460FF484" w14:textId="77777777" w:rsidR="00E57DAA" w:rsidRDefault="00AC4185">
                <w:pPr>
                  <w:ind w:firstLineChars="200" w:firstLine="420"/>
                  <w:jc w:val="right"/>
                  <w:rPr>
                    <w:szCs w:val="21"/>
                  </w:rPr>
                </w:pPr>
                <w:r>
                  <w:rPr>
                    <w:szCs w:val="21"/>
                  </w:rPr>
                  <w:t>9,420,394.35</w:t>
                </w:r>
              </w:p>
            </w:tc>
          </w:tr>
          <w:tr w:rsidR="00E57DAA" w14:paraId="6A3C644E" w14:textId="77777777">
            <w:trPr>
              <w:trHeight w:val="340"/>
            </w:trPr>
            <w:tc>
              <w:tcPr>
                <w:tcW w:w="2060" w:type="pct"/>
                <w:vAlign w:val="center"/>
              </w:tcPr>
              <w:p w14:paraId="235FB0E1" w14:textId="77777777" w:rsidR="00E57DAA" w:rsidRDefault="00AC4185">
                <w:pPr>
                  <w:ind w:firstLineChars="200" w:firstLine="420"/>
                  <w:rPr>
                    <w:i/>
                    <w:szCs w:val="21"/>
                  </w:rPr>
                </w:pPr>
                <w:r>
                  <w:rPr>
                    <w:rFonts w:hint="eastAsia"/>
                    <w:szCs w:val="21"/>
                  </w:rPr>
                  <w:t>其他</w:t>
                </w:r>
                <w:r>
                  <w:rPr>
                    <w:szCs w:val="21"/>
                  </w:rPr>
                  <w:t>应收款</w:t>
                </w:r>
                <w:r>
                  <w:rPr>
                    <w:rFonts w:hint="eastAsia"/>
                    <w:szCs w:val="21"/>
                  </w:rPr>
                  <w:t>—美元</w:t>
                </w:r>
              </w:p>
            </w:tc>
            <w:tc>
              <w:tcPr>
                <w:tcW w:w="1470" w:type="pct"/>
                <w:shd w:val="clear" w:color="auto" w:fill="auto"/>
                <w:vAlign w:val="center"/>
              </w:tcPr>
              <w:p w14:paraId="29115C6A" w14:textId="77777777" w:rsidR="00E57DAA" w:rsidRDefault="00AC4185">
                <w:pPr>
                  <w:ind w:firstLineChars="200" w:firstLine="420"/>
                  <w:jc w:val="right"/>
                  <w:rPr>
                    <w:szCs w:val="21"/>
                  </w:rPr>
                </w:pPr>
                <w:r>
                  <w:rPr>
                    <w:szCs w:val="21"/>
                  </w:rPr>
                  <w:t>52,082,545.25</w:t>
                </w:r>
              </w:p>
            </w:tc>
            <w:tc>
              <w:tcPr>
                <w:tcW w:w="1470" w:type="pct"/>
                <w:shd w:val="clear" w:color="auto" w:fill="auto"/>
                <w:vAlign w:val="center"/>
              </w:tcPr>
              <w:p w14:paraId="1A131C96" w14:textId="77777777" w:rsidR="00E57DAA" w:rsidRDefault="00AC4185">
                <w:pPr>
                  <w:ind w:firstLineChars="200" w:firstLine="420"/>
                  <w:jc w:val="right"/>
                  <w:rPr>
                    <w:szCs w:val="21"/>
                  </w:rPr>
                </w:pPr>
                <w:r>
                  <w:rPr>
                    <w:szCs w:val="21"/>
                  </w:rPr>
                  <w:t>18,105,269.47</w:t>
                </w:r>
              </w:p>
            </w:tc>
          </w:tr>
          <w:tr w:rsidR="00E57DAA" w14:paraId="3180A317" w14:textId="77777777">
            <w:trPr>
              <w:trHeight w:val="340"/>
            </w:trPr>
            <w:tc>
              <w:tcPr>
                <w:tcW w:w="2060" w:type="pct"/>
                <w:vAlign w:val="center"/>
              </w:tcPr>
              <w:p w14:paraId="29E0FEEC" w14:textId="77777777" w:rsidR="00E57DAA" w:rsidRDefault="00AC4185">
                <w:pPr>
                  <w:ind w:firstLineChars="200" w:firstLine="420"/>
                  <w:rPr>
                    <w:i/>
                    <w:szCs w:val="21"/>
                  </w:rPr>
                </w:pPr>
                <w:r>
                  <w:rPr>
                    <w:rFonts w:hint="eastAsia"/>
                    <w:szCs w:val="21"/>
                  </w:rPr>
                  <w:t>其他</w:t>
                </w:r>
                <w:r>
                  <w:rPr>
                    <w:szCs w:val="21"/>
                  </w:rPr>
                  <w:t>应收款</w:t>
                </w:r>
                <w:r>
                  <w:rPr>
                    <w:rFonts w:hint="eastAsia"/>
                    <w:szCs w:val="21"/>
                  </w:rPr>
                  <w:t>—</w:t>
                </w:r>
                <w:r>
                  <w:rPr>
                    <w:szCs w:val="21"/>
                  </w:rPr>
                  <w:t>欧</w:t>
                </w:r>
                <w:r>
                  <w:rPr>
                    <w:rFonts w:hint="eastAsia"/>
                    <w:szCs w:val="21"/>
                  </w:rPr>
                  <w:t>元</w:t>
                </w:r>
              </w:p>
            </w:tc>
            <w:tc>
              <w:tcPr>
                <w:tcW w:w="1470" w:type="pct"/>
                <w:shd w:val="clear" w:color="auto" w:fill="auto"/>
                <w:vAlign w:val="center"/>
              </w:tcPr>
              <w:p w14:paraId="37A05D81" w14:textId="77777777" w:rsidR="00E57DAA" w:rsidRDefault="00AC4185">
                <w:pPr>
                  <w:ind w:firstLineChars="200" w:firstLine="420"/>
                  <w:jc w:val="right"/>
                  <w:rPr>
                    <w:szCs w:val="21"/>
                  </w:rPr>
                </w:pPr>
                <w:r>
                  <w:rPr>
                    <w:szCs w:val="21"/>
                  </w:rPr>
                  <w:t>32,135,628.43</w:t>
                </w:r>
              </w:p>
            </w:tc>
            <w:tc>
              <w:tcPr>
                <w:tcW w:w="1470" w:type="pct"/>
                <w:shd w:val="clear" w:color="auto" w:fill="auto"/>
                <w:vAlign w:val="center"/>
              </w:tcPr>
              <w:p w14:paraId="1E2FF96E" w14:textId="77777777" w:rsidR="00E57DAA" w:rsidRDefault="00AC4185">
                <w:pPr>
                  <w:ind w:firstLineChars="200" w:firstLine="420"/>
                  <w:jc w:val="right"/>
                  <w:rPr>
                    <w:szCs w:val="21"/>
                  </w:rPr>
                </w:pPr>
                <w:r>
                  <w:rPr>
                    <w:szCs w:val="21"/>
                  </w:rPr>
                  <w:t>13,309,551.32</w:t>
                </w:r>
              </w:p>
            </w:tc>
          </w:tr>
          <w:tr w:rsidR="00E57DAA" w14:paraId="1B34797F" w14:textId="77777777">
            <w:trPr>
              <w:trHeight w:val="340"/>
            </w:trPr>
            <w:tc>
              <w:tcPr>
                <w:tcW w:w="2060" w:type="pct"/>
                <w:vAlign w:val="center"/>
              </w:tcPr>
              <w:p w14:paraId="2EFD70B0" w14:textId="77777777" w:rsidR="00E57DAA" w:rsidRDefault="00AC4185">
                <w:pPr>
                  <w:ind w:firstLineChars="200" w:firstLine="420"/>
                  <w:rPr>
                    <w:szCs w:val="21"/>
                  </w:rPr>
                </w:pPr>
                <w:r>
                  <w:rPr>
                    <w:rFonts w:hint="eastAsia"/>
                    <w:szCs w:val="21"/>
                  </w:rPr>
                  <w:t>其他</w:t>
                </w:r>
                <w:r>
                  <w:rPr>
                    <w:szCs w:val="21"/>
                  </w:rPr>
                  <w:t>应收款</w:t>
                </w:r>
                <w:r>
                  <w:rPr>
                    <w:rFonts w:hint="eastAsia"/>
                    <w:szCs w:val="21"/>
                  </w:rPr>
                  <w:t>—尼日利亚奈拉</w:t>
                </w:r>
              </w:p>
            </w:tc>
            <w:tc>
              <w:tcPr>
                <w:tcW w:w="1470" w:type="pct"/>
                <w:shd w:val="clear" w:color="auto" w:fill="auto"/>
                <w:vAlign w:val="center"/>
              </w:tcPr>
              <w:p w14:paraId="4BD8E6C7" w14:textId="77777777" w:rsidR="00E57DAA" w:rsidRDefault="00AC4185">
                <w:pPr>
                  <w:ind w:firstLineChars="200" w:firstLine="420"/>
                  <w:jc w:val="right"/>
                  <w:rPr>
                    <w:szCs w:val="21"/>
                  </w:rPr>
                </w:pPr>
                <w:r>
                  <w:rPr>
                    <w:szCs w:val="21"/>
                  </w:rPr>
                  <w:t>8,171,224.35</w:t>
                </w:r>
              </w:p>
            </w:tc>
            <w:tc>
              <w:tcPr>
                <w:tcW w:w="1470" w:type="pct"/>
                <w:shd w:val="clear" w:color="auto" w:fill="auto"/>
                <w:vAlign w:val="center"/>
              </w:tcPr>
              <w:p w14:paraId="5B1A4E23" w14:textId="77777777" w:rsidR="00E57DAA" w:rsidRDefault="00AC4185">
                <w:pPr>
                  <w:ind w:firstLineChars="200" w:firstLine="420"/>
                  <w:jc w:val="right"/>
                  <w:rPr>
                    <w:szCs w:val="21"/>
                  </w:rPr>
                </w:pPr>
                <w:r>
                  <w:rPr>
                    <w:szCs w:val="21"/>
                  </w:rPr>
                  <w:t>20,947,012.67</w:t>
                </w:r>
              </w:p>
            </w:tc>
          </w:tr>
          <w:tr w:rsidR="00E57DAA" w14:paraId="1F188681" w14:textId="77777777">
            <w:trPr>
              <w:trHeight w:val="340"/>
            </w:trPr>
            <w:tc>
              <w:tcPr>
                <w:tcW w:w="2060" w:type="pct"/>
                <w:vAlign w:val="center"/>
              </w:tcPr>
              <w:p w14:paraId="4725BC60" w14:textId="77777777" w:rsidR="00E57DAA" w:rsidRDefault="00AC4185">
                <w:pPr>
                  <w:ind w:firstLineChars="200" w:firstLine="420"/>
                  <w:rPr>
                    <w:szCs w:val="21"/>
                  </w:rPr>
                </w:pPr>
                <w:r>
                  <w:rPr>
                    <w:rFonts w:hint="eastAsia"/>
                    <w:szCs w:val="21"/>
                  </w:rPr>
                  <w:t>其他</w:t>
                </w:r>
                <w:r>
                  <w:rPr>
                    <w:szCs w:val="21"/>
                  </w:rPr>
                  <w:t>应收款</w:t>
                </w:r>
                <w:r>
                  <w:rPr>
                    <w:rFonts w:hint="eastAsia"/>
                    <w:szCs w:val="21"/>
                  </w:rPr>
                  <w:t>—埃镑</w:t>
                </w:r>
              </w:p>
            </w:tc>
            <w:tc>
              <w:tcPr>
                <w:tcW w:w="1470" w:type="pct"/>
                <w:shd w:val="clear" w:color="auto" w:fill="auto"/>
                <w:vAlign w:val="center"/>
              </w:tcPr>
              <w:p w14:paraId="0DB89468" w14:textId="77777777" w:rsidR="00E57DAA" w:rsidRDefault="00AC4185">
                <w:pPr>
                  <w:ind w:firstLineChars="200" w:firstLine="420"/>
                  <w:jc w:val="right"/>
                  <w:rPr>
                    <w:szCs w:val="21"/>
                  </w:rPr>
                </w:pPr>
                <w:r>
                  <w:rPr>
                    <w:szCs w:val="21"/>
                  </w:rPr>
                  <w:t>1,322,913.24</w:t>
                </w:r>
              </w:p>
            </w:tc>
            <w:tc>
              <w:tcPr>
                <w:tcW w:w="1470" w:type="pct"/>
                <w:shd w:val="clear" w:color="auto" w:fill="auto"/>
                <w:vAlign w:val="center"/>
              </w:tcPr>
              <w:p w14:paraId="7D2211F9" w14:textId="77777777" w:rsidR="00E57DAA" w:rsidRDefault="00AC4185">
                <w:pPr>
                  <w:ind w:firstLineChars="200" w:firstLine="420"/>
                  <w:jc w:val="right"/>
                  <w:rPr>
                    <w:szCs w:val="21"/>
                  </w:rPr>
                </w:pPr>
                <w:r>
                  <w:rPr>
                    <w:szCs w:val="21"/>
                  </w:rPr>
                  <w:t>2,528,080.23</w:t>
                </w:r>
              </w:p>
            </w:tc>
          </w:tr>
          <w:tr w:rsidR="00E57DAA" w14:paraId="50F17A6A" w14:textId="77777777">
            <w:trPr>
              <w:trHeight w:val="340"/>
            </w:trPr>
            <w:tc>
              <w:tcPr>
                <w:tcW w:w="2060" w:type="pct"/>
                <w:vAlign w:val="center"/>
              </w:tcPr>
              <w:p w14:paraId="0AECBEE2" w14:textId="77777777" w:rsidR="00E57DAA" w:rsidRDefault="00AC4185">
                <w:pPr>
                  <w:ind w:firstLineChars="200" w:firstLine="420"/>
                  <w:rPr>
                    <w:i/>
                    <w:szCs w:val="21"/>
                  </w:rPr>
                </w:pPr>
                <w:r>
                  <w:rPr>
                    <w:rFonts w:hint="eastAsia"/>
                    <w:szCs w:val="21"/>
                  </w:rPr>
                  <w:t>长期应收款—美元</w:t>
                </w:r>
              </w:p>
            </w:tc>
            <w:tc>
              <w:tcPr>
                <w:tcW w:w="1470" w:type="pct"/>
                <w:shd w:val="clear" w:color="auto" w:fill="auto"/>
                <w:vAlign w:val="center"/>
              </w:tcPr>
              <w:p w14:paraId="3763AA89" w14:textId="77777777" w:rsidR="00E57DAA" w:rsidRDefault="00AC4185">
                <w:pPr>
                  <w:ind w:firstLineChars="200" w:firstLine="420"/>
                  <w:jc w:val="right"/>
                  <w:rPr>
                    <w:szCs w:val="21"/>
                  </w:rPr>
                </w:pPr>
                <w:r>
                  <w:rPr>
                    <w:szCs w:val="21"/>
                  </w:rPr>
                  <w:t>138,352,131.81</w:t>
                </w:r>
              </w:p>
            </w:tc>
            <w:tc>
              <w:tcPr>
                <w:tcW w:w="1470" w:type="pct"/>
                <w:shd w:val="clear" w:color="auto" w:fill="auto"/>
                <w:vAlign w:val="center"/>
              </w:tcPr>
              <w:p w14:paraId="059219B9" w14:textId="77777777" w:rsidR="00E57DAA" w:rsidRDefault="00AC4185">
                <w:pPr>
                  <w:ind w:firstLineChars="200" w:firstLine="420"/>
                  <w:jc w:val="right"/>
                  <w:rPr>
                    <w:szCs w:val="21"/>
                  </w:rPr>
                </w:pPr>
                <w:r>
                  <w:rPr>
                    <w:szCs w:val="21"/>
                  </w:rPr>
                  <w:t>26,585,752.21</w:t>
                </w:r>
              </w:p>
            </w:tc>
          </w:tr>
          <w:tr w:rsidR="00E57DAA" w14:paraId="531AFCC7" w14:textId="77777777">
            <w:trPr>
              <w:trHeight w:val="340"/>
            </w:trPr>
            <w:tc>
              <w:tcPr>
                <w:tcW w:w="2060" w:type="pct"/>
                <w:vAlign w:val="center"/>
              </w:tcPr>
              <w:p w14:paraId="5AF214CA" w14:textId="77777777" w:rsidR="00E57DAA" w:rsidRDefault="00AC4185">
                <w:pPr>
                  <w:ind w:firstLineChars="200" w:firstLine="420"/>
                  <w:rPr>
                    <w:i/>
                    <w:szCs w:val="21"/>
                  </w:rPr>
                </w:pPr>
                <w:r>
                  <w:rPr>
                    <w:rFonts w:hint="eastAsia"/>
                    <w:szCs w:val="21"/>
                  </w:rPr>
                  <w:t>长期应收款—欧元</w:t>
                </w:r>
              </w:p>
            </w:tc>
            <w:tc>
              <w:tcPr>
                <w:tcW w:w="1470" w:type="pct"/>
                <w:shd w:val="clear" w:color="auto" w:fill="auto"/>
                <w:vAlign w:val="center"/>
              </w:tcPr>
              <w:p w14:paraId="141472E3" w14:textId="77777777" w:rsidR="00E57DAA" w:rsidRDefault="00AC4185">
                <w:pPr>
                  <w:ind w:firstLineChars="200" w:firstLine="420"/>
                  <w:jc w:val="right"/>
                  <w:rPr>
                    <w:szCs w:val="21"/>
                  </w:rPr>
                </w:pPr>
                <w:r>
                  <w:rPr>
                    <w:szCs w:val="21"/>
                  </w:rPr>
                  <w:t>2,164,423,680.00</w:t>
                </w:r>
              </w:p>
            </w:tc>
            <w:tc>
              <w:tcPr>
                <w:tcW w:w="1470" w:type="pct"/>
                <w:shd w:val="clear" w:color="auto" w:fill="auto"/>
                <w:vAlign w:val="center"/>
              </w:tcPr>
              <w:p w14:paraId="6F881859" w14:textId="77777777" w:rsidR="00E57DAA" w:rsidRDefault="00AC4185">
                <w:pPr>
                  <w:ind w:firstLineChars="200" w:firstLine="420"/>
                  <w:jc w:val="right"/>
                  <w:rPr>
                    <w:szCs w:val="21"/>
                  </w:rPr>
                </w:pPr>
                <w:r>
                  <w:rPr>
                    <w:szCs w:val="21"/>
                  </w:rPr>
                  <w:t>367,200,000.00</w:t>
                </w:r>
              </w:p>
            </w:tc>
          </w:tr>
          <w:tr w:rsidR="00E57DAA" w14:paraId="2D958993" w14:textId="77777777">
            <w:trPr>
              <w:trHeight w:val="340"/>
            </w:trPr>
            <w:tc>
              <w:tcPr>
                <w:tcW w:w="2060" w:type="pct"/>
                <w:vAlign w:val="center"/>
              </w:tcPr>
              <w:p w14:paraId="4D602E3E" w14:textId="77777777" w:rsidR="00E57DAA" w:rsidRDefault="00AC4185">
                <w:pPr>
                  <w:ind w:firstLineChars="200" w:firstLine="420"/>
                  <w:rPr>
                    <w:i/>
                    <w:szCs w:val="21"/>
                  </w:rPr>
                </w:pPr>
                <w:r>
                  <w:rPr>
                    <w:szCs w:val="21"/>
                  </w:rPr>
                  <w:t>应付</w:t>
                </w:r>
                <w:r>
                  <w:rPr>
                    <w:rFonts w:hint="eastAsia"/>
                    <w:szCs w:val="21"/>
                  </w:rPr>
                  <w:t>账</w:t>
                </w:r>
                <w:r>
                  <w:rPr>
                    <w:szCs w:val="21"/>
                  </w:rPr>
                  <w:t>款</w:t>
                </w:r>
                <w:r>
                  <w:rPr>
                    <w:rFonts w:hint="eastAsia"/>
                    <w:szCs w:val="21"/>
                  </w:rPr>
                  <w:t>—美元</w:t>
                </w:r>
              </w:p>
            </w:tc>
            <w:tc>
              <w:tcPr>
                <w:tcW w:w="1470" w:type="pct"/>
                <w:vAlign w:val="center"/>
              </w:tcPr>
              <w:p w14:paraId="7DDAD317" w14:textId="77777777" w:rsidR="00E57DAA" w:rsidRDefault="00AC4185">
                <w:pPr>
                  <w:ind w:firstLineChars="200" w:firstLine="420"/>
                  <w:jc w:val="right"/>
                  <w:rPr>
                    <w:szCs w:val="21"/>
                  </w:rPr>
                </w:pPr>
                <w:r>
                  <w:rPr>
                    <w:szCs w:val="21"/>
                  </w:rPr>
                  <w:t>24,937,668.91</w:t>
                </w:r>
              </w:p>
            </w:tc>
            <w:tc>
              <w:tcPr>
                <w:tcW w:w="1470" w:type="pct"/>
                <w:vAlign w:val="center"/>
              </w:tcPr>
              <w:p w14:paraId="4EE12000" w14:textId="77777777" w:rsidR="00E57DAA" w:rsidRDefault="00AC4185">
                <w:pPr>
                  <w:ind w:firstLineChars="200" w:firstLine="420"/>
                  <w:jc w:val="right"/>
                  <w:rPr>
                    <w:szCs w:val="21"/>
                  </w:rPr>
                </w:pPr>
                <w:r>
                  <w:rPr>
                    <w:szCs w:val="21"/>
                  </w:rPr>
                  <w:t>14,424,968.39</w:t>
                </w:r>
              </w:p>
            </w:tc>
          </w:tr>
          <w:tr w:rsidR="00E57DAA" w14:paraId="39B2F3B7" w14:textId="77777777">
            <w:trPr>
              <w:trHeight w:val="340"/>
            </w:trPr>
            <w:tc>
              <w:tcPr>
                <w:tcW w:w="2060" w:type="pct"/>
                <w:vAlign w:val="center"/>
              </w:tcPr>
              <w:p w14:paraId="5CCBA39E" w14:textId="77777777" w:rsidR="00E57DAA" w:rsidRDefault="00AC4185">
                <w:pPr>
                  <w:ind w:firstLineChars="200" w:firstLine="420"/>
                  <w:rPr>
                    <w:i/>
                    <w:szCs w:val="21"/>
                  </w:rPr>
                </w:pPr>
                <w:r>
                  <w:rPr>
                    <w:szCs w:val="21"/>
                  </w:rPr>
                  <w:t>应付</w:t>
                </w:r>
                <w:r>
                  <w:rPr>
                    <w:rFonts w:hint="eastAsia"/>
                    <w:szCs w:val="21"/>
                  </w:rPr>
                  <w:t>账</w:t>
                </w:r>
                <w:r>
                  <w:rPr>
                    <w:szCs w:val="21"/>
                  </w:rPr>
                  <w:t>款</w:t>
                </w:r>
                <w:r>
                  <w:rPr>
                    <w:rFonts w:hint="eastAsia"/>
                    <w:szCs w:val="21"/>
                  </w:rPr>
                  <w:t>—</w:t>
                </w:r>
                <w:r>
                  <w:rPr>
                    <w:szCs w:val="21"/>
                  </w:rPr>
                  <w:t>欧元</w:t>
                </w:r>
              </w:p>
            </w:tc>
            <w:tc>
              <w:tcPr>
                <w:tcW w:w="1470" w:type="pct"/>
                <w:vAlign w:val="center"/>
              </w:tcPr>
              <w:p w14:paraId="0B50CEBA" w14:textId="77777777" w:rsidR="00E57DAA" w:rsidRDefault="00AC4185">
                <w:pPr>
                  <w:ind w:firstLineChars="200" w:firstLine="420"/>
                  <w:jc w:val="right"/>
                  <w:rPr>
                    <w:szCs w:val="21"/>
                  </w:rPr>
                </w:pPr>
                <w:r>
                  <w:rPr>
                    <w:szCs w:val="21"/>
                  </w:rPr>
                  <w:t>329,428,437.71</w:t>
                </w:r>
              </w:p>
            </w:tc>
            <w:tc>
              <w:tcPr>
                <w:tcW w:w="1470" w:type="pct"/>
                <w:vAlign w:val="center"/>
              </w:tcPr>
              <w:p w14:paraId="36175F62" w14:textId="77777777" w:rsidR="00E57DAA" w:rsidRDefault="00AC4185">
                <w:pPr>
                  <w:ind w:firstLineChars="200" w:firstLine="420"/>
                  <w:jc w:val="right"/>
                  <w:rPr>
                    <w:szCs w:val="21"/>
                  </w:rPr>
                </w:pPr>
                <w:r>
                  <w:rPr>
                    <w:szCs w:val="21"/>
                  </w:rPr>
                  <w:t>42,971,635.87</w:t>
                </w:r>
              </w:p>
            </w:tc>
          </w:tr>
          <w:tr w:rsidR="00E57DAA" w14:paraId="18CD4E30" w14:textId="77777777">
            <w:trPr>
              <w:trHeight w:val="340"/>
            </w:trPr>
            <w:tc>
              <w:tcPr>
                <w:tcW w:w="2060" w:type="pct"/>
                <w:vAlign w:val="center"/>
              </w:tcPr>
              <w:p w14:paraId="213C8767" w14:textId="77777777" w:rsidR="00E57DAA" w:rsidRDefault="00AC4185">
                <w:pPr>
                  <w:ind w:firstLineChars="200" w:firstLine="420"/>
                  <w:rPr>
                    <w:szCs w:val="21"/>
                  </w:rPr>
                </w:pPr>
                <w:r>
                  <w:rPr>
                    <w:szCs w:val="21"/>
                  </w:rPr>
                  <w:t>应付</w:t>
                </w:r>
                <w:r>
                  <w:rPr>
                    <w:rFonts w:hint="eastAsia"/>
                    <w:szCs w:val="21"/>
                  </w:rPr>
                  <w:t>账</w:t>
                </w:r>
                <w:r>
                  <w:rPr>
                    <w:szCs w:val="21"/>
                  </w:rPr>
                  <w:t>款</w:t>
                </w:r>
                <w:r>
                  <w:rPr>
                    <w:rFonts w:hint="eastAsia"/>
                    <w:szCs w:val="21"/>
                  </w:rPr>
                  <w:t>—尼日利亚奈拉</w:t>
                </w:r>
              </w:p>
            </w:tc>
            <w:tc>
              <w:tcPr>
                <w:tcW w:w="1470" w:type="pct"/>
                <w:vAlign w:val="center"/>
              </w:tcPr>
              <w:p w14:paraId="2A233EAE" w14:textId="77777777" w:rsidR="00E57DAA" w:rsidRDefault="00AC4185">
                <w:pPr>
                  <w:ind w:firstLineChars="200" w:firstLine="420"/>
                  <w:jc w:val="right"/>
                  <w:rPr>
                    <w:szCs w:val="21"/>
                  </w:rPr>
                </w:pPr>
                <w:r>
                  <w:rPr>
                    <w:szCs w:val="21"/>
                  </w:rPr>
                  <w:t>3,482,751.79</w:t>
                </w:r>
              </w:p>
            </w:tc>
            <w:tc>
              <w:tcPr>
                <w:tcW w:w="1470" w:type="pct"/>
                <w:vAlign w:val="center"/>
              </w:tcPr>
              <w:p w14:paraId="25285EE5" w14:textId="77777777" w:rsidR="00E57DAA" w:rsidRDefault="00AC4185">
                <w:pPr>
                  <w:ind w:firstLineChars="200" w:firstLine="420"/>
                  <w:jc w:val="right"/>
                  <w:rPr>
                    <w:szCs w:val="21"/>
                  </w:rPr>
                </w:pPr>
                <w:r>
                  <w:rPr>
                    <w:szCs w:val="21"/>
                  </w:rPr>
                  <w:t>5,590,749.44</w:t>
                </w:r>
              </w:p>
            </w:tc>
          </w:tr>
          <w:tr w:rsidR="00E57DAA" w14:paraId="64ADB635" w14:textId="77777777">
            <w:trPr>
              <w:trHeight w:val="340"/>
            </w:trPr>
            <w:tc>
              <w:tcPr>
                <w:tcW w:w="2060" w:type="pct"/>
                <w:vAlign w:val="center"/>
              </w:tcPr>
              <w:p w14:paraId="173D367F" w14:textId="77777777" w:rsidR="00E57DAA" w:rsidRDefault="00AC4185">
                <w:pPr>
                  <w:ind w:firstLineChars="200" w:firstLine="420"/>
                  <w:rPr>
                    <w:szCs w:val="21"/>
                  </w:rPr>
                </w:pPr>
                <w:r>
                  <w:rPr>
                    <w:rFonts w:hint="eastAsia"/>
                    <w:szCs w:val="21"/>
                  </w:rPr>
                  <w:t>应付账款—埃镑</w:t>
                </w:r>
              </w:p>
            </w:tc>
            <w:tc>
              <w:tcPr>
                <w:tcW w:w="1470" w:type="pct"/>
                <w:vAlign w:val="center"/>
              </w:tcPr>
              <w:p w14:paraId="22605C50" w14:textId="77777777" w:rsidR="00E57DAA" w:rsidRDefault="00AC4185">
                <w:pPr>
                  <w:ind w:firstLineChars="200" w:firstLine="420"/>
                  <w:jc w:val="right"/>
                  <w:rPr>
                    <w:szCs w:val="21"/>
                  </w:rPr>
                </w:pPr>
                <w:r>
                  <w:rPr>
                    <w:szCs w:val="21"/>
                  </w:rPr>
                  <w:t>2,774,129.87</w:t>
                </w:r>
              </w:p>
            </w:tc>
            <w:tc>
              <w:tcPr>
                <w:tcW w:w="1470" w:type="pct"/>
                <w:vAlign w:val="center"/>
              </w:tcPr>
              <w:p w14:paraId="65C2290D" w14:textId="77777777" w:rsidR="00E57DAA" w:rsidRDefault="00AC4185">
                <w:pPr>
                  <w:ind w:firstLineChars="200" w:firstLine="420"/>
                  <w:jc w:val="right"/>
                  <w:rPr>
                    <w:szCs w:val="21"/>
                  </w:rPr>
                </w:pPr>
                <w:r>
                  <w:rPr>
                    <w:szCs w:val="21"/>
                  </w:rPr>
                  <w:t>205,643.25</w:t>
                </w:r>
              </w:p>
            </w:tc>
          </w:tr>
          <w:tr w:rsidR="00E57DAA" w14:paraId="498A3E02" w14:textId="77777777">
            <w:trPr>
              <w:trHeight w:val="340"/>
            </w:trPr>
            <w:tc>
              <w:tcPr>
                <w:tcW w:w="2060" w:type="pct"/>
                <w:vAlign w:val="center"/>
              </w:tcPr>
              <w:p w14:paraId="7733EAF7" w14:textId="77777777" w:rsidR="00E57DAA" w:rsidRDefault="00AC4185">
                <w:pPr>
                  <w:ind w:firstLineChars="200" w:firstLine="420"/>
                  <w:rPr>
                    <w:i/>
                    <w:szCs w:val="21"/>
                  </w:rPr>
                </w:pPr>
                <w:r>
                  <w:rPr>
                    <w:szCs w:val="21"/>
                  </w:rPr>
                  <w:t>其他应付款</w:t>
                </w:r>
                <w:r>
                  <w:rPr>
                    <w:rFonts w:hint="eastAsia"/>
                    <w:szCs w:val="21"/>
                  </w:rPr>
                  <w:t>—美元</w:t>
                </w:r>
              </w:p>
            </w:tc>
            <w:tc>
              <w:tcPr>
                <w:tcW w:w="1470" w:type="pct"/>
                <w:vAlign w:val="center"/>
              </w:tcPr>
              <w:p w14:paraId="1DC9EC29" w14:textId="77777777" w:rsidR="00E57DAA" w:rsidRDefault="00AC4185">
                <w:pPr>
                  <w:ind w:firstLineChars="200" w:firstLine="420"/>
                  <w:jc w:val="right"/>
                  <w:rPr>
                    <w:szCs w:val="21"/>
                  </w:rPr>
                </w:pPr>
                <w:r>
                  <w:rPr>
                    <w:szCs w:val="21"/>
                  </w:rPr>
                  <w:t>13,743,117.70</w:t>
                </w:r>
              </w:p>
            </w:tc>
            <w:tc>
              <w:tcPr>
                <w:tcW w:w="1470" w:type="pct"/>
                <w:vAlign w:val="center"/>
              </w:tcPr>
              <w:p w14:paraId="6675A00F" w14:textId="77777777" w:rsidR="00E57DAA" w:rsidRDefault="00AC4185">
                <w:pPr>
                  <w:ind w:firstLineChars="200" w:firstLine="420"/>
                  <w:jc w:val="right"/>
                  <w:rPr>
                    <w:szCs w:val="21"/>
                  </w:rPr>
                </w:pPr>
                <w:r>
                  <w:rPr>
                    <w:szCs w:val="21"/>
                  </w:rPr>
                  <w:t>1,387,044.04</w:t>
                </w:r>
              </w:p>
            </w:tc>
          </w:tr>
          <w:tr w:rsidR="00E57DAA" w14:paraId="270EDA6F" w14:textId="77777777">
            <w:trPr>
              <w:trHeight w:val="340"/>
            </w:trPr>
            <w:tc>
              <w:tcPr>
                <w:tcW w:w="2060" w:type="pct"/>
                <w:vAlign w:val="center"/>
              </w:tcPr>
              <w:p w14:paraId="5779B568" w14:textId="77777777" w:rsidR="00E57DAA" w:rsidRDefault="00AC4185">
                <w:pPr>
                  <w:ind w:firstLineChars="200" w:firstLine="420"/>
                  <w:rPr>
                    <w:i/>
                    <w:szCs w:val="21"/>
                  </w:rPr>
                </w:pPr>
                <w:r>
                  <w:rPr>
                    <w:szCs w:val="21"/>
                  </w:rPr>
                  <w:t>其他应付款</w:t>
                </w:r>
                <w:r>
                  <w:rPr>
                    <w:rFonts w:hint="eastAsia"/>
                    <w:szCs w:val="21"/>
                  </w:rPr>
                  <w:t>—欧元</w:t>
                </w:r>
              </w:p>
            </w:tc>
            <w:tc>
              <w:tcPr>
                <w:tcW w:w="1470" w:type="pct"/>
                <w:vAlign w:val="center"/>
              </w:tcPr>
              <w:p w14:paraId="73313916" w14:textId="77777777" w:rsidR="00E57DAA" w:rsidRDefault="00AC4185">
                <w:pPr>
                  <w:ind w:firstLineChars="200" w:firstLine="420"/>
                  <w:jc w:val="right"/>
                  <w:rPr>
                    <w:szCs w:val="21"/>
                  </w:rPr>
                </w:pPr>
                <w:r>
                  <w:rPr>
                    <w:szCs w:val="21"/>
                  </w:rPr>
                  <w:t>10,280,759.53</w:t>
                </w:r>
              </w:p>
            </w:tc>
            <w:tc>
              <w:tcPr>
                <w:tcW w:w="1470" w:type="pct"/>
                <w:vAlign w:val="center"/>
              </w:tcPr>
              <w:p w14:paraId="4267E6D2" w14:textId="77777777" w:rsidR="00E57DAA" w:rsidRDefault="00AC4185">
                <w:pPr>
                  <w:ind w:firstLineChars="200" w:firstLine="420"/>
                  <w:jc w:val="right"/>
                  <w:rPr>
                    <w:szCs w:val="21"/>
                  </w:rPr>
                </w:pPr>
                <w:r>
                  <w:rPr>
                    <w:szCs w:val="21"/>
                  </w:rPr>
                  <w:t>1,101,511.10</w:t>
                </w:r>
              </w:p>
            </w:tc>
          </w:tr>
          <w:tr w:rsidR="00E57DAA" w14:paraId="34898078" w14:textId="77777777">
            <w:trPr>
              <w:trHeight w:val="340"/>
            </w:trPr>
            <w:tc>
              <w:tcPr>
                <w:tcW w:w="2060" w:type="pct"/>
                <w:vAlign w:val="center"/>
              </w:tcPr>
              <w:p w14:paraId="7FDEAD7C" w14:textId="77777777" w:rsidR="00E57DAA" w:rsidRDefault="00AC4185">
                <w:pPr>
                  <w:ind w:firstLineChars="200" w:firstLine="420"/>
                  <w:rPr>
                    <w:szCs w:val="21"/>
                  </w:rPr>
                </w:pPr>
                <w:r>
                  <w:rPr>
                    <w:szCs w:val="21"/>
                  </w:rPr>
                  <w:t>其他应付款</w:t>
                </w:r>
                <w:r>
                  <w:rPr>
                    <w:rFonts w:hint="eastAsia"/>
                    <w:szCs w:val="21"/>
                  </w:rPr>
                  <w:t>—尼日利亚奈拉</w:t>
                </w:r>
              </w:p>
            </w:tc>
            <w:tc>
              <w:tcPr>
                <w:tcW w:w="1470" w:type="pct"/>
                <w:vAlign w:val="center"/>
              </w:tcPr>
              <w:p w14:paraId="1CB27419" w14:textId="77777777" w:rsidR="00E57DAA" w:rsidRDefault="00AC4185">
                <w:pPr>
                  <w:ind w:firstLineChars="200" w:firstLine="420"/>
                  <w:jc w:val="right"/>
                  <w:rPr>
                    <w:szCs w:val="21"/>
                  </w:rPr>
                </w:pPr>
                <w:r>
                  <w:rPr>
                    <w:szCs w:val="21"/>
                  </w:rPr>
                  <w:t>27,860,790.46</w:t>
                </w:r>
              </w:p>
            </w:tc>
            <w:tc>
              <w:tcPr>
                <w:tcW w:w="1470" w:type="pct"/>
                <w:vAlign w:val="center"/>
              </w:tcPr>
              <w:p w14:paraId="051C94EA" w14:textId="77777777" w:rsidR="00E57DAA" w:rsidRDefault="00AC4185">
                <w:pPr>
                  <w:ind w:firstLineChars="200" w:firstLine="420"/>
                  <w:jc w:val="right"/>
                  <w:rPr>
                    <w:szCs w:val="21"/>
                  </w:rPr>
                </w:pPr>
                <w:r>
                  <w:rPr>
                    <w:szCs w:val="21"/>
                  </w:rPr>
                  <w:t>67,191,667.73</w:t>
                </w:r>
              </w:p>
            </w:tc>
          </w:tr>
          <w:tr w:rsidR="00E57DAA" w14:paraId="02CC9B74" w14:textId="77777777">
            <w:trPr>
              <w:trHeight w:val="340"/>
            </w:trPr>
            <w:tc>
              <w:tcPr>
                <w:tcW w:w="2060" w:type="pct"/>
                <w:vAlign w:val="center"/>
              </w:tcPr>
              <w:p w14:paraId="1A123C8F" w14:textId="77777777" w:rsidR="00E57DAA" w:rsidRDefault="00AC4185">
                <w:pPr>
                  <w:ind w:firstLineChars="200" w:firstLine="420"/>
                  <w:rPr>
                    <w:szCs w:val="21"/>
                  </w:rPr>
                </w:pPr>
                <w:r>
                  <w:rPr>
                    <w:szCs w:val="21"/>
                  </w:rPr>
                  <w:t>其他应付款</w:t>
                </w:r>
                <w:r>
                  <w:rPr>
                    <w:rFonts w:hint="eastAsia"/>
                    <w:szCs w:val="21"/>
                  </w:rPr>
                  <w:t>—埃镑</w:t>
                </w:r>
              </w:p>
            </w:tc>
            <w:tc>
              <w:tcPr>
                <w:tcW w:w="1470" w:type="pct"/>
                <w:vAlign w:val="center"/>
              </w:tcPr>
              <w:p w14:paraId="48A9FFEF" w14:textId="77777777" w:rsidR="00E57DAA" w:rsidRDefault="00AC4185">
                <w:pPr>
                  <w:ind w:firstLineChars="200" w:firstLine="420"/>
                  <w:jc w:val="right"/>
                  <w:rPr>
                    <w:szCs w:val="21"/>
                  </w:rPr>
                </w:pPr>
                <w:r>
                  <w:rPr>
                    <w:szCs w:val="21"/>
                  </w:rPr>
                  <w:t>112,592,761.59</w:t>
                </w:r>
              </w:p>
            </w:tc>
            <w:tc>
              <w:tcPr>
                <w:tcW w:w="1470" w:type="pct"/>
                <w:vAlign w:val="center"/>
              </w:tcPr>
              <w:p w14:paraId="3CCC4054" w14:textId="77777777" w:rsidR="00E57DAA" w:rsidRDefault="00AC4185">
                <w:pPr>
                  <w:ind w:firstLineChars="200" w:firstLine="420"/>
                  <w:jc w:val="right"/>
                  <w:rPr>
                    <w:szCs w:val="21"/>
                  </w:rPr>
                </w:pPr>
                <w:r>
                  <w:rPr>
                    <w:szCs w:val="21"/>
                  </w:rPr>
                  <w:t>58,223,002.33</w:t>
                </w:r>
              </w:p>
            </w:tc>
          </w:tr>
          <w:tr w:rsidR="00E57DAA" w14:paraId="4F6F8635" w14:textId="77777777">
            <w:trPr>
              <w:trHeight w:val="340"/>
            </w:trPr>
            <w:tc>
              <w:tcPr>
                <w:tcW w:w="2060" w:type="pct"/>
                <w:vAlign w:val="center"/>
              </w:tcPr>
              <w:p w14:paraId="7E7468CF" w14:textId="77777777" w:rsidR="00E57DAA" w:rsidRDefault="00AC4185">
                <w:pPr>
                  <w:ind w:firstLineChars="200" w:firstLine="420"/>
                  <w:rPr>
                    <w:i/>
                    <w:szCs w:val="21"/>
                  </w:rPr>
                </w:pPr>
                <w:r>
                  <w:rPr>
                    <w:rFonts w:hint="eastAsia"/>
                    <w:szCs w:val="21"/>
                  </w:rPr>
                  <w:t>短期借款—</w:t>
                </w:r>
                <w:r>
                  <w:rPr>
                    <w:szCs w:val="21"/>
                  </w:rPr>
                  <w:t>欧</w:t>
                </w:r>
                <w:r>
                  <w:rPr>
                    <w:rFonts w:hint="eastAsia"/>
                    <w:szCs w:val="21"/>
                  </w:rPr>
                  <w:t>元</w:t>
                </w:r>
              </w:p>
            </w:tc>
            <w:tc>
              <w:tcPr>
                <w:tcW w:w="1470" w:type="pct"/>
                <w:vAlign w:val="center"/>
              </w:tcPr>
              <w:p w14:paraId="52E5CBD4" w14:textId="77777777" w:rsidR="00E57DAA" w:rsidRDefault="00AC4185">
                <w:pPr>
                  <w:ind w:firstLineChars="200" w:firstLine="420"/>
                  <w:jc w:val="right"/>
                  <w:rPr>
                    <w:szCs w:val="21"/>
                  </w:rPr>
                </w:pPr>
                <w:r>
                  <w:rPr>
                    <w:szCs w:val="21"/>
                  </w:rPr>
                  <w:t>180,217,111.21</w:t>
                </w:r>
              </w:p>
            </w:tc>
            <w:tc>
              <w:tcPr>
                <w:tcW w:w="1470" w:type="pct"/>
                <w:vAlign w:val="center"/>
              </w:tcPr>
              <w:p w14:paraId="54C973E2" w14:textId="77777777" w:rsidR="00E57DAA" w:rsidRDefault="00AC4185">
                <w:pPr>
                  <w:ind w:firstLineChars="200" w:firstLine="420"/>
                  <w:jc w:val="right"/>
                  <w:rPr>
                    <w:szCs w:val="21"/>
                  </w:rPr>
                </w:pPr>
                <w:r>
                  <w:rPr>
                    <w:szCs w:val="21"/>
                  </w:rPr>
                  <w:t>122,535,369.26</w:t>
                </w:r>
              </w:p>
            </w:tc>
          </w:tr>
          <w:tr w:rsidR="00E57DAA" w14:paraId="47FF833F" w14:textId="77777777">
            <w:trPr>
              <w:trHeight w:val="340"/>
            </w:trPr>
            <w:tc>
              <w:tcPr>
                <w:tcW w:w="2060" w:type="pct"/>
                <w:vAlign w:val="center"/>
              </w:tcPr>
              <w:p w14:paraId="047C88AF" w14:textId="77777777" w:rsidR="00E57DAA" w:rsidRDefault="00AC4185">
                <w:pPr>
                  <w:ind w:firstLineChars="200" w:firstLine="420"/>
                  <w:rPr>
                    <w:i/>
                    <w:szCs w:val="21"/>
                  </w:rPr>
                </w:pPr>
                <w:r>
                  <w:rPr>
                    <w:szCs w:val="21"/>
                  </w:rPr>
                  <w:t>长期借款</w:t>
                </w:r>
                <w:r>
                  <w:rPr>
                    <w:rFonts w:hint="eastAsia"/>
                    <w:szCs w:val="21"/>
                  </w:rPr>
                  <w:t>—</w:t>
                </w:r>
                <w:r>
                  <w:rPr>
                    <w:szCs w:val="21"/>
                  </w:rPr>
                  <w:t>欧元</w:t>
                </w:r>
              </w:p>
            </w:tc>
            <w:tc>
              <w:tcPr>
                <w:tcW w:w="1470" w:type="pct"/>
                <w:vAlign w:val="center"/>
              </w:tcPr>
              <w:p w14:paraId="3894447E" w14:textId="77777777" w:rsidR="00E57DAA" w:rsidRDefault="00AC4185">
                <w:pPr>
                  <w:ind w:firstLineChars="200" w:firstLine="420"/>
                  <w:jc w:val="right"/>
                  <w:rPr>
                    <w:szCs w:val="21"/>
                  </w:rPr>
                </w:pPr>
                <w:r>
                  <w:rPr>
                    <w:szCs w:val="21"/>
                  </w:rPr>
                  <w:t>165,963,112.96</w:t>
                </w:r>
              </w:p>
            </w:tc>
            <w:tc>
              <w:tcPr>
                <w:tcW w:w="1470" w:type="pct"/>
                <w:vAlign w:val="center"/>
              </w:tcPr>
              <w:p w14:paraId="2B1461FA" w14:textId="77777777" w:rsidR="00E57DAA" w:rsidRDefault="00AC4185">
                <w:pPr>
                  <w:ind w:firstLineChars="200" w:firstLine="420"/>
                  <w:jc w:val="right"/>
                  <w:rPr>
                    <w:szCs w:val="21"/>
                  </w:rPr>
                </w:pPr>
                <w:r>
                  <w:rPr>
                    <w:szCs w:val="21"/>
                  </w:rPr>
                  <w:t>89,340,709.12</w:t>
                </w:r>
              </w:p>
            </w:tc>
          </w:tr>
        </w:tbl>
        <w:p w14:paraId="305AD00B" w14:textId="77777777" w:rsidR="00E57DAA" w:rsidRDefault="00AC4185">
          <w:pPr>
            <w:ind w:firstLineChars="200" w:firstLine="420"/>
            <w:rPr>
              <w:bCs/>
              <w:szCs w:val="21"/>
            </w:rPr>
          </w:pPr>
          <w:r>
            <w:rPr>
              <w:rFonts w:hint="eastAsia"/>
              <w:bCs/>
              <w:szCs w:val="21"/>
            </w:rPr>
            <w:t>本公司密切关注汇率变动对本公司的影响。</w:t>
          </w:r>
        </w:p>
        <w:p w14:paraId="26EC0CC4" w14:textId="77777777" w:rsidR="00E57DAA" w:rsidRDefault="00AC4185">
          <w:pPr>
            <w:ind w:firstLineChars="200" w:firstLine="420"/>
            <w:rPr>
              <w:bCs/>
              <w:szCs w:val="21"/>
            </w:rPr>
          </w:pPr>
          <w:r>
            <w:rPr>
              <w:rFonts w:hint="eastAsia"/>
              <w:bCs/>
              <w:szCs w:val="21"/>
            </w:rPr>
            <w:t>本公司已成立外汇管理工作小组对外汇进行统一规划和管理，通过制定财务报表汇兑损益避险方案，有效控制和管理外汇风险敞口。为规避外汇收入和偿还贷款及利息支出的汇率风险，本公司与银行签订连续的滚动式的远期套保合约，反向对冲汇率波动。同时根据项目当地通货膨胀情况以及当地币与美元汇率波动情况，追加汇率补偿条款，将劳动力成本、物价指数、汇率变动率作为补偿参数，与业主建立汇率波动补偿机制。</w:t>
          </w:r>
        </w:p>
        <w:p w14:paraId="48B27BB7" w14:textId="77777777" w:rsidR="00E57DAA" w:rsidRDefault="00AC4185">
          <w:pPr>
            <w:ind w:firstLineChars="200" w:firstLine="420"/>
            <w:rPr>
              <w:bCs/>
              <w:szCs w:val="21"/>
            </w:rPr>
          </w:pPr>
          <w:r>
            <w:rPr>
              <w:rFonts w:hint="eastAsia"/>
              <w:bCs/>
              <w:szCs w:val="21"/>
            </w:rPr>
            <w:t>若发生人民币升值等本公司不可控制的风险时，本公司将通过调整销售政策降低由此带来的风险。</w:t>
          </w:r>
        </w:p>
        <w:p w14:paraId="02410462" w14:textId="77777777" w:rsidR="00E57DAA" w:rsidRDefault="00AC4185">
          <w:pPr>
            <w:ind w:firstLineChars="200" w:firstLine="420"/>
            <w:rPr>
              <w:bCs/>
              <w:szCs w:val="21"/>
            </w:rPr>
          </w:pPr>
          <w:r>
            <w:rPr>
              <w:rFonts w:hint="eastAsia"/>
              <w:bCs/>
              <w:szCs w:val="21"/>
            </w:rPr>
            <w:t>（</w:t>
          </w:r>
          <w:r>
            <w:rPr>
              <w:bCs/>
              <w:szCs w:val="21"/>
            </w:rPr>
            <w:t>2）</w:t>
          </w:r>
          <w:r>
            <w:rPr>
              <w:bCs/>
              <w:szCs w:val="21"/>
            </w:rPr>
            <w:tab/>
            <w:t>利率风险</w:t>
          </w:r>
        </w:p>
        <w:p w14:paraId="1351E278" w14:textId="77777777" w:rsidR="00E57DAA" w:rsidRDefault="00AC4185">
          <w:pPr>
            <w:ind w:firstLineChars="200" w:firstLine="420"/>
            <w:rPr>
              <w:bCs/>
              <w:szCs w:val="21"/>
            </w:rPr>
          </w:pPr>
          <w:r>
            <w:rPr>
              <w:rFonts w:hint="eastAsia"/>
              <w:bCs/>
              <w:szCs w:val="21"/>
            </w:rPr>
            <w:t>本公司的利率风险产生于银行借款等带息债务。浮动利率的金融负债使本公司面临现金流量利率风险，固定利率的金融负债使本公司面临公允价值利率风险。本公司根据对冲活动的经济目的，通过利用利率互换、利率掉期等套期工具，采用套期会计列报财务报表。本公司通过检查被套期项目和套期工具的关键条款，以及在必要时进行量化评估，确定被套期项目与套期工具之间的经济关系。因此，本公司认为被套期项目中被套期的风险与套期工具的内在风险是高度有效的，可以有效的对冲利率风险。</w:t>
          </w:r>
        </w:p>
        <w:p w14:paraId="4769D848" w14:textId="77777777" w:rsidR="00E57DAA" w:rsidRDefault="00AC4185">
          <w:pPr>
            <w:ind w:firstLineChars="200" w:firstLine="420"/>
            <w:rPr>
              <w:bCs/>
              <w:szCs w:val="21"/>
            </w:rPr>
          </w:pPr>
          <w:r>
            <w:rPr>
              <w:rFonts w:hint="eastAsia"/>
              <w:bCs/>
              <w:szCs w:val="21"/>
            </w:rPr>
            <w:t>截至</w:t>
          </w:r>
          <w:r>
            <w:rPr>
              <w:bCs/>
              <w:szCs w:val="21"/>
            </w:rPr>
            <w:t>2023年12月31日，本公司固定利率带息债务545,167.41万元，浮动利率带息债务163,771.16万元。本公司根据当时的市场环境来决定固定利率及浮动利率合同的相对比例。</w:t>
          </w:r>
        </w:p>
        <w:p w14:paraId="429B25F6" w14:textId="77777777" w:rsidR="00E57DAA" w:rsidRDefault="00AC4185">
          <w:pPr>
            <w:ind w:firstLineChars="200" w:firstLine="420"/>
            <w:rPr>
              <w:bCs/>
              <w:szCs w:val="21"/>
            </w:rPr>
          </w:pPr>
          <w:r>
            <w:rPr>
              <w:rFonts w:hint="eastAsia"/>
              <w:bCs/>
              <w:szCs w:val="21"/>
            </w:rPr>
            <w:t>（</w:t>
          </w:r>
          <w:r>
            <w:rPr>
              <w:bCs/>
              <w:szCs w:val="21"/>
            </w:rPr>
            <w:t>3）</w:t>
          </w:r>
          <w:r>
            <w:rPr>
              <w:bCs/>
              <w:szCs w:val="21"/>
            </w:rPr>
            <w:tab/>
            <w:t>价格风险</w:t>
          </w:r>
        </w:p>
        <w:p w14:paraId="550C261B" w14:textId="77777777" w:rsidR="00E57DAA" w:rsidRDefault="00AC4185">
          <w:pPr>
            <w:ind w:firstLineChars="200" w:firstLine="420"/>
            <w:rPr>
              <w:bCs/>
              <w:szCs w:val="21"/>
            </w:rPr>
          </w:pPr>
          <w:r>
            <w:rPr>
              <w:rFonts w:hint="eastAsia"/>
              <w:bCs/>
              <w:szCs w:val="21"/>
            </w:rPr>
            <w:t>本公司以市场价格采购材料，因此受到此等原材料价格波动的影响，原材料尤其以钢材、混凝土价格波动影响最为显著。</w:t>
          </w:r>
        </w:p>
        <w:p w14:paraId="4E1ECE8C" w14:textId="77777777" w:rsidR="00E57DAA" w:rsidRDefault="00AC4185">
          <w:pPr>
            <w:ind w:firstLineChars="200" w:firstLine="420"/>
            <w:rPr>
              <w:b/>
              <w:szCs w:val="21"/>
            </w:rPr>
          </w:pPr>
          <w:r>
            <w:rPr>
              <w:rFonts w:hint="eastAsia"/>
              <w:bCs/>
              <w:szCs w:val="21"/>
            </w:rPr>
            <w:t>另外，本公司在资产负债表中被分类为交易性金融资产的股票投资为国内</w:t>
          </w:r>
          <w:r>
            <w:rPr>
              <w:bCs/>
              <w:szCs w:val="21"/>
            </w:rPr>
            <w:t>A股上市股票，因此本公司承受权益证券的市场价格风险。</w:t>
          </w:r>
        </w:p>
      </w:sdtContent>
    </w:sdt>
    <w:p w14:paraId="0EE6AA8D" w14:textId="77777777" w:rsidR="00E57DAA" w:rsidRDefault="00E57DAA" w:rsidP="00C25422">
      <w:pPr>
        <w:pStyle w:val="92"/>
      </w:pPr>
    </w:p>
    <w:p w14:paraId="4229A6F5" w14:textId="77777777" w:rsidR="00E57DAA" w:rsidRDefault="00AC4185" w:rsidP="00C25422">
      <w:pPr>
        <w:pStyle w:val="91"/>
        <w:numPr>
          <w:ilvl w:val="0"/>
          <w:numId w:val="117"/>
        </w:numPr>
      </w:pPr>
      <w:r>
        <w:rPr>
          <w:rFonts w:hint="eastAsia"/>
        </w:rPr>
        <w:t>套期</w:t>
      </w:r>
    </w:p>
    <w:p w14:paraId="52F6E6A2" w14:textId="77777777" w:rsidR="00E57DAA" w:rsidRDefault="00AC4185">
      <w:pPr>
        <w:pStyle w:val="4"/>
        <w:numPr>
          <w:ilvl w:val="0"/>
          <w:numId w:val="118"/>
        </w:numPr>
        <w:ind w:left="0" w:firstLine="0"/>
      </w:pPr>
      <w:r>
        <w:rPr>
          <w:rFonts w:hint="eastAsia"/>
        </w:rPr>
        <w:t>公司开展套期业务进行风险管理</w:t>
      </w:r>
    </w:p>
    <w:sdt>
      <w:sdtPr>
        <w:alias w:val="是否适用：公司开展套期业务进行风险管理情况[双击切换]"/>
        <w:tag w:val="_GBC_71d11701ff3e412981460bc27e88a1b5"/>
        <w:id w:val="-74063403"/>
        <w:placeholder>
          <w:docPart w:val="GBC22222222222222222222222222222"/>
        </w:placeholder>
      </w:sdtPr>
      <w:sdtEndPr/>
      <w:sdtContent>
        <w:p w14:paraId="64FAC8B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F2011A" w14:textId="77777777" w:rsidR="00E57DAA" w:rsidRDefault="00E57DAA" w:rsidP="00C25422">
      <w:pPr>
        <w:pStyle w:val="92"/>
      </w:pPr>
    </w:p>
    <w:p w14:paraId="7620EAE7" w14:textId="77777777" w:rsidR="00E57DAA" w:rsidRDefault="00AC4185" w:rsidP="00C25422">
      <w:pPr>
        <w:pStyle w:val="92"/>
      </w:pPr>
      <w:r>
        <w:rPr>
          <w:rFonts w:hint="eastAsia"/>
        </w:rPr>
        <w:lastRenderedPageBreak/>
        <w:t>其他说明</w:t>
      </w:r>
    </w:p>
    <w:sdt>
      <w:sdtPr>
        <w:alias w:val="是否适用：公司开展套期业务进行风险管理的其他说明[双击切换]"/>
        <w:tag w:val="_GBC_bc39ee99cbfc4e469ac321509f461420"/>
        <w:id w:val="468712187"/>
        <w:placeholder>
          <w:docPart w:val="GBC22222222222222222222222222222"/>
        </w:placeholder>
      </w:sdtPr>
      <w:sdtEndPr/>
      <w:sdtContent>
        <w:p w14:paraId="67E0A36A"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EA1152" w14:textId="77777777" w:rsidR="00E57DAA" w:rsidRDefault="00E57DAA">
      <w:pPr>
        <w:rPr>
          <w:color w:val="808080"/>
          <w:szCs w:val="21"/>
        </w:rPr>
      </w:pPr>
    </w:p>
    <w:p w14:paraId="41A73B46" w14:textId="77777777" w:rsidR="00E57DAA" w:rsidRDefault="00AC4185">
      <w:pPr>
        <w:pStyle w:val="4"/>
        <w:numPr>
          <w:ilvl w:val="0"/>
          <w:numId w:val="118"/>
        </w:numPr>
        <w:ind w:left="0" w:firstLine="0"/>
      </w:pPr>
      <w:r>
        <w:rPr>
          <w:rFonts w:hint="eastAsia"/>
        </w:rPr>
        <w:t>公司开展符合条件套期业务并应用套期会计</w:t>
      </w:r>
    </w:p>
    <w:sdt>
      <w:sdtPr>
        <w:alias w:val="是否适用：公司开展符合条件套期业务并应用套期会计情况[双击切换]"/>
        <w:tag w:val="_GBC_346f997d46464bdda5750bdd43495d02"/>
        <w:id w:val="-427360487"/>
        <w:placeholder>
          <w:docPart w:val="GBC22222222222222222222222222222"/>
        </w:placeholder>
      </w:sdtPr>
      <w:sdtEndPr/>
      <w:sdtContent>
        <w:p w14:paraId="4799C70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74D571" w14:textId="77777777" w:rsidR="00E57DAA" w:rsidRDefault="00E57DAA">
      <w:pPr>
        <w:rPr>
          <w:color w:val="808080"/>
          <w:szCs w:val="21"/>
        </w:rPr>
      </w:pPr>
    </w:p>
    <w:p w14:paraId="2A2D4CF5" w14:textId="77777777" w:rsidR="00E57DAA" w:rsidRDefault="00AC4185" w:rsidP="00C25422">
      <w:pPr>
        <w:pStyle w:val="92"/>
      </w:pPr>
      <w:r>
        <w:rPr>
          <w:rFonts w:hint="eastAsia"/>
        </w:rPr>
        <w:t>其他说明</w:t>
      </w:r>
    </w:p>
    <w:sdt>
      <w:sdtPr>
        <w:alias w:val="是否适用：公司开展符合条件套期业务并应用套期会计情况的其他说明[双击切换]"/>
        <w:tag w:val="_GBC_7f3675a931be4fe0b3ba0ed19f75108a"/>
        <w:id w:val="-838230145"/>
        <w:placeholder>
          <w:docPart w:val="GBC22222222222222222222222222222"/>
        </w:placeholder>
      </w:sdtPr>
      <w:sdtEndPr/>
      <w:sdtContent>
        <w:p w14:paraId="26EE250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0"/>
        </w:rPr>
        <w:alias w:val="公司开展符合条件套期业务并应用套期会计情况的其他说明"/>
        <w:tag w:val="_GBC_864dc84c1fc140579c05e381fa72acf3"/>
        <w:id w:val="689952815"/>
        <w:placeholder>
          <w:docPart w:val="GBC22222222222222222222222222222"/>
        </w:placeholder>
      </w:sdtPr>
      <w:sdtEndPr/>
      <w:sdtContent>
        <w:p w14:paraId="19103998" w14:textId="77777777" w:rsidR="00E57DAA" w:rsidRDefault="00AC4185">
          <w:pPr>
            <w:ind w:firstLineChars="200" w:firstLine="400"/>
          </w:pPr>
          <w:r>
            <w:rPr>
              <w:rFonts w:hint="eastAsia"/>
            </w:rPr>
            <w:t>本公司将远期外汇合约指定对外币销售的欧元、美元兑人民币的外汇风险进行现金流量套</w:t>
          </w:r>
          <w:r>
            <w:t xml:space="preserve"> 期，于2023 年12月 31日，该等衍生金融负债公允价值为人民币46,418,000.00元。 </w:t>
          </w:r>
        </w:p>
        <w:p w14:paraId="1E7E35D7" w14:textId="77777777" w:rsidR="00E57DAA" w:rsidRDefault="00AC4185" w:rsidP="00C25422">
          <w:pPr>
            <w:pStyle w:val="92"/>
          </w:pPr>
          <w:r>
            <w:rPr>
              <w:rFonts w:hint="eastAsia"/>
            </w:rPr>
            <w:t>本公司将利率掉期指定对欧元借款利率波动风险进行现金流量套期，于</w:t>
          </w:r>
          <w:r>
            <w:t>2023年12月31日， 该等衍生金融资产公允价值为人民币8,618,204.69元。</w:t>
          </w:r>
        </w:p>
      </w:sdtContent>
    </w:sdt>
    <w:p w14:paraId="6AE446BB" w14:textId="77777777" w:rsidR="00E57DAA" w:rsidRDefault="00E57DAA">
      <w:pPr>
        <w:rPr>
          <w:color w:val="808080"/>
          <w:szCs w:val="21"/>
        </w:rPr>
      </w:pPr>
    </w:p>
    <w:p w14:paraId="527A54AA" w14:textId="77777777" w:rsidR="00E57DAA" w:rsidRDefault="00AC4185">
      <w:pPr>
        <w:pStyle w:val="4"/>
        <w:numPr>
          <w:ilvl w:val="0"/>
          <w:numId w:val="118"/>
        </w:numPr>
        <w:ind w:left="0" w:firstLine="0"/>
      </w:pPr>
      <w:r>
        <w:rPr>
          <w:rFonts w:hint="eastAsia"/>
        </w:rPr>
        <w:t>公司开展套期业务进行风险管理、预期能实现风险管理目标但未应用套期会计</w:t>
      </w:r>
    </w:p>
    <w:sdt>
      <w:sdtPr>
        <w:alias w:val="是否适用：公司开展套期业务进行风险管理、预期能实现风险管理目标但未应用套期会计[双击切换]"/>
        <w:tag w:val="_GBC_a8e3b34e51d64b48bca9359ee5d1c683"/>
        <w:id w:val="-549929021"/>
        <w:placeholder>
          <w:docPart w:val="GBC22222222222222222222222222222"/>
        </w:placeholder>
      </w:sdtPr>
      <w:sdtEndPr/>
      <w:sdtContent>
        <w:p w14:paraId="3A0EEAC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51B925" w14:textId="77777777" w:rsidR="00E57DAA" w:rsidRDefault="00E57DAA" w:rsidP="00C25422">
      <w:pPr>
        <w:pStyle w:val="92"/>
      </w:pPr>
    </w:p>
    <w:p w14:paraId="7F38AD02" w14:textId="77777777" w:rsidR="00E57DAA" w:rsidRDefault="00AC4185" w:rsidP="00C25422">
      <w:pPr>
        <w:pStyle w:val="92"/>
      </w:pPr>
      <w:r>
        <w:rPr>
          <w:rFonts w:hint="eastAsia"/>
        </w:rPr>
        <w:t>其他说明</w:t>
      </w:r>
    </w:p>
    <w:sdt>
      <w:sdtPr>
        <w:alias w:val="是否适用：公司开展套期业务进行风险管理、预期能实现风险管理目标但未应用套期会计的其他说明[双击切换]"/>
        <w:tag w:val="_GBC_7e60464ee1bf40b8b1d2fa0c0e7df1e4"/>
        <w:id w:val="-152764430"/>
        <w:placeholder>
          <w:docPart w:val="GBC22222222222222222222222222222"/>
        </w:placeholder>
      </w:sdtPr>
      <w:sdtEndPr/>
      <w:sdtContent>
        <w:p w14:paraId="3C522D7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A84012" w14:textId="77777777" w:rsidR="00E57DAA" w:rsidRDefault="00E57DAA">
      <w:pPr>
        <w:rPr>
          <w:color w:val="808080"/>
          <w:szCs w:val="21"/>
        </w:rPr>
      </w:pPr>
    </w:p>
    <w:p w14:paraId="4CAED1B3" w14:textId="77777777" w:rsidR="00E57DAA" w:rsidRDefault="00AC4185" w:rsidP="00C25422">
      <w:pPr>
        <w:pStyle w:val="91"/>
        <w:numPr>
          <w:ilvl w:val="0"/>
          <w:numId w:val="117"/>
        </w:numPr>
      </w:pPr>
      <w:r>
        <w:rPr>
          <w:rFonts w:hint="eastAsia"/>
        </w:rPr>
        <w:t>金融资产转移</w:t>
      </w:r>
    </w:p>
    <w:p w14:paraId="69AF8DBA" w14:textId="77777777" w:rsidR="00E57DAA" w:rsidRDefault="00AC4185">
      <w:pPr>
        <w:pStyle w:val="4"/>
        <w:numPr>
          <w:ilvl w:val="0"/>
          <w:numId w:val="119"/>
        </w:numPr>
        <w:ind w:left="425" w:hanging="425"/>
      </w:pPr>
      <w:r>
        <w:rPr>
          <w:rFonts w:hint="eastAsia"/>
        </w:rPr>
        <w:t>转移方式分类</w:t>
      </w:r>
    </w:p>
    <w:bookmarkStart w:id="313" w:name="_Hlk153550670" w:displacedByCustomXml="next"/>
    <w:sdt>
      <w:sdtPr>
        <w:alias w:val="是否适用：转移方式分类[双击切换]"/>
        <w:tag w:val="_GBC_ff6f967e629c4a6b934da2a3f33a107d"/>
        <w:id w:val="1201677615"/>
        <w:placeholder>
          <w:docPart w:val="GBC22222222222222222222222222222"/>
        </w:placeholder>
      </w:sdtPr>
      <w:sdtEndPr/>
      <w:sdtContent>
        <w:p w14:paraId="0EDD004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3"/>
    <w:p w14:paraId="4F603FE4" w14:textId="77777777" w:rsidR="00E57DAA" w:rsidRDefault="00E57DAA">
      <w:pPr>
        <w:rPr>
          <w:color w:val="808080"/>
          <w:szCs w:val="21"/>
        </w:rPr>
      </w:pPr>
    </w:p>
    <w:p w14:paraId="3A7FEC17" w14:textId="77777777" w:rsidR="00E57DAA" w:rsidRDefault="00AC4185">
      <w:pPr>
        <w:pStyle w:val="4"/>
        <w:numPr>
          <w:ilvl w:val="0"/>
          <w:numId w:val="119"/>
        </w:numPr>
        <w:ind w:left="425" w:hanging="425"/>
      </w:pPr>
      <w:r>
        <w:rPr>
          <w:rFonts w:hint="eastAsia"/>
        </w:rPr>
        <w:t>因转移而终止确认的金融资产</w:t>
      </w:r>
    </w:p>
    <w:sdt>
      <w:sdtPr>
        <w:rPr>
          <w:rFonts w:hint="eastAsia"/>
        </w:rPr>
        <w:alias w:val="是否适用：因转移而终止确认的金融资产[双击切换]"/>
        <w:tag w:val="_GBC_9fb1347e32aa4376959cf58d1383255a"/>
        <w:id w:val="-1188750140"/>
        <w:placeholder>
          <w:docPart w:val="GBC22222222222222222222222222222"/>
        </w:placeholder>
      </w:sdtPr>
      <w:sdtEndPr/>
      <w:sdtContent>
        <w:p w14:paraId="5890F52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1A18AF" w14:textId="77777777" w:rsidR="00E57DAA" w:rsidRDefault="00E57DAA">
      <w:pPr>
        <w:rPr>
          <w:color w:val="808080"/>
          <w:szCs w:val="21"/>
        </w:rPr>
      </w:pPr>
    </w:p>
    <w:p w14:paraId="2031D5E8" w14:textId="77777777" w:rsidR="00E57DAA" w:rsidRDefault="00AC4185">
      <w:pPr>
        <w:pStyle w:val="4"/>
        <w:numPr>
          <w:ilvl w:val="0"/>
          <w:numId w:val="119"/>
        </w:numPr>
        <w:ind w:left="425" w:hanging="425"/>
      </w:pPr>
      <w:r>
        <w:rPr>
          <w:rFonts w:hint="eastAsia"/>
        </w:rPr>
        <w:t>继续涉入的转移金融资产</w:t>
      </w:r>
    </w:p>
    <w:sdt>
      <w:sdtPr>
        <w:alias w:val="是否适用：继续涉入的转移金融资产[双击切换]"/>
        <w:tag w:val="_GBC_b604f7fddde64fe6935f4995b9a88a21"/>
        <w:id w:val="-678351677"/>
        <w:placeholder>
          <w:docPart w:val="GBC22222222222222222222222222222"/>
        </w:placeholder>
      </w:sdtPr>
      <w:sdtEndPr/>
      <w:sdtContent>
        <w:p w14:paraId="32E7E11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B26DCC" w14:textId="77777777" w:rsidR="00E57DAA" w:rsidRDefault="00E57DAA">
      <w:pPr>
        <w:rPr>
          <w:color w:val="808080"/>
          <w:szCs w:val="21"/>
        </w:rPr>
      </w:pPr>
    </w:p>
    <w:p w14:paraId="4C2AE10F" w14:textId="77777777" w:rsidR="00E57DAA" w:rsidRDefault="00AC4185" w:rsidP="00C25422">
      <w:pPr>
        <w:pStyle w:val="92"/>
      </w:pPr>
      <w:r>
        <w:rPr>
          <w:rFonts w:hint="eastAsia"/>
        </w:rPr>
        <w:t>其他说明</w:t>
      </w:r>
    </w:p>
    <w:sdt>
      <w:sdtPr>
        <w:alias w:val="是否适用：金融资产转移其他说明[双击切换]"/>
        <w:tag w:val="_GBC_205480d73c8a413b9678dd4798b26763"/>
        <w:id w:val="-1828665333"/>
        <w:placeholder>
          <w:docPart w:val="GBC22222222222222222222222222222"/>
        </w:placeholder>
      </w:sdtPr>
      <w:sdtEndPr/>
      <w:sdtContent>
        <w:p w14:paraId="2408CDE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CFB50B" w14:textId="77777777" w:rsidR="00E57DAA" w:rsidRDefault="00E57DAA">
      <w:pPr>
        <w:rPr>
          <w:color w:val="808080"/>
          <w:szCs w:val="21"/>
        </w:rPr>
      </w:pPr>
    </w:p>
    <w:p w14:paraId="3B611B39" w14:textId="77777777" w:rsidR="00E57DAA" w:rsidRDefault="00AC4185" w:rsidP="00C25422">
      <w:pPr>
        <w:pStyle w:val="2CharCharChar1"/>
        <w:numPr>
          <w:ilvl w:val="0"/>
          <w:numId w:val="58"/>
        </w:numPr>
      </w:pPr>
      <w:r>
        <w:rPr>
          <w:rFonts w:hint="eastAsia"/>
        </w:rPr>
        <w:t>公允价值的披露</w:t>
      </w:r>
      <w:bookmarkStart w:id="314" w:name="_Hlk10539195"/>
    </w:p>
    <w:p w14:paraId="175E2457" w14:textId="77777777" w:rsidR="00E57DAA" w:rsidRDefault="00AC4185" w:rsidP="00C25422">
      <w:pPr>
        <w:pStyle w:val="91"/>
        <w:numPr>
          <w:ilvl w:val="0"/>
          <w:numId w:val="120"/>
        </w:numPr>
      </w:pPr>
      <w:r>
        <w:rPr>
          <w:rFonts w:hint="eastAsia"/>
        </w:rPr>
        <w:t>以公允价值计量的资产和负债的期末公允价值</w:t>
      </w:r>
    </w:p>
    <w:bookmarkStart w:id="315" w:name="_Hlk24030209" w:displacedByCustomXml="next"/>
    <w:sdt>
      <w:sdtPr>
        <w:alias w:val="是否适用：以公允价值计量的资产和负债的期末公允价值[双击切换]"/>
        <w:tag w:val="_GBC_6fbb4bafbfc548fdbb4a25b91f07bd6a"/>
        <w:id w:val="-1298980419"/>
        <w:placeholder>
          <w:docPart w:val="GBC22222222222222222222222222222"/>
        </w:placeholder>
      </w:sdtPr>
      <w:sdtEndPr/>
      <w:sdtContent>
        <w:p w14:paraId="11A4D940"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2F3633" w14:textId="77777777" w:rsidR="00E57DAA" w:rsidRDefault="00AC4185">
      <w:pPr>
        <w:jc w:val="right"/>
      </w:pPr>
      <w:r>
        <w:rPr>
          <w:rFonts w:hint="eastAsia"/>
        </w:rPr>
        <w:t>单位:</w:t>
      </w:r>
      <w:sdt>
        <w:sdtPr>
          <w:rPr>
            <w:rFonts w:hint="eastAsia"/>
          </w:rPr>
          <w:alias w:val="单位：财务附注：以公允价值计量的资产和负债的期末公允价值"/>
          <w:tag w:val="_GBC_2c45ed0b719e4292b6389023b9ce1031"/>
          <w:id w:val="-19134598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3351190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581"/>
        <w:gridCol w:w="1581"/>
        <w:gridCol w:w="1896"/>
        <w:gridCol w:w="1897"/>
      </w:tblGrid>
      <w:tr w:rsidR="00E57DAA" w14:paraId="4FA3E6CE" w14:textId="77777777">
        <w:trPr>
          <w:trHeight w:val="145"/>
        </w:trPr>
        <w:bookmarkEnd w:id="315" w:displacedByCustomXml="next"/>
        <w:sdt>
          <w:sdtPr>
            <w:tag w:val="_PLD_163e93b7c897498dae37bc5c38a11afe"/>
            <w:id w:val="384386379"/>
          </w:sdtPr>
          <w:sdtEndPr/>
          <w:sdtContent>
            <w:tc>
              <w:tcPr>
                <w:tcW w:w="1059" w:type="pct"/>
                <w:vMerge w:val="restart"/>
                <w:tcBorders>
                  <w:top w:val="single" w:sz="4" w:space="0" w:color="auto"/>
                  <w:left w:val="single" w:sz="4" w:space="0" w:color="auto"/>
                  <w:right w:val="single" w:sz="4" w:space="0" w:color="auto"/>
                </w:tcBorders>
                <w:shd w:val="clear" w:color="auto" w:fill="auto"/>
                <w:vAlign w:val="center"/>
              </w:tcPr>
              <w:p w14:paraId="3A3F4D72" w14:textId="77777777" w:rsidR="00E57DAA" w:rsidRDefault="00AC4185">
                <w:pPr>
                  <w:jc w:val="center"/>
                  <w:outlineLvl w:val="2"/>
                  <w:rPr>
                    <w:rFonts w:cs="Cambria"/>
                    <w:szCs w:val="21"/>
                  </w:rPr>
                </w:pPr>
                <w:r>
                  <w:rPr>
                    <w:rFonts w:cs="Cambria" w:hint="eastAsia"/>
                    <w:szCs w:val="21"/>
                  </w:rPr>
                  <w:t>项目</w:t>
                </w:r>
              </w:p>
            </w:tc>
          </w:sdtContent>
        </w:sdt>
        <w:sdt>
          <w:sdtPr>
            <w:tag w:val="_PLD_b8bd62f651414617bea8612c55db30ce"/>
            <w:id w:val="-1620754991"/>
          </w:sdtPr>
          <w:sdtEndPr/>
          <w:sdtContent>
            <w:tc>
              <w:tcPr>
                <w:tcW w:w="394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98ADF43" w14:textId="77777777" w:rsidR="00E57DAA" w:rsidRDefault="00AC4185">
                <w:pPr>
                  <w:jc w:val="center"/>
                  <w:outlineLvl w:val="2"/>
                  <w:rPr>
                    <w:rFonts w:cs="Cambria"/>
                    <w:szCs w:val="21"/>
                  </w:rPr>
                </w:pPr>
                <w:r>
                  <w:rPr>
                    <w:rFonts w:cs="Cambria" w:hint="eastAsia"/>
                    <w:szCs w:val="21"/>
                  </w:rPr>
                  <w:t>期末公允价值</w:t>
                </w:r>
              </w:p>
            </w:tc>
          </w:sdtContent>
        </w:sdt>
      </w:tr>
      <w:tr w:rsidR="00E57DAA" w14:paraId="7A283AF6" w14:textId="77777777">
        <w:trPr>
          <w:trHeight w:val="145"/>
        </w:trPr>
        <w:tc>
          <w:tcPr>
            <w:tcW w:w="1059" w:type="pct"/>
            <w:vMerge/>
            <w:tcBorders>
              <w:left w:val="single" w:sz="4" w:space="0" w:color="auto"/>
              <w:bottom w:val="single" w:sz="4" w:space="0" w:color="auto"/>
              <w:right w:val="single" w:sz="4" w:space="0" w:color="auto"/>
            </w:tcBorders>
            <w:shd w:val="clear" w:color="auto" w:fill="auto"/>
            <w:vAlign w:val="center"/>
          </w:tcPr>
          <w:p w14:paraId="5DDA4207" w14:textId="77777777" w:rsidR="00E57DAA" w:rsidRDefault="00E57DAA">
            <w:pPr>
              <w:jc w:val="center"/>
              <w:outlineLvl w:val="2"/>
              <w:rPr>
                <w:rFonts w:cs="Cambria"/>
                <w:szCs w:val="21"/>
              </w:rPr>
            </w:pPr>
          </w:p>
        </w:tc>
        <w:sdt>
          <w:sdtPr>
            <w:tag w:val="_PLD_8b204b4b1832494b8312fec08990548b"/>
            <w:id w:val="-582688183"/>
          </w:sdtPr>
          <w:sdtEndPr/>
          <w:sdtContent>
            <w:tc>
              <w:tcPr>
                <w:tcW w:w="896" w:type="pct"/>
                <w:tcBorders>
                  <w:top w:val="single" w:sz="4" w:space="0" w:color="auto"/>
                  <w:left w:val="single" w:sz="4" w:space="0" w:color="auto"/>
                  <w:bottom w:val="single" w:sz="4" w:space="0" w:color="auto"/>
                  <w:right w:val="single" w:sz="4" w:space="0" w:color="auto"/>
                </w:tcBorders>
                <w:shd w:val="clear" w:color="auto" w:fill="auto"/>
                <w:vAlign w:val="center"/>
              </w:tcPr>
              <w:p w14:paraId="1923F48A" w14:textId="77777777" w:rsidR="00E57DAA" w:rsidRDefault="00AC4185">
                <w:pPr>
                  <w:jc w:val="center"/>
                  <w:outlineLvl w:val="2"/>
                  <w:rPr>
                    <w:rFonts w:cs="Cambria"/>
                    <w:szCs w:val="21"/>
                  </w:rPr>
                </w:pPr>
                <w:r>
                  <w:rPr>
                    <w:rFonts w:cs="Cambria" w:hint="eastAsia"/>
                    <w:szCs w:val="21"/>
                  </w:rPr>
                  <w:t>第一层次公允价值计量</w:t>
                </w:r>
              </w:p>
            </w:tc>
          </w:sdtContent>
        </w:sdt>
        <w:sdt>
          <w:sdtPr>
            <w:tag w:val="_PLD_de23a118a4e8435d9b0e1e2e2e494f30"/>
            <w:id w:val="-2047590204"/>
          </w:sdtPr>
          <w:sdtEndPr/>
          <w:sdtContent>
            <w:tc>
              <w:tcPr>
                <w:tcW w:w="896" w:type="pct"/>
                <w:tcBorders>
                  <w:top w:val="single" w:sz="4" w:space="0" w:color="auto"/>
                  <w:left w:val="single" w:sz="4" w:space="0" w:color="auto"/>
                  <w:bottom w:val="single" w:sz="4" w:space="0" w:color="auto"/>
                  <w:right w:val="single" w:sz="4" w:space="0" w:color="auto"/>
                </w:tcBorders>
                <w:shd w:val="clear" w:color="auto" w:fill="auto"/>
                <w:vAlign w:val="center"/>
              </w:tcPr>
              <w:p w14:paraId="13691E7D" w14:textId="77777777" w:rsidR="00E57DAA" w:rsidRDefault="00AC4185">
                <w:pPr>
                  <w:jc w:val="center"/>
                  <w:outlineLvl w:val="2"/>
                  <w:rPr>
                    <w:rFonts w:cs="Cambria"/>
                    <w:szCs w:val="21"/>
                  </w:rPr>
                </w:pPr>
                <w:r>
                  <w:rPr>
                    <w:rFonts w:cs="Cambria" w:hint="eastAsia"/>
                    <w:szCs w:val="21"/>
                  </w:rPr>
                  <w:t>第二层次公允价值计量</w:t>
                </w:r>
              </w:p>
            </w:tc>
          </w:sdtContent>
        </w:sdt>
        <w:sdt>
          <w:sdtPr>
            <w:tag w:val="_PLD_4cb787262d4b4096b0d321ac48721dd2"/>
            <w:id w:val="-272475596"/>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2C35868" w14:textId="77777777" w:rsidR="00E57DAA" w:rsidRDefault="00AC4185">
                <w:pPr>
                  <w:jc w:val="center"/>
                  <w:outlineLvl w:val="2"/>
                  <w:rPr>
                    <w:rFonts w:cs="Cambria"/>
                    <w:szCs w:val="21"/>
                  </w:rPr>
                </w:pPr>
                <w:r>
                  <w:rPr>
                    <w:rFonts w:cs="Cambria" w:hint="eastAsia"/>
                    <w:szCs w:val="21"/>
                  </w:rPr>
                  <w:t>第三层次公允价值计量</w:t>
                </w:r>
              </w:p>
            </w:tc>
          </w:sdtContent>
        </w:sdt>
        <w:sdt>
          <w:sdtPr>
            <w:tag w:val="_PLD_fb89c54d0c8e4fe2990587a96b78b5ca"/>
            <w:id w:val="-508287797"/>
          </w:sdtPr>
          <w:sdtEndPr/>
          <w:sdtContent>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5B23740F" w14:textId="77777777" w:rsidR="00E57DAA" w:rsidRDefault="00AC4185">
                <w:pPr>
                  <w:jc w:val="center"/>
                  <w:outlineLvl w:val="2"/>
                  <w:rPr>
                    <w:rFonts w:cs="Cambria"/>
                    <w:szCs w:val="21"/>
                  </w:rPr>
                </w:pPr>
                <w:r>
                  <w:rPr>
                    <w:rFonts w:cs="Cambria" w:hint="eastAsia"/>
                    <w:szCs w:val="21"/>
                  </w:rPr>
                  <w:t>合计</w:t>
                </w:r>
              </w:p>
            </w:tc>
          </w:sdtContent>
        </w:sdt>
      </w:tr>
      <w:tr w:rsidR="00E57DAA" w14:paraId="3D690755" w14:textId="77777777">
        <w:trPr>
          <w:trHeight w:val="227"/>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746AF590" w14:textId="77777777" w:rsidR="00E57DAA" w:rsidRDefault="00AC4185">
            <w:pPr>
              <w:outlineLvl w:val="2"/>
              <w:rPr>
                <w:rFonts w:cs="Cambria"/>
                <w:b/>
                <w:szCs w:val="21"/>
              </w:rPr>
            </w:pPr>
            <w:r>
              <w:rPr>
                <w:rFonts w:cs="Cambria" w:hint="eastAsia"/>
                <w:b/>
                <w:szCs w:val="21"/>
              </w:rPr>
              <w:t>一、持续的公允价值计量</w:t>
            </w:r>
          </w:p>
        </w:tc>
        <w:tc>
          <w:tcPr>
            <w:tcW w:w="896" w:type="pct"/>
            <w:tcBorders>
              <w:top w:val="single" w:sz="4" w:space="0" w:color="auto"/>
              <w:left w:val="single" w:sz="4" w:space="0" w:color="auto"/>
              <w:bottom w:val="single" w:sz="4" w:space="0" w:color="auto"/>
              <w:right w:val="single" w:sz="4" w:space="0" w:color="auto"/>
            </w:tcBorders>
            <w:vAlign w:val="center"/>
          </w:tcPr>
          <w:p w14:paraId="465B7B71" w14:textId="77777777" w:rsidR="00E57DAA" w:rsidRDefault="00E57DAA">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3E9B67B5" w14:textId="77777777" w:rsidR="00E57DAA" w:rsidRDefault="00E57DAA">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6AE6536F" w14:textId="77777777" w:rsidR="00E57DAA" w:rsidRDefault="00E57DAA">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211BAA82" w14:textId="77777777" w:rsidR="00E57DAA" w:rsidRDefault="00E57DAA">
            <w:pPr>
              <w:jc w:val="right"/>
              <w:outlineLvl w:val="2"/>
              <w:rPr>
                <w:rFonts w:cs="Cambria"/>
                <w:szCs w:val="21"/>
              </w:rPr>
            </w:pPr>
          </w:p>
        </w:tc>
      </w:tr>
      <w:tr w:rsidR="00E57DAA" w14:paraId="06B8C1BF"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014B1403" w14:textId="77777777" w:rsidR="00E57DAA" w:rsidRDefault="00AC4185">
            <w:pPr>
              <w:outlineLvl w:val="2"/>
            </w:pPr>
            <w:r>
              <w:rPr>
                <w:rFonts w:hint="eastAsia"/>
              </w:rPr>
              <w:t>（一）交易性金融资产</w:t>
            </w:r>
          </w:p>
        </w:tc>
        <w:tc>
          <w:tcPr>
            <w:tcW w:w="896" w:type="pct"/>
            <w:tcBorders>
              <w:top w:val="single" w:sz="4" w:space="0" w:color="auto"/>
              <w:left w:val="single" w:sz="4" w:space="0" w:color="auto"/>
              <w:bottom w:val="single" w:sz="4" w:space="0" w:color="auto"/>
              <w:right w:val="single" w:sz="4" w:space="0" w:color="auto"/>
            </w:tcBorders>
            <w:vAlign w:val="center"/>
          </w:tcPr>
          <w:p w14:paraId="384B592F" w14:textId="77777777" w:rsidR="00E57DAA" w:rsidRDefault="00AC4185">
            <w:pPr>
              <w:jc w:val="right"/>
              <w:outlineLvl w:val="2"/>
              <w:rPr>
                <w:rFonts w:cs="Cambria"/>
                <w:szCs w:val="21"/>
              </w:rPr>
            </w:pPr>
            <w:r>
              <w:t>11,525,400.00</w:t>
            </w:r>
          </w:p>
        </w:tc>
        <w:tc>
          <w:tcPr>
            <w:tcW w:w="896" w:type="pct"/>
            <w:tcBorders>
              <w:top w:val="single" w:sz="4" w:space="0" w:color="auto"/>
              <w:left w:val="single" w:sz="4" w:space="0" w:color="auto"/>
              <w:bottom w:val="single" w:sz="4" w:space="0" w:color="auto"/>
              <w:right w:val="single" w:sz="4" w:space="0" w:color="auto"/>
            </w:tcBorders>
            <w:vAlign w:val="center"/>
          </w:tcPr>
          <w:p w14:paraId="3DA92C5A" w14:textId="77777777" w:rsidR="00E57DAA" w:rsidRDefault="00AC4185">
            <w:pPr>
              <w:jc w:val="right"/>
              <w:outlineLvl w:val="2"/>
              <w:rPr>
                <w:rFonts w:cs="Cambria"/>
                <w:szCs w:val="21"/>
              </w:rPr>
            </w:pPr>
            <w:r>
              <w:t>18,116.93</w:t>
            </w:r>
          </w:p>
        </w:tc>
        <w:tc>
          <w:tcPr>
            <w:tcW w:w="1074" w:type="pct"/>
            <w:tcBorders>
              <w:top w:val="single" w:sz="4" w:space="0" w:color="auto"/>
              <w:left w:val="single" w:sz="4" w:space="0" w:color="auto"/>
              <w:bottom w:val="single" w:sz="4" w:space="0" w:color="auto"/>
              <w:right w:val="single" w:sz="4" w:space="0" w:color="auto"/>
            </w:tcBorders>
            <w:vAlign w:val="center"/>
          </w:tcPr>
          <w:p w14:paraId="1E175A8E" w14:textId="77777777" w:rsidR="00E57DAA" w:rsidRDefault="00AC4185">
            <w:pPr>
              <w:jc w:val="right"/>
              <w:outlineLvl w:val="2"/>
              <w:rPr>
                <w:rFonts w:cs="Cambria"/>
                <w:szCs w:val="21"/>
              </w:rPr>
            </w:pPr>
            <w:r>
              <w:t>239,935,276.81</w:t>
            </w:r>
          </w:p>
        </w:tc>
        <w:tc>
          <w:tcPr>
            <w:tcW w:w="1075" w:type="pct"/>
            <w:tcBorders>
              <w:top w:val="single" w:sz="4" w:space="0" w:color="auto"/>
              <w:left w:val="single" w:sz="4" w:space="0" w:color="auto"/>
              <w:bottom w:val="single" w:sz="4" w:space="0" w:color="auto"/>
              <w:right w:val="single" w:sz="4" w:space="0" w:color="auto"/>
            </w:tcBorders>
            <w:vAlign w:val="center"/>
          </w:tcPr>
          <w:p w14:paraId="00F9B59C" w14:textId="77777777" w:rsidR="00E57DAA" w:rsidRDefault="00AC4185">
            <w:pPr>
              <w:jc w:val="right"/>
              <w:outlineLvl w:val="2"/>
              <w:rPr>
                <w:rFonts w:cs="Cambria"/>
                <w:szCs w:val="21"/>
              </w:rPr>
            </w:pPr>
            <w:r>
              <w:t>251,478,793.74</w:t>
            </w:r>
          </w:p>
        </w:tc>
      </w:tr>
      <w:tr w:rsidR="004E628F" w14:paraId="3AE5AA95" w14:textId="77777777" w:rsidTr="006852F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78ED65F8" w14:textId="77777777" w:rsidR="004E628F" w:rsidRDefault="004E628F" w:rsidP="004E628F">
            <w:pPr>
              <w:outlineLvl w:val="2"/>
            </w:pPr>
            <w:r>
              <w:t>1.以公允价值计量且变动计入当期损益的金融资产</w:t>
            </w:r>
          </w:p>
        </w:tc>
        <w:tc>
          <w:tcPr>
            <w:tcW w:w="896" w:type="pct"/>
            <w:tcBorders>
              <w:top w:val="single" w:sz="4" w:space="0" w:color="auto"/>
              <w:left w:val="single" w:sz="4" w:space="0" w:color="auto"/>
              <w:bottom w:val="single" w:sz="4" w:space="0" w:color="auto"/>
              <w:right w:val="single" w:sz="4" w:space="0" w:color="auto"/>
            </w:tcBorders>
            <w:vAlign w:val="center"/>
          </w:tcPr>
          <w:p w14:paraId="466DDF88" w14:textId="77777777" w:rsidR="004E628F" w:rsidRDefault="004E628F" w:rsidP="004E628F">
            <w:pPr>
              <w:jc w:val="right"/>
              <w:outlineLvl w:val="2"/>
              <w:rPr>
                <w:rFonts w:cs="Cambria"/>
                <w:szCs w:val="21"/>
              </w:rPr>
            </w:pPr>
            <w:r>
              <w:t>11,525,400.00</w:t>
            </w:r>
          </w:p>
        </w:tc>
        <w:tc>
          <w:tcPr>
            <w:tcW w:w="896" w:type="pct"/>
            <w:tcBorders>
              <w:top w:val="single" w:sz="4" w:space="0" w:color="auto"/>
              <w:left w:val="single" w:sz="4" w:space="0" w:color="auto"/>
              <w:bottom w:val="single" w:sz="4" w:space="0" w:color="auto"/>
              <w:right w:val="single" w:sz="4" w:space="0" w:color="auto"/>
            </w:tcBorders>
            <w:vAlign w:val="center"/>
          </w:tcPr>
          <w:p w14:paraId="00252D04" w14:textId="77777777" w:rsidR="004E628F" w:rsidRDefault="004E628F" w:rsidP="004E628F">
            <w:pPr>
              <w:jc w:val="right"/>
              <w:outlineLvl w:val="2"/>
              <w:rPr>
                <w:rFonts w:cs="Cambria"/>
                <w:szCs w:val="21"/>
              </w:rPr>
            </w:pPr>
            <w:r>
              <w:t>18,116.93</w:t>
            </w:r>
          </w:p>
        </w:tc>
        <w:tc>
          <w:tcPr>
            <w:tcW w:w="1074" w:type="pct"/>
            <w:tcBorders>
              <w:top w:val="single" w:sz="4" w:space="0" w:color="auto"/>
              <w:left w:val="single" w:sz="4" w:space="0" w:color="auto"/>
              <w:bottom w:val="single" w:sz="4" w:space="0" w:color="auto"/>
              <w:right w:val="single" w:sz="4" w:space="0" w:color="auto"/>
            </w:tcBorders>
            <w:vAlign w:val="center"/>
          </w:tcPr>
          <w:p w14:paraId="2D3CA64E" w14:textId="77777777" w:rsidR="004E628F" w:rsidRDefault="004E628F" w:rsidP="004E628F">
            <w:pPr>
              <w:jc w:val="right"/>
              <w:outlineLvl w:val="2"/>
              <w:rPr>
                <w:rFonts w:cs="Cambria"/>
                <w:szCs w:val="21"/>
              </w:rPr>
            </w:pPr>
            <w:r>
              <w:t>239,935,276.81</w:t>
            </w:r>
          </w:p>
        </w:tc>
        <w:tc>
          <w:tcPr>
            <w:tcW w:w="1075" w:type="pct"/>
            <w:tcBorders>
              <w:top w:val="single" w:sz="4" w:space="0" w:color="auto"/>
              <w:left w:val="single" w:sz="4" w:space="0" w:color="auto"/>
              <w:bottom w:val="single" w:sz="4" w:space="0" w:color="auto"/>
              <w:right w:val="single" w:sz="4" w:space="0" w:color="auto"/>
            </w:tcBorders>
            <w:vAlign w:val="center"/>
          </w:tcPr>
          <w:p w14:paraId="0AC4CC7E" w14:textId="77777777" w:rsidR="004E628F" w:rsidRDefault="004E628F" w:rsidP="004E628F">
            <w:pPr>
              <w:jc w:val="right"/>
              <w:outlineLvl w:val="2"/>
              <w:rPr>
                <w:rFonts w:cs="Cambria"/>
                <w:szCs w:val="21"/>
              </w:rPr>
            </w:pPr>
            <w:r>
              <w:t>251,478,793.74</w:t>
            </w:r>
          </w:p>
        </w:tc>
      </w:tr>
      <w:tr w:rsidR="004E628F" w14:paraId="584E89BF"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17CDE16F" w14:textId="77777777" w:rsidR="004E628F" w:rsidRDefault="004E628F" w:rsidP="004E628F">
            <w:pPr>
              <w:outlineLvl w:val="2"/>
              <w:rPr>
                <w:rFonts w:cs="Cambria"/>
                <w:szCs w:val="21"/>
              </w:rPr>
            </w:pPr>
            <w:r>
              <w:rPr>
                <w:rFonts w:cs="Cambria" w:hint="eastAsia"/>
                <w:szCs w:val="21"/>
              </w:rPr>
              <w:lastRenderedPageBreak/>
              <w:t>（</w:t>
            </w:r>
            <w:r>
              <w:rPr>
                <w:rFonts w:cs="Cambria"/>
                <w:szCs w:val="21"/>
              </w:rPr>
              <w:t>1</w:t>
            </w:r>
            <w:r>
              <w:rPr>
                <w:rFonts w:cs="Cambria" w:hint="eastAsia"/>
                <w:szCs w:val="21"/>
              </w:rPr>
              <w:t>）债务工具投资</w:t>
            </w:r>
          </w:p>
        </w:tc>
        <w:tc>
          <w:tcPr>
            <w:tcW w:w="896" w:type="pct"/>
            <w:tcBorders>
              <w:top w:val="single" w:sz="4" w:space="0" w:color="auto"/>
              <w:left w:val="single" w:sz="4" w:space="0" w:color="auto"/>
              <w:bottom w:val="single" w:sz="4" w:space="0" w:color="auto"/>
              <w:right w:val="single" w:sz="4" w:space="0" w:color="auto"/>
            </w:tcBorders>
          </w:tcPr>
          <w:p w14:paraId="504E27DB"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15BCFCD"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tcPr>
          <w:p w14:paraId="1A3FE41C"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tcPr>
          <w:p w14:paraId="201ECA95" w14:textId="77777777" w:rsidR="004E628F" w:rsidRDefault="004E628F" w:rsidP="004E628F">
            <w:pPr>
              <w:jc w:val="right"/>
              <w:outlineLvl w:val="2"/>
              <w:rPr>
                <w:rFonts w:cs="Cambria"/>
                <w:szCs w:val="21"/>
              </w:rPr>
            </w:pPr>
          </w:p>
        </w:tc>
      </w:tr>
      <w:tr w:rsidR="004E628F" w14:paraId="24964AA5"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58075980" w14:textId="77777777" w:rsidR="004E628F" w:rsidRDefault="004E628F" w:rsidP="004E628F">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tc>
          <w:tcPr>
            <w:tcW w:w="896" w:type="pct"/>
            <w:tcBorders>
              <w:top w:val="single" w:sz="4" w:space="0" w:color="auto"/>
              <w:left w:val="single" w:sz="4" w:space="0" w:color="auto"/>
              <w:bottom w:val="single" w:sz="4" w:space="0" w:color="auto"/>
              <w:right w:val="single" w:sz="4" w:space="0" w:color="auto"/>
            </w:tcBorders>
            <w:vAlign w:val="center"/>
          </w:tcPr>
          <w:p w14:paraId="2D0159AB" w14:textId="77777777" w:rsidR="004E628F" w:rsidRDefault="004E628F" w:rsidP="004E628F">
            <w:pPr>
              <w:jc w:val="right"/>
              <w:outlineLvl w:val="2"/>
              <w:rPr>
                <w:rFonts w:cs="Cambria"/>
                <w:szCs w:val="21"/>
              </w:rPr>
            </w:pPr>
            <w:r>
              <w:t>11,525,400.00</w:t>
            </w:r>
          </w:p>
        </w:tc>
        <w:tc>
          <w:tcPr>
            <w:tcW w:w="896" w:type="pct"/>
            <w:tcBorders>
              <w:top w:val="single" w:sz="4" w:space="0" w:color="auto"/>
              <w:left w:val="single" w:sz="4" w:space="0" w:color="auto"/>
              <w:bottom w:val="single" w:sz="4" w:space="0" w:color="auto"/>
              <w:right w:val="single" w:sz="4" w:space="0" w:color="auto"/>
            </w:tcBorders>
            <w:vAlign w:val="center"/>
          </w:tcPr>
          <w:p w14:paraId="27D9CA9E"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693ECC8A" w14:textId="77777777" w:rsidR="004E628F" w:rsidRDefault="004E628F" w:rsidP="004E628F">
            <w:pPr>
              <w:jc w:val="right"/>
              <w:outlineLvl w:val="2"/>
              <w:rPr>
                <w:rFonts w:cs="Cambria"/>
                <w:szCs w:val="21"/>
              </w:rPr>
            </w:pPr>
            <w:r>
              <w:t>87,789,148.57</w:t>
            </w:r>
          </w:p>
        </w:tc>
        <w:tc>
          <w:tcPr>
            <w:tcW w:w="1075" w:type="pct"/>
            <w:tcBorders>
              <w:top w:val="single" w:sz="4" w:space="0" w:color="auto"/>
              <w:left w:val="single" w:sz="4" w:space="0" w:color="auto"/>
              <w:bottom w:val="single" w:sz="4" w:space="0" w:color="auto"/>
              <w:right w:val="single" w:sz="4" w:space="0" w:color="auto"/>
            </w:tcBorders>
            <w:vAlign w:val="center"/>
          </w:tcPr>
          <w:p w14:paraId="2939AC5E" w14:textId="77777777" w:rsidR="004E628F" w:rsidRDefault="004E628F" w:rsidP="004E628F">
            <w:pPr>
              <w:jc w:val="right"/>
              <w:outlineLvl w:val="2"/>
              <w:rPr>
                <w:rFonts w:cs="Cambria"/>
                <w:szCs w:val="21"/>
              </w:rPr>
            </w:pPr>
            <w:r>
              <w:t>99,314,548.57</w:t>
            </w:r>
          </w:p>
        </w:tc>
      </w:tr>
      <w:tr w:rsidR="004E628F" w14:paraId="27E6891D"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34BA7422" w14:textId="77777777" w:rsidR="004E628F" w:rsidRDefault="004E628F" w:rsidP="004E628F">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tc>
          <w:tcPr>
            <w:tcW w:w="896" w:type="pct"/>
            <w:tcBorders>
              <w:top w:val="single" w:sz="4" w:space="0" w:color="auto"/>
              <w:left w:val="single" w:sz="4" w:space="0" w:color="auto"/>
              <w:bottom w:val="single" w:sz="4" w:space="0" w:color="auto"/>
              <w:right w:val="single" w:sz="4" w:space="0" w:color="auto"/>
            </w:tcBorders>
          </w:tcPr>
          <w:p w14:paraId="70060E2C"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35A9550"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tcPr>
          <w:p w14:paraId="351EE41F"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tcPr>
          <w:p w14:paraId="7D224CBA" w14:textId="77777777" w:rsidR="004E628F" w:rsidRDefault="004E628F" w:rsidP="004E628F">
            <w:pPr>
              <w:jc w:val="right"/>
              <w:outlineLvl w:val="2"/>
              <w:rPr>
                <w:rFonts w:cs="Cambria"/>
                <w:szCs w:val="21"/>
              </w:rPr>
            </w:pPr>
          </w:p>
        </w:tc>
      </w:tr>
      <w:tr w:rsidR="004E628F" w14:paraId="4897DD0E"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5226D5A8" w14:textId="77777777" w:rsidR="004E628F" w:rsidRDefault="004E628F" w:rsidP="004E628F">
            <w:pPr>
              <w:outlineLvl w:val="2"/>
              <w:rPr>
                <w:rFonts w:cs="Cambria"/>
                <w:szCs w:val="21"/>
              </w:rPr>
            </w:pPr>
            <w:r>
              <w:rPr>
                <w:rFonts w:hint="eastAsia"/>
              </w:rPr>
              <w:t>（4）</w:t>
            </w:r>
            <w:r>
              <w:t>基金</w:t>
            </w:r>
          </w:p>
        </w:tc>
        <w:tc>
          <w:tcPr>
            <w:tcW w:w="896" w:type="pct"/>
            <w:tcBorders>
              <w:top w:val="single" w:sz="4" w:space="0" w:color="auto"/>
              <w:left w:val="single" w:sz="4" w:space="0" w:color="auto"/>
              <w:bottom w:val="single" w:sz="4" w:space="0" w:color="auto"/>
              <w:right w:val="single" w:sz="4" w:space="0" w:color="auto"/>
            </w:tcBorders>
            <w:vAlign w:val="center"/>
          </w:tcPr>
          <w:p w14:paraId="36DF69BF"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33E88474"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7A2E153A" w14:textId="77777777" w:rsidR="004E628F" w:rsidRDefault="004E628F" w:rsidP="004E628F">
            <w:pPr>
              <w:jc w:val="right"/>
              <w:outlineLvl w:val="2"/>
              <w:rPr>
                <w:rFonts w:cs="Cambria"/>
                <w:szCs w:val="21"/>
              </w:rPr>
            </w:pPr>
            <w:r>
              <w:t>21,187,667.51</w:t>
            </w:r>
          </w:p>
        </w:tc>
        <w:tc>
          <w:tcPr>
            <w:tcW w:w="1075" w:type="pct"/>
            <w:tcBorders>
              <w:top w:val="single" w:sz="4" w:space="0" w:color="auto"/>
              <w:left w:val="single" w:sz="4" w:space="0" w:color="auto"/>
              <w:bottom w:val="single" w:sz="4" w:space="0" w:color="auto"/>
              <w:right w:val="single" w:sz="4" w:space="0" w:color="auto"/>
            </w:tcBorders>
            <w:vAlign w:val="center"/>
          </w:tcPr>
          <w:p w14:paraId="54F15006" w14:textId="77777777" w:rsidR="004E628F" w:rsidRDefault="004E628F" w:rsidP="004E628F">
            <w:pPr>
              <w:jc w:val="right"/>
              <w:outlineLvl w:val="2"/>
              <w:rPr>
                <w:rFonts w:cs="Cambria"/>
                <w:szCs w:val="21"/>
              </w:rPr>
            </w:pPr>
            <w:r>
              <w:t>21,187,667.51</w:t>
            </w:r>
          </w:p>
        </w:tc>
      </w:tr>
      <w:tr w:rsidR="004E628F" w14:paraId="525E039C"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05084AFD" w14:textId="77777777" w:rsidR="004E628F" w:rsidRDefault="004E628F" w:rsidP="004E628F">
            <w:pPr>
              <w:outlineLvl w:val="2"/>
              <w:rPr>
                <w:rFonts w:cs="Cambria"/>
                <w:szCs w:val="21"/>
              </w:rPr>
            </w:pPr>
            <w:r>
              <w:rPr>
                <w:rFonts w:hint="eastAsia"/>
              </w:rPr>
              <w:t>（5）</w:t>
            </w:r>
            <w:r>
              <w:t>银行</w:t>
            </w:r>
            <w:r w:rsidR="009D796D">
              <w:rPr>
                <w:rFonts w:hint="eastAsia"/>
              </w:rPr>
              <w:t>理财</w:t>
            </w:r>
            <w:r>
              <w:t>产品</w:t>
            </w:r>
          </w:p>
        </w:tc>
        <w:tc>
          <w:tcPr>
            <w:tcW w:w="896" w:type="pct"/>
            <w:tcBorders>
              <w:top w:val="single" w:sz="4" w:space="0" w:color="auto"/>
              <w:left w:val="single" w:sz="4" w:space="0" w:color="auto"/>
              <w:bottom w:val="single" w:sz="4" w:space="0" w:color="auto"/>
              <w:right w:val="single" w:sz="4" w:space="0" w:color="auto"/>
            </w:tcBorders>
            <w:vAlign w:val="center"/>
          </w:tcPr>
          <w:p w14:paraId="2A318AC7"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9A5B6FB" w14:textId="77777777" w:rsidR="004E628F" w:rsidRDefault="004E628F" w:rsidP="004E628F">
            <w:pPr>
              <w:jc w:val="right"/>
              <w:outlineLvl w:val="2"/>
              <w:rPr>
                <w:rFonts w:cs="Cambria"/>
                <w:szCs w:val="21"/>
              </w:rPr>
            </w:pPr>
            <w:r>
              <w:t>4,635.95</w:t>
            </w:r>
          </w:p>
        </w:tc>
        <w:tc>
          <w:tcPr>
            <w:tcW w:w="1074" w:type="pct"/>
            <w:tcBorders>
              <w:top w:val="single" w:sz="4" w:space="0" w:color="auto"/>
              <w:left w:val="single" w:sz="4" w:space="0" w:color="auto"/>
              <w:bottom w:val="single" w:sz="4" w:space="0" w:color="auto"/>
              <w:right w:val="single" w:sz="4" w:space="0" w:color="auto"/>
            </w:tcBorders>
            <w:vAlign w:val="center"/>
          </w:tcPr>
          <w:p w14:paraId="756987FB"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6C92AF5A" w14:textId="77777777" w:rsidR="004E628F" w:rsidRDefault="004E628F" w:rsidP="004E628F">
            <w:pPr>
              <w:jc w:val="right"/>
              <w:outlineLvl w:val="2"/>
              <w:rPr>
                <w:rFonts w:cs="Cambria"/>
                <w:szCs w:val="21"/>
              </w:rPr>
            </w:pPr>
            <w:r>
              <w:t>4,635.95</w:t>
            </w:r>
          </w:p>
        </w:tc>
      </w:tr>
      <w:tr w:rsidR="004E628F" w14:paraId="241F3FC4"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7BBD5182" w14:textId="77777777" w:rsidR="004E628F" w:rsidRDefault="004E628F" w:rsidP="004E628F">
            <w:pPr>
              <w:outlineLvl w:val="2"/>
              <w:rPr>
                <w:rFonts w:cs="Cambria"/>
                <w:szCs w:val="21"/>
              </w:rPr>
            </w:pPr>
            <w:r>
              <w:rPr>
                <w:rFonts w:hint="eastAsia"/>
              </w:rPr>
              <w:t>（6）</w:t>
            </w:r>
            <w:r>
              <w:t>外汇远期合约</w:t>
            </w:r>
          </w:p>
        </w:tc>
        <w:tc>
          <w:tcPr>
            <w:tcW w:w="896" w:type="pct"/>
            <w:tcBorders>
              <w:top w:val="single" w:sz="4" w:space="0" w:color="auto"/>
              <w:left w:val="single" w:sz="4" w:space="0" w:color="auto"/>
              <w:bottom w:val="single" w:sz="4" w:space="0" w:color="auto"/>
              <w:right w:val="single" w:sz="4" w:space="0" w:color="auto"/>
            </w:tcBorders>
            <w:vAlign w:val="center"/>
          </w:tcPr>
          <w:p w14:paraId="28ECE043"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26443E2" w14:textId="77777777" w:rsidR="004E628F" w:rsidRDefault="004E628F" w:rsidP="004E628F">
            <w:pPr>
              <w:jc w:val="right"/>
              <w:outlineLvl w:val="2"/>
              <w:rPr>
                <w:rFonts w:cs="Cambria"/>
                <w:szCs w:val="21"/>
              </w:rPr>
            </w:pPr>
            <w:r>
              <w:t>13,480.98</w:t>
            </w:r>
          </w:p>
        </w:tc>
        <w:tc>
          <w:tcPr>
            <w:tcW w:w="1074" w:type="pct"/>
            <w:tcBorders>
              <w:top w:val="single" w:sz="4" w:space="0" w:color="auto"/>
              <w:left w:val="single" w:sz="4" w:space="0" w:color="auto"/>
              <w:bottom w:val="single" w:sz="4" w:space="0" w:color="auto"/>
              <w:right w:val="single" w:sz="4" w:space="0" w:color="auto"/>
            </w:tcBorders>
            <w:vAlign w:val="center"/>
          </w:tcPr>
          <w:p w14:paraId="7B8CEAE6"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681C636D" w14:textId="77777777" w:rsidR="004E628F" w:rsidRDefault="004E628F" w:rsidP="004E628F">
            <w:pPr>
              <w:jc w:val="right"/>
              <w:outlineLvl w:val="2"/>
              <w:rPr>
                <w:rFonts w:cs="Cambria"/>
                <w:szCs w:val="21"/>
              </w:rPr>
            </w:pPr>
            <w:r>
              <w:t>13,480.98</w:t>
            </w:r>
          </w:p>
        </w:tc>
      </w:tr>
      <w:tr w:rsidR="004E628F" w14:paraId="3BAE7D64"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5DDDFCA5" w14:textId="77777777" w:rsidR="004E628F" w:rsidRDefault="004E628F" w:rsidP="004E628F">
            <w:pPr>
              <w:outlineLvl w:val="2"/>
              <w:rPr>
                <w:rFonts w:cs="Cambria"/>
                <w:szCs w:val="21"/>
              </w:rPr>
            </w:pPr>
            <w:r>
              <w:rPr>
                <w:rFonts w:hint="eastAsia"/>
              </w:rPr>
              <w:t>（7）</w:t>
            </w:r>
            <w:r>
              <w:t>或有对价</w:t>
            </w:r>
          </w:p>
        </w:tc>
        <w:tc>
          <w:tcPr>
            <w:tcW w:w="896" w:type="pct"/>
            <w:tcBorders>
              <w:top w:val="single" w:sz="4" w:space="0" w:color="auto"/>
              <w:left w:val="single" w:sz="4" w:space="0" w:color="auto"/>
              <w:bottom w:val="single" w:sz="4" w:space="0" w:color="auto"/>
              <w:right w:val="single" w:sz="4" w:space="0" w:color="auto"/>
            </w:tcBorders>
            <w:vAlign w:val="center"/>
          </w:tcPr>
          <w:p w14:paraId="283239DB"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9E26053"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6C961ADA" w14:textId="77777777" w:rsidR="004E628F" w:rsidRDefault="004E628F" w:rsidP="004E628F">
            <w:pPr>
              <w:jc w:val="right"/>
              <w:outlineLvl w:val="2"/>
              <w:rPr>
                <w:rFonts w:cs="Cambria"/>
                <w:szCs w:val="21"/>
              </w:rPr>
            </w:pPr>
            <w:r>
              <w:t>130,958,460.73</w:t>
            </w:r>
          </w:p>
        </w:tc>
        <w:tc>
          <w:tcPr>
            <w:tcW w:w="1075" w:type="pct"/>
            <w:tcBorders>
              <w:top w:val="single" w:sz="4" w:space="0" w:color="auto"/>
              <w:left w:val="single" w:sz="4" w:space="0" w:color="auto"/>
              <w:bottom w:val="single" w:sz="4" w:space="0" w:color="auto"/>
              <w:right w:val="single" w:sz="4" w:space="0" w:color="auto"/>
            </w:tcBorders>
            <w:vAlign w:val="center"/>
          </w:tcPr>
          <w:p w14:paraId="55912111" w14:textId="77777777" w:rsidR="004E628F" w:rsidRDefault="004E628F" w:rsidP="004E628F">
            <w:pPr>
              <w:jc w:val="right"/>
              <w:outlineLvl w:val="2"/>
              <w:rPr>
                <w:rFonts w:cs="Cambria"/>
                <w:szCs w:val="21"/>
              </w:rPr>
            </w:pPr>
            <w:r>
              <w:t>130,958,460.73</w:t>
            </w:r>
          </w:p>
        </w:tc>
      </w:tr>
      <w:tr w:rsidR="004E628F" w14:paraId="0DEA2A02" w14:textId="77777777">
        <w:trPr>
          <w:trHeight w:val="215"/>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300D349B" w14:textId="77777777" w:rsidR="004E628F" w:rsidRDefault="004E628F" w:rsidP="004E628F">
            <w:pPr>
              <w:outlineLvl w:val="2"/>
              <w:rPr>
                <w:rFonts w:cs="Cambria"/>
                <w:szCs w:val="21"/>
              </w:rPr>
            </w:pPr>
            <w:r>
              <w:rPr>
                <w:rFonts w:hint="eastAsia"/>
              </w:rPr>
              <w:t>（二）</w:t>
            </w:r>
            <w:r>
              <w:t>衍生金融资产</w:t>
            </w:r>
          </w:p>
        </w:tc>
        <w:tc>
          <w:tcPr>
            <w:tcW w:w="896" w:type="pct"/>
            <w:tcBorders>
              <w:top w:val="single" w:sz="4" w:space="0" w:color="auto"/>
              <w:left w:val="single" w:sz="4" w:space="0" w:color="auto"/>
              <w:bottom w:val="single" w:sz="4" w:space="0" w:color="auto"/>
              <w:right w:val="single" w:sz="4" w:space="0" w:color="auto"/>
            </w:tcBorders>
            <w:vAlign w:val="center"/>
          </w:tcPr>
          <w:p w14:paraId="05A7D888"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132A920E" w14:textId="77777777" w:rsidR="004E628F" w:rsidRDefault="004E628F" w:rsidP="004E628F">
            <w:pPr>
              <w:jc w:val="right"/>
              <w:outlineLvl w:val="2"/>
              <w:rPr>
                <w:rFonts w:cs="Cambria"/>
                <w:szCs w:val="21"/>
              </w:rPr>
            </w:pPr>
            <w:r>
              <w:t>8,618,204.69</w:t>
            </w:r>
          </w:p>
        </w:tc>
        <w:tc>
          <w:tcPr>
            <w:tcW w:w="1074" w:type="pct"/>
            <w:tcBorders>
              <w:top w:val="single" w:sz="4" w:space="0" w:color="auto"/>
              <w:left w:val="single" w:sz="4" w:space="0" w:color="auto"/>
              <w:bottom w:val="single" w:sz="4" w:space="0" w:color="auto"/>
              <w:right w:val="single" w:sz="4" w:space="0" w:color="auto"/>
            </w:tcBorders>
            <w:vAlign w:val="center"/>
          </w:tcPr>
          <w:p w14:paraId="6331E2D9"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0BD88EC7" w14:textId="77777777" w:rsidR="004E628F" w:rsidRDefault="004E628F" w:rsidP="004E628F">
            <w:pPr>
              <w:jc w:val="right"/>
              <w:outlineLvl w:val="2"/>
              <w:rPr>
                <w:rFonts w:cs="Cambria"/>
                <w:szCs w:val="21"/>
              </w:rPr>
            </w:pPr>
            <w:r>
              <w:t>8,618,204.69</w:t>
            </w:r>
          </w:p>
        </w:tc>
      </w:tr>
      <w:tr w:rsidR="004E628F" w14:paraId="07BE3456" w14:textId="77777777">
        <w:trPr>
          <w:trHeight w:val="215"/>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6B5A4DAA" w14:textId="77777777" w:rsidR="004E628F" w:rsidRDefault="004E628F" w:rsidP="004E628F">
            <w:pPr>
              <w:outlineLvl w:val="2"/>
              <w:rPr>
                <w:rFonts w:cs="Cambria"/>
                <w:szCs w:val="21"/>
              </w:rPr>
            </w:pPr>
            <w:r>
              <w:rPr>
                <w:rFonts w:hint="eastAsia"/>
              </w:rPr>
              <w:t>（三）</w:t>
            </w:r>
            <w:r>
              <w:t>应收款项融资</w:t>
            </w:r>
          </w:p>
        </w:tc>
        <w:tc>
          <w:tcPr>
            <w:tcW w:w="896" w:type="pct"/>
            <w:tcBorders>
              <w:top w:val="single" w:sz="4" w:space="0" w:color="auto"/>
              <w:left w:val="single" w:sz="4" w:space="0" w:color="auto"/>
              <w:bottom w:val="single" w:sz="4" w:space="0" w:color="auto"/>
              <w:right w:val="single" w:sz="4" w:space="0" w:color="auto"/>
            </w:tcBorders>
            <w:vAlign w:val="center"/>
          </w:tcPr>
          <w:p w14:paraId="026262C8"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1374350D"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6C23F582" w14:textId="77777777" w:rsidR="004E628F" w:rsidRDefault="004E628F" w:rsidP="004E628F">
            <w:pPr>
              <w:jc w:val="right"/>
              <w:outlineLvl w:val="2"/>
              <w:rPr>
                <w:rFonts w:cs="Cambria"/>
                <w:szCs w:val="21"/>
              </w:rPr>
            </w:pPr>
            <w:r>
              <w:t>1,632,442,069.33</w:t>
            </w:r>
          </w:p>
        </w:tc>
        <w:tc>
          <w:tcPr>
            <w:tcW w:w="1075" w:type="pct"/>
            <w:tcBorders>
              <w:top w:val="single" w:sz="4" w:space="0" w:color="auto"/>
              <w:left w:val="single" w:sz="4" w:space="0" w:color="auto"/>
              <w:bottom w:val="single" w:sz="4" w:space="0" w:color="auto"/>
              <w:right w:val="single" w:sz="4" w:space="0" w:color="auto"/>
            </w:tcBorders>
            <w:vAlign w:val="center"/>
          </w:tcPr>
          <w:p w14:paraId="3A8E7F80" w14:textId="77777777" w:rsidR="004E628F" w:rsidRDefault="004E628F" w:rsidP="004E628F">
            <w:pPr>
              <w:jc w:val="right"/>
              <w:outlineLvl w:val="2"/>
              <w:rPr>
                <w:rFonts w:cs="Cambria"/>
                <w:szCs w:val="21"/>
              </w:rPr>
            </w:pPr>
            <w:r>
              <w:t>1,632,442,069.33</w:t>
            </w:r>
          </w:p>
        </w:tc>
      </w:tr>
      <w:tr w:rsidR="004E628F" w14:paraId="7A890646" w14:textId="77777777">
        <w:trPr>
          <w:trHeight w:val="468"/>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26EA6AC3" w14:textId="77777777" w:rsidR="004E628F" w:rsidRDefault="004E628F" w:rsidP="004E628F">
            <w:pPr>
              <w:outlineLvl w:val="2"/>
              <w:rPr>
                <w:rFonts w:cs="Cambria"/>
                <w:b/>
                <w:szCs w:val="21"/>
              </w:rPr>
            </w:pPr>
            <w:r>
              <w:rPr>
                <w:rFonts w:cs="Cambria" w:hint="eastAsia"/>
                <w:b/>
                <w:szCs w:val="21"/>
              </w:rPr>
              <w:t>持续以公允价值计量的资产总额</w:t>
            </w:r>
          </w:p>
        </w:tc>
        <w:tc>
          <w:tcPr>
            <w:tcW w:w="896" w:type="pct"/>
            <w:tcBorders>
              <w:top w:val="single" w:sz="4" w:space="0" w:color="auto"/>
              <w:left w:val="single" w:sz="4" w:space="0" w:color="auto"/>
              <w:bottom w:val="single" w:sz="4" w:space="0" w:color="auto"/>
              <w:right w:val="single" w:sz="4" w:space="0" w:color="auto"/>
            </w:tcBorders>
            <w:vAlign w:val="center"/>
          </w:tcPr>
          <w:p w14:paraId="0A0E7211" w14:textId="77777777" w:rsidR="004E628F" w:rsidRDefault="004E628F" w:rsidP="004E628F">
            <w:pPr>
              <w:jc w:val="right"/>
              <w:outlineLvl w:val="2"/>
              <w:rPr>
                <w:rFonts w:cs="Cambria"/>
                <w:szCs w:val="21"/>
              </w:rPr>
            </w:pPr>
            <w:r>
              <w:t>11,525,400.00</w:t>
            </w:r>
          </w:p>
        </w:tc>
        <w:tc>
          <w:tcPr>
            <w:tcW w:w="896" w:type="pct"/>
            <w:tcBorders>
              <w:top w:val="single" w:sz="4" w:space="0" w:color="auto"/>
              <w:left w:val="single" w:sz="4" w:space="0" w:color="auto"/>
              <w:bottom w:val="single" w:sz="4" w:space="0" w:color="auto"/>
              <w:right w:val="single" w:sz="4" w:space="0" w:color="auto"/>
            </w:tcBorders>
            <w:vAlign w:val="center"/>
          </w:tcPr>
          <w:p w14:paraId="673AA4A1" w14:textId="77777777" w:rsidR="004E628F" w:rsidRDefault="004E628F" w:rsidP="004E628F">
            <w:pPr>
              <w:jc w:val="right"/>
              <w:outlineLvl w:val="2"/>
              <w:rPr>
                <w:rFonts w:cs="Cambria"/>
                <w:szCs w:val="21"/>
              </w:rPr>
            </w:pPr>
            <w:r>
              <w:t>8,636,321.62</w:t>
            </w:r>
          </w:p>
        </w:tc>
        <w:tc>
          <w:tcPr>
            <w:tcW w:w="1074" w:type="pct"/>
            <w:tcBorders>
              <w:top w:val="single" w:sz="4" w:space="0" w:color="auto"/>
              <w:left w:val="single" w:sz="4" w:space="0" w:color="auto"/>
              <w:bottom w:val="single" w:sz="4" w:space="0" w:color="auto"/>
              <w:right w:val="single" w:sz="4" w:space="0" w:color="auto"/>
            </w:tcBorders>
            <w:vAlign w:val="center"/>
          </w:tcPr>
          <w:p w14:paraId="4FCAA601" w14:textId="77777777" w:rsidR="004E628F" w:rsidRDefault="004E628F" w:rsidP="004E628F">
            <w:pPr>
              <w:jc w:val="right"/>
              <w:outlineLvl w:val="2"/>
              <w:rPr>
                <w:rFonts w:cs="Cambria"/>
                <w:szCs w:val="21"/>
              </w:rPr>
            </w:pPr>
            <w:r>
              <w:t>1,872,377,346.14</w:t>
            </w:r>
          </w:p>
        </w:tc>
        <w:tc>
          <w:tcPr>
            <w:tcW w:w="1075" w:type="pct"/>
            <w:tcBorders>
              <w:top w:val="single" w:sz="4" w:space="0" w:color="auto"/>
              <w:left w:val="single" w:sz="4" w:space="0" w:color="auto"/>
              <w:bottom w:val="single" w:sz="4" w:space="0" w:color="auto"/>
              <w:right w:val="single" w:sz="4" w:space="0" w:color="auto"/>
            </w:tcBorders>
            <w:vAlign w:val="center"/>
          </w:tcPr>
          <w:p w14:paraId="2C4F5552" w14:textId="77777777" w:rsidR="004E628F" w:rsidRDefault="004E628F" w:rsidP="004E628F">
            <w:pPr>
              <w:jc w:val="right"/>
              <w:outlineLvl w:val="2"/>
              <w:rPr>
                <w:rFonts w:cs="Cambria"/>
                <w:szCs w:val="21"/>
              </w:rPr>
            </w:pPr>
            <w:r>
              <w:t>1,892,539,067.76</w:t>
            </w:r>
          </w:p>
        </w:tc>
      </w:tr>
      <w:tr w:rsidR="004E628F" w14:paraId="41B6DF50" w14:textId="77777777">
        <w:trPr>
          <w:trHeight w:val="296"/>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75C2A350" w14:textId="77777777" w:rsidR="004E628F" w:rsidRDefault="004E628F" w:rsidP="004E628F">
            <w:pPr>
              <w:outlineLvl w:val="2"/>
              <w:rPr>
                <w:rFonts w:cs="Cambria"/>
                <w:szCs w:val="21"/>
              </w:rPr>
            </w:pPr>
            <w:r>
              <w:rPr>
                <w:rFonts w:cs="Cambria" w:hint="eastAsia"/>
                <w:szCs w:val="21"/>
              </w:rPr>
              <w:t>（六）交易性金融负债</w:t>
            </w:r>
          </w:p>
        </w:tc>
        <w:tc>
          <w:tcPr>
            <w:tcW w:w="896" w:type="pct"/>
            <w:tcBorders>
              <w:top w:val="single" w:sz="4" w:space="0" w:color="auto"/>
              <w:left w:val="single" w:sz="4" w:space="0" w:color="auto"/>
              <w:bottom w:val="single" w:sz="4" w:space="0" w:color="auto"/>
              <w:right w:val="single" w:sz="4" w:space="0" w:color="auto"/>
            </w:tcBorders>
            <w:vAlign w:val="center"/>
          </w:tcPr>
          <w:p w14:paraId="470025E1"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BB9FF47" w14:textId="77777777" w:rsidR="004E628F" w:rsidRDefault="004E628F" w:rsidP="004E628F">
            <w:pPr>
              <w:jc w:val="right"/>
              <w:outlineLvl w:val="2"/>
              <w:rPr>
                <w:rFonts w:cs="Cambria"/>
                <w:szCs w:val="21"/>
              </w:rPr>
            </w:pPr>
            <w:r>
              <w:t>26,115,614.73</w:t>
            </w:r>
          </w:p>
        </w:tc>
        <w:tc>
          <w:tcPr>
            <w:tcW w:w="1074" w:type="pct"/>
            <w:tcBorders>
              <w:top w:val="single" w:sz="4" w:space="0" w:color="auto"/>
              <w:left w:val="single" w:sz="4" w:space="0" w:color="auto"/>
              <w:bottom w:val="single" w:sz="4" w:space="0" w:color="auto"/>
              <w:right w:val="single" w:sz="4" w:space="0" w:color="auto"/>
            </w:tcBorders>
            <w:vAlign w:val="center"/>
          </w:tcPr>
          <w:p w14:paraId="59833F20"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1B19A40A" w14:textId="77777777" w:rsidR="004E628F" w:rsidRDefault="004E628F" w:rsidP="004E628F">
            <w:pPr>
              <w:jc w:val="right"/>
              <w:outlineLvl w:val="2"/>
              <w:rPr>
                <w:rFonts w:cs="Cambria"/>
                <w:szCs w:val="21"/>
              </w:rPr>
            </w:pPr>
            <w:r>
              <w:t>26,115,614.73</w:t>
            </w:r>
          </w:p>
        </w:tc>
      </w:tr>
      <w:tr w:rsidR="004E628F" w14:paraId="25336B9D" w14:textId="77777777">
        <w:trPr>
          <w:trHeight w:val="296"/>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1FA1C513" w14:textId="77777777" w:rsidR="004E628F" w:rsidRDefault="004E628F" w:rsidP="004E628F">
            <w:pPr>
              <w:outlineLvl w:val="2"/>
              <w:rPr>
                <w:rFonts w:cs="Cambria"/>
                <w:szCs w:val="21"/>
              </w:rPr>
            </w:pPr>
            <w:r>
              <w:rPr>
                <w:rFonts w:cs="Cambria"/>
                <w:szCs w:val="21"/>
              </w:rPr>
              <w:t>1.以公允价值计量且变动计入当期损益的金融负债</w:t>
            </w:r>
          </w:p>
        </w:tc>
        <w:tc>
          <w:tcPr>
            <w:tcW w:w="896" w:type="pct"/>
            <w:tcBorders>
              <w:top w:val="single" w:sz="4" w:space="0" w:color="auto"/>
              <w:left w:val="single" w:sz="4" w:space="0" w:color="auto"/>
              <w:bottom w:val="single" w:sz="4" w:space="0" w:color="auto"/>
              <w:right w:val="single" w:sz="4" w:space="0" w:color="auto"/>
            </w:tcBorders>
            <w:vAlign w:val="center"/>
          </w:tcPr>
          <w:p w14:paraId="1C12288B"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7FAA30A3" w14:textId="77777777" w:rsidR="004E628F" w:rsidRDefault="004E628F" w:rsidP="004E628F">
            <w:pPr>
              <w:jc w:val="right"/>
              <w:outlineLvl w:val="2"/>
              <w:rPr>
                <w:rFonts w:cs="Cambria"/>
                <w:szCs w:val="21"/>
              </w:rPr>
            </w:pPr>
            <w:r>
              <w:t>26,115,614.73</w:t>
            </w:r>
          </w:p>
        </w:tc>
        <w:tc>
          <w:tcPr>
            <w:tcW w:w="1074" w:type="pct"/>
            <w:tcBorders>
              <w:top w:val="single" w:sz="4" w:space="0" w:color="auto"/>
              <w:left w:val="single" w:sz="4" w:space="0" w:color="auto"/>
              <w:bottom w:val="single" w:sz="4" w:space="0" w:color="auto"/>
              <w:right w:val="single" w:sz="4" w:space="0" w:color="auto"/>
            </w:tcBorders>
            <w:vAlign w:val="center"/>
          </w:tcPr>
          <w:p w14:paraId="3F18DCBE"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37D944DC" w14:textId="77777777" w:rsidR="004E628F" w:rsidRDefault="004E628F" w:rsidP="004E628F">
            <w:pPr>
              <w:jc w:val="right"/>
              <w:outlineLvl w:val="2"/>
              <w:rPr>
                <w:rFonts w:cs="Cambria"/>
                <w:szCs w:val="21"/>
              </w:rPr>
            </w:pPr>
            <w:r>
              <w:t>26,115,614.73</w:t>
            </w:r>
          </w:p>
        </w:tc>
      </w:tr>
      <w:tr w:rsidR="004E628F" w14:paraId="418E9262" w14:textId="77777777">
        <w:trPr>
          <w:trHeight w:val="240"/>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40B428A6" w14:textId="77777777" w:rsidR="004E628F" w:rsidRDefault="004E628F" w:rsidP="004E628F">
            <w:pPr>
              <w:outlineLvl w:val="2"/>
              <w:rPr>
                <w:rFonts w:cs="Cambria"/>
                <w:szCs w:val="21"/>
              </w:rPr>
            </w:pPr>
            <w:r>
              <w:rPr>
                <w:rFonts w:cs="Cambria" w:hint="eastAsia"/>
                <w:szCs w:val="21"/>
              </w:rPr>
              <w:t>其中：发行的交易性债券</w:t>
            </w:r>
          </w:p>
        </w:tc>
        <w:tc>
          <w:tcPr>
            <w:tcW w:w="896" w:type="pct"/>
            <w:tcBorders>
              <w:top w:val="single" w:sz="4" w:space="0" w:color="auto"/>
              <w:left w:val="single" w:sz="4" w:space="0" w:color="auto"/>
              <w:bottom w:val="single" w:sz="4" w:space="0" w:color="auto"/>
              <w:right w:val="single" w:sz="4" w:space="0" w:color="auto"/>
            </w:tcBorders>
          </w:tcPr>
          <w:p w14:paraId="5A882E23"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55ED9A5" w14:textId="77777777" w:rsidR="004E628F" w:rsidRDefault="004E628F" w:rsidP="004E628F">
            <w:pPr>
              <w:jc w:val="right"/>
            </w:pPr>
          </w:p>
        </w:tc>
        <w:tc>
          <w:tcPr>
            <w:tcW w:w="1074" w:type="pct"/>
            <w:tcBorders>
              <w:top w:val="single" w:sz="4" w:space="0" w:color="auto"/>
              <w:left w:val="single" w:sz="4" w:space="0" w:color="auto"/>
              <w:bottom w:val="single" w:sz="4" w:space="0" w:color="auto"/>
              <w:right w:val="single" w:sz="4" w:space="0" w:color="auto"/>
            </w:tcBorders>
          </w:tcPr>
          <w:p w14:paraId="12D05C1F" w14:textId="77777777" w:rsidR="004E628F" w:rsidRDefault="004E628F" w:rsidP="004E628F">
            <w:pPr>
              <w:jc w:val="right"/>
            </w:pPr>
          </w:p>
        </w:tc>
        <w:tc>
          <w:tcPr>
            <w:tcW w:w="1075" w:type="pct"/>
            <w:tcBorders>
              <w:top w:val="single" w:sz="4" w:space="0" w:color="auto"/>
              <w:left w:val="single" w:sz="4" w:space="0" w:color="auto"/>
              <w:bottom w:val="single" w:sz="4" w:space="0" w:color="auto"/>
              <w:right w:val="single" w:sz="4" w:space="0" w:color="auto"/>
            </w:tcBorders>
          </w:tcPr>
          <w:p w14:paraId="5E6AC82F" w14:textId="77777777" w:rsidR="004E628F" w:rsidRDefault="004E628F" w:rsidP="004E628F">
            <w:pPr>
              <w:jc w:val="right"/>
            </w:pPr>
          </w:p>
        </w:tc>
      </w:tr>
      <w:tr w:rsidR="004E628F" w14:paraId="2BB9B660" w14:textId="77777777">
        <w:trPr>
          <w:trHeight w:val="286"/>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1592953E" w14:textId="77777777" w:rsidR="004E628F" w:rsidRDefault="004E628F" w:rsidP="004E628F">
            <w:pPr>
              <w:tabs>
                <w:tab w:val="left" w:pos="432"/>
                <w:tab w:val="center" w:pos="5630"/>
                <w:tab w:val="center" w:pos="7430"/>
              </w:tabs>
              <w:ind w:firstLineChars="300" w:firstLine="630"/>
              <w:rPr>
                <w:rFonts w:cs="Cambria"/>
                <w:szCs w:val="21"/>
              </w:rPr>
            </w:pPr>
            <w:r>
              <w:rPr>
                <w:rFonts w:cs="Cambria" w:hint="eastAsia"/>
                <w:szCs w:val="21"/>
              </w:rPr>
              <w:t>衍生金融负债</w:t>
            </w:r>
          </w:p>
        </w:tc>
        <w:tc>
          <w:tcPr>
            <w:tcW w:w="896" w:type="pct"/>
            <w:tcBorders>
              <w:top w:val="single" w:sz="4" w:space="0" w:color="auto"/>
              <w:left w:val="single" w:sz="4" w:space="0" w:color="auto"/>
              <w:bottom w:val="single" w:sz="4" w:space="0" w:color="auto"/>
              <w:right w:val="single" w:sz="4" w:space="0" w:color="auto"/>
            </w:tcBorders>
          </w:tcPr>
          <w:p w14:paraId="3374249F"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9ADAAFA"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tcPr>
          <w:p w14:paraId="6684E9AC"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tcPr>
          <w:p w14:paraId="140555D0" w14:textId="77777777" w:rsidR="004E628F" w:rsidRDefault="004E628F" w:rsidP="004E628F">
            <w:pPr>
              <w:jc w:val="right"/>
              <w:outlineLvl w:val="2"/>
              <w:rPr>
                <w:rFonts w:cs="Cambria"/>
                <w:szCs w:val="21"/>
              </w:rPr>
            </w:pPr>
          </w:p>
        </w:tc>
      </w:tr>
      <w:tr w:rsidR="004E628F" w14:paraId="14BC154D" w14:textId="77777777">
        <w:trPr>
          <w:trHeight w:val="284"/>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0E9641FE" w14:textId="77777777" w:rsidR="004E628F" w:rsidRDefault="004E628F" w:rsidP="004E628F">
            <w:pPr>
              <w:tabs>
                <w:tab w:val="left" w:pos="432"/>
                <w:tab w:val="center" w:pos="5630"/>
                <w:tab w:val="center" w:pos="7430"/>
              </w:tabs>
              <w:ind w:firstLineChars="300" w:firstLine="630"/>
              <w:rPr>
                <w:rFonts w:cs="Cambria"/>
                <w:szCs w:val="21"/>
              </w:rPr>
            </w:pPr>
            <w:r>
              <w:rPr>
                <w:rFonts w:cs="Cambria" w:hint="eastAsia"/>
                <w:szCs w:val="21"/>
              </w:rPr>
              <w:t>其他</w:t>
            </w:r>
          </w:p>
        </w:tc>
        <w:tc>
          <w:tcPr>
            <w:tcW w:w="896" w:type="pct"/>
            <w:tcBorders>
              <w:top w:val="single" w:sz="4" w:space="0" w:color="auto"/>
              <w:left w:val="single" w:sz="4" w:space="0" w:color="auto"/>
              <w:bottom w:val="single" w:sz="4" w:space="0" w:color="auto"/>
              <w:right w:val="single" w:sz="4" w:space="0" w:color="auto"/>
            </w:tcBorders>
          </w:tcPr>
          <w:p w14:paraId="356E5AD5"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59F61A3" w14:textId="77777777" w:rsidR="004E628F" w:rsidRDefault="004E628F" w:rsidP="004E628F">
            <w:pPr>
              <w:jc w:val="right"/>
              <w:outlineLvl w:val="2"/>
              <w:rPr>
                <w:rFonts w:cs="Cambria"/>
                <w:szCs w:val="21"/>
              </w:rPr>
            </w:pPr>
            <w:r>
              <w:t>26,115,614.73</w:t>
            </w:r>
          </w:p>
        </w:tc>
        <w:tc>
          <w:tcPr>
            <w:tcW w:w="1074" w:type="pct"/>
            <w:tcBorders>
              <w:top w:val="single" w:sz="4" w:space="0" w:color="auto"/>
              <w:left w:val="single" w:sz="4" w:space="0" w:color="auto"/>
              <w:bottom w:val="single" w:sz="4" w:space="0" w:color="auto"/>
              <w:right w:val="single" w:sz="4" w:space="0" w:color="auto"/>
            </w:tcBorders>
            <w:vAlign w:val="center"/>
          </w:tcPr>
          <w:p w14:paraId="2E719643"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569E5F55" w14:textId="77777777" w:rsidR="004E628F" w:rsidRDefault="004E628F" w:rsidP="004E628F">
            <w:pPr>
              <w:jc w:val="right"/>
              <w:outlineLvl w:val="2"/>
              <w:rPr>
                <w:rFonts w:cs="Cambria"/>
                <w:szCs w:val="21"/>
              </w:rPr>
            </w:pPr>
            <w:r>
              <w:t>26,115,614.73</w:t>
            </w:r>
          </w:p>
        </w:tc>
      </w:tr>
      <w:tr w:rsidR="004E628F" w14:paraId="25E6C21A" w14:textId="77777777">
        <w:trPr>
          <w:trHeight w:val="468"/>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0E89E126" w14:textId="77777777" w:rsidR="004E628F" w:rsidRDefault="004E628F" w:rsidP="004E628F">
            <w:pPr>
              <w:outlineLvl w:val="2"/>
              <w:rPr>
                <w:rFonts w:cs="Cambria"/>
                <w:szCs w:val="21"/>
              </w:rPr>
            </w:pPr>
            <w:r>
              <w:rPr>
                <w:rFonts w:cs="Cambria" w:hint="eastAsia"/>
                <w:szCs w:val="21"/>
              </w:rPr>
              <w:t>2.指定为以公允价值计量且变动计入当期损益的金融负债</w:t>
            </w:r>
          </w:p>
        </w:tc>
        <w:tc>
          <w:tcPr>
            <w:tcW w:w="896" w:type="pct"/>
            <w:tcBorders>
              <w:top w:val="single" w:sz="4" w:space="0" w:color="auto"/>
              <w:left w:val="single" w:sz="4" w:space="0" w:color="auto"/>
              <w:bottom w:val="single" w:sz="4" w:space="0" w:color="auto"/>
              <w:right w:val="single" w:sz="4" w:space="0" w:color="auto"/>
            </w:tcBorders>
          </w:tcPr>
          <w:p w14:paraId="5A8F2ECB"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203003B" w14:textId="77777777" w:rsidR="004E628F" w:rsidRDefault="004E628F" w:rsidP="004E628F">
            <w:pPr>
              <w:jc w:val="right"/>
              <w:outlineLvl w:val="2"/>
              <w:rPr>
                <w:rFonts w:cs="Cambria"/>
                <w:szCs w:val="21"/>
              </w:rPr>
            </w:pPr>
          </w:p>
        </w:tc>
        <w:tc>
          <w:tcPr>
            <w:tcW w:w="1074" w:type="pct"/>
            <w:tcBorders>
              <w:top w:val="single" w:sz="4" w:space="0" w:color="auto"/>
              <w:left w:val="single" w:sz="4" w:space="0" w:color="auto"/>
              <w:bottom w:val="single" w:sz="4" w:space="0" w:color="auto"/>
              <w:right w:val="single" w:sz="4" w:space="0" w:color="auto"/>
            </w:tcBorders>
          </w:tcPr>
          <w:p w14:paraId="082CB326" w14:textId="77777777" w:rsidR="004E628F" w:rsidRDefault="004E628F" w:rsidP="004E628F">
            <w:pPr>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tcPr>
          <w:p w14:paraId="35E178DF" w14:textId="77777777" w:rsidR="004E628F" w:rsidRDefault="004E628F" w:rsidP="004E628F">
            <w:pPr>
              <w:jc w:val="right"/>
              <w:outlineLvl w:val="2"/>
              <w:rPr>
                <w:rFonts w:cs="Cambria"/>
                <w:szCs w:val="21"/>
              </w:rPr>
            </w:pPr>
          </w:p>
        </w:tc>
      </w:tr>
      <w:tr w:rsidR="004E628F" w14:paraId="4421C265" w14:textId="77777777">
        <w:trPr>
          <w:trHeight w:val="215"/>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20B1370A" w14:textId="77777777" w:rsidR="004E628F" w:rsidRDefault="008D1F83" w:rsidP="004E628F">
            <w:pPr>
              <w:outlineLvl w:val="2"/>
              <w:rPr>
                <w:rFonts w:cs="Cambria"/>
                <w:szCs w:val="21"/>
              </w:rPr>
            </w:pPr>
            <w:r>
              <w:rPr>
                <w:rFonts w:hint="eastAsia"/>
              </w:rPr>
              <w:t>（七）</w:t>
            </w:r>
            <w:r w:rsidR="004E628F">
              <w:t>衍生金融负债</w:t>
            </w:r>
          </w:p>
        </w:tc>
        <w:tc>
          <w:tcPr>
            <w:tcW w:w="896" w:type="pct"/>
            <w:tcBorders>
              <w:top w:val="single" w:sz="4" w:space="0" w:color="auto"/>
              <w:left w:val="single" w:sz="4" w:space="0" w:color="auto"/>
              <w:bottom w:val="single" w:sz="4" w:space="0" w:color="auto"/>
              <w:right w:val="single" w:sz="4" w:space="0" w:color="auto"/>
            </w:tcBorders>
          </w:tcPr>
          <w:p w14:paraId="49993B12" w14:textId="77777777" w:rsidR="004E628F" w:rsidRDefault="004E628F" w:rsidP="004E628F">
            <w:pPr>
              <w:jc w:val="right"/>
              <w:outlineLvl w:val="2"/>
              <w:rPr>
                <w:rFonts w:cs="Cambria"/>
                <w:szCs w:val="21"/>
              </w:rPr>
            </w:pPr>
            <w:r>
              <w:t> </w:t>
            </w:r>
          </w:p>
        </w:tc>
        <w:tc>
          <w:tcPr>
            <w:tcW w:w="896" w:type="pct"/>
            <w:tcBorders>
              <w:top w:val="single" w:sz="4" w:space="0" w:color="auto"/>
              <w:left w:val="single" w:sz="4" w:space="0" w:color="auto"/>
              <w:bottom w:val="single" w:sz="4" w:space="0" w:color="auto"/>
              <w:right w:val="single" w:sz="4" w:space="0" w:color="auto"/>
            </w:tcBorders>
          </w:tcPr>
          <w:p w14:paraId="167C0379" w14:textId="77777777" w:rsidR="004E628F" w:rsidRDefault="004E628F" w:rsidP="004E628F">
            <w:pPr>
              <w:jc w:val="right"/>
              <w:outlineLvl w:val="2"/>
              <w:rPr>
                <w:rFonts w:cs="Cambria"/>
                <w:szCs w:val="21"/>
              </w:rPr>
            </w:pPr>
            <w:r>
              <w:t>46,418,000.00</w:t>
            </w:r>
          </w:p>
        </w:tc>
        <w:tc>
          <w:tcPr>
            <w:tcW w:w="1074" w:type="pct"/>
            <w:tcBorders>
              <w:top w:val="single" w:sz="4" w:space="0" w:color="auto"/>
              <w:left w:val="single" w:sz="4" w:space="0" w:color="auto"/>
              <w:bottom w:val="single" w:sz="4" w:space="0" w:color="auto"/>
              <w:right w:val="single" w:sz="4" w:space="0" w:color="auto"/>
            </w:tcBorders>
          </w:tcPr>
          <w:p w14:paraId="2E9DFBF2" w14:textId="77777777" w:rsidR="004E628F" w:rsidRDefault="004E628F" w:rsidP="004E628F">
            <w:pPr>
              <w:jc w:val="right"/>
              <w:outlineLvl w:val="2"/>
              <w:rPr>
                <w:rFonts w:cs="Cambria"/>
                <w:szCs w:val="21"/>
              </w:rPr>
            </w:pPr>
            <w:r>
              <w:t> </w:t>
            </w:r>
          </w:p>
        </w:tc>
        <w:tc>
          <w:tcPr>
            <w:tcW w:w="1075" w:type="pct"/>
            <w:tcBorders>
              <w:top w:val="single" w:sz="4" w:space="0" w:color="auto"/>
              <w:left w:val="single" w:sz="4" w:space="0" w:color="auto"/>
              <w:bottom w:val="single" w:sz="4" w:space="0" w:color="auto"/>
              <w:right w:val="single" w:sz="4" w:space="0" w:color="auto"/>
            </w:tcBorders>
          </w:tcPr>
          <w:p w14:paraId="7DD73539" w14:textId="77777777" w:rsidR="004E628F" w:rsidRDefault="004E628F" w:rsidP="004E628F">
            <w:pPr>
              <w:jc w:val="right"/>
              <w:outlineLvl w:val="2"/>
              <w:rPr>
                <w:rFonts w:cs="Cambria"/>
                <w:szCs w:val="21"/>
              </w:rPr>
            </w:pPr>
            <w:r>
              <w:t>46,418,000.00</w:t>
            </w:r>
          </w:p>
        </w:tc>
      </w:tr>
      <w:tr w:rsidR="004E628F" w14:paraId="558EEE62" w14:textId="77777777">
        <w:trPr>
          <w:trHeight w:val="468"/>
        </w:trPr>
        <w:tc>
          <w:tcPr>
            <w:tcW w:w="1059" w:type="pct"/>
            <w:tcBorders>
              <w:top w:val="single" w:sz="4" w:space="0" w:color="auto"/>
              <w:left w:val="single" w:sz="4" w:space="0" w:color="auto"/>
              <w:bottom w:val="single" w:sz="4" w:space="0" w:color="auto"/>
              <w:right w:val="single" w:sz="4" w:space="0" w:color="auto"/>
            </w:tcBorders>
            <w:shd w:val="clear" w:color="auto" w:fill="auto"/>
          </w:tcPr>
          <w:p w14:paraId="5E2B6BBD" w14:textId="77777777" w:rsidR="004E628F" w:rsidRDefault="004E628F" w:rsidP="004E628F">
            <w:pPr>
              <w:outlineLvl w:val="2"/>
              <w:rPr>
                <w:rFonts w:cs="Cambria"/>
                <w:b/>
                <w:szCs w:val="21"/>
              </w:rPr>
            </w:pPr>
            <w:r>
              <w:rPr>
                <w:rFonts w:cs="Cambria" w:hint="eastAsia"/>
                <w:b/>
                <w:szCs w:val="21"/>
              </w:rPr>
              <w:t>持续以公允价值计量的负债总额</w:t>
            </w:r>
          </w:p>
        </w:tc>
        <w:tc>
          <w:tcPr>
            <w:tcW w:w="896" w:type="pct"/>
            <w:tcBorders>
              <w:top w:val="single" w:sz="4" w:space="0" w:color="auto"/>
              <w:left w:val="single" w:sz="4" w:space="0" w:color="auto"/>
              <w:bottom w:val="single" w:sz="4" w:space="0" w:color="auto"/>
              <w:right w:val="single" w:sz="4" w:space="0" w:color="auto"/>
            </w:tcBorders>
          </w:tcPr>
          <w:p w14:paraId="42D123B3" w14:textId="77777777" w:rsidR="004E628F" w:rsidRDefault="004E628F" w:rsidP="004E628F">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C537566" w14:textId="77777777" w:rsidR="004E628F" w:rsidRDefault="004E628F" w:rsidP="004E628F">
            <w:pPr>
              <w:jc w:val="right"/>
              <w:outlineLvl w:val="2"/>
              <w:rPr>
                <w:rFonts w:cs="Cambria"/>
                <w:szCs w:val="21"/>
              </w:rPr>
            </w:pPr>
            <w:r>
              <w:t>72,533,614.73</w:t>
            </w:r>
          </w:p>
        </w:tc>
        <w:tc>
          <w:tcPr>
            <w:tcW w:w="1074" w:type="pct"/>
            <w:tcBorders>
              <w:top w:val="single" w:sz="4" w:space="0" w:color="auto"/>
              <w:left w:val="single" w:sz="4" w:space="0" w:color="auto"/>
              <w:bottom w:val="single" w:sz="4" w:space="0" w:color="auto"/>
              <w:right w:val="single" w:sz="4" w:space="0" w:color="auto"/>
            </w:tcBorders>
            <w:vAlign w:val="center"/>
          </w:tcPr>
          <w:p w14:paraId="58CBAF0F" w14:textId="77777777" w:rsidR="004E628F" w:rsidRDefault="004E628F" w:rsidP="004E628F">
            <w:pPr>
              <w:tabs>
                <w:tab w:val="center" w:pos="824"/>
                <w:tab w:val="right" w:pos="1649"/>
              </w:tabs>
              <w:jc w:val="right"/>
              <w:outlineLvl w:val="2"/>
              <w:rPr>
                <w:rFonts w:cs="Cambria"/>
                <w:szCs w:val="21"/>
              </w:rPr>
            </w:pPr>
          </w:p>
        </w:tc>
        <w:tc>
          <w:tcPr>
            <w:tcW w:w="1075" w:type="pct"/>
            <w:tcBorders>
              <w:top w:val="single" w:sz="4" w:space="0" w:color="auto"/>
              <w:left w:val="single" w:sz="4" w:space="0" w:color="auto"/>
              <w:bottom w:val="single" w:sz="4" w:space="0" w:color="auto"/>
              <w:right w:val="single" w:sz="4" w:space="0" w:color="auto"/>
            </w:tcBorders>
            <w:vAlign w:val="center"/>
          </w:tcPr>
          <w:p w14:paraId="1907A699" w14:textId="77777777" w:rsidR="004E628F" w:rsidRDefault="004E628F" w:rsidP="004E628F">
            <w:pPr>
              <w:jc w:val="right"/>
              <w:outlineLvl w:val="2"/>
              <w:rPr>
                <w:rFonts w:cs="Cambria"/>
                <w:szCs w:val="21"/>
              </w:rPr>
            </w:pPr>
            <w:r>
              <w:t>72,533,614.73</w:t>
            </w:r>
          </w:p>
        </w:tc>
      </w:tr>
    </w:tbl>
    <w:p w14:paraId="675C0548" w14:textId="77777777" w:rsidR="00E57DAA" w:rsidRDefault="00E57DAA" w:rsidP="00C25422">
      <w:pPr>
        <w:pStyle w:val="92"/>
      </w:pPr>
    </w:p>
    <w:p w14:paraId="504399A2" w14:textId="77777777" w:rsidR="00E57DAA" w:rsidRDefault="00AC4185" w:rsidP="00C25422">
      <w:pPr>
        <w:pStyle w:val="91"/>
        <w:numPr>
          <w:ilvl w:val="0"/>
          <w:numId w:val="120"/>
        </w:numPr>
      </w:pPr>
      <w:r>
        <w:rPr>
          <w:rFonts w:hint="eastAsia"/>
        </w:rPr>
        <w:t>持续和非持续第一层次公允价值计量项目市价的确定依据</w:t>
      </w:r>
    </w:p>
    <w:bookmarkEnd w:id="314" w:displacedByCustomXml="next"/>
    <w:sdt>
      <w:sdtPr>
        <w:rPr>
          <w:rFonts w:cs="Arial" w:hint="eastAsia"/>
          <w:szCs w:val="21"/>
        </w:rPr>
        <w:alias w:val="是否适用：持续和非持续第一层次公允价值计量项目市价的确定依据[双击切换]"/>
        <w:tag w:val="_GBC_fc42dd94906341819da0f825b0c88571"/>
        <w:id w:val="-767391838"/>
        <w:placeholder>
          <w:docPart w:val="GBC22222222222222222222222222222"/>
        </w:placeholder>
      </w:sdtPr>
      <w:sdtEndPr/>
      <w:sdtContent>
        <w:p w14:paraId="4C69CD11" w14:textId="77777777" w:rsidR="00E57DAA" w:rsidRDefault="00AC4185">
          <w:pPr>
            <w:rPr>
              <w:rFonts w:cs="Arial"/>
              <w:szCs w:val="21"/>
            </w:rPr>
          </w:pPr>
          <w:r>
            <w:rPr>
              <w:rFonts w:cs="Arial"/>
              <w:szCs w:val="21"/>
            </w:rPr>
            <w:fldChar w:fldCharType="begin"/>
          </w:r>
          <w:r>
            <w:rPr>
              <w:rFonts w:cs="Arial"/>
              <w:szCs w:val="21"/>
            </w:rPr>
            <w:instrText xml:space="preserve"> </w:instrText>
          </w:r>
          <w:r>
            <w:rPr>
              <w:rFonts w:cs="Arial" w:hint="eastAsia"/>
              <w:szCs w:val="21"/>
            </w:rPr>
            <w:instrText xml:space="preserve">MACROBUTTON  SnrToggleCheckbox √适用 </w:instrText>
          </w:r>
          <w:r>
            <w:rPr>
              <w:rFonts w:cs="Arial"/>
              <w:szCs w:val="21"/>
            </w:rPr>
            <w:instrText xml:space="preserve">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1ECF0A0" w14:textId="77777777" w:rsidR="00E57DAA" w:rsidRDefault="00EB41A1">
      <w:pPr>
        <w:ind w:firstLineChars="200" w:firstLine="420"/>
        <w:rPr>
          <w:rFonts w:cs="Arial"/>
          <w:szCs w:val="21"/>
        </w:rPr>
      </w:pPr>
      <w:sdt>
        <w:sdtPr>
          <w:rPr>
            <w:rFonts w:cs="Arial" w:hint="eastAsia"/>
            <w:szCs w:val="21"/>
          </w:rPr>
          <w:alias w:val="持续和非持续第一层次公允价值计量项目市价的确定依据"/>
          <w:tag w:val="_GBC_8db65a2ca59047da919942f97cfc594e"/>
          <w:id w:val="-1073122420"/>
          <w:placeholder>
            <w:docPart w:val="GBC22222222222222222222222222222"/>
          </w:placeholder>
        </w:sdtPr>
        <w:sdtEndPr/>
        <w:sdtContent>
          <w:r w:rsidR="00AC4185">
            <w:rPr>
              <w:rFonts w:cs="Arial" w:hint="eastAsia"/>
              <w:szCs w:val="21"/>
            </w:rPr>
            <w:t>交易性金融资产中权益工具投资为</w:t>
          </w:r>
          <w:r w:rsidR="00AC4185">
            <w:rPr>
              <w:rFonts w:cs="Arial"/>
              <w:szCs w:val="21"/>
            </w:rPr>
            <w:t>A股股票，市价确定依据为年末最后一个交易日收盘价。</w:t>
          </w:r>
        </w:sdtContent>
      </w:sdt>
    </w:p>
    <w:p w14:paraId="49D7EFBC" w14:textId="77777777" w:rsidR="00E57DAA" w:rsidRDefault="00E57DAA">
      <w:pPr>
        <w:tabs>
          <w:tab w:val="left" w:pos="1134"/>
        </w:tabs>
        <w:rPr>
          <w:rFonts w:cs="Cambria"/>
          <w:b/>
          <w:szCs w:val="21"/>
        </w:rPr>
      </w:pPr>
    </w:p>
    <w:p w14:paraId="7C14CF51" w14:textId="77777777" w:rsidR="00E57DAA" w:rsidRDefault="00AC4185" w:rsidP="00C25422">
      <w:pPr>
        <w:pStyle w:val="91"/>
        <w:numPr>
          <w:ilvl w:val="0"/>
          <w:numId w:val="120"/>
        </w:numPr>
      </w:pPr>
      <w:r>
        <w:rPr>
          <w:rFonts w:hint="eastAsia"/>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498004577"/>
        <w:placeholder>
          <w:docPart w:val="GBC22222222222222222222222222222"/>
        </w:placeholder>
      </w:sdtPr>
      <w:sdtEndPr/>
      <w:sdtContent>
        <w:p w14:paraId="45625654" w14:textId="77777777" w:rsidR="00E57DAA" w:rsidRDefault="00AC4185">
          <w:pPr>
            <w:tabs>
              <w:tab w:val="left" w:pos="1134"/>
            </w:tabs>
            <w:rPr>
              <w:rFonts w:cs="Cambria"/>
              <w:szCs w:val="21"/>
            </w:rPr>
          </w:pPr>
          <w:r>
            <w:rPr>
              <w:rFonts w:cs="Cambria"/>
              <w:szCs w:val="21"/>
            </w:rPr>
            <w:fldChar w:fldCharType="begin"/>
          </w:r>
          <w:r>
            <w:rPr>
              <w:rFonts w:cs="Cambria"/>
              <w:szCs w:val="21"/>
            </w:rPr>
            <w:instrText xml:space="preserve"> </w:instrText>
          </w:r>
          <w:r>
            <w:rPr>
              <w:rFonts w:cs="Cambria" w:hint="eastAsia"/>
              <w:szCs w:val="21"/>
            </w:rPr>
            <w:instrText xml:space="preserve">MACROBUTTON  SnrToggleCheckbox √适用 </w:instrText>
          </w:r>
          <w:r>
            <w:rPr>
              <w:rFonts w:cs="Cambria"/>
              <w:szCs w:val="21"/>
            </w:rPr>
            <w:instrText xml:space="preserve">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442152456"/>
        <w:placeholder>
          <w:docPart w:val="GBC22222222222222222222222222222"/>
        </w:placeholder>
      </w:sdtPr>
      <w:sdtEndPr/>
      <w:sdtContent>
        <w:p w14:paraId="6896B0C0" w14:textId="77777777" w:rsidR="00E57DAA" w:rsidRDefault="00AC4185">
          <w:pPr>
            <w:tabs>
              <w:tab w:val="left" w:pos="1134"/>
            </w:tabs>
            <w:ind w:firstLineChars="200" w:firstLine="420"/>
            <w:rPr>
              <w:rFonts w:cs="Cambria"/>
              <w:szCs w:val="21"/>
            </w:rPr>
          </w:pPr>
          <w:r>
            <w:rPr>
              <w:rFonts w:cs="Cambria" w:hint="eastAsia"/>
              <w:szCs w:val="21"/>
            </w:rPr>
            <w:t>交易性金融资产中远期外汇合约、银行理财产品、衍生金融资产、交易性金融负债中远期外汇合约的估值方法为贴现现金流，即未来现金流按年末可观察的远期汇率及合约远期利率来计算，并能反映各同业的信贷风险。</w:t>
          </w:r>
        </w:p>
      </w:sdtContent>
    </w:sdt>
    <w:p w14:paraId="7807A697" w14:textId="77777777" w:rsidR="00E57DAA" w:rsidRDefault="00E57DAA">
      <w:pPr>
        <w:rPr>
          <w:szCs w:val="21"/>
        </w:rPr>
      </w:pPr>
    </w:p>
    <w:p w14:paraId="588EDDD3" w14:textId="77777777" w:rsidR="00E57DAA" w:rsidRDefault="00AC4185" w:rsidP="00C25422">
      <w:pPr>
        <w:pStyle w:val="91"/>
        <w:numPr>
          <w:ilvl w:val="0"/>
          <w:numId w:val="120"/>
        </w:numPr>
      </w:pPr>
      <w:r>
        <w:rPr>
          <w:rFonts w:hint="eastAsia"/>
        </w:rPr>
        <w:lastRenderedPageBreak/>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74086575"/>
        <w:placeholder>
          <w:docPart w:val="GBC22222222222222222222222222222"/>
        </w:placeholder>
      </w:sdtPr>
      <w:sdtEndPr/>
      <w:sdtContent>
        <w:p w14:paraId="7BE0C1F0"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45363669"/>
        <w:placeholder>
          <w:docPart w:val="GBC22222222222222222222222222222"/>
        </w:placeholder>
      </w:sdtPr>
      <w:sdtEndPr/>
      <w:sdtContent>
        <w:p w14:paraId="787D0FAB" w14:textId="77777777" w:rsidR="00E57DAA" w:rsidRDefault="00AC4185">
          <w:pPr>
            <w:ind w:firstLineChars="200" w:firstLine="420"/>
            <w:rPr>
              <w:szCs w:val="21"/>
            </w:rPr>
          </w:pPr>
          <w:r>
            <w:rPr>
              <w:rFonts w:hint="eastAsia"/>
              <w:szCs w:val="21"/>
            </w:rPr>
            <w:t>交易性金融资产中非上市权益工具投资，以本公司聘请估值专家采用估值技术确定的股权价值或以投资成本代表该投资公允价值的最佳估计。应收款项融资以贴现率（期限超过一年）或相当于整个存续期内预期信用损失的金额代表该类金融资产公允价值的最佳估计。私募基金以本公司咨询基金公司采用估值技术确定的基金价值代表该基金的最佳估计数。</w:t>
          </w:r>
        </w:p>
      </w:sdtContent>
    </w:sdt>
    <w:p w14:paraId="70CEFA25" w14:textId="77777777" w:rsidR="00E57DAA" w:rsidRDefault="00E57DAA">
      <w:pPr>
        <w:tabs>
          <w:tab w:val="left" w:pos="1134"/>
        </w:tabs>
        <w:rPr>
          <w:rFonts w:cs="Cambria"/>
          <w:b/>
          <w:szCs w:val="21"/>
        </w:rPr>
      </w:pPr>
    </w:p>
    <w:p w14:paraId="4F5F545A" w14:textId="77777777" w:rsidR="00E57DAA" w:rsidRDefault="00AC4185" w:rsidP="00C25422">
      <w:pPr>
        <w:pStyle w:val="91"/>
        <w:numPr>
          <w:ilvl w:val="0"/>
          <w:numId w:val="120"/>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6672851"/>
        <w:placeholder>
          <w:docPart w:val="GBC22222222222222222222222222222"/>
        </w:placeholder>
      </w:sdtPr>
      <w:sdtEndPr/>
      <w:sdtContent>
        <w:p w14:paraId="1733E4BA"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DA79DB" w14:textId="77777777" w:rsidR="00E57DAA" w:rsidRDefault="00E57DAA">
      <w:pPr>
        <w:tabs>
          <w:tab w:val="left" w:pos="1134"/>
        </w:tabs>
        <w:rPr>
          <w:rFonts w:cs="Cambria"/>
          <w:b/>
          <w:szCs w:val="21"/>
        </w:rPr>
      </w:pPr>
    </w:p>
    <w:p w14:paraId="24818893" w14:textId="77777777" w:rsidR="00E57DAA" w:rsidRDefault="00AC4185" w:rsidP="00C25422">
      <w:pPr>
        <w:pStyle w:val="91"/>
        <w:numPr>
          <w:ilvl w:val="0"/>
          <w:numId w:val="120"/>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867359469"/>
        <w:placeholder>
          <w:docPart w:val="GBC22222222222222222222222222222"/>
        </w:placeholder>
      </w:sdtPr>
      <w:sdtEndPr/>
      <w:sdtContent>
        <w:p w14:paraId="186123D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A941BA" w14:textId="77777777" w:rsidR="00E57DAA" w:rsidRDefault="00E57DAA">
      <w:pPr>
        <w:tabs>
          <w:tab w:val="left" w:pos="1134"/>
        </w:tabs>
        <w:rPr>
          <w:rFonts w:cs="Cambria"/>
          <w:b/>
          <w:szCs w:val="21"/>
        </w:rPr>
      </w:pPr>
    </w:p>
    <w:p w14:paraId="354B6D1D" w14:textId="77777777" w:rsidR="00E57DAA" w:rsidRDefault="00AC4185" w:rsidP="00C25422">
      <w:pPr>
        <w:pStyle w:val="91"/>
        <w:numPr>
          <w:ilvl w:val="0"/>
          <w:numId w:val="120"/>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922605604"/>
        <w:placeholder>
          <w:docPart w:val="GBC22222222222222222222222222222"/>
        </w:placeholder>
      </w:sdtPr>
      <w:sdtEndPr/>
      <w:sdtContent>
        <w:p w14:paraId="29A5C4A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753F2F" w14:textId="77777777" w:rsidR="00E57DAA" w:rsidRDefault="00E57DAA">
      <w:pPr>
        <w:rPr>
          <w:rFonts w:cstheme="minorBidi"/>
          <w:szCs w:val="21"/>
        </w:rPr>
      </w:pPr>
    </w:p>
    <w:p w14:paraId="4805E117" w14:textId="77777777" w:rsidR="00E57DAA" w:rsidRDefault="00AC4185" w:rsidP="00C25422">
      <w:pPr>
        <w:pStyle w:val="91"/>
        <w:numPr>
          <w:ilvl w:val="0"/>
          <w:numId w:val="120"/>
        </w:numPr>
      </w:pPr>
      <w:r>
        <w:rPr>
          <w:rFonts w:hint="eastAsia"/>
        </w:rPr>
        <w:t>不以公允价值计量的金融资产和金融负债的公允价值情况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1180319030"/>
        <w:placeholder>
          <w:docPart w:val="GBC22222222222222222222222222222"/>
        </w:placeholder>
      </w:sdtPr>
      <w:sdtEndPr/>
      <w:sdtContent>
        <w:p w14:paraId="2499023A" w14:textId="77777777" w:rsidR="00E57DAA" w:rsidRDefault="00AC4185">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p w14:paraId="1CF740DE" w14:textId="77777777" w:rsidR="00E57DAA" w:rsidRDefault="00E57DAA">
      <w:pPr>
        <w:rPr>
          <w:rFonts w:cstheme="minorBidi"/>
          <w:szCs w:val="21"/>
        </w:rPr>
      </w:pPr>
    </w:p>
    <w:p w14:paraId="5480374D" w14:textId="77777777" w:rsidR="00E57DAA" w:rsidRDefault="00AC4185" w:rsidP="00C25422">
      <w:pPr>
        <w:pStyle w:val="91"/>
        <w:numPr>
          <w:ilvl w:val="0"/>
          <w:numId w:val="120"/>
        </w:numPr>
      </w:pPr>
      <w:r>
        <w:rPr>
          <w:rFonts w:hint="eastAsia"/>
        </w:rPr>
        <w:t>其他</w:t>
      </w:r>
    </w:p>
    <w:sdt>
      <w:sdtPr>
        <w:rPr>
          <w:rFonts w:hint="eastAsia"/>
          <w:szCs w:val="21"/>
        </w:rPr>
        <w:alias w:val="是否适用：公允价值其他需要披露的事项[双击切换]"/>
        <w:tag w:val="_GBC_face0919374341aba02b14f2247ac908"/>
        <w:id w:val="-1878540145"/>
        <w:placeholder>
          <w:docPart w:val="GBC22222222222222222222222222222"/>
        </w:placeholder>
      </w:sdtPr>
      <w:sdtEndPr/>
      <w:sdtContent>
        <w:p w14:paraId="55D656B8"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C9B134" w14:textId="77777777" w:rsidR="00E57DAA" w:rsidRDefault="00E57DAA">
      <w:pPr>
        <w:rPr>
          <w:szCs w:val="21"/>
        </w:rPr>
      </w:pPr>
    </w:p>
    <w:p w14:paraId="469FE1FF" w14:textId="77777777" w:rsidR="00E57DAA" w:rsidRDefault="00AC4185" w:rsidP="00C25422">
      <w:pPr>
        <w:pStyle w:val="2CharCharChar1"/>
        <w:numPr>
          <w:ilvl w:val="0"/>
          <w:numId w:val="58"/>
        </w:numPr>
      </w:pPr>
      <w:r>
        <w:rPr>
          <w:rFonts w:hint="eastAsia"/>
        </w:rPr>
        <w:t>关联方及关联交易</w:t>
      </w:r>
    </w:p>
    <w:p w14:paraId="7EADBFC3" w14:textId="77777777" w:rsidR="00E57DAA" w:rsidRDefault="00AC4185" w:rsidP="00C25422">
      <w:pPr>
        <w:pStyle w:val="91"/>
        <w:numPr>
          <w:ilvl w:val="0"/>
          <w:numId w:val="121"/>
        </w:numPr>
      </w:pPr>
      <w:r>
        <w:rPr>
          <w:rFonts w:hint="eastAsia"/>
        </w:rPr>
        <w:t>本企业的母公司情况</w:t>
      </w:r>
    </w:p>
    <w:sdt>
      <w:sdtPr>
        <w:rPr>
          <w:rFonts w:hint="eastAsia"/>
        </w:rPr>
        <w:alias w:val="是否适用：本企业的母公司情况[双击切换]"/>
        <w:tag w:val="_GBC_fe5dd4a2c9ad405db72189e05b735e0c"/>
        <w:id w:val="-1531246516"/>
        <w:placeholder>
          <w:docPart w:val="GBC22222222222222222222222222222"/>
        </w:placeholder>
      </w:sdtPr>
      <w:sdtEndPr/>
      <w:sdtContent>
        <w:p w14:paraId="6AA28AA8"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78AE41BE" w14:textId="77777777" w:rsidR="00E57DAA" w:rsidRDefault="00AC4185">
      <w:pPr>
        <w:jc w:val="right"/>
      </w:pPr>
      <w:r>
        <w:rPr>
          <w:rFonts w:hint="eastAsia"/>
        </w:rPr>
        <w:t>单位：</w:t>
      </w:r>
      <w:sdt>
        <w:sdtPr>
          <w:rPr>
            <w:rFonts w:hint="eastAsia"/>
          </w:rPr>
          <w:alias w:val="单位：财务附注：本企业的母公司情况"/>
          <w:tag w:val="_GBC_4bdd8b08e4ce41af93512866e6012a92"/>
          <w:id w:val="-18523314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0440954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1203"/>
        <w:gridCol w:w="1428"/>
        <w:gridCol w:w="1428"/>
        <w:gridCol w:w="1641"/>
        <w:gridCol w:w="1772"/>
      </w:tblGrid>
      <w:tr w:rsidR="00E57DAA" w14:paraId="0E7720FC" w14:textId="77777777">
        <w:trPr>
          <w:trHeight w:val="842"/>
        </w:trPr>
        <w:sdt>
          <w:sdtPr>
            <w:tag w:val="_PLD_78501cc34b694302b18c1ea75399510e"/>
            <w:id w:val="-1146353382"/>
          </w:sdtPr>
          <w:sdtEnd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501D19BF" w14:textId="77777777" w:rsidR="00E57DAA" w:rsidRDefault="00AC4185">
                <w:pPr>
                  <w:jc w:val="center"/>
                  <w:rPr>
                    <w:rFonts w:cs="Cambria"/>
                    <w:szCs w:val="21"/>
                  </w:rPr>
                </w:pPr>
                <w:r>
                  <w:rPr>
                    <w:rFonts w:cs="Cambria" w:hint="eastAsia"/>
                    <w:szCs w:val="21"/>
                  </w:rPr>
                  <w:t>母公司名称</w:t>
                </w:r>
              </w:p>
            </w:tc>
          </w:sdtContent>
        </w:sdt>
        <w:sdt>
          <w:sdtPr>
            <w:tag w:val="_PLD_9cf29fdb6dc54a2ca1191c007bb19ceb"/>
            <w:id w:val="2124871988"/>
          </w:sdtPr>
          <w:sdtEnd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07719AD1" w14:textId="77777777" w:rsidR="00E57DAA" w:rsidRDefault="00AC4185">
                <w:pPr>
                  <w:jc w:val="center"/>
                  <w:rPr>
                    <w:rFonts w:cs="Cambria"/>
                    <w:szCs w:val="21"/>
                  </w:rPr>
                </w:pPr>
                <w:r>
                  <w:rPr>
                    <w:rFonts w:cs="Cambria" w:hint="eastAsia"/>
                    <w:szCs w:val="21"/>
                  </w:rPr>
                  <w:t>注册地</w:t>
                </w:r>
              </w:p>
            </w:tc>
          </w:sdtContent>
        </w:sdt>
        <w:sdt>
          <w:sdtPr>
            <w:tag w:val="_PLD_738e924675434f8ea1a19e9f01f12c6a"/>
            <w:id w:val="-1568792737"/>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2C4D0304" w14:textId="77777777" w:rsidR="00E57DAA" w:rsidRDefault="00AC4185">
                <w:pPr>
                  <w:jc w:val="center"/>
                  <w:rPr>
                    <w:rFonts w:cs="Cambria"/>
                    <w:szCs w:val="21"/>
                  </w:rPr>
                </w:pPr>
                <w:r>
                  <w:rPr>
                    <w:rFonts w:cs="Cambria" w:hint="eastAsia"/>
                    <w:szCs w:val="21"/>
                  </w:rPr>
                  <w:t>业务性质</w:t>
                </w:r>
              </w:p>
            </w:tc>
          </w:sdtContent>
        </w:sdt>
        <w:sdt>
          <w:sdtPr>
            <w:tag w:val="_PLD_8f8ae05947724183906b020ada85e914"/>
            <w:id w:val="-674418508"/>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2179880C" w14:textId="77777777" w:rsidR="00E57DAA" w:rsidRDefault="00AC4185">
                <w:pPr>
                  <w:jc w:val="center"/>
                  <w:rPr>
                    <w:rFonts w:cs="Cambria"/>
                    <w:szCs w:val="21"/>
                  </w:rPr>
                </w:pPr>
                <w:r>
                  <w:rPr>
                    <w:rFonts w:cs="Cambria" w:hint="eastAsia"/>
                    <w:szCs w:val="21"/>
                  </w:rPr>
                  <w:t>注册资本</w:t>
                </w:r>
              </w:p>
            </w:tc>
          </w:sdtContent>
        </w:sdt>
        <w:sdt>
          <w:sdtPr>
            <w:tag w:val="_PLD_41f7f469dbcc4ee39514954cb008b0a4"/>
            <w:id w:val="-1101566534"/>
          </w:sdtPr>
          <w:sdtEnd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4E64F4CC" w14:textId="77777777" w:rsidR="00E57DAA" w:rsidRDefault="00AC4185">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888111993"/>
          </w:sdtPr>
          <w:sdtEnd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1210180B" w14:textId="77777777" w:rsidR="00E57DAA" w:rsidRDefault="00AC4185">
                <w:pPr>
                  <w:jc w:val="center"/>
                  <w:rPr>
                    <w:rFonts w:cs="Cambria"/>
                    <w:szCs w:val="21"/>
                  </w:rPr>
                </w:pPr>
                <w:r>
                  <w:rPr>
                    <w:rFonts w:cs="Cambria" w:hint="eastAsia"/>
                    <w:szCs w:val="21"/>
                  </w:rPr>
                  <w:t>母公司对本企业的表决权比例</w:t>
                </w:r>
                <w:r>
                  <w:rPr>
                    <w:rFonts w:cs="Cambria"/>
                    <w:szCs w:val="21"/>
                  </w:rPr>
                  <w:t>(%)</w:t>
                </w:r>
              </w:p>
            </w:tc>
          </w:sdtContent>
        </w:sdt>
      </w:tr>
      <w:tr w:rsidR="00E57DAA" w14:paraId="1748A64A" w14:textId="77777777">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0B3925DD" w14:textId="77777777" w:rsidR="00E57DAA" w:rsidRDefault="00AC4185">
            <w:pPr>
              <w:rPr>
                <w:rFonts w:cs="Cambria"/>
                <w:szCs w:val="21"/>
              </w:rPr>
            </w:pPr>
            <w:r>
              <w:t>中国建材股份有限公司</w:t>
            </w:r>
          </w:p>
        </w:tc>
        <w:tc>
          <w:tcPr>
            <w:tcW w:w="682" w:type="pct"/>
            <w:tcBorders>
              <w:top w:val="single" w:sz="4" w:space="0" w:color="auto"/>
              <w:left w:val="single" w:sz="4" w:space="0" w:color="auto"/>
              <w:bottom w:val="single" w:sz="4" w:space="0" w:color="auto"/>
              <w:right w:val="single" w:sz="4" w:space="0" w:color="auto"/>
            </w:tcBorders>
            <w:shd w:val="clear" w:color="auto" w:fill="auto"/>
          </w:tcPr>
          <w:p w14:paraId="2A6E393F" w14:textId="77777777" w:rsidR="00E57DAA" w:rsidRDefault="00AC4185">
            <w:pPr>
              <w:rPr>
                <w:rFonts w:cs="Cambria"/>
                <w:szCs w:val="21"/>
              </w:rPr>
            </w:pPr>
            <w:r>
              <w:t>北京</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6196F4EF" w14:textId="77777777" w:rsidR="00E57DAA" w:rsidRDefault="00AC4185">
            <w:pPr>
              <w:rPr>
                <w:rFonts w:cs="Cambria"/>
                <w:szCs w:val="21"/>
              </w:rPr>
            </w:pPr>
            <w:r>
              <w:t>投资管理</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773F66DD" w14:textId="77777777" w:rsidR="00E57DAA" w:rsidRDefault="00AC4185">
            <w:pPr>
              <w:jc w:val="right"/>
              <w:rPr>
                <w:rFonts w:cs="Cambria"/>
                <w:szCs w:val="21"/>
              </w:rPr>
            </w:pPr>
            <w:r>
              <w:t>843,477.07</w:t>
            </w:r>
          </w:p>
        </w:tc>
        <w:tc>
          <w:tcPr>
            <w:tcW w:w="930" w:type="pct"/>
            <w:tcBorders>
              <w:top w:val="single" w:sz="4" w:space="0" w:color="auto"/>
              <w:left w:val="single" w:sz="4" w:space="0" w:color="auto"/>
              <w:bottom w:val="single" w:sz="4" w:space="0" w:color="auto"/>
              <w:right w:val="single" w:sz="4" w:space="0" w:color="auto"/>
            </w:tcBorders>
            <w:shd w:val="clear" w:color="auto" w:fill="auto"/>
          </w:tcPr>
          <w:p w14:paraId="565A17A8" w14:textId="77777777" w:rsidR="00E57DAA" w:rsidRDefault="00AC4185">
            <w:pPr>
              <w:jc w:val="right"/>
              <w:rPr>
                <w:rFonts w:cs="Cambria"/>
                <w:szCs w:val="21"/>
              </w:rPr>
            </w:pPr>
            <w:r>
              <w:t>40.96</w:t>
            </w:r>
          </w:p>
        </w:tc>
        <w:tc>
          <w:tcPr>
            <w:tcW w:w="1004" w:type="pct"/>
            <w:tcBorders>
              <w:top w:val="single" w:sz="4" w:space="0" w:color="auto"/>
              <w:left w:val="single" w:sz="4" w:space="0" w:color="auto"/>
              <w:bottom w:val="single" w:sz="4" w:space="0" w:color="auto"/>
              <w:right w:val="single" w:sz="4" w:space="0" w:color="auto"/>
            </w:tcBorders>
            <w:shd w:val="clear" w:color="auto" w:fill="auto"/>
          </w:tcPr>
          <w:p w14:paraId="594A6D1C" w14:textId="77777777" w:rsidR="00E57DAA" w:rsidRDefault="00AC4185">
            <w:pPr>
              <w:jc w:val="right"/>
              <w:rPr>
                <w:rFonts w:cs="Cambria"/>
                <w:szCs w:val="21"/>
              </w:rPr>
            </w:pPr>
            <w:r>
              <w:t>40.96</w:t>
            </w:r>
          </w:p>
        </w:tc>
      </w:tr>
    </w:tbl>
    <w:p w14:paraId="59201390" w14:textId="77777777" w:rsidR="00E57DAA" w:rsidRDefault="00E57DAA" w:rsidP="00C25422">
      <w:pPr>
        <w:pStyle w:val="92"/>
      </w:pPr>
    </w:p>
    <w:p w14:paraId="3E9B5B5F" w14:textId="77777777" w:rsidR="00E57DAA" w:rsidRDefault="00AC4185">
      <w:pPr>
        <w:rPr>
          <w:szCs w:val="21"/>
        </w:rPr>
      </w:pPr>
      <w:r>
        <w:rPr>
          <w:rFonts w:hint="eastAsia"/>
          <w:szCs w:val="21"/>
        </w:rPr>
        <w:t>本企业最终控制方是</w:t>
      </w:r>
      <w:sdt>
        <w:sdtPr>
          <w:rPr>
            <w:rFonts w:hint="eastAsia"/>
            <w:szCs w:val="21"/>
          </w:rPr>
          <w:alias w:val="本企业最终控制方"/>
          <w:tag w:val="_GBC_951a676520994ab7a3822c5f58c20b7d"/>
          <w:id w:val="-1436362836"/>
          <w:placeholder>
            <w:docPart w:val="GBC22222222222222222222222222222"/>
          </w:placeholder>
        </w:sdtPr>
        <w:sdtEndPr/>
        <w:sdtContent>
          <w:r>
            <w:rPr>
              <w:rFonts w:hint="eastAsia"/>
              <w:szCs w:val="21"/>
            </w:rPr>
            <w:t>中国建材集团有限公司</w:t>
          </w:r>
        </w:sdtContent>
      </w:sdt>
    </w:p>
    <w:p w14:paraId="690D201B" w14:textId="77777777" w:rsidR="00E57DAA" w:rsidRDefault="00AC4185" w:rsidP="00C25422">
      <w:pPr>
        <w:pStyle w:val="91"/>
        <w:numPr>
          <w:ilvl w:val="0"/>
          <w:numId w:val="121"/>
        </w:numPr>
      </w:pPr>
      <w:r>
        <w:rPr>
          <w:rFonts w:hint="eastAsia"/>
        </w:rPr>
        <w:t>本企业的子公司情况</w:t>
      </w:r>
    </w:p>
    <w:sdt>
      <w:sdtPr>
        <w:rPr>
          <w:rFonts w:hint="eastAsia"/>
          <w:szCs w:val="21"/>
        </w:rPr>
        <w:alias w:val="是否适用：本公司的子公司情况详见附注[双击切换]"/>
        <w:tag w:val="_GBC_b3fd954877e04ee589f6c4ce95e1384a"/>
        <w:id w:val="1564218539"/>
        <w:placeholder>
          <w:docPart w:val="GBC22222222222222222222222222222"/>
        </w:placeholder>
      </w:sdtPr>
      <w:sdtEndPr/>
      <w:sdtContent>
        <w:p w14:paraId="3795886C"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864949300"/>
        <w:placeholder>
          <w:docPart w:val="0B75253C5A0C46ED8496EB18939DBD34"/>
        </w:placeholder>
      </w:sdtPr>
      <w:sdtEndPr/>
      <w:sdtContent>
        <w:p w14:paraId="7E9F5E30" w14:textId="77777777" w:rsidR="00E57DAA" w:rsidRDefault="00AC4185">
          <w:pPr>
            <w:ind w:firstLineChars="200" w:firstLine="420"/>
            <w:rPr>
              <w:szCs w:val="21"/>
            </w:rPr>
          </w:pPr>
          <w:r>
            <w:rPr>
              <w:rFonts w:hint="eastAsia"/>
              <w:szCs w:val="21"/>
            </w:rPr>
            <w:t>本企业子公司的情况详见附注</w:t>
          </w:r>
        </w:p>
      </w:sdtContent>
    </w:sdt>
    <w:p w14:paraId="42ED582A" w14:textId="77777777" w:rsidR="00E57DAA" w:rsidRDefault="00E57DAA">
      <w:pPr>
        <w:tabs>
          <w:tab w:val="left" w:pos="1134"/>
        </w:tabs>
        <w:rPr>
          <w:rFonts w:cs="Cambria"/>
          <w:szCs w:val="21"/>
        </w:rPr>
      </w:pPr>
    </w:p>
    <w:p w14:paraId="265C1F7F" w14:textId="77777777" w:rsidR="00E57DAA" w:rsidRDefault="00AC4185" w:rsidP="00C25422">
      <w:pPr>
        <w:pStyle w:val="91"/>
        <w:numPr>
          <w:ilvl w:val="0"/>
          <w:numId w:val="121"/>
        </w:numPr>
      </w:pPr>
      <w:r>
        <w:rPr>
          <w:rFonts w:hint="eastAsia"/>
        </w:rPr>
        <w:t>本企业合营和联营企业情况</w:t>
      </w:r>
    </w:p>
    <w:sdt>
      <w:sdtPr>
        <w:alias w:val="是否适用：本企业重要的合营或联营企业详见附注[双击切换]"/>
        <w:tag w:val="_GBC_a44d5ddc347344bcaadf8652bc7a927c"/>
        <w:id w:val="1606695319"/>
        <w:placeholder>
          <w:docPart w:val="GBC22222222222222222222222222222"/>
        </w:placeholder>
      </w:sdtPr>
      <w:sdtEndPr/>
      <w:sdtContent>
        <w:p w14:paraId="3731159E"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1621063697"/>
        <w:placeholder>
          <w:docPart w:val="GBC22222222222222222222222222222"/>
        </w:placeholder>
      </w:sdtPr>
      <w:sdtEndPr/>
      <w:sdtContent>
        <w:p w14:paraId="71171700" w14:textId="77777777" w:rsidR="00E57DAA" w:rsidRDefault="00AC4185" w:rsidP="00C25422">
          <w:pPr>
            <w:pStyle w:val="92"/>
          </w:pPr>
          <w:r>
            <w:rPr>
              <w:rFonts w:hint="eastAsia"/>
            </w:rPr>
            <w:t>本企业重要的合营或联营企业详见附注</w:t>
          </w:r>
        </w:p>
        <w:p w14:paraId="1DDA5B94" w14:textId="77777777" w:rsidR="00E57DAA" w:rsidRDefault="00EB41A1" w:rsidP="00C25422">
          <w:pPr>
            <w:pStyle w:val="92"/>
          </w:pPr>
        </w:p>
      </w:sdtContent>
    </w:sdt>
    <w:p w14:paraId="5CF80AEA" w14:textId="77777777" w:rsidR="00E57DAA" w:rsidRDefault="00AC4185" w:rsidP="00C25422">
      <w:pPr>
        <w:pStyle w:val="92"/>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670997468"/>
        <w:placeholder>
          <w:docPart w:val="GBC22222222222222222222222222222"/>
        </w:placeholder>
      </w:sdtPr>
      <w:sdtEndPr/>
      <w:sdtContent>
        <w:p w14:paraId="32C79E2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1"/>
        <w:gridCol w:w="2912"/>
      </w:tblGrid>
      <w:tr w:rsidR="00E57DAA" w14:paraId="76D3E2AD" w14:textId="77777777">
        <w:trPr>
          <w:trHeight w:val="284"/>
        </w:trPr>
        <w:sdt>
          <w:sdtPr>
            <w:tag w:val="_PLD_0e6d2a60380d424fbe39edbe16e876ad"/>
            <w:id w:val="-1607425254"/>
          </w:sdtPr>
          <w:sdtEndPr/>
          <w:sdtContent>
            <w:tc>
              <w:tcPr>
                <w:tcW w:w="3350" w:type="pct"/>
                <w:tcBorders>
                  <w:top w:val="single" w:sz="4" w:space="0" w:color="auto"/>
                  <w:left w:val="single" w:sz="4" w:space="0" w:color="auto"/>
                  <w:bottom w:val="single" w:sz="4" w:space="0" w:color="auto"/>
                  <w:right w:val="single" w:sz="4" w:space="0" w:color="auto"/>
                </w:tcBorders>
                <w:shd w:val="clear" w:color="auto" w:fill="auto"/>
              </w:tcPr>
              <w:p w14:paraId="2F0B34A2" w14:textId="77777777" w:rsidR="00E57DAA" w:rsidRDefault="00AC4185">
                <w:pPr>
                  <w:jc w:val="center"/>
                  <w:rPr>
                    <w:rFonts w:cs="Cambria"/>
                    <w:szCs w:val="21"/>
                  </w:rPr>
                </w:pPr>
                <w:r>
                  <w:rPr>
                    <w:rFonts w:cs="Cambria" w:hint="eastAsia"/>
                    <w:szCs w:val="21"/>
                  </w:rPr>
                  <w:t>合营或联营企业名称</w:t>
                </w:r>
              </w:p>
            </w:tc>
          </w:sdtContent>
        </w:sdt>
        <w:sdt>
          <w:sdtPr>
            <w:tag w:val="_PLD_7a4c0374bc514021b6a270655cb81e9e"/>
            <w:id w:val="1916355789"/>
          </w:sdtPr>
          <w:sdtEndPr/>
          <w:sdtContent>
            <w:tc>
              <w:tcPr>
                <w:tcW w:w="1650" w:type="pct"/>
                <w:tcBorders>
                  <w:top w:val="single" w:sz="4" w:space="0" w:color="auto"/>
                  <w:left w:val="single" w:sz="4" w:space="0" w:color="auto"/>
                  <w:bottom w:val="single" w:sz="4" w:space="0" w:color="auto"/>
                  <w:right w:val="single" w:sz="4" w:space="0" w:color="auto"/>
                </w:tcBorders>
                <w:shd w:val="clear" w:color="auto" w:fill="auto"/>
              </w:tcPr>
              <w:p w14:paraId="5BEEE4FF" w14:textId="77777777" w:rsidR="00E57DAA" w:rsidRDefault="00AC4185">
                <w:pPr>
                  <w:jc w:val="center"/>
                  <w:rPr>
                    <w:rFonts w:cs="Cambria"/>
                    <w:szCs w:val="21"/>
                  </w:rPr>
                </w:pPr>
                <w:r>
                  <w:rPr>
                    <w:rFonts w:cs="Cambria" w:hint="eastAsia"/>
                    <w:szCs w:val="21"/>
                  </w:rPr>
                  <w:t>与本企业关系</w:t>
                </w:r>
              </w:p>
            </w:tc>
          </w:sdtContent>
        </w:sdt>
      </w:tr>
      <w:tr w:rsidR="00E57DAA" w14:paraId="6C3C3CDB"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39ABF119" w14:textId="77777777" w:rsidR="00E57DAA" w:rsidRDefault="00AC4185">
            <w:pPr>
              <w:rPr>
                <w:szCs w:val="21"/>
              </w:rPr>
            </w:pPr>
            <w:r>
              <w:t>富沛（上海）建设有限公司</w:t>
            </w:r>
          </w:p>
        </w:tc>
        <w:tc>
          <w:tcPr>
            <w:tcW w:w="1650" w:type="pct"/>
            <w:tcBorders>
              <w:top w:val="single" w:sz="4" w:space="0" w:color="auto"/>
              <w:left w:val="single" w:sz="4" w:space="0" w:color="auto"/>
              <w:bottom w:val="single" w:sz="4" w:space="0" w:color="auto"/>
              <w:right w:val="single" w:sz="4" w:space="0" w:color="auto"/>
            </w:tcBorders>
          </w:tcPr>
          <w:p w14:paraId="144D1571" w14:textId="77777777" w:rsidR="00E57DAA" w:rsidRDefault="00AC4185">
            <w:pPr>
              <w:rPr>
                <w:szCs w:val="21"/>
              </w:rPr>
            </w:pPr>
            <w:r>
              <w:t>联营企业</w:t>
            </w:r>
          </w:p>
        </w:tc>
      </w:tr>
      <w:tr w:rsidR="00E57DAA" w14:paraId="5EDC030F"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5DF78F39" w14:textId="77777777" w:rsidR="00E57DAA" w:rsidRDefault="00AC4185">
            <w:pPr>
              <w:rPr>
                <w:szCs w:val="21"/>
              </w:rPr>
            </w:pPr>
            <w:r>
              <w:lastRenderedPageBreak/>
              <w:t>葛洲坝中材洁新（武汉）有限公司</w:t>
            </w:r>
          </w:p>
        </w:tc>
        <w:tc>
          <w:tcPr>
            <w:tcW w:w="1650" w:type="pct"/>
            <w:tcBorders>
              <w:top w:val="single" w:sz="4" w:space="0" w:color="auto"/>
              <w:left w:val="single" w:sz="4" w:space="0" w:color="auto"/>
              <w:bottom w:val="single" w:sz="4" w:space="0" w:color="auto"/>
              <w:right w:val="single" w:sz="4" w:space="0" w:color="auto"/>
            </w:tcBorders>
          </w:tcPr>
          <w:p w14:paraId="7D3E6CAC" w14:textId="77777777" w:rsidR="00E57DAA" w:rsidRDefault="00AC4185">
            <w:pPr>
              <w:rPr>
                <w:szCs w:val="21"/>
              </w:rPr>
            </w:pPr>
            <w:r>
              <w:t>联营企业</w:t>
            </w:r>
          </w:p>
        </w:tc>
      </w:tr>
      <w:tr w:rsidR="00E57DAA" w14:paraId="1A205A0E"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396E4AF7" w14:textId="77777777" w:rsidR="00E57DAA" w:rsidRDefault="00AC4185">
            <w:pPr>
              <w:rPr>
                <w:szCs w:val="21"/>
              </w:rPr>
            </w:pPr>
            <w:r>
              <w:t>合肥中亚科技有限责任公司</w:t>
            </w:r>
          </w:p>
        </w:tc>
        <w:tc>
          <w:tcPr>
            <w:tcW w:w="1650" w:type="pct"/>
            <w:tcBorders>
              <w:top w:val="single" w:sz="4" w:space="0" w:color="auto"/>
              <w:left w:val="single" w:sz="4" w:space="0" w:color="auto"/>
              <w:bottom w:val="single" w:sz="4" w:space="0" w:color="auto"/>
              <w:right w:val="single" w:sz="4" w:space="0" w:color="auto"/>
            </w:tcBorders>
          </w:tcPr>
          <w:p w14:paraId="573EAA83" w14:textId="77777777" w:rsidR="00E57DAA" w:rsidRDefault="00AC4185">
            <w:pPr>
              <w:rPr>
                <w:szCs w:val="21"/>
              </w:rPr>
            </w:pPr>
            <w:r>
              <w:t>联营企业</w:t>
            </w:r>
          </w:p>
        </w:tc>
      </w:tr>
      <w:tr w:rsidR="00E57DAA" w14:paraId="3E560C35"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662B853A" w14:textId="77777777" w:rsidR="00E57DAA" w:rsidRDefault="00AC4185">
            <w:pPr>
              <w:rPr>
                <w:szCs w:val="21"/>
              </w:rPr>
            </w:pPr>
            <w:r>
              <w:t>江苏丰海新能源淡化海水发展有限公司</w:t>
            </w:r>
          </w:p>
        </w:tc>
        <w:tc>
          <w:tcPr>
            <w:tcW w:w="1650" w:type="pct"/>
            <w:tcBorders>
              <w:top w:val="single" w:sz="4" w:space="0" w:color="auto"/>
              <w:left w:val="single" w:sz="4" w:space="0" w:color="auto"/>
              <w:bottom w:val="single" w:sz="4" w:space="0" w:color="auto"/>
              <w:right w:val="single" w:sz="4" w:space="0" w:color="auto"/>
            </w:tcBorders>
          </w:tcPr>
          <w:p w14:paraId="2EA3007A" w14:textId="77777777" w:rsidR="00E57DAA" w:rsidRDefault="00AC4185">
            <w:pPr>
              <w:rPr>
                <w:szCs w:val="21"/>
              </w:rPr>
            </w:pPr>
            <w:r>
              <w:t>联营企业</w:t>
            </w:r>
          </w:p>
        </w:tc>
      </w:tr>
      <w:tr w:rsidR="00E57DAA" w14:paraId="25FF22FE"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061F1676" w14:textId="77777777" w:rsidR="00E57DAA" w:rsidRDefault="00AC4185">
            <w:pPr>
              <w:rPr>
                <w:szCs w:val="21"/>
              </w:rPr>
            </w:pPr>
            <w:r>
              <w:t>中才邦业（杭州）智能技术有限公司</w:t>
            </w:r>
          </w:p>
        </w:tc>
        <w:tc>
          <w:tcPr>
            <w:tcW w:w="1650" w:type="pct"/>
            <w:tcBorders>
              <w:top w:val="single" w:sz="4" w:space="0" w:color="auto"/>
              <w:left w:val="single" w:sz="4" w:space="0" w:color="auto"/>
              <w:bottom w:val="single" w:sz="4" w:space="0" w:color="auto"/>
              <w:right w:val="single" w:sz="4" w:space="0" w:color="auto"/>
            </w:tcBorders>
          </w:tcPr>
          <w:p w14:paraId="71AD7219" w14:textId="77777777" w:rsidR="00E57DAA" w:rsidRDefault="00AC4185">
            <w:pPr>
              <w:rPr>
                <w:szCs w:val="21"/>
              </w:rPr>
            </w:pPr>
            <w:r>
              <w:t>联营企业</w:t>
            </w:r>
          </w:p>
        </w:tc>
      </w:tr>
      <w:tr w:rsidR="00E57DAA" w14:paraId="38D12AE3"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47EE3221" w14:textId="77777777" w:rsidR="00E57DAA" w:rsidRDefault="00AC4185">
            <w:pPr>
              <w:rPr>
                <w:szCs w:val="21"/>
              </w:rPr>
            </w:pPr>
            <w:r>
              <w:t>中建（淄博）重型机械有限公司</w:t>
            </w:r>
          </w:p>
        </w:tc>
        <w:tc>
          <w:tcPr>
            <w:tcW w:w="1650" w:type="pct"/>
            <w:tcBorders>
              <w:top w:val="single" w:sz="4" w:space="0" w:color="auto"/>
              <w:left w:val="single" w:sz="4" w:space="0" w:color="auto"/>
              <w:bottom w:val="single" w:sz="4" w:space="0" w:color="auto"/>
              <w:right w:val="single" w:sz="4" w:space="0" w:color="auto"/>
            </w:tcBorders>
          </w:tcPr>
          <w:p w14:paraId="1805FD3F" w14:textId="77777777" w:rsidR="00E57DAA" w:rsidRDefault="00AC4185">
            <w:pPr>
              <w:rPr>
                <w:szCs w:val="21"/>
              </w:rPr>
            </w:pPr>
            <w:r>
              <w:t>联营企业</w:t>
            </w:r>
          </w:p>
        </w:tc>
      </w:tr>
      <w:tr w:rsidR="00E57DAA" w14:paraId="37CD964F"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4B670781" w14:textId="77777777" w:rsidR="00E57DAA" w:rsidRDefault="00AC4185">
            <w:pPr>
              <w:rPr>
                <w:szCs w:val="21"/>
              </w:rPr>
            </w:pPr>
            <w:r>
              <w:t>中国建材检验认证集团公司安徽有限公司</w:t>
            </w:r>
          </w:p>
        </w:tc>
        <w:tc>
          <w:tcPr>
            <w:tcW w:w="1650" w:type="pct"/>
            <w:tcBorders>
              <w:top w:val="single" w:sz="4" w:space="0" w:color="auto"/>
              <w:left w:val="single" w:sz="4" w:space="0" w:color="auto"/>
              <w:bottom w:val="single" w:sz="4" w:space="0" w:color="auto"/>
              <w:right w:val="single" w:sz="4" w:space="0" w:color="auto"/>
            </w:tcBorders>
          </w:tcPr>
          <w:p w14:paraId="4A97ACD0" w14:textId="77777777" w:rsidR="00E57DAA" w:rsidRDefault="00AC4185">
            <w:pPr>
              <w:rPr>
                <w:szCs w:val="21"/>
              </w:rPr>
            </w:pPr>
            <w:r>
              <w:t>联营企业</w:t>
            </w:r>
          </w:p>
        </w:tc>
      </w:tr>
      <w:tr w:rsidR="00E57DAA" w14:paraId="0E59A330"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650C1A02" w14:textId="77777777" w:rsidR="00E57DAA" w:rsidRDefault="00AC4185">
            <w:pPr>
              <w:rPr>
                <w:szCs w:val="21"/>
              </w:rPr>
            </w:pPr>
            <w:r>
              <w:t>安徽马钢矿业资源集团建材科技有限公司</w:t>
            </w:r>
          </w:p>
        </w:tc>
        <w:tc>
          <w:tcPr>
            <w:tcW w:w="1650" w:type="pct"/>
            <w:tcBorders>
              <w:top w:val="single" w:sz="4" w:space="0" w:color="auto"/>
              <w:left w:val="single" w:sz="4" w:space="0" w:color="auto"/>
              <w:bottom w:val="single" w:sz="4" w:space="0" w:color="auto"/>
              <w:right w:val="single" w:sz="4" w:space="0" w:color="auto"/>
            </w:tcBorders>
          </w:tcPr>
          <w:p w14:paraId="1C4E993E" w14:textId="77777777" w:rsidR="00E57DAA" w:rsidRDefault="00AC4185">
            <w:pPr>
              <w:rPr>
                <w:szCs w:val="21"/>
              </w:rPr>
            </w:pPr>
            <w:r>
              <w:t>联营企业</w:t>
            </w:r>
          </w:p>
        </w:tc>
      </w:tr>
      <w:tr w:rsidR="00E57DAA" w14:paraId="0A28C667"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1FD61CBD" w14:textId="77777777" w:rsidR="00E57DAA" w:rsidRDefault="00AC4185">
            <w:pPr>
              <w:rPr>
                <w:szCs w:val="21"/>
              </w:rPr>
            </w:pPr>
            <w:r>
              <w:t>枞阳中材东园环境投资建设有限公司</w:t>
            </w:r>
          </w:p>
        </w:tc>
        <w:tc>
          <w:tcPr>
            <w:tcW w:w="1650" w:type="pct"/>
            <w:tcBorders>
              <w:top w:val="single" w:sz="4" w:space="0" w:color="auto"/>
              <w:left w:val="single" w:sz="4" w:space="0" w:color="auto"/>
              <w:bottom w:val="single" w:sz="4" w:space="0" w:color="auto"/>
              <w:right w:val="single" w:sz="4" w:space="0" w:color="auto"/>
            </w:tcBorders>
          </w:tcPr>
          <w:p w14:paraId="74195041" w14:textId="77777777" w:rsidR="00E57DAA" w:rsidRDefault="00AC4185">
            <w:pPr>
              <w:rPr>
                <w:szCs w:val="21"/>
              </w:rPr>
            </w:pPr>
            <w:r>
              <w:t>联营企业</w:t>
            </w:r>
          </w:p>
        </w:tc>
      </w:tr>
      <w:tr w:rsidR="00E57DAA" w14:paraId="1284849D"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59500966" w14:textId="77777777" w:rsidR="00E57DAA" w:rsidRDefault="00AC4185">
            <w:pPr>
              <w:rPr>
                <w:szCs w:val="21"/>
              </w:rPr>
            </w:pPr>
            <w:r>
              <w:t>中材科技（巴西）风电叶片有限公司</w:t>
            </w:r>
          </w:p>
        </w:tc>
        <w:tc>
          <w:tcPr>
            <w:tcW w:w="1650" w:type="pct"/>
            <w:tcBorders>
              <w:top w:val="single" w:sz="4" w:space="0" w:color="auto"/>
              <w:left w:val="single" w:sz="4" w:space="0" w:color="auto"/>
              <w:bottom w:val="single" w:sz="4" w:space="0" w:color="auto"/>
              <w:right w:val="single" w:sz="4" w:space="0" w:color="auto"/>
            </w:tcBorders>
          </w:tcPr>
          <w:p w14:paraId="6E857FCB" w14:textId="77777777" w:rsidR="00E57DAA" w:rsidRDefault="00AC4185">
            <w:pPr>
              <w:rPr>
                <w:szCs w:val="21"/>
              </w:rPr>
            </w:pPr>
            <w:r>
              <w:t>联营企业</w:t>
            </w:r>
          </w:p>
        </w:tc>
      </w:tr>
      <w:tr w:rsidR="00E57DAA" w14:paraId="1FDE0C42"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00E023E0" w14:textId="77777777" w:rsidR="00E57DAA" w:rsidRDefault="00AC4185">
            <w:pPr>
              <w:rPr>
                <w:szCs w:val="21"/>
              </w:rPr>
            </w:pPr>
            <w:r>
              <w:t>山西桃园环保科技有限公司</w:t>
            </w:r>
          </w:p>
        </w:tc>
        <w:tc>
          <w:tcPr>
            <w:tcW w:w="1650" w:type="pct"/>
            <w:tcBorders>
              <w:top w:val="single" w:sz="4" w:space="0" w:color="auto"/>
              <w:left w:val="single" w:sz="4" w:space="0" w:color="auto"/>
              <w:bottom w:val="single" w:sz="4" w:space="0" w:color="auto"/>
              <w:right w:val="single" w:sz="4" w:space="0" w:color="auto"/>
            </w:tcBorders>
          </w:tcPr>
          <w:p w14:paraId="31CCFBA1" w14:textId="77777777" w:rsidR="00E57DAA" w:rsidRDefault="00AC4185">
            <w:pPr>
              <w:rPr>
                <w:szCs w:val="21"/>
              </w:rPr>
            </w:pPr>
            <w:r>
              <w:t>联营企业</w:t>
            </w:r>
          </w:p>
        </w:tc>
      </w:tr>
      <w:tr w:rsidR="00E57DAA" w14:paraId="259899C9"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24890ADF" w14:textId="77777777" w:rsidR="00E57DAA" w:rsidRDefault="00AC4185">
            <w:pPr>
              <w:rPr>
                <w:szCs w:val="21"/>
              </w:rPr>
            </w:pPr>
            <w:r>
              <w:t>中国建材国际坦桑尼亚有限公司</w:t>
            </w:r>
          </w:p>
        </w:tc>
        <w:tc>
          <w:tcPr>
            <w:tcW w:w="1650" w:type="pct"/>
            <w:tcBorders>
              <w:top w:val="single" w:sz="4" w:space="0" w:color="auto"/>
              <w:left w:val="single" w:sz="4" w:space="0" w:color="auto"/>
              <w:bottom w:val="single" w:sz="4" w:space="0" w:color="auto"/>
              <w:right w:val="single" w:sz="4" w:space="0" w:color="auto"/>
            </w:tcBorders>
          </w:tcPr>
          <w:p w14:paraId="3872C266" w14:textId="77777777" w:rsidR="00E57DAA" w:rsidRDefault="00AC4185">
            <w:pPr>
              <w:rPr>
                <w:szCs w:val="21"/>
              </w:rPr>
            </w:pPr>
            <w:r>
              <w:t>联营企业</w:t>
            </w:r>
          </w:p>
        </w:tc>
      </w:tr>
      <w:tr w:rsidR="00E57DAA" w14:paraId="5977FEB6"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6A508431" w14:textId="77777777" w:rsidR="00E57DAA" w:rsidRDefault="00AC4185">
            <w:pPr>
              <w:rPr>
                <w:szCs w:val="21"/>
              </w:rPr>
            </w:pPr>
            <w:r>
              <w:t>北新建材（泰国）有限公司</w:t>
            </w:r>
          </w:p>
        </w:tc>
        <w:tc>
          <w:tcPr>
            <w:tcW w:w="1650" w:type="pct"/>
            <w:tcBorders>
              <w:top w:val="single" w:sz="4" w:space="0" w:color="auto"/>
              <w:left w:val="single" w:sz="4" w:space="0" w:color="auto"/>
              <w:bottom w:val="single" w:sz="4" w:space="0" w:color="auto"/>
              <w:right w:val="single" w:sz="4" w:space="0" w:color="auto"/>
            </w:tcBorders>
          </w:tcPr>
          <w:p w14:paraId="2DEC3347" w14:textId="77777777" w:rsidR="00E57DAA" w:rsidRDefault="00AC4185">
            <w:pPr>
              <w:rPr>
                <w:szCs w:val="21"/>
              </w:rPr>
            </w:pPr>
            <w:r>
              <w:t>联营企业</w:t>
            </w:r>
          </w:p>
        </w:tc>
      </w:tr>
      <w:tr w:rsidR="00E57DAA" w14:paraId="3E1D22E5"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6B7376BD" w14:textId="77777777" w:rsidR="00E57DAA" w:rsidRDefault="00AC4185">
            <w:pPr>
              <w:rPr>
                <w:szCs w:val="21"/>
              </w:rPr>
            </w:pPr>
            <w:r>
              <w:t>枞阳南方材料有限公司</w:t>
            </w:r>
          </w:p>
        </w:tc>
        <w:tc>
          <w:tcPr>
            <w:tcW w:w="1650" w:type="pct"/>
            <w:tcBorders>
              <w:top w:val="single" w:sz="4" w:space="0" w:color="auto"/>
              <w:left w:val="single" w:sz="4" w:space="0" w:color="auto"/>
              <w:bottom w:val="single" w:sz="4" w:space="0" w:color="auto"/>
              <w:right w:val="single" w:sz="4" w:space="0" w:color="auto"/>
            </w:tcBorders>
          </w:tcPr>
          <w:p w14:paraId="479F1CB5" w14:textId="77777777" w:rsidR="00E57DAA" w:rsidRDefault="00AC4185">
            <w:pPr>
              <w:rPr>
                <w:szCs w:val="21"/>
              </w:rPr>
            </w:pPr>
            <w:r>
              <w:t>联营企业</w:t>
            </w:r>
          </w:p>
        </w:tc>
      </w:tr>
      <w:tr w:rsidR="00E57DAA" w14:paraId="77AA7057"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7ED08E8B" w14:textId="77777777" w:rsidR="00E57DAA" w:rsidRDefault="00AC4185">
            <w:pPr>
              <w:rPr>
                <w:szCs w:val="21"/>
              </w:rPr>
            </w:pPr>
            <w:r>
              <w:t>中材膜材料越南公司</w:t>
            </w:r>
          </w:p>
        </w:tc>
        <w:tc>
          <w:tcPr>
            <w:tcW w:w="1650" w:type="pct"/>
            <w:tcBorders>
              <w:top w:val="single" w:sz="4" w:space="0" w:color="auto"/>
              <w:left w:val="single" w:sz="4" w:space="0" w:color="auto"/>
              <w:bottom w:val="single" w:sz="4" w:space="0" w:color="auto"/>
              <w:right w:val="single" w:sz="4" w:space="0" w:color="auto"/>
            </w:tcBorders>
          </w:tcPr>
          <w:p w14:paraId="21F96528" w14:textId="77777777" w:rsidR="00E57DAA" w:rsidRDefault="00AC4185">
            <w:pPr>
              <w:rPr>
                <w:szCs w:val="21"/>
              </w:rPr>
            </w:pPr>
            <w:r>
              <w:t>联营企业</w:t>
            </w:r>
          </w:p>
        </w:tc>
      </w:tr>
      <w:tr w:rsidR="00E57DAA" w14:paraId="47907EBB"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60A4BE60" w14:textId="77777777" w:rsidR="00E57DAA" w:rsidRDefault="00AC4185">
            <w:pPr>
              <w:rPr>
                <w:szCs w:val="21"/>
              </w:rPr>
            </w:pPr>
            <w:r>
              <w:t>中材水泥有限责任公司</w:t>
            </w:r>
          </w:p>
        </w:tc>
        <w:tc>
          <w:tcPr>
            <w:tcW w:w="1650" w:type="pct"/>
            <w:tcBorders>
              <w:top w:val="single" w:sz="4" w:space="0" w:color="auto"/>
              <w:left w:val="single" w:sz="4" w:space="0" w:color="auto"/>
              <w:bottom w:val="single" w:sz="4" w:space="0" w:color="auto"/>
              <w:right w:val="single" w:sz="4" w:space="0" w:color="auto"/>
            </w:tcBorders>
          </w:tcPr>
          <w:p w14:paraId="2B2863FC" w14:textId="77777777" w:rsidR="00E57DAA" w:rsidRDefault="00AC4185">
            <w:pPr>
              <w:rPr>
                <w:szCs w:val="21"/>
              </w:rPr>
            </w:pPr>
            <w:r>
              <w:t>联营企业</w:t>
            </w:r>
          </w:p>
        </w:tc>
      </w:tr>
      <w:tr w:rsidR="00E57DAA" w14:paraId="685FEEEF"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0D5AB104" w14:textId="77777777" w:rsidR="00E57DAA" w:rsidRDefault="00AC4185">
            <w:pPr>
              <w:rPr>
                <w:szCs w:val="21"/>
              </w:rPr>
            </w:pPr>
            <w:r>
              <w:t>中建材矿业投资尼日利亚有限公司</w:t>
            </w:r>
          </w:p>
        </w:tc>
        <w:tc>
          <w:tcPr>
            <w:tcW w:w="1650" w:type="pct"/>
            <w:tcBorders>
              <w:top w:val="single" w:sz="4" w:space="0" w:color="auto"/>
              <w:left w:val="single" w:sz="4" w:space="0" w:color="auto"/>
              <w:bottom w:val="single" w:sz="4" w:space="0" w:color="auto"/>
              <w:right w:val="single" w:sz="4" w:space="0" w:color="auto"/>
            </w:tcBorders>
          </w:tcPr>
          <w:p w14:paraId="6B459B33" w14:textId="77777777" w:rsidR="00E57DAA" w:rsidRDefault="00AC4185">
            <w:pPr>
              <w:rPr>
                <w:szCs w:val="21"/>
              </w:rPr>
            </w:pPr>
            <w:r>
              <w:t>联营企业</w:t>
            </w:r>
          </w:p>
        </w:tc>
      </w:tr>
      <w:tr w:rsidR="00E57DAA" w14:paraId="18CA732B"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435E26F5" w14:textId="77777777" w:rsidR="00E57DAA" w:rsidRDefault="00AC4185">
            <w:pPr>
              <w:rPr>
                <w:szCs w:val="21"/>
              </w:rPr>
            </w:pPr>
            <w:r>
              <w:t>中国建材尼日利亚新材料有限公司</w:t>
            </w:r>
          </w:p>
        </w:tc>
        <w:tc>
          <w:tcPr>
            <w:tcW w:w="1650" w:type="pct"/>
            <w:tcBorders>
              <w:top w:val="single" w:sz="4" w:space="0" w:color="auto"/>
              <w:left w:val="single" w:sz="4" w:space="0" w:color="auto"/>
              <w:bottom w:val="single" w:sz="4" w:space="0" w:color="auto"/>
              <w:right w:val="single" w:sz="4" w:space="0" w:color="auto"/>
            </w:tcBorders>
          </w:tcPr>
          <w:p w14:paraId="0E096092" w14:textId="77777777" w:rsidR="00E57DAA" w:rsidRDefault="00AC4185">
            <w:pPr>
              <w:rPr>
                <w:szCs w:val="21"/>
              </w:rPr>
            </w:pPr>
            <w:r>
              <w:t>联营企业</w:t>
            </w:r>
          </w:p>
        </w:tc>
      </w:tr>
      <w:tr w:rsidR="00E57DAA" w14:paraId="7A96FE86"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29B0FFF4" w14:textId="77777777" w:rsidR="00E57DAA" w:rsidRDefault="00AC4185">
            <w:pPr>
              <w:rPr>
                <w:szCs w:val="21"/>
              </w:rPr>
            </w:pPr>
            <w:r>
              <w:t>安徽长江环境科技有限公司</w:t>
            </w:r>
          </w:p>
        </w:tc>
        <w:tc>
          <w:tcPr>
            <w:tcW w:w="1650" w:type="pct"/>
            <w:tcBorders>
              <w:top w:val="single" w:sz="4" w:space="0" w:color="auto"/>
              <w:left w:val="single" w:sz="4" w:space="0" w:color="auto"/>
              <w:bottom w:val="single" w:sz="4" w:space="0" w:color="auto"/>
              <w:right w:val="single" w:sz="4" w:space="0" w:color="auto"/>
            </w:tcBorders>
          </w:tcPr>
          <w:p w14:paraId="06580A7D" w14:textId="77777777" w:rsidR="00E57DAA" w:rsidRDefault="00AC4185">
            <w:pPr>
              <w:rPr>
                <w:szCs w:val="21"/>
              </w:rPr>
            </w:pPr>
            <w:r>
              <w:t>联营企业</w:t>
            </w:r>
          </w:p>
        </w:tc>
      </w:tr>
      <w:tr w:rsidR="00E57DAA" w14:paraId="2765063A" w14:textId="77777777">
        <w:trPr>
          <w:trHeight w:val="250"/>
        </w:trPr>
        <w:tc>
          <w:tcPr>
            <w:tcW w:w="3350" w:type="pct"/>
            <w:tcBorders>
              <w:top w:val="single" w:sz="4" w:space="0" w:color="auto"/>
              <w:left w:val="single" w:sz="4" w:space="0" w:color="auto"/>
              <w:bottom w:val="single" w:sz="4" w:space="0" w:color="auto"/>
              <w:right w:val="single" w:sz="4" w:space="0" w:color="auto"/>
            </w:tcBorders>
          </w:tcPr>
          <w:p w14:paraId="0DAF65D3" w14:textId="77777777" w:rsidR="00E57DAA" w:rsidRDefault="00AC4185">
            <w:pPr>
              <w:rPr>
                <w:szCs w:val="21"/>
              </w:rPr>
            </w:pPr>
            <w:r>
              <w:t>安顺中安铁源建设工程有限公司</w:t>
            </w:r>
          </w:p>
        </w:tc>
        <w:tc>
          <w:tcPr>
            <w:tcW w:w="1650" w:type="pct"/>
            <w:tcBorders>
              <w:top w:val="single" w:sz="4" w:space="0" w:color="auto"/>
              <w:left w:val="single" w:sz="4" w:space="0" w:color="auto"/>
              <w:bottom w:val="single" w:sz="4" w:space="0" w:color="auto"/>
              <w:right w:val="single" w:sz="4" w:space="0" w:color="auto"/>
            </w:tcBorders>
          </w:tcPr>
          <w:p w14:paraId="1CE20EF8" w14:textId="77777777" w:rsidR="00E57DAA" w:rsidRDefault="00AC4185">
            <w:pPr>
              <w:rPr>
                <w:szCs w:val="21"/>
              </w:rPr>
            </w:pPr>
            <w:r>
              <w:t>联营企业</w:t>
            </w:r>
          </w:p>
        </w:tc>
      </w:tr>
    </w:tbl>
    <w:p w14:paraId="69ACB982" w14:textId="77777777" w:rsidR="00E57DAA" w:rsidRDefault="00E57DAA"/>
    <w:p w14:paraId="22559349" w14:textId="77777777" w:rsidR="00E57DAA" w:rsidRDefault="00AC4185">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110351847"/>
        <w:placeholder>
          <w:docPart w:val="GBC22222222222222222222222222222"/>
        </w:placeholder>
      </w:sdtPr>
      <w:sdtEndPr/>
      <w:sdtContent>
        <w:p w14:paraId="48000FF1" w14:textId="77777777" w:rsidR="00E57DAA" w:rsidRDefault="00AC4185">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457061C6" w14:textId="77777777" w:rsidR="00E57DAA" w:rsidRDefault="00E57DAA">
      <w:pPr>
        <w:tabs>
          <w:tab w:val="left" w:pos="1134"/>
        </w:tabs>
        <w:rPr>
          <w:rFonts w:cs="Cambria"/>
          <w:szCs w:val="21"/>
        </w:rPr>
      </w:pPr>
    </w:p>
    <w:p w14:paraId="0363BEE0" w14:textId="77777777" w:rsidR="00E57DAA" w:rsidRDefault="00AC4185" w:rsidP="00C25422">
      <w:pPr>
        <w:pStyle w:val="91"/>
        <w:numPr>
          <w:ilvl w:val="0"/>
          <w:numId w:val="121"/>
        </w:numPr>
      </w:pPr>
      <w:r>
        <w:rPr>
          <w:rFonts w:hint="eastAsia"/>
        </w:rPr>
        <w:t>其他关联方情况</w:t>
      </w:r>
    </w:p>
    <w:sdt>
      <w:sdtPr>
        <w:alias w:val="是否适用：其他关联方情况[双击切换]"/>
        <w:tag w:val="_GBC_42246b4c04fc4462b5fb05a5db67f4d0"/>
        <w:id w:val="96835591"/>
        <w:placeholder>
          <w:docPart w:val="GBC22222222222222222222222222222"/>
        </w:placeholder>
      </w:sdtPr>
      <w:sdtEndPr/>
      <w:sdtContent>
        <w:p w14:paraId="249E57F7"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4"/>
        <w:gridCol w:w="3189"/>
      </w:tblGrid>
      <w:tr w:rsidR="00E57DAA" w14:paraId="6297D557" w14:textId="77777777">
        <w:trPr>
          <w:trHeight w:val="267"/>
        </w:trPr>
        <w:sdt>
          <w:sdtPr>
            <w:tag w:val="_PLD_36db3e8c12e04d279b0c2956ad69d8a6"/>
            <w:id w:val="-1249577962"/>
          </w:sdtPr>
          <w:sdtEndPr/>
          <w:sdtContent>
            <w:tc>
              <w:tcPr>
                <w:tcW w:w="3193" w:type="pct"/>
                <w:tcBorders>
                  <w:top w:val="single" w:sz="4" w:space="0" w:color="auto"/>
                  <w:left w:val="single" w:sz="4" w:space="0" w:color="auto"/>
                  <w:bottom w:val="single" w:sz="4" w:space="0" w:color="auto"/>
                  <w:right w:val="single" w:sz="4" w:space="0" w:color="auto"/>
                </w:tcBorders>
                <w:shd w:val="clear" w:color="auto" w:fill="auto"/>
              </w:tcPr>
              <w:p w14:paraId="69A1683C" w14:textId="77777777" w:rsidR="00E57DAA" w:rsidRDefault="00AC4185">
                <w:pPr>
                  <w:jc w:val="center"/>
                  <w:rPr>
                    <w:rFonts w:cs="Cambria"/>
                    <w:szCs w:val="21"/>
                  </w:rPr>
                </w:pPr>
                <w:r>
                  <w:rPr>
                    <w:rFonts w:cs="Cambria" w:hint="eastAsia"/>
                    <w:szCs w:val="21"/>
                  </w:rPr>
                  <w:t>其他关联方名称</w:t>
                </w:r>
              </w:p>
            </w:tc>
          </w:sdtContent>
        </w:sdt>
        <w:sdt>
          <w:sdtPr>
            <w:tag w:val="_PLD_b851a2cc9280416290b9ebf815c49236"/>
            <w:id w:val="1793703980"/>
          </w:sdtPr>
          <w:sdtEndPr/>
          <w:sdtContent>
            <w:tc>
              <w:tcPr>
                <w:tcW w:w="1807" w:type="pct"/>
                <w:tcBorders>
                  <w:top w:val="single" w:sz="4" w:space="0" w:color="auto"/>
                  <w:left w:val="single" w:sz="4" w:space="0" w:color="auto"/>
                  <w:bottom w:val="single" w:sz="4" w:space="0" w:color="auto"/>
                  <w:right w:val="single" w:sz="4" w:space="0" w:color="auto"/>
                </w:tcBorders>
                <w:shd w:val="clear" w:color="auto" w:fill="auto"/>
              </w:tcPr>
              <w:p w14:paraId="7028A6E7" w14:textId="77777777" w:rsidR="00E57DAA" w:rsidRDefault="00AC4185">
                <w:pPr>
                  <w:jc w:val="center"/>
                  <w:rPr>
                    <w:rFonts w:cs="Cambria"/>
                    <w:szCs w:val="21"/>
                  </w:rPr>
                </w:pPr>
                <w:r>
                  <w:rPr>
                    <w:rFonts w:cs="Cambria" w:hint="eastAsia"/>
                    <w:szCs w:val="21"/>
                  </w:rPr>
                  <w:t>其他关联方与本企业关系</w:t>
                </w:r>
              </w:p>
            </w:tc>
          </w:sdtContent>
        </w:sdt>
      </w:tr>
      <w:tr w:rsidR="00E57DAA" w14:paraId="08D13C9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E05A52" w14:textId="77777777" w:rsidR="00E57DAA" w:rsidRDefault="00AC4185">
            <w:pPr>
              <w:rPr>
                <w:rFonts w:cs="Cambria"/>
                <w:szCs w:val="21"/>
              </w:rPr>
            </w:pPr>
            <w:r>
              <w:t>Mpande Limestone Limited</w:t>
            </w:r>
          </w:p>
        </w:tc>
        <w:sdt>
          <w:sdtPr>
            <w:rPr>
              <w:rFonts w:cs="Cambria"/>
              <w:szCs w:val="21"/>
            </w:rPr>
            <w:alias w:val="本企业的其他关联方情况明细－其他关联方与本公司关系"/>
            <w:tag w:val="_GBC_58cfdd73098648d8af76645c4007a3fa"/>
            <w:id w:val="-1240016447"/>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AF5F553" w14:textId="77777777" w:rsidR="00E57DAA" w:rsidRDefault="00AC4185">
                <w:pPr>
                  <w:rPr>
                    <w:rFonts w:cs="Cambria"/>
                    <w:szCs w:val="21"/>
                  </w:rPr>
                </w:pPr>
                <w:r>
                  <w:rPr>
                    <w:rFonts w:cs="Cambria"/>
                    <w:szCs w:val="21"/>
                  </w:rPr>
                  <w:t>受同一母公司控制的其他企业</w:t>
                </w:r>
              </w:p>
            </w:tc>
          </w:sdtContent>
        </w:sdt>
      </w:tr>
      <w:tr w:rsidR="00E57DAA" w14:paraId="42F7FBA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0EDCC6" w14:textId="77777777" w:rsidR="00E57DAA" w:rsidRDefault="00AC4185">
            <w:pPr>
              <w:rPr>
                <w:rFonts w:cs="Cambria"/>
                <w:szCs w:val="21"/>
              </w:rPr>
            </w:pPr>
            <w:r>
              <w:t>SINOMA MEMBRANE MATERIAL VIETNAM CO.,   LTD</w:t>
            </w:r>
          </w:p>
        </w:tc>
        <w:tc>
          <w:tcPr>
            <w:tcW w:w="1807" w:type="pct"/>
            <w:tcBorders>
              <w:top w:val="single" w:sz="4" w:space="0" w:color="auto"/>
              <w:left w:val="single" w:sz="4" w:space="0" w:color="auto"/>
              <w:bottom w:val="single" w:sz="4" w:space="0" w:color="auto"/>
              <w:right w:val="single" w:sz="4" w:space="0" w:color="auto"/>
            </w:tcBorders>
          </w:tcPr>
          <w:p w14:paraId="7B38894B" w14:textId="77777777" w:rsidR="00E57DAA" w:rsidRDefault="00AC4185">
            <w:pPr>
              <w:rPr>
                <w:rFonts w:cs="Cambria"/>
                <w:szCs w:val="21"/>
              </w:rPr>
            </w:pPr>
            <w:r>
              <w:t>受同一母公司控制的其他企业</w:t>
            </w:r>
          </w:p>
        </w:tc>
      </w:tr>
      <w:tr w:rsidR="00E57DAA" w14:paraId="23979D6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7D3338" w14:textId="77777777" w:rsidR="00E57DAA" w:rsidRDefault="00AC4185">
            <w:pPr>
              <w:rPr>
                <w:rFonts w:cs="Cambria"/>
                <w:szCs w:val="21"/>
              </w:rPr>
            </w:pPr>
            <w:r>
              <w:t>CNBM MINING INVESTMENT NIG. LIMITED</w:t>
            </w:r>
          </w:p>
        </w:tc>
        <w:tc>
          <w:tcPr>
            <w:tcW w:w="1807" w:type="pct"/>
            <w:tcBorders>
              <w:top w:val="single" w:sz="4" w:space="0" w:color="auto"/>
              <w:left w:val="single" w:sz="4" w:space="0" w:color="auto"/>
              <w:bottom w:val="single" w:sz="4" w:space="0" w:color="auto"/>
              <w:right w:val="single" w:sz="4" w:space="0" w:color="auto"/>
            </w:tcBorders>
          </w:tcPr>
          <w:p w14:paraId="6422BC1D" w14:textId="77777777" w:rsidR="00E57DAA" w:rsidRDefault="00AC4185">
            <w:pPr>
              <w:rPr>
                <w:rFonts w:cs="Cambria"/>
                <w:szCs w:val="21"/>
              </w:rPr>
            </w:pPr>
            <w:r>
              <w:t>受同一母公司控制的其他企业</w:t>
            </w:r>
          </w:p>
        </w:tc>
      </w:tr>
      <w:tr w:rsidR="00E57DAA" w14:paraId="6167676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7E0502" w14:textId="77777777" w:rsidR="00E57DAA" w:rsidRDefault="00AC4185">
            <w:pPr>
              <w:rPr>
                <w:rFonts w:cs="Cambria"/>
                <w:szCs w:val="21"/>
              </w:rPr>
            </w:pPr>
            <w:r>
              <w:t>阿克苏天山多浪水泥有限责任公司</w:t>
            </w:r>
          </w:p>
        </w:tc>
        <w:tc>
          <w:tcPr>
            <w:tcW w:w="1807" w:type="pct"/>
            <w:tcBorders>
              <w:top w:val="single" w:sz="4" w:space="0" w:color="auto"/>
              <w:left w:val="single" w:sz="4" w:space="0" w:color="auto"/>
              <w:bottom w:val="single" w:sz="4" w:space="0" w:color="auto"/>
              <w:right w:val="single" w:sz="4" w:space="0" w:color="auto"/>
            </w:tcBorders>
          </w:tcPr>
          <w:p w14:paraId="1F92E4FC" w14:textId="77777777" w:rsidR="00E57DAA" w:rsidRDefault="00AC4185">
            <w:pPr>
              <w:rPr>
                <w:rFonts w:cs="Cambria"/>
                <w:szCs w:val="21"/>
              </w:rPr>
            </w:pPr>
            <w:r>
              <w:t>受同一母公司控制的其他企业</w:t>
            </w:r>
          </w:p>
        </w:tc>
      </w:tr>
      <w:tr w:rsidR="00E57DAA" w14:paraId="6FBB1F9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F765D6" w14:textId="77777777" w:rsidR="00E57DAA" w:rsidRDefault="00AC4185">
            <w:pPr>
              <w:rPr>
                <w:rFonts w:cs="Cambria"/>
                <w:szCs w:val="21"/>
              </w:rPr>
            </w:pPr>
            <w:r>
              <w:t>安徽广德洪山南方水泥有限公司</w:t>
            </w:r>
          </w:p>
        </w:tc>
        <w:tc>
          <w:tcPr>
            <w:tcW w:w="1807" w:type="pct"/>
            <w:tcBorders>
              <w:top w:val="single" w:sz="4" w:space="0" w:color="auto"/>
              <w:left w:val="single" w:sz="4" w:space="0" w:color="auto"/>
              <w:bottom w:val="single" w:sz="4" w:space="0" w:color="auto"/>
              <w:right w:val="single" w:sz="4" w:space="0" w:color="auto"/>
            </w:tcBorders>
          </w:tcPr>
          <w:p w14:paraId="6C0AA725" w14:textId="77777777" w:rsidR="00E57DAA" w:rsidRDefault="00AC4185">
            <w:pPr>
              <w:rPr>
                <w:rFonts w:cs="Cambria"/>
                <w:szCs w:val="21"/>
              </w:rPr>
            </w:pPr>
            <w:r>
              <w:t>受同一母公司控制的其他企业</w:t>
            </w:r>
          </w:p>
        </w:tc>
      </w:tr>
      <w:tr w:rsidR="00E57DAA" w14:paraId="03FE003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B6D184" w14:textId="77777777" w:rsidR="00E57DAA" w:rsidRDefault="00AC4185">
            <w:pPr>
              <w:rPr>
                <w:rFonts w:cs="Cambria"/>
                <w:szCs w:val="21"/>
              </w:rPr>
            </w:pPr>
            <w:r>
              <w:t>安徽广德南方水泥有限公司</w:t>
            </w:r>
          </w:p>
        </w:tc>
        <w:tc>
          <w:tcPr>
            <w:tcW w:w="1807" w:type="pct"/>
            <w:tcBorders>
              <w:top w:val="single" w:sz="4" w:space="0" w:color="auto"/>
              <w:left w:val="single" w:sz="4" w:space="0" w:color="auto"/>
              <w:bottom w:val="single" w:sz="4" w:space="0" w:color="auto"/>
              <w:right w:val="single" w:sz="4" w:space="0" w:color="auto"/>
            </w:tcBorders>
          </w:tcPr>
          <w:p w14:paraId="1890BF0C" w14:textId="77777777" w:rsidR="00E57DAA" w:rsidRDefault="00AC4185">
            <w:pPr>
              <w:rPr>
                <w:rFonts w:cs="Cambria"/>
                <w:szCs w:val="21"/>
              </w:rPr>
            </w:pPr>
            <w:r>
              <w:t>受同一母公司控制的其他企业</w:t>
            </w:r>
          </w:p>
        </w:tc>
      </w:tr>
      <w:tr w:rsidR="00E57DAA" w14:paraId="4E96A94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5ACAB8" w14:textId="77777777" w:rsidR="00E57DAA" w:rsidRDefault="00AC4185">
            <w:pPr>
              <w:rPr>
                <w:rFonts w:cs="Cambria"/>
                <w:szCs w:val="21"/>
              </w:rPr>
            </w:pPr>
            <w:r>
              <w:t>安徽郎溪南方水泥有限公司</w:t>
            </w:r>
          </w:p>
        </w:tc>
        <w:tc>
          <w:tcPr>
            <w:tcW w:w="1807" w:type="pct"/>
            <w:tcBorders>
              <w:top w:val="single" w:sz="4" w:space="0" w:color="auto"/>
              <w:left w:val="single" w:sz="4" w:space="0" w:color="auto"/>
              <w:bottom w:val="single" w:sz="4" w:space="0" w:color="auto"/>
              <w:right w:val="single" w:sz="4" w:space="0" w:color="auto"/>
            </w:tcBorders>
          </w:tcPr>
          <w:p w14:paraId="301FCA0A" w14:textId="77777777" w:rsidR="00E57DAA" w:rsidRDefault="00AC4185">
            <w:pPr>
              <w:rPr>
                <w:rFonts w:cs="Cambria"/>
                <w:szCs w:val="21"/>
              </w:rPr>
            </w:pPr>
            <w:r>
              <w:t>受同一母公司控制的其他企业</w:t>
            </w:r>
          </w:p>
        </w:tc>
      </w:tr>
      <w:tr w:rsidR="00E57DAA" w14:paraId="30E04BB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E8620F" w14:textId="77777777" w:rsidR="00E57DAA" w:rsidRDefault="00AC4185">
            <w:pPr>
              <w:rPr>
                <w:rFonts w:cs="Cambria"/>
                <w:szCs w:val="21"/>
              </w:rPr>
            </w:pPr>
            <w:r>
              <w:t>安吉南方水泥有限公司</w:t>
            </w:r>
          </w:p>
        </w:tc>
        <w:tc>
          <w:tcPr>
            <w:tcW w:w="1807" w:type="pct"/>
            <w:tcBorders>
              <w:top w:val="single" w:sz="4" w:space="0" w:color="auto"/>
              <w:left w:val="single" w:sz="4" w:space="0" w:color="auto"/>
              <w:bottom w:val="single" w:sz="4" w:space="0" w:color="auto"/>
              <w:right w:val="single" w:sz="4" w:space="0" w:color="auto"/>
            </w:tcBorders>
          </w:tcPr>
          <w:p w14:paraId="62069072" w14:textId="77777777" w:rsidR="00E57DAA" w:rsidRDefault="00AC4185">
            <w:pPr>
              <w:rPr>
                <w:rFonts w:cs="Cambria"/>
                <w:szCs w:val="21"/>
              </w:rPr>
            </w:pPr>
            <w:r>
              <w:t>受同一母公司控制的其他企业</w:t>
            </w:r>
          </w:p>
        </w:tc>
      </w:tr>
      <w:tr w:rsidR="00E57DAA" w14:paraId="4E08418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C49CD2" w14:textId="77777777" w:rsidR="00E57DAA" w:rsidRDefault="00AC4185">
            <w:pPr>
              <w:rPr>
                <w:rFonts w:cs="Cambria"/>
                <w:szCs w:val="21"/>
              </w:rPr>
            </w:pPr>
            <w:r>
              <w:t>贵州西南水泥有限公司</w:t>
            </w:r>
          </w:p>
        </w:tc>
        <w:tc>
          <w:tcPr>
            <w:tcW w:w="1807" w:type="pct"/>
            <w:tcBorders>
              <w:top w:val="single" w:sz="4" w:space="0" w:color="auto"/>
              <w:left w:val="single" w:sz="4" w:space="0" w:color="auto"/>
              <w:bottom w:val="single" w:sz="4" w:space="0" w:color="auto"/>
              <w:right w:val="single" w:sz="4" w:space="0" w:color="auto"/>
            </w:tcBorders>
          </w:tcPr>
          <w:p w14:paraId="3CC0DDC2" w14:textId="77777777" w:rsidR="00E57DAA" w:rsidRDefault="00AC4185">
            <w:pPr>
              <w:rPr>
                <w:rFonts w:cs="Cambria"/>
                <w:szCs w:val="21"/>
              </w:rPr>
            </w:pPr>
            <w:r>
              <w:t>受同一母公司控制的其他企业</w:t>
            </w:r>
          </w:p>
        </w:tc>
      </w:tr>
      <w:tr w:rsidR="00E57DAA" w14:paraId="1D579F3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C6C105" w14:textId="77777777" w:rsidR="00E57DAA" w:rsidRDefault="00AC4185">
            <w:pPr>
              <w:rPr>
                <w:rFonts w:cs="Cambria"/>
                <w:szCs w:val="21"/>
              </w:rPr>
            </w:pPr>
            <w:r>
              <w:t>安县中联水泥有限公司</w:t>
            </w:r>
          </w:p>
        </w:tc>
        <w:tc>
          <w:tcPr>
            <w:tcW w:w="1807" w:type="pct"/>
            <w:tcBorders>
              <w:top w:val="single" w:sz="4" w:space="0" w:color="auto"/>
              <w:left w:val="single" w:sz="4" w:space="0" w:color="auto"/>
              <w:bottom w:val="single" w:sz="4" w:space="0" w:color="auto"/>
              <w:right w:val="single" w:sz="4" w:space="0" w:color="auto"/>
            </w:tcBorders>
          </w:tcPr>
          <w:p w14:paraId="3CE7A2A6" w14:textId="77777777" w:rsidR="00E57DAA" w:rsidRDefault="00AC4185">
            <w:pPr>
              <w:rPr>
                <w:rFonts w:cs="Cambria"/>
                <w:szCs w:val="21"/>
              </w:rPr>
            </w:pPr>
            <w:r>
              <w:t>受同一母公司控制的其他企业</w:t>
            </w:r>
          </w:p>
        </w:tc>
      </w:tr>
      <w:tr w:rsidR="00E57DAA" w14:paraId="133D665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848DF9" w14:textId="77777777" w:rsidR="00E57DAA" w:rsidRDefault="00AC4185">
            <w:pPr>
              <w:rPr>
                <w:rFonts w:cs="Cambria"/>
                <w:szCs w:val="21"/>
              </w:rPr>
            </w:pPr>
            <w:r>
              <w:t>安阳中联水泥有限公司</w:t>
            </w:r>
          </w:p>
        </w:tc>
        <w:tc>
          <w:tcPr>
            <w:tcW w:w="1807" w:type="pct"/>
            <w:tcBorders>
              <w:top w:val="single" w:sz="4" w:space="0" w:color="auto"/>
              <w:left w:val="single" w:sz="4" w:space="0" w:color="auto"/>
              <w:bottom w:val="single" w:sz="4" w:space="0" w:color="auto"/>
              <w:right w:val="single" w:sz="4" w:space="0" w:color="auto"/>
            </w:tcBorders>
          </w:tcPr>
          <w:p w14:paraId="094766BF" w14:textId="77777777" w:rsidR="00E57DAA" w:rsidRDefault="00AC4185">
            <w:pPr>
              <w:rPr>
                <w:rFonts w:cs="Cambria"/>
                <w:szCs w:val="21"/>
              </w:rPr>
            </w:pPr>
            <w:r>
              <w:t>受同一母公司控制的其他企业</w:t>
            </w:r>
          </w:p>
        </w:tc>
      </w:tr>
      <w:tr w:rsidR="00E57DAA" w14:paraId="4CF6A6B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8BA684" w14:textId="77777777" w:rsidR="00E57DAA" w:rsidRDefault="00AC4185">
            <w:pPr>
              <w:rPr>
                <w:rFonts w:cs="Cambria"/>
                <w:szCs w:val="21"/>
              </w:rPr>
            </w:pPr>
            <w:r>
              <w:t>巴彦淖尔中联水泥有限公司</w:t>
            </w:r>
          </w:p>
        </w:tc>
        <w:tc>
          <w:tcPr>
            <w:tcW w:w="1807" w:type="pct"/>
            <w:tcBorders>
              <w:top w:val="single" w:sz="4" w:space="0" w:color="auto"/>
              <w:left w:val="single" w:sz="4" w:space="0" w:color="auto"/>
              <w:bottom w:val="single" w:sz="4" w:space="0" w:color="auto"/>
              <w:right w:val="single" w:sz="4" w:space="0" w:color="auto"/>
            </w:tcBorders>
          </w:tcPr>
          <w:p w14:paraId="497FF569" w14:textId="77777777" w:rsidR="00E57DAA" w:rsidRDefault="00AC4185">
            <w:pPr>
              <w:rPr>
                <w:rFonts w:cs="Cambria"/>
                <w:szCs w:val="21"/>
              </w:rPr>
            </w:pPr>
            <w:r>
              <w:t>受同一母公司控制的其他企业</w:t>
            </w:r>
          </w:p>
        </w:tc>
      </w:tr>
      <w:tr w:rsidR="00E57DAA" w14:paraId="7340D91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66B810" w14:textId="77777777" w:rsidR="00E57DAA" w:rsidRDefault="00AC4185">
            <w:pPr>
              <w:rPr>
                <w:rFonts w:cs="Cambria"/>
                <w:szCs w:val="21"/>
              </w:rPr>
            </w:pPr>
            <w:r>
              <w:t>蚌埠中联水泥有限公司</w:t>
            </w:r>
          </w:p>
        </w:tc>
        <w:tc>
          <w:tcPr>
            <w:tcW w:w="1807" w:type="pct"/>
            <w:tcBorders>
              <w:top w:val="single" w:sz="4" w:space="0" w:color="auto"/>
              <w:left w:val="single" w:sz="4" w:space="0" w:color="auto"/>
              <w:bottom w:val="single" w:sz="4" w:space="0" w:color="auto"/>
              <w:right w:val="single" w:sz="4" w:space="0" w:color="auto"/>
            </w:tcBorders>
          </w:tcPr>
          <w:p w14:paraId="58B001C5" w14:textId="77777777" w:rsidR="00E57DAA" w:rsidRDefault="00AC4185">
            <w:pPr>
              <w:rPr>
                <w:rFonts w:cs="Cambria"/>
                <w:szCs w:val="21"/>
              </w:rPr>
            </w:pPr>
            <w:r>
              <w:t>受同一母公司控制的其他企业</w:t>
            </w:r>
          </w:p>
        </w:tc>
      </w:tr>
      <w:tr w:rsidR="00E57DAA" w14:paraId="4289072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9D5A1ED" w14:textId="77777777" w:rsidR="00E57DAA" w:rsidRDefault="00AC4185">
            <w:pPr>
              <w:rPr>
                <w:rFonts w:cs="Cambria"/>
                <w:szCs w:val="21"/>
              </w:rPr>
            </w:pPr>
            <w:r>
              <w:t>保定中联水泥有限公司</w:t>
            </w:r>
          </w:p>
        </w:tc>
        <w:tc>
          <w:tcPr>
            <w:tcW w:w="1807" w:type="pct"/>
            <w:tcBorders>
              <w:top w:val="single" w:sz="4" w:space="0" w:color="auto"/>
              <w:left w:val="single" w:sz="4" w:space="0" w:color="auto"/>
              <w:bottom w:val="single" w:sz="4" w:space="0" w:color="auto"/>
              <w:right w:val="single" w:sz="4" w:space="0" w:color="auto"/>
            </w:tcBorders>
          </w:tcPr>
          <w:p w14:paraId="33B1AEBB" w14:textId="77777777" w:rsidR="00E57DAA" w:rsidRDefault="00AC4185">
            <w:pPr>
              <w:rPr>
                <w:rFonts w:cs="Cambria"/>
                <w:szCs w:val="21"/>
              </w:rPr>
            </w:pPr>
            <w:r>
              <w:t>受同一母公司控制的其他企业</w:t>
            </w:r>
          </w:p>
        </w:tc>
      </w:tr>
      <w:tr w:rsidR="00E57DAA" w14:paraId="72EE40E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E497D3" w14:textId="77777777" w:rsidR="00E57DAA" w:rsidRDefault="00AC4185">
            <w:pPr>
              <w:rPr>
                <w:rFonts w:cs="Cambria"/>
                <w:szCs w:val="21"/>
              </w:rPr>
            </w:pPr>
            <w:r>
              <w:t>北川中联水泥有限公司</w:t>
            </w:r>
          </w:p>
        </w:tc>
        <w:tc>
          <w:tcPr>
            <w:tcW w:w="1807" w:type="pct"/>
            <w:tcBorders>
              <w:top w:val="single" w:sz="4" w:space="0" w:color="auto"/>
              <w:left w:val="single" w:sz="4" w:space="0" w:color="auto"/>
              <w:bottom w:val="single" w:sz="4" w:space="0" w:color="auto"/>
              <w:right w:val="single" w:sz="4" w:space="0" w:color="auto"/>
            </w:tcBorders>
          </w:tcPr>
          <w:p w14:paraId="65A12AA7" w14:textId="77777777" w:rsidR="00E57DAA" w:rsidRDefault="00AC4185">
            <w:pPr>
              <w:rPr>
                <w:rFonts w:cs="Cambria"/>
                <w:szCs w:val="21"/>
              </w:rPr>
            </w:pPr>
            <w:r>
              <w:t>受同一母公司控制的其他企业</w:t>
            </w:r>
          </w:p>
        </w:tc>
      </w:tr>
      <w:tr w:rsidR="00E57DAA" w14:paraId="63F6AA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3DB265" w14:textId="77777777" w:rsidR="00E57DAA" w:rsidRDefault="00AC4185">
            <w:pPr>
              <w:rPr>
                <w:rFonts w:cs="Cambria"/>
                <w:szCs w:val="21"/>
              </w:rPr>
            </w:pPr>
            <w:r>
              <w:t>北方水泥有限公司</w:t>
            </w:r>
          </w:p>
        </w:tc>
        <w:tc>
          <w:tcPr>
            <w:tcW w:w="1807" w:type="pct"/>
            <w:tcBorders>
              <w:top w:val="single" w:sz="4" w:space="0" w:color="auto"/>
              <w:left w:val="single" w:sz="4" w:space="0" w:color="auto"/>
              <w:bottom w:val="single" w:sz="4" w:space="0" w:color="auto"/>
              <w:right w:val="single" w:sz="4" w:space="0" w:color="auto"/>
            </w:tcBorders>
          </w:tcPr>
          <w:p w14:paraId="0EF18E8F" w14:textId="77777777" w:rsidR="00E57DAA" w:rsidRDefault="00AC4185">
            <w:pPr>
              <w:rPr>
                <w:rFonts w:cs="Cambria"/>
                <w:szCs w:val="21"/>
              </w:rPr>
            </w:pPr>
            <w:r>
              <w:t>受同一母公司控制的其他企业</w:t>
            </w:r>
          </w:p>
        </w:tc>
      </w:tr>
      <w:tr w:rsidR="00E57DAA" w14:paraId="1990C5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F658A6" w14:textId="77777777" w:rsidR="00E57DAA" w:rsidRDefault="00AC4185">
            <w:pPr>
              <w:rPr>
                <w:rFonts w:cs="Cambria"/>
                <w:szCs w:val="21"/>
              </w:rPr>
            </w:pPr>
            <w:r>
              <w:t>北京中建华诚混凝土有限公司</w:t>
            </w:r>
          </w:p>
        </w:tc>
        <w:tc>
          <w:tcPr>
            <w:tcW w:w="1807" w:type="pct"/>
            <w:tcBorders>
              <w:top w:val="single" w:sz="4" w:space="0" w:color="auto"/>
              <w:left w:val="single" w:sz="4" w:space="0" w:color="auto"/>
              <w:bottom w:val="single" w:sz="4" w:space="0" w:color="auto"/>
              <w:right w:val="single" w:sz="4" w:space="0" w:color="auto"/>
            </w:tcBorders>
          </w:tcPr>
          <w:p w14:paraId="6DB37B5E" w14:textId="77777777" w:rsidR="00E57DAA" w:rsidRDefault="00AC4185">
            <w:pPr>
              <w:rPr>
                <w:rFonts w:cs="Cambria"/>
                <w:szCs w:val="21"/>
              </w:rPr>
            </w:pPr>
            <w:r>
              <w:t>受同一母公司控制的其他企业</w:t>
            </w:r>
          </w:p>
        </w:tc>
      </w:tr>
      <w:tr w:rsidR="00E57DAA" w14:paraId="4CD5110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FB5EEC" w14:textId="77777777" w:rsidR="00E57DAA" w:rsidRDefault="00AC4185">
            <w:pPr>
              <w:rPr>
                <w:rFonts w:cs="Cambria"/>
                <w:szCs w:val="21"/>
              </w:rPr>
            </w:pPr>
            <w:r>
              <w:t>北京中联新航建材有限公司</w:t>
            </w:r>
          </w:p>
        </w:tc>
        <w:tc>
          <w:tcPr>
            <w:tcW w:w="1807" w:type="pct"/>
            <w:tcBorders>
              <w:top w:val="single" w:sz="4" w:space="0" w:color="auto"/>
              <w:left w:val="single" w:sz="4" w:space="0" w:color="auto"/>
              <w:bottom w:val="single" w:sz="4" w:space="0" w:color="auto"/>
              <w:right w:val="single" w:sz="4" w:space="0" w:color="auto"/>
            </w:tcBorders>
          </w:tcPr>
          <w:p w14:paraId="037579FA" w14:textId="77777777" w:rsidR="00E57DAA" w:rsidRDefault="00AC4185">
            <w:pPr>
              <w:rPr>
                <w:rFonts w:cs="Cambria"/>
                <w:szCs w:val="21"/>
              </w:rPr>
            </w:pPr>
            <w:r>
              <w:t>受同一母公司控制的其他企业</w:t>
            </w:r>
          </w:p>
        </w:tc>
      </w:tr>
      <w:tr w:rsidR="00E57DAA" w14:paraId="3FCAB1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FC50DB" w14:textId="77777777" w:rsidR="00E57DAA" w:rsidRDefault="00AC4185">
            <w:pPr>
              <w:rPr>
                <w:rFonts w:cs="Cambria"/>
                <w:szCs w:val="21"/>
              </w:rPr>
            </w:pPr>
            <w:r>
              <w:t>北新集团建材股份有限公司</w:t>
            </w:r>
          </w:p>
        </w:tc>
        <w:tc>
          <w:tcPr>
            <w:tcW w:w="1807" w:type="pct"/>
            <w:tcBorders>
              <w:top w:val="single" w:sz="4" w:space="0" w:color="auto"/>
              <w:left w:val="single" w:sz="4" w:space="0" w:color="auto"/>
              <w:bottom w:val="single" w:sz="4" w:space="0" w:color="auto"/>
              <w:right w:val="single" w:sz="4" w:space="0" w:color="auto"/>
            </w:tcBorders>
          </w:tcPr>
          <w:p w14:paraId="7EB6A451" w14:textId="77777777" w:rsidR="00E57DAA" w:rsidRDefault="00AC4185">
            <w:pPr>
              <w:rPr>
                <w:rFonts w:cs="Cambria"/>
                <w:szCs w:val="21"/>
              </w:rPr>
            </w:pPr>
            <w:r>
              <w:t>受同一母公司控制的其他企业</w:t>
            </w:r>
          </w:p>
        </w:tc>
      </w:tr>
      <w:tr w:rsidR="00E57DAA" w14:paraId="2BB30D1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0A97C9" w14:textId="77777777" w:rsidR="00E57DAA" w:rsidRDefault="00AC4185">
            <w:pPr>
              <w:rPr>
                <w:rFonts w:cs="Cambria"/>
                <w:szCs w:val="21"/>
              </w:rPr>
            </w:pPr>
            <w:r>
              <w:t>北新建材（华阴）有限公司</w:t>
            </w:r>
          </w:p>
        </w:tc>
        <w:tc>
          <w:tcPr>
            <w:tcW w:w="1807" w:type="pct"/>
            <w:tcBorders>
              <w:top w:val="single" w:sz="4" w:space="0" w:color="auto"/>
              <w:left w:val="single" w:sz="4" w:space="0" w:color="auto"/>
              <w:bottom w:val="single" w:sz="4" w:space="0" w:color="auto"/>
              <w:right w:val="single" w:sz="4" w:space="0" w:color="auto"/>
            </w:tcBorders>
          </w:tcPr>
          <w:p w14:paraId="576DD5E1" w14:textId="77777777" w:rsidR="00E57DAA" w:rsidRDefault="00AC4185">
            <w:pPr>
              <w:rPr>
                <w:rFonts w:cs="Cambria"/>
                <w:szCs w:val="21"/>
              </w:rPr>
            </w:pPr>
            <w:r>
              <w:t>受同一母公司控制的其他企业</w:t>
            </w:r>
          </w:p>
        </w:tc>
      </w:tr>
      <w:tr w:rsidR="00E57DAA" w14:paraId="6DB2804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0A7BA9" w14:textId="77777777" w:rsidR="00E57DAA" w:rsidRDefault="00AC4185">
            <w:pPr>
              <w:rPr>
                <w:rFonts w:cs="Cambria"/>
                <w:szCs w:val="21"/>
              </w:rPr>
            </w:pPr>
            <w:r>
              <w:t>泰山石膏（嘉兴）有限公司</w:t>
            </w:r>
          </w:p>
        </w:tc>
        <w:tc>
          <w:tcPr>
            <w:tcW w:w="1807" w:type="pct"/>
            <w:tcBorders>
              <w:top w:val="single" w:sz="4" w:space="0" w:color="auto"/>
              <w:left w:val="single" w:sz="4" w:space="0" w:color="auto"/>
              <w:bottom w:val="single" w:sz="4" w:space="0" w:color="auto"/>
              <w:right w:val="single" w:sz="4" w:space="0" w:color="auto"/>
            </w:tcBorders>
          </w:tcPr>
          <w:p w14:paraId="2036B460" w14:textId="77777777" w:rsidR="00E57DAA" w:rsidRDefault="00AC4185">
            <w:pPr>
              <w:rPr>
                <w:rFonts w:cs="Cambria"/>
                <w:szCs w:val="21"/>
              </w:rPr>
            </w:pPr>
            <w:r>
              <w:t>受同一母公司控制的其他企业</w:t>
            </w:r>
          </w:p>
        </w:tc>
      </w:tr>
      <w:tr w:rsidR="00E57DAA" w14:paraId="7EFD8F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3EFB626" w14:textId="77777777" w:rsidR="00E57DAA" w:rsidRDefault="00AC4185">
            <w:pPr>
              <w:rPr>
                <w:rFonts w:cs="Cambria"/>
                <w:szCs w:val="21"/>
              </w:rPr>
            </w:pPr>
            <w:r>
              <w:t>北新建材集团有限公司</w:t>
            </w:r>
          </w:p>
        </w:tc>
        <w:tc>
          <w:tcPr>
            <w:tcW w:w="1807" w:type="pct"/>
            <w:tcBorders>
              <w:top w:val="single" w:sz="4" w:space="0" w:color="auto"/>
              <w:left w:val="single" w:sz="4" w:space="0" w:color="auto"/>
              <w:bottom w:val="single" w:sz="4" w:space="0" w:color="auto"/>
              <w:right w:val="single" w:sz="4" w:space="0" w:color="auto"/>
            </w:tcBorders>
          </w:tcPr>
          <w:p w14:paraId="4E2BBCFA" w14:textId="77777777" w:rsidR="00E57DAA" w:rsidRDefault="00AC4185">
            <w:pPr>
              <w:rPr>
                <w:rFonts w:cs="Cambria"/>
                <w:szCs w:val="21"/>
              </w:rPr>
            </w:pPr>
            <w:r>
              <w:t>受同一母公司控制的其他企业</w:t>
            </w:r>
          </w:p>
        </w:tc>
      </w:tr>
      <w:tr w:rsidR="00E57DAA" w14:paraId="33C08EC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702816" w14:textId="77777777" w:rsidR="00E57DAA" w:rsidRDefault="00AC4185">
            <w:pPr>
              <w:rPr>
                <w:rFonts w:cs="Cambria"/>
                <w:szCs w:val="21"/>
              </w:rPr>
            </w:pPr>
            <w:r>
              <w:lastRenderedPageBreak/>
              <w:t>北新新材料（锦州）有限公司</w:t>
            </w:r>
          </w:p>
        </w:tc>
        <w:tc>
          <w:tcPr>
            <w:tcW w:w="1807" w:type="pct"/>
            <w:tcBorders>
              <w:top w:val="single" w:sz="4" w:space="0" w:color="auto"/>
              <w:left w:val="single" w:sz="4" w:space="0" w:color="auto"/>
              <w:bottom w:val="single" w:sz="4" w:space="0" w:color="auto"/>
              <w:right w:val="single" w:sz="4" w:space="0" w:color="auto"/>
            </w:tcBorders>
          </w:tcPr>
          <w:p w14:paraId="49BEB207" w14:textId="77777777" w:rsidR="00E57DAA" w:rsidRDefault="00AC4185">
            <w:pPr>
              <w:rPr>
                <w:rFonts w:cs="Cambria"/>
                <w:szCs w:val="21"/>
              </w:rPr>
            </w:pPr>
            <w:r>
              <w:t>受同一母公司控制的其他企业</w:t>
            </w:r>
          </w:p>
        </w:tc>
      </w:tr>
      <w:tr w:rsidR="00E57DAA" w14:paraId="1D40094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3373FC" w14:textId="77777777" w:rsidR="00E57DAA" w:rsidRDefault="00AC4185">
            <w:pPr>
              <w:rPr>
                <w:rFonts w:cs="Cambria"/>
                <w:szCs w:val="21"/>
              </w:rPr>
            </w:pPr>
            <w:r>
              <w:t>毕节赛德水泥有限公司</w:t>
            </w:r>
          </w:p>
        </w:tc>
        <w:tc>
          <w:tcPr>
            <w:tcW w:w="1807" w:type="pct"/>
            <w:tcBorders>
              <w:top w:val="single" w:sz="4" w:space="0" w:color="auto"/>
              <w:left w:val="single" w:sz="4" w:space="0" w:color="auto"/>
              <w:bottom w:val="single" w:sz="4" w:space="0" w:color="auto"/>
              <w:right w:val="single" w:sz="4" w:space="0" w:color="auto"/>
            </w:tcBorders>
          </w:tcPr>
          <w:p w14:paraId="39F5941E" w14:textId="77777777" w:rsidR="00E57DAA" w:rsidRDefault="00AC4185">
            <w:pPr>
              <w:rPr>
                <w:rFonts w:cs="Cambria"/>
                <w:szCs w:val="21"/>
              </w:rPr>
            </w:pPr>
            <w:r>
              <w:t>受同一母公司控制的其他企业</w:t>
            </w:r>
          </w:p>
        </w:tc>
      </w:tr>
      <w:tr w:rsidR="00E57DAA" w14:paraId="3126FE9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AFF1F5" w14:textId="77777777" w:rsidR="00E57DAA" w:rsidRDefault="00AC4185">
            <w:pPr>
              <w:rPr>
                <w:rFonts w:cs="Cambria"/>
                <w:szCs w:val="21"/>
              </w:rPr>
            </w:pPr>
            <w:r>
              <w:t>毕节西南水泥有限公司</w:t>
            </w:r>
          </w:p>
        </w:tc>
        <w:tc>
          <w:tcPr>
            <w:tcW w:w="1807" w:type="pct"/>
            <w:tcBorders>
              <w:top w:val="single" w:sz="4" w:space="0" w:color="auto"/>
              <w:left w:val="single" w:sz="4" w:space="0" w:color="auto"/>
              <w:bottom w:val="single" w:sz="4" w:space="0" w:color="auto"/>
              <w:right w:val="single" w:sz="4" w:space="0" w:color="auto"/>
            </w:tcBorders>
          </w:tcPr>
          <w:p w14:paraId="44E21AB2" w14:textId="77777777" w:rsidR="00E57DAA" w:rsidRDefault="00AC4185">
            <w:pPr>
              <w:rPr>
                <w:rFonts w:cs="Cambria"/>
                <w:szCs w:val="21"/>
              </w:rPr>
            </w:pPr>
            <w:r>
              <w:t>受同一母公司控制的其他企业</w:t>
            </w:r>
          </w:p>
        </w:tc>
      </w:tr>
      <w:tr w:rsidR="00E57DAA" w14:paraId="278D3E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01140F" w14:textId="77777777" w:rsidR="00E57DAA" w:rsidRDefault="00AC4185">
            <w:pPr>
              <w:rPr>
                <w:rFonts w:cs="Cambria"/>
                <w:szCs w:val="21"/>
              </w:rPr>
            </w:pPr>
            <w:r>
              <w:t>播州西南水泥有限公司</w:t>
            </w:r>
          </w:p>
        </w:tc>
        <w:tc>
          <w:tcPr>
            <w:tcW w:w="1807" w:type="pct"/>
            <w:tcBorders>
              <w:top w:val="single" w:sz="4" w:space="0" w:color="auto"/>
              <w:left w:val="single" w:sz="4" w:space="0" w:color="auto"/>
              <w:bottom w:val="single" w:sz="4" w:space="0" w:color="auto"/>
              <w:right w:val="single" w:sz="4" w:space="0" w:color="auto"/>
            </w:tcBorders>
          </w:tcPr>
          <w:p w14:paraId="046B684F" w14:textId="77777777" w:rsidR="00E57DAA" w:rsidRDefault="00AC4185">
            <w:pPr>
              <w:rPr>
                <w:rFonts w:cs="Cambria"/>
                <w:szCs w:val="21"/>
              </w:rPr>
            </w:pPr>
            <w:r>
              <w:t>受同一母公司控制的其他企业</w:t>
            </w:r>
          </w:p>
        </w:tc>
      </w:tr>
      <w:tr w:rsidR="00E57DAA" w14:paraId="7B1FE96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A53BE6" w14:textId="77777777" w:rsidR="00E57DAA" w:rsidRDefault="00AC4185">
            <w:pPr>
              <w:rPr>
                <w:rFonts w:cs="Cambria"/>
                <w:szCs w:val="21"/>
              </w:rPr>
            </w:pPr>
            <w:r>
              <w:t>布尔津天山水泥有限责任公司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0DF7EBDB" w14:textId="77777777" w:rsidR="00E57DAA" w:rsidRDefault="00AC4185">
            <w:pPr>
              <w:rPr>
                <w:rFonts w:cs="Cambria"/>
                <w:szCs w:val="21"/>
              </w:rPr>
            </w:pPr>
            <w:r>
              <w:t>受同一母公司控制的其他企业</w:t>
            </w:r>
          </w:p>
        </w:tc>
      </w:tr>
      <w:tr w:rsidR="00E57DAA" w14:paraId="74DB06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24AF5A2" w14:textId="77777777" w:rsidR="00E57DAA" w:rsidRDefault="00AC4185">
            <w:pPr>
              <w:rPr>
                <w:rFonts w:cs="Cambria"/>
                <w:szCs w:val="21"/>
              </w:rPr>
            </w:pPr>
            <w:r>
              <w:t>常山南方水泥有限公司</w:t>
            </w:r>
          </w:p>
        </w:tc>
        <w:tc>
          <w:tcPr>
            <w:tcW w:w="1807" w:type="pct"/>
            <w:tcBorders>
              <w:top w:val="single" w:sz="4" w:space="0" w:color="auto"/>
              <w:left w:val="single" w:sz="4" w:space="0" w:color="auto"/>
              <w:bottom w:val="single" w:sz="4" w:space="0" w:color="auto"/>
              <w:right w:val="single" w:sz="4" w:space="0" w:color="auto"/>
            </w:tcBorders>
          </w:tcPr>
          <w:p w14:paraId="60BE0537" w14:textId="77777777" w:rsidR="00E57DAA" w:rsidRDefault="00AC4185">
            <w:pPr>
              <w:rPr>
                <w:rFonts w:cs="Cambria"/>
                <w:szCs w:val="21"/>
              </w:rPr>
            </w:pPr>
            <w:r>
              <w:t>受同一母公司控制的其他企业</w:t>
            </w:r>
          </w:p>
        </w:tc>
      </w:tr>
      <w:tr w:rsidR="00E57DAA" w14:paraId="6AFF36D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867F66" w14:textId="77777777" w:rsidR="00E57DAA" w:rsidRDefault="00AC4185">
            <w:pPr>
              <w:rPr>
                <w:rFonts w:cs="Cambria"/>
                <w:szCs w:val="21"/>
              </w:rPr>
            </w:pPr>
            <w:r>
              <w:t>成武中联水泥有限公司</w:t>
            </w:r>
          </w:p>
        </w:tc>
        <w:tc>
          <w:tcPr>
            <w:tcW w:w="1807" w:type="pct"/>
            <w:tcBorders>
              <w:top w:val="single" w:sz="4" w:space="0" w:color="auto"/>
              <w:left w:val="single" w:sz="4" w:space="0" w:color="auto"/>
              <w:bottom w:val="single" w:sz="4" w:space="0" w:color="auto"/>
              <w:right w:val="single" w:sz="4" w:space="0" w:color="auto"/>
            </w:tcBorders>
          </w:tcPr>
          <w:p w14:paraId="6FD21F14" w14:textId="77777777" w:rsidR="00E57DAA" w:rsidRDefault="00AC4185">
            <w:pPr>
              <w:rPr>
                <w:rFonts w:cs="Cambria"/>
                <w:szCs w:val="21"/>
              </w:rPr>
            </w:pPr>
            <w:r>
              <w:t>受同一母公司控制的其他企业</w:t>
            </w:r>
          </w:p>
        </w:tc>
      </w:tr>
      <w:tr w:rsidR="00E57DAA" w14:paraId="42CD986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E83B4F" w14:textId="77777777" w:rsidR="00E57DAA" w:rsidRDefault="00AC4185">
            <w:pPr>
              <w:rPr>
                <w:rFonts w:cs="Cambria"/>
                <w:szCs w:val="21"/>
              </w:rPr>
            </w:pPr>
            <w:r>
              <w:t>成县祁连山水泥有限公司</w:t>
            </w:r>
          </w:p>
        </w:tc>
        <w:tc>
          <w:tcPr>
            <w:tcW w:w="1807" w:type="pct"/>
            <w:tcBorders>
              <w:top w:val="single" w:sz="4" w:space="0" w:color="auto"/>
              <w:left w:val="single" w:sz="4" w:space="0" w:color="auto"/>
              <w:bottom w:val="single" w:sz="4" w:space="0" w:color="auto"/>
              <w:right w:val="single" w:sz="4" w:space="0" w:color="auto"/>
            </w:tcBorders>
          </w:tcPr>
          <w:p w14:paraId="7738381D" w14:textId="77777777" w:rsidR="00E57DAA" w:rsidRDefault="00AC4185">
            <w:pPr>
              <w:rPr>
                <w:rFonts w:cs="Cambria"/>
                <w:szCs w:val="21"/>
              </w:rPr>
            </w:pPr>
            <w:r>
              <w:t>受同一母公司控制的其他企业</w:t>
            </w:r>
          </w:p>
        </w:tc>
      </w:tr>
      <w:tr w:rsidR="00E57DAA" w14:paraId="0AB7592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5BDE83" w14:textId="77777777" w:rsidR="00E57DAA" w:rsidRDefault="00AC4185">
            <w:pPr>
              <w:rPr>
                <w:rFonts w:cs="Cambria"/>
                <w:szCs w:val="21"/>
              </w:rPr>
            </w:pPr>
            <w:r>
              <w:t>池州中建材新材料有限公司</w:t>
            </w:r>
          </w:p>
        </w:tc>
        <w:tc>
          <w:tcPr>
            <w:tcW w:w="1807" w:type="pct"/>
            <w:tcBorders>
              <w:top w:val="single" w:sz="4" w:space="0" w:color="auto"/>
              <w:left w:val="single" w:sz="4" w:space="0" w:color="auto"/>
              <w:bottom w:val="single" w:sz="4" w:space="0" w:color="auto"/>
              <w:right w:val="single" w:sz="4" w:space="0" w:color="auto"/>
            </w:tcBorders>
          </w:tcPr>
          <w:p w14:paraId="33742B8C" w14:textId="77777777" w:rsidR="00E57DAA" w:rsidRDefault="00AC4185">
            <w:pPr>
              <w:rPr>
                <w:rFonts w:cs="Cambria"/>
                <w:szCs w:val="21"/>
              </w:rPr>
            </w:pPr>
            <w:r>
              <w:t>受同一母公司控制的其他企业</w:t>
            </w:r>
          </w:p>
        </w:tc>
      </w:tr>
      <w:tr w:rsidR="00E57DAA" w14:paraId="0F286E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E4D97B" w14:textId="77777777" w:rsidR="00E57DAA" w:rsidRDefault="00AC4185">
            <w:pPr>
              <w:rPr>
                <w:rFonts w:cs="Cambria"/>
                <w:szCs w:val="21"/>
              </w:rPr>
            </w:pPr>
            <w:r>
              <w:t>崇左南方水泥有限公司</w:t>
            </w:r>
          </w:p>
        </w:tc>
        <w:tc>
          <w:tcPr>
            <w:tcW w:w="1807" w:type="pct"/>
            <w:tcBorders>
              <w:top w:val="single" w:sz="4" w:space="0" w:color="auto"/>
              <w:left w:val="single" w:sz="4" w:space="0" w:color="auto"/>
              <w:bottom w:val="single" w:sz="4" w:space="0" w:color="auto"/>
              <w:right w:val="single" w:sz="4" w:space="0" w:color="auto"/>
            </w:tcBorders>
          </w:tcPr>
          <w:p w14:paraId="04781E20" w14:textId="77777777" w:rsidR="00E57DAA" w:rsidRDefault="00AC4185">
            <w:pPr>
              <w:rPr>
                <w:rFonts w:cs="Cambria"/>
                <w:szCs w:val="21"/>
              </w:rPr>
            </w:pPr>
            <w:r>
              <w:t>受同一母公司控制的其他企业</w:t>
            </w:r>
          </w:p>
        </w:tc>
      </w:tr>
      <w:tr w:rsidR="00E57DAA" w14:paraId="530C0E0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1CF836" w14:textId="77777777" w:rsidR="00E57DAA" w:rsidRDefault="00AC4185">
            <w:pPr>
              <w:rPr>
                <w:rFonts w:cs="Cambria"/>
                <w:szCs w:val="21"/>
              </w:rPr>
            </w:pPr>
            <w:r>
              <w:t>滁州中联混凝土有限公司</w:t>
            </w:r>
          </w:p>
        </w:tc>
        <w:tc>
          <w:tcPr>
            <w:tcW w:w="1807" w:type="pct"/>
            <w:tcBorders>
              <w:top w:val="single" w:sz="4" w:space="0" w:color="auto"/>
              <w:left w:val="single" w:sz="4" w:space="0" w:color="auto"/>
              <w:bottom w:val="single" w:sz="4" w:space="0" w:color="auto"/>
              <w:right w:val="single" w:sz="4" w:space="0" w:color="auto"/>
            </w:tcBorders>
          </w:tcPr>
          <w:p w14:paraId="7B6B00D6" w14:textId="77777777" w:rsidR="00E57DAA" w:rsidRDefault="00AC4185">
            <w:pPr>
              <w:rPr>
                <w:rFonts w:cs="Cambria"/>
                <w:szCs w:val="21"/>
              </w:rPr>
            </w:pPr>
            <w:r>
              <w:t>受同一母公司控制的其他企业</w:t>
            </w:r>
          </w:p>
        </w:tc>
      </w:tr>
      <w:tr w:rsidR="00E57DAA" w14:paraId="48AAC4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83C964" w14:textId="77777777" w:rsidR="00E57DAA" w:rsidRDefault="00AC4185">
            <w:pPr>
              <w:rPr>
                <w:rFonts w:cs="Cambria"/>
                <w:szCs w:val="21"/>
              </w:rPr>
            </w:pPr>
            <w:r>
              <w:t>滁州中联水泥有限公司</w:t>
            </w:r>
          </w:p>
        </w:tc>
        <w:tc>
          <w:tcPr>
            <w:tcW w:w="1807" w:type="pct"/>
            <w:tcBorders>
              <w:top w:val="single" w:sz="4" w:space="0" w:color="auto"/>
              <w:left w:val="single" w:sz="4" w:space="0" w:color="auto"/>
              <w:bottom w:val="single" w:sz="4" w:space="0" w:color="auto"/>
              <w:right w:val="single" w:sz="4" w:space="0" w:color="auto"/>
            </w:tcBorders>
          </w:tcPr>
          <w:p w14:paraId="2AD1AB70" w14:textId="77777777" w:rsidR="00E57DAA" w:rsidRDefault="00AC4185">
            <w:pPr>
              <w:rPr>
                <w:rFonts w:cs="Cambria"/>
                <w:szCs w:val="21"/>
              </w:rPr>
            </w:pPr>
            <w:r>
              <w:t>受同一母公司控制的其他企业</w:t>
            </w:r>
          </w:p>
        </w:tc>
      </w:tr>
      <w:tr w:rsidR="00E57DAA" w14:paraId="097EA3C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47E448" w14:textId="77777777" w:rsidR="00E57DAA" w:rsidRDefault="00AC4185">
            <w:pPr>
              <w:rPr>
                <w:rFonts w:cs="Cambria"/>
                <w:szCs w:val="21"/>
              </w:rPr>
            </w:pPr>
            <w:r>
              <w:t>达州利森水泥有限公司</w:t>
            </w:r>
          </w:p>
        </w:tc>
        <w:tc>
          <w:tcPr>
            <w:tcW w:w="1807" w:type="pct"/>
            <w:tcBorders>
              <w:top w:val="single" w:sz="4" w:space="0" w:color="auto"/>
              <w:left w:val="single" w:sz="4" w:space="0" w:color="auto"/>
              <w:bottom w:val="single" w:sz="4" w:space="0" w:color="auto"/>
              <w:right w:val="single" w:sz="4" w:space="0" w:color="auto"/>
            </w:tcBorders>
          </w:tcPr>
          <w:p w14:paraId="130D8A48" w14:textId="77777777" w:rsidR="00E57DAA" w:rsidRDefault="00AC4185">
            <w:pPr>
              <w:rPr>
                <w:rFonts w:cs="Cambria"/>
                <w:szCs w:val="21"/>
              </w:rPr>
            </w:pPr>
            <w:r>
              <w:t>受同一母公司控制的其他企业</w:t>
            </w:r>
          </w:p>
        </w:tc>
      </w:tr>
      <w:tr w:rsidR="00E57DAA" w14:paraId="524824E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5CF469" w14:textId="77777777" w:rsidR="00E57DAA" w:rsidRDefault="00AC4185">
            <w:pPr>
              <w:rPr>
                <w:rFonts w:cs="Cambria"/>
                <w:szCs w:val="21"/>
              </w:rPr>
            </w:pPr>
            <w:r>
              <w:t>大方永贵建材有限责任公司</w:t>
            </w:r>
          </w:p>
        </w:tc>
        <w:tc>
          <w:tcPr>
            <w:tcW w:w="1807" w:type="pct"/>
            <w:tcBorders>
              <w:top w:val="single" w:sz="4" w:space="0" w:color="auto"/>
              <w:left w:val="single" w:sz="4" w:space="0" w:color="auto"/>
              <w:bottom w:val="single" w:sz="4" w:space="0" w:color="auto"/>
              <w:right w:val="single" w:sz="4" w:space="0" w:color="auto"/>
            </w:tcBorders>
          </w:tcPr>
          <w:p w14:paraId="3B193D0E" w14:textId="77777777" w:rsidR="00E57DAA" w:rsidRDefault="00AC4185">
            <w:pPr>
              <w:rPr>
                <w:rFonts w:cs="Cambria"/>
                <w:szCs w:val="21"/>
              </w:rPr>
            </w:pPr>
            <w:r>
              <w:t>受同一母公司控制的其他企业</w:t>
            </w:r>
          </w:p>
        </w:tc>
      </w:tr>
      <w:tr w:rsidR="00E57DAA" w14:paraId="738387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BD1540" w14:textId="77777777" w:rsidR="00E57DAA" w:rsidRDefault="00AC4185">
            <w:pPr>
              <w:rPr>
                <w:rFonts w:cs="Cambria"/>
                <w:szCs w:val="21"/>
              </w:rPr>
            </w:pPr>
            <w:r>
              <w:t>大连金刚天马水泥有限公司</w:t>
            </w:r>
          </w:p>
        </w:tc>
        <w:tc>
          <w:tcPr>
            <w:tcW w:w="1807" w:type="pct"/>
            <w:tcBorders>
              <w:top w:val="single" w:sz="4" w:space="0" w:color="auto"/>
              <w:left w:val="single" w:sz="4" w:space="0" w:color="auto"/>
              <w:bottom w:val="single" w:sz="4" w:space="0" w:color="auto"/>
              <w:right w:val="single" w:sz="4" w:space="0" w:color="auto"/>
            </w:tcBorders>
          </w:tcPr>
          <w:p w14:paraId="54E515D6" w14:textId="77777777" w:rsidR="00E57DAA" w:rsidRDefault="00AC4185">
            <w:pPr>
              <w:rPr>
                <w:rFonts w:cs="Cambria"/>
                <w:szCs w:val="21"/>
              </w:rPr>
            </w:pPr>
            <w:r>
              <w:t>受同一母公司控制的其他企业</w:t>
            </w:r>
          </w:p>
        </w:tc>
      </w:tr>
      <w:tr w:rsidR="00E57DAA" w14:paraId="5B6C44C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F46A78" w14:textId="77777777" w:rsidR="00E57DAA" w:rsidRDefault="00AC4185">
            <w:pPr>
              <w:rPr>
                <w:rFonts w:cs="Cambria"/>
                <w:szCs w:val="21"/>
              </w:rPr>
            </w:pPr>
            <w:r>
              <w:t>单县中联混凝土有限公司</w:t>
            </w:r>
          </w:p>
        </w:tc>
        <w:tc>
          <w:tcPr>
            <w:tcW w:w="1807" w:type="pct"/>
            <w:tcBorders>
              <w:top w:val="single" w:sz="4" w:space="0" w:color="auto"/>
              <w:left w:val="single" w:sz="4" w:space="0" w:color="auto"/>
              <w:bottom w:val="single" w:sz="4" w:space="0" w:color="auto"/>
              <w:right w:val="single" w:sz="4" w:space="0" w:color="auto"/>
            </w:tcBorders>
          </w:tcPr>
          <w:p w14:paraId="16A53844" w14:textId="77777777" w:rsidR="00E57DAA" w:rsidRDefault="00AC4185">
            <w:pPr>
              <w:rPr>
                <w:rFonts w:cs="Cambria"/>
                <w:szCs w:val="21"/>
              </w:rPr>
            </w:pPr>
            <w:r>
              <w:t>受同一母公司控制的其他企业</w:t>
            </w:r>
          </w:p>
        </w:tc>
      </w:tr>
      <w:tr w:rsidR="00E57DAA" w14:paraId="6B805FD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981382" w14:textId="77777777" w:rsidR="00E57DAA" w:rsidRDefault="00AC4185">
            <w:pPr>
              <w:rPr>
                <w:rFonts w:cs="Cambria"/>
                <w:szCs w:val="21"/>
              </w:rPr>
            </w:pPr>
            <w:r>
              <w:t>德安县南方新材料有限公司</w:t>
            </w:r>
          </w:p>
        </w:tc>
        <w:tc>
          <w:tcPr>
            <w:tcW w:w="1807" w:type="pct"/>
            <w:tcBorders>
              <w:top w:val="single" w:sz="4" w:space="0" w:color="auto"/>
              <w:left w:val="single" w:sz="4" w:space="0" w:color="auto"/>
              <w:bottom w:val="single" w:sz="4" w:space="0" w:color="auto"/>
              <w:right w:val="single" w:sz="4" w:space="0" w:color="auto"/>
            </w:tcBorders>
          </w:tcPr>
          <w:p w14:paraId="5C31546A" w14:textId="77777777" w:rsidR="00E57DAA" w:rsidRDefault="00AC4185">
            <w:pPr>
              <w:rPr>
                <w:rFonts w:cs="Cambria"/>
                <w:szCs w:val="21"/>
              </w:rPr>
            </w:pPr>
            <w:r>
              <w:t>受同一母公司控制的其他企业</w:t>
            </w:r>
          </w:p>
        </w:tc>
      </w:tr>
      <w:tr w:rsidR="00E57DAA" w14:paraId="40885A3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E8B1B0" w14:textId="77777777" w:rsidR="00E57DAA" w:rsidRDefault="00AC4185">
            <w:pPr>
              <w:rPr>
                <w:rFonts w:cs="Cambria"/>
                <w:szCs w:val="21"/>
              </w:rPr>
            </w:pPr>
            <w:r>
              <w:t>德惠北方水泥有限公司</w:t>
            </w:r>
          </w:p>
        </w:tc>
        <w:tc>
          <w:tcPr>
            <w:tcW w:w="1807" w:type="pct"/>
            <w:tcBorders>
              <w:top w:val="single" w:sz="4" w:space="0" w:color="auto"/>
              <w:left w:val="single" w:sz="4" w:space="0" w:color="auto"/>
              <w:bottom w:val="single" w:sz="4" w:space="0" w:color="auto"/>
              <w:right w:val="single" w:sz="4" w:space="0" w:color="auto"/>
            </w:tcBorders>
          </w:tcPr>
          <w:p w14:paraId="17F581FC" w14:textId="77777777" w:rsidR="00E57DAA" w:rsidRDefault="00AC4185">
            <w:pPr>
              <w:rPr>
                <w:rFonts w:cs="Cambria"/>
                <w:szCs w:val="21"/>
              </w:rPr>
            </w:pPr>
            <w:r>
              <w:t>受同一母公司控制的其他企业</w:t>
            </w:r>
          </w:p>
        </w:tc>
      </w:tr>
      <w:tr w:rsidR="00E57DAA" w14:paraId="352B90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FAD11E" w14:textId="77777777" w:rsidR="00E57DAA" w:rsidRDefault="00AC4185">
            <w:pPr>
              <w:rPr>
                <w:rFonts w:cs="Cambria"/>
                <w:szCs w:val="21"/>
              </w:rPr>
            </w:pPr>
            <w:r>
              <w:t>德清南方水泥有限公司</w:t>
            </w:r>
          </w:p>
        </w:tc>
        <w:tc>
          <w:tcPr>
            <w:tcW w:w="1807" w:type="pct"/>
            <w:tcBorders>
              <w:top w:val="single" w:sz="4" w:space="0" w:color="auto"/>
              <w:left w:val="single" w:sz="4" w:space="0" w:color="auto"/>
              <w:bottom w:val="single" w:sz="4" w:space="0" w:color="auto"/>
              <w:right w:val="single" w:sz="4" w:space="0" w:color="auto"/>
            </w:tcBorders>
          </w:tcPr>
          <w:p w14:paraId="36354883" w14:textId="77777777" w:rsidR="00E57DAA" w:rsidRDefault="00AC4185">
            <w:pPr>
              <w:rPr>
                <w:rFonts w:cs="Cambria"/>
                <w:szCs w:val="21"/>
              </w:rPr>
            </w:pPr>
            <w:r>
              <w:t>受同一母公司控制的其他企业</w:t>
            </w:r>
          </w:p>
        </w:tc>
      </w:tr>
      <w:tr w:rsidR="00E57DAA" w14:paraId="144069A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552539" w14:textId="77777777" w:rsidR="00E57DAA" w:rsidRDefault="00AC4185">
            <w:pPr>
              <w:rPr>
                <w:rFonts w:cs="Cambria"/>
                <w:szCs w:val="21"/>
              </w:rPr>
            </w:pPr>
            <w:r>
              <w:t>德州中联大坝水泥有限公司</w:t>
            </w:r>
          </w:p>
        </w:tc>
        <w:tc>
          <w:tcPr>
            <w:tcW w:w="1807" w:type="pct"/>
            <w:tcBorders>
              <w:top w:val="single" w:sz="4" w:space="0" w:color="auto"/>
              <w:left w:val="single" w:sz="4" w:space="0" w:color="auto"/>
              <w:bottom w:val="single" w:sz="4" w:space="0" w:color="auto"/>
              <w:right w:val="single" w:sz="4" w:space="0" w:color="auto"/>
            </w:tcBorders>
          </w:tcPr>
          <w:p w14:paraId="5481D7CB" w14:textId="77777777" w:rsidR="00E57DAA" w:rsidRDefault="00AC4185">
            <w:pPr>
              <w:rPr>
                <w:rFonts w:cs="Cambria"/>
                <w:szCs w:val="21"/>
              </w:rPr>
            </w:pPr>
            <w:r>
              <w:t>受同一母公司控制的其他企业</w:t>
            </w:r>
          </w:p>
        </w:tc>
      </w:tr>
      <w:tr w:rsidR="00E57DAA" w14:paraId="399837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21FC85" w14:textId="77777777" w:rsidR="00E57DAA" w:rsidRDefault="00AC4185">
            <w:pPr>
              <w:rPr>
                <w:rFonts w:cs="Cambria"/>
                <w:szCs w:val="21"/>
              </w:rPr>
            </w:pPr>
            <w:r>
              <w:t>登封中联登电水泥有限公司</w:t>
            </w:r>
          </w:p>
        </w:tc>
        <w:tc>
          <w:tcPr>
            <w:tcW w:w="1807" w:type="pct"/>
            <w:tcBorders>
              <w:top w:val="single" w:sz="4" w:space="0" w:color="auto"/>
              <w:left w:val="single" w:sz="4" w:space="0" w:color="auto"/>
              <w:bottom w:val="single" w:sz="4" w:space="0" w:color="auto"/>
              <w:right w:val="single" w:sz="4" w:space="0" w:color="auto"/>
            </w:tcBorders>
          </w:tcPr>
          <w:p w14:paraId="60E12D6A" w14:textId="77777777" w:rsidR="00E57DAA" w:rsidRDefault="00AC4185">
            <w:pPr>
              <w:rPr>
                <w:rFonts w:cs="Cambria"/>
                <w:szCs w:val="21"/>
              </w:rPr>
            </w:pPr>
            <w:r>
              <w:t>受同一母公司控制的其他企业</w:t>
            </w:r>
          </w:p>
        </w:tc>
      </w:tr>
      <w:tr w:rsidR="00E57DAA" w14:paraId="5753299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854ECF" w14:textId="77777777" w:rsidR="00E57DAA" w:rsidRDefault="00AC4185">
            <w:pPr>
              <w:rPr>
                <w:rFonts w:cs="Cambria"/>
                <w:szCs w:val="21"/>
              </w:rPr>
            </w:pPr>
            <w:r>
              <w:t>邓州中联水泥有限公司</w:t>
            </w:r>
          </w:p>
        </w:tc>
        <w:tc>
          <w:tcPr>
            <w:tcW w:w="1807" w:type="pct"/>
            <w:tcBorders>
              <w:top w:val="single" w:sz="4" w:space="0" w:color="auto"/>
              <w:left w:val="single" w:sz="4" w:space="0" w:color="auto"/>
              <w:bottom w:val="single" w:sz="4" w:space="0" w:color="auto"/>
              <w:right w:val="single" w:sz="4" w:space="0" w:color="auto"/>
            </w:tcBorders>
          </w:tcPr>
          <w:p w14:paraId="582D278D" w14:textId="77777777" w:rsidR="00E57DAA" w:rsidRDefault="00AC4185">
            <w:pPr>
              <w:rPr>
                <w:rFonts w:cs="Cambria"/>
                <w:szCs w:val="21"/>
              </w:rPr>
            </w:pPr>
            <w:r>
              <w:t>受同一母公司控制的其他企业</w:t>
            </w:r>
          </w:p>
        </w:tc>
      </w:tr>
      <w:tr w:rsidR="00E57DAA" w14:paraId="3ABC337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C6F1F68" w14:textId="77777777" w:rsidR="00E57DAA" w:rsidRDefault="00AC4185">
            <w:pPr>
              <w:rPr>
                <w:rFonts w:cs="Cambria"/>
                <w:szCs w:val="21"/>
              </w:rPr>
            </w:pPr>
            <w:r>
              <w:t>东光中联水泥有限公司</w:t>
            </w:r>
          </w:p>
        </w:tc>
        <w:tc>
          <w:tcPr>
            <w:tcW w:w="1807" w:type="pct"/>
            <w:tcBorders>
              <w:top w:val="single" w:sz="4" w:space="0" w:color="auto"/>
              <w:left w:val="single" w:sz="4" w:space="0" w:color="auto"/>
              <w:bottom w:val="single" w:sz="4" w:space="0" w:color="auto"/>
              <w:right w:val="single" w:sz="4" w:space="0" w:color="auto"/>
            </w:tcBorders>
          </w:tcPr>
          <w:p w14:paraId="3E14B04C" w14:textId="77777777" w:rsidR="00E57DAA" w:rsidRDefault="00AC4185">
            <w:pPr>
              <w:rPr>
                <w:rFonts w:cs="Cambria"/>
                <w:szCs w:val="21"/>
              </w:rPr>
            </w:pPr>
            <w:r>
              <w:t>受同一母公司控制的其他企业</w:t>
            </w:r>
          </w:p>
        </w:tc>
      </w:tr>
      <w:tr w:rsidR="00E57DAA" w14:paraId="60FE07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0E5C1A" w14:textId="77777777" w:rsidR="00E57DAA" w:rsidRDefault="00AC4185">
            <w:pPr>
              <w:rPr>
                <w:rFonts w:cs="Cambria"/>
                <w:szCs w:val="21"/>
              </w:rPr>
            </w:pPr>
            <w:r>
              <w:t>东辽县吉源石灰石矿业有限公司</w:t>
            </w:r>
          </w:p>
        </w:tc>
        <w:tc>
          <w:tcPr>
            <w:tcW w:w="1807" w:type="pct"/>
            <w:tcBorders>
              <w:top w:val="single" w:sz="4" w:space="0" w:color="auto"/>
              <w:left w:val="single" w:sz="4" w:space="0" w:color="auto"/>
              <w:bottom w:val="single" w:sz="4" w:space="0" w:color="auto"/>
              <w:right w:val="single" w:sz="4" w:space="0" w:color="auto"/>
            </w:tcBorders>
          </w:tcPr>
          <w:p w14:paraId="7EF03A6B" w14:textId="77777777" w:rsidR="00E57DAA" w:rsidRDefault="00AC4185">
            <w:pPr>
              <w:rPr>
                <w:rFonts w:cs="Cambria"/>
                <w:szCs w:val="21"/>
              </w:rPr>
            </w:pPr>
            <w:r>
              <w:t>受同一母公司控制的其他企业</w:t>
            </w:r>
          </w:p>
        </w:tc>
      </w:tr>
      <w:tr w:rsidR="00E57DAA" w14:paraId="045BF4D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61FC1C" w14:textId="77777777" w:rsidR="00E57DAA" w:rsidRDefault="00AC4185">
            <w:pPr>
              <w:rPr>
                <w:rFonts w:cs="Cambria"/>
                <w:szCs w:val="21"/>
              </w:rPr>
            </w:pPr>
            <w:r>
              <w:t>东平中联水泥有限公司</w:t>
            </w:r>
          </w:p>
        </w:tc>
        <w:tc>
          <w:tcPr>
            <w:tcW w:w="1807" w:type="pct"/>
            <w:tcBorders>
              <w:top w:val="single" w:sz="4" w:space="0" w:color="auto"/>
              <w:left w:val="single" w:sz="4" w:space="0" w:color="auto"/>
              <w:bottom w:val="single" w:sz="4" w:space="0" w:color="auto"/>
              <w:right w:val="single" w:sz="4" w:space="0" w:color="auto"/>
            </w:tcBorders>
          </w:tcPr>
          <w:p w14:paraId="261164FD" w14:textId="77777777" w:rsidR="00E57DAA" w:rsidRDefault="00AC4185">
            <w:pPr>
              <w:rPr>
                <w:rFonts w:cs="Cambria"/>
                <w:szCs w:val="21"/>
              </w:rPr>
            </w:pPr>
            <w:r>
              <w:t>受同一母公司控制的其他企业</w:t>
            </w:r>
          </w:p>
        </w:tc>
      </w:tr>
      <w:tr w:rsidR="00E57DAA" w14:paraId="70DDB3D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CC6EB0" w14:textId="77777777" w:rsidR="00E57DAA" w:rsidRDefault="00AC4185">
            <w:pPr>
              <w:rPr>
                <w:rFonts w:cs="Cambria"/>
                <w:szCs w:val="21"/>
              </w:rPr>
            </w:pPr>
            <w:r>
              <w:t>东营中联混凝土有限公司</w:t>
            </w:r>
          </w:p>
        </w:tc>
        <w:tc>
          <w:tcPr>
            <w:tcW w:w="1807" w:type="pct"/>
            <w:tcBorders>
              <w:top w:val="single" w:sz="4" w:space="0" w:color="auto"/>
              <w:left w:val="single" w:sz="4" w:space="0" w:color="auto"/>
              <w:bottom w:val="single" w:sz="4" w:space="0" w:color="auto"/>
              <w:right w:val="single" w:sz="4" w:space="0" w:color="auto"/>
            </w:tcBorders>
          </w:tcPr>
          <w:p w14:paraId="7BBF3192" w14:textId="77777777" w:rsidR="00E57DAA" w:rsidRDefault="00AC4185">
            <w:pPr>
              <w:rPr>
                <w:rFonts w:cs="Cambria"/>
                <w:szCs w:val="21"/>
              </w:rPr>
            </w:pPr>
            <w:r>
              <w:t>受同一母公司控制的其他企业</w:t>
            </w:r>
          </w:p>
        </w:tc>
      </w:tr>
      <w:tr w:rsidR="00E57DAA" w14:paraId="13A745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49E8A6" w14:textId="77777777" w:rsidR="00E57DAA" w:rsidRDefault="00AC4185">
            <w:pPr>
              <w:rPr>
                <w:rFonts w:cs="Cambria"/>
                <w:szCs w:val="21"/>
              </w:rPr>
            </w:pPr>
            <w:r>
              <w:t>肥西南方水泥有限公司</w:t>
            </w:r>
          </w:p>
        </w:tc>
        <w:tc>
          <w:tcPr>
            <w:tcW w:w="1807" w:type="pct"/>
            <w:tcBorders>
              <w:top w:val="single" w:sz="4" w:space="0" w:color="auto"/>
              <w:left w:val="single" w:sz="4" w:space="0" w:color="auto"/>
              <w:bottom w:val="single" w:sz="4" w:space="0" w:color="auto"/>
              <w:right w:val="single" w:sz="4" w:space="0" w:color="auto"/>
            </w:tcBorders>
          </w:tcPr>
          <w:p w14:paraId="226EE72C" w14:textId="77777777" w:rsidR="00E57DAA" w:rsidRDefault="00AC4185">
            <w:pPr>
              <w:rPr>
                <w:rFonts w:cs="Cambria"/>
                <w:szCs w:val="21"/>
              </w:rPr>
            </w:pPr>
            <w:r>
              <w:t>受同一母公司控制的其他企业</w:t>
            </w:r>
          </w:p>
        </w:tc>
      </w:tr>
      <w:tr w:rsidR="00E57DAA" w14:paraId="63C315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28A44A" w14:textId="77777777" w:rsidR="00E57DAA" w:rsidRDefault="00AC4185">
            <w:pPr>
              <w:rPr>
                <w:rFonts w:cs="Cambria"/>
                <w:szCs w:val="21"/>
              </w:rPr>
            </w:pPr>
            <w:r>
              <w:t>福建三明南方水泥有限公司</w:t>
            </w:r>
          </w:p>
        </w:tc>
        <w:tc>
          <w:tcPr>
            <w:tcW w:w="1807" w:type="pct"/>
            <w:tcBorders>
              <w:top w:val="single" w:sz="4" w:space="0" w:color="auto"/>
              <w:left w:val="single" w:sz="4" w:space="0" w:color="auto"/>
              <w:bottom w:val="single" w:sz="4" w:space="0" w:color="auto"/>
              <w:right w:val="single" w:sz="4" w:space="0" w:color="auto"/>
            </w:tcBorders>
          </w:tcPr>
          <w:p w14:paraId="19336554" w14:textId="77777777" w:rsidR="00E57DAA" w:rsidRDefault="00AC4185">
            <w:pPr>
              <w:rPr>
                <w:rFonts w:cs="Cambria"/>
                <w:szCs w:val="21"/>
              </w:rPr>
            </w:pPr>
            <w:r>
              <w:t>受同一母公司控制的其他企业</w:t>
            </w:r>
          </w:p>
        </w:tc>
      </w:tr>
      <w:tr w:rsidR="00E57DAA" w14:paraId="6029991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0C06F0" w14:textId="77777777" w:rsidR="00E57DAA" w:rsidRDefault="00AC4185">
            <w:pPr>
              <w:rPr>
                <w:rFonts w:cs="Cambria"/>
                <w:szCs w:val="21"/>
              </w:rPr>
            </w:pPr>
            <w:r>
              <w:t>抚州市东乡区南方新材料有限公司</w:t>
            </w:r>
          </w:p>
        </w:tc>
        <w:tc>
          <w:tcPr>
            <w:tcW w:w="1807" w:type="pct"/>
            <w:tcBorders>
              <w:top w:val="single" w:sz="4" w:space="0" w:color="auto"/>
              <w:left w:val="single" w:sz="4" w:space="0" w:color="auto"/>
              <w:bottom w:val="single" w:sz="4" w:space="0" w:color="auto"/>
              <w:right w:val="single" w:sz="4" w:space="0" w:color="auto"/>
            </w:tcBorders>
          </w:tcPr>
          <w:p w14:paraId="3E731641" w14:textId="77777777" w:rsidR="00E57DAA" w:rsidRDefault="00AC4185">
            <w:pPr>
              <w:rPr>
                <w:rFonts w:cs="Cambria"/>
                <w:szCs w:val="21"/>
              </w:rPr>
            </w:pPr>
            <w:r>
              <w:t>受同一母公司控制的其他企业</w:t>
            </w:r>
          </w:p>
        </w:tc>
      </w:tr>
      <w:tr w:rsidR="00E57DAA" w14:paraId="73F720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E42E7A" w14:textId="77777777" w:rsidR="00E57DAA" w:rsidRDefault="00AC4185">
            <w:pPr>
              <w:rPr>
                <w:rFonts w:cs="Cambria"/>
                <w:szCs w:val="21"/>
              </w:rPr>
            </w:pPr>
            <w:r>
              <w:t>抚州市东乡区上陈新材料有限公司</w:t>
            </w:r>
          </w:p>
        </w:tc>
        <w:tc>
          <w:tcPr>
            <w:tcW w:w="1807" w:type="pct"/>
            <w:tcBorders>
              <w:top w:val="single" w:sz="4" w:space="0" w:color="auto"/>
              <w:left w:val="single" w:sz="4" w:space="0" w:color="auto"/>
              <w:bottom w:val="single" w:sz="4" w:space="0" w:color="auto"/>
              <w:right w:val="single" w:sz="4" w:space="0" w:color="auto"/>
            </w:tcBorders>
          </w:tcPr>
          <w:p w14:paraId="6AD7CD98" w14:textId="77777777" w:rsidR="00E57DAA" w:rsidRDefault="00AC4185">
            <w:pPr>
              <w:rPr>
                <w:rFonts w:cs="Cambria"/>
                <w:szCs w:val="21"/>
              </w:rPr>
            </w:pPr>
            <w:r>
              <w:t>受同一母公司控制的其他企业</w:t>
            </w:r>
          </w:p>
        </w:tc>
      </w:tr>
      <w:tr w:rsidR="00E57DAA" w14:paraId="6BD6F1E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B2378E" w14:textId="77777777" w:rsidR="00E57DAA" w:rsidRDefault="00AC4185">
            <w:pPr>
              <w:rPr>
                <w:rFonts w:cs="Cambria"/>
                <w:szCs w:val="21"/>
              </w:rPr>
            </w:pPr>
            <w:r>
              <w:t>新疆阜康天山水泥有限责任公司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520A2FC1" w14:textId="77777777" w:rsidR="00E57DAA" w:rsidRDefault="00AC4185">
            <w:pPr>
              <w:rPr>
                <w:rFonts w:cs="Cambria"/>
                <w:szCs w:val="21"/>
              </w:rPr>
            </w:pPr>
            <w:r>
              <w:t>受同一母公司控制的其他企业</w:t>
            </w:r>
          </w:p>
        </w:tc>
      </w:tr>
      <w:tr w:rsidR="00E57DAA" w14:paraId="56414BC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00B0F40" w14:textId="77777777" w:rsidR="00E57DAA" w:rsidRDefault="00AC4185">
            <w:pPr>
              <w:rPr>
                <w:rFonts w:cs="Cambria"/>
                <w:szCs w:val="21"/>
              </w:rPr>
            </w:pPr>
            <w:r>
              <w:t>阜阳中联水泥有限公司</w:t>
            </w:r>
          </w:p>
        </w:tc>
        <w:tc>
          <w:tcPr>
            <w:tcW w:w="1807" w:type="pct"/>
            <w:tcBorders>
              <w:top w:val="single" w:sz="4" w:space="0" w:color="auto"/>
              <w:left w:val="single" w:sz="4" w:space="0" w:color="auto"/>
              <w:bottom w:val="single" w:sz="4" w:space="0" w:color="auto"/>
              <w:right w:val="single" w:sz="4" w:space="0" w:color="auto"/>
            </w:tcBorders>
          </w:tcPr>
          <w:p w14:paraId="3354C61E" w14:textId="77777777" w:rsidR="00E57DAA" w:rsidRDefault="00AC4185">
            <w:pPr>
              <w:rPr>
                <w:rFonts w:cs="Cambria"/>
                <w:szCs w:val="21"/>
              </w:rPr>
            </w:pPr>
            <w:r>
              <w:t>受同一母公司控制的其他企业</w:t>
            </w:r>
          </w:p>
        </w:tc>
      </w:tr>
      <w:tr w:rsidR="00E57DAA" w14:paraId="0B7742E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0429AB" w14:textId="77777777" w:rsidR="00E57DAA" w:rsidRDefault="00AC4185">
            <w:pPr>
              <w:rPr>
                <w:rFonts w:cs="Cambria"/>
                <w:szCs w:val="21"/>
              </w:rPr>
            </w:pPr>
            <w:r>
              <w:t>富民金锐水泥建材有限责任公司</w:t>
            </w:r>
          </w:p>
        </w:tc>
        <w:tc>
          <w:tcPr>
            <w:tcW w:w="1807" w:type="pct"/>
            <w:tcBorders>
              <w:top w:val="single" w:sz="4" w:space="0" w:color="auto"/>
              <w:left w:val="single" w:sz="4" w:space="0" w:color="auto"/>
              <w:bottom w:val="single" w:sz="4" w:space="0" w:color="auto"/>
              <w:right w:val="single" w:sz="4" w:space="0" w:color="auto"/>
            </w:tcBorders>
          </w:tcPr>
          <w:p w14:paraId="14BF56F2" w14:textId="77777777" w:rsidR="00E57DAA" w:rsidRDefault="00AC4185">
            <w:pPr>
              <w:rPr>
                <w:rFonts w:cs="Cambria"/>
                <w:szCs w:val="21"/>
              </w:rPr>
            </w:pPr>
            <w:r>
              <w:t>受同一母公司控制的其他企业</w:t>
            </w:r>
          </w:p>
        </w:tc>
      </w:tr>
      <w:tr w:rsidR="00E57DAA" w14:paraId="344BCB2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4D77B8" w14:textId="77777777" w:rsidR="00E57DAA" w:rsidRDefault="00AC4185">
            <w:pPr>
              <w:rPr>
                <w:rFonts w:cs="Cambria"/>
                <w:szCs w:val="21"/>
              </w:rPr>
            </w:pPr>
            <w:r>
              <w:t>富蕴天山水泥有限责任公司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2BF6C0B6" w14:textId="77777777" w:rsidR="00E57DAA" w:rsidRDefault="00AC4185">
            <w:pPr>
              <w:rPr>
                <w:rFonts w:cs="Cambria"/>
                <w:szCs w:val="21"/>
              </w:rPr>
            </w:pPr>
            <w:r>
              <w:t>受同一母公司控制的其他企业</w:t>
            </w:r>
          </w:p>
        </w:tc>
      </w:tr>
      <w:tr w:rsidR="00E57DAA" w14:paraId="20AFEB0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BC6FA1" w14:textId="77777777" w:rsidR="00E57DAA" w:rsidRDefault="00AC4185">
            <w:pPr>
              <w:rPr>
                <w:rFonts w:cs="Cambria"/>
                <w:szCs w:val="21"/>
              </w:rPr>
            </w:pPr>
            <w:r>
              <w:t>甘谷祁连山水泥有限公司</w:t>
            </w:r>
          </w:p>
        </w:tc>
        <w:tc>
          <w:tcPr>
            <w:tcW w:w="1807" w:type="pct"/>
            <w:tcBorders>
              <w:top w:val="single" w:sz="4" w:space="0" w:color="auto"/>
              <w:left w:val="single" w:sz="4" w:space="0" w:color="auto"/>
              <w:bottom w:val="single" w:sz="4" w:space="0" w:color="auto"/>
              <w:right w:val="single" w:sz="4" w:space="0" w:color="auto"/>
            </w:tcBorders>
          </w:tcPr>
          <w:p w14:paraId="0A1347A3" w14:textId="77777777" w:rsidR="00E57DAA" w:rsidRDefault="00AC4185">
            <w:pPr>
              <w:rPr>
                <w:rFonts w:cs="Cambria"/>
                <w:szCs w:val="21"/>
              </w:rPr>
            </w:pPr>
            <w:r>
              <w:t>受同一母公司控制的其他企业</w:t>
            </w:r>
          </w:p>
        </w:tc>
      </w:tr>
      <w:tr w:rsidR="00E57DAA" w14:paraId="5AF34C3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D7D824" w14:textId="77777777" w:rsidR="00E57DAA" w:rsidRDefault="00AC4185">
            <w:pPr>
              <w:rPr>
                <w:rFonts w:cs="Cambria"/>
                <w:szCs w:val="21"/>
              </w:rPr>
            </w:pPr>
            <w:r>
              <w:t>中交设计咨询集团股份有限公司</w:t>
            </w:r>
          </w:p>
        </w:tc>
        <w:tc>
          <w:tcPr>
            <w:tcW w:w="1807" w:type="pct"/>
            <w:tcBorders>
              <w:top w:val="single" w:sz="4" w:space="0" w:color="auto"/>
              <w:left w:val="single" w:sz="4" w:space="0" w:color="auto"/>
              <w:bottom w:val="single" w:sz="4" w:space="0" w:color="auto"/>
              <w:right w:val="single" w:sz="4" w:space="0" w:color="auto"/>
            </w:tcBorders>
          </w:tcPr>
          <w:p w14:paraId="4E8B8ED4" w14:textId="77777777" w:rsidR="00E57DAA" w:rsidRDefault="00AC4185">
            <w:pPr>
              <w:rPr>
                <w:rFonts w:cs="Cambria"/>
                <w:szCs w:val="21"/>
              </w:rPr>
            </w:pPr>
            <w:r>
              <w:t>受同一母公司控制的其他企业</w:t>
            </w:r>
          </w:p>
        </w:tc>
      </w:tr>
      <w:tr w:rsidR="00E57DAA" w14:paraId="77BB1B2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C05EE2" w14:textId="77777777" w:rsidR="00E57DAA" w:rsidRDefault="00AC4185">
            <w:pPr>
              <w:rPr>
                <w:rFonts w:cs="Cambria"/>
                <w:szCs w:val="21"/>
              </w:rPr>
            </w:pPr>
            <w:r>
              <w:t>甘肃祁连山水泥集团有限公司</w:t>
            </w:r>
          </w:p>
        </w:tc>
        <w:tc>
          <w:tcPr>
            <w:tcW w:w="1807" w:type="pct"/>
            <w:tcBorders>
              <w:top w:val="single" w:sz="4" w:space="0" w:color="auto"/>
              <w:left w:val="single" w:sz="4" w:space="0" w:color="auto"/>
              <w:bottom w:val="single" w:sz="4" w:space="0" w:color="auto"/>
              <w:right w:val="single" w:sz="4" w:space="0" w:color="auto"/>
            </w:tcBorders>
          </w:tcPr>
          <w:p w14:paraId="6904C9B5" w14:textId="77777777" w:rsidR="00E57DAA" w:rsidRDefault="00AC4185">
            <w:pPr>
              <w:rPr>
                <w:rFonts w:cs="Cambria"/>
                <w:szCs w:val="21"/>
              </w:rPr>
            </w:pPr>
            <w:r>
              <w:t>受同一母公司控制的其他企业</w:t>
            </w:r>
          </w:p>
        </w:tc>
      </w:tr>
      <w:tr w:rsidR="00E57DAA" w14:paraId="239931B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0D0D9E" w14:textId="77777777" w:rsidR="00E57DAA" w:rsidRDefault="00AC4185">
            <w:pPr>
              <w:rPr>
                <w:rFonts w:cs="Cambria"/>
                <w:szCs w:val="21"/>
              </w:rPr>
            </w:pPr>
            <w:r>
              <w:t>古浪祁连山水泥有限公司</w:t>
            </w:r>
          </w:p>
        </w:tc>
        <w:tc>
          <w:tcPr>
            <w:tcW w:w="1807" w:type="pct"/>
            <w:tcBorders>
              <w:top w:val="single" w:sz="4" w:space="0" w:color="auto"/>
              <w:left w:val="single" w:sz="4" w:space="0" w:color="auto"/>
              <w:bottom w:val="single" w:sz="4" w:space="0" w:color="auto"/>
              <w:right w:val="single" w:sz="4" w:space="0" w:color="auto"/>
            </w:tcBorders>
          </w:tcPr>
          <w:p w14:paraId="6FD042A2" w14:textId="77777777" w:rsidR="00E57DAA" w:rsidRDefault="00AC4185">
            <w:pPr>
              <w:rPr>
                <w:rFonts w:cs="Cambria"/>
                <w:szCs w:val="21"/>
              </w:rPr>
            </w:pPr>
            <w:r>
              <w:t>受同一母公司控制的其他企业</w:t>
            </w:r>
          </w:p>
        </w:tc>
      </w:tr>
      <w:tr w:rsidR="00E57DAA" w14:paraId="41F90B1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714426B" w14:textId="77777777" w:rsidR="00E57DAA" w:rsidRDefault="00AC4185">
            <w:pPr>
              <w:rPr>
                <w:rFonts w:cs="Cambria"/>
                <w:szCs w:val="21"/>
              </w:rPr>
            </w:pPr>
            <w:r>
              <w:t>固原市赛马新型建材有限公司</w:t>
            </w:r>
          </w:p>
        </w:tc>
        <w:tc>
          <w:tcPr>
            <w:tcW w:w="1807" w:type="pct"/>
            <w:tcBorders>
              <w:top w:val="single" w:sz="4" w:space="0" w:color="auto"/>
              <w:left w:val="single" w:sz="4" w:space="0" w:color="auto"/>
              <w:bottom w:val="single" w:sz="4" w:space="0" w:color="auto"/>
              <w:right w:val="single" w:sz="4" w:space="0" w:color="auto"/>
            </w:tcBorders>
          </w:tcPr>
          <w:p w14:paraId="6F44EB05" w14:textId="77777777" w:rsidR="00E57DAA" w:rsidRDefault="00AC4185">
            <w:pPr>
              <w:rPr>
                <w:rFonts w:cs="Cambria"/>
                <w:szCs w:val="21"/>
              </w:rPr>
            </w:pPr>
            <w:r>
              <w:t>受同一母公司控制的其他企业</w:t>
            </w:r>
          </w:p>
        </w:tc>
      </w:tr>
      <w:tr w:rsidR="00E57DAA" w14:paraId="0E60D2A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2B36F8" w14:textId="77777777" w:rsidR="00E57DAA" w:rsidRDefault="00AC4185">
            <w:pPr>
              <w:rPr>
                <w:rFonts w:cs="Cambria"/>
                <w:szCs w:val="21"/>
              </w:rPr>
            </w:pPr>
            <w:r>
              <w:t>广德独山南方水泥有限公司</w:t>
            </w:r>
          </w:p>
        </w:tc>
        <w:tc>
          <w:tcPr>
            <w:tcW w:w="1807" w:type="pct"/>
            <w:tcBorders>
              <w:top w:val="single" w:sz="4" w:space="0" w:color="auto"/>
              <w:left w:val="single" w:sz="4" w:space="0" w:color="auto"/>
              <w:bottom w:val="single" w:sz="4" w:space="0" w:color="auto"/>
              <w:right w:val="single" w:sz="4" w:space="0" w:color="auto"/>
            </w:tcBorders>
          </w:tcPr>
          <w:p w14:paraId="36E871C1" w14:textId="77777777" w:rsidR="00E57DAA" w:rsidRDefault="00AC4185">
            <w:pPr>
              <w:rPr>
                <w:rFonts w:cs="Cambria"/>
                <w:szCs w:val="21"/>
              </w:rPr>
            </w:pPr>
            <w:r>
              <w:t>受同一母公司控制的其他企业</w:t>
            </w:r>
          </w:p>
        </w:tc>
      </w:tr>
      <w:tr w:rsidR="00E57DAA" w14:paraId="04CAB9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7E2CD5" w14:textId="77777777" w:rsidR="00E57DAA" w:rsidRDefault="00AC4185">
            <w:pPr>
              <w:rPr>
                <w:rFonts w:cs="Cambria"/>
                <w:szCs w:val="21"/>
              </w:rPr>
            </w:pPr>
            <w:r>
              <w:t>广德新杭南方水泥有限公司</w:t>
            </w:r>
          </w:p>
        </w:tc>
        <w:tc>
          <w:tcPr>
            <w:tcW w:w="1807" w:type="pct"/>
            <w:tcBorders>
              <w:top w:val="single" w:sz="4" w:space="0" w:color="auto"/>
              <w:left w:val="single" w:sz="4" w:space="0" w:color="auto"/>
              <w:bottom w:val="single" w:sz="4" w:space="0" w:color="auto"/>
              <w:right w:val="single" w:sz="4" w:space="0" w:color="auto"/>
            </w:tcBorders>
          </w:tcPr>
          <w:p w14:paraId="0A8AAAE5" w14:textId="77777777" w:rsidR="00E57DAA" w:rsidRDefault="00AC4185">
            <w:pPr>
              <w:rPr>
                <w:rFonts w:cs="Cambria"/>
                <w:szCs w:val="21"/>
              </w:rPr>
            </w:pPr>
            <w:r>
              <w:t>受同一母公司控制的其他企业</w:t>
            </w:r>
          </w:p>
        </w:tc>
      </w:tr>
      <w:tr w:rsidR="00E57DAA" w14:paraId="5B1EE19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3D566C" w14:textId="77777777" w:rsidR="00E57DAA" w:rsidRDefault="00AC4185">
            <w:pPr>
              <w:rPr>
                <w:rFonts w:cs="Cambria"/>
                <w:szCs w:val="21"/>
              </w:rPr>
            </w:pPr>
            <w:r>
              <w:t>广西金鲤水泥有限公司</w:t>
            </w:r>
          </w:p>
        </w:tc>
        <w:tc>
          <w:tcPr>
            <w:tcW w:w="1807" w:type="pct"/>
            <w:tcBorders>
              <w:top w:val="single" w:sz="4" w:space="0" w:color="auto"/>
              <w:left w:val="single" w:sz="4" w:space="0" w:color="auto"/>
              <w:bottom w:val="single" w:sz="4" w:space="0" w:color="auto"/>
              <w:right w:val="single" w:sz="4" w:space="0" w:color="auto"/>
            </w:tcBorders>
          </w:tcPr>
          <w:p w14:paraId="7C296544" w14:textId="77777777" w:rsidR="00E57DAA" w:rsidRDefault="00AC4185">
            <w:pPr>
              <w:rPr>
                <w:rFonts w:cs="Cambria"/>
                <w:szCs w:val="21"/>
              </w:rPr>
            </w:pPr>
            <w:r>
              <w:t>受同一母公司控制的其他企业</w:t>
            </w:r>
          </w:p>
        </w:tc>
      </w:tr>
      <w:tr w:rsidR="00E57DAA" w14:paraId="31920E3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AC1D38C" w14:textId="77777777" w:rsidR="00E57DAA" w:rsidRDefault="00AC4185">
            <w:pPr>
              <w:rPr>
                <w:rFonts w:cs="Cambria"/>
                <w:szCs w:val="21"/>
              </w:rPr>
            </w:pPr>
            <w:r>
              <w:t>广元市高力水泥实业有限公司</w:t>
            </w:r>
          </w:p>
        </w:tc>
        <w:tc>
          <w:tcPr>
            <w:tcW w:w="1807" w:type="pct"/>
            <w:tcBorders>
              <w:top w:val="single" w:sz="4" w:space="0" w:color="auto"/>
              <w:left w:val="single" w:sz="4" w:space="0" w:color="auto"/>
              <w:bottom w:val="single" w:sz="4" w:space="0" w:color="auto"/>
              <w:right w:val="single" w:sz="4" w:space="0" w:color="auto"/>
            </w:tcBorders>
          </w:tcPr>
          <w:p w14:paraId="08DD6C57" w14:textId="77777777" w:rsidR="00E57DAA" w:rsidRDefault="00AC4185">
            <w:pPr>
              <w:rPr>
                <w:rFonts w:cs="Cambria"/>
                <w:szCs w:val="21"/>
              </w:rPr>
            </w:pPr>
            <w:r>
              <w:t>受同一母公司控制的其他企业</w:t>
            </w:r>
          </w:p>
        </w:tc>
      </w:tr>
      <w:tr w:rsidR="00E57DAA" w14:paraId="42FEDA3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B3807D5" w14:textId="77777777" w:rsidR="00E57DAA" w:rsidRDefault="00AC4185">
            <w:pPr>
              <w:rPr>
                <w:rFonts w:cs="Cambria"/>
                <w:szCs w:val="21"/>
              </w:rPr>
            </w:pPr>
            <w:r>
              <w:t>贵州德隆水泥有限公司</w:t>
            </w:r>
          </w:p>
        </w:tc>
        <w:tc>
          <w:tcPr>
            <w:tcW w:w="1807" w:type="pct"/>
            <w:tcBorders>
              <w:top w:val="single" w:sz="4" w:space="0" w:color="auto"/>
              <w:left w:val="single" w:sz="4" w:space="0" w:color="auto"/>
              <w:bottom w:val="single" w:sz="4" w:space="0" w:color="auto"/>
              <w:right w:val="single" w:sz="4" w:space="0" w:color="auto"/>
            </w:tcBorders>
          </w:tcPr>
          <w:p w14:paraId="3F914488" w14:textId="77777777" w:rsidR="00E57DAA" w:rsidRDefault="00AC4185">
            <w:pPr>
              <w:rPr>
                <w:rFonts w:cs="Cambria"/>
                <w:szCs w:val="21"/>
              </w:rPr>
            </w:pPr>
            <w:r>
              <w:t>受同一母公司控制的其他企业</w:t>
            </w:r>
          </w:p>
        </w:tc>
      </w:tr>
      <w:tr w:rsidR="00E57DAA" w14:paraId="563A16D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0559E6" w14:textId="77777777" w:rsidR="00E57DAA" w:rsidRDefault="00AC4185">
            <w:pPr>
              <w:rPr>
                <w:rFonts w:cs="Cambria"/>
                <w:szCs w:val="21"/>
              </w:rPr>
            </w:pPr>
            <w:r>
              <w:t>贵州梵净山金顶水泥有限公司</w:t>
            </w:r>
          </w:p>
        </w:tc>
        <w:tc>
          <w:tcPr>
            <w:tcW w:w="1807" w:type="pct"/>
            <w:tcBorders>
              <w:top w:val="single" w:sz="4" w:space="0" w:color="auto"/>
              <w:left w:val="single" w:sz="4" w:space="0" w:color="auto"/>
              <w:bottom w:val="single" w:sz="4" w:space="0" w:color="auto"/>
              <w:right w:val="single" w:sz="4" w:space="0" w:color="auto"/>
            </w:tcBorders>
          </w:tcPr>
          <w:p w14:paraId="5656AD10" w14:textId="77777777" w:rsidR="00E57DAA" w:rsidRDefault="00AC4185">
            <w:pPr>
              <w:rPr>
                <w:rFonts w:cs="Cambria"/>
                <w:szCs w:val="21"/>
              </w:rPr>
            </w:pPr>
            <w:r>
              <w:t>受同一母公司控制的其他企业</w:t>
            </w:r>
          </w:p>
        </w:tc>
      </w:tr>
      <w:tr w:rsidR="00E57DAA" w14:paraId="3F0FA9F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8B9372" w14:textId="77777777" w:rsidR="00E57DAA" w:rsidRDefault="00AC4185">
            <w:pPr>
              <w:rPr>
                <w:rFonts w:cs="Cambria"/>
                <w:szCs w:val="21"/>
              </w:rPr>
            </w:pPr>
            <w:r>
              <w:t>贵州福泉西南水泥有限公司</w:t>
            </w:r>
          </w:p>
        </w:tc>
        <w:tc>
          <w:tcPr>
            <w:tcW w:w="1807" w:type="pct"/>
            <w:tcBorders>
              <w:top w:val="single" w:sz="4" w:space="0" w:color="auto"/>
              <w:left w:val="single" w:sz="4" w:space="0" w:color="auto"/>
              <w:bottom w:val="single" w:sz="4" w:space="0" w:color="auto"/>
              <w:right w:val="single" w:sz="4" w:space="0" w:color="auto"/>
            </w:tcBorders>
          </w:tcPr>
          <w:p w14:paraId="3EA4459F" w14:textId="77777777" w:rsidR="00E57DAA" w:rsidRDefault="00AC4185">
            <w:pPr>
              <w:rPr>
                <w:rFonts w:cs="Cambria"/>
                <w:szCs w:val="21"/>
              </w:rPr>
            </w:pPr>
            <w:r>
              <w:t>受同一母公司控制的其他企业</w:t>
            </w:r>
          </w:p>
        </w:tc>
      </w:tr>
      <w:tr w:rsidR="00E57DAA" w14:paraId="24581CD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F96F2E" w14:textId="77777777" w:rsidR="00E57DAA" w:rsidRDefault="00AC4185">
            <w:pPr>
              <w:rPr>
                <w:rFonts w:cs="Cambria"/>
                <w:szCs w:val="21"/>
              </w:rPr>
            </w:pPr>
            <w:r>
              <w:t>贵州惠水西南水泥有限公司</w:t>
            </w:r>
          </w:p>
        </w:tc>
        <w:tc>
          <w:tcPr>
            <w:tcW w:w="1807" w:type="pct"/>
            <w:tcBorders>
              <w:top w:val="single" w:sz="4" w:space="0" w:color="auto"/>
              <w:left w:val="single" w:sz="4" w:space="0" w:color="auto"/>
              <w:bottom w:val="single" w:sz="4" w:space="0" w:color="auto"/>
              <w:right w:val="single" w:sz="4" w:space="0" w:color="auto"/>
            </w:tcBorders>
          </w:tcPr>
          <w:p w14:paraId="3A2B25DB" w14:textId="77777777" w:rsidR="00E57DAA" w:rsidRDefault="00AC4185">
            <w:pPr>
              <w:rPr>
                <w:rFonts w:cs="Cambria"/>
                <w:szCs w:val="21"/>
              </w:rPr>
            </w:pPr>
            <w:r>
              <w:t>受同一母公司控制的其他企业</w:t>
            </w:r>
          </w:p>
        </w:tc>
      </w:tr>
      <w:tr w:rsidR="00E57DAA" w14:paraId="25F15AD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5785F3" w14:textId="77777777" w:rsidR="00E57DAA" w:rsidRDefault="00AC4185">
            <w:pPr>
              <w:rPr>
                <w:rFonts w:cs="Cambria"/>
                <w:szCs w:val="21"/>
              </w:rPr>
            </w:pPr>
            <w:r>
              <w:t>贵州黔西西南水泥有限公司</w:t>
            </w:r>
          </w:p>
        </w:tc>
        <w:tc>
          <w:tcPr>
            <w:tcW w:w="1807" w:type="pct"/>
            <w:tcBorders>
              <w:top w:val="single" w:sz="4" w:space="0" w:color="auto"/>
              <w:left w:val="single" w:sz="4" w:space="0" w:color="auto"/>
              <w:bottom w:val="single" w:sz="4" w:space="0" w:color="auto"/>
              <w:right w:val="single" w:sz="4" w:space="0" w:color="auto"/>
            </w:tcBorders>
          </w:tcPr>
          <w:p w14:paraId="2FBAA24E" w14:textId="77777777" w:rsidR="00E57DAA" w:rsidRDefault="00AC4185">
            <w:pPr>
              <w:rPr>
                <w:rFonts w:cs="Cambria"/>
                <w:szCs w:val="21"/>
              </w:rPr>
            </w:pPr>
            <w:r>
              <w:t>受同一母公司控制的其他企业</w:t>
            </w:r>
          </w:p>
        </w:tc>
      </w:tr>
      <w:tr w:rsidR="00E57DAA" w14:paraId="3AFB2F2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7359430" w14:textId="77777777" w:rsidR="00E57DAA" w:rsidRDefault="00AC4185">
            <w:pPr>
              <w:rPr>
                <w:rFonts w:cs="Cambria"/>
                <w:szCs w:val="21"/>
              </w:rPr>
            </w:pPr>
            <w:r>
              <w:t>贵州瑞溪水泥发展有限公司</w:t>
            </w:r>
          </w:p>
        </w:tc>
        <w:tc>
          <w:tcPr>
            <w:tcW w:w="1807" w:type="pct"/>
            <w:tcBorders>
              <w:top w:val="single" w:sz="4" w:space="0" w:color="auto"/>
              <w:left w:val="single" w:sz="4" w:space="0" w:color="auto"/>
              <w:bottom w:val="single" w:sz="4" w:space="0" w:color="auto"/>
              <w:right w:val="single" w:sz="4" w:space="0" w:color="auto"/>
            </w:tcBorders>
          </w:tcPr>
          <w:p w14:paraId="1D82B8E0" w14:textId="77777777" w:rsidR="00E57DAA" w:rsidRDefault="00AC4185">
            <w:pPr>
              <w:rPr>
                <w:rFonts w:cs="Cambria"/>
                <w:szCs w:val="21"/>
              </w:rPr>
            </w:pPr>
            <w:r>
              <w:t>受同一母公司控制的其他企业</w:t>
            </w:r>
          </w:p>
        </w:tc>
      </w:tr>
      <w:tr w:rsidR="00E57DAA" w14:paraId="50098D5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4C0950" w14:textId="77777777" w:rsidR="00E57DAA" w:rsidRDefault="00AC4185">
            <w:pPr>
              <w:rPr>
                <w:rFonts w:cs="Cambria"/>
                <w:szCs w:val="21"/>
              </w:rPr>
            </w:pPr>
            <w:r>
              <w:lastRenderedPageBreak/>
              <w:t>贵州森垚水泥有限公司</w:t>
            </w:r>
          </w:p>
        </w:tc>
        <w:tc>
          <w:tcPr>
            <w:tcW w:w="1807" w:type="pct"/>
            <w:tcBorders>
              <w:top w:val="single" w:sz="4" w:space="0" w:color="auto"/>
              <w:left w:val="single" w:sz="4" w:space="0" w:color="auto"/>
              <w:bottom w:val="single" w:sz="4" w:space="0" w:color="auto"/>
              <w:right w:val="single" w:sz="4" w:space="0" w:color="auto"/>
            </w:tcBorders>
          </w:tcPr>
          <w:p w14:paraId="6D0E135B" w14:textId="77777777" w:rsidR="00E57DAA" w:rsidRDefault="00AC4185">
            <w:pPr>
              <w:rPr>
                <w:rFonts w:cs="Cambria"/>
                <w:szCs w:val="21"/>
              </w:rPr>
            </w:pPr>
            <w:r>
              <w:t>受同一母公司控制的其他企业</w:t>
            </w:r>
          </w:p>
        </w:tc>
      </w:tr>
      <w:tr w:rsidR="00E57DAA" w14:paraId="7AD31F3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97FD8B6" w14:textId="77777777" w:rsidR="00E57DAA" w:rsidRDefault="00AC4185">
            <w:pPr>
              <w:rPr>
                <w:rFonts w:cs="Cambria"/>
                <w:szCs w:val="21"/>
              </w:rPr>
            </w:pPr>
            <w:r>
              <w:t>贵州省松桃高力水泥实业有限公司</w:t>
            </w:r>
          </w:p>
        </w:tc>
        <w:tc>
          <w:tcPr>
            <w:tcW w:w="1807" w:type="pct"/>
            <w:tcBorders>
              <w:top w:val="single" w:sz="4" w:space="0" w:color="auto"/>
              <w:left w:val="single" w:sz="4" w:space="0" w:color="auto"/>
              <w:bottom w:val="single" w:sz="4" w:space="0" w:color="auto"/>
              <w:right w:val="single" w:sz="4" w:space="0" w:color="auto"/>
            </w:tcBorders>
          </w:tcPr>
          <w:p w14:paraId="58A987FF" w14:textId="77777777" w:rsidR="00E57DAA" w:rsidRDefault="00AC4185">
            <w:pPr>
              <w:rPr>
                <w:rFonts w:cs="Cambria"/>
                <w:szCs w:val="21"/>
              </w:rPr>
            </w:pPr>
            <w:r>
              <w:t>受同一母公司控制的其他企业</w:t>
            </w:r>
          </w:p>
        </w:tc>
      </w:tr>
      <w:tr w:rsidR="00E57DAA" w14:paraId="2C39BF1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61A287" w14:textId="77777777" w:rsidR="00E57DAA" w:rsidRDefault="00AC4185">
            <w:pPr>
              <w:rPr>
                <w:rFonts w:cs="Cambria"/>
                <w:szCs w:val="21"/>
              </w:rPr>
            </w:pPr>
            <w:r>
              <w:t>贵州思南西南水泥有限公司</w:t>
            </w:r>
          </w:p>
        </w:tc>
        <w:tc>
          <w:tcPr>
            <w:tcW w:w="1807" w:type="pct"/>
            <w:tcBorders>
              <w:top w:val="single" w:sz="4" w:space="0" w:color="auto"/>
              <w:left w:val="single" w:sz="4" w:space="0" w:color="auto"/>
              <w:bottom w:val="single" w:sz="4" w:space="0" w:color="auto"/>
              <w:right w:val="single" w:sz="4" w:space="0" w:color="auto"/>
            </w:tcBorders>
          </w:tcPr>
          <w:p w14:paraId="0CA4E033" w14:textId="77777777" w:rsidR="00E57DAA" w:rsidRDefault="00AC4185">
            <w:pPr>
              <w:rPr>
                <w:rFonts w:cs="Cambria"/>
                <w:szCs w:val="21"/>
              </w:rPr>
            </w:pPr>
            <w:r>
              <w:t>受同一母公司控制的其他企业</w:t>
            </w:r>
          </w:p>
        </w:tc>
      </w:tr>
      <w:tr w:rsidR="00E57DAA" w14:paraId="39335EE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65E3C0" w14:textId="77777777" w:rsidR="00E57DAA" w:rsidRDefault="00AC4185">
            <w:pPr>
              <w:rPr>
                <w:rFonts w:cs="Cambria"/>
                <w:szCs w:val="21"/>
              </w:rPr>
            </w:pPr>
            <w:r>
              <w:t>贵州威宁西南水泥有限公司</w:t>
            </w:r>
          </w:p>
        </w:tc>
        <w:tc>
          <w:tcPr>
            <w:tcW w:w="1807" w:type="pct"/>
            <w:tcBorders>
              <w:top w:val="single" w:sz="4" w:space="0" w:color="auto"/>
              <w:left w:val="single" w:sz="4" w:space="0" w:color="auto"/>
              <w:bottom w:val="single" w:sz="4" w:space="0" w:color="auto"/>
              <w:right w:val="single" w:sz="4" w:space="0" w:color="auto"/>
            </w:tcBorders>
          </w:tcPr>
          <w:p w14:paraId="65DF0E45" w14:textId="77777777" w:rsidR="00E57DAA" w:rsidRDefault="00AC4185">
            <w:pPr>
              <w:rPr>
                <w:rFonts w:cs="Cambria"/>
                <w:szCs w:val="21"/>
              </w:rPr>
            </w:pPr>
            <w:r>
              <w:t>受同一母公司控制的其他企业</w:t>
            </w:r>
          </w:p>
        </w:tc>
      </w:tr>
      <w:tr w:rsidR="00E57DAA" w14:paraId="742F1F0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CBDA93" w14:textId="77777777" w:rsidR="00E57DAA" w:rsidRDefault="00AC4185">
            <w:pPr>
              <w:rPr>
                <w:rFonts w:cs="Cambria"/>
                <w:szCs w:val="21"/>
              </w:rPr>
            </w:pPr>
            <w:r>
              <w:t>贵州西南联合新材料科技有限公司</w:t>
            </w:r>
          </w:p>
        </w:tc>
        <w:tc>
          <w:tcPr>
            <w:tcW w:w="1807" w:type="pct"/>
            <w:tcBorders>
              <w:top w:val="single" w:sz="4" w:space="0" w:color="auto"/>
              <w:left w:val="single" w:sz="4" w:space="0" w:color="auto"/>
              <w:bottom w:val="single" w:sz="4" w:space="0" w:color="auto"/>
              <w:right w:val="single" w:sz="4" w:space="0" w:color="auto"/>
            </w:tcBorders>
          </w:tcPr>
          <w:p w14:paraId="618CDE0A" w14:textId="77777777" w:rsidR="00E57DAA" w:rsidRDefault="00AC4185">
            <w:pPr>
              <w:rPr>
                <w:rFonts w:cs="Cambria"/>
                <w:szCs w:val="21"/>
              </w:rPr>
            </w:pPr>
            <w:r>
              <w:t>受同一母公司控制的其他企业</w:t>
            </w:r>
          </w:p>
        </w:tc>
      </w:tr>
      <w:tr w:rsidR="00E57DAA" w14:paraId="3A60628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C5D72F" w14:textId="77777777" w:rsidR="00E57DAA" w:rsidRDefault="00AC4185">
            <w:pPr>
              <w:rPr>
                <w:rFonts w:cs="Cambria"/>
                <w:szCs w:val="21"/>
              </w:rPr>
            </w:pPr>
            <w:r>
              <w:t>贵州天山水泥有限公司</w:t>
            </w:r>
          </w:p>
        </w:tc>
        <w:tc>
          <w:tcPr>
            <w:tcW w:w="1807" w:type="pct"/>
            <w:tcBorders>
              <w:top w:val="single" w:sz="4" w:space="0" w:color="auto"/>
              <w:left w:val="single" w:sz="4" w:space="0" w:color="auto"/>
              <w:bottom w:val="single" w:sz="4" w:space="0" w:color="auto"/>
              <w:right w:val="single" w:sz="4" w:space="0" w:color="auto"/>
            </w:tcBorders>
          </w:tcPr>
          <w:p w14:paraId="16DD144C" w14:textId="77777777" w:rsidR="00E57DAA" w:rsidRDefault="00AC4185">
            <w:pPr>
              <w:rPr>
                <w:rFonts w:cs="Cambria"/>
                <w:szCs w:val="21"/>
              </w:rPr>
            </w:pPr>
            <w:r>
              <w:t>受同一母公司控制的其他企业</w:t>
            </w:r>
          </w:p>
        </w:tc>
      </w:tr>
      <w:tr w:rsidR="00E57DAA" w14:paraId="22DD371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AFBFDD" w14:textId="77777777" w:rsidR="00E57DAA" w:rsidRDefault="00AC4185">
            <w:pPr>
              <w:rPr>
                <w:rFonts w:cs="Cambria"/>
                <w:szCs w:val="21"/>
              </w:rPr>
            </w:pPr>
            <w:r>
              <w:t>贵州兴义西南水泥有限公司</w:t>
            </w:r>
          </w:p>
        </w:tc>
        <w:tc>
          <w:tcPr>
            <w:tcW w:w="1807" w:type="pct"/>
            <w:tcBorders>
              <w:top w:val="single" w:sz="4" w:space="0" w:color="auto"/>
              <w:left w:val="single" w:sz="4" w:space="0" w:color="auto"/>
              <w:bottom w:val="single" w:sz="4" w:space="0" w:color="auto"/>
              <w:right w:val="single" w:sz="4" w:space="0" w:color="auto"/>
            </w:tcBorders>
          </w:tcPr>
          <w:p w14:paraId="57604252" w14:textId="77777777" w:rsidR="00E57DAA" w:rsidRDefault="00AC4185">
            <w:pPr>
              <w:rPr>
                <w:rFonts w:cs="Cambria"/>
                <w:szCs w:val="21"/>
              </w:rPr>
            </w:pPr>
            <w:r>
              <w:t>受同一母公司控制的其他企业</w:t>
            </w:r>
          </w:p>
        </w:tc>
      </w:tr>
      <w:tr w:rsidR="00E57DAA" w14:paraId="1CB21CB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97CF31" w14:textId="77777777" w:rsidR="00E57DAA" w:rsidRDefault="00AC4185">
            <w:pPr>
              <w:rPr>
                <w:rFonts w:cs="Cambria"/>
                <w:szCs w:val="21"/>
              </w:rPr>
            </w:pPr>
            <w:r>
              <w:t>贵州沿河西南水泥有限公司</w:t>
            </w:r>
          </w:p>
        </w:tc>
        <w:tc>
          <w:tcPr>
            <w:tcW w:w="1807" w:type="pct"/>
            <w:tcBorders>
              <w:top w:val="single" w:sz="4" w:space="0" w:color="auto"/>
              <w:left w:val="single" w:sz="4" w:space="0" w:color="auto"/>
              <w:bottom w:val="single" w:sz="4" w:space="0" w:color="auto"/>
              <w:right w:val="single" w:sz="4" w:space="0" w:color="auto"/>
            </w:tcBorders>
          </w:tcPr>
          <w:p w14:paraId="29F4501C" w14:textId="77777777" w:rsidR="00E57DAA" w:rsidRDefault="00AC4185">
            <w:pPr>
              <w:rPr>
                <w:rFonts w:cs="Cambria"/>
                <w:szCs w:val="21"/>
              </w:rPr>
            </w:pPr>
            <w:r>
              <w:t>受同一母公司控制的其他企业</w:t>
            </w:r>
          </w:p>
        </w:tc>
      </w:tr>
      <w:tr w:rsidR="00E57DAA" w14:paraId="63B1F1A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034F98" w14:textId="77777777" w:rsidR="00E57DAA" w:rsidRDefault="00AC4185">
            <w:pPr>
              <w:rPr>
                <w:rFonts w:cs="Cambria"/>
                <w:szCs w:val="21"/>
              </w:rPr>
            </w:pPr>
            <w:r>
              <w:t>贵州织金西南水泥有限公司</w:t>
            </w:r>
          </w:p>
        </w:tc>
        <w:tc>
          <w:tcPr>
            <w:tcW w:w="1807" w:type="pct"/>
            <w:tcBorders>
              <w:top w:val="single" w:sz="4" w:space="0" w:color="auto"/>
              <w:left w:val="single" w:sz="4" w:space="0" w:color="auto"/>
              <w:bottom w:val="single" w:sz="4" w:space="0" w:color="auto"/>
              <w:right w:val="single" w:sz="4" w:space="0" w:color="auto"/>
            </w:tcBorders>
          </w:tcPr>
          <w:p w14:paraId="32117B3F" w14:textId="77777777" w:rsidR="00E57DAA" w:rsidRDefault="00AC4185">
            <w:pPr>
              <w:rPr>
                <w:rFonts w:cs="Cambria"/>
                <w:szCs w:val="21"/>
              </w:rPr>
            </w:pPr>
            <w:r>
              <w:t>受同一母公司控制的其他企业</w:t>
            </w:r>
          </w:p>
        </w:tc>
      </w:tr>
      <w:tr w:rsidR="00E57DAA" w14:paraId="7BDC965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8FB436" w14:textId="77777777" w:rsidR="00E57DAA" w:rsidRDefault="00AC4185">
            <w:pPr>
              <w:rPr>
                <w:rFonts w:cs="Cambria"/>
                <w:szCs w:val="21"/>
              </w:rPr>
            </w:pPr>
            <w:r>
              <w:t>贵州中诚水泥有限公司</w:t>
            </w:r>
          </w:p>
        </w:tc>
        <w:tc>
          <w:tcPr>
            <w:tcW w:w="1807" w:type="pct"/>
            <w:tcBorders>
              <w:top w:val="single" w:sz="4" w:space="0" w:color="auto"/>
              <w:left w:val="single" w:sz="4" w:space="0" w:color="auto"/>
              <w:bottom w:val="single" w:sz="4" w:space="0" w:color="auto"/>
              <w:right w:val="single" w:sz="4" w:space="0" w:color="auto"/>
            </w:tcBorders>
          </w:tcPr>
          <w:p w14:paraId="700145B8" w14:textId="77777777" w:rsidR="00E57DAA" w:rsidRDefault="00AC4185">
            <w:pPr>
              <w:rPr>
                <w:rFonts w:cs="Cambria"/>
                <w:szCs w:val="21"/>
              </w:rPr>
            </w:pPr>
            <w:r>
              <w:t>受同一母公司控制的其他企业</w:t>
            </w:r>
          </w:p>
        </w:tc>
      </w:tr>
      <w:tr w:rsidR="00E57DAA" w14:paraId="0BFF5A9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8029B2" w14:textId="77777777" w:rsidR="00E57DAA" w:rsidRDefault="00AC4185">
            <w:pPr>
              <w:rPr>
                <w:rFonts w:cs="Cambria"/>
                <w:szCs w:val="21"/>
              </w:rPr>
            </w:pPr>
            <w:r>
              <w:t>贵州紫云西南水泥有限公司</w:t>
            </w:r>
          </w:p>
        </w:tc>
        <w:tc>
          <w:tcPr>
            <w:tcW w:w="1807" w:type="pct"/>
            <w:tcBorders>
              <w:top w:val="single" w:sz="4" w:space="0" w:color="auto"/>
              <w:left w:val="single" w:sz="4" w:space="0" w:color="auto"/>
              <w:bottom w:val="single" w:sz="4" w:space="0" w:color="auto"/>
              <w:right w:val="single" w:sz="4" w:space="0" w:color="auto"/>
            </w:tcBorders>
          </w:tcPr>
          <w:p w14:paraId="47CC8461" w14:textId="77777777" w:rsidR="00E57DAA" w:rsidRDefault="00AC4185">
            <w:pPr>
              <w:rPr>
                <w:rFonts w:cs="Cambria"/>
                <w:szCs w:val="21"/>
              </w:rPr>
            </w:pPr>
            <w:r>
              <w:t>受同一母公司控制的其他企业</w:t>
            </w:r>
          </w:p>
        </w:tc>
      </w:tr>
      <w:tr w:rsidR="00E57DAA" w14:paraId="5EB0488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4385DC" w14:textId="77777777" w:rsidR="00E57DAA" w:rsidRDefault="00AC4185">
            <w:pPr>
              <w:rPr>
                <w:rFonts w:cs="Cambria"/>
                <w:szCs w:val="21"/>
              </w:rPr>
            </w:pPr>
            <w:r>
              <w:t>贵州遵义建安混凝土有限公司</w:t>
            </w:r>
          </w:p>
        </w:tc>
        <w:tc>
          <w:tcPr>
            <w:tcW w:w="1807" w:type="pct"/>
            <w:tcBorders>
              <w:top w:val="single" w:sz="4" w:space="0" w:color="auto"/>
              <w:left w:val="single" w:sz="4" w:space="0" w:color="auto"/>
              <w:bottom w:val="single" w:sz="4" w:space="0" w:color="auto"/>
              <w:right w:val="single" w:sz="4" w:space="0" w:color="auto"/>
            </w:tcBorders>
          </w:tcPr>
          <w:p w14:paraId="5F732070" w14:textId="77777777" w:rsidR="00E57DAA" w:rsidRDefault="00AC4185">
            <w:pPr>
              <w:rPr>
                <w:rFonts w:cs="Cambria"/>
                <w:szCs w:val="21"/>
              </w:rPr>
            </w:pPr>
            <w:r>
              <w:t>受同一母公司控制的其他企业</w:t>
            </w:r>
          </w:p>
        </w:tc>
      </w:tr>
      <w:tr w:rsidR="00E57DAA" w14:paraId="14B610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DAFC5F" w14:textId="77777777" w:rsidR="00E57DAA" w:rsidRDefault="00AC4185">
            <w:pPr>
              <w:rPr>
                <w:rFonts w:cs="Cambria"/>
                <w:szCs w:val="21"/>
              </w:rPr>
            </w:pPr>
            <w:r>
              <w:t>桂林南方水泥有限公司</w:t>
            </w:r>
          </w:p>
        </w:tc>
        <w:tc>
          <w:tcPr>
            <w:tcW w:w="1807" w:type="pct"/>
            <w:tcBorders>
              <w:top w:val="single" w:sz="4" w:space="0" w:color="auto"/>
              <w:left w:val="single" w:sz="4" w:space="0" w:color="auto"/>
              <w:bottom w:val="single" w:sz="4" w:space="0" w:color="auto"/>
              <w:right w:val="single" w:sz="4" w:space="0" w:color="auto"/>
            </w:tcBorders>
          </w:tcPr>
          <w:p w14:paraId="0B108B20" w14:textId="77777777" w:rsidR="00E57DAA" w:rsidRDefault="00AC4185">
            <w:pPr>
              <w:rPr>
                <w:rFonts w:cs="Cambria"/>
                <w:szCs w:val="21"/>
              </w:rPr>
            </w:pPr>
            <w:r>
              <w:t>受同一母公司控制的其他企业</w:t>
            </w:r>
          </w:p>
        </w:tc>
      </w:tr>
      <w:tr w:rsidR="00E57DAA" w14:paraId="3BB643C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A23D6F" w14:textId="77777777" w:rsidR="00E57DAA" w:rsidRDefault="00AC4185">
            <w:pPr>
              <w:rPr>
                <w:rFonts w:cs="Cambria"/>
                <w:szCs w:val="21"/>
              </w:rPr>
            </w:pPr>
            <w:r>
              <w:t>哈尔滨市呼兰水泥制造有限责任公司</w:t>
            </w:r>
          </w:p>
        </w:tc>
        <w:tc>
          <w:tcPr>
            <w:tcW w:w="1807" w:type="pct"/>
            <w:tcBorders>
              <w:top w:val="single" w:sz="4" w:space="0" w:color="auto"/>
              <w:left w:val="single" w:sz="4" w:space="0" w:color="auto"/>
              <w:bottom w:val="single" w:sz="4" w:space="0" w:color="auto"/>
              <w:right w:val="single" w:sz="4" w:space="0" w:color="auto"/>
            </w:tcBorders>
          </w:tcPr>
          <w:p w14:paraId="161B9881" w14:textId="77777777" w:rsidR="00E57DAA" w:rsidRDefault="00AC4185">
            <w:pPr>
              <w:rPr>
                <w:rFonts w:cs="Cambria"/>
                <w:szCs w:val="21"/>
              </w:rPr>
            </w:pPr>
            <w:r>
              <w:t>受同一母公司控制的其他企业</w:t>
            </w:r>
          </w:p>
        </w:tc>
      </w:tr>
      <w:tr w:rsidR="00E57DAA" w14:paraId="166BDEA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535554" w14:textId="77777777" w:rsidR="00E57DAA" w:rsidRDefault="00AC4185">
            <w:pPr>
              <w:rPr>
                <w:rFonts w:cs="Cambria"/>
                <w:szCs w:val="21"/>
              </w:rPr>
            </w:pPr>
            <w:r>
              <w:t>哈密天山水泥有限责任公司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49FD5327" w14:textId="77777777" w:rsidR="00E57DAA" w:rsidRDefault="00AC4185">
            <w:pPr>
              <w:rPr>
                <w:rFonts w:cs="Cambria"/>
                <w:szCs w:val="21"/>
              </w:rPr>
            </w:pPr>
            <w:r>
              <w:t>受同一母公司控制的其他企业</w:t>
            </w:r>
          </w:p>
        </w:tc>
      </w:tr>
      <w:tr w:rsidR="00E57DAA" w14:paraId="73D387D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4889B3" w14:textId="77777777" w:rsidR="00E57DAA" w:rsidRDefault="00AC4185">
            <w:pPr>
              <w:rPr>
                <w:rFonts w:cs="Cambria"/>
                <w:szCs w:val="21"/>
              </w:rPr>
            </w:pPr>
            <w:r>
              <w:t>海盐南方水泥有限公司</w:t>
            </w:r>
          </w:p>
        </w:tc>
        <w:tc>
          <w:tcPr>
            <w:tcW w:w="1807" w:type="pct"/>
            <w:tcBorders>
              <w:top w:val="single" w:sz="4" w:space="0" w:color="auto"/>
              <w:left w:val="single" w:sz="4" w:space="0" w:color="auto"/>
              <w:bottom w:val="single" w:sz="4" w:space="0" w:color="auto"/>
              <w:right w:val="single" w:sz="4" w:space="0" w:color="auto"/>
            </w:tcBorders>
          </w:tcPr>
          <w:p w14:paraId="50D76F3E" w14:textId="77777777" w:rsidR="00E57DAA" w:rsidRDefault="00AC4185">
            <w:pPr>
              <w:rPr>
                <w:rFonts w:cs="Cambria"/>
                <w:szCs w:val="21"/>
              </w:rPr>
            </w:pPr>
            <w:r>
              <w:t>受同一母公司控制的其他企业</w:t>
            </w:r>
          </w:p>
        </w:tc>
      </w:tr>
      <w:tr w:rsidR="00E57DAA" w14:paraId="61D0E4C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0F6002" w14:textId="77777777" w:rsidR="00E57DAA" w:rsidRDefault="00AC4185">
            <w:pPr>
              <w:rPr>
                <w:rFonts w:cs="Cambria"/>
                <w:szCs w:val="21"/>
              </w:rPr>
            </w:pPr>
            <w:r>
              <w:t>海盐秦山南方水泥有限公司</w:t>
            </w:r>
          </w:p>
        </w:tc>
        <w:tc>
          <w:tcPr>
            <w:tcW w:w="1807" w:type="pct"/>
            <w:tcBorders>
              <w:top w:val="single" w:sz="4" w:space="0" w:color="auto"/>
              <w:left w:val="single" w:sz="4" w:space="0" w:color="auto"/>
              <w:bottom w:val="single" w:sz="4" w:space="0" w:color="auto"/>
              <w:right w:val="single" w:sz="4" w:space="0" w:color="auto"/>
            </w:tcBorders>
          </w:tcPr>
          <w:p w14:paraId="09E2EDFE" w14:textId="77777777" w:rsidR="00E57DAA" w:rsidRDefault="00AC4185">
            <w:pPr>
              <w:rPr>
                <w:rFonts w:cs="Cambria"/>
                <w:szCs w:val="21"/>
              </w:rPr>
            </w:pPr>
            <w:r>
              <w:t>受同一母公司控制的其他企业</w:t>
            </w:r>
          </w:p>
        </w:tc>
      </w:tr>
      <w:tr w:rsidR="00E57DAA" w14:paraId="3EDD110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E51596" w14:textId="77777777" w:rsidR="00E57DAA" w:rsidRDefault="00AC4185">
            <w:pPr>
              <w:rPr>
                <w:rFonts w:cs="Cambria"/>
                <w:szCs w:val="21"/>
              </w:rPr>
            </w:pPr>
            <w:r>
              <w:t>海盐沈荡南方混凝土有限公司</w:t>
            </w:r>
          </w:p>
        </w:tc>
        <w:tc>
          <w:tcPr>
            <w:tcW w:w="1807" w:type="pct"/>
            <w:tcBorders>
              <w:top w:val="single" w:sz="4" w:space="0" w:color="auto"/>
              <w:left w:val="single" w:sz="4" w:space="0" w:color="auto"/>
              <w:bottom w:val="single" w:sz="4" w:space="0" w:color="auto"/>
              <w:right w:val="single" w:sz="4" w:space="0" w:color="auto"/>
            </w:tcBorders>
          </w:tcPr>
          <w:p w14:paraId="6079E1EC" w14:textId="77777777" w:rsidR="00E57DAA" w:rsidRDefault="00AC4185">
            <w:pPr>
              <w:rPr>
                <w:rFonts w:cs="Cambria"/>
                <w:szCs w:val="21"/>
              </w:rPr>
            </w:pPr>
            <w:r>
              <w:t>受同一母公司控制的其他企业</w:t>
            </w:r>
          </w:p>
        </w:tc>
      </w:tr>
      <w:tr w:rsidR="00E57DAA" w14:paraId="0E00E78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E3CBEE" w14:textId="77777777" w:rsidR="00E57DAA" w:rsidRDefault="00AC4185">
            <w:pPr>
              <w:rPr>
                <w:rFonts w:cs="Cambria"/>
                <w:szCs w:val="21"/>
              </w:rPr>
            </w:pPr>
            <w:r>
              <w:t>含山南方水泥有限公司</w:t>
            </w:r>
          </w:p>
        </w:tc>
        <w:tc>
          <w:tcPr>
            <w:tcW w:w="1807" w:type="pct"/>
            <w:tcBorders>
              <w:top w:val="single" w:sz="4" w:space="0" w:color="auto"/>
              <w:left w:val="single" w:sz="4" w:space="0" w:color="auto"/>
              <w:bottom w:val="single" w:sz="4" w:space="0" w:color="auto"/>
              <w:right w:val="single" w:sz="4" w:space="0" w:color="auto"/>
            </w:tcBorders>
          </w:tcPr>
          <w:p w14:paraId="5B1349BE" w14:textId="77777777" w:rsidR="00E57DAA" w:rsidRDefault="00AC4185">
            <w:pPr>
              <w:rPr>
                <w:rFonts w:cs="Cambria"/>
                <w:szCs w:val="21"/>
              </w:rPr>
            </w:pPr>
            <w:r>
              <w:t>受同一母公司控制的其他企业</w:t>
            </w:r>
          </w:p>
        </w:tc>
      </w:tr>
      <w:tr w:rsidR="00E57DAA" w14:paraId="3D4A954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BECFED" w14:textId="77777777" w:rsidR="00E57DAA" w:rsidRDefault="00AC4185">
            <w:pPr>
              <w:rPr>
                <w:rFonts w:cs="Cambria"/>
                <w:szCs w:val="21"/>
              </w:rPr>
            </w:pPr>
            <w:r>
              <w:t>杭州富阳南方水泥有限公司</w:t>
            </w:r>
          </w:p>
        </w:tc>
        <w:tc>
          <w:tcPr>
            <w:tcW w:w="1807" w:type="pct"/>
            <w:tcBorders>
              <w:top w:val="single" w:sz="4" w:space="0" w:color="auto"/>
              <w:left w:val="single" w:sz="4" w:space="0" w:color="auto"/>
              <w:bottom w:val="single" w:sz="4" w:space="0" w:color="auto"/>
              <w:right w:val="single" w:sz="4" w:space="0" w:color="auto"/>
            </w:tcBorders>
          </w:tcPr>
          <w:p w14:paraId="5A3BA58A" w14:textId="77777777" w:rsidR="00E57DAA" w:rsidRDefault="00AC4185">
            <w:pPr>
              <w:rPr>
                <w:rFonts w:cs="Cambria"/>
                <w:szCs w:val="21"/>
              </w:rPr>
            </w:pPr>
            <w:r>
              <w:t>受同一母公司控制的其他企业</w:t>
            </w:r>
          </w:p>
        </w:tc>
      </w:tr>
      <w:tr w:rsidR="00E57DAA" w14:paraId="770D8D2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4E493E" w14:textId="77777777" w:rsidR="00E57DAA" w:rsidRDefault="00AC4185">
            <w:pPr>
              <w:rPr>
                <w:rFonts w:cs="Cambria"/>
                <w:szCs w:val="21"/>
              </w:rPr>
            </w:pPr>
            <w:r>
              <w:t>杭州临安南方水泥有限公司</w:t>
            </w:r>
          </w:p>
        </w:tc>
        <w:tc>
          <w:tcPr>
            <w:tcW w:w="1807" w:type="pct"/>
            <w:tcBorders>
              <w:top w:val="single" w:sz="4" w:space="0" w:color="auto"/>
              <w:left w:val="single" w:sz="4" w:space="0" w:color="auto"/>
              <w:bottom w:val="single" w:sz="4" w:space="0" w:color="auto"/>
              <w:right w:val="single" w:sz="4" w:space="0" w:color="auto"/>
            </w:tcBorders>
          </w:tcPr>
          <w:p w14:paraId="635CB80C" w14:textId="77777777" w:rsidR="00E57DAA" w:rsidRDefault="00AC4185">
            <w:pPr>
              <w:rPr>
                <w:rFonts w:cs="Cambria"/>
                <w:szCs w:val="21"/>
              </w:rPr>
            </w:pPr>
            <w:r>
              <w:t>受同一母公司控制的其他企业</w:t>
            </w:r>
          </w:p>
        </w:tc>
      </w:tr>
      <w:tr w:rsidR="00E57DAA" w14:paraId="2FB5F2E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DEE2255" w14:textId="77777777" w:rsidR="00E57DAA" w:rsidRDefault="00AC4185">
            <w:pPr>
              <w:rPr>
                <w:rFonts w:cs="Cambria"/>
                <w:szCs w:val="21"/>
              </w:rPr>
            </w:pPr>
            <w:r>
              <w:t>杭州瑞磊建材有限公司</w:t>
            </w:r>
          </w:p>
        </w:tc>
        <w:tc>
          <w:tcPr>
            <w:tcW w:w="1807" w:type="pct"/>
            <w:tcBorders>
              <w:top w:val="single" w:sz="4" w:space="0" w:color="auto"/>
              <w:left w:val="single" w:sz="4" w:space="0" w:color="auto"/>
              <w:bottom w:val="single" w:sz="4" w:space="0" w:color="auto"/>
              <w:right w:val="single" w:sz="4" w:space="0" w:color="auto"/>
            </w:tcBorders>
          </w:tcPr>
          <w:p w14:paraId="13A80434" w14:textId="77777777" w:rsidR="00E57DAA" w:rsidRDefault="00AC4185">
            <w:pPr>
              <w:rPr>
                <w:rFonts w:cs="Cambria"/>
                <w:szCs w:val="21"/>
              </w:rPr>
            </w:pPr>
            <w:r>
              <w:t>受同一母公司控制的其他企业</w:t>
            </w:r>
          </w:p>
        </w:tc>
      </w:tr>
      <w:tr w:rsidR="00E57DAA" w14:paraId="2CA498D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33F0EA" w14:textId="77777777" w:rsidR="00E57DAA" w:rsidRDefault="00AC4185">
            <w:pPr>
              <w:rPr>
                <w:rFonts w:cs="Cambria"/>
                <w:szCs w:val="21"/>
              </w:rPr>
            </w:pPr>
            <w:r>
              <w:t>杭州山亚南方水泥有限公司</w:t>
            </w:r>
          </w:p>
        </w:tc>
        <w:tc>
          <w:tcPr>
            <w:tcW w:w="1807" w:type="pct"/>
            <w:tcBorders>
              <w:top w:val="single" w:sz="4" w:space="0" w:color="auto"/>
              <w:left w:val="single" w:sz="4" w:space="0" w:color="auto"/>
              <w:bottom w:val="single" w:sz="4" w:space="0" w:color="auto"/>
              <w:right w:val="single" w:sz="4" w:space="0" w:color="auto"/>
            </w:tcBorders>
          </w:tcPr>
          <w:p w14:paraId="4DAE23EA" w14:textId="77777777" w:rsidR="00E57DAA" w:rsidRDefault="00AC4185">
            <w:pPr>
              <w:rPr>
                <w:rFonts w:cs="Cambria"/>
                <w:szCs w:val="21"/>
              </w:rPr>
            </w:pPr>
            <w:r>
              <w:t>受同一母公司控制的其他企业</w:t>
            </w:r>
          </w:p>
        </w:tc>
      </w:tr>
      <w:tr w:rsidR="00E57DAA" w14:paraId="59EB548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88E306" w14:textId="77777777" w:rsidR="00E57DAA" w:rsidRDefault="00AC4185">
            <w:pPr>
              <w:rPr>
                <w:rFonts w:cs="Cambria"/>
                <w:szCs w:val="21"/>
              </w:rPr>
            </w:pPr>
            <w:r>
              <w:t>杭州胥口南方水泥有限公司</w:t>
            </w:r>
          </w:p>
        </w:tc>
        <w:tc>
          <w:tcPr>
            <w:tcW w:w="1807" w:type="pct"/>
            <w:tcBorders>
              <w:top w:val="single" w:sz="4" w:space="0" w:color="auto"/>
              <w:left w:val="single" w:sz="4" w:space="0" w:color="auto"/>
              <w:bottom w:val="single" w:sz="4" w:space="0" w:color="auto"/>
              <w:right w:val="single" w:sz="4" w:space="0" w:color="auto"/>
            </w:tcBorders>
          </w:tcPr>
          <w:p w14:paraId="3B7A3260" w14:textId="77777777" w:rsidR="00E57DAA" w:rsidRDefault="00AC4185">
            <w:pPr>
              <w:rPr>
                <w:rFonts w:cs="Cambria"/>
                <w:szCs w:val="21"/>
              </w:rPr>
            </w:pPr>
            <w:r>
              <w:t>受同一母公司控制的其他企业</w:t>
            </w:r>
          </w:p>
        </w:tc>
      </w:tr>
      <w:tr w:rsidR="00E57DAA" w14:paraId="1B6A13E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15CB94" w14:textId="77777777" w:rsidR="00E57DAA" w:rsidRDefault="00AC4185">
            <w:pPr>
              <w:rPr>
                <w:rFonts w:cs="Cambria"/>
                <w:szCs w:val="21"/>
              </w:rPr>
            </w:pPr>
            <w:r>
              <w:t>合肥南方水泥有限公司</w:t>
            </w:r>
          </w:p>
        </w:tc>
        <w:tc>
          <w:tcPr>
            <w:tcW w:w="1807" w:type="pct"/>
            <w:tcBorders>
              <w:top w:val="single" w:sz="4" w:space="0" w:color="auto"/>
              <w:left w:val="single" w:sz="4" w:space="0" w:color="auto"/>
              <w:bottom w:val="single" w:sz="4" w:space="0" w:color="auto"/>
              <w:right w:val="single" w:sz="4" w:space="0" w:color="auto"/>
            </w:tcBorders>
          </w:tcPr>
          <w:p w14:paraId="432FCA20" w14:textId="77777777" w:rsidR="00E57DAA" w:rsidRDefault="00AC4185">
            <w:pPr>
              <w:rPr>
                <w:rFonts w:cs="Cambria"/>
                <w:szCs w:val="21"/>
              </w:rPr>
            </w:pPr>
            <w:r>
              <w:t>受同一母公司控制的其他企业</w:t>
            </w:r>
          </w:p>
        </w:tc>
      </w:tr>
      <w:tr w:rsidR="00E57DAA" w14:paraId="13A55A9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8A5C6F" w14:textId="77777777" w:rsidR="00E57DAA" w:rsidRDefault="00AC4185">
            <w:pPr>
              <w:rPr>
                <w:rFonts w:cs="Cambria"/>
                <w:szCs w:val="21"/>
              </w:rPr>
            </w:pPr>
            <w:r>
              <w:t>合肥中材混凝土有限公司</w:t>
            </w:r>
          </w:p>
        </w:tc>
        <w:tc>
          <w:tcPr>
            <w:tcW w:w="1807" w:type="pct"/>
            <w:tcBorders>
              <w:top w:val="single" w:sz="4" w:space="0" w:color="auto"/>
              <w:left w:val="single" w:sz="4" w:space="0" w:color="auto"/>
              <w:bottom w:val="single" w:sz="4" w:space="0" w:color="auto"/>
              <w:right w:val="single" w:sz="4" w:space="0" w:color="auto"/>
            </w:tcBorders>
          </w:tcPr>
          <w:p w14:paraId="0A08EE29" w14:textId="77777777" w:rsidR="00E57DAA" w:rsidRDefault="00AC4185">
            <w:pPr>
              <w:rPr>
                <w:rFonts w:cs="Cambria"/>
                <w:szCs w:val="21"/>
              </w:rPr>
            </w:pPr>
            <w:r>
              <w:t>受同一母公司控制的其他企业</w:t>
            </w:r>
          </w:p>
        </w:tc>
      </w:tr>
      <w:tr w:rsidR="00E57DAA" w14:paraId="03860C8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90EF1A" w14:textId="77777777" w:rsidR="00E57DAA" w:rsidRDefault="00AC4185">
            <w:pPr>
              <w:rPr>
                <w:rFonts w:cs="Cambria"/>
                <w:szCs w:val="21"/>
              </w:rPr>
            </w:pPr>
            <w:r>
              <w:t>河南省同力水泥有限公司</w:t>
            </w:r>
          </w:p>
        </w:tc>
        <w:tc>
          <w:tcPr>
            <w:tcW w:w="1807" w:type="pct"/>
            <w:tcBorders>
              <w:top w:val="single" w:sz="4" w:space="0" w:color="auto"/>
              <w:left w:val="single" w:sz="4" w:space="0" w:color="auto"/>
              <w:bottom w:val="single" w:sz="4" w:space="0" w:color="auto"/>
              <w:right w:val="single" w:sz="4" w:space="0" w:color="auto"/>
            </w:tcBorders>
          </w:tcPr>
          <w:p w14:paraId="5831A4A4" w14:textId="77777777" w:rsidR="00E57DAA" w:rsidRDefault="00AC4185">
            <w:pPr>
              <w:rPr>
                <w:rFonts w:cs="Cambria"/>
                <w:szCs w:val="21"/>
              </w:rPr>
            </w:pPr>
            <w:r>
              <w:t>受同一母公司控制的其他企业</w:t>
            </w:r>
          </w:p>
        </w:tc>
      </w:tr>
      <w:tr w:rsidR="00E57DAA" w14:paraId="303638B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9AA467" w14:textId="77777777" w:rsidR="00E57DAA" w:rsidRDefault="00AC4185">
            <w:pPr>
              <w:rPr>
                <w:rFonts w:cs="Cambria"/>
                <w:szCs w:val="21"/>
              </w:rPr>
            </w:pPr>
            <w:r>
              <w:t>河南省豫南水泥有限公司</w:t>
            </w:r>
          </w:p>
        </w:tc>
        <w:tc>
          <w:tcPr>
            <w:tcW w:w="1807" w:type="pct"/>
            <w:tcBorders>
              <w:top w:val="single" w:sz="4" w:space="0" w:color="auto"/>
              <w:left w:val="single" w:sz="4" w:space="0" w:color="auto"/>
              <w:bottom w:val="single" w:sz="4" w:space="0" w:color="auto"/>
              <w:right w:val="single" w:sz="4" w:space="0" w:color="auto"/>
            </w:tcBorders>
          </w:tcPr>
          <w:p w14:paraId="6FA1E0B3" w14:textId="77777777" w:rsidR="00E57DAA" w:rsidRDefault="00AC4185">
            <w:pPr>
              <w:rPr>
                <w:rFonts w:cs="Cambria"/>
                <w:szCs w:val="21"/>
              </w:rPr>
            </w:pPr>
            <w:r>
              <w:t>受同一母公司控制的其他企业</w:t>
            </w:r>
          </w:p>
        </w:tc>
      </w:tr>
      <w:tr w:rsidR="00E57DAA" w14:paraId="0DA632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2A06AB" w14:textId="77777777" w:rsidR="00E57DAA" w:rsidRDefault="00AC4185">
            <w:pPr>
              <w:rPr>
                <w:rFonts w:cs="Cambria"/>
                <w:szCs w:val="21"/>
              </w:rPr>
            </w:pPr>
            <w:r>
              <w:t>河南中联节能工程有限公司</w:t>
            </w:r>
          </w:p>
        </w:tc>
        <w:tc>
          <w:tcPr>
            <w:tcW w:w="1807" w:type="pct"/>
            <w:tcBorders>
              <w:top w:val="single" w:sz="4" w:space="0" w:color="auto"/>
              <w:left w:val="single" w:sz="4" w:space="0" w:color="auto"/>
              <w:bottom w:val="single" w:sz="4" w:space="0" w:color="auto"/>
              <w:right w:val="single" w:sz="4" w:space="0" w:color="auto"/>
            </w:tcBorders>
          </w:tcPr>
          <w:p w14:paraId="064E8738" w14:textId="77777777" w:rsidR="00E57DAA" w:rsidRDefault="00AC4185">
            <w:pPr>
              <w:rPr>
                <w:rFonts w:cs="Cambria"/>
                <w:szCs w:val="21"/>
              </w:rPr>
            </w:pPr>
            <w:r>
              <w:t>受同一母公司控制的其他企业</w:t>
            </w:r>
          </w:p>
        </w:tc>
      </w:tr>
      <w:tr w:rsidR="00E57DAA" w14:paraId="254FC44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EE48CE" w14:textId="77777777" w:rsidR="00E57DAA" w:rsidRDefault="00AC4185">
            <w:pPr>
              <w:rPr>
                <w:rFonts w:cs="Cambria"/>
                <w:szCs w:val="21"/>
              </w:rPr>
            </w:pPr>
            <w:r>
              <w:t>河南中联同力材料有限公司</w:t>
            </w:r>
          </w:p>
        </w:tc>
        <w:tc>
          <w:tcPr>
            <w:tcW w:w="1807" w:type="pct"/>
            <w:tcBorders>
              <w:top w:val="single" w:sz="4" w:space="0" w:color="auto"/>
              <w:left w:val="single" w:sz="4" w:space="0" w:color="auto"/>
              <w:bottom w:val="single" w:sz="4" w:space="0" w:color="auto"/>
              <w:right w:val="single" w:sz="4" w:space="0" w:color="auto"/>
            </w:tcBorders>
          </w:tcPr>
          <w:p w14:paraId="3F6BCACC" w14:textId="77777777" w:rsidR="00E57DAA" w:rsidRDefault="00AC4185">
            <w:pPr>
              <w:rPr>
                <w:rFonts w:cs="Cambria"/>
                <w:szCs w:val="21"/>
              </w:rPr>
            </w:pPr>
            <w:r>
              <w:t>受同一母公司控制的其他企业</w:t>
            </w:r>
          </w:p>
        </w:tc>
      </w:tr>
      <w:tr w:rsidR="00E57DAA" w14:paraId="6376AF3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29E5A3" w14:textId="77777777" w:rsidR="00E57DAA" w:rsidRDefault="00AC4185">
            <w:pPr>
              <w:rPr>
                <w:rFonts w:cs="Cambria"/>
                <w:szCs w:val="21"/>
              </w:rPr>
            </w:pPr>
            <w:r>
              <w:t>菏泽中联混凝土有限公司</w:t>
            </w:r>
          </w:p>
        </w:tc>
        <w:tc>
          <w:tcPr>
            <w:tcW w:w="1807" w:type="pct"/>
            <w:tcBorders>
              <w:top w:val="single" w:sz="4" w:space="0" w:color="auto"/>
              <w:left w:val="single" w:sz="4" w:space="0" w:color="auto"/>
              <w:bottom w:val="single" w:sz="4" w:space="0" w:color="auto"/>
              <w:right w:val="single" w:sz="4" w:space="0" w:color="auto"/>
            </w:tcBorders>
          </w:tcPr>
          <w:p w14:paraId="625B4BC5" w14:textId="77777777" w:rsidR="00E57DAA" w:rsidRDefault="00AC4185">
            <w:pPr>
              <w:rPr>
                <w:rFonts w:cs="Cambria"/>
                <w:szCs w:val="21"/>
              </w:rPr>
            </w:pPr>
            <w:r>
              <w:t>受同一母公司控制的其他企业</w:t>
            </w:r>
          </w:p>
        </w:tc>
      </w:tr>
      <w:tr w:rsidR="00E57DAA" w14:paraId="7A8D2C0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2BBEDE" w14:textId="77777777" w:rsidR="00E57DAA" w:rsidRDefault="00AC4185">
            <w:pPr>
              <w:rPr>
                <w:rFonts w:cs="Cambria"/>
                <w:szCs w:val="21"/>
              </w:rPr>
            </w:pPr>
            <w:r>
              <w:t>菏泽中联水泥有限公司</w:t>
            </w:r>
          </w:p>
        </w:tc>
        <w:tc>
          <w:tcPr>
            <w:tcW w:w="1807" w:type="pct"/>
            <w:tcBorders>
              <w:top w:val="single" w:sz="4" w:space="0" w:color="auto"/>
              <w:left w:val="single" w:sz="4" w:space="0" w:color="auto"/>
              <w:bottom w:val="single" w:sz="4" w:space="0" w:color="auto"/>
              <w:right w:val="single" w:sz="4" w:space="0" w:color="auto"/>
            </w:tcBorders>
          </w:tcPr>
          <w:p w14:paraId="38464335" w14:textId="77777777" w:rsidR="00E57DAA" w:rsidRDefault="00AC4185">
            <w:pPr>
              <w:rPr>
                <w:rFonts w:cs="Cambria"/>
                <w:szCs w:val="21"/>
              </w:rPr>
            </w:pPr>
            <w:r>
              <w:t>受同一母公司控制的其他企业</w:t>
            </w:r>
          </w:p>
        </w:tc>
      </w:tr>
      <w:tr w:rsidR="00E57DAA" w14:paraId="6E0230E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E01331" w14:textId="77777777" w:rsidR="00E57DAA" w:rsidRDefault="00AC4185">
            <w:pPr>
              <w:rPr>
                <w:rFonts w:cs="Cambria"/>
                <w:szCs w:val="21"/>
              </w:rPr>
            </w:pPr>
            <w:r>
              <w:t>黑河北方水泥有限公司</w:t>
            </w:r>
          </w:p>
        </w:tc>
        <w:tc>
          <w:tcPr>
            <w:tcW w:w="1807" w:type="pct"/>
            <w:tcBorders>
              <w:top w:val="single" w:sz="4" w:space="0" w:color="auto"/>
              <w:left w:val="single" w:sz="4" w:space="0" w:color="auto"/>
              <w:bottom w:val="single" w:sz="4" w:space="0" w:color="auto"/>
              <w:right w:val="single" w:sz="4" w:space="0" w:color="auto"/>
            </w:tcBorders>
          </w:tcPr>
          <w:p w14:paraId="734D0D3F" w14:textId="77777777" w:rsidR="00E57DAA" w:rsidRDefault="00AC4185">
            <w:pPr>
              <w:rPr>
                <w:rFonts w:cs="Cambria"/>
                <w:szCs w:val="21"/>
              </w:rPr>
            </w:pPr>
            <w:r>
              <w:t>受同一母公司控制的其他企业</w:t>
            </w:r>
          </w:p>
        </w:tc>
      </w:tr>
      <w:tr w:rsidR="00E57DAA" w14:paraId="7ABF3C2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1B1A68" w14:textId="77777777" w:rsidR="00E57DAA" w:rsidRDefault="00AC4185">
            <w:pPr>
              <w:rPr>
                <w:rFonts w:cs="Cambria"/>
                <w:szCs w:val="21"/>
              </w:rPr>
            </w:pPr>
            <w:r>
              <w:t>黑河关鸟河水泥有限责任公司</w:t>
            </w:r>
          </w:p>
        </w:tc>
        <w:tc>
          <w:tcPr>
            <w:tcW w:w="1807" w:type="pct"/>
            <w:tcBorders>
              <w:top w:val="single" w:sz="4" w:space="0" w:color="auto"/>
              <w:left w:val="single" w:sz="4" w:space="0" w:color="auto"/>
              <w:bottom w:val="single" w:sz="4" w:space="0" w:color="auto"/>
              <w:right w:val="single" w:sz="4" w:space="0" w:color="auto"/>
            </w:tcBorders>
          </w:tcPr>
          <w:p w14:paraId="5BD0F7CC" w14:textId="77777777" w:rsidR="00E57DAA" w:rsidRDefault="00AC4185">
            <w:pPr>
              <w:rPr>
                <w:rFonts w:cs="Cambria"/>
                <w:szCs w:val="21"/>
              </w:rPr>
            </w:pPr>
            <w:r>
              <w:t>受同一母公司控制的其他企业</w:t>
            </w:r>
          </w:p>
        </w:tc>
      </w:tr>
      <w:tr w:rsidR="00E57DAA" w14:paraId="35FF5F9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73855A" w14:textId="77777777" w:rsidR="00E57DAA" w:rsidRDefault="00AC4185">
            <w:pPr>
              <w:rPr>
                <w:rFonts w:cs="Cambria"/>
                <w:szCs w:val="21"/>
              </w:rPr>
            </w:pPr>
            <w:r>
              <w:t>黑龙江省宾州水泥有限公司</w:t>
            </w:r>
          </w:p>
        </w:tc>
        <w:tc>
          <w:tcPr>
            <w:tcW w:w="1807" w:type="pct"/>
            <w:tcBorders>
              <w:top w:val="single" w:sz="4" w:space="0" w:color="auto"/>
              <w:left w:val="single" w:sz="4" w:space="0" w:color="auto"/>
              <w:bottom w:val="single" w:sz="4" w:space="0" w:color="auto"/>
              <w:right w:val="single" w:sz="4" w:space="0" w:color="auto"/>
            </w:tcBorders>
          </w:tcPr>
          <w:p w14:paraId="0BCF97CE" w14:textId="77777777" w:rsidR="00E57DAA" w:rsidRDefault="00AC4185">
            <w:pPr>
              <w:rPr>
                <w:rFonts w:cs="Cambria"/>
                <w:szCs w:val="21"/>
              </w:rPr>
            </w:pPr>
            <w:r>
              <w:t>受同一母公司控制的其他企业</w:t>
            </w:r>
          </w:p>
        </w:tc>
      </w:tr>
      <w:tr w:rsidR="00E57DAA" w14:paraId="6EF3890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1035F67" w14:textId="77777777" w:rsidR="00E57DAA" w:rsidRDefault="00AC4185">
            <w:pPr>
              <w:rPr>
                <w:rFonts w:cs="Cambria"/>
                <w:szCs w:val="21"/>
              </w:rPr>
            </w:pPr>
            <w:r>
              <w:t>湖北北新建材有限公司</w:t>
            </w:r>
          </w:p>
        </w:tc>
        <w:tc>
          <w:tcPr>
            <w:tcW w:w="1807" w:type="pct"/>
            <w:tcBorders>
              <w:top w:val="single" w:sz="4" w:space="0" w:color="auto"/>
              <w:left w:val="single" w:sz="4" w:space="0" w:color="auto"/>
              <w:bottom w:val="single" w:sz="4" w:space="0" w:color="auto"/>
              <w:right w:val="single" w:sz="4" w:space="0" w:color="auto"/>
            </w:tcBorders>
          </w:tcPr>
          <w:p w14:paraId="196FBEB3" w14:textId="77777777" w:rsidR="00E57DAA" w:rsidRDefault="00AC4185">
            <w:pPr>
              <w:rPr>
                <w:rFonts w:cs="Cambria"/>
                <w:szCs w:val="21"/>
              </w:rPr>
            </w:pPr>
            <w:r>
              <w:t>受同一母公司控制的其他企业</w:t>
            </w:r>
          </w:p>
        </w:tc>
      </w:tr>
      <w:tr w:rsidR="00E57DAA" w14:paraId="095058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DDC87D" w14:textId="77777777" w:rsidR="00E57DAA" w:rsidRDefault="00AC4185">
            <w:pPr>
              <w:rPr>
                <w:rFonts w:cs="Cambria"/>
                <w:szCs w:val="21"/>
              </w:rPr>
            </w:pPr>
            <w:r>
              <w:t>湖南安仁南方水泥有限公司</w:t>
            </w:r>
          </w:p>
        </w:tc>
        <w:tc>
          <w:tcPr>
            <w:tcW w:w="1807" w:type="pct"/>
            <w:tcBorders>
              <w:top w:val="single" w:sz="4" w:space="0" w:color="auto"/>
              <w:left w:val="single" w:sz="4" w:space="0" w:color="auto"/>
              <w:bottom w:val="single" w:sz="4" w:space="0" w:color="auto"/>
              <w:right w:val="single" w:sz="4" w:space="0" w:color="auto"/>
            </w:tcBorders>
          </w:tcPr>
          <w:p w14:paraId="4A611430" w14:textId="77777777" w:rsidR="00E57DAA" w:rsidRDefault="00AC4185">
            <w:pPr>
              <w:rPr>
                <w:rFonts w:cs="Cambria"/>
                <w:szCs w:val="21"/>
              </w:rPr>
            </w:pPr>
            <w:r>
              <w:t>受同一母公司控制的其他企业</w:t>
            </w:r>
          </w:p>
        </w:tc>
      </w:tr>
      <w:tr w:rsidR="00E57DAA" w14:paraId="110F09B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6B380A" w14:textId="77777777" w:rsidR="00E57DAA" w:rsidRDefault="00AC4185">
            <w:pPr>
              <w:rPr>
                <w:rFonts w:cs="Cambria"/>
                <w:szCs w:val="21"/>
              </w:rPr>
            </w:pPr>
            <w:r>
              <w:t>湖南常德南方水泥有限公司</w:t>
            </w:r>
          </w:p>
        </w:tc>
        <w:tc>
          <w:tcPr>
            <w:tcW w:w="1807" w:type="pct"/>
            <w:tcBorders>
              <w:top w:val="single" w:sz="4" w:space="0" w:color="auto"/>
              <w:left w:val="single" w:sz="4" w:space="0" w:color="auto"/>
              <w:bottom w:val="single" w:sz="4" w:space="0" w:color="auto"/>
              <w:right w:val="single" w:sz="4" w:space="0" w:color="auto"/>
            </w:tcBorders>
          </w:tcPr>
          <w:p w14:paraId="2E51BEBC" w14:textId="77777777" w:rsidR="00E57DAA" w:rsidRDefault="00AC4185">
            <w:pPr>
              <w:rPr>
                <w:rFonts w:cs="Cambria"/>
                <w:szCs w:val="21"/>
              </w:rPr>
            </w:pPr>
            <w:r>
              <w:t>受同一母公司控制的其他企业</w:t>
            </w:r>
          </w:p>
        </w:tc>
      </w:tr>
      <w:tr w:rsidR="00E57DAA" w14:paraId="2842C9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F57087" w14:textId="77777777" w:rsidR="00E57DAA" w:rsidRDefault="00AC4185">
            <w:pPr>
              <w:rPr>
                <w:rFonts w:cs="Cambria"/>
                <w:szCs w:val="21"/>
              </w:rPr>
            </w:pPr>
            <w:r>
              <w:t>湖南车江南方水泥有限公司</w:t>
            </w:r>
          </w:p>
        </w:tc>
        <w:tc>
          <w:tcPr>
            <w:tcW w:w="1807" w:type="pct"/>
            <w:tcBorders>
              <w:top w:val="single" w:sz="4" w:space="0" w:color="auto"/>
              <w:left w:val="single" w:sz="4" w:space="0" w:color="auto"/>
              <w:bottom w:val="single" w:sz="4" w:space="0" w:color="auto"/>
              <w:right w:val="single" w:sz="4" w:space="0" w:color="auto"/>
            </w:tcBorders>
          </w:tcPr>
          <w:p w14:paraId="4AEAAEDA" w14:textId="77777777" w:rsidR="00E57DAA" w:rsidRDefault="00AC4185">
            <w:pPr>
              <w:rPr>
                <w:rFonts w:cs="Cambria"/>
                <w:szCs w:val="21"/>
              </w:rPr>
            </w:pPr>
            <w:r>
              <w:t>受同一母公司控制的其他企业</w:t>
            </w:r>
          </w:p>
        </w:tc>
      </w:tr>
      <w:tr w:rsidR="00E57DAA" w14:paraId="5FBEA2B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446077" w14:textId="77777777" w:rsidR="00E57DAA" w:rsidRDefault="00AC4185">
            <w:pPr>
              <w:rPr>
                <w:rFonts w:cs="Cambria"/>
                <w:szCs w:val="21"/>
              </w:rPr>
            </w:pPr>
            <w:r>
              <w:t>湖南郴州南方新材料科技有限公司</w:t>
            </w:r>
          </w:p>
        </w:tc>
        <w:tc>
          <w:tcPr>
            <w:tcW w:w="1807" w:type="pct"/>
            <w:tcBorders>
              <w:top w:val="single" w:sz="4" w:space="0" w:color="auto"/>
              <w:left w:val="single" w:sz="4" w:space="0" w:color="auto"/>
              <w:bottom w:val="single" w:sz="4" w:space="0" w:color="auto"/>
              <w:right w:val="single" w:sz="4" w:space="0" w:color="auto"/>
            </w:tcBorders>
          </w:tcPr>
          <w:p w14:paraId="4B358867" w14:textId="77777777" w:rsidR="00E57DAA" w:rsidRDefault="00AC4185">
            <w:pPr>
              <w:rPr>
                <w:rFonts w:cs="Cambria"/>
                <w:szCs w:val="21"/>
              </w:rPr>
            </w:pPr>
            <w:r>
              <w:t>受同一母公司控制的其他企业</w:t>
            </w:r>
          </w:p>
        </w:tc>
      </w:tr>
      <w:tr w:rsidR="00E57DAA" w14:paraId="60F37A8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755BBD" w14:textId="77777777" w:rsidR="00E57DAA" w:rsidRDefault="00AC4185">
            <w:pPr>
              <w:rPr>
                <w:rFonts w:cs="Cambria"/>
                <w:szCs w:val="21"/>
              </w:rPr>
            </w:pPr>
            <w:r>
              <w:t>湖南古丈南方水泥有限公司</w:t>
            </w:r>
          </w:p>
        </w:tc>
        <w:tc>
          <w:tcPr>
            <w:tcW w:w="1807" w:type="pct"/>
            <w:tcBorders>
              <w:top w:val="single" w:sz="4" w:space="0" w:color="auto"/>
              <w:left w:val="single" w:sz="4" w:space="0" w:color="auto"/>
              <w:bottom w:val="single" w:sz="4" w:space="0" w:color="auto"/>
              <w:right w:val="single" w:sz="4" w:space="0" w:color="auto"/>
            </w:tcBorders>
          </w:tcPr>
          <w:p w14:paraId="444D34E8" w14:textId="77777777" w:rsidR="00E57DAA" w:rsidRDefault="00AC4185">
            <w:pPr>
              <w:rPr>
                <w:rFonts w:cs="Cambria"/>
                <w:szCs w:val="21"/>
              </w:rPr>
            </w:pPr>
            <w:r>
              <w:t>受同一母公司控制的其他企业</w:t>
            </w:r>
          </w:p>
        </w:tc>
      </w:tr>
      <w:tr w:rsidR="00E57DAA" w14:paraId="5F0859B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B15DFE" w14:textId="77777777" w:rsidR="00E57DAA" w:rsidRDefault="00AC4185">
            <w:pPr>
              <w:rPr>
                <w:rFonts w:cs="Cambria"/>
                <w:szCs w:val="21"/>
              </w:rPr>
            </w:pPr>
            <w:r>
              <w:t>湖南金磊南方水泥有限公司</w:t>
            </w:r>
          </w:p>
        </w:tc>
        <w:tc>
          <w:tcPr>
            <w:tcW w:w="1807" w:type="pct"/>
            <w:tcBorders>
              <w:top w:val="single" w:sz="4" w:space="0" w:color="auto"/>
              <w:left w:val="single" w:sz="4" w:space="0" w:color="auto"/>
              <w:bottom w:val="single" w:sz="4" w:space="0" w:color="auto"/>
              <w:right w:val="single" w:sz="4" w:space="0" w:color="auto"/>
            </w:tcBorders>
          </w:tcPr>
          <w:p w14:paraId="6A6FD341" w14:textId="77777777" w:rsidR="00E57DAA" w:rsidRDefault="00AC4185">
            <w:pPr>
              <w:rPr>
                <w:rFonts w:cs="Cambria"/>
                <w:szCs w:val="21"/>
              </w:rPr>
            </w:pPr>
            <w:r>
              <w:t>受同一母公司控制的其他企业</w:t>
            </w:r>
          </w:p>
        </w:tc>
      </w:tr>
      <w:tr w:rsidR="00E57DAA" w14:paraId="3C3F1D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670ABC" w14:textId="77777777" w:rsidR="00E57DAA" w:rsidRDefault="00AC4185">
            <w:pPr>
              <w:rPr>
                <w:rFonts w:cs="Cambria"/>
                <w:szCs w:val="21"/>
              </w:rPr>
            </w:pPr>
            <w:r>
              <w:t>湖南耒阳南方水泥有限公司</w:t>
            </w:r>
          </w:p>
        </w:tc>
        <w:tc>
          <w:tcPr>
            <w:tcW w:w="1807" w:type="pct"/>
            <w:tcBorders>
              <w:top w:val="single" w:sz="4" w:space="0" w:color="auto"/>
              <w:left w:val="single" w:sz="4" w:space="0" w:color="auto"/>
              <w:bottom w:val="single" w:sz="4" w:space="0" w:color="auto"/>
              <w:right w:val="single" w:sz="4" w:space="0" w:color="auto"/>
            </w:tcBorders>
          </w:tcPr>
          <w:p w14:paraId="3213CA28" w14:textId="77777777" w:rsidR="00E57DAA" w:rsidRDefault="00AC4185">
            <w:pPr>
              <w:rPr>
                <w:rFonts w:cs="Cambria"/>
                <w:szCs w:val="21"/>
              </w:rPr>
            </w:pPr>
            <w:r>
              <w:t>受同一母公司控制的其他企业</w:t>
            </w:r>
          </w:p>
        </w:tc>
      </w:tr>
      <w:tr w:rsidR="00E57DAA" w14:paraId="0A2499C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C6231B7" w14:textId="77777777" w:rsidR="00E57DAA" w:rsidRDefault="00AC4185">
            <w:pPr>
              <w:rPr>
                <w:rFonts w:cs="Cambria"/>
                <w:szCs w:val="21"/>
              </w:rPr>
            </w:pPr>
            <w:r>
              <w:t>湖南临澧南方新材料科技有限公司</w:t>
            </w:r>
          </w:p>
        </w:tc>
        <w:tc>
          <w:tcPr>
            <w:tcW w:w="1807" w:type="pct"/>
            <w:tcBorders>
              <w:top w:val="single" w:sz="4" w:space="0" w:color="auto"/>
              <w:left w:val="single" w:sz="4" w:space="0" w:color="auto"/>
              <w:bottom w:val="single" w:sz="4" w:space="0" w:color="auto"/>
              <w:right w:val="single" w:sz="4" w:space="0" w:color="auto"/>
            </w:tcBorders>
          </w:tcPr>
          <w:p w14:paraId="3E1A1857" w14:textId="77777777" w:rsidR="00E57DAA" w:rsidRDefault="00AC4185">
            <w:pPr>
              <w:rPr>
                <w:rFonts w:cs="Cambria"/>
                <w:szCs w:val="21"/>
              </w:rPr>
            </w:pPr>
            <w:r>
              <w:t>受同一母公司控制的其他企业</w:t>
            </w:r>
          </w:p>
        </w:tc>
      </w:tr>
      <w:tr w:rsidR="00E57DAA" w14:paraId="50BC705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2CF8EF" w14:textId="77777777" w:rsidR="00E57DAA" w:rsidRDefault="00AC4185">
            <w:pPr>
              <w:rPr>
                <w:rFonts w:cs="Cambria"/>
                <w:szCs w:val="21"/>
              </w:rPr>
            </w:pPr>
            <w:r>
              <w:t>湖南浏阳南方水泥有限公司</w:t>
            </w:r>
          </w:p>
        </w:tc>
        <w:tc>
          <w:tcPr>
            <w:tcW w:w="1807" w:type="pct"/>
            <w:tcBorders>
              <w:top w:val="single" w:sz="4" w:space="0" w:color="auto"/>
              <w:left w:val="single" w:sz="4" w:space="0" w:color="auto"/>
              <w:bottom w:val="single" w:sz="4" w:space="0" w:color="auto"/>
              <w:right w:val="single" w:sz="4" w:space="0" w:color="auto"/>
            </w:tcBorders>
          </w:tcPr>
          <w:p w14:paraId="0D56A9CA" w14:textId="77777777" w:rsidR="00E57DAA" w:rsidRDefault="00AC4185">
            <w:pPr>
              <w:rPr>
                <w:rFonts w:cs="Cambria"/>
                <w:szCs w:val="21"/>
              </w:rPr>
            </w:pPr>
            <w:r>
              <w:t>受同一母公司控制的其他企业</w:t>
            </w:r>
          </w:p>
        </w:tc>
      </w:tr>
      <w:tr w:rsidR="00E57DAA" w14:paraId="6E2452F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2F92A6" w14:textId="77777777" w:rsidR="00E57DAA" w:rsidRDefault="00AC4185">
            <w:pPr>
              <w:rPr>
                <w:rFonts w:cs="Cambria"/>
                <w:szCs w:val="21"/>
              </w:rPr>
            </w:pPr>
            <w:r>
              <w:t>湖南隆回南方水泥有限公司</w:t>
            </w:r>
          </w:p>
        </w:tc>
        <w:tc>
          <w:tcPr>
            <w:tcW w:w="1807" w:type="pct"/>
            <w:tcBorders>
              <w:top w:val="single" w:sz="4" w:space="0" w:color="auto"/>
              <w:left w:val="single" w:sz="4" w:space="0" w:color="auto"/>
              <w:bottom w:val="single" w:sz="4" w:space="0" w:color="auto"/>
              <w:right w:val="single" w:sz="4" w:space="0" w:color="auto"/>
            </w:tcBorders>
          </w:tcPr>
          <w:p w14:paraId="0419D59B" w14:textId="77777777" w:rsidR="00E57DAA" w:rsidRDefault="00AC4185">
            <w:pPr>
              <w:rPr>
                <w:rFonts w:cs="Cambria"/>
                <w:szCs w:val="21"/>
              </w:rPr>
            </w:pPr>
            <w:r>
              <w:t>受同一母公司控制的其他企业</w:t>
            </w:r>
          </w:p>
        </w:tc>
      </w:tr>
      <w:tr w:rsidR="00E57DAA" w14:paraId="6ED2189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903F74" w14:textId="77777777" w:rsidR="00E57DAA" w:rsidRDefault="00AC4185">
            <w:pPr>
              <w:rPr>
                <w:rFonts w:cs="Cambria"/>
                <w:szCs w:val="21"/>
              </w:rPr>
            </w:pPr>
            <w:r>
              <w:t>湖南汨罗南方新材料科技有限公司</w:t>
            </w:r>
          </w:p>
        </w:tc>
        <w:tc>
          <w:tcPr>
            <w:tcW w:w="1807" w:type="pct"/>
            <w:tcBorders>
              <w:top w:val="single" w:sz="4" w:space="0" w:color="auto"/>
              <w:left w:val="single" w:sz="4" w:space="0" w:color="auto"/>
              <w:bottom w:val="single" w:sz="4" w:space="0" w:color="auto"/>
              <w:right w:val="single" w:sz="4" w:space="0" w:color="auto"/>
            </w:tcBorders>
          </w:tcPr>
          <w:p w14:paraId="72DEF7B7" w14:textId="77777777" w:rsidR="00E57DAA" w:rsidRDefault="00AC4185">
            <w:pPr>
              <w:rPr>
                <w:rFonts w:cs="Cambria"/>
                <w:szCs w:val="21"/>
              </w:rPr>
            </w:pPr>
            <w:r>
              <w:t>受同一母公司控制的其他企业</w:t>
            </w:r>
          </w:p>
        </w:tc>
      </w:tr>
      <w:tr w:rsidR="00E57DAA" w14:paraId="2E55077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078752" w14:textId="77777777" w:rsidR="00E57DAA" w:rsidRDefault="00AC4185">
            <w:pPr>
              <w:rPr>
                <w:rFonts w:cs="Cambria"/>
                <w:szCs w:val="21"/>
              </w:rPr>
            </w:pPr>
            <w:r>
              <w:t>湖南南方水泥集团有限公司</w:t>
            </w:r>
          </w:p>
        </w:tc>
        <w:tc>
          <w:tcPr>
            <w:tcW w:w="1807" w:type="pct"/>
            <w:tcBorders>
              <w:top w:val="single" w:sz="4" w:space="0" w:color="auto"/>
              <w:left w:val="single" w:sz="4" w:space="0" w:color="auto"/>
              <w:bottom w:val="single" w:sz="4" w:space="0" w:color="auto"/>
              <w:right w:val="single" w:sz="4" w:space="0" w:color="auto"/>
            </w:tcBorders>
          </w:tcPr>
          <w:p w14:paraId="74DF1C7E" w14:textId="77777777" w:rsidR="00E57DAA" w:rsidRDefault="00AC4185">
            <w:pPr>
              <w:rPr>
                <w:rFonts w:cs="Cambria"/>
                <w:szCs w:val="21"/>
              </w:rPr>
            </w:pPr>
            <w:r>
              <w:t>受同一母公司控制的其他企业</w:t>
            </w:r>
          </w:p>
        </w:tc>
      </w:tr>
      <w:tr w:rsidR="00E57DAA" w14:paraId="4EE08FD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0BECBF" w14:textId="77777777" w:rsidR="00E57DAA" w:rsidRDefault="00AC4185">
            <w:pPr>
              <w:rPr>
                <w:rFonts w:cs="Cambria"/>
                <w:szCs w:val="21"/>
              </w:rPr>
            </w:pPr>
            <w:r>
              <w:t>湖南宁乡南方水泥有限公司</w:t>
            </w:r>
          </w:p>
        </w:tc>
        <w:tc>
          <w:tcPr>
            <w:tcW w:w="1807" w:type="pct"/>
            <w:tcBorders>
              <w:top w:val="single" w:sz="4" w:space="0" w:color="auto"/>
              <w:left w:val="single" w:sz="4" w:space="0" w:color="auto"/>
              <w:bottom w:val="single" w:sz="4" w:space="0" w:color="auto"/>
              <w:right w:val="single" w:sz="4" w:space="0" w:color="auto"/>
            </w:tcBorders>
          </w:tcPr>
          <w:p w14:paraId="57861BAD" w14:textId="77777777" w:rsidR="00E57DAA" w:rsidRDefault="00AC4185">
            <w:pPr>
              <w:rPr>
                <w:rFonts w:cs="Cambria"/>
                <w:szCs w:val="21"/>
              </w:rPr>
            </w:pPr>
            <w:r>
              <w:t>受同一母公司控制的其他企业</w:t>
            </w:r>
          </w:p>
        </w:tc>
      </w:tr>
      <w:tr w:rsidR="00E57DAA" w14:paraId="7451383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FB1CB3" w14:textId="77777777" w:rsidR="00E57DAA" w:rsidRDefault="00AC4185">
            <w:pPr>
              <w:rPr>
                <w:rFonts w:cs="Cambria"/>
                <w:szCs w:val="21"/>
              </w:rPr>
            </w:pPr>
            <w:r>
              <w:lastRenderedPageBreak/>
              <w:t>湖南坪塘南方水泥有限公司</w:t>
            </w:r>
          </w:p>
        </w:tc>
        <w:tc>
          <w:tcPr>
            <w:tcW w:w="1807" w:type="pct"/>
            <w:tcBorders>
              <w:top w:val="single" w:sz="4" w:space="0" w:color="auto"/>
              <w:left w:val="single" w:sz="4" w:space="0" w:color="auto"/>
              <w:bottom w:val="single" w:sz="4" w:space="0" w:color="auto"/>
              <w:right w:val="single" w:sz="4" w:space="0" w:color="auto"/>
            </w:tcBorders>
          </w:tcPr>
          <w:p w14:paraId="1788C098" w14:textId="77777777" w:rsidR="00E57DAA" w:rsidRDefault="00AC4185">
            <w:pPr>
              <w:rPr>
                <w:rFonts w:cs="Cambria"/>
                <w:szCs w:val="21"/>
              </w:rPr>
            </w:pPr>
            <w:r>
              <w:t>受同一母公司控制的其他企业</w:t>
            </w:r>
          </w:p>
        </w:tc>
      </w:tr>
      <w:tr w:rsidR="00E57DAA" w14:paraId="5D80FA5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E6B49A" w14:textId="77777777" w:rsidR="00E57DAA" w:rsidRDefault="00AC4185">
            <w:pPr>
              <w:rPr>
                <w:rFonts w:cs="Cambria"/>
                <w:szCs w:val="21"/>
              </w:rPr>
            </w:pPr>
            <w:r>
              <w:t>湖南祁东南方水泥有限公司</w:t>
            </w:r>
          </w:p>
        </w:tc>
        <w:tc>
          <w:tcPr>
            <w:tcW w:w="1807" w:type="pct"/>
            <w:tcBorders>
              <w:top w:val="single" w:sz="4" w:space="0" w:color="auto"/>
              <w:left w:val="single" w:sz="4" w:space="0" w:color="auto"/>
              <w:bottom w:val="single" w:sz="4" w:space="0" w:color="auto"/>
              <w:right w:val="single" w:sz="4" w:space="0" w:color="auto"/>
            </w:tcBorders>
          </w:tcPr>
          <w:p w14:paraId="2FAB6651" w14:textId="77777777" w:rsidR="00E57DAA" w:rsidRDefault="00AC4185">
            <w:pPr>
              <w:rPr>
                <w:rFonts w:cs="Cambria"/>
                <w:szCs w:val="21"/>
              </w:rPr>
            </w:pPr>
            <w:r>
              <w:t>受同一母公司控制的其他企业</w:t>
            </w:r>
          </w:p>
        </w:tc>
      </w:tr>
      <w:tr w:rsidR="00E57DAA" w14:paraId="0A2CC61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105E9A" w14:textId="77777777" w:rsidR="00E57DAA" w:rsidRDefault="00AC4185">
            <w:pPr>
              <w:rPr>
                <w:rFonts w:cs="Cambria"/>
                <w:szCs w:val="21"/>
              </w:rPr>
            </w:pPr>
            <w:r>
              <w:t>湖南韶峰南方水泥有限公司</w:t>
            </w:r>
          </w:p>
        </w:tc>
        <w:tc>
          <w:tcPr>
            <w:tcW w:w="1807" w:type="pct"/>
            <w:tcBorders>
              <w:top w:val="single" w:sz="4" w:space="0" w:color="auto"/>
              <w:left w:val="single" w:sz="4" w:space="0" w:color="auto"/>
              <w:bottom w:val="single" w:sz="4" w:space="0" w:color="auto"/>
              <w:right w:val="single" w:sz="4" w:space="0" w:color="auto"/>
            </w:tcBorders>
          </w:tcPr>
          <w:p w14:paraId="670A1DF9" w14:textId="77777777" w:rsidR="00E57DAA" w:rsidRDefault="00AC4185">
            <w:pPr>
              <w:rPr>
                <w:rFonts w:cs="Cambria"/>
                <w:szCs w:val="21"/>
              </w:rPr>
            </w:pPr>
            <w:r>
              <w:t>受同一母公司控制的其他企业</w:t>
            </w:r>
          </w:p>
        </w:tc>
      </w:tr>
      <w:tr w:rsidR="00E57DAA" w14:paraId="0896BEF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B8BBD1" w14:textId="77777777" w:rsidR="00E57DAA" w:rsidRDefault="00AC4185">
            <w:pPr>
              <w:rPr>
                <w:rFonts w:cs="Cambria"/>
                <w:szCs w:val="21"/>
              </w:rPr>
            </w:pPr>
            <w:r>
              <w:t>湖南苏仙南方水泥有限公司</w:t>
            </w:r>
          </w:p>
        </w:tc>
        <w:tc>
          <w:tcPr>
            <w:tcW w:w="1807" w:type="pct"/>
            <w:tcBorders>
              <w:top w:val="single" w:sz="4" w:space="0" w:color="auto"/>
              <w:left w:val="single" w:sz="4" w:space="0" w:color="auto"/>
              <w:bottom w:val="single" w:sz="4" w:space="0" w:color="auto"/>
              <w:right w:val="single" w:sz="4" w:space="0" w:color="auto"/>
            </w:tcBorders>
          </w:tcPr>
          <w:p w14:paraId="340A421A" w14:textId="77777777" w:rsidR="00E57DAA" w:rsidRDefault="00AC4185">
            <w:pPr>
              <w:rPr>
                <w:rFonts w:cs="Cambria"/>
                <w:szCs w:val="21"/>
              </w:rPr>
            </w:pPr>
            <w:r>
              <w:t>受同一母公司控制的其他企业</w:t>
            </w:r>
          </w:p>
        </w:tc>
      </w:tr>
      <w:tr w:rsidR="00E57DAA" w14:paraId="5FB2B16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296D5E" w14:textId="77777777" w:rsidR="00E57DAA" w:rsidRDefault="00AC4185">
            <w:pPr>
              <w:rPr>
                <w:rFonts w:cs="Cambria"/>
                <w:szCs w:val="21"/>
              </w:rPr>
            </w:pPr>
            <w:r>
              <w:t>湖南桃江南方水泥有限公司</w:t>
            </w:r>
          </w:p>
        </w:tc>
        <w:tc>
          <w:tcPr>
            <w:tcW w:w="1807" w:type="pct"/>
            <w:tcBorders>
              <w:top w:val="single" w:sz="4" w:space="0" w:color="auto"/>
              <w:left w:val="single" w:sz="4" w:space="0" w:color="auto"/>
              <w:bottom w:val="single" w:sz="4" w:space="0" w:color="auto"/>
              <w:right w:val="single" w:sz="4" w:space="0" w:color="auto"/>
            </w:tcBorders>
          </w:tcPr>
          <w:p w14:paraId="42555BE1" w14:textId="77777777" w:rsidR="00E57DAA" w:rsidRDefault="00AC4185">
            <w:pPr>
              <w:rPr>
                <w:rFonts w:cs="Cambria"/>
                <w:szCs w:val="21"/>
              </w:rPr>
            </w:pPr>
            <w:r>
              <w:t>受同一母公司控制的其他企业</w:t>
            </w:r>
          </w:p>
        </w:tc>
      </w:tr>
      <w:tr w:rsidR="00E57DAA" w14:paraId="722C7C1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4DE256" w14:textId="77777777" w:rsidR="00E57DAA" w:rsidRDefault="00AC4185">
            <w:pPr>
              <w:rPr>
                <w:rFonts w:cs="Cambria"/>
                <w:szCs w:val="21"/>
              </w:rPr>
            </w:pPr>
            <w:r>
              <w:t>湖南湘乡南方新材料科技有限公司</w:t>
            </w:r>
          </w:p>
        </w:tc>
        <w:tc>
          <w:tcPr>
            <w:tcW w:w="1807" w:type="pct"/>
            <w:tcBorders>
              <w:top w:val="single" w:sz="4" w:space="0" w:color="auto"/>
              <w:left w:val="single" w:sz="4" w:space="0" w:color="auto"/>
              <w:bottom w:val="single" w:sz="4" w:space="0" w:color="auto"/>
              <w:right w:val="single" w:sz="4" w:space="0" w:color="auto"/>
            </w:tcBorders>
          </w:tcPr>
          <w:p w14:paraId="77F0F679" w14:textId="77777777" w:rsidR="00E57DAA" w:rsidRDefault="00AC4185">
            <w:pPr>
              <w:rPr>
                <w:rFonts w:cs="Cambria"/>
                <w:szCs w:val="21"/>
              </w:rPr>
            </w:pPr>
            <w:r>
              <w:t>受同一母公司控制的其他企业</w:t>
            </w:r>
          </w:p>
        </w:tc>
      </w:tr>
      <w:tr w:rsidR="00E57DAA" w14:paraId="1F27233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A23DA0" w14:textId="77777777" w:rsidR="00E57DAA" w:rsidRDefault="00AC4185">
            <w:pPr>
              <w:rPr>
                <w:rFonts w:cs="Cambria"/>
                <w:szCs w:val="21"/>
              </w:rPr>
            </w:pPr>
            <w:r>
              <w:t>湖南岳阳南方水泥有限公司</w:t>
            </w:r>
          </w:p>
        </w:tc>
        <w:tc>
          <w:tcPr>
            <w:tcW w:w="1807" w:type="pct"/>
            <w:tcBorders>
              <w:top w:val="single" w:sz="4" w:space="0" w:color="auto"/>
              <w:left w:val="single" w:sz="4" w:space="0" w:color="auto"/>
              <w:bottom w:val="single" w:sz="4" w:space="0" w:color="auto"/>
              <w:right w:val="single" w:sz="4" w:space="0" w:color="auto"/>
            </w:tcBorders>
          </w:tcPr>
          <w:p w14:paraId="7E22FBE9" w14:textId="77777777" w:rsidR="00E57DAA" w:rsidRDefault="00AC4185">
            <w:pPr>
              <w:rPr>
                <w:rFonts w:cs="Cambria"/>
                <w:szCs w:val="21"/>
              </w:rPr>
            </w:pPr>
            <w:r>
              <w:t>受同一母公司控制的其他企业</w:t>
            </w:r>
          </w:p>
        </w:tc>
      </w:tr>
      <w:tr w:rsidR="00E57DAA" w14:paraId="14406E3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7EBB57" w14:textId="77777777" w:rsidR="00E57DAA" w:rsidRDefault="00AC4185">
            <w:pPr>
              <w:rPr>
                <w:rFonts w:cs="Cambria"/>
                <w:szCs w:val="21"/>
              </w:rPr>
            </w:pPr>
            <w:r>
              <w:t>湖州白岘南方水泥有限公司</w:t>
            </w:r>
          </w:p>
        </w:tc>
        <w:tc>
          <w:tcPr>
            <w:tcW w:w="1807" w:type="pct"/>
            <w:tcBorders>
              <w:top w:val="single" w:sz="4" w:space="0" w:color="auto"/>
              <w:left w:val="single" w:sz="4" w:space="0" w:color="auto"/>
              <w:bottom w:val="single" w:sz="4" w:space="0" w:color="auto"/>
              <w:right w:val="single" w:sz="4" w:space="0" w:color="auto"/>
            </w:tcBorders>
          </w:tcPr>
          <w:p w14:paraId="07E5C197" w14:textId="77777777" w:rsidR="00E57DAA" w:rsidRDefault="00AC4185">
            <w:pPr>
              <w:rPr>
                <w:rFonts w:cs="Cambria"/>
                <w:szCs w:val="21"/>
              </w:rPr>
            </w:pPr>
            <w:r>
              <w:t>受同一母公司控制的其他企业</w:t>
            </w:r>
          </w:p>
        </w:tc>
      </w:tr>
      <w:tr w:rsidR="00E57DAA" w14:paraId="6E83B1B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CFE0FC" w14:textId="77777777" w:rsidR="00E57DAA" w:rsidRDefault="00AC4185">
            <w:pPr>
              <w:rPr>
                <w:rFonts w:cs="Cambria"/>
                <w:szCs w:val="21"/>
              </w:rPr>
            </w:pPr>
            <w:r>
              <w:t>湖州槐坎南方水泥有限公司</w:t>
            </w:r>
          </w:p>
        </w:tc>
        <w:tc>
          <w:tcPr>
            <w:tcW w:w="1807" w:type="pct"/>
            <w:tcBorders>
              <w:top w:val="single" w:sz="4" w:space="0" w:color="auto"/>
              <w:left w:val="single" w:sz="4" w:space="0" w:color="auto"/>
              <w:bottom w:val="single" w:sz="4" w:space="0" w:color="auto"/>
              <w:right w:val="single" w:sz="4" w:space="0" w:color="auto"/>
            </w:tcBorders>
          </w:tcPr>
          <w:p w14:paraId="6FF6EA34" w14:textId="77777777" w:rsidR="00E57DAA" w:rsidRDefault="00AC4185">
            <w:pPr>
              <w:rPr>
                <w:rFonts w:cs="Cambria"/>
                <w:szCs w:val="21"/>
              </w:rPr>
            </w:pPr>
            <w:r>
              <w:t>受同一母公司控制的其他企业</w:t>
            </w:r>
          </w:p>
        </w:tc>
      </w:tr>
      <w:tr w:rsidR="00E57DAA" w14:paraId="4A8456B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46B2BE" w14:textId="77777777" w:rsidR="00E57DAA" w:rsidRDefault="00AC4185">
            <w:pPr>
              <w:rPr>
                <w:rFonts w:cs="Cambria"/>
                <w:szCs w:val="21"/>
              </w:rPr>
            </w:pPr>
            <w:r>
              <w:t>湖州南方矿业有限公司</w:t>
            </w:r>
          </w:p>
        </w:tc>
        <w:tc>
          <w:tcPr>
            <w:tcW w:w="1807" w:type="pct"/>
            <w:tcBorders>
              <w:top w:val="single" w:sz="4" w:space="0" w:color="auto"/>
              <w:left w:val="single" w:sz="4" w:space="0" w:color="auto"/>
              <w:bottom w:val="single" w:sz="4" w:space="0" w:color="auto"/>
              <w:right w:val="single" w:sz="4" w:space="0" w:color="auto"/>
            </w:tcBorders>
          </w:tcPr>
          <w:p w14:paraId="2C441271" w14:textId="77777777" w:rsidR="00E57DAA" w:rsidRDefault="00AC4185">
            <w:pPr>
              <w:rPr>
                <w:rFonts w:cs="Cambria"/>
                <w:szCs w:val="21"/>
              </w:rPr>
            </w:pPr>
            <w:r>
              <w:t>受同一母公司控制的其他企业</w:t>
            </w:r>
          </w:p>
        </w:tc>
      </w:tr>
      <w:tr w:rsidR="00E57DAA" w14:paraId="55A4F4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FF5FE7" w14:textId="77777777" w:rsidR="00E57DAA" w:rsidRDefault="00AC4185">
            <w:pPr>
              <w:rPr>
                <w:rFonts w:cs="Cambria"/>
                <w:szCs w:val="21"/>
              </w:rPr>
            </w:pPr>
            <w:r>
              <w:t>湖州南方水泥销售有限公司</w:t>
            </w:r>
          </w:p>
        </w:tc>
        <w:tc>
          <w:tcPr>
            <w:tcW w:w="1807" w:type="pct"/>
            <w:tcBorders>
              <w:top w:val="single" w:sz="4" w:space="0" w:color="auto"/>
              <w:left w:val="single" w:sz="4" w:space="0" w:color="auto"/>
              <w:bottom w:val="single" w:sz="4" w:space="0" w:color="auto"/>
              <w:right w:val="single" w:sz="4" w:space="0" w:color="auto"/>
            </w:tcBorders>
          </w:tcPr>
          <w:p w14:paraId="4D0F0E50" w14:textId="77777777" w:rsidR="00E57DAA" w:rsidRDefault="00AC4185">
            <w:pPr>
              <w:rPr>
                <w:rFonts w:cs="Cambria"/>
                <w:szCs w:val="21"/>
              </w:rPr>
            </w:pPr>
            <w:r>
              <w:t>受同一母公司控制的其他企业</w:t>
            </w:r>
          </w:p>
        </w:tc>
      </w:tr>
      <w:tr w:rsidR="00E57DAA" w14:paraId="3BAEA86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409EA9" w14:textId="77777777" w:rsidR="00E57DAA" w:rsidRDefault="00AC4185">
            <w:pPr>
              <w:rPr>
                <w:rFonts w:cs="Cambria"/>
                <w:szCs w:val="21"/>
              </w:rPr>
            </w:pPr>
            <w:r>
              <w:t>湖州南方水泥有限公司</w:t>
            </w:r>
          </w:p>
        </w:tc>
        <w:tc>
          <w:tcPr>
            <w:tcW w:w="1807" w:type="pct"/>
            <w:tcBorders>
              <w:top w:val="single" w:sz="4" w:space="0" w:color="auto"/>
              <w:left w:val="single" w:sz="4" w:space="0" w:color="auto"/>
              <w:bottom w:val="single" w:sz="4" w:space="0" w:color="auto"/>
              <w:right w:val="single" w:sz="4" w:space="0" w:color="auto"/>
            </w:tcBorders>
          </w:tcPr>
          <w:p w14:paraId="2E137650" w14:textId="77777777" w:rsidR="00E57DAA" w:rsidRDefault="00AC4185">
            <w:pPr>
              <w:rPr>
                <w:rFonts w:cs="Cambria"/>
                <w:szCs w:val="21"/>
              </w:rPr>
            </w:pPr>
            <w:r>
              <w:t>受同一母公司控制的其他企业</w:t>
            </w:r>
          </w:p>
        </w:tc>
      </w:tr>
      <w:tr w:rsidR="00E57DAA" w14:paraId="4587EA4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7EC930" w14:textId="77777777" w:rsidR="00E57DAA" w:rsidRDefault="00AC4185">
            <w:pPr>
              <w:rPr>
                <w:rFonts w:cs="Cambria"/>
                <w:szCs w:val="21"/>
              </w:rPr>
            </w:pPr>
            <w:r>
              <w:t>湖州南方物流有限公司</w:t>
            </w:r>
          </w:p>
        </w:tc>
        <w:tc>
          <w:tcPr>
            <w:tcW w:w="1807" w:type="pct"/>
            <w:tcBorders>
              <w:top w:val="single" w:sz="4" w:space="0" w:color="auto"/>
              <w:left w:val="single" w:sz="4" w:space="0" w:color="auto"/>
              <w:bottom w:val="single" w:sz="4" w:space="0" w:color="auto"/>
              <w:right w:val="single" w:sz="4" w:space="0" w:color="auto"/>
            </w:tcBorders>
          </w:tcPr>
          <w:p w14:paraId="38F90D81" w14:textId="77777777" w:rsidR="00E57DAA" w:rsidRDefault="00AC4185">
            <w:pPr>
              <w:rPr>
                <w:rFonts w:cs="Cambria"/>
                <w:szCs w:val="21"/>
              </w:rPr>
            </w:pPr>
            <w:r>
              <w:t>受同一母公司控制的其他企业</w:t>
            </w:r>
          </w:p>
        </w:tc>
      </w:tr>
      <w:tr w:rsidR="00E57DAA" w14:paraId="385809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3271AB" w14:textId="77777777" w:rsidR="00E57DAA" w:rsidRDefault="00AC4185">
            <w:pPr>
              <w:rPr>
                <w:rFonts w:cs="Cambria"/>
                <w:szCs w:val="21"/>
              </w:rPr>
            </w:pPr>
            <w:r>
              <w:t>湖州小浦南方水泥有限公司</w:t>
            </w:r>
          </w:p>
        </w:tc>
        <w:tc>
          <w:tcPr>
            <w:tcW w:w="1807" w:type="pct"/>
            <w:tcBorders>
              <w:top w:val="single" w:sz="4" w:space="0" w:color="auto"/>
              <w:left w:val="single" w:sz="4" w:space="0" w:color="auto"/>
              <w:bottom w:val="single" w:sz="4" w:space="0" w:color="auto"/>
              <w:right w:val="single" w:sz="4" w:space="0" w:color="auto"/>
            </w:tcBorders>
          </w:tcPr>
          <w:p w14:paraId="4C3F6D7C" w14:textId="77777777" w:rsidR="00E57DAA" w:rsidRDefault="00AC4185">
            <w:pPr>
              <w:rPr>
                <w:rFonts w:cs="Cambria"/>
                <w:szCs w:val="21"/>
              </w:rPr>
            </w:pPr>
            <w:r>
              <w:t>受同一母公司控制的其他企业</w:t>
            </w:r>
          </w:p>
        </w:tc>
      </w:tr>
      <w:tr w:rsidR="00E57DAA" w14:paraId="0BA06E1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5E7F33" w14:textId="77777777" w:rsidR="00E57DAA" w:rsidRDefault="00AC4185">
            <w:pPr>
              <w:rPr>
                <w:rFonts w:cs="Cambria"/>
                <w:szCs w:val="21"/>
              </w:rPr>
            </w:pPr>
            <w:r>
              <w:t>湖州兴浦南方水泥有限公司</w:t>
            </w:r>
          </w:p>
        </w:tc>
        <w:tc>
          <w:tcPr>
            <w:tcW w:w="1807" w:type="pct"/>
            <w:tcBorders>
              <w:top w:val="single" w:sz="4" w:space="0" w:color="auto"/>
              <w:left w:val="single" w:sz="4" w:space="0" w:color="auto"/>
              <w:bottom w:val="single" w:sz="4" w:space="0" w:color="auto"/>
              <w:right w:val="single" w:sz="4" w:space="0" w:color="auto"/>
            </w:tcBorders>
          </w:tcPr>
          <w:p w14:paraId="58428977" w14:textId="77777777" w:rsidR="00E57DAA" w:rsidRDefault="00AC4185">
            <w:pPr>
              <w:rPr>
                <w:rFonts w:cs="Cambria"/>
                <w:szCs w:val="21"/>
              </w:rPr>
            </w:pPr>
            <w:r>
              <w:t>受同一母公司控制的其他企业</w:t>
            </w:r>
          </w:p>
        </w:tc>
      </w:tr>
      <w:tr w:rsidR="00E57DAA" w14:paraId="65FA7FB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ABB28F" w14:textId="77777777" w:rsidR="00E57DAA" w:rsidRDefault="00AC4185">
            <w:pPr>
              <w:rPr>
                <w:rFonts w:cs="Cambria"/>
                <w:szCs w:val="21"/>
              </w:rPr>
            </w:pPr>
            <w:r>
              <w:t>华东材料有限公司</w:t>
            </w:r>
          </w:p>
        </w:tc>
        <w:tc>
          <w:tcPr>
            <w:tcW w:w="1807" w:type="pct"/>
            <w:tcBorders>
              <w:top w:val="single" w:sz="4" w:space="0" w:color="auto"/>
              <w:left w:val="single" w:sz="4" w:space="0" w:color="auto"/>
              <w:bottom w:val="single" w:sz="4" w:space="0" w:color="auto"/>
              <w:right w:val="single" w:sz="4" w:space="0" w:color="auto"/>
            </w:tcBorders>
          </w:tcPr>
          <w:p w14:paraId="69EDE1C0" w14:textId="77777777" w:rsidR="00E57DAA" w:rsidRDefault="00AC4185">
            <w:pPr>
              <w:rPr>
                <w:rFonts w:cs="Cambria"/>
                <w:szCs w:val="21"/>
              </w:rPr>
            </w:pPr>
            <w:r>
              <w:t>受同一母公司控制的其他企业</w:t>
            </w:r>
          </w:p>
        </w:tc>
      </w:tr>
      <w:tr w:rsidR="00E57DAA" w14:paraId="5BAAF1A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0301DF" w14:textId="77777777" w:rsidR="00E57DAA" w:rsidRDefault="00AC4185">
            <w:pPr>
              <w:rPr>
                <w:rFonts w:cs="Cambria"/>
                <w:szCs w:val="21"/>
              </w:rPr>
            </w:pPr>
            <w:r>
              <w:t>华坪县定华能源建材有限责任公司</w:t>
            </w:r>
          </w:p>
        </w:tc>
        <w:tc>
          <w:tcPr>
            <w:tcW w:w="1807" w:type="pct"/>
            <w:tcBorders>
              <w:top w:val="single" w:sz="4" w:space="0" w:color="auto"/>
              <w:left w:val="single" w:sz="4" w:space="0" w:color="auto"/>
              <w:bottom w:val="single" w:sz="4" w:space="0" w:color="auto"/>
              <w:right w:val="single" w:sz="4" w:space="0" w:color="auto"/>
            </w:tcBorders>
          </w:tcPr>
          <w:p w14:paraId="4C6BB927" w14:textId="77777777" w:rsidR="00E57DAA" w:rsidRDefault="00AC4185">
            <w:pPr>
              <w:rPr>
                <w:rFonts w:cs="Cambria"/>
                <w:szCs w:val="21"/>
              </w:rPr>
            </w:pPr>
            <w:r>
              <w:t>受同一母公司控制的其他企业</w:t>
            </w:r>
          </w:p>
        </w:tc>
      </w:tr>
      <w:tr w:rsidR="00E57DAA" w14:paraId="77F7CB6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053709" w14:textId="77777777" w:rsidR="00E57DAA" w:rsidRDefault="00AC4185">
            <w:pPr>
              <w:rPr>
                <w:rFonts w:cs="Cambria"/>
                <w:szCs w:val="21"/>
              </w:rPr>
            </w:pPr>
            <w:r>
              <w:t>淮北南坪中联水泥有限公司</w:t>
            </w:r>
          </w:p>
        </w:tc>
        <w:tc>
          <w:tcPr>
            <w:tcW w:w="1807" w:type="pct"/>
            <w:tcBorders>
              <w:top w:val="single" w:sz="4" w:space="0" w:color="auto"/>
              <w:left w:val="single" w:sz="4" w:space="0" w:color="auto"/>
              <w:bottom w:val="single" w:sz="4" w:space="0" w:color="auto"/>
              <w:right w:val="single" w:sz="4" w:space="0" w:color="auto"/>
            </w:tcBorders>
          </w:tcPr>
          <w:p w14:paraId="0B1D23EC" w14:textId="77777777" w:rsidR="00E57DAA" w:rsidRDefault="00AC4185">
            <w:pPr>
              <w:rPr>
                <w:rFonts w:cs="Cambria"/>
                <w:szCs w:val="21"/>
              </w:rPr>
            </w:pPr>
            <w:r>
              <w:t>受同一母公司控制的其他企业</w:t>
            </w:r>
          </w:p>
        </w:tc>
      </w:tr>
      <w:tr w:rsidR="00E57DAA" w14:paraId="5CC4AD5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442BBA" w14:textId="77777777" w:rsidR="00E57DAA" w:rsidRDefault="00AC4185">
            <w:pPr>
              <w:rPr>
                <w:rFonts w:cs="Cambria"/>
                <w:szCs w:val="21"/>
              </w:rPr>
            </w:pPr>
            <w:r>
              <w:t>淮海中联水泥有限公司</w:t>
            </w:r>
          </w:p>
        </w:tc>
        <w:tc>
          <w:tcPr>
            <w:tcW w:w="1807" w:type="pct"/>
            <w:tcBorders>
              <w:top w:val="single" w:sz="4" w:space="0" w:color="auto"/>
              <w:left w:val="single" w:sz="4" w:space="0" w:color="auto"/>
              <w:bottom w:val="single" w:sz="4" w:space="0" w:color="auto"/>
              <w:right w:val="single" w:sz="4" w:space="0" w:color="auto"/>
            </w:tcBorders>
          </w:tcPr>
          <w:p w14:paraId="6A4E66A5" w14:textId="77777777" w:rsidR="00E57DAA" w:rsidRDefault="00AC4185">
            <w:pPr>
              <w:rPr>
                <w:rFonts w:cs="Cambria"/>
                <w:szCs w:val="21"/>
              </w:rPr>
            </w:pPr>
            <w:r>
              <w:t>受同一母公司控制的其他企业</w:t>
            </w:r>
          </w:p>
        </w:tc>
      </w:tr>
      <w:tr w:rsidR="00E57DAA" w14:paraId="7828E3B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39F36B" w14:textId="77777777" w:rsidR="00E57DAA" w:rsidRDefault="00AC4185">
            <w:pPr>
              <w:rPr>
                <w:rFonts w:cs="Cambria"/>
                <w:szCs w:val="21"/>
              </w:rPr>
            </w:pPr>
            <w:r>
              <w:t>黄山南方水泥有限公司</w:t>
            </w:r>
          </w:p>
        </w:tc>
        <w:tc>
          <w:tcPr>
            <w:tcW w:w="1807" w:type="pct"/>
            <w:tcBorders>
              <w:top w:val="single" w:sz="4" w:space="0" w:color="auto"/>
              <w:left w:val="single" w:sz="4" w:space="0" w:color="auto"/>
              <w:bottom w:val="single" w:sz="4" w:space="0" w:color="auto"/>
              <w:right w:val="single" w:sz="4" w:space="0" w:color="auto"/>
            </w:tcBorders>
          </w:tcPr>
          <w:p w14:paraId="4A3BEE11" w14:textId="77777777" w:rsidR="00E57DAA" w:rsidRDefault="00AC4185">
            <w:pPr>
              <w:rPr>
                <w:rFonts w:cs="Cambria"/>
                <w:szCs w:val="21"/>
              </w:rPr>
            </w:pPr>
            <w:r>
              <w:t>受同一母公司控制的其他企业</w:t>
            </w:r>
          </w:p>
        </w:tc>
      </w:tr>
      <w:tr w:rsidR="00E57DAA" w14:paraId="2AAF377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B57831" w14:textId="77777777" w:rsidR="00E57DAA" w:rsidRDefault="00AC4185">
            <w:pPr>
              <w:rPr>
                <w:rFonts w:cs="Cambria"/>
                <w:szCs w:val="21"/>
              </w:rPr>
            </w:pPr>
            <w:r>
              <w:t>会东利森水泥有限公司</w:t>
            </w:r>
          </w:p>
        </w:tc>
        <w:tc>
          <w:tcPr>
            <w:tcW w:w="1807" w:type="pct"/>
            <w:tcBorders>
              <w:top w:val="single" w:sz="4" w:space="0" w:color="auto"/>
              <w:left w:val="single" w:sz="4" w:space="0" w:color="auto"/>
              <w:bottom w:val="single" w:sz="4" w:space="0" w:color="auto"/>
              <w:right w:val="single" w:sz="4" w:space="0" w:color="auto"/>
            </w:tcBorders>
          </w:tcPr>
          <w:p w14:paraId="73D0C1FF" w14:textId="77777777" w:rsidR="00E57DAA" w:rsidRDefault="00AC4185">
            <w:pPr>
              <w:rPr>
                <w:rFonts w:cs="Cambria"/>
                <w:szCs w:val="21"/>
              </w:rPr>
            </w:pPr>
            <w:r>
              <w:t>受同一母公司控制的其他企业</w:t>
            </w:r>
          </w:p>
        </w:tc>
      </w:tr>
      <w:tr w:rsidR="00E57DAA" w14:paraId="715419F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EEC1CB" w14:textId="77777777" w:rsidR="00E57DAA" w:rsidRDefault="00AC4185">
            <w:pPr>
              <w:rPr>
                <w:rFonts w:cs="Cambria"/>
                <w:szCs w:val="21"/>
              </w:rPr>
            </w:pPr>
            <w:r>
              <w:t>鸡西市城海水泥有限责任公司</w:t>
            </w:r>
          </w:p>
        </w:tc>
        <w:tc>
          <w:tcPr>
            <w:tcW w:w="1807" w:type="pct"/>
            <w:tcBorders>
              <w:top w:val="single" w:sz="4" w:space="0" w:color="auto"/>
              <w:left w:val="single" w:sz="4" w:space="0" w:color="auto"/>
              <w:bottom w:val="single" w:sz="4" w:space="0" w:color="auto"/>
              <w:right w:val="single" w:sz="4" w:space="0" w:color="auto"/>
            </w:tcBorders>
          </w:tcPr>
          <w:p w14:paraId="488D571F" w14:textId="77777777" w:rsidR="00E57DAA" w:rsidRDefault="00AC4185">
            <w:pPr>
              <w:rPr>
                <w:rFonts w:cs="Cambria"/>
                <w:szCs w:val="21"/>
              </w:rPr>
            </w:pPr>
            <w:r>
              <w:t>受同一母公司控制的其他企业</w:t>
            </w:r>
          </w:p>
        </w:tc>
      </w:tr>
      <w:tr w:rsidR="00E57DAA" w14:paraId="760B6DB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746960" w14:textId="77777777" w:rsidR="00E57DAA" w:rsidRDefault="00AC4185">
            <w:pPr>
              <w:rPr>
                <w:rFonts w:cs="Cambria"/>
                <w:szCs w:val="21"/>
              </w:rPr>
            </w:pPr>
            <w:r>
              <w:t>济宁中联混凝土有限公司</w:t>
            </w:r>
          </w:p>
        </w:tc>
        <w:tc>
          <w:tcPr>
            <w:tcW w:w="1807" w:type="pct"/>
            <w:tcBorders>
              <w:top w:val="single" w:sz="4" w:space="0" w:color="auto"/>
              <w:left w:val="single" w:sz="4" w:space="0" w:color="auto"/>
              <w:bottom w:val="single" w:sz="4" w:space="0" w:color="auto"/>
              <w:right w:val="single" w:sz="4" w:space="0" w:color="auto"/>
            </w:tcBorders>
          </w:tcPr>
          <w:p w14:paraId="06FB6983" w14:textId="77777777" w:rsidR="00E57DAA" w:rsidRDefault="00AC4185">
            <w:pPr>
              <w:rPr>
                <w:rFonts w:cs="Cambria"/>
                <w:szCs w:val="21"/>
              </w:rPr>
            </w:pPr>
            <w:r>
              <w:t>受同一母公司控制的其他企业</w:t>
            </w:r>
          </w:p>
        </w:tc>
      </w:tr>
      <w:tr w:rsidR="00E57DAA" w14:paraId="639A145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7C6530" w14:textId="77777777" w:rsidR="00E57DAA" w:rsidRDefault="00AC4185">
            <w:pPr>
              <w:rPr>
                <w:rFonts w:cs="Cambria"/>
                <w:szCs w:val="21"/>
              </w:rPr>
            </w:pPr>
            <w:r>
              <w:t>济宁中联水泥有限公司</w:t>
            </w:r>
          </w:p>
        </w:tc>
        <w:tc>
          <w:tcPr>
            <w:tcW w:w="1807" w:type="pct"/>
            <w:tcBorders>
              <w:top w:val="single" w:sz="4" w:space="0" w:color="auto"/>
              <w:left w:val="single" w:sz="4" w:space="0" w:color="auto"/>
              <w:bottom w:val="single" w:sz="4" w:space="0" w:color="auto"/>
              <w:right w:val="single" w:sz="4" w:space="0" w:color="auto"/>
            </w:tcBorders>
          </w:tcPr>
          <w:p w14:paraId="5242B156" w14:textId="77777777" w:rsidR="00E57DAA" w:rsidRDefault="00AC4185">
            <w:pPr>
              <w:rPr>
                <w:rFonts w:cs="Cambria"/>
                <w:szCs w:val="21"/>
              </w:rPr>
            </w:pPr>
            <w:r>
              <w:t>受同一母公司控制的其他企业</w:t>
            </w:r>
          </w:p>
        </w:tc>
      </w:tr>
      <w:tr w:rsidR="00E57DAA" w14:paraId="2F35C1C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0B6796" w14:textId="77777777" w:rsidR="00E57DAA" w:rsidRDefault="00AC4185">
            <w:pPr>
              <w:rPr>
                <w:rFonts w:cs="Cambria"/>
                <w:szCs w:val="21"/>
              </w:rPr>
            </w:pPr>
            <w:r>
              <w:t>济源中联水泥有限公司</w:t>
            </w:r>
          </w:p>
        </w:tc>
        <w:tc>
          <w:tcPr>
            <w:tcW w:w="1807" w:type="pct"/>
            <w:tcBorders>
              <w:top w:val="single" w:sz="4" w:space="0" w:color="auto"/>
              <w:left w:val="single" w:sz="4" w:space="0" w:color="auto"/>
              <w:bottom w:val="single" w:sz="4" w:space="0" w:color="auto"/>
              <w:right w:val="single" w:sz="4" w:space="0" w:color="auto"/>
            </w:tcBorders>
          </w:tcPr>
          <w:p w14:paraId="3591A362" w14:textId="77777777" w:rsidR="00E57DAA" w:rsidRDefault="00AC4185">
            <w:pPr>
              <w:rPr>
                <w:rFonts w:cs="Cambria"/>
                <w:szCs w:val="21"/>
              </w:rPr>
            </w:pPr>
            <w:r>
              <w:t>受同一母公司控制的其他企业</w:t>
            </w:r>
          </w:p>
        </w:tc>
      </w:tr>
      <w:tr w:rsidR="00E57DAA" w14:paraId="6512E97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583E65" w14:textId="77777777" w:rsidR="00E57DAA" w:rsidRDefault="00AC4185">
            <w:pPr>
              <w:rPr>
                <w:rFonts w:cs="Cambria"/>
                <w:szCs w:val="21"/>
              </w:rPr>
            </w:pPr>
            <w:r>
              <w:t>佳木斯北方水泥有限公司</w:t>
            </w:r>
          </w:p>
        </w:tc>
        <w:tc>
          <w:tcPr>
            <w:tcW w:w="1807" w:type="pct"/>
            <w:tcBorders>
              <w:top w:val="single" w:sz="4" w:space="0" w:color="auto"/>
              <w:left w:val="single" w:sz="4" w:space="0" w:color="auto"/>
              <w:bottom w:val="single" w:sz="4" w:space="0" w:color="auto"/>
              <w:right w:val="single" w:sz="4" w:space="0" w:color="auto"/>
            </w:tcBorders>
          </w:tcPr>
          <w:p w14:paraId="205E84A1" w14:textId="77777777" w:rsidR="00E57DAA" w:rsidRDefault="00AC4185">
            <w:pPr>
              <w:rPr>
                <w:rFonts w:cs="Cambria"/>
                <w:szCs w:val="21"/>
              </w:rPr>
            </w:pPr>
            <w:r>
              <w:t>受同一母公司控制的其他企业</w:t>
            </w:r>
          </w:p>
        </w:tc>
      </w:tr>
      <w:tr w:rsidR="00E57DAA" w14:paraId="2299261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1930699" w14:textId="77777777" w:rsidR="00E57DAA" w:rsidRDefault="00AC4185">
            <w:pPr>
              <w:rPr>
                <w:rFonts w:cs="Cambria"/>
                <w:szCs w:val="21"/>
              </w:rPr>
            </w:pPr>
            <w:r>
              <w:t>嘉华特种水泥股份有限公司</w:t>
            </w:r>
          </w:p>
        </w:tc>
        <w:tc>
          <w:tcPr>
            <w:tcW w:w="1807" w:type="pct"/>
            <w:tcBorders>
              <w:top w:val="single" w:sz="4" w:space="0" w:color="auto"/>
              <w:left w:val="single" w:sz="4" w:space="0" w:color="auto"/>
              <w:bottom w:val="single" w:sz="4" w:space="0" w:color="auto"/>
              <w:right w:val="single" w:sz="4" w:space="0" w:color="auto"/>
            </w:tcBorders>
          </w:tcPr>
          <w:p w14:paraId="2070CDF0" w14:textId="77777777" w:rsidR="00E57DAA" w:rsidRDefault="00AC4185">
            <w:pPr>
              <w:rPr>
                <w:rFonts w:cs="Cambria"/>
                <w:szCs w:val="21"/>
              </w:rPr>
            </w:pPr>
            <w:r>
              <w:t>受同一母公司控制的其他企业</w:t>
            </w:r>
          </w:p>
        </w:tc>
      </w:tr>
      <w:tr w:rsidR="00E57DAA" w14:paraId="6DAFC46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55FE4A" w14:textId="77777777" w:rsidR="00E57DAA" w:rsidRDefault="00AC4185">
            <w:pPr>
              <w:rPr>
                <w:rFonts w:cs="Cambria"/>
                <w:szCs w:val="21"/>
              </w:rPr>
            </w:pPr>
            <w:r>
              <w:t>嘉善南方水泥有限公司</w:t>
            </w:r>
          </w:p>
        </w:tc>
        <w:tc>
          <w:tcPr>
            <w:tcW w:w="1807" w:type="pct"/>
            <w:tcBorders>
              <w:top w:val="single" w:sz="4" w:space="0" w:color="auto"/>
              <w:left w:val="single" w:sz="4" w:space="0" w:color="auto"/>
              <w:bottom w:val="single" w:sz="4" w:space="0" w:color="auto"/>
              <w:right w:val="single" w:sz="4" w:space="0" w:color="auto"/>
            </w:tcBorders>
          </w:tcPr>
          <w:p w14:paraId="46094BDA" w14:textId="77777777" w:rsidR="00E57DAA" w:rsidRDefault="00AC4185">
            <w:pPr>
              <w:rPr>
                <w:rFonts w:cs="Cambria"/>
                <w:szCs w:val="21"/>
              </w:rPr>
            </w:pPr>
            <w:r>
              <w:t>受同一母公司控制的其他企业</w:t>
            </w:r>
          </w:p>
        </w:tc>
      </w:tr>
      <w:tr w:rsidR="00E57DAA" w14:paraId="5BAE88A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0EBE4C" w14:textId="77777777" w:rsidR="00E57DAA" w:rsidRDefault="00AC4185">
            <w:pPr>
              <w:rPr>
                <w:rFonts w:cs="Cambria"/>
                <w:szCs w:val="21"/>
              </w:rPr>
            </w:pPr>
            <w:r>
              <w:t>嘉善天凝南方水泥有限公司</w:t>
            </w:r>
          </w:p>
        </w:tc>
        <w:tc>
          <w:tcPr>
            <w:tcW w:w="1807" w:type="pct"/>
            <w:tcBorders>
              <w:top w:val="single" w:sz="4" w:space="0" w:color="auto"/>
              <w:left w:val="single" w:sz="4" w:space="0" w:color="auto"/>
              <w:bottom w:val="single" w:sz="4" w:space="0" w:color="auto"/>
              <w:right w:val="single" w:sz="4" w:space="0" w:color="auto"/>
            </w:tcBorders>
          </w:tcPr>
          <w:p w14:paraId="4FA72E78" w14:textId="77777777" w:rsidR="00E57DAA" w:rsidRDefault="00AC4185">
            <w:pPr>
              <w:rPr>
                <w:rFonts w:cs="Cambria"/>
                <w:szCs w:val="21"/>
              </w:rPr>
            </w:pPr>
            <w:r>
              <w:t>受同一母公司控制的其他企业</w:t>
            </w:r>
          </w:p>
        </w:tc>
      </w:tr>
      <w:tr w:rsidR="00E57DAA" w14:paraId="23FA154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BD97C8" w14:textId="77777777" w:rsidR="00E57DAA" w:rsidRDefault="00AC4185">
            <w:pPr>
              <w:rPr>
                <w:rFonts w:cs="Cambria"/>
                <w:szCs w:val="21"/>
              </w:rPr>
            </w:pPr>
            <w:r>
              <w:t>嘉兴南湖南方水泥有限公司</w:t>
            </w:r>
          </w:p>
        </w:tc>
        <w:tc>
          <w:tcPr>
            <w:tcW w:w="1807" w:type="pct"/>
            <w:tcBorders>
              <w:top w:val="single" w:sz="4" w:space="0" w:color="auto"/>
              <w:left w:val="single" w:sz="4" w:space="0" w:color="auto"/>
              <w:bottom w:val="single" w:sz="4" w:space="0" w:color="auto"/>
              <w:right w:val="single" w:sz="4" w:space="0" w:color="auto"/>
            </w:tcBorders>
          </w:tcPr>
          <w:p w14:paraId="7174AC12" w14:textId="77777777" w:rsidR="00E57DAA" w:rsidRDefault="00AC4185">
            <w:pPr>
              <w:rPr>
                <w:rFonts w:cs="Cambria"/>
                <w:szCs w:val="21"/>
              </w:rPr>
            </w:pPr>
            <w:r>
              <w:t>受同一母公司控制的其他企业</w:t>
            </w:r>
          </w:p>
        </w:tc>
      </w:tr>
      <w:tr w:rsidR="00E57DAA" w14:paraId="7A1A7A4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0EACBE" w14:textId="77777777" w:rsidR="00E57DAA" w:rsidRDefault="00AC4185">
            <w:pPr>
              <w:rPr>
                <w:rFonts w:cs="Cambria"/>
                <w:szCs w:val="21"/>
              </w:rPr>
            </w:pPr>
            <w:r>
              <w:t>嘉峪关祁连山水泥有限公司</w:t>
            </w:r>
          </w:p>
        </w:tc>
        <w:tc>
          <w:tcPr>
            <w:tcW w:w="1807" w:type="pct"/>
            <w:tcBorders>
              <w:top w:val="single" w:sz="4" w:space="0" w:color="auto"/>
              <w:left w:val="single" w:sz="4" w:space="0" w:color="auto"/>
              <w:bottom w:val="single" w:sz="4" w:space="0" w:color="auto"/>
              <w:right w:val="single" w:sz="4" w:space="0" w:color="auto"/>
            </w:tcBorders>
          </w:tcPr>
          <w:p w14:paraId="6A05C319" w14:textId="77777777" w:rsidR="00E57DAA" w:rsidRDefault="00AC4185">
            <w:pPr>
              <w:rPr>
                <w:rFonts w:cs="Cambria"/>
                <w:szCs w:val="21"/>
              </w:rPr>
            </w:pPr>
            <w:r>
              <w:t>受同一母公司控制的其他企业</w:t>
            </w:r>
          </w:p>
        </w:tc>
      </w:tr>
      <w:tr w:rsidR="00E57DAA" w14:paraId="76C9073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D1308F" w14:textId="77777777" w:rsidR="00E57DAA" w:rsidRDefault="00AC4185">
            <w:pPr>
              <w:rPr>
                <w:rFonts w:cs="Cambria"/>
                <w:szCs w:val="21"/>
              </w:rPr>
            </w:pPr>
            <w:r>
              <w:t>郏县中联天广水泥有限公司</w:t>
            </w:r>
          </w:p>
        </w:tc>
        <w:tc>
          <w:tcPr>
            <w:tcW w:w="1807" w:type="pct"/>
            <w:tcBorders>
              <w:top w:val="single" w:sz="4" w:space="0" w:color="auto"/>
              <w:left w:val="single" w:sz="4" w:space="0" w:color="auto"/>
              <w:bottom w:val="single" w:sz="4" w:space="0" w:color="auto"/>
              <w:right w:val="single" w:sz="4" w:space="0" w:color="auto"/>
            </w:tcBorders>
          </w:tcPr>
          <w:p w14:paraId="4840BE15" w14:textId="77777777" w:rsidR="00E57DAA" w:rsidRDefault="00AC4185">
            <w:pPr>
              <w:rPr>
                <w:rFonts w:cs="Cambria"/>
                <w:szCs w:val="21"/>
              </w:rPr>
            </w:pPr>
            <w:r>
              <w:t>受同一母公司控制的其他企业</w:t>
            </w:r>
          </w:p>
        </w:tc>
      </w:tr>
      <w:tr w:rsidR="00E57DAA" w14:paraId="22262B7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925BB4B" w14:textId="77777777" w:rsidR="00E57DAA" w:rsidRDefault="00AC4185">
            <w:pPr>
              <w:rPr>
                <w:rFonts w:cs="Cambria"/>
                <w:szCs w:val="21"/>
              </w:rPr>
            </w:pPr>
            <w:r>
              <w:t>建德更楼矿业有限公司</w:t>
            </w:r>
          </w:p>
        </w:tc>
        <w:tc>
          <w:tcPr>
            <w:tcW w:w="1807" w:type="pct"/>
            <w:tcBorders>
              <w:top w:val="single" w:sz="4" w:space="0" w:color="auto"/>
              <w:left w:val="single" w:sz="4" w:space="0" w:color="auto"/>
              <w:bottom w:val="single" w:sz="4" w:space="0" w:color="auto"/>
              <w:right w:val="single" w:sz="4" w:space="0" w:color="auto"/>
            </w:tcBorders>
          </w:tcPr>
          <w:p w14:paraId="578EF3A7" w14:textId="77777777" w:rsidR="00E57DAA" w:rsidRDefault="00AC4185">
            <w:pPr>
              <w:rPr>
                <w:rFonts w:cs="Cambria"/>
                <w:szCs w:val="21"/>
              </w:rPr>
            </w:pPr>
            <w:r>
              <w:t>受同一母公司控制的其他企业</w:t>
            </w:r>
          </w:p>
        </w:tc>
      </w:tr>
      <w:tr w:rsidR="00E57DAA" w14:paraId="26BC2BE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5ED10C" w14:textId="77777777" w:rsidR="00E57DAA" w:rsidRDefault="00AC4185">
            <w:pPr>
              <w:rPr>
                <w:rFonts w:cs="Cambria"/>
                <w:szCs w:val="21"/>
              </w:rPr>
            </w:pPr>
            <w:r>
              <w:t>建德南方水泥有限公司</w:t>
            </w:r>
          </w:p>
        </w:tc>
        <w:tc>
          <w:tcPr>
            <w:tcW w:w="1807" w:type="pct"/>
            <w:tcBorders>
              <w:top w:val="single" w:sz="4" w:space="0" w:color="auto"/>
              <w:left w:val="single" w:sz="4" w:space="0" w:color="auto"/>
              <w:bottom w:val="single" w:sz="4" w:space="0" w:color="auto"/>
              <w:right w:val="single" w:sz="4" w:space="0" w:color="auto"/>
            </w:tcBorders>
          </w:tcPr>
          <w:p w14:paraId="29867827" w14:textId="77777777" w:rsidR="00E57DAA" w:rsidRDefault="00AC4185">
            <w:pPr>
              <w:rPr>
                <w:rFonts w:cs="Cambria"/>
                <w:szCs w:val="21"/>
              </w:rPr>
            </w:pPr>
            <w:r>
              <w:t>受同一母公司控制的其他企业</w:t>
            </w:r>
          </w:p>
        </w:tc>
      </w:tr>
      <w:tr w:rsidR="00E57DAA" w14:paraId="1B7C4C2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EC7464" w14:textId="77777777" w:rsidR="00E57DAA" w:rsidRDefault="00AC4185">
            <w:pPr>
              <w:rPr>
                <w:rFonts w:cs="Cambria"/>
                <w:szCs w:val="21"/>
              </w:rPr>
            </w:pPr>
            <w:r>
              <w:t>建德市新安江建材石料有限公司</w:t>
            </w:r>
          </w:p>
        </w:tc>
        <w:tc>
          <w:tcPr>
            <w:tcW w:w="1807" w:type="pct"/>
            <w:tcBorders>
              <w:top w:val="single" w:sz="4" w:space="0" w:color="auto"/>
              <w:left w:val="single" w:sz="4" w:space="0" w:color="auto"/>
              <w:bottom w:val="single" w:sz="4" w:space="0" w:color="auto"/>
              <w:right w:val="single" w:sz="4" w:space="0" w:color="auto"/>
            </w:tcBorders>
          </w:tcPr>
          <w:p w14:paraId="5939DA65" w14:textId="77777777" w:rsidR="00E57DAA" w:rsidRDefault="00AC4185">
            <w:pPr>
              <w:rPr>
                <w:rFonts w:cs="Cambria"/>
                <w:szCs w:val="21"/>
              </w:rPr>
            </w:pPr>
            <w:r>
              <w:t>受同一母公司控制的其他企业</w:t>
            </w:r>
          </w:p>
        </w:tc>
      </w:tr>
      <w:tr w:rsidR="00E57DAA" w14:paraId="34CC245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8155FF" w14:textId="77777777" w:rsidR="00E57DAA" w:rsidRDefault="00AC4185">
            <w:pPr>
              <w:rPr>
                <w:rFonts w:cs="Cambria"/>
                <w:szCs w:val="21"/>
              </w:rPr>
            </w:pPr>
            <w:r>
              <w:t>江山南方水泥有限公司</w:t>
            </w:r>
          </w:p>
        </w:tc>
        <w:tc>
          <w:tcPr>
            <w:tcW w:w="1807" w:type="pct"/>
            <w:tcBorders>
              <w:top w:val="single" w:sz="4" w:space="0" w:color="auto"/>
              <w:left w:val="single" w:sz="4" w:space="0" w:color="auto"/>
              <w:bottom w:val="single" w:sz="4" w:space="0" w:color="auto"/>
              <w:right w:val="single" w:sz="4" w:space="0" w:color="auto"/>
            </w:tcBorders>
          </w:tcPr>
          <w:p w14:paraId="1ECCE078" w14:textId="77777777" w:rsidR="00E57DAA" w:rsidRDefault="00AC4185">
            <w:pPr>
              <w:rPr>
                <w:rFonts w:cs="Cambria"/>
                <w:szCs w:val="21"/>
              </w:rPr>
            </w:pPr>
            <w:r>
              <w:t>受同一母公司控制的其他企业</w:t>
            </w:r>
          </w:p>
        </w:tc>
      </w:tr>
      <w:tr w:rsidR="00E57DAA" w14:paraId="366E908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9B527C" w14:textId="77777777" w:rsidR="00E57DAA" w:rsidRDefault="00AC4185">
            <w:pPr>
              <w:rPr>
                <w:rFonts w:cs="Cambria"/>
                <w:szCs w:val="21"/>
              </w:rPr>
            </w:pPr>
            <w:r>
              <w:t>江苏横山南方水泥有限公司</w:t>
            </w:r>
          </w:p>
        </w:tc>
        <w:tc>
          <w:tcPr>
            <w:tcW w:w="1807" w:type="pct"/>
            <w:tcBorders>
              <w:top w:val="single" w:sz="4" w:space="0" w:color="auto"/>
              <w:left w:val="single" w:sz="4" w:space="0" w:color="auto"/>
              <w:bottom w:val="single" w:sz="4" w:space="0" w:color="auto"/>
              <w:right w:val="single" w:sz="4" w:space="0" w:color="auto"/>
            </w:tcBorders>
          </w:tcPr>
          <w:p w14:paraId="5FB824F4" w14:textId="77777777" w:rsidR="00E57DAA" w:rsidRDefault="00AC4185">
            <w:pPr>
              <w:rPr>
                <w:rFonts w:cs="Cambria"/>
                <w:szCs w:val="21"/>
              </w:rPr>
            </w:pPr>
            <w:r>
              <w:t>受同一母公司控制的其他企业</w:t>
            </w:r>
          </w:p>
        </w:tc>
      </w:tr>
      <w:tr w:rsidR="00E57DAA" w14:paraId="575E4CD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AABC730" w14:textId="77777777" w:rsidR="00E57DAA" w:rsidRDefault="00AC4185">
            <w:pPr>
              <w:rPr>
                <w:rFonts w:cs="Cambria"/>
                <w:szCs w:val="21"/>
              </w:rPr>
            </w:pPr>
            <w:r>
              <w:t>江苏溧阳南方水泥有限公司</w:t>
            </w:r>
          </w:p>
        </w:tc>
        <w:tc>
          <w:tcPr>
            <w:tcW w:w="1807" w:type="pct"/>
            <w:tcBorders>
              <w:top w:val="single" w:sz="4" w:space="0" w:color="auto"/>
              <w:left w:val="single" w:sz="4" w:space="0" w:color="auto"/>
              <w:bottom w:val="single" w:sz="4" w:space="0" w:color="auto"/>
              <w:right w:val="single" w:sz="4" w:space="0" w:color="auto"/>
            </w:tcBorders>
          </w:tcPr>
          <w:p w14:paraId="3B055A19" w14:textId="77777777" w:rsidR="00E57DAA" w:rsidRDefault="00AC4185">
            <w:pPr>
              <w:rPr>
                <w:rFonts w:cs="Cambria"/>
                <w:szCs w:val="21"/>
              </w:rPr>
            </w:pPr>
            <w:r>
              <w:t>受同一母公司控制的其他企业</w:t>
            </w:r>
          </w:p>
        </w:tc>
      </w:tr>
      <w:tr w:rsidR="00E57DAA" w14:paraId="5BD1377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B7CE0B" w14:textId="77777777" w:rsidR="00E57DAA" w:rsidRDefault="00AC4185">
            <w:pPr>
              <w:rPr>
                <w:rFonts w:cs="Cambria"/>
                <w:szCs w:val="21"/>
              </w:rPr>
            </w:pPr>
            <w:r>
              <w:t>江苏双龙集团有限公司</w:t>
            </w:r>
          </w:p>
        </w:tc>
        <w:tc>
          <w:tcPr>
            <w:tcW w:w="1807" w:type="pct"/>
            <w:tcBorders>
              <w:top w:val="single" w:sz="4" w:space="0" w:color="auto"/>
              <w:left w:val="single" w:sz="4" w:space="0" w:color="auto"/>
              <w:bottom w:val="single" w:sz="4" w:space="0" w:color="auto"/>
              <w:right w:val="single" w:sz="4" w:space="0" w:color="auto"/>
            </w:tcBorders>
          </w:tcPr>
          <w:p w14:paraId="41685D54" w14:textId="77777777" w:rsidR="00E57DAA" w:rsidRDefault="00AC4185">
            <w:pPr>
              <w:rPr>
                <w:rFonts w:cs="Cambria"/>
                <w:szCs w:val="21"/>
              </w:rPr>
            </w:pPr>
            <w:r>
              <w:t>受同一母公司控制的其他企业</w:t>
            </w:r>
          </w:p>
        </w:tc>
      </w:tr>
      <w:tr w:rsidR="00E57DAA" w14:paraId="4D9F9D4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4A4CF8" w14:textId="77777777" w:rsidR="00E57DAA" w:rsidRDefault="00AC4185">
            <w:pPr>
              <w:rPr>
                <w:rFonts w:cs="Cambria"/>
                <w:szCs w:val="21"/>
              </w:rPr>
            </w:pPr>
            <w:r>
              <w:t>江苏新街南方水泥有限公司</w:t>
            </w:r>
          </w:p>
        </w:tc>
        <w:tc>
          <w:tcPr>
            <w:tcW w:w="1807" w:type="pct"/>
            <w:tcBorders>
              <w:top w:val="single" w:sz="4" w:space="0" w:color="auto"/>
              <w:left w:val="single" w:sz="4" w:space="0" w:color="auto"/>
              <w:bottom w:val="single" w:sz="4" w:space="0" w:color="auto"/>
              <w:right w:val="single" w:sz="4" w:space="0" w:color="auto"/>
            </w:tcBorders>
          </w:tcPr>
          <w:p w14:paraId="31776D0F" w14:textId="77777777" w:rsidR="00E57DAA" w:rsidRDefault="00AC4185">
            <w:pPr>
              <w:rPr>
                <w:rFonts w:cs="Cambria"/>
                <w:szCs w:val="21"/>
              </w:rPr>
            </w:pPr>
            <w:r>
              <w:t>受同一母公司控制的其他企业</w:t>
            </w:r>
          </w:p>
        </w:tc>
      </w:tr>
      <w:tr w:rsidR="00E57DAA" w14:paraId="6D1BCE5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F62B6C3" w14:textId="77777777" w:rsidR="00E57DAA" w:rsidRDefault="00AC4185">
            <w:pPr>
              <w:rPr>
                <w:rFonts w:cs="Cambria"/>
                <w:szCs w:val="21"/>
              </w:rPr>
            </w:pPr>
            <w:r>
              <w:t>南方水泥有限公司</w:t>
            </w:r>
          </w:p>
        </w:tc>
        <w:tc>
          <w:tcPr>
            <w:tcW w:w="1807" w:type="pct"/>
            <w:tcBorders>
              <w:top w:val="single" w:sz="4" w:space="0" w:color="auto"/>
              <w:left w:val="single" w:sz="4" w:space="0" w:color="auto"/>
              <w:bottom w:val="single" w:sz="4" w:space="0" w:color="auto"/>
              <w:right w:val="single" w:sz="4" w:space="0" w:color="auto"/>
            </w:tcBorders>
          </w:tcPr>
          <w:p w14:paraId="090A5998" w14:textId="77777777" w:rsidR="00E57DAA" w:rsidRDefault="00AC4185">
            <w:pPr>
              <w:rPr>
                <w:rFonts w:cs="Cambria"/>
                <w:szCs w:val="21"/>
              </w:rPr>
            </w:pPr>
            <w:r>
              <w:t>受同一母公司控制的其他企业</w:t>
            </w:r>
          </w:p>
        </w:tc>
      </w:tr>
      <w:tr w:rsidR="00E57DAA" w14:paraId="7E53B66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C7F3AA" w14:textId="77777777" w:rsidR="00E57DAA" w:rsidRDefault="00AC4185">
            <w:pPr>
              <w:rPr>
                <w:rFonts w:cs="Cambria"/>
                <w:szCs w:val="21"/>
              </w:rPr>
            </w:pPr>
            <w:r>
              <w:t>江苏宜城南方水泥有限公司</w:t>
            </w:r>
          </w:p>
        </w:tc>
        <w:tc>
          <w:tcPr>
            <w:tcW w:w="1807" w:type="pct"/>
            <w:tcBorders>
              <w:top w:val="single" w:sz="4" w:space="0" w:color="auto"/>
              <w:left w:val="single" w:sz="4" w:space="0" w:color="auto"/>
              <w:bottom w:val="single" w:sz="4" w:space="0" w:color="auto"/>
              <w:right w:val="single" w:sz="4" w:space="0" w:color="auto"/>
            </w:tcBorders>
          </w:tcPr>
          <w:p w14:paraId="37DB979A" w14:textId="77777777" w:rsidR="00E57DAA" w:rsidRDefault="00AC4185">
            <w:pPr>
              <w:rPr>
                <w:rFonts w:cs="Cambria"/>
                <w:szCs w:val="21"/>
              </w:rPr>
            </w:pPr>
            <w:r>
              <w:t>受同一母公司控制的其他企业</w:t>
            </w:r>
          </w:p>
        </w:tc>
      </w:tr>
      <w:tr w:rsidR="00E57DAA" w14:paraId="04524D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8A5860" w14:textId="77777777" w:rsidR="00E57DAA" w:rsidRDefault="00AC4185">
            <w:pPr>
              <w:rPr>
                <w:rFonts w:cs="Cambria"/>
                <w:szCs w:val="21"/>
              </w:rPr>
            </w:pPr>
            <w:r>
              <w:t>江苏中联铸本混凝土有限公司</w:t>
            </w:r>
          </w:p>
        </w:tc>
        <w:tc>
          <w:tcPr>
            <w:tcW w:w="1807" w:type="pct"/>
            <w:tcBorders>
              <w:top w:val="single" w:sz="4" w:space="0" w:color="auto"/>
              <w:left w:val="single" w:sz="4" w:space="0" w:color="auto"/>
              <w:bottom w:val="single" w:sz="4" w:space="0" w:color="auto"/>
              <w:right w:val="single" w:sz="4" w:space="0" w:color="auto"/>
            </w:tcBorders>
          </w:tcPr>
          <w:p w14:paraId="126D408E" w14:textId="77777777" w:rsidR="00E57DAA" w:rsidRDefault="00AC4185">
            <w:pPr>
              <w:rPr>
                <w:rFonts w:cs="Cambria"/>
                <w:szCs w:val="21"/>
              </w:rPr>
            </w:pPr>
            <w:r>
              <w:t>受同一母公司控制的其他企业</w:t>
            </w:r>
          </w:p>
        </w:tc>
      </w:tr>
      <w:tr w:rsidR="00E57DAA" w14:paraId="50A3359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7F4627" w14:textId="77777777" w:rsidR="00E57DAA" w:rsidRDefault="00AC4185">
            <w:pPr>
              <w:rPr>
                <w:rFonts w:cs="Cambria"/>
                <w:szCs w:val="21"/>
              </w:rPr>
            </w:pPr>
            <w:r>
              <w:t>江苏铸本众鑫混凝土工程有限公司</w:t>
            </w:r>
          </w:p>
        </w:tc>
        <w:tc>
          <w:tcPr>
            <w:tcW w:w="1807" w:type="pct"/>
            <w:tcBorders>
              <w:top w:val="single" w:sz="4" w:space="0" w:color="auto"/>
              <w:left w:val="single" w:sz="4" w:space="0" w:color="auto"/>
              <w:bottom w:val="single" w:sz="4" w:space="0" w:color="auto"/>
              <w:right w:val="single" w:sz="4" w:space="0" w:color="auto"/>
            </w:tcBorders>
          </w:tcPr>
          <w:p w14:paraId="01B3251B" w14:textId="77777777" w:rsidR="00E57DAA" w:rsidRDefault="00AC4185">
            <w:pPr>
              <w:rPr>
                <w:rFonts w:cs="Cambria"/>
                <w:szCs w:val="21"/>
              </w:rPr>
            </w:pPr>
            <w:r>
              <w:t>受同一母公司控制的其他企业</w:t>
            </w:r>
          </w:p>
        </w:tc>
      </w:tr>
      <w:tr w:rsidR="00E57DAA" w14:paraId="0CDDEBB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4C4904" w14:textId="77777777" w:rsidR="00E57DAA" w:rsidRDefault="00AC4185">
            <w:pPr>
              <w:rPr>
                <w:rFonts w:cs="Cambria"/>
                <w:szCs w:val="21"/>
              </w:rPr>
            </w:pPr>
            <w:r>
              <w:t>江西安福南方水泥有限公司</w:t>
            </w:r>
          </w:p>
        </w:tc>
        <w:tc>
          <w:tcPr>
            <w:tcW w:w="1807" w:type="pct"/>
            <w:tcBorders>
              <w:top w:val="single" w:sz="4" w:space="0" w:color="auto"/>
              <w:left w:val="single" w:sz="4" w:space="0" w:color="auto"/>
              <w:bottom w:val="single" w:sz="4" w:space="0" w:color="auto"/>
              <w:right w:val="single" w:sz="4" w:space="0" w:color="auto"/>
            </w:tcBorders>
          </w:tcPr>
          <w:p w14:paraId="2999D06F" w14:textId="77777777" w:rsidR="00E57DAA" w:rsidRDefault="00AC4185">
            <w:pPr>
              <w:rPr>
                <w:rFonts w:cs="Cambria"/>
                <w:szCs w:val="21"/>
              </w:rPr>
            </w:pPr>
            <w:r>
              <w:t>受同一母公司控制的其他企业</w:t>
            </w:r>
          </w:p>
        </w:tc>
      </w:tr>
      <w:tr w:rsidR="00E57DAA" w14:paraId="7A8EA09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A8D0EE" w14:textId="77777777" w:rsidR="00E57DAA" w:rsidRDefault="00AC4185">
            <w:pPr>
              <w:rPr>
                <w:rFonts w:cs="Cambria"/>
                <w:szCs w:val="21"/>
              </w:rPr>
            </w:pPr>
            <w:r>
              <w:t>江西东乡南方混凝土有限公司</w:t>
            </w:r>
          </w:p>
        </w:tc>
        <w:tc>
          <w:tcPr>
            <w:tcW w:w="1807" w:type="pct"/>
            <w:tcBorders>
              <w:top w:val="single" w:sz="4" w:space="0" w:color="auto"/>
              <w:left w:val="single" w:sz="4" w:space="0" w:color="auto"/>
              <w:bottom w:val="single" w:sz="4" w:space="0" w:color="auto"/>
              <w:right w:val="single" w:sz="4" w:space="0" w:color="auto"/>
            </w:tcBorders>
          </w:tcPr>
          <w:p w14:paraId="3F640132" w14:textId="77777777" w:rsidR="00E57DAA" w:rsidRDefault="00AC4185">
            <w:pPr>
              <w:rPr>
                <w:rFonts w:cs="Cambria"/>
                <w:szCs w:val="21"/>
              </w:rPr>
            </w:pPr>
            <w:r>
              <w:t>受同一母公司控制的其他企业</w:t>
            </w:r>
          </w:p>
        </w:tc>
      </w:tr>
      <w:tr w:rsidR="00E57DAA" w14:paraId="7323153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B4DC36" w14:textId="77777777" w:rsidR="00E57DAA" w:rsidRDefault="00AC4185">
            <w:pPr>
              <w:rPr>
                <w:rFonts w:cs="Cambria"/>
                <w:szCs w:val="21"/>
              </w:rPr>
            </w:pPr>
            <w:r>
              <w:t>江西丰城南方水泥有限公司</w:t>
            </w:r>
          </w:p>
        </w:tc>
        <w:tc>
          <w:tcPr>
            <w:tcW w:w="1807" w:type="pct"/>
            <w:tcBorders>
              <w:top w:val="single" w:sz="4" w:space="0" w:color="auto"/>
              <w:left w:val="single" w:sz="4" w:space="0" w:color="auto"/>
              <w:bottom w:val="single" w:sz="4" w:space="0" w:color="auto"/>
              <w:right w:val="single" w:sz="4" w:space="0" w:color="auto"/>
            </w:tcBorders>
          </w:tcPr>
          <w:p w14:paraId="5170E58C" w14:textId="77777777" w:rsidR="00E57DAA" w:rsidRDefault="00AC4185">
            <w:pPr>
              <w:rPr>
                <w:rFonts w:cs="Cambria"/>
                <w:szCs w:val="21"/>
              </w:rPr>
            </w:pPr>
            <w:r>
              <w:t>受同一母公司控制的其他企业</w:t>
            </w:r>
          </w:p>
        </w:tc>
      </w:tr>
      <w:tr w:rsidR="00E57DAA" w14:paraId="3390E9F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3F17AEE" w14:textId="77777777" w:rsidR="00E57DAA" w:rsidRDefault="00AC4185">
            <w:pPr>
              <w:rPr>
                <w:rFonts w:cs="Cambria"/>
                <w:szCs w:val="21"/>
              </w:rPr>
            </w:pPr>
            <w:r>
              <w:t>江西贵溪南方水泥有限公司</w:t>
            </w:r>
          </w:p>
        </w:tc>
        <w:tc>
          <w:tcPr>
            <w:tcW w:w="1807" w:type="pct"/>
            <w:tcBorders>
              <w:top w:val="single" w:sz="4" w:space="0" w:color="auto"/>
              <w:left w:val="single" w:sz="4" w:space="0" w:color="auto"/>
              <w:bottom w:val="single" w:sz="4" w:space="0" w:color="auto"/>
              <w:right w:val="single" w:sz="4" w:space="0" w:color="auto"/>
            </w:tcBorders>
          </w:tcPr>
          <w:p w14:paraId="0205CCDD" w14:textId="77777777" w:rsidR="00E57DAA" w:rsidRDefault="00AC4185">
            <w:pPr>
              <w:rPr>
                <w:rFonts w:cs="Cambria"/>
                <w:szCs w:val="21"/>
              </w:rPr>
            </w:pPr>
            <w:r>
              <w:t>受同一母公司控制的其他企业</w:t>
            </w:r>
          </w:p>
        </w:tc>
      </w:tr>
      <w:tr w:rsidR="00E57DAA" w14:paraId="08B9B65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96B8A1C" w14:textId="77777777" w:rsidR="00E57DAA" w:rsidRDefault="00AC4185">
            <w:pPr>
              <w:rPr>
                <w:rFonts w:cs="Cambria"/>
                <w:szCs w:val="21"/>
              </w:rPr>
            </w:pPr>
            <w:r>
              <w:t>江西吉州南方水泥有限公司</w:t>
            </w:r>
          </w:p>
        </w:tc>
        <w:tc>
          <w:tcPr>
            <w:tcW w:w="1807" w:type="pct"/>
            <w:tcBorders>
              <w:top w:val="single" w:sz="4" w:space="0" w:color="auto"/>
              <w:left w:val="single" w:sz="4" w:space="0" w:color="auto"/>
              <w:bottom w:val="single" w:sz="4" w:space="0" w:color="auto"/>
              <w:right w:val="single" w:sz="4" w:space="0" w:color="auto"/>
            </w:tcBorders>
          </w:tcPr>
          <w:p w14:paraId="0D9E3090" w14:textId="77777777" w:rsidR="00E57DAA" w:rsidRDefault="00AC4185">
            <w:pPr>
              <w:rPr>
                <w:rFonts w:cs="Cambria"/>
                <w:szCs w:val="21"/>
              </w:rPr>
            </w:pPr>
            <w:r>
              <w:t>受同一母公司控制的其他企业</w:t>
            </w:r>
          </w:p>
        </w:tc>
      </w:tr>
      <w:tr w:rsidR="00E57DAA" w14:paraId="4E37AEB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95F483" w14:textId="77777777" w:rsidR="00E57DAA" w:rsidRDefault="00AC4185">
            <w:pPr>
              <w:rPr>
                <w:rFonts w:cs="Cambria"/>
                <w:szCs w:val="21"/>
              </w:rPr>
            </w:pPr>
            <w:r>
              <w:lastRenderedPageBreak/>
              <w:t>江西九江南方水泥有限公司</w:t>
            </w:r>
          </w:p>
        </w:tc>
        <w:tc>
          <w:tcPr>
            <w:tcW w:w="1807" w:type="pct"/>
            <w:tcBorders>
              <w:top w:val="single" w:sz="4" w:space="0" w:color="auto"/>
              <w:left w:val="single" w:sz="4" w:space="0" w:color="auto"/>
              <w:bottom w:val="single" w:sz="4" w:space="0" w:color="auto"/>
              <w:right w:val="single" w:sz="4" w:space="0" w:color="auto"/>
            </w:tcBorders>
          </w:tcPr>
          <w:p w14:paraId="2ED2208E" w14:textId="77777777" w:rsidR="00E57DAA" w:rsidRDefault="00AC4185">
            <w:pPr>
              <w:rPr>
                <w:rFonts w:cs="Cambria"/>
                <w:szCs w:val="21"/>
              </w:rPr>
            </w:pPr>
            <w:r>
              <w:t>受同一母公司控制的其他企业</w:t>
            </w:r>
          </w:p>
        </w:tc>
      </w:tr>
      <w:tr w:rsidR="00E57DAA" w14:paraId="3CB1D80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35A49A" w14:textId="77777777" w:rsidR="00E57DAA" w:rsidRDefault="00AC4185">
            <w:pPr>
              <w:rPr>
                <w:rFonts w:cs="Cambria"/>
                <w:szCs w:val="21"/>
              </w:rPr>
            </w:pPr>
            <w:r>
              <w:t>江西芦溪南方水泥有限公司</w:t>
            </w:r>
          </w:p>
        </w:tc>
        <w:tc>
          <w:tcPr>
            <w:tcW w:w="1807" w:type="pct"/>
            <w:tcBorders>
              <w:top w:val="single" w:sz="4" w:space="0" w:color="auto"/>
              <w:left w:val="single" w:sz="4" w:space="0" w:color="auto"/>
              <w:bottom w:val="single" w:sz="4" w:space="0" w:color="auto"/>
              <w:right w:val="single" w:sz="4" w:space="0" w:color="auto"/>
            </w:tcBorders>
          </w:tcPr>
          <w:p w14:paraId="29F87BCB" w14:textId="77777777" w:rsidR="00E57DAA" w:rsidRDefault="00AC4185">
            <w:pPr>
              <w:rPr>
                <w:rFonts w:cs="Cambria"/>
                <w:szCs w:val="21"/>
              </w:rPr>
            </w:pPr>
            <w:r>
              <w:t>受同一母公司控制的其他企业</w:t>
            </w:r>
          </w:p>
        </w:tc>
      </w:tr>
      <w:tr w:rsidR="00E57DAA" w14:paraId="43CAD54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B9C171" w14:textId="77777777" w:rsidR="00E57DAA" w:rsidRDefault="00AC4185">
            <w:pPr>
              <w:rPr>
                <w:rFonts w:cs="Cambria"/>
                <w:szCs w:val="21"/>
              </w:rPr>
            </w:pPr>
            <w:r>
              <w:t>江西南城南方水泥有限公司</w:t>
            </w:r>
          </w:p>
        </w:tc>
        <w:tc>
          <w:tcPr>
            <w:tcW w:w="1807" w:type="pct"/>
            <w:tcBorders>
              <w:top w:val="single" w:sz="4" w:space="0" w:color="auto"/>
              <w:left w:val="single" w:sz="4" w:space="0" w:color="auto"/>
              <w:bottom w:val="single" w:sz="4" w:space="0" w:color="auto"/>
              <w:right w:val="single" w:sz="4" w:space="0" w:color="auto"/>
            </w:tcBorders>
          </w:tcPr>
          <w:p w14:paraId="2A3EBC4E" w14:textId="77777777" w:rsidR="00E57DAA" w:rsidRDefault="00AC4185">
            <w:pPr>
              <w:rPr>
                <w:rFonts w:cs="Cambria"/>
                <w:szCs w:val="21"/>
              </w:rPr>
            </w:pPr>
            <w:r>
              <w:t>受同一母公司控制的其他企业</w:t>
            </w:r>
          </w:p>
        </w:tc>
      </w:tr>
      <w:tr w:rsidR="00E57DAA" w14:paraId="1BF9D00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64CF92" w14:textId="77777777" w:rsidR="00E57DAA" w:rsidRDefault="00AC4185">
            <w:pPr>
              <w:rPr>
                <w:rFonts w:cs="Cambria"/>
                <w:szCs w:val="21"/>
              </w:rPr>
            </w:pPr>
            <w:r>
              <w:t>江西南方水泥有限公司</w:t>
            </w:r>
          </w:p>
        </w:tc>
        <w:tc>
          <w:tcPr>
            <w:tcW w:w="1807" w:type="pct"/>
            <w:tcBorders>
              <w:top w:val="single" w:sz="4" w:space="0" w:color="auto"/>
              <w:left w:val="single" w:sz="4" w:space="0" w:color="auto"/>
              <w:bottom w:val="single" w:sz="4" w:space="0" w:color="auto"/>
              <w:right w:val="single" w:sz="4" w:space="0" w:color="auto"/>
            </w:tcBorders>
          </w:tcPr>
          <w:p w14:paraId="517BF884" w14:textId="77777777" w:rsidR="00E57DAA" w:rsidRDefault="00AC4185">
            <w:pPr>
              <w:rPr>
                <w:rFonts w:cs="Cambria"/>
                <w:szCs w:val="21"/>
              </w:rPr>
            </w:pPr>
            <w:r>
              <w:t>受同一母公司控制的其他企业</w:t>
            </w:r>
          </w:p>
        </w:tc>
      </w:tr>
      <w:tr w:rsidR="00E57DAA" w14:paraId="750E80C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9AF2C02" w14:textId="77777777" w:rsidR="00E57DAA" w:rsidRDefault="00AC4185">
            <w:pPr>
              <w:rPr>
                <w:rFonts w:cs="Cambria"/>
                <w:szCs w:val="21"/>
              </w:rPr>
            </w:pPr>
            <w:r>
              <w:t>江西上高南方水泥有限公司</w:t>
            </w:r>
          </w:p>
        </w:tc>
        <w:tc>
          <w:tcPr>
            <w:tcW w:w="1807" w:type="pct"/>
            <w:tcBorders>
              <w:top w:val="single" w:sz="4" w:space="0" w:color="auto"/>
              <w:left w:val="single" w:sz="4" w:space="0" w:color="auto"/>
              <w:bottom w:val="single" w:sz="4" w:space="0" w:color="auto"/>
              <w:right w:val="single" w:sz="4" w:space="0" w:color="auto"/>
            </w:tcBorders>
          </w:tcPr>
          <w:p w14:paraId="303825CA" w14:textId="77777777" w:rsidR="00E57DAA" w:rsidRDefault="00AC4185">
            <w:pPr>
              <w:rPr>
                <w:rFonts w:cs="Cambria"/>
                <w:szCs w:val="21"/>
              </w:rPr>
            </w:pPr>
            <w:r>
              <w:t>受同一母公司控制的其他企业</w:t>
            </w:r>
          </w:p>
        </w:tc>
      </w:tr>
      <w:tr w:rsidR="00E57DAA" w14:paraId="63B50AF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6F8705" w14:textId="77777777" w:rsidR="00E57DAA" w:rsidRDefault="00AC4185">
            <w:pPr>
              <w:rPr>
                <w:rFonts w:cs="Cambria"/>
                <w:szCs w:val="21"/>
              </w:rPr>
            </w:pPr>
            <w:r>
              <w:t>江西泰和南方水泥有限公司</w:t>
            </w:r>
          </w:p>
        </w:tc>
        <w:tc>
          <w:tcPr>
            <w:tcW w:w="1807" w:type="pct"/>
            <w:tcBorders>
              <w:top w:val="single" w:sz="4" w:space="0" w:color="auto"/>
              <w:left w:val="single" w:sz="4" w:space="0" w:color="auto"/>
              <w:bottom w:val="single" w:sz="4" w:space="0" w:color="auto"/>
              <w:right w:val="single" w:sz="4" w:space="0" w:color="auto"/>
            </w:tcBorders>
          </w:tcPr>
          <w:p w14:paraId="799BA926" w14:textId="77777777" w:rsidR="00E57DAA" w:rsidRDefault="00AC4185">
            <w:pPr>
              <w:rPr>
                <w:rFonts w:cs="Cambria"/>
                <w:szCs w:val="21"/>
              </w:rPr>
            </w:pPr>
            <w:r>
              <w:t>受同一母公司控制的其他企业</w:t>
            </w:r>
          </w:p>
        </w:tc>
      </w:tr>
      <w:tr w:rsidR="00E57DAA" w14:paraId="1AE4A1C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71AE5F" w14:textId="77777777" w:rsidR="00E57DAA" w:rsidRDefault="00AC4185">
            <w:pPr>
              <w:rPr>
                <w:rFonts w:cs="Cambria"/>
                <w:szCs w:val="21"/>
              </w:rPr>
            </w:pPr>
            <w:r>
              <w:t>江西万年青水泥股份有限公司</w:t>
            </w:r>
          </w:p>
        </w:tc>
        <w:tc>
          <w:tcPr>
            <w:tcW w:w="1807" w:type="pct"/>
            <w:tcBorders>
              <w:top w:val="single" w:sz="4" w:space="0" w:color="auto"/>
              <w:left w:val="single" w:sz="4" w:space="0" w:color="auto"/>
              <w:bottom w:val="single" w:sz="4" w:space="0" w:color="auto"/>
              <w:right w:val="single" w:sz="4" w:space="0" w:color="auto"/>
            </w:tcBorders>
          </w:tcPr>
          <w:p w14:paraId="2B3B3ECA" w14:textId="77777777" w:rsidR="00E57DAA" w:rsidRDefault="00AC4185">
            <w:pPr>
              <w:rPr>
                <w:rFonts w:cs="Cambria"/>
                <w:szCs w:val="21"/>
              </w:rPr>
            </w:pPr>
            <w:r>
              <w:t>受同一母公司控制的其他企业</w:t>
            </w:r>
          </w:p>
        </w:tc>
      </w:tr>
      <w:tr w:rsidR="00E57DAA" w14:paraId="3FFD946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1F1354" w14:textId="77777777" w:rsidR="00E57DAA" w:rsidRDefault="00AC4185">
            <w:pPr>
              <w:rPr>
                <w:rFonts w:cs="Cambria"/>
                <w:szCs w:val="21"/>
              </w:rPr>
            </w:pPr>
            <w:r>
              <w:t>江西新余南方建材有限公司</w:t>
            </w:r>
          </w:p>
        </w:tc>
        <w:tc>
          <w:tcPr>
            <w:tcW w:w="1807" w:type="pct"/>
            <w:tcBorders>
              <w:top w:val="single" w:sz="4" w:space="0" w:color="auto"/>
              <w:left w:val="single" w:sz="4" w:space="0" w:color="auto"/>
              <w:bottom w:val="single" w:sz="4" w:space="0" w:color="auto"/>
              <w:right w:val="single" w:sz="4" w:space="0" w:color="auto"/>
            </w:tcBorders>
          </w:tcPr>
          <w:p w14:paraId="533554A8" w14:textId="77777777" w:rsidR="00E57DAA" w:rsidRDefault="00AC4185">
            <w:pPr>
              <w:rPr>
                <w:rFonts w:cs="Cambria"/>
                <w:szCs w:val="21"/>
              </w:rPr>
            </w:pPr>
            <w:r>
              <w:t>受同一母公司控制的其他企业</w:t>
            </w:r>
          </w:p>
        </w:tc>
      </w:tr>
      <w:tr w:rsidR="00E57DAA" w14:paraId="3747F3B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326E41" w14:textId="77777777" w:rsidR="00E57DAA" w:rsidRDefault="00AC4185">
            <w:pPr>
              <w:rPr>
                <w:rFonts w:cs="Cambria"/>
                <w:szCs w:val="21"/>
              </w:rPr>
            </w:pPr>
            <w:r>
              <w:t>江西兴国南方水泥有限公司</w:t>
            </w:r>
          </w:p>
        </w:tc>
        <w:tc>
          <w:tcPr>
            <w:tcW w:w="1807" w:type="pct"/>
            <w:tcBorders>
              <w:top w:val="single" w:sz="4" w:space="0" w:color="auto"/>
              <w:left w:val="single" w:sz="4" w:space="0" w:color="auto"/>
              <w:bottom w:val="single" w:sz="4" w:space="0" w:color="auto"/>
              <w:right w:val="single" w:sz="4" w:space="0" w:color="auto"/>
            </w:tcBorders>
          </w:tcPr>
          <w:p w14:paraId="6FBCC113" w14:textId="77777777" w:rsidR="00E57DAA" w:rsidRDefault="00AC4185">
            <w:pPr>
              <w:rPr>
                <w:rFonts w:cs="Cambria"/>
                <w:szCs w:val="21"/>
              </w:rPr>
            </w:pPr>
            <w:r>
              <w:t>受同一母公司控制的其他企业</w:t>
            </w:r>
          </w:p>
        </w:tc>
      </w:tr>
      <w:tr w:rsidR="00E57DAA" w14:paraId="43D7858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5D3FB1" w14:textId="77777777" w:rsidR="00E57DAA" w:rsidRDefault="00AC4185">
            <w:pPr>
              <w:rPr>
                <w:rFonts w:cs="Cambria"/>
                <w:szCs w:val="21"/>
              </w:rPr>
            </w:pPr>
            <w:r>
              <w:t>江西修水南方水泥有限公司</w:t>
            </w:r>
          </w:p>
        </w:tc>
        <w:tc>
          <w:tcPr>
            <w:tcW w:w="1807" w:type="pct"/>
            <w:tcBorders>
              <w:top w:val="single" w:sz="4" w:space="0" w:color="auto"/>
              <w:left w:val="single" w:sz="4" w:space="0" w:color="auto"/>
              <w:bottom w:val="single" w:sz="4" w:space="0" w:color="auto"/>
              <w:right w:val="single" w:sz="4" w:space="0" w:color="auto"/>
            </w:tcBorders>
          </w:tcPr>
          <w:p w14:paraId="3A615A71" w14:textId="77777777" w:rsidR="00E57DAA" w:rsidRDefault="00AC4185">
            <w:pPr>
              <w:rPr>
                <w:rFonts w:cs="Cambria"/>
                <w:szCs w:val="21"/>
              </w:rPr>
            </w:pPr>
            <w:r>
              <w:t>受同一母公司控制的其他企业</w:t>
            </w:r>
          </w:p>
        </w:tc>
      </w:tr>
      <w:tr w:rsidR="00E57DAA" w14:paraId="4FA53ED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2A7C23" w14:textId="77777777" w:rsidR="00E57DAA" w:rsidRDefault="00AC4185">
            <w:pPr>
              <w:rPr>
                <w:rFonts w:cs="Cambria"/>
                <w:szCs w:val="21"/>
              </w:rPr>
            </w:pPr>
            <w:r>
              <w:t>江西永丰南方水泥有限公司</w:t>
            </w:r>
          </w:p>
        </w:tc>
        <w:tc>
          <w:tcPr>
            <w:tcW w:w="1807" w:type="pct"/>
            <w:tcBorders>
              <w:top w:val="single" w:sz="4" w:space="0" w:color="auto"/>
              <w:left w:val="single" w:sz="4" w:space="0" w:color="auto"/>
              <w:bottom w:val="single" w:sz="4" w:space="0" w:color="auto"/>
              <w:right w:val="single" w:sz="4" w:space="0" w:color="auto"/>
            </w:tcBorders>
          </w:tcPr>
          <w:p w14:paraId="7EE91A5C" w14:textId="77777777" w:rsidR="00E57DAA" w:rsidRDefault="00AC4185">
            <w:pPr>
              <w:rPr>
                <w:rFonts w:cs="Cambria"/>
                <w:szCs w:val="21"/>
              </w:rPr>
            </w:pPr>
            <w:r>
              <w:t>受同一母公司控制的其他企业</w:t>
            </w:r>
          </w:p>
        </w:tc>
      </w:tr>
      <w:tr w:rsidR="00E57DAA" w14:paraId="0A3AB23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68D564" w14:textId="77777777" w:rsidR="00E57DAA" w:rsidRDefault="00AC4185">
            <w:pPr>
              <w:rPr>
                <w:rFonts w:cs="Cambria"/>
                <w:szCs w:val="21"/>
              </w:rPr>
            </w:pPr>
            <w:r>
              <w:t>江西玉山南方水泥有限公司</w:t>
            </w:r>
          </w:p>
        </w:tc>
        <w:tc>
          <w:tcPr>
            <w:tcW w:w="1807" w:type="pct"/>
            <w:tcBorders>
              <w:top w:val="single" w:sz="4" w:space="0" w:color="auto"/>
              <w:left w:val="single" w:sz="4" w:space="0" w:color="auto"/>
              <w:bottom w:val="single" w:sz="4" w:space="0" w:color="auto"/>
              <w:right w:val="single" w:sz="4" w:space="0" w:color="auto"/>
            </w:tcBorders>
          </w:tcPr>
          <w:p w14:paraId="7DCF0689" w14:textId="77777777" w:rsidR="00E57DAA" w:rsidRDefault="00AC4185">
            <w:pPr>
              <w:rPr>
                <w:rFonts w:cs="Cambria"/>
                <w:szCs w:val="21"/>
              </w:rPr>
            </w:pPr>
            <w:r>
              <w:t>受同一母公司控制的其他企业</w:t>
            </w:r>
          </w:p>
        </w:tc>
      </w:tr>
      <w:tr w:rsidR="00E57DAA" w14:paraId="5917113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D429AC" w14:textId="77777777" w:rsidR="00E57DAA" w:rsidRDefault="00AC4185">
            <w:pPr>
              <w:rPr>
                <w:rFonts w:cs="Cambria"/>
                <w:szCs w:val="21"/>
              </w:rPr>
            </w:pPr>
            <w:r>
              <w:t>金刚（集团）白山水泥有限公司</w:t>
            </w:r>
          </w:p>
        </w:tc>
        <w:tc>
          <w:tcPr>
            <w:tcW w:w="1807" w:type="pct"/>
            <w:tcBorders>
              <w:top w:val="single" w:sz="4" w:space="0" w:color="auto"/>
              <w:left w:val="single" w:sz="4" w:space="0" w:color="auto"/>
              <w:bottom w:val="single" w:sz="4" w:space="0" w:color="auto"/>
              <w:right w:val="single" w:sz="4" w:space="0" w:color="auto"/>
            </w:tcBorders>
          </w:tcPr>
          <w:p w14:paraId="4E4F73B7" w14:textId="77777777" w:rsidR="00E57DAA" w:rsidRDefault="00AC4185">
            <w:pPr>
              <w:rPr>
                <w:rFonts w:cs="Cambria"/>
                <w:szCs w:val="21"/>
              </w:rPr>
            </w:pPr>
            <w:r>
              <w:t>受同一母公司控制的其他企业</w:t>
            </w:r>
          </w:p>
        </w:tc>
      </w:tr>
      <w:tr w:rsidR="00E57DAA" w14:paraId="141ED8C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FC4DBC" w14:textId="77777777" w:rsidR="00E57DAA" w:rsidRDefault="00AC4185">
            <w:pPr>
              <w:rPr>
                <w:rFonts w:cs="Cambria"/>
                <w:szCs w:val="21"/>
              </w:rPr>
            </w:pPr>
            <w:r>
              <w:t>铁岭北方水泥有限公司</w:t>
            </w:r>
          </w:p>
        </w:tc>
        <w:tc>
          <w:tcPr>
            <w:tcW w:w="1807" w:type="pct"/>
            <w:tcBorders>
              <w:top w:val="single" w:sz="4" w:space="0" w:color="auto"/>
              <w:left w:val="single" w:sz="4" w:space="0" w:color="auto"/>
              <w:bottom w:val="single" w:sz="4" w:space="0" w:color="auto"/>
              <w:right w:val="single" w:sz="4" w:space="0" w:color="auto"/>
            </w:tcBorders>
          </w:tcPr>
          <w:p w14:paraId="3E3F0E92" w14:textId="77777777" w:rsidR="00E57DAA" w:rsidRDefault="00AC4185">
            <w:pPr>
              <w:rPr>
                <w:rFonts w:cs="Cambria"/>
                <w:szCs w:val="21"/>
              </w:rPr>
            </w:pPr>
            <w:r>
              <w:t>受同一母公司控制的其他企业</w:t>
            </w:r>
          </w:p>
        </w:tc>
      </w:tr>
      <w:tr w:rsidR="00E57DAA" w14:paraId="5DB6FD6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6DEBD4" w14:textId="77777777" w:rsidR="00E57DAA" w:rsidRDefault="00AC4185">
            <w:pPr>
              <w:rPr>
                <w:rFonts w:cs="Cambria"/>
                <w:szCs w:val="21"/>
              </w:rPr>
            </w:pPr>
            <w:r>
              <w:t>金乡中联混凝土有限公司</w:t>
            </w:r>
          </w:p>
        </w:tc>
        <w:tc>
          <w:tcPr>
            <w:tcW w:w="1807" w:type="pct"/>
            <w:tcBorders>
              <w:top w:val="single" w:sz="4" w:space="0" w:color="auto"/>
              <w:left w:val="single" w:sz="4" w:space="0" w:color="auto"/>
              <w:bottom w:val="single" w:sz="4" w:space="0" w:color="auto"/>
              <w:right w:val="single" w:sz="4" w:space="0" w:color="auto"/>
            </w:tcBorders>
          </w:tcPr>
          <w:p w14:paraId="59FD190D" w14:textId="77777777" w:rsidR="00E57DAA" w:rsidRDefault="00AC4185">
            <w:pPr>
              <w:rPr>
                <w:rFonts w:cs="Cambria"/>
                <w:szCs w:val="21"/>
              </w:rPr>
            </w:pPr>
            <w:r>
              <w:t>受同一母公司控制的其他企业</w:t>
            </w:r>
          </w:p>
        </w:tc>
      </w:tr>
      <w:tr w:rsidR="00E57DAA" w14:paraId="7F8CAED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2572E0" w14:textId="77777777" w:rsidR="00E57DAA" w:rsidRDefault="00AC4185">
            <w:pPr>
              <w:rPr>
                <w:rFonts w:cs="Cambria"/>
                <w:szCs w:val="21"/>
              </w:rPr>
            </w:pPr>
            <w:r>
              <w:t>莒县中联水泥有限公司</w:t>
            </w:r>
          </w:p>
        </w:tc>
        <w:tc>
          <w:tcPr>
            <w:tcW w:w="1807" w:type="pct"/>
            <w:tcBorders>
              <w:top w:val="single" w:sz="4" w:space="0" w:color="auto"/>
              <w:left w:val="single" w:sz="4" w:space="0" w:color="auto"/>
              <w:bottom w:val="single" w:sz="4" w:space="0" w:color="auto"/>
              <w:right w:val="single" w:sz="4" w:space="0" w:color="auto"/>
            </w:tcBorders>
          </w:tcPr>
          <w:p w14:paraId="47B4D643" w14:textId="77777777" w:rsidR="00E57DAA" w:rsidRDefault="00AC4185">
            <w:pPr>
              <w:rPr>
                <w:rFonts w:cs="Cambria"/>
                <w:szCs w:val="21"/>
              </w:rPr>
            </w:pPr>
            <w:r>
              <w:t>受同一母公司控制的其他企业</w:t>
            </w:r>
          </w:p>
        </w:tc>
      </w:tr>
      <w:tr w:rsidR="00E57DAA" w14:paraId="33EE28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1C5A87" w14:textId="77777777" w:rsidR="00E57DAA" w:rsidRDefault="00AC4185">
            <w:pPr>
              <w:rPr>
                <w:rFonts w:cs="Cambria"/>
                <w:szCs w:val="21"/>
              </w:rPr>
            </w:pPr>
            <w:r>
              <w:t>巨野中联混凝土有限公司</w:t>
            </w:r>
          </w:p>
        </w:tc>
        <w:tc>
          <w:tcPr>
            <w:tcW w:w="1807" w:type="pct"/>
            <w:tcBorders>
              <w:top w:val="single" w:sz="4" w:space="0" w:color="auto"/>
              <w:left w:val="single" w:sz="4" w:space="0" w:color="auto"/>
              <w:bottom w:val="single" w:sz="4" w:space="0" w:color="auto"/>
              <w:right w:val="single" w:sz="4" w:space="0" w:color="auto"/>
            </w:tcBorders>
          </w:tcPr>
          <w:p w14:paraId="01C9C098" w14:textId="77777777" w:rsidR="00E57DAA" w:rsidRDefault="00AC4185">
            <w:pPr>
              <w:rPr>
                <w:rFonts w:cs="Cambria"/>
                <w:szCs w:val="21"/>
              </w:rPr>
            </w:pPr>
            <w:r>
              <w:t>受同一母公司控制的其他企业</w:t>
            </w:r>
          </w:p>
        </w:tc>
      </w:tr>
      <w:tr w:rsidR="00E57DAA" w14:paraId="1900688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99CF81" w14:textId="77777777" w:rsidR="00E57DAA" w:rsidRDefault="00AC4185">
            <w:pPr>
              <w:rPr>
                <w:rFonts w:cs="Cambria"/>
                <w:szCs w:val="21"/>
              </w:rPr>
            </w:pPr>
            <w:r>
              <w:t>喀喇沁草原水泥有限责任公司</w:t>
            </w:r>
          </w:p>
        </w:tc>
        <w:tc>
          <w:tcPr>
            <w:tcW w:w="1807" w:type="pct"/>
            <w:tcBorders>
              <w:top w:val="single" w:sz="4" w:space="0" w:color="auto"/>
              <w:left w:val="single" w:sz="4" w:space="0" w:color="auto"/>
              <w:bottom w:val="single" w:sz="4" w:space="0" w:color="auto"/>
              <w:right w:val="single" w:sz="4" w:space="0" w:color="auto"/>
            </w:tcBorders>
          </w:tcPr>
          <w:p w14:paraId="71BA73FB" w14:textId="77777777" w:rsidR="00E57DAA" w:rsidRDefault="00AC4185">
            <w:pPr>
              <w:rPr>
                <w:rFonts w:cs="Cambria"/>
                <w:szCs w:val="21"/>
              </w:rPr>
            </w:pPr>
            <w:r>
              <w:t>受同一母公司控制的其他企业</w:t>
            </w:r>
          </w:p>
        </w:tc>
      </w:tr>
      <w:tr w:rsidR="00E57DAA" w14:paraId="1527987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B614AD" w14:textId="77777777" w:rsidR="00E57DAA" w:rsidRDefault="00AC4185">
            <w:pPr>
              <w:rPr>
                <w:rFonts w:cs="Cambria"/>
                <w:szCs w:val="21"/>
              </w:rPr>
            </w:pPr>
            <w:r>
              <w:t>喀什天山水泥有限责任公司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4743F555" w14:textId="77777777" w:rsidR="00E57DAA" w:rsidRDefault="00AC4185">
            <w:pPr>
              <w:rPr>
                <w:rFonts w:cs="Cambria"/>
                <w:szCs w:val="21"/>
              </w:rPr>
            </w:pPr>
            <w:r>
              <w:t>受同一母公司控制的其他企业</w:t>
            </w:r>
          </w:p>
        </w:tc>
      </w:tr>
      <w:tr w:rsidR="00E57DAA" w14:paraId="7C1E143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10FE39" w14:textId="77777777" w:rsidR="00E57DAA" w:rsidRDefault="00AC4185">
            <w:pPr>
              <w:rPr>
                <w:rFonts w:cs="Cambria"/>
                <w:szCs w:val="21"/>
              </w:rPr>
            </w:pPr>
            <w:r>
              <w:t>克州天山水泥有限责任公司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45F5A740" w14:textId="77777777" w:rsidR="00E57DAA" w:rsidRDefault="00AC4185">
            <w:pPr>
              <w:rPr>
                <w:rFonts w:cs="Cambria"/>
                <w:szCs w:val="21"/>
              </w:rPr>
            </w:pPr>
            <w:r>
              <w:t>受同一母公司控制的其他企业</w:t>
            </w:r>
          </w:p>
        </w:tc>
      </w:tr>
      <w:tr w:rsidR="00E57DAA" w14:paraId="2960BAA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FA9D9C" w14:textId="77777777" w:rsidR="00E57DAA" w:rsidRDefault="00AC4185">
            <w:pPr>
              <w:rPr>
                <w:rFonts w:cs="Cambria"/>
                <w:szCs w:val="21"/>
              </w:rPr>
            </w:pPr>
            <w:r>
              <w:t>库车天山水泥有限责任公司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317D277D" w14:textId="77777777" w:rsidR="00E57DAA" w:rsidRDefault="00AC4185">
            <w:pPr>
              <w:rPr>
                <w:rFonts w:cs="Cambria"/>
                <w:szCs w:val="21"/>
              </w:rPr>
            </w:pPr>
            <w:r>
              <w:t>受同一母公司控制的其他企业</w:t>
            </w:r>
          </w:p>
        </w:tc>
      </w:tr>
      <w:tr w:rsidR="00E57DAA" w14:paraId="38A77DC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E4929E" w14:textId="77777777" w:rsidR="00E57DAA" w:rsidRDefault="00AC4185">
            <w:pPr>
              <w:rPr>
                <w:rFonts w:cs="Cambria"/>
                <w:szCs w:val="21"/>
              </w:rPr>
            </w:pPr>
            <w:r>
              <w:t>兰溪南方水泥有限公司</w:t>
            </w:r>
          </w:p>
        </w:tc>
        <w:tc>
          <w:tcPr>
            <w:tcW w:w="1807" w:type="pct"/>
            <w:tcBorders>
              <w:top w:val="single" w:sz="4" w:space="0" w:color="auto"/>
              <w:left w:val="single" w:sz="4" w:space="0" w:color="auto"/>
              <w:bottom w:val="single" w:sz="4" w:space="0" w:color="auto"/>
              <w:right w:val="single" w:sz="4" w:space="0" w:color="auto"/>
            </w:tcBorders>
          </w:tcPr>
          <w:p w14:paraId="21D9B954" w14:textId="77777777" w:rsidR="00E57DAA" w:rsidRDefault="00AC4185">
            <w:pPr>
              <w:rPr>
                <w:rFonts w:cs="Cambria"/>
                <w:szCs w:val="21"/>
              </w:rPr>
            </w:pPr>
            <w:r>
              <w:t>受同一母公司控制的其他企业</w:t>
            </w:r>
          </w:p>
        </w:tc>
      </w:tr>
      <w:tr w:rsidR="00E57DAA" w14:paraId="2B3E23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91AA05" w14:textId="77777777" w:rsidR="00E57DAA" w:rsidRDefault="00AC4185">
            <w:pPr>
              <w:rPr>
                <w:rFonts w:cs="Cambria"/>
                <w:szCs w:val="21"/>
              </w:rPr>
            </w:pPr>
            <w:r>
              <w:t>兰溪诸葛南方水泥有限公司</w:t>
            </w:r>
          </w:p>
        </w:tc>
        <w:tc>
          <w:tcPr>
            <w:tcW w:w="1807" w:type="pct"/>
            <w:tcBorders>
              <w:top w:val="single" w:sz="4" w:space="0" w:color="auto"/>
              <w:left w:val="single" w:sz="4" w:space="0" w:color="auto"/>
              <w:bottom w:val="single" w:sz="4" w:space="0" w:color="auto"/>
              <w:right w:val="single" w:sz="4" w:space="0" w:color="auto"/>
            </w:tcBorders>
          </w:tcPr>
          <w:p w14:paraId="4B342A0D" w14:textId="77777777" w:rsidR="00E57DAA" w:rsidRDefault="00AC4185">
            <w:pPr>
              <w:rPr>
                <w:rFonts w:cs="Cambria"/>
                <w:szCs w:val="21"/>
              </w:rPr>
            </w:pPr>
            <w:r>
              <w:t>受同一母公司控制的其他企业</w:t>
            </w:r>
          </w:p>
        </w:tc>
      </w:tr>
      <w:tr w:rsidR="00E57DAA" w14:paraId="7C06CC9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DDB82A" w14:textId="77777777" w:rsidR="00E57DAA" w:rsidRDefault="00AC4185">
            <w:pPr>
              <w:rPr>
                <w:rFonts w:cs="Cambria"/>
                <w:szCs w:val="21"/>
              </w:rPr>
            </w:pPr>
            <w:r>
              <w:t>乐昌市中建材水泥有限公司</w:t>
            </w:r>
          </w:p>
        </w:tc>
        <w:tc>
          <w:tcPr>
            <w:tcW w:w="1807" w:type="pct"/>
            <w:tcBorders>
              <w:top w:val="single" w:sz="4" w:space="0" w:color="auto"/>
              <w:left w:val="single" w:sz="4" w:space="0" w:color="auto"/>
              <w:bottom w:val="single" w:sz="4" w:space="0" w:color="auto"/>
              <w:right w:val="single" w:sz="4" w:space="0" w:color="auto"/>
            </w:tcBorders>
          </w:tcPr>
          <w:p w14:paraId="19EEDFA7" w14:textId="77777777" w:rsidR="00E57DAA" w:rsidRDefault="00AC4185">
            <w:pPr>
              <w:rPr>
                <w:rFonts w:cs="Cambria"/>
                <w:szCs w:val="21"/>
              </w:rPr>
            </w:pPr>
            <w:r>
              <w:t>受同一母公司控制的其他企业</w:t>
            </w:r>
          </w:p>
        </w:tc>
      </w:tr>
      <w:tr w:rsidR="00E57DAA" w14:paraId="4EFB5F1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E32B79" w14:textId="77777777" w:rsidR="00E57DAA" w:rsidRDefault="00AC4185">
            <w:pPr>
              <w:rPr>
                <w:rFonts w:cs="Cambria"/>
                <w:szCs w:val="21"/>
              </w:rPr>
            </w:pPr>
            <w:r>
              <w:t>丽江古城西南水泥有限公司</w:t>
            </w:r>
          </w:p>
        </w:tc>
        <w:tc>
          <w:tcPr>
            <w:tcW w:w="1807" w:type="pct"/>
            <w:tcBorders>
              <w:top w:val="single" w:sz="4" w:space="0" w:color="auto"/>
              <w:left w:val="single" w:sz="4" w:space="0" w:color="auto"/>
              <w:bottom w:val="single" w:sz="4" w:space="0" w:color="auto"/>
              <w:right w:val="single" w:sz="4" w:space="0" w:color="auto"/>
            </w:tcBorders>
          </w:tcPr>
          <w:p w14:paraId="45079567" w14:textId="77777777" w:rsidR="00E57DAA" w:rsidRDefault="00AC4185">
            <w:pPr>
              <w:rPr>
                <w:rFonts w:cs="Cambria"/>
                <w:szCs w:val="21"/>
              </w:rPr>
            </w:pPr>
            <w:r>
              <w:t>受同一母公司控制的其他企业</w:t>
            </w:r>
          </w:p>
        </w:tc>
      </w:tr>
      <w:tr w:rsidR="00E57DAA" w14:paraId="0D1530A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7BEAEC" w14:textId="77777777" w:rsidR="00E57DAA" w:rsidRDefault="00AC4185">
            <w:pPr>
              <w:rPr>
                <w:rFonts w:cs="Cambria"/>
                <w:szCs w:val="21"/>
              </w:rPr>
            </w:pPr>
            <w:r>
              <w:t>溧水天山水泥有限公司</w:t>
            </w:r>
          </w:p>
        </w:tc>
        <w:tc>
          <w:tcPr>
            <w:tcW w:w="1807" w:type="pct"/>
            <w:tcBorders>
              <w:top w:val="single" w:sz="4" w:space="0" w:color="auto"/>
              <w:left w:val="single" w:sz="4" w:space="0" w:color="auto"/>
              <w:bottom w:val="single" w:sz="4" w:space="0" w:color="auto"/>
              <w:right w:val="single" w:sz="4" w:space="0" w:color="auto"/>
            </w:tcBorders>
          </w:tcPr>
          <w:p w14:paraId="58F012FC" w14:textId="77777777" w:rsidR="00E57DAA" w:rsidRDefault="00AC4185">
            <w:pPr>
              <w:rPr>
                <w:rFonts w:cs="Cambria"/>
                <w:szCs w:val="21"/>
              </w:rPr>
            </w:pPr>
            <w:r>
              <w:t>受同一母公司控制的其他企业</w:t>
            </w:r>
          </w:p>
        </w:tc>
      </w:tr>
      <w:tr w:rsidR="00E57DAA" w14:paraId="51EC31A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F9429B" w14:textId="77777777" w:rsidR="00E57DAA" w:rsidRDefault="00AC4185">
            <w:pPr>
              <w:rPr>
                <w:rFonts w:cs="Cambria"/>
                <w:szCs w:val="21"/>
              </w:rPr>
            </w:pPr>
            <w:r>
              <w:t>溧阳天山水泥有限公司</w:t>
            </w:r>
          </w:p>
        </w:tc>
        <w:tc>
          <w:tcPr>
            <w:tcW w:w="1807" w:type="pct"/>
            <w:tcBorders>
              <w:top w:val="single" w:sz="4" w:space="0" w:color="auto"/>
              <w:left w:val="single" w:sz="4" w:space="0" w:color="auto"/>
              <w:bottom w:val="single" w:sz="4" w:space="0" w:color="auto"/>
              <w:right w:val="single" w:sz="4" w:space="0" w:color="auto"/>
            </w:tcBorders>
          </w:tcPr>
          <w:p w14:paraId="757CDB0B" w14:textId="77777777" w:rsidR="00E57DAA" w:rsidRDefault="00AC4185">
            <w:pPr>
              <w:rPr>
                <w:rFonts w:cs="Cambria"/>
                <w:szCs w:val="21"/>
              </w:rPr>
            </w:pPr>
            <w:r>
              <w:t>受同一母公司控制的其他企业</w:t>
            </w:r>
          </w:p>
        </w:tc>
      </w:tr>
      <w:tr w:rsidR="00E57DAA" w14:paraId="71BC173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3AA8D0" w14:textId="77777777" w:rsidR="00E57DAA" w:rsidRDefault="00AC4185">
            <w:pPr>
              <w:rPr>
                <w:rFonts w:cs="Cambria"/>
                <w:szCs w:val="21"/>
              </w:rPr>
            </w:pPr>
            <w:r>
              <w:t>连云港中复连众复合材料集团有限公司</w:t>
            </w:r>
          </w:p>
        </w:tc>
        <w:tc>
          <w:tcPr>
            <w:tcW w:w="1807" w:type="pct"/>
            <w:tcBorders>
              <w:top w:val="single" w:sz="4" w:space="0" w:color="auto"/>
              <w:left w:val="single" w:sz="4" w:space="0" w:color="auto"/>
              <w:bottom w:val="single" w:sz="4" w:space="0" w:color="auto"/>
              <w:right w:val="single" w:sz="4" w:space="0" w:color="auto"/>
            </w:tcBorders>
          </w:tcPr>
          <w:p w14:paraId="7E6B3423" w14:textId="77777777" w:rsidR="00E57DAA" w:rsidRDefault="00AC4185">
            <w:pPr>
              <w:rPr>
                <w:rFonts w:cs="Cambria"/>
                <w:szCs w:val="21"/>
              </w:rPr>
            </w:pPr>
            <w:r>
              <w:t>受同一母公司控制的其他企业</w:t>
            </w:r>
          </w:p>
        </w:tc>
      </w:tr>
      <w:tr w:rsidR="00E57DAA" w14:paraId="419AEC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D3F74B" w14:textId="77777777" w:rsidR="00E57DAA" w:rsidRDefault="00AC4185">
            <w:pPr>
              <w:rPr>
                <w:rFonts w:cs="Cambria"/>
                <w:szCs w:val="21"/>
              </w:rPr>
            </w:pPr>
            <w:r>
              <w:t>涟源市金铃建材有限公司</w:t>
            </w:r>
          </w:p>
        </w:tc>
        <w:tc>
          <w:tcPr>
            <w:tcW w:w="1807" w:type="pct"/>
            <w:tcBorders>
              <w:top w:val="single" w:sz="4" w:space="0" w:color="auto"/>
              <w:left w:val="single" w:sz="4" w:space="0" w:color="auto"/>
              <w:bottom w:val="single" w:sz="4" w:space="0" w:color="auto"/>
              <w:right w:val="single" w:sz="4" w:space="0" w:color="auto"/>
            </w:tcBorders>
          </w:tcPr>
          <w:p w14:paraId="79C2CF62" w14:textId="77777777" w:rsidR="00E57DAA" w:rsidRDefault="00AC4185">
            <w:pPr>
              <w:rPr>
                <w:rFonts w:cs="Cambria"/>
                <w:szCs w:val="21"/>
              </w:rPr>
            </w:pPr>
            <w:r>
              <w:t>受同一母公司控制的其他企业</w:t>
            </w:r>
          </w:p>
        </w:tc>
      </w:tr>
      <w:tr w:rsidR="00E57DAA" w14:paraId="3697374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68DA3B" w14:textId="77777777" w:rsidR="00E57DAA" w:rsidRDefault="00AC4185">
            <w:pPr>
              <w:rPr>
                <w:rFonts w:cs="Cambria"/>
                <w:szCs w:val="21"/>
              </w:rPr>
            </w:pPr>
            <w:r>
              <w:t>梁山中联混凝土有限公司</w:t>
            </w:r>
          </w:p>
        </w:tc>
        <w:tc>
          <w:tcPr>
            <w:tcW w:w="1807" w:type="pct"/>
            <w:tcBorders>
              <w:top w:val="single" w:sz="4" w:space="0" w:color="auto"/>
              <w:left w:val="single" w:sz="4" w:space="0" w:color="auto"/>
              <w:bottom w:val="single" w:sz="4" w:space="0" w:color="auto"/>
              <w:right w:val="single" w:sz="4" w:space="0" w:color="auto"/>
            </w:tcBorders>
          </w:tcPr>
          <w:p w14:paraId="2488FE79" w14:textId="77777777" w:rsidR="00E57DAA" w:rsidRDefault="00AC4185">
            <w:pPr>
              <w:rPr>
                <w:rFonts w:cs="Cambria"/>
                <w:szCs w:val="21"/>
              </w:rPr>
            </w:pPr>
            <w:r>
              <w:t>受同一母公司控制的其他企业</w:t>
            </w:r>
          </w:p>
        </w:tc>
      </w:tr>
      <w:tr w:rsidR="00E57DAA" w14:paraId="0FF108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3192E3" w14:textId="77777777" w:rsidR="00E57DAA" w:rsidRDefault="00AC4185">
            <w:pPr>
              <w:rPr>
                <w:rFonts w:cs="Cambria"/>
                <w:szCs w:val="21"/>
              </w:rPr>
            </w:pPr>
            <w:r>
              <w:t>辽源北方水泥有限公司</w:t>
            </w:r>
          </w:p>
        </w:tc>
        <w:tc>
          <w:tcPr>
            <w:tcW w:w="1807" w:type="pct"/>
            <w:tcBorders>
              <w:top w:val="single" w:sz="4" w:space="0" w:color="auto"/>
              <w:left w:val="single" w:sz="4" w:space="0" w:color="auto"/>
              <w:bottom w:val="single" w:sz="4" w:space="0" w:color="auto"/>
              <w:right w:val="single" w:sz="4" w:space="0" w:color="auto"/>
            </w:tcBorders>
          </w:tcPr>
          <w:p w14:paraId="22DCE95B" w14:textId="77777777" w:rsidR="00E57DAA" w:rsidRDefault="00AC4185">
            <w:pPr>
              <w:rPr>
                <w:rFonts w:cs="Cambria"/>
                <w:szCs w:val="21"/>
              </w:rPr>
            </w:pPr>
            <w:r>
              <w:t>受同一母公司控制的其他企业</w:t>
            </w:r>
          </w:p>
        </w:tc>
      </w:tr>
      <w:tr w:rsidR="00E57DAA" w14:paraId="55B11F8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CD45296" w14:textId="77777777" w:rsidR="00E57DAA" w:rsidRDefault="00AC4185">
            <w:pPr>
              <w:rPr>
                <w:rFonts w:cs="Cambria"/>
                <w:szCs w:val="21"/>
              </w:rPr>
            </w:pPr>
            <w:r>
              <w:t>临城中联福石水泥有限公司</w:t>
            </w:r>
          </w:p>
        </w:tc>
        <w:tc>
          <w:tcPr>
            <w:tcW w:w="1807" w:type="pct"/>
            <w:tcBorders>
              <w:top w:val="single" w:sz="4" w:space="0" w:color="auto"/>
              <w:left w:val="single" w:sz="4" w:space="0" w:color="auto"/>
              <w:bottom w:val="single" w:sz="4" w:space="0" w:color="auto"/>
              <w:right w:val="single" w:sz="4" w:space="0" w:color="auto"/>
            </w:tcBorders>
          </w:tcPr>
          <w:p w14:paraId="687117F6" w14:textId="77777777" w:rsidR="00E57DAA" w:rsidRDefault="00AC4185">
            <w:pPr>
              <w:rPr>
                <w:rFonts w:cs="Cambria"/>
                <w:szCs w:val="21"/>
              </w:rPr>
            </w:pPr>
            <w:r>
              <w:t>受同一母公司控制的其他企业</w:t>
            </w:r>
          </w:p>
        </w:tc>
      </w:tr>
      <w:tr w:rsidR="00E57DAA" w14:paraId="219AC2B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13F5E9" w14:textId="77777777" w:rsidR="00E57DAA" w:rsidRDefault="00AC4185">
            <w:pPr>
              <w:rPr>
                <w:rFonts w:cs="Cambria"/>
                <w:szCs w:val="21"/>
              </w:rPr>
            </w:pPr>
            <w:r>
              <w:t>临城中联水泥有限公司</w:t>
            </w:r>
          </w:p>
        </w:tc>
        <w:tc>
          <w:tcPr>
            <w:tcW w:w="1807" w:type="pct"/>
            <w:tcBorders>
              <w:top w:val="single" w:sz="4" w:space="0" w:color="auto"/>
              <w:left w:val="single" w:sz="4" w:space="0" w:color="auto"/>
              <w:bottom w:val="single" w:sz="4" w:space="0" w:color="auto"/>
              <w:right w:val="single" w:sz="4" w:space="0" w:color="auto"/>
            </w:tcBorders>
          </w:tcPr>
          <w:p w14:paraId="23CD9A07" w14:textId="77777777" w:rsidR="00E57DAA" w:rsidRDefault="00AC4185">
            <w:pPr>
              <w:rPr>
                <w:rFonts w:cs="Cambria"/>
                <w:szCs w:val="21"/>
              </w:rPr>
            </w:pPr>
            <w:r>
              <w:t>受同一母公司控制的其他企业</w:t>
            </w:r>
          </w:p>
        </w:tc>
      </w:tr>
      <w:tr w:rsidR="00E57DAA" w14:paraId="2EDF7AE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2D3EA6" w14:textId="77777777" w:rsidR="00E57DAA" w:rsidRDefault="00AC4185">
            <w:pPr>
              <w:rPr>
                <w:rFonts w:cs="Cambria"/>
                <w:szCs w:val="21"/>
              </w:rPr>
            </w:pPr>
            <w:r>
              <w:t>临桂南方水泥有限公司</w:t>
            </w:r>
          </w:p>
        </w:tc>
        <w:tc>
          <w:tcPr>
            <w:tcW w:w="1807" w:type="pct"/>
            <w:tcBorders>
              <w:top w:val="single" w:sz="4" w:space="0" w:color="auto"/>
              <w:left w:val="single" w:sz="4" w:space="0" w:color="auto"/>
              <w:bottom w:val="single" w:sz="4" w:space="0" w:color="auto"/>
              <w:right w:val="single" w:sz="4" w:space="0" w:color="auto"/>
            </w:tcBorders>
          </w:tcPr>
          <w:p w14:paraId="67C9416A" w14:textId="77777777" w:rsidR="00E57DAA" w:rsidRDefault="00AC4185">
            <w:pPr>
              <w:rPr>
                <w:rFonts w:cs="Cambria"/>
                <w:szCs w:val="21"/>
              </w:rPr>
            </w:pPr>
            <w:r>
              <w:t>受同一母公司控制的其他企业</w:t>
            </w:r>
          </w:p>
        </w:tc>
      </w:tr>
      <w:tr w:rsidR="00E57DAA" w14:paraId="543EDD2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7B4311" w14:textId="77777777" w:rsidR="00E57DAA" w:rsidRDefault="00AC4185">
            <w:pPr>
              <w:rPr>
                <w:rFonts w:cs="Cambria"/>
                <w:szCs w:val="21"/>
              </w:rPr>
            </w:pPr>
            <w:r>
              <w:t>临沂中联混凝土有限公司</w:t>
            </w:r>
          </w:p>
        </w:tc>
        <w:tc>
          <w:tcPr>
            <w:tcW w:w="1807" w:type="pct"/>
            <w:tcBorders>
              <w:top w:val="single" w:sz="4" w:space="0" w:color="auto"/>
              <w:left w:val="single" w:sz="4" w:space="0" w:color="auto"/>
              <w:bottom w:val="single" w:sz="4" w:space="0" w:color="auto"/>
              <w:right w:val="single" w:sz="4" w:space="0" w:color="auto"/>
            </w:tcBorders>
          </w:tcPr>
          <w:p w14:paraId="69C8B7C5" w14:textId="77777777" w:rsidR="00E57DAA" w:rsidRDefault="00AC4185">
            <w:pPr>
              <w:rPr>
                <w:rFonts w:cs="Cambria"/>
                <w:szCs w:val="21"/>
              </w:rPr>
            </w:pPr>
            <w:r>
              <w:t>受同一母公司控制的其他企业</w:t>
            </w:r>
          </w:p>
        </w:tc>
      </w:tr>
      <w:tr w:rsidR="00E57DAA" w14:paraId="73C8572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B7F4AC" w14:textId="77777777" w:rsidR="00E57DAA" w:rsidRDefault="00AC4185">
            <w:pPr>
              <w:rPr>
                <w:rFonts w:cs="Cambria"/>
                <w:szCs w:val="21"/>
              </w:rPr>
            </w:pPr>
            <w:r>
              <w:t>临沂中联水泥有限公司</w:t>
            </w:r>
          </w:p>
        </w:tc>
        <w:tc>
          <w:tcPr>
            <w:tcW w:w="1807" w:type="pct"/>
            <w:tcBorders>
              <w:top w:val="single" w:sz="4" w:space="0" w:color="auto"/>
              <w:left w:val="single" w:sz="4" w:space="0" w:color="auto"/>
              <w:bottom w:val="single" w:sz="4" w:space="0" w:color="auto"/>
              <w:right w:val="single" w:sz="4" w:space="0" w:color="auto"/>
            </w:tcBorders>
          </w:tcPr>
          <w:p w14:paraId="4E321E7C" w14:textId="77777777" w:rsidR="00E57DAA" w:rsidRDefault="00AC4185">
            <w:pPr>
              <w:rPr>
                <w:rFonts w:cs="Cambria"/>
                <w:szCs w:val="21"/>
              </w:rPr>
            </w:pPr>
            <w:r>
              <w:t>受同一母公司控制的其他企业</w:t>
            </w:r>
          </w:p>
        </w:tc>
      </w:tr>
      <w:tr w:rsidR="00E57DAA" w14:paraId="1972A21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C39641" w14:textId="77777777" w:rsidR="00E57DAA" w:rsidRDefault="00AC4185">
            <w:pPr>
              <w:rPr>
                <w:rFonts w:cs="Cambria"/>
                <w:szCs w:val="21"/>
              </w:rPr>
            </w:pPr>
            <w:r>
              <w:t>凌源市富源矿业有限责任公司</w:t>
            </w:r>
          </w:p>
        </w:tc>
        <w:tc>
          <w:tcPr>
            <w:tcW w:w="1807" w:type="pct"/>
            <w:tcBorders>
              <w:top w:val="single" w:sz="4" w:space="0" w:color="auto"/>
              <w:left w:val="single" w:sz="4" w:space="0" w:color="auto"/>
              <w:bottom w:val="single" w:sz="4" w:space="0" w:color="auto"/>
              <w:right w:val="single" w:sz="4" w:space="0" w:color="auto"/>
            </w:tcBorders>
          </w:tcPr>
          <w:p w14:paraId="556832D3" w14:textId="77777777" w:rsidR="00E57DAA" w:rsidRDefault="00AC4185">
            <w:pPr>
              <w:rPr>
                <w:rFonts w:cs="Cambria"/>
                <w:szCs w:val="21"/>
              </w:rPr>
            </w:pPr>
            <w:r>
              <w:t>受同一母公司控制的其他企业</w:t>
            </w:r>
          </w:p>
        </w:tc>
      </w:tr>
      <w:tr w:rsidR="00E57DAA" w14:paraId="29B9470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DC22E17" w14:textId="77777777" w:rsidR="00E57DAA" w:rsidRDefault="00AC4185">
            <w:pPr>
              <w:rPr>
                <w:rFonts w:cs="Cambria"/>
                <w:szCs w:val="21"/>
              </w:rPr>
            </w:pPr>
            <w:r>
              <w:t>六安南方水泥有限公司</w:t>
            </w:r>
          </w:p>
        </w:tc>
        <w:tc>
          <w:tcPr>
            <w:tcW w:w="1807" w:type="pct"/>
            <w:tcBorders>
              <w:top w:val="single" w:sz="4" w:space="0" w:color="auto"/>
              <w:left w:val="single" w:sz="4" w:space="0" w:color="auto"/>
              <w:bottom w:val="single" w:sz="4" w:space="0" w:color="auto"/>
              <w:right w:val="single" w:sz="4" w:space="0" w:color="auto"/>
            </w:tcBorders>
          </w:tcPr>
          <w:p w14:paraId="7D6F1659" w14:textId="77777777" w:rsidR="00E57DAA" w:rsidRDefault="00AC4185">
            <w:pPr>
              <w:rPr>
                <w:rFonts w:cs="Cambria"/>
                <w:szCs w:val="21"/>
              </w:rPr>
            </w:pPr>
            <w:r>
              <w:t>受同一母公司控制的其他企业</w:t>
            </w:r>
          </w:p>
        </w:tc>
      </w:tr>
      <w:tr w:rsidR="00E57DAA" w14:paraId="265FEF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E774CC" w14:textId="77777777" w:rsidR="00E57DAA" w:rsidRDefault="00AC4185">
            <w:pPr>
              <w:rPr>
                <w:rFonts w:cs="Cambria"/>
                <w:szCs w:val="21"/>
              </w:rPr>
            </w:pPr>
            <w:r>
              <w:t>龙江北方水泥有限公司</w:t>
            </w:r>
          </w:p>
        </w:tc>
        <w:tc>
          <w:tcPr>
            <w:tcW w:w="1807" w:type="pct"/>
            <w:tcBorders>
              <w:top w:val="single" w:sz="4" w:space="0" w:color="auto"/>
              <w:left w:val="single" w:sz="4" w:space="0" w:color="auto"/>
              <w:bottom w:val="single" w:sz="4" w:space="0" w:color="auto"/>
              <w:right w:val="single" w:sz="4" w:space="0" w:color="auto"/>
            </w:tcBorders>
          </w:tcPr>
          <w:p w14:paraId="21787CFE" w14:textId="77777777" w:rsidR="00E57DAA" w:rsidRDefault="00AC4185">
            <w:pPr>
              <w:rPr>
                <w:rFonts w:cs="Cambria"/>
                <w:szCs w:val="21"/>
              </w:rPr>
            </w:pPr>
            <w:r>
              <w:t>受同一母公司控制的其他企业</w:t>
            </w:r>
          </w:p>
        </w:tc>
      </w:tr>
      <w:tr w:rsidR="00E57DAA" w14:paraId="2897C0B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7A5354" w14:textId="77777777" w:rsidR="00E57DAA" w:rsidRDefault="00AC4185">
            <w:pPr>
              <w:rPr>
                <w:rFonts w:cs="Cambria"/>
                <w:szCs w:val="21"/>
              </w:rPr>
            </w:pPr>
            <w:r>
              <w:t>陇南祁连山水泥有限公司</w:t>
            </w:r>
          </w:p>
        </w:tc>
        <w:tc>
          <w:tcPr>
            <w:tcW w:w="1807" w:type="pct"/>
            <w:tcBorders>
              <w:top w:val="single" w:sz="4" w:space="0" w:color="auto"/>
              <w:left w:val="single" w:sz="4" w:space="0" w:color="auto"/>
              <w:bottom w:val="single" w:sz="4" w:space="0" w:color="auto"/>
              <w:right w:val="single" w:sz="4" w:space="0" w:color="auto"/>
            </w:tcBorders>
          </w:tcPr>
          <w:p w14:paraId="74DBA00B" w14:textId="77777777" w:rsidR="00E57DAA" w:rsidRDefault="00AC4185">
            <w:pPr>
              <w:rPr>
                <w:rFonts w:cs="Cambria"/>
                <w:szCs w:val="21"/>
              </w:rPr>
            </w:pPr>
            <w:r>
              <w:t>受同一母公司控制的其他企业</w:t>
            </w:r>
          </w:p>
        </w:tc>
      </w:tr>
      <w:tr w:rsidR="00E57DAA" w14:paraId="5FCEE79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C98DCA" w14:textId="77777777" w:rsidR="00E57DAA" w:rsidRDefault="00AC4185">
            <w:pPr>
              <w:rPr>
                <w:rFonts w:cs="Cambria"/>
                <w:szCs w:val="21"/>
              </w:rPr>
            </w:pPr>
            <w:r>
              <w:t>鲁南中联水泥有限公司</w:t>
            </w:r>
          </w:p>
        </w:tc>
        <w:tc>
          <w:tcPr>
            <w:tcW w:w="1807" w:type="pct"/>
            <w:tcBorders>
              <w:top w:val="single" w:sz="4" w:space="0" w:color="auto"/>
              <w:left w:val="single" w:sz="4" w:space="0" w:color="auto"/>
              <w:bottom w:val="single" w:sz="4" w:space="0" w:color="auto"/>
              <w:right w:val="single" w:sz="4" w:space="0" w:color="auto"/>
            </w:tcBorders>
          </w:tcPr>
          <w:p w14:paraId="2F515FA4" w14:textId="77777777" w:rsidR="00E57DAA" w:rsidRDefault="00AC4185">
            <w:pPr>
              <w:rPr>
                <w:rFonts w:cs="Cambria"/>
                <w:szCs w:val="21"/>
              </w:rPr>
            </w:pPr>
            <w:r>
              <w:t>受同一母公司控制的其他企业</w:t>
            </w:r>
          </w:p>
        </w:tc>
      </w:tr>
      <w:tr w:rsidR="00E57DAA" w14:paraId="080F8DC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96D9CE" w14:textId="77777777" w:rsidR="00E57DAA" w:rsidRDefault="00AC4185">
            <w:pPr>
              <w:rPr>
                <w:rFonts w:cs="Cambria"/>
                <w:szCs w:val="21"/>
              </w:rPr>
            </w:pPr>
            <w:r>
              <w:t>洛浦天山水泥有限责任公司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792E80C9" w14:textId="77777777" w:rsidR="00E57DAA" w:rsidRDefault="00AC4185">
            <w:pPr>
              <w:rPr>
                <w:rFonts w:cs="Cambria"/>
                <w:szCs w:val="21"/>
              </w:rPr>
            </w:pPr>
            <w:r>
              <w:t>受同一母公司控制的其他企业</w:t>
            </w:r>
          </w:p>
        </w:tc>
      </w:tr>
      <w:tr w:rsidR="00E57DAA" w14:paraId="76F2B43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BE5DA9" w14:textId="77777777" w:rsidR="00E57DAA" w:rsidRDefault="00AC4185">
            <w:pPr>
              <w:rPr>
                <w:rFonts w:cs="Cambria"/>
                <w:szCs w:val="21"/>
              </w:rPr>
            </w:pPr>
            <w:r>
              <w:t>洛阳黄河同力水泥有限责任公司</w:t>
            </w:r>
          </w:p>
        </w:tc>
        <w:tc>
          <w:tcPr>
            <w:tcW w:w="1807" w:type="pct"/>
            <w:tcBorders>
              <w:top w:val="single" w:sz="4" w:space="0" w:color="auto"/>
              <w:left w:val="single" w:sz="4" w:space="0" w:color="auto"/>
              <w:bottom w:val="single" w:sz="4" w:space="0" w:color="auto"/>
              <w:right w:val="single" w:sz="4" w:space="0" w:color="auto"/>
            </w:tcBorders>
          </w:tcPr>
          <w:p w14:paraId="3D1C04D8" w14:textId="77777777" w:rsidR="00E57DAA" w:rsidRDefault="00AC4185">
            <w:pPr>
              <w:rPr>
                <w:rFonts w:cs="Cambria"/>
                <w:szCs w:val="21"/>
              </w:rPr>
            </w:pPr>
            <w:r>
              <w:t>受同一母公司控制的其他企业</w:t>
            </w:r>
          </w:p>
        </w:tc>
      </w:tr>
      <w:tr w:rsidR="00E57DAA" w14:paraId="563E86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F9D6A9" w14:textId="77777777" w:rsidR="00E57DAA" w:rsidRDefault="00AC4185">
            <w:pPr>
              <w:rPr>
                <w:rFonts w:cs="Cambria"/>
                <w:szCs w:val="21"/>
              </w:rPr>
            </w:pPr>
            <w:r>
              <w:t>洛阳中联国展新材料有限公司</w:t>
            </w:r>
          </w:p>
        </w:tc>
        <w:tc>
          <w:tcPr>
            <w:tcW w:w="1807" w:type="pct"/>
            <w:tcBorders>
              <w:top w:val="single" w:sz="4" w:space="0" w:color="auto"/>
              <w:left w:val="single" w:sz="4" w:space="0" w:color="auto"/>
              <w:bottom w:val="single" w:sz="4" w:space="0" w:color="auto"/>
              <w:right w:val="single" w:sz="4" w:space="0" w:color="auto"/>
            </w:tcBorders>
          </w:tcPr>
          <w:p w14:paraId="26AD0250" w14:textId="77777777" w:rsidR="00E57DAA" w:rsidRDefault="00AC4185">
            <w:pPr>
              <w:rPr>
                <w:rFonts w:cs="Cambria"/>
                <w:szCs w:val="21"/>
              </w:rPr>
            </w:pPr>
            <w:r>
              <w:t>受同一母公司控制的其他企业</w:t>
            </w:r>
          </w:p>
        </w:tc>
      </w:tr>
      <w:tr w:rsidR="00E57DAA" w14:paraId="65289C5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7BFF14F" w14:textId="77777777" w:rsidR="00E57DAA" w:rsidRDefault="00AC4185">
            <w:pPr>
              <w:rPr>
                <w:rFonts w:cs="Cambria"/>
                <w:szCs w:val="21"/>
              </w:rPr>
            </w:pPr>
            <w:r>
              <w:t>洛阳中联水泥有限公司</w:t>
            </w:r>
          </w:p>
        </w:tc>
        <w:tc>
          <w:tcPr>
            <w:tcW w:w="1807" w:type="pct"/>
            <w:tcBorders>
              <w:top w:val="single" w:sz="4" w:space="0" w:color="auto"/>
              <w:left w:val="single" w:sz="4" w:space="0" w:color="auto"/>
              <w:bottom w:val="single" w:sz="4" w:space="0" w:color="auto"/>
              <w:right w:val="single" w:sz="4" w:space="0" w:color="auto"/>
            </w:tcBorders>
          </w:tcPr>
          <w:p w14:paraId="59993239" w14:textId="77777777" w:rsidR="00E57DAA" w:rsidRDefault="00AC4185">
            <w:pPr>
              <w:rPr>
                <w:rFonts w:cs="Cambria"/>
                <w:szCs w:val="21"/>
              </w:rPr>
            </w:pPr>
            <w:r>
              <w:t>受同一母公司控制的其他企业</w:t>
            </w:r>
          </w:p>
        </w:tc>
      </w:tr>
      <w:tr w:rsidR="00E57DAA" w14:paraId="6B9309A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024ABC" w14:textId="77777777" w:rsidR="00E57DAA" w:rsidRDefault="00AC4185">
            <w:pPr>
              <w:rPr>
                <w:rFonts w:cs="Cambria"/>
                <w:szCs w:val="21"/>
              </w:rPr>
            </w:pPr>
            <w:r>
              <w:t>梦牌新材料（宁国）有限公司</w:t>
            </w:r>
          </w:p>
        </w:tc>
        <w:tc>
          <w:tcPr>
            <w:tcW w:w="1807" w:type="pct"/>
            <w:tcBorders>
              <w:top w:val="single" w:sz="4" w:space="0" w:color="auto"/>
              <w:left w:val="single" w:sz="4" w:space="0" w:color="auto"/>
              <w:bottom w:val="single" w:sz="4" w:space="0" w:color="auto"/>
              <w:right w:val="single" w:sz="4" w:space="0" w:color="auto"/>
            </w:tcBorders>
          </w:tcPr>
          <w:p w14:paraId="0CF9F0AE" w14:textId="77777777" w:rsidR="00E57DAA" w:rsidRDefault="00AC4185">
            <w:pPr>
              <w:rPr>
                <w:rFonts w:cs="Cambria"/>
                <w:szCs w:val="21"/>
              </w:rPr>
            </w:pPr>
            <w:r>
              <w:t>受同一母公司控制的其他企业</w:t>
            </w:r>
          </w:p>
        </w:tc>
      </w:tr>
      <w:tr w:rsidR="00E57DAA" w14:paraId="1643B03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E5CEE5" w14:textId="77777777" w:rsidR="00E57DAA" w:rsidRDefault="00AC4185">
            <w:pPr>
              <w:rPr>
                <w:rFonts w:cs="Cambria"/>
                <w:szCs w:val="21"/>
              </w:rPr>
            </w:pPr>
            <w:r>
              <w:t>泌阳中联新材料有限公司</w:t>
            </w:r>
          </w:p>
        </w:tc>
        <w:tc>
          <w:tcPr>
            <w:tcW w:w="1807" w:type="pct"/>
            <w:tcBorders>
              <w:top w:val="single" w:sz="4" w:space="0" w:color="auto"/>
              <w:left w:val="single" w:sz="4" w:space="0" w:color="auto"/>
              <w:bottom w:val="single" w:sz="4" w:space="0" w:color="auto"/>
              <w:right w:val="single" w:sz="4" w:space="0" w:color="auto"/>
            </w:tcBorders>
          </w:tcPr>
          <w:p w14:paraId="453ED379" w14:textId="77777777" w:rsidR="00E57DAA" w:rsidRDefault="00AC4185">
            <w:pPr>
              <w:rPr>
                <w:rFonts w:cs="Cambria"/>
                <w:szCs w:val="21"/>
              </w:rPr>
            </w:pPr>
            <w:r>
              <w:t>受同一母公司控制的其他企业</w:t>
            </w:r>
          </w:p>
        </w:tc>
      </w:tr>
      <w:tr w:rsidR="00E57DAA" w14:paraId="679FDA5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CBDDA3" w14:textId="77777777" w:rsidR="00E57DAA" w:rsidRDefault="00AC4185">
            <w:pPr>
              <w:rPr>
                <w:rFonts w:cs="Cambria"/>
                <w:szCs w:val="21"/>
              </w:rPr>
            </w:pPr>
            <w:r>
              <w:t>民和祁连山水泥有限公司</w:t>
            </w:r>
          </w:p>
        </w:tc>
        <w:tc>
          <w:tcPr>
            <w:tcW w:w="1807" w:type="pct"/>
            <w:tcBorders>
              <w:top w:val="single" w:sz="4" w:space="0" w:color="auto"/>
              <w:left w:val="single" w:sz="4" w:space="0" w:color="auto"/>
              <w:bottom w:val="single" w:sz="4" w:space="0" w:color="auto"/>
              <w:right w:val="single" w:sz="4" w:space="0" w:color="auto"/>
            </w:tcBorders>
          </w:tcPr>
          <w:p w14:paraId="51027DC5" w14:textId="77777777" w:rsidR="00E57DAA" w:rsidRDefault="00AC4185">
            <w:pPr>
              <w:rPr>
                <w:rFonts w:cs="Cambria"/>
                <w:szCs w:val="21"/>
              </w:rPr>
            </w:pPr>
            <w:r>
              <w:t>受同一母公司控制的其他企业</w:t>
            </w:r>
          </w:p>
        </w:tc>
      </w:tr>
      <w:tr w:rsidR="00E57DAA" w14:paraId="52D4461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A87108A" w14:textId="77777777" w:rsidR="00E57DAA" w:rsidRDefault="00AC4185">
            <w:pPr>
              <w:rPr>
                <w:rFonts w:cs="Cambria"/>
                <w:szCs w:val="21"/>
              </w:rPr>
            </w:pPr>
            <w:r>
              <w:t>牡丹江北方水泥有限公司</w:t>
            </w:r>
          </w:p>
        </w:tc>
        <w:tc>
          <w:tcPr>
            <w:tcW w:w="1807" w:type="pct"/>
            <w:tcBorders>
              <w:top w:val="single" w:sz="4" w:space="0" w:color="auto"/>
              <w:left w:val="single" w:sz="4" w:space="0" w:color="auto"/>
              <w:bottom w:val="single" w:sz="4" w:space="0" w:color="auto"/>
              <w:right w:val="single" w:sz="4" w:space="0" w:color="auto"/>
            </w:tcBorders>
          </w:tcPr>
          <w:p w14:paraId="2A928A66" w14:textId="77777777" w:rsidR="00E57DAA" w:rsidRDefault="00AC4185">
            <w:pPr>
              <w:rPr>
                <w:rFonts w:cs="Cambria"/>
                <w:szCs w:val="21"/>
              </w:rPr>
            </w:pPr>
            <w:r>
              <w:t>受同一母公司控制的其他企业</w:t>
            </w:r>
          </w:p>
        </w:tc>
      </w:tr>
      <w:tr w:rsidR="00E57DAA" w14:paraId="03A97F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91D4CC" w14:textId="77777777" w:rsidR="00E57DAA" w:rsidRDefault="00AC4185">
            <w:pPr>
              <w:rPr>
                <w:rFonts w:cs="Cambria"/>
                <w:szCs w:val="21"/>
              </w:rPr>
            </w:pPr>
            <w:r>
              <w:lastRenderedPageBreak/>
              <w:t>牡丹江北方远东水泥有限公司</w:t>
            </w:r>
          </w:p>
        </w:tc>
        <w:tc>
          <w:tcPr>
            <w:tcW w:w="1807" w:type="pct"/>
            <w:tcBorders>
              <w:top w:val="single" w:sz="4" w:space="0" w:color="auto"/>
              <w:left w:val="single" w:sz="4" w:space="0" w:color="auto"/>
              <w:bottom w:val="single" w:sz="4" w:space="0" w:color="auto"/>
              <w:right w:val="single" w:sz="4" w:space="0" w:color="auto"/>
            </w:tcBorders>
          </w:tcPr>
          <w:p w14:paraId="599D53ED" w14:textId="77777777" w:rsidR="00E57DAA" w:rsidRDefault="00AC4185">
            <w:pPr>
              <w:rPr>
                <w:rFonts w:cs="Cambria"/>
                <w:szCs w:val="21"/>
              </w:rPr>
            </w:pPr>
            <w:r>
              <w:t>受同一母公司控制的其他企业</w:t>
            </w:r>
          </w:p>
        </w:tc>
      </w:tr>
      <w:tr w:rsidR="00E57DAA" w14:paraId="32CCD51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862690" w14:textId="77777777" w:rsidR="00E57DAA" w:rsidRDefault="00AC4185">
            <w:pPr>
              <w:rPr>
                <w:rFonts w:cs="Cambria"/>
                <w:szCs w:val="21"/>
              </w:rPr>
            </w:pPr>
            <w:r>
              <w:t>南方石墨新材料有限公司</w:t>
            </w:r>
          </w:p>
        </w:tc>
        <w:tc>
          <w:tcPr>
            <w:tcW w:w="1807" w:type="pct"/>
            <w:tcBorders>
              <w:top w:val="single" w:sz="4" w:space="0" w:color="auto"/>
              <w:left w:val="single" w:sz="4" w:space="0" w:color="auto"/>
              <w:bottom w:val="single" w:sz="4" w:space="0" w:color="auto"/>
              <w:right w:val="single" w:sz="4" w:space="0" w:color="auto"/>
            </w:tcBorders>
          </w:tcPr>
          <w:p w14:paraId="6D821782" w14:textId="77777777" w:rsidR="00E57DAA" w:rsidRDefault="00AC4185">
            <w:pPr>
              <w:rPr>
                <w:rFonts w:cs="Cambria"/>
                <w:szCs w:val="21"/>
              </w:rPr>
            </w:pPr>
            <w:r>
              <w:t>受同一母公司控制的其他企业</w:t>
            </w:r>
          </w:p>
        </w:tc>
      </w:tr>
      <w:tr w:rsidR="00E57DAA" w14:paraId="734621F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174E08" w14:textId="77777777" w:rsidR="00E57DAA" w:rsidRDefault="00AC4185">
            <w:pPr>
              <w:rPr>
                <w:rFonts w:cs="Cambria"/>
                <w:szCs w:val="21"/>
              </w:rPr>
            </w:pPr>
            <w:r>
              <w:t>南方新材料科技有限公司</w:t>
            </w:r>
          </w:p>
        </w:tc>
        <w:tc>
          <w:tcPr>
            <w:tcW w:w="1807" w:type="pct"/>
            <w:tcBorders>
              <w:top w:val="single" w:sz="4" w:space="0" w:color="auto"/>
              <w:left w:val="single" w:sz="4" w:space="0" w:color="auto"/>
              <w:bottom w:val="single" w:sz="4" w:space="0" w:color="auto"/>
              <w:right w:val="single" w:sz="4" w:space="0" w:color="auto"/>
            </w:tcBorders>
          </w:tcPr>
          <w:p w14:paraId="54198D14" w14:textId="77777777" w:rsidR="00E57DAA" w:rsidRDefault="00AC4185">
            <w:pPr>
              <w:rPr>
                <w:rFonts w:cs="Cambria"/>
                <w:szCs w:val="21"/>
              </w:rPr>
            </w:pPr>
            <w:r>
              <w:t>受同一母公司控制的其他企业</w:t>
            </w:r>
          </w:p>
        </w:tc>
      </w:tr>
      <w:tr w:rsidR="00E57DAA" w14:paraId="4029D8D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92CC10" w14:textId="77777777" w:rsidR="00E57DAA" w:rsidRDefault="00AC4185">
            <w:pPr>
              <w:rPr>
                <w:rFonts w:cs="Cambria"/>
                <w:szCs w:val="21"/>
              </w:rPr>
            </w:pPr>
            <w:r>
              <w:t>南京玻璃纤维研究设计院有限公司</w:t>
            </w:r>
          </w:p>
        </w:tc>
        <w:tc>
          <w:tcPr>
            <w:tcW w:w="1807" w:type="pct"/>
            <w:tcBorders>
              <w:top w:val="single" w:sz="4" w:space="0" w:color="auto"/>
              <w:left w:val="single" w:sz="4" w:space="0" w:color="auto"/>
              <w:bottom w:val="single" w:sz="4" w:space="0" w:color="auto"/>
              <w:right w:val="single" w:sz="4" w:space="0" w:color="auto"/>
            </w:tcBorders>
          </w:tcPr>
          <w:p w14:paraId="6EAB640A" w14:textId="77777777" w:rsidR="00E57DAA" w:rsidRDefault="00AC4185">
            <w:pPr>
              <w:rPr>
                <w:rFonts w:cs="Cambria"/>
                <w:szCs w:val="21"/>
              </w:rPr>
            </w:pPr>
            <w:r>
              <w:t>受同一母公司控制的其他企业</w:t>
            </w:r>
          </w:p>
        </w:tc>
      </w:tr>
      <w:tr w:rsidR="00E57DAA" w14:paraId="1F65602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7121E7" w14:textId="77777777" w:rsidR="00E57DAA" w:rsidRDefault="00AC4185">
            <w:pPr>
              <w:rPr>
                <w:rFonts w:cs="Cambria"/>
                <w:szCs w:val="21"/>
              </w:rPr>
            </w:pPr>
            <w:r>
              <w:t>南京中联混凝土有限公司</w:t>
            </w:r>
          </w:p>
        </w:tc>
        <w:tc>
          <w:tcPr>
            <w:tcW w:w="1807" w:type="pct"/>
            <w:tcBorders>
              <w:top w:val="single" w:sz="4" w:space="0" w:color="auto"/>
              <w:left w:val="single" w:sz="4" w:space="0" w:color="auto"/>
              <w:bottom w:val="single" w:sz="4" w:space="0" w:color="auto"/>
              <w:right w:val="single" w:sz="4" w:space="0" w:color="auto"/>
            </w:tcBorders>
          </w:tcPr>
          <w:p w14:paraId="2F2E5450" w14:textId="77777777" w:rsidR="00E57DAA" w:rsidRDefault="00AC4185">
            <w:pPr>
              <w:rPr>
                <w:rFonts w:cs="Cambria"/>
                <w:szCs w:val="21"/>
              </w:rPr>
            </w:pPr>
            <w:r>
              <w:t>受同一母公司控制的其他企业</w:t>
            </w:r>
          </w:p>
        </w:tc>
      </w:tr>
      <w:tr w:rsidR="00E57DAA" w14:paraId="496F684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26588A" w14:textId="77777777" w:rsidR="00E57DAA" w:rsidRDefault="00AC4185">
            <w:pPr>
              <w:rPr>
                <w:rFonts w:cs="Cambria"/>
                <w:szCs w:val="21"/>
              </w:rPr>
            </w:pPr>
            <w:r>
              <w:t>南京中联水泥有限公司</w:t>
            </w:r>
          </w:p>
        </w:tc>
        <w:tc>
          <w:tcPr>
            <w:tcW w:w="1807" w:type="pct"/>
            <w:tcBorders>
              <w:top w:val="single" w:sz="4" w:space="0" w:color="auto"/>
              <w:left w:val="single" w:sz="4" w:space="0" w:color="auto"/>
              <w:bottom w:val="single" w:sz="4" w:space="0" w:color="auto"/>
              <w:right w:val="single" w:sz="4" w:space="0" w:color="auto"/>
            </w:tcBorders>
          </w:tcPr>
          <w:p w14:paraId="4D1F6B97" w14:textId="77777777" w:rsidR="00E57DAA" w:rsidRDefault="00AC4185">
            <w:pPr>
              <w:rPr>
                <w:rFonts w:cs="Cambria"/>
                <w:szCs w:val="21"/>
              </w:rPr>
            </w:pPr>
            <w:r>
              <w:t>受同一母公司控制的其他企业</w:t>
            </w:r>
          </w:p>
        </w:tc>
      </w:tr>
      <w:tr w:rsidR="00E57DAA" w14:paraId="0C44239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015A1E" w14:textId="77777777" w:rsidR="00E57DAA" w:rsidRDefault="00AC4185">
            <w:pPr>
              <w:rPr>
                <w:rFonts w:cs="Cambria"/>
                <w:szCs w:val="21"/>
              </w:rPr>
            </w:pPr>
            <w:r>
              <w:t>南阳中联水泥有限公司</w:t>
            </w:r>
          </w:p>
        </w:tc>
        <w:tc>
          <w:tcPr>
            <w:tcW w:w="1807" w:type="pct"/>
            <w:tcBorders>
              <w:top w:val="single" w:sz="4" w:space="0" w:color="auto"/>
              <w:left w:val="single" w:sz="4" w:space="0" w:color="auto"/>
              <w:bottom w:val="single" w:sz="4" w:space="0" w:color="auto"/>
              <w:right w:val="single" w:sz="4" w:space="0" w:color="auto"/>
            </w:tcBorders>
          </w:tcPr>
          <w:p w14:paraId="18EB0C50" w14:textId="77777777" w:rsidR="00E57DAA" w:rsidRDefault="00AC4185">
            <w:pPr>
              <w:rPr>
                <w:rFonts w:cs="Cambria"/>
                <w:szCs w:val="21"/>
              </w:rPr>
            </w:pPr>
            <w:r>
              <w:t>受同一母公司控制的其他企业</w:t>
            </w:r>
          </w:p>
        </w:tc>
      </w:tr>
      <w:tr w:rsidR="00E57DAA" w14:paraId="02DBC8C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1733F9" w14:textId="77777777" w:rsidR="00E57DAA" w:rsidRDefault="00AC4185">
            <w:pPr>
              <w:rPr>
                <w:rFonts w:cs="Cambria"/>
                <w:szCs w:val="21"/>
              </w:rPr>
            </w:pPr>
            <w:r>
              <w:t>南阳中联卧龙水泥有限公司</w:t>
            </w:r>
          </w:p>
        </w:tc>
        <w:tc>
          <w:tcPr>
            <w:tcW w:w="1807" w:type="pct"/>
            <w:tcBorders>
              <w:top w:val="single" w:sz="4" w:space="0" w:color="auto"/>
              <w:left w:val="single" w:sz="4" w:space="0" w:color="auto"/>
              <w:bottom w:val="single" w:sz="4" w:space="0" w:color="auto"/>
              <w:right w:val="single" w:sz="4" w:space="0" w:color="auto"/>
            </w:tcBorders>
          </w:tcPr>
          <w:p w14:paraId="6E31AD8C" w14:textId="77777777" w:rsidR="00E57DAA" w:rsidRDefault="00AC4185">
            <w:pPr>
              <w:rPr>
                <w:rFonts w:cs="Cambria"/>
                <w:szCs w:val="21"/>
              </w:rPr>
            </w:pPr>
            <w:r>
              <w:t>受同一母公司控制的其他企业</w:t>
            </w:r>
          </w:p>
        </w:tc>
      </w:tr>
      <w:tr w:rsidR="00E57DAA" w14:paraId="3951A84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B12F03" w14:textId="77777777" w:rsidR="00E57DAA" w:rsidRDefault="00AC4185">
            <w:pPr>
              <w:rPr>
                <w:rFonts w:cs="Cambria"/>
                <w:szCs w:val="21"/>
              </w:rPr>
            </w:pPr>
            <w:r>
              <w:t>讷河北方水泥有限公司</w:t>
            </w:r>
          </w:p>
        </w:tc>
        <w:tc>
          <w:tcPr>
            <w:tcW w:w="1807" w:type="pct"/>
            <w:tcBorders>
              <w:top w:val="single" w:sz="4" w:space="0" w:color="auto"/>
              <w:left w:val="single" w:sz="4" w:space="0" w:color="auto"/>
              <w:bottom w:val="single" w:sz="4" w:space="0" w:color="auto"/>
              <w:right w:val="single" w:sz="4" w:space="0" w:color="auto"/>
            </w:tcBorders>
          </w:tcPr>
          <w:p w14:paraId="5C6567F2" w14:textId="77777777" w:rsidR="00E57DAA" w:rsidRDefault="00AC4185">
            <w:pPr>
              <w:rPr>
                <w:rFonts w:cs="Cambria"/>
                <w:szCs w:val="21"/>
              </w:rPr>
            </w:pPr>
            <w:r>
              <w:t>受同一母公司控制的其他企业</w:t>
            </w:r>
          </w:p>
        </w:tc>
      </w:tr>
      <w:tr w:rsidR="00E57DAA" w14:paraId="572E94B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B24F58" w14:textId="77777777" w:rsidR="00E57DAA" w:rsidRDefault="00AC4185">
            <w:pPr>
              <w:rPr>
                <w:rFonts w:cs="Cambria"/>
                <w:szCs w:val="21"/>
              </w:rPr>
            </w:pPr>
            <w:r>
              <w:t>宁夏建材集团股份有限公司</w:t>
            </w:r>
          </w:p>
        </w:tc>
        <w:tc>
          <w:tcPr>
            <w:tcW w:w="1807" w:type="pct"/>
            <w:tcBorders>
              <w:top w:val="single" w:sz="4" w:space="0" w:color="auto"/>
              <w:left w:val="single" w:sz="4" w:space="0" w:color="auto"/>
              <w:bottom w:val="single" w:sz="4" w:space="0" w:color="auto"/>
              <w:right w:val="single" w:sz="4" w:space="0" w:color="auto"/>
            </w:tcBorders>
          </w:tcPr>
          <w:p w14:paraId="2F9A8D61" w14:textId="77777777" w:rsidR="00E57DAA" w:rsidRDefault="00AC4185">
            <w:pPr>
              <w:rPr>
                <w:rFonts w:cs="Cambria"/>
                <w:szCs w:val="21"/>
              </w:rPr>
            </w:pPr>
            <w:r>
              <w:t>受同一母公司控制的其他企业</w:t>
            </w:r>
          </w:p>
        </w:tc>
      </w:tr>
      <w:tr w:rsidR="00E57DAA" w14:paraId="454B341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10CC99D" w14:textId="77777777" w:rsidR="00E57DAA" w:rsidRDefault="00AC4185">
            <w:pPr>
              <w:rPr>
                <w:rFonts w:cs="Cambria"/>
                <w:szCs w:val="21"/>
              </w:rPr>
            </w:pPr>
            <w:r>
              <w:t>宁夏青铜峡水泥股份有限公司</w:t>
            </w:r>
          </w:p>
        </w:tc>
        <w:tc>
          <w:tcPr>
            <w:tcW w:w="1807" w:type="pct"/>
            <w:tcBorders>
              <w:top w:val="single" w:sz="4" w:space="0" w:color="auto"/>
              <w:left w:val="single" w:sz="4" w:space="0" w:color="auto"/>
              <w:bottom w:val="single" w:sz="4" w:space="0" w:color="auto"/>
              <w:right w:val="single" w:sz="4" w:space="0" w:color="auto"/>
            </w:tcBorders>
          </w:tcPr>
          <w:p w14:paraId="529F534B" w14:textId="77777777" w:rsidR="00E57DAA" w:rsidRDefault="00AC4185">
            <w:pPr>
              <w:rPr>
                <w:rFonts w:cs="Cambria"/>
                <w:szCs w:val="21"/>
              </w:rPr>
            </w:pPr>
            <w:r>
              <w:t>受同一母公司控制的其他企业</w:t>
            </w:r>
          </w:p>
        </w:tc>
      </w:tr>
      <w:tr w:rsidR="00E57DAA" w14:paraId="76A2F70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1B54DD" w14:textId="77777777" w:rsidR="00E57DAA" w:rsidRDefault="00AC4185">
            <w:pPr>
              <w:rPr>
                <w:rFonts w:cs="Cambria"/>
                <w:szCs w:val="21"/>
              </w:rPr>
            </w:pPr>
            <w:r>
              <w:t>宁夏赛马水泥有限公司</w:t>
            </w:r>
          </w:p>
        </w:tc>
        <w:tc>
          <w:tcPr>
            <w:tcW w:w="1807" w:type="pct"/>
            <w:tcBorders>
              <w:top w:val="single" w:sz="4" w:space="0" w:color="auto"/>
              <w:left w:val="single" w:sz="4" w:space="0" w:color="auto"/>
              <w:bottom w:val="single" w:sz="4" w:space="0" w:color="auto"/>
              <w:right w:val="single" w:sz="4" w:space="0" w:color="auto"/>
            </w:tcBorders>
          </w:tcPr>
          <w:p w14:paraId="409386B0" w14:textId="77777777" w:rsidR="00E57DAA" w:rsidRDefault="00AC4185">
            <w:pPr>
              <w:rPr>
                <w:rFonts w:cs="Cambria"/>
                <w:szCs w:val="21"/>
              </w:rPr>
            </w:pPr>
            <w:r>
              <w:t>受同一母公司控制的其他企业</w:t>
            </w:r>
          </w:p>
        </w:tc>
      </w:tr>
      <w:tr w:rsidR="00E57DAA" w14:paraId="6A49E39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ECF495" w14:textId="77777777" w:rsidR="00E57DAA" w:rsidRDefault="00AC4185">
            <w:pPr>
              <w:rPr>
                <w:rFonts w:cs="Cambria"/>
                <w:szCs w:val="21"/>
              </w:rPr>
            </w:pPr>
            <w:r>
              <w:t>宁夏中宁赛马水泥有限公司</w:t>
            </w:r>
          </w:p>
        </w:tc>
        <w:tc>
          <w:tcPr>
            <w:tcW w:w="1807" w:type="pct"/>
            <w:tcBorders>
              <w:top w:val="single" w:sz="4" w:space="0" w:color="auto"/>
              <w:left w:val="single" w:sz="4" w:space="0" w:color="auto"/>
              <w:bottom w:val="single" w:sz="4" w:space="0" w:color="auto"/>
              <w:right w:val="single" w:sz="4" w:space="0" w:color="auto"/>
            </w:tcBorders>
          </w:tcPr>
          <w:p w14:paraId="716FD4F6" w14:textId="77777777" w:rsidR="00E57DAA" w:rsidRDefault="00AC4185">
            <w:pPr>
              <w:rPr>
                <w:rFonts w:cs="Cambria"/>
                <w:szCs w:val="21"/>
              </w:rPr>
            </w:pPr>
            <w:r>
              <w:t>受同一母公司控制的其他企业</w:t>
            </w:r>
          </w:p>
        </w:tc>
      </w:tr>
      <w:tr w:rsidR="00E57DAA" w14:paraId="1AC7FCB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AD0C5F" w14:textId="77777777" w:rsidR="00E57DAA" w:rsidRDefault="00AC4185">
            <w:pPr>
              <w:rPr>
                <w:rFonts w:cs="Cambria"/>
                <w:szCs w:val="21"/>
              </w:rPr>
            </w:pPr>
            <w:r>
              <w:t>农安北方水泥有限公司</w:t>
            </w:r>
          </w:p>
        </w:tc>
        <w:tc>
          <w:tcPr>
            <w:tcW w:w="1807" w:type="pct"/>
            <w:tcBorders>
              <w:top w:val="single" w:sz="4" w:space="0" w:color="auto"/>
              <w:left w:val="single" w:sz="4" w:space="0" w:color="auto"/>
              <w:bottom w:val="single" w:sz="4" w:space="0" w:color="auto"/>
              <w:right w:val="single" w:sz="4" w:space="0" w:color="auto"/>
            </w:tcBorders>
          </w:tcPr>
          <w:p w14:paraId="1CC05D4C" w14:textId="77777777" w:rsidR="00E57DAA" w:rsidRDefault="00AC4185">
            <w:pPr>
              <w:rPr>
                <w:rFonts w:cs="Cambria"/>
                <w:szCs w:val="21"/>
              </w:rPr>
            </w:pPr>
            <w:r>
              <w:t>受同一母公司控制的其他企业</w:t>
            </w:r>
          </w:p>
        </w:tc>
      </w:tr>
      <w:tr w:rsidR="00E57DAA" w14:paraId="2927797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368C44" w14:textId="77777777" w:rsidR="00E57DAA" w:rsidRDefault="00AC4185">
            <w:pPr>
              <w:rPr>
                <w:rFonts w:cs="Cambria"/>
                <w:szCs w:val="21"/>
              </w:rPr>
            </w:pPr>
            <w:r>
              <w:t>攀枝花攀煤水泥制品有限公司</w:t>
            </w:r>
          </w:p>
        </w:tc>
        <w:tc>
          <w:tcPr>
            <w:tcW w:w="1807" w:type="pct"/>
            <w:tcBorders>
              <w:top w:val="single" w:sz="4" w:space="0" w:color="auto"/>
              <w:left w:val="single" w:sz="4" w:space="0" w:color="auto"/>
              <w:bottom w:val="single" w:sz="4" w:space="0" w:color="auto"/>
              <w:right w:val="single" w:sz="4" w:space="0" w:color="auto"/>
            </w:tcBorders>
          </w:tcPr>
          <w:p w14:paraId="18AFBE62" w14:textId="77777777" w:rsidR="00E57DAA" w:rsidRDefault="00AC4185">
            <w:pPr>
              <w:rPr>
                <w:rFonts w:cs="Cambria"/>
                <w:szCs w:val="21"/>
              </w:rPr>
            </w:pPr>
            <w:r>
              <w:t>受同一母公司控制的其他企业</w:t>
            </w:r>
          </w:p>
        </w:tc>
      </w:tr>
      <w:tr w:rsidR="00E57DAA" w14:paraId="4BCE85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6C799D" w14:textId="77777777" w:rsidR="00E57DAA" w:rsidRDefault="00AC4185">
            <w:pPr>
              <w:rPr>
                <w:rFonts w:cs="Cambria"/>
                <w:szCs w:val="21"/>
              </w:rPr>
            </w:pPr>
            <w:r>
              <w:t>沛县铸本混凝土有限公司</w:t>
            </w:r>
          </w:p>
        </w:tc>
        <w:tc>
          <w:tcPr>
            <w:tcW w:w="1807" w:type="pct"/>
            <w:tcBorders>
              <w:top w:val="single" w:sz="4" w:space="0" w:color="auto"/>
              <w:left w:val="single" w:sz="4" w:space="0" w:color="auto"/>
              <w:bottom w:val="single" w:sz="4" w:space="0" w:color="auto"/>
              <w:right w:val="single" w:sz="4" w:space="0" w:color="auto"/>
            </w:tcBorders>
          </w:tcPr>
          <w:p w14:paraId="5E8267A1" w14:textId="77777777" w:rsidR="00E57DAA" w:rsidRDefault="00AC4185">
            <w:pPr>
              <w:rPr>
                <w:rFonts w:cs="Cambria"/>
                <w:szCs w:val="21"/>
              </w:rPr>
            </w:pPr>
            <w:r>
              <w:t>受同一母公司控制的其他企业</w:t>
            </w:r>
          </w:p>
        </w:tc>
      </w:tr>
      <w:tr w:rsidR="00E57DAA" w14:paraId="0830ED0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E061D6" w14:textId="77777777" w:rsidR="00E57DAA" w:rsidRDefault="00AC4185">
            <w:pPr>
              <w:rPr>
                <w:rFonts w:cs="Cambria"/>
                <w:szCs w:val="21"/>
              </w:rPr>
            </w:pPr>
            <w:r>
              <w:t>平湖南方水泥有限公司</w:t>
            </w:r>
          </w:p>
        </w:tc>
        <w:tc>
          <w:tcPr>
            <w:tcW w:w="1807" w:type="pct"/>
            <w:tcBorders>
              <w:top w:val="single" w:sz="4" w:space="0" w:color="auto"/>
              <w:left w:val="single" w:sz="4" w:space="0" w:color="auto"/>
              <w:bottom w:val="single" w:sz="4" w:space="0" w:color="auto"/>
              <w:right w:val="single" w:sz="4" w:space="0" w:color="auto"/>
            </w:tcBorders>
          </w:tcPr>
          <w:p w14:paraId="57162908" w14:textId="77777777" w:rsidR="00E57DAA" w:rsidRDefault="00AC4185">
            <w:pPr>
              <w:rPr>
                <w:rFonts w:cs="Cambria"/>
                <w:szCs w:val="21"/>
              </w:rPr>
            </w:pPr>
            <w:r>
              <w:t>受同一母公司控制的其他企业</w:t>
            </w:r>
          </w:p>
        </w:tc>
      </w:tr>
      <w:tr w:rsidR="00E57DAA" w14:paraId="20A46F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01E634" w14:textId="77777777" w:rsidR="00E57DAA" w:rsidRDefault="00AC4185">
            <w:pPr>
              <w:rPr>
                <w:rFonts w:cs="Cambria"/>
                <w:szCs w:val="21"/>
              </w:rPr>
            </w:pPr>
            <w:r>
              <w:t>平凉祁连山水泥有限公司</w:t>
            </w:r>
          </w:p>
        </w:tc>
        <w:tc>
          <w:tcPr>
            <w:tcW w:w="1807" w:type="pct"/>
            <w:tcBorders>
              <w:top w:val="single" w:sz="4" w:space="0" w:color="auto"/>
              <w:left w:val="single" w:sz="4" w:space="0" w:color="auto"/>
              <w:bottom w:val="single" w:sz="4" w:space="0" w:color="auto"/>
              <w:right w:val="single" w:sz="4" w:space="0" w:color="auto"/>
            </w:tcBorders>
          </w:tcPr>
          <w:p w14:paraId="5BE94FBA" w14:textId="77777777" w:rsidR="00E57DAA" w:rsidRDefault="00AC4185">
            <w:pPr>
              <w:rPr>
                <w:rFonts w:cs="Cambria"/>
                <w:szCs w:val="21"/>
              </w:rPr>
            </w:pPr>
            <w:r>
              <w:t>受同一母公司控制的其他企业</w:t>
            </w:r>
          </w:p>
        </w:tc>
      </w:tr>
      <w:tr w:rsidR="00E57DAA" w14:paraId="3F258A2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588462" w14:textId="77777777" w:rsidR="00E57DAA" w:rsidRDefault="00AC4185">
            <w:pPr>
              <w:rPr>
                <w:rFonts w:cs="Cambria"/>
                <w:szCs w:val="21"/>
              </w:rPr>
            </w:pPr>
            <w:r>
              <w:t>平邑中联水泥有限公司</w:t>
            </w:r>
          </w:p>
        </w:tc>
        <w:tc>
          <w:tcPr>
            <w:tcW w:w="1807" w:type="pct"/>
            <w:tcBorders>
              <w:top w:val="single" w:sz="4" w:space="0" w:color="auto"/>
              <w:left w:val="single" w:sz="4" w:space="0" w:color="auto"/>
              <w:bottom w:val="single" w:sz="4" w:space="0" w:color="auto"/>
              <w:right w:val="single" w:sz="4" w:space="0" w:color="auto"/>
            </w:tcBorders>
          </w:tcPr>
          <w:p w14:paraId="61DB8FB9" w14:textId="77777777" w:rsidR="00E57DAA" w:rsidRDefault="00AC4185">
            <w:pPr>
              <w:rPr>
                <w:rFonts w:cs="Cambria"/>
                <w:szCs w:val="21"/>
              </w:rPr>
            </w:pPr>
            <w:r>
              <w:t>受同一母公司控制的其他企业</w:t>
            </w:r>
          </w:p>
        </w:tc>
      </w:tr>
      <w:tr w:rsidR="00E57DAA" w14:paraId="23EB74F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3264EC" w14:textId="77777777" w:rsidR="00E57DAA" w:rsidRDefault="00AC4185">
            <w:pPr>
              <w:rPr>
                <w:rFonts w:cs="Cambria"/>
                <w:szCs w:val="21"/>
              </w:rPr>
            </w:pPr>
            <w:r>
              <w:t>濮阳同力建材有限公司</w:t>
            </w:r>
          </w:p>
        </w:tc>
        <w:tc>
          <w:tcPr>
            <w:tcW w:w="1807" w:type="pct"/>
            <w:tcBorders>
              <w:top w:val="single" w:sz="4" w:space="0" w:color="auto"/>
              <w:left w:val="single" w:sz="4" w:space="0" w:color="auto"/>
              <w:bottom w:val="single" w:sz="4" w:space="0" w:color="auto"/>
              <w:right w:val="single" w:sz="4" w:space="0" w:color="auto"/>
            </w:tcBorders>
          </w:tcPr>
          <w:p w14:paraId="0E566849" w14:textId="77777777" w:rsidR="00E57DAA" w:rsidRDefault="00AC4185">
            <w:pPr>
              <w:rPr>
                <w:rFonts w:cs="Cambria"/>
                <w:szCs w:val="21"/>
              </w:rPr>
            </w:pPr>
            <w:r>
              <w:t>受同一母公司控制的其他企业</w:t>
            </w:r>
          </w:p>
        </w:tc>
      </w:tr>
      <w:tr w:rsidR="00E57DAA" w14:paraId="791827E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F3D7CB" w14:textId="77777777" w:rsidR="00E57DAA" w:rsidRDefault="00AC4185">
            <w:pPr>
              <w:rPr>
                <w:rFonts w:cs="Cambria"/>
                <w:szCs w:val="21"/>
              </w:rPr>
            </w:pPr>
            <w:r>
              <w:t>齐齐哈尔市浩源水泥有限责任公司</w:t>
            </w:r>
          </w:p>
        </w:tc>
        <w:tc>
          <w:tcPr>
            <w:tcW w:w="1807" w:type="pct"/>
            <w:tcBorders>
              <w:top w:val="single" w:sz="4" w:space="0" w:color="auto"/>
              <w:left w:val="single" w:sz="4" w:space="0" w:color="auto"/>
              <w:bottom w:val="single" w:sz="4" w:space="0" w:color="auto"/>
              <w:right w:val="single" w:sz="4" w:space="0" w:color="auto"/>
            </w:tcBorders>
          </w:tcPr>
          <w:p w14:paraId="17AA3DF9" w14:textId="77777777" w:rsidR="00E57DAA" w:rsidRDefault="00AC4185">
            <w:pPr>
              <w:rPr>
                <w:rFonts w:cs="Cambria"/>
                <w:szCs w:val="21"/>
              </w:rPr>
            </w:pPr>
            <w:r>
              <w:t>受同一母公司控制的其他企业</w:t>
            </w:r>
          </w:p>
        </w:tc>
      </w:tr>
      <w:tr w:rsidR="00E57DAA" w14:paraId="76C7B68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C0072A" w14:textId="77777777" w:rsidR="00E57DAA" w:rsidRDefault="00AC4185">
            <w:pPr>
              <w:rPr>
                <w:rFonts w:cs="Cambria"/>
                <w:szCs w:val="21"/>
              </w:rPr>
            </w:pPr>
            <w:r>
              <w:t>青岛即墨中联水泥有限公司</w:t>
            </w:r>
          </w:p>
        </w:tc>
        <w:tc>
          <w:tcPr>
            <w:tcW w:w="1807" w:type="pct"/>
            <w:tcBorders>
              <w:top w:val="single" w:sz="4" w:space="0" w:color="auto"/>
              <w:left w:val="single" w:sz="4" w:space="0" w:color="auto"/>
              <w:bottom w:val="single" w:sz="4" w:space="0" w:color="auto"/>
              <w:right w:val="single" w:sz="4" w:space="0" w:color="auto"/>
            </w:tcBorders>
          </w:tcPr>
          <w:p w14:paraId="17DF90EE" w14:textId="77777777" w:rsidR="00E57DAA" w:rsidRDefault="00AC4185">
            <w:pPr>
              <w:rPr>
                <w:rFonts w:cs="Cambria"/>
                <w:szCs w:val="21"/>
              </w:rPr>
            </w:pPr>
            <w:r>
              <w:t>受同一母公司控制的其他企业</w:t>
            </w:r>
          </w:p>
        </w:tc>
      </w:tr>
      <w:tr w:rsidR="00E57DAA" w14:paraId="4012087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B332FC" w14:textId="77777777" w:rsidR="00E57DAA" w:rsidRDefault="00AC4185">
            <w:pPr>
              <w:rPr>
                <w:rFonts w:cs="Cambria"/>
                <w:szCs w:val="21"/>
              </w:rPr>
            </w:pPr>
            <w:r>
              <w:t>青岛中联混凝土工程有限公司</w:t>
            </w:r>
          </w:p>
        </w:tc>
        <w:tc>
          <w:tcPr>
            <w:tcW w:w="1807" w:type="pct"/>
            <w:tcBorders>
              <w:top w:val="single" w:sz="4" w:space="0" w:color="auto"/>
              <w:left w:val="single" w:sz="4" w:space="0" w:color="auto"/>
              <w:bottom w:val="single" w:sz="4" w:space="0" w:color="auto"/>
              <w:right w:val="single" w:sz="4" w:space="0" w:color="auto"/>
            </w:tcBorders>
          </w:tcPr>
          <w:p w14:paraId="03B7DFD1" w14:textId="77777777" w:rsidR="00E57DAA" w:rsidRDefault="00AC4185">
            <w:pPr>
              <w:rPr>
                <w:rFonts w:cs="Cambria"/>
                <w:szCs w:val="21"/>
              </w:rPr>
            </w:pPr>
            <w:r>
              <w:t>受同一母公司控制的其他企业</w:t>
            </w:r>
          </w:p>
        </w:tc>
      </w:tr>
      <w:tr w:rsidR="00E57DAA" w14:paraId="71492DD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DC08F7" w14:textId="77777777" w:rsidR="00E57DAA" w:rsidRDefault="00AC4185">
            <w:pPr>
              <w:rPr>
                <w:rFonts w:cs="Cambria"/>
                <w:szCs w:val="21"/>
              </w:rPr>
            </w:pPr>
            <w:r>
              <w:t>青海祁连山水泥有限公司</w:t>
            </w:r>
          </w:p>
        </w:tc>
        <w:tc>
          <w:tcPr>
            <w:tcW w:w="1807" w:type="pct"/>
            <w:tcBorders>
              <w:top w:val="single" w:sz="4" w:space="0" w:color="auto"/>
              <w:left w:val="single" w:sz="4" w:space="0" w:color="auto"/>
              <w:bottom w:val="single" w:sz="4" w:space="0" w:color="auto"/>
              <w:right w:val="single" w:sz="4" w:space="0" w:color="auto"/>
            </w:tcBorders>
          </w:tcPr>
          <w:p w14:paraId="2A509AA3" w14:textId="77777777" w:rsidR="00E57DAA" w:rsidRDefault="00AC4185">
            <w:pPr>
              <w:rPr>
                <w:rFonts w:cs="Cambria"/>
                <w:szCs w:val="21"/>
              </w:rPr>
            </w:pPr>
            <w:r>
              <w:t>受同一母公司控制的其他企业</w:t>
            </w:r>
          </w:p>
        </w:tc>
      </w:tr>
      <w:tr w:rsidR="00E57DAA" w14:paraId="01014A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6F7329" w14:textId="77777777" w:rsidR="00E57DAA" w:rsidRDefault="00AC4185">
            <w:pPr>
              <w:rPr>
                <w:rFonts w:cs="Cambria"/>
                <w:szCs w:val="21"/>
              </w:rPr>
            </w:pPr>
            <w:r>
              <w:t>青州中联水泥有限公司</w:t>
            </w:r>
          </w:p>
        </w:tc>
        <w:tc>
          <w:tcPr>
            <w:tcW w:w="1807" w:type="pct"/>
            <w:tcBorders>
              <w:top w:val="single" w:sz="4" w:space="0" w:color="auto"/>
              <w:left w:val="single" w:sz="4" w:space="0" w:color="auto"/>
              <w:bottom w:val="single" w:sz="4" w:space="0" w:color="auto"/>
              <w:right w:val="single" w:sz="4" w:space="0" w:color="auto"/>
            </w:tcBorders>
          </w:tcPr>
          <w:p w14:paraId="11A1A345" w14:textId="77777777" w:rsidR="00E57DAA" w:rsidRDefault="00AC4185">
            <w:pPr>
              <w:rPr>
                <w:rFonts w:cs="Cambria"/>
                <w:szCs w:val="21"/>
              </w:rPr>
            </w:pPr>
            <w:r>
              <w:t>受同一母公司控制的其他企业</w:t>
            </w:r>
          </w:p>
        </w:tc>
      </w:tr>
      <w:tr w:rsidR="00E57DAA" w14:paraId="68726EF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9253C8" w14:textId="77777777" w:rsidR="00E57DAA" w:rsidRDefault="00AC4185">
            <w:pPr>
              <w:rPr>
                <w:rFonts w:cs="Cambria"/>
                <w:szCs w:val="21"/>
              </w:rPr>
            </w:pPr>
            <w:r>
              <w:t>曲阜中联混凝土有限公司</w:t>
            </w:r>
          </w:p>
        </w:tc>
        <w:tc>
          <w:tcPr>
            <w:tcW w:w="1807" w:type="pct"/>
            <w:tcBorders>
              <w:top w:val="single" w:sz="4" w:space="0" w:color="auto"/>
              <w:left w:val="single" w:sz="4" w:space="0" w:color="auto"/>
              <w:bottom w:val="single" w:sz="4" w:space="0" w:color="auto"/>
              <w:right w:val="single" w:sz="4" w:space="0" w:color="auto"/>
            </w:tcBorders>
          </w:tcPr>
          <w:p w14:paraId="6DA4DB00" w14:textId="77777777" w:rsidR="00E57DAA" w:rsidRDefault="00AC4185">
            <w:pPr>
              <w:rPr>
                <w:rFonts w:cs="Cambria"/>
                <w:szCs w:val="21"/>
              </w:rPr>
            </w:pPr>
            <w:r>
              <w:t>受同一母公司控制的其他企业</w:t>
            </w:r>
          </w:p>
        </w:tc>
      </w:tr>
      <w:tr w:rsidR="00E57DAA" w14:paraId="31BB672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17175A" w14:textId="77777777" w:rsidR="00E57DAA" w:rsidRDefault="00AC4185">
            <w:pPr>
              <w:rPr>
                <w:rFonts w:cs="Cambria"/>
                <w:szCs w:val="21"/>
              </w:rPr>
            </w:pPr>
            <w:r>
              <w:t>曲阜中联水泥有限公司</w:t>
            </w:r>
          </w:p>
        </w:tc>
        <w:tc>
          <w:tcPr>
            <w:tcW w:w="1807" w:type="pct"/>
            <w:tcBorders>
              <w:top w:val="single" w:sz="4" w:space="0" w:color="auto"/>
              <w:left w:val="single" w:sz="4" w:space="0" w:color="auto"/>
              <w:bottom w:val="single" w:sz="4" w:space="0" w:color="auto"/>
              <w:right w:val="single" w:sz="4" w:space="0" w:color="auto"/>
            </w:tcBorders>
          </w:tcPr>
          <w:p w14:paraId="55E79E94" w14:textId="77777777" w:rsidR="00E57DAA" w:rsidRDefault="00AC4185">
            <w:pPr>
              <w:rPr>
                <w:rFonts w:cs="Cambria"/>
                <w:szCs w:val="21"/>
              </w:rPr>
            </w:pPr>
            <w:r>
              <w:t>受同一母公司控制的其他企业</w:t>
            </w:r>
          </w:p>
        </w:tc>
      </w:tr>
      <w:tr w:rsidR="00E57DAA" w14:paraId="3B95864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717019" w14:textId="77777777" w:rsidR="00E57DAA" w:rsidRDefault="00AC4185">
            <w:pPr>
              <w:rPr>
                <w:rFonts w:cs="Cambria"/>
                <w:szCs w:val="21"/>
              </w:rPr>
            </w:pPr>
            <w:r>
              <w:t>曲靖市宣威宇恒水泥有限公司</w:t>
            </w:r>
          </w:p>
        </w:tc>
        <w:tc>
          <w:tcPr>
            <w:tcW w:w="1807" w:type="pct"/>
            <w:tcBorders>
              <w:top w:val="single" w:sz="4" w:space="0" w:color="auto"/>
              <w:left w:val="single" w:sz="4" w:space="0" w:color="auto"/>
              <w:bottom w:val="single" w:sz="4" w:space="0" w:color="auto"/>
              <w:right w:val="single" w:sz="4" w:space="0" w:color="auto"/>
            </w:tcBorders>
          </w:tcPr>
          <w:p w14:paraId="03E677FB" w14:textId="77777777" w:rsidR="00E57DAA" w:rsidRDefault="00AC4185">
            <w:pPr>
              <w:rPr>
                <w:rFonts w:cs="Cambria"/>
                <w:szCs w:val="21"/>
              </w:rPr>
            </w:pPr>
            <w:r>
              <w:t>受同一母公司控制的其他企业</w:t>
            </w:r>
          </w:p>
        </w:tc>
      </w:tr>
      <w:tr w:rsidR="00E57DAA" w14:paraId="70096F6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4CAD60" w14:textId="77777777" w:rsidR="00E57DAA" w:rsidRDefault="00AC4185">
            <w:pPr>
              <w:rPr>
                <w:rFonts w:cs="Cambria"/>
                <w:szCs w:val="21"/>
              </w:rPr>
            </w:pPr>
            <w:r>
              <w:t>衢州南方水泥有限公司</w:t>
            </w:r>
          </w:p>
        </w:tc>
        <w:tc>
          <w:tcPr>
            <w:tcW w:w="1807" w:type="pct"/>
            <w:tcBorders>
              <w:top w:val="single" w:sz="4" w:space="0" w:color="auto"/>
              <w:left w:val="single" w:sz="4" w:space="0" w:color="auto"/>
              <w:bottom w:val="single" w:sz="4" w:space="0" w:color="auto"/>
              <w:right w:val="single" w:sz="4" w:space="0" w:color="auto"/>
            </w:tcBorders>
          </w:tcPr>
          <w:p w14:paraId="02A43171" w14:textId="77777777" w:rsidR="00E57DAA" w:rsidRDefault="00AC4185">
            <w:pPr>
              <w:rPr>
                <w:rFonts w:cs="Cambria"/>
                <w:szCs w:val="21"/>
              </w:rPr>
            </w:pPr>
            <w:r>
              <w:t>受同一母公司控制的其他企业</w:t>
            </w:r>
          </w:p>
        </w:tc>
      </w:tr>
      <w:tr w:rsidR="00E57DAA" w14:paraId="229F990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029FFA" w14:textId="77777777" w:rsidR="00E57DAA" w:rsidRDefault="00AC4185">
            <w:pPr>
              <w:rPr>
                <w:rFonts w:cs="Cambria"/>
                <w:szCs w:val="21"/>
              </w:rPr>
            </w:pPr>
            <w:r>
              <w:t>日照中联港口水泥有限公司</w:t>
            </w:r>
          </w:p>
        </w:tc>
        <w:tc>
          <w:tcPr>
            <w:tcW w:w="1807" w:type="pct"/>
            <w:tcBorders>
              <w:top w:val="single" w:sz="4" w:space="0" w:color="auto"/>
              <w:left w:val="single" w:sz="4" w:space="0" w:color="auto"/>
              <w:bottom w:val="single" w:sz="4" w:space="0" w:color="auto"/>
              <w:right w:val="single" w:sz="4" w:space="0" w:color="auto"/>
            </w:tcBorders>
          </w:tcPr>
          <w:p w14:paraId="40C00C2B" w14:textId="77777777" w:rsidR="00E57DAA" w:rsidRDefault="00AC4185">
            <w:pPr>
              <w:rPr>
                <w:rFonts w:cs="Cambria"/>
                <w:szCs w:val="21"/>
              </w:rPr>
            </w:pPr>
            <w:r>
              <w:t>受同一母公司控制的其他企业</w:t>
            </w:r>
          </w:p>
        </w:tc>
      </w:tr>
      <w:tr w:rsidR="00E57DAA" w14:paraId="4FD939C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BD647F" w14:textId="77777777" w:rsidR="00E57DAA" w:rsidRDefault="00AC4185">
            <w:pPr>
              <w:rPr>
                <w:rFonts w:cs="Cambria"/>
                <w:szCs w:val="21"/>
              </w:rPr>
            </w:pPr>
            <w:r>
              <w:t>瑞昌市廊道运输有限公司</w:t>
            </w:r>
          </w:p>
        </w:tc>
        <w:tc>
          <w:tcPr>
            <w:tcW w:w="1807" w:type="pct"/>
            <w:tcBorders>
              <w:top w:val="single" w:sz="4" w:space="0" w:color="auto"/>
              <w:left w:val="single" w:sz="4" w:space="0" w:color="auto"/>
              <w:bottom w:val="single" w:sz="4" w:space="0" w:color="auto"/>
              <w:right w:val="single" w:sz="4" w:space="0" w:color="auto"/>
            </w:tcBorders>
          </w:tcPr>
          <w:p w14:paraId="7FC5519F" w14:textId="77777777" w:rsidR="00E57DAA" w:rsidRDefault="00AC4185">
            <w:pPr>
              <w:rPr>
                <w:rFonts w:cs="Cambria"/>
                <w:szCs w:val="21"/>
              </w:rPr>
            </w:pPr>
            <w:r>
              <w:t>受同一母公司控制的其他企业</w:t>
            </w:r>
          </w:p>
        </w:tc>
      </w:tr>
      <w:tr w:rsidR="00E57DAA" w14:paraId="7169CED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8A21E4" w14:textId="77777777" w:rsidR="00E57DAA" w:rsidRDefault="00AC4185">
            <w:pPr>
              <w:rPr>
                <w:rFonts w:cs="Cambria"/>
                <w:szCs w:val="21"/>
              </w:rPr>
            </w:pPr>
            <w:r>
              <w:t>若羌天山水泥有限责任公司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5D43142C" w14:textId="77777777" w:rsidR="00E57DAA" w:rsidRDefault="00AC4185">
            <w:pPr>
              <w:rPr>
                <w:rFonts w:cs="Cambria"/>
                <w:szCs w:val="21"/>
              </w:rPr>
            </w:pPr>
            <w:r>
              <w:t>受同一母公司控制的其他企业</w:t>
            </w:r>
          </w:p>
        </w:tc>
      </w:tr>
      <w:tr w:rsidR="00E57DAA" w14:paraId="31C4447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314622" w14:textId="77777777" w:rsidR="00E57DAA" w:rsidRDefault="00AC4185">
            <w:pPr>
              <w:rPr>
                <w:rFonts w:cs="Cambria"/>
                <w:szCs w:val="21"/>
              </w:rPr>
            </w:pPr>
            <w:r>
              <w:t>赛马物联科技（宁夏）有限公司</w:t>
            </w:r>
          </w:p>
        </w:tc>
        <w:tc>
          <w:tcPr>
            <w:tcW w:w="1807" w:type="pct"/>
            <w:tcBorders>
              <w:top w:val="single" w:sz="4" w:space="0" w:color="auto"/>
              <w:left w:val="single" w:sz="4" w:space="0" w:color="auto"/>
              <w:bottom w:val="single" w:sz="4" w:space="0" w:color="auto"/>
              <w:right w:val="single" w:sz="4" w:space="0" w:color="auto"/>
            </w:tcBorders>
          </w:tcPr>
          <w:p w14:paraId="145C3E07" w14:textId="77777777" w:rsidR="00E57DAA" w:rsidRDefault="00AC4185">
            <w:pPr>
              <w:rPr>
                <w:rFonts w:cs="Cambria"/>
                <w:szCs w:val="21"/>
              </w:rPr>
            </w:pPr>
            <w:r>
              <w:t>受同一母公司控制的其他企业</w:t>
            </w:r>
          </w:p>
        </w:tc>
      </w:tr>
      <w:tr w:rsidR="00E57DAA" w14:paraId="1103E9E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82B935" w14:textId="77777777" w:rsidR="00E57DAA" w:rsidRDefault="00AC4185">
            <w:pPr>
              <w:rPr>
                <w:rFonts w:cs="Cambria"/>
                <w:szCs w:val="21"/>
              </w:rPr>
            </w:pPr>
            <w:r>
              <w:t>三门峡腾跃同力水泥有限公司</w:t>
            </w:r>
          </w:p>
        </w:tc>
        <w:tc>
          <w:tcPr>
            <w:tcW w:w="1807" w:type="pct"/>
            <w:tcBorders>
              <w:top w:val="single" w:sz="4" w:space="0" w:color="auto"/>
              <w:left w:val="single" w:sz="4" w:space="0" w:color="auto"/>
              <w:bottom w:val="single" w:sz="4" w:space="0" w:color="auto"/>
              <w:right w:val="single" w:sz="4" w:space="0" w:color="auto"/>
            </w:tcBorders>
          </w:tcPr>
          <w:p w14:paraId="1F080065" w14:textId="77777777" w:rsidR="00E57DAA" w:rsidRDefault="00AC4185">
            <w:pPr>
              <w:rPr>
                <w:rFonts w:cs="Cambria"/>
                <w:szCs w:val="21"/>
              </w:rPr>
            </w:pPr>
            <w:r>
              <w:t>受同一母公司控制的其他企业</w:t>
            </w:r>
          </w:p>
        </w:tc>
      </w:tr>
      <w:tr w:rsidR="00E57DAA" w14:paraId="176967C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2FFF47" w14:textId="77777777" w:rsidR="00E57DAA" w:rsidRDefault="00AC4185">
            <w:pPr>
              <w:rPr>
                <w:rFonts w:cs="Cambria"/>
                <w:szCs w:val="21"/>
              </w:rPr>
            </w:pPr>
            <w:r>
              <w:t>沙湾天山水泥有限责任公司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72613CE1" w14:textId="77777777" w:rsidR="00E57DAA" w:rsidRDefault="00AC4185">
            <w:pPr>
              <w:rPr>
                <w:rFonts w:cs="Cambria"/>
                <w:szCs w:val="21"/>
              </w:rPr>
            </w:pPr>
            <w:r>
              <w:t>受同一母公司控制的其他企业</w:t>
            </w:r>
          </w:p>
        </w:tc>
      </w:tr>
      <w:tr w:rsidR="00E57DAA" w14:paraId="5C24B4F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BEB6ED" w14:textId="77777777" w:rsidR="00E57DAA" w:rsidRDefault="00AC4185">
            <w:pPr>
              <w:rPr>
                <w:rFonts w:cs="Cambria"/>
                <w:szCs w:val="21"/>
              </w:rPr>
            </w:pPr>
            <w:r>
              <w:t>厦门艾思欧标准砂有限公司</w:t>
            </w:r>
          </w:p>
        </w:tc>
        <w:tc>
          <w:tcPr>
            <w:tcW w:w="1807" w:type="pct"/>
            <w:tcBorders>
              <w:top w:val="single" w:sz="4" w:space="0" w:color="auto"/>
              <w:left w:val="single" w:sz="4" w:space="0" w:color="auto"/>
              <w:bottom w:val="single" w:sz="4" w:space="0" w:color="auto"/>
              <w:right w:val="single" w:sz="4" w:space="0" w:color="auto"/>
            </w:tcBorders>
          </w:tcPr>
          <w:p w14:paraId="4C7C6B14" w14:textId="77777777" w:rsidR="00E57DAA" w:rsidRDefault="00AC4185">
            <w:pPr>
              <w:rPr>
                <w:rFonts w:cs="Cambria"/>
                <w:szCs w:val="21"/>
              </w:rPr>
            </w:pPr>
            <w:r>
              <w:t>受同一母公司控制的其他企业</w:t>
            </w:r>
          </w:p>
        </w:tc>
      </w:tr>
      <w:tr w:rsidR="00E57DAA" w14:paraId="4A75C39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3EFAEA" w14:textId="77777777" w:rsidR="00E57DAA" w:rsidRDefault="00AC4185">
            <w:pPr>
              <w:rPr>
                <w:rFonts w:cs="Cambria"/>
                <w:szCs w:val="21"/>
              </w:rPr>
            </w:pPr>
            <w:r>
              <w:t>山东临沂山琦矿业有限公司</w:t>
            </w:r>
          </w:p>
        </w:tc>
        <w:tc>
          <w:tcPr>
            <w:tcW w:w="1807" w:type="pct"/>
            <w:tcBorders>
              <w:top w:val="single" w:sz="4" w:space="0" w:color="auto"/>
              <w:left w:val="single" w:sz="4" w:space="0" w:color="auto"/>
              <w:bottom w:val="single" w:sz="4" w:space="0" w:color="auto"/>
              <w:right w:val="single" w:sz="4" w:space="0" w:color="auto"/>
            </w:tcBorders>
          </w:tcPr>
          <w:p w14:paraId="162CA9AB" w14:textId="77777777" w:rsidR="00E57DAA" w:rsidRDefault="00AC4185">
            <w:pPr>
              <w:rPr>
                <w:rFonts w:cs="Cambria"/>
                <w:szCs w:val="21"/>
              </w:rPr>
            </w:pPr>
            <w:r>
              <w:t>受同一母公司控制的其他企业</w:t>
            </w:r>
          </w:p>
        </w:tc>
      </w:tr>
      <w:tr w:rsidR="00E57DAA" w14:paraId="799E6C6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DE243F" w14:textId="77777777" w:rsidR="00E57DAA" w:rsidRDefault="00AC4185">
            <w:pPr>
              <w:rPr>
                <w:rFonts w:cs="Cambria"/>
                <w:szCs w:val="21"/>
              </w:rPr>
            </w:pPr>
            <w:r>
              <w:t>山东鲁南泰山石膏有限公司</w:t>
            </w:r>
          </w:p>
        </w:tc>
        <w:tc>
          <w:tcPr>
            <w:tcW w:w="1807" w:type="pct"/>
            <w:tcBorders>
              <w:top w:val="single" w:sz="4" w:space="0" w:color="auto"/>
              <w:left w:val="single" w:sz="4" w:space="0" w:color="auto"/>
              <w:bottom w:val="single" w:sz="4" w:space="0" w:color="auto"/>
              <w:right w:val="single" w:sz="4" w:space="0" w:color="auto"/>
            </w:tcBorders>
          </w:tcPr>
          <w:p w14:paraId="3F213FEE" w14:textId="77777777" w:rsidR="00E57DAA" w:rsidRDefault="00AC4185">
            <w:pPr>
              <w:rPr>
                <w:rFonts w:cs="Cambria"/>
                <w:szCs w:val="21"/>
              </w:rPr>
            </w:pPr>
            <w:r>
              <w:t>受同一母公司控制的其他企业</w:t>
            </w:r>
          </w:p>
        </w:tc>
      </w:tr>
      <w:tr w:rsidR="00E57DAA" w14:paraId="17BB75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B13DDA" w14:textId="77777777" w:rsidR="00E57DAA" w:rsidRDefault="00AC4185">
            <w:pPr>
              <w:rPr>
                <w:rFonts w:cs="Cambria"/>
                <w:szCs w:val="21"/>
              </w:rPr>
            </w:pPr>
            <w:r>
              <w:t>上海宝山南方水泥有限公司</w:t>
            </w:r>
          </w:p>
        </w:tc>
        <w:tc>
          <w:tcPr>
            <w:tcW w:w="1807" w:type="pct"/>
            <w:tcBorders>
              <w:top w:val="single" w:sz="4" w:space="0" w:color="auto"/>
              <w:left w:val="single" w:sz="4" w:space="0" w:color="auto"/>
              <w:bottom w:val="single" w:sz="4" w:space="0" w:color="auto"/>
              <w:right w:val="single" w:sz="4" w:space="0" w:color="auto"/>
            </w:tcBorders>
          </w:tcPr>
          <w:p w14:paraId="239EA20C" w14:textId="77777777" w:rsidR="00E57DAA" w:rsidRDefault="00AC4185">
            <w:pPr>
              <w:rPr>
                <w:rFonts w:cs="Cambria"/>
                <w:szCs w:val="21"/>
              </w:rPr>
            </w:pPr>
            <w:r>
              <w:t>受同一母公司控制的其他企业</w:t>
            </w:r>
          </w:p>
        </w:tc>
      </w:tr>
      <w:tr w:rsidR="00E57DAA" w14:paraId="05FF68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9CA870" w14:textId="77777777" w:rsidR="00E57DAA" w:rsidRDefault="00AC4185">
            <w:pPr>
              <w:rPr>
                <w:rFonts w:cs="Cambria"/>
                <w:szCs w:val="21"/>
              </w:rPr>
            </w:pPr>
            <w:r>
              <w:t>上海金山南方水泥有限公司</w:t>
            </w:r>
          </w:p>
        </w:tc>
        <w:tc>
          <w:tcPr>
            <w:tcW w:w="1807" w:type="pct"/>
            <w:tcBorders>
              <w:top w:val="single" w:sz="4" w:space="0" w:color="auto"/>
              <w:left w:val="single" w:sz="4" w:space="0" w:color="auto"/>
              <w:bottom w:val="single" w:sz="4" w:space="0" w:color="auto"/>
              <w:right w:val="single" w:sz="4" w:space="0" w:color="auto"/>
            </w:tcBorders>
          </w:tcPr>
          <w:p w14:paraId="4DF68955" w14:textId="77777777" w:rsidR="00E57DAA" w:rsidRDefault="00AC4185">
            <w:pPr>
              <w:rPr>
                <w:rFonts w:cs="Cambria"/>
                <w:szCs w:val="21"/>
              </w:rPr>
            </w:pPr>
            <w:r>
              <w:t>受同一母公司控制的其他企业</w:t>
            </w:r>
          </w:p>
        </w:tc>
      </w:tr>
      <w:tr w:rsidR="00E57DAA" w14:paraId="495D277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245DE4F" w14:textId="77777777" w:rsidR="00E57DAA" w:rsidRDefault="00AC4185">
            <w:pPr>
              <w:rPr>
                <w:rFonts w:cs="Cambria"/>
                <w:szCs w:val="21"/>
              </w:rPr>
            </w:pPr>
            <w:r>
              <w:t>上海南方水泥有限公司</w:t>
            </w:r>
          </w:p>
        </w:tc>
        <w:tc>
          <w:tcPr>
            <w:tcW w:w="1807" w:type="pct"/>
            <w:tcBorders>
              <w:top w:val="single" w:sz="4" w:space="0" w:color="auto"/>
              <w:left w:val="single" w:sz="4" w:space="0" w:color="auto"/>
              <w:bottom w:val="single" w:sz="4" w:space="0" w:color="auto"/>
              <w:right w:val="single" w:sz="4" w:space="0" w:color="auto"/>
            </w:tcBorders>
          </w:tcPr>
          <w:p w14:paraId="3D6E3E69" w14:textId="77777777" w:rsidR="00E57DAA" w:rsidRDefault="00AC4185">
            <w:pPr>
              <w:rPr>
                <w:rFonts w:cs="Cambria"/>
                <w:szCs w:val="21"/>
              </w:rPr>
            </w:pPr>
            <w:r>
              <w:t>受同一母公司控制的其他企业</w:t>
            </w:r>
          </w:p>
        </w:tc>
      </w:tr>
      <w:tr w:rsidR="00E57DAA" w14:paraId="5C2B968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BF306F" w14:textId="77777777" w:rsidR="00E57DAA" w:rsidRDefault="00AC4185">
            <w:pPr>
              <w:rPr>
                <w:rFonts w:cs="Cambria"/>
                <w:szCs w:val="21"/>
              </w:rPr>
            </w:pPr>
            <w:r>
              <w:t>上海张堰南方水泥有限公司</w:t>
            </w:r>
          </w:p>
        </w:tc>
        <w:tc>
          <w:tcPr>
            <w:tcW w:w="1807" w:type="pct"/>
            <w:tcBorders>
              <w:top w:val="single" w:sz="4" w:space="0" w:color="auto"/>
              <w:left w:val="single" w:sz="4" w:space="0" w:color="auto"/>
              <w:bottom w:val="single" w:sz="4" w:space="0" w:color="auto"/>
              <w:right w:val="single" w:sz="4" w:space="0" w:color="auto"/>
            </w:tcBorders>
          </w:tcPr>
          <w:p w14:paraId="62B1DB01" w14:textId="77777777" w:rsidR="00E57DAA" w:rsidRDefault="00AC4185">
            <w:pPr>
              <w:rPr>
                <w:rFonts w:cs="Cambria"/>
                <w:szCs w:val="21"/>
              </w:rPr>
            </w:pPr>
            <w:r>
              <w:t>受同一母公司控制的其他企业</w:t>
            </w:r>
          </w:p>
        </w:tc>
      </w:tr>
      <w:tr w:rsidR="00E57DAA" w14:paraId="65FA5B7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3B42E4" w14:textId="77777777" w:rsidR="00E57DAA" w:rsidRDefault="00AC4185">
            <w:pPr>
              <w:rPr>
                <w:rFonts w:cs="Cambria"/>
                <w:szCs w:val="21"/>
              </w:rPr>
            </w:pPr>
            <w:r>
              <w:t>邵阳南方水泥有限公司</w:t>
            </w:r>
          </w:p>
        </w:tc>
        <w:tc>
          <w:tcPr>
            <w:tcW w:w="1807" w:type="pct"/>
            <w:tcBorders>
              <w:top w:val="single" w:sz="4" w:space="0" w:color="auto"/>
              <w:left w:val="single" w:sz="4" w:space="0" w:color="auto"/>
              <w:bottom w:val="single" w:sz="4" w:space="0" w:color="auto"/>
              <w:right w:val="single" w:sz="4" w:space="0" w:color="auto"/>
            </w:tcBorders>
          </w:tcPr>
          <w:p w14:paraId="6F81E9FC" w14:textId="77777777" w:rsidR="00E57DAA" w:rsidRDefault="00AC4185">
            <w:pPr>
              <w:rPr>
                <w:rFonts w:cs="Cambria"/>
                <w:szCs w:val="21"/>
              </w:rPr>
            </w:pPr>
            <w:r>
              <w:t>受同一母公司控制的其他企业</w:t>
            </w:r>
          </w:p>
        </w:tc>
      </w:tr>
      <w:tr w:rsidR="00E57DAA" w14:paraId="60F0A73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949676" w14:textId="77777777" w:rsidR="00E57DAA" w:rsidRDefault="00AC4185">
            <w:pPr>
              <w:rPr>
                <w:rFonts w:cs="Cambria"/>
                <w:szCs w:val="21"/>
              </w:rPr>
            </w:pPr>
            <w:r>
              <w:t>绍兴南方水泥有限公司</w:t>
            </w:r>
          </w:p>
        </w:tc>
        <w:tc>
          <w:tcPr>
            <w:tcW w:w="1807" w:type="pct"/>
            <w:tcBorders>
              <w:top w:val="single" w:sz="4" w:space="0" w:color="auto"/>
              <w:left w:val="single" w:sz="4" w:space="0" w:color="auto"/>
              <w:bottom w:val="single" w:sz="4" w:space="0" w:color="auto"/>
              <w:right w:val="single" w:sz="4" w:space="0" w:color="auto"/>
            </w:tcBorders>
          </w:tcPr>
          <w:p w14:paraId="6F5D14B7" w14:textId="77777777" w:rsidR="00E57DAA" w:rsidRDefault="00AC4185">
            <w:pPr>
              <w:rPr>
                <w:rFonts w:cs="Cambria"/>
                <w:szCs w:val="21"/>
              </w:rPr>
            </w:pPr>
            <w:r>
              <w:t>受同一母公司控制的其他企业</w:t>
            </w:r>
          </w:p>
        </w:tc>
      </w:tr>
      <w:tr w:rsidR="00E57DAA" w14:paraId="67DD575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4CCB9F" w14:textId="77777777" w:rsidR="00E57DAA" w:rsidRDefault="00AC4185">
            <w:pPr>
              <w:rPr>
                <w:rFonts w:cs="Cambria"/>
                <w:szCs w:val="21"/>
              </w:rPr>
            </w:pPr>
            <w:r>
              <w:t>四川成实天鹰水泥有限公司</w:t>
            </w:r>
          </w:p>
        </w:tc>
        <w:tc>
          <w:tcPr>
            <w:tcW w:w="1807" w:type="pct"/>
            <w:tcBorders>
              <w:top w:val="single" w:sz="4" w:space="0" w:color="auto"/>
              <w:left w:val="single" w:sz="4" w:space="0" w:color="auto"/>
              <w:bottom w:val="single" w:sz="4" w:space="0" w:color="auto"/>
              <w:right w:val="single" w:sz="4" w:space="0" w:color="auto"/>
            </w:tcBorders>
          </w:tcPr>
          <w:p w14:paraId="1C2C3AED" w14:textId="77777777" w:rsidR="00E57DAA" w:rsidRDefault="00AC4185">
            <w:pPr>
              <w:rPr>
                <w:rFonts w:cs="Cambria"/>
                <w:szCs w:val="21"/>
              </w:rPr>
            </w:pPr>
            <w:r>
              <w:t>受同一母公司控制的其他企业</w:t>
            </w:r>
          </w:p>
        </w:tc>
      </w:tr>
      <w:tr w:rsidR="00E57DAA" w14:paraId="25FD28C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16D4648" w14:textId="77777777" w:rsidR="00E57DAA" w:rsidRDefault="00AC4185">
            <w:pPr>
              <w:rPr>
                <w:rFonts w:cs="Cambria"/>
                <w:szCs w:val="21"/>
              </w:rPr>
            </w:pPr>
            <w:r>
              <w:t>四川崇州西南水泥有限公司</w:t>
            </w:r>
          </w:p>
        </w:tc>
        <w:tc>
          <w:tcPr>
            <w:tcW w:w="1807" w:type="pct"/>
            <w:tcBorders>
              <w:top w:val="single" w:sz="4" w:space="0" w:color="auto"/>
              <w:left w:val="single" w:sz="4" w:space="0" w:color="auto"/>
              <w:bottom w:val="single" w:sz="4" w:space="0" w:color="auto"/>
              <w:right w:val="single" w:sz="4" w:space="0" w:color="auto"/>
            </w:tcBorders>
          </w:tcPr>
          <w:p w14:paraId="482DF42C" w14:textId="77777777" w:rsidR="00E57DAA" w:rsidRDefault="00AC4185">
            <w:pPr>
              <w:rPr>
                <w:rFonts w:cs="Cambria"/>
                <w:szCs w:val="21"/>
              </w:rPr>
            </w:pPr>
            <w:r>
              <w:t>受同一母公司控制的其他企业</w:t>
            </w:r>
          </w:p>
        </w:tc>
      </w:tr>
      <w:tr w:rsidR="00E57DAA" w14:paraId="707FC42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C12509A" w14:textId="77777777" w:rsidR="00E57DAA" w:rsidRDefault="00AC4185">
            <w:pPr>
              <w:rPr>
                <w:rFonts w:cs="Cambria"/>
                <w:szCs w:val="21"/>
              </w:rPr>
            </w:pPr>
            <w:r>
              <w:t>四川德胜集团水泥有限公司</w:t>
            </w:r>
          </w:p>
        </w:tc>
        <w:tc>
          <w:tcPr>
            <w:tcW w:w="1807" w:type="pct"/>
            <w:tcBorders>
              <w:top w:val="single" w:sz="4" w:space="0" w:color="auto"/>
              <w:left w:val="single" w:sz="4" w:space="0" w:color="auto"/>
              <w:bottom w:val="single" w:sz="4" w:space="0" w:color="auto"/>
              <w:right w:val="single" w:sz="4" w:space="0" w:color="auto"/>
            </w:tcBorders>
          </w:tcPr>
          <w:p w14:paraId="65AB1CE1" w14:textId="77777777" w:rsidR="00E57DAA" w:rsidRDefault="00AC4185">
            <w:pPr>
              <w:rPr>
                <w:rFonts w:cs="Cambria"/>
                <w:szCs w:val="21"/>
              </w:rPr>
            </w:pPr>
            <w:r>
              <w:t>受同一母公司控制的其他企业</w:t>
            </w:r>
          </w:p>
        </w:tc>
      </w:tr>
      <w:tr w:rsidR="00E57DAA" w14:paraId="2804E12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959D0E" w14:textId="77777777" w:rsidR="00E57DAA" w:rsidRDefault="00AC4185">
            <w:pPr>
              <w:rPr>
                <w:rFonts w:cs="Cambria"/>
                <w:szCs w:val="21"/>
              </w:rPr>
            </w:pPr>
            <w:r>
              <w:t>四川峨边西南水泥有限公司</w:t>
            </w:r>
          </w:p>
        </w:tc>
        <w:tc>
          <w:tcPr>
            <w:tcW w:w="1807" w:type="pct"/>
            <w:tcBorders>
              <w:top w:val="single" w:sz="4" w:space="0" w:color="auto"/>
              <w:left w:val="single" w:sz="4" w:space="0" w:color="auto"/>
              <w:bottom w:val="single" w:sz="4" w:space="0" w:color="auto"/>
              <w:right w:val="single" w:sz="4" w:space="0" w:color="auto"/>
            </w:tcBorders>
          </w:tcPr>
          <w:p w14:paraId="36B7109B" w14:textId="77777777" w:rsidR="00E57DAA" w:rsidRDefault="00AC4185">
            <w:pPr>
              <w:rPr>
                <w:rFonts w:cs="Cambria"/>
                <w:szCs w:val="21"/>
              </w:rPr>
            </w:pPr>
            <w:r>
              <w:t>受同一母公司控制的其他企业</w:t>
            </w:r>
          </w:p>
        </w:tc>
      </w:tr>
      <w:tr w:rsidR="00E57DAA" w14:paraId="3FE8D83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3E5CA6" w14:textId="77777777" w:rsidR="00E57DAA" w:rsidRDefault="00AC4185">
            <w:pPr>
              <w:rPr>
                <w:rFonts w:cs="Cambria"/>
                <w:szCs w:val="21"/>
              </w:rPr>
            </w:pPr>
            <w:r>
              <w:t>四川峨眉山西南水泥有限公司</w:t>
            </w:r>
          </w:p>
        </w:tc>
        <w:tc>
          <w:tcPr>
            <w:tcW w:w="1807" w:type="pct"/>
            <w:tcBorders>
              <w:top w:val="single" w:sz="4" w:space="0" w:color="auto"/>
              <w:left w:val="single" w:sz="4" w:space="0" w:color="auto"/>
              <w:bottom w:val="single" w:sz="4" w:space="0" w:color="auto"/>
              <w:right w:val="single" w:sz="4" w:space="0" w:color="auto"/>
            </w:tcBorders>
          </w:tcPr>
          <w:p w14:paraId="19753116" w14:textId="77777777" w:rsidR="00E57DAA" w:rsidRDefault="00AC4185">
            <w:pPr>
              <w:rPr>
                <w:rFonts w:cs="Cambria"/>
                <w:szCs w:val="21"/>
              </w:rPr>
            </w:pPr>
            <w:r>
              <w:t>受同一母公司控制的其他企业</w:t>
            </w:r>
          </w:p>
        </w:tc>
      </w:tr>
      <w:tr w:rsidR="00E57DAA" w14:paraId="222C29C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BC34F6" w14:textId="77777777" w:rsidR="00E57DAA" w:rsidRDefault="00AC4185">
            <w:pPr>
              <w:rPr>
                <w:rFonts w:cs="Cambria"/>
                <w:szCs w:val="21"/>
              </w:rPr>
            </w:pPr>
            <w:r>
              <w:lastRenderedPageBreak/>
              <w:t>四川国大水泥有限公司</w:t>
            </w:r>
          </w:p>
        </w:tc>
        <w:tc>
          <w:tcPr>
            <w:tcW w:w="1807" w:type="pct"/>
            <w:tcBorders>
              <w:top w:val="single" w:sz="4" w:space="0" w:color="auto"/>
              <w:left w:val="single" w:sz="4" w:space="0" w:color="auto"/>
              <w:bottom w:val="single" w:sz="4" w:space="0" w:color="auto"/>
              <w:right w:val="single" w:sz="4" w:space="0" w:color="auto"/>
            </w:tcBorders>
          </w:tcPr>
          <w:p w14:paraId="69489FED" w14:textId="77777777" w:rsidR="00E57DAA" w:rsidRDefault="00AC4185">
            <w:pPr>
              <w:rPr>
                <w:rFonts w:cs="Cambria"/>
                <w:szCs w:val="21"/>
              </w:rPr>
            </w:pPr>
            <w:r>
              <w:t>受同一母公司控制的其他企业</w:t>
            </w:r>
          </w:p>
        </w:tc>
      </w:tr>
      <w:tr w:rsidR="00E57DAA" w14:paraId="65C2583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4B999A" w14:textId="77777777" w:rsidR="00E57DAA" w:rsidRDefault="00AC4185">
            <w:pPr>
              <w:rPr>
                <w:rFonts w:cs="Cambria"/>
                <w:szCs w:val="21"/>
              </w:rPr>
            </w:pPr>
            <w:r>
              <w:t>四川华蓥西南水泥有限公司</w:t>
            </w:r>
          </w:p>
        </w:tc>
        <w:tc>
          <w:tcPr>
            <w:tcW w:w="1807" w:type="pct"/>
            <w:tcBorders>
              <w:top w:val="single" w:sz="4" w:space="0" w:color="auto"/>
              <w:left w:val="single" w:sz="4" w:space="0" w:color="auto"/>
              <w:bottom w:val="single" w:sz="4" w:space="0" w:color="auto"/>
              <w:right w:val="single" w:sz="4" w:space="0" w:color="auto"/>
            </w:tcBorders>
          </w:tcPr>
          <w:p w14:paraId="56506869" w14:textId="77777777" w:rsidR="00E57DAA" w:rsidRDefault="00AC4185">
            <w:pPr>
              <w:rPr>
                <w:rFonts w:cs="Cambria"/>
                <w:szCs w:val="21"/>
              </w:rPr>
            </w:pPr>
            <w:r>
              <w:t>受同一母公司控制的其他企业</w:t>
            </w:r>
          </w:p>
        </w:tc>
      </w:tr>
      <w:tr w:rsidR="00E57DAA" w14:paraId="7525D1E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BF082D" w14:textId="77777777" w:rsidR="00E57DAA" w:rsidRDefault="00AC4185">
            <w:pPr>
              <w:rPr>
                <w:rFonts w:cs="Cambria"/>
                <w:szCs w:val="21"/>
              </w:rPr>
            </w:pPr>
            <w:r>
              <w:t>四川嘉华锦屏特种水泥有限责任公司</w:t>
            </w:r>
          </w:p>
        </w:tc>
        <w:tc>
          <w:tcPr>
            <w:tcW w:w="1807" w:type="pct"/>
            <w:tcBorders>
              <w:top w:val="single" w:sz="4" w:space="0" w:color="auto"/>
              <w:left w:val="single" w:sz="4" w:space="0" w:color="auto"/>
              <w:bottom w:val="single" w:sz="4" w:space="0" w:color="auto"/>
              <w:right w:val="single" w:sz="4" w:space="0" w:color="auto"/>
            </w:tcBorders>
          </w:tcPr>
          <w:p w14:paraId="1AA98A28" w14:textId="77777777" w:rsidR="00E57DAA" w:rsidRDefault="00AC4185">
            <w:pPr>
              <w:rPr>
                <w:rFonts w:cs="Cambria"/>
                <w:szCs w:val="21"/>
              </w:rPr>
            </w:pPr>
            <w:r>
              <w:t>受同一母公司控制的其他企业</w:t>
            </w:r>
          </w:p>
        </w:tc>
      </w:tr>
      <w:tr w:rsidR="00E57DAA" w14:paraId="26DEE9B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F2A605" w14:textId="77777777" w:rsidR="00E57DAA" w:rsidRDefault="00AC4185">
            <w:pPr>
              <w:rPr>
                <w:rFonts w:cs="Cambria"/>
                <w:szCs w:val="21"/>
              </w:rPr>
            </w:pPr>
            <w:r>
              <w:t>四川康巴水泥有限公司</w:t>
            </w:r>
          </w:p>
        </w:tc>
        <w:tc>
          <w:tcPr>
            <w:tcW w:w="1807" w:type="pct"/>
            <w:tcBorders>
              <w:top w:val="single" w:sz="4" w:space="0" w:color="auto"/>
              <w:left w:val="single" w:sz="4" w:space="0" w:color="auto"/>
              <w:bottom w:val="single" w:sz="4" w:space="0" w:color="auto"/>
              <w:right w:val="single" w:sz="4" w:space="0" w:color="auto"/>
            </w:tcBorders>
          </w:tcPr>
          <w:p w14:paraId="65D7E7A7" w14:textId="77777777" w:rsidR="00E57DAA" w:rsidRDefault="00AC4185">
            <w:pPr>
              <w:rPr>
                <w:rFonts w:cs="Cambria"/>
                <w:szCs w:val="21"/>
              </w:rPr>
            </w:pPr>
            <w:r>
              <w:t>受同一母公司控制的其他企业</w:t>
            </w:r>
          </w:p>
        </w:tc>
      </w:tr>
      <w:tr w:rsidR="00E57DAA" w14:paraId="2CCD06D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B877C8" w14:textId="77777777" w:rsidR="00E57DAA" w:rsidRDefault="00AC4185">
            <w:pPr>
              <w:rPr>
                <w:rFonts w:cs="Cambria"/>
                <w:szCs w:val="21"/>
              </w:rPr>
            </w:pPr>
            <w:r>
              <w:t>四川利森建材集团有限公司</w:t>
            </w:r>
          </w:p>
        </w:tc>
        <w:tc>
          <w:tcPr>
            <w:tcW w:w="1807" w:type="pct"/>
            <w:tcBorders>
              <w:top w:val="single" w:sz="4" w:space="0" w:color="auto"/>
              <w:left w:val="single" w:sz="4" w:space="0" w:color="auto"/>
              <w:bottom w:val="single" w:sz="4" w:space="0" w:color="auto"/>
              <w:right w:val="single" w:sz="4" w:space="0" w:color="auto"/>
            </w:tcBorders>
          </w:tcPr>
          <w:p w14:paraId="4FD801E1" w14:textId="77777777" w:rsidR="00E57DAA" w:rsidRDefault="00AC4185">
            <w:pPr>
              <w:rPr>
                <w:rFonts w:cs="Cambria"/>
                <w:szCs w:val="21"/>
              </w:rPr>
            </w:pPr>
            <w:r>
              <w:t>受同一母公司控制的其他企业</w:t>
            </w:r>
          </w:p>
        </w:tc>
      </w:tr>
      <w:tr w:rsidR="00E57DAA" w14:paraId="1123063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8CCB89" w14:textId="77777777" w:rsidR="00E57DAA" w:rsidRDefault="00AC4185">
            <w:pPr>
              <w:rPr>
                <w:rFonts w:cs="Cambria"/>
                <w:szCs w:val="21"/>
              </w:rPr>
            </w:pPr>
            <w:r>
              <w:t>四川利森建材有限公司</w:t>
            </w:r>
          </w:p>
        </w:tc>
        <w:tc>
          <w:tcPr>
            <w:tcW w:w="1807" w:type="pct"/>
            <w:tcBorders>
              <w:top w:val="single" w:sz="4" w:space="0" w:color="auto"/>
              <w:left w:val="single" w:sz="4" w:space="0" w:color="auto"/>
              <w:bottom w:val="single" w:sz="4" w:space="0" w:color="auto"/>
              <w:right w:val="single" w:sz="4" w:space="0" w:color="auto"/>
            </w:tcBorders>
          </w:tcPr>
          <w:p w14:paraId="446927A7" w14:textId="77777777" w:rsidR="00E57DAA" w:rsidRDefault="00AC4185">
            <w:pPr>
              <w:rPr>
                <w:rFonts w:cs="Cambria"/>
                <w:szCs w:val="21"/>
              </w:rPr>
            </w:pPr>
            <w:r>
              <w:t>受同一母公司控制的其他企业</w:t>
            </w:r>
          </w:p>
        </w:tc>
      </w:tr>
      <w:tr w:rsidR="00E57DAA" w14:paraId="36D5C6B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B13516" w14:textId="77777777" w:rsidR="00E57DAA" w:rsidRDefault="00AC4185">
            <w:pPr>
              <w:rPr>
                <w:rFonts w:cs="Cambria"/>
                <w:szCs w:val="21"/>
              </w:rPr>
            </w:pPr>
            <w:r>
              <w:t>四川利万步森水泥有限公司</w:t>
            </w:r>
          </w:p>
        </w:tc>
        <w:tc>
          <w:tcPr>
            <w:tcW w:w="1807" w:type="pct"/>
            <w:tcBorders>
              <w:top w:val="single" w:sz="4" w:space="0" w:color="auto"/>
              <w:left w:val="single" w:sz="4" w:space="0" w:color="auto"/>
              <w:bottom w:val="single" w:sz="4" w:space="0" w:color="auto"/>
              <w:right w:val="single" w:sz="4" w:space="0" w:color="auto"/>
            </w:tcBorders>
          </w:tcPr>
          <w:p w14:paraId="344E31B5" w14:textId="77777777" w:rsidR="00E57DAA" w:rsidRDefault="00AC4185">
            <w:pPr>
              <w:rPr>
                <w:rFonts w:cs="Cambria"/>
                <w:szCs w:val="21"/>
              </w:rPr>
            </w:pPr>
            <w:r>
              <w:t>受同一母公司控制的其他企业</w:t>
            </w:r>
          </w:p>
        </w:tc>
      </w:tr>
      <w:tr w:rsidR="00E57DAA" w14:paraId="41617CF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3646A2" w14:textId="77777777" w:rsidR="00E57DAA" w:rsidRDefault="00AC4185">
            <w:pPr>
              <w:rPr>
                <w:rFonts w:cs="Cambria"/>
                <w:szCs w:val="21"/>
              </w:rPr>
            </w:pPr>
            <w:r>
              <w:t>四川省二郎山喇叭河水泥有限公司</w:t>
            </w:r>
          </w:p>
        </w:tc>
        <w:tc>
          <w:tcPr>
            <w:tcW w:w="1807" w:type="pct"/>
            <w:tcBorders>
              <w:top w:val="single" w:sz="4" w:space="0" w:color="auto"/>
              <w:left w:val="single" w:sz="4" w:space="0" w:color="auto"/>
              <w:bottom w:val="single" w:sz="4" w:space="0" w:color="auto"/>
              <w:right w:val="single" w:sz="4" w:space="0" w:color="auto"/>
            </w:tcBorders>
          </w:tcPr>
          <w:p w14:paraId="37408600" w14:textId="77777777" w:rsidR="00E57DAA" w:rsidRDefault="00AC4185">
            <w:pPr>
              <w:rPr>
                <w:rFonts w:cs="Cambria"/>
                <w:szCs w:val="21"/>
              </w:rPr>
            </w:pPr>
            <w:r>
              <w:t>受同一母公司控制的其他企业</w:t>
            </w:r>
          </w:p>
        </w:tc>
      </w:tr>
      <w:tr w:rsidR="00E57DAA" w14:paraId="7B306D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4044787" w14:textId="77777777" w:rsidR="00E57DAA" w:rsidRDefault="00AC4185">
            <w:pPr>
              <w:rPr>
                <w:rFonts w:cs="Cambria"/>
                <w:szCs w:val="21"/>
              </w:rPr>
            </w:pPr>
            <w:r>
              <w:t>四川省皓宇水泥有限责任公司</w:t>
            </w:r>
          </w:p>
        </w:tc>
        <w:tc>
          <w:tcPr>
            <w:tcW w:w="1807" w:type="pct"/>
            <w:tcBorders>
              <w:top w:val="single" w:sz="4" w:space="0" w:color="auto"/>
              <w:left w:val="single" w:sz="4" w:space="0" w:color="auto"/>
              <w:bottom w:val="single" w:sz="4" w:space="0" w:color="auto"/>
              <w:right w:val="single" w:sz="4" w:space="0" w:color="auto"/>
            </w:tcBorders>
          </w:tcPr>
          <w:p w14:paraId="4338F589" w14:textId="77777777" w:rsidR="00E57DAA" w:rsidRDefault="00AC4185">
            <w:pPr>
              <w:rPr>
                <w:rFonts w:cs="Cambria"/>
                <w:szCs w:val="21"/>
              </w:rPr>
            </w:pPr>
            <w:r>
              <w:t>受同一母公司控制的其他企业</w:t>
            </w:r>
          </w:p>
        </w:tc>
      </w:tr>
      <w:tr w:rsidR="00E57DAA" w14:paraId="7CAFE59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E1B9B9" w14:textId="77777777" w:rsidR="00E57DAA" w:rsidRDefault="00AC4185">
            <w:pPr>
              <w:rPr>
                <w:rFonts w:cs="Cambria"/>
                <w:szCs w:val="21"/>
              </w:rPr>
            </w:pPr>
            <w:r>
              <w:t>四川省绵竹澳东水泥有限公司</w:t>
            </w:r>
          </w:p>
        </w:tc>
        <w:tc>
          <w:tcPr>
            <w:tcW w:w="1807" w:type="pct"/>
            <w:tcBorders>
              <w:top w:val="single" w:sz="4" w:space="0" w:color="auto"/>
              <w:left w:val="single" w:sz="4" w:space="0" w:color="auto"/>
              <w:bottom w:val="single" w:sz="4" w:space="0" w:color="auto"/>
              <w:right w:val="single" w:sz="4" w:space="0" w:color="auto"/>
            </w:tcBorders>
          </w:tcPr>
          <w:p w14:paraId="6D9EB5C3" w14:textId="77777777" w:rsidR="00E57DAA" w:rsidRDefault="00AC4185">
            <w:pPr>
              <w:rPr>
                <w:rFonts w:cs="Cambria"/>
                <w:szCs w:val="21"/>
              </w:rPr>
            </w:pPr>
            <w:r>
              <w:t>受同一母公司控制的其他企业</w:t>
            </w:r>
          </w:p>
        </w:tc>
      </w:tr>
      <w:tr w:rsidR="00E57DAA" w14:paraId="3434E2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078D21" w14:textId="77777777" w:rsidR="00E57DAA" w:rsidRDefault="00AC4185">
            <w:pPr>
              <w:rPr>
                <w:rFonts w:cs="Cambria"/>
                <w:szCs w:val="21"/>
              </w:rPr>
            </w:pPr>
            <w:r>
              <w:t>四川省绵竹澳东水泥有限责任公司</w:t>
            </w:r>
          </w:p>
        </w:tc>
        <w:tc>
          <w:tcPr>
            <w:tcW w:w="1807" w:type="pct"/>
            <w:tcBorders>
              <w:top w:val="single" w:sz="4" w:space="0" w:color="auto"/>
              <w:left w:val="single" w:sz="4" w:space="0" w:color="auto"/>
              <w:bottom w:val="single" w:sz="4" w:space="0" w:color="auto"/>
              <w:right w:val="single" w:sz="4" w:space="0" w:color="auto"/>
            </w:tcBorders>
          </w:tcPr>
          <w:p w14:paraId="53BDD22D" w14:textId="77777777" w:rsidR="00E57DAA" w:rsidRDefault="00AC4185">
            <w:pPr>
              <w:rPr>
                <w:rFonts w:cs="Cambria"/>
                <w:szCs w:val="21"/>
              </w:rPr>
            </w:pPr>
            <w:r>
              <w:t>受同一母公司控制的其他企业</w:t>
            </w:r>
          </w:p>
        </w:tc>
      </w:tr>
      <w:tr w:rsidR="00E57DAA" w14:paraId="149FD2D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D3543D" w14:textId="77777777" w:rsidR="00E57DAA" w:rsidRDefault="00AC4185">
            <w:pPr>
              <w:rPr>
                <w:rFonts w:cs="Cambria"/>
                <w:szCs w:val="21"/>
              </w:rPr>
            </w:pPr>
            <w:r>
              <w:t>四川省女娲建材有限公司</w:t>
            </w:r>
          </w:p>
        </w:tc>
        <w:tc>
          <w:tcPr>
            <w:tcW w:w="1807" w:type="pct"/>
            <w:tcBorders>
              <w:top w:val="single" w:sz="4" w:space="0" w:color="auto"/>
              <w:left w:val="single" w:sz="4" w:space="0" w:color="auto"/>
              <w:bottom w:val="single" w:sz="4" w:space="0" w:color="auto"/>
              <w:right w:val="single" w:sz="4" w:space="0" w:color="auto"/>
            </w:tcBorders>
          </w:tcPr>
          <w:p w14:paraId="2553A2F8" w14:textId="77777777" w:rsidR="00E57DAA" w:rsidRDefault="00AC4185">
            <w:pPr>
              <w:rPr>
                <w:rFonts w:cs="Cambria"/>
                <w:szCs w:val="21"/>
              </w:rPr>
            </w:pPr>
            <w:r>
              <w:t>受同一母公司控制的其他企业</w:t>
            </w:r>
          </w:p>
        </w:tc>
      </w:tr>
      <w:tr w:rsidR="00E57DAA" w14:paraId="5A8DEB4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687EA3" w14:textId="77777777" w:rsidR="00E57DAA" w:rsidRDefault="00AC4185">
            <w:pPr>
              <w:rPr>
                <w:rFonts w:cs="Cambria"/>
                <w:szCs w:val="21"/>
              </w:rPr>
            </w:pPr>
            <w:r>
              <w:t>四川省兆迪水泥有限责任公司</w:t>
            </w:r>
          </w:p>
        </w:tc>
        <w:tc>
          <w:tcPr>
            <w:tcW w:w="1807" w:type="pct"/>
            <w:tcBorders>
              <w:top w:val="single" w:sz="4" w:space="0" w:color="auto"/>
              <w:left w:val="single" w:sz="4" w:space="0" w:color="auto"/>
              <w:bottom w:val="single" w:sz="4" w:space="0" w:color="auto"/>
              <w:right w:val="single" w:sz="4" w:space="0" w:color="auto"/>
            </w:tcBorders>
          </w:tcPr>
          <w:p w14:paraId="0DCF08B6" w14:textId="77777777" w:rsidR="00E57DAA" w:rsidRDefault="00AC4185">
            <w:pPr>
              <w:rPr>
                <w:rFonts w:cs="Cambria"/>
                <w:szCs w:val="21"/>
              </w:rPr>
            </w:pPr>
            <w:r>
              <w:t>受同一母公司控制的其他企业</w:t>
            </w:r>
          </w:p>
        </w:tc>
      </w:tr>
      <w:tr w:rsidR="00E57DAA" w14:paraId="2CEDCDB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872536" w14:textId="77777777" w:rsidR="00E57DAA" w:rsidRDefault="00AC4185">
            <w:pPr>
              <w:rPr>
                <w:rFonts w:cs="Cambria"/>
                <w:szCs w:val="21"/>
              </w:rPr>
            </w:pPr>
            <w:r>
              <w:t>四川泰昌建材集团有限公司</w:t>
            </w:r>
          </w:p>
        </w:tc>
        <w:tc>
          <w:tcPr>
            <w:tcW w:w="1807" w:type="pct"/>
            <w:tcBorders>
              <w:top w:val="single" w:sz="4" w:space="0" w:color="auto"/>
              <w:left w:val="single" w:sz="4" w:space="0" w:color="auto"/>
              <w:bottom w:val="single" w:sz="4" w:space="0" w:color="auto"/>
              <w:right w:val="single" w:sz="4" w:space="0" w:color="auto"/>
            </w:tcBorders>
          </w:tcPr>
          <w:p w14:paraId="08AB411E" w14:textId="77777777" w:rsidR="00E57DAA" w:rsidRDefault="00AC4185">
            <w:pPr>
              <w:rPr>
                <w:rFonts w:cs="Cambria"/>
                <w:szCs w:val="21"/>
              </w:rPr>
            </w:pPr>
            <w:r>
              <w:t>受同一母公司控制的其他企业</w:t>
            </w:r>
          </w:p>
        </w:tc>
      </w:tr>
      <w:tr w:rsidR="00E57DAA" w14:paraId="2466640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FA2A65" w14:textId="77777777" w:rsidR="00E57DAA" w:rsidRDefault="00AC4185">
            <w:pPr>
              <w:rPr>
                <w:rFonts w:cs="Cambria"/>
                <w:szCs w:val="21"/>
              </w:rPr>
            </w:pPr>
            <w:r>
              <w:t>四川威远西南水泥有限公司</w:t>
            </w:r>
          </w:p>
        </w:tc>
        <w:tc>
          <w:tcPr>
            <w:tcW w:w="1807" w:type="pct"/>
            <w:tcBorders>
              <w:top w:val="single" w:sz="4" w:space="0" w:color="auto"/>
              <w:left w:val="single" w:sz="4" w:space="0" w:color="auto"/>
              <w:bottom w:val="single" w:sz="4" w:space="0" w:color="auto"/>
              <w:right w:val="single" w:sz="4" w:space="0" w:color="auto"/>
            </w:tcBorders>
          </w:tcPr>
          <w:p w14:paraId="4D3925A7" w14:textId="77777777" w:rsidR="00E57DAA" w:rsidRDefault="00AC4185">
            <w:pPr>
              <w:rPr>
                <w:rFonts w:cs="Cambria"/>
                <w:szCs w:val="21"/>
              </w:rPr>
            </w:pPr>
            <w:r>
              <w:t>受同一母公司控制的其他企业</w:t>
            </w:r>
          </w:p>
        </w:tc>
      </w:tr>
      <w:tr w:rsidR="00E57DAA" w14:paraId="70A1C53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17B9F5" w14:textId="77777777" w:rsidR="00E57DAA" w:rsidRDefault="00AC4185">
            <w:pPr>
              <w:rPr>
                <w:rFonts w:cs="Cambria"/>
                <w:szCs w:val="21"/>
              </w:rPr>
            </w:pPr>
            <w:r>
              <w:t>西南水泥有限公司</w:t>
            </w:r>
          </w:p>
        </w:tc>
        <w:tc>
          <w:tcPr>
            <w:tcW w:w="1807" w:type="pct"/>
            <w:tcBorders>
              <w:top w:val="single" w:sz="4" w:space="0" w:color="auto"/>
              <w:left w:val="single" w:sz="4" w:space="0" w:color="auto"/>
              <w:bottom w:val="single" w:sz="4" w:space="0" w:color="auto"/>
              <w:right w:val="single" w:sz="4" w:space="0" w:color="auto"/>
            </w:tcBorders>
          </w:tcPr>
          <w:p w14:paraId="3445B0F0" w14:textId="77777777" w:rsidR="00E57DAA" w:rsidRDefault="00AC4185">
            <w:pPr>
              <w:rPr>
                <w:rFonts w:cs="Cambria"/>
                <w:szCs w:val="21"/>
              </w:rPr>
            </w:pPr>
            <w:r>
              <w:t>受同一母公司控制的其他企业</w:t>
            </w:r>
          </w:p>
        </w:tc>
      </w:tr>
      <w:tr w:rsidR="00E57DAA" w14:paraId="0D9FC3D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17F3FA" w14:textId="77777777" w:rsidR="00E57DAA" w:rsidRDefault="00AC4185">
            <w:pPr>
              <w:rPr>
                <w:rFonts w:cs="Cambria"/>
                <w:szCs w:val="21"/>
              </w:rPr>
            </w:pPr>
            <w:r>
              <w:t>四川雅安西南水泥有限公司</w:t>
            </w:r>
          </w:p>
        </w:tc>
        <w:tc>
          <w:tcPr>
            <w:tcW w:w="1807" w:type="pct"/>
            <w:tcBorders>
              <w:top w:val="single" w:sz="4" w:space="0" w:color="auto"/>
              <w:left w:val="single" w:sz="4" w:space="0" w:color="auto"/>
              <w:bottom w:val="single" w:sz="4" w:space="0" w:color="auto"/>
              <w:right w:val="single" w:sz="4" w:space="0" w:color="auto"/>
            </w:tcBorders>
          </w:tcPr>
          <w:p w14:paraId="76F77065" w14:textId="77777777" w:rsidR="00E57DAA" w:rsidRDefault="00AC4185">
            <w:pPr>
              <w:rPr>
                <w:rFonts w:cs="Cambria"/>
                <w:szCs w:val="21"/>
              </w:rPr>
            </w:pPr>
            <w:r>
              <w:t>受同一母公司控制的其他企业</w:t>
            </w:r>
          </w:p>
        </w:tc>
      </w:tr>
      <w:tr w:rsidR="00E57DAA" w14:paraId="4B701D1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28A702" w14:textId="77777777" w:rsidR="00E57DAA" w:rsidRDefault="00AC4185">
            <w:pPr>
              <w:rPr>
                <w:rFonts w:cs="Cambria"/>
                <w:szCs w:val="21"/>
              </w:rPr>
            </w:pPr>
            <w:r>
              <w:t>四川筠连西南水泥有限公司</w:t>
            </w:r>
          </w:p>
        </w:tc>
        <w:tc>
          <w:tcPr>
            <w:tcW w:w="1807" w:type="pct"/>
            <w:tcBorders>
              <w:top w:val="single" w:sz="4" w:space="0" w:color="auto"/>
              <w:left w:val="single" w:sz="4" w:space="0" w:color="auto"/>
              <w:bottom w:val="single" w:sz="4" w:space="0" w:color="auto"/>
              <w:right w:val="single" w:sz="4" w:space="0" w:color="auto"/>
            </w:tcBorders>
          </w:tcPr>
          <w:p w14:paraId="439BCF65" w14:textId="77777777" w:rsidR="00E57DAA" w:rsidRDefault="00AC4185">
            <w:pPr>
              <w:rPr>
                <w:rFonts w:cs="Cambria"/>
                <w:szCs w:val="21"/>
              </w:rPr>
            </w:pPr>
            <w:r>
              <w:t>受同一母公司控制的其他企业</w:t>
            </w:r>
          </w:p>
        </w:tc>
      </w:tr>
      <w:tr w:rsidR="00E57DAA" w14:paraId="5643576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1925E5" w14:textId="77777777" w:rsidR="00E57DAA" w:rsidRDefault="00AC4185">
            <w:pPr>
              <w:rPr>
                <w:rFonts w:cs="Cambria"/>
                <w:szCs w:val="21"/>
              </w:rPr>
            </w:pPr>
            <w:r>
              <w:t>四川资中西南水泥有限公司</w:t>
            </w:r>
          </w:p>
        </w:tc>
        <w:tc>
          <w:tcPr>
            <w:tcW w:w="1807" w:type="pct"/>
            <w:tcBorders>
              <w:top w:val="single" w:sz="4" w:space="0" w:color="auto"/>
              <w:left w:val="single" w:sz="4" w:space="0" w:color="auto"/>
              <w:bottom w:val="single" w:sz="4" w:space="0" w:color="auto"/>
              <w:right w:val="single" w:sz="4" w:space="0" w:color="auto"/>
            </w:tcBorders>
          </w:tcPr>
          <w:p w14:paraId="0ACF858E" w14:textId="77777777" w:rsidR="00E57DAA" w:rsidRDefault="00AC4185">
            <w:pPr>
              <w:rPr>
                <w:rFonts w:cs="Cambria"/>
                <w:szCs w:val="21"/>
              </w:rPr>
            </w:pPr>
            <w:r>
              <w:t>受同一母公司控制的其他企业</w:t>
            </w:r>
          </w:p>
        </w:tc>
      </w:tr>
      <w:tr w:rsidR="00E57DAA" w14:paraId="7C1D868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7BDFF4" w14:textId="77777777" w:rsidR="00E57DAA" w:rsidRDefault="00AC4185">
            <w:pPr>
              <w:rPr>
                <w:rFonts w:cs="Cambria"/>
                <w:szCs w:val="21"/>
              </w:rPr>
            </w:pPr>
            <w:r>
              <w:t>四平北方水泥有限公司</w:t>
            </w:r>
          </w:p>
        </w:tc>
        <w:tc>
          <w:tcPr>
            <w:tcW w:w="1807" w:type="pct"/>
            <w:tcBorders>
              <w:top w:val="single" w:sz="4" w:space="0" w:color="auto"/>
              <w:left w:val="single" w:sz="4" w:space="0" w:color="auto"/>
              <w:bottom w:val="single" w:sz="4" w:space="0" w:color="auto"/>
              <w:right w:val="single" w:sz="4" w:space="0" w:color="auto"/>
            </w:tcBorders>
          </w:tcPr>
          <w:p w14:paraId="5B4B8AED" w14:textId="77777777" w:rsidR="00E57DAA" w:rsidRDefault="00AC4185">
            <w:pPr>
              <w:rPr>
                <w:rFonts w:cs="Cambria"/>
                <w:szCs w:val="21"/>
              </w:rPr>
            </w:pPr>
            <w:r>
              <w:t>受同一母公司控制的其他企业</w:t>
            </w:r>
          </w:p>
        </w:tc>
      </w:tr>
      <w:tr w:rsidR="00E57DAA" w14:paraId="23C58CE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BEE07B" w14:textId="77777777" w:rsidR="00E57DAA" w:rsidRDefault="00AC4185">
            <w:pPr>
              <w:rPr>
                <w:rFonts w:cs="Cambria"/>
                <w:szCs w:val="21"/>
              </w:rPr>
            </w:pPr>
            <w:r>
              <w:t>泗县中联水泥有限公司</w:t>
            </w:r>
          </w:p>
        </w:tc>
        <w:tc>
          <w:tcPr>
            <w:tcW w:w="1807" w:type="pct"/>
            <w:tcBorders>
              <w:top w:val="single" w:sz="4" w:space="0" w:color="auto"/>
              <w:left w:val="single" w:sz="4" w:space="0" w:color="auto"/>
              <w:bottom w:val="single" w:sz="4" w:space="0" w:color="auto"/>
              <w:right w:val="single" w:sz="4" w:space="0" w:color="auto"/>
            </w:tcBorders>
          </w:tcPr>
          <w:p w14:paraId="1CB696D8" w14:textId="77777777" w:rsidR="00E57DAA" w:rsidRDefault="00AC4185">
            <w:pPr>
              <w:rPr>
                <w:rFonts w:cs="Cambria"/>
                <w:szCs w:val="21"/>
              </w:rPr>
            </w:pPr>
            <w:r>
              <w:t>受同一母公司控制的其他企业</w:t>
            </w:r>
          </w:p>
        </w:tc>
      </w:tr>
      <w:tr w:rsidR="00E57DAA" w14:paraId="56BB43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BA2DE3" w14:textId="77777777" w:rsidR="00E57DAA" w:rsidRDefault="00AC4185">
            <w:pPr>
              <w:rPr>
                <w:rFonts w:cs="Cambria"/>
                <w:szCs w:val="21"/>
              </w:rPr>
            </w:pPr>
            <w:r>
              <w:t>松原北方水泥有限公司</w:t>
            </w:r>
          </w:p>
        </w:tc>
        <w:tc>
          <w:tcPr>
            <w:tcW w:w="1807" w:type="pct"/>
            <w:tcBorders>
              <w:top w:val="single" w:sz="4" w:space="0" w:color="auto"/>
              <w:left w:val="single" w:sz="4" w:space="0" w:color="auto"/>
              <w:bottom w:val="single" w:sz="4" w:space="0" w:color="auto"/>
              <w:right w:val="single" w:sz="4" w:space="0" w:color="auto"/>
            </w:tcBorders>
          </w:tcPr>
          <w:p w14:paraId="3D7F465D" w14:textId="77777777" w:rsidR="00E57DAA" w:rsidRDefault="00AC4185">
            <w:pPr>
              <w:rPr>
                <w:rFonts w:cs="Cambria"/>
                <w:szCs w:val="21"/>
              </w:rPr>
            </w:pPr>
            <w:r>
              <w:t>受同一母公司控制的其他企业</w:t>
            </w:r>
          </w:p>
        </w:tc>
      </w:tr>
      <w:tr w:rsidR="00E57DAA" w14:paraId="1979F0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906B323" w14:textId="77777777" w:rsidR="00E57DAA" w:rsidRDefault="00AC4185">
            <w:pPr>
              <w:rPr>
                <w:rFonts w:cs="Cambria"/>
                <w:szCs w:val="21"/>
              </w:rPr>
            </w:pPr>
            <w:r>
              <w:t>苏州非金属矿工业设计研究院有限公司</w:t>
            </w:r>
          </w:p>
        </w:tc>
        <w:tc>
          <w:tcPr>
            <w:tcW w:w="1807" w:type="pct"/>
            <w:tcBorders>
              <w:top w:val="single" w:sz="4" w:space="0" w:color="auto"/>
              <w:left w:val="single" w:sz="4" w:space="0" w:color="auto"/>
              <w:bottom w:val="single" w:sz="4" w:space="0" w:color="auto"/>
              <w:right w:val="single" w:sz="4" w:space="0" w:color="auto"/>
            </w:tcBorders>
          </w:tcPr>
          <w:p w14:paraId="411338E1" w14:textId="77777777" w:rsidR="00E57DAA" w:rsidRDefault="00AC4185">
            <w:pPr>
              <w:rPr>
                <w:rFonts w:cs="Cambria"/>
                <w:szCs w:val="21"/>
              </w:rPr>
            </w:pPr>
            <w:r>
              <w:t>受同一母公司控制的其他企业</w:t>
            </w:r>
          </w:p>
        </w:tc>
      </w:tr>
      <w:tr w:rsidR="00E57DAA" w14:paraId="3BBF8E8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0DF868" w14:textId="77777777" w:rsidR="00E57DAA" w:rsidRDefault="00AC4185">
            <w:pPr>
              <w:rPr>
                <w:rFonts w:cs="Cambria"/>
                <w:szCs w:val="21"/>
              </w:rPr>
            </w:pPr>
            <w:r>
              <w:t>苏州混凝土水泥制品研究院有限公司</w:t>
            </w:r>
          </w:p>
        </w:tc>
        <w:tc>
          <w:tcPr>
            <w:tcW w:w="1807" w:type="pct"/>
            <w:tcBorders>
              <w:top w:val="single" w:sz="4" w:space="0" w:color="auto"/>
              <w:left w:val="single" w:sz="4" w:space="0" w:color="auto"/>
              <w:bottom w:val="single" w:sz="4" w:space="0" w:color="auto"/>
              <w:right w:val="single" w:sz="4" w:space="0" w:color="auto"/>
            </w:tcBorders>
          </w:tcPr>
          <w:p w14:paraId="10FFADE9" w14:textId="77777777" w:rsidR="00E57DAA" w:rsidRDefault="00AC4185">
            <w:pPr>
              <w:rPr>
                <w:rFonts w:cs="Cambria"/>
                <w:szCs w:val="21"/>
              </w:rPr>
            </w:pPr>
            <w:r>
              <w:t>受同一母公司控制的其他企业</w:t>
            </w:r>
          </w:p>
        </w:tc>
      </w:tr>
      <w:tr w:rsidR="00E57DAA" w14:paraId="3D89867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CA8996" w14:textId="77777777" w:rsidR="00E57DAA" w:rsidRDefault="00AC4185">
            <w:pPr>
              <w:rPr>
                <w:rFonts w:cs="Cambria"/>
                <w:szCs w:val="21"/>
              </w:rPr>
            </w:pPr>
            <w:r>
              <w:t>苏州天山水泥有限公司</w:t>
            </w:r>
          </w:p>
        </w:tc>
        <w:tc>
          <w:tcPr>
            <w:tcW w:w="1807" w:type="pct"/>
            <w:tcBorders>
              <w:top w:val="single" w:sz="4" w:space="0" w:color="auto"/>
              <w:left w:val="single" w:sz="4" w:space="0" w:color="auto"/>
              <w:bottom w:val="single" w:sz="4" w:space="0" w:color="auto"/>
              <w:right w:val="single" w:sz="4" w:space="0" w:color="auto"/>
            </w:tcBorders>
          </w:tcPr>
          <w:p w14:paraId="7B0D0519" w14:textId="77777777" w:rsidR="00E57DAA" w:rsidRDefault="00AC4185">
            <w:pPr>
              <w:rPr>
                <w:rFonts w:cs="Cambria"/>
                <w:szCs w:val="21"/>
              </w:rPr>
            </w:pPr>
            <w:r>
              <w:t>受同一母公司控制的其他企业</w:t>
            </w:r>
          </w:p>
        </w:tc>
      </w:tr>
      <w:tr w:rsidR="00E57DAA" w14:paraId="2AB40A7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F88322" w14:textId="77777777" w:rsidR="00E57DAA" w:rsidRDefault="00AC4185">
            <w:pPr>
              <w:rPr>
                <w:rFonts w:cs="Cambria"/>
                <w:szCs w:val="21"/>
              </w:rPr>
            </w:pPr>
            <w:r>
              <w:t>苏州中材非金属矿工业设计研究院有限公司</w:t>
            </w:r>
          </w:p>
        </w:tc>
        <w:tc>
          <w:tcPr>
            <w:tcW w:w="1807" w:type="pct"/>
            <w:tcBorders>
              <w:top w:val="single" w:sz="4" w:space="0" w:color="auto"/>
              <w:left w:val="single" w:sz="4" w:space="0" w:color="auto"/>
              <w:bottom w:val="single" w:sz="4" w:space="0" w:color="auto"/>
              <w:right w:val="single" w:sz="4" w:space="0" w:color="auto"/>
            </w:tcBorders>
          </w:tcPr>
          <w:p w14:paraId="5BCB8B83" w14:textId="77777777" w:rsidR="00E57DAA" w:rsidRDefault="00AC4185">
            <w:pPr>
              <w:rPr>
                <w:rFonts w:cs="Cambria"/>
                <w:szCs w:val="21"/>
              </w:rPr>
            </w:pPr>
            <w:r>
              <w:t>受同一母公司控制的其他企业</w:t>
            </w:r>
          </w:p>
        </w:tc>
      </w:tr>
      <w:tr w:rsidR="00E57DAA" w14:paraId="19CC1B2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0243F5" w14:textId="77777777" w:rsidR="00E57DAA" w:rsidRDefault="00AC4185">
            <w:pPr>
              <w:rPr>
                <w:rFonts w:cs="Cambria"/>
                <w:szCs w:val="21"/>
              </w:rPr>
            </w:pPr>
            <w:r>
              <w:t>宿州中联水泥有限公司</w:t>
            </w:r>
          </w:p>
        </w:tc>
        <w:tc>
          <w:tcPr>
            <w:tcW w:w="1807" w:type="pct"/>
            <w:tcBorders>
              <w:top w:val="single" w:sz="4" w:space="0" w:color="auto"/>
              <w:left w:val="single" w:sz="4" w:space="0" w:color="auto"/>
              <w:bottom w:val="single" w:sz="4" w:space="0" w:color="auto"/>
              <w:right w:val="single" w:sz="4" w:space="0" w:color="auto"/>
            </w:tcBorders>
          </w:tcPr>
          <w:p w14:paraId="69F5E7D7" w14:textId="77777777" w:rsidR="00E57DAA" w:rsidRDefault="00AC4185">
            <w:pPr>
              <w:rPr>
                <w:rFonts w:cs="Cambria"/>
                <w:szCs w:val="21"/>
              </w:rPr>
            </w:pPr>
            <w:r>
              <w:t>受同一母公司控制的其他企业</w:t>
            </w:r>
          </w:p>
        </w:tc>
      </w:tr>
      <w:tr w:rsidR="00E57DAA" w14:paraId="395E7E0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3A0D78" w14:textId="77777777" w:rsidR="00E57DAA" w:rsidRDefault="00AC4185">
            <w:pPr>
              <w:rPr>
                <w:rFonts w:cs="Cambria"/>
                <w:szCs w:val="21"/>
              </w:rPr>
            </w:pPr>
            <w:r>
              <w:t>睢宁铸本混凝土工程有限公司</w:t>
            </w:r>
          </w:p>
        </w:tc>
        <w:tc>
          <w:tcPr>
            <w:tcW w:w="1807" w:type="pct"/>
            <w:tcBorders>
              <w:top w:val="single" w:sz="4" w:space="0" w:color="auto"/>
              <w:left w:val="single" w:sz="4" w:space="0" w:color="auto"/>
              <w:bottom w:val="single" w:sz="4" w:space="0" w:color="auto"/>
              <w:right w:val="single" w:sz="4" w:space="0" w:color="auto"/>
            </w:tcBorders>
          </w:tcPr>
          <w:p w14:paraId="3C2382D2" w14:textId="77777777" w:rsidR="00E57DAA" w:rsidRDefault="00AC4185">
            <w:pPr>
              <w:rPr>
                <w:rFonts w:cs="Cambria"/>
                <w:szCs w:val="21"/>
              </w:rPr>
            </w:pPr>
            <w:r>
              <w:t>受同一母公司控制的其他企业</w:t>
            </w:r>
          </w:p>
        </w:tc>
      </w:tr>
      <w:tr w:rsidR="00E57DAA" w14:paraId="71A7DA3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1637F8" w14:textId="77777777" w:rsidR="00E57DAA" w:rsidRDefault="00AC4185">
            <w:pPr>
              <w:rPr>
                <w:rFonts w:cs="Cambria"/>
                <w:szCs w:val="21"/>
              </w:rPr>
            </w:pPr>
            <w:r>
              <w:t>泰安华泰非金属微粉有限公司</w:t>
            </w:r>
          </w:p>
        </w:tc>
        <w:tc>
          <w:tcPr>
            <w:tcW w:w="1807" w:type="pct"/>
            <w:tcBorders>
              <w:top w:val="single" w:sz="4" w:space="0" w:color="auto"/>
              <w:left w:val="single" w:sz="4" w:space="0" w:color="auto"/>
              <w:bottom w:val="single" w:sz="4" w:space="0" w:color="auto"/>
              <w:right w:val="single" w:sz="4" w:space="0" w:color="auto"/>
            </w:tcBorders>
          </w:tcPr>
          <w:p w14:paraId="646E2C56" w14:textId="77777777" w:rsidR="00E57DAA" w:rsidRDefault="00AC4185">
            <w:pPr>
              <w:rPr>
                <w:rFonts w:cs="Cambria"/>
                <w:szCs w:val="21"/>
              </w:rPr>
            </w:pPr>
            <w:r>
              <w:t>受同一母公司控制的其他企业</w:t>
            </w:r>
          </w:p>
        </w:tc>
      </w:tr>
      <w:tr w:rsidR="00E57DAA" w14:paraId="511DBAA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6AB323" w14:textId="77777777" w:rsidR="00E57DAA" w:rsidRDefault="00AC4185">
            <w:pPr>
              <w:rPr>
                <w:rFonts w:cs="Cambria"/>
                <w:szCs w:val="21"/>
              </w:rPr>
            </w:pPr>
            <w:r>
              <w:t>泰安中联混凝土有限公司</w:t>
            </w:r>
          </w:p>
        </w:tc>
        <w:tc>
          <w:tcPr>
            <w:tcW w:w="1807" w:type="pct"/>
            <w:tcBorders>
              <w:top w:val="single" w:sz="4" w:space="0" w:color="auto"/>
              <w:left w:val="single" w:sz="4" w:space="0" w:color="auto"/>
              <w:bottom w:val="single" w:sz="4" w:space="0" w:color="auto"/>
              <w:right w:val="single" w:sz="4" w:space="0" w:color="auto"/>
            </w:tcBorders>
          </w:tcPr>
          <w:p w14:paraId="4B673309" w14:textId="77777777" w:rsidR="00E57DAA" w:rsidRDefault="00AC4185">
            <w:pPr>
              <w:rPr>
                <w:rFonts w:cs="Cambria"/>
                <w:szCs w:val="21"/>
              </w:rPr>
            </w:pPr>
            <w:r>
              <w:t>受同一母公司控制的其他企业</w:t>
            </w:r>
          </w:p>
        </w:tc>
      </w:tr>
      <w:tr w:rsidR="00E57DAA" w14:paraId="7151EF9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C8DB4EF" w14:textId="77777777" w:rsidR="00E57DAA" w:rsidRDefault="00AC4185">
            <w:pPr>
              <w:rPr>
                <w:rFonts w:cs="Cambria"/>
                <w:szCs w:val="21"/>
              </w:rPr>
            </w:pPr>
            <w:r>
              <w:t>泰安中联水泥有限公司</w:t>
            </w:r>
          </w:p>
        </w:tc>
        <w:tc>
          <w:tcPr>
            <w:tcW w:w="1807" w:type="pct"/>
            <w:tcBorders>
              <w:top w:val="single" w:sz="4" w:space="0" w:color="auto"/>
              <w:left w:val="single" w:sz="4" w:space="0" w:color="auto"/>
              <w:bottom w:val="single" w:sz="4" w:space="0" w:color="auto"/>
              <w:right w:val="single" w:sz="4" w:space="0" w:color="auto"/>
            </w:tcBorders>
          </w:tcPr>
          <w:p w14:paraId="63633E17" w14:textId="77777777" w:rsidR="00E57DAA" w:rsidRDefault="00AC4185">
            <w:pPr>
              <w:rPr>
                <w:rFonts w:cs="Cambria"/>
                <w:szCs w:val="21"/>
              </w:rPr>
            </w:pPr>
            <w:r>
              <w:t>受同一母公司控制的其他企业</w:t>
            </w:r>
          </w:p>
        </w:tc>
      </w:tr>
      <w:tr w:rsidR="00E57DAA" w14:paraId="1D13F5E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606723" w14:textId="77777777" w:rsidR="00E57DAA" w:rsidRDefault="00AC4185">
            <w:pPr>
              <w:rPr>
                <w:rFonts w:cs="Cambria"/>
                <w:szCs w:val="21"/>
              </w:rPr>
            </w:pPr>
            <w:r>
              <w:t>泰山玻璃纤维（太原）有限公司</w:t>
            </w:r>
          </w:p>
        </w:tc>
        <w:tc>
          <w:tcPr>
            <w:tcW w:w="1807" w:type="pct"/>
            <w:tcBorders>
              <w:top w:val="single" w:sz="4" w:space="0" w:color="auto"/>
              <w:left w:val="single" w:sz="4" w:space="0" w:color="auto"/>
              <w:bottom w:val="single" w:sz="4" w:space="0" w:color="auto"/>
              <w:right w:val="single" w:sz="4" w:space="0" w:color="auto"/>
            </w:tcBorders>
          </w:tcPr>
          <w:p w14:paraId="6061A56B" w14:textId="77777777" w:rsidR="00E57DAA" w:rsidRDefault="00AC4185">
            <w:pPr>
              <w:rPr>
                <w:rFonts w:cs="Cambria"/>
                <w:szCs w:val="21"/>
              </w:rPr>
            </w:pPr>
            <w:r>
              <w:t>受同一母公司控制的其他企业</w:t>
            </w:r>
          </w:p>
        </w:tc>
      </w:tr>
      <w:tr w:rsidR="00E57DAA" w14:paraId="4BE76A9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1CC83D2" w14:textId="77777777" w:rsidR="00E57DAA" w:rsidRDefault="00AC4185">
            <w:pPr>
              <w:rPr>
                <w:rFonts w:cs="Cambria"/>
                <w:szCs w:val="21"/>
              </w:rPr>
            </w:pPr>
            <w:r>
              <w:t>泰山玻璃纤维有限公司</w:t>
            </w:r>
          </w:p>
        </w:tc>
        <w:tc>
          <w:tcPr>
            <w:tcW w:w="1807" w:type="pct"/>
            <w:tcBorders>
              <w:top w:val="single" w:sz="4" w:space="0" w:color="auto"/>
              <w:left w:val="single" w:sz="4" w:space="0" w:color="auto"/>
              <w:bottom w:val="single" w:sz="4" w:space="0" w:color="auto"/>
              <w:right w:val="single" w:sz="4" w:space="0" w:color="auto"/>
            </w:tcBorders>
          </w:tcPr>
          <w:p w14:paraId="3DE9C2EA" w14:textId="77777777" w:rsidR="00E57DAA" w:rsidRDefault="00AC4185">
            <w:pPr>
              <w:rPr>
                <w:rFonts w:cs="Cambria"/>
                <w:szCs w:val="21"/>
              </w:rPr>
            </w:pPr>
            <w:r>
              <w:t>受同一母公司控制的其他企业</w:t>
            </w:r>
          </w:p>
        </w:tc>
      </w:tr>
      <w:tr w:rsidR="00E57DAA" w14:paraId="614ADB7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F2008D" w14:textId="77777777" w:rsidR="00E57DAA" w:rsidRDefault="00AC4185">
            <w:pPr>
              <w:rPr>
                <w:rFonts w:cs="Cambria"/>
                <w:szCs w:val="21"/>
              </w:rPr>
            </w:pPr>
            <w:r>
              <w:t>泰山玻璃纤维邹城有限公司</w:t>
            </w:r>
          </w:p>
        </w:tc>
        <w:tc>
          <w:tcPr>
            <w:tcW w:w="1807" w:type="pct"/>
            <w:tcBorders>
              <w:top w:val="single" w:sz="4" w:space="0" w:color="auto"/>
              <w:left w:val="single" w:sz="4" w:space="0" w:color="auto"/>
              <w:bottom w:val="single" w:sz="4" w:space="0" w:color="auto"/>
              <w:right w:val="single" w:sz="4" w:space="0" w:color="auto"/>
            </w:tcBorders>
          </w:tcPr>
          <w:p w14:paraId="6A0BC9D5" w14:textId="77777777" w:rsidR="00E57DAA" w:rsidRDefault="00AC4185">
            <w:pPr>
              <w:rPr>
                <w:rFonts w:cs="Cambria"/>
                <w:szCs w:val="21"/>
              </w:rPr>
            </w:pPr>
            <w:r>
              <w:t>受同一母公司控制的其他企业</w:t>
            </w:r>
          </w:p>
        </w:tc>
      </w:tr>
      <w:tr w:rsidR="00E57DAA" w14:paraId="6D56FD5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D1BA46" w14:textId="77777777" w:rsidR="00E57DAA" w:rsidRDefault="00AC4185">
            <w:pPr>
              <w:rPr>
                <w:rFonts w:cs="Cambria"/>
                <w:szCs w:val="21"/>
              </w:rPr>
            </w:pPr>
            <w:r>
              <w:t>泰山石膏（巢湖）有限公司</w:t>
            </w:r>
          </w:p>
        </w:tc>
        <w:tc>
          <w:tcPr>
            <w:tcW w:w="1807" w:type="pct"/>
            <w:tcBorders>
              <w:top w:val="single" w:sz="4" w:space="0" w:color="auto"/>
              <w:left w:val="single" w:sz="4" w:space="0" w:color="auto"/>
              <w:bottom w:val="single" w:sz="4" w:space="0" w:color="auto"/>
              <w:right w:val="single" w:sz="4" w:space="0" w:color="auto"/>
            </w:tcBorders>
          </w:tcPr>
          <w:p w14:paraId="7BE3CDB1" w14:textId="77777777" w:rsidR="00E57DAA" w:rsidRDefault="00AC4185">
            <w:pPr>
              <w:rPr>
                <w:rFonts w:cs="Cambria"/>
                <w:szCs w:val="21"/>
              </w:rPr>
            </w:pPr>
            <w:r>
              <w:t>受同一母公司控制的其他企业</w:t>
            </w:r>
          </w:p>
        </w:tc>
      </w:tr>
      <w:tr w:rsidR="00E57DAA" w14:paraId="10BA9EE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416D70" w14:textId="77777777" w:rsidR="00E57DAA" w:rsidRDefault="00AC4185">
            <w:pPr>
              <w:rPr>
                <w:rFonts w:cs="Cambria"/>
                <w:szCs w:val="21"/>
              </w:rPr>
            </w:pPr>
            <w:r>
              <w:t>泰山石膏（内蒙古）有限公司</w:t>
            </w:r>
          </w:p>
        </w:tc>
        <w:tc>
          <w:tcPr>
            <w:tcW w:w="1807" w:type="pct"/>
            <w:tcBorders>
              <w:top w:val="single" w:sz="4" w:space="0" w:color="auto"/>
              <w:left w:val="single" w:sz="4" w:space="0" w:color="auto"/>
              <w:bottom w:val="single" w:sz="4" w:space="0" w:color="auto"/>
              <w:right w:val="single" w:sz="4" w:space="0" w:color="auto"/>
            </w:tcBorders>
          </w:tcPr>
          <w:p w14:paraId="12102726" w14:textId="77777777" w:rsidR="00E57DAA" w:rsidRDefault="00AC4185">
            <w:pPr>
              <w:rPr>
                <w:rFonts w:cs="Cambria"/>
                <w:szCs w:val="21"/>
              </w:rPr>
            </w:pPr>
            <w:r>
              <w:t>受同一母公司控制的其他企业</w:t>
            </w:r>
          </w:p>
        </w:tc>
      </w:tr>
      <w:tr w:rsidR="00E57DAA" w14:paraId="390364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6E729C" w14:textId="77777777" w:rsidR="00E57DAA" w:rsidRDefault="00AC4185">
            <w:pPr>
              <w:rPr>
                <w:rFonts w:cs="Cambria"/>
                <w:szCs w:val="21"/>
              </w:rPr>
            </w:pPr>
            <w:r>
              <w:t>泰山石膏（潍坊）有限公司</w:t>
            </w:r>
          </w:p>
        </w:tc>
        <w:tc>
          <w:tcPr>
            <w:tcW w:w="1807" w:type="pct"/>
            <w:tcBorders>
              <w:top w:val="single" w:sz="4" w:space="0" w:color="auto"/>
              <w:left w:val="single" w:sz="4" w:space="0" w:color="auto"/>
              <w:bottom w:val="single" w:sz="4" w:space="0" w:color="auto"/>
              <w:right w:val="single" w:sz="4" w:space="0" w:color="auto"/>
            </w:tcBorders>
          </w:tcPr>
          <w:p w14:paraId="422FA616" w14:textId="77777777" w:rsidR="00E57DAA" w:rsidRDefault="00AC4185">
            <w:pPr>
              <w:rPr>
                <w:rFonts w:cs="Cambria"/>
                <w:szCs w:val="21"/>
              </w:rPr>
            </w:pPr>
            <w:r>
              <w:t>受同一母公司控制的其他企业</w:t>
            </w:r>
          </w:p>
        </w:tc>
      </w:tr>
      <w:tr w:rsidR="00E57DAA" w14:paraId="797BFD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351E6F" w14:textId="77777777" w:rsidR="00E57DAA" w:rsidRDefault="00AC4185">
            <w:pPr>
              <w:rPr>
                <w:rFonts w:cs="Cambria"/>
                <w:szCs w:val="21"/>
              </w:rPr>
            </w:pPr>
            <w:r>
              <w:t>泰山石膏有限公司</w:t>
            </w:r>
          </w:p>
        </w:tc>
        <w:tc>
          <w:tcPr>
            <w:tcW w:w="1807" w:type="pct"/>
            <w:tcBorders>
              <w:top w:val="single" w:sz="4" w:space="0" w:color="auto"/>
              <w:left w:val="single" w:sz="4" w:space="0" w:color="auto"/>
              <w:bottom w:val="single" w:sz="4" w:space="0" w:color="auto"/>
              <w:right w:val="single" w:sz="4" w:space="0" w:color="auto"/>
            </w:tcBorders>
          </w:tcPr>
          <w:p w14:paraId="5ADD5E6A" w14:textId="77777777" w:rsidR="00E57DAA" w:rsidRDefault="00AC4185">
            <w:pPr>
              <w:rPr>
                <w:rFonts w:cs="Cambria"/>
                <w:szCs w:val="21"/>
              </w:rPr>
            </w:pPr>
            <w:r>
              <w:t>受同一母公司控制的其他企业</w:t>
            </w:r>
          </w:p>
        </w:tc>
      </w:tr>
      <w:tr w:rsidR="00E57DAA" w14:paraId="6069286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B4F352" w14:textId="77777777" w:rsidR="00E57DAA" w:rsidRDefault="00AC4185">
            <w:pPr>
              <w:rPr>
                <w:rFonts w:cs="Cambria"/>
                <w:szCs w:val="21"/>
              </w:rPr>
            </w:pPr>
            <w:r>
              <w:t>泰山中联水泥有限公司</w:t>
            </w:r>
          </w:p>
        </w:tc>
        <w:tc>
          <w:tcPr>
            <w:tcW w:w="1807" w:type="pct"/>
            <w:tcBorders>
              <w:top w:val="single" w:sz="4" w:space="0" w:color="auto"/>
              <w:left w:val="single" w:sz="4" w:space="0" w:color="auto"/>
              <w:bottom w:val="single" w:sz="4" w:space="0" w:color="auto"/>
              <w:right w:val="single" w:sz="4" w:space="0" w:color="auto"/>
            </w:tcBorders>
          </w:tcPr>
          <w:p w14:paraId="4CE74C5B" w14:textId="77777777" w:rsidR="00E57DAA" w:rsidRDefault="00AC4185">
            <w:pPr>
              <w:rPr>
                <w:rFonts w:cs="Cambria"/>
                <w:szCs w:val="21"/>
              </w:rPr>
            </w:pPr>
            <w:r>
              <w:t>受同一母公司控制的其他企业</w:t>
            </w:r>
          </w:p>
        </w:tc>
      </w:tr>
      <w:tr w:rsidR="00E57DAA" w14:paraId="4BF542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400675" w14:textId="77777777" w:rsidR="00E57DAA" w:rsidRDefault="00AC4185">
            <w:pPr>
              <w:rPr>
                <w:rFonts w:cs="Cambria"/>
                <w:szCs w:val="21"/>
              </w:rPr>
            </w:pPr>
            <w:r>
              <w:t>滕州中联水泥有限公司</w:t>
            </w:r>
          </w:p>
        </w:tc>
        <w:tc>
          <w:tcPr>
            <w:tcW w:w="1807" w:type="pct"/>
            <w:tcBorders>
              <w:top w:val="single" w:sz="4" w:space="0" w:color="auto"/>
              <w:left w:val="single" w:sz="4" w:space="0" w:color="auto"/>
              <w:bottom w:val="single" w:sz="4" w:space="0" w:color="auto"/>
              <w:right w:val="single" w:sz="4" w:space="0" w:color="auto"/>
            </w:tcBorders>
          </w:tcPr>
          <w:p w14:paraId="5C4486D3" w14:textId="77777777" w:rsidR="00E57DAA" w:rsidRDefault="00AC4185">
            <w:pPr>
              <w:rPr>
                <w:rFonts w:cs="Cambria"/>
                <w:szCs w:val="21"/>
              </w:rPr>
            </w:pPr>
            <w:r>
              <w:t>受同一母公司控制的其他企业</w:t>
            </w:r>
          </w:p>
        </w:tc>
      </w:tr>
      <w:tr w:rsidR="00E57DAA" w14:paraId="3796B6A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F451DB" w14:textId="77777777" w:rsidR="00E57DAA" w:rsidRDefault="00AC4185">
            <w:pPr>
              <w:rPr>
                <w:rFonts w:cs="Cambria"/>
                <w:szCs w:val="21"/>
              </w:rPr>
            </w:pPr>
            <w:r>
              <w:t>天津灯塔涂料工业发展有限公司</w:t>
            </w:r>
          </w:p>
        </w:tc>
        <w:tc>
          <w:tcPr>
            <w:tcW w:w="1807" w:type="pct"/>
            <w:tcBorders>
              <w:top w:val="single" w:sz="4" w:space="0" w:color="auto"/>
              <w:left w:val="single" w:sz="4" w:space="0" w:color="auto"/>
              <w:bottom w:val="single" w:sz="4" w:space="0" w:color="auto"/>
              <w:right w:val="single" w:sz="4" w:space="0" w:color="auto"/>
            </w:tcBorders>
          </w:tcPr>
          <w:p w14:paraId="29F50392" w14:textId="77777777" w:rsidR="00E57DAA" w:rsidRDefault="00AC4185">
            <w:pPr>
              <w:rPr>
                <w:rFonts w:cs="Cambria"/>
                <w:szCs w:val="21"/>
              </w:rPr>
            </w:pPr>
            <w:r>
              <w:t>受同一母公司控制的其他企业</w:t>
            </w:r>
          </w:p>
        </w:tc>
      </w:tr>
      <w:tr w:rsidR="00E57DAA" w14:paraId="1B5463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EB055B" w14:textId="77777777" w:rsidR="00E57DAA" w:rsidRDefault="00AC4185">
            <w:pPr>
              <w:rPr>
                <w:rFonts w:cs="Cambria"/>
                <w:szCs w:val="21"/>
              </w:rPr>
            </w:pPr>
            <w:r>
              <w:t>天水祁连山水泥有限公司</w:t>
            </w:r>
          </w:p>
        </w:tc>
        <w:tc>
          <w:tcPr>
            <w:tcW w:w="1807" w:type="pct"/>
            <w:tcBorders>
              <w:top w:val="single" w:sz="4" w:space="0" w:color="auto"/>
              <w:left w:val="single" w:sz="4" w:space="0" w:color="auto"/>
              <w:bottom w:val="single" w:sz="4" w:space="0" w:color="auto"/>
              <w:right w:val="single" w:sz="4" w:space="0" w:color="auto"/>
            </w:tcBorders>
          </w:tcPr>
          <w:p w14:paraId="72394D38" w14:textId="77777777" w:rsidR="00E57DAA" w:rsidRDefault="00AC4185">
            <w:pPr>
              <w:rPr>
                <w:rFonts w:cs="Cambria"/>
                <w:szCs w:val="21"/>
              </w:rPr>
            </w:pPr>
            <w:r>
              <w:t>受同一母公司控制的其他企业</w:t>
            </w:r>
          </w:p>
        </w:tc>
      </w:tr>
      <w:tr w:rsidR="00E57DAA" w14:paraId="61D3490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75CB86" w14:textId="77777777" w:rsidR="00E57DAA" w:rsidRDefault="00AC4185">
            <w:pPr>
              <w:rPr>
                <w:rFonts w:cs="Cambria"/>
                <w:szCs w:val="21"/>
              </w:rPr>
            </w:pPr>
            <w:r>
              <w:t>天水中材水泥有限责任公司</w:t>
            </w:r>
          </w:p>
        </w:tc>
        <w:tc>
          <w:tcPr>
            <w:tcW w:w="1807" w:type="pct"/>
            <w:tcBorders>
              <w:top w:val="single" w:sz="4" w:space="0" w:color="auto"/>
              <w:left w:val="single" w:sz="4" w:space="0" w:color="auto"/>
              <w:bottom w:val="single" w:sz="4" w:space="0" w:color="auto"/>
              <w:right w:val="single" w:sz="4" w:space="0" w:color="auto"/>
            </w:tcBorders>
          </w:tcPr>
          <w:p w14:paraId="350D7F24" w14:textId="77777777" w:rsidR="00E57DAA" w:rsidRDefault="00AC4185">
            <w:pPr>
              <w:rPr>
                <w:rFonts w:cs="Cambria"/>
                <w:szCs w:val="21"/>
              </w:rPr>
            </w:pPr>
            <w:r>
              <w:t>受同一母公司控制的其他企业</w:t>
            </w:r>
          </w:p>
        </w:tc>
      </w:tr>
      <w:tr w:rsidR="00E57DAA" w14:paraId="5586B9D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A5F0FC" w14:textId="77777777" w:rsidR="00E57DAA" w:rsidRDefault="00AC4185">
            <w:pPr>
              <w:rPr>
                <w:rFonts w:cs="Cambria"/>
                <w:szCs w:val="21"/>
              </w:rPr>
            </w:pPr>
            <w:r>
              <w:t>通辽中联水泥有限公司</w:t>
            </w:r>
          </w:p>
        </w:tc>
        <w:tc>
          <w:tcPr>
            <w:tcW w:w="1807" w:type="pct"/>
            <w:tcBorders>
              <w:top w:val="single" w:sz="4" w:space="0" w:color="auto"/>
              <w:left w:val="single" w:sz="4" w:space="0" w:color="auto"/>
              <w:bottom w:val="single" w:sz="4" w:space="0" w:color="auto"/>
              <w:right w:val="single" w:sz="4" w:space="0" w:color="auto"/>
            </w:tcBorders>
          </w:tcPr>
          <w:p w14:paraId="561A99AF" w14:textId="77777777" w:rsidR="00E57DAA" w:rsidRDefault="00AC4185">
            <w:pPr>
              <w:rPr>
                <w:rFonts w:cs="Cambria"/>
                <w:szCs w:val="21"/>
              </w:rPr>
            </w:pPr>
            <w:r>
              <w:t>受同一母公司控制的其他企业</w:t>
            </w:r>
          </w:p>
        </w:tc>
      </w:tr>
      <w:tr w:rsidR="00E57DAA" w14:paraId="65499E2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C958983" w14:textId="77777777" w:rsidR="00E57DAA" w:rsidRDefault="00AC4185">
            <w:pPr>
              <w:rPr>
                <w:rFonts w:cs="Cambria"/>
                <w:szCs w:val="21"/>
              </w:rPr>
            </w:pPr>
            <w:r>
              <w:t>桐庐南方水泥有限公司</w:t>
            </w:r>
          </w:p>
        </w:tc>
        <w:tc>
          <w:tcPr>
            <w:tcW w:w="1807" w:type="pct"/>
            <w:tcBorders>
              <w:top w:val="single" w:sz="4" w:space="0" w:color="auto"/>
              <w:left w:val="single" w:sz="4" w:space="0" w:color="auto"/>
              <w:bottom w:val="single" w:sz="4" w:space="0" w:color="auto"/>
              <w:right w:val="single" w:sz="4" w:space="0" w:color="auto"/>
            </w:tcBorders>
          </w:tcPr>
          <w:p w14:paraId="7FC936D6" w14:textId="77777777" w:rsidR="00E57DAA" w:rsidRDefault="00AC4185">
            <w:pPr>
              <w:rPr>
                <w:rFonts w:cs="Cambria"/>
                <w:szCs w:val="21"/>
              </w:rPr>
            </w:pPr>
            <w:r>
              <w:t>受同一母公司控制的其他企业</w:t>
            </w:r>
          </w:p>
        </w:tc>
      </w:tr>
      <w:tr w:rsidR="00E57DAA" w14:paraId="0D6F4F0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4466763" w14:textId="77777777" w:rsidR="00E57DAA" w:rsidRDefault="00AC4185">
            <w:pPr>
              <w:rPr>
                <w:rFonts w:cs="Cambria"/>
                <w:szCs w:val="21"/>
              </w:rPr>
            </w:pPr>
            <w:r>
              <w:t>铜仁西南水泥有限公司</w:t>
            </w:r>
          </w:p>
        </w:tc>
        <w:tc>
          <w:tcPr>
            <w:tcW w:w="1807" w:type="pct"/>
            <w:tcBorders>
              <w:top w:val="single" w:sz="4" w:space="0" w:color="auto"/>
              <w:left w:val="single" w:sz="4" w:space="0" w:color="auto"/>
              <w:bottom w:val="single" w:sz="4" w:space="0" w:color="auto"/>
              <w:right w:val="single" w:sz="4" w:space="0" w:color="auto"/>
            </w:tcBorders>
          </w:tcPr>
          <w:p w14:paraId="2BF9138A" w14:textId="77777777" w:rsidR="00E57DAA" w:rsidRDefault="00AC4185">
            <w:pPr>
              <w:rPr>
                <w:rFonts w:cs="Cambria"/>
                <w:szCs w:val="21"/>
              </w:rPr>
            </w:pPr>
            <w:r>
              <w:t>受同一母公司控制的其他企业</w:t>
            </w:r>
          </w:p>
        </w:tc>
      </w:tr>
      <w:tr w:rsidR="00E57DAA" w14:paraId="4E4A781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388F3A" w14:textId="77777777" w:rsidR="00E57DAA" w:rsidRDefault="00AC4185">
            <w:pPr>
              <w:rPr>
                <w:rFonts w:cs="Cambria"/>
                <w:szCs w:val="21"/>
              </w:rPr>
            </w:pPr>
            <w:r>
              <w:t>吐鲁番天山金越环境科技有限公司</w:t>
            </w:r>
          </w:p>
        </w:tc>
        <w:tc>
          <w:tcPr>
            <w:tcW w:w="1807" w:type="pct"/>
            <w:tcBorders>
              <w:top w:val="single" w:sz="4" w:space="0" w:color="auto"/>
              <w:left w:val="single" w:sz="4" w:space="0" w:color="auto"/>
              <w:bottom w:val="single" w:sz="4" w:space="0" w:color="auto"/>
              <w:right w:val="single" w:sz="4" w:space="0" w:color="auto"/>
            </w:tcBorders>
          </w:tcPr>
          <w:p w14:paraId="4EDB4DF4" w14:textId="77777777" w:rsidR="00E57DAA" w:rsidRDefault="00AC4185">
            <w:pPr>
              <w:rPr>
                <w:rFonts w:cs="Cambria"/>
                <w:szCs w:val="21"/>
              </w:rPr>
            </w:pPr>
            <w:r>
              <w:t>受同一母公司控制的其他企业</w:t>
            </w:r>
          </w:p>
        </w:tc>
      </w:tr>
      <w:tr w:rsidR="00E57DAA" w14:paraId="072569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9EDCACC" w14:textId="77777777" w:rsidR="00E57DAA" w:rsidRDefault="00AC4185">
            <w:pPr>
              <w:rPr>
                <w:rFonts w:cs="Cambria"/>
                <w:szCs w:val="21"/>
              </w:rPr>
            </w:pPr>
            <w:r>
              <w:t>吐鲁番天山水泥有限责任公司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5289AFAD" w14:textId="77777777" w:rsidR="00E57DAA" w:rsidRDefault="00AC4185">
            <w:pPr>
              <w:rPr>
                <w:rFonts w:cs="Cambria"/>
                <w:szCs w:val="21"/>
              </w:rPr>
            </w:pPr>
            <w:r>
              <w:t>受同一母公司控制的其他企业</w:t>
            </w:r>
          </w:p>
        </w:tc>
      </w:tr>
      <w:tr w:rsidR="00E57DAA" w14:paraId="7EBE560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418BD7" w14:textId="77777777" w:rsidR="00E57DAA" w:rsidRDefault="00AC4185">
            <w:pPr>
              <w:rPr>
                <w:rFonts w:cs="Cambria"/>
                <w:szCs w:val="21"/>
              </w:rPr>
            </w:pPr>
            <w:r>
              <w:t>汪清北方水泥有限公司</w:t>
            </w:r>
          </w:p>
        </w:tc>
        <w:tc>
          <w:tcPr>
            <w:tcW w:w="1807" w:type="pct"/>
            <w:tcBorders>
              <w:top w:val="single" w:sz="4" w:space="0" w:color="auto"/>
              <w:left w:val="single" w:sz="4" w:space="0" w:color="auto"/>
              <w:bottom w:val="single" w:sz="4" w:space="0" w:color="auto"/>
              <w:right w:val="single" w:sz="4" w:space="0" w:color="auto"/>
            </w:tcBorders>
          </w:tcPr>
          <w:p w14:paraId="0A9E876F" w14:textId="77777777" w:rsidR="00E57DAA" w:rsidRDefault="00AC4185">
            <w:pPr>
              <w:rPr>
                <w:rFonts w:cs="Cambria"/>
                <w:szCs w:val="21"/>
              </w:rPr>
            </w:pPr>
            <w:r>
              <w:t>受同一母公司控制的其他企业</w:t>
            </w:r>
          </w:p>
        </w:tc>
      </w:tr>
      <w:tr w:rsidR="00E57DAA" w14:paraId="1594EA2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F67CC4" w14:textId="77777777" w:rsidR="00E57DAA" w:rsidRDefault="00AC4185">
            <w:pPr>
              <w:rPr>
                <w:rFonts w:cs="Cambria"/>
                <w:szCs w:val="21"/>
              </w:rPr>
            </w:pPr>
            <w:r>
              <w:lastRenderedPageBreak/>
              <w:t>旺苍川煤水泥有限责任公司</w:t>
            </w:r>
          </w:p>
        </w:tc>
        <w:tc>
          <w:tcPr>
            <w:tcW w:w="1807" w:type="pct"/>
            <w:tcBorders>
              <w:top w:val="single" w:sz="4" w:space="0" w:color="auto"/>
              <w:left w:val="single" w:sz="4" w:space="0" w:color="auto"/>
              <w:bottom w:val="single" w:sz="4" w:space="0" w:color="auto"/>
              <w:right w:val="single" w:sz="4" w:space="0" w:color="auto"/>
            </w:tcBorders>
          </w:tcPr>
          <w:p w14:paraId="191D56BA" w14:textId="77777777" w:rsidR="00E57DAA" w:rsidRDefault="00AC4185">
            <w:pPr>
              <w:rPr>
                <w:rFonts w:cs="Cambria"/>
                <w:szCs w:val="21"/>
              </w:rPr>
            </w:pPr>
            <w:r>
              <w:t>受同一母公司控制的其他企业</w:t>
            </w:r>
          </w:p>
        </w:tc>
      </w:tr>
      <w:tr w:rsidR="00E57DAA" w14:paraId="3327A4C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E77FB6" w14:textId="77777777" w:rsidR="00E57DAA" w:rsidRDefault="00AC4185">
            <w:pPr>
              <w:rPr>
                <w:rFonts w:cs="Cambria"/>
                <w:szCs w:val="21"/>
              </w:rPr>
            </w:pPr>
            <w:r>
              <w:t>翁源县中源发展有限公司</w:t>
            </w:r>
          </w:p>
        </w:tc>
        <w:tc>
          <w:tcPr>
            <w:tcW w:w="1807" w:type="pct"/>
            <w:tcBorders>
              <w:top w:val="single" w:sz="4" w:space="0" w:color="auto"/>
              <w:left w:val="single" w:sz="4" w:space="0" w:color="auto"/>
              <w:bottom w:val="single" w:sz="4" w:space="0" w:color="auto"/>
              <w:right w:val="single" w:sz="4" w:space="0" w:color="auto"/>
            </w:tcBorders>
          </w:tcPr>
          <w:p w14:paraId="281B1CAB" w14:textId="77777777" w:rsidR="00E57DAA" w:rsidRDefault="00AC4185">
            <w:pPr>
              <w:rPr>
                <w:rFonts w:cs="Cambria"/>
                <w:szCs w:val="21"/>
              </w:rPr>
            </w:pPr>
            <w:r>
              <w:t>受同一母公司控制的其他企业</w:t>
            </w:r>
          </w:p>
        </w:tc>
      </w:tr>
      <w:tr w:rsidR="00E57DAA" w14:paraId="6C98A62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2E8A21C" w14:textId="77777777" w:rsidR="00E57DAA" w:rsidRDefault="00AC4185">
            <w:pPr>
              <w:rPr>
                <w:rFonts w:cs="Cambria"/>
                <w:szCs w:val="21"/>
              </w:rPr>
            </w:pPr>
            <w:r>
              <w:t>瓮安县玉山水泥（厂）有限公司</w:t>
            </w:r>
          </w:p>
        </w:tc>
        <w:tc>
          <w:tcPr>
            <w:tcW w:w="1807" w:type="pct"/>
            <w:tcBorders>
              <w:top w:val="single" w:sz="4" w:space="0" w:color="auto"/>
              <w:left w:val="single" w:sz="4" w:space="0" w:color="auto"/>
              <w:bottom w:val="single" w:sz="4" w:space="0" w:color="auto"/>
              <w:right w:val="single" w:sz="4" w:space="0" w:color="auto"/>
            </w:tcBorders>
          </w:tcPr>
          <w:p w14:paraId="019FDAC7" w14:textId="77777777" w:rsidR="00E57DAA" w:rsidRDefault="00AC4185">
            <w:pPr>
              <w:rPr>
                <w:rFonts w:cs="Cambria"/>
                <w:szCs w:val="21"/>
              </w:rPr>
            </w:pPr>
            <w:r>
              <w:t>受同一母公司控制的其他企业</w:t>
            </w:r>
          </w:p>
        </w:tc>
      </w:tr>
      <w:tr w:rsidR="00E57DAA" w14:paraId="72C9A6C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72B50A2" w14:textId="77777777" w:rsidR="00E57DAA" w:rsidRDefault="00AC4185">
            <w:pPr>
              <w:rPr>
                <w:rFonts w:cs="Cambria"/>
                <w:szCs w:val="21"/>
              </w:rPr>
            </w:pPr>
            <w:r>
              <w:t>乌海赛马水泥有限责任公司</w:t>
            </w:r>
          </w:p>
        </w:tc>
        <w:tc>
          <w:tcPr>
            <w:tcW w:w="1807" w:type="pct"/>
            <w:tcBorders>
              <w:top w:val="single" w:sz="4" w:space="0" w:color="auto"/>
              <w:left w:val="single" w:sz="4" w:space="0" w:color="auto"/>
              <w:bottom w:val="single" w:sz="4" w:space="0" w:color="auto"/>
              <w:right w:val="single" w:sz="4" w:space="0" w:color="auto"/>
            </w:tcBorders>
          </w:tcPr>
          <w:p w14:paraId="13C11EDC" w14:textId="77777777" w:rsidR="00E57DAA" w:rsidRDefault="00AC4185">
            <w:pPr>
              <w:rPr>
                <w:rFonts w:cs="Cambria"/>
                <w:szCs w:val="21"/>
              </w:rPr>
            </w:pPr>
            <w:r>
              <w:t>受同一母公司控制的其他企业</w:t>
            </w:r>
          </w:p>
        </w:tc>
      </w:tr>
      <w:tr w:rsidR="00E57DAA" w14:paraId="58BEEC4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0F02DF" w14:textId="77777777" w:rsidR="00E57DAA" w:rsidRDefault="00AC4185">
            <w:pPr>
              <w:rPr>
                <w:rFonts w:cs="Cambria"/>
                <w:szCs w:val="21"/>
              </w:rPr>
            </w:pPr>
            <w:r>
              <w:t>乌海市西水水泥有限责任公司</w:t>
            </w:r>
          </w:p>
        </w:tc>
        <w:tc>
          <w:tcPr>
            <w:tcW w:w="1807" w:type="pct"/>
            <w:tcBorders>
              <w:top w:val="single" w:sz="4" w:space="0" w:color="auto"/>
              <w:left w:val="single" w:sz="4" w:space="0" w:color="auto"/>
              <w:bottom w:val="single" w:sz="4" w:space="0" w:color="auto"/>
              <w:right w:val="single" w:sz="4" w:space="0" w:color="auto"/>
            </w:tcBorders>
          </w:tcPr>
          <w:p w14:paraId="03EDE6E1" w14:textId="77777777" w:rsidR="00E57DAA" w:rsidRDefault="00AC4185">
            <w:pPr>
              <w:rPr>
                <w:rFonts w:cs="Cambria"/>
                <w:szCs w:val="21"/>
              </w:rPr>
            </w:pPr>
            <w:r>
              <w:t>受同一母公司控制的其他企业</w:t>
            </w:r>
          </w:p>
        </w:tc>
      </w:tr>
      <w:tr w:rsidR="00E57DAA" w14:paraId="065DDE9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7A3B07" w14:textId="77777777" w:rsidR="00E57DAA" w:rsidRDefault="00AC4185">
            <w:pPr>
              <w:rPr>
                <w:rFonts w:cs="Cambria"/>
                <w:szCs w:val="21"/>
              </w:rPr>
            </w:pPr>
            <w:r>
              <w:t>乌兰察布市蒙中水泥有限公司</w:t>
            </w:r>
          </w:p>
        </w:tc>
        <w:tc>
          <w:tcPr>
            <w:tcW w:w="1807" w:type="pct"/>
            <w:tcBorders>
              <w:top w:val="single" w:sz="4" w:space="0" w:color="auto"/>
              <w:left w:val="single" w:sz="4" w:space="0" w:color="auto"/>
              <w:bottom w:val="single" w:sz="4" w:space="0" w:color="auto"/>
              <w:right w:val="single" w:sz="4" w:space="0" w:color="auto"/>
            </w:tcBorders>
          </w:tcPr>
          <w:p w14:paraId="7F3744F8" w14:textId="77777777" w:rsidR="00E57DAA" w:rsidRDefault="00AC4185">
            <w:pPr>
              <w:rPr>
                <w:rFonts w:cs="Cambria"/>
                <w:szCs w:val="21"/>
              </w:rPr>
            </w:pPr>
            <w:r>
              <w:t>受同一母公司控制的其他企业</w:t>
            </w:r>
          </w:p>
        </w:tc>
      </w:tr>
      <w:tr w:rsidR="00E57DAA" w14:paraId="0FC99DC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315AD6" w14:textId="77777777" w:rsidR="00E57DAA" w:rsidRDefault="00AC4185">
            <w:pPr>
              <w:rPr>
                <w:rFonts w:cs="Cambria"/>
                <w:szCs w:val="21"/>
              </w:rPr>
            </w:pPr>
            <w:r>
              <w:t>乌兰察布中联水泥有限公司</w:t>
            </w:r>
          </w:p>
        </w:tc>
        <w:tc>
          <w:tcPr>
            <w:tcW w:w="1807" w:type="pct"/>
            <w:tcBorders>
              <w:top w:val="single" w:sz="4" w:space="0" w:color="auto"/>
              <w:left w:val="single" w:sz="4" w:space="0" w:color="auto"/>
              <w:bottom w:val="single" w:sz="4" w:space="0" w:color="auto"/>
              <w:right w:val="single" w:sz="4" w:space="0" w:color="auto"/>
            </w:tcBorders>
          </w:tcPr>
          <w:p w14:paraId="3276B9FB" w14:textId="77777777" w:rsidR="00E57DAA" w:rsidRDefault="00AC4185">
            <w:pPr>
              <w:rPr>
                <w:rFonts w:cs="Cambria"/>
                <w:szCs w:val="21"/>
              </w:rPr>
            </w:pPr>
            <w:r>
              <w:t>受同一母公司控制的其他企业</w:t>
            </w:r>
          </w:p>
        </w:tc>
      </w:tr>
      <w:tr w:rsidR="00E57DAA" w14:paraId="51D0C13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B70C6C" w14:textId="77777777" w:rsidR="00E57DAA" w:rsidRDefault="00AC4185">
            <w:pPr>
              <w:rPr>
                <w:rFonts w:cs="Cambria"/>
                <w:szCs w:val="21"/>
              </w:rPr>
            </w:pPr>
            <w:r>
              <w:t>乌恰天山水泥有限责任公司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3D64745C" w14:textId="77777777" w:rsidR="00E57DAA" w:rsidRDefault="00AC4185">
            <w:pPr>
              <w:rPr>
                <w:rFonts w:cs="Cambria"/>
                <w:szCs w:val="21"/>
              </w:rPr>
            </w:pPr>
            <w:r>
              <w:t>受同一母公司控制的其他企业</w:t>
            </w:r>
          </w:p>
        </w:tc>
      </w:tr>
      <w:tr w:rsidR="00E57DAA" w14:paraId="6001177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90517D" w14:textId="77777777" w:rsidR="00E57DAA" w:rsidRDefault="00AC4185">
            <w:pPr>
              <w:rPr>
                <w:rFonts w:cs="Cambria"/>
                <w:szCs w:val="21"/>
              </w:rPr>
            </w:pPr>
            <w:r>
              <w:t>无锡天山水泥有限公司</w:t>
            </w:r>
          </w:p>
        </w:tc>
        <w:tc>
          <w:tcPr>
            <w:tcW w:w="1807" w:type="pct"/>
            <w:tcBorders>
              <w:top w:val="single" w:sz="4" w:space="0" w:color="auto"/>
              <w:left w:val="single" w:sz="4" w:space="0" w:color="auto"/>
              <w:bottom w:val="single" w:sz="4" w:space="0" w:color="auto"/>
              <w:right w:val="single" w:sz="4" w:space="0" w:color="auto"/>
            </w:tcBorders>
          </w:tcPr>
          <w:p w14:paraId="4B92F656" w14:textId="77777777" w:rsidR="00E57DAA" w:rsidRDefault="00AC4185">
            <w:pPr>
              <w:rPr>
                <w:rFonts w:cs="Cambria"/>
                <w:szCs w:val="21"/>
              </w:rPr>
            </w:pPr>
            <w:r>
              <w:t>受同一母公司控制的其他企业</w:t>
            </w:r>
          </w:p>
        </w:tc>
      </w:tr>
      <w:tr w:rsidR="00E57DAA" w14:paraId="435B214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EECC83" w14:textId="77777777" w:rsidR="00E57DAA" w:rsidRDefault="00AC4185">
            <w:pPr>
              <w:rPr>
                <w:rFonts w:cs="Cambria"/>
                <w:szCs w:val="21"/>
              </w:rPr>
            </w:pPr>
            <w:r>
              <w:t>吴忠赛马新型建材有限公司</w:t>
            </w:r>
          </w:p>
        </w:tc>
        <w:tc>
          <w:tcPr>
            <w:tcW w:w="1807" w:type="pct"/>
            <w:tcBorders>
              <w:top w:val="single" w:sz="4" w:space="0" w:color="auto"/>
              <w:left w:val="single" w:sz="4" w:space="0" w:color="auto"/>
              <w:bottom w:val="single" w:sz="4" w:space="0" w:color="auto"/>
              <w:right w:val="single" w:sz="4" w:space="0" w:color="auto"/>
            </w:tcBorders>
          </w:tcPr>
          <w:p w14:paraId="7828769B" w14:textId="77777777" w:rsidR="00E57DAA" w:rsidRDefault="00AC4185">
            <w:pPr>
              <w:rPr>
                <w:rFonts w:cs="Cambria"/>
                <w:szCs w:val="21"/>
              </w:rPr>
            </w:pPr>
            <w:r>
              <w:t>受同一母公司控制的其他企业</w:t>
            </w:r>
          </w:p>
        </w:tc>
      </w:tr>
      <w:tr w:rsidR="00E57DAA" w14:paraId="2BF4B5E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187C22" w14:textId="77777777" w:rsidR="00E57DAA" w:rsidRDefault="00AC4185">
            <w:pPr>
              <w:rPr>
                <w:rFonts w:cs="Cambria"/>
                <w:szCs w:val="21"/>
              </w:rPr>
            </w:pPr>
            <w:r>
              <w:t>五河中联水泥有限公司</w:t>
            </w:r>
          </w:p>
        </w:tc>
        <w:tc>
          <w:tcPr>
            <w:tcW w:w="1807" w:type="pct"/>
            <w:tcBorders>
              <w:top w:val="single" w:sz="4" w:space="0" w:color="auto"/>
              <w:left w:val="single" w:sz="4" w:space="0" w:color="auto"/>
              <w:bottom w:val="single" w:sz="4" w:space="0" w:color="auto"/>
              <w:right w:val="single" w:sz="4" w:space="0" w:color="auto"/>
            </w:tcBorders>
          </w:tcPr>
          <w:p w14:paraId="385EE7F0" w14:textId="77777777" w:rsidR="00E57DAA" w:rsidRDefault="00AC4185">
            <w:pPr>
              <w:rPr>
                <w:rFonts w:cs="Cambria"/>
                <w:szCs w:val="21"/>
              </w:rPr>
            </w:pPr>
            <w:r>
              <w:t>受同一母公司控制的其他企业</w:t>
            </w:r>
          </w:p>
        </w:tc>
      </w:tr>
      <w:tr w:rsidR="00E57DAA" w14:paraId="242DAF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F274D1" w14:textId="77777777" w:rsidR="00E57DAA" w:rsidRDefault="00AC4185">
            <w:pPr>
              <w:rPr>
                <w:rFonts w:cs="Cambria"/>
                <w:szCs w:val="21"/>
              </w:rPr>
            </w:pPr>
            <w:r>
              <w:t>西藏中材祁连山水泥有限公司</w:t>
            </w:r>
          </w:p>
        </w:tc>
        <w:tc>
          <w:tcPr>
            <w:tcW w:w="1807" w:type="pct"/>
            <w:tcBorders>
              <w:top w:val="single" w:sz="4" w:space="0" w:color="auto"/>
              <w:left w:val="single" w:sz="4" w:space="0" w:color="auto"/>
              <w:bottom w:val="single" w:sz="4" w:space="0" w:color="auto"/>
              <w:right w:val="single" w:sz="4" w:space="0" w:color="auto"/>
            </w:tcBorders>
          </w:tcPr>
          <w:p w14:paraId="21786E56" w14:textId="77777777" w:rsidR="00E57DAA" w:rsidRDefault="00AC4185">
            <w:pPr>
              <w:rPr>
                <w:rFonts w:cs="Cambria"/>
                <w:szCs w:val="21"/>
              </w:rPr>
            </w:pPr>
            <w:r>
              <w:t>受同一母公司控制的其他企业</w:t>
            </w:r>
          </w:p>
        </w:tc>
      </w:tr>
      <w:tr w:rsidR="00E57DAA" w14:paraId="267C884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A3A529" w14:textId="77777777" w:rsidR="00E57DAA" w:rsidRDefault="00AC4185">
            <w:pPr>
              <w:rPr>
                <w:rFonts w:cs="Cambria"/>
                <w:szCs w:val="21"/>
              </w:rPr>
            </w:pPr>
            <w:r>
              <w:t>淅川中联水泥有限公司</w:t>
            </w:r>
          </w:p>
        </w:tc>
        <w:tc>
          <w:tcPr>
            <w:tcW w:w="1807" w:type="pct"/>
            <w:tcBorders>
              <w:top w:val="single" w:sz="4" w:space="0" w:color="auto"/>
              <w:left w:val="single" w:sz="4" w:space="0" w:color="auto"/>
              <w:bottom w:val="single" w:sz="4" w:space="0" w:color="auto"/>
              <w:right w:val="single" w:sz="4" w:space="0" w:color="auto"/>
            </w:tcBorders>
          </w:tcPr>
          <w:p w14:paraId="2C03BD29" w14:textId="77777777" w:rsidR="00E57DAA" w:rsidRDefault="00AC4185">
            <w:pPr>
              <w:rPr>
                <w:rFonts w:cs="Cambria"/>
                <w:szCs w:val="21"/>
              </w:rPr>
            </w:pPr>
            <w:r>
              <w:t>受同一母公司控制的其他企业</w:t>
            </w:r>
          </w:p>
        </w:tc>
      </w:tr>
      <w:tr w:rsidR="00E57DAA" w14:paraId="2067CD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2845F4A" w14:textId="77777777" w:rsidR="00E57DAA" w:rsidRDefault="00AC4185">
            <w:pPr>
              <w:rPr>
                <w:rFonts w:cs="Cambria"/>
                <w:szCs w:val="21"/>
              </w:rPr>
            </w:pPr>
            <w:r>
              <w:t>习水赛德水泥有限公司</w:t>
            </w:r>
          </w:p>
        </w:tc>
        <w:tc>
          <w:tcPr>
            <w:tcW w:w="1807" w:type="pct"/>
            <w:tcBorders>
              <w:top w:val="single" w:sz="4" w:space="0" w:color="auto"/>
              <w:left w:val="single" w:sz="4" w:space="0" w:color="auto"/>
              <w:bottom w:val="single" w:sz="4" w:space="0" w:color="auto"/>
              <w:right w:val="single" w:sz="4" w:space="0" w:color="auto"/>
            </w:tcBorders>
          </w:tcPr>
          <w:p w14:paraId="7B485167" w14:textId="77777777" w:rsidR="00E57DAA" w:rsidRDefault="00AC4185">
            <w:pPr>
              <w:rPr>
                <w:rFonts w:cs="Cambria"/>
                <w:szCs w:val="21"/>
              </w:rPr>
            </w:pPr>
            <w:r>
              <w:t>受同一母公司控制的其他企业</w:t>
            </w:r>
          </w:p>
        </w:tc>
      </w:tr>
      <w:tr w:rsidR="00E57DAA" w14:paraId="3CE8E8B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348C34" w14:textId="77777777" w:rsidR="00E57DAA" w:rsidRDefault="00AC4185">
            <w:pPr>
              <w:rPr>
                <w:rFonts w:cs="Cambria"/>
                <w:szCs w:val="21"/>
              </w:rPr>
            </w:pPr>
            <w:r>
              <w:t>夏河祁连山安多水泥有限公司</w:t>
            </w:r>
          </w:p>
        </w:tc>
        <w:tc>
          <w:tcPr>
            <w:tcW w:w="1807" w:type="pct"/>
            <w:tcBorders>
              <w:top w:val="single" w:sz="4" w:space="0" w:color="auto"/>
              <w:left w:val="single" w:sz="4" w:space="0" w:color="auto"/>
              <w:bottom w:val="single" w:sz="4" w:space="0" w:color="auto"/>
              <w:right w:val="single" w:sz="4" w:space="0" w:color="auto"/>
            </w:tcBorders>
          </w:tcPr>
          <w:p w14:paraId="7FF38958" w14:textId="77777777" w:rsidR="00E57DAA" w:rsidRDefault="00AC4185">
            <w:pPr>
              <w:rPr>
                <w:rFonts w:cs="Cambria"/>
                <w:szCs w:val="21"/>
              </w:rPr>
            </w:pPr>
            <w:r>
              <w:t>受同一母公司控制的其他企业</w:t>
            </w:r>
          </w:p>
        </w:tc>
      </w:tr>
      <w:tr w:rsidR="00E57DAA" w14:paraId="7452CDB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354033" w14:textId="77777777" w:rsidR="00E57DAA" w:rsidRDefault="00AC4185">
            <w:pPr>
              <w:rPr>
                <w:rFonts w:cs="Cambria"/>
                <w:szCs w:val="21"/>
              </w:rPr>
            </w:pPr>
            <w:r>
              <w:t>响水中联水泥有限公司</w:t>
            </w:r>
          </w:p>
        </w:tc>
        <w:tc>
          <w:tcPr>
            <w:tcW w:w="1807" w:type="pct"/>
            <w:tcBorders>
              <w:top w:val="single" w:sz="4" w:space="0" w:color="auto"/>
              <w:left w:val="single" w:sz="4" w:space="0" w:color="auto"/>
              <w:bottom w:val="single" w:sz="4" w:space="0" w:color="auto"/>
              <w:right w:val="single" w:sz="4" w:space="0" w:color="auto"/>
            </w:tcBorders>
          </w:tcPr>
          <w:p w14:paraId="6BECBE70" w14:textId="77777777" w:rsidR="00E57DAA" w:rsidRDefault="00AC4185">
            <w:pPr>
              <w:rPr>
                <w:rFonts w:cs="Cambria"/>
                <w:szCs w:val="21"/>
              </w:rPr>
            </w:pPr>
            <w:r>
              <w:t>受同一母公司控制的其他企业</w:t>
            </w:r>
          </w:p>
        </w:tc>
      </w:tr>
      <w:tr w:rsidR="00E57DAA" w14:paraId="3CDDAC9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A9D4A5" w14:textId="77777777" w:rsidR="00E57DAA" w:rsidRDefault="00AC4185">
            <w:pPr>
              <w:rPr>
                <w:rFonts w:cs="Cambria"/>
                <w:szCs w:val="21"/>
              </w:rPr>
            </w:pPr>
            <w:r>
              <w:t>新安中联万基水泥有限公司</w:t>
            </w:r>
          </w:p>
        </w:tc>
        <w:tc>
          <w:tcPr>
            <w:tcW w:w="1807" w:type="pct"/>
            <w:tcBorders>
              <w:top w:val="single" w:sz="4" w:space="0" w:color="auto"/>
              <w:left w:val="single" w:sz="4" w:space="0" w:color="auto"/>
              <w:bottom w:val="single" w:sz="4" w:space="0" w:color="auto"/>
              <w:right w:val="single" w:sz="4" w:space="0" w:color="auto"/>
            </w:tcBorders>
          </w:tcPr>
          <w:p w14:paraId="394F9396" w14:textId="77777777" w:rsidR="00E57DAA" w:rsidRDefault="00AC4185">
            <w:pPr>
              <w:rPr>
                <w:rFonts w:cs="Cambria"/>
                <w:szCs w:val="21"/>
              </w:rPr>
            </w:pPr>
            <w:r>
              <w:t>受同一母公司控制的其他企业</w:t>
            </w:r>
          </w:p>
        </w:tc>
      </w:tr>
      <w:tr w:rsidR="00E57DAA" w14:paraId="1A31945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323708" w14:textId="77777777" w:rsidR="00E57DAA" w:rsidRDefault="00AC4185">
            <w:pPr>
              <w:rPr>
                <w:rFonts w:cs="Cambria"/>
                <w:szCs w:val="21"/>
              </w:rPr>
            </w:pPr>
            <w:r>
              <w:t>新疆和静天山水泥有限责任公司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6475E726" w14:textId="77777777" w:rsidR="00E57DAA" w:rsidRDefault="00AC4185">
            <w:pPr>
              <w:rPr>
                <w:rFonts w:cs="Cambria"/>
                <w:szCs w:val="21"/>
              </w:rPr>
            </w:pPr>
            <w:r>
              <w:t>受同一母公司控制的其他企业</w:t>
            </w:r>
          </w:p>
        </w:tc>
      </w:tr>
      <w:tr w:rsidR="00E57DAA" w14:paraId="1DE0853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B13B666" w14:textId="77777777" w:rsidR="00E57DAA" w:rsidRDefault="00AC4185">
            <w:pPr>
              <w:rPr>
                <w:rFonts w:cs="Cambria"/>
                <w:szCs w:val="21"/>
              </w:rPr>
            </w:pPr>
            <w:r>
              <w:t>新疆米东天山水泥有限责任公司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3E495221" w14:textId="77777777" w:rsidR="00E57DAA" w:rsidRDefault="00AC4185">
            <w:pPr>
              <w:rPr>
                <w:rFonts w:cs="Cambria"/>
                <w:szCs w:val="21"/>
              </w:rPr>
            </w:pPr>
            <w:r>
              <w:t>受同一母公司控制的其他企业</w:t>
            </w:r>
          </w:p>
        </w:tc>
      </w:tr>
      <w:tr w:rsidR="00E57DAA" w14:paraId="722C3BB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629466" w14:textId="77777777" w:rsidR="00E57DAA" w:rsidRDefault="00AC4185">
            <w:pPr>
              <w:rPr>
                <w:rFonts w:cs="Cambria"/>
                <w:szCs w:val="21"/>
              </w:rPr>
            </w:pPr>
            <w:r>
              <w:t>新疆塔里木水泥有限责任公司</w:t>
            </w:r>
          </w:p>
        </w:tc>
        <w:tc>
          <w:tcPr>
            <w:tcW w:w="1807" w:type="pct"/>
            <w:tcBorders>
              <w:top w:val="single" w:sz="4" w:space="0" w:color="auto"/>
              <w:left w:val="single" w:sz="4" w:space="0" w:color="auto"/>
              <w:bottom w:val="single" w:sz="4" w:space="0" w:color="auto"/>
              <w:right w:val="single" w:sz="4" w:space="0" w:color="auto"/>
            </w:tcBorders>
          </w:tcPr>
          <w:p w14:paraId="65E3E099" w14:textId="77777777" w:rsidR="00E57DAA" w:rsidRDefault="00AC4185">
            <w:pPr>
              <w:rPr>
                <w:rFonts w:cs="Cambria"/>
                <w:szCs w:val="21"/>
              </w:rPr>
            </w:pPr>
            <w:r>
              <w:t>受同一母公司控制的其他企业</w:t>
            </w:r>
          </w:p>
        </w:tc>
      </w:tr>
      <w:tr w:rsidR="00E57DAA" w14:paraId="1BA6278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FC28DC" w14:textId="77777777" w:rsidR="00E57DAA" w:rsidRDefault="00AC4185">
            <w:pPr>
              <w:rPr>
                <w:rFonts w:cs="Cambria"/>
                <w:szCs w:val="21"/>
              </w:rPr>
            </w:pPr>
            <w:r>
              <w:t>新疆天山建材集团耐火材料有限责任公司</w:t>
            </w:r>
          </w:p>
        </w:tc>
        <w:tc>
          <w:tcPr>
            <w:tcW w:w="1807" w:type="pct"/>
            <w:tcBorders>
              <w:top w:val="single" w:sz="4" w:space="0" w:color="auto"/>
              <w:left w:val="single" w:sz="4" w:space="0" w:color="auto"/>
              <w:bottom w:val="single" w:sz="4" w:space="0" w:color="auto"/>
              <w:right w:val="single" w:sz="4" w:space="0" w:color="auto"/>
            </w:tcBorders>
          </w:tcPr>
          <w:p w14:paraId="55B8551D" w14:textId="77777777" w:rsidR="00E57DAA" w:rsidRDefault="00AC4185">
            <w:pPr>
              <w:rPr>
                <w:rFonts w:cs="Cambria"/>
                <w:szCs w:val="21"/>
              </w:rPr>
            </w:pPr>
            <w:r>
              <w:t>受同一母公司控制的其他企业</w:t>
            </w:r>
          </w:p>
        </w:tc>
      </w:tr>
      <w:tr w:rsidR="00E57DAA" w14:paraId="0EDEE30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4758C2" w14:textId="77777777" w:rsidR="00E57DAA" w:rsidRDefault="00AC4185">
            <w:pPr>
              <w:rPr>
                <w:rFonts w:cs="Cambria"/>
                <w:szCs w:val="21"/>
              </w:rPr>
            </w:pPr>
            <w:r>
              <w:t>新疆天山水泥股份有限公司</w:t>
            </w:r>
          </w:p>
        </w:tc>
        <w:tc>
          <w:tcPr>
            <w:tcW w:w="1807" w:type="pct"/>
            <w:tcBorders>
              <w:top w:val="single" w:sz="4" w:space="0" w:color="auto"/>
              <w:left w:val="single" w:sz="4" w:space="0" w:color="auto"/>
              <w:bottom w:val="single" w:sz="4" w:space="0" w:color="auto"/>
              <w:right w:val="single" w:sz="4" w:space="0" w:color="auto"/>
            </w:tcBorders>
          </w:tcPr>
          <w:p w14:paraId="5C24E7D6" w14:textId="77777777" w:rsidR="00E57DAA" w:rsidRDefault="00AC4185">
            <w:pPr>
              <w:rPr>
                <w:rFonts w:cs="Cambria"/>
                <w:szCs w:val="21"/>
              </w:rPr>
            </w:pPr>
            <w:r>
              <w:t>受同一母公司控制的其他企业</w:t>
            </w:r>
          </w:p>
        </w:tc>
      </w:tr>
      <w:tr w:rsidR="00E57DAA" w14:paraId="3476D62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B80E56" w14:textId="77777777" w:rsidR="00E57DAA" w:rsidRDefault="00AC4185">
            <w:pPr>
              <w:rPr>
                <w:rFonts w:cs="Cambria"/>
                <w:szCs w:val="21"/>
              </w:rPr>
            </w:pPr>
            <w:r>
              <w:t>新疆天山水泥有限责任公司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0B0AB2B7" w14:textId="77777777" w:rsidR="00E57DAA" w:rsidRDefault="00AC4185">
            <w:pPr>
              <w:rPr>
                <w:rFonts w:cs="Cambria"/>
                <w:szCs w:val="21"/>
              </w:rPr>
            </w:pPr>
            <w:r>
              <w:t>受同一母公司控制的其他企业</w:t>
            </w:r>
          </w:p>
        </w:tc>
      </w:tr>
      <w:tr w:rsidR="00E57DAA" w14:paraId="34CCA67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031898" w14:textId="77777777" w:rsidR="00E57DAA" w:rsidRDefault="00AC4185">
            <w:pPr>
              <w:rPr>
                <w:rFonts w:cs="Cambria"/>
                <w:szCs w:val="21"/>
              </w:rPr>
            </w:pPr>
            <w:r>
              <w:t>新疆屯河水泥有限责任公司</w:t>
            </w:r>
          </w:p>
        </w:tc>
        <w:tc>
          <w:tcPr>
            <w:tcW w:w="1807" w:type="pct"/>
            <w:tcBorders>
              <w:top w:val="single" w:sz="4" w:space="0" w:color="auto"/>
              <w:left w:val="single" w:sz="4" w:space="0" w:color="auto"/>
              <w:bottom w:val="single" w:sz="4" w:space="0" w:color="auto"/>
              <w:right w:val="single" w:sz="4" w:space="0" w:color="auto"/>
            </w:tcBorders>
          </w:tcPr>
          <w:p w14:paraId="67D36B6A" w14:textId="77777777" w:rsidR="00E57DAA" w:rsidRDefault="00AC4185">
            <w:pPr>
              <w:rPr>
                <w:rFonts w:cs="Cambria"/>
                <w:szCs w:val="21"/>
              </w:rPr>
            </w:pPr>
            <w:r>
              <w:t>受同一母公司控制的其他企业</w:t>
            </w:r>
          </w:p>
        </w:tc>
      </w:tr>
      <w:tr w:rsidR="00E57DAA" w14:paraId="56032A5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19E3DE" w14:textId="77777777" w:rsidR="00E57DAA" w:rsidRDefault="00AC4185">
            <w:pPr>
              <w:rPr>
                <w:rFonts w:cs="Cambria"/>
                <w:szCs w:val="21"/>
              </w:rPr>
            </w:pPr>
            <w:r>
              <w:t>新泰中联泰丰水泥有限公司</w:t>
            </w:r>
          </w:p>
        </w:tc>
        <w:tc>
          <w:tcPr>
            <w:tcW w:w="1807" w:type="pct"/>
            <w:tcBorders>
              <w:top w:val="single" w:sz="4" w:space="0" w:color="auto"/>
              <w:left w:val="single" w:sz="4" w:space="0" w:color="auto"/>
              <w:bottom w:val="single" w:sz="4" w:space="0" w:color="auto"/>
              <w:right w:val="single" w:sz="4" w:space="0" w:color="auto"/>
            </w:tcBorders>
          </w:tcPr>
          <w:p w14:paraId="3E477292" w14:textId="77777777" w:rsidR="00E57DAA" w:rsidRDefault="00AC4185">
            <w:pPr>
              <w:rPr>
                <w:rFonts w:cs="Cambria"/>
                <w:szCs w:val="21"/>
              </w:rPr>
            </w:pPr>
            <w:r>
              <w:t>受同一母公司控制的其他企业</w:t>
            </w:r>
          </w:p>
        </w:tc>
      </w:tr>
      <w:tr w:rsidR="00E57DAA" w14:paraId="5B429A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7C73F8" w14:textId="77777777" w:rsidR="00E57DAA" w:rsidRDefault="00AC4185">
            <w:pPr>
              <w:rPr>
                <w:rFonts w:cs="Cambria"/>
                <w:szCs w:val="21"/>
              </w:rPr>
            </w:pPr>
            <w:r>
              <w:t>新乡平原同力水泥有限责任公司</w:t>
            </w:r>
          </w:p>
        </w:tc>
        <w:tc>
          <w:tcPr>
            <w:tcW w:w="1807" w:type="pct"/>
            <w:tcBorders>
              <w:top w:val="single" w:sz="4" w:space="0" w:color="auto"/>
              <w:left w:val="single" w:sz="4" w:space="0" w:color="auto"/>
              <w:bottom w:val="single" w:sz="4" w:space="0" w:color="auto"/>
              <w:right w:val="single" w:sz="4" w:space="0" w:color="auto"/>
            </w:tcBorders>
          </w:tcPr>
          <w:p w14:paraId="0B79D08E" w14:textId="77777777" w:rsidR="00E57DAA" w:rsidRDefault="00AC4185">
            <w:pPr>
              <w:rPr>
                <w:rFonts w:cs="Cambria"/>
                <w:szCs w:val="21"/>
              </w:rPr>
            </w:pPr>
            <w:r>
              <w:t>受同一母公司控制的其他企业</w:t>
            </w:r>
          </w:p>
        </w:tc>
      </w:tr>
      <w:tr w:rsidR="00E57DAA" w14:paraId="2DE83D7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395B54" w14:textId="77777777" w:rsidR="00E57DAA" w:rsidRDefault="00AC4185">
            <w:pPr>
              <w:rPr>
                <w:rFonts w:cs="Cambria"/>
                <w:szCs w:val="21"/>
              </w:rPr>
            </w:pPr>
            <w:r>
              <w:t>邢台中联水泥有限公司</w:t>
            </w:r>
          </w:p>
        </w:tc>
        <w:tc>
          <w:tcPr>
            <w:tcW w:w="1807" w:type="pct"/>
            <w:tcBorders>
              <w:top w:val="single" w:sz="4" w:space="0" w:color="auto"/>
              <w:left w:val="single" w:sz="4" w:space="0" w:color="auto"/>
              <w:bottom w:val="single" w:sz="4" w:space="0" w:color="auto"/>
              <w:right w:val="single" w:sz="4" w:space="0" w:color="auto"/>
            </w:tcBorders>
          </w:tcPr>
          <w:p w14:paraId="2471697A" w14:textId="77777777" w:rsidR="00E57DAA" w:rsidRDefault="00AC4185">
            <w:pPr>
              <w:rPr>
                <w:rFonts w:cs="Cambria"/>
                <w:szCs w:val="21"/>
              </w:rPr>
            </w:pPr>
            <w:r>
              <w:t>受同一母公司控制的其他企业</w:t>
            </w:r>
          </w:p>
        </w:tc>
      </w:tr>
      <w:tr w:rsidR="00E57DAA" w14:paraId="1CA53D3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8BF240" w14:textId="77777777" w:rsidR="00E57DAA" w:rsidRDefault="00AC4185">
            <w:pPr>
              <w:rPr>
                <w:rFonts w:cs="Cambria"/>
                <w:szCs w:val="21"/>
              </w:rPr>
            </w:pPr>
            <w:r>
              <w:t>荥经西南新型材料有限公司</w:t>
            </w:r>
          </w:p>
        </w:tc>
        <w:tc>
          <w:tcPr>
            <w:tcW w:w="1807" w:type="pct"/>
            <w:tcBorders>
              <w:top w:val="single" w:sz="4" w:space="0" w:color="auto"/>
              <w:left w:val="single" w:sz="4" w:space="0" w:color="auto"/>
              <w:bottom w:val="single" w:sz="4" w:space="0" w:color="auto"/>
              <w:right w:val="single" w:sz="4" w:space="0" w:color="auto"/>
            </w:tcBorders>
          </w:tcPr>
          <w:p w14:paraId="30D9552C" w14:textId="77777777" w:rsidR="00E57DAA" w:rsidRDefault="00AC4185">
            <w:pPr>
              <w:rPr>
                <w:rFonts w:cs="Cambria"/>
                <w:szCs w:val="21"/>
              </w:rPr>
            </w:pPr>
            <w:r>
              <w:t>受同一母公司控制的其他企业</w:t>
            </w:r>
          </w:p>
        </w:tc>
      </w:tr>
      <w:tr w:rsidR="00E57DAA" w14:paraId="002B775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2B5F93" w14:textId="77777777" w:rsidR="00E57DAA" w:rsidRDefault="00AC4185">
            <w:pPr>
              <w:rPr>
                <w:rFonts w:cs="Cambria"/>
                <w:szCs w:val="21"/>
              </w:rPr>
            </w:pPr>
            <w:r>
              <w:t>徐州润基建材有限公司</w:t>
            </w:r>
          </w:p>
        </w:tc>
        <w:tc>
          <w:tcPr>
            <w:tcW w:w="1807" w:type="pct"/>
            <w:tcBorders>
              <w:top w:val="single" w:sz="4" w:space="0" w:color="auto"/>
              <w:left w:val="single" w:sz="4" w:space="0" w:color="auto"/>
              <w:bottom w:val="single" w:sz="4" w:space="0" w:color="auto"/>
              <w:right w:val="single" w:sz="4" w:space="0" w:color="auto"/>
            </w:tcBorders>
          </w:tcPr>
          <w:p w14:paraId="3CFE3B08" w14:textId="77777777" w:rsidR="00E57DAA" w:rsidRDefault="00AC4185">
            <w:pPr>
              <w:rPr>
                <w:rFonts w:cs="Cambria"/>
                <w:szCs w:val="21"/>
              </w:rPr>
            </w:pPr>
            <w:r>
              <w:t>受同一母公司控制的其他企业</w:t>
            </w:r>
          </w:p>
        </w:tc>
      </w:tr>
      <w:tr w:rsidR="00E57DAA" w14:paraId="7F8A70C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8D87B1" w14:textId="77777777" w:rsidR="00E57DAA" w:rsidRDefault="00AC4185">
            <w:pPr>
              <w:rPr>
                <w:rFonts w:cs="Cambria"/>
                <w:szCs w:val="21"/>
              </w:rPr>
            </w:pPr>
            <w:r>
              <w:t>徐州中联混凝土有限公司</w:t>
            </w:r>
          </w:p>
        </w:tc>
        <w:tc>
          <w:tcPr>
            <w:tcW w:w="1807" w:type="pct"/>
            <w:tcBorders>
              <w:top w:val="single" w:sz="4" w:space="0" w:color="auto"/>
              <w:left w:val="single" w:sz="4" w:space="0" w:color="auto"/>
              <w:bottom w:val="single" w:sz="4" w:space="0" w:color="auto"/>
              <w:right w:val="single" w:sz="4" w:space="0" w:color="auto"/>
            </w:tcBorders>
          </w:tcPr>
          <w:p w14:paraId="369B514B" w14:textId="77777777" w:rsidR="00E57DAA" w:rsidRDefault="00AC4185">
            <w:pPr>
              <w:rPr>
                <w:rFonts w:cs="Cambria"/>
                <w:szCs w:val="21"/>
              </w:rPr>
            </w:pPr>
            <w:r>
              <w:t>受同一母公司控制的其他企业</w:t>
            </w:r>
          </w:p>
        </w:tc>
      </w:tr>
      <w:tr w:rsidR="00E57DAA" w14:paraId="1E4C2BC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147307" w14:textId="77777777" w:rsidR="00E57DAA" w:rsidRDefault="00AC4185">
            <w:pPr>
              <w:rPr>
                <w:rFonts w:cs="Cambria"/>
                <w:szCs w:val="21"/>
              </w:rPr>
            </w:pPr>
            <w:r>
              <w:t>徐州中联水泥有限公司</w:t>
            </w:r>
          </w:p>
        </w:tc>
        <w:tc>
          <w:tcPr>
            <w:tcW w:w="1807" w:type="pct"/>
            <w:tcBorders>
              <w:top w:val="single" w:sz="4" w:space="0" w:color="auto"/>
              <w:left w:val="single" w:sz="4" w:space="0" w:color="auto"/>
              <w:bottom w:val="single" w:sz="4" w:space="0" w:color="auto"/>
              <w:right w:val="single" w:sz="4" w:space="0" w:color="auto"/>
            </w:tcBorders>
          </w:tcPr>
          <w:p w14:paraId="148DC85C" w14:textId="77777777" w:rsidR="00E57DAA" w:rsidRDefault="00AC4185">
            <w:pPr>
              <w:rPr>
                <w:rFonts w:cs="Cambria"/>
                <w:szCs w:val="21"/>
              </w:rPr>
            </w:pPr>
            <w:r>
              <w:t>受同一母公司控制的其他企业</w:t>
            </w:r>
          </w:p>
        </w:tc>
      </w:tr>
      <w:tr w:rsidR="00E57DAA" w14:paraId="4B7C76D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38D154" w14:textId="77777777" w:rsidR="00E57DAA" w:rsidRDefault="00AC4185">
            <w:pPr>
              <w:rPr>
                <w:rFonts w:cs="Cambria"/>
                <w:szCs w:val="21"/>
              </w:rPr>
            </w:pPr>
            <w:r>
              <w:t>旬阳县永泰祥矿业有限公司</w:t>
            </w:r>
          </w:p>
        </w:tc>
        <w:tc>
          <w:tcPr>
            <w:tcW w:w="1807" w:type="pct"/>
            <w:tcBorders>
              <w:top w:val="single" w:sz="4" w:space="0" w:color="auto"/>
              <w:left w:val="single" w:sz="4" w:space="0" w:color="auto"/>
              <w:bottom w:val="single" w:sz="4" w:space="0" w:color="auto"/>
              <w:right w:val="single" w:sz="4" w:space="0" w:color="auto"/>
            </w:tcBorders>
          </w:tcPr>
          <w:p w14:paraId="7DC36166" w14:textId="77777777" w:rsidR="00E57DAA" w:rsidRDefault="00AC4185">
            <w:pPr>
              <w:rPr>
                <w:rFonts w:cs="Cambria"/>
                <w:szCs w:val="21"/>
              </w:rPr>
            </w:pPr>
            <w:r>
              <w:t>受同一母公司控制的其他企业</w:t>
            </w:r>
          </w:p>
        </w:tc>
      </w:tr>
      <w:tr w:rsidR="00E57DAA" w14:paraId="1FC34B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E73E5E" w14:textId="77777777" w:rsidR="00E57DAA" w:rsidRDefault="00AC4185">
            <w:pPr>
              <w:rPr>
                <w:rFonts w:cs="Cambria"/>
                <w:szCs w:val="21"/>
              </w:rPr>
            </w:pPr>
            <w:r>
              <w:t>烟台栖霞中联水泥有限公司</w:t>
            </w:r>
          </w:p>
        </w:tc>
        <w:tc>
          <w:tcPr>
            <w:tcW w:w="1807" w:type="pct"/>
            <w:tcBorders>
              <w:top w:val="single" w:sz="4" w:space="0" w:color="auto"/>
              <w:left w:val="single" w:sz="4" w:space="0" w:color="auto"/>
              <w:bottom w:val="single" w:sz="4" w:space="0" w:color="auto"/>
              <w:right w:val="single" w:sz="4" w:space="0" w:color="auto"/>
            </w:tcBorders>
          </w:tcPr>
          <w:p w14:paraId="42505B17" w14:textId="77777777" w:rsidR="00E57DAA" w:rsidRDefault="00AC4185">
            <w:pPr>
              <w:rPr>
                <w:rFonts w:cs="Cambria"/>
                <w:szCs w:val="21"/>
              </w:rPr>
            </w:pPr>
            <w:r>
              <w:t>受同一母公司控制的其他企业</w:t>
            </w:r>
          </w:p>
        </w:tc>
      </w:tr>
      <w:tr w:rsidR="00E57DAA" w14:paraId="3624B10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21863D" w14:textId="77777777" w:rsidR="00E57DAA" w:rsidRDefault="00AC4185">
            <w:pPr>
              <w:rPr>
                <w:rFonts w:cs="Cambria"/>
                <w:szCs w:val="21"/>
              </w:rPr>
            </w:pPr>
            <w:r>
              <w:t>叶城天山水泥有限责任公司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7B2784F5" w14:textId="77777777" w:rsidR="00E57DAA" w:rsidRDefault="00AC4185">
            <w:pPr>
              <w:rPr>
                <w:rFonts w:cs="Cambria"/>
                <w:szCs w:val="21"/>
              </w:rPr>
            </w:pPr>
            <w:r>
              <w:t>受同一母公司控制的其他企业</w:t>
            </w:r>
          </w:p>
        </w:tc>
      </w:tr>
      <w:tr w:rsidR="00E57DAA" w14:paraId="12DBD55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A917EA" w14:textId="77777777" w:rsidR="00E57DAA" w:rsidRDefault="00AC4185">
            <w:pPr>
              <w:rPr>
                <w:rFonts w:cs="Cambria"/>
                <w:szCs w:val="21"/>
              </w:rPr>
            </w:pPr>
            <w:r>
              <w:t>伊春北方水泥有限公司</w:t>
            </w:r>
          </w:p>
        </w:tc>
        <w:tc>
          <w:tcPr>
            <w:tcW w:w="1807" w:type="pct"/>
            <w:tcBorders>
              <w:top w:val="single" w:sz="4" w:space="0" w:color="auto"/>
              <w:left w:val="single" w:sz="4" w:space="0" w:color="auto"/>
              <w:bottom w:val="single" w:sz="4" w:space="0" w:color="auto"/>
              <w:right w:val="single" w:sz="4" w:space="0" w:color="auto"/>
            </w:tcBorders>
          </w:tcPr>
          <w:p w14:paraId="4A073DD4" w14:textId="77777777" w:rsidR="00E57DAA" w:rsidRDefault="00AC4185">
            <w:pPr>
              <w:rPr>
                <w:rFonts w:cs="Cambria"/>
                <w:szCs w:val="21"/>
              </w:rPr>
            </w:pPr>
            <w:r>
              <w:t>受同一母公司控制的其他企业</w:t>
            </w:r>
          </w:p>
        </w:tc>
      </w:tr>
      <w:tr w:rsidR="00E57DAA" w14:paraId="37C49F6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9456F4" w14:textId="77777777" w:rsidR="00E57DAA" w:rsidRDefault="00AC4185">
            <w:pPr>
              <w:rPr>
                <w:rFonts w:cs="Cambria"/>
                <w:szCs w:val="21"/>
              </w:rPr>
            </w:pPr>
            <w:r>
              <w:t>伊犁天山水泥有限责任公司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53D89B24" w14:textId="77777777" w:rsidR="00E57DAA" w:rsidRDefault="00AC4185">
            <w:pPr>
              <w:rPr>
                <w:rFonts w:cs="Cambria"/>
                <w:szCs w:val="21"/>
              </w:rPr>
            </w:pPr>
            <w:r>
              <w:t>受同一母公司控制的其他企业</w:t>
            </w:r>
          </w:p>
        </w:tc>
      </w:tr>
      <w:tr w:rsidR="00E57DAA" w14:paraId="7909986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2303EA" w14:textId="77777777" w:rsidR="00E57DAA" w:rsidRDefault="00AC4185">
            <w:pPr>
              <w:rPr>
                <w:rFonts w:cs="Cambria"/>
                <w:szCs w:val="21"/>
              </w:rPr>
            </w:pPr>
            <w:r>
              <w:t>沂南中联水泥有限公司</w:t>
            </w:r>
          </w:p>
        </w:tc>
        <w:tc>
          <w:tcPr>
            <w:tcW w:w="1807" w:type="pct"/>
            <w:tcBorders>
              <w:top w:val="single" w:sz="4" w:space="0" w:color="auto"/>
              <w:left w:val="single" w:sz="4" w:space="0" w:color="auto"/>
              <w:bottom w:val="single" w:sz="4" w:space="0" w:color="auto"/>
              <w:right w:val="single" w:sz="4" w:space="0" w:color="auto"/>
            </w:tcBorders>
          </w:tcPr>
          <w:p w14:paraId="1359D9EA" w14:textId="77777777" w:rsidR="00E57DAA" w:rsidRDefault="00AC4185">
            <w:pPr>
              <w:rPr>
                <w:rFonts w:cs="Cambria"/>
                <w:szCs w:val="21"/>
              </w:rPr>
            </w:pPr>
            <w:r>
              <w:t>受同一母公司控制的其他企业</w:t>
            </w:r>
          </w:p>
        </w:tc>
      </w:tr>
      <w:tr w:rsidR="00E57DAA" w14:paraId="564DB82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29BD89" w14:textId="77777777" w:rsidR="00E57DAA" w:rsidRDefault="00AC4185">
            <w:pPr>
              <w:rPr>
                <w:rFonts w:cs="Cambria"/>
                <w:szCs w:val="21"/>
              </w:rPr>
            </w:pPr>
            <w:r>
              <w:t>宜兴市阳港矿业有限公司</w:t>
            </w:r>
          </w:p>
        </w:tc>
        <w:tc>
          <w:tcPr>
            <w:tcW w:w="1807" w:type="pct"/>
            <w:tcBorders>
              <w:top w:val="single" w:sz="4" w:space="0" w:color="auto"/>
              <w:left w:val="single" w:sz="4" w:space="0" w:color="auto"/>
              <w:bottom w:val="single" w:sz="4" w:space="0" w:color="auto"/>
              <w:right w:val="single" w:sz="4" w:space="0" w:color="auto"/>
            </w:tcBorders>
          </w:tcPr>
          <w:p w14:paraId="5C58D0C3" w14:textId="77777777" w:rsidR="00E57DAA" w:rsidRDefault="00AC4185">
            <w:pPr>
              <w:rPr>
                <w:rFonts w:cs="Cambria"/>
                <w:szCs w:val="21"/>
              </w:rPr>
            </w:pPr>
            <w:r>
              <w:t>受同一母公司控制的其他企业</w:t>
            </w:r>
          </w:p>
        </w:tc>
      </w:tr>
      <w:tr w:rsidR="00E57DAA" w14:paraId="5190AE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9FC826" w14:textId="77777777" w:rsidR="00E57DAA" w:rsidRDefault="00AC4185">
            <w:pPr>
              <w:rPr>
                <w:rFonts w:cs="Cambria"/>
                <w:szCs w:val="21"/>
              </w:rPr>
            </w:pPr>
            <w:r>
              <w:t>宜兴天山水泥有限责任公司</w:t>
            </w:r>
          </w:p>
        </w:tc>
        <w:tc>
          <w:tcPr>
            <w:tcW w:w="1807" w:type="pct"/>
            <w:tcBorders>
              <w:top w:val="single" w:sz="4" w:space="0" w:color="auto"/>
              <w:left w:val="single" w:sz="4" w:space="0" w:color="auto"/>
              <w:bottom w:val="single" w:sz="4" w:space="0" w:color="auto"/>
              <w:right w:val="single" w:sz="4" w:space="0" w:color="auto"/>
            </w:tcBorders>
          </w:tcPr>
          <w:p w14:paraId="52CE5B48" w14:textId="77777777" w:rsidR="00E57DAA" w:rsidRDefault="00AC4185">
            <w:pPr>
              <w:rPr>
                <w:rFonts w:cs="Cambria"/>
                <w:szCs w:val="21"/>
              </w:rPr>
            </w:pPr>
            <w:r>
              <w:t>受同一母公司控制的其他企业</w:t>
            </w:r>
          </w:p>
        </w:tc>
      </w:tr>
      <w:tr w:rsidR="00E57DAA" w14:paraId="22F0E59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77BA96" w14:textId="77777777" w:rsidR="00E57DAA" w:rsidRDefault="00AC4185">
            <w:pPr>
              <w:rPr>
                <w:rFonts w:cs="Cambria"/>
                <w:szCs w:val="21"/>
              </w:rPr>
            </w:pPr>
            <w:r>
              <w:t>永登祁连山水泥有限公司</w:t>
            </w:r>
          </w:p>
        </w:tc>
        <w:tc>
          <w:tcPr>
            <w:tcW w:w="1807" w:type="pct"/>
            <w:tcBorders>
              <w:top w:val="single" w:sz="4" w:space="0" w:color="auto"/>
              <w:left w:val="single" w:sz="4" w:space="0" w:color="auto"/>
              <w:bottom w:val="single" w:sz="4" w:space="0" w:color="auto"/>
              <w:right w:val="single" w:sz="4" w:space="0" w:color="auto"/>
            </w:tcBorders>
          </w:tcPr>
          <w:p w14:paraId="2A3DE116" w14:textId="77777777" w:rsidR="00E57DAA" w:rsidRDefault="00AC4185">
            <w:pPr>
              <w:rPr>
                <w:rFonts w:cs="Cambria"/>
                <w:szCs w:val="21"/>
              </w:rPr>
            </w:pPr>
            <w:r>
              <w:t>受同一母公司控制的其他企业</w:t>
            </w:r>
          </w:p>
        </w:tc>
      </w:tr>
      <w:tr w:rsidR="00E57DAA" w14:paraId="21AEA94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A53245" w14:textId="77777777" w:rsidR="00E57DAA" w:rsidRDefault="00AC4185">
            <w:pPr>
              <w:rPr>
                <w:rFonts w:cs="Cambria"/>
                <w:szCs w:val="21"/>
              </w:rPr>
            </w:pPr>
            <w:r>
              <w:t>榆树北方水泥有限公司</w:t>
            </w:r>
          </w:p>
        </w:tc>
        <w:tc>
          <w:tcPr>
            <w:tcW w:w="1807" w:type="pct"/>
            <w:tcBorders>
              <w:top w:val="single" w:sz="4" w:space="0" w:color="auto"/>
              <w:left w:val="single" w:sz="4" w:space="0" w:color="auto"/>
              <w:bottom w:val="single" w:sz="4" w:space="0" w:color="auto"/>
              <w:right w:val="single" w:sz="4" w:space="0" w:color="auto"/>
            </w:tcBorders>
          </w:tcPr>
          <w:p w14:paraId="72863510" w14:textId="77777777" w:rsidR="00E57DAA" w:rsidRDefault="00AC4185">
            <w:pPr>
              <w:rPr>
                <w:rFonts w:cs="Cambria"/>
                <w:szCs w:val="21"/>
              </w:rPr>
            </w:pPr>
            <w:r>
              <w:t>受同一母公司控制的其他企业</w:t>
            </w:r>
          </w:p>
        </w:tc>
      </w:tr>
      <w:tr w:rsidR="00E57DAA" w14:paraId="1A956EA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A05252" w14:textId="77777777" w:rsidR="00E57DAA" w:rsidRDefault="00AC4185">
            <w:pPr>
              <w:rPr>
                <w:rFonts w:cs="Cambria"/>
                <w:szCs w:val="21"/>
              </w:rPr>
            </w:pPr>
            <w:r>
              <w:t>禹州市成磊建材有限公司</w:t>
            </w:r>
          </w:p>
        </w:tc>
        <w:tc>
          <w:tcPr>
            <w:tcW w:w="1807" w:type="pct"/>
            <w:tcBorders>
              <w:top w:val="single" w:sz="4" w:space="0" w:color="auto"/>
              <w:left w:val="single" w:sz="4" w:space="0" w:color="auto"/>
              <w:bottom w:val="single" w:sz="4" w:space="0" w:color="auto"/>
              <w:right w:val="single" w:sz="4" w:space="0" w:color="auto"/>
            </w:tcBorders>
          </w:tcPr>
          <w:p w14:paraId="5582EB9B" w14:textId="77777777" w:rsidR="00E57DAA" w:rsidRDefault="00AC4185">
            <w:pPr>
              <w:rPr>
                <w:rFonts w:cs="Cambria"/>
                <w:szCs w:val="21"/>
              </w:rPr>
            </w:pPr>
            <w:r>
              <w:t>受同一母公司控制的其他企业</w:t>
            </w:r>
          </w:p>
        </w:tc>
      </w:tr>
      <w:tr w:rsidR="00E57DAA" w14:paraId="077D5F4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C2D23C" w14:textId="77777777" w:rsidR="00E57DAA" w:rsidRDefault="00AC4185">
            <w:pPr>
              <w:rPr>
                <w:rFonts w:cs="Cambria"/>
                <w:szCs w:val="21"/>
              </w:rPr>
            </w:pPr>
            <w:r>
              <w:t>禹州市丰磊建材有限公司</w:t>
            </w:r>
          </w:p>
        </w:tc>
        <w:tc>
          <w:tcPr>
            <w:tcW w:w="1807" w:type="pct"/>
            <w:tcBorders>
              <w:top w:val="single" w:sz="4" w:space="0" w:color="auto"/>
              <w:left w:val="single" w:sz="4" w:space="0" w:color="auto"/>
              <w:bottom w:val="single" w:sz="4" w:space="0" w:color="auto"/>
              <w:right w:val="single" w:sz="4" w:space="0" w:color="auto"/>
            </w:tcBorders>
          </w:tcPr>
          <w:p w14:paraId="5A083245" w14:textId="77777777" w:rsidR="00E57DAA" w:rsidRDefault="00AC4185">
            <w:pPr>
              <w:rPr>
                <w:rFonts w:cs="Cambria"/>
                <w:szCs w:val="21"/>
              </w:rPr>
            </w:pPr>
            <w:r>
              <w:t>受同一母公司控制的其他企业</w:t>
            </w:r>
          </w:p>
        </w:tc>
      </w:tr>
      <w:tr w:rsidR="00E57DAA" w14:paraId="77276DF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BC0073" w14:textId="77777777" w:rsidR="00E57DAA" w:rsidRDefault="00AC4185">
            <w:pPr>
              <w:rPr>
                <w:rFonts w:cs="Cambria"/>
                <w:szCs w:val="21"/>
              </w:rPr>
            </w:pPr>
            <w:r>
              <w:t>云南澄江华荣水泥有限责任公司</w:t>
            </w:r>
          </w:p>
        </w:tc>
        <w:tc>
          <w:tcPr>
            <w:tcW w:w="1807" w:type="pct"/>
            <w:tcBorders>
              <w:top w:val="single" w:sz="4" w:space="0" w:color="auto"/>
              <w:left w:val="single" w:sz="4" w:space="0" w:color="auto"/>
              <w:bottom w:val="single" w:sz="4" w:space="0" w:color="auto"/>
              <w:right w:val="single" w:sz="4" w:space="0" w:color="auto"/>
            </w:tcBorders>
          </w:tcPr>
          <w:p w14:paraId="1A6A32B1" w14:textId="77777777" w:rsidR="00E57DAA" w:rsidRDefault="00AC4185">
            <w:pPr>
              <w:rPr>
                <w:rFonts w:cs="Cambria"/>
                <w:szCs w:val="21"/>
              </w:rPr>
            </w:pPr>
            <w:r>
              <w:t>受同一母公司控制的其他企业</w:t>
            </w:r>
          </w:p>
        </w:tc>
      </w:tr>
      <w:tr w:rsidR="00E57DAA" w14:paraId="417B01C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B28960" w14:textId="77777777" w:rsidR="00E57DAA" w:rsidRDefault="00AC4185">
            <w:pPr>
              <w:rPr>
                <w:rFonts w:cs="Cambria"/>
                <w:szCs w:val="21"/>
              </w:rPr>
            </w:pPr>
            <w:r>
              <w:t>云南富源西南水泥有限公司</w:t>
            </w:r>
          </w:p>
        </w:tc>
        <w:tc>
          <w:tcPr>
            <w:tcW w:w="1807" w:type="pct"/>
            <w:tcBorders>
              <w:top w:val="single" w:sz="4" w:space="0" w:color="auto"/>
              <w:left w:val="single" w:sz="4" w:space="0" w:color="auto"/>
              <w:bottom w:val="single" w:sz="4" w:space="0" w:color="auto"/>
              <w:right w:val="single" w:sz="4" w:space="0" w:color="auto"/>
            </w:tcBorders>
          </w:tcPr>
          <w:p w14:paraId="624D1066" w14:textId="77777777" w:rsidR="00E57DAA" w:rsidRDefault="00AC4185">
            <w:pPr>
              <w:rPr>
                <w:rFonts w:cs="Cambria"/>
                <w:szCs w:val="21"/>
              </w:rPr>
            </w:pPr>
            <w:r>
              <w:t>受同一母公司控制的其他企业</w:t>
            </w:r>
          </w:p>
        </w:tc>
      </w:tr>
      <w:tr w:rsidR="00E57DAA" w14:paraId="2A683A6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011321" w14:textId="77777777" w:rsidR="00E57DAA" w:rsidRDefault="00AC4185">
            <w:pPr>
              <w:rPr>
                <w:rFonts w:cs="Cambria"/>
                <w:szCs w:val="21"/>
              </w:rPr>
            </w:pPr>
            <w:r>
              <w:t>云南芒市西南水泥有限公司</w:t>
            </w:r>
          </w:p>
        </w:tc>
        <w:tc>
          <w:tcPr>
            <w:tcW w:w="1807" w:type="pct"/>
            <w:tcBorders>
              <w:top w:val="single" w:sz="4" w:space="0" w:color="auto"/>
              <w:left w:val="single" w:sz="4" w:space="0" w:color="auto"/>
              <w:bottom w:val="single" w:sz="4" w:space="0" w:color="auto"/>
              <w:right w:val="single" w:sz="4" w:space="0" w:color="auto"/>
            </w:tcBorders>
          </w:tcPr>
          <w:p w14:paraId="6F47A3EA" w14:textId="77777777" w:rsidR="00E57DAA" w:rsidRDefault="00AC4185">
            <w:pPr>
              <w:rPr>
                <w:rFonts w:cs="Cambria"/>
                <w:szCs w:val="21"/>
              </w:rPr>
            </w:pPr>
            <w:r>
              <w:t>受同一母公司控制的其他企业</w:t>
            </w:r>
          </w:p>
        </w:tc>
      </w:tr>
      <w:tr w:rsidR="00E57DAA" w14:paraId="3E8F996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B962928" w14:textId="77777777" w:rsidR="00E57DAA" w:rsidRDefault="00AC4185">
            <w:pPr>
              <w:rPr>
                <w:rFonts w:cs="Cambria"/>
                <w:szCs w:val="21"/>
              </w:rPr>
            </w:pPr>
            <w:r>
              <w:t>云南普洱天恒水泥有限责任公司</w:t>
            </w:r>
          </w:p>
        </w:tc>
        <w:tc>
          <w:tcPr>
            <w:tcW w:w="1807" w:type="pct"/>
            <w:tcBorders>
              <w:top w:val="single" w:sz="4" w:space="0" w:color="auto"/>
              <w:left w:val="single" w:sz="4" w:space="0" w:color="auto"/>
              <w:bottom w:val="single" w:sz="4" w:space="0" w:color="auto"/>
              <w:right w:val="single" w:sz="4" w:space="0" w:color="auto"/>
            </w:tcBorders>
          </w:tcPr>
          <w:p w14:paraId="4AB5E143" w14:textId="77777777" w:rsidR="00E57DAA" w:rsidRDefault="00AC4185">
            <w:pPr>
              <w:rPr>
                <w:rFonts w:cs="Cambria"/>
                <w:szCs w:val="21"/>
              </w:rPr>
            </w:pPr>
            <w:r>
              <w:t>受同一母公司控制的其他企业</w:t>
            </w:r>
          </w:p>
        </w:tc>
      </w:tr>
      <w:tr w:rsidR="00E57DAA" w14:paraId="6ED0BC6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FC40D6" w14:textId="77777777" w:rsidR="00E57DAA" w:rsidRDefault="00AC4185">
            <w:pPr>
              <w:rPr>
                <w:rFonts w:cs="Cambria"/>
                <w:szCs w:val="21"/>
              </w:rPr>
            </w:pPr>
            <w:r>
              <w:t>云南普洱西南水泥有限公司</w:t>
            </w:r>
          </w:p>
        </w:tc>
        <w:tc>
          <w:tcPr>
            <w:tcW w:w="1807" w:type="pct"/>
            <w:tcBorders>
              <w:top w:val="single" w:sz="4" w:space="0" w:color="auto"/>
              <w:left w:val="single" w:sz="4" w:space="0" w:color="auto"/>
              <w:bottom w:val="single" w:sz="4" w:space="0" w:color="auto"/>
              <w:right w:val="single" w:sz="4" w:space="0" w:color="auto"/>
            </w:tcBorders>
          </w:tcPr>
          <w:p w14:paraId="59500B5C" w14:textId="77777777" w:rsidR="00E57DAA" w:rsidRDefault="00AC4185">
            <w:pPr>
              <w:rPr>
                <w:rFonts w:cs="Cambria"/>
                <w:szCs w:val="21"/>
              </w:rPr>
            </w:pPr>
            <w:r>
              <w:t>受同一母公司控制的其他企业</w:t>
            </w:r>
          </w:p>
        </w:tc>
      </w:tr>
      <w:tr w:rsidR="00E57DAA" w14:paraId="5F49F58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D8E8E0" w14:textId="77777777" w:rsidR="00E57DAA" w:rsidRDefault="00AC4185">
            <w:pPr>
              <w:rPr>
                <w:rFonts w:cs="Cambria"/>
                <w:szCs w:val="21"/>
              </w:rPr>
            </w:pPr>
            <w:r>
              <w:t>云南师宗西南水泥有限公司</w:t>
            </w:r>
          </w:p>
        </w:tc>
        <w:tc>
          <w:tcPr>
            <w:tcW w:w="1807" w:type="pct"/>
            <w:tcBorders>
              <w:top w:val="single" w:sz="4" w:space="0" w:color="auto"/>
              <w:left w:val="single" w:sz="4" w:space="0" w:color="auto"/>
              <w:bottom w:val="single" w:sz="4" w:space="0" w:color="auto"/>
              <w:right w:val="single" w:sz="4" w:space="0" w:color="auto"/>
            </w:tcBorders>
          </w:tcPr>
          <w:p w14:paraId="146AC666" w14:textId="77777777" w:rsidR="00E57DAA" w:rsidRDefault="00AC4185">
            <w:pPr>
              <w:rPr>
                <w:rFonts w:cs="Cambria"/>
                <w:szCs w:val="21"/>
              </w:rPr>
            </w:pPr>
            <w:r>
              <w:t>受同一母公司控制的其他企业</w:t>
            </w:r>
          </w:p>
        </w:tc>
      </w:tr>
      <w:tr w:rsidR="00E57DAA" w14:paraId="04C31E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5DC211" w14:textId="77777777" w:rsidR="00E57DAA" w:rsidRDefault="00AC4185">
            <w:pPr>
              <w:rPr>
                <w:rFonts w:cs="Cambria"/>
                <w:szCs w:val="21"/>
              </w:rPr>
            </w:pPr>
            <w:r>
              <w:lastRenderedPageBreak/>
              <w:t>云南西南水泥有限公司</w:t>
            </w:r>
          </w:p>
        </w:tc>
        <w:tc>
          <w:tcPr>
            <w:tcW w:w="1807" w:type="pct"/>
            <w:tcBorders>
              <w:top w:val="single" w:sz="4" w:space="0" w:color="auto"/>
              <w:left w:val="single" w:sz="4" w:space="0" w:color="auto"/>
              <w:bottom w:val="single" w:sz="4" w:space="0" w:color="auto"/>
              <w:right w:val="single" w:sz="4" w:space="0" w:color="auto"/>
            </w:tcBorders>
          </w:tcPr>
          <w:p w14:paraId="2EEAE795" w14:textId="77777777" w:rsidR="00E57DAA" w:rsidRDefault="00AC4185">
            <w:pPr>
              <w:rPr>
                <w:rFonts w:cs="Cambria"/>
                <w:szCs w:val="21"/>
              </w:rPr>
            </w:pPr>
            <w:r>
              <w:t>受同一母公司控制的其他企业</w:t>
            </w:r>
          </w:p>
        </w:tc>
      </w:tr>
      <w:tr w:rsidR="00E57DAA" w14:paraId="6E2BC63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652AF9" w14:textId="77777777" w:rsidR="00E57DAA" w:rsidRDefault="00AC4185">
            <w:pPr>
              <w:rPr>
                <w:rFonts w:cs="Cambria"/>
                <w:szCs w:val="21"/>
              </w:rPr>
            </w:pPr>
            <w:r>
              <w:t>云南兴建水泥有限公司</w:t>
            </w:r>
          </w:p>
        </w:tc>
        <w:tc>
          <w:tcPr>
            <w:tcW w:w="1807" w:type="pct"/>
            <w:tcBorders>
              <w:top w:val="single" w:sz="4" w:space="0" w:color="auto"/>
              <w:left w:val="single" w:sz="4" w:space="0" w:color="auto"/>
              <w:bottom w:val="single" w:sz="4" w:space="0" w:color="auto"/>
              <w:right w:val="single" w:sz="4" w:space="0" w:color="auto"/>
            </w:tcBorders>
          </w:tcPr>
          <w:p w14:paraId="602E6028" w14:textId="77777777" w:rsidR="00E57DAA" w:rsidRDefault="00AC4185">
            <w:pPr>
              <w:rPr>
                <w:rFonts w:cs="Cambria"/>
                <w:szCs w:val="21"/>
              </w:rPr>
            </w:pPr>
            <w:r>
              <w:t>受同一母公司控制的其他企业</w:t>
            </w:r>
          </w:p>
        </w:tc>
      </w:tr>
      <w:tr w:rsidR="00E57DAA" w14:paraId="7187E2D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60AE43" w14:textId="77777777" w:rsidR="00E57DAA" w:rsidRDefault="00AC4185">
            <w:pPr>
              <w:rPr>
                <w:rFonts w:cs="Cambria"/>
                <w:szCs w:val="21"/>
              </w:rPr>
            </w:pPr>
            <w:r>
              <w:t>云南宜良西南水泥有限公司</w:t>
            </w:r>
          </w:p>
        </w:tc>
        <w:tc>
          <w:tcPr>
            <w:tcW w:w="1807" w:type="pct"/>
            <w:tcBorders>
              <w:top w:val="single" w:sz="4" w:space="0" w:color="auto"/>
              <w:left w:val="single" w:sz="4" w:space="0" w:color="auto"/>
              <w:bottom w:val="single" w:sz="4" w:space="0" w:color="auto"/>
              <w:right w:val="single" w:sz="4" w:space="0" w:color="auto"/>
            </w:tcBorders>
          </w:tcPr>
          <w:p w14:paraId="3809F850" w14:textId="77777777" w:rsidR="00E57DAA" w:rsidRDefault="00AC4185">
            <w:pPr>
              <w:rPr>
                <w:rFonts w:cs="Cambria"/>
                <w:szCs w:val="21"/>
              </w:rPr>
            </w:pPr>
            <w:r>
              <w:t>受同一母公司控制的其他企业</w:t>
            </w:r>
          </w:p>
        </w:tc>
      </w:tr>
      <w:tr w:rsidR="00E57DAA" w14:paraId="69E2CD5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161A6A" w14:textId="77777777" w:rsidR="00E57DAA" w:rsidRDefault="00AC4185">
            <w:pPr>
              <w:rPr>
                <w:rFonts w:cs="Cambria"/>
                <w:szCs w:val="21"/>
              </w:rPr>
            </w:pPr>
            <w:r>
              <w:t>云南永保特种水泥有限责任公司</w:t>
            </w:r>
          </w:p>
        </w:tc>
        <w:tc>
          <w:tcPr>
            <w:tcW w:w="1807" w:type="pct"/>
            <w:tcBorders>
              <w:top w:val="single" w:sz="4" w:space="0" w:color="auto"/>
              <w:left w:val="single" w:sz="4" w:space="0" w:color="auto"/>
              <w:bottom w:val="single" w:sz="4" w:space="0" w:color="auto"/>
              <w:right w:val="single" w:sz="4" w:space="0" w:color="auto"/>
            </w:tcBorders>
          </w:tcPr>
          <w:p w14:paraId="3C0012EC" w14:textId="77777777" w:rsidR="00E57DAA" w:rsidRDefault="00AC4185">
            <w:pPr>
              <w:rPr>
                <w:rFonts w:cs="Cambria"/>
                <w:szCs w:val="21"/>
              </w:rPr>
            </w:pPr>
            <w:r>
              <w:t>受同一母公司控制的其他企业</w:t>
            </w:r>
          </w:p>
        </w:tc>
      </w:tr>
      <w:tr w:rsidR="00E57DAA" w14:paraId="04CC0B4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EC41C5" w14:textId="77777777" w:rsidR="00E57DAA" w:rsidRDefault="00AC4185">
            <w:pPr>
              <w:rPr>
                <w:rFonts w:cs="Cambria"/>
                <w:szCs w:val="21"/>
              </w:rPr>
            </w:pPr>
            <w:r>
              <w:t>云南远东水泥有限责任公司</w:t>
            </w:r>
          </w:p>
        </w:tc>
        <w:tc>
          <w:tcPr>
            <w:tcW w:w="1807" w:type="pct"/>
            <w:tcBorders>
              <w:top w:val="single" w:sz="4" w:space="0" w:color="auto"/>
              <w:left w:val="single" w:sz="4" w:space="0" w:color="auto"/>
              <w:bottom w:val="single" w:sz="4" w:space="0" w:color="auto"/>
              <w:right w:val="single" w:sz="4" w:space="0" w:color="auto"/>
            </w:tcBorders>
          </w:tcPr>
          <w:p w14:paraId="4EA40120" w14:textId="77777777" w:rsidR="00E57DAA" w:rsidRDefault="00AC4185">
            <w:pPr>
              <w:rPr>
                <w:rFonts w:cs="Cambria"/>
                <w:szCs w:val="21"/>
              </w:rPr>
            </w:pPr>
            <w:r>
              <w:t>受同一母公司控制的其他企业</w:t>
            </w:r>
          </w:p>
        </w:tc>
      </w:tr>
      <w:tr w:rsidR="00E57DAA" w14:paraId="715837D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DA91A5" w14:textId="77777777" w:rsidR="00E57DAA" w:rsidRDefault="00AC4185">
            <w:pPr>
              <w:rPr>
                <w:rFonts w:cs="Cambria"/>
                <w:szCs w:val="21"/>
              </w:rPr>
            </w:pPr>
            <w:r>
              <w:t>枣庄中联混凝土有限公司</w:t>
            </w:r>
          </w:p>
        </w:tc>
        <w:tc>
          <w:tcPr>
            <w:tcW w:w="1807" w:type="pct"/>
            <w:tcBorders>
              <w:top w:val="single" w:sz="4" w:space="0" w:color="auto"/>
              <w:left w:val="single" w:sz="4" w:space="0" w:color="auto"/>
              <w:bottom w:val="single" w:sz="4" w:space="0" w:color="auto"/>
              <w:right w:val="single" w:sz="4" w:space="0" w:color="auto"/>
            </w:tcBorders>
          </w:tcPr>
          <w:p w14:paraId="36122668" w14:textId="77777777" w:rsidR="00E57DAA" w:rsidRDefault="00AC4185">
            <w:pPr>
              <w:rPr>
                <w:rFonts w:cs="Cambria"/>
                <w:szCs w:val="21"/>
              </w:rPr>
            </w:pPr>
            <w:r>
              <w:t>受同一母公司控制的其他企业</w:t>
            </w:r>
          </w:p>
        </w:tc>
      </w:tr>
      <w:tr w:rsidR="00E57DAA" w14:paraId="3D2667F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637864" w14:textId="77777777" w:rsidR="00E57DAA" w:rsidRDefault="00AC4185">
            <w:pPr>
              <w:rPr>
                <w:rFonts w:cs="Cambria"/>
                <w:szCs w:val="21"/>
              </w:rPr>
            </w:pPr>
            <w:r>
              <w:t>枣庄中联水泥有限公司</w:t>
            </w:r>
          </w:p>
        </w:tc>
        <w:tc>
          <w:tcPr>
            <w:tcW w:w="1807" w:type="pct"/>
            <w:tcBorders>
              <w:top w:val="single" w:sz="4" w:space="0" w:color="auto"/>
              <w:left w:val="single" w:sz="4" w:space="0" w:color="auto"/>
              <w:bottom w:val="single" w:sz="4" w:space="0" w:color="auto"/>
              <w:right w:val="single" w:sz="4" w:space="0" w:color="auto"/>
            </w:tcBorders>
          </w:tcPr>
          <w:p w14:paraId="630E7835" w14:textId="77777777" w:rsidR="00E57DAA" w:rsidRDefault="00AC4185">
            <w:pPr>
              <w:rPr>
                <w:rFonts w:cs="Cambria"/>
                <w:szCs w:val="21"/>
              </w:rPr>
            </w:pPr>
            <w:r>
              <w:t>受同一母公司控制的其他企业</w:t>
            </w:r>
          </w:p>
        </w:tc>
      </w:tr>
      <w:tr w:rsidR="00E57DAA" w14:paraId="2880484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6F38FD" w14:textId="77777777" w:rsidR="00E57DAA" w:rsidRDefault="00AC4185">
            <w:pPr>
              <w:rPr>
                <w:rFonts w:cs="Cambria"/>
                <w:szCs w:val="21"/>
              </w:rPr>
            </w:pPr>
            <w:r>
              <w:t>扎兰屯市龙北水泥有限公司</w:t>
            </w:r>
          </w:p>
        </w:tc>
        <w:tc>
          <w:tcPr>
            <w:tcW w:w="1807" w:type="pct"/>
            <w:tcBorders>
              <w:top w:val="single" w:sz="4" w:space="0" w:color="auto"/>
              <w:left w:val="single" w:sz="4" w:space="0" w:color="auto"/>
              <w:bottom w:val="single" w:sz="4" w:space="0" w:color="auto"/>
              <w:right w:val="single" w:sz="4" w:space="0" w:color="auto"/>
            </w:tcBorders>
          </w:tcPr>
          <w:p w14:paraId="16E9F59D" w14:textId="77777777" w:rsidR="00E57DAA" w:rsidRDefault="00AC4185">
            <w:pPr>
              <w:rPr>
                <w:rFonts w:cs="Cambria"/>
                <w:szCs w:val="21"/>
              </w:rPr>
            </w:pPr>
            <w:r>
              <w:t>受同一母公司控制的其他企业</w:t>
            </w:r>
          </w:p>
        </w:tc>
      </w:tr>
      <w:tr w:rsidR="00E57DAA" w14:paraId="30D2FFA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C608C46" w14:textId="77777777" w:rsidR="00E57DAA" w:rsidRDefault="00AC4185">
            <w:pPr>
              <w:rPr>
                <w:rFonts w:cs="Cambria"/>
                <w:szCs w:val="21"/>
              </w:rPr>
            </w:pPr>
            <w:r>
              <w:t>张掖祁连山水泥有限公司</w:t>
            </w:r>
          </w:p>
        </w:tc>
        <w:tc>
          <w:tcPr>
            <w:tcW w:w="1807" w:type="pct"/>
            <w:tcBorders>
              <w:top w:val="single" w:sz="4" w:space="0" w:color="auto"/>
              <w:left w:val="single" w:sz="4" w:space="0" w:color="auto"/>
              <w:bottom w:val="single" w:sz="4" w:space="0" w:color="auto"/>
              <w:right w:val="single" w:sz="4" w:space="0" w:color="auto"/>
            </w:tcBorders>
          </w:tcPr>
          <w:p w14:paraId="7EF24F23" w14:textId="77777777" w:rsidR="00E57DAA" w:rsidRDefault="00AC4185">
            <w:pPr>
              <w:rPr>
                <w:rFonts w:cs="Cambria"/>
                <w:szCs w:val="21"/>
              </w:rPr>
            </w:pPr>
            <w:r>
              <w:t>受同一母公司控制的其他企业</w:t>
            </w:r>
          </w:p>
        </w:tc>
      </w:tr>
      <w:tr w:rsidR="00E57DAA" w14:paraId="3816B61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A59E87" w14:textId="77777777" w:rsidR="00E57DAA" w:rsidRDefault="00AC4185">
            <w:pPr>
              <w:rPr>
                <w:rFonts w:cs="Cambria"/>
                <w:szCs w:val="21"/>
              </w:rPr>
            </w:pPr>
            <w:r>
              <w:t>漳县祁连山水泥有限公司</w:t>
            </w:r>
          </w:p>
        </w:tc>
        <w:tc>
          <w:tcPr>
            <w:tcW w:w="1807" w:type="pct"/>
            <w:tcBorders>
              <w:top w:val="single" w:sz="4" w:space="0" w:color="auto"/>
              <w:left w:val="single" w:sz="4" w:space="0" w:color="auto"/>
              <w:bottom w:val="single" w:sz="4" w:space="0" w:color="auto"/>
              <w:right w:val="single" w:sz="4" w:space="0" w:color="auto"/>
            </w:tcBorders>
          </w:tcPr>
          <w:p w14:paraId="51BF6F1E" w14:textId="77777777" w:rsidR="00E57DAA" w:rsidRDefault="00AC4185">
            <w:pPr>
              <w:rPr>
                <w:rFonts w:cs="Cambria"/>
                <w:szCs w:val="21"/>
              </w:rPr>
            </w:pPr>
            <w:r>
              <w:t>受同一母公司控制的其他企业</w:t>
            </w:r>
          </w:p>
        </w:tc>
      </w:tr>
      <w:tr w:rsidR="00E57DAA" w14:paraId="54B47A4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53F17C" w14:textId="77777777" w:rsidR="00E57DAA" w:rsidRDefault="00AC4185">
            <w:pPr>
              <w:rPr>
                <w:rFonts w:cs="Cambria"/>
                <w:szCs w:val="21"/>
              </w:rPr>
            </w:pPr>
            <w:r>
              <w:t>长春新天山北方水泥销售有限公司</w:t>
            </w:r>
          </w:p>
        </w:tc>
        <w:tc>
          <w:tcPr>
            <w:tcW w:w="1807" w:type="pct"/>
            <w:tcBorders>
              <w:top w:val="single" w:sz="4" w:space="0" w:color="auto"/>
              <w:left w:val="single" w:sz="4" w:space="0" w:color="auto"/>
              <w:bottom w:val="single" w:sz="4" w:space="0" w:color="auto"/>
              <w:right w:val="single" w:sz="4" w:space="0" w:color="auto"/>
            </w:tcBorders>
          </w:tcPr>
          <w:p w14:paraId="6164022E" w14:textId="77777777" w:rsidR="00E57DAA" w:rsidRDefault="00AC4185">
            <w:pPr>
              <w:rPr>
                <w:rFonts w:cs="Cambria"/>
                <w:szCs w:val="21"/>
              </w:rPr>
            </w:pPr>
            <w:r>
              <w:t>受同一母公司控制的其他企业</w:t>
            </w:r>
          </w:p>
        </w:tc>
      </w:tr>
      <w:tr w:rsidR="00E57DAA" w14:paraId="3FF3F30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C3A7EC" w14:textId="77777777" w:rsidR="00E57DAA" w:rsidRDefault="00AC4185">
            <w:pPr>
              <w:rPr>
                <w:rFonts w:cs="Cambria"/>
                <w:szCs w:val="21"/>
              </w:rPr>
            </w:pPr>
            <w:r>
              <w:t>长兴南方水泥有限公司</w:t>
            </w:r>
          </w:p>
        </w:tc>
        <w:tc>
          <w:tcPr>
            <w:tcW w:w="1807" w:type="pct"/>
            <w:tcBorders>
              <w:top w:val="single" w:sz="4" w:space="0" w:color="auto"/>
              <w:left w:val="single" w:sz="4" w:space="0" w:color="auto"/>
              <w:bottom w:val="single" w:sz="4" w:space="0" w:color="auto"/>
              <w:right w:val="single" w:sz="4" w:space="0" w:color="auto"/>
            </w:tcBorders>
          </w:tcPr>
          <w:p w14:paraId="2F0DD011" w14:textId="77777777" w:rsidR="00E57DAA" w:rsidRDefault="00AC4185">
            <w:pPr>
              <w:rPr>
                <w:rFonts w:cs="Cambria"/>
                <w:szCs w:val="21"/>
              </w:rPr>
            </w:pPr>
            <w:r>
              <w:t>受同一母公司控制的其他企业</w:t>
            </w:r>
          </w:p>
        </w:tc>
      </w:tr>
      <w:tr w:rsidR="00E57DAA" w14:paraId="1F83A19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BECE4D" w14:textId="77777777" w:rsidR="00E57DAA" w:rsidRDefault="00AC4185">
            <w:pPr>
              <w:rPr>
                <w:rFonts w:cs="Cambria"/>
                <w:szCs w:val="21"/>
              </w:rPr>
            </w:pPr>
            <w:r>
              <w:t>昭觉金鑫水泥有限责任公司</w:t>
            </w:r>
          </w:p>
        </w:tc>
        <w:tc>
          <w:tcPr>
            <w:tcW w:w="1807" w:type="pct"/>
            <w:tcBorders>
              <w:top w:val="single" w:sz="4" w:space="0" w:color="auto"/>
              <w:left w:val="single" w:sz="4" w:space="0" w:color="auto"/>
              <w:bottom w:val="single" w:sz="4" w:space="0" w:color="auto"/>
              <w:right w:val="single" w:sz="4" w:space="0" w:color="auto"/>
            </w:tcBorders>
          </w:tcPr>
          <w:p w14:paraId="0EFD1E64" w14:textId="77777777" w:rsidR="00E57DAA" w:rsidRDefault="00AC4185">
            <w:pPr>
              <w:rPr>
                <w:rFonts w:cs="Cambria"/>
                <w:szCs w:val="21"/>
              </w:rPr>
            </w:pPr>
            <w:r>
              <w:t>受同一母公司控制的其他企业</w:t>
            </w:r>
          </w:p>
        </w:tc>
      </w:tr>
      <w:tr w:rsidR="00E57DAA" w14:paraId="675F487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DA1D35" w14:textId="77777777" w:rsidR="00E57DAA" w:rsidRDefault="00AC4185">
            <w:pPr>
              <w:rPr>
                <w:rFonts w:cs="Cambria"/>
                <w:szCs w:val="21"/>
              </w:rPr>
            </w:pPr>
            <w:r>
              <w:t>浙江虎鹰水泥有限公司</w:t>
            </w:r>
          </w:p>
        </w:tc>
        <w:tc>
          <w:tcPr>
            <w:tcW w:w="1807" w:type="pct"/>
            <w:tcBorders>
              <w:top w:val="single" w:sz="4" w:space="0" w:color="auto"/>
              <w:left w:val="single" w:sz="4" w:space="0" w:color="auto"/>
              <w:bottom w:val="single" w:sz="4" w:space="0" w:color="auto"/>
              <w:right w:val="single" w:sz="4" w:space="0" w:color="auto"/>
            </w:tcBorders>
          </w:tcPr>
          <w:p w14:paraId="259F3274" w14:textId="77777777" w:rsidR="00E57DAA" w:rsidRDefault="00AC4185">
            <w:pPr>
              <w:rPr>
                <w:rFonts w:cs="Cambria"/>
                <w:szCs w:val="21"/>
              </w:rPr>
            </w:pPr>
            <w:r>
              <w:t>受同一母公司控制的其他企业</w:t>
            </w:r>
          </w:p>
        </w:tc>
      </w:tr>
      <w:tr w:rsidR="00E57DAA" w14:paraId="2123E19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6B92CF" w14:textId="77777777" w:rsidR="00E57DAA" w:rsidRDefault="00AC4185">
            <w:pPr>
              <w:rPr>
                <w:rFonts w:cs="Cambria"/>
                <w:szCs w:val="21"/>
              </w:rPr>
            </w:pPr>
            <w:r>
              <w:t>浙江金华南方尖峰水泥有限公司</w:t>
            </w:r>
          </w:p>
        </w:tc>
        <w:tc>
          <w:tcPr>
            <w:tcW w:w="1807" w:type="pct"/>
            <w:tcBorders>
              <w:top w:val="single" w:sz="4" w:space="0" w:color="auto"/>
              <w:left w:val="single" w:sz="4" w:space="0" w:color="auto"/>
              <w:bottom w:val="single" w:sz="4" w:space="0" w:color="auto"/>
              <w:right w:val="single" w:sz="4" w:space="0" w:color="auto"/>
            </w:tcBorders>
          </w:tcPr>
          <w:p w14:paraId="32EBF507" w14:textId="77777777" w:rsidR="00E57DAA" w:rsidRDefault="00AC4185">
            <w:pPr>
              <w:rPr>
                <w:rFonts w:cs="Cambria"/>
                <w:szCs w:val="21"/>
              </w:rPr>
            </w:pPr>
            <w:r>
              <w:t>受同一母公司控制的其他企业</w:t>
            </w:r>
          </w:p>
        </w:tc>
      </w:tr>
      <w:tr w:rsidR="00E57DAA" w14:paraId="587730E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93163A" w14:textId="77777777" w:rsidR="00E57DAA" w:rsidRDefault="00AC4185">
            <w:pPr>
              <w:rPr>
                <w:rFonts w:cs="Cambria"/>
                <w:szCs w:val="21"/>
              </w:rPr>
            </w:pPr>
            <w:r>
              <w:t>浙江南方水泥有限公司</w:t>
            </w:r>
          </w:p>
        </w:tc>
        <w:tc>
          <w:tcPr>
            <w:tcW w:w="1807" w:type="pct"/>
            <w:tcBorders>
              <w:top w:val="single" w:sz="4" w:space="0" w:color="auto"/>
              <w:left w:val="single" w:sz="4" w:space="0" w:color="auto"/>
              <w:bottom w:val="single" w:sz="4" w:space="0" w:color="auto"/>
              <w:right w:val="single" w:sz="4" w:space="0" w:color="auto"/>
            </w:tcBorders>
          </w:tcPr>
          <w:p w14:paraId="3DC8B93D" w14:textId="77777777" w:rsidR="00E57DAA" w:rsidRDefault="00AC4185">
            <w:pPr>
              <w:rPr>
                <w:rFonts w:cs="Cambria"/>
                <w:szCs w:val="21"/>
              </w:rPr>
            </w:pPr>
            <w:r>
              <w:t>受同一母公司控制的其他企业</w:t>
            </w:r>
          </w:p>
        </w:tc>
      </w:tr>
      <w:tr w:rsidR="00E57DAA" w14:paraId="5D0074F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9BDC4A" w14:textId="77777777" w:rsidR="00E57DAA" w:rsidRDefault="00AC4185">
            <w:pPr>
              <w:rPr>
                <w:rFonts w:cs="Cambria"/>
                <w:szCs w:val="21"/>
              </w:rPr>
            </w:pPr>
            <w:r>
              <w:t>浙江钱塘港口物流有限公司</w:t>
            </w:r>
          </w:p>
        </w:tc>
        <w:tc>
          <w:tcPr>
            <w:tcW w:w="1807" w:type="pct"/>
            <w:tcBorders>
              <w:top w:val="single" w:sz="4" w:space="0" w:color="auto"/>
              <w:left w:val="single" w:sz="4" w:space="0" w:color="auto"/>
              <w:bottom w:val="single" w:sz="4" w:space="0" w:color="auto"/>
              <w:right w:val="single" w:sz="4" w:space="0" w:color="auto"/>
            </w:tcBorders>
          </w:tcPr>
          <w:p w14:paraId="495F02EF" w14:textId="77777777" w:rsidR="00E57DAA" w:rsidRDefault="00AC4185">
            <w:pPr>
              <w:rPr>
                <w:rFonts w:cs="Cambria"/>
                <w:szCs w:val="21"/>
              </w:rPr>
            </w:pPr>
            <w:r>
              <w:t>受同一母公司控制的其他企业</w:t>
            </w:r>
          </w:p>
        </w:tc>
      </w:tr>
      <w:tr w:rsidR="00E57DAA" w14:paraId="34EE4F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95433C" w14:textId="77777777" w:rsidR="00E57DAA" w:rsidRDefault="00AC4185">
            <w:pPr>
              <w:rPr>
                <w:rFonts w:cs="Cambria"/>
                <w:szCs w:val="21"/>
              </w:rPr>
            </w:pPr>
            <w:r>
              <w:t>正安西南水泥有限公司</w:t>
            </w:r>
          </w:p>
        </w:tc>
        <w:tc>
          <w:tcPr>
            <w:tcW w:w="1807" w:type="pct"/>
            <w:tcBorders>
              <w:top w:val="single" w:sz="4" w:space="0" w:color="auto"/>
              <w:left w:val="single" w:sz="4" w:space="0" w:color="auto"/>
              <w:bottom w:val="single" w:sz="4" w:space="0" w:color="auto"/>
              <w:right w:val="single" w:sz="4" w:space="0" w:color="auto"/>
            </w:tcBorders>
          </w:tcPr>
          <w:p w14:paraId="7A414483" w14:textId="77777777" w:rsidR="00E57DAA" w:rsidRDefault="00AC4185">
            <w:pPr>
              <w:rPr>
                <w:rFonts w:cs="Cambria"/>
                <w:szCs w:val="21"/>
              </w:rPr>
            </w:pPr>
            <w:r>
              <w:t>受同一母公司控制的其他企业</w:t>
            </w:r>
          </w:p>
        </w:tc>
      </w:tr>
      <w:tr w:rsidR="00E57DAA" w14:paraId="1837589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6129E0" w14:textId="77777777" w:rsidR="00E57DAA" w:rsidRDefault="00AC4185">
            <w:pPr>
              <w:rPr>
                <w:rFonts w:cs="Cambria"/>
                <w:szCs w:val="21"/>
              </w:rPr>
            </w:pPr>
            <w:r>
              <w:t>正镶白旗中联水泥有限公司</w:t>
            </w:r>
          </w:p>
        </w:tc>
        <w:tc>
          <w:tcPr>
            <w:tcW w:w="1807" w:type="pct"/>
            <w:tcBorders>
              <w:top w:val="single" w:sz="4" w:space="0" w:color="auto"/>
              <w:left w:val="single" w:sz="4" w:space="0" w:color="auto"/>
              <w:bottom w:val="single" w:sz="4" w:space="0" w:color="auto"/>
              <w:right w:val="single" w:sz="4" w:space="0" w:color="auto"/>
            </w:tcBorders>
          </w:tcPr>
          <w:p w14:paraId="6B9041C0" w14:textId="77777777" w:rsidR="00E57DAA" w:rsidRDefault="00AC4185">
            <w:pPr>
              <w:rPr>
                <w:rFonts w:cs="Cambria"/>
                <w:szCs w:val="21"/>
              </w:rPr>
            </w:pPr>
            <w:r>
              <w:t>受同一母公司控制的其他企业</w:t>
            </w:r>
          </w:p>
        </w:tc>
      </w:tr>
      <w:tr w:rsidR="00E57DAA" w14:paraId="3ACFF84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4F4E3D" w14:textId="77777777" w:rsidR="00E57DAA" w:rsidRDefault="00AC4185">
            <w:pPr>
              <w:rPr>
                <w:rFonts w:cs="Cambria"/>
                <w:szCs w:val="21"/>
              </w:rPr>
            </w:pPr>
            <w:r>
              <w:t>中材安徽水泥有限公司</w:t>
            </w:r>
          </w:p>
        </w:tc>
        <w:tc>
          <w:tcPr>
            <w:tcW w:w="1807" w:type="pct"/>
            <w:tcBorders>
              <w:top w:val="single" w:sz="4" w:space="0" w:color="auto"/>
              <w:left w:val="single" w:sz="4" w:space="0" w:color="auto"/>
              <w:bottom w:val="single" w:sz="4" w:space="0" w:color="auto"/>
              <w:right w:val="single" w:sz="4" w:space="0" w:color="auto"/>
            </w:tcBorders>
          </w:tcPr>
          <w:p w14:paraId="63792D69" w14:textId="77777777" w:rsidR="00E57DAA" w:rsidRDefault="00AC4185">
            <w:pPr>
              <w:rPr>
                <w:rFonts w:cs="Cambria"/>
                <w:szCs w:val="21"/>
              </w:rPr>
            </w:pPr>
            <w:r>
              <w:t>受同一母公司控制的其他企业</w:t>
            </w:r>
          </w:p>
        </w:tc>
      </w:tr>
      <w:tr w:rsidR="00E57DAA" w14:paraId="519C9FA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747B2E" w14:textId="77777777" w:rsidR="00E57DAA" w:rsidRDefault="00AC4185">
            <w:pPr>
              <w:rPr>
                <w:rFonts w:cs="Cambria"/>
                <w:szCs w:val="21"/>
              </w:rPr>
            </w:pPr>
            <w:r>
              <w:t>中材常德水泥有限责任公司</w:t>
            </w:r>
          </w:p>
        </w:tc>
        <w:tc>
          <w:tcPr>
            <w:tcW w:w="1807" w:type="pct"/>
            <w:tcBorders>
              <w:top w:val="single" w:sz="4" w:space="0" w:color="auto"/>
              <w:left w:val="single" w:sz="4" w:space="0" w:color="auto"/>
              <w:bottom w:val="single" w:sz="4" w:space="0" w:color="auto"/>
              <w:right w:val="single" w:sz="4" w:space="0" w:color="auto"/>
            </w:tcBorders>
          </w:tcPr>
          <w:p w14:paraId="2AA6872D" w14:textId="77777777" w:rsidR="00E57DAA" w:rsidRDefault="00AC4185">
            <w:pPr>
              <w:rPr>
                <w:rFonts w:cs="Cambria"/>
                <w:szCs w:val="21"/>
              </w:rPr>
            </w:pPr>
            <w:r>
              <w:t>受同一母公司控制的其他企业</w:t>
            </w:r>
          </w:p>
        </w:tc>
      </w:tr>
      <w:tr w:rsidR="00E57DAA" w14:paraId="7347320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A62031" w14:textId="77777777" w:rsidR="00E57DAA" w:rsidRDefault="00AC4185">
            <w:pPr>
              <w:rPr>
                <w:rFonts w:cs="Cambria"/>
                <w:szCs w:val="21"/>
              </w:rPr>
            </w:pPr>
            <w:r>
              <w:t>中材甘肃水泥有限责任公司</w:t>
            </w:r>
          </w:p>
        </w:tc>
        <w:tc>
          <w:tcPr>
            <w:tcW w:w="1807" w:type="pct"/>
            <w:tcBorders>
              <w:top w:val="single" w:sz="4" w:space="0" w:color="auto"/>
              <w:left w:val="single" w:sz="4" w:space="0" w:color="auto"/>
              <w:bottom w:val="single" w:sz="4" w:space="0" w:color="auto"/>
              <w:right w:val="single" w:sz="4" w:space="0" w:color="auto"/>
            </w:tcBorders>
          </w:tcPr>
          <w:p w14:paraId="002DACB4" w14:textId="77777777" w:rsidR="00E57DAA" w:rsidRDefault="00AC4185">
            <w:pPr>
              <w:rPr>
                <w:rFonts w:cs="Cambria"/>
                <w:szCs w:val="21"/>
              </w:rPr>
            </w:pPr>
            <w:r>
              <w:t>受同一母公司控制的其他企业</w:t>
            </w:r>
          </w:p>
        </w:tc>
      </w:tr>
      <w:tr w:rsidR="00E57DAA" w14:paraId="740E417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565A0C" w14:textId="77777777" w:rsidR="00E57DAA" w:rsidRDefault="00AC4185">
            <w:pPr>
              <w:rPr>
                <w:rFonts w:cs="Cambria"/>
                <w:szCs w:val="21"/>
              </w:rPr>
            </w:pPr>
            <w:r>
              <w:t>中材汉江水泥股份有限公司</w:t>
            </w:r>
          </w:p>
        </w:tc>
        <w:tc>
          <w:tcPr>
            <w:tcW w:w="1807" w:type="pct"/>
            <w:tcBorders>
              <w:top w:val="single" w:sz="4" w:space="0" w:color="auto"/>
              <w:left w:val="single" w:sz="4" w:space="0" w:color="auto"/>
              <w:bottom w:val="single" w:sz="4" w:space="0" w:color="auto"/>
              <w:right w:val="single" w:sz="4" w:space="0" w:color="auto"/>
            </w:tcBorders>
          </w:tcPr>
          <w:p w14:paraId="44C927F2" w14:textId="77777777" w:rsidR="00E57DAA" w:rsidRDefault="00AC4185">
            <w:pPr>
              <w:rPr>
                <w:rFonts w:cs="Cambria"/>
                <w:szCs w:val="21"/>
              </w:rPr>
            </w:pPr>
            <w:r>
              <w:t>受同一母公司控制的其他企业</w:t>
            </w:r>
          </w:p>
        </w:tc>
      </w:tr>
      <w:tr w:rsidR="00E57DAA" w14:paraId="0676EB9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F31254" w14:textId="77777777" w:rsidR="00E57DAA" w:rsidRDefault="00AC4185">
            <w:pPr>
              <w:rPr>
                <w:rFonts w:cs="Cambria"/>
                <w:szCs w:val="21"/>
              </w:rPr>
            </w:pPr>
            <w:r>
              <w:t>中材亨达水泥有限公司</w:t>
            </w:r>
          </w:p>
        </w:tc>
        <w:tc>
          <w:tcPr>
            <w:tcW w:w="1807" w:type="pct"/>
            <w:tcBorders>
              <w:top w:val="single" w:sz="4" w:space="0" w:color="auto"/>
              <w:left w:val="single" w:sz="4" w:space="0" w:color="auto"/>
              <w:bottom w:val="single" w:sz="4" w:space="0" w:color="auto"/>
              <w:right w:val="single" w:sz="4" w:space="0" w:color="auto"/>
            </w:tcBorders>
          </w:tcPr>
          <w:p w14:paraId="45130A17" w14:textId="77777777" w:rsidR="00E57DAA" w:rsidRDefault="00AC4185">
            <w:pPr>
              <w:rPr>
                <w:rFonts w:cs="Cambria"/>
                <w:szCs w:val="21"/>
              </w:rPr>
            </w:pPr>
            <w:r>
              <w:t>受同一母公司控制的其他企业</w:t>
            </w:r>
          </w:p>
        </w:tc>
      </w:tr>
      <w:tr w:rsidR="00E57DAA" w14:paraId="185DFB7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382A5D" w14:textId="77777777" w:rsidR="00E57DAA" w:rsidRDefault="00AC4185">
            <w:pPr>
              <w:rPr>
                <w:rFonts w:cs="Cambria"/>
                <w:szCs w:val="21"/>
              </w:rPr>
            </w:pPr>
            <w:r>
              <w:t>中材科技（成都）有限公司</w:t>
            </w:r>
          </w:p>
        </w:tc>
        <w:tc>
          <w:tcPr>
            <w:tcW w:w="1807" w:type="pct"/>
            <w:tcBorders>
              <w:top w:val="single" w:sz="4" w:space="0" w:color="auto"/>
              <w:left w:val="single" w:sz="4" w:space="0" w:color="auto"/>
              <w:bottom w:val="single" w:sz="4" w:space="0" w:color="auto"/>
              <w:right w:val="single" w:sz="4" w:space="0" w:color="auto"/>
            </w:tcBorders>
          </w:tcPr>
          <w:p w14:paraId="54BE01F5" w14:textId="77777777" w:rsidR="00E57DAA" w:rsidRDefault="00AC4185">
            <w:pPr>
              <w:rPr>
                <w:rFonts w:cs="Cambria"/>
                <w:szCs w:val="21"/>
              </w:rPr>
            </w:pPr>
            <w:r>
              <w:t>受同一母公司控制的其他企业</w:t>
            </w:r>
          </w:p>
        </w:tc>
      </w:tr>
      <w:tr w:rsidR="00E57DAA" w14:paraId="331CA5B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85719A" w14:textId="77777777" w:rsidR="00E57DAA" w:rsidRDefault="00AC4185">
            <w:pPr>
              <w:rPr>
                <w:rFonts w:cs="Cambria"/>
                <w:szCs w:val="21"/>
              </w:rPr>
            </w:pPr>
            <w:r>
              <w:t>中材科技股份有限公司</w:t>
            </w:r>
          </w:p>
        </w:tc>
        <w:tc>
          <w:tcPr>
            <w:tcW w:w="1807" w:type="pct"/>
            <w:tcBorders>
              <w:top w:val="single" w:sz="4" w:space="0" w:color="auto"/>
              <w:left w:val="single" w:sz="4" w:space="0" w:color="auto"/>
              <w:bottom w:val="single" w:sz="4" w:space="0" w:color="auto"/>
              <w:right w:val="single" w:sz="4" w:space="0" w:color="auto"/>
            </w:tcBorders>
          </w:tcPr>
          <w:p w14:paraId="62640B91" w14:textId="77777777" w:rsidR="00E57DAA" w:rsidRDefault="00AC4185">
            <w:pPr>
              <w:rPr>
                <w:rFonts w:cs="Cambria"/>
                <w:szCs w:val="21"/>
              </w:rPr>
            </w:pPr>
            <w:r>
              <w:t>受同一母公司控制的其他企业</w:t>
            </w:r>
          </w:p>
        </w:tc>
      </w:tr>
      <w:tr w:rsidR="00E57DAA" w14:paraId="10375E7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0E8132" w14:textId="77777777" w:rsidR="00E57DAA" w:rsidRDefault="00AC4185">
            <w:pPr>
              <w:rPr>
                <w:rFonts w:cs="Cambria"/>
                <w:szCs w:val="21"/>
              </w:rPr>
            </w:pPr>
            <w:r>
              <w:t>中材罗定水泥有限公司</w:t>
            </w:r>
          </w:p>
        </w:tc>
        <w:tc>
          <w:tcPr>
            <w:tcW w:w="1807" w:type="pct"/>
            <w:tcBorders>
              <w:top w:val="single" w:sz="4" w:space="0" w:color="auto"/>
              <w:left w:val="single" w:sz="4" w:space="0" w:color="auto"/>
              <w:bottom w:val="single" w:sz="4" w:space="0" w:color="auto"/>
              <w:right w:val="single" w:sz="4" w:space="0" w:color="auto"/>
            </w:tcBorders>
          </w:tcPr>
          <w:p w14:paraId="607F56F2" w14:textId="77777777" w:rsidR="00E57DAA" w:rsidRDefault="00AC4185">
            <w:pPr>
              <w:rPr>
                <w:rFonts w:cs="Cambria"/>
                <w:szCs w:val="21"/>
              </w:rPr>
            </w:pPr>
            <w:r>
              <w:t>受同一母公司控制的其他企业</w:t>
            </w:r>
          </w:p>
        </w:tc>
      </w:tr>
      <w:tr w:rsidR="00E57DAA" w14:paraId="09BF15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72F4821" w14:textId="77777777" w:rsidR="00E57DAA" w:rsidRDefault="00AC4185">
            <w:pPr>
              <w:rPr>
                <w:rFonts w:cs="Cambria"/>
                <w:szCs w:val="21"/>
              </w:rPr>
            </w:pPr>
            <w:r>
              <w:t>中材萍乡水泥有限公司</w:t>
            </w:r>
          </w:p>
        </w:tc>
        <w:tc>
          <w:tcPr>
            <w:tcW w:w="1807" w:type="pct"/>
            <w:tcBorders>
              <w:top w:val="single" w:sz="4" w:space="0" w:color="auto"/>
              <w:left w:val="single" w:sz="4" w:space="0" w:color="auto"/>
              <w:bottom w:val="single" w:sz="4" w:space="0" w:color="auto"/>
              <w:right w:val="single" w:sz="4" w:space="0" w:color="auto"/>
            </w:tcBorders>
          </w:tcPr>
          <w:p w14:paraId="2BEEF879" w14:textId="77777777" w:rsidR="00E57DAA" w:rsidRDefault="00AC4185">
            <w:pPr>
              <w:rPr>
                <w:rFonts w:cs="Cambria"/>
                <w:szCs w:val="21"/>
              </w:rPr>
            </w:pPr>
            <w:r>
              <w:t>受同一母公司控制的其他企业</w:t>
            </w:r>
          </w:p>
        </w:tc>
      </w:tr>
      <w:tr w:rsidR="00E57DAA" w14:paraId="01F7D3A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AF278D" w14:textId="77777777" w:rsidR="00E57DAA" w:rsidRDefault="00AC4185">
            <w:pPr>
              <w:rPr>
                <w:rFonts w:cs="Cambria"/>
                <w:szCs w:val="21"/>
              </w:rPr>
            </w:pPr>
            <w:r>
              <w:t>中材天山（云浮）节能有限公司</w:t>
            </w:r>
          </w:p>
        </w:tc>
        <w:tc>
          <w:tcPr>
            <w:tcW w:w="1807" w:type="pct"/>
            <w:tcBorders>
              <w:top w:val="single" w:sz="4" w:space="0" w:color="auto"/>
              <w:left w:val="single" w:sz="4" w:space="0" w:color="auto"/>
              <w:bottom w:val="single" w:sz="4" w:space="0" w:color="auto"/>
              <w:right w:val="single" w:sz="4" w:space="0" w:color="auto"/>
            </w:tcBorders>
          </w:tcPr>
          <w:p w14:paraId="148D0B51" w14:textId="77777777" w:rsidR="00E57DAA" w:rsidRDefault="00AC4185">
            <w:pPr>
              <w:rPr>
                <w:rFonts w:cs="Cambria"/>
                <w:szCs w:val="21"/>
              </w:rPr>
            </w:pPr>
            <w:r>
              <w:t>受同一母公司控制的其他企业</w:t>
            </w:r>
          </w:p>
        </w:tc>
      </w:tr>
      <w:tr w:rsidR="00E57DAA" w14:paraId="7C058E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7FAB7A" w14:textId="77777777" w:rsidR="00E57DAA" w:rsidRDefault="00AC4185">
            <w:pPr>
              <w:rPr>
                <w:rFonts w:cs="Cambria"/>
                <w:szCs w:val="21"/>
              </w:rPr>
            </w:pPr>
            <w:r>
              <w:t>中材天山（云浮）水泥有限公司</w:t>
            </w:r>
          </w:p>
        </w:tc>
        <w:tc>
          <w:tcPr>
            <w:tcW w:w="1807" w:type="pct"/>
            <w:tcBorders>
              <w:top w:val="single" w:sz="4" w:space="0" w:color="auto"/>
              <w:left w:val="single" w:sz="4" w:space="0" w:color="auto"/>
              <w:bottom w:val="single" w:sz="4" w:space="0" w:color="auto"/>
              <w:right w:val="single" w:sz="4" w:space="0" w:color="auto"/>
            </w:tcBorders>
          </w:tcPr>
          <w:p w14:paraId="0BE219D4" w14:textId="77777777" w:rsidR="00E57DAA" w:rsidRDefault="00AC4185">
            <w:pPr>
              <w:rPr>
                <w:rFonts w:cs="Cambria"/>
                <w:szCs w:val="21"/>
              </w:rPr>
            </w:pPr>
            <w:r>
              <w:t>受同一母公司控制的其他企业</w:t>
            </w:r>
          </w:p>
        </w:tc>
      </w:tr>
      <w:tr w:rsidR="00E57DAA" w14:paraId="4A9061A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C374AC3" w14:textId="77777777" w:rsidR="00E57DAA" w:rsidRDefault="00AC4185">
            <w:pPr>
              <w:rPr>
                <w:rFonts w:cs="Cambria"/>
                <w:szCs w:val="21"/>
              </w:rPr>
            </w:pPr>
            <w:r>
              <w:t>中材天山（珠海）水泥有限公司</w:t>
            </w:r>
          </w:p>
        </w:tc>
        <w:tc>
          <w:tcPr>
            <w:tcW w:w="1807" w:type="pct"/>
            <w:tcBorders>
              <w:top w:val="single" w:sz="4" w:space="0" w:color="auto"/>
              <w:left w:val="single" w:sz="4" w:space="0" w:color="auto"/>
              <w:bottom w:val="single" w:sz="4" w:space="0" w:color="auto"/>
              <w:right w:val="single" w:sz="4" w:space="0" w:color="auto"/>
            </w:tcBorders>
          </w:tcPr>
          <w:p w14:paraId="703C0B74" w14:textId="77777777" w:rsidR="00E57DAA" w:rsidRDefault="00AC4185">
            <w:pPr>
              <w:rPr>
                <w:rFonts w:cs="Cambria"/>
                <w:szCs w:val="21"/>
              </w:rPr>
            </w:pPr>
            <w:r>
              <w:t>受同一母公司控制的其他企业</w:t>
            </w:r>
          </w:p>
        </w:tc>
      </w:tr>
      <w:tr w:rsidR="00E57DAA" w14:paraId="6E0B8D0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FEBE33" w14:textId="77777777" w:rsidR="00E57DAA" w:rsidRDefault="00AC4185">
            <w:pPr>
              <w:rPr>
                <w:rFonts w:cs="Cambria"/>
                <w:szCs w:val="21"/>
              </w:rPr>
            </w:pPr>
            <w:r>
              <w:t>中材湘潭水泥有限责任公司</w:t>
            </w:r>
          </w:p>
        </w:tc>
        <w:tc>
          <w:tcPr>
            <w:tcW w:w="1807" w:type="pct"/>
            <w:tcBorders>
              <w:top w:val="single" w:sz="4" w:space="0" w:color="auto"/>
              <w:left w:val="single" w:sz="4" w:space="0" w:color="auto"/>
              <w:bottom w:val="single" w:sz="4" w:space="0" w:color="auto"/>
              <w:right w:val="single" w:sz="4" w:space="0" w:color="auto"/>
            </w:tcBorders>
          </w:tcPr>
          <w:p w14:paraId="0AD37A68" w14:textId="77777777" w:rsidR="00E57DAA" w:rsidRDefault="00AC4185">
            <w:pPr>
              <w:rPr>
                <w:rFonts w:cs="Cambria"/>
                <w:szCs w:val="21"/>
              </w:rPr>
            </w:pPr>
            <w:r>
              <w:t>受同一母公司控制的其他企业</w:t>
            </w:r>
          </w:p>
        </w:tc>
      </w:tr>
      <w:tr w:rsidR="00E57DAA" w14:paraId="2A754D5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2DDD38" w14:textId="77777777" w:rsidR="00E57DAA" w:rsidRDefault="00AC4185">
            <w:pPr>
              <w:rPr>
                <w:rFonts w:cs="Cambria"/>
                <w:szCs w:val="21"/>
              </w:rPr>
            </w:pPr>
            <w:r>
              <w:t>中材株洲水泥有限责任公司</w:t>
            </w:r>
          </w:p>
        </w:tc>
        <w:tc>
          <w:tcPr>
            <w:tcW w:w="1807" w:type="pct"/>
            <w:tcBorders>
              <w:top w:val="single" w:sz="4" w:space="0" w:color="auto"/>
              <w:left w:val="single" w:sz="4" w:space="0" w:color="auto"/>
              <w:bottom w:val="single" w:sz="4" w:space="0" w:color="auto"/>
              <w:right w:val="single" w:sz="4" w:space="0" w:color="auto"/>
            </w:tcBorders>
          </w:tcPr>
          <w:p w14:paraId="168C9679" w14:textId="77777777" w:rsidR="00E57DAA" w:rsidRDefault="00AC4185">
            <w:pPr>
              <w:rPr>
                <w:rFonts w:cs="Cambria"/>
                <w:szCs w:val="21"/>
              </w:rPr>
            </w:pPr>
            <w:r>
              <w:t>受同一母公司控制的其他企业</w:t>
            </w:r>
          </w:p>
        </w:tc>
      </w:tr>
      <w:tr w:rsidR="00E57DAA" w14:paraId="40FE345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25C578" w14:textId="77777777" w:rsidR="00E57DAA" w:rsidRDefault="00AC4185">
            <w:pPr>
              <w:rPr>
                <w:rFonts w:cs="Cambria"/>
                <w:szCs w:val="21"/>
              </w:rPr>
            </w:pPr>
            <w:r>
              <w:t>中复新水源科技有限公司</w:t>
            </w:r>
          </w:p>
        </w:tc>
        <w:tc>
          <w:tcPr>
            <w:tcW w:w="1807" w:type="pct"/>
            <w:tcBorders>
              <w:top w:val="single" w:sz="4" w:space="0" w:color="auto"/>
              <w:left w:val="single" w:sz="4" w:space="0" w:color="auto"/>
              <w:bottom w:val="single" w:sz="4" w:space="0" w:color="auto"/>
              <w:right w:val="single" w:sz="4" w:space="0" w:color="auto"/>
            </w:tcBorders>
          </w:tcPr>
          <w:p w14:paraId="511580E2" w14:textId="77777777" w:rsidR="00E57DAA" w:rsidRDefault="00AC4185">
            <w:pPr>
              <w:rPr>
                <w:rFonts w:cs="Cambria"/>
                <w:szCs w:val="21"/>
              </w:rPr>
            </w:pPr>
            <w:r>
              <w:t>受同一母公司控制的其他企业</w:t>
            </w:r>
          </w:p>
        </w:tc>
      </w:tr>
      <w:tr w:rsidR="00E57DAA" w14:paraId="002C91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32AF06D" w14:textId="77777777" w:rsidR="00E57DAA" w:rsidRDefault="00AC4185">
            <w:pPr>
              <w:rPr>
                <w:rFonts w:cs="Cambria"/>
                <w:szCs w:val="21"/>
              </w:rPr>
            </w:pPr>
            <w:r>
              <w:t>中国建材股份有限公司</w:t>
            </w:r>
          </w:p>
        </w:tc>
        <w:tc>
          <w:tcPr>
            <w:tcW w:w="1807" w:type="pct"/>
            <w:tcBorders>
              <w:top w:val="single" w:sz="4" w:space="0" w:color="auto"/>
              <w:left w:val="single" w:sz="4" w:space="0" w:color="auto"/>
              <w:bottom w:val="single" w:sz="4" w:space="0" w:color="auto"/>
              <w:right w:val="single" w:sz="4" w:space="0" w:color="auto"/>
            </w:tcBorders>
          </w:tcPr>
          <w:p w14:paraId="51568B58" w14:textId="77777777" w:rsidR="00E57DAA" w:rsidRDefault="00AC4185">
            <w:pPr>
              <w:rPr>
                <w:rFonts w:cs="Cambria"/>
                <w:szCs w:val="21"/>
              </w:rPr>
            </w:pPr>
            <w:r>
              <w:t>受同一母公司控制的其他企业</w:t>
            </w:r>
          </w:p>
        </w:tc>
      </w:tr>
      <w:tr w:rsidR="00E57DAA" w14:paraId="1DB7A5F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DC6F9C" w14:textId="77777777" w:rsidR="00E57DAA" w:rsidRDefault="00AC4185">
            <w:pPr>
              <w:rPr>
                <w:rFonts w:cs="Cambria"/>
                <w:szCs w:val="21"/>
              </w:rPr>
            </w:pPr>
            <w:r>
              <w:t>中国建材中东贸易公司</w:t>
            </w:r>
          </w:p>
        </w:tc>
        <w:tc>
          <w:tcPr>
            <w:tcW w:w="1807" w:type="pct"/>
            <w:tcBorders>
              <w:top w:val="single" w:sz="4" w:space="0" w:color="auto"/>
              <w:left w:val="single" w:sz="4" w:space="0" w:color="auto"/>
              <w:bottom w:val="single" w:sz="4" w:space="0" w:color="auto"/>
              <w:right w:val="single" w:sz="4" w:space="0" w:color="auto"/>
            </w:tcBorders>
          </w:tcPr>
          <w:p w14:paraId="4BB29980" w14:textId="77777777" w:rsidR="00E57DAA" w:rsidRDefault="00AC4185">
            <w:pPr>
              <w:rPr>
                <w:rFonts w:cs="Cambria"/>
                <w:szCs w:val="21"/>
              </w:rPr>
            </w:pPr>
            <w:r>
              <w:t>受同一母公司控制的其他企业</w:t>
            </w:r>
          </w:p>
        </w:tc>
      </w:tr>
      <w:tr w:rsidR="00E57DAA" w14:paraId="1BAC4D9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667568" w14:textId="77777777" w:rsidR="00E57DAA" w:rsidRDefault="00AC4185">
            <w:pPr>
              <w:rPr>
                <w:rFonts w:cs="Cambria"/>
                <w:szCs w:val="21"/>
              </w:rPr>
            </w:pPr>
            <w:r>
              <w:t>中国联合水泥集团有限公司</w:t>
            </w:r>
          </w:p>
        </w:tc>
        <w:tc>
          <w:tcPr>
            <w:tcW w:w="1807" w:type="pct"/>
            <w:tcBorders>
              <w:top w:val="single" w:sz="4" w:space="0" w:color="auto"/>
              <w:left w:val="single" w:sz="4" w:space="0" w:color="auto"/>
              <w:bottom w:val="single" w:sz="4" w:space="0" w:color="auto"/>
              <w:right w:val="single" w:sz="4" w:space="0" w:color="auto"/>
            </w:tcBorders>
          </w:tcPr>
          <w:p w14:paraId="5AB2E29B" w14:textId="77777777" w:rsidR="00E57DAA" w:rsidRDefault="00AC4185">
            <w:pPr>
              <w:rPr>
                <w:rFonts w:cs="Cambria"/>
                <w:szCs w:val="21"/>
              </w:rPr>
            </w:pPr>
            <w:r>
              <w:t>受同一母公司控制的其他企业</w:t>
            </w:r>
          </w:p>
        </w:tc>
      </w:tr>
      <w:tr w:rsidR="00E57DAA" w14:paraId="1F1D678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2A8329" w14:textId="77777777" w:rsidR="00E57DAA" w:rsidRDefault="00AC4185">
            <w:pPr>
              <w:rPr>
                <w:rFonts w:cs="Cambria"/>
                <w:szCs w:val="21"/>
              </w:rPr>
            </w:pPr>
            <w:r>
              <w:t>中建材海外经济合作有限公司</w:t>
            </w:r>
          </w:p>
        </w:tc>
        <w:tc>
          <w:tcPr>
            <w:tcW w:w="1807" w:type="pct"/>
            <w:tcBorders>
              <w:top w:val="single" w:sz="4" w:space="0" w:color="auto"/>
              <w:left w:val="single" w:sz="4" w:space="0" w:color="auto"/>
              <w:bottom w:val="single" w:sz="4" w:space="0" w:color="auto"/>
              <w:right w:val="single" w:sz="4" w:space="0" w:color="auto"/>
            </w:tcBorders>
          </w:tcPr>
          <w:p w14:paraId="45F690CA" w14:textId="77777777" w:rsidR="00E57DAA" w:rsidRDefault="00AC4185">
            <w:pPr>
              <w:rPr>
                <w:rFonts w:cs="Cambria"/>
                <w:szCs w:val="21"/>
              </w:rPr>
            </w:pPr>
            <w:r>
              <w:t>受同一母公司控制的其他企业</w:t>
            </w:r>
          </w:p>
        </w:tc>
      </w:tr>
      <w:tr w:rsidR="00E57DAA" w14:paraId="74EBAAD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189CB3" w14:textId="77777777" w:rsidR="00E57DAA" w:rsidRDefault="00AC4185">
            <w:pPr>
              <w:rPr>
                <w:rFonts w:cs="Cambria"/>
                <w:szCs w:val="21"/>
              </w:rPr>
            </w:pPr>
            <w:r>
              <w:t>中建材投资坦桑尼亚有限公司</w:t>
            </w:r>
          </w:p>
        </w:tc>
        <w:tc>
          <w:tcPr>
            <w:tcW w:w="1807" w:type="pct"/>
            <w:tcBorders>
              <w:top w:val="single" w:sz="4" w:space="0" w:color="auto"/>
              <w:left w:val="single" w:sz="4" w:space="0" w:color="auto"/>
              <w:bottom w:val="single" w:sz="4" w:space="0" w:color="auto"/>
              <w:right w:val="single" w:sz="4" w:space="0" w:color="auto"/>
            </w:tcBorders>
          </w:tcPr>
          <w:p w14:paraId="39405AE4" w14:textId="77777777" w:rsidR="00E57DAA" w:rsidRDefault="00AC4185">
            <w:pPr>
              <w:rPr>
                <w:rFonts w:cs="Cambria"/>
                <w:szCs w:val="21"/>
              </w:rPr>
            </w:pPr>
            <w:r>
              <w:t>受同一母公司控制的其他企业</w:t>
            </w:r>
          </w:p>
        </w:tc>
      </w:tr>
      <w:tr w:rsidR="00E57DAA" w14:paraId="4F54E4E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05643B" w14:textId="77777777" w:rsidR="00E57DAA" w:rsidRDefault="00AC4185">
            <w:pPr>
              <w:rPr>
                <w:rFonts w:cs="Cambria"/>
                <w:szCs w:val="21"/>
              </w:rPr>
            </w:pPr>
            <w:r>
              <w:t>中建材投资有限公司</w:t>
            </w:r>
          </w:p>
        </w:tc>
        <w:tc>
          <w:tcPr>
            <w:tcW w:w="1807" w:type="pct"/>
            <w:tcBorders>
              <w:top w:val="single" w:sz="4" w:space="0" w:color="auto"/>
              <w:left w:val="single" w:sz="4" w:space="0" w:color="auto"/>
              <w:bottom w:val="single" w:sz="4" w:space="0" w:color="auto"/>
              <w:right w:val="single" w:sz="4" w:space="0" w:color="auto"/>
            </w:tcBorders>
          </w:tcPr>
          <w:p w14:paraId="39E2DD69" w14:textId="77777777" w:rsidR="00E57DAA" w:rsidRDefault="00AC4185">
            <w:pPr>
              <w:rPr>
                <w:rFonts w:cs="Cambria"/>
                <w:szCs w:val="21"/>
              </w:rPr>
            </w:pPr>
            <w:r>
              <w:t>受同一母公司控制的其他企业</w:t>
            </w:r>
          </w:p>
        </w:tc>
      </w:tr>
      <w:tr w:rsidR="00E57DAA" w14:paraId="4F4B368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DE5101" w14:textId="77777777" w:rsidR="00E57DAA" w:rsidRDefault="00AC4185">
            <w:pPr>
              <w:rPr>
                <w:rFonts w:cs="Cambria"/>
                <w:szCs w:val="21"/>
              </w:rPr>
            </w:pPr>
            <w:r>
              <w:t>中建材物资有限公司</w:t>
            </w:r>
          </w:p>
        </w:tc>
        <w:tc>
          <w:tcPr>
            <w:tcW w:w="1807" w:type="pct"/>
            <w:tcBorders>
              <w:top w:val="single" w:sz="4" w:space="0" w:color="auto"/>
              <w:left w:val="single" w:sz="4" w:space="0" w:color="auto"/>
              <w:bottom w:val="single" w:sz="4" w:space="0" w:color="auto"/>
              <w:right w:val="single" w:sz="4" w:space="0" w:color="auto"/>
            </w:tcBorders>
          </w:tcPr>
          <w:p w14:paraId="19D65A19" w14:textId="77777777" w:rsidR="00E57DAA" w:rsidRDefault="00AC4185">
            <w:pPr>
              <w:rPr>
                <w:rFonts w:cs="Cambria"/>
                <w:szCs w:val="21"/>
              </w:rPr>
            </w:pPr>
            <w:r>
              <w:t>受同一母公司控制的其他企业</w:t>
            </w:r>
          </w:p>
        </w:tc>
      </w:tr>
      <w:tr w:rsidR="00E57DAA" w14:paraId="049CDB1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783496" w14:textId="77777777" w:rsidR="00E57DAA" w:rsidRDefault="00AC4185">
            <w:pPr>
              <w:rPr>
                <w:rFonts w:cs="Cambria"/>
                <w:szCs w:val="21"/>
              </w:rPr>
            </w:pPr>
            <w:r>
              <w:t>中建材新材料有限公司</w:t>
            </w:r>
          </w:p>
        </w:tc>
        <w:tc>
          <w:tcPr>
            <w:tcW w:w="1807" w:type="pct"/>
            <w:tcBorders>
              <w:top w:val="single" w:sz="4" w:space="0" w:color="auto"/>
              <w:left w:val="single" w:sz="4" w:space="0" w:color="auto"/>
              <w:bottom w:val="single" w:sz="4" w:space="0" w:color="auto"/>
              <w:right w:val="single" w:sz="4" w:space="0" w:color="auto"/>
            </w:tcBorders>
          </w:tcPr>
          <w:p w14:paraId="058619EA" w14:textId="77777777" w:rsidR="00E57DAA" w:rsidRDefault="00AC4185">
            <w:pPr>
              <w:rPr>
                <w:rFonts w:cs="Cambria"/>
                <w:szCs w:val="21"/>
              </w:rPr>
            </w:pPr>
            <w:r>
              <w:t>受同一母公司控制的其他企业</w:t>
            </w:r>
          </w:p>
        </w:tc>
      </w:tr>
      <w:tr w:rsidR="00E57DAA" w14:paraId="4D9CEF4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8C9902" w14:textId="77777777" w:rsidR="00E57DAA" w:rsidRDefault="00AC4185">
            <w:pPr>
              <w:rPr>
                <w:rFonts w:cs="Cambria"/>
                <w:szCs w:val="21"/>
              </w:rPr>
            </w:pPr>
            <w:r>
              <w:t>中联水泥（山东）研发中心有限公司</w:t>
            </w:r>
          </w:p>
        </w:tc>
        <w:tc>
          <w:tcPr>
            <w:tcW w:w="1807" w:type="pct"/>
            <w:tcBorders>
              <w:top w:val="single" w:sz="4" w:space="0" w:color="auto"/>
              <w:left w:val="single" w:sz="4" w:space="0" w:color="auto"/>
              <w:bottom w:val="single" w:sz="4" w:space="0" w:color="auto"/>
              <w:right w:val="single" w:sz="4" w:space="0" w:color="auto"/>
            </w:tcBorders>
          </w:tcPr>
          <w:p w14:paraId="7CD68AEF" w14:textId="77777777" w:rsidR="00E57DAA" w:rsidRDefault="00AC4185">
            <w:pPr>
              <w:rPr>
                <w:rFonts w:cs="Cambria"/>
                <w:szCs w:val="21"/>
              </w:rPr>
            </w:pPr>
            <w:r>
              <w:t>受同一母公司控制的其他企业</w:t>
            </w:r>
          </w:p>
        </w:tc>
      </w:tr>
      <w:tr w:rsidR="00E57DAA" w14:paraId="643F327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946BC2" w14:textId="77777777" w:rsidR="00E57DAA" w:rsidRDefault="00AC4185">
            <w:pPr>
              <w:rPr>
                <w:rFonts w:cs="Cambria"/>
                <w:szCs w:val="21"/>
              </w:rPr>
            </w:pPr>
            <w:r>
              <w:t>重庆綦江西南水泥有限公司</w:t>
            </w:r>
          </w:p>
        </w:tc>
        <w:tc>
          <w:tcPr>
            <w:tcW w:w="1807" w:type="pct"/>
            <w:tcBorders>
              <w:top w:val="single" w:sz="4" w:space="0" w:color="auto"/>
              <w:left w:val="single" w:sz="4" w:space="0" w:color="auto"/>
              <w:bottom w:val="single" w:sz="4" w:space="0" w:color="auto"/>
              <w:right w:val="single" w:sz="4" w:space="0" w:color="auto"/>
            </w:tcBorders>
          </w:tcPr>
          <w:p w14:paraId="10F6B9B6" w14:textId="77777777" w:rsidR="00E57DAA" w:rsidRDefault="00AC4185">
            <w:pPr>
              <w:rPr>
                <w:rFonts w:cs="Cambria"/>
                <w:szCs w:val="21"/>
              </w:rPr>
            </w:pPr>
            <w:r>
              <w:t>受同一母公司控制的其他企业</w:t>
            </w:r>
          </w:p>
        </w:tc>
      </w:tr>
      <w:tr w:rsidR="00E57DAA" w14:paraId="5A982F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80C82A" w14:textId="77777777" w:rsidR="00E57DAA" w:rsidRDefault="00AC4185">
            <w:pPr>
              <w:rPr>
                <w:rFonts w:cs="Cambria"/>
                <w:szCs w:val="21"/>
              </w:rPr>
            </w:pPr>
            <w:r>
              <w:t>重庆石柱西南水泥有限公司</w:t>
            </w:r>
          </w:p>
        </w:tc>
        <w:tc>
          <w:tcPr>
            <w:tcW w:w="1807" w:type="pct"/>
            <w:tcBorders>
              <w:top w:val="single" w:sz="4" w:space="0" w:color="auto"/>
              <w:left w:val="single" w:sz="4" w:space="0" w:color="auto"/>
              <w:bottom w:val="single" w:sz="4" w:space="0" w:color="auto"/>
              <w:right w:val="single" w:sz="4" w:space="0" w:color="auto"/>
            </w:tcBorders>
          </w:tcPr>
          <w:p w14:paraId="528BDC88" w14:textId="77777777" w:rsidR="00E57DAA" w:rsidRDefault="00AC4185">
            <w:pPr>
              <w:rPr>
                <w:rFonts w:cs="Cambria"/>
                <w:szCs w:val="21"/>
              </w:rPr>
            </w:pPr>
            <w:r>
              <w:t>受同一母公司控制的其他企业</w:t>
            </w:r>
          </w:p>
        </w:tc>
      </w:tr>
      <w:tr w:rsidR="00E57DAA" w14:paraId="21091D2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543FFB" w14:textId="77777777" w:rsidR="00E57DAA" w:rsidRDefault="00AC4185">
            <w:pPr>
              <w:rPr>
                <w:rFonts w:cs="Cambria"/>
                <w:szCs w:val="21"/>
              </w:rPr>
            </w:pPr>
            <w:r>
              <w:t>重庆铜梁西南水泥有限公司</w:t>
            </w:r>
          </w:p>
        </w:tc>
        <w:tc>
          <w:tcPr>
            <w:tcW w:w="1807" w:type="pct"/>
            <w:tcBorders>
              <w:top w:val="single" w:sz="4" w:space="0" w:color="auto"/>
              <w:left w:val="single" w:sz="4" w:space="0" w:color="auto"/>
              <w:bottom w:val="single" w:sz="4" w:space="0" w:color="auto"/>
              <w:right w:val="single" w:sz="4" w:space="0" w:color="auto"/>
            </w:tcBorders>
          </w:tcPr>
          <w:p w14:paraId="0A274EDD" w14:textId="77777777" w:rsidR="00E57DAA" w:rsidRDefault="00AC4185">
            <w:pPr>
              <w:rPr>
                <w:rFonts w:cs="Cambria"/>
                <w:szCs w:val="21"/>
              </w:rPr>
            </w:pPr>
            <w:r>
              <w:t>受同一母公司控制的其他企业</w:t>
            </w:r>
          </w:p>
        </w:tc>
      </w:tr>
      <w:tr w:rsidR="00E57DAA" w14:paraId="37CFDDB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AF07DF" w14:textId="77777777" w:rsidR="00E57DAA" w:rsidRDefault="00AC4185">
            <w:pPr>
              <w:rPr>
                <w:rFonts w:cs="Cambria"/>
                <w:szCs w:val="21"/>
              </w:rPr>
            </w:pPr>
            <w:r>
              <w:t>重庆万州西南水泥有限公司</w:t>
            </w:r>
          </w:p>
        </w:tc>
        <w:tc>
          <w:tcPr>
            <w:tcW w:w="1807" w:type="pct"/>
            <w:tcBorders>
              <w:top w:val="single" w:sz="4" w:space="0" w:color="auto"/>
              <w:left w:val="single" w:sz="4" w:space="0" w:color="auto"/>
              <w:bottom w:val="single" w:sz="4" w:space="0" w:color="auto"/>
              <w:right w:val="single" w:sz="4" w:space="0" w:color="auto"/>
            </w:tcBorders>
          </w:tcPr>
          <w:p w14:paraId="56CDFF81" w14:textId="77777777" w:rsidR="00E57DAA" w:rsidRDefault="00AC4185">
            <w:pPr>
              <w:rPr>
                <w:rFonts w:cs="Cambria"/>
                <w:szCs w:val="21"/>
              </w:rPr>
            </w:pPr>
            <w:r>
              <w:t>受同一母公司控制的其他企业</w:t>
            </w:r>
          </w:p>
        </w:tc>
      </w:tr>
      <w:tr w:rsidR="00E57DAA" w14:paraId="201F149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78A35F" w14:textId="77777777" w:rsidR="00E57DAA" w:rsidRDefault="00AC4185">
            <w:pPr>
              <w:rPr>
                <w:rFonts w:cs="Cambria"/>
                <w:szCs w:val="21"/>
              </w:rPr>
            </w:pPr>
            <w:r>
              <w:t>重庆秀山西南水泥有限公司</w:t>
            </w:r>
          </w:p>
        </w:tc>
        <w:tc>
          <w:tcPr>
            <w:tcW w:w="1807" w:type="pct"/>
            <w:tcBorders>
              <w:top w:val="single" w:sz="4" w:space="0" w:color="auto"/>
              <w:left w:val="single" w:sz="4" w:space="0" w:color="auto"/>
              <w:bottom w:val="single" w:sz="4" w:space="0" w:color="auto"/>
              <w:right w:val="single" w:sz="4" w:space="0" w:color="auto"/>
            </w:tcBorders>
          </w:tcPr>
          <w:p w14:paraId="7B2045B4" w14:textId="77777777" w:rsidR="00E57DAA" w:rsidRDefault="00AC4185">
            <w:pPr>
              <w:rPr>
                <w:rFonts w:cs="Cambria"/>
                <w:szCs w:val="21"/>
              </w:rPr>
            </w:pPr>
            <w:r>
              <w:t>受同一母公司控制的其他企业</w:t>
            </w:r>
          </w:p>
        </w:tc>
      </w:tr>
      <w:tr w:rsidR="00E57DAA" w14:paraId="48FCDB8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6489B0" w14:textId="77777777" w:rsidR="00E57DAA" w:rsidRDefault="00AC4185">
            <w:pPr>
              <w:rPr>
                <w:rFonts w:cs="Cambria"/>
                <w:szCs w:val="21"/>
              </w:rPr>
            </w:pPr>
            <w:r>
              <w:t>重庆长寿西南水泥有限公司</w:t>
            </w:r>
          </w:p>
        </w:tc>
        <w:tc>
          <w:tcPr>
            <w:tcW w:w="1807" w:type="pct"/>
            <w:tcBorders>
              <w:top w:val="single" w:sz="4" w:space="0" w:color="auto"/>
              <w:left w:val="single" w:sz="4" w:space="0" w:color="auto"/>
              <w:bottom w:val="single" w:sz="4" w:space="0" w:color="auto"/>
              <w:right w:val="single" w:sz="4" w:space="0" w:color="auto"/>
            </w:tcBorders>
          </w:tcPr>
          <w:p w14:paraId="230319AE" w14:textId="77777777" w:rsidR="00E57DAA" w:rsidRDefault="00AC4185">
            <w:pPr>
              <w:rPr>
                <w:rFonts w:cs="Cambria"/>
                <w:szCs w:val="21"/>
              </w:rPr>
            </w:pPr>
            <w:r>
              <w:t>受同一母公司控制的其他企业</w:t>
            </w:r>
          </w:p>
        </w:tc>
      </w:tr>
      <w:tr w:rsidR="00E57DAA" w14:paraId="1A3665A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7F00DF" w14:textId="77777777" w:rsidR="00E57DAA" w:rsidRDefault="00AC4185">
            <w:pPr>
              <w:rPr>
                <w:rFonts w:cs="Cambria"/>
                <w:szCs w:val="21"/>
              </w:rPr>
            </w:pPr>
            <w:r>
              <w:lastRenderedPageBreak/>
              <w:t>诸暨南方水泥有限公司</w:t>
            </w:r>
          </w:p>
        </w:tc>
        <w:tc>
          <w:tcPr>
            <w:tcW w:w="1807" w:type="pct"/>
            <w:tcBorders>
              <w:top w:val="single" w:sz="4" w:space="0" w:color="auto"/>
              <w:left w:val="single" w:sz="4" w:space="0" w:color="auto"/>
              <w:bottom w:val="single" w:sz="4" w:space="0" w:color="auto"/>
              <w:right w:val="single" w:sz="4" w:space="0" w:color="auto"/>
            </w:tcBorders>
          </w:tcPr>
          <w:p w14:paraId="4E512648" w14:textId="77777777" w:rsidR="00E57DAA" w:rsidRDefault="00AC4185">
            <w:pPr>
              <w:rPr>
                <w:rFonts w:cs="Cambria"/>
                <w:szCs w:val="21"/>
              </w:rPr>
            </w:pPr>
            <w:r>
              <w:t>受同一母公司控制的其他企业</w:t>
            </w:r>
          </w:p>
        </w:tc>
      </w:tr>
      <w:tr w:rsidR="00E57DAA" w14:paraId="2B49FC2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E5CAA6" w14:textId="77777777" w:rsidR="00E57DAA" w:rsidRDefault="00AC4185">
            <w:pPr>
              <w:rPr>
                <w:rFonts w:cs="Cambria"/>
                <w:szCs w:val="21"/>
              </w:rPr>
            </w:pPr>
            <w:r>
              <w:t>驻马店市同力骨料有限公司</w:t>
            </w:r>
          </w:p>
        </w:tc>
        <w:tc>
          <w:tcPr>
            <w:tcW w:w="1807" w:type="pct"/>
            <w:tcBorders>
              <w:top w:val="single" w:sz="4" w:space="0" w:color="auto"/>
              <w:left w:val="single" w:sz="4" w:space="0" w:color="auto"/>
              <w:bottom w:val="single" w:sz="4" w:space="0" w:color="auto"/>
              <w:right w:val="single" w:sz="4" w:space="0" w:color="auto"/>
            </w:tcBorders>
          </w:tcPr>
          <w:p w14:paraId="119C1122" w14:textId="77777777" w:rsidR="00E57DAA" w:rsidRDefault="00AC4185">
            <w:pPr>
              <w:rPr>
                <w:rFonts w:cs="Cambria"/>
                <w:szCs w:val="21"/>
              </w:rPr>
            </w:pPr>
            <w:r>
              <w:t>受同一母公司控制的其他企业</w:t>
            </w:r>
          </w:p>
        </w:tc>
      </w:tr>
      <w:tr w:rsidR="00E57DAA" w14:paraId="10DE80A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5A28FF" w14:textId="77777777" w:rsidR="00E57DAA" w:rsidRDefault="00AC4185">
            <w:pPr>
              <w:rPr>
                <w:rFonts w:cs="Cambria"/>
                <w:szCs w:val="21"/>
              </w:rPr>
            </w:pPr>
            <w:r>
              <w:t>驻马店市豫龙同力水泥有限公司</w:t>
            </w:r>
          </w:p>
        </w:tc>
        <w:tc>
          <w:tcPr>
            <w:tcW w:w="1807" w:type="pct"/>
            <w:tcBorders>
              <w:top w:val="single" w:sz="4" w:space="0" w:color="auto"/>
              <w:left w:val="single" w:sz="4" w:space="0" w:color="auto"/>
              <w:bottom w:val="single" w:sz="4" w:space="0" w:color="auto"/>
              <w:right w:val="single" w:sz="4" w:space="0" w:color="auto"/>
            </w:tcBorders>
          </w:tcPr>
          <w:p w14:paraId="2DE3A284" w14:textId="77777777" w:rsidR="00E57DAA" w:rsidRDefault="00AC4185">
            <w:pPr>
              <w:rPr>
                <w:rFonts w:cs="Cambria"/>
                <w:szCs w:val="21"/>
              </w:rPr>
            </w:pPr>
            <w:r>
              <w:t>受同一母公司控制的其他企业</w:t>
            </w:r>
          </w:p>
        </w:tc>
      </w:tr>
      <w:tr w:rsidR="00E57DAA" w14:paraId="5DED9BB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FAC403" w14:textId="77777777" w:rsidR="00E57DAA" w:rsidRDefault="00AC4185">
            <w:pPr>
              <w:rPr>
                <w:rFonts w:cs="Cambria"/>
                <w:szCs w:val="21"/>
              </w:rPr>
            </w:pPr>
            <w:r>
              <w:t>邹城中联混凝土有限公司</w:t>
            </w:r>
          </w:p>
        </w:tc>
        <w:tc>
          <w:tcPr>
            <w:tcW w:w="1807" w:type="pct"/>
            <w:tcBorders>
              <w:top w:val="single" w:sz="4" w:space="0" w:color="auto"/>
              <w:left w:val="single" w:sz="4" w:space="0" w:color="auto"/>
              <w:bottom w:val="single" w:sz="4" w:space="0" w:color="auto"/>
              <w:right w:val="single" w:sz="4" w:space="0" w:color="auto"/>
            </w:tcBorders>
          </w:tcPr>
          <w:p w14:paraId="293E8128" w14:textId="77777777" w:rsidR="00E57DAA" w:rsidRDefault="00AC4185">
            <w:pPr>
              <w:rPr>
                <w:rFonts w:cs="Cambria"/>
                <w:szCs w:val="21"/>
              </w:rPr>
            </w:pPr>
            <w:r>
              <w:t>受同一母公司控制的其他企业</w:t>
            </w:r>
          </w:p>
        </w:tc>
      </w:tr>
      <w:tr w:rsidR="00E57DAA" w14:paraId="6ADDD92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F7CBB69" w14:textId="77777777" w:rsidR="00E57DAA" w:rsidRDefault="00AC4185">
            <w:pPr>
              <w:rPr>
                <w:rFonts w:cs="Cambria"/>
                <w:szCs w:val="21"/>
              </w:rPr>
            </w:pPr>
            <w:r>
              <w:t>遵义赛德水泥有限公司</w:t>
            </w:r>
          </w:p>
        </w:tc>
        <w:tc>
          <w:tcPr>
            <w:tcW w:w="1807" w:type="pct"/>
            <w:tcBorders>
              <w:top w:val="single" w:sz="4" w:space="0" w:color="auto"/>
              <w:left w:val="single" w:sz="4" w:space="0" w:color="auto"/>
              <w:bottom w:val="single" w:sz="4" w:space="0" w:color="auto"/>
              <w:right w:val="single" w:sz="4" w:space="0" w:color="auto"/>
            </w:tcBorders>
          </w:tcPr>
          <w:p w14:paraId="6F2EA0DB" w14:textId="77777777" w:rsidR="00E57DAA" w:rsidRDefault="00AC4185">
            <w:pPr>
              <w:rPr>
                <w:rFonts w:cs="Cambria"/>
                <w:szCs w:val="21"/>
              </w:rPr>
            </w:pPr>
            <w:r>
              <w:t>受同一母公司控制的其他企业</w:t>
            </w:r>
          </w:p>
        </w:tc>
      </w:tr>
      <w:tr w:rsidR="00E57DAA" w14:paraId="6D9ED3A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E1C201" w14:textId="77777777" w:rsidR="00E57DAA" w:rsidRDefault="00AC4185">
            <w:pPr>
              <w:rPr>
                <w:rFonts w:cs="Cambria"/>
                <w:szCs w:val="21"/>
              </w:rPr>
            </w:pPr>
            <w:r>
              <w:t>Nantong</w:t>
            </w:r>
            <w:r>
              <w:rPr>
                <w:rFonts w:hint="eastAsia"/>
              </w:rPr>
              <w:t xml:space="preserve"> </w:t>
            </w:r>
            <w:r>
              <w:t>Wanda</w:t>
            </w:r>
            <w:r>
              <w:rPr>
                <w:rFonts w:hint="eastAsia"/>
              </w:rPr>
              <w:t xml:space="preserve"> </w:t>
            </w:r>
            <w:r>
              <w:t>Energy</w:t>
            </w:r>
            <w:r>
              <w:rPr>
                <w:rFonts w:hint="eastAsia"/>
              </w:rPr>
              <w:t xml:space="preserve"> </w:t>
            </w:r>
            <w:r>
              <w:t>&amp; Power</w:t>
            </w:r>
            <w:r>
              <w:rPr>
                <w:rFonts w:hint="eastAsia"/>
              </w:rPr>
              <w:t xml:space="preserve"> </w:t>
            </w:r>
            <w:r>
              <w:t>Technology Co Ltd</w:t>
            </w:r>
          </w:p>
        </w:tc>
        <w:tc>
          <w:tcPr>
            <w:tcW w:w="1807" w:type="pct"/>
            <w:tcBorders>
              <w:top w:val="single" w:sz="4" w:space="0" w:color="auto"/>
              <w:left w:val="single" w:sz="4" w:space="0" w:color="auto"/>
              <w:bottom w:val="single" w:sz="4" w:space="0" w:color="auto"/>
              <w:right w:val="single" w:sz="4" w:space="0" w:color="auto"/>
            </w:tcBorders>
          </w:tcPr>
          <w:p w14:paraId="7EDC89C9" w14:textId="77777777" w:rsidR="00E57DAA" w:rsidRDefault="00AC4185">
            <w:pPr>
              <w:rPr>
                <w:rFonts w:cs="Cambria"/>
                <w:szCs w:val="21"/>
              </w:rPr>
            </w:pPr>
            <w:r>
              <w:t>受最终控制方控制的其他企业</w:t>
            </w:r>
          </w:p>
        </w:tc>
      </w:tr>
      <w:tr w:rsidR="00E57DAA" w14:paraId="673DAF8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2AED1D" w14:textId="77777777" w:rsidR="00E57DAA" w:rsidRDefault="00AC4185">
            <w:pPr>
              <w:rPr>
                <w:rFonts w:cs="Cambria"/>
                <w:szCs w:val="21"/>
              </w:rPr>
            </w:pPr>
            <w:r>
              <w:t>NANTONG WANDA BOILER CO LTD</w:t>
            </w:r>
          </w:p>
        </w:tc>
        <w:tc>
          <w:tcPr>
            <w:tcW w:w="1807" w:type="pct"/>
            <w:tcBorders>
              <w:top w:val="single" w:sz="4" w:space="0" w:color="auto"/>
              <w:left w:val="single" w:sz="4" w:space="0" w:color="auto"/>
              <w:bottom w:val="single" w:sz="4" w:space="0" w:color="auto"/>
              <w:right w:val="single" w:sz="4" w:space="0" w:color="auto"/>
            </w:tcBorders>
          </w:tcPr>
          <w:p w14:paraId="66D7289B" w14:textId="77777777" w:rsidR="00E57DAA" w:rsidRDefault="00AC4185">
            <w:pPr>
              <w:rPr>
                <w:rFonts w:cs="Cambria"/>
                <w:szCs w:val="21"/>
              </w:rPr>
            </w:pPr>
            <w:r>
              <w:t>受最终控制方控制的其他企业</w:t>
            </w:r>
          </w:p>
        </w:tc>
      </w:tr>
      <w:tr w:rsidR="00E57DAA" w14:paraId="35FB662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84B972" w14:textId="77777777" w:rsidR="00E57DAA" w:rsidRDefault="00AC4185">
            <w:pPr>
              <w:rPr>
                <w:rFonts w:cs="Cambria"/>
                <w:szCs w:val="21"/>
              </w:rPr>
            </w:pPr>
            <w:proofErr w:type="spellStart"/>
            <w:r>
              <w:t>Sinoma</w:t>
            </w:r>
            <w:proofErr w:type="spellEnd"/>
            <w:r>
              <w:t xml:space="preserve"> Energy </w:t>
            </w:r>
            <w:proofErr w:type="spellStart"/>
            <w:r>
              <w:t>ConservationLtd</w:t>
            </w:r>
            <w:proofErr w:type="spellEnd"/>
          </w:p>
        </w:tc>
        <w:tc>
          <w:tcPr>
            <w:tcW w:w="1807" w:type="pct"/>
            <w:tcBorders>
              <w:top w:val="single" w:sz="4" w:space="0" w:color="auto"/>
              <w:left w:val="single" w:sz="4" w:space="0" w:color="auto"/>
              <w:bottom w:val="single" w:sz="4" w:space="0" w:color="auto"/>
              <w:right w:val="single" w:sz="4" w:space="0" w:color="auto"/>
            </w:tcBorders>
          </w:tcPr>
          <w:p w14:paraId="32CB229B" w14:textId="77777777" w:rsidR="00E57DAA" w:rsidRDefault="00AC4185">
            <w:pPr>
              <w:rPr>
                <w:rFonts w:cs="Cambria"/>
                <w:szCs w:val="21"/>
              </w:rPr>
            </w:pPr>
            <w:r>
              <w:t>受最终控制方控制的其他企业</w:t>
            </w:r>
          </w:p>
        </w:tc>
      </w:tr>
      <w:tr w:rsidR="00E57DAA" w14:paraId="02908C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89E751" w14:textId="77777777" w:rsidR="00E57DAA" w:rsidRDefault="00AC4185">
            <w:pPr>
              <w:rPr>
                <w:rFonts w:cs="Cambria"/>
                <w:szCs w:val="21"/>
              </w:rPr>
            </w:pPr>
            <w:r>
              <w:t>安徽建材地质工程勘察院有限公司</w:t>
            </w:r>
          </w:p>
        </w:tc>
        <w:tc>
          <w:tcPr>
            <w:tcW w:w="1807" w:type="pct"/>
            <w:tcBorders>
              <w:top w:val="single" w:sz="4" w:space="0" w:color="auto"/>
              <w:left w:val="single" w:sz="4" w:space="0" w:color="auto"/>
              <w:bottom w:val="single" w:sz="4" w:space="0" w:color="auto"/>
              <w:right w:val="single" w:sz="4" w:space="0" w:color="auto"/>
            </w:tcBorders>
          </w:tcPr>
          <w:p w14:paraId="2D7BD469" w14:textId="77777777" w:rsidR="00E57DAA" w:rsidRDefault="00AC4185">
            <w:pPr>
              <w:rPr>
                <w:rFonts w:cs="Cambria"/>
                <w:szCs w:val="21"/>
              </w:rPr>
            </w:pPr>
            <w:r>
              <w:t>受最终控制方控制的其他企业</w:t>
            </w:r>
          </w:p>
        </w:tc>
      </w:tr>
      <w:tr w:rsidR="00E57DAA" w14:paraId="4AF1706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70813C" w14:textId="77777777" w:rsidR="00E57DAA" w:rsidRDefault="00AC4185">
            <w:pPr>
              <w:rPr>
                <w:rFonts w:cs="Cambria"/>
                <w:szCs w:val="21"/>
              </w:rPr>
            </w:pPr>
            <w:r>
              <w:t>安徽凯盛基础材料科技有限公司</w:t>
            </w:r>
          </w:p>
        </w:tc>
        <w:tc>
          <w:tcPr>
            <w:tcW w:w="1807" w:type="pct"/>
            <w:tcBorders>
              <w:top w:val="single" w:sz="4" w:space="0" w:color="auto"/>
              <w:left w:val="single" w:sz="4" w:space="0" w:color="auto"/>
              <w:bottom w:val="single" w:sz="4" w:space="0" w:color="auto"/>
              <w:right w:val="single" w:sz="4" w:space="0" w:color="auto"/>
            </w:tcBorders>
          </w:tcPr>
          <w:p w14:paraId="3D1ADF33" w14:textId="77777777" w:rsidR="00E57DAA" w:rsidRDefault="00AC4185">
            <w:pPr>
              <w:rPr>
                <w:rFonts w:cs="Cambria"/>
                <w:szCs w:val="21"/>
              </w:rPr>
            </w:pPr>
            <w:r>
              <w:t>受最终控制方控制的其他企业</w:t>
            </w:r>
          </w:p>
        </w:tc>
      </w:tr>
      <w:tr w:rsidR="00E57DAA" w14:paraId="1911649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73220D" w14:textId="77777777" w:rsidR="00E57DAA" w:rsidRDefault="00AC4185">
            <w:pPr>
              <w:rPr>
                <w:rFonts w:cs="Cambria"/>
                <w:szCs w:val="21"/>
              </w:rPr>
            </w:pPr>
            <w:r>
              <w:t>安徽凯盛应用材料有限公司</w:t>
            </w:r>
          </w:p>
        </w:tc>
        <w:tc>
          <w:tcPr>
            <w:tcW w:w="1807" w:type="pct"/>
            <w:tcBorders>
              <w:top w:val="single" w:sz="4" w:space="0" w:color="auto"/>
              <w:left w:val="single" w:sz="4" w:space="0" w:color="auto"/>
              <w:bottom w:val="single" w:sz="4" w:space="0" w:color="auto"/>
              <w:right w:val="single" w:sz="4" w:space="0" w:color="auto"/>
            </w:tcBorders>
          </w:tcPr>
          <w:p w14:paraId="7AEE0A63" w14:textId="77777777" w:rsidR="00E57DAA" w:rsidRDefault="00AC4185">
            <w:pPr>
              <w:rPr>
                <w:rFonts w:cs="Cambria"/>
                <w:szCs w:val="21"/>
              </w:rPr>
            </w:pPr>
            <w:r>
              <w:t>受最终控制方控制的其他企业</w:t>
            </w:r>
          </w:p>
        </w:tc>
      </w:tr>
      <w:tr w:rsidR="00E57DAA" w14:paraId="08963B4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B4D9D32" w14:textId="77777777" w:rsidR="00E57DAA" w:rsidRDefault="00AC4185">
            <w:pPr>
              <w:rPr>
                <w:rFonts w:cs="Cambria"/>
                <w:szCs w:val="21"/>
              </w:rPr>
            </w:pPr>
            <w:r>
              <w:t>安徽瑞泰新材料科技有限公司</w:t>
            </w:r>
          </w:p>
        </w:tc>
        <w:tc>
          <w:tcPr>
            <w:tcW w:w="1807" w:type="pct"/>
            <w:tcBorders>
              <w:top w:val="single" w:sz="4" w:space="0" w:color="auto"/>
              <w:left w:val="single" w:sz="4" w:space="0" w:color="auto"/>
              <w:bottom w:val="single" w:sz="4" w:space="0" w:color="auto"/>
              <w:right w:val="single" w:sz="4" w:space="0" w:color="auto"/>
            </w:tcBorders>
          </w:tcPr>
          <w:p w14:paraId="7B946FE9" w14:textId="77777777" w:rsidR="00E57DAA" w:rsidRDefault="00AC4185">
            <w:pPr>
              <w:rPr>
                <w:rFonts w:cs="Cambria"/>
                <w:szCs w:val="21"/>
              </w:rPr>
            </w:pPr>
            <w:r>
              <w:t>受最终控制方控制的其他企业</w:t>
            </w:r>
          </w:p>
        </w:tc>
      </w:tr>
      <w:tr w:rsidR="00E57DAA" w14:paraId="056CBBD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6DC3FB" w14:textId="77777777" w:rsidR="00E57DAA" w:rsidRDefault="00AC4185">
            <w:pPr>
              <w:rPr>
                <w:rFonts w:cs="Cambria"/>
                <w:szCs w:val="21"/>
              </w:rPr>
            </w:pPr>
            <w:r>
              <w:t>安徽天柱绿色能源科技有限公司</w:t>
            </w:r>
          </w:p>
        </w:tc>
        <w:tc>
          <w:tcPr>
            <w:tcW w:w="1807" w:type="pct"/>
            <w:tcBorders>
              <w:top w:val="single" w:sz="4" w:space="0" w:color="auto"/>
              <w:left w:val="single" w:sz="4" w:space="0" w:color="auto"/>
              <w:bottom w:val="single" w:sz="4" w:space="0" w:color="auto"/>
              <w:right w:val="single" w:sz="4" w:space="0" w:color="auto"/>
            </w:tcBorders>
          </w:tcPr>
          <w:p w14:paraId="3C0420D7" w14:textId="77777777" w:rsidR="00E57DAA" w:rsidRDefault="00AC4185">
            <w:pPr>
              <w:rPr>
                <w:rFonts w:cs="Cambria"/>
                <w:szCs w:val="21"/>
              </w:rPr>
            </w:pPr>
            <w:r>
              <w:t>受最终控制方控制的其他企业</w:t>
            </w:r>
          </w:p>
        </w:tc>
      </w:tr>
      <w:tr w:rsidR="00E57DAA" w14:paraId="1221201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76ED184" w14:textId="77777777" w:rsidR="00E57DAA" w:rsidRDefault="00AC4185">
            <w:pPr>
              <w:rPr>
                <w:rFonts w:cs="Cambria"/>
                <w:szCs w:val="21"/>
              </w:rPr>
            </w:pPr>
            <w:r>
              <w:t>安徽中建材开源新材料科技有限公司</w:t>
            </w:r>
          </w:p>
        </w:tc>
        <w:tc>
          <w:tcPr>
            <w:tcW w:w="1807" w:type="pct"/>
            <w:tcBorders>
              <w:top w:val="single" w:sz="4" w:space="0" w:color="auto"/>
              <w:left w:val="single" w:sz="4" w:space="0" w:color="auto"/>
              <w:bottom w:val="single" w:sz="4" w:space="0" w:color="auto"/>
              <w:right w:val="single" w:sz="4" w:space="0" w:color="auto"/>
            </w:tcBorders>
          </w:tcPr>
          <w:p w14:paraId="31688773" w14:textId="77777777" w:rsidR="00E57DAA" w:rsidRDefault="00AC4185">
            <w:pPr>
              <w:rPr>
                <w:rFonts w:cs="Cambria"/>
                <w:szCs w:val="21"/>
              </w:rPr>
            </w:pPr>
            <w:r>
              <w:t>受最终控制方控制的其他企业</w:t>
            </w:r>
          </w:p>
        </w:tc>
      </w:tr>
      <w:tr w:rsidR="00E57DAA" w14:paraId="45721D4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D8FFFA" w14:textId="77777777" w:rsidR="00E57DAA" w:rsidRDefault="00AC4185">
            <w:pPr>
              <w:rPr>
                <w:rFonts w:cs="Cambria"/>
                <w:szCs w:val="21"/>
              </w:rPr>
            </w:pPr>
            <w:r>
              <w:t>蚌埠化工机械制造有限公司</w:t>
            </w:r>
          </w:p>
        </w:tc>
        <w:tc>
          <w:tcPr>
            <w:tcW w:w="1807" w:type="pct"/>
            <w:tcBorders>
              <w:top w:val="single" w:sz="4" w:space="0" w:color="auto"/>
              <w:left w:val="single" w:sz="4" w:space="0" w:color="auto"/>
              <w:bottom w:val="single" w:sz="4" w:space="0" w:color="auto"/>
              <w:right w:val="single" w:sz="4" w:space="0" w:color="auto"/>
            </w:tcBorders>
          </w:tcPr>
          <w:p w14:paraId="6EE0E9B1" w14:textId="77777777" w:rsidR="00E57DAA" w:rsidRDefault="00AC4185">
            <w:pPr>
              <w:rPr>
                <w:rFonts w:cs="Cambria"/>
                <w:szCs w:val="21"/>
              </w:rPr>
            </w:pPr>
            <w:r>
              <w:t>受最终控制方控制的其他企业</w:t>
            </w:r>
          </w:p>
        </w:tc>
      </w:tr>
      <w:tr w:rsidR="00E57DAA" w14:paraId="465AC07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D99E2F" w14:textId="77777777" w:rsidR="00E57DAA" w:rsidRDefault="00AC4185">
            <w:pPr>
              <w:rPr>
                <w:rFonts w:cs="Cambria"/>
                <w:szCs w:val="21"/>
              </w:rPr>
            </w:pPr>
            <w:r>
              <w:t>蚌埠凯盛工程技术有限公司</w:t>
            </w:r>
          </w:p>
        </w:tc>
        <w:tc>
          <w:tcPr>
            <w:tcW w:w="1807" w:type="pct"/>
            <w:tcBorders>
              <w:top w:val="single" w:sz="4" w:space="0" w:color="auto"/>
              <w:left w:val="single" w:sz="4" w:space="0" w:color="auto"/>
              <w:bottom w:val="single" w:sz="4" w:space="0" w:color="auto"/>
              <w:right w:val="single" w:sz="4" w:space="0" w:color="auto"/>
            </w:tcBorders>
          </w:tcPr>
          <w:p w14:paraId="48963ACE" w14:textId="77777777" w:rsidR="00E57DAA" w:rsidRDefault="00AC4185">
            <w:pPr>
              <w:rPr>
                <w:rFonts w:cs="Cambria"/>
                <w:szCs w:val="21"/>
              </w:rPr>
            </w:pPr>
            <w:r>
              <w:t>受最终控制方控制的其他企业</w:t>
            </w:r>
          </w:p>
        </w:tc>
      </w:tr>
      <w:tr w:rsidR="00E57DAA" w14:paraId="0C56BD6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97321C" w14:textId="77777777" w:rsidR="00E57DAA" w:rsidRDefault="00AC4185">
            <w:pPr>
              <w:rPr>
                <w:rFonts w:cs="Cambria"/>
                <w:szCs w:val="21"/>
              </w:rPr>
            </w:pPr>
            <w:r>
              <w:t>蚌埠中恒新材料科技有限责任公司</w:t>
            </w:r>
          </w:p>
        </w:tc>
        <w:tc>
          <w:tcPr>
            <w:tcW w:w="1807" w:type="pct"/>
            <w:tcBorders>
              <w:top w:val="single" w:sz="4" w:space="0" w:color="auto"/>
              <w:left w:val="single" w:sz="4" w:space="0" w:color="auto"/>
              <w:bottom w:val="single" w:sz="4" w:space="0" w:color="auto"/>
              <w:right w:val="single" w:sz="4" w:space="0" w:color="auto"/>
            </w:tcBorders>
          </w:tcPr>
          <w:p w14:paraId="1D6A2694" w14:textId="77777777" w:rsidR="00E57DAA" w:rsidRDefault="00AC4185">
            <w:pPr>
              <w:rPr>
                <w:rFonts w:cs="Cambria"/>
                <w:szCs w:val="21"/>
              </w:rPr>
            </w:pPr>
            <w:r>
              <w:t>受最终控制方控制的其他企业</w:t>
            </w:r>
          </w:p>
        </w:tc>
      </w:tr>
      <w:tr w:rsidR="00E57DAA" w14:paraId="14384E4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ACF6C0" w14:textId="77777777" w:rsidR="00E57DAA" w:rsidRDefault="00AC4185">
            <w:pPr>
              <w:rPr>
                <w:rFonts w:cs="Cambria"/>
                <w:szCs w:val="21"/>
              </w:rPr>
            </w:pPr>
            <w:r>
              <w:t>北新房屋有限公司</w:t>
            </w:r>
          </w:p>
        </w:tc>
        <w:tc>
          <w:tcPr>
            <w:tcW w:w="1807" w:type="pct"/>
            <w:tcBorders>
              <w:top w:val="single" w:sz="4" w:space="0" w:color="auto"/>
              <w:left w:val="single" w:sz="4" w:space="0" w:color="auto"/>
              <w:bottom w:val="single" w:sz="4" w:space="0" w:color="auto"/>
              <w:right w:val="single" w:sz="4" w:space="0" w:color="auto"/>
            </w:tcBorders>
          </w:tcPr>
          <w:p w14:paraId="648317E3" w14:textId="77777777" w:rsidR="00E57DAA" w:rsidRDefault="00AC4185">
            <w:pPr>
              <w:rPr>
                <w:rFonts w:cs="Cambria"/>
                <w:szCs w:val="21"/>
              </w:rPr>
            </w:pPr>
            <w:r>
              <w:t>受最终控制方控制的其他企业</w:t>
            </w:r>
          </w:p>
        </w:tc>
      </w:tr>
      <w:tr w:rsidR="00E57DAA" w14:paraId="26CD02E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2012CC" w14:textId="77777777" w:rsidR="00E57DAA" w:rsidRDefault="00AC4185">
            <w:pPr>
              <w:rPr>
                <w:rFonts w:cs="Cambria"/>
                <w:szCs w:val="21"/>
              </w:rPr>
            </w:pPr>
            <w:r>
              <w:t>北新建材集团南宫金属有限公司</w:t>
            </w:r>
          </w:p>
        </w:tc>
        <w:tc>
          <w:tcPr>
            <w:tcW w:w="1807" w:type="pct"/>
            <w:tcBorders>
              <w:top w:val="single" w:sz="4" w:space="0" w:color="auto"/>
              <w:left w:val="single" w:sz="4" w:space="0" w:color="auto"/>
              <w:bottom w:val="single" w:sz="4" w:space="0" w:color="auto"/>
              <w:right w:val="single" w:sz="4" w:space="0" w:color="auto"/>
            </w:tcBorders>
          </w:tcPr>
          <w:p w14:paraId="1C7DF281" w14:textId="77777777" w:rsidR="00E57DAA" w:rsidRDefault="00AC4185">
            <w:pPr>
              <w:rPr>
                <w:rFonts w:cs="Cambria"/>
                <w:szCs w:val="21"/>
              </w:rPr>
            </w:pPr>
            <w:r>
              <w:t>受最终控制方控制的其他企业</w:t>
            </w:r>
          </w:p>
        </w:tc>
      </w:tr>
      <w:tr w:rsidR="00E57DAA" w14:paraId="60182C1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1F508B3" w14:textId="77777777" w:rsidR="00E57DAA" w:rsidRDefault="00AC4185">
            <w:pPr>
              <w:rPr>
                <w:rFonts w:cs="Cambria"/>
                <w:szCs w:val="21"/>
              </w:rPr>
            </w:pPr>
            <w:r>
              <w:t>成都中建材光电材料有限公司</w:t>
            </w:r>
          </w:p>
        </w:tc>
        <w:tc>
          <w:tcPr>
            <w:tcW w:w="1807" w:type="pct"/>
            <w:tcBorders>
              <w:top w:val="single" w:sz="4" w:space="0" w:color="auto"/>
              <w:left w:val="single" w:sz="4" w:space="0" w:color="auto"/>
              <w:bottom w:val="single" w:sz="4" w:space="0" w:color="auto"/>
              <w:right w:val="single" w:sz="4" w:space="0" w:color="auto"/>
            </w:tcBorders>
          </w:tcPr>
          <w:p w14:paraId="505B7805" w14:textId="77777777" w:rsidR="00E57DAA" w:rsidRDefault="00AC4185">
            <w:pPr>
              <w:rPr>
                <w:rFonts w:cs="Cambria"/>
                <w:szCs w:val="21"/>
              </w:rPr>
            </w:pPr>
            <w:r>
              <w:t>受最终控制方控制的其他企业</w:t>
            </w:r>
          </w:p>
        </w:tc>
      </w:tr>
      <w:tr w:rsidR="00E57DAA" w14:paraId="76DA44E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611547" w14:textId="77777777" w:rsidR="00E57DAA" w:rsidRDefault="00AC4185">
            <w:pPr>
              <w:rPr>
                <w:rFonts w:cs="Cambria"/>
                <w:szCs w:val="21"/>
              </w:rPr>
            </w:pPr>
            <w:r>
              <w:t>广州华磊建筑基础工程有限公司</w:t>
            </w:r>
          </w:p>
        </w:tc>
        <w:tc>
          <w:tcPr>
            <w:tcW w:w="1807" w:type="pct"/>
            <w:tcBorders>
              <w:top w:val="single" w:sz="4" w:space="0" w:color="auto"/>
              <w:left w:val="single" w:sz="4" w:space="0" w:color="auto"/>
              <w:bottom w:val="single" w:sz="4" w:space="0" w:color="auto"/>
              <w:right w:val="single" w:sz="4" w:space="0" w:color="auto"/>
            </w:tcBorders>
          </w:tcPr>
          <w:p w14:paraId="1979F5E0" w14:textId="77777777" w:rsidR="00E57DAA" w:rsidRDefault="00AC4185">
            <w:pPr>
              <w:rPr>
                <w:rFonts w:cs="Cambria"/>
                <w:szCs w:val="21"/>
              </w:rPr>
            </w:pPr>
            <w:r>
              <w:t>受最终控制方控制的其他企业</w:t>
            </w:r>
          </w:p>
        </w:tc>
      </w:tr>
      <w:tr w:rsidR="00E57DAA" w14:paraId="4ED3B61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912F8D" w14:textId="77777777" w:rsidR="00E57DAA" w:rsidRDefault="00AC4185">
            <w:pPr>
              <w:rPr>
                <w:rFonts w:cs="Cambria"/>
                <w:szCs w:val="21"/>
              </w:rPr>
            </w:pPr>
            <w:r>
              <w:t>国检测试控股集团安徽京诚有限公司</w:t>
            </w:r>
          </w:p>
        </w:tc>
        <w:tc>
          <w:tcPr>
            <w:tcW w:w="1807" w:type="pct"/>
            <w:tcBorders>
              <w:top w:val="single" w:sz="4" w:space="0" w:color="auto"/>
              <w:left w:val="single" w:sz="4" w:space="0" w:color="auto"/>
              <w:bottom w:val="single" w:sz="4" w:space="0" w:color="auto"/>
              <w:right w:val="single" w:sz="4" w:space="0" w:color="auto"/>
            </w:tcBorders>
          </w:tcPr>
          <w:p w14:paraId="12D9F68A" w14:textId="77777777" w:rsidR="00E57DAA" w:rsidRDefault="00AC4185">
            <w:pPr>
              <w:rPr>
                <w:rFonts w:cs="Cambria"/>
                <w:szCs w:val="21"/>
              </w:rPr>
            </w:pPr>
            <w:r>
              <w:t>受最终控制方控制的其他企业</w:t>
            </w:r>
          </w:p>
        </w:tc>
      </w:tr>
      <w:tr w:rsidR="00E57DAA" w14:paraId="68BA0FE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FD85C5" w14:textId="77777777" w:rsidR="00E57DAA" w:rsidRDefault="00AC4185">
            <w:pPr>
              <w:rPr>
                <w:rFonts w:cs="Cambria"/>
                <w:szCs w:val="21"/>
              </w:rPr>
            </w:pPr>
            <w:r>
              <w:t>国检测试控股集团北京生态环境保护技术研究院有限公司</w:t>
            </w:r>
          </w:p>
        </w:tc>
        <w:tc>
          <w:tcPr>
            <w:tcW w:w="1807" w:type="pct"/>
            <w:tcBorders>
              <w:top w:val="single" w:sz="4" w:space="0" w:color="auto"/>
              <w:left w:val="single" w:sz="4" w:space="0" w:color="auto"/>
              <w:bottom w:val="single" w:sz="4" w:space="0" w:color="auto"/>
              <w:right w:val="single" w:sz="4" w:space="0" w:color="auto"/>
            </w:tcBorders>
          </w:tcPr>
          <w:p w14:paraId="5B01A23E" w14:textId="77777777" w:rsidR="00E57DAA" w:rsidRDefault="00AC4185">
            <w:pPr>
              <w:rPr>
                <w:rFonts w:cs="Cambria"/>
                <w:szCs w:val="21"/>
              </w:rPr>
            </w:pPr>
            <w:r>
              <w:t>受最终控制方控制的其他企业</w:t>
            </w:r>
          </w:p>
        </w:tc>
      </w:tr>
      <w:tr w:rsidR="00E57DAA" w14:paraId="36F02AD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00A932" w14:textId="77777777" w:rsidR="00E57DAA" w:rsidRDefault="00AC4185">
            <w:pPr>
              <w:rPr>
                <w:rFonts w:cs="Cambria"/>
                <w:szCs w:val="21"/>
              </w:rPr>
            </w:pPr>
            <w:r>
              <w:t>国检测试控股集团上海有限公司</w:t>
            </w:r>
          </w:p>
        </w:tc>
        <w:tc>
          <w:tcPr>
            <w:tcW w:w="1807" w:type="pct"/>
            <w:tcBorders>
              <w:top w:val="single" w:sz="4" w:space="0" w:color="auto"/>
              <w:left w:val="single" w:sz="4" w:space="0" w:color="auto"/>
              <w:bottom w:val="single" w:sz="4" w:space="0" w:color="auto"/>
              <w:right w:val="single" w:sz="4" w:space="0" w:color="auto"/>
            </w:tcBorders>
          </w:tcPr>
          <w:p w14:paraId="4567B74F" w14:textId="77777777" w:rsidR="00E57DAA" w:rsidRDefault="00AC4185">
            <w:pPr>
              <w:rPr>
                <w:rFonts w:cs="Cambria"/>
                <w:szCs w:val="21"/>
              </w:rPr>
            </w:pPr>
            <w:r>
              <w:t>受最终控制方控制的其他企业</w:t>
            </w:r>
          </w:p>
        </w:tc>
      </w:tr>
      <w:tr w:rsidR="00E57DAA" w14:paraId="47F1137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A93FF8" w14:textId="77777777" w:rsidR="00E57DAA" w:rsidRDefault="00AC4185">
            <w:pPr>
              <w:rPr>
                <w:rFonts w:cs="Cambria"/>
                <w:szCs w:val="21"/>
              </w:rPr>
            </w:pPr>
            <w:r>
              <w:t>哈尔滨玻璃钢研究院有限公司</w:t>
            </w:r>
          </w:p>
        </w:tc>
        <w:tc>
          <w:tcPr>
            <w:tcW w:w="1807" w:type="pct"/>
            <w:tcBorders>
              <w:top w:val="single" w:sz="4" w:space="0" w:color="auto"/>
              <w:left w:val="single" w:sz="4" w:space="0" w:color="auto"/>
              <w:bottom w:val="single" w:sz="4" w:space="0" w:color="auto"/>
              <w:right w:val="single" w:sz="4" w:space="0" w:color="auto"/>
            </w:tcBorders>
          </w:tcPr>
          <w:p w14:paraId="1607E536" w14:textId="77777777" w:rsidR="00E57DAA" w:rsidRDefault="00AC4185">
            <w:pPr>
              <w:rPr>
                <w:rFonts w:cs="Cambria"/>
                <w:szCs w:val="21"/>
              </w:rPr>
            </w:pPr>
            <w:r>
              <w:t>受最终控制方控制的其他企业</w:t>
            </w:r>
          </w:p>
        </w:tc>
      </w:tr>
      <w:tr w:rsidR="00E57DAA" w14:paraId="6F9EA75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84CE0B" w14:textId="77777777" w:rsidR="00E57DAA" w:rsidRDefault="00AC4185">
            <w:pPr>
              <w:rPr>
                <w:rFonts w:cs="Cambria"/>
                <w:szCs w:val="21"/>
              </w:rPr>
            </w:pPr>
            <w:r>
              <w:t>合肥神马电气有限公司</w:t>
            </w:r>
          </w:p>
        </w:tc>
        <w:tc>
          <w:tcPr>
            <w:tcW w:w="1807" w:type="pct"/>
            <w:tcBorders>
              <w:top w:val="single" w:sz="4" w:space="0" w:color="auto"/>
              <w:left w:val="single" w:sz="4" w:space="0" w:color="auto"/>
              <w:bottom w:val="single" w:sz="4" w:space="0" w:color="auto"/>
              <w:right w:val="single" w:sz="4" w:space="0" w:color="auto"/>
            </w:tcBorders>
          </w:tcPr>
          <w:p w14:paraId="2FE1419B" w14:textId="77777777" w:rsidR="00E57DAA" w:rsidRDefault="00AC4185">
            <w:pPr>
              <w:rPr>
                <w:rFonts w:cs="Cambria"/>
                <w:szCs w:val="21"/>
              </w:rPr>
            </w:pPr>
            <w:r>
              <w:t>受最终控制方控制的其他企业</w:t>
            </w:r>
          </w:p>
        </w:tc>
      </w:tr>
      <w:tr w:rsidR="00E57DAA" w14:paraId="18F436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86416B" w14:textId="77777777" w:rsidR="00E57DAA" w:rsidRDefault="00AC4185">
            <w:pPr>
              <w:rPr>
                <w:rFonts w:cs="Cambria"/>
                <w:szCs w:val="21"/>
              </w:rPr>
            </w:pPr>
            <w:r>
              <w:t>合肥神马科技集团有限公司</w:t>
            </w:r>
          </w:p>
        </w:tc>
        <w:tc>
          <w:tcPr>
            <w:tcW w:w="1807" w:type="pct"/>
            <w:tcBorders>
              <w:top w:val="single" w:sz="4" w:space="0" w:color="auto"/>
              <w:left w:val="single" w:sz="4" w:space="0" w:color="auto"/>
              <w:bottom w:val="single" w:sz="4" w:space="0" w:color="auto"/>
              <w:right w:val="single" w:sz="4" w:space="0" w:color="auto"/>
            </w:tcBorders>
          </w:tcPr>
          <w:p w14:paraId="1D88821C" w14:textId="77777777" w:rsidR="00E57DAA" w:rsidRDefault="00AC4185">
            <w:pPr>
              <w:rPr>
                <w:rFonts w:cs="Cambria"/>
                <w:szCs w:val="21"/>
              </w:rPr>
            </w:pPr>
            <w:r>
              <w:t>受最终控制方控制的其他企业</w:t>
            </w:r>
          </w:p>
        </w:tc>
      </w:tr>
      <w:tr w:rsidR="00E57DAA" w14:paraId="5E01B81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E16D45" w14:textId="77777777" w:rsidR="00E57DAA" w:rsidRDefault="00AC4185">
            <w:pPr>
              <w:rPr>
                <w:rFonts w:cs="Cambria"/>
                <w:szCs w:val="21"/>
              </w:rPr>
            </w:pPr>
            <w:r>
              <w:t>合肥中辰轻工机械有限公司</w:t>
            </w:r>
          </w:p>
        </w:tc>
        <w:tc>
          <w:tcPr>
            <w:tcW w:w="1807" w:type="pct"/>
            <w:tcBorders>
              <w:top w:val="single" w:sz="4" w:space="0" w:color="auto"/>
              <w:left w:val="single" w:sz="4" w:space="0" w:color="auto"/>
              <w:bottom w:val="single" w:sz="4" w:space="0" w:color="auto"/>
              <w:right w:val="single" w:sz="4" w:space="0" w:color="auto"/>
            </w:tcBorders>
          </w:tcPr>
          <w:p w14:paraId="4229F0A5" w14:textId="77777777" w:rsidR="00E57DAA" w:rsidRDefault="00AC4185">
            <w:pPr>
              <w:rPr>
                <w:rFonts w:cs="Cambria"/>
                <w:szCs w:val="21"/>
              </w:rPr>
            </w:pPr>
            <w:r>
              <w:t>受最终控制方控制的其他企业</w:t>
            </w:r>
          </w:p>
        </w:tc>
      </w:tr>
      <w:tr w:rsidR="00E57DAA" w14:paraId="48816EE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003582" w14:textId="77777777" w:rsidR="00E57DAA" w:rsidRDefault="00AC4185">
            <w:pPr>
              <w:rPr>
                <w:rFonts w:cs="Cambria"/>
                <w:szCs w:val="21"/>
              </w:rPr>
            </w:pPr>
            <w:r>
              <w:t>河南瑞泰耐火材料科技有限公司</w:t>
            </w:r>
          </w:p>
        </w:tc>
        <w:tc>
          <w:tcPr>
            <w:tcW w:w="1807" w:type="pct"/>
            <w:tcBorders>
              <w:top w:val="single" w:sz="4" w:space="0" w:color="auto"/>
              <w:left w:val="single" w:sz="4" w:space="0" w:color="auto"/>
              <w:bottom w:val="single" w:sz="4" w:space="0" w:color="auto"/>
              <w:right w:val="single" w:sz="4" w:space="0" w:color="auto"/>
            </w:tcBorders>
          </w:tcPr>
          <w:p w14:paraId="3A1165F6" w14:textId="77777777" w:rsidR="00E57DAA" w:rsidRDefault="00AC4185">
            <w:pPr>
              <w:rPr>
                <w:rFonts w:cs="Cambria"/>
                <w:szCs w:val="21"/>
              </w:rPr>
            </w:pPr>
            <w:r>
              <w:t>受最终控制方控制的其他企业</w:t>
            </w:r>
          </w:p>
        </w:tc>
      </w:tr>
      <w:tr w:rsidR="00E57DAA" w14:paraId="1DC58B1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87766C" w14:textId="77777777" w:rsidR="00E57DAA" w:rsidRDefault="00AC4185">
            <w:pPr>
              <w:rPr>
                <w:rFonts w:cs="Cambria"/>
                <w:szCs w:val="21"/>
              </w:rPr>
            </w:pPr>
            <w:r>
              <w:t>中建材（湖南）非金属矿有限公司</w:t>
            </w:r>
          </w:p>
        </w:tc>
        <w:tc>
          <w:tcPr>
            <w:tcW w:w="1807" w:type="pct"/>
            <w:tcBorders>
              <w:top w:val="single" w:sz="4" w:space="0" w:color="auto"/>
              <w:left w:val="single" w:sz="4" w:space="0" w:color="auto"/>
              <w:bottom w:val="single" w:sz="4" w:space="0" w:color="auto"/>
              <w:right w:val="single" w:sz="4" w:space="0" w:color="auto"/>
            </w:tcBorders>
          </w:tcPr>
          <w:p w14:paraId="6FD6C80D" w14:textId="77777777" w:rsidR="00E57DAA" w:rsidRDefault="00AC4185">
            <w:pPr>
              <w:rPr>
                <w:rFonts w:cs="Cambria"/>
                <w:szCs w:val="21"/>
              </w:rPr>
            </w:pPr>
            <w:r>
              <w:t>受最终控制方控制的其他企业</w:t>
            </w:r>
          </w:p>
        </w:tc>
      </w:tr>
      <w:tr w:rsidR="00E57DAA" w14:paraId="61834F7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76C30F" w14:textId="77777777" w:rsidR="00E57DAA" w:rsidRDefault="00AC4185">
            <w:pPr>
              <w:rPr>
                <w:rFonts w:cs="Cambria"/>
                <w:szCs w:val="21"/>
              </w:rPr>
            </w:pPr>
            <w:r>
              <w:t>建材广州工程勘测院有限公司</w:t>
            </w:r>
          </w:p>
        </w:tc>
        <w:tc>
          <w:tcPr>
            <w:tcW w:w="1807" w:type="pct"/>
            <w:tcBorders>
              <w:top w:val="single" w:sz="4" w:space="0" w:color="auto"/>
              <w:left w:val="single" w:sz="4" w:space="0" w:color="auto"/>
              <w:bottom w:val="single" w:sz="4" w:space="0" w:color="auto"/>
              <w:right w:val="single" w:sz="4" w:space="0" w:color="auto"/>
            </w:tcBorders>
          </w:tcPr>
          <w:p w14:paraId="6D25E306" w14:textId="77777777" w:rsidR="00E57DAA" w:rsidRDefault="00AC4185">
            <w:pPr>
              <w:rPr>
                <w:rFonts w:cs="Cambria"/>
                <w:szCs w:val="21"/>
              </w:rPr>
            </w:pPr>
            <w:r>
              <w:t>受最终控制方控制的其他企业</w:t>
            </w:r>
          </w:p>
        </w:tc>
      </w:tr>
      <w:tr w:rsidR="00E57DAA" w14:paraId="774CC2B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8BA268" w14:textId="77777777" w:rsidR="00E57DAA" w:rsidRDefault="00AC4185">
            <w:pPr>
              <w:rPr>
                <w:rFonts w:cs="Cambria"/>
                <w:szCs w:val="21"/>
              </w:rPr>
            </w:pPr>
            <w:r>
              <w:t>中建材广西勘测规划设计有限公司</w:t>
            </w:r>
          </w:p>
        </w:tc>
        <w:tc>
          <w:tcPr>
            <w:tcW w:w="1807" w:type="pct"/>
            <w:tcBorders>
              <w:top w:val="single" w:sz="4" w:space="0" w:color="auto"/>
              <w:left w:val="single" w:sz="4" w:space="0" w:color="auto"/>
              <w:bottom w:val="single" w:sz="4" w:space="0" w:color="auto"/>
              <w:right w:val="single" w:sz="4" w:space="0" w:color="auto"/>
            </w:tcBorders>
          </w:tcPr>
          <w:p w14:paraId="58E22906" w14:textId="77777777" w:rsidR="00E57DAA" w:rsidRDefault="00AC4185">
            <w:pPr>
              <w:rPr>
                <w:rFonts w:cs="Cambria"/>
                <w:szCs w:val="21"/>
              </w:rPr>
            </w:pPr>
            <w:r>
              <w:t>受最终控制方控制的其他企业</w:t>
            </w:r>
          </w:p>
        </w:tc>
      </w:tr>
      <w:tr w:rsidR="00E57DAA" w14:paraId="64C92CB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D5CF46" w14:textId="77777777" w:rsidR="00E57DAA" w:rsidRDefault="00AC4185">
            <w:pPr>
              <w:rPr>
                <w:rFonts w:cs="Cambria"/>
                <w:szCs w:val="21"/>
              </w:rPr>
            </w:pPr>
            <w:r>
              <w:t>江西中材新材料有限公司</w:t>
            </w:r>
          </w:p>
        </w:tc>
        <w:tc>
          <w:tcPr>
            <w:tcW w:w="1807" w:type="pct"/>
            <w:tcBorders>
              <w:top w:val="single" w:sz="4" w:space="0" w:color="auto"/>
              <w:left w:val="single" w:sz="4" w:space="0" w:color="auto"/>
              <w:bottom w:val="single" w:sz="4" w:space="0" w:color="auto"/>
              <w:right w:val="single" w:sz="4" w:space="0" w:color="auto"/>
            </w:tcBorders>
          </w:tcPr>
          <w:p w14:paraId="637D9BA6" w14:textId="77777777" w:rsidR="00E57DAA" w:rsidRDefault="00AC4185">
            <w:pPr>
              <w:rPr>
                <w:rFonts w:cs="Cambria"/>
                <w:szCs w:val="21"/>
              </w:rPr>
            </w:pPr>
            <w:r>
              <w:t>受最终控制方控制的其他企业</w:t>
            </w:r>
          </w:p>
        </w:tc>
      </w:tr>
      <w:tr w:rsidR="00E57DAA" w14:paraId="415721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C604B0" w14:textId="77777777" w:rsidR="00E57DAA" w:rsidRDefault="00AC4185">
            <w:pPr>
              <w:rPr>
                <w:rFonts w:cs="Cambria"/>
                <w:szCs w:val="21"/>
              </w:rPr>
            </w:pPr>
            <w:r>
              <w:t>巨石集团淮安有限公司</w:t>
            </w:r>
          </w:p>
        </w:tc>
        <w:tc>
          <w:tcPr>
            <w:tcW w:w="1807" w:type="pct"/>
            <w:tcBorders>
              <w:top w:val="single" w:sz="4" w:space="0" w:color="auto"/>
              <w:left w:val="single" w:sz="4" w:space="0" w:color="auto"/>
              <w:bottom w:val="single" w:sz="4" w:space="0" w:color="auto"/>
              <w:right w:val="single" w:sz="4" w:space="0" w:color="auto"/>
            </w:tcBorders>
          </w:tcPr>
          <w:p w14:paraId="0BAE85FE" w14:textId="77777777" w:rsidR="00E57DAA" w:rsidRDefault="00AC4185">
            <w:pPr>
              <w:rPr>
                <w:rFonts w:cs="Cambria"/>
                <w:szCs w:val="21"/>
              </w:rPr>
            </w:pPr>
            <w:r>
              <w:t>受最终控制方控制的其他企业</w:t>
            </w:r>
          </w:p>
        </w:tc>
      </w:tr>
      <w:tr w:rsidR="00E57DAA" w14:paraId="769C863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B2452D" w14:textId="77777777" w:rsidR="00E57DAA" w:rsidRDefault="00AC4185">
            <w:pPr>
              <w:rPr>
                <w:rFonts w:cs="Cambria"/>
                <w:szCs w:val="21"/>
              </w:rPr>
            </w:pPr>
            <w:r>
              <w:t>巨石集团有限公司</w:t>
            </w:r>
          </w:p>
        </w:tc>
        <w:tc>
          <w:tcPr>
            <w:tcW w:w="1807" w:type="pct"/>
            <w:tcBorders>
              <w:top w:val="single" w:sz="4" w:space="0" w:color="auto"/>
              <w:left w:val="single" w:sz="4" w:space="0" w:color="auto"/>
              <w:bottom w:val="single" w:sz="4" w:space="0" w:color="auto"/>
              <w:right w:val="single" w:sz="4" w:space="0" w:color="auto"/>
            </w:tcBorders>
          </w:tcPr>
          <w:p w14:paraId="4014BCD1" w14:textId="77777777" w:rsidR="00E57DAA" w:rsidRDefault="00AC4185">
            <w:pPr>
              <w:rPr>
                <w:rFonts w:cs="Cambria"/>
                <w:szCs w:val="21"/>
              </w:rPr>
            </w:pPr>
            <w:r>
              <w:t>受最终控制方控制的其他企业</w:t>
            </w:r>
          </w:p>
        </w:tc>
      </w:tr>
      <w:tr w:rsidR="00E57DAA" w14:paraId="47E4098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D632EA" w14:textId="77777777" w:rsidR="00E57DAA" w:rsidRDefault="00AC4185">
            <w:pPr>
              <w:rPr>
                <w:rFonts w:cs="Cambria"/>
                <w:szCs w:val="21"/>
              </w:rPr>
            </w:pPr>
            <w:r>
              <w:t>凯盛科技集团有限公司</w:t>
            </w:r>
          </w:p>
        </w:tc>
        <w:tc>
          <w:tcPr>
            <w:tcW w:w="1807" w:type="pct"/>
            <w:tcBorders>
              <w:top w:val="single" w:sz="4" w:space="0" w:color="auto"/>
              <w:left w:val="single" w:sz="4" w:space="0" w:color="auto"/>
              <w:bottom w:val="single" w:sz="4" w:space="0" w:color="auto"/>
              <w:right w:val="single" w:sz="4" w:space="0" w:color="auto"/>
            </w:tcBorders>
          </w:tcPr>
          <w:p w14:paraId="4D6C1EBD" w14:textId="77777777" w:rsidR="00E57DAA" w:rsidRDefault="00AC4185">
            <w:pPr>
              <w:rPr>
                <w:rFonts w:cs="Cambria"/>
                <w:szCs w:val="21"/>
              </w:rPr>
            </w:pPr>
            <w:r>
              <w:t>受最终控制方控制的其他企业</w:t>
            </w:r>
          </w:p>
        </w:tc>
      </w:tr>
      <w:tr w:rsidR="00E57DAA" w14:paraId="1FCFFFC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24D99B2" w14:textId="77777777" w:rsidR="00E57DAA" w:rsidRDefault="00AC4185">
            <w:pPr>
              <w:rPr>
                <w:rFonts w:cs="Cambria"/>
                <w:szCs w:val="21"/>
              </w:rPr>
            </w:pPr>
            <w:r>
              <w:t>凯盛石英材料（太湖）有限公司</w:t>
            </w:r>
          </w:p>
        </w:tc>
        <w:tc>
          <w:tcPr>
            <w:tcW w:w="1807" w:type="pct"/>
            <w:tcBorders>
              <w:top w:val="single" w:sz="4" w:space="0" w:color="auto"/>
              <w:left w:val="single" w:sz="4" w:space="0" w:color="auto"/>
              <w:bottom w:val="single" w:sz="4" w:space="0" w:color="auto"/>
              <w:right w:val="single" w:sz="4" w:space="0" w:color="auto"/>
            </w:tcBorders>
          </w:tcPr>
          <w:p w14:paraId="460DF07F" w14:textId="77777777" w:rsidR="00E57DAA" w:rsidRDefault="00AC4185">
            <w:pPr>
              <w:rPr>
                <w:rFonts w:cs="Cambria"/>
                <w:szCs w:val="21"/>
              </w:rPr>
            </w:pPr>
            <w:r>
              <w:t>受最终控制方控制的其他企业</w:t>
            </w:r>
          </w:p>
        </w:tc>
      </w:tr>
      <w:tr w:rsidR="00E57DAA" w14:paraId="6AE6C43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93F4EC" w14:textId="77777777" w:rsidR="00E57DAA" w:rsidRDefault="00AC4185">
            <w:pPr>
              <w:rPr>
                <w:rFonts w:cs="Cambria"/>
                <w:szCs w:val="21"/>
              </w:rPr>
            </w:pPr>
            <w:r>
              <w:t>凯盛重工有限公司</w:t>
            </w:r>
          </w:p>
        </w:tc>
        <w:tc>
          <w:tcPr>
            <w:tcW w:w="1807" w:type="pct"/>
            <w:tcBorders>
              <w:top w:val="single" w:sz="4" w:space="0" w:color="auto"/>
              <w:left w:val="single" w:sz="4" w:space="0" w:color="auto"/>
              <w:bottom w:val="single" w:sz="4" w:space="0" w:color="auto"/>
              <w:right w:val="single" w:sz="4" w:space="0" w:color="auto"/>
            </w:tcBorders>
          </w:tcPr>
          <w:p w14:paraId="0C27B8BC" w14:textId="77777777" w:rsidR="00E57DAA" w:rsidRDefault="00AC4185">
            <w:pPr>
              <w:rPr>
                <w:rFonts w:cs="Cambria"/>
                <w:szCs w:val="21"/>
              </w:rPr>
            </w:pPr>
            <w:r>
              <w:t>受最终控制方控制的其他企业</w:t>
            </w:r>
          </w:p>
        </w:tc>
      </w:tr>
      <w:tr w:rsidR="00E57DAA" w14:paraId="0FEF842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2022322" w14:textId="77777777" w:rsidR="00E57DAA" w:rsidRDefault="00AC4185">
            <w:pPr>
              <w:rPr>
                <w:rFonts w:cs="Cambria"/>
                <w:szCs w:val="21"/>
              </w:rPr>
            </w:pPr>
            <w:r>
              <w:t>南通万达能源动力科技有限公司</w:t>
            </w:r>
          </w:p>
        </w:tc>
        <w:tc>
          <w:tcPr>
            <w:tcW w:w="1807" w:type="pct"/>
            <w:tcBorders>
              <w:top w:val="single" w:sz="4" w:space="0" w:color="auto"/>
              <w:left w:val="single" w:sz="4" w:space="0" w:color="auto"/>
              <w:bottom w:val="single" w:sz="4" w:space="0" w:color="auto"/>
              <w:right w:val="single" w:sz="4" w:space="0" w:color="auto"/>
            </w:tcBorders>
          </w:tcPr>
          <w:p w14:paraId="170AAF30" w14:textId="77777777" w:rsidR="00E57DAA" w:rsidRDefault="00AC4185">
            <w:pPr>
              <w:rPr>
                <w:rFonts w:cs="Cambria"/>
                <w:szCs w:val="21"/>
              </w:rPr>
            </w:pPr>
            <w:r>
              <w:t>受最终控制方控制的其他企业</w:t>
            </w:r>
          </w:p>
        </w:tc>
      </w:tr>
      <w:tr w:rsidR="00E57DAA" w14:paraId="22FE743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ACA899" w14:textId="77777777" w:rsidR="00E57DAA" w:rsidRDefault="00AC4185">
            <w:pPr>
              <w:rPr>
                <w:rFonts w:cs="Cambria"/>
                <w:szCs w:val="21"/>
              </w:rPr>
            </w:pPr>
            <w:r>
              <w:t>瑞泰科技股份有限公司</w:t>
            </w:r>
          </w:p>
        </w:tc>
        <w:tc>
          <w:tcPr>
            <w:tcW w:w="1807" w:type="pct"/>
            <w:tcBorders>
              <w:top w:val="single" w:sz="4" w:space="0" w:color="auto"/>
              <w:left w:val="single" w:sz="4" w:space="0" w:color="auto"/>
              <w:bottom w:val="single" w:sz="4" w:space="0" w:color="auto"/>
              <w:right w:val="single" w:sz="4" w:space="0" w:color="auto"/>
            </w:tcBorders>
          </w:tcPr>
          <w:p w14:paraId="64CCE1C7" w14:textId="77777777" w:rsidR="00E57DAA" w:rsidRDefault="00AC4185">
            <w:pPr>
              <w:rPr>
                <w:rFonts w:cs="Cambria"/>
                <w:szCs w:val="21"/>
              </w:rPr>
            </w:pPr>
            <w:r>
              <w:t>受最终控制方控制的其他企业</w:t>
            </w:r>
          </w:p>
        </w:tc>
      </w:tr>
      <w:tr w:rsidR="00E57DAA" w14:paraId="6E6C374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BD7BE3" w14:textId="77777777" w:rsidR="00E57DAA" w:rsidRDefault="00AC4185">
            <w:pPr>
              <w:rPr>
                <w:rFonts w:cs="Cambria"/>
                <w:szCs w:val="21"/>
              </w:rPr>
            </w:pPr>
            <w:r>
              <w:t>瑞泰马钢新材料科技有限公司</w:t>
            </w:r>
          </w:p>
        </w:tc>
        <w:tc>
          <w:tcPr>
            <w:tcW w:w="1807" w:type="pct"/>
            <w:tcBorders>
              <w:top w:val="single" w:sz="4" w:space="0" w:color="auto"/>
              <w:left w:val="single" w:sz="4" w:space="0" w:color="auto"/>
              <w:bottom w:val="single" w:sz="4" w:space="0" w:color="auto"/>
              <w:right w:val="single" w:sz="4" w:space="0" w:color="auto"/>
            </w:tcBorders>
          </w:tcPr>
          <w:p w14:paraId="7E466A62" w14:textId="77777777" w:rsidR="00E57DAA" w:rsidRDefault="00AC4185">
            <w:pPr>
              <w:rPr>
                <w:rFonts w:cs="Cambria"/>
                <w:szCs w:val="21"/>
              </w:rPr>
            </w:pPr>
            <w:r>
              <w:t>受最终控制方控制的其他企业</w:t>
            </w:r>
          </w:p>
        </w:tc>
      </w:tr>
      <w:tr w:rsidR="00E57DAA" w14:paraId="2AC2E34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915411" w14:textId="77777777" w:rsidR="00E57DAA" w:rsidRDefault="00AC4185">
            <w:pPr>
              <w:rPr>
                <w:rFonts w:cs="Cambria"/>
                <w:szCs w:val="21"/>
              </w:rPr>
            </w:pPr>
            <w:r>
              <w:t>山东工业陶瓷研究设计院有限公司</w:t>
            </w:r>
          </w:p>
        </w:tc>
        <w:tc>
          <w:tcPr>
            <w:tcW w:w="1807" w:type="pct"/>
            <w:tcBorders>
              <w:top w:val="single" w:sz="4" w:space="0" w:color="auto"/>
              <w:left w:val="single" w:sz="4" w:space="0" w:color="auto"/>
              <w:bottom w:val="single" w:sz="4" w:space="0" w:color="auto"/>
              <w:right w:val="single" w:sz="4" w:space="0" w:color="auto"/>
            </w:tcBorders>
          </w:tcPr>
          <w:p w14:paraId="0A52EFB7" w14:textId="77777777" w:rsidR="00E57DAA" w:rsidRDefault="00AC4185">
            <w:pPr>
              <w:rPr>
                <w:rFonts w:cs="Cambria"/>
                <w:szCs w:val="21"/>
              </w:rPr>
            </w:pPr>
            <w:r>
              <w:t>受最终控制方控制的其他企业</w:t>
            </w:r>
          </w:p>
        </w:tc>
      </w:tr>
      <w:tr w:rsidR="00E57DAA" w14:paraId="046CE8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96ADB5" w14:textId="77777777" w:rsidR="00E57DAA" w:rsidRDefault="00AC4185">
            <w:pPr>
              <w:rPr>
                <w:rFonts w:cs="Cambria"/>
                <w:szCs w:val="21"/>
              </w:rPr>
            </w:pPr>
            <w:r>
              <w:t>山东中岩建材科技有限公司</w:t>
            </w:r>
          </w:p>
        </w:tc>
        <w:tc>
          <w:tcPr>
            <w:tcW w:w="1807" w:type="pct"/>
            <w:tcBorders>
              <w:top w:val="single" w:sz="4" w:space="0" w:color="auto"/>
              <w:left w:val="single" w:sz="4" w:space="0" w:color="auto"/>
              <w:bottom w:val="single" w:sz="4" w:space="0" w:color="auto"/>
              <w:right w:val="single" w:sz="4" w:space="0" w:color="auto"/>
            </w:tcBorders>
          </w:tcPr>
          <w:p w14:paraId="5C92BD16" w14:textId="77777777" w:rsidR="00E57DAA" w:rsidRDefault="00AC4185">
            <w:pPr>
              <w:rPr>
                <w:rFonts w:cs="Cambria"/>
                <w:szCs w:val="21"/>
              </w:rPr>
            </w:pPr>
            <w:r>
              <w:t>受最终控制方控制的其他企业</w:t>
            </w:r>
          </w:p>
        </w:tc>
      </w:tr>
      <w:tr w:rsidR="00E57DAA" w14:paraId="379BF1E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0D6798" w14:textId="77777777" w:rsidR="00E57DAA" w:rsidRDefault="00AC4185">
            <w:pPr>
              <w:rPr>
                <w:rFonts w:cs="Cambria"/>
                <w:szCs w:val="21"/>
              </w:rPr>
            </w:pPr>
            <w:r>
              <w:t>陕西中祥基础工程有限责任公司</w:t>
            </w:r>
          </w:p>
        </w:tc>
        <w:tc>
          <w:tcPr>
            <w:tcW w:w="1807" w:type="pct"/>
            <w:tcBorders>
              <w:top w:val="single" w:sz="4" w:space="0" w:color="auto"/>
              <w:left w:val="single" w:sz="4" w:space="0" w:color="auto"/>
              <w:bottom w:val="single" w:sz="4" w:space="0" w:color="auto"/>
              <w:right w:val="single" w:sz="4" w:space="0" w:color="auto"/>
            </w:tcBorders>
          </w:tcPr>
          <w:p w14:paraId="5A4C2E60" w14:textId="77777777" w:rsidR="00E57DAA" w:rsidRDefault="00AC4185">
            <w:pPr>
              <w:rPr>
                <w:rFonts w:cs="Cambria"/>
                <w:szCs w:val="21"/>
              </w:rPr>
            </w:pPr>
            <w:r>
              <w:t>受最终控制方控制的其他企业</w:t>
            </w:r>
          </w:p>
        </w:tc>
      </w:tr>
      <w:tr w:rsidR="00E57DAA" w14:paraId="3E657F1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49B8992" w14:textId="77777777" w:rsidR="00E57DAA" w:rsidRDefault="00AC4185">
            <w:pPr>
              <w:rPr>
                <w:rFonts w:cs="Cambria"/>
                <w:szCs w:val="21"/>
              </w:rPr>
            </w:pPr>
            <w:r>
              <w:t>上海凯盛节能工程技术有限公司</w:t>
            </w:r>
          </w:p>
        </w:tc>
        <w:tc>
          <w:tcPr>
            <w:tcW w:w="1807" w:type="pct"/>
            <w:tcBorders>
              <w:top w:val="single" w:sz="4" w:space="0" w:color="auto"/>
              <w:left w:val="single" w:sz="4" w:space="0" w:color="auto"/>
              <w:bottom w:val="single" w:sz="4" w:space="0" w:color="auto"/>
              <w:right w:val="single" w:sz="4" w:space="0" w:color="auto"/>
            </w:tcBorders>
          </w:tcPr>
          <w:p w14:paraId="0DF9ACC3" w14:textId="77777777" w:rsidR="00E57DAA" w:rsidRDefault="00AC4185">
            <w:pPr>
              <w:rPr>
                <w:rFonts w:cs="Cambria"/>
                <w:szCs w:val="21"/>
              </w:rPr>
            </w:pPr>
            <w:r>
              <w:t>受最终控制方控制的其他企业</w:t>
            </w:r>
          </w:p>
        </w:tc>
      </w:tr>
      <w:tr w:rsidR="00E57DAA" w14:paraId="7909CAD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C995C8" w14:textId="77777777" w:rsidR="00E57DAA" w:rsidRDefault="00AC4185">
            <w:pPr>
              <w:rPr>
                <w:rFonts w:cs="Cambria"/>
                <w:szCs w:val="21"/>
              </w:rPr>
            </w:pPr>
            <w:r>
              <w:t>上海美诺福科技有限公司</w:t>
            </w:r>
          </w:p>
        </w:tc>
        <w:tc>
          <w:tcPr>
            <w:tcW w:w="1807" w:type="pct"/>
            <w:tcBorders>
              <w:top w:val="single" w:sz="4" w:space="0" w:color="auto"/>
              <w:left w:val="single" w:sz="4" w:space="0" w:color="auto"/>
              <w:bottom w:val="single" w:sz="4" w:space="0" w:color="auto"/>
              <w:right w:val="single" w:sz="4" w:space="0" w:color="auto"/>
            </w:tcBorders>
          </w:tcPr>
          <w:p w14:paraId="0E84003D" w14:textId="77777777" w:rsidR="00E57DAA" w:rsidRDefault="00AC4185">
            <w:pPr>
              <w:rPr>
                <w:rFonts w:cs="Cambria"/>
                <w:szCs w:val="21"/>
              </w:rPr>
            </w:pPr>
            <w:r>
              <w:t>受最终控制方控制的其他企业</w:t>
            </w:r>
          </w:p>
        </w:tc>
      </w:tr>
      <w:tr w:rsidR="00E57DAA" w14:paraId="0F3816F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B6D001" w14:textId="77777777" w:rsidR="00E57DAA" w:rsidRDefault="00AC4185">
            <w:pPr>
              <w:rPr>
                <w:rFonts w:cs="Cambria"/>
                <w:szCs w:val="21"/>
              </w:rPr>
            </w:pPr>
            <w:r>
              <w:t>上海新建重型机械有限公司</w:t>
            </w:r>
          </w:p>
        </w:tc>
        <w:tc>
          <w:tcPr>
            <w:tcW w:w="1807" w:type="pct"/>
            <w:tcBorders>
              <w:top w:val="single" w:sz="4" w:space="0" w:color="auto"/>
              <w:left w:val="single" w:sz="4" w:space="0" w:color="auto"/>
              <w:bottom w:val="single" w:sz="4" w:space="0" w:color="auto"/>
              <w:right w:val="single" w:sz="4" w:space="0" w:color="auto"/>
            </w:tcBorders>
          </w:tcPr>
          <w:p w14:paraId="0B5677A1" w14:textId="77777777" w:rsidR="00E57DAA" w:rsidRDefault="00AC4185">
            <w:pPr>
              <w:rPr>
                <w:rFonts w:cs="Cambria"/>
                <w:szCs w:val="21"/>
              </w:rPr>
            </w:pPr>
            <w:r>
              <w:t>受最终控制方控制的其他企业</w:t>
            </w:r>
          </w:p>
        </w:tc>
      </w:tr>
      <w:tr w:rsidR="00E57DAA" w14:paraId="3871041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D67D90" w14:textId="77777777" w:rsidR="00E57DAA" w:rsidRDefault="00AC4185">
            <w:pPr>
              <w:rPr>
                <w:rFonts w:cs="Cambria"/>
                <w:szCs w:val="21"/>
              </w:rPr>
            </w:pPr>
            <w:r>
              <w:t>深圳市南华岩土工程有限公司</w:t>
            </w:r>
          </w:p>
        </w:tc>
        <w:tc>
          <w:tcPr>
            <w:tcW w:w="1807" w:type="pct"/>
            <w:tcBorders>
              <w:top w:val="single" w:sz="4" w:space="0" w:color="auto"/>
              <w:left w:val="single" w:sz="4" w:space="0" w:color="auto"/>
              <w:bottom w:val="single" w:sz="4" w:space="0" w:color="auto"/>
              <w:right w:val="single" w:sz="4" w:space="0" w:color="auto"/>
            </w:tcBorders>
          </w:tcPr>
          <w:p w14:paraId="409BEA1C" w14:textId="77777777" w:rsidR="00E57DAA" w:rsidRDefault="00AC4185">
            <w:pPr>
              <w:rPr>
                <w:rFonts w:cs="Cambria"/>
                <w:szCs w:val="21"/>
              </w:rPr>
            </w:pPr>
            <w:r>
              <w:t>受最终控制方控制的其他企业</w:t>
            </w:r>
          </w:p>
        </w:tc>
      </w:tr>
      <w:tr w:rsidR="00E57DAA" w14:paraId="40747EE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B7EBD5" w14:textId="77777777" w:rsidR="00E57DAA" w:rsidRDefault="00AC4185">
            <w:pPr>
              <w:rPr>
                <w:rFonts w:cs="Cambria"/>
                <w:szCs w:val="21"/>
              </w:rPr>
            </w:pPr>
            <w:r>
              <w:t>苏州开普岩土工程有限公司</w:t>
            </w:r>
          </w:p>
        </w:tc>
        <w:tc>
          <w:tcPr>
            <w:tcW w:w="1807" w:type="pct"/>
            <w:tcBorders>
              <w:top w:val="single" w:sz="4" w:space="0" w:color="auto"/>
              <w:left w:val="single" w:sz="4" w:space="0" w:color="auto"/>
              <w:bottom w:val="single" w:sz="4" w:space="0" w:color="auto"/>
              <w:right w:val="single" w:sz="4" w:space="0" w:color="auto"/>
            </w:tcBorders>
          </w:tcPr>
          <w:p w14:paraId="44DF2AA9" w14:textId="77777777" w:rsidR="00E57DAA" w:rsidRDefault="00AC4185">
            <w:pPr>
              <w:rPr>
                <w:rFonts w:cs="Cambria"/>
                <w:szCs w:val="21"/>
              </w:rPr>
            </w:pPr>
            <w:r>
              <w:t>受最终控制方控制的其他企业</w:t>
            </w:r>
          </w:p>
        </w:tc>
      </w:tr>
      <w:tr w:rsidR="00E57DAA" w14:paraId="3F1BC22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34E770" w14:textId="77777777" w:rsidR="00E57DAA" w:rsidRDefault="00AC4185">
            <w:pPr>
              <w:rPr>
                <w:rFonts w:cs="Cambria"/>
                <w:szCs w:val="21"/>
              </w:rPr>
            </w:pPr>
            <w:r>
              <w:lastRenderedPageBreak/>
              <w:t>唐山中轻机械有限公司</w:t>
            </w:r>
          </w:p>
        </w:tc>
        <w:tc>
          <w:tcPr>
            <w:tcW w:w="1807" w:type="pct"/>
            <w:tcBorders>
              <w:top w:val="single" w:sz="4" w:space="0" w:color="auto"/>
              <w:left w:val="single" w:sz="4" w:space="0" w:color="auto"/>
              <w:bottom w:val="single" w:sz="4" w:space="0" w:color="auto"/>
              <w:right w:val="single" w:sz="4" w:space="0" w:color="auto"/>
            </w:tcBorders>
          </w:tcPr>
          <w:p w14:paraId="189FA222" w14:textId="77777777" w:rsidR="00E57DAA" w:rsidRDefault="00AC4185">
            <w:pPr>
              <w:rPr>
                <w:rFonts w:cs="Cambria"/>
                <w:szCs w:val="21"/>
              </w:rPr>
            </w:pPr>
            <w:r>
              <w:t>受最终控制方控制的其他企业</w:t>
            </w:r>
          </w:p>
        </w:tc>
      </w:tr>
      <w:tr w:rsidR="00E57DAA" w14:paraId="27AF856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6F416CE" w14:textId="77777777" w:rsidR="00E57DAA" w:rsidRDefault="00AC4185">
            <w:pPr>
              <w:rPr>
                <w:rFonts w:cs="Cambria"/>
                <w:szCs w:val="21"/>
              </w:rPr>
            </w:pPr>
            <w:r>
              <w:t>唐山森普矿山装备有限公司</w:t>
            </w:r>
          </w:p>
        </w:tc>
        <w:tc>
          <w:tcPr>
            <w:tcW w:w="1807" w:type="pct"/>
            <w:tcBorders>
              <w:top w:val="single" w:sz="4" w:space="0" w:color="auto"/>
              <w:left w:val="single" w:sz="4" w:space="0" w:color="auto"/>
              <w:bottom w:val="single" w:sz="4" w:space="0" w:color="auto"/>
              <w:right w:val="single" w:sz="4" w:space="0" w:color="auto"/>
            </w:tcBorders>
          </w:tcPr>
          <w:p w14:paraId="7D1B9EFF" w14:textId="77777777" w:rsidR="00E57DAA" w:rsidRDefault="00AC4185">
            <w:pPr>
              <w:rPr>
                <w:rFonts w:cs="Cambria"/>
                <w:szCs w:val="21"/>
              </w:rPr>
            </w:pPr>
            <w:r>
              <w:t>受最终控制方控制的其他企业</w:t>
            </w:r>
          </w:p>
        </w:tc>
      </w:tr>
      <w:tr w:rsidR="00E57DAA" w14:paraId="7C97081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9CFE69" w14:textId="77777777" w:rsidR="00E57DAA" w:rsidRDefault="00AC4185">
            <w:pPr>
              <w:rPr>
                <w:rFonts w:cs="Cambria"/>
                <w:szCs w:val="21"/>
              </w:rPr>
            </w:pPr>
            <w:r>
              <w:t>武汉建筑材料工业设计研究院有限公司</w:t>
            </w:r>
          </w:p>
        </w:tc>
        <w:tc>
          <w:tcPr>
            <w:tcW w:w="1807" w:type="pct"/>
            <w:tcBorders>
              <w:top w:val="single" w:sz="4" w:space="0" w:color="auto"/>
              <w:left w:val="single" w:sz="4" w:space="0" w:color="auto"/>
              <w:bottom w:val="single" w:sz="4" w:space="0" w:color="auto"/>
              <w:right w:val="single" w:sz="4" w:space="0" w:color="auto"/>
            </w:tcBorders>
          </w:tcPr>
          <w:p w14:paraId="08D8B4A6" w14:textId="77777777" w:rsidR="00E57DAA" w:rsidRDefault="00AC4185">
            <w:pPr>
              <w:rPr>
                <w:rFonts w:cs="Cambria"/>
                <w:szCs w:val="21"/>
              </w:rPr>
            </w:pPr>
            <w:r>
              <w:t>受最终控制方控制的其他企业</w:t>
            </w:r>
          </w:p>
        </w:tc>
      </w:tr>
      <w:tr w:rsidR="00E57DAA" w14:paraId="1F889EB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1F2923" w14:textId="77777777" w:rsidR="00E57DAA" w:rsidRDefault="00AC4185">
            <w:pPr>
              <w:rPr>
                <w:rFonts w:cs="Cambria"/>
                <w:szCs w:val="21"/>
              </w:rPr>
            </w:pPr>
            <w:r>
              <w:t>西安凯盛建材工程有限公司</w:t>
            </w:r>
          </w:p>
        </w:tc>
        <w:tc>
          <w:tcPr>
            <w:tcW w:w="1807" w:type="pct"/>
            <w:tcBorders>
              <w:top w:val="single" w:sz="4" w:space="0" w:color="auto"/>
              <w:left w:val="single" w:sz="4" w:space="0" w:color="auto"/>
              <w:bottom w:val="single" w:sz="4" w:space="0" w:color="auto"/>
              <w:right w:val="single" w:sz="4" w:space="0" w:color="auto"/>
            </w:tcBorders>
          </w:tcPr>
          <w:p w14:paraId="4B79ED12" w14:textId="77777777" w:rsidR="00E57DAA" w:rsidRDefault="00AC4185">
            <w:pPr>
              <w:rPr>
                <w:rFonts w:cs="Cambria"/>
                <w:szCs w:val="21"/>
              </w:rPr>
            </w:pPr>
            <w:r>
              <w:t>受最终控制方控制的其他企业</w:t>
            </w:r>
          </w:p>
        </w:tc>
      </w:tr>
      <w:tr w:rsidR="00E57DAA" w14:paraId="6A775C7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3D776B" w14:textId="77777777" w:rsidR="00E57DAA" w:rsidRDefault="00AC4185">
            <w:pPr>
              <w:rPr>
                <w:rFonts w:cs="Cambria"/>
                <w:szCs w:val="21"/>
              </w:rPr>
            </w:pPr>
            <w:r>
              <w:t>西安墙体材料研究设计院有限公司</w:t>
            </w:r>
          </w:p>
        </w:tc>
        <w:tc>
          <w:tcPr>
            <w:tcW w:w="1807" w:type="pct"/>
            <w:tcBorders>
              <w:top w:val="single" w:sz="4" w:space="0" w:color="auto"/>
              <w:left w:val="single" w:sz="4" w:space="0" w:color="auto"/>
              <w:bottom w:val="single" w:sz="4" w:space="0" w:color="auto"/>
              <w:right w:val="single" w:sz="4" w:space="0" w:color="auto"/>
            </w:tcBorders>
          </w:tcPr>
          <w:p w14:paraId="6C1B32C3" w14:textId="77777777" w:rsidR="00E57DAA" w:rsidRDefault="00AC4185">
            <w:pPr>
              <w:rPr>
                <w:rFonts w:cs="Cambria"/>
                <w:szCs w:val="21"/>
              </w:rPr>
            </w:pPr>
            <w:r>
              <w:t>受最终控制方控制的其他企业</w:t>
            </w:r>
          </w:p>
        </w:tc>
      </w:tr>
      <w:tr w:rsidR="00E57DAA" w14:paraId="21FE9AD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227A21" w14:textId="77777777" w:rsidR="00E57DAA" w:rsidRDefault="00AC4185">
            <w:pPr>
              <w:rPr>
                <w:rFonts w:cs="Cambria"/>
                <w:szCs w:val="21"/>
              </w:rPr>
            </w:pPr>
            <w:r>
              <w:t>咸阳非金属矿研究设计院有限公司</w:t>
            </w:r>
          </w:p>
        </w:tc>
        <w:tc>
          <w:tcPr>
            <w:tcW w:w="1807" w:type="pct"/>
            <w:tcBorders>
              <w:top w:val="single" w:sz="4" w:space="0" w:color="auto"/>
              <w:left w:val="single" w:sz="4" w:space="0" w:color="auto"/>
              <w:bottom w:val="single" w:sz="4" w:space="0" w:color="auto"/>
              <w:right w:val="single" w:sz="4" w:space="0" w:color="auto"/>
            </w:tcBorders>
          </w:tcPr>
          <w:p w14:paraId="45B3E901" w14:textId="77777777" w:rsidR="00E57DAA" w:rsidRDefault="00AC4185">
            <w:pPr>
              <w:rPr>
                <w:rFonts w:cs="Cambria"/>
                <w:szCs w:val="21"/>
              </w:rPr>
            </w:pPr>
            <w:r>
              <w:t>受最终控制方控制的其他企业</w:t>
            </w:r>
          </w:p>
        </w:tc>
      </w:tr>
      <w:tr w:rsidR="00E57DAA" w14:paraId="78BF44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87EDCC" w14:textId="77777777" w:rsidR="00E57DAA" w:rsidRDefault="00AC4185">
            <w:pPr>
              <w:rPr>
                <w:rFonts w:cs="Cambria"/>
                <w:szCs w:val="21"/>
              </w:rPr>
            </w:pPr>
            <w:r>
              <w:t>新疆凯盛建材设计研究院（有限公司）</w:t>
            </w:r>
          </w:p>
        </w:tc>
        <w:tc>
          <w:tcPr>
            <w:tcW w:w="1807" w:type="pct"/>
            <w:tcBorders>
              <w:top w:val="single" w:sz="4" w:space="0" w:color="auto"/>
              <w:left w:val="single" w:sz="4" w:space="0" w:color="auto"/>
              <w:bottom w:val="single" w:sz="4" w:space="0" w:color="auto"/>
              <w:right w:val="single" w:sz="4" w:space="0" w:color="auto"/>
            </w:tcBorders>
          </w:tcPr>
          <w:p w14:paraId="5CBA78F5" w14:textId="77777777" w:rsidR="00E57DAA" w:rsidRDefault="00AC4185">
            <w:pPr>
              <w:rPr>
                <w:rFonts w:cs="Cambria"/>
                <w:szCs w:val="21"/>
              </w:rPr>
            </w:pPr>
            <w:r>
              <w:t>受最终控制方控制的其他企业</w:t>
            </w:r>
          </w:p>
        </w:tc>
      </w:tr>
      <w:tr w:rsidR="00E57DAA" w14:paraId="1B74E2E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CB92829" w14:textId="77777777" w:rsidR="00E57DAA" w:rsidRDefault="00AC4185">
            <w:pPr>
              <w:rPr>
                <w:rFonts w:cs="Cambria"/>
                <w:szCs w:val="21"/>
              </w:rPr>
            </w:pPr>
            <w:r>
              <w:t>扬州中科半导体照明有限公司</w:t>
            </w:r>
          </w:p>
        </w:tc>
        <w:tc>
          <w:tcPr>
            <w:tcW w:w="1807" w:type="pct"/>
            <w:tcBorders>
              <w:top w:val="single" w:sz="4" w:space="0" w:color="auto"/>
              <w:left w:val="single" w:sz="4" w:space="0" w:color="auto"/>
              <w:bottom w:val="single" w:sz="4" w:space="0" w:color="auto"/>
              <w:right w:val="single" w:sz="4" w:space="0" w:color="auto"/>
            </w:tcBorders>
          </w:tcPr>
          <w:p w14:paraId="46468BFA" w14:textId="77777777" w:rsidR="00E57DAA" w:rsidRDefault="00AC4185">
            <w:pPr>
              <w:rPr>
                <w:rFonts w:cs="Cambria"/>
                <w:szCs w:val="21"/>
              </w:rPr>
            </w:pPr>
            <w:r>
              <w:t>受最终控制方控制的其他企业</w:t>
            </w:r>
          </w:p>
        </w:tc>
      </w:tr>
      <w:tr w:rsidR="00E57DAA" w14:paraId="0598D62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E3216D4" w14:textId="77777777" w:rsidR="00E57DAA" w:rsidRDefault="00AC4185">
            <w:pPr>
              <w:rPr>
                <w:rFonts w:cs="Cambria"/>
                <w:szCs w:val="21"/>
              </w:rPr>
            </w:pPr>
            <w:r>
              <w:t>长沙中轻机械有限公司</w:t>
            </w:r>
          </w:p>
        </w:tc>
        <w:tc>
          <w:tcPr>
            <w:tcW w:w="1807" w:type="pct"/>
            <w:tcBorders>
              <w:top w:val="single" w:sz="4" w:space="0" w:color="auto"/>
              <w:left w:val="single" w:sz="4" w:space="0" w:color="auto"/>
              <w:bottom w:val="single" w:sz="4" w:space="0" w:color="auto"/>
              <w:right w:val="single" w:sz="4" w:space="0" w:color="auto"/>
            </w:tcBorders>
          </w:tcPr>
          <w:p w14:paraId="12A2AB78" w14:textId="77777777" w:rsidR="00E57DAA" w:rsidRDefault="00AC4185">
            <w:pPr>
              <w:rPr>
                <w:rFonts w:cs="Cambria"/>
                <w:szCs w:val="21"/>
              </w:rPr>
            </w:pPr>
            <w:r>
              <w:t>受最终控制方控制的其他企业</w:t>
            </w:r>
          </w:p>
        </w:tc>
      </w:tr>
      <w:tr w:rsidR="00E57DAA" w14:paraId="682F27D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5CCC3E" w14:textId="77777777" w:rsidR="00E57DAA" w:rsidRDefault="00AC4185">
            <w:pPr>
              <w:rPr>
                <w:rFonts w:cs="Cambria"/>
                <w:szCs w:val="21"/>
              </w:rPr>
            </w:pPr>
            <w:r>
              <w:t>浙江长兴北新林业有限公司</w:t>
            </w:r>
          </w:p>
        </w:tc>
        <w:tc>
          <w:tcPr>
            <w:tcW w:w="1807" w:type="pct"/>
            <w:tcBorders>
              <w:top w:val="single" w:sz="4" w:space="0" w:color="auto"/>
              <w:left w:val="single" w:sz="4" w:space="0" w:color="auto"/>
              <w:bottom w:val="single" w:sz="4" w:space="0" w:color="auto"/>
              <w:right w:val="single" w:sz="4" w:space="0" w:color="auto"/>
            </w:tcBorders>
          </w:tcPr>
          <w:p w14:paraId="2A144F33" w14:textId="77777777" w:rsidR="00E57DAA" w:rsidRDefault="00AC4185">
            <w:pPr>
              <w:rPr>
                <w:rFonts w:cs="Cambria"/>
                <w:szCs w:val="21"/>
              </w:rPr>
            </w:pPr>
            <w:r>
              <w:t>受最终控制方控制的其他企业</w:t>
            </w:r>
          </w:p>
        </w:tc>
      </w:tr>
      <w:tr w:rsidR="00E57DAA" w14:paraId="3348D8D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418A53E" w14:textId="77777777" w:rsidR="00E57DAA" w:rsidRDefault="00AC4185">
            <w:pPr>
              <w:rPr>
                <w:rFonts w:cs="Cambria"/>
                <w:szCs w:val="21"/>
              </w:rPr>
            </w:pPr>
            <w:r>
              <w:t>中建材（浙江）勘测设计有限公司</w:t>
            </w:r>
          </w:p>
        </w:tc>
        <w:tc>
          <w:tcPr>
            <w:tcW w:w="1807" w:type="pct"/>
            <w:tcBorders>
              <w:top w:val="single" w:sz="4" w:space="0" w:color="auto"/>
              <w:left w:val="single" w:sz="4" w:space="0" w:color="auto"/>
              <w:bottom w:val="single" w:sz="4" w:space="0" w:color="auto"/>
              <w:right w:val="single" w:sz="4" w:space="0" w:color="auto"/>
            </w:tcBorders>
          </w:tcPr>
          <w:p w14:paraId="70882D90" w14:textId="77777777" w:rsidR="00E57DAA" w:rsidRDefault="00AC4185">
            <w:pPr>
              <w:rPr>
                <w:rFonts w:cs="Cambria"/>
                <w:szCs w:val="21"/>
              </w:rPr>
            </w:pPr>
            <w:r>
              <w:t>受最终控制方控制的其他企业</w:t>
            </w:r>
          </w:p>
        </w:tc>
      </w:tr>
      <w:tr w:rsidR="00E57DAA" w14:paraId="23F4F11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B35666" w14:textId="77777777" w:rsidR="00E57DAA" w:rsidRDefault="00AC4185">
            <w:pPr>
              <w:rPr>
                <w:rFonts w:cs="Cambria"/>
                <w:szCs w:val="21"/>
              </w:rPr>
            </w:pPr>
            <w:r>
              <w:t>浙江中研机电技术有限公司</w:t>
            </w:r>
          </w:p>
        </w:tc>
        <w:tc>
          <w:tcPr>
            <w:tcW w:w="1807" w:type="pct"/>
            <w:tcBorders>
              <w:top w:val="single" w:sz="4" w:space="0" w:color="auto"/>
              <w:left w:val="single" w:sz="4" w:space="0" w:color="auto"/>
              <w:bottom w:val="single" w:sz="4" w:space="0" w:color="auto"/>
              <w:right w:val="single" w:sz="4" w:space="0" w:color="auto"/>
            </w:tcBorders>
          </w:tcPr>
          <w:p w14:paraId="57063390" w14:textId="77777777" w:rsidR="00E57DAA" w:rsidRDefault="00AC4185">
            <w:pPr>
              <w:rPr>
                <w:rFonts w:cs="Cambria"/>
                <w:szCs w:val="21"/>
              </w:rPr>
            </w:pPr>
            <w:r>
              <w:t>受最终控制方控制的其他企业</w:t>
            </w:r>
          </w:p>
        </w:tc>
      </w:tr>
      <w:tr w:rsidR="00E57DAA" w14:paraId="1A88926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D271D4" w14:textId="77777777" w:rsidR="00E57DAA" w:rsidRDefault="00AC4185">
            <w:pPr>
              <w:rPr>
                <w:rFonts w:cs="Cambria"/>
                <w:szCs w:val="21"/>
              </w:rPr>
            </w:pPr>
            <w:r>
              <w:t>郑州瑞泰耐火科技有限公司</w:t>
            </w:r>
          </w:p>
        </w:tc>
        <w:tc>
          <w:tcPr>
            <w:tcW w:w="1807" w:type="pct"/>
            <w:tcBorders>
              <w:top w:val="single" w:sz="4" w:space="0" w:color="auto"/>
              <w:left w:val="single" w:sz="4" w:space="0" w:color="auto"/>
              <w:bottom w:val="single" w:sz="4" w:space="0" w:color="auto"/>
              <w:right w:val="single" w:sz="4" w:space="0" w:color="auto"/>
            </w:tcBorders>
          </w:tcPr>
          <w:p w14:paraId="52657D66" w14:textId="77777777" w:rsidR="00E57DAA" w:rsidRDefault="00AC4185">
            <w:pPr>
              <w:rPr>
                <w:rFonts w:cs="Cambria"/>
                <w:szCs w:val="21"/>
              </w:rPr>
            </w:pPr>
            <w:r>
              <w:t>受最终控制方控制的其他企业</w:t>
            </w:r>
          </w:p>
        </w:tc>
      </w:tr>
      <w:tr w:rsidR="00E57DAA" w14:paraId="30D120B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65B69E" w14:textId="77777777" w:rsidR="00E57DAA" w:rsidRDefault="00AC4185">
            <w:pPr>
              <w:rPr>
                <w:rFonts w:cs="Cambria"/>
                <w:szCs w:val="21"/>
              </w:rPr>
            </w:pPr>
            <w:r>
              <w:t>中材地质工程勘查研究院有限公司</w:t>
            </w:r>
          </w:p>
        </w:tc>
        <w:tc>
          <w:tcPr>
            <w:tcW w:w="1807" w:type="pct"/>
            <w:tcBorders>
              <w:top w:val="single" w:sz="4" w:space="0" w:color="auto"/>
              <w:left w:val="single" w:sz="4" w:space="0" w:color="auto"/>
              <w:bottom w:val="single" w:sz="4" w:space="0" w:color="auto"/>
              <w:right w:val="single" w:sz="4" w:space="0" w:color="auto"/>
            </w:tcBorders>
          </w:tcPr>
          <w:p w14:paraId="4D1B7129" w14:textId="77777777" w:rsidR="00E57DAA" w:rsidRDefault="00AC4185">
            <w:pPr>
              <w:rPr>
                <w:rFonts w:cs="Cambria"/>
                <w:szCs w:val="21"/>
              </w:rPr>
            </w:pPr>
            <w:r>
              <w:t>受最终控制方控制的其他企业</w:t>
            </w:r>
          </w:p>
        </w:tc>
      </w:tr>
      <w:tr w:rsidR="00E57DAA" w14:paraId="32D90F0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E0D8C1" w14:textId="77777777" w:rsidR="00E57DAA" w:rsidRDefault="00AC4185">
            <w:pPr>
              <w:rPr>
                <w:rFonts w:cs="Cambria"/>
                <w:szCs w:val="21"/>
              </w:rPr>
            </w:pPr>
            <w:r>
              <w:t>中材高新材料股份有限公司</w:t>
            </w:r>
          </w:p>
        </w:tc>
        <w:tc>
          <w:tcPr>
            <w:tcW w:w="1807" w:type="pct"/>
            <w:tcBorders>
              <w:top w:val="single" w:sz="4" w:space="0" w:color="auto"/>
              <w:left w:val="single" w:sz="4" w:space="0" w:color="auto"/>
              <w:bottom w:val="single" w:sz="4" w:space="0" w:color="auto"/>
              <w:right w:val="single" w:sz="4" w:space="0" w:color="auto"/>
            </w:tcBorders>
          </w:tcPr>
          <w:p w14:paraId="09E860DF" w14:textId="77777777" w:rsidR="00E57DAA" w:rsidRDefault="00AC4185">
            <w:pPr>
              <w:rPr>
                <w:rFonts w:cs="Cambria"/>
                <w:szCs w:val="21"/>
              </w:rPr>
            </w:pPr>
            <w:r>
              <w:t>受最终控制方控制的其他企业</w:t>
            </w:r>
          </w:p>
        </w:tc>
      </w:tr>
      <w:tr w:rsidR="00E57DAA" w14:paraId="512418D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231680" w14:textId="77777777" w:rsidR="00E57DAA" w:rsidRDefault="00AC4185">
            <w:pPr>
              <w:rPr>
                <w:rFonts w:cs="Cambria"/>
                <w:szCs w:val="21"/>
              </w:rPr>
            </w:pPr>
            <w:r>
              <w:t>中材高新江苏硅材料有限公司</w:t>
            </w:r>
          </w:p>
        </w:tc>
        <w:tc>
          <w:tcPr>
            <w:tcW w:w="1807" w:type="pct"/>
            <w:tcBorders>
              <w:top w:val="single" w:sz="4" w:space="0" w:color="auto"/>
              <w:left w:val="single" w:sz="4" w:space="0" w:color="auto"/>
              <w:bottom w:val="single" w:sz="4" w:space="0" w:color="auto"/>
              <w:right w:val="single" w:sz="4" w:space="0" w:color="auto"/>
            </w:tcBorders>
          </w:tcPr>
          <w:p w14:paraId="79230FDA" w14:textId="77777777" w:rsidR="00E57DAA" w:rsidRDefault="00AC4185">
            <w:pPr>
              <w:rPr>
                <w:rFonts w:cs="Cambria"/>
                <w:szCs w:val="21"/>
              </w:rPr>
            </w:pPr>
            <w:r>
              <w:t>受最终控制方控制的其他企业</w:t>
            </w:r>
          </w:p>
        </w:tc>
      </w:tr>
      <w:tr w:rsidR="00E57DAA" w14:paraId="73EABE7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DA4A5E" w14:textId="77777777" w:rsidR="00E57DAA" w:rsidRDefault="00AC4185">
            <w:pPr>
              <w:rPr>
                <w:rFonts w:cs="Cambria"/>
                <w:szCs w:val="21"/>
              </w:rPr>
            </w:pPr>
            <w:r>
              <w:t>中材供应链管理有限公司</w:t>
            </w:r>
          </w:p>
        </w:tc>
        <w:tc>
          <w:tcPr>
            <w:tcW w:w="1807" w:type="pct"/>
            <w:tcBorders>
              <w:top w:val="single" w:sz="4" w:space="0" w:color="auto"/>
              <w:left w:val="single" w:sz="4" w:space="0" w:color="auto"/>
              <w:bottom w:val="single" w:sz="4" w:space="0" w:color="auto"/>
              <w:right w:val="single" w:sz="4" w:space="0" w:color="auto"/>
            </w:tcBorders>
          </w:tcPr>
          <w:p w14:paraId="0163FCED" w14:textId="77777777" w:rsidR="00E57DAA" w:rsidRDefault="00AC4185">
            <w:pPr>
              <w:rPr>
                <w:rFonts w:cs="Cambria"/>
                <w:szCs w:val="21"/>
              </w:rPr>
            </w:pPr>
            <w:r>
              <w:t>受最终控制方控制的其他企业</w:t>
            </w:r>
          </w:p>
        </w:tc>
      </w:tr>
      <w:tr w:rsidR="00E57DAA" w14:paraId="3A2C43C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9A38DF" w14:textId="77777777" w:rsidR="00E57DAA" w:rsidRDefault="00AC4185">
            <w:pPr>
              <w:rPr>
                <w:rFonts w:cs="Cambria"/>
                <w:szCs w:val="21"/>
              </w:rPr>
            </w:pPr>
            <w:r>
              <w:t>中材集团科技开发中心有限公司</w:t>
            </w:r>
          </w:p>
        </w:tc>
        <w:tc>
          <w:tcPr>
            <w:tcW w:w="1807" w:type="pct"/>
            <w:tcBorders>
              <w:top w:val="single" w:sz="4" w:space="0" w:color="auto"/>
              <w:left w:val="single" w:sz="4" w:space="0" w:color="auto"/>
              <w:bottom w:val="single" w:sz="4" w:space="0" w:color="auto"/>
              <w:right w:val="single" w:sz="4" w:space="0" w:color="auto"/>
            </w:tcBorders>
          </w:tcPr>
          <w:p w14:paraId="2A848D44" w14:textId="77777777" w:rsidR="00E57DAA" w:rsidRDefault="00AC4185">
            <w:pPr>
              <w:rPr>
                <w:rFonts w:cs="Cambria"/>
                <w:szCs w:val="21"/>
              </w:rPr>
            </w:pPr>
            <w:r>
              <w:t>受最终控制方控制的其他企业</w:t>
            </w:r>
          </w:p>
        </w:tc>
      </w:tr>
      <w:tr w:rsidR="00E57DAA" w14:paraId="474515E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309CC8" w14:textId="77777777" w:rsidR="00E57DAA" w:rsidRDefault="00AC4185">
            <w:pPr>
              <w:rPr>
                <w:rFonts w:cs="Cambria"/>
                <w:szCs w:val="21"/>
              </w:rPr>
            </w:pPr>
            <w:r>
              <w:t>中材江西电瓷电气有限公司</w:t>
            </w:r>
          </w:p>
        </w:tc>
        <w:tc>
          <w:tcPr>
            <w:tcW w:w="1807" w:type="pct"/>
            <w:tcBorders>
              <w:top w:val="single" w:sz="4" w:space="0" w:color="auto"/>
              <w:left w:val="single" w:sz="4" w:space="0" w:color="auto"/>
              <w:bottom w:val="single" w:sz="4" w:space="0" w:color="auto"/>
              <w:right w:val="single" w:sz="4" w:space="0" w:color="auto"/>
            </w:tcBorders>
          </w:tcPr>
          <w:p w14:paraId="16FB71AF" w14:textId="77777777" w:rsidR="00E57DAA" w:rsidRDefault="00AC4185">
            <w:pPr>
              <w:rPr>
                <w:rFonts w:cs="Cambria"/>
                <w:szCs w:val="21"/>
              </w:rPr>
            </w:pPr>
            <w:r>
              <w:t>受最终控制方控制的其他企业</w:t>
            </w:r>
          </w:p>
        </w:tc>
      </w:tr>
      <w:tr w:rsidR="00E57DAA" w14:paraId="1D7BD14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66E649" w14:textId="77777777" w:rsidR="00E57DAA" w:rsidRDefault="00AC4185">
            <w:pPr>
              <w:rPr>
                <w:rFonts w:cs="Cambria"/>
                <w:szCs w:val="21"/>
              </w:rPr>
            </w:pPr>
            <w:r>
              <w:t>中材节能（武汉）有限公司</w:t>
            </w:r>
          </w:p>
        </w:tc>
        <w:tc>
          <w:tcPr>
            <w:tcW w:w="1807" w:type="pct"/>
            <w:tcBorders>
              <w:top w:val="single" w:sz="4" w:space="0" w:color="auto"/>
              <w:left w:val="single" w:sz="4" w:space="0" w:color="auto"/>
              <w:bottom w:val="single" w:sz="4" w:space="0" w:color="auto"/>
              <w:right w:val="single" w:sz="4" w:space="0" w:color="auto"/>
            </w:tcBorders>
          </w:tcPr>
          <w:p w14:paraId="469D5968" w14:textId="77777777" w:rsidR="00E57DAA" w:rsidRDefault="00AC4185">
            <w:pPr>
              <w:rPr>
                <w:rFonts w:cs="Cambria"/>
                <w:szCs w:val="21"/>
              </w:rPr>
            </w:pPr>
            <w:r>
              <w:t>受最终控制方控制的其他企业</w:t>
            </w:r>
          </w:p>
        </w:tc>
      </w:tr>
      <w:tr w:rsidR="00E57DAA" w14:paraId="4BA23CF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218A394" w14:textId="77777777" w:rsidR="00E57DAA" w:rsidRDefault="00AC4185">
            <w:pPr>
              <w:rPr>
                <w:rFonts w:cs="Cambria"/>
                <w:szCs w:val="21"/>
              </w:rPr>
            </w:pPr>
            <w:r>
              <w:t>中材节能股份有限公司</w:t>
            </w:r>
          </w:p>
        </w:tc>
        <w:tc>
          <w:tcPr>
            <w:tcW w:w="1807" w:type="pct"/>
            <w:tcBorders>
              <w:top w:val="single" w:sz="4" w:space="0" w:color="auto"/>
              <w:left w:val="single" w:sz="4" w:space="0" w:color="auto"/>
              <w:bottom w:val="single" w:sz="4" w:space="0" w:color="auto"/>
              <w:right w:val="single" w:sz="4" w:space="0" w:color="auto"/>
            </w:tcBorders>
          </w:tcPr>
          <w:p w14:paraId="7648383C" w14:textId="77777777" w:rsidR="00E57DAA" w:rsidRDefault="00AC4185">
            <w:pPr>
              <w:rPr>
                <w:rFonts w:cs="Cambria"/>
                <w:szCs w:val="21"/>
              </w:rPr>
            </w:pPr>
            <w:r>
              <w:t>受最终控制方控制的其他企业</w:t>
            </w:r>
          </w:p>
        </w:tc>
      </w:tr>
      <w:tr w:rsidR="00E57DAA" w14:paraId="263EAFC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09FAF1" w14:textId="77777777" w:rsidR="00E57DAA" w:rsidRDefault="00AC4185">
            <w:pPr>
              <w:rPr>
                <w:rFonts w:cs="Cambria"/>
                <w:szCs w:val="21"/>
              </w:rPr>
            </w:pPr>
            <w:r>
              <w:t>中材节能国际投资有限公司</w:t>
            </w:r>
          </w:p>
        </w:tc>
        <w:tc>
          <w:tcPr>
            <w:tcW w:w="1807" w:type="pct"/>
            <w:tcBorders>
              <w:top w:val="single" w:sz="4" w:space="0" w:color="auto"/>
              <w:left w:val="single" w:sz="4" w:space="0" w:color="auto"/>
              <w:bottom w:val="single" w:sz="4" w:space="0" w:color="auto"/>
              <w:right w:val="single" w:sz="4" w:space="0" w:color="auto"/>
            </w:tcBorders>
          </w:tcPr>
          <w:p w14:paraId="5BECCB43" w14:textId="77777777" w:rsidR="00E57DAA" w:rsidRDefault="00AC4185">
            <w:pPr>
              <w:rPr>
                <w:rFonts w:cs="Cambria"/>
                <w:szCs w:val="21"/>
              </w:rPr>
            </w:pPr>
            <w:r>
              <w:t>受最终控制方控制的其他企业</w:t>
            </w:r>
          </w:p>
        </w:tc>
      </w:tr>
      <w:tr w:rsidR="00E57DAA" w14:paraId="55E0FD9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E9D7A8" w14:textId="77777777" w:rsidR="00E57DAA" w:rsidRDefault="00AC4185">
            <w:pPr>
              <w:rPr>
                <w:rFonts w:cs="Cambria"/>
                <w:szCs w:val="21"/>
              </w:rPr>
            </w:pPr>
            <w:r>
              <w:t>中材新材料装备科技（天津）有限公司</w:t>
            </w:r>
          </w:p>
        </w:tc>
        <w:tc>
          <w:tcPr>
            <w:tcW w:w="1807" w:type="pct"/>
            <w:tcBorders>
              <w:top w:val="single" w:sz="4" w:space="0" w:color="auto"/>
              <w:left w:val="single" w:sz="4" w:space="0" w:color="auto"/>
              <w:bottom w:val="single" w:sz="4" w:space="0" w:color="auto"/>
              <w:right w:val="single" w:sz="4" w:space="0" w:color="auto"/>
            </w:tcBorders>
          </w:tcPr>
          <w:p w14:paraId="1F031FA0" w14:textId="77777777" w:rsidR="00E57DAA" w:rsidRDefault="00AC4185">
            <w:pPr>
              <w:rPr>
                <w:rFonts w:cs="Cambria"/>
                <w:szCs w:val="21"/>
              </w:rPr>
            </w:pPr>
            <w:r>
              <w:t>受最终控制方控制的其他企业</w:t>
            </w:r>
          </w:p>
        </w:tc>
      </w:tr>
      <w:tr w:rsidR="00E57DAA" w14:paraId="010A71B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6C5F3F" w14:textId="77777777" w:rsidR="00E57DAA" w:rsidRDefault="00AC4185">
            <w:pPr>
              <w:rPr>
                <w:rFonts w:cs="Cambria"/>
                <w:szCs w:val="21"/>
              </w:rPr>
            </w:pPr>
            <w:r>
              <w:t>中非高岭茂名新材料有限公司</w:t>
            </w:r>
          </w:p>
        </w:tc>
        <w:tc>
          <w:tcPr>
            <w:tcW w:w="1807" w:type="pct"/>
            <w:tcBorders>
              <w:top w:val="single" w:sz="4" w:space="0" w:color="auto"/>
              <w:left w:val="single" w:sz="4" w:space="0" w:color="auto"/>
              <w:bottom w:val="single" w:sz="4" w:space="0" w:color="auto"/>
              <w:right w:val="single" w:sz="4" w:space="0" w:color="auto"/>
            </w:tcBorders>
          </w:tcPr>
          <w:p w14:paraId="5F8EB6DF" w14:textId="77777777" w:rsidR="00E57DAA" w:rsidRDefault="00AC4185">
            <w:pPr>
              <w:rPr>
                <w:rFonts w:cs="Cambria"/>
                <w:szCs w:val="21"/>
              </w:rPr>
            </w:pPr>
            <w:r>
              <w:t>受最终控制方控制的其他企业</w:t>
            </w:r>
          </w:p>
        </w:tc>
      </w:tr>
      <w:tr w:rsidR="00E57DAA" w14:paraId="374F8D8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B83D44" w14:textId="77777777" w:rsidR="00E57DAA" w:rsidRDefault="00AC4185">
            <w:pPr>
              <w:rPr>
                <w:rFonts w:cs="Cambria"/>
                <w:szCs w:val="21"/>
              </w:rPr>
            </w:pPr>
            <w:r>
              <w:t>中复神鹰（上海）科技有限公司</w:t>
            </w:r>
          </w:p>
        </w:tc>
        <w:tc>
          <w:tcPr>
            <w:tcW w:w="1807" w:type="pct"/>
            <w:tcBorders>
              <w:top w:val="single" w:sz="4" w:space="0" w:color="auto"/>
              <w:left w:val="single" w:sz="4" w:space="0" w:color="auto"/>
              <w:bottom w:val="single" w:sz="4" w:space="0" w:color="auto"/>
              <w:right w:val="single" w:sz="4" w:space="0" w:color="auto"/>
            </w:tcBorders>
          </w:tcPr>
          <w:p w14:paraId="1F130265" w14:textId="77777777" w:rsidR="00E57DAA" w:rsidRDefault="00AC4185">
            <w:pPr>
              <w:rPr>
                <w:rFonts w:cs="Cambria"/>
                <w:szCs w:val="21"/>
              </w:rPr>
            </w:pPr>
            <w:r>
              <w:t>受最终控制方控制的其他企业</w:t>
            </w:r>
          </w:p>
        </w:tc>
      </w:tr>
      <w:tr w:rsidR="00E57DAA" w14:paraId="35B9F52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F487E3" w14:textId="77777777" w:rsidR="00E57DAA" w:rsidRDefault="00AC4185">
            <w:pPr>
              <w:rPr>
                <w:rFonts w:cs="Cambria"/>
                <w:szCs w:val="21"/>
              </w:rPr>
            </w:pPr>
            <w:r>
              <w:t>中国国检测试控股集团股份有限公司</w:t>
            </w:r>
          </w:p>
        </w:tc>
        <w:tc>
          <w:tcPr>
            <w:tcW w:w="1807" w:type="pct"/>
            <w:tcBorders>
              <w:top w:val="single" w:sz="4" w:space="0" w:color="auto"/>
              <w:left w:val="single" w:sz="4" w:space="0" w:color="auto"/>
              <w:bottom w:val="single" w:sz="4" w:space="0" w:color="auto"/>
              <w:right w:val="single" w:sz="4" w:space="0" w:color="auto"/>
            </w:tcBorders>
          </w:tcPr>
          <w:p w14:paraId="1D0DCE8F" w14:textId="77777777" w:rsidR="00E57DAA" w:rsidRDefault="00AC4185">
            <w:pPr>
              <w:rPr>
                <w:rFonts w:cs="Cambria"/>
                <w:szCs w:val="21"/>
              </w:rPr>
            </w:pPr>
            <w:r>
              <w:t>受最终控制方控制的其他企业</w:t>
            </w:r>
          </w:p>
        </w:tc>
      </w:tr>
      <w:tr w:rsidR="00E57DAA" w14:paraId="1272CF1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FFBD27" w14:textId="77777777" w:rsidR="00E57DAA" w:rsidRDefault="00AC4185">
            <w:pPr>
              <w:rPr>
                <w:rFonts w:cs="Cambria"/>
                <w:szCs w:val="21"/>
              </w:rPr>
            </w:pPr>
            <w:r>
              <w:t>中国建材（香港）有限公司</w:t>
            </w:r>
          </w:p>
        </w:tc>
        <w:tc>
          <w:tcPr>
            <w:tcW w:w="1807" w:type="pct"/>
            <w:tcBorders>
              <w:top w:val="single" w:sz="4" w:space="0" w:color="auto"/>
              <w:left w:val="single" w:sz="4" w:space="0" w:color="auto"/>
              <w:bottom w:val="single" w:sz="4" w:space="0" w:color="auto"/>
              <w:right w:val="single" w:sz="4" w:space="0" w:color="auto"/>
            </w:tcBorders>
          </w:tcPr>
          <w:p w14:paraId="23085A09" w14:textId="77777777" w:rsidR="00E57DAA" w:rsidRDefault="00AC4185">
            <w:pPr>
              <w:rPr>
                <w:rFonts w:cs="Cambria"/>
                <w:szCs w:val="21"/>
              </w:rPr>
            </w:pPr>
            <w:r>
              <w:t>受最终控制方控制的其他企业</w:t>
            </w:r>
          </w:p>
        </w:tc>
      </w:tr>
      <w:tr w:rsidR="00E57DAA" w14:paraId="51D9798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97F1ADD" w14:textId="77777777" w:rsidR="00E57DAA" w:rsidRDefault="00AC4185">
            <w:pPr>
              <w:rPr>
                <w:rFonts w:cs="Cambria"/>
                <w:szCs w:val="21"/>
              </w:rPr>
            </w:pPr>
            <w:r>
              <w:t>中国建材工业对外经济技术合作有限公司</w:t>
            </w:r>
          </w:p>
        </w:tc>
        <w:tc>
          <w:tcPr>
            <w:tcW w:w="1807" w:type="pct"/>
            <w:tcBorders>
              <w:top w:val="single" w:sz="4" w:space="0" w:color="auto"/>
              <w:left w:val="single" w:sz="4" w:space="0" w:color="auto"/>
              <w:bottom w:val="single" w:sz="4" w:space="0" w:color="auto"/>
              <w:right w:val="single" w:sz="4" w:space="0" w:color="auto"/>
            </w:tcBorders>
          </w:tcPr>
          <w:p w14:paraId="7C368000" w14:textId="77777777" w:rsidR="00E57DAA" w:rsidRDefault="00AC4185">
            <w:pPr>
              <w:rPr>
                <w:rFonts w:cs="Cambria"/>
                <w:szCs w:val="21"/>
              </w:rPr>
            </w:pPr>
            <w:r>
              <w:t>受最终控制方控制的其他企业</w:t>
            </w:r>
          </w:p>
        </w:tc>
      </w:tr>
      <w:tr w:rsidR="00E57DAA" w14:paraId="2D764E5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18483A" w14:textId="77777777" w:rsidR="00E57DAA" w:rsidRDefault="00AC4185">
            <w:pPr>
              <w:rPr>
                <w:rFonts w:cs="Cambria"/>
                <w:szCs w:val="21"/>
              </w:rPr>
            </w:pPr>
            <w:r>
              <w:t>中国建材国际工程集团有限公司</w:t>
            </w:r>
          </w:p>
        </w:tc>
        <w:tc>
          <w:tcPr>
            <w:tcW w:w="1807" w:type="pct"/>
            <w:tcBorders>
              <w:top w:val="single" w:sz="4" w:space="0" w:color="auto"/>
              <w:left w:val="single" w:sz="4" w:space="0" w:color="auto"/>
              <w:bottom w:val="single" w:sz="4" w:space="0" w:color="auto"/>
              <w:right w:val="single" w:sz="4" w:space="0" w:color="auto"/>
            </w:tcBorders>
          </w:tcPr>
          <w:p w14:paraId="0197892E" w14:textId="77777777" w:rsidR="00E57DAA" w:rsidRDefault="00AC4185">
            <w:pPr>
              <w:rPr>
                <w:rFonts w:cs="Cambria"/>
                <w:szCs w:val="21"/>
              </w:rPr>
            </w:pPr>
            <w:r>
              <w:t>受最终控制方控制的其他企业</w:t>
            </w:r>
          </w:p>
        </w:tc>
      </w:tr>
      <w:tr w:rsidR="00E57DAA" w14:paraId="358DC18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A8A5B8" w14:textId="77777777" w:rsidR="00E57DAA" w:rsidRDefault="00AC4185">
            <w:pPr>
              <w:rPr>
                <w:rFonts w:cs="Cambria"/>
                <w:szCs w:val="21"/>
              </w:rPr>
            </w:pPr>
            <w:r>
              <w:t>中国建材国际沙特公司</w:t>
            </w:r>
          </w:p>
        </w:tc>
        <w:tc>
          <w:tcPr>
            <w:tcW w:w="1807" w:type="pct"/>
            <w:tcBorders>
              <w:top w:val="single" w:sz="4" w:space="0" w:color="auto"/>
              <w:left w:val="single" w:sz="4" w:space="0" w:color="auto"/>
              <w:bottom w:val="single" w:sz="4" w:space="0" w:color="auto"/>
              <w:right w:val="single" w:sz="4" w:space="0" w:color="auto"/>
            </w:tcBorders>
          </w:tcPr>
          <w:p w14:paraId="16EA4CB7" w14:textId="77777777" w:rsidR="00E57DAA" w:rsidRDefault="00AC4185">
            <w:pPr>
              <w:rPr>
                <w:rFonts w:cs="Cambria"/>
                <w:szCs w:val="21"/>
              </w:rPr>
            </w:pPr>
            <w:r>
              <w:t>受最终控制方控制的其他企业</w:t>
            </w:r>
          </w:p>
        </w:tc>
      </w:tr>
      <w:tr w:rsidR="00E57DAA" w14:paraId="396F166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469E0B" w14:textId="77777777" w:rsidR="00E57DAA" w:rsidRDefault="00AC4185">
            <w:pPr>
              <w:rPr>
                <w:rFonts w:cs="Cambria"/>
                <w:szCs w:val="21"/>
              </w:rPr>
            </w:pPr>
            <w:r>
              <w:t>中国建材集团财务有限公司</w:t>
            </w:r>
          </w:p>
        </w:tc>
        <w:tc>
          <w:tcPr>
            <w:tcW w:w="1807" w:type="pct"/>
            <w:tcBorders>
              <w:top w:val="single" w:sz="4" w:space="0" w:color="auto"/>
              <w:left w:val="single" w:sz="4" w:space="0" w:color="auto"/>
              <w:bottom w:val="single" w:sz="4" w:space="0" w:color="auto"/>
              <w:right w:val="single" w:sz="4" w:space="0" w:color="auto"/>
            </w:tcBorders>
          </w:tcPr>
          <w:p w14:paraId="2229D222" w14:textId="77777777" w:rsidR="00E57DAA" w:rsidRDefault="00AC4185">
            <w:pPr>
              <w:rPr>
                <w:rFonts w:cs="Cambria"/>
                <w:szCs w:val="21"/>
              </w:rPr>
            </w:pPr>
            <w:r>
              <w:t>受最终控制方控制的其他企业</w:t>
            </w:r>
          </w:p>
        </w:tc>
      </w:tr>
      <w:tr w:rsidR="00E57DAA" w14:paraId="4684CA7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BC36A6" w14:textId="77777777" w:rsidR="00E57DAA" w:rsidRDefault="00AC4185">
            <w:pPr>
              <w:rPr>
                <w:rFonts w:cs="Cambria"/>
                <w:szCs w:val="21"/>
              </w:rPr>
            </w:pPr>
            <w:r>
              <w:t>中国建材集团有限公司</w:t>
            </w:r>
          </w:p>
        </w:tc>
        <w:tc>
          <w:tcPr>
            <w:tcW w:w="1807" w:type="pct"/>
            <w:tcBorders>
              <w:top w:val="single" w:sz="4" w:space="0" w:color="auto"/>
              <w:left w:val="single" w:sz="4" w:space="0" w:color="auto"/>
              <w:bottom w:val="single" w:sz="4" w:space="0" w:color="auto"/>
              <w:right w:val="single" w:sz="4" w:space="0" w:color="auto"/>
            </w:tcBorders>
          </w:tcPr>
          <w:p w14:paraId="50898374" w14:textId="77777777" w:rsidR="00E57DAA" w:rsidRDefault="00AC4185">
            <w:pPr>
              <w:rPr>
                <w:rFonts w:cs="Cambria"/>
                <w:szCs w:val="21"/>
              </w:rPr>
            </w:pPr>
            <w:r>
              <w:t>受最终控制方控制的其他企业</w:t>
            </w:r>
          </w:p>
        </w:tc>
      </w:tr>
      <w:tr w:rsidR="00E57DAA" w14:paraId="2C7EBB7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570799" w14:textId="77777777" w:rsidR="00E57DAA" w:rsidRDefault="00AC4185">
            <w:pPr>
              <w:rPr>
                <w:rFonts w:cs="Cambria"/>
                <w:szCs w:val="21"/>
              </w:rPr>
            </w:pPr>
            <w:r>
              <w:t>中国建材技术装备有限公司</w:t>
            </w:r>
          </w:p>
        </w:tc>
        <w:tc>
          <w:tcPr>
            <w:tcW w:w="1807" w:type="pct"/>
            <w:tcBorders>
              <w:top w:val="single" w:sz="4" w:space="0" w:color="auto"/>
              <w:left w:val="single" w:sz="4" w:space="0" w:color="auto"/>
              <w:bottom w:val="single" w:sz="4" w:space="0" w:color="auto"/>
              <w:right w:val="single" w:sz="4" w:space="0" w:color="auto"/>
            </w:tcBorders>
          </w:tcPr>
          <w:p w14:paraId="78CB5B69" w14:textId="77777777" w:rsidR="00E57DAA" w:rsidRDefault="00AC4185">
            <w:pPr>
              <w:rPr>
                <w:rFonts w:cs="Cambria"/>
                <w:szCs w:val="21"/>
              </w:rPr>
            </w:pPr>
            <w:r>
              <w:t>受最终控制方控制的其他企业</w:t>
            </w:r>
          </w:p>
        </w:tc>
      </w:tr>
      <w:tr w:rsidR="00E57DAA" w14:paraId="3CF3BB3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EA8280" w14:textId="77777777" w:rsidR="00E57DAA" w:rsidRDefault="00AC4185">
            <w:pPr>
              <w:rPr>
                <w:rFonts w:cs="Cambria"/>
                <w:szCs w:val="21"/>
              </w:rPr>
            </w:pPr>
            <w:r>
              <w:t>中国建材检验认证集团安徽有限公司</w:t>
            </w:r>
          </w:p>
        </w:tc>
        <w:tc>
          <w:tcPr>
            <w:tcW w:w="1807" w:type="pct"/>
            <w:tcBorders>
              <w:top w:val="single" w:sz="4" w:space="0" w:color="auto"/>
              <w:left w:val="single" w:sz="4" w:space="0" w:color="auto"/>
              <w:bottom w:val="single" w:sz="4" w:space="0" w:color="auto"/>
              <w:right w:val="single" w:sz="4" w:space="0" w:color="auto"/>
            </w:tcBorders>
          </w:tcPr>
          <w:p w14:paraId="039D19CF" w14:textId="77777777" w:rsidR="00E57DAA" w:rsidRDefault="00AC4185">
            <w:pPr>
              <w:rPr>
                <w:rFonts w:cs="Cambria"/>
                <w:szCs w:val="21"/>
              </w:rPr>
            </w:pPr>
            <w:r>
              <w:t>受最终控制方控制的其他企业</w:t>
            </w:r>
          </w:p>
        </w:tc>
      </w:tr>
      <w:tr w:rsidR="00E57DAA" w14:paraId="75E1562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631755" w14:textId="77777777" w:rsidR="00E57DAA" w:rsidRDefault="00AC4185">
            <w:pPr>
              <w:rPr>
                <w:rFonts w:cs="Cambria"/>
                <w:szCs w:val="21"/>
              </w:rPr>
            </w:pPr>
            <w:r>
              <w:t>中国建筑材料工业地质勘查中心安徽总队</w:t>
            </w:r>
          </w:p>
        </w:tc>
        <w:tc>
          <w:tcPr>
            <w:tcW w:w="1807" w:type="pct"/>
            <w:tcBorders>
              <w:top w:val="single" w:sz="4" w:space="0" w:color="auto"/>
              <w:left w:val="single" w:sz="4" w:space="0" w:color="auto"/>
              <w:bottom w:val="single" w:sz="4" w:space="0" w:color="auto"/>
              <w:right w:val="single" w:sz="4" w:space="0" w:color="auto"/>
            </w:tcBorders>
          </w:tcPr>
          <w:p w14:paraId="0D83019B" w14:textId="77777777" w:rsidR="00E57DAA" w:rsidRDefault="00AC4185">
            <w:pPr>
              <w:rPr>
                <w:rFonts w:cs="Cambria"/>
                <w:szCs w:val="21"/>
              </w:rPr>
            </w:pPr>
            <w:r>
              <w:t>受最终控制方控制的其他企业</w:t>
            </w:r>
          </w:p>
        </w:tc>
      </w:tr>
      <w:tr w:rsidR="00E57DAA" w14:paraId="2B01181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B3BF08" w14:textId="77777777" w:rsidR="00E57DAA" w:rsidRDefault="00AC4185">
            <w:pPr>
              <w:rPr>
                <w:rFonts w:cs="Cambria"/>
                <w:szCs w:val="21"/>
              </w:rPr>
            </w:pPr>
            <w:r>
              <w:t>中国建筑材料工业地质勘查中心福建总队</w:t>
            </w:r>
          </w:p>
        </w:tc>
        <w:tc>
          <w:tcPr>
            <w:tcW w:w="1807" w:type="pct"/>
            <w:tcBorders>
              <w:top w:val="single" w:sz="4" w:space="0" w:color="auto"/>
              <w:left w:val="single" w:sz="4" w:space="0" w:color="auto"/>
              <w:bottom w:val="single" w:sz="4" w:space="0" w:color="auto"/>
              <w:right w:val="single" w:sz="4" w:space="0" w:color="auto"/>
            </w:tcBorders>
          </w:tcPr>
          <w:p w14:paraId="6AB48938" w14:textId="77777777" w:rsidR="00E57DAA" w:rsidRDefault="00AC4185">
            <w:pPr>
              <w:rPr>
                <w:rFonts w:cs="Cambria"/>
                <w:szCs w:val="21"/>
              </w:rPr>
            </w:pPr>
            <w:r>
              <w:t>受最终控制方控制的其他企业</w:t>
            </w:r>
          </w:p>
        </w:tc>
      </w:tr>
      <w:tr w:rsidR="00E57DAA" w14:paraId="63976C1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05EFAA" w14:textId="77777777" w:rsidR="00E57DAA" w:rsidRDefault="00AC4185">
            <w:pPr>
              <w:rPr>
                <w:rFonts w:cs="Cambria"/>
                <w:szCs w:val="21"/>
              </w:rPr>
            </w:pPr>
            <w:r>
              <w:t>中国建筑材料工业地质勘查中心江苏总队</w:t>
            </w:r>
          </w:p>
        </w:tc>
        <w:tc>
          <w:tcPr>
            <w:tcW w:w="1807" w:type="pct"/>
            <w:tcBorders>
              <w:top w:val="single" w:sz="4" w:space="0" w:color="auto"/>
              <w:left w:val="single" w:sz="4" w:space="0" w:color="auto"/>
              <w:bottom w:val="single" w:sz="4" w:space="0" w:color="auto"/>
              <w:right w:val="single" w:sz="4" w:space="0" w:color="auto"/>
            </w:tcBorders>
          </w:tcPr>
          <w:p w14:paraId="52C82745" w14:textId="77777777" w:rsidR="00E57DAA" w:rsidRDefault="00AC4185">
            <w:pPr>
              <w:rPr>
                <w:rFonts w:cs="Cambria"/>
                <w:szCs w:val="21"/>
              </w:rPr>
            </w:pPr>
            <w:r>
              <w:t>受最终控制方控制的其他企业</w:t>
            </w:r>
          </w:p>
        </w:tc>
      </w:tr>
      <w:tr w:rsidR="00E57DAA" w14:paraId="708AF2E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1A8905" w14:textId="77777777" w:rsidR="00E57DAA" w:rsidRDefault="00AC4185">
            <w:pPr>
              <w:rPr>
                <w:rFonts w:cs="Cambria"/>
                <w:szCs w:val="21"/>
              </w:rPr>
            </w:pPr>
            <w:r>
              <w:t>中国建筑材料工业地质勘查中心山东总队</w:t>
            </w:r>
          </w:p>
        </w:tc>
        <w:tc>
          <w:tcPr>
            <w:tcW w:w="1807" w:type="pct"/>
            <w:tcBorders>
              <w:top w:val="single" w:sz="4" w:space="0" w:color="auto"/>
              <w:left w:val="single" w:sz="4" w:space="0" w:color="auto"/>
              <w:bottom w:val="single" w:sz="4" w:space="0" w:color="auto"/>
              <w:right w:val="single" w:sz="4" w:space="0" w:color="auto"/>
            </w:tcBorders>
          </w:tcPr>
          <w:p w14:paraId="6C075669" w14:textId="77777777" w:rsidR="00E57DAA" w:rsidRDefault="00AC4185">
            <w:pPr>
              <w:rPr>
                <w:rFonts w:cs="Cambria"/>
                <w:szCs w:val="21"/>
              </w:rPr>
            </w:pPr>
            <w:r>
              <w:t>受最终控制方控制的其他企业</w:t>
            </w:r>
          </w:p>
        </w:tc>
      </w:tr>
      <w:tr w:rsidR="00E57DAA" w14:paraId="5954832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9666CF" w14:textId="77777777" w:rsidR="00E57DAA" w:rsidRDefault="00AC4185">
            <w:pPr>
              <w:rPr>
                <w:rFonts w:cs="Cambria"/>
                <w:szCs w:val="21"/>
              </w:rPr>
            </w:pPr>
            <w:r>
              <w:t>中国建筑材料工业地质勘查中心新疆总队</w:t>
            </w:r>
          </w:p>
        </w:tc>
        <w:tc>
          <w:tcPr>
            <w:tcW w:w="1807" w:type="pct"/>
            <w:tcBorders>
              <w:top w:val="single" w:sz="4" w:space="0" w:color="auto"/>
              <w:left w:val="single" w:sz="4" w:space="0" w:color="auto"/>
              <w:bottom w:val="single" w:sz="4" w:space="0" w:color="auto"/>
              <w:right w:val="single" w:sz="4" w:space="0" w:color="auto"/>
            </w:tcBorders>
          </w:tcPr>
          <w:p w14:paraId="2DF2DEA7" w14:textId="77777777" w:rsidR="00E57DAA" w:rsidRDefault="00AC4185">
            <w:pPr>
              <w:rPr>
                <w:rFonts w:cs="Cambria"/>
                <w:szCs w:val="21"/>
              </w:rPr>
            </w:pPr>
            <w:r>
              <w:t>受最终控制方控制的其他企业</w:t>
            </w:r>
          </w:p>
        </w:tc>
      </w:tr>
      <w:tr w:rsidR="00E57DAA" w14:paraId="7EA5530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37A0B8" w14:textId="77777777" w:rsidR="00E57DAA" w:rsidRDefault="00AC4185">
            <w:pPr>
              <w:rPr>
                <w:rFonts w:cs="Cambria"/>
                <w:szCs w:val="21"/>
              </w:rPr>
            </w:pPr>
            <w:r>
              <w:t>中国建筑材料科学研究总院有限公司</w:t>
            </w:r>
          </w:p>
        </w:tc>
        <w:tc>
          <w:tcPr>
            <w:tcW w:w="1807" w:type="pct"/>
            <w:tcBorders>
              <w:top w:val="single" w:sz="4" w:space="0" w:color="auto"/>
              <w:left w:val="single" w:sz="4" w:space="0" w:color="auto"/>
              <w:bottom w:val="single" w:sz="4" w:space="0" w:color="auto"/>
              <w:right w:val="single" w:sz="4" w:space="0" w:color="auto"/>
            </w:tcBorders>
          </w:tcPr>
          <w:p w14:paraId="631D85DD" w14:textId="77777777" w:rsidR="00E57DAA" w:rsidRDefault="00AC4185">
            <w:pPr>
              <w:rPr>
                <w:rFonts w:cs="Cambria"/>
                <w:szCs w:val="21"/>
              </w:rPr>
            </w:pPr>
            <w:r>
              <w:t>受最终控制方控制的其他企业</w:t>
            </w:r>
          </w:p>
        </w:tc>
      </w:tr>
      <w:tr w:rsidR="00E57DAA" w14:paraId="6947C3B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6E913A" w14:textId="77777777" w:rsidR="00E57DAA" w:rsidRDefault="00AC4185">
            <w:pPr>
              <w:rPr>
                <w:rFonts w:cs="Cambria"/>
                <w:szCs w:val="21"/>
              </w:rPr>
            </w:pPr>
            <w:r>
              <w:t>中国巨石股份有限公司</w:t>
            </w:r>
          </w:p>
        </w:tc>
        <w:tc>
          <w:tcPr>
            <w:tcW w:w="1807" w:type="pct"/>
            <w:tcBorders>
              <w:top w:val="single" w:sz="4" w:space="0" w:color="auto"/>
              <w:left w:val="single" w:sz="4" w:space="0" w:color="auto"/>
              <w:bottom w:val="single" w:sz="4" w:space="0" w:color="auto"/>
              <w:right w:val="single" w:sz="4" w:space="0" w:color="auto"/>
            </w:tcBorders>
          </w:tcPr>
          <w:p w14:paraId="57C630B7" w14:textId="77777777" w:rsidR="00E57DAA" w:rsidRDefault="00AC4185">
            <w:pPr>
              <w:rPr>
                <w:rFonts w:cs="Cambria"/>
                <w:szCs w:val="21"/>
              </w:rPr>
            </w:pPr>
            <w:r>
              <w:t>受最终控制方控制的其他企业</w:t>
            </w:r>
          </w:p>
        </w:tc>
      </w:tr>
      <w:tr w:rsidR="00E57DAA" w14:paraId="56F5EF7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2CC251" w14:textId="77777777" w:rsidR="00E57DAA" w:rsidRDefault="00AC4185">
            <w:pPr>
              <w:rPr>
                <w:rFonts w:cs="Cambria"/>
                <w:szCs w:val="21"/>
              </w:rPr>
            </w:pPr>
            <w:r>
              <w:t>中国联合装备集团安阳机械有限公司</w:t>
            </w:r>
          </w:p>
        </w:tc>
        <w:tc>
          <w:tcPr>
            <w:tcW w:w="1807" w:type="pct"/>
            <w:tcBorders>
              <w:top w:val="single" w:sz="4" w:space="0" w:color="auto"/>
              <w:left w:val="single" w:sz="4" w:space="0" w:color="auto"/>
              <w:bottom w:val="single" w:sz="4" w:space="0" w:color="auto"/>
              <w:right w:val="single" w:sz="4" w:space="0" w:color="auto"/>
            </w:tcBorders>
          </w:tcPr>
          <w:p w14:paraId="2D2747B0" w14:textId="77777777" w:rsidR="00E57DAA" w:rsidRDefault="00AC4185">
            <w:pPr>
              <w:rPr>
                <w:rFonts w:cs="Cambria"/>
                <w:szCs w:val="21"/>
              </w:rPr>
            </w:pPr>
            <w:r>
              <w:t>受最终控制方控制的其他企业</w:t>
            </w:r>
          </w:p>
        </w:tc>
      </w:tr>
      <w:tr w:rsidR="00E57DAA" w14:paraId="7749E02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3F1C832" w14:textId="77777777" w:rsidR="00E57DAA" w:rsidRDefault="00AC4185">
            <w:pPr>
              <w:rPr>
                <w:rFonts w:cs="Cambria"/>
                <w:szCs w:val="21"/>
              </w:rPr>
            </w:pPr>
            <w:r>
              <w:t>中国新型建材设计研究院有限公司</w:t>
            </w:r>
          </w:p>
        </w:tc>
        <w:tc>
          <w:tcPr>
            <w:tcW w:w="1807" w:type="pct"/>
            <w:tcBorders>
              <w:top w:val="single" w:sz="4" w:space="0" w:color="auto"/>
              <w:left w:val="single" w:sz="4" w:space="0" w:color="auto"/>
              <w:bottom w:val="single" w:sz="4" w:space="0" w:color="auto"/>
              <w:right w:val="single" w:sz="4" w:space="0" w:color="auto"/>
            </w:tcBorders>
          </w:tcPr>
          <w:p w14:paraId="5D99FB48" w14:textId="77777777" w:rsidR="00E57DAA" w:rsidRDefault="00AC4185">
            <w:pPr>
              <w:rPr>
                <w:rFonts w:cs="Cambria"/>
                <w:szCs w:val="21"/>
              </w:rPr>
            </w:pPr>
            <w:r>
              <w:t>受最终控制方控制的其他企业</w:t>
            </w:r>
          </w:p>
        </w:tc>
      </w:tr>
      <w:tr w:rsidR="00E57DAA" w14:paraId="781F760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2A3B8C" w14:textId="77777777" w:rsidR="00E57DAA" w:rsidRDefault="00AC4185">
            <w:pPr>
              <w:rPr>
                <w:rFonts w:cs="Cambria"/>
                <w:szCs w:val="21"/>
              </w:rPr>
            </w:pPr>
            <w:r>
              <w:t>中国中材股份有限公司</w:t>
            </w:r>
          </w:p>
        </w:tc>
        <w:tc>
          <w:tcPr>
            <w:tcW w:w="1807" w:type="pct"/>
            <w:tcBorders>
              <w:top w:val="single" w:sz="4" w:space="0" w:color="auto"/>
              <w:left w:val="single" w:sz="4" w:space="0" w:color="auto"/>
              <w:bottom w:val="single" w:sz="4" w:space="0" w:color="auto"/>
              <w:right w:val="single" w:sz="4" w:space="0" w:color="auto"/>
            </w:tcBorders>
          </w:tcPr>
          <w:p w14:paraId="373B46FF" w14:textId="77777777" w:rsidR="00E57DAA" w:rsidRDefault="00AC4185">
            <w:pPr>
              <w:rPr>
                <w:rFonts w:cs="Cambria"/>
                <w:szCs w:val="21"/>
              </w:rPr>
            </w:pPr>
            <w:r>
              <w:t>受最终控制方控制的其他企业</w:t>
            </w:r>
          </w:p>
        </w:tc>
      </w:tr>
      <w:tr w:rsidR="00E57DAA" w14:paraId="4B7B7CF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9FF0E9B" w14:textId="77777777" w:rsidR="00E57DAA" w:rsidRDefault="00AC4185">
            <w:pPr>
              <w:rPr>
                <w:rFonts w:cs="Cambria"/>
                <w:szCs w:val="21"/>
              </w:rPr>
            </w:pPr>
            <w:r>
              <w:t>中国中材集团有限公司</w:t>
            </w:r>
          </w:p>
        </w:tc>
        <w:tc>
          <w:tcPr>
            <w:tcW w:w="1807" w:type="pct"/>
            <w:tcBorders>
              <w:top w:val="single" w:sz="4" w:space="0" w:color="auto"/>
              <w:left w:val="single" w:sz="4" w:space="0" w:color="auto"/>
              <w:bottom w:val="single" w:sz="4" w:space="0" w:color="auto"/>
              <w:right w:val="single" w:sz="4" w:space="0" w:color="auto"/>
            </w:tcBorders>
          </w:tcPr>
          <w:p w14:paraId="78E02F17" w14:textId="77777777" w:rsidR="00E57DAA" w:rsidRDefault="00AC4185">
            <w:pPr>
              <w:rPr>
                <w:rFonts w:cs="Cambria"/>
                <w:szCs w:val="21"/>
              </w:rPr>
            </w:pPr>
            <w:r>
              <w:t>受最终控制方控制的其他企业</w:t>
            </w:r>
          </w:p>
        </w:tc>
      </w:tr>
      <w:tr w:rsidR="00E57DAA" w14:paraId="1D83881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74FF7E" w14:textId="77777777" w:rsidR="00E57DAA" w:rsidRDefault="00AC4185">
            <w:pPr>
              <w:rPr>
                <w:rFonts w:cs="Cambria"/>
                <w:szCs w:val="21"/>
              </w:rPr>
            </w:pPr>
            <w:r>
              <w:t>中建材（合肥）新能源有限公司</w:t>
            </w:r>
          </w:p>
        </w:tc>
        <w:tc>
          <w:tcPr>
            <w:tcW w:w="1807" w:type="pct"/>
            <w:tcBorders>
              <w:top w:val="single" w:sz="4" w:space="0" w:color="auto"/>
              <w:left w:val="single" w:sz="4" w:space="0" w:color="auto"/>
              <w:bottom w:val="single" w:sz="4" w:space="0" w:color="auto"/>
              <w:right w:val="single" w:sz="4" w:space="0" w:color="auto"/>
            </w:tcBorders>
          </w:tcPr>
          <w:p w14:paraId="327A6BBA" w14:textId="77777777" w:rsidR="00E57DAA" w:rsidRDefault="00AC4185">
            <w:pPr>
              <w:rPr>
                <w:rFonts w:cs="Cambria"/>
                <w:szCs w:val="21"/>
              </w:rPr>
            </w:pPr>
            <w:r>
              <w:t>受最终控制方控制的其他企业</w:t>
            </w:r>
          </w:p>
        </w:tc>
      </w:tr>
      <w:tr w:rsidR="00E57DAA" w14:paraId="745FF17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082202" w14:textId="77777777" w:rsidR="00E57DAA" w:rsidRDefault="00AC4185">
            <w:pPr>
              <w:rPr>
                <w:rFonts w:cs="Cambria"/>
                <w:szCs w:val="21"/>
              </w:rPr>
            </w:pPr>
            <w:r>
              <w:t>中建材玻璃新材料研究院集团有限公司</w:t>
            </w:r>
          </w:p>
        </w:tc>
        <w:tc>
          <w:tcPr>
            <w:tcW w:w="1807" w:type="pct"/>
            <w:tcBorders>
              <w:top w:val="single" w:sz="4" w:space="0" w:color="auto"/>
              <w:left w:val="single" w:sz="4" w:space="0" w:color="auto"/>
              <w:bottom w:val="single" w:sz="4" w:space="0" w:color="auto"/>
              <w:right w:val="single" w:sz="4" w:space="0" w:color="auto"/>
            </w:tcBorders>
          </w:tcPr>
          <w:p w14:paraId="050D9028" w14:textId="77777777" w:rsidR="00E57DAA" w:rsidRDefault="00AC4185">
            <w:pPr>
              <w:rPr>
                <w:rFonts w:cs="Cambria"/>
                <w:szCs w:val="21"/>
              </w:rPr>
            </w:pPr>
            <w:r>
              <w:t>受最终控制方控制的其他企业</w:t>
            </w:r>
          </w:p>
        </w:tc>
      </w:tr>
      <w:tr w:rsidR="00E57DAA" w14:paraId="046678B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BE94FB" w14:textId="77777777" w:rsidR="00E57DAA" w:rsidRDefault="00AC4185">
            <w:pPr>
              <w:rPr>
                <w:rFonts w:cs="Cambria"/>
                <w:szCs w:val="21"/>
              </w:rPr>
            </w:pPr>
            <w:r>
              <w:t>中建材大宗物联有限公司</w:t>
            </w:r>
          </w:p>
        </w:tc>
        <w:tc>
          <w:tcPr>
            <w:tcW w:w="1807" w:type="pct"/>
            <w:tcBorders>
              <w:top w:val="single" w:sz="4" w:space="0" w:color="auto"/>
              <w:left w:val="single" w:sz="4" w:space="0" w:color="auto"/>
              <w:bottom w:val="single" w:sz="4" w:space="0" w:color="auto"/>
              <w:right w:val="single" w:sz="4" w:space="0" w:color="auto"/>
            </w:tcBorders>
          </w:tcPr>
          <w:p w14:paraId="6D6630AE" w14:textId="77777777" w:rsidR="00E57DAA" w:rsidRDefault="00AC4185">
            <w:pPr>
              <w:rPr>
                <w:rFonts w:cs="Cambria"/>
                <w:szCs w:val="21"/>
              </w:rPr>
            </w:pPr>
            <w:r>
              <w:t>受最终控制方控制的其他企业</w:t>
            </w:r>
          </w:p>
        </w:tc>
      </w:tr>
      <w:tr w:rsidR="00E57DAA" w14:paraId="7395CFA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313DAC" w14:textId="77777777" w:rsidR="00E57DAA" w:rsidRDefault="00AC4185">
            <w:pPr>
              <w:rPr>
                <w:rFonts w:cs="Cambria"/>
                <w:szCs w:val="21"/>
              </w:rPr>
            </w:pPr>
            <w:r>
              <w:t>中建材光芯科技有限公司</w:t>
            </w:r>
          </w:p>
        </w:tc>
        <w:tc>
          <w:tcPr>
            <w:tcW w:w="1807" w:type="pct"/>
            <w:tcBorders>
              <w:top w:val="single" w:sz="4" w:space="0" w:color="auto"/>
              <w:left w:val="single" w:sz="4" w:space="0" w:color="auto"/>
              <w:bottom w:val="single" w:sz="4" w:space="0" w:color="auto"/>
              <w:right w:val="single" w:sz="4" w:space="0" w:color="auto"/>
            </w:tcBorders>
          </w:tcPr>
          <w:p w14:paraId="7E17D6BB" w14:textId="77777777" w:rsidR="00E57DAA" w:rsidRDefault="00AC4185">
            <w:pPr>
              <w:rPr>
                <w:rFonts w:cs="Cambria"/>
                <w:szCs w:val="21"/>
              </w:rPr>
            </w:pPr>
            <w:r>
              <w:t>受最终控制方控制的其他企业</w:t>
            </w:r>
          </w:p>
        </w:tc>
      </w:tr>
      <w:tr w:rsidR="00E57DAA" w14:paraId="505FF14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54CF08B" w14:textId="77777777" w:rsidR="00E57DAA" w:rsidRDefault="00AC4185">
            <w:pPr>
              <w:rPr>
                <w:rFonts w:cs="Cambria"/>
                <w:szCs w:val="21"/>
              </w:rPr>
            </w:pPr>
            <w:r>
              <w:lastRenderedPageBreak/>
              <w:t>中建材国际贸易有限公司</w:t>
            </w:r>
          </w:p>
        </w:tc>
        <w:tc>
          <w:tcPr>
            <w:tcW w:w="1807" w:type="pct"/>
            <w:tcBorders>
              <w:top w:val="single" w:sz="4" w:space="0" w:color="auto"/>
              <w:left w:val="single" w:sz="4" w:space="0" w:color="auto"/>
              <w:bottom w:val="single" w:sz="4" w:space="0" w:color="auto"/>
              <w:right w:val="single" w:sz="4" w:space="0" w:color="auto"/>
            </w:tcBorders>
          </w:tcPr>
          <w:p w14:paraId="03B4F677" w14:textId="77777777" w:rsidR="00E57DAA" w:rsidRDefault="00AC4185">
            <w:pPr>
              <w:rPr>
                <w:rFonts w:cs="Cambria"/>
                <w:szCs w:val="21"/>
              </w:rPr>
            </w:pPr>
            <w:r>
              <w:t>受最终控制方控制的其他企业</w:t>
            </w:r>
          </w:p>
        </w:tc>
      </w:tr>
      <w:tr w:rsidR="00E57DAA" w14:paraId="488151B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B7CD32" w14:textId="77777777" w:rsidR="00E57DAA" w:rsidRDefault="00AC4185">
            <w:pPr>
              <w:rPr>
                <w:rFonts w:cs="Cambria"/>
                <w:szCs w:val="21"/>
              </w:rPr>
            </w:pPr>
            <w:r>
              <w:t>中建材国际物产有限公司</w:t>
            </w:r>
          </w:p>
        </w:tc>
        <w:tc>
          <w:tcPr>
            <w:tcW w:w="1807" w:type="pct"/>
            <w:tcBorders>
              <w:top w:val="single" w:sz="4" w:space="0" w:color="auto"/>
              <w:left w:val="single" w:sz="4" w:space="0" w:color="auto"/>
              <w:bottom w:val="single" w:sz="4" w:space="0" w:color="auto"/>
              <w:right w:val="single" w:sz="4" w:space="0" w:color="auto"/>
            </w:tcBorders>
          </w:tcPr>
          <w:p w14:paraId="2547A493" w14:textId="77777777" w:rsidR="00E57DAA" w:rsidRDefault="00AC4185">
            <w:pPr>
              <w:rPr>
                <w:rFonts w:cs="Cambria"/>
                <w:szCs w:val="21"/>
              </w:rPr>
            </w:pPr>
            <w:r>
              <w:t>受最终控制方控制的其他企业</w:t>
            </w:r>
          </w:p>
        </w:tc>
      </w:tr>
      <w:tr w:rsidR="00E57DAA" w14:paraId="531A75B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291A7F" w14:textId="77777777" w:rsidR="00E57DAA" w:rsidRDefault="00AC4185">
            <w:pPr>
              <w:rPr>
                <w:rFonts w:cs="Cambria"/>
                <w:szCs w:val="21"/>
              </w:rPr>
            </w:pPr>
            <w:r>
              <w:t>中建材国际装备有限公司</w:t>
            </w:r>
          </w:p>
        </w:tc>
        <w:tc>
          <w:tcPr>
            <w:tcW w:w="1807" w:type="pct"/>
            <w:tcBorders>
              <w:top w:val="single" w:sz="4" w:space="0" w:color="auto"/>
              <w:left w:val="single" w:sz="4" w:space="0" w:color="auto"/>
              <w:bottom w:val="single" w:sz="4" w:space="0" w:color="auto"/>
              <w:right w:val="single" w:sz="4" w:space="0" w:color="auto"/>
            </w:tcBorders>
          </w:tcPr>
          <w:p w14:paraId="57EA5061" w14:textId="77777777" w:rsidR="00E57DAA" w:rsidRDefault="00AC4185">
            <w:pPr>
              <w:rPr>
                <w:rFonts w:cs="Cambria"/>
                <w:szCs w:val="21"/>
              </w:rPr>
            </w:pPr>
            <w:r>
              <w:t>受最终控制方控制的其他企业</w:t>
            </w:r>
          </w:p>
        </w:tc>
      </w:tr>
      <w:tr w:rsidR="00E57DAA" w14:paraId="5C84121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223369" w14:textId="77777777" w:rsidR="00E57DAA" w:rsidRDefault="00AC4185">
            <w:pPr>
              <w:rPr>
                <w:rFonts w:cs="Cambria"/>
                <w:szCs w:val="21"/>
              </w:rPr>
            </w:pPr>
            <w:r>
              <w:t>中建材集团进出口有限公司</w:t>
            </w:r>
          </w:p>
        </w:tc>
        <w:tc>
          <w:tcPr>
            <w:tcW w:w="1807" w:type="pct"/>
            <w:tcBorders>
              <w:top w:val="single" w:sz="4" w:space="0" w:color="auto"/>
              <w:left w:val="single" w:sz="4" w:space="0" w:color="auto"/>
              <w:bottom w:val="single" w:sz="4" w:space="0" w:color="auto"/>
              <w:right w:val="single" w:sz="4" w:space="0" w:color="auto"/>
            </w:tcBorders>
          </w:tcPr>
          <w:p w14:paraId="701B25BF" w14:textId="77777777" w:rsidR="00E57DAA" w:rsidRDefault="00AC4185">
            <w:pPr>
              <w:rPr>
                <w:rFonts w:cs="Cambria"/>
                <w:szCs w:val="21"/>
              </w:rPr>
            </w:pPr>
            <w:r>
              <w:t>受最终控制方控制的其他企业</w:t>
            </w:r>
          </w:p>
        </w:tc>
      </w:tr>
      <w:tr w:rsidR="00E57DAA" w14:paraId="4269347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B6C004" w14:textId="77777777" w:rsidR="00E57DAA" w:rsidRDefault="00AC4185">
            <w:pPr>
              <w:rPr>
                <w:rFonts w:cs="Cambria"/>
                <w:szCs w:val="21"/>
              </w:rPr>
            </w:pPr>
            <w:r>
              <w:t>中建材浚鑫科技有限公司</w:t>
            </w:r>
          </w:p>
        </w:tc>
        <w:tc>
          <w:tcPr>
            <w:tcW w:w="1807" w:type="pct"/>
            <w:tcBorders>
              <w:top w:val="single" w:sz="4" w:space="0" w:color="auto"/>
              <w:left w:val="single" w:sz="4" w:space="0" w:color="auto"/>
              <w:bottom w:val="single" w:sz="4" w:space="0" w:color="auto"/>
              <w:right w:val="single" w:sz="4" w:space="0" w:color="auto"/>
            </w:tcBorders>
          </w:tcPr>
          <w:p w14:paraId="6AF1341D" w14:textId="77777777" w:rsidR="00E57DAA" w:rsidRDefault="00AC4185">
            <w:pPr>
              <w:rPr>
                <w:rFonts w:cs="Cambria"/>
                <w:szCs w:val="21"/>
              </w:rPr>
            </w:pPr>
            <w:r>
              <w:t>受最终控制方控制的其他企业</w:t>
            </w:r>
          </w:p>
        </w:tc>
      </w:tr>
      <w:tr w:rsidR="00E57DAA" w14:paraId="48F206E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90FBEA2" w14:textId="77777777" w:rsidR="00E57DAA" w:rsidRDefault="00AC4185">
            <w:pPr>
              <w:rPr>
                <w:rFonts w:cs="Cambria"/>
                <w:szCs w:val="21"/>
              </w:rPr>
            </w:pPr>
            <w:r>
              <w:t>中建材凯盛机器人（上海）有限公司</w:t>
            </w:r>
          </w:p>
        </w:tc>
        <w:tc>
          <w:tcPr>
            <w:tcW w:w="1807" w:type="pct"/>
            <w:tcBorders>
              <w:top w:val="single" w:sz="4" w:space="0" w:color="auto"/>
              <w:left w:val="single" w:sz="4" w:space="0" w:color="auto"/>
              <w:bottom w:val="single" w:sz="4" w:space="0" w:color="auto"/>
              <w:right w:val="single" w:sz="4" w:space="0" w:color="auto"/>
            </w:tcBorders>
          </w:tcPr>
          <w:p w14:paraId="4C11262A" w14:textId="77777777" w:rsidR="00E57DAA" w:rsidRDefault="00AC4185">
            <w:pPr>
              <w:rPr>
                <w:rFonts w:cs="Cambria"/>
                <w:szCs w:val="21"/>
              </w:rPr>
            </w:pPr>
            <w:r>
              <w:t>受最终控制方控制的其他企业</w:t>
            </w:r>
          </w:p>
        </w:tc>
      </w:tr>
      <w:tr w:rsidR="00E57DAA" w14:paraId="3920389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FEB59E" w14:textId="77777777" w:rsidR="00E57DAA" w:rsidRDefault="00AC4185">
            <w:pPr>
              <w:rPr>
                <w:rFonts w:cs="Cambria"/>
                <w:szCs w:val="21"/>
              </w:rPr>
            </w:pPr>
            <w:r>
              <w:t>中建材科创新技术研究院（山东）有限公司</w:t>
            </w:r>
          </w:p>
        </w:tc>
        <w:tc>
          <w:tcPr>
            <w:tcW w:w="1807" w:type="pct"/>
            <w:tcBorders>
              <w:top w:val="single" w:sz="4" w:space="0" w:color="auto"/>
              <w:left w:val="single" w:sz="4" w:space="0" w:color="auto"/>
              <w:bottom w:val="single" w:sz="4" w:space="0" w:color="auto"/>
              <w:right w:val="single" w:sz="4" w:space="0" w:color="auto"/>
            </w:tcBorders>
          </w:tcPr>
          <w:p w14:paraId="518A13A3" w14:textId="77777777" w:rsidR="00E57DAA" w:rsidRDefault="00AC4185">
            <w:pPr>
              <w:rPr>
                <w:rFonts w:cs="Cambria"/>
                <w:szCs w:val="21"/>
              </w:rPr>
            </w:pPr>
            <w:r>
              <w:t>受最终控制方控制的其他企业</w:t>
            </w:r>
          </w:p>
        </w:tc>
      </w:tr>
      <w:tr w:rsidR="00E57DAA" w14:paraId="065B3E7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28EE86" w14:textId="77777777" w:rsidR="00E57DAA" w:rsidRDefault="00AC4185">
            <w:pPr>
              <w:rPr>
                <w:rFonts w:cs="Cambria"/>
                <w:szCs w:val="21"/>
              </w:rPr>
            </w:pPr>
            <w:r>
              <w:t>中建材矿业投资江苏有限公司</w:t>
            </w:r>
          </w:p>
        </w:tc>
        <w:tc>
          <w:tcPr>
            <w:tcW w:w="1807" w:type="pct"/>
            <w:tcBorders>
              <w:top w:val="single" w:sz="4" w:space="0" w:color="auto"/>
              <w:left w:val="single" w:sz="4" w:space="0" w:color="auto"/>
              <w:bottom w:val="single" w:sz="4" w:space="0" w:color="auto"/>
              <w:right w:val="single" w:sz="4" w:space="0" w:color="auto"/>
            </w:tcBorders>
          </w:tcPr>
          <w:p w14:paraId="51535E73" w14:textId="77777777" w:rsidR="00E57DAA" w:rsidRDefault="00AC4185">
            <w:pPr>
              <w:rPr>
                <w:rFonts w:cs="Cambria"/>
                <w:szCs w:val="21"/>
              </w:rPr>
            </w:pPr>
            <w:r>
              <w:t>受最终控制方控制的其他企业</w:t>
            </w:r>
          </w:p>
        </w:tc>
      </w:tr>
      <w:tr w:rsidR="00E57DAA" w14:paraId="4516BD7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782927" w14:textId="77777777" w:rsidR="00E57DAA" w:rsidRDefault="00AC4185">
            <w:pPr>
              <w:rPr>
                <w:rFonts w:cs="Cambria"/>
                <w:szCs w:val="21"/>
              </w:rPr>
            </w:pPr>
            <w:r>
              <w:t>中建材联合投资有限公司</w:t>
            </w:r>
          </w:p>
        </w:tc>
        <w:tc>
          <w:tcPr>
            <w:tcW w:w="1807" w:type="pct"/>
            <w:tcBorders>
              <w:top w:val="single" w:sz="4" w:space="0" w:color="auto"/>
              <w:left w:val="single" w:sz="4" w:space="0" w:color="auto"/>
              <w:bottom w:val="single" w:sz="4" w:space="0" w:color="auto"/>
              <w:right w:val="single" w:sz="4" w:space="0" w:color="auto"/>
            </w:tcBorders>
          </w:tcPr>
          <w:p w14:paraId="1DCFB9C7" w14:textId="77777777" w:rsidR="00E57DAA" w:rsidRDefault="00AC4185">
            <w:pPr>
              <w:rPr>
                <w:rFonts w:cs="Cambria"/>
                <w:szCs w:val="21"/>
              </w:rPr>
            </w:pPr>
            <w:r>
              <w:t>受最终控制方控制的其他企业</w:t>
            </w:r>
          </w:p>
        </w:tc>
      </w:tr>
      <w:tr w:rsidR="00E57DAA" w14:paraId="14A310C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6F6496" w14:textId="77777777" w:rsidR="00E57DAA" w:rsidRDefault="00AC4185">
            <w:pPr>
              <w:rPr>
                <w:rFonts w:cs="Cambria"/>
                <w:szCs w:val="21"/>
              </w:rPr>
            </w:pPr>
            <w:r>
              <w:t>中建材尼日利亚新材料有限公司</w:t>
            </w:r>
          </w:p>
        </w:tc>
        <w:tc>
          <w:tcPr>
            <w:tcW w:w="1807" w:type="pct"/>
            <w:tcBorders>
              <w:top w:val="single" w:sz="4" w:space="0" w:color="auto"/>
              <w:left w:val="single" w:sz="4" w:space="0" w:color="auto"/>
              <w:bottom w:val="single" w:sz="4" w:space="0" w:color="auto"/>
              <w:right w:val="single" w:sz="4" w:space="0" w:color="auto"/>
            </w:tcBorders>
          </w:tcPr>
          <w:p w14:paraId="1072869E" w14:textId="77777777" w:rsidR="00E57DAA" w:rsidRDefault="00AC4185">
            <w:pPr>
              <w:rPr>
                <w:rFonts w:cs="Cambria"/>
                <w:szCs w:val="21"/>
              </w:rPr>
            </w:pPr>
            <w:r>
              <w:t>受最终控制方控制的其他企业</w:t>
            </w:r>
          </w:p>
        </w:tc>
      </w:tr>
      <w:tr w:rsidR="00E57DAA" w14:paraId="360F5B0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C655D0" w14:textId="77777777" w:rsidR="00E57DAA" w:rsidRDefault="00AC4185">
            <w:pPr>
              <w:rPr>
                <w:rFonts w:cs="Cambria"/>
                <w:szCs w:val="21"/>
              </w:rPr>
            </w:pPr>
            <w:r>
              <w:t>中建材衢州金格兰石英有限公司</w:t>
            </w:r>
          </w:p>
        </w:tc>
        <w:tc>
          <w:tcPr>
            <w:tcW w:w="1807" w:type="pct"/>
            <w:tcBorders>
              <w:top w:val="single" w:sz="4" w:space="0" w:color="auto"/>
              <w:left w:val="single" w:sz="4" w:space="0" w:color="auto"/>
              <w:bottom w:val="single" w:sz="4" w:space="0" w:color="auto"/>
              <w:right w:val="single" w:sz="4" w:space="0" w:color="auto"/>
            </w:tcBorders>
          </w:tcPr>
          <w:p w14:paraId="29D6F204" w14:textId="77777777" w:rsidR="00E57DAA" w:rsidRDefault="00AC4185">
            <w:pPr>
              <w:rPr>
                <w:rFonts w:cs="Cambria"/>
                <w:szCs w:val="21"/>
              </w:rPr>
            </w:pPr>
            <w:r>
              <w:t>受最终控制方控制的其他企业</w:t>
            </w:r>
          </w:p>
        </w:tc>
      </w:tr>
      <w:tr w:rsidR="00E57DAA" w14:paraId="6B3C3FF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249BCD" w14:textId="77777777" w:rsidR="00E57DAA" w:rsidRDefault="00AC4185">
            <w:pPr>
              <w:rPr>
                <w:rFonts w:cs="Cambria"/>
                <w:szCs w:val="21"/>
              </w:rPr>
            </w:pPr>
            <w:r>
              <w:t>中建材西南勘测设计有限公司</w:t>
            </w:r>
          </w:p>
        </w:tc>
        <w:tc>
          <w:tcPr>
            <w:tcW w:w="1807" w:type="pct"/>
            <w:tcBorders>
              <w:top w:val="single" w:sz="4" w:space="0" w:color="auto"/>
              <w:left w:val="single" w:sz="4" w:space="0" w:color="auto"/>
              <w:bottom w:val="single" w:sz="4" w:space="0" w:color="auto"/>
              <w:right w:val="single" w:sz="4" w:space="0" w:color="auto"/>
            </w:tcBorders>
          </w:tcPr>
          <w:p w14:paraId="4579C30A" w14:textId="77777777" w:rsidR="00E57DAA" w:rsidRDefault="00AC4185">
            <w:pPr>
              <w:rPr>
                <w:rFonts w:cs="Cambria"/>
                <w:szCs w:val="21"/>
              </w:rPr>
            </w:pPr>
            <w:r>
              <w:t>受最终控制方控制的其他企业</w:t>
            </w:r>
          </w:p>
        </w:tc>
      </w:tr>
      <w:tr w:rsidR="00E57DAA" w14:paraId="3EAB6FC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6F68DD" w14:textId="77777777" w:rsidR="00E57DAA" w:rsidRDefault="00AC4185">
            <w:pPr>
              <w:rPr>
                <w:rFonts w:cs="Cambria"/>
                <w:szCs w:val="21"/>
              </w:rPr>
            </w:pPr>
            <w:r>
              <w:t>中建材信息技术股份有限公司</w:t>
            </w:r>
          </w:p>
        </w:tc>
        <w:tc>
          <w:tcPr>
            <w:tcW w:w="1807" w:type="pct"/>
            <w:tcBorders>
              <w:top w:val="single" w:sz="4" w:space="0" w:color="auto"/>
              <w:left w:val="single" w:sz="4" w:space="0" w:color="auto"/>
              <w:bottom w:val="single" w:sz="4" w:space="0" w:color="auto"/>
              <w:right w:val="single" w:sz="4" w:space="0" w:color="auto"/>
            </w:tcBorders>
          </w:tcPr>
          <w:p w14:paraId="2A169052" w14:textId="77777777" w:rsidR="00E57DAA" w:rsidRDefault="00AC4185">
            <w:pPr>
              <w:rPr>
                <w:rFonts w:cs="Cambria"/>
                <w:szCs w:val="21"/>
              </w:rPr>
            </w:pPr>
            <w:r>
              <w:t>受最终控制方控制的其他企业</w:t>
            </w:r>
          </w:p>
        </w:tc>
      </w:tr>
      <w:tr w:rsidR="00E57DAA" w14:paraId="5295398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ED2B42" w14:textId="77777777" w:rsidR="00E57DAA" w:rsidRDefault="00AC4185">
            <w:pPr>
              <w:rPr>
                <w:rFonts w:cs="Cambria"/>
                <w:szCs w:val="21"/>
              </w:rPr>
            </w:pPr>
            <w:r>
              <w:t>中建材信云智联科技有限公司</w:t>
            </w:r>
          </w:p>
        </w:tc>
        <w:tc>
          <w:tcPr>
            <w:tcW w:w="1807" w:type="pct"/>
            <w:tcBorders>
              <w:top w:val="single" w:sz="4" w:space="0" w:color="auto"/>
              <w:left w:val="single" w:sz="4" w:space="0" w:color="auto"/>
              <w:bottom w:val="single" w:sz="4" w:space="0" w:color="auto"/>
              <w:right w:val="single" w:sz="4" w:space="0" w:color="auto"/>
            </w:tcBorders>
          </w:tcPr>
          <w:p w14:paraId="12A1570D" w14:textId="77777777" w:rsidR="00E57DAA" w:rsidRDefault="00AC4185">
            <w:pPr>
              <w:rPr>
                <w:rFonts w:cs="Cambria"/>
                <w:szCs w:val="21"/>
              </w:rPr>
            </w:pPr>
            <w:r>
              <w:t>受最终控制方控制的其他企业</w:t>
            </w:r>
          </w:p>
        </w:tc>
      </w:tr>
      <w:tr w:rsidR="00E57DAA" w14:paraId="5EA864E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CDE064" w14:textId="77777777" w:rsidR="00E57DAA" w:rsidRDefault="00AC4185">
            <w:pPr>
              <w:rPr>
                <w:rFonts w:cs="Cambria"/>
                <w:szCs w:val="21"/>
              </w:rPr>
            </w:pPr>
            <w:r>
              <w:t>中建材行业生产力促进中心有限公司</w:t>
            </w:r>
          </w:p>
        </w:tc>
        <w:tc>
          <w:tcPr>
            <w:tcW w:w="1807" w:type="pct"/>
            <w:tcBorders>
              <w:top w:val="single" w:sz="4" w:space="0" w:color="auto"/>
              <w:left w:val="single" w:sz="4" w:space="0" w:color="auto"/>
              <w:bottom w:val="single" w:sz="4" w:space="0" w:color="auto"/>
              <w:right w:val="single" w:sz="4" w:space="0" w:color="auto"/>
            </w:tcBorders>
          </w:tcPr>
          <w:p w14:paraId="12263413" w14:textId="77777777" w:rsidR="00E57DAA" w:rsidRDefault="00AC4185">
            <w:pPr>
              <w:rPr>
                <w:rFonts w:cs="Cambria"/>
                <w:szCs w:val="21"/>
              </w:rPr>
            </w:pPr>
            <w:r>
              <w:t>受最终控制方控制的其他企业</w:t>
            </w:r>
          </w:p>
        </w:tc>
      </w:tr>
      <w:tr w:rsidR="00E57DAA" w14:paraId="7A9A467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343EB2" w14:textId="77777777" w:rsidR="00E57DAA" w:rsidRDefault="00AC4185">
            <w:pPr>
              <w:rPr>
                <w:rFonts w:cs="Cambria"/>
                <w:szCs w:val="21"/>
              </w:rPr>
            </w:pPr>
            <w:r>
              <w:t>中建材岩土工程江苏有限公司</w:t>
            </w:r>
          </w:p>
        </w:tc>
        <w:tc>
          <w:tcPr>
            <w:tcW w:w="1807" w:type="pct"/>
            <w:tcBorders>
              <w:top w:val="single" w:sz="4" w:space="0" w:color="auto"/>
              <w:left w:val="single" w:sz="4" w:space="0" w:color="auto"/>
              <w:bottom w:val="single" w:sz="4" w:space="0" w:color="auto"/>
              <w:right w:val="single" w:sz="4" w:space="0" w:color="auto"/>
            </w:tcBorders>
          </w:tcPr>
          <w:p w14:paraId="58561CC3" w14:textId="77777777" w:rsidR="00E57DAA" w:rsidRDefault="00AC4185">
            <w:pPr>
              <w:rPr>
                <w:rFonts w:cs="Cambria"/>
                <w:szCs w:val="21"/>
              </w:rPr>
            </w:pPr>
            <w:r>
              <w:t>受最终控制方控制的其他企业</w:t>
            </w:r>
          </w:p>
        </w:tc>
      </w:tr>
      <w:tr w:rsidR="00E57DAA" w14:paraId="6498B9D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8E5D70" w14:textId="77777777" w:rsidR="00E57DAA" w:rsidRDefault="00AC4185">
            <w:pPr>
              <w:rPr>
                <w:rFonts w:cs="Cambria"/>
                <w:szCs w:val="21"/>
              </w:rPr>
            </w:pPr>
            <w:r>
              <w:t>中建材智慧物联有限公司</w:t>
            </w:r>
          </w:p>
        </w:tc>
        <w:tc>
          <w:tcPr>
            <w:tcW w:w="1807" w:type="pct"/>
            <w:tcBorders>
              <w:top w:val="single" w:sz="4" w:space="0" w:color="auto"/>
              <w:left w:val="single" w:sz="4" w:space="0" w:color="auto"/>
              <w:bottom w:val="single" w:sz="4" w:space="0" w:color="auto"/>
              <w:right w:val="single" w:sz="4" w:space="0" w:color="auto"/>
            </w:tcBorders>
          </w:tcPr>
          <w:p w14:paraId="6FA33E44" w14:textId="77777777" w:rsidR="00E57DAA" w:rsidRDefault="00AC4185">
            <w:pPr>
              <w:rPr>
                <w:rFonts w:cs="Cambria"/>
                <w:szCs w:val="21"/>
              </w:rPr>
            </w:pPr>
            <w:r>
              <w:t>受最终控制方控制的其他企业</w:t>
            </w:r>
          </w:p>
        </w:tc>
      </w:tr>
      <w:tr w:rsidR="00E57DAA" w14:paraId="1A7319D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1DCF0F" w14:textId="77777777" w:rsidR="00E57DAA" w:rsidRDefault="00AC4185">
            <w:pPr>
              <w:rPr>
                <w:rFonts w:cs="Cambria"/>
                <w:szCs w:val="21"/>
              </w:rPr>
            </w:pPr>
            <w:r>
              <w:t>中建材中岩科技有限公司</w:t>
            </w:r>
          </w:p>
        </w:tc>
        <w:tc>
          <w:tcPr>
            <w:tcW w:w="1807" w:type="pct"/>
            <w:tcBorders>
              <w:top w:val="single" w:sz="4" w:space="0" w:color="auto"/>
              <w:left w:val="single" w:sz="4" w:space="0" w:color="auto"/>
              <w:bottom w:val="single" w:sz="4" w:space="0" w:color="auto"/>
              <w:right w:val="single" w:sz="4" w:space="0" w:color="auto"/>
            </w:tcBorders>
          </w:tcPr>
          <w:p w14:paraId="5C9D5282" w14:textId="77777777" w:rsidR="00E57DAA" w:rsidRDefault="00AC4185">
            <w:pPr>
              <w:rPr>
                <w:rFonts w:cs="Cambria"/>
                <w:szCs w:val="21"/>
              </w:rPr>
            </w:pPr>
            <w:r>
              <w:t>受最终控制方控制的其他企业</w:t>
            </w:r>
          </w:p>
        </w:tc>
      </w:tr>
      <w:tr w:rsidR="00E57DAA" w14:paraId="4AD730B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B269E6" w14:textId="77777777" w:rsidR="00E57DAA" w:rsidRDefault="00AC4185">
            <w:pPr>
              <w:rPr>
                <w:rFonts w:cs="Cambria"/>
                <w:szCs w:val="21"/>
              </w:rPr>
            </w:pPr>
            <w:r>
              <w:t>中建材中研益科技有限公司</w:t>
            </w:r>
          </w:p>
        </w:tc>
        <w:tc>
          <w:tcPr>
            <w:tcW w:w="1807" w:type="pct"/>
            <w:tcBorders>
              <w:top w:val="single" w:sz="4" w:space="0" w:color="auto"/>
              <w:left w:val="single" w:sz="4" w:space="0" w:color="auto"/>
              <w:bottom w:val="single" w:sz="4" w:space="0" w:color="auto"/>
              <w:right w:val="single" w:sz="4" w:space="0" w:color="auto"/>
            </w:tcBorders>
          </w:tcPr>
          <w:p w14:paraId="739589DF" w14:textId="77777777" w:rsidR="00E57DAA" w:rsidRDefault="00AC4185">
            <w:pPr>
              <w:rPr>
                <w:rFonts w:cs="Cambria"/>
                <w:szCs w:val="21"/>
              </w:rPr>
            </w:pPr>
            <w:r>
              <w:t>受最终控制方控制的其他企业</w:t>
            </w:r>
          </w:p>
        </w:tc>
      </w:tr>
      <w:tr w:rsidR="00E57DAA" w14:paraId="2F0429E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759EE6" w14:textId="77777777" w:rsidR="00E57DAA" w:rsidRDefault="00AC4185">
            <w:pPr>
              <w:rPr>
                <w:rFonts w:cs="Cambria"/>
                <w:szCs w:val="21"/>
              </w:rPr>
            </w:pPr>
            <w:r>
              <w:t>中联装备集团北新机械有限公司</w:t>
            </w:r>
          </w:p>
        </w:tc>
        <w:tc>
          <w:tcPr>
            <w:tcW w:w="1807" w:type="pct"/>
            <w:tcBorders>
              <w:top w:val="single" w:sz="4" w:space="0" w:color="auto"/>
              <w:left w:val="single" w:sz="4" w:space="0" w:color="auto"/>
              <w:bottom w:val="single" w:sz="4" w:space="0" w:color="auto"/>
              <w:right w:val="single" w:sz="4" w:space="0" w:color="auto"/>
            </w:tcBorders>
          </w:tcPr>
          <w:p w14:paraId="075DA80A" w14:textId="77777777" w:rsidR="00E57DAA" w:rsidRDefault="00AC4185">
            <w:pPr>
              <w:rPr>
                <w:rFonts w:cs="Cambria"/>
                <w:szCs w:val="21"/>
              </w:rPr>
            </w:pPr>
            <w:r>
              <w:t>受最终控制方控制的其他企业</w:t>
            </w:r>
          </w:p>
        </w:tc>
      </w:tr>
      <w:tr w:rsidR="00E57DAA" w14:paraId="20F4348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C75097" w14:textId="77777777" w:rsidR="00E57DAA" w:rsidRDefault="00AC4185">
            <w:pPr>
              <w:rPr>
                <w:rFonts w:cs="Cambria"/>
                <w:szCs w:val="21"/>
              </w:rPr>
            </w:pPr>
            <w:r>
              <w:t>中新集团工程咨询有限责任公司</w:t>
            </w:r>
          </w:p>
        </w:tc>
        <w:tc>
          <w:tcPr>
            <w:tcW w:w="1807" w:type="pct"/>
            <w:tcBorders>
              <w:top w:val="single" w:sz="4" w:space="0" w:color="auto"/>
              <w:left w:val="single" w:sz="4" w:space="0" w:color="auto"/>
              <w:bottom w:val="single" w:sz="4" w:space="0" w:color="auto"/>
              <w:right w:val="single" w:sz="4" w:space="0" w:color="auto"/>
            </w:tcBorders>
          </w:tcPr>
          <w:p w14:paraId="726B7F01" w14:textId="77777777" w:rsidR="00E57DAA" w:rsidRDefault="00AC4185">
            <w:pPr>
              <w:rPr>
                <w:rFonts w:cs="Cambria"/>
                <w:szCs w:val="21"/>
              </w:rPr>
            </w:pPr>
            <w:r>
              <w:t>受最终控制方控制的其他企业</w:t>
            </w:r>
          </w:p>
        </w:tc>
      </w:tr>
      <w:tr w:rsidR="00E57DAA" w14:paraId="00B7BE3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8F55D6" w14:textId="77777777" w:rsidR="00E57DAA" w:rsidRDefault="00AC4185">
            <w:pPr>
              <w:rPr>
                <w:rFonts w:cs="Cambria"/>
                <w:szCs w:val="21"/>
              </w:rPr>
            </w:pPr>
            <w:r>
              <w:t>中新集团新材资产管理有限公司</w:t>
            </w:r>
          </w:p>
        </w:tc>
        <w:tc>
          <w:tcPr>
            <w:tcW w:w="1807" w:type="pct"/>
            <w:tcBorders>
              <w:top w:val="single" w:sz="4" w:space="0" w:color="auto"/>
              <w:left w:val="single" w:sz="4" w:space="0" w:color="auto"/>
              <w:bottom w:val="single" w:sz="4" w:space="0" w:color="auto"/>
              <w:right w:val="single" w:sz="4" w:space="0" w:color="auto"/>
            </w:tcBorders>
          </w:tcPr>
          <w:p w14:paraId="3CDCE130" w14:textId="77777777" w:rsidR="00E57DAA" w:rsidRDefault="00AC4185">
            <w:pPr>
              <w:rPr>
                <w:rFonts w:cs="Cambria"/>
                <w:szCs w:val="21"/>
              </w:rPr>
            </w:pPr>
            <w:r>
              <w:t>受最终控制方控制的其他企业</w:t>
            </w:r>
          </w:p>
        </w:tc>
      </w:tr>
      <w:tr w:rsidR="00E57DAA" w14:paraId="1ACEAD5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09EECC" w14:textId="77777777" w:rsidR="00E57DAA" w:rsidRDefault="00AC4185">
            <w:pPr>
              <w:rPr>
                <w:rFonts w:cs="Cambria"/>
                <w:szCs w:val="21"/>
              </w:rPr>
            </w:pPr>
            <w:r>
              <w:t>枞阳南方材料有限公司</w:t>
            </w:r>
          </w:p>
        </w:tc>
        <w:tc>
          <w:tcPr>
            <w:tcW w:w="1807" w:type="pct"/>
            <w:tcBorders>
              <w:top w:val="single" w:sz="4" w:space="0" w:color="auto"/>
              <w:left w:val="single" w:sz="4" w:space="0" w:color="auto"/>
              <w:bottom w:val="single" w:sz="4" w:space="0" w:color="auto"/>
              <w:right w:val="single" w:sz="4" w:space="0" w:color="auto"/>
            </w:tcBorders>
          </w:tcPr>
          <w:p w14:paraId="2C1ACA46" w14:textId="77777777" w:rsidR="00E57DAA" w:rsidRDefault="00AC4185">
            <w:pPr>
              <w:rPr>
                <w:rFonts w:cs="Cambria"/>
                <w:szCs w:val="21"/>
              </w:rPr>
            </w:pPr>
            <w:r>
              <w:t>受最终控制方控制的其他企业</w:t>
            </w:r>
          </w:p>
        </w:tc>
      </w:tr>
      <w:tr w:rsidR="00E57DAA" w14:paraId="7EC7C99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DBE25F" w14:textId="77777777" w:rsidR="00E57DAA" w:rsidRDefault="00AC4185">
            <w:pPr>
              <w:rPr>
                <w:rFonts w:cs="Cambria"/>
                <w:szCs w:val="21"/>
              </w:rPr>
            </w:pPr>
            <w:r>
              <w:t>中材膜材料越南公司</w:t>
            </w:r>
          </w:p>
        </w:tc>
        <w:tc>
          <w:tcPr>
            <w:tcW w:w="1807" w:type="pct"/>
            <w:tcBorders>
              <w:top w:val="single" w:sz="4" w:space="0" w:color="auto"/>
              <w:left w:val="single" w:sz="4" w:space="0" w:color="auto"/>
              <w:bottom w:val="single" w:sz="4" w:space="0" w:color="auto"/>
              <w:right w:val="single" w:sz="4" w:space="0" w:color="auto"/>
            </w:tcBorders>
          </w:tcPr>
          <w:p w14:paraId="5F87FB7D" w14:textId="77777777" w:rsidR="00E57DAA" w:rsidRDefault="00AC4185">
            <w:pPr>
              <w:rPr>
                <w:rFonts w:cs="Cambria"/>
                <w:szCs w:val="21"/>
              </w:rPr>
            </w:pPr>
            <w:r>
              <w:t>受最终控制方控制的其他企业</w:t>
            </w:r>
          </w:p>
        </w:tc>
      </w:tr>
      <w:tr w:rsidR="00E57DAA" w14:paraId="0519AC4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18E23B6" w14:textId="77777777" w:rsidR="00E57DAA" w:rsidRDefault="00AC4185">
            <w:pPr>
              <w:rPr>
                <w:rFonts w:cs="Cambria"/>
                <w:szCs w:val="21"/>
              </w:rPr>
            </w:pPr>
            <w:r>
              <w:t>北新建材（泰国）有限公司</w:t>
            </w:r>
          </w:p>
        </w:tc>
        <w:tc>
          <w:tcPr>
            <w:tcW w:w="1807" w:type="pct"/>
            <w:tcBorders>
              <w:top w:val="single" w:sz="4" w:space="0" w:color="auto"/>
              <w:left w:val="single" w:sz="4" w:space="0" w:color="auto"/>
              <w:bottom w:val="single" w:sz="4" w:space="0" w:color="auto"/>
              <w:right w:val="single" w:sz="4" w:space="0" w:color="auto"/>
            </w:tcBorders>
          </w:tcPr>
          <w:p w14:paraId="54FCE63E" w14:textId="77777777" w:rsidR="00E57DAA" w:rsidRDefault="00AC4185">
            <w:pPr>
              <w:rPr>
                <w:rFonts w:cs="Cambria"/>
                <w:szCs w:val="21"/>
              </w:rPr>
            </w:pPr>
            <w:r>
              <w:t>受最终控制方控制的其他企业</w:t>
            </w:r>
          </w:p>
        </w:tc>
      </w:tr>
      <w:tr w:rsidR="00E57DAA" w14:paraId="5687FEF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F395EF" w14:textId="77777777" w:rsidR="00E57DAA" w:rsidRDefault="00AC4185">
            <w:pPr>
              <w:rPr>
                <w:rFonts w:cs="Cambria"/>
                <w:szCs w:val="21"/>
              </w:rPr>
            </w:pPr>
            <w:r>
              <w:t>中建材矿业投资尼日利亚有限公司</w:t>
            </w:r>
          </w:p>
        </w:tc>
        <w:tc>
          <w:tcPr>
            <w:tcW w:w="1807" w:type="pct"/>
            <w:tcBorders>
              <w:top w:val="single" w:sz="4" w:space="0" w:color="auto"/>
              <w:left w:val="single" w:sz="4" w:space="0" w:color="auto"/>
              <w:bottom w:val="single" w:sz="4" w:space="0" w:color="auto"/>
              <w:right w:val="single" w:sz="4" w:space="0" w:color="auto"/>
            </w:tcBorders>
          </w:tcPr>
          <w:p w14:paraId="4FCBBFC0" w14:textId="77777777" w:rsidR="00E57DAA" w:rsidRDefault="00AC4185">
            <w:pPr>
              <w:rPr>
                <w:rFonts w:cs="Cambria"/>
                <w:szCs w:val="21"/>
              </w:rPr>
            </w:pPr>
            <w:r>
              <w:t>受最终控制方控制的其他企业</w:t>
            </w:r>
          </w:p>
        </w:tc>
      </w:tr>
      <w:tr w:rsidR="00E57DAA" w14:paraId="610136D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4E32BC" w14:textId="77777777" w:rsidR="00E57DAA" w:rsidRDefault="00AC4185">
            <w:pPr>
              <w:rPr>
                <w:rFonts w:cs="Cambria"/>
                <w:szCs w:val="21"/>
              </w:rPr>
            </w:pPr>
            <w:r>
              <w:t>中国建材尼日利亚新材料有限公司</w:t>
            </w:r>
          </w:p>
        </w:tc>
        <w:tc>
          <w:tcPr>
            <w:tcW w:w="1807" w:type="pct"/>
            <w:tcBorders>
              <w:top w:val="single" w:sz="4" w:space="0" w:color="auto"/>
              <w:left w:val="single" w:sz="4" w:space="0" w:color="auto"/>
              <w:bottom w:val="single" w:sz="4" w:space="0" w:color="auto"/>
              <w:right w:val="single" w:sz="4" w:space="0" w:color="auto"/>
            </w:tcBorders>
          </w:tcPr>
          <w:p w14:paraId="64FD35AE" w14:textId="77777777" w:rsidR="00E57DAA" w:rsidRDefault="00AC4185">
            <w:pPr>
              <w:rPr>
                <w:rFonts w:cs="Cambria"/>
                <w:szCs w:val="21"/>
              </w:rPr>
            </w:pPr>
            <w:r>
              <w:t>受最终控制方控制的其他企业</w:t>
            </w:r>
          </w:p>
        </w:tc>
      </w:tr>
      <w:tr w:rsidR="00E57DAA" w14:paraId="39C4F19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A0CB44" w14:textId="77777777" w:rsidR="00E57DAA" w:rsidRDefault="00AC4185">
            <w:pPr>
              <w:rPr>
                <w:rFonts w:cs="Cambria"/>
                <w:szCs w:val="21"/>
              </w:rPr>
            </w:pPr>
            <w:r>
              <w:t>中材水泥有限责任公司</w:t>
            </w:r>
          </w:p>
        </w:tc>
        <w:tc>
          <w:tcPr>
            <w:tcW w:w="1807" w:type="pct"/>
            <w:tcBorders>
              <w:top w:val="single" w:sz="4" w:space="0" w:color="auto"/>
              <w:left w:val="single" w:sz="4" w:space="0" w:color="auto"/>
              <w:bottom w:val="single" w:sz="4" w:space="0" w:color="auto"/>
              <w:right w:val="single" w:sz="4" w:space="0" w:color="auto"/>
            </w:tcBorders>
          </w:tcPr>
          <w:p w14:paraId="61A2B349" w14:textId="77777777" w:rsidR="00E57DAA" w:rsidRDefault="00AC4185">
            <w:pPr>
              <w:rPr>
                <w:rFonts w:cs="Cambria"/>
                <w:szCs w:val="21"/>
              </w:rPr>
            </w:pPr>
            <w:r>
              <w:t>受最终控制方控制的其他企业</w:t>
            </w:r>
          </w:p>
        </w:tc>
      </w:tr>
      <w:tr w:rsidR="00E57DAA" w14:paraId="2397E99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74907C" w14:textId="77777777" w:rsidR="00E57DAA" w:rsidRDefault="00AC4185">
            <w:pPr>
              <w:rPr>
                <w:rFonts w:cs="Cambria"/>
                <w:szCs w:val="21"/>
              </w:rPr>
            </w:pPr>
            <w:r>
              <w:t>阿鲁科尔沁旗山水水泥有限公司</w:t>
            </w:r>
          </w:p>
        </w:tc>
        <w:tc>
          <w:tcPr>
            <w:tcW w:w="1807" w:type="pct"/>
            <w:tcBorders>
              <w:top w:val="single" w:sz="4" w:space="0" w:color="auto"/>
              <w:left w:val="single" w:sz="4" w:space="0" w:color="auto"/>
              <w:bottom w:val="single" w:sz="4" w:space="0" w:color="auto"/>
              <w:right w:val="single" w:sz="4" w:space="0" w:color="auto"/>
            </w:tcBorders>
          </w:tcPr>
          <w:p w14:paraId="39D7B718" w14:textId="77777777" w:rsidR="00E57DAA" w:rsidRDefault="00AC4185">
            <w:pPr>
              <w:rPr>
                <w:rFonts w:cs="Cambria"/>
                <w:szCs w:val="21"/>
              </w:rPr>
            </w:pPr>
            <w:r>
              <w:t>其他关联方</w:t>
            </w:r>
          </w:p>
        </w:tc>
      </w:tr>
      <w:tr w:rsidR="00E57DAA" w14:paraId="0BCCFCA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E8FF7A" w14:textId="77777777" w:rsidR="00E57DAA" w:rsidRDefault="00AC4185">
            <w:pPr>
              <w:rPr>
                <w:rFonts w:cs="Cambria"/>
                <w:szCs w:val="21"/>
              </w:rPr>
            </w:pPr>
            <w:r>
              <w:t>敖汉旗山水水泥有限公司</w:t>
            </w:r>
          </w:p>
        </w:tc>
        <w:tc>
          <w:tcPr>
            <w:tcW w:w="1807" w:type="pct"/>
            <w:tcBorders>
              <w:top w:val="single" w:sz="4" w:space="0" w:color="auto"/>
              <w:left w:val="single" w:sz="4" w:space="0" w:color="auto"/>
              <w:bottom w:val="single" w:sz="4" w:space="0" w:color="auto"/>
              <w:right w:val="single" w:sz="4" w:space="0" w:color="auto"/>
            </w:tcBorders>
          </w:tcPr>
          <w:p w14:paraId="269DB8F3" w14:textId="77777777" w:rsidR="00E57DAA" w:rsidRDefault="00AC4185">
            <w:pPr>
              <w:rPr>
                <w:rFonts w:cs="Cambria"/>
                <w:szCs w:val="21"/>
              </w:rPr>
            </w:pPr>
            <w:r>
              <w:t>其他关联方</w:t>
            </w:r>
          </w:p>
        </w:tc>
      </w:tr>
      <w:tr w:rsidR="00E57DAA" w14:paraId="7AACA30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0532E3" w14:textId="77777777" w:rsidR="00E57DAA" w:rsidRDefault="00AC4185">
            <w:pPr>
              <w:rPr>
                <w:rFonts w:cs="Cambria"/>
                <w:szCs w:val="21"/>
              </w:rPr>
            </w:pPr>
            <w:r>
              <w:t>巴林右旗山水水泥有限公司</w:t>
            </w:r>
          </w:p>
        </w:tc>
        <w:tc>
          <w:tcPr>
            <w:tcW w:w="1807" w:type="pct"/>
            <w:tcBorders>
              <w:top w:val="single" w:sz="4" w:space="0" w:color="auto"/>
              <w:left w:val="single" w:sz="4" w:space="0" w:color="auto"/>
              <w:bottom w:val="single" w:sz="4" w:space="0" w:color="auto"/>
              <w:right w:val="single" w:sz="4" w:space="0" w:color="auto"/>
            </w:tcBorders>
          </w:tcPr>
          <w:p w14:paraId="2C7E0C5A" w14:textId="77777777" w:rsidR="00E57DAA" w:rsidRDefault="00AC4185">
            <w:pPr>
              <w:rPr>
                <w:rFonts w:cs="Cambria"/>
                <w:szCs w:val="21"/>
              </w:rPr>
            </w:pPr>
            <w:r>
              <w:t>其他关联方</w:t>
            </w:r>
          </w:p>
        </w:tc>
      </w:tr>
      <w:tr w:rsidR="00E57DAA" w14:paraId="0F40C62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BF6FE36" w14:textId="77777777" w:rsidR="00E57DAA" w:rsidRDefault="00AC4185">
            <w:pPr>
              <w:rPr>
                <w:rFonts w:cs="Cambria"/>
                <w:szCs w:val="21"/>
              </w:rPr>
            </w:pPr>
            <w:r>
              <w:t>北京中水协网信息咨询有限公司</w:t>
            </w:r>
          </w:p>
        </w:tc>
        <w:tc>
          <w:tcPr>
            <w:tcW w:w="1807" w:type="pct"/>
            <w:tcBorders>
              <w:top w:val="single" w:sz="4" w:space="0" w:color="auto"/>
              <w:left w:val="single" w:sz="4" w:space="0" w:color="auto"/>
              <w:bottom w:val="single" w:sz="4" w:space="0" w:color="auto"/>
              <w:right w:val="single" w:sz="4" w:space="0" w:color="auto"/>
            </w:tcBorders>
          </w:tcPr>
          <w:p w14:paraId="5D834025" w14:textId="77777777" w:rsidR="00E57DAA" w:rsidRDefault="00AC4185">
            <w:pPr>
              <w:rPr>
                <w:rFonts w:cs="Cambria"/>
                <w:szCs w:val="21"/>
              </w:rPr>
            </w:pPr>
            <w:r>
              <w:t>其他关联方</w:t>
            </w:r>
          </w:p>
        </w:tc>
      </w:tr>
      <w:tr w:rsidR="00E57DAA" w14:paraId="65C63F0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FF740E" w14:textId="77777777" w:rsidR="00E57DAA" w:rsidRDefault="00AC4185">
            <w:pPr>
              <w:rPr>
                <w:rFonts w:cs="Cambria"/>
                <w:szCs w:val="21"/>
              </w:rPr>
            </w:pPr>
            <w:r>
              <w:t>本溪山水实业有限公司</w:t>
            </w:r>
          </w:p>
        </w:tc>
        <w:tc>
          <w:tcPr>
            <w:tcW w:w="1807" w:type="pct"/>
            <w:tcBorders>
              <w:top w:val="single" w:sz="4" w:space="0" w:color="auto"/>
              <w:left w:val="single" w:sz="4" w:space="0" w:color="auto"/>
              <w:bottom w:val="single" w:sz="4" w:space="0" w:color="auto"/>
              <w:right w:val="single" w:sz="4" w:space="0" w:color="auto"/>
            </w:tcBorders>
          </w:tcPr>
          <w:p w14:paraId="5D141068" w14:textId="77777777" w:rsidR="00E57DAA" w:rsidRDefault="00AC4185">
            <w:pPr>
              <w:rPr>
                <w:rFonts w:cs="Cambria"/>
                <w:szCs w:val="21"/>
              </w:rPr>
            </w:pPr>
            <w:r>
              <w:t>其他关联方</w:t>
            </w:r>
          </w:p>
        </w:tc>
      </w:tr>
      <w:tr w:rsidR="00E57DAA" w14:paraId="7E6B301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6C8979" w14:textId="77777777" w:rsidR="00E57DAA" w:rsidRDefault="00AC4185">
            <w:pPr>
              <w:rPr>
                <w:rFonts w:cs="Cambria"/>
                <w:szCs w:val="21"/>
              </w:rPr>
            </w:pPr>
            <w:r>
              <w:t>枞阳东园环境投资建设有限公司</w:t>
            </w:r>
          </w:p>
        </w:tc>
        <w:tc>
          <w:tcPr>
            <w:tcW w:w="1807" w:type="pct"/>
            <w:tcBorders>
              <w:top w:val="single" w:sz="4" w:space="0" w:color="auto"/>
              <w:left w:val="single" w:sz="4" w:space="0" w:color="auto"/>
              <w:bottom w:val="single" w:sz="4" w:space="0" w:color="auto"/>
              <w:right w:val="single" w:sz="4" w:space="0" w:color="auto"/>
            </w:tcBorders>
          </w:tcPr>
          <w:p w14:paraId="3BE29497" w14:textId="77777777" w:rsidR="00E57DAA" w:rsidRDefault="00AC4185">
            <w:pPr>
              <w:rPr>
                <w:rFonts w:cs="Cambria"/>
                <w:szCs w:val="21"/>
              </w:rPr>
            </w:pPr>
            <w:r>
              <w:t>其他关联方</w:t>
            </w:r>
          </w:p>
        </w:tc>
      </w:tr>
      <w:tr w:rsidR="00E57DAA" w14:paraId="00EAB6E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208904" w14:textId="77777777" w:rsidR="00E57DAA" w:rsidRDefault="00AC4185">
            <w:pPr>
              <w:rPr>
                <w:rFonts w:cs="Cambria"/>
                <w:szCs w:val="21"/>
              </w:rPr>
            </w:pPr>
            <w:r>
              <w:t>大庆油田水泥有限责任公司</w:t>
            </w:r>
          </w:p>
        </w:tc>
        <w:tc>
          <w:tcPr>
            <w:tcW w:w="1807" w:type="pct"/>
            <w:tcBorders>
              <w:top w:val="single" w:sz="4" w:space="0" w:color="auto"/>
              <w:left w:val="single" w:sz="4" w:space="0" w:color="auto"/>
              <w:bottom w:val="single" w:sz="4" w:space="0" w:color="auto"/>
              <w:right w:val="single" w:sz="4" w:space="0" w:color="auto"/>
            </w:tcBorders>
          </w:tcPr>
          <w:p w14:paraId="0835542B" w14:textId="77777777" w:rsidR="00E57DAA" w:rsidRDefault="00AC4185">
            <w:pPr>
              <w:rPr>
                <w:rFonts w:cs="Cambria"/>
                <w:szCs w:val="21"/>
              </w:rPr>
            </w:pPr>
            <w:r>
              <w:t>其他关联方</w:t>
            </w:r>
          </w:p>
        </w:tc>
      </w:tr>
      <w:tr w:rsidR="00E57DAA" w14:paraId="1952C1D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776DDF5" w14:textId="77777777" w:rsidR="00E57DAA" w:rsidRDefault="00AC4185">
            <w:pPr>
              <w:rPr>
                <w:rFonts w:cs="Cambria"/>
                <w:szCs w:val="21"/>
              </w:rPr>
            </w:pPr>
            <w:r>
              <w:t>大冶尖峰水泥有限公司</w:t>
            </w:r>
          </w:p>
        </w:tc>
        <w:tc>
          <w:tcPr>
            <w:tcW w:w="1807" w:type="pct"/>
            <w:tcBorders>
              <w:top w:val="single" w:sz="4" w:space="0" w:color="auto"/>
              <w:left w:val="single" w:sz="4" w:space="0" w:color="auto"/>
              <w:bottom w:val="single" w:sz="4" w:space="0" w:color="auto"/>
              <w:right w:val="single" w:sz="4" w:space="0" w:color="auto"/>
            </w:tcBorders>
          </w:tcPr>
          <w:p w14:paraId="362DE263" w14:textId="77777777" w:rsidR="00E57DAA" w:rsidRDefault="00AC4185">
            <w:pPr>
              <w:rPr>
                <w:rFonts w:cs="Cambria"/>
                <w:szCs w:val="21"/>
              </w:rPr>
            </w:pPr>
            <w:r>
              <w:t>其他关联方</w:t>
            </w:r>
          </w:p>
        </w:tc>
      </w:tr>
      <w:tr w:rsidR="00E57DAA" w14:paraId="21A4E72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E40338" w14:textId="77777777" w:rsidR="00E57DAA" w:rsidRDefault="00AC4185">
            <w:pPr>
              <w:rPr>
                <w:rFonts w:cs="Cambria"/>
                <w:szCs w:val="21"/>
              </w:rPr>
            </w:pPr>
            <w:r>
              <w:t>都匀上峰西南水泥有限公司</w:t>
            </w:r>
          </w:p>
        </w:tc>
        <w:tc>
          <w:tcPr>
            <w:tcW w:w="1807" w:type="pct"/>
            <w:tcBorders>
              <w:top w:val="single" w:sz="4" w:space="0" w:color="auto"/>
              <w:left w:val="single" w:sz="4" w:space="0" w:color="auto"/>
              <w:bottom w:val="single" w:sz="4" w:space="0" w:color="auto"/>
              <w:right w:val="single" w:sz="4" w:space="0" w:color="auto"/>
            </w:tcBorders>
          </w:tcPr>
          <w:p w14:paraId="445C3D35" w14:textId="77777777" w:rsidR="00E57DAA" w:rsidRDefault="00AC4185">
            <w:pPr>
              <w:rPr>
                <w:rFonts w:cs="Cambria"/>
                <w:szCs w:val="21"/>
              </w:rPr>
            </w:pPr>
            <w:r>
              <w:t>其他关联方</w:t>
            </w:r>
          </w:p>
        </w:tc>
      </w:tr>
      <w:tr w:rsidR="00E57DAA" w14:paraId="724E8CF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43C4C3" w14:textId="77777777" w:rsidR="00E57DAA" w:rsidRDefault="00AC4185">
            <w:pPr>
              <w:rPr>
                <w:rFonts w:cs="Cambria"/>
                <w:szCs w:val="21"/>
              </w:rPr>
            </w:pPr>
            <w:r>
              <w:t>甘肃上峰水泥股份有限公司</w:t>
            </w:r>
          </w:p>
        </w:tc>
        <w:tc>
          <w:tcPr>
            <w:tcW w:w="1807" w:type="pct"/>
            <w:tcBorders>
              <w:top w:val="single" w:sz="4" w:space="0" w:color="auto"/>
              <w:left w:val="single" w:sz="4" w:space="0" w:color="auto"/>
              <w:bottom w:val="single" w:sz="4" w:space="0" w:color="auto"/>
              <w:right w:val="single" w:sz="4" w:space="0" w:color="auto"/>
            </w:tcBorders>
          </w:tcPr>
          <w:p w14:paraId="18E05CA3" w14:textId="77777777" w:rsidR="00E57DAA" w:rsidRDefault="00AC4185">
            <w:pPr>
              <w:rPr>
                <w:rFonts w:cs="Cambria"/>
                <w:szCs w:val="21"/>
              </w:rPr>
            </w:pPr>
            <w:r>
              <w:t>其他关联方</w:t>
            </w:r>
          </w:p>
        </w:tc>
      </w:tr>
      <w:tr w:rsidR="00E57DAA" w14:paraId="3EBA439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A83B374" w14:textId="77777777" w:rsidR="00E57DAA" w:rsidRDefault="00AC4185">
            <w:pPr>
              <w:rPr>
                <w:rFonts w:cs="Cambria"/>
                <w:szCs w:val="21"/>
              </w:rPr>
            </w:pPr>
            <w:r>
              <w:t>贵州黔桂金州建材有限公司</w:t>
            </w:r>
          </w:p>
        </w:tc>
        <w:tc>
          <w:tcPr>
            <w:tcW w:w="1807" w:type="pct"/>
            <w:tcBorders>
              <w:top w:val="single" w:sz="4" w:space="0" w:color="auto"/>
              <w:left w:val="single" w:sz="4" w:space="0" w:color="auto"/>
              <w:bottom w:val="single" w:sz="4" w:space="0" w:color="auto"/>
              <w:right w:val="single" w:sz="4" w:space="0" w:color="auto"/>
            </w:tcBorders>
          </w:tcPr>
          <w:p w14:paraId="3988588F" w14:textId="77777777" w:rsidR="00E57DAA" w:rsidRDefault="00AC4185">
            <w:pPr>
              <w:rPr>
                <w:rFonts w:cs="Cambria"/>
                <w:szCs w:val="21"/>
              </w:rPr>
            </w:pPr>
            <w:r>
              <w:t>其他关联方</w:t>
            </w:r>
          </w:p>
        </w:tc>
      </w:tr>
      <w:tr w:rsidR="00E57DAA" w14:paraId="455844E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C09376" w14:textId="77777777" w:rsidR="00E57DAA" w:rsidRDefault="00AC4185">
            <w:pPr>
              <w:rPr>
                <w:rFonts w:cs="Cambria"/>
                <w:szCs w:val="21"/>
              </w:rPr>
            </w:pPr>
            <w:r>
              <w:t>海控三鑫（蚌埠）新能源材料有限公司</w:t>
            </w:r>
          </w:p>
        </w:tc>
        <w:tc>
          <w:tcPr>
            <w:tcW w:w="1807" w:type="pct"/>
            <w:tcBorders>
              <w:top w:val="single" w:sz="4" w:space="0" w:color="auto"/>
              <w:left w:val="single" w:sz="4" w:space="0" w:color="auto"/>
              <w:bottom w:val="single" w:sz="4" w:space="0" w:color="auto"/>
              <w:right w:val="single" w:sz="4" w:space="0" w:color="auto"/>
            </w:tcBorders>
          </w:tcPr>
          <w:p w14:paraId="18E5DCE7" w14:textId="77777777" w:rsidR="00E57DAA" w:rsidRDefault="00AC4185">
            <w:pPr>
              <w:rPr>
                <w:rFonts w:cs="Cambria"/>
                <w:szCs w:val="21"/>
              </w:rPr>
            </w:pPr>
            <w:r>
              <w:t>其他关联方</w:t>
            </w:r>
          </w:p>
        </w:tc>
      </w:tr>
      <w:tr w:rsidR="00E57DAA" w14:paraId="40EBAAD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57906E" w14:textId="77777777" w:rsidR="00E57DAA" w:rsidRDefault="00AC4185">
            <w:pPr>
              <w:rPr>
                <w:rFonts w:cs="Cambria"/>
                <w:szCs w:val="21"/>
              </w:rPr>
            </w:pPr>
            <w:r>
              <w:t>辉县市山水水泥有限公司</w:t>
            </w:r>
          </w:p>
        </w:tc>
        <w:tc>
          <w:tcPr>
            <w:tcW w:w="1807" w:type="pct"/>
            <w:tcBorders>
              <w:top w:val="single" w:sz="4" w:space="0" w:color="auto"/>
              <w:left w:val="single" w:sz="4" w:space="0" w:color="auto"/>
              <w:bottom w:val="single" w:sz="4" w:space="0" w:color="auto"/>
              <w:right w:val="single" w:sz="4" w:space="0" w:color="auto"/>
            </w:tcBorders>
          </w:tcPr>
          <w:p w14:paraId="484CAF3E" w14:textId="77777777" w:rsidR="00E57DAA" w:rsidRDefault="00AC4185">
            <w:pPr>
              <w:rPr>
                <w:rFonts w:cs="Cambria"/>
                <w:szCs w:val="21"/>
              </w:rPr>
            </w:pPr>
            <w:r>
              <w:t>其他关联方</w:t>
            </w:r>
          </w:p>
        </w:tc>
      </w:tr>
      <w:tr w:rsidR="00E57DAA" w14:paraId="18E7268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C06320E" w14:textId="77777777" w:rsidR="00E57DAA" w:rsidRDefault="00AC4185">
            <w:pPr>
              <w:rPr>
                <w:rFonts w:cs="Cambria"/>
                <w:szCs w:val="21"/>
              </w:rPr>
            </w:pPr>
            <w:r>
              <w:t>济南山水物流港有限公司</w:t>
            </w:r>
          </w:p>
        </w:tc>
        <w:tc>
          <w:tcPr>
            <w:tcW w:w="1807" w:type="pct"/>
            <w:tcBorders>
              <w:top w:val="single" w:sz="4" w:space="0" w:color="auto"/>
              <w:left w:val="single" w:sz="4" w:space="0" w:color="auto"/>
              <w:bottom w:val="single" w:sz="4" w:space="0" w:color="auto"/>
              <w:right w:val="single" w:sz="4" w:space="0" w:color="auto"/>
            </w:tcBorders>
          </w:tcPr>
          <w:p w14:paraId="04BB1A28" w14:textId="77777777" w:rsidR="00E57DAA" w:rsidRDefault="00AC4185">
            <w:pPr>
              <w:rPr>
                <w:rFonts w:cs="Cambria"/>
                <w:szCs w:val="21"/>
              </w:rPr>
            </w:pPr>
            <w:r>
              <w:t>其他关联方</w:t>
            </w:r>
          </w:p>
        </w:tc>
      </w:tr>
      <w:tr w:rsidR="00E57DAA" w14:paraId="1C9B269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BEEE00" w14:textId="77777777" w:rsidR="00E57DAA" w:rsidRDefault="00AC4185">
            <w:pPr>
              <w:rPr>
                <w:rFonts w:cs="Cambria"/>
                <w:szCs w:val="21"/>
              </w:rPr>
            </w:pPr>
            <w:r>
              <w:t>济宁山水水泥有限公司</w:t>
            </w:r>
          </w:p>
        </w:tc>
        <w:tc>
          <w:tcPr>
            <w:tcW w:w="1807" w:type="pct"/>
            <w:tcBorders>
              <w:top w:val="single" w:sz="4" w:space="0" w:color="auto"/>
              <w:left w:val="single" w:sz="4" w:space="0" w:color="auto"/>
              <w:bottom w:val="single" w:sz="4" w:space="0" w:color="auto"/>
              <w:right w:val="single" w:sz="4" w:space="0" w:color="auto"/>
            </w:tcBorders>
          </w:tcPr>
          <w:p w14:paraId="15BD5CBB" w14:textId="77777777" w:rsidR="00E57DAA" w:rsidRDefault="00AC4185">
            <w:pPr>
              <w:rPr>
                <w:rFonts w:cs="Cambria"/>
                <w:szCs w:val="21"/>
              </w:rPr>
            </w:pPr>
            <w:r>
              <w:t>其他关联方</w:t>
            </w:r>
          </w:p>
        </w:tc>
      </w:tr>
      <w:tr w:rsidR="00E57DAA" w14:paraId="10BF01E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24FCC0" w14:textId="77777777" w:rsidR="00E57DAA" w:rsidRDefault="00AC4185">
            <w:pPr>
              <w:rPr>
                <w:rFonts w:cs="Cambria"/>
                <w:szCs w:val="21"/>
              </w:rPr>
            </w:pPr>
            <w:r>
              <w:t>江西乐平万年青水泥有限公司</w:t>
            </w:r>
          </w:p>
        </w:tc>
        <w:tc>
          <w:tcPr>
            <w:tcW w:w="1807" w:type="pct"/>
            <w:tcBorders>
              <w:top w:val="single" w:sz="4" w:space="0" w:color="auto"/>
              <w:left w:val="single" w:sz="4" w:space="0" w:color="auto"/>
              <w:bottom w:val="single" w:sz="4" w:space="0" w:color="auto"/>
              <w:right w:val="single" w:sz="4" w:space="0" w:color="auto"/>
            </w:tcBorders>
          </w:tcPr>
          <w:p w14:paraId="31010F91" w14:textId="77777777" w:rsidR="00E57DAA" w:rsidRDefault="00AC4185">
            <w:pPr>
              <w:rPr>
                <w:rFonts w:cs="Cambria"/>
                <w:szCs w:val="21"/>
              </w:rPr>
            </w:pPr>
            <w:r>
              <w:t>其他关联方</w:t>
            </w:r>
          </w:p>
        </w:tc>
      </w:tr>
      <w:tr w:rsidR="00E57DAA" w14:paraId="523801F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B88E54" w14:textId="77777777" w:rsidR="00E57DAA" w:rsidRDefault="00AC4185">
            <w:pPr>
              <w:rPr>
                <w:rFonts w:cs="Cambria"/>
                <w:szCs w:val="21"/>
              </w:rPr>
            </w:pPr>
            <w:r>
              <w:t>江西玉山万年青水泥有限公司</w:t>
            </w:r>
          </w:p>
        </w:tc>
        <w:tc>
          <w:tcPr>
            <w:tcW w:w="1807" w:type="pct"/>
            <w:tcBorders>
              <w:top w:val="single" w:sz="4" w:space="0" w:color="auto"/>
              <w:left w:val="single" w:sz="4" w:space="0" w:color="auto"/>
              <w:bottom w:val="single" w:sz="4" w:space="0" w:color="auto"/>
              <w:right w:val="single" w:sz="4" w:space="0" w:color="auto"/>
            </w:tcBorders>
          </w:tcPr>
          <w:p w14:paraId="6538E1B6" w14:textId="77777777" w:rsidR="00E57DAA" w:rsidRDefault="00AC4185">
            <w:pPr>
              <w:rPr>
                <w:rFonts w:cs="Cambria"/>
                <w:szCs w:val="21"/>
              </w:rPr>
            </w:pPr>
            <w:r>
              <w:t>其他关联方</w:t>
            </w:r>
          </w:p>
        </w:tc>
      </w:tr>
      <w:tr w:rsidR="00E57DAA" w14:paraId="0D15B88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B074CA" w14:textId="77777777" w:rsidR="00E57DAA" w:rsidRDefault="00AC4185">
            <w:pPr>
              <w:rPr>
                <w:rFonts w:cs="Cambria"/>
                <w:szCs w:val="21"/>
              </w:rPr>
            </w:pPr>
            <w:r>
              <w:t>晋城山水合聚水泥有限公司</w:t>
            </w:r>
          </w:p>
        </w:tc>
        <w:tc>
          <w:tcPr>
            <w:tcW w:w="1807" w:type="pct"/>
            <w:tcBorders>
              <w:top w:val="single" w:sz="4" w:space="0" w:color="auto"/>
              <w:left w:val="single" w:sz="4" w:space="0" w:color="auto"/>
              <w:bottom w:val="single" w:sz="4" w:space="0" w:color="auto"/>
              <w:right w:val="single" w:sz="4" w:space="0" w:color="auto"/>
            </w:tcBorders>
          </w:tcPr>
          <w:p w14:paraId="117D403A" w14:textId="77777777" w:rsidR="00E57DAA" w:rsidRDefault="00AC4185">
            <w:pPr>
              <w:rPr>
                <w:rFonts w:cs="Cambria"/>
                <w:szCs w:val="21"/>
              </w:rPr>
            </w:pPr>
            <w:r>
              <w:t>其他关联方</w:t>
            </w:r>
          </w:p>
        </w:tc>
      </w:tr>
      <w:tr w:rsidR="00E57DAA" w14:paraId="2022787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55DE01" w14:textId="77777777" w:rsidR="00E57DAA" w:rsidRDefault="00AC4185">
            <w:pPr>
              <w:rPr>
                <w:rFonts w:cs="Cambria"/>
                <w:szCs w:val="21"/>
              </w:rPr>
            </w:pPr>
            <w:r>
              <w:t>晋城山水水泥有限公司</w:t>
            </w:r>
          </w:p>
        </w:tc>
        <w:tc>
          <w:tcPr>
            <w:tcW w:w="1807" w:type="pct"/>
            <w:tcBorders>
              <w:top w:val="single" w:sz="4" w:space="0" w:color="auto"/>
              <w:left w:val="single" w:sz="4" w:space="0" w:color="auto"/>
              <w:bottom w:val="single" w:sz="4" w:space="0" w:color="auto"/>
              <w:right w:val="single" w:sz="4" w:space="0" w:color="auto"/>
            </w:tcBorders>
          </w:tcPr>
          <w:p w14:paraId="1A328B9B" w14:textId="77777777" w:rsidR="00E57DAA" w:rsidRDefault="00AC4185">
            <w:pPr>
              <w:rPr>
                <w:rFonts w:cs="Cambria"/>
                <w:szCs w:val="21"/>
              </w:rPr>
            </w:pPr>
            <w:r>
              <w:t>其他关联方</w:t>
            </w:r>
          </w:p>
        </w:tc>
      </w:tr>
      <w:tr w:rsidR="00E57DAA" w14:paraId="7402432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749884" w14:textId="77777777" w:rsidR="00E57DAA" w:rsidRDefault="00AC4185">
            <w:pPr>
              <w:rPr>
                <w:rFonts w:cs="Cambria"/>
                <w:szCs w:val="21"/>
              </w:rPr>
            </w:pPr>
            <w:r>
              <w:t>科右中旗山水水泥有限公司</w:t>
            </w:r>
          </w:p>
        </w:tc>
        <w:tc>
          <w:tcPr>
            <w:tcW w:w="1807" w:type="pct"/>
            <w:tcBorders>
              <w:top w:val="single" w:sz="4" w:space="0" w:color="auto"/>
              <w:left w:val="single" w:sz="4" w:space="0" w:color="auto"/>
              <w:bottom w:val="single" w:sz="4" w:space="0" w:color="auto"/>
              <w:right w:val="single" w:sz="4" w:space="0" w:color="auto"/>
            </w:tcBorders>
          </w:tcPr>
          <w:p w14:paraId="450BE2A2" w14:textId="77777777" w:rsidR="00E57DAA" w:rsidRDefault="00AC4185">
            <w:pPr>
              <w:rPr>
                <w:rFonts w:cs="Cambria"/>
                <w:szCs w:val="21"/>
              </w:rPr>
            </w:pPr>
            <w:r>
              <w:t>其他关联方</w:t>
            </w:r>
          </w:p>
        </w:tc>
      </w:tr>
      <w:tr w:rsidR="00E57DAA" w14:paraId="78A7EFD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D73B5D" w14:textId="77777777" w:rsidR="00E57DAA" w:rsidRDefault="00AC4185">
            <w:pPr>
              <w:rPr>
                <w:rFonts w:cs="Cambria"/>
                <w:szCs w:val="21"/>
              </w:rPr>
            </w:pPr>
            <w:r>
              <w:t>拉萨城投祁连山水泥有限公司</w:t>
            </w:r>
          </w:p>
        </w:tc>
        <w:tc>
          <w:tcPr>
            <w:tcW w:w="1807" w:type="pct"/>
            <w:tcBorders>
              <w:top w:val="single" w:sz="4" w:space="0" w:color="auto"/>
              <w:left w:val="single" w:sz="4" w:space="0" w:color="auto"/>
              <w:bottom w:val="single" w:sz="4" w:space="0" w:color="auto"/>
              <w:right w:val="single" w:sz="4" w:space="0" w:color="auto"/>
            </w:tcBorders>
          </w:tcPr>
          <w:p w14:paraId="7D0D0C90" w14:textId="77777777" w:rsidR="00E57DAA" w:rsidRDefault="00AC4185">
            <w:pPr>
              <w:rPr>
                <w:rFonts w:cs="Cambria"/>
                <w:szCs w:val="21"/>
              </w:rPr>
            </w:pPr>
            <w:r>
              <w:t>其他关联方</w:t>
            </w:r>
          </w:p>
        </w:tc>
      </w:tr>
      <w:tr w:rsidR="00E57DAA" w14:paraId="1108F00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DA8EAF0" w14:textId="77777777" w:rsidR="00E57DAA" w:rsidRDefault="00AC4185">
            <w:pPr>
              <w:rPr>
                <w:rFonts w:cs="Cambria"/>
                <w:szCs w:val="21"/>
              </w:rPr>
            </w:pPr>
            <w:r>
              <w:lastRenderedPageBreak/>
              <w:t>连云港板桥中联水泥有限公司</w:t>
            </w:r>
          </w:p>
        </w:tc>
        <w:tc>
          <w:tcPr>
            <w:tcW w:w="1807" w:type="pct"/>
            <w:tcBorders>
              <w:top w:val="single" w:sz="4" w:space="0" w:color="auto"/>
              <w:left w:val="single" w:sz="4" w:space="0" w:color="auto"/>
              <w:bottom w:val="single" w:sz="4" w:space="0" w:color="auto"/>
              <w:right w:val="single" w:sz="4" w:space="0" w:color="auto"/>
            </w:tcBorders>
          </w:tcPr>
          <w:p w14:paraId="3449DF51" w14:textId="77777777" w:rsidR="00E57DAA" w:rsidRDefault="00AC4185">
            <w:pPr>
              <w:rPr>
                <w:rFonts w:cs="Cambria"/>
                <w:szCs w:val="21"/>
              </w:rPr>
            </w:pPr>
            <w:r>
              <w:t>其他关联方</w:t>
            </w:r>
          </w:p>
        </w:tc>
      </w:tr>
      <w:tr w:rsidR="00E57DAA" w14:paraId="4FEB60E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EC3E71" w14:textId="77777777" w:rsidR="00E57DAA" w:rsidRDefault="00AC4185">
            <w:pPr>
              <w:rPr>
                <w:rFonts w:cs="Cambria"/>
                <w:szCs w:val="21"/>
              </w:rPr>
            </w:pPr>
            <w:r>
              <w:t>辽宁山水工源水泥有限公司</w:t>
            </w:r>
          </w:p>
        </w:tc>
        <w:tc>
          <w:tcPr>
            <w:tcW w:w="1807" w:type="pct"/>
            <w:tcBorders>
              <w:top w:val="single" w:sz="4" w:space="0" w:color="auto"/>
              <w:left w:val="single" w:sz="4" w:space="0" w:color="auto"/>
              <w:bottom w:val="single" w:sz="4" w:space="0" w:color="auto"/>
              <w:right w:val="single" w:sz="4" w:space="0" w:color="auto"/>
            </w:tcBorders>
          </w:tcPr>
          <w:p w14:paraId="682433FD" w14:textId="77777777" w:rsidR="00E57DAA" w:rsidRDefault="00AC4185">
            <w:pPr>
              <w:rPr>
                <w:rFonts w:cs="Cambria"/>
                <w:szCs w:val="21"/>
              </w:rPr>
            </w:pPr>
            <w:r>
              <w:t>其他关联方</w:t>
            </w:r>
          </w:p>
        </w:tc>
      </w:tr>
      <w:tr w:rsidR="00E57DAA" w14:paraId="24A86D5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F25325" w14:textId="77777777" w:rsidR="00E57DAA" w:rsidRDefault="00AC4185">
            <w:pPr>
              <w:rPr>
                <w:rFonts w:cs="Cambria"/>
                <w:szCs w:val="21"/>
              </w:rPr>
            </w:pPr>
            <w:r>
              <w:t>辽阳千山水泥有限责任公司</w:t>
            </w:r>
          </w:p>
        </w:tc>
        <w:tc>
          <w:tcPr>
            <w:tcW w:w="1807" w:type="pct"/>
            <w:tcBorders>
              <w:top w:val="single" w:sz="4" w:space="0" w:color="auto"/>
              <w:left w:val="single" w:sz="4" w:space="0" w:color="auto"/>
              <w:bottom w:val="single" w:sz="4" w:space="0" w:color="auto"/>
              <w:right w:val="single" w:sz="4" w:space="0" w:color="auto"/>
            </w:tcBorders>
          </w:tcPr>
          <w:p w14:paraId="526C6D42" w14:textId="77777777" w:rsidR="00E57DAA" w:rsidRDefault="00AC4185">
            <w:pPr>
              <w:rPr>
                <w:rFonts w:cs="Cambria"/>
                <w:szCs w:val="21"/>
              </w:rPr>
            </w:pPr>
            <w:r>
              <w:t>其他关联方</w:t>
            </w:r>
          </w:p>
        </w:tc>
      </w:tr>
      <w:tr w:rsidR="00E57DAA" w14:paraId="4C4782D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789AAB" w14:textId="77777777" w:rsidR="00E57DAA" w:rsidRDefault="00AC4185">
            <w:pPr>
              <w:rPr>
                <w:rFonts w:cs="Cambria"/>
                <w:szCs w:val="21"/>
              </w:rPr>
            </w:pPr>
            <w:r>
              <w:t>平阴山水建筑材料有限公司</w:t>
            </w:r>
          </w:p>
        </w:tc>
        <w:tc>
          <w:tcPr>
            <w:tcW w:w="1807" w:type="pct"/>
            <w:tcBorders>
              <w:top w:val="single" w:sz="4" w:space="0" w:color="auto"/>
              <w:left w:val="single" w:sz="4" w:space="0" w:color="auto"/>
              <w:bottom w:val="single" w:sz="4" w:space="0" w:color="auto"/>
              <w:right w:val="single" w:sz="4" w:space="0" w:color="auto"/>
            </w:tcBorders>
          </w:tcPr>
          <w:p w14:paraId="69D2850F" w14:textId="77777777" w:rsidR="00E57DAA" w:rsidRDefault="00AC4185">
            <w:pPr>
              <w:rPr>
                <w:rFonts w:cs="Cambria"/>
                <w:szCs w:val="21"/>
              </w:rPr>
            </w:pPr>
            <w:r>
              <w:t>其他关联方</w:t>
            </w:r>
          </w:p>
        </w:tc>
      </w:tr>
      <w:tr w:rsidR="00E57DAA" w14:paraId="6B60E1A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E744022" w14:textId="77777777" w:rsidR="00E57DAA" w:rsidRDefault="00AC4185">
            <w:pPr>
              <w:rPr>
                <w:rFonts w:cs="Cambria"/>
                <w:szCs w:val="21"/>
              </w:rPr>
            </w:pPr>
            <w:r>
              <w:t>山东国材工程有限公司</w:t>
            </w:r>
          </w:p>
        </w:tc>
        <w:tc>
          <w:tcPr>
            <w:tcW w:w="1807" w:type="pct"/>
            <w:tcBorders>
              <w:top w:val="single" w:sz="4" w:space="0" w:color="auto"/>
              <w:left w:val="single" w:sz="4" w:space="0" w:color="auto"/>
              <w:bottom w:val="single" w:sz="4" w:space="0" w:color="auto"/>
              <w:right w:val="single" w:sz="4" w:space="0" w:color="auto"/>
            </w:tcBorders>
          </w:tcPr>
          <w:p w14:paraId="7CCD4F1C" w14:textId="77777777" w:rsidR="00E57DAA" w:rsidRDefault="00AC4185">
            <w:pPr>
              <w:rPr>
                <w:rFonts w:cs="Cambria"/>
                <w:szCs w:val="21"/>
              </w:rPr>
            </w:pPr>
            <w:r>
              <w:t>其他关联方</w:t>
            </w:r>
          </w:p>
        </w:tc>
      </w:tr>
      <w:tr w:rsidR="00E57DAA" w14:paraId="79C6562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BCAC16" w14:textId="77777777" w:rsidR="00E57DAA" w:rsidRDefault="00AC4185">
            <w:pPr>
              <w:rPr>
                <w:rFonts w:cs="Cambria"/>
                <w:szCs w:val="21"/>
              </w:rPr>
            </w:pPr>
            <w:r>
              <w:t>山东泉兴水泥有限公司</w:t>
            </w:r>
          </w:p>
        </w:tc>
        <w:tc>
          <w:tcPr>
            <w:tcW w:w="1807" w:type="pct"/>
            <w:tcBorders>
              <w:top w:val="single" w:sz="4" w:space="0" w:color="auto"/>
              <w:left w:val="single" w:sz="4" w:space="0" w:color="auto"/>
              <w:bottom w:val="single" w:sz="4" w:space="0" w:color="auto"/>
              <w:right w:val="single" w:sz="4" w:space="0" w:color="auto"/>
            </w:tcBorders>
          </w:tcPr>
          <w:p w14:paraId="2722B6AA" w14:textId="77777777" w:rsidR="00E57DAA" w:rsidRDefault="00AC4185">
            <w:pPr>
              <w:rPr>
                <w:rFonts w:cs="Cambria"/>
                <w:szCs w:val="21"/>
              </w:rPr>
            </w:pPr>
            <w:r>
              <w:t>其他关联方</w:t>
            </w:r>
          </w:p>
        </w:tc>
      </w:tr>
      <w:tr w:rsidR="00E57DAA" w14:paraId="55CD516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E4BB96" w14:textId="77777777" w:rsidR="00E57DAA" w:rsidRDefault="00AC4185">
            <w:pPr>
              <w:rPr>
                <w:rFonts w:cs="Cambria"/>
                <w:szCs w:val="21"/>
              </w:rPr>
            </w:pPr>
            <w:r>
              <w:t>山东山水水泥集团有限公司</w:t>
            </w:r>
          </w:p>
        </w:tc>
        <w:tc>
          <w:tcPr>
            <w:tcW w:w="1807" w:type="pct"/>
            <w:tcBorders>
              <w:top w:val="single" w:sz="4" w:space="0" w:color="auto"/>
              <w:left w:val="single" w:sz="4" w:space="0" w:color="auto"/>
              <w:bottom w:val="single" w:sz="4" w:space="0" w:color="auto"/>
              <w:right w:val="single" w:sz="4" w:space="0" w:color="auto"/>
            </w:tcBorders>
          </w:tcPr>
          <w:p w14:paraId="09FD4F06" w14:textId="77777777" w:rsidR="00E57DAA" w:rsidRDefault="00AC4185">
            <w:pPr>
              <w:rPr>
                <w:rFonts w:cs="Cambria"/>
                <w:szCs w:val="21"/>
              </w:rPr>
            </w:pPr>
            <w:r>
              <w:t>其他关联方</w:t>
            </w:r>
          </w:p>
        </w:tc>
      </w:tr>
      <w:tr w:rsidR="00E57DAA" w14:paraId="4552B7A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B7B28E" w14:textId="77777777" w:rsidR="00E57DAA" w:rsidRDefault="00AC4185">
            <w:pPr>
              <w:rPr>
                <w:rFonts w:cs="Cambria"/>
                <w:szCs w:val="21"/>
              </w:rPr>
            </w:pPr>
            <w:r>
              <w:t>山东山水重工有限公司</w:t>
            </w:r>
          </w:p>
        </w:tc>
        <w:tc>
          <w:tcPr>
            <w:tcW w:w="1807" w:type="pct"/>
            <w:tcBorders>
              <w:top w:val="single" w:sz="4" w:space="0" w:color="auto"/>
              <w:left w:val="single" w:sz="4" w:space="0" w:color="auto"/>
              <w:bottom w:val="single" w:sz="4" w:space="0" w:color="auto"/>
              <w:right w:val="single" w:sz="4" w:space="0" w:color="auto"/>
            </w:tcBorders>
          </w:tcPr>
          <w:p w14:paraId="6249D3E4" w14:textId="77777777" w:rsidR="00E57DAA" w:rsidRDefault="00AC4185">
            <w:pPr>
              <w:rPr>
                <w:rFonts w:cs="Cambria"/>
                <w:szCs w:val="21"/>
              </w:rPr>
            </w:pPr>
            <w:r>
              <w:t>其他关联方</w:t>
            </w:r>
          </w:p>
        </w:tc>
      </w:tr>
      <w:tr w:rsidR="00E57DAA" w14:paraId="588B4E6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5C7C1B" w14:textId="77777777" w:rsidR="00E57DAA" w:rsidRDefault="00AC4185">
            <w:pPr>
              <w:rPr>
                <w:rFonts w:cs="Cambria"/>
                <w:szCs w:val="21"/>
              </w:rPr>
            </w:pPr>
            <w:r>
              <w:t>山东优科尚品节能科技有限公司</w:t>
            </w:r>
          </w:p>
        </w:tc>
        <w:tc>
          <w:tcPr>
            <w:tcW w:w="1807" w:type="pct"/>
            <w:tcBorders>
              <w:top w:val="single" w:sz="4" w:space="0" w:color="auto"/>
              <w:left w:val="single" w:sz="4" w:space="0" w:color="auto"/>
              <w:bottom w:val="single" w:sz="4" w:space="0" w:color="auto"/>
              <w:right w:val="single" w:sz="4" w:space="0" w:color="auto"/>
            </w:tcBorders>
          </w:tcPr>
          <w:p w14:paraId="2411C3A5" w14:textId="77777777" w:rsidR="00E57DAA" w:rsidRDefault="00AC4185">
            <w:pPr>
              <w:rPr>
                <w:rFonts w:cs="Cambria"/>
                <w:szCs w:val="21"/>
              </w:rPr>
            </w:pPr>
            <w:r>
              <w:t>其他关联方</w:t>
            </w:r>
          </w:p>
        </w:tc>
      </w:tr>
      <w:tr w:rsidR="00E57DAA" w14:paraId="7D2FD4C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34ADD57" w14:textId="77777777" w:rsidR="00E57DAA" w:rsidRDefault="00AC4185">
            <w:pPr>
              <w:rPr>
                <w:rFonts w:cs="Cambria"/>
                <w:szCs w:val="21"/>
              </w:rPr>
            </w:pPr>
            <w:r>
              <w:t>四川省星船城水泥股份有限公司</w:t>
            </w:r>
          </w:p>
        </w:tc>
        <w:tc>
          <w:tcPr>
            <w:tcW w:w="1807" w:type="pct"/>
            <w:tcBorders>
              <w:top w:val="single" w:sz="4" w:space="0" w:color="auto"/>
              <w:left w:val="single" w:sz="4" w:space="0" w:color="auto"/>
              <w:bottom w:val="single" w:sz="4" w:space="0" w:color="auto"/>
              <w:right w:val="single" w:sz="4" w:space="0" w:color="auto"/>
            </w:tcBorders>
          </w:tcPr>
          <w:p w14:paraId="1A1A4759" w14:textId="77777777" w:rsidR="00E57DAA" w:rsidRDefault="00AC4185">
            <w:pPr>
              <w:rPr>
                <w:rFonts w:cs="Cambria"/>
                <w:szCs w:val="21"/>
              </w:rPr>
            </w:pPr>
            <w:r>
              <w:t>其他关联方</w:t>
            </w:r>
          </w:p>
        </w:tc>
      </w:tr>
      <w:tr w:rsidR="00E57DAA" w14:paraId="4100DB6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03DADF" w14:textId="77777777" w:rsidR="00E57DAA" w:rsidRDefault="00AC4185">
            <w:pPr>
              <w:rPr>
                <w:rFonts w:cs="Cambria"/>
                <w:szCs w:val="21"/>
              </w:rPr>
            </w:pPr>
            <w:r>
              <w:t>太原山水水泥有限公司</w:t>
            </w:r>
          </w:p>
        </w:tc>
        <w:tc>
          <w:tcPr>
            <w:tcW w:w="1807" w:type="pct"/>
            <w:tcBorders>
              <w:top w:val="single" w:sz="4" w:space="0" w:color="auto"/>
              <w:left w:val="single" w:sz="4" w:space="0" w:color="auto"/>
              <w:bottom w:val="single" w:sz="4" w:space="0" w:color="auto"/>
              <w:right w:val="single" w:sz="4" w:space="0" w:color="auto"/>
            </w:tcBorders>
          </w:tcPr>
          <w:p w14:paraId="41F0768D" w14:textId="77777777" w:rsidR="00E57DAA" w:rsidRDefault="00AC4185">
            <w:pPr>
              <w:rPr>
                <w:rFonts w:cs="Cambria"/>
                <w:szCs w:val="21"/>
              </w:rPr>
            </w:pPr>
            <w:r>
              <w:t>其他关联方</w:t>
            </w:r>
          </w:p>
        </w:tc>
      </w:tr>
      <w:tr w:rsidR="00E57DAA" w14:paraId="5333AF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ED2879" w14:textId="77777777" w:rsidR="00E57DAA" w:rsidRDefault="00AC4185">
            <w:pPr>
              <w:rPr>
                <w:rFonts w:cs="Cambria"/>
                <w:szCs w:val="21"/>
              </w:rPr>
            </w:pPr>
            <w:r>
              <w:t>通辽山水工源水泥有限公司</w:t>
            </w:r>
          </w:p>
        </w:tc>
        <w:tc>
          <w:tcPr>
            <w:tcW w:w="1807" w:type="pct"/>
            <w:tcBorders>
              <w:top w:val="single" w:sz="4" w:space="0" w:color="auto"/>
              <w:left w:val="single" w:sz="4" w:space="0" w:color="auto"/>
              <w:bottom w:val="single" w:sz="4" w:space="0" w:color="auto"/>
              <w:right w:val="single" w:sz="4" w:space="0" w:color="auto"/>
            </w:tcBorders>
          </w:tcPr>
          <w:p w14:paraId="1D369D0D" w14:textId="77777777" w:rsidR="00E57DAA" w:rsidRDefault="00AC4185">
            <w:pPr>
              <w:rPr>
                <w:rFonts w:cs="Cambria"/>
                <w:szCs w:val="21"/>
              </w:rPr>
            </w:pPr>
            <w:r>
              <w:t>其他关联方</w:t>
            </w:r>
          </w:p>
        </w:tc>
      </w:tr>
      <w:tr w:rsidR="00E57DAA" w14:paraId="22187F9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D50934" w14:textId="77777777" w:rsidR="00E57DAA" w:rsidRDefault="00AC4185">
            <w:pPr>
              <w:rPr>
                <w:rFonts w:cs="Cambria"/>
                <w:szCs w:val="21"/>
              </w:rPr>
            </w:pPr>
            <w:r>
              <w:t>微山山水水泥有限公司</w:t>
            </w:r>
          </w:p>
        </w:tc>
        <w:tc>
          <w:tcPr>
            <w:tcW w:w="1807" w:type="pct"/>
            <w:tcBorders>
              <w:top w:val="single" w:sz="4" w:space="0" w:color="auto"/>
              <w:left w:val="single" w:sz="4" w:space="0" w:color="auto"/>
              <w:bottom w:val="single" w:sz="4" w:space="0" w:color="auto"/>
              <w:right w:val="single" w:sz="4" w:space="0" w:color="auto"/>
            </w:tcBorders>
          </w:tcPr>
          <w:p w14:paraId="07CEC2EC" w14:textId="77777777" w:rsidR="00E57DAA" w:rsidRDefault="00AC4185">
            <w:pPr>
              <w:rPr>
                <w:rFonts w:cs="Cambria"/>
                <w:szCs w:val="21"/>
              </w:rPr>
            </w:pPr>
            <w:r>
              <w:t>其他关联方</w:t>
            </w:r>
          </w:p>
        </w:tc>
      </w:tr>
      <w:tr w:rsidR="00E57DAA" w14:paraId="12F0127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E3E7D7" w14:textId="77777777" w:rsidR="00E57DAA" w:rsidRDefault="00AC4185">
            <w:pPr>
              <w:rPr>
                <w:rFonts w:cs="Cambria"/>
                <w:szCs w:val="21"/>
              </w:rPr>
            </w:pPr>
            <w:r>
              <w:t>乌兰浩特山水水泥有限公司</w:t>
            </w:r>
          </w:p>
        </w:tc>
        <w:tc>
          <w:tcPr>
            <w:tcW w:w="1807" w:type="pct"/>
            <w:tcBorders>
              <w:top w:val="single" w:sz="4" w:space="0" w:color="auto"/>
              <w:left w:val="single" w:sz="4" w:space="0" w:color="auto"/>
              <w:bottom w:val="single" w:sz="4" w:space="0" w:color="auto"/>
              <w:right w:val="single" w:sz="4" w:space="0" w:color="auto"/>
            </w:tcBorders>
          </w:tcPr>
          <w:p w14:paraId="6241D75E" w14:textId="77777777" w:rsidR="00E57DAA" w:rsidRDefault="00AC4185">
            <w:pPr>
              <w:rPr>
                <w:rFonts w:cs="Cambria"/>
                <w:szCs w:val="21"/>
              </w:rPr>
            </w:pPr>
            <w:r>
              <w:t>其他关联方</w:t>
            </w:r>
          </w:p>
        </w:tc>
      </w:tr>
      <w:tr w:rsidR="00E57DAA" w14:paraId="67467BA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0060C1" w14:textId="77777777" w:rsidR="00E57DAA" w:rsidRDefault="00AC4185">
            <w:pPr>
              <w:rPr>
                <w:rFonts w:cs="Cambria"/>
                <w:szCs w:val="21"/>
              </w:rPr>
            </w:pPr>
            <w:r>
              <w:t>武乡山水水泥有限公司</w:t>
            </w:r>
          </w:p>
        </w:tc>
        <w:tc>
          <w:tcPr>
            <w:tcW w:w="1807" w:type="pct"/>
            <w:tcBorders>
              <w:top w:val="single" w:sz="4" w:space="0" w:color="auto"/>
              <w:left w:val="single" w:sz="4" w:space="0" w:color="auto"/>
              <w:bottom w:val="single" w:sz="4" w:space="0" w:color="auto"/>
              <w:right w:val="single" w:sz="4" w:space="0" w:color="auto"/>
            </w:tcBorders>
          </w:tcPr>
          <w:p w14:paraId="6C8C8E93" w14:textId="77777777" w:rsidR="00E57DAA" w:rsidRDefault="00AC4185">
            <w:pPr>
              <w:rPr>
                <w:rFonts w:cs="Cambria"/>
                <w:szCs w:val="21"/>
              </w:rPr>
            </w:pPr>
            <w:r>
              <w:t>其他关联方</w:t>
            </w:r>
          </w:p>
        </w:tc>
      </w:tr>
      <w:tr w:rsidR="00E57DAA" w14:paraId="36F34F8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02EFB8" w14:textId="77777777" w:rsidR="00E57DAA" w:rsidRDefault="00AC4185">
            <w:pPr>
              <w:rPr>
                <w:rFonts w:cs="Cambria"/>
                <w:szCs w:val="21"/>
              </w:rPr>
            </w:pPr>
            <w:r>
              <w:t>烟台山水水泥有限公司</w:t>
            </w:r>
          </w:p>
        </w:tc>
        <w:tc>
          <w:tcPr>
            <w:tcW w:w="1807" w:type="pct"/>
            <w:tcBorders>
              <w:top w:val="single" w:sz="4" w:space="0" w:color="auto"/>
              <w:left w:val="single" w:sz="4" w:space="0" w:color="auto"/>
              <w:bottom w:val="single" w:sz="4" w:space="0" w:color="auto"/>
              <w:right w:val="single" w:sz="4" w:space="0" w:color="auto"/>
            </w:tcBorders>
          </w:tcPr>
          <w:p w14:paraId="09B319D9" w14:textId="77777777" w:rsidR="00E57DAA" w:rsidRDefault="00AC4185">
            <w:pPr>
              <w:rPr>
                <w:rFonts w:cs="Cambria"/>
                <w:szCs w:val="21"/>
              </w:rPr>
            </w:pPr>
            <w:r>
              <w:t>其他关联方</w:t>
            </w:r>
          </w:p>
        </w:tc>
      </w:tr>
      <w:tr w:rsidR="00E57DAA" w14:paraId="4C61DC3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3FDD7E" w14:textId="77777777" w:rsidR="00E57DAA" w:rsidRDefault="00AC4185">
            <w:pPr>
              <w:rPr>
                <w:rFonts w:cs="Cambria"/>
                <w:szCs w:val="21"/>
              </w:rPr>
            </w:pPr>
            <w:r>
              <w:t>烟台兴昊山水水泥有限公司</w:t>
            </w:r>
          </w:p>
        </w:tc>
        <w:tc>
          <w:tcPr>
            <w:tcW w:w="1807" w:type="pct"/>
            <w:tcBorders>
              <w:top w:val="single" w:sz="4" w:space="0" w:color="auto"/>
              <w:left w:val="single" w:sz="4" w:space="0" w:color="auto"/>
              <w:bottom w:val="single" w:sz="4" w:space="0" w:color="auto"/>
              <w:right w:val="single" w:sz="4" w:space="0" w:color="auto"/>
            </w:tcBorders>
          </w:tcPr>
          <w:p w14:paraId="4020FB9F" w14:textId="77777777" w:rsidR="00E57DAA" w:rsidRDefault="00AC4185">
            <w:pPr>
              <w:rPr>
                <w:rFonts w:cs="Cambria"/>
                <w:szCs w:val="21"/>
              </w:rPr>
            </w:pPr>
            <w:r>
              <w:t>其他关联方</w:t>
            </w:r>
          </w:p>
        </w:tc>
      </w:tr>
      <w:tr w:rsidR="00E57DAA" w14:paraId="42DF499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4A7243" w14:textId="77777777" w:rsidR="00E57DAA" w:rsidRDefault="00AC4185">
            <w:pPr>
              <w:rPr>
                <w:rFonts w:cs="Cambria"/>
                <w:szCs w:val="21"/>
              </w:rPr>
            </w:pPr>
            <w:r>
              <w:t>英吉沙山水水泥有限公司</w:t>
            </w:r>
          </w:p>
        </w:tc>
        <w:tc>
          <w:tcPr>
            <w:tcW w:w="1807" w:type="pct"/>
            <w:tcBorders>
              <w:top w:val="single" w:sz="4" w:space="0" w:color="auto"/>
              <w:left w:val="single" w:sz="4" w:space="0" w:color="auto"/>
              <w:bottom w:val="single" w:sz="4" w:space="0" w:color="auto"/>
              <w:right w:val="single" w:sz="4" w:space="0" w:color="auto"/>
            </w:tcBorders>
          </w:tcPr>
          <w:p w14:paraId="000E6257" w14:textId="77777777" w:rsidR="00E57DAA" w:rsidRDefault="00AC4185">
            <w:pPr>
              <w:rPr>
                <w:rFonts w:cs="Cambria"/>
                <w:szCs w:val="21"/>
              </w:rPr>
            </w:pPr>
            <w:r>
              <w:t>其他关联方</w:t>
            </w:r>
          </w:p>
        </w:tc>
      </w:tr>
      <w:tr w:rsidR="00E57DAA" w14:paraId="13441AF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172996" w14:textId="77777777" w:rsidR="00E57DAA" w:rsidRDefault="00AC4185">
            <w:pPr>
              <w:rPr>
                <w:rFonts w:cs="Cambria"/>
                <w:szCs w:val="21"/>
              </w:rPr>
            </w:pPr>
            <w:r>
              <w:t>玉屏海创环境科技有限责任公司</w:t>
            </w:r>
          </w:p>
        </w:tc>
        <w:tc>
          <w:tcPr>
            <w:tcW w:w="1807" w:type="pct"/>
            <w:tcBorders>
              <w:top w:val="single" w:sz="4" w:space="0" w:color="auto"/>
              <w:left w:val="single" w:sz="4" w:space="0" w:color="auto"/>
              <w:bottom w:val="single" w:sz="4" w:space="0" w:color="auto"/>
              <w:right w:val="single" w:sz="4" w:space="0" w:color="auto"/>
            </w:tcBorders>
          </w:tcPr>
          <w:p w14:paraId="12A306AF" w14:textId="77777777" w:rsidR="00E57DAA" w:rsidRDefault="00AC4185">
            <w:pPr>
              <w:rPr>
                <w:rFonts w:cs="Cambria"/>
                <w:szCs w:val="21"/>
              </w:rPr>
            </w:pPr>
            <w:r>
              <w:t>其他关联方</w:t>
            </w:r>
          </w:p>
        </w:tc>
      </w:tr>
      <w:tr w:rsidR="00E57DAA" w14:paraId="500E9A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CBB386" w14:textId="77777777" w:rsidR="00E57DAA" w:rsidRDefault="00AC4185">
            <w:pPr>
              <w:rPr>
                <w:rFonts w:cs="Cambria"/>
                <w:szCs w:val="21"/>
              </w:rPr>
            </w:pPr>
            <w:r>
              <w:t>枣庄创新山水水泥有限公司</w:t>
            </w:r>
          </w:p>
        </w:tc>
        <w:tc>
          <w:tcPr>
            <w:tcW w:w="1807" w:type="pct"/>
            <w:tcBorders>
              <w:top w:val="single" w:sz="4" w:space="0" w:color="auto"/>
              <w:left w:val="single" w:sz="4" w:space="0" w:color="auto"/>
              <w:bottom w:val="single" w:sz="4" w:space="0" w:color="auto"/>
              <w:right w:val="single" w:sz="4" w:space="0" w:color="auto"/>
            </w:tcBorders>
          </w:tcPr>
          <w:p w14:paraId="3FB2F931" w14:textId="77777777" w:rsidR="00E57DAA" w:rsidRDefault="00AC4185">
            <w:pPr>
              <w:rPr>
                <w:rFonts w:cs="Cambria"/>
                <w:szCs w:val="21"/>
              </w:rPr>
            </w:pPr>
            <w:r>
              <w:t>其他关联方</w:t>
            </w:r>
          </w:p>
        </w:tc>
      </w:tr>
      <w:tr w:rsidR="00E57DAA" w14:paraId="52207C5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4FC7F1" w14:textId="77777777" w:rsidR="00E57DAA" w:rsidRDefault="00AC4185">
            <w:pPr>
              <w:rPr>
                <w:rFonts w:cs="Cambria"/>
                <w:szCs w:val="21"/>
              </w:rPr>
            </w:pPr>
            <w:r>
              <w:t>枣庄山水水泥有限公司</w:t>
            </w:r>
          </w:p>
        </w:tc>
        <w:tc>
          <w:tcPr>
            <w:tcW w:w="1807" w:type="pct"/>
            <w:tcBorders>
              <w:top w:val="single" w:sz="4" w:space="0" w:color="auto"/>
              <w:left w:val="single" w:sz="4" w:space="0" w:color="auto"/>
              <w:bottom w:val="single" w:sz="4" w:space="0" w:color="auto"/>
              <w:right w:val="single" w:sz="4" w:space="0" w:color="auto"/>
            </w:tcBorders>
          </w:tcPr>
          <w:p w14:paraId="1EB64923" w14:textId="77777777" w:rsidR="00E57DAA" w:rsidRDefault="00AC4185">
            <w:pPr>
              <w:rPr>
                <w:rFonts w:cs="Cambria"/>
                <w:szCs w:val="21"/>
              </w:rPr>
            </w:pPr>
            <w:r>
              <w:t>其他关联方</w:t>
            </w:r>
          </w:p>
        </w:tc>
      </w:tr>
      <w:tr w:rsidR="00E57DAA" w14:paraId="3AE275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4FBB8D" w14:textId="77777777" w:rsidR="00E57DAA" w:rsidRDefault="00AC4185">
            <w:pPr>
              <w:rPr>
                <w:rFonts w:cs="Cambria"/>
                <w:szCs w:val="21"/>
              </w:rPr>
            </w:pPr>
            <w:r>
              <w:t>飞渡航天科技有限公司</w:t>
            </w:r>
          </w:p>
        </w:tc>
        <w:tc>
          <w:tcPr>
            <w:tcW w:w="1807" w:type="pct"/>
            <w:tcBorders>
              <w:top w:val="single" w:sz="4" w:space="0" w:color="auto"/>
              <w:left w:val="single" w:sz="4" w:space="0" w:color="auto"/>
              <w:bottom w:val="single" w:sz="4" w:space="0" w:color="auto"/>
              <w:right w:val="single" w:sz="4" w:space="0" w:color="auto"/>
            </w:tcBorders>
          </w:tcPr>
          <w:p w14:paraId="64DAD9CD" w14:textId="77777777" w:rsidR="00E57DAA" w:rsidRDefault="00AC4185">
            <w:pPr>
              <w:rPr>
                <w:rFonts w:cs="Cambria"/>
                <w:szCs w:val="21"/>
              </w:rPr>
            </w:pPr>
            <w:r>
              <w:t>其他关联方</w:t>
            </w:r>
          </w:p>
        </w:tc>
      </w:tr>
      <w:tr w:rsidR="00E57DAA" w14:paraId="36E346B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C4612A" w14:textId="77777777" w:rsidR="00E57DAA" w:rsidRDefault="00AC4185">
            <w:pPr>
              <w:rPr>
                <w:rFonts w:cs="Cambria"/>
                <w:szCs w:val="21"/>
              </w:rPr>
            </w:pPr>
            <w:r>
              <w:t>安徽珍珠水泥集团股份有限公司</w:t>
            </w:r>
          </w:p>
        </w:tc>
        <w:tc>
          <w:tcPr>
            <w:tcW w:w="1807" w:type="pct"/>
            <w:tcBorders>
              <w:top w:val="single" w:sz="4" w:space="0" w:color="auto"/>
              <w:left w:val="single" w:sz="4" w:space="0" w:color="auto"/>
              <w:bottom w:val="single" w:sz="4" w:space="0" w:color="auto"/>
              <w:right w:val="single" w:sz="4" w:space="0" w:color="auto"/>
            </w:tcBorders>
          </w:tcPr>
          <w:p w14:paraId="34D051EA" w14:textId="77777777" w:rsidR="00E57DAA" w:rsidRDefault="00AC4185">
            <w:pPr>
              <w:rPr>
                <w:rFonts w:cs="Cambria"/>
                <w:szCs w:val="21"/>
              </w:rPr>
            </w:pPr>
            <w:r>
              <w:t>其他关联方</w:t>
            </w:r>
          </w:p>
        </w:tc>
      </w:tr>
      <w:tr w:rsidR="00E57DAA" w14:paraId="25D6BC6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1BAF1F" w14:textId="77777777" w:rsidR="00E57DAA" w:rsidRDefault="00AC4185">
            <w:pPr>
              <w:rPr>
                <w:rFonts w:cs="Cambria"/>
                <w:szCs w:val="21"/>
              </w:rPr>
            </w:pPr>
            <w:r>
              <w:t>安丘山水水泥有限公司</w:t>
            </w:r>
          </w:p>
        </w:tc>
        <w:tc>
          <w:tcPr>
            <w:tcW w:w="1807" w:type="pct"/>
            <w:tcBorders>
              <w:top w:val="single" w:sz="4" w:space="0" w:color="auto"/>
              <w:left w:val="single" w:sz="4" w:space="0" w:color="auto"/>
              <w:bottom w:val="single" w:sz="4" w:space="0" w:color="auto"/>
              <w:right w:val="single" w:sz="4" w:space="0" w:color="auto"/>
            </w:tcBorders>
          </w:tcPr>
          <w:p w14:paraId="691A024A" w14:textId="77777777" w:rsidR="00E57DAA" w:rsidRDefault="00AC4185">
            <w:pPr>
              <w:rPr>
                <w:rFonts w:cs="Cambria"/>
                <w:szCs w:val="21"/>
              </w:rPr>
            </w:pPr>
            <w:r>
              <w:t>其他关联方</w:t>
            </w:r>
          </w:p>
        </w:tc>
      </w:tr>
      <w:tr w:rsidR="00E57DAA" w14:paraId="3594091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06AE5C" w14:textId="77777777" w:rsidR="00E57DAA" w:rsidRDefault="00AC4185">
            <w:pPr>
              <w:rPr>
                <w:rFonts w:cs="Cambria"/>
                <w:szCs w:val="21"/>
              </w:rPr>
            </w:pPr>
            <w:r>
              <w:t>巴林左旗磊鑫矿业有限公司</w:t>
            </w:r>
          </w:p>
        </w:tc>
        <w:tc>
          <w:tcPr>
            <w:tcW w:w="1807" w:type="pct"/>
            <w:tcBorders>
              <w:top w:val="single" w:sz="4" w:space="0" w:color="auto"/>
              <w:left w:val="single" w:sz="4" w:space="0" w:color="auto"/>
              <w:bottom w:val="single" w:sz="4" w:space="0" w:color="auto"/>
              <w:right w:val="single" w:sz="4" w:space="0" w:color="auto"/>
            </w:tcBorders>
          </w:tcPr>
          <w:p w14:paraId="2D5BCB53" w14:textId="77777777" w:rsidR="00E57DAA" w:rsidRDefault="00AC4185">
            <w:pPr>
              <w:rPr>
                <w:rFonts w:cs="Cambria"/>
                <w:szCs w:val="21"/>
              </w:rPr>
            </w:pPr>
            <w:r>
              <w:t>其他关联方</w:t>
            </w:r>
          </w:p>
        </w:tc>
      </w:tr>
      <w:tr w:rsidR="00E57DAA" w14:paraId="5DBE28C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2CA9D2" w14:textId="77777777" w:rsidR="00E57DAA" w:rsidRDefault="00AC4185">
            <w:pPr>
              <w:rPr>
                <w:rFonts w:cs="Cambria"/>
                <w:szCs w:val="21"/>
              </w:rPr>
            </w:pPr>
            <w:r>
              <w:t>白山山水水泥有限责任公司</w:t>
            </w:r>
          </w:p>
        </w:tc>
        <w:tc>
          <w:tcPr>
            <w:tcW w:w="1807" w:type="pct"/>
            <w:tcBorders>
              <w:top w:val="single" w:sz="4" w:space="0" w:color="auto"/>
              <w:left w:val="single" w:sz="4" w:space="0" w:color="auto"/>
              <w:bottom w:val="single" w:sz="4" w:space="0" w:color="auto"/>
              <w:right w:val="single" w:sz="4" w:space="0" w:color="auto"/>
            </w:tcBorders>
          </w:tcPr>
          <w:p w14:paraId="4B7B8C32" w14:textId="77777777" w:rsidR="00E57DAA" w:rsidRDefault="00AC4185">
            <w:pPr>
              <w:rPr>
                <w:rFonts w:cs="Cambria"/>
                <w:szCs w:val="21"/>
              </w:rPr>
            </w:pPr>
            <w:r>
              <w:t>其他关联方</w:t>
            </w:r>
          </w:p>
        </w:tc>
      </w:tr>
      <w:tr w:rsidR="00E57DAA" w14:paraId="3DA1093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2EAF6F" w14:textId="77777777" w:rsidR="00E57DAA" w:rsidRDefault="00AC4185">
            <w:pPr>
              <w:rPr>
                <w:rFonts w:cs="Cambria"/>
                <w:szCs w:val="21"/>
              </w:rPr>
            </w:pPr>
            <w:r>
              <w:t>保定太行和益环保科技有限公司</w:t>
            </w:r>
          </w:p>
        </w:tc>
        <w:tc>
          <w:tcPr>
            <w:tcW w:w="1807" w:type="pct"/>
            <w:tcBorders>
              <w:top w:val="single" w:sz="4" w:space="0" w:color="auto"/>
              <w:left w:val="single" w:sz="4" w:space="0" w:color="auto"/>
              <w:bottom w:val="single" w:sz="4" w:space="0" w:color="auto"/>
              <w:right w:val="single" w:sz="4" w:space="0" w:color="auto"/>
            </w:tcBorders>
          </w:tcPr>
          <w:p w14:paraId="110D1310" w14:textId="77777777" w:rsidR="00E57DAA" w:rsidRDefault="00AC4185">
            <w:pPr>
              <w:rPr>
                <w:rFonts w:cs="Cambria"/>
                <w:szCs w:val="21"/>
              </w:rPr>
            </w:pPr>
            <w:r>
              <w:t>其他关联方</w:t>
            </w:r>
          </w:p>
        </w:tc>
      </w:tr>
      <w:tr w:rsidR="00E57DAA" w14:paraId="1003552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EAF92A" w14:textId="77777777" w:rsidR="00E57DAA" w:rsidRDefault="00AC4185">
            <w:pPr>
              <w:rPr>
                <w:rFonts w:cs="Cambria"/>
                <w:szCs w:val="21"/>
              </w:rPr>
            </w:pPr>
            <w:r>
              <w:t>北京金隅通达耐火技术有限公司</w:t>
            </w:r>
          </w:p>
        </w:tc>
        <w:tc>
          <w:tcPr>
            <w:tcW w:w="1807" w:type="pct"/>
            <w:tcBorders>
              <w:top w:val="single" w:sz="4" w:space="0" w:color="auto"/>
              <w:left w:val="single" w:sz="4" w:space="0" w:color="auto"/>
              <w:bottom w:val="single" w:sz="4" w:space="0" w:color="auto"/>
              <w:right w:val="single" w:sz="4" w:space="0" w:color="auto"/>
            </w:tcBorders>
          </w:tcPr>
          <w:p w14:paraId="0265A1F8" w14:textId="77777777" w:rsidR="00E57DAA" w:rsidRDefault="00AC4185">
            <w:pPr>
              <w:rPr>
                <w:rFonts w:cs="Cambria"/>
                <w:szCs w:val="21"/>
              </w:rPr>
            </w:pPr>
            <w:r>
              <w:t>其他关联方</w:t>
            </w:r>
          </w:p>
        </w:tc>
      </w:tr>
      <w:tr w:rsidR="00E57DAA" w14:paraId="5951FA2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E76E06" w14:textId="77777777" w:rsidR="00E57DAA" w:rsidRDefault="00AC4185">
            <w:pPr>
              <w:rPr>
                <w:rFonts w:cs="Cambria"/>
                <w:szCs w:val="21"/>
              </w:rPr>
            </w:pPr>
            <w:r>
              <w:t>滨州山水水泥有限公司</w:t>
            </w:r>
          </w:p>
        </w:tc>
        <w:tc>
          <w:tcPr>
            <w:tcW w:w="1807" w:type="pct"/>
            <w:tcBorders>
              <w:top w:val="single" w:sz="4" w:space="0" w:color="auto"/>
              <w:left w:val="single" w:sz="4" w:space="0" w:color="auto"/>
              <w:bottom w:val="single" w:sz="4" w:space="0" w:color="auto"/>
              <w:right w:val="single" w:sz="4" w:space="0" w:color="auto"/>
            </w:tcBorders>
          </w:tcPr>
          <w:p w14:paraId="4B74C262" w14:textId="77777777" w:rsidR="00E57DAA" w:rsidRDefault="00AC4185">
            <w:pPr>
              <w:rPr>
                <w:rFonts w:cs="Cambria"/>
                <w:szCs w:val="21"/>
              </w:rPr>
            </w:pPr>
            <w:r>
              <w:t>其他关联方</w:t>
            </w:r>
          </w:p>
        </w:tc>
      </w:tr>
      <w:tr w:rsidR="00E57DAA" w14:paraId="30A3BBA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F667C3" w14:textId="77777777" w:rsidR="00E57DAA" w:rsidRDefault="00AC4185">
            <w:pPr>
              <w:rPr>
                <w:rFonts w:cs="Cambria"/>
                <w:szCs w:val="21"/>
              </w:rPr>
            </w:pPr>
            <w:r>
              <w:t>渤海水泥（葫芦岛）有限公司</w:t>
            </w:r>
          </w:p>
        </w:tc>
        <w:tc>
          <w:tcPr>
            <w:tcW w:w="1807" w:type="pct"/>
            <w:tcBorders>
              <w:top w:val="single" w:sz="4" w:space="0" w:color="auto"/>
              <w:left w:val="single" w:sz="4" w:space="0" w:color="auto"/>
              <w:bottom w:val="single" w:sz="4" w:space="0" w:color="auto"/>
              <w:right w:val="single" w:sz="4" w:space="0" w:color="auto"/>
            </w:tcBorders>
          </w:tcPr>
          <w:p w14:paraId="5FF76327" w14:textId="77777777" w:rsidR="00E57DAA" w:rsidRDefault="00AC4185">
            <w:pPr>
              <w:rPr>
                <w:rFonts w:cs="Cambria"/>
                <w:szCs w:val="21"/>
              </w:rPr>
            </w:pPr>
            <w:r>
              <w:t>其他关联方</w:t>
            </w:r>
          </w:p>
        </w:tc>
      </w:tr>
      <w:tr w:rsidR="00E57DAA" w14:paraId="3F491B2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634333" w14:textId="77777777" w:rsidR="00E57DAA" w:rsidRDefault="00AC4185">
            <w:pPr>
              <w:rPr>
                <w:rFonts w:cs="Cambria"/>
                <w:szCs w:val="21"/>
              </w:rPr>
            </w:pPr>
            <w:r>
              <w:t>昌乐山水水泥有限公司</w:t>
            </w:r>
          </w:p>
        </w:tc>
        <w:tc>
          <w:tcPr>
            <w:tcW w:w="1807" w:type="pct"/>
            <w:tcBorders>
              <w:top w:val="single" w:sz="4" w:space="0" w:color="auto"/>
              <w:left w:val="single" w:sz="4" w:space="0" w:color="auto"/>
              <w:bottom w:val="single" w:sz="4" w:space="0" w:color="auto"/>
              <w:right w:val="single" w:sz="4" w:space="0" w:color="auto"/>
            </w:tcBorders>
          </w:tcPr>
          <w:p w14:paraId="3F15B838" w14:textId="77777777" w:rsidR="00E57DAA" w:rsidRDefault="00AC4185">
            <w:pPr>
              <w:rPr>
                <w:rFonts w:cs="Cambria"/>
                <w:szCs w:val="21"/>
              </w:rPr>
            </w:pPr>
            <w:r>
              <w:t>其他关联方</w:t>
            </w:r>
          </w:p>
        </w:tc>
      </w:tr>
      <w:tr w:rsidR="00E57DAA" w14:paraId="02590FF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A29235" w14:textId="77777777" w:rsidR="00E57DAA" w:rsidRDefault="00AC4185">
            <w:pPr>
              <w:rPr>
                <w:rFonts w:cs="Cambria"/>
                <w:szCs w:val="21"/>
              </w:rPr>
            </w:pPr>
            <w:r>
              <w:t>朝阳山水东鑫水泥有限公司</w:t>
            </w:r>
          </w:p>
        </w:tc>
        <w:tc>
          <w:tcPr>
            <w:tcW w:w="1807" w:type="pct"/>
            <w:tcBorders>
              <w:top w:val="single" w:sz="4" w:space="0" w:color="auto"/>
              <w:left w:val="single" w:sz="4" w:space="0" w:color="auto"/>
              <w:bottom w:val="single" w:sz="4" w:space="0" w:color="auto"/>
              <w:right w:val="single" w:sz="4" w:space="0" w:color="auto"/>
            </w:tcBorders>
          </w:tcPr>
          <w:p w14:paraId="61CFF78F" w14:textId="77777777" w:rsidR="00E57DAA" w:rsidRDefault="00AC4185">
            <w:pPr>
              <w:rPr>
                <w:rFonts w:cs="Cambria"/>
                <w:szCs w:val="21"/>
              </w:rPr>
            </w:pPr>
            <w:r>
              <w:t>其他关联方</w:t>
            </w:r>
          </w:p>
        </w:tc>
      </w:tr>
      <w:tr w:rsidR="00E57DAA" w14:paraId="750D543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C6BA4B" w14:textId="77777777" w:rsidR="00E57DAA" w:rsidRDefault="00AC4185">
            <w:pPr>
              <w:rPr>
                <w:rFonts w:cs="Cambria"/>
                <w:szCs w:val="21"/>
              </w:rPr>
            </w:pPr>
            <w:r>
              <w:t>成都安美科机电有限公司</w:t>
            </w:r>
          </w:p>
        </w:tc>
        <w:tc>
          <w:tcPr>
            <w:tcW w:w="1807" w:type="pct"/>
            <w:tcBorders>
              <w:top w:val="single" w:sz="4" w:space="0" w:color="auto"/>
              <w:left w:val="single" w:sz="4" w:space="0" w:color="auto"/>
              <w:bottom w:val="single" w:sz="4" w:space="0" w:color="auto"/>
              <w:right w:val="single" w:sz="4" w:space="0" w:color="auto"/>
            </w:tcBorders>
          </w:tcPr>
          <w:p w14:paraId="3BE5AC3C" w14:textId="77777777" w:rsidR="00E57DAA" w:rsidRDefault="00AC4185">
            <w:pPr>
              <w:rPr>
                <w:rFonts w:cs="Cambria"/>
                <w:szCs w:val="21"/>
              </w:rPr>
            </w:pPr>
            <w:r>
              <w:t>其他关联方</w:t>
            </w:r>
          </w:p>
        </w:tc>
      </w:tr>
      <w:tr w:rsidR="00E57DAA" w14:paraId="3688772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6564DB" w14:textId="77777777" w:rsidR="00E57DAA" w:rsidRDefault="00AC4185">
            <w:pPr>
              <w:rPr>
                <w:rFonts w:cs="Cambria"/>
                <w:szCs w:val="21"/>
              </w:rPr>
            </w:pPr>
            <w:r>
              <w:t>成都科睿众联企业管理中心（有限合伙）</w:t>
            </w:r>
          </w:p>
        </w:tc>
        <w:tc>
          <w:tcPr>
            <w:tcW w:w="1807" w:type="pct"/>
            <w:tcBorders>
              <w:top w:val="single" w:sz="4" w:space="0" w:color="auto"/>
              <w:left w:val="single" w:sz="4" w:space="0" w:color="auto"/>
              <w:bottom w:val="single" w:sz="4" w:space="0" w:color="auto"/>
              <w:right w:val="single" w:sz="4" w:space="0" w:color="auto"/>
            </w:tcBorders>
          </w:tcPr>
          <w:p w14:paraId="1BDADE22" w14:textId="77777777" w:rsidR="00E57DAA" w:rsidRDefault="00AC4185">
            <w:pPr>
              <w:rPr>
                <w:rFonts w:cs="Cambria"/>
                <w:szCs w:val="21"/>
              </w:rPr>
            </w:pPr>
            <w:r>
              <w:t>其他关联方</w:t>
            </w:r>
          </w:p>
        </w:tc>
      </w:tr>
      <w:tr w:rsidR="00E57DAA" w14:paraId="2BAB532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C4FBA82" w14:textId="77777777" w:rsidR="00E57DAA" w:rsidRDefault="00AC4185">
            <w:pPr>
              <w:rPr>
                <w:rFonts w:cs="Cambria"/>
                <w:szCs w:val="21"/>
              </w:rPr>
            </w:pPr>
            <w:r>
              <w:t>赤峰山水远航水泥有限公司</w:t>
            </w:r>
          </w:p>
        </w:tc>
        <w:tc>
          <w:tcPr>
            <w:tcW w:w="1807" w:type="pct"/>
            <w:tcBorders>
              <w:top w:val="single" w:sz="4" w:space="0" w:color="auto"/>
              <w:left w:val="single" w:sz="4" w:space="0" w:color="auto"/>
              <w:bottom w:val="single" w:sz="4" w:space="0" w:color="auto"/>
              <w:right w:val="single" w:sz="4" w:space="0" w:color="auto"/>
            </w:tcBorders>
          </w:tcPr>
          <w:p w14:paraId="09B2CE91" w14:textId="77777777" w:rsidR="00E57DAA" w:rsidRDefault="00AC4185">
            <w:pPr>
              <w:rPr>
                <w:rFonts w:cs="Cambria"/>
                <w:szCs w:val="21"/>
              </w:rPr>
            </w:pPr>
            <w:r>
              <w:t>其他关联方</w:t>
            </w:r>
          </w:p>
        </w:tc>
      </w:tr>
      <w:tr w:rsidR="00E57DAA" w14:paraId="1187B0EB"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A143F9" w14:textId="77777777" w:rsidR="00E57DAA" w:rsidRDefault="00AC4185">
            <w:pPr>
              <w:rPr>
                <w:rFonts w:cs="Cambria"/>
                <w:szCs w:val="21"/>
              </w:rPr>
            </w:pPr>
            <w:r>
              <w:t>大连山水水泥有限公司</w:t>
            </w:r>
          </w:p>
        </w:tc>
        <w:tc>
          <w:tcPr>
            <w:tcW w:w="1807" w:type="pct"/>
            <w:tcBorders>
              <w:top w:val="single" w:sz="4" w:space="0" w:color="auto"/>
              <w:left w:val="single" w:sz="4" w:space="0" w:color="auto"/>
              <w:bottom w:val="single" w:sz="4" w:space="0" w:color="auto"/>
              <w:right w:val="single" w:sz="4" w:space="0" w:color="auto"/>
            </w:tcBorders>
          </w:tcPr>
          <w:p w14:paraId="53B994A0" w14:textId="77777777" w:rsidR="00E57DAA" w:rsidRDefault="00AC4185">
            <w:pPr>
              <w:rPr>
                <w:rFonts w:cs="Cambria"/>
                <w:szCs w:val="21"/>
              </w:rPr>
            </w:pPr>
            <w:r>
              <w:t>其他关联方</w:t>
            </w:r>
          </w:p>
        </w:tc>
      </w:tr>
      <w:tr w:rsidR="00E57DAA" w14:paraId="3B657EF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9AE557" w14:textId="77777777" w:rsidR="00E57DAA" w:rsidRDefault="00AC4185">
            <w:pPr>
              <w:rPr>
                <w:rFonts w:cs="Cambria"/>
                <w:szCs w:val="21"/>
              </w:rPr>
            </w:pPr>
            <w:r>
              <w:t>单县山水水泥有限公司</w:t>
            </w:r>
          </w:p>
        </w:tc>
        <w:tc>
          <w:tcPr>
            <w:tcW w:w="1807" w:type="pct"/>
            <w:tcBorders>
              <w:top w:val="single" w:sz="4" w:space="0" w:color="auto"/>
              <w:left w:val="single" w:sz="4" w:space="0" w:color="auto"/>
              <w:bottom w:val="single" w:sz="4" w:space="0" w:color="auto"/>
              <w:right w:val="single" w:sz="4" w:space="0" w:color="auto"/>
            </w:tcBorders>
          </w:tcPr>
          <w:p w14:paraId="5A5CF666" w14:textId="77777777" w:rsidR="00E57DAA" w:rsidRDefault="00AC4185">
            <w:pPr>
              <w:rPr>
                <w:rFonts w:cs="Cambria"/>
                <w:szCs w:val="21"/>
              </w:rPr>
            </w:pPr>
            <w:r>
              <w:t>其他关联方</w:t>
            </w:r>
          </w:p>
        </w:tc>
      </w:tr>
      <w:tr w:rsidR="00E57DAA" w14:paraId="6EDA82C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C3E63A" w14:textId="77777777" w:rsidR="00E57DAA" w:rsidRDefault="00AC4185">
            <w:pPr>
              <w:rPr>
                <w:rFonts w:cs="Cambria"/>
                <w:szCs w:val="21"/>
              </w:rPr>
            </w:pPr>
            <w:r>
              <w:t>德州大坝建材有限公司</w:t>
            </w:r>
          </w:p>
        </w:tc>
        <w:tc>
          <w:tcPr>
            <w:tcW w:w="1807" w:type="pct"/>
            <w:tcBorders>
              <w:top w:val="single" w:sz="4" w:space="0" w:color="auto"/>
              <w:left w:val="single" w:sz="4" w:space="0" w:color="auto"/>
              <w:bottom w:val="single" w:sz="4" w:space="0" w:color="auto"/>
              <w:right w:val="single" w:sz="4" w:space="0" w:color="auto"/>
            </w:tcBorders>
          </w:tcPr>
          <w:p w14:paraId="59641084" w14:textId="77777777" w:rsidR="00E57DAA" w:rsidRDefault="00AC4185">
            <w:pPr>
              <w:rPr>
                <w:rFonts w:cs="Cambria"/>
                <w:szCs w:val="21"/>
              </w:rPr>
            </w:pPr>
            <w:r>
              <w:t>其他关联方</w:t>
            </w:r>
          </w:p>
        </w:tc>
      </w:tr>
      <w:tr w:rsidR="00E57DAA" w14:paraId="64570A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D8CD0F" w14:textId="77777777" w:rsidR="00E57DAA" w:rsidRDefault="00AC4185">
            <w:pPr>
              <w:rPr>
                <w:rFonts w:cs="Cambria"/>
                <w:szCs w:val="21"/>
              </w:rPr>
            </w:pPr>
            <w:r>
              <w:t>登电集团水泥有限公司</w:t>
            </w:r>
          </w:p>
        </w:tc>
        <w:tc>
          <w:tcPr>
            <w:tcW w:w="1807" w:type="pct"/>
            <w:tcBorders>
              <w:top w:val="single" w:sz="4" w:space="0" w:color="auto"/>
              <w:left w:val="single" w:sz="4" w:space="0" w:color="auto"/>
              <w:bottom w:val="single" w:sz="4" w:space="0" w:color="auto"/>
              <w:right w:val="single" w:sz="4" w:space="0" w:color="auto"/>
            </w:tcBorders>
          </w:tcPr>
          <w:p w14:paraId="4B3FA984" w14:textId="77777777" w:rsidR="00E57DAA" w:rsidRDefault="00AC4185">
            <w:pPr>
              <w:rPr>
                <w:rFonts w:cs="Cambria"/>
                <w:szCs w:val="21"/>
              </w:rPr>
            </w:pPr>
            <w:r>
              <w:t>其他关联方</w:t>
            </w:r>
          </w:p>
        </w:tc>
      </w:tr>
      <w:tr w:rsidR="00E57DAA" w14:paraId="081B4FA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A394514" w14:textId="77777777" w:rsidR="00E57DAA" w:rsidRDefault="00AC4185">
            <w:pPr>
              <w:rPr>
                <w:rFonts w:cs="Cambria"/>
                <w:szCs w:val="21"/>
              </w:rPr>
            </w:pPr>
            <w:r>
              <w:t>凤阳中都水泥有限公司</w:t>
            </w:r>
          </w:p>
        </w:tc>
        <w:tc>
          <w:tcPr>
            <w:tcW w:w="1807" w:type="pct"/>
            <w:tcBorders>
              <w:top w:val="single" w:sz="4" w:space="0" w:color="auto"/>
              <w:left w:val="single" w:sz="4" w:space="0" w:color="auto"/>
              <w:bottom w:val="single" w:sz="4" w:space="0" w:color="auto"/>
              <w:right w:val="single" w:sz="4" w:space="0" w:color="auto"/>
            </w:tcBorders>
          </w:tcPr>
          <w:p w14:paraId="021C05E8" w14:textId="77777777" w:rsidR="00E57DAA" w:rsidRDefault="00AC4185">
            <w:pPr>
              <w:rPr>
                <w:rFonts w:cs="Cambria"/>
                <w:szCs w:val="21"/>
              </w:rPr>
            </w:pPr>
            <w:r>
              <w:t>其他关联方</w:t>
            </w:r>
          </w:p>
        </w:tc>
      </w:tr>
      <w:tr w:rsidR="00E57DAA" w14:paraId="1252265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CB8041" w14:textId="77777777" w:rsidR="00E57DAA" w:rsidRDefault="00AC4185">
            <w:pPr>
              <w:rPr>
                <w:rFonts w:cs="Cambria"/>
                <w:szCs w:val="21"/>
              </w:rPr>
            </w:pPr>
            <w:r>
              <w:t>邯郸金隅太行水泥有限责任公司</w:t>
            </w:r>
          </w:p>
        </w:tc>
        <w:tc>
          <w:tcPr>
            <w:tcW w:w="1807" w:type="pct"/>
            <w:tcBorders>
              <w:top w:val="single" w:sz="4" w:space="0" w:color="auto"/>
              <w:left w:val="single" w:sz="4" w:space="0" w:color="auto"/>
              <w:bottom w:val="single" w:sz="4" w:space="0" w:color="auto"/>
              <w:right w:val="single" w:sz="4" w:space="0" w:color="auto"/>
            </w:tcBorders>
          </w:tcPr>
          <w:p w14:paraId="0C040C22" w14:textId="77777777" w:rsidR="00E57DAA" w:rsidRDefault="00AC4185">
            <w:pPr>
              <w:rPr>
                <w:rFonts w:cs="Cambria"/>
                <w:szCs w:val="21"/>
              </w:rPr>
            </w:pPr>
            <w:r>
              <w:t>其他关联方</w:t>
            </w:r>
          </w:p>
        </w:tc>
      </w:tr>
      <w:tr w:rsidR="00E57DAA" w14:paraId="245186D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496B435" w14:textId="77777777" w:rsidR="00E57DAA" w:rsidRDefault="00AC4185">
            <w:pPr>
              <w:rPr>
                <w:rFonts w:cs="Cambria"/>
                <w:szCs w:val="21"/>
              </w:rPr>
            </w:pPr>
            <w:r>
              <w:t>邯郸涉县金隅水泥有限公司</w:t>
            </w:r>
          </w:p>
        </w:tc>
        <w:tc>
          <w:tcPr>
            <w:tcW w:w="1807" w:type="pct"/>
            <w:tcBorders>
              <w:top w:val="single" w:sz="4" w:space="0" w:color="auto"/>
              <w:left w:val="single" w:sz="4" w:space="0" w:color="auto"/>
              <w:bottom w:val="single" w:sz="4" w:space="0" w:color="auto"/>
              <w:right w:val="single" w:sz="4" w:space="0" w:color="auto"/>
            </w:tcBorders>
          </w:tcPr>
          <w:p w14:paraId="548C4575" w14:textId="77777777" w:rsidR="00E57DAA" w:rsidRDefault="00AC4185">
            <w:pPr>
              <w:rPr>
                <w:rFonts w:cs="Cambria"/>
                <w:szCs w:val="21"/>
              </w:rPr>
            </w:pPr>
            <w:r>
              <w:t>其他关联方</w:t>
            </w:r>
          </w:p>
        </w:tc>
      </w:tr>
      <w:tr w:rsidR="00E57DAA" w14:paraId="38EAB10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AE2704" w14:textId="77777777" w:rsidR="00E57DAA" w:rsidRDefault="00AC4185">
            <w:pPr>
              <w:rPr>
                <w:rFonts w:cs="Cambria"/>
                <w:szCs w:val="21"/>
              </w:rPr>
            </w:pPr>
            <w:r>
              <w:t>杭州博宇机械有限公司</w:t>
            </w:r>
          </w:p>
        </w:tc>
        <w:tc>
          <w:tcPr>
            <w:tcW w:w="1807" w:type="pct"/>
            <w:tcBorders>
              <w:top w:val="single" w:sz="4" w:space="0" w:color="auto"/>
              <w:left w:val="single" w:sz="4" w:space="0" w:color="auto"/>
              <w:bottom w:val="single" w:sz="4" w:space="0" w:color="auto"/>
              <w:right w:val="single" w:sz="4" w:space="0" w:color="auto"/>
            </w:tcBorders>
          </w:tcPr>
          <w:p w14:paraId="421BA08A" w14:textId="77777777" w:rsidR="00E57DAA" w:rsidRDefault="00AC4185">
            <w:pPr>
              <w:rPr>
                <w:rFonts w:cs="Cambria"/>
                <w:szCs w:val="21"/>
              </w:rPr>
            </w:pPr>
            <w:r>
              <w:t>其他关联方</w:t>
            </w:r>
          </w:p>
        </w:tc>
      </w:tr>
      <w:tr w:rsidR="00E57DAA" w14:paraId="7349F3F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969D7C" w14:textId="77777777" w:rsidR="00E57DAA" w:rsidRDefault="00AC4185">
            <w:pPr>
              <w:rPr>
                <w:rFonts w:cs="Cambria"/>
                <w:szCs w:val="21"/>
              </w:rPr>
            </w:pPr>
            <w:r>
              <w:t>合肥金星智控科技股份有限公司</w:t>
            </w:r>
          </w:p>
        </w:tc>
        <w:tc>
          <w:tcPr>
            <w:tcW w:w="1807" w:type="pct"/>
            <w:tcBorders>
              <w:top w:val="single" w:sz="4" w:space="0" w:color="auto"/>
              <w:left w:val="single" w:sz="4" w:space="0" w:color="auto"/>
              <w:bottom w:val="single" w:sz="4" w:space="0" w:color="auto"/>
              <w:right w:val="single" w:sz="4" w:space="0" w:color="auto"/>
            </w:tcBorders>
          </w:tcPr>
          <w:p w14:paraId="13245127" w14:textId="77777777" w:rsidR="00E57DAA" w:rsidRDefault="00AC4185">
            <w:pPr>
              <w:rPr>
                <w:rFonts w:cs="Cambria"/>
                <w:szCs w:val="21"/>
              </w:rPr>
            </w:pPr>
            <w:r>
              <w:t>其他关联方</w:t>
            </w:r>
          </w:p>
        </w:tc>
      </w:tr>
      <w:tr w:rsidR="00E57DAA" w14:paraId="4063925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226BA1" w14:textId="77777777" w:rsidR="00E57DAA" w:rsidRDefault="00AC4185">
            <w:pPr>
              <w:rPr>
                <w:rFonts w:cs="Cambria"/>
                <w:szCs w:val="21"/>
              </w:rPr>
            </w:pPr>
            <w:r>
              <w:t>合肥优奈特股权投资合伙企业（有限合伙）</w:t>
            </w:r>
          </w:p>
        </w:tc>
        <w:tc>
          <w:tcPr>
            <w:tcW w:w="1807" w:type="pct"/>
            <w:tcBorders>
              <w:top w:val="single" w:sz="4" w:space="0" w:color="auto"/>
              <w:left w:val="single" w:sz="4" w:space="0" w:color="auto"/>
              <w:bottom w:val="single" w:sz="4" w:space="0" w:color="auto"/>
              <w:right w:val="single" w:sz="4" w:space="0" w:color="auto"/>
            </w:tcBorders>
          </w:tcPr>
          <w:p w14:paraId="7E87F233" w14:textId="77777777" w:rsidR="00E57DAA" w:rsidRDefault="00AC4185">
            <w:pPr>
              <w:rPr>
                <w:rFonts w:cs="Cambria"/>
                <w:szCs w:val="21"/>
              </w:rPr>
            </w:pPr>
            <w:r>
              <w:t>其他关联方</w:t>
            </w:r>
          </w:p>
        </w:tc>
      </w:tr>
      <w:tr w:rsidR="00E57DAA" w14:paraId="545790E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F16779" w14:textId="77777777" w:rsidR="00E57DAA" w:rsidRDefault="00AC4185">
            <w:pPr>
              <w:rPr>
                <w:rFonts w:cs="Cambria"/>
                <w:szCs w:val="21"/>
              </w:rPr>
            </w:pPr>
            <w:r>
              <w:t>河南省淅川水泥有限公司</w:t>
            </w:r>
          </w:p>
        </w:tc>
        <w:tc>
          <w:tcPr>
            <w:tcW w:w="1807" w:type="pct"/>
            <w:tcBorders>
              <w:top w:val="single" w:sz="4" w:space="0" w:color="auto"/>
              <w:left w:val="single" w:sz="4" w:space="0" w:color="auto"/>
              <w:bottom w:val="single" w:sz="4" w:space="0" w:color="auto"/>
              <w:right w:val="single" w:sz="4" w:space="0" w:color="auto"/>
            </w:tcBorders>
          </w:tcPr>
          <w:p w14:paraId="361B6752" w14:textId="77777777" w:rsidR="00E57DAA" w:rsidRDefault="00AC4185">
            <w:pPr>
              <w:rPr>
                <w:rFonts w:cs="Cambria"/>
                <w:szCs w:val="21"/>
              </w:rPr>
            </w:pPr>
            <w:r>
              <w:t>其他关联方</w:t>
            </w:r>
          </w:p>
        </w:tc>
      </w:tr>
      <w:tr w:rsidR="00E57DAA" w14:paraId="60F532D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5DC448" w14:textId="77777777" w:rsidR="00E57DAA" w:rsidRDefault="00AC4185">
            <w:pPr>
              <w:rPr>
                <w:rFonts w:cs="Cambria"/>
                <w:szCs w:val="21"/>
              </w:rPr>
            </w:pPr>
            <w:r>
              <w:t>河曲县中天隆水泥有限公司</w:t>
            </w:r>
          </w:p>
        </w:tc>
        <w:tc>
          <w:tcPr>
            <w:tcW w:w="1807" w:type="pct"/>
            <w:tcBorders>
              <w:top w:val="single" w:sz="4" w:space="0" w:color="auto"/>
              <w:left w:val="single" w:sz="4" w:space="0" w:color="auto"/>
              <w:bottom w:val="single" w:sz="4" w:space="0" w:color="auto"/>
              <w:right w:val="single" w:sz="4" w:space="0" w:color="auto"/>
            </w:tcBorders>
          </w:tcPr>
          <w:p w14:paraId="2E3FCF01" w14:textId="77777777" w:rsidR="00E57DAA" w:rsidRDefault="00AC4185">
            <w:pPr>
              <w:rPr>
                <w:rFonts w:cs="Cambria"/>
                <w:szCs w:val="21"/>
              </w:rPr>
            </w:pPr>
            <w:r>
              <w:t>其他关联方</w:t>
            </w:r>
          </w:p>
        </w:tc>
      </w:tr>
      <w:tr w:rsidR="00E57DAA" w14:paraId="5E564A9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ABC436" w14:textId="77777777" w:rsidR="00E57DAA" w:rsidRDefault="00AC4185">
            <w:pPr>
              <w:rPr>
                <w:rFonts w:cs="Cambria"/>
                <w:szCs w:val="21"/>
              </w:rPr>
            </w:pPr>
            <w:r>
              <w:t>鹤壁恒源合力实业有限公司</w:t>
            </w:r>
          </w:p>
        </w:tc>
        <w:tc>
          <w:tcPr>
            <w:tcW w:w="1807" w:type="pct"/>
            <w:tcBorders>
              <w:top w:val="single" w:sz="4" w:space="0" w:color="auto"/>
              <w:left w:val="single" w:sz="4" w:space="0" w:color="auto"/>
              <w:bottom w:val="single" w:sz="4" w:space="0" w:color="auto"/>
              <w:right w:val="single" w:sz="4" w:space="0" w:color="auto"/>
            </w:tcBorders>
          </w:tcPr>
          <w:p w14:paraId="0D931341" w14:textId="77777777" w:rsidR="00E57DAA" w:rsidRDefault="00AC4185">
            <w:pPr>
              <w:rPr>
                <w:rFonts w:cs="Cambria"/>
                <w:szCs w:val="21"/>
              </w:rPr>
            </w:pPr>
            <w:r>
              <w:t>其他关联方</w:t>
            </w:r>
          </w:p>
        </w:tc>
      </w:tr>
      <w:tr w:rsidR="00E57DAA" w14:paraId="7FFB878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78D34F" w14:textId="77777777" w:rsidR="00E57DAA" w:rsidRDefault="00AC4185">
            <w:pPr>
              <w:rPr>
                <w:rFonts w:cs="Cambria"/>
                <w:szCs w:val="21"/>
              </w:rPr>
            </w:pPr>
            <w:r>
              <w:t>吉林省园山水泥有限公司</w:t>
            </w:r>
          </w:p>
        </w:tc>
        <w:tc>
          <w:tcPr>
            <w:tcW w:w="1807" w:type="pct"/>
            <w:tcBorders>
              <w:top w:val="single" w:sz="4" w:space="0" w:color="auto"/>
              <w:left w:val="single" w:sz="4" w:space="0" w:color="auto"/>
              <w:bottom w:val="single" w:sz="4" w:space="0" w:color="auto"/>
              <w:right w:val="single" w:sz="4" w:space="0" w:color="auto"/>
            </w:tcBorders>
          </w:tcPr>
          <w:p w14:paraId="494F3D9D" w14:textId="77777777" w:rsidR="00E57DAA" w:rsidRDefault="00AC4185">
            <w:pPr>
              <w:rPr>
                <w:rFonts w:cs="Cambria"/>
                <w:szCs w:val="21"/>
              </w:rPr>
            </w:pPr>
            <w:r>
              <w:t>其他关联方</w:t>
            </w:r>
          </w:p>
        </w:tc>
      </w:tr>
      <w:tr w:rsidR="00E57DAA" w14:paraId="173316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8C0C0E" w14:textId="77777777" w:rsidR="00E57DAA" w:rsidRDefault="00AC4185">
            <w:pPr>
              <w:rPr>
                <w:rFonts w:cs="Cambria"/>
                <w:szCs w:val="21"/>
              </w:rPr>
            </w:pPr>
            <w:r>
              <w:lastRenderedPageBreak/>
              <w:t>冀东水泥铜川有限公司</w:t>
            </w:r>
          </w:p>
        </w:tc>
        <w:tc>
          <w:tcPr>
            <w:tcW w:w="1807" w:type="pct"/>
            <w:tcBorders>
              <w:top w:val="single" w:sz="4" w:space="0" w:color="auto"/>
              <w:left w:val="single" w:sz="4" w:space="0" w:color="auto"/>
              <w:bottom w:val="single" w:sz="4" w:space="0" w:color="auto"/>
              <w:right w:val="single" w:sz="4" w:space="0" w:color="auto"/>
            </w:tcBorders>
          </w:tcPr>
          <w:p w14:paraId="6AB75B36" w14:textId="77777777" w:rsidR="00E57DAA" w:rsidRDefault="00AC4185">
            <w:pPr>
              <w:rPr>
                <w:rFonts w:cs="Cambria"/>
                <w:szCs w:val="21"/>
              </w:rPr>
            </w:pPr>
            <w:r>
              <w:t>其他关联方</w:t>
            </w:r>
          </w:p>
        </w:tc>
      </w:tr>
      <w:tr w:rsidR="00E57DAA" w14:paraId="4F3361E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F833E6" w14:textId="77777777" w:rsidR="00E57DAA" w:rsidRDefault="00AC4185">
            <w:pPr>
              <w:rPr>
                <w:rFonts w:cs="Cambria"/>
                <w:szCs w:val="21"/>
              </w:rPr>
            </w:pPr>
            <w:r>
              <w:t>江苏金峰水泥集团有限公司</w:t>
            </w:r>
          </w:p>
        </w:tc>
        <w:tc>
          <w:tcPr>
            <w:tcW w:w="1807" w:type="pct"/>
            <w:tcBorders>
              <w:top w:val="single" w:sz="4" w:space="0" w:color="auto"/>
              <w:left w:val="single" w:sz="4" w:space="0" w:color="auto"/>
              <w:bottom w:val="single" w:sz="4" w:space="0" w:color="auto"/>
              <w:right w:val="single" w:sz="4" w:space="0" w:color="auto"/>
            </w:tcBorders>
          </w:tcPr>
          <w:p w14:paraId="55EBB95F" w14:textId="77777777" w:rsidR="00E57DAA" w:rsidRDefault="00AC4185">
            <w:pPr>
              <w:rPr>
                <w:rFonts w:cs="Cambria"/>
                <w:szCs w:val="21"/>
              </w:rPr>
            </w:pPr>
            <w:r>
              <w:t>其他关联方</w:t>
            </w:r>
          </w:p>
        </w:tc>
      </w:tr>
      <w:tr w:rsidR="00E57DAA" w14:paraId="28F4516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3FC672" w14:textId="77777777" w:rsidR="00E57DAA" w:rsidRDefault="00AC4185">
            <w:pPr>
              <w:rPr>
                <w:rFonts w:cs="Cambria"/>
                <w:szCs w:val="21"/>
              </w:rPr>
            </w:pPr>
            <w:r>
              <w:t>江苏中凯新材料有限公司</w:t>
            </w:r>
          </w:p>
        </w:tc>
        <w:tc>
          <w:tcPr>
            <w:tcW w:w="1807" w:type="pct"/>
            <w:tcBorders>
              <w:top w:val="single" w:sz="4" w:space="0" w:color="auto"/>
              <w:left w:val="single" w:sz="4" w:space="0" w:color="auto"/>
              <w:bottom w:val="single" w:sz="4" w:space="0" w:color="auto"/>
              <w:right w:val="single" w:sz="4" w:space="0" w:color="auto"/>
            </w:tcBorders>
          </w:tcPr>
          <w:p w14:paraId="06ACA9A2" w14:textId="77777777" w:rsidR="00E57DAA" w:rsidRDefault="00AC4185">
            <w:pPr>
              <w:rPr>
                <w:rFonts w:cs="Cambria"/>
                <w:szCs w:val="21"/>
              </w:rPr>
            </w:pPr>
            <w:r>
              <w:t>其他关联方</w:t>
            </w:r>
          </w:p>
        </w:tc>
      </w:tr>
      <w:tr w:rsidR="00E57DAA" w14:paraId="496EF0C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E34EBE" w14:textId="77777777" w:rsidR="00E57DAA" w:rsidRDefault="00AC4185">
            <w:pPr>
              <w:rPr>
                <w:rFonts w:cs="Cambria"/>
                <w:szCs w:val="21"/>
              </w:rPr>
            </w:pPr>
            <w:r>
              <w:t>江西德安万年青水泥有限公司</w:t>
            </w:r>
          </w:p>
        </w:tc>
        <w:tc>
          <w:tcPr>
            <w:tcW w:w="1807" w:type="pct"/>
            <w:tcBorders>
              <w:top w:val="single" w:sz="4" w:space="0" w:color="auto"/>
              <w:left w:val="single" w:sz="4" w:space="0" w:color="auto"/>
              <w:bottom w:val="single" w:sz="4" w:space="0" w:color="auto"/>
              <w:right w:val="single" w:sz="4" w:space="0" w:color="auto"/>
            </w:tcBorders>
          </w:tcPr>
          <w:p w14:paraId="0E50B651" w14:textId="77777777" w:rsidR="00E57DAA" w:rsidRDefault="00AC4185">
            <w:pPr>
              <w:rPr>
                <w:rFonts w:cs="Cambria"/>
                <w:szCs w:val="21"/>
              </w:rPr>
            </w:pPr>
            <w:r>
              <w:t>其他关联方</w:t>
            </w:r>
          </w:p>
        </w:tc>
      </w:tr>
      <w:tr w:rsidR="00E57DAA" w14:paraId="6DAC40F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17FAB4" w14:textId="77777777" w:rsidR="00E57DAA" w:rsidRDefault="00AC4185">
            <w:pPr>
              <w:rPr>
                <w:rFonts w:cs="Cambria"/>
                <w:szCs w:val="21"/>
              </w:rPr>
            </w:pPr>
            <w:r>
              <w:t>江西湖口万年青水泥有限公司</w:t>
            </w:r>
          </w:p>
        </w:tc>
        <w:tc>
          <w:tcPr>
            <w:tcW w:w="1807" w:type="pct"/>
            <w:tcBorders>
              <w:top w:val="single" w:sz="4" w:space="0" w:color="auto"/>
              <w:left w:val="single" w:sz="4" w:space="0" w:color="auto"/>
              <w:bottom w:val="single" w:sz="4" w:space="0" w:color="auto"/>
              <w:right w:val="single" w:sz="4" w:space="0" w:color="auto"/>
            </w:tcBorders>
          </w:tcPr>
          <w:p w14:paraId="72F9A141" w14:textId="77777777" w:rsidR="00E57DAA" w:rsidRDefault="00AC4185">
            <w:pPr>
              <w:rPr>
                <w:rFonts w:cs="Cambria"/>
                <w:szCs w:val="21"/>
              </w:rPr>
            </w:pPr>
            <w:r>
              <w:t>其他关联方</w:t>
            </w:r>
          </w:p>
        </w:tc>
      </w:tr>
      <w:tr w:rsidR="00E57DAA" w14:paraId="4B7BA41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44EB12" w14:textId="77777777" w:rsidR="00E57DAA" w:rsidRDefault="00AC4185">
            <w:pPr>
              <w:rPr>
                <w:rFonts w:cs="Cambria"/>
                <w:szCs w:val="21"/>
              </w:rPr>
            </w:pPr>
            <w:r>
              <w:t>江西瑞金万年青水泥有限责任公司</w:t>
            </w:r>
          </w:p>
        </w:tc>
        <w:tc>
          <w:tcPr>
            <w:tcW w:w="1807" w:type="pct"/>
            <w:tcBorders>
              <w:top w:val="single" w:sz="4" w:space="0" w:color="auto"/>
              <w:left w:val="single" w:sz="4" w:space="0" w:color="auto"/>
              <w:bottom w:val="single" w:sz="4" w:space="0" w:color="auto"/>
              <w:right w:val="single" w:sz="4" w:space="0" w:color="auto"/>
            </w:tcBorders>
          </w:tcPr>
          <w:p w14:paraId="62FAD2F3" w14:textId="77777777" w:rsidR="00E57DAA" w:rsidRDefault="00AC4185">
            <w:pPr>
              <w:rPr>
                <w:rFonts w:cs="Cambria"/>
                <w:szCs w:val="21"/>
              </w:rPr>
            </w:pPr>
            <w:r>
              <w:t>其他关联方</w:t>
            </w:r>
          </w:p>
        </w:tc>
      </w:tr>
      <w:tr w:rsidR="00E57DAA" w14:paraId="27B03D9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5220AD" w14:textId="77777777" w:rsidR="00E57DAA" w:rsidRDefault="00AC4185">
            <w:pPr>
              <w:rPr>
                <w:rFonts w:cs="Cambria"/>
                <w:szCs w:val="21"/>
              </w:rPr>
            </w:pPr>
            <w:r>
              <w:t>江西于都南方万年青水泥有限公司</w:t>
            </w:r>
          </w:p>
        </w:tc>
        <w:tc>
          <w:tcPr>
            <w:tcW w:w="1807" w:type="pct"/>
            <w:tcBorders>
              <w:top w:val="single" w:sz="4" w:space="0" w:color="auto"/>
              <w:left w:val="single" w:sz="4" w:space="0" w:color="auto"/>
              <w:bottom w:val="single" w:sz="4" w:space="0" w:color="auto"/>
              <w:right w:val="single" w:sz="4" w:space="0" w:color="auto"/>
            </w:tcBorders>
          </w:tcPr>
          <w:p w14:paraId="26BC7A65" w14:textId="77777777" w:rsidR="00E57DAA" w:rsidRDefault="00AC4185">
            <w:pPr>
              <w:rPr>
                <w:rFonts w:cs="Cambria"/>
                <w:szCs w:val="21"/>
              </w:rPr>
            </w:pPr>
            <w:r>
              <w:t>其他关联方</w:t>
            </w:r>
          </w:p>
        </w:tc>
      </w:tr>
      <w:tr w:rsidR="00E57DAA" w14:paraId="0AB2366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37E64F" w14:textId="77777777" w:rsidR="00E57DAA" w:rsidRDefault="00AC4185">
            <w:pPr>
              <w:rPr>
                <w:rFonts w:cs="Cambria"/>
                <w:szCs w:val="21"/>
              </w:rPr>
            </w:pPr>
            <w:r>
              <w:t>靖边县山水水泥有限公司</w:t>
            </w:r>
          </w:p>
        </w:tc>
        <w:tc>
          <w:tcPr>
            <w:tcW w:w="1807" w:type="pct"/>
            <w:tcBorders>
              <w:top w:val="single" w:sz="4" w:space="0" w:color="auto"/>
              <w:left w:val="single" w:sz="4" w:space="0" w:color="auto"/>
              <w:bottom w:val="single" w:sz="4" w:space="0" w:color="auto"/>
              <w:right w:val="single" w:sz="4" w:space="0" w:color="auto"/>
            </w:tcBorders>
          </w:tcPr>
          <w:p w14:paraId="0E8B225E" w14:textId="77777777" w:rsidR="00E57DAA" w:rsidRDefault="00AC4185">
            <w:pPr>
              <w:rPr>
                <w:rFonts w:cs="Cambria"/>
                <w:szCs w:val="21"/>
              </w:rPr>
            </w:pPr>
            <w:r>
              <w:t>其他关联方</w:t>
            </w:r>
          </w:p>
        </w:tc>
      </w:tr>
      <w:tr w:rsidR="00E57DAA" w14:paraId="502F909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DF0255" w14:textId="77777777" w:rsidR="00E57DAA" w:rsidRDefault="00AC4185">
            <w:pPr>
              <w:rPr>
                <w:rFonts w:cs="Cambria"/>
                <w:szCs w:val="21"/>
              </w:rPr>
            </w:pPr>
            <w:r>
              <w:t>巨野山水水泥有限公司</w:t>
            </w:r>
          </w:p>
        </w:tc>
        <w:tc>
          <w:tcPr>
            <w:tcW w:w="1807" w:type="pct"/>
            <w:tcBorders>
              <w:top w:val="single" w:sz="4" w:space="0" w:color="auto"/>
              <w:left w:val="single" w:sz="4" w:space="0" w:color="auto"/>
              <w:bottom w:val="single" w:sz="4" w:space="0" w:color="auto"/>
              <w:right w:val="single" w:sz="4" w:space="0" w:color="auto"/>
            </w:tcBorders>
          </w:tcPr>
          <w:p w14:paraId="1369780F" w14:textId="77777777" w:rsidR="00E57DAA" w:rsidRDefault="00AC4185">
            <w:pPr>
              <w:rPr>
                <w:rFonts w:cs="Cambria"/>
                <w:szCs w:val="21"/>
              </w:rPr>
            </w:pPr>
            <w:r>
              <w:t>其他关联方</w:t>
            </w:r>
          </w:p>
        </w:tc>
      </w:tr>
      <w:tr w:rsidR="00E57DAA" w14:paraId="23A2E9A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BCBEDF1" w14:textId="77777777" w:rsidR="00E57DAA" w:rsidRDefault="00AC4185">
            <w:pPr>
              <w:rPr>
                <w:rFonts w:cs="Cambria"/>
                <w:szCs w:val="21"/>
              </w:rPr>
            </w:pPr>
            <w:r>
              <w:t>喀左丛元号水泥有限责任公司</w:t>
            </w:r>
          </w:p>
        </w:tc>
        <w:tc>
          <w:tcPr>
            <w:tcW w:w="1807" w:type="pct"/>
            <w:tcBorders>
              <w:top w:val="single" w:sz="4" w:space="0" w:color="auto"/>
              <w:left w:val="single" w:sz="4" w:space="0" w:color="auto"/>
              <w:bottom w:val="single" w:sz="4" w:space="0" w:color="auto"/>
              <w:right w:val="single" w:sz="4" w:space="0" w:color="auto"/>
            </w:tcBorders>
          </w:tcPr>
          <w:p w14:paraId="697409A5" w14:textId="77777777" w:rsidR="00E57DAA" w:rsidRDefault="00AC4185">
            <w:pPr>
              <w:rPr>
                <w:rFonts w:cs="Cambria"/>
                <w:szCs w:val="21"/>
              </w:rPr>
            </w:pPr>
            <w:r>
              <w:t>其他关联方</w:t>
            </w:r>
          </w:p>
        </w:tc>
      </w:tr>
      <w:tr w:rsidR="00E57DAA" w14:paraId="34A2352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EA053B" w14:textId="77777777" w:rsidR="00E57DAA" w:rsidRDefault="00AC4185">
            <w:pPr>
              <w:rPr>
                <w:rFonts w:cs="Cambria"/>
                <w:szCs w:val="21"/>
              </w:rPr>
            </w:pPr>
            <w:r>
              <w:t>康达（山东）水泥有限公司</w:t>
            </w:r>
          </w:p>
        </w:tc>
        <w:tc>
          <w:tcPr>
            <w:tcW w:w="1807" w:type="pct"/>
            <w:tcBorders>
              <w:top w:val="single" w:sz="4" w:space="0" w:color="auto"/>
              <w:left w:val="single" w:sz="4" w:space="0" w:color="auto"/>
              <w:bottom w:val="single" w:sz="4" w:space="0" w:color="auto"/>
              <w:right w:val="single" w:sz="4" w:space="0" w:color="auto"/>
            </w:tcBorders>
          </w:tcPr>
          <w:p w14:paraId="1BD77B4F" w14:textId="77777777" w:rsidR="00E57DAA" w:rsidRDefault="00AC4185">
            <w:pPr>
              <w:rPr>
                <w:rFonts w:cs="Cambria"/>
                <w:szCs w:val="21"/>
              </w:rPr>
            </w:pPr>
            <w:r>
              <w:t>其他关联方</w:t>
            </w:r>
          </w:p>
        </w:tc>
      </w:tr>
      <w:tr w:rsidR="00E57DAA" w14:paraId="2401968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DD0C01" w14:textId="77777777" w:rsidR="00E57DAA" w:rsidRDefault="00AC4185">
            <w:pPr>
              <w:rPr>
                <w:rFonts w:cs="Cambria"/>
                <w:szCs w:val="21"/>
              </w:rPr>
            </w:pPr>
            <w:r>
              <w:t>乐平万年青上堡矿业有限公司</w:t>
            </w:r>
          </w:p>
        </w:tc>
        <w:tc>
          <w:tcPr>
            <w:tcW w:w="1807" w:type="pct"/>
            <w:tcBorders>
              <w:top w:val="single" w:sz="4" w:space="0" w:color="auto"/>
              <w:left w:val="single" w:sz="4" w:space="0" w:color="auto"/>
              <w:bottom w:val="single" w:sz="4" w:space="0" w:color="auto"/>
              <w:right w:val="single" w:sz="4" w:space="0" w:color="auto"/>
            </w:tcBorders>
          </w:tcPr>
          <w:p w14:paraId="3422541C" w14:textId="77777777" w:rsidR="00E57DAA" w:rsidRDefault="00AC4185">
            <w:pPr>
              <w:rPr>
                <w:rFonts w:cs="Cambria"/>
                <w:szCs w:val="21"/>
              </w:rPr>
            </w:pPr>
            <w:r>
              <w:t>其他关联方</w:t>
            </w:r>
          </w:p>
        </w:tc>
      </w:tr>
      <w:tr w:rsidR="00E57DAA" w14:paraId="381FA54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F8A982" w14:textId="77777777" w:rsidR="00E57DAA" w:rsidRDefault="00AC4185">
            <w:pPr>
              <w:rPr>
                <w:rFonts w:cs="Cambria"/>
                <w:szCs w:val="21"/>
              </w:rPr>
            </w:pPr>
            <w:r>
              <w:t>辽源金刚水泥(集团)有限公司</w:t>
            </w:r>
          </w:p>
        </w:tc>
        <w:tc>
          <w:tcPr>
            <w:tcW w:w="1807" w:type="pct"/>
            <w:tcBorders>
              <w:top w:val="single" w:sz="4" w:space="0" w:color="auto"/>
              <w:left w:val="single" w:sz="4" w:space="0" w:color="auto"/>
              <w:bottom w:val="single" w:sz="4" w:space="0" w:color="auto"/>
              <w:right w:val="single" w:sz="4" w:space="0" w:color="auto"/>
            </w:tcBorders>
          </w:tcPr>
          <w:p w14:paraId="3D8BD2B8" w14:textId="77777777" w:rsidR="00E57DAA" w:rsidRDefault="00AC4185">
            <w:pPr>
              <w:rPr>
                <w:rFonts w:cs="Cambria"/>
                <w:szCs w:val="21"/>
              </w:rPr>
            </w:pPr>
            <w:r>
              <w:t>其他关联方</w:t>
            </w:r>
          </w:p>
        </w:tc>
      </w:tr>
      <w:tr w:rsidR="00E57DAA" w14:paraId="7E98D5F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1154740" w14:textId="77777777" w:rsidR="00E57DAA" w:rsidRDefault="00AC4185">
            <w:pPr>
              <w:rPr>
                <w:rFonts w:cs="Cambria"/>
                <w:szCs w:val="21"/>
              </w:rPr>
            </w:pPr>
            <w:r>
              <w:t>辽源市金刚水泥厂</w:t>
            </w:r>
          </w:p>
        </w:tc>
        <w:tc>
          <w:tcPr>
            <w:tcW w:w="1807" w:type="pct"/>
            <w:tcBorders>
              <w:top w:val="single" w:sz="4" w:space="0" w:color="auto"/>
              <w:left w:val="single" w:sz="4" w:space="0" w:color="auto"/>
              <w:bottom w:val="single" w:sz="4" w:space="0" w:color="auto"/>
              <w:right w:val="single" w:sz="4" w:space="0" w:color="auto"/>
            </w:tcBorders>
          </w:tcPr>
          <w:p w14:paraId="185B38A5" w14:textId="77777777" w:rsidR="00E57DAA" w:rsidRDefault="00AC4185">
            <w:pPr>
              <w:rPr>
                <w:rFonts w:cs="Cambria"/>
                <w:szCs w:val="21"/>
              </w:rPr>
            </w:pPr>
            <w:r>
              <w:t>其他关联方</w:t>
            </w:r>
          </w:p>
        </w:tc>
      </w:tr>
      <w:tr w:rsidR="00E57DAA" w14:paraId="3D79CB5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855AEF6" w14:textId="77777777" w:rsidR="00E57DAA" w:rsidRDefault="00AC4185">
            <w:pPr>
              <w:rPr>
                <w:rFonts w:cs="Cambria"/>
                <w:szCs w:val="21"/>
              </w:rPr>
            </w:pPr>
            <w:r>
              <w:t>聊城山水水泥有限公司</w:t>
            </w:r>
          </w:p>
        </w:tc>
        <w:tc>
          <w:tcPr>
            <w:tcW w:w="1807" w:type="pct"/>
            <w:tcBorders>
              <w:top w:val="single" w:sz="4" w:space="0" w:color="auto"/>
              <w:left w:val="single" w:sz="4" w:space="0" w:color="auto"/>
              <w:bottom w:val="single" w:sz="4" w:space="0" w:color="auto"/>
              <w:right w:val="single" w:sz="4" w:space="0" w:color="auto"/>
            </w:tcBorders>
          </w:tcPr>
          <w:p w14:paraId="1A25F6CD" w14:textId="77777777" w:rsidR="00E57DAA" w:rsidRDefault="00AC4185">
            <w:pPr>
              <w:rPr>
                <w:rFonts w:cs="Cambria"/>
                <w:szCs w:val="21"/>
              </w:rPr>
            </w:pPr>
            <w:r>
              <w:t>其他关联方</w:t>
            </w:r>
          </w:p>
        </w:tc>
      </w:tr>
      <w:tr w:rsidR="00E57DAA" w14:paraId="4546F93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47BDE7F" w14:textId="77777777" w:rsidR="00E57DAA" w:rsidRDefault="00AC4185">
            <w:pPr>
              <w:rPr>
                <w:rFonts w:cs="Cambria"/>
                <w:szCs w:val="21"/>
              </w:rPr>
            </w:pPr>
            <w:r>
              <w:t>临汾山水水泥有限公司</w:t>
            </w:r>
          </w:p>
        </w:tc>
        <w:tc>
          <w:tcPr>
            <w:tcW w:w="1807" w:type="pct"/>
            <w:tcBorders>
              <w:top w:val="single" w:sz="4" w:space="0" w:color="auto"/>
              <w:left w:val="single" w:sz="4" w:space="0" w:color="auto"/>
              <w:bottom w:val="single" w:sz="4" w:space="0" w:color="auto"/>
              <w:right w:val="single" w:sz="4" w:space="0" w:color="auto"/>
            </w:tcBorders>
          </w:tcPr>
          <w:p w14:paraId="1F135F97" w14:textId="77777777" w:rsidR="00E57DAA" w:rsidRDefault="00AC4185">
            <w:pPr>
              <w:rPr>
                <w:rFonts w:cs="Cambria"/>
                <w:szCs w:val="21"/>
              </w:rPr>
            </w:pPr>
            <w:r>
              <w:t>其他关联方</w:t>
            </w:r>
          </w:p>
        </w:tc>
      </w:tr>
      <w:tr w:rsidR="00E57DAA" w14:paraId="529673E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D2EF18" w14:textId="77777777" w:rsidR="00E57DAA" w:rsidRDefault="00AC4185">
            <w:pPr>
              <w:rPr>
                <w:rFonts w:cs="Cambria"/>
                <w:szCs w:val="21"/>
              </w:rPr>
            </w:pPr>
            <w:r>
              <w:t>临朐山水建材骨料有限公司</w:t>
            </w:r>
          </w:p>
        </w:tc>
        <w:tc>
          <w:tcPr>
            <w:tcW w:w="1807" w:type="pct"/>
            <w:tcBorders>
              <w:top w:val="single" w:sz="4" w:space="0" w:color="auto"/>
              <w:left w:val="single" w:sz="4" w:space="0" w:color="auto"/>
              <w:bottom w:val="single" w:sz="4" w:space="0" w:color="auto"/>
              <w:right w:val="single" w:sz="4" w:space="0" w:color="auto"/>
            </w:tcBorders>
          </w:tcPr>
          <w:p w14:paraId="0D2B5632" w14:textId="77777777" w:rsidR="00E57DAA" w:rsidRDefault="00AC4185">
            <w:pPr>
              <w:rPr>
                <w:rFonts w:cs="Cambria"/>
                <w:szCs w:val="21"/>
              </w:rPr>
            </w:pPr>
            <w:r>
              <w:t>其他关联方</w:t>
            </w:r>
          </w:p>
        </w:tc>
      </w:tr>
      <w:tr w:rsidR="00E57DAA" w14:paraId="6A7F658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E990E0" w14:textId="77777777" w:rsidR="00E57DAA" w:rsidRDefault="00AC4185">
            <w:pPr>
              <w:rPr>
                <w:rFonts w:cs="Cambria"/>
                <w:szCs w:val="21"/>
              </w:rPr>
            </w:pPr>
            <w:r>
              <w:t>临朐山水水泥有限公司</w:t>
            </w:r>
          </w:p>
        </w:tc>
        <w:tc>
          <w:tcPr>
            <w:tcW w:w="1807" w:type="pct"/>
            <w:tcBorders>
              <w:top w:val="single" w:sz="4" w:space="0" w:color="auto"/>
              <w:left w:val="single" w:sz="4" w:space="0" w:color="auto"/>
              <w:bottom w:val="single" w:sz="4" w:space="0" w:color="auto"/>
              <w:right w:val="single" w:sz="4" w:space="0" w:color="auto"/>
            </w:tcBorders>
          </w:tcPr>
          <w:p w14:paraId="4B67DC68" w14:textId="77777777" w:rsidR="00E57DAA" w:rsidRDefault="00AC4185">
            <w:pPr>
              <w:rPr>
                <w:rFonts w:cs="Cambria"/>
                <w:szCs w:val="21"/>
              </w:rPr>
            </w:pPr>
            <w:r>
              <w:t>其他关联方</w:t>
            </w:r>
          </w:p>
        </w:tc>
      </w:tr>
      <w:tr w:rsidR="00E57DAA" w14:paraId="15A4987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66235D" w14:textId="77777777" w:rsidR="00E57DAA" w:rsidRDefault="00AC4185">
            <w:pPr>
              <w:rPr>
                <w:rFonts w:cs="Cambria"/>
                <w:szCs w:val="21"/>
              </w:rPr>
            </w:pPr>
            <w:r>
              <w:t>吕梁山水水泥有限公司</w:t>
            </w:r>
          </w:p>
        </w:tc>
        <w:tc>
          <w:tcPr>
            <w:tcW w:w="1807" w:type="pct"/>
            <w:tcBorders>
              <w:top w:val="single" w:sz="4" w:space="0" w:color="auto"/>
              <w:left w:val="single" w:sz="4" w:space="0" w:color="auto"/>
              <w:bottom w:val="single" w:sz="4" w:space="0" w:color="auto"/>
              <w:right w:val="single" w:sz="4" w:space="0" w:color="auto"/>
            </w:tcBorders>
          </w:tcPr>
          <w:p w14:paraId="4D677948" w14:textId="77777777" w:rsidR="00E57DAA" w:rsidRDefault="00AC4185">
            <w:pPr>
              <w:rPr>
                <w:rFonts w:cs="Cambria"/>
                <w:szCs w:val="21"/>
              </w:rPr>
            </w:pPr>
            <w:r>
              <w:t>其他关联方</w:t>
            </w:r>
          </w:p>
        </w:tc>
      </w:tr>
      <w:tr w:rsidR="00E57DAA" w14:paraId="51023F2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7A2136" w14:textId="77777777" w:rsidR="00E57DAA" w:rsidRDefault="00AC4185">
            <w:pPr>
              <w:rPr>
                <w:rFonts w:cs="Cambria"/>
                <w:szCs w:val="21"/>
              </w:rPr>
            </w:pPr>
            <w:r>
              <w:t>马鞍山南方材料有限公司</w:t>
            </w:r>
          </w:p>
        </w:tc>
        <w:tc>
          <w:tcPr>
            <w:tcW w:w="1807" w:type="pct"/>
            <w:tcBorders>
              <w:top w:val="single" w:sz="4" w:space="0" w:color="auto"/>
              <w:left w:val="single" w:sz="4" w:space="0" w:color="auto"/>
              <w:bottom w:val="single" w:sz="4" w:space="0" w:color="auto"/>
              <w:right w:val="single" w:sz="4" w:space="0" w:color="auto"/>
            </w:tcBorders>
          </w:tcPr>
          <w:p w14:paraId="76590ADA" w14:textId="77777777" w:rsidR="00E57DAA" w:rsidRDefault="00AC4185">
            <w:pPr>
              <w:rPr>
                <w:rFonts w:cs="Cambria"/>
                <w:szCs w:val="21"/>
              </w:rPr>
            </w:pPr>
            <w:r>
              <w:t>其他关联方</w:t>
            </w:r>
          </w:p>
        </w:tc>
      </w:tr>
      <w:tr w:rsidR="00E57DAA" w14:paraId="466551F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3DEC5F" w14:textId="77777777" w:rsidR="00E57DAA" w:rsidRDefault="00AC4185">
            <w:pPr>
              <w:rPr>
                <w:rFonts w:cs="Cambria"/>
                <w:szCs w:val="21"/>
              </w:rPr>
            </w:pPr>
            <w:r>
              <w:t>南京三龙水泥有限责任公司</w:t>
            </w:r>
          </w:p>
        </w:tc>
        <w:tc>
          <w:tcPr>
            <w:tcW w:w="1807" w:type="pct"/>
            <w:tcBorders>
              <w:top w:val="single" w:sz="4" w:space="0" w:color="auto"/>
              <w:left w:val="single" w:sz="4" w:space="0" w:color="auto"/>
              <w:bottom w:val="single" w:sz="4" w:space="0" w:color="auto"/>
              <w:right w:val="single" w:sz="4" w:space="0" w:color="auto"/>
            </w:tcBorders>
          </w:tcPr>
          <w:p w14:paraId="08A1E89C" w14:textId="77777777" w:rsidR="00E57DAA" w:rsidRDefault="00AC4185">
            <w:pPr>
              <w:rPr>
                <w:rFonts w:cs="Cambria"/>
                <w:szCs w:val="21"/>
              </w:rPr>
            </w:pPr>
            <w:r>
              <w:t>其他关联方</w:t>
            </w:r>
          </w:p>
        </w:tc>
      </w:tr>
      <w:tr w:rsidR="00E57DAA" w14:paraId="60ED1CC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060111" w14:textId="77777777" w:rsidR="00E57DAA" w:rsidRDefault="00AC4185">
            <w:pPr>
              <w:rPr>
                <w:rFonts w:cs="Cambria"/>
                <w:szCs w:val="21"/>
              </w:rPr>
            </w:pPr>
            <w:r>
              <w:t>内蒙古华立水泥有限公司</w:t>
            </w:r>
          </w:p>
        </w:tc>
        <w:tc>
          <w:tcPr>
            <w:tcW w:w="1807" w:type="pct"/>
            <w:tcBorders>
              <w:top w:val="single" w:sz="4" w:space="0" w:color="auto"/>
              <w:left w:val="single" w:sz="4" w:space="0" w:color="auto"/>
              <w:bottom w:val="single" w:sz="4" w:space="0" w:color="auto"/>
              <w:right w:val="single" w:sz="4" w:space="0" w:color="auto"/>
            </w:tcBorders>
          </w:tcPr>
          <w:p w14:paraId="5963B394" w14:textId="77777777" w:rsidR="00E57DAA" w:rsidRDefault="00AC4185">
            <w:pPr>
              <w:rPr>
                <w:rFonts w:cs="Cambria"/>
                <w:szCs w:val="21"/>
              </w:rPr>
            </w:pPr>
            <w:r>
              <w:t>其他关联方</w:t>
            </w:r>
          </w:p>
        </w:tc>
      </w:tr>
      <w:tr w:rsidR="00E57DAA" w14:paraId="2B4FD2F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75698B" w14:textId="77777777" w:rsidR="00E57DAA" w:rsidRDefault="00AC4185">
            <w:pPr>
              <w:rPr>
                <w:rFonts w:cs="Cambria"/>
                <w:szCs w:val="21"/>
              </w:rPr>
            </w:pPr>
            <w:r>
              <w:t>盘锦山水水泥有限公司</w:t>
            </w:r>
          </w:p>
        </w:tc>
        <w:tc>
          <w:tcPr>
            <w:tcW w:w="1807" w:type="pct"/>
            <w:tcBorders>
              <w:top w:val="single" w:sz="4" w:space="0" w:color="auto"/>
              <w:left w:val="single" w:sz="4" w:space="0" w:color="auto"/>
              <w:bottom w:val="single" w:sz="4" w:space="0" w:color="auto"/>
              <w:right w:val="single" w:sz="4" w:space="0" w:color="auto"/>
            </w:tcBorders>
          </w:tcPr>
          <w:p w14:paraId="4A5EA0E8" w14:textId="77777777" w:rsidR="00E57DAA" w:rsidRDefault="00AC4185">
            <w:pPr>
              <w:rPr>
                <w:rFonts w:cs="Cambria"/>
                <w:szCs w:val="21"/>
              </w:rPr>
            </w:pPr>
            <w:r>
              <w:t>其他关联方</w:t>
            </w:r>
          </w:p>
        </w:tc>
      </w:tr>
      <w:tr w:rsidR="00E57DAA" w14:paraId="37B0429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05C98FB" w14:textId="77777777" w:rsidR="00E57DAA" w:rsidRDefault="00AC4185">
            <w:pPr>
              <w:rPr>
                <w:rFonts w:cs="Cambria"/>
                <w:szCs w:val="21"/>
              </w:rPr>
            </w:pPr>
            <w:r>
              <w:t>平阴山水水泥有限公司</w:t>
            </w:r>
          </w:p>
        </w:tc>
        <w:tc>
          <w:tcPr>
            <w:tcW w:w="1807" w:type="pct"/>
            <w:tcBorders>
              <w:top w:val="single" w:sz="4" w:space="0" w:color="auto"/>
              <w:left w:val="single" w:sz="4" w:space="0" w:color="auto"/>
              <w:bottom w:val="single" w:sz="4" w:space="0" w:color="auto"/>
              <w:right w:val="single" w:sz="4" w:space="0" w:color="auto"/>
            </w:tcBorders>
          </w:tcPr>
          <w:p w14:paraId="6B65B3D1" w14:textId="77777777" w:rsidR="00E57DAA" w:rsidRDefault="00AC4185">
            <w:pPr>
              <w:rPr>
                <w:rFonts w:cs="Cambria"/>
                <w:szCs w:val="21"/>
              </w:rPr>
            </w:pPr>
            <w:r>
              <w:t>其他关联方</w:t>
            </w:r>
          </w:p>
        </w:tc>
      </w:tr>
      <w:tr w:rsidR="00E57DAA" w14:paraId="3046482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FF6DFBC" w14:textId="77777777" w:rsidR="00E57DAA" w:rsidRDefault="00AC4185">
            <w:pPr>
              <w:rPr>
                <w:rFonts w:cs="Cambria"/>
                <w:szCs w:val="21"/>
              </w:rPr>
            </w:pPr>
            <w:r>
              <w:t>青岛山水恒泰水泥有限公司</w:t>
            </w:r>
          </w:p>
        </w:tc>
        <w:tc>
          <w:tcPr>
            <w:tcW w:w="1807" w:type="pct"/>
            <w:tcBorders>
              <w:top w:val="single" w:sz="4" w:space="0" w:color="auto"/>
              <w:left w:val="single" w:sz="4" w:space="0" w:color="auto"/>
              <w:bottom w:val="single" w:sz="4" w:space="0" w:color="auto"/>
              <w:right w:val="single" w:sz="4" w:space="0" w:color="auto"/>
            </w:tcBorders>
          </w:tcPr>
          <w:p w14:paraId="3CF22370" w14:textId="77777777" w:rsidR="00E57DAA" w:rsidRDefault="00AC4185">
            <w:pPr>
              <w:rPr>
                <w:rFonts w:cs="Cambria"/>
                <w:szCs w:val="21"/>
              </w:rPr>
            </w:pPr>
            <w:r>
              <w:t>其他关联方</w:t>
            </w:r>
          </w:p>
        </w:tc>
      </w:tr>
      <w:tr w:rsidR="00E57DAA" w14:paraId="5E9AC43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4A7FB9" w14:textId="77777777" w:rsidR="00E57DAA" w:rsidRDefault="00AC4185">
            <w:pPr>
              <w:rPr>
                <w:rFonts w:cs="Cambria"/>
                <w:szCs w:val="21"/>
              </w:rPr>
            </w:pPr>
            <w:r>
              <w:t>青岛思锐国际物流股份有限公司</w:t>
            </w:r>
          </w:p>
        </w:tc>
        <w:tc>
          <w:tcPr>
            <w:tcW w:w="1807" w:type="pct"/>
            <w:tcBorders>
              <w:top w:val="single" w:sz="4" w:space="0" w:color="auto"/>
              <w:left w:val="single" w:sz="4" w:space="0" w:color="auto"/>
              <w:bottom w:val="single" w:sz="4" w:space="0" w:color="auto"/>
              <w:right w:val="single" w:sz="4" w:space="0" w:color="auto"/>
            </w:tcBorders>
          </w:tcPr>
          <w:p w14:paraId="2C128C3D" w14:textId="77777777" w:rsidR="00E57DAA" w:rsidRDefault="00AC4185">
            <w:pPr>
              <w:rPr>
                <w:rFonts w:cs="Cambria"/>
                <w:szCs w:val="21"/>
              </w:rPr>
            </w:pPr>
            <w:r>
              <w:t>其他关联方</w:t>
            </w:r>
          </w:p>
        </w:tc>
      </w:tr>
      <w:tr w:rsidR="00E57DAA" w14:paraId="17C452BF"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65894E" w14:textId="77777777" w:rsidR="00E57DAA" w:rsidRDefault="00AC4185">
            <w:pPr>
              <w:rPr>
                <w:rFonts w:cs="Cambria"/>
                <w:szCs w:val="21"/>
              </w:rPr>
            </w:pPr>
            <w:r>
              <w:t>山东东华科技有限公司</w:t>
            </w:r>
          </w:p>
        </w:tc>
        <w:tc>
          <w:tcPr>
            <w:tcW w:w="1807" w:type="pct"/>
            <w:tcBorders>
              <w:top w:val="single" w:sz="4" w:space="0" w:color="auto"/>
              <w:left w:val="single" w:sz="4" w:space="0" w:color="auto"/>
              <w:bottom w:val="single" w:sz="4" w:space="0" w:color="auto"/>
              <w:right w:val="single" w:sz="4" w:space="0" w:color="auto"/>
            </w:tcBorders>
          </w:tcPr>
          <w:p w14:paraId="3C5158B1" w14:textId="77777777" w:rsidR="00E57DAA" w:rsidRDefault="00AC4185">
            <w:pPr>
              <w:rPr>
                <w:rFonts w:cs="Cambria"/>
                <w:szCs w:val="21"/>
              </w:rPr>
            </w:pPr>
            <w:r>
              <w:t>其他关联方</w:t>
            </w:r>
          </w:p>
        </w:tc>
      </w:tr>
      <w:tr w:rsidR="00E57DAA" w14:paraId="1A1485B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A7380F" w14:textId="77777777" w:rsidR="00E57DAA" w:rsidRDefault="00AC4185">
            <w:pPr>
              <w:rPr>
                <w:rFonts w:cs="Cambria"/>
                <w:szCs w:val="21"/>
              </w:rPr>
            </w:pPr>
            <w:r>
              <w:t>山东泉兴晶石建材有限公司</w:t>
            </w:r>
          </w:p>
        </w:tc>
        <w:tc>
          <w:tcPr>
            <w:tcW w:w="1807" w:type="pct"/>
            <w:tcBorders>
              <w:top w:val="single" w:sz="4" w:space="0" w:color="auto"/>
              <w:left w:val="single" w:sz="4" w:space="0" w:color="auto"/>
              <w:bottom w:val="single" w:sz="4" w:space="0" w:color="auto"/>
              <w:right w:val="single" w:sz="4" w:space="0" w:color="auto"/>
            </w:tcBorders>
          </w:tcPr>
          <w:p w14:paraId="671E8D02" w14:textId="77777777" w:rsidR="00E57DAA" w:rsidRDefault="00AC4185">
            <w:pPr>
              <w:rPr>
                <w:rFonts w:cs="Cambria"/>
                <w:szCs w:val="21"/>
              </w:rPr>
            </w:pPr>
            <w:r>
              <w:t>其他关联方</w:t>
            </w:r>
          </w:p>
        </w:tc>
      </w:tr>
      <w:tr w:rsidR="00E57DAA" w14:paraId="627AD8A3"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5A2D86" w14:textId="77777777" w:rsidR="00E57DAA" w:rsidRDefault="00AC4185">
            <w:pPr>
              <w:rPr>
                <w:rFonts w:cs="Cambria"/>
                <w:szCs w:val="21"/>
              </w:rPr>
            </w:pPr>
            <w:r>
              <w:t>山东申丰水泥集团有限公司</w:t>
            </w:r>
          </w:p>
        </w:tc>
        <w:tc>
          <w:tcPr>
            <w:tcW w:w="1807" w:type="pct"/>
            <w:tcBorders>
              <w:top w:val="single" w:sz="4" w:space="0" w:color="auto"/>
              <w:left w:val="single" w:sz="4" w:space="0" w:color="auto"/>
              <w:bottom w:val="single" w:sz="4" w:space="0" w:color="auto"/>
              <w:right w:val="single" w:sz="4" w:space="0" w:color="auto"/>
            </w:tcBorders>
          </w:tcPr>
          <w:p w14:paraId="3E912D12" w14:textId="77777777" w:rsidR="00E57DAA" w:rsidRDefault="00AC4185">
            <w:pPr>
              <w:rPr>
                <w:rFonts w:cs="Cambria"/>
                <w:szCs w:val="21"/>
              </w:rPr>
            </w:pPr>
            <w:r>
              <w:t>其他关联方</w:t>
            </w:r>
          </w:p>
        </w:tc>
      </w:tr>
      <w:tr w:rsidR="00E57DAA" w14:paraId="300D3C0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D5E1E6" w14:textId="77777777" w:rsidR="00E57DAA" w:rsidRDefault="00AC4185">
            <w:pPr>
              <w:rPr>
                <w:rFonts w:cs="Cambria"/>
                <w:szCs w:val="21"/>
              </w:rPr>
            </w:pPr>
            <w:r>
              <w:t>山东水泥厂有限公司</w:t>
            </w:r>
          </w:p>
        </w:tc>
        <w:tc>
          <w:tcPr>
            <w:tcW w:w="1807" w:type="pct"/>
            <w:tcBorders>
              <w:top w:val="single" w:sz="4" w:space="0" w:color="auto"/>
              <w:left w:val="single" w:sz="4" w:space="0" w:color="auto"/>
              <w:bottom w:val="single" w:sz="4" w:space="0" w:color="auto"/>
              <w:right w:val="single" w:sz="4" w:space="0" w:color="auto"/>
            </w:tcBorders>
          </w:tcPr>
          <w:p w14:paraId="3147F19F" w14:textId="77777777" w:rsidR="00E57DAA" w:rsidRDefault="00AC4185">
            <w:pPr>
              <w:rPr>
                <w:rFonts w:cs="Cambria"/>
                <w:szCs w:val="21"/>
              </w:rPr>
            </w:pPr>
            <w:r>
              <w:t>其他关联方</w:t>
            </w:r>
          </w:p>
        </w:tc>
      </w:tr>
      <w:tr w:rsidR="00E57DAA" w14:paraId="5FCFA47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C4952A" w14:textId="77777777" w:rsidR="00E57DAA" w:rsidRDefault="00AC4185">
            <w:pPr>
              <w:rPr>
                <w:rFonts w:cs="Cambria"/>
                <w:szCs w:val="21"/>
              </w:rPr>
            </w:pPr>
            <w:r>
              <w:t>朔州山水新时代水泥有限公司</w:t>
            </w:r>
          </w:p>
        </w:tc>
        <w:tc>
          <w:tcPr>
            <w:tcW w:w="1807" w:type="pct"/>
            <w:tcBorders>
              <w:top w:val="single" w:sz="4" w:space="0" w:color="auto"/>
              <w:left w:val="single" w:sz="4" w:space="0" w:color="auto"/>
              <w:bottom w:val="single" w:sz="4" w:space="0" w:color="auto"/>
              <w:right w:val="single" w:sz="4" w:space="0" w:color="auto"/>
            </w:tcBorders>
          </w:tcPr>
          <w:p w14:paraId="3E9B1DB6" w14:textId="77777777" w:rsidR="00E57DAA" w:rsidRDefault="00AC4185">
            <w:pPr>
              <w:rPr>
                <w:rFonts w:cs="Cambria"/>
                <w:szCs w:val="21"/>
              </w:rPr>
            </w:pPr>
            <w:r>
              <w:t>其他关联方</w:t>
            </w:r>
          </w:p>
        </w:tc>
      </w:tr>
      <w:tr w:rsidR="00E57DAA" w14:paraId="6947243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E51870" w14:textId="77777777" w:rsidR="00E57DAA" w:rsidRDefault="00AC4185">
            <w:pPr>
              <w:rPr>
                <w:rFonts w:cs="Cambria"/>
                <w:szCs w:val="21"/>
              </w:rPr>
            </w:pPr>
            <w:r>
              <w:t>四川德胜集团钒钛有限公司</w:t>
            </w:r>
          </w:p>
        </w:tc>
        <w:tc>
          <w:tcPr>
            <w:tcW w:w="1807" w:type="pct"/>
            <w:tcBorders>
              <w:top w:val="single" w:sz="4" w:space="0" w:color="auto"/>
              <w:left w:val="single" w:sz="4" w:space="0" w:color="auto"/>
              <w:bottom w:val="single" w:sz="4" w:space="0" w:color="auto"/>
              <w:right w:val="single" w:sz="4" w:space="0" w:color="auto"/>
            </w:tcBorders>
          </w:tcPr>
          <w:p w14:paraId="5EE744CC" w14:textId="77777777" w:rsidR="00E57DAA" w:rsidRDefault="00AC4185">
            <w:pPr>
              <w:rPr>
                <w:rFonts w:cs="Cambria"/>
                <w:szCs w:val="21"/>
              </w:rPr>
            </w:pPr>
            <w:r>
              <w:t>其他关联方</w:t>
            </w:r>
          </w:p>
        </w:tc>
      </w:tr>
      <w:tr w:rsidR="00E57DAA" w14:paraId="6ACD8EE7"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9455793" w14:textId="77777777" w:rsidR="00E57DAA" w:rsidRDefault="00AC4185">
            <w:pPr>
              <w:rPr>
                <w:rFonts w:cs="Cambria"/>
                <w:szCs w:val="21"/>
              </w:rPr>
            </w:pPr>
            <w:r>
              <w:t>四川省达州钢铁集团有限责任公司</w:t>
            </w:r>
          </w:p>
        </w:tc>
        <w:tc>
          <w:tcPr>
            <w:tcW w:w="1807" w:type="pct"/>
            <w:tcBorders>
              <w:top w:val="single" w:sz="4" w:space="0" w:color="auto"/>
              <w:left w:val="single" w:sz="4" w:space="0" w:color="auto"/>
              <w:bottom w:val="single" w:sz="4" w:space="0" w:color="auto"/>
              <w:right w:val="single" w:sz="4" w:space="0" w:color="auto"/>
            </w:tcBorders>
          </w:tcPr>
          <w:p w14:paraId="243D9D70" w14:textId="77777777" w:rsidR="00E57DAA" w:rsidRDefault="00AC4185">
            <w:pPr>
              <w:rPr>
                <w:rFonts w:cs="Cambria"/>
                <w:szCs w:val="21"/>
              </w:rPr>
            </w:pPr>
            <w:r>
              <w:t>其他关联方</w:t>
            </w:r>
          </w:p>
        </w:tc>
      </w:tr>
      <w:tr w:rsidR="00E57DAA" w14:paraId="62985FD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F01D1D" w14:textId="77777777" w:rsidR="00E57DAA" w:rsidRDefault="00AC4185">
            <w:pPr>
              <w:rPr>
                <w:rFonts w:cs="Cambria"/>
                <w:szCs w:val="21"/>
              </w:rPr>
            </w:pPr>
            <w:r>
              <w:t>四川省冕宁县富强水泥厂</w:t>
            </w:r>
          </w:p>
        </w:tc>
        <w:tc>
          <w:tcPr>
            <w:tcW w:w="1807" w:type="pct"/>
            <w:tcBorders>
              <w:top w:val="single" w:sz="4" w:space="0" w:color="auto"/>
              <w:left w:val="single" w:sz="4" w:space="0" w:color="auto"/>
              <w:bottom w:val="single" w:sz="4" w:space="0" w:color="auto"/>
              <w:right w:val="single" w:sz="4" w:space="0" w:color="auto"/>
            </w:tcBorders>
          </w:tcPr>
          <w:p w14:paraId="1899E2A4" w14:textId="77777777" w:rsidR="00E57DAA" w:rsidRDefault="00AC4185">
            <w:pPr>
              <w:rPr>
                <w:rFonts w:cs="Cambria"/>
                <w:szCs w:val="21"/>
              </w:rPr>
            </w:pPr>
            <w:r>
              <w:t>其他关联方</w:t>
            </w:r>
          </w:p>
        </w:tc>
      </w:tr>
      <w:tr w:rsidR="00E57DAA" w14:paraId="40BF0DA1"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A229D5" w14:textId="77777777" w:rsidR="00E57DAA" w:rsidRDefault="00AC4185">
            <w:pPr>
              <w:rPr>
                <w:rFonts w:cs="Cambria"/>
                <w:szCs w:val="21"/>
              </w:rPr>
            </w:pPr>
            <w:r>
              <w:t>四川省银河化学股份有限公司</w:t>
            </w:r>
          </w:p>
        </w:tc>
        <w:tc>
          <w:tcPr>
            <w:tcW w:w="1807" w:type="pct"/>
            <w:tcBorders>
              <w:top w:val="single" w:sz="4" w:space="0" w:color="auto"/>
              <w:left w:val="single" w:sz="4" w:space="0" w:color="auto"/>
              <w:bottom w:val="single" w:sz="4" w:space="0" w:color="auto"/>
              <w:right w:val="single" w:sz="4" w:space="0" w:color="auto"/>
            </w:tcBorders>
          </w:tcPr>
          <w:p w14:paraId="0A2B789E" w14:textId="77777777" w:rsidR="00E57DAA" w:rsidRDefault="00AC4185">
            <w:pPr>
              <w:rPr>
                <w:rFonts w:cs="Cambria"/>
                <w:szCs w:val="21"/>
              </w:rPr>
            </w:pPr>
            <w:r>
              <w:t>其他关联方</w:t>
            </w:r>
          </w:p>
        </w:tc>
      </w:tr>
      <w:tr w:rsidR="00E57DAA" w14:paraId="7E89E04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C7AB738" w14:textId="77777777" w:rsidR="00E57DAA" w:rsidRDefault="00AC4185">
            <w:pPr>
              <w:rPr>
                <w:rFonts w:cs="Cambria"/>
                <w:szCs w:val="21"/>
              </w:rPr>
            </w:pPr>
            <w:r>
              <w:t>四川省资中县东方红水泥有限责任公司</w:t>
            </w:r>
          </w:p>
        </w:tc>
        <w:tc>
          <w:tcPr>
            <w:tcW w:w="1807" w:type="pct"/>
            <w:tcBorders>
              <w:top w:val="single" w:sz="4" w:space="0" w:color="auto"/>
              <w:left w:val="single" w:sz="4" w:space="0" w:color="auto"/>
              <w:bottom w:val="single" w:sz="4" w:space="0" w:color="auto"/>
              <w:right w:val="single" w:sz="4" w:space="0" w:color="auto"/>
            </w:tcBorders>
          </w:tcPr>
          <w:p w14:paraId="0AD3E877" w14:textId="77777777" w:rsidR="00E57DAA" w:rsidRDefault="00AC4185">
            <w:pPr>
              <w:rPr>
                <w:rFonts w:cs="Cambria"/>
                <w:szCs w:val="21"/>
              </w:rPr>
            </w:pPr>
            <w:r>
              <w:t>其他关联方</w:t>
            </w:r>
          </w:p>
        </w:tc>
      </w:tr>
      <w:tr w:rsidR="00E57DAA" w14:paraId="2921A10E"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6E6688" w14:textId="77777777" w:rsidR="00E57DAA" w:rsidRDefault="00AC4185">
            <w:pPr>
              <w:rPr>
                <w:rFonts w:cs="Cambria"/>
                <w:szCs w:val="21"/>
              </w:rPr>
            </w:pPr>
            <w:r>
              <w:t>太原狮头水泥有限公司</w:t>
            </w:r>
          </w:p>
        </w:tc>
        <w:tc>
          <w:tcPr>
            <w:tcW w:w="1807" w:type="pct"/>
            <w:tcBorders>
              <w:top w:val="single" w:sz="4" w:space="0" w:color="auto"/>
              <w:left w:val="single" w:sz="4" w:space="0" w:color="auto"/>
              <w:bottom w:val="single" w:sz="4" w:space="0" w:color="auto"/>
              <w:right w:val="single" w:sz="4" w:space="0" w:color="auto"/>
            </w:tcBorders>
          </w:tcPr>
          <w:p w14:paraId="48601565" w14:textId="77777777" w:rsidR="00E57DAA" w:rsidRDefault="00AC4185">
            <w:pPr>
              <w:rPr>
                <w:rFonts w:cs="Cambria"/>
                <w:szCs w:val="21"/>
              </w:rPr>
            </w:pPr>
            <w:r>
              <w:t>其他关联方</w:t>
            </w:r>
          </w:p>
        </w:tc>
      </w:tr>
      <w:tr w:rsidR="00E57DAA" w14:paraId="390248C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2C5601" w14:textId="77777777" w:rsidR="00E57DAA" w:rsidRDefault="00AC4185">
            <w:pPr>
              <w:rPr>
                <w:rFonts w:cs="Cambria"/>
                <w:szCs w:val="21"/>
              </w:rPr>
            </w:pPr>
            <w:r>
              <w:t>潍坊德正环境服务有限公司</w:t>
            </w:r>
          </w:p>
        </w:tc>
        <w:tc>
          <w:tcPr>
            <w:tcW w:w="1807" w:type="pct"/>
            <w:tcBorders>
              <w:top w:val="single" w:sz="4" w:space="0" w:color="auto"/>
              <w:left w:val="single" w:sz="4" w:space="0" w:color="auto"/>
              <w:bottom w:val="single" w:sz="4" w:space="0" w:color="auto"/>
              <w:right w:val="single" w:sz="4" w:space="0" w:color="auto"/>
            </w:tcBorders>
          </w:tcPr>
          <w:p w14:paraId="61EC1584" w14:textId="77777777" w:rsidR="00E57DAA" w:rsidRDefault="00AC4185">
            <w:pPr>
              <w:rPr>
                <w:rFonts w:cs="Cambria"/>
                <w:szCs w:val="21"/>
              </w:rPr>
            </w:pPr>
            <w:r>
              <w:t>其他关联方</w:t>
            </w:r>
          </w:p>
        </w:tc>
      </w:tr>
      <w:tr w:rsidR="00E57DAA" w14:paraId="509131C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AF2D13" w14:textId="77777777" w:rsidR="00E57DAA" w:rsidRDefault="00AC4185">
            <w:pPr>
              <w:rPr>
                <w:rFonts w:cs="Cambria"/>
                <w:szCs w:val="21"/>
              </w:rPr>
            </w:pPr>
            <w:r>
              <w:t>潍坊凝石山水水泥有限公司</w:t>
            </w:r>
          </w:p>
        </w:tc>
        <w:tc>
          <w:tcPr>
            <w:tcW w:w="1807" w:type="pct"/>
            <w:tcBorders>
              <w:top w:val="single" w:sz="4" w:space="0" w:color="auto"/>
              <w:left w:val="single" w:sz="4" w:space="0" w:color="auto"/>
              <w:bottom w:val="single" w:sz="4" w:space="0" w:color="auto"/>
              <w:right w:val="single" w:sz="4" w:space="0" w:color="auto"/>
            </w:tcBorders>
          </w:tcPr>
          <w:p w14:paraId="0660F484" w14:textId="77777777" w:rsidR="00E57DAA" w:rsidRDefault="00AC4185">
            <w:pPr>
              <w:rPr>
                <w:rFonts w:cs="Cambria"/>
                <w:szCs w:val="21"/>
              </w:rPr>
            </w:pPr>
            <w:r>
              <w:t>其他关联方</w:t>
            </w:r>
          </w:p>
        </w:tc>
      </w:tr>
      <w:tr w:rsidR="00E57DAA" w14:paraId="01438A95"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2FD0F2" w14:textId="77777777" w:rsidR="00E57DAA" w:rsidRDefault="00AC4185">
            <w:pPr>
              <w:rPr>
                <w:rFonts w:cs="Cambria"/>
                <w:szCs w:val="21"/>
              </w:rPr>
            </w:pPr>
            <w:r>
              <w:t>潍坊山水水泥有限公司</w:t>
            </w:r>
          </w:p>
        </w:tc>
        <w:tc>
          <w:tcPr>
            <w:tcW w:w="1807" w:type="pct"/>
            <w:tcBorders>
              <w:top w:val="single" w:sz="4" w:space="0" w:color="auto"/>
              <w:left w:val="single" w:sz="4" w:space="0" w:color="auto"/>
              <w:bottom w:val="single" w:sz="4" w:space="0" w:color="auto"/>
              <w:right w:val="single" w:sz="4" w:space="0" w:color="auto"/>
            </w:tcBorders>
          </w:tcPr>
          <w:p w14:paraId="5E6FC774" w14:textId="77777777" w:rsidR="00E57DAA" w:rsidRDefault="00AC4185">
            <w:pPr>
              <w:rPr>
                <w:rFonts w:cs="Cambria"/>
                <w:szCs w:val="21"/>
              </w:rPr>
            </w:pPr>
            <w:r>
              <w:t>其他关联方</w:t>
            </w:r>
          </w:p>
        </w:tc>
      </w:tr>
      <w:tr w:rsidR="00E57DAA" w14:paraId="41230BBD"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2816A7" w14:textId="77777777" w:rsidR="00E57DAA" w:rsidRDefault="00AC4185">
            <w:pPr>
              <w:rPr>
                <w:rFonts w:cs="Cambria"/>
                <w:szCs w:val="21"/>
              </w:rPr>
            </w:pPr>
            <w:r>
              <w:t>芜湖南方水泥有限公司</w:t>
            </w:r>
          </w:p>
        </w:tc>
        <w:tc>
          <w:tcPr>
            <w:tcW w:w="1807" w:type="pct"/>
            <w:tcBorders>
              <w:top w:val="single" w:sz="4" w:space="0" w:color="auto"/>
              <w:left w:val="single" w:sz="4" w:space="0" w:color="auto"/>
              <w:bottom w:val="single" w:sz="4" w:space="0" w:color="auto"/>
              <w:right w:val="single" w:sz="4" w:space="0" w:color="auto"/>
            </w:tcBorders>
          </w:tcPr>
          <w:p w14:paraId="77F9B1B3" w14:textId="77777777" w:rsidR="00E57DAA" w:rsidRDefault="00AC4185">
            <w:pPr>
              <w:rPr>
                <w:rFonts w:cs="Cambria"/>
                <w:szCs w:val="21"/>
              </w:rPr>
            </w:pPr>
            <w:r>
              <w:t>其他关联方</w:t>
            </w:r>
          </w:p>
        </w:tc>
      </w:tr>
      <w:tr w:rsidR="00E57DAA" w14:paraId="52C77A6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861C83" w14:textId="77777777" w:rsidR="00E57DAA" w:rsidRDefault="00AC4185">
            <w:pPr>
              <w:rPr>
                <w:rFonts w:cs="Cambria"/>
                <w:szCs w:val="21"/>
              </w:rPr>
            </w:pPr>
            <w:r>
              <w:t>西藏堆龙东嘎水泥有限公司</w:t>
            </w:r>
          </w:p>
        </w:tc>
        <w:tc>
          <w:tcPr>
            <w:tcW w:w="1807" w:type="pct"/>
            <w:tcBorders>
              <w:top w:val="single" w:sz="4" w:space="0" w:color="auto"/>
              <w:left w:val="single" w:sz="4" w:space="0" w:color="auto"/>
              <w:bottom w:val="single" w:sz="4" w:space="0" w:color="auto"/>
              <w:right w:val="single" w:sz="4" w:space="0" w:color="auto"/>
            </w:tcBorders>
          </w:tcPr>
          <w:p w14:paraId="4C00B909" w14:textId="77777777" w:rsidR="00E57DAA" w:rsidRDefault="00AC4185">
            <w:pPr>
              <w:rPr>
                <w:rFonts w:cs="Cambria"/>
                <w:szCs w:val="21"/>
              </w:rPr>
            </w:pPr>
            <w:r>
              <w:t>其他关联方</w:t>
            </w:r>
          </w:p>
        </w:tc>
      </w:tr>
      <w:tr w:rsidR="00E57DAA" w14:paraId="013895A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AF2C4A" w14:textId="77777777" w:rsidR="00E57DAA" w:rsidRDefault="00AC4185">
            <w:pPr>
              <w:rPr>
                <w:rFonts w:cs="Cambria"/>
                <w:szCs w:val="21"/>
              </w:rPr>
            </w:pPr>
            <w:r>
              <w:t>新余钢铁股份有限公司</w:t>
            </w:r>
          </w:p>
        </w:tc>
        <w:tc>
          <w:tcPr>
            <w:tcW w:w="1807" w:type="pct"/>
            <w:tcBorders>
              <w:top w:val="single" w:sz="4" w:space="0" w:color="auto"/>
              <w:left w:val="single" w:sz="4" w:space="0" w:color="auto"/>
              <w:bottom w:val="single" w:sz="4" w:space="0" w:color="auto"/>
              <w:right w:val="single" w:sz="4" w:space="0" w:color="auto"/>
            </w:tcBorders>
          </w:tcPr>
          <w:p w14:paraId="6042E42E" w14:textId="77777777" w:rsidR="00E57DAA" w:rsidRDefault="00AC4185">
            <w:pPr>
              <w:rPr>
                <w:rFonts w:cs="Cambria"/>
                <w:szCs w:val="21"/>
              </w:rPr>
            </w:pPr>
            <w:r>
              <w:t>其他关联方</w:t>
            </w:r>
          </w:p>
        </w:tc>
      </w:tr>
      <w:tr w:rsidR="00E57DAA" w14:paraId="7C362434"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D0D797" w14:textId="77777777" w:rsidR="00E57DAA" w:rsidRDefault="00AC4185">
            <w:pPr>
              <w:rPr>
                <w:rFonts w:cs="Cambria"/>
                <w:szCs w:val="21"/>
              </w:rPr>
            </w:pPr>
            <w:r>
              <w:t>徐州市机电建材资产经营公司</w:t>
            </w:r>
          </w:p>
        </w:tc>
        <w:tc>
          <w:tcPr>
            <w:tcW w:w="1807" w:type="pct"/>
            <w:tcBorders>
              <w:top w:val="single" w:sz="4" w:space="0" w:color="auto"/>
              <w:left w:val="single" w:sz="4" w:space="0" w:color="auto"/>
              <w:bottom w:val="single" w:sz="4" w:space="0" w:color="auto"/>
              <w:right w:val="single" w:sz="4" w:space="0" w:color="auto"/>
            </w:tcBorders>
          </w:tcPr>
          <w:p w14:paraId="50EBAC19" w14:textId="77777777" w:rsidR="00E57DAA" w:rsidRDefault="00AC4185">
            <w:pPr>
              <w:rPr>
                <w:rFonts w:cs="Cambria"/>
                <w:szCs w:val="21"/>
              </w:rPr>
            </w:pPr>
            <w:r>
              <w:t>其他关联方</w:t>
            </w:r>
          </w:p>
        </w:tc>
      </w:tr>
      <w:tr w:rsidR="00E57DAA" w14:paraId="72EDAD50"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17D906" w14:textId="77777777" w:rsidR="00E57DAA" w:rsidRDefault="00AC4185">
            <w:pPr>
              <w:rPr>
                <w:rFonts w:cs="Cambria"/>
                <w:szCs w:val="21"/>
              </w:rPr>
            </w:pPr>
            <w:r>
              <w:t>沂水山水水泥有限公司</w:t>
            </w:r>
          </w:p>
        </w:tc>
        <w:tc>
          <w:tcPr>
            <w:tcW w:w="1807" w:type="pct"/>
            <w:tcBorders>
              <w:top w:val="single" w:sz="4" w:space="0" w:color="auto"/>
              <w:left w:val="single" w:sz="4" w:space="0" w:color="auto"/>
              <w:bottom w:val="single" w:sz="4" w:space="0" w:color="auto"/>
              <w:right w:val="single" w:sz="4" w:space="0" w:color="auto"/>
            </w:tcBorders>
          </w:tcPr>
          <w:p w14:paraId="61ED9804" w14:textId="77777777" w:rsidR="00E57DAA" w:rsidRDefault="00AC4185">
            <w:pPr>
              <w:rPr>
                <w:rFonts w:cs="Cambria"/>
                <w:szCs w:val="21"/>
              </w:rPr>
            </w:pPr>
            <w:r>
              <w:t>其他关联方</w:t>
            </w:r>
          </w:p>
        </w:tc>
      </w:tr>
      <w:tr w:rsidR="00E57DAA" w14:paraId="4E848169"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31ECA6E" w14:textId="77777777" w:rsidR="00E57DAA" w:rsidRDefault="00AC4185">
            <w:pPr>
              <w:rPr>
                <w:rFonts w:cs="Cambria"/>
                <w:szCs w:val="21"/>
              </w:rPr>
            </w:pPr>
            <w:r>
              <w:t>扎赉特旗山水水泥有限公司</w:t>
            </w:r>
          </w:p>
        </w:tc>
        <w:tc>
          <w:tcPr>
            <w:tcW w:w="1807" w:type="pct"/>
            <w:tcBorders>
              <w:top w:val="single" w:sz="4" w:space="0" w:color="auto"/>
              <w:left w:val="single" w:sz="4" w:space="0" w:color="auto"/>
              <w:bottom w:val="single" w:sz="4" w:space="0" w:color="auto"/>
              <w:right w:val="single" w:sz="4" w:space="0" w:color="auto"/>
            </w:tcBorders>
          </w:tcPr>
          <w:p w14:paraId="6F4894E1" w14:textId="77777777" w:rsidR="00E57DAA" w:rsidRDefault="00AC4185">
            <w:pPr>
              <w:rPr>
                <w:rFonts w:cs="Cambria"/>
                <w:szCs w:val="21"/>
              </w:rPr>
            </w:pPr>
            <w:r>
              <w:t>其他关联方</w:t>
            </w:r>
          </w:p>
        </w:tc>
      </w:tr>
      <w:tr w:rsidR="00E57DAA" w14:paraId="43FDCE1C"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6574C8" w14:textId="77777777" w:rsidR="00E57DAA" w:rsidRDefault="00AC4185">
            <w:pPr>
              <w:rPr>
                <w:rFonts w:cs="Cambria"/>
                <w:szCs w:val="21"/>
              </w:rPr>
            </w:pPr>
            <w:r>
              <w:t>长春市双阳区东龙白灰厂</w:t>
            </w:r>
          </w:p>
        </w:tc>
        <w:tc>
          <w:tcPr>
            <w:tcW w:w="1807" w:type="pct"/>
            <w:tcBorders>
              <w:top w:val="single" w:sz="4" w:space="0" w:color="auto"/>
              <w:left w:val="single" w:sz="4" w:space="0" w:color="auto"/>
              <w:bottom w:val="single" w:sz="4" w:space="0" w:color="auto"/>
              <w:right w:val="single" w:sz="4" w:space="0" w:color="auto"/>
            </w:tcBorders>
          </w:tcPr>
          <w:p w14:paraId="6B3DFC1D" w14:textId="77777777" w:rsidR="00E57DAA" w:rsidRDefault="00AC4185">
            <w:pPr>
              <w:rPr>
                <w:rFonts w:cs="Cambria"/>
                <w:szCs w:val="21"/>
              </w:rPr>
            </w:pPr>
            <w:r>
              <w:t>其他关联方</w:t>
            </w:r>
          </w:p>
        </w:tc>
      </w:tr>
      <w:tr w:rsidR="00E57DAA" w14:paraId="72DD27F2"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AD8DF76" w14:textId="77777777" w:rsidR="00E57DAA" w:rsidRDefault="00AC4185">
            <w:pPr>
              <w:rPr>
                <w:rFonts w:cs="Cambria"/>
                <w:szCs w:val="21"/>
              </w:rPr>
            </w:pPr>
            <w:r>
              <w:t>长春市四通水泥有限公司</w:t>
            </w:r>
          </w:p>
        </w:tc>
        <w:tc>
          <w:tcPr>
            <w:tcW w:w="1807" w:type="pct"/>
            <w:tcBorders>
              <w:top w:val="single" w:sz="4" w:space="0" w:color="auto"/>
              <w:left w:val="single" w:sz="4" w:space="0" w:color="auto"/>
              <w:bottom w:val="single" w:sz="4" w:space="0" w:color="auto"/>
              <w:right w:val="single" w:sz="4" w:space="0" w:color="auto"/>
            </w:tcBorders>
          </w:tcPr>
          <w:p w14:paraId="6D01A328" w14:textId="77777777" w:rsidR="00E57DAA" w:rsidRDefault="00AC4185">
            <w:pPr>
              <w:rPr>
                <w:rFonts w:cs="Cambria"/>
                <w:szCs w:val="21"/>
              </w:rPr>
            </w:pPr>
            <w:r>
              <w:t>其他关联方</w:t>
            </w:r>
          </w:p>
        </w:tc>
      </w:tr>
      <w:tr w:rsidR="00E57DAA" w14:paraId="0FDDCCBA"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5256D7" w14:textId="77777777" w:rsidR="00E57DAA" w:rsidRDefault="00AC4185">
            <w:pPr>
              <w:rPr>
                <w:rFonts w:cs="Cambria"/>
                <w:szCs w:val="21"/>
              </w:rPr>
            </w:pPr>
            <w:r>
              <w:t>浙江上峰建材有限公司</w:t>
            </w:r>
          </w:p>
        </w:tc>
        <w:tc>
          <w:tcPr>
            <w:tcW w:w="1807" w:type="pct"/>
            <w:tcBorders>
              <w:top w:val="single" w:sz="4" w:space="0" w:color="auto"/>
              <w:left w:val="single" w:sz="4" w:space="0" w:color="auto"/>
              <w:bottom w:val="single" w:sz="4" w:space="0" w:color="auto"/>
              <w:right w:val="single" w:sz="4" w:space="0" w:color="auto"/>
            </w:tcBorders>
          </w:tcPr>
          <w:p w14:paraId="56DA4D8C" w14:textId="77777777" w:rsidR="00E57DAA" w:rsidRDefault="00AC4185">
            <w:pPr>
              <w:rPr>
                <w:rFonts w:cs="Cambria"/>
                <w:szCs w:val="21"/>
              </w:rPr>
            </w:pPr>
            <w:r>
              <w:t>其他关联方</w:t>
            </w:r>
          </w:p>
        </w:tc>
      </w:tr>
      <w:tr w:rsidR="00E57DAA" w14:paraId="31DF05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B03BF61" w14:textId="77777777" w:rsidR="00E57DAA" w:rsidRDefault="00AC4185">
            <w:pPr>
              <w:rPr>
                <w:rFonts w:cs="Cambria"/>
                <w:szCs w:val="21"/>
              </w:rPr>
            </w:pPr>
            <w:r>
              <w:lastRenderedPageBreak/>
              <w:t>浙江裕廊水泥有限公司</w:t>
            </w:r>
          </w:p>
        </w:tc>
        <w:tc>
          <w:tcPr>
            <w:tcW w:w="1807" w:type="pct"/>
            <w:tcBorders>
              <w:top w:val="single" w:sz="4" w:space="0" w:color="auto"/>
              <w:left w:val="single" w:sz="4" w:space="0" w:color="auto"/>
              <w:bottom w:val="single" w:sz="4" w:space="0" w:color="auto"/>
              <w:right w:val="single" w:sz="4" w:space="0" w:color="auto"/>
            </w:tcBorders>
          </w:tcPr>
          <w:p w14:paraId="69D1D4D6" w14:textId="77777777" w:rsidR="00E57DAA" w:rsidRDefault="00AC4185">
            <w:pPr>
              <w:rPr>
                <w:rFonts w:cs="Cambria"/>
                <w:szCs w:val="21"/>
              </w:rPr>
            </w:pPr>
            <w:r>
              <w:t>其他关联方</w:t>
            </w:r>
          </w:p>
        </w:tc>
      </w:tr>
      <w:tr w:rsidR="00E57DAA" w14:paraId="318ECCB8"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E15309" w14:textId="77777777" w:rsidR="00E57DAA" w:rsidRDefault="00AC4185">
            <w:pPr>
              <w:rPr>
                <w:rFonts w:cs="Cambria"/>
                <w:szCs w:val="21"/>
              </w:rPr>
            </w:pPr>
            <w:r>
              <w:t>中建材钢构工程有限公司</w:t>
            </w:r>
          </w:p>
        </w:tc>
        <w:tc>
          <w:tcPr>
            <w:tcW w:w="1807" w:type="pct"/>
            <w:tcBorders>
              <w:top w:val="single" w:sz="4" w:space="0" w:color="auto"/>
              <w:left w:val="single" w:sz="4" w:space="0" w:color="auto"/>
              <w:bottom w:val="single" w:sz="4" w:space="0" w:color="auto"/>
              <w:right w:val="single" w:sz="4" w:space="0" w:color="auto"/>
            </w:tcBorders>
          </w:tcPr>
          <w:p w14:paraId="063B71F1" w14:textId="77777777" w:rsidR="00E57DAA" w:rsidRDefault="00AC4185">
            <w:pPr>
              <w:rPr>
                <w:rFonts w:cs="Cambria"/>
                <w:szCs w:val="21"/>
              </w:rPr>
            </w:pPr>
            <w:r>
              <w:t>其他关联方</w:t>
            </w:r>
          </w:p>
        </w:tc>
      </w:tr>
      <w:tr w:rsidR="00E57DAA" w14:paraId="4555AAE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508217" w14:textId="77777777" w:rsidR="00E57DAA" w:rsidRDefault="00AC4185">
            <w:pPr>
              <w:rPr>
                <w:rFonts w:cs="Cambria"/>
                <w:szCs w:val="21"/>
              </w:rPr>
            </w:pPr>
            <w:r>
              <w:t>淄博山水水泥有限公司</w:t>
            </w:r>
          </w:p>
        </w:tc>
        <w:tc>
          <w:tcPr>
            <w:tcW w:w="1807" w:type="pct"/>
            <w:tcBorders>
              <w:top w:val="single" w:sz="4" w:space="0" w:color="auto"/>
              <w:left w:val="single" w:sz="4" w:space="0" w:color="auto"/>
              <w:bottom w:val="single" w:sz="4" w:space="0" w:color="auto"/>
              <w:right w:val="single" w:sz="4" w:space="0" w:color="auto"/>
            </w:tcBorders>
          </w:tcPr>
          <w:p w14:paraId="019B7EA2" w14:textId="77777777" w:rsidR="00E57DAA" w:rsidRDefault="00AC4185">
            <w:pPr>
              <w:rPr>
                <w:rFonts w:cs="Cambria"/>
                <w:szCs w:val="21"/>
              </w:rPr>
            </w:pPr>
            <w:r>
              <w:t>其他关联方</w:t>
            </w:r>
          </w:p>
        </w:tc>
      </w:tr>
      <w:tr w:rsidR="00E57DAA" w14:paraId="76CDCF76" w14:textId="77777777">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8A0D2E" w14:textId="77777777" w:rsidR="00E57DAA" w:rsidRDefault="00AC4185">
            <w:pPr>
              <w:rPr>
                <w:rFonts w:cs="Cambria"/>
                <w:szCs w:val="21"/>
              </w:rPr>
            </w:pPr>
            <w:r>
              <w:t>淄博双凤山水水泥有限公司</w:t>
            </w:r>
          </w:p>
        </w:tc>
        <w:tc>
          <w:tcPr>
            <w:tcW w:w="1807" w:type="pct"/>
            <w:tcBorders>
              <w:top w:val="single" w:sz="4" w:space="0" w:color="auto"/>
              <w:left w:val="single" w:sz="4" w:space="0" w:color="auto"/>
              <w:bottom w:val="single" w:sz="4" w:space="0" w:color="auto"/>
              <w:right w:val="single" w:sz="4" w:space="0" w:color="auto"/>
            </w:tcBorders>
          </w:tcPr>
          <w:p w14:paraId="05285191" w14:textId="77777777" w:rsidR="00E57DAA" w:rsidRDefault="00AC4185">
            <w:pPr>
              <w:rPr>
                <w:rFonts w:cs="Cambria"/>
                <w:szCs w:val="21"/>
              </w:rPr>
            </w:pPr>
            <w:r>
              <w:rPr>
                <w:rFonts w:hint="eastAsia"/>
              </w:rPr>
              <w:t>其他关联方</w:t>
            </w:r>
          </w:p>
        </w:tc>
      </w:tr>
    </w:tbl>
    <w:p w14:paraId="509CE402" w14:textId="77777777" w:rsidR="00E57DAA" w:rsidRDefault="00E57DAA"/>
    <w:p w14:paraId="2DE3FEEA" w14:textId="77777777" w:rsidR="00E57DAA" w:rsidRDefault="00AC4185" w:rsidP="00C25422">
      <w:pPr>
        <w:pStyle w:val="91"/>
        <w:numPr>
          <w:ilvl w:val="0"/>
          <w:numId w:val="121"/>
        </w:numPr>
      </w:pPr>
      <w:r>
        <w:rPr>
          <w:rFonts w:hint="eastAsia"/>
        </w:rPr>
        <w:t>关联交易情况</w:t>
      </w:r>
    </w:p>
    <w:p w14:paraId="1EB716D9" w14:textId="77777777" w:rsidR="00E57DAA" w:rsidRDefault="00AC4185">
      <w:pPr>
        <w:pStyle w:val="4"/>
        <w:numPr>
          <w:ilvl w:val="3"/>
          <w:numId w:val="122"/>
        </w:numPr>
        <w:ind w:left="424" w:hangingChars="201" w:hanging="424"/>
      </w:pPr>
      <w:r>
        <w:rPr>
          <w:rFonts w:hint="eastAsia"/>
        </w:rPr>
        <w:t>购销商品、提供和接受劳务的关联交易</w:t>
      </w:r>
    </w:p>
    <w:p w14:paraId="70F45361" w14:textId="77777777" w:rsidR="00E57DAA" w:rsidRDefault="00AC4185" w:rsidP="00C25422">
      <w:pPr>
        <w:pStyle w:val="92"/>
      </w:pPr>
      <w:r>
        <w:rPr>
          <w:rFonts w:hint="eastAsia"/>
        </w:rPr>
        <w:t>采购商品/接受劳务情况表</w:t>
      </w:r>
    </w:p>
    <w:sdt>
      <w:sdtPr>
        <w:alias w:val="是否适用：采购商品或接受劳务情况表[双击切换]"/>
        <w:tag w:val="_GBC_c080653feddc4cf2a468adfbb755dff3"/>
        <w:id w:val="939875584"/>
        <w:placeholder>
          <w:docPart w:val="GBC22222222222222222222222222222"/>
        </w:placeholder>
      </w:sdtPr>
      <w:sdtEndPr/>
      <w:sdtContent>
        <w:p w14:paraId="682F943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5501A2" w14:textId="77777777" w:rsidR="00E57DAA" w:rsidRDefault="00AC4185">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6509456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4825149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999"/>
        <w:gridCol w:w="2340"/>
        <w:gridCol w:w="1686"/>
        <w:gridCol w:w="1798"/>
      </w:tblGrid>
      <w:tr w:rsidR="00E57DAA" w14:paraId="1DC99EDE" w14:textId="77777777">
        <w:trPr>
          <w:cantSplit/>
          <w:trHeight w:val="295"/>
        </w:trPr>
        <w:bookmarkStart w:id="316" w:name="_Hlk40536931" w:displacedByCustomXml="next"/>
        <w:sdt>
          <w:sdtPr>
            <w:tag w:val="_PLD_ed4fd195f176464f83eb8db1dbcbc443"/>
            <w:id w:val="-275408998"/>
          </w:sdtPr>
          <w:sdtEndPr/>
          <w:sdtContent>
            <w:tc>
              <w:tcPr>
                <w:tcW w:w="1700" w:type="pct"/>
                <w:tcBorders>
                  <w:top w:val="single" w:sz="4" w:space="0" w:color="auto"/>
                  <w:left w:val="single" w:sz="4" w:space="0" w:color="auto"/>
                  <w:bottom w:val="single" w:sz="4" w:space="0" w:color="auto"/>
                  <w:right w:val="single" w:sz="4" w:space="0" w:color="auto"/>
                </w:tcBorders>
                <w:shd w:val="clear" w:color="auto" w:fill="auto"/>
                <w:vAlign w:val="center"/>
              </w:tcPr>
              <w:p w14:paraId="4C2C518F" w14:textId="77777777" w:rsidR="00E57DAA" w:rsidRDefault="00AC4185">
                <w:pPr>
                  <w:jc w:val="center"/>
                  <w:rPr>
                    <w:rFonts w:cs="Cambria"/>
                    <w:szCs w:val="21"/>
                  </w:rPr>
                </w:pPr>
                <w:r>
                  <w:rPr>
                    <w:rFonts w:cs="Cambria" w:hint="eastAsia"/>
                    <w:szCs w:val="21"/>
                  </w:rPr>
                  <w:t>关联方</w:t>
                </w:r>
              </w:p>
            </w:tc>
          </w:sdtContent>
        </w:sdt>
        <w:sdt>
          <w:sdtPr>
            <w:tag w:val="_PLD_013e7578c973447da6bccdb1a3924d96"/>
            <w:id w:val="1133602473"/>
          </w:sdtPr>
          <w:sdtEndPr/>
          <w:sdtContent>
            <w:tc>
              <w:tcPr>
                <w:tcW w:w="1326" w:type="pct"/>
                <w:tcBorders>
                  <w:top w:val="single" w:sz="4" w:space="0" w:color="auto"/>
                  <w:left w:val="single" w:sz="4" w:space="0" w:color="auto"/>
                  <w:bottom w:val="single" w:sz="4" w:space="0" w:color="auto"/>
                  <w:right w:val="single" w:sz="4" w:space="0" w:color="auto"/>
                </w:tcBorders>
                <w:shd w:val="clear" w:color="auto" w:fill="auto"/>
                <w:vAlign w:val="center"/>
              </w:tcPr>
              <w:p w14:paraId="5B41AD25" w14:textId="77777777" w:rsidR="00E57DAA" w:rsidRDefault="00AC4185">
                <w:pPr>
                  <w:jc w:val="center"/>
                  <w:rPr>
                    <w:rFonts w:cs="Cambria"/>
                    <w:szCs w:val="21"/>
                  </w:rPr>
                </w:pPr>
                <w:r>
                  <w:rPr>
                    <w:rFonts w:cs="Cambria" w:hint="eastAsia"/>
                    <w:szCs w:val="21"/>
                  </w:rPr>
                  <w:t>关联交易内容</w:t>
                </w:r>
              </w:p>
            </w:tc>
          </w:sdtContent>
        </w:sdt>
        <w:sdt>
          <w:sdtPr>
            <w:tag w:val="_PLD_6b54e09a146a4c34bba286909831c05b"/>
            <w:id w:val="-1023007466"/>
          </w:sdtPr>
          <w:sdtEndPr/>
          <w:sdtContent>
            <w:tc>
              <w:tcPr>
                <w:tcW w:w="955" w:type="pct"/>
                <w:tcBorders>
                  <w:top w:val="single" w:sz="4" w:space="0" w:color="auto"/>
                  <w:left w:val="single" w:sz="4" w:space="0" w:color="auto"/>
                  <w:right w:val="single" w:sz="4" w:space="0" w:color="auto"/>
                </w:tcBorders>
                <w:shd w:val="clear" w:color="auto" w:fill="auto"/>
                <w:vAlign w:val="center"/>
              </w:tcPr>
              <w:p w14:paraId="019C4840" w14:textId="77777777" w:rsidR="00E57DAA" w:rsidRDefault="00AC4185">
                <w:pPr>
                  <w:jc w:val="center"/>
                  <w:rPr>
                    <w:rFonts w:cs="Cambria"/>
                    <w:szCs w:val="21"/>
                  </w:rPr>
                </w:pPr>
                <w:r>
                  <w:rPr>
                    <w:rFonts w:cs="Cambria" w:hint="eastAsia"/>
                    <w:szCs w:val="21"/>
                  </w:rPr>
                  <w:t>本期发生额</w:t>
                </w:r>
              </w:p>
            </w:tc>
          </w:sdtContent>
        </w:sdt>
        <w:sdt>
          <w:sdtPr>
            <w:tag w:val="_PLD_9f856a67de3d45acbef7ccb12b35985d"/>
            <w:id w:val="-75518769"/>
          </w:sdtPr>
          <w:sdtEndPr/>
          <w:sdtContent>
            <w:tc>
              <w:tcPr>
                <w:tcW w:w="1019" w:type="pct"/>
                <w:tcBorders>
                  <w:top w:val="single" w:sz="4" w:space="0" w:color="auto"/>
                  <w:left w:val="single" w:sz="4" w:space="0" w:color="auto"/>
                  <w:right w:val="single" w:sz="4" w:space="0" w:color="auto"/>
                </w:tcBorders>
                <w:shd w:val="clear" w:color="auto" w:fill="auto"/>
                <w:vAlign w:val="center"/>
              </w:tcPr>
              <w:p w14:paraId="638C70A0" w14:textId="77777777" w:rsidR="00E57DAA" w:rsidRDefault="00AC4185">
                <w:pPr>
                  <w:jc w:val="center"/>
                  <w:rPr>
                    <w:rFonts w:cs="Cambria"/>
                    <w:szCs w:val="21"/>
                  </w:rPr>
                </w:pPr>
                <w:r>
                  <w:rPr>
                    <w:rFonts w:cs="Cambria" w:hint="eastAsia"/>
                    <w:szCs w:val="21"/>
                  </w:rPr>
                  <w:t>上期发生额</w:t>
                </w:r>
              </w:p>
            </w:tc>
          </w:sdtContent>
        </w:sdt>
      </w:tr>
      <w:tr w:rsidR="00E57DAA" w14:paraId="543F0F8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AE06970" w14:textId="77777777" w:rsidR="00E57DAA" w:rsidRDefault="00AC4185">
            <w:pPr>
              <w:rPr>
                <w:szCs w:val="21"/>
              </w:rPr>
            </w:pPr>
            <w:r>
              <w:t>联营企业</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E39CFC4" w14:textId="77777777" w:rsidR="00E57DAA" w:rsidRDefault="00AC4185">
            <w:pPr>
              <w:rPr>
                <w:szCs w:val="21"/>
              </w:rPr>
            </w:pPr>
            <w:r>
              <w:t xml:space="preserve">　</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AE4897D"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C7B60D7" w14:textId="77777777" w:rsidR="00E57DAA" w:rsidRDefault="00AC4185">
            <w:pPr>
              <w:jc w:val="right"/>
              <w:rPr>
                <w:szCs w:val="21"/>
              </w:rPr>
            </w:pPr>
            <w:r>
              <w:t xml:space="preserve">　</w:t>
            </w:r>
          </w:p>
        </w:tc>
      </w:tr>
      <w:tr w:rsidR="00E57DAA" w14:paraId="3CD694D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2440FA8" w14:textId="77777777" w:rsidR="00E57DAA" w:rsidRDefault="00AC4185">
            <w:pPr>
              <w:rPr>
                <w:szCs w:val="21"/>
              </w:rPr>
            </w:pPr>
            <w:r>
              <w:t>安徽长江环境科技有限公司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819506F"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E2F9933"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315226D" w14:textId="77777777" w:rsidR="00E57DAA" w:rsidRDefault="00AC4185">
            <w:pPr>
              <w:jc w:val="right"/>
              <w:rPr>
                <w:szCs w:val="21"/>
              </w:rPr>
            </w:pPr>
            <w:r>
              <w:t>45,402,521.57</w:t>
            </w:r>
          </w:p>
        </w:tc>
      </w:tr>
      <w:tr w:rsidR="00E57DAA" w14:paraId="13BF2B7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F184BB5" w14:textId="77777777" w:rsidR="00E57DAA" w:rsidRDefault="00AC4185">
            <w:pPr>
              <w:rPr>
                <w:szCs w:val="21"/>
              </w:rPr>
            </w:pPr>
            <w:r>
              <w:t>枞阳南方材料有限公司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21D0531"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E5D099C"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2467338" w14:textId="77777777" w:rsidR="00E57DAA" w:rsidRDefault="00AC4185">
            <w:pPr>
              <w:jc w:val="right"/>
              <w:rPr>
                <w:szCs w:val="21"/>
              </w:rPr>
            </w:pPr>
            <w:r>
              <w:t>32,964.11</w:t>
            </w:r>
          </w:p>
        </w:tc>
      </w:tr>
      <w:tr w:rsidR="00E57DAA" w14:paraId="7355817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7F38BD0" w14:textId="77777777" w:rsidR="00E57DAA" w:rsidRDefault="00AC4185">
            <w:pPr>
              <w:rPr>
                <w:szCs w:val="21"/>
              </w:rPr>
            </w:pPr>
            <w:r>
              <w:t>合肥中亚科技有限责任公司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5476FA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092F8E9" w14:textId="77777777" w:rsidR="00E57DAA" w:rsidRDefault="00AC4185">
            <w:pPr>
              <w:jc w:val="right"/>
              <w:rPr>
                <w:szCs w:val="21"/>
              </w:rPr>
            </w:pPr>
            <w:r>
              <w:t>2,406,617.38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163F909" w14:textId="77777777" w:rsidR="00E57DAA" w:rsidRDefault="00AC4185">
            <w:pPr>
              <w:jc w:val="right"/>
              <w:rPr>
                <w:szCs w:val="21"/>
              </w:rPr>
            </w:pPr>
            <w:r>
              <w:t>1,727,517.70</w:t>
            </w:r>
          </w:p>
        </w:tc>
      </w:tr>
      <w:tr w:rsidR="00E57DAA" w14:paraId="77EE8A6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253CE94" w14:textId="77777777" w:rsidR="00E57DAA" w:rsidRDefault="00AC4185">
            <w:pPr>
              <w:rPr>
                <w:szCs w:val="21"/>
              </w:rPr>
            </w:pPr>
            <w:r>
              <w:t>江苏丰海新能源淡化海水发展有限公司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428D2D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D2C679B" w14:textId="77777777" w:rsidR="00E57DAA" w:rsidRDefault="00AC4185">
            <w:pPr>
              <w:jc w:val="right"/>
              <w:rPr>
                <w:szCs w:val="21"/>
              </w:rPr>
            </w:pPr>
            <w:r>
              <w:t>7,508,849.58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B8F6A51" w14:textId="77777777" w:rsidR="00E57DAA" w:rsidRDefault="00AC4185">
            <w:pPr>
              <w:jc w:val="right"/>
              <w:rPr>
                <w:szCs w:val="21"/>
              </w:rPr>
            </w:pPr>
            <w:r>
              <w:t xml:space="preserve">　</w:t>
            </w:r>
          </w:p>
        </w:tc>
      </w:tr>
      <w:tr w:rsidR="00E57DAA" w14:paraId="75A6F83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541721C" w14:textId="77777777" w:rsidR="00E57DAA" w:rsidRDefault="00AC4185">
            <w:pPr>
              <w:rPr>
                <w:szCs w:val="21"/>
              </w:rPr>
            </w:pPr>
            <w:r>
              <w:t>中才邦业（杭州）智能技术有限公司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AC34F0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BC6604" w14:textId="77777777" w:rsidR="00E57DAA" w:rsidRDefault="00AC4185">
            <w:pPr>
              <w:jc w:val="right"/>
              <w:rPr>
                <w:szCs w:val="21"/>
              </w:rPr>
            </w:pPr>
            <w:r>
              <w:t>12,695,663.70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3A25516" w14:textId="77777777" w:rsidR="00E57DAA" w:rsidRDefault="00AC4185">
            <w:pPr>
              <w:jc w:val="right"/>
              <w:rPr>
                <w:szCs w:val="21"/>
              </w:rPr>
            </w:pPr>
            <w:r>
              <w:t>6,522,123.89</w:t>
            </w:r>
          </w:p>
        </w:tc>
      </w:tr>
      <w:tr w:rsidR="00E57DAA" w14:paraId="7F5DA43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18D7B46" w14:textId="77777777" w:rsidR="00E57DAA" w:rsidRDefault="00AC4185">
            <w:pPr>
              <w:rPr>
                <w:szCs w:val="21"/>
              </w:rPr>
            </w:pPr>
            <w:r>
              <w:t>中建（淄博）重型机械有限公司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BBEFAE1"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8AB6A65" w14:textId="77777777" w:rsidR="00E57DAA" w:rsidRDefault="00AC4185">
            <w:pPr>
              <w:jc w:val="right"/>
              <w:rPr>
                <w:szCs w:val="21"/>
              </w:rPr>
            </w:pPr>
            <w:r>
              <w:t>4,672,967.96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31D8AAB" w14:textId="77777777" w:rsidR="00E57DAA" w:rsidRDefault="00AC4185">
            <w:pPr>
              <w:jc w:val="right"/>
              <w:rPr>
                <w:szCs w:val="21"/>
              </w:rPr>
            </w:pPr>
            <w:r>
              <w:t xml:space="preserve">　</w:t>
            </w:r>
          </w:p>
        </w:tc>
      </w:tr>
      <w:tr w:rsidR="00E57DAA" w14:paraId="18B87F4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6712FD0" w14:textId="77777777" w:rsidR="00E57DAA" w:rsidRDefault="00AC4185">
            <w:pPr>
              <w:rPr>
                <w:szCs w:val="21"/>
              </w:rPr>
            </w:pPr>
            <w:r>
              <w:t>受同一母公司控制的其他企业</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F441EFE" w14:textId="77777777" w:rsidR="00E57DAA" w:rsidRDefault="00AC4185">
            <w:pPr>
              <w:rPr>
                <w:szCs w:val="21"/>
              </w:rPr>
            </w:pPr>
            <w:r>
              <w:t xml:space="preserve">　</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365EDB5"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85D2746" w14:textId="77777777" w:rsidR="00E57DAA" w:rsidRDefault="00AC4185">
            <w:pPr>
              <w:jc w:val="right"/>
              <w:rPr>
                <w:szCs w:val="21"/>
              </w:rPr>
            </w:pPr>
            <w:r>
              <w:t xml:space="preserve">　</w:t>
            </w:r>
          </w:p>
        </w:tc>
      </w:tr>
      <w:tr w:rsidR="00E57DAA" w14:paraId="6E09308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8F767E8" w14:textId="77777777" w:rsidR="00E57DAA" w:rsidRDefault="00AC4185">
            <w:pPr>
              <w:rPr>
                <w:szCs w:val="21"/>
              </w:rPr>
            </w:pPr>
            <w:r>
              <w:t>Mpande   Limestone Limited</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65A3A6C"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E8026EA"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561A524" w14:textId="77777777" w:rsidR="00E57DAA" w:rsidRDefault="00AC4185">
            <w:pPr>
              <w:jc w:val="right"/>
              <w:rPr>
                <w:szCs w:val="21"/>
              </w:rPr>
            </w:pPr>
            <w:r>
              <w:t>322,671.77</w:t>
            </w:r>
          </w:p>
        </w:tc>
      </w:tr>
      <w:tr w:rsidR="00E57DAA" w14:paraId="6FD9071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1971B01" w14:textId="77777777" w:rsidR="00E57DAA" w:rsidRDefault="00AC4185">
            <w:pPr>
              <w:rPr>
                <w:szCs w:val="21"/>
              </w:rPr>
            </w:pPr>
            <w:r>
              <w:t>安吉南方水泥有限公司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CF3FAA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6E404A1" w14:textId="77777777" w:rsidR="00E57DAA" w:rsidRDefault="00AC4185">
            <w:pPr>
              <w:jc w:val="right"/>
              <w:rPr>
                <w:szCs w:val="21"/>
              </w:rPr>
            </w:pPr>
            <w:r>
              <w:t>34,782.64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4926929" w14:textId="77777777" w:rsidR="00E57DAA" w:rsidRDefault="00AC4185">
            <w:pPr>
              <w:jc w:val="right"/>
              <w:rPr>
                <w:szCs w:val="21"/>
              </w:rPr>
            </w:pPr>
            <w:r>
              <w:t xml:space="preserve">　</w:t>
            </w:r>
          </w:p>
        </w:tc>
      </w:tr>
      <w:tr w:rsidR="00E57DAA" w14:paraId="4B16ADA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3F2A65E" w14:textId="77777777" w:rsidR="00E57DAA" w:rsidRDefault="00AC4185">
            <w:pPr>
              <w:rPr>
                <w:szCs w:val="21"/>
              </w:rPr>
            </w:pPr>
            <w:r>
              <w:t>巴彦淖尔中联水泥有限公司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EE56540"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6A20E5"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F7CA018" w14:textId="77777777" w:rsidR="00E57DAA" w:rsidRDefault="00AC4185">
            <w:pPr>
              <w:jc w:val="right"/>
              <w:rPr>
                <w:szCs w:val="21"/>
              </w:rPr>
            </w:pPr>
            <w:r>
              <w:t>127,991.59</w:t>
            </w:r>
          </w:p>
        </w:tc>
      </w:tr>
      <w:tr w:rsidR="00E57DAA" w14:paraId="37CFFAF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11E645" w14:textId="77777777" w:rsidR="00E57DAA" w:rsidRDefault="00AC4185">
            <w:pPr>
              <w:rPr>
                <w:szCs w:val="21"/>
              </w:rPr>
            </w:pPr>
            <w:r>
              <w:t>北川中联水泥有限公司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9BBBAC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F98312" w14:textId="77777777" w:rsidR="00E57DAA" w:rsidRDefault="00AC4185">
            <w:pPr>
              <w:jc w:val="right"/>
              <w:rPr>
                <w:szCs w:val="21"/>
              </w:rPr>
            </w:pPr>
            <w:r>
              <w:t>1,999.47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C25F90B" w14:textId="77777777" w:rsidR="00E57DAA" w:rsidRDefault="00AC4185">
            <w:pPr>
              <w:jc w:val="right"/>
              <w:rPr>
                <w:szCs w:val="21"/>
              </w:rPr>
            </w:pPr>
            <w:r>
              <w:t xml:space="preserve">　</w:t>
            </w:r>
          </w:p>
        </w:tc>
      </w:tr>
      <w:tr w:rsidR="00E57DAA" w14:paraId="23C67BB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DC53D0" w14:textId="77777777" w:rsidR="00E57DAA" w:rsidRDefault="00AC4185">
            <w:pPr>
              <w:rPr>
                <w:szCs w:val="21"/>
              </w:rPr>
            </w:pPr>
            <w:r>
              <w:t>常山南方水泥有限公司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F882A3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5C8E0D8" w14:textId="77777777" w:rsidR="00E57DAA" w:rsidRDefault="00AC4185">
            <w:pPr>
              <w:jc w:val="right"/>
              <w:rPr>
                <w:szCs w:val="21"/>
              </w:rPr>
            </w:pPr>
            <w:r>
              <w:t>152,434.54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66675EB" w14:textId="77777777" w:rsidR="00E57DAA" w:rsidRDefault="00AC4185">
            <w:pPr>
              <w:jc w:val="right"/>
              <w:rPr>
                <w:szCs w:val="21"/>
              </w:rPr>
            </w:pPr>
            <w:r>
              <w:t xml:space="preserve">　</w:t>
            </w:r>
          </w:p>
        </w:tc>
      </w:tr>
      <w:tr w:rsidR="00E57DAA" w14:paraId="0E6E911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0859A17" w14:textId="77777777" w:rsidR="00E57DAA" w:rsidRDefault="00AC4185">
            <w:pPr>
              <w:rPr>
                <w:szCs w:val="21"/>
              </w:rPr>
            </w:pPr>
            <w:r>
              <w:t>成县祁连山水泥有限公司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075201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85C49D3" w14:textId="77777777" w:rsidR="00E57DAA" w:rsidRDefault="00AC4185">
            <w:pPr>
              <w:jc w:val="right"/>
              <w:rPr>
                <w:szCs w:val="21"/>
              </w:rPr>
            </w:pPr>
            <w:r>
              <w:t>667,799.53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7890415" w14:textId="77777777" w:rsidR="00E57DAA" w:rsidRDefault="00AC4185">
            <w:pPr>
              <w:jc w:val="right"/>
              <w:rPr>
                <w:szCs w:val="21"/>
              </w:rPr>
            </w:pPr>
            <w:r>
              <w:t>1,023,049.64</w:t>
            </w:r>
          </w:p>
        </w:tc>
      </w:tr>
      <w:tr w:rsidR="00E57DAA" w14:paraId="7FC2372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2C0012F" w14:textId="77777777" w:rsidR="00E57DAA" w:rsidRDefault="00AC4185">
            <w:pPr>
              <w:rPr>
                <w:szCs w:val="21"/>
              </w:rPr>
            </w:pPr>
            <w:r>
              <w:t>池州中建材新材料有限公司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AFA30E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B32FD09" w14:textId="77777777" w:rsidR="00E57DAA" w:rsidRDefault="00AC4185">
            <w:pPr>
              <w:jc w:val="right"/>
              <w:rPr>
                <w:szCs w:val="21"/>
              </w:rPr>
            </w:pPr>
            <w:r>
              <w:t>1,000.00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E222A6B" w14:textId="77777777" w:rsidR="00E57DAA" w:rsidRDefault="00AC4185">
            <w:pPr>
              <w:jc w:val="right"/>
              <w:rPr>
                <w:szCs w:val="21"/>
              </w:rPr>
            </w:pPr>
            <w:r>
              <w:t xml:space="preserve">　</w:t>
            </w:r>
          </w:p>
        </w:tc>
      </w:tr>
      <w:tr w:rsidR="00E57DAA" w14:paraId="7CF30C0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8CA4C0C" w14:textId="77777777" w:rsidR="00E57DAA" w:rsidRDefault="00AC4185">
            <w:pPr>
              <w:rPr>
                <w:szCs w:val="21"/>
              </w:rPr>
            </w:pPr>
            <w:r>
              <w:t>滁州中联混凝土有限公司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3D45ED2"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5467ECB" w14:textId="77777777" w:rsidR="00E57DAA" w:rsidRDefault="00AC4185">
            <w:pPr>
              <w:jc w:val="right"/>
              <w:rPr>
                <w:szCs w:val="21"/>
              </w:rPr>
            </w:pPr>
            <w:r>
              <w:t>17,953,939.84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C7B3026" w14:textId="77777777" w:rsidR="00E57DAA" w:rsidRDefault="00AC4185">
            <w:pPr>
              <w:jc w:val="right"/>
              <w:rPr>
                <w:szCs w:val="21"/>
              </w:rPr>
            </w:pPr>
            <w:r>
              <w:t xml:space="preserve">　</w:t>
            </w:r>
          </w:p>
        </w:tc>
      </w:tr>
      <w:tr w:rsidR="00E57DAA" w14:paraId="5D09A57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3223E4B" w14:textId="77777777" w:rsidR="00E57DAA" w:rsidRDefault="00AC4185">
            <w:pPr>
              <w:rPr>
                <w:szCs w:val="21"/>
              </w:rPr>
            </w:pPr>
            <w:r>
              <w:t>滁州中联水泥有限公司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3BC888F"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2CF8A1A"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EF1CB1B" w14:textId="77777777" w:rsidR="00E57DAA" w:rsidRDefault="00AC4185">
            <w:pPr>
              <w:jc w:val="right"/>
              <w:rPr>
                <w:szCs w:val="21"/>
              </w:rPr>
            </w:pPr>
            <w:r>
              <w:t>764.00</w:t>
            </w:r>
          </w:p>
        </w:tc>
      </w:tr>
      <w:tr w:rsidR="00E57DAA" w14:paraId="3F6C2AA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61DE48E" w14:textId="77777777" w:rsidR="00E57DAA" w:rsidRDefault="00AC4185">
            <w:pPr>
              <w:rPr>
                <w:szCs w:val="21"/>
              </w:rPr>
            </w:pPr>
            <w:r>
              <w:t>达州利森水泥有限公司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3D5EE0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189512" w14:textId="77777777" w:rsidR="00E57DAA" w:rsidRDefault="00AC4185">
            <w:pPr>
              <w:jc w:val="right"/>
              <w:rPr>
                <w:szCs w:val="21"/>
              </w:rPr>
            </w:pPr>
            <w:r>
              <w:t>448.86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71BC548" w14:textId="77777777" w:rsidR="00E57DAA" w:rsidRDefault="00AC4185">
            <w:pPr>
              <w:jc w:val="right"/>
              <w:rPr>
                <w:szCs w:val="21"/>
              </w:rPr>
            </w:pPr>
            <w:r>
              <w:t xml:space="preserve">　</w:t>
            </w:r>
          </w:p>
        </w:tc>
      </w:tr>
      <w:tr w:rsidR="00E57DAA" w14:paraId="48A6381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3AD3E28" w14:textId="77777777" w:rsidR="00E57DAA" w:rsidRDefault="00AC4185">
            <w:pPr>
              <w:rPr>
                <w:szCs w:val="21"/>
              </w:rPr>
            </w:pPr>
            <w:r>
              <w:t>大方永贵建材有限责任公司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836572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7BB4099" w14:textId="77777777" w:rsidR="00E57DAA" w:rsidRDefault="00AC4185">
            <w:pPr>
              <w:jc w:val="right"/>
              <w:rPr>
                <w:szCs w:val="21"/>
              </w:rPr>
            </w:pPr>
            <w:r>
              <w:t>215,340.99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5AA12F5" w14:textId="77777777" w:rsidR="00E57DAA" w:rsidRDefault="00AC4185">
            <w:pPr>
              <w:jc w:val="right"/>
              <w:rPr>
                <w:szCs w:val="21"/>
              </w:rPr>
            </w:pPr>
            <w:r>
              <w:t xml:space="preserve">　</w:t>
            </w:r>
          </w:p>
        </w:tc>
      </w:tr>
      <w:tr w:rsidR="00E57DAA" w14:paraId="7D735C7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BC1AFB4" w14:textId="77777777" w:rsidR="00E57DAA" w:rsidRDefault="00AC4185">
            <w:pPr>
              <w:rPr>
                <w:szCs w:val="21"/>
              </w:rPr>
            </w:pPr>
            <w:r>
              <w:t>德安县南方新材料有限公司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7E69D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AEB0E6" w14:textId="77777777" w:rsidR="00E57DAA" w:rsidRDefault="00AC4185">
            <w:pPr>
              <w:jc w:val="right"/>
              <w:rPr>
                <w:szCs w:val="21"/>
              </w:rPr>
            </w:pPr>
            <w:r>
              <w:t>43,616.57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4C53AF3" w14:textId="77777777" w:rsidR="00E57DAA" w:rsidRDefault="00AC4185">
            <w:pPr>
              <w:jc w:val="right"/>
              <w:rPr>
                <w:szCs w:val="21"/>
              </w:rPr>
            </w:pPr>
            <w:r>
              <w:t xml:space="preserve">　</w:t>
            </w:r>
          </w:p>
        </w:tc>
      </w:tr>
      <w:tr w:rsidR="00E57DAA" w14:paraId="680AFDC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DAFE394" w14:textId="77777777" w:rsidR="00E57DAA" w:rsidRDefault="00AC4185">
            <w:pPr>
              <w:rPr>
                <w:szCs w:val="21"/>
              </w:rPr>
            </w:pPr>
            <w:r>
              <w:t>德清南方水泥有限公司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FBA793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FC8DB4A" w14:textId="77777777" w:rsidR="00E57DAA" w:rsidRDefault="00AC4185">
            <w:pPr>
              <w:jc w:val="right"/>
              <w:rPr>
                <w:szCs w:val="21"/>
              </w:rPr>
            </w:pPr>
            <w:r>
              <w:t>427,475.43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7919B99" w14:textId="77777777" w:rsidR="00E57DAA" w:rsidRDefault="00AC4185">
            <w:pPr>
              <w:jc w:val="right"/>
              <w:rPr>
                <w:szCs w:val="21"/>
              </w:rPr>
            </w:pPr>
            <w:r>
              <w:t xml:space="preserve">　</w:t>
            </w:r>
          </w:p>
        </w:tc>
      </w:tr>
      <w:tr w:rsidR="00E57DAA" w14:paraId="72130AC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8B64975" w14:textId="77777777" w:rsidR="00E57DAA" w:rsidRDefault="00AC4185">
            <w:pPr>
              <w:rPr>
                <w:szCs w:val="21"/>
              </w:rPr>
            </w:pPr>
            <w:r>
              <w:t>邓州中联水泥有限公司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42CCDA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5D9F900" w14:textId="77777777" w:rsidR="00E57DAA" w:rsidRDefault="00AC4185">
            <w:pPr>
              <w:jc w:val="right"/>
              <w:rPr>
                <w:szCs w:val="21"/>
              </w:rPr>
            </w:pPr>
            <w:r>
              <w:t>826,012.31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6324879" w14:textId="77777777" w:rsidR="00E57DAA" w:rsidRDefault="00AC4185">
            <w:pPr>
              <w:jc w:val="right"/>
              <w:rPr>
                <w:szCs w:val="21"/>
              </w:rPr>
            </w:pPr>
            <w:r>
              <w:t>5,348,202.42</w:t>
            </w:r>
          </w:p>
        </w:tc>
      </w:tr>
      <w:tr w:rsidR="00E57DAA" w14:paraId="329A9E1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F9105F9" w14:textId="77777777" w:rsidR="00E57DAA" w:rsidRDefault="00AC4185">
            <w:pPr>
              <w:rPr>
                <w:szCs w:val="21"/>
              </w:rPr>
            </w:pPr>
            <w:r>
              <w:t>东平中联水泥有限公司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99F1C9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817AADC" w14:textId="77777777" w:rsidR="00E57DAA" w:rsidRDefault="00AC4185">
            <w:pPr>
              <w:jc w:val="right"/>
              <w:rPr>
                <w:szCs w:val="21"/>
              </w:rPr>
            </w:pPr>
            <w:r>
              <w:t>56,116.17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F029F00" w14:textId="77777777" w:rsidR="00E57DAA" w:rsidRDefault="00AC4185">
            <w:pPr>
              <w:jc w:val="right"/>
              <w:rPr>
                <w:szCs w:val="21"/>
              </w:rPr>
            </w:pPr>
            <w:r>
              <w:t xml:space="preserve">　</w:t>
            </w:r>
          </w:p>
        </w:tc>
      </w:tr>
      <w:tr w:rsidR="00E57DAA" w14:paraId="1E26513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0B09393" w14:textId="77777777" w:rsidR="00E57DAA" w:rsidRDefault="00AC4185">
            <w:pPr>
              <w:rPr>
                <w:szCs w:val="21"/>
              </w:rPr>
            </w:pPr>
            <w:r>
              <w:t>福建三明南方水泥有限公司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11A74D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F009766" w14:textId="77777777" w:rsidR="00E57DAA" w:rsidRDefault="00AC4185">
            <w:pPr>
              <w:jc w:val="right"/>
              <w:rPr>
                <w:szCs w:val="21"/>
              </w:rPr>
            </w:pPr>
            <w:r>
              <w:t>51,830.76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4BCE83D" w14:textId="77777777" w:rsidR="00E57DAA" w:rsidRDefault="00AC4185">
            <w:pPr>
              <w:jc w:val="right"/>
              <w:rPr>
                <w:szCs w:val="21"/>
              </w:rPr>
            </w:pPr>
            <w:r>
              <w:t>58,692.69</w:t>
            </w:r>
          </w:p>
        </w:tc>
      </w:tr>
      <w:tr w:rsidR="00E57DAA" w14:paraId="621DF70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F076C46" w14:textId="77777777" w:rsidR="00E57DAA" w:rsidRDefault="00AC4185">
            <w:pPr>
              <w:rPr>
                <w:szCs w:val="21"/>
              </w:rPr>
            </w:pPr>
            <w:r>
              <w:t>抚州市东乡区南方新材料有限公司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AD18E7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4539803" w14:textId="77777777" w:rsidR="00E57DAA" w:rsidRDefault="00AC4185">
            <w:pPr>
              <w:jc w:val="right"/>
              <w:rPr>
                <w:szCs w:val="21"/>
              </w:rPr>
            </w:pPr>
            <w:r>
              <w:t>46,127.66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5FBA60C" w14:textId="77777777" w:rsidR="00E57DAA" w:rsidRDefault="00AC4185">
            <w:pPr>
              <w:jc w:val="right"/>
              <w:rPr>
                <w:szCs w:val="21"/>
              </w:rPr>
            </w:pPr>
            <w:r>
              <w:t xml:space="preserve">　</w:t>
            </w:r>
          </w:p>
        </w:tc>
      </w:tr>
      <w:tr w:rsidR="00E57DAA" w14:paraId="5F446AA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29B5549" w14:textId="77777777" w:rsidR="00E57DAA" w:rsidRDefault="00AC4185">
            <w:pPr>
              <w:rPr>
                <w:szCs w:val="21"/>
              </w:rPr>
            </w:pPr>
            <w:r>
              <w:t>富蕴天山水泥有限责任公司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C23A7C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EE7C04D" w14:textId="77777777" w:rsidR="00E57DAA" w:rsidRDefault="00AC4185">
            <w:pPr>
              <w:jc w:val="right"/>
              <w:rPr>
                <w:szCs w:val="21"/>
              </w:rPr>
            </w:pPr>
            <w:r>
              <w:t>199,469.04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BC9295C" w14:textId="77777777" w:rsidR="00E57DAA" w:rsidRDefault="00AC4185">
            <w:pPr>
              <w:jc w:val="right"/>
              <w:rPr>
                <w:szCs w:val="21"/>
              </w:rPr>
            </w:pPr>
            <w:r>
              <w:t xml:space="preserve">　</w:t>
            </w:r>
          </w:p>
        </w:tc>
      </w:tr>
      <w:tr w:rsidR="00E57DAA" w14:paraId="4EA012F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EBCD718" w14:textId="77777777" w:rsidR="00E57DAA" w:rsidRDefault="00AC4185">
            <w:pPr>
              <w:rPr>
                <w:szCs w:val="21"/>
              </w:rPr>
            </w:pPr>
            <w:r>
              <w:t>甘谷祁连山水泥有限公司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D949DA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9717CD2" w14:textId="77777777" w:rsidR="00E57DAA" w:rsidRDefault="00AC4185">
            <w:pPr>
              <w:jc w:val="right"/>
              <w:rPr>
                <w:szCs w:val="21"/>
              </w:rPr>
            </w:pPr>
            <w:r>
              <w:t>136,468.15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1CE33A5" w14:textId="77777777" w:rsidR="00E57DAA" w:rsidRDefault="00AC4185">
            <w:pPr>
              <w:jc w:val="right"/>
              <w:rPr>
                <w:szCs w:val="21"/>
              </w:rPr>
            </w:pPr>
            <w:r>
              <w:t xml:space="preserve">　</w:t>
            </w:r>
          </w:p>
        </w:tc>
      </w:tr>
      <w:tr w:rsidR="00E57DAA" w14:paraId="3BEADBC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E0549C7" w14:textId="77777777" w:rsidR="00E57DAA" w:rsidRDefault="00AC4185">
            <w:pPr>
              <w:rPr>
                <w:szCs w:val="21"/>
              </w:rPr>
            </w:pPr>
            <w:r>
              <w:t>中交设计咨询集团股份有限公司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BEC374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0116C7F" w14:textId="77777777" w:rsidR="00E57DAA" w:rsidRDefault="00AC4185">
            <w:pPr>
              <w:jc w:val="right"/>
              <w:rPr>
                <w:szCs w:val="21"/>
              </w:rPr>
            </w:pPr>
            <w:r>
              <w:t>1,327.43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77C057A" w14:textId="77777777" w:rsidR="00E57DAA" w:rsidRDefault="00AC4185">
            <w:pPr>
              <w:jc w:val="right"/>
              <w:rPr>
                <w:szCs w:val="21"/>
              </w:rPr>
            </w:pPr>
            <w:r>
              <w:t>6,810,774.67</w:t>
            </w:r>
          </w:p>
        </w:tc>
      </w:tr>
      <w:tr w:rsidR="00E57DAA" w14:paraId="52ADA32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BFE65EB" w14:textId="77777777" w:rsidR="00E57DAA" w:rsidRDefault="00AC4185">
            <w:pPr>
              <w:rPr>
                <w:szCs w:val="21"/>
              </w:rPr>
            </w:pPr>
            <w:r>
              <w:t>古浪祁连山水泥有限公司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998AF2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1854423" w14:textId="77777777" w:rsidR="00E57DAA" w:rsidRDefault="00AC4185">
            <w:pPr>
              <w:jc w:val="right"/>
              <w:rPr>
                <w:szCs w:val="21"/>
              </w:rPr>
            </w:pPr>
            <w:r>
              <w:t>311,469.03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093D70B" w14:textId="77777777" w:rsidR="00E57DAA" w:rsidRDefault="00AC4185">
            <w:pPr>
              <w:jc w:val="right"/>
              <w:rPr>
                <w:szCs w:val="21"/>
              </w:rPr>
            </w:pPr>
            <w:r>
              <w:t>188,160.00</w:t>
            </w:r>
          </w:p>
        </w:tc>
      </w:tr>
      <w:tr w:rsidR="00E57DAA" w14:paraId="5D97579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A58E70E" w14:textId="77777777" w:rsidR="00E57DAA" w:rsidRDefault="00AC4185">
            <w:pPr>
              <w:rPr>
                <w:szCs w:val="21"/>
              </w:rPr>
            </w:pPr>
            <w:r>
              <w:t>广德独山南方水泥有限公司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FA506C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901384A" w14:textId="77777777" w:rsidR="00E57DAA" w:rsidRDefault="00AC4185">
            <w:pPr>
              <w:jc w:val="right"/>
              <w:rPr>
                <w:szCs w:val="21"/>
              </w:rPr>
            </w:pPr>
            <w:r>
              <w:t>1,215,701.82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ED93372" w14:textId="77777777" w:rsidR="00E57DAA" w:rsidRDefault="00AC4185">
            <w:pPr>
              <w:jc w:val="right"/>
              <w:rPr>
                <w:szCs w:val="21"/>
              </w:rPr>
            </w:pPr>
            <w:r>
              <w:t>1,206,564.60</w:t>
            </w:r>
          </w:p>
        </w:tc>
      </w:tr>
      <w:tr w:rsidR="00E57DAA" w14:paraId="733C265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208C22F" w14:textId="77777777" w:rsidR="00E57DAA" w:rsidRDefault="00AC4185">
            <w:pPr>
              <w:rPr>
                <w:szCs w:val="21"/>
              </w:rPr>
            </w:pPr>
            <w:r>
              <w:t>广德新杭南方水泥有限公司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50E35A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D2C2FF0" w14:textId="77777777" w:rsidR="00E57DAA" w:rsidRDefault="00AC4185">
            <w:pPr>
              <w:jc w:val="right"/>
              <w:rPr>
                <w:szCs w:val="21"/>
              </w:rPr>
            </w:pPr>
            <w:r>
              <w:t>1,249,801.19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337EAEB" w14:textId="77777777" w:rsidR="00E57DAA" w:rsidRDefault="00AC4185">
            <w:pPr>
              <w:jc w:val="right"/>
              <w:rPr>
                <w:szCs w:val="21"/>
              </w:rPr>
            </w:pPr>
            <w:r>
              <w:t>1,105,970.13</w:t>
            </w:r>
          </w:p>
        </w:tc>
      </w:tr>
      <w:tr w:rsidR="00E57DAA" w14:paraId="0FF25B5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596CF4F" w14:textId="77777777" w:rsidR="00E57DAA" w:rsidRDefault="00AC4185">
            <w:pPr>
              <w:rPr>
                <w:szCs w:val="21"/>
              </w:rPr>
            </w:pPr>
            <w:r>
              <w:t>广西金鲤水泥有限公司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59BFA7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E48F3C" w14:textId="77777777" w:rsidR="00E57DAA" w:rsidRDefault="00AC4185">
            <w:pPr>
              <w:jc w:val="right"/>
              <w:rPr>
                <w:szCs w:val="21"/>
              </w:rPr>
            </w:pPr>
            <w:r>
              <w:t>23,778.03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A57A8C4" w14:textId="77777777" w:rsidR="00E57DAA" w:rsidRDefault="00AC4185">
            <w:pPr>
              <w:jc w:val="right"/>
              <w:rPr>
                <w:szCs w:val="21"/>
              </w:rPr>
            </w:pPr>
            <w:r>
              <w:t xml:space="preserve">　</w:t>
            </w:r>
          </w:p>
        </w:tc>
      </w:tr>
      <w:tr w:rsidR="00E57DAA" w14:paraId="5A57AB1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FA7076C" w14:textId="77777777" w:rsidR="00E57DAA" w:rsidRDefault="00AC4185">
            <w:pPr>
              <w:rPr>
                <w:szCs w:val="21"/>
              </w:rPr>
            </w:pPr>
            <w:r>
              <w:lastRenderedPageBreak/>
              <w:t>贵州德隆水泥有限公司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5D4ACE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AF8E3C4" w14:textId="77777777" w:rsidR="00E57DAA" w:rsidRDefault="00AC4185">
            <w:pPr>
              <w:jc w:val="right"/>
              <w:rPr>
                <w:szCs w:val="21"/>
              </w:rPr>
            </w:pPr>
            <w:r>
              <w:t>123,642.43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946C099" w14:textId="77777777" w:rsidR="00E57DAA" w:rsidRDefault="00AC4185">
            <w:pPr>
              <w:jc w:val="right"/>
              <w:rPr>
                <w:szCs w:val="21"/>
              </w:rPr>
            </w:pPr>
            <w:r>
              <w:t xml:space="preserve">　</w:t>
            </w:r>
          </w:p>
        </w:tc>
      </w:tr>
      <w:tr w:rsidR="00E57DAA" w14:paraId="4BAA755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04B4E58" w14:textId="77777777" w:rsidR="00E57DAA" w:rsidRDefault="00AC4185">
            <w:pPr>
              <w:rPr>
                <w:szCs w:val="21"/>
              </w:rPr>
            </w:pPr>
            <w:r>
              <w:t>贵州瑞溪水泥发展有限公司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40980A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B98614D"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FD9A562" w14:textId="77777777" w:rsidR="00E57DAA" w:rsidRDefault="00AC4185">
            <w:pPr>
              <w:jc w:val="right"/>
              <w:rPr>
                <w:szCs w:val="21"/>
              </w:rPr>
            </w:pPr>
            <w:r>
              <w:t>12,431,951.74</w:t>
            </w:r>
          </w:p>
        </w:tc>
      </w:tr>
      <w:tr w:rsidR="00E57DAA" w14:paraId="4ABE85F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5649B84" w14:textId="77777777" w:rsidR="00E57DAA" w:rsidRDefault="00AC4185">
            <w:pPr>
              <w:rPr>
                <w:szCs w:val="21"/>
              </w:rPr>
            </w:pPr>
            <w:r>
              <w:t>贵州兴义西南水泥有限公司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FAEFC0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7079A05" w14:textId="77777777" w:rsidR="00E57DAA" w:rsidRDefault="00AC4185">
            <w:pPr>
              <w:jc w:val="right"/>
              <w:rPr>
                <w:szCs w:val="21"/>
              </w:rPr>
            </w:pPr>
            <w:r>
              <w:t>65,962.73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9AC86DC" w14:textId="77777777" w:rsidR="00E57DAA" w:rsidRDefault="00AC4185">
            <w:pPr>
              <w:jc w:val="right"/>
              <w:rPr>
                <w:szCs w:val="21"/>
              </w:rPr>
            </w:pPr>
            <w:r>
              <w:t xml:space="preserve">　</w:t>
            </w:r>
          </w:p>
        </w:tc>
      </w:tr>
      <w:tr w:rsidR="00E57DAA" w14:paraId="483D21C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A26C2C8" w14:textId="77777777" w:rsidR="00E57DAA" w:rsidRDefault="00AC4185">
            <w:pPr>
              <w:rPr>
                <w:szCs w:val="21"/>
              </w:rPr>
            </w:pPr>
            <w:r>
              <w:t>贵州中诚水泥有限公司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C0B28E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32D133E" w14:textId="77777777" w:rsidR="00E57DAA" w:rsidRDefault="00AC4185">
            <w:pPr>
              <w:jc w:val="right"/>
              <w:rPr>
                <w:szCs w:val="21"/>
              </w:rPr>
            </w:pPr>
            <w:r>
              <w:t>17,992.42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347E587" w14:textId="77777777" w:rsidR="00E57DAA" w:rsidRDefault="00AC4185">
            <w:pPr>
              <w:jc w:val="right"/>
              <w:rPr>
                <w:szCs w:val="21"/>
              </w:rPr>
            </w:pPr>
            <w:r>
              <w:t xml:space="preserve">　</w:t>
            </w:r>
          </w:p>
        </w:tc>
      </w:tr>
      <w:tr w:rsidR="00E57DAA" w14:paraId="3CC0103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C453F1B" w14:textId="77777777" w:rsidR="00E57DAA" w:rsidRDefault="00AC4185">
            <w:pPr>
              <w:rPr>
                <w:szCs w:val="21"/>
              </w:rPr>
            </w:pPr>
            <w:r>
              <w:t>桂林南方水泥有限公司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792E60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98F275C" w14:textId="77777777" w:rsidR="00E57DAA" w:rsidRDefault="00AC4185">
            <w:pPr>
              <w:jc w:val="right"/>
              <w:rPr>
                <w:szCs w:val="21"/>
              </w:rPr>
            </w:pPr>
            <w:r>
              <w:t>38,216.84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3E5AA39" w14:textId="77777777" w:rsidR="00E57DAA" w:rsidRDefault="00AC4185">
            <w:pPr>
              <w:jc w:val="right"/>
              <w:rPr>
                <w:szCs w:val="21"/>
              </w:rPr>
            </w:pPr>
            <w:r>
              <w:t xml:space="preserve">　</w:t>
            </w:r>
          </w:p>
        </w:tc>
      </w:tr>
      <w:tr w:rsidR="00E57DAA" w14:paraId="2FAC927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F3B0112" w14:textId="77777777" w:rsidR="00E57DAA" w:rsidRDefault="00AC4185">
            <w:pPr>
              <w:rPr>
                <w:szCs w:val="21"/>
              </w:rPr>
            </w:pPr>
            <w:r>
              <w:t>海盐沈荡南方混凝土有限公司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5A4E962"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299FFEA"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8FB670A" w14:textId="77777777" w:rsidR="00E57DAA" w:rsidRDefault="00AC4185">
            <w:pPr>
              <w:jc w:val="right"/>
              <w:rPr>
                <w:szCs w:val="21"/>
              </w:rPr>
            </w:pPr>
            <w:r>
              <w:t>1,046,359.04</w:t>
            </w:r>
          </w:p>
        </w:tc>
      </w:tr>
      <w:tr w:rsidR="00E57DAA" w14:paraId="0167424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A7CDDE5" w14:textId="77777777" w:rsidR="00E57DAA" w:rsidRDefault="00AC4185">
            <w:pPr>
              <w:rPr>
                <w:szCs w:val="21"/>
              </w:rPr>
            </w:pPr>
            <w:r>
              <w:t>含山南方水泥有限公司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3593FC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1F1A2B8" w14:textId="77777777" w:rsidR="00E57DAA" w:rsidRDefault="00AC4185">
            <w:pPr>
              <w:jc w:val="right"/>
              <w:rPr>
                <w:szCs w:val="21"/>
              </w:rPr>
            </w:pPr>
            <w:r>
              <w:t>217,234.98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DFC416F" w14:textId="77777777" w:rsidR="00E57DAA" w:rsidRDefault="00AC4185">
            <w:pPr>
              <w:jc w:val="right"/>
              <w:rPr>
                <w:szCs w:val="21"/>
              </w:rPr>
            </w:pPr>
            <w:r>
              <w:t xml:space="preserve">　</w:t>
            </w:r>
          </w:p>
        </w:tc>
      </w:tr>
      <w:tr w:rsidR="00E57DAA" w14:paraId="3E7E47B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1674AED" w14:textId="77777777" w:rsidR="00E57DAA" w:rsidRDefault="00AC4185">
            <w:pPr>
              <w:rPr>
                <w:szCs w:val="21"/>
              </w:rPr>
            </w:pPr>
            <w:r>
              <w:t>杭州山亚南方水泥有限公司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2B266D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11F9448" w14:textId="77777777" w:rsidR="00E57DAA" w:rsidRDefault="00AC4185">
            <w:pPr>
              <w:jc w:val="right"/>
              <w:rPr>
                <w:szCs w:val="21"/>
              </w:rPr>
            </w:pPr>
            <w:r>
              <w:t>3,005,518.87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38849A7" w14:textId="77777777" w:rsidR="00E57DAA" w:rsidRDefault="00AC4185">
            <w:pPr>
              <w:jc w:val="right"/>
              <w:rPr>
                <w:szCs w:val="21"/>
              </w:rPr>
            </w:pPr>
            <w:r>
              <w:t>2,416,872.00</w:t>
            </w:r>
          </w:p>
        </w:tc>
      </w:tr>
      <w:tr w:rsidR="00E57DAA" w14:paraId="7C4B61A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D90F160" w14:textId="77777777" w:rsidR="00E57DAA" w:rsidRDefault="00AC4185">
            <w:pPr>
              <w:rPr>
                <w:szCs w:val="21"/>
              </w:rPr>
            </w:pPr>
            <w:r>
              <w:t>合肥中材混凝土有限公司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C88997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F741670" w14:textId="77777777" w:rsidR="00E57DAA" w:rsidRDefault="00AC4185">
            <w:pPr>
              <w:jc w:val="right"/>
              <w:rPr>
                <w:szCs w:val="21"/>
              </w:rPr>
            </w:pPr>
            <w:r>
              <w:t>15,090,421.50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38DA6F8" w14:textId="77777777" w:rsidR="00E57DAA" w:rsidRDefault="00AC4185">
            <w:pPr>
              <w:jc w:val="right"/>
              <w:rPr>
                <w:szCs w:val="21"/>
              </w:rPr>
            </w:pPr>
            <w:r>
              <w:t xml:space="preserve">　</w:t>
            </w:r>
          </w:p>
        </w:tc>
      </w:tr>
      <w:tr w:rsidR="00E57DAA" w14:paraId="70DD9F8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2EEB456" w14:textId="77777777" w:rsidR="00E57DAA" w:rsidRDefault="00AC4185">
            <w:pPr>
              <w:rPr>
                <w:szCs w:val="21"/>
              </w:rPr>
            </w:pPr>
            <w:r>
              <w:t>河南中联节能工程有限公司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A89319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C3F57ED" w14:textId="77777777" w:rsidR="00E57DAA" w:rsidRDefault="00AC4185">
            <w:pPr>
              <w:jc w:val="right"/>
              <w:rPr>
                <w:szCs w:val="21"/>
              </w:rPr>
            </w:pPr>
            <w:r>
              <w:t>1,061,946.90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51CE72D" w14:textId="77777777" w:rsidR="00E57DAA" w:rsidRDefault="00AC4185">
            <w:pPr>
              <w:jc w:val="right"/>
              <w:rPr>
                <w:szCs w:val="21"/>
              </w:rPr>
            </w:pPr>
            <w:r>
              <w:t xml:space="preserve">　</w:t>
            </w:r>
          </w:p>
        </w:tc>
      </w:tr>
      <w:tr w:rsidR="00E57DAA" w14:paraId="540AD6D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13D294E" w14:textId="77777777" w:rsidR="00E57DAA" w:rsidRDefault="00AC4185">
            <w:pPr>
              <w:rPr>
                <w:szCs w:val="21"/>
              </w:rPr>
            </w:pPr>
            <w:r>
              <w:t>黑龙江省宾州水泥有限公司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266382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68601F2" w14:textId="77777777" w:rsidR="00E57DAA" w:rsidRDefault="00AC4185">
            <w:pPr>
              <w:jc w:val="right"/>
              <w:rPr>
                <w:szCs w:val="21"/>
              </w:rPr>
            </w:pPr>
            <w:r>
              <w:t>24,932.12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E057FF7" w14:textId="77777777" w:rsidR="00E57DAA" w:rsidRDefault="00AC4185">
            <w:pPr>
              <w:jc w:val="right"/>
              <w:rPr>
                <w:szCs w:val="21"/>
              </w:rPr>
            </w:pPr>
            <w:r>
              <w:t xml:space="preserve">　</w:t>
            </w:r>
          </w:p>
        </w:tc>
      </w:tr>
      <w:tr w:rsidR="00E57DAA" w14:paraId="2EB3214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EE09ABF" w14:textId="77777777" w:rsidR="00E57DAA" w:rsidRDefault="00AC4185">
            <w:pPr>
              <w:rPr>
                <w:szCs w:val="21"/>
              </w:rPr>
            </w:pPr>
            <w:r>
              <w:t>湖南常德南方水泥有限公司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99D646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621CD83" w14:textId="77777777" w:rsidR="00E57DAA" w:rsidRDefault="00AC4185">
            <w:pPr>
              <w:jc w:val="right"/>
              <w:rPr>
                <w:szCs w:val="21"/>
              </w:rPr>
            </w:pPr>
            <w:r>
              <w:t>624.29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9D5EB5D" w14:textId="77777777" w:rsidR="00E57DAA" w:rsidRDefault="00AC4185">
            <w:pPr>
              <w:jc w:val="right"/>
              <w:rPr>
                <w:szCs w:val="21"/>
              </w:rPr>
            </w:pPr>
            <w:r>
              <w:t xml:space="preserve">　</w:t>
            </w:r>
          </w:p>
        </w:tc>
      </w:tr>
      <w:tr w:rsidR="00E57DAA" w14:paraId="30AE341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910A079" w14:textId="77777777" w:rsidR="00E57DAA" w:rsidRDefault="00AC4185">
            <w:pPr>
              <w:rPr>
                <w:szCs w:val="21"/>
              </w:rPr>
            </w:pPr>
            <w:r>
              <w:t>湖南郴州南方新材料科技有限公司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DE90936"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01352DA" w14:textId="77777777" w:rsidR="00E57DAA" w:rsidRDefault="00AC4185">
            <w:pPr>
              <w:jc w:val="right"/>
              <w:rPr>
                <w:szCs w:val="21"/>
              </w:rPr>
            </w:pPr>
            <w:r>
              <w:t>24,667,153.40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05E6750" w14:textId="77777777" w:rsidR="00E57DAA" w:rsidRDefault="00AC4185">
            <w:pPr>
              <w:jc w:val="right"/>
              <w:rPr>
                <w:szCs w:val="21"/>
              </w:rPr>
            </w:pPr>
            <w:r>
              <w:t xml:space="preserve">　</w:t>
            </w:r>
          </w:p>
        </w:tc>
      </w:tr>
      <w:tr w:rsidR="00E57DAA" w14:paraId="4F96851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6122463" w14:textId="77777777" w:rsidR="00E57DAA" w:rsidRDefault="00AC4185">
            <w:pPr>
              <w:rPr>
                <w:szCs w:val="21"/>
              </w:rPr>
            </w:pPr>
            <w:r>
              <w:t>湖南金磊南方水泥有限公司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10ABA5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39C57CE" w14:textId="77777777" w:rsidR="00E57DAA" w:rsidRDefault="00AC4185">
            <w:pPr>
              <w:jc w:val="right"/>
              <w:rPr>
                <w:szCs w:val="21"/>
              </w:rPr>
            </w:pPr>
            <w:r>
              <w:t>2,747.36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FE14165" w14:textId="77777777" w:rsidR="00E57DAA" w:rsidRDefault="00AC4185">
            <w:pPr>
              <w:jc w:val="right"/>
              <w:rPr>
                <w:szCs w:val="21"/>
              </w:rPr>
            </w:pPr>
            <w:r>
              <w:t>8,924.66</w:t>
            </w:r>
          </w:p>
        </w:tc>
      </w:tr>
      <w:tr w:rsidR="00E57DAA" w14:paraId="51EA9E9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C7C0B62" w14:textId="77777777" w:rsidR="00E57DAA" w:rsidRDefault="00AC4185">
            <w:pPr>
              <w:rPr>
                <w:szCs w:val="21"/>
              </w:rPr>
            </w:pPr>
            <w:r>
              <w:t>湖南耒阳南方水泥有限公司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DCD948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2C6F3E6" w14:textId="77777777" w:rsidR="00E57DAA" w:rsidRDefault="00AC4185">
            <w:pPr>
              <w:jc w:val="right"/>
              <w:rPr>
                <w:szCs w:val="21"/>
              </w:rPr>
            </w:pPr>
            <w:r>
              <w:t>210,884.32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587B2FE" w14:textId="77777777" w:rsidR="00E57DAA" w:rsidRDefault="00AC4185">
            <w:pPr>
              <w:jc w:val="right"/>
              <w:rPr>
                <w:szCs w:val="21"/>
              </w:rPr>
            </w:pPr>
            <w:r>
              <w:t xml:space="preserve">　</w:t>
            </w:r>
          </w:p>
        </w:tc>
      </w:tr>
      <w:tr w:rsidR="00E57DAA" w14:paraId="18EEF6D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0D35C1A" w14:textId="77777777" w:rsidR="00E57DAA" w:rsidRDefault="00AC4185">
            <w:pPr>
              <w:rPr>
                <w:szCs w:val="21"/>
              </w:rPr>
            </w:pPr>
            <w:r>
              <w:t>湖南桃江南方水泥有限公司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781295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11BA48D" w14:textId="77777777" w:rsidR="00E57DAA" w:rsidRDefault="00AC4185">
            <w:pPr>
              <w:jc w:val="right"/>
              <w:rPr>
                <w:szCs w:val="21"/>
              </w:rPr>
            </w:pPr>
            <w:r>
              <w:t>161,118.06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C84AD08" w14:textId="77777777" w:rsidR="00E57DAA" w:rsidRDefault="00AC4185">
            <w:pPr>
              <w:jc w:val="right"/>
              <w:rPr>
                <w:szCs w:val="21"/>
              </w:rPr>
            </w:pPr>
            <w:r>
              <w:t>1,829,853.82</w:t>
            </w:r>
          </w:p>
        </w:tc>
      </w:tr>
      <w:tr w:rsidR="00E57DAA" w14:paraId="0524818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2800493" w14:textId="77777777" w:rsidR="00E57DAA" w:rsidRDefault="00AC4185">
            <w:pPr>
              <w:rPr>
                <w:szCs w:val="21"/>
              </w:rPr>
            </w:pPr>
            <w:r>
              <w:t>湖南湘乡南方新材料科技有限公司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43C41E9"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6B95E90" w14:textId="77777777" w:rsidR="00E57DAA" w:rsidRDefault="00AC4185">
            <w:pPr>
              <w:jc w:val="right"/>
              <w:rPr>
                <w:szCs w:val="21"/>
              </w:rPr>
            </w:pPr>
            <w:r>
              <w:t>5,625,119.54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06D88C4" w14:textId="77777777" w:rsidR="00E57DAA" w:rsidRDefault="00AC4185">
            <w:pPr>
              <w:jc w:val="right"/>
              <w:rPr>
                <w:szCs w:val="21"/>
              </w:rPr>
            </w:pPr>
            <w:r>
              <w:t>42,555,878.32</w:t>
            </w:r>
          </w:p>
        </w:tc>
      </w:tr>
      <w:tr w:rsidR="00E57DAA" w14:paraId="2B5D4BA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488CB1D" w14:textId="77777777" w:rsidR="00E57DAA" w:rsidRDefault="00AC4185">
            <w:pPr>
              <w:rPr>
                <w:szCs w:val="21"/>
              </w:rPr>
            </w:pPr>
            <w:r>
              <w:t>湖州白岘南方水泥有限公司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EE5050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2FF21A1" w14:textId="77777777" w:rsidR="00E57DAA" w:rsidRDefault="00AC4185">
            <w:pPr>
              <w:jc w:val="right"/>
              <w:rPr>
                <w:szCs w:val="21"/>
              </w:rPr>
            </w:pPr>
            <w:r>
              <w:t>1,089.22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0BA04F6" w14:textId="77777777" w:rsidR="00E57DAA" w:rsidRDefault="00AC4185">
            <w:pPr>
              <w:jc w:val="right"/>
              <w:rPr>
                <w:szCs w:val="21"/>
              </w:rPr>
            </w:pPr>
            <w:r>
              <w:t xml:space="preserve">　</w:t>
            </w:r>
          </w:p>
        </w:tc>
      </w:tr>
      <w:tr w:rsidR="00E57DAA" w14:paraId="3657EB6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52C09EE" w14:textId="77777777" w:rsidR="00E57DAA" w:rsidRDefault="00AC4185">
            <w:pPr>
              <w:rPr>
                <w:szCs w:val="21"/>
              </w:rPr>
            </w:pPr>
            <w:r>
              <w:t>湖州槐坎南方水泥有限公司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585B52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583236F" w14:textId="77777777" w:rsidR="00E57DAA" w:rsidRDefault="00AC4185">
            <w:pPr>
              <w:jc w:val="right"/>
              <w:rPr>
                <w:szCs w:val="21"/>
              </w:rPr>
            </w:pPr>
            <w:r>
              <w:t>216,592.50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2F32ED2" w14:textId="77777777" w:rsidR="00E57DAA" w:rsidRDefault="00AC4185">
            <w:pPr>
              <w:jc w:val="right"/>
              <w:rPr>
                <w:szCs w:val="21"/>
              </w:rPr>
            </w:pPr>
            <w:r>
              <w:t xml:space="preserve">　</w:t>
            </w:r>
          </w:p>
        </w:tc>
      </w:tr>
      <w:tr w:rsidR="00E57DAA" w14:paraId="69439E6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5EFBD31" w14:textId="77777777" w:rsidR="00E57DAA" w:rsidRDefault="00AC4185">
            <w:pPr>
              <w:rPr>
                <w:szCs w:val="21"/>
              </w:rPr>
            </w:pPr>
            <w:r>
              <w:t>湖州小浦南方水泥有限公司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939DFA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C462E95" w14:textId="77777777" w:rsidR="00E57DAA" w:rsidRDefault="00AC4185">
            <w:pPr>
              <w:jc w:val="right"/>
              <w:rPr>
                <w:szCs w:val="21"/>
              </w:rPr>
            </w:pPr>
            <w:r>
              <w:t>626,900.25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B760251" w14:textId="77777777" w:rsidR="00E57DAA" w:rsidRDefault="00AC4185">
            <w:pPr>
              <w:jc w:val="right"/>
              <w:rPr>
                <w:szCs w:val="21"/>
              </w:rPr>
            </w:pPr>
            <w:r>
              <w:t xml:space="preserve">　</w:t>
            </w:r>
          </w:p>
        </w:tc>
      </w:tr>
      <w:tr w:rsidR="00E57DAA" w14:paraId="7B3BCA0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220284F" w14:textId="77777777" w:rsidR="00E57DAA" w:rsidRDefault="00AC4185">
            <w:pPr>
              <w:rPr>
                <w:szCs w:val="21"/>
              </w:rPr>
            </w:pPr>
            <w:r>
              <w:t>湖州兴浦南方水泥有限公司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6B7519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1C0EC9C" w14:textId="77777777" w:rsidR="00E57DAA" w:rsidRDefault="00AC4185">
            <w:pPr>
              <w:jc w:val="right"/>
              <w:rPr>
                <w:szCs w:val="21"/>
              </w:rPr>
            </w:pPr>
            <w:r>
              <w:t>210,478.70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141FAB6" w14:textId="77777777" w:rsidR="00E57DAA" w:rsidRDefault="00AC4185">
            <w:pPr>
              <w:jc w:val="right"/>
              <w:rPr>
                <w:szCs w:val="21"/>
              </w:rPr>
            </w:pPr>
            <w:r>
              <w:t xml:space="preserve">　</w:t>
            </w:r>
          </w:p>
        </w:tc>
      </w:tr>
      <w:tr w:rsidR="00E57DAA" w14:paraId="6973E3E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FC1FA9B" w14:textId="77777777" w:rsidR="00E57DAA" w:rsidRDefault="00AC4185">
            <w:pPr>
              <w:rPr>
                <w:szCs w:val="21"/>
              </w:rPr>
            </w:pPr>
            <w:r>
              <w:t>华坪县定华能源建材有限责任公司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FB7EF9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E6F412F" w14:textId="77777777" w:rsidR="00E57DAA" w:rsidRDefault="00AC4185">
            <w:pPr>
              <w:jc w:val="right"/>
              <w:rPr>
                <w:szCs w:val="21"/>
              </w:rPr>
            </w:pPr>
            <w:r>
              <w:t>462,208.90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D246CEF" w14:textId="77777777" w:rsidR="00E57DAA" w:rsidRDefault="00AC4185">
            <w:pPr>
              <w:jc w:val="right"/>
              <w:rPr>
                <w:szCs w:val="21"/>
              </w:rPr>
            </w:pPr>
            <w:r>
              <w:t>8,508,505.25</w:t>
            </w:r>
          </w:p>
        </w:tc>
      </w:tr>
      <w:tr w:rsidR="00E57DAA" w14:paraId="15D1ACD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DFA7E38" w14:textId="77777777" w:rsidR="00E57DAA" w:rsidRDefault="00AC4185">
            <w:pPr>
              <w:rPr>
                <w:szCs w:val="21"/>
              </w:rPr>
            </w:pPr>
            <w:r>
              <w:t>济宁中联水泥有限公司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DC8DC6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DBBF56C" w14:textId="77777777" w:rsidR="00E57DAA" w:rsidRDefault="00AC4185">
            <w:pPr>
              <w:jc w:val="right"/>
              <w:rPr>
                <w:szCs w:val="21"/>
              </w:rPr>
            </w:pPr>
            <w:r>
              <w:t>10,796.46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EC2E4D5" w14:textId="77777777" w:rsidR="00E57DAA" w:rsidRDefault="00AC4185">
            <w:pPr>
              <w:jc w:val="right"/>
              <w:rPr>
                <w:szCs w:val="21"/>
              </w:rPr>
            </w:pPr>
            <w:r>
              <w:t xml:space="preserve">　</w:t>
            </w:r>
          </w:p>
        </w:tc>
      </w:tr>
      <w:tr w:rsidR="00E57DAA" w14:paraId="78481E9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7E0E935" w14:textId="77777777" w:rsidR="00E57DAA" w:rsidRDefault="00AC4185">
            <w:pPr>
              <w:rPr>
                <w:szCs w:val="21"/>
              </w:rPr>
            </w:pPr>
            <w:r>
              <w:t>嘉华特种水泥股份有限公司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A5F711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A8178B6" w14:textId="77777777" w:rsidR="00E57DAA" w:rsidRDefault="00AC4185">
            <w:pPr>
              <w:jc w:val="right"/>
              <w:rPr>
                <w:szCs w:val="21"/>
              </w:rPr>
            </w:pPr>
            <w:r>
              <w:t>91,354.40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400A860" w14:textId="77777777" w:rsidR="00E57DAA" w:rsidRDefault="00AC4185">
            <w:pPr>
              <w:jc w:val="right"/>
              <w:rPr>
                <w:szCs w:val="21"/>
              </w:rPr>
            </w:pPr>
            <w:r>
              <w:t xml:space="preserve">　</w:t>
            </w:r>
          </w:p>
        </w:tc>
      </w:tr>
      <w:tr w:rsidR="00E57DAA" w14:paraId="0987B78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1C9D3FC" w14:textId="77777777" w:rsidR="00E57DAA" w:rsidRDefault="00AC4185">
            <w:pPr>
              <w:rPr>
                <w:szCs w:val="21"/>
              </w:rPr>
            </w:pPr>
            <w:r>
              <w:t>建德更楼矿业有限公司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6D6114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D61F3D7" w14:textId="77777777" w:rsidR="00E57DAA" w:rsidRDefault="00AC4185">
            <w:pPr>
              <w:jc w:val="right"/>
              <w:rPr>
                <w:szCs w:val="21"/>
              </w:rPr>
            </w:pPr>
            <w:r>
              <w:t>89,598.30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1D4532D" w14:textId="77777777" w:rsidR="00E57DAA" w:rsidRDefault="00AC4185">
            <w:pPr>
              <w:jc w:val="right"/>
              <w:rPr>
                <w:szCs w:val="21"/>
              </w:rPr>
            </w:pPr>
            <w:r>
              <w:t>1,374,027.40</w:t>
            </w:r>
          </w:p>
        </w:tc>
      </w:tr>
      <w:tr w:rsidR="00E57DAA" w14:paraId="2A508BF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699334D" w14:textId="77777777" w:rsidR="00E57DAA" w:rsidRDefault="00AC4185">
            <w:pPr>
              <w:rPr>
                <w:szCs w:val="21"/>
              </w:rPr>
            </w:pPr>
            <w:r>
              <w:t>建德南方水泥有限公司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E51E8B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75982DC" w14:textId="77777777" w:rsidR="00E57DAA" w:rsidRDefault="00AC4185">
            <w:pPr>
              <w:jc w:val="right"/>
              <w:rPr>
                <w:szCs w:val="21"/>
              </w:rPr>
            </w:pPr>
            <w:r>
              <w:t>1,315.03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FFDE53F" w14:textId="77777777" w:rsidR="00E57DAA" w:rsidRDefault="00AC4185">
            <w:pPr>
              <w:jc w:val="right"/>
              <w:rPr>
                <w:szCs w:val="21"/>
              </w:rPr>
            </w:pPr>
            <w:r>
              <w:t>10,836,171.21</w:t>
            </w:r>
          </w:p>
        </w:tc>
      </w:tr>
      <w:tr w:rsidR="00E57DAA" w14:paraId="3262A2A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F17242D" w14:textId="77777777" w:rsidR="00E57DAA" w:rsidRDefault="00AC4185">
            <w:pPr>
              <w:rPr>
                <w:szCs w:val="21"/>
              </w:rPr>
            </w:pPr>
            <w:r>
              <w:t>建德市新安江建材石料有限公司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5D3C62F"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866F263"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06D765C" w14:textId="77777777" w:rsidR="00E57DAA" w:rsidRDefault="00AC4185">
            <w:pPr>
              <w:jc w:val="right"/>
              <w:rPr>
                <w:szCs w:val="21"/>
              </w:rPr>
            </w:pPr>
            <w:r>
              <w:t>3,343,216.87</w:t>
            </w:r>
          </w:p>
        </w:tc>
      </w:tr>
      <w:tr w:rsidR="00E57DAA" w14:paraId="60D11B8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D07BF69" w14:textId="77777777" w:rsidR="00E57DAA" w:rsidRDefault="00AC4185">
            <w:pPr>
              <w:rPr>
                <w:szCs w:val="21"/>
              </w:rPr>
            </w:pPr>
            <w:r>
              <w:t>江山南方水泥有限公司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D46DC9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2893E3C" w14:textId="77777777" w:rsidR="00E57DAA" w:rsidRDefault="00AC4185">
            <w:pPr>
              <w:jc w:val="right"/>
              <w:rPr>
                <w:szCs w:val="21"/>
              </w:rPr>
            </w:pPr>
            <w:r>
              <w:t>286,587.34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6255240" w14:textId="77777777" w:rsidR="00E57DAA" w:rsidRDefault="00AC4185">
            <w:pPr>
              <w:jc w:val="right"/>
              <w:rPr>
                <w:szCs w:val="21"/>
              </w:rPr>
            </w:pPr>
            <w:r>
              <w:t xml:space="preserve">　</w:t>
            </w:r>
          </w:p>
        </w:tc>
      </w:tr>
      <w:tr w:rsidR="00E57DAA" w14:paraId="16EA9CA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11A8979" w14:textId="77777777" w:rsidR="00E57DAA" w:rsidRDefault="00AC4185">
            <w:pPr>
              <w:rPr>
                <w:szCs w:val="21"/>
              </w:rPr>
            </w:pPr>
            <w:r>
              <w:t>江西安福南方水泥有限公司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218C8F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BE275B0" w14:textId="77777777" w:rsidR="00E57DAA" w:rsidRDefault="00AC4185">
            <w:pPr>
              <w:jc w:val="right"/>
              <w:rPr>
                <w:szCs w:val="21"/>
              </w:rPr>
            </w:pPr>
            <w:r>
              <w:t>110,451.22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9C99F22" w14:textId="77777777" w:rsidR="00E57DAA" w:rsidRDefault="00AC4185">
            <w:pPr>
              <w:jc w:val="right"/>
              <w:rPr>
                <w:szCs w:val="21"/>
              </w:rPr>
            </w:pPr>
            <w:r>
              <w:t>2,300.71</w:t>
            </w:r>
          </w:p>
        </w:tc>
      </w:tr>
      <w:tr w:rsidR="00E57DAA" w14:paraId="36C0FAA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18998C7" w14:textId="77777777" w:rsidR="00E57DAA" w:rsidRDefault="00AC4185">
            <w:pPr>
              <w:rPr>
                <w:szCs w:val="21"/>
              </w:rPr>
            </w:pPr>
            <w:r>
              <w:t>江西东乡南方混凝土有限公司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6B6EDDF"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2D06D36"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0FA8B5B" w14:textId="77777777" w:rsidR="00E57DAA" w:rsidRDefault="00AC4185">
            <w:pPr>
              <w:jc w:val="right"/>
              <w:rPr>
                <w:szCs w:val="21"/>
              </w:rPr>
            </w:pPr>
            <w:r>
              <w:t>5,616.50</w:t>
            </w:r>
          </w:p>
        </w:tc>
      </w:tr>
      <w:tr w:rsidR="00E57DAA" w14:paraId="148B9F8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45B9A6D" w14:textId="77777777" w:rsidR="00E57DAA" w:rsidRDefault="00AC4185">
            <w:pPr>
              <w:rPr>
                <w:szCs w:val="21"/>
              </w:rPr>
            </w:pPr>
            <w:r>
              <w:t>江西芦溪南方水泥有限公司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9401A5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B3E83A5" w14:textId="77777777" w:rsidR="00E57DAA" w:rsidRDefault="00AC4185">
            <w:pPr>
              <w:jc w:val="right"/>
              <w:rPr>
                <w:szCs w:val="21"/>
              </w:rPr>
            </w:pPr>
            <w:r>
              <w:t>4,132.00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84D3234" w14:textId="77777777" w:rsidR="00E57DAA" w:rsidRDefault="00AC4185">
            <w:pPr>
              <w:jc w:val="right"/>
              <w:rPr>
                <w:szCs w:val="21"/>
              </w:rPr>
            </w:pPr>
            <w:r>
              <w:t xml:space="preserve">　</w:t>
            </w:r>
          </w:p>
        </w:tc>
      </w:tr>
      <w:tr w:rsidR="00E57DAA" w14:paraId="610D051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B73BF15" w14:textId="77777777" w:rsidR="00E57DAA" w:rsidRDefault="00AC4185">
            <w:pPr>
              <w:rPr>
                <w:szCs w:val="21"/>
              </w:rPr>
            </w:pPr>
            <w:r>
              <w:t>江西南城南方水泥有限公司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276559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0BDFD84" w14:textId="77777777" w:rsidR="00E57DAA" w:rsidRDefault="00AC4185">
            <w:pPr>
              <w:jc w:val="right"/>
              <w:rPr>
                <w:szCs w:val="21"/>
              </w:rPr>
            </w:pPr>
            <w:r>
              <w:t>69,815.93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3B34FE7" w14:textId="77777777" w:rsidR="00E57DAA" w:rsidRDefault="00AC4185">
            <w:pPr>
              <w:jc w:val="right"/>
              <w:rPr>
                <w:szCs w:val="21"/>
              </w:rPr>
            </w:pPr>
            <w:r>
              <w:t xml:space="preserve">　</w:t>
            </w:r>
          </w:p>
        </w:tc>
      </w:tr>
      <w:tr w:rsidR="00E57DAA" w14:paraId="2DF8D7E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B8852B3" w14:textId="77777777" w:rsidR="00E57DAA" w:rsidRDefault="00AC4185">
            <w:pPr>
              <w:rPr>
                <w:szCs w:val="21"/>
              </w:rPr>
            </w:pPr>
            <w:r>
              <w:t>江西上高南方水泥有限公司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7D9866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F04F98C" w14:textId="77777777" w:rsidR="00E57DAA" w:rsidRDefault="00AC4185">
            <w:pPr>
              <w:jc w:val="right"/>
              <w:rPr>
                <w:szCs w:val="21"/>
              </w:rPr>
            </w:pPr>
            <w:r>
              <w:t>175,040.64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CE6668B" w14:textId="77777777" w:rsidR="00E57DAA" w:rsidRDefault="00AC4185">
            <w:pPr>
              <w:jc w:val="right"/>
              <w:rPr>
                <w:szCs w:val="21"/>
              </w:rPr>
            </w:pPr>
            <w:r>
              <w:t xml:space="preserve">　</w:t>
            </w:r>
          </w:p>
        </w:tc>
      </w:tr>
      <w:tr w:rsidR="00E57DAA" w14:paraId="09067D9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E7FD166" w14:textId="77777777" w:rsidR="00E57DAA" w:rsidRDefault="00AC4185">
            <w:pPr>
              <w:rPr>
                <w:szCs w:val="21"/>
              </w:rPr>
            </w:pPr>
            <w:r>
              <w:t>江西泰和南方水泥有限公司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891020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E07CDC9" w14:textId="77777777" w:rsidR="00E57DAA" w:rsidRDefault="00AC4185">
            <w:pPr>
              <w:jc w:val="right"/>
              <w:rPr>
                <w:szCs w:val="21"/>
              </w:rPr>
            </w:pPr>
            <w:r>
              <w:t>19,711.10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C6E92E8" w14:textId="77777777" w:rsidR="00E57DAA" w:rsidRDefault="00AC4185">
            <w:pPr>
              <w:jc w:val="right"/>
              <w:rPr>
                <w:szCs w:val="21"/>
              </w:rPr>
            </w:pPr>
            <w:r>
              <w:t xml:space="preserve">　</w:t>
            </w:r>
          </w:p>
        </w:tc>
      </w:tr>
      <w:tr w:rsidR="00E57DAA" w14:paraId="1D29EAE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90BC864" w14:textId="77777777" w:rsidR="00E57DAA" w:rsidRDefault="00AC4185">
            <w:pPr>
              <w:rPr>
                <w:szCs w:val="21"/>
              </w:rPr>
            </w:pPr>
            <w:r>
              <w:t>江西兴国南方水泥有限公司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4137E5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AE1C908" w14:textId="77777777" w:rsidR="00E57DAA" w:rsidRDefault="00AC4185">
            <w:pPr>
              <w:jc w:val="right"/>
              <w:rPr>
                <w:szCs w:val="21"/>
              </w:rPr>
            </w:pPr>
            <w:r>
              <w:t>527,212.02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2EA2F6A" w14:textId="77777777" w:rsidR="00E57DAA" w:rsidRDefault="00AC4185">
            <w:pPr>
              <w:jc w:val="right"/>
              <w:rPr>
                <w:szCs w:val="21"/>
              </w:rPr>
            </w:pPr>
            <w:r>
              <w:t xml:space="preserve">　</w:t>
            </w:r>
          </w:p>
        </w:tc>
      </w:tr>
      <w:tr w:rsidR="00E57DAA" w14:paraId="0F021F1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C262B7C" w14:textId="77777777" w:rsidR="00E57DAA" w:rsidRDefault="00AC4185">
            <w:pPr>
              <w:rPr>
                <w:szCs w:val="21"/>
              </w:rPr>
            </w:pPr>
            <w:r>
              <w:t>江西永丰南方水泥有限公司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F5F266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05084FF" w14:textId="77777777" w:rsidR="00E57DAA" w:rsidRDefault="00AC4185">
            <w:pPr>
              <w:jc w:val="right"/>
              <w:rPr>
                <w:szCs w:val="21"/>
              </w:rPr>
            </w:pPr>
            <w:r>
              <w:t>72,316.88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C0B0D18" w14:textId="77777777" w:rsidR="00E57DAA" w:rsidRDefault="00AC4185">
            <w:pPr>
              <w:jc w:val="right"/>
              <w:rPr>
                <w:szCs w:val="21"/>
              </w:rPr>
            </w:pPr>
            <w:r>
              <w:t>65,347.20</w:t>
            </w:r>
          </w:p>
        </w:tc>
      </w:tr>
      <w:tr w:rsidR="00E57DAA" w14:paraId="523E00E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F70B416" w14:textId="77777777" w:rsidR="00E57DAA" w:rsidRDefault="00AC4185">
            <w:pPr>
              <w:rPr>
                <w:szCs w:val="21"/>
              </w:rPr>
            </w:pPr>
            <w:r>
              <w:t>江西玉山南方水泥有限公司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1B9A94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AA0CBBC" w14:textId="77777777" w:rsidR="00E57DAA" w:rsidRDefault="00AC4185">
            <w:pPr>
              <w:jc w:val="right"/>
              <w:rPr>
                <w:szCs w:val="21"/>
              </w:rPr>
            </w:pPr>
            <w:r>
              <w:t>366,903.58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5B4C032" w14:textId="77777777" w:rsidR="00E57DAA" w:rsidRDefault="00AC4185">
            <w:pPr>
              <w:jc w:val="right"/>
              <w:rPr>
                <w:szCs w:val="21"/>
              </w:rPr>
            </w:pPr>
            <w:r>
              <w:t>119,322.66</w:t>
            </w:r>
          </w:p>
        </w:tc>
      </w:tr>
      <w:tr w:rsidR="00E57DAA" w14:paraId="111E763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FB657DE" w14:textId="77777777" w:rsidR="00E57DAA" w:rsidRDefault="00AC4185">
            <w:pPr>
              <w:rPr>
                <w:szCs w:val="21"/>
              </w:rPr>
            </w:pPr>
            <w:r>
              <w:t>金刚（集团）白山水泥有限公司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155BC5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26FD2B" w14:textId="77777777" w:rsidR="00E57DAA" w:rsidRDefault="00AC4185">
            <w:pPr>
              <w:jc w:val="right"/>
              <w:rPr>
                <w:szCs w:val="21"/>
              </w:rPr>
            </w:pPr>
            <w:r>
              <w:t>19,955.40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FCB30DD" w14:textId="77777777" w:rsidR="00E57DAA" w:rsidRDefault="00AC4185">
            <w:pPr>
              <w:jc w:val="right"/>
              <w:rPr>
                <w:szCs w:val="21"/>
              </w:rPr>
            </w:pPr>
            <w:r>
              <w:t xml:space="preserve">　</w:t>
            </w:r>
          </w:p>
        </w:tc>
      </w:tr>
      <w:tr w:rsidR="00E57DAA" w14:paraId="1BD2FD0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8A9CCFB" w14:textId="77777777" w:rsidR="00E57DAA" w:rsidRDefault="00AC4185">
            <w:pPr>
              <w:rPr>
                <w:szCs w:val="21"/>
              </w:rPr>
            </w:pPr>
            <w:r>
              <w:t>喀喇沁草原水泥有限责任公司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529B17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892A59" w14:textId="77777777" w:rsidR="00E57DAA" w:rsidRDefault="00AC4185">
            <w:pPr>
              <w:jc w:val="right"/>
              <w:rPr>
                <w:szCs w:val="21"/>
              </w:rPr>
            </w:pPr>
            <w:r>
              <w:t>105,028.66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82A5A32" w14:textId="77777777" w:rsidR="00E57DAA" w:rsidRDefault="00AC4185">
            <w:pPr>
              <w:jc w:val="right"/>
              <w:rPr>
                <w:szCs w:val="21"/>
              </w:rPr>
            </w:pPr>
            <w:r>
              <w:t>316,317.98</w:t>
            </w:r>
          </w:p>
        </w:tc>
      </w:tr>
      <w:tr w:rsidR="00E57DAA" w14:paraId="3BAA9CF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842506A" w14:textId="77777777" w:rsidR="00E57DAA" w:rsidRDefault="00AC4185">
            <w:pPr>
              <w:rPr>
                <w:szCs w:val="21"/>
              </w:rPr>
            </w:pPr>
            <w:r>
              <w:t>兰溪南方水泥有限公司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313959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5E028A" w14:textId="77777777" w:rsidR="00E57DAA" w:rsidRDefault="00AC4185">
            <w:pPr>
              <w:jc w:val="right"/>
              <w:rPr>
                <w:szCs w:val="21"/>
              </w:rPr>
            </w:pPr>
            <w:r>
              <w:t>3,629.93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E9455C1" w14:textId="77777777" w:rsidR="00E57DAA" w:rsidRDefault="00AC4185">
            <w:pPr>
              <w:jc w:val="right"/>
              <w:rPr>
                <w:szCs w:val="21"/>
              </w:rPr>
            </w:pPr>
            <w:r>
              <w:t xml:space="preserve">　</w:t>
            </w:r>
          </w:p>
        </w:tc>
      </w:tr>
      <w:tr w:rsidR="00E57DAA" w14:paraId="3DAAF25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B556184" w14:textId="77777777" w:rsidR="00E57DAA" w:rsidRDefault="00AC4185">
            <w:pPr>
              <w:rPr>
                <w:szCs w:val="21"/>
              </w:rPr>
            </w:pPr>
            <w:r>
              <w:t>丽江古城西南水泥有限公司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58AC2FF"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7677366" w14:textId="77777777" w:rsidR="00E57DAA" w:rsidRDefault="00AC4185">
            <w:pPr>
              <w:jc w:val="right"/>
              <w:rPr>
                <w:szCs w:val="21"/>
              </w:rPr>
            </w:pPr>
            <w:r>
              <w:t>9,087.65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6C2E3D3" w14:textId="77777777" w:rsidR="00E57DAA" w:rsidRDefault="00AC4185">
            <w:pPr>
              <w:jc w:val="right"/>
              <w:rPr>
                <w:szCs w:val="21"/>
              </w:rPr>
            </w:pPr>
            <w:r>
              <w:t>43,936.46</w:t>
            </w:r>
          </w:p>
        </w:tc>
      </w:tr>
      <w:tr w:rsidR="00E57DAA" w14:paraId="0153E2D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21FC187" w14:textId="77777777" w:rsidR="00E57DAA" w:rsidRDefault="00AC4185">
            <w:pPr>
              <w:rPr>
                <w:szCs w:val="21"/>
              </w:rPr>
            </w:pPr>
            <w:r>
              <w:t>溧水天山水泥有限公司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75054A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FCC40C4" w14:textId="77777777" w:rsidR="00E57DAA" w:rsidRDefault="00AC4185">
            <w:pPr>
              <w:jc w:val="right"/>
              <w:rPr>
                <w:szCs w:val="21"/>
              </w:rPr>
            </w:pPr>
            <w:r>
              <w:t>4,901,000.61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9DD7EBD" w14:textId="77777777" w:rsidR="00E57DAA" w:rsidRDefault="00AC4185">
            <w:pPr>
              <w:jc w:val="right"/>
              <w:rPr>
                <w:szCs w:val="21"/>
              </w:rPr>
            </w:pPr>
            <w:r>
              <w:t>15,999,435.47</w:t>
            </w:r>
          </w:p>
        </w:tc>
      </w:tr>
      <w:tr w:rsidR="00E57DAA" w14:paraId="14E6C43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A322534" w14:textId="77777777" w:rsidR="00E57DAA" w:rsidRDefault="00AC4185">
            <w:pPr>
              <w:rPr>
                <w:szCs w:val="21"/>
              </w:rPr>
            </w:pPr>
            <w:r>
              <w:t>溧阳天山水泥有限公司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CA003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077893A" w14:textId="77777777" w:rsidR="00E57DAA" w:rsidRDefault="00AC4185">
            <w:pPr>
              <w:jc w:val="right"/>
              <w:rPr>
                <w:szCs w:val="21"/>
              </w:rPr>
            </w:pPr>
            <w:r>
              <w:t>341.79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4D83144" w14:textId="77777777" w:rsidR="00E57DAA" w:rsidRDefault="00AC4185">
            <w:pPr>
              <w:jc w:val="right"/>
              <w:rPr>
                <w:szCs w:val="21"/>
              </w:rPr>
            </w:pPr>
            <w:r>
              <w:t>3,914,865.28</w:t>
            </w:r>
          </w:p>
        </w:tc>
      </w:tr>
      <w:tr w:rsidR="00E57DAA" w14:paraId="000C90D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4022288" w14:textId="77777777" w:rsidR="00E57DAA" w:rsidRDefault="00AC4185">
            <w:pPr>
              <w:rPr>
                <w:szCs w:val="21"/>
              </w:rPr>
            </w:pPr>
            <w:r>
              <w:lastRenderedPageBreak/>
              <w:t>连云港中复连众复合材料集团有限公司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0F3B039"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FBC3513" w14:textId="77777777" w:rsidR="00E57DAA" w:rsidRDefault="00AC4185">
            <w:pPr>
              <w:jc w:val="right"/>
              <w:rPr>
                <w:szCs w:val="21"/>
              </w:rPr>
            </w:pPr>
            <w:r>
              <w:t>259,831.86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24D06DA" w14:textId="77777777" w:rsidR="00E57DAA" w:rsidRDefault="00AC4185">
            <w:pPr>
              <w:jc w:val="right"/>
              <w:rPr>
                <w:szCs w:val="21"/>
              </w:rPr>
            </w:pPr>
            <w:r>
              <w:t xml:space="preserve">　</w:t>
            </w:r>
          </w:p>
        </w:tc>
      </w:tr>
      <w:tr w:rsidR="00E57DAA" w14:paraId="13E4D4F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D1E6CE9" w14:textId="77777777" w:rsidR="00E57DAA" w:rsidRDefault="00AC4185">
            <w:pPr>
              <w:rPr>
                <w:szCs w:val="21"/>
              </w:rPr>
            </w:pPr>
            <w:r>
              <w:t>涟源市金铃建材有限公司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34525CD"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EC7F406"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7E9801E" w14:textId="77777777" w:rsidR="00E57DAA" w:rsidRDefault="00AC4185">
            <w:pPr>
              <w:jc w:val="right"/>
              <w:rPr>
                <w:szCs w:val="21"/>
              </w:rPr>
            </w:pPr>
            <w:r>
              <w:t>369,281.09</w:t>
            </w:r>
          </w:p>
        </w:tc>
      </w:tr>
      <w:tr w:rsidR="00E57DAA" w14:paraId="00E056A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CCBE2CC" w14:textId="77777777" w:rsidR="00E57DAA" w:rsidRDefault="00AC4185">
            <w:pPr>
              <w:rPr>
                <w:szCs w:val="21"/>
              </w:rPr>
            </w:pPr>
            <w:r>
              <w:t>临沂中联水泥有限公司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4C893B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DD87527" w14:textId="77777777" w:rsidR="00E57DAA" w:rsidRDefault="00AC4185">
            <w:pPr>
              <w:jc w:val="right"/>
              <w:rPr>
                <w:szCs w:val="21"/>
              </w:rPr>
            </w:pPr>
            <w:r>
              <w:t>4,062,296.33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4133B8C" w14:textId="77777777" w:rsidR="00E57DAA" w:rsidRDefault="00AC4185">
            <w:pPr>
              <w:jc w:val="right"/>
              <w:rPr>
                <w:szCs w:val="21"/>
              </w:rPr>
            </w:pPr>
            <w:r>
              <w:t>14,357,141.25</w:t>
            </w:r>
          </w:p>
        </w:tc>
      </w:tr>
      <w:tr w:rsidR="00E57DAA" w14:paraId="4A817E5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9693AFB" w14:textId="77777777" w:rsidR="00E57DAA" w:rsidRDefault="00AC4185">
            <w:pPr>
              <w:rPr>
                <w:szCs w:val="21"/>
              </w:rPr>
            </w:pPr>
            <w:r>
              <w:t>凌源市富源矿业有限责任公司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50881C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266B4DD" w14:textId="77777777" w:rsidR="00E57DAA" w:rsidRDefault="00AC4185">
            <w:pPr>
              <w:jc w:val="right"/>
              <w:rPr>
                <w:szCs w:val="21"/>
              </w:rPr>
            </w:pPr>
            <w:r>
              <w:t>31,532.90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9353D68" w14:textId="77777777" w:rsidR="00E57DAA" w:rsidRDefault="00AC4185">
            <w:pPr>
              <w:jc w:val="right"/>
              <w:rPr>
                <w:szCs w:val="21"/>
              </w:rPr>
            </w:pPr>
            <w:r>
              <w:t>19,668.56</w:t>
            </w:r>
          </w:p>
        </w:tc>
      </w:tr>
      <w:tr w:rsidR="00E57DAA" w14:paraId="4D298E5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4D801D4" w14:textId="77777777" w:rsidR="00E57DAA" w:rsidRDefault="00AC4185">
            <w:pPr>
              <w:rPr>
                <w:szCs w:val="21"/>
              </w:rPr>
            </w:pPr>
            <w:r>
              <w:t>六安南方水泥有限公司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DCB0D6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CD73F9" w14:textId="77777777" w:rsidR="00E57DAA" w:rsidRDefault="00AC4185">
            <w:pPr>
              <w:jc w:val="right"/>
              <w:rPr>
                <w:szCs w:val="21"/>
              </w:rPr>
            </w:pPr>
            <w:r>
              <w:t>46,521.91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1E6C53D" w14:textId="77777777" w:rsidR="00E57DAA" w:rsidRDefault="00AC4185">
            <w:pPr>
              <w:jc w:val="right"/>
              <w:rPr>
                <w:szCs w:val="21"/>
              </w:rPr>
            </w:pPr>
            <w:r>
              <w:t xml:space="preserve">　</w:t>
            </w:r>
          </w:p>
        </w:tc>
      </w:tr>
      <w:tr w:rsidR="00E57DAA" w14:paraId="6B2903D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E45FCD7" w14:textId="77777777" w:rsidR="00E57DAA" w:rsidRDefault="00AC4185">
            <w:pPr>
              <w:rPr>
                <w:szCs w:val="21"/>
              </w:rPr>
            </w:pPr>
            <w:r>
              <w:t>鲁南中联水泥有限公司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E019327"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D773135" w14:textId="77777777" w:rsidR="00E57DAA" w:rsidRDefault="00AC4185">
            <w:pPr>
              <w:jc w:val="right"/>
              <w:rPr>
                <w:szCs w:val="21"/>
              </w:rPr>
            </w:pPr>
            <w:r>
              <w:t>2,112,812.00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0A7A9C6" w14:textId="77777777" w:rsidR="00E57DAA" w:rsidRDefault="00AC4185">
            <w:pPr>
              <w:jc w:val="right"/>
              <w:rPr>
                <w:szCs w:val="21"/>
              </w:rPr>
            </w:pPr>
            <w:r>
              <w:t>3,281,179.45</w:t>
            </w:r>
          </w:p>
        </w:tc>
      </w:tr>
      <w:tr w:rsidR="00E57DAA" w14:paraId="03F145B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F864E11" w14:textId="77777777" w:rsidR="00E57DAA" w:rsidRDefault="00AC4185">
            <w:pPr>
              <w:rPr>
                <w:szCs w:val="21"/>
              </w:rPr>
            </w:pPr>
            <w:r>
              <w:t>洛阳中联水泥有限公司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E6DA3B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F2F6107" w14:textId="77777777" w:rsidR="00E57DAA" w:rsidRDefault="00AC4185">
            <w:pPr>
              <w:jc w:val="right"/>
              <w:rPr>
                <w:szCs w:val="21"/>
              </w:rPr>
            </w:pPr>
            <w:r>
              <w:t>3,169,373.31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7AA1B96" w14:textId="77777777" w:rsidR="00E57DAA" w:rsidRDefault="00AC4185">
            <w:pPr>
              <w:jc w:val="right"/>
              <w:rPr>
                <w:szCs w:val="21"/>
              </w:rPr>
            </w:pPr>
            <w:r>
              <w:t>3,239,605.59</w:t>
            </w:r>
          </w:p>
        </w:tc>
      </w:tr>
      <w:tr w:rsidR="00E57DAA" w14:paraId="01AC0CC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A0CAA30" w14:textId="77777777" w:rsidR="00E57DAA" w:rsidRDefault="00AC4185">
            <w:pPr>
              <w:rPr>
                <w:szCs w:val="21"/>
              </w:rPr>
            </w:pPr>
            <w:r>
              <w:t>民和祁连山水泥有限公司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2E9E76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2602154" w14:textId="77777777" w:rsidR="00E57DAA" w:rsidRDefault="00AC4185">
            <w:pPr>
              <w:jc w:val="right"/>
              <w:rPr>
                <w:szCs w:val="21"/>
              </w:rPr>
            </w:pPr>
            <w:r>
              <w:t>104,278.91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CEB8076" w14:textId="77777777" w:rsidR="00E57DAA" w:rsidRDefault="00AC4185">
            <w:pPr>
              <w:jc w:val="right"/>
              <w:rPr>
                <w:szCs w:val="21"/>
              </w:rPr>
            </w:pPr>
            <w:r>
              <w:t xml:space="preserve">　</w:t>
            </w:r>
          </w:p>
        </w:tc>
      </w:tr>
      <w:tr w:rsidR="00E57DAA" w14:paraId="2410E9D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721271" w14:textId="77777777" w:rsidR="00E57DAA" w:rsidRDefault="00AC4185">
            <w:pPr>
              <w:rPr>
                <w:szCs w:val="21"/>
              </w:rPr>
            </w:pPr>
            <w:r>
              <w:t>南京玻璃纤维研究设计院有限公司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33A5A1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09ED117" w14:textId="77777777" w:rsidR="00E57DAA" w:rsidRDefault="00AC4185">
            <w:pPr>
              <w:jc w:val="right"/>
              <w:rPr>
                <w:szCs w:val="21"/>
              </w:rPr>
            </w:pPr>
            <w:r>
              <w:t>12,939,792.94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7C823C5" w14:textId="77777777" w:rsidR="00E57DAA" w:rsidRDefault="00AC4185">
            <w:pPr>
              <w:jc w:val="right"/>
              <w:rPr>
                <w:szCs w:val="21"/>
              </w:rPr>
            </w:pPr>
            <w:r>
              <w:t>41,954,951.08</w:t>
            </w:r>
          </w:p>
        </w:tc>
      </w:tr>
      <w:tr w:rsidR="00E57DAA" w14:paraId="2AA491F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7E71267" w14:textId="77777777" w:rsidR="00E57DAA" w:rsidRDefault="00AC4185">
            <w:pPr>
              <w:rPr>
                <w:szCs w:val="21"/>
              </w:rPr>
            </w:pPr>
            <w:r>
              <w:t>南京中联混凝土有限公司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6B9CF9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15D82FD" w14:textId="77777777" w:rsidR="00E57DAA" w:rsidRDefault="00AC4185">
            <w:pPr>
              <w:jc w:val="right"/>
              <w:rPr>
                <w:szCs w:val="21"/>
              </w:rPr>
            </w:pPr>
            <w:r>
              <w:t>37,579.65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B76E10D" w14:textId="77777777" w:rsidR="00E57DAA" w:rsidRDefault="00AC4185">
            <w:pPr>
              <w:jc w:val="right"/>
              <w:rPr>
                <w:szCs w:val="21"/>
              </w:rPr>
            </w:pPr>
            <w:r>
              <w:t xml:space="preserve">　</w:t>
            </w:r>
          </w:p>
        </w:tc>
      </w:tr>
      <w:tr w:rsidR="00E57DAA" w14:paraId="695254D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6801C81" w14:textId="77777777" w:rsidR="00E57DAA" w:rsidRDefault="00AC4185">
            <w:pPr>
              <w:rPr>
                <w:szCs w:val="21"/>
              </w:rPr>
            </w:pPr>
            <w:r>
              <w:t>南京中联水泥有限公司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BD232B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9EF821F" w14:textId="77777777" w:rsidR="00E57DAA" w:rsidRDefault="00AC4185">
            <w:pPr>
              <w:jc w:val="right"/>
              <w:rPr>
                <w:szCs w:val="21"/>
              </w:rPr>
            </w:pPr>
            <w:r>
              <w:t>12,756.12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45FC698" w14:textId="77777777" w:rsidR="00E57DAA" w:rsidRDefault="00AC4185">
            <w:pPr>
              <w:jc w:val="right"/>
              <w:rPr>
                <w:szCs w:val="21"/>
              </w:rPr>
            </w:pPr>
            <w:r>
              <w:t xml:space="preserve">　</w:t>
            </w:r>
          </w:p>
        </w:tc>
      </w:tr>
      <w:tr w:rsidR="00E57DAA" w14:paraId="4CAA57B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68D889C" w14:textId="77777777" w:rsidR="00E57DAA" w:rsidRDefault="00AC4185">
            <w:pPr>
              <w:rPr>
                <w:szCs w:val="21"/>
              </w:rPr>
            </w:pPr>
            <w:r>
              <w:t>南阳中联水泥有限公司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EBE8D9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F4B5157" w14:textId="77777777" w:rsidR="00E57DAA" w:rsidRDefault="00AC4185">
            <w:pPr>
              <w:jc w:val="right"/>
              <w:rPr>
                <w:szCs w:val="21"/>
              </w:rPr>
            </w:pPr>
            <w:r>
              <w:t>82,389.38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77C753D" w14:textId="77777777" w:rsidR="00E57DAA" w:rsidRDefault="00AC4185">
            <w:pPr>
              <w:jc w:val="right"/>
              <w:rPr>
                <w:szCs w:val="21"/>
              </w:rPr>
            </w:pPr>
            <w:r>
              <w:t>2,346,020.68</w:t>
            </w:r>
          </w:p>
        </w:tc>
      </w:tr>
      <w:tr w:rsidR="00E57DAA" w14:paraId="2D26951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DF4B870" w14:textId="77777777" w:rsidR="00E57DAA" w:rsidRDefault="00AC4185">
            <w:pPr>
              <w:rPr>
                <w:szCs w:val="21"/>
              </w:rPr>
            </w:pPr>
            <w:r>
              <w:t>宁夏赛马水泥有限公司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054852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5858C59" w14:textId="77777777" w:rsidR="00E57DAA" w:rsidRDefault="00AC4185">
            <w:pPr>
              <w:jc w:val="right"/>
              <w:rPr>
                <w:szCs w:val="21"/>
              </w:rPr>
            </w:pPr>
            <w:r>
              <w:t>1,401.20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F662859" w14:textId="77777777" w:rsidR="00E57DAA" w:rsidRDefault="00AC4185">
            <w:pPr>
              <w:jc w:val="right"/>
              <w:rPr>
                <w:szCs w:val="21"/>
              </w:rPr>
            </w:pPr>
            <w:r>
              <w:t xml:space="preserve">　</w:t>
            </w:r>
          </w:p>
        </w:tc>
      </w:tr>
      <w:tr w:rsidR="00E57DAA" w14:paraId="186A758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C32FE2E" w14:textId="77777777" w:rsidR="00E57DAA" w:rsidRDefault="00AC4185">
            <w:pPr>
              <w:rPr>
                <w:szCs w:val="21"/>
              </w:rPr>
            </w:pPr>
            <w:r>
              <w:t>宁夏中宁赛马水泥有限公司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B4E0E98"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929590"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E80A5EE" w14:textId="77777777" w:rsidR="00E57DAA" w:rsidRDefault="00AC4185">
            <w:pPr>
              <w:jc w:val="right"/>
              <w:rPr>
                <w:szCs w:val="21"/>
              </w:rPr>
            </w:pPr>
            <w:r>
              <w:t>15,257.59</w:t>
            </w:r>
          </w:p>
        </w:tc>
      </w:tr>
      <w:tr w:rsidR="00E57DAA" w14:paraId="4697E20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72B7C42" w14:textId="77777777" w:rsidR="00E57DAA" w:rsidRDefault="00AC4185">
            <w:pPr>
              <w:rPr>
                <w:szCs w:val="21"/>
              </w:rPr>
            </w:pPr>
            <w:r>
              <w:t>平凉祁连山水泥有限公司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A4ABD0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0419EB6" w14:textId="77777777" w:rsidR="00E57DAA" w:rsidRDefault="00AC4185">
            <w:pPr>
              <w:jc w:val="right"/>
              <w:rPr>
                <w:szCs w:val="21"/>
              </w:rPr>
            </w:pPr>
            <w:r>
              <w:t>338,663.63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07293AC" w14:textId="77777777" w:rsidR="00E57DAA" w:rsidRDefault="00AC4185">
            <w:pPr>
              <w:jc w:val="right"/>
              <w:rPr>
                <w:szCs w:val="21"/>
              </w:rPr>
            </w:pPr>
            <w:r>
              <w:t>172,197.75</w:t>
            </w:r>
          </w:p>
        </w:tc>
      </w:tr>
      <w:tr w:rsidR="00E57DAA" w14:paraId="0C93787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BC64D3B" w14:textId="77777777" w:rsidR="00E57DAA" w:rsidRDefault="00AC4185">
            <w:pPr>
              <w:rPr>
                <w:szCs w:val="21"/>
              </w:rPr>
            </w:pPr>
            <w:r>
              <w:t>平邑中联水泥有限公司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18DA1F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8AFF76" w14:textId="77777777" w:rsidR="00E57DAA" w:rsidRDefault="00AC4185">
            <w:pPr>
              <w:jc w:val="right"/>
              <w:rPr>
                <w:szCs w:val="21"/>
              </w:rPr>
            </w:pPr>
            <w:r>
              <w:t>3,129.56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C7701F9" w14:textId="77777777" w:rsidR="00E57DAA" w:rsidRDefault="00AC4185">
            <w:pPr>
              <w:jc w:val="right"/>
              <w:rPr>
                <w:szCs w:val="21"/>
              </w:rPr>
            </w:pPr>
            <w:r>
              <w:t xml:space="preserve">　</w:t>
            </w:r>
          </w:p>
        </w:tc>
      </w:tr>
      <w:tr w:rsidR="00E57DAA" w14:paraId="11FCFE5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081255B" w14:textId="77777777" w:rsidR="00E57DAA" w:rsidRDefault="00AC4185">
            <w:pPr>
              <w:rPr>
                <w:szCs w:val="21"/>
              </w:rPr>
            </w:pPr>
            <w:r>
              <w:t>青州中联水泥有限公司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582C968"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5758135"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7EAB3B5" w14:textId="77777777" w:rsidR="00E57DAA" w:rsidRDefault="00AC4185">
            <w:pPr>
              <w:jc w:val="right"/>
              <w:rPr>
                <w:szCs w:val="21"/>
              </w:rPr>
            </w:pPr>
            <w:r>
              <w:t>4,630,030.22</w:t>
            </w:r>
          </w:p>
        </w:tc>
      </w:tr>
      <w:tr w:rsidR="00E57DAA" w14:paraId="54594A8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1B65CC6" w14:textId="77777777" w:rsidR="00E57DAA" w:rsidRDefault="00AC4185">
            <w:pPr>
              <w:rPr>
                <w:szCs w:val="21"/>
              </w:rPr>
            </w:pPr>
            <w:r>
              <w:t>赛马物联科技（宁夏）有限公司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C11D38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2EB987D" w14:textId="77777777" w:rsidR="00E57DAA" w:rsidRDefault="00AC4185">
            <w:pPr>
              <w:jc w:val="right"/>
              <w:rPr>
                <w:szCs w:val="21"/>
              </w:rPr>
            </w:pPr>
            <w:r>
              <w:t>29,289,823.54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345B5B8" w14:textId="77777777" w:rsidR="00E57DAA" w:rsidRDefault="00AC4185">
            <w:pPr>
              <w:jc w:val="right"/>
              <w:rPr>
                <w:szCs w:val="21"/>
              </w:rPr>
            </w:pPr>
            <w:r>
              <w:t>22,808,858.64</w:t>
            </w:r>
          </w:p>
        </w:tc>
      </w:tr>
      <w:tr w:rsidR="00E57DAA" w14:paraId="50EC2F4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08D1276" w14:textId="77777777" w:rsidR="00E57DAA" w:rsidRDefault="00AC4185">
            <w:pPr>
              <w:rPr>
                <w:szCs w:val="21"/>
              </w:rPr>
            </w:pPr>
            <w:r>
              <w:t>三门峡腾跃同力水泥有限公司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F09DE2F"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89D7615"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BC7F419" w14:textId="77777777" w:rsidR="00E57DAA" w:rsidRDefault="00AC4185">
            <w:pPr>
              <w:jc w:val="right"/>
              <w:rPr>
                <w:szCs w:val="21"/>
              </w:rPr>
            </w:pPr>
            <w:r>
              <w:t>540,571.05</w:t>
            </w:r>
          </w:p>
        </w:tc>
      </w:tr>
      <w:tr w:rsidR="00E57DAA" w14:paraId="2087DA4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FDED2F2" w14:textId="77777777" w:rsidR="00E57DAA" w:rsidRDefault="00AC4185">
            <w:pPr>
              <w:rPr>
                <w:szCs w:val="21"/>
              </w:rPr>
            </w:pPr>
            <w:r>
              <w:t>厦门艾思欧标准砂有限公司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24F561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8A5C74E" w14:textId="77777777" w:rsidR="00E57DAA" w:rsidRDefault="00AC4185">
            <w:pPr>
              <w:jc w:val="right"/>
              <w:rPr>
                <w:szCs w:val="21"/>
              </w:rPr>
            </w:pPr>
            <w:r>
              <w:t>581,633.73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ADBE25D" w14:textId="77777777" w:rsidR="00E57DAA" w:rsidRDefault="00AC4185">
            <w:pPr>
              <w:jc w:val="right"/>
              <w:rPr>
                <w:szCs w:val="21"/>
              </w:rPr>
            </w:pPr>
            <w:r>
              <w:t>41,216.00</w:t>
            </w:r>
          </w:p>
        </w:tc>
      </w:tr>
      <w:tr w:rsidR="00E57DAA" w14:paraId="432484D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6CCF2F7" w14:textId="77777777" w:rsidR="00E57DAA" w:rsidRDefault="00AC4185">
            <w:pPr>
              <w:rPr>
                <w:szCs w:val="21"/>
              </w:rPr>
            </w:pPr>
            <w:r>
              <w:t>上海金山南方水泥有限公司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F91B12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3468462" w14:textId="77777777" w:rsidR="00E57DAA" w:rsidRDefault="00AC4185">
            <w:pPr>
              <w:jc w:val="right"/>
              <w:rPr>
                <w:szCs w:val="21"/>
              </w:rPr>
            </w:pPr>
            <w:r>
              <w:t>91,885.46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3515B32" w14:textId="77777777" w:rsidR="00E57DAA" w:rsidRDefault="00AC4185">
            <w:pPr>
              <w:jc w:val="right"/>
              <w:rPr>
                <w:szCs w:val="21"/>
              </w:rPr>
            </w:pPr>
            <w:r>
              <w:t xml:space="preserve">　</w:t>
            </w:r>
          </w:p>
        </w:tc>
      </w:tr>
      <w:tr w:rsidR="00E57DAA" w14:paraId="02A47B9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B086F90" w14:textId="77777777" w:rsidR="00E57DAA" w:rsidRDefault="00AC4185">
            <w:pPr>
              <w:rPr>
                <w:szCs w:val="21"/>
              </w:rPr>
            </w:pPr>
            <w:r>
              <w:t>上海张堰南方水泥有限公司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DACCA2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8D3B766" w14:textId="77777777" w:rsidR="00E57DAA" w:rsidRDefault="00AC4185">
            <w:pPr>
              <w:jc w:val="right"/>
              <w:rPr>
                <w:szCs w:val="21"/>
              </w:rPr>
            </w:pPr>
            <w:r>
              <w:t>26,722.68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D2F823E" w14:textId="77777777" w:rsidR="00E57DAA" w:rsidRDefault="00AC4185">
            <w:pPr>
              <w:jc w:val="right"/>
              <w:rPr>
                <w:szCs w:val="21"/>
              </w:rPr>
            </w:pPr>
            <w:r>
              <w:t xml:space="preserve">　</w:t>
            </w:r>
          </w:p>
        </w:tc>
      </w:tr>
      <w:tr w:rsidR="00E57DAA" w14:paraId="4F4766F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B25F504" w14:textId="77777777" w:rsidR="00E57DAA" w:rsidRDefault="00AC4185">
            <w:pPr>
              <w:rPr>
                <w:szCs w:val="21"/>
              </w:rPr>
            </w:pPr>
            <w:r>
              <w:t>邵阳南方水泥有限公司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A359E4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605017F" w14:textId="77777777" w:rsidR="00E57DAA" w:rsidRDefault="00AC4185">
            <w:pPr>
              <w:jc w:val="right"/>
              <w:rPr>
                <w:szCs w:val="21"/>
              </w:rPr>
            </w:pPr>
            <w:r>
              <w:t>9,413.18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91755E8" w14:textId="77777777" w:rsidR="00E57DAA" w:rsidRDefault="00AC4185">
            <w:pPr>
              <w:jc w:val="right"/>
              <w:rPr>
                <w:szCs w:val="21"/>
              </w:rPr>
            </w:pPr>
            <w:r>
              <w:t xml:space="preserve">　</w:t>
            </w:r>
          </w:p>
        </w:tc>
      </w:tr>
      <w:tr w:rsidR="00E57DAA" w14:paraId="7B127D0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1470395" w14:textId="77777777" w:rsidR="00E57DAA" w:rsidRDefault="00AC4185">
            <w:pPr>
              <w:rPr>
                <w:szCs w:val="21"/>
              </w:rPr>
            </w:pPr>
            <w:r>
              <w:t>四川德胜集团水泥有限公司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C610E6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2730DEA" w14:textId="77777777" w:rsidR="00E57DAA" w:rsidRDefault="00AC4185">
            <w:pPr>
              <w:jc w:val="right"/>
              <w:rPr>
                <w:szCs w:val="21"/>
              </w:rPr>
            </w:pPr>
            <w:r>
              <w:t>7,771.02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2E9B6B2" w14:textId="77777777" w:rsidR="00E57DAA" w:rsidRDefault="00AC4185">
            <w:pPr>
              <w:jc w:val="right"/>
              <w:rPr>
                <w:szCs w:val="21"/>
              </w:rPr>
            </w:pPr>
            <w:r>
              <w:t xml:space="preserve">　</w:t>
            </w:r>
          </w:p>
        </w:tc>
      </w:tr>
      <w:tr w:rsidR="00E57DAA" w14:paraId="07E950A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F52DEB1" w14:textId="77777777" w:rsidR="00E57DAA" w:rsidRDefault="00AC4185">
            <w:pPr>
              <w:rPr>
                <w:szCs w:val="21"/>
              </w:rPr>
            </w:pPr>
            <w:r>
              <w:t>四川峨边西南水泥有限公司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935F6D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64BFF22" w14:textId="77777777" w:rsidR="00E57DAA" w:rsidRDefault="00AC4185">
            <w:pPr>
              <w:jc w:val="right"/>
              <w:rPr>
                <w:szCs w:val="21"/>
              </w:rPr>
            </w:pPr>
            <w:r>
              <w:t>6,242.55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C879198" w14:textId="77777777" w:rsidR="00E57DAA" w:rsidRDefault="00AC4185">
            <w:pPr>
              <w:jc w:val="right"/>
              <w:rPr>
                <w:szCs w:val="21"/>
              </w:rPr>
            </w:pPr>
            <w:r>
              <w:t xml:space="preserve">　</w:t>
            </w:r>
          </w:p>
        </w:tc>
      </w:tr>
      <w:tr w:rsidR="00E57DAA" w14:paraId="48D9629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CC90299" w14:textId="77777777" w:rsidR="00E57DAA" w:rsidRDefault="00AC4185">
            <w:pPr>
              <w:rPr>
                <w:szCs w:val="21"/>
              </w:rPr>
            </w:pPr>
            <w:r>
              <w:t>四川峨眉山西南水泥有限公司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67563D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08370FD" w14:textId="77777777" w:rsidR="00E57DAA" w:rsidRDefault="00AC4185">
            <w:pPr>
              <w:jc w:val="right"/>
              <w:rPr>
                <w:szCs w:val="21"/>
              </w:rPr>
            </w:pPr>
            <w:r>
              <w:t>17,860.86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D9283DD" w14:textId="77777777" w:rsidR="00E57DAA" w:rsidRDefault="00AC4185">
            <w:pPr>
              <w:jc w:val="right"/>
              <w:rPr>
                <w:szCs w:val="21"/>
              </w:rPr>
            </w:pPr>
            <w:r>
              <w:t xml:space="preserve">　</w:t>
            </w:r>
          </w:p>
        </w:tc>
      </w:tr>
      <w:tr w:rsidR="00E57DAA" w14:paraId="7E59B73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6A91D1E" w14:textId="77777777" w:rsidR="00E57DAA" w:rsidRDefault="00AC4185">
            <w:pPr>
              <w:rPr>
                <w:szCs w:val="21"/>
              </w:rPr>
            </w:pPr>
            <w:r>
              <w:t>四川华蓥西南水泥有限公司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0CED9F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A8BEEC9" w14:textId="77777777" w:rsidR="00E57DAA" w:rsidRDefault="00AC4185">
            <w:pPr>
              <w:jc w:val="right"/>
              <w:rPr>
                <w:szCs w:val="21"/>
              </w:rPr>
            </w:pPr>
            <w:r>
              <w:t>95,120.09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5544EA4" w14:textId="77777777" w:rsidR="00E57DAA" w:rsidRDefault="00AC4185">
            <w:pPr>
              <w:jc w:val="right"/>
              <w:rPr>
                <w:szCs w:val="21"/>
              </w:rPr>
            </w:pPr>
            <w:r>
              <w:t xml:space="preserve">　</w:t>
            </w:r>
          </w:p>
        </w:tc>
      </w:tr>
      <w:tr w:rsidR="00E57DAA" w14:paraId="29E7E94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2D6269F" w14:textId="77777777" w:rsidR="00E57DAA" w:rsidRDefault="00AC4185">
            <w:pPr>
              <w:rPr>
                <w:szCs w:val="21"/>
              </w:rPr>
            </w:pPr>
            <w:r>
              <w:t>四川利森建材集团有限公司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C948EC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A367382" w14:textId="77777777" w:rsidR="00E57DAA" w:rsidRDefault="00AC4185">
            <w:pPr>
              <w:jc w:val="right"/>
              <w:rPr>
                <w:szCs w:val="21"/>
              </w:rPr>
            </w:pPr>
            <w:r>
              <w:t>492,262.11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5FA2EF3" w14:textId="77777777" w:rsidR="00E57DAA" w:rsidRDefault="00AC4185">
            <w:pPr>
              <w:jc w:val="right"/>
              <w:rPr>
                <w:szCs w:val="21"/>
              </w:rPr>
            </w:pPr>
            <w:r>
              <w:t xml:space="preserve">　</w:t>
            </w:r>
          </w:p>
        </w:tc>
      </w:tr>
      <w:tr w:rsidR="00E57DAA" w14:paraId="014FBCD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EC5FAB" w14:textId="77777777" w:rsidR="00E57DAA" w:rsidRDefault="00AC4185">
            <w:pPr>
              <w:rPr>
                <w:szCs w:val="21"/>
              </w:rPr>
            </w:pPr>
            <w:r>
              <w:t>四川省绵竹澳东水泥有限责任公司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71F030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BC41091" w14:textId="77777777" w:rsidR="00E57DAA" w:rsidRDefault="00AC4185">
            <w:pPr>
              <w:jc w:val="right"/>
              <w:rPr>
                <w:szCs w:val="21"/>
              </w:rPr>
            </w:pPr>
            <w:r>
              <w:t>3,067.45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BBC492A" w14:textId="77777777" w:rsidR="00E57DAA" w:rsidRDefault="00AC4185">
            <w:pPr>
              <w:jc w:val="right"/>
              <w:rPr>
                <w:szCs w:val="21"/>
              </w:rPr>
            </w:pPr>
            <w:r>
              <w:t xml:space="preserve">　</w:t>
            </w:r>
          </w:p>
        </w:tc>
      </w:tr>
      <w:tr w:rsidR="00E57DAA" w14:paraId="1BDEAB4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B0BF27F" w14:textId="77777777" w:rsidR="00E57DAA" w:rsidRDefault="00AC4185">
            <w:pPr>
              <w:rPr>
                <w:szCs w:val="21"/>
              </w:rPr>
            </w:pPr>
            <w:r>
              <w:t>四川省兆迪水泥有限责任公司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462D80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F06DE36" w14:textId="77777777" w:rsidR="00E57DAA" w:rsidRDefault="00AC4185">
            <w:pPr>
              <w:jc w:val="right"/>
              <w:rPr>
                <w:szCs w:val="21"/>
              </w:rPr>
            </w:pPr>
            <w:r>
              <w:t>160,887.64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5878AA4" w14:textId="77777777" w:rsidR="00E57DAA" w:rsidRDefault="00AC4185">
            <w:pPr>
              <w:jc w:val="right"/>
              <w:rPr>
                <w:szCs w:val="21"/>
              </w:rPr>
            </w:pPr>
            <w:r>
              <w:t>160,606.01</w:t>
            </w:r>
          </w:p>
        </w:tc>
      </w:tr>
      <w:tr w:rsidR="00E57DAA" w14:paraId="760C884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85E1D6F" w14:textId="77777777" w:rsidR="00E57DAA" w:rsidRDefault="00AC4185">
            <w:pPr>
              <w:rPr>
                <w:szCs w:val="21"/>
              </w:rPr>
            </w:pPr>
            <w:r>
              <w:t>四川威远西南水泥有限公司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D9C063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5A72C1E" w14:textId="77777777" w:rsidR="00E57DAA" w:rsidRDefault="00AC4185">
            <w:pPr>
              <w:jc w:val="right"/>
              <w:rPr>
                <w:szCs w:val="21"/>
              </w:rPr>
            </w:pPr>
            <w:r>
              <w:t>6,514.99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9546752" w14:textId="77777777" w:rsidR="00E57DAA" w:rsidRDefault="00AC4185">
            <w:pPr>
              <w:jc w:val="right"/>
              <w:rPr>
                <w:szCs w:val="21"/>
              </w:rPr>
            </w:pPr>
            <w:r>
              <w:t xml:space="preserve">　</w:t>
            </w:r>
          </w:p>
        </w:tc>
      </w:tr>
      <w:tr w:rsidR="00E57DAA" w14:paraId="2B80554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9D43327" w14:textId="77777777" w:rsidR="00E57DAA" w:rsidRDefault="00AC4185">
            <w:pPr>
              <w:rPr>
                <w:szCs w:val="21"/>
              </w:rPr>
            </w:pPr>
            <w:r>
              <w:t>四川筠连西南水泥有限公司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CBB3DA7"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6390B61"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5766EAB" w14:textId="77777777" w:rsidR="00E57DAA" w:rsidRDefault="00AC4185">
            <w:pPr>
              <w:jc w:val="right"/>
              <w:rPr>
                <w:szCs w:val="21"/>
              </w:rPr>
            </w:pPr>
            <w:r>
              <w:t>60,677.43</w:t>
            </w:r>
          </w:p>
        </w:tc>
      </w:tr>
      <w:tr w:rsidR="00E57DAA" w14:paraId="44C1A2F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554B013" w14:textId="77777777" w:rsidR="00E57DAA" w:rsidRDefault="00AC4185">
            <w:pPr>
              <w:rPr>
                <w:szCs w:val="21"/>
              </w:rPr>
            </w:pPr>
            <w:r>
              <w:t>苏州非金属矿工业设计研究院有限公司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CF3D1F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0CA134C" w14:textId="77777777" w:rsidR="00E57DAA" w:rsidRDefault="00AC4185">
            <w:pPr>
              <w:jc w:val="right"/>
              <w:rPr>
                <w:szCs w:val="21"/>
              </w:rPr>
            </w:pPr>
            <w:r>
              <w:t>235,849.06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353110B" w14:textId="77777777" w:rsidR="00E57DAA" w:rsidRDefault="00AC4185">
            <w:pPr>
              <w:jc w:val="right"/>
              <w:rPr>
                <w:szCs w:val="21"/>
              </w:rPr>
            </w:pPr>
            <w:r>
              <w:t xml:space="preserve">　</w:t>
            </w:r>
          </w:p>
        </w:tc>
      </w:tr>
      <w:tr w:rsidR="00E57DAA" w14:paraId="3A4F9F7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394F07C" w14:textId="77777777" w:rsidR="00E57DAA" w:rsidRDefault="00AC4185">
            <w:pPr>
              <w:rPr>
                <w:szCs w:val="21"/>
              </w:rPr>
            </w:pPr>
            <w:r>
              <w:t>苏州混凝土水泥制品研究院有限公司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3DAA55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6057104" w14:textId="77777777" w:rsidR="00E57DAA" w:rsidRDefault="00AC4185">
            <w:pPr>
              <w:jc w:val="right"/>
              <w:rPr>
                <w:szCs w:val="21"/>
              </w:rPr>
            </w:pPr>
            <w:r>
              <w:t>4,440,830.17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9CD76B3" w14:textId="77777777" w:rsidR="00E57DAA" w:rsidRDefault="00AC4185">
            <w:pPr>
              <w:jc w:val="right"/>
              <w:rPr>
                <w:szCs w:val="21"/>
              </w:rPr>
            </w:pPr>
            <w:r>
              <w:t>2,619,000.01</w:t>
            </w:r>
          </w:p>
        </w:tc>
      </w:tr>
      <w:tr w:rsidR="00E57DAA" w14:paraId="49B86BC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BA5B4C2" w14:textId="77777777" w:rsidR="00E57DAA" w:rsidRDefault="00AC4185">
            <w:pPr>
              <w:rPr>
                <w:szCs w:val="21"/>
              </w:rPr>
            </w:pPr>
            <w:r>
              <w:t>苏州中材非金属矿工业设计研究院有限公司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F143B1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62C89B3" w14:textId="77777777" w:rsidR="00E57DAA" w:rsidRDefault="00AC4185">
            <w:pPr>
              <w:jc w:val="right"/>
              <w:rPr>
                <w:szCs w:val="21"/>
              </w:rPr>
            </w:pPr>
            <w:r>
              <w:t>63,918,788.95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5AB5A69" w14:textId="77777777" w:rsidR="00E57DAA" w:rsidRDefault="00AC4185">
            <w:pPr>
              <w:jc w:val="right"/>
              <w:rPr>
                <w:szCs w:val="21"/>
              </w:rPr>
            </w:pPr>
            <w:r>
              <w:t>7,788,988.85</w:t>
            </w:r>
          </w:p>
        </w:tc>
      </w:tr>
      <w:tr w:rsidR="00E57DAA" w14:paraId="10AD6E1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30C627A" w14:textId="77777777" w:rsidR="00E57DAA" w:rsidRDefault="00AC4185">
            <w:pPr>
              <w:rPr>
                <w:szCs w:val="21"/>
              </w:rPr>
            </w:pPr>
            <w:r>
              <w:t>泰安华泰非金属微粉有限公司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D2AB55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A7BAE55" w14:textId="77777777" w:rsidR="00E57DAA" w:rsidRDefault="00AC4185">
            <w:pPr>
              <w:jc w:val="right"/>
              <w:rPr>
                <w:szCs w:val="21"/>
              </w:rPr>
            </w:pPr>
            <w:r>
              <w:t>1,115.04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5DBEA03" w14:textId="77777777" w:rsidR="00E57DAA" w:rsidRDefault="00AC4185">
            <w:pPr>
              <w:jc w:val="right"/>
              <w:rPr>
                <w:szCs w:val="21"/>
              </w:rPr>
            </w:pPr>
            <w:r>
              <w:t xml:space="preserve">　</w:t>
            </w:r>
          </w:p>
        </w:tc>
      </w:tr>
      <w:tr w:rsidR="00E57DAA" w14:paraId="54565FC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8659C68" w14:textId="77777777" w:rsidR="00E57DAA" w:rsidRDefault="00AC4185">
            <w:pPr>
              <w:rPr>
                <w:szCs w:val="21"/>
              </w:rPr>
            </w:pPr>
            <w:r>
              <w:t>天津灯塔涂料工业发展有限公司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D2E2E21"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FAC747E"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5FDCAB5" w14:textId="77777777" w:rsidR="00E57DAA" w:rsidRDefault="00AC4185">
            <w:pPr>
              <w:jc w:val="right"/>
              <w:rPr>
                <w:szCs w:val="21"/>
              </w:rPr>
            </w:pPr>
            <w:r>
              <w:t>250,681.42</w:t>
            </w:r>
          </w:p>
        </w:tc>
      </w:tr>
      <w:tr w:rsidR="00E57DAA" w14:paraId="0C41037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0A5A0A7" w14:textId="77777777" w:rsidR="00E57DAA" w:rsidRDefault="00AC4185">
            <w:pPr>
              <w:rPr>
                <w:szCs w:val="21"/>
              </w:rPr>
            </w:pPr>
            <w:r>
              <w:t>天水祁连山水泥有限公司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D10D91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A6550EC" w14:textId="77777777" w:rsidR="00E57DAA" w:rsidRDefault="00AC4185">
            <w:pPr>
              <w:jc w:val="right"/>
              <w:rPr>
                <w:szCs w:val="21"/>
              </w:rPr>
            </w:pPr>
            <w:r>
              <w:t>286,404.95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BDE5A75" w14:textId="77777777" w:rsidR="00E57DAA" w:rsidRDefault="00AC4185">
            <w:pPr>
              <w:jc w:val="right"/>
              <w:rPr>
                <w:szCs w:val="21"/>
              </w:rPr>
            </w:pPr>
            <w:r>
              <w:t xml:space="preserve">　</w:t>
            </w:r>
          </w:p>
        </w:tc>
      </w:tr>
      <w:tr w:rsidR="00E57DAA" w14:paraId="0A7E7C6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52F82BD" w14:textId="77777777" w:rsidR="00E57DAA" w:rsidRDefault="00AC4185">
            <w:pPr>
              <w:rPr>
                <w:szCs w:val="21"/>
              </w:rPr>
            </w:pPr>
            <w:r>
              <w:t>天水中材水泥有限责任公司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AB76C9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9CCE3B2" w14:textId="77777777" w:rsidR="00E57DAA" w:rsidRDefault="00AC4185">
            <w:pPr>
              <w:jc w:val="right"/>
              <w:rPr>
                <w:szCs w:val="21"/>
              </w:rPr>
            </w:pPr>
            <w:r>
              <w:t>19,218.55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4480897" w14:textId="77777777" w:rsidR="00E57DAA" w:rsidRDefault="00AC4185">
            <w:pPr>
              <w:jc w:val="right"/>
              <w:rPr>
                <w:szCs w:val="21"/>
              </w:rPr>
            </w:pPr>
            <w:r>
              <w:t xml:space="preserve">　</w:t>
            </w:r>
          </w:p>
        </w:tc>
      </w:tr>
      <w:tr w:rsidR="00E57DAA" w14:paraId="3A195F7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1770C21" w14:textId="77777777" w:rsidR="00E57DAA" w:rsidRDefault="00AC4185">
            <w:pPr>
              <w:rPr>
                <w:szCs w:val="21"/>
              </w:rPr>
            </w:pPr>
            <w:r>
              <w:t>通辽中联水泥有限公司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F1914DF"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0428268"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291AFFD" w14:textId="77777777" w:rsidR="00E57DAA" w:rsidRDefault="00AC4185">
            <w:pPr>
              <w:jc w:val="right"/>
              <w:rPr>
                <w:szCs w:val="21"/>
              </w:rPr>
            </w:pPr>
            <w:r>
              <w:t>2,176.99</w:t>
            </w:r>
          </w:p>
        </w:tc>
      </w:tr>
      <w:tr w:rsidR="00E57DAA" w14:paraId="35A2FFC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A6F466B" w14:textId="77777777" w:rsidR="00E57DAA" w:rsidRDefault="00AC4185">
            <w:pPr>
              <w:rPr>
                <w:szCs w:val="21"/>
              </w:rPr>
            </w:pPr>
            <w:r>
              <w:t>桐庐南方水泥有限公司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9ED64F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34644F2" w14:textId="77777777" w:rsidR="00E57DAA" w:rsidRDefault="00AC4185">
            <w:pPr>
              <w:jc w:val="right"/>
              <w:rPr>
                <w:szCs w:val="21"/>
              </w:rPr>
            </w:pPr>
            <w:r>
              <w:t>115,304.41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9CFD81E" w14:textId="77777777" w:rsidR="00E57DAA" w:rsidRDefault="00AC4185">
            <w:pPr>
              <w:jc w:val="right"/>
              <w:rPr>
                <w:szCs w:val="21"/>
              </w:rPr>
            </w:pPr>
            <w:r>
              <w:t xml:space="preserve">　</w:t>
            </w:r>
          </w:p>
        </w:tc>
      </w:tr>
      <w:tr w:rsidR="00E57DAA" w14:paraId="1554F89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93BE331" w14:textId="77777777" w:rsidR="00E57DAA" w:rsidRDefault="00AC4185">
            <w:pPr>
              <w:rPr>
                <w:szCs w:val="21"/>
              </w:rPr>
            </w:pPr>
            <w:r>
              <w:lastRenderedPageBreak/>
              <w:t>铜仁西南水泥有限公司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9879D7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2B12086" w14:textId="77777777" w:rsidR="00E57DAA" w:rsidRDefault="00AC4185">
            <w:pPr>
              <w:jc w:val="right"/>
              <w:rPr>
                <w:szCs w:val="21"/>
              </w:rPr>
            </w:pPr>
            <w:r>
              <w:t>377,203.84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03967EE" w14:textId="77777777" w:rsidR="00E57DAA" w:rsidRDefault="00AC4185">
            <w:pPr>
              <w:jc w:val="right"/>
              <w:rPr>
                <w:szCs w:val="21"/>
              </w:rPr>
            </w:pPr>
            <w:r>
              <w:t xml:space="preserve">　</w:t>
            </w:r>
          </w:p>
        </w:tc>
      </w:tr>
      <w:tr w:rsidR="00E57DAA" w14:paraId="347AB9F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7D1B59C" w14:textId="77777777" w:rsidR="00E57DAA" w:rsidRDefault="00AC4185">
            <w:pPr>
              <w:rPr>
                <w:szCs w:val="21"/>
              </w:rPr>
            </w:pPr>
            <w:r>
              <w:t>旺苍川煤水泥有限责任公司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3310C1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BA8E5AE" w14:textId="77777777" w:rsidR="00E57DAA" w:rsidRDefault="00AC4185">
            <w:pPr>
              <w:jc w:val="right"/>
              <w:rPr>
                <w:szCs w:val="21"/>
              </w:rPr>
            </w:pPr>
            <w:r>
              <w:t>491,409.21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9802791" w14:textId="77777777" w:rsidR="00E57DAA" w:rsidRDefault="00AC4185">
            <w:pPr>
              <w:jc w:val="right"/>
              <w:rPr>
                <w:szCs w:val="21"/>
              </w:rPr>
            </w:pPr>
            <w:r>
              <w:t>529,824.44</w:t>
            </w:r>
          </w:p>
        </w:tc>
      </w:tr>
      <w:tr w:rsidR="00E57DAA" w14:paraId="59CCDB2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33D4631" w14:textId="77777777" w:rsidR="00E57DAA" w:rsidRDefault="00AC4185">
            <w:pPr>
              <w:rPr>
                <w:szCs w:val="21"/>
              </w:rPr>
            </w:pPr>
            <w:r>
              <w:t>翁源县中源发展有限公司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BAC39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7EEEA2C" w14:textId="77777777" w:rsidR="00E57DAA" w:rsidRDefault="00AC4185">
            <w:pPr>
              <w:jc w:val="right"/>
              <w:rPr>
                <w:szCs w:val="21"/>
              </w:rPr>
            </w:pPr>
            <w:r>
              <w:t>10,796.09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39A8429" w14:textId="77777777" w:rsidR="00E57DAA" w:rsidRDefault="00AC4185">
            <w:pPr>
              <w:jc w:val="right"/>
              <w:rPr>
                <w:szCs w:val="21"/>
              </w:rPr>
            </w:pPr>
            <w:r>
              <w:t xml:space="preserve">　</w:t>
            </w:r>
          </w:p>
        </w:tc>
      </w:tr>
      <w:tr w:rsidR="00E57DAA" w14:paraId="244E698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2FF70B5" w14:textId="77777777" w:rsidR="00E57DAA" w:rsidRDefault="00AC4185">
            <w:pPr>
              <w:rPr>
                <w:szCs w:val="21"/>
              </w:rPr>
            </w:pPr>
            <w:r>
              <w:t>瓮安县玉山水泥（厂）有限公司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C93A2E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6DE2968" w14:textId="77777777" w:rsidR="00E57DAA" w:rsidRDefault="00AC4185">
            <w:pPr>
              <w:jc w:val="right"/>
              <w:rPr>
                <w:szCs w:val="21"/>
              </w:rPr>
            </w:pPr>
            <w:r>
              <w:t>661,126.42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3E71CF4" w14:textId="77777777" w:rsidR="00E57DAA" w:rsidRDefault="00AC4185">
            <w:pPr>
              <w:jc w:val="right"/>
              <w:rPr>
                <w:szCs w:val="21"/>
              </w:rPr>
            </w:pPr>
            <w:r>
              <w:t xml:space="preserve">　</w:t>
            </w:r>
          </w:p>
        </w:tc>
      </w:tr>
      <w:tr w:rsidR="00E57DAA" w14:paraId="71D332E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F330BF3" w14:textId="77777777" w:rsidR="00E57DAA" w:rsidRDefault="00AC4185">
            <w:pPr>
              <w:rPr>
                <w:szCs w:val="21"/>
              </w:rPr>
            </w:pPr>
            <w:r>
              <w:t>乌海赛马水泥有限责任公司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45E540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CB4A6C" w14:textId="77777777" w:rsidR="00E57DAA" w:rsidRDefault="00AC4185">
            <w:pPr>
              <w:jc w:val="right"/>
              <w:rPr>
                <w:szCs w:val="21"/>
              </w:rPr>
            </w:pPr>
            <w:r>
              <w:t>120,578.80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EF2C096" w14:textId="77777777" w:rsidR="00E57DAA" w:rsidRDefault="00AC4185">
            <w:pPr>
              <w:jc w:val="right"/>
              <w:rPr>
                <w:szCs w:val="21"/>
              </w:rPr>
            </w:pPr>
            <w:r>
              <w:t xml:space="preserve">　</w:t>
            </w:r>
          </w:p>
        </w:tc>
      </w:tr>
      <w:tr w:rsidR="00E57DAA" w14:paraId="00A36C0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E54B4CA" w14:textId="77777777" w:rsidR="00E57DAA" w:rsidRDefault="00AC4185">
            <w:pPr>
              <w:rPr>
                <w:szCs w:val="21"/>
              </w:rPr>
            </w:pPr>
            <w:r>
              <w:t>乌兰察布市蒙中水泥有限公司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2A8806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551B84B" w14:textId="77777777" w:rsidR="00E57DAA" w:rsidRDefault="00AC4185">
            <w:pPr>
              <w:jc w:val="right"/>
              <w:rPr>
                <w:szCs w:val="21"/>
              </w:rPr>
            </w:pPr>
            <w:r>
              <w:t>8,538.01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B17F1C9" w14:textId="77777777" w:rsidR="00E57DAA" w:rsidRDefault="00AC4185">
            <w:pPr>
              <w:jc w:val="right"/>
              <w:rPr>
                <w:szCs w:val="21"/>
              </w:rPr>
            </w:pPr>
            <w:r>
              <w:t xml:space="preserve">　</w:t>
            </w:r>
          </w:p>
        </w:tc>
      </w:tr>
      <w:tr w:rsidR="00E57DAA" w14:paraId="6FFCC52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8736737" w14:textId="77777777" w:rsidR="00E57DAA" w:rsidRDefault="00AC4185">
            <w:pPr>
              <w:rPr>
                <w:szCs w:val="21"/>
              </w:rPr>
            </w:pPr>
            <w:r>
              <w:t>乌兰察布中联水泥有限公司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E4B5E5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6EAE72" w14:textId="77777777" w:rsidR="00E57DAA" w:rsidRDefault="00AC4185">
            <w:pPr>
              <w:jc w:val="right"/>
              <w:rPr>
                <w:szCs w:val="21"/>
              </w:rPr>
            </w:pPr>
            <w:r>
              <w:t>214,365.12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D271927" w14:textId="77777777" w:rsidR="00E57DAA" w:rsidRDefault="00AC4185">
            <w:pPr>
              <w:jc w:val="right"/>
              <w:rPr>
                <w:szCs w:val="21"/>
              </w:rPr>
            </w:pPr>
            <w:r>
              <w:t>159,506.86</w:t>
            </w:r>
          </w:p>
        </w:tc>
      </w:tr>
      <w:tr w:rsidR="00E57DAA" w14:paraId="6331716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F238CA2" w14:textId="77777777" w:rsidR="00E57DAA" w:rsidRDefault="00AC4185">
            <w:pPr>
              <w:rPr>
                <w:szCs w:val="21"/>
              </w:rPr>
            </w:pPr>
            <w:r>
              <w:t>淅川中联水泥有限公司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1D6F04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DCBB971" w14:textId="77777777" w:rsidR="00E57DAA" w:rsidRDefault="00AC4185">
            <w:pPr>
              <w:jc w:val="right"/>
              <w:rPr>
                <w:szCs w:val="21"/>
              </w:rPr>
            </w:pPr>
            <w:r>
              <w:t>7,496.12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B95F700" w14:textId="77777777" w:rsidR="00E57DAA" w:rsidRDefault="00AC4185">
            <w:pPr>
              <w:jc w:val="right"/>
              <w:rPr>
                <w:szCs w:val="21"/>
              </w:rPr>
            </w:pPr>
            <w:r>
              <w:t xml:space="preserve">　</w:t>
            </w:r>
          </w:p>
        </w:tc>
      </w:tr>
      <w:tr w:rsidR="00E57DAA" w14:paraId="17C1054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AD82AF2" w14:textId="77777777" w:rsidR="00E57DAA" w:rsidRDefault="00AC4185">
            <w:pPr>
              <w:rPr>
                <w:szCs w:val="21"/>
              </w:rPr>
            </w:pPr>
            <w:r>
              <w:t>新疆天山建材集团耐火材料有限责任公司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1F47E6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A1EBE4" w14:textId="77777777" w:rsidR="00E57DAA" w:rsidRDefault="00AC4185">
            <w:pPr>
              <w:jc w:val="right"/>
              <w:rPr>
                <w:szCs w:val="21"/>
              </w:rPr>
            </w:pPr>
            <w:r>
              <w:t>778,761.06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DE365B0" w14:textId="77777777" w:rsidR="00E57DAA" w:rsidRDefault="00AC4185">
            <w:pPr>
              <w:jc w:val="right"/>
              <w:rPr>
                <w:szCs w:val="21"/>
              </w:rPr>
            </w:pPr>
            <w:r>
              <w:t xml:space="preserve">　</w:t>
            </w:r>
          </w:p>
        </w:tc>
      </w:tr>
      <w:tr w:rsidR="00E57DAA" w14:paraId="45ADAF5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2F53842" w14:textId="77777777" w:rsidR="00E57DAA" w:rsidRDefault="00AC4185">
            <w:pPr>
              <w:rPr>
                <w:szCs w:val="21"/>
              </w:rPr>
            </w:pPr>
            <w:r>
              <w:t>新泰中联泰丰水泥有限公司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47C1B4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82F9B28" w14:textId="77777777" w:rsidR="00E57DAA" w:rsidRDefault="00AC4185">
            <w:pPr>
              <w:jc w:val="right"/>
              <w:rPr>
                <w:szCs w:val="21"/>
              </w:rPr>
            </w:pPr>
            <w:r>
              <w:t>4,571.88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5602D11" w14:textId="77777777" w:rsidR="00E57DAA" w:rsidRDefault="00AC4185">
            <w:pPr>
              <w:jc w:val="right"/>
              <w:rPr>
                <w:szCs w:val="21"/>
              </w:rPr>
            </w:pPr>
            <w:r>
              <w:t xml:space="preserve">　</w:t>
            </w:r>
          </w:p>
        </w:tc>
      </w:tr>
      <w:tr w:rsidR="00E57DAA" w14:paraId="34B81C4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32D0928" w14:textId="77777777" w:rsidR="00E57DAA" w:rsidRDefault="00AC4185">
            <w:pPr>
              <w:rPr>
                <w:szCs w:val="21"/>
              </w:rPr>
            </w:pPr>
            <w:r>
              <w:t>徐州中联水泥有限公司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1C507D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ECB9C4C" w14:textId="77777777" w:rsidR="00E57DAA" w:rsidRDefault="00AC4185">
            <w:pPr>
              <w:jc w:val="right"/>
              <w:rPr>
                <w:szCs w:val="21"/>
              </w:rPr>
            </w:pPr>
            <w:r>
              <w:t>12,364.88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43808D8" w14:textId="77777777" w:rsidR="00E57DAA" w:rsidRDefault="00AC4185">
            <w:pPr>
              <w:jc w:val="right"/>
              <w:rPr>
                <w:szCs w:val="21"/>
              </w:rPr>
            </w:pPr>
            <w:r>
              <w:t xml:space="preserve">　</w:t>
            </w:r>
          </w:p>
        </w:tc>
      </w:tr>
      <w:tr w:rsidR="00E57DAA" w14:paraId="22ABC53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6210F5C" w14:textId="77777777" w:rsidR="00E57DAA" w:rsidRDefault="00AC4185">
            <w:pPr>
              <w:rPr>
                <w:szCs w:val="21"/>
              </w:rPr>
            </w:pPr>
            <w:r>
              <w:t>烟台栖霞中联水泥有限公司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D56E7CF"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A07AA31"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3190A44" w14:textId="77777777" w:rsidR="00E57DAA" w:rsidRDefault="00AC4185">
            <w:pPr>
              <w:jc w:val="right"/>
              <w:rPr>
                <w:szCs w:val="21"/>
              </w:rPr>
            </w:pPr>
            <w:r>
              <w:t>88,495.58</w:t>
            </w:r>
          </w:p>
        </w:tc>
      </w:tr>
      <w:tr w:rsidR="00E57DAA" w14:paraId="25E9A1C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2B8D79F" w14:textId="77777777" w:rsidR="00E57DAA" w:rsidRDefault="00AC4185">
            <w:pPr>
              <w:rPr>
                <w:szCs w:val="21"/>
              </w:rPr>
            </w:pPr>
            <w:r>
              <w:t>叶城天山水泥有限责任公司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834BB0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9F84507" w14:textId="77777777" w:rsidR="00E57DAA" w:rsidRDefault="00AC4185">
            <w:pPr>
              <w:jc w:val="right"/>
              <w:rPr>
                <w:szCs w:val="21"/>
              </w:rPr>
            </w:pPr>
            <w:r>
              <w:t>109,339.09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47CE1A7" w14:textId="77777777" w:rsidR="00E57DAA" w:rsidRDefault="00AC4185">
            <w:pPr>
              <w:jc w:val="right"/>
              <w:rPr>
                <w:szCs w:val="21"/>
              </w:rPr>
            </w:pPr>
            <w:r>
              <w:t xml:space="preserve">　</w:t>
            </w:r>
          </w:p>
        </w:tc>
      </w:tr>
      <w:tr w:rsidR="00E57DAA" w14:paraId="356F240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EF02E88" w14:textId="77777777" w:rsidR="00E57DAA" w:rsidRDefault="00AC4185">
            <w:pPr>
              <w:rPr>
                <w:szCs w:val="21"/>
              </w:rPr>
            </w:pPr>
            <w:r>
              <w:t>伊春北方水泥有限公司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F35C5B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CEEBAB3" w14:textId="77777777" w:rsidR="00E57DAA" w:rsidRDefault="00AC4185">
            <w:pPr>
              <w:jc w:val="right"/>
              <w:rPr>
                <w:szCs w:val="21"/>
              </w:rPr>
            </w:pPr>
            <w:r>
              <w:t>285,974.85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D7D27DD" w14:textId="77777777" w:rsidR="00E57DAA" w:rsidRDefault="00AC4185">
            <w:pPr>
              <w:jc w:val="right"/>
              <w:rPr>
                <w:szCs w:val="21"/>
              </w:rPr>
            </w:pPr>
            <w:r>
              <w:t xml:space="preserve">　</w:t>
            </w:r>
          </w:p>
        </w:tc>
      </w:tr>
      <w:tr w:rsidR="00E57DAA" w14:paraId="57961C8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3C5D2C0" w14:textId="77777777" w:rsidR="00E57DAA" w:rsidRDefault="00AC4185">
            <w:pPr>
              <w:rPr>
                <w:szCs w:val="21"/>
              </w:rPr>
            </w:pPr>
            <w:r>
              <w:t>沂南中联水泥有限公司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732B7B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FBDADA8" w14:textId="77777777" w:rsidR="00E57DAA" w:rsidRDefault="00AC4185">
            <w:pPr>
              <w:jc w:val="right"/>
              <w:rPr>
                <w:szCs w:val="21"/>
              </w:rPr>
            </w:pPr>
            <w:r>
              <w:t>165,370.45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ABBF440" w14:textId="77777777" w:rsidR="00E57DAA" w:rsidRDefault="00AC4185">
            <w:pPr>
              <w:jc w:val="right"/>
              <w:rPr>
                <w:szCs w:val="21"/>
              </w:rPr>
            </w:pPr>
            <w:r>
              <w:t xml:space="preserve">　</w:t>
            </w:r>
          </w:p>
        </w:tc>
      </w:tr>
      <w:tr w:rsidR="00E57DAA" w14:paraId="56F83F0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4D0783A" w14:textId="77777777" w:rsidR="00E57DAA" w:rsidRDefault="00AC4185">
            <w:pPr>
              <w:rPr>
                <w:szCs w:val="21"/>
              </w:rPr>
            </w:pPr>
            <w:r>
              <w:t>宜兴市阳港矿业有限公司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CA10A1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90DA120" w14:textId="77777777" w:rsidR="00E57DAA" w:rsidRDefault="00AC4185">
            <w:pPr>
              <w:jc w:val="right"/>
              <w:rPr>
                <w:szCs w:val="21"/>
              </w:rPr>
            </w:pPr>
            <w:r>
              <w:t>198,606.26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AEB1101" w14:textId="77777777" w:rsidR="00E57DAA" w:rsidRDefault="00AC4185">
            <w:pPr>
              <w:jc w:val="right"/>
              <w:rPr>
                <w:szCs w:val="21"/>
              </w:rPr>
            </w:pPr>
            <w:r>
              <w:t xml:space="preserve">　</w:t>
            </w:r>
          </w:p>
        </w:tc>
      </w:tr>
      <w:tr w:rsidR="00E57DAA" w14:paraId="655B093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C9716DC" w14:textId="77777777" w:rsidR="00E57DAA" w:rsidRDefault="00AC4185">
            <w:pPr>
              <w:rPr>
                <w:szCs w:val="21"/>
              </w:rPr>
            </w:pPr>
            <w:r>
              <w:t>永登祁连山水泥有限公司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B54C08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D6BB7C4" w14:textId="77777777" w:rsidR="00E57DAA" w:rsidRDefault="00AC4185">
            <w:pPr>
              <w:jc w:val="right"/>
              <w:rPr>
                <w:szCs w:val="21"/>
              </w:rPr>
            </w:pPr>
            <w:r>
              <w:t>14,702,048.15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875AC2D" w14:textId="77777777" w:rsidR="00E57DAA" w:rsidRDefault="00AC4185">
            <w:pPr>
              <w:jc w:val="right"/>
              <w:rPr>
                <w:szCs w:val="21"/>
              </w:rPr>
            </w:pPr>
            <w:r>
              <w:t>99,639.16</w:t>
            </w:r>
          </w:p>
        </w:tc>
      </w:tr>
      <w:tr w:rsidR="00E57DAA" w14:paraId="2215272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07E99FD" w14:textId="77777777" w:rsidR="00E57DAA" w:rsidRDefault="00AC4185">
            <w:pPr>
              <w:rPr>
                <w:szCs w:val="21"/>
              </w:rPr>
            </w:pPr>
            <w:r>
              <w:t>禹州市成磊建材有限公司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3E6728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AC46301" w14:textId="77777777" w:rsidR="00E57DAA" w:rsidRDefault="00AC4185">
            <w:pPr>
              <w:jc w:val="right"/>
              <w:rPr>
                <w:szCs w:val="21"/>
              </w:rPr>
            </w:pPr>
            <w:r>
              <w:t>180,263.54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B1725E2" w14:textId="77777777" w:rsidR="00E57DAA" w:rsidRDefault="00AC4185">
            <w:pPr>
              <w:jc w:val="right"/>
              <w:rPr>
                <w:szCs w:val="21"/>
              </w:rPr>
            </w:pPr>
            <w:r>
              <w:t xml:space="preserve">　</w:t>
            </w:r>
          </w:p>
        </w:tc>
      </w:tr>
      <w:tr w:rsidR="00E57DAA" w14:paraId="303B925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08B7A54" w14:textId="77777777" w:rsidR="00E57DAA" w:rsidRDefault="00AC4185">
            <w:pPr>
              <w:rPr>
                <w:szCs w:val="21"/>
              </w:rPr>
            </w:pPr>
            <w:r>
              <w:t>云南普洱天恒水泥有限责任公司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1E0B1B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40ECB71" w14:textId="77777777" w:rsidR="00E57DAA" w:rsidRDefault="00AC4185">
            <w:pPr>
              <w:jc w:val="right"/>
              <w:rPr>
                <w:szCs w:val="21"/>
              </w:rPr>
            </w:pPr>
            <w:r>
              <w:t>24,139.68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69F819A" w14:textId="77777777" w:rsidR="00E57DAA" w:rsidRDefault="00AC4185">
            <w:pPr>
              <w:jc w:val="right"/>
              <w:rPr>
                <w:szCs w:val="21"/>
              </w:rPr>
            </w:pPr>
            <w:r>
              <w:t>24,185.03</w:t>
            </w:r>
          </w:p>
        </w:tc>
      </w:tr>
      <w:tr w:rsidR="00E57DAA" w14:paraId="5675808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86AD412" w14:textId="77777777" w:rsidR="00E57DAA" w:rsidRDefault="00AC4185">
            <w:pPr>
              <w:rPr>
                <w:szCs w:val="21"/>
              </w:rPr>
            </w:pPr>
            <w:r>
              <w:t>云南普洱西南水泥有限公司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556B20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9F850D7" w14:textId="77777777" w:rsidR="00E57DAA" w:rsidRDefault="00AC4185">
            <w:pPr>
              <w:jc w:val="right"/>
              <w:rPr>
                <w:szCs w:val="21"/>
              </w:rPr>
            </w:pPr>
            <w:r>
              <w:t>162,779.43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6423EF2" w14:textId="77777777" w:rsidR="00E57DAA" w:rsidRDefault="00AC4185">
            <w:pPr>
              <w:jc w:val="right"/>
              <w:rPr>
                <w:szCs w:val="21"/>
              </w:rPr>
            </w:pPr>
            <w:r>
              <w:t xml:space="preserve">　</w:t>
            </w:r>
          </w:p>
        </w:tc>
      </w:tr>
      <w:tr w:rsidR="00E57DAA" w14:paraId="1D3BDE8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4D0F191" w14:textId="77777777" w:rsidR="00E57DAA" w:rsidRDefault="00AC4185">
            <w:pPr>
              <w:rPr>
                <w:szCs w:val="21"/>
              </w:rPr>
            </w:pPr>
            <w:r>
              <w:t>云南宜良西南水泥有限公司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ED033C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45FF724" w14:textId="77777777" w:rsidR="00E57DAA" w:rsidRDefault="00AC4185">
            <w:pPr>
              <w:jc w:val="right"/>
              <w:rPr>
                <w:szCs w:val="21"/>
              </w:rPr>
            </w:pPr>
            <w:r>
              <w:t>132,340.55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0991EB5" w14:textId="77777777" w:rsidR="00E57DAA" w:rsidRDefault="00AC4185">
            <w:pPr>
              <w:jc w:val="right"/>
              <w:rPr>
                <w:szCs w:val="21"/>
              </w:rPr>
            </w:pPr>
            <w:r>
              <w:t xml:space="preserve">　</w:t>
            </w:r>
          </w:p>
        </w:tc>
      </w:tr>
      <w:tr w:rsidR="00E57DAA" w14:paraId="01B5EC1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CD55DB4" w14:textId="77777777" w:rsidR="00E57DAA" w:rsidRDefault="00AC4185">
            <w:pPr>
              <w:rPr>
                <w:szCs w:val="21"/>
              </w:rPr>
            </w:pPr>
            <w:r>
              <w:t>漳县祁连山水泥有限公司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7888C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B22F6BA" w14:textId="77777777" w:rsidR="00E57DAA" w:rsidRDefault="00AC4185">
            <w:pPr>
              <w:jc w:val="right"/>
              <w:rPr>
                <w:szCs w:val="21"/>
              </w:rPr>
            </w:pPr>
            <w:r>
              <w:t>1,141,233.91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7603AA0" w14:textId="77777777" w:rsidR="00E57DAA" w:rsidRDefault="00AC4185">
            <w:pPr>
              <w:jc w:val="right"/>
              <w:rPr>
                <w:szCs w:val="21"/>
              </w:rPr>
            </w:pPr>
            <w:r>
              <w:t>1,315,017.75</w:t>
            </w:r>
          </w:p>
        </w:tc>
      </w:tr>
      <w:tr w:rsidR="00E57DAA" w14:paraId="7BB7A96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B2FBBCC" w14:textId="77777777" w:rsidR="00E57DAA" w:rsidRDefault="00AC4185">
            <w:pPr>
              <w:rPr>
                <w:szCs w:val="21"/>
              </w:rPr>
            </w:pPr>
            <w:r>
              <w:t>长春新天山北方水泥销售有限公司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14461D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76A790E" w14:textId="77777777" w:rsidR="00E57DAA" w:rsidRDefault="00AC4185">
            <w:pPr>
              <w:jc w:val="right"/>
              <w:rPr>
                <w:szCs w:val="21"/>
              </w:rPr>
            </w:pPr>
            <w:r>
              <w:t>12,035.40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AB2E2E8" w14:textId="77777777" w:rsidR="00E57DAA" w:rsidRDefault="00AC4185">
            <w:pPr>
              <w:jc w:val="right"/>
              <w:rPr>
                <w:szCs w:val="21"/>
              </w:rPr>
            </w:pPr>
            <w:r>
              <w:t xml:space="preserve">　</w:t>
            </w:r>
          </w:p>
        </w:tc>
      </w:tr>
      <w:tr w:rsidR="00E57DAA" w14:paraId="6E07948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FEBE848" w14:textId="77777777" w:rsidR="00E57DAA" w:rsidRDefault="00AC4185">
            <w:pPr>
              <w:rPr>
                <w:szCs w:val="21"/>
              </w:rPr>
            </w:pPr>
            <w:r>
              <w:t>正安西南水泥有限公司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83AEDC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7C16434" w14:textId="77777777" w:rsidR="00E57DAA" w:rsidRDefault="00AC4185">
            <w:pPr>
              <w:jc w:val="right"/>
              <w:rPr>
                <w:szCs w:val="21"/>
              </w:rPr>
            </w:pPr>
            <w:r>
              <w:t>1,901,736.23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12E0877" w14:textId="77777777" w:rsidR="00E57DAA" w:rsidRDefault="00AC4185">
            <w:pPr>
              <w:jc w:val="right"/>
              <w:rPr>
                <w:szCs w:val="21"/>
              </w:rPr>
            </w:pPr>
            <w:r>
              <w:t xml:space="preserve">　</w:t>
            </w:r>
          </w:p>
        </w:tc>
      </w:tr>
      <w:tr w:rsidR="00E57DAA" w14:paraId="6FFB25D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3D9A39C" w14:textId="77777777" w:rsidR="00E57DAA" w:rsidRDefault="00AC4185">
            <w:pPr>
              <w:rPr>
                <w:szCs w:val="21"/>
              </w:rPr>
            </w:pPr>
            <w:r>
              <w:t>中材常德水泥有限责任公司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F6663B9"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60C980E"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C3247D9" w14:textId="77777777" w:rsidR="00E57DAA" w:rsidRDefault="00AC4185">
            <w:pPr>
              <w:jc w:val="right"/>
              <w:rPr>
                <w:szCs w:val="21"/>
              </w:rPr>
            </w:pPr>
            <w:r>
              <w:t>164,825.26</w:t>
            </w:r>
          </w:p>
        </w:tc>
      </w:tr>
      <w:tr w:rsidR="00E57DAA" w14:paraId="1150D54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0E7E3C1" w14:textId="77777777" w:rsidR="00E57DAA" w:rsidRDefault="00AC4185">
            <w:pPr>
              <w:rPr>
                <w:szCs w:val="21"/>
              </w:rPr>
            </w:pPr>
            <w:r>
              <w:t>中材甘肃水泥有限责任公司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B19289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F36517C" w14:textId="77777777" w:rsidR="00E57DAA" w:rsidRDefault="00AC4185">
            <w:pPr>
              <w:jc w:val="right"/>
              <w:rPr>
                <w:szCs w:val="21"/>
              </w:rPr>
            </w:pPr>
            <w:r>
              <w:t>148,282.08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1E10A31" w14:textId="77777777" w:rsidR="00E57DAA" w:rsidRDefault="00AC4185">
            <w:pPr>
              <w:jc w:val="right"/>
              <w:rPr>
                <w:szCs w:val="21"/>
              </w:rPr>
            </w:pPr>
            <w:r>
              <w:t xml:space="preserve">　</w:t>
            </w:r>
          </w:p>
        </w:tc>
      </w:tr>
      <w:tr w:rsidR="00E57DAA" w14:paraId="76DE13C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5134967" w14:textId="77777777" w:rsidR="00E57DAA" w:rsidRDefault="00AC4185">
            <w:pPr>
              <w:rPr>
                <w:szCs w:val="21"/>
              </w:rPr>
            </w:pPr>
            <w:r>
              <w:t>中材亨达水泥有限公司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FF3E63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AD46244" w14:textId="77777777" w:rsidR="00E57DAA" w:rsidRDefault="00AC4185">
            <w:pPr>
              <w:jc w:val="right"/>
              <w:rPr>
                <w:szCs w:val="21"/>
              </w:rPr>
            </w:pPr>
            <w:r>
              <w:t>620,971.34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0CA95B6" w14:textId="77777777" w:rsidR="00E57DAA" w:rsidRDefault="00AC4185">
            <w:pPr>
              <w:jc w:val="right"/>
              <w:rPr>
                <w:szCs w:val="21"/>
              </w:rPr>
            </w:pPr>
            <w:r>
              <w:t xml:space="preserve">　</w:t>
            </w:r>
          </w:p>
        </w:tc>
      </w:tr>
      <w:tr w:rsidR="00E57DAA" w14:paraId="72ACFAA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A976A9" w14:textId="77777777" w:rsidR="00E57DAA" w:rsidRDefault="00AC4185">
            <w:pPr>
              <w:rPr>
                <w:szCs w:val="21"/>
              </w:rPr>
            </w:pPr>
            <w:r>
              <w:t>中材科技股份有限公司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3A0DC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E2F8A13" w14:textId="77777777" w:rsidR="00E57DAA" w:rsidRDefault="00AC4185">
            <w:pPr>
              <w:jc w:val="right"/>
              <w:rPr>
                <w:szCs w:val="21"/>
              </w:rPr>
            </w:pPr>
            <w:r>
              <w:t>99,056.60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0D0BB44" w14:textId="77777777" w:rsidR="00E57DAA" w:rsidRDefault="00AC4185">
            <w:pPr>
              <w:jc w:val="right"/>
              <w:rPr>
                <w:szCs w:val="21"/>
              </w:rPr>
            </w:pPr>
            <w:r>
              <w:t xml:space="preserve">　</w:t>
            </w:r>
          </w:p>
        </w:tc>
      </w:tr>
      <w:tr w:rsidR="00E57DAA" w14:paraId="25CE944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119393A" w14:textId="77777777" w:rsidR="00E57DAA" w:rsidRDefault="00AC4185">
            <w:pPr>
              <w:rPr>
                <w:szCs w:val="21"/>
              </w:rPr>
            </w:pPr>
            <w:r>
              <w:t>中材罗定水泥有限公司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FB54E7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98F464E" w14:textId="77777777" w:rsidR="00E57DAA" w:rsidRDefault="00AC4185">
            <w:pPr>
              <w:jc w:val="right"/>
              <w:rPr>
                <w:szCs w:val="21"/>
              </w:rPr>
            </w:pPr>
            <w:r>
              <w:t>429,616.30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888DE8D" w14:textId="77777777" w:rsidR="00E57DAA" w:rsidRDefault="00AC4185">
            <w:pPr>
              <w:jc w:val="right"/>
              <w:rPr>
                <w:szCs w:val="21"/>
              </w:rPr>
            </w:pPr>
            <w:r>
              <w:t>6,194.69</w:t>
            </w:r>
          </w:p>
        </w:tc>
      </w:tr>
      <w:tr w:rsidR="00E57DAA" w14:paraId="4A37EC0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11A2A9A" w14:textId="77777777" w:rsidR="00E57DAA" w:rsidRDefault="00AC4185">
            <w:pPr>
              <w:rPr>
                <w:szCs w:val="21"/>
              </w:rPr>
            </w:pPr>
            <w:r>
              <w:t>中材株洲水泥有限责任公司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3E1172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D414E3E" w14:textId="77777777" w:rsidR="00E57DAA" w:rsidRDefault="00AC4185">
            <w:pPr>
              <w:jc w:val="right"/>
              <w:rPr>
                <w:szCs w:val="21"/>
              </w:rPr>
            </w:pPr>
            <w:r>
              <w:t>364,402.89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D636C20" w14:textId="77777777" w:rsidR="00E57DAA" w:rsidRDefault="00AC4185">
            <w:pPr>
              <w:jc w:val="right"/>
              <w:rPr>
                <w:szCs w:val="21"/>
              </w:rPr>
            </w:pPr>
            <w:r>
              <w:t>1,353,731.83</w:t>
            </w:r>
          </w:p>
        </w:tc>
      </w:tr>
      <w:tr w:rsidR="00E57DAA" w14:paraId="72DFEDF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E66B1AA" w14:textId="77777777" w:rsidR="00E57DAA" w:rsidRDefault="00AC4185">
            <w:pPr>
              <w:rPr>
                <w:szCs w:val="21"/>
              </w:rPr>
            </w:pPr>
            <w:r>
              <w:t>中建材海外经济合作有限公司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4BAC0E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86C784" w14:textId="77777777" w:rsidR="00E57DAA" w:rsidRDefault="00AC4185">
            <w:pPr>
              <w:jc w:val="right"/>
              <w:rPr>
                <w:szCs w:val="21"/>
              </w:rPr>
            </w:pPr>
            <w:r>
              <w:t>2,213,539.82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CA0E0E0" w14:textId="77777777" w:rsidR="00E57DAA" w:rsidRDefault="00AC4185">
            <w:pPr>
              <w:jc w:val="right"/>
              <w:rPr>
                <w:szCs w:val="21"/>
              </w:rPr>
            </w:pPr>
            <w:r>
              <w:t>926,194.69</w:t>
            </w:r>
          </w:p>
        </w:tc>
      </w:tr>
      <w:tr w:rsidR="00E57DAA" w14:paraId="696FE71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3B992B9" w14:textId="77777777" w:rsidR="00E57DAA" w:rsidRDefault="00AC4185">
            <w:pPr>
              <w:rPr>
                <w:szCs w:val="21"/>
              </w:rPr>
            </w:pPr>
            <w:r>
              <w:t>中建材物资有限公司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13E834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63ED384" w14:textId="77777777" w:rsidR="00E57DAA" w:rsidRDefault="00AC4185">
            <w:pPr>
              <w:jc w:val="right"/>
              <w:rPr>
                <w:szCs w:val="21"/>
              </w:rPr>
            </w:pPr>
            <w:r>
              <w:t>3,091,407.07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3456CE9" w14:textId="77777777" w:rsidR="00E57DAA" w:rsidRDefault="00AC4185">
            <w:pPr>
              <w:jc w:val="right"/>
              <w:rPr>
                <w:szCs w:val="21"/>
              </w:rPr>
            </w:pPr>
            <w:r>
              <w:t>723,893.81</w:t>
            </w:r>
          </w:p>
        </w:tc>
      </w:tr>
      <w:tr w:rsidR="00E57DAA" w14:paraId="2B44DE8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500F290" w14:textId="77777777" w:rsidR="00E57DAA" w:rsidRDefault="00AC4185">
            <w:pPr>
              <w:rPr>
                <w:szCs w:val="21"/>
              </w:rPr>
            </w:pPr>
            <w:r>
              <w:t>中建材新材料有限公司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066414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DE3E949" w14:textId="77777777" w:rsidR="00E57DAA" w:rsidRDefault="00AC4185">
            <w:pPr>
              <w:jc w:val="right"/>
              <w:rPr>
                <w:szCs w:val="21"/>
              </w:rPr>
            </w:pPr>
            <w:r>
              <w:t>70,928.66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B7965D7" w14:textId="77777777" w:rsidR="00E57DAA" w:rsidRDefault="00AC4185">
            <w:pPr>
              <w:jc w:val="right"/>
              <w:rPr>
                <w:szCs w:val="21"/>
              </w:rPr>
            </w:pPr>
            <w:r>
              <w:t xml:space="preserve">　</w:t>
            </w:r>
          </w:p>
        </w:tc>
      </w:tr>
      <w:tr w:rsidR="00E57DAA" w14:paraId="774B2BF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C196013" w14:textId="77777777" w:rsidR="00E57DAA" w:rsidRDefault="00AC4185">
            <w:pPr>
              <w:rPr>
                <w:szCs w:val="21"/>
              </w:rPr>
            </w:pPr>
            <w:r>
              <w:t>中联水泥（山东）研发中心有限公司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4875E8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841CED7" w14:textId="77777777" w:rsidR="00E57DAA" w:rsidRDefault="00AC4185">
            <w:pPr>
              <w:jc w:val="right"/>
              <w:rPr>
                <w:szCs w:val="21"/>
              </w:rPr>
            </w:pPr>
            <w:r>
              <w:t>7,964.60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FA8BC43" w14:textId="77777777" w:rsidR="00E57DAA" w:rsidRDefault="00AC4185">
            <w:pPr>
              <w:jc w:val="right"/>
              <w:rPr>
                <w:szCs w:val="21"/>
              </w:rPr>
            </w:pPr>
            <w:r>
              <w:t xml:space="preserve">　</w:t>
            </w:r>
          </w:p>
        </w:tc>
      </w:tr>
      <w:tr w:rsidR="00E57DAA" w14:paraId="22D7553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9E32DA1" w14:textId="77777777" w:rsidR="00E57DAA" w:rsidRDefault="00AC4185">
            <w:pPr>
              <w:rPr>
                <w:szCs w:val="21"/>
              </w:rPr>
            </w:pPr>
            <w:r>
              <w:t>重庆万州西南水泥有限公司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B5A2D4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D8750E3" w14:textId="77777777" w:rsidR="00E57DAA" w:rsidRDefault="00AC4185">
            <w:pPr>
              <w:jc w:val="right"/>
              <w:rPr>
                <w:szCs w:val="21"/>
              </w:rPr>
            </w:pPr>
            <w:r>
              <w:t>1,000.00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B36DD5F" w14:textId="77777777" w:rsidR="00E57DAA" w:rsidRDefault="00AC4185">
            <w:pPr>
              <w:jc w:val="right"/>
              <w:rPr>
                <w:szCs w:val="21"/>
              </w:rPr>
            </w:pPr>
            <w:r>
              <w:t xml:space="preserve">　</w:t>
            </w:r>
          </w:p>
        </w:tc>
      </w:tr>
      <w:tr w:rsidR="00E57DAA" w14:paraId="4406EAD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9EDC2D4" w14:textId="77777777" w:rsidR="00E57DAA" w:rsidRDefault="00AC4185">
            <w:pPr>
              <w:rPr>
                <w:szCs w:val="21"/>
              </w:rPr>
            </w:pPr>
            <w:r>
              <w:t>重庆长寿西南水泥有限公司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158054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8D01CFC" w14:textId="77777777" w:rsidR="00E57DAA" w:rsidRDefault="00AC4185">
            <w:pPr>
              <w:jc w:val="right"/>
              <w:rPr>
                <w:szCs w:val="21"/>
              </w:rPr>
            </w:pPr>
            <w:r>
              <w:t>1,278.80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2F4CA6F" w14:textId="77777777" w:rsidR="00E57DAA" w:rsidRDefault="00AC4185">
            <w:pPr>
              <w:jc w:val="right"/>
              <w:rPr>
                <w:szCs w:val="21"/>
              </w:rPr>
            </w:pPr>
            <w:r>
              <w:t xml:space="preserve">　</w:t>
            </w:r>
          </w:p>
        </w:tc>
      </w:tr>
      <w:tr w:rsidR="00E57DAA" w14:paraId="58ECA51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86B8D13" w14:textId="77777777" w:rsidR="00E57DAA" w:rsidRDefault="00AC4185">
            <w:pPr>
              <w:rPr>
                <w:szCs w:val="21"/>
              </w:rPr>
            </w:pPr>
            <w:r>
              <w:t>驻马店市豫龙同力水泥有限公司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10FE56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9DF54B0" w14:textId="77777777" w:rsidR="00E57DAA" w:rsidRDefault="00AC4185">
            <w:pPr>
              <w:jc w:val="right"/>
              <w:rPr>
                <w:szCs w:val="21"/>
              </w:rPr>
            </w:pPr>
            <w:r>
              <w:t>3,069.94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7C0C25A" w14:textId="77777777" w:rsidR="00E57DAA" w:rsidRDefault="00AC4185">
            <w:pPr>
              <w:jc w:val="right"/>
              <w:rPr>
                <w:szCs w:val="21"/>
              </w:rPr>
            </w:pPr>
            <w:r>
              <w:t>1,720,587.61</w:t>
            </w:r>
          </w:p>
        </w:tc>
      </w:tr>
      <w:tr w:rsidR="00E57DAA" w14:paraId="182C0A1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985B474" w14:textId="77777777" w:rsidR="00E57DAA" w:rsidRDefault="00AC4185">
            <w:pPr>
              <w:rPr>
                <w:szCs w:val="21"/>
              </w:rPr>
            </w:pPr>
            <w:r>
              <w:t>遵义赛德水泥有限公司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96884D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9BDA0AB" w14:textId="77777777" w:rsidR="00E57DAA" w:rsidRDefault="00AC4185">
            <w:pPr>
              <w:jc w:val="right"/>
              <w:rPr>
                <w:szCs w:val="21"/>
              </w:rPr>
            </w:pPr>
            <w:r>
              <w:t>1,277.53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AC9BB88" w14:textId="77777777" w:rsidR="00E57DAA" w:rsidRDefault="00AC4185">
            <w:pPr>
              <w:jc w:val="right"/>
              <w:rPr>
                <w:szCs w:val="21"/>
              </w:rPr>
            </w:pPr>
            <w:r>
              <w:t xml:space="preserve">　</w:t>
            </w:r>
          </w:p>
        </w:tc>
      </w:tr>
      <w:tr w:rsidR="00E57DAA" w14:paraId="0FB9367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C8C5C09" w14:textId="77777777" w:rsidR="00E57DAA" w:rsidRDefault="00AC4185">
            <w:pPr>
              <w:rPr>
                <w:szCs w:val="21"/>
              </w:rPr>
            </w:pPr>
            <w:r>
              <w:t>受最终控制方控制的其他企业</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FB3C83E" w14:textId="77777777" w:rsidR="00E57DAA" w:rsidRDefault="00AC4185">
            <w:pPr>
              <w:rPr>
                <w:szCs w:val="21"/>
              </w:rPr>
            </w:pPr>
            <w:r>
              <w:t xml:space="preserve">　</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F15DFD9"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5393BD5" w14:textId="77777777" w:rsidR="00E57DAA" w:rsidRDefault="00AC4185">
            <w:pPr>
              <w:jc w:val="right"/>
              <w:rPr>
                <w:szCs w:val="21"/>
              </w:rPr>
            </w:pPr>
            <w:r>
              <w:t xml:space="preserve">　</w:t>
            </w:r>
          </w:p>
        </w:tc>
      </w:tr>
      <w:tr w:rsidR="00E57DAA" w14:paraId="2036440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F6B5623" w14:textId="77777777" w:rsidR="00E57DAA" w:rsidRDefault="00AC4185">
            <w:pPr>
              <w:rPr>
                <w:szCs w:val="21"/>
              </w:rPr>
            </w:pPr>
            <w:r>
              <w:t>安徽建材地质工程勘察院有限公司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3D44D90"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2B066C6"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463B57D" w14:textId="77777777" w:rsidR="00E57DAA" w:rsidRDefault="00AC4185">
            <w:pPr>
              <w:jc w:val="right"/>
              <w:rPr>
                <w:szCs w:val="21"/>
              </w:rPr>
            </w:pPr>
            <w:r>
              <w:t>45,871.56</w:t>
            </w:r>
          </w:p>
        </w:tc>
      </w:tr>
      <w:tr w:rsidR="00E57DAA" w14:paraId="3D6F4BF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CDD2659" w14:textId="77777777" w:rsidR="00E57DAA" w:rsidRDefault="00AC4185">
            <w:pPr>
              <w:rPr>
                <w:szCs w:val="21"/>
              </w:rPr>
            </w:pPr>
            <w:r>
              <w:t>安徽凯盛基础材料科技有限公司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B1501B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FEEC994" w14:textId="77777777" w:rsidR="00E57DAA" w:rsidRDefault="00AC4185">
            <w:pPr>
              <w:jc w:val="right"/>
              <w:rPr>
                <w:szCs w:val="21"/>
              </w:rPr>
            </w:pPr>
            <w:r>
              <w:t>7,433.63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6B80A48" w14:textId="77777777" w:rsidR="00E57DAA" w:rsidRDefault="00AC4185">
            <w:pPr>
              <w:jc w:val="right"/>
              <w:rPr>
                <w:szCs w:val="21"/>
              </w:rPr>
            </w:pPr>
            <w:r>
              <w:t xml:space="preserve">　</w:t>
            </w:r>
          </w:p>
        </w:tc>
      </w:tr>
      <w:tr w:rsidR="00E57DAA" w14:paraId="5554587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1C30EF6" w14:textId="77777777" w:rsidR="00E57DAA" w:rsidRDefault="00AC4185">
            <w:pPr>
              <w:rPr>
                <w:szCs w:val="21"/>
              </w:rPr>
            </w:pPr>
            <w:r>
              <w:lastRenderedPageBreak/>
              <w:t>安徽瑞泰新材料科技有限公司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321DC5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50EE1E1" w14:textId="77777777" w:rsidR="00E57DAA" w:rsidRDefault="00AC4185">
            <w:pPr>
              <w:jc w:val="right"/>
              <w:rPr>
                <w:szCs w:val="21"/>
              </w:rPr>
            </w:pPr>
            <w:r>
              <w:t>153,373.46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6FC3A46" w14:textId="77777777" w:rsidR="00E57DAA" w:rsidRDefault="00AC4185">
            <w:pPr>
              <w:jc w:val="right"/>
              <w:rPr>
                <w:szCs w:val="21"/>
              </w:rPr>
            </w:pPr>
            <w:r>
              <w:t>732,332.06</w:t>
            </w:r>
          </w:p>
        </w:tc>
      </w:tr>
      <w:tr w:rsidR="00E57DAA" w14:paraId="123B8AD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FD36AB6" w14:textId="77777777" w:rsidR="00E57DAA" w:rsidRDefault="00AC4185">
            <w:pPr>
              <w:rPr>
                <w:szCs w:val="21"/>
              </w:rPr>
            </w:pPr>
            <w:r>
              <w:t>安徽中建材开源新材料科技有限公司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CB17D8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02A0488" w14:textId="77777777" w:rsidR="00E57DAA" w:rsidRDefault="00AC4185">
            <w:pPr>
              <w:jc w:val="right"/>
              <w:rPr>
                <w:szCs w:val="21"/>
              </w:rPr>
            </w:pPr>
            <w:r>
              <w:t>796,460.18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6FC9060" w14:textId="77777777" w:rsidR="00E57DAA" w:rsidRDefault="00AC4185">
            <w:pPr>
              <w:jc w:val="right"/>
              <w:rPr>
                <w:szCs w:val="21"/>
              </w:rPr>
            </w:pPr>
            <w:r>
              <w:t xml:space="preserve">　</w:t>
            </w:r>
          </w:p>
        </w:tc>
      </w:tr>
      <w:tr w:rsidR="00E57DAA" w14:paraId="033915E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14A3D63" w14:textId="77777777" w:rsidR="00E57DAA" w:rsidRDefault="00AC4185">
            <w:pPr>
              <w:rPr>
                <w:szCs w:val="21"/>
              </w:rPr>
            </w:pPr>
            <w:r>
              <w:t>北新房屋有限公司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821CC4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3A71E1A" w14:textId="77777777" w:rsidR="00E57DAA" w:rsidRDefault="00AC4185">
            <w:pPr>
              <w:jc w:val="right"/>
              <w:rPr>
                <w:szCs w:val="21"/>
              </w:rPr>
            </w:pPr>
            <w:r>
              <w:t>80,590.55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D3AC8DF" w14:textId="77777777" w:rsidR="00E57DAA" w:rsidRDefault="00AC4185">
            <w:pPr>
              <w:jc w:val="right"/>
              <w:rPr>
                <w:szCs w:val="21"/>
              </w:rPr>
            </w:pPr>
            <w:r>
              <w:t xml:space="preserve">　</w:t>
            </w:r>
          </w:p>
        </w:tc>
      </w:tr>
      <w:tr w:rsidR="00E57DAA" w14:paraId="3D245F5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00A7212" w14:textId="77777777" w:rsidR="00E57DAA" w:rsidRDefault="00AC4185">
            <w:pPr>
              <w:rPr>
                <w:szCs w:val="21"/>
              </w:rPr>
            </w:pPr>
            <w:r>
              <w:t>北新建材集团南宫金属有限公司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BC701FE"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A45BDE"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8653162" w14:textId="77777777" w:rsidR="00E57DAA" w:rsidRDefault="00AC4185">
            <w:pPr>
              <w:jc w:val="right"/>
              <w:rPr>
                <w:szCs w:val="21"/>
              </w:rPr>
            </w:pPr>
            <w:r>
              <w:t>8,811,795.85</w:t>
            </w:r>
          </w:p>
        </w:tc>
      </w:tr>
      <w:tr w:rsidR="00E57DAA" w14:paraId="40D211A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76B0F55" w14:textId="77777777" w:rsidR="00E57DAA" w:rsidRDefault="00AC4185">
            <w:pPr>
              <w:rPr>
                <w:szCs w:val="21"/>
              </w:rPr>
            </w:pPr>
            <w:r>
              <w:t>成都中建材光电材料有限公司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138119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F077BEF" w14:textId="77777777" w:rsidR="00E57DAA" w:rsidRDefault="00AC4185">
            <w:pPr>
              <w:jc w:val="right"/>
              <w:rPr>
                <w:szCs w:val="21"/>
              </w:rPr>
            </w:pPr>
            <w:r>
              <w:t>9,579,111.75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D2A74DC" w14:textId="77777777" w:rsidR="00E57DAA" w:rsidRDefault="00AC4185">
            <w:pPr>
              <w:jc w:val="right"/>
              <w:rPr>
                <w:szCs w:val="21"/>
              </w:rPr>
            </w:pPr>
            <w:r>
              <w:t>9,076,252.20</w:t>
            </w:r>
          </w:p>
        </w:tc>
      </w:tr>
      <w:tr w:rsidR="00E57DAA" w14:paraId="525AE7B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5FB5B67" w14:textId="77777777" w:rsidR="00E57DAA" w:rsidRDefault="00AC4185">
            <w:pPr>
              <w:rPr>
                <w:szCs w:val="21"/>
              </w:rPr>
            </w:pPr>
            <w:r>
              <w:t>广州华磊建筑基础工程有限公司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6EE594F"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0E4EBD7" w14:textId="77777777" w:rsidR="00E57DAA" w:rsidRDefault="00AC4185">
            <w:pPr>
              <w:jc w:val="right"/>
              <w:rPr>
                <w:szCs w:val="21"/>
              </w:rPr>
            </w:pPr>
            <w:r>
              <w:t>4,135,779.82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9385D2B" w14:textId="77777777" w:rsidR="00E57DAA" w:rsidRDefault="00AC4185">
            <w:pPr>
              <w:jc w:val="right"/>
              <w:rPr>
                <w:szCs w:val="21"/>
              </w:rPr>
            </w:pPr>
            <w:r>
              <w:t>2,549,359.51</w:t>
            </w:r>
          </w:p>
        </w:tc>
      </w:tr>
      <w:tr w:rsidR="00E57DAA" w14:paraId="066E871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478B1C0" w14:textId="77777777" w:rsidR="00E57DAA" w:rsidRDefault="00AC4185">
            <w:pPr>
              <w:rPr>
                <w:szCs w:val="21"/>
              </w:rPr>
            </w:pPr>
            <w:r>
              <w:t>国检测试控股集团安徽京诚有限公司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547CAC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E3BC8DA" w14:textId="77777777" w:rsidR="00E57DAA" w:rsidRDefault="00AC4185">
            <w:pPr>
              <w:jc w:val="right"/>
              <w:rPr>
                <w:szCs w:val="21"/>
              </w:rPr>
            </w:pPr>
            <w:r>
              <w:t>6,226.42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6953DBE" w14:textId="77777777" w:rsidR="00E57DAA" w:rsidRDefault="00AC4185">
            <w:pPr>
              <w:jc w:val="right"/>
              <w:rPr>
                <w:szCs w:val="21"/>
              </w:rPr>
            </w:pPr>
            <w:r>
              <w:t xml:space="preserve">　</w:t>
            </w:r>
          </w:p>
        </w:tc>
      </w:tr>
      <w:tr w:rsidR="00E57DAA" w14:paraId="2DBC209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941CB8F" w14:textId="77777777" w:rsidR="00E57DAA" w:rsidRDefault="00AC4185">
            <w:pPr>
              <w:rPr>
                <w:szCs w:val="21"/>
              </w:rPr>
            </w:pPr>
            <w:r>
              <w:t>合肥神马电气有限公司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C2B01F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8F84D55" w14:textId="77777777" w:rsidR="00E57DAA" w:rsidRDefault="00AC4185">
            <w:pPr>
              <w:jc w:val="right"/>
              <w:rPr>
                <w:szCs w:val="21"/>
              </w:rPr>
            </w:pPr>
            <w:r>
              <w:t>283,906.17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8BB8A79" w14:textId="77777777" w:rsidR="00E57DAA" w:rsidRDefault="00AC4185">
            <w:pPr>
              <w:jc w:val="right"/>
              <w:rPr>
                <w:szCs w:val="21"/>
              </w:rPr>
            </w:pPr>
            <w:r>
              <w:t>586,087.56</w:t>
            </w:r>
          </w:p>
        </w:tc>
      </w:tr>
      <w:tr w:rsidR="00E57DAA" w14:paraId="5DD5066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53A4800" w14:textId="77777777" w:rsidR="00E57DAA" w:rsidRDefault="00AC4185">
            <w:pPr>
              <w:rPr>
                <w:szCs w:val="21"/>
              </w:rPr>
            </w:pPr>
            <w:r>
              <w:t>合肥神马科技集团有限公司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7E8DC0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B4CC816" w14:textId="77777777" w:rsidR="00E57DAA" w:rsidRDefault="00AC4185">
            <w:pPr>
              <w:jc w:val="right"/>
              <w:rPr>
                <w:szCs w:val="21"/>
              </w:rPr>
            </w:pPr>
            <w:r>
              <w:t>2,219,715.95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BA4D6E5" w14:textId="77777777" w:rsidR="00E57DAA" w:rsidRDefault="00AC4185">
            <w:pPr>
              <w:jc w:val="right"/>
              <w:rPr>
                <w:szCs w:val="21"/>
              </w:rPr>
            </w:pPr>
            <w:r>
              <w:t xml:space="preserve">　</w:t>
            </w:r>
          </w:p>
        </w:tc>
      </w:tr>
      <w:tr w:rsidR="00E57DAA" w14:paraId="5EA004C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06376E2" w14:textId="77777777" w:rsidR="00E57DAA" w:rsidRDefault="00AC4185">
            <w:pPr>
              <w:rPr>
                <w:szCs w:val="21"/>
              </w:rPr>
            </w:pPr>
            <w:r>
              <w:t>合肥中辰轻工机械有限公司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2D4914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FD6D83D" w14:textId="77777777" w:rsidR="00E57DAA" w:rsidRDefault="00AC4185">
            <w:pPr>
              <w:jc w:val="right"/>
              <w:rPr>
                <w:szCs w:val="21"/>
              </w:rPr>
            </w:pPr>
            <w:r>
              <w:t>11,939,739.89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0328EDF" w14:textId="77777777" w:rsidR="00E57DAA" w:rsidRDefault="00AC4185">
            <w:pPr>
              <w:jc w:val="right"/>
              <w:rPr>
                <w:szCs w:val="21"/>
              </w:rPr>
            </w:pPr>
            <w:r>
              <w:t>32,453,575.15</w:t>
            </w:r>
          </w:p>
        </w:tc>
      </w:tr>
      <w:tr w:rsidR="00E57DAA" w14:paraId="5C90DBC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BE56685" w14:textId="77777777" w:rsidR="00E57DAA" w:rsidRDefault="00AC4185">
            <w:pPr>
              <w:rPr>
                <w:szCs w:val="21"/>
              </w:rPr>
            </w:pPr>
            <w:r>
              <w:t>河南瑞泰耐火材料科技有限公司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A9AD6AD"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2AAD4C" w14:textId="77777777" w:rsidR="00E57DAA" w:rsidRDefault="00AC4185">
            <w:pPr>
              <w:jc w:val="right"/>
              <w:rPr>
                <w:szCs w:val="21"/>
              </w:rPr>
            </w:pPr>
            <w:r>
              <w:t>3,442,477.86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D471F83" w14:textId="77777777" w:rsidR="00E57DAA" w:rsidRDefault="00AC4185">
            <w:pPr>
              <w:jc w:val="right"/>
              <w:rPr>
                <w:szCs w:val="21"/>
              </w:rPr>
            </w:pPr>
            <w:r>
              <w:t xml:space="preserve">　</w:t>
            </w:r>
          </w:p>
        </w:tc>
      </w:tr>
      <w:tr w:rsidR="00E57DAA" w14:paraId="1B33336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C4D2103" w14:textId="77777777" w:rsidR="00E57DAA" w:rsidRDefault="00AC4185">
            <w:pPr>
              <w:rPr>
                <w:szCs w:val="21"/>
              </w:rPr>
            </w:pPr>
            <w:r>
              <w:t>建材广州工程勘测院有限公司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5F84C40"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921D1F" w14:textId="77777777" w:rsidR="00E57DAA" w:rsidRDefault="00AC4185">
            <w:pPr>
              <w:jc w:val="right"/>
              <w:rPr>
                <w:szCs w:val="21"/>
              </w:rPr>
            </w:pPr>
            <w:r>
              <w:t>135,208.89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D74216D" w14:textId="77777777" w:rsidR="00E57DAA" w:rsidRDefault="00AC4185">
            <w:pPr>
              <w:jc w:val="right"/>
              <w:rPr>
                <w:szCs w:val="21"/>
              </w:rPr>
            </w:pPr>
            <w:r>
              <w:t xml:space="preserve">　</w:t>
            </w:r>
          </w:p>
        </w:tc>
      </w:tr>
      <w:tr w:rsidR="00E57DAA" w14:paraId="11A4A6F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647EA56" w14:textId="77777777" w:rsidR="00E57DAA" w:rsidRDefault="00AC4185">
            <w:pPr>
              <w:rPr>
                <w:szCs w:val="21"/>
              </w:rPr>
            </w:pPr>
            <w:r>
              <w:t>中建材广西勘测规划设计有限公司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FF598A4"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BEDBCA4" w14:textId="77777777" w:rsidR="00E57DAA" w:rsidRDefault="00AC4185">
            <w:pPr>
              <w:jc w:val="right"/>
              <w:rPr>
                <w:szCs w:val="21"/>
              </w:rPr>
            </w:pPr>
            <w:r>
              <w:t>653,944.96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A6AE374" w14:textId="77777777" w:rsidR="00E57DAA" w:rsidRDefault="00AC4185">
            <w:pPr>
              <w:jc w:val="right"/>
              <w:rPr>
                <w:szCs w:val="21"/>
              </w:rPr>
            </w:pPr>
            <w:r>
              <w:t>646,017.70</w:t>
            </w:r>
          </w:p>
        </w:tc>
      </w:tr>
      <w:tr w:rsidR="00E57DAA" w14:paraId="363C943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4A72D8B" w14:textId="77777777" w:rsidR="00E57DAA" w:rsidRDefault="00AC4185">
            <w:pPr>
              <w:rPr>
                <w:szCs w:val="21"/>
              </w:rPr>
            </w:pPr>
            <w:r>
              <w:t>凯盛科技集团有限公司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C8B3471"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367B223"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C29AF73" w14:textId="77777777" w:rsidR="00E57DAA" w:rsidRDefault="00AC4185">
            <w:pPr>
              <w:jc w:val="right"/>
              <w:rPr>
                <w:szCs w:val="21"/>
              </w:rPr>
            </w:pPr>
            <w:r>
              <w:t>207,079.65</w:t>
            </w:r>
          </w:p>
        </w:tc>
      </w:tr>
      <w:tr w:rsidR="00E57DAA" w14:paraId="6C1500B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D0FAA3F" w14:textId="77777777" w:rsidR="00E57DAA" w:rsidRDefault="00AC4185">
            <w:pPr>
              <w:rPr>
                <w:szCs w:val="21"/>
              </w:rPr>
            </w:pPr>
            <w:r>
              <w:t>凯盛重工有限公司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D0314A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A3CBF89" w14:textId="77777777" w:rsidR="00E57DAA" w:rsidRDefault="00AC4185">
            <w:pPr>
              <w:jc w:val="right"/>
              <w:rPr>
                <w:szCs w:val="21"/>
              </w:rPr>
            </w:pPr>
            <w:r>
              <w:t>27,900,176.96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78CB552" w14:textId="77777777" w:rsidR="00E57DAA" w:rsidRDefault="00AC4185">
            <w:pPr>
              <w:jc w:val="right"/>
              <w:rPr>
                <w:szCs w:val="21"/>
              </w:rPr>
            </w:pPr>
            <w:r>
              <w:t>44,999,999.99</w:t>
            </w:r>
          </w:p>
        </w:tc>
      </w:tr>
      <w:tr w:rsidR="00E57DAA" w14:paraId="17A844F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CC9B5CF" w14:textId="77777777" w:rsidR="00E57DAA" w:rsidRDefault="00AC4185">
            <w:pPr>
              <w:rPr>
                <w:szCs w:val="21"/>
              </w:rPr>
            </w:pPr>
            <w:r>
              <w:t>南通万达能源动力科技有限公司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150C91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33FAA82" w14:textId="77777777" w:rsidR="00E57DAA" w:rsidRDefault="00AC4185">
            <w:pPr>
              <w:jc w:val="right"/>
              <w:rPr>
                <w:szCs w:val="21"/>
              </w:rPr>
            </w:pPr>
            <w:r>
              <w:t>39,477,521.93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C7D22AD" w14:textId="77777777" w:rsidR="00E57DAA" w:rsidRDefault="00AC4185">
            <w:pPr>
              <w:jc w:val="right"/>
              <w:rPr>
                <w:szCs w:val="21"/>
              </w:rPr>
            </w:pPr>
            <w:r>
              <w:t>77,158,778.77</w:t>
            </w:r>
          </w:p>
        </w:tc>
      </w:tr>
      <w:tr w:rsidR="00E57DAA" w14:paraId="0B9ACE0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D6A1318" w14:textId="77777777" w:rsidR="00E57DAA" w:rsidRDefault="00AC4185">
            <w:pPr>
              <w:rPr>
                <w:szCs w:val="21"/>
              </w:rPr>
            </w:pPr>
            <w:r>
              <w:t>山东工业陶瓷研究设计院有限公司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96B3A0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19D6B12" w14:textId="77777777" w:rsidR="00E57DAA" w:rsidRDefault="00AC4185">
            <w:pPr>
              <w:jc w:val="right"/>
              <w:rPr>
                <w:szCs w:val="21"/>
              </w:rPr>
            </w:pPr>
            <w:r>
              <w:t>429,168.14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F214D2F" w14:textId="77777777" w:rsidR="00E57DAA" w:rsidRDefault="00AC4185">
            <w:pPr>
              <w:jc w:val="right"/>
              <w:rPr>
                <w:szCs w:val="21"/>
              </w:rPr>
            </w:pPr>
            <w:r>
              <w:t xml:space="preserve">　</w:t>
            </w:r>
          </w:p>
        </w:tc>
      </w:tr>
      <w:tr w:rsidR="00E57DAA" w14:paraId="51A42E8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CDED299" w14:textId="77777777" w:rsidR="00E57DAA" w:rsidRDefault="00AC4185">
            <w:pPr>
              <w:rPr>
                <w:szCs w:val="21"/>
              </w:rPr>
            </w:pPr>
            <w:r>
              <w:t>上海凯盛节能工程技术有限公司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B4216EE"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1767470"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85DCD92" w14:textId="77777777" w:rsidR="00E57DAA" w:rsidRDefault="00AC4185">
            <w:pPr>
              <w:jc w:val="right"/>
              <w:rPr>
                <w:szCs w:val="21"/>
              </w:rPr>
            </w:pPr>
            <w:r>
              <w:t>23,910,836.53</w:t>
            </w:r>
          </w:p>
        </w:tc>
      </w:tr>
      <w:tr w:rsidR="00E57DAA" w14:paraId="580AA9F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29AF998" w14:textId="77777777" w:rsidR="00E57DAA" w:rsidRDefault="00AC4185">
            <w:pPr>
              <w:rPr>
                <w:szCs w:val="21"/>
              </w:rPr>
            </w:pPr>
            <w:r>
              <w:t>上海新建重型机械有限公司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E66074C"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B32C89A" w14:textId="77777777" w:rsidR="00E57DAA" w:rsidRDefault="00AC4185">
            <w:pPr>
              <w:jc w:val="right"/>
              <w:rPr>
                <w:szCs w:val="21"/>
              </w:rPr>
            </w:pPr>
            <w:r>
              <w:t>10,009,734.52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6467532" w14:textId="77777777" w:rsidR="00E57DAA" w:rsidRDefault="00AC4185">
            <w:pPr>
              <w:jc w:val="right"/>
              <w:rPr>
                <w:szCs w:val="21"/>
              </w:rPr>
            </w:pPr>
            <w:r>
              <w:t>16,623,008.85</w:t>
            </w:r>
          </w:p>
        </w:tc>
      </w:tr>
      <w:tr w:rsidR="00E57DAA" w14:paraId="7B9575A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C269E41" w14:textId="77777777" w:rsidR="00E57DAA" w:rsidRDefault="00AC4185">
            <w:pPr>
              <w:rPr>
                <w:szCs w:val="21"/>
              </w:rPr>
            </w:pPr>
            <w:r>
              <w:t>苏州开普岩土工程有限公司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091E85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88A8148" w14:textId="77777777" w:rsidR="00E57DAA" w:rsidRDefault="00AC4185">
            <w:pPr>
              <w:jc w:val="right"/>
              <w:rPr>
                <w:szCs w:val="21"/>
              </w:rPr>
            </w:pPr>
            <w:r>
              <w:t>8,000,381.50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48E8BC9" w14:textId="77777777" w:rsidR="00E57DAA" w:rsidRDefault="00AC4185">
            <w:pPr>
              <w:jc w:val="right"/>
              <w:rPr>
                <w:szCs w:val="21"/>
              </w:rPr>
            </w:pPr>
            <w:r>
              <w:t>5,515,362.08</w:t>
            </w:r>
          </w:p>
        </w:tc>
      </w:tr>
      <w:tr w:rsidR="00E57DAA" w14:paraId="2E00379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FD0A858" w14:textId="77777777" w:rsidR="00E57DAA" w:rsidRDefault="00AC4185">
            <w:pPr>
              <w:rPr>
                <w:szCs w:val="21"/>
              </w:rPr>
            </w:pPr>
            <w:r>
              <w:t>武汉建筑材料工业设计研究院有限公司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2D715D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06E3CE3" w14:textId="77777777" w:rsidR="00E57DAA" w:rsidRDefault="00AC4185">
            <w:pPr>
              <w:jc w:val="right"/>
              <w:rPr>
                <w:szCs w:val="21"/>
              </w:rPr>
            </w:pPr>
            <w:r>
              <w:t>943.40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022B17F" w14:textId="77777777" w:rsidR="00E57DAA" w:rsidRDefault="00AC4185">
            <w:pPr>
              <w:jc w:val="right"/>
              <w:rPr>
                <w:szCs w:val="21"/>
              </w:rPr>
            </w:pPr>
            <w:r>
              <w:t xml:space="preserve">　</w:t>
            </w:r>
          </w:p>
        </w:tc>
      </w:tr>
      <w:tr w:rsidR="00E57DAA" w14:paraId="03E318B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9618F9E" w14:textId="77777777" w:rsidR="00E57DAA" w:rsidRDefault="00AC4185">
            <w:pPr>
              <w:rPr>
                <w:szCs w:val="21"/>
              </w:rPr>
            </w:pPr>
            <w:r>
              <w:t>西安墙体材料研究设计院有限公司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ECF9298"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377DCD" w14:textId="77777777" w:rsidR="00E57DAA" w:rsidRDefault="00AC4185">
            <w:pPr>
              <w:jc w:val="right"/>
              <w:rPr>
                <w:szCs w:val="21"/>
              </w:rPr>
            </w:pPr>
            <w:r>
              <w:t>221,400.00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7E1FE3D" w14:textId="77777777" w:rsidR="00E57DAA" w:rsidRDefault="00AC4185">
            <w:pPr>
              <w:jc w:val="right"/>
              <w:rPr>
                <w:szCs w:val="21"/>
              </w:rPr>
            </w:pPr>
            <w:r>
              <w:t xml:space="preserve">　</w:t>
            </w:r>
          </w:p>
        </w:tc>
      </w:tr>
      <w:tr w:rsidR="00E57DAA" w14:paraId="1DD498D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A37106C" w14:textId="77777777" w:rsidR="00E57DAA" w:rsidRDefault="00AC4185">
            <w:pPr>
              <w:rPr>
                <w:szCs w:val="21"/>
              </w:rPr>
            </w:pPr>
            <w:r>
              <w:t>新疆凯盛建材设计研究院（有限公司）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D7DDC1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0707A68" w14:textId="77777777" w:rsidR="00E57DAA" w:rsidRDefault="00AC4185">
            <w:pPr>
              <w:jc w:val="right"/>
              <w:rPr>
                <w:szCs w:val="21"/>
              </w:rPr>
            </w:pPr>
            <w:r>
              <w:t>2,807,897.82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6148F91" w14:textId="77777777" w:rsidR="00E57DAA" w:rsidRDefault="00AC4185">
            <w:pPr>
              <w:jc w:val="right"/>
              <w:rPr>
                <w:szCs w:val="21"/>
              </w:rPr>
            </w:pPr>
            <w:r>
              <w:t>8,251,104.60</w:t>
            </w:r>
          </w:p>
        </w:tc>
      </w:tr>
      <w:tr w:rsidR="00E57DAA" w14:paraId="02A0B99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FF7A6BF" w14:textId="77777777" w:rsidR="00E57DAA" w:rsidRDefault="00AC4185">
            <w:pPr>
              <w:rPr>
                <w:szCs w:val="21"/>
              </w:rPr>
            </w:pPr>
            <w:r>
              <w:t>扬州中科半导体照明有限公司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AC4F442"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0DB6004" w14:textId="77777777" w:rsidR="00E57DAA" w:rsidRDefault="00AC4185">
            <w:pPr>
              <w:jc w:val="right"/>
              <w:rPr>
                <w:szCs w:val="21"/>
              </w:rPr>
            </w:pPr>
            <w:r>
              <w:t>2,525,428.31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AFF63B4" w14:textId="77777777" w:rsidR="00E57DAA" w:rsidRDefault="00AC4185">
            <w:pPr>
              <w:jc w:val="right"/>
              <w:rPr>
                <w:szCs w:val="21"/>
              </w:rPr>
            </w:pPr>
            <w:r>
              <w:t>2,877,285.84</w:t>
            </w:r>
          </w:p>
        </w:tc>
      </w:tr>
      <w:tr w:rsidR="00E57DAA" w14:paraId="459778D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AFCE7D0" w14:textId="77777777" w:rsidR="00E57DAA" w:rsidRDefault="00AC4185">
            <w:pPr>
              <w:rPr>
                <w:szCs w:val="21"/>
              </w:rPr>
            </w:pPr>
            <w:r>
              <w:t>中建材（浙江）勘测设计有限公司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356107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7C2D0BE" w14:textId="77777777" w:rsidR="00E57DAA" w:rsidRDefault="00AC4185">
            <w:pPr>
              <w:jc w:val="right"/>
              <w:rPr>
                <w:szCs w:val="21"/>
              </w:rPr>
            </w:pPr>
            <w:r>
              <w:t>230,420.34</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7CEDA3F" w14:textId="77777777" w:rsidR="00E57DAA" w:rsidRDefault="00AC4185">
            <w:pPr>
              <w:jc w:val="right"/>
              <w:rPr>
                <w:szCs w:val="21"/>
              </w:rPr>
            </w:pPr>
            <w:r>
              <w:t xml:space="preserve">　</w:t>
            </w:r>
          </w:p>
        </w:tc>
      </w:tr>
      <w:tr w:rsidR="00E57DAA" w14:paraId="55D96E1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F0343F7" w14:textId="77777777" w:rsidR="00E57DAA" w:rsidRDefault="00AC4185">
            <w:pPr>
              <w:rPr>
                <w:szCs w:val="21"/>
              </w:rPr>
            </w:pPr>
            <w:r>
              <w:t>郑州瑞泰耐火科技有限公司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B534A9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561B0B0" w14:textId="77777777" w:rsidR="00E57DAA" w:rsidRDefault="00AC4185">
            <w:pPr>
              <w:jc w:val="right"/>
              <w:rPr>
                <w:szCs w:val="21"/>
              </w:rPr>
            </w:pPr>
            <w:r>
              <w:t>5,018,179.99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FC4395C" w14:textId="77777777" w:rsidR="00E57DAA" w:rsidRDefault="00AC4185">
            <w:pPr>
              <w:jc w:val="right"/>
              <w:rPr>
                <w:szCs w:val="21"/>
              </w:rPr>
            </w:pPr>
            <w:r>
              <w:t>12,685,756.64</w:t>
            </w:r>
          </w:p>
        </w:tc>
      </w:tr>
      <w:tr w:rsidR="00E57DAA" w14:paraId="4E6D9B8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1604E88" w14:textId="77777777" w:rsidR="00E57DAA" w:rsidRDefault="00AC4185">
            <w:pPr>
              <w:rPr>
                <w:szCs w:val="21"/>
              </w:rPr>
            </w:pPr>
            <w:r>
              <w:t>中材地质工程勘查研究院有限公司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6B16E68"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FE54BB2" w14:textId="77777777" w:rsidR="00E57DAA" w:rsidRDefault="00AC4185">
            <w:pPr>
              <w:jc w:val="right"/>
              <w:rPr>
                <w:szCs w:val="21"/>
              </w:rPr>
            </w:pPr>
            <w:r>
              <w:t>42,452.83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A95C32F" w14:textId="77777777" w:rsidR="00E57DAA" w:rsidRDefault="00AC4185">
            <w:pPr>
              <w:jc w:val="right"/>
              <w:rPr>
                <w:szCs w:val="21"/>
              </w:rPr>
            </w:pPr>
            <w:r>
              <w:t xml:space="preserve">　</w:t>
            </w:r>
          </w:p>
        </w:tc>
      </w:tr>
      <w:tr w:rsidR="00E57DAA" w14:paraId="056DDD0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DF5098C" w14:textId="77777777" w:rsidR="00E57DAA" w:rsidRDefault="00AC4185">
            <w:pPr>
              <w:rPr>
                <w:szCs w:val="21"/>
              </w:rPr>
            </w:pPr>
            <w:r>
              <w:t>中材高新材料股份有限公司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C7C28D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2375F93" w14:textId="77777777" w:rsidR="00E57DAA" w:rsidRDefault="00AC4185">
            <w:pPr>
              <w:jc w:val="right"/>
              <w:rPr>
                <w:szCs w:val="21"/>
              </w:rPr>
            </w:pPr>
            <w:r>
              <w:t>358,123.90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15A6F56" w14:textId="77777777" w:rsidR="00E57DAA" w:rsidRDefault="00AC4185">
            <w:pPr>
              <w:jc w:val="right"/>
              <w:rPr>
                <w:szCs w:val="21"/>
              </w:rPr>
            </w:pPr>
            <w:r>
              <w:t>147,069.18</w:t>
            </w:r>
          </w:p>
        </w:tc>
      </w:tr>
      <w:tr w:rsidR="00E57DAA" w14:paraId="57D19C5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2C63F5F" w14:textId="77777777" w:rsidR="00E57DAA" w:rsidRDefault="00AC4185">
            <w:pPr>
              <w:rPr>
                <w:szCs w:val="21"/>
              </w:rPr>
            </w:pPr>
            <w:r>
              <w:t>中材集团科技开发中心有限公司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A7A0A51"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6EAA81B"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33FF61D" w14:textId="77777777" w:rsidR="00E57DAA" w:rsidRDefault="00AC4185">
            <w:pPr>
              <w:jc w:val="right"/>
              <w:rPr>
                <w:szCs w:val="21"/>
              </w:rPr>
            </w:pPr>
            <w:r>
              <w:t>19,801.98</w:t>
            </w:r>
          </w:p>
        </w:tc>
      </w:tr>
      <w:tr w:rsidR="00E57DAA" w14:paraId="518EEEE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F686FDB" w14:textId="77777777" w:rsidR="00E57DAA" w:rsidRDefault="00AC4185">
            <w:pPr>
              <w:rPr>
                <w:szCs w:val="21"/>
              </w:rPr>
            </w:pPr>
            <w:r>
              <w:t>中材江西电瓷电气有限公司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0497F6C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4E22DEB" w14:textId="77777777" w:rsidR="00E57DAA" w:rsidRDefault="00AC4185">
            <w:pPr>
              <w:jc w:val="right"/>
              <w:rPr>
                <w:szCs w:val="21"/>
              </w:rPr>
            </w:pPr>
            <w:r>
              <w:t>2,654.87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408681E" w14:textId="77777777" w:rsidR="00E57DAA" w:rsidRDefault="00AC4185">
            <w:pPr>
              <w:jc w:val="right"/>
              <w:rPr>
                <w:szCs w:val="21"/>
              </w:rPr>
            </w:pPr>
            <w:r>
              <w:t xml:space="preserve">　</w:t>
            </w:r>
          </w:p>
        </w:tc>
      </w:tr>
      <w:tr w:rsidR="00E57DAA" w14:paraId="26BA4332"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3703A55" w14:textId="77777777" w:rsidR="00E57DAA" w:rsidRDefault="00AC4185">
            <w:pPr>
              <w:rPr>
                <w:szCs w:val="21"/>
              </w:rPr>
            </w:pPr>
            <w:r>
              <w:t>中材节能股份有限公司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37AB8FA"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6173075" w14:textId="77777777" w:rsidR="00E57DAA" w:rsidRDefault="00AC4185">
            <w:pPr>
              <w:jc w:val="right"/>
              <w:rPr>
                <w:szCs w:val="21"/>
              </w:rPr>
            </w:pPr>
            <w:r>
              <w:t>165,430,667.88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2AA9F9E" w14:textId="77777777" w:rsidR="00E57DAA" w:rsidRDefault="00AC4185">
            <w:pPr>
              <w:jc w:val="right"/>
              <w:rPr>
                <w:szCs w:val="21"/>
              </w:rPr>
            </w:pPr>
            <w:r>
              <w:t>56,484,057.98</w:t>
            </w:r>
          </w:p>
        </w:tc>
      </w:tr>
      <w:tr w:rsidR="00E57DAA" w14:paraId="6340EA5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2B0A3FD" w14:textId="77777777" w:rsidR="00E57DAA" w:rsidRDefault="00AC4185">
            <w:pPr>
              <w:rPr>
                <w:szCs w:val="21"/>
              </w:rPr>
            </w:pPr>
            <w:r>
              <w:t>中材新材料装备科技（天津）有限公司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D8FFE0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811E3BA" w14:textId="77777777" w:rsidR="00E57DAA" w:rsidRDefault="00AC4185">
            <w:pPr>
              <w:jc w:val="right"/>
              <w:rPr>
                <w:szCs w:val="21"/>
              </w:rPr>
            </w:pPr>
            <w:r>
              <w:t>8,495.58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15A60D0" w14:textId="77777777" w:rsidR="00E57DAA" w:rsidRDefault="00AC4185">
            <w:pPr>
              <w:jc w:val="right"/>
              <w:rPr>
                <w:szCs w:val="21"/>
              </w:rPr>
            </w:pPr>
            <w:r>
              <w:t xml:space="preserve">　</w:t>
            </w:r>
          </w:p>
        </w:tc>
      </w:tr>
      <w:tr w:rsidR="00E57DAA" w14:paraId="2647393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C6B298E" w14:textId="77777777" w:rsidR="00E57DAA" w:rsidRDefault="00AC4185">
            <w:pPr>
              <w:rPr>
                <w:szCs w:val="21"/>
              </w:rPr>
            </w:pPr>
            <w:r>
              <w:lastRenderedPageBreak/>
              <w:t>中国国检测试控股集团股份有限公司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6260287"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B3BDBFF" w14:textId="77777777" w:rsidR="00E57DAA" w:rsidRDefault="00AC4185">
            <w:pPr>
              <w:jc w:val="right"/>
              <w:rPr>
                <w:szCs w:val="21"/>
              </w:rPr>
            </w:pPr>
            <w:r>
              <w:t>68,793.52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2738F25" w14:textId="77777777" w:rsidR="00E57DAA" w:rsidRDefault="00AC4185">
            <w:pPr>
              <w:jc w:val="right"/>
              <w:rPr>
                <w:szCs w:val="21"/>
              </w:rPr>
            </w:pPr>
            <w:r>
              <w:t>491,972.48</w:t>
            </w:r>
          </w:p>
        </w:tc>
      </w:tr>
      <w:tr w:rsidR="00E57DAA" w14:paraId="11EB47B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569A981" w14:textId="77777777" w:rsidR="00E57DAA" w:rsidRDefault="00AC4185">
            <w:pPr>
              <w:rPr>
                <w:szCs w:val="21"/>
              </w:rPr>
            </w:pPr>
            <w:r>
              <w:t>中国建材检验认证集团安徽有限公司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19873C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09EA928" w14:textId="77777777" w:rsidR="00E57DAA" w:rsidRDefault="00AC4185">
            <w:pPr>
              <w:jc w:val="right"/>
              <w:rPr>
                <w:szCs w:val="21"/>
              </w:rPr>
            </w:pPr>
            <w:r>
              <w:t>295,877.38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1CC33C9" w14:textId="77777777" w:rsidR="00E57DAA" w:rsidRDefault="00AC4185">
            <w:pPr>
              <w:jc w:val="right"/>
              <w:rPr>
                <w:szCs w:val="21"/>
              </w:rPr>
            </w:pPr>
            <w:r>
              <w:t>350,623.53</w:t>
            </w:r>
          </w:p>
        </w:tc>
      </w:tr>
      <w:tr w:rsidR="00E57DAA" w14:paraId="4B21510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A2BED77" w14:textId="77777777" w:rsidR="00E57DAA" w:rsidRDefault="00AC4185">
            <w:pPr>
              <w:rPr>
                <w:szCs w:val="21"/>
              </w:rPr>
            </w:pPr>
            <w:r>
              <w:t>中国建筑材料工业地质勘查中心安徽总队</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241A381"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B2A6B53"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564125C" w14:textId="77777777" w:rsidR="00E57DAA" w:rsidRDefault="00AC4185">
            <w:pPr>
              <w:jc w:val="right"/>
              <w:rPr>
                <w:szCs w:val="21"/>
              </w:rPr>
            </w:pPr>
            <w:r>
              <w:t>264,601.77</w:t>
            </w:r>
          </w:p>
        </w:tc>
      </w:tr>
      <w:tr w:rsidR="00E57DAA" w14:paraId="7564BA6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82D5752" w14:textId="77777777" w:rsidR="00E57DAA" w:rsidRDefault="00AC4185">
            <w:pPr>
              <w:rPr>
                <w:szCs w:val="21"/>
              </w:rPr>
            </w:pPr>
            <w:r>
              <w:t>中国建筑材料工业地质勘查中心福建总队</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E7BDB5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099E6A1" w14:textId="77777777" w:rsidR="00E57DAA" w:rsidRDefault="00AC4185">
            <w:pPr>
              <w:jc w:val="right"/>
              <w:rPr>
                <w:szCs w:val="21"/>
              </w:rPr>
            </w:pPr>
            <w:r>
              <w:t>273,584.90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B318269" w14:textId="77777777" w:rsidR="00E57DAA" w:rsidRDefault="00AC4185">
            <w:pPr>
              <w:jc w:val="right"/>
              <w:rPr>
                <w:szCs w:val="21"/>
              </w:rPr>
            </w:pPr>
            <w:r>
              <w:t xml:space="preserve">　</w:t>
            </w:r>
          </w:p>
        </w:tc>
      </w:tr>
      <w:tr w:rsidR="00E57DAA" w14:paraId="0148AC6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44FED77" w14:textId="77777777" w:rsidR="00E57DAA" w:rsidRDefault="00AC4185">
            <w:pPr>
              <w:rPr>
                <w:szCs w:val="21"/>
              </w:rPr>
            </w:pPr>
            <w:r>
              <w:t>中国建筑材料工业地质勘查中心江苏总队</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955C55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A81B0DD" w14:textId="77777777" w:rsidR="00E57DAA" w:rsidRDefault="00AC4185">
            <w:pPr>
              <w:jc w:val="right"/>
              <w:rPr>
                <w:szCs w:val="21"/>
              </w:rPr>
            </w:pPr>
            <w:r>
              <w:t>471,698.11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C6B0919" w14:textId="77777777" w:rsidR="00E57DAA" w:rsidRDefault="00AC4185">
            <w:pPr>
              <w:jc w:val="right"/>
              <w:rPr>
                <w:szCs w:val="21"/>
              </w:rPr>
            </w:pPr>
            <w:r>
              <w:t xml:space="preserve">　</w:t>
            </w:r>
          </w:p>
        </w:tc>
      </w:tr>
      <w:tr w:rsidR="00E57DAA" w14:paraId="4B3D409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C0A6DE4" w14:textId="77777777" w:rsidR="00E57DAA" w:rsidRDefault="00AC4185">
            <w:pPr>
              <w:rPr>
                <w:szCs w:val="21"/>
              </w:rPr>
            </w:pPr>
            <w:r>
              <w:t>中国建筑材料工业地质勘查中心山东总队</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7269D7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F72E6A5" w14:textId="77777777" w:rsidR="00E57DAA" w:rsidRDefault="00AC4185">
            <w:pPr>
              <w:jc w:val="right"/>
              <w:rPr>
                <w:szCs w:val="21"/>
              </w:rPr>
            </w:pPr>
            <w:r>
              <w:t>208,301.89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60725AD" w14:textId="77777777" w:rsidR="00E57DAA" w:rsidRDefault="00AC4185">
            <w:pPr>
              <w:jc w:val="right"/>
              <w:rPr>
                <w:szCs w:val="21"/>
              </w:rPr>
            </w:pPr>
            <w:r>
              <w:t>47,169.81</w:t>
            </w:r>
          </w:p>
        </w:tc>
      </w:tr>
      <w:tr w:rsidR="00E57DAA" w14:paraId="2B16DCC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7E43D39" w14:textId="77777777" w:rsidR="00E57DAA" w:rsidRDefault="00AC4185">
            <w:pPr>
              <w:rPr>
                <w:szCs w:val="21"/>
              </w:rPr>
            </w:pPr>
            <w:r>
              <w:t>中国建筑材料工业地质勘查中心新疆总队</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A0D6F0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06A1A2B" w14:textId="77777777" w:rsidR="00E57DAA" w:rsidRDefault="00AC4185">
            <w:pPr>
              <w:jc w:val="right"/>
              <w:rPr>
                <w:szCs w:val="21"/>
              </w:rPr>
            </w:pPr>
            <w:r>
              <w:t>43,396.23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17AB24D" w14:textId="77777777" w:rsidR="00E57DAA" w:rsidRDefault="00AC4185">
            <w:pPr>
              <w:jc w:val="right"/>
              <w:rPr>
                <w:szCs w:val="21"/>
              </w:rPr>
            </w:pPr>
            <w:r>
              <w:t>9,433.96</w:t>
            </w:r>
          </w:p>
        </w:tc>
      </w:tr>
      <w:tr w:rsidR="00E57DAA" w14:paraId="6DF991C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721CAD1" w14:textId="77777777" w:rsidR="00E57DAA" w:rsidRDefault="00AC4185">
            <w:pPr>
              <w:rPr>
                <w:szCs w:val="21"/>
              </w:rPr>
            </w:pPr>
            <w:r>
              <w:t>中国建筑材料科学研究总院有限公司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66E70B1"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5E61C0D" w14:textId="77777777" w:rsidR="00E57DAA" w:rsidRDefault="00AC4185">
            <w:pPr>
              <w:jc w:val="right"/>
              <w:rPr>
                <w:szCs w:val="21"/>
              </w:rPr>
            </w:pPr>
            <w:r>
              <w:t>16,981.13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7CF1230" w14:textId="77777777" w:rsidR="00E57DAA" w:rsidRDefault="00AC4185">
            <w:pPr>
              <w:jc w:val="right"/>
              <w:rPr>
                <w:szCs w:val="21"/>
              </w:rPr>
            </w:pPr>
            <w:r>
              <w:t xml:space="preserve">　</w:t>
            </w:r>
          </w:p>
        </w:tc>
      </w:tr>
      <w:tr w:rsidR="00E57DAA" w14:paraId="2CD9131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A597C8C" w14:textId="77777777" w:rsidR="00E57DAA" w:rsidRDefault="00AC4185">
            <w:pPr>
              <w:rPr>
                <w:szCs w:val="21"/>
              </w:rPr>
            </w:pPr>
            <w:r>
              <w:t>中国新型建材设计研究院有限公司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60BBBD5"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B31C454"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F459E5B" w14:textId="77777777" w:rsidR="00E57DAA" w:rsidRDefault="00AC4185">
            <w:pPr>
              <w:jc w:val="right"/>
              <w:rPr>
                <w:szCs w:val="21"/>
              </w:rPr>
            </w:pPr>
            <w:r>
              <w:t>283,018.87</w:t>
            </w:r>
          </w:p>
        </w:tc>
      </w:tr>
      <w:tr w:rsidR="00E57DAA" w14:paraId="2D398763"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EBDB039" w14:textId="77777777" w:rsidR="00E57DAA" w:rsidRDefault="00AC4185">
            <w:pPr>
              <w:rPr>
                <w:szCs w:val="21"/>
              </w:rPr>
            </w:pPr>
            <w:r>
              <w:t>中建材玻璃新材料研究院集团有限公司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E1E38E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879A041" w14:textId="77777777" w:rsidR="00E57DAA" w:rsidRDefault="00AC4185">
            <w:pPr>
              <w:jc w:val="right"/>
              <w:rPr>
                <w:szCs w:val="21"/>
              </w:rPr>
            </w:pPr>
            <w:r>
              <w:t>84,905.66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D05A938" w14:textId="77777777" w:rsidR="00E57DAA" w:rsidRDefault="00AC4185">
            <w:pPr>
              <w:jc w:val="right"/>
              <w:rPr>
                <w:szCs w:val="21"/>
              </w:rPr>
            </w:pPr>
            <w:r>
              <w:t xml:space="preserve">　</w:t>
            </w:r>
          </w:p>
        </w:tc>
      </w:tr>
      <w:tr w:rsidR="00E57DAA" w14:paraId="7C4D953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30BA3BB" w14:textId="77777777" w:rsidR="00E57DAA" w:rsidRDefault="00AC4185">
            <w:pPr>
              <w:rPr>
                <w:szCs w:val="21"/>
              </w:rPr>
            </w:pPr>
            <w:r>
              <w:t>中建材大宗物联有限公司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094EA57"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EEE84B"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752532D" w14:textId="77777777" w:rsidR="00E57DAA" w:rsidRDefault="00AC4185">
            <w:pPr>
              <w:jc w:val="right"/>
              <w:rPr>
                <w:szCs w:val="21"/>
              </w:rPr>
            </w:pPr>
            <w:r>
              <w:t>8,896,939.83</w:t>
            </w:r>
          </w:p>
        </w:tc>
      </w:tr>
      <w:tr w:rsidR="00E57DAA" w14:paraId="5343793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762AE88" w14:textId="77777777" w:rsidR="00E57DAA" w:rsidRDefault="00AC4185">
            <w:pPr>
              <w:rPr>
                <w:szCs w:val="21"/>
              </w:rPr>
            </w:pPr>
            <w:r>
              <w:t>中建材国际装备有限公司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FCE76F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EB5C5BB" w14:textId="77777777" w:rsidR="00E57DAA" w:rsidRDefault="00AC4185">
            <w:pPr>
              <w:jc w:val="right"/>
              <w:rPr>
                <w:szCs w:val="21"/>
              </w:rPr>
            </w:pPr>
            <w:r>
              <w:t>123,726.41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E6F6A08" w14:textId="77777777" w:rsidR="00E57DAA" w:rsidRDefault="00AC4185">
            <w:pPr>
              <w:jc w:val="right"/>
              <w:rPr>
                <w:szCs w:val="21"/>
              </w:rPr>
            </w:pPr>
            <w:r>
              <w:t xml:space="preserve">　</w:t>
            </w:r>
          </w:p>
        </w:tc>
      </w:tr>
      <w:tr w:rsidR="00E57DAA" w14:paraId="69E85DA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E8F0C2C" w14:textId="77777777" w:rsidR="00E57DAA" w:rsidRDefault="00AC4185">
            <w:pPr>
              <w:rPr>
                <w:szCs w:val="21"/>
              </w:rPr>
            </w:pPr>
            <w:r>
              <w:t>中建材矿业投资江苏有限公司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0D2ED38"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6E35323" w14:textId="77777777" w:rsidR="00E57DAA" w:rsidRDefault="00AC4185">
            <w:pPr>
              <w:jc w:val="right"/>
              <w:rPr>
                <w:szCs w:val="21"/>
              </w:rPr>
            </w:pPr>
            <w:r>
              <w:t>42,873,544.39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9F93EBA" w14:textId="77777777" w:rsidR="00E57DAA" w:rsidRDefault="00AC4185">
            <w:pPr>
              <w:jc w:val="right"/>
              <w:rPr>
                <w:szCs w:val="21"/>
              </w:rPr>
            </w:pPr>
            <w:r>
              <w:t>8,122,938.19</w:t>
            </w:r>
          </w:p>
        </w:tc>
      </w:tr>
      <w:tr w:rsidR="00E57DAA" w14:paraId="025032C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25EBCA6" w14:textId="77777777" w:rsidR="00E57DAA" w:rsidRDefault="00AC4185">
            <w:pPr>
              <w:rPr>
                <w:szCs w:val="21"/>
              </w:rPr>
            </w:pPr>
            <w:r>
              <w:t>中建材信息技术股份有限公司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777D70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B807C76" w14:textId="77777777" w:rsidR="00E57DAA" w:rsidRDefault="00AC4185">
            <w:pPr>
              <w:jc w:val="right"/>
              <w:rPr>
                <w:szCs w:val="21"/>
              </w:rPr>
            </w:pPr>
            <w:r>
              <w:t>2,405,660.37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B3383B2" w14:textId="77777777" w:rsidR="00E57DAA" w:rsidRDefault="00AC4185">
            <w:pPr>
              <w:jc w:val="right"/>
              <w:rPr>
                <w:szCs w:val="21"/>
              </w:rPr>
            </w:pPr>
            <w:r>
              <w:t>814,513.28</w:t>
            </w:r>
          </w:p>
        </w:tc>
      </w:tr>
      <w:tr w:rsidR="00E57DAA" w14:paraId="3C640EB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9B90AE1" w14:textId="77777777" w:rsidR="00E57DAA" w:rsidRDefault="00AC4185">
            <w:pPr>
              <w:rPr>
                <w:szCs w:val="21"/>
              </w:rPr>
            </w:pPr>
            <w:r>
              <w:t>中建材信云智联科技有限公司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AE34CF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D0D1199" w14:textId="77777777" w:rsidR="00E57DAA" w:rsidRDefault="00AC4185">
            <w:pPr>
              <w:jc w:val="right"/>
              <w:rPr>
                <w:szCs w:val="21"/>
              </w:rPr>
            </w:pPr>
            <w:r>
              <w:t>814,159.29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969014F" w14:textId="77777777" w:rsidR="00E57DAA" w:rsidRDefault="00AC4185">
            <w:pPr>
              <w:jc w:val="right"/>
              <w:rPr>
                <w:szCs w:val="21"/>
              </w:rPr>
            </w:pPr>
            <w:r>
              <w:t xml:space="preserve">　</w:t>
            </w:r>
          </w:p>
        </w:tc>
      </w:tr>
      <w:tr w:rsidR="00E57DAA" w14:paraId="041E0445"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659636BC" w14:textId="77777777" w:rsidR="00E57DAA" w:rsidRDefault="00AC4185">
            <w:pPr>
              <w:rPr>
                <w:szCs w:val="21"/>
              </w:rPr>
            </w:pPr>
            <w:r>
              <w:t>中建材行业生产力促进中心有限公司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EBEAE7A"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438528B"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FC35843" w14:textId="77777777" w:rsidR="00E57DAA" w:rsidRDefault="00AC4185">
            <w:pPr>
              <w:jc w:val="right"/>
              <w:rPr>
                <w:szCs w:val="21"/>
              </w:rPr>
            </w:pPr>
            <w:r>
              <w:t>36,445,377.86</w:t>
            </w:r>
          </w:p>
        </w:tc>
      </w:tr>
      <w:tr w:rsidR="00E57DAA" w14:paraId="4AEE1546"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E967D59" w14:textId="77777777" w:rsidR="00E57DAA" w:rsidRDefault="00AC4185">
            <w:pPr>
              <w:rPr>
                <w:szCs w:val="21"/>
              </w:rPr>
            </w:pPr>
            <w:r>
              <w:t>中建材岩土工程江苏有限公司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E536E3D"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1B8E8C3" w14:textId="77777777" w:rsidR="00E57DAA" w:rsidRDefault="00AC4185">
            <w:pPr>
              <w:jc w:val="right"/>
              <w:rPr>
                <w:szCs w:val="21"/>
              </w:rPr>
            </w:pPr>
            <w:r>
              <w:t>1,539,707.55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DC64912" w14:textId="77777777" w:rsidR="00E57DAA" w:rsidRDefault="00AC4185">
            <w:pPr>
              <w:jc w:val="right"/>
              <w:rPr>
                <w:szCs w:val="21"/>
              </w:rPr>
            </w:pPr>
            <w:r>
              <w:t>12,844.04</w:t>
            </w:r>
          </w:p>
        </w:tc>
      </w:tr>
      <w:tr w:rsidR="00E57DAA" w14:paraId="3638DEF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AB30130" w14:textId="77777777" w:rsidR="00E57DAA" w:rsidRDefault="00AC4185">
            <w:pPr>
              <w:rPr>
                <w:szCs w:val="21"/>
              </w:rPr>
            </w:pPr>
            <w:r>
              <w:t>中建材中岩科技有限公司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041515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4DAA50A" w14:textId="77777777" w:rsidR="00E57DAA" w:rsidRDefault="00AC4185">
            <w:pPr>
              <w:jc w:val="right"/>
              <w:rPr>
                <w:szCs w:val="21"/>
              </w:rPr>
            </w:pPr>
            <w:r>
              <w:t>1,369,331.43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62FA4513" w14:textId="77777777" w:rsidR="00E57DAA" w:rsidRDefault="00AC4185">
            <w:pPr>
              <w:jc w:val="right"/>
              <w:rPr>
                <w:szCs w:val="21"/>
              </w:rPr>
            </w:pPr>
            <w:r>
              <w:t>3,644,124.03</w:t>
            </w:r>
          </w:p>
        </w:tc>
      </w:tr>
      <w:tr w:rsidR="00E57DAA" w14:paraId="31D072D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ECD92C0" w14:textId="77777777" w:rsidR="00E57DAA" w:rsidRDefault="00AC4185">
            <w:pPr>
              <w:rPr>
                <w:szCs w:val="21"/>
              </w:rPr>
            </w:pPr>
            <w:r>
              <w:t>中建材中研益科技有限公司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6F83A95D"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90537EB" w14:textId="77777777" w:rsidR="00E57DAA" w:rsidRDefault="00AC4185">
            <w:pPr>
              <w:jc w:val="right"/>
              <w:rPr>
                <w:szCs w:val="21"/>
              </w:rPr>
            </w:pPr>
            <w:r>
              <w:t>3,679,031.56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83EF1D6" w14:textId="77777777" w:rsidR="00E57DAA" w:rsidRDefault="00AC4185">
            <w:pPr>
              <w:jc w:val="right"/>
              <w:rPr>
                <w:szCs w:val="21"/>
              </w:rPr>
            </w:pPr>
            <w:r>
              <w:t>297,345.13</w:t>
            </w:r>
          </w:p>
        </w:tc>
      </w:tr>
      <w:tr w:rsidR="00E57DAA" w14:paraId="176CE32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4D167C3" w14:textId="77777777" w:rsidR="00E57DAA" w:rsidRDefault="00AC4185">
            <w:pPr>
              <w:rPr>
                <w:szCs w:val="21"/>
              </w:rPr>
            </w:pPr>
            <w:r>
              <w:t>其他关联方</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0866149" w14:textId="77777777" w:rsidR="00E57DAA" w:rsidRDefault="00AC4185">
            <w:pPr>
              <w:rPr>
                <w:szCs w:val="21"/>
              </w:rPr>
            </w:pPr>
            <w:r>
              <w:t>——</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E4EDEE7" w14:textId="77777777" w:rsidR="00E57DAA" w:rsidRDefault="00AC4185">
            <w:pPr>
              <w:jc w:val="right"/>
              <w:rPr>
                <w:szCs w:val="21"/>
              </w:rPr>
            </w:pPr>
            <w:r>
              <w:t>——</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2C9EBEF" w14:textId="77777777" w:rsidR="00E57DAA" w:rsidRDefault="00AC4185">
            <w:pPr>
              <w:jc w:val="right"/>
              <w:rPr>
                <w:szCs w:val="21"/>
              </w:rPr>
            </w:pPr>
            <w:r>
              <w:t>——</w:t>
            </w:r>
          </w:p>
        </w:tc>
      </w:tr>
      <w:tr w:rsidR="00E57DAA" w14:paraId="732497B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75312E8" w14:textId="77777777" w:rsidR="00E57DAA" w:rsidRDefault="00AC4185">
            <w:pPr>
              <w:rPr>
                <w:szCs w:val="21"/>
              </w:rPr>
            </w:pPr>
            <w:r>
              <w:t>安徽珍珠水泥集团股份有限公司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909208D"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E32ABFF" w14:textId="77777777" w:rsidR="00E57DAA" w:rsidRDefault="00AC4185">
            <w:pPr>
              <w:jc w:val="right"/>
              <w:rPr>
                <w:szCs w:val="21"/>
              </w:rPr>
            </w:pPr>
            <w:r>
              <w:t>584,099.73</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8FD2943" w14:textId="77777777" w:rsidR="00E57DAA" w:rsidRDefault="00AC4185">
            <w:pPr>
              <w:jc w:val="right"/>
              <w:rPr>
                <w:szCs w:val="21"/>
              </w:rPr>
            </w:pPr>
            <w:r>
              <w:t xml:space="preserve">　</w:t>
            </w:r>
          </w:p>
        </w:tc>
      </w:tr>
      <w:tr w:rsidR="00E57DAA" w14:paraId="44601EB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DDD90BD" w14:textId="77777777" w:rsidR="00E57DAA" w:rsidRDefault="00AC4185">
            <w:pPr>
              <w:rPr>
                <w:szCs w:val="21"/>
              </w:rPr>
            </w:pPr>
            <w:r>
              <w:t>安丘山水水泥有限公司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806784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B42136A" w14:textId="77777777" w:rsidR="00E57DAA" w:rsidRDefault="00AC4185">
            <w:pPr>
              <w:jc w:val="right"/>
              <w:rPr>
                <w:szCs w:val="21"/>
              </w:rPr>
            </w:pPr>
            <w:r>
              <w:t>166,826.82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0EFA37F" w14:textId="77777777" w:rsidR="00E57DAA" w:rsidRDefault="00AC4185">
            <w:pPr>
              <w:jc w:val="right"/>
              <w:rPr>
                <w:szCs w:val="21"/>
              </w:rPr>
            </w:pPr>
            <w:r>
              <w:t>50,007.09</w:t>
            </w:r>
          </w:p>
        </w:tc>
      </w:tr>
      <w:tr w:rsidR="00E57DAA" w14:paraId="7758CC3E"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6885689" w14:textId="77777777" w:rsidR="00E57DAA" w:rsidRDefault="00AC4185">
            <w:pPr>
              <w:rPr>
                <w:szCs w:val="21"/>
              </w:rPr>
            </w:pPr>
            <w:r>
              <w:t>北京中水协网信息咨询有限公司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76C94BF" w14:textId="77777777" w:rsidR="00E57DAA" w:rsidRDefault="00AC4185">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B932819" w14:textId="77777777" w:rsidR="00E57DAA" w:rsidRDefault="00AC4185">
            <w:pPr>
              <w:jc w:val="right"/>
              <w:rPr>
                <w:szCs w:val="21"/>
              </w:rPr>
            </w:pPr>
            <w:r>
              <w:t>94,339.62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7761037" w14:textId="77777777" w:rsidR="00E57DAA" w:rsidRDefault="00AC4185">
            <w:pPr>
              <w:jc w:val="right"/>
              <w:rPr>
                <w:szCs w:val="21"/>
              </w:rPr>
            </w:pPr>
            <w:r>
              <w:t>159,292.04</w:t>
            </w:r>
          </w:p>
        </w:tc>
      </w:tr>
      <w:tr w:rsidR="00E57DAA" w14:paraId="7B3D3D4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4A0648E" w14:textId="77777777" w:rsidR="00E57DAA" w:rsidRDefault="00AC4185">
            <w:pPr>
              <w:rPr>
                <w:szCs w:val="21"/>
              </w:rPr>
            </w:pPr>
            <w:r>
              <w:t>赤峰山水远航水泥有限公司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383E632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C6E47D3" w14:textId="77777777" w:rsidR="00E57DAA" w:rsidRDefault="00AC4185">
            <w:pPr>
              <w:jc w:val="right"/>
              <w:rPr>
                <w:szCs w:val="21"/>
              </w:rPr>
            </w:pPr>
            <w:r>
              <w:t>2,629,364.98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DC64B22" w14:textId="77777777" w:rsidR="00E57DAA" w:rsidRDefault="00AC4185">
            <w:pPr>
              <w:jc w:val="right"/>
              <w:rPr>
                <w:szCs w:val="21"/>
              </w:rPr>
            </w:pPr>
            <w:r>
              <w:t xml:space="preserve">　</w:t>
            </w:r>
          </w:p>
        </w:tc>
      </w:tr>
      <w:tr w:rsidR="00E57DAA" w14:paraId="3F53498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763C1A6" w14:textId="77777777" w:rsidR="00E57DAA" w:rsidRDefault="00AC4185">
            <w:pPr>
              <w:rPr>
                <w:szCs w:val="21"/>
              </w:rPr>
            </w:pPr>
            <w:r>
              <w:t>大冶尖峰水泥有限公司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908F1D1"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731CA25" w14:textId="77777777" w:rsidR="00E57DAA" w:rsidRDefault="00AC4185">
            <w:pPr>
              <w:jc w:val="right"/>
              <w:rPr>
                <w:szCs w:val="21"/>
              </w:rPr>
            </w:pPr>
            <w:r>
              <w:t>71,278.97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C24EADF" w14:textId="77777777" w:rsidR="00E57DAA" w:rsidRDefault="00AC4185">
            <w:pPr>
              <w:jc w:val="right"/>
              <w:rPr>
                <w:szCs w:val="21"/>
              </w:rPr>
            </w:pPr>
            <w:r>
              <w:t xml:space="preserve">　</w:t>
            </w:r>
          </w:p>
        </w:tc>
      </w:tr>
      <w:tr w:rsidR="00E57DAA" w14:paraId="4450775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9396635" w14:textId="77777777" w:rsidR="00E57DAA" w:rsidRDefault="00AC4185">
            <w:pPr>
              <w:rPr>
                <w:szCs w:val="21"/>
              </w:rPr>
            </w:pPr>
            <w:r>
              <w:t>登电集团水泥有限公司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A13041A"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691353C" w14:textId="77777777" w:rsidR="00E57DAA" w:rsidRDefault="00AC4185">
            <w:pPr>
              <w:jc w:val="right"/>
              <w:rPr>
                <w:szCs w:val="21"/>
              </w:rPr>
            </w:pPr>
            <w:r>
              <w:t>211.47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BB405D3" w14:textId="77777777" w:rsidR="00E57DAA" w:rsidRDefault="00AC4185">
            <w:pPr>
              <w:jc w:val="right"/>
              <w:rPr>
                <w:szCs w:val="21"/>
              </w:rPr>
            </w:pPr>
            <w:r>
              <w:t xml:space="preserve">　</w:t>
            </w:r>
          </w:p>
        </w:tc>
      </w:tr>
      <w:tr w:rsidR="00E57DAA" w14:paraId="1E6550C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5DFF695F" w14:textId="77777777" w:rsidR="00E57DAA" w:rsidRDefault="00AC4185">
            <w:pPr>
              <w:rPr>
                <w:szCs w:val="21"/>
              </w:rPr>
            </w:pPr>
            <w:r>
              <w:t>凤阳中都水泥有限公司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A7A4BC3"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0B9410C" w14:textId="77777777" w:rsidR="00E57DAA" w:rsidRDefault="00AC4185">
            <w:pPr>
              <w:jc w:val="right"/>
              <w:rPr>
                <w:szCs w:val="21"/>
              </w:rPr>
            </w:pPr>
            <w:r>
              <w:t>256,625.72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E012E98" w14:textId="77777777" w:rsidR="00E57DAA" w:rsidRDefault="00AC4185">
            <w:pPr>
              <w:jc w:val="right"/>
              <w:rPr>
                <w:szCs w:val="21"/>
              </w:rPr>
            </w:pPr>
            <w:r>
              <w:t xml:space="preserve">　</w:t>
            </w:r>
          </w:p>
        </w:tc>
      </w:tr>
      <w:tr w:rsidR="00E57DAA" w14:paraId="26C09DD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FD836FC" w14:textId="77777777" w:rsidR="00E57DAA" w:rsidRDefault="00AC4185">
            <w:pPr>
              <w:rPr>
                <w:szCs w:val="21"/>
              </w:rPr>
            </w:pPr>
            <w:r>
              <w:t>甘肃上峰水泥股份有限公司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4C23BD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A7E55DC" w14:textId="77777777" w:rsidR="00E57DAA" w:rsidRDefault="00AC4185">
            <w:pPr>
              <w:jc w:val="right"/>
              <w:rPr>
                <w:szCs w:val="21"/>
              </w:rPr>
            </w:pPr>
            <w:r>
              <w:t>1,886.80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BB0BFF2" w14:textId="77777777" w:rsidR="00E57DAA" w:rsidRDefault="00AC4185">
            <w:pPr>
              <w:jc w:val="right"/>
              <w:rPr>
                <w:szCs w:val="21"/>
              </w:rPr>
            </w:pPr>
            <w:r>
              <w:t xml:space="preserve">　</w:t>
            </w:r>
          </w:p>
        </w:tc>
      </w:tr>
      <w:tr w:rsidR="00E57DAA" w14:paraId="5B4C4B6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6738B9B" w14:textId="77777777" w:rsidR="00E57DAA" w:rsidRDefault="00AC4185">
            <w:pPr>
              <w:rPr>
                <w:szCs w:val="21"/>
              </w:rPr>
            </w:pPr>
            <w:r>
              <w:t>济南山水物流港有限公司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9BF9EF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743160B" w14:textId="77777777" w:rsidR="00E57DAA" w:rsidRDefault="00AC4185">
            <w:pPr>
              <w:jc w:val="right"/>
              <w:rPr>
                <w:szCs w:val="21"/>
              </w:rPr>
            </w:pPr>
            <w:r>
              <w:t>1,031,960.07</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3B17E6F" w14:textId="77777777" w:rsidR="00E57DAA" w:rsidRDefault="00AC4185">
            <w:pPr>
              <w:jc w:val="right"/>
              <w:rPr>
                <w:szCs w:val="21"/>
              </w:rPr>
            </w:pPr>
            <w:r>
              <w:t xml:space="preserve">　</w:t>
            </w:r>
          </w:p>
        </w:tc>
      </w:tr>
      <w:tr w:rsidR="00E57DAA" w14:paraId="4F3D1340"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8F4A706" w14:textId="77777777" w:rsidR="00E57DAA" w:rsidRDefault="00AC4185">
            <w:pPr>
              <w:rPr>
                <w:szCs w:val="21"/>
              </w:rPr>
            </w:pPr>
            <w:r>
              <w:t>济宁山水水泥有限公司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CB8626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8A3DF5C" w14:textId="77777777" w:rsidR="00E57DAA" w:rsidRDefault="00AC4185">
            <w:pPr>
              <w:jc w:val="right"/>
              <w:rPr>
                <w:szCs w:val="21"/>
              </w:rPr>
            </w:pPr>
            <w:r>
              <w:t>2,899.61</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1BCB373" w14:textId="77777777" w:rsidR="00E57DAA" w:rsidRDefault="00AC4185">
            <w:pPr>
              <w:jc w:val="right"/>
              <w:rPr>
                <w:szCs w:val="21"/>
              </w:rPr>
            </w:pPr>
            <w:r>
              <w:t xml:space="preserve">　</w:t>
            </w:r>
          </w:p>
        </w:tc>
      </w:tr>
      <w:tr w:rsidR="00E57DAA" w14:paraId="5168CFF9"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5185B3C" w14:textId="77777777" w:rsidR="00E57DAA" w:rsidRDefault="00AC4185">
            <w:pPr>
              <w:rPr>
                <w:szCs w:val="21"/>
              </w:rPr>
            </w:pPr>
            <w:r>
              <w:t>江苏中凯新材料有限公司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270F699" w14:textId="77777777" w:rsidR="00E57DAA" w:rsidRDefault="00AC4185">
            <w:pPr>
              <w:rPr>
                <w:szCs w:val="21"/>
              </w:rPr>
            </w:pPr>
            <w:r>
              <w:t>购买商品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2B11158" w14:textId="77777777" w:rsidR="00E57DAA" w:rsidRDefault="00AC4185">
            <w:pPr>
              <w:jc w:val="right"/>
              <w:rPr>
                <w:szCs w:val="21"/>
              </w:rPr>
            </w:pPr>
            <w:r>
              <w:t xml:space="preserve">　</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5DF31490" w14:textId="77777777" w:rsidR="00E57DAA" w:rsidRDefault="00AC4185">
            <w:pPr>
              <w:jc w:val="right"/>
              <w:rPr>
                <w:szCs w:val="21"/>
              </w:rPr>
            </w:pPr>
            <w:r>
              <w:t>421,084.07</w:t>
            </w:r>
          </w:p>
        </w:tc>
      </w:tr>
      <w:tr w:rsidR="00E57DAA" w14:paraId="1D7DD228"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3CFF775F" w14:textId="77777777" w:rsidR="00E57DAA" w:rsidRDefault="00AC4185">
            <w:pPr>
              <w:rPr>
                <w:szCs w:val="21"/>
              </w:rPr>
            </w:pPr>
            <w:r>
              <w:t>辽阳千山水泥有限责任公司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F93514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1A1DB7F" w14:textId="77777777" w:rsidR="00E57DAA" w:rsidRDefault="00AC4185">
            <w:pPr>
              <w:jc w:val="right"/>
              <w:rPr>
                <w:szCs w:val="21"/>
              </w:rPr>
            </w:pPr>
            <w:r>
              <w:t>3,024.49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96E74A5" w14:textId="77777777" w:rsidR="00E57DAA" w:rsidRDefault="00AC4185">
            <w:pPr>
              <w:jc w:val="right"/>
              <w:rPr>
                <w:szCs w:val="21"/>
              </w:rPr>
            </w:pPr>
            <w:r>
              <w:t xml:space="preserve">　</w:t>
            </w:r>
          </w:p>
        </w:tc>
      </w:tr>
      <w:tr w:rsidR="00E57DAA" w14:paraId="1F728354"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EF417E0" w14:textId="77777777" w:rsidR="00E57DAA" w:rsidRDefault="00AC4185">
            <w:pPr>
              <w:rPr>
                <w:szCs w:val="21"/>
              </w:rPr>
            </w:pPr>
            <w:r>
              <w:t>平阴山水建筑材料有限公司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544FA49"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242C3EB" w14:textId="77777777" w:rsidR="00E57DAA" w:rsidRDefault="00AC4185">
            <w:pPr>
              <w:jc w:val="right"/>
              <w:rPr>
                <w:szCs w:val="21"/>
              </w:rPr>
            </w:pPr>
            <w:r>
              <w:t>1,942,467.92</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066302E3" w14:textId="77777777" w:rsidR="00E57DAA" w:rsidRDefault="00AC4185">
            <w:pPr>
              <w:jc w:val="right"/>
              <w:rPr>
                <w:szCs w:val="21"/>
              </w:rPr>
            </w:pPr>
            <w:r>
              <w:t xml:space="preserve">　</w:t>
            </w:r>
          </w:p>
        </w:tc>
      </w:tr>
      <w:tr w:rsidR="00E57DAA" w14:paraId="45770F6A"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724DE39" w14:textId="77777777" w:rsidR="00E57DAA" w:rsidRDefault="00AC4185">
            <w:pPr>
              <w:rPr>
                <w:szCs w:val="21"/>
              </w:rPr>
            </w:pPr>
            <w:r>
              <w:t>平阴山水水泥有限公司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C6DE6BB"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F396C5A" w14:textId="77777777" w:rsidR="00E57DAA" w:rsidRDefault="00AC4185">
            <w:pPr>
              <w:jc w:val="right"/>
              <w:rPr>
                <w:szCs w:val="21"/>
              </w:rPr>
            </w:pPr>
            <w:r>
              <w:t>595,413.66</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28FE790F" w14:textId="77777777" w:rsidR="00E57DAA" w:rsidRDefault="00AC4185">
            <w:pPr>
              <w:jc w:val="right"/>
              <w:rPr>
                <w:szCs w:val="21"/>
              </w:rPr>
            </w:pPr>
            <w:r>
              <w:t>139,315.20</w:t>
            </w:r>
          </w:p>
        </w:tc>
      </w:tr>
      <w:tr w:rsidR="00E57DAA" w14:paraId="595C731C"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03971C9E" w14:textId="77777777" w:rsidR="00E57DAA" w:rsidRDefault="00AC4185">
            <w:pPr>
              <w:rPr>
                <w:szCs w:val="21"/>
              </w:rPr>
            </w:pPr>
            <w:r>
              <w:t>山东国材工程有限公司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57319B56"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5210617" w14:textId="77777777" w:rsidR="00E57DAA" w:rsidRDefault="00AC4185">
            <w:pPr>
              <w:jc w:val="right"/>
              <w:rPr>
                <w:szCs w:val="21"/>
              </w:rPr>
            </w:pPr>
            <w:r>
              <w:t>217,790.25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EF35DA5" w14:textId="77777777" w:rsidR="00E57DAA" w:rsidRDefault="00AC4185">
            <w:pPr>
              <w:jc w:val="right"/>
              <w:rPr>
                <w:szCs w:val="21"/>
              </w:rPr>
            </w:pPr>
            <w:r>
              <w:t xml:space="preserve">　</w:t>
            </w:r>
          </w:p>
        </w:tc>
      </w:tr>
      <w:tr w:rsidR="00E57DAA" w14:paraId="119B73A7"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AB8CFDD" w14:textId="77777777" w:rsidR="00E57DAA" w:rsidRDefault="00AC4185">
            <w:pPr>
              <w:rPr>
                <w:szCs w:val="21"/>
              </w:rPr>
            </w:pPr>
            <w:r>
              <w:t>山东泉兴水泥有限公司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F0B3132"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B6B11D2" w14:textId="77777777" w:rsidR="00E57DAA" w:rsidRDefault="00AC4185">
            <w:pPr>
              <w:jc w:val="right"/>
              <w:rPr>
                <w:szCs w:val="21"/>
              </w:rPr>
            </w:pPr>
            <w:r>
              <w:t>118,982.30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5978A25" w14:textId="77777777" w:rsidR="00E57DAA" w:rsidRDefault="00AC4185">
            <w:pPr>
              <w:jc w:val="right"/>
              <w:rPr>
                <w:szCs w:val="21"/>
              </w:rPr>
            </w:pPr>
            <w:r>
              <w:t xml:space="preserve">　</w:t>
            </w:r>
          </w:p>
        </w:tc>
      </w:tr>
      <w:tr w:rsidR="00E57DAA" w14:paraId="03FE58E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3B088B7" w14:textId="77777777" w:rsidR="00E57DAA" w:rsidRDefault="00AC4185">
            <w:pPr>
              <w:rPr>
                <w:szCs w:val="21"/>
              </w:rPr>
            </w:pPr>
            <w:r>
              <w:lastRenderedPageBreak/>
              <w:t>山东申丰水泥集团有限公司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76798D0C"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0250AE2" w14:textId="77777777" w:rsidR="00E57DAA" w:rsidRDefault="00AC4185">
            <w:pPr>
              <w:jc w:val="right"/>
              <w:rPr>
                <w:szCs w:val="21"/>
              </w:rPr>
            </w:pPr>
            <w:r>
              <w:t>1,782.18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81F4DF4" w14:textId="77777777" w:rsidR="00E57DAA" w:rsidRDefault="00AC4185">
            <w:pPr>
              <w:jc w:val="right"/>
              <w:rPr>
                <w:szCs w:val="21"/>
              </w:rPr>
            </w:pPr>
            <w:r>
              <w:t xml:space="preserve">　</w:t>
            </w:r>
          </w:p>
        </w:tc>
      </w:tr>
      <w:tr w:rsidR="00E57DAA" w14:paraId="59338811"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4FA5E997" w14:textId="77777777" w:rsidR="00E57DAA" w:rsidRDefault="00AC4185">
            <w:pPr>
              <w:rPr>
                <w:szCs w:val="21"/>
              </w:rPr>
            </w:pPr>
            <w:r>
              <w:t>通辽山水工源水泥有限公司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AFF24DE"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936186A" w14:textId="77777777" w:rsidR="00E57DAA" w:rsidRDefault="00AC4185">
            <w:pPr>
              <w:jc w:val="right"/>
              <w:rPr>
                <w:szCs w:val="21"/>
              </w:rPr>
            </w:pPr>
            <w:r>
              <w:t>115.89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4B536416" w14:textId="77777777" w:rsidR="00E57DAA" w:rsidRDefault="00AC4185">
            <w:pPr>
              <w:jc w:val="right"/>
              <w:rPr>
                <w:szCs w:val="21"/>
              </w:rPr>
            </w:pPr>
            <w:r>
              <w:t xml:space="preserve">　</w:t>
            </w:r>
          </w:p>
        </w:tc>
      </w:tr>
      <w:tr w:rsidR="00E57DAA" w14:paraId="5F27D36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28F7D97B" w14:textId="77777777" w:rsidR="00E57DAA" w:rsidRDefault="00AC4185">
            <w:pPr>
              <w:rPr>
                <w:szCs w:val="21"/>
              </w:rPr>
            </w:pPr>
            <w:r>
              <w:t>芜湖南方水泥有限公司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75F0D57"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48F8B4A" w14:textId="77777777" w:rsidR="00E57DAA" w:rsidRDefault="00AC4185">
            <w:pPr>
              <w:jc w:val="right"/>
              <w:rPr>
                <w:szCs w:val="21"/>
              </w:rPr>
            </w:pPr>
            <w:r>
              <w:t>276,408.98</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31DF50B4" w14:textId="77777777" w:rsidR="00E57DAA" w:rsidRDefault="00AC4185">
            <w:pPr>
              <w:jc w:val="right"/>
              <w:rPr>
                <w:szCs w:val="21"/>
              </w:rPr>
            </w:pPr>
            <w:r>
              <w:t xml:space="preserve">　</w:t>
            </w:r>
          </w:p>
        </w:tc>
      </w:tr>
      <w:tr w:rsidR="00E57DAA" w14:paraId="00F9815F"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15E69B65" w14:textId="77777777" w:rsidR="00E57DAA" w:rsidRDefault="00AC4185">
            <w:pPr>
              <w:rPr>
                <w:szCs w:val="21"/>
              </w:rPr>
            </w:pPr>
            <w:r>
              <w:t>枣庄山水水泥有限公司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4AE43E45"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135A8F8" w14:textId="77777777" w:rsidR="00E57DAA" w:rsidRDefault="00AC4185">
            <w:pPr>
              <w:jc w:val="right"/>
              <w:rPr>
                <w:szCs w:val="21"/>
              </w:rPr>
            </w:pPr>
            <w:r>
              <w:t>3,451.75</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72A00C01" w14:textId="77777777" w:rsidR="00E57DAA" w:rsidRDefault="00AC4185">
            <w:pPr>
              <w:jc w:val="right"/>
              <w:rPr>
                <w:szCs w:val="21"/>
              </w:rPr>
            </w:pPr>
            <w:r>
              <w:t xml:space="preserve">　</w:t>
            </w:r>
          </w:p>
        </w:tc>
      </w:tr>
      <w:tr w:rsidR="00E57DAA" w14:paraId="6662AD6B"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EE4C87D" w14:textId="77777777" w:rsidR="00E57DAA" w:rsidRDefault="00AC4185">
            <w:pPr>
              <w:rPr>
                <w:szCs w:val="21"/>
              </w:rPr>
            </w:pPr>
            <w:r>
              <w:t>扎赉特旗山水水泥有限公司</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29EC5F58" w14:textId="77777777" w:rsidR="00E57DAA" w:rsidRDefault="00AC4185">
            <w:pPr>
              <w:rPr>
                <w:szCs w:val="21"/>
              </w:rPr>
            </w:pPr>
            <w:r>
              <w:t>购买商品/接受劳务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6C12829D" w14:textId="77777777" w:rsidR="00E57DAA" w:rsidRDefault="00AC4185">
            <w:pPr>
              <w:jc w:val="right"/>
              <w:rPr>
                <w:szCs w:val="21"/>
              </w:rPr>
            </w:pPr>
            <w:r>
              <w:t>15,499.09</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D29C476" w14:textId="77777777" w:rsidR="00E57DAA" w:rsidRDefault="00AC4185">
            <w:pPr>
              <w:jc w:val="right"/>
              <w:rPr>
                <w:szCs w:val="21"/>
              </w:rPr>
            </w:pPr>
            <w:r>
              <w:t xml:space="preserve">　</w:t>
            </w:r>
          </w:p>
        </w:tc>
      </w:tr>
      <w:tr w:rsidR="00E57DAA" w14:paraId="1E28AD8D" w14:textId="77777777">
        <w:trPr>
          <w:cantSplit/>
        </w:trPr>
        <w:tc>
          <w:tcPr>
            <w:tcW w:w="1700" w:type="pct"/>
            <w:tcBorders>
              <w:top w:val="single" w:sz="4" w:space="0" w:color="auto"/>
              <w:left w:val="single" w:sz="4" w:space="0" w:color="auto"/>
              <w:bottom w:val="single" w:sz="4" w:space="0" w:color="auto"/>
              <w:right w:val="single" w:sz="4" w:space="0" w:color="auto"/>
            </w:tcBorders>
            <w:shd w:val="clear" w:color="auto" w:fill="auto"/>
          </w:tcPr>
          <w:p w14:paraId="72A3D7CE" w14:textId="77777777" w:rsidR="00E57DAA" w:rsidRDefault="00AC4185">
            <w:pPr>
              <w:rPr>
                <w:szCs w:val="21"/>
              </w:rPr>
            </w:pPr>
            <w:r>
              <w:t>合计</w:t>
            </w:r>
          </w:p>
        </w:tc>
        <w:tc>
          <w:tcPr>
            <w:tcW w:w="1326" w:type="pct"/>
            <w:tcBorders>
              <w:top w:val="single" w:sz="4" w:space="0" w:color="auto"/>
              <w:left w:val="single" w:sz="4" w:space="0" w:color="auto"/>
              <w:bottom w:val="single" w:sz="4" w:space="0" w:color="auto"/>
              <w:right w:val="single" w:sz="4" w:space="0" w:color="auto"/>
            </w:tcBorders>
            <w:shd w:val="clear" w:color="auto" w:fill="auto"/>
          </w:tcPr>
          <w:p w14:paraId="129AF64C" w14:textId="77777777" w:rsidR="00E57DAA" w:rsidRDefault="00AC4185">
            <w:pPr>
              <w:rPr>
                <w:szCs w:val="21"/>
              </w:rPr>
            </w:pPr>
            <w:r>
              <w:t xml:space="preserve">　</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5DE769D8" w14:textId="77777777" w:rsidR="00E57DAA" w:rsidRDefault="00AC4185">
            <w:pPr>
              <w:jc w:val="right"/>
              <w:rPr>
                <w:szCs w:val="21"/>
              </w:rPr>
            </w:pPr>
            <w:r>
              <w:t>619,541,800.70</w:t>
            </w:r>
          </w:p>
        </w:tc>
        <w:tc>
          <w:tcPr>
            <w:tcW w:w="1019" w:type="pct"/>
            <w:tcBorders>
              <w:top w:val="single" w:sz="4" w:space="0" w:color="auto"/>
              <w:left w:val="single" w:sz="4" w:space="0" w:color="auto"/>
              <w:bottom w:val="single" w:sz="4" w:space="0" w:color="auto"/>
              <w:right w:val="single" w:sz="4" w:space="0" w:color="auto"/>
            </w:tcBorders>
            <w:shd w:val="clear" w:color="auto" w:fill="auto"/>
          </w:tcPr>
          <w:p w14:paraId="11D47211" w14:textId="77777777" w:rsidR="00E57DAA" w:rsidRDefault="00AC4185">
            <w:pPr>
              <w:jc w:val="right"/>
              <w:rPr>
                <w:szCs w:val="21"/>
              </w:rPr>
            </w:pPr>
            <w:r>
              <w:t>650,699,112.58</w:t>
            </w:r>
          </w:p>
        </w:tc>
      </w:tr>
    </w:tbl>
    <w:p w14:paraId="1996B69E" w14:textId="77777777" w:rsidR="00E57DAA" w:rsidRDefault="00E57DAA"/>
    <w:p w14:paraId="45E88E4F" w14:textId="77777777" w:rsidR="00E57DAA" w:rsidRDefault="00AC4185">
      <w:pPr>
        <w:ind w:rightChars="-369" w:right="-775"/>
        <w:rPr>
          <w:szCs w:val="21"/>
        </w:rPr>
      </w:pPr>
      <w:r>
        <w:rPr>
          <w:rFonts w:hint="eastAsia"/>
          <w:szCs w:val="21"/>
        </w:rPr>
        <w:t>出售商品/提供劳务情况表</w:t>
      </w:r>
    </w:p>
    <w:bookmarkEnd w:id="316" w:displacedByCustomXml="next"/>
    <w:sdt>
      <w:sdtPr>
        <w:rPr>
          <w:szCs w:val="21"/>
        </w:rPr>
        <w:alias w:val="是否适用：出售商品或提供劳务情况表[双击切换]"/>
        <w:tag w:val="_GBC_38804595ac014174a1f7bfa274a356d2"/>
        <w:id w:val="-415480792"/>
        <w:placeholder>
          <w:docPart w:val="GBC22222222222222222222222222222"/>
        </w:placeholder>
      </w:sdtPr>
      <w:sdtEndPr/>
      <w:sdtContent>
        <w:p w14:paraId="05A84E69" w14:textId="77777777" w:rsidR="00E57DAA" w:rsidRDefault="00AC4185">
          <w:pPr>
            <w:ind w:rightChars="-369" w:right="-775"/>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D4C03A" w14:textId="77777777" w:rsidR="00E57DAA" w:rsidRDefault="00AC4185">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620524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16757656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47"/>
        <w:gridCol w:w="2126"/>
        <w:gridCol w:w="2126"/>
        <w:gridCol w:w="2024"/>
      </w:tblGrid>
      <w:tr w:rsidR="00E57DAA" w14:paraId="0BC6DBF2" w14:textId="77777777">
        <w:trPr>
          <w:cantSplit/>
          <w:trHeight w:val="273"/>
        </w:trPr>
        <w:sdt>
          <w:sdtPr>
            <w:tag w:val="_PLD_8f46d61b556c4e7e9874d48274581d06"/>
            <w:id w:val="1619324220"/>
          </w:sdtPr>
          <w:sdtEndPr/>
          <w:sdtContent>
            <w:tc>
              <w:tcPr>
                <w:tcW w:w="1443" w:type="pct"/>
                <w:tcBorders>
                  <w:top w:val="single" w:sz="4" w:space="0" w:color="auto"/>
                  <w:left w:val="single" w:sz="4" w:space="0" w:color="auto"/>
                  <w:bottom w:val="single" w:sz="4" w:space="0" w:color="auto"/>
                  <w:right w:val="single" w:sz="4" w:space="0" w:color="auto"/>
                </w:tcBorders>
                <w:shd w:val="clear" w:color="auto" w:fill="auto"/>
                <w:vAlign w:val="center"/>
              </w:tcPr>
              <w:p w14:paraId="10DF3FC0" w14:textId="77777777" w:rsidR="00E57DAA" w:rsidRDefault="00AC4185">
                <w:pPr>
                  <w:jc w:val="center"/>
                  <w:rPr>
                    <w:rFonts w:cs="Cambria"/>
                    <w:szCs w:val="21"/>
                  </w:rPr>
                </w:pPr>
                <w:r>
                  <w:rPr>
                    <w:rFonts w:cs="Cambria" w:hint="eastAsia"/>
                    <w:szCs w:val="21"/>
                  </w:rPr>
                  <w:t>关联方</w:t>
                </w:r>
              </w:p>
            </w:tc>
          </w:sdtContent>
        </w:sdt>
        <w:sdt>
          <w:sdtPr>
            <w:tag w:val="_PLD_86c6996d2c00443589b89411b2b4bde3"/>
            <w:id w:val="-2010513396"/>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5F9D5196" w14:textId="77777777" w:rsidR="00E57DAA" w:rsidRDefault="00AC4185">
                <w:pPr>
                  <w:jc w:val="center"/>
                  <w:rPr>
                    <w:rFonts w:cs="Cambria"/>
                    <w:szCs w:val="21"/>
                  </w:rPr>
                </w:pPr>
                <w:r>
                  <w:rPr>
                    <w:rFonts w:cs="Cambria" w:hint="eastAsia"/>
                    <w:szCs w:val="21"/>
                  </w:rPr>
                  <w:t>关联交易内容</w:t>
                </w:r>
              </w:p>
            </w:tc>
          </w:sdtContent>
        </w:sdt>
        <w:sdt>
          <w:sdtPr>
            <w:tag w:val="_PLD_52688fb5000a4ccb8c43276d58764eb4"/>
            <w:id w:val="623501923"/>
          </w:sdtPr>
          <w:sdtEndPr/>
          <w:sdtContent>
            <w:tc>
              <w:tcPr>
                <w:tcW w:w="1205" w:type="pct"/>
                <w:tcBorders>
                  <w:top w:val="single" w:sz="4" w:space="0" w:color="auto"/>
                  <w:left w:val="single" w:sz="4" w:space="0" w:color="auto"/>
                  <w:right w:val="single" w:sz="4" w:space="0" w:color="auto"/>
                </w:tcBorders>
                <w:shd w:val="clear" w:color="auto" w:fill="auto"/>
                <w:vAlign w:val="center"/>
              </w:tcPr>
              <w:p w14:paraId="314FC11C" w14:textId="77777777" w:rsidR="00E57DAA" w:rsidRDefault="00AC4185">
                <w:pPr>
                  <w:jc w:val="center"/>
                  <w:rPr>
                    <w:rFonts w:cs="Cambria"/>
                    <w:szCs w:val="21"/>
                  </w:rPr>
                </w:pPr>
                <w:r>
                  <w:rPr>
                    <w:rFonts w:cs="Cambria" w:hint="eastAsia"/>
                    <w:szCs w:val="21"/>
                  </w:rPr>
                  <w:t>本期发生额</w:t>
                </w:r>
              </w:p>
            </w:tc>
          </w:sdtContent>
        </w:sdt>
        <w:sdt>
          <w:sdtPr>
            <w:tag w:val="_PLD_e0158fcec29a443ca9e08a44a2489407"/>
            <w:id w:val="1251243811"/>
          </w:sdtPr>
          <w:sdtEndPr/>
          <w:sdtContent>
            <w:tc>
              <w:tcPr>
                <w:tcW w:w="1147" w:type="pct"/>
                <w:tcBorders>
                  <w:top w:val="single" w:sz="4" w:space="0" w:color="auto"/>
                  <w:left w:val="single" w:sz="4" w:space="0" w:color="auto"/>
                  <w:right w:val="single" w:sz="4" w:space="0" w:color="auto"/>
                </w:tcBorders>
                <w:shd w:val="clear" w:color="auto" w:fill="auto"/>
                <w:vAlign w:val="center"/>
              </w:tcPr>
              <w:p w14:paraId="5BB00BF0" w14:textId="77777777" w:rsidR="00E57DAA" w:rsidRDefault="00AC4185">
                <w:pPr>
                  <w:jc w:val="center"/>
                  <w:rPr>
                    <w:rFonts w:cs="Cambria"/>
                    <w:szCs w:val="21"/>
                  </w:rPr>
                </w:pPr>
                <w:r>
                  <w:rPr>
                    <w:rFonts w:cs="Cambria" w:hint="eastAsia"/>
                    <w:szCs w:val="21"/>
                  </w:rPr>
                  <w:t>上期发生额</w:t>
                </w:r>
              </w:p>
            </w:tc>
          </w:sdtContent>
        </w:sdt>
      </w:tr>
      <w:tr w:rsidR="00E57DAA" w14:paraId="68753D9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6F079A6" w14:textId="77777777" w:rsidR="00E57DAA" w:rsidRDefault="00AC4185">
            <w:pPr>
              <w:rPr>
                <w:szCs w:val="21"/>
              </w:rPr>
            </w:pPr>
            <w:r>
              <w:t>联营企业</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77D1FD" w14:textId="77777777" w:rsidR="00E57DAA" w:rsidRDefault="00AC4185">
            <w:pPr>
              <w:rPr>
                <w:szCs w:val="21"/>
              </w:rPr>
            </w:pPr>
            <w:r>
              <w:t xml:space="preserve">　</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BF93FA"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9CB916" w14:textId="77777777" w:rsidR="00E57DAA" w:rsidRDefault="00AC4185">
            <w:pPr>
              <w:jc w:val="right"/>
              <w:rPr>
                <w:szCs w:val="21"/>
              </w:rPr>
            </w:pPr>
            <w:r>
              <w:t xml:space="preserve">　</w:t>
            </w:r>
          </w:p>
        </w:tc>
      </w:tr>
      <w:tr w:rsidR="00E57DAA" w14:paraId="34FAD47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4C9617C" w14:textId="77777777" w:rsidR="00E57DAA" w:rsidRDefault="00AC4185">
            <w:pPr>
              <w:rPr>
                <w:szCs w:val="21"/>
              </w:rPr>
            </w:pPr>
            <w:r>
              <w:t>安徽长江环境科技有限公司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ADCDC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BB3AC1" w14:textId="77777777" w:rsidR="00E57DAA" w:rsidRDefault="00AC4185">
            <w:pPr>
              <w:jc w:val="right"/>
              <w:rPr>
                <w:szCs w:val="21"/>
              </w:rPr>
            </w:pPr>
            <w:r>
              <w:t>8,021,181.62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3C9EFA1" w14:textId="77777777" w:rsidR="00E57DAA" w:rsidRDefault="00AC4185">
            <w:pPr>
              <w:jc w:val="right"/>
              <w:rPr>
                <w:szCs w:val="21"/>
              </w:rPr>
            </w:pPr>
            <w:r>
              <w:t>63,880,060.10</w:t>
            </w:r>
          </w:p>
        </w:tc>
      </w:tr>
      <w:tr w:rsidR="00E57DAA" w14:paraId="59608FE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5B4F4E8" w14:textId="77777777" w:rsidR="00E57DAA" w:rsidRDefault="00AC4185">
            <w:pPr>
              <w:rPr>
                <w:szCs w:val="21"/>
              </w:rPr>
            </w:pPr>
            <w:r>
              <w:t>枞阳南方材料有限公司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24137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0AA181" w14:textId="77777777" w:rsidR="00E57DAA" w:rsidRDefault="00AC4185">
            <w:pPr>
              <w:jc w:val="right"/>
              <w:rPr>
                <w:szCs w:val="21"/>
              </w:rPr>
            </w:pPr>
            <w:r>
              <w:t>2,462,137.95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E2A854" w14:textId="77777777" w:rsidR="00E57DAA" w:rsidRDefault="00AC4185">
            <w:pPr>
              <w:jc w:val="right"/>
              <w:rPr>
                <w:szCs w:val="21"/>
              </w:rPr>
            </w:pPr>
            <w:r>
              <w:t>636,792.45</w:t>
            </w:r>
          </w:p>
        </w:tc>
      </w:tr>
      <w:tr w:rsidR="00E57DAA" w14:paraId="30F71D3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87CA432" w14:textId="77777777" w:rsidR="00E57DAA" w:rsidRDefault="00AC4185">
            <w:pPr>
              <w:rPr>
                <w:szCs w:val="21"/>
              </w:rPr>
            </w:pPr>
            <w:r>
              <w:t>合肥中亚科技有限责任公司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B3FCD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3F876EF" w14:textId="77777777" w:rsidR="00E57DAA" w:rsidRDefault="00AC4185">
            <w:pPr>
              <w:jc w:val="right"/>
              <w:rPr>
                <w:szCs w:val="21"/>
              </w:rPr>
            </w:pPr>
            <w:r>
              <w:t>580,094.34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DF7A80F" w14:textId="77777777" w:rsidR="00E57DAA" w:rsidRDefault="00AC4185">
            <w:pPr>
              <w:jc w:val="right"/>
              <w:rPr>
                <w:szCs w:val="21"/>
              </w:rPr>
            </w:pPr>
            <w:r>
              <w:t>265,188.68</w:t>
            </w:r>
          </w:p>
        </w:tc>
      </w:tr>
      <w:tr w:rsidR="00E57DAA" w14:paraId="5352019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329AC8B" w14:textId="77777777" w:rsidR="00E57DAA" w:rsidRDefault="00AC4185">
            <w:pPr>
              <w:rPr>
                <w:szCs w:val="21"/>
              </w:rPr>
            </w:pPr>
            <w:r>
              <w:t>中才邦业（杭州）智能技术有限公司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CCFBE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E7C719" w14:textId="77777777" w:rsidR="00E57DAA" w:rsidRDefault="00AC4185">
            <w:pPr>
              <w:jc w:val="right"/>
              <w:rPr>
                <w:szCs w:val="21"/>
              </w:rPr>
            </w:pPr>
            <w:r>
              <w:t>63,971.46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0CDD42F" w14:textId="77777777" w:rsidR="00E57DAA" w:rsidRDefault="00AC4185">
            <w:pPr>
              <w:jc w:val="right"/>
              <w:rPr>
                <w:szCs w:val="21"/>
              </w:rPr>
            </w:pPr>
            <w:r>
              <w:t xml:space="preserve">　</w:t>
            </w:r>
          </w:p>
        </w:tc>
      </w:tr>
      <w:tr w:rsidR="00E57DAA" w14:paraId="6BB469D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C12E023" w14:textId="77777777" w:rsidR="00E57DAA" w:rsidRDefault="00AC4185">
            <w:pPr>
              <w:rPr>
                <w:szCs w:val="21"/>
              </w:rPr>
            </w:pPr>
            <w:r>
              <w:t>中材膜材料越南公司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2D44A1"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AEAAE2" w14:textId="77777777" w:rsidR="00E57DAA" w:rsidRDefault="00AC4185">
            <w:pPr>
              <w:jc w:val="right"/>
              <w:rPr>
                <w:szCs w:val="21"/>
              </w:rPr>
            </w:pPr>
            <w:r>
              <w:t>3,407,885.20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1DE6423" w14:textId="77777777" w:rsidR="00E57DAA" w:rsidRDefault="00AC4185">
            <w:pPr>
              <w:jc w:val="right"/>
              <w:rPr>
                <w:szCs w:val="21"/>
              </w:rPr>
            </w:pPr>
            <w:r>
              <w:t>3,884,711.30</w:t>
            </w:r>
          </w:p>
        </w:tc>
      </w:tr>
      <w:tr w:rsidR="00E57DAA" w14:paraId="454A6C8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4DD9EB" w14:textId="77777777" w:rsidR="00E57DAA" w:rsidRDefault="00AC4185">
            <w:pPr>
              <w:rPr>
                <w:szCs w:val="21"/>
              </w:rPr>
            </w:pPr>
            <w:r>
              <w:t>中建（淄博）重型机械有限公司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ADBA7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D6C2D2" w14:textId="77777777" w:rsidR="00E57DAA" w:rsidRDefault="00AC4185">
            <w:pPr>
              <w:jc w:val="right"/>
              <w:rPr>
                <w:szCs w:val="21"/>
              </w:rPr>
            </w:pPr>
            <w:r>
              <w:t>82,293.26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CFCB221" w14:textId="77777777" w:rsidR="00E57DAA" w:rsidRDefault="00AC4185">
            <w:pPr>
              <w:jc w:val="right"/>
              <w:rPr>
                <w:szCs w:val="21"/>
              </w:rPr>
            </w:pPr>
            <w:r>
              <w:t xml:space="preserve">　</w:t>
            </w:r>
          </w:p>
        </w:tc>
      </w:tr>
      <w:tr w:rsidR="00E57DAA" w14:paraId="0A6251E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332A7B9" w14:textId="77777777" w:rsidR="00E57DAA" w:rsidRDefault="00AC4185">
            <w:pPr>
              <w:rPr>
                <w:szCs w:val="21"/>
              </w:rPr>
            </w:pPr>
            <w:r>
              <w:t>受同一母公司控制的其他企业</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5949E2" w14:textId="77777777" w:rsidR="00E57DAA" w:rsidRDefault="00AC4185">
            <w:pPr>
              <w:rPr>
                <w:szCs w:val="21"/>
              </w:rPr>
            </w:pPr>
            <w:r>
              <w:t xml:space="preserve">　</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744F99"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61E7B04" w14:textId="77777777" w:rsidR="00E57DAA" w:rsidRDefault="00AC4185">
            <w:pPr>
              <w:jc w:val="right"/>
              <w:rPr>
                <w:szCs w:val="21"/>
              </w:rPr>
            </w:pPr>
            <w:r>
              <w:t xml:space="preserve">　</w:t>
            </w:r>
          </w:p>
        </w:tc>
      </w:tr>
      <w:tr w:rsidR="00E57DAA" w14:paraId="64D5408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8EBB6F1" w14:textId="77777777" w:rsidR="00E57DAA" w:rsidRDefault="00AC4185">
            <w:pPr>
              <w:rPr>
                <w:szCs w:val="21"/>
              </w:rPr>
            </w:pPr>
            <w:r>
              <w:t>Mpande   Limestone Limited</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D6411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8B43C2" w14:textId="77777777" w:rsidR="00E57DAA" w:rsidRDefault="00AC4185">
            <w:pPr>
              <w:jc w:val="right"/>
              <w:rPr>
                <w:szCs w:val="21"/>
              </w:rPr>
            </w:pPr>
            <w:r>
              <w:t>54,105,983.49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4B31264" w14:textId="77777777" w:rsidR="00E57DAA" w:rsidRDefault="00AC4185">
            <w:pPr>
              <w:jc w:val="right"/>
              <w:rPr>
                <w:szCs w:val="21"/>
              </w:rPr>
            </w:pPr>
            <w:r>
              <w:t>27,560,397.87</w:t>
            </w:r>
          </w:p>
        </w:tc>
      </w:tr>
      <w:tr w:rsidR="00E57DAA" w14:paraId="592D464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1A19DE" w14:textId="77777777" w:rsidR="00E57DAA" w:rsidRDefault="00AC4185">
            <w:pPr>
              <w:rPr>
                <w:szCs w:val="21"/>
              </w:rPr>
            </w:pPr>
            <w:r>
              <w:t>阿克苏天山多浪水泥有限责任公司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5F3FC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1E7EDF" w14:textId="77777777" w:rsidR="00E57DAA" w:rsidRDefault="00AC4185">
            <w:pPr>
              <w:jc w:val="right"/>
              <w:rPr>
                <w:szCs w:val="21"/>
              </w:rPr>
            </w:pPr>
            <w:r>
              <w:t>10,689,612.95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1F61917" w14:textId="77777777" w:rsidR="00E57DAA" w:rsidRDefault="00AC4185">
            <w:pPr>
              <w:jc w:val="right"/>
              <w:rPr>
                <w:szCs w:val="21"/>
              </w:rPr>
            </w:pPr>
            <w:r>
              <w:t>35,400,490.60</w:t>
            </w:r>
          </w:p>
        </w:tc>
      </w:tr>
      <w:tr w:rsidR="00E57DAA" w14:paraId="6ED803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EE9B44" w14:textId="77777777" w:rsidR="00E57DAA" w:rsidRDefault="00AC4185">
            <w:pPr>
              <w:rPr>
                <w:szCs w:val="21"/>
              </w:rPr>
            </w:pPr>
            <w:r>
              <w:t>安徽广德洪山南方水泥有限公司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C75F6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A33114" w14:textId="77777777" w:rsidR="00E57DAA" w:rsidRDefault="00AC4185">
            <w:pPr>
              <w:jc w:val="right"/>
              <w:rPr>
                <w:szCs w:val="21"/>
              </w:rPr>
            </w:pPr>
            <w:r>
              <w:t>33,091,813.06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29EBD7C" w14:textId="77777777" w:rsidR="00E57DAA" w:rsidRDefault="00AC4185">
            <w:pPr>
              <w:jc w:val="right"/>
              <w:rPr>
                <w:szCs w:val="21"/>
              </w:rPr>
            </w:pPr>
            <w:r>
              <w:t>33,142,809.59</w:t>
            </w:r>
          </w:p>
        </w:tc>
      </w:tr>
      <w:tr w:rsidR="00E57DAA" w14:paraId="272B1B2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FCF4F5" w14:textId="77777777" w:rsidR="00E57DAA" w:rsidRDefault="00AC4185">
            <w:pPr>
              <w:rPr>
                <w:szCs w:val="21"/>
              </w:rPr>
            </w:pPr>
            <w:r>
              <w:t>安徽广德南方水泥有限公司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4E517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9822D1" w14:textId="77777777" w:rsidR="00E57DAA" w:rsidRDefault="00AC4185">
            <w:pPr>
              <w:jc w:val="right"/>
              <w:rPr>
                <w:szCs w:val="21"/>
              </w:rPr>
            </w:pPr>
            <w:r>
              <w:t>83,110,199.17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87C6493" w14:textId="77777777" w:rsidR="00E57DAA" w:rsidRDefault="00AC4185">
            <w:pPr>
              <w:jc w:val="right"/>
              <w:rPr>
                <w:szCs w:val="21"/>
              </w:rPr>
            </w:pPr>
            <w:r>
              <w:t>10,235,659.86</w:t>
            </w:r>
          </w:p>
        </w:tc>
      </w:tr>
      <w:tr w:rsidR="00E57DAA" w14:paraId="5E96D3F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BE0A34" w14:textId="77777777" w:rsidR="00E57DAA" w:rsidRDefault="00AC4185">
            <w:pPr>
              <w:rPr>
                <w:szCs w:val="21"/>
              </w:rPr>
            </w:pPr>
            <w:r>
              <w:t>安徽郎溪南方水泥有限公司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9A2E9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FAAF40" w14:textId="77777777" w:rsidR="00E57DAA" w:rsidRDefault="00AC4185">
            <w:pPr>
              <w:jc w:val="right"/>
              <w:rPr>
                <w:szCs w:val="21"/>
              </w:rPr>
            </w:pPr>
            <w:r>
              <w:t>24,315,829.24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21F3E8" w14:textId="77777777" w:rsidR="00E57DAA" w:rsidRDefault="00AC4185">
            <w:pPr>
              <w:jc w:val="right"/>
              <w:rPr>
                <w:szCs w:val="21"/>
              </w:rPr>
            </w:pPr>
            <w:r>
              <w:t>39,312,614.30</w:t>
            </w:r>
          </w:p>
        </w:tc>
      </w:tr>
      <w:tr w:rsidR="00E57DAA" w14:paraId="15E8FD4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B4E658C" w14:textId="77777777" w:rsidR="00E57DAA" w:rsidRDefault="00AC4185">
            <w:pPr>
              <w:rPr>
                <w:szCs w:val="21"/>
              </w:rPr>
            </w:pPr>
            <w:r>
              <w:t>安吉南方水泥有限公司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99A9C4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692EC5" w14:textId="77777777" w:rsidR="00E57DAA" w:rsidRDefault="00AC4185">
            <w:pPr>
              <w:jc w:val="right"/>
              <w:rPr>
                <w:szCs w:val="21"/>
              </w:rPr>
            </w:pPr>
            <w:r>
              <w:t>16,278,258.96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D342E82" w14:textId="77777777" w:rsidR="00E57DAA" w:rsidRDefault="00AC4185">
            <w:pPr>
              <w:jc w:val="right"/>
              <w:rPr>
                <w:szCs w:val="21"/>
              </w:rPr>
            </w:pPr>
            <w:r>
              <w:t>35,047,760.15</w:t>
            </w:r>
          </w:p>
        </w:tc>
      </w:tr>
      <w:tr w:rsidR="00E57DAA" w14:paraId="174998F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64974A5" w14:textId="77777777" w:rsidR="00E57DAA" w:rsidRDefault="00AC4185">
            <w:pPr>
              <w:rPr>
                <w:szCs w:val="21"/>
              </w:rPr>
            </w:pPr>
            <w:r>
              <w:t>安县中联水泥有限公司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0CAE5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89159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60F62AF" w14:textId="77777777" w:rsidR="00E57DAA" w:rsidRDefault="00AC4185">
            <w:pPr>
              <w:jc w:val="right"/>
              <w:rPr>
                <w:szCs w:val="21"/>
              </w:rPr>
            </w:pPr>
            <w:r>
              <w:t>23,084,795.03</w:t>
            </w:r>
          </w:p>
        </w:tc>
      </w:tr>
      <w:tr w:rsidR="00E57DAA" w14:paraId="1AE9FEA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D7DD07B" w14:textId="77777777" w:rsidR="00E57DAA" w:rsidRDefault="00AC4185">
            <w:pPr>
              <w:rPr>
                <w:szCs w:val="21"/>
              </w:rPr>
            </w:pPr>
            <w:r>
              <w:t>安阳中联水泥有限公司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B40AF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14E751" w14:textId="77777777" w:rsidR="00E57DAA" w:rsidRDefault="00AC4185">
            <w:pPr>
              <w:jc w:val="right"/>
              <w:rPr>
                <w:szCs w:val="21"/>
              </w:rPr>
            </w:pPr>
            <w:r>
              <w:t>9,338,831.63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8FADC81" w14:textId="77777777" w:rsidR="00E57DAA" w:rsidRDefault="00AC4185">
            <w:pPr>
              <w:jc w:val="right"/>
              <w:rPr>
                <w:szCs w:val="21"/>
              </w:rPr>
            </w:pPr>
            <w:r>
              <w:t>29,868,217.42</w:t>
            </w:r>
          </w:p>
        </w:tc>
      </w:tr>
      <w:tr w:rsidR="00E57DAA" w14:paraId="48A51EA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DDC2D6F" w14:textId="77777777" w:rsidR="00E57DAA" w:rsidRDefault="00AC4185">
            <w:pPr>
              <w:rPr>
                <w:szCs w:val="21"/>
              </w:rPr>
            </w:pPr>
            <w:r>
              <w:t>巴彦淖尔中联水泥有限公司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C7B51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7B3548" w14:textId="77777777" w:rsidR="00E57DAA" w:rsidRDefault="00AC4185">
            <w:pPr>
              <w:jc w:val="right"/>
              <w:rPr>
                <w:szCs w:val="21"/>
              </w:rPr>
            </w:pPr>
            <w:r>
              <w:t>24,102,679.00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BB7E3A6" w14:textId="77777777" w:rsidR="00E57DAA" w:rsidRDefault="00AC4185">
            <w:pPr>
              <w:jc w:val="right"/>
              <w:rPr>
                <w:szCs w:val="21"/>
              </w:rPr>
            </w:pPr>
            <w:r>
              <w:t>27,378,348.24</w:t>
            </w:r>
          </w:p>
        </w:tc>
      </w:tr>
      <w:tr w:rsidR="00E57DAA" w14:paraId="6194DE9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952A10" w14:textId="77777777" w:rsidR="00E57DAA" w:rsidRDefault="00AC4185">
            <w:pPr>
              <w:rPr>
                <w:szCs w:val="21"/>
              </w:rPr>
            </w:pPr>
            <w:r>
              <w:t>蚌埠中联水泥有限公司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7B48E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A9B73D" w14:textId="77777777" w:rsidR="00E57DAA" w:rsidRDefault="00AC4185">
            <w:pPr>
              <w:jc w:val="right"/>
              <w:rPr>
                <w:szCs w:val="21"/>
              </w:rPr>
            </w:pPr>
            <w:r>
              <w:t>5,786,964.45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FE7903A" w14:textId="77777777" w:rsidR="00E57DAA" w:rsidRDefault="00AC4185">
            <w:pPr>
              <w:jc w:val="right"/>
              <w:rPr>
                <w:szCs w:val="21"/>
              </w:rPr>
            </w:pPr>
            <w:r>
              <w:t>52,654,213.91</w:t>
            </w:r>
          </w:p>
        </w:tc>
      </w:tr>
      <w:tr w:rsidR="00E57DAA" w14:paraId="53DE892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72BC7FB" w14:textId="77777777" w:rsidR="00E57DAA" w:rsidRDefault="00AC4185">
            <w:pPr>
              <w:rPr>
                <w:szCs w:val="21"/>
              </w:rPr>
            </w:pPr>
            <w:r>
              <w:t>保定中联水泥有限公司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A3B77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C1E417" w14:textId="77777777" w:rsidR="00E57DAA" w:rsidRDefault="00AC4185">
            <w:pPr>
              <w:jc w:val="right"/>
              <w:rPr>
                <w:szCs w:val="21"/>
              </w:rPr>
            </w:pPr>
            <w:r>
              <w:t>24,097,748.27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D57FF01" w14:textId="77777777" w:rsidR="00E57DAA" w:rsidRDefault="00AC4185">
            <w:pPr>
              <w:jc w:val="right"/>
              <w:rPr>
                <w:szCs w:val="21"/>
              </w:rPr>
            </w:pPr>
            <w:r>
              <w:t>255,777,342.65</w:t>
            </w:r>
          </w:p>
        </w:tc>
      </w:tr>
      <w:tr w:rsidR="00E57DAA" w14:paraId="38A848B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B3F8092" w14:textId="77777777" w:rsidR="00E57DAA" w:rsidRDefault="00AC4185">
            <w:pPr>
              <w:rPr>
                <w:szCs w:val="21"/>
              </w:rPr>
            </w:pPr>
            <w:r>
              <w:t>北川中联水泥有限公司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3422C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26050D" w14:textId="77777777" w:rsidR="00E57DAA" w:rsidRDefault="00AC4185">
            <w:pPr>
              <w:jc w:val="right"/>
              <w:rPr>
                <w:szCs w:val="21"/>
              </w:rPr>
            </w:pPr>
            <w:r>
              <w:t>573,757.30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A9CB3BE" w14:textId="77777777" w:rsidR="00E57DAA" w:rsidRDefault="00AC4185">
            <w:pPr>
              <w:jc w:val="right"/>
              <w:rPr>
                <w:szCs w:val="21"/>
              </w:rPr>
            </w:pPr>
            <w:r>
              <w:t>3,087,053.97</w:t>
            </w:r>
          </w:p>
        </w:tc>
      </w:tr>
      <w:tr w:rsidR="00E57DAA" w14:paraId="60F1992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FA0293" w14:textId="77777777" w:rsidR="00E57DAA" w:rsidRDefault="00AC4185">
            <w:pPr>
              <w:rPr>
                <w:szCs w:val="21"/>
              </w:rPr>
            </w:pPr>
            <w:r>
              <w:t>北新建材（华阴）有限公司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418B6E"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8EE67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22CEFA0" w14:textId="77777777" w:rsidR="00E57DAA" w:rsidRDefault="00AC4185">
            <w:pPr>
              <w:jc w:val="right"/>
              <w:rPr>
                <w:szCs w:val="21"/>
              </w:rPr>
            </w:pPr>
            <w:r>
              <w:t>116,814.16</w:t>
            </w:r>
          </w:p>
        </w:tc>
      </w:tr>
      <w:tr w:rsidR="00E57DAA" w14:paraId="3D12D4E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F8E3B33" w14:textId="77777777" w:rsidR="00E57DAA" w:rsidRDefault="00AC4185">
            <w:pPr>
              <w:rPr>
                <w:szCs w:val="21"/>
              </w:rPr>
            </w:pPr>
            <w:r>
              <w:t>毕节赛德水泥有限公司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81E3E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11D11D" w14:textId="77777777" w:rsidR="00E57DAA" w:rsidRDefault="00AC4185">
            <w:pPr>
              <w:jc w:val="right"/>
              <w:rPr>
                <w:szCs w:val="21"/>
              </w:rPr>
            </w:pPr>
            <w:r>
              <w:t>5,745,471.70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E903375" w14:textId="77777777" w:rsidR="00E57DAA" w:rsidRDefault="00AC4185">
            <w:pPr>
              <w:jc w:val="right"/>
              <w:rPr>
                <w:szCs w:val="21"/>
              </w:rPr>
            </w:pPr>
            <w:r>
              <w:t>4,217,617.74</w:t>
            </w:r>
          </w:p>
        </w:tc>
      </w:tr>
      <w:tr w:rsidR="00E57DAA" w14:paraId="080021E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7DE9F3" w14:textId="77777777" w:rsidR="00E57DAA" w:rsidRDefault="00AC4185">
            <w:pPr>
              <w:rPr>
                <w:szCs w:val="21"/>
              </w:rPr>
            </w:pPr>
            <w:r>
              <w:t>毕节西南水泥有限公司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84CED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FF02F7" w14:textId="77777777" w:rsidR="00E57DAA" w:rsidRDefault="00AC4185">
            <w:pPr>
              <w:jc w:val="right"/>
              <w:rPr>
                <w:szCs w:val="21"/>
              </w:rPr>
            </w:pPr>
            <w:r>
              <w:t>330,803,721.51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E218BE2" w14:textId="77777777" w:rsidR="00E57DAA" w:rsidRDefault="00AC4185">
            <w:pPr>
              <w:jc w:val="right"/>
              <w:rPr>
                <w:szCs w:val="21"/>
              </w:rPr>
            </w:pPr>
            <w:r>
              <w:t>44,359,639.94</w:t>
            </w:r>
          </w:p>
        </w:tc>
      </w:tr>
      <w:tr w:rsidR="00E57DAA" w14:paraId="7E793D4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20D191" w14:textId="77777777" w:rsidR="00E57DAA" w:rsidRDefault="00AC4185">
            <w:pPr>
              <w:rPr>
                <w:szCs w:val="21"/>
              </w:rPr>
            </w:pPr>
            <w:r>
              <w:t>播州西南水泥有限公司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1461D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F98D55" w14:textId="77777777" w:rsidR="00E57DAA" w:rsidRDefault="00AC4185">
            <w:pPr>
              <w:jc w:val="right"/>
              <w:rPr>
                <w:szCs w:val="21"/>
              </w:rPr>
            </w:pPr>
            <w:r>
              <w:t>129,053.09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AFB9D6" w14:textId="77777777" w:rsidR="00E57DAA" w:rsidRDefault="00AC4185">
            <w:pPr>
              <w:jc w:val="right"/>
              <w:rPr>
                <w:szCs w:val="21"/>
              </w:rPr>
            </w:pPr>
            <w:r>
              <w:t>2,946,017.70</w:t>
            </w:r>
          </w:p>
        </w:tc>
      </w:tr>
      <w:tr w:rsidR="00E57DAA" w14:paraId="35FCF45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C30B446" w14:textId="77777777" w:rsidR="00E57DAA" w:rsidRDefault="00AC4185">
            <w:pPr>
              <w:rPr>
                <w:szCs w:val="21"/>
              </w:rPr>
            </w:pPr>
            <w:r>
              <w:t>布尔津天山水泥有限责任公司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808F1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FD240B" w14:textId="77777777" w:rsidR="00E57DAA" w:rsidRDefault="00AC4185">
            <w:pPr>
              <w:jc w:val="right"/>
              <w:rPr>
                <w:szCs w:val="21"/>
              </w:rPr>
            </w:pPr>
            <w:r>
              <w:t>27,991,153.58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B5C7B8F" w14:textId="77777777" w:rsidR="00E57DAA" w:rsidRDefault="00AC4185">
            <w:pPr>
              <w:jc w:val="right"/>
              <w:rPr>
                <w:szCs w:val="21"/>
              </w:rPr>
            </w:pPr>
            <w:r>
              <w:t>2,924,881.29</w:t>
            </w:r>
          </w:p>
        </w:tc>
      </w:tr>
      <w:tr w:rsidR="00E57DAA" w14:paraId="4FE6264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4359953" w14:textId="77777777" w:rsidR="00E57DAA" w:rsidRDefault="00AC4185">
            <w:pPr>
              <w:rPr>
                <w:szCs w:val="21"/>
              </w:rPr>
            </w:pPr>
            <w:r>
              <w:lastRenderedPageBreak/>
              <w:t>常山南方水泥有限公司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747CD1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9386DA" w14:textId="77777777" w:rsidR="00E57DAA" w:rsidRDefault="00AC4185">
            <w:pPr>
              <w:jc w:val="right"/>
              <w:rPr>
                <w:szCs w:val="21"/>
              </w:rPr>
            </w:pPr>
            <w:r>
              <w:t>51,465,430.93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A94C6F" w14:textId="77777777" w:rsidR="00E57DAA" w:rsidRDefault="00AC4185">
            <w:pPr>
              <w:jc w:val="right"/>
              <w:rPr>
                <w:szCs w:val="21"/>
              </w:rPr>
            </w:pPr>
            <w:r>
              <w:t>89,390,758.90</w:t>
            </w:r>
          </w:p>
        </w:tc>
      </w:tr>
      <w:tr w:rsidR="00E57DAA" w14:paraId="10C44E6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B563C9E" w14:textId="77777777" w:rsidR="00E57DAA" w:rsidRDefault="00AC4185">
            <w:pPr>
              <w:rPr>
                <w:szCs w:val="21"/>
              </w:rPr>
            </w:pPr>
            <w:r>
              <w:t>成武中联水泥有限公司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604B4C"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356A8A"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745185B" w14:textId="77777777" w:rsidR="00E57DAA" w:rsidRDefault="00AC4185">
            <w:pPr>
              <w:jc w:val="right"/>
              <w:rPr>
                <w:szCs w:val="21"/>
              </w:rPr>
            </w:pPr>
            <w:r>
              <w:t>7,787.61</w:t>
            </w:r>
          </w:p>
        </w:tc>
      </w:tr>
      <w:tr w:rsidR="00E57DAA" w14:paraId="7BFEB21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FF8141" w14:textId="77777777" w:rsidR="00E57DAA" w:rsidRDefault="00AC4185">
            <w:pPr>
              <w:rPr>
                <w:szCs w:val="21"/>
              </w:rPr>
            </w:pPr>
            <w:r>
              <w:t>成县祁连山水泥有限公司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0E864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427909" w14:textId="77777777" w:rsidR="00E57DAA" w:rsidRDefault="00AC4185">
            <w:pPr>
              <w:jc w:val="right"/>
              <w:rPr>
                <w:szCs w:val="21"/>
              </w:rPr>
            </w:pPr>
            <w:r>
              <w:t>65,627,008.21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F2A11EE" w14:textId="77777777" w:rsidR="00E57DAA" w:rsidRDefault="00AC4185">
            <w:pPr>
              <w:jc w:val="right"/>
              <w:rPr>
                <w:szCs w:val="21"/>
              </w:rPr>
            </w:pPr>
            <w:r>
              <w:t>86,167,150.43</w:t>
            </w:r>
          </w:p>
        </w:tc>
      </w:tr>
      <w:tr w:rsidR="00E57DAA" w14:paraId="4FA83F5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5044738" w14:textId="77777777" w:rsidR="00E57DAA" w:rsidRDefault="00AC4185">
            <w:pPr>
              <w:rPr>
                <w:szCs w:val="21"/>
              </w:rPr>
            </w:pPr>
            <w:r>
              <w:t>池州中建材新材料有限公司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2D2834"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6C2C48" w14:textId="77777777" w:rsidR="00E57DAA" w:rsidRDefault="00AC4185">
            <w:pPr>
              <w:jc w:val="right"/>
              <w:rPr>
                <w:szCs w:val="21"/>
              </w:rPr>
            </w:pPr>
            <w:r>
              <w:t>724,590,080.03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3EB9462" w14:textId="77777777" w:rsidR="00E57DAA" w:rsidRDefault="00AC4185">
            <w:pPr>
              <w:jc w:val="right"/>
              <w:rPr>
                <w:szCs w:val="21"/>
              </w:rPr>
            </w:pPr>
            <w:r>
              <w:t>12,034,161.79</w:t>
            </w:r>
          </w:p>
        </w:tc>
      </w:tr>
      <w:tr w:rsidR="00E57DAA" w14:paraId="5DBF803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93520A" w14:textId="77777777" w:rsidR="00E57DAA" w:rsidRDefault="00AC4185">
            <w:pPr>
              <w:rPr>
                <w:szCs w:val="21"/>
              </w:rPr>
            </w:pPr>
            <w:r>
              <w:t>崇左南方水泥有限公司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BF042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0F20B1" w14:textId="77777777" w:rsidR="00E57DAA" w:rsidRDefault="00AC4185">
            <w:pPr>
              <w:jc w:val="right"/>
              <w:rPr>
                <w:szCs w:val="21"/>
              </w:rPr>
            </w:pPr>
            <w:r>
              <w:t>54,434,203.71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065D596" w14:textId="77777777" w:rsidR="00E57DAA" w:rsidRDefault="00AC4185">
            <w:pPr>
              <w:jc w:val="right"/>
              <w:rPr>
                <w:szCs w:val="21"/>
              </w:rPr>
            </w:pPr>
            <w:r>
              <w:t>46,904,216.96</w:t>
            </w:r>
          </w:p>
        </w:tc>
      </w:tr>
      <w:tr w:rsidR="00E57DAA" w14:paraId="3BCC1AF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A64B3F" w14:textId="77777777" w:rsidR="00E57DAA" w:rsidRDefault="00AC4185">
            <w:pPr>
              <w:rPr>
                <w:szCs w:val="21"/>
              </w:rPr>
            </w:pPr>
            <w:r>
              <w:t>滁州中联水泥有限公司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A1778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72F5AB" w14:textId="77777777" w:rsidR="00E57DAA" w:rsidRDefault="00AC4185">
            <w:pPr>
              <w:jc w:val="right"/>
              <w:rPr>
                <w:szCs w:val="21"/>
              </w:rPr>
            </w:pPr>
            <w:r>
              <w:t>657,734,313.01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477E7B" w14:textId="77777777" w:rsidR="00E57DAA" w:rsidRDefault="00AC4185">
            <w:pPr>
              <w:jc w:val="right"/>
              <w:rPr>
                <w:szCs w:val="21"/>
              </w:rPr>
            </w:pPr>
            <w:r>
              <w:t>60,251,530.89</w:t>
            </w:r>
          </w:p>
        </w:tc>
      </w:tr>
      <w:tr w:rsidR="00E57DAA" w14:paraId="71F408E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03326F6" w14:textId="77777777" w:rsidR="00E57DAA" w:rsidRDefault="00AC4185">
            <w:pPr>
              <w:rPr>
                <w:szCs w:val="21"/>
              </w:rPr>
            </w:pPr>
            <w:r>
              <w:t>达州利森水泥有限公司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6A6BC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B69FC5" w14:textId="77777777" w:rsidR="00E57DAA" w:rsidRDefault="00AC4185">
            <w:pPr>
              <w:jc w:val="right"/>
              <w:rPr>
                <w:szCs w:val="21"/>
              </w:rPr>
            </w:pPr>
            <w:r>
              <w:t>16,554,237.44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F1C0B8C" w14:textId="77777777" w:rsidR="00E57DAA" w:rsidRDefault="00AC4185">
            <w:pPr>
              <w:jc w:val="right"/>
              <w:rPr>
                <w:szCs w:val="21"/>
              </w:rPr>
            </w:pPr>
            <w:r>
              <w:t>11,345,975.00</w:t>
            </w:r>
          </w:p>
        </w:tc>
      </w:tr>
      <w:tr w:rsidR="00E57DAA" w14:paraId="17C31CD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062FF4" w14:textId="77777777" w:rsidR="00E57DAA" w:rsidRDefault="00AC4185">
            <w:pPr>
              <w:rPr>
                <w:szCs w:val="21"/>
              </w:rPr>
            </w:pPr>
            <w:r>
              <w:t>大方永贵建材有限责任公司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A6A79B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CCEFD3" w14:textId="77777777" w:rsidR="00E57DAA" w:rsidRDefault="00AC4185">
            <w:pPr>
              <w:jc w:val="right"/>
              <w:rPr>
                <w:szCs w:val="21"/>
              </w:rPr>
            </w:pPr>
            <w:r>
              <w:t>2,745,997.70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E1932EB" w14:textId="77777777" w:rsidR="00E57DAA" w:rsidRDefault="00AC4185">
            <w:pPr>
              <w:jc w:val="right"/>
              <w:rPr>
                <w:szCs w:val="21"/>
              </w:rPr>
            </w:pPr>
            <w:r>
              <w:t>23,469.69</w:t>
            </w:r>
          </w:p>
        </w:tc>
      </w:tr>
      <w:tr w:rsidR="00E57DAA" w14:paraId="1A63DB2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33743AC" w14:textId="77777777" w:rsidR="00E57DAA" w:rsidRDefault="00AC4185">
            <w:pPr>
              <w:rPr>
                <w:szCs w:val="21"/>
              </w:rPr>
            </w:pPr>
            <w:r>
              <w:t>大连金刚天马水泥有限公司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2BDAD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77ADF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D59D598" w14:textId="77777777" w:rsidR="00E57DAA" w:rsidRDefault="00AC4185">
            <w:pPr>
              <w:jc w:val="right"/>
              <w:rPr>
                <w:szCs w:val="21"/>
              </w:rPr>
            </w:pPr>
            <w:r>
              <w:t>11,000.01</w:t>
            </w:r>
          </w:p>
        </w:tc>
      </w:tr>
      <w:tr w:rsidR="00E57DAA" w14:paraId="2B553C7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DBEE3F" w14:textId="77777777" w:rsidR="00E57DAA" w:rsidRDefault="00AC4185">
            <w:pPr>
              <w:rPr>
                <w:szCs w:val="21"/>
              </w:rPr>
            </w:pPr>
            <w:r>
              <w:t>单县中联混凝土有限公司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4F906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6364A9" w14:textId="77777777" w:rsidR="00E57DAA" w:rsidRDefault="00AC4185">
            <w:pPr>
              <w:jc w:val="right"/>
              <w:rPr>
                <w:szCs w:val="21"/>
              </w:rPr>
            </w:pPr>
            <w:r>
              <w:t>9,106.19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A196570" w14:textId="77777777" w:rsidR="00E57DAA" w:rsidRDefault="00AC4185">
            <w:pPr>
              <w:jc w:val="right"/>
              <w:rPr>
                <w:szCs w:val="21"/>
              </w:rPr>
            </w:pPr>
            <w:r>
              <w:t xml:space="preserve">　</w:t>
            </w:r>
          </w:p>
        </w:tc>
      </w:tr>
      <w:tr w:rsidR="00E57DAA" w14:paraId="04B157B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FFCDB8B" w14:textId="77777777" w:rsidR="00E57DAA" w:rsidRDefault="00AC4185">
            <w:pPr>
              <w:rPr>
                <w:szCs w:val="21"/>
              </w:rPr>
            </w:pPr>
            <w:r>
              <w:t>德安县南方新材料有限公司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7F668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C8DD6DD" w14:textId="77777777" w:rsidR="00E57DAA" w:rsidRDefault="00AC4185">
            <w:pPr>
              <w:jc w:val="right"/>
              <w:rPr>
                <w:szCs w:val="21"/>
              </w:rPr>
            </w:pPr>
            <w:r>
              <w:t>84,393,344.77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789322" w14:textId="77777777" w:rsidR="00E57DAA" w:rsidRDefault="00AC4185">
            <w:pPr>
              <w:jc w:val="right"/>
              <w:rPr>
                <w:szCs w:val="21"/>
              </w:rPr>
            </w:pPr>
            <w:r>
              <w:t>39,327,493.01</w:t>
            </w:r>
          </w:p>
        </w:tc>
      </w:tr>
      <w:tr w:rsidR="00E57DAA" w14:paraId="5B5C493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7E0110" w14:textId="77777777" w:rsidR="00E57DAA" w:rsidRDefault="00AC4185">
            <w:pPr>
              <w:rPr>
                <w:szCs w:val="21"/>
              </w:rPr>
            </w:pPr>
            <w:r>
              <w:t>德惠北方水泥有限公司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FB7B8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8BEFD81" w14:textId="77777777" w:rsidR="00E57DAA" w:rsidRDefault="00AC4185">
            <w:pPr>
              <w:jc w:val="right"/>
              <w:rPr>
                <w:szCs w:val="21"/>
              </w:rPr>
            </w:pPr>
            <w:r>
              <w:t>99,115.03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2100353" w14:textId="77777777" w:rsidR="00E57DAA" w:rsidRDefault="00AC4185">
            <w:pPr>
              <w:jc w:val="right"/>
              <w:rPr>
                <w:szCs w:val="21"/>
              </w:rPr>
            </w:pPr>
            <w:r>
              <w:t>4,424.78</w:t>
            </w:r>
          </w:p>
        </w:tc>
      </w:tr>
      <w:tr w:rsidR="00E57DAA" w14:paraId="0D1F6ED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E728AF0" w14:textId="77777777" w:rsidR="00E57DAA" w:rsidRDefault="00AC4185">
            <w:pPr>
              <w:rPr>
                <w:szCs w:val="21"/>
              </w:rPr>
            </w:pPr>
            <w:r>
              <w:t>德惠北方水泥有限公司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491AF8"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9C404A"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B5B0019" w14:textId="77777777" w:rsidR="00E57DAA" w:rsidRDefault="00AC4185">
            <w:pPr>
              <w:jc w:val="right"/>
              <w:rPr>
                <w:szCs w:val="21"/>
              </w:rPr>
            </w:pPr>
            <w:r>
              <w:t xml:space="preserve">　</w:t>
            </w:r>
          </w:p>
        </w:tc>
      </w:tr>
      <w:tr w:rsidR="00E57DAA" w14:paraId="23D2F61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9EAF017" w14:textId="77777777" w:rsidR="00E57DAA" w:rsidRDefault="00AC4185">
            <w:pPr>
              <w:rPr>
                <w:szCs w:val="21"/>
              </w:rPr>
            </w:pPr>
            <w:r>
              <w:t>德清南方水泥有限公司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09639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3F8642" w14:textId="77777777" w:rsidR="00E57DAA" w:rsidRDefault="00AC4185">
            <w:pPr>
              <w:jc w:val="right"/>
              <w:rPr>
                <w:szCs w:val="21"/>
              </w:rPr>
            </w:pPr>
            <w:r>
              <w:t>2,113,766.74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40E4DFF" w14:textId="77777777" w:rsidR="00E57DAA" w:rsidRDefault="00AC4185">
            <w:pPr>
              <w:jc w:val="right"/>
              <w:rPr>
                <w:szCs w:val="21"/>
              </w:rPr>
            </w:pPr>
            <w:r>
              <w:t>4,048,988.67</w:t>
            </w:r>
          </w:p>
        </w:tc>
      </w:tr>
      <w:tr w:rsidR="00E57DAA" w14:paraId="0AB475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36E07C" w14:textId="77777777" w:rsidR="00E57DAA" w:rsidRDefault="00AC4185">
            <w:pPr>
              <w:rPr>
                <w:szCs w:val="21"/>
              </w:rPr>
            </w:pPr>
            <w:r>
              <w:t>德州中联大坝水泥有限公司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4EEDF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A0C969E" w14:textId="77777777" w:rsidR="00E57DAA" w:rsidRDefault="00AC4185">
            <w:pPr>
              <w:jc w:val="right"/>
              <w:rPr>
                <w:szCs w:val="21"/>
              </w:rPr>
            </w:pPr>
            <w:r>
              <w:t>236,010.62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FFAFC78" w14:textId="77777777" w:rsidR="00E57DAA" w:rsidRDefault="00AC4185">
            <w:pPr>
              <w:jc w:val="right"/>
              <w:rPr>
                <w:szCs w:val="21"/>
              </w:rPr>
            </w:pPr>
            <w:r>
              <w:t>18,035,090.68</w:t>
            </w:r>
          </w:p>
        </w:tc>
      </w:tr>
      <w:tr w:rsidR="00E57DAA" w14:paraId="2A6E20A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81E4DA3" w14:textId="77777777" w:rsidR="00E57DAA" w:rsidRDefault="00AC4185">
            <w:pPr>
              <w:rPr>
                <w:szCs w:val="21"/>
              </w:rPr>
            </w:pPr>
            <w:r>
              <w:t>登封中联登电水泥有限公司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9535F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0431C37" w14:textId="77777777" w:rsidR="00E57DAA" w:rsidRDefault="00AC4185">
            <w:pPr>
              <w:jc w:val="right"/>
              <w:rPr>
                <w:szCs w:val="21"/>
              </w:rPr>
            </w:pPr>
            <w:r>
              <w:t>25,414,749.35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99E56A0" w14:textId="77777777" w:rsidR="00E57DAA" w:rsidRDefault="00AC4185">
            <w:pPr>
              <w:jc w:val="right"/>
              <w:rPr>
                <w:szCs w:val="21"/>
              </w:rPr>
            </w:pPr>
            <w:r>
              <w:t>19,904,633.98</w:t>
            </w:r>
          </w:p>
        </w:tc>
      </w:tr>
      <w:tr w:rsidR="00E57DAA" w14:paraId="55A1345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DE7690E" w14:textId="77777777" w:rsidR="00E57DAA" w:rsidRDefault="00AC4185">
            <w:pPr>
              <w:rPr>
                <w:szCs w:val="21"/>
              </w:rPr>
            </w:pPr>
            <w:r>
              <w:t>邓州中联水泥有限公司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B6156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5EF52B" w14:textId="77777777" w:rsidR="00E57DAA" w:rsidRDefault="00AC4185">
            <w:pPr>
              <w:jc w:val="right"/>
              <w:rPr>
                <w:szCs w:val="21"/>
              </w:rPr>
            </w:pPr>
            <w:r>
              <w:t>69,626,105.64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2F03EAD" w14:textId="77777777" w:rsidR="00E57DAA" w:rsidRDefault="00AC4185">
            <w:pPr>
              <w:jc w:val="right"/>
              <w:rPr>
                <w:szCs w:val="21"/>
              </w:rPr>
            </w:pPr>
            <w:r>
              <w:t>16,897,302.35</w:t>
            </w:r>
          </w:p>
        </w:tc>
      </w:tr>
      <w:tr w:rsidR="00E57DAA" w14:paraId="7252719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46197A5" w14:textId="77777777" w:rsidR="00E57DAA" w:rsidRDefault="00AC4185">
            <w:pPr>
              <w:rPr>
                <w:szCs w:val="21"/>
              </w:rPr>
            </w:pPr>
            <w:r>
              <w:t>东光中联水泥有限公司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F035B9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DDE16F" w14:textId="77777777" w:rsidR="00E57DAA" w:rsidRDefault="00AC4185">
            <w:pPr>
              <w:jc w:val="right"/>
              <w:rPr>
                <w:szCs w:val="21"/>
              </w:rPr>
            </w:pPr>
            <w:r>
              <w:t>31,545.11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11E4BE6" w14:textId="77777777" w:rsidR="00E57DAA" w:rsidRDefault="00AC4185">
            <w:pPr>
              <w:jc w:val="right"/>
              <w:rPr>
                <w:szCs w:val="21"/>
              </w:rPr>
            </w:pPr>
            <w:r>
              <w:t>106,194.68</w:t>
            </w:r>
          </w:p>
        </w:tc>
      </w:tr>
      <w:tr w:rsidR="00E57DAA" w14:paraId="669AB42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DCD984" w14:textId="77777777" w:rsidR="00E57DAA" w:rsidRDefault="00AC4185">
            <w:pPr>
              <w:rPr>
                <w:szCs w:val="21"/>
              </w:rPr>
            </w:pPr>
            <w:r>
              <w:t>东辽县吉源石灰石矿业有限公司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917C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656121C" w14:textId="77777777" w:rsidR="00E57DAA" w:rsidRDefault="00AC4185">
            <w:pPr>
              <w:jc w:val="right"/>
              <w:rPr>
                <w:szCs w:val="21"/>
              </w:rPr>
            </w:pPr>
            <w:r>
              <w:t>4,178,440.53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F017964" w14:textId="77777777" w:rsidR="00E57DAA" w:rsidRDefault="00AC4185">
            <w:pPr>
              <w:jc w:val="right"/>
              <w:rPr>
                <w:szCs w:val="21"/>
              </w:rPr>
            </w:pPr>
            <w:r>
              <w:t xml:space="preserve">　</w:t>
            </w:r>
          </w:p>
        </w:tc>
      </w:tr>
      <w:tr w:rsidR="00E57DAA" w14:paraId="3775638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7FE89FF" w14:textId="77777777" w:rsidR="00E57DAA" w:rsidRDefault="00AC4185">
            <w:pPr>
              <w:rPr>
                <w:szCs w:val="21"/>
              </w:rPr>
            </w:pPr>
            <w:r>
              <w:t>东平中联水泥有限公司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00D43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9D99D31" w14:textId="77777777" w:rsidR="00E57DAA" w:rsidRDefault="00AC4185">
            <w:pPr>
              <w:jc w:val="right"/>
              <w:rPr>
                <w:szCs w:val="21"/>
              </w:rPr>
            </w:pPr>
            <w:r>
              <w:t>29,580,535.88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C703386" w14:textId="77777777" w:rsidR="00E57DAA" w:rsidRDefault="00AC4185">
            <w:pPr>
              <w:jc w:val="right"/>
              <w:rPr>
                <w:szCs w:val="21"/>
              </w:rPr>
            </w:pPr>
            <w:r>
              <w:t>19,143,686.76</w:t>
            </w:r>
          </w:p>
        </w:tc>
      </w:tr>
      <w:tr w:rsidR="00E57DAA" w14:paraId="3CEEB39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D786007" w14:textId="77777777" w:rsidR="00E57DAA" w:rsidRDefault="00AC4185">
            <w:pPr>
              <w:rPr>
                <w:szCs w:val="21"/>
              </w:rPr>
            </w:pPr>
            <w:r>
              <w:t>东营中联混凝土有限公司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08BD8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5C3E89" w14:textId="77777777" w:rsidR="00E57DAA" w:rsidRDefault="00AC4185">
            <w:pPr>
              <w:jc w:val="right"/>
              <w:rPr>
                <w:szCs w:val="21"/>
              </w:rPr>
            </w:pPr>
            <w:r>
              <w:t>810.62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DD7DAB8" w14:textId="77777777" w:rsidR="00E57DAA" w:rsidRDefault="00AC4185">
            <w:pPr>
              <w:jc w:val="right"/>
              <w:rPr>
                <w:szCs w:val="21"/>
              </w:rPr>
            </w:pPr>
            <w:r>
              <w:t xml:space="preserve">　</w:t>
            </w:r>
          </w:p>
        </w:tc>
      </w:tr>
      <w:tr w:rsidR="00E57DAA" w14:paraId="34324BE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C6C6D2A" w14:textId="77777777" w:rsidR="00E57DAA" w:rsidRDefault="00AC4185">
            <w:pPr>
              <w:rPr>
                <w:szCs w:val="21"/>
              </w:rPr>
            </w:pPr>
            <w:r>
              <w:t>肥西南方水泥有限公司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A4BEC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377598" w14:textId="77777777" w:rsidR="00E57DAA" w:rsidRDefault="00AC4185">
            <w:pPr>
              <w:jc w:val="right"/>
              <w:rPr>
                <w:szCs w:val="21"/>
              </w:rPr>
            </w:pPr>
            <w:r>
              <w:t>91,252.21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FA6FC85" w14:textId="77777777" w:rsidR="00E57DAA" w:rsidRDefault="00AC4185">
            <w:pPr>
              <w:jc w:val="right"/>
              <w:rPr>
                <w:szCs w:val="21"/>
              </w:rPr>
            </w:pPr>
            <w:r>
              <w:t>162,407.07</w:t>
            </w:r>
          </w:p>
        </w:tc>
      </w:tr>
      <w:tr w:rsidR="00E57DAA" w14:paraId="65007E6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97226F" w14:textId="77777777" w:rsidR="00E57DAA" w:rsidRDefault="00AC4185">
            <w:pPr>
              <w:rPr>
                <w:szCs w:val="21"/>
              </w:rPr>
            </w:pPr>
            <w:r>
              <w:t>福建三明南方水泥有限公司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10A84F"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15AA13" w14:textId="77777777" w:rsidR="00E57DAA" w:rsidRDefault="00AC4185">
            <w:pPr>
              <w:jc w:val="right"/>
              <w:rPr>
                <w:szCs w:val="21"/>
              </w:rPr>
            </w:pPr>
            <w:r>
              <w:t>32,038,444.59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D2A90C3" w14:textId="77777777" w:rsidR="00E57DAA" w:rsidRDefault="00AC4185">
            <w:pPr>
              <w:jc w:val="right"/>
              <w:rPr>
                <w:szCs w:val="21"/>
              </w:rPr>
            </w:pPr>
            <w:r>
              <w:t>31,135,166.52</w:t>
            </w:r>
          </w:p>
        </w:tc>
      </w:tr>
      <w:tr w:rsidR="00E57DAA" w14:paraId="11E0A2D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EFE0F1B" w14:textId="77777777" w:rsidR="00E57DAA" w:rsidRDefault="00AC4185">
            <w:pPr>
              <w:rPr>
                <w:szCs w:val="21"/>
              </w:rPr>
            </w:pPr>
            <w:r>
              <w:t>抚州市东乡区南方新材料有限公司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9668E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436DEA" w14:textId="77777777" w:rsidR="00E57DAA" w:rsidRDefault="00AC4185">
            <w:pPr>
              <w:jc w:val="right"/>
              <w:rPr>
                <w:szCs w:val="21"/>
              </w:rPr>
            </w:pPr>
            <w:r>
              <w:t>77,883,453.08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1DC777C" w14:textId="77777777" w:rsidR="00E57DAA" w:rsidRDefault="00AC4185">
            <w:pPr>
              <w:jc w:val="right"/>
              <w:rPr>
                <w:szCs w:val="21"/>
              </w:rPr>
            </w:pPr>
            <w:r>
              <w:t>51,770,303.48</w:t>
            </w:r>
          </w:p>
        </w:tc>
      </w:tr>
      <w:tr w:rsidR="00E57DAA" w14:paraId="5B22A8B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1D4074A" w14:textId="77777777" w:rsidR="00E57DAA" w:rsidRDefault="00AC4185">
            <w:pPr>
              <w:rPr>
                <w:szCs w:val="21"/>
              </w:rPr>
            </w:pPr>
            <w:r>
              <w:t>抚州市东乡区上陈新材料有限公司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28A56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85D720D" w14:textId="77777777" w:rsidR="00E57DAA" w:rsidRDefault="00AC4185">
            <w:pPr>
              <w:jc w:val="right"/>
              <w:rPr>
                <w:szCs w:val="21"/>
              </w:rPr>
            </w:pPr>
            <w:r>
              <w:t>65,664,252.78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3ED2149" w14:textId="77777777" w:rsidR="00E57DAA" w:rsidRDefault="00AC4185">
            <w:pPr>
              <w:jc w:val="right"/>
              <w:rPr>
                <w:szCs w:val="21"/>
              </w:rPr>
            </w:pPr>
            <w:r>
              <w:t>75,537,445.18</w:t>
            </w:r>
          </w:p>
        </w:tc>
      </w:tr>
      <w:tr w:rsidR="00E57DAA" w14:paraId="7820104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BAF3AFD" w14:textId="77777777" w:rsidR="00E57DAA" w:rsidRDefault="00AC4185">
            <w:pPr>
              <w:rPr>
                <w:szCs w:val="21"/>
              </w:rPr>
            </w:pPr>
            <w:r>
              <w:t>阜阳中联水泥有限公司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76D2D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582DD78" w14:textId="77777777" w:rsidR="00E57DAA" w:rsidRDefault="00AC4185">
            <w:pPr>
              <w:jc w:val="right"/>
              <w:rPr>
                <w:szCs w:val="21"/>
              </w:rPr>
            </w:pPr>
            <w:r>
              <w:t>13,451.32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876FEF7" w14:textId="77777777" w:rsidR="00E57DAA" w:rsidRDefault="00AC4185">
            <w:pPr>
              <w:jc w:val="right"/>
              <w:rPr>
                <w:szCs w:val="21"/>
              </w:rPr>
            </w:pPr>
            <w:r>
              <w:t>44,530.98</w:t>
            </w:r>
          </w:p>
        </w:tc>
      </w:tr>
      <w:tr w:rsidR="00E57DAA" w14:paraId="42D47C9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1EAAF4" w14:textId="77777777" w:rsidR="00E57DAA" w:rsidRDefault="00AC4185">
            <w:pPr>
              <w:rPr>
                <w:szCs w:val="21"/>
              </w:rPr>
            </w:pPr>
            <w:r>
              <w:t>富民金锐水泥建材有限责任公司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90F6A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545937" w14:textId="77777777" w:rsidR="00E57DAA" w:rsidRDefault="00AC4185">
            <w:pPr>
              <w:jc w:val="right"/>
              <w:rPr>
                <w:szCs w:val="21"/>
              </w:rPr>
            </w:pPr>
            <w:r>
              <w:t>5,852,990.66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2EF5674" w14:textId="77777777" w:rsidR="00E57DAA" w:rsidRDefault="00AC4185">
            <w:pPr>
              <w:jc w:val="right"/>
              <w:rPr>
                <w:szCs w:val="21"/>
              </w:rPr>
            </w:pPr>
            <w:r>
              <w:t>20,836,202.33</w:t>
            </w:r>
          </w:p>
        </w:tc>
      </w:tr>
      <w:tr w:rsidR="00E57DAA" w14:paraId="160018C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CBB8F5B" w14:textId="77777777" w:rsidR="00E57DAA" w:rsidRDefault="00AC4185">
            <w:pPr>
              <w:rPr>
                <w:szCs w:val="21"/>
              </w:rPr>
            </w:pPr>
            <w:r>
              <w:t>富蕴天山水泥有限责任公司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77773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264FA0" w14:textId="77777777" w:rsidR="00E57DAA" w:rsidRDefault="00AC4185">
            <w:pPr>
              <w:jc w:val="right"/>
              <w:rPr>
                <w:szCs w:val="21"/>
              </w:rPr>
            </w:pPr>
            <w:r>
              <w:t>26,267,172.68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4C99FB1" w14:textId="77777777" w:rsidR="00E57DAA" w:rsidRDefault="00AC4185">
            <w:pPr>
              <w:jc w:val="right"/>
              <w:rPr>
                <w:szCs w:val="21"/>
              </w:rPr>
            </w:pPr>
            <w:r>
              <w:t>665,905.89</w:t>
            </w:r>
          </w:p>
        </w:tc>
      </w:tr>
      <w:tr w:rsidR="00E57DAA" w14:paraId="54A2DC3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CC43F99" w14:textId="77777777" w:rsidR="00E57DAA" w:rsidRDefault="00AC4185">
            <w:pPr>
              <w:rPr>
                <w:szCs w:val="21"/>
              </w:rPr>
            </w:pPr>
            <w:r>
              <w:t>甘谷祁连山水泥有限公司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C8A33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2ACF52" w14:textId="77777777" w:rsidR="00E57DAA" w:rsidRDefault="00AC4185">
            <w:pPr>
              <w:jc w:val="right"/>
              <w:rPr>
                <w:szCs w:val="21"/>
              </w:rPr>
            </w:pPr>
            <w:r>
              <w:t>15,395,925.08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860622A" w14:textId="77777777" w:rsidR="00E57DAA" w:rsidRDefault="00AC4185">
            <w:pPr>
              <w:jc w:val="right"/>
              <w:rPr>
                <w:szCs w:val="21"/>
              </w:rPr>
            </w:pPr>
            <w:r>
              <w:t xml:space="preserve">　</w:t>
            </w:r>
          </w:p>
        </w:tc>
      </w:tr>
      <w:tr w:rsidR="00E57DAA" w14:paraId="7BBEE5C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6E82173" w14:textId="77777777" w:rsidR="00E57DAA" w:rsidRDefault="00AC4185">
            <w:pPr>
              <w:rPr>
                <w:szCs w:val="21"/>
              </w:rPr>
            </w:pPr>
            <w:r>
              <w:t>古浪祁连山水泥有限公司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57F3F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375DF7" w14:textId="77777777" w:rsidR="00E57DAA" w:rsidRDefault="00AC4185">
            <w:pPr>
              <w:jc w:val="right"/>
              <w:rPr>
                <w:szCs w:val="21"/>
              </w:rPr>
            </w:pPr>
            <w:r>
              <w:t>22,667,859.89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1CA3A7" w14:textId="77777777" w:rsidR="00E57DAA" w:rsidRDefault="00AC4185">
            <w:pPr>
              <w:jc w:val="right"/>
              <w:rPr>
                <w:szCs w:val="21"/>
              </w:rPr>
            </w:pPr>
            <w:r>
              <w:t>23,616,128.10</w:t>
            </w:r>
          </w:p>
        </w:tc>
      </w:tr>
      <w:tr w:rsidR="00E57DAA" w14:paraId="7C3F46F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580FDC5" w14:textId="77777777" w:rsidR="00E57DAA" w:rsidRDefault="00AC4185">
            <w:pPr>
              <w:rPr>
                <w:szCs w:val="21"/>
              </w:rPr>
            </w:pPr>
            <w:r>
              <w:t>固原市赛马新型建材有限公司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9454B2"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81FA3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66A049A" w14:textId="77777777" w:rsidR="00E57DAA" w:rsidRDefault="00AC4185">
            <w:pPr>
              <w:jc w:val="right"/>
              <w:rPr>
                <w:szCs w:val="21"/>
              </w:rPr>
            </w:pPr>
            <w:r>
              <w:t>3,457.98</w:t>
            </w:r>
          </w:p>
        </w:tc>
      </w:tr>
      <w:tr w:rsidR="00E57DAA" w14:paraId="3075879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921BFE" w14:textId="77777777" w:rsidR="00E57DAA" w:rsidRDefault="00AC4185">
            <w:pPr>
              <w:rPr>
                <w:szCs w:val="21"/>
              </w:rPr>
            </w:pPr>
            <w:r>
              <w:t>广德独山南方水泥有限公司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48A3D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C203F0" w14:textId="77777777" w:rsidR="00E57DAA" w:rsidRDefault="00AC4185">
            <w:pPr>
              <w:jc w:val="right"/>
              <w:rPr>
                <w:szCs w:val="21"/>
              </w:rPr>
            </w:pPr>
            <w:r>
              <w:t>32,139,115.18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11DD4B2" w14:textId="77777777" w:rsidR="00E57DAA" w:rsidRDefault="00AC4185">
            <w:pPr>
              <w:jc w:val="right"/>
              <w:rPr>
                <w:szCs w:val="21"/>
              </w:rPr>
            </w:pPr>
            <w:r>
              <w:t>47,818,973.85</w:t>
            </w:r>
          </w:p>
        </w:tc>
      </w:tr>
      <w:tr w:rsidR="00E57DAA" w14:paraId="68FDB91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7DF2D95" w14:textId="77777777" w:rsidR="00E57DAA" w:rsidRDefault="00AC4185">
            <w:pPr>
              <w:rPr>
                <w:szCs w:val="21"/>
              </w:rPr>
            </w:pPr>
            <w:r>
              <w:t>广德新杭南方水泥有限公司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E4676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0608036" w14:textId="77777777" w:rsidR="00E57DAA" w:rsidRDefault="00AC4185">
            <w:pPr>
              <w:jc w:val="right"/>
              <w:rPr>
                <w:szCs w:val="21"/>
              </w:rPr>
            </w:pPr>
            <w:r>
              <w:t>16,920,914.14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12379A0" w14:textId="77777777" w:rsidR="00E57DAA" w:rsidRDefault="00AC4185">
            <w:pPr>
              <w:jc w:val="right"/>
              <w:rPr>
                <w:szCs w:val="21"/>
              </w:rPr>
            </w:pPr>
            <w:r>
              <w:t>20,436,867.17</w:t>
            </w:r>
          </w:p>
        </w:tc>
      </w:tr>
      <w:tr w:rsidR="00E57DAA" w14:paraId="4A16FD8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8B218D1" w14:textId="77777777" w:rsidR="00E57DAA" w:rsidRDefault="00AC4185">
            <w:pPr>
              <w:rPr>
                <w:szCs w:val="21"/>
              </w:rPr>
            </w:pPr>
            <w:r>
              <w:t>广西金鲤水泥有限公司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36F00F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85B571" w14:textId="77777777" w:rsidR="00E57DAA" w:rsidRDefault="00AC4185">
            <w:pPr>
              <w:jc w:val="right"/>
              <w:rPr>
                <w:szCs w:val="21"/>
              </w:rPr>
            </w:pPr>
            <w:r>
              <w:t>60,775,796.22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8E6720" w14:textId="77777777" w:rsidR="00E57DAA" w:rsidRDefault="00AC4185">
            <w:pPr>
              <w:jc w:val="right"/>
              <w:rPr>
                <w:szCs w:val="21"/>
              </w:rPr>
            </w:pPr>
            <w:r>
              <w:t>50,943,673.81</w:t>
            </w:r>
          </w:p>
        </w:tc>
      </w:tr>
      <w:tr w:rsidR="00E57DAA" w14:paraId="3F9F77D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08379F" w14:textId="77777777" w:rsidR="00E57DAA" w:rsidRDefault="00AC4185">
            <w:pPr>
              <w:rPr>
                <w:szCs w:val="21"/>
              </w:rPr>
            </w:pPr>
            <w:r>
              <w:lastRenderedPageBreak/>
              <w:t>广元市高力水泥实业有限公司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4AAEF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2742A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33C87E" w14:textId="77777777" w:rsidR="00E57DAA" w:rsidRDefault="00AC4185">
            <w:pPr>
              <w:jc w:val="right"/>
              <w:rPr>
                <w:szCs w:val="21"/>
              </w:rPr>
            </w:pPr>
            <w:r>
              <w:t>618,141.59</w:t>
            </w:r>
          </w:p>
        </w:tc>
      </w:tr>
      <w:tr w:rsidR="00E57DAA" w14:paraId="3EA30A1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C56CCA" w14:textId="77777777" w:rsidR="00E57DAA" w:rsidRDefault="00AC4185">
            <w:pPr>
              <w:rPr>
                <w:szCs w:val="21"/>
              </w:rPr>
            </w:pPr>
            <w:r>
              <w:t>贵州德隆水泥有限公司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EB5AA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006C6B" w14:textId="77777777" w:rsidR="00E57DAA" w:rsidRDefault="00AC4185">
            <w:pPr>
              <w:jc w:val="right"/>
              <w:rPr>
                <w:szCs w:val="21"/>
              </w:rPr>
            </w:pPr>
            <w:r>
              <w:t>4,679,906.64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A4BF281" w14:textId="77777777" w:rsidR="00E57DAA" w:rsidRDefault="00AC4185">
            <w:pPr>
              <w:jc w:val="right"/>
              <w:rPr>
                <w:szCs w:val="21"/>
              </w:rPr>
            </w:pPr>
            <w:r>
              <w:t>5,496,538.68</w:t>
            </w:r>
          </w:p>
        </w:tc>
      </w:tr>
      <w:tr w:rsidR="00E57DAA" w14:paraId="78F10CE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FC6FC49" w14:textId="77777777" w:rsidR="00E57DAA" w:rsidRDefault="00AC4185">
            <w:pPr>
              <w:rPr>
                <w:szCs w:val="21"/>
              </w:rPr>
            </w:pPr>
            <w:r>
              <w:t>贵州梵净山金顶水泥有限公司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C92D8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E43F94" w14:textId="77777777" w:rsidR="00E57DAA" w:rsidRDefault="00AC4185">
            <w:pPr>
              <w:jc w:val="right"/>
              <w:rPr>
                <w:szCs w:val="21"/>
              </w:rPr>
            </w:pPr>
            <w:r>
              <w:t>12,435.84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667D8B3" w14:textId="77777777" w:rsidR="00E57DAA" w:rsidRDefault="00AC4185">
            <w:pPr>
              <w:jc w:val="right"/>
              <w:rPr>
                <w:szCs w:val="21"/>
              </w:rPr>
            </w:pPr>
            <w:r>
              <w:t>9,911.50</w:t>
            </w:r>
          </w:p>
        </w:tc>
      </w:tr>
      <w:tr w:rsidR="00E57DAA" w14:paraId="5F571CD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28853B4" w14:textId="77777777" w:rsidR="00E57DAA" w:rsidRDefault="00AC4185">
            <w:pPr>
              <w:rPr>
                <w:szCs w:val="21"/>
              </w:rPr>
            </w:pPr>
            <w:r>
              <w:t>贵州福泉西南水泥有限公司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00085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4BE2CB" w14:textId="77777777" w:rsidR="00E57DAA" w:rsidRDefault="00AC4185">
            <w:pPr>
              <w:jc w:val="right"/>
              <w:rPr>
                <w:szCs w:val="21"/>
              </w:rPr>
            </w:pPr>
            <w:r>
              <w:t>382,871.62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14857A4" w14:textId="77777777" w:rsidR="00E57DAA" w:rsidRDefault="00AC4185">
            <w:pPr>
              <w:jc w:val="right"/>
              <w:rPr>
                <w:szCs w:val="21"/>
              </w:rPr>
            </w:pPr>
            <w:r>
              <w:t>43,677.65</w:t>
            </w:r>
          </w:p>
        </w:tc>
      </w:tr>
      <w:tr w:rsidR="00E57DAA" w14:paraId="23E4AD8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FB7F3D" w14:textId="77777777" w:rsidR="00E57DAA" w:rsidRDefault="00AC4185">
            <w:pPr>
              <w:rPr>
                <w:szCs w:val="21"/>
              </w:rPr>
            </w:pPr>
            <w:r>
              <w:t>贵州惠水西南水泥有限公司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4D140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A06850C" w14:textId="77777777" w:rsidR="00E57DAA" w:rsidRDefault="00AC4185">
            <w:pPr>
              <w:jc w:val="right"/>
              <w:rPr>
                <w:szCs w:val="21"/>
              </w:rPr>
            </w:pPr>
            <w:r>
              <w:t>5,405,982.32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72AE6CA" w14:textId="77777777" w:rsidR="00E57DAA" w:rsidRDefault="00AC4185">
            <w:pPr>
              <w:jc w:val="right"/>
              <w:rPr>
                <w:szCs w:val="21"/>
              </w:rPr>
            </w:pPr>
            <w:r>
              <w:t>3,544,594.84</w:t>
            </w:r>
          </w:p>
        </w:tc>
      </w:tr>
      <w:tr w:rsidR="00E57DAA" w14:paraId="5E9D3A6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E1B4DD" w14:textId="77777777" w:rsidR="00E57DAA" w:rsidRDefault="00AC4185">
            <w:pPr>
              <w:rPr>
                <w:szCs w:val="21"/>
              </w:rPr>
            </w:pPr>
            <w:r>
              <w:t>贵州黔西西南水泥有限公司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E44B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256687" w14:textId="77777777" w:rsidR="00E57DAA" w:rsidRDefault="00AC4185">
            <w:pPr>
              <w:jc w:val="right"/>
              <w:rPr>
                <w:szCs w:val="21"/>
              </w:rPr>
            </w:pPr>
            <w:r>
              <w:t>3,000,000.00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5DB06B6" w14:textId="77777777" w:rsidR="00E57DAA" w:rsidRDefault="00AC4185">
            <w:pPr>
              <w:jc w:val="right"/>
              <w:rPr>
                <w:szCs w:val="21"/>
              </w:rPr>
            </w:pPr>
            <w:r>
              <w:t xml:space="preserve">　</w:t>
            </w:r>
          </w:p>
        </w:tc>
      </w:tr>
      <w:tr w:rsidR="00E57DAA" w14:paraId="5B80D66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0D6436E" w14:textId="77777777" w:rsidR="00E57DAA" w:rsidRDefault="00AC4185">
            <w:pPr>
              <w:rPr>
                <w:szCs w:val="21"/>
              </w:rPr>
            </w:pPr>
            <w:r>
              <w:t>贵州森垚水泥有限公司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E5ADC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4486476" w14:textId="77777777" w:rsidR="00E57DAA" w:rsidRDefault="00AC4185">
            <w:pPr>
              <w:jc w:val="right"/>
              <w:rPr>
                <w:szCs w:val="21"/>
              </w:rPr>
            </w:pPr>
            <w:r>
              <w:t>36,710,109.18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842F36A" w14:textId="77777777" w:rsidR="00E57DAA" w:rsidRDefault="00AC4185">
            <w:pPr>
              <w:jc w:val="right"/>
              <w:rPr>
                <w:szCs w:val="21"/>
              </w:rPr>
            </w:pPr>
            <w:r>
              <w:t>4,548,319.52</w:t>
            </w:r>
          </w:p>
        </w:tc>
      </w:tr>
      <w:tr w:rsidR="00E57DAA" w14:paraId="7059046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8AD8C99" w14:textId="77777777" w:rsidR="00E57DAA" w:rsidRDefault="00AC4185">
            <w:pPr>
              <w:rPr>
                <w:szCs w:val="21"/>
              </w:rPr>
            </w:pPr>
            <w:r>
              <w:t>贵州思南西南水泥有限公司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F7B45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DCEDAC2" w14:textId="77777777" w:rsidR="00E57DAA" w:rsidRDefault="00AC4185">
            <w:pPr>
              <w:jc w:val="right"/>
              <w:rPr>
                <w:szCs w:val="21"/>
              </w:rPr>
            </w:pPr>
            <w:r>
              <w:t>359,293.18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3AAF3D5" w14:textId="77777777" w:rsidR="00E57DAA" w:rsidRDefault="00AC4185">
            <w:pPr>
              <w:jc w:val="right"/>
              <w:rPr>
                <w:szCs w:val="21"/>
              </w:rPr>
            </w:pPr>
            <w:r>
              <w:t>17,911.50</w:t>
            </w:r>
          </w:p>
        </w:tc>
      </w:tr>
      <w:tr w:rsidR="00E57DAA" w14:paraId="67E2D70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0B9F78" w14:textId="77777777" w:rsidR="00E57DAA" w:rsidRDefault="00AC4185">
            <w:pPr>
              <w:rPr>
                <w:szCs w:val="21"/>
              </w:rPr>
            </w:pPr>
            <w:r>
              <w:t>贵州威宁西南水泥有限公司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F1785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4A36358" w14:textId="77777777" w:rsidR="00E57DAA" w:rsidRDefault="00AC4185">
            <w:pPr>
              <w:jc w:val="right"/>
              <w:rPr>
                <w:szCs w:val="21"/>
              </w:rPr>
            </w:pPr>
            <w:r>
              <w:t>2,429,443.40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B2725D3" w14:textId="77777777" w:rsidR="00E57DAA" w:rsidRDefault="00AC4185">
            <w:pPr>
              <w:jc w:val="right"/>
              <w:rPr>
                <w:szCs w:val="21"/>
              </w:rPr>
            </w:pPr>
            <w:r>
              <w:t>9,380.53</w:t>
            </w:r>
          </w:p>
        </w:tc>
      </w:tr>
      <w:tr w:rsidR="00E57DAA" w14:paraId="4D465BA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613843" w14:textId="77777777" w:rsidR="00E57DAA" w:rsidRDefault="00AC4185">
            <w:pPr>
              <w:rPr>
                <w:szCs w:val="21"/>
              </w:rPr>
            </w:pPr>
            <w:r>
              <w:t>贵州兴义西南水泥有限公司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B825B4"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8B292E" w14:textId="77777777" w:rsidR="00E57DAA" w:rsidRDefault="00AC4185">
            <w:pPr>
              <w:jc w:val="right"/>
              <w:rPr>
                <w:szCs w:val="21"/>
              </w:rPr>
            </w:pPr>
            <w:r>
              <w:t>6,692,232.35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CB7ABCB" w14:textId="77777777" w:rsidR="00E57DAA" w:rsidRDefault="00AC4185">
            <w:pPr>
              <w:jc w:val="right"/>
              <w:rPr>
                <w:szCs w:val="21"/>
              </w:rPr>
            </w:pPr>
            <w:r>
              <w:t>6,644,688.58</w:t>
            </w:r>
          </w:p>
        </w:tc>
      </w:tr>
      <w:tr w:rsidR="00E57DAA" w14:paraId="65D0220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F378F8E" w14:textId="77777777" w:rsidR="00E57DAA" w:rsidRDefault="00AC4185">
            <w:pPr>
              <w:rPr>
                <w:szCs w:val="21"/>
              </w:rPr>
            </w:pPr>
            <w:r>
              <w:t>贵州沿河西南水泥有限公司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8B0BA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4B1A67" w14:textId="77777777" w:rsidR="00E57DAA" w:rsidRDefault="00AC4185">
            <w:pPr>
              <w:jc w:val="right"/>
              <w:rPr>
                <w:szCs w:val="21"/>
              </w:rPr>
            </w:pPr>
            <w:r>
              <w:t>2,561,061.95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240AA3F" w14:textId="77777777" w:rsidR="00E57DAA" w:rsidRDefault="00AC4185">
            <w:pPr>
              <w:jc w:val="right"/>
              <w:rPr>
                <w:szCs w:val="21"/>
              </w:rPr>
            </w:pPr>
            <w:r>
              <w:t>453,995.82</w:t>
            </w:r>
          </w:p>
        </w:tc>
      </w:tr>
      <w:tr w:rsidR="00E57DAA" w14:paraId="0874F88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CB56883" w14:textId="77777777" w:rsidR="00E57DAA" w:rsidRDefault="00AC4185">
            <w:pPr>
              <w:rPr>
                <w:szCs w:val="21"/>
              </w:rPr>
            </w:pPr>
            <w:r>
              <w:t>贵州织金西南水泥有限公司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7755D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25C4E5" w14:textId="77777777" w:rsidR="00E57DAA" w:rsidRDefault="00AC4185">
            <w:pPr>
              <w:jc w:val="right"/>
              <w:rPr>
                <w:szCs w:val="21"/>
              </w:rPr>
            </w:pPr>
            <w:r>
              <w:t>4,886,955.36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2FF5537" w14:textId="77777777" w:rsidR="00E57DAA" w:rsidRDefault="00AC4185">
            <w:pPr>
              <w:jc w:val="right"/>
              <w:rPr>
                <w:szCs w:val="21"/>
              </w:rPr>
            </w:pPr>
            <w:r>
              <w:t>4,249,081.35</w:t>
            </w:r>
          </w:p>
        </w:tc>
      </w:tr>
      <w:tr w:rsidR="00E57DAA" w14:paraId="67837BC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A6EE27B" w14:textId="77777777" w:rsidR="00E57DAA" w:rsidRDefault="00AC4185">
            <w:pPr>
              <w:rPr>
                <w:szCs w:val="21"/>
              </w:rPr>
            </w:pPr>
            <w:r>
              <w:t>贵州中诚水泥有限公司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F34C3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BEE6E4" w14:textId="77777777" w:rsidR="00E57DAA" w:rsidRDefault="00AC4185">
            <w:pPr>
              <w:jc w:val="right"/>
              <w:rPr>
                <w:szCs w:val="21"/>
              </w:rPr>
            </w:pPr>
            <w:r>
              <w:t>195,182.95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0AC92AB" w14:textId="77777777" w:rsidR="00E57DAA" w:rsidRDefault="00AC4185">
            <w:pPr>
              <w:jc w:val="right"/>
              <w:rPr>
                <w:szCs w:val="21"/>
              </w:rPr>
            </w:pPr>
            <w:r>
              <w:t>3,601,641.03</w:t>
            </w:r>
          </w:p>
        </w:tc>
      </w:tr>
      <w:tr w:rsidR="00E57DAA" w14:paraId="1AAF620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30F423" w14:textId="77777777" w:rsidR="00E57DAA" w:rsidRDefault="00AC4185">
            <w:pPr>
              <w:rPr>
                <w:szCs w:val="21"/>
              </w:rPr>
            </w:pPr>
            <w:r>
              <w:t>贵州紫云西南水泥有限公司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312B0F2"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1AD94D" w14:textId="77777777" w:rsidR="00E57DAA" w:rsidRDefault="00AC4185">
            <w:pPr>
              <w:jc w:val="right"/>
              <w:rPr>
                <w:szCs w:val="21"/>
              </w:rPr>
            </w:pPr>
            <w:r>
              <w:t>6,555,248.05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40F5151" w14:textId="77777777" w:rsidR="00E57DAA" w:rsidRDefault="00AC4185">
            <w:pPr>
              <w:jc w:val="right"/>
              <w:rPr>
                <w:szCs w:val="21"/>
              </w:rPr>
            </w:pPr>
            <w:r>
              <w:t>4,868,840.38</w:t>
            </w:r>
          </w:p>
        </w:tc>
      </w:tr>
      <w:tr w:rsidR="00E57DAA" w14:paraId="4612864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50529A" w14:textId="77777777" w:rsidR="00E57DAA" w:rsidRDefault="00AC4185">
            <w:pPr>
              <w:rPr>
                <w:szCs w:val="21"/>
              </w:rPr>
            </w:pPr>
            <w:r>
              <w:t>贵州遵义建安混凝土有限公司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7DB04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E0F8A0" w14:textId="77777777" w:rsidR="00E57DAA" w:rsidRDefault="00AC4185">
            <w:pPr>
              <w:jc w:val="right"/>
              <w:rPr>
                <w:szCs w:val="21"/>
              </w:rPr>
            </w:pPr>
            <w:r>
              <w:t>4,140,312.50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AEE19F" w14:textId="77777777" w:rsidR="00E57DAA" w:rsidRDefault="00AC4185">
            <w:pPr>
              <w:jc w:val="right"/>
              <w:rPr>
                <w:szCs w:val="21"/>
              </w:rPr>
            </w:pPr>
            <w:r>
              <w:t>1,085,424.87</w:t>
            </w:r>
          </w:p>
        </w:tc>
      </w:tr>
      <w:tr w:rsidR="00E57DAA" w14:paraId="2CC70E0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FB517E5" w14:textId="77777777" w:rsidR="00E57DAA" w:rsidRDefault="00AC4185">
            <w:pPr>
              <w:rPr>
                <w:szCs w:val="21"/>
              </w:rPr>
            </w:pPr>
            <w:r>
              <w:t>桂林南方水泥有限公司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62937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DBF3B6D" w14:textId="77777777" w:rsidR="00E57DAA" w:rsidRDefault="00AC4185">
            <w:pPr>
              <w:jc w:val="right"/>
              <w:rPr>
                <w:szCs w:val="21"/>
              </w:rPr>
            </w:pPr>
            <w:r>
              <w:t>27,006,422.74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C57BBA8" w14:textId="77777777" w:rsidR="00E57DAA" w:rsidRDefault="00AC4185">
            <w:pPr>
              <w:jc w:val="right"/>
              <w:rPr>
                <w:szCs w:val="21"/>
              </w:rPr>
            </w:pPr>
            <w:r>
              <w:t>21,525,550.22</w:t>
            </w:r>
          </w:p>
        </w:tc>
      </w:tr>
      <w:tr w:rsidR="00E57DAA" w14:paraId="2995EA3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B70D40A" w14:textId="77777777" w:rsidR="00E57DAA" w:rsidRDefault="00AC4185">
            <w:pPr>
              <w:rPr>
                <w:szCs w:val="21"/>
              </w:rPr>
            </w:pPr>
            <w:r>
              <w:t>哈尔滨市呼兰水泥制造有限责任公司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836CC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F02252" w14:textId="77777777" w:rsidR="00E57DAA" w:rsidRDefault="00AC4185">
            <w:pPr>
              <w:jc w:val="right"/>
              <w:rPr>
                <w:szCs w:val="21"/>
              </w:rPr>
            </w:pPr>
            <w:r>
              <w:t>3,539.82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5618772" w14:textId="77777777" w:rsidR="00E57DAA" w:rsidRDefault="00AC4185">
            <w:pPr>
              <w:jc w:val="right"/>
              <w:rPr>
                <w:szCs w:val="21"/>
              </w:rPr>
            </w:pPr>
            <w:r>
              <w:t>18,584.06</w:t>
            </w:r>
          </w:p>
        </w:tc>
      </w:tr>
      <w:tr w:rsidR="00E57DAA" w14:paraId="02F4F21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7473CF5" w14:textId="77777777" w:rsidR="00E57DAA" w:rsidRDefault="00AC4185">
            <w:pPr>
              <w:rPr>
                <w:szCs w:val="21"/>
              </w:rPr>
            </w:pPr>
            <w:r>
              <w:t>哈密天山水泥有限责任公司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2FA825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65DB8D" w14:textId="77777777" w:rsidR="00E57DAA" w:rsidRDefault="00AC4185">
            <w:pPr>
              <w:jc w:val="right"/>
              <w:rPr>
                <w:szCs w:val="21"/>
              </w:rPr>
            </w:pPr>
            <w:r>
              <w:t>13,716,711.67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1A49BAC" w14:textId="77777777" w:rsidR="00E57DAA" w:rsidRDefault="00AC4185">
            <w:pPr>
              <w:jc w:val="right"/>
              <w:rPr>
                <w:szCs w:val="21"/>
              </w:rPr>
            </w:pPr>
            <w:r>
              <w:t>13,869,723.71</w:t>
            </w:r>
          </w:p>
        </w:tc>
      </w:tr>
      <w:tr w:rsidR="00E57DAA" w14:paraId="5EB8AF8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9F8700B" w14:textId="77777777" w:rsidR="00E57DAA" w:rsidRDefault="00AC4185">
            <w:pPr>
              <w:rPr>
                <w:szCs w:val="21"/>
              </w:rPr>
            </w:pPr>
            <w:r>
              <w:t>海盐南方水泥有限公司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AEF0A0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5F6EB7" w14:textId="77777777" w:rsidR="00E57DAA" w:rsidRDefault="00AC4185">
            <w:pPr>
              <w:jc w:val="right"/>
              <w:rPr>
                <w:szCs w:val="21"/>
              </w:rPr>
            </w:pPr>
            <w:r>
              <w:t>30,177.00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B27536F" w14:textId="77777777" w:rsidR="00E57DAA" w:rsidRDefault="00AC4185">
            <w:pPr>
              <w:jc w:val="right"/>
              <w:rPr>
                <w:szCs w:val="21"/>
              </w:rPr>
            </w:pPr>
            <w:r>
              <w:t xml:space="preserve">　</w:t>
            </w:r>
          </w:p>
        </w:tc>
      </w:tr>
      <w:tr w:rsidR="00E57DAA" w14:paraId="3D1FCE3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E329E97" w14:textId="77777777" w:rsidR="00E57DAA" w:rsidRDefault="00AC4185">
            <w:pPr>
              <w:rPr>
                <w:szCs w:val="21"/>
              </w:rPr>
            </w:pPr>
            <w:r>
              <w:t>海盐秦山南方水泥有限公司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6FAEAD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30EED08" w14:textId="77777777" w:rsidR="00E57DAA" w:rsidRDefault="00AC4185">
            <w:pPr>
              <w:jc w:val="right"/>
              <w:rPr>
                <w:szCs w:val="21"/>
              </w:rPr>
            </w:pPr>
            <w:r>
              <w:t>18,370,036.13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A7F99C" w14:textId="77777777" w:rsidR="00E57DAA" w:rsidRDefault="00AC4185">
            <w:pPr>
              <w:jc w:val="right"/>
              <w:rPr>
                <w:szCs w:val="21"/>
              </w:rPr>
            </w:pPr>
            <w:r>
              <w:t>4,512,762.52</w:t>
            </w:r>
          </w:p>
        </w:tc>
      </w:tr>
      <w:tr w:rsidR="00E57DAA" w14:paraId="2D49133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37A83F" w14:textId="77777777" w:rsidR="00E57DAA" w:rsidRDefault="00AC4185">
            <w:pPr>
              <w:rPr>
                <w:szCs w:val="21"/>
              </w:rPr>
            </w:pPr>
            <w:r>
              <w:t>含山南方水泥有限公司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3E213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C8C70BB" w14:textId="77777777" w:rsidR="00E57DAA" w:rsidRDefault="00AC4185">
            <w:pPr>
              <w:jc w:val="right"/>
              <w:rPr>
                <w:szCs w:val="21"/>
              </w:rPr>
            </w:pPr>
            <w:r>
              <w:t>70,655,023.80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2CD692F" w14:textId="77777777" w:rsidR="00E57DAA" w:rsidRDefault="00AC4185">
            <w:pPr>
              <w:jc w:val="right"/>
              <w:rPr>
                <w:szCs w:val="21"/>
              </w:rPr>
            </w:pPr>
            <w:r>
              <w:t>85,159,215.50</w:t>
            </w:r>
          </w:p>
        </w:tc>
      </w:tr>
      <w:tr w:rsidR="00E57DAA" w14:paraId="25D6630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7297A4" w14:textId="77777777" w:rsidR="00E57DAA" w:rsidRDefault="00AC4185">
            <w:pPr>
              <w:rPr>
                <w:szCs w:val="21"/>
              </w:rPr>
            </w:pPr>
            <w:r>
              <w:t>杭州富阳南方水泥有限公司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30620B"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2E1651"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41ADE7E" w14:textId="77777777" w:rsidR="00E57DAA" w:rsidRDefault="00AC4185">
            <w:pPr>
              <w:jc w:val="right"/>
              <w:rPr>
                <w:szCs w:val="21"/>
              </w:rPr>
            </w:pPr>
            <w:r>
              <w:t>362,235.30</w:t>
            </w:r>
          </w:p>
        </w:tc>
      </w:tr>
      <w:tr w:rsidR="00E57DAA" w14:paraId="69D0969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CA23340" w14:textId="77777777" w:rsidR="00E57DAA" w:rsidRDefault="00AC4185">
            <w:pPr>
              <w:rPr>
                <w:szCs w:val="21"/>
              </w:rPr>
            </w:pPr>
            <w:r>
              <w:t>杭州临安南方水泥有限公司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94F61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B0BF85" w14:textId="77777777" w:rsidR="00E57DAA" w:rsidRDefault="00AC4185">
            <w:pPr>
              <w:jc w:val="right"/>
              <w:rPr>
                <w:szCs w:val="21"/>
              </w:rPr>
            </w:pPr>
            <w:r>
              <w:t>2,838,543.80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DB026E2" w14:textId="77777777" w:rsidR="00E57DAA" w:rsidRDefault="00AC4185">
            <w:pPr>
              <w:jc w:val="right"/>
              <w:rPr>
                <w:szCs w:val="21"/>
              </w:rPr>
            </w:pPr>
            <w:r>
              <w:t>168,694.61</w:t>
            </w:r>
          </w:p>
        </w:tc>
      </w:tr>
      <w:tr w:rsidR="00E57DAA" w14:paraId="0354460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2D6397" w14:textId="77777777" w:rsidR="00E57DAA" w:rsidRDefault="00AC4185">
            <w:pPr>
              <w:rPr>
                <w:szCs w:val="21"/>
              </w:rPr>
            </w:pPr>
            <w:r>
              <w:t>杭州瑞磊建材有限公司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5257B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FB1837" w14:textId="77777777" w:rsidR="00E57DAA" w:rsidRDefault="00AC4185">
            <w:pPr>
              <w:jc w:val="right"/>
              <w:rPr>
                <w:szCs w:val="21"/>
              </w:rPr>
            </w:pPr>
            <w:r>
              <w:t>208,778.76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ADCCA92" w14:textId="77777777" w:rsidR="00E57DAA" w:rsidRDefault="00AC4185">
            <w:pPr>
              <w:jc w:val="right"/>
              <w:rPr>
                <w:szCs w:val="21"/>
              </w:rPr>
            </w:pPr>
            <w:r>
              <w:t xml:space="preserve">　</w:t>
            </w:r>
          </w:p>
        </w:tc>
      </w:tr>
      <w:tr w:rsidR="00E57DAA" w14:paraId="7B1C655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30ECE69" w14:textId="77777777" w:rsidR="00E57DAA" w:rsidRDefault="00AC4185">
            <w:pPr>
              <w:rPr>
                <w:szCs w:val="21"/>
              </w:rPr>
            </w:pPr>
            <w:r>
              <w:t>杭州山亚南方水泥有限公司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116C8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7CAA52" w14:textId="77777777" w:rsidR="00E57DAA" w:rsidRDefault="00AC4185">
            <w:pPr>
              <w:jc w:val="right"/>
              <w:rPr>
                <w:szCs w:val="21"/>
              </w:rPr>
            </w:pPr>
            <w:r>
              <w:t>149,904,930.48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9EBF45" w14:textId="77777777" w:rsidR="00E57DAA" w:rsidRDefault="00AC4185">
            <w:pPr>
              <w:jc w:val="right"/>
              <w:rPr>
                <w:szCs w:val="21"/>
              </w:rPr>
            </w:pPr>
            <w:r>
              <w:t>145,982,096.52</w:t>
            </w:r>
          </w:p>
        </w:tc>
      </w:tr>
      <w:tr w:rsidR="00E57DAA" w14:paraId="265B461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B69ED45" w14:textId="77777777" w:rsidR="00E57DAA" w:rsidRDefault="00AC4185">
            <w:pPr>
              <w:rPr>
                <w:szCs w:val="21"/>
              </w:rPr>
            </w:pPr>
            <w:r>
              <w:t>杭州胥口南方水泥有限公司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C0180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65B115" w14:textId="77777777" w:rsidR="00E57DAA" w:rsidRDefault="00AC4185">
            <w:pPr>
              <w:jc w:val="right"/>
              <w:rPr>
                <w:szCs w:val="21"/>
              </w:rPr>
            </w:pPr>
            <w:r>
              <w:t>5,779,005.69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D4760DA" w14:textId="77777777" w:rsidR="00E57DAA" w:rsidRDefault="00AC4185">
            <w:pPr>
              <w:jc w:val="right"/>
              <w:rPr>
                <w:szCs w:val="21"/>
              </w:rPr>
            </w:pPr>
            <w:r>
              <w:t xml:space="preserve">　</w:t>
            </w:r>
          </w:p>
        </w:tc>
      </w:tr>
      <w:tr w:rsidR="00E57DAA" w14:paraId="264F29F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9CB15B" w14:textId="77777777" w:rsidR="00E57DAA" w:rsidRDefault="00AC4185">
            <w:pPr>
              <w:rPr>
                <w:szCs w:val="21"/>
              </w:rPr>
            </w:pPr>
            <w:r>
              <w:t>合肥南方水泥有限公司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4CB11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32D908" w14:textId="77777777" w:rsidR="00E57DAA" w:rsidRDefault="00AC4185">
            <w:pPr>
              <w:jc w:val="right"/>
              <w:rPr>
                <w:szCs w:val="21"/>
              </w:rPr>
            </w:pPr>
            <w:r>
              <w:t>106,274,985.88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2BCF6A8" w14:textId="77777777" w:rsidR="00E57DAA" w:rsidRDefault="00AC4185">
            <w:pPr>
              <w:jc w:val="right"/>
              <w:rPr>
                <w:szCs w:val="21"/>
              </w:rPr>
            </w:pPr>
            <w:r>
              <w:t>486,671,590.65</w:t>
            </w:r>
          </w:p>
        </w:tc>
      </w:tr>
      <w:tr w:rsidR="00E57DAA" w14:paraId="7C0CDD3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60A3656" w14:textId="77777777" w:rsidR="00E57DAA" w:rsidRDefault="00AC4185">
            <w:pPr>
              <w:rPr>
                <w:szCs w:val="21"/>
              </w:rPr>
            </w:pPr>
            <w:r>
              <w:t>河南省同力水泥有限公司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D35BE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779A4E2" w14:textId="77777777" w:rsidR="00E57DAA" w:rsidRDefault="00AC4185">
            <w:pPr>
              <w:jc w:val="right"/>
              <w:rPr>
                <w:szCs w:val="21"/>
              </w:rPr>
            </w:pPr>
            <w:r>
              <w:t>101,592.93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0B71E29" w14:textId="77777777" w:rsidR="00E57DAA" w:rsidRDefault="00AC4185">
            <w:pPr>
              <w:jc w:val="right"/>
              <w:rPr>
                <w:szCs w:val="21"/>
              </w:rPr>
            </w:pPr>
            <w:r>
              <w:t>89,911.50</w:t>
            </w:r>
          </w:p>
        </w:tc>
      </w:tr>
      <w:tr w:rsidR="00E57DAA" w14:paraId="1FB4504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4905EE7" w14:textId="77777777" w:rsidR="00E57DAA" w:rsidRDefault="00AC4185">
            <w:pPr>
              <w:rPr>
                <w:szCs w:val="21"/>
              </w:rPr>
            </w:pPr>
            <w:r>
              <w:t>菏泽中联混凝土有限公司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95939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4AFEBC" w14:textId="77777777" w:rsidR="00E57DAA" w:rsidRDefault="00AC4185">
            <w:pPr>
              <w:jc w:val="right"/>
              <w:rPr>
                <w:szCs w:val="21"/>
              </w:rPr>
            </w:pPr>
            <w:r>
              <w:t>19,991.14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1B6310" w14:textId="77777777" w:rsidR="00E57DAA" w:rsidRDefault="00AC4185">
            <w:pPr>
              <w:jc w:val="right"/>
              <w:rPr>
                <w:szCs w:val="21"/>
              </w:rPr>
            </w:pPr>
            <w:r>
              <w:t xml:space="preserve">　</w:t>
            </w:r>
          </w:p>
        </w:tc>
      </w:tr>
      <w:tr w:rsidR="00E57DAA" w14:paraId="5B156B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788A2F" w14:textId="77777777" w:rsidR="00E57DAA" w:rsidRDefault="00AC4185">
            <w:pPr>
              <w:rPr>
                <w:szCs w:val="21"/>
              </w:rPr>
            </w:pPr>
            <w:r>
              <w:t>菏泽中联水泥有限公司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5A177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435419" w14:textId="77777777" w:rsidR="00E57DAA" w:rsidRDefault="00AC4185">
            <w:pPr>
              <w:jc w:val="right"/>
              <w:rPr>
                <w:szCs w:val="21"/>
              </w:rPr>
            </w:pPr>
            <w:r>
              <w:t>22,916.80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2FE2670" w14:textId="77777777" w:rsidR="00E57DAA" w:rsidRDefault="00AC4185">
            <w:pPr>
              <w:jc w:val="right"/>
              <w:rPr>
                <w:szCs w:val="21"/>
              </w:rPr>
            </w:pPr>
            <w:r>
              <w:t xml:space="preserve">　</w:t>
            </w:r>
          </w:p>
        </w:tc>
      </w:tr>
      <w:tr w:rsidR="00E57DAA" w14:paraId="54D774B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BBC606" w14:textId="77777777" w:rsidR="00E57DAA" w:rsidRDefault="00AC4185">
            <w:pPr>
              <w:rPr>
                <w:szCs w:val="21"/>
              </w:rPr>
            </w:pPr>
            <w:r>
              <w:lastRenderedPageBreak/>
              <w:t>黑河北方水泥有限公司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A8C9B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35057A4" w14:textId="77777777" w:rsidR="00E57DAA" w:rsidRDefault="00AC4185">
            <w:pPr>
              <w:jc w:val="right"/>
              <w:rPr>
                <w:szCs w:val="21"/>
              </w:rPr>
            </w:pPr>
            <w:r>
              <w:t>22,123.89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C3EEB58" w14:textId="77777777" w:rsidR="00E57DAA" w:rsidRDefault="00AC4185">
            <w:pPr>
              <w:jc w:val="right"/>
              <w:rPr>
                <w:szCs w:val="21"/>
              </w:rPr>
            </w:pPr>
            <w:r>
              <w:t>16,212.39</w:t>
            </w:r>
          </w:p>
        </w:tc>
      </w:tr>
      <w:tr w:rsidR="00E57DAA" w14:paraId="4FD7D50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8A5C14F" w14:textId="77777777" w:rsidR="00E57DAA" w:rsidRDefault="00AC4185">
            <w:pPr>
              <w:rPr>
                <w:szCs w:val="21"/>
              </w:rPr>
            </w:pPr>
            <w:r>
              <w:t>黑河关鸟河水泥有限责任公司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F5E75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B7CC51" w14:textId="77777777" w:rsidR="00E57DAA" w:rsidRDefault="00AC4185">
            <w:pPr>
              <w:jc w:val="right"/>
              <w:rPr>
                <w:szCs w:val="21"/>
              </w:rPr>
            </w:pPr>
            <w:r>
              <w:t>70,141.61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B261A9E" w14:textId="77777777" w:rsidR="00E57DAA" w:rsidRDefault="00AC4185">
            <w:pPr>
              <w:jc w:val="right"/>
              <w:rPr>
                <w:szCs w:val="21"/>
              </w:rPr>
            </w:pPr>
            <w:r>
              <w:t>1,868,584.08</w:t>
            </w:r>
          </w:p>
        </w:tc>
      </w:tr>
      <w:tr w:rsidR="00E57DAA" w14:paraId="2EDC42A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615094C" w14:textId="77777777" w:rsidR="00E57DAA" w:rsidRDefault="00AC4185">
            <w:pPr>
              <w:rPr>
                <w:szCs w:val="21"/>
              </w:rPr>
            </w:pPr>
            <w:r>
              <w:t>黑龙江省宾州水泥有限公司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127D9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686FDB" w14:textId="77777777" w:rsidR="00E57DAA" w:rsidRDefault="00AC4185">
            <w:pPr>
              <w:jc w:val="right"/>
              <w:rPr>
                <w:szCs w:val="21"/>
              </w:rPr>
            </w:pPr>
            <w:r>
              <w:t>19,628,388.57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197FD46" w14:textId="77777777" w:rsidR="00E57DAA" w:rsidRDefault="00AC4185">
            <w:pPr>
              <w:jc w:val="right"/>
              <w:rPr>
                <w:szCs w:val="21"/>
              </w:rPr>
            </w:pPr>
            <w:r>
              <w:t>25,093,585.74</w:t>
            </w:r>
          </w:p>
        </w:tc>
      </w:tr>
      <w:tr w:rsidR="00E57DAA" w14:paraId="3F247D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2F66499" w14:textId="77777777" w:rsidR="00E57DAA" w:rsidRDefault="00AC4185">
            <w:pPr>
              <w:rPr>
                <w:szCs w:val="21"/>
              </w:rPr>
            </w:pPr>
            <w:r>
              <w:t>湖北北新建材有限公司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7E308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196B6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73B75D6" w14:textId="77777777" w:rsidR="00E57DAA" w:rsidRDefault="00AC4185">
            <w:pPr>
              <w:jc w:val="right"/>
              <w:rPr>
                <w:szCs w:val="21"/>
              </w:rPr>
            </w:pPr>
            <w:r>
              <w:t>2,846,812.53</w:t>
            </w:r>
          </w:p>
        </w:tc>
      </w:tr>
      <w:tr w:rsidR="00E57DAA" w14:paraId="33F2348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0143DE" w14:textId="77777777" w:rsidR="00E57DAA" w:rsidRDefault="00AC4185">
            <w:pPr>
              <w:rPr>
                <w:szCs w:val="21"/>
              </w:rPr>
            </w:pPr>
            <w:r>
              <w:t>湖南安仁南方水泥有限公司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95A55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F5DB97" w14:textId="77777777" w:rsidR="00E57DAA" w:rsidRDefault="00AC4185">
            <w:pPr>
              <w:jc w:val="right"/>
              <w:rPr>
                <w:szCs w:val="21"/>
              </w:rPr>
            </w:pPr>
            <w:r>
              <w:t>38,985.88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EF624E5" w14:textId="77777777" w:rsidR="00E57DAA" w:rsidRDefault="00AC4185">
            <w:pPr>
              <w:jc w:val="right"/>
              <w:rPr>
                <w:szCs w:val="21"/>
              </w:rPr>
            </w:pPr>
            <w:r>
              <w:t>2,521,114.79</w:t>
            </w:r>
          </w:p>
        </w:tc>
      </w:tr>
      <w:tr w:rsidR="00E57DAA" w14:paraId="10B4026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DD679AE" w14:textId="77777777" w:rsidR="00E57DAA" w:rsidRDefault="00AC4185">
            <w:pPr>
              <w:rPr>
                <w:szCs w:val="21"/>
              </w:rPr>
            </w:pPr>
            <w:r>
              <w:t>湖南常德南方水泥有限公司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07097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02DA72" w14:textId="77777777" w:rsidR="00E57DAA" w:rsidRDefault="00AC4185">
            <w:pPr>
              <w:jc w:val="right"/>
              <w:rPr>
                <w:szCs w:val="21"/>
              </w:rPr>
            </w:pPr>
            <w:r>
              <w:t>2,107,511.11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831472" w14:textId="77777777" w:rsidR="00E57DAA" w:rsidRDefault="00AC4185">
            <w:pPr>
              <w:jc w:val="right"/>
              <w:rPr>
                <w:szCs w:val="21"/>
              </w:rPr>
            </w:pPr>
            <w:r>
              <w:t xml:space="preserve">　</w:t>
            </w:r>
          </w:p>
        </w:tc>
      </w:tr>
      <w:tr w:rsidR="00E57DAA" w14:paraId="1C8EBD2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CCEA9B" w14:textId="77777777" w:rsidR="00E57DAA" w:rsidRDefault="00AC4185">
            <w:pPr>
              <w:rPr>
                <w:szCs w:val="21"/>
              </w:rPr>
            </w:pPr>
            <w:r>
              <w:t>湖南车江南方水泥有限公司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51173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F3BFAA"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30CC92F" w14:textId="77777777" w:rsidR="00E57DAA" w:rsidRDefault="00AC4185">
            <w:pPr>
              <w:jc w:val="right"/>
              <w:rPr>
                <w:szCs w:val="21"/>
              </w:rPr>
            </w:pPr>
            <w:r>
              <w:t>313,622.43</w:t>
            </w:r>
          </w:p>
        </w:tc>
      </w:tr>
      <w:tr w:rsidR="00E57DAA" w14:paraId="468881B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FC74E4" w14:textId="77777777" w:rsidR="00E57DAA" w:rsidRDefault="00AC4185">
            <w:pPr>
              <w:rPr>
                <w:szCs w:val="21"/>
              </w:rPr>
            </w:pPr>
            <w:r>
              <w:t>湖南古丈南方水泥有限公司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1D1DE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2100C6B" w14:textId="77777777" w:rsidR="00E57DAA" w:rsidRDefault="00AC4185">
            <w:pPr>
              <w:jc w:val="right"/>
              <w:rPr>
                <w:szCs w:val="21"/>
              </w:rPr>
            </w:pPr>
            <w:r>
              <w:t>759,734.51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CB929E1" w14:textId="77777777" w:rsidR="00E57DAA" w:rsidRDefault="00AC4185">
            <w:pPr>
              <w:jc w:val="right"/>
              <w:rPr>
                <w:szCs w:val="21"/>
              </w:rPr>
            </w:pPr>
            <w:r>
              <w:t>51,635.94</w:t>
            </w:r>
          </w:p>
        </w:tc>
      </w:tr>
      <w:tr w:rsidR="00E57DAA" w14:paraId="0D7047F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DE62A2A" w14:textId="77777777" w:rsidR="00E57DAA" w:rsidRDefault="00AC4185">
            <w:pPr>
              <w:rPr>
                <w:szCs w:val="21"/>
              </w:rPr>
            </w:pPr>
            <w:r>
              <w:t>湖南金磊南方水泥有限公司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EC8CCA"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E1DADA" w14:textId="77777777" w:rsidR="00E57DAA" w:rsidRDefault="00AC4185">
            <w:pPr>
              <w:jc w:val="right"/>
              <w:rPr>
                <w:szCs w:val="21"/>
              </w:rPr>
            </w:pPr>
            <w:r>
              <w:t>378,809,197.06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595C33F" w14:textId="77777777" w:rsidR="00E57DAA" w:rsidRDefault="00AC4185">
            <w:pPr>
              <w:jc w:val="right"/>
              <w:rPr>
                <w:szCs w:val="21"/>
              </w:rPr>
            </w:pPr>
            <w:r>
              <w:t>53,656,449.06</w:t>
            </w:r>
          </w:p>
        </w:tc>
      </w:tr>
      <w:tr w:rsidR="00E57DAA" w14:paraId="0FB5E7D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784AC5D" w14:textId="77777777" w:rsidR="00E57DAA" w:rsidRDefault="00AC4185">
            <w:pPr>
              <w:rPr>
                <w:szCs w:val="21"/>
              </w:rPr>
            </w:pPr>
            <w:r>
              <w:t>湖南耒阳南方水泥有限公司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D52E0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8536589" w14:textId="77777777" w:rsidR="00E57DAA" w:rsidRDefault="00AC4185">
            <w:pPr>
              <w:jc w:val="right"/>
              <w:rPr>
                <w:szCs w:val="21"/>
              </w:rPr>
            </w:pPr>
            <w:r>
              <w:t>13,858,133.75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6B0BF0" w14:textId="77777777" w:rsidR="00E57DAA" w:rsidRDefault="00AC4185">
            <w:pPr>
              <w:jc w:val="right"/>
              <w:rPr>
                <w:szCs w:val="21"/>
              </w:rPr>
            </w:pPr>
            <w:r>
              <w:t>18,852,443.42</w:t>
            </w:r>
          </w:p>
        </w:tc>
      </w:tr>
      <w:tr w:rsidR="00E57DAA" w14:paraId="0EDCA31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08C852A" w14:textId="77777777" w:rsidR="00E57DAA" w:rsidRDefault="00AC4185">
            <w:pPr>
              <w:rPr>
                <w:szCs w:val="21"/>
              </w:rPr>
            </w:pPr>
            <w:r>
              <w:t>湖南临澧南方新材料科技有限公司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DD767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016CE1D" w14:textId="77777777" w:rsidR="00E57DAA" w:rsidRDefault="00AC4185">
            <w:pPr>
              <w:jc w:val="right"/>
              <w:rPr>
                <w:szCs w:val="21"/>
              </w:rPr>
            </w:pPr>
            <w:r>
              <w:t>67,486,982.85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EDCCF6" w14:textId="77777777" w:rsidR="00E57DAA" w:rsidRDefault="00AC4185">
            <w:pPr>
              <w:jc w:val="right"/>
              <w:rPr>
                <w:szCs w:val="21"/>
              </w:rPr>
            </w:pPr>
            <w:r>
              <w:t>100,887,316.31</w:t>
            </w:r>
          </w:p>
        </w:tc>
      </w:tr>
      <w:tr w:rsidR="00E57DAA" w14:paraId="19E857B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6A0A9C" w14:textId="77777777" w:rsidR="00E57DAA" w:rsidRDefault="00AC4185">
            <w:pPr>
              <w:rPr>
                <w:szCs w:val="21"/>
              </w:rPr>
            </w:pPr>
            <w:r>
              <w:t>湖南浏阳南方水泥有限公司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C25D51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6D8403" w14:textId="77777777" w:rsidR="00E57DAA" w:rsidRDefault="00AC4185">
            <w:pPr>
              <w:jc w:val="right"/>
              <w:rPr>
                <w:szCs w:val="21"/>
              </w:rPr>
            </w:pPr>
            <w:r>
              <w:t>22,989,424.48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6E560E" w14:textId="77777777" w:rsidR="00E57DAA" w:rsidRDefault="00AC4185">
            <w:pPr>
              <w:jc w:val="right"/>
              <w:rPr>
                <w:szCs w:val="21"/>
              </w:rPr>
            </w:pPr>
            <w:r>
              <w:t>35,835,636.29</w:t>
            </w:r>
          </w:p>
        </w:tc>
      </w:tr>
      <w:tr w:rsidR="00E57DAA" w14:paraId="5299518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7AC2DC" w14:textId="77777777" w:rsidR="00E57DAA" w:rsidRDefault="00AC4185">
            <w:pPr>
              <w:rPr>
                <w:szCs w:val="21"/>
              </w:rPr>
            </w:pPr>
            <w:r>
              <w:t>湖南隆回南方水泥有限公司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9213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F70B27" w14:textId="77777777" w:rsidR="00E57DAA" w:rsidRDefault="00AC4185">
            <w:pPr>
              <w:jc w:val="right"/>
              <w:rPr>
                <w:szCs w:val="21"/>
              </w:rPr>
            </w:pPr>
            <w:r>
              <w:t>3,078,486.64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B73BFFE" w14:textId="77777777" w:rsidR="00E57DAA" w:rsidRDefault="00AC4185">
            <w:pPr>
              <w:jc w:val="right"/>
              <w:rPr>
                <w:szCs w:val="21"/>
              </w:rPr>
            </w:pPr>
            <w:r>
              <w:t>9,841,441.85</w:t>
            </w:r>
          </w:p>
        </w:tc>
      </w:tr>
      <w:tr w:rsidR="00E57DAA" w14:paraId="6D72BF1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ED9BBBA" w14:textId="77777777" w:rsidR="00E57DAA" w:rsidRDefault="00AC4185">
            <w:pPr>
              <w:rPr>
                <w:szCs w:val="21"/>
              </w:rPr>
            </w:pPr>
            <w:r>
              <w:t>湖南宁乡南方水泥有限公司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03A8EF"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74B4E9" w14:textId="77777777" w:rsidR="00E57DAA" w:rsidRDefault="00AC4185">
            <w:pPr>
              <w:jc w:val="right"/>
              <w:rPr>
                <w:szCs w:val="21"/>
              </w:rPr>
            </w:pPr>
            <w:r>
              <w:t>826,199.34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54D318D" w14:textId="77777777" w:rsidR="00E57DAA" w:rsidRDefault="00AC4185">
            <w:pPr>
              <w:jc w:val="right"/>
              <w:rPr>
                <w:szCs w:val="21"/>
              </w:rPr>
            </w:pPr>
            <w:r>
              <w:t>29,017,849.26</w:t>
            </w:r>
          </w:p>
        </w:tc>
      </w:tr>
      <w:tr w:rsidR="00E57DAA" w14:paraId="1D142F7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618EF00" w14:textId="77777777" w:rsidR="00E57DAA" w:rsidRDefault="00AC4185">
            <w:pPr>
              <w:rPr>
                <w:szCs w:val="21"/>
              </w:rPr>
            </w:pPr>
            <w:r>
              <w:t>湖南祁东南方水泥有限公司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95CEB4"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27CB5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4AFF342" w14:textId="77777777" w:rsidR="00E57DAA" w:rsidRDefault="00AC4185">
            <w:pPr>
              <w:jc w:val="right"/>
              <w:rPr>
                <w:szCs w:val="21"/>
              </w:rPr>
            </w:pPr>
            <w:r>
              <w:t>460,010.02</w:t>
            </w:r>
          </w:p>
        </w:tc>
      </w:tr>
      <w:tr w:rsidR="00E57DAA" w14:paraId="3EC69C4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6D2E03" w14:textId="77777777" w:rsidR="00E57DAA" w:rsidRDefault="00AC4185">
            <w:pPr>
              <w:rPr>
                <w:szCs w:val="21"/>
              </w:rPr>
            </w:pPr>
            <w:r>
              <w:t>湖南韶峰南方水泥有限公司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8AFDC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35DF0F" w14:textId="77777777" w:rsidR="00E57DAA" w:rsidRDefault="00AC4185">
            <w:pPr>
              <w:jc w:val="right"/>
              <w:rPr>
                <w:szCs w:val="21"/>
              </w:rPr>
            </w:pPr>
            <w:r>
              <w:t>12,972,941.65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1BB0549" w14:textId="77777777" w:rsidR="00E57DAA" w:rsidRDefault="00AC4185">
            <w:pPr>
              <w:jc w:val="right"/>
              <w:rPr>
                <w:szCs w:val="21"/>
              </w:rPr>
            </w:pPr>
            <w:r>
              <w:t>679,342,439.47</w:t>
            </w:r>
          </w:p>
        </w:tc>
      </w:tr>
      <w:tr w:rsidR="00E57DAA" w14:paraId="2EA47C0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65688A" w14:textId="77777777" w:rsidR="00E57DAA" w:rsidRDefault="00AC4185">
            <w:pPr>
              <w:rPr>
                <w:szCs w:val="21"/>
              </w:rPr>
            </w:pPr>
            <w:r>
              <w:t>湖南苏仙南方水泥有限公司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686AC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DD5E6D5" w14:textId="77777777" w:rsidR="00E57DAA" w:rsidRDefault="00AC4185">
            <w:pPr>
              <w:jc w:val="right"/>
              <w:rPr>
                <w:szCs w:val="21"/>
              </w:rPr>
            </w:pPr>
            <w:r>
              <w:t>653,362.83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205413C" w14:textId="77777777" w:rsidR="00E57DAA" w:rsidRDefault="00AC4185">
            <w:pPr>
              <w:jc w:val="right"/>
              <w:rPr>
                <w:szCs w:val="21"/>
              </w:rPr>
            </w:pPr>
            <w:r>
              <w:t>7,206,780.52</w:t>
            </w:r>
          </w:p>
        </w:tc>
      </w:tr>
      <w:tr w:rsidR="00E57DAA" w14:paraId="7A9983A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737F615" w14:textId="77777777" w:rsidR="00E57DAA" w:rsidRDefault="00AC4185">
            <w:pPr>
              <w:rPr>
                <w:szCs w:val="21"/>
              </w:rPr>
            </w:pPr>
            <w:r>
              <w:t>湖南桃江南方水泥有限公司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8E86B0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5EDEDC" w14:textId="77777777" w:rsidR="00E57DAA" w:rsidRDefault="00AC4185">
            <w:pPr>
              <w:jc w:val="right"/>
              <w:rPr>
                <w:szCs w:val="21"/>
              </w:rPr>
            </w:pPr>
            <w:r>
              <w:t>49,326,622.53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D98664E" w14:textId="77777777" w:rsidR="00E57DAA" w:rsidRDefault="00AC4185">
            <w:pPr>
              <w:jc w:val="right"/>
              <w:rPr>
                <w:szCs w:val="21"/>
              </w:rPr>
            </w:pPr>
            <w:r>
              <w:t>128,737,646.59</w:t>
            </w:r>
          </w:p>
        </w:tc>
      </w:tr>
      <w:tr w:rsidR="00E57DAA" w14:paraId="75B7B03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E5C2B74" w14:textId="77777777" w:rsidR="00E57DAA" w:rsidRDefault="00AC4185">
            <w:pPr>
              <w:rPr>
                <w:szCs w:val="21"/>
              </w:rPr>
            </w:pPr>
            <w:r>
              <w:t>湖南岳阳南方水泥有限公司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FBEB2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7984F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FF00334" w14:textId="77777777" w:rsidR="00E57DAA" w:rsidRDefault="00AC4185">
            <w:pPr>
              <w:jc w:val="right"/>
              <w:rPr>
                <w:szCs w:val="21"/>
              </w:rPr>
            </w:pPr>
            <w:r>
              <w:t>12,743.36</w:t>
            </w:r>
          </w:p>
        </w:tc>
      </w:tr>
      <w:tr w:rsidR="00E57DAA" w14:paraId="4CE7D58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EF1A86" w14:textId="77777777" w:rsidR="00E57DAA" w:rsidRDefault="00AC4185">
            <w:pPr>
              <w:rPr>
                <w:szCs w:val="21"/>
              </w:rPr>
            </w:pPr>
            <w:r>
              <w:t>湖州白岘南方水泥有限公司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9D94E8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A6BF07" w14:textId="77777777" w:rsidR="00E57DAA" w:rsidRDefault="00AC4185">
            <w:pPr>
              <w:jc w:val="right"/>
              <w:rPr>
                <w:szCs w:val="21"/>
              </w:rPr>
            </w:pPr>
            <w:r>
              <w:t>9,734,966.81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7FB408B" w14:textId="77777777" w:rsidR="00E57DAA" w:rsidRDefault="00AC4185">
            <w:pPr>
              <w:jc w:val="right"/>
              <w:rPr>
                <w:szCs w:val="21"/>
              </w:rPr>
            </w:pPr>
            <w:r>
              <w:t>13,931,403.44</w:t>
            </w:r>
          </w:p>
        </w:tc>
      </w:tr>
      <w:tr w:rsidR="00E57DAA" w14:paraId="77E3145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4F7B5B8" w14:textId="77777777" w:rsidR="00E57DAA" w:rsidRDefault="00AC4185">
            <w:pPr>
              <w:rPr>
                <w:szCs w:val="21"/>
              </w:rPr>
            </w:pPr>
            <w:r>
              <w:t>湖州槐坎南方水泥有限公司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03429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1E6050" w14:textId="77777777" w:rsidR="00E57DAA" w:rsidRDefault="00AC4185">
            <w:pPr>
              <w:jc w:val="right"/>
              <w:rPr>
                <w:szCs w:val="21"/>
              </w:rPr>
            </w:pPr>
            <w:r>
              <w:t>11,977,329.56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E61C584" w14:textId="77777777" w:rsidR="00E57DAA" w:rsidRDefault="00AC4185">
            <w:pPr>
              <w:jc w:val="right"/>
              <w:rPr>
                <w:szCs w:val="21"/>
              </w:rPr>
            </w:pPr>
            <w:r>
              <w:t>4,369,002.34</w:t>
            </w:r>
          </w:p>
        </w:tc>
      </w:tr>
      <w:tr w:rsidR="00E57DAA" w14:paraId="72CAF2E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D915BEC" w14:textId="77777777" w:rsidR="00E57DAA" w:rsidRDefault="00AC4185">
            <w:pPr>
              <w:rPr>
                <w:szCs w:val="21"/>
              </w:rPr>
            </w:pPr>
            <w:r>
              <w:t>湖州南方矿业有限公司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805DA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959F3E" w14:textId="77777777" w:rsidR="00E57DAA" w:rsidRDefault="00AC4185">
            <w:pPr>
              <w:jc w:val="right"/>
              <w:rPr>
                <w:szCs w:val="21"/>
              </w:rPr>
            </w:pPr>
            <w:r>
              <w:t>47,169.81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E0AE39E" w14:textId="77777777" w:rsidR="00E57DAA" w:rsidRDefault="00AC4185">
            <w:pPr>
              <w:jc w:val="right"/>
              <w:rPr>
                <w:szCs w:val="21"/>
              </w:rPr>
            </w:pPr>
            <w:r>
              <w:t>94,339.62</w:t>
            </w:r>
          </w:p>
        </w:tc>
      </w:tr>
      <w:tr w:rsidR="00E57DAA" w14:paraId="3DB562B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ED62F5C" w14:textId="77777777" w:rsidR="00E57DAA" w:rsidRDefault="00AC4185">
            <w:pPr>
              <w:rPr>
                <w:szCs w:val="21"/>
              </w:rPr>
            </w:pPr>
            <w:r>
              <w:t>湖州南方水泥有限公司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E3BE5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0A6C1F" w14:textId="77777777" w:rsidR="00E57DAA" w:rsidRDefault="00AC4185">
            <w:pPr>
              <w:jc w:val="right"/>
              <w:rPr>
                <w:szCs w:val="21"/>
              </w:rPr>
            </w:pPr>
            <w:r>
              <w:t>4,424.78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7E2AA8B" w14:textId="77777777" w:rsidR="00E57DAA" w:rsidRDefault="00AC4185">
            <w:pPr>
              <w:jc w:val="right"/>
              <w:rPr>
                <w:szCs w:val="21"/>
              </w:rPr>
            </w:pPr>
            <w:r>
              <w:t xml:space="preserve">　</w:t>
            </w:r>
          </w:p>
        </w:tc>
      </w:tr>
      <w:tr w:rsidR="00E57DAA" w14:paraId="62DAF58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2983C73" w14:textId="77777777" w:rsidR="00E57DAA" w:rsidRDefault="00AC4185">
            <w:pPr>
              <w:rPr>
                <w:szCs w:val="21"/>
              </w:rPr>
            </w:pPr>
            <w:r>
              <w:t>湖州南方物流有限公司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53F64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1C9874" w14:textId="77777777" w:rsidR="00E57DAA" w:rsidRDefault="00AC4185">
            <w:pPr>
              <w:jc w:val="right"/>
              <w:rPr>
                <w:szCs w:val="21"/>
              </w:rPr>
            </w:pPr>
            <w:r>
              <w:t>20,332,852.86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1161A0" w14:textId="77777777" w:rsidR="00E57DAA" w:rsidRDefault="00AC4185">
            <w:pPr>
              <w:jc w:val="right"/>
              <w:rPr>
                <w:szCs w:val="21"/>
              </w:rPr>
            </w:pPr>
            <w:r>
              <w:t>14,137,180.57</w:t>
            </w:r>
          </w:p>
        </w:tc>
      </w:tr>
      <w:tr w:rsidR="00E57DAA" w14:paraId="7F4E7CE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50A94BD" w14:textId="77777777" w:rsidR="00E57DAA" w:rsidRDefault="00AC4185">
            <w:pPr>
              <w:rPr>
                <w:szCs w:val="21"/>
              </w:rPr>
            </w:pPr>
            <w:r>
              <w:t>湖州小浦南方水泥有限公司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F8D5D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2FDE36" w14:textId="77777777" w:rsidR="00E57DAA" w:rsidRDefault="00AC4185">
            <w:pPr>
              <w:jc w:val="right"/>
              <w:rPr>
                <w:szCs w:val="21"/>
              </w:rPr>
            </w:pPr>
            <w:r>
              <w:t>2,163,601.22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16CA04D" w14:textId="77777777" w:rsidR="00E57DAA" w:rsidRDefault="00AC4185">
            <w:pPr>
              <w:jc w:val="right"/>
              <w:rPr>
                <w:szCs w:val="21"/>
              </w:rPr>
            </w:pPr>
            <w:r>
              <w:t>249,959.24</w:t>
            </w:r>
          </w:p>
        </w:tc>
      </w:tr>
      <w:tr w:rsidR="00E57DAA" w14:paraId="4CCA8D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1B2023" w14:textId="77777777" w:rsidR="00E57DAA" w:rsidRDefault="00AC4185">
            <w:pPr>
              <w:rPr>
                <w:szCs w:val="21"/>
              </w:rPr>
            </w:pPr>
            <w:r>
              <w:t>湖州兴浦南方水泥有限公司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8AC8D6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B93BC0" w14:textId="77777777" w:rsidR="00E57DAA" w:rsidRDefault="00AC4185">
            <w:pPr>
              <w:jc w:val="right"/>
              <w:rPr>
                <w:szCs w:val="21"/>
              </w:rPr>
            </w:pPr>
            <w:r>
              <w:t>1,265,973.77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33614D9" w14:textId="77777777" w:rsidR="00E57DAA" w:rsidRDefault="00AC4185">
            <w:pPr>
              <w:jc w:val="right"/>
              <w:rPr>
                <w:szCs w:val="21"/>
              </w:rPr>
            </w:pPr>
            <w:r>
              <w:t>473,729.58</w:t>
            </w:r>
          </w:p>
        </w:tc>
      </w:tr>
      <w:tr w:rsidR="00E57DAA" w14:paraId="0E64219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1AD763E" w14:textId="77777777" w:rsidR="00E57DAA" w:rsidRDefault="00AC4185">
            <w:pPr>
              <w:rPr>
                <w:szCs w:val="21"/>
              </w:rPr>
            </w:pPr>
            <w:r>
              <w:t>华坪县定华能源建材有限责任公司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9DF16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43D8B0" w14:textId="77777777" w:rsidR="00E57DAA" w:rsidRDefault="00AC4185">
            <w:pPr>
              <w:jc w:val="right"/>
              <w:rPr>
                <w:szCs w:val="21"/>
              </w:rPr>
            </w:pPr>
            <w:r>
              <w:t>11,926,959.32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9DC959B" w14:textId="77777777" w:rsidR="00E57DAA" w:rsidRDefault="00AC4185">
            <w:pPr>
              <w:jc w:val="right"/>
              <w:rPr>
                <w:szCs w:val="21"/>
              </w:rPr>
            </w:pPr>
            <w:r>
              <w:t>9,020,304.01</w:t>
            </w:r>
          </w:p>
        </w:tc>
      </w:tr>
      <w:tr w:rsidR="00E57DAA" w14:paraId="3CBADA9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269863B" w14:textId="77777777" w:rsidR="00E57DAA" w:rsidRDefault="00AC4185">
            <w:pPr>
              <w:rPr>
                <w:szCs w:val="21"/>
              </w:rPr>
            </w:pPr>
            <w:r>
              <w:lastRenderedPageBreak/>
              <w:t>淮北南坪中联水泥有限公司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4F604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2C306C" w14:textId="77777777" w:rsidR="00E57DAA" w:rsidRDefault="00AC4185">
            <w:pPr>
              <w:jc w:val="right"/>
              <w:rPr>
                <w:szCs w:val="21"/>
              </w:rPr>
            </w:pPr>
            <w:r>
              <w:t>119,143.36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4A696A" w14:textId="77777777" w:rsidR="00E57DAA" w:rsidRDefault="00AC4185">
            <w:pPr>
              <w:jc w:val="right"/>
              <w:rPr>
                <w:szCs w:val="21"/>
              </w:rPr>
            </w:pPr>
            <w:r>
              <w:t xml:space="preserve">　</w:t>
            </w:r>
          </w:p>
        </w:tc>
      </w:tr>
      <w:tr w:rsidR="00E57DAA" w14:paraId="23666AD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6130A4" w14:textId="77777777" w:rsidR="00E57DAA" w:rsidRDefault="00AC4185">
            <w:pPr>
              <w:rPr>
                <w:szCs w:val="21"/>
              </w:rPr>
            </w:pPr>
            <w:r>
              <w:t>黄山南方水泥有限公司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93F69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567F817" w14:textId="77777777" w:rsidR="00E57DAA" w:rsidRDefault="00AC4185">
            <w:pPr>
              <w:jc w:val="right"/>
              <w:rPr>
                <w:szCs w:val="21"/>
              </w:rPr>
            </w:pPr>
            <w:r>
              <w:t>3,316,463.12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0A56026" w14:textId="77777777" w:rsidR="00E57DAA" w:rsidRDefault="00AC4185">
            <w:pPr>
              <w:jc w:val="right"/>
              <w:rPr>
                <w:szCs w:val="21"/>
              </w:rPr>
            </w:pPr>
            <w:r>
              <w:t>13,052,081.42</w:t>
            </w:r>
          </w:p>
        </w:tc>
      </w:tr>
      <w:tr w:rsidR="00E57DAA" w14:paraId="4CFBE8C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1CCC0A" w14:textId="77777777" w:rsidR="00E57DAA" w:rsidRDefault="00AC4185">
            <w:pPr>
              <w:rPr>
                <w:szCs w:val="21"/>
              </w:rPr>
            </w:pPr>
            <w:r>
              <w:t>会东利森水泥有限公司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CC55A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FDCB97" w14:textId="77777777" w:rsidR="00E57DAA" w:rsidRDefault="00AC4185">
            <w:pPr>
              <w:jc w:val="right"/>
              <w:rPr>
                <w:szCs w:val="21"/>
              </w:rPr>
            </w:pPr>
            <w:r>
              <w:t>7,186,719.56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2785259" w14:textId="77777777" w:rsidR="00E57DAA" w:rsidRDefault="00AC4185">
            <w:pPr>
              <w:jc w:val="right"/>
              <w:rPr>
                <w:szCs w:val="21"/>
              </w:rPr>
            </w:pPr>
            <w:r>
              <w:t>10,247,551.25</w:t>
            </w:r>
          </w:p>
        </w:tc>
      </w:tr>
      <w:tr w:rsidR="00E57DAA" w14:paraId="35DCA75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71E59A8" w14:textId="77777777" w:rsidR="00E57DAA" w:rsidRDefault="00AC4185">
            <w:pPr>
              <w:rPr>
                <w:szCs w:val="21"/>
              </w:rPr>
            </w:pPr>
            <w:r>
              <w:t>济宁中联混凝土有限公司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627EC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A6CF7D" w14:textId="77777777" w:rsidR="00E57DAA" w:rsidRDefault="00AC4185">
            <w:pPr>
              <w:jc w:val="right"/>
              <w:rPr>
                <w:szCs w:val="21"/>
              </w:rPr>
            </w:pPr>
            <w:r>
              <w:t>35,723.02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572F2E2" w14:textId="77777777" w:rsidR="00E57DAA" w:rsidRDefault="00AC4185">
            <w:pPr>
              <w:jc w:val="right"/>
              <w:rPr>
                <w:szCs w:val="21"/>
              </w:rPr>
            </w:pPr>
            <w:r>
              <w:t xml:space="preserve">　</w:t>
            </w:r>
          </w:p>
        </w:tc>
      </w:tr>
      <w:tr w:rsidR="00E57DAA" w14:paraId="4F62184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D0C62E9" w14:textId="77777777" w:rsidR="00E57DAA" w:rsidRDefault="00AC4185">
            <w:pPr>
              <w:rPr>
                <w:szCs w:val="21"/>
              </w:rPr>
            </w:pPr>
            <w:r>
              <w:t>济宁中联水泥有限公司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3B683A"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1A3BFA" w14:textId="77777777" w:rsidR="00E57DAA" w:rsidRDefault="00AC4185">
            <w:pPr>
              <w:jc w:val="right"/>
              <w:rPr>
                <w:szCs w:val="21"/>
              </w:rPr>
            </w:pPr>
            <w:r>
              <w:t>86,044,221.71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A7BEDE5" w14:textId="77777777" w:rsidR="00E57DAA" w:rsidRDefault="00AC4185">
            <w:pPr>
              <w:jc w:val="right"/>
              <w:rPr>
                <w:szCs w:val="21"/>
              </w:rPr>
            </w:pPr>
            <w:r>
              <w:t>56,848,556.93</w:t>
            </w:r>
          </w:p>
        </w:tc>
      </w:tr>
      <w:tr w:rsidR="00E57DAA" w14:paraId="232B6B3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4A041C" w14:textId="77777777" w:rsidR="00E57DAA" w:rsidRDefault="00AC4185">
            <w:pPr>
              <w:rPr>
                <w:szCs w:val="21"/>
              </w:rPr>
            </w:pPr>
            <w:r>
              <w:t>济源中联水泥有限公司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8C4F0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BFD958" w14:textId="77777777" w:rsidR="00E57DAA" w:rsidRDefault="00AC4185">
            <w:pPr>
              <w:jc w:val="right"/>
              <w:rPr>
                <w:szCs w:val="21"/>
              </w:rPr>
            </w:pPr>
            <w:r>
              <w:t>4,226,524.60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F01CD3D" w14:textId="77777777" w:rsidR="00E57DAA" w:rsidRDefault="00AC4185">
            <w:pPr>
              <w:jc w:val="right"/>
              <w:rPr>
                <w:szCs w:val="21"/>
              </w:rPr>
            </w:pPr>
            <w:r>
              <w:t>5,119,460.00</w:t>
            </w:r>
          </w:p>
        </w:tc>
      </w:tr>
      <w:tr w:rsidR="00E57DAA" w14:paraId="77EFC14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3BC510A" w14:textId="77777777" w:rsidR="00E57DAA" w:rsidRDefault="00AC4185">
            <w:pPr>
              <w:rPr>
                <w:szCs w:val="21"/>
              </w:rPr>
            </w:pPr>
            <w:r>
              <w:t>嘉华特种水泥股份有限公司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7DD61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8B36A0" w14:textId="77777777" w:rsidR="00E57DAA" w:rsidRDefault="00AC4185">
            <w:pPr>
              <w:jc w:val="right"/>
              <w:rPr>
                <w:szCs w:val="21"/>
              </w:rPr>
            </w:pPr>
            <w:r>
              <w:t>3,539.82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FBB8526" w14:textId="77777777" w:rsidR="00E57DAA" w:rsidRDefault="00AC4185">
            <w:pPr>
              <w:jc w:val="right"/>
              <w:rPr>
                <w:szCs w:val="21"/>
              </w:rPr>
            </w:pPr>
            <w:r>
              <w:t xml:space="preserve">　</w:t>
            </w:r>
          </w:p>
        </w:tc>
      </w:tr>
      <w:tr w:rsidR="00E57DAA" w14:paraId="3319513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D746D1" w14:textId="77777777" w:rsidR="00E57DAA" w:rsidRDefault="00AC4185">
            <w:pPr>
              <w:rPr>
                <w:szCs w:val="21"/>
              </w:rPr>
            </w:pPr>
            <w:r>
              <w:t>嘉善南方水泥有限公司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C4A16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70F8A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7012C9C" w14:textId="77777777" w:rsidR="00E57DAA" w:rsidRDefault="00AC4185">
            <w:pPr>
              <w:jc w:val="right"/>
              <w:rPr>
                <w:szCs w:val="21"/>
              </w:rPr>
            </w:pPr>
            <w:r>
              <w:t>73,592.92</w:t>
            </w:r>
          </w:p>
        </w:tc>
      </w:tr>
      <w:tr w:rsidR="00E57DAA" w14:paraId="1C4114D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D4C6338" w14:textId="77777777" w:rsidR="00E57DAA" w:rsidRDefault="00AC4185">
            <w:pPr>
              <w:rPr>
                <w:szCs w:val="21"/>
              </w:rPr>
            </w:pPr>
            <w:r>
              <w:t>嘉兴南湖南方水泥有限公司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68751CF"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5A2C6B" w14:textId="77777777" w:rsidR="00E57DAA" w:rsidRDefault="00AC4185">
            <w:pPr>
              <w:jc w:val="right"/>
              <w:rPr>
                <w:szCs w:val="21"/>
              </w:rPr>
            </w:pPr>
            <w:r>
              <w:t>17,699.12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66E3E2" w14:textId="77777777" w:rsidR="00E57DAA" w:rsidRDefault="00AC4185">
            <w:pPr>
              <w:jc w:val="right"/>
              <w:rPr>
                <w:szCs w:val="21"/>
              </w:rPr>
            </w:pPr>
            <w:r>
              <w:t xml:space="preserve">　</w:t>
            </w:r>
          </w:p>
        </w:tc>
      </w:tr>
      <w:tr w:rsidR="00E57DAA" w14:paraId="11F872A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7CA523B" w14:textId="77777777" w:rsidR="00E57DAA" w:rsidRDefault="00AC4185">
            <w:pPr>
              <w:rPr>
                <w:szCs w:val="21"/>
              </w:rPr>
            </w:pPr>
            <w:r>
              <w:t>嘉峪关祁连山水泥有限公司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C1632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0567BE" w14:textId="77777777" w:rsidR="00E57DAA" w:rsidRDefault="00AC4185">
            <w:pPr>
              <w:jc w:val="right"/>
              <w:rPr>
                <w:szCs w:val="21"/>
              </w:rPr>
            </w:pPr>
            <w:r>
              <w:t>1,383,556.66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769D40A" w14:textId="77777777" w:rsidR="00E57DAA" w:rsidRDefault="00AC4185">
            <w:pPr>
              <w:jc w:val="right"/>
              <w:rPr>
                <w:szCs w:val="21"/>
              </w:rPr>
            </w:pPr>
            <w:r>
              <w:t>463,221.24</w:t>
            </w:r>
          </w:p>
        </w:tc>
      </w:tr>
      <w:tr w:rsidR="00E57DAA" w14:paraId="32ABC8D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543809" w14:textId="77777777" w:rsidR="00E57DAA" w:rsidRDefault="00AC4185">
            <w:pPr>
              <w:rPr>
                <w:szCs w:val="21"/>
              </w:rPr>
            </w:pPr>
            <w:r>
              <w:t>郏县中联天广水泥有限公司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0F654EF"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25405A"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12279E9" w14:textId="77777777" w:rsidR="00E57DAA" w:rsidRDefault="00AC4185">
            <w:pPr>
              <w:jc w:val="right"/>
              <w:rPr>
                <w:szCs w:val="21"/>
              </w:rPr>
            </w:pPr>
            <w:r>
              <w:t>76,131.03</w:t>
            </w:r>
          </w:p>
        </w:tc>
      </w:tr>
      <w:tr w:rsidR="00E57DAA" w14:paraId="6E2B6CE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44E136" w14:textId="77777777" w:rsidR="00E57DAA" w:rsidRDefault="00AC4185">
            <w:pPr>
              <w:rPr>
                <w:szCs w:val="21"/>
              </w:rPr>
            </w:pPr>
            <w:r>
              <w:t>建德更楼矿业有限公司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8086D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C0F497" w14:textId="77777777" w:rsidR="00E57DAA" w:rsidRDefault="00AC4185">
            <w:pPr>
              <w:jc w:val="right"/>
              <w:rPr>
                <w:szCs w:val="21"/>
              </w:rPr>
            </w:pPr>
            <w:r>
              <w:t>24,627,070.21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742E91" w14:textId="77777777" w:rsidR="00E57DAA" w:rsidRDefault="00AC4185">
            <w:pPr>
              <w:jc w:val="right"/>
              <w:rPr>
                <w:szCs w:val="21"/>
              </w:rPr>
            </w:pPr>
            <w:r>
              <w:t>23,312,898.50</w:t>
            </w:r>
          </w:p>
        </w:tc>
      </w:tr>
      <w:tr w:rsidR="00E57DAA" w14:paraId="2FC8D63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2FDE06B" w14:textId="77777777" w:rsidR="00E57DAA" w:rsidRDefault="00AC4185">
            <w:pPr>
              <w:rPr>
                <w:szCs w:val="21"/>
              </w:rPr>
            </w:pPr>
            <w:r>
              <w:t>建德南方水泥有限公司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971E2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6C50E7" w14:textId="77777777" w:rsidR="00E57DAA" w:rsidRDefault="00AC4185">
            <w:pPr>
              <w:jc w:val="right"/>
              <w:rPr>
                <w:szCs w:val="21"/>
              </w:rPr>
            </w:pPr>
            <w:r>
              <w:t>43,780,477.33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6687121" w14:textId="77777777" w:rsidR="00E57DAA" w:rsidRDefault="00AC4185">
            <w:pPr>
              <w:jc w:val="right"/>
              <w:rPr>
                <w:szCs w:val="21"/>
              </w:rPr>
            </w:pPr>
            <w:r>
              <w:t>141,630,461.39</w:t>
            </w:r>
          </w:p>
        </w:tc>
      </w:tr>
      <w:tr w:rsidR="00E57DAA" w14:paraId="67A81B6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6CE7337" w14:textId="77777777" w:rsidR="00E57DAA" w:rsidRDefault="00AC4185">
            <w:pPr>
              <w:rPr>
                <w:szCs w:val="21"/>
              </w:rPr>
            </w:pPr>
            <w:r>
              <w:t>江山南方水泥有限公司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26D52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CC20A4" w14:textId="77777777" w:rsidR="00E57DAA" w:rsidRDefault="00AC4185">
            <w:pPr>
              <w:jc w:val="right"/>
              <w:rPr>
                <w:szCs w:val="21"/>
              </w:rPr>
            </w:pPr>
            <w:r>
              <w:t>39,097,467.84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F0D2DEF" w14:textId="77777777" w:rsidR="00E57DAA" w:rsidRDefault="00AC4185">
            <w:pPr>
              <w:jc w:val="right"/>
              <w:rPr>
                <w:szCs w:val="21"/>
              </w:rPr>
            </w:pPr>
            <w:r>
              <w:t>34,105,094.20</w:t>
            </w:r>
          </w:p>
        </w:tc>
      </w:tr>
      <w:tr w:rsidR="00E57DAA" w14:paraId="04C50AB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730996F" w14:textId="77777777" w:rsidR="00E57DAA" w:rsidRDefault="00AC4185">
            <w:pPr>
              <w:rPr>
                <w:szCs w:val="21"/>
              </w:rPr>
            </w:pPr>
            <w:r>
              <w:t>江苏横山南方水泥有限公司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7B0EB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EF6E33" w14:textId="77777777" w:rsidR="00E57DAA" w:rsidRDefault="00AC4185">
            <w:pPr>
              <w:jc w:val="right"/>
              <w:rPr>
                <w:szCs w:val="21"/>
              </w:rPr>
            </w:pPr>
            <w:r>
              <w:t>17,699.12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9636275" w14:textId="77777777" w:rsidR="00E57DAA" w:rsidRDefault="00AC4185">
            <w:pPr>
              <w:jc w:val="right"/>
              <w:rPr>
                <w:szCs w:val="21"/>
              </w:rPr>
            </w:pPr>
            <w:r>
              <w:t xml:space="preserve">　</w:t>
            </w:r>
          </w:p>
        </w:tc>
      </w:tr>
      <w:tr w:rsidR="00E57DAA" w14:paraId="198C608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3974D0" w14:textId="77777777" w:rsidR="00E57DAA" w:rsidRDefault="00AC4185">
            <w:pPr>
              <w:rPr>
                <w:szCs w:val="21"/>
              </w:rPr>
            </w:pPr>
            <w:r>
              <w:t>江苏溧阳南方水泥有限公司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4310F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EF103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4F4164" w14:textId="77777777" w:rsidR="00E57DAA" w:rsidRDefault="00AC4185">
            <w:pPr>
              <w:jc w:val="right"/>
              <w:rPr>
                <w:szCs w:val="21"/>
              </w:rPr>
            </w:pPr>
            <w:r>
              <w:t>162,371.68</w:t>
            </w:r>
          </w:p>
        </w:tc>
      </w:tr>
      <w:tr w:rsidR="00E57DAA" w14:paraId="6FB9141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95F4A7F" w14:textId="77777777" w:rsidR="00E57DAA" w:rsidRDefault="00AC4185">
            <w:pPr>
              <w:rPr>
                <w:szCs w:val="21"/>
              </w:rPr>
            </w:pPr>
            <w:r>
              <w:t>江苏新街南方水泥有限公司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7B9B9D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1C10F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C326ED" w14:textId="77777777" w:rsidR="00E57DAA" w:rsidRDefault="00AC4185">
            <w:pPr>
              <w:jc w:val="right"/>
              <w:rPr>
                <w:szCs w:val="21"/>
              </w:rPr>
            </w:pPr>
            <w:r>
              <w:t>3,254,978.31</w:t>
            </w:r>
          </w:p>
        </w:tc>
      </w:tr>
      <w:tr w:rsidR="00E57DAA" w14:paraId="2626C5F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4550FD" w14:textId="77777777" w:rsidR="00E57DAA" w:rsidRDefault="00AC4185">
            <w:pPr>
              <w:rPr>
                <w:szCs w:val="21"/>
              </w:rPr>
            </w:pPr>
            <w:r>
              <w:t>江苏宜城南方水泥有限公司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40B31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22F6D0" w14:textId="77777777" w:rsidR="00E57DAA" w:rsidRDefault="00AC4185">
            <w:pPr>
              <w:jc w:val="right"/>
              <w:rPr>
                <w:szCs w:val="21"/>
              </w:rPr>
            </w:pPr>
            <w:r>
              <w:t>787,969,903.32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63364C" w14:textId="77777777" w:rsidR="00E57DAA" w:rsidRDefault="00AC4185">
            <w:pPr>
              <w:jc w:val="right"/>
              <w:rPr>
                <w:szCs w:val="21"/>
              </w:rPr>
            </w:pPr>
            <w:r>
              <w:t>118,242,677.60</w:t>
            </w:r>
          </w:p>
        </w:tc>
      </w:tr>
      <w:tr w:rsidR="00E57DAA" w14:paraId="6902905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84A191" w14:textId="77777777" w:rsidR="00E57DAA" w:rsidRDefault="00AC4185">
            <w:pPr>
              <w:rPr>
                <w:szCs w:val="21"/>
              </w:rPr>
            </w:pPr>
            <w:r>
              <w:t>江苏中联铸本混凝土有限公司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370A8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9C72A8" w14:textId="77777777" w:rsidR="00E57DAA" w:rsidRDefault="00AC4185">
            <w:pPr>
              <w:jc w:val="right"/>
              <w:rPr>
                <w:szCs w:val="21"/>
              </w:rPr>
            </w:pPr>
            <w:r>
              <w:t>24,165.49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9E749AE" w14:textId="77777777" w:rsidR="00E57DAA" w:rsidRDefault="00AC4185">
            <w:pPr>
              <w:jc w:val="right"/>
              <w:rPr>
                <w:szCs w:val="21"/>
              </w:rPr>
            </w:pPr>
            <w:r>
              <w:t xml:space="preserve">　</w:t>
            </w:r>
          </w:p>
        </w:tc>
      </w:tr>
      <w:tr w:rsidR="00E57DAA" w14:paraId="69BC449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67859D" w14:textId="77777777" w:rsidR="00E57DAA" w:rsidRDefault="00AC4185">
            <w:pPr>
              <w:rPr>
                <w:szCs w:val="21"/>
              </w:rPr>
            </w:pPr>
            <w:r>
              <w:t>江苏铸本众鑫混凝土工程有限公司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7D9A1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8E790C" w14:textId="77777777" w:rsidR="00E57DAA" w:rsidRDefault="00AC4185">
            <w:pPr>
              <w:jc w:val="right"/>
              <w:rPr>
                <w:szCs w:val="21"/>
              </w:rPr>
            </w:pPr>
            <w:r>
              <w:t>39,477.89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5C6767C" w14:textId="77777777" w:rsidR="00E57DAA" w:rsidRDefault="00AC4185">
            <w:pPr>
              <w:jc w:val="right"/>
              <w:rPr>
                <w:szCs w:val="21"/>
              </w:rPr>
            </w:pPr>
            <w:r>
              <w:t xml:space="preserve">　</w:t>
            </w:r>
          </w:p>
        </w:tc>
      </w:tr>
      <w:tr w:rsidR="00E57DAA" w14:paraId="66A5A85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9F607D" w14:textId="77777777" w:rsidR="00E57DAA" w:rsidRDefault="00AC4185">
            <w:pPr>
              <w:rPr>
                <w:szCs w:val="21"/>
              </w:rPr>
            </w:pPr>
            <w:r>
              <w:t>江西安福南方水泥有限公司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45983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7EE4DAE" w14:textId="77777777" w:rsidR="00E57DAA" w:rsidRDefault="00AC4185">
            <w:pPr>
              <w:jc w:val="right"/>
              <w:rPr>
                <w:szCs w:val="21"/>
              </w:rPr>
            </w:pPr>
            <w:r>
              <w:t>33,164,318.23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C26C6CE" w14:textId="77777777" w:rsidR="00E57DAA" w:rsidRDefault="00AC4185">
            <w:pPr>
              <w:jc w:val="right"/>
              <w:rPr>
                <w:szCs w:val="21"/>
              </w:rPr>
            </w:pPr>
            <w:r>
              <w:t>45,980,619.05</w:t>
            </w:r>
          </w:p>
        </w:tc>
      </w:tr>
      <w:tr w:rsidR="00E57DAA" w14:paraId="68C758D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C3749AC" w14:textId="77777777" w:rsidR="00E57DAA" w:rsidRDefault="00AC4185">
            <w:pPr>
              <w:rPr>
                <w:szCs w:val="21"/>
              </w:rPr>
            </w:pPr>
            <w:r>
              <w:t>江西丰城南方水泥有限公司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0123D4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6C68985" w14:textId="77777777" w:rsidR="00E57DAA" w:rsidRDefault="00AC4185">
            <w:pPr>
              <w:jc w:val="right"/>
              <w:rPr>
                <w:szCs w:val="21"/>
              </w:rPr>
            </w:pPr>
            <w:r>
              <w:t>3,370,453.84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9965F01" w14:textId="77777777" w:rsidR="00E57DAA" w:rsidRDefault="00AC4185">
            <w:pPr>
              <w:jc w:val="right"/>
              <w:rPr>
                <w:szCs w:val="21"/>
              </w:rPr>
            </w:pPr>
            <w:r>
              <w:t>13,415,609.84</w:t>
            </w:r>
          </w:p>
        </w:tc>
      </w:tr>
      <w:tr w:rsidR="00E57DAA" w14:paraId="7A13D1E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A91CA2" w14:textId="77777777" w:rsidR="00E57DAA" w:rsidRDefault="00AC4185">
            <w:pPr>
              <w:rPr>
                <w:szCs w:val="21"/>
              </w:rPr>
            </w:pPr>
            <w:r>
              <w:t>江西贵溪南方水泥有限公司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BC407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02690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08504BF" w14:textId="77777777" w:rsidR="00E57DAA" w:rsidRDefault="00AC4185">
            <w:pPr>
              <w:jc w:val="right"/>
              <w:rPr>
                <w:szCs w:val="21"/>
              </w:rPr>
            </w:pPr>
            <w:r>
              <w:t>130,619.47</w:t>
            </w:r>
          </w:p>
        </w:tc>
      </w:tr>
      <w:tr w:rsidR="00E57DAA" w14:paraId="44F0170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5676AF2" w14:textId="77777777" w:rsidR="00E57DAA" w:rsidRDefault="00AC4185">
            <w:pPr>
              <w:rPr>
                <w:szCs w:val="21"/>
              </w:rPr>
            </w:pPr>
            <w:r>
              <w:t>江西吉州南方水泥有限公司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7EA76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E8B39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E3EA941" w14:textId="77777777" w:rsidR="00E57DAA" w:rsidRDefault="00AC4185">
            <w:pPr>
              <w:jc w:val="right"/>
              <w:rPr>
                <w:szCs w:val="21"/>
              </w:rPr>
            </w:pPr>
            <w:r>
              <w:t>3,539.82</w:t>
            </w:r>
          </w:p>
        </w:tc>
      </w:tr>
      <w:tr w:rsidR="00E57DAA" w14:paraId="6AD652E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9B1320D" w14:textId="77777777" w:rsidR="00E57DAA" w:rsidRDefault="00AC4185">
            <w:pPr>
              <w:rPr>
                <w:szCs w:val="21"/>
              </w:rPr>
            </w:pPr>
            <w:r>
              <w:t>江西九江南方水泥有限公司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DD9FEE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13D5A2" w14:textId="77777777" w:rsidR="00E57DAA" w:rsidRDefault="00AC4185">
            <w:pPr>
              <w:jc w:val="right"/>
              <w:rPr>
                <w:szCs w:val="21"/>
              </w:rPr>
            </w:pPr>
            <w:r>
              <w:t>31,766,118.12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6F75DCD" w14:textId="77777777" w:rsidR="00E57DAA" w:rsidRDefault="00AC4185">
            <w:pPr>
              <w:jc w:val="right"/>
              <w:rPr>
                <w:szCs w:val="21"/>
              </w:rPr>
            </w:pPr>
            <w:r>
              <w:t>59,307,005.32</w:t>
            </w:r>
          </w:p>
        </w:tc>
      </w:tr>
      <w:tr w:rsidR="00E57DAA" w14:paraId="6B1E58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37EC38" w14:textId="77777777" w:rsidR="00E57DAA" w:rsidRDefault="00AC4185">
            <w:pPr>
              <w:rPr>
                <w:szCs w:val="21"/>
              </w:rPr>
            </w:pPr>
            <w:r>
              <w:t>江西芦溪南方水泥有限公司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6DFB14"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462D31" w14:textId="77777777" w:rsidR="00E57DAA" w:rsidRDefault="00AC4185">
            <w:pPr>
              <w:jc w:val="right"/>
              <w:rPr>
                <w:szCs w:val="21"/>
              </w:rPr>
            </w:pPr>
            <w:r>
              <w:t>12,071,356.58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40A59E" w14:textId="77777777" w:rsidR="00E57DAA" w:rsidRDefault="00AC4185">
            <w:pPr>
              <w:jc w:val="right"/>
              <w:rPr>
                <w:szCs w:val="21"/>
              </w:rPr>
            </w:pPr>
            <w:r>
              <w:t xml:space="preserve">　</w:t>
            </w:r>
          </w:p>
        </w:tc>
      </w:tr>
      <w:tr w:rsidR="00E57DAA" w14:paraId="5E26ED2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6404427" w14:textId="77777777" w:rsidR="00E57DAA" w:rsidRDefault="00AC4185">
            <w:pPr>
              <w:rPr>
                <w:szCs w:val="21"/>
              </w:rPr>
            </w:pPr>
            <w:r>
              <w:t>江西南城南方水泥有限公司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8343D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CE675F" w14:textId="77777777" w:rsidR="00E57DAA" w:rsidRDefault="00AC4185">
            <w:pPr>
              <w:jc w:val="right"/>
              <w:rPr>
                <w:szCs w:val="21"/>
              </w:rPr>
            </w:pPr>
            <w:r>
              <w:t>43,431,532.53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160804E" w14:textId="77777777" w:rsidR="00E57DAA" w:rsidRDefault="00AC4185">
            <w:pPr>
              <w:jc w:val="right"/>
              <w:rPr>
                <w:szCs w:val="21"/>
              </w:rPr>
            </w:pPr>
            <w:r>
              <w:t>46,578,254.24</w:t>
            </w:r>
          </w:p>
        </w:tc>
      </w:tr>
      <w:tr w:rsidR="00E57DAA" w14:paraId="17F847E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65C412" w14:textId="77777777" w:rsidR="00E57DAA" w:rsidRDefault="00AC4185">
            <w:pPr>
              <w:rPr>
                <w:szCs w:val="21"/>
              </w:rPr>
            </w:pPr>
            <w:r>
              <w:t>江西上高南方水泥有限公司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1FAF8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9D5803" w14:textId="77777777" w:rsidR="00E57DAA" w:rsidRDefault="00AC4185">
            <w:pPr>
              <w:jc w:val="right"/>
              <w:rPr>
                <w:szCs w:val="21"/>
              </w:rPr>
            </w:pPr>
            <w:r>
              <w:t>52,289,543.90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24624A3" w14:textId="77777777" w:rsidR="00E57DAA" w:rsidRDefault="00AC4185">
            <w:pPr>
              <w:jc w:val="right"/>
              <w:rPr>
                <w:szCs w:val="21"/>
              </w:rPr>
            </w:pPr>
            <w:r>
              <w:t>117,543,827.35</w:t>
            </w:r>
          </w:p>
        </w:tc>
      </w:tr>
      <w:tr w:rsidR="00E57DAA" w14:paraId="7C67A0E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EA1ADE" w14:textId="77777777" w:rsidR="00E57DAA" w:rsidRDefault="00AC4185">
            <w:pPr>
              <w:rPr>
                <w:szCs w:val="21"/>
              </w:rPr>
            </w:pPr>
            <w:r>
              <w:t>江西泰和南方水泥有限公司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157CD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D63BEF7" w14:textId="77777777" w:rsidR="00E57DAA" w:rsidRDefault="00AC4185">
            <w:pPr>
              <w:jc w:val="right"/>
              <w:rPr>
                <w:szCs w:val="21"/>
              </w:rPr>
            </w:pPr>
            <w:r>
              <w:t>17,049,994.60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A1E8AA" w14:textId="77777777" w:rsidR="00E57DAA" w:rsidRDefault="00AC4185">
            <w:pPr>
              <w:jc w:val="right"/>
              <w:rPr>
                <w:szCs w:val="21"/>
              </w:rPr>
            </w:pPr>
            <w:r>
              <w:t>21,786,088.46</w:t>
            </w:r>
          </w:p>
        </w:tc>
      </w:tr>
      <w:tr w:rsidR="00E57DAA" w14:paraId="52323C3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E952513" w14:textId="77777777" w:rsidR="00E57DAA" w:rsidRDefault="00AC4185">
            <w:pPr>
              <w:rPr>
                <w:szCs w:val="21"/>
              </w:rPr>
            </w:pPr>
            <w:r>
              <w:lastRenderedPageBreak/>
              <w:t>江西新余南方建材有限公司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ABC0B5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0AEBDC" w14:textId="77777777" w:rsidR="00E57DAA" w:rsidRDefault="00AC4185">
            <w:pPr>
              <w:jc w:val="right"/>
              <w:rPr>
                <w:szCs w:val="21"/>
              </w:rPr>
            </w:pPr>
            <w:r>
              <w:t>179,823.01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D070AB3" w14:textId="77777777" w:rsidR="00E57DAA" w:rsidRDefault="00AC4185">
            <w:pPr>
              <w:jc w:val="right"/>
              <w:rPr>
                <w:szCs w:val="21"/>
              </w:rPr>
            </w:pPr>
            <w:r>
              <w:t>167,256.64</w:t>
            </w:r>
          </w:p>
        </w:tc>
      </w:tr>
      <w:tr w:rsidR="00E57DAA" w14:paraId="7549CC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C3CAC85" w14:textId="77777777" w:rsidR="00E57DAA" w:rsidRDefault="00AC4185">
            <w:pPr>
              <w:rPr>
                <w:szCs w:val="21"/>
              </w:rPr>
            </w:pPr>
            <w:r>
              <w:t>江西兴国南方水泥有限公司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B3606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863372" w14:textId="77777777" w:rsidR="00E57DAA" w:rsidRDefault="00AC4185">
            <w:pPr>
              <w:jc w:val="right"/>
              <w:rPr>
                <w:szCs w:val="21"/>
              </w:rPr>
            </w:pPr>
            <w:r>
              <w:t>57,576,292.98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1708923" w14:textId="77777777" w:rsidR="00E57DAA" w:rsidRDefault="00AC4185">
            <w:pPr>
              <w:jc w:val="right"/>
              <w:rPr>
                <w:szCs w:val="21"/>
              </w:rPr>
            </w:pPr>
            <w:r>
              <w:t>78,529,162.03</w:t>
            </w:r>
          </w:p>
        </w:tc>
      </w:tr>
      <w:tr w:rsidR="00E57DAA" w14:paraId="03146ED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417F3A" w14:textId="77777777" w:rsidR="00E57DAA" w:rsidRDefault="00AC4185">
            <w:pPr>
              <w:rPr>
                <w:szCs w:val="21"/>
              </w:rPr>
            </w:pPr>
            <w:r>
              <w:t>江西修水南方水泥有限公司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BAB00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FF11B2"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56B2C0" w14:textId="77777777" w:rsidR="00E57DAA" w:rsidRDefault="00AC4185">
            <w:pPr>
              <w:jc w:val="right"/>
              <w:rPr>
                <w:szCs w:val="21"/>
              </w:rPr>
            </w:pPr>
            <w:r>
              <w:t>19,115.04</w:t>
            </w:r>
          </w:p>
        </w:tc>
      </w:tr>
      <w:tr w:rsidR="00E57DAA" w14:paraId="45C9DAB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EC9741" w14:textId="77777777" w:rsidR="00E57DAA" w:rsidRDefault="00AC4185">
            <w:pPr>
              <w:rPr>
                <w:szCs w:val="21"/>
              </w:rPr>
            </w:pPr>
            <w:r>
              <w:t>江西永丰南方水泥有限公司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73631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AD6F53" w14:textId="77777777" w:rsidR="00E57DAA" w:rsidRDefault="00AC4185">
            <w:pPr>
              <w:jc w:val="right"/>
              <w:rPr>
                <w:szCs w:val="21"/>
              </w:rPr>
            </w:pPr>
            <w:r>
              <w:t>37,357,668.08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594BAA9" w14:textId="77777777" w:rsidR="00E57DAA" w:rsidRDefault="00AC4185">
            <w:pPr>
              <w:jc w:val="right"/>
              <w:rPr>
                <w:szCs w:val="21"/>
              </w:rPr>
            </w:pPr>
            <w:r>
              <w:t>27,622,667.31</w:t>
            </w:r>
          </w:p>
        </w:tc>
      </w:tr>
      <w:tr w:rsidR="00E57DAA" w14:paraId="22F3FA5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BD92301" w14:textId="77777777" w:rsidR="00E57DAA" w:rsidRDefault="00AC4185">
            <w:pPr>
              <w:rPr>
                <w:szCs w:val="21"/>
              </w:rPr>
            </w:pPr>
            <w:r>
              <w:t>江西玉山南方水泥有限公司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20CCD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5FD22F" w14:textId="77777777" w:rsidR="00E57DAA" w:rsidRDefault="00AC4185">
            <w:pPr>
              <w:jc w:val="right"/>
              <w:rPr>
                <w:szCs w:val="21"/>
              </w:rPr>
            </w:pPr>
            <w:r>
              <w:t>150,744,331.59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C0F531A" w14:textId="77777777" w:rsidR="00E57DAA" w:rsidRDefault="00AC4185">
            <w:pPr>
              <w:jc w:val="right"/>
              <w:rPr>
                <w:szCs w:val="21"/>
              </w:rPr>
            </w:pPr>
            <w:r>
              <w:t>405,420,972.50</w:t>
            </w:r>
          </w:p>
        </w:tc>
      </w:tr>
      <w:tr w:rsidR="00E57DAA" w14:paraId="3692A4E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D8AD9C" w14:textId="77777777" w:rsidR="00E57DAA" w:rsidRDefault="00AC4185">
            <w:pPr>
              <w:rPr>
                <w:szCs w:val="21"/>
              </w:rPr>
            </w:pPr>
            <w:r>
              <w:t>金刚（集团）白山水泥有限公司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88FBC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D2F2342" w14:textId="77777777" w:rsidR="00E57DAA" w:rsidRDefault="00AC4185">
            <w:pPr>
              <w:jc w:val="right"/>
              <w:rPr>
                <w:szCs w:val="21"/>
              </w:rPr>
            </w:pPr>
            <w:r>
              <w:t>3,021,556.65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4687665" w14:textId="77777777" w:rsidR="00E57DAA" w:rsidRDefault="00AC4185">
            <w:pPr>
              <w:jc w:val="right"/>
              <w:rPr>
                <w:szCs w:val="21"/>
              </w:rPr>
            </w:pPr>
            <w:r>
              <w:t>5,584,493.23</w:t>
            </w:r>
          </w:p>
        </w:tc>
      </w:tr>
      <w:tr w:rsidR="00E57DAA" w14:paraId="4E3903E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2CC41AD" w14:textId="77777777" w:rsidR="00E57DAA" w:rsidRDefault="00AC4185">
            <w:pPr>
              <w:rPr>
                <w:szCs w:val="21"/>
              </w:rPr>
            </w:pPr>
            <w:r>
              <w:t>金乡中联混凝土有限公司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005FF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6D6F13" w14:textId="77777777" w:rsidR="00E57DAA" w:rsidRDefault="00AC4185">
            <w:pPr>
              <w:jc w:val="right"/>
              <w:rPr>
                <w:szCs w:val="21"/>
              </w:rPr>
            </w:pPr>
            <w:r>
              <w:t>9,030.97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F4B1388" w14:textId="77777777" w:rsidR="00E57DAA" w:rsidRDefault="00AC4185">
            <w:pPr>
              <w:jc w:val="right"/>
              <w:rPr>
                <w:szCs w:val="21"/>
              </w:rPr>
            </w:pPr>
            <w:r>
              <w:t xml:space="preserve">　</w:t>
            </w:r>
          </w:p>
        </w:tc>
      </w:tr>
      <w:tr w:rsidR="00E57DAA" w14:paraId="7971145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C5770EF" w14:textId="77777777" w:rsidR="00E57DAA" w:rsidRDefault="00AC4185">
            <w:pPr>
              <w:rPr>
                <w:szCs w:val="21"/>
              </w:rPr>
            </w:pPr>
            <w:r>
              <w:t>莒县中联水泥有限公司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946D9F"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3E3CB5" w14:textId="77777777" w:rsidR="00E57DAA" w:rsidRDefault="00AC4185">
            <w:pPr>
              <w:jc w:val="right"/>
              <w:rPr>
                <w:szCs w:val="21"/>
              </w:rPr>
            </w:pPr>
            <w:r>
              <w:t>18,618,871.94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CABE4B0" w14:textId="77777777" w:rsidR="00E57DAA" w:rsidRDefault="00AC4185">
            <w:pPr>
              <w:jc w:val="right"/>
              <w:rPr>
                <w:szCs w:val="21"/>
              </w:rPr>
            </w:pPr>
            <w:r>
              <w:t>7,224,045.87</w:t>
            </w:r>
          </w:p>
        </w:tc>
      </w:tr>
      <w:tr w:rsidR="00E57DAA" w14:paraId="2297F2B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275197" w14:textId="77777777" w:rsidR="00E57DAA" w:rsidRDefault="00AC4185">
            <w:pPr>
              <w:rPr>
                <w:szCs w:val="21"/>
              </w:rPr>
            </w:pPr>
            <w:r>
              <w:t>巨野中联混凝土有限公司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71AFA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6C4A13" w14:textId="77777777" w:rsidR="00E57DAA" w:rsidRDefault="00AC4185">
            <w:pPr>
              <w:jc w:val="right"/>
              <w:rPr>
                <w:szCs w:val="21"/>
              </w:rPr>
            </w:pPr>
            <w:r>
              <w:t>651.33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A62926C" w14:textId="77777777" w:rsidR="00E57DAA" w:rsidRDefault="00AC4185">
            <w:pPr>
              <w:jc w:val="right"/>
              <w:rPr>
                <w:szCs w:val="21"/>
              </w:rPr>
            </w:pPr>
            <w:r>
              <w:t xml:space="preserve">　</w:t>
            </w:r>
          </w:p>
        </w:tc>
      </w:tr>
      <w:tr w:rsidR="00E57DAA" w14:paraId="2F80AA0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46C972" w14:textId="77777777" w:rsidR="00E57DAA" w:rsidRDefault="00AC4185">
            <w:pPr>
              <w:rPr>
                <w:szCs w:val="21"/>
              </w:rPr>
            </w:pPr>
            <w:r>
              <w:t>喀喇沁草原水泥有限责任公司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AADD0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EE1B60" w14:textId="77777777" w:rsidR="00E57DAA" w:rsidRDefault="00AC4185">
            <w:pPr>
              <w:jc w:val="right"/>
              <w:rPr>
                <w:szCs w:val="21"/>
              </w:rPr>
            </w:pPr>
            <w:r>
              <w:t>3,765,587.26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29D16CE" w14:textId="77777777" w:rsidR="00E57DAA" w:rsidRDefault="00AC4185">
            <w:pPr>
              <w:jc w:val="right"/>
              <w:rPr>
                <w:szCs w:val="21"/>
              </w:rPr>
            </w:pPr>
            <w:r>
              <w:t>9,359,421.59</w:t>
            </w:r>
          </w:p>
        </w:tc>
      </w:tr>
      <w:tr w:rsidR="00E57DAA" w14:paraId="28BFF3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07125F" w14:textId="77777777" w:rsidR="00E57DAA" w:rsidRDefault="00AC4185">
            <w:pPr>
              <w:rPr>
                <w:szCs w:val="21"/>
              </w:rPr>
            </w:pPr>
            <w:r>
              <w:t>喀什天山水泥有限责任公司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858CC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9E02B6" w14:textId="77777777" w:rsidR="00E57DAA" w:rsidRDefault="00AC4185">
            <w:pPr>
              <w:jc w:val="right"/>
              <w:rPr>
                <w:szCs w:val="21"/>
              </w:rPr>
            </w:pPr>
            <w:r>
              <w:t>1,463,424.55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5DADF94" w14:textId="77777777" w:rsidR="00E57DAA" w:rsidRDefault="00AC4185">
            <w:pPr>
              <w:jc w:val="right"/>
              <w:rPr>
                <w:szCs w:val="21"/>
              </w:rPr>
            </w:pPr>
            <w:r>
              <w:t>7,840,300.88</w:t>
            </w:r>
          </w:p>
        </w:tc>
      </w:tr>
      <w:tr w:rsidR="00E57DAA" w14:paraId="46AC6C7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6FF9509" w14:textId="77777777" w:rsidR="00E57DAA" w:rsidRDefault="00AC4185">
            <w:pPr>
              <w:rPr>
                <w:szCs w:val="21"/>
              </w:rPr>
            </w:pPr>
            <w:r>
              <w:t>克州天山水泥有限责任公司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05649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F0EB64" w14:textId="77777777" w:rsidR="00E57DAA" w:rsidRDefault="00AC4185">
            <w:pPr>
              <w:jc w:val="right"/>
              <w:rPr>
                <w:szCs w:val="21"/>
              </w:rPr>
            </w:pPr>
            <w:r>
              <w:t>20,417,088.71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08342F5" w14:textId="77777777" w:rsidR="00E57DAA" w:rsidRDefault="00AC4185">
            <w:pPr>
              <w:jc w:val="right"/>
              <w:rPr>
                <w:szCs w:val="21"/>
              </w:rPr>
            </w:pPr>
            <w:r>
              <w:t>41,561,162.68</w:t>
            </w:r>
          </w:p>
        </w:tc>
      </w:tr>
      <w:tr w:rsidR="00E57DAA" w14:paraId="26B334E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CB2684" w14:textId="77777777" w:rsidR="00E57DAA" w:rsidRDefault="00AC4185">
            <w:pPr>
              <w:rPr>
                <w:szCs w:val="21"/>
              </w:rPr>
            </w:pPr>
            <w:r>
              <w:t>库车天山水泥有限责任公司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918E3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099BE9" w14:textId="77777777" w:rsidR="00E57DAA" w:rsidRDefault="00AC4185">
            <w:pPr>
              <w:jc w:val="right"/>
              <w:rPr>
                <w:szCs w:val="21"/>
              </w:rPr>
            </w:pPr>
            <w:r>
              <w:t>1,436,851.64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1AF21DF" w14:textId="77777777" w:rsidR="00E57DAA" w:rsidRDefault="00AC4185">
            <w:pPr>
              <w:jc w:val="right"/>
              <w:rPr>
                <w:szCs w:val="21"/>
              </w:rPr>
            </w:pPr>
            <w:r>
              <w:t xml:space="preserve">　</w:t>
            </w:r>
          </w:p>
        </w:tc>
      </w:tr>
      <w:tr w:rsidR="00E57DAA" w14:paraId="04BFACE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400D03E" w14:textId="77777777" w:rsidR="00E57DAA" w:rsidRDefault="00AC4185">
            <w:pPr>
              <w:rPr>
                <w:szCs w:val="21"/>
              </w:rPr>
            </w:pPr>
            <w:r>
              <w:t>兰溪南方水泥有限公司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41A3F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3BA1C7" w14:textId="77777777" w:rsidR="00E57DAA" w:rsidRDefault="00AC4185">
            <w:pPr>
              <w:jc w:val="right"/>
              <w:rPr>
                <w:szCs w:val="21"/>
              </w:rPr>
            </w:pPr>
            <w:r>
              <w:t>803,545.43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5BA3CE9" w14:textId="77777777" w:rsidR="00E57DAA" w:rsidRDefault="00AC4185">
            <w:pPr>
              <w:jc w:val="right"/>
              <w:rPr>
                <w:szCs w:val="21"/>
              </w:rPr>
            </w:pPr>
            <w:r>
              <w:t>6,396,647.05</w:t>
            </w:r>
          </w:p>
        </w:tc>
      </w:tr>
      <w:tr w:rsidR="00E57DAA" w14:paraId="5DC163F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85825DB" w14:textId="77777777" w:rsidR="00E57DAA" w:rsidRDefault="00AC4185">
            <w:pPr>
              <w:rPr>
                <w:szCs w:val="21"/>
              </w:rPr>
            </w:pPr>
            <w:r>
              <w:t>兰溪诸葛南方水泥有限公司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B10E8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877EA7" w14:textId="77777777" w:rsidR="00E57DAA" w:rsidRDefault="00AC4185">
            <w:pPr>
              <w:jc w:val="right"/>
              <w:rPr>
                <w:szCs w:val="21"/>
              </w:rPr>
            </w:pPr>
            <w:r>
              <w:t>2,237,813.64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812A143" w14:textId="77777777" w:rsidR="00E57DAA" w:rsidRDefault="00AC4185">
            <w:pPr>
              <w:jc w:val="right"/>
              <w:rPr>
                <w:szCs w:val="21"/>
              </w:rPr>
            </w:pPr>
            <w:r>
              <w:t>2,763,633.18</w:t>
            </w:r>
          </w:p>
        </w:tc>
      </w:tr>
      <w:tr w:rsidR="00E57DAA" w14:paraId="5ECC60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244E99" w14:textId="77777777" w:rsidR="00E57DAA" w:rsidRDefault="00AC4185">
            <w:pPr>
              <w:rPr>
                <w:szCs w:val="21"/>
              </w:rPr>
            </w:pPr>
            <w:r>
              <w:t>乐昌市中建材水泥有限公司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E81DF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D1A8FF" w14:textId="77777777" w:rsidR="00E57DAA" w:rsidRDefault="00AC4185">
            <w:pPr>
              <w:jc w:val="right"/>
              <w:rPr>
                <w:szCs w:val="21"/>
              </w:rPr>
            </w:pPr>
            <w:r>
              <w:t>2,398,338.72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4D47E7" w14:textId="77777777" w:rsidR="00E57DAA" w:rsidRDefault="00AC4185">
            <w:pPr>
              <w:jc w:val="right"/>
              <w:rPr>
                <w:szCs w:val="21"/>
              </w:rPr>
            </w:pPr>
            <w:r>
              <w:t>29,141,621.16</w:t>
            </w:r>
          </w:p>
        </w:tc>
      </w:tr>
      <w:tr w:rsidR="00E57DAA" w14:paraId="268F854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190AB87" w14:textId="77777777" w:rsidR="00E57DAA" w:rsidRDefault="00AC4185">
            <w:pPr>
              <w:rPr>
                <w:szCs w:val="21"/>
              </w:rPr>
            </w:pPr>
            <w:r>
              <w:t>丽江古城西南水泥有限公司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611363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5952C3" w14:textId="77777777" w:rsidR="00E57DAA" w:rsidRDefault="00AC4185">
            <w:pPr>
              <w:jc w:val="right"/>
              <w:rPr>
                <w:szCs w:val="21"/>
              </w:rPr>
            </w:pPr>
            <w:r>
              <w:t>14,667,046.76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6C8F5EE" w14:textId="77777777" w:rsidR="00E57DAA" w:rsidRDefault="00AC4185">
            <w:pPr>
              <w:jc w:val="right"/>
              <w:rPr>
                <w:szCs w:val="21"/>
              </w:rPr>
            </w:pPr>
            <w:r>
              <w:t>10,175,589.69</w:t>
            </w:r>
          </w:p>
        </w:tc>
      </w:tr>
      <w:tr w:rsidR="00E57DAA" w14:paraId="0BBB532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AF9ACA4" w14:textId="77777777" w:rsidR="00E57DAA" w:rsidRDefault="00AC4185">
            <w:pPr>
              <w:rPr>
                <w:szCs w:val="21"/>
              </w:rPr>
            </w:pPr>
            <w:r>
              <w:t>溧水天山水泥有限公司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610F5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95FE2E" w14:textId="77777777" w:rsidR="00E57DAA" w:rsidRDefault="00AC4185">
            <w:pPr>
              <w:jc w:val="right"/>
              <w:rPr>
                <w:szCs w:val="21"/>
              </w:rPr>
            </w:pPr>
            <w:r>
              <w:t>70,778,580.00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244FD6E" w14:textId="77777777" w:rsidR="00E57DAA" w:rsidRDefault="00AC4185">
            <w:pPr>
              <w:jc w:val="right"/>
              <w:rPr>
                <w:szCs w:val="21"/>
              </w:rPr>
            </w:pPr>
            <w:r>
              <w:t>29,739,578.48</w:t>
            </w:r>
          </w:p>
        </w:tc>
      </w:tr>
      <w:tr w:rsidR="00E57DAA" w14:paraId="64D0BB5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C72ECF8" w14:textId="77777777" w:rsidR="00E57DAA" w:rsidRDefault="00AC4185">
            <w:pPr>
              <w:rPr>
                <w:szCs w:val="21"/>
              </w:rPr>
            </w:pPr>
            <w:r>
              <w:t>溧阳天山水泥有限公司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FF9B71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F1D4C2" w14:textId="77777777" w:rsidR="00E57DAA" w:rsidRDefault="00AC4185">
            <w:pPr>
              <w:jc w:val="right"/>
              <w:rPr>
                <w:szCs w:val="21"/>
              </w:rPr>
            </w:pPr>
            <w:r>
              <w:t>47,782,794.61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D7BE36E" w14:textId="77777777" w:rsidR="00E57DAA" w:rsidRDefault="00AC4185">
            <w:pPr>
              <w:jc w:val="right"/>
              <w:rPr>
                <w:szCs w:val="21"/>
              </w:rPr>
            </w:pPr>
            <w:r>
              <w:t>37,090,889.71</w:t>
            </w:r>
          </w:p>
        </w:tc>
      </w:tr>
      <w:tr w:rsidR="00E57DAA" w14:paraId="6453359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6AFE447" w14:textId="77777777" w:rsidR="00E57DAA" w:rsidRDefault="00AC4185">
            <w:pPr>
              <w:rPr>
                <w:szCs w:val="21"/>
              </w:rPr>
            </w:pPr>
            <w:r>
              <w:t>涟源市金铃建材有限公司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D5524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C3645C" w14:textId="77777777" w:rsidR="00E57DAA" w:rsidRDefault="00AC4185">
            <w:pPr>
              <w:jc w:val="right"/>
              <w:rPr>
                <w:szCs w:val="21"/>
              </w:rPr>
            </w:pPr>
            <w:r>
              <w:t>11,275,647.71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EDF816" w14:textId="77777777" w:rsidR="00E57DAA" w:rsidRDefault="00AC4185">
            <w:pPr>
              <w:jc w:val="right"/>
              <w:rPr>
                <w:szCs w:val="21"/>
              </w:rPr>
            </w:pPr>
            <w:r>
              <w:t>5,447,802.92</w:t>
            </w:r>
          </w:p>
        </w:tc>
      </w:tr>
      <w:tr w:rsidR="00E57DAA" w14:paraId="5FAF9F3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3BB446" w14:textId="77777777" w:rsidR="00E57DAA" w:rsidRDefault="00AC4185">
            <w:pPr>
              <w:rPr>
                <w:szCs w:val="21"/>
              </w:rPr>
            </w:pPr>
            <w:r>
              <w:t>梁山中联混凝土有限公司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7FDA2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E06274" w14:textId="77777777" w:rsidR="00E57DAA" w:rsidRDefault="00AC4185">
            <w:pPr>
              <w:jc w:val="right"/>
              <w:rPr>
                <w:szCs w:val="21"/>
              </w:rPr>
            </w:pPr>
            <w:r>
              <w:t>14,405.30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2DF227" w14:textId="77777777" w:rsidR="00E57DAA" w:rsidRDefault="00AC4185">
            <w:pPr>
              <w:jc w:val="right"/>
              <w:rPr>
                <w:szCs w:val="21"/>
              </w:rPr>
            </w:pPr>
            <w:r>
              <w:t xml:space="preserve">　</w:t>
            </w:r>
          </w:p>
        </w:tc>
      </w:tr>
      <w:tr w:rsidR="00E57DAA" w14:paraId="1E0A17D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7C64D6" w14:textId="77777777" w:rsidR="00E57DAA" w:rsidRDefault="00AC4185">
            <w:pPr>
              <w:rPr>
                <w:szCs w:val="21"/>
              </w:rPr>
            </w:pPr>
            <w:r>
              <w:t>辽源北方水泥有限公司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354DB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F4505C" w14:textId="77777777" w:rsidR="00E57DAA" w:rsidRDefault="00AC4185">
            <w:pPr>
              <w:jc w:val="right"/>
              <w:rPr>
                <w:szCs w:val="21"/>
              </w:rPr>
            </w:pPr>
            <w:r>
              <w:t>8,509,003.75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4BBA733" w14:textId="77777777" w:rsidR="00E57DAA" w:rsidRDefault="00AC4185">
            <w:pPr>
              <w:jc w:val="right"/>
              <w:rPr>
                <w:szCs w:val="21"/>
              </w:rPr>
            </w:pPr>
            <w:r>
              <w:t>413,442.49</w:t>
            </w:r>
          </w:p>
        </w:tc>
      </w:tr>
      <w:tr w:rsidR="00E57DAA" w14:paraId="719020E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412B16" w14:textId="77777777" w:rsidR="00E57DAA" w:rsidRDefault="00AC4185">
            <w:pPr>
              <w:rPr>
                <w:szCs w:val="21"/>
              </w:rPr>
            </w:pPr>
            <w:r>
              <w:t>临城中联福石水泥有限公司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1EA34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6A2AFD" w14:textId="77777777" w:rsidR="00E57DAA" w:rsidRDefault="00AC4185">
            <w:pPr>
              <w:jc w:val="right"/>
              <w:rPr>
                <w:szCs w:val="21"/>
              </w:rPr>
            </w:pPr>
            <w:r>
              <w:t>29,203.54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9000A18" w14:textId="77777777" w:rsidR="00E57DAA" w:rsidRDefault="00AC4185">
            <w:pPr>
              <w:jc w:val="right"/>
              <w:rPr>
                <w:szCs w:val="21"/>
              </w:rPr>
            </w:pPr>
            <w:r>
              <w:t>6,900,182.55</w:t>
            </w:r>
          </w:p>
        </w:tc>
      </w:tr>
      <w:tr w:rsidR="00E57DAA" w14:paraId="443F712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4BCE48" w14:textId="77777777" w:rsidR="00E57DAA" w:rsidRDefault="00AC4185">
            <w:pPr>
              <w:rPr>
                <w:szCs w:val="21"/>
              </w:rPr>
            </w:pPr>
            <w:r>
              <w:t>临城中联水泥有限公司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358430"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41CEBB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48BDA38" w14:textId="77777777" w:rsidR="00E57DAA" w:rsidRDefault="00AC4185">
            <w:pPr>
              <w:jc w:val="right"/>
              <w:rPr>
                <w:szCs w:val="21"/>
              </w:rPr>
            </w:pPr>
            <w:r>
              <w:t>3,774,683.95</w:t>
            </w:r>
          </w:p>
        </w:tc>
      </w:tr>
      <w:tr w:rsidR="00E57DAA" w14:paraId="7E9F9A2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0E4EB10" w14:textId="77777777" w:rsidR="00E57DAA" w:rsidRDefault="00AC4185">
            <w:pPr>
              <w:rPr>
                <w:szCs w:val="21"/>
              </w:rPr>
            </w:pPr>
            <w:r>
              <w:t>临桂南方水泥有限公司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1AB55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AC372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9CCBDF1" w14:textId="77777777" w:rsidR="00E57DAA" w:rsidRDefault="00AC4185">
            <w:pPr>
              <w:jc w:val="right"/>
              <w:rPr>
                <w:szCs w:val="21"/>
              </w:rPr>
            </w:pPr>
            <w:r>
              <w:t>56,548.67</w:t>
            </w:r>
          </w:p>
        </w:tc>
      </w:tr>
      <w:tr w:rsidR="00E57DAA" w14:paraId="430F404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BEA58BC" w14:textId="77777777" w:rsidR="00E57DAA" w:rsidRDefault="00AC4185">
            <w:pPr>
              <w:rPr>
                <w:szCs w:val="21"/>
              </w:rPr>
            </w:pPr>
            <w:r>
              <w:t>临沂中联混凝土有限公司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5AFA8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4A5C98" w14:textId="77777777" w:rsidR="00E57DAA" w:rsidRDefault="00AC4185">
            <w:pPr>
              <w:jc w:val="right"/>
              <w:rPr>
                <w:szCs w:val="21"/>
              </w:rPr>
            </w:pPr>
            <w:r>
              <w:t>8,827.43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CF12C1" w14:textId="77777777" w:rsidR="00E57DAA" w:rsidRDefault="00AC4185">
            <w:pPr>
              <w:jc w:val="right"/>
              <w:rPr>
                <w:szCs w:val="21"/>
              </w:rPr>
            </w:pPr>
            <w:r>
              <w:t xml:space="preserve">　</w:t>
            </w:r>
          </w:p>
        </w:tc>
      </w:tr>
      <w:tr w:rsidR="00E57DAA" w14:paraId="619B8A7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225058" w14:textId="77777777" w:rsidR="00E57DAA" w:rsidRDefault="00AC4185">
            <w:pPr>
              <w:rPr>
                <w:szCs w:val="21"/>
              </w:rPr>
            </w:pPr>
            <w:r>
              <w:t>临沂中联水泥有限公司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71044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BEF0FD" w14:textId="77777777" w:rsidR="00E57DAA" w:rsidRDefault="00AC4185">
            <w:pPr>
              <w:jc w:val="right"/>
              <w:rPr>
                <w:szCs w:val="21"/>
              </w:rPr>
            </w:pPr>
            <w:r>
              <w:t>74,156,365.15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82FECC7" w14:textId="77777777" w:rsidR="00E57DAA" w:rsidRDefault="00AC4185">
            <w:pPr>
              <w:jc w:val="right"/>
              <w:rPr>
                <w:szCs w:val="21"/>
              </w:rPr>
            </w:pPr>
            <w:r>
              <w:t>43,779,188.72</w:t>
            </w:r>
          </w:p>
        </w:tc>
      </w:tr>
      <w:tr w:rsidR="00E57DAA" w14:paraId="5164DF0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71B36DE" w14:textId="77777777" w:rsidR="00E57DAA" w:rsidRDefault="00AC4185">
            <w:pPr>
              <w:rPr>
                <w:szCs w:val="21"/>
              </w:rPr>
            </w:pPr>
            <w:r>
              <w:t>凌源市富源矿业有限责任公司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14BB5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64BB05" w14:textId="77777777" w:rsidR="00E57DAA" w:rsidRDefault="00AC4185">
            <w:pPr>
              <w:jc w:val="right"/>
              <w:rPr>
                <w:szCs w:val="21"/>
              </w:rPr>
            </w:pPr>
            <w:r>
              <w:t>7,850,028.84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679FA8" w14:textId="77777777" w:rsidR="00E57DAA" w:rsidRDefault="00AC4185">
            <w:pPr>
              <w:jc w:val="right"/>
              <w:rPr>
                <w:szCs w:val="21"/>
              </w:rPr>
            </w:pPr>
            <w:r>
              <w:t>6,018,305.69</w:t>
            </w:r>
          </w:p>
        </w:tc>
      </w:tr>
      <w:tr w:rsidR="00E57DAA" w14:paraId="57C3277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5CBDD4A" w14:textId="77777777" w:rsidR="00E57DAA" w:rsidRDefault="00AC4185">
            <w:pPr>
              <w:rPr>
                <w:szCs w:val="21"/>
              </w:rPr>
            </w:pPr>
            <w:r>
              <w:t>六安南方水泥有限公司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8F5350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FF2808" w14:textId="77777777" w:rsidR="00E57DAA" w:rsidRDefault="00AC4185">
            <w:pPr>
              <w:jc w:val="right"/>
              <w:rPr>
                <w:szCs w:val="21"/>
              </w:rPr>
            </w:pPr>
            <w:r>
              <w:t>46,397,285.30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4AF6505" w14:textId="77777777" w:rsidR="00E57DAA" w:rsidRDefault="00AC4185">
            <w:pPr>
              <w:jc w:val="right"/>
              <w:rPr>
                <w:szCs w:val="21"/>
              </w:rPr>
            </w:pPr>
            <w:r>
              <w:t>83,677,167.27</w:t>
            </w:r>
          </w:p>
        </w:tc>
      </w:tr>
      <w:tr w:rsidR="00E57DAA" w14:paraId="70B5E65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4CCDD7C" w14:textId="77777777" w:rsidR="00E57DAA" w:rsidRDefault="00AC4185">
            <w:pPr>
              <w:rPr>
                <w:szCs w:val="21"/>
              </w:rPr>
            </w:pPr>
            <w:r>
              <w:t>陇南祁连山水泥有限公司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59CA2A"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ADB1A7" w14:textId="77777777" w:rsidR="00E57DAA" w:rsidRDefault="00AC4185">
            <w:pPr>
              <w:jc w:val="right"/>
              <w:rPr>
                <w:szCs w:val="21"/>
              </w:rPr>
            </w:pPr>
            <w:r>
              <w:t>4,950,714.14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7855260" w14:textId="77777777" w:rsidR="00E57DAA" w:rsidRDefault="00AC4185">
            <w:pPr>
              <w:jc w:val="right"/>
              <w:rPr>
                <w:szCs w:val="21"/>
              </w:rPr>
            </w:pPr>
            <w:r>
              <w:t>19,689,458.98</w:t>
            </w:r>
          </w:p>
        </w:tc>
      </w:tr>
      <w:tr w:rsidR="00E57DAA" w14:paraId="4438493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D52A406" w14:textId="77777777" w:rsidR="00E57DAA" w:rsidRDefault="00AC4185">
            <w:pPr>
              <w:rPr>
                <w:szCs w:val="21"/>
              </w:rPr>
            </w:pPr>
            <w:r>
              <w:t>鲁南中联水泥有限公司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6B3CF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0DBD52" w14:textId="77777777" w:rsidR="00E57DAA" w:rsidRDefault="00AC4185">
            <w:pPr>
              <w:jc w:val="right"/>
              <w:rPr>
                <w:szCs w:val="21"/>
              </w:rPr>
            </w:pPr>
            <w:r>
              <w:t>194,009,852.20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924CF79" w14:textId="77777777" w:rsidR="00E57DAA" w:rsidRDefault="00AC4185">
            <w:pPr>
              <w:jc w:val="right"/>
              <w:rPr>
                <w:szCs w:val="21"/>
              </w:rPr>
            </w:pPr>
            <w:r>
              <w:t>7,367,913.26</w:t>
            </w:r>
          </w:p>
        </w:tc>
      </w:tr>
      <w:tr w:rsidR="00E57DAA" w14:paraId="376759D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E5ECC21" w14:textId="77777777" w:rsidR="00E57DAA" w:rsidRDefault="00AC4185">
            <w:pPr>
              <w:rPr>
                <w:szCs w:val="21"/>
              </w:rPr>
            </w:pPr>
            <w:r>
              <w:t>洛浦天山水泥有限责任公司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C9EA7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341D29" w14:textId="77777777" w:rsidR="00E57DAA" w:rsidRDefault="00AC4185">
            <w:pPr>
              <w:jc w:val="right"/>
              <w:rPr>
                <w:szCs w:val="21"/>
              </w:rPr>
            </w:pPr>
            <w:r>
              <w:t>1,655,506.19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04F907F" w14:textId="77777777" w:rsidR="00E57DAA" w:rsidRDefault="00AC4185">
            <w:pPr>
              <w:jc w:val="right"/>
              <w:rPr>
                <w:szCs w:val="21"/>
              </w:rPr>
            </w:pPr>
            <w:r>
              <w:t>935,440.71</w:t>
            </w:r>
          </w:p>
        </w:tc>
      </w:tr>
      <w:tr w:rsidR="00E57DAA" w14:paraId="5DA8B30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2EE50C5" w14:textId="77777777" w:rsidR="00E57DAA" w:rsidRDefault="00AC4185">
            <w:pPr>
              <w:rPr>
                <w:szCs w:val="21"/>
              </w:rPr>
            </w:pPr>
            <w:r>
              <w:lastRenderedPageBreak/>
              <w:t>洛阳黄河同力水泥有限责任公司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9D49D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279B3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67B924F" w14:textId="77777777" w:rsidR="00E57DAA" w:rsidRDefault="00AC4185">
            <w:pPr>
              <w:jc w:val="right"/>
              <w:rPr>
                <w:szCs w:val="21"/>
              </w:rPr>
            </w:pPr>
            <w:r>
              <w:t>11,479,101.89</w:t>
            </w:r>
          </w:p>
        </w:tc>
      </w:tr>
      <w:tr w:rsidR="00E57DAA" w14:paraId="0767DC1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E99EBD" w14:textId="77777777" w:rsidR="00E57DAA" w:rsidRDefault="00AC4185">
            <w:pPr>
              <w:rPr>
                <w:szCs w:val="21"/>
              </w:rPr>
            </w:pPr>
            <w:r>
              <w:t>洛阳中联国展新材料有限公司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7B882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235C04" w14:textId="77777777" w:rsidR="00E57DAA" w:rsidRDefault="00AC4185">
            <w:pPr>
              <w:jc w:val="right"/>
              <w:rPr>
                <w:szCs w:val="21"/>
              </w:rPr>
            </w:pPr>
            <w:r>
              <w:t>188,679.24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98DFE76" w14:textId="77777777" w:rsidR="00E57DAA" w:rsidRDefault="00AC4185">
            <w:pPr>
              <w:jc w:val="right"/>
              <w:rPr>
                <w:szCs w:val="21"/>
              </w:rPr>
            </w:pPr>
            <w:r>
              <w:t xml:space="preserve">　</w:t>
            </w:r>
          </w:p>
        </w:tc>
      </w:tr>
      <w:tr w:rsidR="00E57DAA" w14:paraId="07CA06D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6745047" w14:textId="77777777" w:rsidR="00E57DAA" w:rsidRDefault="00AC4185">
            <w:pPr>
              <w:rPr>
                <w:szCs w:val="21"/>
              </w:rPr>
            </w:pPr>
            <w:r>
              <w:t>洛阳中联水泥有限公司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38846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3CC16E" w14:textId="77777777" w:rsidR="00E57DAA" w:rsidRDefault="00AC4185">
            <w:pPr>
              <w:jc w:val="right"/>
              <w:rPr>
                <w:szCs w:val="21"/>
              </w:rPr>
            </w:pPr>
            <w:r>
              <w:t>29,253,643.74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BD57A85" w14:textId="77777777" w:rsidR="00E57DAA" w:rsidRDefault="00AC4185">
            <w:pPr>
              <w:jc w:val="right"/>
              <w:rPr>
                <w:szCs w:val="21"/>
              </w:rPr>
            </w:pPr>
            <w:r>
              <w:t>39,498,603.39</w:t>
            </w:r>
          </w:p>
        </w:tc>
      </w:tr>
      <w:tr w:rsidR="00E57DAA" w14:paraId="6512883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C74A391" w14:textId="77777777" w:rsidR="00E57DAA" w:rsidRDefault="00AC4185">
            <w:pPr>
              <w:rPr>
                <w:szCs w:val="21"/>
              </w:rPr>
            </w:pPr>
            <w:r>
              <w:t>泌阳中联新材料有限公司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B3E67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9E2A24" w14:textId="77777777" w:rsidR="00E57DAA" w:rsidRDefault="00AC4185">
            <w:pPr>
              <w:jc w:val="right"/>
              <w:rPr>
                <w:szCs w:val="21"/>
              </w:rPr>
            </w:pPr>
            <w:r>
              <w:t>423,874,136.04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C39406" w14:textId="77777777" w:rsidR="00E57DAA" w:rsidRDefault="00AC4185">
            <w:pPr>
              <w:jc w:val="right"/>
              <w:rPr>
                <w:szCs w:val="21"/>
              </w:rPr>
            </w:pPr>
            <w:r>
              <w:t>8,222,576.22</w:t>
            </w:r>
          </w:p>
        </w:tc>
      </w:tr>
      <w:tr w:rsidR="00E57DAA" w14:paraId="5F387C6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3007E40" w14:textId="77777777" w:rsidR="00E57DAA" w:rsidRDefault="00AC4185">
            <w:pPr>
              <w:rPr>
                <w:szCs w:val="21"/>
              </w:rPr>
            </w:pPr>
            <w:r>
              <w:t>民和祁连山水泥有限公司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F80FA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7E430E" w14:textId="77777777" w:rsidR="00E57DAA" w:rsidRDefault="00AC4185">
            <w:pPr>
              <w:jc w:val="right"/>
              <w:rPr>
                <w:szCs w:val="21"/>
              </w:rPr>
            </w:pPr>
            <w:r>
              <w:t>176,990.97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DF3673" w14:textId="77777777" w:rsidR="00E57DAA" w:rsidRDefault="00AC4185">
            <w:pPr>
              <w:jc w:val="right"/>
              <w:rPr>
                <w:szCs w:val="21"/>
              </w:rPr>
            </w:pPr>
            <w:r>
              <w:t xml:space="preserve">　</w:t>
            </w:r>
          </w:p>
        </w:tc>
      </w:tr>
      <w:tr w:rsidR="00E57DAA" w14:paraId="6DBFA86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5090563" w14:textId="77777777" w:rsidR="00E57DAA" w:rsidRDefault="00AC4185">
            <w:pPr>
              <w:rPr>
                <w:szCs w:val="21"/>
              </w:rPr>
            </w:pPr>
            <w:r>
              <w:t>牡丹江北方水泥有限公司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20608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323483F" w14:textId="77777777" w:rsidR="00E57DAA" w:rsidRDefault="00AC4185">
            <w:pPr>
              <w:jc w:val="right"/>
              <w:rPr>
                <w:szCs w:val="21"/>
              </w:rPr>
            </w:pPr>
            <w:r>
              <w:t>15,044.24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B977DBE" w14:textId="77777777" w:rsidR="00E57DAA" w:rsidRDefault="00AC4185">
            <w:pPr>
              <w:jc w:val="right"/>
              <w:rPr>
                <w:szCs w:val="21"/>
              </w:rPr>
            </w:pPr>
            <w:r>
              <w:t xml:space="preserve">　</w:t>
            </w:r>
          </w:p>
        </w:tc>
      </w:tr>
      <w:tr w:rsidR="00E57DAA" w14:paraId="000C433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CAB8094" w14:textId="77777777" w:rsidR="00E57DAA" w:rsidRDefault="00AC4185">
            <w:pPr>
              <w:rPr>
                <w:szCs w:val="21"/>
              </w:rPr>
            </w:pPr>
            <w:r>
              <w:t>牡丹江北方远东水泥有限公司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70AAF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5BDA04" w14:textId="77777777" w:rsidR="00E57DAA" w:rsidRDefault="00AC4185">
            <w:pPr>
              <w:jc w:val="right"/>
              <w:rPr>
                <w:szCs w:val="21"/>
              </w:rPr>
            </w:pPr>
            <w:r>
              <w:t>135,336,229.84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1C790D7" w14:textId="77777777" w:rsidR="00E57DAA" w:rsidRDefault="00AC4185">
            <w:pPr>
              <w:jc w:val="right"/>
              <w:rPr>
                <w:szCs w:val="21"/>
              </w:rPr>
            </w:pPr>
            <w:r>
              <w:t>15,735,432.16</w:t>
            </w:r>
          </w:p>
        </w:tc>
      </w:tr>
      <w:tr w:rsidR="00E57DAA" w14:paraId="65CAE46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17BC79B" w14:textId="77777777" w:rsidR="00E57DAA" w:rsidRDefault="00AC4185">
            <w:pPr>
              <w:rPr>
                <w:szCs w:val="21"/>
              </w:rPr>
            </w:pPr>
            <w:r>
              <w:t>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A586B6"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2DCFE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18DBE50" w14:textId="77777777" w:rsidR="00E57DAA" w:rsidRDefault="00AC4185">
            <w:pPr>
              <w:jc w:val="right"/>
              <w:rPr>
                <w:szCs w:val="21"/>
              </w:rPr>
            </w:pPr>
            <w:r>
              <w:t>1,698,113.21</w:t>
            </w:r>
          </w:p>
        </w:tc>
      </w:tr>
      <w:tr w:rsidR="00E57DAA" w14:paraId="2EFBF4D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3A8CEBC" w14:textId="77777777" w:rsidR="00E57DAA" w:rsidRDefault="00AC4185">
            <w:pPr>
              <w:rPr>
                <w:szCs w:val="21"/>
              </w:rPr>
            </w:pPr>
            <w:r>
              <w:t>南京中联水泥有限公司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0FC62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32C247" w14:textId="77777777" w:rsidR="00E57DAA" w:rsidRDefault="00AC4185">
            <w:pPr>
              <w:jc w:val="right"/>
              <w:rPr>
                <w:szCs w:val="21"/>
              </w:rPr>
            </w:pPr>
            <w:r>
              <w:t>75,653,927.81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C540977" w14:textId="77777777" w:rsidR="00E57DAA" w:rsidRDefault="00AC4185">
            <w:pPr>
              <w:jc w:val="right"/>
              <w:rPr>
                <w:szCs w:val="21"/>
              </w:rPr>
            </w:pPr>
            <w:r>
              <w:t>36,739,462.17</w:t>
            </w:r>
          </w:p>
        </w:tc>
      </w:tr>
      <w:tr w:rsidR="00E57DAA" w14:paraId="2E1A7E7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2EBE6EC" w14:textId="77777777" w:rsidR="00E57DAA" w:rsidRDefault="00AC4185">
            <w:pPr>
              <w:rPr>
                <w:szCs w:val="21"/>
              </w:rPr>
            </w:pPr>
            <w:r>
              <w:t>南阳中联水泥有限公司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069BE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9831FB" w14:textId="77777777" w:rsidR="00E57DAA" w:rsidRDefault="00AC4185">
            <w:pPr>
              <w:jc w:val="right"/>
              <w:rPr>
                <w:szCs w:val="21"/>
              </w:rPr>
            </w:pPr>
            <w:r>
              <w:t>56,348,733.53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8C2393B" w14:textId="77777777" w:rsidR="00E57DAA" w:rsidRDefault="00AC4185">
            <w:pPr>
              <w:jc w:val="right"/>
              <w:rPr>
                <w:szCs w:val="21"/>
              </w:rPr>
            </w:pPr>
            <w:r>
              <w:t>83,376,042.47</w:t>
            </w:r>
          </w:p>
        </w:tc>
      </w:tr>
      <w:tr w:rsidR="00E57DAA" w14:paraId="1182769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972D354" w14:textId="77777777" w:rsidR="00E57DAA" w:rsidRDefault="00AC4185">
            <w:pPr>
              <w:rPr>
                <w:szCs w:val="21"/>
              </w:rPr>
            </w:pPr>
            <w:r>
              <w:t>南阳中联卧龙水泥有限公司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22228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931C77" w14:textId="77777777" w:rsidR="00E57DAA" w:rsidRDefault="00AC4185">
            <w:pPr>
              <w:jc w:val="right"/>
              <w:rPr>
                <w:szCs w:val="21"/>
              </w:rPr>
            </w:pPr>
            <w:r>
              <w:t>1,426.80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BB7B408" w14:textId="77777777" w:rsidR="00E57DAA" w:rsidRDefault="00AC4185">
            <w:pPr>
              <w:jc w:val="right"/>
              <w:rPr>
                <w:szCs w:val="21"/>
              </w:rPr>
            </w:pPr>
            <w:r>
              <w:t>28,761.06</w:t>
            </w:r>
          </w:p>
        </w:tc>
      </w:tr>
      <w:tr w:rsidR="00E57DAA" w14:paraId="0DE4FC9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0C56F8" w14:textId="77777777" w:rsidR="00E57DAA" w:rsidRDefault="00AC4185">
            <w:pPr>
              <w:rPr>
                <w:szCs w:val="21"/>
              </w:rPr>
            </w:pPr>
            <w:r>
              <w:t>讷河北方水泥有限公司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71594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7C1725" w14:textId="77777777" w:rsidR="00E57DAA" w:rsidRDefault="00AC4185">
            <w:pPr>
              <w:jc w:val="right"/>
              <w:rPr>
                <w:szCs w:val="21"/>
              </w:rPr>
            </w:pPr>
            <w:r>
              <w:t>17,699.11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B90D26A" w14:textId="77777777" w:rsidR="00E57DAA" w:rsidRDefault="00AC4185">
            <w:pPr>
              <w:jc w:val="right"/>
              <w:rPr>
                <w:szCs w:val="21"/>
              </w:rPr>
            </w:pPr>
            <w:r>
              <w:t xml:space="preserve">　</w:t>
            </w:r>
          </w:p>
        </w:tc>
      </w:tr>
      <w:tr w:rsidR="00E57DAA" w14:paraId="109C379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4BBA6D1" w14:textId="77777777" w:rsidR="00E57DAA" w:rsidRDefault="00AC4185">
            <w:pPr>
              <w:rPr>
                <w:szCs w:val="21"/>
              </w:rPr>
            </w:pPr>
            <w:r>
              <w:t>宁夏青铜峡水泥股份有限公司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FB77F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3628FB" w14:textId="77777777" w:rsidR="00E57DAA" w:rsidRDefault="00AC4185">
            <w:pPr>
              <w:jc w:val="right"/>
              <w:rPr>
                <w:szCs w:val="21"/>
              </w:rPr>
            </w:pPr>
            <w:r>
              <w:t>107,348,198.84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FCEEE64" w14:textId="77777777" w:rsidR="00E57DAA" w:rsidRDefault="00AC4185">
            <w:pPr>
              <w:jc w:val="right"/>
              <w:rPr>
                <w:szCs w:val="21"/>
              </w:rPr>
            </w:pPr>
            <w:r>
              <w:t>308,409,922.29</w:t>
            </w:r>
          </w:p>
        </w:tc>
      </w:tr>
      <w:tr w:rsidR="00E57DAA" w14:paraId="70610D6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40C62DB" w14:textId="77777777" w:rsidR="00E57DAA" w:rsidRDefault="00AC4185">
            <w:pPr>
              <w:rPr>
                <w:szCs w:val="21"/>
              </w:rPr>
            </w:pPr>
            <w:r>
              <w:t>宁夏赛马水泥有限公司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3959B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3328AF" w14:textId="77777777" w:rsidR="00E57DAA" w:rsidRDefault="00AC4185">
            <w:pPr>
              <w:jc w:val="right"/>
              <w:rPr>
                <w:szCs w:val="21"/>
              </w:rPr>
            </w:pPr>
            <w:r>
              <w:t>2,251,293.90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6AC7068" w14:textId="77777777" w:rsidR="00E57DAA" w:rsidRDefault="00AC4185">
            <w:pPr>
              <w:jc w:val="right"/>
              <w:rPr>
                <w:szCs w:val="21"/>
              </w:rPr>
            </w:pPr>
            <w:r>
              <w:t>5,372,702.91</w:t>
            </w:r>
          </w:p>
        </w:tc>
      </w:tr>
      <w:tr w:rsidR="00E57DAA" w14:paraId="61CBCD2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64C67DC" w14:textId="77777777" w:rsidR="00E57DAA" w:rsidRDefault="00AC4185">
            <w:pPr>
              <w:rPr>
                <w:szCs w:val="21"/>
              </w:rPr>
            </w:pPr>
            <w:r>
              <w:t>宁夏中宁赛马水泥有限公司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39405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66D04E" w14:textId="77777777" w:rsidR="00E57DAA" w:rsidRDefault="00AC4185">
            <w:pPr>
              <w:jc w:val="right"/>
              <w:rPr>
                <w:szCs w:val="21"/>
              </w:rPr>
            </w:pPr>
            <w:r>
              <w:t>5,233,906.23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25213BB" w14:textId="77777777" w:rsidR="00E57DAA" w:rsidRDefault="00AC4185">
            <w:pPr>
              <w:jc w:val="right"/>
              <w:rPr>
                <w:szCs w:val="21"/>
              </w:rPr>
            </w:pPr>
            <w:r>
              <w:t>91,150.44</w:t>
            </w:r>
          </w:p>
        </w:tc>
      </w:tr>
      <w:tr w:rsidR="00E57DAA" w14:paraId="7784995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289C09B" w14:textId="77777777" w:rsidR="00E57DAA" w:rsidRDefault="00AC4185">
            <w:pPr>
              <w:rPr>
                <w:szCs w:val="21"/>
              </w:rPr>
            </w:pPr>
            <w:r>
              <w:t>农安北方水泥有限公司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AEF50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FB6EB4" w14:textId="77777777" w:rsidR="00E57DAA" w:rsidRDefault="00AC4185">
            <w:pPr>
              <w:jc w:val="right"/>
              <w:rPr>
                <w:szCs w:val="21"/>
              </w:rPr>
            </w:pPr>
            <w:r>
              <w:t>13,274.34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D2C2B5" w14:textId="77777777" w:rsidR="00E57DAA" w:rsidRDefault="00AC4185">
            <w:pPr>
              <w:jc w:val="right"/>
              <w:rPr>
                <w:szCs w:val="21"/>
              </w:rPr>
            </w:pPr>
            <w:r>
              <w:t xml:space="preserve">　</w:t>
            </w:r>
          </w:p>
        </w:tc>
      </w:tr>
      <w:tr w:rsidR="00E57DAA" w14:paraId="046F793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4FC1EC9" w14:textId="77777777" w:rsidR="00E57DAA" w:rsidRDefault="00AC4185">
            <w:pPr>
              <w:rPr>
                <w:szCs w:val="21"/>
              </w:rPr>
            </w:pPr>
            <w:r>
              <w:t>攀枝花攀煤水泥制品有限公司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35E00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E16D85" w14:textId="77777777" w:rsidR="00E57DAA" w:rsidRDefault="00AC4185">
            <w:pPr>
              <w:jc w:val="right"/>
              <w:rPr>
                <w:szCs w:val="21"/>
              </w:rPr>
            </w:pPr>
            <w:r>
              <w:t>338,053.09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3391DB" w14:textId="77777777" w:rsidR="00E57DAA" w:rsidRDefault="00AC4185">
            <w:pPr>
              <w:jc w:val="right"/>
              <w:rPr>
                <w:szCs w:val="21"/>
              </w:rPr>
            </w:pPr>
            <w:r>
              <w:t xml:space="preserve">　</w:t>
            </w:r>
          </w:p>
        </w:tc>
      </w:tr>
      <w:tr w:rsidR="00E57DAA" w14:paraId="1E4703D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8A1A28" w14:textId="77777777" w:rsidR="00E57DAA" w:rsidRDefault="00AC4185">
            <w:pPr>
              <w:rPr>
                <w:szCs w:val="21"/>
              </w:rPr>
            </w:pPr>
            <w:r>
              <w:t>沛县铸本混凝土有限公司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1A4EF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53484C" w14:textId="77777777" w:rsidR="00E57DAA" w:rsidRDefault="00AC4185">
            <w:pPr>
              <w:jc w:val="right"/>
              <w:rPr>
                <w:szCs w:val="21"/>
              </w:rPr>
            </w:pPr>
            <w:r>
              <w:t>49,946.89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094FCC" w14:textId="77777777" w:rsidR="00E57DAA" w:rsidRDefault="00AC4185">
            <w:pPr>
              <w:jc w:val="right"/>
              <w:rPr>
                <w:szCs w:val="21"/>
              </w:rPr>
            </w:pPr>
            <w:r>
              <w:t xml:space="preserve">　</w:t>
            </w:r>
          </w:p>
        </w:tc>
      </w:tr>
      <w:tr w:rsidR="00E57DAA" w14:paraId="7B7D73D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56A90C4" w14:textId="77777777" w:rsidR="00E57DAA" w:rsidRDefault="00AC4185">
            <w:pPr>
              <w:rPr>
                <w:szCs w:val="21"/>
              </w:rPr>
            </w:pPr>
            <w:r>
              <w:t>平湖南方水泥有限公司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40844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A1E44F2" w14:textId="77777777" w:rsidR="00E57DAA" w:rsidRDefault="00AC4185">
            <w:pPr>
              <w:jc w:val="right"/>
              <w:rPr>
                <w:szCs w:val="21"/>
              </w:rPr>
            </w:pPr>
            <w:r>
              <w:t>17,699.12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47CC82" w14:textId="77777777" w:rsidR="00E57DAA" w:rsidRDefault="00AC4185">
            <w:pPr>
              <w:jc w:val="right"/>
              <w:rPr>
                <w:szCs w:val="21"/>
              </w:rPr>
            </w:pPr>
            <w:r>
              <w:t xml:space="preserve">　</w:t>
            </w:r>
          </w:p>
        </w:tc>
      </w:tr>
      <w:tr w:rsidR="00E57DAA" w14:paraId="7428197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D1C611" w14:textId="77777777" w:rsidR="00E57DAA" w:rsidRDefault="00AC4185">
            <w:pPr>
              <w:rPr>
                <w:szCs w:val="21"/>
              </w:rPr>
            </w:pPr>
            <w:r>
              <w:t>平凉祁连山水泥有限公司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8A82E4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03304E" w14:textId="77777777" w:rsidR="00E57DAA" w:rsidRDefault="00AC4185">
            <w:pPr>
              <w:jc w:val="right"/>
              <w:rPr>
                <w:szCs w:val="21"/>
              </w:rPr>
            </w:pPr>
            <w:r>
              <w:t>53,155,455.40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060FF20" w14:textId="77777777" w:rsidR="00E57DAA" w:rsidRDefault="00AC4185">
            <w:pPr>
              <w:jc w:val="right"/>
              <w:rPr>
                <w:szCs w:val="21"/>
              </w:rPr>
            </w:pPr>
            <w:r>
              <w:t>26,642,703.77</w:t>
            </w:r>
          </w:p>
        </w:tc>
      </w:tr>
      <w:tr w:rsidR="00E57DAA" w14:paraId="2496E10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667FFD" w14:textId="77777777" w:rsidR="00E57DAA" w:rsidRDefault="00AC4185">
            <w:pPr>
              <w:rPr>
                <w:szCs w:val="21"/>
              </w:rPr>
            </w:pPr>
            <w:r>
              <w:t>平邑中联水泥有限公司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48F3F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C30EA9" w14:textId="77777777" w:rsidR="00E57DAA" w:rsidRDefault="00AC4185">
            <w:pPr>
              <w:jc w:val="right"/>
              <w:rPr>
                <w:szCs w:val="21"/>
              </w:rPr>
            </w:pPr>
            <w:r>
              <w:t>38,617,190.55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F164661" w14:textId="77777777" w:rsidR="00E57DAA" w:rsidRDefault="00AC4185">
            <w:pPr>
              <w:jc w:val="right"/>
              <w:rPr>
                <w:szCs w:val="21"/>
              </w:rPr>
            </w:pPr>
            <w:r>
              <w:t>53,440,575.60</w:t>
            </w:r>
          </w:p>
        </w:tc>
      </w:tr>
      <w:tr w:rsidR="00E57DAA" w14:paraId="6B33DF9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B440264" w14:textId="77777777" w:rsidR="00E57DAA" w:rsidRDefault="00AC4185">
            <w:pPr>
              <w:rPr>
                <w:szCs w:val="21"/>
              </w:rPr>
            </w:pPr>
            <w:r>
              <w:t>濮阳同力建材有限公司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1C944B"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71AC2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DE73D9F" w14:textId="77777777" w:rsidR="00E57DAA" w:rsidRDefault="00AC4185">
            <w:pPr>
              <w:jc w:val="right"/>
              <w:rPr>
                <w:szCs w:val="21"/>
              </w:rPr>
            </w:pPr>
            <w:r>
              <w:t>134,336.29</w:t>
            </w:r>
          </w:p>
        </w:tc>
      </w:tr>
      <w:tr w:rsidR="00E57DAA" w14:paraId="1B26B6C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159419" w14:textId="77777777" w:rsidR="00E57DAA" w:rsidRDefault="00AC4185">
            <w:pPr>
              <w:rPr>
                <w:szCs w:val="21"/>
              </w:rPr>
            </w:pPr>
            <w:r>
              <w:t>齐齐哈尔市浩源水泥有限责任公司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DF60D2"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9214A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930407D" w14:textId="77777777" w:rsidR="00E57DAA" w:rsidRDefault="00AC4185">
            <w:pPr>
              <w:jc w:val="right"/>
              <w:rPr>
                <w:szCs w:val="21"/>
              </w:rPr>
            </w:pPr>
            <w:r>
              <w:t>3,117,699.12</w:t>
            </w:r>
          </w:p>
        </w:tc>
      </w:tr>
      <w:tr w:rsidR="00E57DAA" w14:paraId="1BD6025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73DDE8F" w14:textId="77777777" w:rsidR="00E57DAA" w:rsidRDefault="00AC4185">
            <w:pPr>
              <w:rPr>
                <w:szCs w:val="21"/>
              </w:rPr>
            </w:pPr>
            <w:r>
              <w:t>青岛即墨中联水泥有限公司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8FE29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F5E353" w14:textId="77777777" w:rsidR="00E57DAA" w:rsidRDefault="00AC4185">
            <w:pPr>
              <w:jc w:val="right"/>
              <w:rPr>
                <w:szCs w:val="21"/>
              </w:rPr>
            </w:pPr>
            <w:r>
              <w:t>11,955.76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91EC0C5" w14:textId="77777777" w:rsidR="00E57DAA" w:rsidRDefault="00AC4185">
            <w:pPr>
              <w:jc w:val="right"/>
              <w:rPr>
                <w:szCs w:val="21"/>
              </w:rPr>
            </w:pPr>
            <w:r>
              <w:t>198,243.15</w:t>
            </w:r>
          </w:p>
        </w:tc>
      </w:tr>
      <w:tr w:rsidR="00E57DAA" w14:paraId="55A06A7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C245CA1" w14:textId="77777777" w:rsidR="00E57DAA" w:rsidRDefault="00AC4185">
            <w:pPr>
              <w:rPr>
                <w:szCs w:val="21"/>
              </w:rPr>
            </w:pPr>
            <w:r>
              <w:t>青岛中联混凝土工程有限公司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A027FF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F38A08" w14:textId="77777777" w:rsidR="00E57DAA" w:rsidRDefault="00AC4185">
            <w:pPr>
              <w:jc w:val="right"/>
              <w:rPr>
                <w:szCs w:val="21"/>
              </w:rPr>
            </w:pPr>
            <w:r>
              <w:t>33,185.83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6033F4E" w14:textId="77777777" w:rsidR="00E57DAA" w:rsidRDefault="00AC4185">
            <w:pPr>
              <w:jc w:val="right"/>
              <w:rPr>
                <w:szCs w:val="21"/>
              </w:rPr>
            </w:pPr>
            <w:r>
              <w:t xml:space="preserve">　</w:t>
            </w:r>
          </w:p>
        </w:tc>
      </w:tr>
      <w:tr w:rsidR="00E57DAA" w14:paraId="6642AB1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621ADAE" w14:textId="77777777" w:rsidR="00E57DAA" w:rsidRDefault="00AC4185">
            <w:pPr>
              <w:rPr>
                <w:szCs w:val="21"/>
              </w:rPr>
            </w:pPr>
            <w:r>
              <w:t>青海祁连山水泥有限公司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109A2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F63E2D" w14:textId="77777777" w:rsidR="00E57DAA" w:rsidRDefault="00AC4185">
            <w:pPr>
              <w:jc w:val="right"/>
              <w:rPr>
                <w:szCs w:val="21"/>
              </w:rPr>
            </w:pPr>
            <w:r>
              <w:t>172,830.81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BC4228" w14:textId="77777777" w:rsidR="00E57DAA" w:rsidRDefault="00AC4185">
            <w:pPr>
              <w:jc w:val="right"/>
              <w:rPr>
                <w:szCs w:val="21"/>
              </w:rPr>
            </w:pPr>
            <w:r>
              <w:t>7,292,262.97</w:t>
            </w:r>
          </w:p>
        </w:tc>
      </w:tr>
      <w:tr w:rsidR="00E57DAA" w14:paraId="05F787F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6AB1BF4" w14:textId="77777777" w:rsidR="00E57DAA" w:rsidRDefault="00AC4185">
            <w:pPr>
              <w:rPr>
                <w:szCs w:val="21"/>
              </w:rPr>
            </w:pPr>
            <w:r>
              <w:t>青州中联水泥有限公司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5C1DC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EE6535" w14:textId="77777777" w:rsidR="00E57DAA" w:rsidRDefault="00AC4185">
            <w:pPr>
              <w:jc w:val="right"/>
              <w:rPr>
                <w:szCs w:val="21"/>
              </w:rPr>
            </w:pPr>
            <w:r>
              <w:t>200,674,351.10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1AD71E7" w14:textId="77777777" w:rsidR="00E57DAA" w:rsidRDefault="00AC4185">
            <w:pPr>
              <w:jc w:val="right"/>
              <w:rPr>
                <w:szCs w:val="21"/>
              </w:rPr>
            </w:pPr>
            <w:r>
              <w:t>83,564,266.57</w:t>
            </w:r>
          </w:p>
        </w:tc>
      </w:tr>
      <w:tr w:rsidR="00E57DAA" w14:paraId="5009919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287297" w14:textId="77777777" w:rsidR="00E57DAA" w:rsidRDefault="00AC4185">
            <w:pPr>
              <w:rPr>
                <w:szCs w:val="21"/>
              </w:rPr>
            </w:pPr>
            <w:r>
              <w:t>曲阜中联混凝土有限公司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C0CC7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71DC1B" w14:textId="77777777" w:rsidR="00E57DAA" w:rsidRDefault="00AC4185">
            <w:pPr>
              <w:jc w:val="right"/>
              <w:rPr>
                <w:szCs w:val="21"/>
              </w:rPr>
            </w:pPr>
            <w:r>
              <w:t>1,592.92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C15EBF2" w14:textId="77777777" w:rsidR="00E57DAA" w:rsidRDefault="00AC4185">
            <w:pPr>
              <w:jc w:val="right"/>
              <w:rPr>
                <w:szCs w:val="21"/>
              </w:rPr>
            </w:pPr>
            <w:r>
              <w:t xml:space="preserve">　</w:t>
            </w:r>
          </w:p>
        </w:tc>
      </w:tr>
      <w:tr w:rsidR="00E57DAA" w14:paraId="58FCD7A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A22E5D6" w14:textId="77777777" w:rsidR="00E57DAA" w:rsidRDefault="00AC4185">
            <w:pPr>
              <w:rPr>
                <w:szCs w:val="21"/>
              </w:rPr>
            </w:pPr>
            <w:r>
              <w:t>曲阜中联水泥有限公司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D7FB0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C58BBD" w14:textId="77777777" w:rsidR="00E57DAA" w:rsidRDefault="00AC4185">
            <w:pPr>
              <w:jc w:val="right"/>
              <w:rPr>
                <w:szCs w:val="21"/>
              </w:rPr>
            </w:pPr>
            <w:r>
              <w:t>10,780.52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C8EAFD9" w14:textId="77777777" w:rsidR="00E57DAA" w:rsidRDefault="00AC4185">
            <w:pPr>
              <w:jc w:val="right"/>
              <w:rPr>
                <w:szCs w:val="21"/>
              </w:rPr>
            </w:pPr>
            <w:r>
              <w:t>73,008.86</w:t>
            </w:r>
          </w:p>
        </w:tc>
      </w:tr>
      <w:tr w:rsidR="00E57DAA" w14:paraId="29DA24A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EAB207" w14:textId="77777777" w:rsidR="00E57DAA" w:rsidRDefault="00AC4185">
            <w:pPr>
              <w:rPr>
                <w:szCs w:val="21"/>
              </w:rPr>
            </w:pPr>
            <w:r>
              <w:t>曲靖市宣威宇恒水泥有限公司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BCC0D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3F9DBF" w14:textId="77777777" w:rsidR="00E57DAA" w:rsidRDefault="00AC4185">
            <w:pPr>
              <w:jc w:val="right"/>
              <w:rPr>
                <w:szCs w:val="21"/>
              </w:rPr>
            </w:pPr>
            <w:r>
              <w:t>4,362,756.67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B93A2D2" w14:textId="77777777" w:rsidR="00E57DAA" w:rsidRDefault="00AC4185">
            <w:pPr>
              <w:jc w:val="right"/>
              <w:rPr>
                <w:szCs w:val="21"/>
              </w:rPr>
            </w:pPr>
            <w:r>
              <w:t>37,522.12</w:t>
            </w:r>
          </w:p>
        </w:tc>
      </w:tr>
      <w:tr w:rsidR="00E57DAA" w14:paraId="6C3AE8E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0BC4C98" w14:textId="77777777" w:rsidR="00E57DAA" w:rsidRDefault="00AC4185">
            <w:pPr>
              <w:rPr>
                <w:szCs w:val="21"/>
              </w:rPr>
            </w:pPr>
            <w:r>
              <w:t>衢州南方水泥有限公司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D332B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4D8BF8" w14:textId="77777777" w:rsidR="00E57DAA" w:rsidRDefault="00AC4185">
            <w:pPr>
              <w:jc w:val="right"/>
              <w:rPr>
                <w:szCs w:val="21"/>
              </w:rPr>
            </w:pPr>
            <w:r>
              <w:t>507,130,375.38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8FF7BBE" w14:textId="77777777" w:rsidR="00E57DAA" w:rsidRDefault="00AC4185">
            <w:pPr>
              <w:jc w:val="right"/>
              <w:rPr>
                <w:szCs w:val="21"/>
              </w:rPr>
            </w:pPr>
            <w:r>
              <w:t>207,555.25</w:t>
            </w:r>
          </w:p>
        </w:tc>
      </w:tr>
      <w:tr w:rsidR="00E57DAA" w14:paraId="1CD842F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061806" w14:textId="77777777" w:rsidR="00E57DAA" w:rsidRDefault="00AC4185">
            <w:pPr>
              <w:rPr>
                <w:szCs w:val="21"/>
              </w:rPr>
            </w:pPr>
            <w:r>
              <w:t>日照中联港口水泥有限公司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D46EE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AE7945" w14:textId="77777777" w:rsidR="00E57DAA" w:rsidRDefault="00AC4185">
            <w:pPr>
              <w:jc w:val="right"/>
              <w:rPr>
                <w:szCs w:val="21"/>
              </w:rPr>
            </w:pPr>
            <w:r>
              <w:t>78,336.29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B6F0323" w14:textId="77777777" w:rsidR="00E57DAA" w:rsidRDefault="00AC4185">
            <w:pPr>
              <w:jc w:val="right"/>
              <w:rPr>
                <w:szCs w:val="21"/>
              </w:rPr>
            </w:pPr>
            <w:r>
              <w:t>17,008.86</w:t>
            </w:r>
          </w:p>
        </w:tc>
      </w:tr>
      <w:tr w:rsidR="00E57DAA" w14:paraId="01A7A2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F8DAAEA" w14:textId="77777777" w:rsidR="00E57DAA" w:rsidRDefault="00AC4185">
            <w:pPr>
              <w:rPr>
                <w:szCs w:val="21"/>
              </w:rPr>
            </w:pPr>
            <w:r>
              <w:t>瑞昌市廊道运输有限公司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E29AC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5911A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C07C89A" w14:textId="77777777" w:rsidR="00E57DAA" w:rsidRDefault="00AC4185">
            <w:pPr>
              <w:jc w:val="right"/>
              <w:rPr>
                <w:szCs w:val="21"/>
              </w:rPr>
            </w:pPr>
            <w:r>
              <w:t>7,558,682.11</w:t>
            </w:r>
          </w:p>
        </w:tc>
      </w:tr>
      <w:tr w:rsidR="00E57DAA" w14:paraId="3B48012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23FB02" w14:textId="77777777" w:rsidR="00E57DAA" w:rsidRDefault="00AC4185">
            <w:pPr>
              <w:rPr>
                <w:szCs w:val="21"/>
              </w:rPr>
            </w:pPr>
            <w:r>
              <w:t>若羌天山水泥有限责任公司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61395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E0C99A" w14:textId="77777777" w:rsidR="00E57DAA" w:rsidRDefault="00AC4185">
            <w:pPr>
              <w:jc w:val="right"/>
              <w:rPr>
                <w:szCs w:val="21"/>
              </w:rPr>
            </w:pPr>
            <w:r>
              <w:t>3,507,151.08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0A31420" w14:textId="77777777" w:rsidR="00E57DAA" w:rsidRDefault="00AC4185">
            <w:pPr>
              <w:jc w:val="right"/>
              <w:rPr>
                <w:szCs w:val="21"/>
              </w:rPr>
            </w:pPr>
            <w:r>
              <w:t>2,688,737.91</w:t>
            </w:r>
          </w:p>
        </w:tc>
      </w:tr>
      <w:tr w:rsidR="00E57DAA" w14:paraId="591FE9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460A31C" w14:textId="77777777" w:rsidR="00E57DAA" w:rsidRDefault="00AC4185">
            <w:pPr>
              <w:rPr>
                <w:szCs w:val="21"/>
              </w:rPr>
            </w:pPr>
            <w:r>
              <w:t>赛马物联科技（宁夏）有限公司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A5E4BA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882CE4" w14:textId="77777777" w:rsidR="00E57DAA" w:rsidRDefault="00AC4185">
            <w:pPr>
              <w:jc w:val="right"/>
              <w:rPr>
                <w:szCs w:val="21"/>
              </w:rPr>
            </w:pPr>
            <w:r>
              <w:t>9,404,356.95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92EF2A8" w14:textId="77777777" w:rsidR="00E57DAA" w:rsidRDefault="00AC4185">
            <w:pPr>
              <w:jc w:val="right"/>
              <w:rPr>
                <w:szCs w:val="21"/>
              </w:rPr>
            </w:pPr>
            <w:r>
              <w:t>324,585.35</w:t>
            </w:r>
          </w:p>
        </w:tc>
      </w:tr>
      <w:tr w:rsidR="00E57DAA" w14:paraId="26A3AC1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5FF895" w14:textId="77777777" w:rsidR="00E57DAA" w:rsidRDefault="00AC4185">
            <w:pPr>
              <w:rPr>
                <w:szCs w:val="21"/>
              </w:rPr>
            </w:pPr>
            <w:r>
              <w:lastRenderedPageBreak/>
              <w:t>三门峡腾跃同力水泥有限公司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D0410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5B554D" w14:textId="77777777" w:rsidR="00E57DAA" w:rsidRDefault="00AC4185">
            <w:pPr>
              <w:jc w:val="right"/>
              <w:rPr>
                <w:szCs w:val="21"/>
              </w:rPr>
            </w:pPr>
            <w:r>
              <w:t>18,062,961.97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E447CF" w14:textId="77777777" w:rsidR="00E57DAA" w:rsidRDefault="00AC4185">
            <w:pPr>
              <w:jc w:val="right"/>
              <w:rPr>
                <w:szCs w:val="21"/>
              </w:rPr>
            </w:pPr>
            <w:r>
              <w:t>19,600,840.43</w:t>
            </w:r>
          </w:p>
        </w:tc>
      </w:tr>
      <w:tr w:rsidR="00E57DAA" w14:paraId="1354C6E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00CAFCF" w14:textId="77777777" w:rsidR="00E57DAA" w:rsidRDefault="00AC4185">
            <w:pPr>
              <w:rPr>
                <w:szCs w:val="21"/>
              </w:rPr>
            </w:pPr>
            <w:r>
              <w:t>沙湾天山水泥有限责任公司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C19BC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81D345" w14:textId="77777777" w:rsidR="00E57DAA" w:rsidRDefault="00AC4185">
            <w:pPr>
              <w:jc w:val="right"/>
              <w:rPr>
                <w:szCs w:val="21"/>
              </w:rPr>
            </w:pPr>
            <w:r>
              <w:t>20,360,722.76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92DDD2" w14:textId="77777777" w:rsidR="00E57DAA" w:rsidRDefault="00AC4185">
            <w:pPr>
              <w:jc w:val="right"/>
              <w:rPr>
                <w:szCs w:val="21"/>
              </w:rPr>
            </w:pPr>
            <w:r>
              <w:t>162,040.49</w:t>
            </w:r>
          </w:p>
        </w:tc>
      </w:tr>
      <w:tr w:rsidR="00E57DAA" w14:paraId="65F6272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65EC736" w14:textId="77777777" w:rsidR="00E57DAA" w:rsidRDefault="00AC4185">
            <w:pPr>
              <w:rPr>
                <w:szCs w:val="21"/>
              </w:rPr>
            </w:pPr>
            <w:r>
              <w:t>厦门艾思欧标准砂有限公司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D0D26C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966B8D" w14:textId="77777777" w:rsidR="00E57DAA" w:rsidRDefault="00AC4185">
            <w:pPr>
              <w:jc w:val="right"/>
              <w:rPr>
                <w:szCs w:val="21"/>
              </w:rPr>
            </w:pPr>
            <w:r>
              <w:t>197,287.08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1A8DB6A" w14:textId="77777777" w:rsidR="00E57DAA" w:rsidRDefault="00AC4185">
            <w:pPr>
              <w:jc w:val="right"/>
              <w:rPr>
                <w:szCs w:val="21"/>
              </w:rPr>
            </w:pPr>
            <w:r>
              <w:t>3,168,794.34</w:t>
            </w:r>
          </w:p>
        </w:tc>
      </w:tr>
      <w:tr w:rsidR="00E57DAA" w14:paraId="5842D69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F490578" w14:textId="77777777" w:rsidR="00E57DAA" w:rsidRDefault="00AC4185">
            <w:pPr>
              <w:rPr>
                <w:szCs w:val="21"/>
              </w:rPr>
            </w:pPr>
            <w:r>
              <w:t>山东临沂山琦矿业有限公司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63A19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39EA67" w14:textId="77777777" w:rsidR="00E57DAA" w:rsidRDefault="00AC4185">
            <w:pPr>
              <w:jc w:val="right"/>
              <w:rPr>
                <w:szCs w:val="21"/>
              </w:rPr>
            </w:pPr>
            <w:r>
              <w:t>389,380.53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4E24A22" w14:textId="77777777" w:rsidR="00E57DAA" w:rsidRDefault="00AC4185">
            <w:pPr>
              <w:jc w:val="right"/>
              <w:rPr>
                <w:szCs w:val="21"/>
              </w:rPr>
            </w:pPr>
            <w:r>
              <w:t xml:space="preserve">　</w:t>
            </w:r>
          </w:p>
        </w:tc>
      </w:tr>
      <w:tr w:rsidR="00E57DAA" w14:paraId="5E24BF5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2F2956" w14:textId="77777777" w:rsidR="00E57DAA" w:rsidRDefault="00AC4185">
            <w:pPr>
              <w:rPr>
                <w:szCs w:val="21"/>
              </w:rPr>
            </w:pPr>
            <w:r>
              <w:t>山东鲁南泰山石膏有限公司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5190D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2EAF0B" w14:textId="77777777" w:rsidR="00E57DAA" w:rsidRDefault="00AC4185">
            <w:pPr>
              <w:jc w:val="right"/>
              <w:rPr>
                <w:szCs w:val="21"/>
              </w:rPr>
            </w:pPr>
            <w:r>
              <w:t>8,088.50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CFE2D83" w14:textId="77777777" w:rsidR="00E57DAA" w:rsidRDefault="00AC4185">
            <w:pPr>
              <w:jc w:val="right"/>
              <w:rPr>
                <w:szCs w:val="21"/>
              </w:rPr>
            </w:pPr>
            <w:r>
              <w:t xml:space="preserve">　</w:t>
            </w:r>
          </w:p>
        </w:tc>
      </w:tr>
      <w:tr w:rsidR="00E57DAA" w14:paraId="69F9F6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CE95F9" w14:textId="77777777" w:rsidR="00E57DAA" w:rsidRDefault="00AC4185">
            <w:pPr>
              <w:rPr>
                <w:szCs w:val="21"/>
              </w:rPr>
            </w:pPr>
            <w:r>
              <w:t>上海金山南方水泥有限公司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5C51F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C148C6" w14:textId="77777777" w:rsidR="00E57DAA" w:rsidRDefault="00AC4185">
            <w:pPr>
              <w:jc w:val="right"/>
              <w:rPr>
                <w:szCs w:val="21"/>
              </w:rPr>
            </w:pPr>
            <w:r>
              <w:t>354,297.31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C1197D1" w14:textId="77777777" w:rsidR="00E57DAA" w:rsidRDefault="00AC4185">
            <w:pPr>
              <w:jc w:val="right"/>
              <w:rPr>
                <w:szCs w:val="21"/>
              </w:rPr>
            </w:pPr>
            <w:r>
              <w:t>44,646.00</w:t>
            </w:r>
          </w:p>
        </w:tc>
      </w:tr>
      <w:tr w:rsidR="00E57DAA" w14:paraId="2B56233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5643B96" w14:textId="77777777" w:rsidR="00E57DAA" w:rsidRDefault="00AC4185">
            <w:pPr>
              <w:rPr>
                <w:szCs w:val="21"/>
              </w:rPr>
            </w:pPr>
            <w:r>
              <w:t>上海张堰南方水泥有限公司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4EBD0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B6F06B" w14:textId="77777777" w:rsidR="00E57DAA" w:rsidRDefault="00AC4185">
            <w:pPr>
              <w:jc w:val="right"/>
              <w:rPr>
                <w:szCs w:val="21"/>
              </w:rPr>
            </w:pPr>
            <w:r>
              <w:t>213,522.13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31ECCD" w14:textId="77777777" w:rsidR="00E57DAA" w:rsidRDefault="00AC4185">
            <w:pPr>
              <w:jc w:val="right"/>
              <w:rPr>
                <w:szCs w:val="21"/>
              </w:rPr>
            </w:pPr>
            <w:r>
              <w:t>185,939.20</w:t>
            </w:r>
          </w:p>
        </w:tc>
      </w:tr>
      <w:tr w:rsidR="00E57DAA" w14:paraId="4A74EDD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924F19" w14:textId="77777777" w:rsidR="00E57DAA" w:rsidRDefault="00AC4185">
            <w:pPr>
              <w:rPr>
                <w:szCs w:val="21"/>
              </w:rPr>
            </w:pPr>
            <w:r>
              <w:t>邵阳南方水泥有限公司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F1428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931E92" w14:textId="77777777" w:rsidR="00E57DAA" w:rsidRDefault="00AC4185">
            <w:pPr>
              <w:jc w:val="right"/>
              <w:rPr>
                <w:szCs w:val="21"/>
              </w:rPr>
            </w:pPr>
            <w:r>
              <w:t>36,202,501.29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08B0D6" w14:textId="77777777" w:rsidR="00E57DAA" w:rsidRDefault="00AC4185">
            <w:pPr>
              <w:jc w:val="right"/>
              <w:rPr>
                <w:szCs w:val="21"/>
              </w:rPr>
            </w:pPr>
            <w:r>
              <w:t>27,918,159.21</w:t>
            </w:r>
          </w:p>
        </w:tc>
      </w:tr>
      <w:tr w:rsidR="00E57DAA" w14:paraId="35FCE76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D61540" w14:textId="77777777" w:rsidR="00E57DAA" w:rsidRDefault="00AC4185">
            <w:pPr>
              <w:rPr>
                <w:szCs w:val="21"/>
              </w:rPr>
            </w:pPr>
            <w:r>
              <w:t>四川成实天鹰水泥有限公司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9F9E32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8D5EFD" w14:textId="77777777" w:rsidR="00E57DAA" w:rsidRDefault="00AC4185">
            <w:pPr>
              <w:jc w:val="right"/>
              <w:rPr>
                <w:szCs w:val="21"/>
              </w:rPr>
            </w:pPr>
            <w:r>
              <w:t>121,849.56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481E361" w14:textId="77777777" w:rsidR="00E57DAA" w:rsidRDefault="00AC4185">
            <w:pPr>
              <w:jc w:val="right"/>
              <w:rPr>
                <w:szCs w:val="21"/>
              </w:rPr>
            </w:pPr>
            <w:r>
              <w:t>169,027.07</w:t>
            </w:r>
          </w:p>
        </w:tc>
      </w:tr>
      <w:tr w:rsidR="00E57DAA" w14:paraId="33EBE63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46ABFE" w14:textId="77777777" w:rsidR="00E57DAA" w:rsidRDefault="00AC4185">
            <w:pPr>
              <w:rPr>
                <w:szCs w:val="21"/>
              </w:rPr>
            </w:pPr>
            <w:r>
              <w:t>四川崇州西南水泥有限公司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410AF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4F4BF9"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B2274E9" w14:textId="77777777" w:rsidR="00E57DAA" w:rsidRDefault="00AC4185">
            <w:pPr>
              <w:jc w:val="right"/>
              <w:rPr>
                <w:szCs w:val="21"/>
              </w:rPr>
            </w:pPr>
            <w:r>
              <w:t>10,088.50</w:t>
            </w:r>
          </w:p>
        </w:tc>
      </w:tr>
      <w:tr w:rsidR="00E57DAA" w14:paraId="200FD28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BEC7298" w14:textId="77777777" w:rsidR="00E57DAA" w:rsidRDefault="00AC4185">
            <w:pPr>
              <w:rPr>
                <w:szCs w:val="21"/>
              </w:rPr>
            </w:pPr>
            <w:r>
              <w:t>四川德胜集团水泥有限公司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8F5398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AC4004" w14:textId="77777777" w:rsidR="00E57DAA" w:rsidRDefault="00AC4185">
            <w:pPr>
              <w:jc w:val="right"/>
              <w:rPr>
                <w:szCs w:val="21"/>
              </w:rPr>
            </w:pPr>
            <w:r>
              <w:t>3,373,678.38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520A2BC" w14:textId="77777777" w:rsidR="00E57DAA" w:rsidRDefault="00AC4185">
            <w:pPr>
              <w:jc w:val="right"/>
              <w:rPr>
                <w:szCs w:val="21"/>
              </w:rPr>
            </w:pPr>
            <w:r>
              <w:t>58,476.99</w:t>
            </w:r>
          </w:p>
        </w:tc>
      </w:tr>
      <w:tr w:rsidR="00E57DAA" w14:paraId="76BE986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A0B47ED" w14:textId="77777777" w:rsidR="00E57DAA" w:rsidRDefault="00AC4185">
            <w:pPr>
              <w:rPr>
                <w:szCs w:val="21"/>
              </w:rPr>
            </w:pPr>
            <w:r>
              <w:t>四川峨边西南水泥有限公司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DD3174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2FEF61" w14:textId="77777777" w:rsidR="00E57DAA" w:rsidRDefault="00AC4185">
            <w:pPr>
              <w:jc w:val="right"/>
              <w:rPr>
                <w:szCs w:val="21"/>
              </w:rPr>
            </w:pPr>
            <w:r>
              <w:t>765,075.22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7FF431D" w14:textId="77777777" w:rsidR="00E57DAA" w:rsidRDefault="00AC4185">
            <w:pPr>
              <w:jc w:val="right"/>
              <w:rPr>
                <w:szCs w:val="21"/>
              </w:rPr>
            </w:pPr>
            <w:r>
              <w:t>63,474.34</w:t>
            </w:r>
          </w:p>
        </w:tc>
      </w:tr>
      <w:tr w:rsidR="00E57DAA" w14:paraId="537A7B4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EABF8E" w14:textId="77777777" w:rsidR="00E57DAA" w:rsidRDefault="00AC4185">
            <w:pPr>
              <w:rPr>
                <w:szCs w:val="21"/>
              </w:rPr>
            </w:pPr>
            <w:r>
              <w:t>四川峨眉山西南水泥有限公司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C36D5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46C31A" w14:textId="77777777" w:rsidR="00E57DAA" w:rsidRDefault="00AC4185">
            <w:pPr>
              <w:jc w:val="right"/>
              <w:rPr>
                <w:szCs w:val="21"/>
              </w:rPr>
            </w:pPr>
            <w:r>
              <w:t>1,045,238.07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9B79922" w14:textId="77777777" w:rsidR="00E57DAA" w:rsidRDefault="00AC4185">
            <w:pPr>
              <w:jc w:val="right"/>
              <w:rPr>
                <w:szCs w:val="21"/>
              </w:rPr>
            </w:pPr>
            <w:r>
              <w:t>371,255.36</w:t>
            </w:r>
          </w:p>
        </w:tc>
      </w:tr>
      <w:tr w:rsidR="00E57DAA" w14:paraId="7DDD8B3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CD8290A" w14:textId="77777777" w:rsidR="00E57DAA" w:rsidRDefault="00AC4185">
            <w:pPr>
              <w:rPr>
                <w:szCs w:val="21"/>
              </w:rPr>
            </w:pPr>
            <w:r>
              <w:t>四川国大水泥有限公司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AB1AB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2D5751" w14:textId="77777777" w:rsidR="00E57DAA" w:rsidRDefault="00AC4185">
            <w:pPr>
              <w:jc w:val="right"/>
              <w:rPr>
                <w:szCs w:val="21"/>
              </w:rPr>
            </w:pPr>
            <w:r>
              <w:t>26,733,878.59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C7BA109" w14:textId="77777777" w:rsidR="00E57DAA" w:rsidRDefault="00AC4185">
            <w:pPr>
              <w:jc w:val="right"/>
              <w:rPr>
                <w:szCs w:val="21"/>
              </w:rPr>
            </w:pPr>
            <w:r>
              <w:t>22,068,374.47</w:t>
            </w:r>
          </w:p>
        </w:tc>
      </w:tr>
      <w:tr w:rsidR="00E57DAA" w14:paraId="6204995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733B379" w14:textId="77777777" w:rsidR="00E57DAA" w:rsidRDefault="00AC4185">
            <w:pPr>
              <w:rPr>
                <w:szCs w:val="21"/>
              </w:rPr>
            </w:pPr>
            <w:r>
              <w:t>四川华蓥西南水泥有限公司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78FCC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D872821" w14:textId="77777777" w:rsidR="00E57DAA" w:rsidRDefault="00AC4185">
            <w:pPr>
              <w:jc w:val="right"/>
              <w:rPr>
                <w:szCs w:val="21"/>
              </w:rPr>
            </w:pPr>
            <w:r>
              <w:t>11,988,338.22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51B43CA" w14:textId="77777777" w:rsidR="00E57DAA" w:rsidRDefault="00AC4185">
            <w:pPr>
              <w:jc w:val="right"/>
              <w:rPr>
                <w:szCs w:val="21"/>
              </w:rPr>
            </w:pPr>
            <w:r>
              <w:t>26,425,322.81</w:t>
            </w:r>
          </w:p>
        </w:tc>
      </w:tr>
      <w:tr w:rsidR="00E57DAA" w14:paraId="5968B6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57C5DB9" w14:textId="77777777" w:rsidR="00E57DAA" w:rsidRDefault="00AC4185">
            <w:pPr>
              <w:rPr>
                <w:szCs w:val="21"/>
              </w:rPr>
            </w:pPr>
            <w:r>
              <w:t>四川嘉华锦屏特种水泥有限责任公司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24735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46A01CF" w14:textId="77777777" w:rsidR="00E57DAA" w:rsidRDefault="00AC4185">
            <w:pPr>
              <w:jc w:val="right"/>
              <w:rPr>
                <w:szCs w:val="21"/>
              </w:rPr>
            </w:pPr>
            <w:r>
              <w:t>407,831.86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1D4525E" w14:textId="77777777" w:rsidR="00E57DAA" w:rsidRDefault="00AC4185">
            <w:pPr>
              <w:jc w:val="right"/>
              <w:rPr>
                <w:szCs w:val="21"/>
              </w:rPr>
            </w:pPr>
            <w:r>
              <w:t>12,450,637.83</w:t>
            </w:r>
          </w:p>
        </w:tc>
      </w:tr>
      <w:tr w:rsidR="00E57DAA" w14:paraId="09AEB34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1385625" w14:textId="77777777" w:rsidR="00E57DAA" w:rsidRDefault="00AC4185">
            <w:pPr>
              <w:rPr>
                <w:szCs w:val="21"/>
              </w:rPr>
            </w:pPr>
            <w:r>
              <w:t>四川利森建材集团有限公司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4D943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03C0CD4" w14:textId="77777777" w:rsidR="00E57DAA" w:rsidRDefault="00AC4185">
            <w:pPr>
              <w:jc w:val="right"/>
              <w:rPr>
                <w:szCs w:val="21"/>
              </w:rPr>
            </w:pPr>
            <w:r>
              <w:t>832,743.35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C4C462" w14:textId="77777777" w:rsidR="00E57DAA" w:rsidRDefault="00AC4185">
            <w:pPr>
              <w:jc w:val="right"/>
              <w:rPr>
                <w:szCs w:val="21"/>
              </w:rPr>
            </w:pPr>
            <w:r>
              <w:t>26,776,449.31</w:t>
            </w:r>
          </w:p>
        </w:tc>
      </w:tr>
      <w:tr w:rsidR="00E57DAA" w14:paraId="1D5C4E4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E1F89B3" w14:textId="77777777" w:rsidR="00E57DAA" w:rsidRDefault="00AC4185">
            <w:pPr>
              <w:rPr>
                <w:szCs w:val="21"/>
              </w:rPr>
            </w:pPr>
            <w:r>
              <w:t>四川利万步森水泥有限公司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F25DA2"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FF063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89F2BB3" w14:textId="77777777" w:rsidR="00E57DAA" w:rsidRDefault="00AC4185">
            <w:pPr>
              <w:jc w:val="right"/>
              <w:rPr>
                <w:szCs w:val="21"/>
              </w:rPr>
            </w:pPr>
            <w:r>
              <w:t>43,873.45</w:t>
            </w:r>
          </w:p>
        </w:tc>
      </w:tr>
      <w:tr w:rsidR="00E57DAA" w14:paraId="3D78006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933512E" w14:textId="77777777" w:rsidR="00E57DAA" w:rsidRDefault="00AC4185">
            <w:pPr>
              <w:rPr>
                <w:szCs w:val="21"/>
              </w:rPr>
            </w:pPr>
            <w:r>
              <w:t>四川省二郎山喇叭河水泥有限公司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BE40AE"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C42D7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125C9E" w14:textId="77777777" w:rsidR="00E57DAA" w:rsidRDefault="00AC4185">
            <w:pPr>
              <w:jc w:val="right"/>
              <w:rPr>
                <w:szCs w:val="21"/>
              </w:rPr>
            </w:pPr>
            <w:r>
              <w:t>142,168.15</w:t>
            </w:r>
          </w:p>
        </w:tc>
      </w:tr>
      <w:tr w:rsidR="00E57DAA" w14:paraId="72CCF00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FB52612" w14:textId="77777777" w:rsidR="00E57DAA" w:rsidRDefault="00AC4185">
            <w:pPr>
              <w:rPr>
                <w:szCs w:val="21"/>
              </w:rPr>
            </w:pPr>
            <w:r>
              <w:t>四川省皓宇水泥有限责任公司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825D8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4AC77A" w14:textId="77777777" w:rsidR="00E57DAA" w:rsidRDefault="00AC4185">
            <w:pPr>
              <w:jc w:val="right"/>
              <w:rPr>
                <w:szCs w:val="21"/>
              </w:rPr>
            </w:pPr>
            <w:r>
              <w:t>26,991.15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ED37F71" w14:textId="77777777" w:rsidR="00E57DAA" w:rsidRDefault="00AC4185">
            <w:pPr>
              <w:jc w:val="right"/>
              <w:rPr>
                <w:szCs w:val="21"/>
              </w:rPr>
            </w:pPr>
            <w:r>
              <w:t>42,477.88</w:t>
            </w:r>
          </w:p>
        </w:tc>
      </w:tr>
      <w:tr w:rsidR="00E57DAA" w14:paraId="6C8A773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207463" w14:textId="77777777" w:rsidR="00E57DAA" w:rsidRDefault="00AC4185">
            <w:pPr>
              <w:rPr>
                <w:szCs w:val="21"/>
              </w:rPr>
            </w:pPr>
            <w:r>
              <w:t>四川省绵竹澳东水泥有限责任公司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1DD6F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CC1213" w14:textId="77777777" w:rsidR="00E57DAA" w:rsidRDefault="00AC4185">
            <w:pPr>
              <w:jc w:val="right"/>
              <w:rPr>
                <w:szCs w:val="21"/>
              </w:rPr>
            </w:pPr>
            <w:r>
              <w:t>566,280.55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5DE4F05" w14:textId="77777777" w:rsidR="00E57DAA" w:rsidRDefault="00AC4185">
            <w:pPr>
              <w:jc w:val="right"/>
              <w:rPr>
                <w:szCs w:val="21"/>
              </w:rPr>
            </w:pPr>
            <w:r>
              <w:t>2,104,778.77</w:t>
            </w:r>
          </w:p>
        </w:tc>
      </w:tr>
      <w:tr w:rsidR="00E57DAA" w14:paraId="58B1E6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0C5153" w14:textId="77777777" w:rsidR="00E57DAA" w:rsidRDefault="00AC4185">
            <w:pPr>
              <w:rPr>
                <w:szCs w:val="21"/>
              </w:rPr>
            </w:pPr>
            <w:r>
              <w:t>四川省女娲建材有限公司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98969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D737D0" w14:textId="77777777" w:rsidR="00E57DAA" w:rsidRDefault="00AC4185">
            <w:pPr>
              <w:jc w:val="right"/>
              <w:rPr>
                <w:szCs w:val="21"/>
              </w:rPr>
            </w:pPr>
            <w:r>
              <w:t>36,318.58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1850F8A" w14:textId="77777777" w:rsidR="00E57DAA" w:rsidRDefault="00AC4185">
            <w:pPr>
              <w:jc w:val="right"/>
              <w:rPr>
                <w:szCs w:val="21"/>
              </w:rPr>
            </w:pPr>
            <w:r>
              <w:t xml:space="preserve">　</w:t>
            </w:r>
          </w:p>
        </w:tc>
      </w:tr>
      <w:tr w:rsidR="00E57DAA" w14:paraId="7A09415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F676A9" w14:textId="77777777" w:rsidR="00E57DAA" w:rsidRDefault="00AC4185">
            <w:pPr>
              <w:rPr>
                <w:szCs w:val="21"/>
              </w:rPr>
            </w:pPr>
            <w:r>
              <w:t>四川省兆迪水泥有限责任公司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32FE9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5D0453" w14:textId="77777777" w:rsidR="00E57DAA" w:rsidRDefault="00AC4185">
            <w:pPr>
              <w:jc w:val="right"/>
              <w:rPr>
                <w:szCs w:val="21"/>
              </w:rPr>
            </w:pPr>
            <w:r>
              <w:t>10,754,376.48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F7BC389" w14:textId="77777777" w:rsidR="00E57DAA" w:rsidRDefault="00AC4185">
            <w:pPr>
              <w:jc w:val="right"/>
              <w:rPr>
                <w:szCs w:val="21"/>
              </w:rPr>
            </w:pPr>
            <w:r>
              <w:t>14,142,938.91</w:t>
            </w:r>
          </w:p>
        </w:tc>
      </w:tr>
      <w:tr w:rsidR="00E57DAA" w14:paraId="4D88D1A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01DDB36" w14:textId="77777777" w:rsidR="00E57DAA" w:rsidRDefault="00AC4185">
            <w:pPr>
              <w:rPr>
                <w:szCs w:val="21"/>
              </w:rPr>
            </w:pPr>
            <w:r>
              <w:t>四川泰昌建材集团有限公司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6F90A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0CBE3D" w14:textId="77777777" w:rsidR="00E57DAA" w:rsidRDefault="00AC4185">
            <w:pPr>
              <w:jc w:val="right"/>
              <w:rPr>
                <w:szCs w:val="21"/>
              </w:rPr>
            </w:pPr>
            <w:r>
              <w:t>228,049.56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EB221E" w14:textId="77777777" w:rsidR="00E57DAA" w:rsidRDefault="00AC4185">
            <w:pPr>
              <w:jc w:val="right"/>
              <w:rPr>
                <w:szCs w:val="21"/>
              </w:rPr>
            </w:pPr>
            <w:r>
              <w:t>846,884.96</w:t>
            </w:r>
          </w:p>
        </w:tc>
      </w:tr>
      <w:tr w:rsidR="00E57DAA" w14:paraId="4E9C2A5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4E0F8EC" w14:textId="77777777" w:rsidR="00E57DAA" w:rsidRDefault="00AC4185">
            <w:pPr>
              <w:rPr>
                <w:szCs w:val="21"/>
              </w:rPr>
            </w:pPr>
            <w:r>
              <w:t>四川威远西南水泥有限公司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BA411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560C509" w14:textId="77777777" w:rsidR="00E57DAA" w:rsidRDefault="00AC4185">
            <w:pPr>
              <w:jc w:val="right"/>
              <w:rPr>
                <w:szCs w:val="21"/>
              </w:rPr>
            </w:pPr>
            <w:r>
              <w:t>21,923.01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C73B966" w14:textId="77777777" w:rsidR="00E57DAA" w:rsidRDefault="00AC4185">
            <w:pPr>
              <w:jc w:val="right"/>
              <w:rPr>
                <w:szCs w:val="21"/>
              </w:rPr>
            </w:pPr>
            <w:r>
              <w:t>117,987.98</w:t>
            </w:r>
          </w:p>
        </w:tc>
      </w:tr>
      <w:tr w:rsidR="00E57DAA" w14:paraId="646C98E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8110C7E" w14:textId="77777777" w:rsidR="00E57DAA" w:rsidRDefault="00AC4185">
            <w:pPr>
              <w:rPr>
                <w:szCs w:val="21"/>
              </w:rPr>
            </w:pPr>
            <w:r>
              <w:t>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19232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665FCA" w14:textId="77777777" w:rsidR="00E57DAA" w:rsidRDefault="00AC4185">
            <w:pPr>
              <w:jc w:val="right"/>
              <w:rPr>
                <w:szCs w:val="21"/>
              </w:rPr>
            </w:pPr>
            <w:r>
              <w:t>55,458.45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E75B34E" w14:textId="77777777" w:rsidR="00E57DAA" w:rsidRDefault="00AC4185">
            <w:pPr>
              <w:jc w:val="right"/>
              <w:rPr>
                <w:szCs w:val="21"/>
              </w:rPr>
            </w:pPr>
            <w:r>
              <w:t xml:space="preserve">　</w:t>
            </w:r>
          </w:p>
        </w:tc>
      </w:tr>
      <w:tr w:rsidR="00E57DAA" w14:paraId="4B36530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5324FB3" w14:textId="77777777" w:rsidR="00E57DAA" w:rsidRDefault="00AC4185">
            <w:pPr>
              <w:rPr>
                <w:szCs w:val="21"/>
              </w:rPr>
            </w:pPr>
            <w:r>
              <w:lastRenderedPageBreak/>
              <w:t>四川雅安西南水泥有限公司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285CF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827E5D"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A369671" w14:textId="77777777" w:rsidR="00E57DAA" w:rsidRDefault="00AC4185">
            <w:pPr>
              <w:jc w:val="right"/>
              <w:rPr>
                <w:szCs w:val="21"/>
              </w:rPr>
            </w:pPr>
            <w:r>
              <w:t>2,745,801.59</w:t>
            </w:r>
          </w:p>
        </w:tc>
      </w:tr>
      <w:tr w:rsidR="00E57DAA" w14:paraId="2C9FC6D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E1C158C" w14:textId="77777777" w:rsidR="00E57DAA" w:rsidRDefault="00AC4185">
            <w:pPr>
              <w:rPr>
                <w:szCs w:val="21"/>
              </w:rPr>
            </w:pPr>
            <w:r>
              <w:t>四川筠连西南水泥有限公司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738C2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9D57EF9" w14:textId="77777777" w:rsidR="00E57DAA" w:rsidRDefault="00AC4185">
            <w:pPr>
              <w:jc w:val="right"/>
              <w:rPr>
                <w:szCs w:val="21"/>
              </w:rPr>
            </w:pPr>
            <w:r>
              <w:t>14,198,025.85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E75147D" w14:textId="77777777" w:rsidR="00E57DAA" w:rsidRDefault="00AC4185">
            <w:pPr>
              <w:jc w:val="right"/>
              <w:rPr>
                <w:szCs w:val="21"/>
              </w:rPr>
            </w:pPr>
            <w:r>
              <w:t>14,898,154.89</w:t>
            </w:r>
          </w:p>
        </w:tc>
      </w:tr>
      <w:tr w:rsidR="00E57DAA" w14:paraId="681ECA5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9B1DBD" w14:textId="77777777" w:rsidR="00E57DAA" w:rsidRDefault="00AC4185">
            <w:pPr>
              <w:rPr>
                <w:szCs w:val="21"/>
              </w:rPr>
            </w:pPr>
            <w:r>
              <w:t>四川资中西南水泥有限公司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D09F0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B7167F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8AE772D" w14:textId="77777777" w:rsidR="00E57DAA" w:rsidRDefault="00AC4185">
            <w:pPr>
              <w:jc w:val="right"/>
              <w:rPr>
                <w:szCs w:val="21"/>
              </w:rPr>
            </w:pPr>
            <w:r>
              <w:t>34,581.41</w:t>
            </w:r>
          </w:p>
        </w:tc>
      </w:tr>
      <w:tr w:rsidR="00E57DAA" w14:paraId="42A13EB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0457960" w14:textId="77777777" w:rsidR="00E57DAA" w:rsidRDefault="00AC4185">
            <w:pPr>
              <w:rPr>
                <w:szCs w:val="21"/>
              </w:rPr>
            </w:pPr>
            <w:r>
              <w:t>泗县中联水泥有限公司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4DFE7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27E39D" w14:textId="77777777" w:rsidR="00E57DAA" w:rsidRDefault="00AC4185">
            <w:pPr>
              <w:jc w:val="right"/>
              <w:rPr>
                <w:szCs w:val="21"/>
              </w:rPr>
            </w:pPr>
            <w:r>
              <w:t>3,053.10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853D1B7" w14:textId="77777777" w:rsidR="00E57DAA" w:rsidRDefault="00AC4185">
            <w:pPr>
              <w:jc w:val="right"/>
              <w:rPr>
                <w:szCs w:val="21"/>
              </w:rPr>
            </w:pPr>
            <w:r>
              <w:t xml:space="preserve">　</w:t>
            </w:r>
          </w:p>
        </w:tc>
      </w:tr>
      <w:tr w:rsidR="00E57DAA" w14:paraId="255D411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EEF8EE1" w14:textId="77777777" w:rsidR="00E57DAA" w:rsidRDefault="00AC4185">
            <w:pPr>
              <w:rPr>
                <w:szCs w:val="21"/>
              </w:rPr>
            </w:pPr>
            <w:r>
              <w:t>苏州天山水泥有限公司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49218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B9754EA" w14:textId="77777777" w:rsidR="00E57DAA" w:rsidRDefault="00AC4185">
            <w:pPr>
              <w:jc w:val="right"/>
              <w:rPr>
                <w:szCs w:val="21"/>
              </w:rPr>
            </w:pPr>
            <w:r>
              <w:t>191,638.83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7A162F0" w14:textId="77777777" w:rsidR="00E57DAA" w:rsidRDefault="00AC4185">
            <w:pPr>
              <w:jc w:val="right"/>
              <w:rPr>
                <w:szCs w:val="21"/>
              </w:rPr>
            </w:pPr>
            <w:r>
              <w:t>1,395,860.18</w:t>
            </w:r>
          </w:p>
        </w:tc>
      </w:tr>
      <w:tr w:rsidR="00E57DAA" w14:paraId="3580D2E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59605A4" w14:textId="77777777" w:rsidR="00E57DAA" w:rsidRDefault="00AC4185">
            <w:pPr>
              <w:rPr>
                <w:szCs w:val="21"/>
              </w:rPr>
            </w:pPr>
            <w:r>
              <w:t>苏州中材非金属矿工业设计研究院有限公司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631D9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735930" w14:textId="77777777" w:rsidR="00E57DAA" w:rsidRDefault="00AC4185">
            <w:pPr>
              <w:jc w:val="right"/>
              <w:rPr>
                <w:szCs w:val="21"/>
              </w:rPr>
            </w:pPr>
            <w:r>
              <w:t>11,100,920.59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43161C6" w14:textId="77777777" w:rsidR="00E57DAA" w:rsidRDefault="00AC4185">
            <w:pPr>
              <w:jc w:val="right"/>
              <w:rPr>
                <w:szCs w:val="21"/>
              </w:rPr>
            </w:pPr>
            <w:r>
              <w:t xml:space="preserve">　</w:t>
            </w:r>
          </w:p>
        </w:tc>
      </w:tr>
      <w:tr w:rsidR="00E57DAA" w14:paraId="2961224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26D56F" w14:textId="77777777" w:rsidR="00E57DAA" w:rsidRDefault="00AC4185">
            <w:pPr>
              <w:rPr>
                <w:szCs w:val="21"/>
              </w:rPr>
            </w:pPr>
            <w:r>
              <w:t>宿州中联水泥有限公司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D6D90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3514D0C" w14:textId="77777777" w:rsidR="00E57DAA" w:rsidRDefault="00AC4185">
            <w:pPr>
              <w:jc w:val="right"/>
              <w:rPr>
                <w:szCs w:val="21"/>
              </w:rPr>
            </w:pPr>
            <w:r>
              <w:t>68,745.14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10574DD" w14:textId="77777777" w:rsidR="00E57DAA" w:rsidRDefault="00AC4185">
            <w:pPr>
              <w:jc w:val="right"/>
              <w:rPr>
                <w:szCs w:val="21"/>
              </w:rPr>
            </w:pPr>
            <w:r>
              <w:t>19,811.32</w:t>
            </w:r>
          </w:p>
        </w:tc>
      </w:tr>
      <w:tr w:rsidR="00E57DAA" w14:paraId="5E51132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E6C95B3" w14:textId="77777777" w:rsidR="00E57DAA" w:rsidRDefault="00AC4185">
            <w:pPr>
              <w:rPr>
                <w:szCs w:val="21"/>
              </w:rPr>
            </w:pPr>
            <w:r>
              <w:t>睢宁铸本混凝土工程有限公司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B7A55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4E7548" w14:textId="77777777" w:rsidR="00E57DAA" w:rsidRDefault="00AC4185">
            <w:pPr>
              <w:jc w:val="right"/>
              <w:rPr>
                <w:szCs w:val="21"/>
              </w:rPr>
            </w:pPr>
            <w:r>
              <w:t>31,085.84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2F64F68" w14:textId="77777777" w:rsidR="00E57DAA" w:rsidRDefault="00AC4185">
            <w:pPr>
              <w:jc w:val="right"/>
              <w:rPr>
                <w:szCs w:val="21"/>
              </w:rPr>
            </w:pPr>
            <w:r>
              <w:t xml:space="preserve">　</w:t>
            </w:r>
          </w:p>
        </w:tc>
      </w:tr>
      <w:tr w:rsidR="00E57DAA" w14:paraId="68B3AF3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59DA13" w14:textId="77777777" w:rsidR="00E57DAA" w:rsidRDefault="00AC4185">
            <w:pPr>
              <w:rPr>
                <w:szCs w:val="21"/>
              </w:rPr>
            </w:pPr>
            <w:r>
              <w:t>泰安华泰非金属微粉有限公司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0FE93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7396EF" w14:textId="77777777" w:rsidR="00E57DAA" w:rsidRDefault="00AC4185">
            <w:pPr>
              <w:jc w:val="right"/>
              <w:rPr>
                <w:szCs w:val="21"/>
              </w:rPr>
            </w:pPr>
            <w:r>
              <w:t>97,358.61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723DA4" w14:textId="77777777" w:rsidR="00E57DAA" w:rsidRDefault="00AC4185">
            <w:pPr>
              <w:jc w:val="right"/>
              <w:rPr>
                <w:szCs w:val="21"/>
              </w:rPr>
            </w:pPr>
            <w:r>
              <w:t>26,548.68</w:t>
            </w:r>
          </w:p>
        </w:tc>
      </w:tr>
      <w:tr w:rsidR="00E57DAA" w14:paraId="3F48FAD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055CDE3" w14:textId="77777777" w:rsidR="00E57DAA" w:rsidRDefault="00AC4185">
            <w:pPr>
              <w:rPr>
                <w:szCs w:val="21"/>
              </w:rPr>
            </w:pPr>
            <w:r>
              <w:t>泰安中联混凝土有限公司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6C84F7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9C4A96" w14:textId="77777777" w:rsidR="00E57DAA" w:rsidRDefault="00AC4185">
            <w:pPr>
              <w:jc w:val="right"/>
              <w:rPr>
                <w:szCs w:val="21"/>
              </w:rPr>
            </w:pPr>
            <w:r>
              <w:t>7,551.31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FE64098" w14:textId="77777777" w:rsidR="00E57DAA" w:rsidRDefault="00AC4185">
            <w:pPr>
              <w:jc w:val="right"/>
              <w:rPr>
                <w:szCs w:val="21"/>
              </w:rPr>
            </w:pPr>
            <w:r>
              <w:t xml:space="preserve">　</w:t>
            </w:r>
          </w:p>
        </w:tc>
      </w:tr>
      <w:tr w:rsidR="00E57DAA" w14:paraId="6CE4E6D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DCBA1B5" w14:textId="77777777" w:rsidR="00E57DAA" w:rsidRDefault="00AC4185">
            <w:pPr>
              <w:rPr>
                <w:szCs w:val="21"/>
              </w:rPr>
            </w:pPr>
            <w:r>
              <w:t>泰安中联水泥有限公司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8077EE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9C88B0" w14:textId="77777777" w:rsidR="00E57DAA" w:rsidRDefault="00AC4185">
            <w:pPr>
              <w:jc w:val="right"/>
              <w:rPr>
                <w:szCs w:val="21"/>
              </w:rPr>
            </w:pPr>
            <w:r>
              <w:t>26,146,968.71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348BD3" w14:textId="77777777" w:rsidR="00E57DAA" w:rsidRDefault="00AC4185">
            <w:pPr>
              <w:jc w:val="right"/>
              <w:rPr>
                <w:szCs w:val="21"/>
              </w:rPr>
            </w:pPr>
            <w:r>
              <w:t>42,885,083.83</w:t>
            </w:r>
          </w:p>
        </w:tc>
      </w:tr>
      <w:tr w:rsidR="00E57DAA" w14:paraId="400B976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4794B28" w14:textId="77777777" w:rsidR="00E57DAA" w:rsidRDefault="00AC4185">
            <w:pPr>
              <w:rPr>
                <w:szCs w:val="21"/>
              </w:rPr>
            </w:pPr>
            <w:r>
              <w:t>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45111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ACF40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1B4AA5" w14:textId="77777777" w:rsidR="00E57DAA" w:rsidRDefault="00AC4185">
            <w:pPr>
              <w:jc w:val="right"/>
              <w:rPr>
                <w:szCs w:val="21"/>
              </w:rPr>
            </w:pPr>
            <w:r>
              <w:t>646,226.42</w:t>
            </w:r>
          </w:p>
        </w:tc>
      </w:tr>
      <w:tr w:rsidR="00E57DAA" w14:paraId="63C2382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BCF143" w14:textId="77777777" w:rsidR="00E57DAA" w:rsidRDefault="00AC4185">
            <w:pPr>
              <w:rPr>
                <w:szCs w:val="21"/>
              </w:rPr>
            </w:pPr>
            <w:r>
              <w:t>泰山玻璃纤维有限公司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8067D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1B738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32CABAA" w14:textId="77777777" w:rsidR="00E57DAA" w:rsidRDefault="00AC4185">
            <w:pPr>
              <w:jc w:val="right"/>
              <w:rPr>
                <w:szCs w:val="21"/>
              </w:rPr>
            </w:pPr>
            <w:r>
              <w:t>259,858.08</w:t>
            </w:r>
          </w:p>
        </w:tc>
      </w:tr>
      <w:tr w:rsidR="00E57DAA" w14:paraId="1E76BBE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CF10E22" w14:textId="77777777" w:rsidR="00E57DAA" w:rsidRDefault="00AC4185">
            <w:pPr>
              <w:rPr>
                <w:szCs w:val="21"/>
              </w:rPr>
            </w:pPr>
            <w:r>
              <w:t>泰山玻璃纤维邹城有限公司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B7F04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98A1ABA" w14:textId="77777777" w:rsidR="00E57DAA" w:rsidRDefault="00AC4185">
            <w:pPr>
              <w:jc w:val="right"/>
              <w:rPr>
                <w:szCs w:val="21"/>
              </w:rPr>
            </w:pPr>
            <w:r>
              <w:t>4,453,090.28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2303539" w14:textId="77777777" w:rsidR="00E57DAA" w:rsidRDefault="00AC4185">
            <w:pPr>
              <w:jc w:val="right"/>
              <w:rPr>
                <w:szCs w:val="21"/>
              </w:rPr>
            </w:pPr>
            <w:r>
              <w:t xml:space="preserve">　</w:t>
            </w:r>
          </w:p>
        </w:tc>
      </w:tr>
      <w:tr w:rsidR="00E57DAA" w14:paraId="0AFDA98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C1256FE" w14:textId="77777777" w:rsidR="00E57DAA" w:rsidRDefault="00AC4185">
            <w:pPr>
              <w:rPr>
                <w:szCs w:val="21"/>
              </w:rPr>
            </w:pPr>
            <w:r>
              <w:t>泰山石膏（嘉兴）有限公司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A0273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0D33C1" w14:textId="77777777" w:rsidR="00E57DAA" w:rsidRDefault="00AC4185">
            <w:pPr>
              <w:jc w:val="right"/>
              <w:rPr>
                <w:szCs w:val="21"/>
              </w:rPr>
            </w:pPr>
            <w:r>
              <w:t>3,451,327.43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A877E1C" w14:textId="77777777" w:rsidR="00E57DAA" w:rsidRDefault="00AC4185">
            <w:pPr>
              <w:jc w:val="right"/>
              <w:rPr>
                <w:szCs w:val="21"/>
              </w:rPr>
            </w:pPr>
            <w:r>
              <w:t xml:space="preserve">　</w:t>
            </w:r>
          </w:p>
        </w:tc>
      </w:tr>
      <w:tr w:rsidR="00E57DAA" w14:paraId="39E6744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5E5499" w14:textId="77777777" w:rsidR="00E57DAA" w:rsidRDefault="00AC4185">
            <w:pPr>
              <w:rPr>
                <w:szCs w:val="21"/>
              </w:rPr>
            </w:pPr>
            <w:r>
              <w:t>泰山石膏（内蒙古）有限公司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E04B4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B4802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7A5ACE4" w14:textId="77777777" w:rsidR="00E57DAA" w:rsidRDefault="00AC4185">
            <w:pPr>
              <w:jc w:val="right"/>
              <w:rPr>
                <w:szCs w:val="21"/>
              </w:rPr>
            </w:pPr>
            <w:r>
              <w:t>3,400,665.75</w:t>
            </w:r>
          </w:p>
        </w:tc>
      </w:tr>
      <w:tr w:rsidR="00E57DAA" w14:paraId="738F87E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908A721" w14:textId="77777777" w:rsidR="00E57DAA" w:rsidRDefault="00AC4185">
            <w:pPr>
              <w:rPr>
                <w:szCs w:val="21"/>
              </w:rPr>
            </w:pPr>
            <w:r>
              <w:t>泰山石膏（潍坊）有限公司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00922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CF4A57B" w14:textId="77777777" w:rsidR="00E57DAA" w:rsidRDefault="00AC4185">
            <w:pPr>
              <w:jc w:val="right"/>
              <w:rPr>
                <w:szCs w:val="21"/>
              </w:rPr>
            </w:pPr>
            <w:r>
              <w:t>1,681.42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07D576B" w14:textId="77777777" w:rsidR="00E57DAA" w:rsidRDefault="00AC4185">
            <w:pPr>
              <w:jc w:val="right"/>
              <w:rPr>
                <w:szCs w:val="21"/>
              </w:rPr>
            </w:pPr>
            <w:r>
              <w:t xml:space="preserve">　</w:t>
            </w:r>
          </w:p>
        </w:tc>
      </w:tr>
      <w:tr w:rsidR="00E57DAA" w14:paraId="5E2AE9E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5D6F33" w14:textId="77777777" w:rsidR="00E57DAA" w:rsidRDefault="00AC4185">
            <w:pPr>
              <w:rPr>
                <w:szCs w:val="21"/>
              </w:rPr>
            </w:pPr>
            <w:r>
              <w:t>泰山中联水泥有限公司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7FE00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7C33B7A" w14:textId="77777777" w:rsidR="00E57DAA" w:rsidRDefault="00AC4185">
            <w:pPr>
              <w:jc w:val="right"/>
              <w:rPr>
                <w:szCs w:val="21"/>
              </w:rPr>
            </w:pPr>
            <w:r>
              <w:t>11,028,760.91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CD6866" w14:textId="77777777" w:rsidR="00E57DAA" w:rsidRDefault="00AC4185">
            <w:pPr>
              <w:jc w:val="right"/>
              <w:rPr>
                <w:szCs w:val="21"/>
              </w:rPr>
            </w:pPr>
            <w:r>
              <w:t>18,417,606.40</w:t>
            </w:r>
          </w:p>
        </w:tc>
      </w:tr>
      <w:tr w:rsidR="00E57DAA" w14:paraId="2F0C313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F5CC68C" w14:textId="77777777" w:rsidR="00E57DAA" w:rsidRDefault="00AC4185">
            <w:pPr>
              <w:rPr>
                <w:szCs w:val="21"/>
              </w:rPr>
            </w:pPr>
            <w:r>
              <w:t>滕州中联水泥有限公司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39AB1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65A76F" w14:textId="77777777" w:rsidR="00E57DAA" w:rsidRDefault="00AC4185">
            <w:pPr>
              <w:jc w:val="right"/>
              <w:rPr>
                <w:szCs w:val="21"/>
              </w:rPr>
            </w:pPr>
            <w:r>
              <w:t>58,496,337.23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D546DC" w14:textId="77777777" w:rsidR="00E57DAA" w:rsidRDefault="00AC4185">
            <w:pPr>
              <w:jc w:val="right"/>
              <w:rPr>
                <w:szCs w:val="21"/>
              </w:rPr>
            </w:pPr>
            <w:r>
              <w:t>18,518,527.48</w:t>
            </w:r>
          </w:p>
        </w:tc>
      </w:tr>
      <w:tr w:rsidR="00E57DAA" w14:paraId="6A03F4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C9469B" w14:textId="77777777" w:rsidR="00E57DAA" w:rsidRDefault="00AC4185">
            <w:pPr>
              <w:rPr>
                <w:szCs w:val="21"/>
              </w:rPr>
            </w:pPr>
            <w:r>
              <w:t>天水祁连山水泥有限公司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A6553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1F0B14" w14:textId="77777777" w:rsidR="00E57DAA" w:rsidRDefault="00AC4185">
            <w:pPr>
              <w:jc w:val="right"/>
              <w:rPr>
                <w:szCs w:val="21"/>
              </w:rPr>
            </w:pPr>
            <w:r>
              <w:t>15,531,897.50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2F8B351" w14:textId="77777777" w:rsidR="00E57DAA" w:rsidRDefault="00AC4185">
            <w:pPr>
              <w:jc w:val="right"/>
              <w:rPr>
                <w:szCs w:val="21"/>
              </w:rPr>
            </w:pPr>
            <w:r>
              <w:t>8,381,397.11</w:t>
            </w:r>
          </w:p>
        </w:tc>
      </w:tr>
      <w:tr w:rsidR="00E57DAA" w14:paraId="6EF0870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4DA10C2" w14:textId="77777777" w:rsidR="00E57DAA" w:rsidRDefault="00AC4185">
            <w:pPr>
              <w:rPr>
                <w:szCs w:val="21"/>
              </w:rPr>
            </w:pPr>
            <w:r>
              <w:t>天水中材水泥有限责任公司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C1B89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D28791" w14:textId="77777777" w:rsidR="00E57DAA" w:rsidRDefault="00AC4185">
            <w:pPr>
              <w:jc w:val="right"/>
              <w:rPr>
                <w:szCs w:val="21"/>
              </w:rPr>
            </w:pPr>
            <w:r>
              <w:t>4,750,626.36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DA786F1" w14:textId="77777777" w:rsidR="00E57DAA" w:rsidRDefault="00AC4185">
            <w:pPr>
              <w:jc w:val="right"/>
              <w:rPr>
                <w:szCs w:val="21"/>
              </w:rPr>
            </w:pPr>
            <w:r>
              <w:t>1,634,920.26</w:t>
            </w:r>
          </w:p>
        </w:tc>
      </w:tr>
      <w:tr w:rsidR="00E57DAA" w14:paraId="1316F9A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C799361" w14:textId="77777777" w:rsidR="00E57DAA" w:rsidRDefault="00AC4185">
            <w:pPr>
              <w:rPr>
                <w:szCs w:val="21"/>
              </w:rPr>
            </w:pPr>
            <w:r>
              <w:t>铁岭北方水泥有限公司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17B6B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CA944E" w14:textId="77777777" w:rsidR="00E57DAA" w:rsidRDefault="00AC4185">
            <w:pPr>
              <w:jc w:val="right"/>
              <w:rPr>
                <w:szCs w:val="21"/>
              </w:rPr>
            </w:pPr>
            <w:r>
              <w:t>22,566.36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5A842C9" w14:textId="77777777" w:rsidR="00E57DAA" w:rsidRDefault="00AC4185">
            <w:pPr>
              <w:jc w:val="right"/>
              <w:rPr>
                <w:szCs w:val="21"/>
              </w:rPr>
            </w:pPr>
            <w:r>
              <w:t xml:space="preserve">　</w:t>
            </w:r>
          </w:p>
        </w:tc>
      </w:tr>
      <w:tr w:rsidR="00E57DAA" w14:paraId="0DD9030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37547D2" w14:textId="77777777" w:rsidR="00E57DAA" w:rsidRDefault="00AC4185">
            <w:pPr>
              <w:rPr>
                <w:szCs w:val="21"/>
              </w:rPr>
            </w:pPr>
            <w:r>
              <w:t>通辽中联水泥有限公司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514BA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AD05C59" w14:textId="77777777" w:rsidR="00E57DAA" w:rsidRDefault="00AC4185">
            <w:pPr>
              <w:jc w:val="right"/>
              <w:rPr>
                <w:szCs w:val="21"/>
              </w:rPr>
            </w:pPr>
            <w:r>
              <w:t>6,209,372.53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673A6F6" w14:textId="77777777" w:rsidR="00E57DAA" w:rsidRDefault="00AC4185">
            <w:pPr>
              <w:jc w:val="right"/>
              <w:rPr>
                <w:szCs w:val="21"/>
              </w:rPr>
            </w:pPr>
            <w:r>
              <w:t>30,600,117.49</w:t>
            </w:r>
          </w:p>
        </w:tc>
      </w:tr>
      <w:tr w:rsidR="00E57DAA" w14:paraId="5A891EC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95637AD" w14:textId="77777777" w:rsidR="00E57DAA" w:rsidRDefault="00AC4185">
            <w:pPr>
              <w:rPr>
                <w:szCs w:val="21"/>
              </w:rPr>
            </w:pPr>
            <w:r>
              <w:t>桐庐南方水泥有限公司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A2C5A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85A7C2" w14:textId="77777777" w:rsidR="00E57DAA" w:rsidRDefault="00AC4185">
            <w:pPr>
              <w:jc w:val="right"/>
              <w:rPr>
                <w:szCs w:val="21"/>
              </w:rPr>
            </w:pPr>
            <w:r>
              <w:t>26,276,462.84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817C44" w14:textId="77777777" w:rsidR="00E57DAA" w:rsidRDefault="00AC4185">
            <w:pPr>
              <w:jc w:val="right"/>
              <w:rPr>
                <w:szCs w:val="21"/>
              </w:rPr>
            </w:pPr>
            <w:r>
              <w:t>41,451,926.22</w:t>
            </w:r>
          </w:p>
        </w:tc>
      </w:tr>
      <w:tr w:rsidR="00E57DAA" w14:paraId="143EA76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96ED5F1" w14:textId="77777777" w:rsidR="00E57DAA" w:rsidRDefault="00AC4185">
            <w:pPr>
              <w:rPr>
                <w:szCs w:val="21"/>
              </w:rPr>
            </w:pPr>
            <w:r>
              <w:t>铜仁西南水泥有限公司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C125EF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D2BA9F" w14:textId="77777777" w:rsidR="00E57DAA" w:rsidRDefault="00AC4185">
            <w:pPr>
              <w:jc w:val="right"/>
              <w:rPr>
                <w:szCs w:val="21"/>
              </w:rPr>
            </w:pPr>
            <w:r>
              <w:t>9,582,206.56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A4E2DC5" w14:textId="77777777" w:rsidR="00E57DAA" w:rsidRDefault="00AC4185">
            <w:pPr>
              <w:jc w:val="right"/>
              <w:rPr>
                <w:szCs w:val="21"/>
              </w:rPr>
            </w:pPr>
            <w:r>
              <w:t>6,779,132.71</w:t>
            </w:r>
          </w:p>
        </w:tc>
      </w:tr>
      <w:tr w:rsidR="00E57DAA" w14:paraId="36DBB98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A8BCCF" w14:textId="77777777" w:rsidR="00E57DAA" w:rsidRDefault="00AC4185">
            <w:pPr>
              <w:rPr>
                <w:szCs w:val="21"/>
              </w:rPr>
            </w:pPr>
            <w:r>
              <w:t>吐鲁番天山金越环境科技有限公司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60395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84F79B" w14:textId="77777777" w:rsidR="00E57DAA" w:rsidRDefault="00AC4185">
            <w:pPr>
              <w:jc w:val="right"/>
              <w:rPr>
                <w:szCs w:val="21"/>
              </w:rPr>
            </w:pPr>
            <w:r>
              <w:t>3,782,660.54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41BBAD9" w14:textId="77777777" w:rsidR="00E57DAA" w:rsidRDefault="00AC4185">
            <w:pPr>
              <w:jc w:val="right"/>
              <w:rPr>
                <w:szCs w:val="21"/>
              </w:rPr>
            </w:pPr>
            <w:r>
              <w:t>2,752,293.57</w:t>
            </w:r>
          </w:p>
        </w:tc>
      </w:tr>
      <w:tr w:rsidR="00E57DAA" w14:paraId="469FB91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6692758" w14:textId="77777777" w:rsidR="00E57DAA" w:rsidRDefault="00AC4185">
            <w:pPr>
              <w:rPr>
                <w:szCs w:val="21"/>
              </w:rPr>
            </w:pPr>
            <w:r>
              <w:t>吐鲁番天山水泥有限责任公司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17106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DCB9BA" w14:textId="77777777" w:rsidR="00E57DAA" w:rsidRDefault="00AC4185">
            <w:pPr>
              <w:jc w:val="right"/>
              <w:rPr>
                <w:szCs w:val="21"/>
              </w:rPr>
            </w:pPr>
            <w:r>
              <w:t>31,409,821.72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4CDCF89" w14:textId="77777777" w:rsidR="00E57DAA" w:rsidRDefault="00AC4185">
            <w:pPr>
              <w:jc w:val="right"/>
              <w:rPr>
                <w:szCs w:val="21"/>
              </w:rPr>
            </w:pPr>
            <w:r>
              <w:t>4,141,967.99</w:t>
            </w:r>
          </w:p>
        </w:tc>
      </w:tr>
      <w:tr w:rsidR="00E57DAA" w14:paraId="48CC610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88CD75C" w14:textId="77777777" w:rsidR="00E57DAA" w:rsidRDefault="00AC4185">
            <w:pPr>
              <w:rPr>
                <w:szCs w:val="21"/>
              </w:rPr>
            </w:pPr>
            <w:r>
              <w:t>汪清北方水泥有限公司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2ED81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259564" w14:textId="77777777" w:rsidR="00E57DAA" w:rsidRDefault="00AC4185">
            <w:pPr>
              <w:jc w:val="right"/>
              <w:rPr>
                <w:szCs w:val="21"/>
              </w:rPr>
            </w:pPr>
            <w:r>
              <w:t>63,614,612.72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E11AC3" w14:textId="77777777" w:rsidR="00E57DAA" w:rsidRDefault="00AC4185">
            <w:pPr>
              <w:jc w:val="right"/>
              <w:rPr>
                <w:szCs w:val="21"/>
              </w:rPr>
            </w:pPr>
            <w:r>
              <w:t>26,106.19</w:t>
            </w:r>
          </w:p>
        </w:tc>
      </w:tr>
      <w:tr w:rsidR="00E57DAA" w14:paraId="32422AB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B29671" w14:textId="77777777" w:rsidR="00E57DAA" w:rsidRDefault="00AC4185">
            <w:pPr>
              <w:rPr>
                <w:szCs w:val="21"/>
              </w:rPr>
            </w:pPr>
            <w:r>
              <w:t>旺苍川煤水泥有限责任公司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5424B8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58A27B" w14:textId="77777777" w:rsidR="00E57DAA" w:rsidRDefault="00AC4185">
            <w:pPr>
              <w:jc w:val="right"/>
              <w:rPr>
                <w:szCs w:val="21"/>
              </w:rPr>
            </w:pPr>
            <w:r>
              <w:t>20,684,306.82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25E2F1C" w14:textId="77777777" w:rsidR="00E57DAA" w:rsidRDefault="00AC4185">
            <w:pPr>
              <w:jc w:val="right"/>
              <w:rPr>
                <w:szCs w:val="21"/>
              </w:rPr>
            </w:pPr>
            <w:r>
              <w:t>35,928,226.48</w:t>
            </w:r>
          </w:p>
        </w:tc>
      </w:tr>
      <w:tr w:rsidR="00E57DAA" w14:paraId="68B3BB3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F6CF397" w14:textId="77777777" w:rsidR="00E57DAA" w:rsidRDefault="00AC4185">
            <w:pPr>
              <w:rPr>
                <w:szCs w:val="21"/>
              </w:rPr>
            </w:pPr>
            <w:r>
              <w:t>翁源县中源发展有限公司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C9A42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AC0E4B" w14:textId="77777777" w:rsidR="00E57DAA" w:rsidRDefault="00AC4185">
            <w:pPr>
              <w:jc w:val="right"/>
              <w:rPr>
                <w:szCs w:val="21"/>
              </w:rPr>
            </w:pPr>
            <w:r>
              <w:t>22,151,042.69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6AD12B6" w14:textId="77777777" w:rsidR="00E57DAA" w:rsidRDefault="00AC4185">
            <w:pPr>
              <w:jc w:val="right"/>
              <w:rPr>
                <w:szCs w:val="21"/>
              </w:rPr>
            </w:pPr>
            <w:r>
              <w:t>82,843,928.09</w:t>
            </w:r>
          </w:p>
        </w:tc>
      </w:tr>
      <w:tr w:rsidR="00E57DAA" w14:paraId="08872CA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2211001" w14:textId="77777777" w:rsidR="00E57DAA" w:rsidRDefault="00AC4185">
            <w:pPr>
              <w:rPr>
                <w:szCs w:val="21"/>
              </w:rPr>
            </w:pPr>
            <w:r>
              <w:t>瓮安县玉山水泥（厂）有限公司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96FE1F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3C6DEA" w14:textId="77777777" w:rsidR="00E57DAA" w:rsidRDefault="00AC4185">
            <w:pPr>
              <w:jc w:val="right"/>
              <w:rPr>
                <w:szCs w:val="21"/>
              </w:rPr>
            </w:pPr>
            <w:r>
              <w:t>5,296,661.71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D5171CB" w14:textId="77777777" w:rsidR="00E57DAA" w:rsidRDefault="00AC4185">
            <w:pPr>
              <w:jc w:val="right"/>
              <w:rPr>
                <w:szCs w:val="21"/>
              </w:rPr>
            </w:pPr>
            <w:r>
              <w:t xml:space="preserve">　</w:t>
            </w:r>
          </w:p>
        </w:tc>
      </w:tr>
      <w:tr w:rsidR="00E57DAA" w14:paraId="411D533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4C9979A" w14:textId="77777777" w:rsidR="00E57DAA" w:rsidRDefault="00AC4185">
            <w:pPr>
              <w:rPr>
                <w:szCs w:val="21"/>
              </w:rPr>
            </w:pPr>
            <w:r>
              <w:t>乌海赛马水泥有限责任公司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C9D5F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2281EE" w14:textId="77777777" w:rsidR="00E57DAA" w:rsidRDefault="00AC4185">
            <w:pPr>
              <w:jc w:val="right"/>
              <w:rPr>
                <w:szCs w:val="21"/>
              </w:rPr>
            </w:pPr>
            <w:r>
              <w:t>855,966.88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CDF6473" w14:textId="77777777" w:rsidR="00E57DAA" w:rsidRDefault="00AC4185">
            <w:pPr>
              <w:jc w:val="right"/>
              <w:rPr>
                <w:szCs w:val="21"/>
              </w:rPr>
            </w:pPr>
            <w:r>
              <w:t>714,461.04</w:t>
            </w:r>
          </w:p>
        </w:tc>
      </w:tr>
      <w:tr w:rsidR="00E57DAA" w14:paraId="171A9F4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D0E2ABE" w14:textId="77777777" w:rsidR="00E57DAA" w:rsidRDefault="00AC4185">
            <w:pPr>
              <w:rPr>
                <w:szCs w:val="21"/>
              </w:rPr>
            </w:pPr>
            <w:r>
              <w:lastRenderedPageBreak/>
              <w:t>乌海市西水水泥有限责任公司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8A729F"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5C0F0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3BA8F5D" w14:textId="77777777" w:rsidR="00E57DAA" w:rsidRDefault="00AC4185">
            <w:pPr>
              <w:jc w:val="right"/>
              <w:rPr>
                <w:szCs w:val="21"/>
              </w:rPr>
            </w:pPr>
            <w:r>
              <w:t>130,787.61</w:t>
            </w:r>
          </w:p>
        </w:tc>
      </w:tr>
      <w:tr w:rsidR="00E57DAA" w14:paraId="4A120BB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35C4A7D" w14:textId="77777777" w:rsidR="00E57DAA" w:rsidRDefault="00AC4185">
            <w:pPr>
              <w:rPr>
                <w:szCs w:val="21"/>
              </w:rPr>
            </w:pPr>
            <w:r>
              <w:t>乌兰察布市蒙中水泥有限公司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A2A15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8151B52" w14:textId="77777777" w:rsidR="00E57DAA" w:rsidRDefault="00AC4185">
            <w:pPr>
              <w:jc w:val="right"/>
              <w:rPr>
                <w:szCs w:val="21"/>
              </w:rPr>
            </w:pPr>
            <w:r>
              <w:t>148,991.14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CC5C48B" w14:textId="77777777" w:rsidR="00E57DAA" w:rsidRDefault="00AC4185">
            <w:pPr>
              <w:jc w:val="right"/>
              <w:rPr>
                <w:szCs w:val="21"/>
              </w:rPr>
            </w:pPr>
            <w:r>
              <w:t>570,017.71</w:t>
            </w:r>
          </w:p>
        </w:tc>
      </w:tr>
      <w:tr w:rsidR="00E57DAA" w14:paraId="61B6C25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157879A" w14:textId="77777777" w:rsidR="00E57DAA" w:rsidRDefault="00AC4185">
            <w:pPr>
              <w:rPr>
                <w:szCs w:val="21"/>
              </w:rPr>
            </w:pPr>
            <w:r>
              <w:t>乌兰察布中联水泥有限公司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F9F3E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0F3119" w14:textId="77777777" w:rsidR="00E57DAA" w:rsidRDefault="00AC4185">
            <w:pPr>
              <w:jc w:val="right"/>
              <w:rPr>
                <w:szCs w:val="21"/>
              </w:rPr>
            </w:pPr>
            <w:r>
              <w:t>24,757,380.76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EDB64CD" w14:textId="77777777" w:rsidR="00E57DAA" w:rsidRDefault="00AC4185">
            <w:pPr>
              <w:jc w:val="right"/>
              <w:rPr>
                <w:szCs w:val="21"/>
              </w:rPr>
            </w:pPr>
            <w:r>
              <w:t>32,803,565.86</w:t>
            </w:r>
          </w:p>
        </w:tc>
      </w:tr>
      <w:tr w:rsidR="00E57DAA" w14:paraId="3F7479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4A9AD0" w14:textId="77777777" w:rsidR="00E57DAA" w:rsidRDefault="00AC4185">
            <w:pPr>
              <w:rPr>
                <w:szCs w:val="21"/>
              </w:rPr>
            </w:pPr>
            <w:r>
              <w:t>无锡天山水泥有限公司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821E62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87D9D7" w14:textId="77777777" w:rsidR="00E57DAA" w:rsidRDefault="00AC4185">
            <w:pPr>
              <w:jc w:val="right"/>
              <w:rPr>
                <w:szCs w:val="21"/>
              </w:rPr>
            </w:pPr>
            <w:r>
              <w:t>121,143.62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1BCB4E6" w14:textId="77777777" w:rsidR="00E57DAA" w:rsidRDefault="00AC4185">
            <w:pPr>
              <w:jc w:val="right"/>
              <w:rPr>
                <w:szCs w:val="21"/>
              </w:rPr>
            </w:pPr>
            <w:r>
              <w:t>990,459.47</w:t>
            </w:r>
          </w:p>
        </w:tc>
      </w:tr>
      <w:tr w:rsidR="00E57DAA" w14:paraId="5F4966D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2783BEB" w14:textId="77777777" w:rsidR="00E57DAA" w:rsidRDefault="00AC4185">
            <w:pPr>
              <w:rPr>
                <w:szCs w:val="21"/>
              </w:rPr>
            </w:pPr>
            <w:r>
              <w:t>吴忠赛马新型建材有限公司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9F9DE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78B62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0F0C1D8" w14:textId="77777777" w:rsidR="00E57DAA" w:rsidRDefault="00AC4185">
            <w:pPr>
              <w:jc w:val="right"/>
              <w:rPr>
                <w:szCs w:val="21"/>
              </w:rPr>
            </w:pPr>
            <w:r>
              <w:t>73,037,205.22</w:t>
            </w:r>
          </w:p>
        </w:tc>
      </w:tr>
      <w:tr w:rsidR="00E57DAA" w14:paraId="2DB1F2C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DFB2B30" w14:textId="77777777" w:rsidR="00E57DAA" w:rsidRDefault="00AC4185">
            <w:pPr>
              <w:rPr>
                <w:szCs w:val="21"/>
              </w:rPr>
            </w:pPr>
            <w:r>
              <w:t>五河中联水泥有限公司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B485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366577A" w14:textId="77777777" w:rsidR="00E57DAA" w:rsidRDefault="00AC4185">
            <w:pPr>
              <w:jc w:val="right"/>
              <w:rPr>
                <w:szCs w:val="21"/>
              </w:rPr>
            </w:pPr>
            <w:r>
              <w:t>214,393.80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36E9BE" w14:textId="77777777" w:rsidR="00E57DAA" w:rsidRDefault="00AC4185">
            <w:pPr>
              <w:jc w:val="right"/>
              <w:rPr>
                <w:szCs w:val="21"/>
              </w:rPr>
            </w:pPr>
            <w:r>
              <w:t>24,070.80</w:t>
            </w:r>
          </w:p>
        </w:tc>
      </w:tr>
      <w:tr w:rsidR="00E57DAA" w14:paraId="3730F2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EBB33C1" w14:textId="77777777" w:rsidR="00E57DAA" w:rsidRDefault="00AC4185">
            <w:pPr>
              <w:rPr>
                <w:szCs w:val="21"/>
              </w:rPr>
            </w:pPr>
            <w:r>
              <w:t>西藏中材祁连山水泥有限公司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BD31D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2D6D22" w14:textId="77777777" w:rsidR="00E57DAA" w:rsidRDefault="00AC4185">
            <w:pPr>
              <w:jc w:val="right"/>
              <w:rPr>
                <w:szCs w:val="21"/>
              </w:rPr>
            </w:pPr>
            <w:r>
              <w:t>36,373,100.07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8C06008" w14:textId="77777777" w:rsidR="00E57DAA" w:rsidRDefault="00AC4185">
            <w:pPr>
              <w:jc w:val="right"/>
              <w:rPr>
                <w:szCs w:val="21"/>
              </w:rPr>
            </w:pPr>
            <w:r>
              <w:t>69,778,880.56</w:t>
            </w:r>
          </w:p>
        </w:tc>
      </w:tr>
      <w:tr w:rsidR="00E57DAA" w14:paraId="457D171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BE5C252" w14:textId="77777777" w:rsidR="00E57DAA" w:rsidRDefault="00AC4185">
            <w:pPr>
              <w:rPr>
                <w:szCs w:val="21"/>
              </w:rPr>
            </w:pPr>
            <w:r>
              <w:t>淅川中联水泥有限公司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5CC6C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A421429" w14:textId="77777777" w:rsidR="00E57DAA" w:rsidRDefault="00AC4185">
            <w:pPr>
              <w:jc w:val="right"/>
              <w:rPr>
                <w:szCs w:val="21"/>
              </w:rPr>
            </w:pPr>
            <w:r>
              <w:t>35,398.23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40C4342" w14:textId="77777777" w:rsidR="00E57DAA" w:rsidRDefault="00AC4185">
            <w:pPr>
              <w:jc w:val="right"/>
              <w:rPr>
                <w:szCs w:val="21"/>
              </w:rPr>
            </w:pPr>
            <w:r>
              <w:t xml:space="preserve">　</w:t>
            </w:r>
          </w:p>
        </w:tc>
      </w:tr>
      <w:tr w:rsidR="00E57DAA" w14:paraId="2EC1F79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AEAA3B7" w14:textId="77777777" w:rsidR="00E57DAA" w:rsidRDefault="00AC4185">
            <w:pPr>
              <w:rPr>
                <w:szCs w:val="21"/>
              </w:rPr>
            </w:pPr>
            <w:r>
              <w:t>习水赛德水泥有限公司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6979AB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1651D7" w14:textId="77777777" w:rsidR="00E57DAA" w:rsidRDefault="00AC4185">
            <w:pPr>
              <w:jc w:val="right"/>
              <w:rPr>
                <w:szCs w:val="21"/>
              </w:rPr>
            </w:pPr>
            <w:r>
              <w:t>2,160,844.70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04E8145" w14:textId="77777777" w:rsidR="00E57DAA" w:rsidRDefault="00AC4185">
            <w:pPr>
              <w:jc w:val="right"/>
              <w:rPr>
                <w:szCs w:val="21"/>
              </w:rPr>
            </w:pPr>
            <w:r>
              <w:t>175,298.05</w:t>
            </w:r>
          </w:p>
        </w:tc>
      </w:tr>
      <w:tr w:rsidR="00E57DAA" w14:paraId="3DDF52A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243B57E" w14:textId="77777777" w:rsidR="00E57DAA" w:rsidRDefault="00AC4185">
            <w:pPr>
              <w:rPr>
                <w:szCs w:val="21"/>
              </w:rPr>
            </w:pPr>
            <w:r>
              <w:t>夏河祁连山安多水泥有限公司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967C9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3764B5" w14:textId="77777777" w:rsidR="00E57DAA" w:rsidRDefault="00AC4185">
            <w:pPr>
              <w:jc w:val="right"/>
              <w:rPr>
                <w:szCs w:val="21"/>
              </w:rPr>
            </w:pPr>
            <w:r>
              <w:t>109,738,410.81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1F4D25" w14:textId="77777777" w:rsidR="00E57DAA" w:rsidRDefault="00AC4185">
            <w:pPr>
              <w:jc w:val="right"/>
              <w:rPr>
                <w:szCs w:val="21"/>
              </w:rPr>
            </w:pPr>
            <w:r>
              <w:t>137,168.15</w:t>
            </w:r>
          </w:p>
        </w:tc>
      </w:tr>
      <w:tr w:rsidR="00E57DAA" w14:paraId="35689B2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7335E0" w14:textId="77777777" w:rsidR="00E57DAA" w:rsidRDefault="00AC4185">
            <w:pPr>
              <w:rPr>
                <w:szCs w:val="21"/>
              </w:rPr>
            </w:pPr>
            <w:r>
              <w:t>响水中联水泥有限公司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E69E5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55C394"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C3CD949" w14:textId="77777777" w:rsidR="00E57DAA" w:rsidRDefault="00AC4185">
            <w:pPr>
              <w:jc w:val="right"/>
              <w:rPr>
                <w:szCs w:val="21"/>
              </w:rPr>
            </w:pPr>
            <w:r>
              <w:t>4,611,573.77</w:t>
            </w:r>
          </w:p>
        </w:tc>
      </w:tr>
      <w:tr w:rsidR="00E57DAA" w14:paraId="7A686A6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9156557" w14:textId="77777777" w:rsidR="00E57DAA" w:rsidRDefault="00AC4185">
            <w:pPr>
              <w:rPr>
                <w:szCs w:val="21"/>
              </w:rPr>
            </w:pPr>
            <w:r>
              <w:t>新安中联万基水泥有限公司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DD6E3C"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DAAD0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2D5025" w14:textId="77777777" w:rsidR="00E57DAA" w:rsidRDefault="00AC4185">
            <w:pPr>
              <w:jc w:val="right"/>
              <w:rPr>
                <w:szCs w:val="21"/>
              </w:rPr>
            </w:pPr>
            <w:r>
              <w:t>351,150.44</w:t>
            </w:r>
          </w:p>
        </w:tc>
      </w:tr>
      <w:tr w:rsidR="00E57DAA" w14:paraId="6681EA6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2C74F95" w14:textId="77777777" w:rsidR="00E57DAA" w:rsidRDefault="00AC4185">
            <w:pPr>
              <w:rPr>
                <w:szCs w:val="21"/>
              </w:rPr>
            </w:pPr>
            <w:r>
              <w:t>新疆阜康天山水泥有限责任公司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344D05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F9387B" w14:textId="77777777" w:rsidR="00E57DAA" w:rsidRDefault="00AC4185">
            <w:pPr>
              <w:jc w:val="right"/>
              <w:rPr>
                <w:szCs w:val="21"/>
              </w:rPr>
            </w:pPr>
            <w:r>
              <w:t>20,925,017.70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0F873DE" w14:textId="77777777" w:rsidR="00E57DAA" w:rsidRDefault="00AC4185">
            <w:pPr>
              <w:jc w:val="right"/>
              <w:rPr>
                <w:szCs w:val="21"/>
              </w:rPr>
            </w:pPr>
            <w:r>
              <w:t>28,559,428.22</w:t>
            </w:r>
          </w:p>
        </w:tc>
      </w:tr>
      <w:tr w:rsidR="00E57DAA" w14:paraId="24B3E8F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10B478B" w14:textId="77777777" w:rsidR="00E57DAA" w:rsidRDefault="00AC4185">
            <w:pPr>
              <w:rPr>
                <w:szCs w:val="21"/>
              </w:rPr>
            </w:pPr>
            <w:r>
              <w:t>新疆和静天山水泥有限责任公司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C4613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D2138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6451E9C" w14:textId="77777777" w:rsidR="00E57DAA" w:rsidRDefault="00AC4185">
            <w:pPr>
              <w:jc w:val="right"/>
              <w:rPr>
                <w:szCs w:val="21"/>
              </w:rPr>
            </w:pPr>
            <w:r>
              <w:t>2,263,660.98</w:t>
            </w:r>
          </w:p>
        </w:tc>
      </w:tr>
      <w:tr w:rsidR="00E57DAA" w14:paraId="6C08989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4FE1318" w14:textId="77777777" w:rsidR="00E57DAA" w:rsidRDefault="00AC4185">
            <w:pPr>
              <w:rPr>
                <w:szCs w:val="21"/>
              </w:rPr>
            </w:pPr>
            <w:r>
              <w:t>新疆米东天山水泥有限责任公司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2F49C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2D0FE9" w14:textId="77777777" w:rsidR="00E57DAA" w:rsidRDefault="00AC4185">
            <w:pPr>
              <w:jc w:val="right"/>
              <w:rPr>
                <w:szCs w:val="21"/>
              </w:rPr>
            </w:pPr>
            <w:r>
              <w:t>162,863.71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AC82A38" w14:textId="77777777" w:rsidR="00E57DAA" w:rsidRDefault="00AC4185">
            <w:pPr>
              <w:jc w:val="right"/>
              <w:rPr>
                <w:szCs w:val="21"/>
              </w:rPr>
            </w:pPr>
            <w:r>
              <w:t>2,383,492.03</w:t>
            </w:r>
          </w:p>
        </w:tc>
      </w:tr>
      <w:tr w:rsidR="00E57DAA" w14:paraId="6A757F9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0D372AA" w14:textId="77777777" w:rsidR="00E57DAA" w:rsidRDefault="00AC4185">
            <w:pPr>
              <w:rPr>
                <w:szCs w:val="21"/>
              </w:rPr>
            </w:pPr>
            <w:r>
              <w:t>新疆天山水泥股份有限公司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E29D1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B0E062" w14:textId="77777777" w:rsidR="00E57DAA" w:rsidRDefault="00AC4185">
            <w:pPr>
              <w:jc w:val="right"/>
              <w:rPr>
                <w:szCs w:val="21"/>
              </w:rPr>
            </w:pPr>
            <w:r>
              <w:t>4,337,500.87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69CDA75" w14:textId="77777777" w:rsidR="00E57DAA" w:rsidRDefault="00AC4185">
            <w:pPr>
              <w:jc w:val="right"/>
              <w:rPr>
                <w:szCs w:val="21"/>
              </w:rPr>
            </w:pPr>
            <w:r>
              <w:t>256,176.00</w:t>
            </w:r>
          </w:p>
        </w:tc>
      </w:tr>
      <w:tr w:rsidR="00E57DAA" w14:paraId="1A50856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AC8977" w14:textId="77777777" w:rsidR="00E57DAA" w:rsidRDefault="00AC4185">
            <w:pPr>
              <w:rPr>
                <w:szCs w:val="21"/>
              </w:rPr>
            </w:pPr>
            <w:r>
              <w:t>新泰中联泰丰水泥有限公司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226A4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531928" w14:textId="77777777" w:rsidR="00E57DAA" w:rsidRDefault="00AC4185">
            <w:pPr>
              <w:jc w:val="right"/>
              <w:rPr>
                <w:szCs w:val="21"/>
              </w:rPr>
            </w:pPr>
            <w:r>
              <w:t>32,160,802.36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3F8C955" w14:textId="77777777" w:rsidR="00E57DAA" w:rsidRDefault="00AC4185">
            <w:pPr>
              <w:jc w:val="right"/>
              <w:rPr>
                <w:szCs w:val="21"/>
              </w:rPr>
            </w:pPr>
            <w:r>
              <w:t>38,597,300.56</w:t>
            </w:r>
          </w:p>
        </w:tc>
      </w:tr>
      <w:tr w:rsidR="00E57DAA" w14:paraId="345D5C4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E1A1A0F" w14:textId="77777777" w:rsidR="00E57DAA" w:rsidRDefault="00AC4185">
            <w:pPr>
              <w:rPr>
                <w:szCs w:val="21"/>
              </w:rPr>
            </w:pPr>
            <w:r>
              <w:t>新乡平原同力水泥有限责任公司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6664EC"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3AA9C4"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8FC3F4" w14:textId="77777777" w:rsidR="00E57DAA" w:rsidRDefault="00AC4185">
            <w:pPr>
              <w:jc w:val="right"/>
              <w:rPr>
                <w:szCs w:val="21"/>
              </w:rPr>
            </w:pPr>
            <w:r>
              <w:t>52,830.19</w:t>
            </w:r>
          </w:p>
        </w:tc>
      </w:tr>
      <w:tr w:rsidR="00E57DAA" w14:paraId="3DA9E24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CAAEF0E" w14:textId="77777777" w:rsidR="00E57DAA" w:rsidRDefault="00AC4185">
            <w:pPr>
              <w:rPr>
                <w:szCs w:val="21"/>
              </w:rPr>
            </w:pPr>
            <w:r>
              <w:t>邢台中联水泥有限公司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4A1DA4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40C3AC" w14:textId="77777777" w:rsidR="00E57DAA" w:rsidRDefault="00AC4185">
            <w:pPr>
              <w:jc w:val="right"/>
              <w:rPr>
                <w:szCs w:val="21"/>
              </w:rPr>
            </w:pPr>
            <w:r>
              <w:t>23,569,629.45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F9F4F17" w14:textId="77777777" w:rsidR="00E57DAA" w:rsidRDefault="00AC4185">
            <w:pPr>
              <w:jc w:val="right"/>
              <w:rPr>
                <w:szCs w:val="21"/>
              </w:rPr>
            </w:pPr>
            <w:r>
              <w:t>8,387,927.86</w:t>
            </w:r>
          </w:p>
        </w:tc>
      </w:tr>
      <w:tr w:rsidR="00E57DAA" w14:paraId="46F10C6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95A64C2" w14:textId="77777777" w:rsidR="00E57DAA" w:rsidRDefault="00AC4185">
            <w:pPr>
              <w:rPr>
                <w:szCs w:val="21"/>
              </w:rPr>
            </w:pPr>
            <w:r>
              <w:t>徐州润基建材有限公司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D82B5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035950" w14:textId="77777777" w:rsidR="00E57DAA" w:rsidRDefault="00AC4185">
            <w:pPr>
              <w:jc w:val="right"/>
              <w:rPr>
                <w:szCs w:val="21"/>
              </w:rPr>
            </w:pPr>
            <w:r>
              <w:t>56,603.77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860817" w14:textId="77777777" w:rsidR="00E57DAA" w:rsidRDefault="00AC4185">
            <w:pPr>
              <w:jc w:val="right"/>
              <w:rPr>
                <w:szCs w:val="21"/>
              </w:rPr>
            </w:pPr>
            <w:r>
              <w:t xml:space="preserve">　</w:t>
            </w:r>
          </w:p>
        </w:tc>
      </w:tr>
      <w:tr w:rsidR="00E57DAA" w14:paraId="2CDD37F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875D882" w14:textId="77777777" w:rsidR="00E57DAA" w:rsidRDefault="00AC4185">
            <w:pPr>
              <w:rPr>
                <w:szCs w:val="21"/>
              </w:rPr>
            </w:pPr>
            <w:r>
              <w:t>徐州中联混凝土有限公司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FFCE3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95F4E9" w14:textId="77777777" w:rsidR="00E57DAA" w:rsidRDefault="00AC4185">
            <w:pPr>
              <w:jc w:val="right"/>
              <w:rPr>
                <w:szCs w:val="21"/>
              </w:rPr>
            </w:pPr>
            <w:r>
              <w:t>226,746.02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6E15095" w14:textId="77777777" w:rsidR="00E57DAA" w:rsidRDefault="00AC4185">
            <w:pPr>
              <w:jc w:val="right"/>
              <w:rPr>
                <w:szCs w:val="21"/>
              </w:rPr>
            </w:pPr>
            <w:r>
              <w:t xml:space="preserve">　</w:t>
            </w:r>
          </w:p>
        </w:tc>
      </w:tr>
      <w:tr w:rsidR="00E57DAA" w14:paraId="564B8B1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DB92F1D" w14:textId="77777777" w:rsidR="00E57DAA" w:rsidRDefault="00AC4185">
            <w:pPr>
              <w:rPr>
                <w:szCs w:val="21"/>
              </w:rPr>
            </w:pPr>
            <w:r>
              <w:t>徐州中联水泥有限公司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451355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A782139" w14:textId="77777777" w:rsidR="00E57DAA" w:rsidRDefault="00AC4185">
            <w:pPr>
              <w:jc w:val="right"/>
              <w:rPr>
                <w:szCs w:val="21"/>
              </w:rPr>
            </w:pPr>
            <w:r>
              <w:t>143,385,279.65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D9F60A6" w14:textId="77777777" w:rsidR="00E57DAA" w:rsidRDefault="00AC4185">
            <w:pPr>
              <w:jc w:val="right"/>
              <w:rPr>
                <w:szCs w:val="21"/>
              </w:rPr>
            </w:pPr>
            <w:r>
              <w:t>129,192,538.94</w:t>
            </w:r>
          </w:p>
        </w:tc>
      </w:tr>
      <w:tr w:rsidR="00E57DAA" w14:paraId="18684D1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23891C" w14:textId="77777777" w:rsidR="00E57DAA" w:rsidRDefault="00AC4185">
            <w:pPr>
              <w:rPr>
                <w:szCs w:val="21"/>
              </w:rPr>
            </w:pPr>
            <w:r>
              <w:t>旬阳县永泰祥矿业有限公司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4FC0E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A82D91"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E8F0BD" w14:textId="77777777" w:rsidR="00E57DAA" w:rsidRDefault="00AC4185">
            <w:pPr>
              <w:jc w:val="right"/>
              <w:rPr>
                <w:szCs w:val="21"/>
              </w:rPr>
            </w:pPr>
            <w:r>
              <w:t>464,473.72</w:t>
            </w:r>
          </w:p>
        </w:tc>
      </w:tr>
      <w:tr w:rsidR="00E57DAA" w14:paraId="24E42AD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46146CF" w14:textId="77777777" w:rsidR="00E57DAA" w:rsidRDefault="00AC4185">
            <w:pPr>
              <w:rPr>
                <w:szCs w:val="21"/>
              </w:rPr>
            </w:pPr>
            <w:r>
              <w:t>烟台栖霞中联水泥有限公司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E677E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928067" w14:textId="77777777" w:rsidR="00E57DAA" w:rsidRDefault="00AC4185">
            <w:pPr>
              <w:jc w:val="right"/>
              <w:rPr>
                <w:szCs w:val="21"/>
              </w:rPr>
            </w:pPr>
            <w:r>
              <w:t>4,718,173.15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54E50F" w14:textId="77777777" w:rsidR="00E57DAA" w:rsidRDefault="00AC4185">
            <w:pPr>
              <w:jc w:val="right"/>
              <w:rPr>
                <w:szCs w:val="21"/>
              </w:rPr>
            </w:pPr>
            <w:r>
              <w:t>5,548,133.62</w:t>
            </w:r>
          </w:p>
        </w:tc>
      </w:tr>
      <w:tr w:rsidR="00E57DAA" w14:paraId="2BC94EC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04B80DF" w14:textId="77777777" w:rsidR="00E57DAA" w:rsidRDefault="00AC4185">
            <w:pPr>
              <w:rPr>
                <w:szCs w:val="21"/>
              </w:rPr>
            </w:pPr>
            <w:r>
              <w:t>叶城天山水泥有限责任公司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9BC8E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76E9E2" w14:textId="77777777" w:rsidR="00E57DAA" w:rsidRDefault="00AC4185">
            <w:pPr>
              <w:jc w:val="right"/>
              <w:rPr>
                <w:szCs w:val="21"/>
              </w:rPr>
            </w:pPr>
            <w:r>
              <w:t>15,618,025.74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6F76423" w14:textId="77777777" w:rsidR="00E57DAA" w:rsidRDefault="00AC4185">
            <w:pPr>
              <w:jc w:val="right"/>
              <w:rPr>
                <w:szCs w:val="21"/>
              </w:rPr>
            </w:pPr>
            <w:r>
              <w:t>23,129,982.95</w:t>
            </w:r>
          </w:p>
        </w:tc>
      </w:tr>
      <w:tr w:rsidR="00E57DAA" w14:paraId="627BFA9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E12899" w14:textId="77777777" w:rsidR="00E57DAA" w:rsidRDefault="00AC4185">
            <w:pPr>
              <w:rPr>
                <w:szCs w:val="21"/>
              </w:rPr>
            </w:pPr>
            <w:r>
              <w:t>伊春北方水泥有限公司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DF67C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9CE9E1" w14:textId="77777777" w:rsidR="00E57DAA" w:rsidRDefault="00AC4185">
            <w:pPr>
              <w:jc w:val="right"/>
              <w:rPr>
                <w:szCs w:val="21"/>
              </w:rPr>
            </w:pPr>
            <w:r>
              <w:t>1,550,579.79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BC51323" w14:textId="77777777" w:rsidR="00E57DAA" w:rsidRDefault="00AC4185">
            <w:pPr>
              <w:jc w:val="right"/>
              <w:rPr>
                <w:szCs w:val="21"/>
              </w:rPr>
            </w:pPr>
            <w:r>
              <w:t>10,561,228.34</w:t>
            </w:r>
          </w:p>
        </w:tc>
      </w:tr>
      <w:tr w:rsidR="00E57DAA" w14:paraId="2FFA93A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94A04CB" w14:textId="77777777" w:rsidR="00E57DAA" w:rsidRDefault="00AC4185">
            <w:pPr>
              <w:rPr>
                <w:szCs w:val="21"/>
              </w:rPr>
            </w:pPr>
            <w:r>
              <w:t>伊犁天山水泥有限责任公司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A6BC9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9D7BFE" w14:textId="77777777" w:rsidR="00E57DAA" w:rsidRDefault="00AC4185">
            <w:pPr>
              <w:jc w:val="right"/>
              <w:rPr>
                <w:szCs w:val="21"/>
              </w:rPr>
            </w:pPr>
            <w:r>
              <w:t>584,752.18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EAA8D46" w14:textId="77777777" w:rsidR="00E57DAA" w:rsidRDefault="00AC4185">
            <w:pPr>
              <w:jc w:val="right"/>
              <w:rPr>
                <w:szCs w:val="21"/>
              </w:rPr>
            </w:pPr>
            <w:r>
              <w:t>1,341,070.82</w:t>
            </w:r>
          </w:p>
        </w:tc>
      </w:tr>
      <w:tr w:rsidR="00E57DAA" w14:paraId="1825F3A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FED2EB" w14:textId="77777777" w:rsidR="00E57DAA" w:rsidRDefault="00AC4185">
            <w:pPr>
              <w:rPr>
                <w:szCs w:val="21"/>
              </w:rPr>
            </w:pPr>
            <w:r>
              <w:t>沂南中联水泥有限公司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EE612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110E13" w14:textId="77777777" w:rsidR="00E57DAA" w:rsidRDefault="00AC4185">
            <w:pPr>
              <w:jc w:val="right"/>
              <w:rPr>
                <w:szCs w:val="21"/>
              </w:rPr>
            </w:pPr>
            <w:r>
              <w:t>18,075,522.72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955B5A2" w14:textId="77777777" w:rsidR="00E57DAA" w:rsidRDefault="00AC4185">
            <w:pPr>
              <w:jc w:val="right"/>
              <w:rPr>
                <w:szCs w:val="21"/>
              </w:rPr>
            </w:pPr>
            <w:r>
              <w:t>3,046,684.05</w:t>
            </w:r>
          </w:p>
        </w:tc>
      </w:tr>
      <w:tr w:rsidR="00E57DAA" w14:paraId="44CDF39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01F5F0" w14:textId="77777777" w:rsidR="00E57DAA" w:rsidRDefault="00AC4185">
            <w:pPr>
              <w:rPr>
                <w:szCs w:val="21"/>
              </w:rPr>
            </w:pPr>
            <w:r>
              <w:t>宜兴市阳港矿业有限公司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44B39A"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FAB1CB9" w14:textId="77777777" w:rsidR="00E57DAA" w:rsidRDefault="00AC4185">
            <w:pPr>
              <w:jc w:val="right"/>
              <w:rPr>
                <w:szCs w:val="21"/>
              </w:rPr>
            </w:pPr>
            <w:r>
              <w:t>157,527,696.53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79C6D6" w14:textId="77777777" w:rsidR="00E57DAA" w:rsidRDefault="00AC4185">
            <w:pPr>
              <w:jc w:val="right"/>
              <w:rPr>
                <w:szCs w:val="21"/>
              </w:rPr>
            </w:pPr>
            <w:r>
              <w:t xml:space="preserve">　</w:t>
            </w:r>
          </w:p>
        </w:tc>
      </w:tr>
      <w:tr w:rsidR="00E57DAA" w14:paraId="23DC2F3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C066E13" w14:textId="77777777" w:rsidR="00E57DAA" w:rsidRDefault="00AC4185">
            <w:pPr>
              <w:rPr>
                <w:szCs w:val="21"/>
              </w:rPr>
            </w:pPr>
            <w:r>
              <w:t>宜兴天山水泥有限责任公司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B9ABA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6FB6DA7" w14:textId="77777777" w:rsidR="00E57DAA" w:rsidRDefault="00AC4185">
            <w:pPr>
              <w:jc w:val="right"/>
              <w:rPr>
                <w:szCs w:val="21"/>
              </w:rPr>
            </w:pPr>
            <w:r>
              <w:t>19,986,699.43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6AA71CB" w14:textId="77777777" w:rsidR="00E57DAA" w:rsidRDefault="00AC4185">
            <w:pPr>
              <w:jc w:val="right"/>
              <w:rPr>
                <w:szCs w:val="21"/>
              </w:rPr>
            </w:pPr>
            <w:r>
              <w:t>4,410,043.68</w:t>
            </w:r>
          </w:p>
        </w:tc>
      </w:tr>
      <w:tr w:rsidR="00E57DAA" w14:paraId="1863360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10C5335" w14:textId="77777777" w:rsidR="00E57DAA" w:rsidRDefault="00AC4185">
            <w:pPr>
              <w:rPr>
                <w:szCs w:val="21"/>
              </w:rPr>
            </w:pPr>
            <w:r>
              <w:t>永登祁连山水泥有限公司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E0E64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EE28D3" w14:textId="77777777" w:rsidR="00E57DAA" w:rsidRDefault="00AC4185">
            <w:pPr>
              <w:jc w:val="right"/>
              <w:rPr>
                <w:szCs w:val="21"/>
              </w:rPr>
            </w:pPr>
            <w:r>
              <w:t>116,625,807.74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1A0FEFF" w14:textId="77777777" w:rsidR="00E57DAA" w:rsidRDefault="00AC4185">
            <w:pPr>
              <w:jc w:val="right"/>
              <w:rPr>
                <w:szCs w:val="21"/>
              </w:rPr>
            </w:pPr>
            <w:r>
              <w:t>36,205,218.30</w:t>
            </w:r>
          </w:p>
        </w:tc>
      </w:tr>
      <w:tr w:rsidR="00E57DAA" w14:paraId="6B0B888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11CAFFE" w14:textId="77777777" w:rsidR="00E57DAA" w:rsidRDefault="00AC4185">
            <w:pPr>
              <w:rPr>
                <w:szCs w:val="21"/>
              </w:rPr>
            </w:pPr>
            <w:r>
              <w:lastRenderedPageBreak/>
              <w:t>榆树北方水泥有限公司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98758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7E0D055" w14:textId="77777777" w:rsidR="00E57DAA" w:rsidRDefault="00AC4185">
            <w:pPr>
              <w:jc w:val="right"/>
              <w:rPr>
                <w:szCs w:val="21"/>
              </w:rPr>
            </w:pPr>
            <w:r>
              <w:t>92,035.40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A535BD" w14:textId="77777777" w:rsidR="00E57DAA" w:rsidRDefault="00AC4185">
            <w:pPr>
              <w:jc w:val="right"/>
              <w:rPr>
                <w:szCs w:val="21"/>
              </w:rPr>
            </w:pPr>
            <w:r>
              <w:t xml:space="preserve">　</w:t>
            </w:r>
          </w:p>
        </w:tc>
      </w:tr>
      <w:tr w:rsidR="00E57DAA" w14:paraId="63DAFDE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4824A7C" w14:textId="77777777" w:rsidR="00E57DAA" w:rsidRDefault="00AC4185">
            <w:pPr>
              <w:rPr>
                <w:szCs w:val="21"/>
              </w:rPr>
            </w:pPr>
            <w:r>
              <w:t>禹州市成磊建材有限公司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7058F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12582B" w14:textId="77777777" w:rsidR="00E57DAA" w:rsidRDefault="00AC4185">
            <w:pPr>
              <w:jc w:val="right"/>
              <w:rPr>
                <w:szCs w:val="21"/>
              </w:rPr>
            </w:pPr>
            <w:r>
              <w:t>53,072,414.70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4CD524C" w14:textId="77777777" w:rsidR="00E57DAA" w:rsidRDefault="00AC4185">
            <w:pPr>
              <w:jc w:val="right"/>
              <w:rPr>
                <w:szCs w:val="21"/>
              </w:rPr>
            </w:pPr>
            <w:r>
              <w:t>40,353,991.68</w:t>
            </w:r>
          </w:p>
        </w:tc>
      </w:tr>
      <w:tr w:rsidR="00E57DAA" w14:paraId="01091D5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4C88DF" w14:textId="77777777" w:rsidR="00E57DAA" w:rsidRDefault="00AC4185">
            <w:pPr>
              <w:rPr>
                <w:szCs w:val="21"/>
              </w:rPr>
            </w:pPr>
            <w:r>
              <w:t>禹州市丰磊建材有限公司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2BC50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336F18" w14:textId="77777777" w:rsidR="00E57DAA" w:rsidRDefault="00AC4185">
            <w:pPr>
              <w:jc w:val="right"/>
              <w:rPr>
                <w:szCs w:val="21"/>
              </w:rPr>
            </w:pPr>
            <w:r>
              <w:t>12,262,816.36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C39D0B8" w14:textId="77777777" w:rsidR="00E57DAA" w:rsidRDefault="00AC4185">
            <w:pPr>
              <w:jc w:val="right"/>
              <w:rPr>
                <w:szCs w:val="21"/>
              </w:rPr>
            </w:pPr>
            <w:r>
              <w:t xml:space="preserve">　</w:t>
            </w:r>
          </w:p>
        </w:tc>
      </w:tr>
      <w:tr w:rsidR="00E57DAA" w14:paraId="57107AD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B7DEEF" w14:textId="77777777" w:rsidR="00E57DAA" w:rsidRDefault="00AC4185">
            <w:pPr>
              <w:rPr>
                <w:szCs w:val="21"/>
              </w:rPr>
            </w:pPr>
            <w:r>
              <w:t>云南澄江华荣水泥有限责任公司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F05D7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3EF0C7" w14:textId="77777777" w:rsidR="00E57DAA" w:rsidRDefault="00AC4185">
            <w:pPr>
              <w:jc w:val="right"/>
              <w:rPr>
                <w:szCs w:val="21"/>
              </w:rPr>
            </w:pPr>
            <w:r>
              <w:t>65,370.49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AA7EBDE" w14:textId="77777777" w:rsidR="00E57DAA" w:rsidRDefault="00AC4185">
            <w:pPr>
              <w:jc w:val="right"/>
              <w:rPr>
                <w:szCs w:val="21"/>
              </w:rPr>
            </w:pPr>
            <w:r>
              <w:t>841,790.94</w:t>
            </w:r>
          </w:p>
        </w:tc>
      </w:tr>
      <w:tr w:rsidR="00E57DAA" w14:paraId="35C2C80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E465A9C" w14:textId="77777777" w:rsidR="00E57DAA" w:rsidRDefault="00AC4185">
            <w:pPr>
              <w:rPr>
                <w:szCs w:val="21"/>
              </w:rPr>
            </w:pPr>
            <w:r>
              <w:t>云南富源西南水泥有限公司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0EE2D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215FF2" w14:textId="77777777" w:rsidR="00E57DAA" w:rsidRDefault="00AC4185">
            <w:pPr>
              <w:jc w:val="right"/>
              <w:rPr>
                <w:szCs w:val="21"/>
              </w:rPr>
            </w:pPr>
            <w:r>
              <w:t>44,153,292.66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56A9AD6" w14:textId="77777777" w:rsidR="00E57DAA" w:rsidRDefault="00AC4185">
            <w:pPr>
              <w:jc w:val="right"/>
              <w:rPr>
                <w:szCs w:val="21"/>
              </w:rPr>
            </w:pPr>
            <w:r>
              <w:t>458,402,873.00</w:t>
            </w:r>
          </w:p>
        </w:tc>
      </w:tr>
      <w:tr w:rsidR="00E57DAA" w14:paraId="3AB73EE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C7F940D" w14:textId="77777777" w:rsidR="00E57DAA" w:rsidRDefault="00AC4185">
            <w:pPr>
              <w:rPr>
                <w:szCs w:val="21"/>
              </w:rPr>
            </w:pPr>
            <w:r>
              <w:t>云南芒市西南水泥有限公司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5F675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80CBD1E" w14:textId="77777777" w:rsidR="00E57DAA" w:rsidRDefault="00AC4185">
            <w:pPr>
              <w:jc w:val="right"/>
              <w:rPr>
                <w:szCs w:val="21"/>
              </w:rPr>
            </w:pPr>
            <w:r>
              <w:t>162,673.03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BBFDE12" w14:textId="77777777" w:rsidR="00E57DAA" w:rsidRDefault="00AC4185">
            <w:pPr>
              <w:jc w:val="right"/>
              <w:rPr>
                <w:szCs w:val="21"/>
              </w:rPr>
            </w:pPr>
            <w:r>
              <w:t xml:space="preserve">　</w:t>
            </w:r>
          </w:p>
        </w:tc>
      </w:tr>
      <w:tr w:rsidR="00E57DAA" w14:paraId="68DA28E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F48F77" w14:textId="77777777" w:rsidR="00E57DAA" w:rsidRDefault="00AC4185">
            <w:pPr>
              <w:rPr>
                <w:szCs w:val="21"/>
              </w:rPr>
            </w:pPr>
            <w:r>
              <w:t>云南普洱天恒水泥有限责任公司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B308B8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652524" w14:textId="77777777" w:rsidR="00E57DAA" w:rsidRDefault="00AC4185">
            <w:pPr>
              <w:jc w:val="right"/>
              <w:rPr>
                <w:szCs w:val="21"/>
              </w:rPr>
            </w:pPr>
            <w:r>
              <w:t>17,795,663.21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34E95EB" w14:textId="77777777" w:rsidR="00E57DAA" w:rsidRDefault="00AC4185">
            <w:pPr>
              <w:jc w:val="right"/>
              <w:rPr>
                <w:szCs w:val="21"/>
              </w:rPr>
            </w:pPr>
            <w:r>
              <w:t>12,600,860.84</w:t>
            </w:r>
          </w:p>
        </w:tc>
      </w:tr>
      <w:tr w:rsidR="00E57DAA" w14:paraId="7167B09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460A354" w14:textId="77777777" w:rsidR="00E57DAA" w:rsidRDefault="00AC4185">
            <w:pPr>
              <w:rPr>
                <w:szCs w:val="21"/>
              </w:rPr>
            </w:pPr>
            <w:r>
              <w:t>云南普洱西南水泥有限公司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A668CD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358D83" w14:textId="77777777" w:rsidR="00E57DAA" w:rsidRDefault="00AC4185">
            <w:pPr>
              <w:jc w:val="right"/>
              <w:rPr>
                <w:szCs w:val="21"/>
              </w:rPr>
            </w:pPr>
            <w:r>
              <w:t>927,657.67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082B507" w14:textId="77777777" w:rsidR="00E57DAA" w:rsidRDefault="00AC4185">
            <w:pPr>
              <w:jc w:val="right"/>
              <w:rPr>
                <w:szCs w:val="21"/>
              </w:rPr>
            </w:pPr>
            <w:r>
              <w:t>2,403,300.89</w:t>
            </w:r>
          </w:p>
        </w:tc>
      </w:tr>
      <w:tr w:rsidR="00E57DAA" w14:paraId="6C48586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1EEBC5E" w14:textId="77777777" w:rsidR="00E57DAA" w:rsidRDefault="00AC4185">
            <w:pPr>
              <w:rPr>
                <w:szCs w:val="21"/>
              </w:rPr>
            </w:pPr>
            <w:r>
              <w:t>云南师宗西南水泥有限公司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BD337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6B7954" w14:textId="77777777" w:rsidR="00E57DAA" w:rsidRDefault="00AC4185">
            <w:pPr>
              <w:jc w:val="right"/>
              <w:rPr>
                <w:szCs w:val="21"/>
              </w:rPr>
            </w:pPr>
            <w:r>
              <w:t>8,665,643.11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51A47FB" w14:textId="77777777" w:rsidR="00E57DAA" w:rsidRDefault="00AC4185">
            <w:pPr>
              <w:jc w:val="right"/>
              <w:rPr>
                <w:szCs w:val="21"/>
              </w:rPr>
            </w:pPr>
            <w:r>
              <w:t>273,922.13</w:t>
            </w:r>
          </w:p>
        </w:tc>
      </w:tr>
      <w:tr w:rsidR="00E57DAA" w14:paraId="258DF1D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E752B2F" w14:textId="77777777" w:rsidR="00E57DAA" w:rsidRDefault="00AC4185">
            <w:pPr>
              <w:rPr>
                <w:szCs w:val="21"/>
              </w:rPr>
            </w:pPr>
            <w:r>
              <w:t>云南兴建水泥有限公司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067EF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441C236" w14:textId="77777777" w:rsidR="00E57DAA" w:rsidRDefault="00AC4185">
            <w:pPr>
              <w:jc w:val="right"/>
              <w:rPr>
                <w:szCs w:val="21"/>
              </w:rPr>
            </w:pPr>
            <w:r>
              <w:t>6,676,555.14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C494D2" w14:textId="77777777" w:rsidR="00E57DAA" w:rsidRDefault="00AC4185">
            <w:pPr>
              <w:jc w:val="right"/>
              <w:rPr>
                <w:szCs w:val="21"/>
              </w:rPr>
            </w:pPr>
            <w:r>
              <w:t>2,960,131.20</w:t>
            </w:r>
          </w:p>
        </w:tc>
      </w:tr>
      <w:tr w:rsidR="00E57DAA" w14:paraId="043E2ED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1848041" w14:textId="77777777" w:rsidR="00E57DAA" w:rsidRDefault="00AC4185">
            <w:pPr>
              <w:rPr>
                <w:szCs w:val="21"/>
              </w:rPr>
            </w:pPr>
            <w:r>
              <w:t>云南宜良西南水泥有限公司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33916B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28D01C" w14:textId="77777777" w:rsidR="00E57DAA" w:rsidRDefault="00AC4185">
            <w:pPr>
              <w:jc w:val="right"/>
              <w:rPr>
                <w:szCs w:val="21"/>
              </w:rPr>
            </w:pPr>
            <w:r>
              <w:t>8,941,299.62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8C4780B" w14:textId="77777777" w:rsidR="00E57DAA" w:rsidRDefault="00AC4185">
            <w:pPr>
              <w:jc w:val="right"/>
              <w:rPr>
                <w:szCs w:val="21"/>
              </w:rPr>
            </w:pPr>
            <w:r>
              <w:t>40,632,948.07</w:t>
            </w:r>
          </w:p>
        </w:tc>
      </w:tr>
      <w:tr w:rsidR="00E57DAA" w14:paraId="406F6A6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097B6B6" w14:textId="77777777" w:rsidR="00E57DAA" w:rsidRDefault="00AC4185">
            <w:pPr>
              <w:rPr>
                <w:szCs w:val="21"/>
              </w:rPr>
            </w:pPr>
            <w:r>
              <w:t>云南永保特种水泥有限责任公司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493E5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E91108" w14:textId="77777777" w:rsidR="00E57DAA" w:rsidRDefault="00AC4185">
            <w:pPr>
              <w:jc w:val="right"/>
              <w:rPr>
                <w:szCs w:val="21"/>
              </w:rPr>
            </w:pPr>
            <w:r>
              <w:t>3,609,638.28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3F24B0" w14:textId="77777777" w:rsidR="00E57DAA" w:rsidRDefault="00AC4185">
            <w:pPr>
              <w:jc w:val="right"/>
              <w:rPr>
                <w:szCs w:val="21"/>
              </w:rPr>
            </w:pPr>
            <w:r>
              <w:t>15,218,717.54</w:t>
            </w:r>
          </w:p>
        </w:tc>
      </w:tr>
      <w:tr w:rsidR="00E57DAA" w14:paraId="34FFC7D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D51ABA4" w14:textId="77777777" w:rsidR="00E57DAA" w:rsidRDefault="00AC4185">
            <w:pPr>
              <w:rPr>
                <w:szCs w:val="21"/>
              </w:rPr>
            </w:pPr>
            <w:r>
              <w:t>云南远东水泥有限责任公司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326B3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484FD5" w14:textId="77777777" w:rsidR="00E57DAA" w:rsidRDefault="00AC4185">
            <w:pPr>
              <w:jc w:val="right"/>
              <w:rPr>
                <w:szCs w:val="21"/>
              </w:rPr>
            </w:pPr>
            <w:r>
              <w:t>8,566,862.22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F2B8E53" w14:textId="77777777" w:rsidR="00E57DAA" w:rsidRDefault="00AC4185">
            <w:pPr>
              <w:jc w:val="right"/>
              <w:rPr>
                <w:szCs w:val="21"/>
              </w:rPr>
            </w:pPr>
            <w:r>
              <w:t>38,906,500.82</w:t>
            </w:r>
          </w:p>
        </w:tc>
      </w:tr>
      <w:tr w:rsidR="00E57DAA" w14:paraId="02C0B34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3A34E96" w14:textId="77777777" w:rsidR="00E57DAA" w:rsidRDefault="00AC4185">
            <w:pPr>
              <w:rPr>
                <w:szCs w:val="21"/>
              </w:rPr>
            </w:pPr>
            <w:r>
              <w:t>贵州西南水泥有限公司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0AC08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6882A46"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0CA7A3F" w14:textId="77777777" w:rsidR="00E57DAA" w:rsidRDefault="00AC4185">
            <w:pPr>
              <w:jc w:val="right"/>
              <w:rPr>
                <w:szCs w:val="21"/>
              </w:rPr>
            </w:pPr>
            <w:r>
              <w:t>87,735.85</w:t>
            </w:r>
          </w:p>
        </w:tc>
      </w:tr>
      <w:tr w:rsidR="00E57DAA" w14:paraId="7BDF4C7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5AA9651" w14:textId="77777777" w:rsidR="00E57DAA" w:rsidRDefault="00AC4185">
            <w:pPr>
              <w:rPr>
                <w:szCs w:val="21"/>
              </w:rPr>
            </w:pPr>
            <w:r>
              <w:t>枣庄中联混凝土有限公司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556E0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69FF45" w14:textId="77777777" w:rsidR="00E57DAA" w:rsidRDefault="00AC4185">
            <w:pPr>
              <w:jc w:val="right"/>
              <w:rPr>
                <w:szCs w:val="21"/>
              </w:rPr>
            </w:pPr>
            <w:r>
              <w:t>2,853.98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72CAEB" w14:textId="77777777" w:rsidR="00E57DAA" w:rsidRDefault="00AC4185">
            <w:pPr>
              <w:jc w:val="right"/>
              <w:rPr>
                <w:szCs w:val="21"/>
              </w:rPr>
            </w:pPr>
            <w:r>
              <w:t xml:space="preserve">　</w:t>
            </w:r>
          </w:p>
        </w:tc>
      </w:tr>
      <w:tr w:rsidR="00E57DAA" w14:paraId="7550779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859327" w14:textId="77777777" w:rsidR="00E57DAA" w:rsidRDefault="00AC4185">
            <w:pPr>
              <w:rPr>
                <w:szCs w:val="21"/>
              </w:rPr>
            </w:pPr>
            <w:r>
              <w:t>枣庄中联水泥有限公司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6B06D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F392B2" w14:textId="77777777" w:rsidR="00E57DAA" w:rsidRDefault="00AC4185">
            <w:pPr>
              <w:jc w:val="right"/>
              <w:rPr>
                <w:szCs w:val="21"/>
              </w:rPr>
            </w:pPr>
            <w:r>
              <w:t>37,618,475.60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64F8FE7" w14:textId="77777777" w:rsidR="00E57DAA" w:rsidRDefault="00AC4185">
            <w:pPr>
              <w:jc w:val="right"/>
              <w:rPr>
                <w:szCs w:val="21"/>
              </w:rPr>
            </w:pPr>
            <w:r>
              <w:t>265,562.92</w:t>
            </w:r>
          </w:p>
        </w:tc>
      </w:tr>
      <w:tr w:rsidR="00E57DAA" w14:paraId="38AC43D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B07F009" w14:textId="77777777" w:rsidR="00E57DAA" w:rsidRDefault="00AC4185">
            <w:pPr>
              <w:rPr>
                <w:szCs w:val="21"/>
              </w:rPr>
            </w:pPr>
            <w:r>
              <w:t>扎兰屯市龙北水泥有限公司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90549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0953EF" w14:textId="77777777" w:rsidR="00E57DAA" w:rsidRDefault="00AC4185">
            <w:pPr>
              <w:jc w:val="right"/>
              <w:rPr>
                <w:szCs w:val="21"/>
              </w:rPr>
            </w:pPr>
            <w:r>
              <w:t>123,008.84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6E5CB13" w14:textId="77777777" w:rsidR="00E57DAA" w:rsidRDefault="00AC4185">
            <w:pPr>
              <w:jc w:val="right"/>
              <w:rPr>
                <w:szCs w:val="21"/>
              </w:rPr>
            </w:pPr>
            <w:r>
              <w:t xml:space="preserve">　</w:t>
            </w:r>
          </w:p>
        </w:tc>
      </w:tr>
      <w:tr w:rsidR="00E57DAA" w14:paraId="28CE946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B246F9" w14:textId="77777777" w:rsidR="00E57DAA" w:rsidRDefault="00AC4185">
            <w:pPr>
              <w:rPr>
                <w:szCs w:val="21"/>
              </w:rPr>
            </w:pPr>
            <w:r>
              <w:t>张掖祁连山水泥有限公司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599214"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45D80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7CE79F" w14:textId="77777777" w:rsidR="00E57DAA" w:rsidRDefault="00AC4185">
            <w:pPr>
              <w:jc w:val="right"/>
              <w:rPr>
                <w:szCs w:val="21"/>
              </w:rPr>
            </w:pPr>
            <w:r>
              <w:t>5,867.26</w:t>
            </w:r>
          </w:p>
        </w:tc>
      </w:tr>
      <w:tr w:rsidR="00E57DAA" w14:paraId="58FDB0D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82024DD" w14:textId="77777777" w:rsidR="00E57DAA" w:rsidRDefault="00AC4185">
            <w:pPr>
              <w:rPr>
                <w:szCs w:val="21"/>
              </w:rPr>
            </w:pPr>
            <w:r>
              <w:t>漳县祁连山水泥有限公司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32E5E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FAAFB41" w14:textId="77777777" w:rsidR="00E57DAA" w:rsidRDefault="00AC4185">
            <w:pPr>
              <w:jc w:val="right"/>
              <w:rPr>
                <w:szCs w:val="21"/>
              </w:rPr>
            </w:pPr>
            <w:r>
              <w:t>71,357,317.59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D75BDC2" w14:textId="77777777" w:rsidR="00E57DAA" w:rsidRDefault="00AC4185">
            <w:pPr>
              <w:jc w:val="right"/>
              <w:rPr>
                <w:szCs w:val="21"/>
              </w:rPr>
            </w:pPr>
            <w:r>
              <w:t>40,043,928.95</w:t>
            </w:r>
          </w:p>
        </w:tc>
      </w:tr>
      <w:tr w:rsidR="00E57DAA" w14:paraId="5FB3264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7506CA" w14:textId="77777777" w:rsidR="00E57DAA" w:rsidRDefault="00AC4185">
            <w:pPr>
              <w:rPr>
                <w:szCs w:val="21"/>
              </w:rPr>
            </w:pPr>
            <w:r>
              <w:t>长兴南方水泥有限公司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922415"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7F3C61" w14:textId="77777777" w:rsidR="00E57DAA" w:rsidRDefault="00AC4185">
            <w:pPr>
              <w:jc w:val="right"/>
              <w:rPr>
                <w:szCs w:val="21"/>
              </w:rPr>
            </w:pPr>
            <w:r>
              <w:t>15,434,945.16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03C2DBB" w14:textId="77777777" w:rsidR="00E57DAA" w:rsidRDefault="00AC4185">
            <w:pPr>
              <w:jc w:val="right"/>
              <w:rPr>
                <w:szCs w:val="21"/>
              </w:rPr>
            </w:pPr>
            <w:r>
              <w:t>30,315,050.36</w:t>
            </w:r>
          </w:p>
        </w:tc>
      </w:tr>
      <w:tr w:rsidR="00E57DAA" w14:paraId="726F323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CFD58B" w14:textId="77777777" w:rsidR="00E57DAA" w:rsidRDefault="00AC4185">
            <w:pPr>
              <w:rPr>
                <w:szCs w:val="21"/>
              </w:rPr>
            </w:pPr>
            <w:r>
              <w:t>昭觉金鑫水泥有限责任公司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40235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D98A589" w14:textId="77777777" w:rsidR="00E57DAA" w:rsidRDefault="00AC4185">
            <w:pPr>
              <w:jc w:val="right"/>
              <w:rPr>
                <w:szCs w:val="21"/>
              </w:rPr>
            </w:pPr>
            <w:r>
              <w:t>67,566.38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41345F3" w14:textId="77777777" w:rsidR="00E57DAA" w:rsidRDefault="00AC4185">
            <w:pPr>
              <w:jc w:val="right"/>
              <w:rPr>
                <w:szCs w:val="21"/>
              </w:rPr>
            </w:pPr>
            <w:r>
              <w:t>267,964.60</w:t>
            </w:r>
          </w:p>
        </w:tc>
      </w:tr>
      <w:tr w:rsidR="00E57DAA" w14:paraId="3F2DFF6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EE5ADD6" w14:textId="77777777" w:rsidR="00E57DAA" w:rsidRDefault="00AC4185">
            <w:pPr>
              <w:rPr>
                <w:szCs w:val="21"/>
              </w:rPr>
            </w:pPr>
            <w:r>
              <w:t>浙江虎鹰水泥有限公司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4AC66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BA956B3" w14:textId="77777777" w:rsidR="00E57DAA" w:rsidRDefault="00AC4185">
            <w:pPr>
              <w:jc w:val="right"/>
              <w:rPr>
                <w:szCs w:val="21"/>
              </w:rPr>
            </w:pPr>
            <w:r>
              <w:t>3,680,090.89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6FD43D" w14:textId="77777777" w:rsidR="00E57DAA" w:rsidRDefault="00AC4185">
            <w:pPr>
              <w:jc w:val="right"/>
              <w:rPr>
                <w:szCs w:val="21"/>
              </w:rPr>
            </w:pPr>
            <w:r>
              <w:t>6,478,164.36</w:t>
            </w:r>
          </w:p>
        </w:tc>
      </w:tr>
      <w:tr w:rsidR="00E57DAA" w14:paraId="1A70A94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2AAF032" w14:textId="77777777" w:rsidR="00E57DAA" w:rsidRDefault="00AC4185">
            <w:pPr>
              <w:rPr>
                <w:szCs w:val="21"/>
              </w:rPr>
            </w:pPr>
            <w:r>
              <w:t>浙江金华南方尖峰水泥有限公司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CDA4B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344E81" w14:textId="77777777" w:rsidR="00E57DAA" w:rsidRDefault="00AC4185">
            <w:pPr>
              <w:jc w:val="right"/>
              <w:rPr>
                <w:szCs w:val="21"/>
              </w:rPr>
            </w:pPr>
            <w:r>
              <w:t>295,170.82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FB47EC9" w14:textId="77777777" w:rsidR="00E57DAA" w:rsidRDefault="00AC4185">
            <w:pPr>
              <w:jc w:val="right"/>
              <w:rPr>
                <w:szCs w:val="21"/>
              </w:rPr>
            </w:pPr>
            <w:r>
              <w:t xml:space="preserve">　</w:t>
            </w:r>
          </w:p>
        </w:tc>
      </w:tr>
      <w:tr w:rsidR="00E57DAA" w14:paraId="34AC3B6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1AF4D6" w14:textId="77777777" w:rsidR="00E57DAA" w:rsidRDefault="00AC4185">
            <w:pPr>
              <w:rPr>
                <w:szCs w:val="21"/>
              </w:rPr>
            </w:pPr>
            <w:r>
              <w:t>浙江钱塘港口物流有限公司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2FB31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F69B93" w14:textId="77777777" w:rsidR="00E57DAA" w:rsidRDefault="00AC4185">
            <w:pPr>
              <w:jc w:val="right"/>
              <w:rPr>
                <w:szCs w:val="21"/>
              </w:rPr>
            </w:pPr>
            <w:r>
              <w:t>738,407.08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7BB39FC" w14:textId="77777777" w:rsidR="00E57DAA" w:rsidRDefault="00AC4185">
            <w:pPr>
              <w:jc w:val="right"/>
              <w:rPr>
                <w:szCs w:val="21"/>
              </w:rPr>
            </w:pPr>
            <w:r>
              <w:t>110,610.62</w:t>
            </w:r>
          </w:p>
        </w:tc>
      </w:tr>
      <w:tr w:rsidR="00E57DAA" w14:paraId="7D0CB26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E6EF957" w14:textId="77777777" w:rsidR="00E57DAA" w:rsidRDefault="00AC4185">
            <w:pPr>
              <w:rPr>
                <w:szCs w:val="21"/>
              </w:rPr>
            </w:pPr>
            <w:r>
              <w:t>正安西南水泥有限公司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60572C"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FD014A" w14:textId="77777777" w:rsidR="00E57DAA" w:rsidRDefault="00AC4185">
            <w:pPr>
              <w:jc w:val="right"/>
              <w:rPr>
                <w:szCs w:val="21"/>
              </w:rPr>
            </w:pPr>
            <w:r>
              <w:t>23,636,433.39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927203D" w14:textId="77777777" w:rsidR="00E57DAA" w:rsidRDefault="00AC4185">
            <w:pPr>
              <w:jc w:val="right"/>
              <w:rPr>
                <w:szCs w:val="21"/>
              </w:rPr>
            </w:pPr>
            <w:r>
              <w:t>59,041,842.40</w:t>
            </w:r>
          </w:p>
        </w:tc>
      </w:tr>
      <w:tr w:rsidR="00E57DAA" w14:paraId="2B985BD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B24147E" w14:textId="77777777" w:rsidR="00E57DAA" w:rsidRDefault="00AC4185">
            <w:pPr>
              <w:rPr>
                <w:szCs w:val="21"/>
              </w:rPr>
            </w:pPr>
            <w:r>
              <w:t>中材安徽水泥有限公司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331D4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F74891" w14:textId="77777777" w:rsidR="00E57DAA" w:rsidRDefault="00AC4185">
            <w:pPr>
              <w:jc w:val="right"/>
              <w:rPr>
                <w:szCs w:val="21"/>
              </w:rPr>
            </w:pPr>
            <w:r>
              <w:t>44,269,340.25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A7D4B7" w14:textId="77777777" w:rsidR="00E57DAA" w:rsidRDefault="00AC4185">
            <w:pPr>
              <w:jc w:val="right"/>
              <w:rPr>
                <w:szCs w:val="21"/>
              </w:rPr>
            </w:pPr>
            <w:r>
              <w:t>94,549,416.84</w:t>
            </w:r>
          </w:p>
        </w:tc>
      </w:tr>
      <w:tr w:rsidR="00E57DAA" w14:paraId="19C2FA6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F089F47" w14:textId="77777777" w:rsidR="00E57DAA" w:rsidRDefault="00AC4185">
            <w:pPr>
              <w:rPr>
                <w:szCs w:val="21"/>
              </w:rPr>
            </w:pPr>
            <w:r>
              <w:t>中材常德水泥有限责任公司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D31B8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D4788A" w14:textId="77777777" w:rsidR="00E57DAA" w:rsidRDefault="00AC4185">
            <w:pPr>
              <w:jc w:val="right"/>
              <w:rPr>
                <w:szCs w:val="21"/>
              </w:rPr>
            </w:pPr>
            <w:r>
              <w:t>2,743,130.95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3212631" w14:textId="77777777" w:rsidR="00E57DAA" w:rsidRDefault="00AC4185">
            <w:pPr>
              <w:jc w:val="right"/>
              <w:rPr>
                <w:szCs w:val="21"/>
              </w:rPr>
            </w:pPr>
            <w:r>
              <w:t>29,072,839.85</w:t>
            </w:r>
          </w:p>
        </w:tc>
      </w:tr>
      <w:tr w:rsidR="00E57DAA" w14:paraId="0420C46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80CD14D" w14:textId="77777777" w:rsidR="00E57DAA" w:rsidRDefault="00AC4185">
            <w:pPr>
              <w:rPr>
                <w:szCs w:val="21"/>
              </w:rPr>
            </w:pPr>
            <w:r>
              <w:t>中材甘肃水泥有限责任公司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C6644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026B9C" w14:textId="77777777" w:rsidR="00E57DAA" w:rsidRDefault="00AC4185">
            <w:pPr>
              <w:jc w:val="right"/>
              <w:rPr>
                <w:szCs w:val="21"/>
              </w:rPr>
            </w:pPr>
            <w:r>
              <w:t>3,060,991.16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E71BC2" w14:textId="77777777" w:rsidR="00E57DAA" w:rsidRDefault="00AC4185">
            <w:pPr>
              <w:jc w:val="right"/>
              <w:rPr>
                <w:szCs w:val="21"/>
              </w:rPr>
            </w:pPr>
            <w:r>
              <w:t>1,018,935.62</w:t>
            </w:r>
          </w:p>
        </w:tc>
      </w:tr>
      <w:tr w:rsidR="00E57DAA" w14:paraId="30294E7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81AB472" w14:textId="77777777" w:rsidR="00E57DAA" w:rsidRDefault="00AC4185">
            <w:pPr>
              <w:rPr>
                <w:szCs w:val="21"/>
              </w:rPr>
            </w:pPr>
            <w:r>
              <w:t>中材汉江水泥股份有限公司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389793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FD14DE" w14:textId="77777777" w:rsidR="00E57DAA" w:rsidRDefault="00AC4185">
            <w:pPr>
              <w:jc w:val="right"/>
              <w:rPr>
                <w:szCs w:val="21"/>
              </w:rPr>
            </w:pPr>
            <w:r>
              <w:t>7,640,842.49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7165E37" w14:textId="77777777" w:rsidR="00E57DAA" w:rsidRDefault="00AC4185">
            <w:pPr>
              <w:jc w:val="right"/>
              <w:rPr>
                <w:szCs w:val="21"/>
              </w:rPr>
            </w:pPr>
            <w:r>
              <w:t>351,327.43</w:t>
            </w:r>
          </w:p>
        </w:tc>
      </w:tr>
      <w:tr w:rsidR="00E57DAA" w14:paraId="62FE24E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B39653" w14:textId="77777777" w:rsidR="00E57DAA" w:rsidRDefault="00AC4185">
            <w:pPr>
              <w:rPr>
                <w:szCs w:val="21"/>
              </w:rPr>
            </w:pPr>
            <w:r>
              <w:t>中材亨达水泥有限公司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39AD45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D1779C" w14:textId="77777777" w:rsidR="00E57DAA" w:rsidRDefault="00AC4185">
            <w:pPr>
              <w:jc w:val="right"/>
              <w:rPr>
                <w:szCs w:val="21"/>
              </w:rPr>
            </w:pPr>
            <w:r>
              <w:t>31,350,505.11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FE65957" w14:textId="77777777" w:rsidR="00E57DAA" w:rsidRDefault="00AC4185">
            <w:pPr>
              <w:jc w:val="right"/>
              <w:rPr>
                <w:szCs w:val="21"/>
              </w:rPr>
            </w:pPr>
            <w:r>
              <w:t>1,161,520.06</w:t>
            </w:r>
          </w:p>
        </w:tc>
      </w:tr>
      <w:tr w:rsidR="00E57DAA" w14:paraId="3363B7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ADA00D7" w14:textId="77777777" w:rsidR="00E57DAA" w:rsidRDefault="00AC4185">
            <w:pPr>
              <w:rPr>
                <w:szCs w:val="21"/>
              </w:rPr>
            </w:pPr>
            <w:r>
              <w:t>中材科技（成都）有限公司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85F12E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65A0E7" w14:textId="77777777" w:rsidR="00E57DAA" w:rsidRDefault="00AC4185">
            <w:pPr>
              <w:jc w:val="right"/>
              <w:rPr>
                <w:szCs w:val="21"/>
              </w:rPr>
            </w:pPr>
            <w:r>
              <w:t>118,185.38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FDAAE75" w14:textId="77777777" w:rsidR="00E57DAA" w:rsidRDefault="00AC4185">
            <w:pPr>
              <w:jc w:val="right"/>
              <w:rPr>
                <w:szCs w:val="21"/>
              </w:rPr>
            </w:pPr>
            <w:r>
              <w:t xml:space="preserve">　</w:t>
            </w:r>
          </w:p>
        </w:tc>
      </w:tr>
      <w:tr w:rsidR="00E57DAA" w14:paraId="5773C05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3954325" w14:textId="77777777" w:rsidR="00E57DAA" w:rsidRDefault="00AC4185">
            <w:pPr>
              <w:rPr>
                <w:szCs w:val="21"/>
              </w:rPr>
            </w:pPr>
            <w:r>
              <w:t>中材罗定水泥有限公司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3D8FB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BE94C7" w14:textId="77777777" w:rsidR="00E57DAA" w:rsidRDefault="00AC4185">
            <w:pPr>
              <w:jc w:val="right"/>
              <w:rPr>
                <w:szCs w:val="21"/>
              </w:rPr>
            </w:pPr>
            <w:r>
              <w:t>707,071.26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5E6C77" w14:textId="77777777" w:rsidR="00E57DAA" w:rsidRDefault="00AC4185">
            <w:pPr>
              <w:jc w:val="right"/>
              <w:rPr>
                <w:szCs w:val="21"/>
              </w:rPr>
            </w:pPr>
            <w:r>
              <w:t>72,331.85</w:t>
            </w:r>
          </w:p>
        </w:tc>
      </w:tr>
      <w:tr w:rsidR="00E57DAA" w14:paraId="18D8D40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EA76CEE" w14:textId="77777777" w:rsidR="00E57DAA" w:rsidRDefault="00AC4185">
            <w:pPr>
              <w:rPr>
                <w:szCs w:val="21"/>
              </w:rPr>
            </w:pPr>
            <w:r>
              <w:lastRenderedPageBreak/>
              <w:t>中材萍乡水泥有限公司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0AA25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024F60" w14:textId="77777777" w:rsidR="00E57DAA" w:rsidRDefault="00AC4185">
            <w:pPr>
              <w:jc w:val="right"/>
              <w:rPr>
                <w:szCs w:val="21"/>
              </w:rPr>
            </w:pPr>
            <w:r>
              <w:t>19,827.43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2ABEE12" w14:textId="77777777" w:rsidR="00E57DAA" w:rsidRDefault="00AC4185">
            <w:pPr>
              <w:jc w:val="right"/>
              <w:rPr>
                <w:szCs w:val="21"/>
              </w:rPr>
            </w:pPr>
            <w:r>
              <w:t>872,316.57</w:t>
            </w:r>
          </w:p>
        </w:tc>
      </w:tr>
      <w:tr w:rsidR="00E57DAA" w14:paraId="6030CB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149C4F7" w14:textId="77777777" w:rsidR="00E57DAA" w:rsidRDefault="00AC4185">
            <w:pPr>
              <w:rPr>
                <w:szCs w:val="21"/>
              </w:rPr>
            </w:pPr>
            <w:r>
              <w:t>中材天山（云浮）水泥有限公司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1614B8"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259A4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9C81EB" w14:textId="77777777" w:rsidR="00E57DAA" w:rsidRDefault="00AC4185">
            <w:pPr>
              <w:jc w:val="right"/>
              <w:rPr>
                <w:szCs w:val="21"/>
              </w:rPr>
            </w:pPr>
            <w:r>
              <w:t>28,283.89</w:t>
            </w:r>
          </w:p>
        </w:tc>
      </w:tr>
      <w:tr w:rsidR="00E57DAA" w14:paraId="39BEB4E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B0DBA64" w14:textId="77777777" w:rsidR="00E57DAA" w:rsidRDefault="00AC4185">
            <w:pPr>
              <w:rPr>
                <w:szCs w:val="21"/>
              </w:rPr>
            </w:pPr>
            <w:r>
              <w:t>中材天山（珠海）水泥有限公司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B46B3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82E5FD" w14:textId="77777777" w:rsidR="00E57DAA" w:rsidRDefault="00AC4185">
            <w:pPr>
              <w:jc w:val="right"/>
              <w:rPr>
                <w:szCs w:val="21"/>
              </w:rPr>
            </w:pPr>
            <w:r>
              <w:t>70,649.56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4BE0B26" w14:textId="77777777" w:rsidR="00E57DAA" w:rsidRDefault="00AC4185">
            <w:pPr>
              <w:jc w:val="right"/>
              <w:rPr>
                <w:szCs w:val="21"/>
              </w:rPr>
            </w:pPr>
            <w:r>
              <w:t xml:space="preserve">　</w:t>
            </w:r>
          </w:p>
        </w:tc>
      </w:tr>
      <w:tr w:rsidR="00E57DAA" w14:paraId="69A89A3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2EE4BF" w14:textId="77777777" w:rsidR="00E57DAA" w:rsidRDefault="00AC4185">
            <w:pPr>
              <w:rPr>
                <w:szCs w:val="21"/>
              </w:rPr>
            </w:pPr>
            <w:r>
              <w:t>中材湘潭水泥有限责任公司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60A63A0"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9CF514"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B72AECC" w14:textId="77777777" w:rsidR="00E57DAA" w:rsidRDefault="00AC4185">
            <w:pPr>
              <w:jc w:val="right"/>
              <w:rPr>
                <w:szCs w:val="21"/>
              </w:rPr>
            </w:pPr>
            <w:r>
              <w:t>289,638.05</w:t>
            </w:r>
          </w:p>
        </w:tc>
      </w:tr>
      <w:tr w:rsidR="00E57DAA" w14:paraId="2A704B7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31A646" w14:textId="77777777" w:rsidR="00E57DAA" w:rsidRDefault="00AC4185">
            <w:pPr>
              <w:rPr>
                <w:szCs w:val="21"/>
              </w:rPr>
            </w:pPr>
            <w:r>
              <w:t>中材株洲水泥有限责任公司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C480E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92F876" w14:textId="77777777" w:rsidR="00E57DAA" w:rsidRDefault="00AC4185">
            <w:pPr>
              <w:jc w:val="right"/>
              <w:rPr>
                <w:szCs w:val="21"/>
              </w:rPr>
            </w:pPr>
            <w:r>
              <w:t>1,951,463.58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52A428" w14:textId="77777777" w:rsidR="00E57DAA" w:rsidRDefault="00AC4185">
            <w:pPr>
              <w:jc w:val="right"/>
              <w:rPr>
                <w:szCs w:val="21"/>
              </w:rPr>
            </w:pPr>
            <w:r>
              <w:t>8,722,413.87</w:t>
            </w:r>
          </w:p>
        </w:tc>
      </w:tr>
      <w:tr w:rsidR="00E57DAA" w14:paraId="573B510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10C62F5" w14:textId="77777777" w:rsidR="00E57DAA" w:rsidRDefault="00AC4185">
            <w:pPr>
              <w:rPr>
                <w:szCs w:val="21"/>
              </w:rPr>
            </w:pPr>
            <w:r>
              <w:t>中建材海外经济合作有限公司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3D3076"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D790872" w14:textId="77777777" w:rsidR="00E57DAA" w:rsidRDefault="00AC4185">
            <w:pPr>
              <w:jc w:val="right"/>
              <w:rPr>
                <w:szCs w:val="21"/>
              </w:rPr>
            </w:pPr>
            <w:r>
              <w:t>84,246.52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745AE44" w14:textId="77777777" w:rsidR="00E57DAA" w:rsidRDefault="00AC4185">
            <w:pPr>
              <w:jc w:val="right"/>
              <w:rPr>
                <w:szCs w:val="21"/>
              </w:rPr>
            </w:pPr>
            <w:r>
              <w:t>322,964.60</w:t>
            </w:r>
          </w:p>
        </w:tc>
      </w:tr>
      <w:tr w:rsidR="00E57DAA" w14:paraId="03F8491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9A049B8" w14:textId="77777777" w:rsidR="00E57DAA" w:rsidRDefault="00AC4185">
            <w:pPr>
              <w:rPr>
                <w:szCs w:val="21"/>
              </w:rPr>
            </w:pPr>
            <w:r>
              <w:t>中建材投资有限公司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538D8F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E802E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FC5025C" w14:textId="77777777" w:rsidR="00E57DAA" w:rsidRDefault="00AC4185">
            <w:pPr>
              <w:jc w:val="right"/>
              <w:rPr>
                <w:szCs w:val="21"/>
              </w:rPr>
            </w:pPr>
            <w:r>
              <w:t>3,844,692.92</w:t>
            </w:r>
          </w:p>
        </w:tc>
      </w:tr>
      <w:tr w:rsidR="00E57DAA" w14:paraId="41DD325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1967CC" w14:textId="77777777" w:rsidR="00E57DAA" w:rsidRDefault="00AC4185">
            <w:pPr>
              <w:rPr>
                <w:szCs w:val="21"/>
              </w:rPr>
            </w:pPr>
            <w:r>
              <w:t>中建材新材料有限公司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AFF8E4"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EC1F5C" w14:textId="77777777" w:rsidR="00E57DAA" w:rsidRDefault="00AC4185">
            <w:pPr>
              <w:jc w:val="right"/>
              <w:rPr>
                <w:szCs w:val="21"/>
              </w:rPr>
            </w:pPr>
            <w:r>
              <w:t>374,514,889.46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7C1923" w14:textId="77777777" w:rsidR="00E57DAA" w:rsidRDefault="00AC4185">
            <w:pPr>
              <w:jc w:val="right"/>
              <w:rPr>
                <w:szCs w:val="21"/>
              </w:rPr>
            </w:pPr>
            <w:r>
              <w:t>389,117,950.91</w:t>
            </w:r>
          </w:p>
        </w:tc>
      </w:tr>
      <w:tr w:rsidR="00E57DAA" w14:paraId="62A8238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DE169FB" w14:textId="77777777" w:rsidR="00E57DAA" w:rsidRDefault="00AC4185">
            <w:pPr>
              <w:rPr>
                <w:szCs w:val="21"/>
              </w:rPr>
            </w:pPr>
            <w:r>
              <w:t>重庆綦江西南水泥有限公司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ABA05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341C59" w14:textId="77777777" w:rsidR="00E57DAA" w:rsidRDefault="00AC4185">
            <w:pPr>
              <w:jc w:val="right"/>
              <w:rPr>
                <w:szCs w:val="21"/>
              </w:rPr>
            </w:pPr>
            <w:r>
              <w:t>16,889,877.98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430793E" w14:textId="77777777" w:rsidR="00E57DAA" w:rsidRDefault="00AC4185">
            <w:pPr>
              <w:jc w:val="right"/>
              <w:rPr>
                <w:szCs w:val="21"/>
              </w:rPr>
            </w:pPr>
            <w:r>
              <w:t>19,959,758.56</w:t>
            </w:r>
          </w:p>
        </w:tc>
      </w:tr>
      <w:tr w:rsidR="00E57DAA" w14:paraId="7625476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68C4DE" w14:textId="77777777" w:rsidR="00E57DAA" w:rsidRDefault="00AC4185">
            <w:pPr>
              <w:rPr>
                <w:szCs w:val="21"/>
              </w:rPr>
            </w:pPr>
            <w:r>
              <w:t>重庆石柱西南水泥有限公司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55610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B77FDFF" w14:textId="77777777" w:rsidR="00E57DAA" w:rsidRDefault="00AC4185">
            <w:pPr>
              <w:jc w:val="right"/>
              <w:rPr>
                <w:szCs w:val="21"/>
              </w:rPr>
            </w:pPr>
            <w:r>
              <w:t>94,339.62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557D8CE" w14:textId="77777777" w:rsidR="00E57DAA" w:rsidRDefault="00AC4185">
            <w:pPr>
              <w:jc w:val="right"/>
              <w:rPr>
                <w:szCs w:val="21"/>
              </w:rPr>
            </w:pPr>
            <w:r>
              <w:t>2,098,226.13</w:t>
            </w:r>
          </w:p>
        </w:tc>
      </w:tr>
      <w:tr w:rsidR="00E57DAA" w14:paraId="4474920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F302756" w14:textId="77777777" w:rsidR="00E57DAA" w:rsidRDefault="00AC4185">
            <w:pPr>
              <w:rPr>
                <w:szCs w:val="21"/>
              </w:rPr>
            </w:pPr>
            <w:r>
              <w:t>重庆铜梁西南水泥有限公司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561D2A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DB2449" w14:textId="77777777" w:rsidR="00E57DAA" w:rsidRDefault="00AC4185">
            <w:pPr>
              <w:jc w:val="right"/>
              <w:rPr>
                <w:szCs w:val="21"/>
              </w:rPr>
            </w:pPr>
            <w:r>
              <w:t>43,646,218.29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60BF9A1" w14:textId="77777777" w:rsidR="00E57DAA" w:rsidRDefault="00AC4185">
            <w:pPr>
              <w:jc w:val="right"/>
              <w:rPr>
                <w:szCs w:val="21"/>
              </w:rPr>
            </w:pPr>
            <w:r>
              <w:t>1,079,435.14</w:t>
            </w:r>
          </w:p>
        </w:tc>
      </w:tr>
      <w:tr w:rsidR="00E57DAA" w14:paraId="3C35663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7129F76" w14:textId="77777777" w:rsidR="00E57DAA" w:rsidRDefault="00AC4185">
            <w:pPr>
              <w:rPr>
                <w:szCs w:val="21"/>
              </w:rPr>
            </w:pPr>
            <w:r>
              <w:t>重庆万州西南水泥有限公司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7C3CF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3AE9E8" w14:textId="77777777" w:rsidR="00E57DAA" w:rsidRDefault="00AC4185">
            <w:pPr>
              <w:jc w:val="right"/>
              <w:rPr>
                <w:szCs w:val="21"/>
              </w:rPr>
            </w:pPr>
            <w:r>
              <w:t>4,268,470.80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42C2287" w14:textId="77777777" w:rsidR="00E57DAA" w:rsidRDefault="00AC4185">
            <w:pPr>
              <w:jc w:val="right"/>
              <w:rPr>
                <w:szCs w:val="21"/>
              </w:rPr>
            </w:pPr>
            <w:r>
              <w:t xml:space="preserve">　</w:t>
            </w:r>
          </w:p>
        </w:tc>
      </w:tr>
      <w:tr w:rsidR="00E57DAA" w14:paraId="4987431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9E34C6" w14:textId="77777777" w:rsidR="00E57DAA" w:rsidRDefault="00AC4185">
            <w:pPr>
              <w:rPr>
                <w:szCs w:val="21"/>
              </w:rPr>
            </w:pPr>
            <w:r>
              <w:t>重庆秀山西南水泥有限公司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5B7B0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8A9E7E" w14:textId="77777777" w:rsidR="00E57DAA" w:rsidRDefault="00AC4185">
            <w:pPr>
              <w:jc w:val="right"/>
              <w:rPr>
                <w:szCs w:val="21"/>
              </w:rPr>
            </w:pPr>
            <w:r>
              <w:t>7,442,266.76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3EF2C67" w14:textId="77777777" w:rsidR="00E57DAA" w:rsidRDefault="00AC4185">
            <w:pPr>
              <w:jc w:val="right"/>
              <w:rPr>
                <w:szCs w:val="21"/>
              </w:rPr>
            </w:pPr>
            <w:r>
              <w:t>10,769,968.20</w:t>
            </w:r>
          </w:p>
        </w:tc>
      </w:tr>
      <w:tr w:rsidR="00E57DAA" w14:paraId="67B9F6D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5256A66" w14:textId="77777777" w:rsidR="00E57DAA" w:rsidRDefault="00AC4185">
            <w:pPr>
              <w:rPr>
                <w:szCs w:val="21"/>
              </w:rPr>
            </w:pPr>
            <w:r>
              <w:t>重庆长寿西南水泥有限公司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6FA8D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AE1002" w14:textId="77777777" w:rsidR="00E57DAA" w:rsidRDefault="00AC4185">
            <w:pPr>
              <w:jc w:val="right"/>
              <w:rPr>
                <w:szCs w:val="21"/>
              </w:rPr>
            </w:pPr>
            <w:r>
              <w:t>27,964.60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DA901E1" w14:textId="77777777" w:rsidR="00E57DAA" w:rsidRDefault="00AC4185">
            <w:pPr>
              <w:jc w:val="right"/>
              <w:rPr>
                <w:szCs w:val="21"/>
              </w:rPr>
            </w:pPr>
            <w:r>
              <w:t>20,353.98</w:t>
            </w:r>
          </w:p>
        </w:tc>
      </w:tr>
      <w:tr w:rsidR="00E57DAA" w14:paraId="483B43B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43EA736" w14:textId="77777777" w:rsidR="00E57DAA" w:rsidRDefault="00AC4185">
            <w:pPr>
              <w:rPr>
                <w:szCs w:val="21"/>
              </w:rPr>
            </w:pPr>
            <w:r>
              <w:t>诸暨南方水泥有限公司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A1A30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DF8FACC" w14:textId="77777777" w:rsidR="00E57DAA" w:rsidRDefault="00AC4185">
            <w:pPr>
              <w:jc w:val="right"/>
              <w:rPr>
                <w:szCs w:val="21"/>
              </w:rPr>
            </w:pPr>
            <w:r>
              <w:t>47,442.48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BA2C1D" w14:textId="77777777" w:rsidR="00E57DAA" w:rsidRDefault="00AC4185">
            <w:pPr>
              <w:jc w:val="right"/>
              <w:rPr>
                <w:szCs w:val="21"/>
              </w:rPr>
            </w:pPr>
            <w:r>
              <w:t xml:space="preserve">　</w:t>
            </w:r>
          </w:p>
        </w:tc>
      </w:tr>
      <w:tr w:rsidR="00E57DAA" w14:paraId="314FC01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4A225B1" w14:textId="77777777" w:rsidR="00E57DAA" w:rsidRDefault="00AC4185">
            <w:pPr>
              <w:rPr>
                <w:szCs w:val="21"/>
              </w:rPr>
            </w:pPr>
            <w:r>
              <w:t>驻马店市同力骨料有限公司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B8CB91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A56D43" w14:textId="77777777" w:rsidR="00E57DAA" w:rsidRDefault="00AC4185">
            <w:pPr>
              <w:jc w:val="right"/>
              <w:rPr>
                <w:szCs w:val="21"/>
              </w:rPr>
            </w:pPr>
            <w:r>
              <w:t>16,036,179.87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55D8F50" w14:textId="77777777" w:rsidR="00E57DAA" w:rsidRDefault="00AC4185">
            <w:pPr>
              <w:jc w:val="right"/>
              <w:rPr>
                <w:szCs w:val="21"/>
              </w:rPr>
            </w:pPr>
            <w:r>
              <w:t>167,924.53</w:t>
            </w:r>
          </w:p>
        </w:tc>
      </w:tr>
      <w:tr w:rsidR="00E57DAA" w14:paraId="722D471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B88E588" w14:textId="77777777" w:rsidR="00E57DAA" w:rsidRDefault="00AC4185">
            <w:pPr>
              <w:rPr>
                <w:szCs w:val="21"/>
              </w:rPr>
            </w:pPr>
            <w:r>
              <w:t>驻马店市豫龙同力水泥有限公司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DDA6E9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D09A8D" w14:textId="77777777" w:rsidR="00E57DAA" w:rsidRDefault="00AC4185">
            <w:pPr>
              <w:jc w:val="right"/>
              <w:rPr>
                <w:szCs w:val="21"/>
              </w:rPr>
            </w:pPr>
            <w:r>
              <w:t>25,410,019.42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0C5DFF2" w14:textId="77777777" w:rsidR="00E57DAA" w:rsidRDefault="00AC4185">
            <w:pPr>
              <w:jc w:val="right"/>
              <w:rPr>
                <w:szCs w:val="21"/>
              </w:rPr>
            </w:pPr>
            <w:r>
              <w:t>30,571,445.32</w:t>
            </w:r>
          </w:p>
        </w:tc>
      </w:tr>
      <w:tr w:rsidR="00E57DAA" w14:paraId="4FD1FB5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E0E1BA5" w14:textId="77777777" w:rsidR="00E57DAA" w:rsidRDefault="00AC4185">
            <w:pPr>
              <w:rPr>
                <w:szCs w:val="21"/>
              </w:rPr>
            </w:pPr>
            <w:r>
              <w:t>邹城中联混凝土有限公司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47696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4A258F2" w14:textId="77777777" w:rsidR="00E57DAA" w:rsidRDefault="00AC4185">
            <w:pPr>
              <w:jc w:val="right"/>
              <w:rPr>
                <w:szCs w:val="21"/>
              </w:rPr>
            </w:pPr>
            <w:r>
              <w:t>6,146.02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33B2A49" w14:textId="77777777" w:rsidR="00E57DAA" w:rsidRDefault="00AC4185">
            <w:pPr>
              <w:jc w:val="right"/>
              <w:rPr>
                <w:szCs w:val="21"/>
              </w:rPr>
            </w:pPr>
            <w:r>
              <w:t xml:space="preserve">　</w:t>
            </w:r>
          </w:p>
        </w:tc>
      </w:tr>
      <w:tr w:rsidR="00E57DAA" w14:paraId="13BFA26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5A47473" w14:textId="77777777" w:rsidR="00E57DAA" w:rsidRDefault="00AC4185">
            <w:pPr>
              <w:rPr>
                <w:szCs w:val="21"/>
              </w:rPr>
            </w:pPr>
            <w:r>
              <w:t>遵义赛德水泥有限公司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1447E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2183B5F" w14:textId="77777777" w:rsidR="00E57DAA" w:rsidRDefault="00AC4185">
            <w:pPr>
              <w:jc w:val="right"/>
              <w:rPr>
                <w:szCs w:val="21"/>
              </w:rPr>
            </w:pPr>
            <w:r>
              <w:t>15,102,627.08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6AA710C" w14:textId="77777777" w:rsidR="00E57DAA" w:rsidRDefault="00AC4185">
            <w:pPr>
              <w:jc w:val="right"/>
              <w:rPr>
                <w:szCs w:val="21"/>
              </w:rPr>
            </w:pPr>
            <w:r>
              <w:t>16,081,691.98</w:t>
            </w:r>
          </w:p>
        </w:tc>
      </w:tr>
      <w:tr w:rsidR="00E57DAA" w14:paraId="539DC42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9C69A2B" w14:textId="77777777" w:rsidR="00E57DAA" w:rsidRDefault="00AC4185">
            <w:pPr>
              <w:rPr>
                <w:szCs w:val="21"/>
              </w:rPr>
            </w:pPr>
            <w:r>
              <w:t>受最终控制方控制的其他企业</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3153F69" w14:textId="77777777" w:rsidR="00E57DAA" w:rsidRDefault="00AC4185">
            <w:pPr>
              <w:rPr>
                <w:szCs w:val="21"/>
              </w:rPr>
            </w:pPr>
            <w:r>
              <w:t xml:space="preserve">　</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2E662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C12ADAE" w14:textId="77777777" w:rsidR="00E57DAA" w:rsidRDefault="00AC4185">
            <w:pPr>
              <w:jc w:val="right"/>
              <w:rPr>
                <w:szCs w:val="21"/>
              </w:rPr>
            </w:pPr>
            <w:r>
              <w:t xml:space="preserve">　</w:t>
            </w:r>
          </w:p>
        </w:tc>
      </w:tr>
      <w:tr w:rsidR="00E57DAA" w14:paraId="7BB7526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67BD5A0" w14:textId="77777777" w:rsidR="00E57DAA" w:rsidRDefault="00AC4185">
            <w:pPr>
              <w:rPr>
                <w:szCs w:val="21"/>
              </w:rPr>
            </w:pPr>
            <w:r>
              <w:t>安徽凯盛应用材料有限公司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BF4ED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3F6CC9" w14:textId="77777777" w:rsidR="00E57DAA" w:rsidRDefault="00AC4185">
            <w:pPr>
              <w:jc w:val="right"/>
              <w:rPr>
                <w:szCs w:val="21"/>
              </w:rPr>
            </w:pPr>
            <w:r>
              <w:t>16,008.85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93D3216" w14:textId="77777777" w:rsidR="00E57DAA" w:rsidRDefault="00AC4185">
            <w:pPr>
              <w:jc w:val="right"/>
              <w:rPr>
                <w:szCs w:val="21"/>
              </w:rPr>
            </w:pPr>
            <w:r>
              <w:t>244,327.44</w:t>
            </w:r>
          </w:p>
        </w:tc>
      </w:tr>
      <w:tr w:rsidR="00E57DAA" w14:paraId="7A0C2C0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E02BA7" w14:textId="77777777" w:rsidR="00E57DAA" w:rsidRDefault="00AC4185">
            <w:pPr>
              <w:rPr>
                <w:szCs w:val="21"/>
              </w:rPr>
            </w:pPr>
            <w:r>
              <w:t>蚌埠凯盛工程技术有限公司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F78C65"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D1D9A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97C924" w14:textId="77777777" w:rsidR="00E57DAA" w:rsidRDefault="00AC4185">
            <w:pPr>
              <w:jc w:val="right"/>
              <w:rPr>
                <w:szCs w:val="21"/>
              </w:rPr>
            </w:pPr>
            <w:r>
              <w:t>506,690.27</w:t>
            </w:r>
          </w:p>
        </w:tc>
      </w:tr>
      <w:tr w:rsidR="00E57DAA" w14:paraId="7D305A9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01694C" w14:textId="77777777" w:rsidR="00E57DAA" w:rsidRDefault="00AC4185">
            <w:pPr>
              <w:rPr>
                <w:szCs w:val="21"/>
              </w:rPr>
            </w:pPr>
            <w:r>
              <w:t>蚌埠中恒新材料科技有限责任公司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316C5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161661" w14:textId="77777777" w:rsidR="00E57DAA" w:rsidRDefault="00AC4185">
            <w:pPr>
              <w:jc w:val="right"/>
              <w:rPr>
                <w:szCs w:val="21"/>
              </w:rPr>
            </w:pPr>
            <w:r>
              <w:t>666,548.68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A6559BC" w14:textId="77777777" w:rsidR="00E57DAA" w:rsidRDefault="00AC4185">
            <w:pPr>
              <w:jc w:val="right"/>
              <w:rPr>
                <w:szCs w:val="21"/>
              </w:rPr>
            </w:pPr>
            <w:r>
              <w:t>1,376,106.20</w:t>
            </w:r>
          </w:p>
        </w:tc>
      </w:tr>
      <w:tr w:rsidR="00E57DAA" w14:paraId="235E440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11004B" w14:textId="77777777" w:rsidR="00E57DAA" w:rsidRDefault="00AC4185">
            <w:pPr>
              <w:rPr>
                <w:szCs w:val="21"/>
              </w:rPr>
            </w:pPr>
            <w:r>
              <w:t>北新房屋有限公司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450D3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A1809BC" w14:textId="77777777" w:rsidR="00E57DAA" w:rsidRDefault="00AC4185">
            <w:pPr>
              <w:jc w:val="right"/>
              <w:rPr>
                <w:szCs w:val="21"/>
              </w:rPr>
            </w:pPr>
            <w:r>
              <w:t>230,088.50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73A51BB" w14:textId="77777777" w:rsidR="00E57DAA" w:rsidRDefault="00AC4185">
            <w:pPr>
              <w:jc w:val="right"/>
              <w:rPr>
                <w:szCs w:val="21"/>
              </w:rPr>
            </w:pPr>
            <w:r>
              <w:t xml:space="preserve">　</w:t>
            </w:r>
          </w:p>
        </w:tc>
      </w:tr>
      <w:tr w:rsidR="00E57DAA" w14:paraId="39E4BC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263C8BB" w14:textId="77777777" w:rsidR="00E57DAA" w:rsidRDefault="00AC4185">
            <w:pPr>
              <w:rPr>
                <w:szCs w:val="21"/>
              </w:rPr>
            </w:pPr>
            <w:r>
              <w:t>广州华磊建筑基础工程有限公司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189D2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50C3BE" w14:textId="77777777" w:rsidR="00E57DAA" w:rsidRDefault="00AC4185">
            <w:pPr>
              <w:jc w:val="right"/>
              <w:rPr>
                <w:szCs w:val="21"/>
              </w:rPr>
            </w:pPr>
            <w:r>
              <w:t>15,006,485.56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572383F" w14:textId="77777777" w:rsidR="00E57DAA" w:rsidRDefault="00AC4185">
            <w:pPr>
              <w:jc w:val="right"/>
              <w:rPr>
                <w:szCs w:val="21"/>
              </w:rPr>
            </w:pPr>
            <w:r>
              <w:t xml:space="preserve">　</w:t>
            </w:r>
          </w:p>
        </w:tc>
      </w:tr>
      <w:tr w:rsidR="00E57DAA" w14:paraId="1E9F7B3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711FF8E" w14:textId="77777777" w:rsidR="00E57DAA" w:rsidRDefault="00AC4185">
            <w:pPr>
              <w:rPr>
                <w:szCs w:val="21"/>
              </w:rPr>
            </w:pPr>
            <w:r>
              <w:t>哈尔滨玻璃钢研究院有限公司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8859B9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8AEC1C1" w14:textId="77777777" w:rsidR="00E57DAA" w:rsidRDefault="00AC4185">
            <w:pPr>
              <w:jc w:val="right"/>
              <w:rPr>
                <w:szCs w:val="21"/>
              </w:rPr>
            </w:pPr>
            <w:r>
              <w:t>1,681,132.07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34BD10B" w14:textId="77777777" w:rsidR="00E57DAA" w:rsidRDefault="00AC4185">
            <w:pPr>
              <w:jc w:val="right"/>
              <w:rPr>
                <w:szCs w:val="21"/>
              </w:rPr>
            </w:pPr>
            <w:r>
              <w:t>4,952,830.19</w:t>
            </w:r>
          </w:p>
        </w:tc>
      </w:tr>
      <w:tr w:rsidR="00E57DAA" w14:paraId="67070D2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7470695" w14:textId="77777777" w:rsidR="00E57DAA" w:rsidRDefault="00AC4185">
            <w:pPr>
              <w:rPr>
                <w:szCs w:val="21"/>
              </w:rPr>
            </w:pPr>
            <w:r>
              <w:t>合肥神马科技集团有限公司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AD469E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EFB2B6" w14:textId="77777777" w:rsidR="00E57DAA" w:rsidRDefault="00AC4185">
            <w:pPr>
              <w:jc w:val="right"/>
              <w:rPr>
                <w:szCs w:val="21"/>
              </w:rPr>
            </w:pPr>
            <w:r>
              <w:t>2,685,158.37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3A7CA41" w14:textId="77777777" w:rsidR="00E57DAA" w:rsidRDefault="00AC4185">
            <w:pPr>
              <w:jc w:val="right"/>
              <w:rPr>
                <w:szCs w:val="21"/>
              </w:rPr>
            </w:pPr>
            <w:r>
              <w:t xml:space="preserve">　</w:t>
            </w:r>
          </w:p>
        </w:tc>
      </w:tr>
      <w:tr w:rsidR="00E57DAA" w14:paraId="3FE8D1C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490A6CE" w14:textId="77777777" w:rsidR="00E57DAA" w:rsidRDefault="00AC4185">
            <w:pPr>
              <w:rPr>
                <w:szCs w:val="21"/>
              </w:rPr>
            </w:pPr>
            <w:r>
              <w:t>合肥中辰轻工机械有限公司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C5BD63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A352032" w14:textId="77777777" w:rsidR="00E57DAA" w:rsidRDefault="00AC4185">
            <w:pPr>
              <w:jc w:val="right"/>
              <w:rPr>
                <w:szCs w:val="21"/>
              </w:rPr>
            </w:pPr>
            <w:r>
              <w:t>23,407.07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320E473" w14:textId="77777777" w:rsidR="00E57DAA" w:rsidRDefault="00AC4185">
            <w:pPr>
              <w:jc w:val="right"/>
              <w:rPr>
                <w:szCs w:val="21"/>
              </w:rPr>
            </w:pPr>
            <w:r>
              <w:t>3,185.84</w:t>
            </w:r>
          </w:p>
        </w:tc>
      </w:tr>
      <w:tr w:rsidR="00E57DAA" w14:paraId="0BE9280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1C50D32" w14:textId="77777777" w:rsidR="00E57DAA" w:rsidRDefault="00AC4185">
            <w:pPr>
              <w:rPr>
                <w:szCs w:val="21"/>
              </w:rPr>
            </w:pPr>
            <w:r>
              <w:lastRenderedPageBreak/>
              <w:t>巨石集团淮安有限公司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9816B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AB9B34" w14:textId="77777777" w:rsidR="00E57DAA" w:rsidRDefault="00AC4185">
            <w:pPr>
              <w:jc w:val="right"/>
              <w:rPr>
                <w:szCs w:val="21"/>
              </w:rPr>
            </w:pPr>
            <w:r>
              <w:t>18,584,070.81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6E135A" w14:textId="77777777" w:rsidR="00E57DAA" w:rsidRDefault="00AC4185">
            <w:pPr>
              <w:jc w:val="right"/>
              <w:rPr>
                <w:szCs w:val="21"/>
              </w:rPr>
            </w:pPr>
            <w:r>
              <w:t xml:space="preserve">　</w:t>
            </w:r>
          </w:p>
        </w:tc>
      </w:tr>
      <w:tr w:rsidR="00E57DAA" w14:paraId="1EF386B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AB18790" w14:textId="77777777" w:rsidR="00E57DAA" w:rsidRDefault="00AC4185">
            <w:pPr>
              <w:rPr>
                <w:szCs w:val="21"/>
              </w:rPr>
            </w:pPr>
            <w:r>
              <w:t>凯盛重工有限公司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7AA4BD2"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2B8D15"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0D037A6" w14:textId="77777777" w:rsidR="00E57DAA" w:rsidRDefault="00AC4185">
            <w:pPr>
              <w:jc w:val="right"/>
              <w:rPr>
                <w:szCs w:val="21"/>
              </w:rPr>
            </w:pPr>
            <w:r>
              <w:t>382,169.81</w:t>
            </w:r>
          </w:p>
        </w:tc>
      </w:tr>
      <w:tr w:rsidR="00E57DAA" w14:paraId="18C4342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F82EE4B" w14:textId="77777777" w:rsidR="00E57DAA" w:rsidRDefault="00AC4185">
            <w:pPr>
              <w:rPr>
                <w:szCs w:val="21"/>
              </w:rPr>
            </w:pPr>
            <w:r>
              <w:t>瑞泰马钢新材料科技有限公司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FCA3B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3216FA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4C65C00" w14:textId="77777777" w:rsidR="00E57DAA" w:rsidRDefault="00AC4185">
            <w:pPr>
              <w:jc w:val="right"/>
              <w:rPr>
                <w:szCs w:val="21"/>
              </w:rPr>
            </w:pPr>
            <w:r>
              <w:t>75,471.70</w:t>
            </w:r>
          </w:p>
        </w:tc>
      </w:tr>
      <w:tr w:rsidR="00E57DAA" w14:paraId="3F36D32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11B94D" w14:textId="77777777" w:rsidR="00E57DAA" w:rsidRDefault="00AC4185">
            <w:pPr>
              <w:rPr>
                <w:szCs w:val="21"/>
              </w:rPr>
            </w:pPr>
            <w:r>
              <w:t>上海新建重型机械有限公司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FE7F7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6DA0F2" w14:textId="77777777" w:rsidR="00E57DAA" w:rsidRDefault="00AC4185">
            <w:pPr>
              <w:jc w:val="right"/>
              <w:rPr>
                <w:szCs w:val="21"/>
              </w:rPr>
            </w:pPr>
            <w:r>
              <w:t>123,008.85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2C44925" w14:textId="77777777" w:rsidR="00E57DAA" w:rsidRDefault="00AC4185">
            <w:pPr>
              <w:jc w:val="right"/>
              <w:rPr>
                <w:szCs w:val="21"/>
              </w:rPr>
            </w:pPr>
            <w:r>
              <w:t>7,768,808.92</w:t>
            </w:r>
          </w:p>
        </w:tc>
      </w:tr>
      <w:tr w:rsidR="00E57DAA" w14:paraId="4D4525E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54E65CB" w14:textId="77777777" w:rsidR="00E57DAA" w:rsidRDefault="00AC4185">
            <w:pPr>
              <w:rPr>
                <w:szCs w:val="21"/>
              </w:rPr>
            </w:pPr>
            <w:r>
              <w:t>武汉建筑材料工业设计研究院有限公司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BA3EE3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F5B8A5" w14:textId="77777777" w:rsidR="00E57DAA" w:rsidRDefault="00AC4185">
            <w:pPr>
              <w:jc w:val="right"/>
              <w:rPr>
                <w:szCs w:val="21"/>
              </w:rPr>
            </w:pPr>
            <w:r>
              <w:t>4,433,608.00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FB992E5" w14:textId="77777777" w:rsidR="00E57DAA" w:rsidRDefault="00AC4185">
            <w:pPr>
              <w:jc w:val="right"/>
              <w:rPr>
                <w:szCs w:val="21"/>
              </w:rPr>
            </w:pPr>
            <w:r>
              <w:t>9,983,116.27</w:t>
            </w:r>
          </w:p>
        </w:tc>
      </w:tr>
      <w:tr w:rsidR="00E57DAA" w14:paraId="1A658C3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0CB9FB3" w14:textId="77777777" w:rsidR="00E57DAA" w:rsidRDefault="00AC4185">
            <w:pPr>
              <w:rPr>
                <w:szCs w:val="21"/>
              </w:rPr>
            </w:pPr>
            <w:r>
              <w:t>西安凯盛建材工程有限公司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BA8A3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5563BDF" w14:textId="77777777" w:rsidR="00E57DAA" w:rsidRDefault="00AC4185">
            <w:pPr>
              <w:jc w:val="right"/>
              <w:rPr>
                <w:szCs w:val="21"/>
              </w:rPr>
            </w:pPr>
            <w:r>
              <w:t>28,301.89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43C190" w14:textId="77777777" w:rsidR="00E57DAA" w:rsidRDefault="00AC4185">
            <w:pPr>
              <w:jc w:val="right"/>
              <w:rPr>
                <w:szCs w:val="21"/>
              </w:rPr>
            </w:pPr>
            <w:r>
              <w:t xml:space="preserve">　</w:t>
            </w:r>
          </w:p>
        </w:tc>
      </w:tr>
      <w:tr w:rsidR="00E57DAA" w14:paraId="50A814C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4C06707" w14:textId="77777777" w:rsidR="00E57DAA" w:rsidRDefault="00AC4185">
            <w:pPr>
              <w:rPr>
                <w:szCs w:val="21"/>
              </w:rPr>
            </w:pPr>
            <w:r>
              <w:t>新疆凯盛建材设计研究院（有限公司）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3D63F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30CE3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6361B5" w14:textId="77777777" w:rsidR="00E57DAA" w:rsidRDefault="00AC4185">
            <w:pPr>
              <w:jc w:val="right"/>
              <w:rPr>
                <w:szCs w:val="21"/>
              </w:rPr>
            </w:pPr>
            <w:r>
              <w:t>43,769,811.26</w:t>
            </w:r>
          </w:p>
        </w:tc>
      </w:tr>
      <w:tr w:rsidR="00E57DAA" w14:paraId="385640E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B32D137" w14:textId="77777777" w:rsidR="00E57DAA" w:rsidRDefault="00AC4185">
            <w:pPr>
              <w:rPr>
                <w:szCs w:val="21"/>
              </w:rPr>
            </w:pPr>
            <w:r>
              <w:t>浙江长兴北新林业有限公司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911587"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F3C12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9449D60" w14:textId="77777777" w:rsidR="00E57DAA" w:rsidRDefault="00AC4185">
            <w:pPr>
              <w:jc w:val="right"/>
              <w:rPr>
                <w:szCs w:val="21"/>
              </w:rPr>
            </w:pPr>
            <w:r>
              <w:t>5,184,635.89</w:t>
            </w:r>
          </w:p>
        </w:tc>
      </w:tr>
      <w:tr w:rsidR="00E57DAA" w14:paraId="203E296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005576D" w14:textId="77777777" w:rsidR="00E57DAA" w:rsidRDefault="00AC4185">
            <w:pPr>
              <w:rPr>
                <w:szCs w:val="21"/>
              </w:rPr>
            </w:pPr>
            <w:r>
              <w:t>郑州瑞泰耐火科技有限公司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F7EB8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148333" w14:textId="77777777" w:rsidR="00E57DAA" w:rsidRDefault="00AC4185">
            <w:pPr>
              <w:jc w:val="right"/>
              <w:rPr>
                <w:szCs w:val="21"/>
              </w:rPr>
            </w:pPr>
            <w:r>
              <w:t>75,471.70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6FA027B" w14:textId="77777777" w:rsidR="00E57DAA" w:rsidRDefault="00AC4185">
            <w:pPr>
              <w:jc w:val="right"/>
              <w:rPr>
                <w:szCs w:val="21"/>
              </w:rPr>
            </w:pPr>
            <w:r>
              <w:t xml:space="preserve">　</w:t>
            </w:r>
          </w:p>
        </w:tc>
      </w:tr>
      <w:tr w:rsidR="00E57DAA" w14:paraId="4507377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BC77D3C" w14:textId="77777777" w:rsidR="00E57DAA" w:rsidRDefault="00AC4185">
            <w:pPr>
              <w:rPr>
                <w:szCs w:val="21"/>
              </w:rPr>
            </w:pPr>
            <w:r>
              <w:t>中材地质工程勘查研究院有限公司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1C235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84917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9CCE8AD" w14:textId="77777777" w:rsidR="00E57DAA" w:rsidRDefault="00AC4185">
            <w:pPr>
              <w:jc w:val="right"/>
              <w:rPr>
                <w:szCs w:val="21"/>
              </w:rPr>
            </w:pPr>
            <w:r>
              <w:t>70,754.72</w:t>
            </w:r>
          </w:p>
        </w:tc>
      </w:tr>
      <w:tr w:rsidR="00E57DAA" w14:paraId="7F3FB25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E70155" w14:textId="77777777" w:rsidR="00E57DAA" w:rsidRDefault="00AC4185">
            <w:pPr>
              <w:rPr>
                <w:szCs w:val="21"/>
              </w:rPr>
            </w:pPr>
            <w:r>
              <w:t>中材高新江苏硅材料有限公司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2AE97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4ADD3B" w14:textId="77777777" w:rsidR="00E57DAA" w:rsidRDefault="00AC4185">
            <w:pPr>
              <w:jc w:val="right"/>
              <w:rPr>
                <w:szCs w:val="21"/>
              </w:rPr>
            </w:pPr>
            <w:r>
              <w:t>615,290.81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161566" w14:textId="77777777" w:rsidR="00E57DAA" w:rsidRDefault="00AC4185">
            <w:pPr>
              <w:jc w:val="right"/>
              <w:rPr>
                <w:szCs w:val="21"/>
              </w:rPr>
            </w:pPr>
            <w:r>
              <w:t xml:space="preserve">　</w:t>
            </w:r>
          </w:p>
        </w:tc>
      </w:tr>
      <w:tr w:rsidR="00E57DAA" w14:paraId="1C6D53E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9AA5820" w14:textId="77777777" w:rsidR="00E57DAA" w:rsidRDefault="00AC4185">
            <w:pPr>
              <w:rPr>
                <w:szCs w:val="21"/>
              </w:rPr>
            </w:pPr>
            <w:r>
              <w:t>中材江西电瓷电气有限公司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03A24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174A7A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34F8350" w14:textId="77777777" w:rsidR="00E57DAA" w:rsidRDefault="00AC4185">
            <w:pPr>
              <w:jc w:val="right"/>
              <w:rPr>
                <w:szCs w:val="21"/>
              </w:rPr>
            </w:pPr>
            <w:r>
              <w:t>858,485.52</w:t>
            </w:r>
          </w:p>
        </w:tc>
      </w:tr>
      <w:tr w:rsidR="00E57DAA" w14:paraId="3749D59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9389578" w14:textId="77777777" w:rsidR="00E57DAA" w:rsidRDefault="00AC4185">
            <w:pPr>
              <w:rPr>
                <w:szCs w:val="21"/>
              </w:rPr>
            </w:pPr>
            <w:r>
              <w:t>中材节能股份有限公司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CAF12F"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6939B0C" w14:textId="77777777" w:rsidR="00E57DAA" w:rsidRDefault="00AC4185">
            <w:pPr>
              <w:jc w:val="right"/>
              <w:rPr>
                <w:szCs w:val="21"/>
              </w:rPr>
            </w:pPr>
            <w:r>
              <w:t>17,059,966.16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7B008AD" w14:textId="77777777" w:rsidR="00E57DAA" w:rsidRDefault="00AC4185">
            <w:pPr>
              <w:jc w:val="right"/>
              <w:rPr>
                <w:szCs w:val="21"/>
              </w:rPr>
            </w:pPr>
            <w:r>
              <w:t>11,378,418.03</w:t>
            </w:r>
          </w:p>
        </w:tc>
      </w:tr>
      <w:tr w:rsidR="00E57DAA" w14:paraId="691220F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69344A4" w14:textId="77777777" w:rsidR="00E57DAA" w:rsidRDefault="00AC4185">
            <w:pPr>
              <w:rPr>
                <w:szCs w:val="21"/>
              </w:rPr>
            </w:pPr>
            <w:r>
              <w:t>中材节能国际投资有限公司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BD120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6A920E" w14:textId="77777777" w:rsidR="00E57DAA" w:rsidRDefault="00AC4185">
            <w:pPr>
              <w:jc w:val="right"/>
              <w:rPr>
                <w:szCs w:val="21"/>
              </w:rPr>
            </w:pPr>
            <w:r>
              <w:t>25,228.80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D71FD61" w14:textId="77777777" w:rsidR="00E57DAA" w:rsidRDefault="00AC4185">
            <w:pPr>
              <w:jc w:val="right"/>
              <w:rPr>
                <w:szCs w:val="21"/>
              </w:rPr>
            </w:pPr>
            <w:r>
              <w:t xml:space="preserve">　</w:t>
            </w:r>
          </w:p>
        </w:tc>
      </w:tr>
      <w:tr w:rsidR="00E57DAA" w14:paraId="1B9FA04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788974C" w14:textId="77777777" w:rsidR="00E57DAA" w:rsidRDefault="00AC4185">
            <w:pPr>
              <w:rPr>
                <w:szCs w:val="21"/>
              </w:rPr>
            </w:pPr>
            <w:r>
              <w:t>中材新材料装备科技（天津）有限公司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E21357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0C338C" w14:textId="77777777" w:rsidR="00E57DAA" w:rsidRDefault="00AC4185">
            <w:pPr>
              <w:jc w:val="right"/>
              <w:rPr>
                <w:szCs w:val="21"/>
              </w:rPr>
            </w:pPr>
            <w:r>
              <w:t>1,974,867.26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227998" w14:textId="77777777" w:rsidR="00E57DAA" w:rsidRDefault="00AC4185">
            <w:pPr>
              <w:jc w:val="right"/>
              <w:rPr>
                <w:szCs w:val="21"/>
              </w:rPr>
            </w:pPr>
            <w:r>
              <w:t xml:space="preserve">　</w:t>
            </w:r>
          </w:p>
        </w:tc>
      </w:tr>
      <w:tr w:rsidR="00E57DAA" w14:paraId="65D2702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D37D88" w14:textId="77777777" w:rsidR="00E57DAA" w:rsidRDefault="00AC4185">
            <w:pPr>
              <w:rPr>
                <w:szCs w:val="21"/>
              </w:rPr>
            </w:pPr>
            <w:r>
              <w:t>中非高岭茂名新材料有限公司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D83B2C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6E7D78" w14:textId="77777777" w:rsidR="00E57DAA" w:rsidRDefault="00AC4185">
            <w:pPr>
              <w:jc w:val="right"/>
              <w:rPr>
                <w:szCs w:val="21"/>
              </w:rPr>
            </w:pPr>
            <w:r>
              <w:t>29,579,278.31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D04421" w14:textId="77777777" w:rsidR="00E57DAA" w:rsidRDefault="00AC4185">
            <w:pPr>
              <w:jc w:val="right"/>
              <w:rPr>
                <w:szCs w:val="21"/>
              </w:rPr>
            </w:pPr>
            <w:r>
              <w:t>131,974,043.62</w:t>
            </w:r>
          </w:p>
        </w:tc>
      </w:tr>
      <w:tr w:rsidR="00E57DAA" w14:paraId="51B75CD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25F4B7" w14:textId="77777777" w:rsidR="00E57DAA" w:rsidRDefault="00AC4185">
            <w:pPr>
              <w:rPr>
                <w:szCs w:val="21"/>
              </w:rPr>
            </w:pPr>
            <w:r>
              <w:t>中国建材（香港）有限公司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29FB2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95E05C" w14:textId="77777777" w:rsidR="00E57DAA" w:rsidRDefault="00AC4185">
            <w:pPr>
              <w:jc w:val="right"/>
              <w:rPr>
                <w:szCs w:val="21"/>
              </w:rPr>
            </w:pPr>
            <w:r>
              <w:t>772,234.08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DCD22A8" w14:textId="77777777" w:rsidR="00E57DAA" w:rsidRDefault="00AC4185">
            <w:pPr>
              <w:jc w:val="right"/>
              <w:rPr>
                <w:szCs w:val="21"/>
              </w:rPr>
            </w:pPr>
            <w:r>
              <w:t xml:space="preserve">　</w:t>
            </w:r>
          </w:p>
        </w:tc>
      </w:tr>
      <w:tr w:rsidR="00E57DAA" w14:paraId="63B6C2C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70E3AC" w14:textId="77777777" w:rsidR="00E57DAA" w:rsidRDefault="00AC4185">
            <w:pPr>
              <w:rPr>
                <w:szCs w:val="21"/>
              </w:rPr>
            </w:pPr>
            <w:r>
              <w:t>中国建材国际工程集团有限公司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DAE8D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246D02" w14:textId="77777777" w:rsidR="00E57DAA" w:rsidRDefault="00AC4185">
            <w:pPr>
              <w:jc w:val="right"/>
              <w:rPr>
                <w:szCs w:val="21"/>
              </w:rPr>
            </w:pPr>
            <w:r>
              <w:t>6,351,240.53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C76C6D6" w14:textId="77777777" w:rsidR="00E57DAA" w:rsidRDefault="00AC4185">
            <w:pPr>
              <w:jc w:val="right"/>
              <w:rPr>
                <w:szCs w:val="21"/>
              </w:rPr>
            </w:pPr>
            <w:r>
              <w:t>8,907,549.37</w:t>
            </w:r>
          </w:p>
        </w:tc>
      </w:tr>
      <w:tr w:rsidR="00E57DAA" w14:paraId="2289C64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55C221D" w14:textId="77777777" w:rsidR="00E57DAA" w:rsidRDefault="00AC4185">
            <w:pPr>
              <w:rPr>
                <w:szCs w:val="21"/>
              </w:rPr>
            </w:pPr>
            <w:r>
              <w:t>中国建材国际沙特公司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95A51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EBA5F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04A040A" w14:textId="77777777" w:rsidR="00E57DAA" w:rsidRDefault="00AC4185">
            <w:pPr>
              <w:jc w:val="right"/>
              <w:rPr>
                <w:szCs w:val="21"/>
              </w:rPr>
            </w:pPr>
            <w:r>
              <w:t>1,348,196.25</w:t>
            </w:r>
          </w:p>
        </w:tc>
      </w:tr>
      <w:tr w:rsidR="00E57DAA" w14:paraId="44B8FE9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A88790C" w14:textId="77777777" w:rsidR="00E57DAA" w:rsidRDefault="00AC4185">
            <w:pPr>
              <w:rPr>
                <w:szCs w:val="21"/>
              </w:rPr>
            </w:pPr>
            <w:r>
              <w:t>中国建材检验认证集团安徽有限公司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098806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81B37F" w14:textId="77777777" w:rsidR="00E57DAA" w:rsidRDefault="00AC4185">
            <w:pPr>
              <w:jc w:val="right"/>
              <w:rPr>
                <w:szCs w:val="21"/>
              </w:rPr>
            </w:pPr>
            <w:r>
              <w:t>4,339.62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BCFFA10" w14:textId="77777777" w:rsidR="00E57DAA" w:rsidRDefault="00AC4185">
            <w:pPr>
              <w:jc w:val="right"/>
              <w:rPr>
                <w:szCs w:val="21"/>
              </w:rPr>
            </w:pPr>
            <w:r>
              <w:t>414,428.57</w:t>
            </w:r>
          </w:p>
        </w:tc>
      </w:tr>
      <w:tr w:rsidR="00E57DAA" w14:paraId="76B94E1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80CE631" w14:textId="77777777" w:rsidR="00E57DAA" w:rsidRDefault="00AC4185">
            <w:pPr>
              <w:rPr>
                <w:szCs w:val="21"/>
              </w:rPr>
            </w:pPr>
            <w:r>
              <w:t>中国建筑材料工业地质勘查中心安徽总队</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E7A3C4"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E82785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503976" w14:textId="77777777" w:rsidR="00E57DAA" w:rsidRDefault="00AC4185">
            <w:pPr>
              <w:jc w:val="right"/>
              <w:rPr>
                <w:szCs w:val="21"/>
              </w:rPr>
            </w:pPr>
            <w:r>
              <w:t>18,348.62</w:t>
            </w:r>
          </w:p>
        </w:tc>
      </w:tr>
      <w:tr w:rsidR="00E57DAA" w14:paraId="28F88E4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DF69E1B" w14:textId="77777777" w:rsidR="00E57DAA" w:rsidRDefault="00AC4185">
            <w:pPr>
              <w:rPr>
                <w:szCs w:val="21"/>
              </w:rPr>
            </w:pPr>
            <w:r>
              <w:t>中国建筑材料科学研究总院有限公司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1C371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7B546A" w14:textId="77777777" w:rsidR="00E57DAA" w:rsidRDefault="00AC4185">
            <w:pPr>
              <w:jc w:val="right"/>
              <w:rPr>
                <w:szCs w:val="21"/>
              </w:rPr>
            </w:pPr>
            <w:r>
              <w:t>7,174.53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622A2B" w14:textId="77777777" w:rsidR="00E57DAA" w:rsidRDefault="00AC4185">
            <w:pPr>
              <w:jc w:val="right"/>
              <w:rPr>
                <w:szCs w:val="21"/>
              </w:rPr>
            </w:pPr>
            <w:r>
              <w:t xml:space="preserve">　</w:t>
            </w:r>
          </w:p>
        </w:tc>
      </w:tr>
      <w:tr w:rsidR="00E57DAA" w14:paraId="0BF2733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277581D" w14:textId="77777777" w:rsidR="00E57DAA" w:rsidRDefault="00AC4185">
            <w:pPr>
              <w:rPr>
                <w:szCs w:val="21"/>
              </w:rPr>
            </w:pPr>
            <w:r>
              <w:t>中国巨石股份有限公司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77C495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615A12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6D38717" w14:textId="77777777" w:rsidR="00E57DAA" w:rsidRDefault="00AC4185">
            <w:pPr>
              <w:jc w:val="right"/>
              <w:rPr>
                <w:szCs w:val="21"/>
              </w:rPr>
            </w:pPr>
            <w:r>
              <w:t>19,967,256.63</w:t>
            </w:r>
          </w:p>
        </w:tc>
      </w:tr>
      <w:tr w:rsidR="00E57DAA" w14:paraId="0E678F5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F3AFA77" w14:textId="77777777" w:rsidR="00E57DAA" w:rsidRDefault="00AC4185">
            <w:pPr>
              <w:rPr>
                <w:szCs w:val="21"/>
              </w:rPr>
            </w:pPr>
            <w:r>
              <w:t>中国新型建材设计研究院有限公司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4A7A03D"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DBB2B7C" w14:textId="77777777" w:rsidR="00E57DAA" w:rsidRDefault="00AC4185">
            <w:pPr>
              <w:jc w:val="right"/>
              <w:rPr>
                <w:szCs w:val="21"/>
              </w:rPr>
            </w:pPr>
            <w:r>
              <w:t>1,256,637.17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0802065" w14:textId="77777777" w:rsidR="00E57DAA" w:rsidRDefault="00AC4185">
            <w:pPr>
              <w:jc w:val="right"/>
              <w:rPr>
                <w:szCs w:val="21"/>
              </w:rPr>
            </w:pPr>
            <w:r>
              <w:t xml:space="preserve">　</w:t>
            </w:r>
          </w:p>
        </w:tc>
      </w:tr>
      <w:tr w:rsidR="00E57DAA" w14:paraId="705DBF6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5F2F5D7" w14:textId="77777777" w:rsidR="00E57DAA" w:rsidRDefault="00AC4185">
            <w:pPr>
              <w:rPr>
                <w:szCs w:val="21"/>
              </w:rPr>
            </w:pPr>
            <w:r>
              <w:t>中建材玻璃新材料研究院集团有限公司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4CE0EE6"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1E6692"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51C0CA" w14:textId="77777777" w:rsidR="00E57DAA" w:rsidRDefault="00AC4185">
            <w:pPr>
              <w:jc w:val="right"/>
              <w:rPr>
                <w:szCs w:val="21"/>
              </w:rPr>
            </w:pPr>
            <w:r>
              <w:t>1,214,504.34</w:t>
            </w:r>
          </w:p>
        </w:tc>
      </w:tr>
      <w:tr w:rsidR="00E57DAA" w14:paraId="5776B5B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783B657" w14:textId="77777777" w:rsidR="00E57DAA" w:rsidRDefault="00AC4185">
            <w:pPr>
              <w:rPr>
                <w:szCs w:val="21"/>
              </w:rPr>
            </w:pPr>
            <w:r>
              <w:t>中建材光芯科技有限公司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F71A2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CB3D969" w14:textId="77777777" w:rsidR="00E57DAA" w:rsidRDefault="00AC4185">
            <w:pPr>
              <w:jc w:val="right"/>
              <w:rPr>
                <w:szCs w:val="21"/>
              </w:rPr>
            </w:pPr>
            <w:r>
              <w:t>1,237,205.00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AA8594C" w14:textId="77777777" w:rsidR="00E57DAA" w:rsidRDefault="00AC4185">
            <w:pPr>
              <w:jc w:val="right"/>
              <w:rPr>
                <w:szCs w:val="21"/>
              </w:rPr>
            </w:pPr>
            <w:r>
              <w:t>17,440,982.20</w:t>
            </w:r>
          </w:p>
        </w:tc>
      </w:tr>
      <w:tr w:rsidR="00E57DAA" w14:paraId="5D27DD7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026FA8A" w14:textId="77777777" w:rsidR="00E57DAA" w:rsidRDefault="00AC4185">
            <w:pPr>
              <w:rPr>
                <w:szCs w:val="21"/>
              </w:rPr>
            </w:pPr>
            <w:r>
              <w:t>中建材国际贸易有限公司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6642A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187F59" w14:textId="77777777" w:rsidR="00E57DAA" w:rsidRDefault="00AC4185">
            <w:pPr>
              <w:jc w:val="right"/>
              <w:rPr>
                <w:szCs w:val="21"/>
              </w:rPr>
            </w:pPr>
            <w:r>
              <w:t>5,062,759.62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EDA70D8" w14:textId="77777777" w:rsidR="00E57DAA" w:rsidRDefault="00AC4185">
            <w:pPr>
              <w:jc w:val="right"/>
              <w:rPr>
                <w:szCs w:val="21"/>
              </w:rPr>
            </w:pPr>
            <w:r>
              <w:t>61,241,155.53</w:t>
            </w:r>
          </w:p>
        </w:tc>
      </w:tr>
      <w:tr w:rsidR="00E57DAA" w14:paraId="5CAE24B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D67231F" w14:textId="77777777" w:rsidR="00E57DAA" w:rsidRDefault="00AC4185">
            <w:pPr>
              <w:rPr>
                <w:szCs w:val="21"/>
              </w:rPr>
            </w:pPr>
            <w:r>
              <w:t>中建材国际装备有限公司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8BB4BC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560FBE" w14:textId="77777777" w:rsidR="00E57DAA" w:rsidRDefault="00AC4185">
            <w:pPr>
              <w:jc w:val="right"/>
              <w:rPr>
                <w:szCs w:val="21"/>
              </w:rPr>
            </w:pPr>
            <w:r>
              <w:t>86,534,228.64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4A6C3B1" w14:textId="77777777" w:rsidR="00E57DAA" w:rsidRDefault="00AC4185">
            <w:pPr>
              <w:jc w:val="right"/>
              <w:rPr>
                <w:szCs w:val="21"/>
              </w:rPr>
            </w:pPr>
            <w:r>
              <w:t xml:space="preserve">　</w:t>
            </w:r>
          </w:p>
        </w:tc>
      </w:tr>
      <w:tr w:rsidR="00E57DAA" w14:paraId="2757265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FC31191" w14:textId="77777777" w:rsidR="00E57DAA" w:rsidRDefault="00AC4185">
            <w:pPr>
              <w:rPr>
                <w:szCs w:val="21"/>
              </w:rPr>
            </w:pPr>
            <w:r>
              <w:lastRenderedPageBreak/>
              <w:t>中建材矿业投资江苏有限公司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85AB0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FF5D6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AAFDA50" w14:textId="77777777" w:rsidR="00E57DAA" w:rsidRDefault="00AC4185">
            <w:pPr>
              <w:jc w:val="right"/>
              <w:rPr>
                <w:szCs w:val="21"/>
              </w:rPr>
            </w:pPr>
            <w:r>
              <w:t>335,914.28</w:t>
            </w:r>
          </w:p>
        </w:tc>
      </w:tr>
      <w:tr w:rsidR="00E57DAA" w14:paraId="0C7A6CF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6704C4" w14:textId="77777777" w:rsidR="00E57DAA" w:rsidRDefault="00AC4185">
            <w:pPr>
              <w:rPr>
                <w:szCs w:val="21"/>
              </w:rPr>
            </w:pPr>
            <w:r>
              <w:t>中建材衢州金格兰石英有限公司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C2EA446"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60FFCC" w14:textId="77777777" w:rsidR="00E57DAA" w:rsidRDefault="00AC4185">
            <w:pPr>
              <w:jc w:val="right"/>
              <w:rPr>
                <w:szCs w:val="21"/>
              </w:rPr>
            </w:pPr>
            <w:r>
              <w:t>188,679.25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8422461" w14:textId="77777777" w:rsidR="00E57DAA" w:rsidRDefault="00AC4185">
            <w:pPr>
              <w:jc w:val="right"/>
              <w:rPr>
                <w:szCs w:val="21"/>
              </w:rPr>
            </w:pPr>
            <w:r>
              <w:t>273,584.91</w:t>
            </w:r>
          </w:p>
        </w:tc>
      </w:tr>
      <w:tr w:rsidR="00E57DAA" w14:paraId="2FD99A2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FB2FD65" w14:textId="77777777" w:rsidR="00E57DAA" w:rsidRDefault="00AC4185">
            <w:pPr>
              <w:rPr>
                <w:szCs w:val="21"/>
              </w:rPr>
            </w:pPr>
            <w:r>
              <w:t>中建材行业生产力促进中心有限公司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AFF85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D6E39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3E6FF36" w14:textId="77777777" w:rsidR="00E57DAA" w:rsidRDefault="00AC4185">
            <w:pPr>
              <w:jc w:val="right"/>
              <w:rPr>
                <w:szCs w:val="21"/>
              </w:rPr>
            </w:pPr>
            <w:r>
              <w:t>2,327,433.63</w:t>
            </w:r>
          </w:p>
        </w:tc>
      </w:tr>
      <w:tr w:rsidR="00E57DAA" w14:paraId="0DB22E3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9FB9459" w14:textId="77777777" w:rsidR="00E57DAA" w:rsidRDefault="00AC4185">
            <w:pPr>
              <w:rPr>
                <w:szCs w:val="21"/>
              </w:rPr>
            </w:pPr>
            <w:r>
              <w:t>中建材岩土工程江苏有限公司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76ED6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7F594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4918542" w14:textId="77777777" w:rsidR="00E57DAA" w:rsidRDefault="00AC4185">
            <w:pPr>
              <w:jc w:val="right"/>
              <w:rPr>
                <w:szCs w:val="21"/>
              </w:rPr>
            </w:pPr>
            <w:r>
              <w:t>291,068.92</w:t>
            </w:r>
          </w:p>
        </w:tc>
      </w:tr>
      <w:tr w:rsidR="00E57DAA" w14:paraId="7DC4590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7A3A390" w14:textId="77777777" w:rsidR="00E57DAA" w:rsidRDefault="00AC4185">
            <w:pPr>
              <w:rPr>
                <w:szCs w:val="21"/>
              </w:rPr>
            </w:pPr>
            <w:r>
              <w:t>其他关联方</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BC68BE7" w14:textId="77777777" w:rsidR="00E57DAA" w:rsidRDefault="00AC4185">
            <w:pPr>
              <w:rPr>
                <w:szCs w:val="21"/>
              </w:rPr>
            </w:pPr>
            <w:r>
              <w:t xml:space="preserve">　</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AF1E66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D219E58" w14:textId="77777777" w:rsidR="00E57DAA" w:rsidRDefault="00AC4185">
            <w:pPr>
              <w:jc w:val="right"/>
              <w:rPr>
                <w:szCs w:val="21"/>
              </w:rPr>
            </w:pPr>
            <w:r>
              <w:t xml:space="preserve">　</w:t>
            </w:r>
          </w:p>
        </w:tc>
      </w:tr>
      <w:tr w:rsidR="00E57DAA" w14:paraId="1775126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098512F" w14:textId="77777777" w:rsidR="00E57DAA" w:rsidRDefault="00AC4185">
            <w:pPr>
              <w:rPr>
                <w:szCs w:val="21"/>
              </w:rPr>
            </w:pPr>
            <w:r>
              <w:t>阿鲁科尔沁旗山水水泥有限公司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6F6ACB"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360A4D2" w14:textId="77777777" w:rsidR="00E57DAA" w:rsidRDefault="00AC4185">
            <w:pPr>
              <w:jc w:val="right"/>
              <w:rPr>
                <w:szCs w:val="21"/>
              </w:rPr>
            </w:pPr>
            <w:r>
              <w:t>11,017,834.07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D9FD32C" w14:textId="77777777" w:rsidR="00E57DAA" w:rsidRDefault="00AC4185">
            <w:pPr>
              <w:jc w:val="right"/>
              <w:rPr>
                <w:szCs w:val="21"/>
              </w:rPr>
            </w:pPr>
            <w:r>
              <w:t>787,610.62</w:t>
            </w:r>
          </w:p>
        </w:tc>
      </w:tr>
      <w:tr w:rsidR="00E57DAA" w14:paraId="34C6369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4EF373" w14:textId="77777777" w:rsidR="00E57DAA" w:rsidRDefault="00AC4185">
            <w:pPr>
              <w:rPr>
                <w:szCs w:val="21"/>
              </w:rPr>
            </w:pPr>
            <w:r>
              <w:t>安徽珍珠水泥集团股份有限公司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DE3EF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219E4A" w14:textId="77777777" w:rsidR="00E57DAA" w:rsidRDefault="00AC4185">
            <w:pPr>
              <w:jc w:val="right"/>
              <w:rPr>
                <w:szCs w:val="21"/>
              </w:rPr>
            </w:pPr>
            <w:r>
              <w:t>21,351,490.92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5C229B0" w14:textId="77777777" w:rsidR="00E57DAA" w:rsidRDefault="00AC4185">
            <w:pPr>
              <w:jc w:val="right"/>
              <w:rPr>
                <w:szCs w:val="21"/>
              </w:rPr>
            </w:pPr>
            <w:r>
              <w:t>54,316,677.18</w:t>
            </w:r>
          </w:p>
        </w:tc>
      </w:tr>
      <w:tr w:rsidR="00E57DAA" w14:paraId="1F4A8AD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329A0EA" w14:textId="77777777" w:rsidR="00E57DAA" w:rsidRDefault="00AC4185">
            <w:pPr>
              <w:rPr>
                <w:szCs w:val="21"/>
              </w:rPr>
            </w:pPr>
            <w:r>
              <w:t>安丘山水水泥有限公司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0F0B3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2E57DB" w14:textId="77777777" w:rsidR="00E57DAA" w:rsidRDefault="00AC4185">
            <w:pPr>
              <w:jc w:val="right"/>
              <w:rPr>
                <w:szCs w:val="21"/>
              </w:rPr>
            </w:pPr>
            <w:r>
              <w:t>95,953,320.86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FED57B6" w14:textId="77777777" w:rsidR="00E57DAA" w:rsidRDefault="00AC4185">
            <w:pPr>
              <w:jc w:val="right"/>
              <w:rPr>
                <w:szCs w:val="21"/>
              </w:rPr>
            </w:pPr>
            <w:r>
              <w:t>2,950,989.35</w:t>
            </w:r>
          </w:p>
        </w:tc>
      </w:tr>
      <w:tr w:rsidR="00E57DAA" w14:paraId="6DE92BE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9BDADB5" w14:textId="77777777" w:rsidR="00E57DAA" w:rsidRDefault="00AC4185">
            <w:pPr>
              <w:rPr>
                <w:szCs w:val="21"/>
              </w:rPr>
            </w:pPr>
            <w:r>
              <w:t>敖汉旗山水水泥有限公司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CBDAA6E"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402836"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F5368D2" w14:textId="77777777" w:rsidR="00E57DAA" w:rsidRDefault="00AC4185">
            <w:pPr>
              <w:jc w:val="right"/>
              <w:rPr>
                <w:szCs w:val="21"/>
              </w:rPr>
            </w:pPr>
            <w:r>
              <w:t>867,256.64</w:t>
            </w:r>
          </w:p>
        </w:tc>
      </w:tr>
      <w:tr w:rsidR="00E57DAA" w14:paraId="7AC5625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5457703" w14:textId="77777777" w:rsidR="00E57DAA" w:rsidRDefault="00AC4185">
            <w:pPr>
              <w:rPr>
                <w:szCs w:val="21"/>
              </w:rPr>
            </w:pPr>
            <w:r>
              <w:t>巴林右旗山水水泥有限公司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4F375F1"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00A62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2F3B722" w14:textId="77777777" w:rsidR="00E57DAA" w:rsidRDefault="00AC4185">
            <w:pPr>
              <w:jc w:val="right"/>
              <w:rPr>
                <w:szCs w:val="21"/>
              </w:rPr>
            </w:pPr>
            <w:r>
              <w:t>849,557.52</w:t>
            </w:r>
          </w:p>
        </w:tc>
      </w:tr>
      <w:tr w:rsidR="00E57DAA" w14:paraId="2DBB1E3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159F53B" w14:textId="77777777" w:rsidR="00E57DAA" w:rsidRDefault="00AC4185">
            <w:pPr>
              <w:rPr>
                <w:szCs w:val="21"/>
              </w:rPr>
            </w:pPr>
            <w:r>
              <w:t>白山山水水泥有限责任公司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3217B46"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83180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3DA3A0" w14:textId="77777777" w:rsidR="00E57DAA" w:rsidRDefault="00AC4185">
            <w:pPr>
              <w:jc w:val="right"/>
              <w:rPr>
                <w:szCs w:val="21"/>
              </w:rPr>
            </w:pPr>
            <w:r>
              <w:t>4,894,690.27</w:t>
            </w:r>
          </w:p>
        </w:tc>
      </w:tr>
      <w:tr w:rsidR="00E57DAA" w14:paraId="45AA7E6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E833629" w14:textId="77777777" w:rsidR="00E57DAA" w:rsidRDefault="00AC4185">
            <w:pPr>
              <w:rPr>
                <w:szCs w:val="21"/>
              </w:rPr>
            </w:pPr>
            <w:r>
              <w:t>保定太行和益环保科技有限公司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C1D1B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96EEAF" w14:textId="77777777" w:rsidR="00E57DAA" w:rsidRDefault="00AC4185">
            <w:pPr>
              <w:jc w:val="right"/>
              <w:rPr>
                <w:szCs w:val="21"/>
              </w:rPr>
            </w:pPr>
            <w:r>
              <w:t>11,790,652.15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14F98EC" w14:textId="77777777" w:rsidR="00E57DAA" w:rsidRDefault="00AC4185">
            <w:pPr>
              <w:jc w:val="right"/>
              <w:rPr>
                <w:szCs w:val="21"/>
              </w:rPr>
            </w:pPr>
            <w:r>
              <w:t xml:space="preserve">　</w:t>
            </w:r>
          </w:p>
        </w:tc>
      </w:tr>
      <w:tr w:rsidR="00E57DAA" w14:paraId="2E16F39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C05278" w14:textId="77777777" w:rsidR="00E57DAA" w:rsidRDefault="00AC4185">
            <w:pPr>
              <w:rPr>
                <w:szCs w:val="21"/>
              </w:rPr>
            </w:pPr>
            <w:r>
              <w:t>本溪山水实业有限公司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52894A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DB499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A41DC6" w14:textId="77777777" w:rsidR="00E57DAA" w:rsidRDefault="00AC4185">
            <w:pPr>
              <w:jc w:val="right"/>
              <w:rPr>
                <w:szCs w:val="21"/>
              </w:rPr>
            </w:pPr>
            <w:r>
              <w:t>454,407.08</w:t>
            </w:r>
          </w:p>
        </w:tc>
      </w:tr>
      <w:tr w:rsidR="00E57DAA" w14:paraId="5D726E5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8AFC2F" w14:textId="77777777" w:rsidR="00E57DAA" w:rsidRDefault="00AC4185">
            <w:pPr>
              <w:rPr>
                <w:szCs w:val="21"/>
              </w:rPr>
            </w:pPr>
            <w:r>
              <w:t>滨州山水水泥有限公司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BF9703E"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B53B3D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5273D95" w14:textId="77777777" w:rsidR="00E57DAA" w:rsidRDefault="00AC4185">
            <w:pPr>
              <w:jc w:val="right"/>
              <w:rPr>
                <w:szCs w:val="21"/>
              </w:rPr>
            </w:pPr>
            <w:r>
              <w:t>10,176.99</w:t>
            </w:r>
          </w:p>
        </w:tc>
      </w:tr>
      <w:tr w:rsidR="00E57DAA" w14:paraId="2946236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A00116B" w14:textId="77777777" w:rsidR="00E57DAA" w:rsidRDefault="00AC4185">
            <w:pPr>
              <w:rPr>
                <w:szCs w:val="21"/>
              </w:rPr>
            </w:pPr>
            <w:r>
              <w:t>渤海水泥（葫芦岛）有限公司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A8FB7B"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0C46DB5" w14:textId="77777777" w:rsidR="00E57DAA" w:rsidRDefault="00AC4185">
            <w:pPr>
              <w:jc w:val="right"/>
              <w:rPr>
                <w:szCs w:val="21"/>
              </w:rPr>
            </w:pPr>
            <w:r>
              <w:t>1,336,194.69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AB1924C" w14:textId="77777777" w:rsidR="00E57DAA" w:rsidRDefault="00AC4185">
            <w:pPr>
              <w:jc w:val="right"/>
              <w:rPr>
                <w:szCs w:val="21"/>
              </w:rPr>
            </w:pPr>
            <w:r>
              <w:t>3,494,513.29</w:t>
            </w:r>
          </w:p>
        </w:tc>
      </w:tr>
      <w:tr w:rsidR="00E57DAA" w14:paraId="6E5D50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C936A9" w14:textId="77777777" w:rsidR="00E57DAA" w:rsidRDefault="00AC4185">
            <w:pPr>
              <w:rPr>
                <w:szCs w:val="21"/>
              </w:rPr>
            </w:pPr>
            <w:r>
              <w:t>昌乐山水水泥有限公司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C4297C1"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1C4C752" w14:textId="77777777" w:rsidR="00E57DAA" w:rsidRDefault="00AC4185">
            <w:pPr>
              <w:jc w:val="right"/>
              <w:rPr>
                <w:szCs w:val="21"/>
              </w:rPr>
            </w:pPr>
            <w:r>
              <w:t>518,867.92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51F571B" w14:textId="77777777" w:rsidR="00E57DAA" w:rsidRDefault="00AC4185">
            <w:pPr>
              <w:jc w:val="right"/>
              <w:rPr>
                <w:szCs w:val="21"/>
              </w:rPr>
            </w:pPr>
            <w:r>
              <w:t xml:space="preserve">　</w:t>
            </w:r>
          </w:p>
        </w:tc>
      </w:tr>
      <w:tr w:rsidR="00E57DAA" w14:paraId="174B056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CF0649F" w14:textId="77777777" w:rsidR="00E57DAA" w:rsidRDefault="00AC4185">
            <w:pPr>
              <w:rPr>
                <w:szCs w:val="21"/>
              </w:rPr>
            </w:pPr>
            <w:r>
              <w:t>朝阳山水东鑫水泥有限公司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50CD2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DB1D26" w14:textId="77777777" w:rsidR="00E57DAA" w:rsidRDefault="00AC4185">
            <w:pPr>
              <w:jc w:val="right"/>
              <w:rPr>
                <w:szCs w:val="21"/>
              </w:rPr>
            </w:pPr>
            <w:r>
              <w:t>35,649.31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3F9F579" w14:textId="77777777" w:rsidR="00E57DAA" w:rsidRDefault="00AC4185">
            <w:pPr>
              <w:jc w:val="right"/>
              <w:rPr>
                <w:szCs w:val="21"/>
              </w:rPr>
            </w:pPr>
            <w:r>
              <w:t>66,371.68</w:t>
            </w:r>
          </w:p>
        </w:tc>
      </w:tr>
      <w:tr w:rsidR="00E57DAA" w14:paraId="2405DC1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41B80E9" w14:textId="77777777" w:rsidR="00E57DAA" w:rsidRDefault="00AC4185">
            <w:pPr>
              <w:rPr>
                <w:szCs w:val="21"/>
              </w:rPr>
            </w:pPr>
            <w:r>
              <w:t>赤峰山水远航水泥有限公司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2D367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78F92E7" w14:textId="77777777" w:rsidR="00E57DAA" w:rsidRDefault="00AC4185">
            <w:pPr>
              <w:jc w:val="right"/>
              <w:rPr>
                <w:szCs w:val="21"/>
              </w:rPr>
            </w:pPr>
            <w:r>
              <w:t>28,459,968.28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A0384AD" w14:textId="77777777" w:rsidR="00E57DAA" w:rsidRDefault="00AC4185">
            <w:pPr>
              <w:jc w:val="right"/>
              <w:rPr>
                <w:szCs w:val="21"/>
              </w:rPr>
            </w:pPr>
            <w:r>
              <w:t>45,699,396.90</w:t>
            </w:r>
          </w:p>
        </w:tc>
      </w:tr>
      <w:tr w:rsidR="00E57DAA" w14:paraId="218B9A3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FD9C9EF" w14:textId="77777777" w:rsidR="00E57DAA" w:rsidRDefault="00AC4185">
            <w:pPr>
              <w:rPr>
                <w:szCs w:val="21"/>
              </w:rPr>
            </w:pPr>
            <w:r>
              <w:t>大连山水水泥有限公司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248C4C"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2271B78"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155BEF6" w14:textId="77777777" w:rsidR="00E57DAA" w:rsidRDefault="00AC4185">
            <w:pPr>
              <w:jc w:val="right"/>
              <w:rPr>
                <w:szCs w:val="21"/>
              </w:rPr>
            </w:pPr>
            <w:r>
              <w:t>166,371.68</w:t>
            </w:r>
          </w:p>
        </w:tc>
      </w:tr>
      <w:tr w:rsidR="00E57DAA" w14:paraId="0726FD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3A80853" w14:textId="77777777" w:rsidR="00E57DAA" w:rsidRDefault="00AC4185">
            <w:pPr>
              <w:rPr>
                <w:szCs w:val="21"/>
              </w:rPr>
            </w:pPr>
            <w:r>
              <w:t>大庆油田水泥有限责任公司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54118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3206F2" w14:textId="77777777" w:rsidR="00E57DAA" w:rsidRDefault="00AC4185">
            <w:pPr>
              <w:jc w:val="right"/>
              <w:rPr>
                <w:szCs w:val="21"/>
              </w:rPr>
            </w:pPr>
            <w:r>
              <w:t>96,902.65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E4138A5" w14:textId="77777777" w:rsidR="00E57DAA" w:rsidRDefault="00AC4185">
            <w:pPr>
              <w:jc w:val="right"/>
              <w:rPr>
                <w:szCs w:val="21"/>
              </w:rPr>
            </w:pPr>
            <w:r>
              <w:t xml:space="preserve">　</w:t>
            </w:r>
          </w:p>
        </w:tc>
      </w:tr>
      <w:tr w:rsidR="00E57DAA" w14:paraId="69A0409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DE20A49" w14:textId="77777777" w:rsidR="00E57DAA" w:rsidRDefault="00AC4185">
            <w:pPr>
              <w:rPr>
                <w:szCs w:val="21"/>
              </w:rPr>
            </w:pPr>
            <w:r>
              <w:t>大冶尖峰水泥有限公司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3B19AA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87473F" w14:textId="77777777" w:rsidR="00E57DAA" w:rsidRDefault="00AC4185">
            <w:pPr>
              <w:jc w:val="right"/>
              <w:rPr>
                <w:szCs w:val="21"/>
              </w:rPr>
            </w:pPr>
            <w:r>
              <w:t>4,466,371.70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C50D68" w14:textId="77777777" w:rsidR="00E57DAA" w:rsidRDefault="00AC4185">
            <w:pPr>
              <w:jc w:val="right"/>
              <w:rPr>
                <w:szCs w:val="21"/>
              </w:rPr>
            </w:pPr>
            <w:r>
              <w:t>18,764,944.16</w:t>
            </w:r>
          </w:p>
        </w:tc>
      </w:tr>
      <w:tr w:rsidR="00E57DAA" w14:paraId="45FCCDA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DB0420" w14:textId="77777777" w:rsidR="00E57DAA" w:rsidRDefault="00AC4185">
            <w:pPr>
              <w:rPr>
                <w:szCs w:val="21"/>
              </w:rPr>
            </w:pPr>
            <w:r>
              <w:t>单县山水水泥有限公司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43A119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2C1E97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426F7C9" w14:textId="77777777" w:rsidR="00E57DAA" w:rsidRDefault="00AC4185">
            <w:pPr>
              <w:jc w:val="right"/>
              <w:rPr>
                <w:szCs w:val="21"/>
              </w:rPr>
            </w:pPr>
            <w:r>
              <w:t>8,141.59</w:t>
            </w:r>
          </w:p>
        </w:tc>
      </w:tr>
      <w:tr w:rsidR="00E57DAA" w14:paraId="143835C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E69BB1D" w14:textId="77777777" w:rsidR="00E57DAA" w:rsidRDefault="00AC4185">
            <w:pPr>
              <w:rPr>
                <w:szCs w:val="21"/>
              </w:rPr>
            </w:pPr>
            <w:r>
              <w:t>登电集团水泥有限公司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3BF34C"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BF16115" w14:textId="77777777" w:rsidR="00E57DAA" w:rsidRDefault="00AC4185">
            <w:pPr>
              <w:jc w:val="right"/>
              <w:rPr>
                <w:szCs w:val="21"/>
              </w:rPr>
            </w:pPr>
            <w:r>
              <w:t>5,752.21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6263E7D" w14:textId="77777777" w:rsidR="00E57DAA" w:rsidRDefault="00AC4185">
            <w:pPr>
              <w:jc w:val="right"/>
              <w:rPr>
                <w:szCs w:val="21"/>
              </w:rPr>
            </w:pPr>
            <w:r>
              <w:t xml:space="preserve">　</w:t>
            </w:r>
          </w:p>
        </w:tc>
      </w:tr>
      <w:tr w:rsidR="00E57DAA" w14:paraId="2C38B42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B73CA24" w14:textId="77777777" w:rsidR="00E57DAA" w:rsidRDefault="00AC4185">
            <w:pPr>
              <w:rPr>
                <w:szCs w:val="21"/>
              </w:rPr>
            </w:pPr>
            <w:r>
              <w:t>都匀上峰西南水泥有限公司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1E9F6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5D6ABA2" w14:textId="77777777" w:rsidR="00E57DAA" w:rsidRDefault="00AC4185">
            <w:pPr>
              <w:jc w:val="right"/>
              <w:rPr>
                <w:szCs w:val="21"/>
              </w:rPr>
            </w:pPr>
            <w:r>
              <w:t>237,174,027.56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7831E92" w14:textId="77777777" w:rsidR="00E57DAA" w:rsidRDefault="00AC4185">
            <w:pPr>
              <w:jc w:val="right"/>
              <w:rPr>
                <w:szCs w:val="21"/>
              </w:rPr>
            </w:pPr>
            <w:r>
              <w:t>480,865,164.01</w:t>
            </w:r>
          </w:p>
        </w:tc>
      </w:tr>
      <w:tr w:rsidR="00E57DAA" w14:paraId="0C882C2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63682D" w14:textId="77777777" w:rsidR="00E57DAA" w:rsidRDefault="00AC4185">
            <w:pPr>
              <w:rPr>
                <w:szCs w:val="21"/>
              </w:rPr>
            </w:pPr>
            <w:r>
              <w:t>凤阳中都水泥有限公司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A0486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07AC1B" w14:textId="77777777" w:rsidR="00E57DAA" w:rsidRDefault="00AC4185">
            <w:pPr>
              <w:jc w:val="right"/>
              <w:rPr>
                <w:szCs w:val="21"/>
              </w:rPr>
            </w:pPr>
            <w:r>
              <w:t>1,649,194.72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F62634C" w14:textId="77777777" w:rsidR="00E57DAA" w:rsidRDefault="00AC4185">
            <w:pPr>
              <w:jc w:val="right"/>
              <w:rPr>
                <w:szCs w:val="21"/>
              </w:rPr>
            </w:pPr>
            <w:r>
              <w:t>20,760,893.11</w:t>
            </w:r>
          </w:p>
        </w:tc>
      </w:tr>
      <w:tr w:rsidR="00E57DAA" w14:paraId="72CBF4D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11DFCE" w14:textId="77777777" w:rsidR="00E57DAA" w:rsidRDefault="00AC4185">
            <w:pPr>
              <w:rPr>
                <w:szCs w:val="21"/>
              </w:rPr>
            </w:pPr>
            <w:r>
              <w:t>贵州黔桂金州建材有限公司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BC3B84E"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E825357" w14:textId="77777777" w:rsidR="00E57DAA" w:rsidRDefault="00AC4185">
            <w:pPr>
              <w:jc w:val="right"/>
              <w:rPr>
                <w:szCs w:val="21"/>
              </w:rPr>
            </w:pPr>
            <w:r>
              <w:t>9,221,782.82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8C403A0" w14:textId="77777777" w:rsidR="00E57DAA" w:rsidRDefault="00AC4185">
            <w:pPr>
              <w:jc w:val="right"/>
              <w:rPr>
                <w:szCs w:val="21"/>
              </w:rPr>
            </w:pPr>
            <w:r>
              <w:t xml:space="preserve">　</w:t>
            </w:r>
          </w:p>
        </w:tc>
      </w:tr>
      <w:tr w:rsidR="00E57DAA" w14:paraId="2AE716B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57D4656" w14:textId="77777777" w:rsidR="00E57DAA" w:rsidRDefault="00AC4185">
            <w:pPr>
              <w:rPr>
                <w:szCs w:val="21"/>
              </w:rPr>
            </w:pPr>
            <w:r>
              <w:t>邯郸金隅太行水泥有限责任公司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FFFD8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4ADE4EE" w14:textId="77777777" w:rsidR="00E57DAA" w:rsidRDefault="00AC4185">
            <w:pPr>
              <w:jc w:val="right"/>
              <w:rPr>
                <w:szCs w:val="21"/>
              </w:rPr>
            </w:pPr>
            <w:r>
              <w:t>50,566.37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E3463D8" w14:textId="77777777" w:rsidR="00E57DAA" w:rsidRDefault="00AC4185">
            <w:pPr>
              <w:jc w:val="right"/>
              <w:rPr>
                <w:szCs w:val="21"/>
              </w:rPr>
            </w:pPr>
            <w:r>
              <w:t xml:space="preserve">　</w:t>
            </w:r>
          </w:p>
        </w:tc>
      </w:tr>
      <w:tr w:rsidR="00E57DAA" w14:paraId="3E1375B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E5FE5C9" w14:textId="77777777" w:rsidR="00E57DAA" w:rsidRDefault="00AC4185">
            <w:pPr>
              <w:rPr>
                <w:szCs w:val="21"/>
              </w:rPr>
            </w:pPr>
            <w:r>
              <w:t>合肥优奈特股权投资合伙企业（有限合伙）</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FF58C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1FD1DB6" w14:textId="77777777" w:rsidR="00E57DAA" w:rsidRDefault="00AC4185">
            <w:pPr>
              <w:jc w:val="right"/>
              <w:rPr>
                <w:szCs w:val="21"/>
              </w:rPr>
            </w:pPr>
            <w:r>
              <w:t>11,771.43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669A609" w14:textId="77777777" w:rsidR="00E57DAA" w:rsidRDefault="00AC4185">
            <w:pPr>
              <w:jc w:val="right"/>
              <w:rPr>
                <w:szCs w:val="21"/>
              </w:rPr>
            </w:pPr>
            <w:r>
              <w:t xml:space="preserve">　</w:t>
            </w:r>
          </w:p>
        </w:tc>
      </w:tr>
      <w:tr w:rsidR="00E57DAA" w14:paraId="088B522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B97F481" w14:textId="77777777" w:rsidR="00E57DAA" w:rsidRDefault="00AC4185">
            <w:pPr>
              <w:rPr>
                <w:szCs w:val="21"/>
              </w:rPr>
            </w:pPr>
            <w:r>
              <w:t>河南省淅川水泥有限公司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8BB87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E310254" w14:textId="77777777" w:rsidR="00E57DAA" w:rsidRDefault="00AC4185">
            <w:pPr>
              <w:jc w:val="right"/>
              <w:rPr>
                <w:szCs w:val="21"/>
              </w:rPr>
            </w:pPr>
            <w:r>
              <w:t>124,977.88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9331A79" w14:textId="77777777" w:rsidR="00E57DAA" w:rsidRDefault="00AC4185">
            <w:pPr>
              <w:jc w:val="right"/>
              <w:rPr>
                <w:szCs w:val="21"/>
              </w:rPr>
            </w:pPr>
            <w:r>
              <w:t xml:space="preserve">　</w:t>
            </w:r>
          </w:p>
        </w:tc>
      </w:tr>
      <w:tr w:rsidR="00E57DAA" w14:paraId="3C56DA4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DB4C80" w14:textId="77777777" w:rsidR="00E57DAA" w:rsidRDefault="00AC4185">
            <w:pPr>
              <w:rPr>
                <w:szCs w:val="21"/>
              </w:rPr>
            </w:pPr>
            <w:r>
              <w:t>河曲县中天隆水泥有限公司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12BC6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CD225C4"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4FF9729" w14:textId="77777777" w:rsidR="00E57DAA" w:rsidRDefault="00AC4185">
            <w:pPr>
              <w:jc w:val="right"/>
              <w:rPr>
                <w:szCs w:val="21"/>
              </w:rPr>
            </w:pPr>
            <w:r>
              <w:t>78,761.06</w:t>
            </w:r>
          </w:p>
        </w:tc>
      </w:tr>
      <w:tr w:rsidR="00E57DAA" w14:paraId="36404C4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AFFF210" w14:textId="77777777" w:rsidR="00E57DAA" w:rsidRDefault="00AC4185">
            <w:pPr>
              <w:rPr>
                <w:szCs w:val="21"/>
              </w:rPr>
            </w:pPr>
            <w:r>
              <w:t>辉县市山水水泥有限公司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F632B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048DB1" w14:textId="77777777" w:rsidR="00E57DAA" w:rsidRDefault="00AC4185">
            <w:pPr>
              <w:jc w:val="right"/>
              <w:rPr>
                <w:szCs w:val="21"/>
              </w:rPr>
            </w:pPr>
            <w:r>
              <w:t>21,065,347.67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8BC98D7" w14:textId="77777777" w:rsidR="00E57DAA" w:rsidRDefault="00AC4185">
            <w:pPr>
              <w:jc w:val="right"/>
              <w:rPr>
                <w:szCs w:val="21"/>
              </w:rPr>
            </w:pPr>
            <w:r>
              <w:t>41,150.44</w:t>
            </w:r>
          </w:p>
        </w:tc>
      </w:tr>
      <w:tr w:rsidR="00E57DAA" w14:paraId="460C3C2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BBAB693" w14:textId="77777777" w:rsidR="00E57DAA" w:rsidRDefault="00AC4185">
            <w:pPr>
              <w:rPr>
                <w:szCs w:val="21"/>
              </w:rPr>
            </w:pPr>
            <w:r>
              <w:lastRenderedPageBreak/>
              <w:t>吉林省园山水泥有限公司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4FB187F"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FE7739D"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D4B1FB4" w14:textId="77777777" w:rsidR="00E57DAA" w:rsidRDefault="00AC4185">
            <w:pPr>
              <w:jc w:val="right"/>
              <w:rPr>
                <w:szCs w:val="21"/>
              </w:rPr>
            </w:pPr>
            <w:r>
              <w:t>13,097.34</w:t>
            </w:r>
          </w:p>
        </w:tc>
      </w:tr>
      <w:tr w:rsidR="00E57DAA" w14:paraId="4EBDD38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E6C25BD" w14:textId="77777777" w:rsidR="00E57DAA" w:rsidRDefault="00AC4185">
            <w:pPr>
              <w:rPr>
                <w:szCs w:val="21"/>
              </w:rPr>
            </w:pPr>
            <w:r>
              <w:t>济南山水物流港有限公司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F0BCB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85B33F" w14:textId="77777777" w:rsidR="00E57DAA" w:rsidRDefault="00AC4185">
            <w:pPr>
              <w:jc w:val="right"/>
              <w:rPr>
                <w:szCs w:val="21"/>
              </w:rPr>
            </w:pPr>
            <w:r>
              <w:t>5,676,265.49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3A32DB" w14:textId="77777777" w:rsidR="00E57DAA" w:rsidRDefault="00AC4185">
            <w:pPr>
              <w:jc w:val="right"/>
              <w:rPr>
                <w:szCs w:val="21"/>
              </w:rPr>
            </w:pPr>
            <w:r>
              <w:t>26,601,251.97</w:t>
            </w:r>
          </w:p>
        </w:tc>
      </w:tr>
      <w:tr w:rsidR="00E57DAA" w14:paraId="0B28E3C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3689EF5" w14:textId="77777777" w:rsidR="00E57DAA" w:rsidRDefault="00AC4185">
            <w:pPr>
              <w:rPr>
                <w:szCs w:val="21"/>
              </w:rPr>
            </w:pPr>
            <w:r>
              <w:t>济宁山水水泥有限公司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A710B2"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7384187" w14:textId="77777777" w:rsidR="00E57DAA" w:rsidRDefault="00AC4185">
            <w:pPr>
              <w:jc w:val="right"/>
              <w:rPr>
                <w:szCs w:val="21"/>
              </w:rPr>
            </w:pPr>
            <w:r>
              <w:t>6,017,640.67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43688C0" w14:textId="77777777" w:rsidR="00E57DAA" w:rsidRDefault="00AC4185">
            <w:pPr>
              <w:jc w:val="right"/>
              <w:rPr>
                <w:szCs w:val="21"/>
              </w:rPr>
            </w:pPr>
            <w:r>
              <w:t>911,504.43</w:t>
            </w:r>
          </w:p>
        </w:tc>
      </w:tr>
      <w:tr w:rsidR="00E57DAA" w14:paraId="249BF28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AB6FB59" w14:textId="77777777" w:rsidR="00E57DAA" w:rsidRDefault="00AC4185">
            <w:pPr>
              <w:rPr>
                <w:szCs w:val="21"/>
              </w:rPr>
            </w:pPr>
            <w:r>
              <w:t>江苏金峰水泥集团有限公司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8D545B3"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DF98A0" w14:textId="77777777" w:rsidR="00E57DAA" w:rsidRDefault="00AC4185">
            <w:pPr>
              <w:jc w:val="right"/>
              <w:rPr>
                <w:szCs w:val="21"/>
              </w:rPr>
            </w:pPr>
            <w:r>
              <w:t>29,398,604.20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4EF1F98" w14:textId="77777777" w:rsidR="00E57DAA" w:rsidRDefault="00AC4185">
            <w:pPr>
              <w:jc w:val="right"/>
              <w:rPr>
                <w:szCs w:val="21"/>
              </w:rPr>
            </w:pPr>
            <w:r>
              <w:t>121,737,518.06</w:t>
            </w:r>
          </w:p>
        </w:tc>
      </w:tr>
      <w:tr w:rsidR="00E57DAA" w14:paraId="23738BD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DB3AC2A" w14:textId="77777777" w:rsidR="00E57DAA" w:rsidRDefault="00AC4185">
            <w:pPr>
              <w:rPr>
                <w:szCs w:val="21"/>
              </w:rPr>
            </w:pPr>
            <w:r>
              <w:t>江西德安万年青水泥有限公司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0E0848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049DF08" w14:textId="77777777" w:rsidR="00E57DAA" w:rsidRDefault="00AC4185">
            <w:pPr>
              <w:jc w:val="right"/>
              <w:rPr>
                <w:szCs w:val="21"/>
              </w:rPr>
            </w:pPr>
            <w:r>
              <w:t>39,091,867.49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CFDE629" w14:textId="77777777" w:rsidR="00E57DAA" w:rsidRDefault="00AC4185">
            <w:pPr>
              <w:jc w:val="right"/>
              <w:rPr>
                <w:szCs w:val="21"/>
              </w:rPr>
            </w:pPr>
            <w:r>
              <w:t xml:space="preserve">　</w:t>
            </w:r>
          </w:p>
        </w:tc>
      </w:tr>
      <w:tr w:rsidR="00E57DAA" w14:paraId="024DB30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2C869E9" w14:textId="77777777" w:rsidR="00E57DAA" w:rsidRDefault="00AC4185">
            <w:pPr>
              <w:rPr>
                <w:szCs w:val="21"/>
              </w:rPr>
            </w:pPr>
            <w:r>
              <w:t>江西湖口万年青水泥有限公司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D93C8F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99183D9" w14:textId="77777777" w:rsidR="00E57DAA" w:rsidRDefault="00AC4185">
            <w:pPr>
              <w:jc w:val="right"/>
              <w:rPr>
                <w:szCs w:val="21"/>
              </w:rPr>
            </w:pPr>
            <w:r>
              <w:t>292,035.40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E7BE6AF" w14:textId="77777777" w:rsidR="00E57DAA" w:rsidRDefault="00AC4185">
            <w:pPr>
              <w:jc w:val="right"/>
              <w:rPr>
                <w:szCs w:val="21"/>
              </w:rPr>
            </w:pPr>
            <w:r>
              <w:t xml:space="preserve">　</w:t>
            </w:r>
          </w:p>
        </w:tc>
      </w:tr>
      <w:tr w:rsidR="00E57DAA" w14:paraId="44670D7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9D9B2C9" w14:textId="77777777" w:rsidR="00E57DAA" w:rsidRDefault="00AC4185">
            <w:pPr>
              <w:rPr>
                <w:szCs w:val="21"/>
              </w:rPr>
            </w:pPr>
            <w:r>
              <w:t>江西乐平万年青水泥有限公司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ACBF6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137E967" w14:textId="77777777" w:rsidR="00E57DAA" w:rsidRDefault="00AC4185">
            <w:pPr>
              <w:jc w:val="right"/>
              <w:rPr>
                <w:szCs w:val="21"/>
              </w:rPr>
            </w:pPr>
            <w:r>
              <w:t>37,168.14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901C81F" w14:textId="77777777" w:rsidR="00E57DAA" w:rsidRDefault="00AC4185">
            <w:pPr>
              <w:jc w:val="right"/>
              <w:rPr>
                <w:szCs w:val="21"/>
              </w:rPr>
            </w:pPr>
            <w:r>
              <w:t xml:space="preserve">　</w:t>
            </w:r>
          </w:p>
        </w:tc>
      </w:tr>
      <w:tr w:rsidR="00E57DAA" w14:paraId="66A0DE1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7CCE59" w14:textId="77777777" w:rsidR="00E57DAA" w:rsidRDefault="00AC4185">
            <w:pPr>
              <w:rPr>
                <w:szCs w:val="21"/>
              </w:rPr>
            </w:pPr>
            <w:r>
              <w:t>江西瑞金万年青水泥有限责任公司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04FBAF"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3829C3" w14:textId="77777777" w:rsidR="00E57DAA" w:rsidRDefault="00AC4185">
            <w:pPr>
              <w:jc w:val="right"/>
              <w:rPr>
                <w:szCs w:val="21"/>
              </w:rPr>
            </w:pPr>
            <w:r>
              <w:t>56,174,780.92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EA6F8B9" w14:textId="77777777" w:rsidR="00E57DAA" w:rsidRDefault="00AC4185">
            <w:pPr>
              <w:jc w:val="right"/>
              <w:rPr>
                <w:szCs w:val="21"/>
              </w:rPr>
            </w:pPr>
            <w:r>
              <w:t xml:space="preserve">　</w:t>
            </w:r>
          </w:p>
        </w:tc>
      </w:tr>
      <w:tr w:rsidR="00E57DAA" w14:paraId="43E71A6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47444F6" w14:textId="77777777" w:rsidR="00E57DAA" w:rsidRDefault="00AC4185">
            <w:pPr>
              <w:rPr>
                <w:szCs w:val="21"/>
              </w:rPr>
            </w:pPr>
            <w:r>
              <w:t>江西万年青水泥股份有限公司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8664D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DD74CEB" w14:textId="77777777" w:rsidR="00E57DAA" w:rsidRDefault="00AC4185">
            <w:pPr>
              <w:jc w:val="right"/>
              <w:rPr>
                <w:szCs w:val="21"/>
              </w:rPr>
            </w:pPr>
            <w:r>
              <w:t>1,397,175.19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7AEB1C8" w14:textId="77777777" w:rsidR="00E57DAA" w:rsidRDefault="00AC4185">
            <w:pPr>
              <w:jc w:val="right"/>
              <w:rPr>
                <w:szCs w:val="21"/>
              </w:rPr>
            </w:pPr>
            <w:r>
              <w:t xml:space="preserve">　</w:t>
            </w:r>
          </w:p>
        </w:tc>
      </w:tr>
      <w:tr w:rsidR="00E57DAA" w14:paraId="619D9BF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3ECA59B" w14:textId="77777777" w:rsidR="00E57DAA" w:rsidRDefault="00AC4185">
            <w:pPr>
              <w:rPr>
                <w:szCs w:val="21"/>
              </w:rPr>
            </w:pPr>
            <w:r>
              <w:t>江西于都南方万年青水泥有限公司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99EA0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B3C34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257E94A" w14:textId="77777777" w:rsidR="00E57DAA" w:rsidRDefault="00AC4185">
            <w:pPr>
              <w:jc w:val="right"/>
              <w:rPr>
                <w:szCs w:val="21"/>
              </w:rPr>
            </w:pPr>
            <w:r>
              <w:t>213,849.56</w:t>
            </w:r>
          </w:p>
        </w:tc>
      </w:tr>
      <w:tr w:rsidR="00E57DAA" w14:paraId="2C191E8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6744124" w14:textId="77777777" w:rsidR="00E57DAA" w:rsidRDefault="00AC4185">
            <w:pPr>
              <w:rPr>
                <w:szCs w:val="21"/>
              </w:rPr>
            </w:pPr>
            <w:r>
              <w:t>江西玉山万年青水泥有限公司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4F4050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072B10C" w14:textId="77777777" w:rsidR="00E57DAA" w:rsidRDefault="00AC4185">
            <w:pPr>
              <w:jc w:val="right"/>
              <w:rPr>
                <w:szCs w:val="21"/>
              </w:rPr>
            </w:pPr>
            <w:r>
              <w:t>47,685,452.17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AFECD5C" w14:textId="77777777" w:rsidR="00E57DAA" w:rsidRDefault="00AC4185">
            <w:pPr>
              <w:jc w:val="right"/>
              <w:rPr>
                <w:szCs w:val="21"/>
              </w:rPr>
            </w:pPr>
            <w:r>
              <w:t>40,715,014.82</w:t>
            </w:r>
          </w:p>
        </w:tc>
      </w:tr>
      <w:tr w:rsidR="00E57DAA" w14:paraId="4C02E1A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AB44F98" w14:textId="77777777" w:rsidR="00E57DAA" w:rsidRDefault="00AC4185">
            <w:pPr>
              <w:rPr>
                <w:szCs w:val="21"/>
              </w:rPr>
            </w:pPr>
            <w:r>
              <w:t>晋城山水合聚水泥有限公司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5E6969"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FED044" w14:textId="77777777" w:rsidR="00E57DAA" w:rsidRDefault="00AC4185">
            <w:pPr>
              <w:jc w:val="right"/>
              <w:rPr>
                <w:szCs w:val="21"/>
              </w:rPr>
            </w:pPr>
            <w:r>
              <w:t>27,226,360.25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C88827D" w14:textId="77777777" w:rsidR="00E57DAA" w:rsidRDefault="00AC4185">
            <w:pPr>
              <w:jc w:val="right"/>
              <w:rPr>
                <w:szCs w:val="21"/>
              </w:rPr>
            </w:pPr>
            <w:r>
              <w:t>19,228,697.04</w:t>
            </w:r>
          </w:p>
        </w:tc>
      </w:tr>
      <w:tr w:rsidR="00E57DAA" w14:paraId="0290D58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598BC2F" w14:textId="77777777" w:rsidR="00E57DAA" w:rsidRDefault="00AC4185">
            <w:pPr>
              <w:rPr>
                <w:szCs w:val="21"/>
              </w:rPr>
            </w:pPr>
            <w:r>
              <w:t>晋城山水水泥有限公司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78271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80C39E" w14:textId="77777777" w:rsidR="00E57DAA" w:rsidRDefault="00AC4185">
            <w:pPr>
              <w:jc w:val="right"/>
              <w:rPr>
                <w:szCs w:val="21"/>
              </w:rPr>
            </w:pPr>
            <w:r>
              <w:t>14,235,941.18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9DD8700" w14:textId="77777777" w:rsidR="00E57DAA" w:rsidRDefault="00AC4185">
            <w:pPr>
              <w:jc w:val="right"/>
              <w:rPr>
                <w:szCs w:val="21"/>
              </w:rPr>
            </w:pPr>
            <w:r>
              <w:t>26,837,714.28</w:t>
            </w:r>
          </w:p>
        </w:tc>
      </w:tr>
      <w:tr w:rsidR="00E57DAA" w14:paraId="45D97E6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95D782A" w14:textId="77777777" w:rsidR="00E57DAA" w:rsidRDefault="00AC4185">
            <w:pPr>
              <w:rPr>
                <w:szCs w:val="21"/>
              </w:rPr>
            </w:pPr>
            <w:r>
              <w:t>靖边县山水水泥有限公司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D792F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62ED96E"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E58203C" w14:textId="77777777" w:rsidR="00E57DAA" w:rsidRDefault="00AC4185">
            <w:pPr>
              <w:jc w:val="right"/>
              <w:rPr>
                <w:szCs w:val="21"/>
              </w:rPr>
            </w:pPr>
            <w:r>
              <w:t>7,964.60</w:t>
            </w:r>
          </w:p>
        </w:tc>
      </w:tr>
      <w:tr w:rsidR="00E57DAA" w14:paraId="69ECA7C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3D22E53" w14:textId="77777777" w:rsidR="00E57DAA" w:rsidRDefault="00AC4185">
            <w:pPr>
              <w:rPr>
                <w:szCs w:val="21"/>
              </w:rPr>
            </w:pPr>
            <w:r>
              <w:t>巨野山水水泥有限公司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47ECE2"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F5785EC"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BB99743" w14:textId="77777777" w:rsidR="00E57DAA" w:rsidRDefault="00AC4185">
            <w:pPr>
              <w:jc w:val="right"/>
              <w:rPr>
                <w:szCs w:val="21"/>
              </w:rPr>
            </w:pPr>
            <w:r>
              <w:t>24,424.78</w:t>
            </w:r>
          </w:p>
        </w:tc>
      </w:tr>
      <w:tr w:rsidR="00E57DAA" w14:paraId="2C912FC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6EE41BC" w14:textId="77777777" w:rsidR="00E57DAA" w:rsidRDefault="00AC4185">
            <w:pPr>
              <w:rPr>
                <w:szCs w:val="21"/>
              </w:rPr>
            </w:pPr>
            <w:r>
              <w:t>喀左丛元号水泥有限责任公司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D5C901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311283D" w14:textId="77777777" w:rsidR="00E57DAA" w:rsidRDefault="00AC4185">
            <w:pPr>
              <w:jc w:val="right"/>
              <w:rPr>
                <w:szCs w:val="21"/>
              </w:rPr>
            </w:pPr>
            <w:r>
              <w:t>20,575,544.59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4416A21" w14:textId="77777777" w:rsidR="00E57DAA" w:rsidRDefault="00AC4185">
            <w:pPr>
              <w:jc w:val="right"/>
              <w:rPr>
                <w:szCs w:val="21"/>
              </w:rPr>
            </w:pPr>
            <w:r>
              <w:t>204,778.75</w:t>
            </w:r>
          </w:p>
        </w:tc>
      </w:tr>
      <w:tr w:rsidR="00E57DAA" w14:paraId="26F1E4C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8E2E38C" w14:textId="77777777" w:rsidR="00E57DAA" w:rsidRDefault="00AC4185">
            <w:pPr>
              <w:rPr>
                <w:szCs w:val="21"/>
              </w:rPr>
            </w:pPr>
            <w:r>
              <w:t>康达（山东）水泥有限公司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3404E2D"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503BF6F"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BD3C9D0" w14:textId="77777777" w:rsidR="00E57DAA" w:rsidRDefault="00AC4185">
            <w:pPr>
              <w:jc w:val="right"/>
              <w:rPr>
                <w:szCs w:val="21"/>
              </w:rPr>
            </w:pPr>
            <w:r>
              <w:t>29,511,724.08</w:t>
            </w:r>
          </w:p>
        </w:tc>
      </w:tr>
      <w:tr w:rsidR="00E57DAA" w14:paraId="6B8E0753"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8E2E403" w14:textId="77777777" w:rsidR="00E57DAA" w:rsidRDefault="00AC4185">
            <w:pPr>
              <w:rPr>
                <w:szCs w:val="21"/>
              </w:rPr>
            </w:pPr>
            <w:r>
              <w:t>科右中旗山水水泥有限公司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3521DA2"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47A1D3"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717EA8C" w14:textId="77777777" w:rsidR="00E57DAA" w:rsidRDefault="00AC4185">
            <w:pPr>
              <w:jc w:val="right"/>
              <w:rPr>
                <w:szCs w:val="21"/>
              </w:rPr>
            </w:pPr>
            <w:r>
              <w:t>1,256,637.17</w:t>
            </w:r>
          </w:p>
        </w:tc>
      </w:tr>
      <w:tr w:rsidR="00E57DAA" w14:paraId="088D1B48"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2BBEEC4" w14:textId="77777777" w:rsidR="00E57DAA" w:rsidRDefault="00AC4185">
            <w:pPr>
              <w:rPr>
                <w:szCs w:val="21"/>
              </w:rPr>
            </w:pPr>
            <w:r>
              <w:t>拉萨城投祁连山水泥有限公司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C3B98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B1788F" w14:textId="77777777" w:rsidR="00E57DAA" w:rsidRDefault="00AC4185">
            <w:pPr>
              <w:jc w:val="right"/>
              <w:rPr>
                <w:szCs w:val="21"/>
              </w:rPr>
            </w:pPr>
            <w:r>
              <w:t>61,455,599.88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46B0434" w14:textId="77777777" w:rsidR="00E57DAA" w:rsidRDefault="00AC4185">
            <w:pPr>
              <w:jc w:val="right"/>
              <w:rPr>
                <w:szCs w:val="21"/>
              </w:rPr>
            </w:pPr>
            <w:r>
              <w:t>50,973.45</w:t>
            </w:r>
          </w:p>
        </w:tc>
      </w:tr>
      <w:tr w:rsidR="00E57DAA" w14:paraId="4DD9D0A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85C4B36" w14:textId="77777777" w:rsidR="00E57DAA" w:rsidRDefault="00AC4185">
            <w:pPr>
              <w:rPr>
                <w:szCs w:val="21"/>
              </w:rPr>
            </w:pPr>
            <w:r>
              <w:t>乐平万年青上堡矿业有限公司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7BE16FA"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2847625" w14:textId="77777777" w:rsidR="00E57DAA" w:rsidRDefault="00AC4185">
            <w:pPr>
              <w:jc w:val="right"/>
              <w:rPr>
                <w:szCs w:val="21"/>
              </w:rPr>
            </w:pPr>
            <w:r>
              <w:t>14,721,793.70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EB55710" w14:textId="77777777" w:rsidR="00E57DAA" w:rsidRDefault="00AC4185">
            <w:pPr>
              <w:jc w:val="right"/>
              <w:rPr>
                <w:szCs w:val="21"/>
              </w:rPr>
            </w:pPr>
            <w:r>
              <w:t xml:space="preserve">　</w:t>
            </w:r>
          </w:p>
        </w:tc>
      </w:tr>
      <w:tr w:rsidR="00E57DAA" w14:paraId="53FF430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27BB8A" w14:textId="77777777" w:rsidR="00E57DAA" w:rsidRDefault="00AC4185">
            <w:pPr>
              <w:rPr>
                <w:szCs w:val="21"/>
              </w:rPr>
            </w:pPr>
            <w:r>
              <w:t>辽宁山水工源水泥有限公司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7528189"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3404DE4" w14:textId="77777777" w:rsidR="00E57DAA" w:rsidRDefault="00AC4185">
            <w:pPr>
              <w:jc w:val="right"/>
              <w:rPr>
                <w:szCs w:val="21"/>
              </w:rPr>
            </w:pPr>
            <w:r>
              <w:t>410,265.49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4F91DF6" w14:textId="77777777" w:rsidR="00E57DAA" w:rsidRDefault="00AC4185">
            <w:pPr>
              <w:jc w:val="right"/>
              <w:rPr>
                <w:szCs w:val="21"/>
              </w:rPr>
            </w:pPr>
            <w:r>
              <w:t>512,127.24</w:t>
            </w:r>
          </w:p>
        </w:tc>
      </w:tr>
      <w:tr w:rsidR="00E57DAA" w14:paraId="6F775CC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2BC3E04" w14:textId="77777777" w:rsidR="00E57DAA" w:rsidRDefault="00AC4185">
            <w:pPr>
              <w:rPr>
                <w:szCs w:val="21"/>
              </w:rPr>
            </w:pPr>
            <w:r>
              <w:t>辽阳千山水泥有限责任公司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A3CF5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955CC58" w14:textId="77777777" w:rsidR="00E57DAA" w:rsidRDefault="00AC4185">
            <w:pPr>
              <w:jc w:val="right"/>
              <w:rPr>
                <w:szCs w:val="21"/>
              </w:rPr>
            </w:pPr>
            <w:r>
              <w:t>230,530.98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B8D1BFB" w14:textId="77777777" w:rsidR="00E57DAA" w:rsidRDefault="00AC4185">
            <w:pPr>
              <w:jc w:val="right"/>
              <w:rPr>
                <w:szCs w:val="21"/>
              </w:rPr>
            </w:pPr>
            <w:r>
              <w:t>408,964.61</w:t>
            </w:r>
          </w:p>
        </w:tc>
      </w:tr>
      <w:tr w:rsidR="00E57DAA" w14:paraId="47A4CBB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12FFE9C" w14:textId="77777777" w:rsidR="00E57DAA" w:rsidRDefault="00AC4185">
            <w:pPr>
              <w:rPr>
                <w:szCs w:val="21"/>
              </w:rPr>
            </w:pPr>
            <w:r>
              <w:t>辽源金刚水泥(集团)有限公司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947944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A10D120" w14:textId="77777777" w:rsidR="00E57DAA" w:rsidRDefault="00AC4185">
            <w:pPr>
              <w:jc w:val="right"/>
              <w:rPr>
                <w:szCs w:val="21"/>
              </w:rPr>
            </w:pPr>
            <w:r>
              <w:t>42,169.81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2335DDD" w14:textId="77777777" w:rsidR="00E57DAA" w:rsidRDefault="00AC4185">
            <w:pPr>
              <w:jc w:val="right"/>
              <w:rPr>
                <w:szCs w:val="21"/>
              </w:rPr>
            </w:pPr>
            <w:r>
              <w:t xml:space="preserve">　</w:t>
            </w:r>
          </w:p>
        </w:tc>
      </w:tr>
      <w:tr w:rsidR="00E57DAA" w14:paraId="72C9196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8270811" w14:textId="77777777" w:rsidR="00E57DAA" w:rsidRDefault="00AC4185">
            <w:pPr>
              <w:rPr>
                <w:szCs w:val="21"/>
              </w:rPr>
            </w:pPr>
            <w:r>
              <w:t>临汾山水水泥有限公司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C6D2195"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AE2DD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22078DA" w14:textId="77777777" w:rsidR="00E57DAA" w:rsidRDefault="00AC4185">
            <w:pPr>
              <w:jc w:val="right"/>
              <w:rPr>
                <w:szCs w:val="21"/>
              </w:rPr>
            </w:pPr>
            <w:r>
              <w:t>305,660.38</w:t>
            </w:r>
          </w:p>
        </w:tc>
      </w:tr>
      <w:tr w:rsidR="00E57DAA" w14:paraId="4B68874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7E1BA27" w14:textId="77777777" w:rsidR="00E57DAA" w:rsidRDefault="00AC4185">
            <w:pPr>
              <w:rPr>
                <w:szCs w:val="21"/>
              </w:rPr>
            </w:pPr>
            <w:r>
              <w:t>临朐山水水泥有限公司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AF235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EEB8AC8" w14:textId="77777777" w:rsidR="00E57DAA" w:rsidRDefault="00AC4185">
            <w:pPr>
              <w:jc w:val="right"/>
              <w:rPr>
                <w:szCs w:val="21"/>
              </w:rPr>
            </w:pPr>
            <w:r>
              <w:t>68,082,452.63</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D38141D" w14:textId="77777777" w:rsidR="00E57DAA" w:rsidRDefault="00AC4185">
            <w:pPr>
              <w:jc w:val="right"/>
              <w:rPr>
                <w:szCs w:val="21"/>
              </w:rPr>
            </w:pPr>
            <w:r>
              <w:t>299,557.52</w:t>
            </w:r>
          </w:p>
        </w:tc>
      </w:tr>
      <w:tr w:rsidR="00E57DAA" w14:paraId="23871CB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041BB553" w14:textId="77777777" w:rsidR="00E57DAA" w:rsidRDefault="00AC4185">
            <w:pPr>
              <w:rPr>
                <w:szCs w:val="21"/>
              </w:rPr>
            </w:pPr>
            <w:r>
              <w:t>吕梁山水水泥有限公司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07D98A"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31594C" w14:textId="77777777" w:rsidR="00E57DAA" w:rsidRDefault="00AC4185">
            <w:pPr>
              <w:jc w:val="right"/>
              <w:rPr>
                <w:szCs w:val="21"/>
              </w:rPr>
            </w:pPr>
            <w:r>
              <w:t>2,796,460.18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3BB478" w14:textId="77777777" w:rsidR="00E57DAA" w:rsidRDefault="00AC4185">
            <w:pPr>
              <w:jc w:val="right"/>
              <w:rPr>
                <w:szCs w:val="21"/>
              </w:rPr>
            </w:pPr>
            <w:r>
              <w:t>13,769,665.63</w:t>
            </w:r>
          </w:p>
        </w:tc>
      </w:tr>
      <w:tr w:rsidR="00E57DAA" w14:paraId="772D8B9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1663A88" w14:textId="77777777" w:rsidR="00E57DAA" w:rsidRDefault="00AC4185">
            <w:pPr>
              <w:rPr>
                <w:szCs w:val="21"/>
              </w:rPr>
            </w:pPr>
            <w:r>
              <w:t>马鞍山南方材料有限公司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E02BE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801151C" w14:textId="77777777" w:rsidR="00E57DAA" w:rsidRDefault="00AC4185">
            <w:pPr>
              <w:jc w:val="right"/>
              <w:rPr>
                <w:szCs w:val="21"/>
              </w:rPr>
            </w:pPr>
            <w:r>
              <w:t>449,056.58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C93A4FE" w14:textId="77777777" w:rsidR="00E57DAA" w:rsidRDefault="00AC4185">
            <w:pPr>
              <w:jc w:val="right"/>
              <w:rPr>
                <w:szCs w:val="21"/>
              </w:rPr>
            </w:pPr>
            <w:r>
              <w:t xml:space="preserve">　</w:t>
            </w:r>
          </w:p>
        </w:tc>
      </w:tr>
      <w:tr w:rsidR="00E57DAA" w14:paraId="21A13496"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9515901" w14:textId="77777777" w:rsidR="00E57DAA" w:rsidRDefault="00AC4185">
            <w:pPr>
              <w:rPr>
                <w:szCs w:val="21"/>
              </w:rPr>
            </w:pPr>
            <w:r>
              <w:t>盘锦山水水泥有限公司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0D04EE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270086D"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F0017E2" w14:textId="77777777" w:rsidR="00E57DAA" w:rsidRDefault="00AC4185">
            <w:pPr>
              <w:jc w:val="right"/>
              <w:rPr>
                <w:szCs w:val="21"/>
              </w:rPr>
            </w:pPr>
            <w:r>
              <w:t>2,300.88</w:t>
            </w:r>
          </w:p>
        </w:tc>
      </w:tr>
      <w:tr w:rsidR="00E57DAA" w14:paraId="558CD31C"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06B1F28" w14:textId="77777777" w:rsidR="00E57DAA" w:rsidRDefault="00AC4185">
            <w:pPr>
              <w:rPr>
                <w:szCs w:val="21"/>
              </w:rPr>
            </w:pPr>
            <w:r>
              <w:t>平阴山水水泥有限公司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8971201"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69A8D5A" w14:textId="77777777" w:rsidR="00E57DAA" w:rsidRDefault="00AC4185">
            <w:pPr>
              <w:jc w:val="right"/>
              <w:rPr>
                <w:szCs w:val="21"/>
              </w:rPr>
            </w:pPr>
            <w:r>
              <w:t>107,614,192.70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2D7921" w14:textId="77777777" w:rsidR="00E57DAA" w:rsidRDefault="00AC4185">
            <w:pPr>
              <w:jc w:val="right"/>
              <w:rPr>
                <w:szCs w:val="21"/>
              </w:rPr>
            </w:pPr>
            <w:r>
              <w:t>301,155,885.34</w:t>
            </w:r>
          </w:p>
        </w:tc>
      </w:tr>
      <w:tr w:rsidR="00E57DAA" w14:paraId="5A76C5C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68BB736" w14:textId="77777777" w:rsidR="00E57DAA" w:rsidRDefault="00AC4185">
            <w:pPr>
              <w:rPr>
                <w:szCs w:val="21"/>
              </w:rPr>
            </w:pPr>
            <w:r>
              <w:t>青岛山水恒泰水泥有限公司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9004486"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A517B1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2EC9E03" w14:textId="77777777" w:rsidR="00E57DAA" w:rsidRDefault="00AC4185">
            <w:pPr>
              <w:jc w:val="right"/>
              <w:rPr>
                <w:szCs w:val="21"/>
              </w:rPr>
            </w:pPr>
            <w:r>
              <w:t>254,716.98</w:t>
            </w:r>
          </w:p>
        </w:tc>
      </w:tr>
      <w:tr w:rsidR="00E57DAA" w14:paraId="19143FC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98F858C" w14:textId="77777777" w:rsidR="00E57DAA" w:rsidRDefault="00AC4185">
            <w:pPr>
              <w:rPr>
                <w:szCs w:val="21"/>
              </w:rPr>
            </w:pPr>
            <w:r>
              <w:t>山东国材工程有限公司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02FC3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7919D59" w14:textId="77777777" w:rsidR="00E57DAA" w:rsidRDefault="00AC4185">
            <w:pPr>
              <w:jc w:val="right"/>
              <w:rPr>
                <w:szCs w:val="21"/>
              </w:rPr>
            </w:pPr>
            <w:r>
              <w:t>253,673.41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84E25FD" w14:textId="77777777" w:rsidR="00E57DAA" w:rsidRDefault="00AC4185">
            <w:pPr>
              <w:jc w:val="right"/>
              <w:rPr>
                <w:szCs w:val="21"/>
              </w:rPr>
            </w:pPr>
            <w:r>
              <w:t xml:space="preserve">　</w:t>
            </w:r>
          </w:p>
        </w:tc>
      </w:tr>
      <w:tr w:rsidR="00E57DAA" w14:paraId="1906362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DF0869" w14:textId="77777777" w:rsidR="00E57DAA" w:rsidRDefault="00AC4185">
            <w:pPr>
              <w:rPr>
                <w:szCs w:val="21"/>
              </w:rPr>
            </w:pPr>
            <w:r>
              <w:lastRenderedPageBreak/>
              <w:t>山东泉兴水泥有限公司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52858D"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BDA5127" w14:textId="77777777" w:rsidR="00E57DAA" w:rsidRDefault="00AC4185">
            <w:pPr>
              <w:jc w:val="right"/>
              <w:rPr>
                <w:szCs w:val="21"/>
              </w:rPr>
            </w:pPr>
            <w:r>
              <w:t>2,130,955.10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1684AB2" w14:textId="77777777" w:rsidR="00E57DAA" w:rsidRDefault="00AC4185">
            <w:pPr>
              <w:jc w:val="right"/>
              <w:rPr>
                <w:szCs w:val="21"/>
              </w:rPr>
            </w:pPr>
            <w:r>
              <w:t>23,878,552.57</w:t>
            </w:r>
          </w:p>
        </w:tc>
      </w:tr>
      <w:tr w:rsidR="00E57DAA" w14:paraId="3388767E"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E584572" w14:textId="77777777" w:rsidR="00E57DAA" w:rsidRDefault="00AC4185">
            <w:pPr>
              <w:rPr>
                <w:szCs w:val="21"/>
              </w:rPr>
            </w:pPr>
            <w:r>
              <w:t>山东泉兴晶石建材有限公司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6CEC2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ABC202"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43EAD3B" w14:textId="77777777" w:rsidR="00E57DAA" w:rsidRDefault="00AC4185">
            <w:pPr>
              <w:jc w:val="right"/>
              <w:rPr>
                <w:szCs w:val="21"/>
              </w:rPr>
            </w:pPr>
            <w:r>
              <w:t>21,186,726.25</w:t>
            </w:r>
          </w:p>
        </w:tc>
      </w:tr>
      <w:tr w:rsidR="00E57DAA" w14:paraId="706E608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536933F" w14:textId="77777777" w:rsidR="00E57DAA" w:rsidRDefault="00AC4185">
            <w:pPr>
              <w:rPr>
                <w:szCs w:val="21"/>
              </w:rPr>
            </w:pPr>
            <w:r>
              <w:t>山东山水重工有限公司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9BB98B3"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CDDE970" w14:textId="77777777" w:rsidR="00E57DAA" w:rsidRDefault="00AC4185">
            <w:pPr>
              <w:jc w:val="right"/>
              <w:rPr>
                <w:szCs w:val="21"/>
              </w:rPr>
            </w:pPr>
            <w:r>
              <w:t>69,008.85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851426E" w14:textId="77777777" w:rsidR="00E57DAA" w:rsidRDefault="00AC4185">
            <w:pPr>
              <w:jc w:val="right"/>
              <w:rPr>
                <w:szCs w:val="21"/>
              </w:rPr>
            </w:pPr>
            <w:r>
              <w:t>343,362.83</w:t>
            </w:r>
          </w:p>
        </w:tc>
      </w:tr>
      <w:tr w:rsidR="00E57DAA" w14:paraId="54CCFA34"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579404E" w14:textId="77777777" w:rsidR="00E57DAA" w:rsidRDefault="00AC4185">
            <w:pPr>
              <w:rPr>
                <w:szCs w:val="21"/>
              </w:rPr>
            </w:pPr>
            <w:r>
              <w:t>山东申丰水泥集团有限公司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7A4CB8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820AFB0" w14:textId="77777777" w:rsidR="00E57DAA" w:rsidRDefault="00AC4185">
            <w:pPr>
              <w:jc w:val="right"/>
              <w:rPr>
                <w:szCs w:val="21"/>
              </w:rPr>
            </w:pPr>
            <w:r>
              <w:t>83,160,751.70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900F53E" w14:textId="77777777" w:rsidR="00E57DAA" w:rsidRDefault="00AC4185">
            <w:pPr>
              <w:jc w:val="right"/>
              <w:rPr>
                <w:szCs w:val="21"/>
              </w:rPr>
            </w:pPr>
            <w:r>
              <w:t>40,988,662.91</w:t>
            </w:r>
          </w:p>
        </w:tc>
      </w:tr>
      <w:tr w:rsidR="00E57DAA" w14:paraId="22D74E1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6A77CF3" w14:textId="77777777" w:rsidR="00E57DAA" w:rsidRDefault="00AC4185">
            <w:pPr>
              <w:rPr>
                <w:szCs w:val="21"/>
              </w:rPr>
            </w:pPr>
            <w:r>
              <w:t>朔州山水新时代水泥有限公司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714ADE"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52299F" w14:textId="77777777" w:rsidR="00E57DAA" w:rsidRDefault="00AC4185">
            <w:pPr>
              <w:jc w:val="right"/>
              <w:rPr>
                <w:szCs w:val="21"/>
              </w:rPr>
            </w:pPr>
            <w:r>
              <w:t>21,614,079.04</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E13A616" w14:textId="77777777" w:rsidR="00E57DAA" w:rsidRDefault="00AC4185">
            <w:pPr>
              <w:jc w:val="right"/>
              <w:rPr>
                <w:szCs w:val="21"/>
              </w:rPr>
            </w:pPr>
            <w:r>
              <w:t>13,769,665.63</w:t>
            </w:r>
          </w:p>
        </w:tc>
      </w:tr>
      <w:tr w:rsidR="00E57DAA" w14:paraId="1E54E45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DAC53B" w14:textId="77777777" w:rsidR="00E57DAA" w:rsidRDefault="00AC4185">
            <w:pPr>
              <w:rPr>
                <w:szCs w:val="21"/>
              </w:rPr>
            </w:pPr>
            <w:r>
              <w:t>四川省冕宁县富强水泥厂</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CD473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320091" w14:textId="77777777" w:rsidR="00E57DAA" w:rsidRDefault="00AC4185">
            <w:pPr>
              <w:jc w:val="right"/>
              <w:rPr>
                <w:szCs w:val="21"/>
              </w:rPr>
            </w:pPr>
            <w:r>
              <w:t>38,141.60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124C909F" w14:textId="77777777" w:rsidR="00E57DAA" w:rsidRDefault="00AC4185">
            <w:pPr>
              <w:jc w:val="right"/>
              <w:rPr>
                <w:szCs w:val="21"/>
              </w:rPr>
            </w:pPr>
            <w:r>
              <w:t>10,619.47</w:t>
            </w:r>
          </w:p>
        </w:tc>
      </w:tr>
      <w:tr w:rsidR="00E57DAA" w14:paraId="0658A0FB"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9C91A33" w14:textId="77777777" w:rsidR="00E57DAA" w:rsidRDefault="00AC4185">
            <w:pPr>
              <w:rPr>
                <w:szCs w:val="21"/>
              </w:rPr>
            </w:pPr>
            <w:r>
              <w:t>太原山水水泥有限公司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2FEF7A2"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A6EEB47" w14:textId="77777777" w:rsidR="00E57DAA" w:rsidRDefault="00AC4185">
            <w:pPr>
              <w:jc w:val="right"/>
              <w:rPr>
                <w:szCs w:val="21"/>
              </w:rPr>
            </w:pPr>
            <w:r>
              <w:t>141,592.92</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C44CC26" w14:textId="77777777" w:rsidR="00E57DAA" w:rsidRDefault="00AC4185">
            <w:pPr>
              <w:jc w:val="right"/>
              <w:rPr>
                <w:szCs w:val="21"/>
              </w:rPr>
            </w:pPr>
            <w:r>
              <w:t>120,884.95</w:t>
            </w:r>
          </w:p>
        </w:tc>
      </w:tr>
      <w:tr w:rsidR="00E57DAA" w14:paraId="0425123D"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1246220" w14:textId="77777777" w:rsidR="00E57DAA" w:rsidRDefault="00AC4185">
            <w:pPr>
              <w:rPr>
                <w:szCs w:val="21"/>
              </w:rPr>
            </w:pPr>
            <w:r>
              <w:t>通辽山水工源水泥有限公司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BD52E28"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C5887C6" w14:textId="77777777" w:rsidR="00E57DAA" w:rsidRDefault="00AC4185">
            <w:pPr>
              <w:jc w:val="right"/>
              <w:rPr>
                <w:szCs w:val="21"/>
              </w:rPr>
            </w:pPr>
            <w:r>
              <w:t>530.98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B5DAF90" w14:textId="77777777" w:rsidR="00E57DAA" w:rsidRDefault="00AC4185">
            <w:pPr>
              <w:jc w:val="right"/>
              <w:rPr>
                <w:szCs w:val="21"/>
              </w:rPr>
            </w:pPr>
            <w:r>
              <w:t>1,619,469.03</w:t>
            </w:r>
          </w:p>
        </w:tc>
      </w:tr>
      <w:tr w:rsidR="00E57DAA" w14:paraId="11AD182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D39696E" w14:textId="77777777" w:rsidR="00E57DAA" w:rsidRDefault="00AC4185">
            <w:pPr>
              <w:rPr>
                <w:szCs w:val="21"/>
              </w:rPr>
            </w:pPr>
            <w:r>
              <w:t>微山山水水泥有限公司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E8E6E70"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92F917B"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0ED10DF" w14:textId="77777777" w:rsidR="00E57DAA" w:rsidRDefault="00AC4185">
            <w:pPr>
              <w:jc w:val="right"/>
              <w:rPr>
                <w:szCs w:val="21"/>
              </w:rPr>
            </w:pPr>
            <w:r>
              <w:t>14,046,064.10</w:t>
            </w:r>
          </w:p>
        </w:tc>
      </w:tr>
      <w:tr w:rsidR="00E57DAA" w14:paraId="4DA7DAB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8843B2D" w14:textId="77777777" w:rsidR="00E57DAA" w:rsidRDefault="00AC4185">
            <w:pPr>
              <w:rPr>
                <w:szCs w:val="21"/>
              </w:rPr>
            </w:pPr>
            <w:r>
              <w:t>乌兰浩特山水水泥有限公司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3DF113A"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FA4BCC7"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DEB0EE9" w14:textId="77777777" w:rsidR="00E57DAA" w:rsidRDefault="00AC4185">
            <w:pPr>
              <w:jc w:val="right"/>
              <w:rPr>
                <w:szCs w:val="21"/>
              </w:rPr>
            </w:pPr>
            <w:r>
              <w:t>592,920.35</w:t>
            </w:r>
          </w:p>
        </w:tc>
      </w:tr>
      <w:tr w:rsidR="00E57DAA" w14:paraId="5BB1F27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7E3855" w14:textId="77777777" w:rsidR="00E57DAA" w:rsidRDefault="00AC4185">
            <w:pPr>
              <w:rPr>
                <w:szCs w:val="21"/>
              </w:rPr>
            </w:pPr>
            <w:r>
              <w:t>芜湖南方水泥有限公司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443E1E7"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B3E50A1" w14:textId="77777777" w:rsidR="00E57DAA" w:rsidRDefault="00AC4185">
            <w:pPr>
              <w:jc w:val="right"/>
              <w:rPr>
                <w:szCs w:val="21"/>
              </w:rPr>
            </w:pPr>
            <w:r>
              <w:t>14,888,127.76</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0A8181D" w14:textId="77777777" w:rsidR="00E57DAA" w:rsidRDefault="00AC4185">
            <w:pPr>
              <w:jc w:val="right"/>
              <w:rPr>
                <w:szCs w:val="21"/>
              </w:rPr>
            </w:pPr>
            <w:r>
              <w:t>29,984,914.54</w:t>
            </w:r>
          </w:p>
        </w:tc>
      </w:tr>
      <w:tr w:rsidR="00E57DAA" w14:paraId="2194A9C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4AFA894" w14:textId="77777777" w:rsidR="00E57DAA" w:rsidRDefault="00AC4185">
            <w:pPr>
              <w:rPr>
                <w:szCs w:val="21"/>
              </w:rPr>
            </w:pPr>
            <w:r>
              <w:t>武乡山水水泥有限公司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1E31E7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113A560" w14:textId="77777777" w:rsidR="00E57DAA" w:rsidRDefault="00AC4185">
            <w:pPr>
              <w:jc w:val="right"/>
              <w:rPr>
                <w:szCs w:val="21"/>
              </w:rPr>
            </w:pPr>
            <w:r>
              <w:t>247,868.87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59BC22EC" w14:textId="77777777" w:rsidR="00E57DAA" w:rsidRDefault="00AC4185">
            <w:pPr>
              <w:jc w:val="right"/>
              <w:rPr>
                <w:szCs w:val="21"/>
              </w:rPr>
            </w:pPr>
            <w:r>
              <w:t>3,733,244.28</w:t>
            </w:r>
          </w:p>
        </w:tc>
      </w:tr>
      <w:tr w:rsidR="00E57DAA" w14:paraId="2CBF246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F41FC4D" w14:textId="77777777" w:rsidR="00E57DAA" w:rsidRDefault="00AC4185">
            <w:pPr>
              <w:rPr>
                <w:szCs w:val="21"/>
              </w:rPr>
            </w:pPr>
            <w:r>
              <w:t>烟台山水水泥有限公司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178FAFB"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9411CF8" w14:textId="77777777" w:rsidR="00E57DAA" w:rsidRDefault="00AC4185">
            <w:pPr>
              <w:jc w:val="right"/>
              <w:rPr>
                <w:szCs w:val="21"/>
              </w:rPr>
            </w:pPr>
            <w:r>
              <w:t>54,940,349.89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20108E5" w14:textId="77777777" w:rsidR="00E57DAA" w:rsidRDefault="00AC4185">
            <w:pPr>
              <w:jc w:val="right"/>
              <w:rPr>
                <w:szCs w:val="21"/>
              </w:rPr>
            </w:pPr>
            <w:r>
              <w:t>90,486,818.78</w:t>
            </w:r>
          </w:p>
        </w:tc>
      </w:tr>
      <w:tr w:rsidR="00E57DAA" w14:paraId="1615377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3BE35DC1" w14:textId="77777777" w:rsidR="00E57DAA" w:rsidRDefault="00AC4185">
            <w:pPr>
              <w:rPr>
                <w:szCs w:val="21"/>
              </w:rPr>
            </w:pPr>
            <w:r>
              <w:t>烟台兴昊山水水泥有限公司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C9077A7"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D4B0088" w14:textId="77777777" w:rsidR="00E57DAA" w:rsidRDefault="00AC4185">
            <w:pPr>
              <w:jc w:val="right"/>
              <w:rPr>
                <w:szCs w:val="21"/>
              </w:rPr>
            </w:pPr>
            <w:r>
              <w:t>22,474,880.60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1604A74" w14:textId="77777777" w:rsidR="00E57DAA" w:rsidRDefault="00AC4185">
            <w:pPr>
              <w:jc w:val="right"/>
              <w:rPr>
                <w:szCs w:val="21"/>
              </w:rPr>
            </w:pPr>
            <w:r>
              <w:t>13,157,113.88</w:t>
            </w:r>
          </w:p>
        </w:tc>
      </w:tr>
      <w:tr w:rsidR="00E57DAA" w14:paraId="1AFB9DCF"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6FD4BF6" w14:textId="77777777" w:rsidR="00E57DAA" w:rsidRDefault="00AC4185">
            <w:pPr>
              <w:rPr>
                <w:szCs w:val="21"/>
              </w:rPr>
            </w:pPr>
            <w:r>
              <w:t>沂水山水水泥有限公司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57E8A4"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84D856" w14:textId="77777777" w:rsidR="00E57DAA" w:rsidRDefault="00AC4185">
            <w:pPr>
              <w:jc w:val="right"/>
              <w:rPr>
                <w:szCs w:val="21"/>
              </w:rPr>
            </w:pPr>
            <w:r>
              <w:t>41,546,850.41</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3C6C1F5A" w14:textId="77777777" w:rsidR="00E57DAA" w:rsidRDefault="00AC4185">
            <w:pPr>
              <w:jc w:val="right"/>
              <w:rPr>
                <w:szCs w:val="21"/>
              </w:rPr>
            </w:pPr>
            <w:r>
              <w:t xml:space="preserve">　</w:t>
            </w:r>
          </w:p>
        </w:tc>
      </w:tr>
      <w:tr w:rsidR="00E57DAA" w14:paraId="5FEC9A81"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41E1C712" w14:textId="77777777" w:rsidR="00E57DAA" w:rsidRDefault="00AC4185">
            <w:pPr>
              <w:rPr>
                <w:szCs w:val="21"/>
              </w:rPr>
            </w:pPr>
            <w:r>
              <w:t>英吉沙山水水泥有限公司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D9ED236"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F31ED6" w14:textId="77777777" w:rsidR="00E57DAA" w:rsidRDefault="00AC4185">
            <w:pPr>
              <w:jc w:val="right"/>
              <w:rPr>
                <w:szCs w:val="21"/>
              </w:rPr>
            </w:pPr>
            <w:r>
              <w:t>21,694,135.30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9F2BA94" w14:textId="77777777" w:rsidR="00E57DAA" w:rsidRDefault="00AC4185">
            <w:pPr>
              <w:jc w:val="right"/>
              <w:rPr>
                <w:szCs w:val="21"/>
              </w:rPr>
            </w:pPr>
            <w:r>
              <w:t xml:space="preserve">　</w:t>
            </w:r>
          </w:p>
        </w:tc>
      </w:tr>
      <w:tr w:rsidR="00E57DAA" w14:paraId="13592062"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2F01F6E" w14:textId="77777777" w:rsidR="00E57DAA" w:rsidRDefault="00AC4185">
            <w:pPr>
              <w:rPr>
                <w:szCs w:val="21"/>
              </w:rPr>
            </w:pPr>
            <w:r>
              <w:t>玉屏海创环境科技有限责任公司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0F28D43"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422161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AB52BAA" w14:textId="77777777" w:rsidR="00E57DAA" w:rsidRDefault="00AC4185">
            <w:pPr>
              <w:jc w:val="right"/>
              <w:rPr>
                <w:szCs w:val="21"/>
              </w:rPr>
            </w:pPr>
            <w:r>
              <w:t>122,123.89</w:t>
            </w:r>
          </w:p>
        </w:tc>
      </w:tr>
      <w:tr w:rsidR="00E57DAA" w14:paraId="2F2E473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5D3BFA62" w14:textId="77777777" w:rsidR="00E57DAA" w:rsidRDefault="00AC4185">
            <w:pPr>
              <w:rPr>
                <w:szCs w:val="21"/>
              </w:rPr>
            </w:pPr>
            <w:r>
              <w:t>枣庄创新山水水泥有限公司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10176F0"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03CC043" w14:textId="77777777" w:rsidR="00E57DAA" w:rsidRDefault="00AC4185">
            <w:pPr>
              <w:jc w:val="right"/>
              <w:rPr>
                <w:szCs w:val="21"/>
              </w:rPr>
            </w:pPr>
            <w:r>
              <w:t>19,188,531.08</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5A89379" w14:textId="77777777" w:rsidR="00E57DAA" w:rsidRDefault="00AC4185">
            <w:pPr>
              <w:jc w:val="right"/>
              <w:rPr>
                <w:szCs w:val="21"/>
              </w:rPr>
            </w:pPr>
            <w:r>
              <w:t xml:space="preserve">　</w:t>
            </w:r>
          </w:p>
        </w:tc>
      </w:tr>
      <w:tr w:rsidR="00E57DAA" w14:paraId="7B830E4A"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1D6F2D60" w14:textId="77777777" w:rsidR="00E57DAA" w:rsidRDefault="00AC4185">
            <w:pPr>
              <w:rPr>
                <w:szCs w:val="21"/>
              </w:rPr>
            </w:pPr>
            <w:r>
              <w:t>枣庄山水水泥有限公司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2C834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FB53EF8" w14:textId="77777777" w:rsidR="00E57DAA" w:rsidRDefault="00AC4185">
            <w:pPr>
              <w:jc w:val="right"/>
              <w:rPr>
                <w:szCs w:val="21"/>
              </w:rPr>
            </w:pPr>
            <w:r>
              <w:t>22,832,468.00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73D7375" w14:textId="77777777" w:rsidR="00E57DAA" w:rsidRDefault="00AC4185">
            <w:pPr>
              <w:jc w:val="right"/>
              <w:rPr>
                <w:szCs w:val="21"/>
              </w:rPr>
            </w:pPr>
            <w:r>
              <w:t xml:space="preserve">　</w:t>
            </w:r>
          </w:p>
        </w:tc>
      </w:tr>
      <w:tr w:rsidR="00E57DAA" w14:paraId="53543C57"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DC83553" w14:textId="77777777" w:rsidR="00E57DAA" w:rsidRDefault="00AC4185">
            <w:pPr>
              <w:rPr>
                <w:szCs w:val="21"/>
              </w:rPr>
            </w:pPr>
            <w:r>
              <w:t>扎赉特旗山水水泥有限公司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4B2A884"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4F79111" w14:textId="77777777" w:rsidR="00E57DAA" w:rsidRDefault="00AC4185">
            <w:pPr>
              <w:jc w:val="right"/>
              <w:rPr>
                <w:szCs w:val="21"/>
              </w:rPr>
            </w:pPr>
            <w:r>
              <w:t>53,097.35</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68850D18" w14:textId="77777777" w:rsidR="00E57DAA" w:rsidRDefault="00AC4185">
            <w:pPr>
              <w:jc w:val="right"/>
              <w:rPr>
                <w:szCs w:val="21"/>
              </w:rPr>
            </w:pPr>
            <w:r>
              <w:t>5,008,849.56</w:t>
            </w:r>
          </w:p>
        </w:tc>
      </w:tr>
      <w:tr w:rsidR="00E57DAA" w14:paraId="15F1D770"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619BC1A6" w14:textId="77777777" w:rsidR="00E57DAA" w:rsidRDefault="00AC4185">
            <w:pPr>
              <w:rPr>
                <w:szCs w:val="21"/>
              </w:rPr>
            </w:pPr>
            <w:r>
              <w:t>长春市四通水泥有限公司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2F60FAA9" w14:textId="77777777" w:rsidR="00E57DAA" w:rsidRDefault="00AC4185">
            <w:pPr>
              <w:rPr>
                <w:szCs w:val="21"/>
              </w:rPr>
            </w:pPr>
            <w:r>
              <w:t>销售商品</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67CFAD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73AEDA19" w14:textId="77777777" w:rsidR="00E57DAA" w:rsidRDefault="00AC4185">
            <w:pPr>
              <w:jc w:val="right"/>
              <w:rPr>
                <w:szCs w:val="21"/>
              </w:rPr>
            </w:pPr>
            <w:r>
              <w:t>78,495.57</w:t>
            </w:r>
          </w:p>
        </w:tc>
      </w:tr>
      <w:tr w:rsidR="00E57DAA" w14:paraId="3C26498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79E29BF5" w14:textId="77777777" w:rsidR="00E57DAA" w:rsidRDefault="00AC4185">
            <w:pPr>
              <w:rPr>
                <w:szCs w:val="21"/>
              </w:rPr>
            </w:pPr>
            <w:r>
              <w:t>飞渡航天科技有限公司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585EFA8" w14:textId="77777777" w:rsidR="00E57DAA" w:rsidRDefault="00AC4185">
            <w:pPr>
              <w:rPr>
                <w:szCs w:val="21"/>
              </w:rPr>
            </w:pPr>
            <w:r>
              <w:t>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E47B800" w14:textId="77777777" w:rsidR="00E57DAA" w:rsidRDefault="00AC4185">
            <w:pPr>
              <w:jc w:val="right"/>
              <w:rPr>
                <w:szCs w:val="21"/>
              </w:rPr>
            </w:pPr>
            <w:r>
              <w:t xml:space="preserve">　</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6ACC24" w14:textId="77777777" w:rsidR="00E57DAA" w:rsidRDefault="00AC4185">
            <w:pPr>
              <w:jc w:val="right"/>
              <w:rPr>
                <w:szCs w:val="21"/>
              </w:rPr>
            </w:pPr>
            <w:r>
              <w:t>1,886,207.97</w:t>
            </w:r>
          </w:p>
        </w:tc>
      </w:tr>
      <w:tr w:rsidR="00E57DAA" w14:paraId="11B01259"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3DFD90C" w14:textId="77777777" w:rsidR="00E57DAA" w:rsidRDefault="00AC4185">
            <w:pPr>
              <w:rPr>
                <w:szCs w:val="21"/>
              </w:rPr>
            </w:pPr>
            <w:r>
              <w:t>淄博山水水泥有限公司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D9677C0" w14:textId="77777777" w:rsidR="00E57DAA" w:rsidRDefault="00AC4185">
            <w:pPr>
              <w:rPr>
                <w:szCs w:val="21"/>
              </w:rPr>
            </w:pPr>
            <w:r>
              <w:t>销售商品/提供劳务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07CEB25" w14:textId="77777777" w:rsidR="00E57DAA" w:rsidRDefault="00AC4185">
            <w:pPr>
              <w:jc w:val="right"/>
              <w:rPr>
                <w:szCs w:val="21"/>
              </w:rPr>
            </w:pPr>
            <w:r>
              <w:t>16,283.19</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0355E7F3" w14:textId="77777777" w:rsidR="00E57DAA" w:rsidRDefault="00AC4185">
            <w:pPr>
              <w:jc w:val="right"/>
              <w:rPr>
                <w:szCs w:val="21"/>
              </w:rPr>
            </w:pPr>
            <w:r>
              <w:t>525,663.72</w:t>
            </w:r>
          </w:p>
        </w:tc>
      </w:tr>
      <w:tr w:rsidR="00E57DAA" w14:paraId="2B113FB5" w14:textId="77777777">
        <w:trPr>
          <w:cantSplit/>
        </w:trPr>
        <w:tc>
          <w:tcPr>
            <w:tcW w:w="1443" w:type="pct"/>
            <w:tcBorders>
              <w:top w:val="single" w:sz="4" w:space="0" w:color="auto"/>
              <w:left w:val="single" w:sz="4" w:space="0" w:color="auto"/>
              <w:bottom w:val="single" w:sz="4" w:space="0" w:color="auto"/>
              <w:right w:val="single" w:sz="4" w:space="0" w:color="auto"/>
            </w:tcBorders>
            <w:shd w:val="clear" w:color="auto" w:fill="auto"/>
          </w:tcPr>
          <w:p w14:paraId="2ABC953C" w14:textId="77777777" w:rsidR="00E57DAA" w:rsidRDefault="00AC4185">
            <w:pPr>
              <w:rPr>
                <w:szCs w:val="21"/>
              </w:rPr>
            </w:pPr>
            <w:r>
              <w:t>合计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FB5DB6B" w14:textId="77777777" w:rsidR="00E57DAA" w:rsidRDefault="00AC4185">
            <w:pPr>
              <w:rPr>
                <w:szCs w:val="21"/>
              </w:rPr>
            </w:pPr>
            <w:r>
              <w:t xml:space="preserve">　</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1EAF4953" w14:textId="77777777" w:rsidR="00E57DAA" w:rsidRDefault="00AC4185">
            <w:pPr>
              <w:jc w:val="right"/>
              <w:rPr>
                <w:szCs w:val="21"/>
              </w:rPr>
            </w:pPr>
            <w:r>
              <w:t>11,104,935,359.50</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459CCA7F" w14:textId="77777777" w:rsidR="00E57DAA" w:rsidRDefault="00AC4185">
            <w:pPr>
              <w:jc w:val="right"/>
              <w:rPr>
                <w:szCs w:val="21"/>
              </w:rPr>
            </w:pPr>
            <w:r>
              <w:t>9,783,491,649.14</w:t>
            </w:r>
          </w:p>
        </w:tc>
      </w:tr>
    </w:tbl>
    <w:p w14:paraId="4FC5C6DD" w14:textId="77777777" w:rsidR="00E57DAA" w:rsidRDefault="00E57DAA"/>
    <w:p w14:paraId="716AEA64" w14:textId="77777777" w:rsidR="00E57DAA" w:rsidRDefault="00AC4185">
      <w:pPr>
        <w:rPr>
          <w:rFonts w:cs="Cambria"/>
          <w:szCs w:val="21"/>
        </w:rPr>
      </w:pPr>
      <w:r>
        <w:rPr>
          <w:rFonts w:cs="Cambria" w:hint="eastAsia"/>
          <w:szCs w:val="21"/>
        </w:rPr>
        <w:t>购销商品、提供和接受劳务的关联交易说明</w:t>
      </w:r>
    </w:p>
    <w:p w14:paraId="2DAF03ED" w14:textId="77777777" w:rsidR="00E57DAA" w:rsidRDefault="00EB41A1">
      <w:pPr>
        <w:rPr>
          <w:rFonts w:cs="Cambria"/>
          <w:szCs w:val="21"/>
        </w:rPr>
      </w:pPr>
      <w:sdt>
        <w:sdtPr>
          <w:rPr>
            <w:rFonts w:cs="Cambria"/>
            <w:szCs w:val="21"/>
          </w:rPr>
          <w:alias w:val="是否适用：购销商品、提供和接受劳务的关联交易说明[双击切换]"/>
          <w:tag w:val="_GBC_bfac708300bd4f9886d4b6bc97c99022"/>
          <w:id w:val="-496583065"/>
          <w:placeholder>
            <w:docPart w:val="GBC22222222222222222222222222222"/>
          </w:placeholder>
        </w:sdtPr>
        <w:sdtEndPr/>
        <w:sdtContent>
          <w:r w:rsidR="00AC4185">
            <w:rPr>
              <w:rFonts w:cs="Cambria"/>
              <w:szCs w:val="21"/>
            </w:rPr>
            <w:fldChar w:fldCharType="begin"/>
          </w:r>
          <w:r w:rsidR="00AC4185">
            <w:rPr>
              <w:rFonts w:cs="Cambria"/>
              <w:szCs w:val="21"/>
            </w:rPr>
            <w:instrText xml:space="preserve">MACROBUTTON  SnrToggleCheckbox □适用 </w:instrText>
          </w:r>
          <w:r w:rsidR="00AC4185">
            <w:rPr>
              <w:rFonts w:cs="Cambria"/>
              <w:szCs w:val="21"/>
            </w:rPr>
            <w:fldChar w:fldCharType="end"/>
          </w:r>
          <w:r w:rsidR="00AC4185">
            <w:rPr>
              <w:rFonts w:cs="Cambria"/>
              <w:szCs w:val="21"/>
            </w:rPr>
            <w:fldChar w:fldCharType="begin"/>
          </w:r>
          <w:r w:rsidR="00AC4185">
            <w:rPr>
              <w:rFonts w:cs="Cambria"/>
              <w:szCs w:val="21"/>
            </w:rPr>
            <w:instrText xml:space="preserve"> MACROBUTTON  SnrToggleCheckbox √不适用 </w:instrText>
          </w:r>
          <w:r w:rsidR="00AC4185">
            <w:rPr>
              <w:rFonts w:cs="Cambria"/>
              <w:szCs w:val="21"/>
            </w:rPr>
            <w:fldChar w:fldCharType="end"/>
          </w:r>
        </w:sdtContent>
      </w:sdt>
      <w:r w:rsidR="00AC4185">
        <w:rPr>
          <w:rFonts w:cs="Cambria"/>
          <w:szCs w:val="21"/>
        </w:rPr>
        <w:t xml:space="preserve"> </w:t>
      </w:r>
    </w:p>
    <w:p w14:paraId="2E366FD8" w14:textId="77777777" w:rsidR="00E57DAA" w:rsidRDefault="00E57DAA">
      <w:pPr>
        <w:rPr>
          <w:rFonts w:cs="Cambria"/>
          <w:szCs w:val="21"/>
        </w:rPr>
      </w:pPr>
    </w:p>
    <w:p w14:paraId="796D75A6" w14:textId="77777777" w:rsidR="00E57DAA" w:rsidRDefault="00AC4185">
      <w:pPr>
        <w:pStyle w:val="4"/>
        <w:numPr>
          <w:ilvl w:val="3"/>
          <w:numId w:val="122"/>
        </w:numPr>
        <w:ind w:left="426" w:hangingChars="202" w:hanging="426"/>
      </w:pPr>
      <w:r>
        <w:rPr>
          <w:rFonts w:hint="eastAsia"/>
        </w:rPr>
        <w:t>关联受托管理/承包及委托管理/出包情况</w:t>
      </w:r>
    </w:p>
    <w:p w14:paraId="77476CBE" w14:textId="77777777" w:rsidR="00E57DAA" w:rsidRDefault="00AC4185">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846788092"/>
        <w:placeholder>
          <w:docPart w:val="GBC22222222222222222222222222222"/>
        </w:placeholder>
      </w:sdtPr>
      <w:sdtEndPr/>
      <w:sdtContent>
        <w:p w14:paraId="0A23B694" w14:textId="77777777" w:rsidR="00E57DAA" w:rsidRDefault="00AC4185">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720017E" w14:textId="77777777" w:rsidR="00E57DAA" w:rsidRDefault="00E57DAA">
      <w:pPr>
        <w:rPr>
          <w:rFonts w:cs="Cambria"/>
          <w:szCs w:val="21"/>
        </w:rPr>
      </w:pPr>
    </w:p>
    <w:p w14:paraId="41E5FB51" w14:textId="77777777" w:rsidR="00E57DAA" w:rsidRDefault="00AC4185">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890098621"/>
        <w:placeholder>
          <w:docPart w:val="GBC22222222222222222222222222222"/>
        </w:placeholder>
      </w:sdtPr>
      <w:sdtEndPr/>
      <w:sdtContent>
        <w:p w14:paraId="2EE72346" w14:textId="77777777" w:rsidR="00E57DAA" w:rsidRDefault="00AC4185">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74410DE4" w14:textId="77777777" w:rsidR="00E57DAA" w:rsidRDefault="00E57DAA">
      <w:pPr>
        <w:rPr>
          <w:rFonts w:cs="Cambria"/>
          <w:szCs w:val="21"/>
        </w:rPr>
      </w:pPr>
    </w:p>
    <w:p w14:paraId="7EBEDF62" w14:textId="77777777" w:rsidR="00E57DAA" w:rsidRDefault="00AC4185">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252718895"/>
        <w:placeholder>
          <w:docPart w:val="GBC22222222222222222222222222222"/>
        </w:placeholder>
      </w:sdtPr>
      <w:sdtEndPr/>
      <w:sdtContent>
        <w:p w14:paraId="7B8CA0AB" w14:textId="77777777" w:rsidR="00E57DAA" w:rsidRDefault="00AC4185">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5CFCB9E1" w14:textId="77777777" w:rsidR="00E57DAA" w:rsidRDefault="00E57DAA">
      <w:pPr>
        <w:rPr>
          <w:rFonts w:cs="Cambria"/>
          <w:bCs/>
          <w:szCs w:val="21"/>
        </w:rPr>
      </w:pPr>
    </w:p>
    <w:p w14:paraId="6673CD05" w14:textId="77777777" w:rsidR="00E57DAA" w:rsidRDefault="00AC4185">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663886804"/>
        <w:placeholder>
          <w:docPart w:val="GBC22222222222222222222222222222"/>
        </w:placeholder>
      </w:sdtPr>
      <w:sdtEndPr/>
      <w:sdtContent>
        <w:p w14:paraId="038D2252" w14:textId="77777777" w:rsidR="00E57DAA" w:rsidRDefault="00AC4185">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586A4DAC" w14:textId="77777777" w:rsidR="00E57DAA" w:rsidRDefault="00E57DAA">
      <w:pPr>
        <w:rPr>
          <w:rFonts w:cs="Cambria"/>
          <w:szCs w:val="21"/>
        </w:rPr>
      </w:pPr>
    </w:p>
    <w:p w14:paraId="0132ADEF" w14:textId="77777777" w:rsidR="00E57DAA" w:rsidRDefault="00AC4185">
      <w:pPr>
        <w:pStyle w:val="4"/>
        <w:numPr>
          <w:ilvl w:val="3"/>
          <w:numId w:val="122"/>
        </w:numPr>
        <w:ind w:left="426" w:hangingChars="202" w:hanging="426"/>
      </w:pPr>
      <w:r>
        <w:rPr>
          <w:rFonts w:hint="eastAsia"/>
        </w:rPr>
        <w:t>关联租赁情况</w:t>
      </w:r>
    </w:p>
    <w:p w14:paraId="10475343" w14:textId="77777777" w:rsidR="00E57DAA" w:rsidRDefault="00AC4185">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806202093"/>
        <w:placeholder>
          <w:docPart w:val="GBC22222222222222222222222222222"/>
        </w:placeholder>
      </w:sdtPr>
      <w:sdtEndPr/>
      <w:sdtContent>
        <w:p w14:paraId="1B51F5FA"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56457C" w14:textId="77777777" w:rsidR="00E57DAA" w:rsidRDefault="00AC4185">
      <w:pPr>
        <w:jc w:val="right"/>
        <w:rPr>
          <w:szCs w:val="21"/>
        </w:rPr>
      </w:pPr>
      <w:r>
        <w:rPr>
          <w:rFonts w:hint="eastAsia"/>
          <w:szCs w:val="21"/>
        </w:rPr>
        <w:t>单位：</w:t>
      </w:r>
      <w:sdt>
        <w:sdtPr>
          <w:rPr>
            <w:rFonts w:hint="eastAsia"/>
            <w:szCs w:val="21"/>
          </w:rPr>
          <w:alias w:val="单位：关联租赁情况"/>
          <w:tag w:val="_GBC_d95d648c603a49478a4e0e7a1274bc6b"/>
          <w:id w:val="3347288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640762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0"/>
        <w:gridCol w:w="1803"/>
        <w:gridCol w:w="1930"/>
        <w:gridCol w:w="2220"/>
      </w:tblGrid>
      <w:tr w:rsidR="00E57DAA" w14:paraId="5030C23B" w14:textId="77777777">
        <w:trPr>
          <w:trHeight w:val="338"/>
        </w:trPr>
        <w:sdt>
          <w:sdtPr>
            <w:tag w:val="_PLD_cc1d9e6700c8464abef135c18dae1347"/>
            <w:id w:val="1784141714"/>
          </w:sdtPr>
          <w:sdtEndPr/>
          <w:sdtContent>
            <w:tc>
              <w:tcPr>
                <w:tcW w:w="1626" w:type="pct"/>
                <w:tcBorders>
                  <w:top w:val="single" w:sz="4" w:space="0" w:color="auto"/>
                  <w:left w:val="single" w:sz="4" w:space="0" w:color="auto"/>
                  <w:right w:val="single" w:sz="4" w:space="0" w:color="auto"/>
                </w:tcBorders>
                <w:shd w:val="clear" w:color="auto" w:fill="auto"/>
                <w:vAlign w:val="center"/>
              </w:tcPr>
              <w:p w14:paraId="32B47715" w14:textId="77777777" w:rsidR="00E57DAA" w:rsidRDefault="00AC4185">
                <w:pPr>
                  <w:jc w:val="center"/>
                  <w:rPr>
                    <w:szCs w:val="21"/>
                  </w:rPr>
                </w:pPr>
                <w:r>
                  <w:rPr>
                    <w:rFonts w:hint="eastAsia"/>
                    <w:szCs w:val="21"/>
                  </w:rPr>
                  <w:t>承租方名称</w:t>
                </w:r>
              </w:p>
            </w:tc>
          </w:sdtContent>
        </w:sdt>
        <w:sdt>
          <w:sdtPr>
            <w:tag w:val="_PLD_7c70ec7c258c47ab93562d23df95ba25"/>
            <w:id w:val="1510879858"/>
          </w:sdtPr>
          <w:sdtEndPr/>
          <w:sdtContent>
            <w:tc>
              <w:tcPr>
                <w:tcW w:w="1022" w:type="pct"/>
                <w:tcBorders>
                  <w:top w:val="single" w:sz="4" w:space="0" w:color="auto"/>
                  <w:left w:val="single" w:sz="4" w:space="0" w:color="auto"/>
                  <w:right w:val="single" w:sz="4" w:space="0" w:color="auto"/>
                </w:tcBorders>
                <w:shd w:val="clear" w:color="auto" w:fill="auto"/>
                <w:vAlign w:val="center"/>
              </w:tcPr>
              <w:p w14:paraId="50493855" w14:textId="77777777" w:rsidR="00E57DAA" w:rsidRDefault="00AC4185">
                <w:pPr>
                  <w:jc w:val="center"/>
                  <w:rPr>
                    <w:szCs w:val="21"/>
                  </w:rPr>
                </w:pPr>
                <w:r>
                  <w:rPr>
                    <w:rFonts w:hint="eastAsia"/>
                    <w:szCs w:val="21"/>
                  </w:rPr>
                  <w:t>租赁资产种类</w:t>
                </w:r>
              </w:p>
            </w:tc>
          </w:sdtContent>
        </w:sdt>
        <w:sdt>
          <w:sdtPr>
            <w:tag w:val="_PLD_b73b5bf2ad5b438bac8401815956bbdb"/>
            <w:id w:val="-2136778252"/>
          </w:sdtPr>
          <w:sdtEndPr/>
          <w:sdtContent>
            <w:tc>
              <w:tcPr>
                <w:tcW w:w="1094" w:type="pct"/>
                <w:tcBorders>
                  <w:top w:val="single" w:sz="4" w:space="0" w:color="auto"/>
                  <w:left w:val="single" w:sz="4" w:space="0" w:color="auto"/>
                  <w:right w:val="single" w:sz="4" w:space="0" w:color="auto"/>
                </w:tcBorders>
                <w:shd w:val="clear" w:color="auto" w:fill="auto"/>
                <w:vAlign w:val="center"/>
              </w:tcPr>
              <w:p w14:paraId="2402F2F4" w14:textId="77777777" w:rsidR="00E57DAA" w:rsidRDefault="00AC4185">
                <w:pPr>
                  <w:jc w:val="center"/>
                  <w:rPr>
                    <w:szCs w:val="21"/>
                  </w:rPr>
                </w:pPr>
                <w:r>
                  <w:rPr>
                    <w:rFonts w:hint="eastAsia"/>
                    <w:szCs w:val="21"/>
                  </w:rPr>
                  <w:t>本期确认的租赁收入</w:t>
                </w:r>
              </w:p>
            </w:tc>
          </w:sdtContent>
        </w:sdt>
        <w:sdt>
          <w:sdtPr>
            <w:tag w:val="_PLD_08d45094bbb64f479287ecd678beea52"/>
            <w:id w:val="857314868"/>
          </w:sdtPr>
          <w:sdtEndPr/>
          <w:sdtContent>
            <w:tc>
              <w:tcPr>
                <w:tcW w:w="1258" w:type="pct"/>
                <w:tcBorders>
                  <w:top w:val="single" w:sz="4" w:space="0" w:color="auto"/>
                  <w:left w:val="single" w:sz="4" w:space="0" w:color="auto"/>
                  <w:right w:val="single" w:sz="4" w:space="0" w:color="auto"/>
                </w:tcBorders>
                <w:shd w:val="clear" w:color="auto" w:fill="auto"/>
                <w:vAlign w:val="center"/>
              </w:tcPr>
              <w:p w14:paraId="202F432C" w14:textId="77777777" w:rsidR="00E57DAA" w:rsidRDefault="00AC4185">
                <w:pPr>
                  <w:jc w:val="center"/>
                  <w:rPr>
                    <w:szCs w:val="21"/>
                  </w:rPr>
                </w:pPr>
                <w:r>
                  <w:rPr>
                    <w:rFonts w:hint="eastAsia"/>
                    <w:szCs w:val="21"/>
                  </w:rPr>
                  <w:t>上期确认的租赁收入</w:t>
                </w:r>
              </w:p>
            </w:tc>
          </w:sdtContent>
        </w:sdt>
      </w:tr>
      <w:tr w:rsidR="00E57DAA" w14:paraId="0B8A3E79" w14:textId="77777777">
        <w:tc>
          <w:tcPr>
            <w:tcW w:w="1626" w:type="pct"/>
            <w:tcBorders>
              <w:top w:val="single" w:sz="4" w:space="0" w:color="auto"/>
              <w:left w:val="single" w:sz="4" w:space="0" w:color="auto"/>
              <w:bottom w:val="single" w:sz="4" w:space="0" w:color="auto"/>
              <w:right w:val="single" w:sz="4" w:space="0" w:color="auto"/>
            </w:tcBorders>
          </w:tcPr>
          <w:p w14:paraId="799823B4" w14:textId="77777777" w:rsidR="00E57DAA" w:rsidRDefault="00AC4185">
            <w:pPr>
              <w:rPr>
                <w:szCs w:val="21"/>
              </w:rPr>
            </w:pPr>
            <w:r>
              <w:t>中材高新材料股份有限公司</w:t>
            </w:r>
          </w:p>
        </w:tc>
        <w:tc>
          <w:tcPr>
            <w:tcW w:w="1022" w:type="pct"/>
            <w:tcBorders>
              <w:top w:val="single" w:sz="4" w:space="0" w:color="auto"/>
              <w:left w:val="single" w:sz="4" w:space="0" w:color="auto"/>
              <w:bottom w:val="single" w:sz="4" w:space="0" w:color="auto"/>
              <w:right w:val="single" w:sz="4" w:space="0" w:color="auto"/>
            </w:tcBorders>
          </w:tcPr>
          <w:p w14:paraId="5C9E9B29"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4BB36DF4" w14:textId="77777777" w:rsidR="00E57DAA" w:rsidRDefault="00AC4185">
            <w:pPr>
              <w:jc w:val="right"/>
              <w:rPr>
                <w:szCs w:val="21"/>
              </w:rPr>
            </w:pPr>
            <w:r>
              <w:t>3,007,176.02</w:t>
            </w:r>
          </w:p>
        </w:tc>
        <w:tc>
          <w:tcPr>
            <w:tcW w:w="1258" w:type="pct"/>
            <w:tcBorders>
              <w:top w:val="single" w:sz="4" w:space="0" w:color="auto"/>
              <w:left w:val="single" w:sz="4" w:space="0" w:color="auto"/>
              <w:bottom w:val="single" w:sz="4" w:space="0" w:color="auto"/>
              <w:right w:val="single" w:sz="4" w:space="0" w:color="auto"/>
            </w:tcBorders>
          </w:tcPr>
          <w:p w14:paraId="3D8DFF5C" w14:textId="77777777" w:rsidR="00E57DAA" w:rsidRDefault="00AC4185">
            <w:pPr>
              <w:jc w:val="right"/>
              <w:rPr>
                <w:szCs w:val="21"/>
              </w:rPr>
            </w:pPr>
            <w:r>
              <w:t>4,758,958.68</w:t>
            </w:r>
          </w:p>
        </w:tc>
      </w:tr>
      <w:tr w:rsidR="00E57DAA" w14:paraId="72F706C2" w14:textId="77777777">
        <w:tc>
          <w:tcPr>
            <w:tcW w:w="1626" w:type="pct"/>
            <w:tcBorders>
              <w:top w:val="single" w:sz="4" w:space="0" w:color="auto"/>
              <w:left w:val="single" w:sz="4" w:space="0" w:color="auto"/>
              <w:bottom w:val="single" w:sz="4" w:space="0" w:color="auto"/>
              <w:right w:val="single" w:sz="4" w:space="0" w:color="auto"/>
            </w:tcBorders>
          </w:tcPr>
          <w:p w14:paraId="518B5776" w14:textId="77777777" w:rsidR="00E57DAA" w:rsidRDefault="00AC4185">
            <w:pPr>
              <w:rPr>
                <w:szCs w:val="21"/>
              </w:rPr>
            </w:pPr>
            <w:r>
              <w:t>中新集团新材资产管理有限公司</w:t>
            </w:r>
          </w:p>
        </w:tc>
        <w:tc>
          <w:tcPr>
            <w:tcW w:w="1022" w:type="pct"/>
            <w:tcBorders>
              <w:top w:val="single" w:sz="4" w:space="0" w:color="auto"/>
              <w:left w:val="single" w:sz="4" w:space="0" w:color="auto"/>
              <w:bottom w:val="single" w:sz="4" w:space="0" w:color="auto"/>
              <w:right w:val="single" w:sz="4" w:space="0" w:color="auto"/>
            </w:tcBorders>
          </w:tcPr>
          <w:p w14:paraId="69A729D9"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4CFD5DD2" w14:textId="77777777" w:rsidR="00E57DAA" w:rsidRDefault="00AC4185">
            <w:pPr>
              <w:jc w:val="right"/>
              <w:rPr>
                <w:szCs w:val="21"/>
              </w:rPr>
            </w:pPr>
            <w:r>
              <w:t>1,265,911.26</w:t>
            </w:r>
          </w:p>
        </w:tc>
        <w:tc>
          <w:tcPr>
            <w:tcW w:w="1258" w:type="pct"/>
            <w:tcBorders>
              <w:top w:val="single" w:sz="4" w:space="0" w:color="auto"/>
              <w:left w:val="single" w:sz="4" w:space="0" w:color="auto"/>
              <w:bottom w:val="single" w:sz="4" w:space="0" w:color="auto"/>
              <w:right w:val="single" w:sz="4" w:space="0" w:color="auto"/>
            </w:tcBorders>
          </w:tcPr>
          <w:p w14:paraId="2F052206" w14:textId="77777777" w:rsidR="00E57DAA" w:rsidRDefault="00AC4185">
            <w:pPr>
              <w:jc w:val="right"/>
              <w:rPr>
                <w:szCs w:val="21"/>
              </w:rPr>
            </w:pPr>
            <w:r>
              <w:t>2,109,852.10</w:t>
            </w:r>
          </w:p>
        </w:tc>
      </w:tr>
      <w:tr w:rsidR="00E57DAA" w14:paraId="0C43DCF6" w14:textId="77777777">
        <w:tc>
          <w:tcPr>
            <w:tcW w:w="1626" w:type="pct"/>
            <w:tcBorders>
              <w:top w:val="single" w:sz="4" w:space="0" w:color="auto"/>
              <w:left w:val="single" w:sz="4" w:space="0" w:color="auto"/>
              <w:bottom w:val="single" w:sz="4" w:space="0" w:color="auto"/>
              <w:right w:val="single" w:sz="4" w:space="0" w:color="auto"/>
            </w:tcBorders>
          </w:tcPr>
          <w:p w14:paraId="09CB44BB" w14:textId="77777777" w:rsidR="00E57DAA" w:rsidRDefault="00AC4185">
            <w:pPr>
              <w:rPr>
                <w:szCs w:val="21"/>
              </w:rPr>
            </w:pPr>
            <w:r>
              <w:t>中建材飞渡航天科技有限公司</w:t>
            </w:r>
          </w:p>
        </w:tc>
        <w:tc>
          <w:tcPr>
            <w:tcW w:w="1022" w:type="pct"/>
            <w:tcBorders>
              <w:top w:val="single" w:sz="4" w:space="0" w:color="auto"/>
              <w:left w:val="single" w:sz="4" w:space="0" w:color="auto"/>
              <w:bottom w:val="single" w:sz="4" w:space="0" w:color="auto"/>
              <w:right w:val="single" w:sz="4" w:space="0" w:color="auto"/>
            </w:tcBorders>
          </w:tcPr>
          <w:p w14:paraId="56185DF9"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7FDA0174" w14:textId="77777777" w:rsidR="00E57DAA" w:rsidRDefault="00AC4185">
            <w:pPr>
              <w:jc w:val="right"/>
              <w:rPr>
                <w:szCs w:val="21"/>
              </w:rPr>
            </w:pPr>
            <w:r>
              <w:t> </w:t>
            </w:r>
          </w:p>
        </w:tc>
        <w:tc>
          <w:tcPr>
            <w:tcW w:w="1258" w:type="pct"/>
            <w:tcBorders>
              <w:top w:val="single" w:sz="4" w:space="0" w:color="auto"/>
              <w:left w:val="single" w:sz="4" w:space="0" w:color="auto"/>
              <w:bottom w:val="single" w:sz="4" w:space="0" w:color="auto"/>
              <w:right w:val="single" w:sz="4" w:space="0" w:color="auto"/>
            </w:tcBorders>
          </w:tcPr>
          <w:p w14:paraId="6976C3D6" w14:textId="77777777" w:rsidR="00E57DAA" w:rsidRDefault="00AC4185">
            <w:pPr>
              <w:jc w:val="right"/>
              <w:rPr>
                <w:szCs w:val="21"/>
              </w:rPr>
            </w:pPr>
            <w:r>
              <w:t>1,886,207.97</w:t>
            </w:r>
          </w:p>
        </w:tc>
      </w:tr>
      <w:tr w:rsidR="00E57DAA" w14:paraId="1DDE8404" w14:textId="77777777">
        <w:tc>
          <w:tcPr>
            <w:tcW w:w="1626" w:type="pct"/>
            <w:tcBorders>
              <w:top w:val="single" w:sz="4" w:space="0" w:color="auto"/>
              <w:left w:val="single" w:sz="4" w:space="0" w:color="auto"/>
              <w:bottom w:val="single" w:sz="4" w:space="0" w:color="auto"/>
              <w:right w:val="single" w:sz="4" w:space="0" w:color="auto"/>
            </w:tcBorders>
          </w:tcPr>
          <w:p w14:paraId="22807248" w14:textId="77777777" w:rsidR="00E57DAA" w:rsidRDefault="00AC4185">
            <w:pPr>
              <w:rPr>
                <w:szCs w:val="21"/>
              </w:rPr>
            </w:pPr>
            <w:r>
              <w:t>中国建筑材料工业地质勘查中心江苏总队</w:t>
            </w:r>
          </w:p>
        </w:tc>
        <w:tc>
          <w:tcPr>
            <w:tcW w:w="1022" w:type="pct"/>
            <w:tcBorders>
              <w:top w:val="single" w:sz="4" w:space="0" w:color="auto"/>
              <w:left w:val="single" w:sz="4" w:space="0" w:color="auto"/>
              <w:bottom w:val="single" w:sz="4" w:space="0" w:color="auto"/>
              <w:right w:val="single" w:sz="4" w:space="0" w:color="auto"/>
            </w:tcBorders>
          </w:tcPr>
          <w:p w14:paraId="34ACEE60"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6941B7E2" w14:textId="77777777" w:rsidR="00E57DAA" w:rsidRDefault="00AC4185">
            <w:pPr>
              <w:jc w:val="right"/>
              <w:rPr>
                <w:szCs w:val="21"/>
              </w:rPr>
            </w:pPr>
            <w:r>
              <w:t>567,396.33</w:t>
            </w:r>
          </w:p>
        </w:tc>
        <w:tc>
          <w:tcPr>
            <w:tcW w:w="1258" w:type="pct"/>
            <w:tcBorders>
              <w:top w:val="single" w:sz="4" w:space="0" w:color="auto"/>
              <w:left w:val="single" w:sz="4" w:space="0" w:color="auto"/>
              <w:bottom w:val="single" w:sz="4" w:space="0" w:color="auto"/>
              <w:right w:val="single" w:sz="4" w:space="0" w:color="auto"/>
            </w:tcBorders>
          </w:tcPr>
          <w:p w14:paraId="19383F3B" w14:textId="77777777" w:rsidR="00E57DAA" w:rsidRDefault="00AC4185">
            <w:pPr>
              <w:jc w:val="right"/>
              <w:rPr>
                <w:szCs w:val="21"/>
              </w:rPr>
            </w:pPr>
            <w:r>
              <w:t> </w:t>
            </w:r>
          </w:p>
        </w:tc>
      </w:tr>
      <w:tr w:rsidR="00E57DAA" w14:paraId="2833EB1D" w14:textId="77777777">
        <w:tc>
          <w:tcPr>
            <w:tcW w:w="1626" w:type="pct"/>
            <w:tcBorders>
              <w:top w:val="single" w:sz="4" w:space="0" w:color="auto"/>
              <w:left w:val="single" w:sz="4" w:space="0" w:color="auto"/>
              <w:bottom w:val="single" w:sz="4" w:space="0" w:color="auto"/>
              <w:right w:val="single" w:sz="4" w:space="0" w:color="auto"/>
            </w:tcBorders>
          </w:tcPr>
          <w:p w14:paraId="7C7B4F29" w14:textId="77777777" w:rsidR="00E57DAA" w:rsidRDefault="00AC4185">
            <w:pPr>
              <w:rPr>
                <w:szCs w:val="21"/>
              </w:rPr>
            </w:pPr>
            <w:r>
              <w:t>中建材岩土工程江苏有限公司</w:t>
            </w:r>
          </w:p>
        </w:tc>
        <w:tc>
          <w:tcPr>
            <w:tcW w:w="1022" w:type="pct"/>
            <w:tcBorders>
              <w:top w:val="single" w:sz="4" w:space="0" w:color="auto"/>
              <w:left w:val="single" w:sz="4" w:space="0" w:color="auto"/>
              <w:bottom w:val="single" w:sz="4" w:space="0" w:color="auto"/>
              <w:right w:val="single" w:sz="4" w:space="0" w:color="auto"/>
            </w:tcBorders>
          </w:tcPr>
          <w:p w14:paraId="2198E390"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015ED4F9" w14:textId="77777777" w:rsidR="00E57DAA" w:rsidRDefault="00AC4185">
            <w:pPr>
              <w:jc w:val="right"/>
              <w:rPr>
                <w:szCs w:val="21"/>
              </w:rPr>
            </w:pPr>
            <w:r>
              <w:t>349,132.24</w:t>
            </w:r>
          </w:p>
        </w:tc>
        <w:tc>
          <w:tcPr>
            <w:tcW w:w="1258" w:type="pct"/>
            <w:tcBorders>
              <w:top w:val="single" w:sz="4" w:space="0" w:color="auto"/>
              <w:left w:val="single" w:sz="4" w:space="0" w:color="auto"/>
              <w:bottom w:val="single" w:sz="4" w:space="0" w:color="auto"/>
              <w:right w:val="single" w:sz="4" w:space="0" w:color="auto"/>
            </w:tcBorders>
          </w:tcPr>
          <w:p w14:paraId="2E1CF6C7" w14:textId="77777777" w:rsidR="00E57DAA" w:rsidRDefault="00AC4185">
            <w:pPr>
              <w:jc w:val="right"/>
              <w:rPr>
                <w:szCs w:val="21"/>
              </w:rPr>
            </w:pPr>
            <w:r>
              <w:t> </w:t>
            </w:r>
          </w:p>
        </w:tc>
      </w:tr>
      <w:tr w:rsidR="00E57DAA" w14:paraId="5B90DD31" w14:textId="77777777">
        <w:tc>
          <w:tcPr>
            <w:tcW w:w="1626" w:type="pct"/>
            <w:tcBorders>
              <w:top w:val="single" w:sz="4" w:space="0" w:color="auto"/>
              <w:left w:val="single" w:sz="4" w:space="0" w:color="auto"/>
              <w:bottom w:val="single" w:sz="4" w:space="0" w:color="auto"/>
              <w:right w:val="single" w:sz="4" w:space="0" w:color="auto"/>
            </w:tcBorders>
          </w:tcPr>
          <w:p w14:paraId="6ACF8D10" w14:textId="77777777" w:rsidR="00E57DAA" w:rsidRDefault="00AC4185">
            <w:pPr>
              <w:rPr>
                <w:szCs w:val="21"/>
              </w:rPr>
            </w:pPr>
            <w:r>
              <w:t>中建材矿业投资江苏有限公司</w:t>
            </w:r>
          </w:p>
        </w:tc>
        <w:tc>
          <w:tcPr>
            <w:tcW w:w="1022" w:type="pct"/>
            <w:tcBorders>
              <w:top w:val="single" w:sz="4" w:space="0" w:color="auto"/>
              <w:left w:val="single" w:sz="4" w:space="0" w:color="auto"/>
              <w:bottom w:val="single" w:sz="4" w:space="0" w:color="auto"/>
              <w:right w:val="single" w:sz="4" w:space="0" w:color="auto"/>
            </w:tcBorders>
          </w:tcPr>
          <w:p w14:paraId="376398FC"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02F0C8A7" w14:textId="77777777" w:rsidR="00E57DAA" w:rsidRDefault="00AC4185">
            <w:pPr>
              <w:jc w:val="right"/>
              <w:rPr>
                <w:szCs w:val="21"/>
              </w:rPr>
            </w:pPr>
            <w:r>
              <w:t>419,139.18</w:t>
            </w:r>
          </w:p>
        </w:tc>
        <w:tc>
          <w:tcPr>
            <w:tcW w:w="1258" w:type="pct"/>
            <w:tcBorders>
              <w:top w:val="single" w:sz="4" w:space="0" w:color="auto"/>
              <w:left w:val="single" w:sz="4" w:space="0" w:color="auto"/>
              <w:bottom w:val="single" w:sz="4" w:space="0" w:color="auto"/>
              <w:right w:val="single" w:sz="4" w:space="0" w:color="auto"/>
            </w:tcBorders>
          </w:tcPr>
          <w:p w14:paraId="6A4E5E9F" w14:textId="77777777" w:rsidR="00E57DAA" w:rsidRDefault="00AC4185">
            <w:pPr>
              <w:jc w:val="right"/>
              <w:rPr>
                <w:szCs w:val="21"/>
              </w:rPr>
            </w:pPr>
            <w:r>
              <w:t> </w:t>
            </w:r>
          </w:p>
        </w:tc>
      </w:tr>
      <w:tr w:rsidR="00E57DAA" w14:paraId="1084ACE2" w14:textId="77777777">
        <w:tc>
          <w:tcPr>
            <w:tcW w:w="1626" w:type="pct"/>
            <w:tcBorders>
              <w:top w:val="single" w:sz="4" w:space="0" w:color="auto"/>
              <w:left w:val="single" w:sz="4" w:space="0" w:color="auto"/>
              <w:bottom w:val="single" w:sz="4" w:space="0" w:color="auto"/>
              <w:right w:val="single" w:sz="4" w:space="0" w:color="auto"/>
            </w:tcBorders>
          </w:tcPr>
          <w:p w14:paraId="5F829311" w14:textId="77777777" w:rsidR="00E57DAA" w:rsidRDefault="00AC4185">
            <w:pPr>
              <w:rPr>
                <w:szCs w:val="21"/>
              </w:rPr>
            </w:pPr>
            <w:r>
              <w:t>中国建材检验认证集团安徽有限公司</w:t>
            </w:r>
          </w:p>
        </w:tc>
        <w:tc>
          <w:tcPr>
            <w:tcW w:w="1022" w:type="pct"/>
            <w:tcBorders>
              <w:top w:val="single" w:sz="4" w:space="0" w:color="auto"/>
              <w:left w:val="single" w:sz="4" w:space="0" w:color="auto"/>
              <w:bottom w:val="single" w:sz="4" w:space="0" w:color="auto"/>
              <w:right w:val="single" w:sz="4" w:space="0" w:color="auto"/>
            </w:tcBorders>
          </w:tcPr>
          <w:p w14:paraId="2F50CD17" w14:textId="77777777" w:rsidR="00E57DAA" w:rsidRDefault="00AC4185">
            <w:pPr>
              <w:rPr>
                <w:szCs w:val="21"/>
              </w:rPr>
            </w:pPr>
            <w:r>
              <w:t>房屋建筑物</w:t>
            </w:r>
          </w:p>
        </w:tc>
        <w:tc>
          <w:tcPr>
            <w:tcW w:w="1094" w:type="pct"/>
            <w:tcBorders>
              <w:top w:val="single" w:sz="4" w:space="0" w:color="auto"/>
              <w:left w:val="single" w:sz="4" w:space="0" w:color="auto"/>
              <w:bottom w:val="single" w:sz="4" w:space="0" w:color="auto"/>
              <w:right w:val="single" w:sz="4" w:space="0" w:color="auto"/>
            </w:tcBorders>
          </w:tcPr>
          <w:p w14:paraId="49D8C3FF" w14:textId="77777777" w:rsidR="00E57DAA" w:rsidRDefault="00AC4185">
            <w:pPr>
              <w:jc w:val="right"/>
              <w:rPr>
                <w:szCs w:val="21"/>
              </w:rPr>
            </w:pPr>
            <w:r>
              <w:t>332,502.00</w:t>
            </w:r>
          </w:p>
        </w:tc>
        <w:tc>
          <w:tcPr>
            <w:tcW w:w="1258" w:type="pct"/>
            <w:tcBorders>
              <w:top w:val="single" w:sz="4" w:space="0" w:color="auto"/>
              <w:left w:val="single" w:sz="4" w:space="0" w:color="auto"/>
              <w:bottom w:val="single" w:sz="4" w:space="0" w:color="auto"/>
              <w:right w:val="single" w:sz="4" w:space="0" w:color="auto"/>
            </w:tcBorders>
          </w:tcPr>
          <w:p w14:paraId="1BE3E2E8" w14:textId="77777777" w:rsidR="00E57DAA" w:rsidRDefault="00AC4185">
            <w:pPr>
              <w:jc w:val="right"/>
              <w:rPr>
                <w:szCs w:val="21"/>
              </w:rPr>
            </w:pPr>
            <w:r>
              <w:t>414,428.57</w:t>
            </w:r>
          </w:p>
        </w:tc>
      </w:tr>
      <w:tr w:rsidR="00E57DAA" w14:paraId="3797F9BD" w14:textId="77777777">
        <w:tc>
          <w:tcPr>
            <w:tcW w:w="1626" w:type="pct"/>
            <w:tcBorders>
              <w:top w:val="single" w:sz="4" w:space="0" w:color="auto"/>
              <w:left w:val="single" w:sz="4" w:space="0" w:color="auto"/>
              <w:bottom w:val="single" w:sz="4" w:space="0" w:color="auto"/>
              <w:right w:val="single" w:sz="4" w:space="0" w:color="auto"/>
            </w:tcBorders>
          </w:tcPr>
          <w:p w14:paraId="4CE92255" w14:textId="77777777" w:rsidR="00E57DAA" w:rsidRDefault="00AC4185">
            <w:pPr>
              <w:rPr>
                <w:szCs w:val="21"/>
              </w:rPr>
            </w:pPr>
            <w:r>
              <w:t>合计</w:t>
            </w:r>
          </w:p>
        </w:tc>
        <w:tc>
          <w:tcPr>
            <w:tcW w:w="1022" w:type="pct"/>
            <w:tcBorders>
              <w:top w:val="single" w:sz="4" w:space="0" w:color="auto"/>
              <w:left w:val="single" w:sz="4" w:space="0" w:color="auto"/>
              <w:bottom w:val="single" w:sz="4" w:space="0" w:color="auto"/>
              <w:right w:val="single" w:sz="4" w:space="0" w:color="auto"/>
            </w:tcBorders>
          </w:tcPr>
          <w:p w14:paraId="26D6F49E" w14:textId="77777777" w:rsidR="00E57DAA" w:rsidRDefault="00E57DAA">
            <w:pPr>
              <w:rPr>
                <w:szCs w:val="21"/>
              </w:rPr>
            </w:pPr>
          </w:p>
        </w:tc>
        <w:tc>
          <w:tcPr>
            <w:tcW w:w="1094" w:type="pct"/>
            <w:tcBorders>
              <w:top w:val="single" w:sz="4" w:space="0" w:color="auto"/>
              <w:left w:val="single" w:sz="4" w:space="0" w:color="auto"/>
              <w:bottom w:val="single" w:sz="4" w:space="0" w:color="auto"/>
              <w:right w:val="single" w:sz="4" w:space="0" w:color="auto"/>
            </w:tcBorders>
          </w:tcPr>
          <w:p w14:paraId="1F730DCB" w14:textId="77777777" w:rsidR="00E57DAA" w:rsidRDefault="00AC4185">
            <w:pPr>
              <w:jc w:val="right"/>
              <w:rPr>
                <w:szCs w:val="21"/>
              </w:rPr>
            </w:pPr>
            <w:r>
              <w:t>5,941,257.03</w:t>
            </w:r>
          </w:p>
        </w:tc>
        <w:tc>
          <w:tcPr>
            <w:tcW w:w="1258" w:type="pct"/>
            <w:tcBorders>
              <w:top w:val="single" w:sz="4" w:space="0" w:color="auto"/>
              <w:left w:val="single" w:sz="4" w:space="0" w:color="auto"/>
              <w:bottom w:val="single" w:sz="4" w:space="0" w:color="auto"/>
              <w:right w:val="single" w:sz="4" w:space="0" w:color="auto"/>
            </w:tcBorders>
          </w:tcPr>
          <w:p w14:paraId="1BE4E7A9" w14:textId="77777777" w:rsidR="00E57DAA" w:rsidRDefault="00AC4185">
            <w:pPr>
              <w:jc w:val="right"/>
              <w:rPr>
                <w:szCs w:val="21"/>
              </w:rPr>
            </w:pPr>
            <w:r>
              <w:t>9,169,447.32</w:t>
            </w:r>
          </w:p>
        </w:tc>
      </w:tr>
    </w:tbl>
    <w:p w14:paraId="5C549C1A" w14:textId="77777777" w:rsidR="00E57DAA" w:rsidRDefault="00E57DAA" w:rsidP="00C25422">
      <w:pPr>
        <w:pStyle w:val="92"/>
      </w:pPr>
    </w:p>
    <w:p w14:paraId="34F5867C" w14:textId="77777777" w:rsidR="00E57DAA" w:rsidRDefault="00E57DAA">
      <w:pPr>
        <w:rPr>
          <w:szCs w:val="21"/>
        </w:rPr>
        <w:sectPr w:rsidR="00E57DAA" w:rsidSect="00226547">
          <w:pgSz w:w="11906" w:h="16838"/>
          <w:pgMar w:top="1525" w:right="1276" w:bottom="1440" w:left="1797" w:header="856" w:footer="992" w:gutter="0"/>
          <w:cols w:space="425"/>
          <w:docGrid w:linePitch="312"/>
        </w:sectPr>
      </w:pPr>
    </w:p>
    <w:p w14:paraId="4A35123F" w14:textId="77777777" w:rsidR="00E57DAA" w:rsidRDefault="00E57DAA">
      <w:pPr>
        <w:rPr>
          <w:szCs w:val="21"/>
        </w:rPr>
      </w:pPr>
    </w:p>
    <w:p w14:paraId="7109D480" w14:textId="77777777" w:rsidR="00E57DAA" w:rsidRDefault="00AC4185">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1148207359"/>
        <w:placeholder>
          <w:docPart w:val="GBC22222222222222222222222222222"/>
        </w:placeholder>
      </w:sdtPr>
      <w:sdtEndPr/>
      <w:sdtContent>
        <w:p w14:paraId="212A15A2" w14:textId="77777777" w:rsidR="00E57DAA" w:rsidRDefault="00AC418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8CA750" w14:textId="77777777" w:rsidR="00E57DAA" w:rsidRDefault="00AC4185">
      <w:pPr>
        <w:jc w:val="right"/>
        <w:rPr>
          <w:szCs w:val="21"/>
        </w:rPr>
      </w:pPr>
      <w:r>
        <w:rPr>
          <w:rFonts w:hint="eastAsia"/>
          <w:szCs w:val="21"/>
        </w:rPr>
        <w:t>单位：</w:t>
      </w:r>
      <w:sdt>
        <w:sdtPr>
          <w:rPr>
            <w:rFonts w:hint="eastAsia"/>
            <w:szCs w:val="21"/>
          </w:rPr>
          <w:alias w:val="单位：公司承租情况表"/>
          <w:tag w:val="_GBC_8ac97dab93ef410a9d23b3aefc024986"/>
          <w:id w:val="-1555347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16369362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6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6"/>
        <w:gridCol w:w="1680"/>
        <w:gridCol w:w="1266"/>
        <w:gridCol w:w="1266"/>
        <w:gridCol w:w="1476"/>
        <w:gridCol w:w="1476"/>
        <w:gridCol w:w="1266"/>
        <w:gridCol w:w="1266"/>
        <w:gridCol w:w="1096"/>
        <w:gridCol w:w="1476"/>
      </w:tblGrid>
      <w:tr w:rsidR="00E57DAA" w14:paraId="2F33EAFF" w14:textId="77777777">
        <w:trPr>
          <w:trHeight w:val="310"/>
        </w:trPr>
        <w:sdt>
          <w:sdtPr>
            <w:rPr>
              <w:rFonts w:hint="eastAsia"/>
            </w:rPr>
            <w:tag w:val="_PLD_e1362814a2c74f61b2928db98e04eae7"/>
            <w:id w:val="664662775"/>
          </w:sdtPr>
          <w:sdtEndPr/>
          <w:sdtContent>
            <w:tc>
              <w:tcPr>
                <w:tcW w:w="572" w:type="pct"/>
                <w:vMerge w:val="restart"/>
                <w:shd w:val="clear" w:color="auto" w:fill="auto"/>
                <w:vAlign w:val="center"/>
              </w:tcPr>
              <w:p w14:paraId="3CFBA27F" w14:textId="77777777" w:rsidR="00E57DAA" w:rsidRDefault="00AC4185">
                <w:pPr>
                  <w:jc w:val="center"/>
                </w:pPr>
                <w:r>
                  <w:rPr>
                    <w:rFonts w:hint="eastAsia"/>
                  </w:rPr>
                  <w:t>出租方名称</w:t>
                </w:r>
              </w:p>
            </w:tc>
          </w:sdtContent>
        </w:sdt>
        <w:sdt>
          <w:sdtPr>
            <w:rPr>
              <w:rFonts w:hint="eastAsia"/>
            </w:rPr>
            <w:tag w:val="_PLD_047e2a729b7746bcb598e4fead4c9704"/>
            <w:id w:val="1282921708"/>
          </w:sdtPr>
          <w:sdtEndPr/>
          <w:sdtContent>
            <w:tc>
              <w:tcPr>
                <w:tcW w:w="635" w:type="pct"/>
                <w:vMerge w:val="restart"/>
                <w:shd w:val="clear" w:color="auto" w:fill="auto"/>
                <w:vAlign w:val="center"/>
              </w:tcPr>
              <w:p w14:paraId="1C95B456" w14:textId="77777777" w:rsidR="00E57DAA" w:rsidRDefault="00AC4185">
                <w:pPr>
                  <w:jc w:val="center"/>
                </w:pPr>
                <w:r>
                  <w:rPr>
                    <w:rFonts w:hint="eastAsia"/>
                  </w:rPr>
                  <w:t>租赁资产种类</w:t>
                </w:r>
              </w:p>
            </w:tc>
          </w:sdtContent>
        </w:sdt>
        <w:sdt>
          <w:sdtPr>
            <w:rPr>
              <w:rFonts w:hint="eastAsia"/>
            </w:rPr>
            <w:tag w:val="_PLD_707ae22896aa4e5f88d965f8f59d4c6e"/>
            <w:id w:val="-1186514373"/>
          </w:sdtPr>
          <w:sdtEndPr/>
          <w:sdtContent>
            <w:tc>
              <w:tcPr>
                <w:tcW w:w="946" w:type="pct"/>
                <w:gridSpan w:val="2"/>
                <w:shd w:val="clear" w:color="auto" w:fill="auto"/>
                <w:vAlign w:val="center"/>
              </w:tcPr>
              <w:p w14:paraId="363404AF" w14:textId="77777777" w:rsidR="00E57DAA" w:rsidRDefault="00AC4185">
                <w:pPr>
                  <w:jc w:val="center"/>
                </w:pPr>
                <w:r>
                  <w:rPr>
                    <w:rFonts w:hint="eastAsia"/>
                  </w:rPr>
                  <w:t>简化处理的短期租赁和低价值资产租赁的租金费用（如适用）</w:t>
                </w:r>
              </w:p>
            </w:tc>
          </w:sdtContent>
        </w:sdt>
        <w:sdt>
          <w:sdtPr>
            <w:rPr>
              <w:rFonts w:hint="eastAsia"/>
            </w:rPr>
            <w:tag w:val="_PLD_1baa64de6b674b698ef955c65d71ad39"/>
            <w:id w:val="1031078394"/>
          </w:sdtPr>
          <w:sdtEndPr/>
          <w:sdtContent>
            <w:tc>
              <w:tcPr>
                <w:tcW w:w="907" w:type="pct"/>
                <w:gridSpan w:val="2"/>
                <w:shd w:val="clear" w:color="auto" w:fill="auto"/>
                <w:vAlign w:val="center"/>
              </w:tcPr>
              <w:p w14:paraId="04A48552" w14:textId="77777777" w:rsidR="00E57DAA" w:rsidRDefault="00AC4185">
                <w:pPr>
                  <w:jc w:val="center"/>
                </w:pPr>
                <w:r>
                  <w:rPr>
                    <w:rFonts w:hint="eastAsia"/>
                  </w:rPr>
                  <w:t>支付的租金</w:t>
                </w:r>
              </w:p>
            </w:tc>
          </w:sdtContent>
        </w:sdt>
        <w:sdt>
          <w:sdtPr>
            <w:rPr>
              <w:rFonts w:hint="eastAsia"/>
            </w:rPr>
            <w:tag w:val="_PLD_a2264da8a9184627878bbc6a7ead0e32"/>
            <w:id w:val="272823174"/>
          </w:sdtPr>
          <w:sdtEndPr/>
          <w:sdtContent>
            <w:tc>
              <w:tcPr>
                <w:tcW w:w="946" w:type="pct"/>
                <w:gridSpan w:val="2"/>
                <w:shd w:val="clear" w:color="auto" w:fill="auto"/>
                <w:vAlign w:val="center"/>
              </w:tcPr>
              <w:p w14:paraId="369B42CD" w14:textId="77777777" w:rsidR="00E57DAA" w:rsidRDefault="00AC4185">
                <w:pPr>
                  <w:jc w:val="center"/>
                </w:pPr>
                <w:r>
                  <w:rPr>
                    <w:rFonts w:hint="eastAsia"/>
                  </w:rPr>
                  <w:t>承担的租赁负债利息支出</w:t>
                </w:r>
              </w:p>
            </w:tc>
          </w:sdtContent>
        </w:sdt>
        <w:sdt>
          <w:sdtPr>
            <w:rPr>
              <w:rFonts w:hint="eastAsia"/>
            </w:rPr>
            <w:tag w:val="_PLD_2466a0c2ac07428d813bece2bd125ef9"/>
            <w:id w:val="-1214421886"/>
          </w:sdtPr>
          <w:sdtEndPr/>
          <w:sdtContent>
            <w:tc>
              <w:tcPr>
                <w:tcW w:w="945" w:type="pct"/>
                <w:gridSpan w:val="2"/>
                <w:shd w:val="clear" w:color="auto" w:fill="auto"/>
                <w:vAlign w:val="center"/>
              </w:tcPr>
              <w:p w14:paraId="7D5E8C29" w14:textId="77777777" w:rsidR="00E57DAA" w:rsidRDefault="00AC4185">
                <w:pPr>
                  <w:jc w:val="center"/>
                </w:pPr>
                <w:r>
                  <w:rPr>
                    <w:rFonts w:hint="eastAsia"/>
                  </w:rPr>
                  <w:t>增加的使用权资产</w:t>
                </w:r>
              </w:p>
            </w:tc>
          </w:sdtContent>
        </w:sdt>
      </w:tr>
      <w:tr w:rsidR="00E57DAA" w14:paraId="1D31E0E0" w14:textId="77777777">
        <w:tc>
          <w:tcPr>
            <w:tcW w:w="572" w:type="pct"/>
            <w:vMerge/>
            <w:shd w:val="clear" w:color="auto" w:fill="auto"/>
            <w:vAlign w:val="center"/>
          </w:tcPr>
          <w:p w14:paraId="75CAF3E7" w14:textId="77777777" w:rsidR="00E57DAA" w:rsidRDefault="00E57DAA">
            <w:pPr>
              <w:jc w:val="center"/>
            </w:pPr>
          </w:p>
        </w:tc>
        <w:tc>
          <w:tcPr>
            <w:tcW w:w="635" w:type="pct"/>
            <w:vMerge/>
            <w:shd w:val="clear" w:color="auto" w:fill="auto"/>
            <w:vAlign w:val="center"/>
          </w:tcPr>
          <w:p w14:paraId="05FBD8C3" w14:textId="77777777" w:rsidR="00E57DAA" w:rsidRDefault="00E57DAA">
            <w:pPr>
              <w:jc w:val="center"/>
            </w:pPr>
          </w:p>
        </w:tc>
        <w:sdt>
          <w:sdtPr>
            <w:rPr>
              <w:rFonts w:hint="eastAsia"/>
            </w:rPr>
            <w:tag w:val="_PLD_decc14885e564c878d621bd073910caf"/>
            <w:id w:val="-1634391620"/>
          </w:sdtPr>
          <w:sdtEndPr/>
          <w:sdtContent>
            <w:tc>
              <w:tcPr>
                <w:tcW w:w="473" w:type="pct"/>
                <w:shd w:val="clear" w:color="auto" w:fill="auto"/>
                <w:vAlign w:val="center"/>
              </w:tcPr>
              <w:p w14:paraId="29B75D6D" w14:textId="77777777" w:rsidR="00E57DAA" w:rsidRDefault="00AC4185">
                <w:pPr>
                  <w:jc w:val="center"/>
                </w:pPr>
                <w:r>
                  <w:rPr>
                    <w:rFonts w:hint="eastAsia"/>
                  </w:rPr>
                  <w:t>本期发生额</w:t>
                </w:r>
              </w:p>
            </w:tc>
          </w:sdtContent>
        </w:sdt>
        <w:sdt>
          <w:sdtPr>
            <w:rPr>
              <w:rFonts w:hint="eastAsia"/>
            </w:rPr>
            <w:tag w:val="_PLD_117a0c49df0d4b6fa483abd2a84ab152"/>
            <w:id w:val="1840955510"/>
          </w:sdtPr>
          <w:sdtEndPr/>
          <w:sdtContent>
            <w:tc>
              <w:tcPr>
                <w:tcW w:w="473" w:type="pct"/>
                <w:shd w:val="clear" w:color="auto" w:fill="auto"/>
                <w:vAlign w:val="center"/>
              </w:tcPr>
              <w:p w14:paraId="7A87D4FE" w14:textId="77777777" w:rsidR="00E57DAA" w:rsidRDefault="00AC4185">
                <w:pPr>
                  <w:jc w:val="center"/>
                </w:pPr>
                <w:r>
                  <w:rPr>
                    <w:rFonts w:hint="eastAsia"/>
                  </w:rPr>
                  <w:t>上期发生额</w:t>
                </w:r>
              </w:p>
            </w:tc>
          </w:sdtContent>
        </w:sdt>
        <w:sdt>
          <w:sdtPr>
            <w:rPr>
              <w:rFonts w:hint="eastAsia"/>
            </w:rPr>
            <w:tag w:val="_PLD_3f2742ed232b49a08af3ae7fa5b07bc9"/>
            <w:id w:val="-749039193"/>
          </w:sdtPr>
          <w:sdtEndPr/>
          <w:sdtContent>
            <w:tc>
              <w:tcPr>
                <w:tcW w:w="434" w:type="pct"/>
                <w:shd w:val="clear" w:color="auto" w:fill="auto"/>
                <w:vAlign w:val="center"/>
              </w:tcPr>
              <w:p w14:paraId="48030F88" w14:textId="77777777" w:rsidR="00E57DAA" w:rsidRDefault="00AC4185">
                <w:pPr>
                  <w:jc w:val="center"/>
                </w:pPr>
                <w:r>
                  <w:rPr>
                    <w:rFonts w:hint="eastAsia"/>
                  </w:rPr>
                  <w:t>本期发生额</w:t>
                </w:r>
              </w:p>
            </w:tc>
          </w:sdtContent>
        </w:sdt>
        <w:sdt>
          <w:sdtPr>
            <w:rPr>
              <w:rFonts w:hint="eastAsia"/>
            </w:rPr>
            <w:tag w:val="_PLD_863dd7645d5d460d86f3326ef79f954f"/>
            <w:id w:val="266970887"/>
          </w:sdtPr>
          <w:sdtEndPr/>
          <w:sdtContent>
            <w:tc>
              <w:tcPr>
                <w:tcW w:w="473" w:type="pct"/>
                <w:shd w:val="clear" w:color="auto" w:fill="auto"/>
                <w:vAlign w:val="center"/>
              </w:tcPr>
              <w:p w14:paraId="3877A69A" w14:textId="77777777" w:rsidR="00E57DAA" w:rsidRDefault="00AC4185">
                <w:pPr>
                  <w:jc w:val="center"/>
                </w:pPr>
                <w:r>
                  <w:rPr>
                    <w:rFonts w:hint="eastAsia"/>
                  </w:rPr>
                  <w:t>上期发生额</w:t>
                </w:r>
              </w:p>
            </w:tc>
          </w:sdtContent>
        </w:sdt>
        <w:sdt>
          <w:sdtPr>
            <w:rPr>
              <w:rFonts w:hint="eastAsia"/>
            </w:rPr>
            <w:tag w:val="_PLD_97ac55cb0d5049e0af948382a891d7d1"/>
            <w:id w:val="329178584"/>
          </w:sdtPr>
          <w:sdtEndPr/>
          <w:sdtContent>
            <w:tc>
              <w:tcPr>
                <w:tcW w:w="473" w:type="pct"/>
                <w:shd w:val="clear" w:color="auto" w:fill="auto"/>
                <w:vAlign w:val="center"/>
              </w:tcPr>
              <w:p w14:paraId="613F45C0" w14:textId="77777777" w:rsidR="00E57DAA" w:rsidRDefault="00AC4185">
                <w:pPr>
                  <w:jc w:val="center"/>
                </w:pPr>
                <w:r>
                  <w:rPr>
                    <w:rFonts w:hint="eastAsia"/>
                  </w:rPr>
                  <w:t>本期发生额</w:t>
                </w:r>
              </w:p>
            </w:tc>
          </w:sdtContent>
        </w:sdt>
        <w:sdt>
          <w:sdtPr>
            <w:rPr>
              <w:rFonts w:hint="eastAsia"/>
            </w:rPr>
            <w:tag w:val="_PLD_7493ba206860489b86a598a5ef76eb1d"/>
            <w:id w:val="519588896"/>
          </w:sdtPr>
          <w:sdtEndPr/>
          <w:sdtContent>
            <w:tc>
              <w:tcPr>
                <w:tcW w:w="473" w:type="pct"/>
                <w:shd w:val="clear" w:color="auto" w:fill="auto"/>
                <w:vAlign w:val="center"/>
              </w:tcPr>
              <w:p w14:paraId="5363AE7D" w14:textId="77777777" w:rsidR="00E57DAA" w:rsidRDefault="00AC4185">
                <w:pPr>
                  <w:jc w:val="center"/>
                </w:pPr>
                <w:r>
                  <w:rPr>
                    <w:rFonts w:hint="eastAsia"/>
                  </w:rPr>
                  <w:t>上期发生额</w:t>
                </w:r>
              </w:p>
            </w:tc>
          </w:sdtContent>
        </w:sdt>
        <w:sdt>
          <w:sdtPr>
            <w:rPr>
              <w:rFonts w:hint="eastAsia"/>
            </w:rPr>
            <w:tag w:val="_PLD_345b486972d6489ea8c52e2fbae958f2"/>
            <w:id w:val="-1264844810"/>
          </w:sdtPr>
          <w:sdtEndPr/>
          <w:sdtContent>
            <w:tc>
              <w:tcPr>
                <w:tcW w:w="473" w:type="pct"/>
                <w:shd w:val="clear" w:color="auto" w:fill="auto"/>
                <w:vAlign w:val="center"/>
              </w:tcPr>
              <w:p w14:paraId="3229E626" w14:textId="77777777" w:rsidR="00E57DAA" w:rsidRDefault="00AC4185">
                <w:pPr>
                  <w:jc w:val="center"/>
                </w:pPr>
                <w:r>
                  <w:rPr>
                    <w:rFonts w:hint="eastAsia"/>
                  </w:rPr>
                  <w:t>本期发生额</w:t>
                </w:r>
              </w:p>
            </w:tc>
          </w:sdtContent>
        </w:sdt>
        <w:sdt>
          <w:sdtPr>
            <w:rPr>
              <w:rFonts w:hint="eastAsia"/>
            </w:rPr>
            <w:tag w:val="_PLD_8e466260174241e8a7e93f854fc0b640"/>
            <w:id w:val="-357352645"/>
          </w:sdtPr>
          <w:sdtEndPr/>
          <w:sdtContent>
            <w:tc>
              <w:tcPr>
                <w:tcW w:w="472" w:type="pct"/>
                <w:shd w:val="clear" w:color="auto" w:fill="auto"/>
                <w:vAlign w:val="center"/>
              </w:tcPr>
              <w:p w14:paraId="0C6F197F" w14:textId="77777777" w:rsidR="00E57DAA" w:rsidRDefault="00AC4185">
                <w:pPr>
                  <w:jc w:val="center"/>
                </w:pPr>
                <w:r>
                  <w:rPr>
                    <w:rFonts w:hint="eastAsia"/>
                  </w:rPr>
                  <w:t>上期发生额</w:t>
                </w:r>
              </w:p>
            </w:tc>
          </w:sdtContent>
        </w:sdt>
      </w:tr>
      <w:tr w:rsidR="00E57DAA" w14:paraId="785B1ACB" w14:textId="77777777">
        <w:tc>
          <w:tcPr>
            <w:tcW w:w="572" w:type="pct"/>
            <w:shd w:val="clear" w:color="auto" w:fill="auto"/>
            <w:vAlign w:val="center"/>
          </w:tcPr>
          <w:p w14:paraId="1D8CACA5" w14:textId="77777777" w:rsidR="00E57DAA" w:rsidRDefault="00AC4185" w:rsidP="00C25422">
            <w:pPr>
              <w:pStyle w:val="92"/>
            </w:pPr>
            <w:r>
              <w:t>中国建材集团财务有限公司</w:t>
            </w:r>
          </w:p>
        </w:tc>
        <w:tc>
          <w:tcPr>
            <w:tcW w:w="635" w:type="pct"/>
            <w:shd w:val="clear" w:color="auto" w:fill="auto"/>
            <w:vAlign w:val="center"/>
          </w:tcPr>
          <w:p w14:paraId="38C8036B" w14:textId="77777777" w:rsidR="00E57DAA" w:rsidRDefault="00AC4185" w:rsidP="00C25422">
            <w:pPr>
              <w:pStyle w:val="92"/>
            </w:pPr>
            <w:r>
              <w:t>机器设备</w:t>
            </w:r>
          </w:p>
        </w:tc>
        <w:tc>
          <w:tcPr>
            <w:tcW w:w="473" w:type="pct"/>
            <w:shd w:val="clear" w:color="auto" w:fill="auto"/>
            <w:vAlign w:val="center"/>
          </w:tcPr>
          <w:p w14:paraId="6C37F2AA" w14:textId="77777777" w:rsidR="00E57DAA" w:rsidRDefault="00AC4185">
            <w:pPr>
              <w:jc w:val="right"/>
            </w:pPr>
            <w:r>
              <w:t> </w:t>
            </w:r>
          </w:p>
        </w:tc>
        <w:tc>
          <w:tcPr>
            <w:tcW w:w="473" w:type="pct"/>
            <w:shd w:val="clear" w:color="auto" w:fill="auto"/>
            <w:vAlign w:val="center"/>
          </w:tcPr>
          <w:p w14:paraId="396558F2" w14:textId="77777777" w:rsidR="00E57DAA" w:rsidRDefault="00AC4185">
            <w:pPr>
              <w:jc w:val="right"/>
            </w:pPr>
            <w:r>
              <w:t> </w:t>
            </w:r>
          </w:p>
        </w:tc>
        <w:tc>
          <w:tcPr>
            <w:tcW w:w="434" w:type="pct"/>
            <w:shd w:val="clear" w:color="auto" w:fill="auto"/>
            <w:vAlign w:val="center"/>
          </w:tcPr>
          <w:p w14:paraId="0012190E" w14:textId="77777777" w:rsidR="00E57DAA" w:rsidRDefault="00AC4185">
            <w:pPr>
              <w:jc w:val="right"/>
            </w:pPr>
            <w:r>
              <w:t>1,896,629.97</w:t>
            </w:r>
          </w:p>
        </w:tc>
        <w:tc>
          <w:tcPr>
            <w:tcW w:w="473" w:type="pct"/>
            <w:shd w:val="clear" w:color="auto" w:fill="auto"/>
            <w:vAlign w:val="center"/>
          </w:tcPr>
          <w:p w14:paraId="5157D918" w14:textId="77777777" w:rsidR="00E57DAA" w:rsidRDefault="00AC4185">
            <w:pPr>
              <w:jc w:val="right"/>
            </w:pPr>
            <w:r>
              <w:t>358,333.33</w:t>
            </w:r>
          </w:p>
        </w:tc>
        <w:tc>
          <w:tcPr>
            <w:tcW w:w="473" w:type="pct"/>
            <w:shd w:val="clear" w:color="auto" w:fill="auto"/>
            <w:vAlign w:val="center"/>
          </w:tcPr>
          <w:p w14:paraId="3230519A" w14:textId="77777777" w:rsidR="00E57DAA" w:rsidRDefault="00AC4185">
            <w:pPr>
              <w:jc w:val="right"/>
            </w:pPr>
            <w:r>
              <w:t>62,924.33</w:t>
            </w:r>
          </w:p>
        </w:tc>
        <w:tc>
          <w:tcPr>
            <w:tcW w:w="473" w:type="pct"/>
            <w:shd w:val="clear" w:color="auto" w:fill="auto"/>
            <w:vAlign w:val="center"/>
          </w:tcPr>
          <w:p w14:paraId="02B746EF" w14:textId="77777777" w:rsidR="00E57DAA" w:rsidRDefault="00AC4185">
            <w:pPr>
              <w:jc w:val="right"/>
            </w:pPr>
            <w:r>
              <w:t>42,077.29</w:t>
            </w:r>
          </w:p>
        </w:tc>
        <w:tc>
          <w:tcPr>
            <w:tcW w:w="473" w:type="pct"/>
            <w:shd w:val="clear" w:color="auto" w:fill="auto"/>
            <w:vAlign w:val="center"/>
          </w:tcPr>
          <w:p w14:paraId="4C28E4F6" w14:textId="77777777" w:rsidR="00E57DAA" w:rsidRDefault="00AC4185">
            <w:pPr>
              <w:jc w:val="right"/>
            </w:pPr>
            <w:r>
              <w:t xml:space="preserve">　</w:t>
            </w:r>
          </w:p>
        </w:tc>
        <w:tc>
          <w:tcPr>
            <w:tcW w:w="472" w:type="pct"/>
            <w:shd w:val="clear" w:color="auto" w:fill="auto"/>
            <w:vAlign w:val="center"/>
          </w:tcPr>
          <w:p w14:paraId="57E49CAA" w14:textId="77777777" w:rsidR="00E57DAA" w:rsidRDefault="00AC4185">
            <w:pPr>
              <w:jc w:val="right"/>
            </w:pPr>
            <w:r>
              <w:t>2,150,000.00</w:t>
            </w:r>
          </w:p>
        </w:tc>
      </w:tr>
      <w:tr w:rsidR="00E57DAA" w14:paraId="06D7EFED" w14:textId="77777777">
        <w:tc>
          <w:tcPr>
            <w:tcW w:w="572" w:type="pct"/>
            <w:shd w:val="clear" w:color="auto" w:fill="auto"/>
            <w:vAlign w:val="center"/>
          </w:tcPr>
          <w:p w14:paraId="5A1FD34F" w14:textId="77777777" w:rsidR="00E57DAA" w:rsidRDefault="00AC4185" w:rsidP="00C25422">
            <w:pPr>
              <w:pStyle w:val="92"/>
            </w:pPr>
            <w:r>
              <w:t>临沂中联水泥有限公司</w:t>
            </w:r>
          </w:p>
        </w:tc>
        <w:tc>
          <w:tcPr>
            <w:tcW w:w="635" w:type="pct"/>
            <w:shd w:val="clear" w:color="auto" w:fill="auto"/>
            <w:vAlign w:val="center"/>
          </w:tcPr>
          <w:p w14:paraId="11FA5764" w14:textId="77777777" w:rsidR="00E57DAA" w:rsidRDefault="00AC4185" w:rsidP="00C25422">
            <w:pPr>
              <w:pStyle w:val="92"/>
            </w:pPr>
            <w:r>
              <w:t>房屋建筑物</w:t>
            </w:r>
          </w:p>
        </w:tc>
        <w:tc>
          <w:tcPr>
            <w:tcW w:w="473" w:type="pct"/>
            <w:shd w:val="clear" w:color="auto" w:fill="auto"/>
            <w:vAlign w:val="center"/>
          </w:tcPr>
          <w:p w14:paraId="4BF75B10" w14:textId="77777777" w:rsidR="00E57DAA" w:rsidRDefault="00AC4185">
            <w:pPr>
              <w:jc w:val="right"/>
            </w:pPr>
            <w:r>
              <w:t>257,142.86</w:t>
            </w:r>
          </w:p>
        </w:tc>
        <w:tc>
          <w:tcPr>
            <w:tcW w:w="473" w:type="pct"/>
            <w:shd w:val="clear" w:color="auto" w:fill="auto"/>
            <w:vAlign w:val="center"/>
          </w:tcPr>
          <w:p w14:paraId="6B6D5671" w14:textId="77777777" w:rsidR="00E57DAA" w:rsidRDefault="00AC4185">
            <w:pPr>
              <w:jc w:val="right"/>
            </w:pPr>
            <w:r>
              <w:t>257,142.86</w:t>
            </w:r>
          </w:p>
        </w:tc>
        <w:tc>
          <w:tcPr>
            <w:tcW w:w="434" w:type="pct"/>
            <w:shd w:val="clear" w:color="auto" w:fill="auto"/>
            <w:vAlign w:val="center"/>
          </w:tcPr>
          <w:p w14:paraId="5C9A20E3" w14:textId="77777777" w:rsidR="00E57DAA" w:rsidRDefault="00AC4185">
            <w:pPr>
              <w:jc w:val="right"/>
            </w:pPr>
            <w:r>
              <w:t>270,000.00</w:t>
            </w:r>
          </w:p>
        </w:tc>
        <w:tc>
          <w:tcPr>
            <w:tcW w:w="473" w:type="pct"/>
            <w:shd w:val="clear" w:color="auto" w:fill="auto"/>
            <w:vAlign w:val="center"/>
          </w:tcPr>
          <w:p w14:paraId="1FEC9DC7" w14:textId="77777777" w:rsidR="00E57DAA" w:rsidRDefault="00AC4185">
            <w:pPr>
              <w:jc w:val="right"/>
            </w:pPr>
            <w:r>
              <w:t>270,000.00</w:t>
            </w:r>
          </w:p>
        </w:tc>
        <w:tc>
          <w:tcPr>
            <w:tcW w:w="473" w:type="pct"/>
            <w:shd w:val="clear" w:color="auto" w:fill="auto"/>
            <w:vAlign w:val="center"/>
          </w:tcPr>
          <w:p w14:paraId="536D91B1" w14:textId="77777777" w:rsidR="00E57DAA" w:rsidRDefault="00AC4185">
            <w:pPr>
              <w:jc w:val="right"/>
            </w:pPr>
            <w:r>
              <w:t>135,007.58</w:t>
            </w:r>
          </w:p>
        </w:tc>
        <w:tc>
          <w:tcPr>
            <w:tcW w:w="473" w:type="pct"/>
            <w:shd w:val="clear" w:color="auto" w:fill="auto"/>
            <w:vAlign w:val="center"/>
          </w:tcPr>
          <w:p w14:paraId="2D7B0832" w14:textId="77777777" w:rsidR="00E57DAA" w:rsidRDefault="00AC4185">
            <w:pPr>
              <w:jc w:val="right"/>
            </w:pPr>
            <w:r>
              <w:t xml:space="preserve">　</w:t>
            </w:r>
          </w:p>
        </w:tc>
        <w:tc>
          <w:tcPr>
            <w:tcW w:w="473" w:type="pct"/>
            <w:shd w:val="clear" w:color="auto" w:fill="auto"/>
            <w:vAlign w:val="center"/>
          </w:tcPr>
          <w:p w14:paraId="63F63849" w14:textId="77777777" w:rsidR="00E57DAA" w:rsidRDefault="00AC4185">
            <w:pPr>
              <w:jc w:val="right"/>
            </w:pPr>
            <w:r>
              <w:t xml:space="preserve">　</w:t>
            </w:r>
          </w:p>
        </w:tc>
        <w:tc>
          <w:tcPr>
            <w:tcW w:w="472" w:type="pct"/>
            <w:shd w:val="clear" w:color="auto" w:fill="auto"/>
            <w:vAlign w:val="center"/>
          </w:tcPr>
          <w:p w14:paraId="77DA255A" w14:textId="77777777" w:rsidR="00E57DAA" w:rsidRDefault="00AC4185">
            <w:pPr>
              <w:jc w:val="right"/>
            </w:pPr>
            <w:r>
              <w:t>2,874,555.41</w:t>
            </w:r>
          </w:p>
        </w:tc>
      </w:tr>
      <w:tr w:rsidR="00E57DAA" w14:paraId="2C2AED2C" w14:textId="77777777">
        <w:tc>
          <w:tcPr>
            <w:tcW w:w="572" w:type="pct"/>
            <w:shd w:val="clear" w:color="auto" w:fill="auto"/>
            <w:vAlign w:val="center"/>
          </w:tcPr>
          <w:p w14:paraId="251BFEE3" w14:textId="77777777" w:rsidR="00E57DAA" w:rsidRDefault="00AC4185" w:rsidP="00C25422">
            <w:pPr>
              <w:pStyle w:val="92"/>
            </w:pPr>
            <w:r>
              <w:t>溧水天山水泥有限公司</w:t>
            </w:r>
          </w:p>
        </w:tc>
        <w:tc>
          <w:tcPr>
            <w:tcW w:w="635" w:type="pct"/>
            <w:shd w:val="clear" w:color="auto" w:fill="auto"/>
            <w:vAlign w:val="center"/>
          </w:tcPr>
          <w:p w14:paraId="3E0E0F40" w14:textId="77777777" w:rsidR="00E57DAA" w:rsidRDefault="00AC4185" w:rsidP="00C25422">
            <w:pPr>
              <w:pStyle w:val="92"/>
            </w:pPr>
            <w:r>
              <w:t>房屋建筑物</w:t>
            </w:r>
          </w:p>
        </w:tc>
        <w:tc>
          <w:tcPr>
            <w:tcW w:w="473" w:type="pct"/>
            <w:shd w:val="clear" w:color="auto" w:fill="auto"/>
            <w:vAlign w:val="center"/>
          </w:tcPr>
          <w:p w14:paraId="3C6BDA59" w14:textId="77777777" w:rsidR="00E57DAA" w:rsidRDefault="00AC4185">
            <w:pPr>
              <w:jc w:val="right"/>
            </w:pPr>
            <w:r>
              <w:t xml:space="preserve">　</w:t>
            </w:r>
          </w:p>
        </w:tc>
        <w:tc>
          <w:tcPr>
            <w:tcW w:w="473" w:type="pct"/>
            <w:shd w:val="clear" w:color="auto" w:fill="auto"/>
            <w:vAlign w:val="center"/>
          </w:tcPr>
          <w:p w14:paraId="10A468D8" w14:textId="77777777" w:rsidR="00E57DAA" w:rsidRDefault="00AC4185">
            <w:pPr>
              <w:jc w:val="right"/>
            </w:pPr>
            <w:r>
              <w:t>60,952.38</w:t>
            </w:r>
          </w:p>
        </w:tc>
        <w:tc>
          <w:tcPr>
            <w:tcW w:w="434" w:type="pct"/>
            <w:shd w:val="clear" w:color="auto" w:fill="auto"/>
            <w:vAlign w:val="center"/>
          </w:tcPr>
          <w:p w14:paraId="0E56D826" w14:textId="77777777" w:rsidR="00E57DAA" w:rsidRDefault="00AC4185">
            <w:pPr>
              <w:jc w:val="right"/>
            </w:pPr>
            <w:r>
              <w:t xml:space="preserve">　</w:t>
            </w:r>
          </w:p>
        </w:tc>
        <w:tc>
          <w:tcPr>
            <w:tcW w:w="473" w:type="pct"/>
            <w:shd w:val="clear" w:color="auto" w:fill="auto"/>
            <w:vAlign w:val="center"/>
          </w:tcPr>
          <w:p w14:paraId="34AEEDB1" w14:textId="77777777" w:rsidR="00E57DAA" w:rsidRDefault="00AC4185">
            <w:pPr>
              <w:jc w:val="right"/>
            </w:pPr>
            <w:r>
              <w:t>64,000.00</w:t>
            </w:r>
          </w:p>
        </w:tc>
        <w:tc>
          <w:tcPr>
            <w:tcW w:w="473" w:type="pct"/>
            <w:shd w:val="clear" w:color="auto" w:fill="auto"/>
            <w:vAlign w:val="center"/>
          </w:tcPr>
          <w:p w14:paraId="35E16882" w14:textId="77777777" w:rsidR="00E57DAA" w:rsidRDefault="00AC4185">
            <w:pPr>
              <w:jc w:val="right"/>
            </w:pPr>
            <w:r>
              <w:t xml:space="preserve">　</w:t>
            </w:r>
          </w:p>
        </w:tc>
        <w:tc>
          <w:tcPr>
            <w:tcW w:w="473" w:type="pct"/>
            <w:shd w:val="clear" w:color="auto" w:fill="auto"/>
            <w:vAlign w:val="center"/>
          </w:tcPr>
          <w:p w14:paraId="23730876" w14:textId="77777777" w:rsidR="00E57DAA" w:rsidRDefault="00AC4185">
            <w:pPr>
              <w:jc w:val="right"/>
            </w:pPr>
            <w:r>
              <w:t xml:space="preserve">　</w:t>
            </w:r>
          </w:p>
        </w:tc>
        <w:tc>
          <w:tcPr>
            <w:tcW w:w="473" w:type="pct"/>
            <w:shd w:val="clear" w:color="auto" w:fill="auto"/>
            <w:vAlign w:val="center"/>
          </w:tcPr>
          <w:p w14:paraId="0F186A6A" w14:textId="77777777" w:rsidR="00E57DAA" w:rsidRDefault="00AC4185">
            <w:pPr>
              <w:jc w:val="right"/>
            </w:pPr>
            <w:r>
              <w:t xml:space="preserve">　</w:t>
            </w:r>
          </w:p>
        </w:tc>
        <w:tc>
          <w:tcPr>
            <w:tcW w:w="472" w:type="pct"/>
            <w:shd w:val="clear" w:color="auto" w:fill="auto"/>
            <w:vAlign w:val="center"/>
          </w:tcPr>
          <w:p w14:paraId="36B72C4A" w14:textId="77777777" w:rsidR="00E57DAA" w:rsidRDefault="00AC4185">
            <w:pPr>
              <w:jc w:val="right"/>
            </w:pPr>
            <w:r>
              <w:t xml:space="preserve">　</w:t>
            </w:r>
          </w:p>
        </w:tc>
      </w:tr>
      <w:tr w:rsidR="00E57DAA" w14:paraId="4C8F06E2" w14:textId="77777777">
        <w:tc>
          <w:tcPr>
            <w:tcW w:w="572" w:type="pct"/>
            <w:shd w:val="clear" w:color="auto" w:fill="auto"/>
            <w:vAlign w:val="center"/>
          </w:tcPr>
          <w:p w14:paraId="05D9861B" w14:textId="77777777" w:rsidR="00E57DAA" w:rsidRDefault="00AC4185" w:rsidP="00C25422">
            <w:pPr>
              <w:pStyle w:val="92"/>
            </w:pPr>
            <w:r>
              <w:t>中国建材国际坦桑尼亚公司</w:t>
            </w:r>
          </w:p>
        </w:tc>
        <w:tc>
          <w:tcPr>
            <w:tcW w:w="635" w:type="pct"/>
            <w:shd w:val="clear" w:color="auto" w:fill="auto"/>
            <w:vAlign w:val="center"/>
          </w:tcPr>
          <w:p w14:paraId="04FA7A7A" w14:textId="77777777" w:rsidR="00E57DAA" w:rsidRDefault="00AC4185" w:rsidP="00C25422">
            <w:pPr>
              <w:pStyle w:val="92"/>
            </w:pPr>
            <w:r>
              <w:t>房屋建筑物</w:t>
            </w:r>
          </w:p>
        </w:tc>
        <w:tc>
          <w:tcPr>
            <w:tcW w:w="473" w:type="pct"/>
            <w:shd w:val="clear" w:color="auto" w:fill="auto"/>
            <w:vAlign w:val="center"/>
          </w:tcPr>
          <w:p w14:paraId="1839446F" w14:textId="77777777" w:rsidR="00E57DAA" w:rsidRDefault="00AC4185">
            <w:pPr>
              <w:jc w:val="right"/>
            </w:pPr>
            <w:r>
              <w:t xml:space="preserve">　</w:t>
            </w:r>
          </w:p>
        </w:tc>
        <w:tc>
          <w:tcPr>
            <w:tcW w:w="473" w:type="pct"/>
            <w:shd w:val="clear" w:color="auto" w:fill="auto"/>
            <w:vAlign w:val="center"/>
          </w:tcPr>
          <w:p w14:paraId="68030CF2" w14:textId="77777777" w:rsidR="00E57DAA" w:rsidRDefault="00AC4185">
            <w:pPr>
              <w:jc w:val="right"/>
            </w:pPr>
            <w:r>
              <w:t xml:space="preserve">　</w:t>
            </w:r>
          </w:p>
        </w:tc>
        <w:tc>
          <w:tcPr>
            <w:tcW w:w="434" w:type="pct"/>
            <w:shd w:val="clear" w:color="auto" w:fill="auto"/>
            <w:vAlign w:val="center"/>
          </w:tcPr>
          <w:p w14:paraId="581489B6" w14:textId="77777777" w:rsidR="00E57DAA" w:rsidRDefault="00AC4185">
            <w:pPr>
              <w:jc w:val="right"/>
            </w:pPr>
            <w:r>
              <w:t>779,994.32</w:t>
            </w:r>
          </w:p>
        </w:tc>
        <w:tc>
          <w:tcPr>
            <w:tcW w:w="473" w:type="pct"/>
            <w:shd w:val="clear" w:color="auto" w:fill="auto"/>
            <w:vAlign w:val="center"/>
          </w:tcPr>
          <w:p w14:paraId="26F3F73E" w14:textId="77777777" w:rsidR="00E57DAA" w:rsidRDefault="00AC4185">
            <w:pPr>
              <w:jc w:val="right"/>
            </w:pPr>
            <w:r>
              <w:t>837,420.00</w:t>
            </w:r>
          </w:p>
        </w:tc>
        <w:tc>
          <w:tcPr>
            <w:tcW w:w="473" w:type="pct"/>
            <w:shd w:val="clear" w:color="auto" w:fill="auto"/>
            <w:vAlign w:val="center"/>
          </w:tcPr>
          <w:p w14:paraId="7860BD1E" w14:textId="77777777" w:rsidR="00E57DAA" w:rsidRDefault="00AC4185">
            <w:pPr>
              <w:jc w:val="right"/>
            </w:pPr>
            <w:r>
              <w:t>16,090.56</w:t>
            </w:r>
          </w:p>
        </w:tc>
        <w:tc>
          <w:tcPr>
            <w:tcW w:w="473" w:type="pct"/>
            <w:shd w:val="clear" w:color="auto" w:fill="auto"/>
            <w:vAlign w:val="center"/>
          </w:tcPr>
          <w:p w14:paraId="32441F8F" w14:textId="77777777" w:rsidR="00E57DAA" w:rsidRDefault="00AC4185">
            <w:pPr>
              <w:jc w:val="right"/>
            </w:pPr>
            <w:r>
              <w:t>32,181.11</w:t>
            </w:r>
          </w:p>
        </w:tc>
        <w:tc>
          <w:tcPr>
            <w:tcW w:w="473" w:type="pct"/>
            <w:shd w:val="clear" w:color="auto" w:fill="auto"/>
            <w:vAlign w:val="center"/>
          </w:tcPr>
          <w:p w14:paraId="7A7B8DEF" w14:textId="77777777" w:rsidR="00E57DAA" w:rsidRDefault="00AC4185">
            <w:pPr>
              <w:jc w:val="right"/>
            </w:pPr>
            <w:r>
              <w:t xml:space="preserve">　</w:t>
            </w:r>
          </w:p>
        </w:tc>
        <w:tc>
          <w:tcPr>
            <w:tcW w:w="472" w:type="pct"/>
            <w:shd w:val="clear" w:color="auto" w:fill="auto"/>
            <w:vAlign w:val="center"/>
          </w:tcPr>
          <w:p w14:paraId="7100F39F" w14:textId="77777777" w:rsidR="00E57DAA" w:rsidRDefault="00AC4185">
            <w:pPr>
              <w:jc w:val="right"/>
            </w:pPr>
            <w:r>
              <w:t xml:space="preserve">　</w:t>
            </w:r>
          </w:p>
        </w:tc>
      </w:tr>
      <w:tr w:rsidR="00E57DAA" w14:paraId="5677D62D" w14:textId="77777777">
        <w:tc>
          <w:tcPr>
            <w:tcW w:w="572" w:type="pct"/>
            <w:shd w:val="clear" w:color="auto" w:fill="auto"/>
            <w:vAlign w:val="center"/>
          </w:tcPr>
          <w:p w14:paraId="2607EA23" w14:textId="77777777" w:rsidR="00E57DAA" w:rsidRDefault="00AC4185" w:rsidP="00C25422">
            <w:pPr>
              <w:pStyle w:val="92"/>
            </w:pPr>
            <w:r>
              <w:t>合肥中亚科技有限责任公司</w:t>
            </w:r>
          </w:p>
        </w:tc>
        <w:tc>
          <w:tcPr>
            <w:tcW w:w="635" w:type="pct"/>
            <w:shd w:val="clear" w:color="auto" w:fill="auto"/>
            <w:vAlign w:val="center"/>
          </w:tcPr>
          <w:p w14:paraId="18AE18FC" w14:textId="77777777" w:rsidR="00E57DAA" w:rsidRDefault="00AC4185" w:rsidP="00C25422">
            <w:pPr>
              <w:pStyle w:val="92"/>
            </w:pPr>
            <w:r>
              <w:t>机器设备</w:t>
            </w:r>
          </w:p>
        </w:tc>
        <w:tc>
          <w:tcPr>
            <w:tcW w:w="473" w:type="pct"/>
            <w:shd w:val="clear" w:color="auto" w:fill="auto"/>
            <w:vAlign w:val="center"/>
          </w:tcPr>
          <w:p w14:paraId="6A012DF9" w14:textId="77777777" w:rsidR="00E57DAA" w:rsidRDefault="00AC4185">
            <w:pPr>
              <w:jc w:val="right"/>
            </w:pPr>
            <w:r>
              <w:t xml:space="preserve">　</w:t>
            </w:r>
          </w:p>
        </w:tc>
        <w:tc>
          <w:tcPr>
            <w:tcW w:w="473" w:type="pct"/>
            <w:shd w:val="clear" w:color="auto" w:fill="auto"/>
            <w:vAlign w:val="center"/>
          </w:tcPr>
          <w:p w14:paraId="4A4D8CA9" w14:textId="77777777" w:rsidR="00E57DAA" w:rsidRDefault="00AC4185">
            <w:pPr>
              <w:jc w:val="right"/>
            </w:pPr>
            <w:r>
              <w:t xml:space="preserve">　</w:t>
            </w:r>
          </w:p>
        </w:tc>
        <w:tc>
          <w:tcPr>
            <w:tcW w:w="434" w:type="pct"/>
            <w:shd w:val="clear" w:color="auto" w:fill="auto"/>
            <w:vAlign w:val="center"/>
          </w:tcPr>
          <w:p w14:paraId="1C1A1C1E" w14:textId="77777777" w:rsidR="00E57DAA" w:rsidRDefault="00AC4185">
            <w:pPr>
              <w:jc w:val="right"/>
            </w:pPr>
            <w:r>
              <w:t>1,531,798.85</w:t>
            </w:r>
          </w:p>
        </w:tc>
        <w:tc>
          <w:tcPr>
            <w:tcW w:w="473" w:type="pct"/>
            <w:shd w:val="clear" w:color="auto" w:fill="auto"/>
            <w:vAlign w:val="center"/>
          </w:tcPr>
          <w:p w14:paraId="30B573E1" w14:textId="77777777" w:rsidR="00E57DAA" w:rsidRDefault="00AC4185">
            <w:pPr>
              <w:jc w:val="right"/>
            </w:pPr>
            <w:r>
              <w:t>1,335,972.93</w:t>
            </w:r>
          </w:p>
        </w:tc>
        <w:tc>
          <w:tcPr>
            <w:tcW w:w="473" w:type="pct"/>
            <w:shd w:val="clear" w:color="auto" w:fill="auto"/>
            <w:vAlign w:val="center"/>
          </w:tcPr>
          <w:p w14:paraId="3C2B556E" w14:textId="77777777" w:rsidR="00E57DAA" w:rsidRDefault="00AC4185">
            <w:pPr>
              <w:jc w:val="right"/>
            </w:pPr>
            <w:r>
              <w:t>61,828.24</w:t>
            </w:r>
          </w:p>
        </w:tc>
        <w:tc>
          <w:tcPr>
            <w:tcW w:w="473" w:type="pct"/>
            <w:shd w:val="clear" w:color="auto" w:fill="auto"/>
            <w:vAlign w:val="center"/>
          </w:tcPr>
          <w:p w14:paraId="65793CDE" w14:textId="77777777" w:rsidR="00E57DAA" w:rsidRDefault="00AC4185">
            <w:pPr>
              <w:jc w:val="right"/>
            </w:pPr>
            <w:r>
              <w:t>180,703.87</w:t>
            </w:r>
          </w:p>
        </w:tc>
        <w:tc>
          <w:tcPr>
            <w:tcW w:w="473" w:type="pct"/>
            <w:shd w:val="clear" w:color="auto" w:fill="auto"/>
            <w:vAlign w:val="center"/>
          </w:tcPr>
          <w:p w14:paraId="7720FDAB" w14:textId="77777777" w:rsidR="00E57DAA" w:rsidRDefault="00AC4185">
            <w:pPr>
              <w:jc w:val="right"/>
            </w:pPr>
            <w:r>
              <w:t xml:space="preserve">　</w:t>
            </w:r>
          </w:p>
        </w:tc>
        <w:tc>
          <w:tcPr>
            <w:tcW w:w="472" w:type="pct"/>
            <w:shd w:val="clear" w:color="auto" w:fill="auto"/>
            <w:vAlign w:val="center"/>
          </w:tcPr>
          <w:p w14:paraId="47B06DF9" w14:textId="77777777" w:rsidR="00E57DAA" w:rsidRDefault="00AC4185">
            <w:pPr>
              <w:jc w:val="right"/>
            </w:pPr>
            <w:r>
              <w:t>424,482.78</w:t>
            </w:r>
          </w:p>
        </w:tc>
      </w:tr>
      <w:tr w:rsidR="00E57DAA" w14:paraId="630CBD07" w14:textId="77777777">
        <w:tc>
          <w:tcPr>
            <w:tcW w:w="572" w:type="pct"/>
            <w:shd w:val="clear" w:color="auto" w:fill="auto"/>
            <w:vAlign w:val="center"/>
          </w:tcPr>
          <w:p w14:paraId="4E606BB1" w14:textId="77777777" w:rsidR="00E57DAA" w:rsidRDefault="00AC4185" w:rsidP="00C25422">
            <w:pPr>
              <w:pStyle w:val="92"/>
            </w:pPr>
            <w:r>
              <w:t>合肥中亚科技有限责任公司</w:t>
            </w:r>
          </w:p>
        </w:tc>
        <w:tc>
          <w:tcPr>
            <w:tcW w:w="635" w:type="pct"/>
            <w:shd w:val="clear" w:color="auto" w:fill="auto"/>
            <w:vAlign w:val="center"/>
          </w:tcPr>
          <w:p w14:paraId="64103BFE" w14:textId="77777777" w:rsidR="00E57DAA" w:rsidRDefault="00AC4185" w:rsidP="00C25422">
            <w:pPr>
              <w:pStyle w:val="92"/>
            </w:pPr>
            <w:r>
              <w:t>房屋建筑物</w:t>
            </w:r>
          </w:p>
        </w:tc>
        <w:tc>
          <w:tcPr>
            <w:tcW w:w="473" w:type="pct"/>
            <w:shd w:val="clear" w:color="auto" w:fill="auto"/>
            <w:vAlign w:val="center"/>
          </w:tcPr>
          <w:p w14:paraId="5DDA5F2E" w14:textId="77777777" w:rsidR="00E57DAA" w:rsidRDefault="00AC4185">
            <w:pPr>
              <w:jc w:val="right"/>
            </w:pPr>
            <w:r>
              <w:t xml:space="preserve">　</w:t>
            </w:r>
          </w:p>
        </w:tc>
        <w:tc>
          <w:tcPr>
            <w:tcW w:w="473" w:type="pct"/>
            <w:shd w:val="clear" w:color="auto" w:fill="auto"/>
            <w:vAlign w:val="center"/>
          </w:tcPr>
          <w:p w14:paraId="1D8254BC" w14:textId="77777777" w:rsidR="00E57DAA" w:rsidRDefault="00AC4185">
            <w:pPr>
              <w:jc w:val="right"/>
            </w:pPr>
            <w:r>
              <w:t xml:space="preserve">　</w:t>
            </w:r>
          </w:p>
        </w:tc>
        <w:tc>
          <w:tcPr>
            <w:tcW w:w="434" w:type="pct"/>
            <w:shd w:val="clear" w:color="auto" w:fill="auto"/>
            <w:vAlign w:val="center"/>
          </w:tcPr>
          <w:p w14:paraId="2BF96ECA" w14:textId="77777777" w:rsidR="00E57DAA" w:rsidRDefault="00AC4185">
            <w:pPr>
              <w:jc w:val="right"/>
            </w:pPr>
            <w:r>
              <w:t>2,988,428.66</w:t>
            </w:r>
          </w:p>
        </w:tc>
        <w:tc>
          <w:tcPr>
            <w:tcW w:w="473" w:type="pct"/>
            <w:shd w:val="clear" w:color="auto" w:fill="auto"/>
            <w:vAlign w:val="center"/>
          </w:tcPr>
          <w:p w14:paraId="1B1C0198" w14:textId="77777777" w:rsidR="00E57DAA" w:rsidRDefault="00AC4185">
            <w:pPr>
              <w:jc w:val="right"/>
            </w:pPr>
            <w:r>
              <w:t>1,859,775.29</w:t>
            </w:r>
          </w:p>
        </w:tc>
        <w:tc>
          <w:tcPr>
            <w:tcW w:w="473" w:type="pct"/>
            <w:shd w:val="clear" w:color="auto" w:fill="auto"/>
            <w:vAlign w:val="center"/>
          </w:tcPr>
          <w:p w14:paraId="1C75DF44" w14:textId="77777777" w:rsidR="00E57DAA" w:rsidRDefault="00AC4185">
            <w:pPr>
              <w:jc w:val="right"/>
            </w:pPr>
            <w:r>
              <w:t>109,337.94</w:t>
            </w:r>
          </w:p>
        </w:tc>
        <w:tc>
          <w:tcPr>
            <w:tcW w:w="473" w:type="pct"/>
            <w:shd w:val="clear" w:color="auto" w:fill="auto"/>
            <w:vAlign w:val="center"/>
          </w:tcPr>
          <w:p w14:paraId="7102EC45" w14:textId="77777777" w:rsidR="00E57DAA" w:rsidRDefault="00AC4185">
            <w:pPr>
              <w:jc w:val="right"/>
            </w:pPr>
            <w:r>
              <w:t>230,361.99</w:t>
            </w:r>
          </w:p>
        </w:tc>
        <w:tc>
          <w:tcPr>
            <w:tcW w:w="473" w:type="pct"/>
            <w:shd w:val="clear" w:color="auto" w:fill="auto"/>
            <w:vAlign w:val="center"/>
          </w:tcPr>
          <w:p w14:paraId="182F1897" w14:textId="77777777" w:rsidR="00E57DAA" w:rsidRDefault="00AC4185">
            <w:pPr>
              <w:jc w:val="right"/>
            </w:pPr>
            <w:r>
              <w:t xml:space="preserve">　</w:t>
            </w:r>
          </w:p>
        </w:tc>
        <w:tc>
          <w:tcPr>
            <w:tcW w:w="472" w:type="pct"/>
            <w:shd w:val="clear" w:color="auto" w:fill="auto"/>
            <w:vAlign w:val="center"/>
          </w:tcPr>
          <w:p w14:paraId="61CF26B4" w14:textId="77777777" w:rsidR="00E57DAA" w:rsidRDefault="00AC4185">
            <w:pPr>
              <w:jc w:val="right"/>
            </w:pPr>
            <w:r>
              <w:t>888,781.10</w:t>
            </w:r>
          </w:p>
        </w:tc>
      </w:tr>
      <w:tr w:rsidR="00E57DAA" w14:paraId="70B7AD7E" w14:textId="77777777">
        <w:tc>
          <w:tcPr>
            <w:tcW w:w="572" w:type="pct"/>
            <w:shd w:val="clear" w:color="auto" w:fill="auto"/>
            <w:vAlign w:val="center"/>
          </w:tcPr>
          <w:p w14:paraId="7ABC961F" w14:textId="77777777" w:rsidR="00E57DAA" w:rsidRDefault="00AC4185" w:rsidP="00C25422">
            <w:pPr>
              <w:pStyle w:val="92"/>
            </w:pPr>
            <w:r>
              <w:t>合计</w:t>
            </w:r>
          </w:p>
        </w:tc>
        <w:tc>
          <w:tcPr>
            <w:tcW w:w="635" w:type="pct"/>
            <w:shd w:val="clear" w:color="auto" w:fill="auto"/>
            <w:vAlign w:val="center"/>
          </w:tcPr>
          <w:p w14:paraId="2FD828A3" w14:textId="77777777" w:rsidR="00E57DAA" w:rsidRDefault="00AC4185" w:rsidP="00C25422">
            <w:pPr>
              <w:pStyle w:val="92"/>
            </w:pPr>
            <w:r>
              <w:t> </w:t>
            </w:r>
          </w:p>
        </w:tc>
        <w:tc>
          <w:tcPr>
            <w:tcW w:w="473" w:type="pct"/>
            <w:shd w:val="clear" w:color="auto" w:fill="auto"/>
            <w:vAlign w:val="center"/>
          </w:tcPr>
          <w:p w14:paraId="129BB4FB" w14:textId="77777777" w:rsidR="00E57DAA" w:rsidRDefault="00AC4185">
            <w:pPr>
              <w:jc w:val="right"/>
            </w:pPr>
            <w:r>
              <w:t>257,142.86</w:t>
            </w:r>
          </w:p>
        </w:tc>
        <w:tc>
          <w:tcPr>
            <w:tcW w:w="473" w:type="pct"/>
            <w:shd w:val="clear" w:color="auto" w:fill="auto"/>
            <w:vAlign w:val="center"/>
          </w:tcPr>
          <w:p w14:paraId="7A7ACAC3" w14:textId="77777777" w:rsidR="00E57DAA" w:rsidRDefault="00AC4185">
            <w:pPr>
              <w:jc w:val="right"/>
            </w:pPr>
            <w:r>
              <w:t>318,095.24</w:t>
            </w:r>
          </w:p>
        </w:tc>
        <w:tc>
          <w:tcPr>
            <w:tcW w:w="434" w:type="pct"/>
            <w:shd w:val="clear" w:color="auto" w:fill="auto"/>
            <w:vAlign w:val="center"/>
          </w:tcPr>
          <w:p w14:paraId="53C182EA" w14:textId="77777777" w:rsidR="00E57DAA" w:rsidRDefault="00AC4185">
            <w:pPr>
              <w:jc w:val="right"/>
            </w:pPr>
            <w:r>
              <w:t>7,466,851.80</w:t>
            </w:r>
          </w:p>
        </w:tc>
        <w:tc>
          <w:tcPr>
            <w:tcW w:w="473" w:type="pct"/>
            <w:shd w:val="clear" w:color="auto" w:fill="auto"/>
            <w:vAlign w:val="center"/>
          </w:tcPr>
          <w:p w14:paraId="41C83063" w14:textId="77777777" w:rsidR="00E57DAA" w:rsidRDefault="00AC4185">
            <w:pPr>
              <w:jc w:val="right"/>
            </w:pPr>
            <w:r>
              <w:t>4,725,501.55</w:t>
            </w:r>
          </w:p>
        </w:tc>
        <w:tc>
          <w:tcPr>
            <w:tcW w:w="473" w:type="pct"/>
            <w:shd w:val="clear" w:color="auto" w:fill="auto"/>
            <w:vAlign w:val="center"/>
          </w:tcPr>
          <w:p w14:paraId="37F51697" w14:textId="77777777" w:rsidR="00E57DAA" w:rsidRDefault="00AC4185">
            <w:pPr>
              <w:jc w:val="right"/>
            </w:pPr>
            <w:r>
              <w:t>385,188.65</w:t>
            </w:r>
          </w:p>
        </w:tc>
        <w:tc>
          <w:tcPr>
            <w:tcW w:w="473" w:type="pct"/>
            <w:shd w:val="clear" w:color="auto" w:fill="auto"/>
            <w:vAlign w:val="center"/>
          </w:tcPr>
          <w:p w14:paraId="5070636A" w14:textId="77777777" w:rsidR="00E57DAA" w:rsidRDefault="00AC4185">
            <w:pPr>
              <w:jc w:val="right"/>
            </w:pPr>
            <w:r>
              <w:t>485,324.26</w:t>
            </w:r>
          </w:p>
        </w:tc>
        <w:tc>
          <w:tcPr>
            <w:tcW w:w="473" w:type="pct"/>
            <w:shd w:val="clear" w:color="auto" w:fill="auto"/>
            <w:vAlign w:val="center"/>
          </w:tcPr>
          <w:p w14:paraId="02A2BB12" w14:textId="77777777" w:rsidR="00E57DAA" w:rsidRDefault="00E57DAA">
            <w:pPr>
              <w:jc w:val="right"/>
            </w:pPr>
          </w:p>
        </w:tc>
        <w:tc>
          <w:tcPr>
            <w:tcW w:w="472" w:type="pct"/>
            <w:shd w:val="clear" w:color="auto" w:fill="auto"/>
            <w:vAlign w:val="center"/>
          </w:tcPr>
          <w:p w14:paraId="37EF41AF" w14:textId="77777777" w:rsidR="00E57DAA" w:rsidRDefault="00AC4185">
            <w:pPr>
              <w:jc w:val="right"/>
            </w:pPr>
            <w:r>
              <w:t>6,337,819.29</w:t>
            </w:r>
          </w:p>
        </w:tc>
      </w:tr>
    </w:tbl>
    <w:p w14:paraId="5187A03A" w14:textId="77777777" w:rsidR="00E57DAA" w:rsidRDefault="00E57DAA" w:rsidP="00C25422">
      <w:pPr>
        <w:pStyle w:val="92"/>
      </w:pPr>
    </w:p>
    <w:p w14:paraId="5B1AA8CF" w14:textId="77777777" w:rsidR="00E57DAA" w:rsidRDefault="00AC4185">
      <w:pPr>
        <w:rPr>
          <w:szCs w:val="21"/>
        </w:rPr>
      </w:pPr>
      <w:r>
        <w:rPr>
          <w:rFonts w:hint="eastAsia"/>
          <w:szCs w:val="21"/>
        </w:rPr>
        <w:t>关联租赁情况说明</w:t>
      </w:r>
    </w:p>
    <w:sdt>
      <w:sdtPr>
        <w:rPr>
          <w:szCs w:val="21"/>
        </w:rPr>
        <w:alias w:val="是否适用：关联租赁情况说明[双击切换]"/>
        <w:tag w:val="_GBC_f11304240a9e46d8b340976a035205d3"/>
        <w:id w:val="-1865734176"/>
        <w:placeholder>
          <w:docPart w:val="GBC22222222222222222222222222222"/>
        </w:placeholder>
      </w:sdtPr>
      <w:sdtEndPr/>
      <w:sdtContent>
        <w:p w14:paraId="28CB01F0"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162DE1" w14:textId="77777777" w:rsidR="00E57DAA" w:rsidRDefault="00E57DAA">
      <w:pPr>
        <w:rPr>
          <w:szCs w:val="21"/>
        </w:rPr>
      </w:pPr>
    </w:p>
    <w:p w14:paraId="60EAD479" w14:textId="77777777" w:rsidR="00E57DAA" w:rsidRDefault="00E57DAA" w:rsidP="00C25422">
      <w:pPr>
        <w:pStyle w:val="92"/>
      </w:pPr>
    </w:p>
    <w:p w14:paraId="2BE60797" w14:textId="77777777" w:rsidR="00E57DAA" w:rsidRDefault="00E57DAA">
      <w:pPr>
        <w:sectPr w:rsidR="00E57DAA" w:rsidSect="00226547">
          <w:pgSz w:w="16838" w:h="11906" w:orient="landscape"/>
          <w:pgMar w:top="1797" w:right="1525" w:bottom="1276" w:left="1440" w:header="856" w:footer="992" w:gutter="0"/>
          <w:cols w:space="425"/>
          <w:docGrid w:linePitch="312"/>
        </w:sectPr>
      </w:pPr>
    </w:p>
    <w:p w14:paraId="32BDF955" w14:textId="77777777" w:rsidR="00E57DAA" w:rsidRDefault="00E57DAA" w:rsidP="00C25422">
      <w:pPr>
        <w:pStyle w:val="92"/>
      </w:pPr>
    </w:p>
    <w:p w14:paraId="3D1304AD" w14:textId="77777777" w:rsidR="00E57DAA" w:rsidRDefault="00AC4185">
      <w:pPr>
        <w:pStyle w:val="4"/>
        <w:numPr>
          <w:ilvl w:val="3"/>
          <w:numId w:val="122"/>
        </w:numPr>
        <w:ind w:left="426" w:hangingChars="202" w:hanging="426"/>
      </w:pPr>
      <w:r>
        <w:rPr>
          <w:rFonts w:hint="eastAsia"/>
        </w:rPr>
        <w:t>关联担保情况</w:t>
      </w:r>
    </w:p>
    <w:p w14:paraId="1DA72FAD" w14:textId="77777777" w:rsidR="00E57DAA" w:rsidRDefault="00AC4185" w:rsidP="00C25422">
      <w:pPr>
        <w:pStyle w:val="92"/>
      </w:pPr>
      <w:r>
        <w:rPr>
          <w:rFonts w:hint="eastAsia"/>
        </w:rPr>
        <w:t>本公司作为担保方</w:t>
      </w:r>
    </w:p>
    <w:sdt>
      <w:sdtPr>
        <w:alias w:val="是否适用：本公司作为担保方的担保情况表[双击切换]"/>
        <w:tag w:val="_GBC_4ba390d56c0645788c7893af84ca2773"/>
        <w:id w:val="277157448"/>
        <w:placeholder>
          <w:docPart w:val="GBC22222222222222222222222222222"/>
        </w:placeholder>
      </w:sdtPr>
      <w:sdtEndPr/>
      <w:sdtContent>
        <w:p w14:paraId="31DCB69F"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56C321" w14:textId="77777777" w:rsidR="00E57DAA" w:rsidRDefault="00E57DAA" w:rsidP="00C25422">
      <w:pPr>
        <w:pStyle w:val="92"/>
      </w:pPr>
    </w:p>
    <w:p w14:paraId="4A88D33B" w14:textId="77777777" w:rsidR="00E57DAA" w:rsidRDefault="00AC4185">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339048498"/>
        <w:placeholder>
          <w:docPart w:val="GBC22222222222222222222222222222"/>
        </w:placeholder>
      </w:sdtPr>
      <w:sdtEndPr/>
      <w:sdtContent>
        <w:p w14:paraId="7E1C5D37" w14:textId="77777777" w:rsidR="00E57DAA" w:rsidRDefault="00AC4185">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130FE91" w14:textId="77777777" w:rsidR="00E57DAA" w:rsidRDefault="00E57DAA" w:rsidP="00C25422">
      <w:pPr>
        <w:pStyle w:val="92"/>
      </w:pPr>
    </w:p>
    <w:p w14:paraId="6FA2D69E" w14:textId="77777777" w:rsidR="00E57DAA" w:rsidRDefault="00AC4185">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2103452992"/>
        <w:placeholder>
          <w:docPart w:val="GBC22222222222222222222222222222"/>
        </w:placeholder>
      </w:sdtPr>
      <w:sdtEndPr/>
      <w:sdtContent>
        <w:p w14:paraId="55105259" w14:textId="77777777" w:rsidR="00E57DAA" w:rsidRDefault="00AC4185">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3eee756411e248a88ccd781b4dc66942"/>
        <w:id w:val="1641766204"/>
        <w:placeholder>
          <w:docPart w:val="GBC22222222222222222222222222222"/>
        </w:placeholder>
      </w:sdtPr>
      <w:sdtEndPr/>
      <w:sdtContent>
        <w:p w14:paraId="6E341059" w14:textId="77777777" w:rsidR="00E57DAA" w:rsidRDefault="00AC4185">
          <w:pPr>
            <w:rPr>
              <w:rFonts w:ascii="Cambria" w:hAnsi="Cambria" w:cs="Cambria"/>
            </w:rPr>
          </w:pPr>
          <w:r>
            <w:rPr>
              <w:rFonts w:ascii="Cambria" w:hAnsi="Cambria" w:cs="Cambria" w:hint="eastAsia"/>
            </w:rPr>
            <w:t>本公司关联方担保情况详见本附注十六、</w:t>
          </w:r>
          <w:r>
            <w:rPr>
              <w:rFonts w:ascii="Cambria" w:hAnsi="Cambria" w:cs="Cambria" w:hint="eastAsia"/>
            </w:rPr>
            <w:t>2</w:t>
          </w:r>
          <w:r>
            <w:rPr>
              <w:rFonts w:ascii="Cambria" w:hAnsi="Cambria" w:cs="Cambria"/>
            </w:rPr>
            <w:t>相关内容。</w:t>
          </w:r>
        </w:p>
      </w:sdtContent>
    </w:sdt>
    <w:p w14:paraId="5E641560" w14:textId="77777777" w:rsidR="00E57DAA" w:rsidRDefault="00E57DAA">
      <w:pPr>
        <w:rPr>
          <w:rFonts w:ascii="Cambria" w:hAnsi="Cambria" w:cs="Cambria"/>
          <w:sz w:val="20"/>
          <w:szCs w:val="20"/>
        </w:rPr>
      </w:pPr>
    </w:p>
    <w:p w14:paraId="4094E535" w14:textId="77777777" w:rsidR="00E57DAA" w:rsidRDefault="00AC4185">
      <w:pPr>
        <w:pStyle w:val="4"/>
        <w:numPr>
          <w:ilvl w:val="3"/>
          <w:numId w:val="122"/>
        </w:numPr>
        <w:ind w:left="426" w:hangingChars="202" w:hanging="426"/>
      </w:pPr>
      <w:r>
        <w:rPr>
          <w:rFonts w:hint="eastAsia"/>
        </w:rPr>
        <w:t>关联方资金拆借</w:t>
      </w:r>
    </w:p>
    <w:sdt>
      <w:sdtPr>
        <w:alias w:val="是否适用：关联方资金拆借[双击切换]"/>
        <w:tag w:val="_GBC_9b5630a86e1e452494249106e2600b15"/>
        <w:id w:val="301118009"/>
        <w:placeholder>
          <w:docPart w:val="GBC22222222222222222222222222222"/>
        </w:placeholder>
      </w:sdtPr>
      <w:sdtEndPr/>
      <w:sdtContent>
        <w:p w14:paraId="2B29FA3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7119A1" w14:textId="77777777" w:rsidR="00E57DAA" w:rsidRDefault="00AC4185">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4999548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7192129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1"/>
        <w:gridCol w:w="1936"/>
        <w:gridCol w:w="1382"/>
        <w:gridCol w:w="1244"/>
        <w:gridCol w:w="840"/>
      </w:tblGrid>
      <w:tr w:rsidR="00E57DAA" w14:paraId="27165CBC" w14:textId="77777777">
        <w:sdt>
          <w:sdtPr>
            <w:tag w:val="_PLD_ba0b1157f84a43a686cdfdb96fc9f605"/>
            <w:id w:val="-752437738"/>
          </w:sdtPr>
          <w:sdtEndPr/>
          <w:sdtContent>
            <w:tc>
              <w:tcPr>
                <w:tcW w:w="1939" w:type="pct"/>
                <w:tcBorders>
                  <w:top w:val="single" w:sz="4" w:space="0" w:color="auto"/>
                  <w:left w:val="single" w:sz="4" w:space="0" w:color="auto"/>
                  <w:bottom w:val="single" w:sz="4" w:space="0" w:color="auto"/>
                  <w:right w:val="single" w:sz="4" w:space="0" w:color="auto"/>
                </w:tcBorders>
                <w:shd w:val="clear" w:color="auto" w:fill="auto"/>
                <w:vAlign w:val="center"/>
              </w:tcPr>
              <w:p w14:paraId="01F0DC75" w14:textId="77777777" w:rsidR="00E57DAA" w:rsidRDefault="00AC4185">
                <w:pPr>
                  <w:jc w:val="center"/>
                  <w:rPr>
                    <w:rFonts w:cs="Cambria"/>
                  </w:rPr>
                </w:pPr>
                <w:r>
                  <w:rPr>
                    <w:rFonts w:cs="Cambria" w:hint="eastAsia"/>
                  </w:rPr>
                  <w:t>关联方</w:t>
                </w:r>
              </w:p>
            </w:tc>
          </w:sdtContent>
        </w:sdt>
        <w:sdt>
          <w:sdtPr>
            <w:tag w:val="_PLD_d89f0030cf1644d88e79247fb06b91f6"/>
            <w:id w:val="-664554886"/>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0461301" w14:textId="77777777" w:rsidR="00E57DAA" w:rsidRDefault="00AC4185">
                <w:pPr>
                  <w:jc w:val="center"/>
                  <w:rPr>
                    <w:rFonts w:cs="Cambria"/>
                  </w:rPr>
                </w:pPr>
                <w:r>
                  <w:rPr>
                    <w:rFonts w:cs="Cambria" w:hint="eastAsia"/>
                  </w:rPr>
                  <w:t>拆借金额</w:t>
                </w:r>
              </w:p>
            </w:tc>
          </w:sdtContent>
        </w:sdt>
        <w:sdt>
          <w:sdtPr>
            <w:tag w:val="_PLD_1a3f019482694e2a9a19e9e491c88664"/>
            <w:id w:val="1527066877"/>
          </w:sdtPr>
          <w:sdtEndPr/>
          <w:sdtContent>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B53BE11" w14:textId="77777777" w:rsidR="00E57DAA" w:rsidRDefault="00AC4185">
                <w:pPr>
                  <w:jc w:val="center"/>
                  <w:rPr>
                    <w:rFonts w:cs="Cambria"/>
                  </w:rPr>
                </w:pPr>
                <w:r>
                  <w:rPr>
                    <w:rFonts w:cs="Cambria" w:hint="eastAsia"/>
                  </w:rPr>
                  <w:t>起始日</w:t>
                </w:r>
              </w:p>
            </w:tc>
          </w:sdtContent>
        </w:sdt>
        <w:sdt>
          <w:sdtPr>
            <w:tag w:val="_PLD_18f4f70188ee44fa8cca86fccfa00f81"/>
            <w:id w:val="-1604951531"/>
          </w:sdtPr>
          <w:sdtEndPr/>
          <w:sdtContent>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06AF8592" w14:textId="77777777" w:rsidR="00E57DAA" w:rsidRDefault="00AC4185">
                <w:pPr>
                  <w:jc w:val="center"/>
                  <w:rPr>
                    <w:rFonts w:cs="Cambria"/>
                  </w:rPr>
                </w:pPr>
                <w:r>
                  <w:rPr>
                    <w:rFonts w:cs="Cambria" w:hint="eastAsia"/>
                  </w:rPr>
                  <w:t>到期日</w:t>
                </w:r>
              </w:p>
            </w:tc>
          </w:sdtContent>
        </w:sdt>
        <w:sdt>
          <w:sdtPr>
            <w:tag w:val="_PLD_7cdd1d0389de4d0ab081d9f3c4c26d70"/>
            <w:id w:val="444509448"/>
          </w:sdtPr>
          <w:sdtEndPr/>
          <w:sdtContent>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6A3DB07" w14:textId="77777777" w:rsidR="00E57DAA" w:rsidRDefault="00AC4185">
                <w:pPr>
                  <w:jc w:val="center"/>
                  <w:rPr>
                    <w:rFonts w:cs="Cambria"/>
                  </w:rPr>
                </w:pPr>
                <w:r>
                  <w:rPr>
                    <w:rFonts w:cs="Cambria" w:hint="eastAsia"/>
                  </w:rPr>
                  <w:t>说明</w:t>
                </w:r>
              </w:p>
            </w:tc>
          </w:sdtContent>
        </w:sdt>
      </w:tr>
      <w:tr w:rsidR="00E57DAA" w14:paraId="60BFFACA" w14:textId="77777777">
        <w:sdt>
          <w:sdtPr>
            <w:tag w:val="_PLD_bbb3c9aea6344d1392ee30f16141055a"/>
            <w:id w:val="1945344033"/>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1FF04CD3" w14:textId="77777777" w:rsidR="00E57DAA" w:rsidRDefault="00AC4185">
                <w:pPr>
                  <w:rPr>
                    <w:rFonts w:cs="Cambria"/>
                  </w:rPr>
                </w:pPr>
                <w:r>
                  <w:rPr>
                    <w:rFonts w:cs="Cambria" w:hint="eastAsia"/>
                  </w:rPr>
                  <w:t>拆入</w:t>
                </w:r>
              </w:p>
            </w:tc>
          </w:sdtContent>
        </w:sdt>
      </w:tr>
      <w:tr w:rsidR="00E57DAA" w14:paraId="53E3F392"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400503CE"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B6FC94F"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A8A9C84" w14:textId="77777777" w:rsidR="00E57DAA" w:rsidRDefault="00AC4185">
            <w:pPr>
              <w:rPr>
                <w:rFonts w:cs="Cambria"/>
              </w:rPr>
            </w:pPr>
            <w:r>
              <w:t>2023-5-17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22A32C00" w14:textId="77777777" w:rsidR="00E57DAA" w:rsidRDefault="00AC4185">
            <w:pPr>
              <w:rPr>
                <w:rFonts w:cs="Cambria"/>
              </w:rPr>
            </w:pPr>
            <w:r>
              <w:t>2024-5-17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8DBD0BE" w14:textId="77777777" w:rsidR="00E57DAA" w:rsidRDefault="00AC4185">
            <w:pPr>
              <w:rPr>
                <w:rFonts w:cs="Cambria"/>
              </w:rPr>
            </w:pPr>
            <w:r>
              <w:t>借款</w:t>
            </w:r>
          </w:p>
        </w:tc>
      </w:tr>
      <w:tr w:rsidR="00E57DAA" w14:paraId="354C2246"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6B040D1D"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5781304"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3A7E2F22" w14:textId="77777777" w:rsidR="00E57DAA" w:rsidRDefault="00AC4185">
            <w:pPr>
              <w:rPr>
                <w:rFonts w:cs="Cambria"/>
              </w:rPr>
            </w:pPr>
            <w:r>
              <w:t>2023-7-13</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15E30B6A" w14:textId="77777777" w:rsidR="00E57DAA" w:rsidRDefault="00AC4185">
            <w:pPr>
              <w:rPr>
                <w:rFonts w:cs="Cambria"/>
              </w:rPr>
            </w:pPr>
            <w:r>
              <w:t>2024-7-13</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42398FBD" w14:textId="77777777" w:rsidR="00E57DAA" w:rsidRDefault="00AC4185">
            <w:pPr>
              <w:rPr>
                <w:rFonts w:cs="Cambria"/>
              </w:rPr>
            </w:pPr>
            <w:r>
              <w:t>借款</w:t>
            </w:r>
          </w:p>
        </w:tc>
      </w:tr>
      <w:tr w:rsidR="00E57DAA" w14:paraId="6159E175"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44CB9E63"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2881654"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9CD709A" w14:textId="77777777" w:rsidR="00E57DAA" w:rsidRDefault="00AC4185">
            <w:pPr>
              <w:rPr>
                <w:rFonts w:cs="Cambria"/>
              </w:rPr>
            </w:pPr>
            <w:r>
              <w:t>2023-12-18</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6965A6D9" w14:textId="77777777" w:rsidR="00E57DAA" w:rsidRDefault="00AC4185">
            <w:pPr>
              <w:rPr>
                <w:rFonts w:cs="Cambria"/>
              </w:rPr>
            </w:pPr>
            <w:r>
              <w:t>2024-12-18</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BBECA0A" w14:textId="77777777" w:rsidR="00E57DAA" w:rsidRDefault="00AC4185">
            <w:pPr>
              <w:rPr>
                <w:rFonts w:cs="Cambria"/>
              </w:rPr>
            </w:pPr>
            <w:r>
              <w:t>借款</w:t>
            </w:r>
          </w:p>
        </w:tc>
      </w:tr>
      <w:tr w:rsidR="00E57DAA" w14:paraId="3AAABB2F"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02B4136"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6718A30"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CCF178B" w14:textId="77777777" w:rsidR="00E57DAA" w:rsidRDefault="00AC4185">
            <w:pPr>
              <w:rPr>
                <w:rFonts w:cs="Cambria"/>
              </w:rPr>
            </w:pPr>
            <w:r>
              <w:t>2023-8-7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FC733F8" w14:textId="77777777" w:rsidR="00E57DAA" w:rsidRDefault="00AC4185">
            <w:pPr>
              <w:rPr>
                <w:rFonts w:cs="Cambria"/>
              </w:rPr>
            </w:pPr>
            <w:r>
              <w:t>2024-8-7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8219053" w14:textId="77777777" w:rsidR="00E57DAA" w:rsidRDefault="00AC4185">
            <w:pPr>
              <w:rPr>
                <w:rFonts w:cs="Cambria"/>
              </w:rPr>
            </w:pPr>
            <w:r>
              <w:t>借款</w:t>
            </w:r>
          </w:p>
        </w:tc>
      </w:tr>
      <w:tr w:rsidR="00E57DAA" w14:paraId="7A457C49"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42DBDDCE"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7D8F89D"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9C64B2B" w14:textId="77777777" w:rsidR="00E57DAA" w:rsidRDefault="00AC4185">
            <w:pPr>
              <w:rPr>
                <w:rFonts w:cs="Cambria"/>
              </w:rPr>
            </w:pPr>
            <w:r>
              <w:t>2023-9-25</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73E89F0" w14:textId="77777777" w:rsidR="00E57DAA" w:rsidRDefault="00AC4185">
            <w:pPr>
              <w:rPr>
                <w:rFonts w:cs="Cambria"/>
              </w:rPr>
            </w:pPr>
            <w:r>
              <w:t>2024-9-25</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53E8371" w14:textId="77777777" w:rsidR="00E57DAA" w:rsidRDefault="00AC4185">
            <w:pPr>
              <w:rPr>
                <w:rFonts w:cs="Cambria"/>
              </w:rPr>
            </w:pPr>
            <w:r>
              <w:t>借款</w:t>
            </w:r>
          </w:p>
        </w:tc>
      </w:tr>
      <w:tr w:rsidR="00E57DAA" w14:paraId="4B1C7D3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6BDEEA2"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F78AF44" w14:textId="77777777" w:rsidR="00E57DAA" w:rsidRDefault="00AC4185">
            <w:pPr>
              <w:jc w:val="right"/>
              <w:rPr>
                <w:rFonts w:cs="Cambria"/>
              </w:rPr>
            </w:pPr>
            <w:r>
              <w:t>3,000,000.00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3E8AB8D" w14:textId="77777777" w:rsidR="00E57DAA" w:rsidRDefault="00AC4185">
            <w:pPr>
              <w:rPr>
                <w:rFonts w:cs="Cambria"/>
              </w:rPr>
            </w:pPr>
            <w:r>
              <w:t>2023-10-13</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700A36FB" w14:textId="77777777" w:rsidR="00E57DAA" w:rsidRDefault="00AC4185">
            <w:pPr>
              <w:rPr>
                <w:rFonts w:cs="Cambria"/>
              </w:rPr>
            </w:pPr>
            <w:r>
              <w:t>2024-10-13</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2EC3790" w14:textId="77777777" w:rsidR="00E57DAA" w:rsidRDefault="00AC4185">
            <w:pPr>
              <w:rPr>
                <w:rFonts w:cs="Cambria"/>
              </w:rPr>
            </w:pPr>
            <w:r>
              <w:t>借款</w:t>
            </w:r>
          </w:p>
        </w:tc>
      </w:tr>
      <w:tr w:rsidR="00E57DAA" w14:paraId="26080652"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EFD2C2F"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194C231" w14:textId="77777777" w:rsidR="00E57DAA" w:rsidRDefault="00AC4185">
            <w:pPr>
              <w:jc w:val="right"/>
              <w:rPr>
                <w:rFonts w:cs="Cambria"/>
              </w:rPr>
            </w:pPr>
            <w:r>
              <w:t>4,000,000.00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72EAB7B3" w14:textId="77777777" w:rsidR="00E57DAA" w:rsidRDefault="00AC4185">
            <w:pPr>
              <w:rPr>
                <w:rFonts w:cs="Cambria"/>
              </w:rPr>
            </w:pPr>
            <w:r>
              <w:t>2023-10-27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1964F6E" w14:textId="77777777" w:rsidR="00E57DAA" w:rsidRDefault="00AC4185">
            <w:pPr>
              <w:rPr>
                <w:rFonts w:cs="Cambria"/>
              </w:rPr>
            </w:pPr>
            <w:r>
              <w:t>2024-10-27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E71FD1C" w14:textId="77777777" w:rsidR="00E57DAA" w:rsidRDefault="00AC4185">
            <w:pPr>
              <w:rPr>
                <w:rFonts w:cs="Cambria"/>
              </w:rPr>
            </w:pPr>
            <w:r>
              <w:t>借款</w:t>
            </w:r>
          </w:p>
        </w:tc>
      </w:tr>
      <w:tr w:rsidR="00E57DAA" w14:paraId="1707B8ED"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CE7480A"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FC36FB6" w14:textId="77777777" w:rsidR="00E57DAA" w:rsidRDefault="00AC4185">
            <w:pPr>
              <w:jc w:val="right"/>
              <w:rPr>
                <w:rFonts w:cs="Cambria"/>
              </w:rPr>
            </w:pPr>
            <w:r>
              <w:t>6,500,000.00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37A18F48" w14:textId="77777777" w:rsidR="00E57DAA" w:rsidRDefault="00AC4185">
            <w:pPr>
              <w:rPr>
                <w:rFonts w:cs="Cambria"/>
              </w:rPr>
            </w:pPr>
            <w:r>
              <w:t>2023-11-6</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C0281DD" w14:textId="77777777" w:rsidR="00E57DAA" w:rsidRDefault="00AC4185">
            <w:pPr>
              <w:rPr>
                <w:rFonts w:cs="Cambria"/>
              </w:rPr>
            </w:pPr>
            <w:r>
              <w:t>2024-11-6</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73CEAC8" w14:textId="77777777" w:rsidR="00E57DAA" w:rsidRDefault="00AC4185">
            <w:pPr>
              <w:rPr>
                <w:rFonts w:cs="Cambria"/>
              </w:rPr>
            </w:pPr>
            <w:r>
              <w:t>借款</w:t>
            </w:r>
          </w:p>
        </w:tc>
      </w:tr>
      <w:tr w:rsidR="00E57DAA" w14:paraId="7464BFCE"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E4E0D67"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364EFD3" w14:textId="77777777" w:rsidR="00E57DAA" w:rsidRDefault="00AC4185">
            <w:pPr>
              <w:jc w:val="right"/>
              <w:rPr>
                <w:rFonts w:cs="Cambria"/>
              </w:rPr>
            </w:pPr>
            <w:r>
              <w:t>5,500,000.00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2514F76" w14:textId="77777777" w:rsidR="00E57DAA" w:rsidRDefault="00AC4185">
            <w:pPr>
              <w:rPr>
                <w:rFonts w:cs="Cambria"/>
              </w:rPr>
            </w:pPr>
            <w:r>
              <w:t>2023-11-30</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4624B97" w14:textId="77777777" w:rsidR="00E57DAA" w:rsidRDefault="00AC4185">
            <w:pPr>
              <w:rPr>
                <w:rFonts w:cs="Cambria"/>
              </w:rPr>
            </w:pPr>
            <w:r>
              <w:t>2024-11-30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09FAC503" w14:textId="77777777" w:rsidR="00E57DAA" w:rsidRDefault="00AC4185">
            <w:pPr>
              <w:rPr>
                <w:rFonts w:cs="Cambria"/>
              </w:rPr>
            </w:pPr>
            <w:r>
              <w:t>借款</w:t>
            </w:r>
          </w:p>
        </w:tc>
      </w:tr>
      <w:tr w:rsidR="00E57DAA" w14:paraId="2C0E5666"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81F391F"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0DF3AB2" w14:textId="77777777" w:rsidR="00E57DAA" w:rsidRDefault="00AC4185">
            <w:pPr>
              <w:jc w:val="right"/>
              <w:rPr>
                <w:rFonts w:cs="Cambria"/>
              </w:rPr>
            </w:pPr>
            <w:r>
              <w:t>50,000,000.00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EDB8FBC" w14:textId="77777777" w:rsidR="00E57DAA" w:rsidRDefault="00AC4185">
            <w:pPr>
              <w:rPr>
                <w:rFonts w:cs="Cambria"/>
              </w:rPr>
            </w:pPr>
            <w:r>
              <w:t>2023-7-12</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8260DAA" w14:textId="77777777" w:rsidR="00E57DAA" w:rsidRDefault="00AC4185">
            <w:pPr>
              <w:rPr>
                <w:rFonts w:cs="Cambria"/>
              </w:rPr>
            </w:pPr>
            <w:r>
              <w:t>2024-7-12</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46E721F4" w14:textId="77777777" w:rsidR="00E57DAA" w:rsidRDefault="00AC4185">
            <w:pPr>
              <w:rPr>
                <w:rFonts w:cs="Cambria"/>
              </w:rPr>
            </w:pPr>
            <w:r>
              <w:t>借款</w:t>
            </w:r>
          </w:p>
        </w:tc>
      </w:tr>
      <w:tr w:rsidR="00E57DAA" w14:paraId="55BAF00A"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3D1548D8"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4984C60" w14:textId="77777777" w:rsidR="00E57DAA" w:rsidRDefault="00AC4185">
            <w:pPr>
              <w:jc w:val="right"/>
              <w:rPr>
                <w:rFonts w:cs="Cambria"/>
              </w:rPr>
            </w:pPr>
            <w:r>
              <w:t>30,000,000.00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11B6EAC6" w14:textId="77777777" w:rsidR="00E57DAA" w:rsidRDefault="00AC4185">
            <w:pPr>
              <w:rPr>
                <w:rFonts w:cs="Cambria"/>
              </w:rPr>
            </w:pPr>
            <w:r>
              <w:t>2023-10-7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15976FC" w14:textId="77777777" w:rsidR="00E57DAA" w:rsidRDefault="00AC4185">
            <w:pPr>
              <w:rPr>
                <w:rFonts w:cs="Cambria"/>
              </w:rPr>
            </w:pPr>
            <w:r>
              <w:t>2024-10-7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0367F35" w14:textId="77777777" w:rsidR="00E57DAA" w:rsidRDefault="00AC4185">
            <w:pPr>
              <w:rPr>
                <w:rFonts w:cs="Cambria"/>
              </w:rPr>
            </w:pPr>
            <w:r>
              <w:t>借款</w:t>
            </w:r>
          </w:p>
        </w:tc>
      </w:tr>
      <w:tr w:rsidR="00E57DAA" w14:paraId="30AE06B3"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F979D06"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66FF6DF" w14:textId="77777777" w:rsidR="00E57DAA" w:rsidRDefault="00AC4185">
            <w:pPr>
              <w:jc w:val="right"/>
              <w:rPr>
                <w:rFonts w:cs="Cambria"/>
              </w:rPr>
            </w:pPr>
            <w:r>
              <w:t>15,000,000.00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05EC76B" w14:textId="77777777" w:rsidR="00E57DAA" w:rsidRDefault="00AC4185">
            <w:pPr>
              <w:rPr>
                <w:rFonts w:cs="Cambria"/>
              </w:rPr>
            </w:pPr>
            <w:r>
              <w:t>2023-10-10</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0F1517D6" w14:textId="77777777" w:rsidR="00E57DAA" w:rsidRDefault="00AC4185">
            <w:pPr>
              <w:rPr>
                <w:rFonts w:cs="Cambria"/>
              </w:rPr>
            </w:pPr>
            <w:r>
              <w:t>2024-10-10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3740168E" w14:textId="77777777" w:rsidR="00E57DAA" w:rsidRDefault="00AC4185">
            <w:pPr>
              <w:rPr>
                <w:rFonts w:cs="Cambria"/>
              </w:rPr>
            </w:pPr>
            <w:r>
              <w:t>借款</w:t>
            </w:r>
          </w:p>
        </w:tc>
      </w:tr>
      <w:tr w:rsidR="00E57DAA" w14:paraId="6D3DF6E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F43D4F3"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84D328A" w14:textId="77777777" w:rsidR="00E57DAA" w:rsidRDefault="00AC4185">
            <w:pPr>
              <w:jc w:val="right"/>
              <w:rPr>
                <w:rFonts w:cs="Cambria"/>
              </w:rPr>
            </w:pPr>
            <w:r>
              <w:t>36,000,000.00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14989DD2" w14:textId="77777777" w:rsidR="00E57DAA" w:rsidRDefault="00AC4185">
            <w:pPr>
              <w:rPr>
                <w:rFonts w:cs="Cambria"/>
              </w:rPr>
            </w:pPr>
            <w:r>
              <w:t>2023-6-21</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DEB31EB" w14:textId="77777777" w:rsidR="00E57DAA" w:rsidRDefault="00AC4185">
            <w:pPr>
              <w:rPr>
                <w:rFonts w:cs="Cambria"/>
              </w:rPr>
            </w:pPr>
            <w:r>
              <w:t>2024-6-21</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02E6D9CB" w14:textId="77777777" w:rsidR="00E57DAA" w:rsidRDefault="00AC4185">
            <w:pPr>
              <w:rPr>
                <w:rFonts w:cs="Cambria"/>
              </w:rPr>
            </w:pPr>
            <w:r>
              <w:t>借款</w:t>
            </w:r>
          </w:p>
        </w:tc>
      </w:tr>
      <w:tr w:rsidR="00E57DAA" w14:paraId="46A5A53A"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D367BB9"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E355DC5" w14:textId="77777777" w:rsidR="00E57DAA" w:rsidRDefault="00AC4185">
            <w:pPr>
              <w:jc w:val="right"/>
              <w:rPr>
                <w:rFonts w:cs="Cambria"/>
              </w:rPr>
            </w:pPr>
            <w:r>
              <w:t>30,000,000.00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505B2841" w14:textId="77777777" w:rsidR="00E57DAA" w:rsidRDefault="00AC4185">
            <w:pPr>
              <w:rPr>
                <w:rFonts w:cs="Cambria"/>
              </w:rPr>
            </w:pPr>
            <w:r>
              <w:t>2023-8-31</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4242FB6" w14:textId="77777777" w:rsidR="00E57DAA" w:rsidRDefault="00AC4185">
            <w:pPr>
              <w:rPr>
                <w:rFonts w:cs="Cambria"/>
              </w:rPr>
            </w:pPr>
            <w:r>
              <w:t>2024-8-31</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0B473AC1" w14:textId="77777777" w:rsidR="00E57DAA" w:rsidRDefault="00AC4185">
            <w:pPr>
              <w:rPr>
                <w:rFonts w:cs="Cambria"/>
              </w:rPr>
            </w:pPr>
            <w:r>
              <w:t>借款</w:t>
            </w:r>
          </w:p>
        </w:tc>
      </w:tr>
      <w:tr w:rsidR="00E57DAA" w14:paraId="7719E296"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BC074DD"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150377A" w14:textId="77777777" w:rsidR="00E57DAA" w:rsidRDefault="00AC4185">
            <w:pPr>
              <w:jc w:val="right"/>
              <w:rPr>
                <w:rFonts w:cs="Cambria"/>
              </w:rPr>
            </w:pPr>
            <w:r>
              <w:t>20,000,000.00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7D6CFA17" w14:textId="77777777" w:rsidR="00E57DAA" w:rsidRDefault="00AC4185">
            <w:pPr>
              <w:rPr>
                <w:rFonts w:cs="Cambria"/>
              </w:rPr>
            </w:pPr>
            <w:r>
              <w:t>2023-9-7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8C33C17" w14:textId="77777777" w:rsidR="00E57DAA" w:rsidRDefault="00AC4185">
            <w:pPr>
              <w:rPr>
                <w:rFonts w:cs="Cambria"/>
              </w:rPr>
            </w:pPr>
            <w:r>
              <w:t>2024-9-7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4E52DC6" w14:textId="77777777" w:rsidR="00E57DAA" w:rsidRDefault="00AC4185">
            <w:pPr>
              <w:rPr>
                <w:rFonts w:cs="Cambria"/>
              </w:rPr>
            </w:pPr>
            <w:r>
              <w:t>借款</w:t>
            </w:r>
          </w:p>
        </w:tc>
      </w:tr>
      <w:tr w:rsidR="00E57DAA" w14:paraId="1675F8BC"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371696A5"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89DFF0C" w14:textId="77777777" w:rsidR="00E57DAA" w:rsidRDefault="00AC4185">
            <w:pPr>
              <w:jc w:val="right"/>
              <w:rPr>
                <w:rFonts w:cs="Cambria"/>
              </w:rPr>
            </w:pPr>
            <w:r>
              <w:t>20,000,000.00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04E57A8" w14:textId="77777777" w:rsidR="00E57DAA" w:rsidRDefault="00AC4185">
            <w:pPr>
              <w:rPr>
                <w:rFonts w:cs="Cambria"/>
              </w:rPr>
            </w:pPr>
            <w:r>
              <w:t>2023-6-28</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885C23D" w14:textId="77777777" w:rsidR="00E57DAA" w:rsidRDefault="00AC4185">
            <w:pPr>
              <w:rPr>
                <w:rFonts w:cs="Cambria"/>
              </w:rPr>
            </w:pPr>
            <w:r>
              <w:t>2024-6-28</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E7981D0" w14:textId="77777777" w:rsidR="00E57DAA" w:rsidRDefault="00AC4185">
            <w:pPr>
              <w:rPr>
                <w:rFonts w:cs="Cambria"/>
              </w:rPr>
            </w:pPr>
            <w:r>
              <w:t>借款</w:t>
            </w:r>
          </w:p>
        </w:tc>
      </w:tr>
      <w:tr w:rsidR="00E57DAA" w14:paraId="675AC53D"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46D3F4A0"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C5C7E08" w14:textId="77777777" w:rsidR="00E57DAA" w:rsidRDefault="00AC4185">
            <w:pPr>
              <w:jc w:val="right"/>
              <w:rPr>
                <w:rFonts w:cs="Cambria"/>
              </w:rPr>
            </w:pPr>
            <w:r>
              <w:t>30,000,000.00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135BE5EE" w14:textId="77777777" w:rsidR="00E57DAA" w:rsidRDefault="00AC4185">
            <w:pPr>
              <w:rPr>
                <w:rFonts w:cs="Cambria"/>
              </w:rPr>
            </w:pPr>
            <w:r>
              <w:t>2023-9-7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79099F3" w14:textId="77777777" w:rsidR="00E57DAA" w:rsidRDefault="00AC4185">
            <w:pPr>
              <w:rPr>
                <w:rFonts w:cs="Cambria"/>
              </w:rPr>
            </w:pPr>
            <w:r>
              <w:t>2024-9-7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16EEBDA" w14:textId="77777777" w:rsidR="00E57DAA" w:rsidRDefault="00AC4185">
            <w:pPr>
              <w:rPr>
                <w:rFonts w:cs="Cambria"/>
              </w:rPr>
            </w:pPr>
            <w:r>
              <w:t>借款</w:t>
            </w:r>
          </w:p>
        </w:tc>
      </w:tr>
      <w:tr w:rsidR="00E57DAA" w14:paraId="27571DA5"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204D9419"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B373BE0" w14:textId="77777777" w:rsidR="00E57DAA" w:rsidRDefault="00AC4185">
            <w:pPr>
              <w:jc w:val="right"/>
              <w:rPr>
                <w:rFonts w:cs="Cambria"/>
              </w:rPr>
            </w:pPr>
            <w:r>
              <w:t>50,000,000.00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7100F470" w14:textId="77777777" w:rsidR="00E57DAA" w:rsidRDefault="00AC4185">
            <w:pPr>
              <w:rPr>
                <w:rFonts w:cs="Cambria"/>
              </w:rPr>
            </w:pPr>
            <w:r>
              <w:t>2023-6-16</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CAE5463" w14:textId="77777777" w:rsidR="00E57DAA" w:rsidRDefault="00AC4185">
            <w:pPr>
              <w:rPr>
                <w:rFonts w:cs="Cambria"/>
              </w:rPr>
            </w:pPr>
            <w:r>
              <w:t>2024-6-16</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6E842CA" w14:textId="77777777" w:rsidR="00E57DAA" w:rsidRDefault="00AC4185">
            <w:pPr>
              <w:rPr>
                <w:rFonts w:cs="Cambria"/>
              </w:rPr>
            </w:pPr>
            <w:r>
              <w:t>借款</w:t>
            </w:r>
          </w:p>
        </w:tc>
      </w:tr>
      <w:tr w:rsidR="00E57DAA" w14:paraId="2C381800"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41909BF"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F97D72D" w14:textId="77777777" w:rsidR="00E57DAA" w:rsidRDefault="00AC4185">
            <w:pPr>
              <w:jc w:val="right"/>
              <w:rPr>
                <w:rFonts w:cs="Cambria"/>
              </w:rPr>
            </w:pPr>
            <w:r>
              <w:t>13,000,000.00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5F26BDAD" w14:textId="77777777" w:rsidR="00E57DAA" w:rsidRDefault="00AC4185">
            <w:pPr>
              <w:rPr>
                <w:rFonts w:cs="Cambria"/>
              </w:rPr>
            </w:pPr>
            <w:r>
              <w:t>2023-5-5</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6C477800" w14:textId="77777777" w:rsidR="00E57DAA" w:rsidRDefault="00AC4185">
            <w:pPr>
              <w:rPr>
                <w:rFonts w:cs="Cambria"/>
              </w:rPr>
            </w:pPr>
            <w:r>
              <w:t>2024-5-5</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0CD39642" w14:textId="77777777" w:rsidR="00E57DAA" w:rsidRDefault="00AC4185">
            <w:pPr>
              <w:rPr>
                <w:rFonts w:cs="Cambria"/>
              </w:rPr>
            </w:pPr>
            <w:r>
              <w:t>借款</w:t>
            </w:r>
          </w:p>
        </w:tc>
      </w:tr>
      <w:tr w:rsidR="00E57DAA" w14:paraId="000D361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EFD9069"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09A193C"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12C6EDD6" w14:textId="77777777" w:rsidR="00E57DAA" w:rsidRDefault="00AC4185">
            <w:pPr>
              <w:rPr>
                <w:rFonts w:cs="Cambria"/>
              </w:rPr>
            </w:pPr>
            <w:r>
              <w:t>2023-3-23</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749EF8D1" w14:textId="77777777" w:rsidR="00E57DAA" w:rsidRDefault="00AC4185">
            <w:pPr>
              <w:rPr>
                <w:rFonts w:cs="Cambria"/>
              </w:rPr>
            </w:pPr>
            <w:r>
              <w:t>2024-3-23</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1BC4E1C" w14:textId="77777777" w:rsidR="00E57DAA" w:rsidRDefault="00AC4185">
            <w:pPr>
              <w:rPr>
                <w:rFonts w:cs="Cambria"/>
              </w:rPr>
            </w:pPr>
            <w:r>
              <w:t>借款</w:t>
            </w:r>
          </w:p>
        </w:tc>
      </w:tr>
      <w:tr w:rsidR="00E57DAA" w14:paraId="17E69104"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5E16A8D"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3C1544E"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ACBF47F" w14:textId="77777777" w:rsidR="00E57DAA" w:rsidRDefault="00AC4185">
            <w:pPr>
              <w:rPr>
                <w:rFonts w:cs="Cambria"/>
              </w:rPr>
            </w:pPr>
            <w:r>
              <w:t>2023-8-29</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6D6F6A58" w14:textId="77777777" w:rsidR="00E57DAA" w:rsidRDefault="00AC4185">
            <w:pPr>
              <w:rPr>
                <w:rFonts w:cs="Cambria"/>
              </w:rPr>
            </w:pPr>
            <w:r>
              <w:t>2024-8-29</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64FA129" w14:textId="77777777" w:rsidR="00E57DAA" w:rsidRDefault="00AC4185">
            <w:pPr>
              <w:rPr>
                <w:rFonts w:cs="Cambria"/>
              </w:rPr>
            </w:pPr>
            <w:r>
              <w:t>借款</w:t>
            </w:r>
          </w:p>
        </w:tc>
      </w:tr>
      <w:tr w:rsidR="00E57DAA" w14:paraId="698F0978"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0356083F"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686F86F" w14:textId="77777777" w:rsidR="00E57DAA" w:rsidRDefault="00AC4185">
            <w:pPr>
              <w:jc w:val="right"/>
              <w:rPr>
                <w:rFonts w:cs="Cambria"/>
              </w:rPr>
            </w:pPr>
            <w:r>
              <w:t>20,000,000.00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52F57FDB" w14:textId="77777777" w:rsidR="00E57DAA" w:rsidRDefault="00AC4185">
            <w:pPr>
              <w:rPr>
                <w:rFonts w:cs="Cambria"/>
              </w:rPr>
            </w:pPr>
            <w:r>
              <w:t>2023-9-5</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2F36E3FA" w14:textId="77777777" w:rsidR="00E57DAA" w:rsidRDefault="00AC4185">
            <w:pPr>
              <w:rPr>
                <w:rFonts w:cs="Cambria"/>
              </w:rPr>
            </w:pPr>
            <w:r>
              <w:t>2024-9-5</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7D4CB7B" w14:textId="77777777" w:rsidR="00E57DAA" w:rsidRDefault="00AC4185">
            <w:pPr>
              <w:rPr>
                <w:rFonts w:cs="Cambria"/>
              </w:rPr>
            </w:pPr>
            <w:r>
              <w:t>借款</w:t>
            </w:r>
          </w:p>
        </w:tc>
      </w:tr>
      <w:tr w:rsidR="00E57DAA" w14:paraId="61A40837"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2F6B2DFE"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DD0243E" w14:textId="77777777" w:rsidR="00E57DAA" w:rsidRDefault="00AC4185">
            <w:pPr>
              <w:jc w:val="right"/>
              <w:rPr>
                <w:rFonts w:cs="Cambria"/>
              </w:rPr>
            </w:pPr>
            <w:r>
              <w:t>20,000,000.00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750B367D" w14:textId="77777777" w:rsidR="00E57DAA" w:rsidRDefault="00AC4185">
            <w:pPr>
              <w:rPr>
                <w:rFonts w:cs="Cambria"/>
              </w:rPr>
            </w:pPr>
            <w:r>
              <w:t>2023-2-17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A363CB1" w14:textId="77777777" w:rsidR="00E57DAA" w:rsidRDefault="00AC4185">
            <w:pPr>
              <w:rPr>
                <w:rFonts w:cs="Cambria"/>
              </w:rPr>
            </w:pPr>
            <w:r>
              <w:t>2024-2-17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DC31FB4" w14:textId="77777777" w:rsidR="00E57DAA" w:rsidRDefault="00AC4185">
            <w:pPr>
              <w:rPr>
                <w:rFonts w:cs="Cambria"/>
              </w:rPr>
            </w:pPr>
            <w:r>
              <w:t>借款</w:t>
            </w:r>
          </w:p>
        </w:tc>
      </w:tr>
      <w:tr w:rsidR="00E57DAA" w14:paraId="3600679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6CDC1F49"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3A936A5" w14:textId="77777777" w:rsidR="00E57DAA" w:rsidRDefault="00AC4185">
            <w:pPr>
              <w:jc w:val="right"/>
              <w:rPr>
                <w:rFonts w:cs="Cambria"/>
              </w:rPr>
            </w:pPr>
            <w:r>
              <w:t>10,000,000.00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1DA22CFD" w14:textId="77777777" w:rsidR="00E57DAA" w:rsidRDefault="00AC4185">
            <w:pPr>
              <w:rPr>
                <w:rFonts w:cs="Cambria"/>
              </w:rPr>
            </w:pPr>
            <w:r>
              <w:t>2023-4-7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71A49F9A" w14:textId="77777777" w:rsidR="00E57DAA" w:rsidRDefault="00AC4185">
            <w:pPr>
              <w:rPr>
                <w:rFonts w:cs="Cambria"/>
              </w:rPr>
            </w:pPr>
            <w:r>
              <w:t>2024-4-7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38BD1E7" w14:textId="77777777" w:rsidR="00E57DAA" w:rsidRDefault="00AC4185">
            <w:pPr>
              <w:rPr>
                <w:rFonts w:cs="Cambria"/>
              </w:rPr>
            </w:pPr>
            <w:r>
              <w:t>借款</w:t>
            </w:r>
          </w:p>
        </w:tc>
      </w:tr>
      <w:tr w:rsidR="00E57DAA" w14:paraId="7999050F"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4893733C"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BB89B0A"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5420AB18" w14:textId="77777777" w:rsidR="00E57DAA" w:rsidRDefault="00AC4185">
            <w:pPr>
              <w:rPr>
                <w:rFonts w:cs="Cambria"/>
              </w:rPr>
            </w:pPr>
            <w:r>
              <w:t>2023-8-25</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0450971B" w14:textId="77777777" w:rsidR="00E57DAA" w:rsidRDefault="00AC4185">
            <w:pPr>
              <w:rPr>
                <w:rFonts w:cs="Cambria"/>
              </w:rPr>
            </w:pPr>
            <w:r>
              <w:t>2024-2-25</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22C1A30E" w14:textId="77777777" w:rsidR="00E57DAA" w:rsidRDefault="00AC4185">
            <w:pPr>
              <w:rPr>
                <w:rFonts w:cs="Cambria"/>
              </w:rPr>
            </w:pPr>
            <w:r>
              <w:t>借款</w:t>
            </w:r>
          </w:p>
        </w:tc>
      </w:tr>
      <w:tr w:rsidR="00E57DAA" w14:paraId="26A66357"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E63FA65"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C89EEE6"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329ED149" w14:textId="77777777" w:rsidR="00E57DAA" w:rsidRDefault="00AC4185">
            <w:pPr>
              <w:rPr>
                <w:rFonts w:cs="Cambria"/>
              </w:rPr>
            </w:pPr>
            <w:r>
              <w:t>2023-9-8</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11CFAE4C" w14:textId="77777777" w:rsidR="00E57DAA" w:rsidRDefault="00AC4185">
            <w:pPr>
              <w:rPr>
                <w:rFonts w:cs="Cambria"/>
              </w:rPr>
            </w:pPr>
            <w:r>
              <w:t>2024-3-8</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75E45BD" w14:textId="77777777" w:rsidR="00E57DAA" w:rsidRDefault="00AC4185">
            <w:pPr>
              <w:rPr>
                <w:rFonts w:cs="Cambria"/>
              </w:rPr>
            </w:pPr>
            <w:r>
              <w:t>借款</w:t>
            </w:r>
          </w:p>
        </w:tc>
      </w:tr>
      <w:tr w:rsidR="00E57DAA" w14:paraId="437617BF"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583DC7DC"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5293928" w14:textId="77777777" w:rsidR="00E57DAA" w:rsidRDefault="00AC4185">
            <w:pPr>
              <w:jc w:val="right"/>
              <w:rPr>
                <w:rFonts w:cs="Cambria"/>
              </w:rPr>
            </w:pPr>
            <w:r>
              <w:t>2,000,000.00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982A580" w14:textId="77777777" w:rsidR="00E57DAA" w:rsidRDefault="00AC4185">
            <w:pPr>
              <w:rPr>
                <w:rFonts w:cs="Cambria"/>
              </w:rPr>
            </w:pPr>
            <w:r>
              <w:t>2023-9-22</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1413DD8B" w14:textId="77777777" w:rsidR="00E57DAA" w:rsidRDefault="00AC4185">
            <w:pPr>
              <w:rPr>
                <w:rFonts w:cs="Cambria"/>
              </w:rPr>
            </w:pPr>
            <w:r>
              <w:t>2024-3-22</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5926E042" w14:textId="77777777" w:rsidR="00E57DAA" w:rsidRDefault="00AC4185">
            <w:pPr>
              <w:rPr>
                <w:rFonts w:cs="Cambria"/>
              </w:rPr>
            </w:pPr>
            <w:r>
              <w:t>借款</w:t>
            </w:r>
          </w:p>
        </w:tc>
      </w:tr>
      <w:tr w:rsidR="00E57DAA" w14:paraId="40E05F09"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2479D713" w14:textId="77777777" w:rsidR="00E57DAA" w:rsidRDefault="00AC4185">
            <w:pPr>
              <w:rPr>
                <w:rFonts w:cs="Cambria"/>
              </w:rPr>
            </w:pPr>
            <w:r>
              <w:lastRenderedPageBreak/>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13CC1D3"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2E4B842" w14:textId="77777777" w:rsidR="00E57DAA" w:rsidRDefault="00AC4185">
            <w:pPr>
              <w:rPr>
                <w:rFonts w:cs="Cambria"/>
              </w:rPr>
            </w:pPr>
            <w:r>
              <w:t>2023-11-3</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B7D9883" w14:textId="77777777" w:rsidR="00E57DAA" w:rsidRDefault="00AC4185">
            <w:pPr>
              <w:rPr>
                <w:rFonts w:cs="Cambria"/>
              </w:rPr>
            </w:pPr>
            <w:r>
              <w:t>2024-5-3</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C50BFF0" w14:textId="77777777" w:rsidR="00E57DAA" w:rsidRDefault="00AC4185">
            <w:pPr>
              <w:rPr>
                <w:rFonts w:cs="Cambria"/>
              </w:rPr>
            </w:pPr>
            <w:r>
              <w:t>借款</w:t>
            </w:r>
          </w:p>
        </w:tc>
      </w:tr>
      <w:tr w:rsidR="00E57DAA" w14:paraId="0C0060C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AAAB80E"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263DE7C"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C5AF604" w14:textId="77777777" w:rsidR="00E57DAA" w:rsidRDefault="00AC4185">
            <w:pPr>
              <w:rPr>
                <w:rFonts w:cs="Cambria"/>
              </w:rPr>
            </w:pPr>
            <w:r>
              <w:t>2023-11-17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89CCF6C" w14:textId="77777777" w:rsidR="00E57DAA" w:rsidRDefault="00AC4185">
            <w:pPr>
              <w:rPr>
                <w:rFonts w:cs="Cambria"/>
              </w:rPr>
            </w:pPr>
            <w:r>
              <w:t>2024-5-17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12CE3628" w14:textId="77777777" w:rsidR="00E57DAA" w:rsidRDefault="00AC4185">
            <w:pPr>
              <w:rPr>
                <w:rFonts w:cs="Cambria"/>
              </w:rPr>
            </w:pPr>
            <w:r>
              <w:t>借款</w:t>
            </w:r>
          </w:p>
        </w:tc>
      </w:tr>
      <w:tr w:rsidR="00E57DAA" w14:paraId="740E9B09"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058E116F"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63F7FF4" w14:textId="77777777" w:rsidR="00E57DAA" w:rsidRDefault="00AC4185">
            <w:pPr>
              <w:jc w:val="right"/>
              <w:rPr>
                <w:rFonts w:cs="Cambria"/>
              </w:rPr>
            </w:pPr>
            <w:r>
              <w:t>5,000,000.00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3D1C890F" w14:textId="77777777" w:rsidR="00E57DAA" w:rsidRDefault="00AC4185">
            <w:pPr>
              <w:rPr>
                <w:rFonts w:cs="Cambria"/>
              </w:rPr>
            </w:pPr>
            <w:r>
              <w:t>2023-11-28</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0AC2E0FD" w14:textId="77777777" w:rsidR="00E57DAA" w:rsidRDefault="00AC4185">
            <w:pPr>
              <w:rPr>
                <w:rFonts w:cs="Cambria"/>
              </w:rPr>
            </w:pPr>
            <w:r>
              <w:t>2024-5-28</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13E09E5" w14:textId="77777777" w:rsidR="00E57DAA" w:rsidRDefault="00AC4185">
            <w:pPr>
              <w:rPr>
                <w:rFonts w:cs="Cambria"/>
              </w:rPr>
            </w:pPr>
            <w:r>
              <w:t>借款</w:t>
            </w:r>
          </w:p>
        </w:tc>
      </w:tr>
      <w:tr w:rsidR="00E57DAA" w14:paraId="1B44BC2A"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6F5EAA6B"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DBCB858" w14:textId="77777777" w:rsidR="00E57DAA" w:rsidRDefault="00AC4185">
            <w:pPr>
              <w:jc w:val="right"/>
              <w:rPr>
                <w:rFonts w:cs="Cambria"/>
              </w:rPr>
            </w:pPr>
            <w:r>
              <w:t>6,000,000.00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BF8C9FA" w14:textId="77777777" w:rsidR="00E57DAA" w:rsidRDefault="00AC4185">
            <w:pPr>
              <w:rPr>
                <w:rFonts w:cs="Cambria"/>
              </w:rPr>
            </w:pPr>
            <w:r>
              <w:t>2023-12-12</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2697CFF" w14:textId="77777777" w:rsidR="00E57DAA" w:rsidRDefault="00AC4185">
            <w:pPr>
              <w:rPr>
                <w:rFonts w:cs="Cambria"/>
              </w:rPr>
            </w:pPr>
            <w:r>
              <w:t>2024-6-12</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3ED222B" w14:textId="77777777" w:rsidR="00E57DAA" w:rsidRDefault="00AC4185">
            <w:pPr>
              <w:rPr>
                <w:rFonts w:cs="Cambria"/>
              </w:rPr>
            </w:pPr>
            <w:r>
              <w:t>借款</w:t>
            </w:r>
          </w:p>
        </w:tc>
      </w:tr>
      <w:tr w:rsidR="00E57DAA" w14:paraId="47D47F92"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36F36A5B"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343E965" w14:textId="77777777" w:rsidR="00E57DAA" w:rsidRDefault="00AC4185">
            <w:pPr>
              <w:jc w:val="right"/>
              <w:rPr>
                <w:rFonts w:cs="Cambria"/>
              </w:rPr>
            </w:pPr>
            <w:r>
              <w:t>299,000,000.00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4F5D9458" w14:textId="77777777" w:rsidR="00E57DAA" w:rsidRDefault="00AC4185">
            <w:pPr>
              <w:rPr>
                <w:rFonts w:cs="Cambria"/>
              </w:rPr>
            </w:pPr>
            <w:r>
              <w:t>2023-2-27</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5410C6D7" w14:textId="77777777" w:rsidR="00E57DAA" w:rsidRDefault="00AC4185">
            <w:pPr>
              <w:rPr>
                <w:rFonts w:cs="Cambria"/>
              </w:rPr>
            </w:pPr>
            <w:r>
              <w:t>2026-2-27</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22A8FBE7" w14:textId="77777777" w:rsidR="00E57DAA" w:rsidRDefault="00AC4185">
            <w:pPr>
              <w:rPr>
                <w:rFonts w:cs="Cambria"/>
              </w:rPr>
            </w:pPr>
            <w:r>
              <w:t>借款</w:t>
            </w:r>
          </w:p>
        </w:tc>
      </w:tr>
      <w:tr w:rsidR="00E57DAA" w14:paraId="3E7A6069"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3E2ED5C9" w14:textId="77777777" w:rsidR="00E57DAA" w:rsidRDefault="00AC4185">
            <w:pPr>
              <w:rPr>
                <w:rFonts w:cs="Cambria"/>
              </w:rPr>
            </w:pPr>
            <w:r>
              <w:t>中国建材集团财务有限公司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5CC6061" w14:textId="77777777" w:rsidR="00E57DAA" w:rsidRDefault="00AC4185">
            <w:pPr>
              <w:jc w:val="right"/>
              <w:rPr>
                <w:rFonts w:cs="Cambria"/>
              </w:rPr>
            </w:pPr>
            <w:r>
              <w:t>469,000,000.00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C9A3358" w14:textId="77777777" w:rsidR="00E57DAA" w:rsidRDefault="00AC4185">
            <w:pPr>
              <w:rPr>
                <w:rFonts w:cs="Cambria"/>
              </w:rPr>
            </w:pPr>
            <w:r>
              <w:t>2022-9-29</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32B08319" w14:textId="77777777" w:rsidR="00E57DAA" w:rsidRDefault="00AC4185">
            <w:pPr>
              <w:rPr>
                <w:rFonts w:cs="Cambria"/>
              </w:rPr>
            </w:pPr>
            <w:r>
              <w:t>2025-9-29</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38A21E8A" w14:textId="77777777" w:rsidR="00E57DAA" w:rsidRDefault="00AC4185">
            <w:pPr>
              <w:rPr>
                <w:rFonts w:cs="Cambria"/>
              </w:rPr>
            </w:pPr>
            <w:r>
              <w:t>借款</w:t>
            </w:r>
          </w:p>
        </w:tc>
      </w:tr>
      <w:tr w:rsidR="00E57DAA" w14:paraId="47D3399B"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77D17289" w14:textId="77777777" w:rsidR="00E57DAA" w:rsidRDefault="00AC4185">
            <w:pPr>
              <w:rPr>
                <w:rFonts w:cs="Cambria"/>
              </w:rPr>
            </w:pPr>
            <w:r>
              <w:t>中国建材股份有限公司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923DC2B" w14:textId="77777777" w:rsidR="00E57DAA" w:rsidRDefault="00AC4185">
            <w:pPr>
              <w:jc w:val="right"/>
              <w:rPr>
                <w:rFonts w:cs="Cambria"/>
              </w:rPr>
            </w:pPr>
            <w:r>
              <w:t>32,600,000.00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FC234C4" w14:textId="77777777" w:rsidR="00E57DAA" w:rsidRDefault="00AC4185">
            <w:pPr>
              <w:rPr>
                <w:rFonts w:cs="Cambria"/>
              </w:rPr>
            </w:pPr>
            <w:r>
              <w:t>2016-5-26</w:t>
            </w:r>
          </w:p>
        </w:tc>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14:paraId="486F0032" w14:textId="77777777" w:rsidR="00E57DAA" w:rsidRDefault="00AC4185">
            <w:pPr>
              <w:rPr>
                <w:rFonts w:cs="Cambria"/>
              </w:rPr>
            </w:pPr>
            <w:r>
              <w:t>2035-12-15</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65675275" w14:textId="77777777" w:rsidR="00E57DAA" w:rsidRDefault="00AC4185">
            <w:pPr>
              <w:rPr>
                <w:rFonts w:cs="Cambria"/>
              </w:rPr>
            </w:pPr>
            <w:r>
              <w:t>委托贷款</w:t>
            </w:r>
          </w:p>
        </w:tc>
      </w:tr>
      <w:tr w:rsidR="00E57DAA" w14:paraId="068AB82F"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0D55C6C1" w14:textId="77777777" w:rsidR="00E57DAA" w:rsidRDefault="00AC4185">
            <w:pPr>
              <w:rPr>
                <w:rFonts w:cs="Cambria"/>
              </w:rPr>
            </w:pPr>
            <w:r>
              <w:t>中国中材集团有限公司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EB68C9E" w14:textId="77777777" w:rsidR="00E57DAA" w:rsidRDefault="00AC4185">
            <w:pPr>
              <w:jc w:val="right"/>
              <w:rPr>
                <w:rFonts w:cs="Cambria"/>
              </w:rPr>
            </w:pPr>
            <w:r>
              <w:t>180,000,000.00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C3D4D36" w14:textId="77777777" w:rsidR="00E57DAA" w:rsidRDefault="00AC4185">
            <w:pPr>
              <w:rPr>
                <w:rFonts w:cs="Cambria"/>
              </w:rPr>
            </w:pPr>
            <w:r>
              <w:t>2015-1-9</w:t>
            </w:r>
          </w:p>
        </w:tc>
        <w:tc>
          <w:tcPr>
            <w:tcW w:w="705" w:type="pct"/>
            <w:tcBorders>
              <w:top w:val="single" w:sz="4" w:space="0" w:color="auto"/>
              <w:left w:val="single" w:sz="4" w:space="0" w:color="auto"/>
              <w:bottom w:val="single" w:sz="4" w:space="0" w:color="auto"/>
              <w:right w:val="single" w:sz="4" w:space="0" w:color="auto"/>
            </w:tcBorders>
            <w:shd w:val="clear" w:color="auto" w:fill="auto"/>
          </w:tcPr>
          <w:p w14:paraId="46C7D2DB" w14:textId="77777777" w:rsidR="00E57DAA" w:rsidRDefault="00E57DAA">
            <w:pPr>
              <w:rPr>
                <w:rFonts w:cs="Cambria"/>
              </w:rPr>
            </w:pP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7AF0E4E9" w14:textId="77777777" w:rsidR="00E57DAA" w:rsidRDefault="00AC4185">
            <w:pPr>
              <w:rPr>
                <w:rFonts w:cs="Cambria"/>
              </w:rPr>
            </w:pPr>
            <w:r>
              <w:t>借款</w:t>
            </w:r>
          </w:p>
        </w:tc>
      </w:tr>
      <w:tr w:rsidR="00E57DAA" w14:paraId="63C2B380"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12C8882B" w14:textId="77777777" w:rsidR="00E57DAA" w:rsidRDefault="00AC4185">
            <w:pPr>
              <w:rPr>
                <w:rFonts w:cs="Cambria"/>
              </w:rPr>
            </w:pPr>
            <w:r>
              <w:t>中国中材集团有限公司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21C89BA" w14:textId="77777777" w:rsidR="00E57DAA" w:rsidRDefault="00AC4185">
            <w:pPr>
              <w:jc w:val="right"/>
              <w:rPr>
                <w:rFonts w:cs="Cambria"/>
              </w:rPr>
            </w:pPr>
            <w:r>
              <w:t>220,000,000.00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0BDC6F94" w14:textId="77777777" w:rsidR="00E57DAA" w:rsidRDefault="00AC4185">
            <w:pPr>
              <w:rPr>
                <w:rFonts w:cs="Cambria"/>
              </w:rPr>
            </w:pPr>
            <w:r>
              <w:t>2015-6-30</w:t>
            </w:r>
          </w:p>
        </w:tc>
        <w:tc>
          <w:tcPr>
            <w:tcW w:w="705" w:type="pct"/>
            <w:tcBorders>
              <w:top w:val="single" w:sz="4" w:space="0" w:color="auto"/>
              <w:left w:val="single" w:sz="4" w:space="0" w:color="auto"/>
              <w:bottom w:val="single" w:sz="4" w:space="0" w:color="auto"/>
              <w:right w:val="single" w:sz="4" w:space="0" w:color="auto"/>
            </w:tcBorders>
            <w:shd w:val="clear" w:color="auto" w:fill="auto"/>
          </w:tcPr>
          <w:p w14:paraId="22B12D6D" w14:textId="77777777" w:rsidR="00E57DAA" w:rsidRDefault="00E57DAA">
            <w:pPr>
              <w:rPr>
                <w:rFonts w:cs="Cambria"/>
              </w:rPr>
            </w:pP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02286BF8" w14:textId="77777777" w:rsidR="00E57DAA" w:rsidRDefault="00AC4185">
            <w:pPr>
              <w:rPr>
                <w:rFonts w:cs="Cambria"/>
              </w:rPr>
            </w:pPr>
            <w:r>
              <w:t>借款</w:t>
            </w:r>
          </w:p>
        </w:tc>
      </w:tr>
      <w:tr w:rsidR="00E57DAA" w14:paraId="38FB8619"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3F6D2E5D" w14:textId="77777777" w:rsidR="00E57DAA" w:rsidRDefault="00AC4185">
            <w:pPr>
              <w:rPr>
                <w:rFonts w:cs="Cambria"/>
              </w:rPr>
            </w:pPr>
            <w:r>
              <w:t>中国中材集团有限公司</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A986FBD" w14:textId="77777777" w:rsidR="00E57DAA" w:rsidRDefault="00AC4185">
            <w:pPr>
              <w:jc w:val="right"/>
              <w:rPr>
                <w:rFonts w:cs="Cambria"/>
              </w:rPr>
            </w:pPr>
            <w:r>
              <w:t>6,660,000.00</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25038A37" w14:textId="77777777" w:rsidR="00E57DAA" w:rsidRDefault="00AC4185">
            <w:pPr>
              <w:rPr>
                <w:rFonts w:cs="Cambria"/>
              </w:rPr>
            </w:pPr>
            <w:r>
              <w:t>2013-2-20</w:t>
            </w:r>
          </w:p>
        </w:tc>
        <w:tc>
          <w:tcPr>
            <w:tcW w:w="705" w:type="pct"/>
            <w:tcBorders>
              <w:top w:val="single" w:sz="4" w:space="0" w:color="auto"/>
              <w:left w:val="single" w:sz="4" w:space="0" w:color="auto"/>
              <w:bottom w:val="single" w:sz="4" w:space="0" w:color="auto"/>
              <w:right w:val="single" w:sz="4" w:space="0" w:color="auto"/>
            </w:tcBorders>
            <w:shd w:val="clear" w:color="auto" w:fill="auto"/>
          </w:tcPr>
          <w:p w14:paraId="13DA30AE" w14:textId="77777777" w:rsidR="00E57DAA" w:rsidRDefault="00E57DAA">
            <w:pPr>
              <w:rPr>
                <w:rFonts w:cs="Cambria"/>
              </w:rPr>
            </w:pP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14:paraId="348A4EBD" w14:textId="77777777" w:rsidR="00E57DAA" w:rsidRDefault="00AC4185">
            <w:pPr>
              <w:rPr>
                <w:rFonts w:cs="Cambria"/>
              </w:rPr>
            </w:pPr>
            <w:r>
              <w:t>借款</w:t>
            </w:r>
          </w:p>
        </w:tc>
      </w:tr>
      <w:tr w:rsidR="00E57DAA" w14:paraId="76CECE28" w14:textId="77777777">
        <w:tc>
          <w:tcPr>
            <w:tcW w:w="1939" w:type="pct"/>
            <w:tcBorders>
              <w:top w:val="single" w:sz="4" w:space="0" w:color="auto"/>
              <w:left w:val="single" w:sz="4" w:space="0" w:color="auto"/>
              <w:bottom w:val="single" w:sz="4" w:space="0" w:color="auto"/>
              <w:right w:val="single" w:sz="4" w:space="0" w:color="auto"/>
            </w:tcBorders>
            <w:shd w:val="clear" w:color="auto" w:fill="auto"/>
          </w:tcPr>
          <w:p w14:paraId="245433F7" w14:textId="77777777" w:rsidR="00E57DAA" w:rsidRDefault="00AC4185">
            <w:pPr>
              <w:rPr>
                <w:rFonts w:cs="Cambria"/>
              </w:rPr>
            </w:pPr>
            <w:r>
              <w:t>合计</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D5A5E20" w14:textId="77777777" w:rsidR="00E57DAA" w:rsidRDefault="00AC4185">
            <w:pPr>
              <w:jc w:val="right"/>
              <w:rPr>
                <w:rFonts w:cs="Cambria"/>
              </w:rPr>
            </w:pPr>
            <w:r>
              <w:t>1,663,260,000.00</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1ED9D1D6" w14:textId="77777777" w:rsidR="00E57DAA" w:rsidRDefault="00E57DAA">
            <w:pPr>
              <w:rPr>
                <w:rFonts w:cs="Cambria"/>
              </w:rPr>
            </w:pPr>
          </w:p>
        </w:tc>
        <w:tc>
          <w:tcPr>
            <w:tcW w:w="705" w:type="pct"/>
            <w:tcBorders>
              <w:top w:val="single" w:sz="4" w:space="0" w:color="auto"/>
              <w:left w:val="single" w:sz="4" w:space="0" w:color="auto"/>
              <w:bottom w:val="single" w:sz="4" w:space="0" w:color="auto"/>
              <w:right w:val="single" w:sz="4" w:space="0" w:color="auto"/>
            </w:tcBorders>
            <w:shd w:val="clear" w:color="auto" w:fill="auto"/>
          </w:tcPr>
          <w:p w14:paraId="2553BAE9" w14:textId="77777777" w:rsidR="00E57DAA" w:rsidRDefault="00E57DAA">
            <w:pPr>
              <w:rPr>
                <w:rFonts w:cs="Cambria"/>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14:paraId="18365104" w14:textId="77777777" w:rsidR="00E57DAA" w:rsidRDefault="00E57DAA">
            <w:pPr>
              <w:rPr>
                <w:rFonts w:cs="Cambria"/>
              </w:rPr>
            </w:pPr>
          </w:p>
        </w:tc>
      </w:tr>
    </w:tbl>
    <w:p w14:paraId="76C7CE36" w14:textId="77777777" w:rsidR="00E57DAA" w:rsidRDefault="00E57DAA" w:rsidP="00C25422">
      <w:pPr>
        <w:pStyle w:val="92"/>
      </w:pPr>
    </w:p>
    <w:p w14:paraId="6A3EED38" w14:textId="77777777" w:rsidR="00E57DAA" w:rsidRDefault="00E57DAA">
      <w:pPr>
        <w:rPr>
          <w:szCs w:val="21"/>
        </w:rPr>
      </w:pPr>
    </w:p>
    <w:tbl>
      <w:tblPr>
        <w:tblStyle w:val="g9"/>
        <w:tblW w:w="0" w:type="auto"/>
        <w:tblLook w:val="04A0" w:firstRow="1" w:lastRow="0" w:firstColumn="1" w:lastColumn="0" w:noHBand="0" w:noVBand="1"/>
      </w:tblPr>
      <w:tblGrid>
        <w:gridCol w:w="2881"/>
        <w:gridCol w:w="1983"/>
        <w:gridCol w:w="1117"/>
        <w:gridCol w:w="1808"/>
        <w:gridCol w:w="1034"/>
      </w:tblGrid>
      <w:tr w:rsidR="00E57DAA" w14:paraId="030D236E" w14:textId="77777777">
        <w:tc>
          <w:tcPr>
            <w:tcW w:w="2943" w:type="dxa"/>
          </w:tcPr>
          <w:sdt>
            <w:sdtPr>
              <w:rPr>
                <w:rFonts w:ascii="Times New Roman" w:hAnsi="Times New Roman" w:hint="eastAsia"/>
              </w:rPr>
              <w:tag w:val="_PLD_8bbf03380b0b4d5fa969335734850577"/>
              <w:id w:val="2051186915"/>
            </w:sdtPr>
            <w:sdtEndPr/>
            <w:sdtContent>
              <w:p w14:paraId="0B1F6413" w14:textId="77777777" w:rsidR="00E57DAA" w:rsidRDefault="00AC4185">
                <w:pPr>
                  <w:jc w:val="center"/>
                </w:pPr>
                <w:r>
                  <w:rPr>
                    <w:rFonts w:hint="eastAsia"/>
                  </w:rPr>
                  <w:t>关联方</w:t>
                </w:r>
              </w:p>
            </w:sdtContent>
          </w:sdt>
        </w:tc>
        <w:tc>
          <w:tcPr>
            <w:tcW w:w="1985" w:type="dxa"/>
          </w:tcPr>
          <w:sdt>
            <w:sdtPr>
              <w:rPr>
                <w:rFonts w:ascii="Times New Roman" w:hAnsi="Times New Roman" w:hint="eastAsia"/>
              </w:rPr>
              <w:tag w:val="_PLD_d9ddc94094f34ae68a297ffd19479683"/>
              <w:id w:val="-1869977923"/>
            </w:sdtPr>
            <w:sdtEndPr/>
            <w:sdtContent>
              <w:p w14:paraId="4E4EE180" w14:textId="77777777" w:rsidR="00E57DAA" w:rsidRDefault="00AC4185">
                <w:pPr>
                  <w:jc w:val="center"/>
                </w:pPr>
                <w:r>
                  <w:rPr>
                    <w:rFonts w:hint="eastAsia"/>
                  </w:rPr>
                  <w:t>拆借金额</w:t>
                </w:r>
              </w:p>
            </w:sdtContent>
          </w:sdt>
        </w:tc>
        <w:tc>
          <w:tcPr>
            <w:tcW w:w="1134" w:type="dxa"/>
          </w:tcPr>
          <w:sdt>
            <w:sdtPr>
              <w:rPr>
                <w:rFonts w:ascii="Times New Roman" w:hAnsi="Times New Roman" w:hint="eastAsia"/>
              </w:rPr>
              <w:tag w:val="_PLD_6074a6e8ccf3434d9d8a5ea932290146"/>
              <w:id w:val="-880009658"/>
            </w:sdtPr>
            <w:sdtEndPr/>
            <w:sdtContent>
              <w:p w14:paraId="432DD8F8" w14:textId="77777777" w:rsidR="00E57DAA" w:rsidRDefault="00AC4185">
                <w:pPr>
                  <w:jc w:val="center"/>
                </w:pPr>
                <w:r>
                  <w:rPr>
                    <w:rFonts w:hint="eastAsia"/>
                  </w:rPr>
                  <w:t>起始日</w:t>
                </w:r>
              </w:p>
            </w:sdtContent>
          </w:sdt>
        </w:tc>
        <w:tc>
          <w:tcPr>
            <w:tcW w:w="1843" w:type="dxa"/>
          </w:tcPr>
          <w:sdt>
            <w:sdtPr>
              <w:rPr>
                <w:rFonts w:ascii="Times New Roman" w:hAnsi="Times New Roman" w:hint="eastAsia"/>
              </w:rPr>
              <w:tag w:val="_PLD_a15c391ff0d24f4591391c783fac1213"/>
              <w:id w:val="-1225296733"/>
            </w:sdtPr>
            <w:sdtEndPr/>
            <w:sdtContent>
              <w:p w14:paraId="50E98A65" w14:textId="77777777" w:rsidR="00E57DAA" w:rsidRDefault="00AC4185">
                <w:pPr>
                  <w:jc w:val="center"/>
                </w:pPr>
                <w:r>
                  <w:rPr>
                    <w:rFonts w:hint="eastAsia"/>
                  </w:rPr>
                  <w:t>到期日</w:t>
                </w:r>
              </w:p>
            </w:sdtContent>
          </w:sdt>
        </w:tc>
        <w:tc>
          <w:tcPr>
            <w:tcW w:w="1049" w:type="dxa"/>
          </w:tcPr>
          <w:sdt>
            <w:sdtPr>
              <w:rPr>
                <w:rFonts w:ascii="Times New Roman" w:hAnsi="Times New Roman" w:hint="eastAsia"/>
              </w:rPr>
              <w:tag w:val="_PLD_54588226a7bb44ae957c465cd55a5c61"/>
              <w:id w:val="-272088666"/>
            </w:sdtPr>
            <w:sdtEndPr/>
            <w:sdtContent>
              <w:p w14:paraId="2A6F188A" w14:textId="77777777" w:rsidR="00E57DAA" w:rsidRDefault="00AC4185">
                <w:pPr>
                  <w:jc w:val="center"/>
                </w:pPr>
                <w:r>
                  <w:rPr>
                    <w:rFonts w:hint="eastAsia"/>
                  </w:rPr>
                  <w:t>说明</w:t>
                </w:r>
              </w:p>
            </w:sdtContent>
          </w:sdt>
        </w:tc>
      </w:tr>
      <w:tr w:rsidR="00E57DAA" w14:paraId="7C720409" w14:textId="77777777">
        <w:tc>
          <w:tcPr>
            <w:tcW w:w="8954" w:type="dxa"/>
            <w:gridSpan w:val="5"/>
          </w:tcPr>
          <w:sdt>
            <w:sdtPr>
              <w:rPr>
                <w:rFonts w:ascii="Times New Roman" w:hAnsi="Times New Roman" w:hint="eastAsia"/>
              </w:rPr>
              <w:tag w:val="_PLD_ee454b6a404f46ba83896a7148d74aa7"/>
              <w:id w:val="-792283607"/>
            </w:sdtPr>
            <w:sdtEndPr/>
            <w:sdtContent>
              <w:p w14:paraId="2A14D667" w14:textId="77777777" w:rsidR="00E57DAA" w:rsidRDefault="00AC4185">
                <w:pPr>
                  <w:jc w:val="left"/>
                </w:pPr>
                <w:r>
                  <w:rPr>
                    <w:rFonts w:hint="eastAsia"/>
                  </w:rPr>
                  <w:t>拆出</w:t>
                </w:r>
              </w:p>
            </w:sdtContent>
          </w:sdt>
        </w:tc>
      </w:tr>
      <w:tr w:rsidR="00E57DAA" w14:paraId="6619D5D8" w14:textId="77777777">
        <w:tc>
          <w:tcPr>
            <w:tcW w:w="2943" w:type="dxa"/>
          </w:tcPr>
          <w:p w14:paraId="3D11BD37" w14:textId="77777777" w:rsidR="00E57DAA" w:rsidRDefault="00AC4185" w:rsidP="00C25422">
            <w:pPr>
              <w:pStyle w:val="92"/>
            </w:pPr>
            <w:r>
              <w:t>中国建材集团财务有限公司</w:t>
            </w:r>
          </w:p>
        </w:tc>
        <w:tc>
          <w:tcPr>
            <w:tcW w:w="1985" w:type="dxa"/>
          </w:tcPr>
          <w:p w14:paraId="6C94A8D7" w14:textId="77777777" w:rsidR="00E57DAA" w:rsidRDefault="00AC4185">
            <w:pPr>
              <w:jc w:val="right"/>
            </w:pPr>
            <w:r>
              <w:t>4,223,231,887.36</w:t>
            </w:r>
          </w:p>
        </w:tc>
        <w:tc>
          <w:tcPr>
            <w:tcW w:w="1134" w:type="dxa"/>
          </w:tcPr>
          <w:p w14:paraId="1E1E3359" w14:textId="77777777" w:rsidR="00E57DAA" w:rsidRDefault="00E57DAA">
            <w:pPr>
              <w:jc w:val="left"/>
            </w:pPr>
          </w:p>
        </w:tc>
        <w:tc>
          <w:tcPr>
            <w:tcW w:w="1843" w:type="dxa"/>
          </w:tcPr>
          <w:p w14:paraId="07A49EE6" w14:textId="77777777" w:rsidR="00E57DAA" w:rsidRDefault="00E57DAA" w:rsidP="00C25422">
            <w:pPr>
              <w:pStyle w:val="92"/>
            </w:pPr>
          </w:p>
        </w:tc>
        <w:tc>
          <w:tcPr>
            <w:tcW w:w="1049" w:type="dxa"/>
          </w:tcPr>
          <w:p w14:paraId="51708E8F" w14:textId="77777777" w:rsidR="00E57DAA" w:rsidRDefault="00AC4185" w:rsidP="00C25422">
            <w:pPr>
              <w:pStyle w:val="92"/>
            </w:pPr>
            <w:r>
              <w:rPr>
                <w:rFonts w:hint="eastAsia"/>
              </w:rPr>
              <w:t>存款</w:t>
            </w:r>
          </w:p>
        </w:tc>
      </w:tr>
      <w:tr w:rsidR="00E57DAA" w14:paraId="63EB2078" w14:textId="77777777">
        <w:tc>
          <w:tcPr>
            <w:tcW w:w="2943" w:type="dxa"/>
          </w:tcPr>
          <w:p w14:paraId="082DADC4" w14:textId="77777777" w:rsidR="00E57DAA" w:rsidRDefault="00AC4185" w:rsidP="00C25422">
            <w:pPr>
              <w:pStyle w:val="92"/>
            </w:pPr>
            <w:r>
              <w:t>合计</w:t>
            </w:r>
          </w:p>
        </w:tc>
        <w:tc>
          <w:tcPr>
            <w:tcW w:w="1985" w:type="dxa"/>
          </w:tcPr>
          <w:p w14:paraId="5B6FFA10" w14:textId="77777777" w:rsidR="00E57DAA" w:rsidRDefault="00AC4185">
            <w:pPr>
              <w:jc w:val="right"/>
            </w:pPr>
            <w:r>
              <w:t>4,223,231,887.36</w:t>
            </w:r>
          </w:p>
        </w:tc>
        <w:tc>
          <w:tcPr>
            <w:tcW w:w="1134" w:type="dxa"/>
          </w:tcPr>
          <w:p w14:paraId="71D92B0D" w14:textId="77777777" w:rsidR="00E57DAA" w:rsidRDefault="00E57DAA">
            <w:pPr>
              <w:jc w:val="left"/>
            </w:pPr>
          </w:p>
        </w:tc>
        <w:tc>
          <w:tcPr>
            <w:tcW w:w="1843" w:type="dxa"/>
          </w:tcPr>
          <w:p w14:paraId="33557980" w14:textId="77777777" w:rsidR="00E57DAA" w:rsidRDefault="00E57DAA" w:rsidP="00C25422">
            <w:pPr>
              <w:pStyle w:val="92"/>
            </w:pPr>
          </w:p>
        </w:tc>
        <w:tc>
          <w:tcPr>
            <w:tcW w:w="1049" w:type="dxa"/>
          </w:tcPr>
          <w:p w14:paraId="7122ED01" w14:textId="77777777" w:rsidR="00E57DAA" w:rsidRDefault="00E57DAA" w:rsidP="00C25422">
            <w:pPr>
              <w:pStyle w:val="92"/>
            </w:pPr>
          </w:p>
        </w:tc>
      </w:tr>
    </w:tbl>
    <w:p w14:paraId="4E498504" w14:textId="77777777" w:rsidR="00E57DAA" w:rsidRDefault="00E57DAA" w:rsidP="00C25422">
      <w:pPr>
        <w:pStyle w:val="92"/>
      </w:pPr>
    </w:p>
    <w:p w14:paraId="7580DA18" w14:textId="77777777" w:rsidR="00E57DAA" w:rsidRDefault="00AC4185">
      <w:pPr>
        <w:pStyle w:val="4"/>
        <w:numPr>
          <w:ilvl w:val="3"/>
          <w:numId w:val="122"/>
        </w:numPr>
        <w:ind w:left="426" w:hangingChars="202" w:hanging="426"/>
      </w:pPr>
      <w:r>
        <w:rPr>
          <w:rFonts w:hint="eastAsia"/>
        </w:rPr>
        <w:t>关联方资产转让、债务重组情况</w:t>
      </w:r>
    </w:p>
    <w:sdt>
      <w:sdtPr>
        <w:alias w:val="是否适用：关联方资产转让、债务重组情况[双击切换]"/>
        <w:tag w:val="_GBC_6f8fce72ce784c23aba8af28c51de336"/>
        <w:id w:val="-1539270454"/>
        <w:placeholder>
          <w:docPart w:val="GBC22222222222222222222222222222"/>
        </w:placeholder>
      </w:sdtPr>
      <w:sdtEndPr/>
      <w:sdtContent>
        <w:p w14:paraId="6B3BBD48"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D96904" w14:textId="77777777" w:rsidR="00E57DAA" w:rsidRDefault="00AC4185">
      <w:pPr>
        <w:jc w:val="right"/>
        <w:rPr>
          <w:szCs w:val="21"/>
        </w:rPr>
      </w:pPr>
      <w:r>
        <w:rPr>
          <w:rFonts w:hint="eastAsia"/>
          <w:szCs w:val="21"/>
        </w:rPr>
        <w:t>单位：</w:t>
      </w:r>
      <w:sdt>
        <w:sdtPr>
          <w:rPr>
            <w:rFonts w:hint="eastAsia"/>
            <w:szCs w:val="21"/>
          </w:rPr>
          <w:alias w:val="单位：关联方资产转让、债务重组情况"/>
          <w:tag w:val="_GBC_11798a48ec2f45e49b07d6c9abc571a5"/>
          <w:id w:val="-456564723"/>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方资产转让、债务重组情况"/>
          <w:tag w:val="_GBC_ae7ae62d8d5c4a7f82a3664f4e9abebf"/>
          <w:id w:val="77067083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Look w:val="04A0" w:firstRow="1" w:lastRow="0" w:firstColumn="1" w:lastColumn="0" w:noHBand="0" w:noVBand="1"/>
      </w:tblPr>
      <w:tblGrid>
        <w:gridCol w:w="2859"/>
        <w:gridCol w:w="2619"/>
        <w:gridCol w:w="1686"/>
        <w:gridCol w:w="1659"/>
      </w:tblGrid>
      <w:tr w:rsidR="00E57DAA" w14:paraId="07B867AA" w14:textId="77777777">
        <w:trPr>
          <w:trHeight w:val="324"/>
        </w:trPr>
        <w:sdt>
          <w:sdtPr>
            <w:tag w:val="_PLD_22ce680888944f14b3e7264684be604e"/>
            <w:id w:val="-1959869378"/>
          </w:sdtPr>
          <w:sdtEndPr/>
          <w:sdtContent>
            <w:tc>
              <w:tcPr>
                <w:tcW w:w="1621" w:type="pct"/>
                <w:tcBorders>
                  <w:top w:val="single" w:sz="4" w:space="0" w:color="auto"/>
                  <w:left w:val="single" w:sz="4" w:space="0" w:color="auto"/>
                  <w:bottom w:val="single" w:sz="4" w:space="0" w:color="auto"/>
                  <w:right w:val="single" w:sz="4" w:space="0" w:color="auto"/>
                </w:tcBorders>
                <w:vAlign w:val="center"/>
              </w:tcPr>
              <w:p w14:paraId="489EB404" w14:textId="77777777" w:rsidR="00E57DAA" w:rsidRDefault="00AC4185">
                <w:pPr>
                  <w:jc w:val="center"/>
                  <w:rPr>
                    <w:szCs w:val="21"/>
                  </w:rPr>
                </w:pPr>
                <w:r>
                  <w:rPr>
                    <w:rFonts w:hint="eastAsia"/>
                    <w:szCs w:val="21"/>
                  </w:rPr>
                  <w:t>关联方</w:t>
                </w:r>
              </w:p>
            </w:tc>
          </w:sdtContent>
        </w:sdt>
        <w:sdt>
          <w:sdtPr>
            <w:tag w:val="_PLD_7ddb67ea8a4948d4a2436ccd4c3a53a7"/>
            <w:id w:val="-377316167"/>
          </w:sdtPr>
          <w:sdtEndPr/>
          <w:sdtContent>
            <w:tc>
              <w:tcPr>
                <w:tcW w:w="1484" w:type="pct"/>
                <w:tcBorders>
                  <w:top w:val="single" w:sz="4" w:space="0" w:color="auto"/>
                  <w:left w:val="single" w:sz="4" w:space="0" w:color="auto"/>
                  <w:bottom w:val="single" w:sz="4" w:space="0" w:color="auto"/>
                  <w:right w:val="single" w:sz="4" w:space="0" w:color="auto"/>
                </w:tcBorders>
                <w:vAlign w:val="center"/>
              </w:tcPr>
              <w:p w14:paraId="0B6CD725" w14:textId="77777777" w:rsidR="00E57DAA" w:rsidRDefault="00AC4185">
                <w:pPr>
                  <w:jc w:val="center"/>
                  <w:rPr>
                    <w:szCs w:val="21"/>
                  </w:rPr>
                </w:pPr>
                <w:r>
                  <w:rPr>
                    <w:rFonts w:hint="eastAsia"/>
                    <w:szCs w:val="21"/>
                  </w:rPr>
                  <w:t>关联交易内容</w:t>
                </w:r>
              </w:p>
            </w:tc>
          </w:sdtContent>
        </w:sdt>
        <w:sdt>
          <w:sdtPr>
            <w:tag w:val="_PLD_d6af393840d741f1884a5e969b07e0e0"/>
            <w:id w:val="-702169209"/>
          </w:sdtPr>
          <w:sdtEndPr/>
          <w:sdtContent>
            <w:tc>
              <w:tcPr>
                <w:tcW w:w="955" w:type="pct"/>
                <w:tcBorders>
                  <w:top w:val="single" w:sz="4" w:space="0" w:color="auto"/>
                  <w:left w:val="single" w:sz="4" w:space="0" w:color="auto"/>
                  <w:right w:val="single" w:sz="4" w:space="0" w:color="auto"/>
                </w:tcBorders>
                <w:vAlign w:val="center"/>
              </w:tcPr>
              <w:p w14:paraId="69866A2D" w14:textId="77777777" w:rsidR="00E57DAA" w:rsidRDefault="00AC4185">
                <w:pPr>
                  <w:jc w:val="center"/>
                  <w:rPr>
                    <w:szCs w:val="21"/>
                  </w:rPr>
                </w:pPr>
                <w:r>
                  <w:rPr>
                    <w:rFonts w:hint="eastAsia"/>
                    <w:szCs w:val="21"/>
                  </w:rPr>
                  <w:t>本期发生额</w:t>
                </w:r>
              </w:p>
            </w:tc>
          </w:sdtContent>
        </w:sdt>
        <w:sdt>
          <w:sdtPr>
            <w:tag w:val="_PLD_b93cea02524a421badcc18b1374e1edb"/>
            <w:id w:val="168763664"/>
          </w:sdtPr>
          <w:sdtEndPr/>
          <w:sdtContent>
            <w:tc>
              <w:tcPr>
                <w:tcW w:w="940" w:type="pct"/>
                <w:tcBorders>
                  <w:top w:val="single" w:sz="4" w:space="0" w:color="auto"/>
                  <w:left w:val="single" w:sz="4" w:space="0" w:color="auto"/>
                  <w:right w:val="single" w:sz="4" w:space="0" w:color="auto"/>
                </w:tcBorders>
                <w:vAlign w:val="center"/>
              </w:tcPr>
              <w:p w14:paraId="64A421FA" w14:textId="77777777" w:rsidR="00E57DAA" w:rsidRDefault="00AC4185">
                <w:pPr>
                  <w:jc w:val="center"/>
                  <w:rPr>
                    <w:szCs w:val="21"/>
                  </w:rPr>
                </w:pPr>
                <w:r>
                  <w:rPr>
                    <w:rFonts w:hint="eastAsia"/>
                    <w:szCs w:val="21"/>
                  </w:rPr>
                  <w:t>上期发生额</w:t>
                </w:r>
              </w:p>
            </w:tc>
          </w:sdtContent>
        </w:sdt>
      </w:tr>
      <w:tr w:rsidR="00E57DAA" w14:paraId="307EA6FF" w14:textId="77777777">
        <w:tc>
          <w:tcPr>
            <w:tcW w:w="1621" w:type="pct"/>
            <w:tcBorders>
              <w:top w:val="single" w:sz="4" w:space="0" w:color="auto"/>
              <w:left w:val="single" w:sz="4" w:space="0" w:color="auto"/>
              <w:bottom w:val="single" w:sz="4" w:space="0" w:color="auto"/>
              <w:right w:val="single" w:sz="4" w:space="0" w:color="auto"/>
            </w:tcBorders>
          </w:tcPr>
          <w:p w14:paraId="486D9131" w14:textId="77777777" w:rsidR="00E57DAA" w:rsidRDefault="00AC4185">
            <w:pPr>
              <w:rPr>
                <w:szCs w:val="21"/>
              </w:rPr>
            </w:pPr>
            <w:r>
              <w:t>华东材料有限公司</w:t>
            </w:r>
          </w:p>
        </w:tc>
        <w:tc>
          <w:tcPr>
            <w:tcW w:w="1484" w:type="pct"/>
            <w:tcBorders>
              <w:top w:val="single" w:sz="4" w:space="0" w:color="auto"/>
              <w:left w:val="single" w:sz="4" w:space="0" w:color="auto"/>
              <w:bottom w:val="single" w:sz="4" w:space="0" w:color="auto"/>
              <w:right w:val="single" w:sz="4" w:space="0" w:color="auto"/>
            </w:tcBorders>
          </w:tcPr>
          <w:p w14:paraId="2E67D3A0" w14:textId="77777777" w:rsidR="00E57DAA" w:rsidRDefault="00AC4185">
            <w:pPr>
              <w:rPr>
                <w:szCs w:val="21"/>
              </w:rPr>
            </w:pPr>
            <w:r>
              <w:t>处置苏州混凝土水泥制品研究院有限公司股权</w:t>
            </w:r>
          </w:p>
        </w:tc>
        <w:tc>
          <w:tcPr>
            <w:tcW w:w="955" w:type="pct"/>
            <w:tcBorders>
              <w:top w:val="single" w:sz="4" w:space="0" w:color="auto"/>
              <w:left w:val="single" w:sz="4" w:space="0" w:color="auto"/>
              <w:bottom w:val="single" w:sz="4" w:space="0" w:color="auto"/>
              <w:right w:val="single" w:sz="4" w:space="0" w:color="auto"/>
            </w:tcBorders>
          </w:tcPr>
          <w:p w14:paraId="602E7E42" w14:textId="77777777" w:rsidR="00E57DAA" w:rsidRDefault="00AC4185">
            <w:pPr>
              <w:jc w:val="right"/>
              <w:rPr>
                <w:szCs w:val="21"/>
              </w:rPr>
            </w:pPr>
            <w:r>
              <w:t> </w:t>
            </w:r>
          </w:p>
        </w:tc>
        <w:tc>
          <w:tcPr>
            <w:tcW w:w="940" w:type="pct"/>
            <w:tcBorders>
              <w:top w:val="single" w:sz="4" w:space="0" w:color="auto"/>
              <w:left w:val="single" w:sz="4" w:space="0" w:color="auto"/>
              <w:bottom w:val="single" w:sz="4" w:space="0" w:color="auto"/>
              <w:right w:val="single" w:sz="4" w:space="0" w:color="auto"/>
            </w:tcBorders>
          </w:tcPr>
          <w:p w14:paraId="72AEA1B6" w14:textId="77777777" w:rsidR="00E57DAA" w:rsidRDefault="00AC4185">
            <w:pPr>
              <w:jc w:val="right"/>
              <w:rPr>
                <w:szCs w:val="21"/>
              </w:rPr>
            </w:pPr>
            <w:r>
              <w:t>21,525,977.19</w:t>
            </w:r>
          </w:p>
        </w:tc>
      </w:tr>
      <w:tr w:rsidR="00E57DAA" w14:paraId="0D87EC87" w14:textId="77777777">
        <w:tc>
          <w:tcPr>
            <w:tcW w:w="1621" w:type="pct"/>
            <w:tcBorders>
              <w:top w:val="single" w:sz="4" w:space="0" w:color="auto"/>
              <w:left w:val="single" w:sz="4" w:space="0" w:color="auto"/>
              <w:bottom w:val="single" w:sz="4" w:space="0" w:color="auto"/>
              <w:right w:val="single" w:sz="4" w:space="0" w:color="auto"/>
            </w:tcBorders>
          </w:tcPr>
          <w:p w14:paraId="05D9636D" w14:textId="77777777" w:rsidR="00E57DAA" w:rsidRDefault="00AC4185">
            <w:pPr>
              <w:rPr>
                <w:szCs w:val="21"/>
              </w:rPr>
            </w:pPr>
            <w:r>
              <w:t>中国建材集团财务有限公司</w:t>
            </w:r>
          </w:p>
        </w:tc>
        <w:tc>
          <w:tcPr>
            <w:tcW w:w="1484" w:type="pct"/>
            <w:tcBorders>
              <w:top w:val="single" w:sz="4" w:space="0" w:color="auto"/>
              <w:left w:val="single" w:sz="4" w:space="0" w:color="auto"/>
              <w:bottom w:val="single" w:sz="4" w:space="0" w:color="auto"/>
              <w:right w:val="single" w:sz="4" w:space="0" w:color="auto"/>
            </w:tcBorders>
          </w:tcPr>
          <w:p w14:paraId="7FC7F774" w14:textId="77777777" w:rsidR="00E57DAA" w:rsidRDefault="00AC4185">
            <w:pPr>
              <w:rPr>
                <w:szCs w:val="21"/>
              </w:rPr>
            </w:pPr>
            <w:r>
              <w:t>应收账款保理</w:t>
            </w:r>
          </w:p>
        </w:tc>
        <w:tc>
          <w:tcPr>
            <w:tcW w:w="955" w:type="pct"/>
            <w:tcBorders>
              <w:top w:val="single" w:sz="4" w:space="0" w:color="auto"/>
              <w:left w:val="single" w:sz="4" w:space="0" w:color="auto"/>
              <w:bottom w:val="single" w:sz="4" w:space="0" w:color="auto"/>
              <w:right w:val="single" w:sz="4" w:space="0" w:color="auto"/>
            </w:tcBorders>
          </w:tcPr>
          <w:p w14:paraId="356D1973" w14:textId="77777777" w:rsidR="00E57DAA" w:rsidRDefault="00AC4185">
            <w:pPr>
              <w:jc w:val="right"/>
              <w:rPr>
                <w:szCs w:val="21"/>
              </w:rPr>
            </w:pPr>
            <w:r>
              <w:t>100,000,000.00</w:t>
            </w:r>
          </w:p>
        </w:tc>
        <w:tc>
          <w:tcPr>
            <w:tcW w:w="940" w:type="pct"/>
            <w:tcBorders>
              <w:top w:val="single" w:sz="4" w:space="0" w:color="auto"/>
              <w:left w:val="single" w:sz="4" w:space="0" w:color="auto"/>
              <w:bottom w:val="single" w:sz="4" w:space="0" w:color="auto"/>
              <w:right w:val="single" w:sz="4" w:space="0" w:color="auto"/>
            </w:tcBorders>
          </w:tcPr>
          <w:p w14:paraId="35761171" w14:textId="77777777" w:rsidR="00E57DAA" w:rsidRDefault="00AC4185">
            <w:pPr>
              <w:jc w:val="right"/>
              <w:rPr>
                <w:szCs w:val="21"/>
              </w:rPr>
            </w:pPr>
            <w:r>
              <w:t> </w:t>
            </w:r>
          </w:p>
        </w:tc>
      </w:tr>
      <w:tr w:rsidR="00E57DAA" w14:paraId="67D75DC7" w14:textId="77777777">
        <w:tc>
          <w:tcPr>
            <w:tcW w:w="1621" w:type="pct"/>
            <w:tcBorders>
              <w:top w:val="single" w:sz="4" w:space="0" w:color="auto"/>
              <w:left w:val="single" w:sz="4" w:space="0" w:color="auto"/>
              <w:bottom w:val="single" w:sz="4" w:space="0" w:color="auto"/>
              <w:right w:val="single" w:sz="4" w:space="0" w:color="auto"/>
            </w:tcBorders>
          </w:tcPr>
          <w:p w14:paraId="3289ADAB" w14:textId="77777777" w:rsidR="00E57DAA" w:rsidRDefault="00AC4185" w:rsidP="00C25422">
            <w:pPr>
              <w:pStyle w:val="92"/>
            </w:pPr>
            <w:r>
              <w:t>合计</w:t>
            </w:r>
          </w:p>
        </w:tc>
        <w:tc>
          <w:tcPr>
            <w:tcW w:w="1484" w:type="pct"/>
            <w:tcBorders>
              <w:top w:val="single" w:sz="4" w:space="0" w:color="auto"/>
              <w:left w:val="single" w:sz="4" w:space="0" w:color="auto"/>
              <w:bottom w:val="single" w:sz="4" w:space="0" w:color="auto"/>
              <w:right w:val="single" w:sz="4" w:space="0" w:color="auto"/>
            </w:tcBorders>
          </w:tcPr>
          <w:p w14:paraId="66D83C8E" w14:textId="77777777" w:rsidR="00E57DAA" w:rsidRDefault="00AC4185" w:rsidP="00C25422">
            <w:pPr>
              <w:pStyle w:val="92"/>
            </w:pPr>
            <w:r>
              <w:t> </w:t>
            </w:r>
          </w:p>
        </w:tc>
        <w:tc>
          <w:tcPr>
            <w:tcW w:w="955" w:type="pct"/>
            <w:tcBorders>
              <w:top w:val="single" w:sz="4" w:space="0" w:color="auto"/>
              <w:left w:val="single" w:sz="4" w:space="0" w:color="auto"/>
              <w:bottom w:val="single" w:sz="4" w:space="0" w:color="auto"/>
              <w:right w:val="single" w:sz="4" w:space="0" w:color="auto"/>
            </w:tcBorders>
          </w:tcPr>
          <w:p w14:paraId="1097FFB6" w14:textId="77777777" w:rsidR="00E57DAA" w:rsidRDefault="00AC4185">
            <w:pPr>
              <w:jc w:val="right"/>
            </w:pPr>
            <w:r>
              <w:t>100,000,000.00</w:t>
            </w:r>
          </w:p>
        </w:tc>
        <w:tc>
          <w:tcPr>
            <w:tcW w:w="940" w:type="pct"/>
            <w:tcBorders>
              <w:top w:val="single" w:sz="4" w:space="0" w:color="auto"/>
              <w:left w:val="single" w:sz="4" w:space="0" w:color="auto"/>
              <w:bottom w:val="single" w:sz="4" w:space="0" w:color="auto"/>
              <w:right w:val="single" w:sz="4" w:space="0" w:color="auto"/>
            </w:tcBorders>
          </w:tcPr>
          <w:p w14:paraId="3239A0B7" w14:textId="77777777" w:rsidR="00E57DAA" w:rsidRDefault="00AC4185">
            <w:pPr>
              <w:jc w:val="right"/>
            </w:pPr>
            <w:r>
              <w:t>21,525,977.19</w:t>
            </w:r>
          </w:p>
        </w:tc>
      </w:tr>
    </w:tbl>
    <w:p w14:paraId="4C357834" w14:textId="77777777" w:rsidR="00E57DAA" w:rsidRDefault="00E57DAA" w:rsidP="00C25422">
      <w:pPr>
        <w:pStyle w:val="92"/>
      </w:pPr>
    </w:p>
    <w:p w14:paraId="3A5145B9" w14:textId="77777777" w:rsidR="00E57DAA" w:rsidRDefault="00AC4185">
      <w:pPr>
        <w:pStyle w:val="4"/>
        <w:numPr>
          <w:ilvl w:val="3"/>
          <w:numId w:val="122"/>
        </w:numPr>
        <w:ind w:left="426" w:hangingChars="202" w:hanging="426"/>
      </w:pPr>
      <w:r>
        <w:rPr>
          <w:rFonts w:hint="eastAsia"/>
        </w:rPr>
        <w:t>关键管理人员报酬</w:t>
      </w:r>
    </w:p>
    <w:sdt>
      <w:sdtPr>
        <w:alias w:val="是否适用：关键管理人员报酬[双击切换]"/>
        <w:tag w:val="_GBC_4768ccd806f845f4b6f5f0ec038ec747"/>
        <w:id w:val="-1336683382"/>
        <w:placeholder>
          <w:docPart w:val="GBC22222222222222222222222222222"/>
        </w:placeholder>
      </w:sdtPr>
      <w:sdtEndPr/>
      <w:sdtContent>
        <w:p w14:paraId="5AEC941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F9ED94" w14:textId="77777777" w:rsidR="00E57DAA" w:rsidRDefault="00AC4185">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2664305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2481988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2439"/>
      </w:tblGrid>
      <w:tr w:rsidR="00E57DAA" w14:paraId="21FAF90B" w14:textId="77777777">
        <w:sdt>
          <w:sdtPr>
            <w:tag w:val="_PLD_3d38745be5c64397b1dab92289838da1"/>
            <w:id w:val="1957361371"/>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4F1C1B95" w14:textId="77777777" w:rsidR="00E57DAA" w:rsidRDefault="00AC4185">
                <w:pPr>
                  <w:jc w:val="center"/>
                  <w:rPr>
                    <w:rFonts w:cs="Cambria"/>
                  </w:rPr>
                </w:pPr>
                <w:r>
                  <w:rPr>
                    <w:rFonts w:cs="Cambria" w:hint="eastAsia"/>
                  </w:rPr>
                  <w:t>项目</w:t>
                </w:r>
              </w:p>
            </w:tc>
          </w:sdtContent>
        </w:sdt>
        <w:sdt>
          <w:sdtPr>
            <w:tag w:val="_PLD_31133ff59dcf4a7b93a7991d1f435b05"/>
            <w:id w:val="-1792045539"/>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45B14A6" w14:textId="77777777" w:rsidR="00E57DAA" w:rsidRDefault="00AC4185">
                <w:pPr>
                  <w:jc w:val="center"/>
                  <w:rPr>
                    <w:rFonts w:cs="Cambria"/>
                  </w:rPr>
                </w:pPr>
                <w:r>
                  <w:rPr>
                    <w:rFonts w:cs="Cambria" w:hint="eastAsia"/>
                  </w:rPr>
                  <w:t>本期发生额</w:t>
                </w:r>
              </w:p>
            </w:tc>
          </w:sdtContent>
        </w:sdt>
        <w:sdt>
          <w:sdtPr>
            <w:tag w:val="_PLD_e08658a238f7419ca0d4ce3386ff565e"/>
            <w:id w:val="1445185055"/>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3533DEE6" w14:textId="77777777" w:rsidR="00E57DAA" w:rsidRDefault="00AC4185">
                <w:pPr>
                  <w:jc w:val="center"/>
                  <w:rPr>
                    <w:rFonts w:cs="Cambria"/>
                  </w:rPr>
                </w:pPr>
                <w:r>
                  <w:rPr>
                    <w:rFonts w:cs="Cambria" w:hint="eastAsia"/>
                  </w:rPr>
                  <w:t>上期发生额</w:t>
                </w:r>
              </w:p>
            </w:tc>
          </w:sdtContent>
        </w:sdt>
      </w:tr>
      <w:tr w:rsidR="00E57DAA" w14:paraId="00B46D47" w14:textId="77777777">
        <w:tc>
          <w:tcPr>
            <w:tcW w:w="1809" w:type="pct"/>
            <w:tcBorders>
              <w:top w:val="single" w:sz="4" w:space="0" w:color="auto"/>
              <w:left w:val="single" w:sz="4" w:space="0" w:color="auto"/>
              <w:bottom w:val="single" w:sz="4" w:space="0" w:color="auto"/>
              <w:right w:val="single" w:sz="4" w:space="0" w:color="auto"/>
            </w:tcBorders>
            <w:shd w:val="clear" w:color="auto" w:fill="auto"/>
          </w:tcPr>
          <w:p w14:paraId="3430EC85" w14:textId="77777777" w:rsidR="00E57DAA" w:rsidRDefault="00AC4185">
            <w:pPr>
              <w:rPr>
                <w:rFonts w:cs="Cambria"/>
                <w:highlight w:val="yellow"/>
              </w:rPr>
            </w:pPr>
            <w:r>
              <w:rPr>
                <w:rFonts w:cs="Cambria" w:hint="eastAsia"/>
              </w:rPr>
              <w:t>关键管理人员报酬</w:t>
            </w:r>
          </w:p>
        </w:tc>
        <w:tc>
          <w:tcPr>
            <w:tcW w:w="1809" w:type="pct"/>
            <w:tcBorders>
              <w:top w:val="single" w:sz="4" w:space="0" w:color="auto"/>
              <w:left w:val="single" w:sz="4" w:space="0" w:color="auto"/>
              <w:bottom w:val="single" w:sz="4" w:space="0" w:color="auto"/>
              <w:right w:val="single" w:sz="4" w:space="0" w:color="auto"/>
            </w:tcBorders>
            <w:shd w:val="clear" w:color="auto" w:fill="auto"/>
          </w:tcPr>
          <w:p w14:paraId="53EE75C5" w14:textId="77777777" w:rsidR="00E57DAA" w:rsidRDefault="00AC4185" w:rsidP="00C25422">
            <w:pPr>
              <w:pStyle w:val="92"/>
            </w:pPr>
            <w:r>
              <w:rPr>
                <w:rFonts w:hint="eastAsia"/>
              </w:rPr>
              <w:t>2,125.21</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7E28DD08" w14:textId="77777777" w:rsidR="00E57DAA" w:rsidRDefault="00AC4185">
            <w:pPr>
              <w:jc w:val="right"/>
              <w:rPr>
                <w:rFonts w:cs="Cambria"/>
              </w:rPr>
            </w:pPr>
            <w:r>
              <w:rPr>
                <w:rFonts w:cs="Cambria"/>
              </w:rPr>
              <w:t>1,981.62</w:t>
            </w:r>
          </w:p>
        </w:tc>
      </w:tr>
    </w:tbl>
    <w:p w14:paraId="24D0E987" w14:textId="77777777" w:rsidR="00E57DAA" w:rsidRDefault="00E57DAA" w:rsidP="00C25422">
      <w:pPr>
        <w:pStyle w:val="92"/>
      </w:pPr>
    </w:p>
    <w:p w14:paraId="7D9BA460" w14:textId="77777777" w:rsidR="00E57DAA" w:rsidRDefault="00AC4185">
      <w:pPr>
        <w:pStyle w:val="4"/>
        <w:numPr>
          <w:ilvl w:val="3"/>
          <w:numId w:val="122"/>
        </w:numPr>
        <w:ind w:left="426" w:hangingChars="202" w:hanging="426"/>
      </w:pPr>
      <w:r>
        <w:rPr>
          <w:rFonts w:hint="eastAsia"/>
        </w:rPr>
        <w:t>其他关联交易</w:t>
      </w:r>
    </w:p>
    <w:sdt>
      <w:sdtPr>
        <w:rPr>
          <w:rFonts w:hint="eastAsia"/>
          <w:szCs w:val="21"/>
        </w:rPr>
        <w:alias w:val="是否适用：其他关联交易[双击切换]"/>
        <w:tag w:val="_GBC_a1203a07d7684e08bdc2f1959f1cb9ae"/>
        <w:id w:val="-83613279"/>
        <w:placeholder>
          <w:docPart w:val="GBC22222222222222222222222222222"/>
        </w:placeholder>
      </w:sdtPr>
      <w:sdtEndPr/>
      <w:sdtContent>
        <w:p w14:paraId="56FDF564"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264491809"/>
        <w:placeholder>
          <w:docPart w:val="GBC22222222222222222222222222222"/>
        </w:placeholder>
      </w:sdtPr>
      <w:sdtEndPr/>
      <w:sdtContent>
        <w:p w14:paraId="67BBDEF5" w14:textId="77777777" w:rsidR="00E57DAA" w:rsidRDefault="00AC4185">
          <w:pPr>
            <w:rPr>
              <w:szCs w:val="21"/>
            </w:rPr>
          </w:pPr>
          <w:r>
            <w:rPr>
              <w:szCs w:val="21"/>
            </w:rPr>
            <w:t>关联方存款、借款利息</w:t>
          </w:r>
        </w:p>
        <w:p w14:paraId="2D6550D8" w14:textId="77777777" w:rsidR="00E57DAA" w:rsidRDefault="00AC4185">
          <w:pPr>
            <w:jc w:val="right"/>
            <w:rPr>
              <w:szCs w:val="21"/>
            </w:rPr>
          </w:pPr>
          <w:r>
            <w:rPr>
              <w:rFonts w:hint="eastAsia"/>
              <w:szCs w:val="21"/>
            </w:rPr>
            <w:t>单位：元</w:t>
          </w:r>
        </w:p>
        <w:tbl>
          <w:tblPr>
            <w:tblStyle w:val="g8"/>
            <w:tblW w:w="5000" w:type="pct"/>
            <w:tblInd w:w="0" w:type="dxa"/>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1767"/>
            <w:gridCol w:w="2881"/>
            <w:gridCol w:w="2092"/>
            <w:gridCol w:w="2093"/>
          </w:tblGrid>
          <w:tr w:rsidR="00E57DAA" w14:paraId="79C30B81" w14:textId="77777777">
            <w:trPr>
              <w:trHeight w:val="340"/>
              <w:tblHeader/>
            </w:trPr>
            <w:tc>
              <w:tcPr>
                <w:tcW w:w="1000" w:type="pct"/>
                <w:tcBorders>
                  <w:top w:val="single" w:sz="12" w:space="0" w:color="auto"/>
                  <w:left w:val="nil"/>
                  <w:bottom w:val="dotted" w:sz="4" w:space="0" w:color="auto"/>
                  <w:right w:val="dotted" w:sz="4" w:space="0" w:color="auto"/>
                </w:tcBorders>
                <w:vAlign w:val="center"/>
              </w:tcPr>
              <w:p w14:paraId="22DB4144" w14:textId="77777777" w:rsidR="00E57DAA" w:rsidRDefault="00AC4185">
                <w:pPr>
                  <w:rPr>
                    <w:szCs w:val="21"/>
                  </w:rPr>
                </w:pPr>
                <w:r>
                  <w:rPr>
                    <w:rFonts w:hint="eastAsia"/>
                    <w:szCs w:val="21"/>
                  </w:rPr>
                  <w:t>交易类型</w:t>
                </w:r>
              </w:p>
            </w:tc>
            <w:tc>
              <w:tcPr>
                <w:tcW w:w="1631" w:type="pct"/>
                <w:tcBorders>
                  <w:top w:val="single" w:sz="12" w:space="0" w:color="auto"/>
                  <w:left w:val="dotted" w:sz="4" w:space="0" w:color="auto"/>
                  <w:bottom w:val="dotted" w:sz="4" w:space="0" w:color="auto"/>
                  <w:right w:val="dotted" w:sz="4" w:space="0" w:color="auto"/>
                </w:tcBorders>
                <w:vAlign w:val="center"/>
              </w:tcPr>
              <w:p w14:paraId="50639C87" w14:textId="77777777" w:rsidR="00E57DAA" w:rsidRDefault="00AC4185">
                <w:pPr>
                  <w:rPr>
                    <w:szCs w:val="21"/>
                  </w:rPr>
                </w:pPr>
                <w:r>
                  <w:rPr>
                    <w:rFonts w:hint="eastAsia"/>
                    <w:szCs w:val="21"/>
                  </w:rPr>
                  <w:t>关联方名称</w:t>
                </w:r>
              </w:p>
            </w:tc>
            <w:tc>
              <w:tcPr>
                <w:tcW w:w="1184" w:type="pct"/>
                <w:tcBorders>
                  <w:top w:val="single" w:sz="12" w:space="0" w:color="auto"/>
                  <w:left w:val="dotted" w:sz="4" w:space="0" w:color="auto"/>
                  <w:bottom w:val="dotted" w:sz="4" w:space="0" w:color="auto"/>
                  <w:right w:val="dotted" w:sz="4" w:space="0" w:color="auto"/>
                </w:tcBorders>
                <w:vAlign w:val="center"/>
              </w:tcPr>
              <w:p w14:paraId="1878C42E" w14:textId="77777777" w:rsidR="00E57DAA" w:rsidRDefault="00AC4185">
                <w:pPr>
                  <w:rPr>
                    <w:szCs w:val="21"/>
                  </w:rPr>
                </w:pPr>
                <w:r>
                  <w:rPr>
                    <w:rFonts w:hint="eastAsia"/>
                    <w:szCs w:val="21"/>
                  </w:rPr>
                  <w:t>本期发生额</w:t>
                </w:r>
              </w:p>
            </w:tc>
            <w:tc>
              <w:tcPr>
                <w:tcW w:w="1185" w:type="pct"/>
                <w:tcBorders>
                  <w:top w:val="single" w:sz="12" w:space="0" w:color="auto"/>
                  <w:left w:val="dotted" w:sz="4" w:space="0" w:color="auto"/>
                  <w:bottom w:val="dotted" w:sz="4" w:space="0" w:color="auto"/>
                  <w:right w:val="nil"/>
                </w:tcBorders>
                <w:vAlign w:val="center"/>
              </w:tcPr>
              <w:p w14:paraId="6C0AEA15" w14:textId="77777777" w:rsidR="00E57DAA" w:rsidRDefault="00AC4185">
                <w:pPr>
                  <w:rPr>
                    <w:szCs w:val="21"/>
                  </w:rPr>
                </w:pPr>
                <w:r>
                  <w:rPr>
                    <w:rFonts w:hint="eastAsia"/>
                    <w:szCs w:val="21"/>
                  </w:rPr>
                  <w:t>上期发生额</w:t>
                </w:r>
              </w:p>
            </w:tc>
          </w:tr>
          <w:tr w:rsidR="00E57DAA" w14:paraId="32FC9E22" w14:textId="77777777">
            <w:trPr>
              <w:trHeight w:val="340"/>
            </w:trPr>
            <w:tc>
              <w:tcPr>
                <w:tcW w:w="1000" w:type="pct"/>
                <w:tcBorders>
                  <w:top w:val="dotted" w:sz="4" w:space="0" w:color="auto"/>
                  <w:left w:val="nil"/>
                  <w:bottom w:val="dotted" w:sz="4" w:space="0" w:color="auto"/>
                  <w:right w:val="dotted" w:sz="4" w:space="0" w:color="auto"/>
                </w:tcBorders>
                <w:vAlign w:val="center"/>
              </w:tcPr>
              <w:p w14:paraId="4A9D5903" w14:textId="77777777" w:rsidR="00E57DAA" w:rsidRDefault="00AC4185">
                <w:pPr>
                  <w:rPr>
                    <w:szCs w:val="21"/>
                  </w:rPr>
                </w:pPr>
                <w:r>
                  <w:rPr>
                    <w:rFonts w:hint="eastAsia"/>
                    <w:szCs w:val="21"/>
                  </w:rPr>
                  <w:t>关联方存款利息</w:t>
                </w:r>
              </w:p>
            </w:tc>
            <w:tc>
              <w:tcPr>
                <w:tcW w:w="1631" w:type="pct"/>
                <w:tcBorders>
                  <w:top w:val="dotted" w:sz="4" w:space="0" w:color="auto"/>
                  <w:left w:val="dotted" w:sz="4" w:space="0" w:color="auto"/>
                  <w:bottom w:val="dotted" w:sz="4" w:space="0" w:color="auto"/>
                  <w:right w:val="dotted" w:sz="4" w:space="0" w:color="auto"/>
                </w:tcBorders>
                <w:vAlign w:val="center"/>
              </w:tcPr>
              <w:p w14:paraId="116C9964" w14:textId="77777777" w:rsidR="00E57DAA" w:rsidRDefault="00AC4185">
                <w:pPr>
                  <w:rPr>
                    <w:szCs w:val="21"/>
                  </w:rPr>
                </w:pPr>
                <w:r>
                  <w:rPr>
                    <w:rFonts w:hint="eastAsia"/>
                    <w:szCs w:val="21"/>
                  </w:rPr>
                  <w:t>中国建材集团财务有限公司</w:t>
                </w:r>
              </w:p>
            </w:tc>
            <w:tc>
              <w:tcPr>
                <w:tcW w:w="1184" w:type="pct"/>
                <w:tcBorders>
                  <w:top w:val="dotted" w:sz="4" w:space="0" w:color="auto"/>
                  <w:left w:val="dotted" w:sz="4" w:space="0" w:color="auto"/>
                  <w:bottom w:val="dotted" w:sz="4" w:space="0" w:color="auto"/>
                  <w:right w:val="dotted" w:sz="4" w:space="0" w:color="auto"/>
                </w:tcBorders>
                <w:vAlign w:val="center"/>
              </w:tcPr>
              <w:p w14:paraId="0E4547E1" w14:textId="77777777" w:rsidR="00E57DAA" w:rsidRDefault="00AC4185">
                <w:pPr>
                  <w:jc w:val="right"/>
                  <w:rPr>
                    <w:szCs w:val="21"/>
                  </w:rPr>
                </w:pPr>
                <w:r>
                  <w:rPr>
                    <w:szCs w:val="21"/>
                  </w:rPr>
                  <w:t>45,994,334.71</w:t>
                </w:r>
              </w:p>
            </w:tc>
            <w:tc>
              <w:tcPr>
                <w:tcW w:w="1185" w:type="pct"/>
                <w:tcBorders>
                  <w:top w:val="dotted" w:sz="4" w:space="0" w:color="auto"/>
                  <w:left w:val="dotted" w:sz="4" w:space="0" w:color="auto"/>
                  <w:bottom w:val="dotted" w:sz="4" w:space="0" w:color="auto"/>
                  <w:right w:val="nil"/>
                </w:tcBorders>
                <w:vAlign w:val="center"/>
              </w:tcPr>
              <w:p w14:paraId="12E33F35" w14:textId="77777777" w:rsidR="00E57DAA" w:rsidRDefault="00AC4185">
                <w:pPr>
                  <w:jc w:val="right"/>
                  <w:rPr>
                    <w:szCs w:val="21"/>
                  </w:rPr>
                </w:pPr>
                <w:r>
                  <w:rPr>
                    <w:szCs w:val="21"/>
                  </w:rPr>
                  <w:t>52,233,395.06</w:t>
                </w:r>
              </w:p>
            </w:tc>
          </w:tr>
          <w:tr w:rsidR="00E57DAA" w14:paraId="505D1627" w14:textId="77777777">
            <w:trPr>
              <w:trHeight w:val="340"/>
            </w:trPr>
            <w:tc>
              <w:tcPr>
                <w:tcW w:w="1000" w:type="pct"/>
                <w:tcBorders>
                  <w:top w:val="dotted" w:sz="4" w:space="0" w:color="auto"/>
                  <w:left w:val="nil"/>
                  <w:bottom w:val="dotted" w:sz="4" w:space="0" w:color="auto"/>
                  <w:right w:val="dotted" w:sz="4" w:space="0" w:color="auto"/>
                </w:tcBorders>
                <w:vAlign w:val="center"/>
              </w:tcPr>
              <w:p w14:paraId="204B5BF0" w14:textId="77777777" w:rsidR="00E57DAA" w:rsidRDefault="00AC4185">
                <w:pPr>
                  <w:rPr>
                    <w:szCs w:val="21"/>
                  </w:rPr>
                </w:pPr>
                <w:r>
                  <w:rPr>
                    <w:rFonts w:hint="eastAsia"/>
                    <w:szCs w:val="21"/>
                  </w:rPr>
                  <w:t>关联方借款利息</w:t>
                </w:r>
              </w:p>
            </w:tc>
            <w:tc>
              <w:tcPr>
                <w:tcW w:w="1631" w:type="pct"/>
                <w:tcBorders>
                  <w:top w:val="dotted" w:sz="4" w:space="0" w:color="auto"/>
                  <w:left w:val="dotted" w:sz="4" w:space="0" w:color="auto"/>
                  <w:bottom w:val="dotted" w:sz="4" w:space="0" w:color="auto"/>
                  <w:right w:val="dotted" w:sz="4" w:space="0" w:color="auto"/>
                </w:tcBorders>
                <w:vAlign w:val="center"/>
              </w:tcPr>
              <w:p w14:paraId="0612DB03" w14:textId="77777777" w:rsidR="00E57DAA" w:rsidRDefault="00AC4185">
                <w:pPr>
                  <w:rPr>
                    <w:szCs w:val="21"/>
                  </w:rPr>
                </w:pPr>
                <w:r>
                  <w:rPr>
                    <w:rFonts w:hint="eastAsia"/>
                    <w:szCs w:val="21"/>
                  </w:rPr>
                  <w:t>中国建材集团财务有限公司</w:t>
                </w:r>
              </w:p>
            </w:tc>
            <w:tc>
              <w:tcPr>
                <w:tcW w:w="1184" w:type="pct"/>
                <w:tcBorders>
                  <w:top w:val="dotted" w:sz="4" w:space="0" w:color="auto"/>
                  <w:left w:val="dotted" w:sz="4" w:space="0" w:color="auto"/>
                  <w:bottom w:val="dotted" w:sz="4" w:space="0" w:color="auto"/>
                  <w:right w:val="dotted" w:sz="4" w:space="0" w:color="auto"/>
                </w:tcBorders>
                <w:vAlign w:val="center"/>
              </w:tcPr>
              <w:p w14:paraId="1C68A6E2" w14:textId="77777777" w:rsidR="00E57DAA" w:rsidRDefault="00AC4185">
                <w:pPr>
                  <w:jc w:val="right"/>
                  <w:rPr>
                    <w:szCs w:val="21"/>
                  </w:rPr>
                </w:pPr>
                <w:r>
                  <w:rPr>
                    <w:szCs w:val="21"/>
                  </w:rPr>
                  <w:t>34,808,485.40</w:t>
                </w:r>
              </w:p>
            </w:tc>
            <w:tc>
              <w:tcPr>
                <w:tcW w:w="1185" w:type="pct"/>
                <w:tcBorders>
                  <w:top w:val="dotted" w:sz="4" w:space="0" w:color="auto"/>
                  <w:left w:val="dotted" w:sz="4" w:space="0" w:color="auto"/>
                  <w:bottom w:val="dotted" w:sz="4" w:space="0" w:color="auto"/>
                  <w:right w:val="nil"/>
                </w:tcBorders>
                <w:vAlign w:val="center"/>
              </w:tcPr>
              <w:p w14:paraId="75D6E6B1" w14:textId="77777777" w:rsidR="00E57DAA" w:rsidRDefault="00AC4185">
                <w:pPr>
                  <w:jc w:val="right"/>
                  <w:rPr>
                    <w:szCs w:val="21"/>
                  </w:rPr>
                </w:pPr>
                <w:r>
                  <w:rPr>
                    <w:szCs w:val="21"/>
                  </w:rPr>
                  <w:t>22,943,755.25</w:t>
                </w:r>
              </w:p>
            </w:tc>
          </w:tr>
          <w:tr w:rsidR="00E57DAA" w14:paraId="0EB2239D" w14:textId="77777777">
            <w:trPr>
              <w:trHeight w:val="340"/>
            </w:trPr>
            <w:tc>
              <w:tcPr>
                <w:tcW w:w="1000" w:type="pct"/>
                <w:tcBorders>
                  <w:top w:val="dotted" w:sz="4" w:space="0" w:color="auto"/>
                  <w:left w:val="nil"/>
                  <w:bottom w:val="dotted" w:sz="4" w:space="0" w:color="auto"/>
                  <w:right w:val="dotted" w:sz="4" w:space="0" w:color="auto"/>
                </w:tcBorders>
                <w:vAlign w:val="center"/>
              </w:tcPr>
              <w:p w14:paraId="1E27A7C4" w14:textId="77777777" w:rsidR="00E57DAA" w:rsidRDefault="00AC4185">
                <w:pPr>
                  <w:rPr>
                    <w:szCs w:val="21"/>
                  </w:rPr>
                </w:pPr>
                <w:r>
                  <w:rPr>
                    <w:rFonts w:hint="eastAsia"/>
                    <w:szCs w:val="21"/>
                  </w:rPr>
                  <w:t>关联方借款利息</w:t>
                </w:r>
              </w:p>
            </w:tc>
            <w:tc>
              <w:tcPr>
                <w:tcW w:w="1631" w:type="pct"/>
                <w:tcBorders>
                  <w:top w:val="dotted" w:sz="4" w:space="0" w:color="auto"/>
                  <w:left w:val="dotted" w:sz="4" w:space="0" w:color="auto"/>
                  <w:bottom w:val="dotted" w:sz="4" w:space="0" w:color="auto"/>
                  <w:right w:val="dotted" w:sz="4" w:space="0" w:color="auto"/>
                </w:tcBorders>
                <w:vAlign w:val="center"/>
              </w:tcPr>
              <w:p w14:paraId="725BDC9F" w14:textId="77777777" w:rsidR="00E57DAA" w:rsidRDefault="00AC4185">
                <w:pPr>
                  <w:rPr>
                    <w:szCs w:val="21"/>
                  </w:rPr>
                </w:pPr>
                <w:r>
                  <w:rPr>
                    <w:rFonts w:hint="eastAsia"/>
                    <w:szCs w:val="21"/>
                  </w:rPr>
                  <w:t>中国建材股份有限公司</w:t>
                </w:r>
              </w:p>
            </w:tc>
            <w:tc>
              <w:tcPr>
                <w:tcW w:w="1184" w:type="pct"/>
                <w:tcBorders>
                  <w:top w:val="dotted" w:sz="4" w:space="0" w:color="auto"/>
                  <w:left w:val="dotted" w:sz="4" w:space="0" w:color="auto"/>
                  <w:bottom w:val="dotted" w:sz="4" w:space="0" w:color="auto"/>
                  <w:right w:val="dotted" w:sz="4" w:space="0" w:color="auto"/>
                </w:tcBorders>
                <w:vAlign w:val="center"/>
              </w:tcPr>
              <w:p w14:paraId="492BB879" w14:textId="77777777" w:rsidR="00E57DAA" w:rsidRDefault="00AC4185">
                <w:pPr>
                  <w:jc w:val="right"/>
                  <w:rPr>
                    <w:szCs w:val="21"/>
                  </w:rPr>
                </w:pPr>
                <w:r>
                  <w:rPr>
                    <w:szCs w:val="21"/>
                  </w:rPr>
                  <w:t>539,400.00</w:t>
                </w:r>
              </w:p>
            </w:tc>
            <w:tc>
              <w:tcPr>
                <w:tcW w:w="1185" w:type="pct"/>
                <w:tcBorders>
                  <w:top w:val="dotted" w:sz="4" w:space="0" w:color="auto"/>
                  <w:left w:val="dotted" w:sz="4" w:space="0" w:color="auto"/>
                  <w:bottom w:val="dotted" w:sz="4" w:space="0" w:color="auto"/>
                  <w:right w:val="nil"/>
                </w:tcBorders>
                <w:vAlign w:val="center"/>
              </w:tcPr>
              <w:p w14:paraId="2D50C569" w14:textId="77777777" w:rsidR="00E57DAA" w:rsidRDefault="00AC4185">
                <w:pPr>
                  <w:jc w:val="right"/>
                  <w:rPr>
                    <w:szCs w:val="21"/>
                  </w:rPr>
                </w:pPr>
                <w:r>
                  <w:rPr>
                    <w:szCs w:val="21"/>
                  </w:rPr>
                  <w:t>407,958.00</w:t>
                </w:r>
              </w:p>
            </w:tc>
          </w:tr>
          <w:tr w:rsidR="00E57DAA" w14:paraId="0E395984" w14:textId="77777777">
            <w:trPr>
              <w:trHeight w:val="340"/>
            </w:trPr>
            <w:tc>
              <w:tcPr>
                <w:tcW w:w="1000" w:type="pct"/>
                <w:tcBorders>
                  <w:top w:val="dotted" w:sz="4" w:space="0" w:color="auto"/>
                  <w:left w:val="nil"/>
                  <w:bottom w:val="dotted" w:sz="4" w:space="0" w:color="auto"/>
                  <w:right w:val="dotted" w:sz="4" w:space="0" w:color="auto"/>
                </w:tcBorders>
                <w:vAlign w:val="center"/>
              </w:tcPr>
              <w:p w14:paraId="630D0909" w14:textId="77777777" w:rsidR="00E57DAA" w:rsidRDefault="00AC4185">
                <w:pPr>
                  <w:rPr>
                    <w:szCs w:val="21"/>
                  </w:rPr>
                </w:pPr>
                <w:r>
                  <w:rPr>
                    <w:rFonts w:hint="eastAsia"/>
                    <w:szCs w:val="21"/>
                  </w:rPr>
                  <w:t>关联方借款利息</w:t>
                </w:r>
              </w:p>
            </w:tc>
            <w:tc>
              <w:tcPr>
                <w:tcW w:w="1631" w:type="pct"/>
                <w:tcBorders>
                  <w:top w:val="dotted" w:sz="4" w:space="0" w:color="auto"/>
                  <w:left w:val="dotted" w:sz="4" w:space="0" w:color="auto"/>
                  <w:bottom w:val="dotted" w:sz="4" w:space="0" w:color="auto"/>
                  <w:right w:val="dotted" w:sz="4" w:space="0" w:color="auto"/>
                </w:tcBorders>
                <w:vAlign w:val="center"/>
              </w:tcPr>
              <w:p w14:paraId="062097A8" w14:textId="77777777" w:rsidR="00E57DAA" w:rsidRDefault="00AC4185">
                <w:pPr>
                  <w:rPr>
                    <w:szCs w:val="21"/>
                  </w:rPr>
                </w:pPr>
                <w:r>
                  <w:rPr>
                    <w:rFonts w:hint="eastAsia"/>
                    <w:szCs w:val="21"/>
                  </w:rPr>
                  <w:t>中国中材集团有限公司</w:t>
                </w:r>
              </w:p>
            </w:tc>
            <w:tc>
              <w:tcPr>
                <w:tcW w:w="1184" w:type="pct"/>
                <w:tcBorders>
                  <w:top w:val="dotted" w:sz="4" w:space="0" w:color="auto"/>
                  <w:left w:val="dotted" w:sz="4" w:space="0" w:color="auto"/>
                  <w:bottom w:val="dotted" w:sz="4" w:space="0" w:color="auto"/>
                  <w:right w:val="dotted" w:sz="4" w:space="0" w:color="auto"/>
                </w:tcBorders>
                <w:vAlign w:val="center"/>
              </w:tcPr>
              <w:p w14:paraId="2B66C566" w14:textId="77777777" w:rsidR="00E57DAA" w:rsidRDefault="00AC4185">
                <w:pPr>
                  <w:jc w:val="right"/>
                  <w:rPr>
                    <w:szCs w:val="21"/>
                  </w:rPr>
                </w:pPr>
                <w:r>
                  <w:rPr>
                    <w:szCs w:val="21"/>
                  </w:rPr>
                  <w:t>11,840,000.04</w:t>
                </w:r>
              </w:p>
            </w:tc>
            <w:tc>
              <w:tcPr>
                <w:tcW w:w="1185" w:type="pct"/>
                <w:tcBorders>
                  <w:top w:val="dotted" w:sz="4" w:space="0" w:color="auto"/>
                  <w:left w:val="dotted" w:sz="4" w:space="0" w:color="auto"/>
                  <w:bottom w:val="dotted" w:sz="4" w:space="0" w:color="auto"/>
                  <w:right w:val="nil"/>
                </w:tcBorders>
                <w:vAlign w:val="center"/>
              </w:tcPr>
              <w:p w14:paraId="20AFAAD4" w14:textId="77777777" w:rsidR="00E57DAA" w:rsidRDefault="00AC4185">
                <w:pPr>
                  <w:jc w:val="right"/>
                  <w:rPr>
                    <w:szCs w:val="21"/>
                  </w:rPr>
                </w:pPr>
                <w:r>
                  <w:rPr>
                    <w:szCs w:val="21"/>
                  </w:rPr>
                  <w:t>12,037,136.00</w:t>
                </w:r>
              </w:p>
            </w:tc>
          </w:tr>
          <w:tr w:rsidR="00E57DAA" w14:paraId="644FD6EB" w14:textId="77777777">
            <w:trPr>
              <w:trHeight w:val="340"/>
            </w:trPr>
            <w:tc>
              <w:tcPr>
                <w:tcW w:w="1000" w:type="pct"/>
                <w:tcBorders>
                  <w:top w:val="dotted" w:sz="4" w:space="0" w:color="auto"/>
                  <w:left w:val="nil"/>
                  <w:bottom w:val="single" w:sz="12" w:space="0" w:color="auto"/>
                  <w:right w:val="dotted" w:sz="4" w:space="0" w:color="auto"/>
                </w:tcBorders>
                <w:vAlign w:val="center"/>
              </w:tcPr>
              <w:p w14:paraId="492BCFE7" w14:textId="77777777" w:rsidR="00E57DAA" w:rsidRDefault="00AC4185">
                <w:pPr>
                  <w:rPr>
                    <w:szCs w:val="21"/>
                  </w:rPr>
                </w:pPr>
                <w:r>
                  <w:rPr>
                    <w:rFonts w:hint="eastAsia"/>
                    <w:szCs w:val="21"/>
                  </w:rPr>
                  <w:t>合计</w:t>
                </w:r>
              </w:p>
            </w:tc>
            <w:tc>
              <w:tcPr>
                <w:tcW w:w="1631" w:type="pct"/>
                <w:tcBorders>
                  <w:top w:val="dotted" w:sz="4" w:space="0" w:color="auto"/>
                  <w:left w:val="dotted" w:sz="4" w:space="0" w:color="auto"/>
                  <w:bottom w:val="single" w:sz="12" w:space="0" w:color="auto"/>
                  <w:right w:val="dotted" w:sz="4" w:space="0" w:color="auto"/>
                </w:tcBorders>
                <w:vAlign w:val="center"/>
              </w:tcPr>
              <w:p w14:paraId="30D3BE8A" w14:textId="77777777" w:rsidR="00E57DAA" w:rsidRDefault="00AC4185">
                <w:pPr>
                  <w:rPr>
                    <w:szCs w:val="21"/>
                  </w:rPr>
                </w:pPr>
                <w:r>
                  <w:rPr>
                    <w:szCs w:val="21"/>
                  </w:rPr>
                  <w:t>——</w:t>
                </w:r>
              </w:p>
            </w:tc>
            <w:tc>
              <w:tcPr>
                <w:tcW w:w="1184" w:type="pct"/>
                <w:tcBorders>
                  <w:top w:val="dotted" w:sz="4" w:space="0" w:color="auto"/>
                  <w:left w:val="dotted" w:sz="4" w:space="0" w:color="auto"/>
                  <w:bottom w:val="single" w:sz="12" w:space="0" w:color="auto"/>
                  <w:right w:val="dotted" w:sz="4" w:space="0" w:color="auto"/>
                </w:tcBorders>
                <w:vAlign w:val="center"/>
              </w:tcPr>
              <w:p w14:paraId="46418402" w14:textId="77777777" w:rsidR="00E57DAA" w:rsidRDefault="00AC4185">
                <w:pPr>
                  <w:jc w:val="right"/>
                  <w:rPr>
                    <w:szCs w:val="21"/>
                  </w:rPr>
                </w:pPr>
                <w:r>
                  <w:rPr>
                    <w:szCs w:val="21"/>
                  </w:rPr>
                  <w:t>93,182,220.15</w:t>
                </w:r>
              </w:p>
            </w:tc>
            <w:tc>
              <w:tcPr>
                <w:tcW w:w="1185" w:type="pct"/>
                <w:tcBorders>
                  <w:top w:val="dotted" w:sz="4" w:space="0" w:color="auto"/>
                  <w:left w:val="dotted" w:sz="4" w:space="0" w:color="auto"/>
                  <w:bottom w:val="single" w:sz="12" w:space="0" w:color="auto"/>
                  <w:right w:val="nil"/>
                </w:tcBorders>
                <w:vAlign w:val="center"/>
              </w:tcPr>
              <w:p w14:paraId="5A720C54" w14:textId="77777777" w:rsidR="00E57DAA" w:rsidRDefault="00AC4185">
                <w:pPr>
                  <w:jc w:val="right"/>
                  <w:rPr>
                    <w:szCs w:val="21"/>
                  </w:rPr>
                </w:pPr>
                <w:r>
                  <w:rPr>
                    <w:szCs w:val="21"/>
                  </w:rPr>
                  <w:t>87,622,244.31</w:t>
                </w:r>
              </w:p>
            </w:tc>
          </w:tr>
        </w:tbl>
        <w:p w14:paraId="65F4DE7E" w14:textId="77777777" w:rsidR="00E57DAA" w:rsidRDefault="00E57DAA">
          <w:pPr>
            <w:rPr>
              <w:szCs w:val="21"/>
            </w:rPr>
            <w:sectPr w:rsidR="00E57DAA" w:rsidSect="00226547">
              <w:pgSz w:w="11906" w:h="16838"/>
              <w:pgMar w:top="1525" w:right="1276" w:bottom="1440" w:left="1797" w:header="856" w:footer="992" w:gutter="0"/>
              <w:cols w:space="425"/>
              <w:docGrid w:linePitch="312"/>
            </w:sectPr>
          </w:pPr>
        </w:p>
        <w:p w14:paraId="7E0881E7" w14:textId="77777777" w:rsidR="00E57DAA" w:rsidRDefault="00EB41A1">
          <w:pPr>
            <w:rPr>
              <w:szCs w:val="21"/>
            </w:rPr>
          </w:pPr>
        </w:p>
      </w:sdtContent>
    </w:sdt>
    <w:p w14:paraId="276C7DF8" w14:textId="77777777" w:rsidR="00E57DAA" w:rsidRDefault="00AC4185" w:rsidP="00C25422">
      <w:pPr>
        <w:pStyle w:val="91"/>
        <w:numPr>
          <w:ilvl w:val="0"/>
          <w:numId w:val="121"/>
        </w:numPr>
      </w:pPr>
      <w:r>
        <w:rPr>
          <w:rFonts w:hint="eastAsia"/>
        </w:rPr>
        <w:t>应收、应付关联方等未结算项目情况</w:t>
      </w:r>
    </w:p>
    <w:p w14:paraId="08296119" w14:textId="77777777" w:rsidR="00E57DAA" w:rsidRDefault="00AC4185">
      <w:pPr>
        <w:pStyle w:val="4"/>
        <w:numPr>
          <w:ilvl w:val="3"/>
          <w:numId w:val="123"/>
        </w:numPr>
        <w:ind w:left="426" w:hangingChars="202" w:hanging="426"/>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226576944"/>
      </w:sdtPr>
      <w:sdtEndPr/>
      <w:sdtContent>
        <w:p w14:paraId="367EB2EE"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A32CCD" w14:textId="77777777" w:rsidR="00E57DAA" w:rsidRDefault="00AC4185">
      <w:pPr>
        <w:jc w:val="right"/>
        <w:rPr>
          <w:szCs w:val="21"/>
        </w:rPr>
      </w:pPr>
      <w:r>
        <w:rPr>
          <w:rFonts w:hint="eastAsia"/>
          <w:szCs w:val="21"/>
        </w:rPr>
        <w:t>单位:</w:t>
      </w:r>
      <w:sdt>
        <w:sdtPr>
          <w:rPr>
            <w:rFonts w:hint="eastAsia"/>
            <w:szCs w:val="21"/>
          </w:rPr>
          <w:alias w:val="单位：上市公司应收关联方款项"/>
          <w:tag w:val="_GBC_83968b233566404db428b085bcb695b8"/>
          <w:id w:val="-120485777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79771864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3996"/>
        <w:gridCol w:w="1755"/>
        <w:gridCol w:w="1752"/>
        <w:gridCol w:w="1949"/>
        <w:gridCol w:w="2534"/>
      </w:tblGrid>
      <w:tr w:rsidR="00E57DAA" w14:paraId="38C72429" w14:textId="77777777">
        <w:sdt>
          <w:sdtPr>
            <w:tag w:val="_PLD_c0c6dc2d23f94f929199b42c584f57ca"/>
            <w:id w:val="-1360738742"/>
          </w:sdtPr>
          <w:sdtEndPr/>
          <w:sdtContent>
            <w:tc>
              <w:tcPr>
                <w:tcW w:w="677" w:type="pct"/>
                <w:vMerge w:val="restart"/>
                <w:tcBorders>
                  <w:top w:val="single" w:sz="4" w:space="0" w:color="auto"/>
                  <w:left w:val="single" w:sz="4" w:space="0" w:color="auto"/>
                  <w:right w:val="single" w:sz="4" w:space="0" w:color="auto"/>
                </w:tcBorders>
                <w:vAlign w:val="center"/>
              </w:tcPr>
              <w:p w14:paraId="4FFA943B" w14:textId="77777777" w:rsidR="00E57DAA" w:rsidRDefault="00AC4185">
                <w:pPr>
                  <w:jc w:val="center"/>
                  <w:rPr>
                    <w:szCs w:val="21"/>
                  </w:rPr>
                </w:pPr>
                <w:r>
                  <w:rPr>
                    <w:rFonts w:hint="eastAsia"/>
                    <w:szCs w:val="21"/>
                  </w:rPr>
                  <w:t>项目名称</w:t>
                </w:r>
              </w:p>
            </w:tc>
          </w:sdtContent>
        </w:sdt>
        <w:sdt>
          <w:sdtPr>
            <w:tag w:val="_PLD_56aedf077d5c4d3b814d04d193f71af7"/>
            <w:id w:val="1915044655"/>
          </w:sdtPr>
          <w:sdtEndPr/>
          <w:sdtContent>
            <w:tc>
              <w:tcPr>
                <w:tcW w:w="1441" w:type="pct"/>
                <w:vMerge w:val="restart"/>
                <w:tcBorders>
                  <w:top w:val="single" w:sz="4" w:space="0" w:color="auto"/>
                  <w:left w:val="single" w:sz="4" w:space="0" w:color="auto"/>
                  <w:right w:val="single" w:sz="4" w:space="0" w:color="auto"/>
                </w:tcBorders>
                <w:vAlign w:val="center"/>
              </w:tcPr>
              <w:p w14:paraId="5B157A84" w14:textId="77777777" w:rsidR="00E57DAA" w:rsidRDefault="00AC4185">
                <w:pPr>
                  <w:jc w:val="center"/>
                  <w:rPr>
                    <w:szCs w:val="21"/>
                  </w:rPr>
                </w:pPr>
                <w:r>
                  <w:rPr>
                    <w:rFonts w:hint="eastAsia"/>
                    <w:szCs w:val="21"/>
                  </w:rPr>
                  <w:t>关联方</w:t>
                </w:r>
              </w:p>
            </w:tc>
          </w:sdtContent>
        </w:sdt>
        <w:sdt>
          <w:sdtPr>
            <w:tag w:val="_PLD_e8867e7b52fb42f4b447e445a20beebc"/>
            <w:id w:val="-1013293969"/>
          </w:sdtPr>
          <w:sdtEndPr/>
          <w:sdtContent>
            <w:tc>
              <w:tcPr>
                <w:tcW w:w="1265" w:type="pct"/>
                <w:gridSpan w:val="2"/>
                <w:tcBorders>
                  <w:top w:val="single" w:sz="4" w:space="0" w:color="auto"/>
                  <w:left w:val="single" w:sz="4" w:space="0" w:color="auto"/>
                  <w:bottom w:val="single" w:sz="4" w:space="0" w:color="auto"/>
                  <w:right w:val="single" w:sz="4" w:space="0" w:color="auto"/>
                </w:tcBorders>
                <w:vAlign w:val="center"/>
              </w:tcPr>
              <w:p w14:paraId="620A070C" w14:textId="77777777" w:rsidR="00E57DAA" w:rsidRDefault="00AC4185">
                <w:pPr>
                  <w:jc w:val="center"/>
                  <w:rPr>
                    <w:szCs w:val="21"/>
                  </w:rPr>
                </w:pPr>
                <w:r>
                  <w:rPr>
                    <w:rFonts w:hint="eastAsia"/>
                    <w:szCs w:val="21"/>
                  </w:rPr>
                  <w:t>期末余额</w:t>
                </w:r>
              </w:p>
            </w:tc>
          </w:sdtContent>
        </w:sdt>
        <w:sdt>
          <w:sdtPr>
            <w:tag w:val="_PLD_6a4888e558004037a5faac678bea523c"/>
            <w:id w:val="1736126483"/>
          </w:sdtPr>
          <w:sdtEndPr/>
          <w:sdtContent>
            <w:tc>
              <w:tcPr>
                <w:tcW w:w="1617" w:type="pct"/>
                <w:gridSpan w:val="2"/>
                <w:tcBorders>
                  <w:top w:val="single" w:sz="4" w:space="0" w:color="auto"/>
                  <w:left w:val="single" w:sz="4" w:space="0" w:color="auto"/>
                  <w:bottom w:val="single" w:sz="4" w:space="0" w:color="auto"/>
                  <w:right w:val="single" w:sz="4" w:space="0" w:color="auto"/>
                </w:tcBorders>
                <w:vAlign w:val="center"/>
              </w:tcPr>
              <w:p w14:paraId="35BD432F" w14:textId="77777777" w:rsidR="00E57DAA" w:rsidRDefault="00AC4185">
                <w:pPr>
                  <w:jc w:val="center"/>
                  <w:rPr>
                    <w:szCs w:val="21"/>
                  </w:rPr>
                </w:pPr>
                <w:r>
                  <w:rPr>
                    <w:rFonts w:hint="eastAsia"/>
                    <w:szCs w:val="21"/>
                  </w:rPr>
                  <w:t>期初余额</w:t>
                </w:r>
              </w:p>
            </w:tc>
          </w:sdtContent>
        </w:sdt>
      </w:tr>
      <w:tr w:rsidR="00E57DAA" w14:paraId="7A5C2CF9" w14:textId="77777777">
        <w:tc>
          <w:tcPr>
            <w:tcW w:w="677" w:type="pct"/>
            <w:vMerge/>
            <w:tcBorders>
              <w:left w:val="single" w:sz="4" w:space="0" w:color="auto"/>
              <w:bottom w:val="single" w:sz="4" w:space="0" w:color="auto"/>
              <w:right w:val="single" w:sz="4" w:space="0" w:color="auto"/>
            </w:tcBorders>
            <w:vAlign w:val="center"/>
          </w:tcPr>
          <w:p w14:paraId="4AC31AAD" w14:textId="77777777" w:rsidR="00E57DAA" w:rsidRDefault="00E57DAA">
            <w:pPr>
              <w:jc w:val="center"/>
              <w:rPr>
                <w:szCs w:val="21"/>
              </w:rPr>
            </w:pPr>
          </w:p>
        </w:tc>
        <w:tc>
          <w:tcPr>
            <w:tcW w:w="1441" w:type="pct"/>
            <w:vMerge/>
            <w:tcBorders>
              <w:left w:val="single" w:sz="4" w:space="0" w:color="auto"/>
              <w:bottom w:val="single" w:sz="4" w:space="0" w:color="auto"/>
              <w:right w:val="single" w:sz="4" w:space="0" w:color="auto"/>
            </w:tcBorders>
            <w:vAlign w:val="center"/>
          </w:tcPr>
          <w:p w14:paraId="39E33A43" w14:textId="77777777" w:rsidR="00E57DAA" w:rsidRDefault="00E57DAA">
            <w:pPr>
              <w:jc w:val="center"/>
              <w:rPr>
                <w:szCs w:val="21"/>
              </w:rPr>
            </w:pPr>
          </w:p>
        </w:tc>
        <w:sdt>
          <w:sdtPr>
            <w:tag w:val="_PLD_0545f54235344f978e1e8356e1b05042"/>
            <w:id w:val="-1880386128"/>
          </w:sdtPr>
          <w:sdtEndPr/>
          <w:sdtContent>
            <w:tc>
              <w:tcPr>
                <w:tcW w:w="633" w:type="pct"/>
                <w:tcBorders>
                  <w:top w:val="single" w:sz="4" w:space="0" w:color="auto"/>
                  <w:left w:val="single" w:sz="4" w:space="0" w:color="auto"/>
                  <w:bottom w:val="single" w:sz="4" w:space="0" w:color="auto"/>
                  <w:right w:val="single" w:sz="4" w:space="0" w:color="auto"/>
                </w:tcBorders>
                <w:vAlign w:val="center"/>
              </w:tcPr>
              <w:p w14:paraId="5D3EE6E4" w14:textId="77777777" w:rsidR="00E57DAA" w:rsidRDefault="00AC4185">
                <w:pPr>
                  <w:jc w:val="center"/>
                  <w:rPr>
                    <w:szCs w:val="21"/>
                  </w:rPr>
                </w:pPr>
                <w:r>
                  <w:rPr>
                    <w:rFonts w:hint="eastAsia"/>
                    <w:szCs w:val="21"/>
                  </w:rPr>
                  <w:t>账面余额</w:t>
                </w:r>
              </w:p>
            </w:tc>
          </w:sdtContent>
        </w:sdt>
        <w:sdt>
          <w:sdtPr>
            <w:tag w:val="_PLD_9e6982f3b5cd46e9b3be23eda364cd7a"/>
            <w:id w:val="-244801424"/>
          </w:sdtPr>
          <w:sdtEndPr/>
          <w:sdtContent>
            <w:tc>
              <w:tcPr>
                <w:tcW w:w="632" w:type="pct"/>
                <w:tcBorders>
                  <w:top w:val="single" w:sz="4" w:space="0" w:color="auto"/>
                  <w:left w:val="single" w:sz="4" w:space="0" w:color="auto"/>
                  <w:bottom w:val="single" w:sz="4" w:space="0" w:color="auto"/>
                  <w:right w:val="single" w:sz="4" w:space="0" w:color="auto"/>
                </w:tcBorders>
                <w:vAlign w:val="center"/>
              </w:tcPr>
              <w:p w14:paraId="512CAEC4" w14:textId="77777777" w:rsidR="00E57DAA" w:rsidRDefault="00AC4185">
                <w:pPr>
                  <w:jc w:val="center"/>
                  <w:rPr>
                    <w:szCs w:val="21"/>
                  </w:rPr>
                </w:pPr>
                <w:r>
                  <w:rPr>
                    <w:rFonts w:hint="eastAsia"/>
                    <w:szCs w:val="21"/>
                  </w:rPr>
                  <w:t>坏账准备</w:t>
                </w:r>
              </w:p>
            </w:tc>
          </w:sdtContent>
        </w:sdt>
        <w:sdt>
          <w:sdtPr>
            <w:tag w:val="_PLD_5c8e0a4ac99e4539bea932f77317d8de"/>
            <w:id w:val="1117876349"/>
          </w:sdtPr>
          <w:sdtEndPr/>
          <w:sdtContent>
            <w:tc>
              <w:tcPr>
                <w:tcW w:w="703" w:type="pct"/>
                <w:tcBorders>
                  <w:top w:val="single" w:sz="4" w:space="0" w:color="auto"/>
                  <w:left w:val="single" w:sz="4" w:space="0" w:color="auto"/>
                  <w:bottom w:val="single" w:sz="4" w:space="0" w:color="auto"/>
                  <w:right w:val="single" w:sz="4" w:space="0" w:color="auto"/>
                </w:tcBorders>
                <w:vAlign w:val="center"/>
              </w:tcPr>
              <w:p w14:paraId="3A396B4C" w14:textId="77777777" w:rsidR="00E57DAA" w:rsidRDefault="00AC4185">
                <w:pPr>
                  <w:jc w:val="center"/>
                  <w:rPr>
                    <w:szCs w:val="21"/>
                  </w:rPr>
                </w:pPr>
                <w:r>
                  <w:rPr>
                    <w:rFonts w:hint="eastAsia"/>
                    <w:szCs w:val="21"/>
                  </w:rPr>
                  <w:t>账面余额</w:t>
                </w:r>
              </w:p>
            </w:tc>
          </w:sdtContent>
        </w:sdt>
        <w:sdt>
          <w:sdtPr>
            <w:tag w:val="_PLD_c5afa9908d794831a4bc715802a1061d"/>
            <w:id w:val="-1081054068"/>
          </w:sdtPr>
          <w:sdtEndPr/>
          <w:sdtContent>
            <w:tc>
              <w:tcPr>
                <w:tcW w:w="914" w:type="pct"/>
                <w:tcBorders>
                  <w:top w:val="single" w:sz="4" w:space="0" w:color="auto"/>
                  <w:left w:val="single" w:sz="4" w:space="0" w:color="auto"/>
                  <w:bottom w:val="single" w:sz="4" w:space="0" w:color="auto"/>
                  <w:right w:val="single" w:sz="4" w:space="0" w:color="auto"/>
                </w:tcBorders>
                <w:vAlign w:val="center"/>
              </w:tcPr>
              <w:p w14:paraId="47D61122" w14:textId="77777777" w:rsidR="00E57DAA" w:rsidRDefault="00AC4185">
                <w:pPr>
                  <w:jc w:val="center"/>
                  <w:rPr>
                    <w:szCs w:val="21"/>
                  </w:rPr>
                </w:pPr>
                <w:r>
                  <w:rPr>
                    <w:rFonts w:hint="eastAsia"/>
                    <w:szCs w:val="21"/>
                  </w:rPr>
                  <w:t>坏账准备</w:t>
                </w:r>
              </w:p>
            </w:tc>
          </w:sdtContent>
        </w:sdt>
      </w:tr>
      <w:tr w:rsidR="00E57DAA" w14:paraId="46AFAB2A" w14:textId="77777777">
        <w:tc>
          <w:tcPr>
            <w:tcW w:w="677" w:type="pct"/>
            <w:tcBorders>
              <w:top w:val="single" w:sz="4" w:space="0" w:color="auto"/>
              <w:left w:val="single" w:sz="4" w:space="0" w:color="auto"/>
              <w:bottom w:val="single" w:sz="4" w:space="0" w:color="auto"/>
              <w:right w:val="single" w:sz="4" w:space="0" w:color="auto"/>
            </w:tcBorders>
            <w:vAlign w:val="center"/>
          </w:tcPr>
          <w:p w14:paraId="3D3654AD"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685B5360"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129A849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CDE1C6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FF3888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CCAAF30" w14:textId="77777777" w:rsidR="00E57DAA" w:rsidRDefault="00AC4185">
            <w:pPr>
              <w:autoSpaceDE w:val="0"/>
              <w:autoSpaceDN w:val="0"/>
              <w:adjustRightInd w:val="0"/>
              <w:jc w:val="right"/>
              <w:rPr>
                <w:szCs w:val="21"/>
              </w:rPr>
            </w:pPr>
            <w:r>
              <w:t xml:space="preserve">　</w:t>
            </w:r>
          </w:p>
        </w:tc>
      </w:tr>
      <w:tr w:rsidR="00E57DAA" w14:paraId="377EAAE5" w14:textId="77777777">
        <w:tc>
          <w:tcPr>
            <w:tcW w:w="677" w:type="pct"/>
            <w:tcBorders>
              <w:top w:val="single" w:sz="4" w:space="0" w:color="auto"/>
              <w:left w:val="single" w:sz="4" w:space="0" w:color="auto"/>
              <w:bottom w:val="single" w:sz="4" w:space="0" w:color="auto"/>
              <w:right w:val="single" w:sz="4" w:space="0" w:color="auto"/>
            </w:tcBorders>
            <w:vAlign w:val="center"/>
          </w:tcPr>
          <w:p w14:paraId="5C464538"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0EDA62D1" w14:textId="77777777" w:rsidR="00E57DAA" w:rsidRDefault="00AC4185">
            <w:pPr>
              <w:autoSpaceDE w:val="0"/>
              <w:autoSpaceDN w:val="0"/>
              <w:adjustRightInd w:val="0"/>
              <w:rPr>
                <w:szCs w:val="21"/>
              </w:rPr>
            </w:pPr>
            <w:r>
              <w:t>湖州槐坎南方水泥有限公司</w:t>
            </w:r>
          </w:p>
        </w:tc>
        <w:tc>
          <w:tcPr>
            <w:tcW w:w="633" w:type="pct"/>
            <w:tcBorders>
              <w:top w:val="single" w:sz="4" w:space="0" w:color="auto"/>
              <w:left w:val="single" w:sz="4" w:space="0" w:color="auto"/>
              <w:bottom w:val="single" w:sz="4" w:space="0" w:color="auto"/>
              <w:right w:val="single" w:sz="4" w:space="0" w:color="auto"/>
            </w:tcBorders>
          </w:tcPr>
          <w:p w14:paraId="6B0DADDC"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06D3CB2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62494B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46A279E" w14:textId="77777777" w:rsidR="00E57DAA" w:rsidRDefault="00AC4185">
            <w:pPr>
              <w:autoSpaceDE w:val="0"/>
              <w:autoSpaceDN w:val="0"/>
              <w:adjustRightInd w:val="0"/>
              <w:jc w:val="right"/>
              <w:rPr>
                <w:szCs w:val="21"/>
              </w:rPr>
            </w:pPr>
            <w:r>
              <w:t xml:space="preserve">　</w:t>
            </w:r>
          </w:p>
        </w:tc>
      </w:tr>
      <w:tr w:rsidR="00E57DAA" w14:paraId="27D56CF3" w14:textId="77777777">
        <w:tc>
          <w:tcPr>
            <w:tcW w:w="677" w:type="pct"/>
            <w:tcBorders>
              <w:top w:val="single" w:sz="4" w:space="0" w:color="auto"/>
              <w:left w:val="single" w:sz="4" w:space="0" w:color="auto"/>
              <w:bottom w:val="single" w:sz="4" w:space="0" w:color="auto"/>
              <w:right w:val="single" w:sz="4" w:space="0" w:color="auto"/>
            </w:tcBorders>
            <w:vAlign w:val="center"/>
          </w:tcPr>
          <w:p w14:paraId="116EEC82"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6773FE7B" w14:textId="77777777" w:rsidR="00E57DAA" w:rsidRDefault="00AC4185">
            <w:pPr>
              <w:autoSpaceDE w:val="0"/>
              <w:autoSpaceDN w:val="0"/>
              <w:adjustRightInd w:val="0"/>
              <w:rPr>
                <w:szCs w:val="21"/>
              </w:rPr>
            </w:pPr>
            <w:r>
              <w:t>南方水泥有限公司</w:t>
            </w:r>
          </w:p>
        </w:tc>
        <w:tc>
          <w:tcPr>
            <w:tcW w:w="633" w:type="pct"/>
            <w:tcBorders>
              <w:top w:val="single" w:sz="4" w:space="0" w:color="auto"/>
              <w:left w:val="single" w:sz="4" w:space="0" w:color="auto"/>
              <w:bottom w:val="single" w:sz="4" w:space="0" w:color="auto"/>
              <w:right w:val="single" w:sz="4" w:space="0" w:color="auto"/>
            </w:tcBorders>
          </w:tcPr>
          <w:p w14:paraId="67F6AAEB" w14:textId="77777777" w:rsidR="00E57DAA" w:rsidRDefault="00AC4185">
            <w:pPr>
              <w:autoSpaceDE w:val="0"/>
              <w:autoSpaceDN w:val="0"/>
              <w:adjustRightInd w:val="0"/>
              <w:jc w:val="right"/>
              <w:rPr>
                <w:szCs w:val="21"/>
              </w:rPr>
            </w:pPr>
            <w:r>
              <w:t>850,000.00</w:t>
            </w:r>
          </w:p>
        </w:tc>
        <w:tc>
          <w:tcPr>
            <w:tcW w:w="632" w:type="pct"/>
            <w:tcBorders>
              <w:top w:val="single" w:sz="4" w:space="0" w:color="auto"/>
              <w:left w:val="single" w:sz="4" w:space="0" w:color="auto"/>
              <w:bottom w:val="single" w:sz="4" w:space="0" w:color="auto"/>
              <w:right w:val="single" w:sz="4" w:space="0" w:color="auto"/>
            </w:tcBorders>
          </w:tcPr>
          <w:p w14:paraId="7D07EB5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3DC26A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FC37111" w14:textId="77777777" w:rsidR="00E57DAA" w:rsidRDefault="00AC4185">
            <w:pPr>
              <w:autoSpaceDE w:val="0"/>
              <w:autoSpaceDN w:val="0"/>
              <w:adjustRightInd w:val="0"/>
              <w:jc w:val="right"/>
              <w:rPr>
                <w:szCs w:val="21"/>
              </w:rPr>
            </w:pPr>
            <w:r>
              <w:t xml:space="preserve">　</w:t>
            </w:r>
          </w:p>
        </w:tc>
      </w:tr>
      <w:tr w:rsidR="00E57DAA" w14:paraId="62FB21F6" w14:textId="77777777">
        <w:tc>
          <w:tcPr>
            <w:tcW w:w="677" w:type="pct"/>
            <w:tcBorders>
              <w:top w:val="single" w:sz="4" w:space="0" w:color="auto"/>
              <w:left w:val="single" w:sz="4" w:space="0" w:color="auto"/>
              <w:bottom w:val="single" w:sz="4" w:space="0" w:color="auto"/>
              <w:right w:val="single" w:sz="4" w:space="0" w:color="auto"/>
            </w:tcBorders>
            <w:vAlign w:val="center"/>
          </w:tcPr>
          <w:p w14:paraId="41C15C9A"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320A4DDF" w14:textId="77777777" w:rsidR="00E57DAA" w:rsidRDefault="00AC4185">
            <w:pPr>
              <w:autoSpaceDE w:val="0"/>
              <w:autoSpaceDN w:val="0"/>
              <w:adjustRightInd w:val="0"/>
              <w:rPr>
                <w:szCs w:val="21"/>
              </w:rPr>
            </w:pPr>
            <w:r>
              <w:t>浙江南方水泥有限公司</w:t>
            </w:r>
          </w:p>
        </w:tc>
        <w:tc>
          <w:tcPr>
            <w:tcW w:w="633" w:type="pct"/>
            <w:tcBorders>
              <w:top w:val="single" w:sz="4" w:space="0" w:color="auto"/>
              <w:left w:val="single" w:sz="4" w:space="0" w:color="auto"/>
              <w:bottom w:val="single" w:sz="4" w:space="0" w:color="auto"/>
              <w:right w:val="single" w:sz="4" w:space="0" w:color="auto"/>
            </w:tcBorders>
          </w:tcPr>
          <w:p w14:paraId="505A3A41" w14:textId="77777777" w:rsidR="00E57DAA" w:rsidRDefault="00AC4185">
            <w:pPr>
              <w:autoSpaceDE w:val="0"/>
              <w:autoSpaceDN w:val="0"/>
              <w:adjustRightInd w:val="0"/>
              <w:jc w:val="right"/>
              <w:rPr>
                <w:szCs w:val="21"/>
              </w:rPr>
            </w:pPr>
            <w:r>
              <w:t>700,000.00</w:t>
            </w:r>
          </w:p>
        </w:tc>
        <w:tc>
          <w:tcPr>
            <w:tcW w:w="632" w:type="pct"/>
            <w:tcBorders>
              <w:top w:val="single" w:sz="4" w:space="0" w:color="auto"/>
              <w:left w:val="single" w:sz="4" w:space="0" w:color="auto"/>
              <w:bottom w:val="single" w:sz="4" w:space="0" w:color="auto"/>
              <w:right w:val="single" w:sz="4" w:space="0" w:color="auto"/>
            </w:tcBorders>
          </w:tcPr>
          <w:p w14:paraId="3079AC1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6CB344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CA1B71F" w14:textId="77777777" w:rsidR="00E57DAA" w:rsidRDefault="00AC4185">
            <w:pPr>
              <w:autoSpaceDE w:val="0"/>
              <w:autoSpaceDN w:val="0"/>
              <w:adjustRightInd w:val="0"/>
              <w:jc w:val="right"/>
              <w:rPr>
                <w:szCs w:val="21"/>
              </w:rPr>
            </w:pPr>
            <w:r>
              <w:t xml:space="preserve">　</w:t>
            </w:r>
          </w:p>
        </w:tc>
      </w:tr>
      <w:tr w:rsidR="00E57DAA" w14:paraId="1A5FB2A8" w14:textId="77777777">
        <w:tc>
          <w:tcPr>
            <w:tcW w:w="677" w:type="pct"/>
            <w:tcBorders>
              <w:top w:val="single" w:sz="4" w:space="0" w:color="auto"/>
              <w:left w:val="single" w:sz="4" w:space="0" w:color="auto"/>
              <w:bottom w:val="single" w:sz="4" w:space="0" w:color="auto"/>
              <w:right w:val="single" w:sz="4" w:space="0" w:color="auto"/>
            </w:tcBorders>
            <w:vAlign w:val="center"/>
          </w:tcPr>
          <w:p w14:paraId="5752C464"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1D450AFE" w14:textId="77777777" w:rsidR="00E57DAA" w:rsidRDefault="00AC4185">
            <w:pPr>
              <w:autoSpaceDE w:val="0"/>
              <w:autoSpaceDN w:val="0"/>
              <w:adjustRightInd w:val="0"/>
              <w:rPr>
                <w:szCs w:val="21"/>
              </w:rPr>
            </w:pPr>
            <w:r>
              <w:t>长兴南方水泥有限公司</w:t>
            </w:r>
          </w:p>
        </w:tc>
        <w:tc>
          <w:tcPr>
            <w:tcW w:w="633" w:type="pct"/>
            <w:tcBorders>
              <w:top w:val="single" w:sz="4" w:space="0" w:color="auto"/>
              <w:left w:val="single" w:sz="4" w:space="0" w:color="auto"/>
              <w:bottom w:val="single" w:sz="4" w:space="0" w:color="auto"/>
              <w:right w:val="single" w:sz="4" w:space="0" w:color="auto"/>
            </w:tcBorders>
          </w:tcPr>
          <w:p w14:paraId="7CC383DE" w14:textId="77777777" w:rsidR="00E57DAA" w:rsidRDefault="00AC4185">
            <w:pPr>
              <w:autoSpaceDE w:val="0"/>
              <w:autoSpaceDN w:val="0"/>
              <w:adjustRightInd w:val="0"/>
              <w:jc w:val="right"/>
              <w:rPr>
                <w:szCs w:val="21"/>
              </w:rPr>
            </w:pPr>
            <w:r>
              <w:t>696,000.00</w:t>
            </w:r>
          </w:p>
        </w:tc>
        <w:tc>
          <w:tcPr>
            <w:tcW w:w="632" w:type="pct"/>
            <w:tcBorders>
              <w:top w:val="single" w:sz="4" w:space="0" w:color="auto"/>
              <w:left w:val="single" w:sz="4" w:space="0" w:color="auto"/>
              <w:bottom w:val="single" w:sz="4" w:space="0" w:color="auto"/>
              <w:right w:val="single" w:sz="4" w:space="0" w:color="auto"/>
            </w:tcBorders>
          </w:tcPr>
          <w:p w14:paraId="73A6D46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23078A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89229EF" w14:textId="77777777" w:rsidR="00E57DAA" w:rsidRDefault="00AC4185">
            <w:pPr>
              <w:autoSpaceDE w:val="0"/>
              <w:autoSpaceDN w:val="0"/>
              <w:adjustRightInd w:val="0"/>
              <w:jc w:val="right"/>
              <w:rPr>
                <w:szCs w:val="21"/>
              </w:rPr>
            </w:pPr>
            <w:r>
              <w:t xml:space="preserve">　</w:t>
            </w:r>
          </w:p>
        </w:tc>
      </w:tr>
      <w:tr w:rsidR="00E57DAA" w14:paraId="73E13F9E" w14:textId="77777777">
        <w:tc>
          <w:tcPr>
            <w:tcW w:w="677" w:type="pct"/>
            <w:tcBorders>
              <w:top w:val="single" w:sz="4" w:space="0" w:color="auto"/>
              <w:left w:val="single" w:sz="4" w:space="0" w:color="auto"/>
              <w:bottom w:val="single" w:sz="4" w:space="0" w:color="auto"/>
              <w:right w:val="single" w:sz="4" w:space="0" w:color="auto"/>
            </w:tcBorders>
            <w:vAlign w:val="center"/>
          </w:tcPr>
          <w:p w14:paraId="6455A22F"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443BC608" w14:textId="77777777" w:rsidR="00E57DAA" w:rsidRDefault="00AC4185">
            <w:pPr>
              <w:autoSpaceDE w:val="0"/>
              <w:autoSpaceDN w:val="0"/>
              <w:adjustRightInd w:val="0"/>
              <w:rPr>
                <w:szCs w:val="21"/>
              </w:rPr>
            </w:pPr>
            <w:r>
              <w:t>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4428FC65" w14:textId="77777777" w:rsidR="00E57DAA" w:rsidRDefault="00AC4185">
            <w:pPr>
              <w:autoSpaceDE w:val="0"/>
              <w:autoSpaceDN w:val="0"/>
              <w:adjustRightInd w:val="0"/>
              <w:jc w:val="right"/>
              <w:rPr>
                <w:szCs w:val="21"/>
              </w:rPr>
            </w:pPr>
            <w:r>
              <w:t>400,000.00</w:t>
            </w:r>
          </w:p>
        </w:tc>
        <w:tc>
          <w:tcPr>
            <w:tcW w:w="632" w:type="pct"/>
            <w:tcBorders>
              <w:top w:val="single" w:sz="4" w:space="0" w:color="auto"/>
              <w:left w:val="single" w:sz="4" w:space="0" w:color="auto"/>
              <w:bottom w:val="single" w:sz="4" w:space="0" w:color="auto"/>
              <w:right w:val="single" w:sz="4" w:space="0" w:color="auto"/>
            </w:tcBorders>
          </w:tcPr>
          <w:p w14:paraId="7367803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4AE896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6DB3DDF" w14:textId="77777777" w:rsidR="00E57DAA" w:rsidRDefault="00AC4185">
            <w:pPr>
              <w:autoSpaceDE w:val="0"/>
              <w:autoSpaceDN w:val="0"/>
              <w:adjustRightInd w:val="0"/>
              <w:jc w:val="right"/>
              <w:rPr>
                <w:szCs w:val="21"/>
              </w:rPr>
            </w:pPr>
            <w:r>
              <w:t xml:space="preserve">　</w:t>
            </w:r>
          </w:p>
        </w:tc>
      </w:tr>
      <w:tr w:rsidR="00E57DAA" w14:paraId="22F8B362" w14:textId="77777777">
        <w:tc>
          <w:tcPr>
            <w:tcW w:w="677" w:type="pct"/>
            <w:tcBorders>
              <w:top w:val="single" w:sz="4" w:space="0" w:color="auto"/>
              <w:left w:val="single" w:sz="4" w:space="0" w:color="auto"/>
              <w:bottom w:val="single" w:sz="4" w:space="0" w:color="auto"/>
              <w:right w:val="single" w:sz="4" w:space="0" w:color="auto"/>
            </w:tcBorders>
            <w:vAlign w:val="center"/>
          </w:tcPr>
          <w:p w14:paraId="235285AA"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2FDE8893"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072A43A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B710AE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ABBCEC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1F79AC1" w14:textId="77777777" w:rsidR="00E57DAA" w:rsidRDefault="00AC4185">
            <w:pPr>
              <w:autoSpaceDE w:val="0"/>
              <w:autoSpaceDN w:val="0"/>
              <w:adjustRightInd w:val="0"/>
              <w:jc w:val="right"/>
              <w:rPr>
                <w:szCs w:val="21"/>
              </w:rPr>
            </w:pPr>
            <w:r>
              <w:t xml:space="preserve">　</w:t>
            </w:r>
          </w:p>
        </w:tc>
      </w:tr>
      <w:tr w:rsidR="00E57DAA" w14:paraId="245F5C1D" w14:textId="77777777">
        <w:tc>
          <w:tcPr>
            <w:tcW w:w="677" w:type="pct"/>
            <w:tcBorders>
              <w:top w:val="single" w:sz="4" w:space="0" w:color="auto"/>
              <w:left w:val="single" w:sz="4" w:space="0" w:color="auto"/>
              <w:bottom w:val="single" w:sz="4" w:space="0" w:color="auto"/>
              <w:right w:val="single" w:sz="4" w:space="0" w:color="auto"/>
            </w:tcBorders>
            <w:vAlign w:val="center"/>
          </w:tcPr>
          <w:p w14:paraId="3A068534" w14:textId="77777777" w:rsidR="00E57DAA" w:rsidRDefault="00AC4185">
            <w:pPr>
              <w:autoSpaceDE w:val="0"/>
              <w:autoSpaceDN w:val="0"/>
              <w:adjustRightInd w:val="0"/>
              <w:rPr>
                <w:szCs w:val="21"/>
              </w:rPr>
            </w:pPr>
            <w:r>
              <w:t>应收票据</w:t>
            </w:r>
          </w:p>
        </w:tc>
        <w:tc>
          <w:tcPr>
            <w:tcW w:w="1441" w:type="pct"/>
            <w:tcBorders>
              <w:top w:val="single" w:sz="4" w:space="0" w:color="auto"/>
              <w:left w:val="single" w:sz="4" w:space="0" w:color="auto"/>
              <w:bottom w:val="single" w:sz="4" w:space="0" w:color="auto"/>
              <w:right w:val="single" w:sz="4" w:space="0" w:color="auto"/>
            </w:tcBorders>
          </w:tcPr>
          <w:p w14:paraId="2730E420"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19AC5700" w14:textId="77777777" w:rsidR="00E57DAA" w:rsidRDefault="00AC4185">
            <w:pPr>
              <w:autoSpaceDE w:val="0"/>
              <w:autoSpaceDN w:val="0"/>
              <w:adjustRightInd w:val="0"/>
              <w:jc w:val="right"/>
              <w:rPr>
                <w:szCs w:val="21"/>
              </w:rPr>
            </w:pPr>
            <w:r>
              <w:t>1,596,000.00</w:t>
            </w:r>
          </w:p>
        </w:tc>
        <w:tc>
          <w:tcPr>
            <w:tcW w:w="632" w:type="pct"/>
            <w:tcBorders>
              <w:top w:val="single" w:sz="4" w:space="0" w:color="auto"/>
              <w:left w:val="single" w:sz="4" w:space="0" w:color="auto"/>
              <w:bottom w:val="single" w:sz="4" w:space="0" w:color="auto"/>
              <w:right w:val="single" w:sz="4" w:space="0" w:color="auto"/>
            </w:tcBorders>
          </w:tcPr>
          <w:p w14:paraId="0392576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02F809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96575A7" w14:textId="77777777" w:rsidR="00E57DAA" w:rsidRDefault="00AC4185">
            <w:pPr>
              <w:autoSpaceDE w:val="0"/>
              <w:autoSpaceDN w:val="0"/>
              <w:adjustRightInd w:val="0"/>
              <w:jc w:val="right"/>
              <w:rPr>
                <w:szCs w:val="21"/>
              </w:rPr>
            </w:pPr>
            <w:r>
              <w:t xml:space="preserve">　</w:t>
            </w:r>
          </w:p>
        </w:tc>
      </w:tr>
      <w:tr w:rsidR="00E57DAA" w14:paraId="42155FEC" w14:textId="77777777">
        <w:tc>
          <w:tcPr>
            <w:tcW w:w="677" w:type="pct"/>
            <w:tcBorders>
              <w:top w:val="single" w:sz="4" w:space="0" w:color="auto"/>
              <w:left w:val="single" w:sz="4" w:space="0" w:color="auto"/>
              <w:bottom w:val="single" w:sz="4" w:space="0" w:color="auto"/>
              <w:right w:val="single" w:sz="4" w:space="0" w:color="auto"/>
            </w:tcBorders>
            <w:vAlign w:val="center"/>
          </w:tcPr>
          <w:p w14:paraId="795D9335"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15E54DD2" w14:textId="77777777" w:rsidR="00E57DAA" w:rsidRDefault="00AC4185">
            <w:pPr>
              <w:autoSpaceDE w:val="0"/>
              <w:autoSpaceDN w:val="0"/>
              <w:adjustRightInd w:val="0"/>
              <w:rPr>
                <w:szCs w:val="21"/>
              </w:rPr>
            </w:pPr>
            <w:r>
              <w:t>联营企业</w:t>
            </w:r>
          </w:p>
        </w:tc>
        <w:tc>
          <w:tcPr>
            <w:tcW w:w="633" w:type="pct"/>
            <w:tcBorders>
              <w:top w:val="single" w:sz="4" w:space="0" w:color="auto"/>
              <w:left w:val="single" w:sz="4" w:space="0" w:color="auto"/>
              <w:bottom w:val="single" w:sz="4" w:space="0" w:color="auto"/>
              <w:right w:val="single" w:sz="4" w:space="0" w:color="auto"/>
            </w:tcBorders>
          </w:tcPr>
          <w:p w14:paraId="18E7249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674852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F244AF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E5D7319" w14:textId="77777777" w:rsidR="00E57DAA" w:rsidRDefault="00AC4185">
            <w:pPr>
              <w:autoSpaceDE w:val="0"/>
              <w:autoSpaceDN w:val="0"/>
              <w:adjustRightInd w:val="0"/>
              <w:jc w:val="right"/>
              <w:rPr>
                <w:szCs w:val="21"/>
              </w:rPr>
            </w:pPr>
            <w:r>
              <w:t xml:space="preserve">　</w:t>
            </w:r>
          </w:p>
        </w:tc>
      </w:tr>
      <w:tr w:rsidR="00E57DAA" w14:paraId="0E9149A9" w14:textId="77777777">
        <w:tc>
          <w:tcPr>
            <w:tcW w:w="677" w:type="pct"/>
            <w:tcBorders>
              <w:top w:val="single" w:sz="4" w:space="0" w:color="auto"/>
              <w:left w:val="single" w:sz="4" w:space="0" w:color="auto"/>
              <w:bottom w:val="single" w:sz="4" w:space="0" w:color="auto"/>
              <w:right w:val="single" w:sz="4" w:space="0" w:color="auto"/>
            </w:tcBorders>
            <w:vAlign w:val="center"/>
          </w:tcPr>
          <w:p w14:paraId="490DB26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D82192C" w14:textId="77777777" w:rsidR="00E57DAA" w:rsidRDefault="00AC4185">
            <w:pPr>
              <w:autoSpaceDE w:val="0"/>
              <w:autoSpaceDN w:val="0"/>
              <w:adjustRightInd w:val="0"/>
              <w:rPr>
                <w:szCs w:val="21"/>
              </w:rPr>
            </w:pPr>
            <w:r>
              <w:t>安顺中安铁源建设工程有限公司</w:t>
            </w:r>
          </w:p>
        </w:tc>
        <w:tc>
          <w:tcPr>
            <w:tcW w:w="633" w:type="pct"/>
            <w:tcBorders>
              <w:top w:val="single" w:sz="4" w:space="0" w:color="auto"/>
              <w:left w:val="single" w:sz="4" w:space="0" w:color="auto"/>
              <w:bottom w:val="single" w:sz="4" w:space="0" w:color="auto"/>
              <w:right w:val="single" w:sz="4" w:space="0" w:color="auto"/>
            </w:tcBorders>
          </w:tcPr>
          <w:p w14:paraId="730C7B35" w14:textId="77777777" w:rsidR="00E57DAA" w:rsidRDefault="00AC4185">
            <w:pPr>
              <w:autoSpaceDE w:val="0"/>
              <w:autoSpaceDN w:val="0"/>
              <w:adjustRightInd w:val="0"/>
              <w:jc w:val="right"/>
              <w:rPr>
                <w:szCs w:val="21"/>
              </w:rPr>
            </w:pPr>
            <w:r>
              <w:t>65,503,354.37</w:t>
            </w:r>
          </w:p>
        </w:tc>
        <w:tc>
          <w:tcPr>
            <w:tcW w:w="632" w:type="pct"/>
            <w:tcBorders>
              <w:top w:val="single" w:sz="4" w:space="0" w:color="auto"/>
              <w:left w:val="single" w:sz="4" w:space="0" w:color="auto"/>
              <w:bottom w:val="single" w:sz="4" w:space="0" w:color="auto"/>
              <w:right w:val="single" w:sz="4" w:space="0" w:color="auto"/>
            </w:tcBorders>
          </w:tcPr>
          <w:p w14:paraId="40DF925F" w14:textId="77777777" w:rsidR="00E57DAA" w:rsidRDefault="00AC4185">
            <w:pPr>
              <w:autoSpaceDE w:val="0"/>
              <w:autoSpaceDN w:val="0"/>
              <w:adjustRightInd w:val="0"/>
              <w:jc w:val="right"/>
              <w:rPr>
                <w:szCs w:val="21"/>
              </w:rPr>
            </w:pPr>
            <w:r>
              <w:t>50,566,212.33</w:t>
            </w:r>
          </w:p>
        </w:tc>
        <w:tc>
          <w:tcPr>
            <w:tcW w:w="703" w:type="pct"/>
            <w:tcBorders>
              <w:top w:val="single" w:sz="4" w:space="0" w:color="auto"/>
              <w:left w:val="single" w:sz="4" w:space="0" w:color="auto"/>
              <w:bottom w:val="single" w:sz="4" w:space="0" w:color="auto"/>
              <w:right w:val="single" w:sz="4" w:space="0" w:color="auto"/>
            </w:tcBorders>
          </w:tcPr>
          <w:p w14:paraId="5BFF1290" w14:textId="77777777" w:rsidR="00E57DAA" w:rsidRDefault="00AC4185">
            <w:pPr>
              <w:autoSpaceDE w:val="0"/>
              <w:autoSpaceDN w:val="0"/>
              <w:adjustRightInd w:val="0"/>
              <w:jc w:val="right"/>
              <w:rPr>
                <w:szCs w:val="21"/>
              </w:rPr>
            </w:pPr>
            <w:r>
              <w:t>71,459,586.37</w:t>
            </w:r>
          </w:p>
        </w:tc>
        <w:tc>
          <w:tcPr>
            <w:tcW w:w="914" w:type="pct"/>
            <w:tcBorders>
              <w:top w:val="single" w:sz="4" w:space="0" w:color="auto"/>
              <w:left w:val="single" w:sz="4" w:space="0" w:color="auto"/>
              <w:bottom w:val="single" w:sz="4" w:space="0" w:color="auto"/>
              <w:right w:val="single" w:sz="4" w:space="0" w:color="auto"/>
            </w:tcBorders>
          </w:tcPr>
          <w:p w14:paraId="63780629" w14:textId="77777777" w:rsidR="00E57DAA" w:rsidRDefault="00AC4185">
            <w:pPr>
              <w:autoSpaceDE w:val="0"/>
              <w:autoSpaceDN w:val="0"/>
              <w:adjustRightInd w:val="0"/>
              <w:jc w:val="right"/>
              <w:rPr>
                <w:szCs w:val="21"/>
              </w:rPr>
            </w:pPr>
            <w:r>
              <w:t>24,457,076.99</w:t>
            </w:r>
          </w:p>
        </w:tc>
      </w:tr>
      <w:tr w:rsidR="00E57DAA" w14:paraId="06EA8785" w14:textId="77777777">
        <w:tc>
          <w:tcPr>
            <w:tcW w:w="677" w:type="pct"/>
            <w:tcBorders>
              <w:top w:val="single" w:sz="4" w:space="0" w:color="auto"/>
              <w:left w:val="single" w:sz="4" w:space="0" w:color="auto"/>
              <w:bottom w:val="single" w:sz="4" w:space="0" w:color="auto"/>
              <w:right w:val="single" w:sz="4" w:space="0" w:color="auto"/>
            </w:tcBorders>
            <w:vAlign w:val="center"/>
          </w:tcPr>
          <w:p w14:paraId="76C3880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6472247" w14:textId="77777777" w:rsidR="00E57DAA" w:rsidRDefault="00AC4185">
            <w:pPr>
              <w:autoSpaceDE w:val="0"/>
              <w:autoSpaceDN w:val="0"/>
              <w:adjustRightInd w:val="0"/>
              <w:rPr>
                <w:szCs w:val="21"/>
              </w:rPr>
            </w:pPr>
            <w:r>
              <w:t>安徽长江环境科技有限公司</w:t>
            </w:r>
          </w:p>
        </w:tc>
        <w:tc>
          <w:tcPr>
            <w:tcW w:w="633" w:type="pct"/>
            <w:tcBorders>
              <w:top w:val="single" w:sz="4" w:space="0" w:color="auto"/>
              <w:left w:val="single" w:sz="4" w:space="0" w:color="auto"/>
              <w:bottom w:val="single" w:sz="4" w:space="0" w:color="auto"/>
              <w:right w:val="single" w:sz="4" w:space="0" w:color="auto"/>
            </w:tcBorders>
          </w:tcPr>
          <w:p w14:paraId="31FAE99E" w14:textId="77777777" w:rsidR="00E57DAA" w:rsidRDefault="00AC4185">
            <w:pPr>
              <w:autoSpaceDE w:val="0"/>
              <w:autoSpaceDN w:val="0"/>
              <w:adjustRightInd w:val="0"/>
              <w:jc w:val="right"/>
              <w:rPr>
                <w:szCs w:val="21"/>
              </w:rPr>
            </w:pPr>
            <w:r>
              <w:t>58,139,773.84</w:t>
            </w:r>
          </w:p>
        </w:tc>
        <w:tc>
          <w:tcPr>
            <w:tcW w:w="632" w:type="pct"/>
            <w:tcBorders>
              <w:top w:val="single" w:sz="4" w:space="0" w:color="auto"/>
              <w:left w:val="single" w:sz="4" w:space="0" w:color="auto"/>
              <w:bottom w:val="single" w:sz="4" w:space="0" w:color="auto"/>
              <w:right w:val="single" w:sz="4" w:space="0" w:color="auto"/>
            </w:tcBorders>
          </w:tcPr>
          <w:p w14:paraId="01E1147D" w14:textId="77777777" w:rsidR="00E57DAA" w:rsidRDefault="00AC4185">
            <w:pPr>
              <w:autoSpaceDE w:val="0"/>
              <w:autoSpaceDN w:val="0"/>
              <w:adjustRightInd w:val="0"/>
              <w:jc w:val="right"/>
              <w:rPr>
                <w:szCs w:val="21"/>
              </w:rPr>
            </w:pPr>
            <w:r>
              <w:t>2,774,693.92</w:t>
            </w:r>
          </w:p>
        </w:tc>
        <w:tc>
          <w:tcPr>
            <w:tcW w:w="703" w:type="pct"/>
            <w:tcBorders>
              <w:top w:val="single" w:sz="4" w:space="0" w:color="auto"/>
              <w:left w:val="single" w:sz="4" w:space="0" w:color="auto"/>
              <w:bottom w:val="single" w:sz="4" w:space="0" w:color="auto"/>
              <w:right w:val="single" w:sz="4" w:space="0" w:color="auto"/>
            </w:tcBorders>
          </w:tcPr>
          <w:p w14:paraId="32DBBAD4" w14:textId="77777777" w:rsidR="00E57DAA" w:rsidRDefault="00AC4185">
            <w:pPr>
              <w:autoSpaceDE w:val="0"/>
              <w:autoSpaceDN w:val="0"/>
              <w:adjustRightInd w:val="0"/>
              <w:jc w:val="right"/>
              <w:rPr>
                <w:szCs w:val="21"/>
              </w:rPr>
            </w:pPr>
            <w:r>
              <w:t>38,099,082.57</w:t>
            </w:r>
          </w:p>
        </w:tc>
        <w:tc>
          <w:tcPr>
            <w:tcW w:w="914" w:type="pct"/>
            <w:tcBorders>
              <w:top w:val="single" w:sz="4" w:space="0" w:color="auto"/>
              <w:left w:val="single" w:sz="4" w:space="0" w:color="auto"/>
              <w:bottom w:val="single" w:sz="4" w:space="0" w:color="auto"/>
              <w:right w:val="single" w:sz="4" w:space="0" w:color="auto"/>
            </w:tcBorders>
          </w:tcPr>
          <w:p w14:paraId="329B326E" w14:textId="77777777" w:rsidR="00E57DAA" w:rsidRDefault="00AC4185">
            <w:pPr>
              <w:autoSpaceDE w:val="0"/>
              <w:autoSpaceDN w:val="0"/>
              <w:adjustRightInd w:val="0"/>
              <w:jc w:val="right"/>
              <w:rPr>
                <w:szCs w:val="21"/>
              </w:rPr>
            </w:pPr>
            <w:r>
              <w:t>902,948.26</w:t>
            </w:r>
          </w:p>
        </w:tc>
      </w:tr>
      <w:tr w:rsidR="00E57DAA" w14:paraId="13F85316" w14:textId="77777777">
        <w:tc>
          <w:tcPr>
            <w:tcW w:w="677" w:type="pct"/>
            <w:tcBorders>
              <w:top w:val="single" w:sz="4" w:space="0" w:color="auto"/>
              <w:left w:val="single" w:sz="4" w:space="0" w:color="auto"/>
              <w:bottom w:val="single" w:sz="4" w:space="0" w:color="auto"/>
              <w:right w:val="single" w:sz="4" w:space="0" w:color="auto"/>
            </w:tcBorders>
            <w:vAlign w:val="center"/>
          </w:tcPr>
          <w:p w14:paraId="6E5DBFD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D94D892" w14:textId="77777777" w:rsidR="00E57DAA" w:rsidRDefault="00AC4185">
            <w:pPr>
              <w:autoSpaceDE w:val="0"/>
              <w:autoSpaceDN w:val="0"/>
              <w:adjustRightInd w:val="0"/>
              <w:rPr>
                <w:szCs w:val="21"/>
              </w:rPr>
            </w:pPr>
            <w:r>
              <w:t>中国建材尼日利亚新材料有限公司</w:t>
            </w:r>
          </w:p>
        </w:tc>
        <w:tc>
          <w:tcPr>
            <w:tcW w:w="633" w:type="pct"/>
            <w:tcBorders>
              <w:top w:val="single" w:sz="4" w:space="0" w:color="auto"/>
              <w:left w:val="single" w:sz="4" w:space="0" w:color="auto"/>
              <w:bottom w:val="single" w:sz="4" w:space="0" w:color="auto"/>
              <w:right w:val="single" w:sz="4" w:space="0" w:color="auto"/>
            </w:tcBorders>
          </w:tcPr>
          <w:p w14:paraId="7245277C" w14:textId="77777777" w:rsidR="00E57DAA" w:rsidRDefault="00AC4185">
            <w:pPr>
              <w:autoSpaceDE w:val="0"/>
              <w:autoSpaceDN w:val="0"/>
              <w:adjustRightInd w:val="0"/>
              <w:jc w:val="right"/>
              <w:rPr>
                <w:szCs w:val="21"/>
              </w:rPr>
            </w:pPr>
            <w:r>
              <w:t>30,138,043.41</w:t>
            </w:r>
          </w:p>
        </w:tc>
        <w:tc>
          <w:tcPr>
            <w:tcW w:w="632" w:type="pct"/>
            <w:tcBorders>
              <w:top w:val="single" w:sz="4" w:space="0" w:color="auto"/>
              <w:left w:val="single" w:sz="4" w:space="0" w:color="auto"/>
              <w:bottom w:val="single" w:sz="4" w:space="0" w:color="auto"/>
              <w:right w:val="single" w:sz="4" w:space="0" w:color="auto"/>
            </w:tcBorders>
          </w:tcPr>
          <w:p w14:paraId="6208C711" w14:textId="77777777" w:rsidR="00E57DAA" w:rsidRDefault="00AC4185">
            <w:pPr>
              <w:autoSpaceDE w:val="0"/>
              <w:autoSpaceDN w:val="0"/>
              <w:adjustRightInd w:val="0"/>
              <w:jc w:val="right"/>
              <w:rPr>
                <w:szCs w:val="21"/>
              </w:rPr>
            </w:pPr>
            <w:r>
              <w:t>2,163,383.03</w:t>
            </w:r>
          </w:p>
        </w:tc>
        <w:tc>
          <w:tcPr>
            <w:tcW w:w="703" w:type="pct"/>
            <w:tcBorders>
              <w:top w:val="single" w:sz="4" w:space="0" w:color="auto"/>
              <w:left w:val="single" w:sz="4" w:space="0" w:color="auto"/>
              <w:bottom w:val="single" w:sz="4" w:space="0" w:color="auto"/>
              <w:right w:val="single" w:sz="4" w:space="0" w:color="auto"/>
            </w:tcBorders>
          </w:tcPr>
          <w:p w14:paraId="05C9BD4F" w14:textId="77777777" w:rsidR="00E57DAA" w:rsidRDefault="00AC4185">
            <w:pPr>
              <w:autoSpaceDE w:val="0"/>
              <w:autoSpaceDN w:val="0"/>
              <w:adjustRightInd w:val="0"/>
              <w:jc w:val="right"/>
              <w:rPr>
                <w:szCs w:val="21"/>
              </w:rPr>
            </w:pPr>
            <w:r>
              <w:t>3,692,373.65</w:t>
            </w:r>
          </w:p>
        </w:tc>
        <w:tc>
          <w:tcPr>
            <w:tcW w:w="914" w:type="pct"/>
            <w:tcBorders>
              <w:top w:val="single" w:sz="4" w:space="0" w:color="auto"/>
              <w:left w:val="single" w:sz="4" w:space="0" w:color="auto"/>
              <w:bottom w:val="single" w:sz="4" w:space="0" w:color="auto"/>
              <w:right w:val="single" w:sz="4" w:space="0" w:color="auto"/>
            </w:tcBorders>
          </w:tcPr>
          <w:p w14:paraId="277022EB" w14:textId="77777777" w:rsidR="00E57DAA" w:rsidRDefault="00AC4185">
            <w:pPr>
              <w:autoSpaceDE w:val="0"/>
              <w:autoSpaceDN w:val="0"/>
              <w:adjustRightInd w:val="0"/>
              <w:jc w:val="right"/>
              <w:rPr>
                <w:szCs w:val="21"/>
              </w:rPr>
            </w:pPr>
            <w:r>
              <w:t>209,960.02</w:t>
            </w:r>
          </w:p>
        </w:tc>
      </w:tr>
      <w:tr w:rsidR="00E57DAA" w14:paraId="7DAF2198" w14:textId="77777777">
        <w:tc>
          <w:tcPr>
            <w:tcW w:w="677" w:type="pct"/>
            <w:tcBorders>
              <w:top w:val="single" w:sz="4" w:space="0" w:color="auto"/>
              <w:left w:val="single" w:sz="4" w:space="0" w:color="auto"/>
              <w:bottom w:val="single" w:sz="4" w:space="0" w:color="auto"/>
              <w:right w:val="single" w:sz="4" w:space="0" w:color="auto"/>
            </w:tcBorders>
            <w:vAlign w:val="center"/>
          </w:tcPr>
          <w:p w14:paraId="389831E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C0677B" w14:textId="77777777" w:rsidR="00E57DAA" w:rsidRDefault="00AC4185">
            <w:pPr>
              <w:autoSpaceDE w:val="0"/>
              <w:autoSpaceDN w:val="0"/>
              <w:adjustRightInd w:val="0"/>
              <w:rPr>
                <w:szCs w:val="21"/>
              </w:rPr>
            </w:pPr>
            <w:r>
              <w:t>合肥中亚科技有限责任公司</w:t>
            </w:r>
          </w:p>
        </w:tc>
        <w:tc>
          <w:tcPr>
            <w:tcW w:w="633" w:type="pct"/>
            <w:tcBorders>
              <w:top w:val="single" w:sz="4" w:space="0" w:color="auto"/>
              <w:left w:val="single" w:sz="4" w:space="0" w:color="auto"/>
              <w:bottom w:val="single" w:sz="4" w:space="0" w:color="auto"/>
              <w:right w:val="single" w:sz="4" w:space="0" w:color="auto"/>
            </w:tcBorders>
          </w:tcPr>
          <w:p w14:paraId="0D4EA25E" w14:textId="77777777" w:rsidR="00E57DAA" w:rsidRDefault="00AC4185">
            <w:pPr>
              <w:autoSpaceDE w:val="0"/>
              <w:autoSpaceDN w:val="0"/>
              <w:adjustRightInd w:val="0"/>
              <w:jc w:val="right"/>
              <w:rPr>
                <w:szCs w:val="21"/>
              </w:rPr>
            </w:pPr>
            <w:r>
              <w:t>913,549.96</w:t>
            </w:r>
          </w:p>
        </w:tc>
        <w:tc>
          <w:tcPr>
            <w:tcW w:w="632" w:type="pct"/>
            <w:tcBorders>
              <w:top w:val="single" w:sz="4" w:space="0" w:color="auto"/>
              <w:left w:val="single" w:sz="4" w:space="0" w:color="auto"/>
              <w:bottom w:val="single" w:sz="4" w:space="0" w:color="auto"/>
              <w:right w:val="single" w:sz="4" w:space="0" w:color="auto"/>
            </w:tcBorders>
          </w:tcPr>
          <w:p w14:paraId="1CB7AAF8" w14:textId="77777777" w:rsidR="00E57DAA" w:rsidRDefault="00AC4185">
            <w:pPr>
              <w:autoSpaceDE w:val="0"/>
              <w:autoSpaceDN w:val="0"/>
              <w:adjustRightInd w:val="0"/>
              <w:jc w:val="right"/>
              <w:rPr>
                <w:szCs w:val="21"/>
              </w:rPr>
            </w:pPr>
            <w:r>
              <w:t>54,405.19</w:t>
            </w:r>
          </w:p>
        </w:tc>
        <w:tc>
          <w:tcPr>
            <w:tcW w:w="703" w:type="pct"/>
            <w:tcBorders>
              <w:top w:val="single" w:sz="4" w:space="0" w:color="auto"/>
              <w:left w:val="single" w:sz="4" w:space="0" w:color="auto"/>
              <w:bottom w:val="single" w:sz="4" w:space="0" w:color="auto"/>
              <w:right w:val="single" w:sz="4" w:space="0" w:color="auto"/>
            </w:tcBorders>
          </w:tcPr>
          <w:p w14:paraId="4D26B61F" w14:textId="77777777" w:rsidR="00E57DAA" w:rsidRDefault="00AC4185">
            <w:pPr>
              <w:autoSpaceDE w:val="0"/>
              <w:autoSpaceDN w:val="0"/>
              <w:adjustRightInd w:val="0"/>
              <w:jc w:val="right"/>
              <w:rPr>
                <w:szCs w:val="21"/>
              </w:rPr>
            </w:pPr>
            <w:r>
              <w:t>174,553.65</w:t>
            </w:r>
          </w:p>
        </w:tc>
        <w:tc>
          <w:tcPr>
            <w:tcW w:w="914" w:type="pct"/>
            <w:tcBorders>
              <w:top w:val="single" w:sz="4" w:space="0" w:color="auto"/>
              <w:left w:val="single" w:sz="4" w:space="0" w:color="auto"/>
              <w:bottom w:val="single" w:sz="4" w:space="0" w:color="auto"/>
              <w:right w:val="single" w:sz="4" w:space="0" w:color="auto"/>
            </w:tcBorders>
          </w:tcPr>
          <w:p w14:paraId="6125AEC8" w14:textId="77777777" w:rsidR="00E57DAA" w:rsidRDefault="00AC4185">
            <w:pPr>
              <w:autoSpaceDE w:val="0"/>
              <w:autoSpaceDN w:val="0"/>
              <w:adjustRightInd w:val="0"/>
              <w:jc w:val="right"/>
              <w:rPr>
                <w:szCs w:val="21"/>
              </w:rPr>
            </w:pPr>
            <w:r>
              <w:t>8,727.68</w:t>
            </w:r>
          </w:p>
        </w:tc>
      </w:tr>
      <w:tr w:rsidR="00E57DAA" w14:paraId="455A5CB6" w14:textId="77777777">
        <w:tc>
          <w:tcPr>
            <w:tcW w:w="677" w:type="pct"/>
            <w:tcBorders>
              <w:top w:val="single" w:sz="4" w:space="0" w:color="auto"/>
              <w:left w:val="single" w:sz="4" w:space="0" w:color="auto"/>
              <w:bottom w:val="single" w:sz="4" w:space="0" w:color="auto"/>
              <w:right w:val="single" w:sz="4" w:space="0" w:color="auto"/>
            </w:tcBorders>
            <w:vAlign w:val="center"/>
          </w:tcPr>
          <w:p w14:paraId="42A8B67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D6D8D09" w14:textId="77777777" w:rsidR="00E57DAA" w:rsidRDefault="00AC4185">
            <w:pPr>
              <w:autoSpaceDE w:val="0"/>
              <w:autoSpaceDN w:val="0"/>
              <w:adjustRightInd w:val="0"/>
              <w:rPr>
                <w:szCs w:val="21"/>
              </w:rPr>
            </w:pPr>
            <w:r>
              <w:t>中建（淄博）重型机械有限公司</w:t>
            </w:r>
          </w:p>
        </w:tc>
        <w:tc>
          <w:tcPr>
            <w:tcW w:w="633" w:type="pct"/>
            <w:tcBorders>
              <w:top w:val="single" w:sz="4" w:space="0" w:color="auto"/>
              <w:left w:val="single" w:sz="4" w:space="0" w:color="auto"/>
              <w:bottom w:val="single" w:sz="4" w:space="0" w:color="auto"/>
              <w:right w:val="single" w:sz="4" w:space="0" w:color="auto"/>
            </w:tcBorders>
          </w:tcPr>
          <w:p w14:paraId="4EC871E1" w14:textId="77777777" w:rsidR="00E57DAA" w:rsidRDefault="00AC4185">
            <w:pPr>
              <w:autoSpaceDE w:val="0"/>
              <w:autoSpaceDN w:val="0"/>
              <w:adjustRightInd w:val="0"/>
              <w:jc w:val="right"/>
              <w:rPr>
                <w:szCs w:val="21"/>
              </w:rPr>
            </w:pPr>
            <w:r>
              <w:t>444,614.00</w:t>
            </w:r>
          </w:p>
        </w:tc>
        <w:tc>
          <w:tcPr>
            <w:tcW w:w="632" w:type="pct"/>
            <w:tcBorders>
              <w:top w:val="single" w:sz="4" w:space="0" w:color="auto"/>
              <w:left w:val="single" w:sz="4" w:space="0" w:color="auto"/>
              <w:bottom w:val="single" w:sz="4" w:space="0" w:color="auto"/>
              <w:right w:val="single" w:sz="4" w:space="0" w:color="auto"/>
            </w:tcBorders>
          </w:tcPr>
          <w:p w14:paraId="7AC595E2" w14:textId="77777777" w:rsidR="00E57DAA" w:rsidRDefault="00AC4185">
            <w:pPr>
              <w:autoSpaceDE w:val="0"/>
              <w:autoSpaceDN w:val="0"/>
              <w:adjustRightInd w:val="0"/>
              <w:jc w:val="right"/>
              <w:rPr>
                <w:szCs w:val="21"/>
              </w:rPr>
            </w:pPr>
            <w:r>
              <w:t>444,614.00</w:t>
            </w:r>
          </w:p>
        </w:tc>
        <w:tc>
          <w:tcPr>
            <w:tcW w:w="703" w:type="pct"/>
            <w:tcBorders>
              <w:top w:val="single" w:sz="4" w:space="0" w:color="auto"/>
              <w:left w:val="single" w:sz="4" w:space="0" w:color="auto"/>
              <w:bottom w:val="single" w:sz="4" w:space="0" w:color="auto"/>
              <w:right w:val="single" w:sz="4" w:space="0" w:color="auto"/>
            </w:tcBorders>
          </w:tcPr>
          <w:p w14:paraId="0913F471" w14:textId="77777777" w:rsidR="00E57DAA" w:rsidRDefault="00AC4185">
            <w:pPr>
              <w:autoSpaceDE w:val="0"/>
              <w:autoSpaceDN w:val="0"/>
              <w:adjustRightInd w:val="0"/>
              <w:jc w:val="right"/>
              <w:rPr>
                <w:szCs w:val="21"/>
              </w:rPr>
            </w:pPr>
            <w:r>
              <w:t>562,614.00</w:t>
            </w:r>
          </w:p>
        </w:tc>
        <w:tc>
          <w:tcPr>
            <w:tcW w:w="914" w:type="pct"/>
            <w:tcBorders>
              <w:top w:val="single" w:sz="4" w:space="0" w:color="auto"/>
              <w:left w:val="single" w:sz="4" w:space="0" w:color="auto"/>
              <w:bottom w:val="single" w:sz="4" w:space="0" w:color="auto"/>
              <w:right w:val="single" w:sz="4" w:space="0" w:color="auto"/>
            </w:tcBorders>
          </w:tcPr>
          <w:p w14:paraId="5D9557E9" w14:textId="77777777" w:rsidR="00E57DAA" w:rsidRDefault="00AC4185">
            <w:pPr>
              <w:autoSpaceDE w:val="0"/>
              <w:autoSpaceDN w:val="0"/>
              <w:adjustRightInd w:val="0"/>
              <w:jc w:val="right"/>
              <w:rPr>
                <w:szCs w:val="21"/>
              </w:rPr>
            </w:pPr>
            <w:r>
              <w:t>459,493.50</w:t>
            </w:r>
          </w:p>
        </w:tc>
      </w:tr>
      <w:tr w:rsidR="00E57DAA" w14:paraId="2E90284C" w14:textId="77777777">
        <w:tc>
          <w:tcPr>
            <w:tcW w:w="677" w:type="pct"/>
            <w:tcBorders>
              <w:top w:val="single" w:sz="4" w:space="0" w:color="auto"/>
              <w:left w:val="single" w:sz="4" w:space="0" w:color="auto"/>
              <w:bottom w:val="single" w:sz="4" w:space="0" w:color="auto"/>
              <w:right w:val="single" w:sz="4" w:space="0" w:color="auto"/>
            </w:tcBorders>
            <w:vAlign w:val="center"/>
          </w:tcPr>
          <w:p w14:paraId="36A38E8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9EC347" w14:textId="77777777" w:rsidR="00E57DAA" w:rsidRDefault="00AC4185">
            <w:pPr>
              <w:autoSpaceDE w:val="0"/>
              <w:autoSpaceDN w:val="0"/>
              <w:adjustRightInd w:val="0"/>
              <w:rPr>
                <w:szCs w:val="21"/>
              </w:rPr>
            </w:pPr>
            <w:r>
              <w:t>葛洲坝洁新（武汉）科技有限公司</w:t>
            </w:r>
          </w:p>
        </w:tc>
        <w:tc>
          <w:tcPr>
            <w:tcW w:w="633" w:type="pct"/>
            <w:tcBorders>
              <w:top w:val="single" w:sz="4" w:space="0" w:color="auto"/>
              <w:left w:val="single" w:sz="4" w:space="0" w:color="auto"/>
              <w:bottom w:val="single" w:sz="4" w:space="0" w:color="auto"/>
              <w:right w:val="single" w:sz="4" w:space="0" w:color="auto"/>
            </w:tcBorders>
          </w:tcPr>
          <w:p w14:paraId="54B66185" w14:textId="77777777" w:rsidR="00E57DAA" w:rsidRDefault="00AC4185">
            <w:pPr>
              <w:autoSpaceDE w:val="0"/>
              <w:autoSpaceDN w:val="0"/>
              <w:adjustRightInd w:val="0"/>
              <w:jc w:val="right"/>
              <w:rPr>
                <w:szCs w:val="21"/>
              </w:rPr>
            </w:pPr>
            <w:r>
              <w:t>252,380.00</w:t>
            </w:r>
          </w:p>
        </w:tc>
        <w:tc>
          <w:tcPr>
            <w:tcW w:w="632" w:type="pct"/>
            <w:tcBorders>
              <w:top w:val="single" w:sz="4" w:space="0" w:color="auto"/>
              <w:left w:val="single" w:sz="4" w:space="0" w:color="auto"/>
              <w:bottom w:val="single" w:sz="4" w:space="0" w:color="auto"/>
              <w:right w:val="single" w:sz="4" w:space="0" w:color="auto"/>
            </w:tcBorders>
          </w:tcPr>
          <w:p w14:paraId="73C80647" w14:textId="77777777" w:rsidR="00E57DAA" w:rsidRDefault="00AC4185">
            <w:pPr>
              <w:autoSpaceDE w:val="0"/>
              <w:autoSpaceDN w:val="0"/>
              <w:adjustRightInd w:val="0"/>
              <w:jc w:val="right"/>
              <w:rPr>
                <w:szCs w:val="21"/>
              </w:rPr>
            </w:pPr>
            <w:r>
              <w:t>39,971.41</w:t>
            </w:r>
          </w:p>
        </w:tc>
        <w:tc>
          <w:tcPr>
            <w:tcW w:w="703" w:type="pct"/>
            <w:tcBorders>
              <w:top w:val="single" w:sz="4" w:space="0" w:color="auto"/>
              <w:left w:val="single" w:sz="4" w:space="0" w:color="auto"/>
              <w:bottom w:val="single" w:sz="4" w:space="0" w:color="auto"/>
              <w:right w:val="single" w:sz="4" w:space="0" w:color="auto"/>
            </w:tcBorders>
          </w:tcPr>
          <w:p w14:paraId="5BA5BF43"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00A755B8" w14:textId="77777777" w:rsidR="00E57DAA" w:rsidRDefault="00AC4185">
            <w:pPr>
              <w:autoSpaceDE w:val="0"/>
              <w:autoSpaceDN w:val="0"/>
              <w:adjustRightInd w:val="0"/>
              <w:jc w:val="right"/>
              <w:rPr>
                <w:szCs w:val="21"/>
              </w:rPr>
            </w:pPr>
            <w:r>
              <w:t>18,230.00</w:t>
            </w:r>
          </w:p>
        </w:tc>
      </w:tr>
      <w:tr w:rsidR="00E57DAA" w14:paraId="2F5306F5" w14:textId="77777777">
        <w:tc>
          <w:tcPr>
            <w:tcW w:w="677" w:type="pct"/>
            <w:tcBorders>
              <w:top w:val="single" w:sz="4" w:space="0" w:color="auto"/>
              <w:left w:val="single" w:sz="4" w:space="0" w:color="auto"/>
              <w:bottom w:val="single" w:sz="4" w:space="0" w:color="auto"/>
              <w:right w:val="single" w:sz="4" w:space="0" w:color="auto"/>
            </w:tcBorders>
            <w:vAlign w:val="center"/>
          </w:tcPr>
          <w:p w14:paraId="6B66A4C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BCC6256" w14:textId="77777777" w:rsidR="00E57DAA" w:rsidRDefault="00AC4185">
            <w:pPr>
              <w:autoSpaceDE w:val="0"/>
              <w:autoSpaceDN w:val="0"/>
              <w:adjustRightInd w:val="0"/>
              <w:rPr>
                <w:szCs w:val="21"/>
              </w:rPr>
            </w:pPr>
            <w:r>
              <w:t>中国建材国际坦桑尼亚公司</w:t>
            </w:r>
          </w:p>
        </w:tc>
        <w:tc>
          <w:tcPr>
            <w:tcW w:w="633" w:type="pct"/>
            <w:tcBorders>
              <w:top w:val="single" w:sz="4" w:space="0" w:color="auto"/>
              <w:left w:val="single" w:sz="4" w:space="0" w:color="auto"/>
              <w:bottom w:val="single" w:sz="4" w:space="0" w:color="auto"/>
              <w:right w:val="single" w:sz="4" w:space="0" w:color="auto"/>
            </w:tcBorders>
          </w:tcPr>
          <w:p w14:paraId="4AE55F06" w14:textId="77777777" w:rsidR="00E57DAA" w:rsidRDefault="00AC4185">
            <w:pPr>
              <w:autoSpaceDE w:val="0"/>
              <w:autoSpaceDN w:val="0"/>
              <w:adjustRightInd w:val="0"/>
              <w:jc w:val="right"/>
              <w:rPr>
                <w:szCs w:val="21"/>
              </w:rPr>
            </w:pPr>
            <w:r>
              <w:t>158,955.77</w:t>
            </w:r>
          </w:p>
        </w:tc>
        <w:tc>
          <w:tcPr>
            <w:tcW w:w="632" w:type="pct"/>
            <w:tcBorders>
              <w:top w:val="single" w:sz="4" w:space="0" w:color="auto"/>
              <w:left w:val="single" w:sz="4" w:space="0" w:color="auto"/>
              <w:bottom w:val="single" w:sz="4" w:space="0" w:color="auto"/>
              <w:right w:val="single" w:sz="4" w:space="0" w:color="auto"/>
            </w:tcBorders>
          </w:tcPr>
          <w:p w14:paraId="5C7B4497" w14:textId="77777777" w:rsidR="00E57DAA" w:rsidRDefault="00AC4185">
            <w:pPr>
              <w:autoSpaceDE w:val="0"/>
              <w:autoSpaceDN w:val="0"/>
              <w:adjustRightInd w:val="0"/>
              <w:jc w:val="right"/>
              <w:rPr>
                <w:szCs w:val="21"/>
              </w:rPr>
            </w:pPr>
            <w:r>
              <w:t>3,767.25</w:t>
            </w:r>
          </w:p>
        </w:tc>
        <w:tc>
          <w:tcPr>
            <w:tcW w:w="703" w:type="pct"/>
            <w:tcBorders>
              <w:top w:val="single" w:sz="4" w:space="0" w:color="auto"/>
              <w:left w:val="single" w:sz="4" w:space="0" w:color="auto"/>
              <w:bottom w:val="single" w:sz="4" w:space="0" w:color="auto"/>
              <w:right w:val="single" w:sz="4" w:space="0" w:color="auto"/>
            </w:tcBorders>
          </w:tcPr>
          <w:p w14:paraId="000345C7" w14:textId="77777777" w:rsidR="00E57DAA" w:rsidRDefault="00AC4185">
            <w:pPr>
              <w:autoSpaceDE w:val="0"/>
              <w:autoSpaceDN w:val="0"/>
              <w:adjustRightInd w:val="0"/>
              <w:jc w:val="right"/>
              <w:rPr>
                <w:szCs w:val="21"/>
              </w:rPr>
            </w:pPr>
            <w:r>
              <w:t>5,016,602.06</w:t>
            </w:r>
          </w:p>
        </w:tc>
        <w:tc>
          <w:tcPr>
            <w:tcW w:w="914" w:type="pct"/>
            <w:tcBorders>
              <w:top w:val="single" w:sz="4" w:space="0" w:color="auto"/>
              <w:left w:val="single" w:sz="4" w:space="0" w:color="auto"/>
              <w:bottom w:val="single" w:sz="4" w:space="0" w:color="auto"/>
              <w:right w:val="single" w:sz="4" w:space="0" w:color="auto"/>
            </w:tcBorders>
          </w:tcPr>
          <w:p w14:paraId="18988C82" w14:textId="77777777" w:rsidR="00E57DAA" w:rsidRDefault="00AC4185">
            <w:pPr>
              <w:autoSpaceDE w:val="0"/>
              <w:autoSpaceDN w:val="0"/>
              <w:adjustRightInd w:val="0"/>
              <w:jc w:val="right"/>
              <w:rPr>
                <w:szCs w:val="21"/>
              </w:rPr>
            </w:pPr>
            <w:r>
              <w:t>4,643,653.74</w:t>
            </w:r>
          </w:p>
        </w:tc>
      </w:tr>
      <w:tr w:rsidR="00E57DAA" w14:paraId="5718789D" w14:textId="77777777">
        <w:tc>
          <w:tcPr>
            <w:tcW w:w="677" w:type="pct"/>
            <w:tcBorders>
              <w:top w:val="single" w:sz="4" w:space="0" w:color="auto"/>
              <w:left w:val="single" w:sz="4" w:space="0" w:color="auto"/>
              <w:bottom w:val="single" w:sz="4" w:space="0" w:color="auto"/>
              <w:right w:val="single" w:sz="4" w:space="0" w:color="auto"/>
            </w:tcBorders>
            <w:vAlign w:val="center"/>
          </w:tcPr>
          <w:p w14:paraId="1F3EC15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58C81CF" w14:textId="77777777" w:rsidR="00E57DAA" w:rsidRDefault="00AC4185">
            <w:pPr>
              <w:autoSpaceDE w:val="0"/>
              <w:autoSpaceDN w:val="0"/>
              <w:adjustRightInd w:val="0"/>
              <w:rPr>
                <w:szCs w:val="21"/>
              </w:rPr>
            </w:pPr>
            <w:r>
              <w:t>中材膜材料越南公司</w:t>
            </w:r>
          </w:p>
        </w:tc>
        <w:tc>
          <w:tcPr>
            <w:tcW w:w="633" w:type="pct"/>
            <w:tcBorders>
              <w:top w:val="single" w:sz="4" w:space="0" w:color="auto"/>
              <w:left w:val="single" w:sz="4" w:space="0" w:color="auto"/>
              <w:bottom w:val="single" w:sz="4" w:space="0" w:color="auto"/>
              <w:right w:val="single" w:sz="4" w:space="0" w:color="auto"/>
            </w:tcBorders>
          </w:tcPr>
          <w:p w14:paraId="3A5CB7C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20434A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664A3D7" w14:textId="77777777" w:rsidR="00E57DAA" w:rsidRDefault="00AC4185">
            <w:pPr>
              <w:autoSpaceDE w:val="0"/>
              <w:autoSpaceDN w:val="0"/>
              <w:adjustRightInd w:val="0"/>
              <w:jc w:val="right"/>
              <w:rPr>
                <w:szCs w:val="21"/>
              </w:rPr>
            </w:pPr>
            <w:r>
              <w:t>480,000.00</w:t>
            </w:r>
          </w:p>
        </w:tc>
        <w:tc>
          <w:tcPr>
            <w:tcW w:w="914" w:type="pct"/>
            <w:tcBorders>
              <w:top w:val="single" w:sz="4" w:space="0" w:color="auto"/>
              <w:left w:val="single" w:sz="4" w:space="0" w:color="auto"/>
              <w:bottom w:val="single" w:sz="4" w:space="0" w:color="auto"/>
              <w:right w:val="single" w:sz="4" w:space="0" w:color="auto"/>
            </w:tcBorders>
          </w:tcPr>
          <w:p w14:paraId="1DEE3949" w14:textId="77777777" w:rsidR="00E57DAA" w:rsidRDefault="00AC4185">
            <w:pPr>
              <w:autoSpaceDE w:val="0"/>
              <w:autoSpaceDN w:val="0"/>
              <w:adjustRightInd w:val="0"/>
              <w:jc w:val="right"/>
              <w:rPr>
                <w:szCs w:val="21"/>
              </w:rPr>
            </w:pPr>
            <w:r>
              <w:t>11,376.00</w:t>
            </w:r>
          </w:p>
        </w:tc>
      </w:tr>
      <w:tr w:rsidR="00E57DAA" w14:paraId="14BD38F4" w14:textId="77777777">
        <w:tc>
          <w:tcPr>
            <w:tcW w:w="677" w:type="pct"/>
            <w:tcBorders>
              <w:top w:val="single" w:sz="4" w:space="0" w:color="auto"/>
              <w:left w:val="single" w:sz="4" w:space="0" w:color="auto"/>
              <w:bottom w:val="single" w:sz="4" w:space="0" w:color="auto"/>
              <w:right w:val="single" w:sz="4" w:space="0" w:color="auto"/>
            </w:tcBorders>
            <w:vAlign w:val="center"/>
          </w:tcPr>
          <w:p w14:paraId="60D809B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AFA3DF2" w14:textId="77777777" w:rsidR="00E57DAA" w:rsidRDefault="00AC4185">
            <w:pPr>
              <w:autoSpaceDE w:val="0"/>
              <w:autoSpaceDN w:val="0"/>
              <w:adjustRightInd w:val="0"/>
              <w:rPr>
                <w:szCs w:val="21"/>
              </w:rPr>
            </w:pPr>
            <w:r>
              <w:t>中建材矿业投资尼日利亚有限公司</w:t>
            </w:r>
          </w:p>
        </w:tc>
        <w:tc>
          <w:tcPr>
            <w:tcW w:w="633" w:type="pct"/>
            <w:tcBorders>
              <w:top w:val="single" w:sz="4" w:space="0" w:color="auto"/>
              <w:left w:val="single" w:sz="4" w:space="0" w:color="auto"/>
              <w:bottom w:val="single" w:sz="4" w:space="0" w:color="auto"/>
              <w:right w:val="single" w:sz="4" w:space="0" w:color="auto"/>
            </w:tcBorders>
          </w:tcPr>
          <w:p w14:paraId="4D27662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B86959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525E798" w14:textId="77777777" w:rsidR="00E57DAA" w:rsidRDefault="00AC4185">
            <w:pPr>
              <w:autoSpaceDE w:val="0"/>
              <w:autoSpaceDN w:val="0"/>
              <w:adjustRightInd w:val="0"/>
              <w:jc w:val="right"/>
              <w:rPr>
                <w:szCs w:val="21"/>
              </w:rPr>
            </w:pPr>
            <w:r>
              <w:t>27,683,596.14</w:t>
            </w:r>
          </w:p>
        </w:tc>
        <w:tc>
          <w:tcPr>
            <w:tcW w:w="914" w:type="pct"/>
            <w:tcBorders>
              <w:top w:val="single" w:sz="4" w:space="0" w:color="auto"/>
              <w:left w:val="single" w:sz="4" w:space="0" w:color="auto"/>
              <w:bottom w:val="single" w:sz="4" w:space="0" w:color="auto"/>
              <w:right w:val="single" w:sz="4" w:space="0" w:color="auto"/>
            </w:tcBorders>
          </w:tcPr>
          <w:p w14:paraId="4A32AA54" w14:textId="77777777" w:rsidR="00E57DAA" w:rsidRDefault="00AC4185">
            <w:pPr>
              <w:autoSpaceDE w:val="0"/>
              <w:autoSpaceDN w:val="0"/>
              <w:adjustRightInd w:val="0"/>
              <w:jc w:val="right"/>
              <w:rPr>
                <w:szCs w:val="21"/>
              </w:rPr>
            </w:pPr>
            <w:r>
              <w:t>1,995,987.28</w:t>
            </w:r>
          </w:p>
        </w:tc>
      </w:tr>
      <w:tr w:rsidR="00E57DAA" w14:paraId="6C2C1EDD" w14:textId="77777777">
        <w:tc>
          <w:tcPr>
            <w:tcW w:w="677" w:type="pct"/>
            <w:tcBorders>
              <w:top w:val="single" w:sz="4" w:space="0" w:color="auto"/>
              <w:left w:val="single" w:sz="4" w:space="0" w:color="auto"/>
              <w:bottom w:val="single" w:sz="4" w:space="0" w:color="auto"/>
              <w:right w:val="single" w:sz="4" w:space="0" w:color="auto"/>
            </w:tcBorders>
            <w:vAlign w:val="center"/>
          </w:tcPr>
          <w:p w14:paraId="3A3E935A"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0DA7ABB4"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7472E13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637107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97F671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7A2D0AB" w14:textId="77777777" w:rsidR="00E57DAA" w:rsidRDefault="00AC4185">
            <w:pPr>
              <w:autoSpaceDE w:val="0"/>
              <w:autoSpaceDN w:val="0"/>
              <w:adjustRightInd w:val="0"/>
              <w:jc w:val="right"/>
              <w:rPr>
                <w:szCs w:val="21"/>
              </w:rPr>
            </w:pPr>
            <w:r>
              <w:t xml:space="preserve">　</w:t>
            </w:r>
          </w:p>
        </w:tc>
      </w:tr>
      <w:tr w:rsidR="00E57DAA" w14:paraId="4EBC788E" w14:textId="77777777">
        <w:tc>
          <w:tcPr>
            <w:tcW w:w="677" w:type="pct"/>
            <w:tcBorders>
              <w:top w:val="single" w:sz="4" w:space="0" w:color="auto"/>
              <w:left w:val="single" w:sz="4" w:space="0" w:color="auto"/>
              <w:bottom w:val="single" w:sz="4" w:space="0" w:color="auto"/>
              <w:right w:val="single" w:sz="4" w:space="0" w:color="auto"/>
            </w:tcBorders>
            <w:vAlign w:val="center"/>
          </w:tcPr>
          <w:p w14:paraId="73A8EFF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0A6498" w14:textId="77777777" w:rsidR="00E57DAA" w:rsidRDefault="00AC4185">
            <w:pPr>
              <w:autoSpaceDE w:val="0"/>
              <w:autoSpaceDN w:val="0"/>
              <w:adjustRightInd w:val="0"/>
              <w:rPr>
                <w:szCs w:val="21"/>
              </w:rPr>
            </w:pPr>
            <w:r>
              <w:t>江西玉山南方水泥有限公司</w:t>
            </w:r>
          </w:p>
        </w:tc>
        <w:tc>
          <w:tcPr>
            <w:tcW w:w="633" w:type="pct"/>
            <w:tcBorders>
              <w:top w:val="single" w:sz="4" w:space="0" w:color="auto"/>
              <w:left w:val="single" w:sz="4" w:space="0" w:color="auto"/>
              <w:bottom w:val="single" w:sz="4" w:space="0" w:color="auto"/>
              <w:right w:val="single" w:sz="4" w:space="0" w:color="auto"/>
            </w:tcBorders>
          </w:tcPr>
          <w:p w14:paraId="30C1E5EC" w14:textId="77777777" w:rsidR="00E57DAA" w:rsidRDefault="00AC4185">
            <w:pPr>
              <w:autoSpaceDE w:val="0"/>
              <w:autoSpaceDN w:val="0"/>
              <w:adjustRightInd w:val="0"/>
              <w:jc w:val="right"/>
              <w:rPr>
                <w:szCs w:val="21"/>
              </w:rPr>
            </w:pPr>
            <w:r>
              <w:t>234,733,486.58</w:t>
            </w:r>
          </w:p>
        </w:tc>
        <w:tc>
          <w:tcPr>
            <w:tcW w:w="632" w:type="pct"/>
            <w:tcBorders>
              <w:top w:val="single" w:sz="4" w:space="0" w:color="auto"/>
              <w:left w:val="single" w:sz="4" w:space="0" w:color="auto"/>
              <w:bottom w:val="single" w:sz="4" w:space="0" w:color="auto"/>
              <w:right w:val="single" w:sz="4" w:space="0" w:color="auto"/>
            </w:tcBorders>
          </w:tcPr>
          <w:p w14:paraId="199E6C3F" w14:textId="77777777" w:rsidR="00E57DAA" w:rsidRDefault="00AC4185">
            <w:pPr>
              <w:autoSpaceDE w:val="0"/>
              <w:autoSpaceDN w:val="0"/>
              <w:adjustRightInd w:val="0"/>
              <w:jc w:val="right"/>
              <w:rPr>
                <w:szCs w:val="21"/>
              </w:rPr>
            </w:pPr>
            <w:r>
              <w:t>11,038,278.48</w:t>
            </w:r>
          </w:p>
        </w:tc>
        <w:tc>
          <w:tcPr>
            <w:tcW w:w="703" w:type="pct"/>
            <w:tcBorders>
              <w:top w:val="single" w:sz="4" w:space="0" w:color="auto"/>
              <w:left w:val="single" w:sz="4" w:space="0" w:color="auto"/>
              <w:bottom w:val="single" w:sz="4" w:space="0" w:color="auto"/>
              <w:right w:val="single" w:sz="4" w:space="0" w:color="auto"/>
            </w:tcBorders>
          </w:tcPr>
          <w:p w14:paraId="6DAB7ABC" w14:textId="77777777" w:rsidR="00E57DAA" w:rsidRDefault="00AC4185">
            <w:pPr>
              <w:autoSpaceDE w:val="0"/>
              <w:autoSpaceDN w:val="0"/>
              <w:adjustRightInd w:val="0"/>
              <w:jc w:val="right"/>
              <w:rPr>
                <w:szCs w:val="21"/>
              </w:rPr>
            </w:pPr>
            <w:r>
              <w:t>33,523,048.12</w:t>
            </w:r>
          </w:p>
        </w:tc>
        <w:tc>
          <w:tcPr>
            <w:tcW w:w="914" w:type="pct"/>
            <w:tcBorders>
              <w:top w:val="single" w:sz="4" w:space="0" w:color="auto"/>
              <w:left w:val="single" w:sz="4" w:space="0" w:color="auto"/>
              <w:bottom w:val="single" w:sz="4" w:space="0" w:color="auto"/>
              <w:right w:val="single" w:sz="4" w:space="0" w:color="auto"/>
            </w:tcBorders>
          </w:tcPr>
          <w:p w14:paraId="669073EF" w14:textId="77777777" w:rsidR="00E57DAA" w:rsidRDefault="00AC4185">
            <w:pPr>
              <w:autoSpaceDE w:val="0"/>
              <w:autoSpaceDN w:val="0"/>
              <w:adjustRightInd w:val="0"/>
              <w:jc w:val="right"/>
              <w:rPr>
                <w:szCs w:val="21"/>
              </w:rPr>
            </w:pPr>
            <w:r>
              <w:t>829,643.04</w:t>
            </w:r>
          </w:p>
        </w:tc>
      </w:tr>
      <w:tr w:rsidR="00E57DAA" w14:paraId="6D61852A" w14:textId="77777777">
        <w:tc>
          <w:tcPr>
            <w:tcW w:w="677" w:type="pct"/>
            <w:tcBorders>
              <w:top w:val="single" w:sz="4" w:space="0" w:color="auto"/>
              <w:left w:val="single" w:sz="4" w:space="0" w:color="auto"/>
              <w:bottom w:val="single" w:sz="4" w:space="0" w:color="auto"/>
              <w:right w:val="single" w:sz="4" w:space="0" w:color="auto"/>
            </w:tcBorders>
            <w:vAlign w:val="center"/>
          </w:tcPr>
          <w:p w14:paraId="2F69CC8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8D85B4C" w14:textId="77777777" w:rsidR="00E57DAA" w:rsidRDefault="00AC4185">
            <w:pPr>
              <w:autoSpaceDE w:val="0"/>
              <w:autoSpaceDN w:val="0"/>
              <w:adjustRightInd w:val="0"/>
              <w:rPr>
                <w:szCs w:val="21"/>
              </w:rPr>
            </w:pPr>
            <w:r>
              <w:t>云南富源西南水泥有限公司</w:t>
            </w:r>
          </w:p>
        </w:tc>
        <w:tc>
          <w:tcPr>
            <w:tcW w:w="633" w:type="pct"/>
            <w:tcBorders>
              <w:top w:val="single" w:sz="4" w:space="0" w:color="auto"/>
              <w:left w:val="single" w:sz="4" w:space="0" w:color="auto"/>
              <w:bottom w:val="single" w:sz="4" w:space="0" w:color="auto"/>
              <w:right w:val="single" w:sz="4" w:space="0" w:color="auto"/>
            </w:tcBorders>
          </w:tcPr>
          <w:p w14:paraId="6F331693" w14:textId="77777777" w:rsidR="00E57DAA" w:rsidRDefault="00AC4185">
            <w:pPr>
              <w:autoSpaceDE w:val="0"/>
              <w:autoSpaceDN w:val="0"/>
              <w:adjustRightInd w:val="0"/>
              <w:jc w:val="right"/>
              <w:rPr>
                <w:szCs w:val="21"/>
              </w:rPr>
            </w:pPr>
            <w:r>
              <w:t>163,634,481.33</w:t>
            </w:r>
          </w:p>
        </w:tc>
        <w:tc>
          <w:tcPr>
            <w:tcW w:w="632" w:type="pct"/>
            <w:tcBorders>
              <w:top w:val="single" w:sz="4" w:space="0" w:color="auto"/>
              <w:left w:val="single" w:sz="4" w:space="0" w:color="auto"/>
              <w:bottom w:val="single" w:sz="4" w:space="0" w:color="auto"/>
              <w:right w:val="single" w:sz="4" w:space="0" w:color="auto"/>
            </w:tcBorders>
          </w:tcPr>
          <w:p w14:paraId="15F5E670" w14:textId="77777777" w:rsidR="00E57DAA" w:rsidRDefault="00AC4185">
            <w:pPr>
              <w:autoSpaceDE w:val="0"/>
              <w:autoSpaceDN w:val="0"/>
              <w:adjustRightInd w:val="0"/>
              <w:jc w:val="right"/>
              <w:rPr>
                <w:szCs w:val="21"/>
              </w:rPr>
            </w:pPr>
            <w:r>
              <w:t>3,878,266.08</w:t>
            </w:r>
          </w:p>
        </w:tc>
        <w:tc>
          <w:tcPr>
            <w:tcW w:w="703" w:type="pct"/>
            <w:tcBorders>
              <w:top w:val="single" w:sz="4" w:space="0" w:color="auto"/>
              <w:left w:val="single" w:sz="4" w:space="0" w:color="auto"/>
              <w:bottom w:val="single" w:sz="4" w:space="0" w:color="auto"/>
              <w:right w:val="single" w:sz="4" w:space="0" w:color="auto"/>
            </w:tcBorders>
          </w:tcPr>
          <w:p w14:paraId="159612D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95E2FEE" w14:textId="77777777" w:rsidR="00E57DAA" w:rsidRDefault="00AC4185">
            <w:pPr>
              <w:autoSpaceDE w:val="0"/>
              <w:autoSpaceDN w:val="0"/>
              <w:adjustRightInd w:val="0"/>
              <w:jc w:val="right"/>
              <w:rPr>
                <w:szCs w:val="21"/>
              </w:rPr>
            </w:pPr>
            <w:r>
              <w:t xml:space="preserve">　</w:t>
            </w:r>
          </w:p>
        </w:tc>
      </w:tr>
      <w:tr w:rsidR="00E57DAA" w14:paraId="7750E254" w14:textId="77777777">
        <w:tc>
          <w:tcPr>
            <w:tcW w:w="677" w:type="pct"/>
            <w:tcBorders>
              <w:top w:val="single" w:sz="4" w:space="0" w:color="auto"/>
              <w:left w:val="single" w:sz="4" w:space="0" w:color="auto"/>
              <w:bottom w:val="single" w:sz="4" w:space="0" w:color="auto"/>
              <w:right w:val="single" w:sz="4" w:space="0" w:color="auto"/>
            </w:tcBorders>
            <w:vAlign w:val="center"/>
          </w:tcPr>
          <w:p w14:paraId="513E95F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90B17CA" w14:textId="77777777" w:rsidR="00E57DAA" w:rsidRDefault="00AC4185">
            <w:pPr>
              <w:autoSpaceDE w:val="0"/>
              <w:autoSpaceDN w:val="0"/>
              <w:adjustRightInd w:val="0"/>
              <w:rPr>
                <w:szCs w:val="21"/>
              </w:rPr>
            </w:pPr>
            <w:r>
              <w:t>丽江古城西南水泥有限公司</w:t>
            </w:r>
          </w:p>
        </w:tc>
        <w:tc>
          <w:tcPr>
            <w:tcW w:w="633" w:type="pct"/>
            <w:tcBorders>
              <w:top w:val="single" w:sz="4" w:space="0" w:color="auto"/>
              <w:left w:val="single" w:sz="4" w:space="0" w:color="auto"/>
              <w:bottom w:val="single" w:sz="4" w:space="0" w:color="auto"/>
              <w:right w:val="single" w:sz="4" w:space="0" w:color="auto"/>
            </w:tcBorders>
          </w:tcPr>
          <w:p w14:paraId="699C8708" w14:textId="77777777" w:rsidR="00E57DAA" w:rsidRDefault="00AC4185">
            <w:pPr>
              <w:autoSpaceDE w:val="0"/>
              <w:autoSpaceDN w:val="0"/>
              <w:adjustRightInd w:val="0"/>
              <w:jc w:val="right"/>
              <w:rPr>
                <w:szCs w:val="21"/>
              </w:rPr>
            </w:pPr>
            <w:r>
              <w:t>139,722,837.79</w:t>
            </w:r>
          </w:p>
        </w:tc>
        <w:tc>
          <w:tcPr>
            <w:tcW w:w="632" w:type="pct"/>
            <w:tcBorders>
              <w:top w:val="single" w:sz="4" w:space="0" w:color="auto"/>
              <w:left w:val="single" w:sz="4" w:space="0" w:color="auto"/>
              <w:bottom w:val="single" w:sz="4" w:space="0" w:color="auto"/>
              <w:right w:val="single" w:sz="4" w:space="0" w:color="auto"/>
            </w:tcBorders>
          </w:tcPr>
          <w:p w14:paraId="34F53844" w14:textId="77777777" w:rsidR="00E57DAA" w:rsidRDefault="00AC4185">
            <w:pPr>
              <w:autoSpaceDE w:val="0"/>
              <w:autoSpaceDN w:val="0"/>
              <w:adjustRightInd w:val="0"/>
              <w:jc w:val="right"/>
              <w:rPr>
                <w:szCs w:val="21"/>
              </w:rPr>
            </w:pPr>
            <w:r>
              <w:t>1,974,585.79</w:t>
            </w:r>
          </w:p>
        </w:tc>
        <w:tc>
          <w:tcPr>
            <w:tcW w:w="703" w:type="pct"/>
            <w:tcBorders>
              <w:top w:val="single" w:sz="4" w:space="0" w:color="auto"/>
              <w:left w:val="single" w:sz="4" w:space="0" w:color="auto"/>
              <w:bottom w:val="single" w:sz="4" w:space="0" w:color="auto"/>
              <w:right w:val="single" w:sz="4" w:space="0" w:color="auto"/>
            </w:tcBorders>
          </w:tcPr>
          <w:p w14:paraId="3E7C53EE" w14:textId="77777777" w:rsidR="00E57DAA" w:rsidRDefault="00AC4185">
            <w:pPr>
              <w:autoSpaceDE w:val="0"/>
              <w:autoSpaceDN w:val="0"/>
              <w:adjustRightInd w:val="0"/>
              <w:jc w:val="right"/>
              <w:rPr>
                <w:szCs w:val="21"/>
              </w:rPr>
            </w:pPr>
            <w:r>
              <w:t>176,242,399.31</w:t>
            </w:r>
          </w:p>
        </w:tc>
        <w:tc>
          <w:tcPr>
            <w:tcW w:w="914" w:type="pct"/>
            <w:tcBorders>
              <w:top w:val="single" w:sz="4" w:space="0" w:color="auto"/>
              <w:left w:val="single" w:sz="4" w:space="0" w:color="auto"/>
              <w:bottom w:val="single" w:sz="4" w:space="0" w:color="auto"/>
              <w:right w:val="single" w:sz="4" w:space="0" w:color="auto"/>
            </w:tcBorders>
          </w:tcPr>
          <w:p w14:paraId="42ACB963" w14:textId="77777777" w:rsidR="00E57DAA" w:rsidRDefault="00AC4185">
            <w:pPr>
              <w:autoSpaceDE w:val="0"/>
              <w:autoSpaceDN w:val="0"/>
              <w:adjustRightInd w:val="0"/>
              <w:jc w:val="right"/>
              <w:rPr>
                <w:szCs w:val="21"/>
              </w:rPr>
            </w:pPr>
            <w:r>
              <w:t>2,705,464.92</w:t>
            </w:r>
          </w:p>
        </w:tc>
      </w:tr>
      <w:tr w:rsidR="00E57DAA" w14:paraId="213333FD" w14:textId="77777777">
        <w:tc>
          <w:tcPr>
            <w:tcW w:w="677" w:type="pct"/>
            <w:tcBorders>
              <w:top w:val="single" w:sz="4" w:space="0" w:color="auto"/>
              <w:left w:val="single" w:sz="4" w:space="0" w:color="auto"/>
              <w:bottom w:val="single" w:sz="4" w:space="0" w:color="auto"/>
              <w:right w:val="single" w:sz="4" w:space="0" w:color="auto"/>
            </w:tcBorders>
            <w:vAlign w:val="center"/>
          </w:tcPr>
          <w:p w14:paraId="7507A8C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E2A24D" w14:textId="77777777" w:rsidR="00E57DAA" w:rsidRDefault="00AC4185">
            <w:pPr>
              <w:autoSpaceDE w:val="0"/>
              <w:autoSpaceDN w:val="0"/>
              <w:adjustRightInd w:val="0"/>
              <w:rPr>
                <w:szCs w:val="21"/>
              </w:rPr>
            </w:pPr>
            <w:r>
              <w:t>正安西南水泥有限公司</w:t>
            </w:r>
          </w:p>
        </w:tc>
        <w:tc>
          <w:tcPr>
            <w:tcW w:w="633" w:type="pct"/>
            <w:tcBorders>
              <w:top w:val="single" w:sz="4" w:space="0" w:color="auto"/>
              <w:left w:val="single" w:sz="4" w:space="0" w:color="auto"/>
              <w:bottom w:val="single" w:sz="4" w:space="0" w:color="auto"/>
              <w:right w:val="single" w:sz="4" w:space="0" w:color="auto"/>
            </w:tcBorders>
          </w:tcPr>
          <w:p w14:paraId="2E792CE1" w14:textId="77777777" w:rsidR="00E57DAA" w:rsidRDefault="00AC4185">
            <w:pPr>
              <w:autoSpaceDE w:val="0"/>
              <w:autoSpaceDN w:val="0"/>
              <w:adjustRightInd w:val="0"/>
              <w:jc w:val="right"/>
              <w:rPr>
                <w:szCs w:val="21"/>
              </w:rPr>
            </w:pPr>
            <w:r>
              <w:t>134,708,757.42</w:t>
            </w:r>
          </w:p>
        </w:tc>
        <w:tc>
          <w:tcPr>
            <w:tcW w:w="632" w:type="pct"/>
            <w:tcBorders>
              <w:top w:val="single" w:sz="4" w:space="0" w:color="auto"/>
              <w:left w:val="single" w:sz="4" w:space="0" w:color="auto"/>
              <w:bottom w:val="single" w:sz="4" w:space="0" w:color="auto"/>
              <w:right w:val="single" w:sz="4" w:space="0" w:color="auto"/>
            </w:tcBorders>
          </w:tcPr>
          <w:p w14:paraId="79BB8375" w14:textId="77777777" w:rsidR="00E57DAA" w:rsidRDefault="00AC4185">
            <w:pPr>
              <w:autoSpaceDE w:val="0"/>
              <w:autoSpaceDN w:val="0"/>
              <w:adjustRightInd w:val="0"/>
              <w:jc w:val="right"/>
              <w:rPr>
                <w:szCs w:val="21"/>
              </w:rPr>
            </w:pPr>
            <w:r>
              <w:t>4,529,760.89</w:t>
            </w:r>
          </w:p>
        </w:tc>
        <w:tc>
          <w:tcPr>
            <w:tcW w:w="703" w:type="pct"/>
            <w:tcBorders>
              <w:top w:val="single" w:sz="4" w:space="0" w:color="auto"/>
              <w:left w:val="single" w:sz="4" w:space="0" w:color="auto"/>
              <w:bottom w:val="single" w:sz="4" w:space="0" w:color="auto"/>
              <w:right w:val="single" w:sz="4" w:space="0" w:color="auto"/>
            </w:tcBorders>
          </w:tcPr>
          <w:p w14:paraId="29AF29E6" w14:textId="77777777" w:rsidR="00E57DAA" w:rsidRDefault="00AC4185">
            <w:pPr>
              <w:autoSpaceDE w:val="0"/>
              <w:autoSpaceDN w:val="0"/>
              <w:adjustRightInd w:val="0"/>
              <w:jc w:val="right"/>
              <w:rPr>
                <w:szCs w:val="21"/>
              </w:rPr>
            </w:pPr>
            <w:r>
              <w:t>1,935,831.80</w:t>
            </w:r>
          </w:p>
        </w:tc>
        <w:tc>
          <w:tcPr>
            <w:tcW w:w="914" w:type="pct"/>
            <w:tcBorders>
              <w:top w:val="single" w:sz="4" w:space="0" w:color="auto"/>
              <w:left w:val="single" w:sz="4" w:space="0" w:color="auto"/>
              <w:bottom w:val="single" w:sz="4" w:space="0" w:color="auto"/>
              <w:right w:val="single" w:sz="4" w:space="0" w:color="auto"/>
            </w:tcBorders>
          </w:tcPr>
          <w:p w14:paraId="3FE722EA" w14:textId="77777777" w:rsidR="00E57DAA" w:rsidRDefault="00AC4185">
            <w:pPr>
              <w:autoSpaceDE w:val="0"/>
              <w:autoSpaceDN w:val="0"/>
              <w:adjustRightInd w:val="0"/>
              <w:jc w:val="right"/>
              <w:rPr>
                <w:szCs w:val="21"/>
              </w:rPr>
            </w:pPr>
            <w:r>
              <w:t>115,683.08</w:t>
            </w:r>
          </w:p>
        </w:tc>
      </w:tr>
      <w:tr w:rsidR="00E57DAA" w14:paraId="1D691EB7" w14:textId="77777777">
        <w:tc>
          <w:tcPr>
            <w:tcW w:w="677" w:type="pct"/>
            <w:tcBorders>
              <w:top w:val="single" w:sz="4" w:space="0" w:color="auto"/>
              <w:left w:val="single" w:sz="4" w:space="0" w:color="auto"/>
              <w:bottom w:val="single" w:sz="4" w:space="0" w:color="auto"/>
              <w:right w:val="single" w:sz="4" w:space="0" w:color="auto"/>
            </w:tcBorders>
            <w:vAlign w:val="center"/>
          </w:tcPr>
          <w:p w14:paraId="445E479A"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6FEDBEDA" w14:textId="77777777" w:rsidR="00E57DAA" w:rsidRDefault="00AC4185">
            <w:pPr>
              <w:autoSpaceDE w:val="0"/>
              <w:autoSpaceDN w:val="0"/>
              <w:adjustRightInd w:val="0"/>
              <w:rPr>
                <w:szCs w:val="21"/>
              </w:rPr>
            </w:pPr>
            <w:r>
              <w:t>建德南方水泥有限公司</w:t>
            </w:r>
          </w:p>
        </w:tc>
        <w:tc>
          <w:tcPr>
            <w:tcW w:w="633" w:type="pct"/>
            <w:tcBorders>
              <w:top w:val="single" w:sz="4" w:space="0" w:color="auto"/>
              <w:left w:val="single" w:sz="4" w:space="0" w:color="auto"/>
              <w:bottom w:val="single" w:sz="4" w:space="0" w:color="auto"/>
              <w:right w:val="single" w:sz="4" w:space="0" w:color="auto"/>
            </w:tcBorders>
          </w:tcPr>
          <w:p w14:paraId="0EBF9E38" w14:textId="77777777" w:rsidR="00E57DAA" w:rsidRDefault="00AC4185">
            <w:pPr>
              <w:autoSpaceDE w:val="0"/>
              <w:autoSpaceDN w:val="0"/>
              <w:adjustRightInd w:val="0"/>
              <w:jc w:val="right"/>
              <w:rPr>
                <w:szCs w:val="21"/>
              </w:rPr>
            </w:pPr>
            <w:r>
              <w:t>108,802,629.08</w:t>
            </w:r>
          </w:p>
        </w:tc>
        <w:tc>
          <w:tcPr>
            <w:tcW w:w="632" w:type="pct"/>
            <w:tcBorders>
              <w:top w:val="single" w:sz="4" w:space="0" w:color="auto"/>
              <w:left w:val="single" w:sz="4" w:space="0" w:color="auto"/>
              <w:bottom w:val="single" w:sz="4" w:space="0" w:color="auto"/>
              <w:right w:val="single" w:sz="4" w:space="0" w:color="auto"/>
            </w:tcBorders>
          </w:tcPr>
          <w:p w14:paraId="682588E8" w14:textId="77777777" w:rsidR="00E57DAA" w:rsidRDefault="00AC4185">
            <w:pPr>
              <w:autoSpaceDE w:val="0"/>
              <w:autoSpaceDN w:val="0"/>
              <w:adjustRightInd w:val="0"/>
              <w:jc w:val="right"/>
              <w:rPr>
                <w:szCs w:val="21"/>
              </w:rPr>
            </w:pPr>
            <w:r>
              <w:t>6,698,575.36</w:t>
            </w:r>
          </w:p>
        </w:tc>
        <w:tc>
          <w:tcPr>
            <w:tcW w:w="703" w:type="pct"/>
            <w:tcBorders>
              <w:top w:val="single" w:sz="4" w:space="0" w:color="auto"/>
              <w:left w:val="single" w:sz="4" w:space="0" w:color="auto"/>
              <w:bottom w:val="single" w:sz="4" w:space="0" w:color="auto"/>
              <w:right w:val="single" w:sz="4" w:space="0" w:color="auto"/>
            </w:tcBorders>
          </w:tcPr>
          <w:p w14:paraId="03021FD3" w14:textId="77777777" w:rsidR="00E57DAA" w:rsidRDefault="00AC4185">
            <w:pPr>
              <w:autoSpaceDE w:val="0"/>
              <w:autoSpaceDN w:val="0"/>
              <w:adjustRightInd w:val="0"/>
              <w:jc w:val="right"/>
              <w:rPr>
                <w:szCs w:val="21"/>
              </w:rPr>
            </w:pPr>
            <w:r>
              <w:t>101,913,993.75</w:t>
            </w:r>
          </w:p>
        </w:tc>
        <w:tc>
          <w:tcPr>
            <w:tcW w:w="914" w:type="pct"/>
            <w:tcBorders>
              <w:top w:val="single" w:sz="4" w:space="0" w:color="auto"/>
              <w:left w:val="single" w:sz="4" w:space="0" w:color="auto"/>
              <w:bottom w:val="single" w:sz="4" w:space="0" w:color="auto"/>
              <w:right w:val="single" w:sz="4" w:space="0" w:color="auto"/>
            </w:tcBorders>
          </w:tcPr>
          <w:p w14:paraId="038B9894" w14:textId="77777777" w:rsidR="00E57DAA" w:rsidRDefault="00AC4185">
            <w:pPr>
              <w:autoSpaceDE w:val="0"/>
              <w:autoSpaceDN w:val="0"/>
              <w:adjustRightInd w:val="0"/>
              <w:jc w:val="right"/>
              <w:rPr>
                <w:szCs w:val="21"/>
              </w:rPr>
            </w:pPr>
            <w:r>
              <w:t>2,401,864.84</w:t>
            </w:r>
          </w:p>
        </w:tc>
      </w:tr>
      <w:tr w:rsidR="00E57DAA" w14:paraId="170DE509" w14:textId="77777777">
        <w:tc>
          <w:tcPr>
            <w:tcW w:w="677" w:type="pct"/>
            <w:tcBorders>
              <w:top w:val="single" w:sz="4" w:space="0" w:color="auto"/>
              <w:left w:val="single" w:sz="4" w:space="0" w:color="auto"/>
              <w:bottom w:val="single" w:sz="4" w:space="0" w:color="auto"/>
              <w:right w:val="single" w:sz="4" w:space="0" w:color="auto"/>
            </w:tcBorders>
            <w:vAlign w:val="center"/>
          </w:tcPr>
          <w:p w14:paraId="64CC1EB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C472E6" w14:textId="77777777" w:rsidR="00E57DAA" w:rsidRDefault="00AC4185">
            <w:pPr>
              <w:autoSpaceDE w:val="0"/>
              <w:autoSpaceDN w:val="0"/>
              <w:adjustRightInd w:val="0"/>
              <w:rPr>
                <w:szCs w:val="21"/>
              </w:rPr>
            </w:pPr>
            <w:r>
              <w:t>禹州市成磊建材有限公司</w:t>
            </w:r>
          </w:p>
        </w:tc>
        <w:tc>
          <w:tcPr>
            <w:tcW w:w="633" w:type="pct"/>
            <w:tcBorders>
              <w:top w:val="single" w:sz="4" w:space="0" w:color="auto"/>
              <w:left w:val="single" w:sz="4" w:space="0" w:color="auto"/>
              <w:bottom w:val="single" w:sz="4" w:space="0" w:color="auto"/>
              <w:right w:val="single" w:sz="4" w:space="0" w:color="auto"/>
            </w:tcBorders>
          </w:tcPr>
          <w:p w14:paraId="5C7893C1" w14:textId="77777777" w:rsidR="00E57DAA" w:rsidRDefault="00AC4185">
            <w:pPr>
              <w:autoSpaceDE w:val="0"/>
              <w:autoSpaceDN w:val="0"/>
              <w:adjustRightInd w:val="0"/>
              <w:jc w:val="right"/>
              <w:rPr>
                <w:szCs w:val="21"/>
              </w:rPr>
            </w:pPr>
            <w:r>
              <w:t>101,816,274.81</w:t>
            </w:r>
          </w:p>
        </w:tc>
        <w:tc>
          <w:tcPr>
            <w:tcW w:w="632" w:type="pct"/>
            <w:tcBorders>
              <w:top w:val="single" w:sz="4" w:space="0" w:color="auto"/>
              <w:left w:val="single" w:sz="4" w:space="0" w:color="auto"/>
              <w:bottom w:val="single" w:sz="4" w:space="0" w:color="auto"/>
              <w:right w:val="single" w:sz="4" w:space="0" w:color="auto"/>
            </w:tcBorders>
          </w:tcPr>
          <w:p w14:paraId="18C947C8" w14:textId="77777777" w:rsidR="00E57DAA" w:rsidRDefault="00AC4185">
            <w:pPr>
              <w:autoSpaceDE w:val="0"/>
              <w:autoSpaceDN w:val="0"/>
              <w:adjustRightInd w:val="0"/>
              <w:jc w:val="right"/>
              <w:rPr>
                <w:szCs w:val="21"/>
              </w:rPr>
            </w:pPr>
            <w:r>
              <w:t>10,499,557.56</w:t>
            </w:r>
          </w:p>
        </w:tc>
        <w:tc>
          <w:tcPr>
            <w:tcW w:w="703" w:type="pct"/>
            <w:tcBorders>
              <w:top w:val="single" w:sz="4" w:space="0" w:color="auto"/>
              <w:left w:val="single" w:sz="4" w:space="0" w:color="auto"/>
              <w:bottom w:val="single" w:sz="4" w:space="0" w:color="auto"/>
              <w:right w:val="single" w:sz="4" w:space="0" w:color="auto"/>
            </w:tcBorders>
          </w:tcPr>
          <w:p w14:paraId="7CD37003" w14:textId="77777777" w:rsidR="00E57DAA" w:rsidRDefault="00AC4185">
            <w:pPr>
              <w:autoSpaceDE w:val="0"/>
              <w:autoSpaceDN w:val="0"/>
              <w:adjustRightInd w:val="0"/>
              <w:jc w:val="right"/>
              <w:rPr>
                <w:szCs w:val="21"/>
              </w:rPr>
            </w:pPr>
            <w:r>
              <w:t>76,726,087.50</w:t>
            </w:r>
          </w:p>
        </w:tc>
        <w:tc>
          <w:tcPr>
            <w:tcW w:w="914" w:type="pct"/>
            <w:tcBorders>
              <w:top w:val="single" w:sz="4" w:space="0" w:color="auto"/>
              <w:left w:val="single" w:sz="4" w:space="0" w:color="auto"/>
              <w:bottom w:val="single" w:sz="4" w:space="0" w:color="auto"/>
              <w:right w:val="single" w:sz="4" w:space="0" w:color="auto"/>
            </w:tcBorders>
          </w:tcPr>
          <w:p w14:paraId="567D114F" w14:textId="77777777" w:rsidR="00E57DAA" w:rsidRDefault="00AC4185">
            <w:pPr>
              <w:autoSpaceDE w:val="0"/>
              <w:autoSpaceDN w:val="0"/>
              <w:adjustRightInd w:val="0"/>
              <w:jc w:val="right"/>
              <w:rPr>
                <w:szCs w:val="21"/>
              </w:rPr>
            </w:pPr>
            <w:r>
              <w:t>4,917,954.01</w:t>
            </w:r>
          </w:p>
        </w:tc>
      </w:tr>
      <w:tr w:rsidR="00E57DAA" w14:paraId="24D6E5EE" w14:textId="77777777">
        <w:tc>
          <w:tcPr>
            <w:tcW w:w="677" w:type="pct"/>
            <w:tcBorders>
              <w:top w:val="single" w:sz="4" w:space="0" w:color="auto"/>
              <w:left w:val="single" w:sz="4" w:space="0" w:color="auto"/>
              <w:bottom w:val="single" w:sz="4" w:space="0" w:color="auto"/>
              <w:right w:val="single" w:sz="4" w:space="0" w:color="auto"/>
            </w:tcBorders>
            <w:vAlign w:val="center"/>
          </w:tcPr>
          <w:p w14:paraId="0B183BE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BDBD4B" w14:textId="77777777" w:rsidR="00E57DAA" w:rsidRDefault="00AC4185">
            <w:pPr>
              <w:autoSpaceDE w:val="0"/>
              <w:autoSpaceDN w:val="0"/>
              <w:adjustRightInd w:val="0"/>
              <w:rPr>
                <w:szCs w:val="21"/>
              </w:rPr>
            </w:pPr>
            <w:r>
              <w:t>衢州南方水泥有限公司</w:t>
            </w:r>
          </w:p>
        </w:tc>
        <w:tc>
          <w:tcPr>
            <w:tcW w:w="633" w:type="pct"/>
            <w:tcBorders>
              <w:top w:val="single" w:sz="4" w:space="0" w:color="auto"/>
              <w:left w:val="single" w:sz="4" w:space="0" w:color="auto"/>
              <w:bottom w:val="single" w:sz="4" w:space="0" w:color="auto"/>
              <w:right w:val="single" w:sz="4" w:space="0" w:color="auto"/>
            </w:tcBorders>
          </w:tcPr>
          <w:p w14:paraId="7913B392" w14:textId="77777777" w:rsidR="00E57DAA" w:rsidRDefault="00AC4185">
            <w:pPr>
              <w:autoSpaceDE w:val="0"/>
              <w:autoSpaceDN w:val="0"/>
              <w:adjustRightInd w:val="0"/>
              <w:jc w:val="right"/>
              <w:rPr>
                <w:szCs w:val="21"/>
              </w:rPr>
            </w:pPr>
            <w:r>
              <w:t>91,595,082.76</w:t>
            </w:r>
          </w:p>
        </w:tc>
        <w:tc>
          <w:tcPr>
            <w:tcW w:w="632" w:type="pct"/>
            <w:tcBorders>
              <w:top w:val="single" w:sz="4" w:space="0" w:color="auto"/>
              <w:left w:val="single" w:sz="4" w:space="0" w:color="auto"/>
              <w:bottom w:val="single" w:sz="4" w:space="0" w:color="auto"/>
              <w:right w:val="single" w:sz="4" w:space="0" w:color="auto"/>
            </w:tcBorders>
          </w:tcPr>
          <w:p w14:paraId="03DCD344" w14:textId="77777777" w:rsidR="00E57DAA" w:rsidRDefault="00AC4185">
            <w:pPr>
              <w:autoSpaceDE w:val="0"/>
              <w:autoSpaceDN w:val="0"/>
              <w:adjustRightInd w:val="0"/>
              <w:jc w:val="right"/>
              <w:rPr>
                <w:szCs w:val="21"/>
              </w:rPr>
            </w:pPr>
            <w:r>
              <w:t>2,244,881.61</w:t>
            </w:r>
          </w:p>
        </w:tc>
        <w:tc>
          <w:tcPr>
            <w:tcW w:w="703" w:type="pct"/>
            <w:tcBorders>
              <w:top w:val="single" w:sz="4" w:space="0" w:color="auto"/>
              <w:left w:val="single" w:sz="4" w:space="0" w:color="auto"/>
              <w:bottom w:val="single" w:sz="4" w:space="0" w:color="auto"/>
              <w:right w:val="single" w:sz="4" w:space="0" w:color="auto"/>
            </w:tcBorders>
          </w:tcPr>
          <w:p w14:paraId="49A1887B" w14:textId="77777777" w:rsidR="00E57DAA" w:rsidRDefault="00AC4185">
            <w:pPr>
              <w:autoSpaceDE w:val="0"/>
              <w:autoSpaceDN w:val="0"/>
              <w:adjustRightInd w:val="0"/>
              <w:jc w:val="right"/>
              <w:rPr>
                <w:szCs w:val="21"/>
              </w:rPr>
            </w:pPr>
            <w:r>
              <w:t>1,459,783.20</w:t>
            </w:r>
          </w:p>
        </w:tc>
        <w:tc>
          <w:tcPr>
            <w:tcW w:w="914" w:type="pct"/>
            <w:tcBorders>
              <w:top w:val="single" w:sz="4" w:space="0" w:color="auto"/>
              <w:left w:val="single" w:sz="4" w:space="0" w:color="auto"/>
              <w:bottom w:val="single" w:sz="4" w:space="0" w:color="auto"/>
              <w:right w:val="single" w:sz="4" w:space="0" w:color="auto"/>
            </w:tcBorders>
          </w:tcPr>
          <w:p w14:paraId="54FDBA0A" w14:textId="77777777" w:rsidR="00E57DAA" w:rsidRDefault="00AC4185">
            <w:pPr>
              <w:autoSpaceDE w:val="0"/>
              <w:autoSpaceDN w:val="0"/>
              <w:adjustRightInd w:val="0"/>
              <w:jc w:val="right"/>
              <w:rPr>
                <w:szCs w:val="21"/>
              </w:rPr>
            </w:pPr>
            <w:r>
              <w:t>96,073.73</w:t>
            </w:r>
          </w:p>
        </w:tc>
      </w:tr>
      <w:tr w:rsidR="00E57DAA" w14:paraId="1D33D906" w14:textId="77777777">
        <w:tc>
          <w:tcPr>
            <w:tcW w:w="677" w:type="pct"/>
            <w:tcBorders>
              <w:top w:val="single" w:sz="4" w:space="0" w:color="auto"/>
              <w:left w:val="single" w:sz="4" w:space="0" w:color="auto"/>
              <w:bottom w:val="single" w:sz="4" w:space="0" w:color="auto"/>
              <w:right w:val="single" w:sz="4" w:space="0" w:color="auto"/>
            </w:tcBorders>
            <w:vAlign w:val="center"/>
          </w:tcPr>
          <w:p w14:paraId="633F9C3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A5827F9" w14:textId="77777777" w:rsidR="00E57DAA" w:rsidRDefault="00AC4185">
            <w:pPr>
              <w:autoSpaceDE w:val="0"/>
              <w:autoSpaceDN w:val="0"/>
              <w:adjustRightInd w:val="0"/>
              <w:rPr>
                <w:szCs w:val="21"/>
              </w:rPr>
            </w:pPr>
            <w:r>
              <w:t>牡丹江北方远东水泥有限公司</w:t>
            </w:r>
          </w:p>
        </w:tc>
        <w:tc>
          <w:tcPr>
            <w:tcW w:w="633" w:type="pct"/>
            <w:tcBorders>
              <w:top w:val="single" w:sz="4" w:space="0" w:color="auto"/>
              <w:left w:val="single" w:sz="4" w:space="0" w:color="auto"/>
              <w:bottom w:val="single" w:sz="4" w:space="0" w:color="auto"/>
              <w:right w:val="single" w:sz="4" w:space="0" w:color="auto"/>
            </w:tcBorders>
          </w:tcPr>
          <w:p w14:paraId="43022DF5" w14:textId="77777777" w:rsidR="00E57DAA" w:rsidRDefault="00AC4185">
            <w:pPr>
              <w:autoSpaceDE w:val="0"/>
              <w:autoSpaceDN w:val="0"/>
              <w:adjustRightInd w:val="0"/>
              <w:jc w:val="right"/>
              <w:rPr>
                <w:szCs w:val="21"/>
              </w:rPr>
            </w:pPr>
            <w:r>
              <w:t>83,493,974.31</w:t>
            </w:r>
          </w:p>
        </w:tc>
        <w:tc>
          <w:tcPr>
            <w:tcW w:w="632" w:type="pct"/>
            <w:tcBorders>
              <w:top w:val="single" w:sz="4" w:space="0" w:color="auto"/>
              <w:left w:val="single" w:sz="4" w:space="0" w:color="auto"/>
              <w:bottom w:val="single" w:sz="4" w:space="0" w:color="auto"/>
              <w:right w:val="single" w:sz="4" w:space="0" w:color="auto"/>
            </w:tcBorders>
          </w:tcPr>
          <w:p w14:paraId="45A9FA2D" w14:textId="77777777" w:rsidR="00E57DAA" w:rsidRDefault="00AC4185">
            <w:pPr>
              <w:autoSpaceDE w:val="0"/>
              <w:autoSpaceDN w:val="0"/>
              <w:adjustRightInd w:val="0"/>
              <w:jc w:val="right"/>
              <w:rPr>
                <w:szCs w:val="21"/>
              </w:rPr>
            </w:pPr>
            <w:r>
              <w:t>1,978,807.19</w:t>
            </w:r>
          </w:p>
        </w:tc>
        <w:tc>
          <w:tcPr>
            <w:tcW w:w="703" w:type="pct"/>
            <w:tcBorders>
              <w:top w:val="single" w:sz="4" w:space="0" w:color="auto"/>
              <w:left w:val="single" w:sz="4" w:space="0" w:color="auto"/>
              <w:bottom w:val="single" w:sz="4" w:space="0" w:color="auto"/>
              <w:right w:val="single" w:sz="4" w:space="0" w:color="auto"/>
            </w:tcBorders>
          </w:tcPr>
          <w:p w14:paraId="24EF78F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1FFCBA3" w14:textId="77777777" w:rsidR="00E57DAA" w:rsidRDefault="00AC4185">
            <w:pPr>
              <w:autoSpaceDE w:val="0"/>
              <w:autoSpaceDN w:val="0"/>
              <w:adjustRightInd w:val="0"/>
              <w:jc w:val="right"/>
              <w:rPr>
                <w:szCs w:val="21"/>
              </w:rPr>
            </w:pPr>
            <w:r>
              <w:t xml:space="preserve">　</w:t>
            </w:r>
          </w:p>
        </w:tc>
      </w:tr>
      <w:tr w:rsidR="00E57DAA" w14:paraId="36D5BB6C" w14:textId="77777777">
        <w:tc>
          <w:tcPr>
            <w:tcW w:w="677" w:type="pct"/>
            <w:tcBorders>
              <w:top w:val="single" w:sz="4" w:space="0" w:color="auto"/>
              <w:left w:val="single" w:sz="4" w:space="0" w:color="auto"/>
              <w:bottom w:val="single" w:sz="4" w:space="0" w:color="auto"/>
              <w:right w:val="single" w:sz="4" w:space="0" w:color="auto"/>
            </w:tcBorders>
            <w:vAlign w:val="center"/>
          </w:tcPr>
          <w:p w14:paraId="6919867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3490B95" w14:textId="77777777" w:rsidR="00E57DAA" w:rsidRDefault="00AC4185">
            <w:pPr>
              <w:autoSpaceDE w:val="0"/>
              <w:autoSpaceDN w:val="0"/>
              <w:adjustRightInd w:val="0"/>
              <w:rPr>
                <w:szCs w:val="21"/>
              </w:rPr>
            </w:pPr>
            <w:r>
              <w:t>翁源县中源发展有限公司</w:t>
            </w:r>
          </w:p>
        </w:tc>
        <w:tc>
          <w:tcPr>
            <w:tcW w:w="633" w:type="pct"/>
            <w:tcBorders>
              <w:top w:val="single" w:sz="4" w:space="0" w:color="auto"/>
              <w:left w:val="single" w:sz="4" w:space="0" w:color="auto"/>
              <w:bottom w:val="single" w:sz="4" w:space="0" w:color="auto"/>
              <w:right w:val="single" w:sz="4" w:space="0" w:color="auto"/>
            </w:tcBorders>
          </w:tcPr>
          <w:p w14:paraId="744E0002" w14:textId="77777777" w:rsidR="00E57DAA" w:rsidRDefault="00AC4185">
            <w:pPr>
              <w:autoSpaceDE w:val="0"/>
              <w:autoSpaceDN w:val="0"/>
              <w:adjustRightInd w:val="0"/>
              <w:jc w:val="right"/>
              <w:rPr>
                <w:szCs w:val="21"/>
              </w:rPr>
            </w:pPr>
            <w:r>
              <w:t>83,107,267.08</w:t>
            </w:r>
          </w:p>
        </w:tc>
        <w:tc>
          <w:tcPr>
            <w:tcW w:w="632" w:type="pct"/>
            <w:tcBorders>
              <w:top w:val="single" w:sz="4" w:space="0" w:color="auto"/>
              <w:left w:val="single" w:sz="4" w:space="0" w:color="auto"/>
              <w:bottom w:val="single" w:sz="4" w:space="0" w:color="auto"/>
              <w:right w:val="single" w:sz="4" w:space="0" w:color="auto"/>
            </w:tcBorders>
          </w:tcPr>
          <w:p w14:paraId="6F63455C" w14:textId="77777777" w:rsidR="00E57DAA" w:rsidRDefault="00AC4185">
            <w:pPr>
              <w:autoSpaceDE w:val="0"/>
              <w:autoSpaceDN w:val="0"/>
              <w:adjustRightInd w:val="0"/>
              <w:jc w:val="right"/>
              <w:rPr>
                <w:szCs w:val="21"/>
              </w:rPr>
            </w:pPr>
            <w:r>
              <w:t>4,768,642.44</w:t>
            </w:r>
          </w:p>
        </w:tc>
        <w:tc>
          <w:tcPr>
            <w:tcW w:w="703" w:type="pct"/>
            <w:tcBorders>
              <w:top w:val="single" w:sz="4" w:space="0" w:color="auto"/>
              <w:left w:val="single" w:sz="4" w:space="0" w:color="auto"/>
              <w:bottom w:val="single" w:sz="4" w:space="0" w:color="auto"/>
              <w:right w:val="single" w:sz="4" w:space="0" w:color="auto"/>
            </w:tcBorders>
          </w:tcPr>
          <w:p w14:paraId="4E68C558" w14:textId="77777777" w:rsidR="00E57DAA" w:rsidRDefault="00AC4185">
            <w:pPr>
              <w:autoSpaceDE w:val="0"/>
              <w:autoSpaceDN w:val="0"/>
              <w:adjustRightInd w:val="0"/>
              <w:jc w:val="right"/>
              <w:rPr>
                <w:szCs w:val="21"/>
              </w:rPr>
            </w:pPr>
            <w:r>
              <w:t>73,262,258.08</w:t>
            </w:r>
          </w:p>
        </w:tc>
        <w:tc>
          <w:tcPr>
            <w:tcW w:w="914" w:type="pct"/>
            <w:tcBorders>
              <w:top w:val="single" w:sz="4" w:space="0" w:color="auto"/>
              <w:left w:val="single" w:sz="4" w:space="0" w:color="auto"/>
              <w:bottom w:val="single" w:sz="4" w:space="0" w:color="auto"/>
              <w:right w:val="single" w:sz="4" w:space="0" w:color="auto"/>
            </w:tcBorders>
          </w:tcPr>
          <w:p w14:paraId="2467A29A" w14:textId="77777777" w:rsidR="00E57DAA" w:rsidRDefault="00AC4185">
            <w:pPr>
              <w:autoSpaceDE w:val="0"/>
              <w:autoSpaceDN w:val="0"/>
              <w:adjustRightInd w:val="0"/>
              <w:jc w:val="right"/>
              <w:rPr>
                <w:szCs w:val="21"/>
              </w:rPr>
            </w:pPr>
            <w:r>
              <w:t>1,796,537.41</w:t>
            </w:r>
          </w:p>
        </w:tc>
      </w:tr>
      <w:tr w:rsidR="00E57DAA" w14:paraId="06862396" w14:textId="77777777">
        <w:tc>
          <w:tcPr>
            <w:tcW w:w="677" w:type="pct"/>
            <w:tcBorders>
              <w:top w:val="single" w:sz="4" w:space="0" w:color="auto"/>
              <w:left w:val="single" w:sz="4" w:space="0" w:color="auto"/>
              <w:bottom w:val="single" w:sz="4" w:space="0" w:color="auto"/>
              <w:right w:val="single" w:sz="4" w:space="0" w:color="auto"/>
            </w:tcBorders>
            <w:vAlign w:val="center"/>
          </w:tcPr>
          <w:p w14:paraId="4083F10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0C28EBC" w14:textId="77777777" w:rsidR="00E57DAA" w:rsidRDefault="00AC4185">
            <w:pPr>
              <w:autoSpaceDE w:val="0"/>
              <w:autoSpaceDN w:val="0"/>
              <w:adjustRightInd w:val="0"/>
              <w:rPr>
                <w:szCs w:val="21"/>
              </w:rPr>
            </w:pPr>
            <w:r>
              <w:t>广西金鲤水泥有限公司</w:t>
            </w:r>
          </w:p>
        </w:tc>
        <w:tc>
          <w:tcPr>
            <w:tcW w:w="633" w:type="pct"/>
            <w:tcBorders>
              <w:top w:val="single" w:sz="4" w:space="0" w:color="auto"/>
              <w:left w:val="single" w:sz="4" w:space="0" w:color="auto"/>
              <w:bottom w:val="single" w:sz="4" w:space="0" w:color="auto"/>
              <w:right w:val="single" w:sz="4" w:space="0" w:color="auto"/>
            </w:tcBorders>
          </w:tcPr>
          <w:p w14:paraId="62EA7911" w14:textId="77777777" w:rsidR="00E57DAA" w:rsidRDefault="00AC4185">
            <w:pPr>
              <w:autoSpaceDE w:val="0"/>
              <w:autoSpaceDN w:val="0"/>
              <w:adjustRightInd w:val="0"/>
              <w:jc w:val="right"/>
              <w:rPr>
                <w:szCs w:val="21"/>
              </w:rPr>
            </w:pPr>
            <w:r>
              <w:t>69,134,370.76</w:t>
            </w:r>
          </w:p>
        </w:tc>
        <w:tc>
          <w:tcPr>
            <w:tcW w:w="632" w:type="pct"/>
            <w:tcBorders>
              <w:top w:val="single" w:sz="4" w:space="0" w:color="auto"/>
              <w:left w:val="single" w:sz="4" w:space="0" w:color="auto"/>
              <w:bottom w:val="single" w:sz="4" w:space="0" w:color="auto"/>
              <w:right w:val="single" w:sz="4" w:space="0" w:color="auto"/>
            </w:tcBorders>
          </w:tcPr>
          <w:p w14:paraId="583378E9" w14:textId="77777777" w:rsidR="00E57DAA" w:rsidRDefault="00AC4185">
            <w:pPr>
              <w:autoSpaceDE w:val="0"/>
              <w:autoSpaceDN w:val="0"/>
              <w:adjustRightInd w:val="0"/>
              <w:jc w:val="right"/>
              <w:rPr>
                <w:szCs w:val="21"/>
              </w:rPr>
            </w:pPr>
            <w:r>
              <w:t>1,395,992.64</w:t>
            </w:r>
          </w:p>
        </w:tc>
        <w:tc>
          <w:tcPr>
            <w:tcW w:w="703" w:type="pct"/>
            <w:tcBorders>
              <w:top w:val="single" w:sz="4" w:space="0" w:color="auto"/>
              <w:left w:val="single" w:sz="4" w:space="0" w:color="auto"/>
              <w:bottom w:val="single" w:sz="4" w:space="0" w:color="auto"/>
              <w:right w:val="single" w:sz="4" w:space="0" w:color="auto"/>
            </w:tcBorders>
          </w:tcPr>
          <w:p w14:paraId="49B26686" w14:textId="77777777" w:rsidR="00E57DAA" w:rsidRDefault="00AC4185">
            <w:pPr>
              <w:autoSpaceDE w:val="0"/>
              <w:autoSpaceDN w:val="0"/>
              <w:adjustRightInd w:val="0"/>
              <w:jc w:val="right"/>
              <w:rPr>
                <w:szCs w:val="21"/>
              </w:rPr>
            </w:pPr>
            <w:r>
              <w:t>4,637,707.97</w:t>
            </w:r>
          </w:p>
        </w:tc>
        <w:tc>
          <w:tcPr>
            <w:tcW w:w="914" w:type="pct"/>
            <w:tcBorders>
              <w:top w:val="single" w:sz="4" w:space="0" w:color="auto"/>
              <w:left w:val="single" w:sz="4" w:space="0" w:color="auto"/>
              <w:bottom w:val="single" w:sz="4" w:space="0" w:color="auto"/>
              <w:right w:val="single" w:sz="4" w:space="0" w:color="auto"/>
            </w:tcBorders>
          </w:tcPr>
          <w:p w14:paraId="5C140163" w14:textId="77777777" w:rsidR="00E57DAA" w:rsidRDefault="00AC4185">
            <w:pPr>
              <w:autoSpaceDE w:val="0"/>
              <w:autoSpaceDN w:val="0"/>
              <w:adjustRightInd w:val="0"/>
              <w:jc w:val="right"/>
              <w:rPr>
                <w:szCs w:val="21"/>
              </w:rPr>
            </w:pPr>
            <w:r>
              <w:t>81,339.00</w:t>
            </w:r>
          </w:p>
        </w:tc>
      </w:tr>
      <w:tr w:rsidR="00E57DAA" w14:paraId="488024ED" w14:textId="77777777">
        <w:tc>
          <w:tcPr>
            <w:tcW w:w="677" w:type="pct"/>
            <w:tcBorders>
              <w:top w:val="single" w:sz="4" w:space="0" w:color="auto"/>
              <w:left w:val="single" w:sz="4" w:space="0" w:color="auto"/>
              <w:bottom w:val="single" w:sz="4" w:space="0" w:color="auto"/>
              <w:right w:val="single" w:sz="4" w:space="0" w:color="auto"/>
            </w:tcBorders>
            <w:vAlign w:val="center"/>
          </w:tcPr>
          <w:p w14:paraId="630FE53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3D86F60" w14:textId="77777777" w:rsidR="00E57DAA" w:rsidRDefault="00AC4185">
            <w:pPr>
              <w:autoSpaceDE w:val="0"/>
              <w:autoSpaceDN w:val="0"/>
              <w:adjustRightInd w:val="0"/>
              <w:rPr>
                <w:szCs w:val="21"/>
              </w:rPr>
            </w:pPr>
            <w:r>
              <w:t>宁夏青铜峡水泥股份有限公司</w:t>
            </w:r>
          </w:p>
        </w:tc>
        <w:tc>
          <w:tcPr>
            <w:tcW w:w="633" w:type="pct"/>
            <w:tcBorders>
              <w:top w:val="single" w:sz="4" w:space="0" w:color="auto"/>
              <w:left w:val="single" w:sz="4" w:space="0" w:color="auto"/>
              <w:bottom w:val="single" w:sz="4" w:space="0" w:color="auto"/>
              <w:right w:val="single" w:sz="4" w:space="0" w:color="auto"/>
            </w:tcBorders>
          </w:tcPr>
          <w:p w14:paraId="5135A944" w14:textId="77777777" w:rsidR="00E57DAA" w:rsidRDefault="00AC4185">
            <w:pPr>
              <w:autoSpaceDE w:val="0"/>
              <w:autoSpaceDN w:val="0"/>
              <w:adjustRightInd w:val="0"/>
              <w:jc w:val="right"/>
              <w:rPr>
                <w:szCs w:val="21"/>
              </w:rPr>
            </w:pPr>
            <w:r>
              <w:t>57,777,062.82</w:t>
            </w:r>
          </w:p>
        </w:tc>
        <w:tc>
          <w:tcPr>
            <w:tcW w:w="632" w:type="pct"/>
            <w:tcBorders>
              <w:top w:val="single" w:sz="4" w:space="0" w:color="auto"/>
              <w:left w:val="single" w:sz="4" w:space="0" w:color="auto"/>
              <w:bottom w:val="single" w:sz="4" w:space="0" w:color="auto"/>
              <w:right w:val="single" w:sz="4" w:space="0" w:color="auto"/>
            </w:tcBorders>
          </w:tcPr>
          <w:p w14:paraId="12AB650E" w14:textId="77777777" w:rsidR="00E57DAA" w:rsidRDefault="00AC4185">
            <w:pPr>
              <w:autoSpaceDE w:val="0"/>
              <w:autoSpaceDN w:val="0"/>
              <w:adjustRightInd w:val="0"/>
              <w:jc w:val="right"/>
              <w:rPr>
                <w:szCs w:val="21"/>
              </w:rPr>
            </w:pPr>
            <w:r>
              <w:t>2,276,657.66</w:t>
            </w:r>
          </w:p>
        </w:tc>
        <w:tc>
          <w:tcPr>
            <w:tcW w:w="703" w:type="pct"/>
            <w:tcBorders>
              <w:top w:val="single" w:sz="4" w:space="0" w:color="auto"/>
              <w:left w:val="single" w:sz="4" w:space="0" w:color="auto"/>
              <w:bottom w:val="single" w:sz="4" w:space="0" w:color="auto"/>
              <w:right w:val="single" w:sz="4" w:space="0" w:color="auto"/>
            </w:tcBorders>
          </w:tcPr>
          <w:p w14:paraId="54508B46" w14:textId="77777777" w:rsidR="00E57DAA" w:rsidRDefault="00AC4185">
            <w:pPr>
              <w:autoSpaceDE w:val="0"/>
              <w:autoSpaceDN w:val="0"/>
              <w:adjustRightInd w:val="0"/>
              <w:jc w:val="right"/>
              <w:rPr>
                <w:szCs w:val="21"/>
              </w:rPr>
            </w:pPr>
            <w:r>
              <w:t>19,391,014.18</w:t>
            </w:r>
          </w:p>
        </w:tc>
        <w:tc>
          <w:tcPr>
            <w:tcW w:w="914" w:type="pct"/>
            <w:tcBorders>
              <w:top w:val="single" w:sz="4" w:space="0" w:color="auto"/>
              <w:left w:val="single" w:sz="4" w:space="0" w:color="auto"/>
              <w:bottom w:val="single" w:sz="4" w:space="0" w:color="auto"/>
              <w:right w:val="single" w:sz="4" w:space="0" w:color="auto"/>
            </w:tcBorders>
          </w:tcPr>
          <w:p w14:paraId="30FBD752" w14:textId="77777777" w:rsidR="00E57DAA" w:rsidRDefault="00AC4185">
            <w:pPr>
              <w:autoSpaceDE w:val="0"/>
              <w:autoSpaceDN w:val="0"/>
              <w:adjustRightInd w:val="0"/>
              <w:jc w:val="right"/>
              <w:rPr>
                <w:szCs w:val="21"/>
              </w:rPr>
            </w:pPr>
            <w:r>
              <w:t>1,089,831.15</w:t>
            </w:r>
          </w:p>
        </w:tc>
      </w:tr>
      <w:tr w:rsidR="00E57DAA" w14:paraId="7489FDB9" w14:textId="77777777">
        <w:tc>
          <w:tcPr>
            <w:tcW w:w="677" w:type="pct"/>
            <w:tcBorders>
              <w:top w:val="single" w:sz="4" w:space="0" w:color="auto"/>
              <w:left w:val="single" w:sz="4" w:space="0" w:color="auto"/>
              <w:bottom w:val="single" w:sz="4" w:space="0" w:color="auto"/>
              <w:right w:val="single" w:sz="4" w:space="0" w:color="auto"/>
            </w:tcBorders>
            <w:vAlign w:val="center"/>
          </w:tcPr>
          <w:p w14:paraId="7715848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F89B5CA" w14:textId="77777777" w:rsidR="00E57DAA" w:rsidRDefault="00AC4185">
            <w:pPr>
              <w:autoSpaceDE w:val="0"/>
              <w:autoSpaceDN w:val="0"/>
              <w:adjustRightInd w:val="0"/>
              <w:rPr>
                <w:szCs w:val="21"/>
              </w:rPr>
            </w:pPr>
            <w:r>
              <w:t>济宁中联水泥有限公司</w:t>
            </w:r>
          </w:p>
        </w:tc>
        <w:tc>
          <w:tcPr>
            <w:tcW w:w="633" w:type="pct"/>
            <w:tcBorders>
              <w:top w:val="single" w:sz="4" w:space="0" w:color="auto"/>
              <w:left w:val="single" w:sz="4" w:space="0" w:color="auto"/>
              <w:bottom w:val="single" w:sz="4" w:space="0" w:color="auto"/>
              <w:right w:val="single" w:sz="4" w:space="0" w:color="auto"/>
            </w:tcBorders>
          </w:tcPr>
          <w:p w14:paraId="310FC759" w14:textId="77777777" w:rsidR="00E57DAA" w:rsidRDefault="00AC4185">
            <w:pPr>
              <w:autoSpaceDE w:val="0"/>
              <w:autoSpaceDN w:val="0"/>
              <w:adjustRightInd w:val="0"/>
              <w:jc w:val="right"/>
              <w:rPr>
                <w:szCs w:val="21"/>
              </w:rPr>
            </w:pPr>
            <w:r>
              <w:t>46,989,104.64</w:t>
            </w:r>
          </w:p>
        </w:tc>
        <w:tc>
          <w:tcPr>
            <w:tcW w:w="632" w:type="pct"/>
            <w:tcBorders>
              <w:top w:val="single" w:sz="4" w:space="0" w:color="auto"/>
              <w:left w:val="single" w:sz="4" w:space="0" w:color="auto"/>
              <w:bottom w:val="single" w:sz="4" w:space="0" w:color="auto"/>
              <w:right w:val="single" w:sz="4" w:space="0" w:color="auto"/>
            </w:tcBorders>
          </w:tcPr>
          <w:p w14:paraId="455F6751" w14:textId="77777777" w:rsidR="00E57DAA" w:rsidRDefault="00AC4185">
            <w:pPr>
              <w:autoSpaceDE w:val="0"/>
              <w:autoSpaceDN w:val="0"/>
              <w:adjustRightInd w:val="0"/>
              <w:jc w:val="right"/>
              <w:rPr>
                <w:szCs w:val="21"/>
              </w:rPr>
            </w:pPr>
            <w:r>
              <w:t>1,748,110.55</w:t>
            </w:r>
          </w:p>
        </w:tc>
        <w:tc>
          <w:tcPr>
            <w:tcW w:w="703" w:type="pct"/>
            <w:tcBorders>
              <w:top w:val="single" w:sz="4" w:space="0" w:color="auto"/>
              <w:left w:val="single" w:sz="4" w:space="0" w:color="auto"/>
              <w:bottom w:val="single" w:sz="4" w:space="0" w:color="auto"/>
              <w:right w:val="single" w:sz="4" w:space="0" w:color="auto"/>
            </w:tcBorders>
          </w:tcPr>
          <w:p w14:paraId="780B5AED" w14:textId="77777777" w:rsidR="00E57DAA" w:rsidRDefault="00AC4185">
            <w:pPr>
              <w:autoSpaceDE w:val="0"/>
              <w:autoSpaceDN w:val="0"/>
              <w:adjustRightInd w:val="0"/>
              <w:jc w:val="right"/>
              <w:rPr>
                <w:szCs w:val="21"/>
              </w:rPr>
            </w:pPr>
            <w:r>
              <w:t>2,000,000.00</w:t>
            </w:r>
          </w:p>
        </w:tc>
        <w:tc>
          <w:tcPr>
            <w:tcW w:w="914" w:type="pct"/>
            <w:tcBorders>
              <w:top w:val="single" w:sz="4" w:space="0" w:color="auto"/>
              <w:left w:val="single" w:sz="4" w:space="0" w:color="auto"/>
              <w:bottom w:val="single" w:sz="4" w:space="0" w:color="auto"/>
              <w:right w:val="single" w:sz="4" w:space="0" w:color="auto"/>
            </w:tcBorders>
          </w:tcPr>
          <w:p w14:paraId="66AC2165" w14:textId="77777777" w:rsidR="00E57DAA" w:rsidRDefault="00AC4185">
            <w:pPr>
              <w:autoSpaceDE w:val="0"/>
              <w:autoSpaceDN w:val="0"/>
              <w:adjustRightInd w:val="0"/>
              <w:jc w:val="right"/>
              <w:rPr>
                <w:szCs w:val="21"/>
              </w:rPr>
            </w:pPr>
            <w:r>
              <w:t>200,000.00</w:t>
            </w:r>
          </w:p>
        </w:tc>
      </w:tr>
      <w:tr w:rsidR="00E57DAA" w14:paraId="0C1DCE72" w14:textId="77777777">
        <w:tc>
          <w:tcPr>
            <w:tcW w:w="677" w:type="pct"/>
            <w:tcBorders>
              <w:top w:val="single" w:sz="4" w:space="0" w:color="auto"/>
              <w:left w:val="single" w:sz="4" w:space="0" w:color="auto"/>
              <w:bottom w:val="single" w:sz="4" w:space="0" w:color="auto"/>
              <w:right w:val="single" w:sz="4" w:space="0" w:color="auto"/>
            </w:tcBorders>
            <w:vAlign w:val="center"/>
          </w:tcPr>
          <w:p w14:paraId="6CD7A0D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7420AAF" w14:textId="77777777" w:rsidR="00E57DAA" w:rsidRDefault="00AC4185">
            <w:pPr>
              <w:autoSpaceDE w:val="0"/>
              <w:autoSpaceDN w:val="0"/>
              <w:adjustRightInd w:val="0"/>
              <w:rPr>
                <w:szCs w:val="21"/>
              </w:rPr>
            </w:pPr>
            <w:r>
              <w:t>乐昌市中建材水泥有限公司</w:t>
            </w:r>
          </w:p>
        </w:tc>
        <w:tc>
          <w:tcPr>
            <w:tcW w:w="633" w:type="pct"/>
            <w:tcBorders>
              <w:top w:val="single" w:sz="4" w:space="0" w:color="auto"/>
              <w:left w:val="single" w:sz="4" w:space="0" w:color="auto"/>
              <w:bottom w:val="single" w:sz="4" w:space="0" w:color="auto"/>
              <w:right w:val="single" w:sz="4" w:space="0" w:color="auto"/>
            </w:tcBorders>
          </w:tcPr>
          <w:p w14:paraId="2BA0A66E" w14:textId="77777777" w:rsidR="00E57DAA" w:rsidRDefault="00AC4185">
            <w:pPr>
              <w:autoSpaceDE w:val="0"/>
              <w:autoSpaceDN w:val="0"/>
              <w:adjustRightInd w:val="0"/>
              <w:jc w:val="right"/>
              <w:rPr>
                <w:szCs w:val="21"/>
              </w:rPr>
            </w:pPr>
            <w:r>
              <w:t>40,685,136.89</w:t>
            </w:r>
          </w:p>
        </w:tc>
        <w:tc>
          <w:tcPr>
            <w:tcW w:w="632" w:type="pct"/>
            <w:tcBorders>
              <w:top w:val="single" w:sz="4" w:space="0" w:color="auto"/>
              <w:left w:val="single" w:sz="4" w:space="0" w:color="auto"/>
              <w:bottom w:val="single" w:sz="4" w:space="0" w:color="auto"/>
              <w:right w:val="single" w:sz="4" w:space="0" w:color="auto"/>
            </w:tcBorders>
          </w:tcPr>
          <w:p w14:paraId="4D1D8F0B" w14:textId="77777777" w:rsidR="00E57DAA" w:rsidRDefault="00AC4185">
            <w:pPr>
              <w:autoSpaceDE w:val="0"/>
              <w:autoSpaceDN w:val="0"/>
              <w:adjustRightInd w:val="0"/>
              <w:jc w:val="right"/>
              <w:rPr>
                <w:szCs w:val="21"/>
              </w:rPr>
            </w:pPr>
            <w:r>
              <w:t>3,235,357.37</w:t>
            </w:r>
          </w:p>
        </w:tc>
        <w:tc>
          <w:tcPr>
            <w:tcW w:w="703" w:type="pct"/>
            <w:tcBorders>
              <w:top w:val="single" w:sz="4" w:space="0" w:color="auto"/>
              <w:left w:val="single" w:sz="4" w:space="0" w:color="auto"/>
              <w:bottom w:val="single" w:sz="4" w:space="0" w:color="auto"/>
              <w:right w:val="single" w:sz="4" w:space="0" w:color="auto"/>
            </w:tcBorders>
          </w:tcPr>
          <w:p w14:paraId="020584F9" w14:textId="77777777" w:rsidR="00E57DAA" w:rsidRDefault="00AC4185">
            <w:pPr>
              <w:autoSpaceDE w:val="0"/>
              <w:autoSpaceDN w:val="0"/>
              <w:adjustRightInd w:val="0"/>
              <w:jc w:val="right"/>
              <w:rPr>
                <w:szCs w:val="21"/>
              </w:rPr>
            </w:pPr>
            <w:r>
              <w:t>38,848,787.33</w:t>
            </w:r>
          </w:p>
        </w:tc>
        <w:tc>
          <w:tcPr>
            <w:tcW w:w="914" w:type="pct"/>
            <w:tcBorders>
              <w:top w:val="single" w:sz="4" w:space="0" w:color="auto"/>
              <w:left w:val="single" w:sz="4" w:space="0" w:color="auto"/>
              <w:bottom w:val="single" w:sz="4" w:space="0" w:color="auto"/>
              <w:right w:val="single" w:sz="4" w:space="0" w:color="auto"/>
            </w:tcBorders>
          </w:tcPr>
          <w:p w14:paraId="28CAEE1E" w14:textId="77777777" w:rsidR="00E57DAA" w:rsidRDefault="00AC4185">
            <w:pPr>
              <w:autoSpaceDE w:val="0"/>
              <w:autoSpaceDN w:val="0"/>
              <w:adjustRightInd w:val="0"/>
              <w:jc w:val="right"/>
              <w:rPr>
                <w:szCs w:val="21"/>
              </w:rPr>
            </w:pPr>
            <w:r>
              <w:t>1,333,560.89</w:t>
            </w:r>
          </w:p>
        </w:tc>
      </w:tr>
      <w:tr w:rsidR="00E57DAA" w14:paraId="1C5231A3" w14:textId="77777777">
        <w:tc>
          <w:tcPr>
            <w:tcW w:w="677" w:type="pct"/>
            <w:tcBorders>
              <w:top w:val="single" w:sz="4" w:space="0" w:color="auto"/>
              <w:left w:val="single" w:sz="4" w:space="0" w:color="auto"/>
              <w:bottom w:val="single" w:sz="4" w:space="0" w:color="auto"/>
              <w:right w:val="single" w:sz="4" w:space="0" w:color="auto"/>
            </w:tcBorders>
            <w:vAlign w:val="center"/>
          </w:tcPr>
          <w:p w14:paraId="6E8591D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5393901" w14:textId="77777777" w:rsidR="00E57DAA" w:rsidRDefault="00AC4185">
            <w:pPr>
              <w:autoSpaceDE w:val="0"/>
              <w:autoSpaceDN w:val="0"/>
              <w:adjustRightInd w:val="0"/>
              <w:rPr>
                <w:szCs w:val="21"/>
              </w:rPr>
            </w:pPr>
            <w:r>
              <w:t>抚州市东乡区上陈新材料有限公司</w:t>
            </w:r>
          </w:p>
        </w:tc>
        <w:tc>
          <w:tcPr>
            <w:tcW w:w="633" w:type="pct"/>
            <w:tcBorders>
              <w:top w:val="single" w:sz="4" w:space="0" w:color="auto"/>
              <w:left w:val="single" w:sz="4" w:space="0" w:color="auto"/>
              <w:bottom w:val="single" w:sz="4" w:space="0" w:color="auto"/>
              <w:right w:val="single" w:sz="4" w:space="0" w:color="auto"/>
            </w:tcBorders>
          </w:tcPr>
          <w:p w14:paraId="4F4CA8EA" w14:textId="77777777" w:rsidR="00E57DAA" w:rsidRDefault="00AC4185">
            <w:pPr>
              <w:autoSpaceDE w:val="0"/>
              <w:autoSpaceDN w:val="0"/>
              <w:adjustRightInd w:val="0"/>
              <w:jc w:val="right"/>
              <w:rPr>
                <w:szCs w:val="21"/>
              </w:rPr>
            </w:pPr>
            <w:r>
              <w:t>34,478,422.53</w:t>
            </w:r>
          </w:p>
        </w:tc>
        <w:tc>
          <w:tcPr>
            <w:tcW w:w="632" w:type="pct"/>
            <w:tcBorders>
              <w:top w:val="single" w:sz="4" w:space="0" w:color="auto"/>
              <w:left w:val="single" w:sz="4" w:space="0" w:color="auto"/>
              <w:bottom w:val="single" w:sz="4" w:space="0" w:color="auto"/>
              <w:right w:val="single" w:sz="4" w:space="0" w:color="auto"/>
            </w:tcBorders>
          </w:tcPr>
          <w:p w14:paraId="4AF8F2C6" w14:textId="77777777" w:rsidR="00E57DAA" w:rsidRDefault="00AC4185">
            <w:pPr>
              <w:autoSpaceDE w:val="0"/>
              <w:autoSpaceDN w:val="0"/>
              <w:adjustRightInd w:val="0"/>
              <w:jc w:val="right"/>
              <w:rPr>
                <w:szCs w:val="21"/>
              </w:rPr>
            </w:pPr>
            <w:r>
              <w:t>1,558,509.34</w:t>
            </w:r>
          </w:p>
        </w:tc>
        <w:tc>
          <w:tcPr>
            <w:tcW w:w="703" w:type="pct"/>
            <w:tcBorders>
              <w:top w:val="single" w:sz="4" w:space="0" w:color="auto"/>
              <w:left w:val="single" w:sz="4" w:space="0" w:color="auto"/>
              <w:bottom w:val="single" w:sz="4" w:space="0" w:color="auto"/>
              <w:right w:val="single" w:sz="4" w:space="0" w:color="auto"/>
            </w:tcBorders>
          </w:tcPr>
          <w:p w14:paraId="4B8660A2" w14:textId="77777777" w:rsidR="00E57DAA" w:rsidRDefault="00AC4185">
            <w:pPr>
              <w:autoSpaceDE w:val="0"/>
              <w:autoSpaceDN w:val="0"/>
              <w:adjustRightInd w:val="0"/>
              <w:jc w:val="right"/>
              <w:rPr>
                <w:szCs w:val="21"/>
              </w:rPr>
            </w:pPr>
            <w:r>
              <w:t>15,737,757.27</w:t>
            </w:r>
          </w:p>
        </w:tc>
        <w:tc>
          <w:tcPr>
            <w:tcW w:w="914" w:type="pct"/>
            <w:tcBorders>
              <w:top w:val="single" w:sz="4" w:space="0" w:color="auto"/>
              <w:left w:val="single" w:sz="4" w:space="0" w:color="auto"/>
              <w:bottom w:val="single" w:sz="4" w:space="0" w:color="auto"/>
              <w:right w:val="single" w:sz="4" w:space="0" w:color="auto"/>
            </w:tcBorders>
          </w:tcPr>
          <w:p w14:paraId="7D36045C" w14:textId="77777777" w:rsidR="00E57DAA" w:rsidRDefault="00AC4185">
            <w:pPr>
              <w:autoSpaceDE w:val="0"/>
              <w:autoSpaceDN w:val="0"/>
              <w:adjustRightInd w:val="0"/>
              <w:jc w:val="right"/>
              <w:rPr>
                <w:szCs w:val="21"/>
              </w:rPr>
            </w:pPr>
            <w:r>
              <w:t>648,337.92</w:t>
            </w:r>
          </w:p>
        </w:tc>
      </w:tr>
      <w:tr w:rsidR="00E57DAA" w14:paraId="12489832" w14:textId="77777777">
        <w:tc>
          <w:tcPr>
            <w:tcW w:w="677" w:type="pct"/>
            <w:tcBorders>
              <w:top w:val="single" w:sz="4" w:space="0" w:color="auto"/>
              <w:left w:val="single" w:sz="4" w:space="0" w:color="auto"/>
              <w:bottom w:val="single" w:sz="4" w:space="0" w:color="auto"/>
              <w:right w:val="single" w:sz="4" w:space="0" w:color="auto"/>
            </w:tcBorders>
            <w:vAlign w:val="center"/>
          </w:tcPr>
          <w:p w14:paraId="1847099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846C0DC" w14:textId="77777777" w:rsidR="00E57DAA" w:rsidRDefault="00AC4185">
            <w:pPr>
              <w:autoSpaceDE w:val="0"/>
              <w:autoSpaceDN w:val="0"/>
              <w:adjustRightInd w:val="0"/>
              <w:rPr>
                <w:szCs w:val="21"/>
              </w:rPr>
            </w:pPr>
            <w:r>
              <w:t>漳县祁连山水泥有限公司</w:t>
            </w:r>
          </w:p>
        </w:tc>
        <w:tc>
          <w:tcPr>
            <w:tcW w:w="633" w:type="pct"/>
            <w:tcBorders>
              <w:top w:val="single" w:sz="4" w:space="0" w:color="auto"/>
              <w:left w:val="single" w:sz="4" w:space="0" w:color="auto"/>
              <w:bottom w:val="single" w:sz="4" w:space="0" w:color="auto"/>
              <w:right w:val="single" w:sz="4" w:space="0" w:color="auto"/>
            </w:tcBorders>
          </w:tcPr>
          <w:p w14:paraId="4D61B92C" w14:textId="77777777" w:rsidR="00E57DAA" w:rsidRDefault="00AC4185">
            <w:pPr>
              <w:autoSpaceDE w:val="0"/>
              <w:autoSpaceDN w:val="0"/>
              <w:adjustRightInd w:val="0"/>
              <w:jc w:val="right"/>
              <w:rPr>
                <w:szCs w:val="21"/>
              </w:rPr>
            </w:pPr>
            <w:r>
              <w:t>33,863,616.00</w:t>
            </w:r>
          </w:p>
        </w:tc>
        <w:tc>
          <w:tcPr>
            <w:tcW w:w="632" w:type="pct"/>
            <w:tcBorders>
              <w:top w:val="single" w:sz="4" w:space="0" w:color="auto"/>
              <w:left w:val="single" w:sz="4" w:space="0" w:color="auto"/>
              <w:bottom w:val="single" w:sz="4" w:space="0" w:color="auto"/>
              <w:right w:val="single" w:sz="4" w:space="0" w:color="auto"/>
            </w:tcBorders>
          </w:tcPr>
          <w:p w14:paraId="3909B390" w14:textId="77777777" w:rsidR="00E57DAA" w:rsidRDefault="00AC4185">
            <w:pPr>
              <w:autoSpaceDE w:val="0"/>
              <w:autoSpaceDN w:val="0"/>
              <w:adjustRightInd w:val="0"/>
              <w:jc w:val="right"/>
              <w:rPr>
                <w:szCs w:val="21"/>
              </w:rPr>
            </w:pPr>
            <w:r>
              <w:t>802,567.70</w:t>
            </w:r>
          </w:p>
        </w:tc>
        <w:tc>
          <w:tcPr>
            <w:tcW w:w="703" w:type="pct"/>
            <w:tcBorders>
              <w:top w:val="single" w:sz="4" w:space="0" w:color="auto"/>
              <w:left w:val="single" w:sz="4" w:space="0" w:color="auto"/>
              <w:bottom w:val="single" w:sz="4" w:space="0" w:color="auto"/>
              <w:right w:val="single" w:sz="4" w:space="0" w:color="auto"/>
            </w:tcBorders>
          </w:tcPr>
          <w:p w14:paraId="443A6857" w14:textId="77777777" w:rsidR="00E57DAA" w:rsidRDefault="00AC4185">
            <w:pPr>
              <w:autoSpaceDE w:val="0"/>
              <w:autoSpaceDN w:val="0"/>
              <w:adjustRightInd w:val="0"/>
              <w:jc w:val="right"/>
              <w:rPr>
                <w:szCs w:val="21"/>
              </w:rPr>
            </w:pPr>
            <w:r>
              <w:t>530,549.76</w:t>
            </w:r>
          </w:p>
        </w:tc>
        <w:tc>
          <w:tcPr>
            <w:tcW w:w="914" w:type="pct"/>
            <w:tcBorders>
              <w:top w:val="single" w:sz="4" w:space="0" w:color="auto"/>
              <w:left w:val="single" w:sz="4" w:space="0" w:color="auto"/>
              <w:bottom w:val="single" w:sz="4" w:space="0" w:color="auto"/>
              <w:right w:val="single" w:sz="4" w:space="0" w:color="auto"/>
            </w:tcBorders>
          </w:tcPr>
          <w:p w14:paraId="0FC1A0F5" w14:textId="77777777" w:rsidR="00E57DAA" w:rsidRDefault="00AC4185">
            <w:pPr>
              <w:autoSpaceDE w:val="0"/>
              <w:autoSpaceDN w:val="0"/>
              <w:adjustRightInd w:val="0"/>
              <w:jc w:val="right"/>
              <w:rPr>
                <w:szCs w:val="21"/>
              </w:rPr>
            </w:pPr>
            <w:r>
              <w:t>6,812.31</w:t>
            </w:r>
          </w:p>
        </w:tc>
      </w:tr>
      <w:tr w:rsidR="00E57DAA" w14:paraId="55541B6C" w14:textId="77777777">
        <w:tc>
          <w:tcPr>
            <w:tcW w:w="677" w:type="pct"/>
            <w:tcBorders>
              <w:top w:val="single" w:sz="4" w:space="0" w:color="auto"/>
              <w:left w:val="single" w:sz="4" w:space="0" w:color="auto"/>
              <w:bottom w:val="single" w:sz="4" w:space="0" w:color="auto"/>
              <w:right w:val="single" w:sz="4" w:space="0" w:color="auto"/>
            </w:tcBorders>
            <w:vAlign w:val="center"/>
          </w:tcPr>
          <w:p w14:paraId="06036AB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C20C870" w14:textId="77777777" w:rsidR="00E57DAA" w:rsidRDefault="00AC4185">
            <w:pPr>
              <w:autoSpaceDE w:val="0"/>
              <w:autoSpaceDN w:val="0"/>
              <w:adjustRightInd w:val="0"/>
              <w:rPr>
                <w:szCs w:val="21"/>
              </w:rPr>
            </w:pPr>
            <w:r>
              <w:t>瑞昌市廊道运输有限公司</w:t>
            </w:r>
          </w:p>
        </w:tc>
        <w:tc>
          <w:tcPr>
            <w:tcW w:w="633" w:type="pct"/>
            <w:tcBorders>
              <w:top w:val="single" w:sz="4" w:space="0" w:color="auto"/>
              <w:left w:val="single" w:sz="4" w:space="0" w:color="auto"/>
              <w:bottom w:val="single" w:sz="4" w:space="0" w:color="auto"/>
              <w:right w:val="single" w:sz="4" w:space="0" w:color="auto"/>
            </w:tcBorders>
          </w:tcPr>
          <w:p w14:paraId="20B65D1C" w14:textId="77777777" w:rsidR="00E57DAA" w:rsidRDefault="00AC4185">
            <w:pPr>
              <w:autoSpaceDE w:val="0"/>
              <w:autoSpaceDN w:val="0"/>
              <w:adjustRightInd w:val="0"/>
              <w:jc w:val="right"/>
              <w:rPr>
                <w:szCs w:val="21"/>
              </w:rPr>
            </w:pPr>
            <w:r>
              <w:t>33,524,482.63</w:t>
            </w:r>
          </w:p>
        </w:tc>
        <w:tc>
          <w:tcPr>
            <w:tcW w:w="632" w:type="pct"/>
            <w:tcBorders>
              <w:top w:val="single" w:sz="4" w:space="0" w:color="auto"/>
              <w:left w:val="single" w:sz="4" w:space="0" w:color="auto"/>
              <w:bottom w:val="single" w:sz="4" w:space="0" w:color="auto"/>
              <w:right w:val="single" w:sz="4" w:space="0" w:color="auto"/>
            </w:tcBorders>
          </w:tcPr>
          <w:p w14:paraId="0F1ECEA5" w14:textId="77777777" w:rsidR="00E57DAA" w:rsidRDefault="00AC4185">
            <w:pPr>
              <w:autoSpaceDE w:val="0"/>
              <w:autoSpaceDN w:val="0"/>
              <w:adjustRightInd w:val="0"/>
              <w:jc w:val="right"/>
              <w:rPr>
                <w:szCs w:val="21"/>
              </w:rPr>
            </w:pPr>
            <w:r>
              <w:t>281,605.65</w:t>
            </w:r>
          </w:p>
        </w:tc>
        <w:tc>
          <w:tcPr>
            <w:tcW w:w="703" w:type="pct"/>
            <w:tcBorders>
              <w:top w:val="single" w:sz="4" w:space="0" w:color="auto"/>
              <w:left w:val="single" w:sz="4" w:space="0" w:color="auto"/>
              <w:bottom w:val="single" w:sz="4" w:space="0" w:color="auto"/>
              <w:right w:val="single" w:sz="4" w:space="0" w:color="auto"/>
            </w:tcBorders>
          </w:tcPr>
          <w:p w14:paraId="2BEA50C2" w14:textId="77777777" w:rsidR="00E57DAA" w:rsidRDefault="00AC4185">
            <w:pPr>
              <w:autoSpaceDE w:val="0"/>
              <w:autoSpaceDN w:val="0"/>
              <w:adjustRightInd w:val="0"/>
              <w:jc w:val="right"/>
              <w:rPr>
                <w:szCs w:val="21"/>
              </w:rPr>
            </w:pPr>
            <w:r>
              <w:t>27,026,592.41</w:t>
            </w:r>
          </w:p>
        </w:tc>
        <w:tc>
          <w:tcPr>
            <w:tcW w:w="914" w:type="pct"/>
            <w:tcBorders>
              <w:top w:val="single" w:sz="4" w:space="0" w:color="auto"/>
              <w:left w:val="single" w:sz="4" w:space="0" w:color="auto"/>
              <w:bottom w:val="single" w:sz="4" w:space="0" w:color="auto"/>
              <w:right w:val="single" w:sz="4" w:space="0" w:color="auto"/>
            </w:tcBorders>
          </w:tcPr>
          <w:p w14:paraId="5728DA86" w14:textId="77777777" w:rsidR="00E57DAA" w:rsidRDefault="00AC4185">
            <w:pPr>
              <w:autoSpaceDE w:val="0"/>
              <w:autoSpaceDN w:val="0"/>
              <w:adjustRightInd w:val="0"/>
              <w:jc w:val="right"/>
              <w:rPr>
                <w:szCs w:val="21"/>
              </w:rPr>
            </w:pPr>
            <w:r>
              <w:t>283,779.22</w:t>
            </w:r>
          </w:p>
        </w:tc>
      </w:tr>
      <w:tr w:rsidR="00E57DAA" w14:paraId="2DA6F0FB" w14:textId="77777777">
        <w:tc>
          <w:tcPr>
            <w:tcW w:w="677" w:type="pct"/>
            <w:tcBorders>
              <w:top w:val="single" w:sz="4" w:space="0" w:color="auto"/>
              <w:left w:val="single" w:sz="4" w:space="0" w:color="auto"/>
              <w:bottom w:val="single" w:sz="4" w:space="0" w:color="auto"/>
              <w:right w:val="single" w:sz="4" w:space="0" w:color="auto"/>
            </w:tcBorders>
            <w:vAlign w:val="center"/>
          </w:tcPr>
          <w:p w14:paraId="16ACE8C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26B25BD" w14:textId="77777777" w:rsidR="00E57DAA" w:rsidRDefault="00AC4185">
            <w:pPr>
              <w:autoSpaceDE w:val="0"/>
              <w:autoSpaceDN w:val="0"/>
              <w:adjustRightInd w:val="0"/>
              <w:rPr>
                <w:szCs w:val="21"/>
              </w:rPr>
            </w:pPr>
            <w:r>
              <w:t>崇左南方水泥有限公司</w:t>
            </w:r>
          </w:p>
        </w:tc>
        <w:tc>
          <w:tcPr>
            <w:tcW w:w="633" w:type="pct"/>
            <w:tcBorders>
              <w:top w:val="single" w:sz="4" w:space="0" w:color="auto"/>
              <w:left w:val="single" w:sz="4" w:space="0" w:color="auto"/>
              <w:bottom w:val="single" w:sz="4" w:space="0" w:color="auto"/>
              <w:right w:val="single" w:sz="4" w:space="0" w:color="auto"/>
            </w:tcBorders>
          </w:tcPr>
          <w:p w14:paraId="63937868" w14:textId="77777777" w:rsidR="00E57DAA" w:rsidRDefault="00AC4185">
            <w:pPr>
              <w:autoSpaceDE w:val="0"/>
              <w:autoSpaceDN w:val="0"/>
              <w:adjustRightInd w:val="0"/>
              <w:jc w:val="right"/>
              <w:rPr>
                <w:szCs w:val="21"/>
              </w:rPr>
            </w:pPr>
            <w:r>
              <w:t>31,333,802.68</w:t>
            </w:r>
          </w:p>
        </w:tc>
        <w:tc>
          <w:tcPr>
            <w:tcW w:w="632" w:type="pct"/>
            <w:tcBorders>
              <w:top w:val="single" w:sz="4" w:space="0" w:color="auto"/>
              <w:left w:val="single" w:sz="4" w:space="0" w:color="auto"/>
              <w:bottom w:val="single" w:sz="4" w:space="0" w:color="auto"/>
              <w:right w:val="single" w:sz="4" w:space="0" w:color="auto"/>
            </w:tcBorders>
          </w:tcPr>
          <w:p w14:paraId="2B7F2931" w14:textId="77777777" w:rsidR="00E57DAA" w:rsidRDefault="00AC4185">
            <w:pPr>
              <w:autoSpaceDE w:val="0"/>
              <w:autoSpaceDN w:val="0"/>
              <w:adjustRightInd w:val="0"/>
              <w:jc w:val="right"/>
              <w:rPr>
                <w:szCs w:val="21"/>
              </w:rPr>
            </w:pPr>
            <w:r>
              <w:t>574,275.50</w:t>
            </w:r>
          </w:p>
        </w:tc>
        <w:tc>
          <w:tcPr>
            <w:tcW w:w="703" w:type="pct"/>
            <w:tcBorders>
              <w:top w:val="single" w:sz="4" w:space="0" w:color="auto"/>
              <w:left w:val="single" w:sz="4" w:space="0" w:color="auto"/>
              <w:bottom w:val="single" w:sz="4" w:space="0" w:color="auto"/>
              <w:right w:val="single" w:sz="4" w:space="0" w:color="auto"/>
            </w:tcBorders>
          </w:tcPr>
          <w:p w14:paraId="485C0D80" w14:textId="77777777" w:rsidR="00E57DAA" w:rsidRDefault="00AC4185">
            <w:pPr>
              <w:autoSpaceDE w:val="0"/>
              <w:autoSpaceDN w:val="0"/>
              <w:adjustRightInd w:val="0"/>
              <w:jc w:val="right"/>
              <w:rPr>
                <w:szCs w:val="21"/>
              </w:rPr>
            </w:pPr>
            <w:r>
              <w:t>8,895,570.44</w:t>
            </w:r>
          </w:p>
        </w:tc>
        <w:tc>
          <w:tcPr>
            <w:tcW w:w="914" w:type="pct"/>
            <w:tcBorders>
              <w:top w:val="single" w:sz="4" w:space="0" w:color="auto"/>
              <w:left w:val="single" w:sz="4" w:space="0" w:color="auto"/>
              <w:bottom w:val="single" w:sz="4" w:space="0" w:color="auto"/>
              <w:right w:val="single" w:sz="4" w:space="0" w:color="auto"/>
            </w:tcBorders>
          </w:tcPr>
          <w:p w14:paraId="0E7EB308" w14:textId="77777777" w:rsidR="00E57DAA" w:rsidRDefault="00AC4185">
            <w:pPr>
              <w:autoSpaceDE w:val="0"/>
              <w:autoSpaceDN w:val="0"/>
              <w:adjustRightInd w:val="0"/>
              <w:jc w:val="right"/>
              <w:rPr>
                <w:szCs w:val="21"/>
              </w:rPr>
            </w:pPr>
            <w:r>
              <w:t>202,164.70</w:t>
            </w:r>
          </w:p>
        </w:tc>
      </w:tr>
      <w:tr w:rsidR="00E57DAA" w14:paraId="1BE6A07F" w14:textId="77777777">
        <w:tc>
          <w:tcPr>
            <w:tcW w:w="677" w:type="pct"/>
            <w:tcBorders>
              <w:top w:val="single" w:sz="4" w:space="0" w:color="auto"/>
              <w:left w:val="single" w:sz="4" w:space="0" w:color="auto"/>
              <w:bottom w:val="single" w:sz="4" w:space="0" w:color="auto"/>
              <w:right w:val="single" w:sz="4" w:space="0" w:color="auto"/>
            </w:tcBorders>
            <w:vAlign w:val="center"/>
          </w:tcPr>
          <w:p w14:paraId="7877941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E782393" w14:textId="77777777" w:rsidR="00E57DAA" w:rsidRDefault="00AC4185">
            <w:pPr>
              <w:autoSpaceDE w:val="0"/>
              <w:autoSpaceDN w:val="0"/>
              <w:adjustRightInd w:val="0"/>
              <w:rPr>
                <w:szCs w:val="21"/>
              </w:rPr>
            </w:pPr>
            <w:r>
              <w:t>含山南方水泥有限公司</w:t>
            </w:r>
          </w:p>
        </w:tc>
        <w:tc>
          <w:tcPr>
            <w:tcW w:w="633" w:type="pct"/>
            <w:tcBorders>
              <w:top w:val="single" w:sz="4" w:space="0" w:color="auto"/>
              <w:left w:val="single" w:sz="4" w:space="0" w:color="auto"/>
              <w:bottom w:val="single" w:sz="4" w:space="0" w:color="auto"/>
              <w:right w:val="single" w:sz="4" w:space="0" w:color="auto"/>
            </w:tcBorders>
          </w:tcPr>
          <w:p w14:paraId="01F97853" w14:textId="77777777" w:rsidR="00E57DAA" w:rsidRDefault="00AC4185">
            <w:pPr>
              <w:autoSpaceDE w:val="0"/>
              <w:autoSpaceDN w:val="0"/>
              <w:adjustRightInd w:val="0"/>
              <w:jc w:val="right"/>
              <w:rPr>
                <w:szCs w:val="21"/>
              </w:rPr>
            </w:pPr>
            <w:r>
              <w:t>30,064,331.90</w:t>
            </w:r>
          </w:p>
        </w:tc>
        <w:tc>
          <w:tcPr>
            <w:tcW w:w="632" w:type="pct"/>
            <w:tcBorders>
              <w:top w:val="single" w:sz="4" w:space="0" w:color="auto"/>
              <w:left w:val="single" w:sz="4" w:space="0" w:color="auto"/>
              <w:bottom w:val="single" w:sz="4" w:space="0" w:color="auto"/>
              <w:right w:val="single" w:sz="4" w:space="0" w:color="auto"/>
            </w:tcBorders>
          </w:tcPr>
          <w:p w14:paraId="5A89CB49" w14:textId="77777777" w:rsidR="00E57DAA" w:rsidRDefault="00AC4185">
            <w:pPr>
              <w:autoSpaceDE w:val="0"/>
              <w:autoSpaceDN w:val="0"/>
              <w:adjustRightInd w:val="0"/>
              <w:jc w:val="right"/>
              <w:rPr>
                <w:szCs w:val="21"/>
              </w:rPr>
            </w:pPr>
            <w:r>
              <w:t>1,413,557.67</w:t>
            </w:r>
          </w:p>
        </w:tc>
        <w:tc>
          <w:tcPr>
            <w:tcW w:w="703" w:type="pct"/>
            <w:tcBorders>
              <w:top w:val="single" w:sz="4" w:space="0" w:color="auto"/>
              <w:left w:val="single" w:sz="4" w:space="0" w:color="auto"/>
              <w:bottom w:val="single" w:sz="4" w:space="0" w:color="auto"/>
              <w:right w:val="single" w:sz="4" w:space="0" w:color="auto"/>
            </w:tcBorders>
          </w:tcPr>
          <w:p w14:paraId="7348A621" w14:textId="77777777" w:rsidR="00E57DAA" w:rsidRDefault="00AC4185">
            <w:pPr>
              <w:autoSpaceDE w:val="0"/>
              <w:autoSpaceDN w:val="0"/>
              <w:adjustRightInd w:val="0"/>
              <w:jc w:val="right"/>
              <w:rPr>
                <w:szCs w:val="21"/>
              </w:rPr>
            </w:pPr>
            <w:r>
              <w:t>25,962,076.36</w:t>
            </w:r>
          </w:p>
        </w:tc>
        <w:tc>
          <w:tcPr>
            <w:tcW w:w="914" w:type="pct"/>
            <w:tcBorders>
              <w:top w:val="single" w:sz="4" w:space="0" w:color="auto"/>
              <w:left w:val="single" w:sz="4" w:space="0" w:color="auto"/>
              <w:bottom w:val="single" w:sz="4" w:space="0" w:color="auto"/>
              <w:right w:val="single" w:sz="4" w:space="0" w:color="auto"/>
            </w:tcBorders>
          </w:tcPr>
          <w:p w14:paraId="451A4570" w14:textId="77777777" w:rsidR="00E57DAA" w:rsidRDefault="00AC4185">
            <w:pPr>
              <w:autoSpaceDE w:val="0"/>
              <w:autoSpaceDN w:val="0"/>
              <w:adjustRightInd w:val="0"/>
              <w:jc w:val="right"/>
              <w:rPr>
                <w:szCs w:val="21"/>
              </w:rPr>
            </w:pPr>
            <w:r>
              <w:t>706,241.82</w:t>
            </w:r>
          </w:p>
        </w:tc>
      </w:tr>
      <w:tr w:rsidR="00E57DAA" w14:paraId="44D6EC60" w14:textId="77777777">
        <w:tc>
          <w:tcPr>
            <w:tcW w:w="677" w:type="pct"/>
            <w:tcBorders>
              <w:top w:val="single" w:sz="4" w:space="0" w:color="auto"/>
              <w:left w:val="single" w:sz="4" w:space="0" w:color="auto"/>
              <w:bottom w:val="single" w:sz="4" w:space="0" w:color="auto"/>
              <w:right w:val="single" w:sz="4" w:space="0" w:color="auto"/>
            </w:tcBorders>
            <w:vAlign w:val="center"/>
          </w:tcPr>
          <w:p w14:paraId="79A7F48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5E1CA4" w14:textId="77777777" w:rsidR="00E57DAA" w:rsidRDefault="00AC4185">
            <w:pPr>
              <w:autoSpaceDE w:val="0"/>
              <w:autoSpaceDN w:val="0"/>
              <w:adjustRightInd w:val="0"/>
              <w:rPr>
                <w:szCs w:val="21"/>
              </w:rPr>
            </w:pPr>
            <w:r>
              <w:t>溧阳天山水泥有限公司</w:t>
            </w:r>
          </w:p>
        </w:tc>
        <w:tc>
          <w:tcPr>
            <w:tcW w:w="633" w:type="pct"/>
            <w:tcBorders>
              <w:top w:val="single" w:sz="4" w:space="0" w:color="auto"/>
              <w:left w:val="single" w:sz="4" w:space="0" w:color="auto"/>
              <w:bottom w:val="single" w:sz="4" w:space="0" w:color="auto"/>
              <w:right w:val="single" w:sz="4" w:space="0" w:color="auto"/>
            </w:tcBorders>
          </w:tcPr>
          <w:p w14:paraId="247DA1D0" w14:textId="77777777" w:rsidR="00E57DAA" w:rsidRDefault="00AC4185">
            <w:pPr>
              <w:autoSpaceDE w:val="0"/>
              <w:autoSpaceDN w:val="0"/>
              <w:adjustRightInd w:val="0"/>
              <w:jc w:val="right"/>
              <w:rPr>
                <w:szCs w:val="21"/>
              </w:rPr>
            </w:pPr>
            <w:r>
              <w:t>28,374,042.08</w:t>
            </w:r>
          </w:p>
        </w:tc>
        <w:tc>
          <w:tcPr>
            <w:tcW w:w="632" w:type="pct"/>
            <w:tcBorders>
              <w:top w:val="single" w:sz="4" w:space="0" w:color="auto"/>
              <w:left w:val="single" w:sz="4" w:space="0" w:color="auto"/>
              <w:bottom w:val="single" w:sz="4" w:space="0" w:color="auto"/>
              <w:right w:val="single" w:sz="4" w:space="0" w:color="auto"/>
            </w:tcBorders>
          </w:tcPr>
          <w:p w14:paraId="02B56110" w14:textId="77777777" w:rsidR="00E57DAA" w:rsidRDefault="00AC4185">
            <w:pPr>
              <w:autoSpaceDE w:val="0"/>
              <w:autoSpaceDN w:val="0"/>
              <w:adjustRightInd w:val="0"/>
              <w:jc w:val="right"/>
              <w:rPr>
                <w:szCs w:val="21"/>
              </w:rPr>
            </w:pPr>
            <w:r>
              <w:t>729,533.84</w:t>
            </w:r>
          </w:p>
        </w:tc>
        <w:tc>
          <w:tcPr>
            <w:tcW w:w="703" w:type="pct"/>
            <w:tcBorders>
              <w:top w:val="single" w:sz="4" w:space="0" w:color="auto"/>
              <w:left w:val="single" w:sz="4" w:space="0" w:color="auto"/>
              <w:bottom w:val="single" w:sz="4" w:space="0" w:color="auto"/>
              <w:right w:val="single" w:sz="4" w:space="0" w:color="auto"/>
            </w:tcBorders>
          </w:tcPr>
          <w:p w14:paraId="035954A5" w14:textId="77777777" w:rsidR="00E57DAA" w:rsidRDefault="00AC4185">
            <w:pPr>
              <w:autoSpaceDE w:val="0"/>
              <w:autoSpaceDN w:val="0"/>
              <w:adjustRightInd w:val="0"/>
              <w:jc w:val="right"/>
              <w:rPr>
                <w:szCs w:val="21"/>
              </w:rPr>
            </w:pPr>
            <w:r>
              <w:t>15,180,651.83</w:t>
            </w:r>
          </w:p>
        </w:tc>
        <w:tc>
          <w:tcPr>
            <w:tcW w:w="914" w:type="pct"/>
            <w:tcBorders>
              <w:top w:val="single" w:sz="4" w:space="0" w:color="auto"/>
              <w:left w:val="single" w:sz="4" w:space="0" w:color="auto"/>
              <w:bottom w:val="single" w:sz="4" w:space="0" w:color="auto"/>
              <w:right w:val="single" w:sz="4" w:space="0" w:color="auto"/>
            </w:tcBorders>
          </w:tcPr>
          <w:p w14:paraId="1510E968" w14:textId="77777777" w:rsidR="00E57DAA" w:rsidRDefault="00AC4185">
            <w:pPr>
              <w:autoSpaceDE w:val="0"/>
              <w:autoSpaceDN w:val="0"/>
              <w:adjustRightInd w:val="0"/>
              <w:jc w:val="right"/>
              <w:rPr>
                <w:szCs w:val="21"/>
              </w:rPr>
            </w:pPr>
            <w:r>
              <w:t>393,935.00</w:t>
            </w:r>
          </w:p>
        </w:tc>
      </w:tr>
      <w:tr w:rsidR="00E57DAA" w14:paraId="63609490" w14:textId="77777777">
        <w:tc>
          <w:tcPr>
            <w:tcW w:w="677" w:type="pct"/>
            <w:tcBorders>
              <w:top w:val="single" w:sz="4" w:space="0" w:color="auto"/>
              <w:left w:val="single" w:sz="4" w:space="0" w:color="auto"/>
              <w:bottom w:val="single" w:sz="4" w:space="0" w:color="auto"/>
              <w:right w:val="single" w:sz="4" w:space="0" w:color="auto"/>
            </w:tcBorders>
            <w:vAlign w:val="center"/>
          </w:tcPr>
          <w:p w14:paraId="0436F2E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B119023" w14:textId="77777777" w:rsidR="00E57DAA" w:rsidRDefault="00AC4185">
            <w:pPr>
              <w:autoSpaceDE w:val="0"/>
              <w:autoSpaceDN w:val="0"/>
              <w:adjustRightInd w:val="0"/>
              <w:rPr>
                <w:szCs w:val="21"/>
              </w:rPr>
            </w:pPr>
            <w:r>
              <w:t>古浪祁连山水泥有限公司</w:t>
            </w:r>
          </w:p>
        </w:tc>
        <w:tc>
          <w:tcPr>
            <w:tcW w:w="633" w:type="pct"/>
            <w:tcBorders>
              <w:top w:val="single" w:sz="4" w:space="0" w:color="auto"/>
              <w:left w:val="single" w:sz="4" w:space="0" w:color="auto"/>
              <w:bottom w:val="single" w:sz="4" w:space="0" w:color="auto"/>
              <w:right w:val="single" w:sz="4" w:space="0" w:color="auto"/>
            </w:tcBorders>
          </w:tcPr>
          <w:p w14:paraId="7BD37118" w14:textId="77777777" w:rsidR="00E57DAA" w:rsidRDefault="00AC4185">
            <w:pPr>
              <w:autoSpaceDE w:val="0"/>
              <w:autoSpaceDN w:val="0"/>
              <w:adjustRightInd w:val="0"/>
              <w:jc w:val="right"/>
              <w:rPr>
                <w:szCs w:val="21"/>
              </w:rPr>
            </w:pPr>
            <w:r>
              <w:t>26,727,599.15</w:t>
            </w:r>
          </w:p>
        </w:tc>
        <w:tc>
          <w:tcPr>
            <w:tcW w:w="632" w:type="pct"/>
            <w:tcBorders>
              <w:top w:val="single" w:sz="4" w:space="0" w:color="auto"/>
              <w:left w:val="single" w:sz="4" w:space="0" w:color="auto"/>
              <w:bottom w:val="single" w:sz="4" w:space="0" w:color="auto"/>
              <w:right w:val="single" w:sz="4" w:space="0" w:color="auto"/>
            </w:tcBorders>
          </w:tcPr>
          <w:p w14:paraId="79A69283" w14:textId="77777777" w:rsidR="00E57DAA" w:rsidRDefault="00AC4185">
            <w:pPr>
              <w:autoSpaceDE w:val="0"/>
              <w:autoSpaceDN w:val="0"/>
              <w:adjustRightInd w:val="0"/>
              <w:jc w:val="right"/>
              <w:rPr>
                <w:szCs w:val="21"/>
              </w:rPr>
            </w:pPr>
            <w:r>
              <w:t>598,927.75</w:t>
            </w:r>
          </w:p>
        </w:tc>
        <w:tc>
          <w:tcPr>
            <w:tcW w:w="703" w:type="pct"/>
            <w:tcBorders>
              <w:top w:val="single" w:sz="4" w:space="0" w:color="auto"/>
              <w:left w:val="single" w:sz="4" w:space="0" w:color="auto"/>
              <w:bottom w:val="single" w:sz="4" w:space="0" w:color="auto"/>
              <w:right w:val="single" w:sz="4" w:space="0" w:color="auto"/>
            </w:tcBorders>
          </w:tcPr>
          <w:p w14:paraId="064FA1E8" w14:textId="77777777" w:rsidR="00E57DAA" w:rsidRDefault="00AC4185">
            <w:pPr>
              <w:autoSpaceDE w:val="0"/>
              <w:autoSpaceDN w:val="0"/>
              <w:adjustRightInd w:val="0"/>
              <w:jc w:val="right"/>
              <w:rPr>
                <w:szCs w:val="21"/>
              </w:rPr>
            </w:pPr>
            <w:r>
              <w:t>4,437,335.95</w:t>
            </w:r>
          </w:p>
        </w:tc>
        <w:tc>
          <w:tcPr>
            <w:tcW w:w="914" w:type="pct"/>
            <w:tcBorders>
              <w:top w:val="single" w:sz="4" w:space="0" w:color="auto"/>
              <w:left w:val="single" w:sz="4" w:space="0" w:color="auto"/>
              <w:bottom w:val="single" w:sz="4" w:space="0" w:color="auto"/>
              <w:right w:val="single" w:sz="4" w:space="0" w:color="auto"/>
            </w:tcBorders>
          </w:tcPr>
          <w:p w14:paraId="3802ED91" w14:textId="77777777" w:rsidR="00E57DAA" w:rsidRDefault="00AC4185">
            <w:pPr>
              <w:autoSpaceDE w:val="0"/>
              <w:autoSpaceDN w:val="0"/>
              <w:adjustRightInd w:val="0"/>
              <w:jc w:val="right"/>
              <w:rPr>
                <w:szCs w:val="21"/>
              </w:rPr>
            </w:pPr>
            <w:r>
              <w:t>57,013.95</w:t>
            </w:r>
          </w:p>
        </w:tc>
      </w:tr>
      <w:tr w:rsidR="00E57DAA" w14:paraId="190635D8" w14:textId="77777777">
        <w:tc>
          <w:tcPr>
            <w:tcW w:w="677" w:type="pct"/>
            <w:tcBorders>
              <w:top w:val="single" w:sz="4" w:space="0" w:color="auto"/>
              <w:left w:val="single" w:sz="4" w:space="0" w:color="auto"/>
              <w:bottom w:val="single" w:sz="4" w:space="0" w:color="auto"/>
              <w:right w:val="single" w:sz="4" w:space="0" w:color="auto"/>
            </w:tcBorders>
            <w:vAlign w:val="center"/>
          </w:tcPr>
          <w:p w14:paraId="0B303DB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4BB7FEC" w14:textId="77777777" w:rsidR="00E57DAA" w:rsidRDefault="00AC4185">
            <w:pPr>
              <w:autoSpaceDE w:val="0"/>
              <w:autoSpaceDN w:val="0"/>
              <w:adjustRightInd w:val="0"/>
              <w:rPr>
                <w:szCs w:val="21"/>
              </w:rPr>
            </w:pPr>
            <w:r>
              <w:t>抚州市东乡区南方新材料有限公司</w:t>
            </w:r>
          </w:p>
        </w:tc>
        <w:tc>
          <w:tcPr>
            <w:tcW w:w="633" w:type="pct"/>
            <w:tcBorders>
              <w:top w:val="single" w:sz="4" w:space="0" w:color="auto"/>
              <w:left w:val="single" w:sz="4" w:space="0" w:color="auto"/>
              <w:bottom w:val="single" w:sz="4" w:space="0" w:color="auto"/>
              <w:right w:val="single" w:sz="4" w:space="0" w:color="auto"/>
            </w:tcBorders>
          </w:tcPr>
          <w:p w14:paraId="38276BA8" w14:textId="77777777" w:rsidR="00E57DAA" w:rsidRDefault="00AC4185">
            <w:pPr>
              <w:autoSpaceDE w:val="0"/>
              <w:autoSpaceDN w:val="0"/>
              <w:adjustRightInd w:val="0"/>
              <w:jc w:val="right"/>
              <w:rPr>
                <w:szCs w:val="21"/>
              </w:rPr>
            </w:pPr>
            <w:r>
              <w:t>24,197,208.22</w:t>
            </w:r>
          </w:p>
        </w:tc>
        <w:tc>
          <w:tcPr>
            <w:tcW w:w="632" w:type="pct"/>
            <w:tcBorders>
              <w:top w:val="single" w:sz="4" w:space="0" w:color="auto"/>
              <w:left w:val="single" w:sz="4" w:space="0" w:color="auto"/>
              <w:bottom w:val="single" w:sz="4" w:space="0" w:color="auto"/>
              <w:right w:val="single" w:sz="4" w:space="0" w:color="auto"/>
            </w:tcBorders>
          </w:tcPr>
          <w:p w14:paraId="5B59ED96" w14:textId="77777777" w:rsidR="00E57DAA" w:rsidRDefault="00AC4185">
            <w:pPr>
              <w:autoSpaceDE w:val="0"/>
              <w:autoSpaceDN w:val="0"/>
              <w:adjustRightInd w:val="0"/>
              <w:jc w:val="right"/>
              <w:rPr>
                <w:szCs w:val="21"/>
              </w:rPr>
            </w:pPr>
            <w:r>
              <w:t>1,295,746.23</w:t>
            </w:r>
          </w:p>
        </w:tc>
        <w:tc>
          <w:tcPr>
            <w:tcW w:w="703" w:type="pct"/>
            <w:tcBorders>
              <w:top w:val="single" w:sz="4" w:space="0" w:color="auto"/>
              <w:left w:val="single" w:sz="4" w:space="0" w:color="auto"/>
              <w:bottom w:val="single" w:sz="4" w:space="0" w:color="auto"/>
              <w:right w:val="single" w:sz="4" w:space="0" w:color="auto"/>
            </w:tcBorders>
          </w:tcPr>
          <w:p w14:paraId="23FC805D" w14:textId="77777777" w:rsidR="00E57DAA" w:rsidRDefault="00AC4185">
            <w:pPr>
              <w:autoSpaceDE w:val="0"/>
              <w:autoSpaceDN w:val="0"/>
              <w:adjustRightInd w:val="0"/>
              <w:jc w:val="right"/>
              <w:rPr>
                <w:szCs w:val="21"/>
              </w:rPr>
            </w:pPr>
            <w:r>
              <w:t>4,742,921.00</w:t>
            </w:r>
          </w:p>
        </w:tc>
        <w:tc>
          <w:tcPr>
            <w:tcW w:w="914" w:type="pct"/>
            <w:tcBorders>
              <w:top w:val="single" w:sz="4" w:space="0" w:color="auto"/>
              <w:left w:val="single" w:sz="4" w:space="0" w:color="auto"/>
              <w:bottom w:val="single" w:sz="4" w:space="0" w:color="auto"/>
              <w:right w:val="single" w:sz="4" w:space="0" w:color="auto"/>
            </w:tcBorders>
          </w:tcPr>
          <w:p w14:paraId="28D546B4" w14:textId="77777777" w:rsidR="00E57DAA" w:rsidRDefault="00AC4185">
            <w:pPr>
              <w:autoSpaceDE w:val="0"/>
              <w:autoSpaceDN w:val="0"/>
              <w:adjustRightInd w:val="0"/>
              <w:jc w:val="right"/>
              <w:rPr>
                <w:szCs w:val="21"/>
              </w:rPr>
            </w:pPr>
            <w:r>
              <w:t>666,871.40</w:t>
            </w:r>
          </w:p>
        </w:tc>
      </w:tr>
      <w:tr w:rsidR="00E57DAA" w14:paraId="54CBCFC0" w14:textId="77777777">
        <w:tc>
          <w:tcPr>
            <w:tcW w:w="677" w:type="pct"/>
            <w:tcBorders>
              <w:top w:val="single" w:sz="4" w:space="0" w:color="auto"/>
              <w:left w:val="single" w:sz="4" w:space="0" w:color="auto"/>
              <w:bottom w:val="single" w:sz="4" w:space="0" w:color="auto"/>
              <w:right w:val="single" w:sz="4" w:space="0" w:color="auto"/>
            </w:tcBorders>
            <w:vAlign w:val="center"/>
          </w:tcPr>
          <w:p w14:paraId="1E4C59C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1C73D1" w14:textId="77777777" w:rsidR="00E57DAA" w:rsidRDefault="00AC4185">
            <w:pPr>
              <w:autoSpaceDE w:val="0"/>
              <w:autoSpaceDN w:val="0"/>
              <w:adjustRightInd w:val="0"/>
              <w:rPr>
                <w:szCs w:val="21"/>
              </w:rPr>
            </w:pPr>
            <w:r>
              <w:t>平邑中联水泥有限公司</w:t>
            </w:r>
          </w:p>
        </w:tc>
        <w:tc>
          <w:tcPr>
            <w:tcW w:w="633" w:type="pct"/>
            <w:tcBorders>
              <w:top w:val="single" w:sz="4" w:space="0" w:color="auto"/>
              <w:left w:val="single" w:sz="4" w:space="0" w:color="auto"/>
              <w:bottom w:val="single" w:sz="4" w:space="0" w:color="auto"/>
              <w:right w:val="single" w:sz="4" w:space="0" w:color="auto"/>
            </w:tcBorders>
          </w:tcPr>
          <w:p w14:paraId="4893FAEF" w14:textId="77777777" w:rsidR="00E57DAA" w:rsidRDefault="00AC4185">
            <w:pPr>
              <w:autoSpaceDE w:val="0"/>
              <w:autoSpaceDN w:val="0"/>
              <w:adjustRightInd w:val="0"/>
              <w:jc w:val="right"/>
              <w:rPr>
                <w:szCs w:val="21"/>
              </w:rPr>
            </w:pPr>
            <w:r>
              <w:t>23,762,420.12</w:t>
            </w:r>
          </w:p>
        </w:tc>
        <w:tc>
          <w:tcPr>
            <w:tcW w:w="632" w:type="pct"/>
            <w:tcBorders>
              <w:top w:val="single" w:sz="4" w:space="0" w:color="auto"/>
              <w:left w:val="single" w:sz="4" w:space="0" w:color="auto"/>
              <w:bottom w:val="single" w:sz="4" w:space="0" w:color="auto"/>
              <w:right w:val="single" w:sz="4" w:space="0" w:color="auto"/>
            </w:tcBorders>
          </w:tcPr>
          <w:p w14:paraId="700E6CC7" w14:textId="77777777" w:rsidR="00E57DAA" w:rsidRDefault="00AC4185">
            <w:pPr>
              <w:autoSpaceDE w:val="0"/>
              <w:autoSpaceDN w:val="0"/>
              <w:adjustRightInd w:val="0"/>
              <w:jc w:val="right"/>
              <w:rPr>
                <w:szCs w:val="21"/>
              </w:rPr>
            </w:pPr>
            <w:r>
              <w:t>1,041,985.79</w:t>
            </w:r>
          </w:p>
        </w:tc>
        <w:tc>
          <w:tcPr>
            <w:tcW w:w="703" w:type="pct"/>
            <w:tcBorders>
              <w:top w:val="single" w:sz="4" w:space="0" w:color="auto"/>
              <w:left w:val="single" w:sz="4" w:space="0" w:color="auto"/>
              <w:bottom w:val="single" w:sz="4" w:space="0" w:color="auto"/>
              <w:right w:val="single" w:sz="4" w:space="0" w:color="auto"/>
            </w:tcBorders>
          </w:tcPr>
          <w:p w14:paraId="746FF2D8" w14:textId="77777777" w:rsidR="00E57DAA" w:rsidRDefault="00AC4185">
            <w:pPr>
              <w:autoSpaceDE w:val="0"/>
              <w:autoSpaceDN w:val="0"/>
              <w:adjustRightInd w:val="0"/>
              <w:jc w:val="right"/>
              <w:rPr>
                <w:szCs w:val="21"/>
              </w:rPr>
            </w:pPr>
            <w:r>
              <w:t>20,416,147.49</w:t>
            </w:r>
          </w:p>
        </w:tc>
        <w:tc>
          <w:tcPr>
            <w:tcW w:w="914" w:type="pct"/>
            <w:tcBorders>
              <w:top w:val="single" w:sz="4" w:space="0" w:color="auto"/>
              <w:left w:val="single" w:sz="4" w:space="0" w:color="auto"/>
              <w:bottom w:val="single" w:sz="4" w:space="0" w:color="auto"/>
              <w:right w:val="single" w:sz="4" w:space="0" w:color="auto"/>
            </w:tcBorders>
          </w:tcPr>
          <w:p w14:paraId="05C43FAF" w14:textId="77777777" w:rsidR="00E57DAA" w:rsidRDefault="00AC4185">
            <w:pPr>
              <w:autoSpaceDE w:val="0"/>
              <w:autoSpaceDN w:val="0"/>
              <w:adjustRightInd w:val="0"/>
              <w:jc w:val="right"/>
              <w:rPr>
                <w:szCs w:val="21"/>
              </w:rPr>
            </w:pPr>
            <w:r>
              <w:t>467,315.30</w:t>
            </w:r>
          </w:p>
        </w:tc>
      </w:tr>
      <w:tr w:rsidR="00E57DAA" w14:paraId="231D9949" w14:textId="77777777">
        <w:tc>
          <w:tcPr>
            <w:tcW w:w="677" w:type="pct"/>
            <w:tcBorders>
              <w:top w:val="single" w:sz="4" w:space="0" w:color="auto"/>
              <w:left w:val="single" w:sz="4" w:space="0" w:color="auto"/>
              <w:bottom w:val="single" w:sz="4" w:space="0" w:color="auto"/>
              <w:right w:val="single" w:sz="4" w:space="0" w:color="auto"/>
            </w:tcBorders>
            <w:vAlign w:val="center"/>
          </w:tcPr>
          <w:p w14:paraId="29EDD4E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40DD885" w14:textId="77777777" w:rsidR="00E57DAA" w:rsidRDefault="00AC4185">
            <w:pPr>
              <w:autoSpaceDE w:val="0"/>
              <w:autoSpaceDN w:val="0"/>
              <w:adjustRightInd w:val="0"/>
              <w:rPr>
                <w:szCs w:val="21"/>
              </w:rPr>
            </w:pPr>
            <w:r>
              <w:t>青州中联水泥有限公司</w:t>
            </w:r>
          </w:p>
        </w:tc>
        <w:tc>
          <w:tcPr>
            <w:tcW w:w="633" w:type="pct"/>
            <w:tcBorders>
              <w:top w:val="single" w:sz="4" w:space="0" w:color="auto"/>
              <w:left w:val="single" w:sz="4" w:space="0" w:color="auto"/>
              <w:bottom w:val="single" w:sz="4" w:space="0" w:color="auto"/>
              <w:right w:val="single" w:sz="4" w:space="0" w:color="auto"/>
            </w:tcBorders>
          </w:tcPr>
          <w:p w14:paraId="4238330B" w14:textId="77777777" w:rsidR="00E57DAA" w:rsidRDefault="00AC4185">
            <w:pPr>
              <w:autoSpaceDE w:val="0"/>
              <w:autoSpaceDN w:val="0"/>
              <w:adjustRightInd w:val="0"/>
              <w:jc w:val="right"/>
              <w:rPr>
                <w:szCs w:val="21"/>
              </w:rPr>
            </w:pPr>
            <w:r>
              <w:t>23,190,799.57</w:t>
            </w:r>
          </w:p>
        </w:tc>
        <w:tc>
          <w:tcPr>
            <w:tcW w:w="632" w:type="pct"/>
            <w:tcBorders>
              <w:top w:val="single" w:sz="4" w:space="0" w:color="auto"/>
              <w:left w:val="single" w:sz="4" w:space="0" w:color="auto"/>
              <w:bottom w:val="single" w:sz="4" w:space="0" w:color="auto"/>
              <w:right w:val="single" w:sz="4" w:space="0" w:color="auto"/>
            </w:tcBorders>
          </w:tcPr>
          <w:p w14:paraId="010B06D7" w14:textId="77777777" w:rsidR="00E57DAA" w:rsidRDefault="00AC4185">
            <w:pPr>
              <w:autoSpaceDE w:val="0"/>
              <w:autoSpaceDN w:val="0"/>
              <w:adjustRightInd w:val="0"/>
              <w:jc w:val="right"/>
              <w:rPr>
                <w:szCs w:val="21"/>
              </w:rPr>
            </w:pPr>
            <w:r>
              <w:t>948,956.32</w:t>
            </w:r>
          </w:p>
        </w:tc>
        <w:tc>
          <w:tcPr>
            <w:tcW w:w="703" w:type="pct"/>
            <w:tcBorders>
              <w:top w:val="single" w:sz="4" w:space="0" w:color="auto"/>
              <w:left w:val="single" w:sz="4" w:space="0" w:color="auto"/>
              <w:bottom w:val="single" w:sz="4" w:space="0" w:color="auto"/>
              <w:right w:val="single" w:sz="4" w:space="0" w:color="auto"/>
            </w:tcBorders>
          </w:tcPr>
          <w:p w14:paraId="1F12116B" w14:textId="77777777" w:rsidR="00E57DAA" w:rsidRDefault="00AC4185">
            <w:pPr>
              <w:autoSpaceDE w:val="0"/>
              <w:autoSpaceDN w:val="0"/>
              <w:adjustRightInd w:val="0"/>
              <w:jc w:val="right"/>
              <w:rPr>
                <w:szCs w:val="21"/>
              </w:rPr>
            </w:pPr>
            <w:r>
              <w:t>6,380,999.55</w:t>
            </w:r>
          </w:p>
        </w:tc>
        <w:tc>
          <w:tcPr>
            <w:tcW w:w="914" w:type="pct"/>
            <w:tcBorders>
              <w:top w:val="single" w:sz="4" w:space="0" w:color="auto"/>
              <w:left w:val="single" w:sz="4" w:space="0" w:color="auto"/>
              <w:bottom w:val="single" w:sz="4" w:space="0" w:color="auto"/>
              <w:right w:val="single" w:sz="4" w:space="0" w:color="auto"/>
            </w:tcBorders>
          </w:tcPr>
          <w:p w14:paraId="1332E8E7" w14:textId="77777777" w:rsidR="00E57DAA" w:rsidRDefault="00AC4185">
            <w:pPr>
              <w:autoSpaceDE w:val="0"/>
              <w:autoSpaceDN w:val="0"/>
              <w:adjustRightInd w:val="0"/>
              <w:jc w:val="right"/>
              <w:rPr>
                <w:szCs w:val="21"/>
              </w:rPr>
            </w:pPr>
            <w:r>
              <w:t>235,411.42</w:t>
            </w:r>
          </w:p>
        </w:tc>
      </w:tr>
      <w:tr w:rsidR="00E57DAA" w14:paraId="094C0A17" w14:textId="77777777">
        <w:tc>
          <w:tcPr>
            <w:tcW w:w="677" w:type="pct"/>
            <w:tcBorders>
              <w:top w:val="single" w:sz="4" w:space="0" w:color="auto"/>
              <w:left w:val="single" w:sz="4" w:space="0" w:color="auto"/>
              <w:bottom w:val="single" w:sz="4" w:space="0" w:color="auto"/>
              <w:right w:val="single" w:sz="4" w:space="0" w:color="auto"/>
            </w:tcBorders>
            <w:vAlign w:val="center"/>
          </w:tcPr>
          <w:p w14:paraId="418E398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842EF58" w14:textId="77777777" w:rsidR="00E57DAA" w:rsidRDefault="00AC4185">
            <w:pPr>
              <w:autoSpaceDE w:val="0"/>
              <w:autoSpaceDN w:val="0"/>
              <w:adjustRightInd w:val="0"/>
              <w:rPr>
                <w:szCs w:val="21"/>
              </w:rPr>
            </w:pPr>
            <w:r>
              <w:t>湖南浏阳南方水泥有限公司</w:t>
            </w:r>
          </w:p>
        </w:tc>
        <w:tc>
          <w:tcPr>
            <w:tcW w:w="633" w:type="pct"/>
            <w:tcBorders>
              <w:top w:val="single" w:sz="4" w:space="0" w:color="auto"/>
              <w:left w:val="single" w:sz="4" w:space="0" w:color="auto"/>
              <w:bottom w:val="single" w:sz="4" w:space="0" w:color="auto"/>
              <w:right w:val="single" w:sz="4" w:space="0" w:color="auto"/>
            </w:tcBorders>
          </w:tcPr>
          <w:p w14:paraId="0AE4AA3C" w14:textId="77777777" w:rsidR="00E57DAA" w:rsidRDefault="00AC4185">
            <w:pPr>
              <w:autoSpaceDE w:val="0"/>
              <w:autoSpaceDN w:val="0"/>
              <w:adjustRightInd w:val="0"/>
              <w:jc w:val="right"/>
              <w:rPr>
                <w:szCs w:val="21"/>
              </w:rPr>
            </w:pPr>
            <w:r>
              <w:t>23,047,280.21</w:t>
            </w:r>
          </w:p>
        </w:tc>
        <w:tc>
          <w:tcPr>
            <w:tcW w:w="632" w:type="pct"/>
            <w:tcBorders>
              <w:top w:val="single" w:sz="4" w:space="0" w:color="auto"/>
              <w:left w:val="single" w:sz="4" w:space="0" w:color="auto"/>
              <w:bottom w:val="single" w:sz="4" w:space="0" w:color="auto"/>
              <w:right w:val="single" w:sz="4" w:space="0" w:color="auto"/>
            </w:tcBorders>
          </w:tcPr>
          <w:p w14:paraId="01637A2C" w14:textId="77777777" w:rsidR="00E57DAA" w:rsidRDefault="00AC4185">
            <w:pPr>
              <w:autoSpaceDE w:val="0"/>
              <w:autoSpaceDN w:val="0"/>
              <w:adjustRightInd w:val="0"/>
              <w:jc w:val="right"/>
              <w:rPr>
                <w:szCs w:val="21"/>
              </w:rPr>
            </w:pPr>
            <w:r>
              <w:t>2,043,165.14</w:t>
            </w:r>
          </w:p>
        </w:tc>
        <w:tc>
          <w:tcPr>
            <w:tcW w:w="703" w:type="pct"/>
            <w:tcBorders>
              <w:top w:val="single" w:sz="4" w:space="0" w:color="auto"/>
              <w:left w:val="single" w:sz="4" w:space="0" w:color="auto"/>
              <w:bottom w:val="single" w:sz="4" w:space="0" w:color="auto"/>
              <w:right w:val="single" w:sz="4" w:space="0" w:color="auto"/>
            </w:tcBorders>
          </w:tcPr>
          <w:p w14:paraId="60528A34" w14:textId="77777777" w:rsidR="00E57DAA" w:rsidRDefault="00AC4185">
            <w:pPr>
              <w:autoSpaceDE w:val="0"/>
              <w:autoSpaceDN w:val="0"/>
              <w:adjustRightInd w:val="0"/>
              <w:jc w:val="right"/>
              <w:rPr>
                <w:szCs w:val="21"/>
              </w:rPr>
            </w:pPr>
            <w:r>
              <w:t>14,077,847.87</w:t>
            </w:r>
          </w:p>
        </w:tc>
        <w:tc>
          <w:tcPr>
            <w:tcW w:w="914" w:type="pct"/>
            <w:tcBorders>
              <w:top w:val="single" w:sz="4" w:space="0" w:color="auto"/>
              <w:left w:val="single" w:sz="4" w:space="0" w:color="auto"/>
              <w:bottom w:val="single" w:sz="4" w:space="0" w:color="auto"/>
              <w:right w:val="single" w:sz="4" w:space="0" w:color="auto"/>
            </w:tcBorders>
          </w:tcPr>
          <w:p w14:paraId="598CCAC7" w14:textId="77777777" w:rsidR="00E57DAA" w:rsidRDefault="00AC4185">
            <w:pPr>
              <w:autoSpaceDE w:val="0"/>
              <w:autoSpaceDN w:val="0"/>
              <w:adjustRightInd w:val="0"/>
              <w:jc w:val="right"/>
              <w:rPr>
                <w:szCs w:val="21"/>
              </w:rPr>
            </w:pPr>
            <w:r>
              <w:t>734,117.68</w:t>
            </w:r>
          </w:p>
        </w:tc>
      </w:tr>
      <w:tr w:rsidR="00E57DAA" w14:paraId="3184A41C" w14:textId="77777777">
        <w:tc>
          <w:tcPr>
            <w:tcW w:w="677" w:type="pct"/>
            <w:tcBorders>
              <w:top w:val="single" w:sz="4" w:space="0" w:color="auto"/>
              <w:left w:val="single" w:sz="4" w:space="0" w:color="auto"/>
              <w:bottom w:val="single" w:sz="4" w:space="0" w:color="auto"/>
              <w:right w:val="single" w:sz="4" w:space="0" w:color="auto"/>
            </w:tcBorders>
            <w:vAlign w:val="center"/>
          </w:tcPr>
          <w:p w14:paraId="452BC70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7E6979" w14:textId="77777777" w:rsidR="00E57DAA" w:rsidRDefault="00AC4185">
            <w:pPr>
              <w:autoSpaceDE w:val="0"/>
              <w:autoSpaceDN w:val="0"/>
              <w:adjustRightInd w:val="0"/>
              <w:rPr>
                <w:szCs w:val="21"/>
              </w:rPr>
            </w:pPr>
            <w:r>
              <w:t>江西兴国南方水泥有限公司</w:t>
            </w:r>
          </w:p>
        </w:tc>
        <w:tc>
          <w:tcPr>
            <w:tcW w:w="633" w:type="pct"/>
            <w:tcBorders>
              <w:top w:val="single" w:sz="4" w:space="0" w:color="auto"/>
              <w:left w:val="single" w:sz="4" w:space="0" w:color="auto"/>
              <w:bottom w:val="single" w:sz="4" w:space="0" w:color="auto"/>
              <w:right w:val="single" w:sz="4" w:space="0" w:color="auto"/>
            </w:tcBorders>
          </w:tcPr>
          <w:p w14:paraId="7BA12750" w14:textId="77777777" w:rsidR="00E57DAA" w:rsidRDefault="00AC4185">
            <w:pPr>
              <w:autoSpaceDE w:val="0"/>
              <w:autoSpaceDN w:val="0"/>
              <w:adjustRightInd w:val="0"/>
              <w:jc w:val="right"/>
              <w:rPr>
                <w:szCs w:val="21"/>
              </w:rPr>
            </w:pPr>
            <w:r>
              <w:t>22,224,083.72</w:t>
            </w:r>
          </w:p>
        </w:tc>
        <w:tc>
          <w:tcPr>
            <w:tcW w:w="632" w:type="pct"/>
            <w:tcBorders>
              <w:top w:val="single" w:sz="4" w:space="0" w:color="auto"/>
              <w:left w:val="single" w:sz="4" w:space="0" w:color="auto"/>
              <w:bottom w:val="single" w:sz="4" w:space="0" w:color="auto"/>
              <w:right w:val="single" w:sz="4" w:space="0" w:color="auto"/>
            </w:tcBorders>
          </w:tcPr>
          <w:p w14:paraId="706E1887" w14:textId="77777777" w:rsidR="00E57DAA" w:rsidRDefault="00AC4185">
            <w:pPr>
              <w:autoSpaceDE w:val="0"/>
              <w:autoSpaceDN w:val="0"/>
              <w:adjustRightInd w:val="0"/>
              <w:jc w:val="right"/>
              <w:rPr>
                <w:szCs w:val="21"/>
              </w:rPr>
            </w:pPr>
            <w:r>
              <w:t>1,363,045.20</w:t>
            </w:r>
          </w:p>
        </w:tc>
        <w:tc>
          <w:tcPr>
            <w:tcW w:w="703" w:type="pct"/>
            <w:tcBorders>
              <w:top w:val="single" w:sz="4" w:space="0" w:color="auto"/>
              <w:left w:val="single" w:sz="4" w:space="0" w:color="auto"/>
              <w:bottom w:val="single" w:sz="4" w:space="0" w:color="auto"/>
              <w:right w:val="single" w:sz="4" w:space="0" w:color="auto"/>
            </w:tcBorders>
          </w:tcPr>
          <w:p w14:paraId="4AAFE59C" w14:textId="77777777" w:rsidR="00E57DAA" w:rsidRDefault="00AC4185">
            <w:pPr>
              <w:autoSpaceDE w:val="0"/>
              <w:autoSpaceDN w:val="0"/>
              <w:adjustRightInd w:val="0"/>
              <w:jc w:val="right"/>
              <w:rPr>
                <w:szCs w:val="21"/>
              </w:rPr>
            </w:pPr>
            <w:r>
              <w:t>11,457,686.16</w:t>
            </w:r>
          </w:p>
        </w:tc>
        <w:tc>
          <w:tcPr>
            <w:tcW w:w="914" w:type="pct"/>
            <w:tcBorders>
              <w:top w:val="single" w:sz="4" w:space="0" w:color="auto"/>
              <w:left w:val="single" w:sz="4" w:space="0" w:color="auto"/>
              <w:bottom w:val="single" w:sz="4" w:space="0" w:color="auto"/>
              <w:right w:val="single" w:sz="4" w:space="0" w:color="auto"/>
            </w:tcBorders>
          </w:tcPr>
          <w:p w14:paraId="5908612B" w14:textId="77777777" w:rsidR="00E57DAA" w:rsidRDefault="00AC4185">
            <w:pPr>
              <w:autoSpaceDE w:val="0"/>
              <w:autoSpaceDN w:val="0"/>
              <w:adjustRightInd w:val="0"/>
              <w:jc w:val="right"/>
              <w:rPr>
                <w:szCs w:val="21"/>
              </w:rPr>
            </w:pPr>
            <w:r>
              <w:t>713,999.69</w:t>
            </w:r>
          </w:p>
        </w:tc>
      </w:tr>
      <w:tr w:rsidR="00E57DAA" w14:paraId="228409B6" w14:textId="77777777">
        <w:tc>
          <w:tcPr>
            <w:tcW w:w="677" w:type="pct"/>
            <w:tcBorders>
              <w:top w:val="single" w:sz="4" w:space="0" w:color="auto"/>
              <w:left w:val="single" w:sz="4" w:space="0" w:color="auto"/>
              <w:bottom w:val="single" w:sz="4" w:space="0" w:color="auto"/>
              <w:right w:val="single" w:sz="4" w:space="0" w:color="auto"/>
            </w:tcBorders>
            <w:vAlign w:val="center"/>
          </w:tcPr>
          <w:p w14:paraId="489898D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12B712E" w14:textId="77777777" w:rsidR="00E57DAA" w:rsidRDefault="00AC4185">
            <w:pPr>
              <w:autoSpaceDE w:val="0"/>
              <w:autoSpaceDN w:val="0"/>
              <w:adjustRightInd w:val="0"/>
              <w:rPr>
                <w:szCs w:val="21"/>
              </w:rPr>
            </w:pPr>
            <w:r>
              <w:t>湖南桃江南方水泥有限公司</w:t>
            </w:r>
          </w:p>
        </w:tc>
        <w:tc>
          <w:tcPr>
            <w:tcW w:w="633" w:type="pct"/>
            <w:tcBorders>
              <w:top w:val="single" w:sz="4" w:space="0" w:color="auto"/>
              <w:left w:val="single" w:sz="4" w:space="0" w:color="auto"/>
              <w:bottom w:val="single" w:sz="4" w:space="0" w:color="auto"/>
              <w:right w:val="single" w:sz="4" w:space="0" w:color="auto"/>
            </w:tcBorders>
          </w:tcPr>
          <w:p w14:paraId="1AA1B0BA" w14:textId="77777777" w:rsidR="00E57DAA" w:rsidRDefault="00AC4185">
            <w:pPr>
              <w:autoSpaceDE w:val="0"/>
              <w:autoSpaceDN w:val="0"/>
              <w:adjustRightInd w:val="0"/>
              <w:jc w:val="right"/>
              <w:rPr>
                <w:szCs w:val="21"/>
              </w:rPr>
            </w:pPr>
            <w:r>
              <w:t>21,754,048.93</w:t>
            </w:r>
          </w:p>
        </w:tc>
        <w:tc>
          <w:tcPr>
            <w:tcW w:w="632" w:type="pct"/>
            <w:tcBorders>
              <w:top w:val="single" w:sz="4" w:space="0" w:color="auto"/>
              <w:left w:val="single" w:sz="4" w:space="0" w:color="auto"/>
              <w:bottom w:val="single" w:sz="4" w:space="0" w:color="auto"/>
              <w:right w:val="single" w:sz="4" w:space="0" w:color="auto"/>
            </w:tcBorders>
          </w:tcPr>
          <w:p w14:paraId="4805A031" w14:textId="77777777" w:rsidR="00E57DAA" w:rsidRDefault="00AC4185">
            <w:pPr>
              <w:autoSpaceDE w:val="0"/>
              <w:autoSpaceDN w:val="0"/>
              <w:adjustRightInd w:val="0"/>
              <w:jc w:val="right"/>
              <w:rPr>
                <w:szCs w:val="21"/>
              </w:rPr>
            </w:pPr>
            <w:r>
              <w:t>1,033,256.59</w:t>
            </w:r>
          </w:p>
        </w:tc>
        <w:tc>
          <w:tcPr>
            <w:tcW w:w="703" w:type="pct"/>
            <w:tcBorders>
              <w:top w:val="single" w:sz="4" w:space="0" w:color="auto"/>
              <w:left w:val="single" w:sz="4" w:space="0" w:color="auto"/>
              <w:bottom w:val="single" w:sz="4" w:space="0" w:color="auto"/>
              <w:right w:val="single" w:sz="4" w:space="0" w:color="auto"/>
            </w:tcBorders>
          </w:tcPr>
          <w:p w14:paraId="1ADF62BA" w14:textId="77777777" w:rsidR="00E57DAA" w:rsidRDefault="00AC4185">
            <w:pPr>
              <w:autoSpaceDE w:val="0"/>
              <w:autoSpaceDN w:val="0"/>
              <w:adjustRightInd w:val="0"/>
              <w:jc w:val="right"/>
              <w:rPr>
                <w:szCs w:val="21"/>
              </w:rPr>
            </w:pPr>
            <w:r>
              <w:t>30,897,039.17</w:t>
            </w:r>
          </w:p>
        </w:tc>
        <w:tc>
          <w:tcPr>
            <w:tcW w:w="914" w:type="pct"/>
            <w:tcBorders>
              <w:top w:val="single" w:sz="4" w:space="0" w:color="auto"/>
              <w:left w:val="single" w:sz="4" w:space="0" w:color="auto"/>
              <w:bottom w:val="single" w:sz="4" w:space="0" w:color="auto"/>
              <w:right w:val="single" w:sz="4" w:space="0" w:color="auto"/>
            </w:tcBorders>
          </w:tcPr>
          <w:p w14:paraId="06DB34C4" w14:textId="77777777" w:rsidR="00E57DAA" w:rsidRDefault="00AC4185">
            <w:pPr>
              <w:autoSpaceDE w:val="0"/>
              <w:autoSpaceDN w:val="0"/>
              <w:adjustRightInd w:val="0"/>
              <w:jc w:val="right"/>
              <w:rPr>
                <w:szCs w:val="21"/>
              </w:rPr>
            </w:pPr>
            <w:r>
              <w:t>866,756.06</w:t>
            </w:r>
          </w:p>
        </w:tc>
      </w:tr>
      <w:tr w:rsidR="00E57DAA" w14:paraId="1670AE26" w14:textId="77777777">
        <w:tc>
          <w:tcPr>
            <w:tcW w:w="677" w:type="pct"/>
            <w:tcBorders>
              <w:top w:val="single" w:sz="4" w:space="0" w:color="auto"/>
              <w:left w:val="single" w:sz="4" w:space="0" w:color="auto"/>
              <w:bottom w:val="single" w:sz="4" w:space="0" w:color="auto"/>
              <w:right w:val="single" w:sz="4" w:space="0" w:color="auto"/>
            </w:tcBorders>
            <w:vAlign w:val="center"/>
          </w:tcPr>
          <w:p w14:paraId="3E75620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83EC1B8" w14:textId="77777777" w:rsidR="00E57DAA" w:rsidRDefault="00AC4185">
            <w:pPr>
              <w:autoSpaceDE w:val="0"/>
              <w:autoSpaceDN w:val="0"/>
              <w:adjustRightInd w:val="0"/>
              <w:rPr>
                <w:szCs w:val="21"/>
              </w:rPr>
            </w:pPr>
            <w:r>
              <w:t>合肥南方水泥有限公司</w:t>
            </w:r>
          </w:p>
        </w:tc>
        <w:tc>
          <w:tcPr>
            <w:tcW w:w="633" w:type="pct"/>
            <w:tcBorders>
              <w:top w:val="single" w:sz="4" w:space="0" w:color="auto"/>
              <w:left w:val="single" w:sz="4" w:space="0" w:color="auto"/>
              <w:bottom w:val="single" w:sz="4" w:space="0" w:color="auto"/>
              <w:right w:val="single" w:sz="4" w:space="0" w:color="auto"/>
            </w:tcBorders>
          </w:tcPr>
          <w:p w14:paraId="5A9A9080" w14:textId="77777777" w:rsidR="00E57DAA" w:rsidRDefault="00AC4185">
            <w:pPr>
              <w:autoSpaceDE w:val="0"/>
              <w:autoSpaceDN w:val="0"/>
              <w:adjustRightInd w:val="0"/>
              <w:jc w:val="right"/>
              <w:rPr>
                <w:szCs w:val="21"/>
              </w:rPr>
            </w:pPr>
            <w:r>
              <w:t>21,339,746.65</w:t>
            </w:r>
          </w:p>
        </w:tc>
        <w:tc>
          <w:tcPr>
            <w:tcW w:w="632" w:type="pct"/>
            <w:tcBorders>
              <w:top w:val="single" w:sz="4" w:space="0" w:color="auto"/>
              <w:left w:val="single" w:sz="4" w:space="0" w:color="auto"/>
              <w:bottom w:val="single" w:sz="4" w:space="0" w:color="auto"/>
              <w:right w:val="single" w:sz="4" w:space="0" w:color="auto"/>
            </w:tcBorders>
          </w:tcPr>
          <w:p w14:paraId="76A66479" w14:textId="77777777" w:rsidR="00E57DAA" w:rsidRDefault="00AC4185">
            <w:pPr>
              <w:autoSpaceDE w:val="0"/>
              <w:autoSpaceDN w:val="0"/>
              <w:adjustRightInd w:val="0"/>
              <w:jc w:val="right"/>
              <w:rPr>
                <w:szCs w:val="21"/>
              </w:rPr>
            </w:pPr>
            <w:r>
              <w:t>182,080.17</w:t>
            </w:r>
          </w:p>
        </w:tc>
        <w:tc>
          <w:tcPr>
            <w:tcW w:w="703" w:type="pct"/>
            <w:tcBorders>
              <w:top w:val="single" w:sz="4" w:space="0" w:color="auto"/>
              <w:left w:val="single" w:sz="4" w:space="0" w:color="auto"/>
              <w:bottom w:val="single" w:sz="4" w:space="0" w:color="auto"/>
              <w:right w:val="single" w:sz="4" w:space="0" w:color="auto"/>
            </w:tcBorders>
          </w:tcPr>
          <w:p w14:paraId="68697E53" w14:textId="77777777" w:rsidR="00E57DAA" w:rsidRDefault="00AC4185">
            <w:pPr>
              <w:autoSpaceDE w:val="0"/>
              <w:autoSpaceDN w:val="0"/>
              <w:adjustRightInd w:val="0"/>
              <w:jc w:val="right"/>
              <w:rPr>
                <w:szCs w:val="21"/>
              </w:rPr>
            </w:pPr>
            <w:r>
              <w:t>66,722,125.61</w:t>
            </w:r>
          </w:p>
        </w:tc>
        <w:tc>
          <w:tcPr>
            <w:tcW w:w="914" w:type="pct"/>
            <w:tcBorders>
              <w:top w:val="single" w:sz="4" w:space="0" w:color="auto"/>
              <w:left w:val="single" w:sz="4" w:space="0" w:color="auto"/>
              <w:bottom w:val="single" w:sz="4" w:space="0" w:color="auto"/>
              <w:right w:val="single" w:sz="4" w:space="0" w:color="auto"/>
            </w:tcBorders>
          </w:tcPr>
          <w:p w14:paraId="32202679" w14:textId="77777777" w:rsidR="00E57DAA" w:rsidRDefault="00AC4185">
            <w:pPr>
              <w:autoSpaceDE w:val="0"/>
              <w:autoSpaceDN w:val="0"/>
              <w:adjustRightInd w:val="0"/>
              <w:jc w:val="right"/>
              <w:rPr>
                <w:szCs w:val="21"/>
              </w:rPr>
            </w:pPr>
            <w:r>
              <w:t>2,975,126.22</w:t>
            </w:r>
          </w:p>
        </w:tc>
      </w:tr>
      <w:tr w:rsidR="00E57DAA" w14:paraId="5FDE6E83" w14:textId="77777777">
        <w:tc>
          <w:tcPr>
            <w:tcW w:w="677" w:type="pct"/>
            <w:tcBorders>
              <w:top w:val="single" w:sz="4" w:space="0" w:color="auto"/>
              <w:left w:val="single" w:sz="4" w:space="0" w:color="auto"/>
              <w:bottom w:val="single" w:sz="4" w:space="0" w:color="auto"/>
              <w:right w:val="single" w:sz="4" w:space="0" w:color="auto"/>
            </w:tcBorders>
            <w:vAlign w:val="center"/>
          </w:tcPr>
          <w:p w14:paraId="7BD5B88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113F864" w14:textId="77777777" w:rsidR="00E57DAA" w:rsidRDefault="00AC4185">
            <w:pPr>
              <w:autoSpaceDE w:val="0"/>
              <w:autoSpaceDN w:val="0"/>
              <w:adjustRightInd w:val="0"/>
              <w:rPr>
                <w:szCs w:val="21"/>
              </w:rPr>
            </w:pPr>
            <w:r>
              <w:t>邓州中联水泥有限公司</w:t>
            </w:r>
          </w:p>
        </w:tc>
        <w:tc>
          <w:tcPr>
            <w:tcW w:w="633" w:type="pct"/>
            <w:tcBorders>
              <w:top w:val="single" w:sz="4" w:space="0" w:color="auto"/>
              <w:left w:val="single" w:sz="4" w:space="0" w:color="auto"/>
              <w:bottom w:val="single" w:sz="4" w:space="0" w:color="auto"/>
              <w:right w:val="single" w:sz="4" w:space="0" w:color="auto"/>
            </w:tcBorders>
          </w:tcPr>
          <w:p w14:paraId="062CF1C4" w14:textId="77777777" w:rsidR="00E57DAA" w:rsidRDefault="00AC4185">
            <w:pPr>
              <w:autoSpaceDE w:val="0"/>
              <w:autoSpaceDN w:val="0"/>
              <w:adjustRightInd w:val="0"/>
              <w:jc w:val="right"/>
              <w:rPr>
                <w:szCs w:val="21"/>
              </w:rPr>
            </w:pPr>
            <w:r>
              <w:t>21,013,376.09</w:t>
            </w:r>
          </w:p>
        </w:tc>
        <w:tc>
          <w:tcPr>
            <w:tcW w:w="632" w:type="pct"/>
            <w:tcBorders>
              <w:top w:val="single" w:sz="4" w:space="0" w:color="auto"/>
              <w:left w:val="single" w:sz="4" w:space="0" w:color="auto"/>
              <w:bottom w:val="single" w:sz="4" w:space="0" w:color="auto"/>
              <w:right w:val="single" w:sz="4" w:space="0" w:color="auto"/>
            </w:tcBorders>
          </w:tcPr>
          <w:p w14:paraId="0543B317" w14:textId="77777777" w:rsidR="00E57DAA" w:rsidRDefault="00AC4185">
            <w:pPr>
              <w:autoSpaceDE w:val="0"/>
              <w:autoSpaceDN w:val="0"/>
              <w:adjustRightInd w:val="0"/>
              <w:jc w:val="right"/>
              <w:rPr>
                <w:szCs w:val="21"/>
              </w:rPr>
            </w:pPr>
            <w:r>
              <w:t>766,315.22</w:t>
            </w:r>
          </w:p>
        </w:tc>
        <w:tc>
          <w:tcPr>
            <w:tcW w:w="703" w:type="pct"/>
            <w:tcBorders>
              <w:top w:val="single" w:sz="4" w:space="0" w:color="auto"/>
              <w:left w:val="single" w:sz="4" w:space="0" w:color="auto"/>
              <w:bottom w:val="single" w:sz="4" w:space="0" w:color="auto"/>
              <w:right w:val="single" w:sz="4" w:space="0" w:color="auto"/>
            </w:tcBorders>
          </w:tcPr>
          <w:p w14:paraId="113A2664" w14:textId="77777777" w:rsidR="00E57DAA" w:rsidRDefault="00AC4185">
            <w:pPr>
              <w:autoSpaceDE w:val="0"/>
              <w:autoSpaceDN w:val="0"/>
              <w:adjustRightInd w:val="0"/>
              <w:jc w:val="right"/>
              <w:rPr>
                <w:szCs w:val="21"/>
              </w:rPr>
            </w:pPr>
            <w:r>
              <w:t>4,983,460.50</w:t>
            </w:r>
          </w:p>
        </w:tc>
        <w:tc>
          <w:tcPr>
            <w:tcW w:w="914" w:type="pct"/>
            <w:tcBorders>
              <w:top w:val="single" w:sz="4" w:space="0" w:color="auto"/>
              <w:left w:val="single" w:sz="4" w:space="0" w:color="auto"/>
              <w:bottom w:val="single" w:sz="4" w:space="0" w:color="auto"/>
              <w:right w:val="single" w:sz="4" w:space="0" w:color="auto"/>
            </w:tcBorders>
          </w:tcPr>
          <w:p w14:paraId="7EDF842B" w14:textId="77777777" w:rsidR="00E57DAA" w:rsidRDefault="00AC4185">
            <w:pPr>
              <w:autoSpaceDE w:val="0"/>
              <w:autoSpaceDN w:val="0"/>
              <w:adjustRightInd w:val="0"/>
              <w:jc w:val="right"/>
              <w:rPr>
                <w:szCs w:val="21"/>
              </w:rPr>
            </w:pPr>
            <w:r>
              <w:t>246,448.44</w:t>
            </w:r>
          </w:p>
        </w:tc>
      </w:tr>
      <w:tr w:rsidR="00E57DAA" w14:paraId="188B6EB1" w14:textId="77777777">
        <w:tc>
          <w:tcPr>
            <w:tcW w:w="677" w:type="pct"/>
            <w:tcBorders>
              <w:top w:val="single" w:sz="4" w:space="0" w:color="auto"/>
              <w:left w:val="single" w:sz="4" w:space="0" w:color="auto"/>
              <w:bottom w:val="single" w:sz="4" w:space="0" w:color="auto"/>
              <w:right w:val="single" w:sz="4" w:space="0" w:color="auto"/>
            </w:tcBorders>
            <w:vAlign w:val="center"/>
          </w:tcPr>
          <w:p w14:paraId="7342926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BF721BA" w14:textId="77777777" w:rsidR="00E57DAA" w:rsidRDefault="00AC4185">
            <w:pPr>
              <w:autoSpaceDE w:val="0"/>
              <w:autoSpaceDN w:val="0"/>
              <w:adjustRightInd w:val="0"/>
              <w:rPr>
                <w:szCs w:val="21"/>
              </w:rPr>
            </w:pPr>
            <w:r>
              <w:t>江西九江南方水泥有限公司</w:t>
            </w:r>
          </w:p>
        </w:tc>
        <w:tc>
          <w:tcPr>
            <w:tcW w:w="633" w:type="pct"/>
            <w:tcBorders>
              <w:top w:val="single" w:sz="4" w:space="0" w:color="auto"/>
              <w:left w:val="single" w:sz="4" w:space="0" w:color="auto"/>
              <w:bottom w:val="single" w:sz="4" w:space="0" w:color="auto"/>
              <w:right w:val="single" w:sz="4" w:space="0" w:color="auto"/>
            </w:tcBorders>
          </w:tcPr>
          <w:p w14:paraId="32D5D249" w14:textId="77777777" w:rsidR="00E57DAA" w:rsidRDefault="00AC4185">
            <w:pPr>
              <w:autoSpaceDE w:val="0"/>
              <w:autoSpaceDN w:val="0"/>
              <w:adjustRightInd w:val="0"/>
              <w:jc w:val="right"/>
              <w:rPr>
                <w:szCs w:val="21"/>
              </w:rPr>
            </w:pPr>
            <w:r>
              <w:t>20,170,569.64</w:t>
            </w:r>
          </w:p>
        </w:tc>
        <w:tc>
          <w:tcPr>
            <w:tcW w:w="632" w:type="pct"/>
            <w:tcBorders>
              <w:top w:val="single" w:sz="4" w:space="0" w:color="auto"/>
              <w:left w:val="single" w:sz="4" w:space="0" w:color="auto"/>
              <w:bottom w:val="single" w:sz="4" w:space="0" w:color="auto"/>
              <w:right w:val="single" w:sz="4" w:space="0" w:color="auto"/>
            </w:tcBorders>
          </w:tcPr>
          <w:p w14:paraId="4FF0FBB5" w14:textId="77777777" w:rsidR="00E57DAA" w:rsidRDefault="00AC4185">
            <w:pPr>
              <w:autoSpaceDE w:val="0"/>
              <w:autoSpaceDN w:val="0"/>
              <w:adjustRightInd w:val="0"/>
              <w:jc w:val="right"/>
              <w:rPr>
                <w:szCs w:val="21"/>
              </w:rPr>
            </w:pPr>
            <w:r>
              <w:t>1,794,216.30</w:t>
            </w:r>
          </w:p>
        </w:tc>
        <w:tc>
          <w:tcPr>
            <w:tcW w:w="703" w:type="pct"/>
            <w:tcBorders>
              <w:top w:val="single" w:sz="4" w:space="0" w:color="auto"/>
              <w:left w:val="single" w:sz="4" w:space="0" w:color="auto"/>
              <w:bottom w:val="single" w:sz="4" w:space="0" w:color="auto"/>
              <w:right w:val="single" w:sz="4" w:space="0" w:color="auto"/>
            </w:tcBorders>
          </w:tcPr>
          <w:p w14:paraId="6AF529A4" w14:textId="77777777" w:rsidR="00E57DAA" w:rsidRDefault="00AC4185">
            <w:pPr>
              <w:autoSpaceDE w:val="0"/>
              <w:autoSpaceDN w:val="0"/>
              <w:adjustRightInd w:val="0"/>
              <w:jc w:val="right"/>
              <w:rPr>
                <w:szCs w:val="21"/>
              </w:rPr>
            </w:pPr>
            <w:r>
              <w:t>35,483,014.76</w:t>
            </w:r>
          </w:p>
        </w:tc>
        <w:tc>
          <w:tcPr>
            <w:tcW w:w="914" w:type="pct"/>
            <w:tcBorders>
              <w:top w:val="single" w:sz="4" w:space="0" w:color="auto"/>
              <w:left w:val="single" w:sz="4" w:space="0" w:color="auto"/>
              <w:bottom w:val="single" w:sz="4" w:space="0" w:color="auto"/>
              <w:right w:val="single" w:sz="4" w:space="0" w:color="auto"/>
            </w:tcBorders>
          </w:tcPr>
          <w:p w14:paraId="5A4B5F14" w14:textId="77777777" w:rsidR="00E57DAA" w:rsidRDefault="00AC4185">
            <w:pPr>
              <w:autoSpaceDE w:val="0"/>
              <w:autoSpaceDN w:val="0"/>
              <w:adjustRightInd w:val="0"/>
              <w:jc w:val="right"/>
              <w:rPr>
                <w:szCs w:val="21"/>
              </w:rPr>
            </w:pPr>
            <w:r>
              <w:t>1,490,963.26</w:t>
            </w:r>
          </w:p>
        </w:tc>
      </w:tr>
      <w:tr w:rsidR="00E57DAA" w14:paraId="767A958C" w14:textId="77777777">
        <w:tc>
          <w:tcPr>
            <w:tcW w:w="677" w:type="pct"/>
            <w:tcBorders>
              <w:top w:val="single" w:sz="4" w:space="0" w:color="auto"/>
              <w:left w:val="single" w:sz="4" w:space="0" w:color="auto"/>
              <w:bottom w:val="single" w:sz="4" w:space="0" w:color="auto"/>
              <w:right w:val="single" w:sz="4" w:space="0" w:color="auto"/>
            </w:tcBorders>
            <w:vAlign w:val="center"/>
          </w:tcPr>
          <w:p w14:paraId="3822296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9B61F6" w14:textId="77777777" w:rsidR="00E57DAA" w:rsidRDefault="00AC4185">
            <w:pPr>
              <w:autoSpaceDE w:val="0"/>
              <w:autoSpaceDN w:val="0"/>
              <w:adjustRightInd w:val="0"/>
              <w:rPr>
                <w:szCs w:val="21"/>
              </w:rPr>
            </w:pPr>
            <w:r>
              <w:t>永登祁连山水泥有限公司</w:t>
            </w:r>
          </w:p>
        </w:tc>
        <w:tc>
          <w:tcPr>
            <w:tcW w:w="633" w:type="pct"/>
            <w:tcBorders>
              <w:top w:val="single" w:sz="4" w:space="0" w:color="auto"/>
              <w:left w:val="single" w:sz="4" w:space="0" w:color="auto"/>
              <w:bottom w:val="single" w:sz="4" w:space="0" w:color="auto"/>
              <w:right w:val="single" w:sz="4" w:space="0" w:color="auto"/>
            </w:tcBorders>
          </w:tcPr>
          <w:p w14:paraId="1109D26B" w14:textId="77777777" w:rsidR="00E57DAA" w:rsidRDefault="00AC4185">
            <w:pPr>
              <w:autoSpaceDE w:val="0"/>
              <w:autoSpaceDN w:val="0"/>
              <w:adjustRightInd w:val="0"/>
              <w:jc w:val="right"/>
              <w:rPr>
                <w:szCs w:val="21"/>
              </w:rPr>
            </w:pPr>
            <w:r>
              <w:t>20,155,001.80</w:t>
            </w:r>
          </w:p>
        </w:tc>
        <w:tc>
          <w:tcPr>
            <w:tcW w:w="632" w:type="pct"/>
            <w:tcBorders>
              <w:top w:val="single" w:sz="4" w:space="0" w:color="auto"/>
              <w:left w:val="single" w:sz="4" w:space="0" w:color="auto"/>
              <w:bottom w:val="single" w:sz="4" w:space="0" w:color="auto"/>
              <w:right w:val="single" w:sz="4" w:space="0" w:color="auto"/>
            </w:tcBorders>
          </w:tcPr>
          <w:p w14:paraId="40DA0141" w14:textId="77777777" w:rsidR="00E57DAA" w:rsidRDefault="00AC4185">
            <w:pPr>
              <w:autoSpaceDE w:val="0"/>
              <w:autoSpaceDN w:val="0"/>
              <w:adjustRightInd w:val="0"/>
              <w:jc w:val="right"/>
              <w:rPr>
                <w:szCs w:val="21"/>
              </w:rPr>
            </w:pPr>
            <w:r>
              <w:t>771,375.31</w:t>
            </w:r>
          </w:p>
        </w:tc>
        <w:tc>
          <w:tcPr>
            <w:tcW w:w="703" w:type="pct"/>
            <w:tcBorders>
              <w:top w:val="single" w:sz="4" w:space="0" w:color="auto"/>
              <w:left w:val="single" w:sz="4" w:space="0" w:color="auto"/>
              <w:bottom w:val="single" w:sz="4" w:space="0" w:color="auto"/>
              <w:right w:val="single" w:sz="4" w:space="0" w:color="auto"/>
            </w:tcBorders>
          </w:tcPr>
          <w:p w14:paraId="066EDECD" w14:textId="77777777" w:rsidR="00E57DAA" w:rsidRDefault="00AC4185">
            <w:pPr>
              <w:autoSpaceDE w:val="0"/>
              <w:autoSpaceDN w:val="0"/>
              <w:adjustRightInd w:val="0"/>
              <w:jc w:val="right"/>
              <w:rPr>
                <w:szCs w:val="21"/>
              </w:rPr>
            </w:pPr>
            <w:r>
              <w:t>9,561,328.05</w:t>
            </w:r>
          </w:p>
        </w:tc>
        <w:tc>
          <w:tcPr>
            <w:tcW w:w="914" w:type="pct"/>
            <w:tcBorders>
              <w:top w:val="single" w:sz="4" w:space="0" w:color="auto"/>
              <w:left w:val="single" w:sz="4" w:space="0" w:color="auto"/>
              <w:bottom w:val="single" w:sz="4" w:space="0" w:color="auto"/>
              <w:right w:val="single" w:sz="4" w:space="0" w:color="auto"/>
            </w:tcBorders>
          </w:tcPr>
          <w:p w14:paraId="66661D30" w14:textId="77777777" w:rsidR="00E57DAA" w:rsidRDefault="00AC4185">
            <w:pPr>
              <w:autoSpaceDE w:val="0"/>
              <w:autoSpaceDN w:val="0"/>
              <w:adjustRightInd w:val="0"/>
              <w:jc w:val="right"/>
              <w:rPr>
                <w:szCs w:val="21"/>
              </w:rPr>
            </w:pPr>
            <w:r>
              <w:t>176,410.68</w:t>
            </w:r>
          </w:p>
        </w:tc>
      </w:tr>
      <w:tr w:rsidR="00E57DAA" w14:paraId="2CB0FED5" w14:textId="77777777">
        <w:tc>
          <w:tcPr>
            <w:tcW w:w="677" w:type="pct"/>
            <w:tcBorders>
              <w:top w:val="single" w:sz="4" w:space="0" w:color="auto"/>
              <w:left w:val="single" w:sz="4" w:space="0" w:color="auto"/>
              <w:bottom w:val="single" w:sz="4" w:space="0" w:color="auto"/>
              <w:right w:val="single" w:sz="4" w:space="0" w:color="auto"/>
            </w:tcBorders>
            <w:vAlign w:val="center"/>
          </w:tcPr>
          <w:p w14:paraId="57C8174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2316BD6" w14:textId="77777777" w:rsidR="00E57DAA" w:rsidRDefault="00AC4185">
            <w:pPr>
              <w:autoSpaceDE w:val="0"/>
              <w:autoSpaceDN w:val="0"/>
              <w:adjustRightInd w:val="0"/>
              <w:rPr>
                <w:szCs w:val="21"/>
              </w:rPr>
            </w:pPr>
            <w:r>
              <w:t>邢台中联水泥有限公司</w:t>
            </w:r>
          </w:p>
        </w:tc>
        <w:tc>
          <w:tcPr>
            <w:tcW w:w="633" w:type="pct"/>
            <w:tcBorders>
              <w:top w:val="single" w:sz="4" w:space="0" w:color="auto"/>
              <w:left w:val="single" w:sz="4" w:space="0" w:color="auto"/>
              <w:bottom w:val="single" w:sz="4" w:space="0" w:color="auto"/>
              <w:right w:val="single" w:sz="4" w:space="0" w:color="auto"/>
            </w:tcBorders>
          </w:tcPr>
          <w:p w14:paraId="2D02CC4E" w14:textId="77777777" w:rsidR="00E57DAA" w:rsidRDefault="00AC4185">
            <w:pPr>
              <w:autoSpaceDE w:val="0"/>
              <w:autoSpaceDN w:val="0"/>
              <w:adjustRightInd w:val="0"/>
              <w:jc w:val="right"/>
              <w:rPr>
                <w:szCs w:val="21"/>
              </w:rPr>
            </w:pPr>
            <w:r>
              <w:t>19,928,513.83</w:t>
            </w:r>
          </w:p>
        </w:tc>
        <w:tc>
          <w:tcPr>
            <w:tcW w:w="632" w:type="pct"/>
            <w:tcBorders>
              <w:top w:val="single" w:sz="4" w:space="0" w:color="auto"/>
              <w:left w:val="single" w:sz="4" w:space="0" w:color="auto"/>
              <w:bottom w:val="single" w:sz="4" w:space="0" w:color="auto"/>
              <w:right w:val="single" w:sz="4" w:space="0" w:color="auto"/>
            </w:tcBorders>
          </w:tcPr>
          <w:p w14:paraId="5F64A4D3" w14:textId="77777777" w:rsidR="00E57DAA" w:rsidRDefault="00AC4185">
            <w:pPr>
              <w:autoSpaceDE w:val="0"/>
              <w:autoSpaceDN w:val="0"/>
              <w:adjustRightInd w:val="0"/>
              <w:jc w:val="right"/>
              <w:rPr>
                <w:szCs w:val="21"/>
              </w:rPr>
            </w:pPr>
            <w:r>
              <w:t>439,931.06</w:t>
            </w:r>
          </w:p>
        </w:tc>
        <w:tc>
          <w:tcPr>
            <w:tcW w:w="703" w:type="pct"/>
            <w:tcBorders>
              <w:top w:val="single" w:sz="4" w:space="0" w:color="auto"/>
              <w:left w:val="single" w:sz="4" w:space="0" w:color="auto"/>
              <w:bottom w:val="single" w:sz="4" w:space="0" w:color="auto"/>
              <w:right w:val="single" w:sz="4" w:space="0" w:color="auto"/>
            </w:tcBorders>
          </w:tcPr>
          <w:p w14:paraId="33142059" w14:textId="77777777" w:rsidR="00E57DAA" w:rsidRDefault="00AC4185">
            <w:pPr>
              <w:autoSpaceDE w:val="0"/>
              <w:autoSpaceDN w:val="0"/>
              <w:adjustRightInd w:val="0"/>
              <w:jc w:val="right"/>
              <w:rPr>
                <w:szCs w:val="21"/>
              </w:rPr>
            </w:pPr>
            <w:r>
              <w:t>1,069,284.93</w:t>
            </w:r>
          </w:p>
        </w:tc>
        <w:tc>
          <w:tcPr>
            <w:tcW w:w="914" w:type="pct"/>
            <w:tcBorders>
              <w:top w:val="single" w:sz="4" w:space="0" w:color="auto"/>
              <w:left w:val="single" w:sz="4" w:space="0" w:color="auto"/>
              <w:bottom w:val="single" w:sz="4" w:space="0" w:color="auto"/>
              <w:right w:val="single" w:sz="4" w:space="0" w:color="auto"/>
            </w:tcBorders>
          </w:tcPr>
          <w:p w14:paraId="2629CD2D" w14:textId="77777777" w:rsidR="00E57DAA" w:rsidRDefault="00AC4185">
            <w:pPr>
              <w:autoSpaceDE w:val="0"/>
              <w:autoSpaceDN w:val="0"/>
              <w:adjustRightInd w:val="0"/>
              <w:jc w:val="right"/>
              <w:rPr>
                <w:szCs w:val="21"/>
              </w:rPr>
            </w:pPr>
            <w:r>
              <w:t>54,244.73</w:t>
            </w:r>
          </w:p>
        </w:tc>
      </w:tr>
      <w:tr w:rsidR="00E57DAA" w14:paraId="1AC3E830" w14:textId="77777777">
        <w:tc>
          <w:tcPr>
            <w:tcW w:w="677" w:type="pct"/>
            <w:tcBorders>
              <w:top w:val="single" w:sz="4" w:space="0" w:color="auto"/>
              <w:left w:val="single" w:sz="4" w:space="0" w:color="auto"/>
              <w:bottom w:val="single" w:sz="4" w:space="0" w:color="auto"/>
              <w:right w:val="single" w:sz="4" w:space="0" w:color="auto"/>
            </w:tcBorders>
            <w:vAlign w:val="center"/>
          </w:tcPr>
          <w:p w14:paraId="1D2CEFC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FF82459" w14:textId="77777777" w:rsidR="00E57DAA" w:rsidRDefault="00AC4185">
            <w:pPr>
              <w:autoSpaceDE w:val="0"/>
              <w:autoSpaceDN w:val="0"/>
              <w:adjustRightInd w:val="0"/>
              <w:rPr>
                <w:szCs w:val="21"/>
              </w:rPr>
            </w:pPr>
            <w:r>
              <w:t>平凉祁连山水泥有限公司</w:t>
            </w:r>
          </w:p>
        </w:tc>
        <w:tc>
          <w:tcPr>
            <w:tcW w:w="633" w:type="pct"/>
            <w:tcBorders>
              <w:top w:val="single" w:sz="4" w:space="0" w:color="auto"/>
              <w:left w:val="single" w:sz="4" w:space="0" w:color="auto"/>
              <w:bottom w:val="single" w:sz="4" w:space="0" w:color="auto"/>
              <w:right w:val="single" w:sz="4" w:space="0" w:color="auto"/>
            </w:tcBorders>
          </w:tcPr>
          <w:p w14:paraId="4D974FDC" w14:textId="77777777" w:rsidR="00E57DAA" w:rsidRDefault="00AC4185">
            <w:pPr>
              <w:autoSpaceDE w:val="0"/>
              <w:autoSpaceDN w:val="0"/>
              <w:adjustRightInd w:val="0"/>
              <w:jc w:val="right"/>
              <w:rPr>
                <w:szCs w:val="21"/>
              </w:rPr>
            </w:pPr>
            <w:r>
              <w:t>19,538,575.11</w:t>
            </w:r>
          </w:p>
        </w:tc>
        <w:tc>
          <w:tcPr>
            <w:tcW w:w="632" w:type="pct"/>
            <w:tcBorders>
              <w:top w:val="single" w:sz="4" w:space="0" w:color="auto"/>
              <w:left w:val="single" w:sz="4" w:space="0" w:color="auto"/>
              <w:bottom w:val="single" w:sz="4" w:space="0" w:color="auto"/>
              <w:right w:val="single" w:sz="4" w:space="0" w:color="auto"/>
            </w:tcBorders>
          </w:tcPr>
          <w:p w14:paraId="40DF897B" w14:textId="77777777" w:rsidR="00E57DAA" w:rsidRDefault="00AC4185">
            <w:pPr>
              <w:autoSpaceDE w:val="0"/>
              <w:autoSpaceDN w:val="0"/>
              <w:adjustRightInd w:val="0"/>
              <w:jc w:val="right"/>
              <w:rPr>
                <w:szCs w:val="21"/>
              </w:rPr>
            </w:pPr>
            <w:r>
              <w:t>1,069,632.84</w:t>
            </w:r>
          </w:p>
        </w:tc>
        <w:tc>
          <w:tcPr>
            <w:tcW w:w="703" w:type="pct"/>
            <w:tcBorders>
              <w:top w:val="single" w:sz="4" w:space="0" w:color="auto"/>
              <w:left w:val="single" w:sz="4" w:space="0" w:color="auto"/>
              <w:bottom w:val="single" w:sz="4" w:space="0" w:color="auto"/>
              <w:right w:val="single" w:sz="4" w:space="0" w:color="auto"/>
            </w:tcBorders>
          </w:tcPr>
          <w:p w14:paraId="5AAA165D" w14:textId="77777777" w:rsidR="00E57DAA" w:rsidRDefault="00AC4185">
            <w:pPr>
              <w:autoSpaceDE w:val="0"/>
              <w:autoSpaceDN w:val="0"/>
              <w:adjustRightInd w:val="0"/>
              <w:jc w:val="right"/>
              <w:rPr>
                <w:szCs w:val="21"/>
              </w:rPr>
            </w:pPr>
            <w:r>
              <w:t>18,376,728.10</w:t>
            </w:r>
          </w:p>
        </w:tc>
        <w:tc>
          <w:tcPr>
            <w:tcW w:w="914" w:type="pct"/>
            <w:tcBorders>
              <w:top w:val="single" w:sz="4" w:space="0" w:color="auto"/>
              <w:left w:val="single" w:sz="4" w:space="0" w:color="auto"/>
              <w:bottom w:val="single" w:sz="4" w:space="0" w:color="auto"/>
              <w:right w:val="single" w:sz="4" w:space="0" w:color="auto"/>
            </w:tcBorders>
          </w:tcPr>
          <w:p w14:paraId="4A28D017" w14:textId="77777777" w:rsidR="00E57DAA" w:rsidRDefault="00AC4185">
            <w:pPr>
              <w:autoSpaceDE w:val="0"/>
              <w:autoSpaceDN w:val="0"/>
              <w:adjustRightInd w:val="0"/>
              <w:jc w:val="right"/>
              <w:rPr>
                <w:szCs w:val="21"/>
              </w:rPr>
            </w:pPr>
            <w:r>
              <w:t>411,326.06</w:t>
            </w:r>
          </w:p>
        </w:tc>
      </w:tr>
      <w:tr w:rsidR="00E57DAA" w14:paraId="01C0BF35" w14:textId="77777777">
        <w:tc>
          <w:tcPr>
            <w:tcW w:w="677" w:type="pct"/>
            <w:tcBorders>
              <w:top w:val="single" w:sz="4" w:space="0" w:color="auto"/>
              <w:left w:val="single" w:sz="4" w:space="0" w:color="auto"/>
              <w:bottom w:val="single" w:sz="4" w:space="0" w:color="auto"/>
              <w:right w:val="single" w:sz="4" w:space="0" w:color="auto"/>
            </w:tcBorders>
            <w:vAlign w:val="center"/>
          </w:tcPr>
          <w:p w14:paraId="68AF272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27D88A4" w14:textId="77777777" w:rsidR="00E57DAA" w:rsidRDefault="00AC4185">
            <w:pPr>
              <w:autoSpaceDE w:val="0"/>
              <w:autoSpaceDN w:val="0"/>
              <w:adjustRightInd w:val="0"/>
              <w:rPr>
                <w:szCs w:val="21"/>
              </w:rPr>
            </w:pPr>
            <w:r>
              <w:t>杭州山亚南方水泥有限公司</w:t>
            </w:r>
          </w:p>
        </w:tc>
        <w:tc>
          <w:tcPr>
            <w:tcW w:w="633" w:type="pct"/>
            <w:tcBorders>
              <w:top w:val="single" w:sz="4" w:space="0" w:color="auto"/>
              <w:left w:val="single" w:sz="4" w:space="0" w:color="auto"/>
              <w:bottom w:val="single" w:sz="4" w:space="0" w:color="auto"/>
              <w:right w:val="single" w:sz="4" w:space="0" w:color="auto"/>
            </w:tcBorders>
          </w:tcPr>
          <w:p w14:paraId="44EFB905" w14:textId="77777777" w:rsidR="00E57DAA" w:rsidRDefault="00AC4185">
            <w:pPr>
              <w:autoSpaceDE w:val="0"/>
              <w:autoSpaceDN w:val="0"/>
              <w:adjustRightInd w:val="0"/>
              <w:jc w:val="right"/>
              <w:rPr>
                <w:szCs w:val="21"/>
              </w:rPr>
            </w:pPr>
            <w:r>
              <w:t>18,303,564.30</w:t>
            </w:r>
          </w:p>
        </w:tc>
        <w:tc>
          <w:tcPr>
            <w:tcW w:w="632" w:type="pct"/>
            <w:tcBorders>
              <w:top w:val="single" w:sz="4" w:space="0" w:color="auto"/>
              <w:left w:val="single" w:sz="4" w:space="0" w:color="auto"/>
              <w:bottom w:val="single" w:sz="4" w:space="0" w:color="auto"/>
              <w:right w:val="single" w:sz="4" w:space="0" w:color="auto"/>
            </w:tcBorders>
          </w:tcPr>
          <w:p w14:paraId="3B99CC8F" w14:textId="77777777" w:rsidR="00E57DAA" w:rsidRDefault="00AC4185">
            <w:pPr>
              <w:autoSpaceDE w:val="0"/>
              <w:autoSpaceDN w:val="0"/>
              <w:adjustRightInd w:val="0"/>
              <w:jc w:val="right"/>
              <w:rPr>
                <w:szCs w:val="21"/>
              </w:rPr>
            </w:pPr>
            <w:r>
              <w:t>436,856.22</w:t>
            </w:r>
          </w:p>
        </w:tc>
        <w:tc>
          <w:tcPr>
            <w:tcW w:w="703" w:type="pct"/>
            <w:tcBorders>
              <w:top w:val="single" w:sz="4" w:space="0" w:color="auto"/>
              <w:left w:val="single" w:sz="4" w:space="0" w:color="auto"/>
              <w:bottom w:val="single" w:sz="4" w:space="0" w:color="auto"/>
              <w:right w:val="single" w:sz="4" w:space="0" w:color="auto"/>
            </w:tcBorders>
          </w:tcPr>
          <w:p w14:paraId="16495854" w14:textId="77777777" w:rsidR="00E57DAA" w:rsidRDefault="00AC4185">
            <w:pPr>
              <w:autoSpaceDE w:val="0"/>
              <w:autoSpaceDN w:val="0"/>
              <w:adjustRightInd w:val="0"/>
              <w:jc w:val="right"/>
              <w:rPr>
                <w:szCs w:val="21"/>
              </w:rPr>
            </w:pPr>
            <w:r>
              <w:t>63,657,214.24</w:t>
            </w:r>
          </w:p>
        </w:tc>
        <w:tc>
          <w:tcPr>
            <w:tcW w:w="914" w:type="pct"/>
            <w:tcBorders>
              <w:top w:val="single" w:sz="4" w:space="0" w:color="auto"/>
              <w:left w:val="single" w:sz="4" w:space="0" w:color="auto"/>
              <w:bottom w:val="single" w:sz="4" w:space="0" w:color="auto"/>
              <w:right w:val="single" w:sz="4" w:space="0" w:color="auto"/>
            </w:tcBorders>
          </w:tcPr>
          <w:p w14:paraId="16CE41D8" w14:textId="77777777" w:rsidR="00E57DAA" w:rsidRDefault="00AC4185">
            <w:pPr>
              <w:autoSpaceDE w:val="0"/>
              <w:autoSpaceDN w:val="0"/>
              <w:adjustRightInd w:val="0"/>
              <w:jc w:val="right"/>
              <w:rPr>
                <w:szCs w:val="21"/>
              </w:rPr>
            </w:pPr>
            <w:r>
              <w:t>2,652,524.63</w:t>
            </w:r>
          </w:p>
        </w:tc>
      </w:tr>
      <w:tr w:rsidR="00E57DAA" w14:paraId="42E70FED" w14:textId="77777777">
        <w:tc>
          <w:tcPr>
            <w:tcW w:w="677" w:type="pct"/>
            <w:tcBorders>
              <w:top w:val="single" w:sz="4" w:space="0" w:color="auto"/>
              <w:left w:val="single" w:sz="4" w:space="0" w:color="auto"/>
              <w:bottom w:val="single" w:sz="4" w:space="0" w:color="auto"/>
              <w:right w:val="single" w:sz="4" w:space="0" w:color="auto"/>
            </w:tcBorders>
            <w:vAlign w:val="center"/>
          </w:tcPr>
          <w:p w14:paraId="5A740F8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1845529" w14:textId="77777777" w:rsidR="00E57DAA" w:rsidRDefault="00AC4185">
            <w:pPr>
              <w:autoSpaceDE w:val="0"/>
              <w:autoSpaceDN w:val="0"/>
              <w:adjustRightInd w:val="0"/>
              <w:rPr>
                <w:szCs w:val="21"/>
              </w:rPr>
            </w:pPr>
            <w:r>
              <w:t>CNBM MINING INVESTMENT NIG. LIMITED</w:t>
            </w:r>
          </w:p>
        </w:tc>
        <w:tc>
          <w:tcPr>
            <w:tcW w:w="633" w:type="pct"/>
            <w:tcBorders>
              <w:top w:val="single" w:sz="4" w:space="0" w:color="auto"/>
              <w:left w:val="single" w:sz="4" w:space="0" w:color="auto"/>
              <w:bottom w:val="single" w:sz="4" w:space="0" w:color="auto"/>
              <w:right w:val="single" w:sz="4" w:space="0" w:color="auto"/>
            </w:tcBorders>
          </w:tcPr>
          <w:p w14:paraId="3CC3C955" w14:textId="77777777" w:rsidR="00E57DAA" w:rsidRDefault="00AC4185">
            <w:pPr>
              <w:autoSpaceDE w:val="0"/>
              <w:autoSpaceDN w:val="0"/>
              <w:adjustRightInd w:val="0"/>
              <w:jc w:val="right"/>
              <w:rPr>
                <w:szCs w:val="21"/>
              </w:rPr>
            </w:pPr>
            <w:r>
              <w:t>17,821,659.08</w:t>
            </w:r>
          </w:p>
        </w:tc>
        <w:tc>
          <w:tcPr>
            <w:tcW w:w="632" w:type="pct"/>
            <w:tcBorders>
              <w:top w:val="single" w:sz="4" w:space="0" w:color="auto"/>
              <w:left w:val="single" w:sz="4" w:space="0" w:color="auto"/>
              <w:bottom w:val="single" w:sz="4" w:space="0" w:color="auto"/>
              <w:right w:val="single" w:sz="4" w:space="0" w:color="auto"/>
            </w:tcBorders>
          </w:tcPr>
          <w:p w14:paraId="3E0F87A3" w14:textId="77777777" w:rsidR="00E57DAA" w:rsidRDefault="00AC4185">
            <w:pPr>
              <w:autoSpaceDE w:val="0"/>
              <w:autoSpaceDN w:val="0"/>
              <w:adjustRightInd w:val="0"/>
              <w:jc w:val="right"/>
              <w:rPr>
                <w:szCs w:val="21"/>
              </w:rPr>
            </w:pPr>
            <w:r>
              <w:t>2,569,883.24</w:t>
            </w:r>
          </w:p>
        </w:tc>
        <w:tc>
          <w:tcPr>
            <w:tcW w:w="703" w:type="pct"/>
            <w:tcBorders>
              <w:top w:val="single" w:sz="4" w:space="0" w:color="auto"/>
              <w:left w:val="single" w:sz="4" w:space="0" w:color="auto"/>
              <w:bottom w:val="single" w:sz="4" w:space="0" w:color="auto"/>
              <w:right w:val="single" w:sz="4" w:space="0" w:color="auto"/>
            </w:tcBorders>
          </w:tcPr>
          <w:p w14:paraId="74D3562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A9DCDA5" w14:textId="77777777" w:rsidR="00E57DAA" w:rsidRDefault="00AC4185">
            <w:pPr>
              <w:autoSpaceDE w:val="0"/>
              <w:autoSpaceDN w:val="0"/>
              <w:adjustRightInd w:val="0"/>
              <w:jc w:val="right"/>
              <w:rPr>
                <w:szCs w:val="21"/>
              </w:rPr>
            </w:pPr>
            <w:r>
              <w:t xml:space="preserve">　</w:t>
            </w:r>
          </w:p>
        </w:tc>
      </w:tr>
      <w:tr w:rsidR="00E57DAA" w14:paraId="6700F0FC" w14:textId="77777777">
        <w:tc>
          <w:tcPr>
            <w:tcW w:w="677" w:type="pct"/>
            <w:tcBorders>
              <w:top w:val="single" w:sz="4" w:space="0" w:color="auto"/>
              <w:left w:val="single" w:sz="4" w:space="0" w:color="auto"/>
              <w:bottom w:val="single" w:sz="4" w:space="0" w:color="auto"/>
              <w:right w:val="single" w:sz="4" w:space="0" w:color="auto"/>
            </w:tcBorders>
            <w:vAlign w:val="center"/>
          </w:tcPr>
          <w:p w14:paraId="355AE0E6"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7A729D4F" w14:textId="77777777" w:rsidR="00E57DAA" w:rsidRDefault="00AC4185">
            <w:pPr>
              <w:autoSpaceDE w:val="0"/>
              <w:autoSpaceDN w:val="0"/>
              <w:adjustRightInd w:val="0"/>
              <w:rPr>
                <w:szCs w:val="21"/>
              </w:rPr>
            </w:pPr>
            <w:r>
              <w:t>云南宜良西南水泥有限公司</w:t>
            </w:r>
          </w:p>
        </w:tc>
        <w:tc>
          <w:tcPr>
            <w:tcW w:w="633" w:type="pct"/>
            <w:tcBorders>
              <w:top w:val="single" w:sz="4" w:space="0" w:color="auto"/>
              <w:left w:val="single" w:sz="4" w:space="0" w:color="auto"/>
              <w:bottom w:val="single" w:sz="4" w:space="0" w:color="auto"/>
              <w:right w:val="single" w:sz="4" w:space="0" w:color="auto"/>
            </w:tcBorders>
          </w:tcPr>
          <w:p w14:paraId="1A09E406" w14:textId="77777777" w:rsidR="00E57DAA" w:rsidRDefault="00AC4185">
            <w:pPr>
              <w:autoSpaceDE w:val="0"/>
              <w:autoSpaceDN w:val="0"/>
              <w:adjustRightInd w:val="0"/>
              <w:jc w:val="right"/>
              <w:rPr>
                <w:szCs w:val="21"/>
              </w:rPr>
            </w:pPr>
            <w:r>
              <w:t>16,588,620.00</w:t>
            </w:r>
          </w:p>
        </w:tc>
        <w:tc>
          <w:tcPr>
            <w:tcW w:w="632" w:type="pct"/>
            <w:tcBorders>
              <w:top w:val="single" w:sz="4" w:space="0" w:color="auto"/>
              <w:left w:val="single" w:sz="4" w:space="0" w:color="auto"/>
              <w:bottom w:val="single" w:sz="4" w:space="0" w:color="auto"/>
              <w:right w:val="single" w:sz="4" w:space="0" w:color="auto"/>
            </w:tcBorders>
          </w:tcPr>
          <w:p w14:paraId="087D8BA1" w14:textId="77777777" w:rsidR="00E57DAA" w:rsidRDefault="00AC4185">
            <w:pPr>
              <w:autoSpaceDE w:val="0"/>
              <w:autoSpaceDN w:val="0"/>
              <w:adjustRightInd w:val="0"/>
              <w:jc w:val="right"/>
              <w:rPr>
                <w:szCs w:val="21"/>
              </w:rPr>
            </w:pPr>
            <w:r>
              <w:t>861,762.16</w:t>
            </w:r>
          </w:p>
        </w:tc>
        <w:tc>
          <w:tcPr>
            <w:tcW w:w="703" w:type="pct"/>
            <w:tcBorders>
              <w:top w:val="single" w:sz="4" w:space="0" w:color="auto"/>
              <w:left w:val="single" w:sz="4" w:space="0" w:color="auto"/>
              <w:bottom w:val="single" w:sz="4" w:space="0" w:color="auto"/>
              <w:right w:val="single" w:sz="4" w:space="0" w:color="auto"/>
            </w:tcBorders>
          </w:tcPr>
          <w:p w14:paraId="536263F9" w14:textId="77777777" w:rsidR="00E57DAA" w:rsidRDefault="00AC4185">
            <w:pPr>
              <w:autoSpaceDE w:val="0"/>
              <w:autoSpaceDN w:val="0"/>
              <w:adjustRightInd w:val="0"/>
              <w:jc w:val="right"/>
              <w:rPr>
                <w:szCs w:val="21"/>
              </w:rPr>
            </w:pPr>
            <w:r>
              <w:t>20,019,150.92</w:t>
            </w:r>
          </w:p>
        </w:tc>
        <w:tc>
          <w:tcPr>
            <w:tcW w:w="914" w:type="pct"/>
            <w:tcBorders>
              <w:top w:val="single" w:sz="4" w:space="0" w:color="auto"/>
              <w:left w:val="single" w:sz="4" w:space="0" w:color="auto"/>
              <w:bottom w:val="single" w:sz="4" w:space="0" w:color="auto"/>
              <w:right w:val="single" w:sz="4" w:space="0" w:color="auto"/>
            </w:tcBorders>
          </w:tcPr>
          <w:p w14:paraId="00A2220D" w14:textId="77777777" w:rsidR="00E57DAA" w:rsidRDefault="00AC4185">
            <w:pPr>
              <w:autoSpaceDE w:val="0"/>
              <w:autoSpaceDN w:val="0"/>
              <w:adjustRightInd w:val="0"/>
              <w:jc w:val="right"/>
              <w:rPr>
                <w:szCs w:val="21"/>
              </w:rPr>
            </w:pPr>
            <w:r>
              <w:t>483,853.09</w:t>
            </w:r>
          </w:p>
        </w:tc>
      </w:tr>
      <w:tr w:rsidR="00E57DAA" w14:paraId="2044CBE3" w14:textId="77777777">
        <w:tc>
          <w:tcPr>
            <w:tcW w:w="677" w:type="pct"/>
            <w:tcBorders>
              <w:top w:val="single" w:sz="4" w:space="0" w:color="auto"/>
              <w:left w:val="single" w:sz="4" w:space="0" w:color="auto"/>
              <w:bottom w:val="single" w:sz="4" w:space="0" w:color="auto"/>
              <w:right w:val="single" w:sz="4" w:space="0" w:color="auto"/>
            </w:tcBorders>
            <w:vAlign w:val="center"/>
          </w:tcPr>
          <w:p w14:paraId="2A29F07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FA6F94" w14:textId="77777777" w:rsidR="00E57DAA" w:rsidRDefault="00AC4185">
            <w:pPr>
              <w:autoSpaceDE w:val="0"/>
              <w:autoSpaceDN w:val="0"/>
              <w:adjustRightInd w:val="0"/>
              <w:rPr>
                <w:szCs w:val="21"/>
              </w:rPr>
            </w:pPr>
            <w:r>
              <w:t>湖南耒阳南方水泥有限公司</w:t>
            </w:r>
          </w:p>
        </w:tc>
        <w:tc>
          <w:tcPr>
            <w:tcW w:w="633" w:type="pct"/>
            <w:tcBorders>
              <w:top w:val="single" w:sz="4" w:space="0" w:color="auto"/>
              <w:left w:val="single" w:sz="4" w:space="0" w:color="auto"/>
              <w:bottom w:val="single" w:sz="4" w:space="0" w:color="auto"/>
              <w:right w:val="single" w:sz="4" w:space="0" w:color="auto"/>
            </w:tcBorders>
          </w:tcPr>
          <w:p w14:paraId="139747A7" w14:textId="77777777" w:rsidR="00E57DAA" w:rsidRDefault="00AC4185">
            <w:pPr>
              <w:autoSpaceDE w:val="0"/>
              <w:autoSpaceDN w:val="0"/>
              <w:adjustRightInd w:val="0"/>
              <w:jc w:val="right"/>
              <w:rPr>
                <w:szCs w:val="21"/>
              </w:rPr>
            </w:pPr>
            <w:r>
              <w:t>16,108,131.56</w:t>
            </w:r>
          </w:p>
        </w:tc>
        <w:tc>
          <w:tcPr>
            <w:tcW w:w="632" w:type="pct"/>
            <w:tcBorders>
              <w:top w:val="single" w:sz="4" w:space="0" w:color="auto"/>
              <w:left w:val="single" w:sz="4" w:space="0" w:color="auto"/>
              <w:bottom w:val="single" w:sz="4" w:space="0" w:color="auto"/>
              <w:right w:val="single" w:sz="4" w:space="0" w:color="auto"/>
            </w:tcBorders>
          </w:tcPr>
          <w:p w14:paraId="2DA47EB4" w14:textId="77777777" w:rsidR="00E57DAA" w:rsidRDefault="00AC4185">
            <w:pPr>
              <w:autoSpaceDE w:val="0"/>
              <w:autoSpaceDN w:val="0"/>
              <w:adjustRightInd w:val="0"/>
              <w:jc w:val="right"/>
              <w:rPr>
                <w:szCs w:val="21"/>
              </w:rPr>
            </w:pPr>
            <w:r>
              <w:t>2,851,304.76</w:t>
            </w:r>
          </w:p>
        </w:tc>
        <w:tc>
          <w:tcPr>
            <w:tcW w:w="703" w:type="pct"/>
            <w:tcBorders>
              <w:top w:val="single" w:sz="4" w:space="0" w:color="auto"/>
              <w:left w:val="single" w:sz="4" w:space="0" w:color="auto"/>
              <w:bottom w:val="single" w:sz="4" w:space="0" w:color="auto"/>
              <w:right w:val="single" w:sz="4" w:space="0" w:color="auto"/>
            </w:tcBorders>
          </w:tcPr>
          <w:p w14:paraId="1A9D793D" w14:textId="77777777" w:rsidR="00E57DAA" w:rsidRDefault="00AC4185">
            <w:pPr>
              <w:autoSpaceDE w:val="0"/>
              <w:autoSpaceDN w:val="0"/>
              <w:adjustRightInd w:val="0"/>
              <w:jc w:val="right"/>
              <w:rPr>
                <w:szCs w:val="21"/>
              </w:rPr>
            </w:pPr>
            <w:r>
              <w:t>8,709,111.78</w:t>
            </w:r>
          </w:p>
        </w:tc>
        <w:tc>
          <w:tcPr>
            <w:tcW w:w="914" w:type="pct"/>
            <w:tcBorders>
              <w:top w:val="single" w:sz="4" w:space="0" w:color="auto"/>
              <w:left w:val="single" w:sz="4" w:space="0" w:color="auto"/>
              <w:bottom w:val="single" w:sz="4" w:space="0" w:color="auto"/>
              <w:right w:val="single" w:sz="4" w:space="0" w:color="auto"/>
            </w:tcBorders>
          </w:tcPr>
          <w:p w14:paraId="2640D554" w14:textId="77777777" w:rsidR="00E57DAA" w:rsidRDefault="00AC4185">
            <w:pPr>
              <w:autoSpaceDE w:val="0"/>
              <w:autoSpaceDN w:val="0"/>
              <w:adjustRightInd w:val="0"/>
              <w:jc w:val="right"/>
              <w:rPr>
                <w:szCs w:val="21"/>
              </w:rPr>
            </w:pPr>
            <w:r>
              <w:t>1,219,469.21</w:t>
            </w:r>
          </w:p>
        </w:tc>
      </w:tr>
      <w:tr w:rsidR="00E57DAA" w14:paraId="53A91BEB" w14:textId="77777777">
        <w:tc>
          <w:tcPr>
            <w:tcW w:w="677" w:type="pct"/>
            <w:tcBorders>
              <w:top w:val="single" w:sz="4" w:space="0" w:color="auto"/>
              <w:left w:val="single" w:sz="4" w:space="0" w:color="auto"/>
              <w:bottom w:val="single" w:sz="4" w:space="0" w:color="auto"/>
              <w:right w:val="single" w:sz="4" w:space="0" w:color="auto"/>
            </w:tcBorders>
            <w:vAlign w:val="center"/>
          </w:tcPr>
          <w:p w14:paraId="0A4E8B2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23DEA4F" w14:textId="77777777" w:rsidR="00E57DAA" w:rsidRDefault="00AC4185">
            <w:pPr>
              <w:autoSpaceDE w:val="0"/>
              <w:autoSpaceDN w:val="0"/>
              <w:adjustRightInd w:val="0"/>
              <w:rPr>
                <w:szCs w:val="21"/>
              </w:rPr>
            </w:pPr>
            <w:r>
              <w:t>新泰中联泰丰水泥有限公司</w:t>
            </w:r>
          </w:p>
        </w:tc>
        <w:tc>
          <w:tcPr>
            <w:tcW w:w="633" w:type="pct"/>
            <w:tcBorders>
              <w:top w:val="single" w:sz="4" w:space="0" w:color="auto"/>
              <w:left w:val="single" w:sz="4" w:space="0" w:color="auto"/>
              <w:bottom w:val="single" w:sz="4" w:space="0" w:color="auto"/>
              <w:right w:val="single" w:sz="4" w:space="0" w:color="auto"/>
            </w:tcBorders>
          </w:tcPr>
          <w:p w14:paraId="1C528B94" w14:textId="77777777" w:rsidR="00E57DAA" w:rsidRDefault="00AC4185">
            <w:pPr>
              <w:autoSpaceDE w:val="0"/>
              <w:autoSpaceDN w:val="0"/>
              <w:adjustRightInd w:val="0"/>
              <w:jc w:val="right"/>
              <w:rPr>
                <w:szCs w:val="21"/>
              </w:rPr>
            </w:pPr>
            <w:r>
              <w:t>15,388,754.65</w:t>
            </w:r>
          </w:p>
        </w:tc>
        <w:tc>
          <w:tcPr>
            <w:tcW w:w="632" w:type="pct"/>
            <w:tcBorders>
              <w:top w:val="single" w:sz="4" w:space="0" w:color="auto"/>
              <w:left w:val="single" w:sz="4" w:space="0" w:color="auto"/>
              <w:bottom w:val="single" w:sz="4" w:space="0" w:color="auto"/>
              <w:right w:val="single" w:sz="4" w:space="0" w:color="auto"/>
            </w:tcBorders>
          </w:tcPr>
          <w:p w14:paraId="25C16D0F" w14:textId="77777777" w:rsidR="00E57DAA" w:rsidRDefault="00AC4185">
            <w:pPr>
              <w:autoSpaceDE w:val="0"/>
              <w:autoSpaceDN w:val="0"/>
              <w:adjustRightInd w:val="0"/>
              <w:jc w:val="right"/>
              <w:rPr>
                <w:szCs w:val="21"/>
              </w:rPr>
            </w:pPr>
            <w:r>
              <w:t>1,922,218.41</w:t>
            </w:r>
          </w:p>
        </w:tc>
        <w:tc>
          <w:tcPr>
            <w:tcW w:w="703" w:type="pct"/>
            <w:tcBorders>
              <w:top w:val="single" w:sz="4" w:space="0" w:color="auto"/>
              <w:left w:val="single" w:sz="4" w:space="0" w:color="auto"/>
              <w:bottom w:val="single" w:sz="4" w:space="0" w:color="auto"/>
              <w:right w:val="single" w:sz="4" w:space="0" w:color="auto"/>
            </w:tcBorders>
          </w:tcPr>
          <w:p w14:paraId="08819D16" w14:textId="77777777" w:rsidR="00E57DAA" w:rsidRDefault="00AC4185">
            <w:pPr>
              <w:autoSpaceDE w:val="0"/>
              <w:autoSpaceDN w:val="0"/>
              <w:adjustRightInd w:val="0"/>
              <w:jc w:val="right"/>
              <w:rPr>
                <w:szCs w:val="21"/>
              </w:rPr>
            </w:pPr>
            <w:r>
              <w:t>16,808,348.94</w:t>
            </w:r>
          </w:p>
        </w:tc>
        <w:tc>
          <w:tcPr>
            <w:tcW w:w="914" w:type="pct"/>
            <w:tcBorders>
              <w:top w:val="single" w:sz="4" w:space="0" w:color="auto"/>
              <w:left w:val="single" w:sz="4" w:space="0" w:color="auto"/>
              <w:bottom w:val="single" w:sz="4" w:space="0" w:color="auto"/>
              <w:right w:val="single" w:sz="4" w:space="0" w:color="auto"/>
            </w:tcBorders>
          </w:tcPr>
          <w:p w14:paraId="6F741727" w14:textId="77777777" w:rsidR="00E57DAA" w:rsidRDefault="00AC4185">
            <w:pPr>
              <w:autoSpaceDE w:val="0"/>
              <w:autoSpaceDN w:val="0"/>
              <w:adjustRightInd w:val="0"/>
              <w:jc w:val="right"/>
              <w:rPr>
                <w:szCs w:val="21"/>
              </w:rPr>
            </w:pPr>
            <w:r>
              <w:t>964,681.26</w:t>
            </w:r>
          </w:p>
        </w:tc>
      </w:tr>
      <w:tr w:rsidR="00E57DAA" w14:paraId="042DA873" w14:textId="77777777">
        <w:tc>
          <w:tcPr>
            <w:tcW w:w="677" w:type="pct"/>
            <w:tcBorders>
              <w:top w:val="single" w:sz="4" w:space="0" w:color="auto"/>
              <w:left w:val="single" w:sz="4" w:space="0" w:color="auto"/>
              <w:bottom w:val="single" w:sz="4" w:space="0" w:color="auto"/>
              <w:right w:val="single" w:sz="4" w:space="0" w:color="auto"/>
            </w:tcBorders>
            <w:vAlign w:val="center"/>
          </w:tcPr>
          <w:p w14:paraId="19A0DDD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B6A4D6D" w14:textId="77777777" w:rsidR="00E57DAA" w:rsidRDefault="00AC4185">
            <w:pPr>
              <w:autoSpaceDE w:val="0"/>
              <w:autoSpaceDN w:val="0"/>
              <w:adjustRightInd w:val="0"/>
              <w:rPr>
                <w:szCs w:val="21"/>
              </w:rPr>
            </w:pPr>
            <w:r>
              <w:t>泰山中联水泥有限公司</w:t>
            </w:r>
          </w:p>
        </w:tc>
        <w:tc>
          <w:tcPr>
            <w:tcW w:w="633" w:type="pct"/>
            <w:tcBorders>
              <w:top w:val="single" w:sz="4" w:space="0" w:color="auto"/>
              <w:left w:val="single" w:sz="4" w:space="0" w:color="auto"/>
              <w:bottom w:val="single" w:sz="4" w:space="0" w:color="auto"/>
              <w:right w:val="single" w:sz="4" w:space="0" w:color="auto"/>
            </w:tcBorders>
          </w:tcPr>
          <w:p w14:paraId="482938C5" w14:textId="77777777" w:rsidR="00E57DAA" w:rsidRDefault="00AC4185">
            <w:pPr>
              <w:autoSpaceDE w:val="0"/>
              <w:autoSpaceDN w:val="0"/>
              <w:adjustRightInd w:val="0"/>
              <w:jc w:val="right"/>
              <w:rPr>
                <w:szCs w:val="21"/>
              </w:rPr>
            </w:pPr>
            <w:r>
              <w:t>15,181,679.31</w:t>
            </w:r>
          </w:p>
        </w:tc>
        <w:tc>
          <w:tcPr>
            <w:tcW w:w="632" w:type="pct"/>
            <w:tcBorders>
              <w:top w:val="single" w:sz="4" w:space="0" w:color="auto"/>
              <w:left w:val="single" w:sz="4" w:space="0" w:color="auto"/>
              <w:bottom w:val="single" w:sz="4" w:space="0" w:color="auto"/>
              <w:right w:val="single" w:sz="4" w:space="0" w:color="auto"/>
            </w:tcBorders>
          </w:tcPr>
          <w:p w14:paraId="7073C62A" w14:textId="77777777" w:rsidR="00E57DAA" w:rsidRDefault="00AC4185">
            <w:pPr>
              <w:autoSpaceDE w:val="0"/>
              <w:autoSpaceDN w:val="0"/>
              <w:adjustRightInd w:val="0"/>
              <w:jc w:val="right"/>
              <w:rPr>
                <w:szCs w:val="21"/>
              </w:rPr>
            </w:pPr>
            <w:r>
              <w:t>1,917,995.46</w:t>
            </w:r>
          </w:p>
        </w:tc>
        <w:tc>
          <w:tcPr>
            <w:tcW w:w="703" w:type="pct"/>
            <w:tcBorders>
              <w:top w:val="single" w:sz="4" w:space="0" w:color="auto"/>
              <w:left w:val="single" w:sz="4" w:space="0" w:color="auto"/>
              <w:bottom w:val="single" w:sz="4" w:space="0" w:color="auto"/>
              <w:right w:val="single" w:sz="4" w:space="0" w:color="auto"/>
            </w:tcBorders>
          </w:tcPr>
          <w:p w14:paraId="248628FA" w14:textId="77777777" w:rsidR="00E57DAA" w:rsidRDefault="00AC4185">
            <w:pPr>
              <w:autoSpaceDE w:val="0"/>
              <w:autoSpaceDN w:val="0"/>
              <w:adjustRightInd w:val="0"/>
              <w:jc w:val="right"/>
              <w:rPr>
                <w:szCs w:val="21"/>
              </w:rPr>
            </w:pPr>
            <w:r>
              <w:t>15,815,030.61</w:t>
            </w:r>
          </w:p>
        </w:tc>
        <w:tc>
          <w:tcPr>
            <w:tcW w:w="914" w:type="pct"/>
            <w:tcBorders>
              <w:top w:val="single" w:sz="4" w:space="0" w:color="auto"/>
              <w:left w:val="single" w:sz="4" w:space="0" w:color="auto"/>
              <w:bottom w:val="single" w:sz="4" w:space="0" w:color="auto"/>
              <w:right w:val="single" w:sz="4" w:space="0" w:color="auto"/>
            </w:tcBorders>
          </w:tcPr>
          <w:p w14:paraId="49DED211" w14:textId="77777777" w:rsidR="00E57DAA" w:rsidRDefault="00AC4185">
            <w:pPr>
              <w:autoSpaceDE w:val="0"/>
              <w:autoSpaceDN w:val="0"/>
              <w:adjustRightInd w:val="0"/>
              <w:jc w:val="right"/>
              <w:rPr>
                <w:szCs w:val="21"/>
              </w:rPr>
            </w:pPr>
            <w:r>
              <w:t>1,775,327.35</w:t>
            </w:r>
          </w:p>
        </w:tc>
      </w:tr>
      <w:tr w:rsidR="00E57DAA" w14:paraId="53D1A080" w14:textId="77777777">
        <w:tc>
          <w:tcPr>
            <w:tcW w:w="677" w:type="pct"/>
            <w:tcBorders>
              <w:top w:val="single" w:sz="4" w:space="0" w:color="auto"/>
              <w:left w:val="single" w:sz="4" w:space="0" w:color="auto"/>
              <w:bottom w:val="single" w:sz="4" w:space="0" w:color="auto"/>
              <w:right w:val="single" w:sz="4" w:space="0" w:color="auto"/>
            </w:tcBorders>
            <w:vAlign w:val="center"/>
          </w:tcPr>
          <w:p w14:paraId="66A4082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DDAED0F" w14:textId="77777777" w:rsidR="00E57DAA" w:rsidRDefault="00AC4185">
            <w:pPr>
              <w:autoSpaceDE w:val="0"/>
              <w:autoSpaceDN w:val="0"/>
              <w:adjustRightInd w:val="0"/>
              <w:rPr>
                <w:szCs w:val="21"/>
              </w:rPr>
            </w:pPr>
            <w:r>
              <w:t>枣庄中联水泥有限公司</w:t>
            </w:r>
          </w:p>
        </w:tc>
        <w:tc>
          <w:tcPr>
            <w:tcW w:w="633" w:type="pct"/>
            <w:tcBorders>
              <w:top w:val="single" w:sz="4" w:space="0" w:color="auto"/>
              <w:left w:val="single" w:sz="4" w:space="0" w:color="auto"/>
              <w:bottom w:val="single" w:sz="4" w:space="0" w:color="auto"/>
              <w:right w:val="single" w:sz="4" w:space="0" w:color="auto"/>
            </w:tcBorders>
          </w:tcPr>
          <w:p w14:paraId="12C52734" w14:textId="77777777" w:rsidR="00E57DAA" w:rsidRDefault="00AC4185">
            <w:pPr>
              <w:autoSpaceDE w:val="0"/>
              <w:autoSpaceDN w:val="0"/>
              <w:adjustRightInd w:val="0"/>
              <w:jc w:val="right"/>
              <w:rPr>
                <w:szCs w:val="21"/>
              </w:rPr>
            </w:pPr>
            <w:r>
              <w:t>13,640,899.09</w:t>
            </w:r>
          </w:p>
        </w:tc>
        <w:tc>
          <w:tcPr>
            <w:tcW w:w="632" w:type="pct"/>
            <w:tcBorders>
              <w:top w:val="single" w:sz="4" w:space="0" w:color="auto"/>
              <w:left w:val="single" w:sz="4" w:space="0" w:color="auto"/>
              <w:bottom w:val="single" w:sz="4" w:space="0" w:color="auto"/>
              <w:right w:val="single" w:sz="4" w:space="0" w:color="auto"/>
            </w:tcBorders>
          </w:tcPr>
          <w:p w14:paraId="307DA5B2" w14:textId="77777777" w:rsidR="00E57DAA" w:rsidRDefault="00AC4185">
            <w:pPr>
              <w:autoSpaceDE w:val="0"/>
              <w:autoSpaceDN w:val="0"/>
              <w:adjustRightInd w:val="0"/>
              <w:jc w:val="right"/>
              <w:rPr>
                <w:szCs w:val="21"/>
              </w:rPr>
            </w:pPr>
            <w:r>
              <w:t>437,980.61</w:t>
            </w:r>
          </w:p>
        </w:tc>
        <w:tc>
          <w:tcPr>
            <w:tcW w:w="703" w:type="pct"/>
            <w:tcBorders>
              <w:top w:val="single" w:sz="4" w:space="0" w:color="auto"/>
              <w:left w:val="single" w:sz="4" w:space="0" w:color="auto"/>
              <w:bottom w:val="single" w:sz="4" w:space="0" w:color="auto"/>
              <w:right w:val="single" w:sz="4" w:space="0" w:color="auto"/>
            </w:tcBorders>
          </w:tcPr>
          <w:p w14:paraId="5F4A7328" w14:textId="77777777" w:rsidR="00E57DAA" w:rsidRDefault="00AC4185">
            <w:pPr>
              <w:autoSpaceDE w:val="0"/>
              <w:autoSpaceDN w:val="0"/>
              <w:adjustRightInd w:val="0"/>
              <w:jc w:val="right"/>
              <w:rPr>
                <w:szCs w:val="21"/>
              </w:rPr>
            </w:pPr>
            <w:r>
              <w:t>3,927,004.19</w:t>
            </w:r>
          </w:p>
        </w:tc>
        <w:tc>
          <w:tcPr>
            <w:tcW w:w="914" w:type="pct"/>
            <w:tcBorders>
              <w:top w:val="single" w:sz="4" w:space="0" w:color="auto"/>
              <w:left w:val="single" w:sz="4" w:space="0" w:color="auto"/>
              <w:bottom w:val="single" w:sz="4" w:space="0" w:color="auto"/>
              <w:right w:val="single" w:sz="4" w:space="0" w:color="auto"/>
            </w:tcBorders>
          </w:tcPr>
          <w:p w14:paraId="4630A909" w14:textId="77777777" w:rsidR="00E57DAA" w:rsidRDefault="00AC4185">
            <w:pPr>
              <w:autoSpaceDE w:val="0"/>
              <w:autoSpaceDN w:val="0"/>
              <w:adjustRightInd w:val="0"/>
              <w:jc w:val="right"/>
              <w:rPr>
                <w:szCs w:val="21"/>
              </w:rPr>
            </w:pPr>
            <w:r>
              <w:t>780,654.87</w:t>
            </w:r>
          </w:p>
        </w:tc>
      </w:tr>
      <w:tr w:rsidR="00E57DAA" w14:paraId="48F3B2D5" w14:textId="77777777">
        <w:tc>
          <w:tcPr>
            <w:tcW w:w="677" w:type="pct"/>
            <w:tcBorders>
              <w:top w:val="single" w:sz="4" w:space="0" w:color="auto"/>
              <w:left w:val="single" w:sz="4" w:space="0" w:color="auto"/>
              <w:bottom w:val="single" w:sz="4" w:space="0" w:color="auto"/>
              <w:right w:val="single" w:sz="4" w:space="0" w:color="auto"/>
            </w:tcBorders>
            <w:vAlign w:val="center"/>
          </w:tcPr>
          <w:p w14:paraId="2C072D5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A63FA9D" w14:textId="77777777" w:rsidR="00E57DAA" w:rsidRDefault="00AC4185">
            <w:pPr>
              <w:autoSpaceDE w:val="0"/>
              <w:autoSpaceDN w:val="0"/>
              <w:adjustRightInd w:val="0"/>
              <w:rPr>
                <w:szCs w:val="21"/>
              </w:rPr>
            </w:pPr>
            <w:r>
              <w:t>通辽中联水泥有限公司</w:t>
            </w:r>
          </w:p>
        </w:tc>
        <w:tc>
          <w:tcPr>
            <w:tcW w:w="633" w:type="pct"/>
            <w:tcBorders>
              <w:top w:val="single" w:sz="4" w:space="0" w:color="auto"/>
              <w:left w:val="single" w:sz="4" w:space="0" w:color="auto"/>
              <w:bottom w:val="single" w:sz="4" w:space="0" w:color="auto"/>
              <w:right w:val="single" w:sz="4" w:space="0" w:color="auto"/>
            </w:tcBorders>
          </w:tcPr>
          <w:p w14:paraId="58922ADB" w14:textId="77777777" w:rsidR="00E57DAA" w:rsidRDefault="00AC4185">
            <w:pPr>
              <w:autoSpaceDE w:val="0"/>
              <w:autoSpaceDN w:val="0"/>
              <w:adjustRightInd w:val="0"/>
              <w:jc w:val="right"/>
              <w:rPr>
                <w:szCs w:val="21"/>
              </w:rPr>
            </w:pPr>
            <w:r>
              <w:t>13,494,105.29</w:t>
            </w:r>
          </w:p>
        </w:tc>
        <w:tc>
          <w:tcPr>
            <w:tcW w:w="632" w:type="pct"/>
            <w:tcBorders>
              <w:top w:val="single" w:sz="4" w:space="0" w:color="auto"/>
              <w:left w:val="single" w:sz="4" w:space="0" w:color="auto"/>
              <w:bottom w:val="single" w:sz="4" w:space="0" w:color="auto"/>
              <w:right w:val="single" w:sz="4" w:space="0" w:color="auto"/>
            </w:tcBorders>
          </w:tcPr>
          <w:p w14:paraId="7A82FAE2" w14:textId="77777777" w:rsidR="00E57DAA" w:rsidRDefault="00AC4185">
            <w:pPr>
              <w:autoSpaceDE w:val="0"/>
              <w:autoSpaceDN w:val="0"/>
              <w:adjustRightInd w:val="0"/>
              <w:jc w:val="right"/>
              <w:rPr>
                <w:szCs w:val="21"/>
              </w:rPr>
            </w:pPr>
            <w:r>
              <w:t>798,391.57</w:t>
            </w:r>
          </w:p>
        </w:tc>
        <w:tc>
          <w:tcPr>
            <w:tcW w:w="703" w:type="pct"/>
            <w:tcBorders>
              <w:top w:val="single" w:sz="4" w:space="0" w:color="auto"/>
              <w:left w:val="single" w:sz="4" w:space="0" w:color="auto"/>
              <w:bottom w:val="single" w:sz="4" w:space="0" w:color="auto"/>
              <w:right w:val="single" w:sz="4" w:space="0" w:color="auto"/>
            </w:tcBorders>
          </w:tcPr>
          <w:p w14:paraId="0DDF9C74" w14:textId="77777777" w:rsidR="00E57DAA" w:rsidRDefault="00AC4185">
            <w:pPr>
              <w:autoSpaceDE w:val="0"/>
              <w:autoSpaceDN w:val="0"/>
              <w:adjustRightInd w:val="0"/>
              <w:jc w:val="right"/>
              <w:rPr>
                <w:szCs w:val="21"/>
              </w:rPr>
            </w:pPr>
            <w:r>
              <w:t>15,431,231.85</w:t>
            </w:r>
          </w:p>
        </w:tc>
        <w:tc>
          <w:tcPr>
            <w:tcW w:w="914" w:type="pct"/>
            <w:tcBorders>
              <w:top w:val="single" w:sz="4" w:space="0" w:color="auto"/>
              <w:left w:val="single" w:sz="4" w:space="0" w:color="auto"/>
              <w:bottom w:val="single" w:sz="4" w:space="0" w:color="auto"/>
              <w:right w:val="single" w:sz="4" w:space="0" w:color="auto"/>
            </w:tcBorders>
          </w:tcPr>
          <w:p w14:paraId="5681B46E" w14:textId="77777777" w:rsidR="00E57DAA" w:rsidRDefault="00AC4185">
            <w:pPr>
              <w:autoSpaceDE w:val="0"/>
              <w:autoSpaceDN w:val="0"/>
              <w:adjustRightInd w:val="0"/>
              <w:jc w:val="right"/>
              <w:rPr>
                <w:szCs w:val="21"/>
              </w:rPr>
            </w:pPr>
            <w:r>
              <w:t>406,698.41</w:t>
            </w:r>
          </w:p>
        </w:tc>
      </w:tr>
      <w:tr w:rsidR="00E57DAA" w14:paraId="0312DC61" w14:textId="77777777">
        <w:tc>
          <w:tcPr>
            <w:tcW w:w="677" w:type="pct"/>
            <w:tcBorders>
              <w:top w:val="single" w:sz="4" w:space="0" w:color="auto"/>
              <w:left w:val="single" w:sz="4" w:space="0" w:color="auto"/>
              <w:bottom w:val="single" w:sz="4" w:space="0" w:color="auto"/>
              <w:right w:val="single" w:sz="4" w:space="0" w:color="auto"/>
            </w:tcBorders>
            <w:vAlign w:val="center"/>
          </w:tcPr>
          <w:p w14:paraId="48206B2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EBC5000" w14:textId="77777777" w:rsidR="00E57DAA" w:rsidRDefault="00AC4185">
            <w:pPr>
              <w:autoSpaceDE w:val="0"/>
              <w:autoSpaceDN w:val="0"/>
              <w:adjustRightInd w:val="0"/>
              <w:rPr>
                <w:szCs w:val="21"/>
              </w:rPr>
            </w:pPr>
            <w:r>
              <w:t>吴忠赛马新型建材有限公司</w:t>
            </w:r>
          </w:p>
        </w:tc>
        <w:tc>
          <w:tcPr>
            <w:tcW w:w="633" w:type="pct"/>
            <w:tcBorders>
              <w:top w:val="single" w:sz="4" w:space="0" w:color="auto"/>
              <w:left w:val="single" w:sz="4" w:space="0" w:color="auto"/>
              <w:bottom w:val="single" w:sz="4" w:space="0" w:color="auto"/>
              <w:right w:val="single" w:sz="4" w:space="0" w:color="auto"/>
            </w:tcBorders>
          </w:tcPr>
          <w:p w14:paraId="3955E1BF" w14:textId="77777777" w:rsidR="00E57DAA" w:rsidRDefault="00AC4185">
            <w:pPr>
              <w:autoSpaceDE w:val="0"/>
              <w:autoSpaceDN w:val="0"/>
              <w:adjustRightInd w:val="0"/>
              <w:jc w:val="right"/>
              <w:rPr>
                <w:szCs w:val="21"/>
              </w:rPr>
            </w:pPr>
            <w:r>
              <w:t>13,227,155.92</w:t>
            </w:r>
          </w:p>
        </w:tc>
        <w:tc>
          <w:tcPr>
            <w:tcW w:w="632" w:type="pct"/>
            <w:tcBorders>
              <w:top w:val="single" w:sz="4" w:space="0" w:color="auto"/>
              <w:left w:val="single" w:sz="4" w:space="0" w:color="auto"/>
              <w:bottom w:val="single" w:sz="4" w:space="0" w:color="auto"/>
              <w:right w:val="single" w:sz="4" w:space="0" w:color="auto"/>
            </w:tcBorders>
          </w:tcPr>
          <w:p w14:paraId="2EC23CBF" w14:textId="77777777" w:rsidR="00E57DAA" w:rsidRDefault="00AC4185">
            <w:pPr>
              <w:autoSpaceDE w:val="0"/>
              <w:autoSpaceDN w:val="0"/>
              <w:adjustRightInd w:val="0"/>
              <w:jc w:val="right"/>
              <w:rPr>
                <w:szCs w:val="21"/>
              </w:rPr>
            </w:pPr>
            <w:r>
              <w:t>427,076.73</w:t>
            </w:r>
          </w:p>
        </w:tc>
        <w:tc>
          <w:tcPr>
            <w:tcW w:w="703" w:type="pct"/>
            <w:tcBorders>
              <w:top w:val="single" w:sz="4" w:space="0" w:color="auto"/>
              <w:left w:val="single" w:sz="4" w:space="0" w:color="auto"/>
              <w:bottom w:val="single" w:sz="4" w:space="0" w:color="auto"/>
              <w:right w:val="single" w:sz="4" w:space="0" w:color="auto"/>
            </w:tcBorders>
          </w:tcPr>
          <w:p w14:paraId="6CA1357D" w14:textId="77777777" w:rsidR="00E57DAA" w:rsidRDefault="00AC4185">
            <w:pPr>
              <w:autoSpaceDE w:val="0"/>
              <w:autoSpaceDN w:val="0"/>
              <w:adjustRightInd w:val="0"/>
              <w:jc w:val="right"/>
              <w:rPr>
                <w:szCs w:val="21"/>
              </w:rPr>
            </w:pPr>
            <w:r>
              <w:t>1,052,555.13</w:t>
            </w:r>
          </w:p>
        </w:tc>
        <w:tc>
          <w:tcPr>
            <w:tcW w:w="914" w:type="pct"/>
            <w:tcBorders>
              <w:top w:val="single" w:sz="4" w:space="0" w:color="auto"/>
              <w:left w:val="single" w:sz="4" w:space="0" w:color="auto"/>
              <w:bottom w:val="single" w:sz="4" w:space="0" w:color="auto"/>
              <w:right w:val="single" w:sz="4" w:space="0" w:color="auto"/>
            </w:tcBorders>
          </w:tcPr>
          <w:p w14:paraId="7F8DEEE6" w14:textId="77777777" w:rsidR="00E57DAA" w:rsidRDefault="00AC4185">
            <w:pPr>
              <w:autoSpaceDE w:val="0"/>
              <w:autoSpaceDN w:val="0"/>
              <w:adjustRightInd w:val="0"/>
              <w:jc w:val="right"/>
              <w:rPr>
                <w:szCs w:val="21"/>
              </w:rPr>
            </w:pPr>
            <w:r>
              <w:t>2,105.11</w:t>
            </w:r>
          </w:p>
        </w:tc>
      </w:tr>
      <w:tr w:rsidR="00E57DAA" w14:paraId="0126C402" w14:textId="77777777">
        <w:tc>
          <w:tcPr>
            <w:tcW w:w="677" w:type="pct"/>
            <w:tcBorders>
              <w:top w:val="single" w:sz="4" w:space="0" w:color="auto"/>
              <w:left w:val="single" w:sz="4" w:space="0" w:color="auto"/>
              <w:bottom w:val="single" w:sz="4" w:space="0" w:color="auto"/>
              <w:right w:val="single" w:sz="4" w:space="0" w:color="auto"/>
            </w:tcBorders>
            <w:vAlign w:val="center"/>
          </w:tcPr>
          <w:p w14:paraId="059D1B3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72A5D6E" w14:textId="77777777" w:rsidR="00E57DAA" w:rsidRDefault="00AC4185">
            <w:pPr>
              <w:autoSpaceDE w:val="0"/>
              <w:autoSpaceDN w:val="0"/>
              <w:adjustRightInd w:val="0"/>
              <w:rPr>
                <w:szCs w:val="21"/>
              </w:rPr>
            </w:pPr>
            <w:r>
              <w:t>江西安福南方水泥有限公司</w:t>
            </w:r>
          </w:p>
        </w:tc>
        <w:tc>
          <w:tcPr>
            <w:tcW w:w="633" w:type="pct"/>
            <w:tcBorders>
              <w:top w:val="single" w:sz="4" w:space="0" w:color="auto"/>
              <w:left w:val="single" w:sz="4" w:space="0" w:color="auto"/>
              <w:bottom w:val="single" w:sz="4" w:space="0" w:color="auto"/>
              <w:right w:val="single" w:sz="4" w:space="0" w:color="auto"/>
            </w:tcBorders>
          </w:tcPr>
          <w:p w14:paraId="2F4F423C" w14:textId="77777777" w:rsidR="00E57DAA" w:rsidRDefault="00AC4185">
            <w:pPr>
              <w:autoSpaceDE w:val="0"/>
              <w:autoSpaceDN w:val="0"/>
              <w:adjustRightInd w:val="0"/>
              <w:jc w:val="right"/>
              <w:rPr>
                <w:szCs w:val="21"/>
              </w:rPr>
            </w:pPr>
            <w:r>
              <w:t>12,946,404.45</w:t>
            </w:r>
          </w:p>
        </w:tc>
        <w:tc>
          <w:tcPr>
            <w:tcW w:w="632" w:type="pct"/>
            <w:tcBorders>
              <w:top w:val="single" w:sz="4" w:space="0" w:color="auto"/>
              <w:left w:val="single" w:sz="4" w:space="0" w:color="auto"/>
              <w:bottom w:val="single" w:sz="4" w:space="0" w:color="auto"/>
              <w:right w:val="single" w:sz="4" w:space="0" w:color="auto"/>
            </w:tcBorders>
          </w:tcPr>
          <w:p w14:paraId="0EACB71D" w14:textId="77777777" w:rsidR="00E57DAA" w:rsidRDefault="00AC4185">
            <w:pPr>
              <w:autoSpaceDE w:val="0"/>
              <w:autoSpaceDN w:val="0"/>
              <w:adjustRightInd w:val="0"/>
              <w:jc w:val="right"/>
              <w:rPr>
                <w:szCs w:val="21"/>
              </w:rPr>
            </w:pPr>
            <w:r>
              <w:t>893,248.30</w:t>
            </w:r>
          </w:p>
        </w:tc>
        <w:tc>
          <w:tcPr>
            <w:tcW w:w="703" w:type="pct"/>
            <w:tcBorders>
              <w:top w:val="single" w:sz="4" w:space="0" w:color="auto"/>
              <w:left w:val="single" w:sz="4" w:space="0" w:color="auto"/>
              <w:bottom w:val="single" w:sz="4" w:space="0" w:color="auto"/>
              <w:right w:val="single" w:sz="4" w:space="0" w:color="auto"/>
            </w:tcBorders>
          </w:tcPr>
          <w:p w14:paraId="12F999AC" w14:textId="77777777" w:rsidR="00E57DAA" w:rsidRDefault="00AC4185">
            <w:pPr>
              <w:autoSpaceDE w:val="0"/>
              <w:autoSpaceDN w:val="0"/>
              <w:adjustRightInd w:val="0"/>
              <w:jc w:val="right"/>
              <w:rPr>
                <w:szCs w:val="21"/>
              </w:rPr>
            </w:pPr>
            <w:r>
              <w:t>7,919,086.19</w:t>
            </w:r>
          </w:p>
        </w:tc>
        <w:tc>
          <w:tcPr>
            <w:tcW w:w="914" w:type="pct"/>
            <w:tcBorders>
              <w:top w:val="single" w:sz="4" w:space="0" w:color="auto"/>
              <w:left w:val="single" w:sz="4" w:space="0" w:color="auto"/>
              <w:bottom w:val="single" w:sz="4" w:space="0" w:color="auto"/>
              <w:right w:val="single" w:sz="4" w:space="0" w:color="auto"/>
            </w:tcBorders>
          </w:tcPr>
          <w:p w14:paraId="0C890F90" w14:textId="77777777" w:rsidR="00E57DAA" w:rsidRDefault="00AC4185">
            <w:pPr>
              <w:autoSpaceDE w:val="0"/>
              <w:autoSpaceDN w:val="0"/>
              <w:adjustRightInd w:val="0"/>
              <w:jc w:val="right"/>
              <w:rPr>
                <w:szCs w:val="21"/>
              </w:rPr>
            </w:pPr>
            <w:r>
              <w:t>132,282.69</w:t>
            </w:r>
          </w:p>
        </w:tc>
      </w:tr>
      <w:tr w:rsidR="00E57DAA" w14:paraId="2B6AA2FA" w14:textId="77777777">
        <w:tc>
          <w:tcPr>
            <w:tcW w:w="677" w:type="pct"/>
            <w:tcBorders>
              <w:top w:val="single" w:sz="4" w:space="0" w:color="auto"/>
              <w:left w:val="single" w:sz="4" w:space="0" w:color="auto"/>
              <w:bottom w:val="single" w:sz="4" w:space="0" w:color="auto"/>
              <w:right w:val="single" w:sz="4" w:space="0" w:color="auto"/>
            </w:tcBorders>
            <w:vAlign w:val="center"/>
          </w:tcPr>
          <w:p w14:paraId="473A392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FAF3808" w14:textId="77777777" w:rsidR="00E57DAA" w:rsidRDefault="00AC4185">
            <w:pPr>
              <w:autoSpaceDE w:val="0"/>
              <w:autoSpaceDN w:val="0"/>
              <w:adjustRightInd w:val="0"/>
              <w:rPr>
                <w:szCs w:val="21"/>
              </w:rPr>
            </w:pPr>
            <w:r>
              <w:t>南阳中联水泥有限公司</w:t>
            </w:r>
          </w:p>
        </w:tc>
        <w:tc>
          <w:tcPr>
            <w:tcW w:w="633" w:type="pct"/>
            <w:tcBorders>
              <w:top w:val="single" w:sz="4" w:space="0" w:color="auto"/>
              <w:left w:val="single" w:sz="4" w:space="0" w:color="auto"/>
              <w:bottom w:val="single" w:sz="4" w:space="0" w:color="auto"/>
              <w:right w:val="single" w:sz="4" w:space="0" w:color="auto"/>
            </w:tcBorders>
          </w:tcPr>
          <w:p w14:paraId="200545F4" w14:textId="77777777" w:rsidR="00E57DAA" w:rsidRDefault="00AC4185">
            <w:pPr>
              <w:autoSpaceDE w:val="0"/>
              <w:autoSpaceDN w:val="0"/>
              <w:adjustRightInd w:val="0"/>
              <w:jc w:val="right"/>
              <w:rPr>
                <w:szCs w:val="21"/>
              </w:rPr>
            </w:pPr>
            <w:r>
              <w:t>12,874,585.84</w:t>
            </w:r>
          </w:p>
        </w:tc>
        <w:tc>
          <w:tcPr>
            <w:tcW w:w="632" w:type="pct"/>
            <w:tcBorders>
              <w:top w:val="single" w:sz="4" w:space="0" w:color="auto"/>
              <w:left w:val="single" w:sz="4" w:space="0" w:color="auto"/>
              <w:bottom w:val="single" w:sz="4" w:space="0" w:color="auto"/>
              <w:right w:val="single" w:sz="4" w:space="0" w:color="auto"/>
            </w:tcBorders>
          </w:tcPr>
          <w:p w14:paraId="05595A37" w14:textId="77777777" w:rsidR="00E57DAA" w:rsidRDefault="00AC4185">
            <w:pPr>
              <w:autoSpaceDE w:val="0"/>
              <w:autoSpaceDN w:val="0"/>
              <w:adjustRightInd w:val="0"/>
              <w:jc w:val="right"/>
              <w:rPr>
                <w:szCs w:val="21"/>
              </w:rPr>
            </w:pPr>
            <w:r>
              <w:t>967,506.28</w:t>
            </w:r>
          </w:p>
        </w:tc>
        <w:tc>
          <w:tcPr>
            <w:tcW w:w="703" w:type="pct"/>
            <w:tcBorders>
              <w:top w:val="single" w:sz="4" w:space="0" w:color="auto"/>
              <w:left w:val="single" w:sz="4" w:space="0" w:color="auto"/>
              <w:bottom w:val="single" w:sz="4" w:space="0" w:color="auto"/>
              <w:right w:val="single" w:sz="4" w:space="0" w:color="auto"/>
            </w:tcBorders>
          </w:tcPr>
          <w:p w14:paraId="4FE6A8C7" w14:textId="77777777" w:rsidR="00E57DAA" w:rsidRDefault="00AC4185">
            <w:pPr>
              <w:autoSpaceDE w:val="0"/>
              <w:autoSpaceDN w:val="0"/>
              <w:adjustRightInd w:val="0"/>
              <w:jc w:val="right"/>
              <w:rPr>
                <w:szCs w:val="21"/>
              </w:rPr>
            </w:pPr>
            <w:r>
              <w:t>23,403,217.83</w:t>
            </w:r>
          </w:p>
        </w:tc>
        <w:tc>
          <w:tcPr>
            <w:tcW w:w="914" w:type="pct"/>
            <w:tcBorders>
              <w:top w:val="single" w:sz="4" w:space="0" w:color="auto"/>
              <w:left w:val="single" w:sz="4" w:space="0" w:color="auto"/>
              <w:bottom w:val="single" w:sz="4" w:space="0" w:color="auto"/>
              <w:right w:val="single" w:sz="4" w:space="0" w:color="auto"/>
            </w:tcBorders>
          </w:tcPr>
          <w:p w14:paraId="5EE5A7FE" w14:textId="77777777" w:rsidR="00E57DAA" w:rsidRDefault="00AC4185">
            <w:pPr>
              <w:autoSpaceDE w:val="0"/>
              <w:autoSpaceDN w:val="0"/>
              <w:adjustRightInd w:val="0"/>
              <w:jc w:val="right"/>
              <w:rPr>
                <w:szCs w:val="21"/>
              </w:rPr>
            </w:pPr>
            <w:r>
              <w:t>563,385.77</w:t>
            </w:r>
          </w:p>
        </w:tc>
      </w:tr>
      <w:tr w:rsidR="00E57DAA" w14:paraId="3F86528F" w14:textId="77777777">
        <w:tc>
          <w:tcPr>
            <w:tcW w:w="677" w:type="pct"/>
            <w:tcBorders>
              <w:top w:val="single" w:sz="4" w:space="0" w:color="auto"/>
              <w:left w:val="single" w:sz="4" w:space="0" w:color="auto"/>
              <w:bottom w:val="single" w:sz="4" w:space="0" w:color="auto"/>
              <w:right w:val="single" w:sz="4" w:space="0" w:color="auto"/>
            </w:tcBorders>
            <w:vAlign w:val="center"/>
          </w:tcPr>
          <w:p w14:paraId="34FB134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F1F8F6B" w14:textId="77777777" w:rsidR="00E57DAA" w:rsidRDefault="00AC4185">
            <w:pPr>
              <w:autoSpaceDE w:val="0"/>
              <w:autoSpaceDN w:val="0"/>
              <w:adjustRightInd w:val="0"/>
              <w:rPr>
                <w:szCs w:val="21"/>
              </w:rPr>
            </w:pPr>
            <w:r>
              <w:t>湖南临澧南方新材料科技有限公司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18CDC2AE" w14:textId="77777777" w:rsidR="00E57DAA" w:rsidRDefault="00AC4185">
            <w:pPr>
              <w:autoSpaceDE w:val="0"/>
              <w:autoSpaceDN w:val="0"/>
              <w:adjustRightInd w:val="0"/>
              <w:jc w:val="right"/>
              <w:rPr>
                <w:szCs w:val="21"/>
              </w:rPr>
            </w:pPr>
            <w:r>
              <w:t>12,319,176.49</w:t>
            </w:r>
          </w:p>
        </w:tc>
        <w:tc>
          <w:tcPr>
            <w:tcW w:w="632" w:type="pct"/>
            <w:tcBorders>
              <w:top w:val="single" w:sz="4" w:space="0" w:color="auto"/>
              <w:left w:val="single" w:sz="4" w:space="0" w:color="auto"/>
              <w:bottom w:val="single" w:sz="4" w:space="0" w:color="auto"/>
              <w:right w:val="single" w:sz="4" w:space="0" w:color="auto"/>
            </w:tcBorders>
          </w:tcPr>
          <w:p w14:paraId="28B259A4" w14:textId="77777777" w:rsidR="00E57DAA" w:rsidRDefault="00AC4185">
            <w:pPr>
              <w:autoSpaceDE w:val="0"/>
              <w:autoSpaceDN w:val="0"/>
              <w:adjustRightInd w:val="0"/>
              <w:jc w:val="right"/>
              <w:rPr>
                <w:szCs w:val="21"/>
              </w:rPr>
            </w:pPr>
            <w:r>
              <w:t>49,364.71</w:t>
            </w:r>
          </w:p>
        </w:tc>
        <w:tc>
          <w:tcPr>
            <w:tcW w:w="703" w:type="pct"/>
            <w:tcBorders>
              <w:top w:val="single" w:sz="4" w:space="0" w:color="auto"/>
              <w:left w:val="single" w:sz="4" w:space="0" w:color="auto"/>
              <w:bottom w:val="single" w:sz="4" w:space="0" w:color="auto"/>
              <w:right w:val="single" w:sz="4" w:space="0" w:color="auto"/>
            </w:tcBorders>
          </w:tcPr>
          <w:p w14:paraId="5D25A68B" w14:textId="77777777" w:rsidR="00E57DAA" w:rsidRDefault="00AC4185">
            <w:pPr>
              <w:autoSpaceDE w:val="0"/>
              <w:autoSpaceDN w:val="0"/>
              <w:adjustRightInd w:val="0"/>
              <w:jc w:val="right"/>
              <w:rPr>
                <w:szCs w:val="21"/>
              </w:rPr>
            </w:pPr>
            <w:r>
              <w:t>22,562,482.67</w:t>
            </w:r>
          </w:p>
        </w:tc>
        <w:tc>
          <w:tcPr>
            <w:tcW w:w="914" w:type="pct"/>
            <w:tcBorders>
              <w:top w:val="single" w:sz="4" w:space="0" w:color="auto"/>
              <w:left w:val="single" w:sz="4" w:space="0" w:color="auto"/>
              <w:bottom w:val="single" w:sz="4" w:space="0" w:color="auto"/>
              <w:right w:val="single" w:sz="4" w:space="0" w:color="auto"/>
            </w:tcBorders>
          </w:tcPr>
          <w:p w14:paraId="087304A8" w14:textId="77777777" w:rsidR="00E57DAA" w:rsidRDefault="00AC4185">
            <w:pPr>
              <w:autoSpaceDE w:val="0"/>
              <w:autoSpaceDN w:val="0"/>
              <w:adjustRightInd w:val="0"/>
              <w:jc w:val="right"/>
              <w:rPr>
                <w:szCs w:val="21"/>
              </w:rPr>
            </w:pPr>
            <w:r>
              <w:t>90,249.93</w:t>
            </w:r>
          </w:p>
        </w:tc>
      </w:tr>
      <w:tr w:rsidR="00E57DAA" w14:paraId="65B813F5" w14:textId="77777777">
        <w:tc>
          <w:tcPr>
            <w:tcW w:w="677" w:type="pct"/>
            <w:tcBorders>
              <w:top w:val="single" w:sz="4" w:space="0" w:color="auto"/>
              <w:left w:val="single" w:sz="4" w:space="0" w:color="auto"/>
              <w:bottom w:val="single" w:sz="4" w:space="0" w:color="auto"/>
              <w:right w:val="single" w:sz="4" w:space="0" w:color="auto"/>
            </w:tcBorders>
            <w:vAlign w:val="center"/>
          </w:tcPr>
          <w:p w14:paraId="1F1A144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6881FC9" w14:textId="77777777" w:rsidR="00E57DAA" w:rsidRDefault="00AC4185">
            <w:pPr>
              <w:autoSpaceDE w:val="0"/>
              <w:autoSpaceDN w:val="0"/>
              <w:adjustRightInd w:val="0"/>
              <w:rPr>
                <w:szCs w:val="21"/>
              </w:rPr>
            </w:pPr>
            <w:r>
              <w:t>新乡平原同力水泥有限责任公司</w:t>
            </w:r>
          </w:p>
        </w:tc>
        <w:tc>
          <w:tcPr>
            <w:tcW w:w="633" w:type="pct"/>
            <w:tcBorders>
              <w:top w:val="single" w:sz="4" w:space="0" w:color="auto"/>
              <w:left w:val="single" w:sz="4" w:space="0" w:color="auto"/>
              <w:bottom w:val="single" w:sz="4" w:space="0" w:color="auto"/>
              <w:right w:val="single" w:sz="4" w:space="0" w:color="auto"/>
            </w:tcBorders>
          </w:tcPr>
          <w:p w14:paraId="6F384CDD" w14:textId="77777777" w:rsidR="00E57DAA" w:rsidRDefault="00AC4185">
            <w:pPr>
              <w:autoSpaceDE w:val="0"/>
              <w:autoSpaceDN w:val="0"/>
              <w:adjustRightInd w:val="0"/>
              <w:jc w:val="right"/>
              <w:rPr>
                <w:szCs w:val="21"/>
              </w:rPr>
            </w:pPr>
            <w:r>
              <w:t>12,089,000.00</w:t>
            </w:r>
          </w:p>
        </w:tc>
        <w:tc>
          <w:tcPr>
            <w:tcW w:w="632" w:type="pct"/>
            <w:tcBorders>
              <w:top w:val="single" w:sz="4" w:space="0" w:color="auto"/>
              <w:left w:val="single" w:sz="4" w:space="0" w:color="auto"/>
              <w:bottom w:val="single" w:sz="4" w:space="0" w:color="auto"/>
              <w:right w:val="single" w:sz="4" w:space="0" w:color="auto"/>
            </w:tcBorders>
          </w:tcPr>
          <w:p w14:paraId="5DE9BB3C" w14:textId="77777777" w:rsidR="00E57DAA" w:rsidRDefault="00AC4185">
            <w:pPr>
              <w:autoSpaceDE w:val="0"/>
              <w:autoSpaceDN w:val="0"/>
              <w:adjustRightInd w:val="0"/>
              <w:jc w:val="right"/>
              <w:rPr>
                <w:szCs w:val="21"/>
              </w:rPr>
            </w:pPr>
            <w:r>
              <w:t>1,743,233.80</w:t>
            </w:r>
          </w:p>
        </w:tc>
        <w:tc>
          <w:tcPr>
            <w:tcW w:w="703" w:type="pct"/>
            <w:tcBorders>
              <w:top w:val="single" w:sz="4" w:space="0" w:color="auto"/>
              <w:left w:val="single" w:sz="4" w:space="0" w:color="auto"/>
              <w:bottom w:val="single" w:sz="4" w:space="0" w:color="auto"/>
              <w:right w:val="single" w:sz="4" w:space="0" w:color="auto"/>
            </w:tcBorders>
          </w:tcPr>
          <w:p w14:paraId="6AC0DDDD" w14:textId="77777777" w:rsidR="00E57DAA" w:rsidRDefault="00AC4185">
            <w:pPr>
              <w:autoSpaceDE w:val="0"/>
              <w:autoSpaceDN w:val="0"/>
              <w:adjustRightInd w:val="0"/>
              <w:jc w:val="right"/>
              <w:rPr>
                <w:szCs w:val="21"/>
              </w:rPr>
            </w:pPr>
            <w:r>
              <w:t>12,837,000.00</w:t>
            </w:r>
          </w:p>
        </w:tc>
        <w:tc>
          <w:tcPr>
            <w:tcW w:w="914" w:type="pct"/>
            <w:tcBorders>
              <w:top w:val="single" w:sz="4" w:space="0" w:color="auto"/>
              <w:left w:val="single" w:sz="4" w:space="0" w:color="auto"/>
              <w:bottom w:val="single" w:sz="4" w:space="0" w:color="auto"/>
              <w:right w:val="single" w:sz="4" w:space="0" w:color="auto"/>
            </w:tcBorders>
          </w:tcPr>
          <w:p w14:paraId="040C44CD" w14:textId="77777777" w:rsidR="00E57DAA" w:rsidRDefault="00AC4185">
            <w:pPr>
              <w:autoSpaceDE w:val="0"/>
              <w:autoSpaceDN w:val="0"/>
              <w:adjustRightInd w:val="0"/>
              <w:jc w:val="right"/>
              <w:rPr>
                <w:szCs w:val="21"/>
              </w:rPr>
            </w:pPr>
            <w:r>
              <w:t>925,547.70</w:t>
            </w:r>
          </w:p>
        </w:tc>
      </w:tr>
      <w:tr w:rsidR="00E57DAA" w14:paraId="7E9AB5A4" w14:textId="77777777">
        <w:tc>
          <w:tcPr>
            <w:tcW w:w="677" w:type="pct"/>
            <w:tcBorders>
              <w:top w:val="single" w:sz="4" w:space="0" w:color="auto"/>
              <w:left w:val="single" w:sz="4" w:space="0" w:color="auto"/>
              <w:bottom w:val="single" w:sz="4" w:space="0" w:color="auto"/>
              <w:right w:val="single" w:sz="4" w:space="0" w:color="auto"/>
            </w:tcBorders>
            <w:vAlign w:val="center"/>
          </w:tcPr>
          <w:p w14:paraId="61E293A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C46DB29" w14:textId="77777777" w:rsidR="00E57DAA" w:rsidRDefault="00AC4185">
            <w:pPr>
              <w:autoSpaceDE w:val="0"/>
              <w:autoSpaceDN w:val="0"/>
              <w:adjustRightInd w:val="0"/>
              <w:rPr>
                <w:szCs w:val="21"/>
              </w:rPr>
            </w:pPr>
            <w:r>
              <w:t>安徽广德南方水泥有限公司</w:t>
            </w:r>
          </w:p>
        </w:tc>
        <w:tc>
          <w:tcPr>
            <w:tcW w:w="633" w:type="pct"/>
            <w:tcBorders>
              <w:top w:val="single" w:sz="4" w:space="0" w:color="auto"/>
              <w:left w:val="single" w:sz="4" w:space="0" w:color="auto"/>
              <w:bottom w:val="single" w:sz="4" w:space="0" w:color="auto"/>
              <w:right w:val="single" w:sz="4" w:space="0" w:color="auto"/>
            </w:tcBorders>
          </w:tcPr>
          <w:p w14:paraId="555292E7" w14:textId="77777777" w:rsidR="00E57DAA" w:rsidRDefault="00AC4185">
            <w:pPr>
              <w:autoSpaceDE w:val="0"/>
              <w:autoSpaceDN w:val="0"/>
              <w:adjustRightInd w:val="0"/>
              <w:jc w:val="right"/>
              <w:rPr>
                <w:szCs w:val="21"/>
              </w:rPr>
            </w:pPr>
            <w:r>
              <w:t>11,736,042.82</w:t>
            </w:r>
          </w:p>
        </w:tc>
        <w:tc>
          <w:tcPr>
            <w:tcW w:w="632" w:type="pct"/>
            <w:tcBorders>
              <w:top w:val="single" w:sz="4" w:space="0" w:color="auto"/>
              <w:left w:val="single" w:sz="4" w:space="0" w:color="auto"/>
              <w:bottom w:val="single" w:sz="4" w:space="0" w:color="auto"/>
              <w:right w:val="single" w:sz="4" w:space="0" w:color="auto"/>
            </w:tcBorders>
          </w:tcPr>
          <w:p w14:paraId="5BDA8E0B" w14:textId="77777777" w:rsidR="00E57DAA" w:rsidRDefault="00AC4185">
            <w:pPr>
              <w:autoSpaceDE w:val="0"/>
              <w:autoSpaceDN w:val="0"/>
              <w:adjustRightInd w:val="0"/>
              <w:jc w:val="right"/>
              <w:rPr>
                <w:szCs w:val="21"/>
              </w:rPr>
            </w:pPr>
            <w:r>
              <w:t>165,038.68</w:t>
            </w:r>
          </w:p>
        </w:tc>
        <w:tc>
          <w:tcPr>
            <w:tcW w:w="703" w:type="pct"/>
            <w:tcBorders>
              <w:top w:val="single" w:sz="4" w:space="0" w:color="auto"/>
              <w:left w:val="single" w:sz="4" w:space="0" w:color="auto"/>
              <w:bottom w:val="single" w:sz="4" w:space="0" w:color="auto"/>
              <w:right w:val="single" w:sz="4" w:space="0" w:color="auto"/>
            </w:tcBorders>
          </w:tcPr>
          <w:p w14:paraId="6A882BF0" w14:textId="77777777" w:rsidR="00E57DAA" w:rsidRDefault="00AC4185">
            <w:pPr>
              <w:autoSpaceDE w:val="0"/>
              <w:autoSpaceDN w:val="0"/>
              <w:adjustRightInd w:val="0"/>
              <w:jc w:val="right"/>
              <w:rPr>
                <w:szCs w:val="21"/>
              </w:rPr>
            </w:pPr>
            <w:r>
              <w:t>3,099,284.95</w:t>
            </w:r>
          </w:p>
        </w:tc>
        <w:tc>
          <w:tcPr>
            <w:tcW w:w="914" w:type="pct"/>
            <w:tcBorders>
              <w:top w:val="single" w:sz="4" w:space="0" w:color="auto"/>
              <w:left w:val="single" w:sz="4" w:space="0" w:color="auto"/>
              <w:bottom w:val="single" w:sz="4" w:space="0" w:color="auto"/>
              <w:right w:val="single" w:sz="4" w:space="0" w:color="auto"/>
            </w:tcBorders>
          </w:tcPr>
          <w:p w14:paraId="050A7E44" w14:textId="77777777" w:rsidR="00E57DAA" w:rsidRDefault="00AC4185">
            <w:pPr>
              <w:autoSpaceDE w:val="0"/>
              <w:autoSpaceDN w:val="0"/>
              <w:adjustRightInd w:val="0"/>
              <w:jc w:val="right"/>
              <w:rPr>
                <w:szCs w:val="21"/>
              </w:rPr>
            </w:pPr>
            <w:r>
              <w:t>6,709.56</w:t>
            </w:r>
          </w:p>
        </w:tc>
      </w:tr>
      <w:tr w:rsidR="00E57DAA" w14:paraId="10E8F153" w14:textId="77777777">
        <w:tc>
          <w:tcPr>
            <w:tcW w:w="677" w:type="pct"/>
            <w:tcBorders>
              <w:top w:val="single" w:sz="4" w:space="0" w:color="auto"/>
              <w:left w:val="single" w:sz="4" w:space="0" w:color="auto"/>
              <w:bottom w:val="single" w:sz="4" w:space="0" w:color="auto"/>
              <w:right w:val="single" w:sz="4" w:space="0" w:color="auto"/>
            </w:tcBorders>
            <w:vAlign w:val="center"/>
          </w:tcPr>
          <w:p w14:paraId="103744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4F6A57" w14:textId="77777777" w:rsidR="00E57DAA" w:rsidRDefault="00AC4185">
            <w:pPr>
              <w:autoSpaceDE w:val="0"/>
              <w:autoSpaceDN w:val="0"/>
              <w:adjustRightInd w:val="0"/>
              <w:rPr>
                <w:szCs w:val="21"/>
              </w:rPr>
            </w:pPr>
            <w:r>
              <w:t>禹州市丰磊建材有限公司</w:t>
            </w:r>
          </w:p>
        </w:tc>
        <w:tc>
          <w:tcPr>
            <w:tcW w:w="633" w:type="pct"/>
            <w:tcBorders>
              <w:top w:val="single" w:sz="4" w:space="0" w:color="auto"/>
              <w:left w:val="single" w:sz="4" w:space="0" w:color="auto"/>
              <w:bottom w:val="single" w:sz="4" w:space="0" w:color="auto"/>
              <w:right w:val="single" w:sz="4" w:space="0" w:color="auto"/>
            </w:tcBorders>
          </w:tcPr>
          <w:p w14:paraId="08AF4D65" w14:textId="77777777" w:rsidR="00E57DAA" w:rsidRDefault="00AC4185">
            <w:pPr>
              <w:autoSpaceDE w:val="0"/>
              <w:autoSpaceDN w:val="0"/>
              <w:adjustRightInd w:val="0"/>
              <w:jc w:val="right"/>
              <w:rPr>
                <w:szCs w:val="21"/>
              </w:rPr>
            </w:pPr>
            <w:r>
              <w:t>11,356,982.50</w:t>
            </w:r>
          </w:p>
        </w:tc>
        <w:tc>
          <w:tcPr>
            <w:tcW w:w="632" w:type="pct"/>
            <w:tcBorders>
              <w:top w:val="single" w:sz="4" w:space="0" w:color="auto"/>
              <w:left w:val="single" w:sz="4" w:space="0" w:color="auto"/>
              <w:bottom w:val="single" w:sz="4" w:space="0" w:color="auto"/>
              <w:right w:val="single" w:sz="4" w:space="0" w:color="auto"/>
            </w:tcBorders>
          </w:tcPr>
          <w:p w14:paraId="4838E199" w14:textId="77777777" w:rsidR="00E57DAA" w:rsidRDefault="00AC4185">
            <w:pPr>
              <w:autoSpaceDE w:val="0"/>
              <w:autoSpaceDN w:val="0"/>
              <w:adjustRightInd w:val="0"/>
              <w:jc w:val="right"/>
              <w:rPr>
                <w:szCs w:val="21"/>
              </w:rPr>
            </w:pPr>
            <w:r>
              <w:t>45,427.93</w:t>
            </w:r>
          </w:p>
        </w:tc>
        <w:tc>
          <w:tcPr>
            <w:tcW w:w="703" w:type="pct"/>
            <w:tcBorders>
              <w:top w:val="single" w:sz="4" w:space="0" w:color="auto"/>
              <w:left w:val="single" w:sz="4" w:space="0" w:color="auto"/>
              <w:bottom w:val="single" w:sz="4" w:space="0" w:color="auto"/>
              <w:right w:val="single" w:sz="4" w:space="0" w:color="auto"/>
            </w:tcBorders>
          </w:tcPr>
          <w:p w14:paraId="4933967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B20B5BD" w14:textId="77777777" w:rsidR="00E57DAA" w:rsidRDefault="00AC4185">
            <w:pPr>
              <w:autoSpaceDE w:val="0"/>
              <w:autoSpaceDN w:val="0"/>
              <w:adjustRightInd w:val="0"/>
              <w:jc w:val="right"/>
              <w:rPr>
                <w:szCs w:val="21"/>
              </w:rPr>
            </w:pPr>
            <w:r>
              <w:t xml:space="preserve">　</w:t>
            </w:r>
          </w:p>
        </w:tc>
      </w:tr>
      <w:tr w:rsidR="00E57DAA" w14:paraId="52759BFC" w14:textId="77777777">
        <w:tc>
          <w:tcPr>
            <w:tcW w:w="677" w:type="pct"/>
            <w:tcBorders>
              <w:top w:val="single" w:sz="4" w:space="0" w:color="auto"/>
              <w:left w:val="single" w:sz="4" w:space="0" w:color="auto"/>
              <w:bottom w:val="single" w:sz="4" w:space="0" w:color="auto"/>
              <w:right w:val="single" w:sz="4" w:space="0" w:color="auto"/>
            </w:tcBorders>
            <w:vAlign w:val="center"/>
          </w:tcPr>
          <w:p w14:paraId="537EB29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E959ECC" w14:textId="77777777" w:rsidR="00E57DAA" w:rsidRDefault="00AC4185">
            <w:pPr>
              <w:autoSpaceDE w:val="0"/>
              <w:autoSpaceDN w:val="0"/>
              <w:adjustRightInd w:val="0"/>
              <w:rPr>
                <w:szCs w:val="21"/>
              </w:rPr>
            </w:pPr>
            <w:r>
              <w:t>海盐秦山南方水泥有限公司</w:t>
            </w:r>
          </w:p>
        </w:tc>
        <w:tc>
          <w:tcPr>
            <w:tcW w:w="633" w:type="pct"/>
            <w:tcBorders>
              <w:top w:val="single" w:sz="4" w:space="0" w:color="auto"/>
              <w:left w:val="single" w:sz="4" w:space="0" w:color="auto"/>
              <w:bottom w:val="single" w:sz="4" w:space="0" w:color="auto"/>
              <w:right w:val="single" w:sz="4" w:space="0" w:color="auto"/>
            </w:tcBorders>
          </w:tcPr>
          <w:p w14:paraId="0CF9D972" w14:textId="77777777" w:rsidR="00E57DAA" w:rsidRDefault="00AC4185">
            <w:pPr>
              <w:autoSpaceDE w:val="0"/>
              <w:autoSpaceDN w:val="0"/>
              <w:adjustRightInd w:val="0"/>
              <w:jc w:val="right"/>
              <w:rPr>
                <w:szCs w:val="21"/>
              </w:rPr>
            </w:pPr>
            <w:r>
              <w:t>11,222,290.34</w:t>
            </w:r>
          </w:p>
        </w:tc>
        <w:tc>
          <w:tcPr>
            <w:tcW w:w="632" w:type="pct"/>
            <w:tcBorders>
              <w:top w:val="single" w:sz="4" w:space="0" w:color="auto"/>
              <w:left w:val="single" w:sz="4" w:space="0" w:color="auto"/>
              <w:bottom w:val="single" w:sz="4" w:space="0" w:color="auto"/>
              <w:right w:val="single" w:sz="4" w:space="0" w:color="auto"/>
            </w:tcBorders>
          </w:tcPr>
          <w:p w14:paraId="68179C04" w14:textId="77777777" w:rsidR="00E57DAA" w:rsidRDefault="00AC4185">
            <w:pPr>
              <w:autoSpaceDE w:val="0"/>
              <w:autoSpaceDN w:val="0"/>
              <w:adjustRightInd w:val="0"/>
              <w:jc w:val="right"/>
              <w:rPr>
                <w:szCs w:val="21"/>
              </w:rPr>
            </w:pPr>
            <w:r>
              <w:t>98,286.20</w:t>
            </w:r>
          </w:p>
        </w:tc>
        <w:tc>
          <w:tcPr>
            <w:tcW w:w="703" w:type="pct"/>
            <w:tcBorders>
              <w:top w:val="single" w:sz="4" w:space="0" w:color="auto"/>
              <w:left w:val="single" w:sz="4" w:space="0" w:color="auto"/>
              <w:bottom w:val="single" w:sz="4" w:space="0" w:color="auto"/>
              <w:right w:val="single" w:sz="4" w:space="0" w:color="auto"/>
            </w:tcBorders>
          </w:tcPr>
          <w:p w14:paraId="6CC928BB" w14:textId="77777777" w:rsidR="00E57DAA" w:rsidRDefault="00AC4185">
            <w:pPr>
              <w:autoSpaceDE w:val="0"/>
              <w:autoSpaceDN w:val="0"/>
              <w:adjustRightInd w:val="0"/>
              <w:jc w:val="right"/>
              <w:rPr>
                <w:szCs w:val="21"/>
              </w:rPr>
            </w:pPr>
            <w:r>
              <w:t>2,426,614.31</w:t>
            </w:r>
          </w:p>
        </w:tc>
        <w:tc>
          <w:tcPr>
            <w:tcW w:w="914" w:type="pct"/>
            <w:tcBorders>
              <w:top w:val="single" w:sz="4" w:space="0" w:color="auto"/>
              <w:left w:val="single" w:sz="4" w:space="0" w:color="auto"/>
              <w:bottom w:val="single" w:sz="4" w:space="0" w:color="auto"/>
              <w:right w:val="single" w:sz="4" w:space="0" w:color="auto"/>
            </w:tcBorders>
          </w:tcPr>
          <w:p w14:paraId="7C2C819F" w14:textId="77777777" w:rsidR="00E57DAA" w:rsidRDefault="00AC4185">
            <w:pPr>
              <w:autoSpaceDE w:val="0"/>
              <w:autoSpaceDN w:val="0"/>
              <w:adjustRightInd w:val="0"/>
              <w:jc w:val="right"/>
              <w:rPr>
                <w:szCs w:val="21"/>
              </w:rPr>
            </w:pPr>
            <w:r>
              <w:t>32,606.06</w:t>
            </w:r>
          </w:p>
        </w:tc>
      </w:tr>
      <w:tr w:rsidR="00E57DAA" w14:paraId="5BA38880" w14:textId="77777777">
        <w:tc>
          <w:tcPr>
            <w:tcW w:w="677" w:type="pct"/>
            <w:tcBorders>
              <w:top w:val="single" w:sz="4" w:space="0" w:color="auto"/>
              <w:left w:val="single" w:sz="4" w:space="0" w:color="auto"/>
              <w:bottom w:val="single" w:sz="4" w:space="0" w:color="auto"/>
              <w:right w:val="single" w:sz="4" w:space="0" w:color="auto"/>
            </w:tcBorders>
            <w:vAlign w:val="center"/>
          </w:tcPr>
          <w:p w14:paraId="04EDE9B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62AE84B" w14:textId="77777777" w:rsidR="00E57DAA" w:rsidRDefault="00AC4185">
            <w:pPr>
              <w:autoSpaceDE w:val="0"/>
              <w:autoSpaceDN w:val="0"/>
              <w:adjustRightInd w:val="0"/>
              <w:rPr>
                <w:szCs w:val="21"/>
              </w:rPr>
            </w:pPr>
            <w:r>
              <w:t>临沂中联水泥有限公司</w:t>
            </w:r>
          </w:p>
        </w:tc>
        <w:tc>
          <w:tcPr>
            <w:tcW w:w="633" w:type="pct"/>
            <w:tcBorders>
              <w:top w:val="single" w:sz="4" w:space="0" w:color="auto"/>
              <w:left w:val="single" w:sz="4" w:space="0" w:color="auto"/>
              <w:bottom w:val="single" w:sz="4" w:space="0" w:color="auto"/>
              <w:right w:val="single" w:sz="4" w:space="0" w:color="auto"/>
            </w:tcBorders>
          </w:tcPr>
          <w:p w14:paraId="271E598B" w14:textId="77777777" w:rsidR="00E57DAA" w:rsidRDefault="00AC4185">
            <w:pPr>
              <w:autoSpaceDE w:val="0"/>
              <w:autoSpaceDN w:val="0"/>
              <w:adjustRightInd w:val="0"/>
              <w:jc w:val="right"/>
              <w:rPr>
                <w:szCs w:val="21"/>
              </w:rPr>
            </w:pPr>
            <w:r>
              <w:t>11,138,311.74</w:t>
            </w:r>
          </w:p>
        </w:tc>
        <w:tc>
          <w:tcPr>
            <w:tcW w:w="632" w:type="pct"/>
            <w:tcBorders>
              <w:top w:val="single" w:sz="4" w:space="0" w:color="auto"/>
              <w:left w:val="single" w:sz="4" w:space="0" w:color="auto"/>
              <w:bottom w:val="single" w:sz="4" w:space="0" w:color="auto"/>
              <w:right w:val="single" w:sz="4" w:space="0" w:color="auto"/>
            </w:tcBorders>
          </w:tcPr>
          <w:p w14:paraId="525DEA3C" w14:textId="77777777" w:rsidR="00E57DAA" w:rsidRDefault="00AC4185">
            <w:pPr>
              <w:autoSpaceDE w:val="0"/>
              <w:autoSpaceDN w:val="0"/>
              <w:adjustRightInd w:val="0"/>
              <w:jc w:val="right"/>
              <w:rPr>
                <w:szCs w:val="21"/>
              </w:rPr>
            </w:pPr>
            <w:r>
              <w:t>149,284.19</w:t>
            </w:r>
          </w:p>
        </w:tc>
        <w:tc>
          <w:tcPr>
            <w:tcW w:w="703" w:type="pct"/>
            <w:tcBorders>
              <w:top w:val="single" w:sz="4" w:space="0" w:color="auto"/>
              <w:left w:val="single" w:sz="4" w:space="0" w:color="auto"/>
              <w:bottom w:val="single" w:sz="4" w:space="0" w:color="auto"/>
              <w:right w:val="single" w:sz="4" w:space="0" w:color="auto"/>
            </w:tcBorders>
          </w:tcPr>
          <w:p w14:paraId="77EFD73C" w14:textId="77777777" w:rsidR="00E57DAA" w:rsidRDefault="00AC4185">
            <w:pPr>
              <w:autoSpaceDE w:val="0"/>
              <w:autoSpaceDN w:val="0"/>
              <w:adjustRightInd w:val="0"/>
              <w:jc w:val="right"/>
              <w:rPr>
                <w:szCs w:val="21"/>
              </w:rPr>
            </w:pPr>
            <w:r>
              <w:t>2,477,139.12</w:t>
            </w:r>
          </w:p>
        </w:tc>
        <w:tc>
          <w:tcPr>
            <w:tcW w:w="914" w:type="pct"/>
            <w:tcBorders>
              <w:top w:val="single" w:sz="4" w:space="0" w:color="auto"/>
              <w:left w:val="single" w:sz="4" w:space="0" w:color="auto"/>
              <w:bottom w:val="single" w:sz="4" w:space="0" w:color="auto"/>
              <w:right w:val="single" w:sz="4" w:space="0" w:color="auto"/>
            </w:tcBorders>
          </w:tcPr>
          <w:p w14:paraId="47211806" w14:textId="77777777" w:rsidR="00E57DAA" w:rsidRDefault="00AC4185">
            <w:pPr>
              <w:autoSpaceDE w:val="0"/>
              <w:autoSpaceDN w:val="0"/>
              <w:adjustRightInd w:val="0"/>
              <w:jc w:val="right"/>
              <w:rPr>
                <w:szCs w:val="21"/>
              </w:rPr>
            </w:pPr>
            <w:r>
              <w:t>19,817.11</w:t>
            </w:r>
          </w:p>
        </w:tc>
      </w:tr>
      <w:tr w:rsidR="00E57DAA" w14:paraId="215B2BE7" w14:textId="77777777">
        <w:tc>
          <w:tcPr>
            <w:tcW w:w="677" w:type="pct"/>
            <w:tcBorders>
              <w:top w:val="single" w:sz="4" w:space="0" w:color="auto"/>
              <w:left w:val="single" w:sz="4" w:space="0" w:color="auto"/>
              <w:bottom w:val="single" w:sz="4" w:space="0" w:color="auto"/>
              <w:right w:val="single" w:sz="4" w:space="0" w:color="auto"/>
            </w:tcBorders>
            <w:vAlign w:val="center"/>
          </w:tcPr>
          <w:p w14:paraId="2BB88D0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20779BE" w14:textId="77777777" w:rsidR="00E57DAA" w:rsidRDefault="00AC4185">
            <w:pPr>
              <w:autoSpaceDE w:val="0"/>
              <w:autoSpaceDN w:val="0"/>
              <w:adjustRightInd w:val="0"/>
              <w:rPr>
                <w:szCs w:val="21"/>
              </w:rPr>
            </w:pPr>
            <w:r>
              <w:t>滁州中联水泥有限公司</w:t>
            </w:r>
          </w:p>
        </w:tc>
        <w:tc>
          <w:tcPr>
            <w:tcW w:w="633" w:type="pct"/>
            <w:tcBorders>
              <w:top w:val="single" w:sz="4" w:space="0" w:color="auto"/>
              <w:left w:val="single" w:sz="4" w:space="0" w:color="auto"/>
              <w:bottom w:val="single" w:sz="4" w:space="0" w:color="auto"/>
              <w:right w:val="single" w:sz="4" w:space="0" w:color="auto"/>
            </w:tcBorders>
          </w:tcPr>
          <w:p w14:paraId="53D6684E" w14:textId="77777777" w:rsidR="00E57DAA" w:rsidRDefault="00AC4185">
            <w:pPr>
              <w:autoSpaceDE w:val="0"/>
              <w:autoSpaceDN w:val="0"/>
              <w:adjustRightInd w:val="0"/>
              <w:jc w:val="right"/>
              <w:rPr>
                <w:szCs w:val="21"/>
              </w:rPr>
            </w:pPr>
            <w:r>
              <w:t>11,084,414.63</w:t>
            </w:r>
          </w:p>
        </w:tc>
        <w:tc>
          <w:tcPr>
            <w:tcW w:w="632" w:type="pct"/>
            <w:tcBorders>
              <w:top w:val="single" w:sz="4" w:space="0" w:color="auto"/>
              <w:left w:val="single" w:sz="4" w:space="0" w:color="auto"/>
              <w:bottom w:val="single" w:sz="4" w:space="0" w:color="auto"/>
              <w:right w:val="single" w:sz="4" w:space="0" w:color="auto"/>
            </w:tcBorders>
          </w:tcPr>
          <w:p w14:paraId="636C62F5" w14:textId="77777777" w:rsidR="00E57DAA" w:rsidRDefault="00AC4185">
            <w:pPr>
              <w:autoSpaceDE w:val="0"/>
              <w:autoSpaceDN w:val="0"/>
              <w:adjustRightInd w:val="0"/>
              <w:jc w:val="right"/>
              <w:rPr>
                <w:szCs w:val="21"/>
              </w:rPr>
            </w:pPr>
            <w:r>
              <w:t>180,013.81</w:t>
            </w:r>
          </w:p>
        </w:tc>
        <w:tc>
          <w:tcPr>
            <w:tcW w:w="703" w:type="pct"/>
            <w:tcBorders>
              <w:top w:val="single" w:sz="4" w:space="0" w:color="auto"/>
              <w:left w:val="single" w:sz="4" w:space="0" w:color="auto"/>
              <w:bottom w:val="single" w:sz="4" w:space="0" w:color="auto"/>
              <w:right w:val="single" w:sz="4" w:space="0" w:color="auto"/>
            </w:tcBorders>
          </w:tcPr>
          <w:p w14:paraId="501D3D0D" w14:textId="77777777" w:rsidR="00E57DAA" w:rsidRDefault="00AC4185">
            <w:pPr>
              <w:autoSpaceDE w:val="0"/>
              <w:autoSpaceDN w:val="0"/>
              <w:adjustRightInd w:val="0"/>
              <w:jc w:val="right"/>
              <w:rPr>
                <w:szCs w:val="21"/>
              </w:rPr>
            </w:pPr>
            <w:r>
              <w:t>8,263,487.32</w:t>
            </w:r>
          </w:p>
        </w:tc>
        <w:tc>
          <w:tcPr>
            <w:tcW w:w="914" w:type="pct"/>
            <w:tcBorders>
              <w:top w:val="single" w:sz="4" w:space="0" w:color="auto"/>
              <w:left w:val="single" w:sz="4" w:space="0" w:color="auto"/>
              <w:bottom w:val="single" w:sz="4" w:space="0" w:color="auto"/>
              <w:right w:val="single" w:sz="4" w:space="0" w:color="auto"/>
            </w:tcBorders>
          </w:tcPr>
          <w:p w14:paraId="0CBBF2B8" w14:textId="77777777" w:rsidR="00E57DAA" w:rsidRDefault="00AC4185">
            <w:pPr>
              <w:autoSpaceDE w:val="0"/>
              <w:autoSpaceDN w:val="0"/>
              <w:adjustRightInd w:val="0"/>
              <w:jc w:val="right"/>
              <w:rPr>
                <w:szCs w:val="21"/>
              </w:rPr>
            </w:pPr>
            <w:r>
              <w:t>113,543.07</w:t>
            </w:r>
          </w:p>
        </w:tc>
      </w:tr>
      <w:tr w:rsidR="00E57DAA" w14:paraId="38B797AC" w14:textId="77777777">
        <w:tc>
          <w:tcPr>
            <w:tcW w:w="677" w:type="pct"/>
            <w:tcBorders>
              <w:top w:val="single" w:sz="4" w:space="0" w:color="auto"/>
              <w:left w:val="single" w:sz="4" w:space="0" w:color="auto"/>
              <w:bottom w:val="single" w:sz="4" w:space="0" w:color="auto"/>
              <w:right w:val="single" w:sz="4" w:space="0" w:color="auto"/>
            </w:tcBorders>
            <w:vAlign w:val="center"/>
          </w:tcPr>
          <w:p w14:paraId="41AFF31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60D9FB6" w14:textId="77777777" w:rsidR="00E57DAA" w:rsidRDefault="00AC4185">
            <w:pPr>
              <w:autoSpaceDE w:val="0"/>
              <w:autoSpaceDN w:val="0"/>
              <w:adjustRightInd w:val="0"/>
              <w:rPr>
                <w:szCs w:val="21"/>
              </w:rPr>
            </w:pPr>
            <w:r>
              <w:t>中材安徽水泥有限公司</w:t>
            </w:r>
          </w:p>
        </w:tc>
        <w:tc>
          <w:tcPr>
            <w:tcW w:w="633" w:type="pct"/>
            <w:tcBorders>
              <w:top w:val="single" w:sz="4" w:space="0" w:color="auto"/>
              <w:left w:val="single" w:sz="4" w:space="0" w:color="auto"/>
              <w:bottom w:val="single" w:sz="4" w:space="0" w:color="auto"/>
              <w:right w:val="single" w:sz="4" w:space="0" w:color="auto"/>
            </w:tcBorders>
          </w:tcPr>
          <w:p w14:paraId="23B4C13E" w14:textId="77777777" w:rsidR="00E57DAA" w:rsidRDefault="00AC4185">
            <w:pPr>
              <w:autoSpaceDE w:val="0"/>
              <w:autoSpaceDN w:val="0"/>
              <w:adjustRightInd w:val="0"/>
              <w:jc w:val="right"/>
              <w:rPr>
                <w:szCs w:val="21"/>
              </w:rPr>
            </w:pPr>
            <w:r>
              <w:t>10,956,112.34</w:t>
            </w:r>
          </w:p>
        </w:tc>
        <w:tc>
          <w:tcPr>
            <w:tcW w:w="632" w:type="pct"/>
            <w:tcBorders>
              <w:top w:val="single" w:sz="4" w:space="0" w:color="auto"/>
              <w:left w:val="single" w:sz="4" w:space="0" w:color="auto"/>
              <w:bottom w:val="single" w:sz="4" w:space="0" w:color="auto"/>
              <w:right w:val="single" w:sz="4" w:space="0" w:color="auto"/>
            </w:tcBorders>
          </w:tcPr>
          <w:p w14:paraId="68661CDF" w14:textId="77777777" w:rsidR="00E57DAA" w:rsidRDefault="00AC4185">
            <w:pPr>
              <w:autoSpaceDE w:val="0"/>
              <w:autoSpaceDN w:val="0"/>
              <w:adjustRightInd w:val="0"/>
              <w:jc w:val="right"/>
              <w:rPr>
                <w:szCs w:val="21"/>
              </w:rPr>
            </w:pPr>
            <w:r>
              <w:t>597,188.32</w:t>
            </w:r>
          </w:p>
        </w:tc>
        <w:tc>
          <w:tcPr>
            <w:tcW w:w="703" w:type="pct"/>
            <w:tcBorders>
              <w:top w:val="single" w:sz="4" w:space="0" w:color="auto"/>
              <w:left w:val="single" w:sz="4" w:space="0" w:color="auto"/>
              <w:bottom w:val="single" w:sz="4" w:space="0" w:color="auto"/>
              <w:right w:val="single" w:sz="4" w:space="0" w:color="auto"/>
            </w:tcBorders>
          </w:tcPr>
          <w:p w14:paraId="306E7D71" w14:textId="77777777" w:rsidR="00E57DAA" w:rsidRDefault="00AC4185">
            <w:pPr>
              <w:autoSpaceDE w:val="0"/>
              <w:autoSpaceDN w:val="0"/>
              <w:adjustRightInd w:val="0"/>
              <w:jc w:val="right"/>
              <w:rPr>
                <w:szCs w:val="21"/>
              </w:rPr>
            </w:pPr>
            <w:r>
              <w:t>13,597,088.27</w:t>
            </w:r>
          </w:p>
        </w:tc>
        <w:tc>
          <w:tcPr>
            <w:tcW w:w="914" w:type="pct"/>
            <w:tcBorders>
              <w:top w:val="single" w:sz="4" w:space="0" w:color="auto"/>
              <w:left w:val="single" w:sz="4" w:space="0" w:color="auto"/>
              <w:bottom w:val="single" w:sz="4" w:space="0" w:color="auto"/>
              <w:right w:val="single" w:sz="4" w:space="0" w:color="auto"/>
            </w:tcBorders>
          </w:tcPr>
          <w:p w14:paraId="19CF1725" w14:textId="77777777" w:rsidR="00E57DAA" w:rsidRDefault="00AC4185">
            <w:pPr>
              <w:autoSpaceDE w:val="0"/>
              <w:autoSpaceDN w:val="0"/>
              <w:adjustRightInd w:val="0"/>
              <w:jc w:val="right"/>
              <w:rPr>
                <w:szCs w:val="21"/>
              </w:rPr>
            </w:pPr>
            <w:r>
              <w:t>359,980.42</w:t>
            </w:r>
          </w:p>
        </w:tc>
      </w:tr>
      <w:tr w:rsidR="00E57DAA" w14:paraId="001636A4" w14:textId="77777777">
        <w:tc>
          <w:tcPr>
            <w:tcW w:w="677" w:type="pct"/>
            <w:tcBorders>
              <w:top w:val="single" w:sz="4" w:space="0" w:color="auto"/>
              <w:left w:val="single" w:sz="4" w:space="0" w:color="auto"/>
              <w:bottom w:val="single" w:sz="4" w:space="0" w:color="auto"/>
              <w:right w:val="single" w:sz="4" w:space="0" w:color="auto"/>
            </w:tcBorders>
            <w:vAlign w:val="center"/>
          </w:tcPr>
          <w:p w14:paraId="764261E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BB37CAA" w14:textId="77777777" w:rsidR="00E57DAA" w:rsidRDefault="00AC4185">
            <w:pPr>
              <w:autoSpaceDE w:val="0"/>
              <w:autoSpaceDN w:val="0"/>
              <w:adjustRightInd w:val="0"/>
              <w:rPr>
                <w:szCs w:val="21"/>
              </w:rPr>
            </w:pPr>
            <w:r>
              <w:t>宁夏赛马水泥有限公司</w:t>
            </w:r>
          </w:p>
        </w:tc>
        <w:tc>
          <w:tcPr>
            <w:tcW w:w="633" w:type="pct"/>
            <w:tcBorders>
              <w:top w:val="single" w:sz="4" w:space="0" w:color="auto"/>
              <w:left w:val="single" w:sz="4" w:space="0" w:color="auto"/>
              <w:bottom w:val="single" w:sz="4" w:space="0" w:color="auto"/>
              <w:right w:val="single" w:sz="4" w:space="0" w:color="auto"/>
            </w:tcBorders>
          </w:tcPr>
          <w:p w14:paraId="5FC26F2E" w14:textId="77777777" w:rsidR="00E57DAA" w:rsidRDefault="00AC4185">
            <w:pPr>
              <w:autoSpaceDE w:val="0"/>
              <w:autoSpaceDN w:val="0"/>
              <w:adjustRightInd w:val="0"/>
              <w:jc w:val="right"/>
              <w:rPr>
                <w:szCs w:val="21"/>
              </w:rPr>
            </w:pPr>
            <w:r>
              <w:t>10,602,284.00</w:t>
            </w:r>
          </w:p>
        </w:tc>
        <w:tc>
          <w:tcPr>
            <w:tcW w:w="632" w:type="pct"/>
            <w:tcBorders>
              <w:top w:val="single" w:sz="4" w:space="0" w:color="auto"/>
              <w:left w:val="single" w:sz="4" w:space="0" w:color="auto"/>
              <w:bottom w:val="single" w:sz="4" w:space="0" w:color="auto"/>
              <w:right w:val="single" w:sz="4" w:space="0" w:color="auto"/>
            </w:tcBorders>
          </w:tcPr>
          <w:p w14:paraId="4130276E" w14:textId="77777777" w:rsidR="00E57DAA" w:rsidRDefault="00AC4185">
            <w:pPr>
              <w:autoSpaceDE w:val="0"/>
              <w:autoSpaceDN w:val="0"/>
              <w:adjustRightInd w:val="0"/>
              <w:jc w:val="right"/>
              <w:rPr>
                <w:szCs w:val="21"/>
              </w:rPr>
            </w:pPr>
            <w:r>
              <w:t>8,404,440.86</w:t>
            </w:r>
          </w:p>
        </w:tc>
        <w:tc>
          <w:tcPr>
            <w:tcW w:w="703" w:type="pct"/>
            <w:tcBorders>
              <w:top w:val="single" w:sz="4" w:space="0" w:color="auto"/>
              <w:left w:val="single" w:sz="4" w:space="0" w:color="auto"/>
              <w:bottom w:val="single" w:sz="4" w:space="0" w:color="auto"/>
              <w:right w:val="single" w:sz="4" w:space="0" w:color="auto"/>
            </w:tcBorders>
          </w:tcPr>
          <w:p w14:paraId="6F657A21" w14:textId="77777777" w:rsidR="00E57DAA" w:rsidRDefault="00AC4185">
            <w:pPr>
              <w:autoSpaceDE w:val="0"/>
              <w:autoSpaceDN w:val="0"/>
              <w:adjustRightInd w:val="0"/>
              <w:jc w:val="right"/>
              <w:rPr>
                <w:szCs w:val="21"/>
              </w:rPr>
            </w:pPr>
            <w:r>
              <w:t>10,914,989.00</w:t>
            </w:r>
          </w:p>
        </w:tc>
        <w:tc>
          <w:tcPr>
            <w:tcW w:w="914" w:type="pct"/>
            <w:tcBorders>
              <w:top w:val="single" w:sz="4" w:space="0" w:color="auto"/>
              <w:left w:val="single" w:sz="4" w:space="0" w:color="auto"/>
              <w:bottom w:val="single" w:sz="4" w:space="0" w:color="auto"/>
              <w:right w:val="single" w:sz="4" w:space="0" w:color="auto"/>
            </w:tcBorders>
          </w:tcPr>
          <w:p w14:paraId="230B35A8" w14:textId="77777777" w:rsidR="00E57DAA" w:rsidRDefault="00AC4185">
            <w:pPr>
              <w:autoSpaceDE w:val="0"/>
              <w:autoSpaceDN w:val="0"/>
              <w:adjustRightInd w:val="0"/>
              <w:jc w:val="right"/>
              <w:rPr>
                <w:szCs w:val="21"/>
              </w:rPr>
            </w:pPr>
            <w:r>
              <w:t>8,408,772.41</w:t>
            </w:r>
          </w:p>
        </w:tc>
      </w:tr>
      <w:tr w:rsidR="00E57DAA" w14:paraId="2F567BEA" w14:textId="77777777">
        <w:tc>
          <w:tcPr>
            <w:tcW w:w="677" w:type="pct"/>
            <w:tcBorders>
              <w:top w:val="single" w:sz="4" w:space="0" w:color="auto"/>
              <w:left w:val="single" w:sz="4" w:space="0" w:color="auto"/>
              <w:bottom w:val="single" w:sz="4" w:space="0" w:color="auto"/>
              <w:right w:val="single" w:sz="4" w:space="0" w:color="auto"/>
            </w:tcBorders>
            <w:vAlign w:val="center"/>
          </w:tcPr>
          <w:p w14:paraId="6F3AE56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807B1D" w14:textId="77777777" w:rsidR="00E57DAA" w:rsidRDefault="00AC4185">
            <w:pPr>
              <w:autoSpaceDE w:val="0"/>
              <w:autoSpaceDN w:val="0"/>
              <w:adjustRightInd w:val="0"/>
              <w:rPr>
                <w:szCs w:val="21"/>
              </w:rPr>
            </w:pPr>
            <w:r>
              <w:t>宜兴市阳港矿业有限公司</w:t>
            </w:r>
          </w:p>
        </w:tc>
        <w:tc>
          <w:tcPr>
            <w:tcW w:w="633" w:type="pct"/>
            <w:tcBorders>
              <w:top w:val="single" w:sz="4" w:space="0" w:color="auto"/>
              <w:left w:val="single" w:sz="4" w:space="0" w:color="auto"/>
              <w:bottom w:val="single" w:sz="4" w:space="0" w:color="auto"/>
              <w:right w:val="single" w:sz="4" w:space="0" w:color="auto"/>
            </w:tcBorders>
          </w:tcPr>
          <w:p w14:paraId="78FFDA07" w14:textId="77777777" w:rsidR="00E57DAA" w:rsidRDefault="00AC4185">
            <w:pPr>
              <w:autoSpaceDE w:val="0"/>
              <w:autoSpaceDN w:val="0"/>
              <w:adjustRightInd w:val="0"/>
              <w:jc w:val="right"/>
              <w:rPr>
                <w:szCs w:val="21"/>
              </w:rPr>
            </w:pPr>
            <w:r>
              <w:t>10,087,378.60</w:t>
            </w:r>
          </w:p>
        </w:tc>
        <w:tc>
          <w:tcPr>
            <w:tcW w:w="632" w:type="pct"/>
            <w:tcBorders>
              <w:top w:val="single" w:sz="4" w:space="0" w:color="auto"/>
              <w:left w:val="single" w:sz="4" w:space="0" w:color="auto"/>
              <w:bottom w:val="single" w:sz="4" w:space="0" w:color="auto"/>
              <w:right w:val="single" w:sz="4" w:space="0" w:color="auto"/>
            </w:tcBorders>
          </w:tcPr>
          <w:p w14:paraId="0A5C3E39" w14:textId="77777777" w:rsidR="00E57DAA" w:rsidRDefault="00AC4185">
            <w:pPr>
              <w:autoSpaceDE w:val="0"/>
              <w:autoSpaceDN w:val="0"/>
              <w:adjustRightInd w:val="0"/>
              <w:jc w:val="right"/>
              <w:rPr>
                <w:szCs w:val="21"/>
              </w:rPr>
            </w:pPr>
            <w:r>
              <w:t>72,971.05</w:t>
            </w:r>
          </w:p>
        </w:tc>
        <w:tc>
          <w:tcPr>
            <w:tcW w:w="703" w:type="pct"/>
            <w:tcBorders>
              <w:top w:val="single" w:sz="4" w:space="0" w:color="auto"/>
              <w:left w:val="single" w:sz="4" w:space="0" w:color="auto"/>
              <w:bottom w:val="single" w:sz="4" w:space="0" w:color="auto"/>
              <w:right w:val="single" w:sz="4" w:space="0" w:color="auto"/>
            </w:tcBorders>
          </w:tcPr>
          <w:p w14:paraId="0FCBD7F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A28EE9B" w14:textId="77777777" w:rsidR="00E57DAA" w:rsidRDefault="00AC4185">
            <w:pPr>
              <w:autoSpaceDE w:val="0"/>
              <w:autoSpaceDN w:val="0"/>
              <w:adjustRightInd w:val="0"/>
              <w:jc w:val="right"/>
              <w:rPr>
                <w:szCs w:val="21"/>
              </w:rPr>
            </w:pPr>
            <w:r>
              <w:t xml:space="preserve">　</w:t>
            </w:r>
          </w:p>
        </w:tc>
      </w:tr>
      <w:tr w:rsidR="00E57DAA" w14:paraId="6408E522" w14:textId="77777777">
        <w:tc>
          <w:tcPr>
            <w:tcW w:w="677" w:type="pct"/>
            <w:tcBorders>
              <w:top w:val="single" w:sz="4" w:space="0" w:color="auto"/>
              <w:left w:val="single" w:sz="4" w:space="0" w:color="auto"/>
              <w:bottom w:val="single" w:sz="4" w:space="0" w:color="auto"/>
              <w:right w:val="single" w:sz="4" w:space="0" w:color="auto"/>
            </w:tcBorders>
            <w:vAlign w:val="center"/>
          </w:tcPr>
          <w:p w14:paraId="23DC7E0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CDC7B7B" w14:textId="77777777" w:rsidR="00E57DAA" w:rsidRDefault="00AC4185">
            <w:pPr>
              <w:autoSpaceDE w:val="0"/>
              <w:autoSpaceDN w:val="0"/>
              <w:adjustRightInd w:val="0"/>
              <w:rPr>
                <w:szCs w:val="21"/>
              </w:rPr>
            </w:pPr>
            <w:r>
              <w:t>中材株洲水泥有限责任公司</w:t>
            </w:r>
          </w:p>
        </w:tc>
        <w:tc>
          <w:tcPr>
            <w:tcW w:w="633" w:type="pct"/>
            <w:tcBorders>
              <w:top w:val="single" w:sz="4" w:space="0" w:color="auto"/>
              <w:left w:val="single" w:sz="4" w:space="0" w:color="auto"/>
              <w:bottom w:val="single" w:sz="4" w:space="0" w:color="auto"/>
              <w:right w:val="single" w:sz="4" w:space="0" w:color="auto"/>
            </w:tcBorders>
          </w:tcPr>
          <w:p w14:paraId="117A17D2" w14:textId="77777777" w:rsidR="00E57DAA" w:rsidRDefault="00AC4185">
            <w:pPr>
              <w:autoSpaceDE w:val="0"/>
              <w:autoSpaceDN w:val="0"/>
              <w:adjustRightInd w:val="0"/>
              <w:jc w:val="right"/>
              <w:rPr>
                <w:szCs w:val="21"/>
              </w:rPr>
            </w:pPr>
            <w:r>
              <w:t>9,747,515.27</w:t>
            </w:r>
          </w:p>
        </w:tc>
        <w:tc>
          <w:tcPr>
            <w:tcW w:w="632" w:type="pct"/>
            <w:tcBorders>
              <w:top w:val="single" w:sz="4" w:space="0" w:color="auto"/>
              <w:left w:val="single" w:sz="4" w:space="0" w:color="auto"/>
              <w:bottom w:val="single" w:sz="4" w:space="0" w:color="auto"/>
              <w:right w:val="single" w:sz="4" w:space="0" w:color="auto"/>
            </w:tcBorders>
          </w:tcPr>
          <w:p w14:paraId="13F0899D" w14:textId="77777777" w:rsidR="00E57DAA" w:rsidRDefault="00AC4185">
            <w:pPr>
              <w:autoSpaceDE w:val="0"/>
              <w:autoSpaceDN w:val="0"/>
              <w:adjustRightInd w:val="0"/>
              <w:jc w:val="right"/>
              <w:rPr>
                <w:szCs w:val="21"/>
              </w:rPr>
            </w:pPr>
            <w:r>
              <w:t>735,198.76</w:t>
            </w:r>
          </w:p>
        </w:tc>
        <w:tc>
          <w:tcPr>
            <w:tcW w:w="703" w:type="pct"/>
            <w:tcBorders>
              <w:top w:val="single" w:sz="4" w:space="0" w:color="auto"/>
              <w:left w:val="single" w:sz="4" w:space="0" w:color="auto"/>
              <w:bottom w:val="single" w:sz="4" w:space="0" w:color="auto"/>
              <w:right w:val="single" w:sz="4" w:space="0" w:color="auto"/>
            </w:tcBorders>
          </w:tcPr>
          <w:p w14:paraId="0DDC19F7" w14:textId="77777777" w:rsidR="00E57DAA" w:rsidRDefault="00AC4185">
            <w:pPr>
              <w:autoSpaceDE w:val="0"/>
              <w:autoSpaceDN w:val="0"/>
              <w:adjustRightInd w:val="0"/>
              <w:jc w:val="right"/>
              <w:rPr>
                <w:szCs w:val="21"/>
              </w:rPr>
            </w:pPr>
            <w:r>
              <w:t>12,751,785.66</w:t>
            </w:r>
          </w:p>
        </w:tc>
        <w:tc>
          <w:tcPr>
            <w:tcW w:w="914" w:type="pct"/>
            <w:tcBorders>
              <w:top w:val="single" w:sz="4" w:space="0" w:color="auto"/>
              <w:left w:val="single" w:sz="4" w:space="0" w:color="auto"/>
              <w:bottom w:val="single" w:sz="4" w:space="0" w:color="auto"/>
              <w:right w:val="single" w:sz="4" w:space="0" w:color="auto"/>
            </w:tcBorders>
          </w:tcPr>
          <w:p w14:paraId="4FDCC89C" w14:textId="77777777" w:rsidR="00E57DAA" w:rsidRDefault="00AC4185">
            <w:pPr>
              <w:autoSpaceDE w:val="0"/>
              <w:autoSpaceDN w:val="0"/>
              <w:adjustRightInd w:val="0"/>
              <w:jc w:val="right"/>
              <w:rPr>
                <w:szCs w:val="21"/>
              </w:rPr>
            </w:pPr>
            <w:r>
              <w:t>687,011.76</w:t>
            </w:r>
          </w:p>
        </w:tc>
      </w:tr>
      <w:tr w:rsidR="00E57DAA" w14:paraId="4C35D376" w14:textId="77777777">
        <w:tc>
          <w:tcPr>
            <w:tcW w:w="677" w:type="pct"/>
            <w:tcBorders>
              <w:top w:val="single" w:sz="4" w:space="0" w:color="auto"/>
              <w:left w:val="single" w:sz="4" w:space="0" w:color="auto"/>
              <w:bottom w:val="single" w:sz="4" w:space="0" w:color="auto"/>
              <w:right w:val="single" w:sz="4" w:space="0" w:color="auto"/>
            </w:tcBorders>
            <w:vAlign w:val="center"/>
          </w:tcPr>
          <w:p w14:paraId="444B28B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26696E8" w14:textId="77777777" w:rsidR="00E57DAA" w:rsidRDefault="00AC4185">
            <w:pPr>
              <w:autoSpaceDE w:val="0"/>
              <w:autoSpaceDN w:val="0"/>
              <w:adjustRightInd w:val="0"/>
              <w:rPr>
                <w:szCs w:val="21"/>
              </w:rPr>
            </w:pPr>
            <w:r>
              <w:t>云南远东水泥有限责任公司</w:t>
            </w:r>
          </w:p>
        </w:tc>
        <w:tc>
          <w:tcPr>
            <w:tcW w:w="633" w:type="pct"/>
            <w:tcBorders>
              <w:top w:val="single" w:sz="4" w:space="0" w:color="auto"/>
              <w:left w:val="single" w:sz="4" w:space="0" w:color="auto"/>
              <w:bottom w:val="single" w:sz="4" w:space="0" w:color="auto"/>
              <w:right w:val="single" w:sz="4" w:space="0" w:color="auto"/>
            </w:tcBorders>
          </w:tcPr>
          <w:p w14:paraId="04B7F742" w14:textId="77777777" w:rsidR="00E57DAA" w:rsidRDefault="00AC4185">
            <w:pPr>
              <w:autoSpaceDE w:val="0"/>
              <w:autoSpaceDN w:val="0"/>
              <w:adjustRightInd w:val="0"/>
              <w:jc w:val="right"/>
              <w:rPr>
                <w:szCs w:val="21"/>
              </w:rPr>
            </w:pPr>
            <w:r>
              <w:t>9,721,602.57</w:t>
            </w:r>
          </w:p>
        </w:tc>
        <w:tc>
          <w:tcPr>
            <w:tcW w:w="632" w:type="pct"/>
            <w:tcBorders>
              <w:top w:val="single" w:sz="4" w:space="0" w:color="auto"/>
              <w:left w:val="single" w:sz="4" w:space="0" w:color="auto"/>
              <w:bottom w:val="single" w:sz="4" w:space="0" w:color="auto"/>
              <w:right w:val="single" w:sz="4" w:space="0" w:color="auto"/>
            </w:tcBorders>
          </w:tcPr>
          <w:p w14:paraId="20956290" w14:textId="77777777" w:rsidR="00E57DAA" w:rsidRDefault="00AC4185">
            <w:pPr>
              <w:autoSpaceDE w:val="0"/>
              <w:autoSpaceDN w:val="0"/>
              <w:adjustRightInd w:val="0"/>
              <w:jc w:val="right"/>
              <w:rPr>
                <w:szCs w:val="21"/>
              </w:rPr>
            </w:pPr>
            <w:r>
              <w:t>793,809.57</w:t>
            </w:r>
          </w:p>
        </w:tc>
        <w:tc>
          <w:tcPr>
            <w:tcW w:w="703" w:type="pct"/>
            <w:tcBorders>
              <w:top w:val="single" w:sz="4" w:space="0" w:color="auto"/>
              <w:left w:val="single" w:sz="4" w:space="0" w:color="auto"/>
              <w:bottom w:val="single" w:sz="4" w:space="0" w:color="auto"/>
              <w:right w:val="single" w:sz="4" w:space="0" w:color="auto"/>
            </w:tcBorders>
          </w:tcPr>
          <w:p w14:paraId="1DF30203" w14:textId="77777777" w:rsidR="00E57DAA" w:rsidRDefault="00AC4185">
            <w:pPr>
              <w:autoSpaceDE w:val="0"/>
              <w:autoSpaceDN w:val="0"/>
              <w:adjustRightInd w:val="0"/>
              <w:jc w:val="right"/>
              <w:rPr>
                <w:szCs w:val="21"/>
              </w:rPr>
            </w:pPr>
            <w:r>
              <w:t>2,874,071.56</w:t>
            </w:r>
          </w:p>
        </w:tc>
        <w:tc>
          <w:tcPr>
            <w:tcW w:w="914" w:type="pct"/>
            <w:tcBorders>
              <w:top w:val="single" w:sz="4" w:space="0" w:color="auto"/>
              <w:left w:val="single" w:sz="4" w:space="0" w:color="auto"/>
              <w:bottom w:val="single" w:sz="4" w:space="0" w:color="auto"/>
              <w:right w:val="single" w:sz="4" w:space="0" w:color="auto"/>
            </w:tcBorders>
          </w:tcPr>
          <w:p w14:paraId="0EA0DC73" w14:textId="77777777" w:rsidR="00E57DAA" w:rsidRDefault="00AC4185">
            <w:pPr>
              <w:autoSpaceDE w:val="0"/>
              <w:autoSpaceDN w:val="0"/>
              <w:adjustRightInd w:val="0"/>
              <w:jc w:val="right"/>
              <w:rPr>
                <w:szCs w:val="21"/>
              </w:rPr>
            </w:pPr>
            <w:r>
              <w:t>273,003.58</w:t>
            </w:r>
          </w:p>
        </w:tc>
      </w:tr>
      <w:tr w:rsidR="00E57DAA" w14:paraId="442BB87A" w14:textId="77777777">
        <w:tc>
          <w:tcPr>
            <w:tcW w:w="677" w:type="pct"/>
            <w:tcBorders>
              <w:top w:val="single" w:sz="4" w:space="0" w:color="auto"/>
              <w:left w:val="single" w:sz="4" w:space="0" w:color="auto"/>
              <w:bottom w:val="single" w:sz="4" w:space="0" w:color="auto"/>
              <w:right w:val="single" w:sz="4" w:space="0" w:color="auto"/>
            </w:tcBorders>
            <w:vAlign w:val="center"/>
          </w:tcPr>
          <w:p w14:paraId="47FE2BB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E0AB47" w14:textId="77777777" w:rsidR="00E57DAA" w:rsidRDefault="00AC4185">
            <w:pPr>
              <w:autoSpaceDE w:val="0"/>
              <w:autoSpaceDN w:val="0"/>
              <w:adjustRightInd w:val="0"/>
              <w:rPr>
                <w:szCs w:val="21"/>
              </w:rPr>
            </w:pPr>
            <w:r>
              <w:t>江西永丰南方水泥有限公司</w:t>
            </w:r>
          </w:p>
        </w:tc>
        <w:tc>
          <w:tcPr>
            <w:tcW w:w="633" w:type="pct"/>
            <w:tcBorders>
              <w:top w:val="single" w:sz="4" w:space="0" w:color="auto"/>
              <w:left w:val="single" w:sz="4" w:space="0" w:color="auto"/>
              <w:bottom w:val="single" w:sz="4" w:space="0" w:color="auto"/>
              <w:right w:val="single" w:sz="4" w:space="0" w:color="auto"/>
            </w:tcBorders>
          </w:tcPr>
          <w:p w14:paraId="5217B6C8" w14:textId="77777777" w:rsidR="00E57DAA" w:rsidRDefault="00AC4185">
            <w:pPr>
              <w:autoSpaceDE w:val="0"/>
              <w:autoSpaceDN w:val="0"/>
              <w:adjustRightInd w:val="0"/>
              <w:jc w:val="right"/>
              <w:rPr>
                <w:szCs w:val="21"/>
              </w:rPr>
            </w:pPr>
            <w:r>
              <w:t>9,524,726.64</w:t>
            </w:r>
          </w:p>
        </w:tc>
        <w:tc>
          <w:tcPr>
            <w:tcW w:w="632" w:type="pct"/>
            <w:tcBorders>
              <w:top w:val="single" w:sz="4" w:space="0" w:color="auto"/>
              <w:left w:val="single" w:sz="4" w:space="0" w:color="auto"/>
              <w:bottom w:val="single" w:sz="4" w:space="0" w:color="auto"/>
              <w:right w:val="single" w:sz="4" w:space="0" w:color="auto"/>
            </w:tcBorders>
          </w:tcPr>
          <w:p w14:paraId="72CBF763" w14:textId="77777777" w:rsidR="00E57DAA" w:rsidRDefault="00AC4185">
            <w:pPr>
              <w:autoSpaceDE w:val="0"/>
              <w:autoSpaceDN w:val="0"/>
              <w:adjustRightInd w:val="0"/>
              <w:jc w:val="right"/>
              <w:rPr>
                <w:szCs w:val="21"/>
              </w:rPr>
            </w:pPr>
            <w:r>
              <w:t>1,051,014.42</w:t>
            </w:r>
          </w:p>
        </w:tc>
        <w:tc>
          <w:tcPr>
            <w:tcW w:w="703" w:type="pct"/>
            <w:tcBorders>
              <w:top w:val="single" w:sz="4" w:space="0" w:color="auto"/>
              <w:left w:val="single" w:sz="4" w:space="0" w:color="auto"/>
              <w:bottom w:val="single" w:sz="4" w:space="0" w:color="auto"/>
              <w:right w:val="single" w:sz="4" w:space="0" w:color="auto"/>
            </w:tcBorders>
          </w:tcPr>
          <w:p w14:paraId="15DE7DEA" w14:textId="77777777" w:rsidR="00E57DAA" w:rsidRDefault="00AC4185">
            <w:pPr>
              <w:autoSpaceDE w:val="0"/>
              <w:autoSpaceDN w:val="0"/>
              <w:adjustRightInd w:val="0"/>
              <w:jc w:val="right"/>
              <w:rPr>
                <w:szCs w:val="21"/>
              </w:rPr>
            </w:pPr>
            <w:r>
              <w:t>6,610,748.73</w:t>
            </w:r>
          </w:p>
        </w:tc>
        <w:tc>
          <w:tcPr>
            <w:tcW w:w="914" w:type="pct"/>
            <w:tcBorders>
              <w:top w:val="single" w:sz="4" w:space="0" w:color="auto"/>
              <w:left w:val="single" w:sz="4" w:space="0" w:color="auto"/>
              <w:bottom w:val="single" w:sz="4" w:space="0" w:color="auto"/>
              <w:right w:val="single" w:sz="4" w:space="0" w:color="auto"/>
            </w:tcBorders>
          </w:tcPr>
          <w:p w14:paraId="139131AF" w14:textId="77777777" w:rsidR="00E57DAA" w:rsidRDefault="00AC4185">
            <w:pPr>
              <w:autoSpaceDE w:val="0"/>
              <w:autoSpaceDN w:val="0"/>
              <w:adjustRightInd w:val="0"/>
              <w:jc w:val="right"/>
              <w:rPr>
                <w:szCs w:val="21"/>
              </w:rPr>
            </w:pPr>
            <w:r>
              <w:t>920,299.75</w:t>
            </w:r>
          </w:p>
        </w:tc>
      </w:tr>
      <w:tr w:rsidR="00E57DAA" w14:paraId="63274416" w14:textId="77777777">
        <w:tc>
          <w:tcPr>
            <w:tcW w:w="677" w:type="pct"/>
            <w:tcBorders>
              <w:top w:val="single" w:sz="4" w:space="0" w:color="auto"/>
              <w:left w:val="single" w:sz="4" w:space="0" w:color="auto"/>
              <w:bottom w:val="single" w:sz="4" w:space="0" w:color="auto"/>
              <w:right w:val="single" w:sz="4" w:space="0" w:color="auto"/>
            </w:tcBorders>
            <w:vAlign w:val="center"/>
          </w:tcPr>
          <w:p w14:paraId="5C50F91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9718A61" w14:textId="77777777" w:rsidR="00E57DAA" w:rsidRDefault="00AC4185">
            <w:pPr>
              <w:autoSpaceDE w:val="0"/>
              <w:autoSpaceDN w:val="0"/>
              <w:adjustRightInd w:val="0"/>
              <w:rPr>
                <w:szCs w:val="21"/>
              </w:rPr>
            </w:pPr>
            <w:r>
              <w:t>莒县中联水泥有限公司</w:t>
            </w:r>
          </w:p>
        </w:tc>
        <w:tc>
          <w:tcPr>
            <w:tcW w:w="633" w:type="pct"/>
            <w:tcBorders>
              <w:top w:val="single" w:sz="4" w:space="0" w:color="auto"/>
              <w:left w:val="single" w:sz="4" w:space="0" w:color="auto"/>
              <w:bottom w:val="single" w:sz="4" w:space="0" w:color="auto"/>
              <w:right w:val="single" w:sz="4" w:space="0" w:color="auto"/>
            </w:tcBorders>
          </w:tcPr>
          <w:p w14:paraId="03D6719A" w14:textId="77777777" w:rsidR="00E57DAA" w:rsidRDefault="00AC4185">
            <w:pPr>
              <w:autoSpaceDE w:val="0"/>
              <w:autoSpaceDN w:val="0"/>
              <w:adjustRightInd w:val="0"/>
              <w:jc w:val="right"/>
              <w:rPr>
                <w:szCs w:val="21"/>
              </w:rPr>
            </w:pPr>
            <w:r>
              <w:t>9,179,562.44</w:t>
            </w:r>
          </w:p>
        </w:tc>
        <w:tc>
          <w:tcPr>
            <w:tcW w:w="632" w:type="pct"/>
            <w:tcBorders>
              <w:top w:val="single" w:sz="4" w:space="0" w:color="auto"/>
              <w:left w:val="single" w:sz="4" w:space="0" w:color="auto"/>
              <w:bottom w:val="single" w:sz="4" w:space="0" w:color="auto"/>
              <w:right w:val="single" w:sz="4" w:space="0" w:color="auto"/>
            </w:tcBorders>
          </w:tcPr>
          <w:p w14:paraId="54D0C390" w14:textId="77777777" w:rsidR="00E57DAA" w:rsidRDefault="00AC4185">
            <w:pPr>
              <w:autoSpaceDE w:val="0"/>
              <w:autoSpaceDN w:val="0"/>
              <w:adjustRightInd w:val="0"/>
              <w:jc w:val="right"/>
              <w:rPr>
                <w:szCs w:val="21"/>
              </w:rPr>
            </w:pPr>
            <w:r>
              <w:t>52,382.55</w:t>
            </w:r>
          </w:p>
        </w:tc>
        <w:tc>
          <w:tcPr>
            <w:tcW w:w="703" w:type="pct"/>
            <w:tcBorders>
              <w:top w:val="single" w:sz="4" w:space="0" w:color="auto"/>
              <w:left w:val="single" w:sz="4" w:space="0" w:color="auto"/>
              <w:bottom w:val="single" w:sz="4" w:space="0" w:color="auto"/>
              <w:right w:val="single" w:sz="4" w:space="0" w:color="auto"/>
            </w:tcBorders>
          </w:tcPr>
          <w:p w14:paraId="67EB4201" w14:textId="77777777" w:rsidR="00E57DAA" w:rsidRDefault="00AC4185">
            <w:pPr>
              <w:autoSpaceDE w:val="0"/>
              <w:autoSpaceDN w:val="0"/>
              <w:adjustRightInd w:val="0"/>
              <w:jc w:val="right"/>
              <w:rPr>
                <w:szCs w:val="21"/>
              </w:rPr>
            </w:pPr>
            <w:r>
              <w:t>2,143,280.00</w:t>
            </w:r>
          </w:p>
        </w:tc>
        <w:tc>
          <w:tcPr>
            <w:tcW w:w="914" w:type="pct"/>
            <w:tcBorders>
              <w:top w:val="single" w:sz="4" w:space="0" w:color="auto"/>
              <w:left w:val="single" w:sz="4" w:space="0" w:color="auto"/>
              <w:bottom w:val="single" w:sz="4" w:space="0" w:color="auto"/>
              <w:right w:val="single" w:sz="4" w:space="0" w:color="auto"/>
            </w:tcBorders>
          </w:tcPr>
          <w:p w14:paraId="47500045" w14:textId="77777777" w:rsidR="00E57DAA" w:rsidRDefault="00AC4185">
            <w:pPr>
              <w:autoSpaceDE w:val="0"/>
              <w:autoSpaceDN w:val="0"/>
              <w:adjustRightInd w:val="0"/>
              <w:jc w:val="right"/>
              <w:rPr>
                <w:szCs w:val="21"/>
              </w:rPr>
            </w:pPr>
            <w:r>
              <w:t>98,484.20</w:t>
            </w:r>
          </w:p>
        </w:tc>
      </w:tr>
      <w:tr w:rsidR="00E57DAA" w14:paraId="468C8C45" w14:textId="77777777">
        <w:tc>
          <w:tcPr>
            <w:tcW w:w="677" w:type="pct"/>
            <w:tcBorders>
              <w:top w:val="single" w:sz="4" w:space="0" w:color="auto"/>
              <w:left w:val="single" w:sz="4" w:space="0" w:color="auto"/>
              <w:bottom w:val="single" w:sz="4" w:space="0" w:color="auto"/>
              <w:right w:val="single" w:sz="4" w:space="0" w:color="auto"/>
            </w:tcBorders>
            <w:vAlign w:val="center"/>
          </w:tcPr>
          <w:p w14:paraId="746BE4D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A371F0A" w14:textId="77777777" w:rsidR="00E57DAA" w:rsidRDefault="00AC4185">
            <w:pPr>
              <w:autoSpaceDE w:val="0"/>
              <w:autoSpaceDN w:val="0"/>
              <w:adjustRightInd w:val="0"/>
              <w:rPr>
                <w:szCs w:val="21"/>
              </w:rPr>
            </w:pPr>
            <w:r>
              <w:t>南京中联水泥有限公司</w:t>
            </w:r>
          </w:p>
        </w:tc>
        <w:tc>
          <w:tcPr>
            <w:tcW w:w="633" w:type="pct"/>
            <w:tcBorders>
              <w:top w:val="single" w:sz="4" w:space="0" w:color="auto"/>
              <w:left w:val="single" w:sz="4" w:space="0" w:color="auto"/>
              <w:bottom w:val="single" w:sz="4" w:space="0" w:color="auto"/>
              <w:right w:val="single" w:sz="4" w:space="0" w:color="auto"/>
            </w:tcBorders>
          </w:tcPr>
          <w:p w14:paraId="5FAEA41D" w14:textId="77777777" w:rsidR="00E57DAA" w:rsidRDefault="00AC4185">
            <w:pPr>
              <w:autoSpaceDE w:val="0"/>
              <w:autoSpaceDN w:val="0"/>
              <w:adjustRightInd w:val="0"/>
              <w:jc w:val="right"/>
              <w:rPr>
                <w:szCs w:val="21"/>
              </w:rPr>
            </w:pPr>
            <w:r>
              <w:t>9,086,405.20</w:t>
            </w:r>
          </w:p>
        </w:tc>
        <w:tc>
          <w:tcPr>
            <w:tcW w:w="632" w:type="pct"/>
            <w:tcBorders>
              <w:top w:val="single" w:sz="4" w:space="0" w:color="auto"/>
              <w:left w:val="single" w:sz="4" w:space="0" w:color="auto"/>
              <w:bottom w:val="single" w:sz="4" w:space="0" w:color="auto"/>
              <w:right w:val="single" w:sz="4" w:space="0" w:color="auto"/>
            </w:tcBorders>
          </w:tcPr>
          <w:p w14:paraId="49DAD270" w14:textId="77777777" w:rsidR="00E57DAA" w:rsidRDefault="00AC4185">
            <w:pPr>
              <w:autoSpaceDE w:val="0"/>
              <w:autoSpaceDN w:val="0"/>
              <w:adjustRightInd w:val="0"/>
              <w:jc w:val="right"/>
              <w:rPr>
                <w:szCs w:val="21"/>
              </w:rPr>
            </w:pPr>
            <w:r>
              <w:t>191,395.23</w:t>
            </w:r>
          </w:p>
        </w:tc>
        <w:tc>
          <w:tcPr>
            <w:tcW w:w="703" w:type="pct"/>
            <w:tcBorders>
              <w:top w:val="single" w:sz="4" w:space="0" w:color="auto"/>
              <w:left w:val="single" w:sz="4" w:space="0" w:color="auto"/>
              <w:bottom w:val="single" w:sz="4" w:space="0" w:color="auto"/>
              <w:right w:val="single" w:sz="4" w:space="0" w:color="auto"/>
            </w:tcBorders>
          </w:tcPr>
          <w:p w14:paraId="6AC7EDB9" w14:textId="77777777" w:rsidR="00E57DAA" w:rsidRDefault="00AC4185">
            <w:pPr>
              <w:autoSpaceDE w:val="0"/>
              <w:autoSpaceDN w:val="0"/>
              <w:adjustRightInd w:val="0"/>
              <w:jc w:val="right"/>
              <w:rPr>
                <w:szCs w:val="21"/>
              </w:rPr>
            </w:pPr>
            <w:r>
              <w:t>4,043,975.28</w:t>
            </w:r>
          </w:p>
        </w:tc>
        <w:tc>
          <w:tcPr>
            <w:tcW w:w="914" w:type="pct"/>
            <w:tcBorders>
              <w:top w:val="single" w:sz="4" w:space="0" w:color="auto"/>
              <w:left w:val="single" w:sz="4" w:space="0" w:color="auto"/>
              <w:bottom w:val="single" w:sz="4" w:space="0" w:color="auto"/>
              <w:right w:val="single" w:sz="4" w:space="0" w:color="auto"/>
            </w:tcBorders>
          </w:tcPr>
          <w:p w14:paraId="12F7C6A6" w14:textId="77777777" w:rsidR="00E57DAA" w:rsidRDefault="00AC4185">
            <w:pPr>
              <w:autoSpaceDE w:val="0"/>
              <w:autoSpaceDN w:val="0"/>
              <w:adjustRightInd w:val="0"/>
              <w:jc w:val="right"/>
              <w:rPr>
                <w:szCs w:val="21"/>
              </w:rPr>
            </w:pPr>
            <w:r>
              <w:t>55,160.00</w:t>
            </w:r>
          </w:p>
        </w:tc>
      </w:tr>
      <w:tr w:rsidR="00E57DAA" w14:paraId="174D2A55" w14:textId="77777777">
        <w:tc>
          <w:tcPr>
            <w:tcW w:w="677" w:type="pct"/>
            <w:tcBorders>
              <w:top w:val="single" w:sz="4" w:space="0" w:color="auto"/>
              <w:left w:val="single" w:sz="4" w:space="0" w:color="auto"/>
              <w:bottom w:val="single" w:sz="4" w:space="0" w:color="auto"/>
              <w:right w:val="single" w:sz="4" w:space="0" w:color="auto"/>
            </w:tcBorders>
            <w:vAlign w:val="center"/>
          </w:tcPr>
          <w:p w14:paraId="18EE153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0B1039A" w14:textId="77777777" w:rsidR="00E57DAA" w:rsidRDefault="00AC4185">
            <w:pPr>
              <w:autoSpaceDE w:val="0"/>
              <w:autoSpaceDN w:val="0"/>
              <w:adjustRightInd w:val="0"/>
              <w:rPr>
                <w:szCs w:val="21"/>
              </w:rPr>
            </w:pPr>
            <w:proofErr w:type="spellStart"/>
            <w:r>
              <w:t>MpandeLimestoneLimited</w:t>
            </w:r>
            <w:proofErr w:type="spellEnd"/>
          </w:p>
        </w:tc>
        <w:tc>
          <w:tcPr>
            <w:tcW w:w="633" w:type="pct"/>
            <w:tcBorders>
              <w:top w:val="single" w:sz="4" w:space="0" w:color="auto"/>
              <w:left w:val="single" w:sz="4" w:space="0" w:color="auto"/>
              <w:bottom w:val="single" w:sz="4" w:space="0" w:color="auto"/>
              <w:right w:val="single" w:sz="4" w:space="0" w:color="auto"/>
            </w:tcBorders>
          </w:tcPr>
          <w:p w14:paraId="21E3E0E5" w14:textId="77777777" w:rsidR="00E57DAA" w:rsidRDefault="00AC4185">
            <w:pPr>
              <w:autoSpaceDE w:val="0"/>
              <w:autoSpaceDN w:val="0"/>
              <w:adjustRightInd w:val="0"/>
              <w:jc w:val="right"/>
              <w:rPr>
                <w:szCs w:val="21"/>
              </w:rPr>
            </w:pPr>
            <w:r>
              <w:t>9,077,151.02</w:t>
            </w:r>
          </w:p>
        </w:tc>
        <w:tc>
          <w:tcPr>
            <w:tcW w:w="632" w:type="pct"/>
            <w:tcBorders>
              <w:top w:val="single" w:sz="4" w:space="0" w:color="auto"/>
              <w:left w:val="single" w:sz="4" w:space="0" w:color="auto"/>
              <w:bottom w:val="single" w:sz="4" w:space="0" w:color="auto"/>
              <w:right w:val="single" w:sz="4" w:space="0" w:color="auto"/>
            </w:tcBorders>
          </w:tcPr>
          <w:p w14:paraId="3E3782A4" w14:textId="77777777" w:rsidR="00E57DAA" w:rsidRDefault="00AC4185">
            <w:pPr>
              <w:autoSpaceDE w:val="0"/>
              <w:autoSpaceDN w:val="0"/>
              <w:adjustRightInd w:val="0"/>
              <w:jc w:val="right"/>
              <w:rPr>
                <w:szCs w:val="21"/>
              </w:rPr>
            </w:pPr>
            <w:r>
              <w:t>215,128.48</w:t>
            </w:r>
          </w:p>
        </w:tc>
        <w:tc>
          <w:tcPr>
            <w:tcW w:w="703" w:type="pct"/>
            <w:tcBorders>
              <w:top w:val="single" w:sz="4" w:space="0" w:color="auto"/>
              <w:left w:val="single" w:sz="4" w:space="0" w:color="auto"/>
              <w:bottom w:val="single" w:sz="4" w:space="0" w:color="auto"/>
              <w:right w:val="single" w:sz="4" w:space="0" w:color="auto"/>
            </w:tcBorders>
          </w:tcPr>
          <w:p w14:paraId="729B9D9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6F88683" w14:textId="77777777" w:rsidR="00E57DAA" w:rsidRDefault="00AC4185">
            <w:pPr>
              <w:autoSpaceDE w:val="0"/>
              <w:autoSpaceDN w:val="0"/>
              <w:adjustRightInd w:val="0"/>
              <w:jc w:val="right"/>
              <w:rPr>
                <w:szCs w:val="21"/>
              </w:rPr>
            </w:pPr>
            <w:r>
              <w:t xml:space="preserve">　</w:t>
            </w:r>
          </w:p>
        </w:tc>
      </w:tr>
      <w:tr w:rsidR="00E57DAA" w14:paraId="6CC9A081" w14:textId="77777777">
        <w:tc>
          <w:tcPr>
            <w:tcW w:w="677" w:type="pct"/>
            <w:tcBorders>
              <w:top w:val="single" w:sz="4" w:space="0" w:color="auto"/>
              <w:left w:val="single" w:sz="4" w:space="0" w:color="auto"/>
              <w:bottom w:val="single" w:sz="4" w:space="0" w:color="auto"/>
              <w:right w:val="single" w:sz="4" w:space="0" w:color="auto"/>
            </w:tcBorders>
            <w:vAlign w:val="center"/>
          </w:tcPr>
          <w:p w14:paraId="065DB11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35F40EE" w14:textId="77777777" w:rsidR="00E57DAA" w:rsidRDefault="00AC4185">
            <w:pPr>
              <w:autoSpaceDE w:val="0"/>
              <w:autoSpaceDN w:val="0"/>
              <w:adjustRightInd w:val="0"/>
              <w:rPr>
                <w:szCs w:val="21"/>
              </w:rPr>
            </w:pPr>
            <w:r>
              <w:t>遵义赛德水泥有限公司</w:t>
            </w:r>
          </w:p>
        </w:tc>
        <w:tc>
          <w:tcPr>
            <w:tcW w:w="633" w:type="pct"/>
            <w:tcBorders>
              <w:top w:val="single" w:sz="4" w:space="0" w:color="auto"/>
              <w:left w:val="single" w:sz="4" w:space="0" w:color="auto"/>
              <w:bottom w:val="single" w:sz="4" w:space="0" w:color="auto"/>
              <w:right w:val="single" w:sz="4" w:space="0" w:color="auto"/>
            </w:tcBorders>
          </w:tcPr>
          <w:p w14:paraId="084ABD2F" w14:textId="77777777" w:rsidR="00E57DAA" w:rsidRDefault="00AC4185">
            <w:pPr>
              <w:autoSpaceDE w:val="0"/>
              <w:autoSpaceDN w:val="0"/>
              <w:adjustRightInd w:val="0"/>
              <w:jc w:val="right"/>
              <w:rPr>
                <w:szCs w:val="21"/>
              </w:rPr>
            </w:pPr>
            <w:r>
              <w:t>8,966,460.72</w:t>
            </w:r>
          </w:p>
        </w:tc>
        <w:tc>
          <w:tcPr>
            <w:tcW w:w="632" w:type="pct"/>
            <w:tcBorders>
              <w:top w:val="single" w:sz="4" w:space="0" w:color="auto"/>
              <w:left w:val="single" w:sz="4" w:space="0" w:color="auto"/>
              <w:bottom w:val="single" w:sz="4" w:space="0" w:color="auto"/>
              <w:right w:val="single" w:sz="4" w:space="0" w:color="auto"/>
            </w:tcBorders>
          </w:tcPr>
          <w:p w14:paraId="36487BEE" w14:textId="77777777" w:rsidR="00E57DAA" w:rsidRDefault="00AC4185">
            <w:pPr>
              <w:autoSpaceDE w:val="0"/>
              <w:autoSpaceDN w:val="0"/>
              <w:adjustRightInd w:val="0"/>
              <w:jc w:val="right"/>
              <w:rPr>
                <w:szCs w:val="21"/>
              </w:rPr>
            </w:pPr>
            <w:r>
              <w:t>66,792.84</w:t>
            </w:r>
          </w:p>
        </w:tc>
        <w:tc>
          <w:tcPr>
            <w:tcW w:w="703" w:type="pct"/>
            <w:tcBorders>
              <w:top w:val="single" w:sz="4" w:space="0" w:color="auto"/>
              <w:left w:val="single" w:sz="4" w:space="0" w:color="auto"/>
              <w:bottom w:val="single" w:sz="4" w:space="0" w:color="auto"/>
              <w:right w:val="single" w:sz="4" w:space="0" w:color="auto"/>
            </w:tcBorders>
          </w:tcPr>
          <w:p w14:paraId="15C73AB9" w14:textId="77777777" w:rsidR="00E57DAA" w:rsidRDefault="00AC4185">
            <w:pPr>
              <w:autoSpaceDE w:val="0"/>
              <w:autoSpaceDN w:val="0"/>
              <w:adjustRightInd w:val="0"/>
              <w:jc w:val="right"/>
              <w:rPr>
                <w:szCs w:val="21"/>
              </w:rPr>
            </w:pPr>
            <w:r>
              <w:t>4,752,114.14</w:t>
            </w:r>
          </w:p>
        </w:tc>
        <w:tc>
          <w:tcPr>
            <w:tcW w:w="914" w:type="pct"/>
            <w:tcBorders>
              <w:top w:val="single" w:sz="4" w:space="0" w:color="auto"/>
              <w:left w:val="single" w:sz="4" w:space="0" w:color="auto"/>
              <w:bottom w:val="single" w:sz="4" w:space="0" w:color="auto"/>
              <w:right w:val="single" w:sz="4" w:space="0" w:color="auto"/>
            </w:tcBorders>
          </w:tcPr>
          <w:p w14:paraId="172475D8" w14:textId="77777777" w:rsidR="00E57DAA" w:rsidRDefault="00AC4185">
            <w:pPr>
              <w:autoSpaceDE w:val="0"/>
              <w:autoSpaceDN w:val="0"/>
              <w:adjustRightInd w:val="0"/>
              <w:jc w:val="right"/>
              <w:rPr>
                <w:szCs w:val="21"/>
              </w:rPr>
            </w:pPr>
            <w:r>
              <w:t>30,614.06</w:t>
            </w:r>
          </w:p>
        </w:tc>
      </w:tr>
      <w:tr w:rsidR="00E57DAA" w14:paraId="104D6F40" w14:textId="77777777">
        <w:tc>
          <w:tcPr>
            <w:tcW w:w="677" w:type="pct"/>
            <w:tcBorders>
              <w:top w:val="single" w:sz="4" w:space="0" w:color="auto"/>
              <w:left w:val="single" w:sz="4" w:space="0" w:color="auto"/>
              <w:bottom w:val="single" w:sz="4" w:space="0" w:color="auto"/>
              <w:right w:val="single" w:sz="4" w:space="0" w:color="auto"/>
            </w:tcBorders>
            <w:vAlign w:val="center"/>
          </w:tcPr>
          <w:p w14:paraId="0E1F682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5EC752A" w14:textId="77777777" w:rsidR="00E57DAA" w:rsidRDefault="00AC4185">
            <w:pPr>
              <w:autoSpaceDE w:val="0"/>
              <w:autoSpaceDN w:val="0"/>
              <w:adjustRightInd w:val="0"/>
              <w:rPr>
                <w:szCs w:val="21"/>
              </w:rPr>
            </w:pPr>
            <w:r>
              <w:t>哈密天山水泥有限责任公司</w:t>
            </w:r>
          </w:p>
        </w:tc>
        <w:tc>
          <w:tcPr>
            <w:tcW w:w="633" w:type="pct"/>
            <w:tcBorders>
              <w:top w:val="single" w:sz="4" w:space="0" w:color="auto"/>
              <w:left w:val="single" w:sz="4" w:space="0" w:color="auto"/>
              <w:bottom w:val="single" w:sz="4" w:space="0" w:color="auto"/>
              <w:right w:val="single" w:sz="4" w:space="0" w:color="auto"/>
            </w:tcBorders>
          </w:tcPr>
          <w:p w14:paraId="3B57BEE6" w14:textId="77777777" w:rsidR="00E57DAA" w:rsidRDefault="00AC4185">
            <w:pPr>
              <w:autoSpaceDE w:val="0"/>
              <w:autoSpaceDN w:val="0"/>
              <w:adjustRightInd w:val="0"/>
              <w:jc w:val="right"/>
              <w:rPr>
                <w:szCs w:val="21"/>
              </w:rPr>
            </w:pPr>
            <w:r>
              <w:t>8,879,554.85</w:t>
            </w:r>
          </w:p>
        </w:tc>
        <w:tc>
          <w:tcPr>
            <w:tcW w:w="632" w:type="pct"/>
            <w:tcBorders>
              <w:top w:val="single" w:sz="4" w:space="0" w:color="auto"/>
              <w:left w:val="single" w:sz="4" w:space="0" w:color="auto"/>
              <w:bottom w:val="single" w:sz="4" w:space="0" w:color="auto"/>
              <w:right w:val="single" w:sz="4" w:space="0" w:color="auto"/>
            </w:tcBorders>
          </w:tcPr>
          <w:p w14:paraId="304353F3" w14:textId="77777777" w:rsidR="00E57DAA" w:rsidRDefault="00AC4185">
            <w:pPr>
              <w:autoSpaceDE w:val="0"/>
              <w:autoSpaceDN w:val="0"/>
              <w:adjustRightInd w:val="0"/>
              <w:jc w:val="right"/>
              <w:rPr>
                <w:szCs w:val="21"/>
              </w:rPr>
            </w:pPr>
            <w:r>
              <w:t>39,126.67</w:t>
            </w:r>
          </w:p>
        </w:tc>
        <w:tc>
          <w:tcPr>
            <w:tcW w:w="703" w:type="pct"/>
            <w:tcBorders>
              <w:top w:val="single" w:sz="4" w:space="0" w:color="auto"/>
              <w:left w:val="single" w:sz="4" w:space="0" w:color="auto"/>
              <w:bottom w:val="single" w:sz="4" w:space="0" w:color="auto"/>
              <w:right w:val="single" w:sz="4" w:space="0" w:color="auto"/>
            </w:tcBorders>
          </w:tcPr>
          <w:p w14:paraId="21F85550" w14:textId="77777777" w:rsidR="00E57DAA" w:rsidRDefault="00AC4185">
            <w:pPr>
              <w:autoSpaceDE w:val="0"/>
              <w:autoSpaceDN w:val="0"/>
              <w:adjustRightInd w:val="0"/>
              <w:jc w:val="right"/>
              <w:rPr>
                <w:szCs w:val="21"/>
              </w:rPr>
            </w:pPr>
            <w:r>
              <w:t>3,282,838.37</w:t>
            </w:r>
          </w:p>
        </w:tc>
        <w:tc>
          <w:tcPr>
            <w:tcW w:w="914" w:type="pct"/>
            <w:tcBorders>
              <w:top w:val="single" w:sz="4" w:space="0" w:color="auto"/>
              <w:left w:val="single" w:sz="4" w:space="0" w:color="auto"/>
              <w:bottom w:val="single" w:sz="4" w:space="0" w:color="auto"/>
              <w:right w:val="single" w:sz="4" w:space="0" w:color="auto"/>
            </w:tcBorders>
          </w:tcPr>
          <w:p w14:paraId="4EEDB534" w14:textId="77777777" w:rsidR="00E57DAA" w:rsidRDefault="00AC4185">
            <w:pPr>
              <w:autoSpaceDE w:val="0"/>
              <w:autoSpaceDN w:val="0"/>
              <w:adjustRightInd w:val="0"/>
              <w:jc w:val="right"/>
              <w:rPr>
                <w:szCs w:val="21"/>
              </w:rPr>
            </w:pPr>
            <w:r>
              <w:t>8,300.60</w:t>
            </w:r>
          </w:p>
        </w:tc>
      </w:tr>
      <w:tr w:rsidR="00E57DAA" w14:paraId="1FF7E3DA" w14:textId="77777777">
        <w:tc>
          <w:tcPr>
            <w:tcW w:w="677" w:type="pct"/>
            <w:tcBorders>
              <w:top w:val="single" w:sz="4" w:space="0" w:color="auto"/>
              <w:left w:val="single" w:sz="4" w:space="0" w:color="auto"/>
              <w:bottom w:val="single" w:sz="4" w:space="0" w:color="auto"/>
              <w:right w:val="single" w:sz="4" w:space="0" w:color="auto"/>
            </w:tcBorders>
            <w:vAlign w:val="center"/>
          </w:tcPr>
          <w:p w14:paraId="05B1982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92803D1" w14:textId="77777777" w:rsidR="00E57DAA" w:rsidRDefault="00AC4185">
            <w:pPr>
              <w:autoSpaceDE w:val="0"/>
              <w:autoSpaceDN w:val="0"/>
              <w:adjustRightInd w:val="0"/>
              <w:rPr>
                <w:szCs w:val="21"/>
              </w:rPr>
            </w:pPr>
            <w:r>
              <w:t>安阳中联水泥有限公司</w:t>
            </w:r>
          </w:p>
        </w:tc>
        <w:tc>
          <w:tcPr>
            <w:tcW w:w="633" w:type="pct"/>
            <w:tcBorders>
              <w:top w:val="single" w:sz="4" w:space="0" w:color="auto"/>
              <w:left w:val="single" w:sz="4" w:space="0" w:color="auto"/>
              <w:bottom w:val="single" w:sz="4" w:space="0" w:color="auto"/>
              <w:right w:val="single" w:sz="4" w:space="0" w:color="auto"/>
            </w:tcBorders>
          </w:tcPr>
          <w:p w14:paraId="5F271A01" w14:textId="77777777" w:rsidR="00E57DAA" w:rsidRDefault="00AC4185">
            <w:pPr>
              <w:autoSpaceDE w:val="0"/>
              <w:autoSpaceDN w:val="0"/>
              <w:adjustRightInd w:val="0"/>
              <w:jc w:val="right"/>
              <w:rPr>
                <w:szCs w:val="21"/>
              </w:rPr>
            </w:pPr>
            <w:r>
              <w:t>8,848,000.00</w:t>
            </w:r>
          </w:p>
        </w:tc>
        <w:tc>
          <w:tcPr>
            <w:tcW w:w="632" w:type="pct"/>
            <w:tcBorders>
              <w:top w:val="single" w:sz="4" w:space="0" w:color="auto"/>
              <w:left w:val="single" w:sz="4" w:space="0" w:color="auto"/>
              <w:bottom w:val="single" w:sz="4" w:space="0" w:color="auto"/>
              <w:right w:val="single" w:sz="4" w:space="0" w:color="auto"/>
            </w:tcBorders>
          </w:tcPr>
          <w:p w14:paraId="7A1D713A" w14:textId="77777777" w:rsidR="00E57DAA" w:rsidRDefault="00AC4185">
            <w:pPr>
              <w:autoSpaceDE w:val="0"/>
              <w:autoSpaceDN w:val="0"/>
              <w:adjustRightInd w:val="0"/>
              <w:jc w:val="right"/>
              <w:rPr>
                <w:szCs w:val="21"/>
              </w:rPr>
            </w:pPr>
            <w:r>
              <w:t>396,183.20</w:t>
            </w:r>
          </w:p>
        </w:tc>
        <w:tc>
          <w:tcPr>
            <w:tcW w:w="703" w:type="pct"/>
            <w:tcBorders>
              <w:top w:val="single" w:sz="4" w:space="0" w:color="auto"/>
              <w:left w:val="single" w:sz="4" w:space="0" w:color="auto"/>
              <w:bottom w:val="single" w:sz="4" w:space="0" w:color="auto"/>
              <w:right w:val="single" w:sz="4" w:space="0" w:color="auto"/>
            </w:tcBorders>
          </w:tcPr>
          <w:p w14:paraId="568DA83E" w14:textId="77777777" w:rsidR="00E57DAA" w:rsidRDefault="00AC4185">
            <w:pPr>
              <w:autoSpaceDE w:val="0"/>
              <w:autoSpaceDN w:val="0"/>
              <w:adjustRightInd w:val="0"/>
              <w:jc w:val="right"/>
              <w:rPr>
                <w:szCs w:val="21"/>
              </w:rPr>
            </w:pPr>
            <w:r>
              <w:t>7,680,000.00</w:t>
            </w:r>
          </w:p>
        </w:tc>
        <w:tc>
          <w:tcPr>
            <w:tcW w:w="914" w:type="pct"/>
            <w:tcBorders>
              <w:top w:val="single" w:sz="4" w:space="0" w:color="auto"/>
              <w:left w:val="single" w:sz="4" w:space="0" w:color="auto"/>
              <w:bottom w:val="single" w:sz="4" w:space="0" w:color="auto"/>
              <w:right w:val="single" w:sz="4" w:space="0" w:color="auto"/>
            </w:tcBorders>
          </w:tcPr>
          <w:p w14:paraId="137C3B34" w14:textId="77777777" w:rsidR="00E57DAA" w:rsidRDefault="00AC4185">
            <w:pPr>
              <w:autoSpaceDE w:val="0"/>
              <w:autoSpaceDN w:val="0"/>
              <w:adjustRightInd w:val="0"/>
              <w:jc w:val="right"/>
              <w:rPr>
                <w:szCs w:val="21"/>
              </w:rPr>
            </w:pPr>
            <w:r>
              <w:t>182,016.00</w:t>
            </w:r>
          </w:p>
        </w:tc>
      </w:tr>
      <w:tr w:rsidR="00E57DAA" w14:paraId="7BBFDEE1" w14:textId="77777777">
        <w:tc>
          <w:tcPr>
            <w:tcW w:w="677" w:type="pct"/>
            <w:tcBorders>
              <w:top w:val="single" w:sz="4" w:space="0" w:color="auto"/>
              <w:left w:val="single" w:sz="4" w:space="0" w:color="auto"/>
              <w:bottom w:val="single" w:sz="4" w:space="0" w:color="auto"/>
              <w:right w:val="single" w:sz="4" w:space="0" w:color="auto"/>
            </w:tcBorders>
            <w:vAlign w:val="center"/>
          </w:tcPr>
          <w:p w14:paraId="03ECF14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EFC991" w14:textId="77777777" w:rsidR="00E57DAA" w:rsidRDefault="00AC4185">
            <w:pPr>
              <w:autoSpaceDE w:val="0"/>
              <w:autoSpaceDN w:val="0"/>
              <w:adjustRightInd w:val="0"/>
              <w:rPr>
                <w:szCs w:val="21"/>
              </w:rPr>
            </w:pPr>
            <w:r>
              <w:t>新疆阜康天山水泥有限责任公司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11484B0" w14:textId="77777777" w:rsidR="00E57DAA" w:rsidRDefault="00AC4185">
            <w:pPr>
              <w:autoSpaceDE w:val="0"/>
              <w:autoSpaceDN w:val="0"/>
              <w:adjustRightInd w:val="0"/>
              <w:jc w:val="right"/>
              <w:rPr>
                <w:szCs w:val="21"/>
              </w:rPr>
            </w:pPr>
            <w:r>
              <w:t>9,458,995.71</w:t>
            </w:r>
          </w:p>
        </w:tc>
        <w:tc>
          <w:tcPr>
            <w:tcW w:w="632" w:type="pct"/>
            <w:tcBorders>
              <w:top w:val="single" w:sz="4" w:space="0" w:color="auto"/>
              <w:left w:val="single" w:sz="4" w:space="0" w:color="auto"/>
              <w:bottom w:val="single" w:sz="4" w:space="0" w:color="auto"/>
              <w:right w:val="single" w:sz="4" w:space="0" w:color="auto"/>
            </w:tcBorders>
          </w:tcPr>
          <w:p w14:paraId="5B331294" w14:textId="77777777" w:rsidR="00E57DAA" w:rsidRDefault="00AC4185">
            <w:pPr>
              <w:autoSpaceDE w:val="0"/>
              <w:autoSpaceDN w:val="0"/>
              <w:adjustRightInd w:val="0"/>
              <w:jc w:val="right"/>
              <w:rPr>
                <w:szCs w:val="21"/>
              </w:rPr>
            </w:pPr>
            <w:r>
              <w:t>227,629.63</w:t>
            </w:r>
          </w:p>
        </w:tc>
        <w:tc>
          <w:tcPr>
            <w:tcW w:w="703" w:type="pct"/>
            <w:tcBorders>
              <w:top w:val="single" w:sz="4" w:space="0" w:color="auto"/>
              <w:left w:val="single" w:sz="4" w:space="0" w:color="auto"/>
              <w:bottom w:val="single" w:sz="4" w:space="0" w:color="auto"/>
              <w:right w:val="single" w:sz="4" w:space="0" w:color="auto"/>
            </w:tcBorders>
          </w:tcPr>
          <w:p w14:paraId="515C8BE9" w14:textId="77777777" w:rsidR="00E57DAA" w:rsidRDefault="00AC4185">
            <w:pPr>
              <w:autoSpaceDE w:val="0"/>
              <w:autoSpaceDN w:val="0"/>
              <w:adjustRightInd w:val="0"/>
              <w:jc w:val="right"/>
              <w:rPr>
                <w:szCs w:val="21"/>
              </w:rPr>
            </w:pPr>
            <w:r>
              <w:t>924,563.54</w:t>
            </w:r>
          </w:p>
        </w:tc>
        <w:tc>
          <w:tcPr>
            <w:tcW w:w="914" w:type="pct"/>
            <w:tcBorders>
              <w:top w:val="single" w:sz="4" w:space="0" w:color="auto"/>
              <w:left w:val="single" w:sz="4" w:space="0" w:color="auto"/>
              <w:bottom w:val="single" w:sz="4" w:space="0" w:color="auto"/>
              <w:right w:val="single" w:sz="4" w:space="0" w:color="auto"/>
            </w:tcBorders>
          </w:tcPr>
          <w:p w14:paraId="667042CF" w14:textId="77777777" w:rsidR="00E57DAA" w:rsidRDefault="00AC4185">
            <w:pPr>
              <w:autoSpaceDE w:val="0"/>
              <w:autoSpaceDN w:val="0"/>
              <w:adjustRightInd w:val="0"/>
              <w:jc w:val="right"/>
              <w:rPr>
                <w:szCs w:val="21"/>
              </w:rPr>
            </w:pPr>
            <w:r>
              <w:t>626,535.52</w:t>
            </w:r>
          </w:p>
        </w:tc>
      </w:tr>
      <w:tr w:rsidR="00E57DAA" w14:paraId="20B70B11" w14:textId="77777777">
        <w:tc>
          <w:tcPr>
            <w:tcW w:w="677" w:type="pct"/>
            <w:tcBorders>
              <w:top w:val="single" w:sz="4" w:space="0" w:color="auto"/>
              <w:left w:val="single" w:sz="4" w:space="0" w:color="auto"/>
              <w:bottom w:val="single" w:sz="4" w:space="0" w:color="auto"/>
              <w:right w:val="single" w:sz="4" w:space="0" w:color="auto"/>
            </w:tcBorders>
            <w:vAlign w:val="center"/>
          </w:tcPr>
          <w:p w14:paraId="0AD65C3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C9C9B32" w14:textId="77777777" w:rsidR="00E57DAA" w:rsidRDefault="00AC4185">
            <w:pPr>
              <w:autoSpaceDE w:val="0"/>
              <w:autoSpaceDN w:val="0"/>
              <w:adjustRightInd w:val="0"/>
              <w:rPr>
                <w:szCs w:val="21"/>
              </w:rPr>
            </w:pPr>
            <w:r>
              <w:t>溧水天山水泥有限公司</w:t>
            </w:r>
          </w:p>
        </w:tc>
        <w:tc>
          <w:tcPr>
            <w:tcW w:w="633" w:type="pct"/>
            <w:tcBorders>
              <w:top w:val="single" w:sz="4" w:space="0" w:color="auto"/>
              <w:left w:val="single" w:sz="4" w:space="0" w:color="auto"/>
              <w:bottom w:val="single" w:sz="4" w:space="0" w:color="auto"/>
              <w:right w:val="single" w:sz="4" w:space="0" w:color="auto"/>
            </w:tcBorders>
          </w:tcPr>
          <w:p w14:paraId="7EFAB89C" w14:textId="77777777" w:rsidR="00E57DAA" w:rsidRDefault="00AC4185">
            <w:pPr>
              <w:autoSpaceDE w:val="0"/>
              <w:autoSpaceDN w:val="0"/>
              <w:adjustRightInd w:val="0"/>
              <w:jc w:val="right"/>
              <w:rPr>
                <w:szCs w:val="21"/>
              </w:rPr>
            </w:pPr>
            <w:r>
              <w:t>8,529,519.78</w:t>
            </w:r>
          </w:p>
        </w:tc>
        <w:tc>
          <w:tcPr>
            <w:tcW w:w="632" w:type="pct"/>
            <w:tcBorders>
              <w:top w:val="single" w:sz="4" w:space="0" w:color="auto"/>
              <w:left w:val="single" w:sz="4" w:space="0" w:color="auto"/>
              <w:bottom w:val="single" w:sz="4" w:space="0" w:color="auto"/>
              <w:right w:val="single" w:sz="4" w:space="0" w:color="auto"/>
            </w:tcBorders>
          </w:tcPr>
          <w:p w14:paraId="738924A4" w14:textId="77777777" w:rsidR="00E57DAA" w:rsidRDefault="00AC4185">
            <w:pPr>
              <w:autoSpaceDE w:val="0"/>
              <w:autoSpaceDN w:val="0"/>
              <w:adjustRightInd w:val="0"/>
              <w:jc w:val="right"/>
              <w:rPr>
                <w:szCs w:val="21"/>
              </w:rPr>
            </w:pPr>
            <w:r>
              <w:t>240,165.77</w:t>
            </w:r>
          </w:p>
        </w:tc>
        <w:tc>
          <w:tcPr>
            <w:tcW w:w="703" w:type="pct"/>
            <w:tcBorders>
              <w:top w:val="single" w:sz="4" w:space="0" w:color="auto"/>
              <w:left w:val="single" w:sz="4" w:space="0" w:color="auto"/>
              <w:bottom w:val="single" w:sz="4" w:space="0" w:color="auto"/>
              <w:right w:val="single" w:sz="4" w:space="0" w:color="auto"/>
            </w:tcBorders>
          </w:tcPr>
          <w:p w14:paraId="6F4F9E0A" w14:textId="77777777" w:rsidR="00E57DAA" w:rsidRDefault="00AC4185">
            <w:pPr>
              <w:autoSpaceDE w:val="0"/>
              <w:autoSpaceDN w:val="0"/>
              <w:adjustRightInd w:val="0"/>
              <w:jc w:val="right"/>
              <w:rPr>
                <w:szCs w:val="21"/>
              </w:rPr>
            </w:pPr>
            <w:r>
              <w:t>3,601,571.76</w:t>
            </w:r>
          </w:p>
        </w:tc>
        <w:tc>
          <w:tcPr>
            <w:tcW w:w="914" w:type="pct"/>
            <w:tcBorders>
              <w:top w:val="single" w:sz="4" w:space="0" w:color="auto"/>
              <w:left w:val="single" w:sz="4" w:space="0" w:color="auto"/>
              <w:bottom w:val="single" w:sz="4" w:space="0" w:color="auto"/>
              <w:right w:val="single" w:sz="4" w:space="0" w:color="auto"/>
            </w:tcBorders>
          </w:tcPr>
          <w:p w14:paraId="5C6EC637" w14:textId="77777777" w:rsidR="00E57DAA" w:rsidRDefault="00AC4185">
            <w:pPr>
              <w:autoSpaceDE w:val="0"/>
              <w:autoSpaceDN w:val="0"/>
              <w:adjustRightInd w:val="0"/>
              <w:jc w:val="right"/>
              <w:rPr>
                <w:szCs w:val="21"/>
              </w:rPr>
            </w:pPr>
            <w:r>
              <w:t>1,462.31</w:t>
            </w:r>
          </w:p>
        </w:tc>
      </w:tr>
      <w:tr w:rsidR="00E57DAA" w14:paraId="16C1FA67" w14:textId="77777777">
        <w:tc>
          <w:tcPr>
            <w:tcW w:w="677" w:type="pct"/>
            <w:tcBorders>
              <w:top w:val="single" w:sz="4" w:space="0" w:color="auto"/>
              <w:left w:val="single" w:sz="4" w:space="0" w:color="auto"/>
              <w:bottom w:val="single" w:sz="4" w:space="0" w:color="auto"/>
              <w:right w:val="single" w:sz="4" w:space="0" w:color="auto"/>
            </w:tcBorders>
            <w:vAlign w:val="center"/>
          </w:tcPr>
          <w:p w14:paraId="293051E9"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3DC31D1B" w14:textId="77777777" w:rsidR="00E57DAA" w:rsidRDefault="00AC4185">
            <w:pPr>
              <w:autoSpaceDE w:val="0"/>
              <w:autoSpaceDN w:val="0"/>
              <w:adjustRightInd w:val="0"/>
              <w:rPr>
                <w:szCs w:val="21"/>
              </w:rPr>
            </w:pPr>
            <w:r>
              <w:t>江西南城南方水泥有限公司</w:t>
            </w:r>
          </w:p>
        </w:tc>
        <w:tc>
          <w:tcPr>
            <w:tcW w:w="633" w:type="pct"/>
            <w:tcBorders>
              <w:top w:val="single" w:sz="4" w:space="0" w:color="auto"/>
              <w:left w:val="single" w:sz="4" w:space="0" w:color="auto"/>
              <w:bottom w:val="single" w:sz="4" w:space="0" w:color="auto"/>
              <w:right w:val="single" w:sz="4" w:space="0" w:color="auto"/>
            </w:tcBorders>
          </w:tcPr>
          <w:p w14:paraId="014056E6" w14:textId="77777777" w:rsidR="00E57DAA" w:rsidRDefault="00AC4185">
            <w:pPr>
              <w:autoSpaceDE w:val="0"/>
              <w:autoSpaceDN w:val="0"/>
              <w:adjustRightInd w:val="0"/>
              <w:jc w:val="right"/>
              <w:rPr>
                <w:szCs w:val="21"/>
              </w:rPr>
            </w:pPr>
            <w:r>
              <w:t>8,235,549.94</w:t>
            </w:r>
          </w:p>
        </w:tc>
        <w:tc>
          <w:tcPr>
            <w:tcW w:w="632" w:type="pct"/>
            <w:tcBorders>
              <w:top w:val="single" w:sz="4" w:space="0" w:color="auto"/>
              <w:left w:val="single" w:sz="4" w:space="0" w:color="auto"/>
              <w:bottom w:val="single" w:sz="4" w:space="0" w:color="auto"/>
              <w:right w:val="single" w:sz="4" w:space="0" w:color="auto"/>
            </w:tcBorders>
          </w:tcPr>
          <w:p w14:paraId="1C5270FA" w14:textId="77777777" w:rsidR="00E57DAA" w:rsidRDefault="00AC4185">
            <w:pPr>
              <w:autoSpaceDE w:val="0"/>
              <w:autoSpaceDN w:val="0"/>
              <w:adjustRightInd w:val="0"/>
              <w:jc w:val="right"/>
              <w:rPr>
                <w:szCs w:val="21"/>
              </w:rPr>
            </w:pPr>
            <w:r>
              <w:t>146,676.63</w:t>
            </w:r>
          </w:p>
        </w:tc>
        <w:tc>
          <w:tcPr>
            <w:tcW w:w="703" w:type="pct"/>
            <w:tcBorders>
              <w:top w:val="single" w:sz="4" w:space="0" w:color="auto"/>
              <w:left w:val="single" w:sz="4" w:space="0" w:color="auto"/>
              <w:bottom w:val="single" w:sz="4" w:space="0" w:color="auto"/>
              <w:right w:val="single" w:sz="4" w:space="0" w:color="auto"/>
            </w:tcBorders>
          </w:tcPr>
          <w:p w14:paraId="21C4DBDF" w14:textId="77777777" w:rsidR="00E57DAA" w:rsidRDefault="00AC4185">
            <w:pPr>
              <w:autoSpaceDE w:val="0"/>
              <w:autoSpaceDN w:val="0"/>
              <w:adjustRightInd w:val="0"/>
              <w:jc w:val="right"/>
              <w:rPr>
                <w:szCs w:val="21"/>
              </w:rPr>
            </w:pPr>
            <w:r>
              <w:t>4,492,309.78</w:t>
            </w:r>
          </w:p>
        </w:tc>
        <w:tc>
          <w:tcPr>
            <w:tcW w:w="914" w:type="pct"/>
            <w:tcBorders>
              <w:top w:val="single" w:sz="4" w:space="0" w:color="auto"/>
              <w:left w:val="single" w:sz="4" w:space="0" w:color="auto"/>
              <w:bottom w:val="single" w:sz="4" w:space="0" w:color="auto"/>
              <w:right w:val="single" w:sz="4" w:space="0" w:color="auto"/>
            </w:tcBorders>
          </w:tcPr>
          <w:p w14:paraId="1833D012" w14:textId="77777777" w:rsidR="00E57DAA" w:rsidRDefault="00AC4185">
            <w:pPr>
              <w:autoSpaceDE w:val="0"/>
              <w:autoSpaceDN w:val="0"/>
              <w:adjustRightInd w:val="0"/>
              <w:jc w:val="right"/>
              <w:rPr>
                <w:szCs w:val="21"/>
              </w:rPr>
            </w:pPr>
            <w:r>
              <w:t>120,602.63</w:t>
            </w:r>
          </w:p>
        </w:tc>
      </w:tr>
      <w:tr w:rsidR="00E57DAA" w14:paraId="617FC3D6" w14:textId="77777777">
        <w:tc>
          <w:tcPr>
            <w:tcW w:w="677" w:type="pct"/>
            <w:tcBorders>
              <w:top w:val="single" w:sz="4" w:space="0" w:color="auto"/>
              <w:left w:val="single" w:sz="4" w:space="0" w:color="auto"/>
              <w:bottom w:val="single" w:sz="4" w:space="0" w:color="auto"/>
              <w:right w:val="single" w:sz="4" w:space="0" w:color="auto"/>
            </w:tcBorders>
            <w:vAlign w:val="center"/>
          </w:tcPr>
          <w:p w14:paraId="2AAFF19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AD2DC9E" w14:textId="77777777" w:rsidR="00E57DAA" w:rsidRDefault="00AC4185">
            <w:pPr>
              <w:autoSpaceDE w:val="0"/>
              <w:autoSpaceDN w:val="0"/>
              <w:adjustRightInd w:val="0"/>
              <w:rPr>
                <w:szCs w:val="21"/>
              </w:rPr>
            </w:pPr>
            <w:r>
              <w:t>沂南中联水泥有限公司</w:t>
            </w:r>
          </w:p>
        </w:tc>
        <w:tc>
          <w:tcPr>
            <w:tcW w:w="633" w:type="pct"/>
            <w:tcBorders>
              <w:top w:val="single" w:sz="4" w:space="0" w:color="auto"/>
              <w:left w:val="single" w:sz="4" w:space="0" w:color="auto"/>
              <w:bottom w:val="single" w:sz="4" w:space="0" w:color="auto"/>
              <w:right w:val="single" w:sz="4" w:space="0" w:color="auto"/>
            </w:tcBorders>
          </w:tcPr>
          <w:p w14:paraId="46667D8A" w14:textId="77777777" w:rsidR="00E57DAA" w:rsidRDefault="00AC4185">
            <w:pPr>
              <w:autoSpaceDE w:val="0"/>
              <w:autoSpaceDN w:val="0"/>
              <w:adjustRightInd w:val="0"/>
              <w:jc w:val="right"/>
              <w:rPr>
                <w:szCs w:val="21"/>
              </w:rPr>
            </w:pPr>
            <w:r>
              <w:t>8,208,248.20</w:t>
            </w:r>
          </w:p>
        </w:tc>
        <w:tc>
          <w:tcPr>
            <w:tcW w:w="632" w:type="pct"/>
            <w:tcBorders>
              <w:top w:val="single" w:sz="4" w:space="0" w:color="auto"/>
              <w:left w:val="single" w:sz="4" w:space="0" w:color="auto"/>
              <w:bottom w:val="single" w:sz="4" w:space="0" w:color="auto"/>
              <w:right w:val="single" w:sz="4" w:space="0" w:color="auto"/>
            </w:tcBorders>
          </w:tcPr>
          <w:p w14:paraId="64EAFB16" w14:textId="77777777" w:rsidR="00E57DAA" w:rsidRDefault="00AC4185">
            <w:pPr>
              <w:autoSpaceDE w:val="0"/>
              <w:autoSpaceDN w:val="0"/>
              <w:adjustRightInd w:val="0"/>
              <w:jc w:val="right"/>
              <w:rPr>
                <w:szCs w:val="21"/>
              </w:rPr>
            </w:pPr>
            <w:r>
              <w:t>244,473.74</w:t>
            </w:r>
          </w:p>
        </w:tc>
        <w:tc>
          <w:tcPr>
            <w:tcW w:w="703" w:type="pct"/>
            <w:tcBorders>
              <w:top w:val="single" w:sz="4" w:space="0" w:color="auto"/>
              <w:left w:val="single" w:sz="4" w:space="0" w:color="auto"/>
              <w:bottom w:val="single" w:sz="4" w:space="0" w:color="auto"/>
              <w:right w:val="single" w:sz="4" w:space="0" w:color="auto"/>
            </w:tcBorders>
          </w:tcPr>
          <w:p w14:paraId="25AF60AC" w14:textId="77777777" w:rsidR="00E57DAA" w:rsidRDefault="00AC4185">
            <w:pPr>
              <w:autoSpaceDE w:val="0"/>
              <w:autoSpaceDN w:val="0"/>
              <w:adjustRightInd w:val="0"/>
              <w:jc w:val="right"/>
              <w:rPr>
                <w:szCs w:val="21"/>
              </w:rPr>
            </w:pPr>
            <w:r>
              <w:t>1,288,327.26</w:t>
            </w:r>
          </w:p>
        </w:tc>
        <w:tc>
          <w:tcPr>
            <w:tcW w:w="914" w:type="pct"/>
            <w:tcBorders>
              <w:top w:val="single" w:sz="4" w:space="0" w:color="auto"/>
              <w:left w:val="single" w:sz="4" w:space="0" w:color="auto"/>
              <w:bottom w:val="single" w:sz="4" w:space="0" w:color="auto"/>
              <w:right w:val="single" w:sz="4" w:space="0" w:color="auto"/>
            </w:tcBorders>
          </w:tcPr>
          <w:p w14:paraId="541C6C9E" w14:textId="77777777" w:rsidR="00E57DAA" w:rsidRDefault="00AC4185">
            <w:pPr>
              <w:autoSpaceDE w:val="0"/>
              <w:autoSpaceDN w:val="0"/>
              <w:adjustRightInd w:val="0"/>
              <w:jc w:val="right"/>
              <w:rPr>
                <w:szCs w:val="21"/>
              </w:rPr>
            </w:pPr>
            <w:r>
              <w:t>174,440.85</w:t>
            </w:r>
          </w:p>
        </w:tc>
      </w:tr>
      <w:tr w:rsidR="00E57DAA" w14:paraId="0949432B" w14:textId="77777777">
        <w:tc>
          <w:tcPr>
            <w:tcW w:w="677" w:type="pct"/>
            <w:tcBorders>
              <w:top w:val="single" w:sz="4" w:space="0" w:color="auto"/>
              <w:left w:val="single" w:sz="4" w:space="0" w:color="auto"/>
              <w:bottom w:val="single" w:sz="4" w:space="0" w:color="auto"/>
              <w:right w:val="single" w:sz="4" w:space="0" w:color="auto"/>
            </w:tcBorders>
            <w:vAlign w:val="center"/>
          </w:tcPr>
          <w:p w14:paraId="7D88CB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3FF2FE6" w14:textId="77777777" w:rsidR="00E57DAA" w:rsidRDefault="00AC4185">
            <w:pPr>
              <w:autoSpaceDE w:val="0"/>
              <w:autoSpaceDN w:val="0"/>
              <w:adjustRightInd w:val="0"/>
              <w:rPr>
                <w:szCs w:val="21"/>
              </w:rPr>
            </w:pPr>
            <w:r>
              <w:t>安徽广德洪山南方水泥有限公司</w:t>
            </w:r>
          </w:p>
        </w:tc>
        <w:tc>
          <w:tcPr>
            <w:tcW w:w="633" w:type="pct"/>
            <w:tcBorders>
              <w:top w:val="single" w:sz="4" w:space="0" w:color="auto"/>
              <w:left w:val="single" w:sz="4" w:space="0" w:color="auto"/>
              <w:bottom w:val="single" w:sz="4" w:space="0" w:color="auto"/>
              <w:right w:val="single" w:sz="4" w:space="0" w:color="auto"/>
            </w:tcBorders>
          </w:tcPr>
          <w:p w14:paraId="6FDD357C" w14:textId="77777777" w:rsidR="00E57DAA" w:rsidRDefault="00AC4185">
            <w:pPr>
              <w:autoSpaceDE w:val="0"/>
              <w:autoSpaceDN w:val="0"/>
              <w:adjustRightInd w:val="0"/>
              <w:jc w:val="right"/>
              <w:rPr>
                <w:szCs w:val="21"/>
              </w:rPr>
            </w:pPr>
            <w:r>
              <w:t>8,020,607.25</w:t>
            </w:r>
          </w:p>
        </w:tc>
        <w:tc>
          <w:tcPr>
            <w:tcW w:w="632" w:type="pct"/>
            <w:tcBorders>
              <w:top w:val="single" w:sz="4" w:space="0" w:color="auto"/>
              <w:left w:val="single" w:sz="4" w:space="0" w:color="auto"/>
              <w:bottom w:val="single" w:sz="4" w:space="0" w:color="auto"/>
              <w:right w:val="single" w:sz="4" w:space="0" w:color="auto"/>
            </w:tcBorders>
          </w:tcPr>
          <w:p w14:paraId="1459D953" w14:textId="77777777" w:rsidR="00E57DAA" w:rsidRDefault="00AC4185">
            <w:pPr>
              <w:autoSpaceDE w:val="0"/>
              <w:autoSpaceDN w:val="0"/>
              <w:adjustRightInd w:val="0"/>
              <w:jc w:val="right"/>
              <w:rPr>
                <w:szCs w:val="21"/>
              </w:rPr>
            </w:pPr>
            <w:r>
              <w:t>33,064.37</w:t>
            </w:r>
          </w:p>
        </w:tc>
        <w:tc>
          <w:tcPr>
            <w:tcW w:w="703" w:type="pct"/>
            <w:tcBorders>
              <w:top w:val="single" w:sz="4" w:space="0" w:color="auto"/>
              <w:left w:val="single" w:sz="4" w:space="0" w:color="auto"/>
              <w:bottom w:val="single" w:sz="4" w:space="0" w:color="auto"/>
              <w:right w:val="single" w:sz="4" w:space="0" w:color="auto"/>
            </w:tcBorders>
          </w:tcPr>
          <w:p w14:paraId="55F3019E" w14:textId="77777777" w:rsidR="00E57DAA" w:rsidRDefault="00AC4185">
            <w:pPr>
              <w:autoSpaceDE w:val="0"/>
              <w:autoSpaceDN w:val="0"/>
              <w:adjustRightInd w:val="0"/>
              <w:jc w:val="right"/>
              <w:rPr>
                <w:szCs w:val="21"/>
              </w:rPr>
            </w:pPr>
            <w:r>
              <w:t>6,831,478.47</w:t>
            </w:r>
          </w:p>
        </w:tc>
        <w:tc>
          <w:tcPr>
            <w:tcW w:w="914" w:type="pct"/>
            <w:tcBorders>
              <w:top w:val="single" w:sz="4" w:space="0" w:color="auto"/>
              <w:left w:val="single" w:sz="4" w:space="0" w:color="auto"/>
              <w:bottom w:val="single" w:sz="4" w:space="0" w:color="auto"/>
              <w:right w:val="single" w:sz="4" w:space="0" w:color="auto"/>
            </w:tcBorders>
          </w:tcPr>
          <w:p w14:paraId="6691FAA4" w14:textId="77777777" w:rsidR="00E57DAA" w:rsidRDefault="00AC4185">
            <w:pPr>
              <w:autoSpaceDE w:val="0"/>
              <w:autoSpaceDN w:val="0"/>
              <w:adjustRightInd w:val="0"/>
              <w:jc w:val="right"/>
              <w:rPr>
                <w:szCs w:val="21"/>
              </w:rPr>
            </w:pPr>
            <w:r>
              <w:t>17,837.65</w:t>
            </w:r>
          </w:p>
        </w:tc>
      </w:tr>
      <w:tr w:rsidR="00E57DAA" w14:paraId="39142C57" w14:textId="77777777">
        <w:tc>
          <w:tcPr>
            <w:tcW w:w="677" w:type="pct"/>
            <w:tcBorders>
              <w:top w:val="single" w:sz="4" w:space="0" w:color="auto"/>
              <w:left w:val="single" w:sz="4" w:space="0" w:color="auto"/>
              <w:bottom w:val="single" w:sz="4" w:space="0" w:color="auto"/>
              <w:right w:val="single" w:sz="4" w:space="0" w:color="auto"/>
            </w:tcBorders>
            <w:vAlign w:val="center"/>
          </w:tcPr>
          <w:p w14:paraId="5AA2771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BF056C" w14:textId="77777777" w:rsidR="00E57DAA" w:rsidRDefault="00AC4185">
            <w:pPr>
              <w:autoSpaceDE w:val="0"/>
              <w:autoSpaceDN w:val="0"/>
              <w:adjustRightInd w:val="0"/>
              <w:rPr>
                <w:szCs w:val="21"/>
              </w:rPr>
            </w:pPr>
            <w:r>
              <w:t>中材亨达水泥有限公司</w:t>
            </w:r>
          </w:p>
        </w:tc>
        <w:tc>
          <w:tcPr>
            <w:tcW w:w="633" w:type="pct"/>
            <w:tcBorders>
              <w:top w:val="single" w:sz="4" w:space="0" w:color="auto"/>
              <w:left w:val="single" w:sz="4" w:space="0" w:color="auto"/>
              <w:bottom w:val="single" w:sz="4" w:space="0" w:color="auto"/>
              <w:right w:val="single" w:sz="4" w:space="0" w:color="auto"/>
            </w:tcBorders>
          </w:tcPr>
          <w:p w14:paraId="2C3FBAD4" w14:textId="77777777" w:rsidR="00E57DAA" w:rsidRDefault="00AC4185">
            <w:pPr>
              <w:autoSpaceDE w:val="0"/>
              <w:autoSpaceDN w:val="0"/>
              <w:adjustRightInd w:val="0"/>
              <w:jc w:val="right"/>
              <w:rPr>
                <w:szCs w:val="21"/>
              </w:rPr>
            </w:pPr>
            <w:r>
              <w:t>7,969,178.90</w:t>
            </w:r>
          </w:p>
        </w:tc>
        <w:tc>
          <w:tcPr>
            <w:tcW w:w="632" w:type="pct"/>
            <w:tcBorders>
              <w:top w:val="single" w:sz="4" w:space="0" w:color="auto"/>
              <w:left w:val="single" w:sz="4" w:space="0" w:color="auto"/>
              <w:bottom w:val="single" w:sz="4" w:space="0" w:color="auto"/>
              <w:right w:val="single" w:sz="4" w:space="0" w:color="auto"/>
            </w:tcBorders>
          </w:tcPr>
          <w:p w14:paraId="23EF3281" w14:textId="77777777" w:rsidR="00E57DAA" w:rsidRDefault="00AC4185">
            <w:pPr>
              <w:autoSpaceDE w:val="0"/>
              <w:autoSpaceDN w:val="0"/>
              <w:adjustRightInd w:val="0"/>
              <w:jc w:val="right"/>
              <w:rPr>
                <w:szCs w:val="21"/>
              </w:rPr>
            </w:pPr>
            <w:r>
              <w:t>529,520.46</w:t>
            </w:r>
          </w:p>
        </w:tc>
        <w:tc>
          <w:tcPr>
            <w:tcW w:w="703" w:type="pct"/>
            <w:tcBorders>
              <w:top w:val="single" w:sz="4" w:space="0" w:color="auto"/>
              <w:left w:val="single" w:sz="4" w:space="0" w:color="auto"/>
              <w:bottom w:val="single" w:sz="4" w:space="0" w:color="auto"/>
              <w:right w:val="single" w:sz="4" w:space="0" w:color="auto"/>
            </w:tcBorders>
          </w:tcPr>
          <w:p w14:paraId="2A715063" w14:textId="77777777" w:rsidR="00E57DAA" w:rsidRDefault="00AC4185">
            <w:pPr>
              <w:autoSpaceDE w:val="0"/>
              <w:autoSpaceDN w:val="0"/>
              <w:adjustRightInd w:val="0"/>
              <w:jc w:val="right"/>
              <w:rPr>
                <w:szCs w:val="21"/>
              </w:rPr>
            </w:pPr>
            <w:r>
              <w:t>2,109,194.72</w:t>
            </w:r>
          </w:p>
        </w:tc>
        <w:tc>
          <w:tcPr>
            <w:tcW w:w="914" w:type="pct"/>
            <w:tcBorders>
              <w:top w:val="single" w:sz="4" w:space="0" w:color="auto"/>
              <w:left w:val="single" w:sz="4" w:space="0" w:color="auto"/>
              <w:bottom w:val="single" w:sz="4" w:space="0" w:color="auto"/>
              <w:right w:val="single" w:sz="4" w:space="0" w:color="auto"/>
            </w:tcBorders>
          </w:tcPr>
          <w:p w14:paraId="5825B16B" w14:textId="77777777" w:rsidR="00E57DAA" w:rsidRDefault="00AC4185">
            <w:pPr>
              <w:autoSpaceDE w:val="0"/>
              <w:autoSpaceDN w:val="0"/>
              <w:adjustRightInd w:val="0"/>
              <w:jc w:val="right"/>
              <w:rPr>
                <w:szCs w:val="21"/>
              </w:rPr>
            </w:pPr>
            <w:r>
              <w:t>139,718.74</w:t>
            </w:r>
          </w:p>
        </w:tc>
      </w:tr>
      <w:tr w:rsidR="00E57DAA" w14:paraId="6F1CAFB9" w14:textId="77777777">
        <w:tc>
          <w:tcPr>
            <w:tcW w:w="677" w:type="pct"/>
            <w:tcBorders>
              <w:top w:val="single" w:sz="4" w:space="0" w:color="auto"/>
              <w:left w:val="single" w:sz="4" w:space="0" w:color="auto"/>
              <w:bottom w:val="single" w:sz="4" w:space="0" w:color="auto"/>
              <w:right w:val="single" w:sz="4" w:space="0" w:color="auto"/>
            </w:tcBorders>
            <w:vAlign w:val="center"/>
          </w:tcPr>
          <w:p w14:paraId="55F5D09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250C3B1" w14:textId="77777777" w:rsidR="00E57DAA" w:rsidRDefault="00AC4185">
            <w:pPr>
              <w:autoSpaceDE w:val="0"/>
              <w:autoSpaceDN w:val="0"/>
              <w:adjustRightInd w:val="0"/>
              <w:rPr>
                <w:szCs w:val="21"/>
              </w:rPr>
            </w:pPr>
            <w:r>
              <w:t>德州中联大坝水泥有限公司</w:t>
            </w:r>
          </w:p>
        </w:tc>
        <w:tc>
          <w:tcPr>
            <w:tcW w:w="633" w:type="pct"/>
            <w:tcBorders>
              <w:top w:val="single" w:sz="4" w:space="0" w:color="auto"/>
              <w:left w:val="single" w:sz="4" w:space="0" w:color="auto"/>
              <w:bottom w:val="single" w:sz="4" w:space="0" w:color="auto"/>
              <w:right w:val="single" w:sz="4" w:space="0" w:color="auto"/>
            </w:tcBorders>
          </w:tcPr>
          <w:p w14:paraId="7F704107" w14:textId="77777777" w:rsidR="00E57DAA" w:rsidRDefault="00AC4185">
            <w:pPr>
              <w:autoSpaceDE w:val="0"/>
              <w:autoSpaceDN w:val="0"/>
              <w:adjustRightInd w:val="0"/>
              <w:jc w:val="right"/>
              <w:rPr>
                <w:szCs w:val="21"/>
              </w:rPr>
            </w:pPr>
            <w:r>
              <w:t>7,678,618.34</w:t>
            </w:r>
          </w:p>
        </w:tc>
        <w:tc>
          <w:tcPr>
            <w:tcW w:w="632" w:type="pct"/>
            <w:tcBorders>
              <w:top w:val="single" w:sz="4" w:space="0" w:color="auto"/>
              <w:left w:val="single" w:sz="4" w:space="0" w:color="auto"/>
              <w:bottom w:val="single" w:sz="4" w:space="0" w:color="auto"/>
              <w:right w:val="single" w:sz="4" w:space="0" w:color="auto"/>
            </w:tcBorders>
          </w:tcPr>
          <w:p w14:paraId="107BA0AF" w14:textId="77777777" w:rsidR="00E57DAA" w:rsidRDefault="00AC4185">
            <w:pPr>
              <w:autoSpaceDE w:val="0"/>
              <w:autoSpaceDN w:val="0"/>
              <w:adjustRightInd w:val="0"/>
              <w:jc w:val="right"/>
              <w:rPr>
                <w:szCs w:val="21"/>
              </w:rPr>
            </w:pPr>
            <w:r>
              <w:t>498,502.30</w:t>
            </w:r>
          </w:p>
        </w:tc>
        <w:tc>
          <w:tcPr>
            <w:tcW w:w="703" w:type="pct"/>
            <w:tcBorders>
              <w:top w:val="single" w:sz="4" w:space="0" w:color="auto"/>
              <w:left w:val="single" w:sz="4" w:space="0" w:color="auto"/>
              <w:bottom w:val="single" w:sz="4" w:space="0" w:color="auto"/>
              <w:right w:val="single" w:sz="4" w:space="0" w:color="auto"/>
            </w:tcBorders>
          </w:tcPr>
          <w:p w14:paraId="71D005DB" w14:textId="77777777" w:rsidR="00E57DAA" w:rsidRDefault="00AC4185">
            <w:pPr>
              <w:autoSpaceDE w:val="0"/>
              <w:autoSpaceDN w:val="0"/>
              <w:adjustRightInd w:val="0"/>
              <w:jc w:val="right"/>
              <w:rPr>
                <w:szCs w:val="21"/>
              </w:rPr>
            </w:pPr>
            <w:r>
              <w:t>9,827,628.26</w:t>
            </w:r>
          </w:p>
        </w:tc>
        <w:tc>
          <w:tcPr>
            <w:tcW w:w="914" w:type="pct"/>
            <w:tcBorders>
              <w:top w:val="single" w:sz="4" w:space="0" w:color="auto"/>
              <w:left w:val="single" w:sz="4" w:space="0" w:color="auto"/>
              <w:bottom w:val="single" w:sz="4" w:space="0" w:color="auto"/>
              <w:right w:val="single" w:sz="4" w:space="0" w:color="auto"/>
            </w:tcBorders>
          </w:tcPr>
          <w:p w14:paraId="547D89CF" w14:textId="77777777" w:rsidR="00E57DAA" w:rsidRDefault="00AC4185">
            <w:pPr>
              <w:autoSpaceDE w:val="0"/>
              <w:autoSpaceDN w:val="0"/>
              <w:adjustRightInd w:val="0"/>
              <w:jc w:val="right"/>
              <w:rPr>
                <w:szCs w:val="21"/>
              </w:rPr>
            </w:pPr>
            <w:r>
              <w:t>232,914.79</w:t>
            </w:r>
          </w:p>
        </w:tc>
      </w:tr>
      <w:tr w:rsidR="00E57DAA" w14:paraId="5A79AC79" w14:textId="77777777">
        <w:tc>
          <w:tcPr>
            <w:tcW w:w="677" w:type="pct"/>
            <w:tcBorders>
              <w:top w:val="single" w:sz="4" w:space="0" w:color="auto"/>
              <w:left w:val="single" w:sz="4" w:space="0" w:color="auto"/>
              <w:bottom w:val="single" w:sz="4" w:space="0" w:color="auto"/>
              <w:right w:val="single" w:sz="4" w:space="0" w:color="auto"/>
            </w:tcBorders>
            <w:vAlign w:val="center"/>
          </w:tcPr>
          <w:p w14:paraId="3A8E512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0CB41D3" w14:textId="77777777" w:rsidR="00E57DAA" w:rsidRDefault="00AC4185">
            <w:pPr>
              <w:autoSpaceDE w:val="0"/>
              <w:autoSpaceDN w:val="0"/>
              <w:adjustRightInd w:val="0"/>
              <w:rPr>
                <w:szCs w:val="21"/>
              </w:rPr>
            </w:pPr>
            <w:r>
              <w:t>邵阳南方水泥有限公司</w:t>
            </w:r>
          </w:p>
        </w:tc>
        <w:tc>
          <w:tcPr>
            <w:tcW w:w="633" w:type="pct"/>
            <w:tcBorders>
              <w:top w:val="single" w:sz="4" w:space="0" w:color="auto"/>
              <w:left w:val="single" w:sz="4" w:space="0" w:color="auto"/>
              <w:bottom w:val="single" w:sz="4" w:space="0" w:color="auto"/>
              <w:right w:val="single" w:sz="4" w:space="0" w:color="auto"/>
            </w:tcBorders>
          </w:tcPr>
          <w:p w14:paraId="10A8DF2C" w14:textId="77777777" w:rsidR="00E57DAA" w:rsidRDefault="00AC4185">
            <w:pPr>
              <w:autoSpaceDE w:val="0"/>
              <w:autoSpaceDN w:val="0"/>
              <w:adjustRightInd w:val="0"/>
              <w:jc w:val="right"/>
              <w:rPr>
                <w:szCs w:val="21"/>
              </w:rPr>
            </w:pPr>
            <w:r>
              <w:t>7,873,606.34</w:t>
            </w:r>
          </w:p>
        </w:tc>
        <w:tc>
          <w:tcPr>
            <w:tcW w:w="632" w:type="pct"/>
            <w:tcBorders>
              <w:top w:val="single" w:sz="4" w:space="0" w:color="auto"/>
              <w:left w:val="single" w:sz="4" w:space="0" w:color="auto"/>
              <w:bottom w:val="single" w:sz="4" w:space="0" w:color="auto"/>
              <w:right w:val="single" w:sz="4" w:space="0" w:color="auto"/>
            </w:tcBorders>
          </w:tcPr>
          <w:p w14:paraId="39865235" w14:textId="77777777" w:rsidR="00E57DAA" w:rsidRDefault="00AC4185">
            <w:pPr>
              <w:autoSpaceDE w:val="0"/>
              <w:autoSpaceDN w:val="0"/>
              <w:adjustRightInd w:val="0"/>
              <w:jc w:val="right"/>
              <w:rPr>
                <w:szCs w:val="21"/>
              </w:rPr>
            </w:pPr>
            <w:r>
              <w:t>188,842.53</w:t>
            </w:r>
          </w:p>
        </w:tc>
        <w:tc>
          <w:tcPr>
            <w:tcW w:w="703" w:type="pct"/>
            <w:tcBorders>
              <w:top w:val="single" w:sz="4" w:space="0" w:color="auto"/>
              <w:left w:val="single" w:sz="4" w:space="0" w:color="auto"/>
              <w:bottom w:val="single" w:sz="4" w:space="0" w:color="auto"/>
              <w:right w:val="single" w:sz="4" w:space="0" w:color="auto"/>
            </w:tcBorders>
          </w:tcPr>
          <w:p w14:paraId="710C9B92" w14:textId="77777777" w:rsidR="00E57DAA" w:rsidRDefault="00AC4185">
            <w:pPr>
              <w:autoSpaceDE w:val="0"/>
              <w:autoSpaceDN w:val="0"/>
              <w:adjustRightInd w:val="0"/>
              <w:jc w:val="right"/>
              <w:rPr>
                <w:szCs w:val="21"/>
              </w:rPr>
            </w:pPr>
            <w:r>
              <w:t>8,133,739.89</w:t>
            </w:r>
          </w:p>
        </w:tc>
        <w:tc>
          <w:tcPr>
            <w:tcW w:w="914" w:type="pct"/>
            <w:tcBorders>
              <w:top w:val="single" w:sz="4" w:space="0" w:color="auto"/>
              <w:left w:val="single" w:sz="4" w:space="0" w:color="auto"/>
              <w:bottom w:val="single" w:sz="4" w:space="0" w:color="auto"/>
              <w:right w:val="single" w:sz="4" w:space="0" w:color="auto"/>
            </w:tcBorders>
          </w:tcPr>
          <w:p w14:paraId="0BB9302C" w14:textId="77777777" w:rsidR="00E57DAA" w:rsidRDefault="00AC4185">
            <w:pPr>
              <w:autoSpaceDE w:val="0"/>
              <w:autoSpaceDN w:val="0"/>
              <w:adjustRightInd w:val="0"/>
              <w:jc w:val="right"/>
              <w:rPr>
                <w:szCs w:val="21"/>
              </w:rPr>
            </w:pPr>
            <w:r>
              <w:t>124,615.65</w:t>
            </w:r>
          </w:p>
        </w:tc>
      </w:tr>
      <w:tr w:rsidR="00E57DAA" w14:paraId="5386DF77" w14:textId="77777777">
        <w:tc>
          <w:tcPr>
            <w:tcW w:w="677" w:type="pct"/>
            <w:tcBorders>
              <w:top w:val="single" w:sz="4" w:space="0" w:color="auto"/>
              <w:left w:val="single" w:sz="4" w:space="0" w:color="auto"/>
              <w:bottom w:val="single" w:sz="4" w:space="0" w:color="auto"/>
              <w:right w:val="single" w:sz="4" w:space="0" w:color="auto"/>
            </w:tcBorders>
            <w:vAlign w:val="center"/>
          </w:tcPr>
          <w:p w14:paraId="08DA896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2D62064" w14:textId="77777777" w:rsidR="00E57DAA" w:rsidRDefault="00AC4185">
            <w:pPr>
              <w:autoSpaceDE w:val="0"/>
              <w:autoSpaceDN w:val="0"/>
              <w:adjustRightInd w:val="0"/>
              <w:rPr>
                <w:szCs w:val="21"/>
              </w:rPr>
            </w:pPr>
            <w:r>
              <w:t>鲁南中联水泥有限公司</w:t>
            </w:r>
          </w:p>
        </w:tc>
        <w:tc>
          <w:tcPr>
            <w:tcW w:w="633" w:type="pct"/>
            <w:tcBorders>
              <w:top w:val="single" w:sz="4" w:space="0" w:color="auto"/>
              <w:left w:val="single" w:sz="4" w:space="0" w:color="auto"/>
              <w:bottom w:val="single" w:sz="4" w:space="0" w:color="auto"/>
              <w:right w:val="single" w:sz="4" w:space="0" w:color="auto"/>
            </w:tcBorders>
          </w:tcPr>
          <w:p w14:paraId="2BA56C5A" w14:textId="77777777" w:rsidR="00E57DAA" w:rsidRDefault="00AC4185">
            <w:pPr>
              <w:autoSpaceDE w:val="0"/>
              <w:autoSpaceDN w:val="0"/>
              <w:adjustRightInd w:val="0"/>
              <w:jc w:val="right"/>
              <w:rPr>
                <w:szCs w:val="21"/>
              </w:rPr>
            </w:pPr>
            <w:r>
              <w:t>7,453,933.58</w:t>
            </w:r>
          </w:p>
        </w:tc>
        <w:tc>
          <w:tcPr>
            <w:tcW w:w="632" w:type="pct"/>
            <w:tcBorders>
              <w:top w:val="single" w:sz="4" w:space="0" w:color="auto"/>
              <w:left w:val="single" w:sz="4" w:space="0" w:color="auto"/>
              <w:bottom w:val="single" w:sz="4" w:space="0" w:color="auto"/>
              <w:right w:val="single" w:sz="4" w:space="0" w:color="auto"/>
            </w:tcBorders>
          </w:tcPr>
          <w:p w14:paraId="043A923D" w14:textId="77777777" w:rsidR="00E57DAA" w:rsidRDefault="00AC4185">
            <w:pPr>
              <w:autoSpaceDE w:val="0"/>
              <w:autoSpaceDN w:val="0"/>
              <w:adjustRightInd w:val="0"/>
              <w:jc w:val="right"/>
              <w:rPr>
                <w:szCs w:val="21"/>
              </w:rPr>
            </w:pPr>
            <w:r>
              <w:t>171,551.92</w:t>
            </w:r>
          </w:p>
        </w:tc>
        <w:tc>
          <w:tcPr>
            <w:tcW w:w="703" w:type="pct"/>
            <w:tcBorders>
              <w:top w:val="single" w:sz="4" w:space="0" w:color="auto"/>
              <w:left w:val="single" w:sz="4" w:space="0" w:color="auto"/>
              <w:bottom w:val="single" w:sz="4" w:space="0" w:color="auto"/>
              <w:right w:val="single" w:sz="4" w:space="0" w:color="auto"/>
            </w:tcBorders>
          </w:tcPr>
          <w:p w14:paraId="5608E3F5" w14:textId="77777777" w:rsidR="00E57DAA" w:rsidRDefault="00AC4185">
            <w:pPr>
              <w:autoSpaceDE w:val="0"/>
              <w:autoSpaceDN w:val="0"/>
              <w:adjustRightInd w:val="0"/>
              <w:jc w:val="right"/>
              <w:rPr>
                <w:szCs w:val="21"/>
              </w:rPr>
            </w:pPr>
            <w:r>
              <w:t>4,456,322.05</w:t>
            </w:r>
          </w:p>
        </w:tc>
        <w:tc>
          <w:tcPr>
            <w:tcW w:w="914" w:type="pct"/>
            <w:tcBorders>
              <w:top w:val="single" w:sz="4" w:space="0" w:color="auto"/>
              <w:left w:val="single" w:sz="4" w:space="0" w:color="auto"/>
              <w:bottom w:val="single" w:sz="4" w:space="0" w:color="auto"/>
              <w:right w:val="single" w:sz="4" w:space="0" w:color="auto"/>
            </w:tcBorders>
          </w:tcPr>
          <w:p w14:paraId="2E1E17E1" w14:textId="77777777" w:rsidR="00E57DAA" w:rsidRDefault="00AC4185">
            <w:pPr>
              <w:autoSpaceDE w:val="0"/>
              <w:autoSpaceDN w:val="0"/>
              <w:adjustRightInd w:val="0"/>
              <w:jc w:val="right"/>
              <w:rPr>
                <w:szCs w:val="21"/>
              </w:rPr>
            </w:pPr>
            <w:r>
              <w:t>158,850.78</w:t>
            </w:r>
          </w:p>
        </w:tc>
      </w:tr>
      <w:tr w:rsidR="00E57DAA" w14:paraId="128DBABF" w14:textId="77777777">
        <w:tc>
          <w:tcPr>
            <w:tcW w:w="677" w:type="pct"/>
            <w:tcBorders>
              <w:top w:val="single" w:sz="4" w:space="0" w:color="auto"/>
              <w:left w:val="single" w:sz="4" w:space="0" w:color="auto"/>
              <w:bottom w:val="single" w:sz="4" w:space="0" w:color="auto"/>
              <w:right w:val="single" w:sz="4" w:space="0" w:color="auto"/>
            </w:tcBorders>
            <w:vAlign w:val="center"/>
          </w:tcPr>
          <w:p w14:paraId="7837B21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B72E37" w14:textId="77777777" w:rsidR="00E57DAA" w:rsidRDefault="00AC4185">
            <w:pPr>
              <w:autoSpaceDE w:val="0"/>
              <w:autoSpaceDN w:val="0"/>
              <w:adjustRightInd w:val="0"/>
              <w:rPr>
                <w:szCs w:val="21"/>
              </w:rPr>
            </w:pPr>
            <w:r>
              <w:t>江西丰城南方水泥有限公司</w:t>
            </w:r>
          </w:p>
        </w:tc>
        <w:tc>
          <w:tcPr>
            <w:tcW w:w="633" w:type="pct"/>
            <w:tcBorders>
              <w:top w:val="single" w:sz="4" w:space="0" w:color="auto"/>
              <w:left w:val="single" w:sz="4" w:space="0" w:color="auto"/>
              <w:bottom w:val="single" w:sz="4" w:space="0" w:color="auto"/>
              <w:right w:val="single" w:sz="4" w:space="0" w:color="auto"/>
            </w:tcBorders>
          </w:tcPr>
          <w:p w14:paraId="0D74A729" w14:textId="77777777" w:rsidR="00E57DAA" w:rsidRDefault="00AC4185">
            <w:pPr>
              <w:autoSpaceDE w:val="0"/>
              <w:autoSpaceDN w:val="0"/>
              <w:adjustRightInd w:val="0"/>
              <w:jc w:val="right"/>
              <w:rPr>
                <w:szCs w:val="21"/>
              </w:rPr>
            </w:pPr>
            <w:r>
              <w:t>7,372,758.12</w:t>
            </w:r>
          </w:p>
        </w:tc>
        <w:tc>
          <w:tcPr>
            <w:tcW w:w="632" w:type="pct"/>
            <w:tcBorders>
              <w:top w:val="single" w:sz="4" w:space="0" w:color="auto"/>
              <w:left w:val="single" w:sz="4" w:space="0" w:color="auto"/>
              <w:bottom w:val="single" w:sz="4" w:space="0" w:color="auto"/>
              <w:right w:val="single" w:sz="4" w:space="0" w:color="auto"/>
            </w:tcBorders>
          </w:tcPr>
          <w:p w14:paraId="4F3D85B1" w14:textId="77777777" w:rsidR="00E57DAA" w:rsidRDefault="00AC4185">
            <w:pPr>
              <w:autoSpaceDE w:val="0"/>
              <w:autoSpaceDN w:val="0"/>
              <w:adjustRightInd w:val="0"/>
              <w:jc w:val="right"/>
              <w:rPr>
                <w:szCs w:val="21"/>
              </w:rPr>
            </w:pPr>
            <w:r>
              <w:t>913,380.53</w:t>
            </w:r>
          </w:p>
        </w:tc>
        <w:tc>
          <w:tcPr>
            <w:tcW w:w="703" w:type="pct"/>
            <w:tcBorders>
              <w:top w:val="single" w:sz="4" w:space="0" w:color="auto"/>
              <w:left w:val="single" w:sz="4" w:space="0" w:color="auto"/>
              <w:bottom w:val="single" w:sz="4" w:space="0" w:color="auto"/>
              <w:right w:val="single" w:sz="4" w:space="0" w:color="auto"/>
            </w:tcBorders>
          </w:tcPr>
          <w:p w14:paraId="063EC12E" w14:textId="77777777" w:rsidR="00E57DAA" w:rsidRDefault="00AC4185">
            <w:pPr>
              <w:autoSpaceDE w:val="0"/>
              <w:autoSpaceDN w:val="0"/>
              <w:adjustRightInd w:val="0"/>
              <w:jc w:val="right"/>
              <w:rPr>
                <w:szCs w:val="21"/>
              </w:rPr>
            </w:pPr>
            <w:r>
              <w:t>6,418,393.00</w:t>
            </w:r>
          </w:p>
        </w:tc>
        <w:tc>
          <w:tcPr>
            <w:tcW w:w="914" w:type="pct"/>
            <w:tcBorders>
              <w:top w:val="single" w:sz="4" w:space="0" w:color="auto"/>
              <w:left w:val="single" w:sz="4" w:space="0" w:color="auto"/>
              <w:bottom w:val="single" w:sz="4" w:space="0" w:color="auto"/>
              <w:right w:val="single" w:sz="4" w:space="0" w:color="auto"/>
            </w:tcBorders>
          </w:tcPr>
          <w:p w14:paraId="3085A813" w14:textId="77777777" w:rsidR="00E57DAA" w:rsidRDefault="00AC4185">
            <w:pPr>
              <w:autoSpaceDE w:val="0"/>
              <w:autoSpaceDN w:val="0"/>
              <w:adjustRightInd w:val="0"/>
              <w:jc w:val="right"/>
              <w:rPr>
                <w:szCs w:val="21"/>
              </w:rPr>
            </w:pPr>
            <w:r>
              <w:t>770,557.18</w:t>
            </w:r>
          </w:p>
        </w:tc>
      </w:tr>
      <w:tr w:rsidR="00E57DAA" w14:paraId="693120FD" w14:textId="77777777">
        <w:tc>
          <w:tcPr>
            <w:tcW w:w="677" w:type="pct"/>
            <w:tcBorders>
              <w:top w:val="single" w:sz="4" w:space="0" w:color="auto"/>
              <w:left w:val="single" w:sz="4" w:space="0" w:color="auto"/>
              <w:bottom w:val="single" w:sz="4" w:space="0" w:color="auto"/>
              <w:right w:val="single" w:sz="4" w:space="0" w:color="auto"/>
            </w:tcBorders>
            <w:vAlign w:val="center"/>
          </w:tcPr>
          <w:p w14:paraId="6241DCB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3BC720E" w14:textId="77777777" w:rsidR="00E57DAA" w:rsidRDefault="00AC4185">
            <w:pPr>
              <w:autoSpaceDE w:val="0"/>
              <w:autoSpaceDN w:val="0"/>
              <w:adjustRightInd w:val="0"/>
              <w:rPr>
                <w:szCs w:val="21"/>
              </w:rPr>
            </w:pPr>
            <w:r>
              <w:t>克州天山水泥有限责任公司</w:t>
            </w:r>
          </w:p>
        </w:tc>
        <w:tc>
          <w:tcPr>
            <w:tcW w:w="633" w:type="pct"/>
            <w:tcBorders>
              <w:top w:val="single" w:sz="4" w:space="0" w:color="auto"/>
              <w:left w:val="single" w:sz="4" w:space="0" w:color="auto"/>
              <w:bottom w:val="single" w:sz="4" w:space="0" w:color="auto"/>
              <w:right w:val="single" w:sz="4" w:space="0" w:color="auto"/>
            </w:tcBorders>
          </w:tcPr>
          <w:p w14:paraId="3F705150" w14:textId="77777777" w:rsidR="00E57DAA" w:rsidRDefault="00AC4185">
            <w:pPr>
              <w:autoSpaceDE w:val="0"/>
              <w:autoSpaceDN w:val="0"/>
              <w:adjustRightInd w:val="0"/>
              <w:jc w:val="right"/>
              <w:rPr>
                <w:szCs w:val="21"/>
              </w:rPr>
            </w:pPr>
            <w:r>
              <w:t>7,194,887.24</w:t>
            </w:r>
          </w:p>
        </w:tc>
        <w:tc>
          <w:tcPr>
            <w:tcW w:w="632" w:type="pct"/>
            <w:tcBorders>
              <w:top w:val="single" w:sz="4" w:space="0" w:color="auto"/>
              <w:left w:val="single" w:sz="4" w:space="0" w:color="auto"/>
              <w:bottom w:val="single" w:sz="4" w:space="0" w:color="auto"/>
              <w:right w:val="single" w:sz="4" w:space="0" w:color="auto"/>
            </w:tcBorders>
          </w:tcPr>
          <w:p w14:paraId="52EC35D0" w14:textId="77777777" w:rsidR="00E57DAA" w:rsidRDefault="00AC4185">
            <w:pPr>
              <w:autoSpaceDE w:val="0"/>
              <w:autoSpaceDN w:val="0"/>
              <w:adjustRightInd w:val="0"/>
              <w:jc w:val="right"/>
              <w:rPr>
                <w:szCs w:val="21"/>
              </w:rPr>
            </w:pPr>
            <w:r>
              <w:t>396,104.76</w:t>
            </w:r>
          </w:p>
        </w:tc>
        <w:tc>
          <w:tcPr>
            <w:tcW w:w="703" w:type="pct"/>
            <w:tcBorders>
              <w:top w:val="single" w:sz="4" w:space="0" w:color="auto"/>
              <w:left w:val="single" w:sz="4" w:space="0" w:color="auto"/>
              <w:bottom w:val="single" w:sz="4" w:space="0" w:color="auto"/>
              <w:right w:val="single" w:sz="4" w:space="0" w:color="auto"/>
            </w:tcBorders>
          </w:tcPr>
          <w:p w14:paraId="4AD95EE7" w14:textId="77777777" w:rsidR="00E57DAA" w:rsidRDefault="00AC4185">
            <w:pPr>
              <w:autoSpaceDE w:val="0"/>
              <w:autoSpaceDN w:val="0"/>
              <w:adjustRightInd w:val="0"/>
              <w:jc w:val="right"/>
              <w:rPr>
                <w:szCs w:val="21"/>
              </w:rPr>
            </w:pPr>
            <w:r>
              <w:t>14,186,475.27</w:t>
            </w:r>
          </w:p>
        </w:tc>
        <w:tc>
          <w:tcPr>
            <w:tcW w:w="914" w:type="pct"/>
            <w:tcBorders>
              <w:top w:val="single" w:sz="4" w:space="0" w:color="auto"/>
              <w:left w:val="single" w:sz="4" w:space="0" w:color="auto"/>
              <w:bottom w:val="single" w:sz="4" w:space="0" w:color="auto"/>
              <w:right w:val="single" w:sz="4" w:space="0" w:color="auto"/>
            </w:tcBorders>
          </w:tcPr>
          <w:p w14:paraId="101AA4CE" w14:textId="77777777" w:rsidR="00E57DAA" w:rsidRDefault="00AC4185">
            <w:pPr>
              <w:autoSpaceDE w:val="0"/>
              <w:autoSpaceDN w:val="0"/>
              <w:adjustRightInd w:val="0"/>
              <w:jc w:val="right"/>
              <w:rPr>
                <w:szCs w:val="21"/>
              </w:rPr>
            </w:pPr>
            <w:r>
              <w:t>242,919.39</w:t>
            </w:r>
          </w:p>
        </w:tc>
      </w:tr>
      <w:tr w:rsidR="00E57DAA" w14:paraId="4C720C6D" w14:textId="77777777">
        <w:tc>
          <w:tcPr>
            <w:tcW w:w="677" w:type="pct"/>
            <w:tcBorders>
              <w:top w:val="single" w:sz="4" w:space="0" w:color="auto"/>
              <w:left w:val="single" w:sz="4" w:space="0" w:color="auto"/>
              <w:bottom w:val="single" w:sz="4" w:space="0" w:color="auto"/>
              <w:right w:val="single" w:sz="4" w:space="0" w:color="auto"/>
            </w:tcBorders>
            <w:vAlign w:val="center"/>
          </w:tcPr>
          <w:p w14:paraId="1CCB85E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6DD5373" w14:textId="77777777" w:rsidR="00E57DAA" w:rsidRDefault="00AC4185">
            <w:pPr>
              <w:autoSpaceDE w:val="0"/>
              <w:autoSpaceDN w:val="0"/>
              <w:adjustRightInd w:val="0"/>
              <w:rPr>
                <w:szCs w:val="21"/>
              </w:rPr>
            </w:pPr>
            <w:r>
              <w:t>吐鲁番天山水泥有限责任公司</w:t>
            </w:r>
          </w:p>
        </w:tc>
        <w:tc>
          <w:tcPr>
            <w:tcW w:w="633" w:type="pct"/>
            <w:tcBorders>
              <w:top w:val="single" w:sz="4" w:space="0" w:color="auto"/>
              <w:left w:val="single" w:sz="4" w:space="0" w:color="auto"/>
              <w:bottom w:val="single" w:sz="4" w:space="0" w:color="auto"/>
              <w:right w:val="single" w:sz="4" w:space="0" w:color="auto"/>
            </w:tcBorders>
          </w:tcPr>
          <w:p w14:paraId="33D73CC4" w14:textId="77777777" w:rsidR="00E57DAA" w:rsidRDefault="00AC4185">
            <w:pPr>
              <w:autoSpaceDE w:val="0"/>
              <w:autoSpaceDN w:val="0"/>
              <w:adjustRightInd w:val="0"/>
              <w:jc w:val="right"/>
              <w:rPr>
                <w:szCs w:val="21"/>
              </w:rPr>
            </w:pPr>
            <w:r>
              <w:t>6,746,754.21</w:t>
            </w:r>
          </w:p>
        </w:tc>
        <w:tc>
          <w:tcPr>
            <w:tcW w:w="632" w:type="pct"/>
            <w:tcBorders>
              <w:top w:val="single" w:sz="4" w:space="0" w:color="auto"/>
              <w:left w:val="single" w:sz="4" w:space="0" w:color="auto"/>
              <w:bottom w:val="single" w:sz="4" w:space="0" w:color="auto"/>
              <w:right w:val="single" w:sz="4" w:space="0" w:color="auto"/>
            </w:tcBorders>
          </w:tcPr>
          <w:p w14:paraId="63430ACF" w14:textId="77777777" w:rsidR="00E57DAA" w:rsidRDefault="00AC4185">
            <w:pPr>
              <w:autoSpaceDE w:val="0"/>
              <w:autoSpaceDN w:val="0"/>
              <w:adjustRightInd w:val="0"/>
              <w:jc w:val="right"/>
              <w:rPr>
                <w:szCs w:val="21"/>
              </w:rPr>
            </w:pPr>
            <w:r>
              <w:t>196,776.89</w:t>
            </w:r>
          </w:p>
        </w:tc>
        <w:tc>
          <w:tcPr>
            <w:tcW w:w="703" w:type="pct"/>
            <w:tcBorders>
              <w:top w:val="single" w:sz="4" w:space="0" w:color="auto"/>
              <w:left w:val="single" w:sz="4" w:space="0" w:color="auto"/>
              <w:bottom w:val="single" w:sz="4" w:space="0" w:color="auto"/>
              <w:right w:val="single" w:sz="4" w:space="0" w:color="auto"/>
            </w:tcBorders>
          </w:tcPr>
          <w:p w14:paraId="1E029EB6" w14:textId="77777777" w:rsidR="00E57DAA" w:rsidRDefault="00AC4185">
            <w:pPr>
              <w:autoSpaceDE w:val="0"/>
              <w:autoSpaceDN w:val="0"/>
              <w:adjustRightInd w:val="0"/>
              <w:jc w:val="right"/>
              <w:rPr>
                <w:szCs w:val="21"/>
              </w:rPr>
            </w:pPr>
            <w:r>
              <w:t>330,920.00</w:t>
            </w:r>
          </w:p>
        </w:tc>
        <w:tc>
          <w:tcPr>
            <w:tcW w:w="914" w:type="pct"/>
            <w:tcBorders>
              <w:top w:val="single" w:sz="4" w:space="0" w:color="auto"/>
              <w:left w:val="single" w:sz="4" w:space="0" w:color="auto"/>
              <w:bottom w:val="single" w:sz="4" w:space="0" w:color="auto"/>
              <w:right w:val="single" w:sz="4" w:space="0" w:color="auto"/>
            </w:tcBorders>
          </w:tcPr>
          <w:p w14:paraId="658F7B17" w14:textId="77777777" w:rsidR="00E57DAA" w:rsidRDefault="00AC4185">
            <w:pPr>
              <w:autoSpaceDE w:val="0"/>
              <w:autoSpaceDN w:val="0"/>
              <w:adjustRightInd w:val="0"/>
              <w:jc w:val="right"/>
              <w:rPr>
                <w:szCs w:val="21"/>
              </w:rPr>
            </w:pPr>
            <w:r>
              <w:t>41,824.46</w:t>
            </w:r>
          </w:p>
        </w:tc>
      </w:tr>
      <w:tr w:rsidR="00E57DAA" w14:paraId="5D7C333A" w14:textId="77777777">
        <w:tc>
          <w:tcPr>
            <w:tcW w:w="677" w:type="pct"/>
            <w:tcBorders>
              <w:top w:val="single" w:sz="4" w:space="0" w:color="auto"/>
              <w:left w:val="single" w:sz="4" w:space="0" w:color="auto"/>
              <w:bottom w:val="single" w:sz="4" w:space="0" w:color="auto"/>
              <w:right w:val="single" w:sz="4" w:space="0" w:color="auto"/>
            </w:tcBorders>
            <w:vAlign w:val="center"/>
          </w:tcPr>
          <w:p w14:paraId="4E53A11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957D3FB" w14:textId="77777777" w:rsidR="00E57DAA" w:rsidRDefault="00AC4185">
            <w:pPr>
              <w:autoSpaceDE w:val="0"/>
              <w:autoSpaceDN w:val="0"/>
              <w:adjustRightInd w:val="0"/>
              <w:rPr>
                <w:szCs w:val="21"/>
              </w:rPr>
            </w:pPr>
            <w:r>
              <w:t>湖南安仁南方水泥有限公司</w:t>
            </w:r>
          </w:p>
        </w:tc>
        <w:tc>
          <w:tcPr>
            <w:tcW w:w="633" w:type="pct"/>
            <w:tcBorders>
              <w:top w:val="single" w:sz="4" w:space="0" w:color="auto"/>
              <w:left w:val="single" w:sz="4" w:space="0" w:color="auto"/>
              <w:bottom w:val="single" w:sz="4" w:space="0" w:color="auto"/>
              <w:right w:val="single" w:sz="4" w:space="0" w:color="auto"/>
            </w:tcBorders>
          </w:tcPr>
          <w:p w14:paraId="396C4237" w14:textId="77777777" w:rsidR="00E57DAA" w:rsidRDefault="00AC4185">
            <w:pPr>
              <w:autoSpaceDE w:val="0"/>
              <w:autoSpaceDN w:val="0"/>
              <w:adjustRightInd w:val="0"/>
              <w:jc w:val="right"/>
              <w:rPr>
                <w:szCs w:val="21"/>
              </w:rPr>
            </w:pPr>
            <w:r>
              <w:t>6,487,432.96</w:t>
            </w:r>
          </w:p>
        </w:tc>
        <w:tc>
          <w:tcPr>
            <w:tcW w:w="632" w:type="pct"/>
            <w:tcBorders>
              <w:top w:val="single" w:sz="4" w:space="0" w:color="auto"/>
              <w:left w:val="single" w:sz="4" w:space="0" w:color="auto"/>
              <w:bottom w:val="single" w:sz="4" w:space="0" w:color="auto"/>
              <w:right w:val="single" w:sz="4" w:space="0" w:color="auto"/>
            </w:tcBorders>
          </w:tcPr>
          <w:p w14:paraId="0934FF8A" w14:textId="77777777" w:rsidR="00E57DAA" w:rsidRDefault="00AC4185">
            <w:pPr>
              <w:autoSpaceDE w:val="0"/>
              <w:autoSpaceDN w:val="0"/>
              <w:adjustRightInd w:val="0"/>
              <w:jc w:val="right"/>
              <w:rPr>
                <w:szCs w:val="21"/>
              </w:rPr>
            </w:pPr>
            <w:r>
              <w:t>930,463.33</w:t>
            </w:r>
          </w:p>
        </w:tc>
        <w:tc>
          <w:tcPr>
            <w:tcW w:w="703" w:type="pct"/>
            <w:tcBorders>
              <w:top w:val="single" w:sz="4" w:space="0" w:color="auto"/>
              <w:left w:val="single" w:sz="4" w:space="0" w:color="auto"/>
              <w:bottom w:val="single" w:sz="4" w:space="0" w:color="auto"/>
              <w:right w:val="single" w:sz="4" w:space="0" w:color="auto"/>
            </w:tcBorders>
          </w:tcPr>
          <w:p w14:paraId="513C1684" w14:textId="77777777" w:rsidR="00E57DAA" w:rsidRDefault="00AC4185">
            <w:pPr>
              <w:autoSpaceDE w:val="0"/>
              <w:autoSpaceDN w:val="0"/>
              <w:adjustRightInd w:val="0"/>
              <w:jc w:val="right"/>
              <w:rPr>
                <w:szCs w:val="21"/>
              </w:rPr>
            </w:pPr>
            <w:r>
              <w:t>8,532,432.96</w:t>
            </w:r>
          </w:p>
        </w:tc>
        <w:tc>
          <w:tcPr>
            <w:tcW w:w="914" w:type="pct"/>
            <w:tcBorders>
              <w:top w:val="single" w:sz="4" w:space="0" w:color="auto"/>
              <w:left w:val="single" w:sz="4" w:space="0" w:color="auto"/>
              <w:bottom w:val="single" w:sz="4" w:space="0" w:color="auto"/>
              <w:right w:val="single" w:sz="4" w:space="0" w:color="auto"/>
            </w:tcBorders>
          </w:tcPr>
          <w:p w14:paraId="0938A770" w14:textId="77777777" w:rsidR="00E57DAA" w:rsidRDefault="00AC4185">
            <w:pPr>
              <w:autoSpaceDE w:val="0"/>
              <w:autoSpaceDN w:val="0"/>
              <w:adjustRightInd w:val="0"/>
              <w:jc w:val="right"/>
              <w:rPr>
                <w:szCs w:val="21"/>
              </w:rPr>
            </w:pPr>
            <w:r>
              <w:t>550,816.42</w:t>
            </w:r>
          </w:p>
        </w:tc>
      </w:tr>
      <w:tr w:rsidR="00E57DAA" w14:paraId="3FF65341" w14:textId="77777777">
        <w:tc>
          <w:tcPr>
            <w:tcW w:w="677" w:type="pct"/>
            <w:tcBorders>
              <w:top w:val="single" w:sz="4" w:space="0" w:color="auto"/>
              <w:left w:val="single" w:sz="4" w:space="0" w:color="auto"/>
              <w:bottom w:val="single" w:sz="4" w:space="0" w:color="auto"/>
              <w:right w:val="single" w:sz="4" w:space="0" w:color="auto"/>
            </w:tcBorders>
            <w:vAlign w:val="center"/>
          </w:tcPr>
          <w:p w14:paraId="00C6131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9D7E73F" w14:textId="77777777" w:rsidR="00E57DAA" w:rsidRDefault="00AC4185">
            <w:pPr>
              <w:autoSpaceDE w:val="0"/>
              <w:autoSpaceDN w:val="0"/>
              <w:adjustRightInd w:val="0"/>
              <w:rPr>
                <w:szCs w:val="21"/>
              </w:rPr>
            </w:pPr>
            <w:r>
              <w:t>德安县南方新材料有限公司</w:t>
            </w:r>
          </w:p>
        </w:tc>
        <w:tc>
          <w:tcPr>
            <w:tcW w:w="633" w:type="pct"/>
            <w:tcBorders>
              <w:top w:val="single" w:sz="4" w:space="0" w:color="auto"/>
              <w:left w:val="single" w:sz="4" w:space="0" w:color="auto"/>
              <w:bottom w:val="single" w:sz="4" w:space="0" w:color="auto"/>
              <w:right w:val="single" w:sz="4" w:space="0" w:color="auto"/>
            </w:tcBorders>
          </w:tcPr>
          <w:p w14:paraId="7ACF4010" w14:textId="77777777" w:rsidR="00E57DAA" w:rsidRDefault="00AC4185">
            <w:pPr>
              <w:autoSpaceDE w:val="0"/>
              <w:autoSpaceDN w:val="0"/>
              <w:adjustRightInd w:val="0"/>
              <w:jc w:val="right"/>
              <w:rPr>
                <w:szCs w:val="21"/>
              </w:rPr>
            </w:pPr>
            <w:r>
              <w:t>6,471,203.01</w:t>
            </w:r>
          </w:p>
        </w:tc>
        <w:tc>
          <w:tcPr>
            <w:tcW w:w="632" w:type="pct"/>
            <w:tcBorders>
              <w:top w:val="single" w:sz="4" w:space="0" w:color="auto"/>
              <w:left w:val="single" w:sz="4" w:space="0" w:color="auto"/>
              <w:bottom w:val="single" w:sz="4" w:space="0" w:color="auto"/>
              <w:right w:val="single" w:sz="4" w:space="0" w:color="auto"/>
            </w:tcBorders>
          </w:tcPr>
          <w:p w14:paraId="7BD9ABDB" w14:textId="77777777" w:rsidR="00E57DAA" w:rsidRDefault="00AC4185">
            <w:pPr>
              <w:autoSpaceDE w:val="0"/>
              <w:autoSpaceDN w:val="0"/>
              <w:adjustRightInd w:val="0"/>
              <w:jc w:val="right"/>
              <w:rPr>
                <w:szCs w:val="21"/>
              </w:rPr>
            </w:pPr>
            <w:r>
              <w:t>26,155.41</w:t>
            </w:r>
          </w:p>
        </w:tc>
        <w:tc>
          <w:tcPr>
            <w:tcW w:w="703" w:type="pct"/>
            <w:tcBorders>
              <w:top w:val="single" w:sz="4" w:space="0" w:color="auto"/>
              <w:left w:val="single" w:sz="4" w:space="0" w:color="auto"/>
              <w:bottom w:val="single" w:sz="4" w:space="0" w:color="auto"/>
              <w:right w:val="single" w:sz="4" w:space="0" w:color="auto"/>
            </w:tcBorders>
          </w:tcPr>
          <w:p w14:paraId="68A2EF1C" w14:textId="77777777" w:rsidR="00E57DAA" w:rsidRDefault="00AC4185">
            <w:pPr>
              <w:autoSpaceDE w:val="0"/>
              <w:autoSpaceDN w:val="0"/>
              <w:adjustRightInd w:val="0"/>
              <w:jc w:val="right"/>
              <w:rPr>
                <w:szCs w:val="21"/>
              </w:rPr>
            </w:pPr>
            <w:r>
              <w:t>2,202,167.06</w:t>
            </w:r>
          </w:p>
        </w:tc>
        <w:tc>
          <w:tcPr>
            <w:tcW w:w="914" w:type="pct"/>
            <w:tcBorders>
              <w:top w:val="single" w:sz="4" w:space="0" w:color="auto"/>
              <w:left w:val="single" w:sz="4" w:space="0" w:color="auto"/>
              <w:bottom w:val="single" w:sz="4" w:space="0" w:color="auto"/>
              <w:right w:val="single" w:sz="4" w:space="0" w:color="auto"/>
            </w:tcBorders>
          </w:tcPr>
          <w:p w14:paraId="4DBBFD6E" w14:textId="77777777" w:rsidR="00E57DAA" w:rsidRDefault="00AC4185">
            <w:pPr>
              <w:autoSpaceDE w:val="0"/>
              <w:autoSpaceDN w:val="0"/>
              <w:adjustRightInd w:val="0"/>
              <w:jc w:val="right"/>
              <w:rPr>
                <w:szCs w:val="21"/>
              </w:rPr>
            </w:pPr>
            <w:r>
              <w:t>15,631.53</w:t>
            </w:r>
          </w:p>
        </w:tc>
      </w:tr>
      <w:tr w:rsidR="00E57DAA" w14:paraId="5DBEDF19" w14:textId="77777777">
        <w:tc>
          <w:tcPr>
            <w:tcW w:w="677" w:type="pct"/>
            <w:tcBorders>
              <w:top w:val="single" w:sz="4" w:space="0" w:color="auto"/>
              <w:left w:val="single" w:sz="4" w:space="0" w:color="auto"/>
              <w:bottom w:val="single" w:sz="4" w:space="0" w:color="auto"/>
              <w:right w:val="single" w:sz="4" w:space="0" w:color="auto"/>
            </w:tcBorders>
            <w:vAlign w:val="center"/>
          </w:tcPr>
          <w:p w14:paraId="67E4CCD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F9320FB" w14:textId="77777777" w:rsidR="00E57DAA" w:rsidRDefault="00AC4185">
            <w:pPr>
              <w:autoSpaceDE w:val="0"/>
              <w:autoSpaceDN w:val="0"/>
              <w:adjustRightInd w:val="0"/>
              <w:rPr>
                <w:szCs w:val="21"/>
              </w:rPr>
            </w:pPr>
            <w:r>
              <w:t>中材汉江水泥股份有限公司</w:t>
            </w:r>
          </w:p>
        </w:tc>
        <w:tc>
          <w:tcPr>
            <w:tcW w:w="633" w:type="pct"/>
            <w:tcBorders>
              <w:top w:val="single" w:sz="4" w:space="0" w:color="auto"/>
              <w:left w:val="single" w:sz="4" w:space="0" w:color="auto"/>
              <w:bottom w:val="single" w:sz="4" w:space="0" w:color="auto"/>
              <w:right w:val="single" w:sz="4" w:space="0" w:color="auto"/>
            </w:tcBorders>
          </w:tcPr>
          <w:p w14:paraId="5A6524F5" w14:textId="77777777" w:rsidR="00E57DAA" w:rsidRDefault="00AC4185">
            <w:pPr>
              <w:autoSpaceDE w:val="0"/>
              <w:autoSpaceDN w:val="0"/>
              <w:adjustRightInd w:val="0"/>
              <w:jc w:val="right"/>
              <w:rPr>
                <w:szCs w:val="21"/>
              </w:rPr>
            </w:pPr>
            <w:r>
              <w:t>6,430,884.22</w:t>
            </w:r>
          </w:p>
        </w:tc>
        <w:tc>
          <w:tcPr>
            <w:tcW w:w="632" w:type="pct"/>
            <w:tcBorders>
              <w:top w:val="single" w:sz="4" w:space="0" w:color="auto"/>
              <w:left w:val="single" w:sz="4" w:space="0" w:color="auto"/>
              <w:bottom w:val="single" w:sz="4" w:space="0" w:color="auto"/>
              <w:right w:val="single" w:sz="4" w:space="0" w:color="auto"/>
            </w:tcBorders>
          </w:tcPr>
          <w:p w14:paraId="7547BACB" w14:textId="77777777" w:rsidR="00E57DAA" w:rsidRDefault="00AC4185">
            <w:pPr>
              <w:autoSpaceDE w:val="0"/>
              <w:autoSpaceDN w:val="0"/>
              <w:adjustRightInd w:val="0"/>
              <w:jc w:val="right"/>
              <w:rPr>
                <w:szCs w:val="21"/>
              </w:rPr>
            </w:pPr>
            <w:r>
              <w:t>538,794.09</w:t>
            </w:r>
          </w:p>
        </w:tc>
        <w:tc>
          <w:tcPr>
            <w:tcW w:w="703" w:type="pct"/>
            <w:tcBorders>
              <w:top w:val="single" w:sz="4" w:space="0" w:color="auto"/>
              <w:left w:val="single" w:sz="4" w:space="0" w:color="auto"/>
              <w:bottom w:val="single" w:sz="4" w:space="0" w:color="auto"/>
              <w:right w:val="single" w:sz="4" w:space="0" w:color="auto"/>
            </w:tcBorders>
          </w:tcPr>
          <w:p w14:paraId="5BD5FE3F" w14:textId="77777777" w:rsidR="00E57DAA" w:rsidRDefault="00AC4185">
            <w:pPr>
              <w:autoSpaceDE w:val="0"/>
              <w:autoSpaceDN w:val="0"/>
              <w:adjustRightInd w:val="0"/>
              <w:jc w:val="right"/>
              <w:rPr>
                <w:szCs w:val="21"/>
              </w:rPr>
            </w:pPr>
            <w:r>
              <w:t>1,542,729.32</w:t>
            </w:r>
          </w:p>
        </w:tc>
        <w:tc>
          <w:tcPr>
            <w:tcW w:w="914" w:type="pct"/>
            <w:tcBorders>
              <w:top w:val="single" w:sz="4" w:space="0" w:color="auto"/>
              <w:left w:val="single" w:sz="4" w:space="0" w:color="auto"/>
              <w:bottom w:val="single" w:sz="4" w:space="0" w:color="auto"/>
              <w:right w:val="single" w:sz="4" w:space="0" w:color="auto"/>
            </w:tcBorders>
          </w:tcPr>
          <w:p w14:paraId="3B87A482" w14:textId="77777777" w:rsidR="00E57DAA" w:rsidRDefault="00AC4185">
            <w:pPr>
              <w:autoSpaceDE w:val="0"/>
              <w:autoSpaceDN w:val="0"/>
              <w:adjustRightInd w:val="0"/>
              <w:jc w:val="right"/>
              <w:rPr>
                <w:szCs w:val="21"/>
              </w:rPr>
            </w:pPr>
            <w:r>
              <w:t>186,845.48</w:t>
            </w:r>
          </w:p>
        </w:tc>
      </w:tr>
      <w:tr w:rsidR="00E57DAA" w14:paraId="136D87F6" w14:textId="77777777">
        <w:tc>
          <w:tcPr>
            <w:tcW w:w="677" w:type="pct"/>
            <w:tcBorders>
              <w:top w:val="single" w:sz="4" w:space="0" w:color="auto"/>
              <w:left w:val="single" w:sz="4" w:space="0" w:color="auto"/>
              <w:bottom w:val="single" w:sz="4" w:space="0" w:color="auto"/>
              <w:right w:val="single" w:sz="4" w:space="0" w:color="auto"/>
            </w:tcBorders>
            <w:vAlign w:val="center"/>
          </w:tcPr>
          <w:p w14:paraId="7E81B40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0E514C3" w14:textId="77777777" w:rsidR="00E57DAA" w:rsidRDefault="00AC4185">
            <w:pPr>
              <w:autoSpaceDE w:val="0"/>
              <w:autoSpaceDN w:val="0"/>
              <w:adjustRightInd w:val="0"/>
              <w:rPr>
                <w:szCs w:val="21"/>
              </w:rPr>
            </w:pPr>
            <w:r>
              <w:t>曲靖市宣威宇恒水泥有限公司</w:t>
            </w:r>
          </w:p>
        </w:tc>
        <w:tc>
          <w:tcPr>
            <w:tcW w:w="633" w:type="pct"/>
            <w:tcBorders>
              <w:top w:val="single" w:sz="4" w:space="0" w:color="auto"/>
              <w:left w:val="single" w:sz="4" w:space="0" w:color="auto"/>
              <w:bottom w:val="single" w:sz="4" w:space="0" w:color="auto"/>
              <w:right w:val="single" w:sz="4" w:space="0" w:color="auto"/>
            </w:tcBorders>
          </w:tcPr>
          <w:p w14:paraId="7F5A65F6" w14:textId="77777777" w:rsidR="00E57DAA" w:rsidRDefault="00AC4185">
            <w:pPr>
              <w:autoSpaceDE w:val="0"/>
              <w:autoSpaceDN w:val="0"/>
              <w:adjustRightInd w:val="0"/>
              <w:jc w:val="right"/>
              <w:rPr>
                <w:szCs w:val="21"/>
              </w:rPr>
            </w:pPr>
            <w:r>
              <w:t>6,428,032.00</w:t>
            </w:r>
          </w:p>
        </w:tc>
        <w:tc>
          <w:tcPr>
            <w:tcW w:w="632" w:type="pct"/>
            <w:tcBorders>
              <w:top w:val="single" w:sz="4" w:space="0" w:color="auto"/>
              <w:left w:val="single" w:sz="4" w:space="0" w:color="auto"/>
              <w:bottom w:val="single" w:sz="4" w:space="0" w:color="auto"/>
              <w:right w:val="single" w:sz="4" w:space="0" w:color="auto"/>
            </w:tcBorders>
          </w:tcPr>
          <w:p w14:paraId="4A068880" w14:textId="77777777" w:rsidR="00E57DAA" w:rsidRDefault="00AC4185">
            <w:pPr>
              <w:autoSpaceDE w:val="0"/>
              <w:autoSpaceDN w:val="0"/>
              <w:adjustRightInd w:val="0"/>
              <w:jc w:val="right"/>
              <w:rPr>
                <w:szCs w:val="21"/>
              </w:rPr>
            </w:pPr>
            <w:r>
              <w:t>211,870.25</w:t>
            </w:r>
          </w:p>
        </w:tc>
        <w:tc>
          <w:tcPr>
            <w:tcW w:w="703" w:type="pct"/>
            <w:tcBorders>
              <w:top w:val="single" w:sz="4" w:space="0" w:color="auto"/>
              <w:left w:val="single" w:sz="4" w:space="0" w:color="auto"/>
              <w:bottom w:val="single" w:sz="4" w:space="0" w:color="auto"/>
              <w:right w:val="single" w:sz="4" w:space="0" w:color="auto"/>
            </w:tcBorders>
          </w:tcPr>
          <w:p w14:paraId="77AF7355" w14:textId="77777777" w:rsidR="00E57DAA" w:rsidRDefault="00AC4185">
            <w:pPr>
              <w:autoSpaceDE w:val="0"/>
              <w:autoSpaceDN w:val="0"/>
              <w:adjustRightInd w:val="0"/>
              <w:jc w:val="right"/>
              <w:rPr>
                <w:szCs w:val="21"/>
              </w:rPr>
            </w:pPr>
            <w:r>
              <w:t>68,120.00</w:t>
            </w:r>
          </w:p>
        </w:tc>
        <w:tc>
          <w:tcPr>
            <w:tcW w:w="914" w:type="pct"/>
            <w:tcBorders>
              <w:top w:val="single" w:sz="4" w:space="0" w:color="auto"/>
              <w:left w:val="single" w:sz="4" w:space="0" w:color="auto"/>
              <w:bottom w:val="single" w:sz="4" w:space="0" w:color="auto"/>
              <w:right w:val="single" w:sz="4" w:space="0" w:color="auto"/>
            </w:tcBorders>
          </w:tcPr>
          <w:p w14:paraId="20E8861B" w14:textId="77777777" w:rsidR="00E57DAA" w:rsidRDefault="00AC4185">
            <w:pPr>
              <w:autoSpaceDE w:val="0"/>
              <w:autoSpaceDN w:val="0"/>
              <w:adjustRightInd w:val="0"/>
              <w:jc w:val="right"/>
              <w:rPr>
                <w:szCs w:val="21"/>
              </w:rPr>
            </w:pPr>
            <w:r>
              <w:t>59,646.00</w:t>
            </w:r>
          </w:p>
        </w:tc>
      </w:tr>
      <w:tr w:rsidR="00E57DAA" w14:paraId="7490FB63" w14:textId="77777777">
        <w:tc>
          <w:tcPr>
            <w:tcW w:w="677" w:type="pct"/>
            <w:tcBorders>
              <w:top w:val="single" w:sz="4" w:space="0" w:color="auto"/>
              <w:left w:val="single" w:sz="4" w:space="0" w:color="auto"/>
              <w:bottom w:val="single" w:sz="4" w:space="0" w:color="auto"/>
              <w:right w:val="single" w:sz="4" w:space="0" w:color="auto"/>
            </w:tcBorders>
            <w:vAlign w:val="center"/>
          </w:tcPr>
          <w:p w14:paraId="6C05AD2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0D08144" w14:textId="77777777" w:rsidR="00E57DAA" w:rsidRDefault="00AC4185">
            <w:pPr>
              <w:autoSpaceDE w:val="0"/>
              <w:autoSpaceDN w:val="0"/>
              <w:adjustRightInd w:val="0"/>
              <w:rPr>
                <w:szCs w:val="21"/>
              </w:rPr>
            </w:pPr>
            <w:r>
              <w:t>巴彦淖尔中联水泥有限公司</w:t>
            </w:r>
          </w:p>
        </w:tc>
        <w:tc>
          <w:tcPr>
            <w:tcW w:w="633" w:type="pct"/>
            <w:tcBorders>
              <w:top w:val="single" w:sz="4" w:space="0" w:color="auto"/>
              <w:left w:val="single" w:sz="4" w:space="0" w:color="auto"/>
              <w:bottom w:val="single" w:sz="4" w:space="0" w:color="auto"/>
              <w:right w:val="single" w:sz="4" w:space="0" w:color="auto"/>
            </w:tcBorders>
          </w:tcPr>
          <w:p w14:paraId="49FBEE49" w14:textId="77777777" w:rsidR="00E57DAA" w:rsidRDefault="00AC4185">
            <w:pPr>
              <w:autoSpaceDE w:val="0"/>
              <w:autoSpaceDN w:val="0"/>
              <w:adjustRightInd w:val="0"/>
              <w:jc w:val="right"/>
              <w:rPr>
                <w:szCs w:val="21"/>
              </w:rPr>
            </w:pPr>
            <w:r>
              <w:t>6,328,172.69</w:t>
            </w:r>
          </w:p>
        </w:tc>
        <w:tc>
          <w:tcPr>
            <w:tcW w:w="632" w:type="pct"/>
            <w:tcBorders>
              <w:top w:val="single" w:sz="4" w:space="0" w:color="auto"/>
              <w:left w:val="single" w:sz="4" w:space="0" w:color="auto"/>
              <w:bottom w:val="single" w:sz="4" w:space="0" w:color="auto"/>
              <w:right w:val="single" w:sz="4" w:space="0" w:color="auto"/>
            </w:tcBorders>
          </w:tcPr>
          <w:p w14:paraId="60F14587" w14:textId="77777777" w:rsidR="00E57DAA" w:rsidRDefault="00AC4185">
            <w:pPr>
              <w:autoSpaceDE w:val="0"/>
              <w:autoSpaceDN w:val="0"/>
              <w:adjustRightInd w:val="0"/>
              <w:jc w:val="right"/>
              <w:rPr>
                <w:szCs w:val="21"/>
              </w:rPr>
            </w:pPr>
            <w:r>
              <w:t>28,775.79</w:t>
            </w:r>
          </w:p>
        </w:tc>
        <w:tc>
          <w:tcPr>
            <w:tcW w:w="703" w:type="pct"/>
            <w:tcBorders>
              <w:top w:val="single" w:sz="4" w:space="0" w:color="auto"/>
              <w:left w:val="single" w:sz="4" w:space="0" w:color="auto"/>
              <w:bottom w:val="single" w:sz="4" w:space="0" w:color="auto"/>
              <w:right w:val="single" w:sz="4" w:space="0" w:color="auto"/>
            </w:tcBorders>
          </w:tcPr>
          <w:p w14:paraId="2305322C" w14:textId="77777777" w:rsidR="00E57DAA" w:rsidRDefault="00AC4185">
            <w:pPr>
              <w:autoSpaceDE w:val="0"/>
              <w:autoSpaceDN w:val="0"/>
              <w:adjustRightInd w:val="0"/>
              <w:jc w:val="right"/>
              <w:rPr>
                <w:szCs w:val="21"/>
              </w:rPr>
            </w:pPr>
            <w:r>
              <w:t>6,735,563.92</w:t>
            </w:r>
          </w:p>
        </w:tc>
        <w:tc>
          <w:tcPr>
            <w:tcW w:w="914" w:type="pct"/>
            <w:tcBorders>
              <w:top w:val="single" w:sz="4" w:space="0" w:color="auto"/>
              <w:left w:val="single" w:sz="4" w:space="0" w:color="auto"/>
              <w:bottom w:val="single" w:sz="4" w:space="0" w:color="auto"/>
              <w:right w:val="single" w:sz="4" w:space="0" w:color="auto"/>
            </w:tcBorders>
          </w:tcPr>
          <w:p w14:paraId="19628B91" w14:textId="77777777" w:rsidR="00E57DAA" w:rsidRDefault="00AC4185">
            <w:pPr>
              <w:autoSpaceDE w:val="0"/>
              <w:autoSpaceDN w:val="0"/>
              <w:adjustRightInd w:val="0"/>
              <w:jc w:val="right"/>
              <w:rPr>
                <w:szCs w:val="21"/>
              </w:rPr>
            </w:pPr>
            <w:r>
              <w:t>33,691.01</w:t>
            </w:r>
          </w:p>
        </w:tc>
      </w:tr>
      <w:tr w:rsidR="00E57DAA" w14:paraId="31C5D95D" w14:textId="77777777">
        <w:tc>
          <w:tcPr>
            <w:tcW w:w="677" w:type="pct"/>
            <w:tcBorders>
              <w:top w:val="single" w:sz="4" w:space="0" w:color="auto"/>
              <w:left w:val="single" w:sz="4" w:space="0" w:color="auto"/>
              <w:bottom w:val="single" w:sz="4" w:space="0" w:color="auto"/>
              <w:right w:val="single" w:sz="4" w:space="0" w:color="auto"/>
            </w:tcBorders>
            <w:vAlign w:val="center"/>
          </w:tcPr>
          <w:p w14:paraId="7908EA4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61022B8" w14:textId="77777777" w:rsidR="00E57DAA" w:rsidRDefault="00AC4185">
            <w:pPr>
              <w:autoSpaceDE w:val="0"/>
              <w:autoSpaceDN w:val="0"/>
              <w:adjustRightInd w:val="0"/>
              <w:rPr>
                <w:szCs w:val="21"/>
              </w:rPr>
            </w:pPr>
            <w:r>
              <w:t>江苏宜城南方水泥有限公司</w:t>
            </w:r>
          </w:p>
        </w:tc>
        <w:tc>
          <w:tcPr>
            <w:tcW w:w="633" w:type="pct"/>
            <w:tcBorders>
              <w:top w:val="single" w:sz="4" w:space="0" w:color="auto"/>
              <w:left w:val="single" w:sz="4" w:space="0" w:color="auto"/>
              <w:bottom w:val="single" w:sz="4" w:space="0" w:color="auto"/>
              <w:right w:val="single" w:sz="4" w:space="0" w:color="auto"/>
            </w:tcBorders>
          </w:tcPr>
          <w:p w14:paraId="1410DBF7" w14:textId="77777777" w:rsidR="00E57DAA" w:rsidRDefault="00AC4185">
            <w:pPr>
              <w:autoSpaceDE w:val="0"/>
              <w:autoSpaceDN w:val="0"/>
              <w:adjustRightInd w:val="0"/>
              <w:jc w:val="right"/>
              <w:rPr>
                <w:szCs w:val="21"/>
              </w:rPr>
            </w:pPr>
            <w:r>
              <w:t>6,054,242.67</w:t>
            </w:r>
          </w:p>
        </w:tc>
        <w:tc>
          <w:tcPr>
            <w:tcW w:w="632" w:type="pct"/>
            <w:tcBorders>
              <w:top w:val="single" w:sz="4" w:space="0" w:color="auto"/>
              <w:left w:val="single" w:sz="4" w:space="0" w:color="auto"/>
              <w:bottom w:val="single" w:sz="4" w:space="0" w:color="auto"/>
              <w:right w:val="single" w:sz="4" w:space="0" w:color="auto"/>
            </w:tcBorders>
          </w:tcPr>
          <w:p w14:paraId="65D35484" w14:textId="77777777" w:rsidR="00E57DAA" w:rsidRDefault="00AC4185">
            <w:pPr>
              <w:autoSpaceDE w:val="0"/>
              <w:autoSpaceDN w:val="0"/>
              <w:adjustRightInd w:val="0"/>
              <w:jc w:val="right"/>
              <w:rPr>
                <w:szCs w:val="21"/>
              </w:rPr>
            </w:pPr>
            <w:r>
              <w:t>77,520.33</w:t>
            </w:r>
          </w:p>
        </w:tc>
        <w:tc>
          <w:tcPr>
            <w:tcW w:w="703" w:type="pct"/>
            <w:tcBorders>
              <w:top w:val="single" w:sz="4" w:space="0" w:color="auto"/>
              <w:left w:val="single" w:sz="4" w:space="0" w:color="auto"/>
              <w:bottom w:val="single" w:sz="4" w:space="0" w:color="auto"/>
              <w:right w:val="single" w:sz="4" w:space="0" w:color="auto"/>
            </w:tcBorders>
          </w:tcPr>
          <w:p w14:paraId="775E3839" w14:textId="77777777" w:rsidR="00E57DAA" w:rsidRDefault="00AC4185">
            <w:pPr>
              <w:autoSpaceDE w:val="0"/>
              <w:autoSpaceDN w:val="0"/>
              <w:adjustRightInd w:val="0"/>
              <w:jc w:val="right"/>
              <w:rPr>
                <w:szCs w:val="21"/>
              </w:rPr>
            </w:pPr>
            <w:r>
              <w:t>157,103.80</w:t>
            </w:r>
          </w:p>
        </w:tc>
        <w:tc>
          <w:tcPr>
            <w:tcW w:w="914" w:type="pct"/>
            <w:tcBorders>
              <w:top w:val="single" w:sz="4" w:space="0" w:color="auto"/>
              <w:left w:val="single" w:sz="4" w:space="0" w:color="auto"/>
              <w:bottom w:val="single" w:sz="4" w:space="0" w:color="auto"/>
              <w:right w:val="single" w:sz="4" w:space="0" w:color="auto"/>
            </w:tcBorders>
          </w:tcPr>
          <w:p w14:paraId="749FCE9A" w14:textId="77777777" w:rsidR="00E57DAA" w:rsidRDefault="00AC4185">
            <w:pPr>
              <w:autoSpaceDE w:val="0"/>
              <w:autoSpaceDN w:val="0"/>
              <w:adjustRightInd w:val="0"/>
              <w:jc w:val="right"/>
              <w:rPr>
                <w:szCs w:val="21"/>
              </w:rPr>
            </w:pPr>
            <w:r>
              <w:t>156,055.19</w:t>
            </w:r>
          </w:p>
        </w:tc>
      </w:tr>
      <w:tr w:rsidR="00E57DAA" w14:paraId="7C17F51B" w14:textId="77777777">
        <w:tc>
          <w:tcPr>
            <w:tcW w:w="677" w:type="pct"/>
            <w:tcBorders>
              <w:top w:val="single" w:sz="4" w:space="0" w:color="auto"/>
              <w:left w:val="single" w:sz="4" w:space="0" w:color="auto"/>
              <w:bottom w:val="single" w:sz="4" w:space="0" w:color="auto"/>
              <w:right w:val="single" w:sz="4" w:space="0" w:color="auto"/>
            </w:tcBorders>
            <w:vAlign w:val="center"/>
          </w:tcPr>
          <w:p w14:paraId="0E30A28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AD7AB12" w14:textId="77777777" w:rsidR="00E57DAA" w:rsidRDefault="00AC4185">
            <w:pPr>
              <w:autoSpaceDE w:val="0"/>
              <w:autoSpaceDN w:val="0"/>
              <w:adjustRightInd w:val="0"/>
              <w:rPr>
                <w:szCs w:val="21"/>
              </w:rPr>
            </w:pPr>
            <w:r>
              <w:t>滕州中联水泥有限公司</w:t>
            </w:r>
          </w:p>
        </w:tc>
        <w:tc>
          <w:tcPr>
            <w:tcW w:w="633" w:type="pct"/>
            <w:tcBorders>
              <w:top w:val="single" w:sz="4" w:space="0" w:color="auto"/>
              <w:left w:val="single" w:sz="4" w:space="0" w:color="auto"/>
              <w:bottom w:val="single" w:sz="4" w:space="0" w:color="auto"/>
              <w:right w:val="single" w:sz="4" w:space="0" w:color="auto"/>
            </w:tcBorders>
          </w:tcPr>
          <w:p w14:paraId="3ECABAD0" w14:textId="77777777" w:rsidR="00E57DAA" w:rsidRDefault="00AC4185">
            <w:pPr>
              <w:autoSpaceDE w:val="0"/>
              <w:autoSpaceDN w:val="0"/>
              <w:adjustRightInd w:val="0"/>
              <w:jc w:val="right"/>
              <w:rPr>
                <w:szCs w:val="21"/>
              </w:rPr>
            </w:pPr>
            <w:r>
              <w:t>6,172,789.93</w:t>
            </w:r>
          </w:p>
        </w:tc>
        <w:tc>
          <w:tcPr>
            <w:tcW w:w="632" w:type="pct"/>
            <w:tcBorders>
              <w:top w:val="single" w:sz="4" w:space="0" w:color="auto"/>
              <w:left w:val="single" w:sz="4" w:space="0" w:color="auto"/>
              <w:bottom w:val="single" w:sz="4" w:space="0" w:color="auto"/>
              <w:right w:val="single" w:sz="4" w:space="0" w:color="auto"/>
            </w:tcBorders>
          </w:tcPr>
          <w:p w14:paraId="026D9F59" w14:textId="77777777" w:rsidR="00E57DAA" w:rsidRDefault="00AC4185">
            <w:pPr>
              <w:autoSpaceDE w:val="0"/>
              <w:autoSpaceDN w:val="0"/>
              <w:adjustRightInd w:val="0"/>
              <w:jc w:val="right"/>
              <w:rPr>
                <w:szCs w:val="21"/>
              </w:rPr>
            </w:pPr>
            <w:r>
              <w:t>144,333.60</w:t>
            </w:r>
          </w:p>
        </w:tc>
        <w:tc>
          <w:tcPr>
            <w:tcW w:w="703" w:type="pct"/>
            <w:tcBorders>
              <w:top w:val="single" w:sz="4" w:space="0" w:color="auto"/>
              <w:left w:val="single" w:sz="4" w:space="0" w:color="auto"/>
              <w:bottom w:val="single" w:sz="4" w:space="0" w:color="auto"/>
              <w:right w:val="single" w:sz="4" w:space="0" w:color="auto"/>
            </w:tcBorders>
          </w:tcPr>
          <w:p w14:paraId="4286CE62" w14:textId="77777777" w:rsidR="00E57DAA" w:rsidRDefault="00AC4185">
            <w:pPr>
              <w:autoSpaceDE w:val="0"/>
              <w:autoSpaceDN w:val="0"/>
              <w:adjustRightInd w:val="0"/>
              <w:jc w:val="right"/>
              <w:rPr>
                <w:szCs w:val="21"/>
              </w:rPr>
            </w:pPr>
            <w:r>
              <w:t>2,812,597.48</w:t>
            </w:r>
          </w:p>
        </w:tc>
        <w:tc>
          <w:tcPr>
            <w:tcW w:w="914" w:type="pct"/>
            <w:tcBorders>
              <w:top w:val="single" w:sz="4" w:space="0" w:color="auto"/>
              <w:left w:val="single" w:sz="4" w:space="0" w:color="auto"/>
              <w:bottom w:val="single" w:sz="4" w:space="0" w:color="auto"/>
              <w:right w:val="single" w:sz="4" w:space="0" w:color="auto"/>
            </w:tcBorders>
          </w:tcPr>
          <w:p w14:paraId="48A85028" w14:textId="77777777" w:rsidR="00E57DAA" w:rsidRDefault="00AC4185">
            <w:pPr>
              <w:autoSpaceDE w:val="0"/>
              <w:autoSpaceDN w:val="0"/>
              <w:adjustRightInd w:val="0"/>
              <w:jc w:val="right"/>
              <w:rPr>
                <w:szCs w:val="21"/>
              </w:rPr>
            </w:pPr>
            <w:r>
              <w:t>120,995.84</w:t>
            </w:r>
          </w:p>
        </w:tc>
      </w:tr>
      <w:tr w:rsidR="00E57DAA" w14:paraId="27846334" w14:textId="77777777">
        <w:tc>
          <w:tcPr>
            <w:tcW w:w="677" w:type="pct"/>
            <w:tcBorders>
              <w:top w:val="single" w:sz="4" w:space="0" w:color="auto"/>
              <w:left w:val="single" w:sz="4" w:space="0" w:color="auto"/>
              <w:bottom w:val="single" w:sz="4" w:space="0" w:color="auto"/>
              <w:right w:val="single" w:sz="4" w:space="0" w:color="auto"/>
            </w:tcBorders>
            <w:vAlign w:val="center"/>
          </w:tcPr>
          <w:p w14:paraId="3E23003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FCB73E0" w14:textId="77777777" w:rsidR="00E57DAA" w:rsidRDefault="00AC4185">
            <w:pPr>
              <w:autoSpaceDE w:val="0"/>
              <w:autoSpaceDN w:val="0"/>
              <w:adjustRightInd w:val="0"/>
              <w:rPr>
                <w:szCs w:val="21"/>
              </w:rPr>
            </w:pPr>
            <w:r>
              <w:t>黄山南方水泥有限公司</w:t>
            </w:r>
          </w:p>
        </w:tc>
        <w:tc>
          <w:tcPr>
            <w:tcW w:w="633" w:type="pct"/>
            <w:tcBorders>
              <w:top w:val="single" w:sz="4" w:space="0" w:color="auto"/>
              <w:left w:val="single" w:sz="4" w:space="0" w:color="auto"/>
              <w:bottom w:val="single" w:sz="4" w:space="0" w:color="auto"/>
              <w:right w:val="single" w:sz="4" w:space="0" w:color="auto"/>
            </w:tcBorders>
          </w:tcPr>
          <w:p w14:paraId="1B293FEE" w14:textId="77777777" w:rsidR="00E57DAA" w:rsidRDefault="00AC4185">
            <w:pPr>
              <w:autoSpaceDE w:val="0"/>
              <w:autoSpaceDN w:val="0"/>
              <w:adjustRightInd w:val="0"/>
              <w:jc w:val="right"/>
              <w:rPr>
                <w:szCs w:val="21"/>
              </w:rPr>
            </w:pPr>
            <w:r>
              <w:t>6,166,930.21</w:t>
            </w:r>
          </w:p>
        </w:tc>
        <w:tc>
          <w:tcPr>
            <w:tcW w:w="632" w:type="pct"/>
            <w:tcBorders>
              <w:top w:val="single" w:sz="4" w:space="0" w:color="auto"/>
              <w:left w:val="single" w:sz="4" w:space="0" w:color="auto"/>
              <w:bottom w:val="single" w:sz="4" w:space="0" w:color="auto"/>
              <w:right w:val="single" w:sz="4" w:space="0" w:color="auto"/>
            </w:tcBorders>
          </w:tcPr>
          <w:p w14:paraId="188641FD" w14:textId="77777777" w:rsidR="00E57DAA" w:rsidRDefault="00AC4185">
            <w:pPr>
              <w:autoSpaceDE w:val="0"/>
              <w:autoSpaceDN w:val="0"/>
              <w:adjustRightInd w:val="0"/>
              <w:jc w:val="right"/>
              <w:rPr>
                <w:szCs w:val="21"/>
              </w:rPr>
            </w:pPr>
            <w:r>
              <w:t>274,371.78</w:t>
            </w:r>
          </w:p>
        </w:tc>
        <w:tc>
          <w:tcPr>
            <w:tcW w:w="703" w:type="pct"/>
            <w:tcBorders>
              <w:top w:val="single" w:sz="4" w:space="0" w:color="auto"/>
              <w:left w:val="single" w:sz="4" w:space="0" w:color="auto"/>
              <w:bottom w:val="single" w:sz="4" w:space="0" w:color="auto"/>
              <w:right w:val="single" w:sz="4" w:space="0" w:color="auto"/>
            </w:tcBorders>
          </w:tcPr>
          <w:p w14:paraId="719E470C" w14:textId="77777777" w:rsidR="00E57DAA" w:rsidRDefault="00AC4185">
            <w:pPr>
              <w:autoSpaceDE w:val="0"/>
              <w:autoSpaceDN w:val="0"/>
              <w:adjustRightInd w:val="0"/>
              <w:jc w:val="right"/>
              <w:rPr>
                <w:szCs w:val="21"/>
              </w:rPr>
            </w:pPr>
            <w:r>
              <w:t>3,538,282.87</w:t>
            </w:r>
          </w:p>
        </w:tc>
        <w:tc>
          <w:tcPr>
            <w:tcW w:w="914" w:type="pct"/>
            <w:tcBorders>
              <w:top w:val="single" w:sz="4" w:space="0" w:color="auto"/>
              <w:left w:val="single" w:sz="4" w:space="0" w:color="auto"/>
              <w:bottom w:val="single" w:sz="4" w:space="0" w:color="auto"/>
              <w:right w:val="single" w:sz="4" w:space="0" w:color="auto"/>
            </w:tcBorders>
          </w:tcPr>
          <w:p w14:paraId="601883C7" w14:textId="77777777" w:rsidR="00E57DAA" w:rsidRDefault="00AC4185">
            <w:pPr>
              <w:autoSpaceDE w:val="0"/>
              <w:autoSpaceDN w:val="0"/>
              <w:adjustRightInd w:val="0"/>
              <w:jc w:val="right"/>
              <w:rPr>
                <w:szCs w:val="21"/>
              </w:rPr>
            </w:pPr>
            <w:r>
              <w:t>83,857.30</w:t>
            </w:r>
          </w:p>
        </w:tc>
      </w:tr>
      <w:tr w:rsidR="00E57DAA" w14:paraId="69B64848" w14:textId="77777777">
        <w:tc>
          <w:tcPr>
            <w:tcW w:w="677" w:type="pct"/>
            <w:tcBorders>
              <w:top w:val="single" w:sz="4" w:space="0" w:color="auto"/>
              <w:left w:val="single" w:sz="4" w:space="0" w:color="auto"/>
              <w:bottom w:val="single" w:sz="4" w:space="0" w:color="auto"/>
              <w:right w:val="single" w:sz="4" w:space="0" w:color="auto"/>
            </w:tcBorders>
            <w:vAlign w:val="center"/>
          </w:tcPr>
          <w:p w14:paraId="1CDE89A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05465C6" w14:textId="77777777" w:rsidR="00E57DAA" w:rsidRDefault="00AC4185">
            <w:pPr>
              <w:autoSpaceDE w:val="0"/>
              <w:autoSpaceDN w:val="0"/>
              <w:adjustRightInd w:val="0"/>
              <w:rPr>
                <w:szCs w:val="21"/>
              </w:rPr>
            </w:pPr>
            <w:r>
              <w:t>新疆天山水泥股份有限公司</w:t>
            </w:r>
          </w:p>
        </w:tc>
        <w:tc>
          <w:tcPr>
            <w:tcW w:w="633" w:type="pct"/>
            <w:tcBorders>
              <w:top w:val="single" w:sz="4" w:space="0" w:color="auto"/>
              <w:left w:val="single" w:sz="4" w:space="0" w:color="auto"/>
              <w:bottom w:val="single" w:sz="4" w:space="0" w:color="auto"/>
              <w:right w:val="single" w:sz="4" w:space="0" w:color="auto"/>
            </w:tcBorders>
          </w:tcPr>
          <w:p w14:paraId="60D1320C" w14:textId="77777777" w:rsidR="00E57DAA" w:rsidRDefault="00AC4185">
            <w:pPr>
              <w:autoSpaceDE w:val="0"/>
              <w:autoSpaceDN w:val="0"/>
              <w:adjustRightInd w:val="0"/>
              <w:jc w:val="right"/>
              <w:rPr>
                <w:szCs w:val="21"/>
              </w:rPr>
            </w:pPr>
            <w:r>
              <w:t>6,165,640.44</w:t>
            </w:r>
          </w:p>
        </w:tc>
        <w:tc>
          <w:tcPr>
            <w:tcW w:w="632" w:type="pct"/>
            <w:tcBorders>
              <w:top w:val="single" w:sz="4" w:space="0" w:color="auto"/>
              <w:left w:val="single" w:sz="4" w:space="0" w:color="auto"/>
              <w:bottom w:val="single" w:sz="4" w:space="0" w:color="auto"/>
              <w:right w:val="single" w:sz="4" w:space="0" w:color="auto"/>
            </w:tcBorders>
          </w:tcPr>
          <w:p w14:paraId="5479DD63" w14:textId="77777777" w:rsidR="00E57DAA" w:rsidRDefault="00AC4185">
            <w:pPr>
              <w:autoSpaceDE w:val="0"/>
              <w:autoSpaceDN w:val="0"/>
              <w:adjustRightInd w:val="0"/>
              <w:jc w:val="right"/>
              <w:rPr>
                <w:szCs w:val="21"/>
              </w:rPr>
            </w:pPr>
            <w:r>
              <w:t>3,367,398.07</w:t>
            </w:r>
          </w:p>
        </w:tc>
        <w:tc>
          <w:tcPr>
            <w:tcW w:w="703" w:type="pct"/>
            <w:tcBorders>
              <w:top w:val="single" w:sz="4" w:space="0" w:color="auto"/>
              <w:left w:val="single" w:sz="4" w:space="0" w:color="auto"/>
              <w:bottom w:val="single" w:sz="4" w:space="0" w:color="auto"/>
              <w:right w:val="single" w:sz="4" w:space="0" w:color="auto"/>
            </w:tcBorders>
          </w:tcPr>
          <w:p w14:paraId="622EEF70" w14:textId="77777777" w:rsidR="00E57DAA" w:rsidRDefault="00AC4185">
            <w:pPr>
              <w:autoSpaceDE w:val="0"/>
              <w:autoSpaceDN w:val="0"/>
              <w:adjustRightInd w:val="0"/>
              <w:jc w:val="right"/>
              <w:rPr>
                <w:szCs w:val="21"/>
              </w:rPr>
            </w:pPr>
            <w:r>
              <w:t>3,663,800.44</w:t>
            </w:r>
          </w:p>
        </w:tc>
        <w:tc>
          <w:tcPr>
            <w:tcW w:w="914" w:type="pct"/>
            <w:tcBorders>
              <w:top w:val="single" w:sz="4" w:space="0" w:color="auto"/>
              <w:left w:val="single" w:sz="4" w:space="0" w:color="auto"/>
              <w:bottom w:val="single" w:sz="4" w:space="0" w:color="auto"/>
              <w:right w:val="single" w:sz="4" w:space="0" w:color="auto"/>
            </w:tcBorders>
          </w:tcPr>
          <w:p w14:paraId="3DA478AD" w14:textId="77777777" w:rsidR="00E57DAA" w:rsidRDefault="00AC4185">
            <w:pPr>
              <w:autoSpaceDE w:val="0"/>
              <w:autoSpaceDN w:val="0"/>
              <w:adjustRightInd w:val="0"/>
              <w:jc w:val="right"/>
              <w:rPr>
                <w:szCs w:val="21"/>
              </w:rPr>
            </w:pPr>
            <w:r>
              <w:t>3,535,771.54</w:t>
            </w:r>
          </w:p>
        </w:tc>
      </w:tr>
      <w:tr w:rsidR="00E57DAA" w14:paraId="29CF49D6" w14:textId="77777777">
        <w:tc>
          <w:tcPr>
            <w:tcW w:w="677" w:type="pct"/>
            <w:tcBorders>
              <w:top w:val="single" w:sz="4" w:space="0" w:color="auto"/>
              <w:left w:val="single" w:sz="4" w:space="0" w:color="auto"/>
              <w:bottom w:val="single" w:sz="4" w:space="0" w:color="auto"/>
              <w:right w:val="single" w:sz="4" w:space="0" w:color="auto"/>
            </w:tcBorders>
            <w:vAlign w:val="center"/>
          </w:tcPr>
          <w:p w14:paraId="10FFDE4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2FF27C1" w14:textId="77777777" w:rsidR="00E57DAA" w:rsidRDefault="00AC4185">
            <w:pPr>
              <w:autoSpaceDE w:val="0"/>
              <w:autoSpaceDN w:val="0"/>
              <w:adjustRightInd w:val="0"/>
              <w:rPr>
                <w:szCs w:val="21"/>
              </w:rPr>
            </w:pPr>
            <w:r>
              <w:t>成县祁连山水泥有限公司</w:t>
            </w:r>
          </w:p>
        </w:tc>
        <w:tc>
          <w:tcPr>
            <w:tcW w:w="633" w:type="pct"/>
            <w:tcBorders>
              <w:top w:val="single" w:sz="4" w:space="0" w:color="auto"/>
              <w:left w:val="single" w:sz="4" w:space="0" w:color="auto"/>
              <w:bottom w:val="single" w:sz="4" w:space="0" w:color="auto"/>
              <w:right w:val="single" w:sz="4" w:space="0" w:color="auto"/>
            </w:tcBorders>
          </w:tcPr>
          <w:p w14:paraId="51A4E869" w14:textId="77777777" w:rsidR="00E57DAA" w:rsidRDefault="00AC4185">
            <w:pPr>
              <w:autoSpaceDE w:val="0"/>
              <w:autoSpaceDN w:val="0"/>
              <w:adjustRightInd w:val="0"/>
              <w:jc w:val="right"/>
              <w:rPr>
                <w:szCs w:val="21"/>
              </w:rPr>
            </w:pPr>
            <w:r>
              <w:t>6,122,131.88</w:t>
            </w:r>
          </w:p>
        </w:tc>
        <w:tc>
          <w:tcPr>
            <w:tcW w:w="632" w:type="pct"/>
            <w:tcBorders>
              <w:top w:val="single" w:sz="4" w:space="0" w:color="auto"/>
              <w:left w:val="single" w:sz="4" w:space="0" w:color="auto"/>
              <w:bottom w:val="single" w:sz="4" w:space="0" w:color="auto"/>
              <w:right w:val="single" w:sz="4" w:space="0" w:color="auto"/>
            </w:tcBorders>
          </w:tcPr>
          <w:p w14:paraId="3E74E10E" w14:textId="77777777" w:rsidR="00E57DAA" w:rsidRDefault="00AC4185">
            <w:pPr>
              <w:autoSpaceDE w:val="0"/>
              <w:autoSpaceDN w:val="0"/>
              <w:adjustRightInd w:val="0"/>
              <w:jc w:val="right"/>
              <w:rPr>
                <w:szCs w:val="21"/>
              </w:rPr>
            </w:pPr>
            <w:r>
              <w:t>243,336.60</w:t>
            </w:r>
          </w:p>
        </w:tc>
        <w:tc>
          <w:tcPr>
            <w:tcW w:w="703" w:type="pct"/>
            <w:tcBorders>
              <w:top w:val="single" w:sz="4" w:space="0" w:color="auto"/>
              <w:left w:val="single" w:sz="4" w:space="0" w:color="auto"/>
              <w:bottom w:val="single" w:sz="4" w:space="0" w:color="auto"/>
              <w:right w:val="single" w:sz="4" w:space="0" w:color="auto"/>
            </w:tcBorders>
          </w:tcPr>
          <w:p w14:paraId="24EAB8EB" w14:textId="77777777" w:rsidR="00E57DAA" w:rsidRDefault="00AC4185">
            <w:pPr>
              <w:autoSpaceDE w:val="0"/>
              <w:autoSpaceDN w:val="0"/>
              <w:adjustRightInd w:val="0"/>
              <w:jc w:val="right"/>
              <w:rPr>
                <w:szCs w:val="21"/>
              </w:rPr>
            </w:pPr>
            <w:r>
              <w:t>11,676,878.66</w:t>
            </w:r>
          </w:p>
        </w:tc>
        <w:tc>
          <w:tcPr>
            <w:tcW w:w="914" w:type="pct"/>
            <w:tcBorders>
              <w:top w:val="single" w:sz="4" w:space="0" w:color="auto"/>
              <w:left w:val="single" w:sz="4" w:space="0" w:color="auto"/>
              <w:bottom w:val="single" w:sz="4" w:space="0" w:color="auto"/>
              <w:right w:val="single" w:sz="4" w:space="0" w:color="auto"/>
            </w:tcBorders>
          </w:tcPr>
          <w:p w14:paraId="5BC4D940" w14:textId="77777777" w:rsidR="00E57DAA" w:rsidRDefault="00AC4185">
            <w:pPr>
              <w:autoSpaceDE w:val="0"/>
              <w:autoSpaceDN w:val="0"/>
              <w:adjustRightInd w:val="0"/>
              <w:jc w:val="right"/>
              <w:rPr>
                <w:szCs w:val="21"/>
              </w:rPr>
            </w:pPr>
            <w:r>
              <w:t>588,058.93</w:t>
            </w:r>
          </w:p>
        </w:tc>
      </w:tr>
      <w:tr w:rsidR="00E57DAA" w14:paraId="28BA6CDB" w14:textId="77777777">
        <w:tc>
          <w:tcPr>
            <w:tcW w:w="677" w:type="pct"/>
            <w:tcBorders>
              <w:top w:val="single" w:sz="4" w:space="0" w:color="auto"/>
              <w:left w:val="single" w:sz="4" w:space="0" w:color="auto"/>
              <w:bottom w:val="single" w:sz="4" w:space="0" w:color="auto"/>
              <w:right w:val="single" w:sz="4" w:space="0" w:color="auto"/>
            </w:tcBorders>
            <w:vAlign w:val="center"/>
          </w:tcPr>
          <w:p w14:paraId="10506B9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83B3E76" w14:textId="77777777" w:rsidR="00E57DAA" w:rsidRDefault="00AC4185">
            <w:pPr>
              <w:autoSpaceDE w:val="0"/>
              <w:autoSpaceDN w:val="0"/>
              <w:adjustRightInd w:val="0"/>
              <w:rPr>
                <w:szCs w:val="21"/>
              </w:rPr>
            </w:pPr>
            <w:r>
              <w:t>宜兴天山水泥有限责任公司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3D83C31" w14:textId="77777777" w:rsidR="00E57DAA" w:rsidRDefault="00AC4185">
            <w:pPr>
              <w:autoSpaceDE w:val="0"/>
              <w:autoSpaceDN w:val="0"/>
              <w:adjustRightInd w:val="0"/>
              <w:jc w:val="right"/>
              <w:rPr>
                <w:szCs w:val="21"/>
              </w:rPr>
            </w:pPr>
            <w:r>
              <w:t>6,120,500.88</w:t>
            </w:r>
          </w:p>
        </w:tc>
        <w:tc>
          <w:tcPr>
            <w:tcW w:w="632" w:type="pct"/>
            <w:tcBorders>
              <w:top w:val="single" w:sz="4" w:space="0" w:color="auto"/>
              <w:left w:val="single" w:sz="4" w:space="0" w:color="auto"/>
              <w:bottom w:val="single" w:sz="4" w:space="0" w:color="auto"/>
              <w:right w:val="single" w:sz="4" w:space="0" w:color="auto"/>
            </w:tcBorders>
          </w:tcPr>
          <w:p w14:paraId="6989D913" w14:textId="77777777" w:rsidR="00E57DAA" w:rsidRDefault="00AC4185">
            <w:pPr>
              <w:autoSpaceDE w:val="0"/>
              <w:autoSpaceDN w:val="0"/>
              <w:adjustRightInd w:val="0"/>
              <w:jc w:val="right"/>
              <w:rPr>
                <w:szCs w:val="21"/>
              </w:rPr>
            </w:pPr>
            <w:r>
              <w:t>263,639.84</w:t>
            </w:r>
          </w:p>
        </w:tc>
        <w:tc>
          <w:tcPr>
            <w:tcW w:w="703" w:type="pct"/>
            <w:tcBorders>
              <w:top w:val="single" w:sz="4" w:space="0" w:color="auto"/>
              <w:left w:val="single" w:sz="4" w:space="0" w:color="auto"/>
              <w:bottom w:val="single" w:sz="4" w:space="0" w:color="auto"/>
              <w:right w:val="single" w:sz="4" w:space="0" w:color="auto"/>
            </w:tcBorders>
          </w:tcPr>
          <w:p w14:paraId="68598D5C" w14:textId="77777777" w:rsidR="00E57DAA" w:rsidRDefault="00AC4185">
            <w:pPr>
              <w:autoSpaceDE w:val="0"/>
              <w:autoSpaceDN w:val="0"/>
              <w:adjustRightInd w:val="0"/>
              <w:jc w:val="right"/>
              <w:rPr>
                <w:szCs w:val="21"/>
              </w:rPr>
            </w:pPr>
            <w:r>
              <w:t>3,431,710.00</w:t>
            </w:r>
          </w:p>
        </w:tc>
        <w:tc>
          <w:tcPr>
            <w:tcW w:w="914" w:type="pct"/>
            <w:tcBorders>
              <w:top w:val="single" w:sz="4" w:space="0" w:color="auto"/>
              <w:left w:val="single" w:sz="4" w:space="0" w:color="auto"/>
              <w:bottom w:val="single" w:sz="4" w:space="0" w:color="auto"/>
              <w:right w:val="single" w:sz="4" w:space="0" w:color="auto"/>
            </w:tcBorders>
          </w:tcPr>
          <w:p w14:paraId="4E90EBFF" w14:textId="77777777" w:rsidR="00E57DAA" w:rsidRDefault="00AC4185">
            <w:pPr>
              <w:autoSpaceDE w:val="0"/>
              <w:autoSpaceDN w:val="0"/>
              <w:adjustRightInd w:val="0"/>
              <w:jc w:val="right"/>
              <w:rPr>
                <w:szCs w:val="21"/>
              </w:rPr>
            </w:pPr>
            <w:r>
              <w:t>81,331.53</w:t>
            </w:r>
          </w:p>
        </w:tc>
      </w:tr>
      <w:tr w:rsidR="00E57DAA" w14:paraId="2F100E33" w14:textId="77777777">
        <w:tc>
          <w:tcPr>
            <w:tcW w:w="677" w:type="pct"/>
            <w:tcBorders>
              <w:top w:val="single" w:sz="4" w:space="0" w:color="auto"/>
              <w:left w:val="single" w:sz="4" w:space="0" w:color="auto"/>
              <w:bottom w:val="single" w:sz="4" w:space="0" w:color="auto"/>
              <w:right w:val="single" w:sz="4" w:space="0" w:color="auto"/>
            </w:tcBorders>
            <w:vAlign w:val="center"/>
          </w:tcPr>
          <w:p w14:paraId="12EED18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EE8AB7D" w14:textId="77777777" w:rsidR="00E57DAA" w:rsidRDefault="00AC4185">
            <w:pPr>
              <w:autoSpaceDE w:val="0"/>
              <w:autoSpaceDN w:val="0"/>
              <w:adjustRightInd w:val="0"/>
              <w:rPr>
                <w:szCs w:val="21"/>
              </w:rPr>
            </w:pPr>
            <w:r>
              <w:t>湖南韶峰南方水泥有限公司</w:t>
            </w:r>
          </w:p>
        </w:tc>
        <w:tc>
          <w:tcPr>
            <w:tcW w:w="633" w:type="pct"/>
            <w:tcBorders>
              <w:top w:val="single" w:sz="4" w:space="0" w:color="auto"/>
              <w:left w:val="single" w:sz="4" w:space="0" w:color="auto"/>
              <w:bottom w:val="single" w:sz="4" w:space="0" w:color="auto"/>
              <w:right w:val="single" w:sz="4" w:space="0" w:color="auto"/>
            </w:tcBorders>
          </w:tcPr>
          <w:p w14:paraId="6F07C1E2" w14:textId="77777777" w:rsidR="00E57DAA" w:rsidRDefault="00AC4185">
            <w:pPr>
              <w:autoSpaceDE w:val="0"/>
              <w:autoSpaceDN w:val="0"/>
              <w:adjustRightInd w:val="0"/>
              <w:jc w:val="right"/>
              <w:rPr>
                <w:szCs w:val="21"/>
              </w:rPr>
            </w:pPr>
            <w:r>
              <w:t>6,084,513.24</w:t>
            </w:r>
          </w:p>
        </w:tc>
        <w:tc>
          <w:tcPr>
            <w:tcW w:w="632" w:type="pct"/>
            <w:tcBorders>
              <w:top w:val="single" w:sz="4" w:space="0" w:color="auto"/>
              <w:left w:val="single" w:sz="4" w:space="0" w:color="auto"/>
              <w:bottom w:val="single" w:sz="4" w:space="0" w:color="auto"/>
              <w:right w:val="single" w:sz="4" w:space="0" w:color="auto"/>
            </w:tcBorders>
          </w:tcPr>
          <w:p w14:paraId="17A5F576" w14:textId="77777777" w:rsidR="00E57DAA" w:rsidRDefault="00AC4185">
            <w:pPr>
              <w:autoSpaceDE w:val="0"/>
              <w:autoSpaceDN w:val="0"/>
              <w:adjustRightInd w:val="0"/>
              <w:jc w:val="right"/>
              <w:rPr>
                <w:szCs w:val="21"/>
              </w:rPr>
            </w:pPr>
            <w:r>
              <w:t>591,331.65</w:t>
            </w:r>
          </w:p>
        </w:tc>
        <w:tc>
          <w:tcPr>
            <w:tcW w:w="703" w:type="pct"/>
            <w:tcBorders>
              <w:top w:val="single" w:sz="4" w:space="0" w:color="auto"/>
              <w:left w:val="single" w:sz="4" w:space="0" w:color="auto"/>
              <w:bottom w:val="single" w:sz="4" w:space="0" w:color="auto"/>
              <w:right w:val="single" w:sz="4" w:space="0" w:color="auto"/>
            </w:tcBorders>
          </w:tcPr>
          <w:p w14:paraId="54C67B2B" w14:textId="77777777" w:rsidR="00E57DAA" w:rsidRDefault="00AC4185">
            <w:pPr>
              <w:autoSpaceDE w:val="0"/>
              <w:autoSpaceDN w:val="0"/>
              <w:adjustRightInd w:val="0"/>
              <w:jc w:val="right"/>
              <w:rPr>
                <w:szCs w:val="21"/>
              </w:rPr>
            </w:pPr>
            <w:r>
              <w:t>5,341,689.70</w:t>
            </w:r>
          </w:p>
        </w:tc>
        <w:tc>
          <w:tcPr>
            <w:tcW w:w="914" w:type="pct"/>
            <w:tcBorders>
              <w:top w:val="single" w:sz="4" w:space="0" w:color="auto"/>
              <w:left w:val="single" w:sz="4" w:space="0" w:color="auto"/>
              <w:bottom w:val="single" w:sz="4" w:space="0" w:color="auto"/>
              <w:right w:val="single" w:sz="4" w:space="0" w:color="auto"/>
            </w:tcBorders>
          </w:tcPr>
          <w:p w14:paraId="5D700F83" w14:textId="77777777" w:rsidR="00E57DAA" w:rsidRDefault="00AC4185">
            <w:pPr>
              <w:autoSpaceDE w:val="0"/>
              <w:autoSpaceDN w:val="0"/>
              <w:adjustRightInd w:val="0"/>
              <w:jc w:val="right"/>
              <w:rPr>
                <w:szCs w:val="21"/>
              </w:rPr>
            </w:pPr>
            <w:r>
              <w:t>345,154.15</w:t>
            </w:r>
          </w:p>
        </w:tc>
      </w:tr>
      <w:tr w:rsidR="00E57DAA" w14:paraId="47C915D3" w14:textId="77777777">
        <w:tc>
          <w:tcPr>
            <w:tcW w:w="677" w:type="pct"/>
            <w:tcBorders>
              <w:top w:val="single" w:sz="4" w:space="0" w:color="auto"/>
              <w:left w:val="single" w:sz="4" w:space="0" w:color="auto"/>
              <w:bottom w:val="single" w:sz="4" w:space="0" w:color="auto"/>
              <w:right w:val="single" w:sz="4" w:space="0" w:color="auto"/>
            </w:tcBorders>
            <w:vAlign w:val="center"/>
          </w:tcPr>
          <w:p w14:paraId="15FD8CC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0F58E2" w14:textId="77777777" w:rsidR="00E57DAA" w:rsidRDefault="00AC4185">
            <w:pPr>
              <w:autoSpaceDE w:val="0"/>
              <w:autoSpaceDN w:val="0"/>
              <w:adjustRightInd w:val="0"/>
              <w:rPr>
                <w:szCs w:val="21"/>
              </w:rPr>
            </w:pPr>
            <w:r>
              <w:t>常山南方水泥有限公司</w:t>
            </w:r>
          </w:p>
        </w:tc>
        <w:tc>
          <w:tcPr>
            <w:tcW w:w="633" w:type="pct"/>
            <w:tcBorders>
              <w:top w:val="single" w:sz="4" w:space="0" w:color="auto"/>
              <w:left w:val="single" w:sz="4" w:space="0" w:color="auto"/>
              <w:bottom w:val="single" w:sz="4" w:space="0" w:color="auto"/>
              <w:right w:val="single" w:sz="4" w:space="0" w:color="auto"/>
            </w:tcBorders>
          </w:tcPr>
          <w:p w14:paraId="56D1A9B8" w14:textId="77777777" w:rsidR="00E57DAA" w:rsidRDefault="00AC4185">
            <w:pPr>
              <w:autoSpaceDE w:val="0"/>
              <w:autoSpaceDN w:val="0"/>
              <w:adjustRightInd w:val="0"/>
              <w:jc w:val="right"/>
              <w:rPr>
                <w:szCs w:val="21"/>
              </w:rPr>
            </w:pPr>
            <w:r>
              <w:t>5,937,886.40</w:t>
            </w:r>
          </w:p>
        </w:tc>
        <w:tc>
          <w:tcPr>
            <w:tcW w:w="632" w:type="pct"/>
            <w:tcBorders>
              <w:top w:val="single" w:sz="4" w:space="0" w:color="auto"/>
              <w:left w:val="single" w:sz="4" w:space="0" w:color="auto"/>
              <w:bottom w:val="single" w:sz="4" w:space="0" w:color="auto"/>
              <w:right w:val="single" w:sz="4" w:space="0" w:color="auto"/>
            </w:tcBorders>
          </w:tcPr>
          <w:p w14:paraId="4468ECF5" w14:textId="77777777" w:rsidR="00E57DAA" w:rsidRDefault="00AC4185">
            <w:pPr>
              <w:autoSpaceDE w:val="0"/>
              <w:autoSpaceDN w:val="0"/>
              <w:adjustRightInd w:val="0"/>
              <w:jc w:val="right"/>
              <w:rPr>
                <w:szCs w:val="21"/>
              </w:rPr>
            </w:pPr>
            <w:r>
              <w:t>69,626.95</w:t>
            </w:r>
          </w:p>
        </w:tc>
        <w:tc>
          <w:tcPr>
            <w:tcW w:w="703" w:type="pct"/>
            <w:tcBorders>
              <w:top w:val="single" w:sz="4" w:space="0" w:color="auto"/>
              <w:left w:val="single" w:sz="4" w:space="0" w:color="auto"/>
              <w:bottom w:val="single" w:sz="4" w:space="0" w:color="auto"/>
              <w:right w:val="single" w:sz="4" w:space="0" w:color="auto"/>
            </w:tcBorders>
          </w:tcPr>
          <w:p w14:paraId="0857492D" w14:textId="77777777" w:rsidR="00E57DAA" w:rsidRDefault="00AC4185">
            <w:pPr>
              <w:autoSpaceDE w:val="0"/>
              <w:autoSpaceDN w:val="0"/>
              <w:adjustRightInd w:val="0"/>
              <w:jc w:val="right"/>
              <w:rPr>
                <w:szCs w:val="21"/>
              </w:rPr>
            </w:pPr>
            <w:r>
              <w:t>39,703,369.62</w:t>
            </w:r>
          </w:p>
        </w:tc>
        <w:tc>
          <w:tcPr>
            <w:tcW w:w="914" w:type="pct"/>
            <w:tcBorders>
              <w:top w:val="single" w:sz="4" w:space="0" w:color="auto"/>
              <w:left w:val="single" w:sz="4" w:space="0" w:color="auto"/>
              <w:bottom w:val="single" w:sz="4" w:space="0" w:color="auto"/>
              <w:right w:val="single" w:sz="4" w:space="0" w:color="auto"/>
            </w:tcBorders>
          </w:tcPr>
          <w:p w14:paraId="179EF27B" w14:textId="77777777" w:rsidR="00E57DAA" w:rsidRDefault="00AC4185">
            <w:pPr>
              <w:autoSpaceDE w:val="0"/>
              <w:autoSpaceDN w:val="0"/>
              <w:adjustRightInd w:val="0"/>
              <w:jc w:val="right"/>
              <w:rPr>
                <w:szCs w:val="21"/>
              </w:rPr>
            </w:pPr>
            <w:r>
              <w:t>1,115,107.95</w:t>
            </w:r>
          </w:p>
        </w:tc>
      </w:tr>
      <w:tr w:rsidR="00E57DAA" w14:paraId="4094F6DA" w14:textId="77777777">
        <w:tc>
          <w:tcPr>
            <w:tcW w:w="677" w:type="pct"/>
            <w:tcBorders>
              <w:top w:val="single" w:sz="4" w:space="0" w:color="auto"/>
              <w:left w:val="single" w:sz="4" w:space="0" w:color="auto"/>
              <w:bottom w:val="single" w:sz="4" w:space="0" w:color="auto"/>
              <w:right w:val="single" w:sz="4" w:space="0" w:color="auto"/>
            </w:tcBorders>
            <w:vAlign w:val="center"/>
          </w:tcPr>
          <w:p w14:paraId="085721E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BBB9F7" w14:textId="77777777" w:rsidR="00E57DAA" w:rsidRDefault="00AC4185">
            <w:pPr>
              <w:autoSpaceDE w:val="0"/>
              <w:autoSpaceDN w:val="0"/>
              <w:adjustRightInd w:val="0"/>
              <w:rPr>
                <w:szCs w:val="21"/>
              </w:rPr>
            </w:pPr>
            <w:r>
              <w:t>云南永保特种水泥有限责任公司</w:t>
            </w:r>
          </w:p>
        </w:tc>
        <w:tc>
          <w:tcPr>
            <w:tcW w:w="633" w:type="pct"/>
            <w:tcBorders>
              <w:top w:val="single" w:sz="4" w:space="0" w:color="auto"/>
              <w:left w:val="single" w:sz="4" w:space="0" w:color="auto"/>
              <w:bottom w:val="single" w:sz="4" w:space="0" w:color="auto"/>
              <w:right w:val="single" w:sz="4" w:space="0" w:color="auto"/>
            </w:tcBorders>
          </w:tcPr>
          <w:p w14:paraId="69D9EA8E" w14:textId="77777777" w:rsidR="00E57DAA" w:rsidRDefault="00AC4185">
            <w:pPr>
              <w:autoSpaceDE w:val="0"/>
              <w:autoSpaceDN w:val="0"/>
              <w:adjustRightInd w:val="0"/>
              <w:jc w:val="right"/>
              <w:rPr>
                <w:szCs w:val="21"/>
              </w:rPr>
            </w:pPr>
            <w:r>
              <w:t>5,931,600.00</w:t>
            </w:r>
          </w:p>
        </w:tc>
        <w:tc>
          <w:tcPr>
            <w:tcW w:w="632" w:type="pct"/>
            <w:tcBorders>
              <w:top w:val="single" w:sz="4" w:space="0" w:color="auto"/>
              <w:left w:val="single" w:sz="4" w:space="0" w:color="auto"/>
              <w:bottom w:val="single" w:sz="4" w:space="0" w:color="auto"/>
              <w:right w:val="single" w:sz="4" w:space="0" w:color="auto"/>
            </w:tcBorders>
          </w:tcPr>
          <w:p w14:paraId="680841C5" w14:textId="77777777" w:rsidR="00E57DAA" w:rsidRDefault="00AC4185">
            <w:pPr>
              <w:autoSpaceDE w:val="0"/>
              <w:autoSpaceDN w:val="0"/>
              <w:adjustRightInd w:val="0"/>
              <w:jc w:val="right"/>
              <w:rPr>
                <w:szCs w:val="21"/>
              </w:rPr>
            </w:pPr>
            <w:r>
              <w:t>270,979.38</w:t>
            </w:r>
          </w:p>
        </w:tc>
        <w:tc>
          <w:tcPr>
            <w:tcW w:w="703" w:type="pct"/>
            <w:tcBorders>
              <w:top w:val="single" w:sz="4" w:space="0" w:color="auto"/>
              <w:left w:val="single" w:sz="4" w:space="0" w:color="auto"/>
              <w:bottom w:val="single" w:sz="4" w:space="0" w:color="auto"/>
              <w:right w:val="single" w:sz="4" w:space="0" w:color="auto"/>
            </w:tcBorders>
          </w:tcPr>
          <w:p w14:paraId="1FD009E5" w14:textId="77777777" w:rsidR="00E57DAA" w:rsidRDefault="00AC4185">
            <w:pPr>
              <w:autoSpaceDE w:val="0"/>
              <w:autoSpaceDN w:val="0"/>
              <w:adjustRightInd w:val="0"/>
              <w:jc w:val="right"/>
              <w:rPr>
                <w:szCs w:val="21"/>
              </w:rPr>
            </w:pPr>
            <w:r>
              <w:t>10,364,104.20</w:t>
            </w:r>
          </w:p>
        </w:tc>
        <w:tc>
          <w:tcPr>
            <w:tcW w:w="914" w:type="pct"/>
            <w:tcBorders>
              <w:top w:val="single" w:sz="4" w:space="0" w:color="auto"/>
              <w:left w:val="single" w:sz="4" w:space="0" w:color="auto"/>
              <w:bottom w:val="single" w:sz="4" w:space="0" w:color="auto"/>
              <w:right w:val="single" w:sz="4" w:space="0" w:color="auto"/>
            </w:tcBorders>
          </w:tcPr>
          <w:p w14:paraId="0B185C2E" w14:textId="77777777" w:rsidR="00E57DAA" w:rsidRDefault="00AC4185">
            <w:pPr>
              <w:autoSpaceDE w:val="0"/>
              <w:autoSpaceDN w:val="0"/>
              <w:adjustRightInd w:val="0"/>
              <w:jc w:val="right"/>
              <w:rPr>
                <w:szCs w:val="21"/>
              </w:rPr>
            </w:pPr>
            <w:r>
              <w:t>259,137.91</w:t>
            </w:r>
          </w:p>
        </w:tc>
      </w:tr>
      <w:tr w:rsidR="00E57DAA" w14:paraId="2E6D2354" w14:textId="77777777">
        <w:tc>
          <w:tcPr>
            <w:tcW w:w="677" w:type="pct"/>
            <w:tcBorders>
              <w:top w:val="single" w:sz="4" w:space="0" w:color="auto"/>
              <w:left w:val="single" w:sz="4" w:space="0" w:color="auto"/>
              <w:bottom w:val="single" w:sz="4" w:space="0" w:color="auto"/>
              <w:right w:val="single" w:sz="4" w:space="0" w:color="auto"/>
            </w:tcBorders>
            <w:vAlign w:val="center"/>
          </w:tcPr>
          <w:p w14:paraId="2DCECE2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1C6A605" w14:textId="77777777" w:rsidR="00E57DAA" w:rsidRDefault="00AC4185">
            <w:pPr>
              <w:autoSpaceDE w:val="0"/>
              <w:autoSpaceDN w:val="0"/>
              <w:adjustRightInd w:val="0"/>
              <w:rPr>
                <w:szCs w:val="21"/>
              </w:rPr>
            </w:pPr>
            <w:r>
              <w:t>桂林南方水泥有限公司</w:t>
            </w:r>
          </w:p>
        </w:tc>
        <w:tc>
          <w:tcPr>
            <w:tcW w:w="633" w:type="pct"/>
            <w:tcBorders>
              <w:top w:val="single" w:sz="4" w:space="0" w:color="auto"/>
              <w:left w:val="single" w:sz="4" w:space="0" w:color="auto"/>
              <w:bottom w:val="single" w:sz="4" w:space="0" w:color="auto"/>
              <w:right w:val="single" w:sz="4" w:space="0" w:color="auto"/>
            </w:tcBorders>
          </w:tcPr>
          <w:p w14:paraId="6CDC0C71" w14:textId="77777777" w:rsidR="00E57DAA" w:rsidRDefault="00AC4185">
            <w:pPr>
              <w:autoSpaceDE w:val="0"/>
              <w:autoSpaceDN w:val="0"/>
              <w:adjustRightInd w:val="0"/>
              <w:jc w:val="right"/>
              <w:rPr>
                <w:szCs w:val="21"/>
              </w:rPr>
            </w:pPr>
            <w:r>
              <w:t>5,613,066.10</w:t>
            </w:r>
          </w:p>
        </w:tc>
        <w:tc>
          <w:tcPr>
            <w:tcW w:w="632" w:type="pct"/>
            <w:tcBorders>
              <w:top w:val="single" w:sz="4" w:space="0" w:color="auto"/>
              <w:left w:val="single" w:sz="4" w:space="0" w:color="auto"/>
              <w:bottom w:val="single" w:sz="4" w:space="0" w:color="auto"/>
              <w:right w:val="single" w:sz="4" w:space="0" w:color="auto"/>
            </w:tcBorders>
          </w:tcPr>
          <w:p w14:paraId="50D64A5A" w14:textId="77777777" w:rsidR="00E57DAA" w:rsidRDefault="00AC4185">
            <w:pPr>
              <w:autoSpaceDE w:val="0"/>
              <w:autoSpaceDN w:val="0"/>
              <w:adjustRightInd w:val="0"/>
              <w:jc w:val="right"/>
              <w:rPr>
                <w:szCs w:val="21"/>
              </w:rPr>
            </w:pPr>
            <w:r>
              <w:t>115,763.26</w:t>
            </w:r>
          </w:p>
        </w:tc>
        <w:tc>
          <w:tcPr>
            <w:tcW w:w="703" w:type="pct"/>
            <w:tcBorders>
              <w:top w:val="single" w:sz="4" w:space="0" w:color="auto"/>
              <w:left w:val="single" w:sz="4" w:space="0" w:color="auto"/>
              <w:bottom w:val="single" w:sz="4" w:space="0" w:color="auto"/>
              <w:right w:val="single" w:sz="4" w:space="0" w:color="auto"/>
            </w:tcBorders>
          </w:tcPr>
          <w:p w14:paraId="47EF4FE9" w14:textId="77777777" w:rsidR="00E57DAA" w:rsidRDefault="00AC4185">
            <w:pPr>
              <w:autoSpaceDE w:val="0"/>
              <w:autoSpaceDN w:val="0"/>
              <w:adjustRightInd w:val="0"/>
              <w:jc w:val="right"/>
              <w:rPr>
                <w:szCs w:val="21"/>
              </w:rPr>
            </w:pPr>
            <w:r>
              <w:t>1,050,000.00</w:t>
            </w:r>
          </w:p>
        </w:tc>
        <w:tc>
          <w:tcPr>
            <w:tcW w:w="914" w:type="pct"/>
            <w:tcBorders>
              <w:top w:val="single" w:sz="4" w:space="0" w:color="auto"/>
              <w:left w:val="single" w:sz="4" w:space="0" w:color="auto"/>
              <w:bottom w:val="single" w:sz="4" w:space="0" w:color="auto"/>
              <w:right w:val="single" w:sz="4" w:space="0" w:color="auto"/>
            </w:tcBorders>
          </w:tcPr>
          <w:p w14:paraId="42D98918" w14:textId="77777777" w:rsidR="00E57DAA" w:rsidRDefault="00AC4185">
            <w:pPr>
              <w:autoSpaceDE w:val="0"/>
              <w:autoSpaceDN w:val="0"/>
              <w:adjustRightInd w:val="0"/>
              <w:jc w:val="right"/>
              <w:rPr>
                <w:szCs w:val="21"/>
              </w:rPr>
            </w:pPr>
            <w:r>
              <w:t>24,885.00</w:t>
            </w:r>
          </w:p>
        </w:tc>
      </w:tr>
      <w:tr w:rsidR="00E57DAA" w14:paraId="61027BE6" w14:textId="77777777">
        <w:tc>
          <w:tcPr>
            <w:tcW w:w="677" w:type="pct"/>
            <w:tcBorders>
              <w:top w:val="single" w:sz="4" w:space="0" w:color="auto"/>
              <w:left w:val="single" w:sz="4" w:space="0" w:color="auto"/>
              <w:bottom w:val="single" w:sz="4" w:space="0" w:color="auto"/>
              <w:right w:val="single" w:sz="4" w:space="0" w:color="auto"/>
            </w:tcBorders>
            <w:vAlign w:val="center"/>
          </w:tcPr>
          <w:p w14:paraId="2BF11D8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C0710AC" w14:textId="77777777" w:rsidR="00E57DAA" w:rsidRDefault="00AC4185">
            <w:pPr>
              <w:autoSpaceDE w:val="0"/>
              <w:autoSpaceDN w:val="0"/>
              <w:adjustRightInd w:val="0"/>
              <w:rPr>
                <w:szCs w:val="21"/>
              </w:rPr>
            </w:pPr>
            <w:r>
              <w:t>湖南金磊南方水泥有限公司</w:t>
            </w:r>
          </w:p>
        </w:tc>
        <w:tc>
          <w:tcPr>
            <w:tcW w:w="633" w:type="pct"/>
            <w:tcBorders>
              <w:top w:val="single" w:sz="4" w:space="0" w:color="auto"/>
              <w:left w:val="single" w:sz="4" w:space="0" w:color="auto"/>
              <w:bottom w:val="single" w:sz="4" w:space="0" w:color="auto"/>
              <w:right w:val="single" w:sz="4" w:space="0" w:color="auto"/>
            </w:tcBorders>
          </w:tcPr>
          <w:p w14:paraId="161772A6" w14:textId="77777777" w:rsidR="00E57DAA" w:rsidRDefault="00AC4185">
            <w:pPr>
              <w:autoSpaceDE w:val="0"/>
              <w:autoSpaceDN w:val="0"/>
              <w:adjustRightInd w:val="0"/>
              <w:jc w:val="right"/>
              <w:rPr>
                <w:szCs w:val="21"/>
              </w:rPr>
            </w:pPr>
            <w:r>
              <w:t>5,569,958.75</w:t>
            </w:r>
          </w:p>
        </w:tc>
        <w:tc>
          <w:tcPr>
            <w:tcW w:w="632" w:type="pct"/>
            <w:tcBorders>
              <w:top w:val="single" w:sz="4" w:space="0" w:color="auto"/>
              <w:left w:val="single" w:sz="4" w:space="0" w:color="auto"/>
              <w:bottom w:val="single" w:sz="4" w:space="0" w:color="auto"/>
              <w:right w:val="single" w:sz="4" w:space="0" w:color="auto"/>
            </w:tcBorders>
          </w:tcPr>
          <w:p w14:paraId="1C960DD1" w14:textId="77777777" w:rsidR="00E57DAA" w:rsidRDefault="00AC4185">
            <w:pPr>
              <w:autoSpaceDE w:val="0"/>
              <w:autoSpaceDN w:val="0"/>
              <w:adjustRightInd w:val="0"/>
              <w:jc w:val="right"/>
              <w:rPr>
                <w:szCs w:val="21"/>
              </w:rPr>
            </w:pPr>
            <w:r>
              <w:t>1,049,597.51</w:t>
            </w:r>
          </w:p>
        </w:tc>
        <w:tc>
          <w:tcPr>
            <w:tcW w:w="703" w:type="pct"/>
            <w:tcBorders>
              <w:top w:val="single" w:sz="4" w:space="0" w:color="auto"/>
              <w:left w:val="single" w:sz="4" w:space="0" w:color="auto"/>
              <w:bottom w:val="single" w:sz="4" w:space="0" w:color="auto"/>
              <w:right w:val="single" w:sz="4" w:space="0" w:color="auto"/>
            </w:tcBorders>
          </w:tcPr>
          <w:p w14:paraId="439CD7A7" w14:textId="77777777" w:rsidR="00E57DAA" w:rsidRDefault="00AC4185">
            <w:pPr>
              <w:autoSpaceDE w:val="0"/>
              <w:autoSpaceDN w:val="0"/>
              <w:adjustRightInd w:val="0"/>
              <w:jc w:val="right"/>
              <w:rPr>
                <w:szCs w:val="21"/>
              </w:rPr>
            </w:pPr>
            <w:r>
              <w:t>8,003,513.60</w:t>
            </w:r>
          </w:p>
        </w:tc>
        <w:tc>
          <w:tcPr>
            <w:tcW w:w="914" w:type="pct"/>
            <w:tcBorders>
              <w:top w:val="single" w:sz="4" w:space="0" w:color="auto"/>
              <w:left w:val="single" w:sz="4" w:space="0" w:color="auto"/>
              <w:bottom w:val="single" w:sz="4" w:space="0" w:color="auto"/>
              <w:right w:val="single" w:sz="4" w:space="0" w:color="auto"/>
            </w:tcBorders>
          </w:tcPr>
          <w:p w14:paraId="7309FB81" w14:textId="77777777" w:rsidR="00E57DAA" w:rsidRDefault="00AC4185">
            <w:pPr>
              <w:autoSpaceDE w:val="0"/>
              <w:autoSpaceDN w:val="0"/>
              <w:adjustRightInd w:val="0"/>
              <w:jc w:val="right"/>
              <w:rPr>
                <w:szCs w:val="21"/>
              </w:rPr>
            </w:pPr>
            <w:r>
              <w:t>726,209.59</w:t>
            </w:r>
          </w:p>
        </w:tc>
      </w:tr>
      <w:tr w:rsidR="00E57DAA" w14:paraId="57E3217D" w14:textId="77777777">
        <w:tc>
          <w:tcPr>
            <w:tcW w:w="677" w:type="pct"/>
            <w:tcBorders>
              <w:top w:val="single" w:sz="4" w:space="0" w:color="auto"/>
              <w:left w:val="single" w:sz="4" w:space="0" w:color="auto"/>
              <w:bottom w:val="single" w:sz="4" w:space="0" w:color="auto"/>
              <w:right w:val="single" w:sz="4" w:space="0" w:color="auto"/>
            </w:tcBorders>
            <w:vAlign w:val="center"/>
          </w:tcPr>
          <w:p w14:paraId="3758001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60874E1" w14:textId="77777777" w:rsidR="00E57DAA" w:rsidRDefault="00AC4185">
            <w:pPr>
              <w:autoSpaceDE w:val="0"/>
              <w:autoSpaceDN w:val="0"/>
              <w:adjustRightInd w:val="0"/>
              <w:rPr>
                <w:szCs w:val="21"/>
              </w:rPr>
            </w:pPr>
            <w:r>
              <w:t>南方石墨新材料有限公司</w:t>
            </w:r>
          </w:p>
        </w:tc>
        <w:tc>
          <w:tcPr>
            <w:tcW w:w="633" w:type="pct"/>
            <w:tcBorders>
              <w:top w:val="single" w:sz="4" w:space="0" w:color="auto"/>
              <w:left w:val="single" w:sz="4" w:space="0" w:color="auto"/>
              <w:bottom w:val="single" w:sz="4" w:space="0" w:color="auto"/>
              <w:right w:val="single" w:sz="4" w:space="0" w:color="auto"/>
            </w:tcBorders>
          </w:tcPr>
          <w:p w14:paraId="4D78C59D" w14:textId="77777777" w:rsidR="00E57DAA" w:rsidRDefault="00AC4185">
            <w:pPr>
              <w:autoSpaceDE w:val="0"/>
              <w:autoSpaceDN w:val="0"/>
              <w:adjustRightInd w:val="0"/>
              <w:jc w:val="right"/>
              <w:rPr>
                <w:szCs w:val="21"/>
              </w:rPr>
            </w:pPr>
            <w:r>
              <w:t>4,950,998.69</w:t>
            </w:r>
          </w:p>
        </w:tc>
        <w:tc>
          <w:tcPr>
            <w:tcW w:w="632" w:type="pct"/>
            <w:tcBorders>
              <w:top w:val="single" w:sz="4" w:space="0" w:color="auto"/>
              <w:left w:val="single" w:sz="4" w:space="0" w:color="auto"/>
              <w:bottom w:val="single" w:sz="4" w:space="0" w:color="auto"/>
              <w:right w:val="single" w:sz="4" w:space="0" w:color="auto"/>
            </w:tcBorders>
          </w:tcPr>
          <w:p w14:paraId="2D41E4C3" w14:textId="77777777" w:rsidR="00E57DAA" w:rsidRDefault="00AC4185">
            <w:pPr>
              <w:autoSpaceDE w:val="0"/>
              <w:autoSpaceDN w:val="0"/>
              <w:adjustRightInd w:val="0"/>
              <w:jc w:val="right"/>
              <w:rPr>
                <w:szCs w:val="21"/>
              </w:rPr>
            </w:pPr>
            <w:r>
              <w:t>636,698.43</w:t>
            </w:r>
          </w:p>
        </w:tc>
        <w:tc>
          <w:tcPr>
            <w:tcW w:w="703" w:type="pct"/>
            <w:tcBorders>
              <w:top w:val="single" w:sz="4" w:space="0" w:color="auto"/>
              <w:left w:val="single" w:sz="4" w:space="0" w:color="auto"/>
              <w:bottom w:val="single" w:sz="4" w:space="0" w:color="auto"/>
              <w:right w:val="single" w:sz="4" w:space="0" w:color="auto"/>
            </w:tcBorders>
          </w:tcPr>
          <w:p w14:paraId="53F1E6AE" w14:textId="77777777" w:rsidR="00E57DAA" w:rsidRDefault="00AC4185">
            <w:pPr>
              <w:autoSpaceDE w:val="0"/>
              <w:autoSpaceDN w:val="0"/>
              <w:adjustRightInd w:val="0"/>
              <w:jc w:val="right"/>
              <w:rPr>
                <w:szCs w:val="21"/>
              </w:rPr>
            </w:pPr>
            <w:r>
              <w:t>5,739,609.69</w:t>
            </w:r>
          </w:p>
        </w:tc>
        <w:tc>
          <w:tcPr>
            <w:tcW w:w="914" w:type="pct"/>
            <w:tcBorders>
              <w:top w:val="single" w:sz="4" w:space="0" w:color="auto"/>
              <w:left w:val="single" w:sz="4" w:space="0" w:color="auto"/>
              <w:bottom w:val="single" w:sz="4" w:space="0" w:color="auto"/>
              <w:right w:val="single" w:sz="4" w:space="0" w:color="auto"/>
            </w:tcBorders>
          </w:tcPr>
          <w:p w14:paraId="022B72E3" w14:textId="77777777" w:rsidR="00E57DAA" w:rsidRDefault="00AC4185">
            <w:pPr>
              <w:autoSpaceDE w:val="0"/>
              <w:autoSpaceDN w:val="0"/>
              <w:adjustRightInd w:val="0"/>
              <w:jc w:val="right"/>
              <w:rPr>
                <w:szCs w:val="21"/>
              </w:rPr>
            </w:pPr>
            <w:r>
              <w:t>289,850.29</w:t>
            </w:r>
          </w:p>
        </w:tc>
      </w:tr>
      <w:tr w:rsidR="00E57DAA" w14:paraId="4C1BD41E" w14:textId="77777777">
        <w:tc>
          <w:tcPr>
            <w:tcW w:w="677" w:type="pct"/>
            <w:tcBorders>
              <w:top w:val="single" w:sz="4" w:space="0" w:color="auto"/>
              <w:left w:val="single" w:sz="4" w:space="0" w:color="auto"/>
              <w:bottom w:val="single" w:sz="4" w:space="0" w:color="auto"/>
              <w:right w:val="single" w:sz="4" w:space="0" w:color="auto"/>
            </w:tcBorders>
            <w:vAlign w:val="center"/>
          </w:tcPr>
          <w:p w14:paraId="3F88AD0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961BBC1" w14:textId="77777777" w:rsidR="00E57DAA" w:rsidRDefault="00AC4185">
            <w:pPr>
              <w:autoSpaceDE w:val="0"/>
              <w:autoSpaceDN w:val="0"/>
              <w:adjustRightInd w:val="0"/>
              <w:rPr>
                <w:szCs w:val="21"/>
              </w:rPr>
            </w:pPr>
            <w:r>
              <w:t>中材常德水泥有限责任公司</w:t>
            </w:r>
          </w:p>
        </w:tc>
        <w:tc>
          <w:tcPr>
            <w:tcW w:w="633" w:type="pct"/>
            <w:tcBorders>
              <w:top w:val="single" w:sz="4" w:space="0" w:color="auto"/>
              <w:left w:val="single" w:sz="4" w:space="0" w:color="auto"/>
              <w:bottom w:val="single" w:sz="4" w:space="0" w:color="auto"/>
              <w:right w:val="single" w:sz="4" w:space="0" w:color="auto"/>
            </w:tcBorders>
          </w:tcPr>
          <w:p w14:paraId="356CC463" w14:textId="77777777" w:rsidR="00E57DAA" w:rsidRDefault="00AC4185">
            <w:pPr>
              <w:autoSpaceDE w:val="0"/>
              <w:autoSpaceDN w:val="0"/>
              <w:adjustRightInd w:val="0"/>
              <w:jc w:val="right"/>
              <w:rPr>
                <w:szCs w:val="21"/>
              </w:rPr>
            </w:pPr>
            <w:r>
              <w:t>4,929,883.45</w:t>
            </w:r>
          </w:p>
        </w:tc>
        <w:tc>
          <w:tcPr>
            <w:tcW w:w="632" w:type="pct"/>
            <w:tcBorders>
              <w:top w:val="single" w:sz="4" w:space="0" w:color="auto"/>
              <w:left w:val="single" w:sz="4" w:space="0" w:color="auto"/>
              <w:bottom w:val="single" w:sz="4" w:space="0" w:color="auto"/>
              <w:right w:val="single" w:sz="4" w:space="0" w:color="auto"/>
            </w:tcBorders>
          </w:tcPr>
          <w:p w14:paraId="28B6EBBF" w14:textId="77777777" w:rsidR="00E57DAA" w:rsidRDefault="00AC4185">
            <w:pPr>
              <w:autoSpaceDE w:val="0"/>
              <w:autoSpaceDN w:val="0"/>
              <w:adjustRightInd w:val="0"/>
              <w:jc w:val="right"/>
              <w:rPr>
                <w:szCs w:val="21"/>
              </w:rPr>
            </w:pPr>
            <w:r>
              <w:t>247,716.72</w:t>
            </w:r>
          </w:p>
        </w:tc>
        <w:tc>
          <w:tcPr>
            <w:tcW w:w="703" w:type="pct"/>
            <w:tcBorders>
              <w:top w:val="single" w:sz="4" w:space="0" w:color="auto"/>
              <w:left w:val="single" w:sz="4" w:space="0" w:color="auto"/>
              <w:bottom w:val="single" w:sz="4" w:space="0" w:color="auto"/>
              <w:right w:val="single" w:sz="4" w:space="0" w:color="auto"/>
            </w:tcBorders>
          </w:tcPr>
          <w:p w14:paraId="0C7ED9CD" w14:textId="77777777" w:rsidR="00E57DAA" w:rsidRDefault="00AC4185">
            <w:pPr>
              <w:autoSpaceDE w:val="0"/>
              <w:autoSpaceDN w:val="0"/>
              <w:adjustRightInd w:val="0"/>
              <w:jc w:val="right"/>
              <w:rPr>
                <w:szCs w:val="21"/>
              </w:rPr>
            </w:pPr>
            <w:r>
              <w:t>11,712,543.43</w:t>
            </w:r>
          </w:p>
        </w:tc>
        <w:tc>
          <w:tcPr>
            <w:tcW w:w="914" w:type="pct"/>
            <w:tcBorders>
              <w:top w:val="single" w:sz="4" w:space="0" w:color="auto"/>
              <w:left w:val="single" w:sz="4" w:space="0" w:color="auto"/>
              <w:bottom w:val="single" w:sz="4" w:space="0" w:color="auto"/>
              <w:right w:val="single" w:sz="4" w:space="0" w:color="auto"/>
            </w:tcBorders>
          </w:tcPr>
          <w:p w14:paraId="79765806" w14:textId="77777777" w:rsidR="00E57DAA" w:rsidRDefault="00AC4185">
            <w:pPr>
              <w:autoSpaceDE w:val="0"/>
              <w:autoSpaceDN w:val="0"/>
              <w:adjustRightInd w:val="0"/>
              <w:jc w:val="right"/>
              <w:rPr>
                <w:szCs w:val="21"/>
              </w:rPr>
            </w:pPr>
            <w:r>
              <w:t>328,237.97</w:t>
            </w:r>
          </w:p>
        </w:tc>
      </w:tr>
      <w:tr w:rsidR="00E57DAA" w14:paraId="62EBEF7D" w14:textId="77777777">
        <w:tc>
          <w:tcPr>
            <w:tcW w:w="677" w:type="pct"/>
            <w:tcBorders>
              <w:top w:val="single" w:sz="4" w:space="0" w:color="auto"/>
              <w:left w:val="single" w:sz="4" w:space="0" w:color="auto"/>
              <w:bottom w:val="single" w:sz="4" w:space="0" w:color="auto"/>
              <w:right w:val="single" w:sz="4" w:space="0" w:color="auto"/>
            </w:tcBorders>
            <w:vAlign w:val="center"/>
          </w:tcPr>
          <w:p w14:paraId="62A5592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599689" w14:textId="77777777" w:rsidR="00E57DAA" w:rsidRDefault="00AC4185">
            <w:pPr>
              <w:autoSpaceDE w:val="0"/>
              <w:autoSpaceDN w:val="0"/>
              <w:adjustRightInd w:val="0"/>
              <w:rPr>
                <w:szCs w:val="21"/>
              </w:rPr>
            </w:pPr>
            <w:r>
              <w:t>济源中联水泥有限公司</w:t>
            </w:r>
          </w:p>
        </w:tc>
        <w:tc>
          <w:tcPr>
            <w:tcW w:w="633" w:type="pct"/>
            <w:tcBorders>
              <w:top w:val="single" w:sz="4" w:space="0" w:color="auto"/>
              <w:left w:val="single" w:sz="4" w:space="0" w:color="auto"/>
              <w:bottom w:val="single" w:sz="4" w:space="0" w:color="auto"/>
              <w:right w:val="single" w:sz="4" w:space="0" w:color="auto"/>
            </w:tcBorders>
          </w:tcPr>
          <w:p w14:paraId="13F10B85" w14:textId="77777777" w:rsidR="00E57DAA" w:rsidRDefault="00AC4185">
            <w:pPr>
              <w:autoSpaceDE w:val="0"/>
              <w:autoSpaceDN w:val="0"/>
              <w:adjustRightInd w:val="0"/>
              <w:jc w:val="right"/>
              <w:rPr>
                <w:szCs w:val="21"/>
              </w:rPr>
            </w:pPr>
            <w:r>
              <w:t>4,919,057.45</w:t>
            </w:r>
          </w:p>
        </w:tc>
        <w:tc>
          <w:tcPr>
            <w:tcW w:w="632" w:type="pct"/>
            <w:tcBorders>
              <w:top w:val="single" w:sz="4" w:space="0" w:color="auto"/>
              <w:left w:val="single" w:sz="4" w:space="0" w:color="auto"/>
              <w:bottom w:val="single" w:sz="4" w:space="0" w:color="auto"/>
              <w:right w:val="single" w:sz="4" w:space="0" w:color="auto"/>
            </w:tcBorders>
          </w:tcPr>
          <w:p w14:paraId="2153A9A3" w14:textId="77777777" w:rsidR="00E57DAA" w:rsidRDefault="00AC4185">
            <w:pPr>
              <w:autoSpaceDE w:val="0"/>
              <w:autoSpaceDN w:val="0"/>
              <w:adjustRightInd w:val="0"/>
              <w:jc w:val="right"/>
              <w:rPr>
                <w:szCs w:val="21"/>
              </w:rPr>
            </w:pPr>
            <w:r>
              <w:t>4,169,259.29</w:t>
            </w:r>
          </w:p>
        </w:tc>
        <w:tc>
          <w:tcPr>
            <w:tcW w:w="703" w:type="pct"/>
            <w:tcBorders>
              <w:top w:val="single" w:sz="4" w:space="0" w:color="auto"/>
              <w:left w:val="single" w:sz="4" w:space="0" w:color="auto"/>
              <w:bottom w:val="single" w:sz="4" w:space="0" w:color="auto"/>
              <w:right w:val="single" w:sz="4" w:space="0" w:color="auto"/>
            </w:tcBorders>
          </w:tcPr>
          <w:p w14:paraId="219F8E29" w14:textId="77777777" w:rsidR="00E57DAA" w:rsidRDefault="00AC4185">
            <w:pPr>
              <w:autoSpaceDE w:val="0"/>
              <w:autoSpaceDN w:val="0"/>
              <w:adjustRightInd w:val="0"/>
              <w:jc w:val="right"/>
              <w:rPr>
                <w:szCs w:val="21"/>
              </w:rPr>
            </w:pPr>
            <w:r>
              <w:t>4,917,057.45</w:t>
            </w:r>
          </w:p>
        </w:tc>
        <w:tc>
          <w:tcPr>
            <w:tcW w:w="914" w:type="pct"/>
            <w:tcBorders>
              <w:top w:val="single" w:sz="4" w:space="0" w:color="auto"/>
              <w:left w:val="single" w:sz="4" w:space="0" w:color="auto"/>
              <w:bottom w:val="single" w:sz="4" w:space="0" w:color="auto"/>
              <w:right w:val="single" w:sz="4" w:space="0" w:color="auto"/>
            </w:tcBorders>
          </w:tcPr>
          <w:p w14:paraId="011D7A5D" w14:textId="77777777" w:rsidR="00E57DAA" w:rsidRDefault="00AC4185">
            <w:pPr>
              <w:autoSpaceDE w:val="0"/>
              <w:autoSpaceDN w:val="0"/>
              <w:adjustRightInd w:val="0"/>
              <w:jc w:val="right"/>
              <w:rPr>
                <w:szCs w:val="21"/>
              </w:rPr>
            </w:pPr>
            <w:r>
              <w:t>4,163,380.81</w:t>
            </w:r>
          </w:p>
        </w:tc>
      </w:tr>
      <w:tr w:rsidR="00E57DAA" w14:paraId="55E1F282" w14:textId="77777777">
        <w:tc>
          <w:tcPr>
            <w:tcW w:w="677" w:type="pct"/>
            <w:tcBorders>
              <w:top w:val="single" w:sz="4" w:space="0" w:color="auto"/>
              <w:left w:val="single" w:sz="4" w:space="0" w:color="auto"/>
              <w:bottom w:val="single" w:sz="4" w:space="0" w:color="auto"/>
              <w:right w:val="single" w:sz="4" w:space="0" w:color="auto"/>
            </w:tcBorders>
            <w:vAlign w:val="center"/>
          </w:tcPr>
          <w:p w14:paraId="104F86F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5F9C75C" w14:textId="77777777" w:rsidR="00E57DAA" w:rsidRDefault="00AC4185">
            <w:pPr>
              <w:autoSpaceDE w:val="0"/>
              <w:autoSpaceDN w:val="0"/>
              <w:adjustRightInd w:val="0"/>
              <w:rPr>
                <w:szCs w:val="21"/>
              </w:rPr>
            </w:pPr>
            <w:r>
              <w:t>建德更楼矿业有限公司</w:t>
            </w:r>
          </w:p>
        </w:tc>
        <w:tc>
          <w:tcPr>
            <w:tcW w:w="633" w:type="pct"/>
            <w:tcBorders>
              <w:top w:val="single" w:sz="4" w:space="0" w:color="auto"/>
              <w:left w:val="single" w:sz="4" w:space="0" w:color="auto"/>
              <w:bottom w:val="single" w:sz="4" w:space="0" w:color="auto"/>
              <w:right w:val="single" w:sz="4" w:space="0" w:color="auto"/>
            </w:tcBorders>
          </w:tcPr>
          <w:p w14:paraId="6A620A82" w14:textId="77777777" w:rsidR="00E57DAA" w:rsidRDefault="00AC4185">
            <w:pPr>
              <w:autoSpaceDE w:val="0"/>
              <w:autoSpaceDN w:val="0"/>
              <w:adjustRightInd w:val="0"/>
              <w:jc w:val="right"/>
              <w:rPr>
                <w:szCs w:val="21"/>
              </w:rPr>
            </w:pPr>
            <w:r>
              <w:t>4,807,972.20</w:t>
            </w:r>
          </w:p>
        </w:tc>
        <w:tc>
          <w:tcPr>
            <w:tcW w:w="632" w:type="pct"/>
            <w:tcBorders>
              <w:top w:val="single" w:sz="4" w:space="0" w:color="auto"/>
              <w:left w:val="single" w:sz="4" w:space="0" w:color="auto"/>
              <w:bottom w:val="single" w:sz="4" w:space="0" w:color="auto"/>
              <w:right w:val="single" w:sz="4" w:space="0" w:color="auto"/>
            </w:tcBorders>
          </w:tcPr>
          <w:p w14:paraId="4E3A0141" w14:textId="77777777" w:rsidR="00E57DAA" w:rsidRDefault="00AC4185">
            <w:pPr>
              <w:autoSpaceDE w:val="0"/>
              <w:autoSpaceDN w:val="0"/>
              <w:adjustRightInd w:val="0"/>
              <w:jc w:val="right"/>
              <w:rPr>
                <w:szCs w:val="21"/>
              </w:rPr>
            </w:pPr>
            <w:r>
              <w:t>19,231.89</w:t>
            </w:r>
          </w:p>
        </w:tc>
        <w:tc>
          <w:tcPr>
            <w:tcW w:w="703" w:type="pct"/>
            <w:tcBorders>
              <w:top w:val="single" w:sz="4" w:space="0" w:color="auto"/>
              <w:left w:val="single" w:sz="4" w:space="0" w:color="auto"/>
              <w:bottom w:val="single" w:sz="4" w:space="0" w:color="auto"/>
              <w:right w:val="single" w:sz="4" w:space="0" w:color="auto"/>
            </w:tcBorders>
          </w:tcPr>
          <w:p w14:paraId="224F074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CD6575A" w14:textId="77777777" w:rsidR="00E57DAA" w:rsidRDefault="00AC4185">
            <w:pPr>
              <w:autoSpaceDE w:val="0"/>
              <w:autoSpaceDN w:val="0"/>
              <w:adjustRightInd w:val="0"/>
              <w:jc w:val="right"/>
              <w:rPr>
                <w:szCs w:val="21"/>
              </w:rPr>
            </w:pPr>
            <w:r>
              <w:t xml:space="preserve">　</w:t>
            </w:r>
          </w:p>
        </w:tc>
      </w:tr>
      <w:tr w:rsidR="00E57DAA" w14:paraId="244E0CCC" w14:textId="77777777">
        <w:tc>
          <w:tcPr>
            <w:tcW w:w="677" w:type="pct"/>
            <w:tcBorders>
              <w:top w:val="single" w:sz="4" w:space="0" w:color="auto"/>
              <w:left w:val="single" w:sz="4" w:space="0" w:color="auto"/>
              <w:bottom w:val="single" w:sz="4" w:space="0" w:color="auto"/>
              <w:right w:val="single" w:sz="4" w:space="0" w:color="auto"/>
            </w:tcBorders>
            <w:vAlign w:val="center"/>
          </w:tcPr>
          <w:p w14:paraId="582144C2"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0F57B706" w14:textId="77777777" w:rsidR="00E57DAA" w:rsidRDefault="00AC4185">
            <w:pPr>
              <w:autoSpaceDE w:val="0"/>
              <w:autoSpaceDN w:val="0"/>
              <w:adjustRightInd w:val="0"/>
              <w:rPr>
                <w:szCs w:val="21"/>
              </w:rPr>
            </w:pPr>
            <w:r>
              <w:t>徐州中联水泥有限公司</w:t>
            </w:r>
          </w:p>
        </w:tc>
        <w:tc>
          <w:tcPr>
            <w:tcW w:w="633" w:type="pct"/>
            <w:tcBorders>
              <w:top w:val="single" w:sz="4" w:space="0" w:color="auto"/>
              <w:left w:val="single" w:sz="4" w:space="0" w:color="auto"/>
              <w:bottom w:val="single" w:sz="4" w:space="0" w:color="auto"/>
              <w:right w:val="single" w:sz="4" w:space="0" w:color="auto"/>
            </w:tcBorders>
          </w:tcPr>
          <w:p w14:paraId="33150DEA" w14:textId="77777777" w:rsidR="00E57DAA" w:rsidRDefault="00AC4185">
            <w:pPr>
              <w:autoSpaceDE w:val="0"/>
              <w:autoSpaceDN w:val="0"/>
              <w:adjustRightInd w:val="0"/>
              <w:jc w:val="right"/>
              <w:rPr>
                <w:szCs w:val="21"/>
              </w:rPr>
            </w:pPr>
            <w:r>
              <w:t>4,771,384.30</w:t>
            </w:r>
          </w:p>
        </w:tc>
        <w:tc>
          <w:tcPr>
            <w:tcW w:w="632" w:type="pct"/>
            <w:tcBorders>
              <w:top w:val="single" w:sz="4" w:space="0" w:color="auto"/>
              <w:left w:val="single" w:sz="4" w:space="0" w:color="auto"/>
              <w:bottom w:val="single" w:sz="4" w:space="0" w:color="auto"/>
              <w:right w:val="single" w:sz="4" w:space="0" w:color="auto"/>
            </w:tcBorders>
          </w:tcPr>
          <w:p w14:paraId="49C38E58" w14:textId="77777777" w:rsidR="00E57DAA" w:rsidRDefault="00AC4185">
            <w:pPr>
              <w:autoSpaceDE w:val="0"/>
              <w:autoSpaceDN w:val="0"/>
              <w:adjustRightInd w:val="0"/>
              <w:jc w:val="right"/>
              <w:rPr>
                <w:szCs w:val="21"/>
              </w:rPr>
            </w:pPr>
            <w:r>
              <w:t>117,763.21</w:t>
            </w:r>
          </w:p>
        </w:tc>
        <w:tc>
          <w:tcPr>
            <w:tcW w:w="703" w:type="pct"/>
            <w:tcBorders>
              <w:top w:val="single" w:sz="4" w:space="0" w:color="auto"/>
              <w:left w:val="single" w:sz="4" w:space="0" w:color="auto"/>
              <w:bottom w:val="single" w:sz="4" w:space="0" w:color="auto"/>
              <w:right w:val="single" w:sz="4" w:space="0" w:color="auto"/>
            </w:tcBorders>
          </w:tcPr>
          <w:p w14:paraId="6E38929E" w14:textId="77777777" w:rsidR="00E57DAA" w:rsidRDefault="00AC4185">
            <w:pPr>
              <w:autoSpaceDE w:val="0"/>
              <w:autoSpaceDN w:val="0"/>
              <w:adjustRightInd w:val="0"/>
              <w:jc w:val="right"/>
              <w:rPr>
                <w:szCs w:val="21"/>
              </w:rPr>
            </w:pPr>
            <w:r>
              <w:t>37,647,972.80</w:t>
            </w:r>
          </w:p>
        </w:tc>
        <w:tc>
          <w:tcPr>
            <w:tcW w:w="914" w:type="pct"/>
            <w:tcBorders>
              <w:top w:val="single" w:sz="4" w:space="0" w:color="auto"/>
              <w:left w:val="single" w:sz="4" w:space="0" w:color="auto"/>
              <w:bottom w:val="single" w:sz="4" w:space="0" w:color="auto"/>
              <w:right w:val="single" w:sz="4" w:space="0" w:color="auto"/>
            </w:tcBorders>
          </w:tcPr>
          <w:p w14:paraId="0B5DB0A3" w14:textId="77777777" w:rsidR="00E57DAA" w:rsidRDefault="00AC4185">
            <w:pPr>
              <w:autoSpaceDE w:val="0"/>
              <w:autoSpaceDN w:val="0"/>
              <w:adjustRightInd w:val="0"/>
              <w:jc w:val="right"/>
              <w:rPr>
                <w:szCs w:val="21"/>
              </w:rPr>
            </w:pPr>
            <w:r>
              <w:t>892,256.96</w:t>
            </w:r>
          </w:p>
        </w:tc>
      </w:tr>
      <w:tr w:rsidR="00E57DAA" w14:paraId="4C1574D0" w14:textId="77777777">
        <w:tc>
          <w:tcPr>
            <w:tcW w:w="677" w:type="pct"/>
            <w:tcBorders>
              <w:top w:val="single" w:sz="4" w:space="0" w:color="auto"/>
              <w:left w:val="single" w:sz="4" w:space="0" w:color="auto"/>
              <w:bottom w:val="single" w:sz="4" w:space="0" w:color="auto"/>
              <w:right w:val="single" w:sz="4" w:space="0" w:color="auto"/>
            </w:tcBorders>
            <w:vAlign w:val="center"/>
          </w:tcPr>
          <w:p w14:paraId="614DAEB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33D287" w14:textId="77777777" w:rsidR="00E57DAA" w:rsidRDefault="00AC4185">
            <w:pPr>
              <w:autoSpaceDE w:val="0"/>
              <w:autoSpaceDN w:val="0"/>
              <w:adjustRightInd w:val="0"/>
              <w:rPr>
                <w:szCs w:val="21"/>
              </w:rPr>
            </w:pPr>
            <w:r>
              <w:t>长兴南方水泥有限公司</w:t>
            </w:r>
          </w:p>
        </w:tc>
        <w:tc>
          <w:tcPr>
            <w:tcW w:w="633" w:type="pct"/>
            <w:tcBorders>
              <w:top w:val="single" w:sz="4" w:space="0" w:color="auto"/>
              <w:left w:val="single" w:sz="4" w:space="0" w:color="auto"/>
              <w:bottom w:val="single" w:sz="4" w:space="0" w:color="auto"/>
              <w:right w:val="single" w:sz="4" w:space="0" w:color="auto"/>
            </w:tcBorders>
          </w:tcPr>
          <w:p w14:paraId="6B208C83" w14:textId="77777777" w:rsidR="00E57DAA" w:rsidRDefault="00AC4185">
            <w:pPr>
              <w:autoSpaceDE w:val="0"/>
              <w:autoSpaceDN w:val="0"/>
              <w:adjustRightInd w:val="0"/>
              <w:jc w:val="right"/>
              <w:rPr>
                <w:szCs w:val="21"/>
              </w:rPr>
            </w:pPr>
            <w:r>
              <w:t>4,690,599.58</w:t>
            </w:r>
          </w:p>
        </w:tc>
        <w:tc>
          <w:tcPr>
            <w:tcW w:w="632" w:type="pct"/>
            <w:tcBorders>
              <w:top w:val="single" w:sz="4" w:space="0" w:color="auto"/>
              <w:left w:val="single" w:sz="4" w:space="0" w:color="auto"/>
              <w:bottom w:val="single" w:sz="4" w:space="0" w:color="auto"/>
              <w:right w:val="single" w:sz="4" w:space="0" w:color="auto"/>
            </w:tcBorders>
          </w:tcPr>
          <w:p w14:paraId="5ABB6703" w14:textId="77777777" w:rsidR="00E57DAA" w:rsidRDefault="00AC4185">
            <w:pPr>
              <w:autoSpaceDE w:val="0"/>
              <w:autoSpaceDN w:val="0"/>
              <w:adjustRightInd w:val="0"/>
              <w:jc w:val="right"/>
              <w:rPr>
                <w:szCs w:val="21"/>
              </w:rPr>
            </w:pPr>
            <w:r>
              <w:t>339,390.92</w:t>
            </w:r>
          </w:p>
        </w:tc>
        <w:tc>
          <w:tcPr>
            <w:tcW w:w="703" w:type="pct"/>
            <w:tcBorders>
              <w:top w:val="single" w:sz="4" w:space="0" w:color="auto"/>
              <w:left w:val="single" w:sz="4" w:space="0" w:color="auto"/>
              <w:bottom w:val="single" w:sz="4" w:space="0" w:color="auto"/>
              <w:right w:val="single" w:sz="4" w:space="0" w:color="auto"/>
            </w:tcBorders>
          </w:tcPr>
          <w:p w14:paraId="626BCDCE" w14:textId="77777777" w:rsidR="00E57DAA" w:rsidRDefault="00AC4185">
            <w:pPr>
              <w:autoSpaceDE w:val="0"/>
              <w:autoSpaceDN w:val="0"/>
              <w:adjustRightInd w:val="0"/>
              <w:jc w:val="right"/>
              <w:rPr>
                <w:szCs w:val="21"/>
              </w:rPr>
            </w:pPr>
            <w:r>
              <w:t>9,922,237.50</w:t>
            </w:r>
          </w:p>
        </w:tc>
        <w:tc>
          <w:tcPr>
            <w:tcW w:w="914" w:type="pct"/>
            <w:tcBorders>
              <w:top w:val="single" w:sz="4" w:space="0" w:color="auto"/>
              <w:left w:val="single" w:sz="4" w:space="0" w:color="auto"/>
              <w:bottom w:val="single" w:sz="4" w:space="0" w:color="auto"/>
              <w:right w:val="single" w:sz="4" w:space="0" w:color="auto"/>
            </w:tcBorders>
          </w:tcPr>
          <w:p w14:paraId="5CC3515E" w14:textId="77777777" w:rsidR="00E57DAA" w:rsidRDefault="00AC4185">
            <w:pPr>
              <w:autoSpaceDE w:val="0"/>
              <w:autoSpaceDN w:val="0"/>
              <w:adjustRightInd w:val="0"/>
              <w:jc w:val="right"/>
              <w:rPr>
                <w:szCs w:val="21"/>
              </w:rPr>
            </w:pPr>
            <w:r>
              <w:t>322,892.92</w:t>
            </w:r>
          </w:p>
        </w:tc>
      </w:tr>
      <w:tr w:rsidR="00E57DAA" w14:paraId="76FC8613" w14:textId="77777777">
        <w:tc>
          <w:tcPr>
            <w:tcW w:w="677" w:type="pct"/>
            <w:tcBorders>
              <w:top w:val="single" w:sz="4" w:space="0" w:color="auto"/>
              <w:left w:val="single" w:sz="4" w:space="0" w:color="auto"/>
              <w:bottom w:val="single" w:sz="4" w:space="0" w:color="auto"/>
              <w:right w:val="single" w:sz="4" w:space="0" w:color="auto"/>
            </w:tcBorders>
            <w:vAlign w:val="center"/>
          </w:tcPr>
          <w:p w14:paraId="6E2F3E7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7BE1C0" w14:textId="77777777" w:rsidR="00E57DAA" w:rsidRDefault="00AC4185">
            <w:pPr>
              <w:autoSpaceDE w:val="0"/>
              <w:autoSpaceDN w:val="0"/>
              <w:adjustRightInd w:val="0"/>
              <w:rPr>
                <w:szCs w:val="21"/>
              </w:rPr>
            </w:pPr>
            <w:r>
              <w:t>洛阳黄河同力水泥有限责任公司</w:t>
            </w:r>
          </w:p>
        </w:tc>
        <w:tc>
          <w:tcPr>
            <w:tcW w:w="633" w:type="pct"/>
            <w:tcBorders>
              <w:top w:val="single" w:sz="4" w:space="0" w:color="auto"/>
              <w:left w:val="single" w:sz="4" w:space="0" w:color="auto"/>
              <w:bottom w:val="single" w:sz="4" w:space="0" w:color="auto"/>
              <w:right w:val="single" w:sz="4" w:space="0" w:color="auto"/>
            </w:tcBorders>
          </w:tcPr>
          <w:p w14:paraId="1C905519" w14:textId="77777777" w:rsidR="00E57DAA" w:rsidRDefault="00AC4185">
            <w:pPr>
              <w:autoSpaceDE w:val="0"/>
              <w:autoSpaceDN w:val="0"/>
              <w:adjustRightInd w:val="0"/>
              <w:jc w:val="right"/>
              <w:rPr>
                <w:szCs w:val="21"/>
              </w:rPr>
            </w:pPr>
            <w:r>
              <w:t>4,531,068.45</w:t>
            </w:r>
          </w:p>
        </w:tc>
        <w:tc>
          <w:tcPr>
            <w:tcW w:w="632" w:type="pct"/>
            <w:tcBorders>
              <w:top w:val="single" w:sz="4" w:space="0" w:color="auto"/>
              <w:left w:val="single" w:sz="4" w:space="0" w:color="auto"/>
              <w:bottom w:val="single" w:sz="4" w:space="0" w:color="auto"/>
              <w:right w:val="single" w:sz="4" w:space="0" w:color="auto"/>
            </w:tcBorders>
          </w:tcPr>
          <w:p w14:paraId="681D6B75" w14:textId="77777777" w:rsidR="00E57DAA" w:rsidRDefault="00AC4185">
            <w:pPr>
              <w:autoSpaceDE w:val="0"/>
              <w:autoSpaceDN w:val="0"/>
              <w:adjustRightInd w:val="0"/>
              <w:jc w:val="right"/>
              <w:rPr>
                <w:szCs w:val="21"/>
              </w:rPr>
            </w:pPr>
            <w:r>
              <w:t>322,205.66</w:t>
            </w:r>
          </w:p>
        </w:tc>
        <w:tc>
          <w:tcPr>
            <w:tcW w:w="703" w:type="pct"/>
            <w:tcBorders>
              <w:top w:val="single" w:sz="4" w:space="0" w:color="auto"/>
              <w:left w:val="single" w:sz="4" w:space="0" w:color="auto"/>
              <w:bottom w:val="single" w:sz="4" w:space="0" w:color="auto"/>
              <w:right w:val="single" w:sz="4" w:space="0" w:color="auto"/>
            </w:tcBorders>
          </w:tcPr>
          <w:p w14:paraId="4BB05D5E" w14:textId="77777777" w:rsidR="00E57DAA" w:rsidRDefault="00AC4185">
            <w:pPr>
              <w:autoSpaceDE w:val="0"/>
              <w:autoSpaceDN w:val="0"/>
              <w:adjustRightInd w:val="0"/>
              <w:jc w:val="right"/>
              <w:rPr>
                <w:szCs w:val="21"/>
              </w:rPr>
            </w:pPr>
            <w:r>
              <w:t>5,628,296.45</w:t>
            </w:r>
          </w:p>
        </w:tc>
        <w:tc>
          <w:tcPr>
            <w:tcW w:w="914" w:type="pct"/>
            <w:tcBorders>
              <w:top w:val="single" w:sz="4" w:space="0" w:color="auto"/>
              <w:left w:val="single" w:sz="4" w:space="0" w:color="auto"/>
              <w:bottom w:val="single" w:sz="4" w:space="0" w:color="auto"/>
              <w:right w:val="single" w:sz="4" w:space="0" w:color="auto"/>
            </w:tcBorders>
          </w:tcPr>
          <w:p w14:paraId="47FAAE46" w14:textId="77777777" w:rsidR="00E57DAA" w:rsidRDefault="00AC4185">
            <w:pPr>
              <w:autoSpaceDE w:val="0"/>
              <w:autoSpaceDN w:val="0"/>
              <w:adjustRightInd w:val="0"/>
              <w:jc w:val="right"/>
              <w:rPr>
                <w:szCs w:val="21"/>
              </w:rPr>
            </w:pPr>
            <w:r>
              <w:t>237,536.99</w:t>
            </w:r>
          </w:p>
        </w:tc>
      </w:tr>
      <w:tr w:rsidR="00E57DAA" w14:paraId="26ABBC43" w14:textId="77777777">
        <w:tc>
          <w:tcPr>
            <w:tcW w:w="677" w:type="pct"/>
            <w:tcBorders>
              <w:top w:val="single" w:sz="4" w:space="0" w:color="auto"/>
              <w:left w:val="single" w:sz="4" w:space="0" w:color="auto"/>
              <w:bottom w:val="single" w:sz="4" w:space="0" w:color="auto"/>
              <w:right w:val="single" w:sz="4" w:space="0" w:color="auto"/>
            </w:tcBorders>
            <w:vAlign w:val="center"/>
          </w:tcPr>
          <w:p w14:paraId="50B06E2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B7EB3B3" w14:textId="77777777" w:rsidR="00E57DAA" w:rsidRDefault="00AC4185">
            <w:pPr>
              <w:autoSpaceDE w:val="0"/>
              <w:autoSpaceDN w:val="0"/>
              <w:adjustRightInd w:val="0"/>
              <w:rPr>
                <w:szCs w:val="21"/>
              </w:rPr>
            </w:pPr>
            <w:r>
              <w:t>旺苍川煤水泥有限责任公司</w:t>
            </w:r>
          </w:p>
        </w:tc>
        <w:tc>
          <w:tcPr>
            <w:tcW w:w="633" w:type="pct"/>
            <w:tcBorders>
              <w:top w:val="single" w:sz="4" w:space="0" w:color="auto"/>
              <w:left w:val="single" w:sz="4" w:space="0" w:color="auto"/>
              <w:bottom w:val="single" w:sz="4" w:space="0" w:color="auto"/>
              <w:right w:val="single" w:sz="4" w:space="0" w:color="auto"/>
            </w:tcBorders>
          </w:tcPr>
          <w:p w14:paraId="66C09239" w14:textId="77777777" w:rsidR="00E57DAA" w:rsidRDefault="00AC4185">
            <w:pPr>
              <w:autoSpaceDE w:val="0"/>
              <w:autoSpaceDN w:val="0"/>
              <w:adjustRightInd w:val="0"/>
              <w:jc w:val="right"/>
              <w:rPr>
                <w:szCs w:val="21"/>
              </w:rPr>
            </w:pPr>
            <w:r>
              <w:t>4,320,122.31</w:t>
            </w:r>
          </w:p>
        </w:tc>
        <w:tc>
          <w:tcPr>
            <w:tcW w:w="632" w:type="pct"/>
            <w:tcBorders>
              <w:top w:val="single" w:sz="4" w:space="0" w:color="auto"/>
              <w:left w:val="single" w:sz="4" w:space="0" w:color="auto"/>
              <w:bottom w:val="single" w:sz="4" w:space="0" w:color="auto"/>
              <w:right w:val="single" w:sz="4" w:space="0" w:color="auto"/>
            </w:tcBorders>
          </w:tcPr>
          <w:p w14:paraId="04B67764" w14:textId="77777777" w:rsidR="00E57DAA" w:rsidRDefault="00AC4185">
            <w:pPr>
              <w:autoSpaceDE w:val="0"/>
              <w:autoSpaceDN w:val="0"/>
              <w:adjustRightInd w:val="0"/>
              <w:jc w:val="right"/>
              <w:rPr>
                <w:szCs w:val="21"/>
              </w:rPr>
            </w:pPr>
            <w:r>
              <w:t>109,929.75</w:t>
            </w:r>
          </w:p>
        </w:tc>
        <w:tc>
          <w:tcPr>
            <w:tcW w:w="703" w:type="pct"/>
            <w:tcBorders>
              <w:top w:val="single" w:sz="4" w:space="0" w:color="auto"/>
              <w:left w:val="single" w:sz="4" w:space="0" w:color="auto"/>
              <w:bottom w:val="single" w:sz="4" w:space="0" w:color="auto"/>
              <w:right w:val="single" w:sz="4" w:space="0" w:color="auto"/>
            </w:tcBorders>
          </w:tcPr>
          <w:p w14:paraId="670EF345" w14:textId="77777777" w:rsidR="00E57DAA" w:rsidRDefault="00AC4185">
            <w:pPr>
              <w:autoSpaceDE w:val="0"/>
              <w:autoSpaceDN w:val="0"/>
              <w:adjustRightInd w:val="0"/>
              <w:jc w:val="right"/>
              <w:rPr>
                <w:szCs w:val="21"/>
              </w:rPr>
            </w:pPr>
            <w:r>
              <w:t>5,453,864.56</w:t>
            </w:r>
          </w:p>
        </w:tc>
        <w:tc>
          <w:tcPr>
            <w:tcW w:w="914" w:type="pct"/>
            <w:tcBorders>
              <w:top w:val="single" w:sz="4" w:space="0" w:color="auto"/>
              <w:left w:val="single" w:sz="4" w:space="0" w:color="auto"/>
              <w:bottom w:val="single" w:sz="4" w:space="0" w:color="auto"/>
              <w:right w:val="single" w:sz="4" w:space="0" w:color="auto"/>
            </w:tcBorders>
          </w:tcPr>
          <w:p w14:paraId="439783E5" w14:textId="77777777" w:rsidR="00E57DAA" w:rsidRDefault="00AC4185">
            <w:pPr>
              <w:autoSpaceDE w:val="0"/>
              <w:autoSpaceDN w:val="0"/>
              <w:adjustRightInd w:val="0"/>
              <w:jc w:val="right"/>
              <w:rPr>
                <w:szCs w:val="21"/>
              </w:rPr>
            </w:pPr>
            <w:r>
              <w:t>74,388.89</w:t>
            </w:r>
          </w:p>
        </w:tc>
      </w:tr>
      <w:tr w:rsidR="00E57DAA" w14:paraId="3F308CFC" w14:textId="77777777">
        <w:tc>
          <w:tcPr>
            <w:tcW w:w="677" w:type="pct"/>
            <w:tcBorders>
              <w:top w:val="single" w:sz="4" w:space="0" w:color="auto"/>
              <w:left w:val="single" w:sz="4" w:space="0" w:color="auto"/>
              <w:bottom w:val="single" w:sz="4" w:space="0" w:color="auto"/>
              <w:right w:val="single" w:sz="4" w:space="0" w:color="auto"/>
            </w:tcBorders>
            <w:vAlign w:val="center"/>
          </w:tcPr>
          <w:p w14:paraId="2562288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B9F393" w14:textId="77777777" w:rsidR="00E57DAA" w:rsidRDefault="00AC4185">
            <w:pPr>
              <w:autoSpaceDE w:val="0"/>
              <w:autoSpaceDN w:val="0"/>
              <w:adjustRightInd w:val="0"/>
              <w:rPr>
                <w:szCs w:val="21"/>
              </w:rPr>
            </w:pPr>
            <w:r>
              <w:t>登封中联登电水泥有限公司</w:t>
            </w:r>
          </w:p>
        </w:tc>
        <w:tc>
          <w:tcPr>
            <w:tcW w:w="633" w:type="pct"/>
            <w:tcBorders>
              <w:top w:val="single" w:sz="4" w:space="0" w:color="auto"/>
              <w:left w:val="single" w:sz="4" w:space="0" w:color="auto"/>
              <w:bottom w:val="single" w:sz="4" w:space="0" w:color="auto"/>
              <w:right w:val="single" w:sz="4" w:space="0" w:color="auto"/>
            </w:tcBorders>
          </w:tcPr>
          <w:p w14:paraId="15C22625" w14:textId="77777777" w:rsidR="00E57DAA" w:rsidRDefault="00AC4185">
            <w:pPr>
              <w:autoSpaceDE w:val="0"/>
              <w:autoSpaceDN w:val="0"/>
              <w:adjustRightInd w:val="0"/>
              <w:jc w:val="right"/>
              <w:rPr>
                <w:szCs w:val="21"/>
              </w:rPr>
            </w:pPr>
            <w:r>
              <w:t>4,286,297.10</w:t>
            </w:r>
          </w:p>
        </w:tc>
        <w:tc>
          <w:tcPr>
            <w:tcW w:w="632" w:type="pct"/>
            <w:tcBorders>
              <w:top w:val="single" w:sz="4" w:space="0" w:color="auto"/>
              <w:left w:val="single" w:sz="4" w:space="0" w:color="auto"/>
              <w:bottom w:val="single" w:sz="4" w:space="0" w:color="auto"/>
              <w:right w:val="single" w:sz="4" w:space="0" w:color="auto"/>
            </w:tcBorders>
          </w:tcPr>
          <w:p w14:paraId="543E27D1" w14:textId="77777777" w:rsidR="00E57DAA" w:rsidRDefault="00AC4185">
            <w:pPr>
              <w:autoSpaceDE w:val="0"/>
              <w:autoSpaceDN w:val="0"/>
              <w:adjustRightInd w:val="0"/>
              <w:jc w:val="right"/>
              <w:rPr>
                <w:szCs w:val="21"/>
              </w:rPr>
            </w:pPr>
            <w:r>
              <w:t>17,145.19</w:t>
            </w:r>
          </w:p>
        </w:tc>
        <w:tc>
          <w:tcPr>
            <w:tcW w:w="703" w:type="pct"/>
            <w:tcBorders>
              <w:top w:val="single" w:sz="4" w:space="0" w:color="auto"/>
              <w:left w:val="single" w:sz="4" w:space="0" w:color="auto"/>
              <w:bottom w:val="single" w:sz="4" w:space="0" w:color="auto"/>
              <w:right w:val="single" w:sz="4" w:space="0" w:color="auto"/>
            </w:tcBorders>
          </w:tcPr>
          <w:p w14:paraId="6F8A569D" w14:textId="77777777" w:rsidR="00E57DAA" w:rsidRDefault="00AC4185">
            <w:pPr>
              <w:autoSpaceDE w:val="0"/>
              <w:autoSpaceDN w:val="0"/>
              <w:adjustRightInd w:val="0"/>
              <w:jc w:val="right"/>
              <w:rPr>
                <w:szCs w:val="21"/>
              </w:rPr>
            </w:pPr>
            <w:r>
              <w:t>435,237.30</w:t>
            </w:r>
          </w:p>
        </w:tc>
        <w:tc>
          <w:tcPr>
            <w:tcW w:w="914" w:type="pct"/>
            <w:tcBorders>
              <w:top w:val="single" w:sz="4" w:space="0" w:color="auto"/>
              <w:left w:val="single" w:sz="4" w:space="0" w:color="auto"/>
              <w:bottom w:val="single" w:sz="4" w:space="0" w:color="auto"/>
              <w:right w:val="single" w:sz="4" w:space="0" w:color="auto"/>
            </w:tcBorders>
          </w:tcPr>
          <w:p w14:paraId="2929AF23" w14:textId="77777777" w:rsidR="00E57DAA" w:rsidRDefault="00AC4185">
            <w:pPr>
              <w:autoSpaceDE w:val="0"/>
              <w:autoSpaceDN w:val="0"/>
              <w:adjustRightInd w:val="0"/>
              <w:jc w:val="right"/>
              <w:rPr>
                <w:szCs w:val="21"/>
              </w:rPr>
            </w:pPr>
            <w:r>
              <w:t>350,738.52</w:t>
            </w:r>
          </w:p>
        </w:tc>
      </w:tr>
      <w:tr w:rsidR="00E57DAA" w14:paraId="71E3796D" w14:textId="77777777">
        <w:tc>
          <w:tcPr>
            <w:tcW w:w="677" w:type="pct"/>
            <w:tcBorders>
              <w:top w:val="single" w:sz="4" w:space="0" w:color="auto"/>
              <w:left w:val="single" w:sz="4" w:space="0" w:color="auto"/>
              <w:bottom w:val="single" w:sz="4" w:space="0" w:color="auto"/>
              <w:right w:val="single" w:sz="4" w:space="0" w:color="auto"/>
            </w:tcBorders>
            <w:vAlign w:val="center"/>
          </w:tcPr>
          <w:p w14:paraId="449D6D0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66C51F9" w14:textId="77777777" w:rsidR="00E57DAA" w:rsidRDefault="00AC4185">
            <w:pPr>
              <w:autoSpaceDE w:val="0"/>
              <w:autoSpaceDN w:val="0"/>
              <w:adjustRightInd w:val="0"/>
              <w:rPr>
                <w:szCs w:val="21"/>
              </w:rPr>
            </w:pPr>
            <w:r>
              <w:t>叶城天山水泥有限责任公司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491B2A5" w14:textId="77777777" w:rsidR="00E57DAA" w:rsidRDefault="00AC4185">
            <w:pPr>
              <w:autoSpaceDE w:val="0"/>
              <w:autoSpaceDN w:val="0"/>
              <w:adjustRightInd w:val="0"/>
              <w:jc w:val="right"/>
              <w:rPr>
                <w:szCs w:val="21"/>
              </w:rPr>
            </w:pPr>
            <w:r>
              <w:t>4,255,343.19</w:t>
            </w:r>
          </w:p>
        </w:tc>
        <w:tc>
          <w:tcPr>
            <w:tcW w:w="632" w:type="pct"/>
            <w:tcBorders>
              <w:top w:val="single" w:sz="4" w:space="0" w:color="auto"/>
              <w:left w:val="single" w:sz="4" w:space="0" w:color="auto"/>
              <w:bottom w:val="single" w:sz="4" w:space="0" w:color="auto"/>
              <w:right w:val="single" w:sz="4" w:space="0" w:color="auto"/>
            </w:tcBorders>
          </w:tcPr>
          <w:p w14:paraId="447F4114" w14:textId="77777777" w:rsidR="00E57DAA" w:rsidRDefault="00AC4185">
            <w:pPr>
              <w:autoSpaceDE w:val="0"/>
              <w:autoSpaceDN w:val="0"/>
              <w:adjustRightInd w:val="0"/>
              <w:jc w:val="right"/>
              <w:rPr>
                <w:szCs w:val="21"/>
              </w:rPr>
            </w:pPr>
            <w:r>
              <w:t>217,747.09</w:t>
            </w:r>
          </w:p>
        </w:tc>
        <w:tc>
          <w:tcPr>
            <w:tcW w:w="703" w:type="pct"/>
            <w:tcBorders>
              <w:top w:val="single" w:sz="4" w:space="0" w:color="auto"/>
              <w:left w:val="single" w:sz="4" w:space="0" w:color="auto"/>
              <w:bottom w:val="single" w:sz="4" w:space="0" w:color="auto"/>
              <w:right w:val="single" w:sz="4" w:space="0" w:color="auto"/>
            </w:tcBorders>
          </w:tcPr>
          <w:p w14:paraId="60F06DA3" w14:textId="77777777" w:rsidR="00E57DAA" w:rsidRDefault="00AC4185">
            <w:pPr>
              <w:autoSpaceDE w:val="0"/>
              <w:autoSpaceDN w:val="0"/>
              <w:adjustRightInd w:val="0"/>
              <w:jc w:val="right"/>
              <w:rPr>
                <w:szCs w:val="21"/>
              </w:rPr>
            </w:pPr>
            <w:r>
              <w:t>8,463,130.94</w:t>
            </w:r>
          </w:p>
        </w:tc>
        <w:tc>
          <w:tcPr>
            <w:tcW w:w="914" w:type="pct"/>
            <w:tcBorders>
              <w:top w:val="single" w:sz="4" w:space="0" w:color="auto"/>
              <w:left w:val="single" w:sz="4" w:space="0" w:color="auto"/>
              <w:bottom w:val="single" w:sz="4" w:space="0" w:color="auto"/>
              <w:right w:val="single" w:sz="4" w:space="0" w:color="auto"/>
            </w:tcBorders>
          </w:tcPr>
          <w:p w14:paraId="02AAEA19" w14:textId="77777777" w:rsidR="00E57DAA" w:rsidRDefault="00AC4185">
            <w:pPr>
              <w:autoSpaceDE w:val="0"/>
              <w:autoSpaceDN w:val="0"/>
              <w:adjustRightInd w:val="0"/>
              <w:jc w:val="right"/>
              <w:rPr>
                <w:szCs w:val="21"/>
              </w:rPr>
            </w:pPr>
            <w:r>
              <w:t>201,160.27</w:t>
            </w:r>
          </w:p>
        </w:tc>
      </w:tr>
      <w:tr w:rsidR="00E57DAA" w14:paraId="72AE026A" w14:textId="77777777">
        <w:tc>
          <w:tcPr>
            <w:tcW w:w="677" w:type="pct"/>
            <w:tcBorders>
              <w:top w:val="single" w:sz="4" w:space="0" w:color="auto"/>
              <w:left w:val="single" w:sz="4" w:space="0" w:color="auto"/>
              <w:bottom w:val="single" w:sz="4" w:space="0" w:color="auto"/>
              <w:right w:val="single" w:sz="4" w:space="0" w:color="auto"/>
            </w:tcBorders>
            <w:vAlign w:val="center"/>
          </w:tcPr>
          <w:p w14:paraId="3EB63B3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00A9E0B" w14:textId="77777777" w:rsidR="00E57DAA" w:rsidRDefault="00AC4185">
            <w:pPr>
              <w:autoSpaceDE w:val="0"/>
              <w:autoSpaceDN w:val="0"/>
              <w:adjustRightInd w:val="0"/>
              <w:rPr>
                <w:szCs w:val="21"/>
              </w:rPr>
            </w:pPr>
            <w:r>
              <w:t>洛阳中联水泥有限公司</w:t>
            </w:r>
          </w:p>
        </w:tc>
        <w:tc>
          <w:tcPr>
            <w:tcW w:w="633" w:type="pct"/>
            <w:tcBorders>
              <w:top w:val="single" w:sz="4" w:space="0" w:color="auto"/>
              <w:left w:val="single" w:sz="4" w:space="0" w:color="auto"/>
              <w:bottom w:val="single" w:sz="4" w:space="0" w:color="auto"/>
              <w:right w:val="single" w:sz="4" w:space="0" w:color="auto"/>
            </w:tcBorders>
          </w:tcPr>
          <w:p w14:paraId="625E0FDE" w14:textId="77777777" w:rsidR="00E57DAA" w:rsidRDefault="00AC4185">
            <w:pPr>
              <w:autoSpaceDE w:val="0"/>
              <w:autoSpaceDN w:val="0"/>
              <w:adjustRightInd w:val="0"/>
              <w:jc w:val="right"/>
              <w:rPr>
                <w:szCs w:val="21"/>
              </w:rPr>
            </w:pPr>
            <w:r>
              <w:t>4,129,003.66</w:t>
            </w:r>
          </w:p>
        </w:tc>
        <w:tc>
          <w:tcPr>
            <w:tcW w:w="632" w:type="pct"/>
            <w:tcBorders>
              <w:top w:val="single" w:sz="4" w:space="0" w:color="auto"/>
              <w:left w:val="single" w:sz="4" w:space="0" w:color="auto"/>
              <w:bottom w:val="single" w:sz="4" w:space="0" w:color="auto"/>
              <w:right w:val="single" w:sz="4" w:space="0" w:color="auto"/>
            </w:tcBorders>
          </w:tcPr>
          <w:p w14:paraId="4D93ABDD" w14:textId="77777777" w:rsidR="00E57DAA" w:rsidRDefault="00AC4185">
            <w:pPr>
              <w:autoSpaceDE w:val="0"/>
              <w:autoSpaceDN w:val="0"/>
              <w:adjustRightInd w:val="0"/>
              <w:jc w:val="right"/>
              <w:rPr>
                <w:szCs w:val="21"/>
              </w:rPr>
            </w:pPr>
            <w:r>
              <w:t>28,689.10</w:t>
            </w:r>
          </w:p>
        </w:tc>
        <w:tc>
          <w:tcPr>
            <w:tcW w:w="703" w:type="pct"/>
            <w:tcBorders>
              <w:top w:val="single" w:sz="4" w:space="0" w:color="auto"/>
              <w:left w:val="single" w:sz="4" w:space="0" w:color="auto"/>
              <w:bottom w:val="single" w:sz="4" w:space="0" w:color="auto"/>
              <w:right w:val="single" w:sz="4" w:space="0" w:color="auto"/>
            </w:tcBorders>
          </w:tcPr>
          <w:p w14:paraId="35350C8F" w14:textId="77777777" w:rsidR="00E57DAA" w:rsidRDefault="00AC4185">
            <w:pPr>
              <w:autoSpaceDE w:val="0"/>
              <w:autoSpaceDN w:val="0"/>
              <w:adjustRightInd w:val="0"/>
              <w:jc w:val="right"/>
              <w:rPr>
                <w:szCs w:val="21"/>
              </w:rPr>
            </w:pPr>
            <w:r>
              <w:t>5,837,564.16</w:t>
            </w:r>
          </w:p>
        </w:tc>
        <w:tc>
          <w:tcPr>
            <w:tcW w:w="914" w:type="pct"/>
            <w:tcBorders>
              <w:top w:val="single" w:sz="4" w:space="0" w:color="auto"/>
              <w:left w:val="single" w:sz="4" w:space="0" w:color="auto"/>
              <w:bottom w:val="single" w:sz="4" w:space="0" w:color="auto"/>
              <w:right w:val="single" w:sz="4" w:space="0" w:color="auto"/>
            </w:tcBorders>
          </w:tcPr>
          <w:p w14:paraId="4F2FAA88" w14:textId="77777777" w:rsidR="00E57DAA" w:rsidRDefault="00AC4185">
            <w:pPr>
              <w:autoSpaceDE w:val="0"/>
              <w:autoSpaceDN w:val="0"/>
              <w:adjustRightInd w:val="0"/>
              <w:jc w:val="right"/>
              <w:rPr>
                <w:szCs w:val="21"/>
              </w:rPr>
            </w:pPr>
            <w:r>
              <w:t>34,205.69</w:t>
            </w:r>
          </w:p>
        </w:tc>
      </w:tr>
      <w:tr w:rsidR="00E57DAA" w14:paraId="2D7C4340" w14:textId="77777777">
        <w:tc>
          <w:tcPr>
            <w:tcW w:w="677" w:type="pct"/>
            <w:tcBorders>
              <w:top w:val="single" w:sz="4" w:space="0" w:color="auto"/>
              <w:left w:val="single" w:sz="4" w:space="0" w:color="auto"/>
              <w:bottom w:val="single" w:sz="4" w:space="0" w:color="auto"/>
              <w:right w:val="single" w:sz="4" w:space="0" w:color="auto"/>
            </w:tcBorders>
            <w:vAlign w:val="center"/>
          </w:tcPr>
          <w:p w14:paraId="189F82A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A6370DF" w14:textId="77777777" w:rsidR="00E57DAA" w:rsidRDefault="00AC4185">
            <w:pPr>
              <w:autoSpaceDE w:val="0"/>
              <w:autoSpaceDN w:val="0"/>
              <w:adjustRightInd w:val="0"/>
              <w:rPr>
                <w:szCs w:val="21"/>
              </w:rPr>
            </w:pPr>
            <w:r>
              <w:t>四川国大水泥有限公司</w:t>
            </w:r>
          </w:p>
        </w:tc>
        <w:tc>
          <w:tcPr>
            <w:tcW w:w="633" w:type="pct"/>
            <w:tcBorders>
              <w:top w:val="single" w:sz="4" w:space="0" w:color="auto"/>
              <w:left w:val="single" w:sz="4" w:space="0" w:color="auto"/>
              <w:bottom w:val="single" w:sz="4" w:space="0" w:color="auto"/>
              <w:right w:val="single" w:sz="4" w:space="0" w:color="auto"/>
            </w:tcBorders>
          </w:tcPr>
          <w:p w14:paraId="13EDE3B2" w14:textId="77777777" w:rsidR="00E57DAA" w:rsidRDefault="00AC4185">
            <w:pPr>
              <w:autoSpaceDE w:val="0"/>
              <w:autoSpaceDN w:val="0"/>
              <w:adjustRightInd w:val="0"/>
              <w:jc w:val="right"/>
              <w:rPr>
                <w:szCs w:val="21"/>
              </w:rPr>
            </w:pPr>
            <w:r>
              <w:t>4,083,042.60</w:t>
            </w:r>
          </w:p>
        </w:tc>
        <w:tc>
          <w:tcPr>
            <w:tcW w:w="632" w:type="pct"/>
            <w:tcBorders>
              <w:top w:val="single" w:sz="4" w:space="0" w:color="auto"/>
              <w:left w:val="single" w:sz="4" w:space="0" w:color="auto"/>
              <w:bottom w:val="single" w:sz="4" w:space="0" w:color="auto"/>
              <w:right w:val="single" w:sz="4" w:space="0" w:color="auto"/>
            </w:tcBorders>
          </w:tcPr>
          <w:p w14:paraId="2844DE7C" w14:textId="77777777" w:rsidR="00E57DAA" w:rsidRDefault="00AC4185">
            <w:pPr>
              <w:autoSpaceDE w:val="0"/>
              <w:autoSpaceDN w:val="0"/>
              <w:adjustRightInd w:val="0"/>
              <w:jc w:val="right"/>
              <w:rPr>
                <w:szCs w:val="21"/>
              </w:rPr>
            </w:pPr>
            <w:r>
              <w:t>16,459.41</w:t>
            </w:r>
          </w:p>
        </w:tc>
        <w:tc>
          <w:tcPr>
            <w:tcW w:w="703" w:type="pct"/>
            <w:tcBorders>
              <w:top w:val="single" w:sz="4" w:space="0" w:color="auto"/>
              <w:left w:val="single" w:sz="4" w:space="0" w:color="auto"/>
              <w:bottom w:val="single" w:sz="4" w:space="0" w:color="auto"/>
              <w:right w:val="single" w:sz="4" w:space="0" w:color="auto"/>
            </w:tcBorders>
          </w:tcPr>
          <w:p w14:paraId="75180513" w14:textId="77777777" w:rsidR="00E57DAA" w:rsidRDefault="00AC4185">
            <w:pPr>
              <w:autoSpaceDE w:val="0"/>
              <w:autoSpaceDN w:val="0"/>
              <w:adjustRightInd w:val="0"/>
              <w:jc w:val="right"/>
              <w:rPr>
                <w:szCs w:val="21"/>
              </w:rPr>
            </w:pPr>
            <w:r>
              <w:t>4,879,332.46</w:t>
            </w:r>
          </w:p>
        </w:tc>
        <w:tc>
          <w:tcPr>
            <w:tcW w:w="914" w:type="pct"/>
            <w:tcBorders>
              <w:top w:val="single" w:sz="4" w:space="0" w:color="auto"/>
              <w:left w:val="single" w:sz="4" w:space="0" w:color="auto"/>
              <w:bottom w:val="single" w:sz="4" w:space="0" w:color="auto"/>
              <w:right w:val="single" w:sz="4" w:space="0" w:color="auto"/>
            </w:tcBorders>
          </w:tcPr>
          <w:p w14:paraId="3587956D" w14:textId="77777777" w:rsidR="00E57DAA" w:rsidRDefault="00AC4185">
            <w:pPr>
              <w:autoSpaceDE w:val="0"/>
              <w:autoSpaceDN w:val="0"/>
              <w:adjustRightInd w:val="0"/>
              <w:jc w:val="right"/>
              <w:rPr>
                <w:szCs w:val="21"/>
              </w:rPr>
            </w:pPr>
            <w:r>
              <w:t>115,698.41</w:t>
            </w:r>
          </w:p>
        </w:tc>
      </w:tr>
      <w:tr w:rsidR="00E57DAA" w14:paraId="7F3433DD" w14:textId="77777777">
        <w:tc>
          <w:tcPr>
            <w:tcW w:w="677" w:type="pct"/>
            <w:tcBorders>
              <w:top w:val="single" w:sz="4" w:space="0" w:color="auto"/>
              <w:left w:val="single" w:sz="4" w:space="0" w:color="auto"/>
              <w:bottom w:val="single" w:sz="4" w:space="0" w:color="auto"/>
              <w:right w:val="single" w:sz="4" w:space="0" w:color="auto"/>
            </w:tcBorders>
            <w:vAlign w:val="center"/>
          </w:tcPr>
          <w:p w14:paraId="132CC12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6F9980E" w14:textId="77777777" w:rsidR="00E57DAA" w:rsidRDefault="00AC4185">
            <w:pPr>
              <w:autoSpaceDE w:val="0"/>
              <w:autoSpaceDN w:val="0"/>
              <w:adjustRightInd w:val="0"/>
              <w:rPr>
                <w:szCs w:val="21"/>
              </w:rPr>
            </w:pPr>
            <w:r>
              <w:t>江西上高南方水泥有限公司</w:t>
            </w:r>
          </w:p>
        </w:tc>
        <w:tc>
          <w:tcPr>
            <w:tcW w:w="633" w:type="pct"/>
            <w:tcBorders>
              <w:top w:val="single" w:sz="4" w:space="0" w:color="auto"/>
              <w:left w:val="single" w:sz="4" w:space="0" w:color="auto"/>
              <w:bottom w:val="single" w:sz="4" w:space="0" w:color="auto"/>
              <w:right w:val="single" w:sz="4" w:space="0" w:color="auto"/>
            </w:tcBorders>
          </w:tcPr>
          <w:p w14:paraId="204B2A1A" w14:textId="77777777" w:rsidR="00E57DAA" w:rsidRDefault="00AC4185">
            <w:pPr>
              <w:autoSpaceDE w:val="0"/>
              <w:autoSpaceDN w:val="0"/>
              <w:adjustRightInd w:val="0"/>
              <w:jc w:val="right"/>
              <w:rPr>
                <w:szCs w:val="21"/>
              </w:rPr>
            </w:pPr>
            <w:r>
              <w:t>3,953,317.66</w:t>
            </w:r>
          </w:p>
        </w:tc>
        <w:tc>
          <w:tcPr>
            <w:tcW w:w="632" w:type="pct"/>
            <w:tcBorders>
              <w:top w:val="single" w:sz="4" w:space="0" w:color="auto"/>
              <w:left w:val="single" w:sz="4" w:space="0" w:color="auto"/>
              <w:bottom w:val="single" w:sz="4" w:space="0" w:color="auto"/>
              <w:right w:val="single" w:sz="4" w:space="0" w:color="auto"/>
            </w:tcBorders>
          </w:tcPr>
          <w:p w14:paraId="7E9AF930" w14:textId="77777777" w:rsidR="00E57DAA" w:rsidRDefault="00AC4185">
            <w:pPr>
              <w:autoSpaceDE w:val="0"/>
              <w:autoSpaceDN w:val="0"/>
              <w:adjustRightInd w:val="0"/>
              <w:jc w:val="right"/>
              <w:rPr>
                <w:szCs w:val="21"/>
              </w:rPr>
            </w:pPr>
            <w:r>
              <w:t>92,042.29</w:t>
            </w:r>
          </w:p>
        </w:tc>
        <w:tc>
          <w:tcPr>
            <w:tcW w:w="703" w:type="pct"/>
            <w:tcBorders>
              <w:top w:val="single" w:sz="4" w:space="0" w:color="auto"/>
              <w:left w:val="single" w:sz="4" w:space="0" w:color="auto"/>
              <w:bottom w:val="single" w:sz="4" w:space="0" w:color="auto"/>
              <w:right w:val="single" w:sz="4" w:space="0" w:color="auto"/>
            </w:tcBorders>
          </w:tcPr>
          <w:p w14:paraId="1A56AD29" w14:textId="77777777" w:rsidR="00E57DAA" w:rsidRDefault="00AC4185">
            <w:pPr>
              <w:autoSpaceDE w:val="0"/>
              <w:autoSpaceDN w:val="0"/>
              <w:adjustRightInd w:val="0"/>
              <w:jc w:val="right"/>
              <w:rPr>
                <w:szCs w:val="21"/>
              </w:rPr>
            </w:pPr>
            <w:r>
              <w:t>12,012,260.87</w:t>
            </w:r>
          </w:p>
        </w:tc>
        <w:tc>
          <w:tcPr>
            <w:tcW w:w="914" w:type="pct"/>
            <w:tcBorders>
              <w:top w:val="single" w:sz="4" w:space="0" w:color="auto"/>
              <w:left w:val="single" w:sz="4" w:space="0" w:color="auto"/>
              <w:bottom w:val="single" w:sz="4" w:space="0" w:color="auto"/>
              <w:right w:val="single" w:sz="4" w:space="0" w:color="auto"/>
            </w:tcBorders>
          </w:tcPr>
          <w:p w14:paraId="0A3DC827" w14:textId="77777777" w:rsidR="00E57DAA" w:rsidRDefault="00AC4185">
            <w:pPr>
              <w:autoSpaceDE w:val="0"/>
              <w:autoSpaceDN w:val="0"/>
              <w:adjustRightInd w:val="0"/>
              <w:jc w:val="right"/>
              <w:rPr>
                <w:szCs w:val="21"/>
              </w:rPr>
            </w:pPr>
            <w:r>
              <w:t>228,526.82</w:t>
            </w:r>
          </w:p>
        </w:tc>
      </w:tr>
      <w:tr w:rsidR="00E57DAA" w14:paraId="3C840882" w14:textId="77777777">
        <w:tc>
          <w:tcPr>
            <w:tcW w:w="677" w:type="pct"/>
            <w:tcBorders>
              <w:top w:val="single" w:sz="4" w:space="0" w:color="auto"/>
              <w:left w:val="single" w:sz="4" w:space="0" w:color="auto"/>
              <w:bottom w:val="single" w:sz="4" w:space="0" w:color="auto"/>
              <w:right w:val="single" w:sz="4" w:space="0" w:color="auto"/>
            </w:tcBorders>
            <w:vAlign w:val="center"/>
          </w:tcPr>
          <w:p w14:paraId="10B6B23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BE0282C" w14:textId="77777777" w:rsidR="00E57DAA" w:rsidRDefault="00AC4185">
            <w:pPr>
              <w:autoSpaceDE w:val="0"/>
              <w:autoSpaceDN w:val="0"/>
              <w:adjustRightInd w:val="0"/>
              <w:rPr>
                <w:szCs w:val="21"/>
              </w:rPr>
            </w:pPr>
            <w:r>
              <w:t>涟源市金铃建材有限公司</w:t>
            </w:r>
          </w:p>
        </w:tc>
        <w:tc>
          <w:tcPr>
            <w:tcW w:w="633" w:type="pct"/>
            <w:tcBorders>
              <w:top w:val="single" w:sz="4" w:space="0" w:color="auto"/>
              <w:left w:val="single" w:sz="4" w:space="0" w:color="auto"/>
              <w:bottom w:val="single" w:sz="4" w:space="0" w:color="auto"/>
              <w:right w:val="single" w:sz="4" w:space="0" w:color="auto"/>
            </w:tcBorders>
          </w:tcPr>
          <w:p w14:paraId="7171F64D" w14:textId="77777777" w:rsidR="00E57DAA" w:rsidRDefault="00AC4185">
            <w:pPr>
              <w:autoSpaceDE w:val="0"/>
              <w:autoSpaceDN w:val="0"/>
              <w:adjustRightInd w:val="0"/>
              <w:jc w:val="right"/>
              <w:rPr>
                <w:szCs w:val="21"/>
              </w:rPr>
            </w:pPr>
            <w:r>
              <w:t>3,832,143.16</w:t>
            </w:r>
          </w:p>
        </w:tc>
        <w:tc>
          <w:tcPr>
            <w:tcW w:w="632" w:type="pct"/>
            <w:tcBorders>
              <w:top w:val="single" w:sz="4" w:space="0" w:color="auto"/>
              <w:left w:val="single" w:sz="4" w:space="0" w:color="auto"/>
              <w:bottom w:val="single" w:sz="4" w:space="0" w:color="auto"/>
              <w:right w:val="single" w:sz="4" w:space="0" w:color="auto"/>
            </w:tcBorders>
          </w:tcPr>
          <w:p w14:paraId="3C02CB67" w14:textId="77777777" w:rsidR="00E57DAA" w:rsidRDefault="00AC4185">
            <w:pPr>
              <w:autoSpaceDE w:val="0"/>
              <w:autoSpaceDN w:val="0"/>
              <w:adjustRightInd w:val="0"/>
              <w:jc w:val="right"/>
              <w:rPr>
                <w:szCs w:val="21"/>
              </w:rPr>
            </w:pPr>
            <w:r>
              <w:t>15,328.57</w:t>
            </w:r>
          </w:p>
        </w:tc>
        <w:tc>
          <w:tcPr>
            <w:tcW w:w="703" w:type="pct"/>
            <w:tcBorders>
              <w:top w:val="single" w:sz="4" w:space="0" w:color="auto"/>
              <w:left w:val="single" w:sz="4" w:space="0" w:color="auto"/>
              <w:bottom w:val="single" w:sz="4" w:space="0" w:color="auto"/>
              <w:right w:val="single" w:sz="4" w:space="0" w:color="auto"/>
            </w:tcBorders>
          </w:tcPr>
          <w:p w14:paraId="524209C1"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4A7D1B10" w14:textId="77777777" w:rsidR="00E57DAA" w:rsidRDefault="00AC4185">
            <w:pPr>
              <w:autoSpaceDE w:val="0"/>
              <w:autoSpaceDN w:val="0"/>
              <w:adjustRightInd w:val="0"/>
              <w:jc w:val="right"/>
              <w:rPr>
                <w:szCs w:val="21"/>
              </w:rPr>
            </w:pPr>
            <w:r>
              <w:t>2,000.00</w:t>
            </w:r>
          </w:p>
        </w:tc>
      </w:tr>
      <w:tr w:rsidR="00E57DAA" w14:paraId="18C5866A" w14:textId="77777777">
        <w:tc>
          <w:tcPr>
            <w:tcW w:w="677" w:type="pct"/>
            <w:tcBorders>
              <w:top w:val="single" w:sz="4" w:space="0" w:color="auto"/>
              <w:left w:val="single" w:sz="4" w:space="0" w:color="auto"/>
              <w:bottom w:val="single" w:sz="4" w:space="0" w:color="auto"/>
              <w:right w:val="single" w:sz="4" w:space="0" w:color="auto"/>
            </w:tcBorders>
            <w:vAlign w:val="center"/>
          </w:tcPr>
          <w:p w14:paraId="304738F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7606DF6" w14:textId="77777777" w:rsidR="00E57DAA" w:rsidRDefault="00AC4185">
            <w:pPr>
              <w:autoSpaceDE w:val="0"/>
              <w:autoSpaceDN w:val="0"/>
              <w:adjustRightInd w:val="0"/>
              <w:rPr>
                <w:szCs w:val="21"/>
              </w:rPr>
            </w:pPr>
            <w:r>
              <w:t>淮海中联水泥有限公司</w:t>
            </w:r>
          </w:p>
        </w:tc>
        <w:tc>
          <w:tcPr>
            <w:tcW w:w="633" w:type="pct"/>
            <w:tcBorders>
              <w:top w:val="single" w:sz="4" w:space="0" w:color="auto"/>
              <w:left w:val="single" w:sz="4" w:space="0" w:color="auto"/>
              <w:bottom w:val="single" w:sz="4" w:space="0" w:color="auto"/>
              <w:right w:val="single" w:sz="4" w:space="0" w:color="auto"/>
            </w:tcBorders>
          </w:tcPr>
          <w:p w14:paraId="09674C3D" w14:textId="77777777" w:rsidR="00E57DAA" w:rsidRDefault="00AC4185">
            <w:pPr>
              <w:autoSpaceDE w:val="0"/>
              <w:autoSpaceDN w:val="0"/>
              <w:adjustRightInd w:val="0"/>
              <w:jc w:val="right"/>
              <w:rPr>
                <w:szCs w:val="21"/>
              </w:rPr>
            </w:pPr>
            <w:r>
              <w:t>3,558,582.84</w:t>
            </w:r>
          </w:p>
        </w:tc>
        <w:tc>
          <w:tcPr>
            <w:tcW w:w="632" w:type="pct"/>
            <w:tcBorders>
              <w:top w:val="single" w:sz="4" w:space="0" w:color="auto"/>
              <w:left w:val="single" w:sz="4" w:space="0" w:color="auto"/>
              <w:bottom w:val="single" w:sz="4" w:space="0" w:color="auto"/>
              <w:right w:val="single" w:sz="4" w:space="0" w:color="auto"/>
            </w:tcBorders>
          </w:tcPr>
          <w:p w14:paraId="5AE479C7" w14:textId="77777777" w:rsidR="00E57DAA" w:rsidRDefault="00AC4185">
            <w:pPr>
              <w:autoSpaceDE w:val="0"/>
              <w:autoSpaceDN w:val="0"/>
              <w:adjustRightInd w:val="0"/>
              <w:jc w:val="right"/>
              <w:rPr>
                <w:szCs w:val="21"/>
              </w:rPr>
            </w:pPr>
            <w:r>
              <w:t>323,831.04</w:t>
            </w:r>
          </w:p>
        </w:tc>
        <w:tc>
          <w:tcPr>
            <w:tcW w:w="703" w:type="pct"/>
            <w:tcBorders>
              <w:top w:val="single" w:sz="4" w:space="0" w:color="auto"/>
              <w:left w:val="single" w:sz="4" w:space="0" w:color="auto"/>
              <w:bottom w:val="single" w:sz="4" w:space="0" w:color="auto"/>
              <w:right w:val="single" w:sz="4" w:space="0" w:color="auto"/>
            </w:tcBorders>
          </w:tcPr>
          <w:p w14:paraId="0A20BB49" w14:textId="77777777" w:rsidR="00E57DAA" w:rsidRDefault="00AC4185">
            <w:pPr>
              <w:autoSpaceDE w:val="0"/>
              <w:autoSpaceDN w:val="0"/>
              <w:adjustRightInd w:val="0"/>
              <w:jc w:val="right"/>
              <w:rPr>
                <w:szCs w:val="21"/>
              </w:rPr>
            </w:pPr>
            <w:r>
              <w:t>3,758,582.84</w:t>
            </w:r>
          </w:p>
        </w:tc>
        <w:tc>
          <w:tcPr>
            <w:tcW w:w="914" w:type="pct"/>
            <w:tcBorders>
              <w:top w:val="single" w:sz="4" w:space="0" w:color="auto"/>
              <w:left w:val="single" w:sz="4" w:space="0" w:color="auto"/>
              <w:bottom w:val="single" w:sz="4" w:space="0" w:color="auto"/>
              <w:right w:val="single" w:sz="4" w:space="0" w:color="auto"/>
            </w:tcBorders>
          </w:tcPr>
          <w:p w14:paraId="24BD99E4" w14:textId="77777777" w:rsidR="00E57DAA" w:rsidRDefault="00AC4185">
            <w:pPr>
              <w:autoSpaceDE w:val="0"/>
              <w:autoSpaceDN w:val="0"/>
              <w:adjustRightInd w:val="0"/>
              <w:jc w:val="right"/>
              <w:rPr>
                <w:szCs w:val="21"/>
              </w:rPr>
            </w:pPr>
            <w:r>
              <w:t>1,202,746.51</w:t>
            </w:r>
          </w:p>
        </w:tc>
      </w:tr>
      <w:tr w:rsidR="00E57DAA" w14:paraId="3DA14466" w14:textId="77777777">
        <w:tc>
          <w:tcPr>
            <w:tcW w:w="677" w:type="pct"/>
            <w:tcBorders>
              <w:top w:val="single" w:sz="4" w:space="0" w:color="auto"/>
              <w:left w:val="single" w:sz="4" w:space="0" w:color="auto"/>
              <w:bottom w:val="single" w:sz="4" w:space="0" w:color="auto"/>
              <w:right w:val="single" w:sz="4" w:space="0" w:color="auto"/>
            </w:tcBorders>
            <w:vAlign w:val="center"/>
          </w:tcPr>
          <w:p w14:paraId="6CC2480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452253B" w14:textId="77777777" w:rsidR="00E57DAA" w:rsidRDefault="00AC4185">
            <w:pPr>
              <w:autoSpaceDE w:val="0"/>
              <w:autoSpaceDN w:val="0"/>
              <w:adjustRightInd w:val="0"/>
              <w:rPr>
                <w:szCs w:val="21"/>
              </w:rPr>
            </w:pPr>
            <w:r>
              <w:t>六安南方水泥有限公司</w:t>
            </w:r>
          </w:p>
        </w:tc>
        <w:tc>
          <w:tcPr>
            <w:tcW w:w="633" w:type="pct"/>
            <w:tcBorders>
              <w:top w:val="single" w:sz="4" w:space="0" w:color="auto"/>
              <w:left w:val="single" w:sz="4" w:space="0" w:color="auto"/>
              <w:bottom w:val="single" w:sz="4" w:space="0" w:color="auto"/>
              <w:right w:val="single" w:sz="4" w:space="0" w:color="auto"/>
            </w:tcBorders>
          </w:tcPr>
          <w:p w14:paraId="0E6B4FD5" w14:textId="77777777" w:rsidR="00E57DAA" w:rsidRDefault="00AC4185">
            <w:pPr>
              <w:autoSpaceDE w:val="0"/>
              <w:autoSpaceDN w:val="0"/>
              <w:adjustRightInd w:val="0"/>
              <w:jc w:val="right"/>
              <w:rPr>
                <w:szCs w:val="21"/>
              </w:rPr>
            </w:pPr>
            <w:r>
              <w:t>3,536,711.66</w:t>
            </w:r>
          </w:p>
        </w:tc>
        <w:tc>
          <w:tcPr>
            <w:tcW w:w="632" w:type="pct"/>
            <w:tcBorders>
              <w:top w:val="single" w:sz="4" w:space="0" w:color="auto"/>
              <w:left w:val="single" w:sz="4" w:space="0" w:color="auto"/>
              <w:bottom w:val="single" w:sz="4" w:space="0" w:color="auto"/>
              <w:right w:val="single" w:sz="4" w:space="0" w:color="auto"/>
            </w:tcBorders>
          </w:tcPr>
          <w:p w14:paraId="45E25A8C" w14:textId="77777777" w:rsidR="00E57DAA" w:rsidRDefault="00AC4185">
            <w:pPr>
              <w:autoSpaceDE w:val="0"/>
              <w:autoSpaceDN w:val="0"/>
              <w:adjustRightInd w:val="0"/>
              <w:jc w:val="right"/>
              <w:rPr>
                <w:szCs w:val="21"/>
              </w:rPr>
            </w:pPr>
            <w:r>
              <w:t>239,903.23</w:t>
            </w:r>
          </w:p>
        </w:tc>
        <w:tc>
          <w:tcPr>
            <w:tcW w:w="703" w:type="pct"/>
            <w:tcBorders>
              <w:top w:val="single" w:sz="4" w:space="0" w:color="auto"/>
              <w:left w:val="single" w:sz="4" w:space="0" w:color="auto"/>
              <w:bottom w:val="single" w:sz="4" w:space="0" w:color="auto"/>
              <w:right w:val="single" w:sz="4" w:space="0" w:color="auto"/>
            </w:tcBorders>
          </w:tcPr>
          <w:p w14:paraId="17B8813B" w14:textId="77777777" w:rsidR="00E57DAA" w:rsidRDefault="00AC4185">
            <w:pPr>
              <w:autoSpaceDE w:val="0"/>
              <w:autoSpaceDN w:val="0"/>
              <w:adjustRightInd w:val="0"/>
              <w:jc w:val="right"/>
              <w:rPr>
                <w:szCs w:val="21"/>
              </w:rPr>
            </w:pPr>
            <w:r>
              <w:t>66,387.00</w:t>
            </w:r>
          </w:p>
        </w:tc>
        <w:tc>
          <w:tcPr>
            <w:tcW w:w="914" w:type="pct"/>
            <w:tcBorders>
              <w:top w:val="single" w:sz="4" w:space="0" w:color="auto"/>
              <w:left w:val="single" w:sz="4" w:space="0" w:color="auto"/>
              <w:bottom w:val="single" w:sz="4" w:space="0" w:color="auto"/>
              <w:right w:val="single" w:sz="4" w:space="0" w:color="auto"/>
            </w:tcBorders>
          </w:tcPr>
          <w:p w14:paraId="1C427C24" w14:textId="77777777" w:rsidR="00E57DAA" w:rsidRDefault="00AC4185">
            <w:pPr>
              <w:autoSpaceDE w:val="0"/>
              <w:autoSpaceDN w:val="0"/>
              <w:adjustRightInd w:val="0"/>
              <w:jc w:val="right"/>
              <w:rPr>
                <w:szCs w:val="21"/>
              </w:rPr>
            </w:pPr>
            <w:r>
              <w:t>8,205.43</w:t>
            </w:r>
          </w:p>
        </w:tc>
      </w:tr>
      <w:tr w:rsidR="00E57DAA" w14:paraId="51BAA1FB" w14:textId="77777777">
        <w:tc>
          <w:tcPr>
            <w:tcW w:w="677" w:type="pct"/>
            <w:tcBorders>
              <w:top w:val="single" w:sz="4" w:space="0" w:color="auto"/>
              <w:left w:val="single" w:sz="4" w:space="0" w:color="auto"/>
              <w:bottom w:val="single" w:sz="4" w:space="0" w:color="auto"/>
              <w:right w:val="single" w:sz="4" w:space="0" w:color="auto"/>
            </w:tcBorders>
            <w:vAlign w:val="center"/>
          </w:tcPr>
          <w:p w14:paraId="6EC9D64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02EE1E6" w14:textId="77777777" w:rsidR="00E57DAA" w:rsidRDefault="00AC4185">
            <w:pPr>
              <w:autoSpaceDE w:val="0"/>
              <w:autoSpaceDN w:val="0"/>
              <w:adjustRightInd w:val="0"/>
              <w:rPr>
                <w:szCs w:val="21"/>
              </w:rPr>
            </w:pPr>
            <w:r>
              <w:t>临城中联水泥有限公司</w:t>
            </w:r>
          </w:p>
        </w:tc>
        <w:tc>
          <w:tcPr>
            <w:tcW w:w="633" w:type="pct"/>
            <w:tcBorders>
              <w:top w:val="single" w:sz="4" w:space="0" w:color="auto"/>
              <w:left w:val="single" w:sz="4" w:space="0" w:color="auto"/>
              <w:bottom w:val="single" w:sz="4" w:space="0" w:color="auto"/>
              <w:right w:val="single" w:sz="4" w:space="0" w:color="auto"/>
            </w:tcBorders>
          </w:tcPr>
          <w:p w14:paraId="319D08B3" w14:textId="77777777" w:rsidR="00E57DAA" w:rsidRDefault="00AC4185">
            <w:pPr>
              <w:autoSpaceDE w:val="0"/>
              <w:autoSpaceDN w:val="0"/>
              <w:adjustRightInd w:val="0"/>
              <w:jc w:val="right"/>
              <w:rPr>
                <w:szCs w:val="21"/>
              </w:rPr>
            </w:pPr>
            <w:r>
              <w:t>3,439,352.77</w:t>
            </w:r>
          </w:p>
        </w:tc>
        <w:tc>
          <w:tcPr>
            <w:tcW w:w="632" w:type="pct"/>
            <w:tcBorders>
              <w:top w:val="single" w:sz="4" w:space="0" w:color="auto"/>
              <w:left w:val="single" w:sz="4" w:space="0" w:color="auto"/>
              <w:bottom w:val="single" w:sz="4" w:space="0" w:color="auto"/>
              <w:right w:val="single" w:sz="4" w:space="0" w:color="auto"/>
            </w:tcBorders>
          </w:tcPr>
          <w:p w14:paraId="70639430" w14:textId="77777777" w:rsidR="00E57DAA" w:rsidRDefault="00AC4185">
            <w:pPr>
              <w:autoSpaceDE w:val="0"/>
              <w:autoSpaceDN w:val="0"/>
              <w:adjustRightInd w:val="0"/>
              <w:jc w:val="right"/>
              <w:rPr>
                <w:szCs w:val="21"/>
              </w:rPr>
            </w:pPr>
            <w:r>
              <w:t>343,935.28</w:t>
            </w:r>
          </w:p>
        </w:tc>
        <w:tc>
          <w:tcPr>
            <w:tcW w:w="703" w:type="pct"/>
            <w:tcBorders>
              <w:top w:val="single" w:sz="4" w:space="0" w:color="auto"/>
              <w:left w:val="single" w:sz="4" w:space="0" w:color="auto"/>
              <w:bottom w:val="single" w:sz="4" w:space="0" w:color="auto"/>
              <w:right w:val="single" w:sz="4" w:space="0" w:color="auto"/>
            </w:tcBorders>
          </w:tcPr>
          <w:p w14:paraId="3738FB7C" w14:textId="77777777" w:rsidR="00E57DAA" w:rsidRDefault="00AC4185">
            <w:pPr>
              <w:autoSpaceDE w:val="0"/>
              <w:autoSpaceDN w:val="0"/>
              <w:adjustRightInd w:val="0"/>
              <w:jc w:val="right"/>
              <w:rPr>
                <w:szCs w:val="21"/>
              </w:rPr>
            </w:pPr>
            <w:r>
              <w:t>3,639,352.77</w:t>
            </w:r>
          </w:p>
        </w:tc>
        <w:tc>
          <w:tcPr>
            <w:tcW w:w="914" w:type="pct"/>
            <w:tcBorders>
              <w:top w:val="single" w:sz="4" w:space="0" w:color="auto"/>
              <w:left w:val="single" w:sz="4" w:space="0" w:color="auto"/>
              <w:bottom w:val="single" w:sz="4" w:space="0" w:color="auto"/>
              <w:right w:val="single" w:sz="4" w:space="0" w:color="auto"/>
            </w:tcBorders>
          </w:tcPr>
          <w:p w14:paraId="20149C3D" w14:textId="77777777" w:rsidR="00E57DAA" w:rsidRDefault="00AC4185">
            <w:pPr>
              <w:autoSpaceDE w:val="0"/>
              <w:autoSpaceDN w:val="0"/>
              <w:adjustRightInd w:val="0"/>
              <w:jc w:val="right"/>
              <w:rPr>
                <w:szCs w:val="21"/>
              </w:rPr>
            </w:pPr>
            <w:r>
              <w:t>181,967.64</w:t>
            </w:r>
          </w:p>
        </w:tc>
      </w:tr>
      <w:tr w:rsidR="00E57DAA" w14:paraId="58281353" w14:textId="77777777">
        <w:tc>
          <w:tcPr>
            <w:tcW w:w="677" w:type="pct"/>
            <w:tcBorders>
              <w:top w:val="single" w:sz="4" w:space="0" w:color="auto"/>
              <w:left w:val="single" w:sz="4" w:space="0" w:color="auto"/>
              <w:bottom w:val="single" w:sz="4" w:space="0" w:color="auto"/>
              <w:right w:val="single" w:sz="4" w:space="0" w:color="auto"/>
            </w:tcBorders>
            <w:vAlign w:val="center"/>
          </w:tcPr>
          <w:p w14:paraId="7FE5018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F77C494" w14:textId="77777777" w:rsidR="00E57DAA" w:rsidRDefault="00AC4185">
            <w:pPr>
              <w:autoSpaceDE w:val="0"/>
              <w:autoSpaceDN w:val="0"/>
              <w:adjustRightInd w:val="0"/>
              <w:rPr>
                <w:szCs w:val="21"/>
              </w:rPr>
            </w:pPr>
            <w:r>
              <w:t>湖南苏仙南方水泥有限公司</w:t>
            </w:r>
          </w:p>
        </w:tc>
        <w:tc>
          <w:tcPr>
            <w:tcW w:w="633" w:type="pct"/>
            <w:tcBorders>
              <w:top w:val="single" w:sz="4" w:space="0" w:color="auto"/>
              <w:left w:val="single" w:sz="4" w:space="0" w:color="auto"/>
              <w:bottom w:val="single" w:sz="4" w:space="0" w:color="auto"/>
              <w:right w:val="single" w:sz="4" w:space="0" w:color="auto"/>
            </w:tcBorders>
          </w:tcPr>
          <w:p w14:paraId="00BD080F" w14:textId="77777777" w:rsidR="00E57DAA" w:rsidRDefault="00AC4185">
            <w:pPr>
              <w:autoSpaceDE w:val="0"/>
              <w:autoSpaceDN w:val="0"/>
              <w:adjustRightInd w:val="0"/>
              <w:jc w:val="right"/>
              <w:rPr>
                <w:szCs w:val="21"/>
              </w:rPr>
            </w:pPr>
            <w:r>
              <w:t>3,256,534.57</w:t>
            </w:r>
          </w:p>
        </w:tc>
        <w:tc>
          <w:tcPr>
            <w:tcW w:w="632" w:type="pct"/>
            <w:tcBorders>
              <w:top w:val="single" w:sz="4" w:space="0" w:color="auto"/>
              <w:left w:val="single" w:sz="4" w:space="0" w:color="auto"/>
              <w:bottom w:val="single" w:sz="4" w:space="0" w:color="auto"/>
              <w:right w:val="single" w:sz="4" w:space="0" w:color="auto"/>
            </w:tcBorders>
          </w:tcPr>
          <w:p w14:paraId="6EEAD3F4" w14:textId="77777777" w:rsidR="00E57DAA" w:rsidRDefault="00AC4185">
            <w:pPr>
              <w:autoSpaceDE w:val="0"/>
              <w:autoSpaceDN w:val="0"/>
              <w:adjustRightInd w:val="0"/>
              <w:jc w:val="right"/>
              <w:rPr>
                <w:szCs w:val="21"/>
              </w:rPr>
            </w:pPr>
            <w:r>
              <w:t>320,793.46</w:t>
            </w:r>
          </w:p>
        </w:tc>
        <w:tc>
          <w:tcPr>
            <w:tcW w:w="703" w:type="pct"/>
            <w:tcBorders>
              <w:top w:val="single" w:sz="4" w:space="0" w:color="auto"/>
              <w:left w:val="single" w:sz="4" w:space="0" w:color="auto"/>
              <w:bottom w:val="single" w:sz="4" w:space="0" w:color="auto"/>
              <w:right w:val="single" w:sz="4" w:space="0" w:color="auto"/>
            </w:tcBorders>
          </w:tcPr>
          <w:p w14:paraId="41D233CC" w14:textId="77777777" w:rsidR="00E57DAA" w:rsidRDefault="00AC4185">
            <w:pPr>
              <w:autoSpaceDE w:val="0"/>
              <w:autoSpaceDN w:val="0"/>
              <w:adjustRightInd w:val="0"/>
              <w:jc w:val="right"/>
              <w:rPr>
                <w:szCs w:val="21"/>
              </w:rPr>
            </w:pPr>
            <w:r>
              <w:t>2,597,777.00</w:t>
            </w:r>
          </w:p>
        </w:tc>
        <w:tc>
          <w:tcPr>
            <w:tcW w:w="914" w:type="pct"/>
            <w:tcBorders>
              <w:top w:val="single" w:sz="4" w:space="0" w:color="auto"/>
              <w:left w:val="single" w:sz="4" w:space="0" w:color="auto"/>
              <w:bottom w:val="single" w:sz="4" w:space="0" w:color="auto"/>
              <w:right w:val="single" w:sz="4" w:space="0" w:color="auto"/>
            </w:tcBorders>
          </w:tcPr>
          <w:p w14:paraId="3819FDBD" w14:textId="77777777" w:rsidR="00E57DAA" w:rsidRDefault="00AC4185">
            <w:pPr>
              <w:autoSpaceDE w:val="0"/>
              <w:autoSpaceDN w:val="0"/>
              <w:adjustRightInd w:val="0"/>
              <w:jc w:val="right"/>
              <w:rPr>
                <w:szCs w:val="21"/>
              </w:rPr>
            </w:pPr>
            <w:r>
              <w:t>129,888.85</w:t>
            </w:r>
          </w:p>
        </w:tc>
      </w:tr>
      <w:tr w:rsidR="00E57DAA" w14:paraId="3315DA23" w14:textId="77777777">
        <w:tc>
          <w:tcPr>
            <w:tcW w:w="677" w:type="pct"/>
            <w:tcBorders>
              <w:top w:val="single" w:sz="4" w:space="0" w:color="auto"/>
              <w:left w:val="single" w:sz="4" w:space="0" w:color="auto"/>
              <w:bottom w:val="single" w:sz="4" w:space="0" w:color="auto"/>
              <w:right w:val="single" w:sz="4" w:space="0" w:color="auto"/>
            </w:tcBorders>
            <w:vAlign w:val="center"/>
          </w:tcPr>
          <w:p w14:paraId="147A44E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1B2EF8C" w14:textId="77777777" w:rsidR="00E57DAA" w:rsidRDefault="00AC4185">
            <w:pPr>
              <w:autoSpaceDE w:val="0"/>
              <w:autoSpaceDN w:val="0"/>
              <w:adjustRightInd w:val="0"/>
              <w:rPr>
                <w:szCs w:val="21"/>
              </w:rPr>
            </w:pPr>
            <w:r>
              <w:t>桐庐南方水泥有限公司</w:t>
            </w:r>
          </w:p>
        </w:tc>
        <w:tc>
          <w:tcPr>
            <w:tcW w:w="633" w:type="pct"/>
            <w:tcBorders>
              <w:top w:val="single" w:sz="4" w:space="0" w:color="auto"/>
              <w:left w:val="single" w:sz="4" w:space="0" w:color="auto"/>
              <w:bottom w:val="single" w:sz="4" w:space="0" w:color="auto"/>
              <w:right w:val="single" w:sz="4" w:space="0" w:color="auto"/>
            </w:tcBorders>
          </w:tcPr>
          <w:p w14:paraId="389C9138" w14:textId="77777777" w:rsidR="00E57DAA" w:rsidRDefault="00AC4185">
            <w:pPr>
              <w:autoSpaceDE w:val="0"/>
              <w:autoSpaceDN w:val="0"/>
              <w:adjustRightInd w:val="0"/>
              <w:jc w:val="right"/>
              <w:rPr>
                <w:szCs w:val="21"/>
              </w:rPr>
            </w:pPr>
            <w:r>
              <w:t>3,216,616.36</w:t>
            </w:r>
          </w:p>
        </w:tc>
        <w:tc>
          <w:tcPr>
            <w:tcW w:w="632" w:type="pct"/>
            <w:tcBorders>
              <w:top w:val="single" w:sz="4" w:space="0" w:color="auto"/>
              <w:left w:val="single" w:sz="4" w:space="0" w:color="auto"/>
              <w:bottom w:val="single" w:sz="4" w:space="0" w:color="auto"/>
              <w:right w:val="single" w:sz="4" w:space="0" w:color="auto"/>
            </w:tcBorders>
          </w:tcPr>
          <w:p w14:paraId="697BF67F" w14:textId="77777777" w:rsidR="00E57DAA" w:rsidRDefault="00AC4185">
            <w:pPr>
              <w:autoSpaceDE w:val="0"/>
              <w:autoSpaceDN w:val="0"/>
              <w:adjustRightInd w:val="0"/>
              <w:jc w:val="right"/>
              <w:rPr>
                <w:szCs w:val="21"/>
              </w:rPr>
            </w:pPr>
            <w:r>
              <w:t>341,266.08</w:t>
            </w:r>
          </w:p>
        </w:tc>
        <w:tc>
          <w:tcPr>
            <w:tcW w:w="703" w:type="pct"/>
            <w:tcBorders>
              <w:top w:val="single" w:sz="4" w:space="0" w:color="auto"/>
              <w:left w:val="single" w:sz="4" w:space="0" w:color="auto"/>
              <w:bottom w:val="single" w:sz="4" w:space="0" w:color="auto"/>
              <w:right w:val="single" w:sz="4" w:space="0" w:color="auto"/>
            </w:tcBorders>
          </w:tcPr>
          <w:p w14:paraId="53AC4838" w14:textId="77777777" w:rsidR="00E57DAA" w:rsidRDefault="00AC4185">
            <w:pPr>
              <w:autoSpaceDE w:val="0"/>
              <w:autoSpaceDN w:val="0"/>
              <w:adjustRightInd w:val="0"/>
              <w:jc w:val="right"/>
              <w:rPr>
                <w:szCs w:val="21"/>
              </w:rPr>
            </w:pPr>
            <w:r>
              <w:t>3,293,136.36</w:t>
            </w:r>
          </w:p>
        </w:tc>
        <w:tc>
          <w:tcPr>
            <w:tcW w:w="914" w:type="pct"/>
            <w:tcBorders>
              <w:top w:val="single" w:sz="4" w:space="0" w:color="auto"/>
              <w:left w:val="single" w:sz="4" w:space="0" w:color="auto"/>
              <w:bottom w:val="single" w:sz="4" w:space="0" w:color="auto"/>
              <w:right w:val="single" w:sz="4" w:space="0" w:color="auto"/>
            </w:tcBorders>
          </w:tcPr>
          <w:p w14:paraId="135B5D45" w14:textId="77777777" w:rsidR="00E57DAA" w:rsidRDefault="00AC4185">
            <w:pPr>
              <w:autoSpaceDE w:val="0"/>
              <w:autoSpaceDN w:val="0"/>
              <w:adjustRightInd w:val="0"/>
              <w:jc w:val="right"/>
              <w:rPr>
                <w:szCs w:val="21"/>
              </w:rPr>
            </w:pPr>
            <w:r>
              <w:t>181,627.27</w:t>
            </w:r>
          </w:p>
        </w:tc>
      </w:tr>
      <w:tr w:rsidR="00E57DAA" w14:paraId="5B56DA79" w14:textId="77777777">
        <w:tc>
          <w:tcPr>
            <w:tcW w:w="677" w:type="pct"/>
            <w:tcBorders>
              <w:top w:val="single" w:sz="4" w:space="0" w:color="auto"/>
              <w:left w:val="single" w:sz="4" w:space="0" w:color="auto"/>
              <w:bottom w:val="single" w:sz="4" w:space="0" w:color="auto"/>
              <w:right w:val="single" w:sz="4" w:space="0" w:color="auto"/>
            </w:tcBorders>
            <w:vAlign w:val="center"/>
          </w:tcPr>
          <w:p w14:paraId="685E41C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30EAA65" w14:textId="77777777" w:rsidR="00E57DAA" w:rsidRDefault="00AC4185">
            <w:pPr>
              <w:autoSpaceDE w:val="0"/>
              <w:autoSpaceDN w:val="0"/>
              <w:adjustRightInd w:val="0"/>
              <w:rPr>
                <w:szCs w:val="21"/>
              </w:rPr>
            </w:pPr>
            <w:r>
              <w:t>贵州森垚水泥有限公司</w:t>
            </w:r>
          </w:p>
        </w:tc>
        <w:tc>
          <w:tcPr>
            <w:tcW w:w="633" w:type="pct"/>
            <w:tcBorders>
              <w:top w:val="single" w:sz="4" w:space="0" w:color="auto"/>
              <w:left w:val="single" w:sz="4" w:space="0" w:color="auto"/>
              <w:bottom w:val="single" w:sz="4" w:space="0" w:color="auto"/>
              <w:right w:val="single" w:sz="4" w:space="0" w:color="auto"/>
            </w:tcBorders>
          </w:tcPr>
          <w:p w14:paraId="64AB8728" w14:textId="77777777" w:rsidR="00E57DAA" w:rsidRDefault="00AC4185">
            <w:pPr>
              <w:autoSpaceDE w:val="0"/>
              <w:autoSpaceDN w:val="0"/>
              <w:adjustRightInd w:val="0"/>
              <w:jc w:val="right"/>
              <w:rPr>
                <w:szCs w:val="21"/>
              </w:rPr>
            </w:pPr>
            <w:r>
              <w:t>3,200,048.59</w:t>
            </w:r>
          </w:p>
        </w:tc>
        <w:tc>
          <w:tcPr>
            <w:tcW w:w="632" w:type="pct"/>
            <w:tcBorders>
              <w:top w:val="single" w:sz="4" w:space="0" w:color="auto"/>
              <w:left w:val="single" w:sz="4" w:space="0" w:color="auto"/>
              <w:bottom w:val="single" w:sz="4" w:space="0" w:color="auto"/>
              <w:right w:val="single" w:sz="4" w:space="0" w:color="auto"/>
            </w:tcBorders>
          </w:tcPr>
          <w:p w14:paraId="236CF8A8" w14:textId="77777777" w:rsidR="00E57DAA" w:rsidRDefault="00AC4185">
            <w:pPr>
              <w:autoSpaceDE w:val="0"/>
              <w:autoSpaceDN w:val="0"/>
              <w:adjustRightInd w:val="0"/>
              <w:jc w:val="right"/>
              <w:rPr>
                <w:szCs w:val="21"/>
              </w:rPr>
            </w:pPr>
            <w:r>
              <w:t>51,215.19</w:t>
            </w:r>
          </w:p>
        </w:tc>
        <w:tc>
          <w:tcPr>
            <w:tcW w:w="703" w:type="pct"/>
            <w:tcBorders>
              <w:top w:val="single" w:sz="4" w:space="0" w:color="auto"/>
              <w:left w:val="single" w:sz="4" w:space="0" w:color="auto"/>
              <w:bottom w:val="single" w:sz="4" w:space="0" w:color="auto"/>
              <w:right w:val="single" w:sz="4" w:space="0" w:color="auto"/>
            </w:tcBorders>
          </w:tcPr>
          <w:p w14:paraId="268BF776" w14:textId="77777777" w:rsidR="00E57DAA" w:rsidRDefault="00AC4185">
            <w:pPr>
              <w:autoSpaceDE w:val="0"/>
              <w:autoSpaceDN w:val="0"/>
              <w:adjustRightInd w:val="0"/>
              <w:jc w:val="right"/>
              <w:rPr>
                <w:szCs w:val="21"/>
              </w:rPr>
            </w:pPr>
            <w:r>
              <w:t>324.65</w:t>
            </w:r>
          </w:p>
        </w:tc>
        <w:tc>
          <w:tcPr>
            <w:tcW w:w="914" w:type="pct"/>
            <w:tcBorders>
              <w:top w:val="single" w:sz="4" w:space="0" w:color="auto"/>
              <w:left w:val="single" w:sz="4" w:space="0" w:color="auto"/>
              <w:bottom w:val="single" w:sz="4" w:space="0" w:color="auto"/>
              <w:right w:val="single" w:sz="4" w:space="0" w:color="auto"/>
            </w:tcBorders>
          </w:tcPr>
          <w:p w14:paraId="62A126B5" w14:textId="77777777" w:rsidR="00E57DAA" w:rsidRDefault="00AC4185">
            <w:pPr>
              <w:autoSpaceDE w:val="0"/>
              <w:autoSpaceDN w:val="0"/>
              <w:adjustRightInd w:val="0"/>
              <w:jc w:val="right"/>
              <w:rPr>
                <w:szCs w:val="21"/>
              </w:rPr>
            </w:pPr>
            <w:r>
              <w:t>0.06</w:t>
            </w:r>
          </w:p>
        </w:tc>
      </w:tr>
      <w:tr w:rsidR="00E57DAA" w14:paraId="2714AD80" w14:textId="77777777">
        <w:tc>
          <w:tcPr>
            <w:tcW w:w="677" w:type="pct"/>
            <w:tcBorders>
              <w:top w:val="single" w:sz="4" w:space="0" w:color="auto"/>
              <w:left w:val="single" w:sz="4" w:space="0" w:color="auto"/>
              <w:bottom w:val="single" w:sz="4" w:space="0" w:color="auto"/>
              <w:right w:val="single" w:sz="4" w:space="0" w:color="auto"/>
            </w:tcBorders>
            <w:vAlign w:val="center"/>
          </w:tcPr>
          <w:p w14:paraId="2E08434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E0AB7AB" w14:textId="77777777" w:rsidR="00E57DAA" w:rsidRDefault="00AC4185">
            <w:pPr>
              <w:autoSpaceDE w:val="0"/>
              <w:autoSpaceDN w:val="0"/>
              <w:adjustRightInd w:val="0"/>
              <w:rPr>
                <w:szCs w:val="21"/>
              </w:rPr>
            </w:pPr>
            <w:r>
              <w:t>三门峡腾跃同力水泥有限公司</w:t>
            </w:r>
          </w:p>
        </w:tc>
        <w:tc>
          <w:tcPr>
            <w:tcW w:w="633" w:type="pct"/>
            <w:tcBorders>
              <w:top w:val="single" w:sz="4" w:space="0" w:color="auto"/>
              <w:left w:val="single" w:sz="4" w:space="0" w:color="auto"/>
              <w:bottom w:val="single" w:sz="4" w:space="0" w:color="auto"/>
              <w:right w:val="single" w:sz="4" w:space="0" w:color="auto"/>
            </w:tcBorders>
          </w:tcPr>
          <w:p w14:paraId="4C34D4AA" w14:textId="77777777" w:rsidR="00E57DAA" w:rsidRDefault="00AC4185">
            <w:pPr>
              <w:autoSpaceDE w:val="0"/>
              <w:autoSpaceDN w:val="0"/>
              <w:adjustRightInd w:val="0"/>
              <w:jc w:val="right"/>
              <w:rPr>
                <w:szCs w:val="21"/>
              </w:rPr>
            </w:pPr>
            <w:r>
              <w:t>3,142,243.94</w:t>
            </w:r>
          </w:p>
        </w:tc>
        <w:tc>
          <w:tcPr>
            <w:tcW w:w="632" w:type="pct"/>
            <w:tcBorders>
              <w:top w:val="single" w:sz="4" w:space="0" w:color="auto"/>
              <w:left w:val="single" w:sz="4" w:space="0" w:color="auto"/>
              <w:bottom w:val="single" w:sz="4" w:space="0" w:color="auto"/>
              <w:right w:val="single" w:sz="4" w:space="0" w:color="auto"/>
            </w:tcBorders>
          </w:tcPr>
          <w:p w14:paraId="21CF6AC8" w14:textId="77777777" w:rsidR="00E57DAA" w:rsidRDefault="00AC4185">
            <w:pPr>
              <w:autoSpaceDE w:val="0"/>
              <w:autoSpaceDN w:val="0"/>
              <w:adjustRightInd w:val="0"/>
              <w:jc w:val="right"/>
              <w:rPr>
                <w:szCs w:val="21"/>
              </w:rPr>
            </w:pPr>
            <w:r>
              <w:t>12,568.98</w:t>
            </w:r>
          </w:p>
        </w:tc>
        <w:tc>
          <w:tcPr>
            <w:tcW w:w="703" w:type="pct"/>
            <w:tcBorders>
              <w:top w:val="single" w:sz="4" w:space="0" w:color="auto"/>
              <w:left w:val="single" w:sz="4" w:space="0" w:color="auto"/>
              <w:bottom w:val="single" w:sz="4" w:space="0" w:color="auto"/>
              <w:right w:val="single" w:sz="4" w:space="0" w:color="auto"/>
            </w:tcBorders>
          </w:tcPr>
          <w:p w14:paraId="2D403926" w14:textId="77777777" w:rsidR="00E57DAA" w:rsidRDefault="00AC4185">
            <w:pPr>
              <w:autoSpaceDE w:val="0"/>
              <w:autoSpaceDN w:val="0"/>
              <w:adjustRightInd w:val="0"/>
              <w:jc w:val="right"/>
              <w:rPr>
                <w:szCs w:val="21"/>
              </w:rPr>
            </w:pPr>
            <w:r>
              <w:t>4,281,871.62</w:t>
            </w:r>
          </w:p>
        </w:tc>
        <w:tc>
          <w:tcPr>
            <w:tcW w:w="914" w:type="pct"/>
            <w:tcBorders>
              <w:top w:val="single" w:sz="4" w:space="0" w:color="auto"/>
              <w:left w:val="single" w:sz="4" w:space="0" w:color="auto"/>
              <w:bottom w:val="single" w:sz="4" w:space="0" w:color="auto"/>
              <w:right w:val="single" w:sz="4" w:space="0" w:color="auto"/>
            </w:tcBorders>
          </w:tcPr>
          <w:p w14:paraId="13DD2D04" w14:textId="77777777" w:rsidR="00E57DAA" w:rsidRDefault="00AC4185">
            <w:pPr>
              <w:autoSpaceDE w:val="0"/>
              <w:autoSpaceDN w:val="0"/>
              <w:adjustRightInd w:val="0"/>
              <w:jc w:val="right"/>
              <w:rPr>
                <w:szCs w:val="21"/>
              </w:rPr>
            </w:pPr>
            <w:r>
              <w:t>17,127.49</w:t>
            </w:r>
          </w:p>
        </w:tc>
      </w:tr>
      <w:tr w:rsidR="00E57DAA" w14:paraId="2008551C" w14:textId="77777777">
        <w:tc>
          <w:tcPr>
            <w:tcW w:w="677" w:type="pct"/>
            <w:tcBorders>
              <w:top w:val="single" w:sz="4" w:space="0" w:color="auto"/>
              <w:left w:val="single" w:sz="4" w:space="0" w:color="auto"/>
              <w:bottom w:val="single" w:sz="4" w:space="0" w:color="auto"/>
              <w:right w:val="single" w:sz="4" w:space="0" w:color="auto"/>
            </w:tcBorders>
            <w:vAlign w:val="center"/>
          </w:tcPr>
          <w:p w14:paraId="5F50C01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7E551B3" w14:textId="77777777" w:rsidR="00E57DAA" w:rsidRDefault="00AC4185">
            <w:pPr>
              <w:autoSpaceDE w:val="0"/>
              <w:autoSpaceDN w:val="0"/>
              <w:adjustRightInd w:val="0"/>
              <w:rPr>
                <w:szCs w:val="21"/>
              </w:rPr>
            </w:pPr>
            <w:r>
              <w:t>安徽郎溪南方水泥有限公司</w:t>
            </w:r>
          </w:p>
        </w:tc>
        <w:tc>
          <w:tcPr>
            <w:tcW w:w="633" w:type="pct"/>
            <w:tcBorders>
              <w:top w:val="single" w:sz="4" w:space="0" w:color="auto"/>
              <w:left w:val="single" w:sz="4" w:space="0" w:color="auto"/>
              <w:bottom w:val="single" w:sz="4" w:space="0" w:color="auto"/>
              <w:right w:val="single" w:sz="4" w:space="0" w:color="auto"/>
            </w:tcBorders>
          </w:tcPr>
          <w:p w14:paraId="737C0DBA" w14:textId="77777777" w:rsidR="00E57DAA" w:rsidRDefault="00AC4185">
            <w:pPr>
              <w:autoSpaceDE w:val="0"/>
              <w:autoSpaceDN w:val="0"/>
              <w:adjustRightInd w:val="0"/>
              <w:jc w:val="right"/>
              <w:rPr>
                <w:szCs w:val="21"/>
              </w:rPr>
            </w:pPr>
            <w:r>
              <w:t>3,114,706.34</w:t>
            </w:r>
          </w:p>
        </w:tc>
        <w:tc>
          <w:tcPr>
            <w:tcW w:w="632" w:type="pct"/>
            <w:tcBorders>
              <w:top w:val="single" w:sz="4" w:space="0" w:color="auto"/>
              <w:left w:val="single" w:sz="4" w:space="0" w:color="auto"/>
              <w:bottom w:val="single" w:sz="4" w:space="0" w:color="auto"/>
              <w:right w:val="single" w:sz="4" w:space="0" w:color="auto"/>
            </w:tcBorders>
          </w:tcPr>
          <w:p w14:paraId="79278045" w14:textId="77777777" w:rsidR="00E57DAA" w:rsidRDefault="00AC4185">
            <w:pPr>
              <w:autoSpaceDE w:val="0"/>
              <w:autoSpaceDN w:val="0"/>
              <w:adjustRightInd w:val="0"/>
              <w:jc w:val="right"/>
              <w:rPr>
                <w:szCs w:val="21"/>
              </w:rPr>
            </w:pPr>
            <w:r>
              <w:t>49,494.04</w:t>
            </w:r>
          </w:p>
        </w:tc>
        <w:tc>
          <w:tcPr>
            <w:tcW w:w="703" w:type="pct"/>
            <w:tcBorders>
              <w:top w:val="single" w:sz="4" w:space="0" w:color="auto"/>
              <w:left w:val="single" w:sz="4" w:space="0" w:color="auto"/>
              <w:bottom w:val="single" w:sz="4" w:space="0" w:color="auto"/>
              <w:right w:val="single" w:sz="4" w:space="0" w:color="auto"/>
            </w:tcBorders>
          </w:tcPr>
          <w:p w14:paraId="7B70BFE3" w14:textId="77777777" w:rsidR="00E57DAA" w:rsidRDefault="00AC4185">
            <w:pPr>
              <w:autoSpaceDE w:val="0"/>
              <w:autoSpaceDN w:val="0"/>
              <w:adjustRightInd w:val="0"/>
              <w:jc w:val="right"/>
              <w:rPr>
                <w:szCs w:val="21"/>
              </w:rPr>
            </w:pPr>
            <w:r>
              <w:t>11,025,052.25</w:t>
            </w:r>
          </w:p>
        </w:tc>
        <w:tc>
          <w:tcPr>
            <w:tcW w:w="914" w:type="pct"/>
            <w:tcBorders>
              <w:top w:val="single" w:sz="4" w:space="0" w:color="auto"/>
              <w:left w:val="single" w:sz="4" w:space="0" w:color="auto"/>
              <w:bottom w:val="single" w:sz="4" w:space="0" w:color="auto"/>
              <w:right w:val="single" w:sz="4" w:space="0" w:color="auto"/>
            </w:tcBorders>
          </w:tcPr>
          <w:p w14:paraId="2F7E6C2A" w14:textId="77777777" w:rsidR="00E57DAA" w:rsidRDefault="00AC4185">
            <w:pPr>
              <w:autoSpaceDE w:val="0"/>
              <w:autoSpaceDN w:val="0"/>
              <w:adjustRightInd w:val="0"/>
              <w:jc w:val="right"/>
              <w:rPr>
                <w:szCs w:val="21"/>
              </w:rPr>
            </w:pPr>
            <w:r>
              <w:t>154,946.72</w:t>
            </w:r>
          </w:p>
        </w:tc>
      </w:tr>
      <w:tr w:rsidR="00E57DAA" w14:paraId="3AEB9F21" w14:textId="77777777">
        <w:tc>
          <w:tcPr>
            <w:tcW w:w="677" w:type="pct"/>
            <w:tcBorders>
              <w:top w:val="single" w:sz="4" w:space="0" w:color="auto"/>
              <w:left w:val="single" w:sz="4" w:space="0" w:color="auto"/>
              <w:bottom w:val="single" w:sz="4" w:space="0" w:color="auto"/>
              <w:right w:val="single" w:sz="4" w:space="0" w:color="auto"/>
            </w:tcBorders>
            <w:vAlign w:val="center"/>
          </w:tcPr>
          <w:p w14:paraId="7AB5E27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EBD0FFF" w14:textId="77777777" w:rsidR="00E57DAA" w:rsidRDefault="00AC4185">
            <w:pPr>
              <w:autoSpaceDE w:val="0"/>
              <w:autoSpaceDN w:val="0"/>
              <w:adjustRightInd w:val="0"/>
              <w:rPr>
                <w:szCs w:val="21"/>
              </w:rPr>
            </w:pPr>
            <w:r>
              <w:t>四川德胜集团水泥有限公司</w:t>
            </w:r>
          </w:p>
        </w:tc>
        <w:tc>
          <w:tcPr>
            <w:tcW w:w="633" w:type="pct"/>
            <w:tcBorders>
              <w:top w:val="single" w:sz="4" w:space="0" w:color="auto"/>
              <w:left w:val="single" w:sz="4" w:space="0" w:color="auto"/>
              <w:bottom w:val="single" w:sz="4" w:space="0" w:color="auto"/>
              <w:right w:val="single" w:sz="4" w:space="0" w:color="auto"/>
            </w:tcBorders>
          </w:tcPr>
          <w:p w14:paraId="261B88B9" w14:textId="77777777" w:rsidR="00E57DAA" w:rsidRDefault="00AC4185">
            <w:pPr>
              <w:autoSpaceDE w:val="0"/>
              <w:autoSpaceDN w:val="0"/>
              <w:adjustRightInd w:val="0"/>
              <w:jc w:val="right"/>
              <w:rPr>
                <w:szCs w:val="21"/>
              </w:rPr>
            </w:pPr>
            <w:r>
              <w:t>3,112,414.50</w:t>
            </w:r>
          </w:p>
        </w:tc>
        <w:tc>
          <w:tcPr>
            <w:tcW w:w="632" w:type="pct"/>
            <w:tcBorders>
              <w:top w:val="single" w:sz="4" w:space="0" w:color="auto"/>
              <w:left w:val="single" w:sz="4" w:space="0" w:color="auto"/>
              <w:bottom w:val="single" w:sz="4" w:space="0" w:color="auto"/>
              <w:right w:val="single" w:sz="4" w:space="0" w:color="auto"/>
            </w:tcBorders>
          </w:tcPr>
          <w:p w14:paraId="0958E7F1" w14:textId="77777777" w:rsidR="00E57DAA" w:rsidRDefault="00AC4185">
            <w:pPr>
              <w:autoSpaceDE w:val="0"/>
              <w:autoSpaceDN w:val="0"/>
              <w:adjustRightInd w:val="0"/>
              <w:jc w:val="right"/>
              <w:rPr>
                <w:szCs w:val="21"/>
              </w:rPr>
            </w:pPr>
            <w:r>
              <w:t>79,758.42</w:t>
            </w:r>
          </w:p>
        </w:tc>
        <w:tc>
          <w:tcPr>
            <w:tcW w:w="703" w:type="pct"/>
            <w:tcBorders>
              <w:top w:val="single" w:sz="4" w:space="0" w:color="auto"/>
              <w:left w:val="single" w:sz="4" w:space="0" w:color="auto"/>
              <w:bottom w:val="single" w:sz="4" w:space="0" w:color="auto"/>
              <w:right w:val="single" w:sz="4" w:space="0" w:color="auto"/>
            </w:tcBorders>
          </w:tcPr>
          <w:p w14:paraId="32C6CE03" w14:textId="77777777" w:rsidR="00E57DAA" w:rsidRDefault="00AC4185">
            <w:pPr>
              <w:autoSpaceDE w:val="0"/>
              <w:autoSpaceDN w:val="0"/>
              <w:adjustRightInd w:val="0"/>
              <w:jc w:val="right"/>
              <w:rPr>
                <w:szCs w:val="21"/>
              </w:rPr>
            </w:pPr>
            <w:r>
              <w:t>302,300.00</w:t>
            </w:r>
          </w:p>
        </w:tc>
        <w:tc>
          <w:tcPr>
            <w:tcW w:w="914" w:type="pct"/>
            <w:tcBorders>
              <w:top w:val="single" w:sz="4" w:space="0" w:color="auto"/>
              <w:left w:val="single" w:sz="4" w:space="0" w:color="auto"/>
              <w:bottom w:val="single" w:sz="4" w:space="0" w:color="auto"/>
              <w:right w:val="single" w:sz="4" w:space="0" w:color="auto"/>
            </w:tcBorders>
          </w:tcPr>
          <w:p w14:paraId="0FDA0B2E" w14:textId="77777777" w:rsidR="00E57DAA" w:rsidRDefault="00AC4185">
            <w:pPr>
              <w:autoSpaceDE w:val="0"/>
              <w:autoSpaceDN w:val="0"/>
              <w:adjustRightInd w:val="0"/>
              <w:jc w:val="right"/>
              <w:rPr>
                <w:szCs w:val="21"/>
              </w:rPr>
            </w:pPr>
            <w:r>
              <w:t>20,668.07</w:t>
            </w:r>
          </w:p>
        </w:tc>
      </w:tr>
      <w:tr w:rsidR="00E57DAA" w14:paraId="495625C4" w14:textId="77777777">
        <w:tc>
          <w:tcPr>
            <w:tcW w:w="677" w:type="pct"/>
            <w:tcBorders>
              <w:top w:val="single" w:sz="4" w:space="0" w:color="auto"/>
              <w:left w:val="single" w:sz="4" w:space="0" w:color="auto"/>
              <w:bottom w:val="single" w:sz="4" w:space="0" w:color="auto"/>
              <w:right w:val="single" w:sz="4" w:space="0" w:color="auto"/>
            </w:tcBorders>
            <w:vAlign w:val="center"/>
          </w:tcPr>
          <w:p w14:paraId="7C44906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D6489F8" w14:textId="77777777" w:rsidR="00E57DAA" w:rsidRDefault="00AC4185">
            <w:pPr>
              <w:autoSpaceDE w:val="0"/>
              <w:autoSpaceDN w:val="0"/>
              <w:adjustRightInd w:val="0"/>
              <w:rPr>
                <w:szCs w:val="21"/>
              </w:rPr>
            </w:pPr>
            <w:r>
              <w:t>旬阳县永泰祥矿业有限公司</w:t>
            </w:r>
          </w:p>
        </w:tc>
        <w:tc>
          <w:tcPr>
            <w:tcW w:w="633" w:type="pct"/>
            <w:tcBorders>
              <w:top w:val="single" w:sz="4" w:space="0" w:color="auto"/>
              <w:left w:val="single" w:sz="4" w:space="0" w:color="auto"/>
              <w:bottom w:val="single" w:sz="4" w:space="0" w:color="auto"/>
              <w:right w:val="single" w:sz="4" w:space="0" w:color="auto"/>
            </w:tcBorders>
          </w:tcPr>
          <w:p w14:paraId="450DE51B" w14:textId="77777777" w:rsidR="00E57DAA" w:rsidRDefault="00AC4185">
            <w:pPr>
              <w:autoSpaceDE w:val="0"/>
              <w:autoSpaceDN w:val="0"/>
              <w:adjustRightInd w:val="0"/>
              <w:jc w:val="right"/>
              <w:rPr>
                <w:szCs w:val="21"/>
              </w:rPr>
            </w:pPr>
            <w:r>
              <w:t>3,002,117.54</w:t>
            </w:r>
          </w:p>
        </w:tc>
        <w:tc>
          <w:tcPr>
            <w:tcW w:w="632" w:type="pct"/>
            <w:tcBorders>
              <w:top w:val="single" w:sz="4" w:space="0" w:color="auto"/>
              <w:left w:val="single" w:sz="4" w:space="0" w:color="auto"/>
              <w:bottom w:val="single" w:sz="4" w:space="0" w:color="auto"/>
              <w:right w:val="single" w:sz="4" w:space="0" w:color="auto"/>
            </w:tcBorders>
          </w:tcPr>
          <w:p w14:paraId="411B19F2" w14:textId="77777777" w:rsidR="00E57DAA" w:rsidRDefault="00AC4185">
            <w:pPr>
              <w:autoSpaceDE w:val="0"/>
              <w:autoSpaceDN w:val="0"/>
              <w:adjustRightInd w:val="0"/>
              <w:jc w:val="right"/>
              <w:rPr>
                <w:szCs w:val="21"/>
              </w:rPr>
            </w:pPr>
            <w:r>
              <w:t>1,289,734.40</w:t>
            </w:r>
          </w:p>
        </w:tc>
        <w:tc>
          <w:tcPr>
            <w:tcW w:w="703" w:type="pct"/>
            <w:tcBorders>
              <w:top w:val="single" w:sz="4" w:space="0" w:color="auto"/>
              <w:left w:val="single" w:sz="4" w:space="0" w:color="auto"/>
              <w:bottom w:val="single" w:sz="4" w:space="0" w:color="auto"/>
              <w:right w:val="single" w:sz="4" w:space="0" w:color="auto"/>
            </w:tcBorders>
          </w:tcPr>
          <w:p w14:paraId="47BF2A49" w14:textId="77777777" w:rsidR="00E57DAA" w:rsidRDefault="00AC4185">
            <w:pPr>
              <w:autoSpaceDE w:val="0"/>
              <w:autoSpaceDN w:val="0"/>
              <w:adjustRightInd w:val="0"/>
              <w:jc w:val="right"/>
              <w:rPr>
                <w:szCs w:val="21"/>
              </w:rPr>
            </w:pPr>
            <w:r>
              <w:t>3,022,117.54</w:t>
            </w:r>
          </w:p>
        </w:tc>
        <w:tc>
          <w:tcPr>
            <w:tcW w:w="914" w:type="pct"/>
            <w:tcBorders>
              <w:top w:val="single" w:sz="4" w:space="0" w:color="auto"/>
              <w:left w:val="single" w:sz="4" w:space="0" w:color="auto"/>
              <w:bottom w:val="single" w:sz="4" w:space="0" w:color="auto"/>
              <w:right w:val="single" w:sz="4" w:space="0" w:color="auto"/>
            </w:tcBorders>
          </w:tcPr>
          <w:p w14:paraId="0BC61667" w14:textId="77777777" w:rsidR="00E57DAA" w:rsidRDefault="00AC4185">
            <w:pPr>
              <w:autoSpaceDE w:val="0"/>
              <w:autoSpaceDN w:val="0"/>
              <w:adjustRightInd w:val="0"/>
              <w:jc w:val="right"/>
              <w:rPr>
                <w:szCs w:val="21"/>
              </w:rPr>
            </w:pPr>
            <w:r>
              <w:t>423,356.13</w:t>
            </w:r>
          </w:p>
        </w:tc>
      </w:tr>
      <w:tr w:rsidR="00E57DAA" w14:paraId="20A27332" w14:textId="77777777">
        <w:tc>
          <w:tcPr>
            <w:tcW w:w="677" w:type="pct"/>
            <w:tcBorders>
              <w:top w:val="single" w:sz="4" w:space="0" w:color="auto"/>
              <w:left w:val="single" w:sz="4" w:space="0" w:color="auto"/>
              <w:bottom w:val="single" w:sz="4" w:space="0" w:color="auto"/>
              <w:right w:val="single" w:sz="4" w:space="0" w:color="auto"/>
            </w:tcBorders>
            <w:vAlign w:val="center"/>
          </w:tcPr>
          <w:p w14:paraId="08F39A7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4795492" w14:textId="77777777" w:rsidR="00E57DAA" w:rsidRDefault="00AC4185">
            <w:pPr>
              <w:autoSpaceDE w:val="0"/>
              <w:autoSpaceDN w:val="0"/>
              <w:adjustRightInd w:val="0"/>
              <w:rPr>
                <w:szCs w:val="21"/>
              </w:rPr>
            </w:pPr>
            <w:r>
              <w:t>固原市赛马新型建材有限公司</w:t>
            </w:r>
          </w:p>
        </w:tc>
        <w:tc>
          <w:tcPr>
            <w:tcW w:w="633" w:type="pct"/>
            <w:tcBorders>
              <w:top w:val="single" w:sz="4" w:space="0" w:color="auto"/>
              <w:left w:val="single" w:sz="4" w:space="0" w:color="auto"/>
              <w:bottom w:val="single" w:sz="4" w:space="0" w:color="auto"/>
              <w:right w:val="single" w:sz="4" w:space="0" w:color="auto"/>
            </w:tcBorders>
          </w:tcPr>
          <w:p w14:paraId="3DAE2541" w14:textId="77777777" w:rsidR="00E57DAA" w:rsidRDefault="00AC4185">
            <w:pPr>
              <w:autoSpaceDE w:val="0"/>
              <w:autoSpaceDN w:val="0"/>
              <w:adjustRightInd w:val="0"/>
              <w:jc w:val="right"/>
              <w:rPr>
                <w:szCs w:val="21"/>
              </w:rPr>
            </w:pPr>
            <w:r>
              <w:t>2,994,204.82</w:t>
            </w:r>
          </w:p>
        </w:tc>
        <w:tc>
          <w:tcPr>
            <w:tcW w:w="632" w:type="pct"/>
            <w:tcBorders>
              <w:top w:val="single" w:sz="4" w:space="0" w:color="auto"/>
              <w:left w:val="single" w:sz="4" w:space="0" w:color="auto"/>
              <w:bottom w:val="single" w:sz="4" w:space="0" w:color="auto"/>
              <w:right w:val="single" w:sz="4" w:space="0" w:color="auto"/>
            </w:tcBorders>
          </w:tcPr>
          <w:p w14:paraId="5CD7FBA3" w14:textId="77777777" w:rsidR="00E57DAA" w:rsidRDefault="00AC4185">
            <w:pPr>
              <w:autoSpaceDE w:val="0"/>
              <w:autoSpaceDN w:val="0"/>
              <w:adjustRightInd w:val="0"/>
              <w:jc w:val="right"/>
              <w:rPr>
                <w:szCs w:val="21"/>
              </w:rPr>
            </w:pPr>
            <w:r>
              <w:t>829,352.49</w:t>
            </w:r>
          </w:p>
        </w:tc>
        <w:tc>
          <w:tcPr>
            <w:tcW w:w="703" w:type="pct"/>
            <w:tcBorders>
              <w:top w:val="single" w:sz="4" w:space="0" w:color="auto"/>
              <w:left w:val="single" w:sz="4" w:space="0" w:color="auto"/>
              <w:bottom w:val="single" w:sz="4" w:space="0" w:color="auto"/>
              <w:right w:val="single" w:sz="4" w:space="0" w:color="auto"/>
            </w:tcBorders>
          </w:tcPr>
          <w:p w14:paraId="64DD91ED" w14:textId="77777777" w:rsidR="00E57DAA" w:rsidRDefault="00AC4185">
            <w:pPr>
              <w:autoSpaceDE w:val="0"/>
              <w:autoSpaceDN w:val="0"/>
              <w:adjustRightInd w:val="0"/>
              <w:jc w:val="right"/>
              <w:rPr>
                <w:szCs w:val="21"/>
              </w:rPr>
            </w:pPr>
            <w:r>
              <w:t>6,217,404.82</w:t>
            </w:r>
          </w:p>
        </w:tc>
        <w:tc>
          <w:tcPr>
            <w:tcW w:w="914" w:type="pct"/>
            <w:tcBorders>
              <w:top w:val="single" w:sz="4" w:space="0" w:color="auto"/>
              <w:left w:val="single" w:sz="4" w:space="0" w:color="auto"/>
              <w:bottom w:val="single" w:sz="4" w:space="0" w:color="auto"/>
              <w:right w:val="single" w:sz="4" w:space="0" w:color="auto"/>
            </w:tcBorders>
          </w:tcPr>
          <w:p w14:paraId="233418A7" w14:textId="77777777" w:rsidR="00E57DAA" w:rsidRDefault="00AC4185">
            <w:pPr>
              <w:autoSpaceDE w:val="0"/>
              <w:autoSpaceDN w:val="0"/>
              <w:adjustRightInd w:val="0"/>
              <w:jc w:val="right"/>
              <w:rPr>
                <w:szCs w:val="21"/>
              </w:rPr>
            </w:pPr>
            <w:r>
              <w:t>448,274.89</w:t>
            </w:r>
          </w:p>
        </w:tc>
      </w:tr>
      <w:tr w:rsidR="00E57DAA" w14:paraId="42D86A5D" w14:textId="77777777">
        <w:tc>
          <w:tcPr>
            <w:tcW w:w="677" w:type="pct"/>
            <w:tcBorders>
              <w:top w:val="single" w:sz="4" w:space="0" w:color="auto"/>
              <w:left w:val="single" w:sz="4" w:space="0" w:color="auto"/>
              <w:bottom w:val="single" w:sz="4" w:space="0" w:color="auto"/>
              <w:right w:val="single" w:sz="4" w:space="0" w:color="auto"/>
            </w:tcBorders>
            <w:vAlign w:val="center"/>
          </w:tcPr>
          <w:p w14:paraId="132A054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E1A4765" w14:textId="77777777" w:rsidR="00E57DAA" w:rsidRDefault="00AC4185">
            <w:pPr>
              <w:autoSpaceDE w:val="0"/>
              <w:autoSpaceDN w:val="0"/>
              <w:adjustRightInd w:val="0"/>
              <w:rPr>
                <w:szCs w:val="21"/>
              </w:rPr>
            </w:pPr>
            <w:r>
              <w:t>湖南宁乡南方水泥有限公司</w:t>
            </w:r>
          </w:p>
        </w:tc>
        <w:tc>
          <w:tcPr>
            <w:tcW w:w="633" w:type="pct"/>
            <w:tcBorders>
              <w:top w:val="single" w:sz="4" w:space="0" w:color="auto"/>
              <w:left w:val="single" w:sz="4" w:space="0" w:color="auto"/>
              <w:bottom w:val="single" w:sz="4" w:space="0" w:color="auto"/>
              <w:right w:val="single" w:sz="4" w:space="0" w:color="auto"/>
            </w:tcBorders>
          </w:tcPr>
          <w:p w14:paraId="6131C129" w14:textId="77777777" w:rsidR="00E57DAA" w:rsidRDefault="00AC4185">
            <w:pPr>
              <w:autoSpaceDE w:val="0"/>
              <w:autoSpaceDN w:val="0"/>
              <w:adjustRightInd w:val="0"/>
              <w:jc w:val="right"/>
              <w:rPr>
                <w:szCs w:val="21"/>
              </w:rPr>
            </w:pPr>
            <w:r>
              <w:t>2,976,346.59</w:t>
            </w:r>
          </w:p>
        </w:tc>
        <w:tc>
          <w:tcPr>
            <w:tcW w:w="632" w:type="pct"/>
            <w:tcBorders>
              <w:top w:val="single" w:sz="4" w:space="0" w:color="auto"/>
              <w:left w:val="single" w:sz="4" w:space="0" w:color="auto"/>
              <w:bottom w:val="single" w:sz="4" w:space="0" w:color="auto"/>
              <w:right w:val="single" w:sz="4" w:space="0" w:color="auto"/>
            </w:tcBorders>
          </w:tcPr>
          <w:p w14:paraId="4CCC2912" w14:textId="77777777" w:rsidR="00E57DAA" w:rsidRDefault="00AC4185">
            <w:pPr>
              <w:autoSpaceDE w:val="0"/>
              <w:autoSpaceDN w:val="0"/>
              <w:adjustRightInd w:val="0"/>
              <w:jc w:val="right"/>
              <w:rPr>
                <w:szCs w:val="21"/>
              </w:rPr>
            </w:pPr>
            <w:r>
              <w:t>300,374.24</w:t>
            </w:r>
          </w:p>
        </w:tc>
        <w:tc>
          <w:tcPr>
            <w:tcW w:w="703" w:type="pct"/>
            <w:tcBorders>
              <w:top w:val="single" w:sz="4" w:space="0" w:color="auto"/>
              <w:left w:val="single" w:sz="4" w:space="0" w:color="auto"/>
              <w:bottom w:val="single" w:sz="4" w:space="0" w:color="auto"/>
              <w:right w:val="single" w:sz="4" w:space="0" w:color="auto"/>
            </w:tcBorders>
          </w:tcPr>
          <w:p w14:paraId="4F5075F3" w14:textId="77777777" w:rsidR="00E57DAA" w:rsidRDefault="00AC4185">
            <w:pPr>
              <w:autoSpaceDE w:val="0"/>
              <w:autoSpaceDN w:val="0"/>
              <w:adjustRightInd w:val="0"/>
              <w:jc w:val="right"/>
              <w:rPr>
                <w:szCs w:val="21"/>
              </w:rPr>
            </w:pPr>
            <w:r>
              <w:t>5,019,547.90</w:t>
            </w:r>
          </w:p>
        </w:tc>
        <w:tc>
          <w:tcPr>
            <w:tcW w:w="914" w:type="pct"/>
            <w:tcBorders>
              <w:top w:val="single" w:sz="4" w:space="0" w:color="auto"/>
              <w:left w:val="single" w:sz="4" w:space="0" w:color="auto"/>
              <w:bottom w:val="single" w:sz="4" w:space="0" w:color="auto"/>
              <w:right w:val="single" w:sz="4" w:space="0" w:color="auto"/>
            </w:tcBorders>
          </w:tcPr>
          <w:p w14:paraId="5CC9C005" w14:textId="77777777" w:rsidR="00E57DAA" w:rsidRDefault="00AC4185">
            <w:pPr>
              <w:autoSpaceDE w:val="0"/>
              <w:autoSpaceDN w:val="0"/>
              <w:adjustRightInd w:val="0"/>
              <w:jc w:val="right"/>
              <w:rPr>
                <w:szCs w:val="21"/>
              </w:rPr>
            </w:pPr>
            <w:r>
              <w:t>215,431.93</w:t>
            </w:r>
          </w:p>
        </w:tc>
      </w:tr>
      <w:tr w:rsidR="00E57DAA" w14:paraId="3802020A" w14:textId="77777777">
        <w:tc>
          <w:tcPr>
            <w:tcW w:w="677" w:type="pct"/>
            <w:tcBorders>
              <w:top w:val="single" w:sz="4" w:space="0" w:color="auto"/>
              <w:left w:val="single" w:sz="4" w:space="0" w:color="auto"/>
              <w:bottom w:val="single" w:sz="4" w:space="0" w:color="auto"/>
              <w:right w:val="single" w:sz="4" w:space="0" w:color="auto"/>
            </w:tcBorders>
            <w:vAlign w:val="center"/>
          </w:tcPr>
          <w:p w14:paraId="037556D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7923766" w14:textId="77777777" w:rsidR="00E57DAA" w:rsidRDefault="00AC4185">
            <w:pPr>
              <w:autoSpaceDE w:val="0"/>
              <w:autoSpaceDN w:val="0"/>
              <w:adjustRightInd w:val="0"/>
              <w:rPr>
                <w:szCs w:val="21"/>
              </w:rPr>
            </w:pPr>
            <w:r>
              <w:t>驻马店市豫龙同力水泥有限公司</w:t>
            </w:r>
          </w:p>
        </w:tc>
        <w:tc>
          <w:tcPr>
            <w:tcW w:w="633" w:type="pct"/>
            <w:tcBorders>
              <w:top w:val="single" w:sz="4" w:space="0" w:color="auto"/>
              <w:left w:val="single" w:sz="4" w:space="0" w:color="auto"/>
              <w:bottom w:val="single" w:sz="4" w:space="0" w:color="auto"/>
              <w:right w:val="single" w:sz="4" w:space="0" w:color="auto"/>
            </w:tcBorders>
          </w:tcPr>
          <w:p w14:paraId="4F641919" w14:textId="77777777" w:rsidR="00E57DAA" w:rsidRDefault="00AC4185">
            <w:pPr>
              <w:autoSpaceDE w:val="0"/>
              <w:autoSpaceDN w:val="0"/>
              <w:adjustRightInd w:val="0"/>
              <w:jc w:val="right"/>
              <w:rPr>
                <w:szCs w:val="21"/>
              </w:rPr>
            </w:pPr>
            <w:r>
              <w:t>2,968,781.58</w:t>
            </w:r>
          </w:p>
        </w:tc>
        <w:tc>
          <w:tcPr>
            <w:tcW w:w="632" w:type="pct"/>
            <w:tcBorders>
              <w:top w:val="single" w:sz="4" w:space="0" w:color="auto"/>
              <w:left w:val="single" w:sz="4" w:space="0" w:color="auto"/>
              <w:bottom w:val="single" w:sz="4" w:space="0" w:color="auto"/>
              <w:right w:val="single" w:sz="4" w:space="0" w:color="auto"/>
            </w:tcBorders>
          </w:tcPr>
          <w:p w14:paraId="4E23B424" w14:textId="77777777" w:rsidR="00E57DAA" w:rsidRDefault="00AC4185">
            <w:pPr>
              <w:autoSpaceDE w:val="0"/>
              <w:autoSpaceDN w:val="0"/>
              <w:adjustRightInd w:val="0"/>
              <w:jc w:val="right"/>
              <w:rPr>
                <w:szCs w:val="21"/>
              </w:rPr>
            </w:pPr>
            <w:r>
              <w:t>159,756.63</w:t>
            </w:r>
          </w:p>
        </w:tc>
        <w:tc>
          <w:tcPr>
            <w:tcW w:w="703" w:type="pct"/>
            <w:tcBorders>
              <w:top w:val="single" w:sz="4" w:space="0" w:color="auto"/>
              <w:left w:val="single" w:sz="4" w:space="0" w:color="auto"/>
              <w:bottom w:val="single" w:sz="4" w:space="0" w:color="auto"/>
              <w:right w:val="single" w:sz="4" w:space="0" w:color="auto"/>
            </w:tcBorders>
          </w:tcPr>
          <w:p w14:paraId="4AC29DAC" w14:textId="77777777" w:rsidR="00E57DAA" w:rsidRDefault="00AC4185">
            <w:pPr>
              <w:autoSpaceDE w:val="0"/>
              <w:autoSpaceDN w:val="0"/>
              <w:adjustRightInd w:val="0"/>
              <w:jc w:val="right"/>
              <w:rPr>
                <w:szCs w:val="21"/>
              </w:rPr>
            </w:pPr>
            <w:r>
              <w:t>2,314,639.24</w:t>
            </w:r>
          </w:p>
        </w:tc>
        <w:tc>
          <w:tcPr>
            <w:tcW w:w="914" w:type="pct"/>
            <w:tcBorders>
              <w:top w:val="single" w:sz="4" w:space="0" w:color="auto"/>
              <w:left w:val="single" w:sz="4" w:space="0" w:color="auto"/>
              <w:bottom w:val="single" w:sz="4" w:space="0" w:color="auto"/>
              <w:right w:val="single" w:sz="4" w:space="0" w:color="auto"/>
            </w:tcBorders>
          </w:tcPr>
          <w:p w14:paraId="2727AC19" w14:textId="77777777" w:rsidR="00E57DAA" w:rsidRDefault="00AC4185">
            <w:pPr>
              <w:autoSpaceDE w:val="0"/>
              <w:autoSpaceDN w:val="0"/>
              <w:adjustRightInd w:val="0"/>
              <w:jc w:val="right"/>
              <w:rPr>
                <w:szCs w:val="21"/>
              </w:rPr>
            </w:pPr>
            <w:r>
              <w:t>160,611.40</w:t>
            </w:r>
          </w:p>
        </w:tc>
      </w:tr>
      <w:tr w:rsidR="00E57DAA" w14:paraId="75228024" w14:textId="77777777">
        <w:tc>
          <w:tcPr>
            <w:tcW w:w="677" w:type="pct"/>
            <w:tcBorders>
              <w:top w:val="single" w:sz="4" w:space="0" w:color="auto"/>
              <w:left w:val="single" w:sz="4" w:space="0" w:color="auto"/>
              <w:bottom w:val="single" w:sz="4" w:space="0" w:color="auto"/>
              <w:right w:val="single" w:sz="4" w:space="0" w:color="auto"/>
            </w:tcBorders>
            <w:vAlign w:val="center"/>
          </w:tcPr>
          <w:p w14:paraId="401513F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3ACF9BA" w14:textId="77777777" w:rsidR="00E57DAA" w:rsidRDefault="00AC4185">
            <w:pPr>
              <w:autoSpaceDE w:val="0"/>
              <w:autoSpaceDN w:val="0"/>
              <w:adjustRightInd w:val="0"/>
              <w:rPr>
                <w:szCs w:val="21"/>
              </w:rPr>
            </w:pPr>
            <w:r>
              <w:t>重庆万州西南水泥有限公司</w:t>
            </w:r>
          </w:p>
        </w:tc>
        <w:tc>
          <w:tcPr>
            <w:tcW w:w="633" w:type="pct"/>
            <w:tcBorders>
              <w:top w:val="single" w:sz="4" w:space="0" w:color="auto"/>
              <w:left w:val="single" w:sz="4" w:space="0" w:color="auto"/>
              <w:bottom w:val="single" w:sz="4" w:space="0" w:color="auto"/>
              <w:right w:val="single" w:sz="4" w:space="0" w:color="auto"/>
            </w:tcBorders>
          </w:tcPr>
          <w:p w14:paraId="1DF5111D" w14:textId="77777777" w:rsidR="00E57DAA" w:rsidRDefault="00AC4185">
            <w:pPr>
              <w:autoSpaceDE w:val="0"/>
              <w:autoSpaceDN w:val="0"/>
              <w:adjustRightInd w:val="0"/>
              <w:jc w:val="right"/>
              <w:rPr>
                <w:szCs w:val="21"/>
              </w:rPr>
            </w:pPr>
            <w:r>
              <w:t>2,948,089.00</w:t>
            </w:r>
          </w:p>
        </w:tc>
        <w:tc>
          <w:tcPr>
            <w:tcW w:w="632" w:type="pct"/>
            <w:tcBorders>
              <w:top w:val="single" w:sz="4" w:space="0" w:color="auto"/>
              <w:left w:val="single" w:sz="4" w:space="0" w:color="auto"/>
              <w:bottom w:val="single" w:sz="4" w:space="0" w:color="auto"/>
              <w:right w:val="single" w:sz="4" w:space="0" w:color="auto"/>
            </w:tcBorders>
          </w:tcPr>
          <w:p w14:paraId="5D9E5662" w14:textId="77777777" w:rsidR="00E57DAA" w:rsidRDefault="00AC4185">
            <w:pPr>
              <w:autoSpaceDE w:val="0"/>
              <w:autoSpaceDN w:val="0"/>
              <w:adjustRightInd w:val="0"/>
              <w:jc w:val="right"/>
              <w:rPr>
                <w:szCs w:val="21"/>
              </w:rPr>
            </w:pPr>
            <w:r>
              <w:t>408,186.56</w:t>
            </w:r>
          </w:p>
        </w:tc>
        <w:tc>
          <w:tcPr>
            <w:tcW w:w="703" w:type="pct"/>
            <w:tcBorders>
              <w:top w:val="single" w:sz="4" w:space="0" w:color="auto"/>
              <w:left w:val="single" w:sz="4" w:space="0" w:color="auto"/>
              <w:bottom w:val="single" w:sz="4" w:space="0" w:color="auto"/>
              <w:right w:val="single" w:sz="4" w:space="0" w:color="auto"/>
            </w:tcBorders>
          </w:tcPr>
          <w:p w14:paraId="1E64C711" w14:textId="77777777" w:rsidR="00E57DAA" w:rsidRDefault="00AC4185">
            <w:pPr>
              <w:autoSpaceDE w:val="0"/>
              <w:autoSpaceDN w:val="0"/>
              <w:adjustRightInd w:val="0"/>
              <w:jc w:val="right"/>
              <w:rPr>
                <w:szCs w:val="21"/>
              </w:rPr>
            </w:pPr>
            <w:r>
              <w:t>432,259.11</w:t>
            </w:r>
          </w:p>
        </w:tc>
        <w:tc>
          <w:tcPr>
            <w:tcW w:w="914" w:type="pct"/>
            <w:tcBorders>
              <w:top w:val="single" w:sz="4" w:space="0" w:color="auto"/>
              <w:left w:val="single" w:sz="4" w:space="0" w:color="auto"/>
              <w:bottom w:val="single" w:sz="4" w:space="0" w:color="auto"/>
              <w:right w:val="single" w:sz="4" w:space="0" w:color="auto"/>
            </w:tcBorders>
          </w:tcPr>
          <w:p w14:paraId="1B35AC5F" w14:textId="77777777" w:rsidR="00E57DAA" w:rsidRDefault="00AC4185">
            <w:pPr>
              <w:autoSpaceDE w:val="0"/>
              <w:autoSpaceDN w:val="0"/>
              <w:adjustRightInd w:val="0"/>
              <w:jc w:val="right"/>
              <w:rPr>
                <w:szCs w:val="21"/>
              </w:rPr>
            </w:pPr>
            <w:r>
              <w:t>147,450.49</w:t>
            </w:r>
          </w:p>
        </w:tc>
      </w:tr>
      <w:tr w:rsidR="00E57DAA" w14:paraId="40751362" w14:textId="77777777">
        <w:tc>
          <w:tcPr>
            <w:tcW w:w="677" w:type="pct"/>
            <w:tcBorders>
              <w:top w:val="single" w:sz="4" w:space="0" w:color="auto"/>
              <w:left w:val="single" w:sz="4" w:space="0" w:color="auto"/>
              <w:bottom w:val="single" w:sz="4" w:space="0" w:color="auto"/>
              <w:right w:val="single" w:sz="4" w:space="0" w:color="auto"/>
            </w:tcBorders>
            <w:vAlign w:val="center"/>
          </w:tcPr>
          <w:p w14:paraId="479AD7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A55642F" w14:textId="77777777" w:rsidR="00E57DAA" w:rsidRDefault="00AC4185">
            <w:pPr>
              <w:autoSpaceDE w:val="0"/>
              <w:autoSpaceDN w:val="0"/>
              <w:adjustRightInd w:val="0"/>
              <w:rPr>
                <w:szCs w:val="21"/>
              </w:rPr>
            </w:pPr>
            <w:r>
              <w:t>重庆綦江西南水泥有限公司</w:t>
            </w:r>
          </w:p>
        </w:tc>
        <w:tc>
          <w:tcPr>
            <w:tcW w:w="633" w:type="pct"/>
            <w:tcBorders>
              <w:top w:val="single" w:sz="4" w:space="0" w:color="auto"/>
              <w:left w:val="single" w:sz="4" w:space="0" w:color="auto"/>
              <w:bottom w:val="single" w:sz="4" w:space="0" w:color="auto"/>
              <w:right w:val="single" w:sz="4" w:space="0" w:color="auto"/>
            </w:tcBorders>
          </w:tcPr>
          <w:p w14:paraId="58F125F5" w14:textId="77777777" w:rsidR="00E57DAA" w:rsidRDefault="00AC4185">
            <w:pPr>
              <w:autoSpaceDE w:val="0"/>
              <w:autoSpaceDN w:val="0"/>
              <w:adjustRightInd w:val="0"/>
              <w:jc w:val="right"/>
              <w:rPr>
                <w:szCs w:val="21"/>
              </w:rPr>
            </w:pPr>
            <w:r>
              <w:t>2,946,860.53</w:t>
            </w:r>
          </w:p>
        </w:tc>
        <w:tc>
          <w:tcPr>
            <w:tcW w:w="632" w:type="pct"/>
            <w:tcBorders>
              <w:top w:val="single" w:sz="4" w:space="0" w:color="auto"/>
              <w:left w:val="single" w:sz="4" w:space="0" w:color="auto"/>
              <w:bottom w:val="single" w:sz="4" w:space="0" w:color="auto"/>
              <w:right w:val="single" w:sz="4" w:space="0" w:color="auto"/>
            </w:tcBorders>
          </w:tcPr>
          <w:p w14:paraId="3649FB66" w14:textId="77777777" w:rsidR="00E57DAA" w:rsidRDefault="00AC4185">
            <w:pPr>
              <w:autoSpaceDE w:val="0"/>
              <w:autoSpaceDN w:val="0"/>
              <w:adjustRightInd w:val="0"/>
              <w:jc w:val="right"/>
              <w:rPr>
                <w:szCs w:val="21"/>
              </w:rPr>
            </w:pPr>
            <w:r>
              <w:t>263,477.72</w:t>
            </w:r>
          </w:p>
        </w:tc>
        <w:tc>
          <w:tcPr>
            <w:tcW w:w="703" w:type="pct"/>
            <w:tcBorders>
              <w:top w:val="single" w:sz="4" w:space="0" w:color="auto"/>
              <w:left w:val="single" w:sz="4" w:space="0" w:color="auto"/>
              <w:bottom w:val="single" w:sz="4" w:space="0" w:color="auto"/>
              <w:right w:val="single" w:sz="4" w:space="0" w:color="auto"/>
            </w:tcBorders>
          </w:tcPr>
          <w:p w14:paraId="4F3E5843" w14:textId="77777777" w:rsidR="00E57DAA" w:rsidRDefault="00AC4185">
            <w:pPr>
              <w:autoSpaceDE w:val="0"/>
              <w:autoSpaceDN w:val="0"/>
              <w:adjustRightInd w:val="0"/>
              <w:jc w:val="right"/>
              <w:rPr>
                <w:szCs w:val="21"/>
              </w:rPr>
            </w:pPr>
            <w:r>
              <w:t>5,963,726.91</w:t>
            </w:r>
          </w:p>
        </w:tc>
        <w:tc>
          <w:tcPr>
            <w:tcW w:w="914" w:type="pct"/>
            <w:tcBorders>
              <w:top w:val="single" w:sz="4" w:space="0" w:color="auto"/>
              <w:left w:val="single" w:sz="4" w:space="0" w:color="auto"/>
              <w:bottom w:val="single" w:sz="4" w:space="0" w:color="auto"/>
              <w:right w:val="single" w:sz="4" w:space="0" w:color="auto"/>
            </w:tcBorders>
          </w:tcPr>
          <w:p w14:paraId="25CCE4DF" w14:textId="77777777" w:rsidR="00E57DAA" w:rsidRDefault="00AC4185">
            <w:pPr>
              <w:autoSpaceDE w:val="0"/>
              <w:autoSpaceDN w:val="0"/>
              <w:adjustRightInd w:val="0"/>
              <w:jc w:val="right"/>
              <w:rPr>
                <w:szCs w:val="21"/>
              </w:rPr>
            </w:pPr>
            <w:r>
              <w:t>286,045.88</w:t>
            </w:r>
          </w:p>
        </w:tc>
      </w:tr>
      <w:tr w:rsidR="00E57DAA" w14:paraId="35C10DC6" w14:textId="77777777">
        <w:tc>
          <w:tcPr>
            <w:tcW w:w="677" w:type="pct"/>
            <w:tcBorders>
              <w:top w:val="single" w:sz="4" w:space="0" w:color="auto"/>
              <w:left w:val="single" w:sz="4" w:space="0" w:color="auto"/>
              <w:bottom w:val="single" w:sz="4" w:space="0" w:color="auto"/>
              <w:right w:val="single" w:sz="4" w:space="0" w:color="auto"/>
            </w:tcBorders>
            <w:vAlign w:val="center"/>
          </w:tcPr>
          <w:p w14:paraId="66755E4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FAFD005" w14:textId="77777777" w:rsidR="00E57DAA" w:rsidRDefault="00AC4185">
            <w:pPr>
              <w:autoSpaceDE w:val="0"/>
              <w:autoSpaceDN w:val="0"/>
              <w:adjustRightInd w:val="0"/>
              <w:rPr>
                <w:szCs w:val="21"/>
              </w:rPr>
            </w:pPr>
            <w:r>
              <w:t>四川筠连西南水泥有限公司</w:t>
            </w:r>
          </w:p>
        </w:tc>
        <w:tc>
          <w:tcPr>
            <w:tcW w:w="633" w:type="pct"/>
            <w:tcBorders>
              <w:top w:val="single" w:sz="4" w:space="0" w:color="auto"/>
              <w:left w:val="single" w:sz="4" w:space="0" w:color="auto"/>
              <w:bottom w:val="single" w:sz="4" w:space="0" w:color="auto"/>
              <w:right w:val="single" w:sz="4" w:space="0" w:color="auto"/>
            </w:tcBorders>
          </w:tcPr>
          <w:p w14:paraId="56CC290E" w14:textId="77777777" w:rsidR="00E57DAA" w:rsidRDefault="00AC4185">
            <w:pPr>
              <w:autoSpaceDE w:val="0"/>
              <w:autoSpaceDN w:val="0"/>
              <w:adjustRightInd w:val="0"/>
              <w:jc w:val="right"/>
              <w:rPr>
                <w:szCs w:val="21"/>
              </w:rPr>
            </w:pPr>
            <w:r>
              <w:t>2,909,500.48</w:t>
            </w:r>
          </w:p>
        </w:tc>
        <w:tc>
          <w:tcPr>
            <w:tcW w:w="632" w:type="pct"/>
            <w:tcBorders>
              <w:top w:val="single" w:sz="4" w:space="0" w:color="auto"/>
              <w:left w:val="single" w:sz="4" w:space="0" w:color="auto"/>
              <w:bottom w:val="single" w:sz="4" w:space="0" w:color="auto"/>
              <w:right w:val="single" w:sz="4" w:space="0" w:color="auto"/>
            </w:tcBorders>
          </w:tcPr>
          <w:p w14:paraId="714FE4BC" w14:textId="77777777" w:rsidR="00E57DAA" w:rsidRDefault="00AC4185">
            <w:pPr>
              <w:autoSpaceDE w:val="0"/>
              <w:autoSpaceDN w:val="0"/>
              <w:adjustRightInd w:val="0"/>
              <w:jc w:val="right"/>
              <w:rPr>
                <w:szCs w:val="21"/>
              </w:rPr>
            </w:pPr>
            <w:r>
              <w:t>996,110.14</w:t>
            </w:r>
          </w:p>
        </w:tc>
        <w:tc>
          <w:tcPr>
            <w:tcW w:w="703" w:type="pct"/>
            <w:tcBorders>
              <w:top w:val="single" w:sz="4" w:space="0" w:color="auto"/>
              <w:left w:val="single" w:sz="4" w:space="0" w:color="auto"/>
              <w:bottom w:val="single" w:sz="4" w:space="0" w:color="auto"/>
              <w:right w:val="single" w:sz="4" w:space="0" w:color="auto"/>
            </w:tcBorders>
          </w:tcPr>
          <w:p w14:paraId="2106FAA8" w14:textId="77777777" w:rsidR="00E57DAA" w:rsidRDefault="00AC4185">
            <w:pPr>
              <w:autoSpaceDE w:val="0"/>
              <w:autoSpaceDN w:val="0"/>
              <w:adjustRightInd w:val="0"/>
              <w:jc w:val="right"/>
              <w:rPr>
                <w:szCs w:val="21"/>
              </w:rPr>
            </w:pPr>
            <w:r>
              <w:t>6,187,347.97</w:t>
            </w:r>
          </w:p>
        </w:tc>
        <w:tc>
          <w:tcPr>
            <w:tcW w:w="914" w:type="pct"/>
            <w:tcBorders>
              <w:top w:val="single" w:sz="4" w:space="0" w:color="auto"/>
              <w:left w:val="single" w:sz="4" w:space="0" w:color="auto"/>
              <w:bottom w:val="single" w:sz="4" w:space="0" w:color="auto"/>
              <w:right w:val="single" w:sz="4" w:space="0" w:color="auto"/>
            </w:tcBorders>
          </w:tcPr>
          <w:p w14:paraId="23CACA56" w14:textId="77777777" w:rsidR="00E57DAA" w:rsidRDefault="00AC4185">
            <w:pPr>
              <w:autoSpaceDE w:val="0"/>
              <w:autoSpaceDN w:val="0"/>
              <w:adjustRightInd w:val="0"/>
              <w:jc w:val="right"/>
              <w:rPr>
                <w:szCs w:val="21"/>
              </w:rPr>
            </w:pPr>
            <w:r>
              <w:t>1,186,028.23</w:t>
            </w:r>
          </w:p>
        </w:tc>
      </w:tr>
      <w:tr w:rsidR="00E57DAA" w14:paraId="07BA2BE5" w14:textId="77777777">
        <w:tc>
          <w:tcPr>
            <w:tcW w:w="677" w:type="pct"/>
            <w:tcBorders>
              <w:top w:val="single" w:sz="4" w:space="0" w:color="auto"/>
              <w:left w:val="single" w:sz="4" w:space="0" w:color="auto"/>
              <w:bottom w:val="single" w:sz="4" w:space="0" w:color="auto"/>
              <w:right w:val="single" w:sz="4" w:space="0" w:color="auto"/>
            </w:tcBorders>
            <w:vAlign w:val="center"/>
          </w:tcPr>
          <w:p w14:paraId="4A3A382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689E89F" w14:textId="77777777" w:rsidR="00E57DAA" w:rsidRDefault="00AC4185">
            <w:pPr>
              <w:autoSpaceDE w:val="0"/>
              <w:autoSpaceDN w:val="0"/>
              <w:adjustRightInd w:val="0"/>
              <w:rPr>
                <w:szCs w:val="21"/>
              </w:rPr>
            </w:pPr>
            <w:r>
              <w:t>夏河祁连山安多水泥有限公司</w:t>
            </w:r>
          </w:p>
        </w:tc>
        <w:tc>
          <w:tcPr>
            <w:tcW w:w="633" w:type="pct"/>
            <w:tcBorders>
              <w:top w:val="single" w:sz="4" w:space="0" w:color="auto"/>
              <w:left w:val="single" w:sz="4" w:space="0" w:color="auto"/>
              <w:bottom w:val="single" w:sz="4" w:space="0" w:color="auto"/>
              <w:right w:val="single" w:sz="4" w:space="0" w:color="auto"/>
            </w:tcBorders>
          </w:tcPr>
          <w:p w14:paraId="63ADE02B" w14:textId="77777777" w:rsidR="00E57DAA" w:rsidRDefault="00AC4185">
            <w:pPr>
              <w:autoSpaceDE w:val="0"/>
              <w:autoSpaceDN w:val="0"/>
              <w:adjustRightInd w:val="0"/>
              <w:jc w:val="right"/>
              <w:rPr>
                <w:szCs w:val="21"/>
              </w:rPr>
            </w:pPr>
            <w:r>
              <w:t>2,860,270.00</w:t>
            </w:r>
          </w:p>
        </w:tc>
        <w:tc>
          <w:tcPr>
            <w:tcW w:w="632" w:type="pct"/>
            <w:tcBorders>
              <w:top w:val="single" w:sz="4" w:space="0" w:color="auto"/>
              <w:left w:val="single" w:sz="4" w:space="0" w:color="auto"/>
              <w:bottom w:val="single" w:sz="4" w:space="0" w:color="auto"/>
              <w:right w:val="single" w:sz="4" w:space="0" w:color="auto"/>
            </w:tcBorders>
          </w:tcPr>
          <w:p w14:paraId="207DCB9B" w14:textId="77777777" w:rsidR="00E57DAA" w:rsidRDefault="00AC4185">
            <w:pPr>
              <w:autoSpaceDE w:val="0"/>
              <w:autoSpaceDN w:val="0"/>
              <w:adjustRightInd w:val="0"/>
              <w:jc w:val="right"/>
              <w:rPr>
                <w:szCs w:val="21"/>
              </w:rPr>
            </w:pPr>
            <w:r>
              <w:t>67,788.40</w:t>
            </w:r>
          </w:p>
        </w:tc>
        <w:tc>
          <w:tcPr>
            <w:tcW w:w="703" w:type="pct"/>
            <w:tcBorders>
              <w:top w:val="single" w:sz="4" w:space="0" w:color="auto"/>
              <w:left w:val="single" w:sz="4" w:space="0" w:color="auto"/>
              <w:bottom w:val="single" w:sz="4" w:space="0" w:color="auto"/>
              <w:right w:val="single" w:sz="4" w:space="0" w:color="auto"/>
            </w:tcBorders>
          </w:tcPr>
          <w:p w14:paraId="14F8C810" w14:textId="77777777" w:rsidR="00E57DAA" w:rsidRDefault="00AC4185">
            <w:pPr>
              <w:autoSpaceDE w:val="0"/>
              <w:autoSpaceDN w:val="0"/>
              <w:adjustRightInd w:val="0"/>
              <w:jc w:val="right"/>
              <w:rPr>
                <w:szCs w:val="21"/>
              </w:rPr>
            </w:pPr>
            <w:r>
              <w:t>155,000.00</w:t>
            </w:r>
          </w:p>
        </w:tc>
        <w:tc>
          <w:tcPr>
            <w:tcW w:w="914" w:type="pct"/>
            <w:tcBorders>
              <w:top w:val="single" w:sz="4" w:space="0" w:color="auto"/>
              <w:left w:val="single" w:sz="4" w:space="0" w:color="auto"/>
              <w:bottom w:val="single" w:sz="4" w:space="0" w:color="auto"/>
              <w:right w:val="single" w:sz="4" w:space="0" w:color="auto"/>
            </w:tcBorders>
          </w:tcPr>
          <w:p w14:paraId="271FBD9E" w14:textId="77777777" w:rsidR="00E57DAA" w:rsidRDefault="00AC4185">
            <w:pPr>
              <w:autoSpaceDE w:val="0"/>
              <w:autoSpaceDN w:val="0"/>
              <w:adjustRightInd w:val="0"/>
              <w:jc w:val="right"/>
              <w:rPr>
                <w:szCs w:val="21"/>
              </w:rPr>
            </w:pPr>
            <w:r>
              <w:t>3,673.50</w:t>
            </w:r>
          </w:p>
        </w:tc>
      </w:tr>
      <w:tr w:rsidR="00E57DAA" w14:paraId="530BC7DE" w14:textId="77777777">
        <w:tc>
          <w:tcPr>
            <w:tcW w:w="677" w:type="pct"/>
            <w:tcBorders>
              <w:top w:val="single" w:sz="4" w:space="0" w:color="auto"/>
              <w:left w:val="single" w:sz="4" w:space="0" w:color="auto"/>
              <w:bottom w:val="single" w:sz="4" w:space="0" w:color="auto"/>
              <w:right w:val="single" w:sz="4" w:space="0" w:color="auto"/>
            </w:tcBorders>
            <w:vAlign w:val="center"/>
          </w:tcPr>
          <w:p w14:paraId="0C32AD5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F30781D" w14:textId="77777777" w:rsidR="00E57DAA" w:rsidRDefault="00AC4185">
            <w:pPr>
              <w:autoSpaceDE w:val="0"/>
              <w:autoSpaceDN w:val="0"/>
              <w:adjustRightInd w:val="0"/>
              <w:rPr>
                <w:szCs w:val="21"/>
              </w:rPr>
            </w:pPr>
            <w:r>
              <w:t>四川利森建材集团有限公司</w:t>
            </w:r>
          </w:p>
        </w:tc>
        <w:tc>
          <w:tcPr>
            <w:tcW w:w="633" w:type="pct"/>
            <w:tcBorders>
              <w:top w:val="single" w:sz="4" w:space="0" w:color="auto"/>
              <w:left w:val="single" w:sz="4" w:space="0" w:color="auto"/>
              <w:bottom w:val="single" w:sz="4" w:space="0" w:color="auto"/>
              <w:right w:val="single" w:sz="4" w:space="0" w:color="auto"/>
            </w:tcBorders>
          </w:tcPr>
          <w:p w14:paraId="517CA908" w14:textId="77777777" w:rsidR="00E57DAA" w:rsidRDefault="00AC4185">
            <w:pPr>
              <w:autoSpaceDE w:val="0"/>
              <w:autoSpaceDN w:val="0"/>
              <w:adjustRightInd w:val="0"/>
              <w:jc w:val="right"/>
              <w:rPr>
                <w:szCs w:val="21"/>
              </w:rPr>
            </w:pPr>
            <w:r>
              <w:t>2,763,605.35</w:t>
            </w:r>
          </w:p>
        </w:tc>
        <w:tc>
          <w:tcPr>
            <w:tcW w:w="632" w:type="pct"/>
            <w:tcBorders>
              <w:top w:val="single" w:sz="4" w:space="0" w:color="auto"/>
              <w:left w:val="single" w:sz="4" w:space="0" w:color="auto"/>
              <w:bottom w:val="single" w:sz="4" w:space="0" w:color="auto"/>
              <w:right w:val="single" w:sz="4" w:space="0" w:color="auto"/>
            </w:tcBorders>
          </w:tcPr>
          <w:p w14:paraId="366D7019" w14:textId="77777777" w:rsidR="00E57DAA" w:rsidRDefault="00AC4185">
            <w:pPr>
              <w:autoSpaceDE w:val="0"/>
              <w:autoSpaceDN w:val="0"/>
              <w:adjustRightInd w:val="0"/>
              <w:jc w:val="right"/>
              <w:rPr>
                <w:szCs w:val="21"/>
              </w:rPr>
            </w:pPr>
            <w:r>
              <w:t>272,763.90</w:t>
            </w:r>
          </w:p>
        </w:tc>
        <w:tc>
          <w:tcPr>
            <w:tcW w:w="703" w:type="pct"/>
            <w:tcBorders>
              <w:top w:val="single" w:sz="4" w:space="0" w:color="auto"/>
              <w:left w:val="single" w:sz="4" w:space="0" w:color="auto"/>
              <w:bottom w:val="single" w:sz="4" w:space="0" w:color="auto"/>
              <w:right w:val="single" w:sz="4" w:space="0" w:color="auto"/>
            </w:tcBorders>
          </w:tcPr>
          <w:p w14:paraId="1F7240E8" w14:textId="77777777" w:rsidR="00E57DAA" w:rsidRDefault="00AC4185">
            <w:pPr>
              <w:autoSpaceDE w:val="0"/>
              <w:autoSpaceDN w:val="0"/>
              <w:adjustRightInd w:val="0"/>
              <w:jc w:val="right"/>
              <w:rPr>
                <w:szCs w:val="21"/>
              </w:rPr>
            </w:pPr>
            <w:r>
              <w:t>5,125,382.52</w:t>
            </w:r>
          </w:p>
        </w:tc>
        <w:tc>
          <w:tcPr>
            <w:tcW w:w="914" w:type="pct"/>
            <w:tcBorders>
              <w:top w:val="single" w:sz="4" w:space="0" w:color="auto"/>
              <w:left w:val="single" w:sz="4" w:space="0" w:color="auto"/>
              <w:bottom w:val="single" w:sz="4" w:space="0" w:color="auto"/>
              <w:right w:val="single" w:sz="4" w:space="0" w:color="auto"/>
            </w:tcBorders>
          </w:tcPr>
          <w:p w14:paraId="7D30C53E" w14:textId="77777777" w:rsidR="00E57DAA" w:rsidRDefault="00AC4185">
            <w:pPr>
              <w:autoSpaceDE w:val="0"/>
              <w:autoSpaceDN w:val="0"/>
              <w:adjustRightInd w:val="0"/>
              <w:jc w:val="right"/>
              <w:rPr>
                <w:szCs w:val="21"/>
              </w:rPr>
            </w:pPr>
            <w:r>
              <w:t>306,006.29</w:t>
            </w:r>
          </w:p>
        </w:tc>
      </w:tr>
      <w:tr w:rsidR="00E57DAA" w14:paraId="3CA7195A" w14:textId="77777777">
        <w:tc>
          <w:tcPr>
            <w:tcW w:w="677" w:type="pct"/>
            <w:tcBorders>
              <w:top w:val="single" w:sz="4" w:space="0" w:color="auto"/>
              <w:left w:val="single" w:sz="4" w:space="0" w:color="auto"/>
              <w:bottom w:val="single" w:sz="4" w:space="0" w:color="auto"/>
              <w:right w:val="single" w:sz="4" w:space="0" w:color="auto"/>
            </w:tcBorders>
            <w:vAlign w:val="center"/>
          </w:tcPr>
          <w:p w14:paraId="05FF82A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64486A1" w14:textId="77777777" w:rsidR="00E57DAA" w:rsidRDefault="00AC4185">
            <w:pPr>
              <w:autoSpaceDE w:val="0"/>
              <w:autoSpaceDN w:val="0"/>
              <w:adjustRightInd w:val="0"/>
              <w:rPr>
                <w:szCs w:val="21"/>
              </w:rPr>
            </w:pPr>
            <w:r>
              <w:t>乌兰察布中联水泥有限公司</w:t>
            </w:r>
          </w:p>
        </w:tc>
        <w:tc>
          <w:tcPr>
            <w:tcW w:w="633" w:type="pct"/>
            <w:tcBorders>
              <w:top w:val="single" w:sz="4" w:space="0" w:color="auto"/>
              <w:left w:val="single" w:sz="4" w:space="0" w:color="auto"/>
              <w:bottom w:val="single" w:sz="4" w:space="0" w:color="auto"/>
              <w:right w:val="single" w:sz="4" w:space="0" w:color="auto"/>
            </w:tcBorders>
          </w:tcPr>
          <w:p w14:paraId="7DEDA447" w14:textId="77777777" w:rsidR="00E57DAA" w:rsidRDefault="00AC4185">
            <w:pPr>
              <w:autoSpaceDE w:val="0"/>
              <w:autoSpaceDN w:val="0"/>
              <w:adjustRightInd w:val="0"/>
              <w:jc w:val="right"/>
              <w:rPr>
                <w:szCs w:val="21"/>
              </w:rPr>
            </w:pPr>
            <w:r>
              <w:t>2,759,403.09</w:t>
            </w:r>
          </w:p>
        </w:tc>
        <w:tc>
          <w:tcPr>
            <w:tcW w:w="632" w:type="pct"/>
            <w:tcBorders>
              <w:top w:val="single" w:sz="4" w:space="0" w:color="auto"/>
              <w:left w:val="single" w:sz="4" w:space="0" w:color="auto"/>
              <w:bottom w:val="single" w:sz="4" w:space="0" w:color="auto"/>
              <w:right w:val="single" w:sz="4" w:space="0" w:color="auto"/>
            </w:tcBorders>
          </w:tcPr>
          <w:p w14:paraId="20C4372C" w14:textId="77777777" w:rsidR="00E57DAA" w:rsidRDefault="00AC4185">
            <w:pPr>
              <w:autoSpaceDE w:val="0"/>
              <w:autoSpaceDN w:val="0"/>
              <w:adjustRightInd w:val="0"/>
              <w:jc w:val="right"/>
              <w:rPr>
                <w:szCs w:val="21"/>
              </w:rPr>
            </w:pPr>
            <w:r>
              <w:t>11,037.61</w:t>
            </w:r>
          </w:p>
        </w:tc>
        <w:tc>
          <w:tcPr>
            <w:tcW w:w="703" w:type="pct"/>
            <w:tcBorders>
              <w:top w:val="single" w:sz="4" w:space="0" w:color="auto"/>
              <w:left w:val="single" w:sz="4" w:space="0" w:color="auto"/>
              <w:bottom w:val="single" w:sz="4" w:space="0" w:color="auto"/>
              <w:right w:val="single" w:sz="4" w:space="0" w:color="auto"/>
            </w:tcBorders>
          </w:tcPr>
          <w:p w14:paraId="228564BC" w14:textId="77777777" w:rsidR="00E57DAA" w:rsidRDefault="00AC4185">
            <w:pPr>
              <w:autoSpaceDE w:val="0"/>
              <w:autoSpaceDN w:val="0"/>
              <w:adjustRightInd w:val="0"/>
              <w:jc w:val="right"/>
              <w:rPr>
                <w:szCs w:val="21"/>
              </w:rPr>
            </w:pPr>
            <w:r>
              <w:t>9,413,880.84</w:t>
            </w:r>
          </w:p>
        </w:tc>
        <w:tc>
          <w:tcPr>
            <w:tcW w:w="914" w:type="pct"/>
            <w:tcBorders>
              <w:top w:val="single" w:sz="4" w:space="0" w:color="auto"/>
              <w:left w:val="single" w:sz="4" w:space="0" w:color="auto"/>
              <w:bottom w:val="single" w:sz="4" w:space="0" w:color="auto"/>
              <w:right w:val="single" w:sz="4" w:space="0" w:color="auto"/>
            </w:tcBorders>
          </w:tcPr>
          <w:p w14:paraId="72763A4A" w14:textId="77777777" w:rsidR="00E57DAA" w:rsidRDefault="00AC4185">
            <w:pPr>
              <w:autoSpaceDE w:val="0"/>
              <w:autoSpaceDN w:val="0"/>
              <w:adjustRightInd w:val="0"/>
              <w:jc w:val="right"/>
              <w:rPr>
                <w:szCs w:val="21"/>
              </w:rPr>
            </w:pPr>
            <w:r>
              <w:t>267,710.52</w:t>
            </w:r>
          </w:p>
        </w:tc>
      </w:tr>
      <w:tr w:rsidR="00E57DAA" w14:paraId="65D98CCA" w14:textId="77777777">
        <w:tc>
          <w:tcPr>
            <w:tcW w:w="677" w:type="pct"/>
            <w:tcBorders>
              <w:top w:val="single" w:sz="4" w:space="0" w:color="auto"/>
              <w:left w:val="single" w:sz="4" w:space="0" w:color="auto"/>
              <w:bottom w:val="single" w:sz="4" w:space="0" w:color="auto"/>
              <w:right w:val="single" w:sz="4" w:space="0" w:color="auto"/>
            </w:tcBorders>
            <w:vAlign w:val="center"/>
          </w:tcPr>
          <w:p w14:paraId="71845DE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E130FFA" w14:textId="77777777" w:rsidR="00E57DAA" w:rsidRDefault="00AC4185">
            <w:pPr>
              <w:autoSpaceDE w:val="0"/>
              <w:autoSpaceDN w:val="0"/>
              <w:adjustRightInd w:val="0"/>
              <w:rPr>
                <w:szCs w:val="21"/>
              </w:rPr>
            </w:pPr>
            <w:r>
              <w:t>贵州紫云西南水泥有限公司</w:t>
            </w:r>
          </w:p>
        </w:tc>
        <w:tc>
          <w:tcPr>
            <w:tcW w:w="633" w:type="pct"/>
            <w:tcBorders>
              <w:top w:val="single" w:sz="4" w:space="0" w:color="auto"/>
              <w:left w:val="single" w:sz="4" w:space="0" w:color="auto"/>
              <w:bottom w:val="single" w:sz="4" w:space="0" w:color="auto"/>
              <w:right w:val="single" w:sz="4" w:space="0" w:color="auto"/>
            </w:tcBorders>
          </w:tcPr>
          <w:p w14:paraId="3C58D857" w14:textId="77777777" w:rsidR="00E57DAA" w:rsidRDefault="00AC4185">
            <w:pPr>
              <w:autoSpaceDE w:val="0"/>
              <w:autoSpaceDN w:val="0"/>
              <w:adjustRightInd w:val="0"/>
              <w:jc w:val="right"/>
              <w:rPr>
                <w:szCs w:val="21"/>
              </w:rPr>
            </w:pPr>
            <w:r>
              <w:t>2,703,703.04</w:t>
            </w:r>
          </w:p>
        </w:tc>
        <w:tc>
          <w:tcPr>
            <w:tcW w:w="632" w:type="pct"/>
            <w:tcBorders>
              <w:top w:val="single" w:sz="4" w:space="0" w:color="auto"/>
              <w:left w:val="single" w:sz="4" w:space="0" w:color="auto"/>
              <w:bottom w:val="single" w:sz="4" w:space="0" w:color="auto"/>
              <w:right w:val="single" w:sz="4" w:space="0" w:color="auto"/>
            </w:tcBorders>
          </w:tcPr>
          <w:p w14:paraId="37705873" w14:textId="77777777" w:rsidR="00E57DAA" w:rsidRDefault="00AC4185">
            <w:pPr>
              <w:autoSpaceDE w:val="0"/>
              <w:autoSpaceDN w:val="0"/>
              <w:adjustRightInd w:val="0"/>
              <w:jc w:val="right"/>
              <w:rPr>
                <w:szCs w:val="21"/>
              </w:rPr>
            </w:pPr>
            <w:r>
              <w:t>10,814.81</w:t>
            </w:r>
          </w:p>
        </w:tc>
        <w:tc>
          <w:tcPr>
            <w:tcW w:w="703" w:type="pct"/>
            <w:tcBorders>
              <w:top w:val="single" w:sz="4" w:space="0" w:color="auto"/>
              <w:left w:val="single" w:sz="4" w:space="0" w:color="auto"/>
              <w:bottom w:val="single" w:sz="4" w:space="0" w:color="auto"/>
              <w:right w:val="single" w:sz="4" w:space="0" w:color="auto"/>
            </w:tcBorders>
          </w:tcPr>
          <w:p w14:paraId="6BFDFB42" w14:textId="77777777" w:rsidR="00E57DAA" w:rsidRDefault="00AC4185">
            <w:pPr>
              <w:autoSpaceDE w:val="0"/>
              <w:autoSpaceDN w:val="0"/>
              <w:adjustRightInd w:val="0"/>
              <w:jc w:val="right"/>
              <w:rPr>
                <w:szCs w:val="21"/>
              </w:rPr>
            </w:pPr>
            <w:r>
              <w:t>16,000.00</w:t>
            </w:r>
          </w:p>
        </w:tc>
        <w:tc>
          <w:tcPr>
            <w:tcW w:w="914" w:type="pct"/>
            <w:tcBorders>
              <w:top w:val="single" w:sz="4" w:space="0" w:color="auto"/>
              <w:left w:val="single" w:sz="4" w:space="0" w:color="auto"/>
              <w:bottom w:val="single" w:sz="4" w:space="0" w:color="auto"/>
              <w:right w:val="single" w:sz="4" w:space="0" w:color="auto"/>
            </w:tcBorders>
          </w:tcPr>
          <w:p w14:paraId="099CF7C2" w14:textId="77777777" w:rsidR="00E57DAA" w:rsidRDefault="00AC4185">
            <w:pPr>
              <w:autoSpaceDE w:val="0"/>
              <w:autoSpaceDN w:val="0"/>
              <w:adjustRightInd w:val="0"/>
              <w:jc w:val="right"/>
              <w:rPr>
                <w:szCs w:val="21"/>
              </w:rPr>
            </w:pPr>
            <w:r>
              <w:t>808</w:t>
            </w:r>
          </w:p>
        </w:tc>
      </w:tr>
      <w:tr w:rsidR="00E57DAA" w14:paraId="3F4ADFFA" w14:textId="77777777">
        <w:tc>
          <w:tcPr>
            <w:tcW w:w="677" w:type="pct"/>
            <w:tcBorders>
              <w:top w:val="single" w:sz="4" w:space="0" w:color="auto"/>
              <w:left w:val="single" w:sz="4" w:space="0" w:color="auto"/>
              <w:bottom w:val="single" w:sz="4" w:space="0" w:color="auto"/>
              <w:right w:val="single" w:sz="4" w:space="0" w:color="auto"/>
            </w:tcBorders>
            <w:vAlign w:val="center"/>
          </w:tcPr>
          <w:p w14:paraId="65FB0DE1"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6B504B2D" w14:textId="77777777" w:rsidR="00E57DAA" w:rsidRDefault="00AC4185">
            <w:pPr>
              <w:autoSpaceDE w:val="0"/>
              <w:autoSpaceDN w:val="0"/>
              <w:adjustRightInd w:val="0"/>
              <w:rPr>
                <w:szCs w:val="21"/>
              </w:rPr>
            </w:pPr>
            <w:r>
              <w:t>福建三明南方水泥有限公司</w:t>
            </w:r>
          </w:p>
        </w:tc>
        <w:tc>
          <w:tcPr>
            <w:tcW w:w="633" w:type="pct"/>
            <w:tcBorders>
              <w:top w:val="single" w:sz="4" w:space="0" w:color="auto"/>
              <w:left w:val="single" w:sz="4" w:space="0" w:color="auto"/>
              <w:bottom w:val="single" w:sz="4" w:space="0" w:color="auto"/>
              <w:right w:val="single" w:sz="4" w:space="0" w:color="auto"/>
            </w:tcBorders>
          </w:tcPr>
          <w:p w14:paraId="0260E068" w14:textId="77777777" w:rsidR="00E57DAA" w:rsidRDefault="00AC4185">
            <w:pPr>
              <w:autoSpaceDE w:val="0"/>
              <w:autoSpaceDN w:val="0"/>
              <w:adjustRightInd w:val="0"/>
              <w:jc w:val="right"/>
              <w:rPr>
                <w:szCs w:val="21"/>
              </w:rPr>
            </w:pPr>
            <w:r>
              <w:t>2,667,427.81</w:t>
            </w:r>
          </w:p>
        </w:tc>
        <w:tc>
          <w:tcPr>
            <w:tcW w:w="632" w:type="pct"/>
            <w:tcBorders>
              <w:top w:val="single" w:sz="4" w:space="0" w:color="auto"/>
              <w:left w:val="single" w:sz="4" w:space="0" w:color="auto"/>
              <w:bottom w:val="single" w:sz="4" w:space="0" w:color="auto"/>
              <w:right w:val="single" w:sz="4" w:space="0" w:color="auto"/>
            </w:tcBorders>
          </w:tcPr>
          <w:p w14:paraId="598DAE5A" w14:textId="77777777" w:rsidR="00E57DAA" w:rsidRDefault="00AC4185">
            <w:pPr>
              <w:autoSpaceDE w:val="0"/>
              <w:autoSpaceDN w:val="0"/>
              <w:adjustRightInd w:val="0"/>
              <w:jc w:val="right"/>
              <w:rPr>
                <w:szCs w:val="21"/>
              </w:rPr>
            </w:pPr>
            <w:r>
              <w:t>17,694.18</w:t>
            </w:r>
          </w:p>
        </w:tc>
        <w:tc>
          <w:tcPr>
            <w:tcW w:w="703" w:type="pct"/>
            <w:tcBorders>
              <w:top w:val="single" w:sz="4" w:space="0" w:color="auto"/>
              <w:left w:val="single" w:sz="4" w:space="0" w:color="auto"/>
              <w:bottom w:val="single" w:sz="4" w:space="0" w:color="auto"/>
              <w:right w:val="single" w:sz="4" w:space="0" w:color="auto"/>
            </w:tcBorders>
          </w:tcPr>
          <w:p w14:paraId="2B6691DC" w14:textId="77777777" w:rsidR="00E57DAA" w:rsidRDefault="00AC4185">
            <w:pPr>
              <w:autoSpaceDE w:val="0"/>
              <w:autoSpaceDN w:val="0"/>
              <w:adjustRightInd w:val="0"/>
              <w:jc w:val="right"/>
              <w:rPr>
                <w:szCs w:val="21"/>
              </w:rPr>
            </w:pPr>
            <w:r>
              <w:t>83,732.00</w:t>
            </w:r>
          </w:p>
        </w:tc>
        <w:tc>
          <w:tcPr>
            <w:tcW w:w="914" w:type="pct"/>
            <w:tcBorders>
              <w:top w:val="single" w:sz="4" w:space="0" w:color="auto"/>
              <w:left w:val="single" w:sz="4" w:space="0" w:color="auto"/>
              <w:bottom w:val="single" w:sz="4" w:space="0" w:color="auto"/>
              <w:right w:val="single" w:sz="4" w:space="0" w:color="auto"/>
            </w:tcBorders>
          </w:tcPr>
          <w:p w14:paraId="18F66344" w14:textId="77777777" w:rsidR="00E57DAA" w:rsidRDefault="00AC4185">
            <w:pPr>
              <w:autoSpaceDE w:val="0"/>
              <w:autoSpaceDN w:val="0"/>
              <w:adjustRightInd w:val="0"/>
              <w:jc w:val="right"/>
              <w:rPr>
                <w:szCs w:val="21"/>
              </w:rPr>
            </w:pPr>
            <w:r>
              <w:t>3,032.20</w:t>
            </w:r>
          </w:p>
        </w:tc>
      </w:tr>
      <w:tr w:rsidR="00E57DAA" w14:paraId="5DA29542" w14:textId="77777777">
        <w:tc>
          <w:tcPr>
            <w:tcW w:w="677" w:type="pct"/>
            <w:tcBorders>
              <w:top w:val="single" w:sz="4" w:space="0" w:color="auto"/>
              <w:left w:val="single" w:sz="4" w:space="0" w:color="auto"/>
              <w:bottom w:val="single" w:sz="4" w:space="0" w:color="auto"/>
              <w:right w:val="single" w:sz="4" w:space="0" w:color="auto"/>
            </w:tcBorders>
            <w:vAlign w:val="center"/>
          </w:tcPr>
          <w:p w14:paraId="367F3D1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A5812FE" w14:textId="77777777" w:rsidR="00E57DAA" w:rsidRDefault="00AC4185">
            <w:pPr>
              <w:autoSpaceDE w:val="0"/>
              <w:autoSpaceDN w:val="0"/>
              <w:adjustRightInd w:val="0"/>
              <w:rPr>
                <w:szCs w:val="21"/>
              </w:rPr>
            </w:pPr>
            <w:r>
              <w:t>四川省兆迪水泥有限责任公司</w:t>
            </w:r>
          </w:p>
        </w:tc>
        <w:tc>
          <w:tcPr>
            <w:tcW w:w="633" w:type="pct"/>
            <w:tcBorders>
              <w:top w:val="single" w:sz="4" w:space="0" w:color="auto"/>
              <w:left w:val="single" w:sz="4" w:space="0" w:color="auto"/>
              <w:bottom w:val="single" w:sz="4" w:space="0" w:color="auto"/>
              <w:right w:val="single" w:sz="4" w:space="0" w:color="auto"/>
            </w:tcBorders>
          </w:tcPr>
          <w:p w14:paraId="2FDD807A" w14:textId="77777777" w:rsidR="00E57DAA" w:rsidRDefault="00AC4185">
            <w:pPr>
              <w:autoSpaceDE w:val="0"/>
              <w:autoSpaceDN w:val="0"/>
              <w:adjustRightInd w:val="0"/>
              <w:jc w:val="right"/>
              <w:rPr>
                <w:szCs w:val="21"/>
              </w:rPr>
            </w:pPr>
            <w:r>
              <w:t>2,612,768.81</w:t>
            </w:r>
          </w:p>
        </w:tc>
        <w:tc>
          <w:tcPr>
            <w:tcW w:w="632" w:type="pct"/>
            <w:tcBorders>
              <w:top w:val="single" w:sz="4" w:space="0" w:color="auto"/>
              <w:left w:val="single" w:sz="4" w:space="0" w:color="auto"/>
              <w:bottom w:val="single" w:sz="4" w:space="0" w:color="auto"/>
              <w:right w:val="single" w:sz="4" w:space="0" w:color="auto"/>
            </w:tcBorders>
          </w:tcPr>
          <w:p w14:paraId="5F9698DE" w14:textId="77777777" w:rsidR="00E57DAA" w:rsidRDefault="00AC4185">
            <w:pPr>
              <w:autoSpaceDE w:val="0"/>
              <w:autoSpaceDN w:val="0"/>
              <w:adjustRightInd w:val="0"/>
              <w:jc w:val="right"/>
              <w:rPr>
                <w:szCs w:val="21"/>
              </w:rPr>
            </w:pPr>
            <w:r>
              <w:t>23,080.59</w:t>
            </w:r>
          </w:p>
        </w:tc>
        <w:tc>
          <w:tcPr>
            <w:tcW w:w="703" w:type="pct"/>
            <w:tcBorders>
              <w:top w:val="single" w:sz="4" w:space="0" w:color="auto"/>
              <w:left w:val="single" w:sz="4" w:space="0" w:color="auto"/>
              <w:bottom w:val="single" w:sz="4" w:space="0" w:color="auto"/>
              <w:right w:val="single" w:sz="4" w:space="0" w:color="auto"/>
            </w:tcBorders>
          </w:tcPr>
          <w:p w14:paraId="2F73609B" w14:textId="77777777" w:rsidR="00E57DAA" w:rsidRDefault="00AC4185">
            <w:pPr>
              <w:autoSpaceDE w:val="0"/>
              <w:autoSpaceDN w:val="0"/>
              <w:adjustRightInd w:val="0"/>
              <w:jc w:val="right"/>
              <w:rPr>
                <w:szCs w:val="21"/>
              </w:rPr>
            </w:pPr>
            <w:r>
              <w:t>3,346,652.52</w:t>
            </w:r>
          </w:p>
        </w:tc>
        <w:tc>
          <w:tcPr>
            <w:tcW w:w="914" w:type="pct"/>
            <w:tcBorders>
              <w:top w:val="single" w:sz="4" w:space="0" w:color="auto"/>
              <w:left w:val="single" w:sz="4" w:space="0" w:color="auto"/>
              <w:bottom w:val="single" w:sz="4" w:space="0" w:color="auto"/>
              <w:right w:val="single" w:sz="4" w:space="0" w:color="auto"/>
            </w:tcBorders>
          </w:tcPr>
          <w:p w14:paraId="784DD99F" w14:textId="77777777" w:rsidR="00E57DAA" w:rsidRDefault="00AC4185">
            <w:pPr>
              <w:autoSpaceDE w:val="0"/>
              <w:autoSpaceDN w:val="0"/>
              <w:adjustRightInd w:val="0"/>
              <w:jc w:val="right"/>
              <w:rPr>
                <w:szCs w:val="21"/>
              </w:rPr>
            </w:pPr>
            <w:r>
              <w:t>18,272.54</w:t>
            </w:r>
          </w:p>
        </w:tc>
      </w:tr>
      <w:tr w:rsidR="00E57DAA" w14:paraId="27D47BC4" w14:textId="77777777">
        <w:tc>
          <w:tcPr>
            <w:tcW w:w="677" w:type="pct"/>
            <w:tcBorders>
              <w:top w:val="single" w:sz="4" w:space="0" w:color="auto"/>
              <w:left w:val="single" w:sz="4" w:space="0" w:color="auto"/>
              <w:bottom w:val="single" w:sz="4" w:space="0" w:color="auto"/>
              <w:right w:val="single" w:sz="4" w:space="0" w:color="auto"/>
            </w:tcBorders>
            <w:vAlign w:val="center"/>
          </w:tcPr>
          <w:p w14:paraId="4144DF6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A3BC891" w14:textId="77777777" w:rsidR="00E57DAA" w:rsidRDefault="00AC4185">
            <w:pPr>
              <w:autoSpaceDE w:val="0"/>
              <w:autoSpaceDN w:val="0"/>
              <w:adjustRightInd w:val="0"/>
              <w:rPr>
                <w:szCs w:val="21"/>
              </w:rPr>
            </w:pPr>
            <w:r>
              <w:t>铁岭北方水泥有限公司</w:t>
            </w:r>
          </w:p>
        </w:tc>
        <w:tc>
          <w:tcPr>
            <w:tcW w:w="633" w:type="pct"/>
            <w:tcBorders>
              <w:top w:val="single" w:sz="4" w:space="0" w:color="auto"/>
              <w:left w:val="single" w:sz="4" w:space="0" w:color="auto"/>
              <w:bottom w:val="single" w:sz="4" w:space="0" w:color="auto"/>
              <w:right w:val="single" w:sz="4" w:space="0" w:color="auto"/>
            </w:tcBorders>
          </w:tcPr>
          <w:p w14:paraId="328A1B19" w14:textId="77777777" w:rsidR="00E57DAA" w:rsidRDefault="00AC4185">
            <w:pPr>
              <w:autoSpaceDE w:val="0"/>
              <w:autoSpaceDN w:val="0"/>
              <w:adjustRightInd w:val="0"/>
              <w:jc w:val="right"/>
              <w:rPr>
                <w:szCs w:val="21"/>
              </w:rPr>
            </w:pPr>
            <w:r>
              <w:t>2,473,965.00</w:t>
            </w:r>
          </w:p>
        </w:tc>
        <w:tc>
          <w:tcPr>
            <w:tcW w:w="632" w:type="pct"/>
            <w:tcBorders>
              <w:top w:val="single" w:sz="4" w:space="0" w:color="auto"/>
              <w:left w:val="single" w:sz="4" w:space="0" w:color="auto"/>
              <w:bottom w:val="single" w:sz="4" w:space="0" w:color="auto"/>
              <w:right w:val="single" w:sz="4" w:space="0" w:color="auto"/>
            </w:tcBorders>
          </w:tcPr>
          <w:p w14:paraId="773E5F4D" w14:textId="77777777" w:rsidR="00E57DAA" w:rsidRDefault="00AC4185">
            <w:pPr>
              <w:autoSpaceDE w:val="0"/>
              <w:autoSpaceDN w:val="0"/>
              <w:adjustRightInd w:val="0"/>
              <w:jc w:val="right"/>
              <w:rPr>
                <w:szCs w:val="21"/>
              </w:rPr>
            </w:pPr>
            <w:r>
              <w:t>2,469,864.54</w:t>
            </w:r>
          </w:p>
        </w:tc>
        <w:tc>
          <w:tcPr>
            <w:tcW w:w="703" w:type="pct"/>
            <w:tcBorders>
              <w:top w:val="single" w:sz="4" w:space="0" w:color="auto"/>
              <w:left w:val="single" w:sz="4" w:space="0" w:color="auto"/>
              <w:bottom w:val="single" w:sz="4" w:space="0" w:color="auto"/>
              <w:right w:val="single" w:sz="4" w:space="0" w:color="auto"/>
            </w:tcBorders>
          </w:tcPr>
          <w:p w14:paraId="2EDB0948" w14:textId="77777777" w:rsidR="00E57DAA" w:rsidRDefault="00AC4185">
            <w:pPr>
              <w:autoSpaceDE w:val="0"/>
              <w:autoSpaceDN w:val="0"/>
              <w:adjustRightInd w:val="0"/>
              <w:jc w:val="right"/>
              <w:rPr>
                <w:szCs w:val="21"/>
              </w:rPr>
            </w:pPr>
            <w:r>
              <w:t>2,469,765.00</w:t>
            </w:r>
          </w:p>
        </w:tc>
        <w:tc>
          <w:tcPr>
            <w:tcW w:w="914" w:type="pct"/>
            <w:tcBorders>
              <w:top w:val="single" w:sz="4" w:space="0" w:color="auto"/>
              <w:left w:val="single" w:sz="4" w:space="0" w:color="auto"/>
              <w:bottom w:val="single" w:sz="4" w:space="0" w:color="auto"/>
              <w:right w:val="single" w:sz="4" w:space="0" w:color="auto"/>
            </w:tcBorders>
          </w:tcPr>
          <w:p w14:paraId="23FFCFD2" w14:textId="77777777" w:rsidR="00E57DAA" w:rsidRDefault="00AC4185">
            <w:pPr>
              <w:autoSpaceDE w:val="0"/>
              <w:autoSpaceDN w:val="0"/>
              <w:adjustRightInd w:val="0"/>
              <w:jc w:val="right"/>
              <w:rPr>
                <w:szCs w:val="21"/>
              </w:rPr>
            </w:pPr>
            <w:r>
              <w:t>2,469,765.00</w:t>
            </w:r>
          </w:p>
        </w:tc>
      </w:tr>
      <w:tr w:rsidR="00E57DAA" w14:paraId="664CD8B9" w14:textId="77777777">
        <w:tc>
          <w:tcPr>
            <w:tcW w:w="677" w:type="pct"/>
            <w:tcBorders>
              <w:top w:val="single" w:sz="4" w:space="0" w:color="auto"/>
              <w:left w:val="single" w:sz="4" w:space="0" w:color="auto"/>
              <w:bottom w:val="single" w:sz="4" w:space="0" w:color="auto"/>
              <w:right w:val="single" w:sz="4" w:space="0" w:color="auto"/>
            </w:tcBorders>
            <w:vAlign w:val="center"/>
          </w:tcPr>
          <w:p w14:paraId="1D9CC4D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237BC74" w14:textId="77777777" w:rsidR="00E57DAA" w:rsidRDefault="00AC4185">
            <w:pPr>
              <w:autoSpaceDE w:val="0"/>
              <w:autoSpaceDN w:val="0"/>
              <w:adjustRightInd w:val="0"/>
              <w:rPr>
                <w:szCs w:val="21"/>
              </w:rPr>
            </w:pPr>
            <w:r>
              <w:t>贵州沿河西南水泥有限公司</w:t>
            </w:r>
          </w:p>
        </w:tc>
        <w:tc>
          <w:tcPr>
            <w:tcW w:w="633" w:type="pct"/>
            <w:tcBorders>
              <w:top w:val="single" w:sz="4" w:space="0" w:color="auto"/>
              <w:left w:val="single" w:sz="4" w:space="0" w:color="auto"/>
              <w:bottom w:val="single" w:sz="4" w:space="0" w:color="auto"/>
              <w:right w:val="single" w:sz="4" w:space="0" w:color="auto"/>
            </w:tcBorders>
          </w:tcPr>
          <w:p w14:paraId="4F4573E6" w14:textId="77777777" w:rsidR="00E57DAA" w:rsidRDefault="00AC4185">
            <w:pPr>
              <w:autoSpaceDE w:val="0"/>
              <w:autoSpaceDN w:val="0"/>
              <w:adjustRightInd w:val="0"/>
              <w:jc w:val="right"/>
              <w:rPr>
                <w:szCs w:val="21"/>
              </w:rPr>
            </w:pPr>
            <w:r>
              <w:t>2,303,861.72</w:t>
            </w:r>
          </w:p>
        </w:tc>
        <w:tc>
          <w:tcPr>
            <w:tcW w:w="632" w:type="pct"/>
            <w:tcBorders>
              <w:top w:val="single" w:sz="4" w:space="0" w:color="auto"/>
              <w:left w:val="single" w:sz="4" w:space="0" w:color="auto"/>
              <w:bottom w:val="single" w:sz="4" w:space="0" w:color="auto"/>
              <w:right w:val="single" w:sz="4" w:space="0" w:color="auto"/>
            </w:tcBorders>
          </w:tcPr>
          <w:p w14:paraId="367C1C84" w14:textId="77777777" w:rsidR="00E57DAA" w:rsidRDefault="00AC4185">
            <w:pPr>
              <w:autoSpaceDE w:val="0"/>
              <w:autoSpaceDN w:val="0"/>
              <w:adjustRightInd w:val="0"/>
              <w:jc w:val="right"/>
              <w:rPr>
                <w:szCs w:val="21"/>
              </w:rPr>
            </w:pPr>
            <w:r>
              <w:t>57,736.73</w:t>
            </w:r>
          </w:p>
        </w:tc>
        <w:tc>
          <w:tcPr>
            <w:tcW w:w="703" w:type="pct"/>
            <w:tcBorders>
              <w:top w:val="single" w:sz="4" w:space="0" w:color="auto"/>
              <w:left w:val="single" w:sz="4" w:space="0" w:color="auto"/>
              <w:bottom w:val="single" w:sz="4" w:space="0" w:color="auto"/>
              <w:right w:val="single" w:sz="4" w:space="0" w:color="auto"/>
            </w:tcBorders>
          </w:tcPr>
          <w:p w14:paraId="525EC540" w14:textId="77777777" w:rsidR="00E57DAA" w:rsidRDefault="00AC4185">
            <w:pPr>
              <w:autoSpaceDE w:val="0"/>
              <w:autoSpaceDN w:val="0"/>
              <w:adjustRightInd w:val="0"/>
              <w:jc w:val="right"/>
              <w:rPr>
                <w:szCs w:val="21"/>
              </w:rPr>
            </w:pPr>
            <w:r>
              <w:t>87,407.10</w:t>
            </w:r>
          </w:p>
        </w:tc>
        <w:tc>
          <w:tcPr>
            <w:tcW w:w="914" w:type="pct"/>
            <w:tcBorders>
              <w:top w:val="single" w:sz="4" w:space="0" w:color="auto"/>
              <w:left w:val="single" w:sz="4" w:space="0" w:color="auto"/>
              <w:bottom w:val="single" w:sz="4" w:space="0" w:color="auto"/>
              <w:right w:val="single" w:sz="4" w:space="0" w:color="auto"/>
            </w:tcBorders>
          </w:tcPr>
          <w:p w14:paraId="18C2052A" w14:textId="77777777" w:rsidR="00E57DAA" w:rsidRDefault="00AC4185">
            <w:pPr>
              <w:autoSpaceDE w:val="0"/>
              <w:autoSpaceDN w:val="0"/>
              <w:adjustRightInd w:val="0"/>
              <w:jc w:val="right"/>
              <w:rPr>
                <w:szCs w:val="21"/>
              </w:rPr>
            </w:pPr>
            <w:r>
              <w:t>2,713.52</w:t>
            </w:r>
          </w:p>
        </w:tc>
      </w:tr>
      <w:tr w:rsidR="00E57DAA" w14:paraId="09F7B47F" w14:textId="77777777">
        <w:tc>
          <w:tcPr>
            <w:tcW w:w="677" w:type="pct"/>
            <w:tcBorders>
              <w:top w:val="single" w:sz="4" w:space="0" w:color="auto"/>
              <w:left w:val="single" w:sz="4" w:space="0" w:color="auto"/>
              <w:bottom w:val="single" w:sz="4" w:space="0" w:color="auto"/>
              <w:right w:val="single" w:sz="4" w:space="0" w:color="auto"/>
            </w:tcBorders>
            <w:vAlign w:val="center"/>
          </w:tcPr>
          <w:p w14:paraId="2D23217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7C7165D" w14:textId="77777777" w:rsidR="00E57DAA" w:rsidRDefault="00AC4185">
            <w:pPr>
              <w:autoSpaceDE w:val="0"/>
              <w:autoSpaceDN w:val="0"/>
              <w:adjustRightInd w:val="0"/>
              <w:rPr>
                <w:szCs w:val="21"/>
              </w:rPr>
            </w:pPr>
            <w:r>
              <w:t>辽源北方水泥有限公司</w:t>
            </w:r>
          </w:p>
        </w:tc>
        <w:tc>
          <w:tcPr>
            <w:tcW w:w="633" w:type="pct"/>
            <w:tcBorders>
              <w:top w:val="single" w:sz="4" w:space="0" w:color="auto"/>
              <w:left w:val="single" w:sz="4" w:space="0" w:color="auto"/>
              <w:bottom w:val="single" w:sz="4" w:space="0" w:color="auto"/>
              <w:right w:val="single" w:sz="4" w:space="0" w:color="auto"/>
            </w:tcBorders>
          </w:tcPr>
          <w:p w14:paraId="6BB1C29A" w14:textId="77777777" w:rsidR="00E57DAA" w:rsidRDefault="00AC4185">
            <w:pPr>
              <w:autoSpaceDE w:val="0"/>
              <w:autoSpaceDN w:val="0"/>
              <w:adjustRightInd w:val="0"/>
              <w:jc w:val="right"/>
              <w:rPr>
                <w:szCs w:val="21"/>
              </w:rPr>
            </w:pPr>
            <w:r>
              <w:t>2,299,199.25</w:t>
            </w:r>
          </w:p>
        </w:tc>
        <w:tc>
          <w:tcPr>
            <w:tcW w:w="632" w:type="pct"/>
            <w:tcBorders>
              <w:top w:val="single" w:sz="4" w:space="0" w:color="auto"/>
              <w:left w:val="single" w:sz="4" w:space="0" w:color="auto"/>
              <w:bottom w:val="single" w:sz="4" w:space="0" w:color="auto"/>
              <w:right w:val="single" w:sz="4" w:space="0" w:color="auto"/>
            </w:tcBorders>
          </w:tcPr>
          <w:p w14:paraId="1D837F77" w14:textId="77777777" w:rsidR="00E57DAA" w:rsidRDefault="00AC4185">
            <w:pPr>
              <w:autoSpaceDE w:val="0"/>
              <w:autoSpaceDN w:val="0"/>
              <w:adjustRightInd w:val="0"/>
              <w:jc w:val="right"/>
              <w:rPr>
                <w:szCs w:val="21"/>
              </w:rPr>
            </w:pPr>
            <w:r>
              <w:t>10,064.95</w:t>
            </w:r>
          </w:p>
        </w:tc>
        <w:tc>
          <w:tcPr>
            <w:tcW w:w="703" w:type="pct"/>
            <w:tcBorders>
              <w:top w:val="single" w:sz="4" w:space="0" w:color="auto"/>
              <w:left w:val="single" w:sz="4" w:space="0" w:color="auto"/>
              <w:bottom w:val="single" w:sz="4" w:space="0" w:color="auto"/>
              <w:right w:val="single" w:sz="4" w:space="0" w:color="auto"/>
            </w:tcBorders>
          </w:tcPr>
          <w:p w14:paraId="58BDB2E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0850404" w14:textId="77777777" w:rsidR="00E57DAA" w:rsidRDefault="00AC4185">
            <w:pPr>
              <w:autoSpaceDE w:val="0"/>
              <w:autoSpaceDN w:val="0"/>
              <w:adjustRightInd w:val="0"/>
              <w:jc w:val="right"/>
              <w:rPr>
                <w:szCs w:val="21"/>
              </w:rPr>
            </w:pPr>
            <w:r>
              <w:t xml:space="preserve">　</w:t>
            </w:r>
          </w:p>
        </w:tc>
      </w:tr>
      <w:tr w:rsidR="00E57DAA" w14:paraId="7BE4B2E2" w14:textId="77777777">
        <w:tc>
          <w:tcPr>
            <w:tcW w:w="677" w:type="pct"/>
            <w:tcBorders>
              <w:top w:val="single" w:sz="4" w:space="0" w:color="auto"/>
              <w:left w:val="single" w:sz="4" w:space="0" w:color="auto"/>
              <w:bottom w:val="single" w:sz="4" w:space="0" w:color="auto"/>
              <w:right w:val="single" w:sz="4" w:space="0" w:color="auto"/>
            </w:tcBorders>
            <w:vAlign w:val="center"/>
          </w:tcPr>
          <w:p w14:paraId="7ED411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8B41F65" w14:textId="77777777" w:rsidR="00E57DAA" w:rsidRDefault="00AC4185">
            <w:pPr>
              <w:autoSpaceDE w:val="0"/>
              <w:autoSpaceDN w:val="0"/>
              <w:adjustRightInd w:val="0"/>
              <w:rPr>
                <w:szCs w:val="21"/>
              </w:rPr>
            </w:pPr>
            <w:r>
              <w:t>四川华蓥西南水泥有限公司</w:t>
            </w:r>
          </w:p>
        </w:tc>
        <w:tc>
          <w:tcPr>
            <w:tcW w:w="633" w:type="pct"/>
            <w:tcBorders>
              <w:top w:val="single" w:sz="4" w:space="0" w:color="auto"/>
              <w:left w:val="single" w:sz="4" w:space="0" w:color="auto"/>
              <w:bottom w:val="single" w:sz="4" w:space="0" w:color="auto"/>
              <w:right w:val="single" w:sz="4" w:space="0" w:color="auto"/>
            </w:tcBorders>
          </w:tcPr>
          <w:p w14:paraId="21252ADA" w14:textId="77777777" w:rsidR="00E57DAA" w:rsidRDefault="00AC4185">
            <w:pPr>
              <w:autoSpaceDE w:val="0"/>
              <w:autoSpaceDN w:val="0"/>
              <w:adjustRightInd w:val="0"/>
              <w:jc w:val="right"/>
              <w:rPr>
                <w:szCs w:val="21"/>
              </w:rPr>
            </w:pPr>
            <w:r>
              <w:t>2,175,523.67</w:t>
            </w:r>
          </w:p>
        </w:tc>
        <w:tc>
          <w:tcPr>
            <w:tcW w:w="632" w:type="pct"/>
            <w:tcBorders>
              <w:top w:val="single" w:sz="4" w:space="0" w:color="auto"/>
              <w:left w:val="single" w:sz="4" w:space="0" w:color="auto"/>
              <w:bottom w:val="single" w:sz="4" w:space="0" w:color="auto"/>
              <w:right w:val="single" w:sz="4" w:space="0" w:color="auto"/>
            </w:tcBorders>
          </w:tcPr>
          <w:p w14:paraId="29E9B9C6" w14:textId="77777777" w:rsidR="00E57DAA" w:rsidRDefault="00AC4185">
            <w:pPr>
              <w:autoSpaceDE w:val="0"/>
              <w:autoSpaceDN w:val="0"/>
              <w:adjustRightInd w:val="0"/>
              <w:jc w:val="right"/>
              <w:rPr>
                <w:szCs w:val="21"/>
              </w:rPr>
            </w:pPr>
            <w:r>
              <w:t>449,250.72</w:t>
            </w:r>
          </w:p>
        </w:tc>
        <w:tc>
          <w:tcPr>
            <w:tcW w:w="703" w:type="pct"/>
            <w:tcBorders>
              <w:top w:val="single" w:sz="4" w:space="0" w:color="auto"/>
              <w:left w:val="single" w:sz="4" w:space="0" w:color="auto"/>
              <w:bottom w:val="single" w:sz="4" w:space="0" w:color="auto"/>
              <w:right w:val="single" w:sz="4" w:space="0" w:color="auto"/>
            </w:tcBorders>
          </w:tcPr>
          <w:p w14:paraId="0688ACD6" w14:textId="77777777" w:rsidR="00E57DAA" w:rsidRDefault="00AC4185">
            <w:pPr>
              <w:autoSpaceDE w:val="0"/>
              <w:autoSpaceDN w:val="0"/>
              <w:adjustRightInd w:val="0"/>
              <w:jc w:val="right"/>
              <w:rPr>
                <w:szCs w:val="21"/>
              </w:rPr>
            </w:pPr>
            <w:r>
              <w:t>4,110,149.59</w:t>
            </w:r>
          </w:p>
        </w:tc>
        <w:tc>
          <w:tcPr>
            <w:tcW w:w="914" w:type="pct"/>
            <w:tcBorders>
              <w:top w:val="single" w:sz="4" w:space="0" w:color="auto"/>
              <w:left w:val="single" w:sz="4" w:space="0" w:color="auto"/>
              <w:bottom w:val="single" w:sz="4" w:space="0" w:color="auto"/>
              <w:right w:val="single" w:sz="4" w:space="0" w:color="auto"/>
            </w:tcBorders>
          </w:tcPr>
          <w:p w14:paraId="445B414B" w14:textId="77777777" w:rsidR="00E57DAA" w:rsidRDefault="00AC4185">
            <w:pPr>
              <w:autoSpaceDE w:val="0"/>
              <w:autoSpaceDN w:val="0"/>
              <w:adjustRightInd w:val="0"/>
              <w:jc w:val="right"/>
              <w:rPr>
                <w:szCs w:val="21"/>
              </w:rPr>
            </w:pPr>
            <w:r>
              <w:t>109,036.00</w:t>
            </w:r>
          </w:p>
        </w:tc>
      </w:tr>
      <w:tr w:rsidR="00E57DAA" w14:paraId="08177442" w14:textId="77777777">
        <w:tc>
          <w:tcPr>
            <w:tcW w:w="677" w:type="pct"/>
            <w:tcBorders>
              <w:top w:val="single" w:sz="4" w:space="0" w:color="auto"/>
              <w:left w:val="single" w:sz="4" w:space="0" w:color="auto"/>
              <w:bottom w:val="single" w:sz="4" w:space="0" w:color="auto"/>
              <w:right w:val="single" w:sz="4" w:space="0" w:color="auto"/>
            </w:tcBorders>
            <w:vAlign w:val="center"/>
          </w:tcPr>
          <w:p w14:paraId="0FAF83B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B5D920C" w14:textId="77777777" w:rsidR="00E57DAA" w:rsidRDefault="00AC4185">
            <w:pPr>
              <w:autoSpaceDE w:val="0"/>
              <w:autoSpaceDN w:val="0"/>
              <w:adjustRightInd w:val="0"/>
              <w:rPr>
                <w:szCs w:val="21"/>
              </w:rPr>
            </w:pPr>
            <w:r>
              <w:t>云南普洱天恒水泥有限责任公司</w:t>
            </w:r>
          </w:p>
        </w:tc>
        <w:tc>
          <w:tcPr>
            <w:tcW w:w="633" w:type="pct"/>
            <w:tcBorders>
              <w:top w:val="single" w:sz="4" w:space="0" w:color="auto"/>
              <w:left w:val="single" w:sz="4" w:space="0" w:color="auto"/>
              <w:bottom w:val="single" w:sz="4" w:space="0" w:color="auto"/>
              <w:right w:val="single" w:sz="4" w:space="0" w:color="auto"/>
            </w:tcBorders>
          </w:tcPr>
          <w:p w14:paraId="2FB8AC87" w14:textId="77777777" w:rsidR="00E57DAA" w:rsidRDefault="00AC4185">
            <w:pPr>
              <w:autoSpaceDE w:val="0"/>
              <w:autoSpaceDN w:val="0"/>
              <w:adjustRightInd w:val="0"/>
              <w:jc w:val="right"/>
              <w:rPr>
                <w:szCs w:val="21"/>
              </w:rPr>
            </w:pPr>
            <w:r>
              <w:t>2,120,389.63</w:t>
            </w:r>
          </w:p>
        </w:tc>
        <w:tc>
          <w:tcPr>
            <w:tcW w:w="632" w:type="pct"/>
            <w:tcBorders>
              <w:top w:val="single" w:sz="4" w:space="0" w:color="auto"/>
              <w:left w:val="single" w:sz="4" w:space="0" w:color="auto"/>
              <w:bottom w:val="single" w:sz="4" w:space="0" w:color="auto"/>
              <w:right w:val="single" w:sz="4" w:space="0" w:color="auto"/>
            </w:tcBorders>
          </w:tcPr>
          <w:p w14:paraId="5ABF8C89" w14:textId="77777777" w:rsidR="00E57DAA" w:rsidRDefault="00AC4185">
            <w:pPr>
              <w:autoSpaceDE w:val="0"/>
              <w:autoSpaceDN w:val="0"/>
              <w:adjustRightInd w:val="0"/>
              <w:jc w:val="right"/>
              <w:rPr>
                <w:szCs w:val="21"/>
              </w:rPr>
            </w:pPr>
            <w:r>
              <w:t>8,711.56</w:t>
            </w:r>
          </w:p>
        </w:tc>
        <w:tc>
          <w:tcPr>
            <w:tcW w:w="703" w:type="pct"/>
            <w:tcBorders>
              <w:top w:val="single" w:sz="4" w:space="0" w:color="auto"/>
              <w:left w:val="single" w:sz="4" w:space="0" w:color="auto"/>
              <w:bottom w:val="single" w:sz="4" w:space="0" w:color="auto"/>
              <w:right w:val="single" w:sz="4" w:space="0" w:color="auto"/>
            </w:tcBorders>
          </w:tcPr>
          <w:p w14:paraId="017F4747" w14:textId="77777777" w:rsidR="00E57DAA" w:rsidRDefault="00AC4185">
            <w:pPr>
              <w:autoSpaceDE w:val="0"/>
              <w:autoSpaceDN w:val="0"/>
              <w:adjustRightInd w:val="0"/>
              <w:jc w:val="right"/>
              <w:rPr>
                <w:szCs w:val="21"/>
              </w:rPr>
            </w:pPr>
            <w:r>
              <w:t>1,868,839.43</w:t>
            </w:r>
          </w:p>
        </w:tc>
        <w:tc>
          <w:tcPr>
            <w:tcW w:w="914" w:type="pct"/>
            <w:tcBorders>
              <w:top w:val="single" w:sz="4" w:space="0" w:color="auto"/>
              <w:left w:val="single" w:sz="4" w:space="0" w:color="auto"/>
              <w:bottom w:val="single" w:sz="4" w:space="0" w:color="auto"/>
              <w:right w:val="single" w:sz="4" w:space="0" w:color="auto"/>
            </w:tcBorders>
          </w:tcPr>
          <w:p w14:paraId="0ADE2AAA" w14:textId="77777777" w:rsidR="00E57DAA" w:rsidRDefault="00AC4185">
            <w:pPr>
              <w:autoSpaceDE w:val="0"/>
              <w:autoSpaceDN w:val="0"/>
              <w:adjustRightInd w:val="0"/>
              <w:jc w:val="right"/>
              <w:rPr>
                <w:szCs w:val="21"/>
              </w:rPr>
            </w:pPr>
            <w:r>
              <w:t>14,828.87</w:t>
            </w:r>
          </w:p>
        </w:tc>
      </w:tr>
      <w:tr w:rsidR="00E57DAA" w14:paraId="341815F1" w14:textId="77777777">
        <w:tc>
          <w:tcPr>
            <w:tcW w:w="677" w:type="pct"/>
            <w:tcBorders>
              <w:top w:val="single" w:sz="4" w:space="0" w:color="auto"/>
              <w:left w:val="single" w:sz="4" w:space="0" w:color="auto"/>
              <w:bottom w:val="single" w:sz="4" w:space="0" w:color="auto"/>
              <w:right w:val="single" w:sz="4" w:space="0" w:color="auto"/>
            </w:tcBorders>
            <w:vAlign w:val="center"/>
          </w:tcPr>
          <w:p w14:paraId="06D3C54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4521CF" w14:textId="77777777" w:rsidR="00E57DAA" w:rsidRDefault="00AC4185">
            <w:pPr>
              <w:autoSpaceDE w:val="0"/>
              <w:autoSpaceDN w:val="0"/>
              <w:adjustRightInd w:val="0"/>
              <w:rPr>
                <w:szCs w:val="21"/>
              </w:rPr>
            </w:pPr>
            <w:r>
              <w:t>富民金锐水泥建材有限责任公司</w:t>
            </w:r>
          </w:p>
        </w:tc>
        <w:tc>
          <w:tcPr>
            <w:tcW w:w="633" w:type="pct"/>
            <w:tcBorders>
              <w:top w:val="single" w:sz="4" w:space="0" w:color="auto"/>
              <w:left w:val="single" w:sz="4" w:space="0" w:color="auto"/>
              <w:bottom w:val="single" w:sz="4" w:space="0" w:color="auto"/>
              <w:right w:val="single" w:sz="4" w:space="0" w:color="auto"/>
            </w:tcBorders>
          </w:tcPr>
          <w:p w14:paraId="482EC393" w14:textId="77777777" w:rsidR="00E57DAA" w:rsidRDefault="00AC4185">
            <w:pPr>
              <w:autoSpaceDE w:val="0"/>
              <w:autoSpaceDN w:val="0"/>
              <w:adjustRightInd w:val="0"/>
              <w:jc w:val="right"/>
              <w:rPr>
                <w:szCs w:val="21"/>
              </w:rPr>
            </w:pPr>
            <w:r>
              <w:t>2,114,358.03</w:t>
            </w:r>
          </w:p>
        </w:tc>
        <w:tc>
          <w:tcPr>
            <w:tcW w:w="632" w:type="pct"/>
            <w:tcBorders>
              <w:top w:val="single" w:sz="4" w:space="0" w:color="auto"/>
              <w:left w:val="single" w:sz="4" w:space="0" w:color="auto"/>
              <w:bottom w:val="single" w:sz="4" w:space="0" w:color="auto"/>
              <w:right w:val="single" w:sz="4" w:space="0" w:color="auto"/>
            </w:tcBorders>
          </w:tcPr>
          <w:p w14:paraId="4511B788" w14:textId="77777777" w:rsidR="00E57DAA" w:rsidRDefault="00AC4185">
            <w:pPr>
              <w:autoSpaceDE w:val="0"/>
              <w:autoSpaceDN w:val="0"/>
              <w:adjustRightInd w:val="0"/>
              <w:jc w:val="right"/>
              <w:rPr>
                <w:szCs w:val="21"/>
              </w:rPr>
            </w:pPr>
            <w:r>
              <w:t>36,229.98</w:t>
            </w:r>
          </w:p>
        </w:tc>
        <w:tc>
          <w:tcPr>
            <w:tcW w:w="703" w:type="pct"/>
            <w:tcBorders>
              <w:top w:val="single" w:sz="4" w:space="0" w:color="auto"/>
              <w:left w:val="single" w:sz="4" w:space="0" w:color="auto"/>
              <w:bottom w:val="single" w:sz="4" w:space="0" w:color="auto"/>
              <w:right w:val="single" w:sz="4" w:space="0" w:color="auto"/>
            </w:tcBorders>
          </w:tcPr>
          <w:p w14:paraId="53BAA563" w14:textId="77777777" w:rsidR="00E57DAA" w:rsidRDefault="00AC4185">
            <w:pPr>
              <w:autoSpaceDE w:val="0"/>
              <w:autoSpaceDN w:val="0"/>
              <w:adjustRightInd w:val="0"/>
              <w:jc w:val="right"/>
              <w:rPr>
                <w:szCs w:val="21"/>
              </w:rPr>
            </w:pPr>
            <w:r>
              <w:t>3,237,658.83</w:t>
            </w:r>
          </w:p>
        </w:tc>
        <w:tc>
          <w:tcPr>
            <w:tcW w:w="914" w:type="pct"/>
            <w:tcBorders>
              <w:top w:val="single" w:sz="4" w:space="0" w:color="auto"/>
              <w:left w:val="single" w:sz="4" w:space="0" w:color="auto"/>
              <w:bottom w:val="single" w:sz="4" w:space="0" w:color="auto"/>
              <w:right w:val="single" w:sz="4" w:space="0" w:color="auto"/>
            </w:tcBorders>
          </w:tcPr>
          <w:p w14:paraId="3A679DA8" w14:textId="77777777" w:rsidR="00E57DAA" w:rsidRDefault="00AC4185">
            <w:pPr>
              <w:autoSpaceDE w:val="0"/>
              <w:autoSpaceDN w:val="0"/>
              <w:adjustRightInd w:val="0"/>
              <w:jc w:val="right"/>
              <w:rPr>
                <w:szCs w:val="21"/>
              </w:rPr>
            </w:pPr>
            <w:r>
              <w:t>42,993.94</w:t>
            </w:r>
          </w:p>
        </w:tc>
      </w:tr>
      <w:tr w:rsidR="00E57DAA" w14:paraId="73450278" w14:textId="77777777">
        <w:tc>
          <w:tcPr>
            <w:tcW w:w="677" w:type="pct"/>
            <w:tcBorders>
              <w:top w:val="single" w:sz="4" w:space="0" w:color="auto"/>
              <w:left w:val="single" w:sz="4" w:space="0" w:color="auto"/>
              <w:bottom w:val="single" w:sz="4" w:space="0" w:color="auto"/>
              <w:right w:val="single" w:sz="4" w:space="0" w:color="auto"/>
            </w:tcBorders>
            <w:vAlign w:val="center"/>
          </w:tcPr>
          <w:p w14:paraId="1B0E853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719271C" w14:textId="77777777" w:rsidR="00E57DAA" w:rsidRDefault="00AC4185">
            <w:pPr>
              <w:autoSpaceDE w:val="0"/>
              <w:autoSpaceDN w:val="0"/>
              <w:adjustRightInd w:val="0"/>
              <w:rPr>
                <w:szCs w:val="21"/>
              </w:rPr>
            </w:pPr>
            <w:r>
              <w:t>中建材投资有限公司</w:t>
            </w:r>
          </w:p>
        </w:tc>
        <w:tc>
          <w:tcPr>
            <w:tcW w:w="633" w:type="pct"/>
            <w:tcBorders>
              <w:top w:val="single" w:sz="4" w:space="0" w:color="auto"/>
              <w:left w:val="single" w:sz="4" w:space="0" w:color="auto"/>
              <w:bottom w:val="single" w:sz="4" w:space="0" w:color="auto"/>
              <w:right w:val="single" w:sz="4" w:space="0" w:color="auto"/>
            </w:tcBorders>
          </w:tcPr>
          <w:p w14:paraId="3AFE2361" w14:textId="77777777" w:rsidR="00E57DAA" w:rsidRDefault="00AC4185">
            <w:pPr>
              <w:autoSpaceDE w:val="0"/>
              <w:autoSpaceDN w:val="0"/>
              <w:adjustRightInd w:val="0"/>
              <w:jc w:val="right"/>
              <w:rPr>
                <w:szCs w:val="21"/>
              </w:rPr>
            </w:pPr>
            <w:r>
              <w:t>2,091,368.20</w:t>
            </w:r>
          </w:p>
        </w:tc>
        <w:tc>
          <w:tcPr>
            <w:tcW w:w="632" w:type="pct"/>
            <w:tcBorders>
              <w:top w:val="single" w:sz="4" w:space="0" w:color="auto"/>
              <w:left w:val="single" w:sz="4" w:space="0" w:color="auto"/>
              <w:bottom w:val="single" w:sz="4" w:space="0" w:color="auto"/>
              <w:right w:val="single" w:sz="4" w:space="0" w:color="auto"/>
            </w:tcBorders>
          </w:tcPr>
          <w:p w14:paraId="42A021A5" w14:textId="77777777" w:rsidR="00E57DAA" w:rsidRDefault="00AC4185">
            <w:pPr>
              <w:autoSpaceDE w:val="0"/>
              <w:autoSpaceDN w:val="0"/>
              <w:adjustRightInd w:val="0"/>
              <w:jc w:val="right"/>
              <w:rPr>
                <w:szCs w:val="21"/>
              </w:rPr>
            </w:pPr>
            <w:r>
              <w:t>235,322.55</w:t>
            </w:r>
          </w:p>
        </w:tc>
        <w:tc>
          <w:tcPr>
            <w:tcW w:w="703" w:type="pct"/>
            <w:tcBorders>
              <w:top w:val="single" w:sz="4" w:space="0" w:color="auto"/>
              <w:left w:val="single" w:sz="4" w:space="0" w:color="auto"/>
              <w:bottom w:val="single" w:sz="4" w:space="0" w:color="auto"/>
              <w:right w:val="single" w:sz="4" w:space="0" w:color="auto"/>
            </w:tcBorders>
          </w:tcPr>
          <w:p w14:paraId="143795E1" w14:textId="77777777" w:rsidR="00E57DAA" w:rsidRDefault="00AC4185">
            <w:pPr>
              <w:autoSpaceDE w:val="0"/>
              <w:autoSpaceDN w:val="0"/>
              <w:adjustRightInd w:val="0"/>
              <w:jc w:val="right"/>
              <w:rPr>
                <w:szCs w:val="21"/>
              </w:rPr>
            </w:pPr>
            <w:r>
              <w:t>2,091,368.20</w:t>
            </w:r>
          </w:p>
        </w:tc>
        <w:tc>
          <w:tcPr>
            <w:tcW w:w="914" w:type="pct"/>
            <w:tcBorders>
              <w:top w:val="single" w:sz="4" w:space="0" w:color="auto"/>
              <w:left w:val="single" w:sz="4" w:space="0" w:color="auto"/>
              <w:bottom w:val="single" w:sz="4" w:space="0" w:color="auto"/>
              <w:right w:val="single" w:sz="4" w:space="0" w:color="auto"/>
            </w:tcBorders>
          </w:tcPr>
          <w:p w14:paraId="337D9189" w14:textId="77777777" w:rsidR="00E57DAA" w:rsidRDefault="00AC4185">
            <w:pPr>
              <w:autoSpaceDE w:val="0"/>
              <w:autoSpaceDN w:val="0"/>
              <w:adjustRightInd w:val="0"/>
              <w:jc w:val="right"/>
              <w:rPr>
                <w:szCs w:val="21"/>
              </w:rPr>
            </w:pPr>
            <w:r>
              <w:t>109,834.48</w:t>
            </w:r>
          </w:p>
        </w:tc>
      </w:tr>
      <w:tr w:rsidR="00E57DAA" w14:paraId="6EC9B710" w14:textId="77777777">
        <w:tc>
          <w:tcPr>
            <w:tcW w:w="677" w:type="pct"/>
            <w:tcBorders>
              <w:top w:val="single" w:sz="4" w:space="0" w:color="auto"/>
              <w:left w:val="single" w:sz="4" w:space="0" w:color="auto"/>
              <w:bottom w:val="single" w:sz="4" w:space="0" w:color="auto"/>
              <w:right w:val="single" w:sz="4" w:space="0" w:color="auto"/>
            </w:tcBorders>
            <w:vAlign w:val="center"/>
          </w:tcPr>
          <w:p w14:paraId="397C9D4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AB2F11" w14:textId="77777777" w:rsidR="00E57DAA" w:rsidRDefault="00AC4185">
            <w:pPr>
              <w:autoSpaceDE w:val="0"/>
              <w:autoSpaceDN w:val="0"/>
              <w:adjustRightInd w:val="0"/>
              <w:rPr>
                <w:szCs w:val="21"/>
              </w:rPr>
            </w:pPr>
            <w:r>
              <w:t>大方永贵建材有限责任公司</w:t>
            </w:r>
          </w:p>
        </w:tc>
        <w:tc>
          <w:tcPr>
            <w:tcW w:w="633" w:type="pct"/>
            <w:tcBorders>
              <w:top w:val="single" w:sz="4" w:space="0" w:color="auto"/>
              <w:left w:val="single" w:sz="4" w:space="0" w:color="auto"/>
              <w:bottom w:val="single" w:sz="4" w:space="0" w:color="auto"/>
              <w:right w:val="single" w:sz="4" w:space="0" w:color="auto"/>
            </w:tcBorders>
          </w:tcPr>
          <w:p w14:paraId="4E39A3CC" w14:textId="77777777" w:rsidR="00E57DAA" w:rsidRDefault="00AC4185">
            <w:pPr>
              <w:autoSpaceDE w:val="0"/>
              <w:autoSpaceDN w:val="0"/>
              <w:adjustRightInd w:val="0"/>
              <w:jc w:val="right"/>
              <w:rPr>
                <w:szCs w:val="21"/>
              </w:rPr>
            </w:pPr>
            <w:r>
              <w:t>2,086,838.89</w:t>
            </w:r>
          </w:p>
        </w:tc>
        <w:tc>
          <w:tcPr>
            <w:tcW w:w="632" w:type="pct"/>
            <w:tcBorders>
              <w:top w:val="single" w:sz="4" w:space="0" w:color="auto"/>
              <w:left w:val="single" w:sz="4" w:space="0" w:color="auto"/>
              <w:bottom w:val="single" w:sz="4" w:space="0" w:color="auto"/>
              <w:right w:val="single" w:sz="4" w:space="0" w:color="auto"/>
            </w:tcBorders>
          </w:tcPr>
          <w:p w14:paraId="144DB66F" w14:textId="77777777" w:rsidR="00E57DAA" w:rsidRDefault="00AC4185">
            <w:pPr>
              <w:autoSpaceDE w:val="0"/>
              <w:autoSpaceDN w:val="0"/>
              <w:adjustRightInd w:val="0"/>
              <w:jc w:val="right"/>
              <w:rPr>
                <w:szCs w:val="21"/>
              </w:rPr>
            </w:pPr>
            <w:r>
              <w:t>132,409.55</w:t>
            </w:r>
          </w:p>
        </w:tc>
        <w:tc>
          <w:tcPr>
            <w:tcW w:w="703" w:type="pct"/>
            <w:tcBorders>
              <w:top w:val="single" w:sz="4" w:space="0" w:color="auto"/>
              <w:left w:val="single" w:sz="4" w:space="0" w:color="auto"/>
              <w:bottom w:val="single" w:sz="4" w:space="0" w:color="auto"/>
              <w:right w:val="single" w:sz="4" w:space="0" w:color="auto"/>
            </w:tcBorders>
          </w:tcPr>
          <w:p w14:paraId="045C7454" w14:textId="77777777" w:rsidR="00E57DAA" w:rsidRDefault="00AC4185">
            <w:pPr>
              <w:autoSpaceDE w:val="0"/>
              <w:autoSpaceDN w:val="0"/>
              <w:adjustRightInd w:val="0"/>
              <w:jc w:val="right"/>
              <w:rPr>
                <w:szCs w:val="21"/>
              </w:rPr>
            </w:pPr>
            <w:r>
              <w:t>94,701.29</w:t>
            </w:r>
          </w:p>
        </w:tc>
        <w:tc>
          <w:tcPr>
            <w:tcW w:w="914" w:type="pct"/>
            <w:tcBorders>
              <w:top w:val="single" w:sz="4" w:space="0" w:color="auto"/>
              <w:left w:val="single" w:sz="4" w:space="0" w:color="auto"/>
              <w:bottom w:val="single" w:sz="4" w:space="0" w:color="auto"/>
              <w:right w:val="single" w:sz="4" w:space="0" w:color="auto"/>
            </w:tcBorders>
          </w:tcPr>
          <w:p w14:paraId="69E7703D" w14:textId="77777777" w:rsidR="00E57DAA" w:rsidRDefault="00AC4185">
            <w:pPr>
              <w:autoSpaceDE w:val="0"/>
              <w:autoSpaceDN w:val="0"/>
              <w:adjustRightInd w:val="0"/>
              <w:jc w:val="right"/>
              <w:rPr>
                <w:szCs w:val="21"/>
              </w:rPr>
            </w:pPr>
            <w:r>
              <w:t>16,576.09</w:t>
            </w:r>
          </w:p>
        </w:tc>
      </w:tr>
      <w:tr w:rsidR="00E57DAA" w14:paraId="6FFC7201" w14:textId="77777777">
        <w:tc>
          <w:tcPr>
            <w:tcW w:w="677" w:type="pct"/>
            <w:tcBorders>
              <w:top w:val="single" w:sz="4" w:space="0" w:color="auto"/>
              <w:left w:val="single" w:sz="4" w:space="0" w:color="auto"/>
              <w:bottom w:val="single" w:sz="4" w:space="0" w:color="auto"/>
              <w:right w:val="single" w:sz="4" w:space="0" w:color="auto"/>
            </w:tcBorders>
            <w:vAlign w:val="center"/>
          </w:tcPr>
          <w:p w14:paraId="4B80D80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8EC37B9" w14:textId="77777777" w:rsidR="00E57DAA" w:rsidRDefault="00AC4185">
            <w:pPr>
              <w:autoSpaceDE w:val="0"/>
              <w:autoSpaceDN w:val="0"/>
              <w:adjustRightInd w:val="0"/>
              <w:rPr>
                <w:szCs w:val="21"/>
              </w:rPr>
            </w:pPr>
            <w:r>
              <w:t>云南兴建水泥有限公司</w:t>
            </w:r>
          </w:p>
        </w:tc>
        <w:tc>
          <w:tcPr>
            <w:tcW w:w="633" w:type="pct"/>
            <w:tcBorders>
              <w:top w:val="single" w:sz="4" w:space="0" w:color="auto"/>
              <w:left w:val="single" w:sz="4" w:space="0" w:color="auto"/>
              <w:bottom w:val="single" w:sz="4" w:space="0" w:color="auto"/>
              <w:right w:val="single" w:sz="4" w:space="0" w:color="auto"/>
            </w:tcBorders>
          </w:tcPr>
          <w:p w14:paraId="09226A02" w14:textId="77777777" w:rsidR="00E57DAA" w:rsidRDefault="00AC4185">
            <w:pPr>
              <w:autoSpaceDE w:val="0"/>
              <w:autoSpaceDN w:val="0"/>
              <w:adjustRightInd w:val="0"/>
              <w:jc w:val="right"/>
              <w:rPr>
                <w:szCs w:val="21"/>
              </w:rPr>
            </w:pPr>
            <w:r>
              <w:t>2,048,581.04</w:t>
            </w:r>
          </w:p>
        </w:tc>
        <w:tc>
          <w:tcPr>
            <w:tcW w:w="632" w:type="pct"/>
            <w:tcBorders>
              <w:top w:val="single" w:sz="4" w:space="0" w:color="auto"/>
              <w:left w:val="single" w:sz="4" w:space="0" w:color="auto"/>
              <w:bottom w:val="single" w:sz="4" w:space="0" w:color="auto"/>
              <w:right w:val="single" w:sz="4" w:space="0" w:color="auto"/>
            </w:tcBorders>
          </w:tcPr>
          <w:p w14:paraId="0849923E" w14:textId="77777777" w:rsidR="00E57DAA" w:rsidRDefault="00AC4185">
            <w:pPr>
              <w:autoSpaceDE w:val="0"/>
              <w:autoSpaceDN w:val="0"/>
              <w:adjustRightInd w:val="0"/>
              <w:jc w:val="right"/>
              <w:rPr>
                <w:szCs w:val="21"/>
              </w:rPr>
            </w:pPr>
            <w:r>
              <w:t>113,282.65</w:t>
            </w:r>
          </w:p>
        </w:tc>
        <w:tc>
          <w:tcPr>
            <w:tcW w:w="703" w:type="pct"/>
            <w:tcBorders>
              <w:top w:val="single" w:sz="4" w:space="0" w:color="auto"/>
              <w:left w:val="single" w:sz="4" w:space="0" w:color="auto"/>
              <w:bottom w:val="single" w:sz="4" w:space="0" w:color="auto"/>
              <w:right w:val="single" w:sz="4" w:space="0" w:color="auto"/>
            </w:tcBorders>
          </w:tcPr>
          <w:p w14:paraId="097BFAE4" w14:textId="77777777" w:rsidR="00E57DAA" w:rsidRDefault="00AC4185">
            <w:pPr>
              <w:autoSpaceDE w:val="0"/>
              <w:autoSpaceDN w:val="0"/>
              <w:adjustRightInd w:val="0"/>
              <w:jc w:val="right"/>
              <w:rPr>
                <w:szCs w:val="21"/>
              </w:rPr>
            </w:pPr>
            <w:r>
              <w:t>2,327,914.00</w:t>
            </w:r>
          </w:p>
        </w:tc>
        <w:tc>
          <w:tcPr>
            <w:tcW w:w="914" w:type="pct"/>
            <w:tcBorders>
              <w:top w:val="single" w:sz="4" w:space="0" w:color="auto"/>
              <w:left w:val="single" w:sz="4" w:space="0" w:color="auto"/>
              <w:bottom w:val="single" w:sz="4" w:space="0" w:color="auto"/>
              <w:right w:val="single" w:sz="4" w:space="0" w:color="auto"/>
            </w:tcBorders>
          </w:tcPr>
          <w:p w14:paraId="7454B04D" w14:textId="77777777" w:rsidR="00E57DAA" w:rsidRDefault="00AC4185">
            <w:pPr>
              <w:autoSpaceDE w:val="0"/>
              <w:autoSpaceDN w:val="0"/>
              <w:adjustRightInd w:val="0"/>
              <w:jc w:val="right"/>
              <w:rPr>
                <w:szCs w:val="21"/>
              </w:rPr>
            </w:pPr>
            <w:r>
              <w:t>192,411.81</w:t>
            </w:r>
          </w:p>
        </w:tc>
      </w:tr>
      <w:tr w:rsidR="00E57DAA" w14:paraId="07BD38B3" w14:textId="77777777">
        <w:tc>
          <w:tcPr>
            <w:tcW w:w="677" w:type="pct"/>
            <w:tcBorders>
              <w:top w:val="single" w:sz="4" w:space="0" w:color="auto"/>
              <w:left w:val="single" w:sz="4" w:space="0" w:color="auto"/>
              <w:bottom w:val="single" w:sz="4" w:space="0" w:color="auto"/>
              <w:right w:val="single" w:sz="4" w:space="0" w:color="auto"/>
            </w:tcBorders>
            <w:vAlign w:val="center"/>
          </w:tcPr>
          <w:p w14:paraId="42AE904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DE15CF1" w14:textId="77777777" w:rsidR="00E57DAA" w:rsidRDefault="00AC4185">
            <w:pPr>
              <w:autoSpaceDE w:val="0"/>
              <w:autoSpaceDN w:val="0"/>
              <w:adjustRightInd w:val="0"/>
              <w:rPr>
                <w:szCs w:val="21"/>
              </w:rPr>
            </w:pPr>
            <w:r>
              <w:t>湖南隆回南方水泥有限公司</w:t>
            </w:r>
          </w:p>
        </w:tc>
        <w:tc>
          <w:tcPr>
            <w:tcW w:w="633" w:type="pct"/>
            <w:tcBorders>
              <w:top w:val="single" w:sz="4" w:space="0" w:color="auto"/>
              <w:left w:val="single" w:sz="4" w:space="0" w:color="auto"/>
              <w:bottom w:val="single" w:sz="4" w:space="0" w:color="auto"/>
              <w:right w:val="single" w:sz="4" w:space="0" w:color="auto"/>
            </w:tcBorders>
          </w:tcPr>
          <w:p w14:paraId="09B75408" w14:textId="77777777" w:rsidR="00E57DAA" w:rsidRDefault="00AC4185">
            <w:pPr>
              <w:autoSpaceDE w:val="0"/>
              <w:autoSpaceDN w:val="0"/>
              <w:adjustRightInd w:val="0"/>
              <w:jc w:val="right"/>
              <w:rPr>
                <w:szCs w:val="21"/>
              </w:rPr>
            </w:pPr>
            <w:r>
              <w:t>2,018,669.04</w:t>
            </w:r>
          </w:p>
        </w:tc>
        <w:tc>
          <w:tcPr>
            <w:tcW w:w="632" w:type="pct"/>
            <w:tcBorders>
              <w:top w:val="single" w:sz="4" w:space="0" w:color="auto"/>
              <w:left w:val="single" w:sz="4" w:space="0" w:color="auto"/>
              <w:bottom w:val="single" w:sz="4" w:space="0" w:color="auto"/>
              <w:right w:val="single" w:sz="4" w:space="0" w:color="auto"/>
            </w:tcBorders>
          </w:tcPr>
          <w:p w14:paraId="591F7F83" w14:textId="77777777" w:rsidR="00E57DAA" w:rsidRDefault="00AC4185">
            <w:pPr>
              <w:autoSpaceDE w:val="0"/>
              <w:autoSpaceDN w:val="0"/>
              <w:adjustRightInd w:val="0"/>
              <w:jc w:val="right"/>
              <w:rPr>
                <w:szCs w:val="21"/>
              </w:rPr>
            </w:pPr>
            <w:r>
              <w:t>74,631.13</w:t>
            </w:r>
          </w:p>
        </w:tc>
        <w:tc>
          <w:tcPr>
            <w:tcW w:w="703" w:type="pct"/>
            <w:tcBorders>
              <w:top w:val="single" w:sz="4" w:space="0" w:color="auto"/>
              <w:left w:val="single" w:sz="4" w:space="0" w:color="auto"/>
              <w:bottom w:val="single" w:sz="4" w:space="0" w:color="auto"/>
              <w:right w:val="single" w:sz="4" w:space="0" w:color="auto"/>
            </w:tcBorders>
          </w:tcPr>
          <w:p w14:paraId="286B9ECE" w14:textId="77777777" w:rsidR="00E57DAA" w:rsidRDefault="00AC4185">
            <w:pPr>
              <w:autoSpaceDE w:val="0"/>
              <w:autoSpaceDN w:val="0"/>
              <w:adjustRightInd w:val="0"/>
              <w:jc w:val="right"/>
              <w:rPr>
                <w:szCs w:val="21"/>
              </w:rPr>
            </w:pPr>
            <w:r>
              <w:t>5,769,420.90</w:t>
            </w:r>
          </w:p>
        </w:tc>
        <w:tc>
          <w:tcPr>
            <w:tcW w:w="914" w:type="pct"/>
            <w:tcBorders>
              <w:top w:val="single" w:sz="4" w:space="0" w:color="auto"/>
              <w:left w:val="single" w:sz="4" w:space="0" w:color="auto"/>
              <w:bottom w:val="single" w:sz="4" w:space="0" w:color="auto"/>
              <w:right w:val="single" w:sz="4" w:space="0" w:color="auto"/>
            </w:tcBorders>
          </w:tcPr>
          <w:p w14:paraId="43B812FC" w14:textId="77777777" w:rsidR="00E57DAA" w:rsidRDefault="00AC4185">
            <w:pPr>
              <w:autoSpaceDE w:val="0"/>
              <w:autoSpaceDN w:val="0"/>
              <w:adjustRightInd w:val="0"/>
              <w:jc w:val="right"/>
              <w:rPr>
                <w:szCs w:val="21"/>
              </w:rPr>
            </w:pPr>
            <w:r>
              <w:t>365,851.81</w:t>
            </w:r>
          </w:p>
        </w:tc>
      </w:tr>
      <w:tr w:rsidR="00E57DAA" w14:paraId="1BE2AD88" w14:textId="77777777">
        <w:tc>
          <w:tcPr>
            <w:tcW w:w="677" w:type="pct"/>
            <w:tcBorders>
              <w:top w:val="single" w:sz="4" w:space="0" w:color="auto"/>
              <w:left w:val="single" w:sz="4" w:space="0" w:color="auto"/>
              <w:bottom w:val="single" w:sz="4" w:space="0" w:color="auto"/>
              <w:right w:val="single" w:sz="4" w:space="0" w:color="auto"/>
            </w:tcBorders>
            <w:vAlign w:val="center"/>
          </w:tcPr>
          <w:p w14:paraId="0134D4C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2D31D58" w14:textId="77777777" w:rsidR="00E57DAA" w:rsidRDefault="00AC4185">
            <w:pPr>
              <w:autoSpaceDE w:val="0"/>
              <w:autoSpaceDN w:val="0"/>
              <w:adjustRightInd w:val="0"/>
              <w:rPr>
                <w:szCs w:val="21"/>
              </w:rPr>
            </w:pPr>
            <w:r>
              <w:t>泌阳中联新材料有限公司</w:t>
            </w:r>
          </w:p>
        </w:tc>
        <w:tc>
          <w:tcPr>
            <w:tcW w:w="633" w:type="pct"/>
            <w:tcBorders>
              <w:top w:val="single" w:sz="4" w:space="0" w:color="auto"/>
              <w:left w:val="single" w:sz="4" w:space="0" w:color="auto"/>
              <w:bottom w:val="single" w:sz="4" w:space="0" w:color="auto"/>
              <w:right w:val="single" w:sz="4" w:space="0" w:color="auto"/>
            </w:tcBorders>
          </w:tcPr>
          <w:p w14:paraId="5819B75F" w14:textId="77777777" w:rsidR="00E57DAA" w:rsidRDefault="00AC4185">
            <w:pPr>
              <w:autoSpaceDE w:val="0"/>
              <w:autoSpaceDN w:val="0"/>
              <w:adjustRightInd w:val="0"/>
              <w:jc w:val="right"/>
              <w:rPr>
                <w:szCs w:val="21"/>
              </w:rPr>
            </w:pPr>
            <w:r>
              <w:t>1,972,550.45</w:t>
            </w:r>
          </w:p>
        </w:tc>
        <w:tc>
          <w:tcPr>
            <w:tcW w:w="632" w:type="pct"/>
            <w:tcBorders>
              <w:top w:val="single" w:sz="4" w:space="0" w:color="auto"/>
              <w:left w:val="single" w:sz="4" w:space="0" w:color="auto"/>
              <w:bottom w:val="single" w:sz="4" w:space="0" w:color="auto"/>
              <w:right w:val="single" w:sz="4" w:space="0" w:color="auto"/>
            </w:tcBorders>
          </w:tcPr>
          <w:p w14:paraId="6D9CAD39" w14:textId="77777777" w:rsidR="00E57DAA" w:rsidRDefault="00AC4185">
            <w:pPr>
              <w:autoSpaceDE w:val="0"/>
              <w:autoSpaceDN w:val="0"/>
              <w:adjustRightInd w:val="0"/>
              <w:jc w:val="right"/>
              <w:rPr>
                <w:szCs w:val="21"/>
              </w:rPr>
            </w:pPr>
            <w:r>
              <w:t>7,890.20</w:t>
            </w:r>
          </w:p>
        </w:tc>
        <w:tc>
          <w:tcPr>
            <w:tcW w:w="703" w:type="pct"/>
            <w:tcBorders>
              <w:top w:val="single" w:sz="4" w:space="0" w:color="auto"/>
              <w:left w:val="single" w:sz="4" w:space="0" w:color="auto"/>
              <w:bottom w:val="single" w:sz="4" w:space="0" w:color="auto"/>
              <w:right w:val="single" w:sz="4" w:space="0" w:color="auto"/>
            </w:tcBorders>
          </w:tcPr>
          <w:p w14:paraId="2EAE4B42" w14:textId="77777777" w:rsidR="00E57DAA" w:rsidRDefault="00AC4185">
            <w:pPr>
              <w:autoSpaceDE w:val="0"/>
              <w:autoSpaceDN w:val="0"/>
              <w:adjustRightInd w:val="0"/>
              <w:jc w:val="right"/>
              <w:rPr>
                <w:szCs w:val="21"/>
              </w:rPr>
            </w:pPr>
            <w:r>
              <w:t>5,834,177.05</w:t>
            </w:r>
          </w:p>
        </w:tc>
        <w:tc>
          <w:tcPr>
            <w:tcW w:w="914" w:type="pct"/>
            <w:tcBorders>
              <w:top w:val="single" w:sz="4" w:space="0" w:color="auto"/>
              <w:left w:val="single" w:sz="4" w:space="0" w:color="auto"/>
              <w:bottom w:val="single" w:sz="4" w:space="0" w:color="auto"/>
              <w:right w:val="single" w:sz="4" w:space="0" w:color="auto"/>
            </w:tcBorders>
          </w:tcPr>
          <w:p w14:paraId="6F89FE03" w14:textId="77777777" w:rsidR="00E57DAA" w:rsidRDefault="00AC4185">
            <w:pPr>
              <w:autoSpaceDE w:val="0"/>
              <w:autoSpaceDN w:val="0"/>
              <w:adjustRightInd w:val="0"/>
              <w:jc w:val="right"/>
              <w:rPr>
                <w:szCs w:val="21"/>
              </w:rPr>
            </w:pPr>
            <w:r>
              <w:t>23,336.71</w:t>
            </w:r>
          </w:p>
        </w:tc>
      </w:tr>
      <w:tr w:rsidR="00E57DAA" w14:paraId="30C3F8F1" w14:textId="77777777">
        <w:tc>
          <w:tcPr>
            <w:tcW w:w="677" w:type="pct"/>
            <w:tcBorders>
              <w:top w:val="single" w:sz="4" w:space="0" w:color="auto"/>
              <w:left w:val="single" w:sz="4" w:space="0" w:color="auto"/>
              <w:bottom w:val="single" w:sz="4" w:space="0" w:color="auto"/>
              <w:right w:val="single" w:sz="4" w:space="0" w:color="auto"/>
            </w:tcBorders>
            <w:vAlign w:val="center"/>
          </w:tcPr>
          <w:p w14:paraId="6227F85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27036AB" w14:textId="77777777" w:rsidR="00E57DAA" w:rsidRDefault="00AC4185">
            <w:pPr>
              <w:autoSpaceDE w:val="0"/>
              <w:autoSpaceDN w:val="0"/>
              <w:adjustRightInd w:val="0"/>
              <w:rPr>
                <w:szCs w:val="21"/>
              </w:rPr>
            </w:pPr>
            <w:r>
              <w:t>中建材新材料有限公司</w:t>
            </w:r>
          </w:p>
        </w:tc>
        <w:tc>
          <w:tcPr>
            <w:tcW w:w="633" w:type="pct"/>
            <w:tcBorders>
              <w:top w:val="single" w:sz="4" w:space="0" w:color="auto"/>
              <w:left w:val="single" w:sz="4" w:space="0" w:color="auto"/>
              <w:bottom w:val="single" w:sz="4" w:space="0" w:color="auto"/>
              <w:right w:val="single" w:sz="4" w:space="0" w:color="auto"/>
            </w:tcBorders>
          </w:tcPr>
          <w:p w14:paraId="15EE1604" w14:textId="77777777" w:rsidR="00E57DAA" w:rsidRDefault="00AC4185">
            <w:pPr>
              <w:autoSpaceDE w:val="0"/>
              <w:autoSpaceDN w:val="0"/>
              <w:adjustRightInd w:val="0"/>
              <w:jc w:val="right"/>
              <w:rPr>
                <w:szCs w:val="21"/>
              </w:rPr>
            </w:pPr>
            <w:r>
              <w:t>1,936,481.85</w:t>
            </w:r>
          </w:p>
        </w:tc>
        <w:tc>
          <w:tcPr>
            <w:tcW w:w="632" w:type="pct"/>
            <w:tcBorders>
              <w:top w:val="single" w:sz="4" w:space="0" w:color="auto"/>
              <w:left w:val="single" w:sz="4" w:space="0" w:color="auto"/>
              <w:bottom w:val="single" w:sz="4" w:space="0" w:color="auto"/>
              <w:right w:val="single" w:sz="4" w:space="0" w:color="auto"/>
            </w:tcBorders>
          </w:tcPr>
          <w:p w14:paraId="69CF4D66" w14:textId="77777777" w:rsidR="00E57DAA" w:rsidRDefault="00AC4185">
            <w:pPr>
              <w:autoSpaceDE w:val="0"/>
              <w:autoSpaceDN w:val="0"/>
              <w:adjustRightInd w:val="0"/>
              <w:jc w:val="right"/>
              <w:rPr>
                <w:szCs w:val="21"/>
              </w:rPr>
            </w:pPr>
            <w:r>
              <w:t>7,745.93</w:t>
            </w:r>
          </w:p>
        </w:tc>
        <w:tc>
          <w:tcPr>
            <w:tcW w:w="703" w:type="pct"/>
            <w:tcBorders>
              <w:top w:val="single" w:sz="4" w:space="0" w:color="auto"/>
              <w:left w:val="single" w:sz="4" w:space="0" w:color="auto"/>
              <w:bottom w:val="single" w:sz="4" w:space="0" w:color="auto"/>
              <w:right w:val="single" w:sz="4" w:space="0" w:color="auto"/>
            </w:tcBorders>
          </w:tcPr>
          <w:p w14:paraId="50D939DD" w14:textId="77777777" w:rsidR="00E57DAA" w:rsidRDefault="00AC4185">
            <w:pPr>
              <w:autoSpaceDE w:val="0"/>
              <w:autoSpaceDN w:val="0"/>
              <w:adjustRightInd w:val="0"/>
              <w:jc w:val="right"/>
              <w:rPr>
                <w:szCs w:val="21"/>
              </w:rPr>
            </w:pPr>
            <w:r>
              <w:t>12,000,000.00</w:t>
            </w:r>
          </w:p>
        </w:tc>
        <w:tc>
          <w:tcPr>
            <w:tcW w:w="914" w:type="pct"/>
            <w:tcBorders>
              <w:top w:val="single" w:sz="4" w:space="0" w:color="auto"/>
              <w:left w:val="single" w:sz="4" w:space="0" w:color="auto"/>
              <w:bottom w:val="single" w:sz="4" w:space="0" w:color="auto"/>
              <w:right w:val="single" w:sz="4" w:space="0" w:color="auto"/>
            </w:tcBorders>
          </w:tcPr>
          <w:p w14:paraId="388DBE22" w14:textId="77777777" w:rsidR="00E57DAA" w:rsidRDefault="00AC4185">
            <w:pPr>
              <w:autoSpaceDE w:val="0"/>
              <w:autoSpaceDN w:val="0"/>
              <w:adjustRightInd w:val="0"/>
              <w:jc w:val="right"/>
              <w:rPr>
                <w:szCs w:val="21"/>
              </w:rPr>
            </w:pPr>
            <w:r>
              <w:t>51,600.00</w:t>
            </w:r>
          </w:p>
        </w:tc>
      </w:tr>
      <w:tr w:rsidR="00E57DAA" w14:paraId="33B769A8" w14:textId="77777777">
        <w:tc>
          <w:tcPr>
            <w:tcW w:w="677" w:type="pct"/>
            <w:tcBorders>
              <w:top w:val="single" w:sz="4" w:space="0" w:color="auto"/>
              <w:left w:val="single" w:sz="4" w:space="0" w:color="auto"/>
              <w:bottom w:val="single" w:sz="4" w:space="0" w:color="auto"/>
              <w:right w:val="single" w:sz="4" w:space="0" w:color="auto"/>
            </w:tcBorders>
            <w:vAlign w:val="center"/>
          </w:tcPr>
          <w:p w14:paraId="6932002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E3DBB41" w14:textId="77777777" w:rsidR="00E57DAA" w:rsidRDefault="00AC4185">
            <w:pPr>
              <w:autoSpaceDE w:val="0"/>
              <w:autoSpaceDN w:val="0"/>
              <w:adjustRightInd w:val="0"/>
              <w:rPr>
                <w:szCs w:val="21"/>
              </w:rPr>
            </w:pPr>
            <w:r>
              <w:t>富蕴天山水泥有限责任公司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1457E95" w14:textId="77777777" w:rsidR="00E57DAA" w:rsidRDefault="00AC4185">
            <w:pPr>
              <w:autoSpaceDE w:val="0"/>
              <w:autoSpaceDN w:val="0"/>
              <w:adjustRightInd w:val="0"/>
              <w:jc w:val="right"/>
              <w:rPr>
                <w:szCs w:val="21"/>
              </w:rPr>
            </w:pPr>
            <w:r>
              <w:t>1,916,882.73</w:t>
            </w:r>
          </w:p>
        </w:tc>
        <w:tc>
          <w:tcPr>
            <w:tcW w:w="632" w:type="pct"/>
            <w:tcBorders>
              <w:top w:val="single" w:sz="4" w:space="0" w:color="auto"/>
              <w:left w:val="single" w:sz="4" w:space="0" w:color="auto"/>
              <w:bottom w:val="single" w:sz="4" w:space="0" w:color="auto"/>
              <w:right w:val="single" w:sz="4" w:space="0" w:color="auto"/>
            </w:tcBorders>
          </w:tcPr>
          <w:p w14:paraId="42160F64" w14:textId="77777777" w:rsidR="00E57DAA" w:rsidRDefault="00AC4185">
            <w:pPr>
              <w:autoSpaceDE w:val="0"/>
              <w:autoSpaceDN w:val="0"/>
              <w:adjustRightInd w:val="0"/>
              <w:jc w:val="right"/>
              <w:rPr>
                <w:szCs w:val="21"/>
              </w:rPr>
            </w:pPr>
            <w:r>
              <w:t>129,380.07</w:t>
            </w:r>
          </w:p>
        </w:tc>
        <w:tc>
          <w:tcPr>
            <w:tcW w:w="703" w:type="pct"/>
            <w:tcBorders>
              <w:top w:val="single" w:sz="4" w:space="0" w:color="auto"/>
              <w:left w:val="single" w:sz="4" w:space="0" w:color="auto"/>
              <w:bottom w:val="single" w:sz="4" w:space="0" w:color="auto"/>
              <w:right w:val="single" w:sz="4" w:space="0" w:color="auto"/>
            </w:tcBorders>
          </w:tcPr>
          <w:p w14:paraId="6359536E" w14:textId="77777777" w:rsidR="00E57DAA" w:rsidRDefault="00AC4185">
            <w:pPr>
              <w:autoSpaceDE w:val="0"/>
              <w:autoSpaceDN w:val="0"/>
              <w:adjustRightInd w:val="0"/>
              <w:jc w:val="right"/>
              <w:rPr>
                <w:szCs w:val="21"/>
              </w:rPr>
            </w:pPr>
            <w:r>
              <w:t>3,663,034.10</w:t>
            </w:r>
          </w:p>
        </w:tc>
        <w:tc>
          <w:tcPr>
            <w:tcW w:w="914" w:type="pct"/>
            <w:tcBorders>
              <w:top w:val="single" w:sz="4" w:space="0" w:color="auto"/>
              <w:left w:val="single" w:sz="4" w:space="0" w:color="auto"/>
              <w:bottom w:val="single" w:sz="4" w:space="0" w:color="auto"/>
              <w:right w:val="single" w:sz="4" w:space="0" w:color="auto"/>
            </w:tcBorders>
          </w:tcPr>
          <w:p w14:paraId="74E29693" w14:textId="77777777" w:rsidR="00E57DAA" w:rsidRDefault="00AC4185">
            <w:pPr>
              <w:autoSpaceDE w:val="0"/>
              <w:autoSpaceDN w:val="0"/>
              <w:adjustRightInd w:val="0"/>
              <w:jc w:val="right"/>
              <w:rPr>
                <w:szCs w:val="21"/>
              </w:rPr>
            </w:pPr>
            <w:r>
              <w:t>226,197.98</w:t>
            </w:r>
          </w:p>
        </w:tc>
      </w:tr>
      <w:tr w:rsidR="00E57DAA" w14:paraId="7657D450" w14:textId="77777777">
        <w:tc>
          <w:tcPr>
            <w:tcW w:w="677" w:type="pct"/>
            <w:tcBorders>
              <w:top w:val="single" w:sz="4" w:space="0" w:color="auto"/>
              <w:left w:val="single" w:sz="4" w:space="0" w:color="auto"/>
              <w:bottom w:val="single" w:sz="4" w:space="0" w:color="auto"/>
              <w:right w:val="single" w:sz="4" w:space="0" w:color="auto"/>
            </w:tcBorders>
            <w:vAlign w:val="center"/>
          </w:tcPr>
          <w:p w14:paraId="1E5D2D5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7A25918" w14:textId="77777777" w:rsidR="00E57DAA" w:rsidRDefault="00AC4185">
            <w:pPr>
              <w:autoSpaceDE w:val="0"/>
              <w:autoSpaceDN w:val="0"/>
              <w:adjustRightInd w:val="0"/>
              <w:rPr>
                <w:szCs w:val="21"/>
              </w:rPr>
            </w:pPr>
            <w:r>
              <w:t>重庆石柱西南水泥有限公司</w:t>
            </w:r>
          </w:p>
        </w:tc>
        <w:tc>
          <w:tcPr>
            <w:tcW w:w="633" w:type="pct"/>
            <w:tcBorders>
              <w:top w:val="single" w:sz="4" w:space="0" w:color="auto"/>
              <w:left w:val="single" w:sz="4" w:space="0" w:color="auto"/>
              <w:bottom w:val="single" w:sz="4" w:space="0" w:color="auto"/>
              <w:right w:val="single" w:sz="4" w:space="0" w:color="auto"/>
            </w:tcBorders>
          </w:tcPr>
          <w:p w14:paraId="2A40E7C7" w14:textId="77777777" w:rsidR="00E57DAA" w:rsidRDefault="00AC4185">
            <w:pPr>
              <w:autoSpaceDE w:val="0"/>
              <w:autoSpaceDN w:val="0"/>
              <w:adjustRightInd w:val="0"/>
              <w:jc w:val="right"/>
              <w:rPr>
                <w:szCs w:val="21"/>
              </w:rPr>
            </w:pPr>
            <w:r>
              <w:t>1,889,677.70</w:t>
            </w:r>
          </w:p>
        </w:tc>
        <w:tc>
          <w:tcPr>
            <w:tcW w:w="632" w:type="pct"/>
            <w:tcBorders>
              <w:top w:val="single" w:sz="4" w:space="0" w:color="auto"/>
              <w:left w:val="single" w:sz="4" w:space="0" w:color="auto"/>
              <w:bottom w:val="single" w:sz="4" w:space="0" w:color="auto"/>
              <w:right w:val="single" w:sz="4" w:space="0" w:color="auto"/>
            </w:tcBorders>
          </w:tcPr>
          <w:p w14:paraId="17089317" w14:textId="77777777" w:rsidR="00E57DAA" w:rsidRDefault="00AC4185">
            <w:pPr>
              <w:autoSpaceDE w:val="0"/>
              <w:autoSpaceDN w:val="0"/>
              <w:adjustRightInd w:val="0"/>
              <w:jc w:val="right"/>
              <w:rPr>
                <w:szCs w:val="21"/>
              </w:rPr>
            </w:pPr>
            <w:r>
              <w:t>185,250.20</w:t>
            </w:r>
          </w:p>
        </w:tc>
        <w:tc>
          <w:tcPr>
            <w:tcW w:w="703" w:type="pct"/>
            <w:tcBorders>
              <w:top w:val="single" w:sz="4" w:space="0" w:color="auto"/>
              <w:left w:val="single" w:sz="4" w:space="0" w:color="auto"/>
              <w:bottom w:val="single" w:sz="4" w:space="0" w:color="auto"/>
              <w:right w:val="single" w:sz="4" w:space="0" w:color="auto"/>
            </w:tcBorders>
          </w:tcPr>
          <w:p w14:paraId="3EFF8C02" w14:textId="77777777" w:rsidR="00E57DAA" w:rsidRDefault="00AC4185">
            <w:pPr>
              <w:autoSpaceDE w:val="0"/>
              <w:autoSpaceDN w:val="0"/>
              <w:adjustRightInd w:val="0"/>
              <w:jc w:val="right"/>
              <w:rPr>
                <w:szCs w:val="21"/>
              </w:rPr>
            </w:pPr>
            <w:r>
              <w:t>5,879,477.70</w:t>
            </w:r>
          </w:p>
        </w:tc>
        <w:tc>
          <w:tcPr>
            <w:tcW w:w="914" w:type="pct"/>
            <w:tcBorders>
              <w:top w:val="single" w:sz="4" w:space="0" w:color="auto"/>
              <w:left w:val="single" w:sz="4" w:space="0" w:color="auto"/>
              <w:bottom w:val="single" w:sz="4" w:space="0" w:color="auto"/>
              <w:right w:val="single" w:sz="4" w:space="0" w:color="auto"/>
            </w:tcBorders>
          </w:tcPr>
          <w:p w14:paraId="6CAAFA79" w14:textId="77777777" w:rsidR="00E57DAA" w:rsidRDefault="00AC4185">
            <w:pPr>
              <w:autoSpaceDE w:val="0"/>
              <w:autoSpaceDN w:val="0"/>
              <w:adjustRightInd w:val="0"/>
              <w:jc w:val="right"/>
              <w:rPr>
                <w:szCs w:val="21"/>
              </w:rPr>
            </w:pPr>
            <w:r>
              <w:t>316,403.12</w:t>
            </w:r>
          </w:p>
        </w:tc>
      </w:tr>
      <w:tr w:rsidR="00E57DAA" w14:paraId="7A898AAA" w14:textId="77777777">
        <w:tc>
          <w:tcPr>
            <w:tcW w:w="677" w:type="pct"/>
            <w:tcBorders>
              <w:top w:val="single" w:sz="4" w:space="0" w:color="auto"/>
              <w:left w:val="single" w:sz="4" w:space="0" w:color="auto"/>
              <w:bottom w:val="single" w:sz="4" w:space="0" w:color="auto"/>
              <w:right w:val="single" w:sz="4" w:space="0" w:color="auto"/>
            </w:tcBorders>
            <w:vAlign w:val="center"/>
          </w:tcPr>
          <w:p w14:paraId="2278F1A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4DC7A5A" w14:textId="77777777" w:rsidR="00E57DAA" w:rsidRDefault="00AC4185">
            <w:pPr>
              <w:autoSpaceDE w:val="0"/>
              <w:autoSpaceDN w:val="0"/>
              <w:adjustRightInd w:val="0"/>
              <w:rPr>
                <w:szCs w:val="21"/>
              </w:rPr>
            </w:pPr>
            <w:r>
              <w:t>浙江虎鹰水泥有限公司</w:t>
            </w:r>
          </w:p>
        </w:tc>
        <w:tc>
          <w:tcPr>
            <w:tcW w:w="633" w:type="pct"/>
            <w:tcBorders>
              <w:top w:val="single" w:sz="4" w:space="0" w:color="auto"/>
              <w:left w:val="single" w:sz="4" w:space="0" w:color="auto"/>
              <w:bottom w:val="single" w:sz="4" w:space="0" w:color="auto"/>
              <w:right w:val="single" w:sz="4" w:space="0" w:color="auto"/>
            </w:tcBorders>
          </w:tcPr>
          <w:p w14:paraId="694E95E0" w14:textId="77777777" w:rsidR="00E57DAA" w:rsidRDefault="00AC4185">
            <w:pPr>
              <w:autoSpaceDE w:val="0"/>
              <w:autoSpaceDN w:val="0"/>
              <w:adjustRightInd w:val="0"/>
              <w:jc w:val="right"/>
              <w:rPr>
                <w:szCs w:val="21"/>
              </w:rPr>
            </w:pPr>
            <w:r>
              <w:t>1,863,876.86</w:t>
            </w:r>
          </w:p>
        </w:tc>
        <w:tc>
          <w:tcPr>
            <w:tcW w:w="632" w:type="pct"/>
            <w:tcBorders>
              <w:top w:val="single" w:sz="4" w:space="0" w:color="auto"/>
              <w:left w:val="single" w:sz="4" w:space="0" w:color="auto"/>
              <w:bottom w:val="single" w:sz="4" w:space="0" w:color="auto"/>
              <w:right w:val="single" w:sz="4" w:space="0" w:color="auto"/>
            </w:tcBorders>
          </w:tcPr>
          <w:p w14:paraId="06D8A1A6" w14:textId="77777777" w:rsidR="00E57DAA" w:rsidRDefault="00AC4185">
            <w:pPr>
              <w:autoSpaceDE w:val="0"/>
              <w:autoSpaceDN w:val="0"/>
              <w:adjustRightInd w:val="0"/>
              <w:jc w:val="right"/>
              <w:rPr>
                <w:szCs w:val="21"/>
              </w:rPr>
            </w:pPr>
            <w:r>
              <w:t>82,009.08</w:t>
            </w:r>
          </w:p>
        </w:tc>
        <w:tc>
          <w:tcPr>
            <w:tcW w:w="703" w:type="pct"/>
            <w:tcBorders>
              <w:top w:val="single" w:sz="4" w:space="0" w:color="auto"/>
              <w:left w:val="single" w:sz="4" w:space="0" w:color="auto"/>
              <w:bottom w:val="single" w:sz="4" w:space="0" w:color="auto"/>
              <w:right w:val="single" w:sz="4" w:space="0" w:color="auto"/>
            </w:tcBorders>
          </w:tcPr>
          <w:p w14:paraId="3FBE06AA" w14:textId="77777777" w:rsidR="00E57DAA" w:rsidRDefault="00AC4185">
            <w:pPr>
              <w:autoSpaceDE w:val="0"/>
              <w:autoSpaceDN w:val="0"/>
              <w:adjustRightInd w:val="0"/>
              <w:jc w:val="right"/>
              <w:rPr>
                <w:szCs w:val="21"/>
              </w:rPr>
            </w:pPr>
            <w:r>
              <w:t>2,248,438.92</w:t>
            </w:r>
          </w:p>
        </w:tc>
        <w:tc>
          <w:tcPr>
            <w:tcW w:w="914" w:type="pct"/>
            <w:tcBorders>
              <w:top w:val="single" w:sz="4" w:space="0" w:color="auto"/>
              <w:left w:val="single" w:sz="4" w:space="0" w:color="auto"/>
              <w:bottom w:val="single" w:sz="4" w:space="0" w:color="auto"/>
              <w:right w:val="single" w:sz="4" w:space="0" w:color="auto"/>
            </w:tcBorders>
          </w:tcPr>
          <w:p w14:paraId="78128BC9" w14:textId="77777777" w:rsidR="00E57DAA" w:rsidRDefault="00AC4185">
            <w:pPr>
              <w:autoSpaceDE w:val="0"/>
              <w:autoSpaceDN w:val="0"/>
              <w:adjustRightInd w:val="0"/>
              <w:jc w:val="right"/>
              <w:rPr>
                <w:szCs w:val="21"/>
              </w:rPr>
            </w:pPr>
            <w:r>
              <w:t>112,421.95</w:t>
            </w:r>
          </w:p>
        </w:tc>
      </w:tr>
      <w:tr w:rsidR="00E57DAA" w14:paraId="5422355E" w14:textId="77777777">
        <w:tc>
          <w:tcPr>
            <w:tcW w:w="677" w:type="pct"/>
            <w:tcBorders>
              <w:top w:val="single" w:sz="4" w:space="0" w:color="auto"/>
              <w:left w:val="single" w:sz="4" w:space="0" w:color="auto"/>
              <w:bottom w:val="single" w:sz="4" w:space="0" w:color="auto"/>
              <w:right w:val="single" w:sz="4" w:space="0" w:color="auto"/>
            </w:tcBorders>
            <w:vAlign w:val="center"/>
          </w:tcPr>
          <w:p w14:paraId="0999844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174A6FB" w14:textId="77777777" w:rsidR="00E57DAA" w:rsidRDefault="00AC4185">
            <w:pPr>
              <w:autoSpaceDE w:val="0"/>
              <w:autoSpaceDN w:val="0"/>
              <w:adjustRightInd w:val="0"/>
              <w:rPr>
                <w:szCs w:val="21"/>
              </w:rPr>
            </w:pPr>
            <w:r>
              <w:t>西藏中材祁连山水泥有限公司</w:t>
            </w:r>
          </w:p>
        </w:tc>
        <w:tc>
          <w:tcPr>
            <w:tcW w:w="633" w:type="pct"/>
            <w:tcBorders>
              <w:top w:val="single" w:sz="4" w:space="0" w:color="auto"/>
              <w:left w:val="single" w:sz="4" w:space="0" w:color="auto"/>
              <w:bottom w:val="single" w:sz="4" w:space="0" w:color="auto"/>
              <w:right w:val="single" w:sz="4" w:space="0" w:color="auto"/>
            </w:tcBorders>
          </w:tcPr>
          <w:p w14:paraId="5336C971" w14:textId="77777777" w:rsidR="00E57DAA" w:rsidRDefault="00AC4185">
            <w:pPr>
              <w:autoSpaceDE w:val="0"/>
              <w:autoSpaceDN w:val="0"/>
              <w:adjustRightInd w:val="0"/>
              <w:jc w:val="right"/>
              <w:rPr>
                <w:szCs w:val="21"/>
              </w:rPr>
            </w:pPr>
            <w:r>
              <w:t>1,828,395.60</w:t>
            </w:r>
          </w:p>
        </w:tc>
        <w:tc>
          <w:tcPr>
            <w:tcW w:w="632" w:type="pct"/>
            <w:tcBorders>
              <w:top w:val="single" w:sz="4" w:space="0" w:color="auto"/>
              <w:left w:val="single" w:sz="4" w:space="0" w:color="auto"/>
              <w:bottom w:val="single" w:sz="4" w:space="0" w:color="auto"/>
              <w:right w:val="single" w:sz="4" w:space="0" w:color="auto"/>
            </w:tcBorders>
          </w:tcPr>
          <w:p w14:paraId="77DAE138" w14:textId="77777777" w:rsidR="00E57DAA" w:rsidRDefault="00AC4185">
            <w:pPr>
              <w:autoSpaceDE w:val="0"/>
              <w:autoSpaceDN w:val="0"/>
              <w:adjustRightInd w:val="0"/>
              <w:jc w:val="right"/>
              <w:rPr>
                <w:szCs w:val="21"/>
              </w:rPr>
            </w:pPr>
            <w:r>
              <w:t>24,303.27</w:t>
            </w:r>
          </w:p>
        </w:tc>
        <w:tc>
          <w:tcPr>
            <w:tcW w:w="703" w:type="pct"/>
            <w:tcBorders>
              <w:top w:val="single" w:sz="4" w:space="0" w:color="auto"/>
              <w:left w:val="single" w:sz="4" w:space="0" w:color="auto"/>
              <w:bottom w:val="single" w:sz="4" w:space="0" w:color="auto"/>
              <w:right w:val="single" w:sz="4" w:space="0" w:color="auto"/>
            </w:tcBorders>
          </w:tcPr>
          <w:p w14:paraId="22FF1423" w14:textId="77777777" w:rsidR="00E57DAA" w:rsidRDefault="00AC4185">
            <w:pPr>
              <w:autoSpaceDE w:val="0"/>
              <w:autoSpaceDN w:val="0"/>
              <w:adjustRightInd w:val="0"/>
              <w:jc w:val="right"/>
              <w:rPr>
                <w:szCs w:val="21"/>
              </w:rPr>
            </w:pPr>
            <w:r>
              <w:t>2,689,457.96</w:t>
            </w:r>
          </w:p>
        </w:tc>
        <w:tc>
          <w:tcPr>
            <w:tcW w:w="914" w:type="pct"/>
            <w:tcBorders>
              <w:top w:val="single" w:sz="4" w:space="0" w:color="auto"/>
              <w:left w:val="single" w:sz="4" w:space="0" w:color="auto"/>
              <w:bottom w:val="single" w:sz="4" w:space="0" w:color="auto"/>
              <w:right w:val="single" w:sz="4" w:space="0" w:color="auto"/>
            </w:tcBorders>
          </w:tcPr>
          <w:p w14:paraId="2EB440AF" w14:textId="77777777" w:rsidR="00E57DAA" w:rsidRDefault="00AC4185">
            <w:pPr>
              <w:autoSpaceDE w:val="0"/>
              <w:autoSpaceDN w:val="0"/>
              <w:adjustRightInd w:val="0"/>
              <w:jc w:val="right"/>
              <w:rPr>
                <w:szCs w:val="21"/>
              </w:rPr>
            </w:pPr>
            <w:r>
              <w:t>63,740.15</w:t>
            </w:r>
          </w:p>
        </w:tc>
      </w:tr>
      <w:tr w:rsidR="00E57DAA" w14:paraId="73F0DCEF" w14:textId="77777777">
        <w:tc>
          <w:tcPr>
            <w:tcW w:w="677" w:type="pct"/>
            <w:tcBorders>
              <w:top w:val="single" w:sz="4" w:space="0" w:color="auto"/>
              <w:left w:val="single" w:sz="4" w:space="0" w:color="auto"/>
              <w:bottom w:val="single" w:sz="4" w:space="0" w:color="auto"/>
              <w:right w:val="single" w:sz="4" w:space="0" w:color="auto"/>
            </w:tcBorders>
            <w:vAlign w:val="center"/>
          </w:tcPr>
          <w:p w14:paraId="3F662F0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E276EF2" w14:textId="77777777" w:rsidR="00E57DAA" w:rsidRDefault="00AC4185">
            <w:pPr>
              <w:autoSpaceDE w:val="0"/>
              <w:autoSpaceDN w:val="0"/>
              <w:adjustRightInd w:val="0"/>
              <w:rPr>
                <w:szCs w:val="21"/>
              </w:rPr>
            </w:pPr>
            <w:r>
              <w:t>天水中材水泥有限责任公司</w:t>
            </w:r>
          </w:p>
        </w:tc>
        <w:tc>
          <w:tcPr>
            <w:tcW w:w="633" w:type="pct"/>
            <w:tcBorders>
              <w:top w:val="single" w:sz="4" w:space="0" w:color="auto"/>
              <w:left w:val="single" w:sz="4" w:space="0" w:color="auto"/>
              <w:bottom w:val="single" w:sz="4" w:space="0" w:color="auto"/>
              <w:right w:val="single" w:sz="4" w:space="0" w:color="auto"/>
            </w:tcBorders>
          </w:tcPr>
          <w:p w14:paraId="59D80B5C" w14:textId="77777777" w:rsidR="00E57DAA" w:rsidRDefault="00AC4185">
            <w:pPr>
              <w:autoSpaceDE w:val="0"/>
              <w:autoSpaceDN w:val="0"/>
              <w:adjustRightInd w:val="0"/>
              <w:jc w:val="right"/>
              <w:rPr>
                <w:szCs w:val="21"/>
              </w:rPr>
            </w:pPr>
            <w:r>
              <w:t>1,776,883.78</w:t>
            </w:r>
          </w:p>
        </w:tc>
        <w:tc>
          <w:tcPr>
            <w:tcW w:w="632" w:type="pct"/>
            <w:tcBorders>
              <w:top w:val="single" w:sz="4" w:space="0" w:color="auto"/>
              <w:left w:val="single" w:sz="4" w:space="0" w:color="auto"/>
              <w:bottom w:val="single" w:sz="4" w:space="0" w:color="auto"/>
              <w:right w:val="single" w:sz="4" w:space="0" w:color="auto"/>
            </w:tcBorders>
          </w:tcPr>
          <w:p w14:paraId="5038B345" w14:textId="77777777" w:rsidR="00E57DAA" w:rsidRDefault="00AC4185">
            <w:pPr>
              <w:autoSpaceDE w:val="0"/>
              <w:autoSpaceDN w:val="0"/>
              <w:adjustRightInd w:val="0"/>
              <w:jc w:val="right"/>
              <w:rPr>
                <w:szCs w:val="21"/>
              </w:rPr>
            </w:pPr>
            <w:r>
              <w:t>86,964.29</w:t>
            </w:r>
          </w:p>
        </w:tc>
        <w:tc>
          <w:tcPr>
            <w:tcW w:w="703" w:type="pct"/>
            <w:tcBorders>
              <w:top w:val="single" w:sz="4" w:space="0" w:color="auto"/>
              <w:left w:val="single" w:sz="4" w:space="0" w:color="auto"/>
              <w:bottom w:val="single" w:sz="4" w:space="0" w:color="auto"/>
              <w:right w:val="single" w:sz="4" w:space="0" w:color="auto"/>
            </w:tcBorders>
          </w:tcPr>
          <w:p w14:paraId="2A4238A8" w14:textId="77777777" w:rsidR="00E57DAA" w:rsidRDefault="00AC4185">
            <w:pPr>
              <w:autoSpaceDE w:val="0"/>
              <w:autoSpaceDN w:val="0"/>
              <w:adjustRightInd w:val="0"/>
              <w:jc w:val="right"/>
              <w:rPr>
                <w:szCs w:val="21"/>
              </w:rPr>
            </w:pPr>
            <w:r>
              <w:t>876,167.80</w:t>
            </w:r>
          </w:p>
        </w:tc>
        <w:tc>
          <w:tcPr>
            <w:tcW w:w="914" w:type="pct"/>
            <w:tcBorders>
              <w:top w:val="single" w:sz="4" w:space="0" w:color="auto"/>
              <w:left w:val="single" w:sz="4" w:space="0" w:color="auto"/>
              <w:bottom w:val="single" w:sz="4" w:space="0" w:color="auto"/>
              <w:right w:val="single" w:sz="4" w:space="0" w:color="auto"/>
            </w:tcBorders>
          </w:tcPr>
          <w:p w14:paraId="49844FA9" w14:textId="77777777" w:rsidR="00E57DAA" w:rsidRDefault="00AC4185">
            <w:pPr>
              <w:autoSpaceDE w:val="0"/>
              <w:autoSpaceDN w:val="0"/>
              <w:adjustRightInd w:val="0"/>
              <w:jc w:val="right"/>
              <w:rPr>
                <w:szCs w:val="21"/>
              </w:rPr>
            </w:pPr>
            <w:r>
              <w:t>52,052.52</w:t>
            </w:r>
          </w:p>
        </w:tc>
      </w:tr>
      <w:tr w:rsidR="00E57DAA" w14:paraId="1CA0BAE5" w14:textId="77777777">
        <w:tc>
          <w:tcPr>
            <w:tcW w:w="677" w:type="pct"/>
            <w:tcBorders>
              <w:top w:val="single" w:sz="4" w:space="0" w:color="auto"/>
              <w:left w:val="single" w:sz="4" w:space="0" w:color="auto"/>
              <w:bottom w:val="single" w:sz="4" w:space="0" w:color="auto"/>
              <w:right w:val="single" w:sz="4" w:space="0" w:color="auto"/>
            </w:tcBorders>
            <w:vAlign w:val="center"/>
          </w:tcPr>
          <w:p w14:paraId="7A58B52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82AB4F2" w14:textId="77777777" w:rsidR="00E57DAA" w:rsidRDefault="00AC4185">
            <w:pPr>
              <w:autoSpaceDE w:val="0"/>
              <w:autoSpaceDN w:val="0"/>
              <w:adjustRightInd w:val="0"/>
              <w:rPr>
                <w:szCs w:val="21"/>
              </w:rPr>
            </w:pPr>
            <w:r>
              <w:t>保定中联水泥有限公司</w:t>
            </w:r>
          </w:p>
        </w:tc>
        <w:tc>
          <w:tcPr>
            <w:tcW w:w="633" w:type="pct"/>
            <w:tcBorders>
              <w:top w:val="single" w:sz="4" w:space="0" w:color="auto"/>
              <w:left w:val="single" w:sz="4" w:space="0" w:color="auto"/>
              <w:bottom w:val="single" w:sz="4" w:space="0" w:color="auto"/>
              <w:right w:val="single" w:sz="4" w:space="0" w:color="auto"/>
            </w:tcBorders>
          </w:tcPr>
          <w:p w14:paraId="596C73AA" w14:textId="77777777" w:rsidR="00E57DAA" w:rsidRDefault="00AC4185">
            <w:pPr>
              <w:autoSpaceDE w:val="0"/>
              <w:autoSpaceDN w:val="0"/>
              <w:adjustRightInd w:val="0"/>
              <w:jc w:val="right"/>
              <w:rPr>
                <w:szCs w:val="21"/>
              </w:rPr>
            </w:pPr>
            <w:r>
              <w:t>1,770,000.00</w:t>
            </w:r>
          </w:p>
        </w:tc>
        <w:tc>
          <w:tcPr>
            <w:tcW w:w="632" w:type="pct"/>
            <w:tcBorders>
              <w:top w:val="single" w:sz="4" w:space="0" w:color="auto"/>
              <w:left w:val="single" w:sz="4" w:space="0" w:color="auto"/>
              <w:bottom w:val="single" w:sz="4" w:space="0" w:color="auto"/>
              <w:right w:val="single" w:sz="4" w:space="0" w:color="auto"/>
            </w:tcBorders>
          </w:tcPr>
          <w:p w14:paraId="309E331A" w14:textId="77777777" w:rsidR="00E57DAA" w:rsidRDefault="00AC4185">
            <w:pPr>
              <w:autoSpaceDE w:val="0"/>
              <w:autoSpaceDN w:val="0"/>
              <w:adjustRightInd w:val="0"/>
              <w:jc w:val="right"/>
              <w:rPr>
                <w:szCs w:val="21"/>
              </w:rPr>
            </w:pPr>
            <w:r>
              <w:t>25,134.00</w:t>
            </w:r>
          </w:p>
        </w:tc>
        <w:tc>
          <w:tcPr>
            <w:tcW w:w="703" w:type="pct"/>
            <w:tcBorders>
              <w:top w:val="single" w:sz="4" w:space="0" w:color="auto"/>
              <w:left w:val="single" w:sz="4" w:space="0" w:color="auto"/>
              <w:bottom w:val="single" w:sz="4" w:space="0" w:color="auto"/>
              <w:right w:val="single" w:sz="4" w:space="0" w:color="auto"/>
            </w:tcBorders>
          </w:tcPr>
          <w:p w14:paraId="401B26F7" w14:textId="77777777" w:rsidR="00E57DAA" w:rsidRDefault="00AC4185">
            <w:pPr>
              <w:autoSpaceDE w:val="0"/>
              <w:autoSpaceDN w:val="0"/>
              <w:adjustRightInd w:val="0"/>
              <w:jc w:val="right"/>
              <w:rPr>
                <w:szCs w:val="21"/>
              </w:rPr>
            </w:pPr>
            <w:r>
              <w:t>1,887,680.00</w:t>
            </w:r>
          </w:p>
        </w:tc>
        <w:tc>
          <w:tcPr>
            <w:tcW w:w="914" w:type="pct"/>
            <w:tcBorders>
              <w:top w:val="single" w:sz="4" w:space="0" w:color="auto"/>
              <w:left w:val="single" w:sz="4" w:space="0" w:color="auto"/>
              <w:bottom w:val="single" w:sz="4" w:space="0" w:color="auto"/>
              <w:right w:val="single" w:sz="4" w:space="0" w:color="auto"/>
            </w:tcBorders>
          </w:tcPr>
          <w:p w14:paraId="6CB2A63F" w14:textId="77777777" w:rsidR="00E57DAA" w:rsidRDefault="00AC4185">
            <w:pPr>
              <w:autoSpaceDE w:val="0"/>
              <w:autoSpaceDN w:val="0"/>
              <w:adjustRightInd w:val="0"/>
              <w:jc w:val="right"/>
              <w:rPr>
                <w:szCs w:val="21"/>
              </w:rPr>
            </w:pPr>
            <w:r>
              <w:t>136,101.73</w:t>
            </w:r>
          </w:p>
        </w:tc>
      </w:tr>
      <w:tr w:rsidR="00E57DAA" w14:paraId="183EDFC2" w14:textId="77777777">
        <w:tc>
          <w:tcPr>
            <w:tcW w:w="677" w:type="pct"/>
            <w:tcBorders>
              <w:top w:val="single" w:sz="4" w:space="0" w:color="auto"/>
              <w:left w:val="single" w:sz="4" w:space="0" w:color="auto"/>
              <w:bottom w:val="single" w:sz="4" w:space="0" w:color="auto"/>
              <w:right w:val="single" w:sz="4" w:space="0" w:color="auto"/>
            </w:tcBorders>
            <w:vAlign w:val="center"/>
          </w:tcPr>
          <w:p w14:paraId="5D2EAE5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2E346ED" w14:textId="77777777" w:rsidR="00E57DAA" w:rsidRDefault="00AC4185">
            <w:pPr>
              <w:autoSpaceDE w:val="0"/>
              <w:autoSpaceDN w:val="0"/>
              <w:adjustRightInd w:val="0"/>
              <w:rPr>
                <w:szCs w:val="21"/>
              </w:rPr>
            </w:pPr>
            <w:r>
              <w:t>华坪县定华能源建材有限责任公司</w:t>
            </w:r>
          </w:p>
        </w:tc>
        <w:tc>
          <w:tcPr>
            <w:tcW w:w="633" w:type="pct"/>
            <w:tcBorders>
              <w:top w:val="single" w:sz="4" w:space="0" w:color="auto"/>
              <w:left w:val="single" w:sz="4" w:space="0" w:color="auto"/>
              <w:bottom w:val="single" w:sz="4" w:space="0" w:color="auto"/>
              <w:right w:val="single" w:sz="4" w:space="0" w:color="auto"/>
            </w:tcBorders>
          </w:tcPr>
          <w:p w14:paraId="4424CD96" w14:textId="77777777" w:rsidR="00E57DAA" w:rsidRDefault="00AC4185">
            <w:pPr>
              <w:autoSpaceDE w:val="0"/>
              <w:autoSpaceDN w:val="0"/>
              <w:adjustRightInd w:val="0"/>
              <w:jc w:val="right"/>
              <w:rPr>
                <w:szCs w:val="21"/>
              </w:rPr>
            </w:pPr>
            <w:r>
              <w:t>1,769,951.39</w:t>
            </w:r>
          </w:p>
        </w:tc>
        <w:tc>
          <w:tcPr>
            <w:tcW w:w="632" w:type="pct"/>
            <w:tcBorders>
              <w:top w:val="single" w:sz="4" w:space="0" w:color="auto"/>
              <w:left w:val="single" w:sz="4" w:space="0" w:color="auto"/>
              <w:bottom w:val="single" w:sz="4" w:space="0" w:color="auto"/>
              <w:right w:val="single" w:sz="4" w:space="0" w:color="auto"/>
            </w:tcBorders>
          </w:tcPr>
          <w:p w14:paraId="52EFC503" w14:textId="77777777" w:rsidR="00E57DAA" w:rsidRDefault="00AC4185">
            <w:pPr>
              <w:autoSpaceDE w:val="0"/>
              <w:autoSpaceDN w:val="0"/>
              <w:adjustRightInd w:val="0"/>
              <w:jc w:val="right"/>
              <w:rPr>
                <w:szCs w:val="21"/>
              </w:rPr>
            </w:pPr>
            <w:r>
              <w:t>64,408.00</w:t>
            </w:r>
          </w:p>
        </w:tc>
        <w:tc>
          <w:tcPr>
            <w:tcW w:w="703" w:type="pct"/>
            <w:tcBorders>
              <w:top w:val="single" w:sz="4" w:space="0" w:color="auto"/>
              <w:left w:val="single" w:sz="4" w:space="0" w:color="auto"/>
              <w:bottom w:val="single" w:sz="4" w:space="0" w:color="auto"/>
              <w:right w:val="single" w:sz="4" w:space="0" w:color="auto"/>
            </w:tcBorders>
          </w:tcPr>
          <w:p w14:paraId="5365F5E8" w14:textId="77777777" w:rsidR="00E57DAA" w:rsidRDefault="00AC4185">
            <w:pPr>
              <w:autoSpaceDE w:val="0"/>
              <w:autoSpaceDN w:val="0"/>
              <w:adjustRightInd w:val="0"/>
              <w:jc w:val="right"/>
              <w:rPr>
                <w:szCs w:val="21"/>
              </w:rPr>
            </w:pPr>
            <w:r>
              <w:t>1,018,772.33</w:t>
            </w:r>
          </w:p>
        </w:tc>
        <w:tc>
          <w:tcPr>
            <w:tcW w:w="914" w:type="pct"/>
            <w:tcBorders>
              <w:top w:val="single" w:sz="4" w:space="0" w:color="auto"/>
              <w:left w:val="single" w:sz="4" w:space="0" w:color="auto"/>
              <w:bottom w:val="single" w:sz="4" w:space="0" w:color="auto"/>
              <w:right w:val="single" w:sz="4" w:space="0" w:color="auto"/>
            </w:tcBorders>
          </w:tcPr>
          <w:p w14:paraId="09979BC1" w14:textId="77777777" w:rsidR="00E57DAA" w:rsidRDefault="00AC4185">
            <w:pPr>
              <w:autoSpaceDE w:val="0"/>
              <w:autoSpaceDN w:val="0"/>
              <w:adjustRightInd w:val="0"/>
              <w:jc w:val="right"/>
              <w:rPr>
                <w:szCs w:val="21"/>
              </w:rPr>
            </w:pPr>
            <w:r>
              <w:t>136,870.06</w:t>
            </w:r>
          </w:p>
        </w:tc>
      </w:tr>
      <w:tr w:rsidR="00E57DAA" w14:paraId="4E51A84D" w14:textId="77777777">
        <w:tc>
          <w:tcPr>
            <w:tcW w:w="677" w:type="pct"/>
            <w:tcBorders>
              <w:top w:val="single" w:sz="4" w:space="0" w:color="auto"/>
              <w:left w:val="single" w:sz="4" w:space="0" w:color="auto"/>
              <w:bottom w:val="single" w:sz="4" w:space="0" w:color="auto"/>
              <w:right w:val="single" w:sz="4" w:space="0" w:color="auto"/>
            </w:tcBorders>
            <w:vAlign w:val="center"/>
          </w:tcPr>
          <w:p w14:paraId="3F1AC22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0967616" w14:textId="77777777" w:rsidR="00E57DAA" w:rsidRDefault="00AC4185">
            <w:pPr>
              <w:autoSpaceDE w:val="0"/>
              <w:autoSpaceDN w:val="0"/>
              <w:adjustRightInd w:val="0"/>
              <w:rPr>
                <w:szCs w:val="21"/>
              </w:rPr>
            </w:pPr>
            <w:r>
              <w:t>贵州织金西南水泥有限公司</w:t>
            </w:r>
          </w:p>
        </w:tc>
        <w:tc>
          <w:tcPr>
            <w:tcW w:w="633" w:type="pct"/>
            <w:tcBorders>
              <w:top w:val="single" w:sz="4" w:space="0" w:color="auto"/>
              <w:left w:val="single" w:sz="4" w:space="0" w:color="auto"/>
              <w:bottom w:val="single" w:sz="4" w:space="0" w:color="auto"/>
              <w:right w:val="single" w:sz="4" w:space="0" w:color="auto"/>
            </w:tcBorders>
          </w:tcPr>
          <w:p w14:paraId="273CD467" w14:textId="77777777" w:rsidR="00E57DAA" w:rsidRDefault="00AC4185">
            <w:pPr>
              <w:autoSpaceDE w:val="0"/>
              <w:autoSpaceDN w:val="0"/>
              <w:adjustRightInd w:val="0"/>
              <w:jc w:val="right"/>
              <w:rPr>
                <w:szCs w:val="21"/>
              </w:rPr>
            </w:pPr>
            <w:r>
              <w:t>1,738,493.73</w:t>
            </w:r>
          </w:p>
        </w:tc>
        <w:tc>
          <w:tcPr>
            <w:tcW w:w="632" w:type="pct"/>
            <w:tcBorders>
              <w:top w:val="single" w:sz="4" w:space="0" w:color="auto"/>
              <w:left w:val="single" w:sz="4" w:space="0" w:color="auto"/>
              <w:bottom w:val="single" w:sz="4" w:space="0" w:color="auto"/>
              <w:right w:val="single" w:sz="4" w:space="0" w:color="auto"/>
            </w:tcBorders>
          </w:tcPr>
          <w:p w14:paraId="63AD45EA" w14:textId="77777777" w:rsidR="00E57DAA" w:rsidRDefault="00AC4185">
            <w:pPr>
              <w:autoSpaceDE w:val="0"/>
              <w:autoSpaceDN w:val="0"/>
              <w:adjustRightInd w:val="0"/>
              <w:jc w:val="right"/>
              <w:rPr>
                <w:szCs w:val="21"/>
              </w:rPr>
            </w:pPr>
            <w:r>
              <w:t>6,953.97</w:t>
            </w:r>
          </w:p>
        </w:tc>
        <w:tc>
          <w:tcPr>
            <w:tcW w:w="703" w:type="pct"/>
            <w:tcBorders>
              <w:top w:val="single" w:sz="4" w:space="0" w:color="auto"/>
              <w:left w:val="single" w:sz="4" w:space="0" w:color="auto"/>
              <w:bottom w:val="single" w:sz="4" w:space="0" w:color="auto"/>
              <w:right w:val="single" w:sz="4" w:space="0" w:color="auto"/>
            </w:tcBorders>
          </w:tcPr>
          <w:p w14:paraId="096006D4" w14:textId="77777777" w:rsidR="00E57DAA" w:rsidRDefault="00AC4185">
            <w:pPr>
              <w:autoSpaceDE w:val="0"/>
              <w:autoSpaceDN w:val="0"/>
              <w:adjustRightInd w:val="0"/>
              <w:jc w:val="right"/>
              <w:rPr>
                <w:szCs w:val="21"/>
              </w:rPr>
            </w:pPr>
            <w:r>
              <w:t>5,400.00</w:t>
            </w:r>
          </w:p>
        </w:tc>
        <w:tc>
          <w:tcPr>
            <w:tcW w:w="914" w:type="pct"/>
            <w:tcBorders>
              <w:top w:val="single" w:sz="4" w:space="0" w:color="auto"/>
              <w:left w:val="single" w:sz="4" w:space="0" w:color="auto"/>
              <w:bottom w:val="single" w:sz="4" w:space="0" w:color="auto"/>
              <w:right w:val="single" w:sz="4" w:space="0" w:color="auto"/>
            </w:tcBorders>
          </w:tcPr>
          <w:p w14:paraId="43F2A285" w14:textId="77777777" w:rsidR="00E57DAA" w:rsidRDefault="00AC4185">
            <w:pPr>
              <w:autoSpaceDE w:val="0"/>
              <w:autoSpaceDN w:val="0"/>
              <w:adjustRightInd w:val="0"/>
              <w:jc w:val="right"/>
              <w:rPr>
                <w:szCs w:val="21"/>
              </w:rPr>
            </w:pPr>
            <w:r>
              <w:t>270</w:t>
            </w:r>
          </w:p>
        </w:tc>
      </w:tr>
      <w:tr w:rsidR="00E57DAA" w14:paraId="7EB23661" w14:textId="77777777">
        <w:tc>
          <w:tcPr>
            <w:tcW w:w="677" w:type="pct"/>
            <w:tcBorders>
              <w:top w:val="single" w:sz="4" w:space="0" w:color="auto"/>
              <w:left w:val="single" w:sz="4" w:space="0" w:color="auto"/>
              <w:bottom w:val="single" w:sz="4" w:space="0" w:color="auto"/>
              <w:right w:val="single" w:sz="4" w:space="0" w:color="auto"/>
            </w:tcBorders>
            <w:vAlign w:val="center"/>
          </w:tcPr>
          <w:p w14:paraId="2DB25F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F0A5151" w14:textId="77777777" w:rsidR="00E57DAA" w:rsidRDefault="00AC4185">
            <w:pPr>
              <w:autoSpaceDE w:val="0"/>
              <w:autoSpaceDN w:val="0"/>
              <w:adjustRightInd w:val="0"/>
              <w:rPr>
                <w:szCs w:val="21"/>
              </w:rPr>
            </w:pPr>
            <w:r>
              <w:t>甘谷祁连山水泥有限公司</w:t>
            </w:r>
          </w:p>
        </w:tc>
        <w:tc>
          <w:tcPr>
            <w:tcW w:w="633" w:type="pct"/>
            <w:tcBorders>
              <w:top w:val="single" w:sz="4" w:space="0" w:color="auto"/>
              <w:left w:val="single" w:sz="4" w:space="0" w:color="auto"/>
              <w:bottom w:val="single" w:sz="4" w:space="0" w:color="auto"/>
              <w:right w:val="single" w:sz="4" w:space="0" w:color="auto"/>
            </w:tcBorders>
          </w:tcPr>
          <w:p w14:paraId="39DE5702" w14:textId="77777777" w:rsidR="00E57DAA" w:rsidRDefault="00AC4185">
            <w:pPr>
              <w:autoSpaceDE w:val="0"/>
              <w:autoSpaceDN w:val="0"/>
              <w:adjustRightInd w:val="0"/>
              <w:jc w:val="right"/>
              <w:rPr>
                <w:szCs w:val="21"/>
              </w:rPr>
            </w:pPr>
            <w:r>
              <w:t>1,736,700.00</w:t>
            </w:r>
          </w:p>
        </w:tc>
        <w:tc>
          <w:tcPr>
            <w:tcW w:w="632" w:type="pct"/>
            <w:tcBorders>
              <w:top w:val="single" w:sz="4" w:space="0" w:color="auto"/>
              <w:left w:val="single" w:sz="4" w:space="0" w:color="auto"/>
              <w:bottom w:val="single" w:sz="4" w:space="0" w:color="auto"/>
              <w:right w:val="single" w:sz="4" w:space="0" w:color="auto"/>
            </w:tcBorders>
          </w:tcPr>
          <w:p w14:paraId="21BCC59D" w14:textId="77777777" w:rsidR="00E57DAA" w:rsidRDefault="00AC4185">
            <w:pPr>
              <w:autoSpaceDE w:val="0"/>
              <w:autoSpaceDN w:val="0"/>
              <w:adjustRightInd w:val="0"/>
              <w:jc w:val="right"/>
              <w:rPr>
                <w:szCs w:val="21"/>
              </w:rPr>
            </w:pPr>
            <w:r>
              <w:t>41,896.19</w:t>
            </w:r>
          </w:p>
        </w:tc>
        <w:tc>
          <w:tcPr>
            <w:tcW w:w="703" w:type="pct"/>
            <w:tcBorders>
              <w:top w:val="single" w:sz="4" w:space="0" w:color="auto"/>
              <w:left w:val="single" w:sz="4" w:space="0" w:color="auto"/>
              <w:bottom w:val="single" w:sz="4" w:space="0" w:color="auto"/>
              <w:right w:val="single" w:sz="4" w:space="0" w:color="auto"/>
            </w:tcBorders>
          </w:tcPr>
          <w:p w14:paraId="61F5E25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0F9EAD2" w14:textId="77777777" w:rsidR="00E57DAA" w:rsidRDefault="00AC4185">
            <w:pPr>
              <w:autoSpaceDE w:val="0"/>
              <w:autoSpaceDN w:val="0"/>
              <w:adjustRightInd w:val="0"/>
              <w:jc w:val="right"/>
              <w:rPr>
                <w:szCs w:val="21"/>
              </w:rPr>
            </w:pPr>
            <w:r>
              <w:t xml:space="preserve">　</w:t>
            </w:r>
          </w:p>
        </w:tc>
      </w:tr>
      <w:tr w:rsidR="00E57DAA" w14:paraId="011E5B8D" w14:textId="77777777">
        <w:tc>
          <w:tcPr>
            <w:tcW w:w="677" w:type="pct"/>
            <w:tcBorders>
              <w:top w:val="single" w:sz="4" w:space="0" w:color="auto"/>
              <w:left w:val="single" w:sz="4" w:space="0" w:color="auto"/>
              <w:bottom w:val="single" w:sz="4" w:space="0" w:color="auto"/>
              <w:right w:val="single" w:sz="4" w:space="0" w:color="auto"/>
            </w:tcBorders>
            <w:vAlign w:val="center"/>
          </w:tcPr>
          <w:p w14:paraId="15DD1B0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61C144" w14:textId="77777777" w:rsidR="00E57DAA" w:rsidRDefault="00AC4185">
            <w:pPr>
              <w:autoSpaceDE w:val="0"/>
              <w:autoSpaceDN w:val="0"/>
              <w:adjustRightInd w:val="0"/>
              <w:rPr>
                <w:szCs w:val="21"/>
              </w:rPr>
            </w:pPr>
            <w:r>
              <w:t>江西芦溪南方水泥有限公司</w:t>
            </w:r>
          </w:p>
        </w:tc>
        <w:tc>
          <w:tcPr>
            <w:tcW w:w="633" w:type="pct"/>
            <w:tcBorders>
              <w:top w:val="single" w:sz="4" w:space="0" w:color="auto"/>
              <w:left w:val="single" w:sz="4" w:space="0" w:color="auto"/>
              <w:bottom w:val="single" w:sz="4" w:space="0" w:color="auto"/>
              <w:right w:val="single" w:sz="4" w:space="0" w:color="auto"/>
            </w:tcBorders>
          </w:tcPr>
          <w:p w14:paraId="6740279D" w14:textId="77777777" w:rsidR="00E57DAA" w:rsidRDefault="00AC4185">
            <w:pPr>
              <w:autoSpaceDE w:val="0"/>
              <w:autoSpaceDN w:val="0"/>
              <w:adjustRightInd w:val="0"/>
              <w:jc w:val="right"/>
              <w:rPr>
                <w:szCs w:val="21"/>
              </w:rPr>
            </w:pPr>
            <w:r>
              <w:t>1,722,204.52</w:t>
            </w:r>
          </w:p>
        </w:tc>
        <w:tc>
          <w:tcPr>
            <w:tcW w:w="632" w:type="pct"/>
            <w:tcBorders>
              <w:top w:val="single" w:sz="4" w:space="0" w:color="auto"/>
              <w:left w:val="single" w:sz="4" w:space="0" w:color="auto"/>
              <w:bottom w:val="single" w:sz="4" w:space="0" w:color="auto"/>
              <w:right w:val="single" w:sz="4" w:space="0" w:color="auto"/>
            </w:tcBorders>
          </w:tcPr>
          <w:p w14:paraId="233CB10A" w14:textId="77777777" w:rsidR="00E57DAA" w:rsidRDefault="00AC4185">
            <w:pPr>
              <w:autoSpaceDE w:val="0"/>
              <w:autoSpaceDN w:val="0"/>
              <w:adjustRightInd w:val="0"/>
              <w:jc w:val="right"/>
              <w:rPr>
                <w:szCs w:val="21"/>
              </w:rPr>
            </w:pPr>
            <w:r>
              <w:t>21,860.82</w:t>
            </w:r>
          </w:p>
        </w:tc>
        <w:tc>
          <w:tcPr>
            <w:tcW w:w="703" w:type="pct"/>
            <w:tcBorders>
              <w:top w:val="single" w:sz="4" w:space="0" w:color="auto"/>
              <w:left w:val="single" w:sz="4" w:space="0" w:color="auto"/>
              <w:bottom w:val="single" w:sz="4" w:space="0" w:color="auto"/>
              <w:right w:val="single" w:sz="4" w:space="0" w:color="auto"/>
            </w:tcBorders>
          </w:tcPr>
          <w:p w14:paraId="6A60A1E6" w14:textId="77777777" w:rsidR="00E57DAA" w:rsidRDefault="00AC4185">
            <w:pPr>
              <w:autoSpaceDE w:val="0"/>
              <w:autoSpaceDN w:val="0"/>
              <w:adjustRightInd w:val="0"/>
              <w:jc w:val="right"/>
              <w:rPr>
                <w:szCs w:val="21"/>
              </w:rPr>
            </w:pPr>
            <w:r>
              <w:t>19,500.00</w:t>
            </w:r>
          </w:p>
        </w:tc>
        <w:tc>
          <w:tcPr>
            <w:tcW w:w="914" w:type="pct"/>
            <w:tcBorders>
              <w:top w:val="single" w:sz="4" w:space="0" w:color="auto"/>
              <w:left w:val="single" w:sz="4" w:space="0" w:color="auto"/>
              <w:bottom w:val="single" w:sz="4" w:space="0" w:color="auto"/>
              <w:right w:val="single" w:sz="4" w:space="0" w:color="auto"/>
            </w:tcBorders>
          </w:tcPr>
          <w:p w14:paraId="182FE985" w14:textId="77777777" w:rsidR="00E57DAA" w:rsidRDefault="00AC4185">
            <w:pPr>
              <w:autoSpaceDE w:val="0"/>
              <w:autoSpaceDN w:val="0"/>
              <w:adjustRightInd w:val="0"/>
              <w:jc w:val="right"/>
              <w:rPr>
                <w:szCs w:val="21"/>
              </w:rPr>
            </w:pPr>
            <w:r>
              <w:t>19,500.00</w:t>
            </w:r>
          </w:p>
        </w:tc>
      </w:tr>
      <w:tr w:rsidR="00E57DAA" w14:paraId="3146B859" w14:textId="77777777">
        <w:tc>
          <w:tcPr>
            <w:tcW w:w="677" w:type="pct"/>
            <w:tcBorders>
              <w:top w:val="single" w:sz="4" w:space="0" w:color="auto"/>
              <w:left w:val="single" w:sz="4" w:space="0" w:color="auto"/>
              <w:bottom w:val="single" w:sz="4" w:space="0" w:color="auto"/>
              <w:right w:val="single" w:sz="4" w:space="0" w:color="auto"/>
            </w:tcBorders>
            <w:vAlign w:val="center"/>
          </w:tcPr>
          <w:p w14:paraId="04AAE7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B8394FA" w14:textId="77777777" w:rsidR="00E57DAA" w:rsidRDefault="00AC4185">
            <w:pPr>
              <w:autoSpaceDE w:val="0"/>
              <w:autoSpaceDN w:val="0"/>
              <w:adjustRightInd w:val="0"/>
              <w:rPr>
                <w:szCs w:val="21"/>
              </w:rPr>
            </w:pPr>
            <w:r>
              <w:t>临城中联福石水泥有限公司</w:t>
            </w:r>
          </w:p>
        </w:tc>
        <w:tc>
          <w:tcPr>
            <w:tcW w:w="633" w:type="pct"/>
            <w:tcBorders>
              <w:top w:val="single" w:sz="4" w:space="0" w:color="auto"/>
              <w:left w:val="single" w:sz="4" w:space="0" w:color="auto"/>
              <w:bottom w:val="single" w:sz="4" w:space="0" w:color="auto"/>
              <w:right w:val="single" w:sz="4" w:space="0" w:color="auto"/>
            </w:tcBorders>
          </w:tcPr>
          <w:p w14:paraId="71F7093A" w14:textId="77777777" w:rsidR="00E57DAA" w:rsidRDefault="00AC4185">
            <w:pPr>
              <w:autoSpaceDE w:val="0"/>
              <w:autoSpaceDN w:val="0"/>
              <w:adjustRightInd w:val="0"/>
              <w:jc w:val="right"/>
              <w:rPr>
                <w:szCs w:val="21"/>
              </w:rPr>
            </w:pPr>
            <w:r>
              <w:t>1,715,170.00</w:t>
            </w:r>
          </w:p>
        </w:tc>
        <w:tc>
          <w:tcPr>
            <w:tcW w:w="632" w:type="pct"/>
            <w:tcBorders>
              <w:top w:val="single" w:sz="4" w:space="0" w:color="auto"/>
              <w:left w:val="single" w:sz="4" w:space="0" w:color="auto"/>
              <w:bottom w:val="single" w:sz="4" w:space="0" w:color="auto"/>
              <w:right w:val="single" w:sz="4" w:space="0" w:color="auto"/>
            </w:tcBorders>
          </w:tcPr>
          <w:p w14:paraId="2D29DEC9" w14:textId="77777777" w:rsidR="00E57DAA" w:rsidRDefault="00AC4185">
            <w:pPr>
              <w:autoSpaceDE w:val="0"/>
              <w:autoSpaceDN w:val="0"/>
              <w:adjustRightInd w:val="0"/>
              <w:jc w:val="right"/>
              <w:rPr>
                <w:szCs w:val="21"/>
              </w:rPr>
            </w:pPr>
            <w:r>
              <w:t>172,283.51</w:t>
            </w:r>
          </w:p>
        </w:tc>
        <w:tc>
          <w:tcPr>
            <w:tcW w:w="703" w:type="pct"/>
            <w:tcBorders>
              <w:top w:val="single" w:sz="4" w:space="0" w:color="auto"/>
              <w:left w:val="single" w:sz="4" w:space="0" w:color="auto"/>
              <w:bottom w:val="single" w:sz="4" w:space="0" w:color="auto"/>
              <w:right w:val="single" w:sz="4" w:space="0" w:color="auto"/>
            </w:tcBorders>
          </w:tcPr>
          <w:p w14:paraId="3A5485AF" w14:textId="77777777" w:rsidR="00E57DAA" w:rsidRDefault="00AC4185">
            <w:pPr>
              <w:autoSpaceDE w:val="0"/>
              <w:autoSpaceDN w:val="0"/>
              <w:adjustRightInd w:val="0"/>
              <w:jc w:val="right"/>
              <w:rPr>
                <w:szCs w:val="21"/>
              </w:rPr>
            </w:pPr>
            <w:r>
              <w:t>1,797,170.00</w:t>
            </w:r>
          </w:p>
        </w:tc>
        <w:tc>
          <w:tcPr>
            <w:tcW w:w="914" w:type="pct"/>
            <w:tcBorders>
              <w:top w:val="single" w:sz="4" w:space="0" w:color="auto"/>
              <w:left w:val="single" w:sz="4" w:space="0" w:color="auto"/>
              <w:bottom w:val="single" w:sz="4" w:space="0" w:color="auto"/>
              <w:right w:val="single" w:sz="4" w:space="0" w:color="auto"/>
            </w:tcBorders>
          </w:tcPr>
          <w:p w14:paraId="57995B0C" w14:textId="77777777" w:rsidR="00E57DAA" w:rsidRDefault="00AC4185">
            <w:pPr>
              <w:autoSpaceDE w:val="0"/>
              <w:autoSpaceDN w:val="0"/>
              <w:adjustRightInd w:val="0"/>
              <w:jc w:val="right"/>
              <w:rPr>
                <w:szCs w:val="21"/>
              </w:rPr>
            </w:pPr>
            <w:r>
              <w:t>74,312.93</w:t>
            </w:r>
          </w:p>
        </w:tc>
      </w:tr>
      <w:tr w:rsidR="00E57DAA" w14:paraId="7EB155DD" w14:textId="77777777">
        <w:tc>
          <w:tcPr>
            <w:tcW w:w="677" w:type="pct"/>
            <w:tcBorders>
              <w:top w:val="single" w:sz="4" w:space="0" w:color="auto"/>
              <w:left w:val="single" w:sz="4" w:space="0" w:color="auto"/>
              <w:bottom w:val="single" w:sz="4" w:space="0" w:color="auto"/>
              <w:right w:val="single" w:sz="4" w:space="0" w:color="auto"/>
            </w:tcBorders>
            <w:vAlign w:val="center"/>
          </w:tcPr>
          <w:p w14:paraId="011AF1C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1B9D854" w14:textId="77777777" w:rsidR="00E57DAA" w:rsidRDefault="00AC4185">
            <w:pPr>
              <w:autoSpaceDE w:val="0"/>
              <w:autoSpaceDN w:val="0"/>
              <w:adjustRightInd w:val="0"/>
              <w:rPr>
                <w:szCs w:val="21"/>
              </w:rPr>
            </w:pPr>
            <w:r>
              <w:t>江山南方水泥有限公司</w:t>
            </w:r>
          </w:p>
        </w:tc>
        <w:tc>
          <w:tcPr>
            <w:tcW w:w="633" w:type="pct"/>
            <w:tcBorders>
              <w:top w:val="single" w:sz="4" w:space="0" w:color="auto"/>
              <w:left w:val="single" w:sz="4" w:space="0" w:color="auto"/>
              <w:bottom w:val="single" w:sz="4" w:space="0" w:color="auto"/>
              <w:right w:val="single" w:sz="4" w:space="0" w:color="auto"/>
            </w:tcBorders>
          </w:tcPr>
          <w:p w14:paraId="51ACC61D" w14:textId="77777777" w:rsidR="00E57DAA" w:rsidRDefault="00AC4185">
            <w:pPr>
              <w:autoSpaceDE w:val="0"/>
              <w:autoSpaceDN w:val="0"/>
              <w:adjustRightInd w:val="0"/>
              <w:jc w:val="right"/>
              <w:rPr>
                <w:szCs w:val="21"/>
              </w:rPr>
            </w:pPr>
            <w:r>
              <w:t>1,666,950.00</w:t>
            </w:r>
          </w:p>
        </w:tc>
        <w:tc>
          <w:tcPr>
            <w:tcW w:w="632" w:type="pct"/>
            <w:tcBorders>
              <w:top w:val="single" w:sz="4" w:space="0" w:color="auto"/>
              <w:left w:val="single" w:sz="4" w:space="0" w:color="auto"/>
              <w:bottom w:val="single" w:sz="4" w:space="0" w:color="auto"/>
              <w:right w:val="single" w:sz="4" w:space="0" w:color="auto"/>
            </w:tcBorders>
          </w:tcPr>
          <w:p w14:paraId="6C392354" w14:textId="77777777" w:rsidR="00E57DAA" w:rsidRDefault="00AC4185">
            <w:pPr>
              <w:autoSpaceDE w:val="0"/>
              <w:autoSpaceDN w:val="0"/>
              <w:adjustRightInd w:val="0"/>
              <w:jc w:val="right"/>
              <w:rPr>
                <w:szCs w:val="21"/>
              </w:rPr>
            </w:pPr>
            <w:r>
              <w:t>1,471,185.00</w:t>
            </w:r>
          </w:p>
        </w:tc>
        <w:tc>
          <w:tcPr>
            <w:tcW w:w="703" w:type="pct"/>
            <w:tcBorders>
              <w:top w:val="single" w:sz="4" w:space="0" w:color="auto"/>
              <w:left w:val="single" w:sz="4" w:space="0" w:color="auto"/>
              <w:bottom w:val="single" w:sz="4" w:space="0" w:color="auto"/>
              <w:right w:val="single" w:sz="4" w:space="0" w:color="auto"/>
            </w:tcBorders>
          </w:tcPr>
          <w:p w14:paraId="670D4879" w14:textId="77777777" w:rsidR="00E57DAA" w:rsidRDefault="00AC4185">
            <w:pPr>
              <w:autoSpaceDE w:val="0"/>
              <w:autoSpaceDN w:val="0"/>
              <w:adjustRightInd w:val="0"/>
              <w:jc w:val="right"/>
              <w:rPr>
                <w:szCs w:val="21"/>
              </w:rPr>
            </w:pPr>
            <w:r>
              <w:t>2,062,200.88</w:t>
            </w:r>
          </w:p>
        </w:tc>
        <w:tc>
          <w:tcPr>
            <w:tcW w:w="914" w:type="pct"/>
            <w:tcBorders>
              <w:top w:val="single" w:sz="4" w:space="0" w:color="auto"/>
              <w:left w:val="single" w:sz="4" w:space="0" w:color="auto"/>
              <w:bottom w:val="single" w:sz="4" w:space="0" w:color="auto"/>
              <w:right w:val="single" w:sz="4" w:space="0" w:color="auto"/>
            </w:tcBorders>
          </w:tcPr>
          <w:p w14:paraId="03A226A6" w14:textId="77777777" w:rsidR="00E57DAA" w:rsidRDefault="00AC4185">
            <w:pPr>
              <w:autoSpaceDE w:val="0"/>
              <w:autoSpaceDN w:val="0"/>
              <w:adjustRightInd w:val="0"/>
              <w:jc w:val="right"/>
              <w:rPr>
                <w:szCs w:val="21"/>
              </w:rPr>
            </w:pPr>
            <w:r>
              <w:t>716,305.44</w:t>
            </w:r>
          </w:p>
        </w:tc>
      </w:tr>
      <w:tr w:rsidR="00E57DAA" w14:paraId="17F49E51" w14:textId="77777777">
        <w:tc>
          <w:tcPr>
            <w:tcW w:w="677" w:type="pct"/>
            <w:tcBorders>
              <w:top w:val="single" w:sz="4" w:space="0" w:color="auto"/>
              <w:left w:val="single" w:sz="4" w:space="0" w:color="auto"/>
              <w:bottom w:val="single" w:sz="4" w:space="0" w:color="auto"/>
              <w:right w:val="single" w:sz="4" w:space="0" w:color="auto"/>
            </w:tcBorders>
            <w:vAlign w:val="center"/>
          </w:tcPr>
          <w:p w14:paraId="7437FBE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2C7365E" w14:textId="77777777" w:rsidR="00E57DAA" w:rsidRDefault="00AC4185">
            <w:pPr>
              <w:autoSpaceDE w:val="0"/>
              <w:autoSpaceDN w:val="0"/>
              <w:adjustRightInd w:val="0"/>
              <w:rPr>
                <w:szCs w:val="21"/>
              </w:rPr>
            </w:pPr>
            <w:r>
              <w:t>四川省绵竹澳东水泥有限责任公司</w:t>
            </w:r>
          </w:p>
        </w:tc>
        <w:tc>
          <w:tcPr>
            <w:tcW w:w="633" w:type="pct"/>
            <w:tcBorders>
              <w:top w:val="single" w:sz="4" w:space="0" w:color="auto"/>
              <w:left w:val="single" w:sz="4" w:space="0" w:color="auto"/>
              <w:bottom w:val="single" w:sz="4" w:space="0" w:color="auto"/>
              <w:right w:val="single" w:sz="4" w:space="0" w:color="auto"/>
            </w:tcBorders>
          </w:tcPr>
          <w:p w14:paraId="4F7D7436" w14:textId="77777777" w:rsidR="00E57DAA" w:rsidRDefault="00AC4185">
            <w:pPr>
              <w:autoSpaceDE w:val="0"/>
              <w:autoSpaceDN w:val="0"/>
              <w:adjustRightInd w:val="0"/>
              <w:jc w:val="right"/>
              <w:rPr>
                <w:szCs w:val="21"/>
              </w:rPr>
            </w:pPr>
            <w:r>
              <w:t>1,628,267.80</w:t>
            </w:r>
          </w:p>
        </w:tc>
        <w:tc>
          <w:tcPr>
            <w:tcW w:w="632" w:type="pct"/>
            <w:tcBorders>
              <w:top w:val="single" w:sz="4" w:space="0" w:color="auto"/>
              <w:left w:val="single" w:sz="4" w:space="0" w:color="auto"/>
              <w:bottom w:val="single" w:sz="4" w:space="0" w:color="auto"/>
              <w:right w:val="single" w:sz="4" w:space="0" w:color="auto"/>
            </w:tcBorders>
          </w:tcPr>
          <w:p w14:paraId="1AE02113" w14:textId="77777777" w:rsidR="00E57DAA" w:rsidRDefault="00AC4185">
            <w:pPr>
              <w:autoSpaceDE w:val="0"/>
              <w:autoSpaceDN w:val="0"/>
              <w:adjustRightInd w:val="0"/>
              <w:jc w:val="right"/>
              <w:rPr>
                <w:szCs w:val="21"/>
              </w:rPr>
            </w:pPr>
            <w:r>
              <w:t>142,653.75</w:t>
            </w:r>
          </w:p>
        </w:tc>
        <w:tc>
          <w:tcPr>
            <w:tcW w:w="703" w:type="pct"/>
            <w:tcBorders>
              <w:top w:val="single" w:sz="4" w:space="0" w:color="auto"/>
              <w:left w:val="single" w:sz="4" w:space="0" w:color="auto"/>
              <w:bottom w:val="single" w:sz="4" w:space="0" w:color="auto"/>
              <w:right w:val="single" w:sz="4" w:space="0" w:color="auto"/>
            </w:tcBorders>
          </w:tcPr>
          <w:p w14:paraId="23618722" w14:textId="77777777" w:rsidR="00E57DAA" w:rsidRDefault="00AC4185">
            <w:pPr>
              <w:autoSpaceDE w:val="0"/>
              <w:autoSpaceDN w:val="0"/>
              <w:adjustRightInd w:val="0"/>
              <w:jc w:val="right"/>
              <w:rPr>
                <w:szCs w:val="21"/>
              </w:rPr>
            </w:pPr>
            <w:r>
              <w:t>2,388,400.00</w:t>
            </w:r>
          </w:p>
        </w:tc>
        <w:tc>
          <w:tcPr>
            <w:tcW w:w="914" w:type="pct"/>
            <w:tcBorders>
              <w:top w:val="single" w:sz="4" w:space="0" w:color="auto"/>
              <w:left w:val="single" w:sz="4" w:space="0" w:color="auto"/>
              <w:bottom w:val="single" w:sz="4" w:space="0" w:color="auto"/>
              <w:right w:val="single" w:sz="4" w:space="0" w:color="auto"/>
            </w:tcBorders>
          </w:tcPr>
          <w:p w14:paraId="6F89E3CA" w14:textId="77777777" w:rsidR="00E57DAA" w:rsidRDefault="00AC4185">
            <w:pPr>
              <w:autoSpaceDE w:val="0"/>
              <w:autoSpaceDN w:val="0"/>
              <w:adjustRightInd w:val="0"/>
              <w:jc w:val="right"/>
              <w:rPr>
                <w:szCs w:val="21"/>
              </w:rPr>
            </w:pPr>
            <w:r>
              <w:t>128,920.00</w:t>
            </w:r>
          </w:p>
        </w:tc>
      </w:tr>
      <w:tr w:rsidR="00E57DAA" w14:paraId="31DA1B23" w14:textId="77777777">
        <w:tc>
          <w:tcPr>
            <w:tcW w:w="677" w:type="pct"/>
            <w:tcBorders>
              <w:top w:val="single" w:sz="4" w:space="0" w:color="auto"/>
              <w:left w:val="single" w:sz="4" w:space="0" w:color="auto"/>
              <w:bottom w:val="single" w:sz="4" w:space="0" w:color="auto"/>
              <w:right w:val="single" w:sz="4" w:space="0" w:color="auto"/>
            </w:tcBorders>
            <w:vAlign w:val="center"/>
          </w:tcPr>
          <w:p w14:paraId="1E6A4C7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F0520B0" w14:textId="77777777" w:rsidR="00E57DAA" w:rsidRDefault="00AC4185">
            <w:pPr>
              <w:autoSpaceDE w:val="0"/>
              <w:autoSpaceDN w:val="0"/>
              <w:adjustRightInd w:val="0"/>
              <w:rPr>
                <w:szCs w:val="21"/>
              </w:rPr>
            </w:pPr>
            <w:r>
              <w:t>毕节赛德水泥有限公司</w:t>
            </w:r>
          </w:p>
        </w:tc>
        <w:tc>
          <w:tcPr>
            <w:tcW w:w="633" w:type="pct"/>
            <w:tcBorders>
              <w:top w:val="single" w:sz="4" w:space="0" w:color="auto"/>
              <w:left w:val="single" w:sz="4" w:space="0" w:color="auto"/>
              <w:bottom w:val="single" w:sz="4" w:space="0" w:color="auto"/>
              <w:right w:val="single" w:sz="4" w:space="0" w:color="auto"/>
            </w:tcBorders>
          </w:tcPr>
          <w:p w14:paraId="32C3F281" w14:textId="77777777" w:rsidR="00E57DAA" w:rsidRDefault="00AC4185">
            <w:pPr>
              <w:autoSpaceDE w:val="0"/>
              <w:autoSpaceDN w:val="0"/>
              <w:adjustRightInd w:val="0"/>
              <w:jc w:val="right"/>
              <w:rPr>
                <w:szCs w:val="21"/>
              </w:rPr>
            </w:pPr>
            <w:r>
              <w:t>1,625,062.30</w:t>
            </w:r>
          </w:p>
        </w:tc>
        <w:tc>
          <w:tcPr>
            <w:tcW w:w="632" w:type="pct"/>
            <w:tcBorders>
              <w:top w:val="single" w:sz="4" w:space="0" w:color="auto"/>
              <w:left w:val="single" w:sz="4" w:space="0" w:color="auto"/>
              <w:bottom w:val="single" w:sz="4" w:space="0" w:color="auto"/>
              <w:right w:val="single" w:sz="4" w:space="0" w:color="auto"/>
            </w:tcBorders>
          </w:tcPr>
          <w:p w14:paraId="223B0E5D" w14:textId="77777777" w:rsidR="00E57DAA" w:rsidRDefault="00AC4185">
            <w:pPr>
              <w:autoSpaceDE w:val="0"/>
              <w:autoSpaceDN w:val="0"/>
              <w:adjustRightInd w:val="0"/>
              <w:jc w:val="right"/>
              <w:rPr>
                <w:szCs w:val="21"/>
              </w:rPr>
            </w:pPr>
            <w:r>
              <w:t>6,500.25</w:t>
            </w:r>
          </w:p>
        </w:tc>
        <w:tc>
          <w:tcPr>
            <w:tcW w:w="703" w:type="pct"/>
            <w:tcBorders>
              <w:top w:val="single" w:sz="4" w:space="0" w:color="auto"/>
              <w:left w:val="single" w:sz="4" w:space="0" w:color="auto"/>
              <w:bottom w:val="single" w:sz="4" w:space="0" w:color="auto"/>
              <w:right w:val="single" w:sz="4" w:space="0" w:color="auto"/>
            </w:tcBorders>
          </w:tcPr>
          <w:p w14:paraId="4EA2D4E9" w14:textId="77777777" w:rsidR="00E57DAA" w:rsidRDefault="00AC4185">
            <w:pPr>
              <w:autoSpaceDE w:val="0"/>
              <w:autoSpaceDN w:val="0"/>
              <w:adjustRightInd w:val="0"/>
              <w:jc w:val="right"/>
              <w:rPr>
                <w:szCs w:val="21"/>
              </w:rPr>
            </w:pPr>
            <w:r>
              <w:t>135,195.57</w:t>
            </w:r>
          </w:p>
        </w:tc>
        <w:tc>
          <w:tcPr>
            <w:tcW w:w="914" w:type="pct"/>
            <w:tcBorders>
              <w:top w:val="single" w:sz="4" w:space="0" w:color="auto"/>
              <w:left w:val="single" w:sz="4" w:space="0" w:color="auto"/>
              <w:bottom w:val="single" w:sz="4" w:space="0" w:color="auto"/>
              <w:right w:val="single" w:sz="4" w:space="0" w:color="auto"/>
            </w:tcBorders>
          </w:tcPr>
          <w:p w14:paraId="57CEC14A" w14:textId="77777777" w:rsidR="00E57DAA" w:rsidRDefault="00AC4185">
            <w:pPr>
              <w:autoSpaceDE w:val="0"/>
              <w:autoSpaceDN w:val="0"/>
              <w:adjustRightInd w:val="0"/>
              <w:jc w:val="right"/>
              <w:rPr>
                <w:szCs w:val="21"/>
              </w:rPr>
            </w:pPr>
            <w:r>
              <w:t>270.39</w:t>
            </w:r>
          </w:p>
        </w:tc>
      </w:tr>
      <w:tr w:rsidR="00E57DAA" w14:paraId="261807EA" w14:textId="77777777">
        <w:tc>
          <w:tcPr>
            <w:tcW w:w="677" w:type="pct"/>
            <w:tcBorders>
              <w:top w:val="single" w:sz="4" w:space="0" w:color="auto"/>
              <w:left w:val="single" w:sz="4" w:space="0" w:color="auto"/>
              <w:bottom w:val="single" w:sz="4" w:space="0" w:color="auto"/>
              <w:right w:val="single" w:sz="4" w:space="0" w:color="auto"/>
            </w:tcBorders>
            <w:vAlign w:val="center"/>
          </w:tcPr>
          <w:p w14:paraId="174FCCB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B6DF28E" w14:textId="77777777" w:rsidR="00E57DAA" w:rsidRDefault="00AC4185">
            <w:pPr>
              <w:autoSpaceDE w:val="0"/>
              <w:autoSpaceDN w:val="0"/>
              <w:adjustRightInd w:val="0"/>
              <w:rPr>
                <w:szCs w:val="21"/>
              </w:rPr>
            </w:pPr>
            <w:r>
              <w:t>天水祁连山水泥有限公司</w:t>
            </w:r>
          </w:p>
        </w:tc>
        <w:tc>
          <w:tcPr>
            <w:tcW w:w="633" w:type="pct"/>
            <w:tcBorders>
              <w:top w:val="single" w:sz="4" w:space="0" w:color="auto"/>
              <w:left w:val="single" w:sz="4" w:space="0" w:color="auto"/>
              <w:bottom w:val="single" w:sz="4" w:space="0" w:color="auto"/>
              <w:right w:val="single" w:sz="4" w:space="0" w:color="auto"/>
            </w:tcBorders>
          </w:tcPr>
          <w:p w14:paraId="73FF1C81" w14:textId="77777777" w:rsidR="00E57DAA" w:rsidRDefault="00AC4185">
            <w:pPr>
              <w:autoSpaceDE w:val="0"/>
              <w:autoSpaceDN w:val="0"/>
              <w:adjustRightInd w:val="0"/>
              <w:jc w:val="right"/>
              <w:rPr>
                <w:szCs w:val="21"/>
              </w:rPr>
            </w:pPr>
            <w:r>
              <w:t>1,622,709.81</w:t>
            </w:r>
          </w:p>
        </w:tc>
        <w:tc>
          <w:tcPr>
            <w:tcW w:w="632" w:type="pct"/>
            <w:tcBorders>
              <w:top w:val="single" w:sz="4" w:space="0" w:color="auto"/>
              <w:left w:val="single" w:sz="4" w:space="0" w:color="auto"/>
              <w:bottom w:val="single" w:sz="4" w:space="0" w:color="auto"/>
              <w:right w:val="single" w:sz="4" w:space="0" w:color="auto"/>
            </w:tcBorders>
          </w:tcPr>
          <w:p w14:paraId="1CF588DC" w14:textId="77777777" w:rsidR="00E57DAA" w:rsidRDefault="00AC4185">
            <w:pPr>
              <w:autoSpaceDE w:val="0"/>
              <w:autoSpaceDN w:val="0"/>
              <w:adjustRightInd w:val="0"/>
              <w:jc w:val="right"/>
              <w:rPr>
                <w:szCs w:val="21"/>
              </w:rPr>
            </w:pPr>
            <w:r>
              <w:t>32,725.48</w:t>
            </w:r>
          </w:p>
        </w:tc>
        <w:tc>
          <w:tcPr>
            <w:tcW w:w="703" w:type="pct"/>
            <w:tcBorders>
              <w:top w:val="single" w:sz="4" w:space="0" w:color="auto"/>
              <w:left w:val="single" w:sz="4" w:space="0" w:color="auto"/>
              <w:bottom w:val="single" w:sz="4" w:space="0" w:color="auto"/>
              <w:right w:val="single" w:sz="4" w:space="0" w:color="auto"/>
            </w:tcBorders>
          </w:tcPr>
          <w:p w14:paraId="12902D7A" w14:textId="77777777" w:rsidR="00E57DAA" w:rsidRDefault="00AC4185">
            <w:pPr>
              <w:autoSpaceDE w:val="0"/>
              <w:autoSpaceDN w:val="0"/>
              <w:adjustRightInd w:val="0"/>
              <w:jc w:val="right"/>
              <w:rPr>
                <w:szCs w:val="21"/>
              </w:rPr>
            </w:pPr>
            <w:r>
              <w:t>5,648,084.58</w:t>
            </w:r>
          </w:p>
        </w:tc>
        <w:tc>
          <w:tcPr>
            <w:tcW w:w="914" w:type="pct"/>
            <w:tcBorders>
              <w:top w:val="single" w:sz="4" w:space="0" w:color="auto"/>
              <w:left w:val="single" w:sz="4" w:space="0" w:color="auto"/>
              <w:bottom w:val="single" w:sz="4" w:space="0" w:color="auto"/>
              <w:right w:val="single" w:sz="4" w:space="0" w:color="auto"/>
            </w:tcBorders>
          </w:tcPr>
          <w:p w14:paraId="402D54B9" w14:textId="77777777" w:rsidR="00E57DAA" w:rsidRDefault="00AC4185">
            <w:pPr>
              <w:autoSpaceDE w:val="0"/>
              <w:autoSpaceDN w:val="0"/>
              <w:adjustRightInd w:val="0"/>
              <w:jc w:val="right"/>
              <w:rPr>
                <w:szCs w:val="21"/>
              </w:rPr>
            </w:pPr>
            <w:r>
              <w:t>33,104.35</w:t>
            </w:r>
          </w:p>
        </w:tc>
      </w:tr>
      <w:tr w:rsidR="00E57DAA" w14:paraId="1878D174" w14:textId="77777777">
        <w:tc>
          <w:tcPr>
            <w:tcW w:w="677" w:type="pct"/>
            <w:tcBorders>
              <w:top w:val="single" w:sz="4" w:space="0" w:color="auto"/>
              <w:left w:val="single" w:sz="4" w:space="0" w:color="auto"/>
              <w:bottom w:val="single" w:sz="4" w:space="0" w:color="auto"/>
              <w:right w:val="single" w:sz="4" w:space="0" w:color="auto"/>
            </w:tcBorders>
            <w:vAlign w:val="center"/>
          </w:tcPr>
          <w:p w14:paraId="02F4532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26F361" w14:textId="77777777" w:rsidR="00E57DAA" w:rsidRDefault="00AC4185">
            <w:pPr>
              <w:autoSpaceDE w:val="0"/>
              <w:autoSpaceDN w:val="0"/>
              <w:adjustRightInd w:val="0"/>
              <w:rPr>
                <w:szCs w:val="21"/>
              </w:rPr>
            </w:pPr>
            <w:r>
              <w:t>四川成实天鹰水泥有限公司</w:t>
            </w:r>
          </w:p>
        </w:tc>
        <w:tc>
          <w:tcPr>
            <w:tcW w:w="633" w:type="pct"/>
            <w:tcBorders>
              <w:top w:val="single" w:sz="4" w:space="0" w:color="auto"/>
              <w:left w:val="single" w:sz="4" w:space="0" w:color="auto"/>
              <w:bottom w:val="single" w:sz="4" w:space="0" w:color="auto"/>
              <w:right w:val="single" w:sz="4" w:space="0" w:color="auto"/>
            </w:tcBorders>
          </w:tcPr>
          <w:p w14:paraId="5B53C5E0" w14:textId="77777777" w:rsidR="00E57DAA" w:rsidRDefault="00AC4185">
            <w:pPr>
              <w:autoSpaceDE w:val="0"/>
              <w:autoSpaceDN w:val="0"/>
              <w:adjustRightInd w:val="0"/>
              <w:jc w:val="right"/>
              <w:rPr>
                <w:szCs w:val="21"/>
              </w:rPr>
            </w:pPr>
            <w:r>
              <w:t>1,611,019.10</w:t>
            </w:r>
          </w:p>
        </w:tc>
        <w:tc>
          <w:tcPr>
            <w:tcW w:w="632" w:type="pct"/>
            <w:tcBorders>
              <w:top w:val="single" w:sz="4" w:space="0" w:color="auto"/>
              <w:left w:val="single" w:sz="4" w:space="0" w:color="auto"/>
              <w:bottom w:val="single" w:sz="4" w:space="0" w:color="auto"/>
              <w:right w:val="single" w:sz="4" w:space="0" w:color="auto"/>
            </w:tcBorders>
          </w:tcPr>
          <w:p w14:paraId="37DB1A09" w14:textId="77777777" w:rsidR="00E57DAA" w:rsidRDefault="00AC4185">
            <w:pPr>
              <w:autoSpaceDE w:val="0"/>
              <w:autoSpaceDN w:val="0"/>
              <w:adjustRightInd w:val="0"/>
              <w:jc w:val="right"/>
              <w:rPr>
                <w:szCs w:val="21"/>
              </w:rPr>
            </w:pPr>
            <w:r>
              <w:t>229,232.86</w:t>
            </w:r>
          </w:p>
        </w:tc>
        <w:tc>
          <w:tcPr>
            <w:tcW w:w="703" w:type="pct"/>
            <w:tcBorders>
              <w:top w:val="single" w:sz="4" w:space="0" w:color="auto"/>
              <w:left w:val="single" w:sz="4" w:space="0" w:color="auto"/>
              <w:bottom w:val="single" w:sz="4" w:space="0" w:color="auto"/>
              <w:right w:val="single" w:sz="4" w:space="0" w:color="auto"/>
            </w:tcBorders>
          </w:tcPr>
          <w:p w14:paraId="6B82A82E" w14:textId="77777777" w:rsidR="00E57DAA" w:rsidRDefault="00AC4185">
            <w:pPr>
              <w:autoSpaceDE w:val="0"/>
              <w:autoSpaceDN w:val="0"/>
              <w:adjustRightInd w:val="0"/>
              <w:jc w:val="right"/>
              <w:rPr>
                <w:szCs w:val="21"/>
              </w:rPr>
            </w:pPr>
            <w:r>
              <w:t>1,616,199.10</w:t>
            </w:r>
          </w:p>
        </w:tc>
        <w:tc>
          <w:tcPr>
            <w:tcW w:w="914" w:type="pct"/>
            <w:tcBorders>
              <w:top w:val="single" w:sz="4" w:space="0" w:color="auto"/>
              <w:left w:val="single" w:sz="4" w:space="0" w:color="auto"/>
              <w:bottom w:val="single" w:sz="4" w:space="0" w:color="auto"/>
              <w:right w:val="single" w:sz="4" w:space="0" w:color="auto"/>
            </w:tcBorders>
          </w:tcPr>
          <w:p w14:paraId="0E7ACF8B" w14:textId="77777777" w:rsidR="00E57DAA" w:rsidRDefault="00AC4185">
            <w:pPr>
              <w:autoSpaceDE w:val="0"/>
              <w:autoSpaceDN w:val="0"/>
              <w:adjustRightInd w:val="0"/>
              <w:jc w:val="right"/>
              <w:rPr>
                <w:szCs w:val="21"/>
              </w:rPr>
            </w:pPr>
            <w:r>
              <w:t>115,725.51</w:t>
            </w:r>
          </w:p>
        </w:tc>
      </w:tr>
      <w:tr w:rsidR="00E57DAA" w14:paraId="7809D721" w14:textId="77777777">
        <w:tc>
          <w:tcPr>
            <w:tcW w:w="677" w:type="pct"/>
            <w:tcBorders>
              <w:top w:val="single" w:sz="4" w:space="0" w:color="auto"/>
              <w:left w:val="single" w:sz="4" w:space="0" w:color="auto"/>
              <w:bottom w:val="single" w:sz="4" w:space="0" w:color="auto"/>
              <w:right w:val="single" w:sz="4" w:space="0" w:color="auto"/>
            </w:tcBorders>
            <w:vAlign w:val="center"/>
          </w:tcPr>
          <w:p w14:paraId="6E080D54"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45F44694" w14:textId="77777777" w:rsidR="00E57DAA" w:rsidRDefault="00AC4185">
            <w:pPr>
              <w:autoSpaceDE w:val="0"/>
              <w:autoSpaceDN w:val="0"/>
              <w:adjustRightInd w:val="0"/>
              <w:rPr>
                <w:szCs w:val="21"/>
              </w:rPr>
            </w:pPr>
            <w:r>
              <w:t>宁夏中宁赛马水泥有限公司</w:t>
            </w:r>
          </w:p>
        </w:tc>
        <w:tc>
          <w:tcPr>
            <w:tcW w:w="633" w:type="pct"/>
            <w:tcBorders>
              <w:top w:val="single" w:sz="4" w:space="0" w:color="auto"/>
              <w:left w:val="single" w:sz="4" w:space="0" w:color="auto"/>
              <w:bottom w:val="single" w:sz="4" w:space="0" w:color="auto"/>
              <w:right w:val="single" w:sz="4" w:space="0" w:color="auto"/>
            </w:tcBorders>
          </w:tcPr>
          <w:p w14:paraId="4744675E" w14:textId="77777777" w:rsidR="00E57DAA" w:rsidRDefault="00AC4185">
            <w:pPr>
              <w:autoSpaceDE w:val="0"/>
              <w:autoSpaceDN w:val="0"/>
              <w:adjustRightInd w:val="0"/>
              <w:jc w:val="right"/>
              <w:rPr>
                <w:szCs w:val="21"/>
              </w:rPr>
            </w:pPr>
            <w:r>
              <w:t>1,574,348.39</w:t>
            </w:r>
          </w:p>
        </w:tc>
        <w:tc>
          <w:tcPr>
            <w:tcW w:w="632" w:type="pct"/>
            <w:tcBorders>
              <w:top w:val="single" w:sz="4" w:space="0" w:color="auto"/>
              <w:left w:val="single" w:sz="4" w:space="0" w:color="auto"/>
              <w:bottom w:val="single" w:sz="4" w:space="0" w:color="auto"/>
              <w:right w:val="single" w:sz="4" w:space="0" w:color="auto"/>
            </w:tcBorders>
          </w:tcPr>
          <w:p w14:paraId="263E658E" w14:textId="77777777" w:rsidR="00E57DAA" w:rsidRDefault="00AC4185">
            <w:pPr>
              <w:autoSpaceDE w:val="0"/>
              <w:autoSpaceDN w:val="0"/>
              <w:adjustRightInd w:val="0"/>
              <w:jc w:val="right"/>
              <w:rPr>
                <w:szCs w:val="21"/>
              </w:rPr>
            </w:pPr>
            <w:r>
              <w:t>888,348.00</w:t>
            </w:r>
          </w:p>
        </w:tc>
        <w:tc>
          <w:tcPr>
            <w:tcW w:w="703" w:type="pct"/>
            <w:tcBorders>
              <w:top w:val="single" w:sz="4" w:space="0" w:color="auto"/>
              <w:left w:val="single" w:sz="4" w:space="0" w:color="auto"/>
              <w:bottom w:val="single" w:sz="4" w:space="0" w:color="auto"/>
              <w:right w:val="single" w:sz="4" w:space="0" w:color="auto"/>
            </w:tcBorders>
          </w:tcPr>
          <w:p w14:paraId="42CABB59" w14:textId="77777777" w:rsidR="00E57DAA" w:rsidRDefault="00AC4185">
            <w:pPr>
              <w:autoSpaceDE w:val="0"/>
              <w:autoSpaceDN w:val="0"/>
              <w:adjustRightInd w:val="0"/>
              <w:jc w:val="right"/>
              <w:rPr>
                <w:szCs w:val="21"/>
              </w:rPr>
            </w:pPr>
            <w:r>
              <w:t>1,506,955.55</w:t>
            </w:r>
          </w:p>
        </w:tc>
        <w:tc>
          <w:tcPr>
            <w:tcW w:w="914" w:type="pct"/>
            <w:tcBorders>
              <w:top w:val="single" w:sz="4" w:space="0" w:color="auto"/>
              <w:left w:val="single" w:sz="4" w:space="0" w:color="auto"/>
              <w:bottom w:val="single" w:sz="4" w:space="0" w:color="auto"/>
              <w:right w:val="single" w:sz="4" w:space="0" w:color="auto"/>
            </w:tcBorders>
          </w:tcPr>
          <w:p w14:paraId="76821919" w14:textId="77777777" w:rsidR="00E57DAA" w:rsidRDefault="00AC4185">
            <w:pPr>
              <w:autoSpaceDE w:val="0"/>
              <w:autoSpaceDN w:val="0"/>
              <w:adjustRightInd w:val="0"/>
              <w:jc w:val="right"/>
              <w:rPr>
                <w:szCs w:val="21"/>
              </w:rPr>
            </w:pPr>
            <w:r>
              <w:t>936,152.64</w:t>
            </w:r>
          </w:p>
        </w:tc>
      </w:tr>
      <w:tr w:rsidR="00E57DAA" w14:paraId="788FCC88" w14:textId="77777777">
        <w:tc>
          <w:tcPr>
            <w:tcW w:w="677" w:type="pct"/>
            <w:tcBorders>
              <w:top w:val="single" w:sz="4" w:space="0" w:color="auto"/>
              <w:left w:val="single" w:sz="4" w:space="0" w:color="auto"/>
              <w:bottom w:val="single" w:sz="4" w:space="0" w:color="auto"/>
              <w:right w:val="single" w:sz="4" w:space="0" w:color="auto"/>
            </w:tcBorders>
            <w:vAlign w:val="center"/>
          </w:tcPr>
          <w:p w14:paraId="2C8F015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33B6FC" w14:textId="77777777" w:rsidR="00E57DAA" w:rsidRDefault="00AC4185">
            <w:pPr>
              <w:autoSpaceDE w:val="0"/>
              <w:autoSpaceDN w:val="0"/>
              <w:adjustRightInd w:val="0"/>
              <w:rPr>
                <w:szCs w:val="21"/>
              </w:rPr>
            </w:pPr>
            <w:r>
              <w:t>贵州惠水西南水泥有限公司</w:t>
            </w:r>
          </w:p>
        </w:tc>
        <w:tc>
          <w:tcPr>
            <w:tcW w:w="633" w:type="pct"/>
            <w:tcBorders>
              <w:top w:val="single" w:sz="4" w:space="0" w:color="auto"/>
              <w:left w:val="single" w:sz="4" w:space="0" w:color="auto"/>
              <w:bottom w:val="single" w:sz="4" w:space="0" w:color="auto"/>
              <w:right w:val="single" w:sz="4" w:space="0" w:color="auto"/>
            </w:tcBorders>
          </w:tcPr>
          <w:p w14:paraId="2BFF9A7E" w14:textId="77777777" w:rsidR="00E57DAA" w:rsidRDefault="00AC4185">
            <w:pPr>
              <w:autoSpaceDE w:val="0"/>
              <w:autoSpaceDN w:val="0"/>
              <w:adjustRightInd w:val="0"/>
              <w:jc w:val="right"/>
              <w:rPr>
                <w:szCs w:val="21"/>
              </w:rPr>
            </w:pPr>
            <w:r>
              <w:t>1,536,281.14</w:t>
            </w:r>
          </w:p>
        </w:tc>
        <w:tc>
          <w:tcPr>
            <w:tcW w:w="632" w:type="pct"/>
            <w:tcBorders>
              <w:top w:val="single" w:sz="4" w:space="0" w:color="auto"/>
              <w:left w:val="single" w:sz="4" w:space="0" w:color="auto"/>
              <w:bottom w:val="single" w:sz="4" w:space="0" w:color="auto"/>
              <w:right w:val="single" w:sz="4" w:space="0" w:color="auto"/>
            </w:tcBorders>
          </w:tcPr>
          <w:p w14:paraId="07D6AF6A" w14:textId="77777777" w:rsidR="00E57DAA" w:rsidRDefault="00AC4185">
            <w:pPr>
              <w:autoSpaceDE w:val="0"/>
              <w:autoSpaceDN w:val="0"/>
              <w:adjustRightInd w:val="0"/>
              <w:jc w:val="right"/>
              <w:rPr>
                <w:szCs w:val="21"/>
              </w:rPr>
            </w:pPr>
            <w:r>
              <w:t>84,899.14</w:t>
            </w:r>
          </w:p>
        </w:tc>
        <w:tc>
          <w:tcPr>
            <w:tcW w:w="703" w:type="pct"/>
            <w:tcBorders>
              <w:top w:val="single" w:sz="4" w:space="0" w:color="auto"/>
              <w:left w:val="single" w:sz="4" w:space="0" w:color="auto"/>
              <w:bottom w:val="single" w:sz="4" w:space="0" w:color="auto"/>
              <w:right w:val="single" w:sz="4" w:space="0" w:color="auto"/>
            </w:tcBorders>
          </w:tcPr>
          <w:p w14:paraId="52142E9A" w14:textId="77777777" w:rsidR="00E57DAA" w:rsidRDefault="00AC4185">
            <w:pPr>
              <w:autoSpaceDE w:val="0"/>
              <w:autoSpaceDN w:val="0"/>
              <w:adjustRightInd w:val="0"/>
              <w:jc w:val="right"/>
              <w:rPr>
                <w:szCs w:val="21"/>
              </w:rPr>
            </w:pPr>
            <w:r>
              <w:t>2,225,857.85</w:t>
            </w:r>
          </w:p>
        </w:tc>
        <w:tc>
          <w:tcPr>
            <w:tcW w:w="914" w:type="pct"/>
            <w:tcBorders>
              <w:top w:val="single" w:sz="4" w:space="0" w:color="auto"/>
              <w:left w:val="single" w:sz="4" w:space="0" w:color="auto"/>
              <w:bottom w:val="single" w:sz="4" w:space="0" w:color="auto"/>
              <w:right w:val="single" w:sz="4" w:space="0" w:color="auto"/>
            </w:tcBorders>
          </w:tcPr>
          <w:p w14:paraId="6B4CB384" w14:textId="77777777" w:rsidR="00E57DAA" w:rsidRDefault="00AC4185">
            <w:pPr>
              <w:autoSpaceDE w:val="0"/>
              <w:autoSpaceDN w:val="0"/>
              <w:adjustRightInd w:val="0"/>
              <w:jc w:val="right"/>
              <w:rPr>
                <w:szCs w:val="21"/>
              </w:rPr>
            </w:pPr>
            <w:r>
              <w:t>58,003.24</w:t>
            </w:r>
          </w:p>
        </w:tc>
      </w:tr>
      <w:tr w:rsidR="00E57DAA" w14:paraId="2683C2B1" w14:textId="77777777">
        <w:tc>
          <w:tcPr>
            <w:tcW w:w="677" w:type="pct"/>
            <w:tcBorders>
              <w:top w:val="single" w:sz="4" w:space="0" w:color="auto"/>
              <w:left w:val="single" w:sz="4" w:space="0" w:color="auto"/>
              <w:bottom w:val="single" w:sz="4" w:space="0" w:color="auto"/>
              <w:right w:val="single" w:sz="4" w:space="0" w:color="auto"/>
            </w:tcBorders>
            <w:vAlign w:val="center"/>
          </w:tcPr>
          <w:p w14:paraId="3FA667B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DE6412E" w14:textId="77777777" w:rsidR="00E57DAA" w:rsidRDefault="00AC4185">
            <w:pPr>
              <w:autoSpaceDE w:val="0"/>
              <w:autoSpaceDN w:val="0"/>
              <w:adjustRightInd w:val="0"/>
              <w:rPr>
                <w:szCs w:val="21"/>
              </w:rPr>
            </w:pPr>
            <w:r>
              <w:t>泰山玻璃纤维邹城有限公司</w:t>
            </w:r>
          </w:p>
        </w:tc>
        <w:tc>
          <w:tcPr>
            <w:tcW w:w="633" w:type="pct"/>
            <w:tcBorders>
              <w:top w:val="single" w:sz="4" w:space="0" w:color="auto"/>
              <w:left w:val="single" w:sz="4" w:space="0" w:color="auto"/>
              <w:bottom w:val="single" w:sz="4" w:space="0" w:color="auto"/>
              <w:right w:val="single" w:sz="4" w:space="0" w:color="auto"/>
            </w:tcBorders>
          </w:tcPr>
          <w:p w14:paraId="355F7028" w14:textId="77777777" w:rsidR="00E57DAA" w:rsidRDefault="00AC4185">
            <w:pPr>
              <w:autoSpaceDE w:val="0"/>
              <w:autoSpaceDN w:val="0"/>
              <w:adjustRightInd w:val="0"/>
              <w:jc w:val="right"/>
              <w:rPr>
                <w:szCs w:val="21"/>
              </w:rPr>
            </w:pPr>
            <w:r>
              <w:t>1,500,992.80</w:t>
            </w:r>
          </w:p>
        </w:tc>
        <w:tc>
          <w:tcPr>
            <w:tcW w:w="632" w:type="pct"/>
            <w:tcBorders>
              <w:top w:val="single" w:sz="4" w:space="0" w:color="auto"/>
              <w:left w:val="single" w:sz="4" w:space="0" w:color="auto"/>
              <w:bottom w:val="single" w:sz="4" w:space="0" w:color="auto"/>
              <w:right w:val="single" w:sz="4" w:space="0" w:color="auto"/>
            </w:tcBorders>
          </w:tcPr>
          <w:p w14:paraId="295E7E7B" w14:textId="77777777" w:rsidR="00E57DAA" w:rsidRDefault="00AC4185">
            <w:pPr>
              <w:autoSpaceDE w:val="0"/>
              <w:autoSpaceDN w:val="0"/>
              <w:adjustRightInd w:val="0"/>
              <w:jc w:val="right"/>
              <w:rPr>
                <w:szCs w:val="21"/>
              </w:rPr>
            </w:pPr>
            <w:r>
              <w:t>75,049.64</w:t>
            </w:r>
          </w:p>
        </w:tc>
        <w:tc>
          <w:tcPr>
            <w:tcW w:w="703" w:type="pct"/>
            <w:tcBorders>
              <w:top w:val="single" w:sz="4" w:space="0" w:color="auto"/>
              <w:left w:val="single" w:sz="4" w:space="0" w:color="auto"/>
              <w:bottom w:val="single" w:sz="4" w:space="0" w:color="auto"/>
              <w:right w:val="single" w:sz="4" w:space="0" w:color="auto"/>
            </w:tcBorders>
          </w:tcPr>
          <w:p w14:paraId="2927074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94E28E5" w14:textId="77777777" w:rsidR="00E57DAA" w:rsidRDefault="00AC4185">
            <w:pPr>
              <w:autoSpaceDE w:val="0"/>
              <w:autoSpaceDN w:val="0"/>
              <w:adjustRightInd w:val="0"/>
              <w:jc w:val="right"/>
              <w:rPr>
                <w:szCs w:val="21"/>
              </w:rPr>
            </w:pPr>
            <w:r>
              <w:t xml:space="preserve">　</w:t>
            </w:r>
          </w:p>
        </w:tc>
      </w:tr>
      <w:tr w:rsidR="00E57DAA" w14:paraId="3AC981FE" w14:textId="77777777">
        <w:tc>
          <w:tcPr>
            <w:tcW w:w="677" w:type="pct"/>
            <w:tcBorders>
              <w:top w:val="single" w:sz="4" w:space="0" w:color="auto"/>
              <w:left w:val="single" w:sz="4" w:space="0" w:color="auto"/>
              <w:bottom w:val="single" w:sz="4" w:space="0" w:color="auto"/>
              <w:right w:val="single" w:sz="4" w:space="0" w:color="auto"/>
            </w:tcBorders>
            <w:vAlign w:val="center"/>
          </w:tcPr>
          <w:p w14:paraId="27D0D08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0DD794F" w14:textId="77777777" w:rsidR="00E57DAA" w:rsidRDefault="00AC4185">
            <w:pPr>
              <w:autoSpaceDE w:val="0"/>
              <w:autoSpaceDN w:val="0"/>
              <w:adjustRightInd w:val="0"/>
              <w:rPr>
                <w:szCs w:val="21"/>
              </w:rPr>
            </w:pPr>
            <w:r>
              <w:t>中材甘肃水泥有限责任公司</w:t>
            </w:r>
          </w:p>
        </w:tc>
        <w:tc>
          <w:tcPr>
            <w:tcW w:w="633" w:type="pct"/>
            <w:tcBorders>
              <w:top w:val="single" w:sz="4" w:space="0" w:color="auto"/>
              <w:left w:val="single" w:sz="4" w:space="0" w:color="auto"/>
              <w:bottom w:val="single" w:sz="4" w:space="0" w:color="auto"/>
              <w:right w:val="single" w:sz="4" w:space="0" w:color="auto"/>
            </w:tcBorders>
          </w:tcPr>
          <w:p w14:paraId="1B837523" w14:textId="77777777" w:rsidR="00E57DAA" w:rsidRDefault="00AC4185">
            <w:pPr>
              <w:autoSpaceDE w:val="0"/>
              <w:autoSpaceDN w:val="0"/>
              <w:adjustRightInd w:val="0"/>
              <w:jc w:val="right"/>
              <w:rPr>
                <w:szCs w:val="21"/>
              </w:rPr>
            </w:pPr>
            <w:r>
              <w:t>1,481,080.91</w:t>
            </w:r>
          </w:p>
        </w:tc>
        <w:tc>
          <w:tcPr>
            <w:tcW w:w="632" w:type="pct"/>
            <w:tcBorders>
              <w:top w:val="single" w:sz="4" w:space="0" w:color="auto"/>
              <w:left w:val="single" w:sz="4" w:space="0" w:color="auto"/>
              <w:bottom w:val="single" w:sz="4" w:space="0" w:color="auto"/>
              <w:right w:val="single" w:sz="4" w:space="0" w:color="auto"/>
            </w:tcBorders>
          </w:tcPr>
          <w:p w14:paraId="1D31845A" w14:textId="77777777" w:rsidR="00E57DAA" w:rsidRDefault="00AC4185">
            <w:pPr>
              <w:autoSpaceDE w:val="0"/>
              <w:autoSpaceDN w:val="0"/>
              <w:adjustRightInd w:val="0"/>
              <w:jc w:val="right"/>
              <w:rPr>
                <w:szCs w:val="21"/>
              </w:rPr>
            </w:pPr>
            <w:r>
              <w:t>127,109.77</w:t>
            </w:r>
          </w:p>
        </w:tc>
        <w:tc>
          <w:tcPr>
            <w:tcW w:w="703" w:type="pct"/>
            <w:tcBorders>
              <w:top w:val="single" w:sz="4" w:space="0" w:color="auto"/>
              <w:left w:val="single" w:sz="4" w:space="0" w:color="auto"/>
              <w:bottom w:val="single" w:sz="4" w:space="0" w:color="auto"/>
              <w:right w:val="single" w:sz="4" w:space="0" w:color="auto"/>
            </w:tcBorders>
          </w:tcPr>
          <w:p w14:paraId="0FAF32DC" w14:textId="77777777" w:rsidR="00E57DAA" w:rsidRDefault="00AC4185">
            <w:pPr>
              <w:autoSpaceDE w:val="0"/>
              <w:autoSpaceDN w:val="0"/>
              <w:adjustRightInd w:val="0"/>
              <w:jc w:val="right"/>
              <w:rPr>
                <w:szCs w:val="21"/>
              </w:rPr>
            </w:pPr>
            <w:r>
              <w:t>693,763.31</w:t>
            </w:r>
          </w:p>
        </w:tc>
        <w:tc>
          <w:tcPr>
            <w:tcW w:w="914" w:type="pct"/>
            <w:tcBorders>
              <w:top w:val="single" w:sz="4" w:space="0" w:color="auto"/>
              <w:left w:val="single" w:sz="4" w:space="0" w:color="auto"/>
              <w:bottom w:val="single" w:sz="4" w:space="0" w:color="auto"/>
              <w:right w:val="single" w:sz="4" w:space="0" w:color="auto"/>
            </w:tcBorders>
          </w:tcPr>
          <w:p w14:paraId="4F3EE44F" w14:textId="77777777" w:rsidR="00E57DAA" w:rsidRDefault="00AC4185">
            <w:pPr>
              <w:autoSpaceDE w:val="0"/>
              <w:autoSpaceDN w:val="0"/>
              <w:adjustRightInd w:val="0"/>
              <w:jc w:val="right"/>
              <w:rPr>
                <w:szCs w:val="21"/>
              </w:rPr>
            </w:pPr>
            <w:r>
              <w:t>9,734.68</w:t>
            </w:r>
          </w:p>
        </w:tc>
      </w:tr>
      <w:tr w:rsidR="00E57DAA" w14:paraId="4349AB57" w14:textId="77777777">
        <w:tc>
          <w:tcPr>
            <w:tcW w:w="677" w:type="pct"/>
            <w:tcBorders>
              <w:top w:val="single" w:sz="4" w:space="0" w:color="auto"/>
              <w:left w:val="single" w:sz="4" w:space="0" w:color="auto"/>
              <w:bottom w:val="single" w:sz="4" w:space="0" w:color="auto"/>
              <w:right w:val="single" w:sz="4" w:space="0" w:color="auto"/>
            </w:tcBorders>
            <w:vAlign w:val="center"/>
          </w:tcPr>
          <w:p w14:paraId="5F8CB83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4836EF2" w14:textId="77777777" w:rsidR="00E57DAA" w:rsidRDefault="00AC4185">
            <w:pPr>
              <w:autoSpaceDE w:val="0"/>
              <w:autoSpaceDN w:val="0"/>
              <w:adjustRightInd w:val="0"/>
              <w:rPr>
                <w:szCs w:val="21"/>
              </w:rPr>
            </w:pPr>
            <w:r>
              <w:t>广德独山南方水泥有限公司</w:t>
            </w:r>
          </w:p>
        </w:tc>
        <w:tc>
          <w:tcPr>
            <w:tcW w:w="633" w:type="pct"/>
            <w:tcBorders>
              <w:top w:val="single" w:sz="4" w:space="0" w:color="auto"/>
              <w:left w:val="single" w:sz="4" w:space="0" w:color="auto"/>
              <w:bottom w:val="single" w:sz="4" w:space="0" w:color="auto"/>
              <w:right w:val="single" w:sz="4" w:space="0" w:color="auto"/>
            </w:tcBorders>
          </w:tcPr>
          <w:p w14:paraId="3143FB67" w14:textId="77777777" w:rsidR="00E57DAA" w:rsidRDefault="00AC4185">
            <w:pPr>
              <w:autoSpaceDE w:val="0"/>
              <w:autoSpaceDN w:val="0"/>
              <w:adjustRightInd w:val="0"/>
              <w:jc w:val="right"/>
              <w:rPr>
                <w:szCs w:val="21"/>
              </w:rPr>
            </w:pPr>
            <w:r>
              <w:t>1,473,513.81</w:t>
            </w:r>
          </w:p>
        </w:tc>
        <w:tc>
          <w:tcPr>
            <w:tcW w:w="632" w:type="pct"/>
            <w:tcBorders>
              <w:top w:val="single" w:sz="4" w:space="0" w:color="auto"/>
              <w:left w:val="single" w:sz="4" w:space="0" w:color="auto"/>
              <w:bottom w:val="single" w:sz="4" w:space="0" w:color="auto"/>
              <w:right w:val="single" w:sz="4" w:space="0" w:color="auto"/>
            </w:tcBorders>
          </w:tcPr>
          <w:p w14:paraId="18106ED2" w14:textId="77777777" w:rsidR="00E57DAA" w:rsidRDefault="00AC4185">
            <w:pPr>
              <w:autoSpaceDE w:val="0"/>
              <w:autoSpaceDN w:val="0"/>
              <w:adjustRightInd w:val="0"/>
              <w:jc w:val="right"/>
              <w:rPr>
                <w:szCs w:val="21"/>
              </w:rPr>
            </w:pPr>
            <w:r>
              <w:t>105,904.19</w:t>
            </w:r>
          </w:p>
        </w:tc>
        <w:tc>
          <w:tcPr>
            <w:tcW w:w="703" w:type="pct"/>
            <w:tcBorders>
              <w:top w:val="single" w:sz="4" w:space="0" w:color="auto"/>
              <w:left w:val="single" w:sz="4" w:space="0" w:color="auto"/>
              <w:bottom w:val="single" w:sz="4" w:space="0" w:color="auto"/>
              <w:right w:val="single" w:sz="4" w:space="0" w:color="auto"/>
            </w:tcBorders>
          </w:tcPr>
          <w:p w14:paraId="49781DF1" w14:textId="77777777" w:rsidR="00E57DAA" w:rsidRDefault="00AC4185">
            <w:pPr>
              <w:autoSpaceDE w:val="0"/>
              <w:autoSpaceDN w:val="0"/>
              <w:adjustRightInd w:val="0"/>
              <w:jc w:val="right"/>
              <w:rPr>
                <w:szCs w:val="21"/>
              </w:rPr>
            </w:pPr>
            <w:r>
              <w:t>5,501,217.52</w:t>
            </w:r>
          </w:p>
        </w:tc>
        <w:tc>
          <w:tcPr>
            <w:tcW w:w="914" w:type="pct"/>
            <w:tcBorders>
              <w:top w:val="single" w:sz="4" w:space="0" w:color="auto"/>
              <w:left w:val="single" w:sz="4" w:space="0" w:color="auto"/>
              <w:bottom w:val="single" w:sz="4" w:space="0" w:color="auto"/>
              <w:right w:val="single" w:sz="4" w:space="0" w:color="auto"/>
            </w:tcBorders>
          </w:tcPr>
          <w:p w14:paraId="20219479" w14:textId="77777777" w:rsidR="00E57DAA" w:rsidRDefault="00AC4185">
            <w:pPr>
              <w:autoSpaceDE w:val="0"/>
              <w:autoSpaceDN w:val="0"/>
              <w:adjustRightInd w:val="0"/>
              <w:jc w:val="right"/>
              <w:rPr>
                <w:szCs w:val="21"/>
              </w:rPr>
            </w:pPr>
            <w:r>
              <w:t>219,527.24</w:t>
            </w:r>
          </w:p>
        </w:tc>
      </w:tr>
      <w:tr w:rsidR="00E57DAA" w14:paraId="27757523" w14:textId="77777777">
        <w:tc>
          <w:tcPr>
            <w:tcW w:w="677" w:type="pct"/>
            <w:tcBorders>
              <w:top w:val="single" w:sz="4" w:space="0" w:color="auto"/>
              <w:left w:val="single" w:sz="4" w:space="0" w:color="auto"/>
              <w:bottom w:val="single" w:sz="4" w:space="0" w:color="auto"/>
              <w:right w:val="single" w:sz="4" w:space="0" w:color="auto"/>
            </w:tcBorders>
            <w:vAlign w:val="center"/>
          </w:tcPr>
          <w:p w14:paraId="7C3F0A1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972D3E6" w14:textId="77777777" w:rsidR="00E57DAA" w:rsidRDefault="00AC4185">
            <w:pPr>
              <w:autoSpaceDE w:val="0"/>
              <w:autoSpaceDN w:val="0"/>
              <w:adjustRightInd w:val="0"/>
              <w:rPr>
                <w:szCs w:val="21"/>
              </w:rPr>
            </w:pPr>
            <w:r>
              <w:t>新疆屯河水泥有限责任公司</w:t>
            </w:r>
          </w:p>
        </w:tc>
        <w:tc>
          <w:tcPr>
            <w:tcW w:w="633" w:type="pct"/>
            <w:tcBorders>
              <w:top w:val="single" w:sz="4" w:space="0" w:color="auto"/>
              <w:left w:val="single" w:sz="4" w:space="0" w:color="auto"/>
              <w:bottom w:val="single" w:sz="4" w:space="0" w:color="auto"/>
              <w:right w:val="single" w:sz="4" w:space="0" w:color="auto"/>
            </w:tcBorders>
          </w:tcPr>
          <w:p w14:paraId="6537D33A" w14:textId="77777777" w:rsidR="00E57DAA" w:rsidRDefault="00AC4185">
            <w:pPr>
              <w:autoSpaceDE w:val="0"/>
              <w:autoSpaceDN w:val="0"/>
              <w:adjustRightInd w:val="0"/>
              <w:jc w:val="right"/>
              <w:rPr>
                <w:szCs w:val="21"/>
              </w:rPr>
            </w:pPr>
            <w:r>
              <w:t>1,451,134.00</w:t>
            </w:r>
          </w:p>
        </w:tc>
        <w:tc>
          <w:tcPr>
            <w:tcW w:w="632" w:type="pct"/>
            <w:tcBorders>
              <w:top w:val="single" w:sz="4" w:space="0" w:color="auto"/>
              <w:left w:val="single" w:sz="4" w:space="0" w:color="auto"/>
              <w:bottom w:val="single" w:sz="4" w:space="0" w:color="auto"/>
              <w:right w:val="single" w:sz="4" w:space="0" w:color="auto"/>
            </w:tcBorders>
          </w:tcPr>
          <w:p w14:paraId="29AF4C83" w14:textId="77777777" w:rsidR="00E57DAA" w:rsidRDefault="00AC4185">
            <w:pPr>
              <w:autoSpaceDE w:val="0"/>
              <w:autoSpaceDN w:val="0"/>
              <w:adjustRightInd w:val="0"/>
              <w:jc w:val="right"/>
              <w:rPr>
                <w:szCs w:val="21"/>
              </w:rPr>
            </w:pPr>
            <w:r>
              <w:t>1,451,134.00</w:t>
            </w:r>
          </w:p>
        </w:tc>
        <w:tc>
          <w:tcPr>
            <w:tcW w:w="703" w:type="pct"/>
            <w:tcBorders>
              <w:top w:val="single" w:sz="4" w:space="0" w:color="auto"/>
              <w:left w:val="single" w:sz="4" w:space="0" w:color="auto"/>
              <w:bottom w:val="single" w:sz="4" w:space="0" w:color="auto"/>
              <w:right w:val="single" w:sz="4" w:space="0" w:color="auto"/>
            </w:tcBorders>
          </w:tcPr>
          <w:p w14:paraId="4516FB68" w14:textId="77777777" w:rsidR="00E57DAA" w:rsidRDefault="00AC4185">
            <w:pPr>
              <w:autoSpaceDE w:val="0"/>
              <w:autoSpaceDN w:val="0"/>
              <w:adjustRightInd w:val="0"/>
              <w:jc w:val="right"/>
              <w:rPr>
                <w:szCs w:val="21"/>
              </w:rPr>
            </w:pPr>
            <w:r>
              <w:t>1,451,134.00</w:t>
            </w:r>
          </w:p>
        </w:tc>
        <w:tc>
          <w:tcPr>
            <w:tcW w:w="914" w:type="pct"/>
            <w:tcBorders>
              <w:top w:val="single" w:sz="4" w:space="0" w:color="auto"/>
              <w:left w:val="single" w:sz="4" w:space="0" w:color="auto"/>
              <w:bottom w:val="single" w:sz="4" w:space="0" w:color="auto"/>
              <w:right w:val="single" w:sz="4" w:space="0" w:color="auto"/>
            </w:tcBorders>
          </w:tcPr>
          <w:p w14:paraId="1DB79901" w14:textId="77777777" w:rsidR="00E57DAA" w:rsidRDefault="00AC4185">
            <w:pPr>
              <w:autoSpaceDE w:val="0"/>
              <w:autoSpaceDN w:val="0"/>
              <w:adjustRightInd w:val="0"/>
              <w:jc w:val="right"/>
              <w:rPr>
                <w:szCs w:val="21"/>
              </w:rPr>
            </w:pPr>
            <w:r>
              <w:t>685,934.00</w:t>
            </w:r>
          </w:p>
        </w:tc>
      </w:tr>
      <w:tr w:rsidR="00E57DAA" w14:paraId="4F6B5B95" w14:textId="77777777">
        <w:tc>
          <w:tcPr>
            <w:tcW w:w="677" w:type="pct"/>
            <w:tcBorders>
              <w:top w:val="single" w:sz="4" w:space="0" w:color="auto"/>
              <w:left w:val="single" w:sz="4" w:space="0" w:color="auto"/>
              <w:bottom w:val="single" w:sz="4" w:space="0" w:color="auto"/>
              <w:right w:val="single" w:sz="4" w:space="0" w:color="auto"/>
            </w:tcBorders>
            <w:vAlign w:val="center"/>
          </w:tcPr>
          <w:p w14:paraId="601B74E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8610D80" w14:textId="77777777" w:rsidR="00E57DAA" w:rsidRDefault="00AC4185">
            <w:pPr>
              <w:autoSpaceDE w:val="0"/>
              <w:autoSpaceDN w:val="0"/>
              <w:adjustRightInd w:val="0"/>
              <w:rPr>
                <w:szCs w:val="21"/>
              </w:rPr>
            </w:pPr>
            <w:r>
              <w:t>习水赛德水泥有限公司</w:t>
            </w:r>
          </w:p>
        </w:tc>
        <w:tc>
          <w:tcPr>
            <w:tcW w:w="633" w:type="pct"/>
            <w:tcBorders>
              <w:top w:val="single" w:sz="4" w:space="0" w:color="auto"/>
              <w:left w:val="single" w:sz="4" w:space="0" w:color="auto"/>
              <w:bottom w:val="single" w:sz="4" w:space="0" w:color="auto"/>
              <w:right w:val="single" w:sz="4" w:space="0" w:color="auto"/>
            </w:tcBorders>
          </w:tcPr>
          <w:p w14:paraId="5E4FAED5" w14:textId="77777777" w:rsidR="00E57DAA" w:rsidRDefault="00AC4185">
            <w:pPr>
              <w:autoSpaceDE w:val="0"/>
              <w:autoSpaceDN w:val="0"/>
              <w:adjustRightInd w:val="0"/>
              <w:jc w:val="right"/>
              <w:rPr>
                <w:szCs w:val="21"/>
              </w:rPr>
            </w:pPr>
            <w:r>
              <w:t>1,444,082.00</w:t>
            </w:r>
          </w:p>
        </w:tc>
        <w:tc>
          <w:tcPr>
            <w:tcW w:w="632" w:type="pct"/>
            <w:tcBorders>
              <w:top w:val="single" w:sz="4" w:space="0" w:color="auto"/>
              <w:left w:val="single" w:sz="4" w:space="0" w:color="auto"/>
              <w:bottom w:val="single" w:sz="4" w:space="0" w:color="auto"/>
              <w:right w:val="single" w:sz="4" w:space="0" w:color="auto"/>
            </w:tcBorders>
          </w:tcPr>
          <w:p w14:paraId="31F2F839" w14:textId="77777777" w:rsidR="00E57DAA" w:rsidRDefault="00AC4185">
            <w:pPr>
              <w:autoSpaceDE w:val="0"/>
              <w:autoSpaceDN w:val="0"/>
              <w:adjustRightInd w:val="0"/>
              <w:jc w:val="right"/>
              <w:rPr>
                <w:szCs w:val="21"/>
              </w:rPr>
            </w:pPr>
            <w:r>
              <w:t>148,451.84</w:t>
            </w:r>
          </w:p>
        </w:tc>
        <w:tc>
          <w:tcPr>
            <w:tcW w:w="703" w:type="pct"/>
            <w:tcBorders>
              <w:top w:val="single" w:sz="4" w:space="0" w:color="auto"/>
              <w:left w:val="single" w:sz="4" w:space="0" w:color="auto"/>
              <w:bottom w:val="single" w:sz="4" w:space="0" w:color="auto"/>
              <w:right w:val="single" w:sz="4" w:space="0" w:color="auto"/>
            </w:tcBorders>
          </w:tcPr>
          <w:p w14:paraId="51296A30" w14:textId="77777777" w:rsidR="00E57DAA" w:rsidRDefault="00AC4185">
            <w:pPr>
              <w:autoSpaceDE w:val="0"/>
              <w:autoSpaceDN w:val="0"/>
              <w:adjustRightInd w:val="0"/>
              <w:jc w:val="right"/>
              <w:rPr>
                <w:szCs w:val="21"/>
              </w:rPr>
            </w:pPr>
            <w:r>
              <w:t>378,014.80</w:t>
            </w:r>
          </w:p>
        </w:tc>
        <w:tc>
          <w:tcPr>
            <w:tcW w:w="914" w:type="pct"/>
            <w:tcBorders>
              <w:top w:val="single" w:sz="4" w:space="0" w:color="auto"/>
              <w:left w:val="single" w:sz="4" w:space="0" w:color="auto"/>
              <w:bottom w:val="single" w:sz="4" w:space="0" w:color="auto"/>
              <w:right w:val="single" w:sz="4" w:space="0" w:color="auto"/>
            </w:tcBorders>
          </w:tcPr>
          <w:p w14:paraId="3CDB9837" w14:textId="77777777" w:rsidR="00E57DAA" w:rsidRDefault="00AC4185">
            <w:pPr>
              <w:autoSpaceDE w:val="0"/>
              <w:autoSpaceDN w:val="0"/>
              <w:adjustRightInd w:val="0"/>
              <w:jc w:val="right"/>
              <w:rPr>
                <w:szCs w:val="21"/>
              </w:rPr>
            </w:pPr>
            <w:r>
              <w:t>129,860.59</w:t>
            </w:r>
          </w:p>
        </w:tc>
      </w:tr>
      <w:tr w:rsidR="00E57DAA" w14:paraId="0EFC9490" w14:textId="77777777">
        <w:tc>
          <w:tcPr>
            <w:tcW w:w="677" w:type="pct"/>
            <w:tcBorders>
              <w:top w:val="single" w:sz="4" w:space="0" w:color="auto"/>
              <w:left w:val="single" w:sz="4" w:space="0" w:color="auto"/>
              <w:bottom w:val="single" w:sz="4" w:space="0" w:color="auto"/>
              <w:right w:val="single" w:sz="4" w:space="0" w:color="auto"/>
            </w:tcBorders>
            <w:vAlign w:val="center"/>
          </w:tcPr>
          <w:p w14:paraId="64A548A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E13398" w14:textId="77777777" w:rsidR="00E57DAA" w:rsidRDefault="00AC4185">
            <w:pPr>
              <w:autoSpaceDE w:val="0"/>
              <w:autoSpaceDN w:val="0"/>
              <w:adjustRightInd w:val="0"/>
              <w:rPr>
                <w:szCs w:val="21"/>
              </w:rPr>
            </w:pPr>
            <w:r>
              <w:t>中材萍乡水泥有限公司</w:t>
            </w:r>
          </w:p>
        </w:tc>
        <w:tc>
          <w:tcPr>
            <w:tcW w:w="633" w:type="pct"/>
            <w:tcBorders>
              <w:top w:val="single" w:sz="4" w:space="0" w:color="auto"/>
              <w:left w:val="single" w:sz="4" w:space="0" w:color="auto"/>
              <w:bottom w:val="single" w:sz="4" w:space="0" w:color="auto"/>
              <w:right w:val="single" w:sz="4" w:space="0" w:color="auto"/>
            </w:tcBorders>
          </w:tcPr>
          <w:p w14:paraId="61850A89" w14:textId="77777777" w:rsidR="00E57DAA" w:rsidRDefault="00AC4185">
            <w:pPr>
              <w:autoSpaceDE w:val="0"/>
              <w:autoSpaceDN w:val="0"/>
              <w:adjustRightInd w:val="0"/>
              <w:jc w:val="right"/>
              <w:rPr>
                <w:szCs w:val="21"/>
              </w:rPr>
            </w:pPr>
            <w:r>
              <w:t>1,439,669.58</w:t>
            </w:r>
          </w:p>
        </w:tc>
        <w:tc>
          <w:tcPr>
            <w:tcW w:w="632" w:type="pct"/>
            <w:tcBorders>
              <w:top w:val="single" w:sz="4" w:space="0" w:color="auto"/>
              <w:left w:val="single" w:sz="4" w:space="0" w:color="auto"/>
              <w:bottom w:val="single" w:sz="4" w:space="0" w:color="auto"/>
              <w:right w:val="single" w:sz="4" w:space="0" w:color="auto"/>
            </w:tcBorders>
          </w:tcPr>
          <w:p w14:paraId="47F20C13" w14:textId="77777777" w:rsidR="00E57DAA" w:rsidRDefault="00AC4185">
            <w:pPr>
              <w:autoSpaceDE w:val="0"/>
              <w:autoSpaceDN w:val="0"/>
              <w:adjustRightInd w:val="0"/>
              <w:jc w:val="right"/>
              <w:rPr>
                <w:szCs w:val="21"/>
              </w:rPr>
            </w:pPr>
            <w:r>
              <w:t>239,931.38</w:t>
            </w:r>
          </w:p>
        </w:tc>
        <w:tc>
          <w:tcPr>
            <w:tcW w:w="703" w:type="pct"/>
            <w:tcBorders>
              <w:top w:val="single" w:sz="4" w:space="0" w:color="auto"/>
              <w:left w:val="single" w:sz="4" w:space="0" w:color="auto"/>
              <w:bottom w:val="single" w:sz="4" w:space="0" w:color="auto"/>
              <w:right w:val="single" w:sz="4" w:space="0" w:color="auto"/>
            </w:tcBorders>
          </w:tcPr>
          <w:p w14:paraId="2BC61ABB" w14:textId="77777777" w:rsidR="00E57DAA" w:rsidRDefault="00AC4185">
            <w:pPr>
              <w:autoSpaceDE w:val="0"/>
              <w:autoSpaceDN w:val="0"/>
              <w:adjustRightInd w:val="0"/>
              <w:jc w:val="right"/>
              <w:rPr>
                <w:szCs w:val="21"/>
              </w:rPr>
            </w:pPr>
            <w:r>
              <w:t>1,975,164.23</w:t>
            </w:r>
          </w:p>
        </w:tc>
        <w:tc>
          <w:tcPr>
            <w:tcW w:w="914" w:type="pct"/>
            <w:tcBorders>
              <w:top w:val="single" w:sz="4" w:space="0" w:color="auto"/>
              <w:left w:val="single" w:sz="4" w:space="0" w:color="auto"/>
              <w:bottom w:val="single" w:sz="4" w:space="0" w:color="auto"/>
              <w:right w:val="single" w:sz="4" w:space="0" w:color="auto"/>
            </w:tcBorders>
          </w:tcPr>
          <w:p w14:paraId="69FC4C00" w14:textId="77777777" w:rsidR="00E57DAA" w:rsidRDefault="00AC4185">
            <w:pPr>
              <w:autoSpaceDE w:val="0"/>
              <w:autoSpaceDN w:val="0"/>
              <w:adjustRightInd w:val="0"/>
              <w:jc w:val="right"/>
              <w:rPr>
                <w:szCs w:val="21"/>
              </w:rPr>
            </w:pPr>
            <w:r>
              <w:t>357,798.58</w:t>
            </w:r>
          </w:p>
        </w:tc>
      </w:tr>
      <w:tr w:rsidR="00E57DAA" w14:paraId="0E9E2385" w14:textId="77777777">
        <w:tc>
          <w:tcPr>
            <w:tcW w:w="677" w:type="pct"/>
            <w:tcBorders>
              <w:top w:val="single" w:sz="4" w:space="0" w:color="auto"/>
              <w:left w:val="single" w:sz="4" w:space="0" w:color="auto"/>
              <w:bottom w:val="single" w:sz="4" w:space="0" w:color="auto"/>
              <w:right w:val="single" w:sz="4" w:space="0" w:color="auto"/>
            </w:tcBorders>
            <w:vAlign w:val="center"/>
          </w:tcPr>
          <w:p w14:paraId="0ADC15C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83B64DB" w14:textId="77777777" w:rsidR="00E57DAA" w:rsidRDefault="00AC4185">
            <w:pPr>
              <w:autoSpaceDE w:val="0"/>
              <w:autoSpaceDN w:val="0"/>
              <w:adjustRightInd w:val="0"/>
              <w:rPr>
                <w:szCs w:val="21"/>
              </w:rPr>
            </w:pPr>
            <w:r>
              <w:t>库车天山水泥有限责任公司</w:t>
            </w:r>
          </w:p>
        </w:tc>
        <w:tc>
          <w:tcPr>
            <w:tcW w:w="633" w:type="pct"/>
            <w:tcBorders>
              <w:top w:val="single" w:sz="4" w:space="0" w:color="auto"/>
              <w:left w:val="single" w:sz="4" w:space="0" w:color="auto"/>
              <w:bottom w:val="single" w:sz="4" w:space="0" w:color="auto"/>
              <w:right w:val="single" w:sz="4" w:space="0" w:color="auto"/>
            </w:tcBorders>
          </w:tcPr>
          <w:p w14:paraId="5998F3EF" w14:textId="77777777" w:rsidR="00E57DAA" w:rsidRDefault="00AC4185">
            <w:pPr>
              <w:autoSpaceDE w:val="0"/>
              <w:autoSpaceDN w:val="0"/>
              <w:adjustRightInd w:val="0"/>
              <w:jc w:val="right"/>
              <w:rPr>
                <w:szCs w:val="21"/>
              </w:rPr>
            </w:pPr>
            <w:r>
              <w:t>1,432,478.05</w:t>
            </w:r>
          </w:p>
        </w:tc>
        <w:tc>
          <w:tcPr>
            <w:tcW w:w="632" w:type="pct"/>
            <w:tcBorders>
              <w:top w:val="single" w:sz="4" w:space="0" w:color="auto"/>
              <w:left w:val="single" w:sz="4" w:space="0" w:color="auto"/>
              <w:bottom w:val="single" w:sz="4" w:space="0" w:color="auto"/>
              <w:right w:val="single" w:sz="4" w:space="0" w:color="auto"/>
            </w:tcBorders>
          </w:tcPr>
          <w:p w14:paraId="5BD2F183" w14:textId="77777777" w:rsidR="00E57DAA" w:rsidRDefault="00AC4185">
            <w:pPr>
              <w:autoSpaceDE w:val="0"/>
              <w:autoSpaceDN w:val="0"/>
              <w:adjustRightInd w:val="0"/>
              <w:jc w:val="right"/>
              <w:rPr>
                <w:szCs w:val="21"/>
              </w:rPr>
            </w:pPr>
            <w:r>
              <w:t>7,421.98</w:t>
            </w:r>
          </w:p>
        </w:tc>
        <w:tc>
          <w:tcPr>
            <w:tcW w:w="703" w:type="pct"/>
            <w:tcBorders>
              <w:top w:val="single" w:sz="4" w:space="0" w:color="auto"/>
              <w:left w:val="single" w:sz="4" w:space="0" w:color="auto"/>
              <w:bottom w:val="single" w:sz="4" w:space="0" w:color="auto"/>
              <w:right w:val="single" w:sz="4" w:space="0" w:color="auto"/>
            </w:tcBorders>
          </w:tcPr>
          <w:p w14:paraId="468818B0" w14:textId="77777777" w:rsidR="00E57DAA" w:rsidRDefault="00AC4185">
            <w:pPr>
              <w:autoSpaceDE w:val="0"/>
              <w:autoSpaceDN w:val="0"/>
              <w:adjustRightInd w:val="0"/>
              <w:jc w:val="right"/>
              <w:rPr>
                <w:szCs w:val="21"/>
              </w:rPr>
            </w:pPr>
            <w:r>
              <w:t>1,002.00</w:t>
            </w:r>
          </w:p>
        </w:tc>
        <w:tc>
          <w:tcPr>
            <w:tcW w:w="914" w:type="pct"/>
            <w:tcBorders>
              <w:top w:val="single" w:sz="4" w:space="0" w:color="auto"/>
              <w:left w:val="single" w:sz="4" w:space="0" w:color="auto"/>
              <w:bottom w:val="single" w:sz="4" w:space="0" w:color="auto"/>
              <w:right w:val="single" w:sz="4" w:space="0" w:color="auto"/>
            </w:tcBorders>
          </w:tcPr>
          <w:p w14:paraId="6E27F991" w14:textId="77777777" w:rsidR="00E57DAA" w:rsidRDefault="00AC4185">
            <w:pPr>
              <w:autoSpaceDE w:val="0"/>
              <w:autoSpaceDN w:val="0"/>
              <w:adjustRightInd w:val="0"/>
              <w:jc w:val="right"/>
              <w:rPr>
                <w:szCs w:val="21"/>
              </w:rPr>
            </w:pPr>
            <w:r>
              <w:t>1,002.00</w:t>
            </w:r>
          </w:p>
        </w:tc>
      </w:tr>
      <w:tr w:rsidR="00E57DAA" w14:paraId="6C4275BA" w14:textId="77777777">
        <w:tc>
          <w:tcPr>
            <w:tcW w:w="677" w:type="pct"/>
            <w:tcBorders>
              <w:top w:val="single" w:sz="4" w:space="0" w:color="auto"/>
              <w:left w:val="single" w:sz="4" w:space="0" w:color="auto"/>
              <w:bottom w:val="single" w:sz="4" w:space="0" w:color="auto"/>
              <w:right w:val="single" w:sz="4" w:space="0" w:color="auto"/>
            </w:tcBorders>
            <w:vAlign w:val="center"/>
          </w:tcPr>
          <w:p w14:paraId="63C551E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3E3C151" w14:textId="77777777" w:rsidR="00E57DAA" w:rsidRDefault="00AC4185">
            <w:pPr>
              <w:autoSpaceDE w:val="0"/>
              <w:autoSpaceDN w:val="0"/>
              <w:adjustRightInd w:val="0"/>
              <w:rPr>
                <w:szCs w:val="21"/>
              </w:rPr>
            </w:pPr>
            <w:r>
              <w:t>中国联合水泥集团有限公司</w:t>
            </w:r>
          </w:p>
        </w:tc>
        <w:tc>
          <w:tcPr>
            <w:tcW w:w="633" w:type="pct"/>
            <w:tcBorders>
              <w:top w:val="single" w:sz="4" w:space="0" w:color="auto"/>
              <w:left w:val="single" w:sz="4" w:space="0" w:color="auto"/>
              <w:bottom w:val="single" w:sz="4" w:space="0" w:color="auto"/>
              <w:right w:val="single" w:sz="4" w:space="0" w:color="auto"/>
            </w:tcBorders>
          </w:tcPr>
          <w:p w14:paraId="737C1551" w14:textId="77777777" w:rsidR="00E57DAA" w:rsidRDefault="00AC4185">
            <w:pPr>
              <w:autoSpaceDE w:val="0"/>
              <w:autoSpaceDN w:val="0"/>
              <w:adjustRightInd w:val="0"/>
              <w:jc w:val="right"/>
              <w:rPr>
                <w:szCs w:val="21"/>
              </w:rPr>
            </w:pPr>
            <w:r>
              <w:t>1,427,780.00</w:t>
            </w:r>
          </w:p>
        </w:tc>
        <w:tc>
          <w:tcPr>
            <w:tcW w:w="632" w:type="pct"/>
            <w:tcBorders>
              <w:top w:val="single" w:sz="4" w:space="0" w:color="auto"/>
              <w:left w:val="single" w:sz="4" w:space="0" w:color="auto"/>
              <w:bottom w:val="single" w:sz="4" w:space="0" w:color="auto"/>
              <w:right w:val="single" w:sz="4" w:space="0" w:color="auto"/>
            </w:tcBorders>
          </w:tcPr>
          <w:p w14:paraId="7A4ABCE8" w14:textId="77777777" w:rsidR="00E57DAA" w:rsidRDefault="00AC4185">
            <w:pPr>
              <w:autoSpaceDE w:val="0"/>
              <w:autoSpaceDN w:val="0"/>
              <w:adjustRightInd w:val="0"/>
              <w:jc w:val="right"/>
              <w:rPr>
                <w:szCs w:val="21"/>
              </w:rPr>
            </w:pPr>
            <w:r>
              <w:t>77,557.10</w:t>
            </w:r>
          </w:p>
        </w:tc>
        <w:tc>
          <w:tcPr>
            <w:tcW w:w="703" w:type="pct"/>
            <w:tcBorders>
              <w:top w:val="single" w:sz="4" w:space="0" w:color="auto"/>
              <w:left w:val="single" w:sz="4" w:space="0" w:color="auto"/>
              <w:bottom w:val="single" w:sz="4" w:space="0" w:color="auto"/>
              <w:right w:val="single" w:sz="4" w:space="0" w:color="auto"/>
            </w:tcBorders>
          </w:tcPr>
          <w:p w14:paraId="203E137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87E31A0" w14:textId="77777777" w:rsidR="00E57DAA" w:rsidRDefault="00AC4185">
            <w:pPr>
              <w:autoSpaceDE w:val="0"/>
              <w:autoSpaceDN w:val="0"/>
              <w:adjustRightInd w:val="0"/>
              <w:jc w:val="right"/>
              <w:rPr>
                <w:szCs w:val="21"/>
              </w:rPr>
            </w:pPr>
            <w:r>
              <w:t xml:space="preserve">　</w:t>
            </w:r>
          </w:p>
        </w:tc>
      </w:tr>
      <w:tr w:rsidR="00E57DAA" w14:paraId="6FA51D04" w14:textId="77777777">
        <w:tc>
          <w:tcPr>
            <w:tcW w:w="677" w:type="pct"/>
            <w:tcBorders>
              <w:top w:val="single" w:sz="4" w:space="0" w:color="auto"/>
              <w:left w:val="single" w:sz="4" w:space="0" w:color="auto"/>
              <w:bottom w:val="single" w:sz="4" w:space="0" w:color="auto"/>
              <w:right w:val="single" w:sz="4" w:space="0" w:color="auto"/>
            </w:tcBorders>
            <w:vAlign w:val="center"/>
          </w:tcPr>
          <w:p w14:paraId="4CAB600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58F9EF8" w14:textId="77777777" w:rsidR="00E57DAA" w:rsidRDefault="00AC4185">
            <w:pPr>
              <w:autoSpaceDE w:val="0"/>
              <w:autoSpaceDN w:val="0"/>
              <w:adjustRightInd w:val="0"/>
              <w:rPr>
                <w:szCs w:val="21"/>
              </w:rPr>
            </w:pPr>
            <w:r>
              <w:t>凌源市富源矿业有限责任公司</w:t>
            </w:r>
          </w:p>
        </w:tc>
        <w:tc>
          <w:tcPr>
            <w:tcW w:w="633" w:type="pct"/>
            <w:tcBorders>
              <w:top w:val="single" w:sz="4" w:space="0" w:color="auto"/>
              <w:left w:val="single" w:sz="4" w:space="0" w:color="auto"/>
              <w:bottom w:val="single" w:sz="4" w:space="0" w:color="auto"/>
              <w:right w:val="single" w:sz="4" w:space="0" w:color="auto"/>
            </w:tcBorders>
          </w:tcPr>
          <w:p w14:paraId="51D2734C" w14:textId="77777777" w:rsidR="00E57DAA" w:rsidRDefault="00AC4185">
            <w:pPr>
              <w:autoSpaceDE w:val="0"/>
              <w:autoSpaceDN w:val="0"/>
              <w:adjustRightInd w:val="0"/>
              <w:jc w:val="right"/>
              <w:rPr>
                <w:szCs w:val="21"/>
              </w:rPr>
            </w:pPr>
            <w:r>
              <w:t>1,381,311.35</w:t>
            </w:r>
          </w:p>
        </w:tc>
        <w:tc>
          <w:tcPr>
            <w:tcW w:w="632" w:type="pct"/>
            <w:tcBorders>
              <w:top w:val="single" w:sz="4" w:space="0" w:color="auto"/>
              <w:left w:val="single" w:sz="4" w:space="0" w:color="auto"/>
              <w:bottom w:val="single" w:sz="4" w:space="0" w:color="auto"/>
              <w:right w:val="single" w:sz="4" w:space="0" w:color="auto"/>
            </w:tcBorders>
          </w:tcPr>
          <w:p w14:paraId="119E1755" w14:textId="77777777" w:rsidR="00E57DAA" w:rsidRDefault="00AC4185">
            <w:pPr>
              <w:autoSpaceDE w:val="0"/>
              <w:autoSpaceDN w:val="0"/>
              <w:adjustRightInd w:val="0"/>
              <w:jc w:val="right"/>
              <w:rPr>
                <w:szCs w:val="21"/>
              </w:rPr>
            </w:pPr>
            <w:r>
              <w:t>100,523.55</w:t>
            </w:r>
          </w:p>
        </w:tc>
        <w:tc>
          <w:tcPr>
            <w:tcW w:w="703" w:type="pct"/>
            <w:tcBorders>
              <w:top w:val="single" w:sz="4" w:space="0" w:color="auto"/>
              <w:left w:val="single" w:sz="4" w:space="0" w:color="auto"/>
              <w:bottom w:val="single" w:sz="4" w:space="0" w:color="auto"/>
              <w:right w:val="single" w:sz="4" w:space="0" w:color="auto"/>
            </w:tcBorders>
          </w:tcPr>
          <w:p w14:paraId="78F1E0DB" w14:textId="77777777" w:rsidR="00E57DAA" w:rsidRDefault="00AC4185">
            <w:pPr>
              <w:autoSpaceDE w:val="0"/>
              <w:autoSpaceDN w:val="0"/>
              <w:adjustRightInd w:val="0"/>
              <w:jc w:val="right"/>
              <w:rPr>
                <w:szCs w:val="21"/>
              </w:rPr>
            </w:pPr>
            <w:r>
              <w:t>2,277,199.66</w:t>
            </w:r>
          </w:p>
        </w:tc>
        <w:tc>
          <w:tcPr>
            <w:tcW w:w="914" w:type="pct"/>
            <w:tcBorders>
              <w:top w:val="single" w:sz="4" w:space="0" w:color="auto"/>
              <w:left w:val="single" w:sz="4" w:space="0" w:color="auto"/>
              <w:bottom w:val="single" w:sz="4" w:space="0" w:color="auto"/>
              <w:right w:val="single" w:sz="4" w:space="0" w:color="auto"/>
            </w:tcBorders>
          </w:tcPr>
          <w:p w14:paraId="724C2E9C" w14:textId="77777777" w:rsidR="00E57DAA" w:rsidRDefault="00AC4185">
            <w:pPr>
              <w:autoSpaceDE w:val="0"/>
              <w:autoSpaceDN w:val="0"/>
              <w:adjustRightInd w:val="0"/>
              <w:jc w:val="right"/>
              <w:rPr>
                <w:szCs w:val="21"/>
              </w:rPr>
            </w:pPr>
            <w:r>
              <w:t>51,268.77</w:t>
            </w:r>
          </w:p>
        </w:tc>
      </w:tr>
      <w:tr w:rsidR="00E57DAA" w14:paraId="130A948A" w14:textId="77777777">
        <w:tc>
          <w:tcPr>
            <w:tcW w:w="677" w:type="pct"/>
            <w:tcBorders>
              <w:top w:val="single" w:sz="4" w:space="0" w:color="auto"/>
              <w:left w:val="single" w:sz="4" w:space="0" w:color="auto"/>
              <w:bottom w:val="single" w:sz="4" w:space="0" w:color="auto"/>
              <w:right w:val="single" w:sz="4" w:space="0" w:color="auto"/>
            </w:tcBorders>
            <w:vAlign w:val="center"/>
          </w:tcPr>
          <w:p w14:paraId="2C57168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407ADBB" w14:textId="77777777" w:rsidR="00E57DAA" w:rsidRDefault="00AC4185">
            <w:pPr>
              <w:autoSpaceDE w:val="0"/>
              <w:autoSpaceDN w:val="0"/>
              <w:adjustRightInd w:val="0"/>
              <w:rPr>
                <w:szCs w:val="21"/>
              </w:rPr>
            </w:pPr>
            <w:r>
              <w:t>金刚（集团）白山水泥有限公司</w:t>
            </w:r>
          </w:p>
        </w:tc>
        <w:tc>
          <w:tcPr>
            <w:tcW w:w="633" w:type="pct"/>
            <w:tcBorders>
              <w:top w:val="single" w:sz="4" w:space="0" w:color="auto"/>
              <w:left w:val="single" w:sz="4" w:space="0" w:color="auto"/>
              <w:bottom w:val="single" w:sz="4" w:space="0" w:color="auto"/>
              <w:right w:val="single" w:sz="4" w:space="0" w:color="auto"/>
            </w:tcBorders>
          </w:tcPr>
          <w:p w14:paraId="55A0A85D" w14:textId="77777777" w:rsidR="00E57DAA" w:rsidRDefault="00AC4185">
            <w:pPr>
              <w:autoSpaceDE w:val="0"/>
              <w:autoSpaceDN w:val="0"/>
              <w:adjustRightInd w:val="0"/>
              <w:jc w:val="right"/>
              <w:rPr>
                <w:szCs w:val="21"/>
              </w:rPr>
            </w:pPr>
            <w:r>
              <w:t>1,346,088.74</w:t>
            </w:r>
          </w:p>
        </w:tc>
        <w:tc>
          <w:tcPr>
            <w:tcW w:w="632" w:type="pct"/>
            <w:tcBorders>
              <w:top w:val="single" w:sz="4" w:space="0" w:color="auto"/>
              <w:left w:val="single" w:sz="4" w:space="0" w:color="auto"/>
              <w:bottom w:val="single" w:sz="4" w:space="0" w:color="auto"/>
              <w:right w:val="single" w:sz="4" w:space="0" w:color="auto"/>
            </w:tcBorders>
          </w:tcPr>
          <w:p w14:paraId="0F67D1ED" w14:textId="77777777" w:rsidR="00E57DAA" w:rsidRDefault="00AC4185">
            <w:pPr>
              <w:autoSpaceDE w:val="0"/>
              <w:autoSpaceDN w:val="0"/>
              <w:adjustRightInd w:val="0"/>
              <w:jc w:val="right"/>
              <w:rPr>
                <w:szCs w:val="21"/>
              </w:rPr>
            </w:pPr>
            <w:r>
              <w:t>5,384.35</w:t>
            </w:r>
          </w:p>
        </w:tc>
        <w:tc>
          <w:tcPr>
            <w:tcW w:w="703" w:type="pct"/>
            <w:tcBorders>
              <w:top w:val="single" w:sz="4" w:space="0" w:color="auto"/>
              <w:left w:val="single" w:sz="4" w:space="0" w:color="auto"/>
              <w:bottom w:val="single" w:sz="4" w:space="0" w:color="auto"/>
              <w:right w:val="single" w:sz="4" w:space="0" w:color="auto"/>
            </w:tcBorders>
          </w:tcPr>
          <w:p w14:paraId="1CED3848" w14:textId="77777777" w:rsidR="00E57DAA" w:rsidRDefault="00AC4185">
            <w:pPr>
              <w:autoSpaceDE w:val="0"/>
              <w:autoSpaceDN w:val="0"/>
              <w:adjustRightInd w:val="0"/>
              <w:jc w:val="right"/>
              <w:rPr>
                <w:szCs w:val="21"/>
              </w:rPr>
            </w:pPr>
            <w:r>
              <w:t>985,422.44</w:t>
            </w:r>
          </w:p>
        </w:tc>
        <w:tc>
          <w:tcPr>
            <w:tcW w:w="914" w:type="pct"/>
            <w:tcBorders>
              <w:top w:val="single" w:sz="4" w:space="0" w:color="auto"/>
              <w:left w:val="single" w:sz="4" w:space="0" w:color="auto"/>
              <w:bottom w:val="single" w:sz="4" w:space="0" w:color="auto"/>
              <w:right w:val="single" w:sz="4" w:space="0" w:color="auto"/>
            </w:tcBorders>
          </w:tcPr>
          <w:p w14:paraId="5394EB10" w14:textId="77777777" w:rsidR="00E57DAA" w:rsidRDefault="00AC4185">
            <w:pPr>
              <w:autoSpaceDE w:val="0"/>
              <w:autoSpaceDN w:val="0"/>
              <w:adjustRightInd w:val="0"/>
              <w:jc w:val="right"/>
              <w:rPr>
                <w:szCs w:val="21"/>
              </w:rPr>
            </w:pPr>
            <w:r>
              <w:t>1,970.84</w:t>
            </w:r>
          </w:p>
        </w:tc>
      </w:tr>
      <w:tr w:rsidR="00E57DAA" w14:paraId="2E00897D" w14:textId="77777777">
        <w:tc>
          <w:tcPr>
            <w:tcW w:w="677" w:type="pct"/>
            <w:tcBorders>
              <w:top w:val="single" w:sz="4" w:space="0" w:color="auto"/>
              <w:left w:val="single" w:sz="4" w:space="0" w:color="auto"/>
              <w:bottom w:val="single" w:sz="4" w:space="0" w:color="auto"/>
              <w:right w:val="single" w:sz="4" w:space="0" w:color="auto"/>
            </w:tcBorders>
            <w:vAlign w:val="center"/>
          </w:tcPr>
          <w:p w14:paraId="17F12FC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AC391C2" w14:textId="77777777" w:rsidR="00E57DAA" w:rsidRDefault="00AC4185">
            <w:pPr>
              <w:autoSpaceDE w:val="0"/>
              <w:autoSpaceDN w:val="0"/>
              <w:adjustRightInd w:val="0"/>
              <w:rPr>
                <w:szCs w:val="21"/>
              </w:rPr>
            </w:pPr>
            <w:r>
              <w:t>贵州兴义西南水泥有限公司</w:t>
            </w:r>
          </w:p>
        </w:tc>
        <w:tc>
          <w:tcPr>
            <w:tcW w:w="633" w:type="pct"/>
            <w:tcBorders>
              <w:top w:val="single" w:sz="4" w:space="0" w:color="auto"/>
              <w:left w:val="single" w:sz="4" w:space="0" w:color="auto"/>
              <w:bottom w:val="single" w:sz="4" w:space="0" w:color="auto"/>
              <w:right w:val="single" w:sz="4" w:space="0" w:color="auto"/>
            </w:tcBorders>
          </w:tcPr>
          <w:p w14:paraId="5BBB817D" w14:textId="77777777" w:rsidR="00E57DAA" w:rsidRDefault="00AC4185">
            <w:pPr>
              <w:autoSpaceDE w:val="0"/>
              <w:autoSpaceDN w:val="0"/>
              <w:adjustRightInd w:val="0"/>
              <w:jc w:val="right"/>
              <w:rPr>
                <w:szCs w:val="21"/>
              </w:rPr>
            </w:pPr>
            <w:r>
              <w:t>1,236,644.27</w:t>
            </w:r>
          </w:p>
        </w:tc>
        <w:tc>
          <w:tcPr>
            <w:tcW w:w="632" w:type="pct"/>
            <w:tcBorders>
              <w:top w:val="single" w:sz="4" w:space="0" w:color="auto"/>
              <w:left w:val="single" w:sz="4" w:space="0" w:color="auto"/>
              <w:bottom w:val="single" w:sz="4" w:space="0" w:color="auto"/>
              <w:right w:val="single" w:sz="4" w:space="0" w:color="auto"/>
            </w:tcBorders>
          </w:tcPr>
          <w:p w14:paraId="43637339" w14:textId="77777777" w:rsidR="00E57DAA" w:rsidRDefault="00AC4185">
            <w:pPr>
              <w:autoSpaceDE w:val="0"/>
              <w:autoSpaceDN w:val="0"/>
              <w:adjustRightInd w:val="0"/>
              <w:jc w:val="right"/>
              <w:rPr>
                <w:szCs w:val="21"/>
              </w:rPr>
            </w:pPr>
            <w:r>
              <w:t>5,374.26</w:t>
            </w:r>
          </w:p>
        </w:tc>
        <w:tc>
          <w:tcPr>
            <w:tcW w:w="703" w:type="pct"/>
            <w:tcBorders>
              <w:top w:val="single" w:sz="4" w:space="0" w:color="auto"/>
              <w:left w:val="single" w:sz="4" w:space="0" w:color="auto"/>
              <w:bottom w:val="single" w:sz="4" w:space="0" w:color="auto"/>
              <w:right w:val="single" w:sz="4" w:space="0" w:color="auto"/>
            </w:tcBorders>
          </w:tcPr>
          <w:p w14:paraId="5948313D" w14:textId="77777777" w:rsidR="00E57DAA" w:rsidRDefault="00AC4185">
            <w:pPr>
              <w:autoSpaceDE w:val="0"/>
              <w:autoSpaceDN w:val="0"/>
              <w:adjustRightInd w:val="0"/>
              <w:jc w:val="right"/>
              <w:rPr>
                <w:szCs w:val="21"/>
              </w:rPr>
            </w:pPr>
            <w:r>
              <w:t>476,453.75</w:t>
            </w:r>
          </w:p>
        </w:tc>
        <w:tc>
          <w:tcPr>
            <w:tcW w:w="914" w:type="pct"/>
            <w:tcBorders>
              <w:top w:val="single" w:sz="4" w:space="0" w:color="auto"/>
              <w:left w:val="single" w:sz="4" w:space="0" w:color="auto"/>
              <w:bottom w:val="single" w:sz="4" w:space="0" w:color="auto"/>
              <w:right w:val="single" w:sz="4" w:space="0" w:color="auto"/>
            </w:tcBorders>
          </w:tcPr>
          <w:p w14:paraId="4195E1B4" w14:textId="77777777" w:rsidR="00E57DAA" w:rsidRDefault="00AC4185">
            <w:pPr>
              <w:autoSpaceDE w:val="0"/>
              <w:autoSpaceDN w:val="0"/>
              <w:adjustRightInd w:val="0"/>
              <w:jc w:val="right"/>
              <w:rPr>
                <w:szCs w:val="21"/>
              </w:rPr>
            </w:pPr>
            <w:r>
              <w:t>32,360.67</w:t>
            </w:r>
          </w:p>
        </w:tc>
      </w:tr>
      <w:tr w:rsidR="00E57DAA" w14:paraId="797B6C3D" w14:textId="77777777">
        <w:tc>
          <w:tcPr>
            <w:tcW w:w="677" w:type="pct"/>
            <w:tcBorders>
              <w:top w:val="single" w:sz="4" w:space="0" w:color="auto"/>
              <w:left w:val="single" w:sz="4" w:space="0" w:color="auto"/>
              <w:bottom w:val="single" w:sz="4" w:space="0" w:color="auto"/>
              <w:right w:val="single" w:sz="4" w:space="0" w:color="auto"/>
            </w:tcBorders>
            <w:vAlign w:val="center"/>
          </w:tcPr>
          <w:p w14:paraId="65A744B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D052009" w14:textId="77777777" w:rsidR="00E57DAA" w:rsidRDefault="00AC4185">
            <w:pPr>
              <w:autoSpaceDE w:val="0"/>
              <w:autoSpaceDN w:val="0"/>
              <w:adjustRightInd w:val="0"/>
              <w:rPr>
                <w:szCs w:val="21"/>
              </w:rPr>
            </w:pPr>
            <w:r>
              <w:t>曲阜中联水泥有限公司</w:t>
            </w:r>
          </w:p>
        </w:tc>
        <w:tc>
          <w:tcPr>
            <w:tcW w:w="633" w:type="pct"/>
            <w:tcBorders>
              <w:top w:val="single" w:sz="4" w:space="0" w:color="auto"/>
              <w:left w:val="single" w:sz="4" w:space="0" w:color="auto"/>
              <w:bottom w:val="single" w:sz="4" w:space="0" w:color="auto"/>
              <w:right w:val="single" w:sz="4" w:space="0" w:color="auto"/>
            </w:tcBorders>
          </w:tcPr>
          <w:p w14:paraId="28AAF281" w14:textId="77777777" w:rsidR="00E57DAA" w:rsidRDefault="00AC4185">
            <w:pPr>
              <w:autoSpaceDE w:val="0"/>
              <w:autoSpaceDN w:val="0"/>
              <w:adjustRightInd w:val="0"/>
              <w:jc w:val="right"/>
              <w:rPr>
                <w:szCs w:val="21"/>
              </w:rPr>
            </w:pPr>
            <w:r>
              <w:t>1,210,682.00</w:t>
            </w:r>
          </w:p>
        </w:tc>
        <w:tc>
          <w:tcPr>
            <w:tcW w:w="632" w:type="pct"/>
            <w:tcBorders>
              <w:top w:val="single" w:sz="4" w:space="0" w:color="auto"/>
              <w:left w:val="single" w:sz="4" w:space="0" w:color="auto"/>
              <w:bottom w:val="single" w:sz="4" w:space="0" w:color="auto"/>
              <w:right w:val="single" w:sz="4" w:space="0" w:color="auto"/>
            </w:tcBorders>
          </w:tcPr>
          <w:p w14:paraId="412614A8" w14:textId="77777777" w:rsidR="00E57DAA" w:rsidRDefault="00AC4185">
            <w:pPr>
              <w:autoSpaceDE w:val="0"/>
              <w:autoSpaceDN w:val="0"/>
              <w:adjustRightInd w:val="0"/>
              <w:jc w:val="right"/>
              <w:rPr>
                <w:szCs w:val="21"/>
              </w:rPr>
            </w:pPr>
            <w:r>
              <w:t>221,988.71</w:t>
            </w:r>
          </w:p>
        </w:tc>
        <w:tc>
          <w:tcPr>
            <w:tcW w:w="703" w:type="pct"/>
            <w:tcBorders>
              <w:top w:val="single" w:sz="4" w:space="0" w:color="auto"/>
              <w:left w:val="single" w:sz="4" w:space="0" w:color="auto"/>
              <w:bottom w:val="single" w:sz="4" w:space="0" w:color="auto"/>
              <w:right w:val="single" w:sz="4" w:space="0" w:color="auto"/>
            </w:tcBorders>
          </w:tcPr>
          <w:p w14:paraId="6CF34A0B" w14:textId="77777777" w:rsidR="00E57DAA" w:rsidRDefault="00AC4185">
            <w:pPr>
              <w:autoSpaceDE w:val="0"/>
              <w:autoSpaceDN w:val="0"/>
              <w:adjustRightInd w:val="0"/>
              <w:jc w:val="right"/>
              <w:rPr>
                <w:szCs w:val="21"/>
              </w:rPr>
            </w:pPr>
            <w:r>
              <w:t>1,198,500.00</w:t>
            </w:r>
          </w:p>
        </w:tc>
        <w:tc>
          <w:tcPr>
            <w:tcW w:w="914" w:type="pct"/>
            <w:tcBorders>
              <w:top w:val="single" w:sz="4" w:space="0" w:color="auto"/>
              <w:left w:val="single" w:sz="4" w:space="0" w:color="auto"/>
              <w:bottom w:val="single" w:sz="4" w:space="0" w:color="auto"/>
              <w:right w:val="single" w:sz="4" w:space="0" w:color="auto"/>
            </w:tcBorders>
          </w:tcPr>
          <w:p w14:paraId="4C6C801B" w14:textId="77777777" w:rsidR="00E57DAA" w:rsidRDefault="00AC4185">
            <w:pPr>
              <w:autoSpaceDE w:val="0"/>
              <w:autoSpaceDN w:val="0"/>
              <w:adjustRightInd w:val="0"/>
              <w:jc w:val="right"/>
              <w:rPr>
                <w:szCs w:val="21"/>
              </w:rPr>
            </w:pPr>
            <w:r>
              <w:t>119,850.00</w:t>
            </w:r>
          </w:p>
        </w:tc>
      </w:tr>
      <w:tr w:rsidR="00E57DAA" w14:paraId="2C9DB512" w14:textId="77777777">
        <w:tc>
          <w:tcPr>
            <w:tcW w:w="677" w:type="pct"/>
            <w:tcBorders>
              <w:top w:val="single" w:sz="4" w:space="0" w:color="auto"/>
              <w:left w:val="single" w:sz="4" w:space="0" w:color="auto"/>
              <w:bottom w:val="single" w:sz="4" w:space="0" w:color="auto"/>
              <w:right w:val="single" w:sz="4" w:space="0" w:color="auto"/>
            </w:tcBorders>
            <w:vAlign w:val="center"/>
          </w:tcPr>
          <w:p w14:paraId="0EF457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ED150BD" w14:textId="77777777" w:rsidR="00E57DAA" w:rsidRDefault="00AC4185">
            <w:pPr>
              <w:autoSpaceDE w:val="0"/>
              <w:autoSpaceDN w:val="0"/>
              <w:adjustRightInd w:val="0"/>
              <w:rPr>
                <w:szCs w:val="21"/>
              </w:rPr>
            </w:pPr>
            <w:r>
              <w:t>甘肃祁连山水泥集团股份有限公司</w:t>
            </w:r>
          </w:p>
        </w:tc>
        <w:tc>
          <w:tcPr>
            <w:tcW w:w="633" w:type="pct"/>
            <w:tcBorders>
              <w:top w:val="single" w:sz="4" w:space="0" w:color="auto"/>
              <w:left w:val="single" w:sz="4" w:space="0" w:color="auto"/>
              <w:bottom w:val="single" w:sz="4" w:space="0" w:color="auto"/>
              <w:right w:val="single" w:sz="4" w:space="0" w:color="auto"/>
            </w:tcBorders>
          </w:tcPr>
          <w:p w14:paraId="4F13396D" w14:textId="77777777" w:rsidR="00E57DAA" w:rsidRDefault="00AC4185">
            <w:pPr>
              <w:autoSpaceDE w:val="0"/>
              <w:autoSpaceDN w:val="0"/>
              <w:adjustRightInd w:val="0"/>
              <w:jc w:val="right"/>
              <w:rPr>
                <w:szCs w:val="21"/>
              </w:rPr>
            </w:pPr>
            <w:r>
              <w:t>1,188,047.11</w:t>
            </w:r>
          </w:p>
        </w:tc>
        <w:tc>
          <w:tcPr>
            <w:tcW w:w="632" w:type="pct"/>
            <w:tcBorders>
              <w:top w:val="single" w:sz="4" w:space="0" w:color="auto"/>
              <w:left w:val="single" w:sz="4" w:space="0" w:color="auto"/>
              <w:bottom w:val="single" w:sz="4" w:space="0" w:color="auto"/>
              <w:right w:val="single" w:sz="4" w:space="0" w:color="auto"/>
            </w:tcBorders>
          </w:tcPr>
          <w:p w14:paraId="2F8EF17A" w14:textId="77777777" w:rsidR="00E57DAA" w:rsidRDefault="00AC4185">
            <w:pPr>
              <w:autoSpaceDE w:val="0"/>
              <w:autoSpaceDN w:val="0"/>
              <w:adjustRightInd w:val="0"/>
              <w:jc w:val="right"/>
              <w:rPr>
                <w:szCs w:val="21"/>
              </w:rPr>
            </w:pPr>
            <w:r>
              <w:t>1,188,047.11</w:t>
            </w:r>
          </w:p>
        </w:tc>
        <w:tc>
          <w:tcPr>
            <w:tcW w:w="703" w:type="pct"/>
            <w:tcBorders>
              <w:top w:val="single" w:sz="4" w:space="0" w:color="auto"/>
              <w:left w:val="single" w:sz="4" w:space="0" w:color="auto"/>
              <w:bottom w:val="single" w:sz="4" w:space="0" w:color="auto"/>
              <w:right w:val="single" w:sz="4" w:space="0" w:color="auto"/>
            </w:tcBorders>
          </w:tcPr>
          <w:p w14:paraId="19D297DC" w14:textId="77777777" w:rsidR="00E57DAA" w:rsidRDefault="00AC4185">
            <w:pPr>
              <w:autoSpaceDE w:val="0"/>
              <w:autoSpaceDN w:val="0"/>
              <w:adjustRightInd w:val="0"/>
              <w:jc w:val="right"/>
              <w:rPr>
                <w:szCs w:val="21"/>
              </w:rPr>
            </w:pPr>
            <w:r>
              <w:t>1,188,047.11</w:t>
            </w:r>
          </w:p>
        </w:tc>
        <w:tc>
          <w:tcPr>
            <w:tcW w:w="914" w:type="pct"/>
            <w:tcBorders>
              <w:top w:val="single" w:sz="4" w:space="0" w:color="auto"/>
              <w:left w:val="single" w:sz="4" w:space="0" w:color="auto"/>
              <w:bottom w:val="single" w:sz="4" w:space="0" w:color="auto"/>
              <w:right w:val="single" w:sz="4" w:space="0" w:color="auto"/>
            </w:tcBorders>
          </w:tcPr>
          <w:p w14:paraId="3F1891C9" w14:textId="77777777" w:rsidR="00E57DAA" w:rsidRDefault="00AC4185">
            <w:pPr>
              <w:autoSpaceDE w:val="0"/>
              <w:autoSpaceDN w:val="0"/>
              <w:adjustRightInd w:val="0"/>
              <w:jc w:val="right"/>
              <w:rPr>
                <w:szCs w:val="21"/>
              </w:rPr>
            </w:pPr>
            <w:r>
              <w:t>1,188,047.11</w:t>
            </w:r>
          </w:p>
        </w:tc>
      </w:tr>
      <w:tr w:rsidR="00E57DAA" w14:paraId="5A34DA05" w14:textId="77777777">
        <w:tc>
          <w:tcPr>
            <w:tcW w:w="677" w:type="pct"/>
            <w:tcBorders>
              <w:top w:val="single" w:sz="4" w:space="0" w:color="auto"/>
              <w:left w:val="single" w:sz="4" w:space="0" w:color="auto"/>
              <w:bottom w:val="single" w:sz="4" w:space="0" w:color="auto"/>
              <w:right w:val="single" w:sz="4" w:space="0" w:color="auto"/>
            </w:tcBorders>
            <w:vAlign w:val="center"/>
          </w:tcPr>
          <w:p w14:paraId="3938405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E092A6A" w14:textId="77777777" w:rsidR="00E57DAA" w:rsidRDefault="00AC4185">
            <w:pPr>
              <w:autoSpaceDE w:val="0"/>
              <w:autoSpaceDN w:val="0"/>
              <w:adjustRightInd w:val="0"/>
              <w:rPr>
                <w:szCs w:val="21"/>
              </w:rPr>
            </w:pPr>
            <w:r>
              <w:t>东平中联水泥有限公司</w:t>
            </w:r>
          </w:p>
        </w:tc>
        <w:tc>
          <w:tcPr>
            <w:tcW w:w="633" w:type="pct"/>
            <w:tcBorders>
              <w:top w:val="single" w:sz="4" w:space="0" w:color="auto"/>
              <w:left w:val="single" w:sz="4" w:space="0" w:color="auto"/>
              <w:bottom w:val="single" w:sz="4" w:space="0" w:color="auto"/>
              <w:right w:val="single" w:sz="4" w:space="0" w:color="auto"/>
            </w:tcBorders>
          </w:tcPr>
          <w:p w14:paraId="00ACF210" w14:textId="77777777" w:rsidR="00E57DAA" w:rsidRDefault="00AC4185">
            <w:pPr>
              <w:autoSpaceDE w:val="0"/>
              <w:autoSpaceDN w:val="0"/>
              <w:adjustRightInd w:val="0"/>
              <w:jc w:val="right"/>
              <w:rPr>
                <w:szCs w:val="21"/>
              </w:rPr>
            </w:pPr>
            <w:r>
              <w:t>1,179,850.41</w:t>
            </w:r>
          </w:p>
        </w:tc>
        <w:tc>
          <w:tcPr>
            <w:tcW w:w="632" w:type="pct"/>
            <w:tcBorders>
              <w:top w:val="single" w:sz="4" w:space="0" w:color="auto"/>
              <w:left w:val="single" w:sz="4" w:space="0" w:color="auto"/>
              <w:bottom w:val="single" w:sz="4" w:space="0" w:color="auto"/>
              <w:right w:val="single" w:sz="4" w:space="0" w:color="auto"/>
            </w:tcBorders>
          </w:tcPr>
          <w:p w14:paraId="05CF0338" w14:textId="77777777" w:rsidR="00E57DAA" w:rsidRDefault="00AC4185">
            <w:pPr>
              <w:autoSpaceDE w:val="0"/>
              <w:autoSpaceDN w:val="0"/>
              <w:adjustRightInd w:val="0"/>
              <w:jc w:val="right"/>
              <w:rPr>
                <w:szCs w:val="21"/>
              </w:rPr>
            </w:pPr>
            <w:r>
              <w:t>85,171.43</w:t>
            </w:r>
          </w:p>
        </w:tc>
        <w:tc>
          <w:tcPr>
            <w:tcW w:w="703" w:type="pct"/>
            <w:tcBorders>
              <w:top w:val="single" w:sz="4" w:space="0" w:color="auto"/>
              <w:left w:val="single" w:sz="4" w:space="0" w:color="auto"/>
              <w:bottom w:val="single" w:sz="4" w:space="0" w:color="auto"/>
              <w:right w:val="single" w:sz="4" w:space="0" w:color="auto"/>
            </w:tcBorders>
          </w:tcPr>
          <w:p w14:paraId="71BB1FAF" w14:textId="77777777" w:rsidR="00E57DAA" w:rsidRDefault="00AC4185">
            <w:pPr>
              <w:autoSpaceDE w:val="0"/>
              <w:autoSpaceDN w:val="0"/>
              <w:adjustRightInd w:val="0"/>
              <w:jc w:val="right"/>
              <w:rPr>
                <w:szCs w:val="21"/>
              </w:rPr>
            </w:pPr>
            <w:r>
              <w:t>585,500.00</w:t>
            </w:r>
          </w:p>
        </w:tc>
        <w:tc>
          <w:tcPr>
            <w:tcW w:w="914" w:type="pct"/>
            <w:tcBorders>
              <w:top w:val="single" w:sz="4" w:space="0" w:color="auto"/>
              <w:left w:val="single" w:sz="4" w:space="0" w:color="auto"/>
              <w:bottom w:val="single" w:sz="4" w:space="0" w:color="auto"/>
              <w:right w:val="single" w:sz="4" w:space="0" w:color="auto"/>
            </w:tcBorders>
          </w:tcPr>
          <w:p w14:paraId="32BB6595" w14:textId="77777777" w:rsidR="00E57DAA" w:rsidRDefault="00AC4185">
            <w:pPr>
              <w:autoSpaceDE w:val="0"/>
              <w:autoSpaceDN w:val="0"/>
              <w:adjustRightInd w:val="0"/>
              <w:jc w:val="right"/>
              <w:rPr>
                <w:szCs w:val="21"/>
              </w:rPr>
            </w:pPr>
            <w:r>
              <w:t>23,156.85</w:t>
            </w:r>
          </w:p>
        </w:tc>
      </w:tr>
      <w:tr w:rsidR="00E57DAA" w14:paraId="5FEC54FD" w14:textId="77777777">
        <w:tc>
          <w:tcPr>
            <w:tcW w:w="677" w:type="pct"/>
            <w:tcBorders>
              <w:top w:val="single" w:sz="4" w:space="0" w:color="auto"/>
              <w:left w:val="single" w:sz="4" w:space="0" w:color="auto"/>
              <w:bottom w:val="single" w:sz="4" w:space="0" w:color="auto"/>
              <w:right w:val="single" w:sz="4" w:space="0" w:color="auto"/>
            </w:tcBorders>
            <w:vAlign w:val="center"/>
          </w:tcPr>
          <w:p w14:paraId="389CEA4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6D568CE" w14:textId="77777777" w:rsidR="00E57DAA" w:rsidRDefault="00AC4185">
            <w:pPr>
              <w:autoSpaceDE w:val="0"/>
              <w:autoSpaceDN w:val="0"/>
              <w:adjustRightInd w:val="0"/>
              <w:rPr>
                <w:szCs w:val="21"/>
              </w:rPr>
            </w:pPr>
            <w:r>
              <w:t>湖南常德南方水泥有限公司</w:t>
            </w:r>
          </w:p>
        </w:tc>
        <w:tc>
          <w:tcPr>
            <w:tcW w:w="633" w:type="pct"/>
            <w:tcBorders>
              <w:top w:val="single" w:sz="4" w:space="0" w:color="auto"/>
              <w:left w:val="single" w:sz="4" w:space="0" w:color="auto"/>
              <w:bottom w:val="single" w:sz="4" w:space="0" w:color="auto"/>
              <w:right w:val="single" w:sz="4" w:space="0" w:color="auto"/>
            </w:tcBorders>
          </w:tcPr>
          <w:p w14:paraId="7422A90F" w14:textId="77777777" w:rsidR="00E57DAA" w:rsidRDefault="00AC4185">
            <w:pPr>
              <w:autoSpaceDE w:val="0"/>
              <w:autoSpaceDN w:val="0"/>
              <w:adjustRightInd w:val="0"/>
              <w:jc w:val="right"/>
              <w:rPr>
                <w:szCs w:val="21"/>
              </w:rPr>
            </w:pPr>
            <w:r>
              <w:t>1,131,236.00</w:t>
            </w:r>
          </w:p>
        </w:tc>
        <w:tc>
          <w:tcPr>
            <w:tcW w:w="632" w:type="pct"/>
            <w:tcBorders>
              <w:top w:val="single" w:sz="4" w:space="0" w:color="auto"/>
              <w:left w:val="single" w:sz="4" w:space="0" w:color="auto"/>
              <w:bottom w:val="single" w:sz="4" w:space="0" w:color="auto"/>
              <w:right w:val="single" w:sz="4" w:space="0" w:color="auto"/>
            </w:tcBorders>
          </w:tcPr>
          <w:p w14:paraId="70BC98F6" w14:textId="77777777" w:rsidR="00E57DAA" w:rsidRDefault="00AC4185">
            <w:pPr>
              <w:autoSpaceDE w:val="0"/>
              <w:autoSpaceDN w:val="0"/>
              <w:adjustRightInd w:val="0"/>
              <w:jc w:val="right"/>
              <w:rPr>
                <w:szCs w:val="21"/>
              </w:rPr>
            </w:pPr>
            <w:r>
              <w:t>62,387.58</w:t>
            </w:r>
          </w:p>
        </w:tc>
        <w:tc>
          <w:tcPr>
            <w:tcW w:w="703" w:type="pct"/>
            <w:tcBorders>
              <w:top w:val="single" w:sz="4" w:space="0" w:color="auto"/>
              <w:left w:val="single" w:sz="4" w:space="0" w:color="auto"/>
              <w:bottom w:val="single" w:sz="4" w:space="0" w:color="auto"/>
              <w:right w:val="single" w:sz="4" w:space="0" w:color="auto"/>
            </w:tcBorders>
          </w:tcPr>
          <w:p w14:paraId="0E450098" w14:textId="77777777" w:rsidR="00E57DAA" w:rsidRDefault="00AC4185">
            <w:pPr>
              <w:autoSpaceDE w:val="0"/>
              <w:autoSpaceDN w:val="0"/>
              <w:adjustRightInd w:val="0"/>
              <w:jc w:val="right"/>
              <w:rPr>
                <w:szCs w:val="21"/>
              </w:rPr>
            </w:pPr>
            <w:r>
              <w:t>52,040.00</w:t>
            </w:r>
          </w:p>
        </w:tc>
        <w:tc>
          <w:tcPr>
            <w:tcW w:w="914" w:type="pct"/>
            <w:tcBorders>
              <w:top w:val="single" w:sz="4" w:space="0" w:color="auto"/>
              <w:left w:val="single" w:sz="4" w:space="0" w:color="auto"/>
              <w:bottom w:val="single" w:sz="4" w:space="0" w:color="auto"/>
              <w:right w:val="single" w:sz="4" w:space="0" w:color="auto"/>
            </w:tcBorders>
          </w:tcPr>
          <w:p w14:paraId="08347800" w14:textId="77777777" w:rsidR="00E57DAA" w:rsidRDefault="00AC4185">
            <w:pPr>
              <w:autoSpaceDE w:val="0"/>
              <w:autoSpaceDN w:val="0"/>
              <w:adjustRightInd w:val="0"/>
              <w:jc w:val="right"/>
              <w:rPr>
                <w:szCs w:val="21"/>
              </w:rPr>
            </w:pPr>
            <w:r>
              <w:t>10,711.33</w:t>
            </w:r>
          </w:p>
        </w:tc>
      </w:tr>
      <w:tr w:rsidR="00E57DAA" w14:paraId="0F7916EC" w14:textId="77777777">
        <w:tc>
          <w:tcPr>
            <w:tcW w:w="677" w:type="pct"/>
            <w:tcBorders>
              <w:top w:val="single" w:sz="4" w:space="0" w:color="auto"/>
              <w:left w:val="single" w:sz="4" w:space="0" w:color="auto"/>
              <w:bottom w:val="single" w:sz="4" w:space="0" w:color="auto"/>
              <w:right w:val="single" w:sz="4" w:space="0" w:color="auto"/>
            </w:tcBorders>
            <w:vAlign w:val="center"/>
          </w:tcPr>
          <w:p w14:paraId="0885689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10969C8" w14:textId="77777777" w:rsidR="00E57DAA" w:rsidRDefault="00AC4185">
            <w:pPr>
              <w:autoSpaceDE w:val="0"/>
              <w:autoSpaceDN w:val="0"/>
              <w:adjustRightInd w:val="0"/>
              <w:rPr>
                <w:szCs w:val="21"/>
              </w:rPr>
            </w:pPr>
            <w:r>
              <w:t>新疆和静天山水泥有限责任公司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12BCEBC" w14:textId="77777777" w:rsidR="00E57DAA" w:rsidRDefault="00AC4185">
            <w:pPr>
              <w:autoSpaceDE w:val="0"/>
              <w:autoSpaceDN w:val="0"/>
              <w:adjustRightInd w:val="0"/>
              <w:jc w:val="right"/>
              <w:rPr>
                <w:szCs w:val="21"/>
              </w:rPr>
            </w:pPr>
            <w:r>
              <w:t>1,110,482.06</w:t>
            </w:r>
          </w:p>
        </w:tc>
        <w:tc>
          <w:tcPr>
            <w:tcW w:w="632" w:type="pct"/>
            <w:tcBorders>
              <w:top w:val="single" w:sz="4" w:space="0" w:color="auto"/>
              <w:left w:val="single" w:sz="4" w:space="0" w:color="auto"/>
              <w:bottom w:val="single" w:sz="4" w:space="0" w:color="auto"/>
              <w:right w:val="single" w:sz="4" w:space="0" w:color="auto"/>
            </w:tcBorders>
          </w:tcPr>
          <w:p w14:paraId="68A6DB29" w14:textId="77777777" w:rsidR="00E57DAA" w:rsidRDefault="00AC4185">
            <w:pPr>
              <w:autoSpaceDE w:val="0"/>
              <w:autoSpaceDN w:val="0"/>
              <w:adjustRightInd w:val="0"/>
              <w:jc w:val="right"/>
              <w:rPr>
                <w:szCs w:val="21"/>
              </w:rPr>
            </w:pPr>
            <w:r>
              <w:t>53,533.79</w:t>
            </w:r>
          </w:p>
        </w:tc>
        <w:tc>
          <w:tcPr>
            <w:tcW w:w="703" w:type="pct"/>
            <w:tcBorders>
              <w:top w:val="single" w:sz="4" w:space="0" w:color="auto"/>
              <w:left w:val="single" w:sz="4" w:space="0" w:color="auto"/>
              <w:bottom w:val="single" w:sz="4" w:space="0" w:color="auto"/>
              <w:right w:val="single" w:sz="4" w:space="0" w:color="auto"/>
            </w:tcBorders>
          </w:tcPr>
          <w:p w14:paraId="6432A988" w14:textId="77777777" w:rsidR="00E57DAA" w:rsidRDefault="00AC4185">
            <w:pPr>
              <w:autoSpaceDE w:val="0"/>
              <w:autoSpaceDN w:val="0"/>
              <w:adjustRightInd w:val="0"/>
              <w:jc w:val="right"/>
              <w:rPr>
                <w:szCs w:val="21"/>
              </w:rPr>
            </w:pPr>
            <w:r>
              <w:t>2,138,857.63</w:t>
            </w:r>
          </w:p>
        </w:tc>
        <w:tc>
          <w:tcPr>
            <w:tcW w:w="914" w:type="pct"/>
            <w:tcBorders>
              <w:top w:val="single" w:sz="4" w:space="0" w:color="auto"/>
              <w:left w:val="single" w:sz="4" w:space="0" w:color="auto"/>
              <w:bottom w:val="single" w:sz="4" w:space="0" w:color="auto"/>
              <w:right w:val="single" w:sz="4" w:space="0" w:color="auto"/>
            </w:tcBorders>
          </w:tcPr>
          <w:p w14:paraId="069EA6FE" w14:textId="77777777" w:rsidR="00E57DAA" w:rsidRDefault="00AC4185">
            <w:pPr>
              <w:autoSpaceDE w:val="0"/>
              <w:autoSpaceDN w:val="0"/>
              <w:adjustRightInd w:val="0"/>
              <w:jc w:val="right"/>
              <w:rPr>
                <w:szCs w:val="21"/>
              </w:rPr>
            </w:pPr>
            <w:r>
              <w:t>16,237.03</w:t>
            </w:r>
          </w:p>
        </w:tc>
      </w:tr>
      <w:tr w:rsidR="00E57DAA" w14:paraId="56927E00" w14:textId="77777777">
        <w:tc>
          <w:tcPr>
            <w:tcW w:w="677" w:type="pct"/>
            <w:tcBorders>
              <w:top w:val="single" w:sz="4" w:space="0" w:color="auto"/>
              <w:left w:val="single" w:sz="4" w:space="0" w:color="auto"/>
              <w:bottom w:val="single" w:sz="4" w:space="0" w:color="auto"/>
              <w:right w:val="single" w:sz="4" w:space="0" w:color="auto"/>
            </w:tcBorders>
            <w:vAlign w:val="center"/>
          </w:tcPr>
          <w:p w14:paraId="33711B8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538C715" w14:textId="77777777" w:rsidR="00E57DAA" w:rsidRDefault="00AC4185">
            <w:pPr>
              <w:autoSpaceDE w:val="0"/>
              <w:autoSpaceDN w:val="0"/>
              <w:adjustRightInd w:val="0"/>
              <w:rPr>
                <w:szCs w:val="21"/>
              </w:rPr>
            </w:pPr>
            <w:r>
              <w:t>响水中联水泥有限公司</w:t>
            </w:r>
          </w:p>
        </w:tc>
        <w:tc>
          <w:tcPr>
            <w:tcW w:w="633" w:type="pct"/>
            <w:tcBorders>
              <w:top w:val="single" w:sz="4" w:space="0" w:color="auto"/>
              <w:left w:val="single" w:sz="4" w:space="0" w:color="auto"/>
              <w:bottom w:val="single" w:sz="4" w:space="0" w:color="auto"/>
              <w:right w:val="single" w:sz="4" w:space="0" w:color="auto"/>
            </w:tcBorders>
          </w:tcPr>
          <w:p w14:paraId="3E3A3257" w14:textId="77777777" w:rsidR="00E57DAA" w:rsidRDefault="00AC4185">
            <w:pPr>
              <w:autoSpaceDE w:val="0"/>
              <w:autoSpaceDN w:val="0"/>
              <w:adjustRightInd w:val="0"/>
              <w:jc w:val="right"/>
              <w:rPr>
                <w:szCs w:val="21"/>
              </w:rPr>
            </w:pPr>
            <w:r>
              <w:t>1,077,000.00</w:t>
            </w:r>
          </w:p>
        </w:tc>
        <w:tc>
          <w:tcPr>
            <w:tcW w:w="632" w:type="pct"/>
            <w:tcBorders>
              <w:top w:val="single" w:sz="4" w:space="0" w:color="auto"/>
              <w:left w:val="single" w:sz="4" w:space="0" w:color="auto"/>
              <w:bottom w:val="single" w:sz="4" w:space="0" w:color="auto"/>
              <w:right w:val="single" w:sz="4" w:space="0" w:color="auto"/>
            </w:tcBorders>
          </w:tcPr>
          <w:p w14:paraId="59AA18E8" w14:textId="77777777" w:rsidR="00E57DAA" w:rsidRDefault="00AC4185">
            <w:pPr>
              <w:autoSpaceDE w:val="0"/>
              <w:autoSpaceDN w:val="0"/>
              <w:adjustRightInd w:val="0"/>
              <w:jc w:val="right"/>
              <w:rPr>
                <w:szCs w:val="21"/>
              </w:rPr>
            </w:pPr>
            <w:r>
              <w:t>1,070,910.00</w:t>
            </w:r>
          </w:p>
        </w:tc>
        <w:tc>
          <w:tcPr>
            <w:tcW w:w="703" w:type="pct"/>
            <w:tcBorders>
              <w:top w:val="single" w:sz="4" w:space="0" w:color="auto"/>
              <w:left w:val="single" w:sz="4" w:space="0" w:color="auto"/>
              <w:bottom w:val="single" w:sz="4" w:space="0" w:color="auto"/>
              <w:right w:val="single" w:sz="4" w:space="0" w:color="auto"/>
            </w:tcBorders>
          </w:tcPr>
          <w:p w14:paraId="6D8A6C4C" w14:textId="77777777" w:rsidR="00E57DAA" w:rsidRDefault="00AC4185">
            <w:pPr>
              <w:autoSpaceDE w:val="0"/>
              <w:autoSpaceDN w:val="0"/>
              <w:adjustRightInd w:val="0"/>
              <w:jc w:val="right"/>
              <w:rPr>
                <w:szCs w:val="21"/>
              </w:rPr>
            </w:pPr>
            <w:r>
              <w:t>1,077,000.00</w:t>
            </w:r>
          </w:p>
        </w:tc>
        <w:tc>
          <w:tcPr>
            <w:tcW w:w="914" w:type="pct"/>
            <w:tcBorders>
              <w:top w:val="single" w:sz="4" w:space="0" w:color="auto"/>
              <w:left w:val="single" w:sz="4" w:space="0" w:color="auto"/>
              <w:bottom w:val="single" w:sz="4" w:space="0" w:color="auto"/>
              <w:right w:val="single" w:sz="4" w:space="0" w:color="auto"/>
            </w:tcBorders>
          </w:tcPr>
          <w:p w14:paraId="72698EA6" w14:textId="77777777" w:rsidR="00E57DAA" w:rsidRDefault="00AC4185">
            <w:pPr>
              <w:autoSpaceDE w:val="0"/>
              <w:autoSpaceDN w:val="0"/>
              <w:adjustRightInd w:val="0"/>
              <w:jc w:val="right"/>
              <w:rPr>
                <w:szCs w:val="21"/>
              </w:rPr>
            </w:pPr>
            <w:r>
              <w:t>1,064,820.00</w:t>
            </w:r>
          </w:p>
        </w:tc>
      </w:tr>
      <w:tr w:rsidR="00E57DAA" w14:paraId="784D0AA0" w14:textId="77777777">
        <w:tc>
          <w:tcPr>
            <w:tcW w:w="677" w:type="pct"/>
            <w:tcBorders>
              <w:top w:val="single" w:sz="4" w:space="0" w:color="auto"/>
              <w:left w:val="single" w:sz="4" w:space="0" w:color="auto"/>
              <w:bottom w:val="single" w:sz="4" w:space="0" w:color="auto"/>
              <w:right w:val="single" w:sz="4" w:space="0" w:color="auto"/>
            </w:tcBorders>
            <w:vAlign w:val="center"/>
          </w:tcPr>
          <w:p w14:paraId="4CF89E0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8D3CFE1" w14:textId="77777777" w:rsidR="00E57DAA" w:rsidRDefault="00AC4185">
            <w:pPr>
              <w:autoSpaceDE w:val="0"/>
              <w:autoSpaceDN w:val="0"/>
              <w:adjustRightInd w:val="0"/>
              <w:rPr>
                <w:szCs w:val="21"/>
              </w:rPr>
            </w:pPr>
            <w:r>
              <w:t>江西泰和南方水泥有限公司</w:t>
            </w:r>
          </w:p>
        </w:tc>
        <w:tc>
          <w:tcPr>
            <w:tcW w:w="633" w:type="pct"/>
            <w:tcBorders>
              <w:top w:val="single" w:sz="4" w:space="0" w:color="auto"/>
              <w:left w:val="single" w:sz="4" w:space="0" w:color="auto"/>
              <w:bottom w:val="single" w:sz="4" w:space="0" w:color="auto"/>
              <w:right w:val="single" w:sz="4" w:space="0" w:color="auto"/>
            </w:tcBorders>
          </w:tcPr>
          <w:p w14:paraId="70DADA4E" w14:textId="77777777" w:rsidR="00E57DAA" w:rsidRDefault="00AC4185">
            <w:pPr>
              <w:autoSpaceDE w:val="0"/>
              <w:autoSpaceDN w:val="0"/>
              <w:adjustRightInd w:val="0"/>
              <w:jc w:val="right"/>
              <w:rPr>
                <w:szCs w:val="21"/>
              </w:rPr>
            </w:pPr>
            <w:r>
              <w:t>1,071,579.20</w:t>
            </w:r>
          </w:p>
        </w:tc>
        <w:tc>
          <w:tcPr>
            <w:tcW w:w="632" w:type="pct"/>
            <w:tcBorders>
              <w:top w:val="single" w:sz="4" w:space="0" w:color="auto"/>
              <w:left w:val="single" w:sz="4" w:space="0" w:color="auto"/>
              <w:bottom w:val="single" w:sz="4" w:space="0" w:color="auto"/>
              <w:right w:val="single" w:sz="4" w:space="0" w:color="auto"/>
            </w:tcBorders>
          </w:tcPr>
          <w:p w14:paraId="16F5CE03" w14:textId="77777777" w:rsidR="00E57DAA" w:rsidRDefault="00AC4185">
            <w:pPr>
              <w:autoSpaceDE w:val="0"/>
              <w:autoSpaceDN w:val="0"/>
              <w:adjustRightInd w:val="0"/>
              <w:jc w:val="right"/>
              <w:rPr>
                <w:szCs w:val="21"/>
              </w:rPr>
            </w:pPr>
            <w:r>
              <w:t>267,208.74</w:t>
            </w:r>
          </w:p>
        </w:tc>
        <w:tc>
          <w:tcPr>
            <w:tcW w:w="703" w:type="pct"/>
            <w:tcBorders>
              <w:top w:val="single" w:sz="4" w:space="0" w:color="auto"/>
              <w:left w:val="single" w:sz="4" w:space="0" w:color="auto"/>
              <w:bottom w:val="single" w:sz="4" w:space="0" w:color="auto"/>
              <w:right w:val="single" w:sz="4" w:space="0" w:color="auto"/>
            </w:tcBorders>
          </w:tcPr>
          <w:p w14:paraId="6EECFD50" w14:textId="77777777" w:rsidR="00E57DAA" w:rsidRDefault="00AC4185">
            <w:pPr>
              <w:autoSpaceDE w:val="0"/>
              <w:autoSpaceDN w:val="0"/>
              <w:adjustRightInd w:val="0"/>
              <w:jc w:val="right"/>
              <w:rPr>
                <w:szCs w:val="21"/>
              </w:rPr>
            </w:pPr>
            <w:r>
              <w:t>1,347,356.00</w:t>
            </w:r>
          </w:p>
        </w:tc>
        <w:tc>
          <w:tcPr>
            <w:tcW w:w="914" w:type="pct"/>
            <w:tcBorders>
              <w:top w:val="single" w:sz="4" w:space="0" w:color="auto"/>
              <w:left w:val="single" w:sz="4" w:space="0" w:color="auto"/>
              <w:bottom w:val="single" w:sz="4" w:space="0" w:color="auto"/>
              <w:right w:val="single" w:sz="4" w:space="0" w:color="auto"/>
            </w:tcBorders>
          </w:tcPr>
          <w:p w14:paraId="14BED70F" w14:textId="77777777" w:rsidR="00E57DAA" w:rsidRDefault="00AC4185">
            <w:pPr>
              <w:autoSpaceDE w:val="0"/>
              <w:autoSpaceDN w:val="0"/>
              <w:adjustRightInd w:val="0"/>
              <w:jc w:val="right"/>
              <w:rPr>
                <w:szCs w:val="21"/>
              </w:rPr>
            </w:pPr>
            <w:r>
              <w:t>118,723.80</w:t>
            </w:r>
          </w:p>
        </w:tc>
      </w:tr>
      <w:tr w:rsidR="00E57DAA" w14:paraId="1529420C" w14:textId="77777777">
        <w:tc>
          <w:tcPr>
            <w:tcW w:w="677" w:type="pct"/>
            <w:tcBorders>
              <w:top w:val="single" w:sz="4" w:space="0" w:color="auto"/>
              <w:left w:val="single" w:sz="4" w:space="0" w:color="auto"/>
              <w:bottom w:val="single" w:sz="4" w:space="0" w:color="auto"/>
              <w:right w:val="single" w:sz="4" w:space="0" w:color="auto"/>
            </w:tcBorders>
            <w:vAlign w:val="center"/>
          </w:tcPr>
          <w:p w14:paraId="3E9D947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E5541EB" w14:textId="77777777" w:rsidR="00E57DAA" w:rsidRDefault="00AC4185">
            <w:pPr>
              <w:autoSpaceDE w:val="0"/>
              <w:autoSpaceDN w:val="0"/>
              <w:adjustRightInd w:val="0"/>
              <w:rPr>
                <w:szCs w:val="21"/>
              </w:rPr>
            </w:pPr>
            <w:r>
              <w:t>湖南古丈南方水泥有限公司</w:t>
            </w:r>
          </w:p>
        </w:tc>
        <w:tc>
          <w:tcPr>
            <w:tcW w:w="633" w:type="pct"/>
            <w:tcBorders>
              <w:top w:val="single" w:sz="4" w:space="0" w:color="auto"/>
              <w:left w:val="single" w:sz="4" w:space="0" w:color="auto"/>
              <w:bottom w:val="single" w:sz="4" w:space="0" w:color="auto"/>
              <w:right w:val="single" w:sz="4" w:space="0" w:color="auto"/>
            </w:tcBorders>
          </w:tcPr>
          <w:p w14:paraId="67CEA00C" w14:textId="77777777" w:rsidR="00E57DAA" w:rsidRDefault="00AC4185">
            <w:pPr>
              <w:autoSpaceDE w:val="0"/>
              <w:autoSpaceDN w:val="0"/>
              <w:adjustRightInd w:val="0"/>
              <w:jc w:val="right"/>
              <w:rPr>
                <w:szCs w:val="21"/>
              </w:rPr>
            </w:pPr>
            <w:r>
              <w:t>1,055,400.00</w:t>
            </w:r>
          </w:p>
        </w:tc>
        <w:tc>
          <w:tcPr>
            <w:tcW w:w="632" w:type="pct"/>
            <w:tcBorders>
              <w:top w:val="single" w:sz="4" w:space="0" w:color="auto"/>
              <w:left w:val="single" w:sz="4" w:space="0" w:color="auto"/>
              <w:bottom w:val="single" w:sz="4" w:space="0" w:color="auto"/>
              <w:right w:val="single" w:sz="4" w:space="0" w:color="auto"/>
            </w:tcBorders>
          </w:tcPr>
          <w:p w14:paraId="7CDED7BA" w14:textId="77777777" w:rsidR="00E57DAA" w:rsidRDefault="00AC4185">
            <w:pPr>
              <w:autoSpaceDE w:val="0"/>
              <w:autoSpaceDN w:val="0"/>
              <w:adjustRightInd w:val="0"/>
              <w:jc w:val="right"/>
              <w:rPr>
                <w:szCs w:val="21"/>
              </w:rPr>
            </w:pPr>
            <w:r>
              <w:t>129,637.20</w:t>
            </w:r>
          </w:p>
        </w:tc>
        <w:tc>
          <w:tcPr>
            <w:tcW w:w="703" w:type="pct"/>
            <w:tcBorders>
              <w:top w:val="single" w:sz="4" w:space="0" w:color="auto"/>
              <w:left w:val="single" w:sz="4" w:space="0" w:color="auto"/>
              <w:bottom w:val="single" w:sz="4" w:space="0" w:color="auto"/>
              <w:right w:val="single" w:sz="4" w:space="0" w:color="auto"/>
            </w:tcBorders>
          </w:tcPr>
          <w:p w14:paraId="0C0705F1" w14:textId="77777777" w:rsidR="00E57DAA" w:rsidRDefault="00AC4185">
            <w:pPr>
              <w:autoSpaceDE w:val="0"/>
              <w:autoSpaceDN w:val="0"/>
              <w:adjustRightInd w:val="0"/>
              <w:jc w:val="right"/>
              <w:rPr>
                <w:szCs w:val="21"/>
              </w:rPr>
            </w:pPr>
            <w:r>
              <w:t>2,356,000.00</w:t>
            </w:r>
          </w:p>
        </w:tc>
        <w:tc>
          <w:tcPr>
            <w:tcW w:w="914" w:type="pct"/>
            <w:tcBorders>
              <w:top w:val="single" w:sz="4" w:space="0" w:color="auto"/>
              <w:left w:val="single" w:sz="4" w:space="0" w:color="auto"/>
              <w:bottom w:val="single" w:sz="4" w:space="0" w:color="auto"/>
              <w:right w:val="single" w:sz="4" w:space="0" w:color="auto"/>
            </w:tcBorders>
          </w:tcPr>
          <w:p w14:paraId="047B9C56" w14:textId="77777777" w:rsidR="00E57DAA" w:rsidRDefault="00AC4185">
            <w:pPr>
              <w:autoSpaceDE w:val="0"/>
              <w:autoSpaceDN w:val="0"/>
              <w:adjustRightInd w:val="0"/>
              <w:jc w:val="right"/>
              <w:rPr>
                <w:szCs w:val="21"/>
              </w:rPr>
            </w:pPr>
            <w:r>
              <w:t>169,867.60</w:t>
            </w:r>
          </w:p>
        </w:tc>
      </w:tr>
      <w:tr w:rsidR="00E57DAA" w14:paraId="5EE92DF9" w14:textId="77777777">
        <w:tc>
          <w:tcPr>
            <w:tcW w:w="677" w:type="pct"/>
            <w:tcBorders>
              <w:top w:val="single" w:sz="4" w:space="0" w:color="auto"/>
              <w:left w:val="single" w:sz="4" w:space="0" w:color="auto"/>
              <w:bottom w:val="single" w:sz="4" w:space="0" w:color="auto"/>
              <w:right w:val="single" w:sz="4" w:space="0" w:color="auto"/>
            </w:tcBorders>
            <w:vAlign w:val="center"/>
          </w:tcPr>
          <w:p w14:paraId="6AD77FA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84A0E53" w14:textId="77777777" w:rsidR="00E57DAA" w:rsidRDefault="00AC4185">
            <w:pPr>
              <w:autoSpaceDE w:val="0"/>
              <w:autoSpaceDN w:val="0"/>
              <w:adjustRightInd w:val="0"/>
              <w:rPr>
                <w:szCs w:val="21"/>
              </w:rPr>
            </w:pPr>
            <w:r>
              <w:t>新疆天山水泥有限责任公司</w:t>
            </w:r>
          </w:p>
        </w:tc>
        <w:tc>
          <w:tcPr>
            <w:tcW w:w="633" w:type="pct"/>
            <w:tcBorders>
              <w:top w:val="single" w:sz="4" w:space="0" w:color="auto"/>
              <w:left w:val="single" w:sz="4" w:space="0" w:color="auto"/>
              <w:bottom w:val="single" w:sz="4" w:space="0" w:color="auto"/>
              <w:right w:val="single" w:sz="4" w:space="0" w:color="auto"/>
            </w:tcBorders>
          </w:tcPr>
          <w:p w14:paraId="7C14775E" w14:textId="77777777" w:rsidR="00E57DAA" w:rsidRDefault="00AC4185">
            <w:pPr>
              <w:autoSpaceDE w:val="0"/>
              <w:autoSpaceDN w:val="0"/>
              <w:adjustRightInd w:val="0"/>
              <w:jc w:val="right"/>
              <w:rPr>
                <w:szCs w:val="21"/>
              </w:rPr>
            </w:pPr>
            <w:r>
              <w:t>1,047,601.22</w:t>
            </w:r>
          </w:p>
        </w:tc>
        <w:tc>
          <w:tcPr>
            <w:tcW w:w="632" w:type="pct"/>
            <w:tcBorders>
              <w:top w:val="single" w:sz="4" w:space="0" w:color="auto"/>
              <w:left w:val="single" w:sz="4" w:space="0" w:color="auto"/>
              <w:bottom w:val="single" w:sz="4" w:space="0" w:color="auto"/>
              <w:right w:val="single" w:sz="4" w:space="0" w:color="auto"/>
            </w:tcBorders>
          </w:tcPr>
          <w:p w14:paraId="38343C99" w14:textId="77777777" w:rsidR="00E57DAA" w:rsidRDefault="00AC4185">
            <w:pPr>
              <w:autoSpaceDE w:val="0"/>
              <w:autoSpaceDN w:val="0"/>
              <w:adjustRightInd w:val="0"/>
              <w:jc w:val="right"/>
              <w:rPr>
                <w:szCs w:val="21"/>
              </w:rPr>
            </w:pPr>
            <w:r>
              <w:t>1,047,601.22</w:t>
            </w:r>
          </w:p>
        </w:tc>
        <w:tc>
          <w:tcPr>
            <w:tcW w:w="703" w:type="pct"/>
            <w:tcBorders>
              <w:top w:val="single" w:sz="4" w:space="0" w:color="auto"/>
              <w:left w:val="single" w:sz="4" w:space="0" w:color="auto"/>
              <w:bottom w:val="single" w:sz="4" w:space="0" w:color="auto"/>
              <w:right w:val="single" w:sz="4" w:space="0" w:color="auto"/>
            </w:tcBorders>
          </w:tcPr>
          <w:p w14:paraId="47057F57" w14:textId="77777777" w:rsidR="00E57DAA" w:rsidRDefault="00AC4185">
            <w:pPr>
              <w:autoSpaceDE w:val="0"/>
              <w:autoSpaceDN w:val="0"/>
              <w:adjustRightInd w:val="0"/>
              <w:jc w:val="right"/>
              <w:rPr>
                <w:szCs w:val="21"/>
              </w:rPr>
            </w:pPr>
            <w:r>
              <w:t>1,059,401.94</w:t>
            </w:r>
          </w:p>
        </w:tc>
        <w:tc>
          <w:tcPr>
            <w:tcW w:w="914" w:type="pct"/>
            <w:tcBorders>
              <w:top w:val="single" w:sz="4" w:space="0" w:color="auto"/>
              <w:left w:val="single" w:sz="4" w:space="0" w:color="auto"/>
              <w:bottom w:val="single" w:sz="4" w:space="0" w:color="auto"/>
              <w:right w:val="single" w:sz="4" w:space="0" w:color="auto"/>
            </w:tcBorders>
          </w:tcPr>
          <w:p w14:paraId="38F30A91" w14:textId="77777777" w:rsidR="00E57DAA" w:rsidRDefault="00AC4185">
            <w:pPr>
              <w:autoSpaceDE w:val="0"/>
              <w:autoSpaceDN w:val="0"/>
              <w:adjustRightInd w:val="0"/>
              <w:jc w:val="right"/>
              <w:rPr>
                <w:szCs w:val="21"/>
              </w:rPr>
            </w:pPr>
            <w:r>
              <w:t>1,059,401.94</w:t>
            </w:r>
          </w:p>
        </w:tc>
      </w:tr>
      <w:tr w:rsidR="00E57DAA" w14:paraId="13E96101" w14:textId="77777777">
        <w:tc>
          <w:tcPr>
            <w:tcW w:w="677" w:type="pct"/>
            <w:tcBorders>
              <w:top w:val="single" w:sz="4" w:space="0" w:color="auto"/>
              <w:left w:val="single" w:sz="4" w:space="0" w:color="auto"/>
              <w:bottom w:val="single" w:sz="4" w:space="0" w:color="auto"/>
              <w:right w:val="single" w:sz="4" w:space="0" w:color="auto"/>
            </w:tcBorders>
            <w:vAlign w:val="center"/>
          </w:tcPr>
          <w:p w14:paraId="3295865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D50A6FB" w14:textId="77777777" w:rsidR="00E57DAA" w:rsidRDefault="00AC4185">
            <w:pPr>
              <w:autoSpaceDE w:val="0"/>
              <w:autoSpaceDN w:val="0"/>
              <w:adjustRightInd w:val="0"/>
              <w:rPr>
                <w:szCs w:val="21"/>
              </w:rPr>
            </w:pPr>
            <w:r>
              <w:t>广德新杭南方水泥有限公司</w:t>
            </w:r>
          </w:p>
        </w:tc>
        <w:tc>
          <w:tcPr>
            <w:tcW w:w="633" w:type="pct"/>
            <w:tcBorders>
              <w:top w:val="single" w:sz="4" w:space="0" w:color="auto"/>
              <w:left w:val="single" w:sz="4" w:space="0" w:color="auto"/>
              <w:bottom w:val="single" w:sz="4" w:space="0" w:color="auto"/>
              <w:right w:val="single" w:sz="4" w:space="0" w:color="auto"/>
            </w:tcBorders>
          </w:tcPr>
          <w:p w14:paraId="0A22B511" w14:textId="77777777" w:rsidR="00E57DAA" w:rsidRDefault="00AC4185">
            <w:pPr>
              <w:autoSpaceDE w:val="0"/>
              <w:autoSpaceDN w:val="0"/>
              <w:adjustRightInd w:val="0"/>
              <w:jc w:val="right"/>
              <w:rPr>
                <w:szCs w:val="21"/>
              </w:rPr>
            </w:pPr>
            <w:r>
              <w:t>1,038,516.94</w:t>
            </w:r>
          </w:p>
        </w:tc>
        <w:tc>
          <w:tcPr>
            <w:tcW w:w="632" w:type="pct"/>
            <w:tcBorders>
              <w:top w:val="single" w:sz="4" w:space="0" w:color="auto"/>
              <w:left w:val="single" w:sz="4" w:space="0" w:color="auto"/>
              <w:bottom w:val="single" w:sz="4" w:space="0" w:color="auto"/>
              <w:right w:val="single" w:sz="4" w:space="0" w:color="auto"/>
            </w:tcBorders>
          </w:tcPr>
          <w:p w14:paraId="70890465" w14:textId="77777777" w:rsidR="00E57DAA" w:rsidRDefault="00AC4185">
            <w:pPr>
              <w:autoSpaceDE w:val="0"/>
              <w:autoSpaceDN w:val="0"/>
              <w:adjustRightInd w:val="0"/>
              <w:jc w:val="right"/>
              <w:rPr>
                <w:szCs w:val="21"/>
              </w:rPr>
            </w:pPr>
            <w:r>
              <w:t>149,645.65</w:t>
            </w:r>
          </w:p>
        </w:tc>
        <w:tc>
          <w:tcPr>
            <w:tcW w:w="703" w:type="pct"/>
            <w:tcBorders>
              <w:top w:val="single" w:sz="4" w:space="0" w:color="auto"/>
              <w:left w:val="single" w:sz="4" w:space="0" w:color="auto"/>
              <w:bottom w:val="single" w:sz="4" w:space="0" w:color="auto"/>
              <w:right w:val="single" w:sz="4" w:space="0" w:color="auto"/>
            </w:tcBorders>
          </w:tcPr>
          <w:p w14:paraId="537A91DF" w14:textId="77777777" w:rsidR="00E57DAA" w:rsidRDefault="00AC4185">
            <w:pPr>
              <w:autoSpaceDE w:val="0"/>
              <w:autoSpaceDN w:val="0"/>
              <w:adjustRightInd w:val="0"/>
              <w:jc w:val="right"/>
              <w:rPr>
                <w:szCs w:val="21"/>
              </w:rPr>
            </w:pPr>
            <w:r>
              <w:t>1,017,969.59</w:t>
            </w:r>
          </w:p>
        </w:tc>
        <w:tc>
          <w:tcPr>
            <w:tcW w:w="914" w:type="pct"/>
            <w:tcBorders>
              <w:top w:val="single" w:sz="4" w:space="0" w:color="auto"/>
              <w:left w:val="single" w:sz="4" w:space="0" w:color="auto"/>
              <w:bottom w:val="single" w:sz="4" w:space="0" w:color="auto"/>
              <w:right w:val="single" w:sz="4" w:space="0" w:color="auto"/>
            </w:tcBorders>
          </w:tcPr>
          <w:p w14:paraId="203B0988" w14:textId="77777777" w:rsidR="00E57DAA" w:rsidRDefault="00AC4185">
            <w:pPr>
              <w:autoSpaceDE w:val="0"/>
              <w:autoSpaceDN w:val="0"/>
              <w:adjustRightInd w:val="0"/>
              <w:jc w:val="right"/>
              <w:rPr>
                <w:szCs w:val="21"/>
              </w:rPr>
            </w:pPr>
            <w:r>
              <w:t>148,226.49</w:t>
            </w:r>
          </w:p>
        </w:tc>
      </w:tr>
      <w:tr w:rsidR="00E57DAA" w14:paraId="592F4A6C" w14:textId="77777777">
        <w:tc>
          <w:tcPr>
            <w:tcW w:w="677" w:type="pct"/>
            <w:tcBorders>
              <w:top w:val="single" w:sz="4" w:space="0" w:color="auto"/>
              <w:left w:val="single" w:sz="4" w:space="0" w:color="auto"/>
              <w:bottom w:val="single" w:sz="4" w:space="0" w:color="auto"/>
              <w:right w:val="single" w:sz="4" w:space="0" w:color="auto"/>
            </w:tcBorders>
            <w:vAlign w:val="center"/>
          </w:tcPr>
          <w:p w14:paraId="7B3B187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2744EF" w14:textId="77777777" w:rsidR="00E57DAA" w:rsidRDefault="00AC4185">
            <w:pPr>
              <w:autoSpaceDE w:val="0"/>
              <w:autoSpaceDN w:val="0"/>
              <w:adjustRightInd w:val="0"/>
              <w:rPr>
                <w:szCs w:val="21"/>
              </w:rPr>
            </w:pPr>
            <w:r>
              <w:t>龙江北方水泥有限公司</w:t>
            </w:r>
          </w:p>
        </w:tc>
        <w:tc>
          <w:tcPr>
            <w:tcW w:w="633" w:type="pct"/>
            <w:tcBorders>
              <w:top w:val="single" w:sz="4" w:space="0" w:color="auto"/>
              <w:left w:val="single" w:sz="4" w:space="0" w:color="auto"/>
              <w:bottom w:val="single" w:sz="4" w:space="0" w:color="auto"/>
              <w:right w:val="single" w:sz="4" w:space="0" w:color="auto"/>
            </w:tcBorders>
          </w:tcPr>
          <w:p w14:paraId="6E8C5046" w14:textId="77777777" w:rsidR="00E57DAA" w:rsidRDefault="00AC4185">
            <w:pPr>
              <w:autoSpaceDE w:val="0"/>
              <w:autoSpaceDN w:val="0"/>
              <w:adjustRightInd w:val="0"/>
              <w:jc w:val="right"/>
              <w:rPr>
                <w:szCs w:val="21"/>
              </w:rPr>
            </w:pPr>
            <w:r>
              <w:t>1,032,500.00</w:t>
            </w:r>
          </w:p>
        </w:tc>
        <w:tc>
          <w:tcPr>
            <w:tcW w:w="632" w:type="pct"/>
            <w:tcBorders>
              <w:top w:val="single" w:sz="4" w:space="0" w:color="auto"/>
              <w:left w:val="single" w:sz="4" w:space="0" w:color="auto"/>
              <w:bottom w:val="single" w:sz="4" w:space="0" w:color="auto"/>
              <w:right w:val="single" w:sz="4" w:space="0" w:color="auto"/>
            </w:tcBorders>
          </w:tcPr>
          <w:p w14:paraId="17F08A43" w14:textId="77777777" w:rsidR="00E57DAA" w:rsidRDefault="00AC4185">
            <w:pPr>
              <w:autoSpaceDE w:val="0"/>
              <w:autoSpaceDN w:val="0"/>
              <w:adjustRightInd w:val="0"/>
              <w:jc w:val="right"/>
              <w:rPr>
                <w:szCs w:val="21"/>
              </w:rPr>
            </w:pPr>
            <w:r>
              <w:t>732,500.00</w:t>
            </w:r>
          </w:p>
        </w:tc>
        <w:tc>
          <w:tcPr>
            <w:tcW w:w="703" w:type="pct"/>
            <w:tcBorders>
              <w:top w:val="single" w:sz="4" w:space="0" w:color="auto"/>
              <w:left w:val="single" w:sz="4" w:space="0" w:color="auto"/>
              <w:bottom w:val="single" w:sz="4" w:space="0" w:color="auto"/>
              <w:right w:val="single" w:sz="4" w:space="0" w:color="auto"/>
            </w:tcBorders>
          </w:tcPr>
          <w:p w14:paraId="01F4F77F" w14:textId="77777777" w:rsidR="00E57DAA" w:rsidRDefault="00AC4185">
            <w:pPr>
              <w:autoSpaceDE w:val="0"/>
              <w:autoSpaceDN w:val="0"/>
              <w:adjustRightInd w:val="0"/>
              <w:jc w:val="right"/>
              <w:rPr>
                <w:szCs w:val="21"/>
              </w:rPr>
            </w:pPr>
            <w:r>
              <w:t>12,500.00</w:t>
            </w:r>
          </w:p>
        </w:tc>
        <w:tc>
          <w:tcPr>
            <w:tcW w:w="914" w:type="pct"/>
            <w:tcBorders>
              <w:top w:val="single" w:sz="4" w:space="0" w:color="auto"/>
              <w:left w:val="single" w:sz="4" w:space="0" w:color="auto"/>
              <w:bottom w:val="single" w:sz="4" w:space="0" w:color="auto"/>
              <w:right w:val="single" w:sz="4" w:space="0" w:color="auto"/>
            </w:tcBorders>
          </w:tcPr>
          <w:p w14:paraId="2DC77DBB" w14:textId="77777777" w:rsidR="00E57DAA" w:rsidRDefault="00AC4185">
            <w:pPr>
              <w:autoSpaceDE w:val="0"/>
              <w:autoSpaceDN w:val="0"/>
              <w:adjustRightInd w:val="0"/>
              <w:jc w:val="right"/>
              <w:rPr>
                <w:szCs w:val="21"/>
              </w:rPr>
            </w:pPr>
            <w:r>
              <w:t>12,500.00</w:t>
            </w:r>
          </w:p>
        </w:tc>
      </w:tr>
      <w:tr w:rsidR="00E57DAA" w14:paraId="6BCDDB93" w14:textId="77777777">
        <w:tc>
          <w:tcPr>
            <w:tcW w:w="677" w:type="pct"/>
            <w:tcBorders>
              <w:top w:val="single" w:sz="4" w:space="0" w:color="auto"/>
              <w:left w:val="single" w:sz="4" w:space="0" w:color="auto"/>
              <w:bottom w:val="single" w:sz="4" w:space="0" w:color="auto"/>
              <w:right w:val="single" w:sz="4" w:space="0" w:color="auto"/>
            </w:tcBorders>
            <w:vAlign w:val="center"/>
          </w:tcPr>
          <w:p w14:paraId="0646F9C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BE87039" w14:textId="77777777" w:rsidR="00E57DAA" w:rsidRDefault="00AC4185">
            <w:pPr>
              <w:autoSpaceDE w:val="0"/>
              <w:autoSpaceDN w:val="0"/>
              <w:adjustRightInd w:val="0"/>
              <w:rPr>
                <w:szCs w:val="21"/>
              </w:rPr>
            </w:pPr>
            <w:r>
              <w:t>贵州黔西西南水泥有限公司</w:t>
            </w:r>
          </w:p>
        </w:tc>
        <w:tc>
          <w:tcPr>
            <w:tcW w:w="633" w:type="pct"/>
            <w:tcBorders>
              <w:top w:val="single" w:sz="4" w:space="0" w:color="auto"/>
              <w:left w:val="single" w:sz="4" w:space="0" w:color="auto"/>
              <w:bottom w:val="single" w:sz="4" w:space="0" w:color="auto"/>
              <w:right w:val="single" w:sz="4" w:space="0" w:color="auto"/>
            </w:tcBorders>
          </w:tcPr>
          <w:p w14:paraId="4F26385C" w14:textId="77777777" w:rsidR="00E57DAA" w:rsidRDefault="00AC4185">
            <w:pPr>
              <w:autoSpaceDE w:val="0"/>
              <w:autoSpaceDN w:val="0"/>
              <w:adjustRightInd w:val="0"/>
              <w:jc w:val="right"/>
              <w:rPr>
                <w:szCs w:val="21"/>
              </w:rPr>
            </w:pPr>
            <w:r>
              <w:t>1,017,000.00</w:t>
            </w:r>
          </w:p>
        </w:tc>
        <w:tc>
          <w:tcPr>
            <w:tcW w:w="632" w:type="pct"/>
            <w:tcBorders>
              <w:top w:val="single" w:sz="4" w:space="0" w:color="auto"/>
              <w:left w:val="single" w:sz="4" w:space="0" w:color="auto"/>
              <w:bottom w:val="single" w:sz="4" w:space="0" w:color="auto"/>
              <w:right w:val="single" w:sz="4" w:space="0" w:color="auto"/>
            </w:tcBorders>
          </w:tcPr>
          <w:p w14:paraId="084D12CB" w14:textId="77777777" w:rsidR="00E57DAA" w:rsidRDefault="00AC4185">
            <w:pPr>
              <w:autoSpaceDE w:val="0"/>
              <w:autoSpaceDN w:val="0"/>
              <w:adjustRightInd w:val="0"/>
              <w:jc w:val="right"/>
              <w:rPr>
                <w:szCs w:val="21"/>
              </w:rPr>
            </w:pPr>
            <w:r>
              <w:t>24,102.90</w:t>
            </w:r>
          </w:p>
        </w:tc>
        <w:tc>
          <w:tcPr>
            <w:tcW w:w="703" w:type="pct"/>
            <w:tcBorders>
              <w:top w:val="single" w:sz="4" w:space="0" w:color="auto"/>
              <w:left w:val="single" w:sz="4" w:space="0" w:color="auto"/>
              <w:bottom w:val="single" w:sz="4" w:space="0" w:color="auto"/>
              <w:right w:val="single" w:sz="4" w:space="0" w:color="auto"/>
            </w:tcBorders>
          </w:tcPr>
          <w:p w14:paraId="0FD6A26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8212D26" w14:textId="77777777" w:rsidR="00E57DAA" w:rsidRDefault="00AC4185">
            <w:pPr>
              <w:autoSpaceDE w:val="0"/>
              <w:autoSpaceDN w:val="0"/>
              <w:adjustRightInd w:val="0"/>
              <w:jc w:val="right"/>
              <w:rPr>
                <w:szCs w:val="21"/>
              </w:rPr>
            </w:pPr>
            <w:r>
              <w:t xml:space="preserve">　</w:t>
            </w:r>
          </w:p>
        </w:tc>
      </w:tr>
      <w:tr w:rsidR="00E57DAA" w14:paraId="3726CB31" w14:textId="77777777">
        <w:tc>
          <w:tcPr>
            <w:tcW w:w="677" w:type="pct"/>
            <w:tcBorders>
              <w:top w:val="single" w:sz="4" w:space="0" w:color="auto"/>
              <w:left w:val="single" w:sz="4" w:space="0" w:color="auto"/>
              <w:bottom w:val="single" w:sz="4" w:space="0" w:color="auto"/>
              <w:right w:val="single" w:sz="4" w:space="0" w:color="auto"/>
            </w:tcBorders>
            <w:vAlign w:val="center"/>
          </w:tcPr>
          <w:p w14:paraId="536D8F4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D1DD6BB" w14:textId="77777777" w:rsidR="00E57DAA" w:rsidRDefault="00AC4185">
            <w:pPr>
              <w:autoSpaceDE w:val="0"/>
              <w:autoSpaceDN w:val="0"/>
              <w:adjustRightInd w:val="0"/>
              <w:rPr>
                <w:szCs w:val="21"/>
              </w:rPr>
            </w:pPr>
            <w:r>
              <w:t>贵州德隆水泥有限公司</w:t>
            </w:r>
          </w:p>
        </w:tc>
        <w:tc>
          <w:tcPr>
            <w:tcW w:w="633" w:type="pct"/>
            <w:tcBorders>
              <w:top w:val="single" w:sz="4" w:space="0" w:color="auto"/>
              <w:left w:val="single" w:sz="4" w:space="0" w:color="auto"/>
              <w:bottom w:val="single" w:sz="4" w:space="0" w:color="auto"/>
              <w:right w:val="single" w:sz="4" w:space="0" w:color="auto"/>
            </w:tcBorders>
          </w:tcPr>
          <w:p w14:paraId="6CC39228" w14:textId="77777777" w:rsidR="00E57DAA" w:rsidRDefault="00AC4185">
            <w:pPr>
              <w:autoSpaceDE w:val="0"/>
              <w:autoSpaceDN w:val="0"/>
              <w:adjustRightInd w:val="0"/>
              <w:jc w:val="right"/>
              <w:rPr>
                <w:szCs w:val="21"/>
              </w:rPr>
            </w:pPr>
            <w:r>
              <w:t>991,864.15</w:t>
            </w:r>
          </w:p>
        </w:tc>
        <w:tc>
          <w:tcPr>
            <w:tcW w:w="632" w:type="pct"/>
            <w:tcBorders>
              <w:top w:val="single" w:sz="4" w:space="0" w:color="auto"/>
              <w:left w:val="single" w:sz="4" w:space="0" w:color="auto"/>
              <w:bottom w:val="single" w:sz="4" w:space="0" w:color="auto"/>
              <w:right w:val="single" w:sz="4" w:space="0" w:color="auto"/>
            </w:tcBorders>
          </w:tcPr>
          <w:p w14:paraId="25CAFAA6" w14:textId="77777777" w:rsidR="00E57DAA" w:rsidRDefault="00AC4185">
            <w:pPr>
              <w:autoSpaceDE w:val="0"/>
              <w:autoSpaceDN w:val="0"/>
              <w:adjustRightInd w:val="0"/>
              <w:jc w:val="right"/>
              <w:rPr>
                <w:szCs w:val="21"/>
              </w:rPr>
            </w:pPr>
            <w:r>
              <w:t>3,967.46</w:t>
            </w:r>
          </w:p>
        </w:tc>
        <w:tc>
          <w:tcPr>
            <w:tcW w:w="703" w:type="pct"/>
            <w:tcBorders>
              <w:top w:val="single" w:sz="4" w:space="0" w:color="auto"/>
              <w:left w:val="single" w:sz="4" w:space="0" w:color="auto"/>
              <w:bottom w:val="single" w:sz="4" w:space="0" w:color="auto"/>
              <w:right w:val="single" w:sz="4" w:space="0" w:color="auto"/>
            </w:tcBorders>
          </w:tcPr>
          <w:p w14:paraId="76FE7E5B" w14:textId="77777777" w:rsidR="00E57DAA" w:rsidRDefault="00AC4185">
            <w:pPr>
              <w:autoSpaceDE w:val="0"/>
              <w:autoSpaceDN w:val="0"/>
              <w:adjustRightInd w:val="0"/>
              <w:jc w:val="right"/>
              <w:rPr>
                <w:szCs w:val="21"/>
              </w:rPr>
            </w:pPr>
            <w:r>
              <w:t>388,640.74</w:t>
            </w:r>
          </w:p>
        </w:tc>
        <w:tc>
          <w:tcPr>
            <w:tcW w:w="914" w:type="pct"/>
            <w:tcBorders>
              <w:top w:val="single" w:sz="4" w:space="0" w:color="auto"/>
              <w:left w:val="single" w:sz="4" w:space="0" w:color="auto"/>
              <w:bottom w:val="single" w:sz="4" w:space="0" w:color="auto"/>
              <w:right w:val="single" w:sz="4" w:space="0" w:color="auto"/>
            </w:tcBorders>
          </w:tcPr>
          <w:p w14:paraId="1C4250E9" w14:textId="77777777" w:rsidR="00E57DAA" w:rsidRDefault="00AC4185">
            <w:pPr>
              <w:autoSpaceDE w:val="0"/>
              <w:autoSpaceDN w:val="0"/>
              <w:adjustRightInd w:val="0"/>
              <w:jc w:val="right"/>
              <w:rPr>
                <w:szCs w:val="21"/>
              </w:rPr>
            </w:pPr>
            <w:r>
              <w:t>660.27</w:t>
            </w:r>
          </w:p>
        </w:tc>
      </w:tr>
      <w:tr w:rsidR="00E57DAA" w14:paraId="1A1FDCDB" w14:textId="77777777">
        <w:tc>
          <w:tcPr>
            <w:tcW w:w="677" w:type="pct"/>
            <w:tcBorders>
              <w:top w:val="single" w:sz="4" w:space="0" w:color="auto"/>
              <w:left w:val="single" w:sz="4" w:space="0" w:color="auto"/>
              <w:bottom w:val="single" w:sz="4" w:space="0" w:color="auto"/>
              <w:right w:val="single" w:sz="4" w:space="0" w:color="auto"/>
            </w:tcBorders>
            <w:vAlign w:val="center"/>
          </w:tcPr>
          <w:p w14:paraId="664DFAC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899A3CA" w14:textId="77777777" w:rsidR="00E57DAA" w:rsidRDefault="00AC4185">
            <w:pPr>
              <w:autoSpaceDE w:val="0"/>
              <w:autoSpaceDN w:val="0"/>
              <w:adjustRightInd w:val="0"/>
              <w:rPr>
                <w:szCs w:val="21"/>
              </w:rPr>
            </w:pPr>
            <w:r>
              <w:t>浙江钱塘港口物流有限公司</w:t>
            </w:r>
          </w:p>
        </w:tc>
        <w:tc>
          <w:tcPr>
            <w:tcW w:w="633" w:type="pct"/>
            <w:tcBorders>
              <w:top w:val="single" w:sz="4" w:space="0" w:color="auto"/>
              <w:left w:val="single" w:sz="4" w:space="0" w:color="auto"/>
              <w:bottom w:val="single" w:sz="4" w:space="0" w:color="auto"/>
              <w:right w:val="single" w:sz="4" w:space="0" w:color="auto"/>
            </w:tcBorders>
          </w:tcPr>
          <w:p w14:paraId="192D68E2" w14:textId="77777777" w:rsidR="00E57DAA" w:rsidRDefault="00AC4185">
            <w:pPr>
              <w:autoSpaceDE w:val="0"/>
              <w:autoSpaceDN w:val="0"/>
              <w:adjustRightInd w:val="0"/>
              <w:jc w:val="right"/>
              <w:rPr>
                <w:szCs w:val="21"/>
              </w:rPr>
            </w:pPr>
            <w:r>
              <w:t>974,000.00</w:t>
            </w:r>
          </w:p>
        </w:tc>
        <w:tc>
          <w:tcPr>
            <w:tcW w:w="632" w:type="pct"/>
            <w:tcBorders>
              <w:top w:val="single" w:sz="4" w:space="0" w:color="auto"/>
              <w:left w:val="single" w:sz="4" w:space="0" w:color="auto"/>
              <w:bottom w:val="single" w:sz="4" w:space="0" w:color="auto"/>
              <w:right w:val="single" w:sz="4" w:space="0" w:color="auto"/>
            </w:tcBorders>
          </w:tcPr>
          <w:p w14:paraId="7E1D5A2C" w14:textId="77777777" w:rsidR="00E57DAA" w:rsidRDefault="00AC4185">
            <w:pPr>
              <w:autoSpaceDE w:val="0"/>
              <w:autoSpaceDN w:val="0"/>
              <w:adjustRightInd w:val="0"/>
              <w:jc w:val="right"/>
              <w:rPr>
                <w:szCs w:val="21"/>
              </w:rPr>
            </w:pPr>
            <w:r>
              <w:t>74,986.80</w:t>
            </w:r>
          </w:p>
        </w:tc>
        <w:tc>
          <w:tcPr>
            <w:tcW w:w="703" w:type="pct"/>
            <w:tcBorders>
              <w:top w:val="single" w:sz="4" w:space="0" w:color="auto"/>
              <w:left w:val="single" w:sz="4" w:space="0" w:color="auto"/>
              <w:bottom w:val="single" w:sz="4" w:space="0" w:color="auto"/>
              <w:right w:val="single" w:sz="4" w:space="0" w:color="auto"/>
            </w:tcBorders>
          </w:tcPr>
          <w:p w14:paraId="47195367" w14:textId="77777777" w:rsidR="00E57DAA" w:rsidRDefault="00AC4185">
            <w:pPr>
              <w:autoSpaceDE w:val="0"/>
              <w:autoSpaceDN w:val="0"/>
              <w:adjustRightInd w:val="0"/>
              <w:jc w:val="right"/>
              <w:rPr>
                <w:szCs w:val="21"/>
              </w:rPr>
            </w:pPr>
            <w:r>
              <w:t>443,990.00</w:t>
            </w:r>
          </w:p>
        </w:tc>
        <w:tc>
          <w:tcPr>
            <w:tcW w:w="914" w:type="pct"/>
            <w:tcBorders>
              <w:top w:val="single" w:sz="4" w:space="0" w:color="auto"/>
              <w:left w:val="single" w:sz="4" w:space="0" w:color="auto"/>
              <w:bottom w:val="single" w:sz="4" w:space="0" w:color="auto"/>
              <w:right w:val="single" w:sz="4" w:space="0" w:color="auto"/>
            </w:tcBorders>
          </w:tcPr>
          <w:p w14:paraId="31A1755A" w14:textId="77777777" w:rsidR="00E57DAA" w:rsidRDefault="00AC4185">
            <w:pPr>
              <w:autoSpaceDE w:val="0"/>
              <w:autoSpaceDN w:val="0"/>
              <w:adjustRightInd w:val="0"/>
              <w:jc w:val="right"/>
              <w:rPr>
                <w:szCs w:val="21"/>
              </w:rPr>
            </w:pPr>
            <w:r>
              <w:t>52,816.30</w:t>
            </w:r>
          </w:p>
        </w:tc>
      </w:tr>
      <w:tr w:rsidR="00E57DAA" w14:paraId="5C356863" w14:textId="77777777">
        <w:tc>
          <w:tcPr>
            <w:tcW w:w="677" w:type="pct"/>
            <w:tcBorders>
              <w:top w:val="single" w:sz="4" w:space="0" w:color="auto"/>
              <w:left w:val="single" w:sz="4" w:space="0" w:color="auto"/>
              <w:bottom w:val="single" w:sz="4" w:space="0" w:color="auto"/>
              <w:right w:val="single" w:sz="4" w:space="0" w:color="auto"/>
            </w:tcBorders>
            <w:vAlign w:val="center"/>
          </w:tcPr>
          <w:p w14:paraId="53688B4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B34AAD" w14:textId="77777777" w:rsidR="00E57DAA" w:rsidRDefault="00AC4185">
            <w:pPr>
              <w:autoSpaceDE w:val="0"/>
              <w:autoSpaceDN w:val="0"/>
              <w:adjustRightInd w:val="0"/>
              <w:rPr>
                <w:szCs w:val="21"/>
              </w:rPr>
            </w:pPr>
            <w:r>
              <w:t>杭州临安南方水泥有限公司</w:t>
            </w:r>
          </w:p>
        </w:tc>
        <w:tc>
          <w:tcPr>
            <w:tcW w:w="633" w:type="pct"/>
            <w:tcBorders>
              <w:top w:val="single" w:sz="4" w:space="0" w:color="auto"/>
              <w:left w:val="single" w:sz="4" w:space="0" w:color="auto"/>
              <w:bottom w:val="single" w:sz="4" w:space="0" w:color="auto"/>
              <w:right w:val="single" w:sz="4" w:space="0" w:color="auto"/>
            </w:tcBorders>
          </w:tcPr>
          <w:p w14:paraId="3544B7AC" w14:textId="77777777" w:rsidR="00E57DAA" w:rsidRDefault="00AC4185">
            <w:pPr>
              <w:autoSpaceDE w:val="0"/>
              <w:autoSpaceDN w:val="0"/>
              <w:adjustRightInd w:val="0"/>
              <w:jc w:val="right"/>
              <w:rPr>
                <w:szCs w:val="21"/>
              </w:rPr>
            </w:pPr>
            <w:r>
              <w:t>972,000.00</w:t>
            </w:r>
          </w:p>
        </w:tc>
        <w:tc>
          <w:tcPr>
            <w:tcW w:w="632" w:type="pct"/>
            <w:tcBorders>
              <w:top w:val="single" w:sz="4" w:space="0" w:color="auto"/>
              <w:left w:val="single" w:sz="4" w:space="0" w:color="auto"/>
              <w:bottom w:val="single" w:sz="4" w:space="0" w:color="auto"/>
              <w:right w:val="single" w:sz="4" w:space="0" w:color="auto"/>
            </w:tcBorders>
          </w:tcPr>
          <w:p w14:paraId="28471FD2" w14:textId="77777777" w:rsidR="00E57DAA" w:rsidRDefault="00AC4185">
            <w:pPr>
              <w:autoSpaceDE w:val="0"/>
              <w:autoSpaceDN w:val="0"/>
              <w:adjustRightInd w:val="0"/>
              <w:jc w:val="right"/>
              <w:rPr>
                <w:szCs w:val="21"/>
              </w:rPr>
            </w:pPr>
            <w:r>
              <w:t>627,574.00</w:t>
            </w:r>
          </w:p>
        </w:tc>
        <w:tc>
          <w:tcPr>
            <w:tcW w:w="703" w:type="pct"/>
            <w:tcBorders>
              <w:top w:val="single" w:sz="4" w:space="0" w:color="auto"/>
              <w:left w:val="single" w:sz="4" w:space="0" w:color="auto"/>
              <w:bottom w:val="single" w:sz="4" w:space="0" w:color="auto"/>
              <w:right w:val="single" w:sz="4" w:space="0" w:color="auto"/>
            </w:tcBorders>
          </w:tcPr>
          <w:p w14:paraId="4B9C8910" w14:textId="77777777" w:rsidR="00E57DAA" w:rsidRDefault="00AC4185">
            <w:pPr>
              <w:autoSpaceDE w:val="0"/>
              <w:autoSpaceDN w:val="0"/>
              <w:adjustRightInd w:val="0"/>
              <w:jc w:val="right"/>
              <w:rPr>
                <w:szCs w:val="21"/>
              </w:rPr>
            </w:pPr>
            <w:r>
              <w:t>11,200.00</w:t>
            </w:r>
          </w:p>
        </w:tc>
        <w:tc>
          <w:tcPr>
            <w:tcW w:w="914" w:type="pct"/>
            <w:tcBorders>
              <w:top w:val="single" w:sz="4" w:space="0" w:color="auto"/>
              <w:left w:val="single" w:sz="4" w:space="0" w:color="auto"/>
              <w:bottom w:val="single" w:sz="4" w:space="0" w:color="auto"/>
              <w:right w:val="single" w:sz="4" w:space="0" w:color="auto"/>
            </w:tcBorders>
          </w:tcPr>
          <w:p w14:paraId="4F43197B" w14:textId="77777777" w:rsidR="00E57DAA" w:rsidRDefault="00AC4185">
            <w:pPr>
              <w:autoSpaceDE w:val="0"/>
              <w:autoSpaceDN w:val="0"/>
              <w:adjustRightInd w:val="0"/>
              <w:jc w:val="right"/>
              <w:rPr>
                <w:szCs w:val="21"/>
              </w:rPr>
            </w:pPr>
            <w:r>
              <w:t>265.44</w:t>
            </w:r>
          </w:p>
        </w:tc>
      </w:tr>
      <w:tr w:rsidR="00E57DAA" w14:paraId="225A7574" w14:textId="77777777">
        <w:tc>
          <w:tcPr>
            <w:tcW w:w="677" w:type="pct"/>
            <w:tcBorders>
              <w:top w:val="single" w:sz="4" w:space="0" w:color="auto"/>
              <w:left w:val="single" w:sz="4" w:space="0" w:color="auto"/>
              <w:bottom w:val="single" w:sz="4" w:space="0" w:color="auto"/>
              <w:right w:val="single" w:sz="4" w:space="0" w:color="auto"/>
            </w:tcBorders>
            <w:vAlign w:val="center"/>
          </w:tcPr>
          <w:p w14:paraId="07F27C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A2E33A" w14:textId="77777777" w:rsidR="00E57DAA" w:rsidRDefault="00AC4185">
            <w:pPr>
              <w:autoSpaceDE w:val="0"/>
              <w:autoSpaceDN w:val="0"/>
              <w:adjustRightInd w:val="0"/>
              <w:rPr>
                <w:szCs w:val="21"/>
              </w:rPr>
            </w:pPr>
            <w:r>
              <w:t>黑龙江省宾州水泥有限公司</w:t>
            </w:r>
          </w:p>
        </w:tc>
        <w:tc>
          <w:tcPr>
            <w:tcW w:w="633" w:type="pct"/>
            <w:tcBorders>
              <w:top w:val="single" w:sz="4" w:space="0" w:color="auto"/>
              <w:left w:val="single" w:sz="4" w:space="0" w:color="auto"/>
              <w:bottom w:val="single" w:sz="4" w:space="0" w:color="auto"/>
              <w:right w:val="single" w:sz="4" w:space="0" w:color="auto"/>
            </w:tcBorders>
          </w:tcPr>
          <w:p w14:paraId="0FF42C9F" w14:textId="77777777" w:rsidR="00E57DAA" w:rsidRDefault="00AC4185">
            <w:pPr>
              <w:autoSpaceDE w:val="0"/>
              <w:autoSpaceDN w:val="0"/>
              <w:adjustRightInd w:val="0"/>
              <w:jc w:val="right"/>
              <w:rPr>
                <w:szCs w:val="21"/>
              </w:rPr>
            </w:pPr>
            <w:r>
              <w:t>959,287.01</w:t>
            </w:r>
          </w:p>
        </w:tc>
        <w:tc>
          <w:tcPr>
            <w:tcW w:w="632" w:type="pct"/>
            <w:tcBorders>
              <w:top w:val="single" w:sz="4" w:space="0" w:color="auto"/>
              <w:left w:val="single" w:sz="4" w:space="0" w:color="auto"/>
              <w:bottom w:val="single" w:sz="4" w:space="0" w:color="auto"/>
              <w:right w:val="single" w:sz="4" w:space="0" w:color="auto"/>
            </w:tcBorders>
          </w:tcPr>
          <w:p w14:paraId="25608FAD" w14:textId="77777777" w:rsidR="00E57DAA" w:rsidRDefault="00AC4185">
            <w:pPr>
              <w:autoSpaceDE w:val="0"/>
              <w:autoSpaceDN w:val="0"/>
              <w:adjustRightInd w:val="0"/>
              <w:jc w:val="right"/>
              <w:rPr>
                <w:szCs w:val="21"/>
              </w:rPr>
            </w:pPr>
            <w:r>
              <w:t>154,638.99</w:t>
            </w:r>
          </w:p>
        </w:tc>
        <w:tc>
          <w:tcPr>
            <w:tcW w:w="703" w:type="pct"/>
            <w:tcBorders>
              <w:top w:val="single" w:sz="4" w:space="0" w:color="auto"/>
              <w:left w:val="single" w:sz="4" w:space="0" w:color="auto"/>
              <w:bottom w:val="single" w:sz="4" w:space="0" w:color="auto"/>
              <w:right w:val="single" w:sz="4" w:space="0" w:color="auto"/>
            </w:tcBorders>
          </w:tcPr>
          <w:p w14:paraId="0474B75E" w14:textId="77777777" w:rsidR="00E57DAA" w:rsidRDefault="00AC4185">
            <w:pPr>
              <w:autoSpaceDE w:val="0"/>
              <w:autoSpaceDN w:val="0"/>
              <w:adjustRightInd w:val="0"/>
              <w:jc w:val="right"/>
              <w:rPr>
                <w:szCs w:val="21"/>
              </w:rPr>
            </w:pPr>
            <w:r>
              <w:t>14,252,443.46</w:t>
            </w:r>
          </w:p>
        </w:tc>
        <w:tc>
          <w:tcPr>
            <w:tcW w:w="914" w:type="pct"/>
            <w:tcBorders>
              <w:top w:val="single" w:sz="4" w:space="0" w:color="auto"/>
              <w:left w:val="single" w:sz="4" w:space="0" w:color="auto"/>
              <w:bottom w:val="single" w:sz="4" w:space="0" w:color="auto"/>
              <w:right w:val="single" w:sz="4" w:space="0" w:color="auto"/>
            </w:tcBorders>
          </w:tcPr>
          <w:p w14:paraId="0CAB4A9F" w14:textId="77777777" w:rsidR="00E57DAA" w:rsidRDefault="00AC4185">
            <w:pPr>
              <w:autoSpaceDE w:val="0"/>
              <w:autoSpaceDN w:val="0"/>
              <w:adjustRightInd w:val="0"/>
              <w:jc w:val="right"/>
              <w:rPr>
                <w:szCs w:val="21"/>
              </w:rPr>
            </w:pPr>
            <w:r>
              <w:t>301,574.93</w:t>
            </w:r>
          </w:p>
        </w:tc>
      </w:tr>
      <w:tr w:rsidR="00E57DAA" w14:paraId="439C0D14" w14:textId="77777777">
        <w:tc>
          <w:tcPr>
            <w:tcW w:w="677" w:type="pct"/>
            <w:tcBorders>
              <w:top w:val="single" w:sz="4" w:space="0" w:color="auto"/>
              <w:left w:val="single" w:sz="4" w:space="0" w:color="auto"/>
              <w:bottom w:val="single" w:sz="4" w:space="0" w:color="auto"/>
              <w:right w:val="single" w:sz="4" w:space="0" w:color="auto"/>
            </w:tcBorders>
            <w:vAlign w:val="center"/>
          </w:tcPr>
          <w:p w14:paraId="0358A5C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ADBA2F1" w14:textId="77777777" w:rsidR="00E57DAA" w:rsidRDefault="00AC4185">
            <w:pPr>
              <w:autoSpaceDE w:val="0"/>
              <w:autoSpaceDN w:val="0"/>
              <w:adjustRightInd w:val="0"/>
              <w:rPr>
                <w:szCs w:val="21"/>
              </w:rPr>
            </w:pPr>
            <w:r>
              <w:t>赛马物联科技（宁夏）有限公司</w:t>
            </w:r>
          </w:p>
        </w:tc>
        <w:tc>
          <w:tcPr>
            <w:tcW w:w="633" w:type="pct"/>
            <w:tcBorders>
              <w:top w:val="single" w:sz="4" w:space="0" w:color="auto"/>
              <w:left w:val="single" w:sz="4" w:space="0" w:color="auto"/>
              <w:bottom w:val="single" w:sz="4" w:space="0" w:color="auto"/>
              <w:right w:val="single" w:sz="4" w:space="0" w:color="auto"/>
            </w:tcBorders>
          </w:tcPr>
          <w:p w14:paraId="570702D7" w14:textId="77777777" w:rsidR="00E57DAA" w:rsidRDefault="00AC4185">
            <w:pPr>
              <w:autoSpaceDE w:val="0"/>
              <w:autoSpaceDN w:val="0"/>
              <w:adjustRightInd w:val="0"/>
              <w:jc w:val="right"/>
              <w:rPr>
                <w:szCs w:val="21"/>
              </w:rPr>
            </w:pPr>
            <w:r>
              <w:t>928,987.60</w:t>
            </w:r>
          </w:p>
        </w:tc>
        <w:tc>
          <w:tcPr>
            <w:tcW w:w="632" w:type="pct"/>
            <w:tcBorders>
              <w:top w:val="single" w:sz="4" w:space="0" w:color="auto"/>
              <w:left w:val="single" w:sz="4" w:space="0" w:color="auto"/>
              <w:bottom w:val="single" w:sz="4" w:space="0" w:color="auto"/>
              <w:right w:val="single" w:sz="4" w:space="0" w:color="auto"/>
            </w:tcBorders>
          </w:tcPr>
          <w:p w14:paraId="4304E5B8" w14:textId="77777777" w:rsidR="00E57DAA" w:rsidRDefault="00AC4185">
            <w:pPr>
              <w:autoSpaceDE w:val="0"/>
              <w:autoSpaceDN w:val="0"/>
              <w:adjustRightInd w:val="0"/>
              <w:jc w:val="right"/>
              <w:rPr>
                <w:szCs w:val="21"/>
              </w:rPr>
            </w:pPr>
            <w:r>
              <w:t>3,715.95</w:t>
            </w:r>
          </w:p>
        </w:tc>
        <w:tc>
          <w:tcPr>
            <w:tcW w:w="703" w:type="pct"/>
            <w:tcBorders>
              <w:top w:val="single" w:sz="4" w:space="0" w:color="auto"/>
              <w:left w:val="single" w:sz="4" w:space="0" w:color="auto"/>
              <w:bottom w:val="single" w:sz="4" w:space="0" w:color="auto"/>
              <w:right w:val="single" w:sz="4" w:space="0" w:color="auto"/>
            </w:tcBorders>
          </w:tcPr>
          <w:p w14:paraId="2DEDA819" w14:textId="77777777" w:rsidR="00E57DAA" w:rsidRDefault="00AC4185">
            <w:pPr>
              <w:autoSpaceDE w:val="0"/>
              <w:autoSpaceDN w:val="0"/>
              <w:adjustRightInd w:val="0"/>
              <w:jc w:val="right"/>
              <w:rPr>
                <w:szCs w:val="21"/>
              </w:rPr>
            </w:pPr>
            <w:r>
              <w:t>63,151.65</w:t>
            </w:r>
          </w:p>
        </w:tc>
        <w:tc>
          <w:tcPr>
            <w:tcW w:w="914" w:type="pct"/>
            <w:tcBorders>
              <w:top w:val="single" w:sz="4" w:space="0" w:color="auto"/>
              <w:left w:val="single" w:sz="4" w:space="0" w:color="auto"/>
              <w:bottom w:val="single" w:sz="4" w:space="0" w:color="auto"/>
              <w:right w:val="single" w:sz="4" w:space="0" w:color="auto"/>
            </w:tcBorders>
          </w:tcPr>
          <w:p w14:paraId="1156A246" w14:textId="77777777" w:rsidR="00E57DAA" w:rsidRDefault="00AC4185">
            <w:pPr>
              <w:autoSpaceDE w:val="0"/>
              <w:autoSpaceDN w:val="0"/>
              <w:adjustRightInd w:val="0"/>
              <w:jc w:val="right"/>
              <w:rPr>
                <w:szCs w:val="21"/>
              </w:rPr>
            </w:pPr>
            <w:r>
              <w:t>252.61</w:t>
            </w:r>
          </w:p>
        </w:tc>
      </w:tr>
      <w:tr w:rsidR="00E57DAA" w14:paraId="29E42114" w14:textId="77777777">
        <w:tc>
          <w:tcPr>
            <w:tcW w:w="677" w:type="pct"/>
            <w:tcBorders>
              <w:top w:val="single" w:sz="4" w:space="0" w:color="auto"/>
              <w:left w:val="single" w:sz="4" w:space="0" w:color="auto"/>
              <w:bottom w:val="single" w:sz="4" w:space="0" w:color="auto"/>
              <w:right w:val="single" w:sz="4" w:space="0" w:color="auto"/>
            </w:tcBorders>
            <w:vAlign w:val="center"/>
          </w:tcPr>
          <w:p w14:paraId="54AE9434"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487863DC" w14:textId="77777777" w:rsidR="00E57DAA" w:rsidRDefault="00AC4185">
            <w:pPr>
              <w:autoSpaceDE w:val="0"/>
              <w:autoSpaceDN w:val="0"/>
              <w:adjustRightInd w:val="0"/>
              <w:rPr>
                <w:szCs w:val="21"/>
              </w:rPr>
            </w:pPr>
            <w:r>
              <w:t>湖南坪塘南方水泥有限公司</w:t>
            </w:r>
          </w:p>
        </w:tc>
        <w:tc>
          <w:tcPr>
            <w:tcW w:w="633" w:type="pct"/>
            <w:tcBorders>
              <w:top w:val="single" w:sz="4" w:space="0" w:color="auto"/>
              <w:left w:val="single" w:sz="4" w:space="0" w:color="auto"/>
              <w:bottom w:val="single" w:sz="4" w:space="0" w:color="auto"/>
              <w:right w:val="single" w:sz="4" w:space="0" w:color="auto"/>
            </w:tcBorders>
          </w:tcPr>
          <w:p w14:paraId="4D9BC803" w14:textId="77777777" w:rsidR="00E57DAA" w:rsidRDefault="00AC4185">
            <w:pPr>
              <w:autoSpaceDE w:val="0"/>
              <w:autoSpaceDN w:val="0"/>
              <w:adjustRightInd w:val="0"/>
              <w:jc w:val="right"/>
              <w:rPr>
                <w:szCs w:val="21"/>
              </w:rPr>
            </w:pPr>
            <w:r>
              <w:t>915,000.00</w:t>
            </w:r>
          </w:p>
        </w:tc>
        <w:tc>
          <w:tcPr>
            <w:tcW w:w="632" w:type="pct"/>
            <w:tcBorders>
              <w:top w:val="single" w:sz="4" w:space="0" w:color="auto"/>
              <w:left w:val="single" w:sz="4" w:space="0" w:color="auto"/>
              <w:bottom w:val="single" w:sz="4" w:space="0" w:color="auto"/>
              <w:right w:val="single" w:sz="4" w:space="0" w:color="auto"/>
            </w:tcBorders>
          </w:tcPr>
          <w:p w14:paraId="6C54F3CD" w14:textId="77777777" w:rsidR="00E57DAA" w:rsidRDefault="00AC4185">
            <w:pPr>
              <w:autoSpaceDE w:val="0"/>
              <w:autoSpaceDN w:val="0"/>
              <w:adjustRightInd w:val="0"/>
              <w:jc w:val="right"/>
              <w:rPr>
                <w:szCs w:val="21"/>
              </w:rPr>
            </w:pPr>
            <w:r>
              <w:t>915,000.00</w:t>
            </w:r>
          </w:p>
        </w:tc>
        <w:tc>
          <w:tcPr>
            <w:tcW w:w="703" w:type="pct"/>
            <w:tcBorders>
              <w:top w:val="single" w:sz="4" w:space="0" w:color="auto"/>
              <w:left w:val="single" w:sz="4" w:space="0" w:color="auto"/>
              <w:bottom w:val="single" w:sz="4" w:space="0" w:color="auto"/>
              <w:right w:val="single" w:sz="4" w:space="0" w:color="auto"/>
            </w:tcBorders>
          </w:tcPr>
          <w:p w14:paraId="121A0213" w14:textId="77777777" w:rsidR="00E57DAA" w:rsidRDefault="00AC4185">
            <w:pPr>
              <w:autoSpaceDE w:val="0"/>
              <w:autoSpaceDN w:val="0"/>
              <w:adjustRightInd w:val="0"/>
              <w:jc w:val="right"/>
              <w:rPr>
                <w:szCs w:val="21"/>
              </w:rPr>
            </w:pPr>
            <w:r>
              <w:t>915,000.00</w:t>
            </w:r>
          </w:p>
        </w:tc>
        <w:tc>
          <w:tcPr>
            <w:tcW w:w="914" w:type="pct"/>
            <w:tcBorders>
              <w:top w:val="single" w:sz="4" w:space="0" w:color="auto"/>
              <w:left w:val="single" w:sz="4" w:space="0" w:color="auto"/>
              <w:bottom w:val="single" w:sz="4" w:space="0" w:color="auto"/>
              <w:right w:val="single" w:sz="4" w:space="0" w:color="auto"/>
            </w:tcBorders>
          </w:tcPr>
          <w:p w14:paraId="0ACE5D76" w14:textId="77777777" w:rsidR="00E57DAA" w:rsidRDefault="00AC4185">
            <w:pPr>
              <w:autoSpaceDE w:val="0"/>
              <w:autoSpaceDN w:val="0"/>
              <w:adjustRightInd w:val="0"/>
              <w:jc w:val="right"/>
              <w:rPr>
                <w:szCs w:val="21"/>
              </w:rPr>
            </w:pPr>
            <w:r>
              <w:t>915,000.00</w:t>
            </w:r>
          </w:p>
        </w:tc>
      </w:tr>
      <w:tr w:rsidR="00E57DAA" w14:paraId="28340CD0" w14:textId="77777777">
        <w:tc>
          <w:tcPr>
            <w:tcW w:w="677" w:type="pct"/>
            <w:tcBorders>
              <w:top w:val="single" w:sz="4" w:space="0" w:color="auto"/>
              <w:left w:val="single" w:sz="4" w:space="0" w:color="auto"/>
              <w:bottom w:val="single" w:sz="4" w:space="0" w:color="auto"/>
              <w:right w:val="single" w:sz="4" w:space="0" w:color="auto"/>
            </w:tcBorders>
            <w:vAlign w:val="center"/>
          </w:tcPr>
          <w:p w14:paraId="2FD5D25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8F3E1F3" w14:textId="77777777" w:rsidR="00E57DAA" w:rsidRDefault="00AC4185">
            <w:pPr>
              <w:autoSpaceDE w:val="0"/>
              <w:autoSpaceDN w:val="0"/>
              <w:adjustRightInd w:val="0"/>
              <w:rPr>
                <w:szCs w:val="21"/>
              </w:rPr>
            </w:pPr>
            <w:r>
              <w:t>铜仁西南水泥有限公司</w:t>
            </w:r>
          </w:p>
        </w:tc>
        <w:tc>
          <w:tcPr>
            <w:tcW w:w="633" w:type="pct"/>
            <w:tcBorders>
              <w:top w:val="single" w:sz="4" w:space="0" w:color="auto"/>
              <w:left w:val="single" w:sz="4" w:space="0" w:color="auto"/>
              <w:bottom w:val="single" w:sz="4" w:space="0" w:color="auto"/>
              <w:right w:val="single" w:sz="4" w:space="0" w:color="auto"/>
            </w:tcBorders>
          </w:tcPr>
          <w:p w14:paraId="7F2FE889" w14:textId="77777777" w:rsidR="00E57DAA" w:rsidRDefault="00AC4185">
            <w:pPr>
              <w:autoSpaceDE w:val="0"/>
              <w:autoSpaceDN w:val="0"/>
              <w:adjustRightInd w:val="0"/>
              <w:jc w:val="right"/>
              <w:rPr>
                <w:szCs w:val="21"/>
              </w:rPr>
            </w:pPr>
            <w:r>
              <w:t>913,947.92</w:t>
            </w:r>
          </w:p>
        </w:tc>
        <w:tc>
          <w:tcPr>
            <w:tcW w:w="632" w:type="pct"/>
            <w:tcBorders>
              <w:top w:val="single" w:sz="4" w:space="0" w:color="auto"/>
              <w:left w:val="single" w:sz="4" w:space="0" w:color="auto"/>
              <w:bottom w:val="single" w:sz="4" w:space="0" w:color="auto"/>
              <w:right w:val="single" w:sz="4" w:space="0" w:color="auto"/>
            </w:tcBorders>
          </w:tcPr>
          <w:p w14:paraId="6BF8D7FD" w14:textId="77777777" w:rsidR="00E57DAA" w:rsidRDefault="00AC4185">
            <w:pPr>
              <w:autoSpaceDE w:val="0"/>
              <w:autoSpaceDN w:val="0"/>
              <w:adjustRightInd w:val="0"/>
              <w:jc w:val="right"/>
              <w:rPr>
                <w:szCs w:val="21"/>
              </w:rPr>
            </w:pPr>
            <w:r>
              <w:t>22,052.01</w:t>
            </w:r>
          </w:p>
        </w:tc>
        <w:tc>
          <w:tcPr>
            <w:tcW w:w="703" w:type="pct"/>
            <w:tcBorders>
              <w:top w:val="single" w:sz="4" w:space="0" w:color="auto"/>
              <w:left w:val="single" w:sz="4" w:space="0" w:color="auto"/>
              <w:bottom w:val="single" w:sz="4" w:space="0" w:color="auto"/>
              <w:right w:val="single" w:sz="4" w:space="0" w:color="auto"/>
            </w:tcBorders>
          </w:tcPr>
          <w:p w14:paraId="4482E771" w14:textId="77777777" w:rsidR="00E57DAA" w:rsidRDefault="00AC4185">
            <w:pPr>
              <w:autoSpaceDE w:val="0"/>
              <w:autoSpaceDN w:val="0"/>
              <w:adjustRightInd w:val="0"/>
              <w:jc w:val="right"/>
              <w:rPr>
                <w:szCs w:val="21"/>
              </w:rPr>
            </w:pPr>
            <w:r>
              <w:t>2,118,213.33</w:t>
            </w:r>
          </w:p>
        </w:tc>
        <w:tc>
          <w:tcPr>
            <w:tcW w:w="914" w:type="pct"/>
            <w:tcBorders>
              <w:top w:val="single" w:sz="4" w:space="0" w:color="auto"/>
              <w:left w:val="single" w:sz="4" w:space="0" w:color="auto"/>
              <w:bottom w:val="single" w:sz="4" w:space="0" w:color="auto"/>
              <w:right w:val="single" w:sz="4" w:space="0" w:color="auto"/>
            </w:tcBorders>
          </w:tcPr>
          <w:p w14:paraId="6CF5AE7E" w14:textId="77777777" w:rsidR="00E57DAA" w:rsidRDefault="00AC4185">
            <w:pPr>
              <w:autoSpaceDE w:val="0"/>
              <w:autoSpaceDN w:val="0"/>
              <w:adjustRightInd w:val="0"/>
              <w:jc w:val="right"/>
              <w:rPr>
                <w:szCs w:val="21"/>
              </w:rPr>
            </w:pPr>
            <w:r>
              <w:t>6,584.09</w:t>
            </w:r>
          </w:p>
        </w:tc>
      </w:tr>
      <w:tr w:rsidR="00E57DAA" w14:paraId="1739E45D" w14:textId="77777777">
        <w:tc>
          <w:tcPr>
            <w:tcW w:w="677" w:type="pct"/>
            <w:tcBorders>
              <w:top w:val="single" w:sz="4" w:space="0" w:color="auto"/>
              <w:left w:val="single" w:sz="4" w:space="0" w:color="auto"/>
              <w:bottom w:val="single" w:sz="4" w:space="0" w:color="auto"/>
              <w:right w:val="single" w:sz="4" w:space="0" w:color="auto"/>
            </w:tcBorders>
            <w:vAlign w:val="center"/>
          </w:tcPr>
          <w:p w14:paraId="6FDC56E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FF1031" w14:textId="77777777" w:rsidR="00E57DAA" w:rsidRDefault="00AC4185">
            <w:pPr>
              <w:autoSpaceDE w:val="0"/>
              <w:autoSpaceDN w:val="0"/>
              <w:adjustRightInd w:val="0"/>
              <w:rPr>
                <w:szCs w:val="21"/>
              </w:rPr>
            </w:pPr>
            <w:r>
              <w:t>喀喇沁草原水泥有限责任公司</w:t>
            </w:r>
          </w:p>
        </w:tc>
        <w:tc>
          <w:tcPr>
            <w:tcW w:w="633" w:type="pct"/>
            <w:tcBorders>
              <w:top w:val="single" w:sz="4" w:space="0" w:color="auto"/>
              <w:left w:val="single" w:sz="4" w:space="0" w:color="auto"/>
              <w:bottom w:val="single" w:sz="4" w:space="0" w:color="auto"/>
              <w:right w:val="single" w:sz="4" w:space="0" w:color="auto"/>
            </w:tcBorders>
          </w:tcPr>
          <w:p w14:paraId="3E1D2934" w14:textId="77777777" w:rsidR="00E57DAA" w:rsidRDefault="00AC4185">
            <w:pPr>
              <w:autoSpaceDE w:val="0"/>
              <w:autoSpaceDN w:val="0"/>
              <w:adjustRightInd w:val="0"/>
              <w:jc w:val="right"/>
              <w:rPr>
                <w:szCs w:val="21"/>
              </w:rPr>
            </w:pPr>
            <w:r>
              <w:t>897,302.11</w:t>
            </w:r>
          </w:p>
        </w:tc>
        <w:tc>
          <w:tcPr>
            <w:tcW w:w="632" w:type="pct"/>
            <w:tcBorders>
              <w:top w:val="single" w:sz="4" w:space="0" w:color="auto"/>
              <w:left w:val="single" w:sz="4" w:space="0" w:color="auto"/>
              <w:bottom w:val="single" w:sz="4" w:space="0" w:color="auto"/>
              <w:right w:val="single" w:sz="4" w:space="0" w:color="auto"/>
            </w:tcBorders>
          </w:tcPr>
          <w:p w14:paraId="7FC27E0A" w14:textId="77777777" w:rsidR="00E57DAA" w:rsidRDefault="00AC4185">
            <w:pPr>
              <w:autoSpaceDE w:val="0"/>
              <w:autoSpaceDN w:val="0"/>
              <w:adjustRightInd w:val="0"/>
              <w:jc w:val="right"/>
              <w:rPr>
                <w:szCs w:val="21"/>
              </w:rPr>
            </w:pPr>
            <w:r>
              <w:t>27,227.68</w:t>
            </w:r>
          </w:p>
        </w:tc>
        <w:tc>
          <w:tcPr>
            <w:tcW w:w="703" w:type="pct"/>
            <w:tcBorders>
              <w:top w:val="single" w:sz="4" w:space="0" w:color="auto"/>
              <w:left w:val="single" w:sz="4" w:space="0" w:color="auto"/>
              <w:bottom w:val="single" w:sz="4" w:space="0" w:color="auto"/>
              <w:right w:val="single" w:sz="4" w:space="0" w:color="auto"/>
            </w:tcBorders>
          </w:tcPr>
          <w:p w14:paraId="636A30C7" w14:textId="77777777" w:rsidR="00E57DAA" w:rsidRDefault="00AC4185">
            <w:pPr>
              <w:autoSpaceDE w:val="0"/>
              <w:autoSpaceDN w:val="0"/>
              <w:adjustRightInd w:val="0"/>
              <w:jc w:val="right"/>
              <w:rPr>
                <w:szCs w:val="21"/>
              </w:rPr>
            </w:pPr>
            <w:r>
              <w:t>1,062,329.75</w:t>
            </w:r>
          </w:p>
        </w:tc>
        <w:tc>
          <w:tcPr>
            <w:tcW w:w="914" w:type="pct"/>
            <w:tcBorders>
              <w:top w:val="single" w:sz="4" w:space="0" w:color="auto"/>
              <w:left w:val="single" w:sz="4" w:space="0" w:color="auto"/>
              <w:bottom w:val="single" w:sz="4" w:space="0" w:color="auto"/>
              <w:right w:val="single" w:sz="4" w:space="0" w:color="auto"/>
            </w:tcBorders>
          </w:tcPr>
          <w:p w14:paraId="7BDE38E7" w14:textId="77777777" w:rsidR="00E57DAA" w:rsidRDefault="00AC4185">
            <w:pPr>
              <w:autoSpaceDE w:val="0"/>
              <w:autoSpaceDN w:val="0"/>
              <w:adjustRightInd w:val="0"/>
              <w:jc w:val="right"/>
              <w:rPr>
                <w:szCs w:val="21"/>
              </w:rPr>
            </w:pPr>
            <w:r>
              <w:t>26,789.64</w:t>
            </w:r>
          </w:p>
        </w:tc>
      </w:tr>
      <w:tr w:rsidR="00E57DAA" w14:paraId="623C54EA" w14:textId="77777777">
        <w:tc>
          <w:tcPr>
            <w:tcW w:w="677" w:type="pct"/>
            <w:tcBorders>
              <w:top w:val="single" w:sz="4" w:space="0" w:color="auto"/>
              <w:left w:val="single" w:sz="4" w:space="0" w:color="auto"/>
              <w:bottom w:val="single" w:sz="4" w:space="0" w:color="auto"/>
              <w:right w:val="single" w:sz="4" w:space="0" w:color="auto"/>
            </w:tcBorders>
            <w:vAlign w:val="center"/>
          </w:tcPr>
          <w:p w14:paraId="22FA93B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20265DF" w14:textId="77777777" w:rsidR="00E57DAA" w:rsidRDefault="00AC4185">
            <w:pPr>
              <w:autoSpaceDE w:val="0"/>
              <w:autoSpaceDN w:val="0"/>
              <w:adjustRightInd w:val="0"/>
              <w:rPr>
                <w:szCs w:val="21"/>
              </w:rPr>
            </w:pPr>
            <w:r>
              <w:t>贵州遵义建安混凝土有限公司</w:t>
            </w:r>
          </w:p>
        </w:tc>
        <w:tc>
          <w:tcPr>
            <w:tcW w:w="633" w:type="pct"/>
            <w:tcBorders>
              <w:top w:val="single" w:sz="4" w:space="0" w:color="auto"/>
              <w:left w:val="single" w:sz="4" w:space="0" w:color="auto"/>
              <w:bottom w:val="single" w:sz="4" w:space="0" w:color="auto"/>
              <w:right w:val="single" w:sz="4" w:space="0" w:color="auto"/>
            </w:tcBorders>
          </w:tcPr>
          <w:p w14:paraId="310AD5EF" w14:textId="77777777" w:rsidR="00E57DAA" w:rsidRDefault="00AC4185">
            <w:pPr>
              <w:autoSpaceDE w:val="0"/>
              <w:autoSpaceDN w:val="0"/>
              <w:adjustRightInd w:val="0"/>
              <w:jc w:val="right"/>
              <w:rPr>
                <w:szCs w:val="21"/>
              </w:rPr>
            </w:pPr>
            <w:r>
              <w:t>871,802.13</w:t>
            </w:r>
          </w:p>
        </w:tc>
        <w:tc>
          <w:tcPr>
            <w:tcW w:w="632" w:type="pct"/>
            <w:tcBorders>
              <w:top w:val="single" w:sz="4" w:space="0" w:color="auto"/>
              <w:left w:val="single" w:sz="4" w:space="0" w:color="auto"/>
              <w:bottom w:val="single" w:sz="4" w:space="0" w:color="auto"/>
              <w:right w:val="single" w:sz="4" w:space="0" w:color="auto"/>
            </w:tcBorders>
          </w:tcPr>
          <w:p w14:paraId="07BDF4F7" w14:textId="77777777" w:rsidR="00E57DAA" w:rsidRDefault="00AC4185">
            <w:pPr>
              <w:autoSpaceDE w:val="0"/>
              <w:autoSpaceDN w:val="0"/>
              <w:adjustRightInd w:val="0"/>
              <w:jc w:val="right"/>
              <w:rPr>
                <w:szCs w:val="21"/>
              </w:rPr>
            </w:pPr>
            <w:r>
              <w:t>3,487.21</w:t>
            </w:r>
          </w:p>
        </w:tc>
        <w:tc>
          <w:tcPr>
            <w:tcW w:w="703" w:type="pct"/>
            <w:tcBorders>
              <w:top w:val="single" w:sz="4" w:space="0" w:color="auto"/>
              <w:left w:val="single" w:sz="4" w:space="0" w:color="auto"/>
              <w:bottom w:val="single" w:sz="4" w:space="0" w:color="auto"/>
              <w:right w:val="single" w:sz="4" w:space="0" w:color="auto"/>
            </w:tcBorders>
          </w:tcPr>
          <w:p w14:paraId="1D6B689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C995AC7" w14:textId="77777777" w:rsidR="00E57DAA" w:rsidRDefault="00AC4185">
            <w:pPr>
              <w:autoSpaceDE w:val="0"/>
              <w:autoSpaceDN w:val="0"/>
              <w:adjustRightInd w:val="0"/>
              <w:jc w:val="right"/>
              <w:rPr>
                <w:szCs w:val="21"/>
              </w:rPr>
            </w:pPr>
            <w:r>
              <w:t xml:space="preserve">　</w:t>
            </w:r>
          </w:p>
        </w:tc>
      </w:tr>
      <w:tr w:rsidR="00E57DAA" w14:paraId="0329F71A" w14:textId="77777777">
        <w:tc>
          <w:tcPr>
            <w:tcW w:w="677" w:type="pct"/>
            <w:tcBorders>
              <w:top w:val="single" w:sz="4" w:space="0" w:color="auto"/>
              <w:left w:val="single" w:sz="4" w:space="0" w:color="auto"/>
              <w:bottom w:val="single" w:sz="4" w:space="0" w:color="auto"/>
              <w:right w:val="single" w:sz="4" w:space="0" w:color="auto"/>
            </w:tcBorders>
            <w:vAlign w:val="center"/>
          </w:tcPr>
          <w:p w14:paraId="3F927FE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42AF04" w14:textId="77777777" w:rsidR="00E57DAA" w:rsidRDefault="00AC4185">
            <w:pPr>
              <w:autoSpaceDE w:val="0"/>
              <w:autoSpaceDN w:val="0"/>
              <w:adjustRightInd w:val="0"/>
              <w:rPr>
                <w:szCs w:val="21"/>
              </w:rPr>
            </w:pPr>
            <w:r>
              <w:t>四川峨边西南水泥有限公司</w:t>
            </w:r>
          </w:p>
        </w:tc>
        <w:tc>
          <w:tcPr>
            <w:tcW w:w="633" w:type="pct"/>
            <w:tcBorders>
              <w:top w:val="single" w:sz="4" w:space="0" w:color="auto"/>
              <w:left w:val="single" w:sz="4" w:space="0" w:color="auto"/>
              <w:bottom w:val="single" w:sz="4" w:space="0" w:color="auto"/>
              <w:right w:val="single" w:sz="4" w:space="0" w:color="auto"/>
            </w:tcBorders>
          </w:tcPr>
          <w:p w14:paraId="03411954" w14:textId="77777777" w:rsidR="00E57DAA" w:rsidRDefault="00AC4185">
            <w:pPr>
              <w:autoSpaceDE w:val="0"/>
              <w:autoSpaceDN w:val="0"/>
              <w:adjustRightInd w:val="0"/>
              <w:jc w:val="right"/>
              <w:rPr>
                <w:szCs w:val="21"/>
              </w:rPr>
            </w:pPr>
            <w:r>
              <w:t>854,687.45</w:t>
            </w:r>
          </w:p>
        </w:tc>
        <w:tc>
          <w:tcPr>
            <w:tcW w:w="632" w:type="pct"/>
            <w:tcBorders>
              <w:top w:val="single" w:sz="4" w:space="0" w:color="auto"/>
              <w:left w:val="single" w:sz="4" w:space="0" w:color="auto"/>
              <w:bottom w:val="single" w:sz="4" w:space="0" w:color="auto"/>
              <w:right w:val="single" w:sz="4" w:space="0" w:color="auto"/>
            </w:tcBorders>
          </w:tcPr>
          <w:p w14:paraId="73755C24" w14:textId="77777777" w:rsidR="00E57DAA" w:rsidRDefault="00AC4185">
            <w:pPr>
              <w:autoSpaceDE w:val="0"/>
              <w:autoSpaceDN w:val="0"/>
              <w:adjustRightInd w:val="0"/>
              <w:jc w:val="right"/>
              <w:rPr>
                <w:szCs w:val="21"/>
              </w:rPr>
            </w:pPr>
            <w:r>
              <w:t>27,369.54</w:t>
            </w:r>
          </w:p>
        </w:tc>
        <w:tc>
          <w:tcPr>
            <w:tcW w:w="703" w:type="pct"/>
            <w:tcBorders>
              <w:top w:val="single" w:sz="4" w:space="0" w:color="auto"/>
              <w:left w:val="single" w:sz="4" w:space="0" w:color="auto"/>
              <w:bottom w:val="single" w:sz="4" w:space="0" w:color="auto"/>
              <w:right w:val="single" w:sz="4" w:space="0" w:color="auto"/>
            </w:tcBorders>
          </w:tcPr>
          <w:p w14:paraId="785CCCDC" w14:textId="77777777" w:rsidR="00E57DAA" w:rsidRDefault="00AC4185">
            <w:pPr>
              <w:autoSpaceDE w:val="0"/>
              <w:autoSpaceDN w:val="0"/>
              <w:adjustRightInd w:val="0"/>
              <w:jc w:val="right"/>
              <w:rPr>
                <w:szCs w:val="21"/>
              </w:rPr>
            </w:pPr>
            <w:r>
              <w:t>7,726.00</w:t>
            </w:r>
          </w:p>
        </w:tc>
        <w:tc>
          <w:tcPr>
            <w:tcW w:w="914" w:type="pct"/>
            <w:tcBorders>
              <w:top w:val="single" w:sz="4" w:space="0" w:color="auto"/>
              <w:left w:val="single" w:sz="4" w:space="0" w:color="auto"/>
              <w:bottom w:val="single" w:sz="4" w:space="0" w:color="auto"/>
              <w:right w:val="single" w:sz="4" w:space="0" w:color="auto"/>
            </w:tcBorders>
          </w:tcPr>
          <w:p w14:paraId="1B2C078A" w14:textId="77777777" w:rsidR="00E57DAA" w:rsidRDefault="00AC4185">
            <w:pPr>
              <w:autoSpaceDE w:val="0"/>
              <w:autoSpaceDN w:val="0"/>
              <w:adjustRightInd w:val="0"/>
              <w:jc w:val="right"/>
              <w:rPr>
                <w:szCs w:val="21"/>
              </w:rPr>
            </w:pPr>
            <w:r>
              <w:t>386.3</w:t>
            </w:r>
          </w:p>
        </w:tc>
      </w:tr>
      <w:tr w:rsidR="00E57DAA" w14:paraId="55D991B8" w14:textId="77777777">
        <w:tc>
          <w:tcPr>
            <w:tcW w:w="677" w:type="pct"/>
            <w:tcBorders>
              <w:top w:val="single" w:sz="4" w:space="0" w:color="auto"/>
              <w:left w:val="single" w:sz="4" w:space="0" w:color="auto"/>
              <w:bottom w:val="single" w:sz="4" w:space="0" w:color="auto"/>
              <w:right w:val="single" w:sz="4" w:space="0" w:color="auto"/>
            </w:tcBorders>
            <w:vAlign w:val="center"/>
          </w:tcPr>
          <w:p w14:paraId="7BF95C3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854680E" w14:textId="77777777" w:rsidR="00E57DAA" w:rsidRDefault="00AC4185">
            <w:pPr>
              <w:autoSpaceDE w:val="0"/>
              <w:autoSpaceDN w:val="0"/>
              <w:adjustRightInd w:val="0"/>
              <w:rPr>
                <w:szCs w:val="21"/>
              </w:rPr>
            </w:pPr>
            <w:r>
              <w:t>瓮安县玉山水泥（厂）有限公司</w:t>
            </w:r>
          </w:p>
        </w:tc>
        <w:tc>
          <w:tcPr>
            <w:tcW w:w="633" w:type="pct"/>
            <w:tcBorders>
              <w:top w:val="single" w:sz="4" w:space="0" w:color="auto"/>
              <w:left w:val="single" w:sz="4" w:space="0" w:color="auto"/>
              <w:bottom w:val="single" w:sz="4" w:space="0" w:color="auto"/>
              <w:right w:val="single" w:sz="4" w:space="0" w:color="auto"/>
            </w:tcBorders>
          </w:tcPr>
          <w:p w14:paraId="4928AE09" w14:textId="77777777" w:rsidR="00E57DAA" w:rsidRDefault="00AC4185">
            <w:pPr>
              <w:autoSpaceDE w:val="0"/>
              <w:autoSpaceDN w:val="0"/>
              <w:adjustRightInd w:val="0"/>
              <w:jc w:val="right"/>
              <w:rPr>
                <w:szCs w:val="21"/>
              </w:rPr>
            </w:pPr>
            <w:r>
              <w:t>841,823.56</w:t>
            </w:r>
          </w:p>
        </w:tc>
        <w:tc>
          <w:tcPr>
            <w:tcW w:w="632" w:type="pct"/>
            <w:tcBorders>
              <w:top w:val="single" w:sz="4" w:space="0" w:color="auto"/>
              <w:left w:val="single" w:sz="4" w:space="0" w:color="auto"/>
              <w:bottom w:val="single" w:sz="4" w:space="0" w:color="auto"/>
              <w:right w:val="single" w:sz="4" w:space="0" w:color="auto"/>
            </w:tcBorders>
          </w:tcPr>
          <w:p w14:paraId="38A97E04" w14:textId="77777777" w:rsidR="00E57DAA" w:rsidRDefault="00AC4185">
            <w:pPr>
              <w:autoSpaceDE w:val="0"/>
              <w:autoSpaceDN w:val="0"/>
              <w:adjustRightInd w:val="0"/>
              <w:jc w:val="right"/>
              <w:rPr>
                <w:szCs w:val="21"/>
              </w:rPr>
            </w:pPr>
            <w:r>
              <w:t>3,367.29</w:t>
            </w:r>
          </w:p>
        </w:tc>
        <w:tc>
          <w:tcPr>
            <w:tcW w:w="703" w:type="pct"/>
            <w:tcBorders>
              <w:top w:val="single" w:sz="4" w:space="0" w:color="auto"/>
              <w:left w:val="single" w:sz="4" w:space="0" w:color="auto"/>
              <w:bottom w:val="single" w:sz="4" w:space="0" w:color="auto"/>
              <w:right w:val="single" w:sz="4" w:space="0" w:color="auto"/>
            </w:tcBorders>
          </w:tcPr>
          <w:p w14:paraId="595424C3" w14:textId="77777777" w:rsidR="00E57DAA" w:rsidRDefault="00AC4185">
            <w:pPr>
              <w:autoSpaceDE w:val="0"/>
              <w:autoSpaceDN w:val="0"/>
              <w:adjustRightInd w:val="0"/>
              <w:jc w:val="right"/>
              <w:rPr>
                <w:szCs w:val="21"/>
              </w:rPr>
            </w:pPr>
            <w:r>
              <w:t>3,668.70</w:t>
            </w:r>
          </w:p>
        </w:tc>
        <w:tc>
          <w:tcPr>
            <w:tcW w:w="914" w:type="pct"/>
            <w:tcBorders>
              <w:top w:val="single" w:sz="4" w:space="0" w:color="auto"/>
              <w:left w:val="single" w:sz="4" w:space="0" w:color="auto"/>
              <w:bottom w:val="single" w:sz="4" w:space="0" w:color="auto"/>
              <w:right w:val="single" w:sz="4" w:space="0" w:color="auto"/>
            </w:tcBorders>
          </w:tcPr>
          <w:p w14:paraId="0C13275B" w14:textId="77777777" w:rsidR="00E57DAA" w:rsidRDefault="00AC4185">
            <w:pPr>
              <w:autoSpaceDE w:val="0"/>
              <w:autoSpaceDN w:val="0"/>
              <w:adjustRightInd w:val="0"/>
              <w:jc w:val="right"/>
              <w:rPr>
                <w:szCs w:val="21"/>
              </w:rPr>
            </w:pPr>
            <w:r>
              <w:t>0.73</w:t>
            </w:r>
          </w:p>
        </w:tc>
      </w:tr>
      <w:tr w:rsidR="00E57DAA" w14:paraId="0E7AFC1D" w14:textId="77777777">
        <w:tc>
          <w:tcPr>
            <w:tcW w:w="677" w:type="pct"/>
            <w:tcBorders>
              <w:top w:val="single" w:sz="4" w:space="0" w:color="auto"/>
              <w:left w:val="single" w:sz="4" w:space="0" w:color="auto"/>
              <w:bottom w:val="single" w:sz="4" w:space="0" w:color="auto"/>
              <w:right w:val="single" w:sz="4" w:space="0" w:color="auto"/>
            </w:tcBorders>
            <w:vAlign w:val="center"/>
          </w:tcPr>
          <w:p w14:paraId="16B81A8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FDDBED3" w14:textId="77777777" w:rsidR="00E57DAA" w:rsidRDefault="00AC4185">
            <w:pPr>
              <w:autoSpaceDE w:val="0"/>
              <w:autoSpaceDN w:val="0"/>
              <w:adjustRightInd w:val="0"/>
              <w:rPr>
                <w:szCs w:val="21"/>
              </w:rPr>
            </w:pPr>
            <w:r>
              <w:t>若羌天山水泥有限责任公司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8EE7712" w14:textId="77777777" w:rsidR="00E57DAA" w:rsidRDefault="00AC4185">
            <w:pPr>
              <w:autoSpaceDE w:val="0"/>
              <w:autoSpaceDN w:val="0"/>
              <w:adjustRightInd w:val="0"/>
              <w:jc w:val="right"/>
              <w:rPr>
                <w:szCs w:val="21"/>
              </w:rPr>
            </w:pPr>
            <w:r>
              <w:t>820,000.00</w:t>
            </w:r>
          </w:p>
        </w:tc>
        <w:tc>
          <w:tcPr>
            <w:tcW w:w="632" w:type="pct"/>
            <w:tcBorders>
              <w:top w:val="single" w:sz="4" w:space="0" w:color="auto"/>
              <w:left w:val="single" w:sz="4" w:space="0" w:color="auto"/>
              <w:bottom w:val="single" w:sz="4" w:space="0" w:color="auto"/>
              <w:right w:val="single" w:sz="4" w:space="0" w:color="auto"/>
            </w:tcBorders>
          </w:tcPr>
          <w:p w14:paraId="1F5AE640" w14:textId="77777777" w:rsidR="00E57DAA" w:rsidRDefault="00AC4185">
            <w:pPr>
              <w:autoSpaceDE w:val="0"/>
              <w:autoSpaceDN w:val="0"/>
              <w:adjustRightInd w:val="0"/>
              <w:jc w:val="right"/>
              <w:rPr>
                <w:szCs w:val="21"/>
              </w:rPr>
            </w:pPr>
            <w:r>
              <w:t>820,000.00</w:t>
            </w:r>
          </w:p>
        </w:tc>
        <w:tc>
          <w:tcPr>
            <w:tcW w:w="703" w:type="pct"/>
            <w:tcBorders>
              <w:top w:val="single" w:sz="4" w:space="0" w:color="auto"/>
              <w:left w:val="single" w:sz="4" w:space="0" w:color="auto"/>
              <w:bottom w:val="single" w:sz="4" w:space="0" w:color="auto"/>
              <w:right w:val="single" w:sz="4" w:space="0" w:color="auto"/>
            </w:tcBorders>
          </w:tcPr>
          <w:p w14:paraId="7D3FF0A0" w14:textId="77777777" w:rsidR="00E57DAA" w:rsidRDefault="00AC4185">
            <w:pPr>
              <w:autoSpaceDE w:val="0"/>
              <w:autoSpaceDN w:val="0"/>
              <w:adjustRightInd w:val="0"/>
              <w:jc w:val="right"/>
              <w:rPr>
                <w:szCs w:val="21"/>
              </w:rPr>
            </w:pPr>
            <w:r>
              <w:t>1,324,627.39</w:t>
            </w:r>
          </w:p>
        </w:tc>
        <w:tc>
          <w:tcPr>
            <w:tcW w:w="914" w:type="pct"/>
            <w:tcBorders>
              <w:top w:val="single" w:sz="4" w:space="0" w:color="auto"/>
              <w:left w:val="single" w:sz="4" w:space="0" w:color="auto"/>
              <w:bottom w:val="single" w:sz="4" w:space="0" w:color="auto"/>
              <w:right w:val="single" w:sz="4" w:space="0" w:color="auto"/>
            </w:tcBorders>
          </w:tcPr>
          <w:p w14:paraId="18FF1FFD" w14:textId="77777777" w:rsidR="00E57DAA" w:rsidRDefault="00AC4185">
            <w:pPr>
              <w:autoSpaceDE w:val="0"/>
              <w:autoSpaceDN w:val="0"/>
              <w:adjustRightInd w:val="0"/>
              <w:jc w:val="right"/>
              <w:rPr>
                <w:szCs w:val="21"/>
              </w:rPr>
            </w:pPr>
            <w:r>
              <w:t>820,100.93</w:t>
            </w:r>
          </w:p>
        </w:tc>
      </w:tr>
      <w:tr w:rsidR="00E57DAA" w14:paraId="6CB459D6" w14:textId="77777777">
        <w:tc>
          <w:tcPr>
            <w:tcW w:w="677" w:type="pct"/>
            <w:tcBorders>
              <w:top w:val="single" w:sz="4" w:space="0" w:color="auto"/>
              <w:left w:val="single" w:sz="4" w:space="0" w:color="auto"/>
              <w:bottom w:val="single" w:sz="4" w:space="0" w:color="auto"/>
              <w:right w:val="single" w:sz="4" w:space="0" w:color="auto"/>
            </w:tcBorders>
            <w:vAlign w:val="center"/>
          </w:tcPr>
          <w:p w14:paraId="1F2697C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699DD27" w14:textId="77777777" w:rsidR="00E57DAA" w:rsidRDefault="00AC4185">
            <w:pPr>
              <w:autoSpaceDE w:val="0"/>
              <w:autoSpaceDN w:val="0"/>
              <w:adjustRightInd w:val="0"/>
              <w:rPr>
                <w:szCs w:val="21"/>
              </w:rPr>
            </w:pPr>
            <w:r>
              <w:t>四川雅安西南水泥有限公司</w:t>
            </w:r>
          </w:p>
        </w:tc>
        <w:tc>
          <w:tcPr>
            <w:tcW w:w="633" w:type="pct"/>
            <w:tcBorders>
              <w:top w:val="single" w:sz="4" w:space="0" w:color="auto"/>
              <w:left w:val="single" w:sz="4" w:space="0" w:color="auto"/>
              <w:bottom w:val="single" w:sz="4" w:space="0" w:color="auto"/>
              <w:right w:val="single" w:sz="4" w:space="0" w:color="auto"/>
            </w:tcBorders>
          </w:tcPr>
          <w:p w14:paraId="77C5E08E" w14:textId="77777777" w:rsidR="00E57DAA" w:rsidRDefault="00AC4185">
            <w:pPr>
              <w:autoSpaceDE w:val="0"/>
              <w:autoSpaceDN w:val="0"/>
              <w:adjustRightInd w:val="0"/>
              <w:jc w:val="right"/>
              <w:rPr>
                <w:szCs w:val="21"/>
              </w:rPr>
            </w:pPr>
            <w:r>
              <w:t>804,000.00</w:t>
            </w:r>
          </w:p>
        </w:tc>
        <w:tc>
          <w:tcPr>
            <w:tcW w:w="632" w:type="pct"/>
            <w:tcBorders>
              <w:top w:val="single" w:sz="4" w:space="0" w:color="auto"/>
              <w:left w:val="single" w:sz="4" w:space="0" w:color="auto"/>
              <w:bottom w:val="single" w:sz="4" w:space="0" w:color="auto"/>
              <w:right w:val="single" w:sz="4" w:space="0" w:color="auto"/>
            </w:tcBorders>
          </w:tcPr>
          <w:p w14:paraId="7D449B0C" w14:textId="77777777" w:rsidR="00E57DAA" w:rsidRDefault="00AC4185">
            <w:pPr>
              <w:autoSpaceDE w:val="0"/>
              <w:autoSpaceDN w:val="0"/>
              <w:adjustRightInd w:val="0"/>
              <w:jc w:val="right"/>
              <w:rPr>
                <w:szCs w:val="21"/>
              </w:rPr>
            </w:pPr>
            <w:r>
              <w:t>6,753.60</w:t>
            </w:r>
          </w:p>
        </w:tc>
        <w:tc>
          <w:tcPr>
            <w:tcW w:w="703" w:type="pct"/>
            <w:tcBorders>
              <w:top w:val="single" w:sz="4" w:space="0" w:color="auto"/>
              <w:left w:val="single" w:sz="4" w:space="0" w:color="auto"/>
              <w:bottom w:val="single" w:sz="4" w:space="0" w:color="auto"/>
              <w:right w:val="single" w:sz="4" w:space="0" w:color="auto"/>
            </w:tcBorders>
          </w:tcPr>
          <w:p w14:paraId="4BFD181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792FB02" w14:textId="77777777" w:rsidR="00E57DAA" w:rsidRDefault="00AC4185">
            <w:pPr>
              <w:autoSpaceDE w:val="0"/>
              <w:autoSpaceDN w:val="0"/>
              <w:adjustRightInd w:val="0"/>
              <w:jc w:val="right"/>
              <w:rPr>
                <w:szCs w:val="21"/>
              </w:rPr>
            </w:pPr>
            <w:r>
              <w:t xml:space="preserve">　</w:t>
            </w:r>
          </w:p>
        </w:tc>
      </w:tr>
      <w:tr w:rsidR="00E57DAA" w14:paraId="6B86B4D2" w14:textId="77777777">
        <w:tc>
          <w:tcPr>
            <w:tcW w:w="677" w:type="pct"/>
            <w:tcBorders>
              <w:top w:val="single" w:sz="4" w:space="0" w:color="auto"/>
              <w:left w:val="single" w:sz="4" w:space="0" w:color="auto"/>
              <w:bottom w:val="single" w:sz="4" w:space="0" w:color="auto"/>
              <w:right w:val="single" w:sz="4" w:space="0" w:color="auto"/>
            </w:tcBorders>
            <w:vAlign w:val="center"/>
          </w:tcPr>
          <w:p w14:paraId="5DE745F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C745C91" w14:textId="77777777" w:rsidR="00E57DAA" w:rsidRDefault="00AC4185">
            <w:pPr>
              <w:autoSpaceDE w:val="0"/>
              <w:autoSpaceDN w:val="0"/>
              <w:adjustRightInd w:val="0"/>
              <w:rPr>
                <w:szCs w:val="21"/>
              </w:rPr>
            </w:pPr>
            <w:r>
              <w:t>厦门艾思欧标准砂有限公司</w:t>
            </w:r>
          </w:p>
        </w:tc>
        <w:tc>
          <w:tcPr>
            <w:tcW w:w="633" w:type="pct"/>
            <w:tcBorders>
              <w:top w:val="single" w:sz="4" w:space="0" w:color="auto"/>
              <w:left w:val="single" w:sz="4" w:space="0" w:color="auto"/>
              <w:bottom w:val="single" w:sz="4" w:space="0" w:color="auto"/>
              <w:right w:val="single" w:sz="4" w:space="0" w:color="auto"/>
            </w:tcBorders>
          </w:tcPr>
          <w:p w14:paraId="670FEADC" w14:textId="77777777" w:rsidR="00E57DAA" w:rsidRDefault="00AC4185">
            <w:pPr>
              <w:autoSpaceDE w:val="0"/>
              <w:autoSpaceDN w:val="0"/>
              <w:adjustRightInd w:val="0"/>
              <w:jc w:val="right"/>
              <w:rPr>
                <w:szCs w:val="21"/>
              </w:rPr>
            </w:pPr>
            <w:r>
              <w:t>777,934.40</w:t>
            </w:r>
          </w:p>
        </w:tc>
        <w:tc>
          <w:tcPr>
            <w:tcW w:w="632" w:type="pct"/>
            <w:tcBorders>
              <w:top w:val="single" w:sz="4" w:space="0" w:color="auto"/>
              <w:left w:val="single" w:sz="4" w:space="0" w:color="auto"/>
              <w:bottom w:val="single" w:sz="4" w:space="0" w:color="auto"/>
              <w:right w:val="single" w:sz="4" w:space="0" w:color="auto"/>
            </w:tcBorders>
          </w:tcPr>
          <w:p w14:paraId="68B1DEFF" w14:textId="77777777" w:rsidR="00E57DAA" w:rsidRDefault="00AC4185">
            <w:pPr>
              <w:autoSpaceDE w:val="0"/>
              <w:autoSpaceDN w:val="0"/>
              <w:adjustRightInd w:val="0"/>
              <w:jc w:val="right"/>
              <w:rPr>
                <w:szCs w:val="21"/>
              </w:rPr>
            </w:pPr>
            <w:r>
              <w:t>49,834.15</w:t>
            </w:r>
          </w:p>
        </w:tc>
        <w:tc>
          <w:tcPr>
            <w:tcW w:w="703" w:type="pct"/>
            <w:tcBorders>
              <w:top w:val="single" w:sz="4" w:space="0" w:color="auto"/>
              <w:left w:val="single" w:sz="4" w:space="0" w:color="auto"/>
              <w:bottom w:val="single" w:sz="4" w:space="0" w:color="auto"/>
              <w:right w:val="single" w:sz="4" w:space="0" w:color="auto"/>
            </w:tcBorders>
          </w:tcPr>
          <w:p w14:paraId="0AC4DE1E" w14:textId="77777777" w:rsidR="00E57DAA" w:rsidRDefault="00AC4185">
            <w:pPr>
              <w:autoSpaceDE w:val="0"/>
              <w:autoSpaceDN w:val="0"/>
              <w:adjustRightInd w:val="0"/>
              <w:jc w:val="right"/>
              <w:rPr>
                <w:szCs w:val="21"/>
              </w:rPr>
            </w:pPr>
            <w:r>
              <w:t>555,000.00</w:t>
            </w:r>
          </w:p>
        </w:tc>
        <w:tc>
          <w:tcPr>
            <w:tcW w:w="914" w:type="pct"/>
            <w:tcBorders>
              <w:top w:val="single" w:sz="4" w:space="0" w:color="auto"/>
              <w:left w:val="single" w:sz="4" w:space="0" w:color="auto"/>
              <w:bottom w:val="single" w:sz="4" w:space="0" w:color="auto"/>
              <w:right w:val="single" w:sz="4" w:space="0" w:color="auto"/>
            </w:tcBorders>
          </w:tcPr>
          <w:p w14:paraId="3D89D394" w14:textId="77777777" w:rsidR="00E57DAA" w:rsidRDefault="00AC4185">
            <w:pPr>
              <w:autoSpaceDE w:val="0"/>
              <w:autoSpaceDN w:val="0"/>
              <w:adjustRightInd w:val="0"/>
              <w:jc w:val="right"/>
              <w:rPr>
                <w:szCs w:val="21"/>
              </w:rPr>
            </w:pPr>
            <w:r>
              <w:t>25,205.10</w:t>
            </w:r>
          </w:p>
        </w:tc>
      </w:tr>
      <w:tr w:rsidR="00E57DAA" w14:paraId="7AD9A8A4" w14:textId="77777777">
        <w:tc>
          <w:tcPr>
            <w:tcW w:w="677" w:type="pct"/>
            <w:tcBorders>
              <w:top w:val="single" w:sz="4" w:space="0" w:color="auto"/>
              <w:left w:val="single" w:sz="4" w:space="0" w:color="auto"/>
              <w:bottom w:val="single" w:sz="4" w:space="0" w:color="auto"/>
              <w:right w:val="single" w:sz="4" w:space="0" w:color="auto"/>
            </w:tcBorders>
            <w:vAlign w:val="center"/>
          </w:tcPr>
          <w:p w14:paraId="29D3D74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EF56893" w14:textId="77777777" w:rsidR="00E57DAA" w:rsidRDefault="00AC4185">
            <w:pPr>
              <w:autoSpaceDE w:val="0"/>
              <w:autoSpaceDN w:val="0"/>
              <w:adjustRightInd w:val="0"/>
              <w:rPr>
                <w:szCs w:val="21"/>
              </w:rPr>
            </w:pPr>
            <w:r>
              <w:t>云南普洱西南水泥有限公司</w:t>
            </w:r>
          </w:p>
        </w:tc>
        <w:tc>
          <w:tcPr>
            <w:tcW w:w="633" w:type="pct"/>
            <w:tcBorders>
              <w:top w:val="single" w:sz="4" w:space="0" w:color="auto"/>
              <w:left w:val="single" w:sz="4" w:space="0" w:color="auto"/>
              <w:bottom w:val="single" w:sz="4" w:space="0" w:color="auto"/>
              <w:right w:val="single" w:sz="4" w:space="0" w:color="auto"/>
            </w:tcBorders>
          </w:tcPr>
          <w:p w14:paraId="67B99D53" w14:textId="77777777" w:rsidR="00E57DAA" w:rsidRDefault="00AC4185">
            <w:pPr>
              <w:autoSpaceDE w:val="0"/>
              <w:autoSpaceDN w:val="0"/>
              <w:adjustRightInd w:val="0"/>
              <w:jc w:val="right"/>
              <w:rPr>
                <w:szCs w:val="21"/>
              </w:rPr>
            </w:pPr>
            <w:r>
              <w:t>736,500.00</w:t>
            </w:r>
          </w:p>
        </w:tc>
        <w:tc>
          <w:tcPr>
            <w:tcW w:w="632" w:type="pct"/>
            <w:tcBorders>
              <w:top w:val="single" w:sz="4" w:space="0" w:color="auto"/>
              <w:left w:val="single" w:sz="4" w:space="0" w:color="auto"/>
              <w:bottom w:val="single" w:sz="4" w:space="0" w:color="auto"/>
              <w:right w:val="single" w:sz="4" w:space="0" w:color="auto"/>
            </w:tcBorders>
          </w:tcPr>
          <w:p w14:paraId="56D575C2" w14:textId="77777777" w:rsidR="00E57DAA" w:rsidRDefault="00AC4185">
            <w:pPr>
              <w:autoSpaceDE w:val="0"/>
              <w:autoSpaceDN w:val="0"/>
              <w:adjustRightInd w:val="0"/>
              <w:jc w:val="right"/>
              <w:rPr>
                <w:szCs w:val="21"/>
              </w:rPr>
            </w:pPr>
            <w:r>
              <w:t>12,327.00</w:t>
            </w:r>
          </w:p>
        </w:tc>
        <w:tc>
          <w:tcPr>
            <w:tcW w:w="703" w:type="pct"/>
            <w:tcBorders>
              <w:top w:val="single" w:sz="4" w:space="0" w:color="auto"/>
              <w:left w:val="single" w:sz="4" w:space="0" w:color="auto"/>
              <w:bottom w:val="single" w:sz="4" w:space="0" w:color="auto"/>
              <w:right w:val="single" w:sz="4" w:space="0" w:color="auto"/>
            </w:tcBorders>
          </w:tcPr>
          <w:p w14:paraId="56136FF0" w14:textId="77777777" w:rsidR="00E57DAA" w:rsidRDefault="00AC4185">
            <w:pPr>
              <w:autoSpaceDE w:val="0"/>
              <w:autoSpaceDN w:val="0"/>
              <w:adjustRightInd w:val="0"/>
              <w:jc w:val="right"/>
              <w:rPr>
                <w:szCs w:val="21"/>
              </w:rPr>
            </w:pPr>
            <w:r>
              <w:t>4,186,315.92</w:t>
            </w:r>
          </w:p>
        </w:tc>
        <w:tc>
          <w:tcPr>
            <w:tcW w:w="914" w:type="pct"/>
            <w:tcBorders>
              <w:top w:val="single" w:sz="4" w:space="0" w:color="auto"/>
              <w:left w:val="single" w:sz="4" w:space="0" w:color="auto"/>
              <w:bottom w:val="single" w:sz="4" w:space="0" w:color="auto"/>
              <w:right w:val="single" w:sz="4" w:space="0" w:color="auto"/>
            </w:tcBorders>
          </w:tcPr>
          <w:p w14:paraId="42BA2992" w14:textId="77777777" w:rsidR="00E57DAA" w:rsidRDefault="00AC4185">
            <w:pPr>
              <w:autoSpaceDE w:val="0"/>
              <w:autoSpaceDN w:val="0"/>
              <w:adjustRightInd w:val="0"/>
              <w:jc w:val="right"/>
              <w:rPr>
                <w:szCs w:val="21"/>
              </w:rPr>
            </w:pPr>
            <w:r>
              <w:t>57,430.79</w:t>
            </w:r>
          </w:p>
        </w:tc>
      </w:tr>
      <w:tr w:rsidR="00E57DAA" w14:paraId="263104C6" w14:textId="77777777">
        <w:tc>
          <w:tcPr>
            <w:tcW w:w="677" w:type="pct"/>
            <w:tcBorders>
              <w:top w:val="single" w:sz="4" w:space="0" w:color="auto"/>
              <w:left w:val="single" w:sz="4" w:space="0" w:color="auto"/>
              <w:bottom w:val="single" w:sz="4" w:space="0" w:color="auto"/>
              <w:right w:val="single" w:sz="4" w:space="0" w:color="auto"/>
            </w:tcBorders>
            <w:vAlign w:val="center"/>
          </w:tcPr>
          <w:p w14:paraId="0B279D4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9C996D2" w14:textId="77777777" w:rsidR="00E57DAA" w:rsidRDefault="00AC4185">
            <w:pPr>
              <w:autoSpaceDE w:val="0"/>
              <w:autoSpaceDN w:val="0"/>
              <w:adjustRightInd w:val="0"/>
              <w:rPr>
                <w:szCs w:val="21"/>
              </w:rPr>
            </w:pPr>
            <w:r>
              <w:t>蚌埠中联水泥有限公司</w:t>
            </w:r>
          </w:p>
        </w:tc>
        <w:tc>
          <w:tcPr>
            <w:tcW w:w="633" w:type="pct"/>
            <w:tcBorders>
              <w:top w:val="single" w:sz="4" w:space="0" w:color="auto"/>
              <w:left w:val="single" w:sz="4" w:space="0" w:color="auto"/>
              <w:bottom w:val="single" w:sz="4" w:space="0" w:color="auto"/>
              <w:right w:val="single" w:sz="4" w:space="0" w:color="auto"/>
            </w:tcBorders>
          </w:tcPr>
          <w:p w14:paraId="15ABAA98" w14:textId="77777777" w:rsidR="00E57DAA" w:rsidRDefault="00AC4185">
            <w:pPr>
              <w:autoSpaceDE w:val="0"/>
              <w:autoSpaceDN w:val="0"/>
              <w:adjustRightInd w:val="0"/>
              <w:jc w:val="right"/>
              <w:rPr>
                <w:szCs w:val="21"/>
              </w:rPr>
            </w:pPr>
            <w:r>
              <w:t>730,794.90</w:t>
            </w:r>
          </w:p>
        </w:tc>
        <w:tc>
          <w:tcPr>
            <w:tcW w:w="632" w:type="pct"/>
            <w:tcBorders>
              <w:top w:val="single" w:sz="4" w:space="0" w:color="auto"/>
              <w:left w:val="single" w:sz="4" w:space="0" w:color="auto"/>
              <w:bottom w:val="single" w:sz="4" w:space="0" w:color="auto"/>
              <w:right w:val="single" w:sz="4" w:space="0" w:color="auto"/>
            </w:tcBorders>
          </w:tcPr>
          <w:p w14:paraId="75BC3473" w14:textId="77777777" w:rsidR="00E57DAA" w:rsidRDefault="00AC4185">
            <w:pPr>
              <w:autoSpaceDE w:val="0"/>
              <w:autoSpaceDN w:val="0"/>
              <w:adjustRightInd w:val="0"/>
              <w:jc w:val="right"/>
              <w:rPr>
                <w:szCs w:val="21"/>
              </w:rPr>
            </w:pPr>
            <w:r>
              <w:t>25,418.45</w:t>
            </w:r>
          </w:p>
        </w:tc>
        <w:tc>
          <w:tcPr>
            <w:tcW w:w="703" w:type="pct"/>
            <w:tcBorders>
              <w:top w:val="single" w:sz="4" w:space="0" w:color="auto"/>
              <w:left w:val="single" w:sz="4" w:space="0" w:color="auto"/>
              <w:bottom w:val="single" w:sz="4" w:space="0" w:color="auto"/>
              <w:right w:val="single" w:sz="4" w:space="0" w:color="auto"/>
            </w:tcBorders>
          </w:tcPr>
          <w:p w14:paraId="50351890" w14:textId="77777777" w:rsidR="00E57DAA" w:rsidRDefault="00AC4185">
            <w:pPr>
              <w:autoSpaceDE w:val="0"/>
              <w:autoSpaceDN w:val="0"/>
              <w:adjustRightInd w:val="0"/>
              <w:jc w:val="right"/>
              <w:rPr>
                <w:szCs w:val="21"/>
              </w:rPr>
            </w:pPr>
            <w:r>
              <w:t>18,032.00</w:t>
            </w:r>
          </w:p>
        </w:tc>
        <w:tc>
          <w:tcPr>
            <w:tcW w:w="914" w:type="pct"/>
            <w:tcBorders>
              <w:top w:val="single" w:sz="4" w:space="0" w:color="auto"/>
              <w:left w:val="single" w:sz="4" w:space="0" w:color="auto"/>
              <w:bottom w:val="single" w:sz="4" w:space="0" w:color="auto"/>
              <w:right w:val="single" w:sz="4" w:space="0" w:color="auto"/>
            </w:tcBorders>
          </w:tcPr>
          <w:p w14:paraId="1FFC1EA9" w14:textId="77777777" w:rsidR="00E57DAA" w:rsidRDefault="00AC4185">
            <w:pPr>
              <w:autoSpaceDE w:val="0"/>
              <w:autoSpaceDN w:val="0"/>
              <w:adjustRightInd w:val="0"/>
              <w:jc w:val="right"/>
              <w:rPr>
                <w:szCs w:val="21"/>
              </w:rPr>
            </w:pPr>
            <w:r>
              <w:t>427.36</w:t>
            </w:r>
          </w:p>
        </w:tc>
      </w:tr>
      <w:tr w:rsidR="00E57DAA" w14:paraId="47613772" w14:textId="77777777">
        <w:tc>
          <w:tcPr>
            <w:tcW w:w="677" w:type="pct"/>
            <w:tcBorders>
              <w:top w:val="single" w:sz="4" w:space="0" w:color="auto"/>
              <w:left w:val="single" w:sz="4" w:space="0" w:color="auto"/>
              <w:bottom w:val="single" w:sz="4" w:space="0" w:color="auto"/>
              <w:right w:val="single" w:sz="4" w:space="0" w:color="auto"/>
            </w:tcBorders>
            <w:vAlign w:val="center"/>
          </w:tcPr>
          <w:p w14:paraId="4190EF6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03E1E15" w14:textId="77777777" w:rsidR="00E57DAA" w:rsidRDefault="00AC4185">
            <w:pPr>
              <w:autoSpaceDE w:val="0"/>
              <w:autoSpaceDN w:val="0"/>
              <w:adjustRightInd w:val="0"/>
              <w:rPr>
                <w:szCs w:val="21"/>
              </w:rPr>
            </w:pPr>
            <w:r>
              <w:t>达州利森水泥有限公司</w:t>
            </w:r>
          </w:p>
        </w:tc>
        <w:tc>
          <w:tcPr>
            <w:tcW w:w="633" w:type="pct"/>
            <w:tcBorders>
              <w:top w:val="single" w:sz="4" w:space="0" w:color="auto"/>
              <w:left w:val="single" w:sz="4" w:space="0" w:color="auto"/>
              <w:bottom w:val="single" w:sz="4" w:space="0" w:color="auto"/>
              <w:right w:val="single" w:sz="4" w:space="0" w:color="auto"/>
            </w:tcBorders>
          </w:tcPr>
          <w:p w14:paraId="1A1504A4" w14:textId="77777777" w:rsidR="00E57DAA" w:rsidRDefault="00AC4185">
            <w:pPr>
              <w:autoSpaceDE w:val="0"/>
              <w:autoSpaceDN w:val="0"/>
              <w:adjustRightInd w:val="0"/>
              <w:jc w:val="right"/>
              <w:rPr>
                <w:szCs w:val="21"/>
              </w:rPr>
            </w:pPr>
            <w:r>
              <w:t>708,943.34</w:t>
            </w:r>
          </w:p>
        </w:tc>
        <w:tc>
          <w:tcPr>
            <w:tcW w:w="632" w:type="pct"/>
            <w:tcBorders>
              <w:top w:val="single" w:sz="4" w:space="0" w:color="auto"/>
              <w:left w:val="single" w:sz="4" w:space="0" w:color="auto"/>
              <w:bottom w:val="single" w:sz="4" w:space="0" w:color="auto"/>
              <w:right w:val="single" w:sz="4" w:space="0" w:color="auto"/>
            </w:tcBorders>
          </w:tcPr>
          <w:p w14:paraId="335FC88B" w14:textId="77777777" w:rsidR="00E57DAA" w:rsidRDefault="00AC4185">
            <w:pPr>
              <w:autoSpaceDE w:val="0"/>
              <w:autoSpaceDN w:val="0"/>
              <w:adjustRightInd w:val="0"/>
              <w:jc w:val="right"/>
              <w:rPr>
                <w:szCs w:val="21"/>
              </w:rPr>
            </w:pPr>
            <w:r>
              <w:t>35,544.26</w:t>
            </w:r>
          </w:p>
        </w:tc>
        <w:tc>
          <w:tcPr>
            <w:tcW w:w="703" w:type="pct"/>
            <w:tcBorders>
              <w:top w:val="single" w:sz="4" w:space="0" w:color="auto"/>
              <w:left w:val="single" w:sz="4" w:space="0" w:color="auto"/>
              <w:bottom w:val="single" w:sz="4" w:space="0" w:color="auto"/>
              <w:right w:val="single" w:sz="4" w:space="0" w:color="auto"/>
            </w:tcBorders>
          </w:tcPr>
          <w:p w14:paraId="7C9D427A" w14:textId="77777777" w:rsidR="00E57DAA" w:rsidRDefault="00AC4185">
            <w:pPr>
              <w:autoSpaceDE w:val="0"/>
              <w:autoSpaceDN w:val="0"/>
              <w:adjustRightInd w:val="0"/>
              <w:jc w:val="right"/>
              <w:rPr>
                <w:szCs w:val="21"/>
              </w:rPr>
            </w:pPr>
            <w:r>
              <w:t>1,288,713.28</w:t>
            </w:r>
          </w:p>
        </w:tc>
        <w:tc>
          <w:tcPr>
            <w:tcW w:w="914" w:type="pct"/>
            <w:tcBorders>
              <w:top w:val="single" w:sz="4" w:space="0" w:color="auto"/>
              <w:left w:val="single" w:sz="4" w:space="0" w:color="auto"/>
              <w:bottom w:val="single" w:sz="4" w:space="0" w:color="auto"/>
              <w:right w:val="single" w:sz="4" w:space="0" w:color="auto"/>
            </w:tcBorders>
          </w:tcPr>
          <w:p w14:paraId="380C3530" w14:textId="77777777" w:rsidR="00E57DAA" w:rsidRDefault="00AC4185">
            <w:pPr>
              <w:autoSpaceDE w:val="0"/>
              <w:autoSpaceDN w:val="0"/>
              <w:adjustRightInd w:val="0"/>
              <w:jc w:val="right"/>
              <w:rPr>
                <w:szCs w:val="21"/>
              </w:rPr>
            </w:pPr>
            <w:r>
              <w:t>18,748.68</w:t>
            </w:r>
          </w:p>
        </w:tc>
      </w:tr>
      <w:tr w:rsidR="00E57DAA" w14:paraId="419066FA" w14:textId="77777777">
        <w:tc>
          <w:tcPr>
            <w:tcW w:w="677" w:type="pct"/>
            <w:tcBorders>
              <w:top w:val="single" w:sz="4" w:space="0" w:color="auto"/>
              <w:left w:val="single" w:sz="4" w:space="0" w:color="auto"/>
              <w:bottom w:val="single" w:sz="4" w:space="0" w:color="auto"/>
              <w:right w:val="single" w:sz="4" w:space="0" w:color="auto"/>
            </w:tcBorders>
            <w:vAlign w:val="center"/>
          </w:tcPr>
          <w:p w14:paraId="7798F56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20BDE04" w14:textId="77777777" w:rsidR="00E57DAA" w:rsidRDefault="00AC4185">
            <w:pPr>
              <w:autoSpaceDE w:val="0"/>
              <w:autoSpaceDN w:val="0"/>
              <w:adjustRightInd w:val="0"/>
              <w:rPr>
                <w:szCs w:val="21"/>
              </w:rPr>
            </w:pPr>
            <w:r>
              <w:t>贵州福泉西南水泥有限公司</w:t>
            </w:r>
          </w:p>
        </w:tc>
        <w:tc>
          <w:tcPr>
            <w:tcW w:w="633" w:type="pct"/>
            <w:tcBorders>
              <w:top w:val="single" w:sz="4" w:space="0" w:color="auto"/>
              <w:left w:val="single" w:sz="4" w:space="0" w:color="auto"/>
              <w:bottom w:val="single" w:sz="4" w:space="0" w:color="auto"/>
              <w:right w:val="single" w:sz="4" w:space="0" w:color="auto"/>
            </w:tcBorders>
          </w:tcPr>
          <w:p w14:paraId="5C5118B1" w14:textId="77777777" w:rsidR="00E57DAA" w:rsidRDefault="00AC4185">
            <w:pPr>
              <w:autoSpaceDE w:val="0"/>
              <w:autoSpaceDN w:val="0"/>
              <w:adjustRightInd w:val="0"/>
              <w:jc w:val="right"/>
              <w:rPr>
                <w:szCs w:val="21"/>
              </w:rPr>
            </w:pPr>
            <w:r>
              <w:t>707,954.16</w:t>
            </w:r>
          </w:p>
        </w:tc>
        <w:tc>
          <w:tcPr>
            <w:tcW w:w="632" w:type="pct"/>
            <w:tcBorders>
              <w:top w:val="single" w:sz="4" w:space="0" w:color="auto"/>
              <w:left w:val="single" w:sz="4" w:space="0" w:color="auto"/>
              <w:bottom w:val="single" w:sz="4" w:space="0" w:color="auto"/>
              <w:right w:val="single" w:sz="4" w:space="0" w:color="auto"/>
            </w:tcBorders>
          </w:tcPr>
          <w:p w14:paraId="2E2D24F4" w14:textId="77777777" w:rsidR="00E57DAA" w:rsidRDefault="00AC4185">
            <w:pPr>
              <w:autoSpaceDE w:val="0"/>
              <w:autoSpaceDN w:val="0"/>
              <w:adjustRightInd w:val="0"/>
              <w:jc w:val="right"/>
              <w:rPr>
                <w:szCs w:val="21"/>
              </w:rPr>
            </w:pPr>
            <w:r>
              <w:t>40,834.82</w:t>
            </w:r>
          </w:p>
        </w:tc>
        <w:tc>
          <w:tcPr>
            <w:tcW w:w="703" w:type="pct"/>
            <w:tcBorders>
              <w:top w:val="single" w:sz="4" w:space="0" w:color="auto"/>
              <w:left w:val="single" w:sz="4" w:space="0" w:color="auto"/>
              <w:bottom w:val="single" w:sz="4" w:space="0" w:color="auto"/>
              <w:right w:val="single" w:sz="4" w:space="0" w:color="auto"/>
            </w:tcBorders>
          </w:tcPr>
          <w:p w14:paraId="14EF78A3"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41F3D071" w14:textId="77777777" w:rsidR="00E57DAA" w:rsidRDefault="00AC4185">
            <w:pPr>
              <w:autoSpaceDE w:val="0"/>
              <w:autoSpaceDN w:val="0"/>
              <w:adjustRightInd w:val="0"/>
              <w:jc w:val="right"/>
              <w:rPr>
                <w:szCs w:val="21"/>
              </w:rPr>
            </w:pPr>
            <w:r>
              <w:t>1,000.00</w:t>
            </w:r>
          </w:p>
        </w:tc>
      </w:tr>
      <w:tr w:rsidR="00E57DAA" w14:paraId="5BB8D1A7" w14:textId="77777777">
        <w:tc>
          <w:tcPr>
            <w:tcW w:w="677" w:type="pct"/>
            <w:tcBorders>
              <w:top w:val="single" w:sz="4" w:space="0" w:color="auto"/>
              <w:left w:val="single" w:sz="4" w:space="0" w:color="auto"/>
              <w:bottom w:val="single" w:sz="4" w:space="0" w:color="auto"/>
              <w:right w:val="single" w:sz="4" w:space="0" w:color="auto"/>
            </w:tcBorders>
            <w:vAlign w:val="center"/>
          </w:tcPr>
          <w:p w14:paraId="5BCB5C2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39C6F56" w14:textId="77777777" w:rsidR="00E57DAA" w:rsidRDefault="00AC4185">
            <w:pPr>
              <w:autoSpaceDE w:val="0"/>
              <w:autoSpaceDN w:val="0"/>
              <w:adjustRightInd w:val="0"/>
              <w:rPr>
                <w:szCs w:val="21"/>
              </w:rPr>
            </w:pPr>
            <w:r>
              <w:t>伊犁天山水泥有限责任公司</w:t>
            </w:r>
          </w:p>
        </w:tc>
        <w:tc>
          <w:tcPr>
            <w:tcW w:w="633" w:type="pct"/>
            <w:tcBorders>
              <w:top w:val="single" w:sz="4" w:space="0" w:color="auto"/>
              <w:left w:val="single" w:sz="4" w:space="0" w:color="auto"/>
              <w:bottom w:val="single" w:sz="4" w:space="0" w:color="auto"/>
              <w:right w:val="single" w:sz="4" w:space="0" w:color="auto"/>
            </w:tcBorders>
          </w:tcPr>
          <w:p w14:paraId="4367FE2C" w14:textId="77777777" w:rsidR="00E57DAA" w:rsidRDefault="00AC4185">
            <w:pPr>
              <w:autoSpaceDE w:val="0"/>
              <w:autoSpaceDN w:val="0"/>
              <w:adjustRightInd w:val="0"/>
              <w:jc w:val="right"/>
              <w:rPr>
                <w:szCs w:val="21"/>
              </w:rPr>
            </w:pPr>
            <w:r>
              <w:t>706,180.00</w:t>
            </w:r>
          </w:p>
        </w:tc>
        <w:tc>
          <w:tcPr>
            <w:tcW w:w="632" w:type="pct"/>
            <w:tcBorders>
              <w:top w:val="single" w:sz="4" w:space="0" w:color="auto"/>
              <w:left w:val="single" w:sz="4" w:space="0" w:color="auto"/>
              <w:bottom w:val="single" w:sz="4" w:space="0" w:color="auto"/>
              <w:right w:val="single" w:sz="4" w:space="0" w:color="auto"/>
            </w:tcBorders>
          </w:tcPr>
          <w:p w14:paraId="078EC637" w14:textId="77777777" w:rsidR="00E57DAA" w:rsidRDefault="00AC4185">
            <w:pPr>
              <w:autoSpaceDE w:val="0"/>
              <w:autoSpaceDN w:val="0"/>
              <w:adjustRightInd w:val="0"/>
              <w:jc w:val="right"/>
              <w:rPr>
                <w:szCs w:val="21"/>
              </w:rPr>
            </w:pPr>
            <w:r>
              <w:t>29,347.94</w:t>
            </w:r>
          </w:p>
        </w:tc>
        <w:tc>
          <w:tcPr>
            <w:tcW w:w="703" w:type="pct"/>
            <w:tcBorders>
              <w:top w:val="single" w:sz="4" w:space="0" w:color="auto"/>
              <w:left w:val="single" w:sz="4" w:space="0" w:color="auto"/>
              <w:bottom w:val="single" w:sz="4" w:space="0" w:color="auto"/>
              <w:right w:val="single" w:sz="4" w:space="0" w:color="auto"/>
            </w:tcBorders>
          </w:tcPr>
          <w:p w14:paraId="0B56D27F" w14:textId="77777777" w:rsidR="00E57DAA" w:rsidRDefault="00AC4185">
            <w:pPr>
              <w:autoSpaceDE w:val="0"/>
              <w:autoSpaceDN w:val="0"/>
              <w:adjustRightInd w:val="0"/>
              <w:jc w:val="right"/>
              <w:rPr>
                <w:szCs w:val="21"/>
              </w:rPr>
            </w:pPr>
            <w:r>
              <w:t>315,410.00</w:t>
            </w:r>
          </w:p>
        </w:tc>
        <w:tc>
          <w:tcPr>
            <w:tcW w:w="914" w:type="pct"/>
            <w:tcBorders>
              <w:top w:val="single" w:sz="4" w:space="0" w:color="auto"/>
              <w:left w:val="single" w:sz="4" w:space="0" w:color="auto"/>
              <w:bottom w:val="single" w:sz="4" w:space="0" w:color="auto"/>
              <w:right w:val="single" w:sz="4" w:space="0" w:color="auto"/>
            </w:tcBorders>
          </w:tcPr>
          <w:p w14:paraId="1CD6138D" w14:textId="77777777" w:rsidR="00E57DAA" w:rsidRDefault="00AC4185">
            <w:pPr>
              <w:autoSpaceDE w:val="0"/>
              <w:autoSpaceDN w:val="0"/>
              <w:adjustRightInd w:val="0"/>
              <w:jc w:val="right"/>
              <w:rPr>
                <w:szCs w:val="21"/>
              </w:rPr>
            </w:pPr>
            <w:r>
              <w:t>7,475.22</w:t>
            </w:r>
          </w:p>
        </w:tc>
      </w:tr>
      <w:tr w:rsidR="00E57DAA" w14:paraId="52C10AC3" w14:textId="77777777">
        <w:tc>
          <w:tcPr>
            <w:tcW w:w="677" w:type="pct"/>
            <w:tcBorders>
              <w:top w:val="single" w:sz="4" w:space="0" w:color="auto"/>
              <w:left w:val="single" w:sz="4" w:space="0" w:color="auto"/>
              <w:bottom w:val="single" w:sz="4" w:space="0" w:color="auto"/>
              <w:right w:val="single" w:sz="4" w:space="0" w:color="auto"/>
            </w:tcBorders>
            <w:vAlign w:val="center"/>
          </w:tcPr>
          <w:p w14:paraId="5C4FCDC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974561" w14:textId="77777777" w:rsidR="00E57DAA" w:rsidRDefault="00AC4185">
            <w:pPr>
              <w:autoSpaceDE w:val="0"/>
              <w:autoSpaceDN w:val="0"/>
              <w:adjustRightInd w:val="0"/>
              <w:rPr>
                <w:szCs w:val="21"/>
              </w:rPr>
            </w:pPr>
            <w:r>
              <w:t>北川中联水泥有限公司</w:t>
            </w:r>
          </w:p>
        </w:tc>
        <w:tc>
          <w:tcPr>
            <w:tcW w:w="633" w:type="pct"/>
            <w:tcBorders>
              <w:top w:val="single" w:sz="4" w:space="0" w:color="auto"/>
              <w:left w:val="single" w:sz="4" w:space="0" w:color="auto"/>
              <w:bottom w:val="single" w:sz="4" w:space="0" w:color="auto"/>
              <w:right w:val="single" w:sz="4" w:space="0" w:color="auto"/>
            </w:tcBorders>
          </w:tcPr>
          <w:p w14:paraId="524D8982" w14:textId="77777777" w:rsidR="00E57DAA" w:rsidRDefault="00AC4185">
            <w:pPr>
              <w:autoSpaceDE w:val="0"/>
              <w:autoSpaceDN w:val="0"/>
              <w:adjustRightInd w:val="0"/>
              <w:jc w:val="right"/>
              <w:rPr>
                <w:szCs w:val="21"/>
              </w:rPr>
            </w:pPr>
            <w:r>
              <w:t>696,327.00</w:t>
            </w:r>
          </w:p>
        </w:tc>
        <w:tc>
          <w:tcPr>
            <w:tcW w:w="632" w:type="pct"/>
            <w:tcBorders>
              <w:top w:val="single" w:sz="4" w:space="0" w:color="auto"/>
              <w:left w:val="single" w:sz="4" w:space="0" w:color="auto"/>
              <w:bottom w:val="single" w:sz="4" w:space="0" w:color="auto"/>
              <w:right w:val="single" w:sz="4" w:space="0" w:color="auto"/>
            </w:tcBorders>
          </w:tcPr>
          <w:p w14:paraId="03A11007" w14:textId="77777777" w:rsidR="00E57DAA" w:rsidRDefault="00AC4185">
            <w:pPr>
              <w:autoSpaceDE w:val="0"/>
              <w:autoSpaceDN w:val="0"/>
              <w:adjustRightInd w:val="0"/>
              <w:jc w:val="right"/>
              <w:rPr>
                <w:szCs w:val="21"/>
              </w:rPr>
            </w:pPr>
            <w:r>
              <w:t>142,122.45</w:t>
            </w:r>
          </w:p>
        </w:tc>
        <w:tc>
          <w:tcPr>
            <w:tcW w:w="703" w:type="pct"/>
            <w:tcBorders>
              <w:top w:val="single" w:sz="4" w:space="0" w:color="auto"/>
              <w:left w:val="single" w:sz="4" w:space="0" w:color="auto"/>
              <w:bottom w:val="single" w:sz="4" w:space="0" w:color="auto"/>
              <w:right w:val="single" w:sz="4" w:space="0" w:color="auto"/>
            </w:tcBorders>
          </w:tcPr>
          <w:p w14:paraId="54F0A12D" w14:textId="77777777" w:rsidR="00E57DAA" w:rsidRDefault="00AC4185">
            <w:pPr>
              <w:autoSpaceDE w:val="0"/>
              <w:autoSpaceDN w:val="0"/>
              <w:adjustRightInd w:val="0"/>
              <w:jc w:val="right"/>
              <w:rPr>
                <w:szCs w:val="21"/>
              </w:rPr>
            </w:pPr>
            <w:r>
              <w:t>7,452,506.90</w:t>
            </w:r>
          </w:p>
        </w:tc>
        <w:tc>
          <w:tcPr>
            <w:tcW w:w="914" w:type="pct"/>
            <w:tcBorders>
              <w:top w:val="single" w:sz="4" w:space="0" w:color="auto"/>
              <w:left w:val="single" w:sz="4" w:space="0" w:color="auto"/>
              <w:bottom w:val="single" w:sz="4" w:space="0" w:color="auto"/>
              <w:right w:val="single" w:sz="4" w:space="0" w:color="auto"/>
            </w:tcBorders>
          </w:tcPr>
          <w:p w14:paraId="2E6423E0" w14:textId="77777777" w:rsidR="00E57DAA" w:rsidRDefault="00AC4185">
            <w:pPr>
              <w:autoSpaceDE w:val="0"/>
              <w:autoSpaceDN w:val="0"/>
              <w:adjustRightInd w:val="0"/>
              <w:jc w:val="right"/>
              <w:rPr>
                <w:szCs w:val="21"/>
              </w:rPr>
            </w:pPr>
            <w:r>
              <w:t>300,539.05</w:t>
            </w:r>
          </w:p>
        </w:tc>
      </w:tr>
      <w:tr w:rsidR="00E57DAA" w14:paraId="61AC87FD" w14:textId="77777777">
        <w:tc>
          <w:tcPr>
            <w:tcW w:w="677" w:type="pct"/>
            <w:tcBorders>
              <w:top w:val="single" w:sz="4" w:space="0" w:color="auto"/>
              <w:left w:val="single" w:sz="4" w:space="0" w:color="auto"/>
              <w:bottom w:val="single" w:sz="4" w:space="0" w:color="auto"/>
              <w:right w:val="single" w:sz="4" w:space="0" w:color="auto"/>
            </w:tcBorders>
            <w:vAlign w:val="center"/>
          </w:tcPr>
          <w:p w14:paraId="52C6B22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BAC8D48" w14:textId="77777777" w:rsidR="00E57DAA" w:rsidRDefault="00AC4185">
            <w:pPr>
              <w:autoSpaceDE w:val="0"/>
              <w:autoSpaceDN w:val="0"/>
              <w:adjustRightInd w:val="0"/>
              <w:rPr>
                <w:szCs w:val="21"/>
              </w:rPr>
            </w:pPr>
            <w:r>
              <w:t>贵州西南水泥有限公司</w:t>
            </w:r>
          </w:p>
        </w:tc>
        <w:tc>
          <w:tcPr>
            <w:tcW w:w="633" w:type="pct"/>
            <w:tcBorders>
              <w:top w:val="single" w:sz="4" w:space="0" w:color="auto"/>
              <w:left w:val="single" w:sz="4" w:space="0" w:color="auto"/>
              <w:bottom w:val="single" w:sz="4" w:space="0" w:color="auto"/>
              <w:right w:val="single" w:sz="4" w:space="0" w:color="auto"/>
            </w:tcBorders>
          </w:tcPr>
          <w:p w14:paraId="15B4CF36" w14:textId="77777777" w:rsidR="00E57DAA" w:rsidRDefault="00AC4185">
            <w:pPr>
              <w:autoSpaceDE w:val="0"/>
              <w:autoSpaceDN w:val="0"/>
              <w:adjustRightInd w:val="0"/>
              <w:jc w:val="right"/>
              <w:rPr>
                <w:szCs w:val="21"/>
              </w:rPr>
            </w:pPr>
            <w:r>
              <w:t>686,974.99</w:t>
            </w:r>
          </w:p>
        </w:tc>
        <w:tc>
          <w:tcPr>
            <w:tcW w:w="632" w:type="pct"/>
            <w:tcBorders>
              <w:top w:val="single" w:sz="4" w:space="0" w:color="auto"/>
              <w:left w:val="single" w:sz="4" w:space="0" w:color="auto"/>
              <w:bottom w:val="single" w:sz="4" w:space="0" w:color="auto"/>
              <w:right w:val="single" w:sz="4" w:space="0" w:color="auto"/>
            </w:tcBorders>
          </w:tcPr>
          <w:p w14:paraId="547E0C1B" w14:textId="77777777" w:rsidR="00E57DAA" w:rsidRDefault="00AC4185">
            <w:pPr>
              <w:autoSpaceDE w:val="0"/>
              <w:autoSpaceDN w:val="0"/>
              <w:adjustRightInd w:val="0"/>
              <w:jc w:val="right"/>
              <w:rPr>
                <w:szCs w:val="21"/>
              </w:rPr>
            </w:pPr>
            <w:r>
              <w:t>686,974.99</w:t>
            </w:r>
          </w:p>
        </w:tc>
        <w:tc>
          <w:tcPr>
            <w:tcW w:w="703" w:type="pct"/>
            <w:tcBorders>
              <w:top w:val="single" w:sz="4" w:space="0" w:color="auto"/>
              <w:left w:val="single" w:sz="4" w:space="0" w:color="auto"/>
              <w:bottom w:val="single" w:sz="4" w:space="0" w:color="auto"/>
              <w:right w:val="single" w:sz="4" w:space="0" w:color="auto"/>
            </w:tcBorders>
          </w:tcPr>
          <w:p w14:paraId="02A33836" w14:textId="77777777" w:rsidR="00E57DAA" w:rsidRDefault="00AC4185">
            <w:pPr>
              <w:autoSpaceDE w:val="0"/>
              <w:autoSpaceDN w:val="0"/>
              <w:adjustRightInd w:val="0"/>
              <w:jc w:val="right"/>
              <w:rPr>
                <w:szCs w:val="21"/>
              </w:rPr>
            </w:pPr>
            <w:r>
              <w:t>686,974.99</w:t>
            </w:r>
          </w:p>
        </w:tc>
        <w:tc>
          <w:tcPr>
            <w:tcW w:w="914" w:type="pct"/>
            <w:tcBorders>
              <w:top w:val="single" w:sz="4" w:space="0" w:color="auto"/>
              <w:left w:val="single" w:sz="4" w:space="0" w:color="auto"/>
              <w:bottom w:val="single" w:sz="4" w:space="0" w:color="auto"/>
              <w:right w:val="single" w:sz="4" w:space="0" w:color="auto"/>
            </w:tcBorders>
          </w:tcPr>
          <w:p w14:paraId="4AB01F45" w14:textId="77777777" w:rsidR="00E57DAA" w:rsidRDefault="00AC4185">
            <w:pPr>
              <w:autoSpaceDE w:val="0"/>
              <w:autoSpaceDN w:val="0"/>
              <w:adjustRightInd w:val="0"/>
              <w:jc w:val="right"/>
              <w:rPr>
                <w:szCs w:val="21"/>
              </w:rPr>
            </w:pPr>
            <w:r>
              <w:t>686,974.99</w:t>
            </w:r>
          </w:p>
        </w:tc>
      </w:tr>
      <w:tr w:rsidR="00E57DAA" w14:paraId="5F25BE3F" w14:textId="77777777">
        <w:tc>
          <w:tcPr>
            <w:tcW w:w="677" w:type="pct"/>
            <w:tcBorders>
              <w:top w:val="single" w:sz="4" w:space="0" w:color="auto"/>
              <w:left w:val="single" w:sz="4" w:space="0" w:color="auto"/>
              <w:bottom w:val="single" w:sz="4" w:space="0" w:color="auto"/>
              <w:right w:val="single" w:sz="4" w:space="0" w:color="auto"/>
            </w:tcBorders>
            <w:vAlign w:val="center"/>
          </w:tcPr>
          <w:p w14:paraId="32E9D14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F0F2906" w14:textId="77777777" w:rsidR="00E57DAA" w:rsidRDefault="00AC4185">
            <w:pPr>
              <w:autoSpaceDE w:val="0"/>
              <w:autoSpaceDN w:val="0"/>
              <w:adjustRightInd w:val="0"/>
              <w:rPr>
                <w:szCs w:val="21"/>
              </w:rPr>
            </w:pPr>
            <w:r>
              <w:t>湖州小浦南方水泥有限公司</w:t>
            </w:r>
          </w:p>
        </w:tc>
        <w:tc>
          <w:tcPr>
            <w:tcW w:w="633" w:type="pct"/>
            <w:tcBorders>
              <w:top w:val="single" w:sz="4" w:space="0" w:color="auto"/>
              <w:left w:val="single" w:sz="4" w:space="0" w:color="auto"/>
              <w:bottom w:val="single" w:sz="4" w:space="0" w:color="auto"/>
              <w:right w:val="single" w:sz="4" w:space="0" w:color="auto"/>
            </w:tcBorders>
          </w:tcPr>
          <w:p w14:paraId="13A5B1E9" w14:textId="77777777" w:rsidR="00E57DAA" w:rsidRDefault="00AC4185">
            <w:pPr>
              <w:autoSpaceDE w:val="0"/>
              <w:autoSpaceDN w:val="0"/>
              <w:adjustRightInd w:val="0"/>
              <w:jc w:val="right"/>
              <w:rPr>
                <w:szCs w:val="21"/>
              </w:rPr>
            </w:pPr>
            <w:r>
              <w:t>664,159.40</w:t>
            </w:r>
          </w:p>
        </w:tc>
        <w:tc>
          <w:tcPr>
            <w:tcW w:w="632" w:type="pct"/>
            <w:tcBorders>
              <w:top w:val="single" w:sz="4" w:space="0" w:color="auto"/>
              <w:left w:val="single" w:sz="4" w:space="0" w:color="auto"/>
              <w:bottom w:val="single" w:sz="4" w:space="0" w:color="auto"/>
              <w:right w:val="single" w:sz="4" w:space="0" w:color="auto"/>
            </w:tcBorders>
          </w:tcPr>
          <w:p w14:paraId="56A6EC3E" w14:textId="77777777" w:rsidR="00E57DAA" w:rsidRDefault="00AC4185">
            <w:pPr>
              <w:autoSpaceDE w:val="0"/>
              <w:autoSpaceDN w:val="0"/>
              <w:adjustRightInd w:val="0"/>
              <w:jc w:val="right"/>
              <w:rPr>
                <w:szCs w:val="21"/>
              </w:rPr>
            </w:pPr>
            <w:r>
              <w:t>15,740.58</w:t>
            </w:r>
          </w:p>
        </w:tc>
        <w:tc>
          <w:tcPr>
            <w:tcW w:w="703" w:type="pct"/>
            <w:tcBorders>
              <w:top w:val="single" w:sz="4" w:space="0" w:color="auto"/>
              <w:left w:val="single" w:sz="4" w:space="0" w:color="auto"/>
              <w:bottom w:val="single" w:sz="4" w:space="0" w:color="auto"/>
              <w:right w:val="single" w:sz="4" w:space="0" w:color="auto"/>
            </w:tcBorders>
          </w:tcPr>
          <w:p w14:paraId="5CC1F3F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7BA3F94" w14:textId="77777777" w:rsidR="00E57DAA" w:rsidRDefault="00AC4185">
            <w:pPr>
              <w:autoSpaceDE w:val="0"/>
              <w:autoSpaceDN w:val="0"/>
              <w:adjustRightInd w:val="0"/>
              <w:jc w:val="right"/>
              <w:rPr>
                <w:szCs w:val="21"/>
              </w:rPr>
            </w:pPr>
            <w:r>
              <w:t xml:space="preserve">　</w:t>
            </w:r>
          </w:p>
        </w:tc>
      </w:tr>
      <w:tr w:rsidR="00E57DAA" w14:paraId="67B25EA4" w14:textId="77777777">
        <w:tc>
          <w:tcPr>
            <w:tcW w:w="677" w:type="pct"/>
            <w:tcBorders>
              <w:top w:val="single" w:sz="4" w:space="0" w:color="auto"/>
              <w:left w:val="single" w:sz="4" w:space="0" w:color="auto"/>
              <w:bottom w:val="single" w:sz="4" w:space="0" w:color="auto"/>
              <w:right w:val="single" w:sz="4" w:space="0" w:color="auto"/>
            </w:tcBorders>
            <w:vAlign w:val="center"/>
          </w:tcPr>
          <w:p w14:paraId="46005A8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69E504E" w14:textId="77777777" w:rsidR="00E57DAA" w:rsidRDefault="00AC4185">
            <w:pPr>
              <w:autoSpaceDE w:val="0"/>
              <w:autoSpaceDN w:val="0"/>
              <w:adjustRightInd w:val="0"/>
              <w:rPr>
                <w:szCs w:val="21"/>
              </w:rPr>
            </w:pPr>
            <w:r>
              <w:t>乌海赛马水泥有限责任公司</w:t>
            </w:r>
          </w:p>
        </w:tc>
        <w:tc>
          <w:tcPr>
            <w:tcW w:w="633" w:type="pct"/>
            <w:tcBorders>
              <w:top w:val="single" w:sz="4" w:space="0" w:color="auto"/>
              <w:left w:val="single" w:sz="4" w:space="0" w:color="auto"/>
              <w:bottom w:val="single" w:sz="4" w:space="0" w:color="auto"/>
              <w:right w:val="single" w:sz="4" w:space="0" w:color="auto"/>
            </w:tcBorders>
          </w:tcPr>
          <w:p w14:paraId="527B7097" w14:textId="77777777" w:rsidR="00E57DAA" w:rsidRDefault="00AC4185">
            <w:pPr>
              <w:autoSpaceDE w:val="0"/>
              <w:autoSpaceDN w:val="0"/>
              <w:adjustRightInd w:val="0"/>
              <w:jc w:val="right"/>
              <w:rPr>
                <w:szCs w:val="21"/>
              </w:rPr>
            </w:pPr>
            <w:r>
              <w:t>637,229.00</w:t>
            </w:r>
          </w:p>
        </w:tc>
        <w:tc>
          <w:tcPr>
            <w:tcW w:w="632" w:type="pct"/>
            <w:tcBorders>
              <w:top w:val="single" w:sz="4" w:space="0" w:color="auto"/>
              <w:left w:val="single" w:sz="4" w:space="0" w:color="auto"/>
              <w:bottom w:val="single" w:sz="4" w:space="0" w:color="auto"/>
              <w:right w:val="single" w:sz="4" w:space="0" w:color="auto"/>
            </w:tcBorders>
          </w:tcPr>
          <w:p w14:paraId="649B29CB" w14:textId="77777777" w:rsidR="00E57DAA" w:rsidRDefault="00AC4185">
            <w:pPr>
              <w:autoSpaceDE w:val="0"/>
              <w:autoSpaceDN w:val="0"/>
              <w:adjustRightInd w:val="0"/>
              <w:jc w:val="right"/>
              <w:rPr>
                <w:szCs w:val="21"/>
              </w:rPr>
            </w:pPr>
            <w:r>
              <w:t>33,117.02</w:t>
            </w:r>
          </w:p>
        </w:tc>
        <w:tc>
          <w:tcPr>
            <w:tcW w:w="703" w:type="pct"/>
            <w:tcBorders>
              <w:top w:val="single" w:sz="4" w:space="0" w:color="auto"/>
              <w:left w:val="single" w:sz="4" w:space="0" w:color="auto"/>
              <w:bottom w:val="single" w:sz="4" w:space="0" w:color="auto"/>
              <w:right w:val="single" w:sz="4" w:space="0" w:color="auto"/>
            </w:tcBorders>
          </w:tcPr>
          <w:p w14:paraId="2F9F41E4" w14:textId="77777777" w:rsidR="00E57DAA" w:rsidRDefault="00AC4185">
            <w:pPr>
              <w:autoSpaceDE w:val="0"/>
              <w:autoSpaceDN w:val="0"/>
              <w:adjustRightInd w:val="0"/>
              <w:jc w:val="right"/>
              <w:rPr>
                <w:szCs w:val="21"/>
              </w:rPr>
            </w:pPr>
            <w:r>
              <w:t>719,075.00</w:t>
            </w:r>
          </w:p>
        </w:tc>
        <w:tc>
          <w:tcPr>
            <w:tcW w:w="914" w:type="pct"/>
            <w:tcBorders>
              <w:top w:val="single" w:sz="4" w:space="0" w:color="auto"/>
              <w:left w:val="single" w:sz="4" w:space="0" w:color="auto"/>
              <w:bottom w:val="single" w:sz="4" w:space="0" w:color="auto"/>
              <w:right w:val="single" w:sz="4" w:space="0" w:color="auto"/>
            </w:tcBorders>
          </w:tcPr>
          <w:p w14:paraId="0BAF85F2" w14:textId="77777777" w:rsidR="00E57DAA" w:rsidRDefault="00AC4185">
            <w:pPr>
              <w:autoSpaceDE w:val="0"/>
              <w:autoSpaceDN w:val="0"/>
              <w:adjustRightInd w:val="0"/>
              <w:jc w:val="right"/>
              <w:rPr>
                <w:szCs w:val="21"/>
              </w:rPr>
            </w:pPr>
            <w:r>
              <w:t>33,969.09</w:t>
            </w:r>
          </w:p>
        </w:tc>
      </w:tr>
      <w:tr w:rsidR="00E57DAA" w14:paraId="2B1697C6" w14:textId="77777777">
        <w:tc>
          <w:tcPr>
            <w:tcW w:w="677" w:type="pct"/>
            <w:tcBorders>
              <w:top w:val="single" w:sz="4" w:space="0" w:color="auto"/>
              <w:left w:val="single" w:sz="4" w:space="0" w:color="auto"/>
              <w:bottom w:val="single" w:sz="4" w:space="0" w:color="auto"/>
              <w:right w:val="single" w:sz="4" w:space="0" w:color="auto"/>
            </w:tcBorders>
            <w:vAlign w:val="center"/>
          </w:tcPr>
          <w:p w14:paraId="40E5AF9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68E10EB" w14:textId="77777777" w:rsidR="00E57DAA" w:rsidRDefault="00AC4185">
            <w:pPr>
              <w:autoSpaceDE w:val="0"/>
              <w:autoSpaceDN w:val="0"/>
              <w:adjustRightInd w:val="0"/>
              <w:rPr>
                <w:szCs w:val="21"/>
              </w:rPr>
            </w:pPr>
            <w:r>
              <w:t>四川峨眉山西南水泥有限公司</w:t>
            </w:r>
          </w:p>
        </w:tc>
        <w:tc>
          <w:tcPr>
            <w:tcW w:w="633" w:type="pct"/>
            <w:tcBorders>
              <w:top w:val="single" w:sz="4" w:space="0" w:color="auto"/>
              <w:left w:val="single" w:sz="4" w:space="0" w:color="auto"/>
              <w:bottom w:val="single" w:sz="4" w:space="0" w:color="auto"/>
              <w:right w:val="single" w:sz="4" w:space="0" w:color="auto"/>
            </w:tcBorders>
          </w:tcPr>
          <w:p w14:paraId="532BD1C6" w14:textId="77777777" w:rsidR="00E57DAA" w:rsidRDefault="00AC4185">
            <w:pPr>
              <w:autoSpaceDE w:val="0"/>
              <w:autoSpaceDN w:val="0"/>
              <w:adjustRightInd w:val="0"/>
              <w:jc w:val="right"/>
              <w:rPr>
                <w:szCs w:val="21"/>
              </w:rPr>
            </w:pPr>
            <w:r>
              <w:t>635,419.00</w:t>
            </w:r>
          </w:p>
        </w:tc>
        <w:tc>
          <w:tcPr>
            <w:tcW w:w="632" w:type="pct"/>
            <w:tcBorders>
              <w:top w:val="single" w:sz="4" w:space="0" w:color="auto"/>
              <w:left w:val="single" w:sz="4" w:space="0" w:color="auto"/>
              <w:bottom w:val="single" w:sz="4" w:space="0" w:color="auto"/>
              <w:right w:val="single" w:sz="4" w:space="0" w:color="auto"/>
            </w:tcBorders>
          </w:tcPr>
          <w:p w14:paraId="531B80EE" w14:textId="77777777" w:rsidR="00E57DAA" w:rsidRDefault="00AC4185">
            <w:pPr>
              <w:autoSpaceDE w:val="0"/>
              <w:autoSpaceDN w:val="0"/>
              <w:adjustRightInd w:val="0"/>
              <w:jc w:val="right"/>
              <w:rPr>
                <w:szCs w:val="21"/>
              </w:rPr>
            </w:pPr>
            <w:r>
              <w:t>305,418.55</w:t>
            </w:r>
          </w:p>
        </w:tc>
        <w:tc>
          <w:tcPr>
            <w:tcW w:w="703" w:type="pct"/>
            <w:tcBorders>
              <w:top w:val="single" w:sz="4" w:space="0" w:color="auto"/>
              <w:left w:val="single" w:sz="4" w:space="0" w:color="auto"/>
              <w:bottom w:val="single" w:sz="4" w:space="0" w:color="auto"/>
              <w:right w:val="single" w:sz="4" w:space="0" w:color="auto"/>
            </w:tcBorders>
          </w:tcPr>
          <w:p w14:paraId="612E08CB" w14:textId="77777777" w:rsidR="00E57DAA" w:rsidRDefault="00AC4185">
            <w:pPr>
              <w:autoSpaceDE w:val="0"/>
              <w:autoSpaceDN w:val="0"/>
              <w:adjustRightInd w:val="0"/>
              <w:jc w:val="right"/>
              <w:rPr>
                <w:szCs w:val="21"/>
              </w:rPr>
            </w:pPr>
            <w:r>
              <w:t>386,914.24</w:t>
            </w:r>
          </w:p>
        </w:tc>
        <w:tc>
          <w:tcPr>
            <w:tcW w:w="914" w:type="pct"/>
            <w:tcBorders>
              <w:top w:val="single" w:sz="4" w:space="0" w:color="auto"/>
              <w:left w:val="single" w:sz="4" w:space="0" w:color="auto"/>
              <w:bottom w:val="single" w:sz="4" w:space="0" w:color="auto"/>
              <w:right w:val="single" w:sz="4" w:space="0" w:color="auto"/>
            </w:tcBorders>
          </w:tcPr>
          <w:p w14:paraId="3E1447E3" w14:textId="77777777" w:rsidR="00E57DAA" w:rsidRDefault="00AC4185">
            <w:pPr>
              <w:autoSpaceDE w:val="0"/>
              <w:autoSpaceDN w:val="0"/>
              <w:adjustRightInd w:val="0"/>
              <w:jc w:val="right"/>
              <w:rPr>
                <w:szCs w:val="21"/>
              </w:rPr>
            </w:pPr>
            <w:r>
              <w:t>289,328.04</w:t>
            </w:r>
          </w:p>
        </w:tc>
      </w:tr>
      <w:tr w:rsidR="00E57DAA" w14:paraId="705572F1" w14:textId="77777777">
        <w:tc>
          <w:tcPr>
            <w:tcW w:w="677" w:type="pct"/>
            <w:tcBorders>
              <w:top w:val="single" w:sz="4" w:space="0" w:color="auto"/>
              <w:left w:val="single" w:sz="4" w:space="0" w:color="auto"/>
              <w:bottom w:val="single" w:sz="4" w:space="0" w:color="auto"/>
              <w:right w:val="single" w:sz="4" w:space="0" w:color="auto"/>
            </w:tcBorders>
            <w:vAlign w:val="center"/>
          </w:tcPr>
          <w:p w14:paraId="1CC9454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07346B3" w14:textId="77777777" w:rsidR="00E57DAA" w:rsidRDefault="00AC4185">
            <w:pPr>
              <w:autoSpaceDE w:val="0"/>
              <w:autoSpaceDN w:val="0"/>
              <w:adjustRightInd w:val="0"/>
              <w:rPr>
                <w:szCs w:val="21"/>
              </w:rPr>
            </w:pPr>
            <w:r>
              <w:t>中材罗定水泥有限公司</w:t>
            </w:r>
          </w:p>
        </w:tc>
        <w:tc>
          <w:tcPr>
            <w:tcW w:w="633" w:type="pct"/>
            <w:tcBorders>
              <w:top w:val="single" w:sz="4" w:space="0" w:color="auto"/>
              <w:left w:val="single" w:sz="4" w:space="0" w:color="auto"/>
              <w:bottom w:val="single" w:sz="4" w:space="0" w:color="auto"/>
              <w:right w:val="single" w:sz="4" w:space="0" w:color="auto"/>
            </w:tcBorders>
          </w:tcPr>
          <w:p w14:paraId="116C2AAE" w14:textId="77777777" w:rsidR="00E57DAA" w:rsidRDefault="00AC4185">
            <w:pPr>
              <w:autoSpaceDE w:val="0"/>
              <w:autoSpaceDN w:val="0"/>
              <w:adjustRightInd w:val="0"/>
              <w:jc w:val="right"/>
              <w:rPr>
                <w:szCs w:val="21"/>
              </w:rPr>
            </w:pPr>
            <w:r>
              <w:t>627,055.39</w:t>
            </w:r>
          </w:p>
        </w:tc>
        <w:tc>
          <w:tcPr>
            <w:tcW w:w="632" w:type="pct"/>
            <w:tcBorders>
              <w:top w:val="single" w:sz="4" w:space="0" w:color="auto"/>
              <w:left w:val="single" w:sz="4" w:space="0" w:color="auto"/>
              <w:bottom w:val="single" w:sz="4" w:space="0" w:color="auto"/>
              <w:right w:val="single" w:sz="4" w:space="0" w:color="auto"/>
            </w:tcBorders>
          </w:tcPr>
          <w:p w14:paraId="7DAE0D2E" w14:textId="77777777" w:rsidR="00E57DAA" w:rsidRDefault="00AC4185">
            <w:pPr>
              <w:autoSpaceDE w:val="0"/>
              <w:autoSpaceDN w:val="0"/>
              <w:adjustRightInd w:val="0"/>
              <w:jc w:val="right"/>
              <w:rPr>
                <w:szCs w:val="21"/>
              </w:rPr>
            </w:pPr>
            <w:r>
              <w:t>63,416.59</w:t>
            </w:r>
          </w:p>
        </w:tc>
        <w:tc>
          <w:tcPr>
            <w:tcW w:w="703" w:type="pct"/>
            <w:tcBorders>
              <w:top w:val="single" w:sz="4" w:space="0" w:color="auto"/>
              <w:left w:val="single" w:sz="4" w:space="0" w:color="auto"/>
              <w:bottom w:val="single" w:sz="4" w:space="0" w:color="auto"/>
              <w:right w:val="single" w:sz="4" w:space="0" w:color="auto"/>
            </w:tcBorders>
          </w:tcPr>
          <w:p w14:paraId="193C91DA" w14:textId="77777777" w:rsidR="00E57DAA" w:rsidRDefault="00AC4185">
            <w:pPr>
              <w:autoSpaceDE w:val="0"/>
              <w:autoSpaceDN w:val="0"/>
              <w:adjustRightInd w:val="0"/>
              <w:jc w:val="right"/>
              <w:rPr>
                <w:szCs w:val="21"/>
              </w:rPr>
            </w:pPr>
            <w:r>
              <w:t>802,949.20</w:t>
            </w:r>
          </w:p>
        </w:tc>
        <w:tc>
          <w:tcPr>
            <w:tcW w:w="914" w:type="pct"/>
            <w:tcBorders>
              <w:top w:val="single" w:sz="4" w:space="0" w:color="auto"/>
              <w:left w:val="single" w:sz="4" w:space="0" w:color="auto"/>
              <w:bottom w:val="single" w:sz="4" w:space="0" w:color="auto"/>
              <w:right w:val="single" w:sz="4" w:space="0" w:color="auto"/>
            </w:tcBorders>
          </w:tcPr>
          <w:p w14:paraId="43B420A7" w14:textId="77777777" w:rsidR="00E57DAA" w:rsidRDefault="00AC4185">
            <w:pPr>
              <w:autoSpaceDE w:val="0"/>
              <w:autoSpaceDN w:val="0"/>
              <w:adjustRightInd w:val="0"/>
              <w:jc w:val="right"/>
              <w:rPr>
                <w:szCs w:val="21"/>
              </w:rPr>
            </w:pPr>
            <w:r>
              <w:t>57,892.64</w:t>
            </w:r>
          </w:p>
        </w:tc>
      </w:tr>
      <w:tr w:rsidR="00E57DAA" w14:paraId="40622E10" w14:textId="77777777">
        <w:tc>
          <w:tcPr>
            <w:tcW w:w="677" w:type="pct"/>
            <w:tcBorders>
              <w:top w:val="single" w:sz="4" w:space="0" w:color="auto"/>
              <w:left w:val="single" w:sz="4" w:space="0" w:color="auto"/>
              <w:bottom w:val="single" w:sz="4" w:space="0" w:color="auto"/>
              <w:right w:val="single" w:sz="4" w:space="0" w:color="auto"/>
            </w:tcBorders>
            <w:vAlign w:val="center"/>
          </w:tcPr>
          <w:p w14:paraId="1927844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0B8ED0" w14:textId="77777777" w:rsidR="00E57DAA" w:rsidRDefault="00AC4185">
            <w:pPr>
              <w:autoSpaceDE w:val="0"/>
              <w:autoSpaceDN w:val="0"/>
              <w:adjustRightInd w:val="0"/>
              <w:rPr>
                <w:szCs w:val="21"/>
              </w:rPr>
            </w:pPr>
            <w:r>
              <w:t>昭觉金鑫水泥有限责任公司</w:t>
            </w:r>
          </w:p>
        </w:tc>
        <w:tc>
          <w:tcPr>
            <w:tcW w:w="633" w:type="pct"/>
            <w:tcBorders>
              <w:top w:val="single" w:sz="4" w:space="0" w:color="auto"/>
              <w:left w:val="single" w:sz="4" w:space="0" w:color="auto"/>
              <w:bottom w:val="single" w:sz="4" w:space="0" w:color="auto"/>
              <w:right w:val="single" w:sz="4" w:space="0" w:color="auto"/>
            </w:tcBorders>
          </w:tcPr>
          <w:p w14:paraId="02727950" w14:textId="77777777" w:rsidR="00E57DAA" w:rsidRDefault="00AC4185">
            <w:pPr>
              <w:autoSpaceDE w:val="0"/>
              <w:autoSpaceDN w:val="0"/>
              <w:adjustRightInd w:val="0"/>
              <w:jc w:val="right"/>
              <w:rPr>
                <w:szCs w:val="21"/>
              </w:rPr>
            </w:pPr>
            <w:r>
              <w:t>594,199.60</w:t>
            </w:r>
          </w:p>
        </w:tc>
        <w:tc>
          <w:tcPr>
            <w:tcW w:w="632" w:type="pct"/>
            <w:tcBorders>
              <w:top w:val="single" w:sz="4" w:space="0" w:color="auto"/>
              <w:left w:val="single" w:sz="4" w:space="0" w:color="auto"/>
              <w:bottom w:val="single" w:sz="4" w:space="0" w:color="auto"/>
              <w:right w:val="single" w:sz="4" w:space="0" w:color="auto"/>
            </w:tcBorders>
          </w:tcPr>
          <w:p w14:paraId="7CA4AAEE" w14:textId="77777777" w:rsidR="00E57DAA" w:rsidRDefault="00AC4185">
            <w:pPr>
              <w:autoSpaceDE w:val="0"/>
              <w:autoSpaceDN w:val="0"/>
              <w:adjustRightInd w:val="0"/>
              <w:jc w:val="right"/>
              <w:rPr>
                <w:szCs w:val="21"/>
              </w:rPr>
            </w:pPr>
            <w:r>
              <w:t>72,533.43</w:t>
            </w:r>
          </w:p>
        </w:tc>
        <w:tc>
          <w:tcPr>
            <w:tcW w:w="703" w:type="pct"/>
            <w:tcBorders>
              <w:top w:val="single" w:sz="4" w:space="0" w:color="auto"/>
              <w:left w:val="single" w:sz="4" w:space="0" w:color="auto"/>
              <w:bottom w:val="single" w:sz="4" w:space="0" w:color="auto"/>
              <w:right w:val="single" w:sz="4" w:space="0" w:color="auto"/>
            </w:tcBorders>
          </w:tcPr>
          <w:p w14:paraId="543E677F" w14:textId="77777777" w:rsidR="00E57DAA" w:rsidRDefault="00AC4185">
            <w:pPr>
              <w:autoSpaceDE w:val="0"/>
              <w:autoSpaceDN w:val="0"/>
              <w:adjustRightInd w:val="0"/>
              <w:jc w:val="right"/>
              <w:rPr>
                <w:szCs w:val="21"/>
              </w:rPr>
            </w:pPr>
            <w:r>
              <w:t>578,200.00</w:t>
            </w:r>
          </w:p>
        </w:tc>
        <w:tc>
          <w:tcPr>
            <w:tcW w:w="914" w:type="pct"/>
            <w:tcBorders>
              <w:top w:val="single" w:sz="4" w:space="0" w:color="auto"/>
              <w:left w:val="single" w:sz="4" w:space="0" w:color="auto"/>
              <w:bottom w:val="single" w:sz="4" w:space="0" w:color="auto"/>
              <w:right w:val="single" w:sz="4" w:space="0" w:color="auto"/>
            </w:tcBorders>
          </w:tcPr>
          <w:p w14:paraId="7915476E" w14:textId="77777777" w:rsidR="00E57DAA" w:rsidRDefault="00AC4185">
            <w:pPr>
              <w:autoSpaceDE w:val="0"/>
              <w:autoSpaceDN w:val="0"/>
              <w:adjustRightInd w:val="0"/>
              <w:jc w:val="right"/>
              <w:rPr>
                <w:szCs w:val="21"/>
              </w:rPr>
            </w:pPr>
            <w:r>
              <w:t>47,471.96</w:t>
            </w:r>
          </w:p>
        </w:tc>
      </w:tr>
      <w:tr w:rsidR="00E57DAA" w14:paraId="0B759090" w14:textId="77777777">
        <w:tc>
          <w:tcPr>
            <w:tcW w:w="677" w:type="pct"/>
            <w:tcBorders>
              <w:top w:val="single" w:sz="4" w:space="0" w:color="auto"/>
              <w:left w:val="single" w:sz="4" w:space="0" w:color="auto"/>
              <w:bottom w:val="single" w:sz="4" w:space="0" w:color="auto"/>
              <w:right w:val="single" w:sz="4" w:space="0" w:color="auto"/>
            </w:tcBorders>
            <w:vAlign w:val="center"/>
          </w:tcPr>
          <w:p w14:paraId="118DF34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DB9DD7B" w14:textId="77777777" w:rsidR="00E57DAA" w:rsidRDefault="00AC4185">
            <w:pPr>
              <w:autoSpaceDE w:val="0"/>
              <w:autoSpaceDN w:val="0"/>
              <w:adjustRightInd w:val="0"/>
              <w:rPr>
                <w:szCs w:val="21"/>
              </w:rPr>
            </w:pPr>
            <w:r>
              <w:t>重庆秀山西南水泥有限公司</w:t>
            </w:r>
          </w:p>
        </w:tc>
        <w:tc>
          <w:tcPr>
            <w:tcW w:w="633" w:type="pct"/>
            <w:tcBorders>
              <w:top w:val="single" w:sz="4" w:space="0" w:color="auto"/>
              <w:left w:val="single" w:sz="4" w:space="0" w:color="auto"/>
              <w:bottom w:val="single" w:sz="4" w:space="0" w:color="auto"/>
              <w:right w:val="single" w:sz="4" w:space="0" w:color="auto"/>
            </w:tcBorders>
          </w:tcPr>
          <w:p w14:paraId="2E727B7F" w14:textId="77777777" w:rsidR="00E57DAA" w:rsidRDefault="00AC4185">
            <w:pPr>
              <w:autoSpaceDE w:val="0"/>
              <w:autoSpaceDN w:val="0"/>
              <w:adjustRightInd w:val="0"/>
              <w:jc w:val="right"/>
              <w:rPr>
                <w:szCs w:val="21"/>
              </w:rPr>
            </w:pPr>
            <w:r>
              <w:t>520,777.79</w:t>
            </w:r>
          </w:p>
        </w:tc>
        <w:tc>
          <w:tcPr>
            <w:tcW w:w="632" w:type="pct"/>
            <w:tcBorders>
              <w:top w:val="single" w:sz="4" w:space="0" w:color="auto"/>
              <w:left w:val="single" w:sz="4" w:space="0" w:color="auto"/>
              <w:bottom w:val="single" w:sz="4" w:space="0" w:color="auto"/>
              <w:right w:val="single" w:sz="4" w:space="0" w:color="auto"/>
            </w:tcBorders>
          </w:tcPr>
          <w:p w14:paraId="78F8795F" w14:textId="77777777" w:rsidR="00E57DAA" w:rsidRDefault="00AC4185">
            <w:pPr>
              <w:autoSpaceDE w:val="0"/>
              <w:autoSpaceDN w:val="0"/>
              <w:adjustRightInd w:val="0"/>
              <w:jc w:val="right"/>
              <w:rPr>
                <w:szCs w:val="21"/>
              </w:rPr>
            </w:pPr>
            <w:r>
              <w:t>21,486.55</w:t>
            </w:r>
          </w:p>
        </w:tc>
        <w:tc>
          <w:tcPr>
            <w:tcW w:w="703" w:type="pct"/>
            <w:tcBorders>
              <w:top w:val="single" w:sz="4" w:space="0" w:color="auto"/>
              <w:left w:val="single" w:sz="4" w:space="0" w:color="auto"/>
              <w:bottom w:val="single" w:sz="4" w:space="0" w:color="auto"/>
              <w:right w:val="single" w:sz="4" w:space="0" w:color="auto"/>
            </w:tcBorders>
          </w:tcPr>
          <w:p w14:paraId="6F55213A" w14:textId="77777777" w:rsidR="00E57DAA" w:rsidRDefault="00AC4185">
            <w:pPr>
              <w:autoSpaceDE w:val="0"/>
              <w:autoSpaceDN w:val="0"/>
              <w:adjustRightInd w:val="0"/>
              <w:jc w:val="right"/>
              <w:rPr>
                <w:szCs w:val="21"/>
              </w:rPr>
            </w:pPr>
            <w:r>
              <w:t>1,302,343.17</w:t>
            </w:r>
          </w:p>
        </w:tc>
        <w:tc>
          <w:tcPr>
            <w:tcW w:w="914" w:type="pct"/>
            <w:tcBorders>
              <w:top w:val="single" w:sz="4" w:space="0" w:color="auto"/>
              <w:left w:val="single" w:sz="4" w:space="0" w:color="auto"/>
              <w:bottom w:val="single" w:sz="4" w:space="0" w:color="auto"/>
              <w:right w:val="single" w:sz="4" w:space="0" w:color="auto"/>
            </w:tcBorders>
          </w:tcPr>
          <w:p w14:paraId="2FE8A7AE" w14:textId="77777777" w:rsidR="00E57DAA" w:rsidRDefault="00AC4185">
            <w:pPr>
              <w:autoSpaceDE w:val="0"/>
              <w:autoSpaceDN w:val="0"/>
              <w:adjustRightInd w:val="0"/>
              <w:jc w:val="right"/>
              <w:rPr>
                <w:szCs w:val="21"/>
              </w:rPr>
            </w:pPr>
            <w:r>
              <w:t>35,310.21</w:t>
            </w:r>
          </w:p>
        </w:tc>
      </w:tr>
      <w:tr w:rsidR="00E57DAA" w14:paraId="5DE7DCE7" w14:textId="77777777">
        <w:tc>
          <w:tcPr>
            <w:tcW w:w="677" w:type="pct"/>
            <w:tcBorders>
              <w:top w:val="single" w:sz="4" w:space="0" w:color="auto"/>
              <w:left w:val="single" w:sz="4" w:space="0" w:color="auto"/>
              <w:bottom w:val="single" w:sz="4" w:space="0" w:color="auto"/>
              <w:right w:val="single" w:sz="4" w:space="0" w:color="auto"/>
            </w:tcBorders>
            <w:vAlign w:val="center"/>
          </w:tcPr>
          <w:p w14:paraId="3837895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59C2B04" w14:textId="77777777" w:rsidR="00E57DAA" w:rsidRDefault="00AC4185">
            <w:pPr>
              <w:autoSpaceDE w:val="0"/>
              <w:autoSpaceDN w:val="0"/>
              <w:adjustRightInd w:val="0"/>
              <w:rPr>
                <w:szCs w:val="21"/>
              </w:rPr>
            </w:pPr>
            <w:r>
              <w:t>烟台栖霞中联水泥有限公司</w:t>
            </w:r>
          </w:p>
        </w:tc>
        <w:tc>
          <w:tcPr>
            <w:tcW w:w="633" w:type="pct"/>
            <w:tcBorders>
              <w:top w:val="single" w:sz="4" w:space="0" w:color="auto"/>
              <w:left w:val="single" w:sz="4" w:space="0" w:color="auto"/>
              <w:bottom w:val="single" w:sz="4" w:space="0" w:color="auto"/>
              <w:right w:val="single" w:sz="4" w:space="0" w:color="auto"/>
            </w:tcBorders>
          </w:tcPr>
          <w:p w14:paraId="132B0795" w14:textId="77777777" w:rsidR="00E57DAA" w:rsidRDefault="00AC4185">
            <w:pPr>
              <w:autoSpaceDE w:val="0"/>
              <w:autoSpaceDN w:val="0"/>
              <w:adjustRightInd w:val="0"/>
              <w:jc w:val="right"/>
              <w:rPr>
                <w:szCs w:val="21"/>
              </w:rPr>
            </w:pPr>
            <w:r>
              <w:t>494,465.23</w:t>
            </w:r>
          </w:p>
        </w:tc>
        <w:tc>
          <w:tcPr>
            <w:tcW w:w="632" w:type="pct"/>
            <w:tcBorders>
              <w:top w:val="single" w:sz="4" w:space="0" w:color="auto"/>
              <w:left w:val="single" w:sz="4" w:space="0" w:color="auto"/>
              <w:bottom w:val="single" w:sz="4" w:space="0" w:color="auto"/>
              <w:right w:val="single" w:sz="4" w:space="0" w:color="auto"/>
            </w:tcBorders>
          </w:tcPr>
          <w:p w14:paraId="74CE8B69" w14:textId="77777777" w:rsidR="00E57DAA" w:rsidRDefault="00AC4185">
            <w:pPr>
              <w:autoSpaceDE w:val="0"/>
              <w:autoSpaceDN w:val="0"/>
              <w:adjustRightInd w:val="0"/>
              <w:jc w:val="right"/>
              <w:rPr>
                <w:szCs w:val="21"/>
              </w:rPr>
            </w:pPr>
            <w:r>
              <w:t>1,977.86</w:t>
            </w:r>
          </w:p>
        </w:tc>
        <w:tc>
          <w:tcPr>
            <w:tcW w:w="703" w:type="pct"/>
            <w:tcBorders>
              <w:top w:val="single" w:sz="4" w:space="0" w:color="auto"/>
              <w:left w:val="single" w:sz="4" w:space="0" w:color="auto"/>
              <w:bottom w:val="single" w:sz="4" w:space="0" w:color="auto"/>
              <w:right w:val="single" w:sz="4" w:space="0" w:color="auto"/>
            </w:tcBorders>
          </w:tcPr>
          <w:p w14:paraId="32C72266" w14:textId="77777777" w:rsidR="00E57DAA" w:rsidRDefault="00AC4185">
            <w:pPr>
              <w:autoSpaceDE w:val="0"/>
              <w:autoSpaceDN w:val="0"/>
              <w:adjustRightInd w:val="0"/>
              <w:jc w:val="right"/>
              <w:rPr>
                <w:szCs w:val="21"/>
              </w:rPr>
            </w:pPr>
            <w:r>
              <w:t>22,000.00</w:t>
            </w:r>
          </w:p>
        </w:tc>
        <w:tc>
          <w:tcPr>
            <w:tcW w:w="914" w:type="pct"/>
            <w:tcBorders>
              <w:top w:val="single" w:sz="4" w:space="0" w:color="auto"/>
              <w:left w:val="single" w:sz="4" w:space="0" w:color="auto"/>
              <w:bottom w:val="single" w:sz="4" w:space="0" w:color="auto"/>
              <w:right w:val="single" w:sz="4" w:space="0" w:color="auto"/>
            </w:tcBorders>
          </w:tcPr>
          <w:p w14:paraId="1C7F6239" w14:textId="77777777" w:rsidR="00E57DAA" w:rsidRDefault="00AC4185">
            <w:pPr>
              <w:autoSpaceDE w:val="0"/>
              <w:autoSpaceDN w:val="0"/>
              <w:adjustRightInd w:val="0"/>
              <w:jc w:val="right"/>
              <w:rPr>
                <w:szCs w:val="21"/>
              </w:rPr>
            </w:pPr>
            <w:r>
              <w:t>1,100.00</w:t>
            </w:r>
          </w:p>
        </w:tc>
      </w:tr>
      <w:tr w:rsidR="00E57DAA" w14:paraId="0D93CC34" w14:textId="77777777">
        <w:tc>
          <w:tcPr>
            <w:tcW w:w="677" w:type="pct"/>
            <w:tcBorders>
              <w:top w:val="single" w:sz="4" w:space="0" w:color="auto"/>
              <w:left w:val="single" w:sz="4" w:space="0" w:color="auto"/>
              <w:bottom w:val="single" w:sz="4" w:space="0" w:color="auto"/>
              <w:right w:val="single" w:sz="4" w:space="0" w:color="auto"/>
            </w:tcBorders>
            <w:vAlign w:val="center"/>
          </w:tcPr>
          <w:p w14:paraId="23126C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4DD0BE4" w14:textId="77777777" w:rsidR="00E57DAA" w:rsidRDefault="00AC4185">
            <w:pPr>
              <w:autoSpaceDE w:val="0"/>
              <w:autoSpaceDN w:val="0"/>
              <w:adjustRightInd w:val="0"/>
              <w:rPr>
                <w:szCs w:val="21"/>
              </w:rPr>
            </w:pPr>
            <w:r>
              <w:t>SINOMAMEMBRANEMATERIALVIETNAMCO.,LTD</w:t>
            </w:r>
          </w:p>
        </w:tc>
        <w:tc>
          <w:tcPr>
            <w:tcW w:w="633" w:type="pct"/>
            <w:tcBorders>
              <w:top w:val="single" w:sz="4" w:space="0" w:color="auto"/>
              <w:left w:val="single" w:sz="4" w:space="0" w:color="auto"/>
              <w:bottom w:val="single" w:sz="4" w:space="0" w:color="auto"/>
              <w:right w:val="single" w:sz="4" w:space="0" w:color="auto"/>
            </w:tcBorders>
          </w:tcPr>
          <w:p w14:paraId="7F1DE94A" w14:textId="77777777" w:rsidR="00E57DAA" w:rsidRDefault="00AC4185">
            <w:pPr>
              <w:autoSpaceDE w:val="0"/>
              <w:autoSpaceDN w:val="0"/>
              <w:adjustRightInd w:val="0"/>
              <w:jc w:val="right"/>
              <w:rPr>
                <w:szCs w:val="21"/>
              </w:rPr>
            </w:pPr>
            <w:r>
              <w:t>480,000.00</w:t>
            </w:r>
          </w:p>
        </w:tc>
        <w:tc>
          <w:tcPr>
            <w:tcW w:w="632" w:type="pct"/>
            <w:tcBorders>
              <w:top w:val="single" w:sz="4" w:space="0" w:color="auto"/>
              <w:left w:val="single" w:sz="4" w:space="0" w:color="auto"/>
              <w:bottom w:val="single" w:sz="4" w:space="0" w:color="auto"/>
              <w:right w:val="single" w:sz="4" w:space="0" w:color="auto"/>
            </w:tcBorders>
          </w:tcPr>
          <w:p w14:paraId="398BB651" w14:textId="77777777" w:rsidR="00E57DAA" w:rsidRDefault="00AC4185">
            <w:pPr>
              <w:autoSpaceDE w:val="0"/>
              <w:autoSpaceDN w:val="0"/>
              <w:adjustRightInd w:val="0"/>
              <w:jc w:val="right"/>
              <w:rPr>
                <w:szCs w:val="21"/>
              </w:rPr>
            </w:pPr>
            <w:r>
              <w:t>31,632.00</w:t>
            </w:r>
          </w:p>
        </w:tc>
        <w:tc>
          <w:tcPr>
            <w:tcW w:w="703" w:type="pct"/>
            <w:tcBorders>
              <w:top w:val="single" w:sz="4" w:space="0" w:color="auto"/>
              <w:left w:val="single" w:sz="4" w:space="0" w:color="auto"/>
              <w:bottom w:val="single" w:sz="4" w:space="0" w:color="auto"/>
              <w:right w:val="single" w:sz="4" w:space="0" w:color="auto"/>
            </w:tcBorders>
          </w:tcPr>
          <w:p w14:paraId="3FDE13C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5A95E4F" w14:textId="77777777" w:rsidR="00E57DAA" w:rsidRDefault="00AC4185">
            <w:pPr>
              <w:autoSpaceDE w:val="0"/>
              <w:autoSpaceDN w:val="0"/>
              <w:adjustRightInd w:val="0"/>
              <w:jc w:val="right"/>
              <w:rPr>
                <w:szCs w:val="21"/>
              </w:rPr>
            </w:pPr>
            <w:r>
              <w:t xml:space="preserve">　</w:t>
            </w:r>
          </w:p>
        </w:tc>
      </w:tr>
      <w:tr w:rsidR="00E57DAA" w14:paraId="08BF4CEA" w14:textId="77777777">
        <w:tc>
          <w:tcPr>
            <w:tcW w:w="677" w:type="pct"/>
            <w:tcBorders>
              <w:top w:val="single" w:sz="4" w:space="0" w:color="auto"/>
              <w:left w:val="single" w:sz="4" w:space="0" w:color="auto"/>
              <w:bottom w:val="single" w:sz="4" w:space="0" w:color="auto"/>
              <w:right w:val="single" w:sz="4" w:space="0" w:color="auto"/>
            </w:tcBorders>
            <w:vAlign w:val="center"/>
          </w:tcPr>
          <w:p w14:paraId="7A0D8FA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54CCC50" w14:textId="77777777" w:rsidR="00E57DAA" w:rsidRDefault="00AC4185">
            <w:pPr>
              <w:autoSpaceDE w:val="0"/>
              <w:autoSpaceDN w:val="0"/>
              <w:adjustRightInd w:val="0"/>
              <w:rPr>
                <w:szCs w:val="21"/>
              </w:rPr>
            </w:pPr>
            <w:r>
              <w:t>海盐南方水泥有限公司</w:t>
            </w:r>
          </w:p>
        </w:tc>
        <w:tc>
          <w:tcPr>
            <w:tcW w:w="633" w:type="pct"/>
            <w:tcBorders>
              <w:top w:val="single" w:sz="4" w:space="0" w:color="auto"/>
              <w:left w:val="single" w:sz="4" w:space="0" w:color="auto"/>
              <w:bottom w:val="single" w:sz="4" w:space="0" w:color="auto"/>
              <w:right w:val="single" w:sz="4" w:space="0" w:color="auto"/>
            </w:tcBorders>
          </w:tcPr>
          <w:p w14:paraId="1E470064" w14:textId="77777777" w:rsidR="00E57DAA" w:rsidRDefault="00AC4185">
            <w:pPr>
              <w:autoSpaceDE w:val="0"/>
              <w:autoSpaceDN w:val="0"/>
              <w:adjustRightInd w:val="0"/>
              <w:jc w:val="right"/>
              <w:rPr>
                <w:szCs w:val="21"/>
              </w:rPr>
            </w:pPr>
            <w:r>
              <w:t>480,000.00</w:t>
            </w:r>
          </w:p>
        </w:tc>
        <w:tc>
          <w:tcPr>
            <w:tcW w:w="632" w:type="pct"/>
            <w:tcBorders>
              <w:top w:val="single" w:sz="4" w:space="0" w:color="auto"/>
              <w:left w:val="single" w:sz="4" w:space="0" w:color="auto"/>
              <w:bottom w:val="single" w:sz="4" w:space="0" w:color="auto"/>
              <w:right w:val="single" w:sz="4" w:space="0" w:color="auto"/>
            </w:tcBorders>
          </w:tcPr>
          <w:p w14:paraId="24E6C263" w14:textId="77777777" w:rsidR="00E57DAA" w:rsidRDefault="00AC4185">
            <w:pPr>
              <w:autoSpaceDE w:val="0"/>
              <w:autoSpaceDN w:val="0"/>
              <w:adjustRightInd w:val="0"/>
              <w:jc w:val="right"/>
              <w:rPr>
                <w:szCs w:val="21"/>
              </w:rPr>
            </w:pPr>
            <w:r>
              <w:t>480,000.00</w:t>
            </w:r>
          </w:p>
        </w:tc>
        <w:tc>
          <w:tcPr>
            <w:tcW w:w="703" w:type="pct"/>
            <w:tcBorders>
              <w:top w:val="single" w:sz="4" w:space="0" w:color="auto"/>
              <w:left w:val="single" w:sz="4" w:space="0" w:color="auto"/>
              <w:bottom w:val="single" w:sz="4" w:space="0" w:color="auto"/>
              <w:right w:val="single" w:sz="4" w:space="0" w:color="auto"/>
            </w:tcBorders>
          </w:tcPr>
          <w:p w14:paraId="43BC236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A84081" w14:textId="77777777" w:rsidR="00E57DAA" w:rsidRDefault="00AC4185">
            <w:pPr>
              <w:autoSpaceDE w:val="0"/>
              <w:autoSpaceDN w:val="0"/>
              <w:adjustRightInd w:val="0"/>
              <w:jc w:val="right"/>
              <w:rPr>
                <w:szCs w:val="21"/>
              </w:rPr>
            </w:pPr>
            <w:r>
              <w:t xml:space="preserve">　</w:t>
            </w:r>
          </w:p>
        </w:tc>
      </w:tr>
      <w:tr w:rsidR="00E57DAA" w14:paraId="16302A01" w14:textId="77777777">
        <w:tc>
          <w:tcPr>
            <w:tcW w:w="677" w:type="pct"/>
            <w:tcBorders>
              <w:top w:val="single" w:sz="4" w:space="0" w:color="auto"/>
              <w:left w:val="single" w:sz="4" w:space="0" w:color="auto"/>
              <w:bottom w:val="single" w:sz="4" w:space="0" w:color="auto"/>
              <w:right w:val="single" w:sz="4" w:space="0" w:color="auto"/>
            </w:tcBorders>
            <w:vAlign w:val="center"/>
          </w:tcPr>
          <w:p w14:paraId="2DF65B6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F1CCF83" w14:textId="77777777" w:rsidR="00E57DAA" w:rsidRDefault="00AC4185">
            <w:pPr>
              <w:autoSpaceDE w:val="0"/>
              <w:autoSpaceDN w:val="0"/>
              <w:adjustRightInd w:val="0"/>
              <w:rPr>
                <w:szCs w:val="21"/>
              </w:rPr>
            </w:pPr>
            <w:r>
              <w:t>广元市高力水泥实业有限公司</w:t>
            </w:r>
          </w:p>
        </w:tc>
        <w:tc>
          <w:tcPr>
            <w:tcW w:w="633" w:type="pct"/>
            <w:tcBorders>
              <w:top w:val="single" w:sz="4" w:space="0" w:color="auto"/>
              <w:left w:val="single" w:sz="4" w:space="0" w:color="auto"/>
              <w:bottom w:val="single" w:sz="4" w:space="0" w:color="auto"/>
              <w:right w:val="single" w:sz="4" w:space="0" w:color="auto"/>
            </w:tcBorders>
          </w:tcPr>
          <w:p w14:paraId="6F51B9AA" w14:textId="77777777" w:rsidR="00E57DAA" w:rsidRDefault="00AC4185">
            <w:pPr>
              <w:autoSpaceDE w:val="0"/>
              <w:autoSpaceDN w:val="0"/>
              <w:adjustRightInd w:val="0"/>
              <w:jc w:val="right"/>
              <w:rPr>
                <w:szCs w:val="21"/>
              </w:rPr>
            </w:pPr>
            <w:r>
              <w:t>445,900.00</w:t>
            </w:r>
          </w:p>
        </w:tc>
        <w:tc>
          <w:tcPr>
            <w:tcW w:w="632" w:type="pct"/>
            <w:tcBorders>
              <w:top w:val="single" w:sz="4" w:space="0" w:color="auto"/>
              <w:left w:val="single" w:sz="4" w:space="0" w:color="auto"/>
              <w:bottom w:val="single" w:sz="4" w:space="0" w:color="auto"/>
              <w:right w:val="single" w:sz="4" w:space="0" w:color="auto"/>
            </w:tcBorders>
          </w:tcPr>
          <w:p w14:paraId="2D4CB03C" w14:textId="77777777" w:rsidR="00E57DAA" w:rsidRDefault="00AC4185">
            <w:pPr>
              <w:autoSpaceDE w:val="0"/>
              <w:autoSpaceDN w:val="0"/>
              <w:adjustRightInd w:val="0"/>
              <w:jc w:val="right"/>
              <w:rPr>
                <w:szCs w:val="21"/>
              </w:rPr>
            </w:pPr>
            <w:r>
              <w:t>66,216.93</w:t>
            </w:r>
          </w:p>
        </w:tc>
        <w:tc>
          <w:tcPr>
            <w:tcW w:w="703" w:type="pct"/>
            <w:tcBorders>
              <w:top w:val="single" w:sz="4" w:space="0" w:color="auto"/>
              <w:left w:val="single" w:sz="4" w:space="0" w:color="auto"/>
              <w:bottom w:val="single" w:sz="4" w:space="0" w:color="auto"/>
              <w:right w:val="single" w:sz="4" w:space="0" w:color="auto"/>
            </w:tcBorders>
          </w:tcPr>
          <w:p w14:paraId="7211C2D6" w14:textId="77777777" w:rsidR="00E57DAA" w:rsidRDefault="00AC4185">
            <w:pPr>
              <w:autoSpaceDE w:val="0"/>
              <w:autoSpaceDN w:val="0"/>
              <w:adjustRightInd w:val="0"/>
              <w:jc w:val="right"/>
              <w:rPr>
                <w:szCs w:val="21"/>
              </w:rPr>
            </w:pPr>
            <w:r>
              <w:t>755,500.00</w:t>
            </w:r>
          </w:p>
        </w:tc>
        <w:tc>
          <w:tcPr>
            <w:tcW w:w="914" w:type="pct"/>
            <w:tcBorders>
              <w:top w:val="single" w:sz="4" w:space="0" w:color="auto"/>
              <w:left w:val="single" w:sz="4" w:space="0" w:color="auto"/>
              <w:bottom w:val="single" w:sz="4" w:space="0" w:color="auto"/>
              <w:right w:val="single" w:sz="4" w:space="0" w:color="auto"/>
            </w:tcBorders>
          </w:tcPr>
          <w:p w14:paraId="2E6C922A" w14:textId="77777777" w:rsidR="00E57DAA" w:rsidRDefault="00AC4185">
            <w:pPr>
              <w:autoSpaceDE w:val="0"/>
              <w:autoSpaceDN w:val="0"/>
              <w:adjustRightInd w:val="0"/>
              <w:jc w:val="right"/>
              <w:rPr>
                <w:szCs w:val="21"/>
              </w:rPr>
            </w:pPr>
            <w:r>
              <w:t>73,554.45</w:t>
            </w:r>
          </w:p>
        </w:tc>
      </w:tr>
      <w:tr w:rsidR="00E57DAA" w14:paraId="27C2D2C3" w14:textId="77777777">
        <w:tc>
          <w:tcPr>
            <w:tcW w:w="677" w:type="pct"/>
            <w:tcBorders>
              <w:top w:val="single" w:sz="4" w:space="0" w:color="auto"/>
              <w:left w:val="single" w:sz="4" w:space="0" w:color="auto"/>
              <w:bottom w:val="single" w:sz="4" w:space="0" w:color="auto"/>
              <w:right w:val="single" w:sz="4" w:space="0" w:color="auto"/>
            </w:tcBorders>
            <w:vAlign w:val="center"/>
          </w:tcPr>
          <w:p w14:paraId="50C82C8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A61DBF0" w14:textId="77777777" w:rsidR="00E57DAA" w:rsidRDefault="00AC4185">
            <w:pPr>
              <w:autoSpaceDE w:val="0"/>
              <w:autoSpaceDN w:val="0"/>
              <w:adjustRightInd w:val="0"/>
              <w:rPr>
                <w:szCs w:val="21"/>
              </w:rPr>
            </w:pPr>
            <w:r>
              <w:t>兰溪诸葛南方水泥有限公司</w:t>
            </w:r>
          </w:p>
        </w:tc>
        <w:tc>
          <w:tcPr>
            <w:tcW w:w="633" w:type="pct"/>
            <w:tcBorders>
              <w:top w:val="single" w:sz="4" w:space="0" w:color="auto"/>
              <w:left w:val="single" w:sz="4" w:space="0" w:color="auto"/>
              <w:bottom w:val="single" w:sz="4" w:space="0" w:color="auto"/>
              <w:right w:val="single" w:sz="4" w:space="0" w:color="auto"/>
            </w:tcBorders>
          </w:tcPr>
          <w:p w14:paraId="073F614E" w14:textId="77777777" w:rsidR="00E57DAA" w:rsidRDefault="00AC4185">
            <w:pPr>
              <w:autoSpaceDE w:val="0"/>
              <w:autoSpaceDN w:val="0"/>
              <w:adjustRightInd w:val="0"/>
              <w:jc w:val="right"/>
              <w:rPr>
                <w:szCs w:val="21"/>
              </w:rPr>
            </w:pPr>
            <w:r>
              <w:t>417,280.00</w:t>
            </w:r>
          </w:p>
        </w:tc>
        <w:tc>
          <w:tcPr>
            <w:tcW w:w="632" w:type="pct"/>
            <w:tcBorders>
              <w:top w:val="single" w:sz="4" w:space="0" w:color="auto"/>
              <w:left w:val="single" w:sz="4" w:space="0" w:color="auto"/>
              <w:bottom w:val="single" w:sz="4" w:space="0" w:color="auto"/>
              <w:right w:val="single" w:sz="4" w:space="0" w:color="auto"/>
            </w:tcBorders>
          </w:tcPr>
          <w:p w14:paraId="25849C05" w14:textId="77777777" w:rsidR="00E57DAA" w:rsidRDefault="00AC4185">
            <w:pPr>
              <w:autoSpaceDE w:val="0"/>
              <w:autoSpaceDN w:val="0"/>
              <w:adjustRightInd w:val="0"/>
              <w:jc w:val="right"/>
              <w:rPr>
                <w:szCs w:val="21"/>
              </w:rPr>
            </w:pPr>
            <w:r>
              <w:t>27,245.55</w:t>
            </w:r>
          </w:p>
        </w:tc>
        <w:tc>
          <w:tcPr>
            <w:tcW w:w="703" w:type="pct"/>
            <w:tcBorders>
              <w:top w:val="single" w:sz="4" w:space="0" w:color="auto"/>
              <w:left w:val="single" w:sz="4" w:space="0" w:color="auto"/>
              <w:bottom w:val="single" w:sz="4" w:space="0" w:color="auto"/>
              <w:right w:val="single" w:sz="4" w:space="0" w:color="auto"/>
            </w:tcBorders>
          </w:tcPr>
          <w:p w14:paraId="6B622582" w14:textId="77777777" w:rsidR="00E57DAA" w:rsidRDefault="00AC4185">
            <w:pPr>
              <w:autoSpaceDE w:val="0"/>
              <w:autoSpaceDN w:val="0"/>
              <w:adjustRightInd w:val="0"/>
              <w:jc w:val="right"/>
              <w:rPr>
                <w:szCs w:val="21"/>
              </w:rPr>
            </w:pPr>
            <w:r>
              <w:t>1,557,435.45</w:t>
            </w:r>
          </w:p>
        </w:tc>
        <w:tc>
          <w:tcPr>
            <w:tcW w:w="914" w:type="pct"/>
            <w:tcBorders>
              <w:top w:val="single" w:sz="4" w:space="0" w:color="auto"/>
              <w:left w:val="single" w:sz="4" w:space="0" w:color="auto"/>
              <w:bottom w:val="single" w:sz="4" w:space="0" w:color="auto"/>
              <w:right w:val="single" w:sz="4" w:space="0" w:color="auto"/>
            </w:tcBorders>
          </w:tcPr>
          <w:p w14:paraId="2F45E72F" w14:textId="77777777" w:rsidR="00E57DAA" w:rsidRDefault="00AC4185">
            <w:pPr>
              <w:autoSpaceDE w:val="0"/>
              <w:autoSpaceDN w:val="0"/>
              <w:adjustRightInd w:val="0"/>
              <w:jc w:val="right"/>
              <w:rPr>
                <w:szCs w:val="21"/>
              </w:rPr>
            </w:pPr>
            <w:r>
              <w:t>144,305.99</w:t>
            </w:r>
          </w:p>
        </w:tc>
      </w:tr>
      <w:tr w:rsidR="00E57DAA" w14:paraId="58554440" w14:textId="77777777">
        <w:tc>
          <w:tcPr>
            <w:tcW w:w="677" w:type="pct"/>
            <w:tcBorders>
              <w:top w:val="single" w:sz="4" w:space="0" w:color="auto"/>
              <w:left w:val="single" w:sz="4" w:space="0" w:color="auto"/>
              <w:bottom w:val="single" w:sz="4" w:space="0" w:color="auto"/>
              <w:right w:val="single" w:sz="4" w:space="0" w:color="auto"/>
            </w:tcBorders>
            <w:vAlign w:val="center"/>
          </w:tcPr>
          <w:p w14:paraId="781C50C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1534571" w14:textId="77777777" w:rsidR="00E57DAA" w:rsidRDefault="00AC4185">
            <w:pPr>
              <w:autoSpaceDE w:val="0"/>
              <w:autoSpaceDN w:val="0"/>
              <w:adjustRightInd w:val="0"/>
              <w:rPr>
                <w:szCs w:val="21"/>
              </w:rPr>
            </w:pPr>
            <w:r>
              <w:t>新疆米东天山水泥有限责任公司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29C02F4" w14:textId="77777777" w:rsidR="00E57DAA" w:rsidRDefault="00AC4185">
            <w:pPr>
              <w:autoSpaceDE w:val="0"/>
              <w:autoSpaceDN w:val="0"/>
              <w:adjustRightInd w:val="0"/>
              <w:jc w:val="right"/>
              <w:rPr>
                <w:szCs w:val="21"/>
              </w:rPr>
            </w:pPr>
            <w:r>
              <w:t>417,162.00</w:t>
            </w:r>
          </w:p>
        </w:tc>
        <w:tc>
          <w:tcPr>
            <w:tcW w:w="632" w:type="pct"/>
            <w:tcBorders>
              <w:top w:val="single" w:sz="4" w:space="0" w:color="auto"/>
              <w:left w:val="single" w:sz="4" w:space="0" w:color="auto"/>
              <w:bottom w:val="single" w:sz="4" w:space="0" w:color="auto"/>
              <w:right w:val="single" w:sz="4" w:space="0" w:color="auto"/>
            </w:tcBorders>
          </w:tcPr>
          <w:p w14:paraId="562A0AB4" w14:textId="77777777" w:rsidR="00E57DAA" w:rsidRDefault="00AC4185">
            <w:pPr>
              <w:autoSpaceDE w:val="0"/>
              <w:autoSpaceDN w:val="0"/>
              <w:adjustRightInd w:val="0"/>
              <w:jc w:val="right"/>
              <w:rPr>
                <w:szCs w:val="21"/>
              </w:rPr>
            </w:pPr>
            <w:r>
              <w:t>11,203.38</w:t>
            </w:r>
          </w:p>
        </w:tc>
        <w:tc>
          <w:tcPr>
            <w:tcW w:w="703" w:type="pct"/>
            <w:tcBorders>
              <w:top w:val="single" w:sz="4" w:space="0" w:color="auto"/>
              <w:left w:val="single" w:sz="4" w:space="0" w:color="auto"/>
              <w:bottom w:val="single" w:sz="4" w:space="0" w:color="auto"/>
              <w:right w:val="single" w:sz="4" w:space="0" w:color="auto"/>
            </w:tcBorders>
          </w:tcPr>
          <w:p w14:paraId="25E980D8" w14:textId="77777777" w:rsidR="00E57DAA" w:rsidRDefault="00AC4185">
            <w:pPr>
              <w:autoSpaceDE w:val="0"/>
              <w:autoSpaceDN w:val="0"/>
              <w:adjustRightInd w:val="0"/>
              <w:jc w:val="right"/>
              <w:rPr>
                <w:szCs w:val="21"/>
              </w:rPr>
            </w:pPr>
            <w:r>
              <w:t>3,998,470.79</w:t>
            </w:r>
          </w:p>
        </w:tc>
        <w:tc>
          <w:tcPr>
            <w:tcW w:w="914" w:type="pct"/>
            <w:tcBorders>
              <w:top w:val="single" w:sz="4" w:space="0" w:color="auto"/>
              <w:left w:val="single" w:sz="4" w:space="0" w:color="auto"/>
              <w:bottom w:val="single" w:sz="4" w:space="0" w:color="auto"/>
              <w:right w:val="single" w:sz="4" w:space="0" w:color="auto"/>
            </w:tcBorders>
          </w:tcPr>
          <w:p w14:paraId="0A00B610" w14:textId="77777777" w:rsidR="00E57DAA" w:rsidRDefault="00AC4185">
            <w:pPr>
              <w:autoSpaceDE w:val="0"/>
              <w:autoSpaceDN w:val="0"/>
              <w:adjustRightInd w:val="0"/>
              <w:jc w:val="right"/>
              <w:rPr>
                <w:szCs w:val="21"/>
              </w:rPr>
            </w:pPr>
            <w:r>
              <w:t>176,933.01</w:t>
            </w:r>
          </w:p>
        </w:tc>
      </w:tr>
      <w:tr w:rsidR="00E57DAA" w14:paraId="1D9575D5" w14:textId="77777777">
        <w:tc>
          <w:tcPr>
            <w:tcW w:w="677" w:type="pct"/>
            <w:tcBorders>
              <w:top w:val="single" w:sz="4" w:space="0" w:color="auto"/>
              <w:left w:val="single" w:sz="4" w:space="0" w:color="auto"/>
              <w:bottom w:val="single" w:sz="4" w:space="0" w:color="auto"/>
              <w:right w:val="single" w:sz="4" w:space="0" w:color="auto"/>
            </w:tcBorders>
            <w:vAlign w:val="center"/>
          </w:tcPr>
          <w:p w14:paraId="5A282D2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25A270F" w14:textId="77777777" w:rsidR="00E57DAA" w:rsidRDefault="00AC4185">
            <w:pPr>
              <w:autoSpaceDE w:val="0"/>
              <w:autoSpaceDN w:val="0"/>
              <w:adjustRightInd w:val="0"/>
              <w:rPr>
                <w:szCs w:val="21"/>
              </w:rPr>
            </w:pPr>
            <w:r>
              <w:t>乌海市西水水泥有限责任公司</w:t>
            </w:r>
          </w:p>
        </w:tc>
        <w:tc>
          <w:tcPr>
            <w:tcW w:w="633" w:type="pct"/>
            <w:tcBorders>
              <w:top w:val="single" w:sz="4" w:space="0" w:color="auto"/>
              <w:left w:val="single" w:sz="4" w:space="0" w:color="auto"/>
              <w:bottom w:val="single" w:sz="4" w:space="0" w:color="auto"/>
              <w:right w:val="single" w:sz="4" w:space="0" w:color="auto"/>
            </w:tcBorders>
          </w:tcPr>
          <w:p w14:paraId="6799531F" w14:textId="77777777" w:rsidR="00E57DAA" w:rsidRDefault="00AC4185">
            <w:pPr>
              <w:autoSpaceDE w:val="0"/>
              <w:autoSpaceDN w:val="0"/>
              <w:adjustRightInd w:val="0"/>
              <w:jc w:val="right"/>
              <w:rPr>
                <w:szCs w:val="21"/>
              </w:rPr>
            </w:pPr>
            <w:r>
              <w:t>399,626.99</w:t>
            </w:r>
          </w:p>
        </w:tc>
        <w:tc>
          <w:tcPr>
            <w:tcW w:w="632" w:type="pct"/>
            <w:tcBorders>
              <w:top w:val="single" w:sz="4" w:space="0" w:color="auto"/>
              <w:left w:val="single" w:sz="4" w:space="0" w:color="auto"/>
              <w:bottom w:val="single" w:sz="4" w:space="0" w:color="auto"/>
              <w:right w:val="single" w:sz="4" w:space="0" w:color="auto"/>
            </w:tcBorders>
          </w:tcPr>
          <w:p w14:paraId="0016C2F4" w14:textId="77777777" w:rsidR="00E57DAA" w:rsidRDefault="00AC4185">
            <w:pPr>
              <w:autoSpaceDE w:val="0"/>
              <w:autoSpaceDN w:val="0"/>
              <w:adjustRightInd w:val="0"/>
              <w:jc w:val="right"/>
              <w:rPr>
                <w:szCs w:val="21"/>
              </w:rPr>
            </w:pPr>
            <w:r>
              <w:t>141,476.18</w:t>
            </w:r>
          </w:p>
        </w:tc>
        <w:tc>
          <w:tcPr>
            <w:tcW w:w="703" w:type="pct"/>
            <w:tcBorders>
              <w:top w:val="single" w:sz="4" w:space="0" w:color="auto"/>
              <w:left w:val="single" w:sz="4" w:space="0" w:color="auto"/>
              <w:bottom w:val="single" w:sz="4" w:space="0" w:color="auto"/>
              <w:right w:val="single" w:sz="4" w:space="0" w:color="auto"/>
            </w:tcBorders>
          </w:tcPr>
          <w:p w14:paraId="0441B355" w14:textId="77777777" w:rsidR="00E57DAA" w:rsidRDefault="00AC4185">
            <w:pPr>
              <w:autoSpaceDE w:val="0"/>
              <w:autoSpaceDN w:val="0"/>
              <w:adjustRightInd w:val="0"/>
              <w:jc w:val="right"/>
              <w:rPr>
                <w:szCs w:val="21"/>
              </w:rPr>
            </w:pPr>
            <w:r>
              <w:t>2,542,514.12</w:t>
            </w:r>
          </w:p>
        </w:tc>
        <w:tc>
          <w:tcPr>
            <w:tcW w:w="914" w:type="pct"/>
            <w:tcBorders>
              <w:top w:val="single" w:sz="4" w:space="0" w:color="auto"/>
              <w:left w:val="single" w:sz="4" w:space="0" w:color="auto"/>
              <w:bottom w:val="single" w:sz="4" w:space="0" w:color="auto"/>
              <w:right w:val="single" w:sz="4" w:space="0" w:color="auto"/>
            </w:tcBorders>
          </w:tcPr>
          <w:p w14:paraId="67896931" w14:textId="77777777" w:rsidR="00E57DAA" w:rsidRDefault="00AC4185">
            <w:pPr>
              <w:autoSpaceDE w:val="0"/>
              <w:autoSpaceDN w:val="0"/>
              <w:adjustRightInd w:val="0"/>
              <w:jc w:val="right"/>
              <w:rPr>
                <w:szCs w:val="21"/>
              </w:rPr>
            </w:pPr>
            <w:r>
              <w:t>245,695.00</w:t>
            </w:r>
          </w:p>
        </w:tc>
      </w:tr>
      <w:tr w:rsidR="00E57DAA" w14:paraId="43B0F044" w14:textId="77777777">
        <w:tc>
          <w:tcPr>
            <w:tcW w:w="677" w:type="pct"/>
            <w:tcBorders>
              <w:top w:val="single" w:sz="4" w:space="0" w:color="auto"/>
              <w:left w:val="single" w:sz="4" w:space="0" w:color="auto"/>
              <w:bottom w:val="single" w:sz="4" w:space="0" w:color="auto"/>
              <w:right w:val="single" w:sz="4" w:space="0" w:color="auto"/>
            </w:tcBorders>
            <w:vAlign w:val="center"/>
          </w:tcPr>
          <w:p w14:paraId="09D6256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7659CA8" w14:textId="77777777" w:rsidR="00E57DAA" w:rsidRDefault="00AC4185">
            <w:pPr>
              <w:autoSpaceDE w:val="0"/>
              <w:autoSpaceDN w:val="0"/>
              <w:adjustRightInd w:val="0"/>
              <w:rPr>
                <w:szCs w:val="21"/>
              </w:rPr>
            </w:pPr>
            <w:r>
              <w:t>湖州南方物流有限公司</w:t>
            </w:r>
          </w:p>
        </w:tc>
        <w:tc>
          <w:tcPr>
            <w:tcW w:w="633" w:type="pct"/>
            <w:tcBorders>
              <w:top w:val="single" w:sz="4" w:space="0" w:color="auto"/>
              <w:left w:val="single" w:sz="4" w:space="0" w:color="auto"/>
              <w:bottom w:val="single" w:sz="4" w:space="0" w:color="auto"/>
              <w:right w:val="single" w:sz="4" w:space="0" w:color="auto"/>
            </w:tcBorders>
          </w:tcPr>
          <w:p w14:paraId="1037DABC" w14:textId="77777777" w:rsidR="00E57DAA" w:rsidRDefault="00AC4185">
            <w:pPr>
              <w:autoSpaceDE w:val="0"/>
              <w:autoSpaceDN w:val="0"/>
              <w:adjustRightInd w:val="0"/>
              <w:jc w:val="right"/>
              <w:rPr>
                <w:szCs w:val="21"/>
              </w:rPr>
            </w:pPr>
            <w:r>
              <w:t>392,000.00</w:t>
            </w:r>
          </w:p>
        </w:tc>
        <w:tc>
          <w:tcPr>
            <w:tcW w:w="632" w:type="pct"/>
            <w:tcBorders>
              <w:top w:val="single" w:sz="4" w:space="0" w:color="auto"/>
              <w:left w:val="single" w:sz="4" w:space="0" w:color="auto"/>
              <w:bottom w:val="single" w:sz="4" w:space="0" w:color="auto"/>
              <w:right w:val="single" w:sz="4" w:space="0" w:color="auto"/>
            </w:tcBorders>
          </w:tcPr>
          <w:p w14:paraId="49CF21F5" w14:textId="77777777" w:rsidR="00E57DAA" w:rsidRDefault="00AC4185">
            <w:pPr>
              <w:autoSpaceDE w:val="0"/>
              <w:autoSpaceDN w:val="0"/>
              <w:adjustRightInd w:val="0"/>
              <w:jc w:val="right"/>
              <w:rPr>
                <w:szCs w:val="21"/>
              </w:rPr>
            </w:pPr>
            <w:r>
              <w:t>3,292.80</w:t>
            </w:r>
          </w:p>
        </w:tc>
        <w:tc>
          <w:tcPr>
            <w:tcW w:w="703" w:type="pct"/>
            <w:tcBorders>
              <w:top w:val="single" w:sz="4" w:space="0" w:color="auto"/>
              <w:left w:val="single" w:sz="4" w:space="0" w:color="auto"/>
              <w:bottom w:val="single" w:sz="4" w:space="0" w:color="auto"/>
              <w:right w:val="single" w:sz="4" w:space="0" w:color="auto"/>
            </w:tcBorders>
          </w:tcPr>
          <w:p w14:paraId="2A568EAB" w14:textId="77777777" w:rsidR="00E57DAA" w:rsidRDefault="00AC4185">
            <w:pPr>
              <w:autoSpaceDE w:val="0"/>
              <w:autoSpaceDN w:val="0"/>
              <w:adjustRightInd w:val="0"/>
              <w:jc w:val="right"/>
              <w:rPr>
                <w:szCs w:val="21"/>
              </w:rPr>
            </w:pPr>
            <w:r>
              <w:t>80,000.00</w:t>
            </w:r>
          </w:p>
        </w:tc>
        <w:tc>
          <w:tcPr>
            <w:tcW w:w="914" w:type="pct"/>
            <w:tcBorders>
              <w:top w:val="single" w:sz="4" w:space="0" w:color="auto"/>
              <w:left w:val="single" w:sz="4" w:space="0" w:color="auto"/>
              <w:bottom w:val="single" w:sz="4" w:space="0" w:color="auto"/>
              <w:right w:val="single" w:sz="4" w:space="0" w:color="auto"/>
            </w:tcBorders>
          </w:tcPr>
          <w:p w14:paraId="55AC07B8" w14:textId="77777777" w:rsidR="00E57DAA" w:rsidRDefault="00AC4185">
            <w:pPr>
              <w:autoSpaceDE w:val="0"/>
              <w:autoSpaceDN w:val="0"/>
              <w:adjustRightInd w:val="0"/>
              <w:jc w:val="right"/>
              <w:rPr>
                <w:szCs w:val="21"/>
              </w:rPr>
            </w:pPr>
            <w:r>
              <w:t>16</w:t>
            </w:r>
          </w:p>
        </w:tc>
      </w:tr>
      <w:tr w:rsidR="00E57DAA" w14:paraId="452222E5" w14:textId="77777777">
        <w:tc>
          <w:tcPr>
            <w:tcW w:w="677" w:type="pct"/>
            <w:tcBorders>
              <w:top w:val="single" w:sz="4" w:space="0" w:color="auto"/>
              <w:left w:val="single" w:sz="4" w:space="0" w:color="auto"/>
              <w:bottom w:val="single" w:sz="4" w:space="0" w:color="auto"/>
              <w:right w:val="single" w:sz="4" w:space="0" w:color="auto"/>
            </w:tcBorders>
            <w:vAlign w:val="center"/>
          </w:tcPr>
          <w:p w14:paraId="75FE330C"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33F9451A" w14:textId="77777777" w:rsidR="00E57DAA" w:rsidRDefault="00AC4185">
            <w:pPr>
              <w:autoSpaceDE w:val="0"/>
              <w:autoSpaceDN w:val="0"/>
              <w:adjustRightInd w:val="0"/>
              <w:rPr>
                <w:szCs w:val="21"/>
              </w:rPr>
            </w:pPr>
            <w:r>
              <w:t>南阳中联卧龙水泥有限公司</w:t>
            </w:r>
          </w:p>
        </w:tc>
        <w:tc>
          <w:tcPr>
            <w:tcW w:w="633" w:type="pct"/>
            <w:tcBorders>
              <w:top w:val="single" w:sz="4" w:space="0" w:color="auto"/>
              <w:left w:val="single" w:sz="4" w:space="0" w:color="auto"/>
              <w:bottom w:val="single" w:sz="4" w:space="0" w:color="auto"/>
              <w:right w:val="single" w:sz="4" w:space="0" w:color="auto"/>
            </w:tcBorders>
          </w:tcPr>
          <w:p w14:paraId="7CDCC617" w14:textId="77777777" w:rsidR="00E57DAA" w:rsidRDefault="00AC4185">
            <w:pPr>
              <w:autoSpaceDE w:val="0"/>
              <w:autoSpaceDN w:val="0"/>
              <w:adjustRightInd w:val="0"/>
              <w:jc w:val="right"/>
              <w:rPr>
                <w:szCs w:val="21"/>
              </w:rPr>
            </w:pPr>
            <w:r>
              <w:t>385,995.56</w:t>
            </w:r>
          </w:p>
        </w:tc>
        <w:tc>
          <w:tcPr>
            <w:tcW w:w="632" w:type="pct"/>
            <w:tcBorders>
              <w:top w:val="single" w:sz="4" w:space="0" w:color="auto"/>
              <w:left w:val="single" w:sz="4" w:space="0" w:color="auto"/>
              <w:bottom w:val="single" w:sz="4" w:space="0" w:color="auto"/>
              <w:right w:val="single" w:sz="4" w:space="0" w:color="auto"/>
            </w:tcBorders>
          </w:tcPr>
          <w:p w14:paraId="3CA863C8" w14:textId="77777777" w:rsidR="00E57DAA" w:rsidRDefault="00AC4185">
            <w:pPr>
              <w:autoSpaceDE w:val="0"/>
              <w:autoSpaceDN w:val="0"/>
              <w:adjustRightInd w:val="0"/>
              <w:jc w:val="right"/>
              <w:rPr>
                <w:szCs w:val="21"/>
              </w:rPr>
            </w:pPr>
            <w:r>
              <w:t>19,270.10</w:t>
            </w:r>
          </w:p>
        </w:tc>
        <w:tc>
          <w:tcPr>
            <w:tcW w:w="703" w:type="pct"/>
            <w:tcBorders>
              <w:top w:val="single" w:sz="4" w:space="0" w:color="auto"/>
              <w:left w:val="single" w:sz="4" w:space="0" w:color="auto"/>
              <w:bottom w:val="single" w:sz="4" w:space="0" w:color="auto"/>
              <w:right w:val="single" w:sz="4" w:space="0" w:color="auto"/>
            </w:tcBorders>
          </w:tcPr>
          <w:p w14:paraId="2308BA3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0DC7931" w14:textId="77777777" w:rsidR="00E57DAA" w:rsidRDefault="00AC4185">
            <w:pPr>
              <w:autoSpaceDE w:val="0"/>
              <w:autoSpaceDN w:val="0"/>
              <w:adjustRightInd w:val="0"/>
              <w:jc w:val="right"/>
              <w:rPr>
                <w:szCs w:val="21"/>
              </w:rPr>
            </w:pPr>
            <w:r>
              <w:t xml:space="preserve">　</w:t>
            </w:r>
          </w:p>
        </w:tc>
      </w:tr>
      <w:tr w:rsidR="00E57DAA" w14:paraId="7C9A2EB3" w14:textId="77777777">
        <w:tc>
          <w:tcPr>
            <w:tcW w:w="677" w:type="pct"/>
            <w:tcBorders>
              <w:top w:val="single" w:sz="4" w:space="0" w:color="auto"/>
              <w:left w:val="single" w:sz="4" w:space="0" w:color="auto"/>
              <w:bottom w:val="single" w:sz="4" w:space="0" w:color="auto"/>
              <w:right w:val="single" w:sz="4" w:space="0" w:color="auto"/>
            </w:tcBorders>
            <w:vAlign w:val="center"/>
          </w:tcPr>
          <w:p w14:paraId="49A179B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2C7491B" w14:textId="77777777" w:rsidR="00E57DAA" w:rsidRDefault="00AC4185">
            <w:pPr>
              <w:autoSpaceDE w:val="0"/>
              <w:autoSpaceDN w:val="0"/>
              <w:adjustRightInd w:val="0"/>
              <w:rPr>
                <w:szCs w:val="21"/>
              </w:rPr>
            </w:pPr>
            <w:r>
              <w:t>阿克苏天山多浪水泥有限责任公司</w:t>
            </w:r>
          </w:p>
        </w:tc>
        <w:tc>
          <w:tcPr>
            <w:tcW w:w="633" w:type="pct"/>
            <w:tcBorders>
              <w:top w:val="single" w:sz="4" w:space="0" w:color="auto"/>
              <w:left w:val="single" w:sz="4" w:space="0" w:color="auto"/>
              <w:bottom w:val="single" w:sz="4" w:space="0" w:color="auto"/>
              <w:right w:val="single" w:sz="4" w:space="0" w:color="auto"/>
            </w:tcBorders>
          </w:tcPr>
          <w:p w14:paraId="424C72AA" w14:textId="77777777" w:rsidR="00E57DAA" w:rsidRDefault="00AC4185">
            <w:pPr>
              <w:autoSpaceDE w:val="0"/>
              <w:autoSpaceDN w:val="0"/>
              <w:adjustRightInd w:val="0"/>
              <w:jc w:val="right"/>
              <w:rPr>
                <w:szCs w:val="21"/>
              </w:rPr>
            </w:pPr>
            <w:r>
              <w:t>363,696.71</w:t>
            </w:r>
          </w:p>
        </w:tc>
        <w:tc>
          <w:tcPr>
            <w:tcW w:w="632" w:type="pct"/>
            <w:tcBorders>
              <w:top w:val="single" w:sz="4" w:space="0" w:color="auto"/>
              <w:left w:val="single" w:sz="4" w:space="0" w:color="auto"/>
              <w:bottom w:val="single" w:sz="4" w:space="0" w:color="auto"/>
              <w:right w:val="single" w:sz="4" w:space="0" w:color="auto"/>
            </w:tcBorders>
          </w:tcPr>
          <w:p w14:paraId="09D7C624" w14:textId="77777777" w:rsidR="00E57DAA" w:rsidRDefault="00AC4185">
            <w:pPr>
              <w:autoSpaceDE w:val="0"/>
              <w:autoSpaceDN w:val="0"/>
              <w:adjustRightInd w:val="0"/>
              <w:jc w:val="right"/>
              <w:rPr>
                <w:szCs w:val="21"/>
              </w:rPr>
            </w:pPr>
            <w:r>
              <w:t>8,517.52</w:t>
            </w:r>
          </w:p>
        </w:tc>
        <w:tc>
          <w:tcPr>
            <w:tcW w:w="703" w:type="pct"/>
            <w:tcBorders>
              <w:top w:val="single" w:sz="4" w:space="0" w:color="auto"/>
              <w:left w:val="single" w:sz="4" w:space="0" w:color="auto"/>
              <w:bottom w:val="single" w:sz="4" w:space="0" w:color="auto"/>
              <w:right w:val="single" w:sz="4" w:space="0" w:color="auto"/>
            </w:tcBorders>
          </w:tcPr>
          <w:p w14:paraId="35D91983" w14:textId="77777777" w:rsidR="00E57DAA" w:rsidRDefault="00AC4185">
            <w:pPr>
              <w:autoSpaceDE w:val="0"/>
              <w:autoSpaceDN w:val="0"/>
              <w:adjustRightInd w:val="0"/>
              <w:jc w:val="right"/>
              <w:rPr>
                <w:szCs w:val="21"/>
              </w:rPr>
            </w:pPr>
            <w:r>
              <w:t>6,739,932.69</w:t>
            </w:r>
          </w:p>
        </w:tc>
        <w:tc>
          <w:tcPr>
            <w:tcW w:w="914" w:type="pct"/>
            <w:tcBorders>
              <w:top w:val="single" w:sz="4" w:space="0" w:color="auto"/>
              <w:left w:val="single" w:sz="4" w:space="0" w:color="auto"/>
              <w:bottom w:val="single" w:sz="4" w:space="0" w:color="auto"/>
              <w:right w:val="single" w:sz="4" w:space="0" w:color="auto"/>
            </w:tcBorders>
          </w:tcPr>
          <w:p w14:paraId="64B48689" w14:textId="77777777" w:rsidR="00E57DAA" w:rsidRDefault="00AC4185">
            <w:pPr>
              <w:autoSpaceDE w:val="0"/>
              <w:autoSpaceDN w:val="0"/>
              <w:adjustRightInd w:val="0"/>
              <w:jc w:val="right"/>
              <w:rPr>
                <w:szCs w:val="21"/>
              </w:rPr>
            </w:pPr>
            <w:r>
              <w:t>159,736.40</w:t>
            </w:r>
          </w:p>
        </w:tc>
      </w:tr>
      <w:tr w:rsidR="00E57DAA" w14:paraId="5E342F45" w14:textId="77777777">
        <w:tc>
          <w:tcPr>
            <w:tcW w:w="677" w:type="pct"/>
            <w:tcBorders>
              <w:top w:val="single" w:sz="4" w:space="0" w:color="auto"/>
              <w:left w:val="single" w:sz="4" w:space="0" w:color="auto"/>
              <w:bottom w:val="single" w:sz="4" w:space="0" w:color="auto"/>
              <w:right w:val="single" w:sz="4" w:space="0" w:color="auto"/>
            </w:tcBorders>
            <w:vAlign w:val="center"/>
          </w:tcPr>
          <w:p w14:paraId="41FE8FA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DDAA30F" w14:textId="77777777" w:rsidR="00E57DAA" w:rsidRDefault="00AC4185">
            <w:pPr>
              <w:autoSpaceDE w:val="0"/>
              <w:autoSpaceDN w:val="0"/>
              <w:adjustRightInd w:val="0"/>
              <w:rPr>
                <w:szCs w:val="21"/>
              </w:rPr>
            </w:pPr>
            <w:r>
              <w:t>重庆铜梁西南水泥有限公司</w:t>
            </w:r>
          </w:p>
        </w:tc>
        <w:tc>
          <w:tcPr>
            <w:tcW w:w="633" w:type="pct"/>
            <w:tcBorders>
              <w:top w:val="single" w:sz="4" w:space="0" w:color="auto"/>
              <w:left w:val="single" w:sz="4" w:space="0" w:color="auto"/>
              <w:bottom w:val="single" w:sz="4" w:space="0" w:color="auto"/>
              <w:right w:val="single" w:sz="4" w:space="0" w:color="auto"/>
            </w:tcBorders>
          </w:tcPr>
          <w:p w14:paraId="27AE4DAB" w14:textId="77777777" w:rsidR="00E57DAA" w:rsidRDefault="00AC4185">
            <w:pPr>
              <w:autoSpaceDE w:val="0"/>
              <w:autoSpaceDN w:val="0"/>
              <w:adjustRightInd w:val="0"/>
              <w:jc w:val="right"/>
              <w:rPr>
                <w:szCs w:val="21"/>
              </w:rPr>
            </w:pPr>
            <w:r>
              <w:t>352,587.15</w:t>
            </w:r>
          </w:p>
        </w:tc>
        <w:tc>
          <w:tcPr>
            <w:tcW w:w="632" w:type="pct"/>
            <w:tcBorders>
              <w:top w:val="single" w:sz="4" w:space="0" w:color="auto"/>
              <w:left w:val="single" w:sz="4" w:space="0" w:color="auto"/>
              <w:bottom w:val="single" w:sz="4" w:space="0" w:color="auto"/>
              <w:right w:val="single" w:sz="4" w:space="0" w:color="auto"/>
            </w:tcBorders>
          </w:tcPr>
          <w:p w14:paraId="64E65D14" w14:textId="77777777" w:rsidR="00E57DAA" w:rsidRDefault="00AC4185">
            <w:pPr>
              <w:autoSpaceDE w:val="0"/>
              <w:autoSpaceDN w:val="0"/>
              <w:adjustRightInd w:val="0"/>
              <w:jc w:val="right"/>
              <w:rPr>
                <w:szCs w:val="21"/>
              </w:rPr>
            </w:pPr>
            <w:r>
              <w:t>1,410.35</w:t>
            </w:r>
          </w:p>
        </w:tc>
        <w:tc>
          <w:tcPr>
            <w:tcW w:w="703" w:type="pct"/>
            <w:tcBorders>
              <w:top w:val="single" w:sz="4" w:space="0" w:color="auto"/>
              <w:left w:val="single" w:sz="4" w:space="0" w:color="auto"/>
              <w:bottom w:val="single" w:sz="4" w:space="0" w:color="auto"/>
              <w:right w:val="single" w:sz="4" w:space="0" w:color="auto"/>
            </w:tcBorders>
          </w:tcPr>
          <w:p w14:paraId="748DBECD" w14:textId="77777777" w:rsidR="00E57DAA" w:rsidRDefault="00AC4185">
            <w:pPr>
              <w:autoSpaceDE w:val="0"/>
              <w:autoSpaceDN w:val="0"/>
              <w:adjustRightInd w:val="0"/>
              <w:jc w:val="right"/>
              <w:rPr>
                <w:szCs w:val="21"/>
              </w:rPr>
            </w:pPr>
            <w:r>
              <w:t>1,182,529.15</w:t>
            </w:r>
          </w:p>
        </w:tc>
        <w:tc>
          <w:tcPr>
            <w:tcW w:w="914" w:type="pct"/>
            <w:tcBorders>
              <w:top w:val="single" w:sz="4" w:space="0" w:color="auto"/>
              <w:left w:val="single" w:sz="4" w:space="0" w:color="auto"/>
              <w:bottom w:val="single" w:sz="4" w:space="0" w:color="auto"/>
              <w:right w:val="single" w:sz="4" w:space="0" w:color="auto"/>
            </w:tcBorders>
          </w:tcPr>
          <w:p w14:paraId="7CDDA5F2" w14:textId="77777777" w:rsidR="00E57DAA" w:rsidRDefault="00AC4185">
            <w:pPr>
              <w:autoSpaceDE w:val="0"/>
              <w:autoSpaceDN w:val="0"/>
              <w:adjustRightInd w:val="0"/>
              <w:jc w:val="right"/>
              <w:rPr>
                <w:szCs w:val="21"/>
              </w:rPr>
            </w:pPr>
            <w:r>
              <w:t>12,455.45</w:t>
            </w:r>
          </w:p>
        </w:tc>
      </w:tr>
      <w:tr w:rsidR="00E57DAA" w14:paraId="2D372B39" w14:textId="77777777">
        <w:tc>
          <w:tcPr>
            <w:tcW w:w="677" w:type="pct"/>
            <w:tcBorders>
              <w:top w:val="single" w:sz="4" w:space="0" w:color="auto"/>
              <w:left w:val="single" w:sz="4" w:space="0" w:color="auto"/>
              <w:bottom w:val="single" w:sz="4" w:space="0" w:color="auto"/>
              <w:right w:val="single" w:sz="4" w:space="0" w:color="auto"/>
            </w:tcBorders>
            <w:vAlign w:val="center"/>
          </w:tcPr>
          <w:p w14:paraId="13065BB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5FA03D3" w14:textId="77777777" w:rsidR="00E57DAA" w:rsidRDefault="00AC4185">
            <w:pPr>
              <w:autoSpaceDE w:val="0"/>
              <w:autoSpaceDN w:val="0"/>
              <w:adjustRightInd w:val="0"/>
              <w:rPr>
                <w:szCs w:val="21"/>
              </w:rPr>
            </w:pPr>
            <w:r>
              <w:t>杭州胥口南方水泥有限公司</w:t>
            </w:r>
          </w:p>
        </w:tc>
        <w:tc>
          <w:tcPr>
            <w:tcW w:w="633" w:type="pct"/>
            <w:tcBorders>
              <w:top w:val="single" w:sz="4" w:space="0" w:color="auto"/>
              <w:left w:val="single" w:sz="4" w:space="0" w:color="auto"/>
              <w:bottom w:val="single" w:sz="4" w:space="0" w:color="auto"/>
              <w:right w:val="single" w:sz="4" w:space="0" w:color="auto"/>
            </w:tcBorders>
          </w:tcPr>
          <w:p w14:paraId="1371AF44" w14:textId="77777777" w:rsidR="00E57DAA" w:rsidRDefault="00AC4185">
            <w:pPr>
              <w:autoSpaceDE w:val="0"/>
              <w:autoSpaceDN w:val="0"/>
              <w:adjustRightInd w:val="0"/>
              <w:jc w:val="right"/>
              <w:rPr>
                <w:szCs w:val="21"/>
              </w:rPr>
            </w:pPr>
            <w:r>
              <w:t>322,600.00</w:t>
            </w:r>
          </w:p>
        </w:tc>
        <w:tc>
          <w:tcPr>
            <w:tcW w:w="632" w:type="pct"/>
            <w:tcBorders>
              <w:top w:val="single" w:sz="4" w:space="0" w:color="auto"/>
              <w:left w:val="single" w:sz="4" w:space="0" w:color="auto"/>
              <w:bottom w:val="single" w:sz="4" w:space="0" w:color="auto"/>
              <w:right w:val="single" w:sz="4" w:space="0" w:color="auto"/>
            </w:tcBorders>
          </w:tcPr>
          <w:p w14:paraId="0B5D6FB1" w14:textId="77777777" w:rsidR="00E57DAA" w:rsidRDefault="00AC4185">
            <w:pPr>
              <w:autoSpaceDE w:val="0"/>
              <w:autoSpaceDN w:val="0"/>
              <w:adjustRightInd w:val="0"/>
              <w:jc w:val="right"/>
              <w:rPr>
                <w:szCs w:val="21"/>
              </w:rPr>
            </w:pPr>
            <w:r>
              <w:t>322,600.00</w:t>
            </w:r>
          </w:p>
        </w:tc>
        <w:tc>
          <w:tcPr>
            <w:tcW w:w="703" w:type="pct"/>
            <w:tcBorders>
              <w:top w:val="single" w:sz="4" w:space="0" w:color="auto"/>
              <w:left w:val="single" w:sz="4" w:space="0" w:color="auto"/>
              <w:bottom w:val="single" w:sz="4" w:space="0" w:color="auto"/>
              <w:right w:val="single" w:sz="4" w:space="0" w:color="auto"/>
            </w:tcBorders>
          </w:tcPr>
          <w:p w14:paraId="1A927E51" w14:textId="77777777" w:rsidR="00E57DAA" w:rsidRDefault="00AC4185">
            <w:pPr>
              <w:autoSpaceDE w:val="0"/>
              <w:autoSpaceDN w:val="0"/>
              <w:adjustRightInd w:val="0"/>
              <w:jc w:val="right"/>
              <w:rPr>
                <w:szCs w:val="21"/>
              </w:rPr>
            </w:pPr>
            <w:r>
              <w:t>322,600.00</w:t>
            </w:r>
          </w:p>
        </w:tc>
        <w:tc>
          <w:tcPr>
            <w:tcW w:w="914" w:type="pct"/>
            <w:tcBorders>
              <w:top w:val="single" w:sz="4" w:space="0" w:color="auto"/>
              <w:left w:val="single" w:sz="4" w:space="0" w:color="auto"/>
              <w:bottom w:val="single" w:sz="4" w:space="0" w:color="auto"/>
              <w:right w:val="single" w:sz="4" w:space="0" w:color="auto"/>
            </w:tcBorders>
          </w:tcPr>
          <w:p w14:paraId="0104B8EE" w14:textId="77777777" w:rsidR="00E57DAA" w:rsidRDefault="00AC4185">
            <w:pPr>
              <w:autoSpaceDE w:val="0"/>
              <w:autoSpaceDN w:val="0"/>
              <w:adjustRightInd w:val="0"/>
              <w:jc w:val="right"/>
              <w:rPr>
                <w:szCs w:val="21"/>
              </w:rPr>
            </w:pPr>
            <w:r>
              <w:t>314,500.00</w:t>
            </w:r>
          </w:p>
        </w:tc>
      </w:tr>
      <w:tr w:rsidR="00E57DAA" w14:paraId="795BC49E" w14:textId="77777777">
        <w:tc>
          <w:tcPr>
            <w:tcW w:w="677" w:type="pct"/>
            <w:tcBorders>
              <w:top w:val="single" w:sz="4" w:space="0" w:color="auto"/>
              <w:left w:val="single" w:sz="4" w:space="0" w:color="auto"/>
              <w:bottom w:val="single" w:sz="4" w:space="0" w:color="auto"/>
              <w:right w:val="single" w:sz="4" w:space="0" w:color="auto"/>
            </w:tcBorders>
            <w:vAlign w:val="center"/>
          </w:tcPr>
          <w:p w14:paraId="3881FC5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DBAFB72" w14:textId="77777777" w:rsidR="00E57DAA" w:rsidRDefault="00AC4185">
            <w:pPr>
              <w:autoSpaceDE w:val="0"/>
              <w:autoSpaceDN w:val="0"/>
              <w:adjustRightInd w:val="0"/>
              <w:rPr>
                <w:szCs w:val="21"/>
              </w:rPr>
            </w:pPr>
            <w:r>
              <w:t>佳木斯北方水泥有限公司</w:t>
            </w:r>
          </w:p>
        </w:tc>
        <w:tc>
          <w:tcPr>
            <w:tcW w:w="633" w:type="pct"/>
            <w:tcBorders>
              <w:top w:val="single" w:sz="4" w:space="0" w:color="auto"/>
              <w:left w:val="single" w:sz="4" w:space="0" w:color="auto"/>
              <w:bottom w:val="single" w:sz="4" w:space="0" w:color="auto"/>
              <w:right w:val="single" w:sz="4" w:space="0" w:color="auto"/>
            </w:tcBorders>
          </w:tcPr>
          <w:p w14:paraId="394D3867" w14:textId="77777777" w:rsidR="00E57DAA" w:rsidRDefault="00AC4185">
            <w:pPr>
              <w:autoSpaceDE w:val="0"/>
              <w:autoSpaceDN w:val="0"/>
              <w:adjustRightInd w:val="0"/>
              <w:jc w:val="right"/>
              <w:rPr>
                <w:szCs w:val="21"/>
              </w:rPr>
            </w:pPr>
            <w:r>
              <w:t>317,493.59</w:t>
            </w:r>
          </w:p>
        </w:tc>
        <w:tc>
          <w:tcPr>
            <w:tcW w:w="632" w:type="pct"/>
            <w:tcBorders>
              <w:top w:val="single" w:sz="4" w:space="0" w:color="auto"/>
              <w:left w:val="single" w:sz="4" w:space="0" w:color="auto"/>
              <w:bottom w:val="single" w:sz="4" w:space="0" w:color="auto"/>
              <w:right w:val="single" w:sz="4" w:space="0" w:color="auto"/>
            </w:tcBorders>
          </w:tcPr>
          <w:p w14:paraId="6279A826" w14:textId="77777777" w:rsidR="00E57DAA" w:rsidRDefault="00AC4185">
            <w:pPr>
              <w:autoSpaceDE w:val="0"/>
              <w:autoSpaceDN w:val="0"/>
              <w:adjustRightInd w:val="0"/>
              <w:jc w:val="right"/>
              <w:rPr>
                <w:szCs w:val="21"/>
              </w:rPr>
            </w:pPr>
            <w:r>
              <w:t>303,492.79</w:t>
            </w:r>
          </w:p>
        </w:tc>
        <w:tc>
          <w:tcPr>
            <w:tcW w:w="703" w:type="pct"/>
            <w:tcBorders>
              <w:top w:val="single" w:sz="4" w:space="0" w:color="auto"/>
              <w:left w:val="single" w:sz="4" w:space="0" w:color="auto"/>
              <w:bottom w:val="single" w:sz="4" w:space="0" w:color="auto"/>
              <w:right w:val="single" w:sz="4" w:space="0" w:color="auto"/>
            </w:tcBorders>
          </w:tcPr>
          <w:p w14:paraId="7034A6BF" w14:textId="77777777" w:rsidR="00E57DAA" w:rsidRDefault="00AC4185">
            <w:pPr>
              <w:autoSpaceDE w:val="0"/>
              <w:autoSpaceDN w:val="0"/>
              <w:adjustRightInd w:val="0"/>
              <w:jc w:val="right"/>
              <w:rPr>
                <w:szCs w:val="21"/>
              </w:rPr>
            </w:pPr>
            <w:r>
              <w:t>240,000.00</w:t>
            </w:r>
          </w:p>
        </w:tc>
        <w:tc>
          <w:tcPr>
            <w:tcW w:w="914" w:type="pct"/>
            <w:tcBorders>
              <w:top w:val="single" w:sz="4" w:space="0" w:color="auto"/>
              <w:left w:val="single" w:sz="4" w:space="0" w:color="auto"/>
              <w:bottom w:val="single" w:sz="4" w:space="0" w:color="auto"/>
              <w:right w:val="single" w:sz="4" w:space="0" w:color="auto"/>
            </w:tcBorders>
          </w:tcPr>
          <w:p w14:paraId="2EEDF1A3" w14:textId="77777777" w:rsidR="00E57DAA" w:rsidRDefault="00AC4185">
            <w:pPr>
              <w:autoSpaceDE w:val="0"/>
              <w:autoSpaceDN w:val="0"/>
              <w:adjustRightInd w:val="0"/>
              <w:jc w:val="right"/>
              <w:rPr>
                <w:szCs w:val="21"/>
              </w:rPr>
            </w:pPr>
            <w:r>
              <w:t>240,000.00</w:t>
            </w:r>
          </w:p>
        </w:tc>
      </w:tr>
      <w:tr w:rsidR="00E57DAA" w14:paraId="034BBE66" w14:textId="77777777">
        <w:tc>
          <w:tcPr>
            <w:tcW w:w="677" w:type="pct"/>
            <w:tcBorders>
              <w:top w:val="single" w:sz="4" w:space="0" w:color="auto"/>
              <w:left w:val="single" w:sz="4" w:space="0" w:color="auto"/>
              <w:bottom w:val="single" w:sz="4" w:space="0" w:color="auto"/>
              <w:right w:val="single" w:sz="4" w:space="0" w:color="auto"/>
            </w:tcBorders>
            <w:vAlign w:val="center"/>
          </w:tcPr>
          <w:p w14:paraId="5092C96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A452C64" w14:textId="77777777" w:rsidR="00E57DAA" w:rsidRDefault="00AC4185">
            <w:pPr>
              <w:autoSpaceDE w:val="0"/>
              <w:autoSpaceDN w:val="0"/>
              <w:adjustRightInd w:val="0"/>
              <w:rPr>
                <w:szCs w:val="21"/>
              </w:rPr>
            </w:pPr>
            <w:r>
              <w:t>德清南方水泥有限公司</w:t>
            </w:r>
          </w:p>
        </w:tc>
        <w:tc>
          <w:tcPr>
            <w:tcW w:w="633" w:type="pct"/>
            <w:tcBorders>
              <w:top w:val="single" w:sz="4" w:space="0" w:color="auto"/>
              <w:left w:val="single" w:sz="4" w:space="0" w:color="auto"/>
              <w:bottom w:val="single" w:sz="4" w:space="0" w:color="auto"/>
              <w:right w:val="single" w:sz="4" w:space="0" w:color="auto"/>
            </w:tcBorders>
          </w:tcPr>
          <w:p w14:paraId="3AC4C61B" w14:textId="77777777" w:rsidR="00E57DAA" w:rsidRDefault="00AC4185">
            <w:pPr>
              <w:autoSpaceDE w:val="0"/>
              <w:autoSpaceDN w:val="0"/>
              <w:adjustRightInd w:val="0"/>
              <w:jc w:val="right"/>
              <w:rPr>
                <w:szCs w:val="21"/>
              </w:rPr>
            </w:pPr>
            <w:r>
              <w:t>315,715.00</w:t>
            </w:r>
          </w:p>
        </w:tc>
        <w:tc>
          <w:tcPr>
            <w:tcW w:w="632" w:type="pct"/>
            <w:tcBorders>
              <w:top w:val="single" w:sz="4" w:space="0" w:color="auto"/>
              <w:left w:val="single" w:sz="4" w:space="0" w:color="auto"/>
              <w:bottom w:val="single" w:sz="4" w:space="0" w:color="auto"/>
              <w:right w:val="single" w:sz="4" w:space="0" w:color="auto"/>
            </w:tcBorders>
          </w:tcPr>
          <w:p w14:paraId="29F0C21E" w14:textId="77777777" w:rsidR="00E57DAA" w:rsidRDefault="00AC4185">
            <w:pPr>
              <w:autoSpaceDE w:val="0"/>
              <w:autoSpaceDN w:val="0"/>
              <w:adjustRightInd w:val="0"/>
              <w:jc w:val="right"/>
              <w:rPr>
                <w:szCs w:val="21"/>
              </w:rPr>
            </w:pPr>
            <w:r>
              <w:t>7,482.45</w:t>
            </w:r>
          </w:p>
        </w:tc>
        <w:tc>
          <w:tcPr>
            <w:tcW w:w="703" w:type="pct"/>
            <w:tcBorders>
              <w:top w:val="single" w:sz="4" w:space="0" w:color="auto"/>
              <w:left w:val="single" w:sz="4" w:space="0" w:color="auto"/>
              <w:bottom w:val="single" w:sz="4" w:space="0" w:color="auto"/>
              <w:right w:val="single" w:sz="4" w:space="0" w:color="auto"/>
            </w:tcBorders>
          </w:tcPr>
          <w:p w14:paraId="1453B73E" w14:textId="77777777" w:rsidR="00E57DAA" w:rsidRDefault="00AC4185">
            <w:pPr>
              <w:autoSpaceDE w:val="0"/>
              <w:autoSpaceDN w:val="0"/>
              <w:adjustRightInd w:val="0"/>
              <w:jc w:val="right"/>
              <w:rPr>
                <w:szCs w:val="21"/>
              </w:rPr>
            </w:pPr>
            <w:r>
              <w:t>1,009,348.25</w:t>
            </w:r>
          </w:p>
        </w:tc>
        <w:tc>
          <w:tcPr>
            <w:tcW w:w="914" w:type="pct"/>
            <w:tcBorders>
              <w:top w:val="single" w:sz="4" w:space="0" w:color="auto"/>
              <w:left w:val="single" w:sz="4" w:space="0" w:color="auto"/>
              <w:bottom w:val="single" w:sz="4" w:space="0" w:color="auto"/>
              <w:right w:val="single" w:sz="4" w:space="0" w:color="auto"/>
            </w:tcBorders>
          </w:tcPr>
          <w:p w14:paraId="6AA97DCB" w14:textId="77777777" w:rsidR="00E57DAA" w:rsidRDefault="00AC4185">
            <w:pPr>
              <w:autoSpaceDE w:val="0"/>
              <w:autoSpaceDN w:val="0"/>
              <w:adjustRightInd w:val="0"/>
              <w:jc w:val="right"/>
              <w:rPr>
                <w:szCs w:val="21"/>
              </w:rPr>
            </w:pPr>
            <w:r>
              <w:t>58,120.02</w:t>
            </w:r>
          </w:p>
        </w:tc>
      </w:tr>
      <w:tr w:rsidR="00E57DAA" w14:paraId="49C2DDC5" w14:textId="77777777">
        <w:tc>
          <w:tcPr>
            <w:tcW w:w="677" w:type="pct"/>
            <w:tcBorders>
              <w:top w:val="single" w:sz="4" w:space="0" w:color="auto"/>
              <w:left w:val="single" w:sz="4" w:space="0" w:color="auto"/>
              <w:bottom w:val="single" w:sz="4" w:space="0" w:color="auto"/>
              <w:right w:val="single" w:sz="4" w:space="0" w:color="auto"/>
            </w:tcBorders>
            <w:vAlign w:val="center"/>
          </w:tcPr>
          <w:p w14:paraId="0BD406E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018A594" w14:textId="77777777" w:rsidR="00E57DAA" w:rsidRDefault="00AC4185">
            <w:pPr>
              <w:autoSpaceDE w:val="0"/>
              <w:autoSpaceDN w:val="0"/>
              <w:adjustRightInd w:val="0"/>
              <w:rPr>
                <w:szCs w:val="21"/>
              </w:rPr>
            </w:pPr>
            <w:r>
              <w:t>洛浦天山水泥有限责任公司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C95064F" w14:textId="77777777" w:rsidR="00E57DAA" w:rsidRDefault="00AC4185">
            <w:pPr>
              <w:autoSpaceDE w:val="0"/>
              <w:autoSpaceDN w:val="0"/>
              <w:adjustRightInd w:val="0"/>
              <w:jc w:val="right"/>
              <w:rPr>
                <w:szCs w:val="21"/>
              </w:rPr>
            </w:pPr>
            <w:r>
              <w:t>290,600.42</w:t>
            </w:r>
          </w:p>
        </w:tc>
        <w:tc>
          <w:tcPr>
            <w:tcW w:w="632" w:type="pct"/>
            <w:tcBorders>
              <w:top w:val="single" w:sz="4" w:space="0" w:color="auto"/>
              <w:left w:val="single" w:sz="4" w:space="0" w:color="auto"/>
              <w:bottom w:val="single" w:sz="4" w:space="0" w:color="auto"/>
              <w:right w:val="single" w:sz="4" w:space="0" w:color="auto"/>
            </w:tcBorders>
          </w:tcPr>
          <w:p w14:paraId="6C1FD04D" w14:textId="77777777" w:rsidR="00E57DAA" w:rsidRDefault="00AC4185">
            <w:pPr>
              <w:autoSpaceDE w:val="0"/>
              <w:autoSpaceDN w:val="0"/>
              <w:adjustRightInd w:val="0"/>
              <w:jc w:val="right"/>
              <w:rPr>
                <w:szCs w:val="21"/>
              </w:rPr>
            </w:pPr>
            <w:r>
              <w:t>11,908.53</w:t>
            </w:r>
          </w:p>
        </w:tc>
        <w:tc>
          <w:tcPr>
            <w:tcW w:w="703" w:type="pct"/>
            <w:tcBorders>
              <w:top w:val="single" w:sz="4" w:space="0" w:color="auto"/>
              <w:left w:val="single" w:sz="4" w:space="0" w:color="auto"/>
              <w:bottom w:val="single" w:sz="4" w:space="0" w:color="auto"/>
              <w:right w:val="single" w:sz="4" w:space="0" w:color="auto"/>
            </w:tcBorders>
          </w:tcPr>
          <w:p w14:paraId="1B86FE61" w14:textId="77777777" w:rsidR="00E57DAA" w:rsidRDefault="00AC4185">
            <w:pPr>
              <w:autoSpaceDE w:val="0"/>
              <w:autoSpaceDN w:val="0"/>
              <w:adjustRightInd w:val="0"/>
              <w:jc w:val="right"/>
              <w:rPr>
                <w:szCs w:val="21"/>
              </w:rPr>
            </w:pPr>
            <w:r>
              <w:t>6,014.40</w:t>
            </w:r>
          </w:p>
        </w:tc>
        <w:tc>
          <w:tcPr>
            <w:tcW w:w="914" w:type="pct"/>
            <w:tcBorders>
              <w:top w:val="single" w:sz="4" w:space="0" w:color="auto"/>
              <w:left w:val="single" w:sz="4" w:space="0" w:color="auto"/>
              <w:bottom w:val="single" w:sz="4" w:space="0" w:color="auto"/>
              <w:right w:val="single" w:sz="4" w:space="0" w:color="auto"/>
            </w:tcBorders>
          </w:tcPr>
          <w:p w14:paraId="24D99200" w14:textId="77777777" w:rsidR="00E57DAA" w:rsidRDefault="00AC4185">
            <w:pPr>
              <w:autoSpaceDE w:val="0"/>
              <w:autoSpaceDN w:val="0"/>
              <w:adjustRightInd w:val="0"/>
              <w:jc w:val="right"/>
              <w:rPr>
                <w:szCs w:val="21"/>
              </w:rPr>
            </w:pPr>
            <w:r>
              <w:t>142.54</w:t>
            </w:r>
          </w:p>
        </w:tc>
      </w:tr>
      <w:tr w:rsidR="00E57DAA" w14:paraId="2912D07A" w14:textId="77777777">
        <w:tc>
          <w:tcPr>
            <w:tcW w:w="677" w:type="pct"/>
            <w:tcBorders>
              <w:top w:val="single" w:sz="4" w:space="0" w:color="auto"/>
              <w:left w:val="single" w:sz="4" w:space="0" w:color="auto"/>
              <w:bottom w:val="single" w:sz="4" w:space="0" w:color="auto"/>
              <w:right w:val="single" w:sz="4" w:space="0" w:color="auto"/>
            </w:tcBorders>
            <w:vAlign w:val="center"/>
          </w:tcPr>
          <w:p w14:paraId="53C2AB4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E30AA89" w14:textId="77777777" w:rsidR="00E57DAA" w:rsidRDefault="00AC4185">
            <w:pPr>
              <w:autoSpaceDE w:val="0"/>
              <w:autoSpaceDN w:val="0"/>
              <w:adjustRightInd w:val="0"/>
              <w:rPr>
                <w:szCs w:val="21"/>
              </w:rPr>
            </w:pPr>
            <w:r>
              <w:t>嘉兴南湖南方水泥有限公司</w:t>
            </w:r>
          </w:p>
        </w:tc>
        <w:tc>
          <w:tcPr>
            <w:tcW w:w="633" w:type="pct"/>
            <w:tcBorders>
              <w:top w:val="single" w:sz="4" w:space="0" w:color="auto"/>
              <w:left w:val="single" w:sz="4" w:space="0" w:color="auto"/>
              <w:bottom w:val="single" w:sz="4" w:space="0" w:color="auto"/>
              <w:right w:val="single" w:sz="4" w:space="0" w:color="auto"/>
            </w:tcBorders>
          </w:tcPr>
          <w:p w14:paraId="5C0B4660" w14:textId="77777777" w:rsidR="00E57DAA" w:rsidRDefault="00AC4185">
            <w:pPr>
              <w:autoSpaceDE w:val="0"/>
              <w:autoSpaceDN w:val="0"/>
              <w:adjustRightInd w:val="0"/>
              <w:jc w:val="right"/>
              <w:rPr>
                <w:szCs w:val="21"/>
              </w:rPr>
            </w:pPr>
            <w:r>
              <w:t>280,000.00</w:t>
            </w:r>
          </w:p>
        </w:tc>
        <w:tc>
          <w:tcPr>
            <w:tcW w:w="632" w:type="pct"/>
            <w:tcBorders>
              <w:top w:val="single" w:sz="4" w:space="0" w:color="auto"/>
              <w:left w:val="single" w:sz="4" w:space="0" w:color="auto"/>
              <w:bottom w:val="single" w:sz="4" w:space="0" w:color="auto"/>
              <w:right w:val="single" w:sz="4" w:space="0" w:color="auto"/>
            </w:tcBorders>
          </w:tcPr>
          <w:p w14:paraId="3797AD6A" w14:textId="77777777" w:rsidR="00E57DAA" w:rsidRDefault="00AC4185">
            <w:pPr>
              <w:autoSpaceDE w:val="0"/>
              <w:autoSpaceDN w:val="0"/>
              <w:adjustRightInd w:val="0"/>
              <w:jc w:val="right"/>
              <w:rPr>
                <w:szCs w:val="21"/>
              </w:rPr>
            </w:pPr>
            <w:r>
              <w:t>280,000.00</w:t>
            </w:r>
          </w:p>
        </w:tc>
        <w:tc>
          <w:tcPr>
            <w:tcW w:w="703" w:type="pct"/>
            <w:tcBorders>
              <w:top w:val="single" w:sz="4" w:space="0" w:color="auto"/>
              <w:left w:val="single" w:sz="4" w:space="0" w:color="auto"/>
              <w:bottom w:val="single" w:sz="4" w:space="0" w:color="auto"/>
              <w:right w:val="single" w:sz="4" w:space="0" w:color="auto"/>
            </w:tcBorders>
          </w:tcPr>
          <w:p w14:paraId="50E47B7F" w14:textId="77777777" w:rsidR="00E57DAA" w:rsidRDefault="00AC4185">
            <w:pPr>
              <w:autoSpaceDE w:val="0"/>
              <w:autoSpaceDN w:val="0"/>
              <w:adjustRightInd w:val="0"/>
              <w:jc w:val="right"/>
              <w:rPr>
                <w:szCs w:val="21"/>
              </w:rPr>
            </w:pPr>
            <w:r>
              <w:t>17,700.00</w:t>
            </w:r>
          </w:p>
        </w:tc>
        <w:tc>
          <w:tcPr>
            <w:tcW w:w="914" w:type="pct"/>
            <w:tcBorders>
              <w:top w:val="single" w:sz="4" w:space="0" w:color="auto"/>
              <w:left w:val="single" w:sz="4" w:space="0" w:color="auto"/>
              <w:bottom w:val="single" w:sz="4" w:space="0" w:color="auto"/>
              <w:right w:val="single" w:sz="4" w:space="0" w:color="auto"/>
            </w:tcBorders>
          </w:tcPr>
          <w:p w14:paraId="6862959F" w14:textId="77777777" w:rsidR="00E57DAA" w:rsidRDefault="00AC4185">
            <w:pPr>
              <w:autoSpaceDE w:val="0"/>
              <w:autoSpaceDN w:val="0"/>
              <w:adjustRightInd w:val="0"/>
              <w:jc w:val="right"/>
              <w:rPr>
                <w:szCs w:val="21"/>
              </w:rPr>
            </w:pPr>
            <w:r>
              <w:t>304.44</w:t>
            </w:r>
          </w:p>
        </w:tc>
      </w:tr>
      <w:tr w:rsidR="00E57DAA" w14:paraId="51C768FC" w14:textId="77777777">
        <w:tc>
          <w:tcPr>
            <w:tcW w:w="677" w:type="pct"/>
            <w:tcBorders>
              <w:top w:val="single" w:sz="4" w:space="0" w:color="auto"/>
              <w:left w:val="single" w:sz="4" w:space="0" w:color="auto"/>
              <w:bottom w:val="single" w:sz="4" w:space="0" w:color="auto"/>
              <w:right w:val="single" w:sz="4" w:space="0" w:color="auto"/>
            </w:tcBorders>
            <w:vAlign w:val="center"/>
          </w:tcPr>
          <w:p w14:paraId="51D4986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3E6CD0D" w14:textId="77777777" w:rsidR="00E57DAA" w:rsidRDefault="00AC4185">
            <w:pPr>
              <w:autoSpaceDE w:val="0"/>
              <w:autoSpaceDN w:val="0"/>
              <w:adjustRightInd w:val="0"/>
              <w:rPr>
                <w:szCs w:val="21"/>
              </w:rPr>
            </w:pPr>
            <w:r>
              <w:t>布尔津天山水泥有限责任公司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85569AE" w14:textId="77777777" w:rsidR="00E57DAA" w:rsidRDefault="00AC4185">
            <w:pPr>
              <w:autoSpaceDE w:val="0"/>
              <w:autoSpaceDN w:val="0"/>
              <w:adjustRightInd w:val="0"/>
              <w:jc w:val="right"/>
              <w:rPr>
                <w:szCs w:val="21"/>
              </w:rPr>
            </w:pPr>
            <w:r>
              <w:t>266,191.06</w:t>
            </w:r>
          </w:p>
        </w:tc>
        <w:tc>
          <w:tcPr>
            <w:tcW w:w="632" w:type="pct"/>
            <w:tcBorders>
              <w:top w:val="single" w:sz="4" w:space="0" w:color="auto"/>
              <w:left w:val="single" w:sz="4" w:space="0" w:color="auto"/>
              <w:bottom w:val="single" w:sz="4" w:space="0" w:color="auto"/>
              <w:right w:val="single" w:sz="4" w:space="0" w:color="auto"/>
            </w:tcBorders>
          </w:tcPr>
          <w:p w14:paraId="6FC3F8A6" w14:textId="77777777" w:rsidR="00E57DAA" w:rsidRDefault="00AC4185">
            <w:pPr>
              <w:autoSpaceDE w:val="0"/>
              <w:autoSpaceDN w:val="0"/>
              <w:adjustRightInd w:val="0"/>
              <w:jc w:val="right"/>
              <w:rPr>
                <w:szCs w:val="21"/>
              </w:rPr>
            </w:pPr>
            <w:r>
              <w:t>13,490.70</w:t>
            </w:r>
          </w:p>
        </w:tc>
        <w:tc>
          <w:tcPr>
            <w:tcW w:w="703" w:type="pct"/>
            <w:tcBorders>
              <w:top w:val="single" w:sz="4" w:space="0" w:color="auto"/>
              <w:left w:val="single" w:sz="4" w:space="0" w:color="auto"/>
              <w:bottom w:val="single" w:sz="4" w:space="0" w:color="auto"/>
              <w:right w:val="single" w:sz="4" w:space="0" w:color="auto"/>
            </w:tcBorders>
          </w:tcPr>
          <w:p w14:paraId="4C26DA3C" w14:textId="77777777" w:rsidR="00E57DAA" w:rsidRDefault="00AC4185">
            <w:pPr>
              <w:autoSpaceDE w:val="0"/>
              <w:autoSpaceDN w:val="0"/>
              <w:adjustRightInd w:val="0"/>
              <w:jc w:val="right"/>
              <w:rPr>
                <w:szCs w:val="21"/>
              </w:rPr>
            </w:pPr>
            <w:r>
              <w:t>508,284.13</w:t>
            </w:r>
          </w:p>
        </w:tc>
        <w:tc>
          <w:tcPr>
            <w:tcW w:w="914" w:type="pct"/>
            <w:tcBorders>
              <w:top w:val="single" w:sz="4" w:space="0" w:color="auto"/>
              <w:left w:val="single" w:sz="4" w:space="0" w:color="auto"/>
              <w:bottom w:val="single" w:sz="4" w:space="0" w:color="auto"/>
              <w:right w:val="single" w:sz="4" w:space="0" w:color="auto"/>
            </w:tcBorders>
          </w:tcPr>
          <w:p w14:paraId="098F193A" w14:textId="77777777" w:rsidR="00E57DAA" w:rsidRDefault="00AC4185">
            <w:pPr>
              <w:autoSpaceDE w:val="0"/>
              <w:autoSpaceDN w:val="0"/>
              <w:adjustRightInd w:val="0"/>
              <w:jc w:val="right"/>
              <w:rPr>
                <w:szCs w:val="21"/>
              </w:rPr>
            </w:pPr>
            <w:r>
              <w:t>15,095.18</w:t>
            </w:r>
          </w:p>
        </w:tc>
      </w:tr>
      <w:tr w:rsidR="00E57DAA" w14:paraId="034711E3" w14:textId="77777777">
        <w:tc>
          <w:tcPr>
            <w:tcW w:w="677" w:type="pct"/>
            <w:tcBorders>
              <w:top w:val="single" w:sz="4" w:space="0" w:color="auto"/>
              <w:left w:val="single" w:sz="4" w:space="0" w:color="auto"/>
              <w:bottom w:val="single" w:sz="4" w:space="0" w:color="auto"/>
              <w:right w:val="single" w:sz="4" w:space="0" w:color="auto"/>
            </w:tcBorders>
            <w:vAlign w:val="center"/>
          </w:tcPr>
          <w:p w14:paraId="6A137E1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8D9EDF6" w14:textId="77777777" w:rsidR="00E57DAA" w:rsidRDefault="00AC4185">
            <w:pPr>
              <w:autoSpaceDE w:val="0"/>
              <w:autoSpaceDN w:val="0"/>
              <w:adjustRightInd w:val="0"/>
              <w:rPr>
                <w:szCs w:val="21"/>
              </w:rPr>
            </w:pPr>
            <w:r>
              <w:t>徐州中联混凝土有限公司</w:t>
            </w:r>
          </w:p>
        </w:tc>
        <w:tc>
          <w:tcPr>
            <w:tcW w:w="633" w:type="pct"/>
            <w:tcBorders>
              <w:top w:val="single" w:sz="4" w:space="0" w:color="auto"/>
              <w:left w:val="single" w:sz="4" w:space="0" w:color="auto"/>
              <w:bottom w:val="single" w:sz="4" w:space="0" w:color="auto"/>
              <w:right w:val="single" w:sz="4" w:space="0" w:color="auto"/>
            </w:tcBorders>
          </w:tcPr>
          <w:p w14:paraId="2B8ABE86" w14:textId="77777777" w:rsidR="00E57DAA" w:rsidRDefault="00AC4185">
            <w:pPr>
              <w:autoSpaceDE w:val="0"/>
              <w:autoSpaceDN w:val="0"/>
              <w:adjustRightInd w:val="0"/>
              <w:jc w:val="right"/>
              <w:rPr>
                <w:szCs w:val="21"/>
              </w:rPr>
            </w:pPr>
            <w:r>
              <w:t>256,223.00</w:t>
            </w:r>
          </w:p>
        </w:tc>
        <w:tc>
          <w:tcPr>
            <w:tcW w:w="632" w:type="pct"/>
            <w:tcBorders>
              <w:top w:val="single" w:sz="4" w:space="0" w:color="auto"/>
              <w:left w:val="single" w:sz="4" w:space="0" w:color="auto"/>
              <w:bottom w:val="single" w:sz="4" w:space="0" w:color="auto"/>
              <w:right w:val="single" w:sz="4" w:space="0" w:color="auto"/>
            </w:tcBorders>
          </w:tcPr>
          <w:p w14:paraId="04BBF173" w14:textId="77777777" w:rsidR="00E57DAA" w:rsidRDefault="00AC4185">
            <w:pPr>
              <w:autoSpaceDE w:val="0"/>
              <w:autoSpaceDN w:val="0"/>
              <w:adjustRightInd w:val="0"/>
              <w:jc w:val="right"/>
              <w:rPr>
                <w:szCs w:val="21"/>
              </w:rPr>
            </w:pPr>
            <w:r>
              <w:t>6,072.49</w:t>
            </w:r>
          </w:p>
        </w:tc>
        <w:tc>
          <w:tcPr>
            <w:tcW w:w="703" w:type="pct"/>
            <w:tcBorders>
              <w:top w:val="single" w:sz="4" w:space="0" w:color="auto"/>
              <w:left w:val="single" w:sz="4" w:space="0" w:color="auto"/>
              <w:bottom w:val="single" w:sz="4" w:space="0" w:color="auto"/>
              <w:right w:val="single" w:sz="4" w:space="0" w:color="auto"/>
            </w:tcBorders>
          </w:tcPr>
          <w:p w14:paraId="392A894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FE1C4C9" w14:textId="77777777" w:rsidR="00E57DAA" w:rsidRDefault="00AC4185">
            <w:pPr>
              <w:autoSpaceDE w:val="0"/>
              <w:autoSpaceDN w:val="0"/>
              <w:adjustRightInd w:val="0"/>
              <w:jc w:val="right"/>
              <w:rPr>
                <w:szCs w:val="21"/>
              </w:rPr>
            </w:pPr>
            <w:r>
              <w:t xml:space="preserve">　</w:t>
            </w:r>
          </w:p>
        </w:tc>
      </w:tr>
      <w:tr w:rsidR="00E57DAA" w14:paraId="2475D96B" w14:textId="77777777">
        <w:tc>
          <w:tcPr>
            <w:tcW w:w="677" w:type="pct"/>
            <w:tcBorders>
              <w:top w:val="single" w:sz="4" w:space="0" w:color="auto"/>
              <w:left w:val="single" w:sz="4" w:space="0" w:color="auto"/>
              <w:bottom w:val="single" w:sz="4" w:space="0" w:color="auto"/>
              <w:right w:val="single" w:sz="4" w:space="0" w:color="auto"/>
            </w:tcBorders>
            <w:vAlign w:val="center"/>
          </w:tcPr>
          <w:p w14:paraId="5885F42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F448F9" w14:textId="77777777" w:rsidR="00E57DAA" w:rsidRDefault="00AC4185">
            <w:pPr>
              <w:autoSpaceDE w:val="0"/>
              <w:autoSpaceDN w:val="0"/>
              <w:adjustRightInd w:val="0"/>
              <w:rPr>
                <w:szCs w:val="21"/>
              </w:rPr>
            </w:pPr>
            <w:r>
              <w:t>四川泰昌建材集团有限公司</w:t>
            </w:r>
          </w:p>
        </w:tc>
        <w:tc>
          <w:tcPr>
            <w:tcW w:w="633" w:type="pct"/>
            <w:tcBorders>
              <w:top w:val="single" w:sz="4" w:space="0" w:color="auto"/>
              <w:left w:val="single" w:sz="4" w:space="0" w:color="auto"/>
              <w:bottom w:val="single" w:sz="4" w:space="0" w:color="auto"/>
              <w:right w:val="single" w:sz="4" w:space="0" w:color="auto"/>
            </w:tcBorders>
          </w:tcPr>
          <w:p w14:paraId="27A049E8" w14:textId="77777777" w:rsidR="00E57DAA" w:rsidRDefault="00AC4185">
            <w:pPr>
              <w:autoSpaceDE w:val="0"/>
              <w:autoSpaceDN w:val="0"/>
              <w:adjustRightInd w:val="0"/>
              <w:jc w:val="right"/>
              <w:rPr>
                <w:szCs w:val="21"/>
              </w:rPr>
            </w:pPr>
            <w:r>
              <w:t>242,845.24</w:t>
            </w:r>
          </w:p>
        </w:tc>
        <w:tc>
          <w:tcPr>
            <w:tcW w:w="632" w:type="pct"/>
            <w:tcBorders>
              <w:top w:val="single" w:sz="4" w:space="0" w:color="auto"/>
              <w:left w:val="single" w:sz="4" w:space="0" w:color="auto"/>
              <w:bottom w:val="single" w:sz="4" w:space="0" w:color="auto"/>
              <w:right w:val="single" w:sz="4" w:space="0" w:color="auto"/>
            </w:tcBorders>
          </w:tcPr>
          <w:p w14:paraId="4B400DC4" w14:textId="77777777" w:rsidR="00E57DAA" w:rsidRDefault="00AC4185">
            <w:pPr>
              <w:autoSpaceDE w:val="0"/>
              <w:autoSpaceDN w:val="0"/>
              <w:adjustRightInd w:val="0"/>
              <w:jc w:val="right"/>
              <w:rPr>
                <w:szCs w:val="21"/>
              </w:rPr>
            </w:pPr>
            <w:r>
              <w:t>75,019.29</w:t>
            </w:r>
          </w:p>
        </w:tc>
        <w:tc>
          <w:tcPr>
            <w:tcW w:w="703" w:type="pct"/>
            <w:tcBorders>
              <w:top w:val="single" w:sz="4" w:space="0" w:color="auto"/>
              <w:left w:val="single" w:sz="4" w:space="0" w:color="auto"/>
              <w:bottom w:val="single" w:sz="4" w:space="0" w:color="auto"/>
              <w:right w:val="single" w:sz="4" w:space="0" w:color="auto"/>
            </w:tcBorders>
          </w:tcPr>
          <w:p w14:paraId="735CF2CA" w14:textId="77777777" w:rsidR="00E57DAA" w:rsidRDefault="00AC4185">
            <w:pPr>
              <w:autoSpaceDE w:val="0"/>
              <w:autoSpaceDN w:val="0"/>
              <w:adjustRightInd w:val="0"/>
              <w:jc w:val="right"/>
              <w:rPr>
                <w:szCs w:val="21"/>
              </w:rPr>
            </w:pPr>
            <w:r>
              <w:t>891,617.76</w:t>
            </w:r>
          </w:p>
        </w:tc>
        <w:tc>
          <w:tcPr>
            <w:tcW w:w="914" w:type="pct"/>
            <w:tcBorders>
              <w:top w:val="single" w:sz="4" w:space="0" w:color="auto"/>
              <w:left w:val="single" w:sz="4" w:space="0" w:color="auto"/>
              <w:bottom w:val="single" w:sz="4" w:space="0" w:color="auto"/>
              <w:right w:val="single" w:sz="4" w:space="0" w:color="auto"/>
            </w:tcBorders>
          </w:tcPr>
          <w:p w14:paraId="4FDB2060" w14:textId="77777777" w:rsidR="00E57DAA" w:rsidRDefault="00AC4185">
            <w:pPr>
              <w:autoSpaceDE w:val="0"/>
              <w:autoSpaceDN w:val="0"/>
              <w:adjustRightInd w:val="0"/>
              <w:jc w:val="right"/>
              <w:rPr>
                <w:szCs w:val="21"/>
              </w:rPr>
            </w:pPr>
            <w:r>
              <w:t>73,816.78</w:t>
            </w:r>
          </w:p>
        </w:tc>
      </w:tr>
      <w:tr w:rsidR="00E57DAA" w14:paraId="7A8608CC" w14:textId="77777777">
        <w:tc>
          <w:tcPr>
            <w:tcW w:w="677" w:type="pct"/>
            <w:tcBorders>
              <w:top w:val="single" w:sz="4" w:space="0" w:color="auto"/>
              <w:left w:val="single" w:sz="4" w:space="0" w:color="auto"/>
              <w:bottom w:val="single" w:sz="4" w:space="0" w:color="auto"/>
              <w:right w:val="single" w:sz="4" w:space="0" w:color="auto"/>
            </w:tcBorders>
            <w:vAlign w:val="center"/>
          </w:tcPr>
          <w:p w14:paraId="5822AFD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5C0C05E" w14:textId="77777777" w:rsidR="00E57DAA" w:rsidRDefault="00AC4185">
            <w:pPr>
              <w:autoSpaceDE w:val="0"/>
              <w:autoSpaceDN w:val="0"/>
              <w:adjustRightInd w:val="0"/>
              <w:rPr>
                <w:szCs w:val="21"/>
              </w:rPr>
            </w:pPr>
            <w:r>
              <w:t>湖州槐坎南方水泥有限公司</w:t>
            </w:r>
          </w:p>
        </w:tc>
        <w:tc>
          <w:tcPr>
            <w:tcW w:w="633" w:type="pct"/>
            <w:tcBorders>
              <w:top w:val="single" w:sz="4" w:space="0" w:color="auto"/>
              <w:left w:val="single" w:sz="4" w:space="0" w:color="auto"/>
              <w:bottom w:val="single" w:sz="4" w:space="0" w:color="auto"/>
              <w:right w:val="single" w:sz="4" w:space="0" w:color="auto"/>
            </w:tcBorders>
          </w:tcPr>
          <w:p w14:paraId="0EA0BA42" w14:textId="77777777" w:rsidR="00E57DAA" w:rsidRDefault="00AC4185">
            <w:pPr>
              <w:autoSpaceDE w:val="0"/>
              <w:autoSpaceDN w:val="0"/>
              <w:adjustRightInd w:val="0"/>
              <w:jc w:val="right"/>
              <w:rPr>
                <w:szCs w:val="21"/>
              </w:rPr>
            </w:pPr>
            <w:r>
              <w:t>238,808.40</w:t>
            </w:r>
          </w:p>
        </w:tc>
        <w:tc>
          <w:tcPr>
            <w:tcW w:w="632" w:type="pct"/>
            <w:tcBorders>
              <w:top w:val="single" w:sz="4" w:space="0" w:color="auto"/>
              <w:left w:val="single" w:sz="4" w:space="0" w:color="auto"/>
              <w:bottom w:val="single" w:sz="4" w:space="0" w:color="auto"/>
              <w:right w:val="single" w:sz="4" w:space="0" w:color="auto"/>
            </w:tcBorders>
          </w:tcPr>
          <w:p w14:paraId="47161CDD" w14:textId="77777777" w:rsidR="00E57DAA" w:rsidRDefault="00AC4185">
            <w:pPr>
              <w:autoSpaceDE w:val="0"/>
              <w:autoSpaceDN w:val="0"/>
              <w:adjustRightInd w:val="0"/>
              <w:jc w:val="right"/>
              <w:rPr>
                <w:szCs w:val="21"/>
              </w:rPr>
            </w:pPr>
            <w:r>
              <w:t>5,659.76</w:t>
            </w:r>
          </w:p>
        </w:tc>
        <w:tc>
          <w:tcPr>
            <w:tcW w:w="703" w:type="pct"/>
            <w:tcBorders>
              <w:top w:val="single" w:sz="4" w:space="0" w:color="auto"/>
              <w:left w:val="single" w:sz="4" w:space="0" w:color="auto"/>
              <w:bottom w:val="single" w:sz="4" w:space="0" w:color="auto"/>
              <w:right w:val="single" w:sz="4" w:space="0" w:color="auto"/>
            </w:tcBorders>
          </w:tcPr>
          <w:p w14:paraId="365E2E8A" w14:textId="77777777" w:rsidR="00E57DAA" w:rsidRDefault="00AC4185">
            <w:pPr>
              <w:autoSpaceDE w:val="0"/>
              <w:autoSpaceDN w:val="0"/>
              <w:adjustRightInd w:val="0"/>
              <w:jc w:val="right"/>
              <w:rPr>
                <w:szCs w:val="21"/>
              </w:rPr>
            </w:pPr>
            <w:r>
              <w:t>1,200,822.55</w:t>
            </w:r>
          </w:p>
        </w:tc>
        <w:tc>
          <w:tcPr>
            <w:tcW w:w="914" w:type="pct"/>
            <w:tcBorders>
              <w:top w:val="single" w:sz="4" w:space="0" w:color="auto"/>
              <w:left w:val="single" w:sz="4" w:space="0" w:color="auto"/>
              <w:bottom w:val="single" w:sz="4" w:space="0" w:color="auto"/>
              <w:right w:val="single" w:sz="4" w:space="0" w:color="auto"/>
            </w:tcBorders>
          </w:tcPr>
          <w:p w14:paraId="562C3F52" w14:textId="77777777" w:rsidR="00E57DAA" w:rsidRDefault="00AC4185">
            <w:pPr>
              <w:autoSpaceDE w:val="0"/>
              <w:autoSpaceDN w:val="0"/>
              <w:adjustRightInd w:val="0"/>
              <w:jc w:val="right"/>
              <w:rPr>
                <w:szCs w:val="21"/>
              </w:rPr>
            </w:pPr>
            <w:r>
              <w:t>40,079.83</w:t>
            </w:r>
          </w:p>
        </w:tc>
      </w:tr>
      <w:tr w:rsidR="00E57DAA" w14:paraId="1A2E4F69" w14:textId="77777777">
        <w:tc>
          <w:tcPr>
            <w:tcW w:w="677" w:type="pct"/>
            <w:tcBorders>
              <w:top w:val="single" w:sz="4" w:space="0" w:color="auto"/>
              <w:left w:val="single" w:sz="4" w:space="0" w:color="auto"/>
              <w:bottom w:val="single" w:sz="4" w:space="0" w:color="auto"/>
              <w:right w:val="single" w:sz="4" w:space="0" w:color="auto"/>
            </w:tcBorders>
            <w:vAlign w:val="center"/>
          </w:tcPr>
          <w:p w14:paraId="030C7C6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0D9D31" w14:textId="77777777" w:rsidR="00E57DAA" w:rsidRDefault="00AC4185">
            <w:pPr>
              <w:autoSpaceDE w:val="0"/>
              <w:autoSpaceDN w:val="0"/>
              <w:adjustRightInd w:val="0"/>
              <w:rPr>
                <w:szCs w:val="21"/>
              </w:rPr>
            </w:pPr>
            <w:r>
              <w:t>青岛即墨中联水泥有限公司</w:t>
            </w:r>
          </w:p>
        </w:tc>
        <w:tc>
          <w:tcPr>
            <w:tcW w:w="633" w:type="pct"/>
            <w:tcBorders>
              <w:top w:val="single" w:sz="4" w:space="0" w:color="auto"/>
              <w:left w:val="single" w:sz="4" w:space="0" w:color="auto"/>
              <w:bottom w:val="single" w:sz="4" w:space="0" w:color="auto"/>
              <w:right w:val="single" w:sz="4" w:space="0" w:color="auto"/>
            </w:tcBorders>
          </w:tcPr>
          <w:p w14:paraId="52541A7F" w14:textId="77777777" w:rsidR="00E57DAA" w:rsidRDefault="00AC4185">
            <w:pPr>
              <w:autoSpaceDE w:val="0"/>
              <w:autoSpaceDN w:val="0"/>
              <w:adjustRightInd w:val="0"/>
              <w:jc w:val="right"/>
              <w:rPr>
                <w:szCs w:val="21"/>
              </w:rPr>
            </w:pPr>
            <w:r>
              <w:t>234,344.38</w:t>
            </w:r>
          </w:p>
        </w:tc>
        <w:tc>
          <w:tcPr>
            <w:tcW w:w="632" w:type="pct"/>
            <w:tcBorders>
              <w:top w:val="single" w:sz="4" w:space="0" w:color="auto"/>
              <w:left w:val="single" w:sz="4" w:space="0" w:color="auto"/>
              <w:bottom w:val="single" w:sz="4" w:space="0" w:color="auto"/>
              <w:right w:val="single" w:sz="4" w:space="0" w:color="auto"/>
            </w:tcBorders>
          </w:tcPr>
          <w:p w14:paraId="7F8965BB" w14:textId="77777777" w:rsidR="00E57DAA" w:rsidRDefault="00AC4185">
            <w:pPr>
              <w:autoSpaceDE w:val="0"/>
              <w:autoSpaceDN w:val="0"/>
              <w:adjustRightInd w:val="0"/>
              <w:jc w:val="right"/>
              <w:rPr>
                <w:szCs w:val="21"/>
              </w:rPr>
            </w:pPr>
            <w:r>
              <w:t>109,988.18</w:t>
            </w:r>
          </w:p>
        </w:tc>
        <w:tc>
          <w:tcPr>
            <w:tcW w:w="703" w:type="pct"/>
            <w:tcBorders>
              <w:top w:val="single" w:sz="4" w:space="0" w:color="auto"/>
              <w:left w:val="single" w:sz="4" w:space="0" w:color="auto"/>
              <w:bottom w:val="single" w:sz="4" w:space="0" w:color="auto"/>
              <w:right w:val="single" w:sz="4" w:space="0" w:color="auto"/>
            </w:tcBorders>
          </w:tcPr>
          <w:p w14:paraId="5510B0D7" w14:textId="77777777" w:rsidR="00E57DAA" w:rsidRDefault="00AC4185">
            <w:pPr>
              <w:autoSpaceDE w:val="0"/>
              <w:autoSpaceDN w:val="0"/>
              <w:adjustRightInd w:val="0"/>
              <w:jc w:val="right"/>
              <w:rPr>
                <w:szCs w:val="21"/>
              </w:rPr>
            </w:pPr>
            <w:r>
              <w:t>220,834.38</w:t>
            </w:r>
          </w:p>
        </w:tc>
        <w:tc>
          <w:tcPr>
            <w:tcW w:w="914" w:type="pct"/>
            <w:tcBorders>
              <w:top w:val="single" w:sz="4" w:space="0" w:color="auto"/>
              <w:left w:val="single" w:sz="4" w:space="0" w:color="auto"/>
              <w:bottom w:val="single" w:sz="4" w:space="0" w:color="auto"/>
              <w:right w:val="single" w:sz="4" w:space="0" w:color="auto"/>
            </w:tcBorders>
          </w:tcPr>
          <w:p w14:paraId="7C5D1652" w14:textId="77777777" w:rsidR="00E57DAA" w:rsidRDefault="00AC4185">
            <w:pPr>
              <w:autoSpaceDE w:val="0"/>
              <w:autoSpaceDN w:val="0"/>
              <w:adjustRightInd w:val="0"/>
              <w:jc w:val="right"/>
              <w:rPr>
                <w:szCs w:val="21"/>
              </w:rPr>
            </w:pPr>
            <w:r>
              <w:t>61,678.77</w:t>
            </w:r>
          </w:p>
        </w:tc>
      </w:tr>
      <w:tr w:rsidR="00E57DAA" w14:paraId="7F6E85AC" w14:textId="77777777">
        <w:tc>
          <w:tcPr>
            <w:tcW w:w="677" w:type="pct"/>
            <w:tcBorders>
              <w:top w:val="single" w:sz="4" w:space="0" w:color="auto"/>
              <w:left w:val="single" w:sz="4" w:space="0" w:color="auto"/>
              <w:bottom w:val="single" w:sz="4" w:space="0" w:color="auto"/>
              <w:right w:val="single" w:sz="4" w:space="0" w:color="auto"/>
            </w:tcBorders>
            <w:vAlign w:val="center"/>
          </w:tcPr>
          <w:p w14:paraId="7DA9404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1144C38" w14:textId="77777777" w:rsidR="00E57DAA" w:rsidRDefault="00AC4185">
            <w:pPr>
              <w:autoSpaceDE w:val="0"/>
              <w:autoSpaceDN w:val="0"/>
              <w:adjustRightInd w:val="0"/>
              <w:rPr>
                <w:szCs w:val="21"/>
              </w:rPr>
            </w:pPr>
            <w:r>
              <w:t>贵州威宁西南水泥有限公司</w:t>
            </w:r>
          </w:p>
        </w:tc>
        <w:tc>
          <w:tcPr>
            <w:tcW w:w="633" w:type="pct"/>
            <w:tcBorders>
              <w:top w:val="single" w:sz="4" w:space="0" w:color="auto"/>
              <w:left w:val="single" w:sz="4" w:space="0" w:color="auto"/>
              <w:bottom w:val="single" w:sz="4" w:space="0" w:color="auto"/>
              <w:right w:val="single" w:sz="4" w:space="0" w:color="auto"/>
            </w:tcBorders>
          </w:tcPr>
          <w:p w14:paraId="62BCEB90" w14:textId="77777777" w:rsidR="00E57DAA" w:rsidRDefault="00AC4185">
            <w:pPr>
              <w:autoSpaceDE w:val="0"/>
              <w:autoSpaceDN w:val="0"/>
              <w:adjustRightInd w:val="0"/>
              <w:jc w:val="right"/>
              <w:rPr>
                <w:szCs w:val="21"/>
              </w:rPr>
            </w:pPr>
            <w:r>
              <w:t>232,620.05</w:t>
            </w:r>
          </w:p>
        </w:tc>
        <w:tc>
          <w:tcPr>
            <w:tcW w:w="632" w:type="pct"/>
            <w:tcBorders>
              <w:top w:val="single" w:sz="4" w:space="0" w:color="auto"/>
              <w:left w:val="single" w:sz="4" w:space="0" w:color="auto"/>
              <w:bottom w:val="single" w:sz="4" w:space="0" w:color="auto"/>
              <w:right w:val="single" w:sz="4" w:space="0" w:color="auto"/>
            </w:tcBorders>
          </w:tcPr>
          <w:p w14:paraId="04A5F0BF" w14:textId="77777777" w:rsidR="00E57DAA" w:rsidRDefault="00AC4185">
            <w:pPr>
              <w:autoSpaceDE w:val="0"/>
              <w:autoSpaceDN w:val="0"/>
              <w:adjustRightInd w:val="0"/>
              <w:jc w:val="right"/>
              <w:rPr>
                <w:szCs w:val="21"/>
              </w:rPr>
            </w:pPr>
            <w:r>
              <w:t>49,594.53</w:t>
            </w:r>
          </w:p>
        </w:tc>
        <w:tc>
          <w:tcPr>
            <w:tcW w:w="703" w:type="pct"/>
            <w:tcBorders>
              <w:top w:val="single" w:sz="4" w:space="0" w:color="auto"/>
              <w:left w:val="single" w:sz="4" w:space="0" w:color="auto"/>
              <w:bottom w:val="single" w:sz="4" w:space="0" w:color="auto"/>
              <w:right w:val="single" w:sz="4" w:space="0" w:color="auto"/>
            </w:tcBorders>
          </w:tcPr>
          <w:p w14:paraId="6D118568" w14:textId="77777777" w:rsidR="00E57DAA" w:rsidRDefault="00AC4185">
            <w:pPr>
              <w:autoSpaceDE w:val="0"/>
              <w:autoSpaceDN w:val="0"/>
              <w:adjustRightInd w:val="0"/>
              <w:jc w:val="right"/>
              <w:rPr>
                <w:szCs w:val="21"/>
              </w:rPr>
            </w:pPr>
            <w:r>
              <w:t>5,017,733.76</w:t>
            </w:r>
          </w:p>
        </w:tc>
        <w:tc>
          <w:tcPr>
            <w:tcW w:w="914" w:type="pct"/>
            <w:tcBorders>
              <w:top w:val="single" w:sz="4" w:space="0" w:color="auto"/>
              <w:left w:val="single" w:sz="4" w:space="0" w:color="auto"/>
              <w:bottom w:val="single" w:sz="4" w:space="0" w:color="auto"/>
              <w:right w:val="single" w:sz="4" w:space="0" w:color="auto"/>
            </w:tcBorders>
          </w:tcPr>
          <w:p w14:paraId="5437E58F" w14:textId="77777777" w:rsidR="00E57DAA" w:rsidRDefault="00AC4185">
            <w:pPr>
              <w:autoSpaceDE w:val="0"/>
              <w:autoSpaceDN w:val="0"/>
              <w:adjustRightInd w:val="0"/>
              <w:jc w:val="right"/>
              <w:rPr>
                <w:szCs w:val="21"/>
              </w:rPr>
            </w:pPr>
            <w:r>
              <w:t>115,759.45</w:t>
            </w:r>
          </w:p>
        </w:tc>
      </w:tr>
      <w:tr w:rsidR="00E57DAA" w14:paraId="239B2091" w14:textId="77777777">
        <w:tc>
          <w:tcPr>
            <w:tcW w:w="677" w:type="pct"/>
            <w:tcBorders>
              <w:top w:val="single" w:sz="4" w:space="0" w:color="auto"/>
              <w:left w:val="single" w:sz="4" w:space="0" w:color="auto"/>
              <w:bottom w:val="single" w:sz="4" w:space="0" w:color="auto"/>
              <w:right w:val="single" w:sz="4" w:space="0" w:color="auto"/>
            </w:tcBorders>
            <w:vAlign w:val="center"/>
          </w:tcPr>
          <w:p w14:paraId="4E0B18C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AC3AAD2" w14:textId="77777777" w:rsidR="00E57DAA" w:rsidRDefault="00AC4185">
            <w:pPr>
              <w:autoSpaceDE w:val="0"/>
              <w:autoSpaceDN w:val="0"/>
              <w:adjustRightInd w:val="0"/>
              <w:rPr>
                <w:szCs w:val="21"/>
              </w:rPr>
            </w:pPr>
            <w:r>
              <w:t>嘉峪关祁连山水泥有限公司</w:t>
            </w:r>
          </w:p>
        </w:tc>
        <w:tc>
          <w:tcPr>
            <w:tcW w:w="633" w:type="pct"/>
            <w:tcBorders>
              <w:top w:val="single" w:sz="4" w:space="0" w:color="auto"/>
              <w:left w:val="single" w:sz="4" w:space="0" w:color="auto"/>
              <w:bottom w:val="single" w:sz="4" w:space="0" w:color="auto"/>
              <w:right w:val="single" w:sz="4" w:space="0" w:color="auto"/>
            </w:tcBorders>
          </w:tcPr>
          <w:p w14:paraId="5F7D0A29" w14:textId="77777777" w:rsidR="00E57DAA" w:rsidRDefault="00AC4185">
            <w:pPr>
              <w:autoSpaceDE w:val="0"/>
              <w:autoSpaceDN w:val="0"/>
              <w:adjustRightInd w:val="0"/>
              <w:jc w:val="right"/>
              <w:rPr>
                <w:szCs w:val="21"/>
              </w:rPr>
            </w:pPr>
            <w:r>
              <w:t>226,834.00</w:t>
            </w:r>
          </w:p>
        </w:tc>
        <w:tc>
          <w:tcPr>
            <w:tcW w:w="632" w:type="pct"/>
            <w:tcBorders>
              <w:top w:val="single" w:sz="4" w:space="0" w:color="auto"/>
              <w:left w:val="single" w:sz="4" w:space="0" w:color="auto"/>
              <w:bottom w:val="single" w:sz="4" w:space="0" w:color="auto"/>
              <w:right w:val="single" w:sz="4" w:space="0" w:color="auto"/>
            </w:tcBorders>
          </w:tcPr>
          <w:p w14:paraId="5AFBB8DC" w14:textId="77777777" w:rsidR="00E57DAA" w:rsidRDefault="00AC4185">
            <w:pPr>
              <w:autoSpaceDE w:val="0"/>
              <w:autoSpaceDN w:val="0"/>
              <w:adjustRightInd w:val="0"/>
              <w:jc w:val="right"/>
              <w:rPr>
                <w:szCs w:val="21"/>
              </w:rPr>
            </w:pPr>
            <w:r>
              <w:t>12,982.21</w:t>
            </w:r>
          </w:p>
        </w:tc>
        <w:tc>
          <w:tcPr>
            <w:tcW w:w="703" w:type="pct"/>
            <w:tcBorders>
              <w:top w:val="single" w:sz="4" w:space="0" w:color="auto"/>
              <w:left w:val="single" w:sz="4" w:space="0" w:color="auto"/>
              <w:bottom w:val="single" w:sz="4" w:space="0" w:color="auto"/>
              <w:right w:val="single" w:sz="4" w:space="0" w:color="auto"/>
            </w:tcBorders>
          </w:tcPr>
          <w:p w14:paraId="05EFB454" w14:textId="77777777" w:rsidR="00E57DAA" w:rsidRDefault="00AC4185">
            <w:pPr>
              <w:autoSpaceDE w:val="0"/>
              <w:autoSpaceDN w:val="0"/>
              <w:adjustRightInd w:val="0"/>
              <w:jc w:val="right"/>
              <w:rPr>
                <w:szCs w:val="21"/>
              </w:rPr>
            </w:pPr>
            <w:r>
              <w:t>529,399.00</w:t>
            </w:r>
          </w:p>
        </w:tc>
        <w:tc>
          <w:tcPr>
            <w:tcW w:w="914" w:type="pct"/>
            <w:tcBorders>
              <w:top w:val="single" w:sz="4" w:space="0" w:color="auto"/>
              <w:left w:val="single" w:sz="4" w:space="0" w:color="auto"/>
              <w:bottom w:val="single" w:sz="4" w:space="0" w:color="auto"/>
              <w:right w:val="single" w:sz="4" w:space="0" w:color="auto"/>
            </w:tcBorders>
          </w:tcPr>
          <w:p w14:paraId="57E5BD47" w14:textId="77777777" w:rsidR="00E57DAA" w:rsidRDefault="00AC4185">
            <w:pPr>
              <w:autoSpaceDE w:val="0"/>
              <w:autoSpaceDN w:val="0"/>
              <w:adjustRightInd w:val="0"/>
              <w:jc w:val="right"/>
              <w:rPr>
                <w:szCs w:val="21"/>
              </w:rPr>
            </w:pPr>
            <w:r>
              <w:t>30,343.30</w:t>
            </w:r>
          </w:p>
        </w:tc>
      </w:tr>
      <w:tr w:rsidR="00E57DAA" w14:paraId="2CECF021" w14:textId="77777777">
        <w:tc>
          <w:tcPr>
            <w:tcW w:w="677" w:type="pct"/>
            <w:tcBorders>
              <w:top w:val="single" w:sz="4" w:space="0" w:color="auto"/>
              <w:left w:val="single" w:sz="4" w:space="0" w:color="auto"/>
              <w:bottom w:val="single" w:sz="4" w:space="0" w:color="auto"/>
              <w:right w:val="single" w:sz="4" w:space="0" w:color="auto"/>
            </w:tcBorders>
            <w:vAlign w:val="center"/>
          </w:tcPr>
          <w:p w14:paraId="113D110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EC1FAEC" w14:textId="77777777" w:rsidR="00E57DAA" w:rsidRDefault="00AC4185">
            <w:pPr>
              <w:autoSpaceDE w:val="0"/>
              <w:autoSpaceDN w:val="0"/>
              <w:adjustRightInd w:val="0"/>
              <w:rPr>
                <w:szCs w:val="21"/>
              </w:rPr>
            </w:pPr>
            <w:r>
              <w:t>云南师宗西南水泥有限公司</w:t>
            </w:r>
          </w:p>
        </w:tc>
        <w:tc>
          <w:tcPr>
            <w:tcW w:w="633" w:type="pct"/>
            <w:tcBorders>
              <w:top w:val="single" w:sz="4" w:space="0" w:color="auto"/>
              <w:left w:val="single" w:sz="4" w:space="0" w:color="auto"/>
              <w:bottom w:val="single" w:sz="4" w:space="0" w:color="auto"/>
              <w:right w:val="single" w:sz="4" w:space="0" w:color="auto"/>
            </w:tcBorders>
          </w:tcPr>
          <w:p w14:paraId="22C42C58" w14:textId="77777777" w:rsidR="00E57DAA" w:rsidRDefault="00AC4185">
            <w:pPr>
              <w:autoSpaceDE w:val="0"/>
              <w:autoSpaceDN w:val="0"/>
              <w:adjustRightInd w:val="0"/>
              <w:jc w:val="right"/>
              <w:rPr>
                <w:szCs w:val="21"/>
              </w:rPr>
            </w:pPr>
            <w:r>
              <w:t>225,000.00</w:t>
            </w:r>
          </w:p>
        </w:tc>
        <w:tc>
          <w:tcPr>
            <w:tcW w:w="632" w:type="pct"/>
            <w:tcBorders>
              <w:top w:val="single" w:sz="4" w:space="0" w:color="auto"/>
              <w:left w:val="single" w:sz="4" w:space="0" w:color="auto"/>
              <w:bottom w:val="single" w:sz="4" w:space="0" w:color="auto"/>
              <w:right w:val="single" w:sz="4" w:space="0" w:color="auto"/>
            </w:tcBorders>
          </w:tcPr>
          <w:p w14:paraId="5AE5E224" w14:textId="77777777" w:rsidR="00E57DAA" w:rsidRDefault="00AC4185">
            <w:pPr>
              <w:autoSpaceDE w:val="0"/>
              <w:autoSpaceDN w:val="0"/>
              <w:adjustRightInd w:val="0"/>
              <w:jc w:val="right"/>
              <w:rPr>
                <w:szCs w:val="21"/>
              </w:rPr>
            </w:pPr>
            <w:r>
              <w:t>5,332.50</w:t>
            </w:r>
          </w:p>
        </w:tc>
        <w:tc>
          <w:tcPr>
            <w:tcW w:w="703" w:type="pct"/>
            <w:tcBorders>
              <w:top w:val="single" w:sz="4" w:space="0" w:color="auto"/>
              <w:left w:val="single" w:sz="4" w:space="0" w:color="auto"/>
              <w:bottom w:val="single" w:sz="4" w:space="0" w:color="auto"/>
              <w:right w:val="single" w:sz="4" w:space="0" w:color="auto"/>
            </w:tcBorders>
          </w:tcPr>
          <w:p w14:paraId="4021656E" w14:textId="77777777" w:rsidR="00E57DAA" w:rsidRDefault="00AC4185">
            <w:pPr>
              <w:autoSpaceDE w:val="0"/>
              <w:autoSpaceDN w:val="0"/>
              <w:adjustRightInd w:val="0"/>
              <w:jc w:val="right"/>
              <w:rPr>
                <w:szCs w:val="21"/>
              </w:rPr>
            </w:pPr>
            <w:r>
              <w:t>500</w:t>
            </w:r>
          </w:p>
        </w:tc>
        <w:tc>
          <w:tcPr>
            <w:tcW w:w="914" w:type="pct"/>
            <w:tcBorders>
              <w:top w:val="single" w:sz="4" w:space="0" w:color="auto"/>
              <w:left w:val="single" w:sz="4" w:space="0" w:color="auto"/>
              <w:bottom w:val="single" w:sz="4" w:space="0" w:color="auto"/>
              <w:right w:val="single" w:sz="4" w:space="0" w:color="auto"/>
            </w:tcBorders>
          </w:tcPr>
          <w:p w14:paraId="5C3D0B72" w14:textId="77777777" w:rsidR="00E57DAA" w:rsidRDefault="00AC4185">
            <w:pPr>
              <w:autoSpaceDE w:val="0"/>
              <w:autoSpaceDN w:val="0"/>
              <w:adjustRightInd w:val="0"/>
              <w:jc w:val="right"/>
              <w:rPr>
                <w:szCs w:val="21"/>
              </w:rPr>
            </w:pPr>
            <w:r>
              <w:t>25</w:t>
            </w:r>
          </w:p>
        </w:tc>
      </w:tr>
      <w:tr w:rsidR="00E57DAA" w14:paraId="04EDAAF8" w14:textId="77777777">
        <w:tc>
          <w:tcPr>
            <w:tcW w:w="677" w:type="pct"/>
            <w:tcBorders>
              <w:top w:val="single" w:sz="4" w:space="0" w:color="auto"/>
              <w:left w:val="single" w:sz="4" w:space="0" w:color="auto"/>
              <w:bottom w:val="single" w:sz="4" w:space="0" w:color="auto"/>
              <w:right w:val="single" w:sz="4" w:space="0" w:color="auto"/>
            </w:tcBorders>
            <w:vAlign w:val="center"/>
          </w:tcPr>
          <w:p w14:paraId="18C4E20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420F22D" w14:textId="77777777" w:rsidR="00E57DAA" w:rsidRDefault="00AC4185">
            <w:pPr>
              <w:autoSpaceDE w:val="0"/>
              <w:autoSpaceDN w:val="0"/>
              <w:adjustRightInd w:val="0"/>
              <w:rPr>
                <w:szCs w:val="21"/>
              </w:rPr>
            </w:pPr>
            <w:r>
              <w:t>上海宝山南方水泥有限公司</w:t>
            </w:r>
          </w:p>
        </w:tc>
        <w:tc>
          <w:tcPr>
            <w:tcW w:w="633" w:type="pct"/>
            <w:tcBorders>
              <w:top w:val="single" w:sz="4" w:space="0" w:color="auto"/>
              <w:left w:val="single" w:sz="4" w:space="0" w:color="auto"/>
              <w:bottom w:val="single" w:sz="4" w:space="0" w:color="auto"/>
              <w:right w:val="single" w:sz="4" w:space="0" w:color="auto"/>
            </w:tcBorders>
          </w:tcPr>
          <w:p w14:paraId="0EF77FF1" w14:textId="77777777" w:rsidR="00E57DAA" w:rsidRDefault="00AC4185">
            <w:pPr>
              <w:autoSpaceDE w:val="0"/>
              <w:autoSpaceDN w:val="0"/>
              <w:adjustRightInd w:val="0"/>
              <w:jc w:val="right"/>
              <w:rPr>
                <w:szCs w:val="21"/>
              </w:rPr>
            </w:pPr>
            <w:r>
              <w:t>294,200.00</w:t>
            </w:r>
          </w:p>
        </w:tc>
        <w:tc>
          <w:tcPr>
            <w:tcW w:w="632" w:type="pct"/>
            <w:tcBorders>
              <w:top w:val="single" w:sz="4" w:space="0" w:color="auto"/>
              <w:left w:val="single" w:sz="4" w:space="0" w:color="auto"/>
              <w:bottom w:val="single" w:sz="4" w:space="0" w:color="auto"/>
              <w:right w:val="single" w:sz="4" w:space="0" w:color="auto"/>
            </w:tcBorders>
          </w:tcPr>
          <w:p w14:paraId="47F400FD" w14:textId="77777777" w:rsidR="00E57DAA" w:rsidRDefault="00AC4185">
            <w:pPr>
              <w:autoSpaceDE w:val="0"/>
              <w:autoSpaceDN w:val="0"/>
              <w:adjustRightInd w:val="0"/>
              <w:jc w:val="right"/>
              <w:rPr>
                <w:szCs w:val="21"/>
              </w:rPr>
            </w:pPr>
            <w:r>
              <w:t>294,200.00</w:t>
            </w:r>
          </w:p>
        </w:tc>
        <w:tc>
          <w:tcPr>
            <w:tcW w:w="703" w:type="pct"/>
            <w:tcBorders>
              <w:top w:val="single" w:sz="4" w:space="0" w:color="auto"/>
              <w:left w:val="single" w:sz="4" w:space="0" w:color="auto"/>
              <w:bottom w:val="single" w:sz="4" w:space="0" w:color="auto"/>
              <w:right w:val="single" w:sz="4" w:space="0" w:color="auto"/>
            </w:tcBorders>
          </w:tcPr>
          <w:p w14:paraId="76D6CBD7" w14:textId="77777777" w:rsidR="00E57DAA" w:rsidRDefault="00AC4185">
            <w:pPr>
              <w:autoSpaceDE w:val="0"/>
              <w:autoSpaceDN w:val="0"/>
              <w:adjustRightInd w:val="0"/>
              <w:jc w:val="right"/>
              <w:rPr>
                <w:szCs w:val="21"/>
              </w:rPr>
            </w:pPr>
            <w:r>
              <w:t>224,200.00</w:t>
            </w:r>
          </w:p>
        </w:tc>
        <w:tc>
          <w:tcPr>
            <w:tcW w:w="914" w:type="pct"/>
            <w:tcBorders>
              <w:top w:val="single" w:sz="4" w:space="0" w:color="auto"/>
              <w:left w:val="single" w:sz="4" w:space="0" w:color="auto"/>
              <w:bottom w:val="single" w:sz="4" w:space="0" w:color="auto"/>
              <w:right w:val="single" w:sz="4" w:space="0" w:color="auto"/>
            </w:tcBorders>
          </w:tcPr>
          <w:p w14:paraId="2956E075" w14:textId="77777777" w:rsidR="00E57DAA" w:rsidRDefault="00AC4185">
            <w:pPr>
              <w:autoSpaceDE w:val="0"/>
              <w:autoSpaceDN w:val="0"/>
              <w:adjustRightInd w:val="0"/>
              <w:jc w:val="right"/>
              <w:rPr>
                <w:szCs w:val="21"/>
              </w:rPr>
            </w:pPr>
            <w:r>
              <w:t>224,200.00</w:t>
            </w:r>
          </w:p>
        </w:tc>
      </w:tr>
      <w:tr w:rsidR="00E57DAA" w14:paraId="5798D060" w14:textId="77777777">
        <w:tc>
          <w:tcPr>
            <w:tcW w:w="677" w:type="pct"/>
            <w:tcBorders>
              <w:top w:val="single" w:sz="4" w:space="0" w:color="auto"/>
              <w:left w:val="single" w:sz="4" w:space="0" w:color="auto"/>
              <w:bottom w:val="single" w:sz="4" w:space="0" w:color="auto"/>
              <w:right w:val="single" w:sz="4" w:space="0" w:color="auto"/>
            </w:tcBorders>
            <w:vAlign w:val="center"/>
          </w:tcPr>
          <w:p w14:paraId="2CC4A3F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ED40E16" w14:textId="77777777" w:rsidR="00E57DAA" w:rsidRDefault="00AC4185">
            <w:pPr>
              <w:autoSpaceDE w:val="0"/>
              <w:autoSpaceDN w:val="0"/>
              <w:adjustRightInd w:val="0"/>
              <w:rPr>
                <w:szCs w:val="21"/>
              </w:rPr>
            </w:pPr>
            <w:r>
              <w:t>五河中联水泥有限公司</w:t>
            </w:r>
          </w:p>
        </w:tc>
        <w:tc>
          <w:tcPr>
            <w:tcW w:w="633" w:type="pct"/>
            <w:tcBorders>
              <w:top w:val="single" w:sz="4" w:space="0" w:color="auto"/>
              <w:left w:val="single" w:sz="4" w:space="0" w:color="auto"/>
              <w:bottom w:val="single" w:sz="4" w:space="0" w:color="auto"/>
              <w:right w:val="single" w:sz="4" w:space="0" w:color="auto"/>
            </w:tcBorders>
          </w:tcPr>
          <w:p w14:paraId="782D080D" w14:textId="77777777" w:rsidR="00E57DAA" w:rsidRDefault="00AC4185">
            <w:pPr>
              <w:autoSpaceDE w:val="0"/>
              <w:autoSpaceDN w:val="0"/>
              <w:adjustRightInd w:val="0"/>
              <w:jc w:val="right"/>
              <w:rPr>
                <w:szCs w:val="21"/>
              </w:rPr>
            </w:pPr>
            <w:r>
              <w:t>205,000.00</w:t>
            </w:r>
          </w:p>
        </w:tc>
        <w:tc>
          <w:tcPr>
            <w:tcW w:w="632" w:type="pct"/>
            <w:tcBorders>
              <w:top w:val="single" w:sz="4" w:space="0" w:color="auto"/>
              <w:left w:val="single" w:sz="4" w:space="0" w:color="auto"/>
              <w:bottom w:val="single" w:sz="4" w:space="0" w:color="auto"/>
              <w:right w:val="single" w:sz="4" w:space="0" w:color="auto"/>
            </w:tcBorders>
          </w:tcPr>
          <w:p w14:paraId="729AE56A" w14:textId="77777777" w:rsidR="00E57DAA" w:rsidRDefault="00AC4185">
            <w:pPr>
              <w:autoSpaceDE w:val="0"/>
              <w:autoSpaceDN w:val="0"/>
              <w:adjustRightInd w:val="0"/>
              <w:jc w:val="right"/>
              <w:rPr>
                <w:szCs w:val="21"/>
              </w:rPr>
            </w:pPr>
            <w:r>
              <w:t>143,500.00</w:t>
            </w:r>
          </w:p>
        </w:tc>
        <w:tc>
          <w:tcPr>
            <w:tcW w:w="703" w:type="pct"/>
            <w:tcBorders>
              <w:top w:val="single" w:sz="4" w:space="0" w:color="auto"/>
              <w:left w:val="single" w:sz="4" w:space="0" w:color="auto"/>
              <w:bottom w:val="single" w:sz="4" w:space="0" w:color="auto"/>
              <w:right w:val="single" w:sz="4" w:space="0" w:color="auto"/>
            </w:tcBorders>
          </w:tcPr>
          <w:p w14:paraId="3B5FF5BD" w14:textId="77777777" w:rsidR="00E57DAA" w:rsidRDefault="00AC4185">
            <w:pPr>
              <w:autoSpaceDE w:val="0"/>
              <w:autoSpaceDN w:val="0"/>
              <w:adjustRightInd w:val="0"/>
              <w:jc w:val="right"/>
              <w:rPr>
                <w:szCs w:val="21"/>
              </w:rPr>
            </w:pPr>
            <w:r>
              <w:t>205,000.00</w:t>
            </w:r>
          </w:p>
        </w:tc>
        <w:tc>
          <w:tcPr>
            <w:tcW w:w="914" w:type="pct"/>
            <w:tcBorders>
              <w:top w:val="single" w:sz="4" w:space="0" w:color="auto"/>
              <w:left w:val="single" w:sz="4" w:space="0" w:color="auto"/>
              <w:bottom w:val="single" w:sz="4" w:space="0" w:color="auto"/>
              <w:right w:val="single" w:sz="4" w:space="0" w:color="auto"/>
            </w:tcBorders>
          </w:tcPr>
          <w:p w14:paraId="6B633298" w14:textId="77777777" w:rsidR="00E57DAA" w:rsidRDefault="00AC4185">
            <w:pPr>
              <w:autoSpaceDE w:val="0"/>
              <w:autoSpaceDN w:val="0"/>
              <w:adjustRightInd w:val="0"/>
              <w:jc w:val="right"/>
              <w:rPr>
                <w:szCs w:val="21"/>
              </w:rPr>
            </w:pPr>
            <w:r>
              <w:t>82,000.00</w:t>
            </w:r>
          </w:p>
        </w:tc>
      </w:tr>
      <w:tr w:rsidR="00E57DAA" w14:paraId="6624EC7C" w14:textId="77777777">
        <w:tc>
          <w:tcPr>
            <w:tcW w:w="677" w:type="pct"/>
            <w:tcBorders>
              <w:top w:val="single" w:sz="4" w:space="0" w:color="auto"/>
              <w:left w:val="single" w:sz="4" w:space="0" w:color="auto"/>
              <w:bottom w:val="single" w:sz="4" w:space="0" w:color="auto"/>
              <w:right w:val="single" w:sz="4" w:space="0" w:color="auto"/>
            </w:tcBorders>
            <w:vAlign w:val="center"/>
          </w:tcPr>
          <w:p w14:paraId="1C7EE71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B742CA1" w14:textId="77777777" w:rsidR="00E57DAA" w:rsidRDefault="00AC4185">
            <w:pPr>
              <w:autoSpaceDE w:val="0"/>
              <w:autoSpaceDN w:val="0"/>
              <w:adjustRightInd w:val="0"/>
              <w:rPr>
                <w:szCs w:val="21"/>
              </w:rPr>
            </w:pPr>
            <w:r>
              <w:t>湖州白岘南方水泥有限公司</w:t>
            </w:r>
          </w:p>
        </w:tc>
        <w:tc>
          <w:tcPr>
            <w:tcW w:w="633" w:type="pct"/>
            <w:tcBorders>
              <w:top w:val="single" w:sz="4" w:space="0" w:color="auto"/>
              <w:left w:val="single" w:sz="4" w:space="0" w:color="auto"/>
              <w:bottom w:val="single" w:sz="4" w:space="0" w:color="auto"/>
              <w:right w:val="single" w:sz="4" w:space="0" w:color="auto"/>
            </w:tcBorders>
          </w:tcPr>
          <w:p w14:paraId="42E0FD12" w14:textId="77777777" w:rsidR="00E57DAA" w:rsidRDefault="00AC4185">
            <w:pPr>
              <w:autoSpaceDE w:val="0"/>
              <w:autoSpaceDN w:val="0"/>
              <w:adjustRightInd w:val="0"/>
              <w:jc w:val="right"/>
              <w:rPr>
                <w:szCs w:val="21"/>
              </w:rPr>
            </w:pPr>
            <w:r>
              <w:t>203,000.00</w:t>
            </w:r>
          </w:p>
        </w:tc>
        <w:tc>
          <w:tcPr>
            <w:tcW w:w="632" w:type="pct"/>
            <w:tcBorders>
              <w:top w:val="single" w:sz="4" w:space="0" w:color="auto"/>
              <w:left w:val="single" w:sz="4" w:space="0" w:color="auto"/>
              <w:bottom w:val="single" w:sz="4" w:space="0" w:color="auto"/>
              <w:right w:val="single" w:sz="4" w:space="0" w:color="auto"/>
            </w:tcBorders>
          </w:tcPr>
          <w:p w14:paraId="4C597A8C" w14:textId="77777777" w:rsidR="00E57DAA" w:rsidRDefault="00AC4185">
            <w:pPr>
              <w:autoSpaceDE w:val="0"/>
              <w:autoSpaceDN w:val="0"/>
              <w:adjustRightInd w:val="0"/>
              <w:jc w:val="right"/>
              <w:rPr>
                <w:szCs w:val="21"/>
              </w:rPr>
            </w:pPr>
            <w:r>
              <w:t>122,968.50</w:t>
            </w:r>
          </w:p>
        </w:tc>
        <w:tc>
          <w:tcPr>
            <w:tcW w:w="703" w:type="pct"/>
            <w:tcBorders>
              <w:top w:val="single" w:sz="4" w:space="0" w:color="auto"/>
              <w:left w:val="single" w:sz="4" w:space="0" w:color="auto"/>
              <w:bottom w:val="single" w:sz="4" w:space="0" w:color="auto"/>
              <w:right w:val="single" w:sz="4" w:space="0" w:color="auto"/>
            </w:tcBorders>
          </w:tcPr>
          <w:p w14:paraId="1FBF32FD" w14:textId="77777777" w:rsidR="00E57DAA" w:rsidRDefault="00AC4185">
            <w:pPr>
              <w:autoSpaceDE w:val="0"/>
              <w:autoSpaceDN w:val="0"/>
              <w:adjustRightInd w:val="0"/>
              <w:jc w:val="right"/>
              <w:rPr>
                <w:szCs w:val="21"/>
              </w:rPr>
            </w:pPr>
            <w:r>
              <w:t>10,718,827.89</w:t>
            </w:r>
          </w:p>
        </w:tc>
        <w:tc>
          <w:tcPr>
            <w:tcW w:w="914" w:type="pct"/>
            <w:tcBorders>
              <w:top w:val="single" w:sz="4" w:space="0" w:color="auto"/>
              <w:left w:val="single" w:sz="4" w:space="0" w:color="auto"/>
              <w:bottom w:val="single" w:sz="4" w:space="0" w:color="auto"/>
              <w:right w:val="single" w:sz="4" w:space="0" w:color="auto"/>
            </w:tcBorders>
          </w:tcPr>
          <w:p w14:paraId="0513DD7E" w14:textId="77777777" w:rsidR="00E57DAA" w:rsidRDefault="00AC4185">
            <w:pPr>
              <w:autoSpaceDE w:val="0"/>
              <w:autoSpaceDN w:val="0"/>
              <w:adjustRightInd w:val="0"/>
              <w:jc w:val="right"/>
              <w:rPr>
                <w:szCs w:val="21"/>
              </w:rPr>
            </w:pPr>
            <w:r>
              <w:t>700,285.00</w:t>
            </w:r>
          </w:p>
        </w:tc>
      </w:tr>
      <w:tr w:rsidR="00E57DAA" w14:paraId="312E800C" w14:textId="77777777">
        <w:tc>
          <w:tcPr>
            <w:tcW w:w="677" w:type="pct"/>
            <w:tcBorders>
              <w:top w:val="single" w:sz="4" w:space="0" w:color="auto"/>
              <w:left w:val="single" w:sz="4" w:space="0" w:color="auto"/>
              <w:bottom w:val="single" w:sz="4" w:space="0" w:color="auto"/>
              <w:right w:val="single" w:sz="4" w:space="0" w:color="auto"/>
            </w:tcBorders>
            <w:vAlign w:val="center"/>
          </w:tcPr>
          <w:p w14:paraId="3191365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ADEE45A" w14:textId="77777777" w:rsidR="00E57DAA" w:rsidRDefault="00AC4185">
            <w:pPr>
              <w:autoSpaceDE w:val="0"/>
              <w:autoSpaceDN w:val="0"/>
              <w:adjustRightInd w:val="0"/>
              <w:rPr>
                <w:szCs w:val="21"/>
              </w:rPr>
            </w:pPr>
            <w:r>
              <w:t>会东利森水泥有限公司</w:t>
            </w:r>
          </w:p>
        </w:tc>
        <w:tc>
          <w:tcPr>
            <w:tcW w:w="633" w:type="pct"/>
            <w:tcBorders>
              <w:top w:val="single" w:sz="4" w:space="0" w:color="auto"/>
              <w:left w:val="single" w:sz="4" w:space="0" w:color="auto"/>
              <w:bottom w:val="single" w:sz="4" w:space="0" w:color="auto"/>
              <w:right w:val="single" w:sz="4" w:space="0" w:color="auto"/>
            </w:tcBorders>
          </w:tcPr>
          <w:p w14:paraId="43EB1960"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2D39590F" w14:textId="77777777" w:rsidR="00E57DAA" w:rsidRDefault="00AC4185">
            <w:pPr>
              <w:autoSpaceDE w:val="0"/>
              <w:autoSpaceDN w:val="0"/>
              <w:adjustRightInd w:val="0"/>
              <w:jc w:val="right"/>
              <w:rPr>
                <w:szCs w:val="21"/>
              </w:rPr>
            </w:pPr>
            <w:r>
              <w:t>800</w:t>
            </w:r>
          </w:p>
        </w:tc>
        <w:tc>
          <w:tcPr>
            <w:tcW w:w="703" w:type="pct"/>
            <w:tcBorders>
              <w:top w:val="single" w:sz="4" w:space="0" w:color="auto"/>
              <w:left w:val="single" w:sz="4" w:space="0" w:color="auto"/>
              <w:bottom w:val="single" w:sz="4" w:space="0" w:color="auto"/>
              <w:right w:val="single" w:sz="4" w:space="0" w:color="auto"/>
            </w:tcBorders>
          </w:tcPr>
          <w:p w14:paraId="0C1A5E7B" w14:textId="77777777" w:rsidR="00E57DAA" w:rsidRDefault="00AC4185">
            <w:pPr>
              <w:autoSpaceDE w:val="0"/>
              <w:autoSpaceDN w:val="0"/>
              <w:adjustRightInd w:val="0"/>
              <w:jc w:val="right"/>
              <w:rPr>
                <w:szCs w:val="21"/>
              </w:rPr>
            </w:pPr>
            <w:r>
              <w:t>7,919,750.54</w:t>
            </w:r>
          </w:p>
        </w:tc>
        <w:tc>
          <w:tcPr>
            <w:tcW w:w="914" w:type="pct"/>
            <w:tcBorders>
              <w:top w:val="single" w:sz="4" w:space="0" w:color="auto"/>
              <w:left w:val="single" w:sz="4" w:space="0" w:color="auto"/>
              <w:bottom w:val="single" w:sz="4" w:space="0" w:color="auto"/>
              <w:right w:val="single" w:sz="4" w:space="0" w:color="auto"/>
            </w:tcBorders>
          </w:tcPr>
          <w:p w14:paraId="6AA759D7" w14:textId="77777777" w:rsidR="00E57DAA" w:rsidRDefault="00AC4185">
            <w:pPr>
              <w:autoSpaceDE w:val="0"/>
              <w:autoSpaceDN w:val="0"/>
              <w:adjustRightInd w:val="0"/>
              <w:jc w:val="right"/>
              <w:rPr>
                <w:szCs w:val="21"/>
              </w:rPr>
            </w:pPr>
            <w:r>
              <w:t>395,987.53</w:t>
            </w:r>
          </w:p>
        </w:tc>
      </w:tr>
      <w:tr w:rsidR="00E57DAA" w14:paraId="29069680" w14:textId="77777777">
        <w:tc>
          <w:tcPr>
            <w:tcW w:w="677" w:type="pct"/>
            <w:tcBorders>
              <w:top w:val="single" w:sz="4" w:space="0" w:color="auto"/>
              <w:left w:val="single" w:sz="4" w:space="0" w:color="auto"/>
              <w:bottom w:val="single" w:sz="4" w:space="0" w:color="auto"/>
              <w:right w:val="single" w:sz="4" w:space="0" w:color="auto"/>
            </w:tcBorders>
            <w:vAlign w:val="center"/>
          </w:tcPr>
          <w:p w14:paraId="5FF3184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F69C42" w14:textId="77777777" w:rsidR="00E57DAA" w:rsidRDefault="00AC4185">
            <w:pPr>
              <w:autoSpaceDE w:val="0"/>
              <w:autoSpaceDN w:val="0"/>
              <w:adjustRightInd w:val="0"/>
              <w:rPr>
                <w:szCs w:val="21"/>
              </w:rPr>
            </w:pPr>
            <w:r>
              <w:t>山东临沂山琦矿业有限公司</w:t>
            </w:r>
          </w:p>
        </w:tc>
        <w:tc>
          <w:tcPr>
            <w:tcW w:w="633" w:type="pct"/>
            <w:tcBorders>
              <w:top w:val="single" w:sz="4" w:space="0" w:color="auto"/>
              <w:left w:val="single" w:sz="4" w:space="0" w:color="auto"/>
              <w:bottom w:val="single" w:sz="4" w:space="0" w:color="auto"/>
              <w:right w:val="single" w:sz="4" w:space="0" w:color="auto"/>
            </w:tcBorders>
          </w:tcPr>
          <w:p w14:paraId="0ED54242" w14:textId="77777777" w:rsidR="00E57DAA" w:rsidRDefault="00AC4185">
            <w:pPr>
              <w:autoSpaceDE w:val="0"/>
              <w:autoSpaceDN w:val="0"/>
              <w:adjustRightInd w:val="0"/>
              <w:jc w:val="right"/>
              <w:rPr>
                <w:szCs w:val="21"/>
              </w:rPr>
            </w:pPr>
            <w:r>
              <w:t>196,000.00</w:t>
            </w:r>
          </w:p>
        </w:tc>
        <w:tc>
          <w:tcPr>
            <w:tcW w:w="632" w:type="pct"/>
            <w:tcBorders>
              <w:top w:val="single" w:sz="4" w:space="0" w:color="auto"/>
              <w:left w:val="single" w:sz="4" w:space="0" w:color="auto"/>
              <w:bottom w:val="single" w:sz="4" w:space="0" w:color="auto"/>
              <w:right w:val="single" w:sz="4" w:space="0" w:color="auto"/>
            </w:tcBorders>
          </w:tcPr>
          <w:p w14:paraId="265B8CE2" w14:textId="77777777" w:rsidR="00E57DAA" w:rsidRDefault="00AC4185">
            <w:pPr>
              <w:autoSpaceDE w:val="0"/>
              <w:autoSpaceDN w:val="0"/>
              <w:adjustRightInd w:val="0"/>
              <w:jc w:val="right"/>
              <w:rPr>
                <w:szCs w:val="21"/>
              </w:rPr>
            </w:pPr>
            <w:r>
              <w:t>9,800.00</w:t>
            </w:r>
          </w:p>
        </w:tc>
        <w:tc>
          <w:tcPr>
            <w:tcW w:w="703" w:type="pct"/>
            <w:tcBorders>
              <w:top w:val="single" w:sz="4" w:space="0" w:color="auto"/>
              <w:left w:val="single" w:sz="4" w:space="0" w:color="auto"/>
              <w:bottom w:val="single" w:sz="4" w:space="0" w:color="auto"/>
              <w:right w:val="single" w:sz="4" w:space="0" w:color="auto"/>
            </w:tcBorders>
          </w:tcPr>
          <w:p w14:paraId="213888B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0E129A0" w14:textId="77777777" w:rsidR="00E57DAA" w:rsidRDefault="00AC4185">
            <w:pPr>
              <w:autoSpaceDE w:val="0"/>
              <w:autoSpaceDN w:val="0"/>
              <w:adjustRightInd w:val="0"/>
              <w:jc w:val="right"/>
              <w:rPr>
                <w:szCs w:val="21"/>
              </w:rPr>
            </w:pPr>
            <w:r>
              <w:t xml:space="preserve">　</w:t>
            </w:r>
          </w:p>
        </w:tc>
      </w:tr>
      <w:tr w:rsidR="00E57DAA" w14:paraId="7B87B168" w14:textId="77777777">
        <w:tc>
          <w:tcPr>
            <w:tcW w:w="677" w:type="pct"/>
            <w:tcBorders>
              <w:top w:val="single" w:sz="4" w:space="0" w:color="auto"/>
              <w:left w:val="single" w:sz="4" w:space="0" w:color="auto"/>
              <w:bottom w:val="single" w:sz="4" w:space="0" w:color="auto"/>
              <w:right w:val="single" w:sz="4" w:space="0" w:color="auto"/>
            </w:tcBorders>
            <w:vAlign w:val="center"/>
          </w:tcPr>
          <w:p w14:paraId="7CC868E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F6CDC1B" w14:textId="77777777" w:rsidR="00E57DAA" w:rsidRDefault="00AC4185">
            <w:pPr>
              <w:autoSpaceDE w:val="0"/>
              <w:autoSpaceDN w:val="0"/>
              <w:adjustRightInd w:val="0"/>
              <w:rPr>
                <w:szCs w:val="21"/>
              </w:rPr>
            </w:pPr>
            <w:r>
              <w:t>泰山石膏有限公司</w:t>
            </w:r>
          </w:p>
        </w:tc>
        <w:tc>
          <w:tcPr>
            <w:tcW w:w="633" w:type="pct"/>
            <w:tcBorders>
              <w:top w:val="single" w:sz="4" w:space="0" w:color="auto"/>
              <w:left w:val="single" w:sz="4" w:space="0" w:color="auto"/>
              <w:bottom w:val="single" w:sz="4" w:space="0" w:color="auto"/>
              <w:right w:val="single" w:sz="4" w:space="0" w:color="auto"/>
            </w:tcBorders>
          </w:tcPr>
          <w:p w14:paraId="7E44B339" w14:textId="77777777" w:rsidR="00E57DAA" w:rsidRDefault="00AC4185">
            <w:pPr>
              <w:autoSpaceDE w:val="0"/>
              <w:autoSpaceDN w:val="0"/>
              <w:adjustRightInd w:val="0"/>
              <w:jc w:val="right"/>
              <w:rPr>
                <w:szCs w:val="21"/>
              </w:rPr>
            </w:pPr>
            <w:r>
              <w:t>190,195.00</w:t>
            </w:r>
          </w:p>
        </w:tc>
        <w:tc>
          <w:tcPr>
            <w:tcW w:w="632" w:type="pct"/>
            <w:tcBorders>
              <w:top w:val="single" w:sz="4" w:space="0" w:color="auto"/>
              <w:left w:val="single" w:sz="4" w:space="0" w:color="auto"/>
              <w:bottom w:val="single" w:sz="4" w:space="0" w:color="auto"/>
              <w:right w:val="single" w:sz="4" w:space="0" w:color="auto"/>
            </w:tcBorders>
          </w:tcPr>
          <w:p w14:paraId="2C9C937C" w14:textId="77777777" w:rsidR="00E57DAA" w:rsidRDefault="00AC4185">
            <w:pPr>
              <w:autoSpaceDE w:val="0"/>
              <w:autoSpaceDN w:val="0"/>
              <w:adjustRightInd w:val="0"/>
              <w:jc w:val="right"/>
              <w:rPr>
                <w:szCs w:val="21"/>
              </w:rPr>
            </w:pPr>
            <w:r>
              <w:t>12,499.88</w:t>
            </w:r>
          </w:p>
        </w:tc>
        <w:tc>
          <w:tcPr>
            <w:tcW w:w="703" w:type="pct"/>
            <w:tcBorders>
              <w:top w:val="single" w:sz="4" w:space="0" w:color="auto"/>
              <w:left w:val="single" w:sz="4" w:space="0" w:color="auto"/>
              <w:bottom w:val="single" w:sz="4" w:space="0" w:color="auto"/>
              <w:right w:val="single" w:sz="4" w:space="0" w:color="auto"/>
            </w:tcBorders>
          </w:tcPr>
          <w:p w14:paraId="0DD2C69B" w14:textId="77777777" w:rsidR="00E57DAA" w:rsidRDefault="00AC4185">
            <w:pPr>
              <w:autoSpaceDE w:val="0"/>
              <w:autoSpaceDN w:val="0"/>
              <w:adjustRightInd w:val="0"/>
              <w:jc w:val="right"/>
              <w:rPr>
                <w:szCs w:val="21"/>
              </w:rPr>
            </w:pPr>
            <w:r>
              <w:t>382,000.00</w:t>
            </w:r>
          </w:p>
        </w:tc>
        <w:tc>
          <w:tcPr>
            <w:tcW w:w="914" w:type="pct"/>
            <w:tcBorders>
              <w:top w:val="single" w:sz="4" w:space="0" w:color="auto"/>
              <w:left w:val="single" w:sz="4" w:space="0" w:color="auto"/>
              <w:bottom w:val="single" w:sz="4" w:space="0" w:color="auto"/>
              <w:right w:val="single" w:sz="4" w:space="0" w:color="auto"/>
            </w:tcBorders>
          </w:tcPr>
          <w:p w14:paraId="6A19D184" w14:textId="77777777" w:rsidR="00E57DAA" w:rsidRDefault="00AC4185">
            <w:pPr>
              <w:autoSpaceDE w:val="0"/>
              <w:autoSpaceDN w:val="0"/>
              <w:adjustRightInd w:val="0"/>
              <w:jc w:val="right"/>
              <w:rPr>
                <w:szCs w:val="21"/>
              </w:rPr>
            </w:pPr>
            <w:r>
              <w:t>9,053.40</w:t>
            </w:r>
          </w:p>
        </w:tc>
      </w:tr>
      <w:tr w:rsidR="00E57DAA" w14:paraId="36823BF0" w14:textId="77777777">
        <w:tc>
          <w:tcPr>
            <w:tcW w:w="677" w:type="pct"/>
            <w:tcBorders>
              <w:top w:val="single" w:sz="4" w:space="0" w:color="auto"/>
              <w:left w:val="single" w:sz="4" w:space="0" w:color="auto"/>
              <w:bottom w:val="single" w:sz="4" w:space="0" w:color="auto"/>
              <w:right w:val="single" w:sz="4" w:space="0" w:color="auto"/>
            </w:tcBorders>
            <w:vAlign w:val="center"/>
          </w:tcPr>
          <w:p w14:paraId="1FADD7A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B37A2BF" w14:textId="77777777" w:rsidR="00E57DAA" w:rsidRDefault="00AC4185">
            <w:pPr>
              <w:autoSpaceDE w:val="0"/>
              <w:autoSpaceDN w:val="0"/>
              <w:adjustRightInd w:val="0"/>
              <w:rPr>
                <w:szCs w:val="21"/>
              </w:rPr>
            </w:pPr>
            <w:r>
              <w:t>贵州思南西南水泥有限公司</w:t>
            </w:r>
          </w:p>
        </w:tc>
        <w:tc>
          <w:tcPr>
            <w:tcW w:w="633" w:type="pct"/>
            <w:tcBorders>
              <w:top w:val="single" w:sz="4" w:space="0" w:color="auto"/>
              <w:left w:val="single" w:sz="4" w:space="0" w:color="auto"/>
              <w:bottom w:val="single" w:sz="4" w:space="0" w:color="auto"/>
              <w:right w:val="single" w:sz="4" w:space="0" w:color="auto"/>
            </w:tcBorders>
          </w:tcPr>
          <w:p w14:paraId="506B5B3E" w14:textId="77777777" w:rsidR="00E57DAA" w:rsidRDefault="00AC4185">
            <w:pPr>
              <w:autoSpaceDE w:val="0"/>
              <w:autoSpaceDN w:val="0"/>
              <w:adjustRightInd w:val="0"/>
              <w:jc w:val="right"/>
              <w:rPr>
                <w:szCs w:val="21"/>
              </w:rPr>
            </w:pPr>
            <w:r>
              <w:t>179,551.30</w:t>
            </w:r>
          </w:p>
        </w:tc>
        <w:tc>
          <w:tcPr>
            <w:tcW w:w="632" w:type="pct"/>
            <w:tcBorders>
              <w:top w:val="single" w:sz="4" w:space="0" w:color="auto"/>
              <w:left w:val="single" w:sz="4" w:space="0" w:color="auto"/>
              <w:bottom w:val="single" w:sz="4" w:space="0" w:color="auto"/>
              <w:right w:val="single" w:sz="4" w:space="0" w:color="auto"/>
            </w:tcBorders>
          </w:tcPr>
          <w:p w14:paraId="41983C0E" w14:textId="77777777" w:rsidR="00E57DAA" w:rsidRDefault="00AC4185">
            <w:pPr>
              <w:autoSpaceDE w:val="0"/>
              <w:autoSpaceDN w:val="0"/>
              <w:adjustRightInd w:val="0"/>
              <w:jc w:val="right"/>
              <w:rPr>
                <w:szCs w:val="21"/>
              </w:rPr>
            </w:pPr>
            <w:r>
              <w:t>4,255.37</w:t>
            </w:r>
          </w:p>
        </w:tc>
        <w:tc>
          <w:tcPr>
            <w:tcW w:w="703" w:type="pct"/>
            <w:tcBorders>
              <w:top w:val="single" w:sz="4" w:space="0" w:color="auto"/>
              <w:left w:val="single" w:sz="4" w:space="0" w:color="auto"/>
              <w:bottom w:val="single" w:sz="4" w:space="0" w:color="auto"/>
              <w:right w:val="single" w:sz="4" w:space="0" w:color="auto"/>
            </w:tcBorders>
          </w:tcPr>
          <w:p w14:paraId="0844B97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F8B8536" w14:textId="77777777" w:rsidR="00E57DAA" w:rsidRDefault="00AC4185">
            <w:pPr>
              <w:autoSpaceDE w:val="0"/>
              <w:autoSpaceDN w:val="0"/>
              <w:adjustRightInd w:val="0"/>
              <w:jc w:val="right"/>
              <w:rPr>
                <w:szCs w:val="21"/>
              </w:rPr>
            </w:pPr>
            <w:r>
              <w:t xml:space="preserve">　</w:t>
            </w:r>
          </w:p>
        </w:tc>
      </w:tr>
      <w:tr w:rsidR="00E57DAA" w14:paraId="7A4DF7B1" w14:textId="77777777">
        <w:tc>
          <w:tcPr>
            <w:tcW w:w="677" w:type="pct"/>
            <w:tcBorders>
              <w:top w:val="single" w:sz="4" w:space="0" w:color="auto"/>
              <w:left w:val="single" w:sz="4" w:space="0" w:color="auto"/>
              <w:bottom w:val="single" w:sz="4" w:space="0" w:color="auto"/>
              <w:right w:val="single" w:sz="4" w:space="0" w:color="auto"/>
            </w:tcBorders>
            <w:vAlign w:val="center"/>
          </w:tcPr>
          <w:p w14:paraId="3D423F6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1881F40" w14:textId="77777777" w:rsidR="00E57DAA" w:rsidRDefault="00AC4185">
            <w:pPr>
              <w:autoSpaceDE w:val="0"/>
              <w:autoSpaceDN w:val="0"/>
              <w:adjustRightInd w:val="0"/>
              <w:rPr>
                <w:szCs w:val="21"/>
              </w:rPr>
            </w:pPr>
            <w:r>
              <w:t>沙湾天山水泥有限责任公司</w:t>
            </w:r>
          </w:p>
        </w:tc>
        <w:tc>
          <w:tcPr>
            <w:tcW w:w="633" w:type="pct"/>
            <w:tcBorders>
              <w:top w:val="single" w:sz="4" w:space="0" w:color="auto"/>
              <w:left w:val="single" w:sz="4" w:space="0" w:color="auto"/>
              <w:bottom w:val="single" w:sz="4" w:space="0" w:color="auto"/>
              <w:right w:val="single" w:sz="4" w:space="0" w:color="auto"/>
            </w:tcBorders>
          </w:tcPr>
          <w:p w14:paraId="4E23AE3E" w14:textId="77777777" w:rsidR="00E57DAA" w:rsidRDefault="00AC4185">
            <w:pPr>
              <w:autoSpaceDE w:val="0"/>
              <w:autoSpaceDN w:val="0"/>
              <w:adjustRightInd w:val="0"/>
              <w:jc w:val="right"/>
              <w:rPr>
                <w:szCs w:val="21"/>
              </w:rPr>
            </w:pPr>
            <w:r>
              <w:t>170,470.10</w:t>
            </w:r>
          </w:p>
        </w:tc>
        <w:tc>
          <w:tcPr>
            <w:tcW w:w="632" w:type="pct"/>
            <w:tcBorders>
              <w:top w:val="single" w:sz="4" w:space="0" w:color="auto"/>
              <w:left w:val="single" w:sz="4" w:space="0" w:color="auto"/>
              <w:bottom w:val="single" w:sz="4" w:space="0" w:color="auto"/>
              <w:right w:val="single" w:sz="4" w:space="0" w:color="auto"/>
            </w:tcBorders>
          </w:tcPr>
          <w:p w14:paraId="49E0721D" w14:textId="77777777" w:rsidR="00E57DAA" w:rsidRDefault="00AC4185">
            <w:pPr>
              <w:autoSpaceDE w:val="0"/>
              <w:autoSpaceDN w:val="0"/>
              <w:adjustRightInd w:val="0"/>
              <w:jc w:val="right"/>
              <w:rPr>
                <w:szCs w:val="21"/>
              </w:rPr>
            </w:pPr>
            <w:r>
              <w:t>5,293.48</w:t>
            </w:r>
          </w:p>
        </w:tc>
        <w:tc>
          <w:tcPr>
            <w:tcW w:w="703" w:type="pct"/>
            <w:tcBorders>
              <w:top w:val="single" w:sz="4" w:space="0" w:color="auto"/>
              <w:left w:val="single" w:sz="4" w:space="0" w:color="auto"/>
              <w:bottom w:val="single" w:sz="4" w:space="0" w:color="auto"/>
              <w:right w:val="single" w:sz="4" w:space="0" w:color="auto"/>
            </w:tcBorders>
          </w:tcPr>
          <w:p w14:paraId="4286AA76" w14:textId="77777777" w:rsidR="00E57DAA" w:rsidRDefault="00AC4185">
            <w:pPr>
              <w:autoSpaceDE w:val="0"/>
              <w:autoSpaceDN w:val="0"/>
              <w:adjustRightInd w:val="0"/>
              <w:jc w:val="right"/>
              <w:rPr>
                <w:szCs w:val="21"/>
              </w:rPr>
            </w:pPr>
            <w:r>
              <w:t>202,900.10</w:t>
            </w:r>
          </w:p>
        </w:tc>
        <w:tc>
          <w:tcPr>
            <w:tcW w:w="914" w:type="pct"/>
            <w:tcBorders>
              <w:top w:val="single" w:sz="4" w:space="0" w:color="auto"/>
              <w:left w:val="single" w:sz="4" w:space="0" w:color="auto"/>
              <w:bottom w:val="single" w:sz="4" w:space="0" w:color="auto"/>
              <w:right w:val="single" w:sz="4" w:space="0" w:color="auto"/>
            </w:tcBorders>
          </w:tcPr>
          <w:p w14:paraId="4346483C" w14:textId="77777777" w:rsidR="00E57DAA" w:rsidRDefault="00AC4185">
            <w:pPr>
              <w:autoSpaceDE w:val="0"/>
              <w:autoSpaceDN w:val="0"/>
              <w:adjustRightInd w:val="0"/>
              <w:jc w:val="right"/>
              <w:rPr>
                <w:szCs w:val="21"/>
              </w:rPr>
            </w:pPr>
            <w:r>
              <w:t>15,441.21</w:t>
            </w:r>
          </w:p>
        </w:tc>
      </w:tr>
      <w:tr w:rsidR="00E57DAA" w14:paraId="4C3BD8ED" w14:textId="77777777">
        <w:tc>
          <w:tcPr>
            <w:tcW w:w="677" w:type="pct"/>
            <w:tcBorders>
              <w:top w:val="single" w:sz="4" w:space="0" w:color="auto"/>
              <w:left w:val="single" w:sz="4" w:space="0" w:color="auto"/>
              <w:bottom w:val="single" w:sz="4" w:space="0" w:color="auto"/>
              <w:right w:val="single" w:sz="4" w:space="0" w:color="auto"/>
            </w:tcBorders>
            <w:vAlign w:val="center"/>
          </w:tcPr>
          <w:p w14:paraId="1C242F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42C272" w14:textId="77777777" w:rsidR="00E57DAA" w:rsidRDefault="00AC4185">
            <w:pPr>
              <w:autoSpaceDE w:val="0"/>
              <w:autoSpaceDN w:val="0"/>
              <w:adjustRightInd w:val="0"/>
              <w:rPr>
                <w:szCs w:val="21"/>
              </w:rPr>
            </w:pPr>
            <w:r>
              <w:t>云南芒市西南水泥有限公司</w:t>
            </w:r>
          </w:p>
        </w:tc>
        <w:tc>
          <w:tcPr>
            <w:tcW w:w="633" w:type="pct"/>
            <w:tcBorders>
              <w:top w:val="single" w:sz="4" w:space="0" w:color="auto"/>
              <w:left w:val="single" w:sz="4" w:space="0" w:color="auto"/>
              <w:bottom w:val="single" w:sz="4" w:space="0" w:color="auto"/>
              <w:right w:val="single" w:sz="4" w:space="0" w:color="auto"/>
            </w:tcBorders>
          </w:tcPr>
          <w:p w14:paraId="232A5C4B" w14:textId="77777777" w:rsidR="00E57DAA" w:rsidRDefault="00AC4185">
            <w:pPr>
              <w:autoSpaceDE w:val="0"/>
              <w:autoSpaceDN w:val="0"/>
              <w:adjustRightInd w:val="0"/>
              <w:jc w:val="right"/>
              <w:rPr>
                <w:szCs w:val="21"/>
              </w:rPr>
            </w:pPr>
            <w:r>
              <w:t>168,500.00</w:t>
            </w:r>
          </w:p>
        </w:tc>
        <w:tc>
          <w:tcPr>
            <w:tcW w:w="632" w:type="pct"/>
            <w:tcBorders>
              <w:top w:val="single" w:sz="4" w:space="0" w:color="auto"/>
              <w:left w:val="single" w:sz="4" w:space="0" w:color="auto"/>
              <w:bottom w:val="single" w:sz="4" w:space="0" w:color="auto"/>
              <w:right w:val="single" w:sz="4" w:space="0" w:color="auto"/>
            </w:tcBorders>
          </w:tcPr>
          <w:p w14:paraId="2B236AA9" w14:textId="77777777" w:rsidR="00E57DAA" w:rsidRDefault="00AC4185">
            <w:pPr>
              <w:autoSpaceDE w:val="0"/>
              <w:autoSpaceDN w:val="0"/>
              <w:adjustRightInd w:val="0"/>
              <w:jc w:val="right"/>
              <w:rPr>
                <w:szCs w:val="21"/>
              </w:rPr>
            </w:pPr>
            <w:r>
              <w:t>3,641.00</w:t>
            </w:r>
          </w:p>
        </w:tc>
        <w:tc>
          <w:tcPr>
            <w:tcW w:w="703" w:type="pct"/>
            <w:tcBorders>
              <w:top w:val="single" w:sz="4" w:space="0" w:color="auto"/>
              <w:left w:val="single" w:sz="4" w:space="0" w:color="auto"/>
              <w:bottom w:val="single" w:sz="4" w:space="0" w:color="auto"/>
              <w:right w:val="single" w:sz="4" w:space="0" w:color="auto"/>
            </w:tcBorders>
          </w:tcPr>
          <w:p w14:paraId="08BF9ED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A3CDECB" w14:textId="77777777" w:rsidR="00E57DAA" w:rsidRDefault="00AC4185">
            <w:pPr>
              <w:autoSpaceDE w:val="0"/>
              <w:autoSpaceDN w:val="0"/>
              <w:adjustRightInd w:val="0"/>
              <w:jc w:val="right"/>
              <w:rPr>
                <w:szCs w:val="21"/>
              </w:rPr>
            </w:pPr>
            <w:r>
              <w:t xml:space="preserve">　</w:t>
            </w:r>
          </w:p>
        </w:tc>
      </w:tr>
      <w:tr w:rsidR="00E57DAA" w14:paraId="674E98DB" w14:textId="77777777">
        <w:tc>
          <w:tcPr>
            <w:tcW w:w="677" w:type="pct"/>
            <w:tcBorders>
              <w:top w:val="single" w:sz="4" w:space="0" w:color="auto"/>
              <w:left w:val="single" w:sz="4" w:space="0" w:color="auto"/>
              <w:bottom w:val="single" w:sz="4" w:space="0" w:color="auto"/>
              <w:right w:val="single" w:sz="4" w:space="0" w:color="auto"/>
            </w:tcBorders>
            <w:vAlign w:val="center"/>
          </w:tcPr>
          <w:p w14:paraId="2EFDEB5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3B44DF" w14:textId="77777777" w:rsidR="00E57DAA" w:rsidRDefault="00AC4185">
            <w:pPr>
              <w:autoSpaceDE w:val="0"/>
              <w:autoSpaceDN w:val="0"/>
              <w:adjustRightInd w:val="0"/>
              <w:rPr>
                <w:szCs w:val="21"/>
              </w:rPr>
            </w:pPr>
            <w:r>
              <w:t>泰安中联水泥有限公司</w:t>
            </w:r>
          </w:p>
        </w:tc>
        <w:tc>
          <w:tcPr>
            <w:tcW w:w="633" w:type="pct"/>
            <w:tcBorders>
              <w:top w:val="single" w:sz="4" w:space="0" w:color="auto"/>
              <w:left w:val="single" w:sz="4" w:space="0" w:color="auto"/>
              <w:bottom w:val="single" w:sz="4" w:space="0" w:color="auto"/>
              <w:right w:val="single" w:sz="4" w:space="0" w:color="auto"/>
            </w:tcBorders>
          </w:tcPr>
          <w:p w14:paraId="22CE030B" w14:textId="77777777" w:rsidR="00E57DAA" w:rsidRDefault="00AC4185">
            <w:pPr>
              <w:autoSpaceDE w:val="0"/>
              <w:autoSpaceDN w:val="0"/>
              <w:adjustRightInd w:val="0"/>
              <w:jc w:val="right"/>
              <w:rPr>
                <w:szCs w:val="21"/>
              </w:rPr>
            </w:pPr>
            <w:r>
              <w:t>162,468.74</w:t>
            </w:r>
          </w:p>
        </w:tc>
        <w:tc>
          <w:tcPr>
            <w:tcW w:w="632" w:type="pct"/>
            <w:tcBorders>
              <w:top w:val="single" w:sz="4" w:space="0" w:color="auto"/>
              <w:left w:val="single" w:sz="4" w:space="0" w:color="auto"/>
              <w:bottom w:val="single" w:sz="4" w:space="0" w:color="auto"/>
              <w:right w:val="single" w:sz="4" w:space="0" w:color="auto"/>
            </w:tcBorders>
          </w:tcPr>
          <w:p w14:paraId="54578347" w14:textId="77777777" w:rsidR="00E57DAA" w:rsidRDefault="00AC4185">
            <w:pPr>
              <w:autoSpaceDE w:val="0"/>
              <w:autoSpaceDN w:val="0"/>
              <w:adjustRightInd w:val="0"/>
              <w:jc w:val="right"/>
              <w:rPr>
                <w:szCs w:val="21"/>
              </w:rPr>
            </w:pPr>
            <w:r>
              <w:t>883.07</w:t>
            </w:r>
          </w:p>
        </w:tc>
        <w:tc>
          <w:tcPr>
            <w:tcW w:w="703" w:type="pct"/>
            <w:tcBorders>
              <w:top w:val="single" w:sz="4" w:space="0" w:color="auto"/>
              <w:left w:val="single" w:sz="4" w:space="0" w:color="auto"/>
              <w:bottom w:val="single" w:sz="4" w:space="0" w:color="auto"/>
              <w:right w:val="single" w:sz="4" w:space="0" w:color="auto"/>
            </w:tcBorders>
          </w:tcPr>
          <w:p w14:paraId="3C54232B" w14:textId="77777777" w:rsidR="00E57DAA" w:rsidRDefault="00AC4185">
            <w:pPr>
              <w:autoSpaceDE w:val="0"/>
              <w:autoSpaceDN w:val="0"/>
              <w:adjustRightInd w:val="0"/>
              <w:jc w:val="right"/>
              <w:rPr>
                <w:szCs w:val="21"/>
              </w:rPr>
            </w:pPr>
            <w:r>
              <w:t>53,000.00</w:t>
            </w:r>
          </w:p>
        </w:tc>
        <w:tc>
          <w:tcPr>
            <w:tcW w:w="914" w:type="pct"/>
            <w:tcBorders>
              <w:top w:val="single" w:sz="4" w:space="0" w:color="auto"/>
              <w:left w:val="single" w:sz="4" w:space="0" w:color="auto"/>
              <w:bottom w:val="single" w:sz="4" w:space="0" w:color="auto"/>
              <w:right w:val="single" w:sz="4" w:space="0" w:color="auto"/>
            </w:tcBorders>
          </w:tcPr>
          <w:p w14:paraId="02D60370" w14:textId="77777777" w:rsidR="00E57DAA" w:rsidRDefault="00AC4185">
            <w:pPr>
              <w:autoSpaceDE w:val="0"/>
              <w:autoSpaceDN w:val="0"/>
              <w:adjustRightInd w:val="0"/>
              <w:jc w:val="right"/>
              <w:rPr>
                <w:szCs w:val="21"/>
              </w:rPr>
            </w:pPr>
            <w:r>
              <w:t>556.5</w:t>
            </w:r>
          </w:p>
        </w:tc>
      </w:tr>
      <w:tr w:rsidR="00E57DAA" w14:paraId="59A29C10" w14:textId="77777777">
        <w:tc>
          <w:tcPr>
            <w:tcW w:w="677" w:type="pct"/>
            <w:tcBorders>
              <w:top w:val="single" w:sz="4" w:space="0" w:color="auto"/>
              <w:left w:val="single" w:sz="4" w:space="0" w:color="auto"/>
              <w:bottom w:val="single" w:sz="4" w:space="0" w:color="auto"/>
              <w:right w:val="single" w:sz="4" w:space="0" w:color="auto"/>
            </w:tcBorders>
            <w:vAlign w:val="center"/>
          </w:tcPr>
          <w:p w14:paraId="4D4AFA1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069A18B" w14:textId="77777777" w:rsidR="00E57DAA" w:rsidRDefault="00AC4185">
            <w:pPr>
              <w:autoSpaceDE w:val="0"/>
              <w:autoSpaceDN w:val="0"/>
              <w:adjustRightInd w:val="0"/>
              <w:rPr>
                <w:szCs w:val="21"/>
              </w:rPr>
            </w:pPr>
            <w:r>
              <w:t>喀什天山水泥有限责任公司</w:t>
            </w:r>
          </w:p>
        </w:tc>
        <w:tc>
          <w:tcPr>
            <w:tcW w:w="633" w:type="pct"/>
            <w:tcBorders>
              <w:top w:val="single" w:sz="4" w:space="0" w:color="auto"/>
              <w:left w:val="single" w:sz="4" w:space="0" w:color="auto"/>
              <w:bottom w:val="single" w:sz="4" w:space="0" w:color="auto"/>
              <w:right w:val="single" w:sz="4" w:space="0" w:color="auto"/>
            </w:tcBorders>
          </w:tcPr>
          <w:p w14:paraId="7F673320" w14:textId="77777777" w:rsidR="00E57DAA" w:rsidRDefault="00AC4185">
            <w:pPr>
              <w:autoSpaceDE w:val="0"/>
              <w:autoSpaceDN w:val="0"/>
              <w:adjustRightInd w:val="0"/>
              <w:jc w:val="right"/>
              <w:rPr>
                <w:szCs w:val="21"/>
              </w:rPr>
            </w:pPr>
            <w:r>
              <w:t>157,840.00</w:t>
            </w:r>
          </w:p>
        </w:tc>
        <w:tc>
          <w:tcPr>
            <w:tcW w:w="632" w:type="pct"/>
            <w:tcBorders>
              <w:top w:val="single" w:sz="4" w:space="0" w:color="auto"/>
              <w:left w:val="single" w:sz="4" w:space="0" w:color="auto"/>
              <w:bottom w:val="single" w:sz="4" w:space="0" w:color="auto"/>
              <w:right w:val="single" w:sz="4" w:space="0" w:color="auto"/>
            </w:tcBorders>
          </w:tcPr>
          <w:p w14:paraId="35214677" w14:textId="77777777" w:rsidR="00E57DAA" w:rsidRDefault="00AC4185">
            <w:pPr>
              <w:autoSpaceDE w:val="0"/>
              <w:autoSpaceDN w:val="0"/>
              <w:adjustRightInd w:val="0"/>
              <w:jc w:val="right"/>
              <w:rPr>
                <w:szCs w:val="21"/>
              </w:rPr>
            </w:pPr>
            <w:r>
              <w:t>5,379.86</w:t>
            </w:r>
          </w:p>
        </w:tc>
        <w:tc>
          <w:tcPr>
            <w:tcW w:w="703" w:type="pct"/>
            <w:tcBorders>
              <w:top w:val="single" w:sz="4" w:space="0" w:color="auto"/>
              <w:left w:val="single" w:sz="4" w:space="0" w:color="auto"/>
              <w:bottom w:val="single" w:sz="4" w:space="0" w:color="auto"/>
              <w:right w:val="single" w:sz="4" w:space="0" w:color="auto"/>
            </w:tcBorders>
          </w:tcPr>
          <w:p w14:paraId="5899162D" w14:textId="77777777" w:rsidR="00E57DAA" w:rsidRDefault="00AC4185">
            <w:pPr>
              <w:autoSpaceDE w:val="0"/>
              <w:autoSpaceDN w:val="0"/>
              <w:adjustRightInd w:val="0"/>
              <w:jc w:val="right"/>
              <w:rPr>
                <w:szCs w:val="21"/>
              </w:rPr>
            </w:pPr>
            <w:r>
              <w:t>38,840.00</w:t>
            </w:r>
          </w:p>
        </w:tc>
        <w:tc>
          <w:tcPr>
            <w:tcW w:w="914" w:type="pct"/>
            <w:tcBorders>
              <w:top w:val="single" w:sz="4" w:space="0" w:color="auto"/>
              <w:left w:val="single" w:sz="4" w:space="0" w:color="auto"/>
              <w:bottom w:val="single" w:sz="4" w:space="0" w:color="auto"/>
              <w:right w:val="single" w:sz="4" w:space="0" w:color="auto"/>
            </w:tcBorders>
          </w:tcPr>
          <w:p w14:paraId="03F4991D" w14:textId="77777777" w:rsidR="00E57DAA" w:rsidRDefault="00AC4185">
            <w:pPr>
              <w:autoSpaceDE w:val="0"/>
              <w:autoSpaceDN w:val="0"/>
              <w:adjustRightInd w:val="0"/>
              <w:jc w:val="right"/>
              <w:rPr>
                <w:szCs w:val="21"/>
              </w:rPr>
            </w:pPr>
            <w:r>
              <w:t>920.51</w:t>
            </w:r>
          </w:p>
        </w:tc>
      </w:tr>
      <w:tr w:rsidR="00E57DAA" w14:paraId="066CBABB" w14:textId="77777777">
        <w:tc>
          <w:tcPr>
            <w:tcW w:w="677" w:type="pct"/>
            <w:tcBorders>
              <w:top w:val="single" w:sz="4" w:space="0" w:color="auto"/>
              <w:left w:val="single" w:sz="4" w:space="0" w:color="auto"/>
              <w:bottom w:val="single" w:sz="4" w:space="0" w:color="auto"/>
              <w:right w:val="single" w:sz="4" w:space="0" w:color="auto"/>
            </w:tcBorders>
            <w:vAlign w:val="center"/>
          </w:tcPr>
          <w:p w14:paraId="4E4A0A4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979E273" w14:textId="77777777" w:rsidR="00E57DAA" w:rsidRDefault="00AC4185">
            <w:pPr>
              <w:autoSpaceDE w:val="0"/>
              <w:autoSpaceDN w:val="0"/>
              <w:adjustRightInd w:val="0"/>
              <w:rPr>
                <w:szCs w:val="21"/>
              </w:rPr>
            </w:pPr>
            <w:r>
              <w:t>洛阳中联国展新材料有限公司</w:t>
            </w:r>
          </w:p>
        </w:tc>
        <w:tc>
          <w:tcPr>
            <w:tcW w:w="633" w:type="pct"/>
            <w:tcBorders>
              <w:top w:val="single" w:sz="4" w:space="0" w:color="auto"/>
              <w:left w:val="single" w:sz="4" w:space="0" w:color="auto"/>
              <w:bottom w:val="single" w:sz="4" w:space="0" w:color="auto"/>
              <w:right w:val="single" w:sz="4" w:space="0" w:color="auto"/>
            </w:tcBorders>
          </w:tcPr>
          <w:p w14:paraId="23F10B47" w14:textId="77777777" w:rsidR="00E57DAA" w:rsidRDefault="00AC4185">
            <w:pPr>
              <w:autoSpaceDE w:val="0"/>
              <w:autoSpaceDN w:val="0"/>
              <w:adjustRightInd w:val="0"/>
              <w:jc w:val="right"/>
              <w:rPr>
                <w:szCs w:val="21"/>
              </w:rPr>
            </w:pPr>
            <w:r>
              <w:t>150,000.00</w:t>
            </w:r>
          </w:p>
        </w:tc>
        <w:tc>
          <w:tcPr>
            <w:tcW w:w="632" w:type="pct"/>
            <w:tcBorders>
              <w:top w:val="single" w:sz="4" w:space="0" w:color="auto"/>
              <w:left w:val="single" w:sz="4" w:space="0" w:color="auto"/>
              <w:bottom w:val="single" w:sz="4" w:space="0" w:color="auto"/>
              <w:right w:val="single" w:sz="4" w:space="0" w:color="auto"/>
            </w:tcBorders>
          </w:tcPr>
          <w:p w14:paraId="714A70CA" w14:textId="77777777" w:rsidR="00E57DAA" w:rsidRDefault="00AC4185">
            <w:pPr>
              <w:autoSpaceDE w:val="0"/>
              <w:autoSpaceDN w:val="0"/>
              <w:adjustRightInd w:val="0"/>
              <w:jc w:val="right"/>
              <w:rPr>
                <w:szCs w:val="21"/>
              </w:rPr>
            </w:pPr>
            <w:r>
              <w:t>3,750.00</w:t>
            </w:r>
          </w:p>
        </w:tc>
        <w:tc>
          <w:tcPr>
            <w:tcW w:w="703" w:type="pct"/>
            <w:tcBorders>
              <w:top w:val="single" w:sz="4" w:space="0" w:color="auto"/>
              <w:left w:val="single" w:sz="4" w:space="0" w:color="auto"/>
              <w:bottom w:val="single" w:sz="4" w:space="0" w:color="auto"/>
              <w:right w:val="single" w:sz="4" w:space="0" w:color="auto"/>
            </w:tcBorders>
          </w:tcPr>
          <w:p w14:paraId="4FD5F8F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EBCA758" w14:textId="77777777" w:rsidR="00E57DAA" w:rsidRDefault="00AC4185">
            <w:pPr>
              <w:autoSpaceDE w:val="0"/>
              <w:autoSpaceDN w:val="0"/>
              <w:adjustRightInd w:val="0"/>
              <w:jc w:val="right"/>
              <w:rPr>
                <w:szCs w:val="21"/>
              </w:rPr>
            </w:pPr>
            <w:r>
              <w:t xml:space="preserve">　</w:t>
            </w:r>
          </w:p>
        </w:tc>
      </w:tr>
      <w:tr w:rsidR="00E57DAA" w14:paraId="24FD4050" w14:textId="77777777">
        <w:tc>
          <w:tcPr>
            <w:tcW w:w="677" w:type="pct"/>
            <w:tcBorders>
              <w:top w:val="single" w:sz="4" w:space="0" w:color="auto"/>
              <w:left w:val="single" w:sz="4" w:space="0" w:color="auto"/>
              <w:bottom w:val="single" w:sz="4" w:space="0" w:color="auto"/>
              <w:right w:val="single" w:sz="4" w:space="0" w:color="auto"/>
            </w:tcBorders>
            <w:vAlign w:val="center"/>
          </w:tcPr>
          <w:p w14:paraId="144450A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BD703C4" w14:textId="77777777" w:rsidR="00E57DAA" w:rsidRDefault="00AC4185">
            <w:pPr>
              <w:autoSpaceDE w:val="0"/>
              <w:autoSpaceDN w:val="0"/>
              <w:adjustRightInd w:val="0"/>
              <w:rPr>
                <w:szCs w:val="21"/>
              </w:rPr>
            </w:pPr>
            <w:r>
              <w:t>安县中联水泥有限公司</w:t>
            </w:r>
          </w:p>
        </w:tc>
        <w:tc>
          <w:tcPr>
            <w:tcW w:w="633" w:type="pct"/>
            <w:tcBorders>
              <w:top w:val="single" w:sz="4" w:space="0" w:color="auto"/>
              <w:left w:val="single" w:sz="4" w:space="0" w:color="auto"/>
              <w:bottom w:val="single" w:sz="4" w:space="0" w:color="auto"/>
              <w:right w:val="single" w:sz="4" w:space="0" w:color="auto"/>
            </w:tcBorders>
          </w:tcPr>
          <w:p w14:paraId="22B83BAA" w14:textId="77777777" w:rsidR="00E57DAA" w:rsidRDefault="00AC4185">
            <w:pPr>
              <w:autoSpaceDE w:val="0"/>
              <w:autoSpaceDN w:val="0"/>
              <w:adjustRightInd w:val="0"/>
              <w:jc w:val="right"/>
              <w:rPr>
                <w:szCs w:val="21"/>
              </w:rPr>
            </w:pPr>
            <w:r>
              <w:t>148,361.12</w:t>
            </w:r>
          </w:p>
        </w:tc>
        <w:tc>
          <w:tcPr>
            <w:tcW w:w="632" w:type="pct"/>
            <w:tcBorders>
              <w:top w:val="single" w:sz="4" w:space="0" w:color="auto"/>
              <w:left w:val="single" w:sz="4" w:space="0" w:color="auto"/>
              <w:bottom w:val="single" w:sz="4" w:space="0" w:color="auto"/>
              <w:right w:val="single" w:sz="4" w:space="0" w:color="auto"/>
            </w:tcBorders>
          </w:tcPr>
          <w:p w14:paraId="10D5AAD9" w14:textId="77777777" w:rsidR="00E57DAA" w:rsidRDefault="00AC4185">
            <w:pPr>
              <w:autoSpaceDE w:val="0"/>
              <w:autoSpaceDN w:val="0"/>
              <w:adjustRightInd w:val="0"/>
              <w:jc w:val="right"/>
              <w:rPr>
                <w:szCs w:val="21"/>
              </w:rPr>
            </w:pPr>
            <w:r>
              <w:t>20,096.96</w:t>
            </w:r>
          </w:p>
        </w:tc>
        <w:tc>
          <w:tcPr>
            <w:tcW w:w="703" w:type="pct"/>
            <w:tcBorders>
              <w:top w:val="single" w:sz="4" w:space="0" w:color="auto"/>
              <w:left w:val="single" w:sz="4" w:space="0" w:color="auto"/>
              <w:bottom w:val="single" w:sz="4" w:space="0" w:color="auto"/>
              <w:right w:val="single" w:sz="4" w:space="0" w:color="auto"/>
            </w:tcBorders>
          </w:tcPr>
          <w:p w14:paraId="7008023F" w14:textId="77777777" w:rsidR="00E57DAA" w:rsidRDefault="00AC4185">
            <w:pPr>
              <w:autoSpaceDE w:val="0"/>
              <w:autoSpaceDN w:val="0"/>
              <w:adjustRightInd w:val="0"/>
              <w:jc w:val="right"/>
              <w:rPr>
                <w:szCs w:val="21"/>
              </w:rPr>
            </w:pPr>
            <w:r>
              <w:t>7,262,837.08</w:t>
            </w:r>
          </w:p>
        </w:tc>
        <w:tc>
          <w:tcPr>
            <w:tcW w:w="914" w:type="pct"/>
            <w:tcBorders>
              <w:top w:val="single" w:sz="4" w:space="0" w:color="auto"/>
              <w:left w:val="single" w:sz="4" w:space="0" w:color="auto"/>
              <w:bottom w:val="single" w:sz="4" w:space="0" w:color="auto"/>
              <w:right w:val="single" w:sz="4" w:space="0" w:color="auto"/>
            </w:tcBorders>
          </w:tcPr>
          <w:p w14:paraId="7E4B2CA9" w14:textId="77777777" w:rsidR="00E57DAA" w:rsidRDefault="00AC4185">
            <w:pPr>
              <w:autoSpaceDE w:val="0"/>
              <w:autoSpaceDN w:val="0"/>
              <w:adjustRightInd w:val="0"/>
              <w:jc w:val="right"/>
              <w:rPr>
                <w:szCs w:val="21"/>
              </w:rPr>
            </w:pPr>
            <w:r>
              <w:t>178,789.08</w:t>
            </w:r>
          </w:p>
        </w:tc>
      </w:tr>
      <w:tr w:rsidR="00E57DAA" w14:paraId="065EDFCD" w14:textId="77777777">
        <w:tc>
          <w:tcPr>
            <w:tcW w:w="677" w:type="pct"/>
            <w:tcBorders>
              <w:top w:val="single" w:sz="4" w:space="0" w:color="auto"/>
              <w:left w:val="single" w:sz="4" w:space="0" w:color="auto"/>
              <w:bottom w:val="single" w:sz="4" w:space="0" w:color="auto"/>
              <w:right w:val="single" w:sz="4" w:space="0" w:color="auto"/>
            </w:tcBorders>
            <w:vAlign w:val="center"/>
          </w:tcPr>
          <w:p w14:paraId="22990CB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4897F2D" w14:textId="77777777" w:rsidR="00E57DAA" w:rsidRDefault="00AC4185">
            <w:pPr>
              <w:autoSpaceDE w:val="0"/>
              <w:autoSpaceDN w:val="0"/>
              <w:adjustRightInd w:val="0"/>
              <w:rPr>
                <w:szCs w:val="21"/>
              </w:rPr>
            </w:pPr>
            <w:r>
              <w:t>播州西南水泥有限公司</w:t>
            </w:r>
          </w:p>
        </w:tc>
        <w:tc>
          <w:tcPr>
            <w:tcW w:w="633" w:type="pct"/>
            <w:tcBorders>
              <w:top w:val="single" w:sz="4" w:space="0" w:color="auto"/>
              <w:left w:val="single" w:sz="4" w:space="0" w:color="auto"/>
              <w:bottom w:val="single" w:sz="4" w:space="0" w:color="auto"/>
              <w:right w:val="single" w:sz="4" w:space="0" w:color="auto"/>
            </w:tcBorders>
          </w:tcPr>
          <w:p w14:paraId="09E0D21E" w14:textId="77777777" w:rsidR="00E57DAA" w:rsidRDefault="00AC4185">
            <w:pPr>
              <w:autoSpaceDE w:val="0"/>
              <w:autoSpaceDN w:val="0"/>
              <w:adjustRightInd w:val="0"/>
              <w:jc w:val="right"/>
              <w:rPr>
                <w:szCs w:val="21"/>
              </w:rPr>
            </w:pPr>
            <w:r>
              <w:t>193,454.00</w:t>
            </w:r>
          </w:p>
        </w:tc>
        <w:tc>
          <w:tcPr>
            <w:tcW w:w="632" w:type="pct"/>
            <w:tcBorders>
              <w:top w:val="single" w:sz="4" w:space="0" w:color="auto"/>
              <w:left w:val="single" w:sz="4" w:space="0" w:color="auto"/>
              <w:bottom w:val="single" w:sz="4" w:space="0" w:color="auto"/>
              <w:right w:val="single" w:sz="4" w:space="0" w:color="auto"/>
            </w:tcBorders>
          </w:tcPr>
          <w:p w14:paraId="10E98A8A" w14:textId="77777777" w:rsidR="00E57DAA" w:rsidRDefault="00AC4185">
            <w:pPr>
              <w:autoSpaceDE w:val="0"/>
              <w:autoSpaceDN w:val="0"/>
              <w:adjustRightInd w:val="0"/>
              <w:jc w:val="right"/>
              <w:rPr>
                <w:szCs w:val="21"/>
              </w:rPr>
            </w:pPr>
            <w:r>
              <w:t>11,484.86</w:t>
            </w:r>
          </w:p>
        </w:tc>
        <w:tc>
          <w:tcPr>
            <w:tcW w:w="703" w:type="pct"/>
            <w:tcBorders>
              <w:top w:val="single" w:sz="4" w:space="0" w:color="auto"/>
              <w:left w:val="single" w:sz="4" w:space="0" w:color="auto"/>
              <w:bottom w:val="single" w:sz="4" w:space="0" w:color="auto"/>
              <w:right w:val="single" w:sz="4" w:space="0" w:color="auto"/>
            </w:tcBorders>
          </w:tcPr>
          <w:p w14:paraId="6A74881A" w14:textId="77777777" w:rsidR="00E57DAA" w:rsidRDefault="00AC4185">
            <w:pPr>
              <w:autoSpaceDE w:val="0"/>
              <w:autoSpaceDN w:val="0"/>
              <w:adjustRightInd w:val="0"/>
              <w:jc w:val="right"/>
              <w:rPr>
                <w:szCs w:val="21"/>
              </w:rPr>
            </w:pPr>
            <w:r>
              <w:t>998,700.00</w:t>
            </w:r>
          </w:p>
        </w:tc>
        <w:tc>
          <w:tcPr>
            <w:tcW w:w="914" w:type="pct"/>
            <w:tcBorders>
              <w:top w:val="single" w:sz="4" w:space="0" w:color="auto"/>
              <w:left w:val="single" w:sz="4" w:space="0" w:color="auto"/>
              <w:bottom w:val="single" w:sz="4" w:space="0" w:color="auto"/>
              <w:right w:val="single" w:sz="4" w:space="0" w:color="auto"/>
            </w:tcBorders>
          </w:tcPr>
          <w:p w14:paraId="13964196" w14:textId="77777777" w:rsidR="00E57DAA" w:rsidRDefault="00AC4185">
            <w:pPr>
              <w:autoSpaceDE w:val="0"/>
              <w:autoSpaceDN w:val="0"/>
              <w:adjustRightInd w:val="0"/>
              <w:jc w:val="right"/>
              <w:rPr>
                <w:szCs w:val="21"/>
              </w:rPr>
            </w:pPr>
            <w:r>
              <w:t>23,669.19</w:t>
            </w:r>
          </w:p>
        </w:tc>
      </w:tr>
      <w:tr w:rsidR="00E57DAA" w14:paraId="4FFB1365" w14:textId="77777777">
        <w:tc>
          <w:tcPr>
            <w:tcW w:w="677" w:type="pct"/>
            <w:tcBorders>
              <w:top w:val="single" w:sz="4" w:space="0" w:color="auto"/>
              <w:left w:val="single" w:sz="4" w:space="0" w:color="auto"/>
              <w:bottom w:val="single" w:sz="4" w:space="0" w:color="auto"/>
              <w:right w:val="single" w:sz="4" w:space="0" w:color="auto"/>
            </w:tcBorders>
            <w:vAlign w:val="center"/>
          </w:tcPr>
          <w:p w14:paraId="00BC79D1"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5999FF32" w14:textId="77777777" w:rsidR="00E57DAA" w:rsidRDefault="00AC4185">
            <w:pPr>
              <w:autoSpaceDE w:val="0"/>
              <w:autoSpaceDN w:val="0"/>
              <w:adjustRightInd w:val="0"/>
              <w:rPr>
                <w:szCs w:val="21"/>
              </w:rPr>
            </w:pPr>
            <w:r>
              <w:t>大连金刚天马水泥有限公司</w:t>
            </w:r>
          </w:p>
        </w:tc>
        <w:tc>
          <w:tcPr>
            <w:tcW w:w="633" w:type="pct"/>
            <w:tcBorders>
              <w:top w:val="single" w:sz="4" w:space="0" w:color="auto"/>
              <w:left w:val="single" w:sz="4" w:space="0" w:color="auto"/>
              <w:bottom w:val="single" w:sz="4" w:space="0" w:color="auto"/>
              <w:right w:val="single" w:sz="4" w:space="0" w:color="auto"/>
            </w:tcBorders>
          </w:tcPr>
          <w:p w14:paraId="03E00AD1" w14:textId="77777777" w:rsidR="00E57DAA" w:rsidRDefault="00AC4185">
            <w:pPr>
              <w:autoSpaceDE w:val="0"/>
              <w:autoSpaceDN w:val="0"/>
              <w:adjustRightInd w:val="0"/>
              <w:jc w:val="right"/>
              <w:rPr>
                <w:szCs w:val="21"/>
              </w:rPr>
            </w:pPr>
            <w:r>
              <w:t>137,290.00</w:t>
            </w:r>
          </w:p>
        </w:tc>
        <w:tc>
          <w:tcPr>
            <w:tcW w:w="632" w:type="pct"/>
            <w:tcBorders>
              <w:top w:val="single" w:sz="4" w:space="0" w:color="auto"/>
              <w:left w:val="single" w:sz="4" w:space="0" w:color="auto"/>
              <w:bottom w:val="single" w:sz="4" w:space="0" w:color="auto"/>
              <w:right w:val="single" w:sz="4" w:space="0" w:color="auto"/>
            </w:tcBorders>
          </w:tcPr>
          <w:p w14:paraId="450BB736" w14:textId="77777777" w:rsidR="00E57DAA" w:rsidRDefault="00AC4185">
            <w:pPr>
              <w:autoSpaceDE w:val="0"/>
              <w:autoSpaceDN w:val="0"/>
              <w:adjustRightInd w:val="0"/>
              <w:jc w:val="right"/>
              <w:rPr>
                <w:szCs w:val="21"/>
              </w:rPr>
            </w:pPr>
            <w:r>
              <w:t>133,289.00</w:t>
            </w:r>
          </w:p>
        </w:tc>
        <w:tc>
          <w:tcPr>
            <w:tcW w:w="703" w:type="pct"/>
            <w:tcBorders>
              <w:top w:val="single" w:sz="4" w:space="0" w:color="auto"/>
              <w:left w:val="single" w:sz="4" w:space="0" w:color="auto"/>
              <w:bottom w:val="single" w:sz="4" w:space="0" w:color="auto"/>
              <w:right w:val="single" w:sz="4" w:space="0" w:color="auto"/>
            </w:tcBorders>
          </w:tcPr>
          <w:p w14:paraId="6D8070CD" w14:textId="77777777" w:rsidR="00E57DAA" w:rsidRDefault="00AC4185">
            <w:pPr>
              <w:autoSpaceDE w:val="0"/>
              <w:autoSpaceDN w:val="0"/>
              <w:adjustRightInd w:val="0"/>
              <w:jc w:val="right"/>
              <w:rPr>
                <w:szCs w:val="21"/>
              </w:rPr>
            </w:pPr>
            <w:r>
              <w:t>149,630.00</w:t>
            </w:r>
          </w:p>
        </w:tc>
        <w:tc>
          <w:tcPr>
            <w:tcW w:w="914" w:type="pct"/>
            <w:tcBorders>
              <w:top w:val="single" w:sz="4" w:space="0" w:color="auto"/>
              <w:left w:val="single" w:sz="4" w:space="0" w:color="auto"/>
              <w:bottom w:val="single" w:sz="4" w:space="0" w:color="auto"/>
              <w:right w:val="single" w:sz="4" w:space="0" w:color="auto"/>
            </w:tcBorders>
          </w:tcPr>
          <w:p w14:paraId="73744EAC" w14:textId="77777777" w:rsidR="00E57DAA" w:rsidRDefault="00AC4185">
            <w:pPr>
              <w:autoSpaceDE w:val="0"/>
              <w:autoSpaceDN w:val="0"/>
              <w:adjustRightInd w:val="0"/>
              <w:jc w:val="right"/>
              <w:rPr>
                <w:szCs w:val="21"/>
              </w:rPr>
            </w:pPr>
            <w:r>
              <w:t>133,411.50</w:t>
            </w:r>
          </w:p>
        </w:tc>
      </w:tr>
      <w:tr w:rsidR="00E57DAA" w14:paraId="1F6ED47A" w14:textId="77777777">
        <w:tc>
          <w:tcPr>
            <w:tcW w:w="677" w:type="pct"/>
            <w:tcBorders>
              <w:top w:val="single" w:sz="4" w:space="0" w:color="auto"/>
              <w:left w:val="single" w:sz="4" w:space="0" w:color="auto"/>
              <w:bottom w:val="single" w:sz="4" w:space="0" w:color="auto"/>
              <w:right w:val="single" w:sz="4" w:space="0" w:color="auto"/>
            </w:tcBorders>
            <w:vAlign w:val="center"/>
          </w:tcPr>
          <w:p w14:paraId="6E23EDB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363987D" w14:textId="77777777" w:rsidR="00E57DAA" w:rsidRDefault="00AC4185">
            <w:pPr>
              <w:autoSpaceDE w:val="0"/>
              <w:autoSpaceDN w:val="0"/>
              <w:adjustRightInd w:val="0"/>
              <w:rPr>
                <w:szCs w:val="21"/>
              </w:rPr>
            </w:pPr>
            <w:r>
              <w:t>伊春北方水泥有限公司</w:t>
            </w:r>
          </w:p>
        </w:tc>
        <w:tc>
          <w:tcPr>
            <w:tcW w:w="633" w:type="pct"/>
            <w:tcBorders>
              <w:top w:val="single" w:sz="4" w:space="0" w:color="auto"/>
              <w:left w:val="single" w:sz="4" w:space="0" w:color="auto"/>
              <w:bottom w:val="single" w:sz="4" w:space="0" w:color="auto"/>
              <w:right w:val="single" w:sz="4" w:space="0" w:color="auto"/>
            </w:tcBorders>
          </w:tcPr>
          <w:p w14:paraId="4EDDDBEF" w14:textId="77777777" w:rsidR="00E57DAA" w:rsidRDefault="00AC4185">
            <w:pPr>
              <w:autoSpaceDE w:val="0"/>
              <w:autoSpaceDN w:val="0"/>
              <w:adjustRightInd w:val="0"/>
              <w:jc w:val="right"/>
              <w:rPr>
                <w:szCs w:val="21"/>
              </w:rPr>
            </w:pPr>
            <w:r>
              <w:t>123,998.50</w:t>
            </w:r>
          </w:p>
        </w:tc>
        <w:tc>
          <w:tcPr>
            <w:tcW w:w="632" w:type="pct"/>
            <w:tcBorders>
              <w:top w:val="single" w:sz="4" w:space="0" w:color="auto"/>
              <w:left w:val="single" w:sz="4" w:space="0" w:color="auto"/>
              <w:bottom w:val="single" w:sz="4" w:space="0" w:color="auto"/>
              <w:right w:val="single" w:sz="4" w:space="0" w:color="auto"/>
            </w:tcBorders>
          </w:tcPr>
          <w:p w14:paraId="304B48A6" w14:textId="77777777" w:rsidR="00E57DAA" w:rsidRDefault="00AC4185">
            <w:pPr>
              <w:autoSpaceDE w:val="0"/>
              <w:autoSpaceDN w:val="0"/>
              <w:adjustRightInd w:val="0"/>
              <w:jc w:val="right"/>
              <w:rPr>
                <w:szCs w:val="21"/>
              </w:rPr>
            </w:pPr>
            <w:r>
              <w:t>10,767.68</w:t>
            </w:r>
          </w:p>
        </w:tc>
        <w:tc>
          <w:tcPr>
            <w:tcW w:w="703" w:type="pct"/>
            <w:tcBorders>
              <w:top w:val="single" w:sz="4" w:space="0" w:color="auto"/>
              <w:left w:val="single" w:sz="4" w:space="0" w:color="auto"/>
              <w:bottom w:val="single" w:sz="4" w:space="0" w:color="auto"/>
              <w:right w:val="single" w:sz="4" w:space="0" w:color="auto"/>
            </w:tcBorders>
          </w:tcPr>
          <w:p w14:paraId="532EE690" w14:textId="77777777" w:rsidR="00E57DAA" w:rsidRDefault="00AC4185">
            <w:pPr>
              <w:autoSpaceDE w:val="0"/>
              <w:autoSpaceDN w:val="0"/>
              <w:adjustRightInd w:val="0"/>
              <w:jc w:val="right"/>
              <w:rPr>
                <w:szCs w:val="21"/>
              </w:rPr>
            </w:pPr>
            <w:r>
              <w:t>2,434,027.47</w:t>
            </w:r>
          </w:p>
        </w:tc>
        <w:tc>
          <w:tcPr>
            <w:tcW w:w="914" w:type="pct"/>
            <w:tcBorders>
              <w:top w:val="single" w:sz="4" w:space="0" w:color="auto"/>
              <w:left w:val="single" w:sz="4" w:space="0" w:color="auto"/>
              <w:bottom w:val="single" w:sz="4" w:space="0" w:color="auto"/>
              <w:right w:val="single" w:sz="4" w:space="0" w:color="auto"/>
            </w:tcBorders>
          </w:tcPr>
          <w:p w14:paraId="49500F7C" w14:textId="77777777" w:rsidR="00E57DAA" w:rsidRDefault="00AC4185">
            <w:pPr>
              <w:autoSpaceDE w:val="0"/>
              <w:autoSpaceDN w:val="0"/>
              <w:adjustRightInd w:val="0"/>
              <w:jc w:val="right"/>
              <w:rPr>
                <w:szCs w:val="21"/>
              </w:rPr>
            </w:pPr>
            <w:r>
              <w:t>35,717.88</w:t>
            </w:r>
          </w:p>
        </w:tc>
      </w:tr>
      <w:tr w:rsidR="00E57DAA" w14:paraId="03898789" w14:textId="77777777">
        <w:tc>
          <w:tcPr>
            <w:tcW w:w="677" w:type="pct"/>
            <w:tcBorders>
              <w:top w:val="single" w:sz="4" w:space="0" w:color="auto"/>
              <w:left w:val="single" w:sz="4" w:space="0" w:color="auto"/>
              <w:bottom w:val="single" w:sz="4" w:space="0" w:color="auto"/>
              <w:right w:val="single" w:sz="4" w:space="0" w:color="auto"/>
            </w:tcBorders>
            <w:vAlign w:val="center"/>
          </w:tcPr>
          <w:p w14:paraId="79DA0A4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CC974AD" w14:textId="77777777" w:rsidR="00E57DAA" w:rsidRDefault="00AC4185">
            <w:pPr>
              <w:autoSpaceDE w:val="0"/>
              <w:autoSpaceDN w:val="0"/>
              <w:adjustRightInd w:val="0"/>
              <w:rPr>
                <w:szCs w:val="21"/>
              </w:rPr>
            </w:pPr>
            <w:r>
              <w:t>四平北方水泥有限公司</w:t>
            </w:r>
          </w:p>
        </w:tc>
        <w:tc>
          <w:tcPr>
            <w:tcW w:w="633" w:type="pct"/>
            <w:tcBorders>
              <w:top w:val="single" w:sz="4" w:space="0" w:color="auto"/>
              <w:left w:val="single" w:sz="4" w:space="0" w:color="auto"/>
              <w:bottom w:val="single" w:sz="4" w:space="0" w:color="auto"/>
              <w:right w:val="single" w:sz="4" w:space="0" w:color="auto"/>
            </w:tcBorders>
          </w:tcPr>
          <w:p w14:paraId="178DE8E4" w14:textId="77777777" w:rsidR="00E57DAA" w:rsidRDefault="00AC4185">
            <w:pPr>
              <w:autoSpaceDE w:val="0"/>
              <w:autoSpaceDN w:val="0"/>
              <w:adjustRightInd w:val="0"/>
              <w:jc w:val="right"/>
              <w:rPr>
                <w:szCs w:val="21"/>
              </w:rPr>
            </w:pPr>
            <w:r>
              <w:t>113,400.00</w:t>
            </w:r>
          </w:p>
        </w:tc>
        <w:tc>
          <w:tcPr>
            <w:tcW w:w="632" w:type="pct"/>
            <w:tcBorders>
              <w:top w:val="single" w:sz="4" w:space="0" w:color="auto"/>
              <w:left w:val="single" w:sz="4" w:space="0" w:color="auto"/>
              <w:bottom w:val="single" w:sz="4" w:space="0" w:color="auto"/>
              <w:right w:val="single" w:sz="4" w:space="0" w:color="auto"/>
            </w:tcBorders>
          </w:tcPr>
          <w:p w14:paraId="3A2C36B7" w14:textId="77777777" w:rsidR="00E57DAA" w:rsidRDefault="00AC4185">
            <w:pPr>
              <w:autoSpaceDE w:val="0"/>
              <w:autoSpaceDN w:val="0"/>
              <w:adjustRightInd w:val="0"/>
              <w:jc w:val="right"/>
              <w:rPr>
                <w:szCs w:val="21"/>
              </w:rPr>
            </w:pPr>
            <w:r>
              <w:t>96,280.00</w:t>
            </w:r>
          </w:p>
        </w:tc>
        <w:tc>
          <w:tcPr>
            <w:tcW w:w="703" w:type="pct"/>
            <w:tcBorders>
              <w:top w:val="single" w:sz="4" w:space="0" w:color="auto"/>
              <w:left w:val="single" w:sz="4" w:space="0" w:color="auto"/>
              <w:bottom w:val="single" w:sz="4" w:space="0" w:color="auto"/>
              <w:right w:val="single" w:sz="4" w:space="0" w:color="auto"/>
            </w:tcBorders>
          </w:tcPr>
          <w:p w14:paraId="4D3BD3AF" w14:textId="77777777" w:rsidR="00E57DAA" w:rsidRDefault="00AC4185">
            <w:pPr>
              <w:autoSpaceDE w:val="0"/>
              <w:autoSpaceDN w:val="0"/>
              <w:adjustRightInd w:val="0"/>
              <w:jc w:val="right"/>
              <w:rPr>
                <w:szCs w:val="21"/>
              </w:rPr>
            </w:pPr>
            <w:r>
              <w:t>21,400.00</w:t>
            </w:r>
          </w:p>
        </w:tc>
        <w:tc>
          <w:tcPr>
            <w:tcW w:w="914" w:type="pct"/>
            <w:tcBorders>
              <w:top w:val="single" w:sz="4" w:space="0" w:color="auto"/>
              <w:left w:val="single" w:sz="4" w:space="0" w:color="auto"/>
              <w:bottom w:val="single" w:sz="4" w:space="0" w:color="auto"/>
              <w:right w:val="single" w:sz="4" w:space="0" w:color="auto"/>
            </w:tcBorders>
          </w:tcPr>
          <w:p w14:paraId="0B34CC2D" w14:textId="77777777" w:rsidR="00E57DAA" w:rsidRDefault="00AC4185">
            <w:pPr>
              <w:autoSpaceDE w:val="0"/>
              <w:autoSpaceDN w:val="0"/>
              <w:adjustRightInd w:val="0"/>
              <w:jc w:val="right"/>
              <w:rPr>
                <w:szCs w:val="21"/>
              </w:rPr>
            </w:pPr>
            <w:r>
              <w:t>2,140.00</w:t>
            </w:r>
          </w:p>
        </w:tc>
      </w:tr>
      <w:tr w:rsidR="00E57DAA" w14:paraId="2A582F2D" w14:textId="77777777">
        <w:tc>
          <w:tcPr>
            <w:tcW w:w="677" w:type="pct"/>
            <w:tcBorders>
              <w:top w:val="single" w:sz="4" w:space="0" w:color="auto"/>
              <w:left w:val="single" w:sz="4" w:space="0" w:color="auto"/>
              <w:bottom w:val="single" w:sz="4" w:space="0" w:color="auto"/>
              <w:right w:val="single" w:sz="4" w:space="0" w:color="auto"/>
            </w:tcBorders>
            <w:vAlign w:val="center"/>
          </w:tcPr>
          <w:p w14:paraId="4E21343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ADBEFB9" w14:textId="77777777" w:rsidR="00E57DAA" w:rsidRDefault="00AC4185">
            <w:pPr>
              <w:autoSpaceDE w:val="0"/>
              <w:autoSpaceDN w:val="0"/>
              <w:adjustRightInd w:val="0"/>
              <w:rPr>
                <w:szCs w:val="21"/>
              </w:rPr>
            </w:pPr>
            <w:r>
              <w:t>安吉南方水泥有限公司</w:t>
            </w:r>
          </w:p>
        </w:tc>
        <w:tc>
          <w:tcPr>
            <w:tcW w:w="633" w:type="pct"/>
            <w:tcBorders>
              <w:top w:val="single" w:sz="4" w:space="0" w:color="auto"/>
              <w:left w:val="single" w:sz="4" w:space="0" w:color="auto"/>
              <w:bottom w:val="single" w:sz="4" w:space="0" w:color="auto"/>
              <w:right w:val="single" w:sz="4" w:space="0" w:color="auto"/>
            </w:tcBorders>
          </w:tcPr>
          <w:p w14:paraId="128887B1" w14:textId="77777777" w:rsidR="00E57DAA" w:rsidRDefault="00AC4185">
            <w:pPr>
              <w:autoSpaceDE w:val="0"/>
              <w:autoSpaceDN w:val="0"/>
              <w:adjustRightInd w:val="0"/>
              <w:jc w:val="right"/>
              <w:rPr>
                <w:szCs w:val="21"/>
              </w:rPr>
            </w:pPr>
            <w:r>
              <w:t>111,646.50</w:t>
            </w:r>
          </w:p>
        </w:tc>
        <w:tc>
          <w:tcPr>
            <w:tcW w:w="632" w:type="pct"/>
            <w:tcBorders>
              <w:top w:val="single" w:sz="4" w:space="0" w:color="auto"/>
              <w:left w:val="single" w:sz="4" w:space="0" w:color="auto"/>
              <w:bottom w:val="single" w:sz="4" w:space="0" w:color="auto"/>
              <w:right w:val="single" w:sz="4" w:space="0" w:color="auto"/>
            </w:tcBorders>
          </w:tcPr>
          <w:p w14:paraId="1ACA51F7" w14:textId="77777777" w:rsidR="00E57DAA" w:rsidRDefault="00AC4185">
            <w:pPr>
              <w:autoSpaceDE w:val="0"/>
              <w:autoSpaceDN w:val="0"/>
              <w:adjustRightInd w:val="0"/>
              <w:jc w:val="right"/>
              <w:rPr>
                <w:szCs w:val="21"/>
              </w:rPr>
            </w:pPr>
            <w:r>
              <w:t>7,336.50</w:t>
            </w:r>
          </w:p>
        </w:tc>
        <w:tc>
          <w:tcPr>
            <w:tcW w:w="703" w:type="pct"/>
            <w:tcBorders>
              <w:top w:val="single" w:sz="4" w:space="0" w:color="auto"/>
              <w:left w:val="single" w:sz="4" w:space="0" w:color="auto"/>
              <w:bottom w:val="single" w:sz="4" w:space="0" w:color="auto"/>
              <w:right w:val="single" w:sz="4" w:space="0" w:color="auto"/>
            </w:tcBorders>
          </w:tcPr>
          <w:p w14:paraId="5EB74134" w14:textId="77777777" w:rsidR="00E57DAA" w:rsidRDefault="00AC4185">
            <w:pPr>
              <w:autoSpaceDE w:val="0"/>
              <w:autoSpaceDN w:val="0"/>
              <w:adjustRightInd w:val="0"/>
              <w:jc w:val="right"/>
              <w:rPr>
                <w:szCs w:val="21"/>
              </w:rPr>
            </w:pPr>
            <w:r>
              <w:t>441,846.50</w:t>
            </w:r>
          </w:p>
        </w:tc>
        <w:tc>
          <w:tcPr>
            <w:tcW w:w="914" w:type="pct"/>
            <w:tcBorders>
              <w:top w:val="single" w:sz="4" w:space="0" w:color="auto"/>
              <w:left w:val="single" w:sz="4" w:space="0" w:color="auto"/>
              <w:bottom w:val="single" w:sz="4" w:space="0" w:color="auto"/>
              <w:right w:val="single" w:sz="4" w:space="0" w:color="auto"/>
            </w:tcBorders>
          </w:tcPr>
          <w:p w14:paraId="374D44E1" w14:textId="77777777" w:rsidR="00E57DAA" w:rsidRDefault="00AC4185">
            <w:pPr>
              <w:autoSpaceDE w:val="0"/>
              <w:autoSpaceDN w:val="0"/>
              <w:adjustRightInd w:val="0"/>
              <w:jc w:val="right"/>
              <w:rPr>
                <w:szCs w:val="21"/>
              </w:rPr>
            </w:pPr>
            <w:r>
              <w:t>27,534.50</w:t>
            </w:r>
          </w:p>
        </w:tc>
      </w:tr>
      <w:tr w:rsidR="00E57DAA" w14:paraId="63579689" w14:textId="77777777">
        <w:tc>
          <w:tcPr>
            <w:tcW w:w="677" w:type="pct"/>
            <w:tcBorders>
              <w:top w:val="single" w:sz="4" w:space="0" w:color="auto"/>
              <w:left w:val="single" w:sz="4" w:space="0" w:color="auto"/>
              <w:bottom w:val="single" w:sz="4" w:space="0" w:color="auto"/>
              <w:right w:val="single" w:sz="4" w:space="0" w:color="auto"/>
            </w:tcBorders>
            <w:vAlign w:val="center"/>
          </w:tcPr>
          <w:p w14:paraId="1416971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AFC4C5" w14:textId="77777777" w:rsidR="00E57DAA" w:rsidRDefault="00AC4185">
            <w:pPr>
              <w:autoSpaceDE w:val="0"/>
              <w:autoSpaceDN w:val="0"/>
              <w:adjustRightInd w:val="0"/>
              <w:rPr>
                <w:szCs w:val="21"/>
              </w:rPr>
            </w:pPr>
            <w:r>
              <w:t>四川省皓宇水泥有限责任公司</w:t>
            </w:r>
          </w:p>
        </w:tc>
        <w:tc>
          <w:tcPr>
            <w:tcW w:w="633" w:type="pct"/>
            <w:tcBorders>
              <w:top w:val="single" w:sz="4" w:space="0" w:color="auto"/>
              <w:left w:val="single" w:sz="4" w:space="0" w:color="auto"/>
              <w:bottom w:val="single" w:sz="4" w:space="0" w:color="auto"/>
              <w:right w:val="single" w:sz="4" w:space="0" w:color="auto"/>
            </w:tcBorders>
          </w:tcPr>
          <w:p w14:paraId="0F1C8ADE" w14:textId="77777777" w:rsidR="00E57DAA" w:rsidRDefault="00AC4185">
            <w:pPr>
              <w:autoSpaceDE w:val="0"/>
              <w:autoSpaceDN w:val="0"/>
              <w:adjustRightInd w:val="0"/>
              <w:jc w:val="right"/>
              <w:rPr>
                <w:szCs w:val="21"/>
              </w:rPr>
            </w:pPr>
            <w:r>
              <w:t>108,553.20</w:t>
            </w:r>
          </w:p>
        </w:tc>
        <w:tc>
          <w:tcPr>
            <w:tcW w:w="632" w:type="pct"/>
            <w:tcBorders>
              <w:top w:val="single" w:sz="4" w:space="0" w:color="auto"/>
              <w:left w:val="single" w:sz="4" w:space="0" w:color="auto"/>
              <w:bottom w:val="single" w:sz="4" w:space="0" w:color="auto"/>
              <w:right w:val="single" w:sz="4" w:space="0" w:color="auto"/>
            </w:tcBorders>
          </w:tcPr>
          <w:p w14:paraId="55081D32" w14:textId="77777777" w:rsidR="00E57DAA" w:rsidRDefault="00AC4185">
            <w:pPr>
              <w:autoSpaceDE w:val="0"/>
              <w:autoSpaceDN w:val="0"/>
              <w:adjustRightInd w:val="0"/>
              <w:jc w:val="right"/>
              <w:rPr>
                <w:szCs w:val="21"/>
              </w:rPr>
            </w:pPr>
            <w:r>
              <w:t>74,004.74</w:t>
            </w:r>
          </w:p>
        </w:tc>
        <w:tc>
          <w:tcPr>
            <w:tcW w:w="703" w:type="pct"/>
            <w:tcBorders>
              <w:top w:val="single" w:sz="4" w:space="0" w:color="auto"/>
              <w:left w:val="single" w:sz="4" w:space="0" w:color="auto"/>
              <w:bottom w:val="single" w:sz="4" w:space="0" w:color="auto"/>
              <w:right w:val="single" w:sz="4" w:space="0" w:color="auto"/>
            </w:tcBorders>
          </w:tcPr>
          <w:p w14:paraId="3354E9FF" w14:textId="77777777" w:rsidR="00E57DAA" w:rsidRDefault="00AC4185">
            <w:pPr>
              <w:autoSpaceDE w:val="0"/>
              <w:autoSpaceDN w:val="0"/>
              <w:adjustRightInd w:val="0"/>
              <w:jc w:val="right"/>
              <w:rPr>
                <w:szCs w:val="21"/>
              </w:rPr>
            </w:pPr>
            <w:r>
              <w:t>153,503.20</w:t>
            </w:r>
          </w:p>
        </w:tc>
        <w:tc>
          <w:tcPr>
            <w:tcW w:w="914" w:type="pct"/>
            <w:tcBorders>
              <w:top w:val="single" w:sz="4" w:space="0" w:color="auto"/>
              <w:left w:val="single" w:sz="4" w:space="0" w:color="auto"/>
              <w:bottom w:val="single" w:sz="4" w:space="0" w:color="auto"/>
              <w:right w:val="single" w:sz="4" w:space="0" w:color="auto"/>
            </w:tcBorders>
          </w:tcPr>
          <w:p w14:paraId="5BA1A584" w14:textId="77777777" w:rsidR="00E57DAA" w:rsidRDefault="00AC4185">
            <w:pPr>
              <w:autoSpaceDE w:val="0"/>
              <w:autoSpaceDN w:val="0"/>
              <w:adjustRightInd w:val="0"/>
              <w:jc w:val="right"/>
              <w:rPr>
                <w:szCs w:val="21"/>
              </w:rPr>
            </w:pPr>
            <w:r>
              <w:t>44,601.28</w:t>
            </w:r>
          </w:p>
        </w:tc>
      </w:tr>
      <w:tr w:rsidR="00E57DAA" w14:paraId="566C9FA5" w14:textId="77777777">
        <w:tc>
          <w:tcPr>
            <w:tcW w:w="677" w:type="pct"/>
            <w:tcBorders>
              <w:top w:val="single" w:sz="4" w:space="0" w:color="auto"/>
              <w:left w:val="single" w:sz="4" w:space="0" w:color="auto"/>
              <w:bottom w:val="single" w:sz="4" w:space="0" w:color="auto"/>
              <w:right w:val="single" w:sz="4" w:space="0" w:color="auto"/>
            </w:tcBorders>
            <w:vAlign w:val="center"/>
          </w:tcPr>
          <w:p w14:paraId="323700F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32C5BCC" w14:textId="77777777" w:rsidR="00E57DAA" w:rsidRDefault="00AC4185">
            <w:pPr>
              <w:autoSpaceDE w:val="0"/>
              <w:autoSpaceDN w:val="0"/>
              <w:adjustRightInd w:val="0"/>
              <w:rPr>
                <w:szCs w:val="21"/>
              </w:rPr>
            </w:pPr>
            <w:r>
              <w:t>嘉善天凝南方水泥有限公司</w:t>
            </w:r>
          </w:p>
        </w:tc>
        <w:tc>
          <w:tcPr>
            <w:tcW w:w="633" w:type="pct"/>
            <w:tcBorders>
              <w:top w:val="single" w:sz="4" w:space="0" w:color="auto"/>
              <w:left w:val="single" w:sz="4" w:space="0" w:color="auto"/>
              <w:bottom w:val="single" w:sz="4" w:space="0" w:color="auto"/>
              <w:right w:val="single" w:sz="4" w:space="0" w:color="auto"/>
            </w:tcBorders>
          </w:tcPr>
          <w:p w14:paraId="57CA5BB4" w14:textId="77777777" w:rsidR="00E57DAA" w:rsidRDefault="00AC4185">
            <w:pPr>
              <w:autoSpaceDE w:val="0"/>
              <w:autoSpaceDN w:val="0"/>
              <w:adjustRightInd w:val="0"/>
              <w:jc w:val="right"/>
              <w:rPr>
                <w:szCs w:val="21"/>
              </w:rPr>
            </w:pPr>
            <w:r>
              <w:t>102,860.00</w:t>
            </w:r>
          </w:p>
        </w:tc>
        <w:tc>
          <w:tcPr>
            <w:tcW w:w="632" w:type="pct"/>
            <w:tcBorders>
              <w:top w:val="single" w:sz="4" w:space="0" w:color="auto"/>
              <w:left w:val="single" w:sz="4" w:space="0" w:color="auto"/>
              <w:bottom w:val="single" w:sz="4" w:space="0" w:color="auto"/>
              <w:right w:val="single" w:sz="4" w:space="0" w:color="auto"/>
            </w:tcBorders>
          </w:tcPr>
          <w:p w14:paraId="092CE3E2" w14:textId="77777777" w:rsidR="00E57DAA" w:rsidRDefault="00AC4185">
            <w:pPr>
              <w:autoSpaceDE w:val="0"/>
              <w:autoSpaceDN w:val="0"/>
              <w:adjustRightInd w:val="0"/>
              <w:jc w:val="right"/>
              <w:rPr>
                <w:szCs w:val="21"/>
              </w:rPr>
            </w:pPr>
            <w:r>
              <w:t>102,860.00</w:t>
            </w:r>
          </w:p>
        </w:tc>
        <w:tc>
          <w:tcPr>
            <w:tcW w:w="703" w:type="pct"/>
            <w:tcBorders>
              <w:top w:val="single" w:sz="4" w:space="0" w:color="auto"/>
              <w:left w:val="single" w:sz="4" w:space="0" w:color="auto"/>
              <w:bottom w:val="single" w:sz="4" w:space="0" w:color="auto"/>
              <w:right w:val="single" w:sz="4" w:space="0" w:color="auto"/>
            </w:tcBorders>
          </w:tcPr>
          <w:p w14:paraId="1A2F1744" w14:textId="77777777" w:rsidR="00E57DAA" w:rsidRDefault="00AC4185">
            <w:pPr>
              <w:autoSpaceDE w:val="0"/>
              <w:autoSpaceDN w:val="0"/>
              <w:adjustRightInd w:val="0"/>
              <w:jc w:val="right"/>
              <w:rPr>
                <w:szCs w:val="21"/>
              </w:rPr>
            </w:pPr>
            <w:r>
              <w:t>102,860.00</w:t>
            </w:r>
          </w:p>
        </w:tc>
        <w:tc>
          <w:tcPr>
            <w:tcW w:w="914" w:type="pct"/>
            <w:tcBorders>
              <w:top w:val="single" w:sz="4" w:space="0" w:color="auto"/>
              <w:left w:val="single" w:sz="4" w:space="0" w:color="auto"/>
              <w:bottom w:val="single" w:sz="4" w:space="0" w:color="auto"/>
              <w:right w:val="single" w:sz="4" w:space="0" w:color="auto"/>
            </w:tcBorders>
          </w:tcPr>
          <w:p w14:paraId="1B9C4E18" w14:textId="77777777" w:rsidR="00E57DAA" w:rsidRDefault="00AC4185">
            <w:pPr>
              <w:autoSpaceDE w:val="0"/>
              <w:autoSpaceDN w:val="0"/>
              <w:adjustRightInd w:val="0"/>
              <w:jc w:val="right"/>
              <w:rPr>
                <w:szCs w:val="21"/>
              </w:rPr>
            </w:pPr>
            <w:r>
              <w:t>102,860.00</w:t>
            </w:r>
          </w:p>
        </w:tc>
      </w:tr>
      <w:tr w:rsidR="00E57DAA" w14:paraId="08185C04" w14:textId="77777777">
        <w:tc>
          <w:tcPr>
            <w:tcW w:w="677" w:type="pct"/>
            <w:tcBorders>
              <w:top w:val="single" w:sz="4" w:space="0" w:color="auto"/>
              <w:left w:val="single" w:sz="4" w:space="0" w:color="auto"/>
              <w:bottom w:val="single" w:sz="4" w:space="0" w:color="auto"/>
              <w:right w:val="single" w:sz="4" w:space="0" w:color="auto"/>
            </w:tcBorders>
            <w:vAlign w:val="center"/>
          </w:tcPr>
          <w:p w14:paraId="20356E3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CD2BFDA" w14:textId="77777777" w:rsidR="00E57DAA" w:rsidRDefault="00AC4185">
            <w:pPr>
              <w:autoSpaceDE w:val="0"/>
              <w:autoSpaceDN w:val="0"/>
              <w:adjustRightInd w:val="0"/>
              <w:rPr>
                <w:szCs w:val="21"/>
              </w:rPr>
            </w:pPr>
            <w:r>
              <w:t>中材天山（珠海）水泥有限公司</w:t>
            </w:r>
          </w:p>
        </w:tc>
        <w:tc>
          <w:tcPr>
            <w:tcW w:w="633" w:type="pct"/>
            <w:tcBorders>
              <w:top w:val="single" w:sz="4" w:space="0" w:color="auto"/>
              <w:left w:val="single" w:sz="4" w:space="0" w:color="auto"/>
              <w:bottom w:val="single" w:sz="4" w:space="0" w:color="auto"/>
              <w:right w:val="single" w:sz="4" w:space="0" w:color="auto"/>
            </w:tcBorders>
          </w:tcPr>
          <w:p w14:paraId="7C16CFAE" w14:textId="77777777" w:rsidR="00E57DAA" w:rsidRDefault="00AC4185">
            <w:pPr>
              <w:autoSpaceDE w:val="0"/>
              <w:autoSpaceDN w:val="0"/>
              <w:adjustRightInd w:val="0"/>
              <w:jc w:val="right"/>
              <w:rPr>
                <w:szCs w:val="21"/>
              </w:rPr>
            </w:pPr>
            <w:r>
              <w:t>79,834.00</w:t>
            </w:r>
          </w:p>
        </w:tc>
        <w:tc>
          <w:tcPr>
            <w:tcW w:w="632" w:type="pct"/>
            <w:tcBorders>
              <w:top w:val="single" w:sz="4" w:space="0" w:color="auto"/>
              <w:left w:val="single" w:sz="4" w:space="0" w:color="auto"/>
              <w:bottom w:val="single" w:sz="4" w:space="0" w:color="auto"/>
              <w:right w:val="single" w:sz="4" w:space="0" w:color="auto"/>
            </w:tcBorders>
          </w:tcPr>
          <w:p w14:paraId="122A3CFA" w14:textId="77777777" w:rsidR="00E57DAA" w:rsidRDefault="00AC4185">
            <w:pPr>
              <w:autoSpaceDE w:val="0"/>
              <w:autoSpaceDN w:val="0"/>
              <w:adjustRightInd w:val="0"/>
              <w:jc w:val="right"/>
              <w:rPr>
                <w:szCs w:val="21"/>
              </w:rPr>
            </w:pPr>
            <w:r>
              <w:t>1,892.07</w:t>
            </w:r>
          </w:p>
        </w:tc>
        <w:tc>
          <w:tcPr>
            <w:tcW w:w="703" w:type="pct"/>
            <w:tcBorders>
              <w:top w:val="single" w:sz="4" w:space="0" w:color="auto"/>
              <w:left w:val="single" w:sz="4" w:space="0" w:color="auto"/>
              <w:bottom w:val="single" w:sz="4" w:space="0" w:color="auto"/>
              <w:right w:val="single" w:sz="4" w:space="0" w:color="auto"/>
            </w:tcBorders>
          </w:tcPr>
          <w:p w14:paraId="7971F28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72D9C0" w14:textId="77777777" w:rsidR="00E57DAA" w:rsidRDefault="00AC4185">
            <w:pPr>
              <w:autoSpaceDE w:val="0"/>
              <w:autoSpaceDN w:val="0"/>
              <w:adjustRightInd w:val="0"/>
              <w:jc w:val="right"/>
              <w:rPr>
                <w:szCs w:val="21"/>
              </w:rPr>
            </w:pPr>
            <w:r>
              <w:t xml:space="preserve">　</w:t>
            </w:r>
          </w:p>
        </w:tc>
      </w:tr>
      <w:tr w:rsidR="00E57DAA" w14:paraId="5E56C803" w14:textId="77777777">
        <w:tc>
          <w:tcPr>
            <w:tcW w:w="677" w:type="pct"/>
            <w:tcBorders>
              <w:top w:val="single" w:sz="4" w:space="0" w:color="auto"/>
              <w:left w:val="single" w:sz="4" w:space="0" w:color="auto"/>
              <w:bottom w:val="single" w:sz="4" w:space="0" w:color="auto"/>
              <w:right w:val="single" w:sz="4" w:space="0" w:color="auto"/>
            </w:tcBorders>
            <w:vAlign w:val="center"/>
          </w:tcPr>
          <w:p w14:paraId="298EC0F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48CE64B" w14:textId="77777777" w:rsidR="00E57DAA" w:rsidRDefault="00AC4185">
            <w:pPr>
              <w:autoSpaceDE w:val="0"/>
              <w:autoSpaceDN w:val="0"/>
              <w:adjustRightInd w:val="0"/>
              <w:rPr>
                <w:szCs w:val="21"/>
              </w:rPr>
            </w:pPr>
            <w:r>
              <w:t>攀枝花攀煤水泥制品有限公司</w:t>
            </w:r>
          </w:p>
        </w:tc>
        <w:tc>
          <w:tcPr>
            <w:tcW w:w="633" w:type="pct"/>
            <w:tcBorders>
              <w:top w:val="single" w:sz="4" w:space="0" w:color="auto"/>
              <w:left w:val="single" w:sz="4" w:space="0" w:color="auto"/>
              <w:bottom w:val="single" w:sz="4" w:space="0" w:color="auto"/>
              <w:right w:val="single" w:sz="4" w:space="0" w:color="auto"/>
            </w:tcBorders>
          </w:tcPr>
          <w:p w14:paraId="0C6BB80C" w14:textId="77777777" w:rsidR="00E57DAA" w:rsidRDefault="00AC4185">
            <w:pPr>
              <w:autoSpaceDE w:val="0"/>
              <w:autoSpaceDN w:val="0"/>
              <w:adjustRightInd w:val="0"/>
              <w:jc w:val="right"/>
              <w:rPr>
                <w:szCs w:val="21"/>
              </w:rPr>
            </w:pPr>
            <w:r>
              <w:t>68,000.00</w:t>
            </w:r>
          </w:p>
        </w:tc>
        <w:tc>
          <w:tcPr>
            <w:tcW w:w="632" w:type="pct"/>
            <w:tcBorders>
              <w:top w:val="single" w:sz="4" w:space="0" w:color="auto"/>
              <w:left w:val="single" w:sz="4" w:space="0" w:color="auto"/>
              <w:bottom w:val="single" w:sz="4" w:space="0" w:color="auto"/>
              <w:right w:val="single" w:sz="4" w:space="0" w:color="auto"/>
            </w:tcBorders>
          </w:tcPr>
          <w:p w14:paraId="1B804DF2" w14:textId="77777777" w:rsidR="00E57DAA" w:rsidRDefault="00AC4185">
            <w:pPr>
              <w:autoSpaceDE w:val="0"/>
              <w:autoSpaceDN w:val="0"/>
              <w:adjustRightInd w:val="0"/>
              <w:jc w:val="right"/>
              <w:rPr>
                <w:szCs w:val="21"/>
              </w:rPr>
            </w:pPr>
            <w:r>
              <w:t>571.2</w:t>
            </w:r>
          </w:p>
        </w:tc>
        <w:tc>
          <w:tcPr>
            <w:tcW w:w="703" w:type="pct"/>
            <w:tcBorders>
              <w:top w:val="single" w:sz="4" w:space="0" w:color="auto"/>
              <w:left w:val="single" w:sz="4" w:space="0" w:color="auto"/>
              <w:bottom w:val="single" w:sz="4" w:space="0" w:color="auto"/>
              <w:right w:val="single" w:sz="4" w:space="0" w:color="auto"/>
            </w:tcBorders>
          </w:tcPr>
          <w:p w14:paraId="243B0F7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8CDE855" w14:textId="77777777" w:rsidR="00E57DAA" w:rsidRDefault="00AC4185">
            <w:pPr>
              <w:autoSpaceDE w:val="0"/>
              <w:autoSpaceDN w:val="0"/>
              <w:adjustRightInd w:val="0"/>
              <w:jc w:val="right"/>
              <w:rPr>
                <w:szCs w:val="21"/>
              </w:rPr>
            </w:pPr>
            <w:r>
              <w:t xml:space="preserve">　</w:t>
            </w:r>
          </w:p>
        </w:tc>
      </w:tr>
      <w:tr w:rsidR="00E57DAA" w14:paraId="623D8ECC" w14:textId="77777777">
        <w:tc>
          <w:tcPr>
            <w:tcW w:w="677" w:type="pct"/>
            <w:tcBorders>
              <w:top w:val="single" w:sz="4" w:space="0" w:color="auto"/>
              <w:left w:val="single" w:sz="4" w:space="0" w:color="auto"/>
              <w:bottom w:val="single" w:sz="4" w:space="0" w:color="auto"/>
              <w:right w:val="single" w:sz="4" w:space="0" w:color="auto"/>
            </w:tcBorders>
            <w:vAlign w:val="center"/>
          </w:tcPr>
          <w:p w14:paraId="424411B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67EE79" w14:textId="77777777" w:rsidR="00E57DAA" w:rsidRDefault="00AC4185">
            <w:pPr>
              <w:autoSpaceDE w:val="0"/>
              <w:autoSpaceDN w:val="0"/>
              <w:adjustRightInd w:val="0"/>
              <w:rPr>
                <w:szCs w:val="21"/>
              </w:rPr>
            </w:pPr>
            <w:r>
              <w:t>云南澄江华荣水泥有限责任公司</w:t>
            </w:r>
          </w:p>
        </w:tc>
        <w:tc>
          <w:tcPr>
            <w:tcW w:w="633" w:type="pct"/>
            <w:tcBorders>
              <w:top w:val="single" w:sz="4" w:space="0" w:color="auto"/>
              <w:left w:val="single" w:sz="4" w:space="0" w:color="auto"/>
              <w:bottom w:val="single" w:sz="4" w:space="0" w:color="auto"/>
              <w:right w:val="single" w:sz="4" w:space="0" w:color="auto"/>
            </w:tcBorders>
          </w:tcPr>
          <w:p w14:paraId="563467C1" w14:textId="77777777" w:rsidR="00E57DAA" w:rsidRDefault="00AC4185">
            <w:pPr>
              <w:autoSpaceDE w:val="0"/>
              <w:autoSpaceDN w:val="0"/>
              <w:adjustRightInd w:val="0"/>
              <w:jc w:val="right"/>
              <w:rPr>
                <w:szCs w:val="21"/>
              </w:rPr>
            </w:pPr>
            <w:r>
              <w:t>68,000.00</w:t>
            </w:r>
          </w:p>
        </w:tc>
        <w:tc>
          <w:tcPr>
            <w:tcW w:w="632" w:type="pct"/>
            <w:tcBorders>
              <w:top w:val="single" w:sz="4" w:space="0" w:color="auto"/>
              <w:left w:val="single" w:sz="4" w:space="0" w:color="auto"/>
              <w:bottom w:val="single" w:sz="4" w:space="0" w:color="auto"/>
              <w:right w:val="single" w:sz="4" w:space="0" w:color="auto"/>
            </w:tcBorders>
          </w:tcPr>
          <w:p w14:paraId="337D421D" w14:textId="77777777" w:rsidR="00E57DAA" w:rsidRDefault="00AC4185">
            <w:pPr>
              <w:autoSpaceDE w:val="0"/>
              <w:autoSpaceDN w:val="0"/>
              <w:adjustRightInd w:val="0"/>
              <w:jc w:val="right"/>
              <w:rPr>
                <w:szCs w:val="21"/>
              </w:rPr>
            </w:pPr>
            <w:r>
              <w:t>571.2</w:t>
            </w:r>
          </w:p>
        </w:tc>
        <w:tc>
          <w:tcPr>
            <w:tcW w:w="703" w:type="pct"/>
            <w:tcBorders>
              <w:top w:val="single" w:sz="4" w:space="0" w:color="auto"/>
              <w:left w:val="single" w:sz="4" w:space="0" w:color="auto"/>
              <w:bottom w:val="single" w:sz="4" w:space="0" w:color="auto"/>
              <w:right w:val="single" w:sz="4" w:space="0" w:color="auto"/>
            </w:tcBorders>
          </w:tcPr>
          <w:p w14:paraId="675E14B2" w14:textId="77777777" w:rsidR="00E57DAA" w:rsidRDefault="00AC4185">
            <w:pPr>
              <w:autoSpaceDE w:val="0"/>
              <w:autoSpaceDN w:val="0"/>
              <w:adjustRightInd w:val="0"/>
              <w:jc w:val="right"/>
              <w:rPr>
                <w:szCs w:val="21"/>
              </w:rPr>
            </w:pPr>
            <w:r>
              <w:t>218,986.00</w:t>
            </w:r>
          </w:p>
        </w:tc>
        <w:tc>
          <w:tcPr>
            <w:tcW w:w="914" w:type="pct"/>
            <w:tcBorders>
              <w:top w:val="single" w:sz="4" w:space="0" w:color="auto"/>
              <w:left w:val="single" w:sz="4" w:space="0" w:color="auto"/>
              <w:bottom w:val="single" w:sz="4" w:space="0" w:color="auto"/>
              <w:right w:val="single" w:sz="4" w:space="0" w:color="auto"/>
            </w:tcBorders>
          </w:tcPr>
          <w:p w14:paraId="1F4CD96B" w14:textId="77777777" w:rsidR="00E57DAA" w:rsidRDefault="00AC4185">
            <w:pPr>
              <w:autoSpaceDE w:val="0"/>
              <w:autoSpaceDN w:val="0"/>
              <w:adjustRightInd w:val="0"/>
              <w:jc w:val="right"/>
              <w:rPr>
                <w:szCs w:val="21"/>
              </w:rPr>
            </w:pPr>
            <w:r>
              <w:t>10,949.30</w:t>
            </w:r>
          </w:p>
        </w:tc>
      </w:tr>
      <w:tr w:rsidR="00E57DAA" w14:paraId="682FC0E4" w14:textId="77777777">
        <w:tc>
          <w:tcPr>
            <w:tcW w:w="677" w:type="pct"/>
            <w:tcBorders>
              <w:top w:val="single" w:sz="4" w:space="0" w:color="auto"/>
              <w:left w:val="single" w:sz="4" w:space="0" w:color="auto"/>
              <w:bottom w:val="single" w:sz="4" w:space="0" w:color="auto"/>
              <w:right w:val="single" w:sz="4" w:space="0" w:color="auto"/>
            </w:tcBorders>
            <w:vAlign w:val="center"/>
          </w:tcPr>
          <w:p w14:paraId="6E9C196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5875078" w14:textId="77777777" w:rsidR="00E57DAA" w:rsidRDefault="00AC4185">
            <w:pPr>
              <w:autoSpaceDE w:val="0"/>
              <w:autoSpaceDN w:val="0"/>
              <w:adjustRightInd w:val="0"/>
              <w:rPr>
                <w:szCs w:val="21"/>
              </w:rPr>
            </w:pPr>
            <w:r>
              <w:t>上海金山南方水泥有限公司</w:t>
            </w:r>
          </w:p>
        </w:tc>
        <w:tc>
          <w:tcPr>
            <w:tcW w:w="633" w:type="pct"/>
            <w:tcBorders>
              <w:top w:val="single" w:sz="4" w:space="0" w:color="auto"/>
              <w:left w:val="single" w:sz="4" w:space="0" w:color="auto"/>
              <w:bottom w:val="single" w:sz="4" w:space="0" w:color="auto"/>
              <w:right w:val="single" w:sz="4" w:space="0" w:color="auto"/>
            </w:tcBorders>
          </w:tcPr>
          <w:p w14:paraId="6326F384" w14:textId="77777777" w:rsidR="00E57DAA" w:rsidRDefault="00AC4185">
            <w:pPr>
              <w:autoSpaceDE w:val="0"/>
              <w:autoSpaceDN w:val="0"/>
              <w:adjustRightInd w:val="0"/>
              <w:jc w:val="right"/>
              <w:rPr>
                <w:szCs w:val="21"/>
              </w:rPr>
            </w:pPr>
            <w:r>
              <w:t>66,965.96</w:t>
            </w:r>
          </w:p>
        </w:tc>
        <w:tc>
          <w:tcPr>
            <w:tcW w:w="632" w:type="pct"/>
            <w:tcBorders>
              <w:top w:val="single" w:sz="4" w:space="0" w:color="auto"/>
              <w:left w:val="single" w:sz="4" w:space="0" w:color="auto"/>
              <w:bottom w:val="single" w:sz="4" w:space="0" w:color="auto"/>
              <w:right w:val="single" w:sz="4" w:space="0" w:color="auto"/>
            </w:tcBorders>
          </w:tcPr>
          <w:p w14:paraId="68590CC1" w14:textId="77777777" w:rsidR="00E57DAA" w:rsidRDefault="00AC4185">
            <w:pPr>
              <w:autoSpaceDE w:val="0"/>
              <w:autoSpaceDN w:val="0"/>
              <w:adjustRightInd w:val="0"/>
              <w:jc w:val="right"/>
              <w:rPr>
                <w:szCs w:val="21"/>
              </w:rPr>
            </w:pPr>
            <w:r>
              <w:t>1,587.09</w:t>
            </w:r>
          </w:p>
        </w:tc>
        <w:tc>
          <w:tcPr>
            <w:tcW w:w="703" w:type="pct"/>
            <w:tcBorders>
              <w:top w:val="single" w:sz="4" w:space="0" w:color="auto"/>
              <w:left w:val="single" w:sz="4" w:space="0" w:color="auto"/>
              <w:bottom w:val="single" w:sz="4" w:space="0" w:color="auto"/>
              <w:right w:val="single" w:sz="4" w:space="0" w:color="auto"/>
            </w:tcBorders>
          </w:tcPr>
          <w:p w14:paraId="3B4B475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1FCBEC7" w14:textId="77777777" w:rsidR="00E57DAA" w:rsidRDefault="00AC4185">
            <w:pPr>
              <w:autoSpaceDE w:val="0"/>
              <w:autoSpaceDN w:val="0"/>
              <w:adjustRightInd w:val="0"/>
              <w:jc w:val="right"/>
              <w:rPr>
                <w:szCs w:val="21"/>
              </w:rPr>
            </w:pPr>
            <w:r>
              <w:t xml:space="preserve">　</w:t>
            </w:r>
          </w:p>
        </w:tc>
      </w:tr>
      <w:tr w:rsidR="00E57DAA" w14:paraId="63E539EA" w14:textId="77777777">
        <w:tc>
          <w:tcPr>
            <w:tcW w:w="677" w:type="pct"/>
            <w:tcBorders>
              <w:top w:val="single" w:sz="4" w:space="0" w:color="auto"/>
              <w:left w:val="single" w:sz="4" w:space="0" w:color="auto"/>
              <w:bottom w:val="single" w:sz="4" w:space="0" w:color="auto"/>
              <w:right w:val="single" w:sz="4" w:space="0" w:color="auto"/>
            </w:tcBorders>
            <w:vAlign w:val="center"/>
          </w:tcPr>
          <w:p w14:paraId="0B07DA8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7580008" w14:textId="77777777" w:rsidR="00E57DAA" w:rsidRDefault="00AC4185">
            <w:pPr>
              <w:autoSpaceDE w:val="0"/>
              <w:autoSpaceDN w:val="0"/>
              <w:adjustRightInd w:val="0"/>
              <w:rPr>
                <w:szCs w:val="21"/>
              </w:rPr>
            </w:pPr>
            <w:r>
              <w:t>四川省女娲建材有限公司</w:t>
            </w:r>
          </w:p>
        </w:tc>
        <w:tc>
          <w:tcPr>
            <w:tcW w:w="633" w:type="pct"/>
            <w:tcBorders>
              <w:top w:val="single" w:sz="4" w:space="0" w:color="auto"/>
              <w:left w:val="single" w:sz="4" w:space="0" w:color="auto"/>
              <w:bottom w:val="single" w:sz="4" w:space="0" w:color="auto"/>
              <w:right w:val="single" w:sz="4" w:space="0" w:color="auto"/>
            </w:tcBorders>
          </w:tcPr>
          <w:p w14:paraId="1605FE36" w14:textId="77777777" w:rsidR="00E57DAA" w:rsidRDefault="00AC4185">
            <w:pPr>
              <w:autoSpaceDE w:val="0"/>
              <w:autoSpaceDN w:val="0"/>
              <w:adjustRightInd w:val="0"/>
              <w:jc w:val="right"/>
              <w:rPr>
                <w:szCs w:val="21"/>
              </w:rPr>
            </w:pPr>
            <w:r>
              <w:t>58,154.00</w:t>
            </w:r>
          </w:p>
        </w:tc>
        <w:tc>
          <w:tcPr>
            <w:tcW w:w="632" w:type="pct"/>
            <w:tcBorders>
              <w:top w:val="single" w:sz="4" w:space="0" w:color="auto"/>
              <w:left w:val="single" w:sz="4" w:space="0" w:color="auto"/>
              <w:bottom w:val="single" w:sz="4" w:space="0" w:color="auto"/>
              <w:right w:val="single" w:sz="4" w:space="0" w:color="auto"/>
            </w:tcBorders>
          </w:tcPr>
          <w:p w14:paraId="7EF62625" w14:textId="77777777" w:rsidR="00E57DAA" w:rsidRDefault="00AC4185">
            <w:pPr>
              <w:autoSpaceDE w:val="0"/>
              <w:autoSpaceDN w:val="0"/>
              <w:adjustRightInd w:val="0"/>
              <w:jc w:val="right"/>
              <w:rPr>
                <w:szCs w:val="21"/>
              </w:rPr>
            </w:pPr>
            <w:r>
              <w:t>54,147.26</w:t>
            </w:r>
          </w:p>
        </w:tc>
        <w:tc>
          <w:tcPr>
            <w:tcW w:w="703" w:type="pct"/>
            <w:tcBorders>
              <w:top w:val="single" w:sz="4" w:space="0" w:color="auto"/>
              <w:left w:val="single" w:sz="4" w:space="0" w:color="auto"/>
              <w:bottom w:val="single" w:sz="4" w:space="0" w:color="auto"/>
              <w:right w:val="single" w:sz="4" w:space="0" w:color="auto"/>
            </w:tcBorders>
          </w:tcPr>
          <w:p w14:paraId="4422530D" w14:textId="77777777" w:rsidR="00E57DAA" w:rsidRDefault="00AC4185">
            <w:pPr>
              <w:autoSpaceDE w:val="0"/>
              <w:autoSpaceDN w:val="0"/>
              <w:adjustRightInd w:val="0"/>
              <w:jc w:val="right"/>
              <w:rPr>
                <w:szCs w:val="21"/>
              </w:rPr>
            </w:pPr>
            <w:r>
              <w:t>57,490.00</w:t>
            </w:r>
          </w:p>
        </w:tc>
        <w:tc>
          <w:tcPr>
            <w:tcW w:w="914" w:type="pct"/>
            <w:tcBorders>
              <w:top w:val="single" w:sz="4" w:space="0" w:color="auto"/>
              <w:left w:val="single" w:sz="4" w:space="0" w:color="auto"/>
              <w:bottom w:val="single" w:sz="4" w:space="0" w:color="auto"/>
              <w:right w:val="single" w:sz="4" w:space="0" w:color="auto"/>
            </w:tcBorders>
          </w:tcPr>
          <w:p w14:paraId="73D8EC11" w14:textId="77777777" w:rsidR="00E57DAA" w:rsidRDefault="00AC4185">
            <w:pPr>
              <w:autoSpaceDE w:val="0"/>
              <w:autoSpaceDN w:val="0"/>
              <w:adjustRightInd w:val="0"/>
              <w:jc w:val="right"/>
              <w:rPr>
                <w:szCs w:val="21"/>
              </w:rPr>
            </w:pPr>
            <w:r>
              <w:t>54,738.00</w:t>
            </w:r>
          </w:p>
        </w:tc>
      </w:tr>
      <w:tr w:rsidR="00E57DAA" w14:paraId="4FBBB108" w14:textId="77777777">
        <w:tc>
          <w:tcPr>
            <w:tcW w:w="677" w:type="pct"/>
            <w:tcBorders>
              <w:top w:val="single" w:sz="4" w:space="0" w:color="auto"/>
              <w:left w:val="single" w:sz="4" w:space="0" w:color="auto"/>
              <w:bottom w:val="single" w:sz="4" w:space="0" w:color="auto"/>
              <w:right w:val="single" w:sz="4" w:space="0" w:color="auto"/>
            </w:tcBorders>
            <w:vAlign w:val="center"/>
          </w:tcPr>
          <w:p w14:paraId="6BEBBC0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D98E8E0" w14:textId="77777777" w:rsidR="00E57DAA" w:rsidRDefault="00AC4185">
            <w:pPr>
              <w:autoSpaceDE w:val="0"/>
              <w:autoSpaceDN w:val="0"/>
              <w:adjustRightInd w:val="0"/>
              <w:rPr>
                <w:szCs w:val="21"/>
              </w:rPr>
            </w:pPr>
            <w:r>
              <w:t>诸暨南方水泥有限公司</w:t>
            </w:r>
          </w:p>
        </w:tc>
        <w:tc>
          <w:tcPr>
            <w:tcW w:w="633" w:type="pct"/>
            <w:tcBorders>
              <w:top w:val="single" w:sz="4" w:space="0" w:color="auto"/>
              <w:left w:val="single" w:sz="4" w:space="0" w:color="auto"/>
              <w:bottom w:val="single" w:sz="4" w:space="0" w:color="auto"/>
              <w:right w:val="single" w:sz="4" w:space="0" w:color="auto"/>
            </w:tcBorders>
          </w:tcPr>
          <w:p w14:paraId="7E2ACA4A" w14:textId="77777777" w:rsidR="00E57DAA" w:rsidRDefault="00AC4185">
            <w:pPr>
              <w:autoSpaceDE w:val="0"/>
              <w:autoSpaceDN w:val="0"/>
              <w:adjustRightInd w:val="0"/>
              <w:jc w:val="right"/>
              <w:rPr>
                <w:szCs w:val="21"/>
              </w:rPr>
            </w:pPr>
            <w:r>
              <w:t>57,800.00</w:t>
            </w:r>
          </w:p>
        </w:tc>
        <w:tc>
          <w:tcPr>
            <w:tcW w:w="632" w:type="pct"/>
            <w:tcBorders>
              <w:top w:val="single" w:sz="4" w:space="0" w:color="auto"/>
              <w:left w:val="single" w:sz="4" w:space="0" w:color="auto"/>
              <w:bottom w:val="single" w:sz="4" w:space="0" w:color="auto"/>
              <w:right w:val="single" w:sz="4" w:space="0" w:color="auto"/>
            </w:tcBorders>
          </w:tcPr>
          <w:p w14:paraId="4A9F6ED2" w14:textId="77777777" w:rsidR="00E57DAA" w:rsidRDefault="00AC4185">
            <w:pPr>
              <w:autoSpaceDE w:val="0"/>
              <w:autoSpaceDN w:val="0"/>
              <w:adjustRightInd w:val="0"/>
              <w:jc w:val="right"/>
              <w:rPr>
                <w:szCs w:val="21"/>
              </w:rPr>
            </w:pPr>
            <w:r>
              <w:t>14,895.86</w:t>
            </w:r>
          </w:p>
        </w:tc>
        <w:tc>
          <w:tcPr>
            <w:tcW w:w="703" w:type="pct"/>
            <w:tcBorders>
              <w:top w:val="single" w:sz="4" w:space="0" w:color="auto"/>
              <w:left w:val="single" w:sz="4" w:space="0" w:color="auto"/>
              <w:bottom w:val="single" w:sz="4" w:space="0" w:color="auto"/>
              <w:right w:val="single" w:sz="4" w:space="0" w:color="auto"/>
            </w:tcBorders>
          </w:tcPr>
          <w:p w14:paraId="616B4488"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6B30F1DE" w14:textId="77777777" w:rsidR="00E57DAA" w:rsidRDefault="00AC4185">
            <w:pPr>
              <w:autoSpaceDE w:val="0"/>
              <w:autoSpaceDN w:val="0"/>
              <w:adjustRightInd w:val="0"/>
              <w:jc w:val="right"/>
              <w:rPr>
                <w:szCs w:val="21"/>
              </w:rPr>
            </w:pPr>
            <w:r>
              <w:t>8,000.00</w:t>
            </w:r>
          </w:p>
        </w:tc>
      </w:tr>
      <w:tr w:rsidR="00E57DAA" w14:paraId="3F5D8E20" w14:textId="77777777">
        <w:tc>
          <w:tcPr>
            <w:tcW w:w="677" w:type="pct"/>
            <w:tcBorders>
              <w:top w:val="single" w:sz="4" w:space="0" w:color="auto"/>
              <w:left w:val="single" w:sz="4" w:space="0" w:color="auto"/>
              <w:bottom w:val="single" w:sz="4" w:space="0" w:color="auto"/>
              <w:right w:val="single" w:sz="4" w:space="0" w:color="auto"/>
            </w:tcBorders>
            <w:vAlign w:val="center"/>
          </w:tcPr>
          <w:p w14:paraId="6E83629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69F6CC" w14:textId="77777777" w:rsidR="00E57DAA" w:rsidRDefault="00AC4185">
            <w:pPr>
              <w:autoSpaceDE w:val="0"/>
              <w:autoSpaceDN w:val="0"/>
              <w:adjustRightInd w:val="0"/>
              <w:rPr>
                <w:szCs w:val="21"/>
              </w:rPr>
            </w:pPr>
            <w:r>
              <w:t>四川省绵竹澳东水泥有限公司</w:t>
            </w:r>
          </w:p>
        </w:tc>
        <w:tc>
          <w:tcPr>
            <w:tcW w:w="633" w:type="pct"/>
            <w:tcBorders>
              <w:top w:val="single" w:sz="4" w:space="0" w:color="auto"/>
              <w:left w:val="single" w:sz="4" w:space="0" w:color="auto"/>
              <w:bottom w:val="single" w:sz="4" w:space="0" w:color="auto"/>
              <w:right w:val="single" w:sz="4" w:space="0" w:color="auto"/>
            </w:tcBorders>
          </w:tcPr>
          <w:p w14:paraId="192DD5F1" w14:textId="77777777" w:rsidR="00E57DAA" w:rsidRDefault="00AC4185">
            <w:pPr>
              <w:autoSpaceDE w:val="0"/>
              <w:autoSpaceDN w:val="0"/>
              <w:adjustRightInd w:val="0"/>
              <w:jc w:val="right"/>
              <w:rPr>
                <w:szCs w:val="21"/>
              </w:rPr>
            </w:pPr>
            <w:r>
              <w:t>57,674.95</w:t>
            </w:r>
          </w:p>
        </w:tc>
        <w:tc>
          <w:tcPr>
            <w:tcW w:w="632" w:type="pct"/>
            <w:tcBorders>
              <w:top w:val="single" w:sz="4" w:space="0" w:color="auto"/>
              <w:left w:val="single" w:sz="4" w:space="0" w:color="auto"/>
              <w:bottom w:val="single" w:sz="4" w:space="0" w:color="auto"/>
              <w:right w:val="single" w:sz="4" w:space="0" w:color="auto"/>
            </w:tcBorders>
          </w:tcPr>
          <w:p w14:paraId="0E752C43" w14:textId="77777777" w:rsidR="00E57DAA" w:rsidRDefault="00AC4185">
            <w:pPr>
              <w:autoSpaceDE w:val="0"/>
              <w:autoSpaceDN w:val="0"/>
              <w:adjustRightInd w:val="0"/>
              <w:jc w:val="right"/>
              <w:rPr>
                <w:szCs w:val="21"/>
              </w:rPr>
            </w:pPr>
            <w:r>
              <w:t>8,316.73</w:t>
            </w:r>
          </w:p>
        </w:tc>
        <w:tc>
          <w:tcPr>
            <w:tcW w:w="703" w:type="pct"/>
            <w:tcBorders>
              <w:top w:val="single" w:sz="4" w:space="0" w:color="auto"/>
              <w:left w:val="single" w:sz="4" w:space="0" w:color="auto"/>
              <w:bottom w:val="single" w:sz="4" w:space="0" w:color="auto"/>
              <w:right w:val="single" w:sz="4" w:space="0" w:color="auto"/>
            </w:tcBorders>
          </w:tcPr>
          <w:p w14:paraId="402FB22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0D325CB" w14:textId="77777777" w:rsidR="00E57DAA" w:rsidRDefault="00AC4185">
            <w:pPr>
              <w:autoSpaceDE w:val="0"/>
              <w:autoSpaceDN w:val="0"/>
              <w:adjustRightInd w:val="0"/>
              <w:jc w:val="right"/>
              <w:rPr>
                <w:szCs w:val="21"/>
              </w:rPr>
            </w:pPr>
            <w:r>
              <w:t xml:space="preserve">　</w:t>
            </w:r>
          </w:p>
        </w:tc>
      </w:tr>
      <w:tr w:rsidR="00E57DAA" w14:paraId="2D89DA2C" w14:textId="77777777">
        <w:tc>
          <w:tcPr>
            <w:tcW w:w="677" w:type="pct"/>
            <w:tcBorders>
              <w:top w:val="single" w:sz="4" w:space="0" w:color="auto"/>
              <w:left w:val="single" w:sz="4" w:space="0" w:color="auto"/>
              <w:bottom w:val="single" w:sz="4" w:space="0" w:color="auto"/>
              <w:right w:val="single" w:sz="4" w:space="0" w:color="auto"/>
            </w:tcBorders>
            <w:vAlign w:val="center"/>
          </w:tcPr>
          <w:p w14:paraId="0322300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1985527" w14:textId="77777777" w:rsidR="00E57DAA" w:rsidRDefault="00AC4185">
            <w:pPr>
              <w:autoSpaceDE w:val="0"/>
              <w:autoSpaceDN w:val="0"/>
              <w:adjustRightInd w:val="0"/>
              <w:rPr>
                <w:szCs w:val="21"/>
              </w:rPr>
            </w:pPr>
            <w:r>
              <w:t>沛县铸本混凝土有限公司</w:t>
            </w:r>
          </w:p>
        </w:tc>
        <w:tc>
          <w:tcPr>
            <w:tcW w:w="633" w:type="pct"/>
            <w:tcBorders>
              <w:top w:val="single" w:sz="4" w:space="0" w:color="auto"/>
              <w:left w:val="single" w:sz="4" w:space="0" w:color="auto"/>
              <w:bottom w:val="single" w:sz="4" w:space="0" w:color="auto"/>
              <w:right w:val="single" w:sz="4" w:space="0" w:color="auto"/>
            </w:tcBorders>
          </w:tcPr>
          <w:p w14:paraId="5C079B40" w14:textId="77777777" w:rsidR="00E57DAA" w:rsidRDefault="00AC4185">
            <w:pPr>
              <w:autoSpaceDE w:val="0"/>
              <w:autoSpaceDN w:val="0"/>
              <w:adjustRightInd w:val="0"/>
              <w:jc w:val="right"/>
              <w:rPr>
                <w:szCs w:val="21"/>
              </w:rPr>
            </w:pPr>
            <w:r>
              <w:t>56,440.00</w:t>
            </w:r>
          </w:p>
        </w:tc>
        <w:tc>
          <w:tcPr>
            <w:tcW w:w="632" w:type="pct"/>
            <w:tcBorders>
              <w:top w:val="single" w:sz="4" w:space="0" w:color="auto"/>
              <w:left w:val="single" w:sz="4" w:space="0" w:color="auto"/>
              <w:bottom w:val="single" w:sz="4" w:space="0" w:color="auto"/>
              <w:right w:val="single" w:sz="4" w:space="0" w:color="auto"/>
            </w:tcBorders>
          </w:tcPr>
          <w:p w14:paraId="2ADBCE2D" w14:textId="77777777" w:rsidR="00E57DAA" w:rsidRDefault="00AC4185">
            <w:pPr>
              <w:autoSpaceDE w:val="0"/>
              <w:autoSpaceDN w:val="0"/>
              <w:adjustRightInd w:val="0"/>
              <w:jc w:val="right"/>
              <w:rPr>
                <w:szCs w:val="21"/>
              </w:rPr>
            </w:pPr>
            <w:r>
              <w:t>1,337.63</w:t>
            </w:r>
          </w:p>
        </w:tc>
        <w:tc>
          <w:tcPr>
            <w:tcW w:w="703" w:type="pct"/>
            <w:tcBorders>
              <w:top w:val="single" w:sz="4" w:space="0" w:color="auto"/>
              <w:left w:val="single" w:sz="4" w:space="0" w:color="auto"/>
              <w:bottom w:val="single" w:sz="4" w:space="0" w:color="auto"/>
              <w:right w:val="single" w:sz="4" w:space="0" w:color="auto"/>
            </w:tcBorders>
          </w:tcPr>
          <w:p w14:paraId="4D816BB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90E1D60" w14:textId="77777777" w:rsidR="00E57DAA" w:rsidRDefault="00AC4185">
            <w:pPr>
              <w:autoSpaceDE w:val="0"/>
              <w:autoSpaceDN w:val="0"/>
              <w:adjustRightInd w:val="0"/>
              <w:jc w:val="right"/>
              <w:rPr>
                <w:szCs w:val="21"/>
              </w:rPr>
            </w:pPr>
            <w:r>
              <w:t xml:space="preserve">　</w:t>
            </w:r>
          </w:p>
        </w:tc>
      </w:tr>
      <w:tr w:rsidR="00E57DAA" w14:paraId="53C496A0" w14:textId="77777777">
        <w:tc>
          <w:tcPr>
            <w:tcW w:w="677" w:type="pct"/>
            <w:tcBorders>
              <w:top w:val="single" w:sz="4" w:space="0" w:color="auto"/>
              <w:left w:val="single" w:sz="4" w:space="0" w:color="auto"/>
              <w:bottom w:val="single" w:sz="4" w:space="0" w:color="auto"/>
              <w:right w:val="single" w:sz="4" w:space="0" w:color="auto"/>
            </w:tcBorders>
            <w:vAlign w:val="center"/>
          </w:tcPr>
          <w:p w14:paraId="1C838BD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D98D0B4" w14:textId="77777777" w:rsidR="00E57DAA" w:rsidRDefault="00AC4185">
            <w:pPr>
              <w:autoSpaceDE w:val="0"/>
              <w:autoSpaceDN w:val="0"/>
              <w:adjustRightInd w:val="0"/>
              <w:rPr>
                <w:szCs w:val="21"/>
              </w:rPr>
            </w:pPr>
            <w:r>
              <w:t>河南省豫南水泥有限公司</w:t>
            </w:r>
          </w:p>
        </w:tc>
        <w:tc>
          <w:tcPr>
            <w:tcW w:w="633" w:type="pct"/>
            <w:tcBorders>
              <w:top w:val="single" w:sz="4" w:space="0" w:color="auto"/>
              <w:left w:val="single" w:sz="4" w:space="0" w:color="auto"/>
              <w:bottom w:val="single" w:sz="4" w:space="0" w:color="auto"/>
              <w:right w:val="single" w:sz="4" w:space="0" w:color="auto"/>
            </w:tcBorders>
          </w:tcPr>
          <w:p w14:paraId="6A8B9787" w14:textId="77777777" w:rsidR="00E57DAA" w:rsidRDefault="00AC4185">
            <w:pPr>
              <w:autoSpaceDE w:val="0"/>
              <w:autoSpaceDN w:val="0"/>
              <w:adjustRightInd w:val="0"/>
              <w:jc w:val="right"/>
              <w:rPr>
                <w:szCs w:val="21"/>
              </w:rPr>
            </w:pPr>
            <w:r>
              <w:t>52,500.00</w:t>
            </w:r>
          </w:p>
        </w:tc>
        <w:tc>
          <w:tcPr>
            <w:tcW w:w="632" w:type="pct"/>
            <w:tcBorders>
              <w:top w:val="single" w:sz="4" w:space="0" w:color="auto"/>
              <w:left w:val="single" w:sz="4" w:space="0" w:color="auto"/>
              <w:bottom w:val="single" w:sz="4" w:space="0" w:color="auto"/>
              <w:right w:val="single" w:sz="4" w:space="0" w:color="auto"/>
            </w:tcBorders>
          </w:tcPr>
          <w:p w14:paraId="084105EA" w14:textId="77777777" w:rsidR="00E57DAA" w:rsidRDefault="00AC4185">
            <w:pPr>
              <w:autoSpaceDE w:val="0"/>
              <w:autoSpaceDN w:val="0"/>
              <w:adjustRightInd w:val="0"/>
              <w:jc w:val="right"/>
              <w:rPr>
                <w:szCs w:val="21"/>
              </w:rPr>
            </w:pPr>
            <w:r>
              <w:t>52,500.00</w:t>
            </w:r>
          </w:p>
        </w:tc>
        <w:tc>
          <w:tcPr>
            <w:tcW w:w="703" w:type="pct"/>
            <w:tcBorders>
              <w:top w:val="single" w:sz="4" w:space="0" w:color="auto"/>
              <w:left w:val="single" w:sz="4" w:space="0" w:color="auto"/>
              <w:bottom w:val="single" w:sz="4" w:space="0" w:color="auto"/>
              <w:right w:val="single" w:sz="4" w:space="0" w:color="auto"/>
            </w:tcBorders>
          </w:tcPr>
          <w:p w14:paraId="418C9CC0" w14:textId="77777777" w:rsidR="00E57DAA" w:rsidRDefault="00AC4185">
            <w:pPr>
              <w:autoSpaceDE w:val="0"/>
              <w:autoSpaceDN w:val="0"/>
              <w:adjustRightInd w:val="0"/>
              <w:jc w:val="right"/>
              <w:rPr>
                <w:szCs w:val="21"/>
              </w:rPr>
            </w:pPr>
            <w:r>
              <w:t>52,500.00</w:t>
            </w:r>
          </w:p>
        </w:tc>
        <w:tc>
          <w:tcPr>
            <w:tcW w:w="914" w:type="pct"/>
            <w:tcBorders>
              <w:top w:val="single" w:sz="4" w:space="0" w:color="auto"/>
              <w:left w:val="single" w:sz="4" w:space="0" w:color="auto"/>
              <w:bottom w:val="single" w:sz="4" w:space="0" w:color="auto"/>
              <w:right w:val="single" w:sz="4" w:space="0" w:color="auto"/>
            </w:tcBorders>
          </w:tcPr>
          <w:p w14:paraId="4A665B2C" w14:textId="77777777" w:rsidR="00E57DAA" w:rsidRDefault="00AC4185">
            <w:pPr>
              <w:autoSpaceDE w:val="0"/>
              <w:autoSpaceDN w:val="0"/>
              <w:adjustRightInd w:val="0"/>
              <w:jc w:val="right"/>
              <w:rPr>
                <w:szCs w:val="21"/>
              </w:rPr>
            </w:pPr>
            <w:r>
              <w:t>52,500.00</w:t>
            </w:r>
          </w:p>
        </w:tc>
      </w:tr>
      <w:tr w:rsidR="00E57DAA" w14:paraId="64216C56" w14:textId="77777777">
        <w:tc>
          <w:tcPr>
            <w:tcW w:w="677" w:type="pct"/>
            <w:tcBorders>
              <w:top w:val="single" w:sz="4" w:space="0" w:color="auto"/>
              <w:left w:val="single" w:sz="4" w:space="0" w:color="auto"/>
              <w:bottom w:val="single" w:sz="4" w:space="0" w:color="auto"/>
              <w:right w:val="single" w:sz="4" w:space="0" w:color="auto"/>
            </w:tcBorders>
            <w:vAlign w:val="center"/>
          </w:tcPr>
          <w:p w14:paraId="37D36AB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4B0D7BA" w14:textId="77777777" w:rsidR="00E57DAA" w:rsidRDefault="00AC4185">
            <w:pPr>
              <w:autoSpaceDE w:val="0"/>
              <w:autoSpaceDN w:val="0"/>
              <w:adjustRightInd w:val="0"/>
              <w:rPr>
                <w:szCs w:val="21"/>
              </w:rPr>
            </w:pPr>
            <w:r>
              <w:t>陇南祁连山水泥有限公司</w:t>
            </w:r>
          </w:p>
        </w:tc>
        <w:tc>
          <w:tcPr>
            <w:tcW w:w="633" w:type="pct"/>
            <w:tcBorders>
              <w:top w:val="single" w:sz="4" w:space="0" w:color="auto"/>
              <w:left w:val="single" w:sz="4" w:space="0" w:color="auto"/>
              <w:bottom w:val="single" w:sz="4" w:space="0" w:color="auto"/>
              <w:right w:val="single" w:sz="4" w:space="0" w:color="auto"/>
            </w:tcBorders>
          </w:tcPr>
          <w:p w14:paraId="4F50C2BA" w14:textId="77777777" w:rsidR="00E57DAA" w:rsidRDefault="00AC4185">
            <w:pPr>
              <w:autoSpaceDE w:val="0"/>
              <w:autoSpaceDN w:val="0"/>
              <w:adjustRightInd w:val="0"/>
              <w:jc w:val="right"/>
              <w:rPr>
                <w:szCs w:val="21"/>
              </w:rPr>
            </w:pPr>
            <w:r>
              <w:t>52,331.47</w:t>
            </w:r>
          </w:p>
        </w:tc>
        <w:tc>
          <w:tcPr>
            <w:tcW w:w="632" w:type="pct"/>
            <w:tcBorders>
              <w:top w:val="single" w:sz="4" w:space="0" w:color="auto"/>
              <w:left w:val="single" w:sz="4" w:space="0" w:color="auto"/>
              <w:bottom w:val="single" w:sz="4" w:space="0" w:color="auto"/>
              <w:right w:val="single" w:sz="4" w:space="0" w:color="auto"/>
            </w:tcBorders>
          </w:tcPr>
          <w:p w14:paraId="684B3056" w14:textId="77777777" w:rsidR="00E57DAA" w:rsidRDefault="00AC4185">
            <w:pPr>
              <w:autoSpaceDE w:val="0"/>
              <w:autoSpaceDN w:val="0"/>
              <w:adjustRightInd w:val="0"/>
              <w:jc w:val="right"/>
              <w:rPr>
                <w:szCs w:val="21"/>
              </w:rPr>
            </w:pPr>
            <w:r>
              <w:t>209.33</w:t>
            </w:r>
          </w:p>
        </w:tc>
        <w:tc>
          <w:tcPr>
            <w:tcW w:w="703" w:type="pct"/>
            <w:tcBorders>
              <w:top w:val="single" w:sz="4" w:space="0" w:color="auto"/>
              <w:left w:val="single" w:sz="4" w:space="0" w:color="auto"/>
              <w:bottom w:val="single" w:sz="4" w:space="0" w:color="auto"/>
              <w:right w:val="single" w:sz="4" w:space="0" w:color="auto"/>
            </w:tcBorders>
          </w:tcPr>
          <w:p w14:paraId="278A3A1F" w14:textId="77777777" w:rsidR="00E57DAA" w:rsidRDefault="00AC4185">
            <w:pPr>
              <w:autoSpaceDE w:val="0"/>
              <w:autoSpaceDN w:val="0"/>
              <w:adjustRightInd w:val="0"/>
              <w:jc w:val="right"/>
              <w:rPr>
                <w:szCs w:val="21"/>
              </w:rPr>
            </w:pPr>
            <w:r>
              <w:t>3,999,334.00</w:t>
            </w:r>
          </w:p>
        </w:tc>
        <w:tc>
          <w:tcPr>
            <w:tcW w:w="914" w:type="pct"/>
            <w:tcBorders>
              <w:top w:val="single" w:sz="4" w:space="0" w:color="auto"/>
              <w:left w:val="single" w:sz="4" w:space="0" w:color="auto"/>
              <w:bottom w:val="single" w:sz="4" w:space="0" w:color="auto"/>
              <w:right w:val="single" w:sz="4" w:space="0" w:color="auto"/>
            </w:tcBorders>
          </w:tcPr>
          <w:p w14:paraId="7CE479CB" w14:textId="77777777" w:rsidR="00E57DAA" w:rsidRDefault="00AC4185">
            <w:pPr>
              <w:autoSpaceDE w:val="0"/>
              <w:autoSpaceDN w:val="0"/>
              <w:adjustRightInd w:val="0"/>
              <w:jc w:val="right"/>
              <w:rPr>
                <w:szCs w:val="21"/>
              </w:rPr>
            </w:pPr>
            <w:r>
              <w:t>88,514.67</w:t>
            </w:r>
          </w:p>
        </w:tc>
      </w:tr>
      <w:tr w:rsidR="00E57DAA" w14:paraId="5BBD398B" w14:textId="77777777">
        <w:tc>
          <w:tcPr>
            <w:tcW w:w="677" w:type="pct"/>
            <w:tcBorders>
              <w:top w:val="single" w:sz="4" w:space="0" w:color="auto"/>
              <w:left w:val="single" w:sz="4" w:space="0" w:color="auto"/>
              <w:bottom w:val="single" w:sz="4" w:space="0" w:color="auto"/>
              <w:right w:val="single" w:sz="4" w:space="0" w:color="auto"/>
            </w:tcBorders>
            <w:vAlign w:val="center"/>
          </w:tcPr>
          <w:p w14:paraId="7146085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6BBD1EC" w14:textId="77777777" w:rsidR="00E57DAA" w:rsidRDefault="00AC4185">
            <w:pPr>
              <w:autoSpaceDE w:val="0"/>
              <w:autoSpaceDN w:val="0"/>
              <w:adjustRightInd w:val="0"/>
              <w:rPr>
                <w:szCs w:val="21"/>
              </w:rPr>
            </w:pPr>
            <w:r>
              <w:t>江苏双龙集团有限公司</w:t>
            </w:r>
          </w:p>
        </w:tc>
        <w:tc>
          <w:tcPr>
            <w:tcW w:w="633" w:type="pct"/>
            <w:tcBorders>
              <w:top w:val="single" w:sz="4" w:space="0" w:color="auto"/>
              <w:left w:val="single" w:sz="4" w:space="0" w:color="auto"/>
              <w:bottom w:val="single" w:sz="4" w:space="0" w:color="auto"/>
              <w:right w:val="single" w:sz="4" w:space="0" w:color="auto"/>
            </w:tcBorders>
          </w:tcPr>
          <w:p w14:paraId="0E710136" w14:textId="77777777" w:rsidR="00E57DAA" w:rsidRDefault="00AC4185">
            <w:pPr>
              <w:autoSpaceDE w:val="0"/>
              <w:autoSpaceDN w:val="0"/>
              <w:adjustRightInd w:val="0"/>
              <w:jc w:val="right"/>
              <w:rPr>
                <w:szCs w:val="21"/>
              </w:rPr>
            </w:pPr>
            <w:r>
              <w:t>51,614.00</w:t>
            </w:r>
          </w:p>
        </w:tc>
        <w:tc>
          <w:tcPr>
            <w:tcW w:w="632" w:type="pct"/>
            <w:tcBorders>
              <w:top w:val="single" w:sz="4" w:space="0" w:color="auto"/>
              <w:left w:val="single" w:sz="4" w:space="0" w:color="auto"/>
              <w:bottom w:val="single" w:sz="4" w:space="0" w:color="auto"/>
              <w:right w:val="single" w:sz="4" w:space="0" w:color="auto"/>
            </w:tcBorders>
          </w:tcPr>
          <w:p w14:paraId="20482A1E" w14:textId="77777777" w:rsidR="00E57DAA" w:rsidRDefault="00AC4185">
            <w:pPr>
              <w:autoSpaceDE w:val="0"/>
              <w:autoSpaceDN w:val="0"/>
              <w:adjustRightInd w:val="0"/>
              <w:jc w:val="right"/>
              <w:rPr>
                <w:szCs w:val="21"/>
              </w:rPr>
            </w:pPr>
            <w:r>
              <w:t>51,614.00</w:t>
            </w:r>
          </w:p>
        </w:tc>
        <w:tc>
          <w:tcPr>
            <w:tcW w:w="703" w:type="pct"/>
            <w:tcBorders>
              <w:top w:val="single" w:sz="4" w:space="0" w:color="auto"/>
              <w:left w:val="single" w:sz="4" w:space="0" w:color="auto"/>
              <w:bottom w:val="single" w:sz="4" w:space="0" w:color="auto"/>
              <w:right w:val="single" w:sz="4" w:space="0" w:color="auto"/>
            </w:tcBorders>
          </w:tcPr>
          <w:p w14:paraId="0B848EE7" w14:textId="77777777" w:rsidR="00E57DAA" w:rsidRDefault="00AC4185">
            <w:pPr>
              <w:autoSpaceDE w:val="0"/>
              <w:autoSpaceDN w:val="0"/>
              <w:adjustRightInd w:val="0"/>
              <w:jc w:val="right"/>
              <w:rPr>
                <w:szCs w:val="21"/>
              </w:rPr>
            </w:pPr>
            <w:r>
              <w:t>46,254.00</w:t>
            </w:r>
          </w:p>
        </w:tc>
        <w:tc>
          <w:tcPr>
            <w:tcW w:w="914" w:type="pct"/>
            <w:tcBorders>
              <w:top w:val="single" w:sz="4" w:space="0" w:color="auto"/>
              <w:left w:val="single" w:sz="4" w:space="0" w:color="auto"/>
              <w:bottom w:val="single" w:sz="4" w:space="0" w:color="auto"/>
              <w:right w:val="single" w:sz="4" w:space="0" w:color="auto"/>
            </w:tcBorders>
          </w:tcPr>
          <w:p w14:paraId="776AEAC3" w14:textId="77777777" w:rsidR="00E57DAA" w:rsidRDefault="00AC4185">
            <w:pPr>
              <w:autoSpaceDE w:val="0"/>
              <w:autoSpaceDN w:val="0"/>
              <w:adjustRightInd w:val="0"/>
              <w:jc w:val="right"/>
              <w:rPr>
                <w:szCs w:val="21"/>
              </w:rPr>
            </w:pPr>
            <w:r>
              <w:t>46,254.00</w:t>
            </w:r>
          </w:p>
        </w:tc>
      </w:tr>
      <w:tr w:rsidR="00E57DAA" w14:paraId="2C09A801" w14:textId="77777777">
        <w:tc>
          <w:tcPr>
            <w:tcW w:w="677" w:type="pct"/>
            <w:tcBorders>
              <w:top w:val="single" w:sz="4" w:space="0" w:color="auto"/>
              <w:left w:val="single" w:sz="4" w:space="0" w:color="auto"/>
              <w:bottom w:val="single" w:sz="4" w:space="0" w:color="auto"/>
              <w:right w:val="single" w:sz="4" w:space="0" w:color="auto"/>
            </w:tcBorders>
            <w:vAlign w:val="center"/>
          </w:tcPr>
          <w:p w14:paraId="0555695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8B6A192" w14:textId="77777777" w:rsidR="00E57DAA" w:rsidRDefault="00AC4185">
            <w:pPr>
              <w:autoSpaceDE w:val="0"/>
              <w:autoSpaceDN w:val="0"/>
              <w:adjustRightInd w:val="0"/>
              <w:rPr>
                <w:szCs w:val="21"/>
              </w:rPr>
            </w:pPr>
            <w:r>
              <w:t>江苏铸本众鑫混凝土工程有限公司</w:t>
            </w:r>
          </w:p>
        </w:tc>
        <w:tc>
          <w:tcPr>
            <w:tcW w:w="633" w:type="pct"/>
            <w:tcBorders>
              <w:top w:val="single" w:sz="4" w:space="0" w:color="auto"/>
              <w:left w:val="single" w:sz="4" w:space="0" w:color="auto"/>
              <w:bottom w:val="single" w:sz="4" w:space="0" w:color="auto"/>
              <w:right w:val="single" w:sz="4" w:space="0" w:color="auto"/>
            </w:tcBorders>
          </w:tcPr>
          <w:p w14:paraId="516120A6" w14:textId="77777777" w:rsidR="00E57DAA" w:rsidRDefault="00AC4185">
            <w:pPr>
              <w:autoSpaceDE w:val="0"/>
              <w:autoSpaceDN w:val="0"/>
              <w:adjustRightInd w:val="0"/>
              <w:jc w:val="right"/>
              <w:rPr>
                <w:szCs w:val="21"/>
              </w:rPr>
            </w:pPr>
            <w:r>
              <w:t>44,610.00</w:t>
            </w:r>
          </w:p>
        </w:tc>
        <w:tc>
          <w:tcPr>
            <w:tcW w:w="632" w:type="pct"/>
            <w:tcBorders>
              <w:top w:val="single" w:sz="4" w:space="0" w:color="auto"/>
              <w:left w:val="single" w:sz="4" w:space="0" w:color="auto"/>
              <w:bottom w:val="single" w:sz="4" w:space="0" w:color="auto"/>
              <w:right w:val="single" w:sz="4" w:space="0" w:color="auto"/>
            </w:tcBorders>
          </w:tcPr>
          <w:p w14:paraId="162E6C81" w14:textId="77777777" w:rsidR="00E57DAA" w:rsidRDefault="00AC4185">
            <w:pPr>
              <w:autoSpaceDE w:val="0"/>
              <w:autoSpaceDN w:val="0"/>
              <w:adjustRightInd w:val="0"/>
              <w:jc w:val="right"/>
              <w:rPr>
                <w:szCs w:val="21"/>
              </w:rPr>
            </w:pPr>
            <w:r>
              <w:t>1,057.26</w:t>
            </w:r>
          </w:p>
        </w:tc>
        <w:tc>
          <w:tcPr>
            <w:tcW w:w="703" w:type="pct"/>
            <w:tcBorders>
              <w:top w:val="single" w:sz="4" w:space="0" w:color="auto"/>
              <w:left w:val="single" w:sz="4" w:space="0" w:color="auto"/>
              <w:bottom w:val="single" w:sz="4" w:space="0" w:color="auto"/>
              <w:right w:val="single" w:sz="4" w:space="0" w:color="auto"/>
            </w:tcBorders>
          </w:tcPr>
          <w:p w14:paraId="0E054F6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CC4FC22" w14:textId="77777777" w:rsidR="00E57DAA" w:rsidRDefault="00AC4185">
            <w:pPr>
              <w:autoSpaceDE w:val="0"/>
              <w:autoSpaceDN w:val="0"/>
              <w:adjustRightInd w:val="0"/>
              <w:jc w:val="right"/>
              <w:rPr>
                <w:szCs w:val="21"/>
              </w:rPr>
            </w:pPr>
            <w:r>
              <w:t xml:space="preserve">　</w:t>
            </w:r>
          </w:p>
        </w:tc>
      </w:tr>
      <w:tr w:rsidR="00E57DAA" w14:paraId="6D6851AB" w14:textId="77777777">
        <w:tc>
          <w:tcPr>
            <w:tcW w:w="677" w:type="pct"/>
            <w:tcBorders>
              <w:top w:val="single" w:sz="4" w:space="0" w:color="auto"/>
              <w:left w:val="single" w:sz="4" w:space="0" w:color="auto"/>
              <w:bottom w:val="single" w:sz="4" w:space="0" w:color="auto"/>
              <w:right w:val="single" w:sz="4" w:space="0" w:color="auto"/>
            </w:tcBorders>
            <w:vAlign w:val="center"/>
          </w:tcPr>
          <w:p w14:paraId="097EE76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47F7D35" w14:textId="77777777" w:rsidR="00E57DAA" w:rsidRDefault="00AC4185">
            <w:pPr>
              <w:autoSpaceDE w:val="0"/>
              <w:autoSpaceDN w:val="0"/>
              <w:adjustRightInd w:val="0"/>
              <w:rPr>
                <w:szCs w:val="21"/>
              </w:rPr>
            </w:pPr>
            <w:r>
              <w:t>宁夏建材集团股份有限公司</w:t>
            </w:r>
          </w:p>
        </w:tc>
        <w:tc>
          <w:tcPr>
            <w:tcW w:w="633" w:type="pct"/>
            <w:tcBorders>
              <w:top w:val="single" w:sz="4" w:space="0" w:color="auto"/>
              <w:left w:val="single" w:sz="4" w:space="0" w:color="auto"/>
              <w:bottom w:val="single" w:sz="4" w:space="0" w:color="auto"/>
              <w:right w:val="single" w:sz="4" w:space="0" w:color="auto"/>
            </w:tcBorders>
          </w:tcPr>
          <w:p w14:paraId="09F33598" w14:textId="77777777" w:rsidR="00E57DAA" w:rsidRDefault="00AC4185">
            <w:pPr>
              <w:autoSpaceDE w:val="0"/>
              <w:autoSpaceDN w:val="0"/>
              <w:adjustRightInd w:val="0"/>
              <w:jc w:val="right"/>
              <w:rPr>
                <w:szCs w:val="21"/>
              </w:rPr>
            </w:pPr>
            <w:r>
              <w:t>37,500.00</w:t>
            </w:r>
          </w:p>
        </w:tc>
        <w:tc>
          <w:tcPr>
            <w:tcW w:w="632" w:type="pct"/>
            <w:tcBorders>
              <w:top w:val="single" w:sz="4" w:space="0" w:color="auto"/>
              <w:left w:val="single" w:sz="4" w:space="0" w:color="auto"/>
              <w:bottom w:val="single" w:sz="4" w:space="0" w:color="auto"/>
              <w:right w:val="single" w:sz="4" w:space="0" w:color="auto"/>
            </w:tcBorders>
          </w:tcPr>
          <w:p w14:paraId="525BCBCE" w14:textId="77777777" w:rsidR="00E57DAA" w:rsidRDefault="00AC4185">
            <w:pPr>
              <w:autoSpaceDE w:val="0"/>
              <w:autoSpaceDN w:val="0"/>
              <w:adjustRightInd w:val="0"/>
              <w:jc w:val="right"/>
              <w:rPr>
                <w:szCs w:val="21"/>
              </w:rPr>
            </w:pPr>
            <w:r>
              <w:t>37,500.00</w:t>
            </w:r>
          </w:p>
        </w:tc>
        <w:tc>
          <w:tcPr>
            <w:tcW w:w="703" w:type="pct"/>
            <w:tcBorders>
              <w:top w:val="single" w:sz="4" w:space="0" w:color="auto"/>
              <w:left w:val="single" w:sz="4" w:space="0" w:color="auto"/>
              <w:bottom w:val="single" w:sz="4" w:space="0" w:color="auto"/>
              <w:right w:val="single" w:sz="4" w:space="0" w:color="auto"/>
            </w:tcBorders>
          </w:tcPr>
          <w:p w14:paraId="26A6718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A5E441F" w14:textId="77777777" w:rsidR="00E57DAA" w:rsidRDefault="00AC4185">
            <w:pPr>
              <w:autoSpaceDE w:val="0"/>
              <w:autoSpaceDN w:val="0"/>
              <w:adjustRightInd w:val="0"/>
              <w:jc w:val="right"/>
              <w:rPr>
                <w:szCs w:val="21"/>
              </w:rPr>
            </w:pPr>
            <w:r>
              <w:t xml:space="preserve">　</w:t>
            </w:r>
          </w:p>
        </w:tc>
      </w:tr>
      <w:tr w:rsidR="00E57DAA" w14:paraId="524FECDE" w14:textId="77777777">
        <w:tc>
          <w:tcPr>
            <w:tcW w:w="677" w:type="pct"/>
            <w:tcBorders>
              <w:top w:val="single" w:sz="4" w:space="0" w:color="auto"/>
              <w:left w:val="single" w:sz="4" w:space="0" w:color="auto"/>
              <w:bottom w:val="single" w:sz="4" w:space="0" w:color="auto"/>
              <w:right w:val="single" w:sz="4" w:space="0" w:color="auto"/>
            </w:tcBorders>
            <w:vAlign w:val="center"/>
          </w:tcPr>
          <w:p w14:paraId="5612095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CFDA1D5" w14:textId="77777777" w:rsidR="00E57DAA" w:rsidRDefault="00AC4185">
            <w:pPr>
              <w:autoSpaceDE w:val="0"/>
              <w:autoSpaceDN w:val="0"/>
              <w:adjustRightInd w:val="0"/>
              <w:rPr>
                <w:szCs w:val="21"/>
              </w:rPr>
            </w:pPr>
            <w:r>
              <w:t>睢宁铸本混凝土工程有限公司</w:t>
            </w:r>
          </w:p>
        </w:tc>
        <w:tc>
          <w:tcPr>
            <w:tcW w:w="633" w:type="pct"/>
            <w:tcBorders>
              <w:top w:val="single" w:sz="4" w:space="0" w:color="auto"/>
              <w:left w:val="single" w:sz="4" w:space="0" w:color="auto"/>
              <w:bottom w:val="single" w:sz="4" w:space="0" w:color="auto"/>
              <w:right w:val="single" w:sz="4" w:space="0" w:color="auto"/>
            </w:tcBorders>
          </w:tcPr>
          <w:p w14:paraId="79361D93" w14:textId="77777777" w:rsidR="00E57DAA" w:rsidRDefault="00AC4185">
            <w:pPr>
              <w:autoSpaceDE w:val="0"/>
              <w:autoSpaceDN w:val="0"/>
              <w:adjustRightInd w:val="0"/>
              <w:jc w:val="right"/>
              <w:rPr>
                <w:szCs w:val="21"/>
              </w:rPr>
            </w:pPr>
            <w:r>
              <w:t>35,127.00</w:t>
            </w:r>
          </w:p>
        </w:tc>
        <w:tc>
          <w:tcPr>
            <w:tcW w:w="632" w:type="pct"/>
            <w:tcBorders>
              <w:top w:val="single" w:sz="4" w:space="0" w:color="auto"/>
              <w:left w:val="single" w:sz="4" w:space="0" w:color="auto"/>
              <w:bottom w:val="single" w:sz="4" w:space="0" w:color="auto"/>
              <w:right w:val="single" w:sz="4" w:space="0" w:color="auto"/>
            </w:tcBorders>
          </w:tcPr>
          <w:p w14:paraId="2C198F42" w14:textId="77777777" w:rsidR="00E57DAA" w:rsidRDefault="00AC4185">
            <w:pPr>
              <w:autoSpaceDE w:val="0"/>
              <w:autoSpaceDN w:val="0"/>
              <w:adjustRightInd w:val="0"/>
              <w:jc w:val="right"/>
              <w:rPr>
                <w:szCs w:val="21"/>
              </w:rPr>
            </w:pPr>
            <w:r>
              <w:t>832.51</w:t>
            </w:r>
          </w:p>
        </w:tc>
        <w:tc>
          <w:tcPr>
            <w:tcW w:w="703" w:type="pct"/>
            <w:tcBorders>
              <w:top w:val="single" w:sz="4" w:space="0" w:color="auto"/>
              <w:left w:val="single" w:sz="4" w:space="0" w:color="auto"/>
              <w:bottom w:val="single" w:sz="4" w:space="0" w:color="auto"/>
              <w:right w:val="single" w:sz="4" w:space="0" w:color="auto"/>
            </w:tcBorders>
          </w:tcPr>
          <w:p w14:paraId="6B999E6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F5DF369" w14:textId="77777777" w:rsidR="00E57DAA" w:rsidRDefault="00AC4185">
            <w:pPr>
              <w:autoSpaceDE w:val="0"/>
              <w:autoSpaceDN w:val="0"/>
              <w:adjustRightInd w:val="0"/>
              <w:jc w:val="right"/>
              <w:rPr>
                <w:szCs w:val="21"/>
              </w:rPr>
            </w:pPr>
            <w:r>
              <w:t xml:space="preserve">　</w:t>
            </w:r>
          </w:p>
        </w:tc>
      </w:tr>
      <w:tr w:rsidR="00E57DAA" w14:paraId="3DBF05EE" w14:textId="77777777">
        <w:tc>
          <w:tcPr>
            <w:tcW w:w="677" w:type="pct"/>
            <w:tcBorders>
              <w:top w:val="single" w:sz="4" w:space="0" w:color="auto"/>
              <w:left w:val="single" w:sz="4" w:space="0" w:color="auto"/>
              <w:bottom w:val="single" w:sz="4" w:space="0" w:color="auto"/>
              <w:right w:val="single" w:sz="4" w:space="0" w:color="auto"/>
            </w:tcBorders>
            <w:vAlign w:val="center"/>
          </w:tcPr>
          <w:p w14:paraId="5F3EE5E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05AB6E" w14:textId="77777777" w:rsidR="00E57DAA" w:rsidRDefault="00AC4185">
            <w:pPr>
              <w:autoSpaceDE w:val="0"/>
              <w:autoSpaceDN w:val="0"/>
              <w:adjustRightInd w:val="0"/>
              <w:rPr>
                <w:szCs w:val="21"/>
              </w:rPr>
            </w:pPr>
            <w:r>
              <w:t>河南省同力水泥有限公司</w:t>
            </w:r>
          </w:p>
        </w:tc>
        <w:tc>
          <w:tcPr>
            <w:tcW w:w="633" w:type="pct"/>
            <w:tcBorders>
              <w:top w:val="single" w:sz="4" w:space="0" w:color="auto"/>
              <w:left w:val="single" w:sz="4" w:space="0" w:color="auto"/>
              <w:bottom w:val="single" w:sz="4" w:space="0" w:color="auto"/>
              <w:right w:val="single" w:sz="4" w:space="0" w:color="auto"/>
            </w:tcBorders>
          </w:tcPr>
          <w:p w14:paraId="738E4165" w14:textId="77777777" w:rsidR="00E57DAA" w:rsidRDefault="00AC4185">
            <w:pPr>
              <w:autoSpaceDE w:val="0"/>
              <w:autoSpaceDN w:val="0"/>
              <w:adjustRightInd w:val="0"/>
              <w:jc w:val="right"/>
              <w:rPr>
                <w:szCs w:val="21"/>
              </w:rPr>
            </w:pPr>
            <w:r>
              <w:t>32,800.00</w:t>
            </w:r>
          </w:p>
        </w:tc>
        <w:tc>
          <w:tcPr>
            <w:tcW w:w="632" w:type="pct"/>
            <w:tcBorders>
              <w:top w:val="single" w:sz="4" w:space="0" w:color="auto"/>
              <w:left w:val="single" w:sz="4" w:space="0" w:color="auto"/>
              <w:bottom w:val="single" w:sz="4" w:space="0" w:color="auto"/>
              <w:right w:val="single" w:sz="4" w:space="0" w:color="auto"/>
            </w:tcBorders>
          </w:tcPr>
          <w:p w14:paraId="336FC6DD" w14:textId="77777777" w:rsidR="00E57DAA" w:rsidRDefault="00AC4185">
            <w:pPr>
              <w:autoSpaceDE w:val="0"/>
              <w:autoSpaceDN w:val="0"/>
              <w:adjustRightInd w:val="0"/>
              <w:jc w:val="right"/>
              <w:rPr>
                <w:szCs w:val="21"/>
              </w:rPr>
            </w:pPr>
            <w:r>
              <w:t>1,640.00</w:t>
            </w:r>
          </w:p>
        </w:tc>
        <w:tc>
          <w:tcPr>
            <w:tcW w:w="703" w:type="pct"/>
            <w:tcBorders>
              <w:top w:val="single" w:sz="4" w:space="0" w:color="auto"/>
              <w:left w:val="single" w:sz="4" w:space="0" w:color="auto"/>
              <w:bottom w:val="single" w:sz="4" w:space="0" w:color="auto"/>
              <w:right w:val="single" w:sz="4" w:space="0" w:color="auto"/>
            </w:tcBorders>
          </w:tcPr>
          <w:p w14:paraId="622CD9D6" w14:textId="77777777" w:rsidR="00E57DAA" w:rsidRDefault="00AC4185">
            <w:pPr>
              <w:autoSpaceDE w:val="0"/>
              <w:autoSpaceDN w:val="0"/>
              <w:adjustRightInd w:val="0"/>
              <w:jc w:val="right"/>
              <w:rPr>
                <w:szCs w:val="21"/>
              </w:rPr>
            </w:pPr>
            <w:r>
              <w:t>304,208.20</w:t>
            </w:r>
          </w:p>
        </w:tc>
        <w:tc>
          <w:tcPr>
            <w:tcW w:w="914" w:type="pct"/>
            <w:tcBorders>
              <w:top w:val="single" w:sz="4" w:space="0" w:color="auto"/>
              <w:left w:val="single" w:sz="4" w:space="0" w:color="auto"/>
              <w:bottom w:val="single" w:sz="4" w:space="0" w:color="auto"/>
              <w:right w:val="single" w:sz="4" w:space="0" w:color="auto"/>
            </w:tcBorders>
          </w:tcPr>
          <w:p w14:paraId="6DADC081" w14:textId="77777777" w:rsidR="00E57DAA" w:rsidRDefault="00AC4185">
            <w:pPr>
              <w:autoSpaceDE w:val="0"/>
              <w:autoSpaceDN w:val="0"/>
              <w:adjustRightInd w:val="0"/>
              <w:jc w:val="right"/>
              <w:rPr>
                <w:szCs w:val="21"/>
              </w:rPr>
            </w:pPr>
            <w:r>
              <w:t>304,208.20</w:t>
            </w:r>
          </w:p>
        </w:tc>
      </w:tr>
      <w:tr w:rsidR="00E57DAA" w14:paraId="67A5846E" w14:textId="77777777">
        <w:tc>
          <w:tcPr>
            <w:tcW w:w="677" w:type="pct"/>
            <w:tcBorders>
              <w:top w:val="single" w:sz="4" w:space="0" w:color="auto"/>
              <w:left w:val="single" w:sz="4" w:space="0" w:color="auto"/>
              <w:bottom w:val="single" w:sz="4" w:space="0" w:color="auto"/>
              <w:right w:val="single" w:sz="4" w:space="0" w:color="auto"/>
            </w:tcBorders>
            <w:vAlign w:val="center"/>
          </w:tcPr>
          <w:p w14:paraId="6453590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8BF62D" w14:textId="77777777" w:rsidR="00E57DAA" w:rsidRDefault="00AC4185">
            <w:pPr>
              <w:autoSpaceDE w:val="0"/>
              <w:autoSpaceDN w:val="0"/>
              <w:adjustRightInd w:val="0"/>
              <w:rPr>
                <w:szCs w:val="21"/>
              </w:rPr>
            </w:pPr>
            <w:r>
              <w:t>汪清北方水泥有限公司</w:t>
            </w:r>
          </w:p>
        </w:tc>
        <w:tc>
          <w:tcPr>
            <w:tcW w:w="633" w:type="pct"/>
            <w:tcBorders>
              <w:top w:val="single" w:sz="4" w:space="0" w:color="auto"/>
              <w:left w:val="single" w:sz="4" w:space="0" w:color="auto"/>
              <w:bottom w:val="single" w:sz="4" w:space="0" w:color="auto"/>
              <w:right w:val="single" w:sz="4" w:space="0" w:color="auto"/>
            </w:tcBorders>
          </w:tcPr>
          <w:p w14:paraId="50700DDD" w14:textId="77777777" w:rsidR="00E57DAA" w:rsidRDefault="00AC4185">
            <w:pPr>
              <w:autoSpaceDE w:val="0"/>
              <w:autoSpaceDN w:val="0"/>
              <w:adjustRightInd w:val="0"/>
              <w:jc w:val="right"/>
              <w:rPr>
                <w:szCs w:val="21"/>
              </w:rPr>
            </w:pPr>
            <w:r>
              <w:t>32,700.00</w:t>
            </w:r>
          </w:p>
        </w:tc>
        <w:tc>
          <w:tcPr>
            <w:tcW w:w="632" w:type="pct"/>
            <w:tcBorders>
              <w:top w:val="single" w:sz="4" w:space="0" w:color="auto"/>
              <w:left w:val="single" w:sz="4" w:space="0" w:color="auto"/>
              <w:bottom w:val="single" w:sz="4" w:space="0" w:color="auto"/>
              <w:right w:val="single" w:sz="4" w:space="0" w:color="auto"/>
            </w:tcBorders>
          </w:tcPr>
          <w:p w14:paraId="75D0B850" w14:textId="77777777" w:rsidR="00E57DAA" w:rsidRDefault="00AC4185">
            <w:pPr>
              <w:autoSpaceDE w:val="0"/>
              <w:autoSpaceDN w:val="0"/>
              <w:adjustRightInd w:val="0"/>
              <w:jc w:val="right"/>
              <w:rPr>
                <w:szCs w:val="21"/>
              </w:rPr>
            </w:pPr>
            <w:r>
              <w:t>774.99</w:t>
            </w:r>
          </w:p>
        </w:tc>
        <w:tc>
          <w:tcPr>
            <w:tcW w:w="703" w:type="pct"/>
            <w:tcBorders>
              <w:top w:val="single" w:sz="4" w:space="0" w:color="auto"/>
              <w:left w:val="single" w:sz="4" w:space="0" w:color="auto"/>
              <w:bottom w:val="single" w:sz="4" w:space="0" w:color="auto"/>
              <w:right w:val="single" w:sz="4" w:space="0" w:color="auto"/>
            </w:tcBorders>
          </w:tcPr>
          <w:p w14:paraId="633BDDE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ABBF4A8" w14:textId="77777777" w:rsidR="00E57DAA" w:rsidRDefault="00AC4185">
            <w:pPr>
              <w:autoSpaceDE w:val="0"/>
              <w:autoSpaceDN w:val="0"/>
              <w:adjustRightInd w:val="0"/>
              <w:jc w:val="right"/>
              <w:rPr>
                <w:szCs w:val="21"/>
              </w:rPr>
            </w:pPr>
            <w:r>
              <w:t xml:space="preserve">　</w:t>
            </w:r>
          </w:p>
        </w:tc>
      </w:tr>
      <w:tr w:rsidR="00E57DAA" w14:paraId="12E550EE" w14:textId="77777777">
        <w:tc>
          <w:tcPr>
            <w:tcW w:w="677" w:type="pct"/>
            <w:tcBorders>
              <w:top w:val="single" w:sz="4" w:space="0" w:color="auto"/>
              <w:left w:val="single" w:sz="4" w:space="0" w:color="auto"/>
              <w:bottom w:val="single" w:sz="4" w:space="0" w:color="auto"/>
              <w:right w:val="single" w:sz="4" w:space="0" w:color="auto"/>
            </w:tcBorders>
            <w:vAlign w:val="center"/>
          </w:tcPr>
          <w:p w14:paraId="53D6610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255270D" w14:textId="77777777" w:rsidR="00E57DAA" w:rsidRDefault="00AC4185">
            <w:pPr>
              <w:autoSpaceDE w:val="0"/>
              <w:autoSpaceDN w:val="0"/>
              <w:adjustRightInd w:val="0"/>
              <w:rPr>
                <w:szCs w:val="21"/>
              </w:rPr>
            </w:pPr>
            <w:r>
              <w:t>四川资中西南水泥有限公司</w:t>
            </w:r>
          </w:p>
        </w:tc>
        <w:tc>
          <w:tcPr>
            <w:tcW w:w="633" w:type="pct"/>
            <w:tcBorders>
              <w:top w:val="single" w:sz="4" w:space="0" w:color="auto"/>
              <w:left w:val="single" w:sz="4" w:space="0" w:color="auto"/>
              <w:bottom w:val="single" w:sz="4" w:space="0" w:color="auto"/>
              <w:right w:val="single" w:sz="4" w:space="0" w:color="auto"/>
            </w:tcBorders>
          </w:tcPr>
          <w:p w14:paraId="77C811EF" w14:textId="77777777" w:rsidR="00E57DAA" w:rsidRDefault="00AC4185">
            <w:pPr>
              <w:autoSpaceDE w:val="0"/>
              <w:autoSpaceDN w:val="0"/>
              <w:adjustRightInd w:val="0"/>
              <w:jc w:val="right"/>
              <w:rPr>
                <w:szCs w:val="21"/>
              </w:rPr>
            </w:pPr>
            <w:r>
              <w:t>32,558.00</w:t>
            </w:r>
          </w:p>
        </w:tc>
        <w:tc>
          <w:tcPr>
            <w:tcW w:w="632" w:type="pct"/>
            <w:tcBorders>
              <w:top w:val="single" w:sz="4" w:space="0" w:color="auto"/>
              <w:left w:val="single" w:sz="4" w:space="0" w:color="auto"/>
              <w:bottom w:val="single" w:sz="4" w:space="0" w:color="auto"/>
              <w:right w:val="single" w:sz="4" w:space="0" w:color="auto"/>
            </w:tcBorders>
          </w:tcPr>
          <w:p w14:paraId="5164F376" w14:textId="77777777" w:rsidR="00E57DAA" w:rsidRDefault="00AC4185">
            <w:pPr>
              <w:autoSpaceDE w:val="0"/>
              <w:autoSpaceDN w:val="0"/>
              <w:adjustRightInd w:val="0"/>
              <w:jc w:val="right"/>
              <w:rPr>
                <w:szCs w:val="21"/>
              </w:rPr>
            </w:pPr>
            <w:r>
              <w:t>17,565.69</w:t>
            </w:r>
          </w:p>
        </w:tc>
        <w:tc>
          <w:tcPr>
            <w:tcW w:w="703" w:type="pct"/>
            <w:tcBorders>
              <w:top w:val="single" w:sz="4" w:space="0" w:color="auto"/>
              <w:left w:val="single" w:sz="4" w:space="0" w:color="auto"/>
              <w:bottom w:val="single" w:sz="4" w:space="0" w:color="auto"/>
              <w:right w:val="single" w:sz="4" w:space="0" w:color="auto"/>
            </w:tcBorders>
          </w:tcPr>
          <w:p w14:paraId="28DCD69A" w14:textId="77777777" w:rsidR="00E57DAA" w:rsidRDefault="00AC4185">
            <w:pPr>
              <w:autoSpaceDE w:val="0"/>
              <w:autoSpaceDN w:val="0"/>
              <w:adjustRightInd w:val="0"/>
              <w:jc w:val="right"/>
              <w:rPr>
                <w:szCs w:val="21"/>
              </w:rPr>
            </w:pPr>
            <w:r>
              <w:t>136,829.87</w:t>
            </w:r>
          </w:p>
        </w:tc>
        <w:tc>
          <w:tcPr>
            <w:tcW w:w="914" w:type="pct"/>
            <w:tcBorders>
              <w:top w:val="single" w:sz="4" w:space="0" w:color="auto"/>
              <w:left w:val="single" w:sz="4" w:space="0" w:color="auto"/>
              <w:bottom w:val="single" w:sz="4" w:space="0" w:color="auto"/>
              <w:right w:val="single" w:sz="4" w:space="0" w:color="auto"/>
            </w:tcBorders>
          </w:tcPr>
          <w:p w14:paraId="3B219887" w14:textId="77777777" w:rsidR="00E57DAA" w:rsidRDefault="00AC4185">
            <w:pPr>
              <w:autoSpaceDE w:val="0"/>
              <w:autoSpaceDN w:val="0"/>
              <w:adjustRightInd w:val="0"/>
              <w:jc w:val="right"/>
              <w:rPr>
                <w:szCs w:val="21"/>
              </w:rPr>
            </w:pPr>
            <w:r>
              <w:t>22,375.02</w:t>
            </w:r>
          </w:p>
        </w:tc>
      </w:tr>
      <w:tr w:rsidR="00E57DAA" w14:paraId="1B52DE55" w14:textId="77777777">
        <w:tc>
          <w:tcPr>
            <w:tcW w:w="677" w:type="pct"/>
            <w:tcBorders>
              <w:top w:val="single" w:sz="4" w:space="0" w:color="auto"/>
              <w:left w:val="single" w:sz="4" w:space="0" w:color="auto"/>
              <w:bottom w:val="single" w:sz="4" w:space="0" w:color="auto"/>
              <w:right w:val="single" w:sz="4" w:space="0" w:color="auto"/>
            </w:tcBorders>
            <w:vAlign w:val="center"/>
          </w:tcPr>
          <w:p w14:paraId="025E84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F191A69" w14:textId="77777777" w:rsidR="00E57DAA" w:rsidRDefault="00AC4185">
            <w:pPr>
              <w:autoSpaceDE w:val="0"/>
              <w:autoSpaceDN w:val="0"/>
              <w:adjustRightInd w:val="0"/>
              <w:rPr>
                <w:szCs w:val="21"/>
              </w:rPr>
            </w:pPr>
            <w:r>
              <w:t>乌兰察布市蒙中水泥有限公司</w:t>
            </w:r>
          </w:p>
        </w:tc>
        <w:tc>
          <w:tcPr>
            <w:tcW w:w="633" w:type="pct"/>
            <w:tcBorders>
              <w:top w:val="single" w:sz="4" w:space="0" w:color="auto"/>
              <w:left w:val="single" w:sz="4" w:space="0" w:color="auto"/>
              <w:bottom w:val="single" w:sz="4" w:space="0" w:color="auto"/>
              <w:right w:val="single" w:sz="4" w:space="0" w:color="auto"/>
            </w:tcBorders>
          </w:tcPr>
          <w:p w14:paraId="011736F8" w14:textId="77777777" w:rsidR="00E57DAA" w:rsidRDefault="00AC4185">
            <w:pPr>
              <w:autoSpaceDE w:val="0"/>
              <w:autoSpaceDN w:val="0"/>
              <w:adjustRightInd w:val="0"/>
              <w:jc w:val="right"/>
              <w:rPr>
                <w:szCs w:val="21"/>
              </w:rPr>
            </w:pPr>
            <w:r>
              <w:t>32,000.00</w:t>
            </w:r>
          </w:p>
        </w:tc>
        <w:tc>
          <w:tcPr>
            <w:tcW w:w="632" w:type="pct"/>
            <w:tcBorders>
              <w:top w:val="single" w:sz="4" w:space="0" w:color="auto"/>
              <w:left w:val="single" w:sz="4" w:space="0" w:color="auto"/>
              <w:bottom w:val="single" w:sz="4" w:space="0" w:color="auto"/>
              <w:right w:val="single" w:sz="4" w:space="0" w:color="auto"/>
            </w:tcBorders>
          </w:tcPr>
          <w:p w14:paraId="72A48635" w14:textId="77777777" w:rsidR="00E57DAA" w:rsidRDefault="00AC4185">
            <w:pPr>
              <w:autoSpaceDE w:val="0"/>
              <w:autoSpaceDN w:val="0"/>
              <w:adjustRightInd w:val="0"/>
              <w:jc w:val="right"/>
              <w:rPr>
                <w:szCs w:val="21"/>
              </w:rPr>
            </w:pPr>
            <w:r>
              <w:t>1,600.00</w:t>
            </w:r>
          </w:p>
        </w:tc>
        <w:tc>
          <w:tcPr>
            <w:tcW w:w="703" w:type="pct"/>
            <w:tcBorders>
              <w:top w:val="single" w:sz="4" w:space="0" w:color="auto"/>
              <w:left w:val="single" w:sz="4" w:space="0" w:color="auto"/>
              <w:bottom w:val="single" w:sz="4" w:space="0" w:color="auto"/>
              <w:right w:val="single" w:sz="4" w:space="0" w:color="auto"/>
            </w:tcBorders>
          </w:tcPr>
          <w:p w14:paraId="2CBD8F5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F312484" w14:textId="77777777" w:rsidR="00E57DAA" w:rsidRDefault="00AC4185">
            <w:pPr>
              <w:autoSpaceDE w:val="0"/>
              <w:autoSpaceDN w:val="0"/>
              <w:adjustRightInd w:val="0"/>
              <w:jc w:val="right"/>
              <w:rPr>
                <w:szCs w:val="21"/>
              </w:rPr>
            </w:pPr>
            <w:r>
              <w:t xml:space="preserve">　</w:t>
            </w:r>
          </w:p>
        </w:tc>
      </w:tr>
      <w:tr w:rsidR="00E57DAA" w14:paraId="29BF7BAA" w14:textId="77777777">
        <w:tc>
          <w:tcPr>
            <w:tcW w:w="677" w:type="pct"/>
            <w:tcBorders>
              <w:top w:val="single" w:sz="4" w:space="0" w:color="auto"/>
              <w:left w:val="single" w:sz="4" w:space="0" w:color="auto"/>
              <w:bottom w:val="single" w:sz="4" w:space="0" w:color="auto"/>
              <w:right w:val="single" w:sz="4" w:space="0" w:color="auto"/>
            </w:tcBorders>
            <w:vAlign w:val="center"/>
          </w:tcPr>
          <w:p w14:paraId="5528187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E3EEF1B" w14:textId="77777777" w:rsidR="00E57DAA" w:rsidRDefault="00AC4185">
            <w:pPr>
              <w:autoSpaceDE w:val="0"/>
              <w:autoSpaceDN w:val="0"/>
              <w:adjustRightInd w:val="0"/>
              <w:rPr>
                <w:szCs w:val="21"/>
              </w:rPr>
            </w:pPr>
            <w:r>
              <w:t>黑河关鸟河水泥有限责任公司</w:t>
            </w:r>
          </w:p>
        </w:tc>
        <w:tc>
          <w:tcPr>
            <w:tcW w:w="633" w:type="pct"/>
            <w:tcBorders>
              <w:top w:val="single" w:sz="4" w:space="0" w:color="auto"/>
              <w:left w:val="single" w:sz="4" w:space="0" w:color="auto"/>
              <w:bottom w:val="single" w:sz="4" w:space="0" w:color="auto"/>
              <w:right w:val="single" w:sz="4" w:space="0" w:color="auto"/>
            </w:tcBorders>
          </w:tcPr>
          <w:p w14:paraId="4F67DE43" w14:textId="77777777" w:rsidR="00E57DAA" w:rsidRDefault="00AC4185">
            <w:pPr>
              <w:autoSpaceDE w:val="0"/>
              <w:autoSpaceDN w:val="0"/>
              <w:adjustRightInd w:val="0"/>
              <w:jc w:val="right"/>
              <w:rPr>
                <w:szCs w:val="21"/>
              </w:rPr>
            </w:pPr>
            <w:r>
              <w:t>31,900.00</w:t>
            </w:r>
          </w:p>
        </w:tc>
        <w:tc>
          <w:tcPr>
            <w:tcW w:w="632" w:type="pct"/>
            <w:tcBorders>
              <w:top w:val="single" w:sz="4" w:space="0" w:color="auto"/>
              <w:left w:val="single" w:sz="4" w:space="0" w:color="auto"/>
              <w:bottom w:val="single" w:sz="4" w:space="0" w:color="auto"/>
              <w:right w:val="single" w:sz="4" w:space="0" w:color="auto"/>
            </w:tcBorders>
          </w:tcPr>
          <w:p w14:paraId="5EC68921" w14:textId="77777777" w:rsidR="00E57DAA" w:rsidRDefault="00AC4185">
            <w:pPr>
              <w:autoSpaceDE w:val="0"/>
              <w:autoSpaceDN w:val="0"/>
              <w:adjustRightInd w:val="0"/>
              <w:jc w:val="right"/>
              <w:rPr>
                <w:szCs w:val="21"/>
              </w:rPr>
            </w:pPr>
            <w:r>
              <w:t>1,595.00</w:t>
            </w:r>
          </w:p>
        </w:tc>
        <w:tc>
          <w:tcPr>
            <w:tcW w:w="703" w:type="pct"/>
            <w:tcBorders>
              <w:top w:val="single" w:sz="4" w:space="0" w:color="auto"/>
              <w:left w:val="single" w:sz="4" w:space="0" w:color="auto"/>
              <w:bottom w:val="single" w:sz="4" w:space="0" w:color="auto"/>
              <w:right w:val="single" w:sz="4" w:space="0" w:color="auto"/>
            </w:tcBorders>
          </w:tcPr>
          <w:p w14:paraId="01879A33" w14:textId="77777777" w:rsidR="00E57DAA" w:rsidRDefault="00AC4185">
            <w:pPr>
              <w:autoSpaceDE w:val="0"/>
              <w:autoSpaceDN w:val="0"/>
              <w:adjustRightInd w:val="0"/>
              <w:jc w:val="right"/>
              <w:rPr>
                <w:szCs w:val="21"/>
              </w:rPr>
            </w:pPr>
            <w:r>
              <w:t>177,000.00</w:t>
            </w:r>
          </w:p>
        </w:tc>
        <w:tc>
          <w:tcPr>
            <w:tcW w:w="914" w:type="pct"/>
            <w:tcBorders>
              <w:top w:val="single" w:sz="4" w:space="0" w:color="auto"/>
              <w:left w:val="single" w:sz="4" w:space="0" w:color="auto"/>
              <w:bottom w:val="single" w:sz="4" w:space="0" w:color="auto"/>
              <w:right w:val="single" w:sz="4" w:space="0" w:color="auto"/>
            </w:tcBorders>
          </w:tcPr>
          <w:p w14:paraId="4A333685" w14:textId="77777777" w:rsidR="00E57DAA" w:rsidRDefault="00AC4185">
            <w:pPr>
              <w:autoSpaceDE w:val="0"/>
              <w:autoSpaceDN w:val="0"/>
              <w:adjustRightInd w:val="0"/>
              <w:jc w:val="right"/>
              <w:rPr>
                <w:szCs w:val="21"/>
              </w:rPr>
            </w:pPr>
            <w:r>
              <w:t>8,850.00</w:t>
            </w:r>
          </w:p>
        </w:tc>
      </w:tr>
      <w:tr w:rsidR="00E57DAA" w14:paraId="09239B41" w14:textId="77777777">
        <w:tc>
          <w:tcPr>
            <w:tcW w:w="677" w:type="pct"/>
            <w:tcBorders>
              <w:top w:val="single" w:sz="4" w:space="0" w:color="auto"/>
              <w:left w:val="single" w:sz="4" w:space="0" w:color="auto"/>
              <w:bottom w:val="single" w:sz="4" w:space="0" w:color="auto"/>
              <w:right w:val="single" w:sz="4" w:space="0" w:color="auto"/>
            </w:tcBorders>
            <w:vAlign w:val="center"/>
          </w:tcPr>
          <w:p w14:paraId="31F7E48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E07CD1E" w14:textId="77777777" w:rsidR="00E57DAA" w:rsidRDefault="00AC4185">
            <w:pPr>
              <w:autoSpaceDE w:val="0"/>
              <w:autoSpaceDN w:val="0"/>
              <w:adjustRightInd w:val="0"/>
              <w:rPr>
                <w:szCs w:val="21"/>
              </w:rPr>
            </w:pPr>
            <w:r>
              <w:t>宿州中联水泥有限公司</w:t>
            </w:r>
          </w:p>
        </w:tc>
        <w:tc>
          <w:tcPr>
            <w:tcW w:w="633" w:type="pct"/>
            <w:tcBorders>
              <w:top w:val="single" w:sz="4" w:space="0" w:color="auto"/>
              <w:left w:val="single" w:sz="4" w:space="0" w:color="auto"/>
              <w:bottom w:val="single" w:sz="4" w:space="0" w:color="auto"/>
              <w:right w:val="single" w:sz="4" w:space="0" w:color="auto"/>
            </w:tcBorders>
          </w:tcPr>
          <w:p w14:paraId="5C54ADD8" w14:textId="77777777" w:rsidR="00E57DAA" w:rsidRDefault="00AC4185">
            <w:pPr>
              <w:autoSpaceDE w:val="0"/>
              <w:autoSpaceDN w:val="0"/>
              <w:adjustRightInd w:val="0"/>
              <w:jc w:val="right"/>
              <w:rPr>
                <w:szCs w:val="21"/>
              </w:rPr>
            </w:pPr>
            <w:r>
              <w:t>30,537.00</w:t>
            </w:r>
          </w:p>
        </w:tc>
        <w:tc>
          <w:tcPr>
            <w:tcW w:w="632" w:type="pct"/>
            <w:tcBorders>
              <w:top w:val="single" w:sz="4" w:space="0" w:color="auto"/>
              <w:left w:val="single" w:sz="4" w:space="0" w:color="auto"/>
              <w:bottom w:val="single" w:sz="4" w:space="0" w:color="auto"/>
              <w:right w:val="single" w:sz="4" w:space="0" w:color="auto"/>
            </w:tcBorders>
          </w:tcPr>
          <w:p w14:paraId="379E2F48" w14:textId="77777777" w:rsidR="00E57DAA" w:rsidRDefault="00AC4185">
            <w:pPr>
              <w:autoSpaceDE w:val="0"/>
              <w:autoSpaceDN w:val="0"/>
              <w:adjustRightInd w:val="0"/>
              <w:jc w:val="right"/>
              <w:rPr>
                <w:szCs w:val="21"/>
              </w:rPr>
            </w:pPr>
            <w:r>
              <w:t>723.73</w:t>
            </w:r>
          </w:p>
        </w:tc>
        <w:tc>
          <w:tcPr>
            <w:tcW w:w="703" w:type="pct"/>
            <w:tcBorders>
              <w:top w:val="single" w:sz="4" w:space="0" w:color="auto"/>
              <w:left w:val="single" w:sz="4" w:space="0" w:color="auto"/>
              <w:bottom w:val="single" w:sz="4" w:space="0" w:color="auto"/>
              <w:right w:val="single" w:sz="4" w:space="0" w:color="auto"/>
            </w:tcBorders>
          </w:tcPr>
          <w:p w14:paraId="4A88A1A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6ADEB2A" w14:textId="77777777" w:rsidR="00E57DAA" w:rsidRDefault="00AC4185">
            <w:pPr>
              <w:autoSpaceDE w:val="0"/>
              <w:autoSpaceDN w:val="0"/>
              <w:adjustRightInd w:val="0"/>
              <w:jc w:val="right"/>
              <w:rPr>
                <w:szCs w:val="21"/>
              </w:rPr>
            </w:pPr>
            <w:r>
              <w:t xml:space="preserve">　</w:t>
            </w:r>
          </w:p>
        </w:tc>
      </w:tr>
      <w:tr w:rsidR="00E57DAA" w14:paraId="370973D9" w14:textId="77777777">
        <w:tc>
          <w:tcPr>
            <w:tcW w:w="677" w:type="pct"/>
            <w:tcBorders>
              <w:top w:val="single" w:sz="4" w:space="0" w:color="auto"/>
              <w:left w:val="single" w:sz="4" w:space="0" w:color="auto"/>
              <w:bottom w:val="single" w:sz="4" w:space="0" w:color="auto"/>
              <w:right w:val="single" w:sz="4" w:space="0" w:color="auto"/>
            </w:tcBorders>
            <w:vAlign w:val="center"/>
          </w:tcPr>
          <w:p w14:paraId="3607BC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1E289B7" w14:textId="77777777" w:rsidR="00E57DAA" w:rsidRDefault="00AC4185">
            <w:pPr>
              <w:autoSpaceDE w:val="0"/>
              <w:autoSpaceDN w:val="0"/>
              <w:adjustRightInd w:val="0"/>
              <w:rPr>
                <w:szCs w:val="21"/>
              </w:rPr>
            </w:pPr>
            <w:r>
              <w:t>四川利万步森水泥有限公司</w:t>
            </w:r>
          </w:p>
        </w:tc>
        <w:tc>
          <w:tcPr>
            <w:tcW w:w="633" w:type="pct"/>
            <w:tcBorders>
              <w:top w:val="single" w:sz="4" w:space="0" w:color="auto"/>
              <w:left w:val="single" w:sz="4" w:space="0" w:color="auto"/>
              <w:bottom w:val="single" w:sz="4" w:space="0" w:color="auto"/>
              <w:right w:val="single" w:sz="4" w:space="0" w:color="auto"/>
            </w:tcBorders>
          </w:tcPr>
          <w:p w14:paraId="4ACA26BE" w14:textId="77777777" w:rsidR="00E57DAA" w:rsidRDefault="00AC4185">
            <w:pPr>
              <w:autoSpaceDE w:val="0"/>
              <w:autoSpaceDN w:val="0"/>
              <w:adjustRightInd w:val="0"/>
              <w:jc w:val="right"/>
              <w:rPr>
                <w:szCs w:val="21"/>
              </w:rPr>
            </w:pPr>
            <w:r>
              <w:t>29,800.00</w:t>
            </w:r>
          </w:p>
        </w:tc>
        <w:tc>
          <w:tcPr>
            <w:tcW w:w="632" w:type="pct"/>
            <w:tcBorders>
              <w:top w:val="single" w:sz="4" w:space="0" w:color="auto"/>
              <w:left w:val="single" w:sz="4" w:space="0" w:color="auto"/>
              <w:bottom w:val="single" w:sz="4" w:space="0" w:color="auto"/>
              <w:right w:val="single" w:sz="4" w:space="0" w:color="auto"/>
            </w:tcBorders>
          </w:tcPr>
          <w:p w14:paraId="483D2B21" w14:textId="77777777" w:rsidR="00E57DAA" w:rsidRDefault="00AC4185">
            <w:pPr>
              <w:autoSpaceDE w:val="0"/>
              <w:autoSpaceDN w:val="0"/>
              <w:adjustRightInd w:val="0"/>
              <w:jc w:val="right"/>
              <w:rPr>
                <w:szCs w:val="21"/>
              </w:rPr>
            </w:pPr>
            <w:r>
              <w:t>29,800.00</w:t>
            </w:r>
          </w:p>
        </w:tc>
        <w:tc>
          <w:tcPr>
            <w:tcW w:w="703" w:type="pct"/>
            <w:tcBorders>
              <w:top w:val="single" w:sz="4" w:space="0" w:color="auto"/>
              <w:left w:val="single" w:sz="4" w:space="0" w:color="auto"/>
              <w:bottom w:val="single" w:sz="4" w:space="0" w:color="auto"/>
              <w:right w:val="single" w:sz="4" w:space="0" w:color="auto"/>
            </w:tcBorders>
          </w:tcPr>
          <w:p w14:paraId="6DAC5E3D" w14:textId="77777777" w:rsidR="00E57DAA" w:rsidRDefault="00AC4185">
            <w:pPr>
              <w:autoSpaceDE w:val="0"/>
              <w:autoSpaceDN w:val="0"/>
              <w:adjustRightInd w:val="0"/>
              <w:jc w:val="right"/>
              <w:rPr>
                <w:szCs w:val="21"/>
              </w:rPr>
            </w:pPr>
            <w:r>
              <w:t>29,800.00</w:t>
            </w:r>
          </w:p>
        </w:tc>
        <w:tc>
          <w:tcPr>
            <w:tcW w:w="914" w:type="pct"/>
            <w:tcBorders>
              <w:top w:val="single" w:sz="4" w:space="0" w:color="auto"/>
              <w:left w:val="single" w:sz="4" w:space="0" w:color="auto"/>
              <w:bottom w:val="single" w:sz="4" w:space="0" w:color="auto"/>
              <w:right w:val="single" w:sz="4" w:space="0" w:color="auto"/>
            </w:tcBorders>
          </w:tcPr>
          <w:p w14:paraId="08A82E6B" w14:textId="77777777" w:rsidR="00E57DAA" w:rsidRDefault="00AC4185">
            <w:pPr>
              <w:autoSpaceDE w:val="0"/>
              <w:autoSpaceDN w:val="0"/>
              <w:adjustRightInd w:val="0"/>
              <w:jc w:val="right"/>
              <w:rPr>
                <w:szCs w:val="21"/>
              </w:rPr>
            </w:pPr>
            <w:r>
              <w:t>29,800.00</w:t>
            </w:r>
          </w:p>
        </w:tc>
      </w:tr>
      <w:tr w:rsidR="00E57DAA" w14:paraId="72653E20" w14:textId="77777777">
        <w:tc>
          <w:tcPr>
            <w:tcW w:w="677" w:type="pct"/>
            <w:tcBorders>
              <w:top w:val="single" w:sz="4" w:space="0" w:color="auto"/>
              <w:left w:val="single" w:sz="4" w:space="0" w:color="auto"/>
              <w:bottom w:val="single" w:sz="4" w:space="0" w:color="auto"/>
              <w:right w:val="single" w:sz="4" w:space="0" w:color="auto"/>
            </w:tcBorders>
            <w:vAlign w:val="center"/>
          </w:tcPr>
          <w:p w14:paraId="00AE0F6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0924F91" w14:textId="77777777" w:rsidR="00E57DAA" w:rsidRDefault="00AC4185">
            <w:pPr>
              <w:autoSpaceDE w:val="0"/>
              <w:autoSpaceDN w:val="0"/>
              <w:adjustRightInd w:val="0"/>
              <w:rPr>
                <w:szCs w:val="21"/>
              </w:rPr>
            </w:pPr>
            <w:r>
              <w:t>江苏中联铸本混凝土有限公司</w:t>
            </w:r>
          </w:p>
        </w:tc>
        <w:tc>
          <w:tcPr>
            <w:tcW w:w="633" w:type="pct"/>
            <w:tcBorders>
              <w:top w:val="single" w:sz="4" w:space="0" w:color="auto"/>
              <w:left w:val="single" w:sz="4" w:space="0" w:color="auto"/>
              <w:bottom w:val="single" w:sz="4" w:space="0" w:color="auto"/>
              <w:right w:val="single" w:sz="4" w:space="0" w:color="auto"/>
            </w:tcBorders>
          </w:tcPr>
          <w:p w14:paraId="78034364" w14:textId="77777777" w:rsidR="00E57DAA" w:rsidRDefault="00AC4185">
            <w:pPr>
              <w:autoSpaceDE w:val="0"/>
              <w:autoSpaceDN w:val="0"/>
              <w:adjustRightInd w:val="0"/>
              <w:jc w:val="right"/>
              <w:rPr>
                <w:szCs w:val="21"/>
              </w:rPr>
            </w:pPr>
            <w:r>
              <w:t>27,307.00</w:t>
            </w:r>
          </w:p>
        </w:tc>
        <w:tc>
          <w:tcPr>
            <w:tcW w:w="632" w:type="pct"/>
            <w:tcBorders>
              <w:top w:val="single" w:sz="4" w:space="0" w:color="auto"/>
              <w:left w:val="single" w:sz="4" w:space="0" w:color="auto"/>
              <w:bottom w:val="single" w:sz="4" w:space="0" w:color="auto"/>
              <w:right w:val="single" w:sz="4" w:space="0" w:color="auto"/>
            </w:tcBorders>
          </w:tcPr>
          <w:p w14:paraId="303D573E" w14:textId="77777777" w:rsidR="00E57DAA" w:rsidRDefault="00AC4185">
            <w:pPr>
              <w:autoSpaceDE w:val="0"/>
              <w:autoSpaceDN w:val="0"/>
              <w:adjustRightInd w:val="0"/>
              <w:jc w:val="right"/>
              <w:rPr>
                <w:szCs w:val="21"/>
              </w:rPr>
            </w:pPr>
            <w:r>
              <w:t>647.18</w:t>
            </w:r>
          </w:p>
        </w:tc>
        <w:tc>
          <w:tcPr>
            <w:tcW w:w="703" w:type="pct"/>
            <w:tcBorders>
              <w:top w:val="single" w:sz="4" w:space="0" w:color="auto"/>
              <w:left w:val="single" w:sz="4" w:space="0" w:color="auto"/>
              <w:bottom w:val="single" w:sz="4" w:space="0" w:color="auto"/>
              <w:right w:val="single" w:sz="4" w:space="0" w:color="auto"/>
            </w:tcBorders>
          </w:tcPr>
          <w:p w14:paraId="3C48A3C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9C0540C" w14:textId="77777777" w:rsidR="00E57DAA" w:rsidRDefault="00AC4185">
            <w:pPr>
              <w:autoSpaceDE w:val="0"/>
              <w:autoSpaceDN w:val="0"/>
              <w:adjustRightInd w:val="0"/>
              <w:jc w:val="right"/>
              <w:rPr>
                <w:szCs w:val="21"/>
              </w:rPr>
            </w:pPr>
            <w:r>
              <w:t xml:space="preserve">　</w:t>
            </w:r>
          </w:p>
        </w:tc>
      </w:tr>
      <w:tr w:rsidR="00E57DAA" w14:paraId="370C0E36" w14:textId="77777777">
        <w:tc>
          <w:tcPr>
            <w:tcW w:w="677" w:type="pct"/>
            <w:tcBorders>
              <w:top w:val="single" w:sz="4" w:space="0" w:color="auto"/>
              <w:left w:val="single" w:sz="4" w:space="0" w:color="auto"/>
              <w:bottom w:val="single" w:sz="4" w:space="0" w:color="auto"/>
              <w:right w:val="single" w:sz="4" w:space="0" w:color="auto"/>
            </w:tcBorders>
            <w:vAlign w:val="center"/>
          </w:tcPr>
          <w:p w14:paraId="310D55C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7A15CD5" w14:textId="77777777" w:rsidR="00E57DAA" w:rsidRDefault="00AC4185">
            <w:pPr>
              <w:autoSpaceDE w:val="0"/>
              <w:autoSpaceDN w:val="0"/>
              <w:adjustRightInd w:val="0"/>
              <w:rPr>
                <w:szCs w:val="21"/>
              </w:rPr>
            </w:pPr>
            <w:r>
              <w:t>菏泽中联混凝土有限公司</w:t>
            </w:r>
          </w:p>
        </w:tc>
        <w:tc>
          <w:tcPr>
            <w:tcW w:w="633" w:type="pct"/>
            <w:tcBorders>
              <w:top w:val="single" w:sz="4" w:space="0" w:color="auto"/>
              <w:left w:val="single" w:sz="4" w:space="0" w:color="auto"/>
              <w:bottom w:val="single" w:sz="4" w:space="0" w:color="auto"/>
              <w:right w:val="single" w:sz="4" w:space="0" w:color="auto"/>
            </w:tcBorders>
          </w:tcPr>
          <w:p w14:paraId="34733C88" w14:textId="77777777" w:rsidR="00E57DAA" w:rsidRDefault="00AC4185">
            <w:pPr>
              <w:autoSpaceDE w:val="0"/>
              <w:autoSpaceDN w:val="0"/>
              <w:adjustRightInd w:val="0"/>
              <w:jc w:val="right"/>
              <w:rPr>
                <w:szCs w:val="21"/>
              </w:rPr>
            </w:pPr>
            <w:r>
              <w:t>22,590.00</w:t>
            </w:r>
          </w:p>
        </w:tc>
        <w:tc>
          <w:tcPr>
            <w:tcW w:w="632" w:type="pct"/>
            <w:tcBorders>
              <w:top w:val="single" w:sz="4" w:space="0" w:color="auto"/>
              <w:left w:val="single" w:sz="4" w:space="0" w:color="auto"/>
              <w:bottom w:val="single" w:sz="4" w:space="0" w:color="auto"/>
              <w:right w:val="single" w:sz="4" w:space="0" w:color="auto"/>
            </w:tcBorders>
          </w:tcPr>
          <w:p w14:paraId="43E60F7D" w14:textId="77777777" w:rsidR="00E57DAA" w:rsidRDefault="00AC4185">
            <w:pPr>
              <w:autoSpaceDE w:val="0"/>
              <w:autoSpaceDN w:val="0"/>
              <w:adjustRightInd w:val="0"/>
              <w:jc w:val="right"/>
              <w:rPr>
                <w:szCs w:val="21"/>
              </w:rPr>
            </w:pPr>
            <w:r>
              <w:t>535.38</w:t>
            </w:r>
          </w:p>
        </w:tc>
        <w:tc>
          <w:tcPr>
            <w:tcW w:w="703" w:type="pct"/>
            <w:tcBorders>
              <w:top w:val="single" w:sz="4" w:space="0" w:color="auto"/>
              <w:left w:val="single" w:sz="4" w:space="0" w:color="auto"/>
              <w:bottom w:val="single" w:sz="4" w:space="0" w:color="auto"/>
              <w:right w:val="single" w:sz="4" w:space="0" w:color="auto"/>
            </w:tcBorders>
          </w:tcPr>
          <w:p w14:paraId="6BECFF5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E0C404F" w14:textId="77777777" w:rsidR="00E57DAA" w:rsidRDefault="00AC4185">
            <w:pPr>
              <w:autoSpaceDE w:val="0"/>
              <w:autoSpaceDN w:val="0"/>
              <w:adjustRightInd w:val="0"/>
              <w:jc w:val="right"/>
              <w:rPr>
                <w:szCs w:val="21"/>
              </w:rPr>
            </w:pPr>
            <w:r>
              <w:t xml:space="preserve">　</w:t>
            </w:r>
          </w:p>
        </w:tc>
      </w:tr>
      <w:tr w:rsidR="00E57DAA" w14:paraId="0379BC6F" w14:textId="77777777">
        <w:tc>
          <w:tcPr>
            <w:tcW w:w="677" w:type="pct"/>
            <w:tcBorders>
              <w:top w:val="single" w:sz="4" w:space="0" w:color="auto"/>
              <w:left w:val="single" w:sz="4" w:space="0" w:color="auto"/>
              <w:bottom w:val="single" w:sz="4" w:space="0" w:color="auto"/>
              <w:right w:val="single" w:sz="4" w:space="0" w:color="auto"/>
            </w:tcBorders>
            <w:vAlign w:val="center"/>
          </w:tcPr>
          <w:p w14:paraId="6489FCA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AEF7CD" w14:textId="77777777" w:rsidR="00E57DAA" w:rsidRDefault="00AC4185">
            <w:pPr>
              <w:autoSpaceDE w:val="0"/>
              <w:autoSpaceDN w:val="0"/>
              <w:adjustRightInd w:val="0"/>
              <w:rPr>
                <w:szCs w:val="21"/>
              </w:rPr>
            </w:pPr>
            <w:r>
              <w:t>重庆长寿西南水泥有限公司</w:t>
            </w:r>
          </w:p>
        </w:tc>
        <w:tc>
          <w:tcPr>
            <w:tcW w:w="633" w:type="pct"/>
            <w:tcBorders>
              <w:top w:val="single" w:sz="4" w:space="0" w:color="auto"/>
              <w:left w:val="single" w:sz="4" w:space="0" w:color="auto"/>
              <w:bottom w:val="single" w:sz="4" w:space="0" w:color="auto"/>
              <w:right w:val="single" w:sz="4" w:space="0" w:color="auto"/>
            </w:tcBorders>
          </w:tcPr>
          <w:p w14:paraId="7F65387A" w14:textId="77777777" w:rsidR="00E57DAA" w:rsidRDefault="00AC4185">
            <w:pPr>
              <w:autoSpaceDE w:val="0"/>
              <w:autoSpaceDN w:val="0"/>
              <w:adjustRightInd w:val="0"/>
              <w:jc w:val="right"/>
              <w:rPr>
                <w:szCs w:val="21"/>
              </w:rPr>
            </w:pPr>
            <w:r>
              <w:t>21,966.37</w:t>
            </w:r>
          </w:p>
        </w:tc>
        <w:tc>
          <w:tcPr>
            <w:tcW w:w="632" w:type="pct"/>
            <w:tcBorders>
              <w:top w:val="single" w:sz="4" w:space="0" w:color="auto"/>
              <w:left w:val="single" w:sz="4" w:space="0" w:color="auto"/>
              <w:bottom w:val="single" w:sz="4" w:space="0" w:color="auto"/>
              <w:right w:val="single" w:sz="4" w:space="0" w:color="auto"/>
            </w:tcBorders>
          </w:tcPr>
          <w:p w14:paraId="6934ABAF" w14:textId="77777777" w:rsidR="00E57DAA" w:rsidRDefault="00AC4185">
            <w:pPr>
              <w:autoSpaceDE w:val="0"/>
              <w:autoSpaceDN w:val="0"/>
              <w:adjustRightInd w:val="0"/>
              <w:jc w:val="right"/>
              <w:rPr>
                <w:szCs w:val="21"/>
              </w:rPr>
            </w:pPr>
            <w:r>
              <w:t>1,098.32</w:t>
            </w:r>
          </w:p>
        </w:tc>
        <w:tc>
          <w:tcPr>
            <w:tcW w:w="703" w:type="pct"/>
            <w:tcBorders>
              <w:top w:val="single" w:sz="4" w:space="0" w:color="auto"/>
              <w:left w:val="single" w:sz="4" w:space="0" w:color="auto"/>
              <w:bottom w:val="single" w:sz="4" w:space="0" w:color="auto"/>
              <w:right w:val="single" w:sz="4" w:space="0" w:color="auto"/>
            </w:tcBorders>
          </w:tcPr>
          <w:p w14:paraId="24AB5315" w14:textId="77777777" w:rsidR="00E57DAA" w:rsidRDefault="00AC4185">
            <w:pPr>
              <w:autoSpaceDE w:val="0"/>
              <w:autoSpaceDN w:val="0"/>
              <w:adjustRightInd w:val="0"/>
              <w:jc w:val="right"/>
              <w:rPr>
                <w:szCs w:val="21"/>
              </w:rPr>
            </w:pPr>
            <w:r>
              <w:t>3,042.30</w:t>
            </w:r>
          </w:p>
        </w:tc>
        <w:tc>
          <w:tcPr>
            <w:tcW w:w="914" w:type="pct"/>
            <w:tcBorders>
              <w:top w:val="single" w:sz="4" w:space="0" w:color="auto"/>
              <w:left w:val="single" w:sz="4" w:space="0" w:color="auto"/>
              <w:bottom w:val="single" w:sz="4" w:space="0" w:color="auto"/>
              <w:right w:val="single" w:sz="4" w:space="0" w:color="auto"/>
            </w:tcBorders>
          </w:tcPr>
          <w:p w14:paraId="5B9F25CB" w14:textId="77777777" w:rsidR="00E57DAA" w:rsidRDefault="00AC4185">
            <w:pPr>
              <w:autoSpaceDE w:val="0"/>
              <w:autoSpaceDN w:val="0"/>
              <w:adjustRightInd w:val="0"/>
              <w:jc w:val="right"/>
              <w:rPr>
                <w:szCs w:val="21"/>
              </w:rPr>
            </w:pPr>
            <w:r>
              <w:t>304.23</w:t>
            </w:r>
          </w:p>
        </w:tc>
      </w:tr>
      <w:tr w:rsidR="00E57DAA" w14:paraId="68ABF914" w14:textId="77777777">
        <w:tc>
          <w:tcPr>
            <w:tcW w:w="677" w:type="pct"/>
            <w:tcBorders>
              <w:top w:val="single" w:sz="4" w:space="0" w:color="auto"/>
              <w:left w:val="single" w:sz="4" w:space="0" w:color="auto"/>
              <w:bottom w:val="single" w:sz="4" w:space="0" w:color="auto"/>
              <w:right w:val="single" w:sz="4" w:space="0" w:color="auto"/>
            </w:tcBorders>
            <w:vAlign w:val="center"/>
          </w:tcPr>
          <w:p w14:paraId="703EA013"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2D8FEA1F" w14:textId="77777777" w:rsidR="00E57DAA" w:rsidRDefault="00AC4185">
            <w:pPr>
              <w:autoSpaceDE w:val="0"/>
              <w:autoSpaceDN w:val="0"/>
              <w:adjustRightInd w:val="0"/>
              <w:rPr>
                <w:szCs w:val="21"/>
              </w:rPr>
            </w:pPr>
            <w:r>
              <w:t>泰山玻璃纤维有限公司</w:t>
            </w:r>
          </w:p>
        </w:tc>
        <w:tc>
          <w:tcPr>
            <w:tcW w:w="633" w:type="pct"/>
            <w:tcBorders>
              <w:top w:val="single" w:sz="4" w:space="0" w:color="auto"/>
              <w:left w:val="single" w:sz="4" w:space="0" w:color="auto"/>
              <w:bottom w:val="single" w:sz="4" w:space="0" w:color="auto"/>
              <w:right w:val="single" w:sz="4" w:space="0" w:color="auto"/>
            </w:tcBorders>
          </w:tcPr>
          <w:p w14:paraId="05156C6D"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21ED37D0" w14:textId="77777777" w:rsidR="00E57DAA" w:rsidRDefault="00AC4185">
            <w:pPr>
              <w:autoSpaceDE w:val="0"/>
              <w:autoSpaceDN w:val="0"/>
              <w:adjustRightInd w:val="0"/>
              <w:jc w:val="right"/>
              <w:rPr>
                <w:szCs w:val="21"/>
              </w:rPr>
            </w:pPr>
            <w:r>
              <w:t>2,000.00</w:t>
            </w:r>
          </w:p>
        </w:tc>
        <w:tc>
          <w:tcPr>
            <w:tcW w:w="703" w:type="pct"/>
            <w:tcBorders>
              <w:top w:val="single" w:sz="4" w:space="0" w:color="auto"/>
              <w:left w:val="single" w:sz="4" w:space="0" w:color="auto"/>
              <w:bottom w:val="single" w:sz="4" w:space="0" w:color="auto"/>
              <w:right w:val="single" w:sz="4" w:space="0" w:color="auto"/>
            </w:tcBorders>
          </w:tcPr>
          <w:p w14:paraId="2482F278" w14:textId="77777777" w:rsidR="00E57DAA" w:rsidRDefault="00AC4185">
            <w:pPr>
              <w:autoSpaceDE w:val="0"/>
              <w:autoSpaceDN w:val="0"/>
              <w:adjustRightInd w:val="0"/>
              <w:jc w:val="right"/>
              <w:rPr>
                <w:szCs w:val="21"/>
              </w:rPr>
            </w:pPr>
            <w:r>
              <w:t>339,540.00</w:t>
            </w:r>
          </w:p>
        </w:tc>
        <w:tc>
          <w:tcPr>
            <w:tcW w:w="914" w:type="pct"/>
            <w:tcBorders>
              <w:top w:val="single" w:sz="4" w:space="0" w:color="auto"/>
              <w:left w:val="single" w:sz="4" w:space="0" w:color="auto"/>
              <w:bottom w:val="single" w:sz="4" w:space="0" w:color="auto"/>
              <w:right w:val="single" w:sz="4" w:space="0" w:color="auto"/>
            </w:tcBorders>
          </w:tcPr>
          <w:p w14:paraId="4E9C9925" w14:textId="77777777" w:rsidR="00E57DAA" w:rsidRDefault="00AC4185">
            <w:pPr>
              <w:autoSpaceDE w:val="0"/>
              <w:autoSpaceDN w:val="0"/>
              <w:adjustRightInd w:val="0"/>
              <w:jc w:val="right"/>
              <w:rPr>
                <w:szCs w:val="21"/>
              </w:rPr>
            </w:pPr>
            <w:r>
              <w:t>15,343.39</w:t>
            </w:r>
          </w:p>
        </w:tc>
      </w:tr>
      <w:tr w:rsidR="00E57DAA" w14:paraId="7D4D1E9D" w14:textId="77777777">
        <w:tc>
          <w:tcPr>
            <w:tcW w:w="677" w:type="pct"/>
            <w:tcBorders>
              <w:top w:val="single" w:sz="4" w:space="0" w:color="auto"/>
              <w:left w:val="single" w:sz="4" w:space="0" w:color="auto"/>
              <w:bottom w:val="single" w:sz="4" w:space="0" w:color="auto"/>
              <w:right w:val="single" w:sz="4" w:space="0" w:color="auto"/>
            </w:tcBorders>
            <w:vAlign w:val="center"/>
          </w:tcPr>
          <w:p w14:paraId="287F6FE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F49928" w14:textId="77777777" w:rsidR="00E57DAA" w:rsidRDefault="00AC4185">
            <w:pPr>
              <w:autoSpaceDE w:val="0"/>
              <w:autoSpaceDN w:val="0"/>
              <w:adjustRightInd w:val="0"/>
              <w:rPr>
                <w:szCs w:val="21"/>
              </w:rPr>
            </w:pPr>
            <w:r>
              <w:t>江西新余南方建材有限公司</w:t>
            </w:r>
          </w:p>
        </w:tc>
        <w:tc>
          <w:tcPr>
            <w:tcW w:w="633" w:type="pct"/>
            <w:tcBorders>
              <w:top w:val="single" w:sz="4" w:space="0" w:color="auto"/>
              <w:left w:val="single" w:sz="4" w:space="0" w:color="auto"/>
              <w:bottom w:val="single" w:sz="4" w:space="0" w:color="auto"/>
              <w:right w:val="single" w:sz="4" w:space="0" w:color="auto"/>
            </w:tcBorders>
          </w:tcPr>
          <w:p w14:paraId="31A45BC3" w14:textId="77777777" w:rsidR="00E57DAA" w:rsidRDefault="00AC4185">
            <w:pPr>
              <w:autoSpaceDE w:val="0"/>
              <w:autoSpaceDN w:val="0"/>
              <w:adjustRightInd w:val="0"/>
              <w:jc w:val="right"/>
              <w:rPr>
                <w:szCs w:val="21"/>
              </w:rPr>
            </w:pPr>
            <w:r>
              <w:t>18,750.00</w:t>
            </w:r>
          </w:p>
        </w:tc>
        <w:tc>
          <w:tcPr>
            <w:tcW w:w="632" w:type="pct"/>
            <w:tcBorders>
              <w:top w:val="single" w:sz="4" w:space="0" w:color="auto"/>
              <w:left w:val="single" w:sz="4" w:space="0" w:color="auto"/>
              <w:bottom w:val="single" w:sz="4" w:space="0" w:color="auto"/>
              <w:right w:val="single" w:sz="4" w:space="0" w:color="auto"/>
            </w:tcBorders>
          </w:tcPr>
          <w:p w14:paraId="09612594" w14:textId="77777777" w:rsidR="00E57DAA" w:rsidRDefault="00AC4185">
            <w:pPr>
              <w:autoSpaceDE w:val="0"/>
              <w:autoSpaceDN w:val="0"/>
              <w:adjustRightInd w:val="0"/>
              <w:jc w:val="right"/>
              <w:rPr>
                <w:szCs w:val="21"/>
              </w:rPr>
            </w:pPr>
            <w:r>
              <w:t>937.5</w:t>
            </w:r>
          </w:p>
        </w:tc>
        <w:tc>
          <w:tcPr>
            <w:tcW w:w="703" w:type="pct"/>
            <w:tcBorders>
              <w:top w:val="single" w:sz="4" w:space="0" w:color="auto"/>
              <w:left w:val="single" w:sz="4" w:space="0" w:color="auto"/>
              <w:bottom w:val="single" w:sz="4" w:space="0" w:color="auto"/>
              <w:right w:val="single" w:sz="4" w:space="0" w:color="auto"/>
            </w:tcBorders>
          </w:tcPr>
          <w:p w14:paraId="6EEB5B28" w14:textId="77777777" w:rsidR="00E57DAA" w:rsidRDefault="00AC4185">
            <w:pPr>
              <w:autoSpaceDE w:val="0"/>
              <w:autoSpaceDN w:val="0"/>
              <w:adjustRightInd w:val="0"/>
              <w:jc w:val="right"/>
              <w:rPr>
                <w:szCs w:val="21"/>
              </w:rPr>
            </w:pPr>
            <w:r>
              <w:t>31,500.00</w:t>
            </w:r>
          </w:p>
        </w:tc>
        <w:tc>
          <w:tcPr>
            <w:tcW w:w="914" w:type="pct"/>
            <w:tcBorders>
              <w:top w:val="single" w:sz="4" w:space="0" w:color="auto"/>
              <w:left w:val="single" w:sz="4" w:space="0" w:color="auto"/>
              <w:bottom w:val="single" w:sz="4" w:space="0" w:color="auto"/>
              <w:right w:val="single" w:sz="4" w:space="0" w:color="auto"/>
            </w:tcBorders>
          </w:tcPr>
          <w:p w14:paraId="5614F6CE" w14:textId="77777777" w:rsidR="00E57DAA" w:rsidRDefault="00AC4185">
            <w:pPr>
              <w:autoSpaceDE w:val="0"/>
              <w:autoSpaceDN w:val="0"/>
              <w:adjustRightInd w:val="0"/>
              <w:jc w:val="right"/>
              <w:rPr>
                <w:szCs w:val="21"/>
              </w:rPr>
            </w:pPr>
            <w:r>
              <w:t>1,575.00</w:t>
            </w:r>
          </w:p>
        </w:tc>
      </w:tr>
      <w:tr w:rsidR="00E57DAA" w14:paraId="0B400673" w14:textId="77777777">
        <w:tc>
          <w:tcPr>
            <w:tcW w:w="677" w:type="pct"/>
            <w:tcBorders>
              <w:top w:val="single" w:sz="4" w:space="0" w:color="auto"/>
              <w:left w:val="single" w:sz="4" w:space="0" w:color="auto"/>
              <w:bottom w:val="single" w:sz="4" w:space="0" w:color="auto"/>
              <w:right w:val="single" w:sz="4" w:space="0" w:color="auto"/>
            </w:tcBorders>
            <w:vAlign w:val="center"/>
          </w:tcPr>
          <w:p w14:paraId="129C6ED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653EC1E" w14:textId="77777777" w:rsidR="00E57DAA" w:rsidRDefault="00AC4185">
            <w:pPr>
              <w:autoSpaceDE w:val="0"/>
              <w:autoSpaceDN w:val="0"/>
              <w:adjustRightInd w:val="0"/>
              <w:rPr>
                <w:szCs w:val="21"/>
              </w:rPr>
            </w:pPr>
            <w:r>
              <w:t>中建材海外经济合作有限公司</w:t>
            </w:r>
          </w:p>
        </w:tc>
        <w:tc>
          <w:tcPr>
            <w:tcW w:w="633" w:type="pct"/>
            <w:tcBorders>
              <w:top w:val="single" w:sz="4" w:space="0" w:color="auto"/>
              <w:left w:val="single" w:sz="4" w:space="0" w:color="auto"/>
              <w:bottom w:val="single" w:sz="4" w:space="0" w:color="auto"/>
              <w:right w:val="single" w:sz="4" w:space="0" w:color="auto"/>
            </w:tcBorders>
          </w:tcPr>
          <w:p w14:paraId="2C960A79" w14:textId="77777777" w:rsidR="00E57DAA" w:rsidRDefault="00AC4185">
            <w:pPr>
              <w:autoSpaceDE w:val="0"/>
              <w:autoSpaceDN w:val="0"/>
              <w:adjustRightInd w:val="0"/>
              <w:jc w:val="right"/>
              <w:rPr>
                <w:szCs w:val="21"/>
              </w:rPr>
            </w:pPr>
            <w:r>
              <w:t>18,247.50</w:t>
            </w:r>
          </w:p>
        </w:tc>
        <w:tc>
          <w:tcPr>
            <w:tcW w:w="632" w:type="pct"/>
            <w:tcBorders>
              <w:top w:val="single" w:sz="4" w:space="0" w:color="auto"/>
              <w:left w:val="single" w:sz="4" w:space="0" w:color="auto"/>
              <w:bottom w:val="single" w:sz="4" w:space="0" w:color="auto"/>
              <w:right w:val="single" w:sz="4" w:space="0" w:color="auto"/>
            </w:tcBorders>
          </w:tcPr>
          <w:p w14:paraId="131C9A0D" w14:textId="77777777" w:rsidR="00E57DAA" w:rsidRDefault="00AC4185">
            <w:pPr>
              <w:autoSpaceDE w:val="0"/>
              <w:autoSpaceDN w:val="0"/>
              <w:adjustRightInd w:val="0"/>
              <w:jc w:val="right"/>
              <w:rPr>
                <w:szCs w:val="21"/>
              </w:rPr>
            </w:pPr>
            <w:r>
              <w:t>1,202.51</w:t>
            </w:r>
          </w:p>
        </w:tc>
        <w:tc>
          <w:tcPr>
            <w:tcW w:w="703" w:type="pct"/>
            <w:tcBorders>
              <w:top w:val="single" w:sz="4" w:space="0" w:color="auto"/>
              <w:left w:val="single" w:sz="4" w:space="0" w:color="auto"/>
              <w:bottom w:val="single" w:sz="4" w:space="0" w:color="auto"/>
              <w:right w:val="single" w:sz="4" w:space="0" w:color="auto"/>
            </w:tcBorders>
          </w:tcPr>
          <w:p w14:paraId="4B4EB33F" w14:textId="77777777" w:rsidR="00E57DAA" w:rsidRDefault="00AC4185">
            <w:pPr>
              <w:autoSpaceDE w:val="0"/>
              <w:autoSpaceDN w:val="0"/>
              <w:adjustRightInd w:val="0"/>
              <w:jc w:val="right"/>
              <w:rPr>
                <w:szCs w:val="21"/>
              </w:rPr>
            </w:pPr>
            <w:r>
              <w:t>18,247.50</w:t>
            </w:r>
          </w:p>
        </w:tc>
        <w:tc>
          <w:tcPr>
            <w:tcW w:w="914" w:type="pct"/>
            <w:tcBorders>
              <w:top w:val="single" w:sz="4" w:space="0" w:color="auto"/>
              <w:left w:val="single" w:sz="4" w:space="0" w:color="auto"/>
              <w:bottom w:val="single" w:sz="4" w:space="0" w:color="auto"/>
              <w:right w:val="single" w:sz="4" w:space="0" w:color="auto"/>
            </w:tcBorders>
          </w:tcPr>
          <w:p w14:paraId="253F5F84" w14:textId="77777777" w:rsidR="00E57DAA" w:rsidRDefault="00AC4185">
            <w:pPr>
              <w:autoSpaceDE w:val="0"/>
              <w:autoSpaceDN w:val="0"/>
              <w:adjustRightInd w:val="0"/>
              <w:jc w:val="right"/>
              <w:rPr>
                <w:szCs w:val="21"/>
              </w:rPr>
            </w:pPr>
            <w:r>
              <w:t>432.47</w:t>
            </w:r>
          </w:p>
        </w:tc>
      </w:tr>
      <w:tr w:rsidR="00E57DAA" w14:paraId="3D8D9568" w14:textId="77777777">
        <w:tc>
          <w:tcPr>
            <w:tcW w:w="677" w:type="pct"/>
            <w:tcBorders>
              <w:top w:val="single" w:sz="4" w:space="0" w:color="auto"/>
              <w:left w:val="single" w:sz="4" w:space="0" w:color="auto"/>
              <w:bottom w:val="single" w:sz="4" w:space="0" w:color="auto"/>
              <w:right w:val="single" w:sz="4" w:space="0" w:color="auto"/>
            </w:tcBorders>
            <w:vAlign w:val="center"/>
          </w:tcPr>
          <w:p w14:paraId="324425C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B6AC98A" w14:textId="77777777" w:rsidR="00E57DAA" w:rsidRDefault="00AC4185">
            <w:pPr>
              <w:autoSpaceDE w:val="0"/>
              <w:autoSpaceDN w:val="0"/>
              <w:adjustRightInd w:val="0"/>
              <w:rPr>
                <w:szCs w:val="21"/>
              </w:rPr>
            </w:pPr>
            <w:r>
              <w:t>济宁中联混凝土有限公司</w:t>
            </w:r>
          </w:p>
        </w:tc>
        <w:tc>
          <w:tcPr>
            <w:tcW w:w="633" w:type="pct"/>
            <w:tcBorders>
              <w:top w:val="single" w:sz="4" w:space="0" w:color="auto"/>
              <w:left w:val="single" w:sz="4" w:space="0" w:color="auto"/>
              <w:bottom w:val="single" w:sz="4" w:space="0" w:color="auto"/>
              <w:right w:val="single" w:sz="4" w:space="0" w:color="auto"/>
            </w:tcBorders>
          </w:tcPr>
          <w:p w14:paraId="4AC2A972" w14:textId="77777777" w:rsidR="00E57DAA" w:rsidRDefault="00AC4185">
            <w:pPr>
              <w:autoSpaceDE w:val="0"/>
              <w:autoSpaceDN w:val="0"/>
              <w:adjustRightInd w:val="0"/>
              <w:jc w:val="right"/>
              <w:rPr>
                <w:szCs w:val="21"/>
              </w:rPr>
            </w:pPr>
            <w:r>
              <w:t>18,004.00</w:t>
            </w:r>
          </w:p>
        </w:tc>
        <w:tc>
          <w:tcPr>
            <w:tcW w:w="632" w:type="pct"/>
            <w:tcBorders>
              <w:top w:val="single" w:sz="4" w:space="0" w:color="auto"/>
              <w:left w:val="single" w:sz="4" w:space="0" w:color="auto"/>
              <w:bottom w:val="single" w:sz="4" w:space="0" w:color="auto"/>
              <w:right w:val="single" w:sz="4" w:space="0" w:color="auto"/>
            </w:tcBorders>
          </w:tcPr>
          <w:p w14:paraId="28EB4D10" w14:textId="77777777" w:rsidR="00E57DAA" w:rsidRDefault="00AC4185">
            <w:pPr>
              <w:autoSpaceDE w:val="0"/>
              <w:autoSpaceDN w:val="0"/>
              <w:adjustRightInd w:val="0"/>
              <w:jc w:val="right"/>
              <w:rPr>
                <w:szCs w:val="21"/>
              </w:rPr>
            </w:pPr>
            <w:r>
              <w:t>426.69</w:t>
            </w:r>
          </w:p>
        </w:tc>
        <w:tc>
          <w:tcPr>
            <w:tcW w:w="703" w:type="pct"/>
            <w:tcBorders>
              <w:top w:val="single" w:sz="4" w:space="0" w:color="auto"/>
              <w:left w:val="single" w:sz="4" w:space="0" w:color="auto"/>
              <w:bottom w:val="single" w:sz="4" w:space="0" w:color="auto"/>
              <w:right w:val="single" w:sz="4" w:space="0" w:color="auto"/>
            </w:tcBorders>
          </w:tcPr>
          <w:p w14:paraId="65F81FB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AE4FB67" w14:textId="77777777" w:rsidR="00E57DAA" w:rsidRDefault="00AC4185">
            <w:pPr>
              <w:autoSpaceDE w:val="0"/>
              <w:autoSpaceDN w:val="0"/>
              <w:adjustRightInd w:val="0"/>
              <w:jc w:val="right"/>
              <w:rPr>
                <w:szCs w:val="21"/>
              </w:rPr>
            </w:pPr>
            <w:r>
              <w:t xml:space="preserve">　</w:t>
            </w:r>
          </w:p>
        </w:tc>
      </w:tr>
      <w:tr w:rsidR="00E57DAA" w14:paraId="5DBADAA5" w14:textId="77777777">
        <w:tc>
          <w:tcPr>
            <w:tcW w:w="677" w:type="pct"/>
            <w:tcBorders>
              <w:top w:val="single" w:sz="4" w:space="0" w:color="auto"/>
              <w:left w:val="single" w:sz="4" w:space="0" w:color="auto"/>
              <w:bottom w:val="single" w:sz="4" w:space="0" w:color="auto"/>
              <w:right w:val="single" w:sz="4" w:space="0" w:color="auto"/>
            </w:tcBorders>
            <w:vAlign w:val="center"/>
          </w:tcPr>
          <w:p w14:paraId="7BA97B5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FED9A2A" w14:textId="77777777" w:rsidR="00E57DAA" w:rsidRDefault="00AC4185">
            <w:pPr>
              <w:autoSpaceDE w:val="0"/>
              <w:autoSpaceDN w:val="0"/>
              <w:adjustRightInd w:val="0"/>
              <w:rPr>
                <w:szCs w:val="21"/>
              </w:rPr>
            </w:pPr>
            <w:r>
              <w:t>鸡西市城海水泥有限责任公司</w:t>
            </w:r>
          </w:p>
        </w:tc>
        <w:tc>
          <w:tcPr>
            <w:tcW w:w="633" w:type="pct"/>
            <w:tcBorders>
              <w:top w:val="single" w:sz="4" w:space="0" w:color="auto"/>
              <w:left w:val="single" w:sz="4" w:space="0" w:color="auto"/>
              <w:bottom w:val="single" w:sz="4" w:space="0" w:color="auto"/>
              <w:right w:val="single" w:sz="4" w:space="0" w:color="auto"/>
            </w:tcBorders>
          </w:tcPr>
          <w:p w14:paraId="494003EA" w14:textId="77777777" w:rsidR="00E57DAA" w:rsidRDefault="00AC4185">
            <w:pPr>
              <w:autoSpaceDE w:val="0"/>
              <w:autoSpaceDN w:val="0"/>
              <w:adjustRightInd w:val="0"/>
              <w:jc w:val="right"/>
              <w:rPr>
                <w:szCs w:val="21"/>
              </w:rPr>
            </w:pPr>
            <w:r>
              <w:t>18,000.00</w:t>
            </w:r>
          </w:p>
        </w:tc>
        <w:tc>
          <w:tcPr>
            <w:tcW w:w="632" w:type="pct"/>
            <w:tcBorders>
              <w:top w:val="single" w:sz="4" w:space="0" w:color="auto"/>
              <w:left w:val="single" w:sz="4" w:space="0" w:color="auto"/>
              <w:bottom w:val="single" w:sz="4" w:space="0" w:color="auto"/>
              <w:right w:val="single" w:sz="4" w:space="0" w:color="auto"/>
            </w:tcBorders>
          </w:tcPr>
          <w:p w14:paraId="37E30CDD" w14:textId="77777777" w:rsidR="00E57DAA" w:rsidRDefault="00AC4185">
            <w:pPr>
              <w:autoSpaceDE w:val="0"/>
              <w:autoSpaceDN w:val="0"/>
              <w:adjustRightInd w:val="0"/>
              <w:jc w:val="right"/>
              <w:rPr>
                <w:szCs w:val="21"/>
              </w:rPr>
            </w:pPr>
            <w:r>
              <w:t>151.2</w:t>
            </w:r>
          </w:p>
        </w:tc>
        <w:tc>
          <w:tcPr>
            <w:tcW w:w="703" w:type="pct"/>
            <w:tcBorders>
              <w:top w:val="single" w:sz="4" w:space="0" w:color="auto"/>
              <w:left w:val="single" w:sz="4" w:space="0" w:color="auto"/>
              <w:bottom w:val="single" w:sz="4" w:space="0" w:color="auto"/>
              <w:right w:val="single" w:sz="4" w:space="0" w:color="auto"/>
            </w:tcBorders>
          </w:tcPr>
          <w:p w14:paraId="1C71407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FC4032E" w14:textId="77777777" w:rsidR="00E57DAA" w:rsidRDefault="00AC4185">
            <w:pPr>
              <w:autoSpaceDE w:val="0"/>
              <w:autoSpaceDN w:val="0"/>
              <w:adjustRightInd w:val="0"/>
              <w:jc w:val="right"/>
              <w:rPr>
                <w:szCs w:val="21"/>
              </w:rPr>
            </w:pPr>
            <w:r>
              <w:t xml:space="preserve">　</w:t>
            </w:r>
          </w:p>
        </w:tc>
      </w:tr>
      <w:tr w:rsidR="00E57DAA" w14:paraId="7DD423BD" w14:textId="77777777">
        <w:tc>
          <w:tcPr>
            <w:tcW w:w="677" w:type="pct"/>
            <w:tcBorders>
              <w:top w:val="single" w:sz="4" w:space="0" w:color="auto"/>
              <w:left w:val="single" w:sz="4" w:space="0" w:color="auto"/>
              <w:bottom w:val="single" w:sz="4" w:space="0" w:color="auto"/>
              <w:right w:val="single" w:sz="4" w:space="0" w:color="auto"/>
            </w:tcBorders>
            <w:vAlign w:val="center"/>
          </w:tcPr>
          <w:p w14:paraId="6462CB1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D167225" w14:textId="77777777" w:rsidR="00E57DAA" w:rsidRDefault="00AC4185">
            <w:pPr>
              <w:autoSpaceDE w:val="0"/>
              <w:autoSpaceDN w:val="0"/>
              <w:adjustRightInd w:val="0"/>
              <w:rPr>
                <w:szCs w:val="21"/>
              </w:rPr>
            </w:pPr>
            <w:r>
              <w:t>梁山中联混凝土有限公司</w:t>
            </w:r>
          </w:p>
        </w:tc>
        <w:tc>
          <w:tcPr>
            <w:tcW w:w="633" w:type="pct"/>
            <w:tcBorders>
              <w:top w:val="single" w:sz="4" w:space="0" w:color="auto"/>
              <w:left w:val="single" w:sz="4" w:space="0" w:color="auto"/>
              <w:bottom w:val="single" w:sz="4" w:space="0" w:color="auto"/>
              <w:right w:val="single" w:sz="4" w:space="0" w:color="auto"/>
            </w:tcBorders>
          </w:tcPr>
          <w:p w14:paraId="2125DD25" w14:textId="77777777" w:rsidR="00E57DAA" w:rsidRDefault="00AC4185">
            <w:pPr>
              <w:autoSpaceDE w:val="0"/>
              <w:autoSpaceDN w:val="0"/>
              <w:adjustRightInd w:val="0"/>
              <w:jc w:val="right"/>
              <w:rPr>
                <w:szCs w:val="21"/>
              </w:rPr>
            </w:pPr>
            <w:r>
              <w:t>16,278.00</w:t>
            </w:r>
          </w:p>
        </w:tc>
        <w:tc>
          <w:tcPr>
            <w:tcW w:w="632" w:type="pct"/>
            <w:tcBorders>
              <w:top w:val="single" w:sz="4" w:space="0" w:color="auto"/>
              <w:left w:val="single" w:sz="4" w:space="0" w:color="auto"/>
              <w:bottom w:val="single" w:sz="4" w:space="0" w:color="auto"/>
              <w:right w:val="single" w:sz="4" w:space="0" w:color="auto"/>
            </w:tcBorders>
          </w:tcPr>
          <w:p w14:paraId="44A196E7" w14:textId="77777777" w:rsidR="00E57DAA" w:rsidRDefault="00AC4185">
            <w:pPr>
              <w:autoSpaceDE w:val="0"/>
              <w:autoSpaceDN w:val="0"/>
              <w:adjustRightInd w:val="0"/>
              <w:jc w:val="right"/>
              <w:rPr>
                <w:szCs w:val="21"/>
              </w:rPr>
            </w:pPr>
            <w:r>
              <w:t>385.79</w:t>
            </w:r>
          </w:p>
        </w:tc>
        <w:tc>
          <w:tcPr>
            <w:tcW w:w="703" w:type="pct"/>
            <w:tcBorders>
              <w:top w:val="single" w:sz="4" w:space="0" w:color="auto"/>
              <w:left w:val="single" w:sz="4" w:space="0" w:color="auto"/>
              <w:bottom w:val="single" w:sz="4" w:space="0" w:color="auto"/>
              <w:right w:val="single" w:sz="4" w:space="0" w:color="auto"/>
            </w:tcBorders>
          </w:tcPr>
          <w:p w14:paraId="0626FA2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0587D85" w14:textId="77777777" w:rsidR="00E57DAA" w:rsidRDefault="00AC4185">
            <w:pPr>
              <w:autoSpaceDE w:val="0"/>
              <w:autoSpaceDN w:val="0"/>
              <w:adjustRightInd w:val="0"/>
              <w:jc w:val="right"/>
              <w:rPr>
                <w:szCs w:val="21"/>
              </w:rPr>
            </w:pPr>
            <w:r>
              <w:t xml:space="preserve">　</w:t>
            </w:r>
          </w:p>
        </w:tc>
      </w:tr>
      <w:tr w:rsidR="00E57DAA" w14:paraId="6FF3E75B" w14:textId="77777777">
        <w:tc>
          <w:tcPr>
            <w:tcW w:w="677" w:type="pct"/>
            <w:tcBorders>
              <w:top w:val="single" w:sz="4" w:space="0" w:color="auto"/>
              <w:left w:val="single" w:sz="4" w:space="0" w:color="auto"/>
              <w:bottom w:val="single" w:sz="4" w:space="0" w:color="auto"/>
              <w:right w:val="single" w:sz="4" w:space="0" w:color="auto"/>
            </w:tcBorders>
            <w:vAlign w:val="center"/>
          </w:tcPr>
          <w:p w14:paraId="4E6C145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355A2EE" w14:textId="77777777" w:rsidR="00E57DAA" w:rsidRDefault="00AC4185">
            <w:pPr>
              <w:autoSpaceDE w:val="0"/>
              <w:autoSpaceDN w:val="0"/>
              <w:adjustRightInd w:val="0"/>
              <w:rPr>
                <w:szCs w:val="21"/>
              </w:rPr>
            </w:pPr>
            <w:r>
              <w:t>苏州天山水泥有限公司</w:t>
            </w:r>
          </w:p>
        </w:tc>
        <w:tc>
          <w:tcPr>
            <w:tcW w:w="633" w:type="pct"/>
            <w:tcBorders>
              <w:top w:val="single" w:sz="4" w:space="0" w:color="auto"/>
              <w:left w:val="single" w:sz="4" w:space="0" w:color="auto"/>
              <w:bottom w:val="single" w:sz="4" w:space="0" w:color="auto"/>
              <w:right w:val="single" w:sz="4" w:space="0" w:color="auto"/>
            </w:tcBorders>
          </w:tcPr>
          <w:p w14:paraId="27583CF5" w14:textId="77777777" w:rsidR="00E57DAA" w:rsidRDefault="00AC4185">
            <w:pPr>
              <w:autoSpaceDE w:val="0"/>
              <w:autoSpaceDN w:val="0"/>
              <w:adjustRightInd w:val="0"/>
              <w:jc w:val="right"/>
              <w:rPr>
                <w:szCs w:val="21"/>
              </w:rPr>
            </w:pPr>
            <w:r>
              <w:t>10,876.00</w:t>
            </w:r>
          </w:p>
        </w:tc>
        <w:tc>
          <w:tcPr>
            <w:tcW w:w="632" w:type="pct"/>
            <w:tcBorders>
              <w:top w:val="single" w:sz="4" w:space="0" w:color="auto"/>
              <w:left w:val="single" w:sz="4" w:space="0" w:color="auto"/>
              <w:bottom w:val="single" w:sz="4" w:space="0" w:color="auto"/>
              <w:right w:val="single" w:sz="4" w:space="0" w:color="auto"/>
            </w:tcBorders>
          </w:tcPr>
          <w:p w14:paraId="7F275B31" w14:textId="77777777" w:rsidR="00E57DAA" w:rsidRDefault="00AC4185">
            <w:pPr>
              <w:autoSpaceDE w:val="0"/>
              <w:autoSpaceDN w:val="0"/>
              <w:adjustRightInd w:val="0"/>
              <w:jc w:val="right"/>
              <w:rPr>
                <w:szCs w:val="21"/>
              </w:rPr>
            </w:pPr>
            <w:r>
              <w:t>257.76</w:t>
            </w:r>
          </w:p>
        </w:tc>
        <w:tc>
          <w:tcPr>
            <w:tcW w:w="703" w:type="pct"/>
            <w:tcBorders>
              <w:top w:val="single" w:sz="4" w:space="0" w:color="auto"/>
              <w:left w:val="single" w:sz="4" w:space="0" w:color="auto"/>
              <w:bottom w:val="single" w:sz="4" w:space="0" w:color="auto"/>
              <w:right w:val="single" w:sz="4" w:space="0" w:color="auto"/>
            </w:tcBorders>
          </w:tcPr>
          <w:p w14:paraId="23E25EFD" w14:textId="77777777" w:rsidR="00E57DAA" w:rsidRDefault="00AC4185">
            <w:pPr>
              <w:autoSpaceDE w:val="0"/>
              <w:autoSpaceDN w:val="0"/>
              <w:adjustRightInd w:val="0"/>
              <w:jc w:val="right"/>
              <w:rPr>
                <w:szCs w:val="21"/>
              </w:rPr>
            </w:pPr>
            <w:r>
              <w:t>102,596.00</w:t>
            </w:r>
          </w:p>
        </w:tc>
        <w:tc>
          <w:tcPr>
            <w:tcW w:w="914" w:type="pct"/>
            <w:tcBorders>
              <w:top w:val="single" w:sz="4" w:space="0" w:color="auto"/>
              <w:left w:val="single" w:sz="4" w:space="0" w:color="auto"/>
              <w:bottom w:val="single" w:sz="4" w:space="0" w:color="auto"/>
              <w:right w:val="single" w:sz="4" w:space="0" w:color="auto"/>
            </w:tcBorders>
          </w:tcPr>
          <w:p w14:paraId="3E62D0E0" w14:textId="77777777" w:rsidR="00E57DAA" w:rsidRDefault="00AC4185">
            <w:pPr>
              <w:autoSpaceDE w:val="0"/>
              <w:autoSpaceDN w:val="0"/>
              <w:adjustRightInd w:val="0"/>
              <w:jc w:val="right"/>
              <w:rPr>
                <w:szCs w:val="21"/>
              </w:rPr>
            </w:pPr>
            <w:r>
              <w:t>2,431.53</w:t>
            </w:r>
          </w:p>
        </w:tc>
      </w:tr>
      <w:tr w:rsidR="00E57DAA" w14:paraId="59C9BB71" w14:textId="77777777">
        <w:tc>
          <w:tcPr>
            <w:tcW w:w="677" w:type="pct"/>
            <w:tcBorders>
              <w:top w:val="single" w:sz="4" w:space="0" w:color="auto"/>
              <w:left w:val="single" w:sz="4" w:space="0" w:color="auto"/>
              <w:bottom w:val="single" w:sz="4" w:space="0" w:color="auto"/>
              <w:right w:val="single" w:sz="4" w:space="0" w:color="auto"/>
            </w:tcBorders>
            <w:vAlign w:val="center"/>
          </w:tcPr>
          <w:p w14:paraId="7AFF80E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701C91C" w14:textId="77777777" w:rsidR="00E57DAA" w:rsidRDefault="00AC4185">
            <w:pPr>
              <w:autoSpaceDE w:val="0"/>
              <w:autoSpaceDN w:val="0"/>
              <w:adjustRightInd w:val="0"/>
              <w:rPr>
                <w:szCs w:val="21"/>
              </w:rPr>
            </w:pPr>
            <w:r>
              <w:t>青岛中联混凝土工程有限公司</w:t>
            </w:r>
          </w:p>
        </w:tc>
        <w:tc>
          <w:tcPr>
            <w:tcW w:w="633" w:type="pct"/>
            <w:tcBorders>
              <w:top w:val="single" w:sz="4" w:space="0" w:color="auto"/>
              <w:left w:val="single" w:sz="4" w:space="0" w:color="auto"/>
              <w:bottom w:val="single" w:sz="4" w:space="0" w:color="auto"/>
              <w:right w:val="single" w:sz="4" w:space="0" w:color="auto"/>
            </w:tcBorders>
          </w:tcPr>
          <w:p w14:paraId="5A8CF5E3" w14:textId="77777777" w:rsidR="00E57DAA" w:rsidRDefault="00AC4185">
            <w:pPr>
              <w:autoSpaceDE w:val="0"/>
              <w:autoSpaceDN w:val="0"/>
              <w:adjustRightInd w:val="0"/>
              <w:jc w:val="right"/>
              <w:rPr>
                <w:szCs w:val="21"/>
              </w:rPr>
            </w:pPr>
            <w:r>
              <w:t>8,863.00</w:t>
            </w:r>
          </w:p>
        </w:tc>
        <w:tc>
          <w:tcPr>
            <w:tcW w:w="632" w:type="pct"/>
            <w:tcBorders>
              <w:top w:val="single" w:sz="4" w:space="0" w:color="auto"/>
              <w:left w:val="single" w:sz="4" w:space="0" w:color="auto"/>
              <w:bottom w:val="single" w:sz="4" w:space="0" w:color="auto"/>
              <w:right w:val="single" w:sz="4" w:space="0" w:color="auto"/>
            </w:tcBorders>
          </w:tcPr>
          <w:p w14:paraId="6CC1E093" w14:textId="77777777" w:rsidR="00E57DAA" w:rsidRDefault="00AC4185">
            <w:pPr>
              <w:autoSpaceDE w:val="0"/>
              <w:autoSpaceDN w:val="0"/>
              <w:adjustRightInd w:val="0"/>
              <w:jc w:val="right"/>
              <w:rPr>
                <w:szCs w:val="21"/>
              </w:rPr>
            </w:pPr>
            <w:r>
              <w:t>210.05</w:t>
            </w:r>
          </w:p>
        </w:tc>
        <w:tc>
          <w:tcPr>
            <w:tcW w:w="703" w:type="pct"/>
            <w:tcBorders>
              <w:top w:val="single" w:sz="4" w:space="0" w:color="auto"/>
              <w:left w:val="single" w:sz="4" w:space="0" w:color="auto"/>
              <w:bottom w:val="single" w:sz="4" w:space="0" w:color="auto"/>
              <w:right w:val="single" w:sz="4" w:space="0" w:color="auto"/>
            </w:tcBorders>
          </w:tcPr>
          <w:p w14:paraId="64D162C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FC87F55" w14:textId="77777777" w:rsidR="00E57DAA" w:rsidRDefault="00AC4185">
            <w:pPr>
              <w:autoSpaceDE w:val="0"/>
              <w:autoSpaceDN w:val="0"/>
              <w:adjustRightInd w:val="0"/>
              <w:jc w:val="right"/>
              <w:rPr>
                <w:szCs w:val="21"/>
              </w:rPr>
            </w:pPr>
            <w:r>
              <w:t xml:space="preserve">　</w:t>
            </w:r>
          </w:p>
        </w:tc>
      </w:tr>
      <w:tr w:rsidR="00E57DAA" w14:paraId="0A34D1BD" w14:textId="77777777">
        <w:tc>
          <w:tcPr>
            <w:tcW w:w="677" w:type="pct"/>
            <w:tcBorders>
              <w:top w:val="single" w:sz="4" w:space="0" w:color="auto"/>
              <w:left w:val="single" w:sz="4" w:space="0" w:color="auto"/>
              <w:bottom w:val="single" w:sz="4" w:space="0" w:color="auto"/>
              <w:right w:val="single" w:sz="4" w:space="0" w:color="auto"/>
            </w:tcBorders>
            <w:vAlign w:val="center"/>
          </w:tcPr>
          <w:p w14:paraId="2B28B68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3EFB9D4" w14:textId="77777777" w:rsidR="00E57DAA" w:rsidRDefault="00AC4185">
            <w:pPr>
              <w:autoSpaceDE w:val="0"/>
              <w:autoSpaceDN w:val="0"/>
              <w:adjustRightInd w:val="0"/>
              <w:rPr>
                <w:szCs w:val="21"/>
              </w:rPr>
            </w:pPr>
            <w:r>
              <w:t>四川崇州西南水泥有限公司</w:t>
            </w:r>
          </w:p>
        </w:tc>
        <w:tc>
          <w:tcPr>
            <w:tcW w:w="633" w:type="pct"/>
            <w:tcBorders>
              <w:top w:val="single" w:sz="4" w:space="0" w:color="auto"/>
              <w:left w:val="single" w:sz="4" w:space="0" w:color="auto"/>
              <w:bottom w:val="single" w:sz="4" w:space="0" w:color="auto"/>
              <w:right w:val="single" w:sz="4" w:space="0" w:color="auto"/>
            </w:tcBorders>
          </w:tcPr>
          <w:p w14:paraId="2EB8D0DC" w14:textId="77777777" w:rsidR="00E57DAA" w:rsidRDefault="00AC4185">
            <w:pPr>
              <w:autoSpaceDE w:val="0"/>
              <w:autoSpaceDN w:val="0"/>
              <w:adjustRightInd w:val="0"/>
              <w:jc w:val="right"/>
              <w:rPr>
                <w:szCs w:val="21"/>
              </w:rPr>
            </w:pPr>
            <w:r>
              <w:t>8,251.85</w:t>
            </w:r>
          </w:p>
        </w:tc>
        <w:tc>
          <w:tcPr>
            <w:tcW w:w="632" w:type="pct"/>
            <w:tcBorders>
              <w:top w:val="single" w:sz="4" w:space="0" w:color="auto"/>
              <w:left w:val="single" w:sz="4" w:space="0" w:color="auto"/>
              <w:bottom w:val="single" w:sz="4" w:space="0" w:color="auto"/>
              <w:right w:val="single" w:sz="4" w:space="0" w:color="auto"/>
            </w:tcBorders>
          </w:tcPr>
          <w:p w14:paraId="03314F68" w14:textId="77777777" w:rsidR="00E57DAA" w:rsidRDefault="00AC4185">
            <w:pPr>
              <w:autoSpaceDE w:val="0"/>
              <w:autoSpaceDN w:val="0"/>
              <w:adjustRightInd w:val="0"/>
              <w:jc w:val="right"/>
              <w:rPr>
                <w:szCs w:val="21"/>
              </w:rPr>
            </w:pPr>
            <w:r>
              <w:t>429.1</w:t>
            </w:r>
          </w:p>
        </w:tc>
        <w:tc>
          <w:tcPr>
            <w:tcW w:w="703" w:type="pct"/>
            <w:tcBorders>
              <w:top w:val="single" w:sz="4" w:space="0" w:color="auto"/>
              <w:left w:val="single" w:sz="4" w:space="0" w:color="auto"/>
              <w:bottom w:val="single" w:sz="4" w:space="0" w:color="auto"/>
              <w:right w:val="single" w:sz="4" w:space="0" w:color="auto"/>
            </w:tcBorders>
          </w:tcPr>
          <w:p w14:paraId="15C00733" w14:textId="77777777" w:rsidR="00E57DAA" w:rsidRDefault="00AC4185">
            <w:pPr>
              <w:autoSpaceDE w:val="0"/>
              <w:autoSpaceDN w:val="0"/>
              <w:adjustRightInd w:val="0"/>
              <w:jc w:val="right"/>
              <w:rPr>
                <w:szCs w:val="21"/>
              </w:rPr>
            </w:pPr>
            <w:r>
              <w:t>8,251.85</w:t>
            </w:r>
          </w:p>
        </w:tc>
        <w:tc>
          <w:tcPr>
            <w:tcW w:w="914" w:type="pct"/>
            <w:tcBorders>
              <w:top w:val="single" w:sz="4" w:space="0" w:color="auto"/>
              <w:left w:val="single" w:sz="4" w:space="0" w:color="auto"/>
              <w:bottom w:val="single" w:sz="4" w:space="0" w:color="auto"/>
              <w:right w:val="single" w:sz="4" w:space="0" w:color="auto"/>
            </w:tcBorders>
          </w:tcPr>
          <w:p w14:paraId="02E0EEC6" w14:textId="77777777" w:rsidR="00E57DAA" w:rsidRDefault="00AC4185">
            <w:pPr>
              <w:autoSpaceDE w:val="0"/>
              <w:autoSpaceDN w:val="0"/>
              <w:adjustRightInd w:val="0"/>
              <w:jc w:val="right"/>
              <w:rPr>
                <w:szCs w:val="21"/>
              </w:rPr>
            </w:pPr>
            <w:r>
              <w:t>225.28</w:t>
            </w:r>
          </w:p>
        </w:tc>
      </w:tr>
      <w:tr w:rsidR="00E57DAA" w14:paraId="39C31EBC" w14:textId="77777777">
        <w:tc>
          <w:tcPr>
            <w:tcW w:w="677" w:type="pct"/>
            <w:tcBorders>
              <w:top w:val="single" w:sz="4" w:space="0" w:color="auto"/>
              <w:left w:val="single" w:sz="4" w:space="0" w:color="auto"/>
              <w:bottom w:val="single" w:sz="4" w:space="0" w:color="auto"/>
              <w:right w:val="single" w:sz="4" w:space="0" w:color="auto"/>
            </w:tcBorders>
            <w:vAlign w:val="center"/>
          </w:tcPr>
          <w:p w14:paraId="275EEE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FFBB5E1" w14:textId="77777777" w:rsidR="00E57DAA" w:rsidRDefault="00AC4185">
            <w:pPr>
              <w:autoSpaceDE w:val="0"/>
              <w:autoSpaceDN w:val="0"/>
              <w:adjustRightInd w:val="0"/>
              <w:rPr>
                <w:szCs w:val="21"/>
              </w:rPr>
            </w:pPr>
            <w:r>
              <w:t>淮北南坪中联水泥有限公司</w:t>
            </w:r>
          </w:p>
        </w:tc>
        <w:tc>
          <w:tcPr>
            <w:tcW w:w="633" w:type="pct"/>
            <w:tcBorders>
              <w:top w:val="single" w:sz="4" w:space="0" w:color="auto"/>
              <w:left w:val="single" w:sz="4" w:space="0" w:color="auto"/>
              <w:bottom w:val="single" w:sz="4" w:space="0" w:color="auto"/>
              <w:right w:val="single" w:sz="4" w:space="0" w:color="auto"/>
            </w:tcBorders>
          </w:tcPr>
          <w:p w14:paraId="767D6904" w14:textId="77777777" w:rsidR="00E57DAA" w:rsidRDefault="00AC4185">
            <w:pPr>
              <w:autoSpaceDE w:val="0"/>
              <w:autoSpaceDN w:val="0"/>
              <w:adjustRightInd w:val="0"/>
              <w:jc w:val="right"/>
              <w:rPr>
                <w:szCs w:val="21"/>
              </w:rPr>
            </w:pPr>
            <w:r>
              <w:t>7,160.00</w:t>
            </w:r>
          </w:p>
        </w:tc>
        <w:tc>
          <w:tcPr>
            <w:tcW w:w="632" w:type="pct"/>
            <w:tcBorders>
              <w:top w:val="single" w:sz="4" w:space="0" w:color="auto"/>
              <w:left w:val="single" w:sz="4" w:space="0" w:color="auto"/>
              <w:bottom w:val="single" w:sz="4" w:space="0" w:color="auto"/>
              <w:right w:val="single" w:sz="4" w:space="0" w:color="auto"/>
            </w:tcBorders>
          </w:tcPr>
          <w:p w14:paraId="4432B2D1" w14:textId="77777777" w:rsidR="00E57DAA" w:rsidRDefault="00AC4185">
            <w:pPr>
              <w:autoSpaceDE w:val="0"/>
              <w:autoSpaceDN w:val="0"/>
              <w:adjustRightInd w:val="0"/>
              <w:jc w:val="right"/>
              <w:rPr>
                <w:szCs w:val="21"/>
              </w:rPr>
            </w:pPr>
            <w:r>
              <w:t>297.25</w:t>
            </w:r>
          </w:p>
        </w:tc>
        <w:tc>
          <w:tcPr>
            <w:tcW w:w="703" w:type="pct"/>
            <w:tcBorders>
              <w:top w:val="single" w:sz="4" w:space="0" w:color="auto"/>
              <w:left w:val="single" w:sz="4" w:space="0" w:color="auto"/>
              <w:bottom w:val="single" w:sz="4" w:space="0" w:color="auto"/>
              <w:right w:val="single" w:sz="4" w:space="0" w:color="auto"/>
            </w:tcBorders>
          </w:tcPr>
          <w:p w14:paraId="6802D93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053CBED" w14:textId="77777777" w:rsidR="00E57DAA" w:rsidRDefault="00AC4185">
            <w:pPr>
              <w:autoSpaceDE w:val="0"/>
              <w:autoSpaceDN w:val="0"/>
              <w:adjustRightInd w:val="0"/>
              <w:jc w:val="right"/>
              <w:rPr>
                <w:szCs w:val="21"/>
              </w:rPr>
            </w:pPr>
            <w:r>
              <w:t xml:space="preserve">　</w:t>
            </w:r>
          </w:p>
        </w:tc>
      </w:tr>
      <w:tr w:rsidR="00E57DAA" w14:paraId="3E5D92FD" w14:textId="77777777">
        <w:tc>
          <w:tcPr>
            <w:tcW w:w="677" w:type="pct"/>
            <w:tcBorders>
              <w:top w:val="single" w:sz="4" w:space="0" w:color="auto"/>
              <w:left w:val="single" w:sz="4" w:space="0" w:color="auto"/>
              <w:bottom w:val="single" w:sz="4" w:space="0" w:color="auto"/>
              <w:right w:val="single" w:sz="4" w:space="0" w:color="auto"/>
            </w:tcBorders>
            <w:vAlign w:val="center"/>
          </w:tcPr>
          <w:p w14:paraId="0D7EF1C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A0D62B0" w14:textId="77777777" w:rsidR="00E57DAA" w:rsidRDefault="00AC4185">
            <w:pPr>
              <w:autoSpaceDE w:val="0"/>
              <w:autoSpaceDN w:val="0"/>
              <w:adjustRightInd w:val="0"/>
              <w:rPr>
                <w:szCs w:val="21"/>
              </w:rPr>
            </w:pPr>
            <w:r>
              <w:t>无锡天山水泥有限公司</w:t>
            </w:r>
          </w:p>
        </w:tc>
        <w:tc>
          <w:tcPr>
            <w:tcW w:w="633" w:type="pct"/>
            <w:tcBorders>
              <w:top w:val="single" w:sz="4" w:space="0" w:color="auto"/>
              <w:left w:val="single" w:sz="4" w:space="0" w:color="auto"/>
              <w:bottom w:val="single" w:sz="4" w:space="0" w:color="auto"/>
              <w:right w:val="single" w:sz="4" w:space="0" w:color="auto"/>
            </w:tcBorders>
          </w:tcPr>
          <w:p w14:paraId="4E8FD127" w14:textId="77777777" w:rsidR="00E57DAA" w:rsidRDefault="00AC4185">
            <w:pPr>
              <w:autoSpaceDE w:val="0"/>
              <w:autoSpaceDN w:val="0"/>
              <w:adjustRightInd w:val="0"/>
              <w:jc w:val="right"/>
              <w:rPr>
                <w:szCs w:val="21"/>
              </w:rPr>
            </w:pPr>
            <w:r>
              <w:t>7,140.00</w:t>
            </w:r>
          </w:p>
        </w:tc>
        <w:tc>
          <w:tcPr>
            <w:tcW w:w="632" w:type="pct"/>
            <w:tcBorders>
              <w:top w:val="single" w:sz="4" w:space="0" w:color="auto"/>
              <w:left w:val="single" w:sz="4" w:space="0" w:color="auto"/>
              <w:bottom w:val="single" w:sz="4" w:space="0" w:color="auto"/>
              <w:right w:val="single" w:sz="4" w:space="0" w:color="auto"/>
            </w:tcBorders>
          </w:tcPr>
          <w:p w14:paraId="7E57AF7D" w14:textId="77777777" w:rsidR="00E57DAA" w:rsidRDefault="00AC4185">
            <w:pPr>
              <w:autoSpaceDE w:val="0"/>
              <w:autoSpaceDN w:val="0"/>
              <w:adjustRightInd w:val="0"/>
              <w:jc w:val="right"/>
              <w:rPr>
                <w:szCs w:val="21"/>
              </w:rPr>
            </w:pPr>
            <w:r>
              <w:t>7,140.00</w:t>
            </w:r>
          </w:p>
        </w:tc>
        <w:tc>
          <w:tcPr>
            <w:tcW w:w="703" w:type="pct"/>
            <w:tcBorders>
              <w:top w:val="single" w:sz="4" w:space="0" w:color="auto"/>
              <w:left w:val="single" w:sz="4" w:space="0" w:color="auto"/>
              <w:bottom w:val="single" w:sz="4" w:space="0" w:color="auto"/>
              <w:right w:val="single" w:sz="4" w:space="0" w:color="auto"/>
            </w:tcBorders>
          </w:tcPr>
          <w:p w14:paraId="04F444F3" w14:textId="77777777" w:rsidR="00E57DAA" w:rsidRDefault="00AC4185">
            <w:pPr>
              <w:autoSpaceDE w:val="0"/>
              <w:autoSpaceDN w:val="0"/>
              <w:adjustRightInd w:val="0"/>
              <w:jc w:val="right"/>
              <w:rPr>
                <w:szCs w:val="21"/>
              </w:rPr>
            </w:pPr>
            <w:r>
              <w:t>150,549.60</w:t>
            </w:r>
          </w:p>
        </w:tc>
        <w:tc>
          <w:tcPr>
            <w:tcW w:w="914" w:type="pct"/>
            <w:tcBorders>
              <w:top w:val="single" w:sz="4" w:space="0" w:color="auto"/>
              <w:left w:val="single" w:sz="4" w:space="0" w:color="auto"/>
              <w:bottom w:val="single" w:sz="4" w:space="0" w:color="auto"/>
              <w:right w:val="single" w:sz="4" w:space="0" w:color="auto"/>
            </w:tcBorders>
          </w:tcPr>
          <w:p w14:paraId="2A05DF8B" w14:textId="77777777" w:rsidR="00E57DAA" w:rsidRDefault="00AC4185">
            <w:pPr>
              <w:autoSpaceDE w:val="0"/>
              <w:autoSpaceDN w:val="0"/>
              <w:adjustRightInd w:val="0"/>
              <w:jc w:val="right"/>
              <w:rPr>
                <w:szCs w:val="21"/>
              </w:rPr>
            </w:pPr>
            <w:r>
              <w:t>11,497.13</w:t>
            </w:r>
          </w:p>
        </w:tc>
      </w:tr>
      <w:tr w:rsidR="00E57DAA" w14:paraId="7AA1FADF" w14:textId="77777777">
        <w:tc>
          <w:tcPr>
            <w:tcW w:w="677" w:type="pct"/>
            <w:tcBorders>
              <w:top w:val="single" w:sz="4" w:space="0" w:color="auto"/>
              <w:left w:val="single" w:sz="4" w:space="0" w:color="auto"/>
              <w:bottom w:val="single" w:sz="4" w:space="0" w:color="auto"/>
              <w:right w:val="single" w:sz="4" w:space="0" w:color="auto"/>
            </w:tcBorders>
            <w:vAlign w:val="center"/>
          </w:tcPr>
          <w:p w14:paraId="26DCD64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115C1AF" w14:textId="77777777" w:rsidR="00E57DAA" w:rsidRDefault="00AC4185">
            <w:pPr>
              <w:autoSpaceDE w:val="0"/>
              <w:autoSpaceDN w:val="0"/>
              <w:adjustRightInd w:val="0"/>
              <w:rPr>
                <w:szCs w:val="21"/>
              </w:rPr>
            </w:pPr>
            <w:r>
              <w:t>北新建材（华阴）有限公司</w:t>
            </w:r>
          </w:p>
        </w:tc>
        <w:tc>
          <w:tcPr>
            <w:tcW w:w="633" w:type="pct"/>
            <w:tcBorders>
              <w:top w:val="single" w:sz="4" w:space="0" w:color="auto"/>
              <w:left w:val="single" w:sz="4" w:space="0" w:color="auto"/>
              <w:bottom w:val="single" w:sz="4" w:space="0" w:color="auto"/>
              <w:right w:val="single" w:sz="4" w:space="0" w:color="auto"/>
            </w:tcBorders>
          </w:tcPr>
          <w:p w14:paraId="3AB40029" w14:textId="77777777" w:rsidR="00E57DAA" w:rsidRDefault="00AC4185">
            <w:pPr>
              <w:autoSpaceDE w:val="0"/>
              <w:autoSpaceDN w:val="0"/>
              <w:adjustRightInd w:val="0"/>
              <w:jc w:val="right"/>
              <w:rPr>
                <w:szCs w:val="21"/>
              </w:rPr>
            </w:pPr>
            <w:r>
              <w:t>6,600.00</w:t>
            </w:r>
          </w:p>
        </w:tc>
        <w:tc>
          <w:tcPr>
            <w:tcW w:w="632" w:type="pct"/>
            <w:tcBorders>
              <w:top w:val="single" w:sz="4" w:space="0" w:color="auto"/>
              <w:left w:val="single" w:sz="4" w:space="0" w:color="auto"/>
              <w:bottom w:val="single" w:sz="4" w:space="0" w:color="auto"/>
              <w:right w:val="single" w:sz="4" w:space="0" w:color="auto"/>
            </w:tcBorders>
          </w:tcPr>
          <w:p w14:paraId="2676F778" w14:textId="77777777" w:rsidR="00E57DAA" w:rsidRDefault="00AC4185">
            <w:pPr>
              <w:autoSpaceDE w:val="0"/>
              <w:autoSpaceDN w:val="0"/>
              <w:adjustRightInd w:val="0"/>
              <w:jc w:val="right"/>
              <w:rPr>
                <w:szCs w:val="21"/>
              </w:rPr>
            </w:pPr>
            <w:r>
              <w:t>660</w:t>
            </w:r>
          </w:p>
        </w:tc>
        <w:tc>
          <w:tcPr>
            <w:tcW w:w="703" w:type="pct"/>
            <w:tcBorders>
              <w:top w:val="single" w:sz="4" w:space="0" w:color="auto"/>
              <w:left w:val="single" w:sz="4" w:space="0" w:color="auto"/>
              <w:bottom w:val="single" w:sz="4" w:space="0" w:color="auto"/>
              <w:right w:val="single" w:sz="4" w:space="0" w:color="auto"/>
            </w:tcBorders>
          </w:tcPr>
          <w:p w14:paraId="3D007BF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6A1074D" w14:textId="77777777" w:rsidR="00E57DAA" w:rsidRDefault="00AC4185">
            <w:pPr>
              <w:autoSpaceDE w:val="0"/>
              <w:autoSpaceDN w:val="0"/>
              <w:adjustRightInd w:val="0"/>
              <w:jc w:val="right"/>
              <w:rPr>
                <w:szCs w:val="21"/>
              </w:rPr>
            </w:pPr>
            <w:r>
              <w:t xml:space="preserve">　</w:t>
            </w:r>
          </w:p>
        </w:tc>
      </w:tr>
      <w:tr w:rsidR="00E57DAA" w14:paraId="172CF812" w14:textId="77777777">
        <w:tc>
          <w:tcPr>
            <w:tcW w:w="677" w:type="pct"/>
            <w:tcBorders>
              <w:top w:val="single" w:sz="4" w:space="0" w:color="auto"/>
              <w:left w:val="single" w:sz="4" w:space="0" w:color="auto"/>
              <w:bottom w:val="single" w:sz="4" w:space="0" w:color="auto"/>
              <w:right w:val="single" w:sz="4" w:space="0" w:color="auto"/>
            </w:tcBorders>
            <w:vAlign w:val="center"/>
          </w:tcPr>
          <w:p w14:paraId="33223E6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3C136A8" w14:textId="77777777" w:rsidR="00E57DAA" w:rsidRDefault="00AC4185">
            <w:pPr>
              <w:autoSpaceDE w:val="0"/>
              <w:autoSpaceDN w:val="0"/>
              <w:adjustRightInd w:val="0"/>
              <w:rPr>
                <w:szCs w:val="21"/>
              </w:rPr>
            </w:pPr>
            <w:r>
              <w:t>金乡中联混凝土有限公司</w:t>
            </w:r>
          </w:p>
        </w:tc>
        <w:tc>
          <w:tcPr>
            <w:tcW w:w="633" w:type="pct"/>
            <w:tcBorders>
              <w:top w:val="single" w:sz="4" w:space="0" w:color="auto"/>
              <w:left w:val="single" w:sz="4" w:space="0" w:color="auto"/>
              <w:bottom w:val="single" w:sz="4" w:space="0" w:color="auto"/>
              <w:right w:val="single" w:sz="4" w:space="0" w:color="auto"/>
            </w:tcBorders>
          </w:tcPr>
          <w:p w14:paraId="665AB62D" w14:textId="77777777" w:rsidR="00E57DAA" w:rsidRDefault="00AC4185">
            <w:pPr>
              <w:autoSpaceDE w:val="0"/>
              <w:autoSpaceDN w:val="0"/>
              <w:adjustRightInd w:val="0"/>
              <w:jc w:val="right"/>
              <w:rPr>
                <w:szCs w:val="21"/>
              </w:rPr>
            </w:pPr>
            <w:r>
              <w:t>5,605.00</w:t>
            </w:r>
          </w:p>
        </w:tc>
        <w:tc>
          <w:tcPr>
            <w:tcW w:w="632" w:type="pct"/>
            <w:tcBorders>
              <w:top w:val="single" w:sz="4" w:space="0" w:color="auto"/>
              <w:left w:val="single" w:sz="4" w:space="0" w:color="auto"/>
              <w:bottom w:val="single" w:sz="4" w:space="0" w:color="auto"/>
              <w:right w:val="single" w:sz="4" w:space="0" w:color="auto"/>
            </w:tcBorders>
          </w:tcPr>
          <w:p w14:paraId="410BD2CF" w14:textId="77777777" w:rsidR="00E57DAA" w:rsidRDefault="00AC4185">
            <w:pPr>
              <w:autoSpaceDE w:val="0"/>
              <w:autoSpaceDN w:val="0"/>
              <w:adjustRightInd w:val="0"/>
              <w:jc w:val="right"/>
              <w:rPr>
                <w:szCs w:val="21"/>
              </w:rPr>
            </w:pPr>
            <w:r>
              <w:t>132.84</w:t>
            </w:r>
          </w:p>
        </w:tc>
        <w:tc>
          <w:tcPr>
            <w:tcW w:w="703" w:type="pct"/>
            <w:tcBorders>
              <w:top w:val="single" w:sz="4" w:space="0" w:color="auto"/>
              <w:left w:val="single" w:sz="4" w:space="0" w:color="auto"/>
              <w:bottom w:val="single" w:sz="4" w:space="0" w:color="auto"/>
              <w:right w:val="single" w:sz="4" w:space="0" w:color="auto"/>
            </w:tcBorders>
          </w:tcPr>
          <w:p w14:paraId="7DA32FB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86A0ACB" w14:textId="77777777" w:rsidR="00E57DAA" w:rsidRDefault="00AC4185">
            <w:pPr>
              <w:autoSpaceDE w:val="0"/>
              <w:autoSpaceDN w:val="0"/>
              <w:adjustRightInd w:val="0"/>
              <w:jc w:val="right"/>
              <w:rPr>
                <w:szCs w:val="21"/>
              </w:rPr>
            </w:pPr>
            <w:r>
              <w:t xml:space="preserve">　</w:t>
            </w:r>
          </w:p>
        </w:tc>
      </w:tr>
      <w:tr w:rsidR="00E57DAA" w14:paraId="69A3D1F2" w14:textId="77777777">
        <w:tc>
          <w:tcPr>
            <w:tcW w:w="677" w:type="pct"/>
            <w:tcBorders>
              <w:top w:val="single" w:sz="4" w:space="0" w:color="auto"/>
              <w:left w:val="single" w:sz="4" w:space="0" w:color="auto"/>
              <w:bottom w:val="single" w:sz="4" w:space="0" w:color="auto"/>
              <w:right w:val="single" w:sz="4" w:space="0" w:color="auto"/>
            </w:tcBorders>
            <w:vAlign w:val="center"/>
          </w:tcPr>
          <w:p w14:paraId="33359AC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A7FFF77" w14:textId="77777777" w:rsidR="00E57DAA" w:rsidRDefault="00AC4185">
            <w:pPr>
              <w:autoSpaceDE w:val="0"/>
              <w:autoSpaceDN w:val="0"/>
              <w:adjustRightInd w:val="0"/>
              <w:rPr>
                <w:szCs w:val="21"/>
              </w:rPr>
            </w:pPr>
            <w:r>
              <w:t>乌恰天山水泥有限责任公司</w:t>
            </w:r>
          </w:p>
        </w:tc>
        <w:tc>
          <w:tcPr>
            <w:tcW w:w="633" w:type="pct"/>
            <w:tcBorders>
              <w:top w:val="single" w:sz="4" w:space="0" w:color="auto"/>
              <w:left w:val="single" w:sz="4" w:space="0" w:color="auto"/>
              <w:bottom w:val="single" w:sz="4" w:space="0" w:color="auto"/>
              <w:right w:val="single" w:sz="4" w:space="0" w:color="auto"/>
            </w:tcBorders>
          </w:tcPr>
          <w:p w14:paraId="0B784808" w14:textId="77777777" w:rsidR="00E57DAA" w:rsidRDefault="00AC4185">
            <w:pPr>
              <w:autoSpaceDE w:val="0"/>
              <w:autoSpaceDN w:val="0"/>
              <w:adjustRightInd w:val="0"/>
              <w:jc w:val="right"/>
              <w:rPr>
                <w:szCs w:val="21"/>
              </w:rPr>
            </w:pPr>
            <w:r>
              <w:t>5,550.01</w:t>
            </w:r>
          </w:p>
        </w:tc>
        <w:tc>
          <w:tcPr>
            <w:tcW w:w="632" w:type="pct"/>
            <w:tcBorders>
              <w:top w:val="single" w:sz="4" w:space="0" w:color="auto"/>
              <w:left w:val="single" w:sz="4" w:space="0" w:color="auto"/>
              <w:bottom w:val="single" w:sz="4" w:space="0" w:color="auto"/>
              <w:right w:val="single" w:sz="4" w:space="0" w:color="auto"/>
            </w:tcBorders>
          </w:tcPr>
          <w:p w14:paraId="20701F8B" w14:textId="77777777" w:rsidR="00E57DAA" w:rsidRDefault="00AC4185">
            <w:pPr>
              <w:autoSpaceDE w:val="0"/>
              <w:autoSpaceDN w:val="0"/>
              <w:adjustRightInd w:val="0"/>
              <w:jc w:val="right"/>
              <w:rPr>
                <w:szCs w:val="21"/>
              </w:rPr>
            </w:pPr>
            <w:r>
              <w:t>2,017.98</w:t>
            </w:r>
          </w:p>
        </w:tc>
        <w:tc>
          <w:tcPr>
            <w:tcW w:w="703" w:type="pct"/>
            <w:tcBorders>
              <w:top w:val="single" w:sz="4" w:space="0" w:color="auto"/>
              <w:left w:val="single" w:sz="4" w:space="0" w:color="auto"/>
              <w:bottom w:val="single" w:sz="4" w:space="0" w:color="auto"/>
              <w:right w:val="single" w:sz="4" w:space="0" w:color="auto"/>
            </w:tcBorders>
          </w:tcPr>
          <w:p w14:paraId="0876D9A9" w14:textId="77777777" w:rsidR="00E57DAA" w:rsidRDefault="00AC4185">
            <w:pPr>
              <w:autoSpaceDE w:val="0"/>
              <w:autoSpaceDN w:val="0"/>
              <w:adjustRightInd w:val="0"/>
              <w:jc w:val="right"/>
              <w:rPr>
                <w:szCs w:val="21"/>
              </w:rPr>
            </w:pPr>
            <w:r>
              <w:t>5,550.01</w:t>
            </w:r>
          </w:p>
        </w:tc>
        <w:tc>
          <w:tcPr>
            <w:tcW w:w="914" w:type="pct"/>
            <w:tcBorders>
              <w:top w:val="single" w:sz="4" w:space="0" w:color="auto"/>
              <w:left w:val="single" w:sz="4" w:space="0" w:color="auto"/>
              <w:bottom w:val="single" w:sz="4" w:space="0" w:color="auto"/>
              <w:right w:val="single" w:sz="4" w:space="0" w:color="auto"/>
            </w:tcBorders>
          </w:tcPr>
          <w:p w14:paraId="5288EAC8" w14:textId="77777777" w:rsidR="00E57DAA" w:rsidRDefault="00AC4185">
            <w:pPr>
              <w:autoSpaceDE w:val="0"/>
              <w:autoSpaceDN w:val="0"/>
              <w:adjustRightInd w:val="0"/>
              <w:jc w:val="right"/>
              <w:rPr>
                <w:szCs w:val="21"/>
              </w:rPr>
            </w:pPr>
            <w:r>
              <w:t>1,011.77</w:t>
            </w:r>
          </w:p>
        </w:tc>
      </w:tr>
      <w:tr w:rsidR="00E57DAA" w14:paraId="315ED571" w14:textId="77777777">
        <w:tc>
          <w:tcPr>
            <w:tcW w:w="677" w:type="pct"/>
            <w:tcBorders>
              <w:top w:val="single" w:sz="4" w:space="0" w:color="auto"/>
              <w:left w:val="single" w:sz="4" w:space="0" w:color="auto"/>
              <w:bottom w:val="single" w:sz="4" w:space="0" w:color="auto"/>
              <w:right w:val="single" w:sz="4" w:space="0" w:color="auto"/>
            </w:tcBorders>
            <w:vAlign w:val="center"/>
          </w:tcPr>
          <w:p w14:paraId="4CBA223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BBF174F" w14:textId="77777777" w:rsidR="00E57DAA" w:rsidRDefault="00AC4185">
            <w:pPr>
              <w:autoSpaceDE w:val="0"/>
              <w:autoSpaceDN w:val="0"/>
              <w:adjustRightInd w:val="0"/>
              <w:rPr>
                <w:szCs w:val="21"/>
              </w:rPr>
            </w:pPr>
            <w:r>
              <w:t>成武中联水泥有限公司</w:t>
            </w:r>
          </w:p>
        </w:tc>
        <w:tc>
          <w:tcPr>
            <w:tcW w:w="633" w:type="pct"/>
            <w:tcBorders>
              <w:top w:val="single" w:sz="4" w:space="0" w:color="auto"/>
              <w:left w:val="single" w:sz="4" w:space="0" w:color="auto"/>
              <w:bottom w:val="single" w:sz="4" w:space="0" w:color="auto"/>
              <w:right w:val="single" w:sz="4" w:space="0" w:color="auto"/>
            </w:tcBorders>
          </w:tcPr>
          <w:p w14:paraId="0CEDF331" w14:textId="77777777" w:rsidR="00E57DAA" w:rsidRDefault="00AC4185">
            <w:pPr>
              <w:autoSpaceDE w:val="0"/>
              <w:autoSpaceDN w:val="0"/>
              <w:adjustRightInd w:val="0"/>
              <w:jc w:val="right"/>
              <w:rPr>
                <w:szCs w:val="21"/>
              </w:rPr>
            </w:pPr>
            <w:r>
              <w:t>4,400.00</w:t>
            </w:r>
          </w:p>
        </w:tc>
        <w:tc>
          <w:tcPr>
            <w:tcW w:w="632" w:type="pct"/>
            <w:tcBorders>
              <w:top w:val="single" w:sz="4" w:space="0" w:color="auto"/>
              <w:left w:val="single" w:sz="4" w:space="0" w:color="auto"/>
              <w:bottom w:val="single" w:sz="4" w:space="0" w:color="auto"/>
              <w:right w:val="single" w:sz="4" w:space="0" w:color="auto"/>
            </w:tcBorders>
          </w:tcPr>
          <w:p w14:paraId="1F9748D6" w14:textId="77777777" w:rsidR="00E57DAA" w:rsidRDefault="00AC4185">
            <w:pPr>
              <w:autoSpaceDE w:val="0"/>
              <w:autoSpaceDN w:val="0"/>
              <w:adjustRightInd w:val="0"/>
              <w:jc w:val="right"/>
              <w:rPr>
                <w:szCs w:val="21"/>
              </w:rPr>
            </w:pPr>
            <w:r>
              <w:t>289.96</w:t>
            </w:r>
          </w:p>
        </w:tc>
        <w:tc>
          <w:tcPr>
            <w:tcW w:w="703" w:type="pct"/>
            <w:tcBorders>
              <w:top w:val="single" w:sz="4" w:space="0" w:color="auto"/>
              <w:left w:val="single" w:sz="4" w:space="0" w:color="auto"/>
              <w:bottom w:val="single" w:sz="4" w:space="0" w:color="auto"/>
              <w:right w:val="single" w:sz="4" w:space="0" w:color="auto"/>
            </w:tcBorders>
          </w:tcPr>
          <w:p w14:paraId="09D20FC3" w14:textId="77777777" w:rsidR="00E57DAA" w:rsidRDefault="00AC4185">
            <w:pPr>
              <w:autoSpaceDE w:val="0"/>
              <w:autoSpaceDN w:val="0"/>
              <w:adjustRightInd w:val="0"/>
              <w:jc w:val="right"/>
              <w:rPr>
                <w:szCs w:val="21"/>
              </w:rPr>
            </w:pPr>
            <w:r>
              <w:t>4,400.00</w:t>
            </w:r>
          </w:p>
        </w:tc>
        <w:tc>
          <w:tcPr>
            <w:tcW w:w="914" w:type="pct"/>
            <w:tcBorders>
              <w:top w:val="single" w:sz="4" w:space="0" w:color="auto"/>
              <w:left w:val="single" w:sz="4" w:space="0" w:color="auto"/>
              <w:bottom w:val="single" w:sz="4" w:space="0" w:color="auto"/>
              <w:right w:val="single" w:sz="4" w:space="0" w:color="auto"/>
            </w:tcBorders>
          </w:tcPr>
          <w:p w14:paraId="5AB37365" w14:textId="77777777" w:rsidR="00E57DAA" w:rsidRDefault="00AC4185">
            <w:pPr>
              <w:autoSpaceDE w:val="0"/>
              <w:autoSpaceDN w:val="0"/>
              <w:adjustRightInd w:val="0"/>
              <w:jc w:val="right"/>
              <w:rPr>
                <w:szCs w:val="21"/>
              </w:rPr>
            </w:pPr>
            <w:r>
              <w:t>104.28</w:t>
            </w:r>
          </w:p>
        </w:tc>
      </w:tr>
      <w:tr w:rsidR="00E57DAA" w14:paraId="213C73F8" w14:textId="77777777">
        <w:tc>
          <w:tcPr>
            <w:tcW w:w="677" w:type="pct"/>
            <w:tcBorders>
              <w:top w:val="single" w:sz="4" w:space="0" w:color="auto"/>
              <w:left w:val="single" w:sz="4" w:space="0" w:color="auto"/>
              <w:bottom w:val="single" w:sz="4" w:space="0" w:color="auto"/>
              <w:right w:val="single" w:sz="4" w:space="0" w:color="auto"/>
            </w:tcBorders>
            <w:vAlign w:val="center"/>
          </w:tcPr>
          <w:p w14:paraId="1E2F0B2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DCC5687" w14:textId="77777777" w:rsidR="00E57DAA" w:rsidRDefault="00AC4185">
            <w:pPr>
              <w:autoSpaceDE w:val="0"/>
              <w:autoSpaceDN w:val="0"/>
              <w:adjustRightInd w:val="0"/>
              <w:rPr>
                <w:szCs w:val="21"/>
              </w:rPr>
            </w:pPr>
            <w:r>
              <w:t>嘉华特种水泥股份有限公司</w:t>
            </w:r>
          </w:p>
        </w:tc>
        <w:tc>
          <w:tcPr>
            <w:tcW w:w="633" w:type="pct"/>
            <w:tcBorders>
              <w:top w:val="single" w:sz="4" w:space="0" w:color="auto"/>
              <w:left w:val="single" w:sz="4" w:space="0" w:color="auto"/>
              <w:bottom w:val="single" w:sz="4" w:space="0" w:color="auto"/>
              <w:right w:val="single" w:sz="4" w:space="0" w:color="auto"/>
            </w:tcBorders>
          </w:tcPr>
          <w:p w14:paraId="73202DB7" w14:textId="77777777" w:rsidR="00E57DAA" w:rsidRDefault="00AC4185">
            <w:pPr>
              <w:autoSpaceDE w:val="0"/>
              <w:autoSpaceDN w:val="0"/>
              <w:adjustRightInd w:val="0"/>
              <w:jc w:val="right"/>
              <w:rPr>
                <w:szCs w:val="21"/>
              </w:rPr>
            </w:pPr>
            <w:r>
              <w:t>4,000.00</w:t>
            </w:r>
          </w:p>
        </w:tc>
        <w:tc>
          <w:tcPr>
            <w:tcW w:w="632" w:type="pct"/>
            <w:tcBorders>
              <w:top w:val="single" w:sz="4" w:space="0" w:color="auto"/>
              <w:left w:val="single" w:sz="4" w:space="0" w:color="auto"/>
              <w:bottom w:val="single" w:sz="4" w:space="0" w:color="auto"/>
              <w:right w:val="single" w:sz="4" w:space="0" w:color="auto"/>
            </w:tcBorders>
          </w:tcPr>
          <w:p w14:paraId="3486B9EC" w14:textId="77777777" w:rsidR="00E57DAA" w:rsidRDefault="00AC4185">
            <w:pPr>
              <w:autoSpaceDE w:val="0"/>
              <w:autoSpaceDN w:val="0"/>
              <w:adjustRightInd w:val="0"/>
              <w:jc w:val="right"/>
              <w:rPr>
                <w:szCs w:val="21"/>
              </w:rPr>
            </w:pPr>
            <w:r>
              <w:t>94.8</w:t>
            </w:r>
          </w:p>
        </w:tc>
        <w:tc>
          <w:tcPr>
            <w:tcW w:w="703" w:type="pct"/>
            <w:tcBorders>
              <w:top w:val="single" w:sz="4" w:space="0" w:color="auto"/>
              <w:left w:val="single" w:sz="4" w:space="0" w:color="auto"/>
              <w:bottom w:val="single" w:sz="4" w:space="0" w:color="auto"/>
              <w:right w:val="single" w:sz="4" w:space="0" w:color="auto"/>
            </w:tcBorders>
          </w:tcPr>
          <w:p w14:paraId="2F9750B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AFFC52F" w14:textId="77777777" w:rsidR="00E57DAA" w:rsidRDefault="00AC4185">
            <w:pPr>
              <w:autoSpaceDE w:val="0"/>
              <w:autoSpaceDN w:val="0"/>
              <w:adjustRightInd w:val="0"/>
              <w:jc w:val="right"/>
              <w:rPr>
                <w:szCs w:val="21"/>
              </w:rPr>
            </w:pPr>
            <w:r>
              <w:t xml:space="preserve">　</w:t>
            </w:r>
          </w:p>
        </w:tc>
      </w:tr>
      <w:tr w:rsidR="00E57DAA" w14:paraId="0BB17F9B" w14:textId="77777777">
        <w:tc>
          <w:tcPr>
            <w:tcW w:w="677" w:type="pct"/>
            <w:tcBorders>
              <w:top w:val="single" w:sz="4" w:space="0" w:color="auto"/>
              <w:left w:val="single" w:sz="4" w:space="0" w:color="auto"/>
              <w:bottom w:val="single" w:sz="4" w:space="0" w:color="auto"/>
              <w:right w:val="single" w:sz="4" w:space="0" w:color="auto"/>
            </w:tcBorders>
            <w:vAlign w:val="center"/>
          </w:tcPr>
          <w:p w14:paraId="2739A70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9CA2271" w14:textId="77777777" w:rsidR="00E57DAA" w:rsidRDefault="00AC4185">
            <w:pPr>
              <w:autoSpaceDE w:val="0"/>
              <w:autoSpaceDN w:val="0"/>
              <w:adjustRightInd w:val="0"/>
              <w:rPr>
                <w:szCs w:val="21"/>
              </w:rPr>
            </w:pPr>
            <w:r>
              <w:t>湖南祁东南方水泥有限公司</w:t>
            </w:r>
          </w:p>
        </w:tc>
        <w:tc>
          <w:tcPr>
            <w:tcW w:w="633" w:type="pct"/>
            <w:tcBorders>
              <w:top w:val="single" w:sz="4" w:space="0" w:color="auto"/>
              <w:left w:val="single" w:sz="4" w:space="0" w:color="auto"/>
              <w:bottom w:val="single" w:sz="4" w:space="0" w:color="auto"/>
              <w:right w:val="single" w:sz="4" w:space="0" w:color="auto"/>
            </w:tcBorders>
          </w:tcPr>
          <w:p w14:paraId="0A9833E7" w14:textId="77777777" w:rsidR="00E57DAA" w:rsidRDefault="00AC4185">
            <w:pPr>
              <w:autoSpaceDE w:val="0"/>
              <w:autoSpaceDN w:val="0"/>
              <w:adjustRightInd w:val="0"/>
              <w:jc w:val="right"/>
              <w:rPr>
                <w:szCs w:val="21"/>
              </w:rPr>
            </w:pPr>
            <w:r>
              <w:t>3,560.00</w:t>
            </w:r>
          </w:p>
        </w:tc>
        <w:tc>
          <w:tcPr>
            <w:tcW w:w="632" w:type="pct"/>
            <w:tcBorders>
              <w:top w:val="single" w:sz="4" w:space="0" w:color="auto"/>
              <w:left w:val="single" w:sz="4" w:space="0" w:color="auto"/>
              <w:bottom w:val="single" w:sz="4" w:space="0" w:color="auto"/>
              <w:right w:val="single" w:sz="4" w:space="0" w:color="auto"/>
            </w:tcBorders>
          </w:tcPr>
          <w:p w14:paraId="0C0BD926" w14:textId="77777777" w:rsidR="00E57DAA" w:rsidRDefault="00AC4185">
            <w:pPr>
              <w:autoSpaceDE w:val="0"/>
              <w:autoSpaceDN w:val="0"/>
              <w:adjustRightInd w:val="0"/>
              <w:jc w:val="right"/>
              <w:rPr>
                <w:szCs w:val="21"/>
              </w:rPr>
            </w:pPr>
            <w:r>
              <w:t>3,560.00</w:t>
            </w:r>
          </w:p>
        </w:tc>
        <w:tc>
          <w:tcPr>
            <w:tcW w:w="703" w:type="pct"/>
            <w:tcBorders>
              <w:top w:val="single" w:sz="4" w:space="0" w:color="auto"/>
              <w:left w:val="single" w:sz="4" w:space="0" w:color="auto"/>
              <w:bottom w:val="single" w:sz="4" w:space="0" w:color="auto"/>
              <w:right w:val="single" w:sz="4" w:space="0" w:color="auto"/>
            </w:tcBorders>
          </w:tcPr>
          <w:p w14:paraId="3D962B12" w14:textId="77777777" w:rsidR="00E57DAA" w:rsidRDefault="00AC4185">
            <w:pPr>
              <w:autoSpaceDE w:val="0"/>
              <w:autoSpaceDN w:val="0"/>
              <w:adjustRightInd w:val="0"/>
              <w:jc w:val="right"/>
              <w:rPr>
                <w:szCs w:val="21"/>
              </w:rPr>
            </w:pPr>
            <w:r>
              <w:t>8,750,559.92</w:t>
            </w:r>
          </w:p>
        </w:tc>
        <w:tc>
          <w:tcPr>
            <w:tcW w:w="914" w:type="pct"/>
            <w:tcBorders>
              <w:top w:val="single" w:sz="4" w:space="0" w:color="auto"/>
              <w:left w:val="single" w:sz="4" w:space="0" w:color="auto"/>
              <w:bottom w:val="single" w:sz="4" w:space="0" w:color="auto"/>
              <w:right w:val="single" w:sz="4" w:space="0" w:color="auto"/>
            </w:tcBorders>
          </w:tcPr>
          <w:p w14:paraId="44FF2815" w14:textId="77777777" w:rsidR="00E57DAA" w:rsidRDefault="00AC4185">
            <w:pPr>
              <w:autoSpaceDE w:val="0"/>
              <w:autoSpaceDN w:val="0"/>
              <w:adjustRightInd w:val="0"/>
              <w:jc w:val="right"/>
              <w:rPr>
                <w:szCs w:val="21"/>
              </w:rPr>
            </w:pPr>
            <w:r>
              <w:t>626,519.36</w:t>
            </w:r>
          </w:p>
        </w:tc>
      </w:tr>
      <w:tr w:rsidR="00E57DAA" w14:paraId="42E06553" w14:textId="77777777">
        <w:tc>
          <w:tcPr>
            <w:tcW w:w="677" w:type="pct"/>
            <w:tcBorders>
              <w:top w:val="single" w:sz="4" w:space="0" w:color="auto"/>
              <w:left w:val="single" w:sz="4" w:space="0" w:color="auto"/>
              <w:bottom w:val="single" w:sz="4" w:space="0" w:color="auto"/>
              <w:right w:val="single" w:sz="4" w:space="0" w:color="auto"/>
            </w:tcBorders>
            <w:vAlign w:val="center"/>
          </w:tcPr>
          <w:p w14:paraId="337905D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4E21393" w14:textId="77777777" w:rsidR="00E57DAA" w:rsidRDefault="00AC4185">
            <w:pPr>
              <w:autoSpaceDE w:val="0"/>
              <w:autoSpaceDN w:val="0"/>
              <w:adjustRightInd w:val="0"/>
              <w:rPr>
                <w:szCs w:val="21"/>
              </w:rPr>
            </w:pPr>
            <w:r>
              <w:t>泗县中联水泥有限公司</w:t>
            </w:r>
          </w:p>
        </w:tc>
        <w:tc>
          <w:tcPr>
            <w:tcW w:w="633" w:type="pct"/>
            <w:tcBorders>
              <w:top w:val="single" w:sz="4" w:space="0" w:color="auto"/>
              <w:left w:val="single" w:sz="4" w:space="0" w:color="auto"/>
              <w:bottom w:val="single" w:sz="4" w:space="0" w:color="auto"/>
              <w:right w:val="single" w:sz="4" w:space="0" w:color="auto"/>
            </w:tcBorders>
          </w:tcPr>
          <w:p w14:paraId="3015BBA8" w14:textId="77777777" w:rsidR="00E57DAA" w:rsidRDefault="00AC4185">
            <w:pPr>
              <w:autoSpaceDE w:val="0"/>
              <w:autoSpaceDN w:val="0"/>
              <w:adjustRightInd w:val="0"/>
              <w:jc w:val="right"/>
              <w:rPr>
                <w:szCs w:val="21"/>
              </w:rPr>
            </w:pPr>
            <w:r>
              <w:t>3,450.00</w:t>
            </w:r>
          </w:p>
        </w:tc>
        <w:tc>
          <w:tcPr>
            <w:tcW w:w="632" w:type="pct"/>
            <w:tcBorders>
              <w:top w:val="single" w:sz="4" w:space="0" w:color="auto"/>
              <w:left w:val="single" w:sz="4" w:space="0" w:color="auto"/>
              <w:bottom w:val="single" w:sz="4" w:space="0" w:color="auto"/>
              <w:right w:val="single" w:sz="4" w:space="0" w:color="auto"/>
            </w:tcBorders>
          </w:tcPr>
          <w:p w14:paraId="4CCCD9EC" w14:textId="77777777" w:rsidR="00E57DAA" w:rsidRDefault="00AC4185">
            <w:pPr>
              <w:autoSpaceDE w:val="0"/>
              <w:autoSpaceDN w:val="0"/>
              <w:adjustRightInd w:val="0"/>
              <w:jc w:val="right"/>
              <w:rPr>
                <w:szCs w:val="21"/>
              </w:rPr>
            </w:pPr>
            <w:r>
              <w:t>81.77</w:t>
            </w:r>
          </w:p>
        </w:tc>
        <w:tc>
          <w:tcPr>
            <w:tcW w:w="703" w:type="pct"/>
            <w:tcBorders>
              <w:top w:val="single" w:sz="4" w:space="0" w:color="auto"/>
              <w:left w:val="single" w:sz="4" w:space="0" w:color="auto"/>
              <w:bottom w:val="single" w:sz="4" w:space="0" w:color="auto"/>
              <w:right w:val="single" w:sz="4" w:space="0" w:color="auto"/>
            </w:tcBorders>
          </w:tcPr>
          <w:p w14:paraId="69D10DE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40FF2C0" w14:textId="77777777" w:rsidR="00E57DAA" w:rsidRDefault="00AC4185">
            <w:pPr>
              <w:autoSpaceDE w:val="0"/>
              <w:autoSpaceDN w:val="0"/>
              <w:adjustRightInd w:val="0"/>
              <w:jc w:val="right"/>
              <w:rPr>
                <w:szCs w:val="21"/>
              </w:rPr>
            </w:pPr>
            <w:r>
              <w:t xml:space="preserve">　</w:t>
            </w:r>
          </w:p>
        </w:tc>
      </w:tr>
      <w:tr w:rsidR="00E57DAA" w14:paraId="31AE2103" w14:textId="77777777">
        <w:tc>
          <w:tcPr>
            <w:tcW w:w="677" w:type="pct"/>
            <w:tcBorders>
              <w:top w:val="single" w:sz="4" w:space="0" w:color="auto"/>
              <w:left w:val="single" w:sz="4" w:space="0" w:color="auto"/>
              <w:bottom w:val="single" w:sz="4" w:space="0" w:color="auto"/>
              <w:right w:val="single" w:sz="4" w:space="0" w:color="auto"/>
            </w:tcBorders>
            <w:vAlign w:val="center"/>
          </w:tcPr>
          <w:p w14:paraId="359BF61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B3DDC5A" w14:textId="77777777" w:rsidR="00E57DAA" w:rsidRDefault="00AC4185">
            <w:pPr>
              <w:autoSpaceDE w:val="0"/>
              <w:autoSpaceDN w:val="0"/>
              <w:adjustRightInd w:val="0"/>
              <w:rPr>
                <w:szCs w:val="21"/>
              </w:rPr>
            </w:pPr>
            <w:r>
              <w:t>中材湘潭水泥有限责任公司</w:t>
            </w:r>
          </w:p>
        </w:tc>
        <w:tc>
          <w:tcPr>
            <w:tcW w:w="633" w:type="pct"/>
            <w:tcBorders>
              <w:top w:val="single" w:sz="4" w:space="0" w:color="auto"/>
              <w:left w:val="single" w:sz="4" w:space="0" w:color="auto"/>
              <w:bottom w:val="single" w:sz="4" w:space="0" w:color="auto"/>
              <w:right w:val="single" w:sz="4" w:space="0" w:color="auto"/>
            </w:tcBorders>
          </w:tcPr>
          <w:p w14:paraId="4F3B4169" w14:textId="77777777" w:rsidR="00E57DAA" w:rsidRDefault="00AC4185">
            <w:pPr>
              <w:autoSpaceDE w:val="0"/>
              <w:autoSpaceDN w:val="0"/>
              <w:adjustRightInd w:val="0"/>
              <w:jc w:val="right"/>
              <w:rPr>
                <w:szCs w:val="21"/>
              </w:rPr>
            </w:pPr>
            <w:r>
              <w:t>3,175.50</w:t>
            </w:r>
          </w:p>
        </w:tc>
        <w:tc>
          <w:tcPr>
            <w:tcW w:w="632" w:type="pct"/>
            <w:tcBorders>
              <w:top w:val="single" w:sz="4" w:space="0" w:color="auto"/>
              <w:left w:val="single" w:sz="4" w:space="0" w:color="auto"/>
              <w:bottom w:val="single" w:sz="4" w:space="0" w:color="auto"/>
              <w:right w:val="single" w:sz="4" w:space="0" w:color="auto"/>
            </w:tcBorders>
          </w:tcPr>
          <w:p w14:paraId="2F493562" w14:textId="77777777" w:rsidR="00E57DAA" w:rsidRDefault="00AC4185">
            <w:pPr>
              <w:autoSpaceDE w:val="0"/>
              <w:autoSpaceDN w:val="0"/>
              <w:adjustRightInd w:val="0"/>
              <w:jc w:val="right"/>
              <w:rPr>
                <w:szCs w:val="21"/>
              </w:rPr>
            </w:pPr>
            <w:r>
              <w:t>209.27</w:t>
            </w:r>
          </w:p>
        </w:tc>
        <w:tc>
          <w:tcPr>
            <w:tcW w:w="703" w:type="pct"/>
            <w:tcBorders>
              <w:top w:val="single" w:sz="4" w:space="0" w:color="auto"/>
              <w:left w:val="single" w:sz="4" w:space="0" w:color="auto"/>
              <w:bottom w:val="single" w:sz="4" w:space="0" w:color="auto"/>
              <w:right w:val="single" w:sz="4" w:space="0" w:color="auto"/>
            </w:tcBorders>
          </w:tcPr>
          <w:p w14:paraId="2691BB15" w14:textId="77777777" w:rsidR="00E57DAA" w:rsidRDefault="00AC4185">
            <w:pPr>
              <w:autoSpaceDE w:val="0"/>
              <w:autoSpaceDN w:val="0"/>
              <w:adjustRightInd w:val="0"/>
              <w:jc w:val="right"/>
              <w:rPr>
                <w:szCs w:val="21"/>
              </w:rPr>
            </w:pPr>
            <w:r>
              <w:t>8,970.30</w:t>
            </w:r>
          </w:p>
        </w:tc>
        <w:tc>
          <w:tcPr>
            <w:tcW w:w="914" w:type="pct"/>
            <w:tcBorders>
              <w:top w:val="single" w:sz="4" w:space="0" w:color="auto"/>
              <w:left w:val="single" w:sz="4" w:space="0" w:color="auto"/>
              <w:bottom w:val="single" w:sz="4" w:space="0" w:color="auto"/>
              <w:right w:val="single" w:sz="4" w:space="0" w:color="auto"/>
            </w:tcBorders>
          </w:tcPr>
          <w:p w14:paraId="3FC2DD3C" w14:textId="77777777" w:rsidR="00E57DAA" w:rsidRDefault="00AC4185">
            <w:pPr>
              <w:autoSpaceDE w:val="0"/>
              <w:autoSpaceDN w:val="0"/>
              <w:adjustRightInd w:val="0"/>
              <w:jc w:val="right"/>
              <w:rPr>
                <w:szCs w:val="21"/>
              </w:rPr>
            </w:pPr>
            <w:r>
              <w:t>212.6</w:t>
            </w:r>
          </w:p>
        </w:tc>
      </w:tr>
      <w:tr w:rsidR="00E57DAA" w14:paraId="6F5A9FA2" w14:textId="77777777">
        <w:tc>
          <w:tcPr>
            <w:tcW w:w="677" w:type="pct"/>
            <w:tcBorders>
              <w:top w:val="single" w:sz="4" w:space="0" w:color="auto"/>
              <w:left w:val="single" w:sz="4" w:space="0" w:color="auto"/>
              <w:bottom w:val="single" w:sz="4" w:space="0" w:color="auto"/>
              <w:right w:val="single" w:sz="4" w:space="0" w:color="auto"/>
            </w:tcBorders>
            <w:vAlign w:val="center"/>
          </w:tcPr>
          <w:p w14:paraId="00353E3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5A1954F" w14:textId="77777777" w:rsidR="00E57DAA" w:rsidRDefault="00AC4185">
            <w:pPr>
              <w:autoSpaceDE w:val="0"/>
              <w:autoSpaceDN w:val="0"/>
              <w:adjustRightInd w:val="0"/>
              <w:rPr>
                <w:szCs w:val="21"/>
              </w:rPr>
            </w:pPr>
            <w:r>
              <w:t>江西吉州南方水泥有限公司</w:t>
            </w:r>
          </w:p>
        </w:tc>
        <w:tc>
          <w:tcPr>
            <w:tcW w:w="633" w:type="pct"/>
            <w:tcBorders>
              <w:top w:val="single" w:sz="4" w:space="0" w:color="auto"/>
              <w:left w:val="single" w:sz="4" w:space="0" w:color="auto"/>
              <w:bottom w:val="single" w:sz="4" w:space="0" w:color="auto"/>
              <w:right w:val="single" w:sz="4" w:space="0" w:color="auto"/>
            </w:tcBorders>
          </w:tcPr>
          <w:p w14:paraId="72E9C7CC" w14:textId="77777777" w:rsidR="00E57DAA" w:rsidRDefault="00AC4185">
            <w:pPr>
              <w:autoSpaceDE w:val="0"/>
              <w:autoSpaceDN w:val="0"/>
              <w:adjustRightInd w:val="0"/>
              <w:jc w:val="right"/>
              <w:rPr>
                <w:szCs w:val="21"/>
              </w:rPr>
            </w:pPr>
            <w:r>
              <w:t>3,020.00</w:t>
            </w:r>
          </w:p>
        </w:tc>
        <w:tc>
          <w:tcPr>
            <w:tcW w:w="632" w:type="pct"/>
            <w:tcBorders>
              <w:top w:val="single" w:sz="4" w:space="0" w:color="auto"/>
              <w:left w:val="single" w:sz="4" w:space="0" w:color="auto"/>
              <w:bottom w:val="single" w:sz="4" w:space="0" w:color="auto"/>
              <w:right w:val="single" w:sz="4" w:space="0" w:color="auto"/>
            </w:tcBorders>
          </w:tcPr>
          <w:p w14:paraId="0DA2CBFD" w14:textId="77777777" w:rsidR="00E57DAA" w:rsidRDefault="00AC4185">
            <w:pPr>
              <w:autoSpaceDE w:val="0"/>
              <w:autoSpaceDN w:val="0"/>
              <w:adjustRightInd w:val="0"/>
              <w:jc w:val="right"/>
              <w:rPr>
                <w:szCs w:val="21"/>
              </w:rPr>
            </w:pPr>
            <w:r>
              <w:t>3,020.00</w:t>
            </w:r>
          </w:p>
        </w:tc>
        <w:tc>
          <w:tcPr>
            <w:tcW w:w="703" w:type="pct"/>
            <w:tcBorders>
              <w:top w:val="single" w:sz="4" w:space="0" w:color="auto"/>
              <w:left w:val="single" w:sz="4" w:space="0" w:color="auto"/>
              <w:bottom w:val="single" w:sz="4" w:space="0" w:color="auto"/>
              <w:right w:val="single" w:sz="4" w:space="0" w:color="auto"/>
            </w:tcBorders>
          </w:tcPr>
          <w:p w14:paraId="39785DB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9B0D14F" w14:textId="77777777" w:rsidR="00E57DAA" w:rsidRDefault="00AC4185">
            <w:pPr>
              <w:autoSpaceDE w:val="0"/>
              <w:autoSpaceDN w:val="0"/>
              <w:adjustRightInd w:val="0"/>
              <w:jc w:val="right"/>
              <w:rPr>
                <w:szCs w:val="21"/>
              </w:rPr>
            </w:pPr>
            <w:r>
              <w:t xml:space="preserve">　</w:t>
            </w:r>
          </w:p>
        </w:tc>
      </w:tr>
      <w:tr w:rsidR="00E57DAA" w14:paraId="7E99E799" w14:textId="77777777">
        <w:tc>
          <w:tcPr>
            <w:tcW w:w="677" w:type="pct"/>
            <w:tcBorders>
              <w:top w:val="single" w:sz="4" w:space="0" w:color="auto"/>
              <w:left w:val="single" w:sz="4" w:space="0" w:color="auto"/>
              <w:bottom w:val="single" w:sz="4" w:space="0" w:color="auto"/>
              <w:right w:val="single" w:sz="4" w:space="0" w:color="auto"/>
            </w:tcBorders>
            <w:vAlign w:val="center"/>
          </w:tcPr>
          <w:p w14:paraId="02AB053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5F2B550" w14:textId="77777777" w:rsidR="00E57DAA" w:rsidRDefault="00AC4185">
            <w:pPr>
              <w:autoSpaceDE w:val="0"/>
              <w:autoSpaceDN w:val="0"/>
              <w:adjustRightInd w:val="0"/>
              <w:rPr>
                <w:szCs w:val="21"/>
              </w:rPr>
            </w:pPr>
            <w:r>
              <w:t>菏泽中联水泥有限公司</w:t>
            </w:r>
          </w:p>
        </w:tc>
        <w:tc>
          <w:tcPr>
            <w:tcW w:w="633" w:type="pct"/>
            <w:tcBorders>
              <w:top w:val="single" w:sz="4" w:space="0" w:color="auto"/>
              <w:left w:val="single" w:sz="4" w:space="0" w:color="auto"/>
              <w:bottom w:val="single" w:sz="4" w:space="0" w:color="auto"/>
              <w:right w:val="single" w:sz="4" w:space="0" w:color="auto"/>
            </w:tcBorders>
          </w:tcPr>
          <w:p w14:paraId="7B22A4B7" w14:textId="77777777" w:rsidR="00E57DAA" w:rsidRDefault="00AC4185">
            <w:pPr>
              <w:autoSpaceDE w:val="0"/>
              <w:autoSpaceDN w:val="0"/>
              <w:adjustRightInd w:val="0"/>
              <w:jc w:val="right"/>
              <w:rPr>
                <w:szCs w:val="21"/>
              </w:rPr>
            </w:pPr>
            <w:r>
              <w:t>2,850.00</w:t>
            </w:r>
          </w:p>
        </w:tc>
        <w:tc>
          <w:tcPr>
            <w:tcW w:w="632" w:type="pct"/>
            <w:tcBorders>
              <w:top w:val="single" w:sz="4" w:space="0" w:color="auto"/>
              <w:left w:val="single" w:sz="4" w:space="0" w:color="auto"/>
              <w:bottom w:val="single" w:sz="4" w:space="0" w:color="auto"/>
              <w:right w:val="single" w:sz="4" w:space="0" w:color="auto"/>
            </w:tcBorders>
          </w:tcPr>
          <w:p w14:paraId="7B15EB8D" w14:textId="77777777" w:rsidR="00E57DAA" w:rsidRDefault="00AC4185">
            <w:pPr>
              <w:autoSpaceDE w:val="0"/>
              <w:autoSpaceDN w:val="0"/>
              <w:adjustRightInd w:val="0"/>
              <w:jc w:val="right"/>
              <w:rPr>
                <w:szCs w:val="21"/>
              </w:rPr>
            </w:pPr>
            <w:r>
              <w:t>67.55</w:t>
            </w:r>
          </w:p>
        </w:tc>
        <w:tc>
          <w:tcPr>
            <w:tcW w:w="703" w:type="pct"/>
            <w:tcBorders>
              <w:top w:val="single" w:sz="4" w:space="0" w:color="auto"/>
              <w:left w:val="single" w:sz="4" w:space="0" w:color="auto"/>
              <w:bottom w:val="single" w:sz="4" w:space="0" w:color="auto"/>
              <w:right w:val="single" w:sz="4" w:space="0" w:color="auto"/>
            </w:tcBorders>
          </w:tcPr>
          <w:p w14:paraId="12FA6FC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C9F840E" w14:textId="77777777" w:rsidR="00E57DAA" w:rsidRDefault="00AC4185">
            <w:pPr>
              <w:autoSpaceDE w:val="0"/>
              <w:autoSpaceDN w:val="0"/>
              <w:adjustRightInd w:val="0"/>
              <w:jc w:val="right"/>
              <w:rPr>
                <w:szCs w:val="21"/>
              </w:rPr>
            </w:pPr>
            <w:r>
              <w:t xml:space="preserve">　</w:t>
            </w:r>
          </w:p>
        </w:tc>
      </w:tr>
      <w:tr w:rsidR="00E57DAA" w14:paraId="18E7706F" w14:textId="77777777">
        <w:tc>
          <w:tcPr>
            <w:tcW w:w="677" w:type="pct"/>
            <w:tcBorders>
              <w:top w:val="single" w:sz="4" w:space="0" w:color="auto"/>
              <w:left w:val="single" w:sz="4" w:space="0" w:color="auto"/>
              <w:bottom w:val="single" w:sz="4" w:space="0" w:color="auto"/>
              <w:right w:val="single" w:sz="4" w:space="0" w:color="auto"/>
            </w:tcBorders>
            <w:vAlign w:val="center"/>
          </w:tcPr>
          <w:p w14:paraId="7156C2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8748F0C" w14:textId="77777777" w:rsidR="00E57DAA" w:rsidRDefault="00AC4185">
            <w:pPr>
              <w:autoSpaceDE w:val="0"/>
              <w:autoSpaceDN w:val="0"/>
              <w:adjustRightInd w:val="0"/>
              <w:rPr>
                <w:szCs w:val="21"/>
              </w:rPr>
            </w:pPr>
            <w:r>
              <w:t>临沂中联混凝土有限公司</w:t>
            </w:r>
          </w:p>
        </w:tc>
        <w:tc>
          <w:tcPr>
            <w:tcW w:w="633" w:type="pct"/>
            <w:tcBorders>
              <w:top w:val="single" w:sz="4" w:space="0" w:color="auto"/>
              <w:left w:val="single" w:sz="4" w:space="0" w:color="auto"/>
              <w:bottom w:val="single" w:sz="4" w:space="0" w:color="auto"/>
              <w:right w:val="single" w:sz="4" w:space="0" w:color="auto"/>
            </w:tcBorders>
          </w:tcPr>
          <w:p w14:paraId="1AA09801" w14:textId="77777777" w:rsidR="00E57DAA" w:rsidRDefault="00AC4185">
            <w:pPr>
              <w:autoSpaceDE w:val="0"/>
              <w:autoSpaceDN w:val="0"/>
              <w:adjustRightInd w:val="0"/>
              <w:jc w:val="right"/>
              <w:rPr>
                <w:szCs w:val="21"/>
              </w:rPr>
            </w:pPr>
            <w:r>
              <w:t>1,425.00</w:t>
            </w:r>
          </w:p>
        </w:tc>
        <w:tc>
          <w:tcPr>
            <w:tcW w:w="632" w:type="pct"/>
            <w:tcBorders>
              <w:top w:val="single" w:sz="4" w:space="0" w:color="auto"/>
              <w:left w:val="single" w:sz="4" w:space="0" w:color="auto"/>
              <w:bottom w:val="single" w:sz="4" w:space="0" w:color="auto"/>
              <w:right w:val="single" w:sz="4" w:space="0" w:color="auto"/>
            </w:tcBorders>
          </w:tcPr>
          <w:p w14:paraId="1DF40D45" w14:textId="77777777" w:rsidR="00E57DAA" w:rsidRDefault="00AC4185">
            <w:pPr>
              <w:autoSpaceDE w:val="0"/>
              <w:autoSpaceDN w:val="0"/>
              <w:adjustRightInd w:val="0"/>
              <w:jc w:val="right"/>
              <w:rPr>
                <w:szCs w:val="21"/>
              </w:rPr>
            </w:pPr>
            <w:r>
              <w:t>33.77</w:t>
            </w:r>
          </w:p>
        </w:tc>
        <w:tc>
          <w:tcPr>
            <w:tcW w:w="703" w:type="pct"/>
            <w:tcBorders>
              <w:top w:val="single" w:sz="4" w:space="0" w:color="auto"/>
              <w:left w:val="single" w:sz="4" w:space="0" w:color="auto"/>
              <w:bottom w:val="single" w:sz="4" w:space="0" w:color="auto"/>
              <w:right w:val="single" w:sz="4" w:space="0" w:color="auto"/>
            </w:tcBorders>
          </w:tcPr>
          <w:p w14:paraId="36ADDEA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7440E5A" w14:textId="77777777" w:rsidR="00E57DAA" w:rsidRDefault="00AC4185">
            <w:pPr>
              <w:autoSpaceDE w:val="0"/>
              <w:autoSpaceDN w:val="0"/>
              <w:adjustRightInd w:val="0"/>
              <w:jc w:val="right"/>
              <w:rPr>
                <w:szCs w:val="21"/>
              </w:rPr>
            </w:pPr>
            <w:r>
              <w:t xml:space="preserve">　</w:t>
            </w:r>
          </w:p>
        </w:tc>
      </w:tr>
      <w:tr w:rsidR="00E57DAA" w14:paraId="389DA9E5" w14:textId="77777777">
        <w:tc>
          <w:tcPr>
            <w:tcW w:w="677" w:type="pct"/>
            <w:tcBorders>
              <w:top w:val="single" w:sz="4" w:space="0" w:color="auto"/>
              <w:left w:val="single" w:sz="4" w:space="0" w:color="auto"/>
              <w:bottom w:val="single" w:sz="4" w:space="0" w:color="auto"/>
              <w:right w:val="single" w:sz="4" w:space="0" w:color="auto"/>
            </w:tcBorders>
            <w:vAlign w:val="center"/>
          </w:tcPr>
          <w:p w14:paraId="01D10EB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C2E6BC1" w14:textId="77777777" w:rsidR="00E57DAA" w:rsidRDefault="00AC4185">
            <w:pPr>
              <w:autoSpaceDE w:val="0"/>
              <w:autoSpaceDN w:val="0"/>
              <w:adjustRightInd w:val="0"/>
              <w:rPr>
                <w:szCs w:val="21"/>
              </w:rPr>
            </w:pPr>
            <w:r>
              <w:t>泰安中联混凝土有限公司</w:t>
            </w:r>
          </w:p>
        </w:tc>
        <w:tc>
          <w:tcPr>
            <w:tcW w:w="633" w:type="pct"/>
            <w:tcBorders>
              <w:top w:val="single" w:sz="4" w:space="0" w:color="auto"/>
              <w:left w:val="single" w:sz="4" w:space="0" w:color="auto"/>
              <w:bottom w:val="single" w:sz="4" w:space="0" w:color="auto"/>
              <w:right w:val="single" w:sz="4" w:space="0" w:color="auto"/>
            </w:tcBorders>
          </w:tcPr>
          <w:p w14:paraId="2BE8ACD3" w14:textId="77777777" w:rsidR="00E57DAA" w:rsidRDefault="00AC4185">
            <w:pPr>
              <w:autoSpaceDE w:val="0"/>
              <w:autoSpaceDN w:val="0"/>
              <w:adjustRightInd w:val="0"/>
              <w:jc w:val="right"/>
              <w:rPr>
                <w:szCs w:val="21"/>
              </w:rPr>
            </w:pPr>
            <w:r>
              <w:t>1,252.00</w:t>
            </w:r>
          </w:p>
        </w:tc>
        <w:tc>
          <w:tcPr>
            <w:tcW w:w="632" w:type="pct"/>
            <w:tcBorders>
              <w:top w:val="single" w:sz="4" w:space="0" w:color="auto"/>
              <w:left w:val="single" w:sz="4" w:space="0" w:color="auto"/>
              <w:bottom w:val="single" w:sz="4" w:space="0" w:color="auto"/>
              <w:right w:val="single" w:sz="4" w:space="0" w:color="auto"/>
            </w:tcBorders>
          </w:tcPr>
          <w:p w14:paraId="183ADFBD" w14:textId="77777777" w:rsidR="00E57DAA" w:rsidRDefault="00AC4185">
            <w:pPr>
              <w:autoSpaceDE w:val="0"/>
              <w:autoSpaceDN w:val="0"/>
              <w:adjustRightInd w:val="0"/>
              <w:jc w:val="right"/>
              <w:rPr>
                <w:szCs w:val="21"/>
              </w:rPr>
            </w:pPr>
            <w:r>
              <w:t>29.67</w:t>
            </w:r>
          </w:p>
        </w:tc>
        <w:tc>
          <w:tcPr>
            <w:tcW w:w="703" w:type="pct"/>
            <w:tcBorders>
              <w:top w:val="single" w:sz="4" w:space="0" w:color="auto"/>
              <w:left w:val="single" w:sz="4" w:space="0" w:color="auto"/>
              <w:bottom w:val="single" w:sz="4" w:space="0" w:color="auto"/>
              <w:right w:val="single" w:sz="4" w:space="0" w:color="auto"/>
            </w:tcBorders>
          </w:tcPr>
          <w:p w14:paraId="25A61B4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070F616" w14:textId="77777777" w:rsidR="00E57DAA" w:rsidRDefault="00AC4185">
            <w:pPr>
              <w:autoSpaceDE w:val="0"/>
              <w:autoSpaceDN w:val="0"/>
              <w:adjustRightInd w:val="0"/>
              <w:jc w:val="right"/>
              <w:rPr>
                <w:szCs w:val="21"/>
              </w:rPr>
            </w:pPr>
            <w:r>
              <w:t xml:space="preserve">　</w:t>
            </w:r>
          </w:p>
        </w:tc>
      </w:tr>
      <w:tr w:rsidR="00E57DAA" w14:paraId="1386EE2D" w14:textId="77777777">
        <w:tc>
          <w:tcPr>
            <w:tcW w:w="677" w:type="pct"/>
            <w:tcBorders>
              <w:top w:val="single" w:sz="4" w:space="0" w:color="auto"/>
              <w:left w:val="single" w:sz="4" w:space="0" w:color="auto"/>
              <w:bottom w:val="single" w:sz="4" w:space="0" w:color="auto"/>
              <w:right w:val="single" w:sz="4" w:space="0" w:color="auto"/>
            </w:tcBorders>
            <w:vAlign w:val="center"/>
          </w:tcPr>
          <w:p w14:paraId="138B926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7D5070" w14:textId="77777777" w:rsidR="00E57DAA" w:rsidRDefault="00AC4185">
            <w:pPr>
              <w:autoSpaceDE w:val="0"/>
              <w:autoSpaceDN w:val="0"/>
              <w:adjustRightInd w:val="0"/>
              <w:rPr>
                <w:szCs w:val="21"/>
              </w:rPr>
            </w:pPr>
            <w:r>
              <w:t>四川嘉华锦屏特种水泥有限责任公司</w:t>
            </w:r>
          </w:p>
        </w:tc>
        <w:tc>
          <w:tcPr>
            <w:tcW w:w="633" w:type="pct"/>
            <w:tcBorders>
              <w:top w:val="single" w:sz="4" w:space="0" w:color="auto"/>
              <w:left w:val="single" w:sz="4" w:space="0" w:color="auto"/>
              <w:bottom w:val="single" w:sz="4" w:space="0" w:color="auto"/>
              <w:right w:val="single" w:sz="4" w:space="0" w:color="auto"/>
            </w:tcBorders>
          </w:tcPr>
          <w:p w14:paraId="1E83C7A9" w14:textId="77777777" w:rsidR="00E57DAA" w:rsidRDefault="00AC4185">
            <w:pPr>
              <w:autoSpaceDE w:val="0"/>
              <w:autoSpaceDN w:val="0"/>
              <w:adjustRightInd w:val="0"/>
              <w:jc w:val="right"/>
              <w:rPr>
                <w:szCs w:val="21"/>
              </w:rPr>
            </w:pPr>
            <w:r>
              <w:t>919.64</w:t>
            </w:r>
          </w:p>
        </w:tc>
        <w:tc>
          <w:tcPr>
            <w:tcW w:w="632" w:type="pct"/>
            <w:tcBorders>
              <w:top w:val="single" w:sz="4" w:space="0" w:color="auto"/>
              <w:left w:val="single" w:sz="4" w:space="0" w:color="auto"/>
              <w:bottom w:val="single" w:sz="4" w:space="0" w:color="auto"/>
              <w:right w:val="single" w:sz="4" w:space="0" w:color="auto"/>
            </w:tcBorders>
          </w:tcPr>
          <w:p w14:paraId="408F5252" w14:textId="77777777" w:rsidR="00E57DAA" w:rsidRDefault="00AC4185">
            <w:pPr>
              <w:autoSpaceDE w:val="0"/>
              <w:autoSpaceDN w:val="0"/>
              <w:adjustRightInd w:val="0"/>
              <w:jc w:val="right"/>
              <w:rPr>
                <w:szCs w:val="21"/>
              </w:rPr>
            </w:pPr>
            <w:r>
              <w:t>919.64</w:t>
            </w:r>
          </w:p>
        </w:tc>
        <w:tc>
          <w:tcPr>
            <w:tcW w:w="703" w:type="pct"/>
            <w:tcBorders>
              <w:top w:val="single" w:sz="4" w:space="0" w:color="auto"/>
              <w:left w:val="single" w:sz="4" w:space="0" w:color="auto"/>
              <w:bottom w:val="single" w:sz="4" w:space="0" w:color="auto"/>
              <w:right w:val="single" w:sz="4" w:space="0" w:color="auto"/>
            </w:tcBorders>
          </w:tcPr>
          <w:p w14:paraId="5555E8E8" w14:textId="77777777" w:rsidR="00E57DAA" w:rsidRDefault="00AC4185">
            <w:pPr>
              <w:autoSpaceDE w:val="0"/>
              <w:autoSpaceDN w:val="0"/>
              <w:adjustRightInd w:val="0"/>
              <w:jc w:val="right"/>
              <w:rPr>
                <w:szCs w:val="21"/>
              </w:rPr>
            </w:pPr>
            <w:r>
              <w:t>919.64</w:t>
            </w:r>
          </w:p>
        </w:tc>
        <w:tc>
          <w:tcPr>
            <w:tcW w:w="914" w:type="pct"/>
            <w:tcBorders>
              <w:top w:val="single" w:sz="4" w:space="0" w:color="auto"/>
              <w:left w:val="single" w:sz="4" w:space="0" w:color="auto"/>
              <w:bottom w:val="single" w:sz="4" w:space="0" w:color="auto"/>
              <w:right w:val="single" w:sz="4" w:space="0" w:color="auto"/>
            </w:tcBorders>
          </w:tcPr>
          <w:p w14:paraId="5BD4F34E" w14:textId="77777777" w:rsidR="00E57DAA" w:rsidRDefault="00AC4185">
            <w:pPr>
              <w:autoSpaceDE w:val="0"/>
              <w:autoSpaceDN w:val="0"/>
              <w:adjustRightInd w:val="0"/>
              <w:jc w:val="right"/>
              <w:rPr>
                <w:szCs w:val="21"/>
              </w:rPr>
            </w:pPr>
            <w:r>
              <w:t>919.64</w:t>
            </w:r>
          </w:p>
        </w:tc>
      </w:tr>
      <w:tr w:rsidR="00E57DAA" w14:paraId="52BEA256" w14:textId="77777777">
        <w:tc>
          <w:tcPr>
            <w:tcW w:w="677" w:type="pct"/>
            <w:tcBorders>
              <w:top w:val="single" w:sz="4" w:space="0" w:color="auto"/>
              <w:left w:val="single" w:sz="4" w:space="0" w:color="auto"/>
              <w:bottom w:val="single" w:sz="4" w:space="0" w:color="auto"/>
              <w:right w:val="single" w:sz="4" w:space="0" w:color="auto"/>
            </w:tcBorders>
            <w:vAlign w:val="center"/>
          </w:tcPr>
          <w:p w14:paraId="3A6BEAF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92215E4" w14:textId="77777777" w:rsidR="00E57DAA" w:rsidRDefault="00AC4185">
            <w:pPr>
              <w:autoSpaceDE w:val="0"/>
              <w:autoSpaceDN w:val="0"/>
              <w:adjustRightInd w:val="0"/>
              <w:rPr>
                <w:szCs w:val="21"/>
              </w:rPr>
            </w:pPr>
            <w:r>
              <w:t>北京中建华诚混凝土有限公司</w:t>
            </w:r>
          </w:p>
        </w:tc>
        <w:tc>
          <w:tcPr>
            <w:tcW w:w="633" w:type="pct"/>
            <w:tcBorders>
              <w:top w:val="single" w:sz="4" w:space="0" w:color="auto"/>
              <w:left w:val="single" w:sz="4" w:space="0" w:color="auto"/>
              <w:bottom w:val="single" w:sz="4" w:space="0" w:color="auto"/>
              <w:right w:val="single" w:sz="4" w:space="0" w:color="auto"/>
            </w:tcBorders>
          </w:tcPr>
          <w:p w14:paraId="0BAEB7F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8D3C33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F5CC74"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36B1816A" w14:textId="77777777" w:rsidR="00E57DAA" w:rsidRDefault="00AC4185">
            <w:pPr>
              <w:autoSpaceDE w:val="0"/>
              <w:autoSpaceDN w:val="0"/>
              <w:adjustRightInd w:val="0"/>
              <w:jc w:val="right"/>
              <w:rPr>
                <w:szCs w:val="21"/>
              </w:rPr>
            </w:pPr>
            <w:r>
              <w:t>721</w:t>
            </w:r>
          </w:p>
        </w:tc>
      </w:tr>
      <w:tr w:rsidR="00E57DAA" w14:paraId="185F1EDA" w14:textId="77777777">
        <w:tc>
          <w:tcPr>
            <w:tcW w:w="677" w:type="pct"/>
            <w:tcBorders>
              <w:top w:val="single" w:sz="4" w:space="0" w:color="auto"/>
              <w:left w:val="single" w:sz="4" w:space="0" w:color="auto"/>
              <w:bottom w:val="single" w:sz="4" w:space="0" w:color="auto"/>
              <w:right w:val="single" w:sz="4" w:space="0" w:color="auto"/>
            </w:tcBorders>
            <w:vAlign w:val="center"/>
          </w:tcPr>
          <w:p w14:paraId="7666AD7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C1A4BA2" w14:textId="77777777" w:rsidR="00E57DAA" w:rsidRDefault="00AC4185">
            <w:pPr>
              <w:autoSpaceDE w:val="0"/>
              <w:autoSpaceDN w:val="0"/>
              <w:adjustRightInd w:val="0"/>
              <w:rPr>
                <w:szCs w:val="21"/>
              </w:rPr>
            </w:pPr>
            <w:r>
              <w:t>北京中联新航建材有限公司</w:t>
            </w:r>
          </w:p>
        </w:tc>
        <w:tc>
          <w:tcPr>
            <w:tcW w:w="633" w:type="pct"/>
            <w:tcBorders>
              <w:top w:val="single" w:sz="4" w:space="0" w:color="auto"/>
              <w:left w:val="single" w:sz="4" w:space="0" w:color="auto"/>
              <w:bottom w:val="single" w:sz="4" w:space="0" w:color="auto"/>
              <w:right w:val="single" w:sz="4" w:space="0" w:color="auto"/>
            </w:tcBorders>
          </w:tcPr>
          <w:p w14:paraId="77D45AB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8AA238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2210F11"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694BB4AC" w14:textId="77777777" w:rsidR="00E57DAA" w:rsidRDefault="00AC4185">
            <w:pPr>
              <w:autoSpaceDE w:val="0"/>
              <w:autoSpaceDN w:val="0"/>
              <w:adjustRightInd w:val="0"/>
              <w:jc w:val="right"/>
              <w:rPr>
                <w:szCs w:val="21"/>
              </w:rPr>
            </w:pPr>
            <w:r>
              <w:t>1,442.00</w:t>
            </w:r>
          </w:p>
        </w:tc>
      </w:tr>
      <w:tr w:rsidR="00E57DAA" w14:paraId="72D6E465" w14:textId="77777777">
        <w:tc>
          <w:tcPr>
            <w:tcW w:w="677" w:type="pct"/>
            <w:tcBorders>
              <w:top w:val="single" w:sz="4" w:space="0" w:color="auto"/>
              <w:left w:val="single" w:sz="4" w:space="0" w:color="auto"/>
              <w:bottom w:val="single" w:sz="4" w:space="0" w:color="auto"/>
              <w:right w:val="single" w:sz="4" w:space="0" w:color="auto"/>
            </w:tcBorders>
            <w:vAlign w:val="center"/>
          </w:tcPr>
          <w:p w14:paraId="142F480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4EBA655" w14:textId="77777777" w:rsidR="00E57DAA" w:rsidRDefault="00AC4185">
            <w:pPr>
              <w:autoSpaceDE w:val="0"/>
              <w:autoSpaceDN w:val="0"/>
              <w:adjustRightInd w:val="0"/>
              <w:rPr>
                <w:szCs w:val="21"/>
              </w:rPr>
            </w:pPr>
            <w:r>
              <w:t>北新集团建材股份有限公司</w:t>
            </w:r>
          </w:p>
        </w:tc>
        <w:tc>
          <w:tcPr>
            <w:tcW w:w="633" w:type="pct"/>
            <w:tcBorders>
              <w:top w:val="single" w:sz="4" w:space="0" w:color="auto"/>
              <w:left w:val="single" w:sz="4" w:space="0" w:color="auto"/>
              <w:bottom w:val="single" w:sz="4" w:space="0" w:color="auto"/>
              <w:right w:val="single" w:sz="4" w:space="0" w:color="auto"/>
            </w:tcBorders>
          </w:tcPr>
          <w:p w14:paraId="0F59110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6EE0C3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5582E77" w14:textId="77777777" w:rsidR="00E57DAA" w:rsidRDefault="00AC4185">
            <w:pPr>
              <w:autoSpaceDE w:val="0"/>
              <w:autoSpaceDN w:val="0"/>
              <w:adjustRightInd w:val="0"/>
              <w:jc w:val="right"/>
              <w:rPr>
                <w:szCs w:val="21"/>
              </w:rPr>
            </w:pPr>
            <w:r>
              <w:t>3,000.00</w:t>
            </w:r>
          </w:p>
        </w:tc>
        <w:tc>
          <w:tcPr>
            <w:tcW w:w="914" w:type="pct"/>
            <w:tcBorders>
              <w:top w:val="single" w:sz="4" w:space="0" w:color="auto"/>
              <w:left w:val="single" w:sz="4" w:space="0" w:color="auto"/>
              <w:bottom w:val="single" w:sz="4" w:space="0" w:color="auto"/>
              <w:right w:val="single" w:sz="4" w:space="0" w:color="auto"/>
            </w:tcBorders>
          </w:tcPr>
          <w:p w14:paraId="32FB6ED0" w14:textId="77777777" w:rsidR="00E57DAA" w:rsidRDefault="00AC4185">
            <w:pPr>
              <w:autoSpaceDE w:val="0"/>
              <w:autoSpaceDN w:val="0"/>
              <w:adjustRightInd w:val="0"/>
              <w:jc w:val="right"/>
              <w:rPr>
                <w:szCs w:val="21"/>
              </w:rPr>
            </w:pPr>
            <w:r>
              <w:t>3,000.00</w:t>
            </w:r>
          </w:p>
        </w:tc>
      </w:tr>
      <w:tr w:rsidR="00E57DAA" w14:paraId="1441795F" w14:textId="77777777">
        <w:tc>
          <w:tcPr>
            <w:tcW w:w="677" w:type="pct"/>
            <w:tcBorders>
              <w:top w:val="single" w:sz="4" w:space="0" w:color="auto"/>
              <w:left w:val="single" w:sz="4" w:space="0" w:color="auto"/>
              <w:bottom w:val="single" w:sz="4" w:space="0" w:color="auto"/>
              <w:right w:val="single" w:sz="4" w:space="0" w:color="auto"/>
            </w:tcBorders>
            <w:vAlign w:val="center"/>
          </w:tcPr>
          <w:p w14:paraId="3904F7C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EA2FF64" w14:textId="77777777" w:rsidR="00E57DAA" w:rsidRDefault="00AC4185">
            <w:pPr>
              <w:autoSpaceDE w:val="0"/>
              <w:autoSpaceDN w:val="0"/>
              <w:adjustRightInd w:val="0"/>
              <w:rPr>
                <w:szCs w:val="21"/>
              </w:rPr>
            </w:pPr>
            <w:r>
              <w:t>池州中建材新材料有限公司</w:t>
            </w:r>
          </w:p>
        </w:tc>
        <w:tc>
          <w:tcPr>
            <w:tcW w:w="633" w:type="pct"/>
            <w:tcBorders>
              <w:top w:val="single" w:sz="4" w:space="0" w:color="auto"/>
              <w:left w:val="single" w:sz="4" w:space="0" w:color="auto"/>
              <w:bottom w:val="single" w:sz="4" w:space="0" w:color="auto"/>
              <w:right w:val="single" w:sz="4" w:space="0" w:color="auto"/>
            </w:tcBorders>
          </w:tcPr>
          <w:p w14:paraId="1E2C4E3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4C2226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6AE6B49" w14:textId="77777777" w:rsidR="00E57DAA" w:rsidRDefault="00AC4185">
            <w:pPr>
              <w:autoSpaceDE w:val="0"/>
              <w:autoSpaceDN w:val="0"/>
              <w:adjustRightInd w:val="0"/>
              <w:jc w:val="right"/>
              <w:rPr>
                <w:szCs w:val="21"/>
              </w:rPr>
            </w:pPr>
            <w:r>
              <w:t>900,000.00</w:t>
            </w:r>
          </w:p>
        </w:tc>
        <w:tc>
          <w:tcPr>
            <w:tcW w:w="914" w:type="pct"/>
            <w:tcBorders>
              <w:top w:val="single" w:sz="4" w:space="0" w:color="auto"/>
              <w:left w:val="single" w:sz="4" w:space="0" w:color="auto"/>
              <w:bottom w:val="single" w:sz="4" w:space="0" w:color="auto"/>
              <w:right w:val="single" w:sz="4" w:space="0" w:color="auto"/>
            </w:tcBorders>
          </w:tcPr>
          <w:p w14:paraId="2C56AD42" w14:textId="77777777" w:rsidR="00E57DAA" w:rsidRDefault="00AC4185">
            <w:pPr>
              <w:autoSpaceDE w:val="0"/>
              <w:autoSpaceDN w:val="0"/>
              <w:adjustRightInd w:val="0"/>
              <w:jc w:val="right"/>
              <w:rPr>
                <w:szCs w:val="21"/>
              </w:rPr>
            </w:pPr>
            <w:r>
              <w:t>21,330.00</w:t>
            </w:r>
          </w:p>
        </w:tc>
      </w:tr>
      <w:tr w:rsidR="00E57DAA" w14:paraId="6A97E4F9" w14:textId="77777777">
        <w:tc>
          <w:tcPr>
            <w:tcW w:w="677" w:type="pct"/>
            <w:tcBorders>
              <w:top w:val="single" w:sz="4" w:space="0" w:color="auto"/>
              <w:left w:val="single" w:sz="4" w:space="0" w:color="auto"/>
              <w:bottom w:val="single" w:sz="4" w:space="0" w:color="auto"/>
              <w:right w:val="single" w:sz="4" w:space="0" w:color="auto"/>
            </w:tcBorders>
            <w:vAlign w:val="center"/>
          </w:tcPr>
          <w:p w14:paraId="2ED9F46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A82B4F0" w14:textId="77777777" w:rsidR="00E57DAA" w:rsidRDefault="00AC4185">
            <w:pPr>
              <w:autoSpaceDE w:val="0"/>
              <w:autoSpaceDN w:val="0"/>
              <w:adjustRightInd w:val="0"/>
              <w:rPr>
                <w:szCs w:val="21"/>
              </w:rPr>
            </w:pPr>
            <w:r>
              <w:t>东光中联水泥有限公司</w:t>
            </w:r>
          </w:p>
        </w:tc>
        <w:tc>
          <w:tcPr>
            <w:tcW w:w="633" w:type="pct"/>
            <w:tcBorders>
              <w:top w:val="single" w:sz="4" w:space="0" w:color="auto"/>
              <w:left w:val="single" w:sz="4" w:space="0" w:color="auto"/>
              <w:bottom w:val="single" w:sz="4" w:space="0" w:color="auto"/>
              <w:right w:val="single" w:sz="4" w:space="0" w:color="auto"/>
            </w:tcBorders>
          </w:tcPr>
          <w:p w14:paraId="0364560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B43E66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6EA3A22"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52C4FFD8" w14:textId="77777777" w:rsidR="00E57DAA" w:rsidRDefault="00AC4185">
            <w:pPr>
              <w:autoSpaceDE w:val="0"/>
              <w:autoSpaceDN w:val="0"/>
              <w:adjustRightInd w:val="0"/>
              <w:jc w:val="right"/>
              <w:rPr>
                <w:szCs w:val="21"/>
              </w:rPr>
            </w:pPr>
            <w:r>
              <w:t>1,402.80</w:t>
            </w:r>
          </w:p>
        </w:tc>
      </w:tr>
      <w:tr w:rsidR="00E57DAA" w14:paraId="1678AEF8" w14:textId="77777777">
        <w:tc>
          <w:tcPr>
            <w:tcW w:w="677" w:type="pct"/>
            <w:tcBorders>
              <w:top w:val="single" w:sz="4" w:space="0" w:color="auto"/>
              <w:left w:val="single" w:sz="4" w:space="0" w:color="auto"/>
              <w:bottom w:val="single" w:sz="4" w:space="0" w:color="auto"/>
              <w:right w:val="single" w:sz="4" w:space="0" w:color="auto"/>
            </w:tcBorders>
            <w:vAlign w:val="center"/>
          </w:tcPr>
          <w:p w14:paraId="603806B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0656CCC" w14:textId="77777777" w:rsidR="00E57DAA" w:rsidRDefault="00AC4185">
            <w:pPr>
              <w:autoSpaceDE w:val="0"/>
              <w:autoSpaceDN w:val="0"/>
              <w:adjustRightInd w:val="0"/>
              <w:rPr>
                <w:szCs w:val="21"/>
              </w:rPr>
            </w:pPr>
            <w:r>
              <w:t>贵州科特林水泥有限公司</w:t>
            </w:r>
          </w:p>
        </w:tc>
        <w:tc>
          <w:tcPr>
            <w:tcW w:w="633" w:type="pct"/>
            <w:tcBorders>
              <w:top w:val="single" w:sz="4" w:space="0" w:color="auto"/>
              <w:left w:val="single" w:sz="4" w:space="0" w:color="auto"/>
              <w:bottom w:val="single" w:sz="4" w:space="0" w:color="auto"/>
              <w:right w:val="single" w:sz="4" w:space="0" w:color="auto"/>
            </w:tcBorders>
          </w:tcPr>
          <w:p w14:paraId="2E0BA64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FF7A9C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B39B813" w14:textId="77777777" w:rsidR="00E57DAA" w:rsidRDefault="00AC4185">
            <w:pPr>
              <w:autoSpaceDE w:val="0"/>
              <w:autoSpaceDN w:val="0"/>
              <w:adjustRightInd w:val="0"/>
              <w:jc w:val="right"/>
              <w:rPr>
                <w:szCs w:val="21"/>
              </w:rPr>
            </w:pPr>
            <w:r>
              <w:t>405,000.00</w:t>
            </w:r>
          </w:p>
        </w:tc>
        <w:tc>
          <w:tcPr>
            <w:tcW w:w="914" w:type="pct"/>
            <w:tcBorders>
              <w:top w:val="single" w:sz="4" w:space="0" w:color="auto"/>
              <w:left w:val="single" w:sz="4" w:space="0" w:color="auto"/>
              <w:bottom w:val="single" w:sz="4" w:space="0" w:color="auto"/>
              <w:right w:val="single" w:sz="4" w:space="0" w:color="auto"/>
            </w:tcBorders>
          </w:tcPr>
          <w:p w14:paraId="605776E2" w14:textId="77777777" w:rsidR="00E57DAA" w:rsidRDefault="00AC4185">
            <w:pPr>
              <w:autoSpaceDE w:val="0"/>
              <w:autoSpaceDN w:val="0"/>
              <w:adjustRightInd w:val="0"/>
              <w:jc w:val="right"/>
              <w:rPr>
                <w:szCs w:val="21"/>
              </w:rPr>
            </w:pPr>
            <w:r>
              <w:t>405,000.00</w:t>
            </w:r>
          </w:p>
        </w:tc>
      </w:tr>
      <w:tr w:rsidR="00E57DAA" w14:paraId="6EABD5A3" w14:textId="77777777">
        <w:tc>
          <w:tcPr>
            <w:tcW w:w="677" w:type="pct"/>
            <w:tcBorders>
              <w:top w:val="single" w:sz="4" w:space="0" w:color="auto"/>
              <w:left w:val="single" w:sz="4" w:space="0" w:color="auto"/>
              <w:bottom w:val="single" w:sz="4" w:space="0" w:color="auto"/>
              <w:right w:val="single" w:sz="4" w:space="0" w:color="auto"/>
            </w:tcBorders>
            <w:vAlign w:val="center"/>
          </w:tcPr>
          <w:p w14:paraId="2EDD2507"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74E25B93" w14:textId="77777777" w:rsidR="00E57DAA" w:rsidRDefault="00AC4185">
            <w:pPr>
              <w:autoSpaceDE w:val="0"/>
              <w:autoSpaceDN w:val="0"/>
              <w:adjustRightInd w:val="0"/>
              <w:rPr>
                <w:szCs w:val="21"/>
              </w:rPr>
            </w:pPr>
            <w:r>
              <w:t>贵州省松桃高力水泥实业有限公司</w:t>
            </w:r>
          </w:p>
        </w:tc>
        <w:tc>
          <w:tcPr>
            <w:tcW w:w="633" w:type="pct"/>
            <w:tcBorders>
              <w:top w:val="single" w:sz="4" w:space="0" w:color="auto"/>
              <w:left w:val="single" w:sz="4" w:space="0" w:color="auto"/>
              <w:bottom w:val="single" w:sz="4" w:space="0" w:color="auto"/>
              <w:right w:val="single" w:sz="4" w:space="0" w:color="auto"/>
            </w:tcBorders>
          </w:tcPr>
          <w:p w14:paraId="2AE0150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193ACD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95ACB9C" w14:textId="77777777" w:rsidR="00E57DAA" w:rsidRDefault="00AC4185">
            <w:pPr>
              <w:autoSpaceDE w:val="0"/>
              <w:autoSpaceDN w:val="0"/>
              <w:adjustRightInd w:val="0"/>
              <w:jc w:val="right"/>
              <w:rPr>
                <w:szCs w:val="21"/>
              </w:rPr>
            </w:pPr>
            <w:r>
              <w:t>11,000.00</w:t>
            </w:r>
          </w:p>
        </w:tc>
        <w:tc>
          <w:tcPr>
            <w:tcW w:w="914" w:type="pct"/>
            <w:tcBorders>
              <w:top w:val="single" w:sz="4" w:space="0" w:color="auto"/>
              <w:left w:val="single" w:sz="4" w:space="0" w:color="auto"/>
              <w:bottom w:val="single" w:sz="4" w:space="0" w:color="auto"/>
              <w:right w:val="single" w:sz="4" w:space="0" w:color="auto"/>
            </w:tcBorders>
          </w:tcPr>
          <w:p w14:paraId="3B42044D" w14:textId="77777777" w:rsidR="00E57DAA" w:rsidRDefault="00AC4185">
            <w:pPr>
              <w:autoSpaceDE w:val="0"/>
              <w:autoSpaceDN w:val="0"/>
              <w:adjustRightInd w:val="0"/>
              <w:jc w:val="right"/>
              <w:rPr>
                <w:szCs w:val="21"/>
              </w:rPr>
            </w:pPr>
            <w:r>
              <w:t>3,954.50</w:t>
            </w:r>
          </w:p>
        </w:tc>
      </w:tr>
      <w:tr w:rsidR="00E57DAA" w14:paraId="76FAF9CA" w14:textId="77777777">
        <w:tc>
          <w:tcPr>
            <w:tcW w:w="677" w:type="pct"/>
            <w:tcBorders>
              <w:top w:val="single" w:sz="4" w:space="0" w:color="auto"/>
              <w:left w:val="single" w:sz="4" w:space="0" w:color="auto"/>
              <w:bottom w:val="single" w:sz="4" w:space="0" w:color="auto"/>
              <w:right w:val="single" w:sz="4" w:space="0" w:color="auto"/>
            </w:tcBorders>
            <w:vAlign w:val="center"/>
          </w:tcPr>
          <w:p w14:paraId="512FBBF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F4B906F" w14:textId="77777777" w:rsidR="00E57DAA" w:rsidRDefault="00AC4185">
            <w:pPr>
              <w:autoSpaceDE w:val="0"/>
              <w:autoSpaceDN w:val="0"/>
              <w:adjustRightInd w:val="0"/>
              <w:rPr>
                <w:szCs w:val="21"/>
              </w:rPr>
            </w:pPr>
            <w:r>
              <w:t>贵州西南联合新材料科技有限公司</w:t>
            </w:r>
          </w:p>
        </w:tc>
        <w:tc>
          <w:tcPr>
            <w:tcW w:w="633" w:type="pct"/>
            <w:tcBorders>
              <w:top w:val="single" w:sz="4" w:space="0" w:color="auto"/>
              <w:left w:val="single" w:sz="4" w:space="0" w:color="auto"/>
              <w:bottom w:val="single" w:sz="4" w:space="0" w:color="auto"/>
              <w:right w:val="single" w:sz="4" w:space="0" w:color="auto"/>
            </w:tcBorders>
          </w:tcPr>
          <w:p w14:paraId="00F0BCA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E8233B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4063C7C" w14:textId="77777777" w:rsidR="00E57DAA" w:rsidRDefault="00AC4185">
            <w:pPr>
              <w:autoSpaceDE w:val="0"/>
              <w:autoSpaceDN w:val="0"/>
              <w:adjustRightInd w:val="0"/>
              <w:jc w:val="right"/>
              <w:rPr>
                <w:szCs w:val="21"/>
              </w:rPr>
            </w:pPr>
            <w:r>
              <w:t>34,661.19</w:t>
            </w:r>
          </w:p>
        </w:tc>
        <w:tc>
          <w:tcPr>
            <w:tcW w:w="914" w:type="pct"/>
            <w:tcBorders>
              <w:top w:val="single" w:sz="4" w:space="0" w:color="auto"/>
              <w:left w:val="single" w:sz="4" w:space="0" w:color="auto"/>
              <w:bottom w:val="single" w:sz="4" w:space="0" w:color="auto"/>
              <w:right w:val="single" w:sz="4" w:space="0" w:color="auto"/>
            </w:tcBorders>
          </w:tcPr>
          <w:p w14:paraId="0E4B39F4" w14:textId="77777777" w:rsidR="00E57DAA" w:rsidRDefault="00AC4185">
            <w:pPr>
              <w:autoSpaceDE w:val="0"/>
              <w:autoSpaceDN w:val="0"/>
              <w:adjustRightInd w:val="0"/>
              <w:jc w:val="right"/>
              <w:rPr>
                <w:szCs w:val="21"/>
              </w:rPr>
            </w:pPr>
            <w:r>
              <w:t>6,318.73</w:t>
            </w:r>
          </w:p>
        </w:tc>
      </w:tr>
      <w:tr w:rsidR="00E57DAA" w14:paraId="585A3614" w14:textId="77777777">
        <w:tc>
          <w:tcPr>
            <w:tcW w:w="677" w:type="pct"/>
            <w:tcBorders>
              <w:top w:val="single" w:sz="4" w:space="0" w:color="auto"/>
              <w:left w:val="single" w:sz="4" w:space="0" w:color="auto"/>
              <w:bottom w:val="single" w:sz="4" w:space="0" w:color="auto"/>
              <w:right w:val="single" w:sz="4" w:space="0" w:color="auto"/>
            </w:tcBorders>
            <w:vAlign w:val="center"/>
          </w:tcPr>
          <w:p w14:paraId="154DA46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A90485" w14:textId="77777777" w:rsidR="00E57DAA" w:rsidRDefault="00AC4185">
            <w:pPr>
              <w:autoSpaceDE w:val="0"/>
              <w:autoSpaceDN w:val="0"/>
              <w:adjustRightInd w:val="0"/>
              <w:rPr>
                <w:szCs w:val="21"/>
              </w:rPr>
            </w:pPr>
            <w:r>
              <w:t>贵州中诚水泥有限公司</w:t>
            </w:r>
          </w:p>
        </w:tc>
        <w:tc>
          <w:tcPr>
            <w:tcW w:w="633" w:type="pct"/>
            <w:tcBorders>
              <w:top w:val="single" w:sz="4" w:space="0" w:color="auto"/>
              <w:left w:val="single" w:sz="4" w:space="0" w:color="auto"/>
              <w:bottom w:val="single" w:sz="4" w:space="0" w:color="auto"/>
              <w:right w:val="single" w:sz="4" w:space="0" w:color="auto"/>
            </w:tcBorders>
          </w:tcPr>
          <w:p w14:paraId="151F3AE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A22BE6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1EF4823" w14:textId="77777777" w:rsidR="00E57DAA" w:rsidRDefault="00AC4185">
            <w:pPr>
              <w:autoSpaceDE w:val="0"/>
              <w:autoSpaceDN w:val="0"/>
              <w:adjustRightInd w:val="0"/>
              <w:jc w:val="right"/>
              <w:rPr>
                <w:szCs w:val="21"/>
              </w:rPr>
            </w:pPr>
            <w:r>
              <w:t>758,081.05</w:t>
            </w:r>
          </w:p>
        </w:tc>
        <w:tc>
          <w:tcPr>
            <w:tcW w:w="914" w:type="pct"/>
            <w:tcBorders>
              <w:top w:val="single" w:sz="4" w:space="0" w:color="auto"/>
              <w:left w:val="single" w:sz="4" w:space="0" w:color="auto"/>
              <w:bottom w:val="single" w:sz="4" w:space="0" w:color="auto"/>
              <w:right w:val="single" w:sz="4" w:space="0" w:color="auto"/>
            </w:tcBorders>
          </w:tcPr>
          <w:p w14:paraId="63AF54EF" w14:textId="77777777" w:rsidR="00E57DAA" w:rsidRDefault="00AC4185">
            <w:pPr>
              <w:autoSpaceDE w:val="0"/>
              <w:autoSpaceDN w:val="0"/>
              <w:adjustRightInd w:val="0"/>
              <w:jc w:val="right"/>
              <w:rPr>
                <w:szCs w:val="21"/>
              </w:rPr>
            </w:pPr>
            <w:r>
              <w:t>151.62</w:t>
            </w:r>
          </w:p>
        </w:tc>
      </w:tr>
      <w:tr w:rsidR="00E57DAA" w14:paraId="03CC56BE" w14:textId="77777777">
        <w:tc>
          <w:tcPr>
            <w:tcW w:w="677" w:type="pct"/>
            <w:tcBorders>
              <w:top w:val="single" w:sz="4" w:space="0" w:color="auto"/>
              <w:left w:val="single" w:sz="4" w:space="0" w:color="auto"/>
              <w:bottom w:val="single" w:sz="4" w:space="0" w:color="auto"/>
              <w:right w:val="single" w:sz="4" w:space="0" w:color="auto"/>
            </w:tcBorders>
            <w:vAlign w:val="center"/>
          </w:tcPr>
          <w:p w14:paraId="17D994A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27A587" w14:textId="77777777" w:rsidR="00E57DAA" w:rsidRDefault="00AC4185">
            <w:pPr>
              <w:autoSpaceDE w:val="0"/>
              <w:autoSpaceDN w:val="0"/>
              <w:adjustRightInd w:val="0"/>
              <w:rPr>
                <w:szCs w:val="21"/>
              </w:rPr>
            </w:pPr>
            <w:r>
              <w:t>杭州瑞磊建材有限公司</w:t>
            </w:r>
          </w:p>
        </w:tc>
        <w:tc>
          <w:tcPr>
            <w:tcW w:w="633" w:type="pct"/>
            <w:tcBorders>
              <w:top w:val="single" w:sz="4" w:space="0" w:color="auto"/>
              <w:left w:val="single" w:sz="4" w:space="0" w:color="auto"/>
              <w:bottom w:val="single" w:sz="4" w:space="0" w:color="auto"/>
              <w:right w:val="single" w:sz="4" w:space="0" w:color="auto"/>
            </w:tcBorders>
          </w:tcPr>
          <w:p w14:paraId="3905F8F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52E170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435E020" w14:textId="77777777" w:rsidR="00E57DAA" w:rsidRDefault="00AC4185">
            <w:pPr>
              <w:autoSpaceDE w:val="0"/>
              <w:autoSpaceDN w:val="0"/>
              <w:adjustRightInd w:val="0"/>
              <w:jc w:val="right"/>
              <w:rPr>
                <w:szCs w:val="21"/>
              </w:rPr>
            </w:pPr>
            <w:r>
              <w:t>290,900.00</w:t>
            </w:r>
          </w:p>
        </w:tc>
        <w:tc>
          <w:tcPr>
            <w:tcW w:w="914" w:type="pct"/>
            <w:tcBorders>
              <w:top w:val="single" w:sz="4" w:space="0" w:color="auto"/>
              <w:left w:val="single" w:sz="4" w:space="0" w:color="auto"/>
              <w:bottom w:val="single" w:sz="4" w:space="0" w:color="auto"/>
              <w:right w:val="single" w:sz="4" w:space="0" w:color="auto"/>
            </w:tcBorders>
          </w:tcPr>
          <w:p w14:paraId="61E40623" w14:textId="77777777" w:rsidR="00E57DAA" w:rsidRDefault="00AC4185">
            <w:pPr>
              <w:autoSpaceDE w:val="0"/>
              <w:autoSpaceDN w:val="0"/>
              <w:adjustRightInd w:val="0"/>
              <w:jc w:val="right"/>
              <w:rPr>
                <w:szCs w:val="21"/>
              </w:rPr>
            </w:pPr>
            <w:r>
              <w:t>29,090.00</w:t>
            </w:r>
          </w:p>
        </w:tc>
      </w:tr>
      <w:tr w:rsidR="00E57DAA" w14:paraId="0DB77044" w14:textId="77777777">
        <w:tc>
          <w:tcPr>
            <w:tcW w:w="677" w:type="pct"/>
            <w:tcBorders>
              <w:top w:val="single" w:sz="4" w:space="0" w:color="auto"/>
              <w:left w:val="single" w:sz="4" w:space="0" w:color="auto"/>
              <w:bottom w:val="single" w:sz="4" w:space="0" w:color="auto"/>
              <w:right w:val="single" w:sz="4" w:space="0" w:color="auto"/>
            </w:tcBorders>
            <w:vAlign w:val="center"/>
          </w:tcPr>
          <w:p w14:paraId="51286B5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6AA20C1" w14:textId="77777777" w:rsidR="00E57DAA" w:rsidRDefault="00AC4185">
            <w:pPr>
              <w:autoSpaceDE w:val="0"/>
              <w:autoSpaceDN w:val="0"/>
              <w:adjustRightInd w:val="0"/>
              <w:rPr>
                <w:szCs w:val="21"/>
              </w:rPr>
            </w:pPr>
            <w:r>
              <w:t>湖州兴浦南方水泥有限公司</w:t>
            </w:r>
          </w:p>
        </w:tc>
        <w:tc>
          <w:tcPr>
            <w:tcW w:w="633" w:type="pct"/>
            <w:tcBorders>
              <w:top w:val="single" w:sz="4" w:space="0" w:color="auto"/>
              <w:left w:val="single" w:sz="4" w:space="0" w:color="auto"/>
              <w:bottom w:val="single" w:sz="4" w:space="0" w:color="auto"/>
              <w:right w:val="single" w:sz="4" w:space="0" w:color="auto"/>
            </w:tcBorders>
          </w:tcPr>
          <w:p w14:paraId="17B7382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AF2C25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160241" w14:textId="77777777" w:rsidR="00E57DAA" w:rsidRDefault="00AC4185">
            <w:pPr>
              <w:autoSpaceDE w:val="0"/>
              <w:autoSpaceDN w:val="0"/>
              <w:adjustRightInd w:val="0"/>
              <w:jc w:val="right"/>
              <w:rPr>
                <w:szCs w:val="21"/>
              </w:rPr>
            </w:pPr>
            <w:r>
              <w:t>147,000.00</w:t>
            </w:r>
          </w:p>
        </w:tc>
        <w:tc>
          <w:tcPr>
            <w:tcW w:w="914" w:type="pct"/>
            <w:tcBorders>
              <w:top w:val="single" w:sz="4" w:space="0" w:color="auto"/>
              <w:left w:val="single" w:sz="4" w:space="0" w:color="auto"/>
              <w:bottom w:val="single" w:sz="4" w:space="0" w:color="auto"/>
              <w:right w:val="single" w:sz="4" w:space="0" w:color="auto"/>
            </w:tcBorders>
          </w:tcPr>
          <w:p w14:paraId="2D616DA0" w14:textId="77777777" w:rsidR="00E57DAA" w:rsidRDefault="00AC4185">
            <w:pPr>
              <w:autoSpaceDE w:val="0"/>
              <w:autoSpaceDN w:val="0"/>
              <w:adjustRightInd w:val="0"/>
              <w:jc w:val="right"/>
              <w:rPr>
                <w:szCs w:val="21"/>
              </w:rPr>
            </w:pPr>
            <w:r>
              <w:t>1,543.50</w:t>
            </w:r>
          </w:p>
        </w:tc>
      </w:tr>
      <w:tr w:rsidR="00E57DAA" w14:paraId="05CE0F5D" w14:textId="77777777">
        <w:tc>
          <w:tcPr>
            <w:tcW w:w="677" w:type="pct"/>
            <w:tcBorders>
              <w:top w:val="single" w:sz="4" w:space="0" w:color="auto"/>
              <w:left w:val="single" w:sz="4" w:space="0" w:color="auto"/>
              <w:bottom w:val="single" w:sz="4" w:space="0" w:color="auto"/>
              <w:right w:val="single" w:sz="4" w:space="0" w:color="auto"/>
            </w:tcBorders>
            <w:vAlign w:val="center"/>
          </w:tcPr>
          <w:p w14:paraId="515A8BB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9AEA900" w14:textId="77777777" w:rsidR="00E57DAA" w:rsidRDefault="00AC4185">
            <w:pPr>
              <w:autoSpaceDE w:val="0"/>
              <w:autoSpaceDN w:val="0"/>
              <w:adjustRightInd w:val="0"/>
              <w:rPr>
                <w:szCs w:val="21"/>
              </w:rPr>
            </w:pPr>
            <w:r>
              <w:t>嘉善南方水泥有限公司</w:t>
            </w:r>
          </w:p>
        </w:tc>
        <w:tc>
          <w:tcPr>
            <w:tcW w:w="633" w:type="pct"/>
            <w:tcBorders>
              <w:top w:val="single" w:sz="4" w:space="0" w:color="auto"/>
              <w:left w:val="single" w:sz="4" w:space="0" w:color="auto"/>
              <w:bottom w:val="single" w:sz="4" w:space="0" w:color="auto"/>
              <w:right w:val="single" w:sz="4" w:space="0" w:color="auto"/>
            </w:tcBorders>
          </w:tcPr>
          <w:p w14:paraId="5C961D5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5F0A99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CA6B98D" w14:textId="77777777" w:rsidR="00E57DAA" w:rsidRDefault="00AC4185">
            <w:pPr>
              <w:autoSpaceDE w:val="0"/>
              <w:autoSpaceDN w:val="0"/>
              <w:adjustRightInd w:val="0"/>
              <w:jc w:val="right"/>
              <w:rPr>
                <w:szCs w:val="21"/>
              </w:rPr>
            </w:pPr>
            <w:r>
              <w:t>83,160.00</w:t>
            </w:r>
          </w:p>
        </w:tc>
        <w:tc>
          <w:tcPr>
            <w:tcW w:w="914" w:type="pct"/>
            <w:tcBorders>
              <w:top w:val="single" w:sz="4" w:space="0" w:color="auto"/>
              <w:left w:val="single" w:sz="4" w:space="0" w:color="auto"/>
              <w:bottom w:val="single" w:sz="4" w:space="0" w:color="auto"/>
              <w:right w:val="single" w:sz="4" w:space="0" w:color="auto"/>
            </w:tcBorders>
          </w:tcPr>
          <w:p w14:paraId="2329632A" w14:textId="77777777" w:rsidR="00E57DAA" w:rsidRDefault="00AC4185">
            <w:pPr>
              <w:autoSpaceDE w:val="0"/>
              <w:autoSpaceDN w:val="0"/>
              <w:adjustRightInd w:val="0"/>
              <w:jc w:val="right"/>
              <w:rPr>
                <w:szCs w:val="21"/>
              </w:rPr>
            </w:pPr>
            <w:r>
              <w:t>4,158.00</w:t>
            </w:r>
          </w:p>
        </w:tc>
      </w:tr>
      <w:tr w:rsidR="00E57DAA" w14:paraId="239B5D9B" w14:textId="77777777">
        <w:tc>
          <w:tcPr>
            <w:tcW w:w="677" w:type="pct"/>
            <w:tcBorders>
              <w:top w:val="single" w:sz="4" w:space="0" w:color="auto"/>
              <w:left w:val="single" w:sz="4" w:space="0" w:color="auto"/>
              <w:bottom w:val="single" w:sz="4" w:space="0" w:color="auto"/>
              <w:right w:val="single" w:sz="4" w:space="0" w:color="auto"/>
            </w:tcBorders>
            <w:vAlign w:val="center"/>
          </w:tcPr>
          <w:p w14:paraId="4D3012B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4BC017" w14:textId="77777777" w:rsidR="00E57DAA" w:rsidRDefault="00AC4185">
            <w:pPr>
              <w:autoSpaceDE w:val="0"/>
              <w:autoSpaceDN w:val="0"/>
              <w:adjustRightInd w:val="0"/>
              <w:rPr>
                <w:szCs w:val="21"/>
              </w:rPr>
            </w:pPr>
            <w:r>
              <w:t>郏县中联天广水泥有限公司</w:t>
            </w:r>
          </w:p>
        </w:tc>
        <w:tc>
          <w:tcPr>
            <w:tcW w:w="633" w:type="pct"/>
            <w:tcBorders>
              <w:top w:val="single" w:sz="4" w:space="0" w:color="auto"/>
              <w:left w:val="single" w:sz="4" w:space="0" w:color="auto"/>
              <w:bottom w:val="single" w:sz="4" w:space="0" w:color="auto"/>
              <w:right w:val="single" w:sz="4" w:space="0" w:color="auto"/>
            </w:tcBorders>
          </w:tcPr>
          <w:p w14:paraId="1D150D9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BB8496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7E3E60D" w14:textId="77777777" w:rsidR="00E57DAA" w:rsidRDefault="00AC4185">
            <w:pPr>
              <w:autoSpaceDE w:val="0"/>
              <w:autoSpaceDN w:val="0"/>
              <w:adjustRightInd w:val="0"/>
              <w:jc w:val="right"/>
              <w:rPr>
                <w:szCs w:val="21"/>
              </w:rPr>
            </w:pPr>
            <w:r>
              <w:t>2,107.00</w:t>
            </w:r>
          </w:p>
        </w:tc>
        <w:tc>
          <w:tcPr>
            <w:tcW w:w="914" w:type="pct"/>
            <w:tcBorders>
              <w:top w:val="single" w:sz="4" w:space="0" w:color="auto"/>
              <w:left w:val="single" w:sz="4" w:space="0" w:color="auto"/>
              <w:bottom w:val="single" w:sz="4" w:space="0" w:color="auto"/>
              <w:right w:val="single" w:sz="4" w:space="0" w:color="auto"/>
            </w:tcBorders>
          </w:tcPr>
          <w:p w14:paraId="7CFD7C6D" w14:textId="77777777" w:rsidR="00E57DAA" w:rsidRDefault="00AC4185">
            <w:pPr>
              <w:autoSpaceDE w:val="0"/>
              <w:autoSpaceDN w:val="0"/>
              <w:adjustRightInd w:val="0"/>
              <w:jc w:val="right"/>
              <w:rPr>
                <w:szCs w:val="21"/>
              </w:rPr>
            </w:pPr>
            <w:r>
              <w:t>2,107.00</w:t>
            </w:r>
          </w:p>
        </w:tc>
      </w:tr>
      <w:tr w:rsidR="00E57DAA" w14:paraId="040462B0" w14:textId="77777777">
        <w:tc>
          <w:tcPr>
            <w:tcW w:w="677" w:type="pct"/>
            <w:tcBorders>
              <w:top w:val="single" w:sz="4" w:space="0" w:color="auto"/>
              <w:left w:val="single" w:sz="4" w:space="0" w:color="auto"/>
              <w:bottom w:val="single" w:sz="4" w:space="0" w:color="auto"/>
              <w:right w:val="single" w:sz="4" w:space="0" w:color="auto"/>
            </w:tcBorders>
            <w:vAlign w:val="center"/>
          </w:tcPr>
          <w:p w14:paraId="1A62CE7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B9765D3" w14:textId="77777777" w:rsidR="00E57DAA" w:rsidRDefault="00AC4185">
            <w:pPr>
              <w:autoSpaceDE w:val="0"/>
              <w:autoSpaceDN w:val="0"/>
              <w:adjustRightInd w:val="0"/>
              <w:rPr>
                <w:szCs w:val="21"/>
              </w:rPr>
            </w:pPr>
            <w:r>
              <w:t>江苏新街南方水泥有限公司</w:t>
            </w:r>
          </w:p>
        </w:tc>
        <w:tc>
          <w:tcPr>
            <w:tcW w:w="633" w:type="pct"/>
            <w:tcBorders>
              <w:top w:val="single" w:sz="4" w:space="0" w:color="auto"/>
              <w:left w:val="single" w:sz="4" w:space="0" w:color="auto"/>
              <w:bottom w:val="single" w:sz="4" w:space="0" w:color="auto"/>
              <w:right w:val="single" w:sz="4" w:space="0" w:color="auto"/>
            </w:tcBorders>
          </w:tcPr>
          <w:p w14:paraId="5A2A2B2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EC5D59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6A04066" w14:textId="77777777" w:rsidR="00E57DAA" w:rsidRDefault="00AC4185">
            <w:pPr>
              <w:autoSpaceDE w:val="0"/>
              <w:autoSpaceDN w:val="0"/>
              <w:adjustRightInd w:val="0"/>
              <w:jc w:val="right"/>
              <w:rPr>
                <w:szCs w:val="21"/>
              </w:rPr>
            </w:pPr>
            <w:r>
              <w:t>139,542.08</w:t>
            </w:r>
          </w:p>
        </w:tc>
        <w:tc>
          <w:tcPr>
            <w:tcW w:w="914" w:type="pct"/>
            <w:tcBorders>
              <w:top w:val="single" w:sz="4" w:space="0" w:color="auto"/>
              <w:left w:val="single" w:sz="4" w:space="0" w:color="auto"/>
              <w:bottom w:val="single" w:sz="4" w:space="0" w:color="auto"/>
              <w:right w:val="single" w:sz="4" w:space="0" w:color="auto"/>
            </w:tcBorders>
          </w:tcPr>
          <w:p w14:paraId="6CD35F85" w14:textId="77777777" w:rsidR="00E57DAA" w:rsidRDefault="00AC4185">
            <w:pPr>
              <w:autoSpaceDE w:val="0"/>
              <w:autoSpaceDN w:val="0"/>
              <w:adjustRightInd w:val="0"/>
              <w:jc w:val="right"/>
              <w:rPr>
                <w:szCs w:val="21"/>
              </w:rPr>
            </w:pPr>
            <w:r>
              <w:t>50,338.49</w:t>
            </w:r>
          </w:p>
        </w:tc>
      </w:tr>
      <w:tr w:rsidR="00E57DAA" w14:paraId="09CD6992" w14:textId="77777777">
        <w:tc>
          <w:tcPr>
            <w:tcW w:w="677" w:type="pct"/>
            <w:tcBorders>
              <w:top w:val="single" w:sz="4" w:space="0" w:color="auto"/>
              <w:left w:val="single" w:sz="4" w:space="0" w:color="auto"/>
              <w:bottom w:val="single" w:sz="4" w:space="0" w:color="auto"/>
              <w:right w:val="single" w:sz="4" w:space="0" w:color="auto"/>
            </w:tcBorders>
            <w:vAlign w:val="center"/>
          </w:tcPr>
          <w:p w14:paraId="374AA6A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5E8D8D2" w14:textId="77777777" w:rsidR="00E57DAA" w:rsidRDefault="00AC4185">
            <w:pPr>
              <w:autoSpaceDE w:val="0"/>
              <w:autoSpaceDN w:val="0"/>
              <w:adjustRightInd w:val="0"/>
              <w:rPr>
                <w:szCs w:val="21"/>
              </w:rPr>
            </w:pPr>
            <w:r>
              <w:t>江苏徐舍南方水泥有限公司</w:t>
            </w:r>
          </w:p>
        </w:tc>
        <w:tc>
          <w:tcPr>
            <w:tcW w:w="633" w:type="pct"/>
            <w:tcBorders>
              <w:top w:val="single" w:sz="4" w:space="0" w:color="auto"/>
              <w:left w:val="single" w:sz="4" w:space="0" w:color="auto"/>
              <w:bottom w:val="single" w:sz="4" w:space="0" w:color="auto"/>
              <w:right w:val="single" w:sz="4" w:space="0" w:color="auto"/>
            </w:tcBorders>
          </w:tcPr>
          <w:p w14:paraId="10D2BCF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FA73C6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DC5D107" w14:textId="77777777" w:rsidR="00E57DAA" w:rsidRDefault="00AC4185">
            <w:pPr>
              <w:autoSpaceDE w:val="0"/>
              <w:autoSpaceDN w:val="0"/>
              <w:adjustRightInd w:val="0"/>
              <w:jc w:val="right"/>
              <w:rPr>
                <w:szCs w:val="21"/>
              </w:rPr>
            </w:pPr>
            <w:r>
              <w:t>30,000.00</w:t>
            </w:r>
          </w:p>
        </w:tc>
        <w:tc>
          <w:tcPr>
            <w:tcW w:w="914" w:type="pct"/>
            <w:tcBorders>
              <w:top w:val="single" w:sz="4" w:space="0" w:color="auto"/>
              <w:left w:val="single" w:sz="4" w:space="0" w:color="auto"/>
              <w:bottom w:val="single" w:sz="4" w:space="0" w:color="auto"/>
              <w:right w:val="single" w:sz="4" w:space="0" w:color="auto"/>
            </w:tcBorders>
          </w:tcPr>
          <w:p w14:paraId="38F0D2A2" w14:textId="77777777" w:rsidR="00E57DAA" w:rsidRDefault="00AC4185">
            <w:pPr>
              <w:autoSpaceDE w:val="0"/>
              <w:autoSpaceDN w:val="0"/>
              <w:adjustRightInd w:val="0"/>
              <w:jc w:val="right"/>
              <w:rPr>
                <w:szCs w:val="21"/>
              </w:rPr>
            </w:pPr>
            <w:r>
              <w:t>30,000.00</w:t>
            </w:r>
          </w:p>
        </w:tc>
      </w:tr>
      <w:tr w:rsidR="00E57DAA" w14:paraId="574B6B14" w14:textId="77777777">
        <w:tc>
          <w:tcPr>
            <w:tcW w:w="677" w:type="pct"/>
            <w:tcBorders>
              <w:top w:val="single" w:sz="4" w:space="0" w:color="auto"/>
              <w:left w:val="single" w:sz="4" w:space="0" w:color="auto"/>
              <w:bottom w:val="single" w:sz="4" w:space="0" w:color="auto"/>
              <w:right w:val="single" w:sz="4" w:space="0" w:color="auto"/>
            </w:tcBorders>
            <w:vAlign w:val="center"/>
          </w:tcPr>
          <w:p w14:paraId="2857BBE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D0CA7C" w14:textId="77777777" w:rsidR="00E57DAA" w:rsidRDefault="00AC4185">
            <w:pPr>
              <w:autoSpaceDE w:val="0"/>
              <w:autoSpaceDN w:val="0"/>
              <w:adjustRightInd w:val="0"/>
              <w:rPr>
                <w:szCs w:val="21"/>
              </w:rPr>
            </w:pPr>
            <w:r>
              <w:t>兰溪南方水泥有限公司</w:t>
            </w:r>
          </w:p>
        </w:tc>
        <w:tc>
          <w:tcPr>
            <w:tcW w:w="633" w:type="pct"/>
            <w:tcBorders>
              <w:top w:val="single" w:sz="4" w:space="0" w:color="auto"/>
              <w:left w:val="single" w:sz="4" w:space="0" w:color="auto"/>
              <w:bottom w:val="single" w:sz="4" w:space="0" w:color="auto"/>
              <w:right w:val="single" w:sz="4" w:space="0" w:color="auto"/>
            </w:tcBorders>
          </w:tcPr>
          <w:p w14:paraId="0CF4E60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A2901A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231CB47" w14:textId="77777777" w:rsidR="00E57DAA" w:rsidRDefault="00AC4185">
            <w:pPr>
              <w:autoSpaceDE w:val="0"/>
              <w:autoSpaceDN w:val="0"/>
              <w:adjustRightInd w:val="0"/>
              <w:jc w:val="right"/>
              <w:rPr>
                <w:szCs w:val="21"/>
              </w:rPr>
            </w:pPr>
            <w:r>
              <w:t>223,692.00</w:t>
            </w:r>
          </w:p>
        </w:tc>
        <w:tc>
          <w:tcPr>
            <w:tcW w:w="914" w:type="pct"/>
            <w:tcBorders>
              <w:top w:val="single" w:sz="4" w:space="0" w:color="auto"/>
              <w:left w:val="single" w:sz="4" w:space="0" w:color="auto"/>
              <w:bottom w:val="single" w:sz="4" w:space="0" w:color="auto"/>
              <w:right w:val="single" w:sz="4" w:space="0" w:color="auto"/>
            </w:tcBorders>
          </w:tcPr>
          <w:p w14:paraId="4B500137" w14:textId="77777777" w:rsidR="00E57DAA" w:rsidRDefault="00AC4185">
            <w:pPr>
              <w:autoSpaceDE w:val="0"/>
              <w:autoSpaceDN w:val="0"/>
              <w:adjustRightInd w:val="0"/>
              <w:jc w:val="right"/>
              <w:rPr>
                <w:szCs w:val="21"/>
              </w:rPr>
            </w:pPr>
            <w:r>
              <w:t>5,974.52</w:t>
            </w:r>
          </w:p>
        </w:tc>
      </w:tr>
      <w:tr w:rsidR="00E57DAA" w14:paraId="531A3032" w14:textId="77777777">
        <w:tc>
          <w:tcPr>
            <w:tcW w:w="677" w:type="pct"/>
            <w:tcBorders>
              <w:top w:val="single" w:sz="4" w:space="0" w:color="auto"/>
              <w:left w:val="single" w:sz="4" w:space="0" w:color="auto"/>
              <w:bottom w:val="single" w:sz="4" w:space="0" w:color="auto"/>
              <w:right w:val="single" w:sz="4" w:space="0" w:color="auto"/>
            </w:tcBorders>
            <w:vAlign w:val="center"/>
          </w:tcPr>
          <w:p w14:paraId="0357D5C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BB10244" w14:textId="77777777" w:rsidR="00E57DAA" w:rsidRDefault="00AC4185">
            <w:pPr>
              <w:autoSpaceDE w:val="0"/>
              <w:autoSpaceDN w:val="0"/>
              <w:adjustRightInd w:val="0"/>
              <w:rPr>
                <w:szCs w:val="21"/>
              </w:rPr>
            </w:pPr>
            <w:r>
              <w:t>辽源渭津金刚水泥有限公司</w:t>
            </w:r>
          </w:p>
        </w:tc>
        <w:tc>
          <w:tcPr>
            <w:tcW w:w="633" w:type="pct"/>
            <w:tcBorders>
              <w:top w:val="single" w:sz="4" w:space="0" w:color="auto"/>
              <w:left w:val="single" w:sz="4" w:space="0" w:color="auto"/>
              <w:bottom w:val="single" w:sz="4" w:space="0" w:color="auto"/>
              <w:right w:val="single" w:sz="4" w:space="0" w:color="auto"/>
            </w:tcBorders>
          </w:tcPr>
          <w:p w14:paraId="30B0D5C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B05FC6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FB19FDC" w14:textId="77777777" w:rsidR="00E57DAA" w:rsidRDefault="00AC4185">
            <w:pPr>
              <w:autoSpaceDE w:val="0"/>
              <w:autoSpaceDN w:val="0"/>
              <w:adjustRightInd w:val="0"/>
              <w:jc w:val="right"/>
              <w:rPr>
                <w:szCs w:val="21"/>
              </w:rPr>
            </w:pPr>
            <w:r>
              <w:t>14,025.00</w:t>
            </w:r>
          </w:p>
        </w:tc>
        <w:tc>
          <w:tcPr>
            <w:tcW w:w="914" w:type="pct"/>
            <w:tcBorders>
              <w:top w:val="single" w:sz="4" w:space="0" w:color="auto"/>
              <w:left w:val="single" w:sz="4" w:space="0" w:color="auto"/>
              <w:bottom w:val="single" w:sz="4" w:space="0" w:color="auto"/>
              <w:right w:val="single" w:sz="4" w:space="0" w:color="auto"/>
            </w:tcBorders>
          </w:tcPr>
          <w:p w14:paraId="5C4EB8F3" w14:textId="77777777" w:rsidR="00E57DAA" w:rsidRDefault="00AC4185">
            <w:pPr>
              <w:autoSpaceDE w:val="0"/>
              <w:autoSpaceDN w:val="0"/>
              <w:adjustRightInd w:val="0"/>
              <w:jc w:val="right"/>
              <w:rPr>
                <w:szCs w:val="21"/>
              </w:rPr>
            </w:pPr>
            <w:r>
              <w:t>332.39</w:t>
            </w:r>
          </w:p>
        </w:tc>
      </w:tr>
      <w:tr w:rsidR="00E57DAA" w14:paraId="2B2AC556" w14:textId="77777777">
        <w:tc>
          <w:tcPr>
            <w:tcW w:w="677" w:type="pct"/>
            <w:tcBorders>
              <w:top w:val="single" w:sz="4" w:space="0" w:color="auto"/>
              <w:left w:val="single" w:sz="4" w:space="0" w:color="auto"/>
              <w:bottom w:val="single" w:sz="4" w:space="0" w:color="auto"/>
              <w:right w:val="single" w:sz="4" w:space="0" w:color="auto"/>
            </w:tcBorders>
            <w:vAlign w:val="center"/>
          </w:tcPr>
          <w:p w14:paraId="2EB7D9E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2FA120" w14:textId="77777777" w:rsidR="00E57DAA" w:rsidRDefault="00AC4185">
            <w:pPr>
              <w:autoSpaceDE w:val="0"/>
              <w:autoSpaceDN w:val="0"/>
              <w:adjustRightInd w:val="0"/>
              <w:rPr>
                <w:szCs w:val="21"/>
              </w:rPr>
            </w:pPr>
            <w:r>
              <w:t>梦牌新材料（宁国）有限公司</w:t>
            </w:r>
          </w:p>
        </w:tc>
        <w:tc>
          <w:tcPr>
            <w:tcW w:w="633" w:type="pct"/>
            <w:tcBorders>
              <w:top w:val="single" w:sz="4" w:space="0" w:color="auto"/>
              <w:left w:val="single" w:sz="4" w:space="0" w:color="auto"/>
              <w:bottom w:val="single" w:sz="4" w:space="0" w:color="auto"/>
              <w:right w:val="single" w:sz="4" w:space="0" w:color="auto"/>
            </w:tcBorders>
          </w:tcPr>
          <w:p w14:paraId="64452E8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D16CC1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A00FB3" w14:textId="77777777" w:rsidR="00E57DAA" w:rsidRDefault="00AC4185">
            <w:pPr>
              <w:autoSpaceDE w:val="0"/>
              <w:autoSpaceDN w:val="0"/>
              <w:adjustRightInd w:val="0"/>
              <w:jc w:val="right"/>
              <w:rPr>
                <w:szCs w:val="21"/>
              </w:rPr>
            </w:pPr>
            <w:r>
              <w:t>4,750.00</w:t>
            </w:r>
          </w:p>
        </w:tc>
        <w:tc>
          <w:tcPr>
            <w:tcW w:w="914" w:type="pct"/>
            <w:tcBorders>
              <w:top w:val="single" w:sz="4" w:space="0" w:color="auto"/>
              <w:left w:val="single" w:sz="4" w:space="0" w:color="auto"/>
              <w:bottom w:val="single" w:sz="4" w:space="0" w:color="auto"/>
              <w:right w:val="single" w:sz="4" w:space="0" w:color="auto"/>
            </w:tcBorders>
          </w:tcPr>
          <w:p w14:paraId="5D875091" w14:textId="77777777" w:rsidR="00E57DAA" w:rsidRDefault="00AC4185">
            <w:pPr>
              <w:autoSpaceDE w:val="0"/>
              <w:autoSpaceDN w:val="0"/>
              <w:adjustRightInd w:val="0"/>
              <w:jc w:val="right"/>
              <w:rPr>
                <w:szCs w:val="21"/>
              </w:rPr>
            </w:pPr>
            <w:r>
              <w:t>112.58</w:t>
            </w:r>
          </w:p>
        </w:tc>
      </w:tr>
      <w:tr w:rsidR="00E57DAA" w14:paraId="4E4CAE71" w14:textId="77777777">
        <w:tc>
          <w:tcPr>
            <w:tcW w:w="677" w:type="pct"/>
            <w:tcBorders>
              <w:top w:val="single" w:sz="4" w:space="0" w:color="auto"/>
              <w:left w:val="single" w:sz="4" w:space="0" w:color="auto"/>
              <w:bottom w:val="single" w:sz="4" w:space="0" w:color="auto"/>
              <w:right w:val="single" w:sz="4" w:space="0" w:color="auto"/>
            </w:tcBorders>
            <w:vAlign w:val="center"/>
          </w:tcPr>
          <w:p w14:paraId="22E134F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4BA58A0" w14:textId="77777777" w:rsidR="00E57DAA" w:rsidRDefault="00AC4185">
            <w:pPr>
              <w:autoSpaceDE w:val="0"/>
              <w:autoSpaceDN w:val="0"/>
              <w:adjustRightInd w:val="0"/>
              <w:rPr>
                <w:szCs w:val="21"/>
              </w:rPr>
            </w:pPr>
            <w:r>
              <w:t>牡丹江北方水泥有限公司</w:t>
            </w:r>
          </w:p>
        </w:tc>
        <w:tc>
          <w:tcPr>
            <w:tcW w:w="633" w:type="pct"/>
            <w:tcBorders>
              <w:top w:val="single" w:sz="4" w:space="0" w:color="auto"/>
              <w:left w:val="single" w:sz="4" w:space="0" w:color="auto"/>
              <w:bottom w:val="single" w:sz="4" w:space="0" w:color="auto"/>
              <w:right w:val="single" w:sz="4" w:space="0" w:color="auto"/>
            </w:tcBorders>
          </w:tcPr>
          <w:p w14:paraId="6BE6CAF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006361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955AC4D" w14:textId="77777777" w:rsidR="00E57DAA" w:rsidRDefault="00AC4185">
            <w:pPr>
              <w:autoSpaceDE w:val="0"/>
              <w:autoSpaceDN w:val="0"/>
              <w:adjustRightInd w:val="0"/>
              <w:jc w:val="right"/>
              <w:rPr>
                <w:szCs w:val="21"/>
              </w:rPr>
            </w:pPr>
            <w:r>
              <w:t>28,200.00</w:t>
            </w:r>
          </w:p>
        </w:tc>
        <w:tc>
          <w:tcPr>
            <w:tcW w:w="914" w:type="pct"/>
            <w:tcBorders>
              <w:top w:val="single" w:sz="4" w:space="0" w:color="auto"/>
              <w:left w:val="single" w:sz="4" w:space="0" w:color="auto"/>
              <w:bottom w:val="single" w:sz="4" w:space="0" w:color="auto"/>
              <w:right w:val="single" w:sz="4" w:space="0" w:color="auto"/>
            </w:tcBorders>
          </w:tcPr>
          <w:p w14:paraId="46BFFCA9" w14:textId="77777777" w:rsidR="00E57DAA" w:rsidRDefault="00AC4185">
            <w:pPr>
              <w:autoSpaceDE w:val="0"/>
              <w:autoSpaceDN w:val="0"/>
              <w:adjustRightInd w:val="0"/>
              <w:jc w:val="right"/>
              <w:rPr>
                <w:szCs w:val="21"/>
              </w:rPr>
            </w:pPr>
            <w:r>
              <w:t>28,200.00</w:t>
            </w:r>
          </w:p>
        </w:tc>
      </w:tr>
      <w:tr w:rsidR="00E57DAA" w14:paraId="7B3475C4" w14:textId="77777777">
        <w:tc>
          <w:tcPr>
            <w:tcW w:w="677" w:type="pct"/>
            <w:tcBorders>
              <w:top w:val="single" w:sz="4" w:space="0" w:color="auto"/>
              <w:left w:val="single" w:sz="4" w:space="0" w:color="auto"/>
              <w:bottom w:val="single" w:sz="4" w:space="0" w:color="auto"/>
              <w:right w:val="single" w:sz="4" w:space="0" w:color="auto"/>
            </w:tcBorders>
            <w:vAlign w:val="center"/>
          </w:tcPr>
          <w:p w14:paraId="6ECD171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CFBB8BA" w14:textId="77777777" w:rsidR="00E57DAA" w:rsidRDefault="00AC4185">
            <w:pPr>
              <w:autoSpaceDE w:val="0"/>
              <w:autoSpaceDN w:val="0"/>
              <w:adjustRightInd w:val="0"/>
              <w:rPr>
                <w:szCs w:val="21"/>
              </w:rPr>
            </w:pPr>
            <w:r>
              <w:t>南方水泥有限公司</w:t>
            </w:r>
          </w:p>
        </w:tc>
        <w:tc>
          <w:tcPr>
            <w:tcW w:w="633" w:type="pct"/>
            <w:tcBorders>
              <w:top w:val="single" w:sz="4" w:space="0" w:color="auto"/>
              <w:left w:val="single" w:sz="4" w:space="0" w:color="auto"/>
              <w:bottom w:val="single" w:sz="4" w:space="0" w:color="auto"/>
              <w:right w:val="single" w:sz="4" w:space="0" w:color="auto"/>
            </w:tcBorders>
          </w:tcPr>
          <w:p w14:paraId="6FEA9CA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688676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9F448EB" w14:textId="77777777" w:rsidR="00E57DAA" w:rsidRDefault="00AC4185">
            <w:pPr>
              <w:autoSpaceDE w:val="0"/>
              <w:autoSpaceDN w:val="0"/>
              <w:adjustRightInd w:val="0"/>
              <w:jc w:val="right"/>
              <w:rPr>
                <w:szCs w:val="21"/>
              </w:rPr>
            </w:pPr>
            <w:r>
              <w:t>3,184,662.54</w:t>
            </w:r>
          </w:p>
        </w:tc>
        <w:tc>
          <w:tcPr>
            <w:tcW w:w="914" w:type="pct"/>
            <w:tcBorders>
              <w:top w:val="single" w:sz="4" w:space="0" w:color="auto"/>
              <w:left w:val="single" w:sz="4" w:space="0" w:color="auto"/>
              <w:bottom w:val="single" w:sz="4" w:space="0" w:color="auto"/>
              <w:right w:val="single" w:sz="4" w:space="0" w:color="auto"/>
            </w:tcBorders>
          </w:tcPr>
          <w:p w14:paraId="7B9E1910" w14:textId="77777777" w:rsidR="00E57DAA" w:rsidRDefault="00AC4185">
            <w:pPr>
              <w:autoSpaceDE w:val="0"/>
              <w:autoSpaceDN w:val="0"/>
              <w:adjustRightInd w:val="0"/>
              <w:jc w:val="right"/>
              <w:rPr>
                <w:szCs w:val="21"/>
              </w:rPr>
            </w:pPr>
            <w:r>
              <w:t>636.93</w:t>
            </w:r>
          </w:p>
        </w:tc>
      </w:tr>
      <w:tr w:rsidR="00E57DAA" w14:paraId="0A663B2E" w14:textId="77777777">
        <w:tc>
          <w:tcPr>
            <w:tcW w:w="677" w:type="pct"/>
            <w:tcBorders>
              <w:top w:val="single" w:sz="4" w:space="0" w:color="auto"/>
              <w:left w:val="single" w:sz="4" w:space="0" w:color="auto"/>
              <w:bottom w:val="single" w:sz="4" w:space="0" w:color="auto"/>
              <w:right w:val="single" w:sz="4" w:space="0" w:color="auto"/>
            </w:tcBorders>
            <w:vAlign w:val="center"/>
          </w:tcPr>
          <w:p w14:paraId="2696E34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99029E" w14:textId="77777777" w:rsidR="00E57DAA" w:rsidRDefault="00AC4185">
            <w:pPr>
              <w:autoSpaceDE w:val="0"/>
              <w:autoSpaceDN w:val="0"/>
              <w:adjustRightInd w:val="0"/>
              <w:rPr>
                <w:szCs w:val="21"/>
              </w:rPr>
            </w:pPr>
            <w:r>
              <w:t>南京玻璃纤维研究设计院有限公司</w:t>
            </w:r>
          </w:p>
        </w:tc>
        <w:tc>
          <w:tcPr>
            <w:tcW w:w="633" w:type="pct"/>
            <w:tcBorders>
              <w:top w:val="single" w:sz="4" w:space="0" w:color="auto"/>
              <w:left w:val="single" w:sz="4" w:space="0" w:color="auto"/>
              <w:bottom w:val="single" w:sz="4" w:space="0" w:color="auto"/>
              <w:right w:val="single" w:sz="4" w:space="0" w:color="auto"/>
            </w:tcBorders>
          </w:tcPr>
          <w:p w14:paraId="5A061E3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7C32F3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5F7A3D4" w14:textId="77777777" w:rsidR="00E57DAA" w:rsidRDefault="00AC4185">
            <w:pPr>
              <w:autoSpaceDE w:val="0"/>
              <w:autoSpaceDN w:val="0"/>
              <w:adjustRightInd w:val="0"/>
              <w:jc w:val="right"/>
              <w:rPr>
                <w:szCs w:val="21"/>
              </w:rPr>
            </w:pPr>
            <w:r>
              <w:t>2,500,400.00</w:t>
            </w:r>
          </w:p>
        </w:tc>
        <w:tc>
          <w:tcPr>
            <w:tcW w:w="914" w:type="pct"/>
            <w:tcBorders>
              <w:top w:val="single" w:sz="4" w:space="0" w:color="auto"/>
              <w:left w:val="single" w:sz="4" w:space="0" w:color="auto"/>
              <w:bottom w:val="single" w:sz="4" w:space="0" w:color="auto"/>
              <w:right w:val="single" w:sz="4" w:space="0" w:color="auto"/>
            </w:tcBorders>
          </w:tcPr>
          <w:p w14:paraId="1854DB1A" w14:textId="77777777" w:rsidR="00E57DAA" w:rsidRDefault="00AC4185">
            <w:pPr>
              <w:autoSpaceDE w:val="0"/>
              <w:autoSpaceDN w:val="0"/>
              <w:adjustRightInd w:val="0"/>
              <w:jc w:val="right"/>
              <w:rPr>
                <w:szCs w:val="21"/>
              </w:rPr>
            </w:pPr>
            <w:r>
              <w:t>500,080.00</w:t>
            </w:r>
          </w:p>
        </w:tc>
      </w:tr>
      <w:tr w:rsidR="00E57DAA" w14:paraId="5762C0DF" w14:textId="77777777">
        <w:tc>
          <w:tcPr>
            <w:tcW w:w="677" w:type="pct"/>
            <w:tcBorders>
              <w:top w:val="single" w:sz="4" w:space="0" w:color="auto"/>
              <w:left w:val="single" w:sz="4" w:space="0" w:color="auto"/>
              <w:bottom w:val="single" w:sz="4" w:space="0" w:color="auto"/>
              <w:right w:val="single" w:sz="4" w:space="0" w:color="auto"/>
            </w:tcBorders>
            <w:vAlign w:val="center"/>
          </w:tcPr>
          <w:p w14:paraId="0EF9192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476F13" w14:textId="77777777" w:rsidR="00E57DAA" w:rsidRDefault="00AC4185">
            <w:pPr>
              <w:autoSpaceDE w:val="0"/>
              <w:autoSpaceDN w:val="0"/>
              <w:adjustRightInd w:val="0"/>
              <w:rPr>
                <w:szCs w:val="21"/>
              </w:rPr>
            </w:pPr>
            <w:r>
              <w:t>青海祁连山水泥有限公司</w:t>
            </w:r>
          </w:p>
        </w:tc>
        <w:tc>
          <w:tcPr>
            <w:tcW w:w="633" w:type="pct"/>
            <w:tcBorders>
              <w:top w:val="single" w:sz="4" w:space="0" w:color="auto"/>
              <w:left w:val="single" w:sz="4" w:space="0" w:color="auto"/>
              <w:bottom w:val="single" w:sz="4" w:space="0" w:color="auto"/>
              <w:right w:val="single" w:sz="4" w:space="0" w:color="auto"/>
            </w:tcBorders>
          </w:tcPr>
          <w:p w14:paraId="207CE75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2C3103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0516572" w14:textId="77777777" w:rsidR="00E57DAA" w:rsidRDefault="00AC4185">
            <w:pPr>
              <w:autoSpaceDE w:val="0"/>
              <w:autoSpaceDN w:val="0"/>
              <w:adjustRightInd w:val="0"/>
              <w:jc w:val="right"/>
              <w:rPr>
                <w:szCs w:val="21"/>
              </w:rPr>
            </w:pPr>
            <w:r>
              <w:t>6,360.00</w:t>
            </w:r>
          </w:p>
        </w:tc>
        <w:tc>
          <w:tcPr>
            <w:tcW w:w="914" w:type="pct"/>
            <w:tcBorders>
              <w:top w:val="single" w:sz="4" w:space="0" w:color="auto"/>
              <w:left w:val="single" w:sz="4" w:space="0" w:color="auto"/>
              <w:bottom w:val="single" w:sz="4" w:space="0" w:color="auto"/>
              <w:right w:val="single" w:sz="4" w:space="0" w:color="auto"/>
            </w:tcBorders>
          </w:tcPr>
          <w:p w14:paraId="0DAD9611" w14:textId="77777777" w:rsidR="00E57DAA" w:rsidRDefault="00AC4185">
            <w:pPr>
              <w:autoSpaceDE w:val="0"/>
              <w:autoSpaceDN w:val="0"/>
              <w:adjustRightInd w:val="0"/>
              <w:jc w:val="right"/>
              <w:rPr>
                <w:szCs w:val="21"/>
              </w:rPr>
            </w:pPr>
            <w:r>
              <w:t>150.73</w:t>
            </w:r>
          </w:p>
        </w:tc>
      </w:tr>
      <w:tr w:rsidR="00E57DAA" w14:paraId="20367F0D" w14:textId="77777777">
        <w:tc>
          <w:tcPr>
            <w:tcW w:w="677" w:type="pct"/>
            <w:tcBorders>
              <w:top w:val="single" w:sz="4" w:space="0" w:color="auto"/>
              <w:left w:val="single" w:sz="4" w:space="0" w:color="auto"/>
              <w:bottom w:val="single" w:sz="4" w:space="0" w:color="auto"/>
              <w:right w:val="single" w:sz="4" w:space="0" w:color="auto"/>
            </w:tcBorders>
            <w:vAlign w:val="center"/>
          </w:tcPr>
          <w:p w14:paraId="028E1BC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0CC894C" w14:textId="77777777" w:rsidR="00E57DAA" w:rsidRDefault="00AC4185">
            <w:pPr>
              <w:autoSpaceDE w:val="0"/>
              <w:autoSpaceDN w:val="0"/>
              <w:adjustRightInd w:val="0"/>
              <w:rPr>
                <w:szCs w:val="21"/>
              </w:rPr>
            </w:pPr>
            <w:r>
              <w:t>上海南方水泥有限公司</w:t>
            </w:r>
          </w:p>
        </w:tc>
        <w:tc>
          <w:tcPr>
            <w:tcW w:w="633" w:type="pct"/>
            <w:tcBorders>
              <w:top w:val="single" w:sz="4" w:space="0" w:color="auto"/>
              <w:left w:val="single" w:sz="4" w:space="0" w:color="auto"/>
              <w:bottom w:val="single" w:sz="4" w:space="0" w:color="auto"/>
              <w:right w:val="single" w:sz="4" w:space="0" w:color="auto"/>
            </w:tcBorders>
          </w:tcPr>
          <w:p w14:paraId="61BBE09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FA398E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22DE1E2"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753F80A0" w14:textId="77777777" w:rsidR="00E57DAA" w:rsidRDefault="00AC4185">
            <w:pPr>
              <w:autoSpaceDE w:val="0"/>
              <w:autoSpaceDN w:val="0"/>
              <w:adjustRightInd w:val="0"/>
              <w:jc w:val="right"/>
              <w:rPr>
                <w:szCs w:val="21"/>
              </w:rPr>
            </w:pPr>
            <w:r>
              <w:t>1,050.00</w:t>
            </w:r>
          </w:p>
        </w:tc>
      </w:tr>
      <w:tr w:rsidR="00E57DAA" w14:paraId="5B2D30C2" w14:textId="77777777">
        <w:tc>
          <w:tcPr>
            <w:tcW w:w="677" w:type="pct"/>
            <w:tcBorders>
              <w:top w:val="single" w:sz="4" w:space="0" w:color="auto"/>
              <w:left w:val="single" w:sz="4" w:space="0" w:color="auto"/>
              <w:bottom w:val="single" w:sz="4" w:space="0" w:color="auto"/>
              <w:right w:val="single" w:sz="4" w:space="0" w:color="auto"/>
            </w:tcBorders>
            <w:vAlign w:val="center"/>
          </w:tcPr>
          <w:p w14:paraId="65B4D23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4F06BAE" w14:textId="77777777" w:rsidR="00E57DAA" w:rsidRDefault="00AC4185">
            <w:pPr>
              <w:autoSpaceDE w:val="0"/>
              <w:autoSpaceDN w:val="0"/>
              <w:adjustRightInd w:val="0"/>
              <w:rPr>
                <w:szCs w:val="21"/>
              </w:rPr>
            </w:pPr>
            <w:r>
              <w:t>绍兴南方水泥有限公司</w:t>
            </w:r>
          </w:p>
        </w:tc>
        <w:tc>
          <w:tcPr>
            <w:tcW w:w="633" w:type="pct"/>
            <w:tcBorders>
              <w:top w:val="single" w:sz="4" w:space="0" w:color="auto"/>
              <w:left w:val="single" w:sz="4" w:space="0" w:color="auto"/>
              <w:bottom w:val="single" w:sz="4" w:space="0" w:color="auto"/>
              <w:right w:val="single" w:sz="4" w:space="0" w:color="auto"/>
            </w:tcBorders>
          </w:tcPr>
          <w:p w14:paraId="765FCFC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4B399E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9250A9E" w14:textId="77777777" w:rsidR="00E57DAA" w:rsidRDefault="00AC4185">
            <w:pPr>
              <w:autoSpaceDE w:val="0"/>
              <w:autoSpaceDN w:val="0"/>
              <w:adjustRightInd w:val="0"/>
              <w:jc w:val="right"/>
              <w:rPr>
                <w:szCs w:val="21"/>
              </w:rPr>
            </w:pPr>
            <w:r>
              <w:t>85,375.00</w:t>
            </w:r>
          </w:p>
        </w:tc>
        <w:tc>
          <w:tcPr>
            <w:tcW w:w="914" w:type="pct"/>
            <w:tcBorders>
              <w:top w:val="single" w:sz="4" w:space="0" w:color="auto"/>
              <w:left w:val="single" w:sz="4" w:space="0" w:color="auto"/>
              <w:bottom w:val="single" w:sz="4" w:space="0" w:color="auto"/>
              <w:right w:val="single" w:sz="4" w:space="0" w:color="auto"/>
            </w:tcBorders>
          </w:tcPr>
          <w:p w14:paraId="6D1509FD" w14:textId="77777777" w:rsidR="00E57DAA" w:rsidRDefault="00AC4185">
            <w:pPr>
              <w:autoSpaceDE w:val="0"/>
              <w:autoSpaceDN w:val="0"/>
              <w:adjustRightInd w:val="0"/>
              <w:jc w:val="right"/>
              <w:rPr>
                <w:szCs w:val="21"/>
              </w:rPr>
            </w:pPr>
            <w:r>
              <w:t>85,375.00</w:t>
            </w:r>
          </w:p>
        </w:tc>
      </w:tr>
      <w:tr w:rsidR="00E57DAA" w14:paraId="6B6EAA30" w14:textId="77777777">
        <w:tc>
          <w:tcPr>
            <w:tcW w:w="677" w:type="pct"/>
            <w:tcBorders>
              <w:top w:val="single" w:sz="4" w:space="0" w:color="auto"/>
              <w:left w:val="single" w:sz="4" w:space="0" w:color="auto"/>
              <w:bottom w:val="single" w:sz="4" w:space="0" w:color="auto"/>
              <w:right w:val="single" w:sz="4" w:space="0" w:color="auto"/>
            </w:tcBorders>
            <w:vAlign w:val="center"/>
          </w:tcPr>
          <w:p w14:paraId="6FB47A6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9C9ED1B" w14:textId="77777777" w:rsidR="00E57DAA" w:rsidRDefault="00AC4185">
            <w:pPr>
              <w:autoSpaceDE w:val="0"/>
              <w:autoSpaceDN w:val="0"/>
              <w:adjustRightInd w:val="0"/>
              <w:rPr>
                <w:szCs w:val="21"/>
              </w:rPr>
            </w:pPr>
            <w:r>
              <w:t>四川省二郎山喇叭河水泥有限公司</w:t>
            </w:r>
          </w:p>
        </w:tc>
        <w:tc>
          <w:tcPr>
            <w:tcW w:w="633" w:type="pct"/>
            <w:tcBorders>
              <w:top w:val="single" w:sz="4" w:space="0" w:color="auto"/>
              <w:left w:val="single" w:sz="4" w:space="0" w:color="auto"/>
              <w:bottom w:val="single" w:sz="4" w:space="0" w:color="auto"/>
              <w:right w:val="single" w:sz="4" w:space="0" w:color="auto"/>
            </w:tcBorders>
          </w:tcPr>
          <w:p w14:paraId="529A1D8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6B42C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6ED5609" w14:textId="77777777" w:rsidR="00E57DAA" w:rsidRDefault="00AC4185">
            <w:pPr>
              <w:autoSpaceDE w:val="0"/>
              <w:autoSpaceDN w:val="0"/>
              <w:adjustRightInd w:val="0"/>
              <w:jc w:val="right"/>
              <w:rPr>
                <w:szCs w:val="21"/>
              </w:rPr>
            </w:pPr>
            <w:r>
              <w:t>51,800.00</w:t>
            </w:r>
          </w:p>
        </w:tc>
        <w:tc>
          <w:tcPr>
            <w:tcW w:w="914" w:type="pct"/>
            <w:tcBorders>
              <w:top w:val="single" w:sz="4" w:space="0" w:color="auto"/>
              <w:left w:val="single" w:sz="4" w:space="0" w:color="auto"/>
              <w:bottom w:val="single" w:sz="4" w:space="0" w:color="auto"/>
              <w:right w:val="single" w:sz="4" w:space="0" w:color="auto"/>
            </w:tcBorders>
          </w:tcPr>
          <w:p w14:paraId="2A0A626D" w14:textId="77777777" w:rsidR="00E57DAA" w:rsidRDefault="00AC4185">
            <w:pPr>
              <w:autoSpaceDE w:val="0"/>
              <w:autoSpaceDN w:val="0"/>
              <w:adjustRightInd w:val="0"/>
              <w:jc w:val="right"/>
              <w:rPr>
                <w:szCs w:val="21"/>
              </w:rPr>
            </w:pPr>
            <w:r>
              <w:t>2,590.00</w:t>
            </w:r>
          </w:p>
        </w:tc>
      </w:tr>
      <w:tr w:rsidR="00E57DAA" w14:paraId="06139950" w14:textId="77777777">
        <w:tc>
          <w:tcPr>
            <w:tcW w:w="677" w:type="pct"/>
            <w:tcBorders>
              <w:top w:val="single" w:sz="4" w:space="0" w:color="auto"/>
              <w:left w:val="single" w:sz="4" w:space="0" w:color="auto"/>
              <w:bottom w:val="single" w:sz="4" w:space="0" w:color="auto"/>
              <w:right w:val="single" w:sz="4" w:space="0" w:color="auto"/>
            </w:tcBorders>
            <w:vAlign w:val="center"/>
          </w:tcPr>
          <w:p w14:paraId="0F83F54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465E97B" w14:textId="77777777" w:rsidR="00E57DAA" w:rsidRDefault="00AC4185">
            <w:pPr>
              <w:autoSpaceDE w:val="0"/>
              <w:autoSpaceDN w:val="0"/>
              <w:adjustRightInd w:val="0"/>
              <w:rPr>
                <w:szCs w:val="21"/>
              </w:rPr>
            </w:pPr>
            <w:r>
              <w:t>四川威远西南水泥有限公司</w:t>
            </w:r>
          </w:p>
        </w:tc>
        <w:tc>
          <w:tcPr>
            <w:tcW w:w="633" w:type="pct"/>
            <w:tcBorders>
              <w:top w:val="single" w:sz="4" w:space="0" w:color="auto"/>
              <w:left w:val="single" w:sz="4" w:space="0" w:color="auto"/>
              <w:bottom w:val="single" w:sz="4" w:space="0" w:color="auto"/>
              <w:right w:val="single" w:sz="4" w:space="0" w:color="auto"/>
            </w:tcBorders>
          </w:tcPr>
          <w:p w14:paraId="64BAE61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11A6C2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DB405E9" w14:textId="77777777" w:rsidR="00E57DAA" w:rsidRDefault="00AC4185">
            <w:pPr>
              <w:autoSpaceDE w:val="0"/>
              <w:autoSpaceDN w:val="0"/>
              <w:adjustRightInd w:val="0"/>
              <w:jc w:val="right"/>
              <w:rPr>
                <w:szCs w:val="21"/>
              </w:rPr>
            </w:pPr>
            <w:r>
              <w:t>8,600.00</w:t>
            </w:r>
          </w:p>
        </w:tc>
        <w:tc>
          <w:tcPr>
            <w:tcW w:w="914" w:type="pct"/>
            <w:tcBorders>
              <w:top w:val="single" w:sz="4" w:space="0" w:color="auto"/>
              <w:left w:val="single" w:sz="4" w:space="0" w:color="auto"/>
              <w:bottom w:val="single" w:sz="4" w:space="0" w:color="auto"/>
              <w:right w:val="single" w:sz="4" w:space="0" w:color="auto"/>
            </w:tcBorders>
          </w:tcPr>
          <w:p w14:paraId="1E538B4C" w14:textId="77777777" w:rsidR="00E57DAA" w:rsidRDefault="00AC4185">
            <w:pPr>
              <w:autoSpaceDE w:val="0"/>
              <w:autoSpaceDN w:val="0"/>
              <w:adjustRightInd w:val="0"/>
              <w:jc w:val="right"/>
              <w:rPr>
                <w:szCs w:val="21"/>
              </w:rPr>
            </w:pPr>
            <w:r>
              <w:t>430</w:t>
            </w:r>
          </w:p>
        </w:tc>
      </w:tr>
      <w:tr w:rsidR="00E57DAA" w14:paraId="14D062DA" w14:textId="77777777">
        <w:tc>
          <w:tcPr>
            <w:tcW w:w="677" w:type="pct"/>
            <w:tcBorders>
              <w:top w:val="single" w:sz="4" w:space="0" w:color="auto"/>
              <w:left w:val="single" w:sz="4" w:space="0" w:color="auto"/>
              <w:bottom w:val="single" w:sz="4" w:space="0" w:color="auto"/>
              <w:right w:val="single" w:sz="4" w:space="0" w:color="auto"/>
            </w:tcBorders>
            <w:vAlign w:val="center"/>
          </w:tcPr>
          <w:p w14:paraId="38ED361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F416B71" w14:textId="77777777" w:rsidR="00E57DAA" w:rsidRDefault="00AC4185">
            <w:pPr>
              <w:autoSpaceDE w:val="0"/>
              <w:autoSpaceDN w:val="0"/>
              <w:adjustRightInd w:val="0"/>
              <w:rPr>
                <w:szCs w:val="21"/>
              </w:rPr>
            </w:pPr>
            <w:r>
              <w:t>泰安华泰非金属微粉有限公司</w:t>
            </w:r>
          </w:p>
        </w:tc>
        <w:tc>
          <w:tcPr>
            <w:tcW w:w="633" w:type="pct"/>
            <w:tcBorders>
              <w:top w:val="single" w:sz="4" w:space="0" w:color="auto"/>
              <w:left w:val="single" w:sz="4" w:space="0" w:color="auto"/>
              <w:bottom w:val="single" w:sz="4" w:space="0" w:color="auto"/>
              <w:right w:val="single" w:sz="4" w:space="0" w:color="auto"/>
            </w:tcBorders>
          </w:tcPr>
          <w:p w14:paraId="0BC3D2C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278DD9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1DA2C39" w14:textId="77777777" w:rsidR="00E57DAA" w:rsidRDefault="00AC4185">
            <w:pPr>
              <w:autoSpaceDE w:val="0"/>
              <w:autoSpaceDN w:val="0"/>
              <w:adjustRightInd w:val="0"/>
              <w:jc w:val="right"/>
              <w:rPr>
                <w:szCs w:val="21"/>
              </w:rPr>
            </w:pPr>
            <w:r>
              <w:t>276,000.01</w:t>
            </w:r>
          </w:p>
        </w:tc>
        <w:tc>
          <w:tcPr>
            <w:tcW w:w="914" w:type="pct"/>
            <w:tcBorders>
              <w:top w:val="single" w:sz="4" w:space="0" w:color="auto"/>
              <w:left w:val="single" w:sz="4" w:space="0" w:color="auto"/>
              <w:bottom w:val="single" w:sz="4" w:space="0" w:color="auto"/>
              <w:right w:val="single" w:sz="4" w:space="0" w:color="auto"/>
            </w:tcBorders>
          </w:tcPr>
          <w:p w14:paraId="49DF4113" w14:textId="77777777" w:rsidR="00E57DAA" w:rsidRDefault="00AC4185">
            <w:pPr>
              <w:autoSpaceDE w:val="0"/>
              <w:autoSpaceDN w:val="0"/>
              <w:adjustRightInd w:val="0"/>
              <w:jc w:val="right"/>
              <w:rPr>
                <w:szCs w:val="21"/>
              </w:rPr>
            </w:pPr>
            <w:r>
              <w:t>13,800.00</w:t>
            </w:r>
          </w:p>
        </w:tc>
      </w:tr>
      <w:tr w:rsidR="00E57DAA" w14:paraId="693F9962" w14:textId="77777777">
        <w:tc>
          <w:tcPr>
            <w:tcW w:w="677" w:type="pct"/>
            <w:tcBorders>
              <w:top w:val="single" w:sz="4" w:space="0" w:color="auto"/>
              <w:left w:val="single" w:sz="4" w:space="0" w:color="auto"/>
              <w:bottom w:val="single" w:sz="4" w:space="0" w:color="auto"/>
              <w:right w:val="single" w:sz="4" w:space="0" w:color="auto"/>
            </w:tcBorders>
            <w:vAlign w:val="center"/>
          </w:tcPr>
          <w:p w14:paraId="196CFCB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527E92D" w14:textId="77777777" w:rsidR="00E57DAA" w:rsidRDefault="00AC4185">
            <w:pPr>
              <w:autoSpaceDE w:val="0"/>
              <w:autoSpaceDN w:val="0"/>
              <w:adjustRightInd w:val="0"/>
              <w:rPr>
                <w:szCs w:val="21"/>
              </w:rPr>
            </w:pPr>
            <w:r>
              <w:t>泰来水泥制品有限责任公司</w:t>
            </w:r>
          </w:p>
        </w:tc>
        <w:tc>
          <w:tcPr>
            <w:tcW w:w="633" w:type="pct"/>
            <w:tcBorders>
              <w:top w:val="single" w:sz="4" w:space="0" w:color="auto"/>
              <w:left w:val="single" w:sz="4" w:space="0" w:color="auto"/>
              <w:bottom w:val="single" w:sz="4" w:space="0" w:color="auto"/>
              <w:right w:val="single" w:sz="4" w:space="0" w:color="auto"/>
            </w:tcBorders>
          </w:tcPr>
          <w:p w14:paraId="67291E0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F7161E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BC5F50C" w14:textId="77777777" w:rsidR="00E57DAA" w:rsidRDefault="00AC4185">
            <w:pPr>
              <w:autoSpaceDE w:val="0"/>
              <w:autoSpaceDN w:val="0"/>
              <w:adjustRightInd w:val="0"/>
              <w:jc w:val="right"/>
              <w:rPr>
                <w:szCs w:val="21"/>
              </w:rPr>
            </w:pPr>
            <w:r>
              <w:t>250,000.00</w:t>
            </w:r>
          </w:p>
        </w:tc>
        <w:tc>
          <w:tcPr>
            <w:tcW w:w="914" w:type="pct"/>
            <w:tcBorders>
              <w:top w:val="single" w:sz="4" w:space="0" w:color="auto"/>
              <w:left w:val="single" w:sz="4" w:space="0" w:color="auto"/>
              <w:bottom w:val="single" w:sz="4" w:space="0" w:color="auto"/>
              <w:right w:val="single" w:sz="4" w:space="0" w:color="auto"/>
            </w:tcBorders>
          </w:tcPr>
          <w:p w14:paraId="6456992F" w14:textId="77777777" w:rsidR="00E57DAA" w:rsidRDefault="00AC4185">
            <w:pPr>
              <w:autoSpaceDE w:val="0"/>
              <w:autoSpaceDN w:val="0"/>
              <w:adjustRightInd w:val="0"/>
              <w:jc w:val="right"/>
              <w:rPr>
                <w:szCs w:val="21"/>
              </w:rPr>
            </w:pPr>
            <w:r>
              <w:t>12,500.00</w:t>
            </w:r>
          </w:p>
        </w:tc>
      </w:tr>
      <w:tr w:rsidR="00E57DAA" w14:paraId="277C1762" w14:textId="77777777">
        <w:tc>
          <w:tcPr>
            <w:tcW w:w="677" w:type="pct"/>
            <w:tcBorders>
              <w:top w:val="single" w:sz="4" w:space="0" w:color="auto"/>
              <w:left w:val="single" w:sz="4" w:space="0" w:color="auto"/>
              <w:bottom w:val="single" w:sz="4" w:space="0" w:color="auto"/>
              <w:right w:val="single" w:sz="4" w:space="0" w:color="auto"/>
            </w:tcBorders>
            <w:vAlign w:val="center"/>
          </w:tcPr>
          <w:p w14:paraId="47EC215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C8C1AE" w14:textId="77777777" w:rsidR="00E57DAA" w:rsidRDefault="00AC4185">
            <w:pPr>
              <w:autoSpaceDE w:val="0"/>
              <w:autoSpaceDN w:val="0"/>
              <w:adjustRightInd w:val="0"/>
              <w:rPr>
                <w:szCs w:val="21"/>
              </w:rPr>
            </w:pPr>
            <w:r>
              <w:t>吐鲁番天山金越环境科技有限公司</w:t>
            </w:r>
          </w:p>
        </w:tc>
        <w:tc>
          <w:tcPr>
            <w:tcW w:w="633" w:type="pct"/>
            <w:tcBorders>
              <w:top w:val="single" w:sz="4" w:space="0" w:color="auto"/>
              <w:left w:val="single" w:sz="4" w:space="0" w:color="auto"/>
              <w:bottom w:val="single" w:sz="4" w:space="0" w:color="auto"/>
              <w:right w:val="single" w:sz="4" w:space="0" w:color="auto"/>
            </w:tcBorders>
          </w:tcPr>
          <w:p w14:paraId="58BB025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95553B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9796F57" w14:textId="77777777" w:rsidR="00E57DAA" w:rsidRDefault="00AC4185">
            <w:pPr>
              <w:autoSpaceDE w:val="0"/>
              <w:autoSpaceDN w:val="0"/>
              <w:adjustRightInd w:val="0"/>
              <w:jc w:val="right"/>
              <w:rPr>
                <w:szCs w:val="21"/>
              </w:rPr>
            </w:pPr>
            <w:r>
              <w:t>1,700,000.00</w:t>
            </w:r>
          </w:p>
        </w:tc>
        <w:tc>
          <w:tcPr>
            <w:tcW w:w="914" w:type="pct"/>
            <w:tcBorders>
              <w:top w:val="single" w:sz="4" w:space="0" w:color="auto"/>
              <w:left w:val="single" w:sz="4" w:space="0" w:color="auto"/>
              <w:bottom w:val="single" w:sz="4" w:space="0" w:color="auto"/>
              <w:right w:val="single" w:sz="4" w:space="0" w:color="auto"/>
            </w:tcBorders>
          </w:tcPr>
          <w:p w14:paraId="42B150F8" w14:textId="77777777" w:rsidR="00E57DAA" w:rsidRDefault="00AC4185">
            <w:pPr>
              <w:autoSpaceDE w:val="0"/>
              <w:autoSpaceDN w:val="0"/>
              <w:adjustRightInd w:val="0"/>
              <w:jc w:val="right"/>
              <w:rPr>
                <w:szCs w:val="21"/>
              </w:rPr>
            </w:pPr>
            <w:r>
              <w:t>122,570.00</w:t>
            </w:r>
          </w:p>
        </w:tc>
      </w:tr>
      <w:tr w:rsidR="00E57DAA" w14:paraId="1C95A37A" w14:textId="77777777">
        <w:tc>
          <w:tcPr>
            <w:tcW w:w="677" w:type="pct"/>
            <w:tcBorders>
              <w:top w:val="single" w:sz="4" w:space="0" w:color="auto"/>
              <w:left w:val="single" w:sz="4" w:space="0" w:color="auto"/>
              <w:bottom w:val="single" w:sz="4" w:space="0" w:color="auto"/>
              <w:right w:val="single" w:sz="4" w:space="0" w:color="auto"/>
            </w:tcBorders>
            <w:vAlign w:val="center"/>
          </w:tcPr>
          <w:p w14:paraId="5E99C38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BEFAD7F" w14:textId="77777777" w:rsidR="00E57DAA" w:rsidRDefault="00AC4185">
            <w:pPr>
              <w:autoSpaceDE w:val="0"/>
              <w:autoSpaceDN w:val="0"/>
              <w:adjustRightInd w:val="0"/>
              <w:rPr>
                <w:szCs w:val="21"/>
              </w:rPr>
            </w:pPr>
            <w:r>
              <w:t>荥经西南新型材料有限公司</w:t>
            </w:r>
          </w:p>
        </w:tc>
        <w:tc>
          <w:tcPr>
            <w:tcW w:w="633" w:type="pct"/>
            <w:tcBorders>
              <w:top w:val="single" w:sz="4" w:space="0" w:color="auto"/>
              <w:left w:val="single" w:sz="4" w:space="0" w:color="auto"/>
              <w:bottom w:val="single" w:sz="4" w:space="0" w:color="auto"/>
              <w:right w:val="single" w:sz="4" w:space="0" w:color="auto"/>
            </w:tcBorders>
          </w:tcPr>
          <w:p w14:paraId="44DFC09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6EC70C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7AFF2F6" w14:textId="77777777" w:rsidR="00E57DAA" w:rsidRDefault="00AC4185">
            <w:pPr>
              <w:autoSpaceDE w:val="0"/>
              <w:autoSpaceDN w:val="0"/>
              <w:adjustRightInd w:val="0"/>
              <w:jc w:val="right"/>
              <w:rPr>
                <w:szCs w:val="21"/>
              </w:rPr>
            </w:pPr>
            <w:r>
              <w:t>90,000.00</w:t>
            </w:r>
          </w:p>
        </w:tc>
        <w:tc>
          <w:tcPr>
            <w:tcW w:w="914" w:type="pct"/>
            <w:tcBorders>
              <w:top w:val="single" w:sz="4" w:space="0" w:color="auto"/>
              <w:left w:val="single" w:sz="4" w:space="0" w:color="auto"/>
              <w:bottom w:val="single" w:sz="4" w:space="0" w:color="auto"/>
              <w:right w:val="single" w:sz="4" w:space="0" w:color="auto"/>
            </w:tcBorders>
          </w:tcPr>
          <w:p w14:paraId="4408B1B1" w14:textId="77777777" w:rsidR="00E57DAA" w:rsidRDefault="00AC4185">
            <w:pPr>
              <w:autoSpaceDE w:val="0"/>
              <w:autoSpaceDN w:val="0"/>
              <w:adjustRightInd w:val="0"/>
              <w:jc w:val="right"/>
              <w:rPr>
                <w:szCs w:val="21"/>
              </w:rPr>
            </w:pPr>
            <w:r>
              <w:t>2,133.00</w:t>
            </w:r>
          </w:p>
        </w:tc>
      </w:tr>
      <w:tr w:rsidR="00E57DAA" w14:paraId="65C23A26" w14:textId="77777777">
        <w:tc>
          <w:tcPr>
            <w:tcW w:w="677" w:type="pct"/>
            <w:tcBorders>
              <w:top w:val="single" w:sz="4" w:space="0" w:color="auto"/>
              <w:left w:val="single" w:sz="4" w:space="0" w:color="auto"/>
              <w:bottom w:val="single" w:sz="4" w:space="0" w:color="auto"/>
              <w:right w:val="single" w:sz="4" w:space="0" w:color="auto"/>
            </w:tcBorders>
            <w:vAlign w:val="center"/>
          </w:tcPr>
          <w:p w14:paraId="33AD406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88DB63F" w14:textId="77777777" w:rsidR="00E57DAA" w:rsidRDefault="00AC4185">
            <w:pPr>
              <w:autoSpaceDE w:val="0"/>
              <w:autoSpaceDN w:val="0"/>
              <w:adjustRightInd w:val="0"/>
              <w:rPr>
                <w:szCs w:val="21"/>
              </w:rPr>
            </w:pPr>
            <w:r>
              <w:t>云南远东亚鑫水泥有限责任公司</w:t>
            </w:r>
          </w:p>
        </w:tc>
        <w:tc>
          <w:tcPr>
            <w:tcW w:w="633" w:type="pct"/>
            <w:tcBorders>
              <w:top w:val="single" w:sz="4" w:space="0" w:color="auto"/>
              <w:left w:val="single" w:sz="4" w:space="0" w:color="auto"/>
              <w:bottom w:val="single" w:sz="4" w:space="0" w:color="auto"/>
              <w:right w:val="single" w:sz="4" w:space="0" w:color="auto"/>
            </w:tcBorders>
          </w:tcPr>
          <w:p w14:paraId="0F95532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EA39E7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603F868" w14:textId="77777777" w:rsidR="00E57DAA" w:rsidRDefault="00AC4185">
            <w:pPr>
              <w:autoSpaceDE w:val="0"/>
              <w:autoSpaceDN w:val="0"/>
              <w:adjustRightInd w:val="0"/>
              <w:jc w:val="right"/>
              <w:rPr>
                <w:szCs w:val="21"/>
              </w:rPr>
            </w:pPr>
            <w:r>
              <w:t>93,000.00</w:t>
            </w:r>
          </w:p>
        </w:tc>
        <w:tc>
          <w:tcPr>
            <w:tcW w:w="914" w:type="pct"/>
            <w:tcBorders>
              <w:top w:val="single" w:sz="4" w:space="0" w:color="auto"/>
              <w:left w:val="single" w:sz="4" w:space="0" w:color="auto"/>
              <w:bottom w:val="single" w:sz="4" w:space="0" w:color="auto"/>
              <w:right w:val="single" w:sz="4" w:space="0" w:color="auto"/>
            </w:tcBorders>
          </w:tcPr>
          <w:p w14:paraId="315D5CEA" w14:textId="77777777" w:rsidR="00E57DAA" w:rsidRDefault="00AC4185">
            <w:pPr>
              <w:autoSpaceDE w:val="0"/>
              <w:autoSpaceDN w:val="0"/>
              <w:adjustRightInd w:val="0"/>
              <w:jc w:val="right"/>
              <w:rPr>
                <w:szCs w:val="21"/>
              </w:rPr>
            </w:pPr>
            <w:r>
              <w:t>4,650.00</w:t>
            </w:r>
          </w:p>
        </w:tc>
      </w:tr>
      <w:tr w:rsidR="00E57DAA" w14:paraId="0CBA8EA9" w14:textId="77777777">
        <w:tc>
          <w:tcPr>
            <w:tcW w:w="677" w:type="pct"/>
            <w:tcBorders>
              <w:top w:val="single" w:sz="4" w:space="0" w:color="auto"/>
              <w:left w:val="single" w:sz="4" w:space="0" w:color="auto"/>
              <w:bottom w:val="single" w:sz="4" w:space="0" w:color="auto"/>
              <w:right w:val="single" w:sz="4" w:space="0" w:color="auto"/>
            </w:tcBorders>
            <w:vAlign w:val="center"/>
          </w:tcPr>
          <w:p w14:paraId="673DA60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3178621" w14:textId="77777777" w:rsidR="00E57DAA" w:rsidRDefault="00AC4185">
            <w:pPr>
              <w:autoSpaceDE w:val="0"/>
              <w:autoSpaceDN w:val="0"/>
              <w:adjustRightInd w:val="0"/>
              <w:rPr>
                <w:szCs w:val="21"/>
              </w:rPr>
            </w:pPr>
            <w:r>
              <w:t>浙江水泥有限公司</w:t>
            </w:r>
          </w:p>
        </w:tc>
        <w:tc>
          <w:tcPr>
            <w:tcW w:w="633" w:type="pct"/>
            <w:tcBorders>
              <w:top w:val="single" w:sz="4" w:space="0" w:color="auto"/>
              <w:left w:val="single" w:sz="4" w:space="0" w:color="auto"/>
              <w:bottom w:val="single" w:sz="4" w:space="0" w:color="auto"/>
              <w:right w:val="single" w:sz="4" w:space="0" w:color="auto"/>
            </w:tcBorders>
          </w:tcPr>
          <w:p w14:paraId="7881782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9EC4E8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98D9EBC" w14:textId="77777777" w:rsidR="00E57DAA" w:rsidRDefault="00AC4185">
            <w:pPr>
              <w:autoSpaceDE w:val="0"/>
              <w:autoSpaceDN w:val="0"/>
              <w:adjustRightInd w:val="0"/>
              <w:jc w:val="right"/>
              <w:rPr>
                <w:szCs w:val="21"/>
              </w:rPr>
            </w:pPr>
            <w:r>
              <w:t>40,000.00</w:t>
            </w:r>
          </w:p>
        </w:tc>
        <w:tc>
          <w:tcPr>
            <w:tcW w:w="914" w:type="pct"/>
            <w:tcBorders>
              <w:top w:val="single" w:sz="4" w:space="0" w:color="auto"/>
              <w:left w:val="single" w:sz="4" w:space="0" w:color="auto"/>
              <w:bottom w:val="single" w:sz="4" w:space="0" w:color="auto"/>
              <w:right w:val="single" w:sz="4" w:space="0" w:color="auto"/>
            </w:tcBorders>
          </w:tcPr>
          <w:p w14:paraId="690F5847" w14:textId="77777777" w:rsidR="00E57DAA" w:rsidRDefault="00AC4185">
            <w:pPr>
              <w:autoSpaceDE w:val="0"/>
              <w:autoSpaceDN w:val="0"/>
              <w:adjustRightInd w:val="0"/>
              <w:jc w:val="right"/>
              <w:rPr>
                <w:szCs w:val="21"/>
              </w:rPr>
            </w:pPr>
            <w:r>
              <w:t>40,000.00</w:t>
            </w:r>
          </w:p>
        </w:tc>
      </w:tr>
      <w:tr w:rsidR="00E57DAA" w14:paraId="279D4562" w14:textId="77777777">
        <w:tc>
          <w:tcPr>
            <w:tcW w:w="677" w:type="pct"/>
            <w:tcBorders>
              <w:top w:val="single" w:sz="4" w:space="0" w:color="auto"/>
              <w:left w:val="single" w:sz="4" w:space="0" w:color="auto"/>
              <w:bottom w:val="single" w:sz="4" w:space="0" w:color="auto"/>
              <w:right w:val="single" w:sz="4" w:space="0" w:color="auto"/>
            </w:tcBorders>
            <w:vAlign w:val="center"/>
          </w:tcPr>
          <w:p w14:paraId="6BFFAE5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ACFAA8D" w14:textId="77777777" w:rsidR="00E57DAA" w:rsidRDefault="00AC4185">
            <w:pPr>
              <w:autoSpaceDE w:val="0"/>
              <w:autoSpaceDN w:val="0"/>
              <w:adjustRightInd w:val="0"/>
              <w:rPr>
                <w:szCs w:val="21"/>
              </w:rPr>
            </w:pPr>
            <w:r>
              <w:t>中材天山（云浮）节能有限公司</w:t>
            </w:r>
          </w:p>
        </w:tc>
        <w:tc>
          <w:tcPr>
            <w:tcW w:w="633" w:type="pct"/>
            <w:tcBorders>
              <w:top w:val="single" w:sz="4" w:space="0" w:color="auto"/>
              <w:left w:val="single" w:sz="4" w:space="0" w:color="auto"/>
              <w:bottom w:val="single" w:sz="4" w:space="0" w:color="auto"/>
              <w:right w:val="single" w:sz="4" w:space="0" w:color="auto"/>
            </w:tcBorders>
          </w:tcPr>
          <w:p w14:paraId="1BCEBB9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4FE631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2B88A0" w14:textId="77777777" w:rsidR="00E57DAA" w:rsidRDefault="00AC4185">
            <w:pPr>
              <w:autoSpaceDE w:val="0"/>
              <w:autoSpaceDN w:val="0"/>
              <w:adjustRightInd w:val="0"/>
              <w:jc w:val="right"/>
              <w:rPr>
                <w:szCs w:val="21"/>
              </w:rPr>
            </w:pPr>
            <w:r>
              <w:t>51,919.60</w:t>
            </w:r>
          </w:p>
        </w:tc>
        <w:tc>
          <w:tcPr>
            <w:tcW w:w="914" w:type="pct"/>
            <w:tcBorders>
              <w:top w:val="single" w:sz="4" w:space="0" w:color="auto"/>
              <w:left w:val="single" w:sz="4" w:space="0" w:color="auto"/>
              <w:bottom w:val="single" w:sz="4" w:space="0" w:color="auto"/>
              <w:right w:val="single" w:sz="4" w:space="0" w:color="auto"/>
            </w:tcBorders>
          </w:tcPr>
          <w:p w14:paraId="372528DC" w14:textId="77777777" w:rsidR="00E57DAA" w:rsidRDefault="00AC4185">
            <w:pPr>
              <w:autoSpaceDE w:val="0"/>
              <w:autoSpaceDN w:val="0"/>
              <w:adjustRightInd w:val="0"/>
              <w:jc w:val="right"/>
              <w:rPr>
                <w:szCs w:val="21"/>
              </w:rPr>
            </w:pPr>
            <w:r>
              <w:t>29,752.44</w:t>
            </w:r>
          </w:p>
        </w:tc>
      </w:tr>
      <w:tr w:rsidR="00E57DAA" w14:paraId="0463FC52" w14:textId="77777777">
        <w:tc>
          <w:tcPr>
            <w:tcW w:w="677" w:type="pct"/>
            <w:tcBorders>
              <w:top w:val="single" w:sz="4" w:space="0" w:color="auto"/>
              <w:left w:val="single" w:sz="4" w:space="0" w:color="auto"/>
              <w:bottom w:val="single" w:sz="4" w:space="0" w:color="auto"/>
              <w:right w:val="single" w:sz="4" w:space="0" w:color="auto"/>
            </w:tcBorders>
            <w:vAlign w:val="center"/>
          </w:tcPr>
          <w:p w14:paraId="577B82B0"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38517BB8"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29041D4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DE3378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0D62BF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621247" w14:textId="77777777" w:rsidR="00E57DAA" w:rsidRDefault="00AC4185">
            <w:pPr>
              <w:autoSpaceDE w:val="0"/>
              <w:autoSpaceDN w:val="0"/>
              <w:adjustRightInd w:val="0"/>
              <w:jc w:val="right"/>
              <w:rPr>
                <w:szCs w:val="21"/>
              </w:rPr>
            </w:pPr>
            <w:r>
              <w:t xml:space="preserve">　</w:t>
            </w:r>
          </w:p>
        </w:tc>
      </w:tr>
      <w:tr w:rsidR="00E57DAA" w14:paraId="17FF5B52" w14:textId="77777777">
        <w:tc>
          <w:tcPr>
            <w:tcW w:w="677" w:type="pct"/>
            <w:tcBorders>
              <w:top w:val="single" w:sz="4" w:space="0" w:color="auto"/>
              <w:left w:val="single" w:sz="4" w:space="0" w:color="auto"/>
              <w:bottom w:val="single" w:sz="4" w:space="0" w:color="auto"/>
              <w:right w:val="single" w:sz="4" w:space="0" w:color="auto"/>
            </w:tcBorders>
            <w:vAlign w:val="center"/>
          </w:tcPr>
          <w:p w14:paraId="0AD3970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56AF94" w14:textId="77777777" w:rsidR="00E57DAA" w:rsidRDefault="00AC4185">
            <w:pPr>
              <w:autoSpaceDE w:val="0"/>
              <w:autoSpaceDN w:val="0"/>
              <w:adjustRightInd w:val="0"/>
              <w:rPr>
                <w:szCs w:val="21"/>
              </w:rPr>
            </w:pPr>
            <w:r>
              <w:t>中国建材国际工程集团有限公司</w:t>
            </w:r>
          </w:p>
        </w:tc>
        <w:tc>
          <w:tcPr>
            <w:tcW w:w="633" w:type="pct"/>
            <w:tcBorders>
              <w:top w:val="single" w:sz="4" w:space="0" w:color="auto"/>
              <w:left w:val="single" w:sz="4" w:space="0" w:color="auto"/>
              <w:bottom w:val="single" w:sz="4" w:space="0" w:color="auto"/>
              <w:right w:val="single" w:sz="4" w:space="0" w:color="auto"/>
            </w:tcBorders>
          </w:tcPr>
          <w:p w14:paraId="029AA327" w14:textId="77777777" w:rsidR="00E57DAA" w:rsidRDefault="00AC4185">
            <w:pPr>
              <w:autoSpaceDE w:val="0"/>
              <w:autoSpaceDN w:val="0"/>
              <w:adjustRightInd w:val="0"/>
              <w:jc w:val="right"/>
              <w:rPr>
                <w:szCs w:val="21"/>
              </w:rPr>
            </w:pPr>
            <w:r>
              <w:t>129,474,180.37</w:t>
            </w:r>
          </w:p>
        </w:tc>
        <w:tc>
          <w:tcPr>
            <w:tcW w:w="632" w:type="pct"/>
            <w:tcBorders>
              <w:top w:val="single" w:sz="4" w:space="0" w:color="auto"/>
              <w:left w:val="single" w:sz="4" w:space="0" w:color="auto"/>
              <w:bottom w:val="single" w:sz="4" w:space="0" w:color="auto"/>
              <w:right w:val="single" w:sz="4" w:space="0" w:color="auto"/>
            </w:tcBorders>
          </w:tcPr>
          <w:p w14:paraId="0171AF51" w14:textId="77777777" w:rsidR="00E57DAA" w:rsidRDefault="00AC4185">
            <w:pPr>
              <w:autoSpaceDE w:val="0"/>
              <w:autoSpaceDN w:val="0"/>
              <w:adjustRightInd w:val="0"/>
              <w:jc w:val="right"/>
              <w:rPr>
                <w:szCs w:val="21"/>
              </w:rPr>
            </w:pPr>
            <w:r>
              <w:t>4,366,326.67</w:t>
            </w:r>
          </w:p>
        </w:tc>
        <w:tc>
          <w:tcPr>
            <w:tcW w:w="703" w:type="pct"/>
            <w:tcBorders>
              <w:top w:val="single" w:sz="4" w:space="0" w:color="auto"/>
              <w:left w:val="single" w:sz="4" w:space="0" w:color="auto"/>
              <w:bottom w:val="single" w:sz="4" w:space="0" w:color="auto"/>
              <w:right w:val="single" w:sz="4" w:space="0" w:color="auto"/>
            </w:tcBorders>
          </w:tcPr>
          <w:p w14:paraId="015F66FC" w14:textId="77777777" w:rsidR="00E57DAA" w:rsidRDefault="00AC4185">
            <w:pPr>
              <w:autoSpaceDE w:val="0"/>
              <w:autoSpaceDN w:val="0"/>
              <w:adjustRightInd w:val="0"/>
              <w:jc w:val="right"/>
              <w:rPr>
                <w:szCs w:val="21"/>
              </w:rPr>
            </w:pPr>
            <w:r>
              <w:t>277,912,020.24</w:t>
            </w:r>
          </w:p>
        </w:tc>
        <w:tc>
          <w:tcPr>
            <w:tcW w:w="914" w:type="pct"/>
            <w:tcBorders>
              <w:top w:val="single" w:sz="4" w:space="0" w:color="auto"/>
              <w:left w:val="single" w:sz="4" w:space="0" w:color="auto"/>
              <w:bottom w:val="single" w:sz="4" w:space="0" w:color="auto"/>
              <w:right w:val="single" w:sz="4" w:space="0" w:color="auto"/>
            </w:tcBorders>
          </w:tcPr>
          <w:p w14:paraId="43FE90A1" w14:textId="77777777" w:rsidR="00E57DAA" w:rsidRDefault="00AC4185">
            <w:pPr>
              <w:autoSpaceDE w:val="0"/>
              <w:autoSpaceDN w:val="0"/>
              <w:adjustRightInd w:val="0"/>
              <w:jc w:val="right"/>
              <w:rPr>
                <w:szCs w:val="21"/>
              </w:rPr>
            </w:pPr>
            <w:r>
              <w:t>11,816,884.91</w:t>
            </w:r>
          </w:p>
        </w:tc>
      </w:tr>
      <w:tr w:rsidR="00E57DAA" w14:paraId="72B8E3A4" w14:textId="77777777">
        <w:tc>
          <w:tcPr>
            <w:tcW w:w="677" w:type="pct"/>
            <w:tcBorders>
              <w:top w:val="single" w:sz="4" w:space="0" w:color="auto"/>
              <w:left w:val="single" w:sz="4" w:space="0" w:color="auto"/>
              <w:bottom w:val="single" w:sz="4" w:space="0" w:color="auto"/>
              <w:right w:val="single" w:sz="4" w:space="0" w:color="auto"/>
            </w:tcBorders>
            <w:vAlign w:val="center"/>
          </w:tcPr>
          <w:p w14:paraId="3A5F14E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B0EF80" w14:textId="77777777" w:rsidR="00E57DAA" w:rsidRDefault="00AC4185">
            <w:pPr>
              <w:autoSpaceDE w:val="0"/>
              <w:autoSpaceDN w:val="0"/>
              <w:adjustRightInd w:val="0"/>
              <w:rPr>
                <w:szCs w:val="21"/>
              </w:rPr>
            </w:pPr>
            <w:r>
              <w:t>中建材矿业投资江苏有限公司</w:t>
            </w:r>
          </w:p>
        </w:tc>
        <w:tc>
          <w:tcPr>
            <w:tcW w:w="633" w:type="pct"/>
            <w:tcBorders>
              <w:top w:val="single" w:sz="4" w:space="0" w:color="auto"/>
              <w:left w:val="single" w:sz="4" w:space="0" w:color="auto"/>
              <w:bottom w:val="single" w:sz="4" w:space="0" w:color="auto"/>
              <w:right w:val="single" w:sz="4" w:space="0" w:color="auto"/>
            </w:tcBorders>
          </w:tcPr>
          <w:p w14:paraId="5AE0F3B0" w14:textId="77777777" w:rsidR="00E57DAA" w:rsidRDefault="00AC4185">
            <w:pPr>
              <w:autoSpaceDE w:val="0"/>
              <w:autoSpaceDN w:val="0"/>
              <w:adjustRightInd w:val="0"/>
              <w:jc w:val="right"/>
              <w:rPr>
                <w:szCs w:val="21"/>
              </w:rPr>
            </w:pPr>
            <w:r>
              <w:t>39,525,727.39</w:t>
            </w:r>
          </w:p>
        </w:tc>
        <w:tc>
          <w:tcPr>
            <w:tcW w:w="632" w:type="pct"/>
            <w:tcBorders>
              <w:top w:val="single" w:sz="4" w:space="0" w:color="auto"/>
              <w:left w:val="single" w:sz="4" w:space="0" w:color="auto"/>
              <w:bottom w:val="single" w:sz="4" w:space="0" w:color="auto"/>
              <w:right w:val="single" w:sz="4" w:space="0" w:color="auto"/>
            </w:tcBorders>
          </w:tcPr>
          <w:p w14:paraId="02F1A040" w14:textId="77777777" w:rsidR="00E57DAA" w:rsidRDefault="00AC4185">
            <w:pPr>
              <w:autoSpaceDE w:val="0"/>
              <w:autoSpaceDN w:val="0"/>
              <w:adjustRightInd w:val="0"/>
              <w:jc w:val="right"/>
              <w:rPr>
                <w:szCs w:val="21"/>
              </w:rPr>
            </w:pPr>
            <w:r>
              <w:t>3,624,315.14</w:t>
            </w:r>
          </w:p>
        </w:tc>
        <w:tc>
          <w:tcPr>
            <w:tcW w:w="703" w:type="pct"/>
            <w:tcBorders>
              <w:top w:val="single" w:sz="4" w:space="0" w:color="auto"/>
              <w:left w:val="single" w:sz="4" w:space="0" w:color="auto"/>
              <w:bottom w:val="single" w:sz="4" w:space="0" w:color="auto"/>
              <w:right w:val="single" w:sz="4" w:space="0" w:color="auto"/>
            </w:tcBorders>
          </w:tcPr>
          <w:p w14:paraId="0A9D6DA7" w14:textId="77777777" w:rsidR="00E57DAA" w:rsidRDefault="00AC4185">
            <w:pPr>
              <w:autoSpaceDE w:val="0"/>
              <w:autoSpaceDN w:val="0"/>
              <w:adjustRightInd w:val="0"/>
              <w:jc w:val="right"/>
              <w:rPr>
                <w:szCs w:val="21"/>
              </w:rPr>
            </w:pPr>
            <w:r>
              <w:t>39,524,970.58</w:t>
            </w:r>
          </w:p>
        </w:tc>
        <w:tc>
          <w:tcPr>
            <w:tcW w:w="914" w:type="pct"/>
            <w:tcBorders>
              <w:top w:val="single" w:sz="4" w:space="0" w:color="auto"/>
              <w:left w:val="single" w:sz="4" w:space="0" w:color="auto"/>
              <w:bottom w:val="single" w:sz="4" w:space="0" w:color="auto"/>
              <w:right w:val="single" w:sz="4" w:space="0" w:color="auto"/>
            </w:tcBorders>
          </w:tcPr>
          <w:p w14:paraId="54844E33" w14:textId="77777777" w:rsidR="00E57DAA" w:rsidRDefault="00AC4185">
            <w:pPr>
              <w:autoSpaceDE w:val="0"/>
              <w:autoSpaceDN w:val="0"/>
              <w:adjustRightInd w:val="0"/>
              <w:jc w:val="right"/>
              <w:rPr>
                <w:szCs w:val="21"/>
              </w:rPr>
            </w:pPr>
            <w:r>
              <w:t>2,485,141.58</w:t>
            </w:r>
          </w:p>
        </w:tc>
      </w:tr>
      <w:tr w:rsidR="00E57DAA" w14:paraId="09FBD00E" w14:textId="77777777">
        <w:tc>
          <w:tcPr>
            <w:tcW w:w="677" w:type="pct"/>
            <w:tcBorders>
              <w:top w:val="single" w:sz="4" w:space="0" w:color="auto"/>
              <w:left w:val="single" w:sz="4" w:space="0" w:color="auto"/>
              <w:bottom w:val="single" w:sz="4" w:space="0" w:color="auto"/>
              <w:right w:val="single" w:sz="4" w:space="0" w:color="auto"/>
            </w:tcBorders>
            <w:vAlign w:val="center"/>
          </w:tcPr>
          <w:p w14:paraId="3A01F56D"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78313155" w14:textId="77777777" w:rsidR="00E57DAA" w:rsidRDefault="00AC4185">
            <w:pPr>
              <w:autoSpaceDE w:val="0"/>
              <w:autoSpaceDN w:val="0"/>
              <w:adjustRightInd w:val="0"/>
              <w:rPr>
                <w:szCs w:val="21"/>
              </w:rPr>
            </w:pPr>
            <w:r>
              <w:t>中国建材工业对外经济技术合作公司</w:t>
            </w:r>
          </w:p>
        </w:tc>
        <w:tc>
          <w:tcPr>
            <w:tcW w:w="633" w:type="pct"/>
            <w:tcBorders>
              <w:top w:val="single" w:sz="4" w:space="0" w:color="auto"/>
              <w:left w:val="single" w:sz="4" w:space="0" w:color="auto"/>
              <w:bottom w:val="single" w:sz="4" w:space="0" w:color="auto"/>
              <w:right w:val="single" w:sz="4" w:space="0" w:color="auto"/>
            </w:tcBorders>
          </w:tcPr>
          <w:p w14:paraId="123E88D0" w14:textId="77777777" w:rsidR="00E57DAA" w:rsidRDefault="00AC4185">
            <w:pPr>
              <w:autoSpaceDE w:val="0"/>
              <w:autoSpaceDN w:val="0"/>
              <w:adjustRightInd w:val="0"/>
              <w:jc w:val="right"/>
              <w:rPr>
                <w:szCs w:val="21"/>
              </w:rPr>
            </w:pPr>
            <w:r>
              <w:t>22,572,197.91</w:t>
            </w:r>
          </w:p>
        </w:tc>
        <w:tc>
          <w:tcPr>
            <w:tcW w:w="632" w:type="pct"/>
            <w:tcBorders>
              <w:top w:val="single" w:sz="4" w:space="0" w:color="auto"/>
              <w:left w:val="single" w:sz="4" w:space="0" w:color="auto"/>
              <w:bottom w:val="single" w:sz="4" w:space="0" w:color="auto"/>
              <w:right w:val="single" w:sz="4" w:space="0" w:color="auto"/>
            </w:tcBorders>
          </w:tcPr>
          <w:p w14:paraId="04133BA7" w14:textId="77777777" w:rsidR="00E57DAA" w:rsidRDefault="00AC4185">
            <w:pPr>
              <w:autoSpaceDE w:val="0"/>
              <w:autoSpaceDN w:val="0"/>
              <w:adjustRightInd w:val="0"/>
              <w:jc w:val="right"/>
              <w:rPr>
                <w:szCs w:val="21"/>
              </w:rPr>
            </w:pPr>
            <w:r>
              <w:t>22,572,197.91</w:t>
            </w:r>
          </w:p>
        </w:tc>
        <w:tc>
          <w:tcPr>
            <w:tcW w:w="703" w:type="pct"/>
            <w:tcBorders>
              <w:top w:val="single" w:sz="4" w:space="0" w:color="auto"/>
              <w:left w:val="single" w:sz="4" w:space="0" w:color="auto"/>
              <w:bottom w:val="single" w:sz="4" w:space="0" w:color="auto"/>
              <w:right w:val="single" w:sz="4" w:space="0" w:color="auto"/>
            </w:tcBorders>
          </w:tcPr>
          <w:p w14:paraId="70E42FF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D10D657" w14:textId="77777777" w:rsidR="00E57DAA" w:rsidRDefault="00AC4185">
            <w:pPr>
              <w:autoSpaceDE w:val="0"/>
              <w:autoSpaceDN w:val="0"/>
              <w:adjustRightInd w:val="0"/>
              <w:jc w:val="right"/>
              <w:rPr>
                <w:szCs w:val="21"/>
              </w:rPr>
            </w:pPr>
            <w:r>
              <w:t xml:space="preserve">　</w:t>
            </w:r>
          </w:p>
        </w:tc>
      </w:tr>
      <w:tr w:rsidR="00E57DAA" w14:paraId="051E53DF" w14:textId="77777777">
        <w:tc>
          <w:tcPr>
            <w:tcW w:w="677" w:type="pct"/>
            <w:tcBorders>
              <w:top w:val="single" w:sz="4" w:space="0" w:color="auto"/>
              <w:left w:val="single" w:sz="4" w:space="0" w:color="auto"/>
              <w:bottom w:val="single" w:sz="4" w:space="0" w:color="auto"/>
              <w:right w:val="single" w:sz="4" w:space="0" w:color="auto"/>
            </w:tcBorders>
            <w:vAlign w:val="center"/>
          </w:tcPr>
          <w:p w14:paraId="1C6953B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FBDA140" w14:textId="77777777" w:rsidR="00E57DAA" w:rsidRDefault="00AC4185">
            <w:pPr>
              <w:autoSpaceDE w:val="0"/>
              <w:autoSpaceDN w:val="0"/>
              <w:adjustRightInd w:val="0"/>
              <w:rPr>
                <w:szCs w:val="21"/>
              </w:rPr>
            </w:pPr>
            <w:r>
              <w:t>武汉建筑材料工业设计研究院有限公司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78DFBAD6" w14:textId="77777777" w:rsidR="00E57DAA" w:rsidRDefault="00AC4185">
            <w:pPr>
              <w:autoSpaceDE w:val="0"/>
              <w:autoSpaceDN w:val="0"/>
              <w:adjustRightInd w:val="0"/>
              <w:jc w:val="right"/>
              <w:rPr>
                <w:szCs w:val="21"/>
              </w:rPr>
            </w:pPr>
            <w:r>
              <w:t>11,091,508.25</w:t>
            </w:r>
          </w:p>
        </w:tc>
        <w:tc>
          <w:tcPr>
            <w:tcW w:w="632" w:type="pct"/>
            <w:tcBorders>
              <w:top w:val="single" w:sz="4" w:space="0" w:color="auto"/>
              <w:left w:val="single" w:sz="4" w:space="0" w:color="auto"/>
              <w:bottom w:val="single" w:sz="4" w:space="0" w:color="auto"/>
              <w:right w:val="single" w:sz="4" w:space="0" w:color="auto"/>
            </w:tcBorders>
          </w:tcPr>
          <w:p w14:paraId="3A0F927D" w14:textId="77777777" w:rsidR="00E57DAA" w:rsidRDefault="00AC4185">
            <w:pPr>
              <w:autoSpaceDE w:val="0"/>
              <w:autoSpaceDN w:val="0"/>
              <w:adjustRightInd w:val="0"/>
              <w:jc w:val="right"/>
              <w:rPr>
                <w:szCs w:val="21"/>
              </w:rPr>
            </w:pPr>
            <w:r>
              <w:t>2,401,196.47</w:t>
            </w:r>
          </w:p>
        </w:tc>
        <w:tc>
          <w:tcPr>
            <w:tcW w:w="703" w:type="pct"/>
            <w:tcBorders>
              <w:top w:val="single" w:sz="4" w:space="0" w:color="auto"/>
              <w:left w:val="single" w:sz="4" w:space="0" w:color="auto"/>
              <w:bottom w:val="single" w:sz="4" w:space="0" w:color="auto"/>
              <w:right w:val="single" w:sz="4" w:space="0" w:color="auto"/>
            </w:tcBorders>
          </w:tcPr>
          <w:p w14:paraId="02738ADF" w14:textId="77777777" w:rsidR="00E57DAA" w:rsidRDefault="00AC4185">
            <w:pPr>
              <w:autoSpaceDE w:val="0"/>
              <w:autoSpaceDN w:val="0"/>
              <w:adjustRightInd w:val="0"/>
              <w:jc w:val="right"/>
              <w:rPr>
                <w:szCs w:val="21"/>
              </w:rPr>
            </w:pPr>
            <w:r>
              <w:t>10,098,400.41</w:t>
            </w:r>
          </w:p>
        </w:tc>
        <w:tc>
          <w:tcPr>
            <w:tcW w:w="914" w:type="pct"/>
            <w:tcBorders>
              <w:top w:val="single" w:sz="4" w:space="0" w:color="auto"/>
              <w:left w:val="single" w:sz="4" w:space="0" w:color="auto"/>
              <w:bottom w:val="single" w:sz="4" w:space="0" w:color="auto"/>
              <w:right w:val="single" w:sz="4" w:space="0" w:color="auto"/>
            </w:tcBorders>
          </w:tcPr>
          <w:p w14:paraId="25A34F1A" w14:textId="77777777" w:rsidR="00E57DAA" w:rsidRDefault="00AC4185">
            <w:pPr>
              <w:autoSpaceDE w:val="0"/>
              <w:autoSpaceDN w:val="0"/>
              <w:adjustRightInd w:val="0"/>
              <w:jc w:val="right"/>
              <w:rPr>
                <w:szCs w:val="21"/>
              </w:rPr>
            </w:pPr>
            <w:r>
              <w:t>1,919,226.11</w:t>
            </w:r>
          </w:p>
        </w:tc>
      </w:tr>
      <w:tr w:rsidR="00E57DAA" w14:paraId="1C7BF3C6" w14:textId="77777777">
        <w:tc>
          <w:tcPr>
            <w:tcW w:w="677" w:type="pct"/>
            <w:tcBorders>
              <w:top w:val="single" w:sz="4" w:space="0" w:color="auto"/>
              <w:left w:val="single" w:sz="4" w:space="0" w:color="auto"/>
              <w:bottom w:val="single" w:sz="4" w:space="0" w:color="auto"/>
              <w:right w:val="single" w:sz="4" w:space="0" w:color="auto"/>
            </w:tcBorders>
            <w:vAlign w:val="center"/>
          </w:tcPr>
          <w:p w14:paraId="778437B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659B5E1" w14:textId="77777777" w:rsidR="00E57DAA" w:rsidRDefault="00AC4185">
            <w:pPr>
              <w:autoSpaceDE w:val="0"/>
              <w:autoSpaceDN w:val="0"/>
              <w:adjustRightInd w:val="0"/>
              <w:rPr>
                <w:szCs w:val="21"/>
              </w:rPr>
            </w:pPr>
            <w:r>
              <w:t>中非高岭茂名新材料有限公司</w:t>
            </w:r>
          </w:p>
        </w:tc>
        <w:tc>
          <w:tcPr>
            <w:tcW w:w="633" w:type="pct"/>
            <w:tcBorders>
              <w:top w:val="single" w:sz="4" w:space="0" w:color="auto"/>
              <w:left w:val="single" w:sz="4" w:space="0" w:color="auto"/>
              <w:bottom w:val="single" w:sz="4" w:space="0" w:color="auto"/>
              <w:right w:val="single" w:sz="4" w:space="0" w:color="auto"/>
            </w:tcBorders>
          </w:tcPr>
          <w:p w14:paraId="5AA34949" w14:textId="77777777" w:rsidR="00E57DAA" w:rsidRDefault="00AC4185">
            <w:pPr>
              <w:autoSpaceDE w:val="0"/>
              <w:autoSpaceDN w:val="0"/>
              <w:adjustRightInd w:val="0"/>
              <w:jc w:val="right"/>
              <w:rPr>
                <w:szCs w:val="21"/>
              </w:rPr>
            </w:pPr>
            <w:r>
              <w:t>4,492,575.44</w:t>
            </w:r>
          </w:p>
        </w:tc>
        <w:tc>
          <w:tcPr>
            <w:tcW w:w="632" w:type="pct"/>
            <w:tcBorders>
              <w:top w:val="single" w:sz="4" w:space="0" w:color="auto"/>
              <w:left w:val="single" w:sz="4" w:space="0" w:color="auto"/>
              <w:bottom w:val="single" w:sz="4" w:space="0" w:color="auto"/>
              <w:right w:val="single" w:sz="4" w:space="0" w:color="auto"/>
            </w:tcBorders>
          </w:tcPr>
          <w:p w14:paraId="453F5979" w14:textId="77777777" w:rsidR="00E57DAA" w:rsidRDefault="00AC4185">
            <w:pPr>
              <w:autoSpaceDE w:val="0"/>
              <w:autoSpaceDN w:val="0"/>
              <w:adjustRightInd w:val="0"/>
              <w:jc w:val="right"/>
              <w:rPr>
                <w:szCs w:val="21"/>
              </w:rPr>
            </w:pPr>
            <w:r>
              <w:t>106,474.04</w:t>
            </w:r>
          </w:p>
        </w:tc>
        <w:tc>
          <w:tcPr>
            <w:tcW w:w="703" w:type="pct"/>
            <w:tcBorders>
              <w:top w:val="single" w:sz="4" w:space="0" w:color="auto"/>
              <w:left w:val="single" w:sz="4" w:space="0" w:color="auto"/>
              <w:bottom w:val="single" w:sz="4" w:space="0" w:color="auto"/>
              <w:right w:val="single" w:sz="4" w:space="0" w:color="auto"/>
            </w:tcBorders>
          </w:tcPr>
          <w:p w14:paraId="2A585CA3" w14:textId="77777777" w:rsidR="00E57DAA" w:rsidRDefault="00AC4185">
            <w:pPr>
              <w:autoSpaceDE w:val="0"/>
              <w:autoSpaceDN w:val="0"/>
              <w:adjustRightInd w:val="0"/>
              <w:jc w:val="right"/>
              <w:rPr>
                <w:szCs w:val="21"/>
              </w:rPr>
            </w:pPr>
            <w:r>
              <w:t>6,748,978.09</w:t>
            </w:r>
          </w:p>
        </w:tc>
        <w:tc>
          <w:tcPr>
            <w:tcW w:w="914" w:type="pct"/>
            <w:tcBorders>
              <w:top w:val="single" w:sz="4" w:space="0" w:color="auto"/>
              <w:left w:val="single" w:sz="4" w:space="0" w:color="auto"/>
              <w:bottom w:val="single" w:sz="4" w:space="0" w:color="auto"/>
              <w:right w:val="single" w:sz="4" w:space="0" w:color="auto"/>
            </w:tcBorders>
          </w:tcPr>
          <w:p w14:paraId="1AE69F5A" w14:textId="77777777" w:rsidR="00E57DAA" w:rsidRDefault="00AC4185">
            <w:pPr>
              <w:autoSpaceDE w:val="0"/>
              <w:autoSpaceDN w:val="0"/>
              <w:adjustRightInd w:val="0"/>
              <w:jc w:val="right"/>
              <w:rPr>
                <w:szCs w:val="21"/>
              </w:rPr>
            </w:pPr>
            <w:r>
              <w:t>159,950.78</w:t>
            </w:r>
          </w:p>
        </w:tc>
      </w:tr>
      <w:tr w:rsidR="00E57DAA" w14:paraId="6AA31B79" w14:textId="77777777">
        <w:tc>
          <w:tcPr>
            <w:tcW w:w="677" w:type="pct"/>
            <w:tcBorders>
              <w:top w:val="single" w:sz="4" w:space="0" w:color="auto"/>
              <w:left w:val="single" w:sz="4" w:space="0" w:color="auto"/>
              <w:bottom w:val="single" w:sz="4" w:space="0" w:color="auto"/>
              <w:right w:val="single" w:sz="4" w:space="0" w:color="auto"/>
            </w:tcBorders>
            <w:vAlign w:val="center"/>
          </w:tcPr>
          <w:p w14:paraId="5A43AF9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1B5458B" w14:textId="77777777" w:rsidR="00E57DAA" w:rsidRDefault="00AC4185">
            <w:pPr>
              <w:autoSpaceDE w:val="0"/>
              <w:autoSpaceDN w:val="0"/>
              <w:adjustRightInd w:val="0"/>
              <w:rPr>
                <w:szCs w:val="21"/>
              </w:rPr>
            </w:pPr>
            <w:r>
              <w:t>新疆凯盛建材设计研究院（有限公司）</w:t>
            </w:r>
          </w:p>
        </w:tc>
        <w:tc>
          <w:tcPr>
            <w:tcW w:w="633" w:type="pct"/>
            <w:tcBorders>
              <w:top w:val="single" w:sz="4" w:space="0" w:color="auto"/>
              <w:left w:val="single" w:sz="4" w:space="0" w:color="auto"/>
              <w:bottom w:val="single" w:sz="4" w:space="0" w:color="auto"/>
              <w:right w:val="single" w:sz="4" w:space="0" w:color="auto"/>
            </w:tcBorders>
          </w:tcPr>
          <w:p w14:paraId="5239DD15" w14:textId="77777777" w:rsidR="00E57DAA" w:rsidRDefault="00AC4185">
            <w:pPr>
              <w:autoSpaceDE w:val="0"/>
              <w:autoSpaceDN w:val="0"/>
              <w:adjustRightInd w:val="0"/>
              <w:jc w:val="right"/>
              <w:rPr>
                <w:szCs w:val="21"/>
              </w:rPr>
            </w:pPr>
            <w:r>
              <w:t>2,963,186.82</w:t>
            </w:r>
          </w:p>
        </w:tc>
        <w:tc>
          <w:tcPr>
            <w:tcW w:w="632" w:type="pct"/>
            <w:tcBorders>
              <w:top w:val="single" w:sz="4" w:space="0" w:color="auto"/>
              <w:left w:val="single" w:sz="4" w:space="0" w:color="auto"/>
              <w:bottom w:val="single" w:sz="4" w:space="0" w:color="auto"/>
              <w:right w:val="single" w:sz="4" w:space="0" w:color="auto"/>
            </w:tcBorders>
          </w:tcPr>
          <w:p w14:paraId="10E34493" w14:textId="77777777" w:rsidR="00E57DAA" w:rsidRDefault="00AC4185">
            <w:pPr>
              <w:autoSpaceDE w:val="0"/>
              <w:autoSpaceDN w:val="0"/>
              <w:adjustRightInd w:val="0"/>
              <w:jc w:val="right"/>
              <w:rPr>
                <w:szCs w:val="21"/>
              </w:rPr>
            </w:pPr>
            <w:r>
              <w:t>2,963,186.82</w:t>
            </w:r>
          </w:p>
        </w:tc>
        <w:tc>
          <w:tcPr>
            <w:tcW w:w="703" w:type="pct"/>
            <w:tcBorders>
              <w:top w:val="single" w:sz="4" w:space="0" w:color="auto"/>
              <w:left w:val="single" w:sz="4" w:space="0" w:color="auto"/>
              <w:bottom w:val="single" w:sz="4" w:space="0" w:color="auto"/>
              <w:right w:val="single" w:sz="4" w:space="0" w:color="auto"/>
            </w:tcBorders>
          </w:tcPr>
          <w:p w14:paraId="79CA7BFD" w14:textId="77777777" w:rsidR="00E57DAA" w:rsidRDefault="00AC4185">
            <w:pPr>
              <w:autoSpaceDE w:val="0"/>
              <w:autoSpaceDN w:val="0"/>
              <w:adjustRightInd w:val="0"/>
              <w:jc w:val="right"/>
              <w:rPr>
                <w:szCs w:val="21"/>
              </w:rPr>
            </w:pPr>
            <w:r>
              <w:t>4,383,470.82</w:t>
            </w:r>
          </w:p>
        </w:tc>
        <w:tc>
          <w:tcPr>
            <w:tcW w:w="914" w:type="pct"/>
            <w:tcBorders>
              <w:top w:val="single" w:sz="4" w:space="0" w:color="auto"/>
              <w:left w:val="single" w:sz="4" w:space="0" w:color="auto"/>
              <w:bottom w:val="single" w:sz="4" w:space="0" w:color="auto"/>
              <w:right w:val="single" w:sz="4" w:space="0" w:color="auto"/>
            </w:tcBorders>
          </w:tcPr>
          <w:p w14:paraId="680388C7" w14:textId="77777777" w:rsidR="00E57DAA" w:rsidRDefault="00AC4185">
            <w:pPr>
              <w:autoSpaceDE w:val="0"/>
              <w:autoSpaceDN w:val="0"/>
              <w:adjustRightInd w:val="0"/>
              <w:jc w:val="right"/>
              <w:rPr>
                <w:szCs w:val="21"/>
              </w:rPr>
            </w:pPr>
            <w:r>
              <w:t>3,760,406.07</w:t>
            </w:r>
          </w:p>
        </w:tc>
      </w:tr>
      <w:tr w:rsidR="00E57DAA" w14:paraId="2B8784A9" w14:textId="77777777">
        <w:tc>
          <w:tcPr>
            <w:tcW w:w="677" w:type="pct"/>
            <w:tcBorders>
              <w:top w:val="single" w:sz="4" w:space="0" w:color="auto"/>
              <w:left w:val="single" w:sz="4" w:space="0" w:color="auto"/>
              <w:bottom w:val="single" w:sz="4" w:space="0" w:color="auto"/>
              <w:right w:val="single" w:sz="4" w:space="0" w:color="auto"/>
            </w:tcBorders>
            <w:vAlign w:val="center"/>
          </w:tcPr>
          <w:p w14:paraId="0E61E15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C0EFEDA" w14:textId="77777777" w:rsidR="00E57DAA" w:rsidRDefault="00AC4185">
            <w:pPr>
              <w:autoSpaceDE w:val="0"/>
              <w:autoSpaceDN w:val="0"/>
              <w:adjustRightInd w:val="0"/>
              <w:rPr>
                <w:szCs w:val="21"/>
              </w:rPr>
            </w:pPr>
            <w:r>
              <w:t>上海新建重型机械有限公司</w:t>
            </w:r>
          </w:p>
        </w:tc>
        <w:tc>
          <w:tcPr>
            <w:tcW w:w="633" w:type="pct"/>
            <w:tcBorders>
              <w:top w:val="single" w:sz="4" w:space="0" w:color="auto"/>
              <w:left w:val="single" w:sz="4" w:space="0" w:color="auto"/>
              <w:bottom w:val="single" w:sz="4" w:space="0" w:color="auto"/>
              <w:right w:val="single" w:sz="4" w:space="0" w:color="auto"/>
            </w:tcBorders>
          </w:tcPr>
          <w:p w14:paraId="4653E423" w14:textId="77777777" w:rsidR="00E57DAA" w:rsidRDefault="00AC4185">
            <w:pPr>
              <w:autoSpaceDE w:val="0"/>
              <w:autoSpaceDN w:val="0"/>
              <w:adjustRightInd w:val="0"/>
              <w:jc w:val="right"/>
              <w:rPr>
                <w:szCs w:val="21"/>
              </w:rPr>
            </w:pPr>
            <w:r>
              <w:t>2,258,900.00</w:t>
            </w:r>
          </w:p>
        </w:tc>
        <w:tc>
          <w:tcPr>
            <w:tcW w:w="632" w:type="pct"/>
            <w:tcBorders>
              <w:top w:val="single" w:sz="4" w:space="0" w:color="auto"/>
              <w:left w:val="single" w:sz="4" w:space="0" w:color="auto"/>
              <w:bottom w:val="single" w:sz="4" w:space="0" w:color="auto"/>
              <w:right w:val="single" w:sz="4" w:space="0" w:color="auto"/>
            </w:tcBorders>
          </w:tcPr>
          <w:p w14:paraId="1B63DE9F" w14:textId="77777777" w:rsidR="00E57DAA" w:rsidRDefault="00AC4185">
            <w:pPr>
              <w:autoSpaceDE w:val="0"/>
              <w:autoSpaceDN w:val="0"/>
              <w:adjustRightInd w:val="0"/>
              <w:jc w:val="right"/>
              <w:rPr>
                <w:szCs w:val="21"/>
              </w:rPr>
            </w:pPr>
            <w:r>
              <w:t>77,134.17</w:t>
            </w:r>
          </w:p>
        </w:tc>
        <w:tc>
          <w:tcPr>
            <w:tcW w:w="703" w:type="pct"/>
            <w:tcBorders>
              <w:top w:val="single" w:sz="4" w:space="0" w:color="auto"/>
              <w:left w:val="single" w:sz="4" w:space="0" w:color="auto"/>
              <w:bottom w:val="single" w:sz="4" w:space="0" w:color="auto"/>
              <w:right w:val="single" w:sz="4" w:space="0" w:color="auto"/>
            </w:tcBorders>
          </w:tcPr>
          <w:p w14:paraId="61602D50" w14:textId="77777777" w:rsidR="00E57DAA" w:rsidRDefault="00AC4185">
            <w:pPr>
              <w:autoSpaceDE w:val="0"/>
              <w:autoSpaceDN w:val="0"/>
              <w:adjustRightInd w:val="0"/>
              <w:jc w:val="right"/>
              <w:rPr>
                <w:szCs w:val="21"/>
              </w:rPr>
            </w:pPr>
            <w:r>
              <w:t>4,790,600.00</w:t>
            </w:r>
          </w:p>
        </w:tc>
        <w:tc>
          <w:tcPr>
            <w:tcW w:w="914" w:type="pct"/>
            <w:tcBorders>
              <w:top w:val="single" w:sz="4" w:space="0" w:color="auto"/>
              <w:left w:val="single" w:sz="4" w:space="0" w:color="auto"/>
              <w:bottom w:val="single" w:sz="4" w:space="0" w:color="auto"/>
              <w:right w:val="single" w:sz="4" w:space="0" w:color="auto"/>
            </w:tcBorders>
          </w:tcPr>
          <w:p w14:paraId="41B72EB4" w14:textId="77777777" w:rsidR="00E57DAA" w:rsidRDefault="00AC4185">
            <w:pPr>
              <w:autoSpaceDE w:val="0"/>
              <w:autoSpaceDN w:val="0"/>
              <w:adjustRightInd w:val="0"/>
              <w:jc w:val="right"/>
              <w:rPr>
                <w:szCs w:val="21"/>
              </w:rPr>
            </w:pPr>
            <w:r>
              <w:t>113,537.22</w:t>
            </w:r>
          </w:p>
        </w:tc>
      </w:tr>
      <w:tr w:rsidR="00E57DAA" w14:paraId="6D2B6FEF" w14:textId="77777777">
        <w:tc>
          <w:tcPr>
            <w:tcW w:w="677" w:type="pct"/>
            <w:tcBorders>
              <w:top w:val="single" w:sz="4" w:space="0" w:color="auto"/>
              <w:left w:val="single" w:sz="4" w:space="0" w:color="auto"/>
              <w:bottom w:val="single" w:sz="4" w:space="0" w:color="auto"/>
              <w:right w:val="single" w:sz="4" w:space="0" w:color="auto"/>
            </w:tcBorders>
            <w:vAlign w:val="center"/>
          </w:tcPr>
          <w:p w14:paraId="08F915F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6CD9FDE" w14:textId="77777777" w:rsidR="00E57DAA" w:rsidRDefault="00AC4185">
            <w:pPr>
              <w:autoSpaceDE w:val="0"/>
              <w:autoSpaceDN w:val="0"/>
              <w:adjustRightInd w:val="0"/>
              <w:rPr>
                <w:szCs w:val="21"/>
              </w:rPr>
            </w:pPr>
            <w:r>
              <w:t>中建材行业生产力促进中心有限公司</w:t>
            </w:r>
          </w:p>
        </w:tc>
        <w:tc>
          <w:tcPr>
            <w:tcW w:w="633" w:type="pct"/>
            <w:tcBorders>
              <w:top w:val="single" w:sz="4" w:space="0" w:color="auto"/>
              <w:left w:val="single" w:sz="4" w:space="0" w:color="auto"/>
              <w:bottom w:val="single" w:sz="4" w:space="0" w:color="auto"/>
              <w:right w:val="single" w:sz="4" w:space="0" w:color="auto"/>
            </w:tcBorders>
          </w:tcPr>
          <w:p w14:paraId="297AE563" w14:textId="77777777" w:rsidR="00E57DAA" w:rsidRDefault="00AC4185">
            <w:pPr>
              <w:autoSpaceDE w:val="0"/>
              <w:autoSpaceDN w:val="0"/>
              <w:adjustRightInd w:val="0"/>
              <w:jc w:val="right"/>
              <w:rPr>
                <w:szCs w:val="21"/>
              </w:rPr>
            </w:pPr>
            <w:r>
              <w:t>2,046,000.00</w:t>
            </w:r>
          </w:p>
        </w:tc>
        <w:tc>
          <w:tcPr>
            <w:tcW w:w="632" w:type="pct"/>
            <w:tcBorders>
              <w:top w:val="single" w:sz="4" w:space="0" w:color="auto"/>
              <w:left w:val="single" w:sz="4" w:space="0" w:color="auto"/>
              <w:bottom w:val="single" w:sz="4" w:space="0" w:color="auto"/>
              <w:right w:val="single" w:sz="4" w:space="0" w:color="auto"/>
            </w:tcBorders>
          </w:tcPr>
          <w:p w14:paraId="6ABEC35B" w14:textId="77777777" w:rsidR="00E57DAA" w:rsidRDefault="00AC4185">
            <w:pPr>
              <w:autoSpaceDE w:val="0"/>
              <w:autoSpaceDN w:val="0"/>
              <w:adjustRightInd w:val="0"/>
              <w:jc w:val="right"/>
              <w:rPr>
                <w:szCs w:val="21"/>
              </w:rPr>
            </w:pPr>
            <w:r>
              <w:t>394,692.00</w:t>
            </w:r>
          </w:p>
        </w:tc>
        <w:tc>
          <w:tcPr>
            <w:tcW w:w="703" w:type="pct"/>
            <w:tcBorders>
              <w:top w:val="single" w:sz="4" w:space="0" w:color="auto"/>
              <w:left w:val="single" w:sz="4" w:space="0" w:color="auto"/>
              <w:bottom w:val="single" w:sz="4" w:space="0" w:color="auto"/>
              <w:right w:val="single" w:sz="4" w:space="0" w:color="auto"/>
            </w:tcBorders>
          </w:tcPr>
          <w:p w14:paraId="33596355" w14:textId="77777777" w:rsidR="00E57DAA" w:rsidRDefault="00AC4185">
            <w:pPr>
              <w:autoSpaceDE w:val="0"/>
              <w:autoSpaceDN w:val="0"/>
              <w:adjustRightInd w:val="0"/>
              <w:jc w:val="right"/>
              <w:rPr>
                <w:szCs w:val="21"/>
              </w:rPr>
            </w:pPr>
            <w:r>
              <w:t>3,929,018.00</w:t>
            </w:r>
          </w:p>
        </w:tc>
        <w:tc>
          <w:tcPr>
            <w:tcW w:w="914" w:type="pct"/>
            <w:tcBorders>
              <w:top w:val="single" w:sz="4" w:space="0" w:color="auto"/>
              <w:left w:val="single" w:sz="4" w:space="0" w:color="auto"/>
              <w:bottom w:val="single" w:sz="4" w:space="0" w:color="auto"/>
              <w:right w:val="single" w:sz="4" w:space="0" w:color="auto"/>
            </w:tcBorders>
          </w:tcPr>
          <w:p w14:paraId="07449597" w14:textId="77777777" w:rsidR="00E57DAA" w:rsidRDefault="00AC4185">
            <w:pPr>
              <w:autoSpaceDE w:val="0"/>
              <w:autoSpaceDN w:val="0"/>
              <w:adjustRightInd w:val="0"/>
              <w:jc w:val="right"/>
              <w:rPr>
                <w:szCs w:val="21"/>
              </w:rPr>
            </w:pPr>
            <w:r>
              <w:t>277,676.79</w:t>
            </w:r>
          </w:p>
        </w:tc>
      </w:tr>
      <w:tr w:rsidR="00E57DAA" w14:paraId="7399EBBA" w14:textId="77777777">
        <w:tc>
          <w:tcPr>
            <w:tcW w:w="677" w:type="pct"/>
            <w:tcBorders>
              <w:top w:val="single" w:sz="4" w:space="0" w:color="auto"/>
              <w:left w:val="single" w:sz="4" w:space="0" w:color="auto"/>
              <w:bottom w:val="single" w:sz="4" w:space="0" w:color="auto"/>
              <w:right w:val="single" w:sz="4" w:space="0" w:color="auto"/>
            </w:tcBorders>
            <w:vAlign w:val="center"/>
          </w:tcPr>
          <w:p w14:paraId="367218D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230A5A2" w14:textId="77777777" w:rsidR="00E57DAA" w:rsidRDefault="00AC4185">
            <w:pPr>
              <w:autoSpaceDE w:val="0"/>
              <w:autoSpaceDN w:val="0"/>
              <w:adjustRightInd w:val="0"/>
              <w:rPr>
                <w:szCs w:val="21"/>
              </w:rPr>
            </w:pPr>
            <w:r>
              <w:t>中建材玻璃新材料研究院集团有限公司</w:t>
            </w:r>
          </w:p>
        </w:tc>
        <w:tc>
          <w:tcPr>
            <w:tcW w:w="633" w:type="pct"/>
            <w:tcBorders>
              <w:top w:val="single" w:sz="4" w:space="0" w:color="auto"/>
              <w:left w:val="single" w:sz="4" w:space="0" w:color="auto"/>
              <w:bottom w:val="single" w:sz="4" w:space="0" w:color="auto"/>
              <w:right w:val="single" w:sz="4" w:space="0" w:color="auto"/>
            </w:tcBorders>
          </w:tcPr>
          <w:p w14:paraId="2F4F1F67" w14:textId="77777777" w:rsidR="00E57DAA" w:rsidRDefault="00AC4185">
            <w:pPr>
              <w:autoSpaceDE w:val="0"/>
              <w:autoSpaceDN w:val="0"/>
              <w:adjustRightInd w:val="0"/>
              <w:jc w:val="right"/>
              <w:rPr>
                <w:szCs w:val="21"/>
              </w:rPr>
            </w:pPr>
            <w:r>
              <w:t>2,012,940.00</w:t>
            </w:r>
          </w:p>
        </w:tc>
        <w:tc>
          <w:tcPr>
            <w:tcW w:w="632" w:type="pct"/>
            <w:tcBorders>
              <w:top w:val="single" w:sz="4" w:space="0" w:color="auto"/>
              <w:left w:val="single" w:sz="4" w:space="0" w:color="auto"/>
              <w:bottom w:val="single" w:sz="4" w:space="0" w:color="auto"/>
              <w:right w:val="single" w:sz="4" w:space="0" w:color="auto"/>
            </w:tcBorders>
          </w:tcPr>
          <w:p w14:paraId="09748D4F" w14:textId="77777777" w:rsidR="00E57DAA" w:rsidRDefault="00AC4185">
            <w:pPr>
              <w:autoSpaceDE w:val="0"/>
              <w:autoSpaceDN w:val="0"/>
              <w:adjustRightInd w:val="0"/>
              <w:jc w:val="right"/>
              <w:rPr>
                <w:szCs w:val="21"/>
              </w:rPr>
            </w:pPr>
            <w:r>
              <w:t>838,758.00</w:t>
            </w:r>
          </w:p>
        </w:tc>
        <w:tc>
          <w:tcPr>
            <w:tcW w:w="703" w:type="pct"/>
            <w:tcBorders>
              <w:top w:val="single" w:sz="4" w:space="0" w:color="auto"/>
              <w:left w:val="single" w:sz="4" w:space="0" w:color="auto"/>
              <w:bottom w:val="single" w:sz="4" w:space="0" w:color="auto"/>
              <w:right w:val="single" w:sz="4" w:space="0" w:color="auto"/>
            </w:tcBorders>
          </w:tcPr>
          <w:p w14:paraId="575DCFD6" w14:textId="77777777" w:rsidR="00E57DAA" w:rsidRDefault="00AC4185">
            <w:pPr>
              <w:autoSpaceDE w:val="0"/>
              <w:autoSpaceDN w:val="0"/>
              <w:adjustRightInd w:val="0"/>
              <w:jc w:val="right"/>
              <w:rPr>
                <w:szCs w:val="21"/>
              </w:rPr>
            </w:pPr>
            <w:r>
              <w:t>3,482,940.00</w:t>
            </w:r>
          </w:p>
        </w:tc>
        <w:tc>
          <w:tcPr>
            <w:tcW w:w="914" w:type="pct"/>
            <w:tcBorders>
              <w:top w:val="single" w:sz="4" w:space="0" w:color="auto"/>
              <w:left w:val="single" w:sz="4" w:space="0" w:color="auto"/>
              <w:bottom w:val="single" w:sz="4" w:space="0" w:color="auto"/>
              <w:right w:val="single" w:sz="4" w:space="0" w:color="auto"/>
            </w:tcBorders>
          </w:tcPr>
          <w:p w14:paraId="44FB312A" w14:textId="77777777" w:rsidR="00E57DAA" w:rsidRDefault="00AC4185">
            <w:pPr>
              <w:autoSpaceDE w:val="0"/>
              <w:autoSpaceDN w:val="0"/>
              <w:adjustRightInd w:val="0"/>
              <w:jc w:val="right"/>
              <w:rPr>
                <w:szCs w:val="21"/>
              </w:rPr>
            </w:pPr>
            <w:r>
              <w:t>1,060,501.00</w:t>
            </w:r>
          </w:p>
        </w:tc>
      </w:tr>
      <w:tr w:rsidR="00E57DAA" w14:paraId="47997045" w14:textId="77777777">
        <w:tc>
          <w:tcPr>
            <w:tcW w:w="677" w:type="pct"/>
            <w:tcBorders>
              <w:top w:val="single" w:sz="4" w:space="0" w:color="auto"/>
              <w:left w:val="single" w:sz="4" w:space="0" w:color="auto"/>
              <w:bottom w:val="single" w:sz="4" w:space="0" w:color="auto"/>
              <w:right w:val="single" w:sz="4" w:space="0" w:color="auto"/>
            </w:tcBorders>
            <w:vAlign w:val="center"/>
          </w:tcPr>
          <w:p w14:paraId="72F525B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1B5EEDF" w14:textId="77777777" w:rsidR="00E57DAA" w:rsidRDefault="00AC4185">
            <w:pPr>
              <w:autoSpaceDE w:val="0"/>
              <w:autoSpaceDN w:val="0"/>
              <w:adjustRightInd w:val="0"/>
              <w:rPr>
                <w:szCs w:val="21"/>
              </w:rPr>
            </w:pPr>
            <w:r>
              <w:t>中国新型建材设计研究院有限公司</w:t>
            </w:r>
          </w:p>
        </w:tc>
        <w:tc>
          <w:tcPr>
            <w:tcW w:w="633" w:type="pct"/>
            <w:tcBorders>
              <w:top w:val="single" w:sz="4" w:space="0" w:color="auto"/>
              <w:left w:val="single" w:sz="4" w:space="0" w:color="auto"/>
              <w:bottom w:val="single" w:sz="4" w:space="0" w:color="auto"/>
              <w:right w:val="single" w:sz="4" w:space="0" w:color="auto"/>
            </w:tcBorders>
          </w:tcPr>
          <w:p w14:paraId="7B99BCCC" w14:textId="77777777" w:rsidR="00E57DAA" w:rsidRDefault="00AC4185">
            <w:pPr>
              <w:autoSpaceDE w:val="0"/>
              <w:autoSpaceDN w:val="0"/>
              <w:adjustRightInd w:val="0"/>
              <w:jc w:val="right"/>
              <w:rPr>
                <w:szCs w:val="21"/>
              </w:rPr>
            </w:pPr>
            <w:r>
              <w:t>1,564,000.00</w:t>
            </w:r>
          </w:p>
        </w:tc>
        <w:tc>
          <w:tcPr>
            <w:tcW w:w="632" w:type="pct"/>
            <w:tcBorders>
              <w:top w:val="single" w:sz="4" w:space="0" w:color="auto"/>
              <w:left w:val="single" w:sz="4" w:space="0" w:color="auto"/>
              <w:bottom w:val="single" w:sz="4" w:space="0" w:color="auto"/>
              <w:right w:val="single" w:sz="4" w:space="0" w:color="auto"/>
            </w:tcBorders>
          </w:tcPr>
          <w:p w14:paraId="53ECCB81" w14:textId="77777777" w:rsidR="00E57DAA" w:rsidRDefault="00AC4185">
            <w:pPr>
              <w:autoSpaceDE w:val="0"/>
              <w:autoSpaceDN w:val="0"/>
              <w:adjustRightInd w:val="0"/>
              <w:jc w:val="right"/>
              <w:rPr>
                <w:szCs w:val="21"/>
              </w:rPr>
            </w:pPr>
            <w:r>
              <w:t>266,644.00</w:t>
            </w:r>
          </w:p>
        </w:tc>
        <w:tc>
          <w:tcPr>
            <w:tcW w:w="703" w:type="pct"/>
            <w:tcBorders>
              <w:top w:val="single" w:sz="4" w:space="0" w:color="auto"/>
              <w:left w:val="single" w:sz="4" w:space="0" w:color="auto"/>
              <w:bottom w:val="single" w:sz="4" w:space="0" w:color="auto"/>
              <w:right w:val="single" w:sz="4" w:space="0" w:color="auto"/>
            </w:tcBorders>
          </w:tcPr>
          <w:p w14:paraId="3E47F532" w14:textId="77777777" w:rsidR="00E57DAA" w:rsidRDefault="00AC4185">
            <w:pPr>
              <w:autoSpaceDE w:val="0"/>
              <w:autoSpaceDN w:val="0"/>
              <w:adjustRightInd w:val="0"/>
              <w:jc w:val="right"/>
              <w:rPr>
                <w:szCs w:val="21"/>
              </w:rPr>
            </w:pPr>
            <w:r>
              <w:t>744,945.11</w:t>
            </w:r>
          </w:p>
        </w:tc>
        <w:tc>
          <w:tcPr>
            <w:tcW w:w="914" w:type="pct"/>
            <w:tcBorders>
              <w:top w:val="single" w:sz="4" w:space="0" w:color="auto"/>
              <w:left w:val="single" w:sz="4" w:space="0" w:color="auto"/>
              <w:bottom w:val="single" w:sz="4" w:space="0" w:color="auto"/>
              <w:right w:val="single" w:sz="4" w:space="0" w:color="auto"/>
            </w:tcBorders>
          </w:tcPr>
          <w:p w14:paraId="69965721" w14:textId="77777777" w:rsidR="00E57DAA" w:rsidRDefault="00AC4185">
            <w:pPr>
              <w:autoSpaceDE w:val="0"/>
              <w:autoSpaceDN w:val="0"/>
              <w:adjustRightInd w:val="0"/>
              <w:jc w:val="right"/>
              <w:rPr>
                <w:szCs w:val="21"/>
              </w:rPr>
            </w:pPr>
            <w:r>
              <w:t>135,685.54</w:t>
            </w:r>
          </w:p>
        </w:tc>
      </w:tr>
      <w:tr w:rsidR="00E57DAA" w14:paraId="6690C583" w14:textId="77777777">
        <w:tc>
          <w:tcPr>
            <w:tcW w:w="677" w:type="pct"/>
            <w:tcBorders>
              <w:top w:val="single" w:sz="4" w:space="0" w:color="auto"/>
              <w:left w:val="single" w:sz="4" w:space="0" w:color="auto"/>
              <w:bottom w:val="single" w:sz="4" w:space="0" w:color="auto"/>
              <w:right w:val="single" w:sz="4" w:space="0" w:color="auto"/>
            </w:tcBorders>
            <w:vAlign w:val="center"/>
          </w:tcPr>
          <w:p w14:paraId="6474D46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104EB8C"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64CD574A" w14:textId="77777777" w:rsidR="00E57DAA" w:rsidRDefault="00AC4185">
            <w:pPr>
              <w:autoSpaceDE w:val="0"/>
              <w:autoSpaceDN w:val="0"/>
              <w:adjustRightInd w:val="0"/>
              <w:jc w:val="right"/>
              <w:rPr>
                <w:szCs w:val="21"/>
              </w:rPr>
            </w:pPr>
            <w:r>
              <w:t>1,493,159.00</w:t>
            </w:r>
          </w:p>
        </w:tc>
        <w:tc>
          <w:tcPr>
            <w:tcW w:w="632" w:type="pct"/>
            <w:tcBorders>
              <w:top w:val="single" w:sz="4" w:space="0" w:color="auto"/>
              <w:left w:val="single" w:sz="4" w:space="0" w:color="auto"/>
              <w:bottom w:val="single" w:sz="4" w:space="0" w:color="auto"/>
              <w:right w:val="single" w:sz="4" w:space="0" w:color="auto"/>
            </w:tcBorders>
          </w:tcPr>
          <w:p w14:paraId="349A8E6C" w14:textId="77777777" w:rsidR="00E57DAA" w:rsidRDefault="00AC4185">
            <w:pPr>
              <w:autoSpaceDE w:val="0"/>
              <w:autoSpaceDN w:val="0"/>
              <w:adjustRightInd w:val="0"/>
              <w:jc w:val="right"/>
              <w:rPr>
                <w:szCs w:val="21"/>
              </w:rPr>
            </w:pPr>
            <w:r>
              <w:t>384,431.24</w:t>
            </w:r>
          </w:p>
        </w:tc>
        <w:tc>
          <w:tcPr>
            <w:tcW w:w="703" w:type="pct"/>
            <w:tcBorders>
              <w:top w:val="single" w:sz="4" w:space="0" w:color="auto"/>
              <w:left w:val="single" w:sz="4" w:space="0" w:color="auto"/>
              <w:bottom w:val="single" w:sz="4" w:space="0" w:color="auto"/>
              <w:right w:val="single" w:sz="4" w:space="0" w:color="auto"/>
            </w:tcBorders>
          </w:tcPr>
          <w:p w14:paraId="2856853A" w14:textId="77777777" w:rsidR="00E57DAA" w:rsidRDefault="00AC4185">
            <w:pPr>
              <w:autoSpaceDE w:val="0"/>
              <w:autoSpaceDN w:val="0"/>
              <w:adjustRightInd w:val="0"/>
              <w:jc w:val="right"/>
              <w:rPr>
                <w:szCs w:val="21"/>
              </w:rPr>
            </w:pPr>
            <w:r>
              <w:t>762,253.00</w:t>
            </w:r>
          </w:p>
        </w:tc>
        <w:tc>
          <w:tcPr>
            <w:tcW w:w="914" w:type="pct"/>
            <w:tcBorders>
              <w:top w:val="single" w:sz="4" w:space="0" w:color="auto"/>
              <w:left w:val="single" w:sz="4" w:space="0" w:color="auto"/>
              <w:bottom w:val="single" w:sz="4" w:space="0" w:color="auto"/>
              <w:right w:val="single" w:sz="4" w:space="0" w:color="auto"/>
            </w:tcBorders>
          </w:tcPr>
          <w:p w14:paraId="1A41BA32" w14:textId="77777777" w:rsidR="00E57DAA" w:rsidRDefault="00AC4185">
            <w:pPr>
              <w:autoSpaceDE w:val="0"/>
              <w:autoSpaceDN w:val="0"/>
              <w:adjustRightInd w:val="0"/>
              <w:jc w:val="right"/>
              <w:rPr>
                <w:szCs w:val="21"/>
              </w:rPr>
            </w:pPr>
            <w:r>
              <w:t>208,317.04</w:t>
            </w:r>
          </w:p>
        </w:tc>
      </w:tr>
      <w:tr w:rsidR="00E57DAA" w14:paraId="5AB7B8EF" w14:textId="77777777">
        <w:tc>
          <w:tcPr>
            <w:tcW w:w="677" w:type="pct"/>
            <w:tcBorders>
              <w:top w:val="single" w:sz="4" w:space="0" w:color="auto"/>
              <w:left w:val="single" w:sz="4" w:space="0" w:color="auto"/>
              <w:bottom w:val="single" w:sz="4" w:space="0" w:color="auto"/>
              <w:right w:val="single" w:sz="4" w:space="0" w:color="auto"/>
            </w:tcBorders>
            <w:vAlign w:val="center"/>
          </w:tcPr>
          <w:p w14:paraId="5AF6190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E2A93E8" w14:textId="77777777" w:rsidR="00E57DAA" w:rsidRDefault="00AC4185">
            <w:pPr>
              <w:autoSpaceDE w:val="0"/>
              <w:autoSpaceDN w:val="0"/>
              <w:adjustRightInd w:val="0"/>
              <w:rPr>
                <w:szCs w:val="21"/>
              </w:rPr>
            </w:pPr>
            <w:r>
              <w:t>中国建材工业对外经济技术合作有限公司</w:t>
            </w:r>
          </w:p>
        </w:tc>
        <w:tc>
          <w:tcPr>
            <w:tcW w:w="633" w:type="pct"/>
            <w:tcBorders>
              <w:top w:val="single" w:sz="4" w:space="0" w:color="auto"/>
              <w:left w:val="single" w:sz="4" w:space="0" w:color="auto"/>
              <w:bottom w:val="single" w:sz="4" w:space="0" w:color="auto"/>
              <w:right w:val="single" w:sz="4" w:space="0" w:color="auto"/>
            </w:tcBorders>
          </w:tcPr>
          <w:p w14:paraId="327902E0" w14:textId="77777777" w:rsidR="00E57DAA" w:rsidRDefault="00AC4185">
            <w:pPr>
              <w:autoSpaceDE w:val="0"/>
              <w:autoSpaceDN w:val="0"/>
              <w:adjustRightInd w:val="0"/>
              <w:jc w:val="right"/>
              <w:rPr>
                <w:szCs w:val="21"/>
              </w:rPr>
            </w:pPr>
            <w:r>
              <w:t>1,342,218.60</w:t>
            </w:r>
          </w:p>
        </w:tc>
        <w:tc>
          <w:tcPr>
            <w:tcW w:w="632" w:type="pct"/>
            <w:tcBorders>
              <w:top w:val="single" w:sz="4" w:space="0" w:color="auto"/>
              <w:left w:val="single" w:sz="4" w:space="0" w:color="auto"/>
              <w:bottom w:val="single" w:sz="4" w:space="0" w:color="auto"/>
              <w:right w:val="single" w:sz="4" w:space="0" w:color="auto"/>
            </w:tcBorders>
          </w:tcPr>
          <w:p w14:paraId="67700BD0" w14:textId="77777777" w:rsidR="00E57DAA" w:rsidRDefault="00AC4185">
            <w:pPr>
              <w:autoSpaceDE w:val="0"/>
              <w:autoSpaceDN w:val="0"/>
              <w:adjustRightInd w:val="0"/>
              <w:jc w:val="right"/>
              <w:rPr>
                <w:szCs w:val="21"/>
              </w:rPr>
            </w:pPr>
            <w:r>
              <w:t>1,342,218.60</w:t>
            </w:r>
          </w:p>
        </w:tc>
        <w:tc>
          <w:tcPr>
            <w:tcW w:w="703" w:type="pct"/>
            <w:tcBorders>
              <w:top w:val="single" w:sz="4" w:space="0" w:color="auto"/>
              <w:left w:val="single" w:sz="4" w:space="0" w:color="auto"/>
              <w:bottom w:val="single" w:sz="4" w:space="0" w:color="auto"/>
              <w:right w:val="single" w:sz="4" w:space="0" w:color="auto"/>
            </w:tcBorders>
          </w:tcPr>
          <w:p w14:paraId="50820C7E" w14:textId="77777777" w:rsidR="00E57DAA" w:rsidRDefault="00AC4185">
            <w:pPr>
              <w:autoSpaceDE w:val="0"/>
              <w:autoSpaceDN w:val="0"/>
              <w:adjustRightInd w:val="0"/>
              <w:jc w:val="right"/>
              <w:rPr>
                <w:szCs w:val="21"/>
              </w:rPr>
            </w:pPr>
            <w:r>
              <w:t>24,453,916.51</w:t>
            </w:r>
          </w:p>
        </w:tc>
        <w:tc>
          <w:tcPr>
            <w:tcW w:w="914" w:type="pct"/>
            <w:tcBorders>
              <w:top w:val="single" w:sz="4" w:space="0" w:color="auto"/>
              <w:left w:val="single" w:sz="4" w:space="0" w:color="auto"/>
              <w:bottom w:val="single" w:sz="4" w:space="0" w:color="auto"/>
              <w:right w:val="single" w:sz="4" w:space="0" w:color="auto"/>
            </w:tcBorders>
          </w:tcPr>
          <w:p w14:paraId="28262720" w14:textId="77777777" w:rsidR="00E57DAA" w:rsidRDefault="00AC4185">
            <w:pPr>
              <w:autoSpaceDE w:val="0"/>
              <w:autoSpaceDN w:val="0"/>
              <w:adjustRightInd w:val="0"/>
              <w:jc w:val="right"/>
              <w:rPr>
                <w:szCs w:val="21"/>
              </w:rPr>
            </w:pPr>
            <w:r>
              <w:t>24,453,916.51</w:t>
            </w:r>
          </w:p>
        </w:tc>
      </w:tr>
      <w:tr w:rsidR="00E57DAA" w14:paraId="3D9EE663" w14:textId="77777777">
        <w:tc>
          <w:tcPr>
            <w:tcW w:w="677" w:type="pct"/>
            <w:tcBorders>
              <w:top w:val="single" w:sz="4" w:space="0" w:color="auto"/>
              <w:left w:val="single" w:sz="4" w:space="0" w:color="auto"/>
              <w:bottom w:val="single" w:sz="4" w:space="0" w:color="auto"/>
              <w:right w:val="single" w:sz="4" w:space="0" w:color="auto"/>
            </w:tcBorders>
            <w:vAlign w:val="center"/>
          </w:tcPr>
          <w:p w14:paraId="553E9F8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7A33A3" w14:textId="77777777" w:rsidR="00E57DAA" w:rsidRDefault="00AC4185">
            <w:pPr>
              <w:autoSpaceDE w:val="0"/>
              <w:autoSpaceDN w:val="0"/>
              <w:adjustRightInd w:val="0"/>
              <w:rPr>
                <w:szCs w:val="21"/>
              </w:rPr>
            </w:pPr>
            <w:r>
              <w:t>中国建材技术装备有限公司</w:t>
            </w:r>
          </w:p>
        </w:tc>
        <w:tc>
          <w:tcPr>
            <w:tcW w:w="633" w:type="pct"/>
            <w:tcBorders>
              <w:top w:val="single" w:sz="4" w:space="0" w:color="auto"/>
              <w:left w:val="single" w:sz="4" w:space="0" w:color="auto"/>
              <w:bottom w:val="single" w:sz="4" w:space="0" w:color="auto"/>
              <w:right w:val="single" w:sz="4" w:space="0" w:color="auto"/>
            </w:tcBorders>
          </w:tcPr>
          <w:p w14:paraId="111BE642" w14:textId="77777777" w:rsidR="00E57DAA" w:rsidRDefault="00AC4185">
            <w:pPr>
              <w:autoSpaceDE w:val="0"/>
              <w:autoSpaceDN w:val="0"/>
              <w:adjustRightInd w:val="0"/>
              <w:jc w:val="right"/>
              <w:rPr>
                <w:szCs w:val="21"/>
              </w:rPr>
            </w:pPr>
            <w:r>
              <w:t>566,000.00</w:t>
            </w:r>
          </w:p>
        </w:tc>
        <w:tc>
          <w:tcPr>
            <w:tcW w:w="632" w:type="pct"/>
            <w:tcBorders>
              <w:top w:val="single" w:sz="4" w:space="0" w:color="auto"/>
              <w:left w:val="single" w:sz="4" w:space="0" w:color="auto"/>
              <w:bottom w:val="single" w:sz="4" w:space="0" w:color="auto"/>
              <w:right w:val="single" w:sz="4" w:space="0" w:color="auto"/>
            </w:tcBorders>
          </w:tcPr>
          <w:p w14:paraId="765D36FC" w14:textId="77777777" w:rsidR="00E57DAA" w:rsidRDefault="00AC4185">
            <w:pPr>
              <w:autoSpaceDE w:val="0"/>
              <w:autoSpaceDN w:val="0"/>
              <w:adjustRightInd w:val="0"/>
              <w:jc w:val="right"/>
              <w:rPr>
                <w:szCs w:val="21"/>
              </w:rPr>
            </w:pPr>
            <w:r>
              <w:t>566,000.00</w:t>
            </w:r>
          </w:p>
        </w:tc>
        <w:tc>
          <w:tcPr>
            <w:tcW w:w="703" w:type="pct"/>
            <w:tcBorders>
              <w:top w:val="single" w:sz="4" w:space="0" w:color="auto"/>
              <w:left w:val="single" w:sz="4" w:space="0" w:color="auto"/>
              <w:bottom w:val="single" w:sz="4" w:space="0" w:color="auto"/>
              <w:right w:val="single" w:sz="4" w:space="0" w:color="auto"/>
            </w:tcBorders>
          </w:tcPr>
          <w:p w14:paraId="7113468C" w14:textId="77777777" w:rsidR="00E57DAA" w:rsidRDefault="00AC4185">
            <w:pPr>
              <w:autoSpaceDE w:val="0"/>
              <w:autoSpaceDN w:val="0"/>
              <w:adjustRightInd w:val="0"/>
              <w:jc w:val="right"/>
              <w:rPr>
                <w:szCs w:val="21"/>
              </w:rPr>
            </w:pPr>
            <w:r>
              <w:t>790,700.00</w:t>
            </w:r>
          </w:p>
        </w:tc>
        <w:tc>
          <w:tcPr>
            <w:tcW w:w="914" w:type="pct"/>
            <w:tcBorders>
              <w:top w:val="single" w:sz="4" w:space="0" w:color="auto"/>
              <w:left w:val="single" w:sz="4" w:space="0" w:color="auto"/>
              <w:bottom w:val="single" w:sz="4" w:space="0" w:color="auto"/>
              <w:right w:val="single" w:sz="4" w:space="0" w:color="auto"/>
            </w:tcBorders>
          </w:tcPr>
          <w:p w14:paraId="0B86635F" w14:textId="77777777" w:rsidR="00E57DAA" w:rsidRDefault="00AC4185">
            <w:pPr>
              <w:autoSpaceDE w:val="0"/>
              <w:autoSpaceDN w:val="0"/>
              <w:adjustRightInd w:val="0"/>
              <w:jc w:val="right"/>
              <w:rPr>
                <w:szCs w:val="21"/>
              </w:rPr>
            </w:pPr>
            <w:r>
              <w:t>790,700.00</w:t>
            </w:r>
          </w:p>
        </w:tc>
      </w:tr>
      <w:tr w:rsidR="00E57DAA" w14:paraId="1C43CBC7" w14:textId="77777777">
        <w:tc>
          <w:tcPr>
            <w:tcW w:w="677" w:type="pct"/>
            <w:tcBorders>
              <w:top w:val="single" w:sz="4" w:space="0" w:color="auto"/>
              <w:left w:val="single" w:sz="4" w:space="0" w:color="auto"/>
              <w:bottom w:val="single" w:sz="4" w:space="0" w:color="auto"/>
              <w:right w:val="single" w:sz="4" w:space="0" w:color="auto"/>
            </w:tcBorders>
            <w:vAlign w:val="center"/>
          </w:tcPr>
          <w:p w14:paraId="13F94A9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DB06364" w14:textId="77777777" w:rsidR="00E57DAA" w:rsidRDefault="00AC4185">
            <w:pPr>
              <w:autoSpaceDE w:val="0"/>
              <w:autoSpaceDN w:val="0"/>
              <w:adjustRightInd w:val="0"/>
              <w:rPr>
                <w:szCs w:val="21"/>
              </w:rPr>
            </w:pPr>
            <w:r>
              <w:t>中建材集团进出口有限公司</w:t>
            </w:r>
          </w:p>
        </w:tc>
        <w:tc>
          <w:tcPr>
            <w:tcW w:w="633" w:type="pct"/>
            <w:tcBorders>
              <w:top w:val="single" w:sz="4" w:space="0" w:color="auto"/>
              <w:left w:val="single" w:sz="4" w:space="0" w:color="auto"/>
              <w:bottom w:val="single" w:sz="4" w:space="0" w:color="auto"/>
              <w:right w:val="single" w:sz="4" w:space="0" w:color="auto"/>
            </w:tcBorders>
          </w:tcPr>
          <w:p w14:paraId="52E1E4EB" w14:textId="77777777" w:rsidR="00E57DAA" w:rsidRDefault="00AC4185">
            <w:pPr>
              <w:autoSpaceDE w:val="0"/>
              <w:autoSpaceDN w:val="0"/>
              <w:adjustRightInd w:val="0"/>
              <w:jc w:val="right"/>
              <w:rPr>
                <w:szCs w:val="21"/>
              </w:rPr>
            </w:pPr>
            <w:r>
              <w:t>487,040.00</w:t>
            </w:r>
          </w:p>
        </w:tc>
        <w:tc>
          <w:tcPr>
            <w:tcW w:w="632" w:type="pct"/>
            <w:tcBorders>
              <w:top w:val="single" w:sz="4" w:space="0" w:color="auto"/>
              <w:left w:val="single" w:sz="4" w:space="0" w:color="auto"/>
              <w:bottom w:val="single" w:sz="4" w:space="0" w:color="auto"/>
              <w:right w:val="single" w:sz="4" w:space="0" w:color="auto"/>
            </w:tcBorders>
          </w:tcPr>
          <w:p w14:paraId="3F17F34C" w14:textId="77777777" w:rsidR="00E57DAA" w:rsidRDefault="00AC4185">
            <w:pPr>
              <w:autoSpaceDE w:val="0"/>
              <w:autoSpaceDN w:val="0"/>
              <w:adjustRightInd w:val="0"/>
              <w:jc w:val="right"/>
              <w:rPr>
                <w:szCs w:val="21"/>
              </w:rPr>
            </w:pPr>
            <w:r>
              <w:t>487,040.00</w:t>
            </w:r>
          </w:p>
        </w:tc>
        <w:tc>
          <w:tcPr>
            <w:tcW w:w="703" w:type="pct"/>
            <w:tcBorders>
              <w:top w:val="single" w:sz="4" w:space="0" w:color="auto"/>
              <w:left w:val="single" w:sz="4" w:space="0" w:color="auto"/>
              <w:bottom w:val="single" w:sz="4" w:space="0" w:color="auto"/>
              <w:right w:val="single" w:sz="4" w:space="0" w:color="auto"/>
            </w:tcBorders>
          </w:tcPr>
          <w:p w14:paraId="14DD81FB" w14:textId="77777777" w:rsidR="00E57DAA" w:rsidRDefault="00AC4185">
            <w:pPr>
              <w:autoSpaceDE w:val="0"/>
              <w:autoSpaceDN w:val="0"/>
              <w:adjustRightInd w:val="0"/>
              <w:jc w:val="right"/>
              <w:rPr>
                <w:szCs w:val="21"/>
              </w:rPr>
            </w:pPr>
            <w:r>
              <w:t>70,730.45</w:t>
            </w:r>
          </w:p>
        </w:tc>
        <w:tc>
          <w:tcPr>
            <w:tcW w:w="914" w:type="pct"/>
            <w:tcBorders>
              <w:top w:val="single" w:sz="4" w:space="0" w:color="auto"/>
              <w:left w:val="single" w:sz="4" w:space="0" w:color="auto"/>
              <w:bottom w:val="single" w:sz="4" w:space="0" w:color="auto"/>
              <w:right w:val="single" w:sz="4" w:space="0" w:color="auto"/>
            </w:tcBorders>
          </w:tcPr>
          <w:p w14:paraId="10D025B8" w14:textId="77777777" w:rsidR="00E57DAA" w:rsidRDefault="00AC4185">
            <w:pPr>
              <w:autoSpaceDE w:val="0"/>
              <w:autoSpaceDN w:val="0"/>
              <w:adjustRightInd w:val="0"/>
              <w:jc w:val="right"/>
              <w:rPr>
                <w:szCs w:val="21"/>
              </w:rPr>
            </w:pPr>
            <w:r>
              <w:t>70,730.45</w:t>
            </w:r>
          </w:p>
        </w:tc>
      </w:tr>
      <w:tr w:rsidR="00E57DAA" w14:paraId="7855EC14" w14:textId="77777777">
        <w:tc>
          <w:tcPr>
            <w:tcW w:w="677" w:type="pct"/>
            <w:tcBorders>
              <w:top w:val="single" w:sz="4" w:space="0" w:color="auto"/>
              <w:left w:val="single" w:sz="4" w:space="0" w:color="auto"/>
              <w:bottom w:val="single" w:sz="4" w:space="0" w:color="auto"/>
              <w:right w:val="single" w:sz="4" w:space="0" w:color="auto"/>
            </w:tcBorders>
            <w:vAlign w:val="center"/>
          </w:tcPr>
          <w:p w14:paraId="6FED532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E9BF267" w14:textId="77777777" w:rsidR="00E57DAA" w:rsidRDefault="00AC4185">
            <w:pPr>
              <w:autoSpaceDE w:val="0"/>
              <w:autoSpaceDN w:val="0"/>
              <w:adjustRightInd w:val="0"/>
              <w:rPr>
                <w:szCs w:val="21"/>
              </w:rPr>
            </w:pPr>
            <w:r>
              <w:t>浙江长兴北新林业有限公司</w:t>
            </w:r>
          </w:p>
        </w:tc>
        <w:tc>
          <w:tcPr>
            <w:tcW w:w="633" w:type="pct"/>
            <w:tcBorders>
              <w:top w:val="single" w:sz="4" w:space="0" w:color="auto"/>
              <w:left w:val="single" w:sz="4" w:space="0" w:color="auto"/>
              <w:bottom w:val="single" w:sz="4" w:space="0" w:color="auto"/>
              <w:right w:val="single" w:sz="4" w:space="0" w:color="auto"/>
            </w:tcBorders>
          </w:tcPr>
          <w:p w14:paraId="3FAF67B5" w14:textId="77777777" w:rsidR="00E57DAA" w:rsidRDefault="00AC4185">
            <w:pPr>
              <w:autoSpaceDE w:val="0"/>
              <w:autoSpaceDN w:val="0"/>
              <w:adjustRightInd w:val="0"/>
              <w:jc w:val="right"/>
              <w:rPr>
                <w:szCs w:val="21"/>
              </w:rPr>
            </w:pPr>
            <w:r>
              <w:t>427,343.84</w:t>
            </w:r>
          </w:p>
        </w:tc>
        <w:tc>
          <w:tcPr>
            <w:tcW w:w="632" w:type="pct"/>
            <w:tcBorders>
              <w:top w:val="single" w:sz="4" w:space="0" w:color="auto"/>
              <w:left w:val="single" w:sz="4" w:space="0" w:color="auto"/>
              <w:bottom w:val="single" w:sz="4" w:space="0" w:color="auto"/>
              <w:right w:val="single" w:sz="4" w:space="0" w:color="auto"/>
            </w:tcBorders>
          </w:tcPr>
          <w:p w14:paraId="472A6232" w14:textId="77777777" w:rsidR="00E57DAA" w:rsidRDefault="00AC4185">
            <w:pPr>
              <w:autoSpaceDE w:val="0"/>
              <w:autoSpaceDN w:val="0"/>
              <w:adjustRightInd w:val="0"/>
              <w:jc w:val="right"/>
              <w:rPr>
                <w:szCs w:val="21"/>
              </w:rPr>
            </w:pPr>
            <w:r>
              <w:t>28,161.96</w:t>
            </w:r>
          </w:p>
        </w:tc>
        <w:tc>
          <w:tcPr>
            <w:tcW w:w="703" w:type="pct"/>
            <w:tcBorders>
              <w:top w:val="single" w:sz="4" w:space="0" w:color="auto"/>
              <w:left w:val="single" w:sz="4" w:space="0" w:color="auto"/>
              <w:bottom w:val="single" w:sz="4" w:space="0" w:color="auto"/>
              <w:right w:val="single" w:sz="4" w:space="0" w:color="auto"/>
            </w:tcBorders>
          </w:tcPr>
          <w:p w14:paraId="4005F108" w14:textId="77777777" w:rsidR="00E57DAA" w:rsidRDefault="00AC4185">
            <w:pPr>
              <w:autoSpaceDE w:val="0"/>
              <w:autoSpaceDN w:val="0"/>
              <w:adjustRightInd w:val="0"/>
              <w:jc w:val="right"/>
              <w:rPr>
                <w:szCs w:val="21"/>
              </w:rPr>
            </w:pPr>
            <w:r>
              <w:t>3,401,164.99</w:t>
            </w:r>
          </w:p>
        </w:tc>
        <w:tc>
          <w:tcPr>
            <w:tcW w:w="914" w:type="pct"/>
            <w:tcBorders>
              <w:top w:val="single" w:sz="4" w:space="0" w:color="auto"/>
              <w:left w:val="single" w:sz="4" w:space="0" w:color="auto"/>
              <w:bottom w:val="single" w:sz="4" w:space="0" w:color="auto"/>
              <w:right w:val="single" w:sz="4" w:space="0" w:color="auto"/>
            </w:tcBorders>
          </w:tcPr>
          <w:p w14:paraId="3EFC83B7" w14:textId="77777777" w:rsidR="00E57DAA" w:rsidRDefault="00AC4185">
            <w:pPr>
              <w:autoSpaceDE w:val="0"/>
              <w:autoSpaceDN w:val="0"/>
              <w:adjustRightInd w:val="0"/>
              <w:jc w:val="right"/>
              <w:rPr>
                <w:szCs w:val="21"/>
              </w:rPr>
            </w:pPr>
            <w:r>
              <w:t>80,607.61</w:t>
            </w:r>
          </w:p>
        </w:tc>
      </w:tr>
      <w:tr w:rsidR="00E57DAA" w14:paraId="0EBDF7E5" w14:textId="77777777">
        <w:tc>
          <w:tcPr>
            <w:tcW w:w="677" w:type="pct"/>
            <w:tcBorders>
              <w:top w:val="single" w:sz="4" w:space="0" w:color="auto"/>
              <w:left w:val="single" w:sz="4" w:space="0" w:color="auto"/>
              <w:bottom w:val="single" w:sz="4" w:space="0" w:color="auto"/>
              <w:right w:val="single" w:sz="4" w:space="0" w:color="auto"/>
            </w:tcBorders>
            <w:vAlign w:val="center"/>
          </w:tcPr>
          <w:p w14:paraId="134EAAF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C0258CB" w14:textId="77777777" w:rsidR="00E57DAA" w:rsidRDefault="00AC4185">
            <w:pPr>
              <w:autoSpaceDE w:val="0"/>
              <w:autoSpaceDN w:val="0"/>
              <w:adjustRightInd w:val="0"/>
              <w:rPr>
                <w:szCs w:val="21"/>
              </w:rPr>
            </w:pPr>
            <w:r>
              <w:t>中建材国际装备有限公司</w:t>
            </w:r>
          </w:p>
        </w:tc>
        <w:tc>
          <w:tcPr>
            <w:tcW w:w="633" w:type="pct"/>
            <w:tcBorders>
              <w:top w:val="single" w:sz="4" w:space="0" w:color="auto"/>
              <w:left w:val="single" w:sz="4" w:space="0" w:color="auto"/>
              <w:bottom w:val="single" w:sz="4" w:space="0" w:color="auto"/>
              <w:right w:val="single" w:sz="4" w:space="0" w:color="auto"/>
            </w:tcBorders>
          </w:tcPr>
          <w:p w14:paraId="11153605" w14:textId="77777777" w:rsidR="00E57DAA" w:rsidRDefault="00AC4185">
            <w:pPr>
              <w:autoSpaceDE w:val="0"/>
              <w:autoSpaceDN w:val="0"/>
              <w:adjustRightInd w:val="0"/>
              <w:jc w:val="right"/>
              <w:rPr>
                <w:szCs w:val="21"/>
              </w:rPr>
            </w:pPr>
            <w:r>
              <w:t>424,000.00</w:t>
            </w:r>
          </w:p>
        </w:tc>
        <w:tc>
          <w:tcPr>
            <w:tcW w:w="632" w:type="pct"/>
            <w:tcBorders>
              <w:top w:val="single" w:sz="4" w:space="0" w:color="auto"/>
              <w:left w:val="single" w:sz="4" w:space="0" w:color="auto"/>
              <w:bottom w:val="single" w:sz="4" w:space="0" w:color="auto"/>
              <w:right w:val="single" w:sz="4" w:space="0" w:color="auto"/>
            </w:tcBorders>
          </w:tcPr>
          <w:p w14:paraId="75C62239" w14:textId="77777777" w:rsidR="00E57DAA" w:rsidRDefault="00AC4185">
            <w:pPr>
              <w:autoSpaceDE w:val="0"/>
              <w:autoSpaceDN w:val="0"/>
              <w:adjustRightInd w:val="0"/>
              <w:jc w:val="right"/>
              <w:rPr>
                <w:szCs w:val="21"/>
              </w:rPr>
            </w:pPr>
            <w:r>
              <w:t>403,042.50</w:t>
            </w:r>
          </w:p>
        </w:tc>
        <w:tc>
          <w:tcPr>
            <w:tcW w:w="703" w:type="pct"/>
            <w:tcBorders>
              <w:top w:val="single" w:sz="4" w:space="0" w:color="auto"/>
              <w:left w:val="single" w:sz="4" w:space="0" w:color="auto"/>
              <w:bottom w:val="single" w:sz="4" w:space="0" w:color="auto"/>
              <w:right w:val="single" w:sz="4" w:space="0" w:color="auto"/>
            </w:tcBorders>
          </w:tcPr>
          <w:p w14:paraId="4D1BDEB1" w14:textId="77777777" w:rsidR="00E57DAA" w:rsidRDefault="00AC4185">
            <w:pPr>
              <w:autoSpaceDE w:val="0"/>
              <w:autoSpaceDN w:val="0"/>
              <w:adjustRightInd w:val="0"/>
              <w:jc w:val="right"/>
              <w:rPr>
                <w:szCs w:val="21"/>
              </w:rPr>
            </w:pPr>
            <w:r>
              <w:t>2,225,817.81</w:t>
            </w:r>
          </w:p>
        </w:tc>
        <w:tc>
          <w:tcPr>
            <w:tcW w:w="914" w:type="pct"/>
            <w:tcBorders>
              <w:top w:val="single" w:sz="4" w:space="0" w:color="auto"/>
              <w:left w:val="single" w:sz="4" w:space="0" w:color="auto"/>
              <w:bottom w:val="single" w:sz="4" w:space="0" w:color="auto"/>
              <w:right w:val="single" w:sz="4" w:space="0" w:color="auto"/>
            </w:tcBorders>
          </w:tcPr>
          <w:p w14:paraId="413AFB0D" w14:textId="77777777" w:rsidR="00E57DAA" w:rsidRDefault="00AC4185">
            <w:pPr>
              <w:autoSpaceDE w:val="0"/>
              <w:autoSpaceDN w:val="0"/>
              <w:adjustRightInd w:val="0"/>
              <w:jc w:val="right"/>
              <w:rPr>
                <w:szCs w:val="21"/>
              </w:rPr>
            </w:pPr>
            <w:r>
              <w:t>473,189.63</w:t>
            </w:r>
          </w:p>
        </w:tc>
      </w:tr>
      <w:tr w:rsidR="00E57DAA" w14:paraId="2D999F49" w14:textId="77777777">
        <w:tc>
          <w:tcPr>
            <w:tcW w:w="677" w:type="pct"/>
            <w:tcBorders>
              <w:top w:val="single" w:sz="4" w:space="0" w:color="auto"/>
              <w:left w:val="single" w:sz="4" w:space="0" w:color="auto"/>
              <w:bottom w:val="single" w:sz="4" w:space="0" w:color="auto"/>
              <w:right w:val="single" w:sz="4" w:space="0" w:color="auto"/>
            </w:tcBorders>
            <w:vAlign w:val="center"/>
          </w:tcPr>
          <w:p w14:paraId="28DBBB5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0AE1C4C" w14:textId="77777777" w:rsidR="00E57DAA" w:rsidRDefault="00AC4185">
            <w:pPr>
              <w:autoSpaceDE w:val="0"/>
              <w:autoSpaceDN w:val="0"/>
              <w:adjustRightInd w:val="0"/>
              <w:rPr>
                <w:szCs w:val="21"/>
              </w:rPr>
            </w:pPr>
            <w:r>
              <w:t>中建材凯盛机器人（上海）有限公司</w:t>
            </w:r>
          </w:p>
        </w:tc>
        <w:tc>
          <w:tcPr>
            <w:tcW w:w="633" w:type="pct"/>
            <w:tcBorders>
              <w:top w:val="single" w:sz="4" w:space="0" w:color="auto"/>
              <w:left w:val="single" w:sz="4" w:space="0" w:color="auto"/>
              <w:bottom w:val="single" w:sz="4" w:space="0" w:color="auto"/>
              <w:right w:val="single" w:sz="4" w:space="0" w:color="auto"/>
            </w:tcBorders>
          </w:tcPr>
          <w:p w14:paraId="02804B7B" w14:textId="77777777" w:rsidR="00E57DAA" w:rsidRDefault="00AC4185">
            <w:pPr>
              <w:autoSpaceDE w:val="0"/>
              <w:autoSpaceDN w:val="0"/>
              <w:adjustRightInd w:val="0"/>
              <w:jc w:val="right"/>
              <w:rPr>
                <w:szCs w:val="21"/>
              </w:rPr>
            </w:pPr>
            <w:r>
              <w:t>388,600.00</w:t>
            </w:r>
          </w:p>
        </w:tc>
        <w:tc>
          <w:tcPr>
            <w:tcW w:w="632" w:type="pct"/>
            <w:tcBorders>
              <w:top w:val="single" w:sz="4" w:space="0" w:color="auto"/>
              <w:left w:val="single" w:sz="4" w:space="0" w:color="auto"/>
              <w:bottom w:val="single" w:sz="4" w:space="0" w:color="auto"/>
              <w:right w:val="single" w:sz="4" w:space="0" w:color="auto"/>
            </w:tcBorders>
          </w:tcPr>
          <w:p w14:paraId="0EDC662F" w14:textId="77777777" w:rsidR="00E57DAA" w:rsidRDefault="00AC4185">
            <w:pPr>
              <w:autoSpaceDE w:val="0"/>
              <w:autoSpaceDN w:val="0"/>
              <w:adjustRightInd w:val="0"/>
              <w:jc w:val="right"/>
              <w:rPr>
                <w:szCs w:val="21"/>
              </w:rPr>
            </w:pPr>
            <w:r>
              <w:t>77,720.00</w:t>
            </w:r>
          </w:p>
        </w:tc>
        <w:tc>
          <w:tcPr>
            <w:tcW w:w="703" w:type="pct"/>
            <w:tcBorders>
              <w:top w:val="single" w:sz="4" w:space="0" w:color="auto"/>
              <w:left w:val="single" w:sz="4" w:space="0" w:color="auto"/>
              <w:bottom w:val="single" w:sz="4" w:space="0" w:color="auto"/>
              <w:right w:val="single" w:sz="4" w:space="0" w:color="auto"/>
            </w:tcBorders>
          </w:tcPr>
          <w:p w14:paraId="3848CAE8" w14:textId="77777777" w:rsidR="00E57DAA" w:rsidRDefault="00AC4185">
            <w:pPr>
              <w:autoSpaceDE w:val="0"/>
              <w:autoSpaceDN w:val="0"/>
              <w:adjustRightInd w:val="0"/>
              <w:jc w:val="right"/>
              <w:rPr>
                <w:szCs w:val="21"/>
              </w:rPr>
            </w:pPr>
            <w:r>
              <w:t>388,600.00</w:t>
            </w:r>
          </w:p>
        </w:tc>
        <w:tc>
          <w:tcPr>
            <w:tcW w:w="914" w:type="pct"/>
            <w:tcBorders>
              <w:top w:val="single" w:sz="4" w:space="0" w:color="auto"/>
              <w:left w:val="single" w:sz="4" w:space="0" w:color="auto"/>
              <w:bottom w:val="single" w:sz="4" w:space="0" w:color="auto"/>
              <w:right w:val="single" w:sz="4" w:space="0" w:color="auto"/>
            </w:tcBorders>
          </w:tcPr>
          <w:p w14:paraId="5B9CE8BE" w14:textId="77777777" w:rsidR="00E57DAA" w:rsidRDefault="00AC4185">
            <w:pPr>
              <w:autoSpaceDE w:val="0"/>
              <w:autoSpaceDN w:val="0"/>
              <w:adjustRightInd w:val="0"/>
              <w:jc w:val="right"/>
              <w:rPr>
                <w:szCs w:val="21"/>
              </w:rPr>
            </w:pPr>
            <w:r>
              <w:t>38,860.00</w:t>
            </w:r>
          </w:p>
        </w:tc>
      </w:tr>
      <w:tr w:rsidR="00E57DAA" w14:paraId="7AFDC2ED" w14:textId="77777777">
        <w:tc>
          <w:tcPr>
            <w:tcW w:w="677" w:type="pct"/>
            <w:tcBorders>
              <w:top w:val="single" w:sz="4" w:space="0" w:color="auto"/>
              <w:left w:val="single" w:sz="4" w:space="0" w:color="auto"/>
              <w:bottom w:val="single" w:sz="4" w:space="0" w:color="auto"/>
              <w:right w:val="single" w:sz="4" w:space="0" w:color="auto"/>
            </w:tcBorders>
            <w:vAlign w:val="center"/>
          </w:tcPr>
          <w:p w14:paraId="79807A5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0E1B4F1" w14:textId="77777777" w:rsidR="00E57DAA" w:rsidRDefault="00AC4185">
            <w:pPr>
              <w:autoSpaceDE w:val="0"/>
              <w:autoSpaceDN w:val="0"/>
              <w:adjustRightInd w:val="0"/>
              <w:rPr>
                <w:szCs w:val="21"/>
              </w:rPr>
            </w:pPr>
            <w:r>
              <w:t>中材高新江苏硅材料有限公司</w:t>
            </w:r>
          </w:p>
        </w:tc>
        <w:tc>
          <w:tcPr>
            <w:tcW w:w="633" w:type="pct"/>
            <w:tcBorders>
              <w:top w:val="single" w:sz="4" w:space="0" w:color="auto"/>
              <w:left w:val="single" w:sz="4" w:space="0" w:color="auto"/>
              <w:bottom w:val="single" w:sz="4" w:space="0" w:color="auto"/>
              <w:right w:val="single" w:sz="4" w:space="0" w:color="auto"/>
            </w:tcBorders>
          </w:tcPr>
          <w:p w14:paraId="7DE765E0" w14:textId="77777777" w:rsidR="00E57DAA" w:rsidRDefault="00AC4185">
            <w:pPr>
              <w:autoSpaceDE w:val="0"/>
              <w:autoSpaceDN w:val="0"/>
              <w:adjustRightInd w:val="0"/>
              <w:jc w:val="right"/>
              <w:rPr>
                <w:szCs w:val="21"/>
              </w:rPr>
            </w:pPr>
            <w:r>
              <w:t>362,394.23</w:t>
            </w:r>
          </w:p>
        </w:tc>
        <w:tc>
          <w:tcPr>
            <w:tcW w:w="632" w:type="pct"/>
            <w:tcBorders>
              <w:top w:val="single" w:sz="4" w:space="0" w:color="auto"/>
              <w:left w:val="single" w:sz="4" w:space="0" w:color="auto"/>
              <w:bottom w:val="single" w:sz="4" w:space="0" w:color="auto"/>
              <w:right w:val="single" w:sz="4" w:space="0" w:color="auto"/>
            </w:tcBorders>
          </w:tcPr>
          <w:p w14:paraId="313C4AE5" w14:textId="77777777" w:rsidR="00E57DAA" w:rsidRDefault="00AC4185">
            <w:pPr>
              <w:autoSpaceDE w:val="0"/>
              <w:autoSpaceDN w:val="0"/>
              <w:adjustRightInd w:val="0"/>
              <w:jc w:val="right"/>
              <w:rPr>
                <w:szCs w:val="21"/>
              </w:rPr>
            </w:pPr>
            <w:r>
              <w:t>8,588.74</w:t>
            </w:r>
          </w:p>
        </w:tc>
        <w:tc>
          <w:tcPr>
            <w:tcW w:w="703" w:type="pct"/>
            <w:tcBorders>
              <w:top w:val="single" w:sz="4" w:space="0" w:color="auto"/>
              <w:left w:val="single" w:sz="4" w:space="0" w:color="auto"/>
              <w:bottom w:val="single" w:sz="4" w:space="0" w:color="auto"/>
              <w:right w:val="single" w:sz="4" w:space="0" w:color="auto"/>
            </w:tcBorders>
          </w:tcPr>
          <w:p w14:paraId="71120B3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C45C0AE" w14:textId="77777777" w:rsidR="00E57DAA" w:rsidRDefault="00AC4185">
            <w:pPr>
              <w:autoSpaceDE w:val="0"/>
              <w:autoSpaceDN w:val="0"/>
              <w:adjustRightInd w:val="0"/>
              <w:jc w:val="right"/>
              <w:rPr>
                <w:szCs w:val="21"/>
              </w:rPr>
            </w:pPr>
            <w:r>
              <w:t xml:space="preserve">　</w:t>
            </w:r>
          </w:p>
        </w:tc>
      </w:tr>
      <w:tr w:rsidR="00E57DAA" w14:paraId="6681D121" w14:textId="77777777">
        <w:tc>
          <w:tcPr>
            <w:tcW w:w="677" w:type="pct"/>
            <w:tcBorders>
              <w:top w:val="single" w:sz="4" w:space="0" w:color="auto"/>
              <w:left w:val="single" w:sz="4" w:space="0" w:color="auto"/>
              <w:bottom w:val="single" w:sz="4" w:space="0" w:color="auto"/>
              <w:right w:val="single" w:sz="4" w:space="0" w:color="auto"/>
            </w:tcBorders>
            <w:vAlign w:val="center"/>
          </w:tcPr>
          <w:p w14:paraId="742BF7A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5C7CD4E" w14:textId="77777777" w:rsidR="00E57DAA" w:rsidRDefault="00AC4185">
            <w:pPr>
              <w:autoSpaceDE w:val="0"/>
              <w:autoSpaceDN w:val="0"/>
              <w:adjustRightInd w:val="0"/>
              <w:rPr>
                <w:szCs w:val="21"/>
              </w:rPr>
            </w:pPr>
            <w:r>
              <w:t>西安凯盛建材工程有限公司</w:t>
            </w:r>
          </w:p>
        </w:tc>
        <w:tc>
          <w:tcPr>
            <w:tcW w:w="633" w:type="pct"/>
            <w:tcBorders>
              <w:top w:val="single" w:sz="4" w:space="0" w:color="auto"/>
              <w:left w:val="single" w:sz="4" w:space="0" w:color="auto"/>
              <w:bottom w:val="single" w:sz="4" w:space="0" w:color="auto"/>
              <w:right w:val="single" w:sz="4" w:space="0" w:color="auto"/>
            </w:tcBorders>
          </w:tcPr>
          <w:p w14:paraId="6D1BFFE0" w14:textId="77777777" w:rsidR="00E57DAA" w:rsidRDefault="00AC4185">
            <w:pPr>
              <w:autoSpaceDE w:val="0"/>
              <w:autoSpaceDN w:val="0"/>
              <w:adjustRightInd w:val="0"/>
              <w:jc w:val="right"/>
              <w:rPr>
                <w:szCs w:val="21"/>
              </w:rPr>
            </w:pPr>
            <w:r>
              <w:t>325,000.00</w:t>
            </w:r>
          </w:p>
        </w:tc>
        <w:tc>
          <w:tcPr>
            <w:tcW w:w="632" w:type="pct"/>
            <w:tcBorders>
              <w:top w:val="single" w:sz="4" w:space="0" w:color="auto"/>
              <w:left w:val="single" w:sz="4" w:space="0" w:color="auto"/>
              <w:bottom w:val="single" w:sz="4" w:space="0" w:color="auto"/>
              <w:right w:val="single" w:sz="4" w:space="0" w:color="auto"/>
            </w:tcBorders>
          </w:tcPr>
          <w:p w14:paraId="66342CB5" w14:textId="77777777" w:rsidR="00E57DAA" w:rsidRDefault="00AC4185">
            <w:pPr>
              <w:autoSpaceDE w:val="0"/>
              <w:autoSpaceDN w:val="0"/>
              <w:adjustRightInd w:val="0"/>
              <w:jc w:val="right"/>
              <w:rPr>
                <w:szCs w:val="21"/>
              </w:rPr>
            </w:pPr>
            <w:r>
              <w:t>325,000.00</w:t>
            </w:r>
          </w:p>
        </w:tc>
        <w:tc>
          <w:tcPr>
            <w:tcW w:w="703" w:type="pct"/>
            <w:tcBorders>
              <w:top w:val="single" w:sz="4" w:space="0" w:color="auto"/>
              <w:left w:val="single" w:sz="4" w:space="0" w:color="auto"/>
              <w:bottom w:val="single" w:sz="4" w:space="0" w:color="auto"/>
              <w:right w:val="single" w:sz="4" w:space="0" w:color="auto"/>
            </w:tcBorders>
          </w:tcPr>
          <w:p w14:paraId="7AA4112A" w14:textId="77777777" w:rsidR="00E57DAA" w:rsidRDefault="00AC4185">
            <w:pPr>
              <w:autoSpaceDE w:val="0"/>
              <w:autoSpaceDN w:val="0"/>
              <w:adjustRightInd w:val="0"/>
              <w:jc w:val="right"/>
              <w:rPr>
                <w:szCs w:val="21"/>
              </w:rPr>
            </w:pPr>
            <w:r>
              <w:t>325,000.00</w:t>
            </w:r>
          </w:p>
        </w:tc>
        <w:tc>
          <w:tcPr>
            <w:tcW w:w="914" w:type="pct"/>
            <w:tcBorders>
              <w:top w:val="single" w:sz="4" w:space="0" w:color="auto"/>
              <w:left w:val="single" w:sz="4" w:space="0" w:color="auto"/>
              <w:bottom w:val="single" w:sz="4" w:space="0" w:color="auto"/>
              <w:right w:val="single" w:sz="4" w:space="0" w:color="auto"/>
            </w:tcBorders>
          </w:tcPr>
          <w:p w14:paraId="03336A4D" w14:textId="77777777" w:rsidR="00E57DAA" w:rsidRDefault="00AC4185">
            <w:pPr>
              <w:autoSpaceDE w:val="0"/>
              <w:autoSpaceDN w:val="0"/>
              <w:adjustRightInd w:val="0"/>
              <w:jc w:val="right"/>
              <w:rPr>
                <w:szCs w:val="21"/>
              </w:rPr>
            </w:pPr>
            <w:r>
              <w:t>325,000.00</w:t>
            </w:r>
          </w:p>
        </w:tc>
      </w:tr>
      <w:tr w:rsidR="00E57DAA" w14:paraId="52CBD8C0" w14:textId="77777777">
        <w:tc>
          <w:tcPr>
            <w:tcW w:w="677" w:type="pct"/>
            <w:tcBorders>
              <w:top w:val="single" w:sz="4" w:space="0" w:color="auto"/>
              <w:left w:val="single" w:sz="4" w:space="0" w:color="auto"/>
              <w:bottom w:val="single" w:sz="4" w:space="0" w:color="auto"/>
              <w:right w:val="single" w:sz="4" w:space="0" w:color="auto"/>
            </w:tcBorders>
            <w:vAlign w:val="center"/>
          </w:tcPr>
          <w:p w14:paraId="1D40D1E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AC27A5D" w14:textId="77777777" w:rsidR="00E57DAA" w:rsidRDefault="00AC4185">
            <w:pPr>
              <w:autoSpaceDE w:val="0"/>
              <w:autoSpaceDN w:val="0"/>
              <w:adjustRightInd w:val="0"/>
              <w:rPr>
                <w:szCs w:val="21"/>
              </w:rPr>
            </w:pPr>
            <w:r>
              <w:t>中国建材国际沙特公司</w:t>
            </w:r>
          </w:p>
        </w:tc>
        <w:tc>
          <w:tcPr>
            <w:tcW w:w="633" w:type="pct"/>
            <w:tcBorders>
              <w:top w:val="single" w:sz="4" w:space="0" w:color="auto"/>
              <w:left w:val="single" w:sz="4" w:space="0" w:color="auto"/>
              <w:bottom w:val="single" w:sz="4" w:space="0" w:color="auto"/>
              <w:right w:val="single" w:sz="4" w:space="0" w:color="auto"/>
            </w:tcBorders>
          </w:tcPr>
          <w:p w14:paraId="71DD38FE" w14:textId="77777777" w:rsidR="00E57DAA" w:rsidRDefault="00AC4185">
            <w:pPr>
              <w:autoSpaceDE w:val="0"/>
              <w:autoSpaceDN w:val="0"/>
              <w:adjustRightInd w:val="0"/>
              <w:jc w:val="right"/>
              <w:rPr>
                <w:szCs w:val="21"/>
              </w:rPr>
            </w:pPr>
            <w:r>
              <w:t>307,398.81</w:t>
            </w:r>
          </w:p>
        </w:tc>
        <w:tc>
          <w:tcPr>
            <w:tcW w:w="632" w:type="pct"/>
            <w:tcBorders>
              <w:top w:val="single" w:sz="4" w:space="0" w:color="auto"/>
              <w:left w:val="single" w:sz="4" w:space="0" w:color="auto"/>
              <w:bottom w:val="single" w:sz="4" w:space="0" w:color="auto"/>
              <w:right w:val="single" w:sz="4" w:space="0" w:color="auto"/>
            </w:tcBorders>
          </w:tcPr>
          <w:p w14:paraId="4EE0681A" w14:textId="77777777" w:rsidR="00E57DAA" w:rsidRDefault="00AC4185">
            <w:pPr>
              <w:autoSpaceDE w:val="0"/>
              <w:autoSpaceDN w:val="0"/>
              <w:adjustRightInd w:val="0"/>
              <w:jc w:val="right"/>
              <w:rPr>
                <w:szCs w:val="21"/>
              </w:rPr>
            </w:pPr>
            <w:r>
              <w:t>307,398.81</w:t>
            </w:r>
          </w:p>
        </w:tc>
        <w:tc>
          <w:tcPr>
            <w:tcW w:w="703" w:type="pct"/>
            <w:tcBorders>
              <w:top w:val="single" w:sz="4" w:space="0" w:color="auto"/>
              <w:left w:val="single" w:sz="4" w:space="0" w:color="auto"/>
              <w:bottom w:val="single" w:sz="4" w:space="0" w:color="auto"/>
              <w:right w:val="single" w:sz="4" w:space="0" w:color="auto"/>
            </w:tcBorders>
          </w:tcPr>
          <w:p w14:paraId="120682CB" w14:textId="77777777" w:rsidR="00E57DAA" w:rsidRDefault="00AC4185">
            <w:pPr>
              <w:autoSpaceDE w:val="0"/>
              <w:autoSpaceDN w:val="0"/>
              <w:adjustRightInd w:val="0"/>
              <w:jc w:val="right"/>
              <w:rPr>
                <w:szCs w:val="21"/>
              </w:rPr>
            </w:pPr>
            <w:r>
              <w:t>307,398.81</w:t>
            </w:r>
          </w:p>
        </w:tc>
        <w:tc>
          <w:tcPr>
            <w:tcW w:w="914" w:type="pct"/>
            <w:tcBorders>
              <w:top w:val="single" w:sz="4" w:space="0" w:color="auto"/>
              <w:left w:val="single" w:sz="4" w:space="0" w:color="auto"/>
              <w:bottom w:val="single" w:sz="4" w:space="0" w:color="auto"/>
              <w:right w:val="single" w:sz="4" w:space="0" w:color="auto"/>
            </w:tcBorders>
          </w:tcPr>
          <w:p w14:paraId="1ED454F4" w14:textId="77777777" w:rsidR="00E57DAA" w:rsidRDefault="00AC4185">
            <w:pPr>
              <w:autoSpaceDE w:val="0"/>
              <w:autoSpaceDN w:val="0"/>
              <w:adjustRightInd w:val="0"/>
              <w:jc w:val="right"/>
              <w:rPr>
                <w:szCs w:val="21"/>
              </w:rPr>
            </w:pPr>
            <w:r>
              <w:t>307,398.81</w:t>
            </w:r>
          </w:p>
        </w:tc>
      </w:tr>
      <w:tr w:rsidR="00E57DAA" w14:paraId="02A1A62B" w14:textId="77777777">
        <w:tc>
          <w:tcPr>
            <w:tcW w:w="677" w:type="pct"/>
            <w:tcBorders>
              <w:top w:val="single" w:sz="4" w:space="0" w:color="auto"/>
              <w:left w:val="single" w:sz="4" w:space="0" w:color="auto"/>
              <w:bottom w:val="single" w:sz="4" w:space="0" w:color="auto"/>
              <w:right w:val="single" w:sz="4" w:space="0" w:color="auto"/>
            </w:tcBorders>
            <w:vAlign w:val="center"/>
          </w:tcPr>
          <w:p w14:paraId="71471BD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004A628" w14:textId="77777777" w:rsidR="00E57DAA" w:rsidRDefault="00AC4185">
            <w:pPr>
              <w:autoSpaceDE w:val="0"/>
              <w:autoSpaceDN w:val="0"/>
              <w:adjustRightInd w:val="0"/>
              <w:rPr>
                <w:szCs w:val="21"/>
              </w:rPr>
            </w:pPr>
            <w:r>
              <w:t>江西中材新材料有限公司</w:t>
            </w:r>
          </w:p>
        </w:tc>
        <w:tc>
          <w:tcPr>
            <w:tcW w:w="633" w:type="pct"/>
            <w:tcBorders>
              <w:top w:val="single" w:sz="4" w:space="0" w:color="auto"/>
              <w:left w:val="single" w:sz="4" w:space="0" w:color="auto"/>
              <w:bottom w:val="single" w:sz="4" w:space="0" w:color="auto"/>
              <w:right w:val="single" w:sz="4" w:space="0" w:color="auto"/>
            </w:tcBorders>
          </w:tcPr>
          <w:p w14:paraId="5D672146" w14:textId="77777777" w:rsidR="00E57DAA" w:rsidRDefault="00AC4185">
            <w:pPr>
              <w:autoSpaceDE w:val="0"/>
              <w:autoSpaceDN w:val="0"/>
              <w:adjustRightInd w:val="0"/>
              <w:jc w:val="right"/>
              <w:rPr>
                <w:szCs w:val="21"/>
              </w:rPr>
            </w:pPr>
            <w:r>
              <w:t>281,650.00</w:t>
            </w:r>
          </w:p>
        </w:tc>
        <w:tc>
          <w:tcPr>
            <w:tcW w:w="632" w:type="pct"/>
            <w:tcBorders>
              <w:top w:val="single" w:sz="4" w:space="0" w:color="auto"/>
              <w:left w:val="single" w:sz="4" w:space="0" w:color="auto"/>
              <w:bottom w:val="single" w:sz="4" w:space="0" w:color="auto"/>
              <w:right w:val="single" w:sz="4" w:space="0" w:color="auto"/>
            </w:tcBorders>
          </w:tcPr>
          <w:p w14:paraId="587464FA" w14:textId="77777777" w:rsidR="00E57DAA" w:rsidRDefault="00AC4185">
            <w:pPr>
              <w:autoSpaceDE w:val="0"/>
              <w:autoSpaceDN w:val="0"/>
              <w:adjustRightInd w:val="0"/>
              <w:jc w:val="right"/>
              <w:rPr>
                <w:szCs w:val="21"/>
              </w:rPr>
            </w:pPr>
            <w:r>
              <w:t>45,542.81</w:t>
            </w:r>
          </w:p>
        </w:tc>
        <w:tc>
          <w:tcPr>
            <w:tcW w:w="703" w:type="pct"/>
            <w:tcBorders>
              <w:top w:val="single" w:sz="4" w:space="0" w:color="auto"/>
              <w:left w:val="single" w:sz="4" w:space="0" w:color="auto"/>
              <w:bottom w:val="single" w:sz="4" w:space="0" w:color="auto"/>
              <w:right w:val="single" w:sz="4" w:space="0" w:color="auto"/>
            </w:tcBorders>
          </w:tcPr>
          <w:p w14:paraId="0452AFE7" w14:textId="77777777" w:rsidR="00E57DAA" w:rsidRDefault="00AC4185">
            <w:pPr>
              <w:autoSpaceDE w:val="0"/>
              <w:autoSpaceDN w:val="0"/>
              <w:adjustRightInd w:val="0"/>
              <w:jc w:val="right"/>
              <w:rPr>
                <w:szCs w:val="21"/>
              </w:rPr>
            </w:pPr>
            <w:r>
              <w:t>281,650.00</w:t>
            </w:r>
          </w:p>
        </w:tc>
        <w:tc>
          <w:tcPr>
            <w:tcW w:w="914" w:type="pct"/>
            <w:tcBorders>
              <w:top w:val="single" w:sz="4" w:space="0" w:color="auto"/>
              <w:left w:val="single" w:sz="4" w:space="0" w:color="auto"/>
              <w:bottom w:val="single" w:sz="4" w:space="0" w:color="auto"/>
              <w:right w:val="single" w:sz="4" w:space="0" w:color="auto"/>
            </w:tcBorders>
          </w:tcPr>
          <w:p w14:paraId="7332E5AA" w14:textId="77777777" w:rsidR="00E57DAA" w:rsidRDefault="00AC4185">
            <w:pPr>
              <w:autoSpaceDE w:val="0"/>
              <w:autoSpaceDN w:val="0"/>
              <w:adjustRightInd w:val="0"/>
              <w:jc w:val="right"/>
              <w:rPr>
                <w:szCs w:val="21"/>
              </w:rPr>
            </w:pPr>
            <w:r>
              <w:t>33,065.71</w:t>
            </w:r>
          </w:p>
        </w:tc>
      </w:tr>
      <w:tr w:rsidR="00E57DAA" w14:paraId="0000E8F2" w14:textId="77777777">
        <w:tc>
          <w:tcPr>
            <w:tcW w:w="677" w:type="pct"/>
            <w:tcBorders>
              <w:top w:val="single" w:sz="4" w:space="0" w:color="auto"/>
              <w:left w:val="single" w:sz="4" w:space="0" w:color="auto"/>
              <w:bottom w:val="single" w:sz="4" w:space="0" w:color="auto"/>
              <w:right w:val="single" w:sz="4" w:space="0" w:color="auto"/>
            </w:tcBorders>
            <w:vAlign w:val="center"/>
          </w:tcPr>
          <w:p w14:paraId="0E70796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EDCCE5" w14:textId="77777777" w:rsidR="00E57DAA" w:rsidRDefault="00AC4185">
            <w:pPr>
              <w:autoSpaceDE w:val="0"/>
              <w:autoSpaceDN w:val="0"/>
              <w:adjustRightInd w:val="0"/>
              <w:rPr>
                <w:szCs w:val="21"/>
              </w:rPr>
            </w:pPr>
            <w:r>
              <w:t>中建材衢州金格兰石英有限公司</w:t>
            </w:r>
          </w:p>
        </w:tc>
        <w:tc>
          <w:tcPr>
            <w:tcW w:w="633" w:type="pct"/>
            <w:tcBorders>
              <w:top w:val="single" w:sz="4" w:space="0" w:color="auto"/>
              <w:left w:val="single" w:sz="4" w:space="0" w:color="auto"/>
              <w:bottom w:val="single" w:sz="4" w:space="0" w:color="auto"/>
              <w:right w:val="single" w:sz="4" w:space="0" w:color="auto"/>
            </w:tcBorders>
          </w:tcPr>
          <w:p w14:paraId="3CDA3652" w14:textId="77777777" w:rsidR="00E57DAA" w:rsidRDefault="00AC4185">
            <w:pPr>
              <w:autoSpaceDE w:val="0"/>
              <w:autoSpaceDN w:val="0"/>
              <w:adjustRightInd w:val="0"/>
              <w:jc w:val="right"/>
              <w:rPr>
                <w:szCs w:val="21"/>
              </w:rPr>
            </w:pPr>
            <w:r>
              <w:t>248,000.00</w:t>
            </w:r>
          </w:p>
        </w:tc>
        <w:tc>
          <w:tcPr>
            <w:tcW w:w="632" w:type="pct"/>
            <w:tcBorders>
              <w:top w:val="single" w:sz="4" w:space="0" w:color="auto"/>
              <w:left w:val="single" w:sz="4" w:space="0" w:color="auto"/>
              <w:bottom w:val="single" w:sz="4" w:space="0" w:color="auto"/>
              <w:right w:val="single" w:sz="4" w:space="0" w:color="auto"/>
            </w:tcBorders>
          </w:tcPr>
          <w:p w14:paraId="1A62CC6C" w14:textId="77777777" w:rsidR="00E57DAA" w:rsidRDefault="00AC4185">
            <w:pPr>
              <w:autoSpaceDE w:val="0"/>
              <w:autoSpaceDN w:val="0"/>
              <w:adjustRightInd w:val="0"/>
              <w:jc w:val="right"/>
              <w:rPr>
                <w:szCs w:val="21"/>
              </w:rPr>
            </w:pPr>
            <w:r>
              <w:t>7,736.00</w:t>
            </w:r>
          </w:p>
        </w:tc>
        <w:tc>
          <w:tcPr>
            <w:tcW w:w="703" w:type="pct"/>
            <w:tcBorders>
              <w:top w:val="single" w:sz="4" w:space="0" w:color="auto"/>
              <w:left w:val="single" w:sz="4" w:space="0" w:color="auto"/>
              <w:bottom w:val="single" w:sz="4" w:space="0" w:color="auto"/>
              <w:right w:val="single" w:sz="4" w:space="0" w:color="auto"/>
            </w:tcBorders>
          </w:tcPr>
          <w:p w14:paraId="5B48FC89" w14:textId="77777777" w:rsidR="00E57DAA" w:rsidRDefault="00AC4185">
            <w:pPr>
              <w:autoSpaceDE w:val="0"/>
              <w:autoSpaceDN w:val="0"/>
              <w:adjustRightInd w:val="0"/>
              <w:jc w:val="right"/>
              <w:rPr>
                <w:szCs w:val="21"/>
              </w:rPr>
            </w:pPr>
            <w:r>
              <w:t>48,000.00</w:t>
            </w:r>
          </w:p>
        </w:tc>
        <w:tc>
          <w:tcPr>
            <w:tcW w:w="914" w:type="pct"/>
            <w:tcBorders>
              <w:top w:val="single" w:sz="4" w:space="0" w:color="auto"/>
              <w:left w:val="single" w:sz="4" w:space="0" w:color="auto"/>
              <w:bottom w:val="single" w:sz="4" w:space="0" w:color="auto"/>
              <w:right w:val="single" w:sz="4" w:space="0" w:color="auto"/>
            </w:tcBorders>
          </w:tcPr>
          <w:p w14:paraId="1A0D018B" w14:textId="77777777" w:rsidR="00E57DAA" w:rsidRDefault="00AC4185">
            <w:pPr>
              <w:autoSpaceDE w:val="0"/>
              <w:autoSpaceDN w:val="0"/>
              <w:adjustRightInd w:val="0"/>
              <w:jc w:val="right"/>
              <w:rPr>
                <w:szCs w:val="21"/>
              </w:rPr>
            </w:pPr>
            <w:r>
              <w:t>672</w:t>
            </w:r>
          </w:p>
        </w:tc>
      </w:tr>
      <w:tr w:rsidR="00E57DAA" w14:paraId="4C0565A7" w14:textId="77777777">
        <w:tc>
          <w:tcPr>
            <w:tcW w:w="677" w:type="pct"/>
            <w:tcBorders>
              <w:top w:val="single" w:sz="4" w:space="0" w:color="auto"/>
              <w:left w:val="single" w:sz="4" w:space="0" w:color="auto"/>
              <w:bottom w:val="single" w:sz="4" w:space="0" w:color="auto"/>
              <w:right w:val="single" w:sz="4" w:space="0" w:color="auto"/>
            </w:tcBorders>
            <w:vAlign w:val="center"/>
          </w:tcPr>
          <w:p w14:paraId="3DF54F4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6EF1597" w14:textId="77777777" w:rsidR="00E57DAA" w:rsidRDefault="00AC4185">
            <w:pPr>
              <w:autoSpaceDE w:val="0"/>
              <w:autoSpaceDN w:val="0"/>
              <w:adjustRightInd w:val="0"/>
              <w:rPr>
                <w:szCs w:val="21"/>
              </w:rPr>
            </w:pPr>
            <w:r>
              <w:t>中联装备集团北新机械有限公司</w:t>
            </w:r>
          </w:p>
        </w:tc>
        <w:tc>
          <w:tcPr>
            <w:tcW w:w="633" w:type="pct"/>
            <w:tcBorders>
              <w:top w:val="single" w:sz="4" w:space="0" w:color="auto"/>
              <w:left w:val="single" w:sz="4" w:space="0" w:color="auto"/>
              <w:bottom w:val="single" w:sz="4" w:space="0" w:color="auto"/>
              <w:right w:val="single" w:sz="4" w:space="0" w:color="auto"/>
            </w:tcBorders>
          </w:tcPr>
          <w:p w14:paraId="1D1BE500" w14:textId="77777777" w:rsidR="00E57DAA" w:rsidRDefault="00AC4185">
            <w:pPr>
              <w:autoSpaceDE w:val="0"/>
              <w:autoSpaceDN w:val="0"/>
              <w:adjustRightInd w:val="0"/>
              <w:jc w:val="right"/>
              <w:rPr>
                <w:szCs w:val="21"/>
              </w:rPr>
            </w:pPr>
            <w:r>
              <w:t>204,000.00</w:t>
            </w:r>
          </w:p>
        </w:tc>
        <w:tc>
          <w:tcPr>
            <w:tcW w:w="632" w:type="pct"/>
            <w:tcBorders>
              <w:top w:val="single" w:sz="4" w:space="0" w:color="auto"/>
              <w:left w:val="single" w:sz="4" w:space="0" w:color="auto"/>
              <w:bottom w:val="single" w:sz="4" w:space="0" w:color="auto"/>
              <w:right w:val="single" w:sz="4" w:space="0" w:color="auto"/>
            </w:tcBorders>
          </w:tcPr>
          <w:p w14:paraId="522CEBBE" w14:textId="77777777" w:rsidR="00E57DAA" w:rsidRDefault="00AC4185">
            <w:pPr>
              <w:autoSpaceDE w:val="0"/>
              <w:autoSpaceDN w:val="0"/>
              <w:adjustRightInd w:val="0"/>
              <w:jc w:val="right"/>
              <w:rPr>
                <w:szCs w:val="21"/>
              </w:rPr>
            </w:pPr>
            <w:r>
              <w:t>40,800.00</w:t>
            </w:r>
          </w:p>
        </w:tc>
        <w:tc>
          <w:tcPr>
            <w:tcW w:w="703" w:type="pct"/>
            <w:tcBorders>
              <w:top w:val="single" w:sz="4" w:space="0" w:color="auto"/>
              <w:left w:val="single" w:sz="4" w:space="0" w:color="auto"/>
              <w:bottom w:val="single" w:sz="4" w:space="0" w:color="auto"/>
              <w:right w:val="single" w:sz="4" w:space="0" w:color="auto"/>
            </w:tcBorders>
          </w:tcPr>
          <w:p w14:paraId="205CC17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176220F" w14:textId="77777777" w:rsidR="00E57DAA" w:rsidRDefault="00AC4185">
            <w:pPr>
              <w:autoSpaceDE w:val="0"/>
              <w:autoSpaceDN w:val="0"/>
              <w:adjustRightInd w:val="0"/>
              <w:jc w:val="right"/>
              <w:rPr>
                <w:szCs w:val="21"/>
              </w:rPr>
            </w:pPr>
            <w:r>
              <w:t xml:space="preserve">　</w:t>
            </w:r>
          </w:p>
        </w:tc>
      </w:tr>
      <w:tr w:rsidR="00E57DAA" w14:paraId="66D1888B" w14:textId="77777777">
        <w:tc>
          <w:tcPr>
            <w:tcW w:w="677" w:type="pct"/>
            <w:tcBorders>
              <w:top w:val="single" w:sz="4" w:space="0" w:color="auto"/>
              <w:left w:val="single" w:sz="4" w:space="0" w:color="auto"/>
              <w:bottom w:val="single" w:sz="4" w:space="0" w:color="auto"/>
              <w:right w:val="single" w:sz="4" w:space="0" w:color="auto"/>
            </w:tcBorders>
            <w:vAlign w:val="center"/>
          </w:tcPr>
          <w:p w14:paraId="0619871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606BE1" w14:textId="77777777" w:rsidR="00E57DAA" w:rsidRDefault="00AC4185">
            <w:pPr>
              <w:autoSpaceDE w:val="0"/>
              <w:autoSpaceDN w:val="0"/>
              <w:adjustRightInd w:val="0"/>
              <w:rPr>
                <w:szCs w:val="21"/>
              </w:rPr>
            </w:pPr>
            <w:r>
              <w:t>蚌埠中恒新材料科技有限责任公司</w:t>
            </w:r>
          </w:p>
        </w:tc>
        <w:tc>
          <w:tcPr>
            <w:tcW w:w="633" w:type="pct"/>
            <w:tcBorders>
              <w:top w:val="single" w:sz="4" w:space="0" w:color="auto"/>
              <w:left w:val="single" w:sz="4" w:space="0" w:color="auto"/>
              <w:bottom w:val="single" w:sz="4" w:space="0" w:color="auto"/>
              <w:right w:val="single" w:sz="4" w:space="0" w:color="auto"/>
            </w:tcBorders>
          </w:tcPr>
          <w:p w14:paraId="3A174725" w14:textId="77777777" w:rsidR="00E57DAA" w:rsidRDefault="00AC4185">
            <w:pPr>
              <w:autoSpaceDE w:val="0"/>
              <w:autoSpaceDN w:val="0"/>
              <w:adjustRightInd w:val="0"/>
              <w:jc w:val="right"/>
              <w:rPr>
                <w:szCs w:val="21"/>
              </w:rPr>
            </w:pPr>
            <w:r>
              <w:t>192,400.00</w:t>
            </w:r>
          </w:p>
        </w:tc>
        <w:tc>
          <w:tcPr>
            <w:tcW w:w="632" w:type="pct"/>
            <w:tcBorders>
              <w:top w:val="single" w:sz="4" w:space="0" w:color="auto"/>
              <w:left w:val="single" w:sz="4" w:space="0" w:color="auto"/>
              <w:bottom w:val="single" w:sz="4" w:space="0" w:color="auto"/>
              <w:right w:val="single" w:sz="4" w:space="0" w:color="auto"/>
            </w:tcBorders>
          </w:tcPr>
          <w:p w14:paraId="2A1116F5" w14:textId="77777777" w:rsidR="00E57DAA" w:rsidRDefault="00AC4185">
            <w:pPr>
              <w:autoSpaceDE w:val="0"/>
              <w:autoSpaceDN w:val="0"/>
              <w:adjustRightInd w:val="0"/>
              <w:jc w:val="right"/>
              <w:rPr>
                <w:szCs w:val="21"/>
              </w:rPr>
            </w:pPr>
            <w:r>
              <w:t>20,430.00</w:t>
            </w:r>
          </w:p>
        </w:tc>
        <w:tc>
          <w:tcPr>
            <w:tcW w:w="703" w:type="pct"/>
            <w:tcBorders>
              <w:top w:val="single" w:sz="4" w:space="0" w:color="auto"/>
              <w:left w:val="single" w:sz="4" w:space="0" w:color="auto"/>
              <w:bottom w:val="single" w:sz="4" w:space="0" w:color="auto"/>
              <w:right w:val="single" w:sz="4" w:space="0" w:color="auto"/>
            </w:tcBorders>
          </w:tcPr>
          <w:p w14:paraId="6CAA778A" w14:textId="77777777" w:rsidR="00E57DAA" w:rsidRDefault="00AC4185">
            <w:pPr>
              <w:autoSpaceDE w:val="0"/>
              <w:autoSpaceDN w:val="0"/>
              <w:adjustRightInd w:val="0"/>
              <w:jc w:val="right"/>
              <w:rPr>
                <w:szCs w:val="21"/>
              </w:rPr>
            </w:pPr>
            <w:r>
              <w:t>157,400.00</w:t>
            </w:r>
          </w:p>
        </w:tc>
        <w:tc>
          <w:tcPr>
            <w:tcW w:w="914" w:type="pct"/>
            <w:tcBorders>
              <w:top w:val="single" w:sz="4" w:space="0" w:color="auto"/>
              <w:left w:val="single" w:sz="4" w:space="0" w:color="auto"/>
              <w:bottom w:val="single" w:sz="4" w:space="0" w:color="auto"/>
              <w:right w:val="single" w:sz="4" w:space="0" w:color="auto"/>
            </w:tcBorders>
          </w:tcPr>
          <w:p w14:paraId="62B8CE5C" w14:textId="77777777" w:rsidR="00E57DAA" w:rsidRDefault="00AC4185">
            <w:pPr>
              <w:autoSpaceDE w:val="0"/>
              <w:autoSpaceDN w:val="0"/>
              <w:adjustRightInd w:val="0"/>
              <w:jc w:val="right"/>
              <w:rPr>
                <w:szCs w:val="21"/>
              </w:rPr>
            </w:pPr>
            <w:r>
              <w:t>9,340.00</w:t>
            </w:r>
          </w:p>
        </w:tc>
      </w:tr>
      <w:tr w:rsidR="00E57DAA" w14:paraId="1A889938" w14:textId="77777777">
        <w:tc>
          <w:tcPr>
            <w:tcW w:w="677" w:type="pct"/>
            <w:tcBorders>
              <w:top w:val="single" w:sz="4" w:space="0" w:color="auto"/>
              <w:left w:val="single" w:sz="4" w:space="0" w:color="auto"/>
              <w:bottom w:val="single" w:sz="4" w:space="0" w:color="auto"/>
              <w:right w:val="single" w:sz="4" w:space="0" w:color="auto"/>
            </w:tcBorders>
            <w:vAlign w:val="center"/>
          </w:tcPr>
          <w:p w14:paraId="0F7036A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EEC9B2C" w14:textId="77777777" w:rsidR="00E57DAA" w:rsidRDefault="00AC4185">
            <w:pPr>
              <w:autoSpaceDE w:val="0"/>
              <w:autoSpaceDN w:val="0"/>
              <w:adjustRightInd w:val="0"/>
              <w:rPr>
                <w:szCs w:val="21"/>
              </w:rPr>
            </w:pPr>
            <w:r>
              <w:t>安徽凯盛应用材料有限公司</w:t>
            </w:r>
          </w:p>
        </w:tc>
        <w:tc>
          <w:tcPr>
            <w:tcW w:w="633" w:type="pct"/>
            <w:tcBorders>
              <w:top w:val="single" w:sz="4" w:space="0" w:color="auto"/>
              <w:left w:val="single" w:sz="4" w:space="0" w:color="auto"/>
              <w:bottom w:val="single" w:sz="4" w:space="0" w:color="auto"/>
              <w:right w:val="single" w:sz="4" w:space="0" w:color="auto"/>
            </w:tcBorders>
          </w:tcPr>
          <w:p w14:paraId="3609DB46" w14:textId="77777777" w:rsidR="00E57DAA" w:rsidRDefault="00AC4185">
            <w:pPr>
              <w:autoSpaceDE w:val="0"/>
              <w:autoSpaceDN w:val="0"/>
              <w:adjustRightInd w:val="0"/>
              <w:jc w:val="right"/>
              <w:rPr>
                <w:szCs w:val="21"/>
              </w:rPr>
            </w:pPr>
            <w:r>
              <w:t>120,590.99</w:t>
            </w:r>
          </w:p>
        </w:tc>
        <w:tc>
          <w:tcPr>
            <w:tcW w:w="632" w:type="pct"/>
            <w:tcBorders>
              <w:top w:val="single" w:sz="4" w:space="0" w:color="auto"/>
              <w:left w:val="single" w:sz="4" w:space="0" w:color="auto"/>
              <w:bottom w:val="single" w:sz="4" w:space="0" w:color="auto"/>
              <w:right w:val="single" w:sz="4" w:space="0" w:color="auto"/>
            </w:tcBorders>
          </w:tcPr>
          <w:p w14:paraId="332DE2AC" w14:textId="77777777" w:rsidR="00E57DAA" w:rsidRDefault="00AC4185">
            <w:pPr>
              <w:autoSpaceDE w:val="0"/>
              <w:autoSpaceDN w:val="0"/>
              <w:adjustRightInd w:val="0"/>
              <w:jc w:val="right"/>
              <w:rPr>
                <w:szCs w:val="21"/>
              </w:rPr>
            </w:pPr>
            <w:r>
              <w:t>40,413.69</w:t>
            </w:r>
          </w:p>
        </w:tc>
        <w:tc>
          <w:tcPr>
            <w:tcW w:w="703" w:type="pct"/>
            <w:tcBorders>
              <w:top w:val="single" w:sz="4" w:space="0" w:color="auto"/>
              <w:left w:val="single" w:sz="4" w:space="0" w:color="auto"/>
              <w:bottom w:val="single" w:sz="4" w:space="0" w:color="auto"/>
              <w:right w:val="single" w:sz="4" w:space="0" w:color="auto"/>
            </w:tcBorders>
          </w:tcPr>
          <w:p w14:paraId="025DBCF3" w14:textId="77777777" w:rsidR="00E57DAA" w:rsidRDefault="00AC4185">
            <w:pPr>
              <w:autoSpaceDE w:val="0"/>
              <w:autoSpaceDN w:val="0"/>
              <w:adjustRightInd w:val="0"/>
              <w:jc w:val="right"/>
              <w:rPr>
                <w:szCs w:val="21"/>
              </w:rPr>
            </w:pPr>
            <w:r>
              <w:t>163,590.99</w:t>
            </w:r>
          </w:p>
        </w:tc>
        <w:tc>
          <w:tcPr>
            <w:tcW w:w="914" w:type="pct"/>
            <w:tcBorders>
              <w:top w:val="single" w:sz="4" w:space="0" w:color="auto"/>
              <w:left w:val="single" w:sz="4" w:space="0" w:color="auto"/>
              <w:bottom w:val="single" w:sz="4" w:space="0" w:color="auto"/>
              <w:right w:val="single" w:sz="4" w:space="0" w:color="auto"/>
            </w:tcBorders>
          </w:tcPr>
          <w:p w14:paraId="61266F4C" w14:textId="77777777" w:rsidR="00E57DAA" w:rsidRDefault="00AC4185">
            <w:pPr>
              <w:autoSpaceDE w:val="0"/>
              <w:autoSpaceDN w:val="0"/>
              <w:adjustRightInd w:val="0"/>
              <w:jc w:val="right"/>
              <w:rPr>
                <w:szCs w:val="21"/>
              </w:rPr>
            </w:pPr>
            <w:r>
              <w:t>39,411.40</w:t>
            </w:r>
          </w:p>
        </w:tc>
      </w:tr>
      <w:tr w:rsidR="00E57DAA" w14:paraId="3843FB43" w14:textId="77777777">
        <w:tc>
          <w:tcPr>
            <w:tcW w:w="677" w:type="pct"/>
            <w:tcBorders>
              <w:top w:val="single" w:sz="4" w:space="0" w:color="auto"/>
              <w:left w:val="single" w:sz="4" w:space="0" w:color="auto"/>
              <w:bottom w:val="single" w:sz="4" w:space="0" w:color="auto"/>
              <w:right w:val="single" w:sz="4" w:space="0" w:color="auto"/>
            </w:tcBorders>
            <w:vAlign w:val="center"/>
          </w:tcPr>
          <w:p w14:paraId="056AC55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20BBAB" w14:textId="77777777" w:rsidR="00E57DAA" w:rsidRDefault="00AC4185">
            <w:pPr>
              <w:autoSpaceDE w:val="0"/>
              <w:autoSpaceDN w:val="0"/>
              <w:adjustRightInd w:val="0"/>
              <w:rPr>
                <w:szCs w:val="21"/>
              </w:rPr>
            </w:pPr>
            <w:r>
              <w:t>陕西中祥基础工程有限责任公司</w:t>
            </w:r>
          </w:p>
        </w:tc>
        <w:tc>
          <w:tcPr>
            <w:tcW w:w="633" w:type="pct"/>
            <w:tcBorders>
              <w:top w:val="single" w:sz="4" w:space="0" w:color="auto"/>
              <w:left w:val="single" w:sz="4" w:space="0" w:color="auto"/>
              <w:bottom w:val="single" w:sz="4" w:space="0" w:color="auto"/>
              <w:right w:val="single" w:sz="4" w:space="0" w:color="auto"/>
            </w:tcBorders>
          </w:tcPr>
          <w:p w14:paraId="3ECC8A01" w14:textId="77777777" w:rsidR="00E57DAA" w:rsidRDefault="00AC4185">
            <w:pPr>
              <w:autoSpaceDE w:val="0"/>
              <w:autoSpaceDN w:val="0"/>
              <w:adjustRightInd w:val="0"/>
              <w:jc w:val="right"/>
              <w:rPr>
                <w:szCs w:val="21"/>
              </w:rPr>
            </w:pPr>
            <w:r>
              <w:t>116,414.00</w:t>
            </w:r>
          </w:p>
        </w:tc>
        <w:tc>
          <w:tcPr>
            <w:tcW w:w="632" w:type="pct"/>
            <w:tcBorders>
              <w:top w:val="single" w:sz="4" w:space="0" w:color="auto"/>
              <w:left w:val="single" w:sz="4" w:space="0" w:color="auto"/>
              <w:bottom w:val="single" w:sz="4" w:space="0" w:color="auto"/>
              <w:right w:val="single" w:sz="4" w:space="0" w:color="auto"/>
            </w:tcBorders>
          </w:tcPr>
          <w:p w14:paraId="47D71E02" w14:textId="77777777" w:rsidR="00E57DAA" w:rsidRDefault="00AC4185">
            <w:pPr>
              <w:autoSpaceDE w:val="0"/>
              <w:autoSpaceDN w:val="0"/>
              <w:adjustRightInd w:val="0"/>
              <w:jc w:val="right"/>
              <w:rPr>
                <w:szCs w:val="21"/>
              </w:rPr>
            </w:pPr>
            <w:r>
              <w:t>19,208.31</w:t>
            </w:r>
          </w:p>
        </w:tc>
        <w:tc>
          <w:tcPr>
            <w:tcW w:w="703" w:type="pct"/>
            <w:tcBorders>
              <w:top w:val="single" w:sz="4" w:space="0" w:color="auto"/>
              <w:left w:val="single" w:sz="4" w:space="0" w:color="auto"/>
              <w:bottom w:val="single" w:sz="4" w:space="0" w:color="auto"/>
              <w:right w:val="single" w:sz="4" w:space="0" w:color="auto"/>
            </w:tcBorders>
          </w:tcPr>
          <w:p w14:paraId="22A6FDCF" w14:textId="77777777" w:rsidR="00E57DAA" w:rsidRDefault="00AC4185">
            <w:pPr>
              <w:autoSpaceDE w:val="0"/>
              <w:autoSpaceDN w:val="0"/>
              <w:adjustRightInd w:val="0"/>
              <w:jc w:val="right"/>
              <w:rPr>
                <w:szCs w:val="21"/>
              </w:rPr>
            </w:pPr>
            <w:r>
              <w:t>116,414.00</w:t>
            </w:r>
          </w:p>
        </w:tc>
        <w:tc>
          <w:tcPr>
            <w:tcW w:w="914" w:type="pct"/>
            <w:tcBorders>
              <w:top w:val="single" w:sz="4" w:space="0" w:color="auto"/>
              <w:left w:val="single" w:sz="4" w:space="0" w:color="auto"/>
              <w:bottom w:val="single" w:sz="4" w:space="0" w:color="auto"/>
              <w:right w:val="single" w:sz="4" w:space="0" w:color="auto"/>
            </w:tcBorders>
          </w:tcPr>
          <w:p w14:paraId="7B63A1D2" w14:textId="77777777" w:rsidR="00E57DAA" w:rsidRDefault="00AC4185">
            <w:pPr>
              <w:autoSpaceDE w:val="0"/>
              <w:autoSpaceDN w:val="0"/>
              <w:adjustRightInd w:val="0"/>
              <w:jc w:val="right"/>
              <w:rPr>
                <w:szCs w:val="21"/>
              </w:rPr>
            </w:pPr>
            <w:r>
              <w:t>6,984.84</w:t>
            </w:r>
          </w:p>
        </w:tc>
      </w:tr>
      <w:tr w:rsidR="00E57DAA" w14:paraId="74488618" w14:textId="77777777">
        <w:tc>
          <w:tcPr>
            <w:tcW w:w="677" w:type="pct"/>
            <w:tcBorders>
              <w:top w:val="single" w:sz="4" w:space="0" w:color="auto"/>
              <w:left w:val="single" w:sz="4" w:space="0" w:color="auto"/>
              <w:bottom w:val="single" w:sz="4" w:space="0" w:color="auto"/>
              <w:right w:val="single" w:sz="4" w:space="0" w:color="auto"/>
            </w:tcBorders>
            <w:vAlign w:val="center"/>
          </w:tcPr>
          <w:p w14:paraId="230B0A7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99E2C62" w14:textId="77777777" w:rsidR="00E57DAA" w:rsidRDefault="00AC4185">
            <w:pPr>
              <w:autoSpaceDE w:val="0"/>
              <w:autoSpaceDN w:val="0"/>
              <w:adjustRightInd w:val="0"/>
              <w:rPr>
                <w:szCs w:val="21"/>
              </w:rPr>
            </w:pPr>
            <w:r>
              <w:t>中建材（合肥）新能源有限公司</w:t>
            </w:r>
          </w:p>
        </w:tc>
        <w:tc>
          <w:tcPr>
            <w:tcW w:w="633" w:type="pct"/>
            <w:tcBorders>
              <w:top w:val="single" w:sz="4" w:space="0" w:color="auto"/>
              <w:left w:val="single" w:sz="4" w:space="0" w:color="auto"/>
              <w:bottom w:val="single" w:sz="4" w:space="0" w:color="auto"/>
              <w:right w:val="single" w:sz="4" w:space="0" w:color="auto"/>
            </w:tcBorders>
          </w:tcPr>
          <w:p w14:paraId="441996AD" w14:textId="77777777" w:rsidR="00E57DAA" w:rsidRDefault="00AC4185">
            <w:pPr>
              <w:autoSpaceDE w:val="0"/>
              <w:autoSpaceDN w:val="0"/>
              <w:adjustRightInd w:val="0"/>
              <w:jc w:val="right"/>
              <w:rPr>
                <w:szCs w:val="21"/>
              </w:rPr>
            </w:pPr>
            <w:r>
              <w:t>72,500.01</w:t>
            </w:r>
          </w:p>
        </w:tc>
        <w:tc>
          <w:tcPr>
            <w:tcW w:w="632" w:type="pct"/>
            <w:tcBorders>
              <w:top w:val="single" w:sz="4" w:space="0" w:color="auto"/>
              <w:left w:val="single" w:sz="4" w:space="0" w:color="auto"/>
              <w:bottom w:val="single" w:sz="4" w:space="0" w:color="auto"/>
              <w:right w:val="single" w:sz="4" w:space="0" w:color="auto"/>
            </w:tcBorders>
          </w:tcPr>
          <w:p w14:paraId="24B6340E" w14:textId="77777777" w:rsidR="00E57DAA" w:rsidRDefault="00AC4185">
            <w:pPr>
              <w:autoSpaceDE w:val="0"/>
              <w:autoSpaceDN w:val="0"/>
              <w:adjustRightInd w:val="0"/>
              <w:jc w:val="right"/>
              <w:rPr>
                <w:szCs w:val="21"/>
              </w:rPr>
            </w:pPr>
            <w:r>
              <w:t>10,454.50</w:t>
            </w:r>
          </w:p>
        </w:tc>
        <w:tc>
          <w:tcPr>
            <w:tcW w:w="703" w:type="pct"/>
            <w:tcBorders>
              <w:top w:val="single" w:sz="4" w:space="0" w:color="auto"/>
              <w:left w:val="single" w:sz="4" w:space="0" w:color="auto"/>
              <w:bottom w:val="single" w:sz="4" w:space="0" w:color="auto"/>
              <w:right w:val="single" w:sz="4" w:space="0" w:color="auto"/>
            </w:tcBorders>
          </w:tcPr>
          <w:p w14:paraId="7CF7C251" w14:textId="77777777" w:rsidR="00E57DAA" w:rsidRDefault="00AC4185">
            <w:pPr>
              <w:autoSpaceDE w:val="0"/>
              <w:autoSpaceDN w:val="0"/>
              <w:adjustRightInd w:val="0"/>
              <w:jc w:val="right"/>
              <w:rPr>
                <w:szCs w:val="21"/>
              </w:rPr>
            </w:pPr>
            <w:r>
              <w:t>62,386.72</w:t>
            </w:r>
          </w:p>
        </w:tc>
        <w:tc>
          <w:tcPr>
            <w:tcW w:w="914" w:type="pct"/>
            <w:tcBorders>
              <w:top w:val="single" w:sz="4" w:space="0" w:color="auto"/>
              <w:left w:val="single" w:sz="4" w:space="0" w:color="auto"/>
              <w:bottom w:val="single" w:sz="4" w:space="0" w:color="auto"/>
              <w:right w:val="single" w:sz="4" w:space="0" w:color="auto"/>
            </w:tcBorders>
          </w:tcPr>
          <w:p w14:paraId="47E69755" w14:textId="77777777" w:rsidR="00E57DAA" w:rsidRDefault="00AC4185">
            <w:pPr>
              <w:autoSpaceDE w:val="0"/>
              <w:autoSpaceDN w:val="0"/>
              <w:adjustRightInd w:val="0"/>
              <w:jc w:val="right"/>
              <w:rPr>
                <w:szCs w:val="21"/>
              </w:rPr>
            </w:pPr>
            <w:r>
              <w:t>4,498.08</w:t>
            </w:r>
          </w:p>
        </w:tc>
      </w:tr>
      <w:tr w:rsidR="00E57DAA" w14:paraId="646D8A65" w14:textId="77777777">
        <w:tc>
          <w:tcPr>
            <w:tcW w:w="677" w:type="pct"/>
            <w:tcBorders>
              <w:top w:val="single" w:sz="4" w:space="0" w:color="auto"/>
              <w:left w:val="single" w:sz="4" w:space="0" w:color="auto"/>
              <w:bottom w:val="single" w:sz="4" w:space="0" w:color="auto"/>
              <w:right w:val="single" w:sz="4" w:space="0" w:color="auto"/>
            </w:tcBorders>
            <w:vAlign w:val="center"/>
          </w:tcPr>
          <w:p w14:paraId="1D4D4E5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9C330C1" w14:textId="77777777" w:rsidR="00E57DAA" w:rsidRDefault="00AC4185">
            <w:pPr>
              <w:autoSpaceDE w:val="0"/>
              <w:autoSpaceDN w:val="0"/>
              <w:adjustRightInd w:val="0"/>
              <w:rPr>
                <w:szCs w:val="21"/>
              </w:rPr>
            </w:pPr>
            <w:r>
              <w:t>合肥神马科技集团有限公司</w:t>
            </w:r>
          </w:p>
        </w:tc>
        <w:tc>
          <w:tcPr>
            <w:tcW w:w="633" w:type="pct"/>
            <w:tcBorders>
              <w:top w:val="single" w:sz="4" w:space="0" w:color="auto"/>
              <w:left w:val="single" w:sz="4" w:space="0" w:color="auto"/>
              <w:bottom w:val="single" w:sz="4" w:space="0" w:color="auto"/>
              <w:right w:val="single" w:sz="4" w:space="0" w:color="auto"/>
            </w:tcBorders>
          </w:tcPr>
          <w:p w14:paraId="10322B17" w14:textId="77777777" w:rsidR="00E57DAA" w:rsidRDefault="00AC4185">
            <w:pPr>
              <w:autoSpaceDE w:val="0"/>
              <w:autoSpaceDN w:val="0"/>
              <w:adjustRightInd w:val="0"/>
              <w:jc w:val="right"/>
              <w:rPr>
                <w:szCs w:val="21"/>
              </w:rPr>
            </w:pPr>
            <w:r>
              <w:t>55,950.00</w:t>
            </w:r>
          </w:p>
        </w:tc>
        <w:tc>
          <w:tcPr>
            <w:tcW w:w="632" w:type="pct"/>
            <w:tcBorders>
              <w:top w:val="single" w:sz="4" w:space="0" w:color="auto"/>
              <w:left w:val="single" w:sz="4" w:space="0" w:color="auto"/>
              <w:bottom w:val="single" w:sz="4" w:space="0" w:color="auto"/>
              <w:right w:val="single" w:sz="4" w:space="0" w:color="auto"/>
            </w:tcBorders>
          </w:tcPr>
          <w:p w14:paraId="6FABD610" w14:textId="77777777" w:rsidR="00E57DAA" w:rsidRDefault="00AC4185">
            <w:pPr>
              <w:autoSpaceDE w:val="0"/>
              <w:autoSpaceDN w:val="0"/>
              <w:adjustRightInd w:val="0"/>
              <w:jc w:val="right"/>
              <w:rPr>
                <w:szCs w:val="21"/>
              </w:rPr>
            </w:pPr>
            <w:r>
              <w:t>2,797.50</w:t>
            </w:r>
          </w:p>
        </w:tc>
        <w:tc>
          <w:tcPr>
            <w:tcW w:w="703" w:type="pct"/>
            <w:tcBorders>
              <w:top w:val="single" w:sz="4" w:space="0" w:color="auto"/>
              <w:left w:val="single" w:sz="4" w:space="0" w:color="auto"/>
              <w:bottom w:val="single" w:sz="4" w:space="0" w:color="auto"/>
              <w:right w:val="single" w:sz="4" w:space="0" w:color="auto"/>
            </w:tcBorders>
          </w:tcPr>
          <w:p w14:paraId="2E40134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B317BF6" w14:textId="77777777" w:rsidR="00E57DAA" w:rsidRDefault="00AC4185">
            <w:pPr>
              <w:autoSpaceDE w:val="0"/>
              <w:autoSpaceDN w:val="0"/>
              <w:adjustRightInd w:val="0"/>
              <w:jc w:val="right"/>
              <w:rPr>
                <w:szCs w:val="21"/>
              </w:rPr>
            </w:pPr>
            <w:r>
              <w:t xml:space="preserve">　</w:t>
            </w:r>
          </w:p>
        </w:tc>
      </w:tr>
      <w:tr w:rsidR="00E57DAA" w14:paraId="05B0C3EE" w14:textId="77777777">
        <w:tc>
          <w:tcPr>
            <w:tcW w:w="677" w:type="pct"/>
            <w:tcBorders>
              <w:top w:val="single" w:sz="4" w:space="0" w:color="auto"/>
              <w:left w:val="single" w:sz="4" w:space="0" w:color="auto"/>
              <w:bottom w:val="single" w:sz="4" w:space="0" w:color="auto"/>
              <w:right w:val="single" w:sz="4" w:space="0" w:color="auto"/>
            </w:tcBorders>
            <w:vAlign w:val="center"/>
          </w:tcPr>
          <w:p w14:paraId="5963329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D99766B" w14:textId="77777777" w:rsidR="00E57DAA" w:rsidRDefault="00AC4185">
            <w:pPr>
              <w:autoSpaceDE w:val="0"/>
              <w:autoSpaceDN w:val="0"/>
              <w:adjustRightInd w:val="0"/>
              <w:rPr>
                <w:szCs w:val="21"/>
              </w:rPr>
            </w:pPr>
            <w:r>
              <w:t>蚌埠化工机械制造有限公司</w:t>
            </w:r>
          </w:p>
        </w:tc>
        <w:tc>
          <w:tcPr>
            <w:tcW w:w="633" w:type="pct"/>
            <w:tcBorders>
              <w:top w:val="single" w:sz="4" w:space="0" w:color="auto"/>
              <w:left w:val="single" w:sz="4" w:space="0" w:color="auto"/>
              <w:bottom w:val="single" w:sz="4" w:space="0" w:color="auto"/>
              <w:right w:val="single" w:sz="4" w:space="0" w:color="auto"/>
            </w:tcBorders>
          </w:tcPr>
          <w:p w14:paraId="1360C85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2F30A9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0EA6A9F" w14:textId="77777777" w:rsidR="00E57DAA" w:rsidRDefault="00AC4185">
            <w:pPr>
              <w:autoSpaceDE w:val="0"/>
              <w:autoSpaceDN w:val="0"/>
              <w:adjustRightInd w:val="0"/>
              <w:jc w:val="right"/>
              <w:rPr>
                <w:szCs w:val="21"/>
              </w:rPr>
            </w:pPr>
            <w:r>
              <w:t>25,400.00</w:t>
            </w:r>
          </w:p>
        </w:tc>
        <w:tc>
          <w:tcPr>
            <w:tcW w:w="914" w:type="pct"/>
            <w:tcBorders>
              <w:top w:val="single" w:sz="4" w:space="0" w:color="auto"/>
              <w:left w:val="single" w:sz="4" w:space="0" w:color="auto"/>
              <w:bottom w:val="single" w:sz="4" w:space="0" w:color="auto"/>
              <w:right w:val="single" w:sz="4" w:space="0" w:color="auto"/>
            </w:tcBorders>
          </w:tcPr>
          <w:p w14:paraId="7C0923D6" w14:textId="77777777" w:rsidR="00E57DAA" w:rsidRDefault="00AC4185">
            <w:pPr>
              <w:autoSpaceDE w:val="0"/>
              <w:autoSpaceDN w:val="0"/>
              <w:adjustRightInd w:val="0"/>
              <w:jc w:val="right"/>
              <w:rPr>
                <w:szCs w:val="21"/>
              </w:rPr>
            </w:pPr>
            <w:r>
              <w:t>1,831.34</w:t>
            </w:r>
          </w:p>
        </w:tc>
      </w:tr>
      <w:tr w:rsidR="00E57DAA" w14:paraId="755BF547" w14:textId="77777777">
        <w:tc>
          <w:tcPr>
            <w:tcW w:w="677" w:type="pct"/>
            <w:tcBorders>
              <w:top w:val="single" w:sz="4" w:space="0" w:color="auto"/>
              <w:left w:val="single" w:sz="4" w:space="0" w:color="auto"/>
              <w:bottom w:val="single" w:sz="4" w:space="0" w:color="auto"/>
              <w:right w:val="single" w:sz="4" w:space="0" w:color="auto"/>
            </w:tcBorders>
            <w:vAlign w:val="center"/>
          </w:tcPr>
          <w:p w14:paraId="6959264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1D4636" w14:textId="77777777" w:rsidR="00E57DAA" w:rsidRDefault="00AC4185">
            <w:pPr>
              <w:autoSpaceDE w:val="0"/>
              <w:autoSpaceDN w:val="0"/>
              <w:adjustRightInd w:val="0"/>
              <w:rPr>
                <w:szCs w:val="21"/>
              </w:rPr>
            </w:pPr>
            <w:r>
              <w:t>蚌埠凯盛工程技术有限公司</w:t>
            </w:r>
          </w:p>
        </w:tc>
        <w:tc>
          <w:tcPr>
            <w:tcW w:w="633" w:type="pct"/>
            <w:tcBorders>
              <w:top w:val="single" w:sz="4" w:space="0" w:color="auto"/>
              <w:left w:val="single" w:sz="4" w:space="0" w:color="auto"/>
              <w:bottom w:val="single" w:sz="4" w:space="0" w:color="auto"/>
              <w:right w:val="single" w:sz="4" w:space="0" w:color="auto"/>
            </w:tcBorders>
          </w:tcPr>
          <w:p w14:paraId="2A1B3AB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1A95C8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9503251" w14:textId="77777777" w:rsidR="00E57DAA" w:rsidRDefault="00AC4185">
            <w:pPr>
              <w:autoSpaceDE w:val="0"/>
              <w:autoSpaceDN w:val="0"/>
              <w:adjustRightInd w:val="0"/>
              <w:jc w:val="right"/>
              <w:rPr>
                <w:szCs w:val="21"/>
              </w:rPr>
            </w:pPr>
            <w:r>
              <w:t>0.09</w:t>
            </w:r>
          </w:p>
        </w:tc>
        <w:tc>
          <w:tcPr>
            <w:tcW w:w="914" w:type="pct"/>
            <w:tcBorders>
              <w:top w:val="single" w:sz="4" w:space="0" w:color="auto"/>
              <w:left w:val="single" w:sz="4" w:space="0" w:color="auto"/>
              <w:bottom w:val="single" w:sz="4" w:space="0" w:color="auto"/>
              <w:right w:val="single" w:sz="4" w:space="0" w:color="auto"/>
            </w:tcBorders>
          </w:tcPr>
          <w:p w14:paraId="64A6FD9A" w14:textId="77777777" w:rsidR="00E57DAA" w:rsidRDefault="00AC4185">
            <w:pPr>
              <w:autoSpaceDE w:val="0"/>
              <w:autoSpaceDN w:val="0"/>
              <w:adjustRightInd w:val="0"/>
              <w:jc w:val="right"/>
              <w:rPr>
                <w:szCs w:val="21"/>
              </w:rPr>
            </w:pPr>
            <w:r>
              <w:t>-</w:t>
            </w:r>
          </w:p>
        </w:tc>
      </w:tr>
      <w:tr w:rsidR="00E57DAA" w14:paraId="0598C140" w14:textId="77777777">
        <w:tc>
          <w:tcPr>
            <w:tcW w:w="677" w:type="pct"/>
            <w:tcBorders>
              <w:top w:val="single" w:sz="4" w:space="0" w:color="auto"/>
              <w:left w:val="single" w:sz="4" w:space="0" w:color="auto"/>
              <w:bottom w:val="single" w:sz="4" w:space="0" w:color="auto"/>
              <w:right w:val="single" w:sz="4" w:space="0" w:color="auto"/>
            </w:tcBorders>
            <w:vAlign w:val="center"/>
          </w:tcPr>
          <w:p w14:paraId="63DD9A0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76BEF44" w14:textId="77777777" w:rsidR="00E57DAA" w:rsidRDefault="00AC4185">
            <w:pPr>
              <w:autoSpaceDE w:val="0"/>
              <w:autoSpaceDN w:val="0"/>
              <w:adjustRightInd w:val="0"/>
              <w:rPr>
                <w:szCs w:val="21"/>
              </w:rPr>
            </w:pPr>
            <w:r>
              <w:t>中国建筑材料工业地质勘查中心山东总队</w:t>
            </w:r>
          </w:p>
        </w:tc>
        <w:tc>
          <w:tcPr>
            <w:tcW w:w="633" w:type="pct"/>
            <w:tcBorders>
              <w:top w:val="single" w:sz="4" w:space="0" w:color="auto"/>
              <w:left w:val="single" w:sz="4" w:space="0" w:color="auto"/>
              <w:bottom w:val="single" w:sz="4" w:space="0" w:color="auto"/>
              <w:right w:val="single" w:sz="4" w:space="0" w:color="auto"/>
            </w:tcBorders>
          </w:tcPr>
          <w:p w14:paraId="12C6D7E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15658D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89C1837" w14:textId="77777777" w:rsidR="00E57DAA" w:rsidRDefault="00AC4185">
            <w:pPr>
              <w:autoSpaceDE w:val="0"/>
              <w:autoSpaceDN w:val="0"/>
              <w:adjustRightInd w:val="0"/>
              <w:jc w:val="right"/>
              <w:rPr>
                <w:szCs w:val="21"/>
              </w:rPr>
            </w:pPr>
            <w:r>
              <w:t>170,000.00</w:t>
            </w:r>
          </w:p>
        </w:tc>
        <w:tc>
          <w:tcPr>
            <w:tcW w:w="914" w:type="pct"/>
            <w:tcBorders>
              <w:top w:val="single" w:sz="4" w:space="0" w:color="auto"/>
              <w:left w:val="single" w:sz="4" w:space="0" w:color="auto"/>
              <w:bottom w:val="single" w:sz="4" w:space="0" w:color="auto"/>
              <w:right w:val="single" w:sz="4" w:space="0" w:color="auto"/>
            </w:tcBorders>
          </w:tcPr>
          <w:p w14:paraId="3759A842" w14:textId="77777777" w:rsidR="00E57DAA" w:rsidRDefault="00AC4185">
            <w:pPr>
              <w:autoSpaceDE w:val="0"/>
              <w:autoSpaceDN w:val="0"/>
              <w:adjustRightInd w:val="0"/>
              <w:jc w:val="right"/>
              <w:rPr>
                <w:szCs w:val="21"/>
              </w:rPr>
            </w:pPr>
            <w:r>
              <w:t>54,400.00</w:t>
            </w:r>
          </w:p>
        </w:tc>
      </w:tr>
      <w:tr w:rsidR="00E57DAA" w14:paraId="7347B23E" w14:textId="77777777">
        <w:tc>
          <w:tcPr>
            <w:tcW w:w="677" w:type="pct"/>
            <w:tcBorders>
              <w:top w:val="single" w:sz="4" w:space="0" w:color="auto"/>
              <w:left w:val="single" w:sz="4" w:space="0" w:color="auto"/>
              <w:bottom w:val="single" w:sz="4" w:space="0" w:color="auto"/>
              <w:right w:val="single" w:sz="4" w:space="0" w:color="auto"/>
            </w:tcBorders>
            <w:vAlign w:val="center"/>
          </w:tcPr>
          <w:p w14:paraId="503A5C7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9FAEFA4" w14:textId="77777777" w:rsidR="00E57DAA" w:rsidRDefault="00AC4185">
            <w:pPr>
              <w:autoSpaceDE w:val="0"/>
              <w:autoSpaceDN w:val="0"/>
              <w:adjustRightInd w:val="0"/>
              <w:rPr>
                <w:szCs w:val="21"/>
              </w:rPr>
            </w:pPr>
            <w:r>
              <w:t>中新集团新材资产管理有限公司</w:t>
            </w:r>
          </w:p>
        </w:tc>
        <w:tc>
          <w:tcPr>
            <w:tcW w:w="633" w:type="pct"/>
            <w:tcBorders>
              <w:top w:val="single" w:sz="4" w:space="0" w:color="auto"/>
              <w:left w:val="single" w:sz="4" w:space="0" w:color="auto"/>
              <w:bottom w:val="single" w:sz="4" w:space="0" w:color="auto"/>
              <w:right w:val="single" w:sz="4" w:space="0" w:color="auto"/>
            </w:tcBorders>
          </w:tcPr>
          <w:p w14:paraId="5AC8445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FF193D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1C0A234" w14:textId="77777777" w:rsidR="00E57DAA" w:rsidRDefault="00AC4185">
            <w:pPr>
              <w:autoSpaceDE w:val="0"/>
              <w:autoSpaceDN w:val="0"/>
              <w:adjustRightInd w:val="0"/>
              <w:jc w:val="right"/>
              <w:rPr>
                <w:szCs w:val="21"/>
              </w:rPr>
            </w:pPr>
            <w:r>
              <w:t>2,215,344.70</w:t>
            </w:r>
          </w:p>
        </w:tc>
        <w:tc>
          <w:tcPr>
            <w:tcW w:w="914" w:type="pct"/>
            <w:tcBorders>
              <w:top w:val="single" w:sz="4" w:space="0" w:color="auto"/>
              <w:left w:val="single" w:sz="4" w:space="0" w:color="auto"/>
              <w:bottom w:val="single" w:sz="4" w:space="0" w:color="auto"/>
              <w:right w:val="single" w:sz="4" w:space="0" w:color="auto"/>
            </w:tcBorders>
          </w:tcPr>
          <w:p w14:paraId="561B603C" w14:textId="77777777" w:rsidR="00E57DAA" w:rsidRDefault="00AC4185">
            <w:pPr>
              <w:autoSpaceDE w:val="0"/>
              <w:autoSpaceDN w:val="0"/>
              <w:adjustRightInd w:val="0"/>
              <w:jc w:val="right"/>
              <w:rPr>
                <w:szCs w:val="21"/>
              </w:rPr>
            </w:pPr>
            <w:r>
              <w:t>52,503.67</w:t>
            </w:r>
          </w:p>
        </w:tc>
      </w:tr>
      <w:tr w:rsidR="00E57DAA" w14:paraId="11240488" w14:textId="77777777">
        <w:tc>
          <w:tcPr>
            <w:tcW w:w="677" w:type="pct"/>
            <w:tcBorders>
              <w:top w:val="single" w:sz="4" w:space="0" w:color="auto"/>
              <w:left w:val="single" w:sz="4" w:space="0" w:color="auto"/>
              <w:bottom w:val="single" w:sz="4" w:space="0" w:color="auto"/>
              <w:right w:val="single" w:sz="4" w:space="0" w:color="auto"/>
            </w:tcBorders>
            <w:vAlign w:val="center"/>
          </w:tcPr>
          <w:p w14:paraId="208DDA34" w14:textId="77777777" w:rsidR="00E57DAA" w:rsidRDefault="00AC4185">
            <w:pPr>
              <w:autoSpaceDE w:val="0"/>
              <w:autoSpaceDN w:val="0"/>
              <w:adjustRightInd w:val="0"/>
              <w:rPr>
                <w:szCs w:val="21"/>
              </w:rPr>
            </w:pPr>
            <w:r>
              <w:lastRenderedPageBreak/>
              <w:t xml:space="preserve">　</w:t>
            </w:r>
          </w:p>
        </w:tc>
        <w:tc>
          <w:tcPr>
            <w:tcW w:w="1441" w:type="pct"/>
            <w:tcBorders>
              <w:top w:val="single" w:sz="4" w:space="0" w:color="auto"/>
              <w:left w:val="single" w:sz="4" w:space="0" w:color="auto"/>
              <w:bottom w:val="single" w:sz="4" w:space="0" w:color="auto"/>
              <w:right w:val="single" w:sz="4" w:space="0" w:color="auto"/>
            </w:tcBorders>
          </w:tcPr>
          <w:p w14:paraId="7CF8C318"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6E61777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C31D55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D2703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A274F8F" w14:textId="77777777" w:rsidR="00E57DAA" w:rsidRDefault="00AC4185">
            <w:pPr>
              <w:autoSpaceDE w:val="0"/>
              <w:autoSpaceDN w:val="0"/>
              <w:adjustRightInd w:val="0"/>
              <w:jc w:val="right"/>
              <w:rPr>
                <w:szCs w:val="21"/>
              </w:rPr>
            </w:pPr>
            <w:r>
              <w:t xml:space="preserve">　</w:t>
            </w:r>
          </w:p>
        </w:tc>
      </w:tr>
      <w:tr w:rsidR="00E57DAA" w14:paraId="393DE5FB" w14:textId="77777777">
        <w:tc>
          <w:tcPr>
            <w:tcW w:w="677" w:type="pct"/>
            <w:tcBorders>
              <w:top w:val="single" w:sz="4" w:space="0" w:color="auto"/>
              <w:left w:val="single" w:sz="4" w:space="0" w:color="auto"/>
              <w:bottom w:val="single" w:sz="4" w:space="0" w:color="auto"/>
              <w:right w:val="single" w:sz="4" w:space="0" w:color="auto"/>
            </w:tcBorders>
            <w:vAlign w:val="center"/>
          </w:tcPr>
          <w:p w14:paraId="2DCE983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9B35D42" w14:textId="77777777" w:rsidR="00E57DAA" w:rsidRDefault="00AC4185">
            <w:pPr>
              <w:autoSpaceDE w:val="0"/>
              <w:autoSpaceDN w:val="0"/>
              <w:adjustRightInd w:val="0"/>
              <w:rPr>
                <w:szCs w:val="21"/>
              </w:rPr>
            </w:pPr>
            <w:r>
              <w:t>都匀上峰西南水泥有限公司</w:t>
            </w:r>
          </w:p>
        </w:tc>
        <w:tc>
          <w:tcPr>
            <w:tcW w:w="633" w:type="pct"/>
            <w:tcBorders>
              <w:top w:val="single" w:sz="4" w:space="0" w:color="auto"/>
              <w:left w:val="single" w:sz="4" w:space="0" w:color="auto"/>
              <w:bottom w:val="single" w:sz="4" w:space="0" w:color="auto"/>
              <w:right w:val="single" w:sz="4" w:space="0" w:color="auto"/>
            </w:tcBorders>
          </w:tcPr>
          <w:p w14:paraId="210DABE8" w14:textId="77777777" w:rsidR="00E57DAA" w:rsidRDefault="00AC4185">
            <w:pPr>
              <w:autoSpaceDE w:val="0"/>
              <w:autoSpaceDN w:val="0"/>
              <w:adjustRightInd w:val="0"/>
              <w:jc w:val="right"/>
              <w:rPr>
                <w:szCs w:val="21"/>
              </w:rPr>
            </w:pPr>
            <w:r>
              <w:t>201,755,414.81</w:t>
            </w:r>
          </w:p>
        </w:tc>
        <w:tc>
          <w:tcPr>
            <w:tcW w:w="632" w:type="pct"/>
            <w:tcBorders>
              <w:top w:val="single" w:sz="4" w:space="0" w:color="auto"/>
              <w:left w:val="single" w:sz="4" w:space="0" w:color="auto"/>
              <w:bottom w:val="single" w:sz="4" w:space="0" w:color="auto"/>
              <w:right w:val="single" w:sz="4" w:space="0" w:color="auto"/>
            </w:tcBorders>
          </w:tcPr>
          <w:p w14:paraId="2488B195" w14:textId="77777777" w:rsidR="00E57DAA" w:rsidRDefault="00AC4185">
            <w:pPr>
              <w:autoSpaceDE w:val="0"/>
              <w:autoSpaceDN w:val="0"/>
              <w:adjustRightInd w:val="0"/>
              <w:jc w:val="right"/>
              <w:rPr>
                <w:szCs w:val="21"/>
              </w:rPr>
            </w:pPr>
            <w:r>
              <w:t>4,781,603.33</w:t>
            </w:r>
          </w:p>
        </w:tc>
        <w:tc>
          <w:tcPr>
            <w:tcW w:w="703" w:type="pct"/>
            <w:tcBorders>
              <w:top w:val="single" w:sz="4" w:space="0" w:color="auto"/>
              <w:left w:val="single" w:sz="4" w:space="0" w:color="auto"/>
              <w:bottom w:val="single" w:sz="4" w:space="0" w:color="auto"/>
              <w:right w:val="single" w:sz="4" w:space="0" w:color="auto"/>
            </w:tcBorders>
          </w:tcPr>
          <w:p w14:paraId="2B1173DA" w14:textId="77777777" w:rsidR="00E57DAA" w:rsidRDefault="00AC4185">
            <w:pPr>
              <w:autoSpaceDE w:val="0"/>
              <w:autoSpaceDN w:val="0"/>
              <w:adjustRightInd w:val="0"/>
              <w:jc w:val="right"/>
              <w:rPr>
                <w:szCs w:val="21"/>
              </w:rPr>
            </w:pPr>
            <w:r>
              <w:t>168,329,210.06</w:t>
            </w:r>
          </w:p>
        </w:tc>
        <w:tc>
          <w:tcPr>
            <w:tcW w:w="914" w:type="pct"/>
            <w:tcBorders>
              <w:top w:val="single" w:sz="4" w:space="0" w:color="auto"/>
              <w:left w:val="single" w:sz="4" w:space="0" w:color="auto"/>
              <w:bottom w:val="single" w:sz="4" w:space="0" w:color="auto"/>
              <w:right w:val="single" w:sz="4" w:space="0" w:color="auto"/>
            </w:tcBorders>
          </w:tcPr>
          <w:p w14:paraId="57963A0D" w14:textId="77777777" w:rsidR="00E57DAA" w:rsidRDefault="00AC4185">
            <w:pPr>
              <w:autoSpaceDE w:val="0"/>
              <w:autoSpaceDN w:val="0"/>
              <w:adjustRightInd w:val="0"/>
              <w:jc w:val="right"/>
              <w:rPr>
                <w:szCs w:val="21"/>
              </w:rPr>
            </w:pPr>
            <w:r>
              <w:t>3,989,402.28</w:t>
            </w:r>
          </w:p>
        </w:tc>
      </w:tr>
      <w:tr w:rsidR="00E57DAA" w14:paraId="060E0ED0" w14:textId="77777777">
        <w:tc>
          <w:tcPr>
            <w:tcW w:w="677" w:type="pct"/>
            <w:tcBorders>
              <w:top w:val="single" w:sz="4" w:space="0" w:color="auto"/>
              <w:left w:val="single" w:sz="4" w:space="0" w:color="auto"/>
              <w:bottom w:val="single" w:sz="4" w:space="0" w:color="auto"/>
              <w:right w:val="single" w:sz="4" w:space="0" w:color="auto"/>
            </w:tcBorders>
            <w:vAlign w:val="center"/>
          </w:tcPr>
          <w:p w14:paraId="16AC9F2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7638F1C" w14:textId="77777777" w:rsidR="00E57DAA" w:rsidRDefault="00AC4185">
            <w:pPr>
              <w:autoSpaceDE w:val="0"/>
              <w:autoSpaceDN w:val="0"/>
              <w:adjustRightInd w:val="0"/>
              <w:rPr>
                <w:szCs w:val="21"/>
              </w:rPr>
            </w:pPr>
            <w:r>
              <w:t>芜湖南方水泥有限公司</w:t>
            </w:r>
          </w:p>
        </w:tc>
        <w:tc>
          <w:tcPr>
            <w:tcW w:w="633" w:type="pct"/>
            <w:tcBorders>
              <w:top w:val="single" w:sz="4" w:space="0" w:color="auto"/>
              <w:left w:val="single" w:sz="4" w:space="0" w:color="auto"/>
              <w:bottom w:val="single" w:sz="4" w:space="0" w:color="auto"/>
              <w:right w:val="single" w:sz="4" w:space="0" w:color="auto"/>
            </w:tcBorders>
          </w:tcPr>
          <w:p w14:paraId="4176187D" w14:textId="77777777" w:rsidR="00E57DAA" w:rsidRDefault="00AC4185">
            <w:pPr>
              <w:autoSpaceDE w:val="0"/>
              <w:autoSpaceDN w:val="0"/>
              <w:adjustRightInd w:val="0"/>
              <w:jc w:val="right"/>
              <w:rPr>
                <w:szCs w:val="21"/>
              </w:rPr>
            </w:pPr>
            <w:r>
              <w:t>102,125,619.11</w:t>
            </w:r>
          </w:p>
        </w:tc>
        <w:tc>
          <w:tcPr>
            <w:tcW w:w="632" w:type="pct"/>
            <w:tcBorders>
              <w:top w:val="single" w:sz="4" w:space="0" w:color="auto"/>
              <w:left w:val="single" w:sz="4" w:space="0" w:color="auto"/>
              <w:bottom w:val="single" w:sz="4" w:space="0" w:color="auto"/>
              <w:right w:val="single" w:sz="4" w:space="0" w:color="auto"/>
            </w:tcBorders>
          </w:tcPr>
          <w:p w14:paraId="6A963BDD" w14:textId="77777777" w:rsidR="00E57DAA" w:rsidRDefault="00AC4185">
            <w:pPr>
              <w:autoSpaceDE w:val="0"/>
              <w:autoSpaceDN w:val="0"/>
              <w:adjustRightInd w:val="0"/>
              <w:jc w:val="right"/>
              <w:rPr>
                <w:szCs w:val="21"/>
              </w:rPr>
            </w:pPr>
            <w:r>
              <w:t>6,046,808.81</w:t>
            </w:r>
          </w:p>
        </w:tc>
        <w:tc>
          <w:tcPr>
            <w:tcW w:w="703" w:type="pct"/>
            <w:tcBorders>
              <w:top w:val="single" w:sz="4" w:space="0" w:color="auto"/>
              <w:left w:val="single" w:sz="4" w:space="0" w:color="auto"/>
              <w:bottom w:val="single" w:sz="4" w:space="0" w:color="auto"/>
              <w:right w:val="single" w:sz="4" w:space="0" w:color="auto"/>
            </w:tcBorders>
          </w:tcPr>
          <w:p w14:paraId="20837FED" w14:textId="77777777" w:rsidR="00E57DAA" w:rsidRDefault="00AC4185">
            <w:pPr>
              <w:autoSpaceDE w:val="0"/>
              <w:autoSpaceDN w:val="0"/>
              <w:adjustRightInd w:val="0"/>
              <w:jc w:val="right"/>
              <w:rPr>
                <w:szCs w:val="21"/>
              </w:rPr>
            </w:pPr>
            <w:r>
              <w:t>14,720,723.29</w:t>
            </w:r>
          </w:p>
        </w:tc>
        <w:tc>
          <w:tcPr>
            <w:tcW w:w="914" w:type="pct"/>
            <w:tcBorders>
              <w:top w:val="single" w:sz="4" w:space="0" w:color="auto"/>
              <w:left w:val="single" w:sz="4" w:space="0" w:color="auto"/>
              <w:bottom w:val="single" w:sz="4" w:space="0" w:color="auto"/>
              <w:right w:val="single" w:sz="4" w:space="0" w:color="auto"/>
            </w:tcBorders>
          </w:tcPr>
          <w:p w14:paraId="6FCF7D7D" w14:textId="77777777" w:rsidR="00E57DAA" w:rsidRDefault="00AC4185">
            <w:pPr>
              <w:autoSpaceDE w:val="0"/>
              <w:autoSpaceDN w:val="0"/>
              <w:adjustRightInd w:val="0"/>
              <w:jc w:val="right"/>
              <w:rPr>
                <w:szCs w:val="21"/>
              </w:rPr>
            </w:pPr>
            <w:r>
              <w:t>1,016,042.13</w:t>
            </w:r>
          </w:p>
        </w:tc>
      </w:tr>
      <w:tr w:rsidR="00E57DAA" w14:paraId="571410A9" w14:textId="77777777">
        <w:tc>
          <w:tcPr>
            <w:tcW w:w="677" w:type="pct"/>
            <w:tcBorders>
              <w:top w:val="single" w:sz="4" w:space="0" w:color="auto"/>
              <w:left w:val="single" w:sz="4" w:space="0" w:color="auto"/>
              <w:bottom w:val="single" w:sz="4" w:space="0" w:color="auto"/>
              <w:right w:val="single" w:sz="4" w:space="0" w:color="auto"/>
            </w:tcBorders>
            <w:vAlign w:val="center"/>
          </w:tcPr>
          <w:p w14:paraId="645AF25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00FD6F7" w14:textId="77777777" w:rsidR="00E57DAA" w:rsidRDefault="00AC4185">
            <w:pPr>
              <w:autoSpaceDE w:val="0"/>
              <w:autoSpaceDN w:val="0"/>
              <w:adjustRightInd w:val="0"/>
              <w:rPr>
                <w:szCs w:val="21"/>
              </w:rPr>
            </w:pPr>
            <w:r>
              <w:t>沂水山水水泥有限公司</w:t>
            </w:r>
          </w:p>
        </w:tc>
        <w:tc>
          <w:tcPr>
            <w:tcW w:w="633" w:type="pct"/>
            <w:tcBorders>
              <w:top w:val="single" w:sz="4" w:space="0" w:color="auto"/>
              <w:left w:val="single" w:sz="4" w:space="0" w:color="auto"/>
              <w:bottom w:val="single" w:sz="4" w:space="0" w:color="auto"/>
              <w:right w:val="single" w:sz="4" w:space="0" w:color="auto"/>
            </w:tcBorders>
          </w:tcPr>
          <w:p w14:paraId="4AB66FA9" w14:textId="77777777" w:rsidR="00E57DAA" w:rsidRDefault="00AC4185">
            <w:pPr>
              <w:autoSpaceDE w:val="0"/>
              <w:autoSpaceDN w:val="0"/>
              <w:adjustRightInd w:val="0"/>
              <w:jc w:val="right"/>
              <w:rPr>
                <w:szCs w:val="21"/>
              </w:rPr>
            </w:pPr>
            <w:r>
              <w:t>23,414,001.02</w:t>
            </w:r>
          </w:p>
        </w:tc>
        <w:tc>
          <w:tcPr>
            <w:tcW w:w="632" w:type="pct"/>
            <w:tcBorders>
              <w:top w:val="single" w:sz="4" w:space="0" w:color="auto"/>
              <w:left w:val="single" w:sz="4" w:space="0" w:color="auto"/>
              <w:bottom w:val="single" w:sz="4" w:space="0" w:color="auto"/>
              <w:right w:val="single" w:sz="4" w:space="0" w:color="auto"/>
            </w:tcBorders>
          </w:tcPr>
          <w:p w14:paraId="53E68D7F" w14:textId="77777777" w:rsidR="00E57DAA" w:rsidRDefault="00AC4185">
            <w:pPr>
              <w:autoSpaceDE w:val="0"/>
              <w:autoSpaceDN w:val="0"/>
              <w:adjustRightInd w:val="0"/>
              <w:jc w:val="right"/>
              <w:rPr>
                <w:szCs w:val="21"/>
              </w:rPr>
            </w:pPr>
            <w:r>
              <w:t>202,473.98</w:t>
            </w:r>
          </w:p>
        </w:tc>
        <w:tc>
          <w:tcPr>
            <w:tcW w:w="703" w:type="pct"/>
            <w:tcBorders>
              <w:top w:val="single" w:sz="4" w:space="0" w:color="auto"/>
              <w:left w:val="single" w:sz="4" w:space="0" w:color="auto"/>
              <w:bottom w:val="single" w:sz="4" w:space="0" w:color="auto"/>
              <w:right w:val="single" w:sz="4" w:space="0" w:color="auto"/>
            </w:tcBorders>
          </w:tcPr>
          <w:p w14:paraId="4ECF1894" w14:textId="77777777" w:rsidR="00E57DAA" w:rsidRDefault="00AC4185">
            <w:pPr>
              <w:autoSpaceDE w:val="0"/>
              <w:autoSpaceDN w:val="0"/>
              <w:adjustRightInd w:val="0"/>
              <w:jc w:val="right"/>
              <w:rPr>
                <w:szCs w:val="21"/>
              </w:rPr>
            </w:pPr>
            <w:r>
              <w:t>30,295,502.62</w:t>
            </w:r>
          </w:p>
        </w:tc>
        <w:tc>
          <w:tcPr>
            <w:tcW w:w="914" w:type="pct"/>
            <w:tcBorders>
              <w:top w:val="single" w:sz="4" w:space="0" w:color="auto"/>
              <w:left w:val="single" w:sz="4" w:space="0" w:color="auto"/>
              <w:bottom w:val="single" w:sz="4" w:space="0" w:color="auto"/>
              <w:right w:val="single" w:sz="4" w:space="0" w:color="auto"/>
            </w:tcBorders>
          </w:tcPr>
          <w:p w14:paraId="79EEBEA1" w14:textId="77777777" w:rsidR="00E57DAA" w:rsidRDefault="00AC4185">
            <w:pPr>
              <w:autoSpaceDE w:val="0"/>
              <w:autoSpaceDN w:val="0"/>
              <w:adjustRightInd w:val="0"/>
              <w:jc w:val="right"/>
              <w:rPr>
                <w:szCs w:val="21"/>
              </w:rPr>
            </w:pPr>
            <w:r>
              <w:t>340,415.63</w:t>
            </w:r>
          </w:p>
        </w:tc>
      </w:tr>
      <w:tr w:rsidR="00E57DAA" w14:paraId="2F1C2D27" w14:textId="77777777">
        <w:tc>
          <w:tcPr>
            <w:tcW w:w="677" w:type="pct"/>
            <w:tcBorders>
              <w:top w:val="single" w:sz="4" w:space="0" w:color="auto"/>
              <w:left w:val="single" w:sz="4" w:space="0" w:color="auto"/>
              <w:bottom w:val="single" w:sz="4" w:space="0" w:color="auto"/>
              <w:right w:val="single" w:sz="4" w:space="0" w:color="auto"/>
            </w:tcBorders>
            <w:vAlign w:val="center"/>
          </w:tcPr>
          <w:p w14:paraId="37D00C1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36BDEDD" w14:textId="77777777" w:rsidR="00E57DAA" w:rsidRDefault="00AC4185">
            <w:pPr>
              <w:autoSpaceDE w:val="0"/>
              <w:autoSpaceDN w:val="0"/>
              <w:adjustRightInd w:val="0"/>
              <w:rPr>
                <w:szCs w:val="21"/>
              </w:rPr>
            </w:pPr>
            <w:r>
              <w:t>赤峰山水远航水泥有限公司</w:t>
            </w:r>
          </w:p>
        </w:tc>
        <w:tc>
          <w:tcPr>
            <w:tcW w:w="633" w:type="pct"/>
            <w:tcBorders>
              <w:top w:val="single" w:sz="4" w:space="0" w:color="auto"/>
              <w:left w:val="single" w:sz="4" w:space="0" w:color="auto"/>
              <w:bottom w:val="single" w:sz="4" w:space="0" w:color="auto"/>
              <w:right w:val="single" w:sz="4" w:space="0" w:color="auto"/>
            </w:tcBorders>
          </w:tcPr>
          <w:p w14:paraId="1C519356" w14:textId="77777777" w:rsidR="00E57DAA" w:rsidRDefault="00AC4185">
            <w:pPr>
              <w:autoSpaceDE w:val="0"/>
              <w:autoSpaceDN w:val="0"/>
              <w:adjustRightInd w:val="0"/>
              <w:jc w:val="right"/>
              <w:rPr>
                <w:szCs w:val="21"/>
              </w:rPr>
            </w:pPr>
            <w:r>
              <w:t>21,620,216.04</w:t>
            </w:r>
          </w:p>
        </w:tc>
        <w:tc>
          <w:tcPr>
            <w:tcW w:w="632" w:type="pct"/>
            <w:tcBorders>
              <w:top w:val="single" w:sz="4" w:space="0" w:color="auto"/>
              <w:left w:val="single" w:sz="4" w:space="0" w:color="auto"/>
              <w:bottom w:val="single" w:sz="4" w:space="0" w:color="auto"/>
              <w:right w:val="single" w:sz="4" w:space="0" w:color="auto"/>
            </w:tcBorders>
          </w:tcPr>
          <w:p w14:paraId="008E15ED" w14:textId="77777777" w:rsidR="00E57DAA" w:rsidRDefault="00AC4185">
            <w:pPr>
              <w:autoSpaceDE w:val="0"/>
              <w:autoSpaceDN w:val="0"/>
              <w:adjustRightInd w:val="0"/>
              <w:jc w:val="right"/>
              <w:rPr>
                <w:szCs w:val="21"/>
              </w:rPr>
            </w:pPr>
            <w:r>
              <w:t>512,530.62</w:t>
            </w:r>
          </w:p>
        </w:tc>
        <w:tc>
          <w:tcPr>
            <w:tcW w:w="703" w:type="pct"/>
            <w:tcBorders>
              <w:top w:val="single" w:sz="4" w:space="0" w:color="auto"/>
              <w:left w:val="single" w:sz="4" w:space="0" w:color="auto"/>
              <w:bottom w:val="single" w:sz="4" w:space="0" w:color="auto"/>
              <w:right w:val="single" w:sz="4" w:space="0" w:color="auto"/>
            </w:tcBorders>
          </w:tcPr>
          <w:p w14:paraId="65EBC3B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0C13508" w14:textId="77777777" w:rsidR="00E57DAA" w:rsidRDefault="00AC4185">
            <w:pPr>
              <w:autoSpaceDE w:val="0"/>
              <w:autoSpaceDN w:val="0"/>
              <w:adjustRightInd w:val="0"/>
              <w:jc w:val="right"/>
              <w:rPr>
                <w:szCs w:val="21"/>
              </w:rPr>
            </w:pPr>
            <w:r>
              <w:t xml:space="preserve">　</w:t>
            </w:r>
          </w:p>
        </w:tc>
      </w:tr>
      <w:tr w:rsidR="00E57DAA" w14:paraId="5E1DA986" w14:textId="77777777">
        <w:tc>
          <w:tcPr>
            <w:tcW w:w="677" w:type="pct"/>
            <w:tcBorders>
              <w:top w:val="single" w:sz="4" w:space="0" w:color="auto"/>
              <w:left w:val="single" w:sz="4" w:space="0" w:color="auto"/>
              <w:bottom w:val="single" w:sz="4" w:space="0" w:color="auto"/>
              <w:right w:val="single" w:sz="4" w:space="0" w:color="auto"/>
            </w:tcBorders>
            <w:vAlign w:val="center"/>
          </w:tcPr>
          <w:p w14:paraId="66FD025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34EAC67" w14:textId="77777777" w:rsidR="00E57DAA" w:rsidRDefault="00AC4185">
            <w:pPr>
              <w:autoSpaceDE w:val="0"/>
              <w:autoSpaceDN w:val="0"/>
              <w:adjustRightInd w:val="0"/>
              <w:rPr>
                <w:szCs w:val="21"/>
              </w:rPr>
            </w:pPr>
            <w:r>
              <w:t>康达（山东）水泥有限公司</w:t>
            </w:r>
          </w:p>
        </w:tc>
        <w:tc>
          <w:tcPr>
            <w:tcW w:w="633" w:type="pct"/>
            <w:tcBorders>
              <w:top w:val="single" w:sz="4" w:space="0" w:color="auto"/>
              <w:left w:val="single" w:sz="4" w:space="0" w:color="auto"/>
              <w:bottom w:val="single" w:sz="4" w:space="0" w:color="auto"/>
              <w:right w:val="single" w:sz="4" w:space="0" w:color="auto"/>
            </w:tcBorders>
          </w:tcPr>
          <w:p w14:paraId="4C38B020" w14:textId="77777777" w:rsidR="00E57DAA" w:rsidRDefault="00AC4185">
            <w:pPr>
              <w:autoSpaceDE w:val="0"/>
              <w:autoSpaceDN w:val="0"/>
              <w:adjustRightInd w:val="0"/>
              <w:jc w:val="right"/>
              <w:rPr>
                <w:szCs w:val="21"/>
              </w:rPr>
            </w:pPr>
            <w:r>
              <w:t>15,940,030.90</w:t>
            </w:r>
          </w:p>
        </w:tc>
        <w:tc>
          <w:tcPr>
            <w:tcW w:w="632" w:type="pct"/>
            <w:tcBorders>
              <w:top w:val="single" w:sz="4" w:space="0" w:color="auto"/>
              <w:left w:val="single" w:sz="4" w:space="0" w:color="auto"/>
              <w:bottom w:val="single" w:sz="4" w:space="0" w:color="auto"/>
              <w:right w:val="single" w:sz="4" w:space="0" w:color="auto"/>
            </w:tcBorders>
          </w:tcPr>
          <w:p w14:paraId="35C9AB1F" w14:textId="77777777" w:rsidR="00E57DAA" w:rsidRDefault="00AC4185">
            <w:pPr>
              <w:autoSpaceDE w:val="0"/>
              <w:autoSpaceDN w:val="0"/>
              <w:adjustRightInd w:val="0"/>
              <w:jc w:val="right"/>
              <w:rPr>
                <w:szCs w:val="21"/>
              </w:rPr>
            </w:pPr>
            <w:r>
              <w:t>1,050,120.50</w:t>
            </w:r>
          </w:p>
        </w:tc>
        <w:tc>
          <w:tcPr>
            <w:tcW w:w="703" w:type="pct"/>
            <w:tcBorders>
              <w:top w:val="single" w:sz="4" w:space="0" w:color="auto"/>
              <w:left w:val="single" w:sz="4" w:space="0" w:color="auto"/>
              <w:bottom w:val="single" w:sz="4" w:space="0" w:color="auto"/>
              <w:right w:val="single" w:sz="4" w:space="0" w:color="auto"/>
            </w:tcBorders>
          </w:tcPr>
          <w:p w14:paraId="14B68288" w14:textId="77777777" w:rsidR="00E57DAA" w:rsidRDefault="00AC4185">
            <w:pPr>
              <w:autoSpaceDE w:val="0"/>
              <w:autoSpaceDN w:val="0"/>
              <w:adjustRightInd w:val="0"/>
              <w:jc w:val="right"/>
              <w:rPr>
                <w:szCs w:val="21"/>
              </w:rPr>
            </w:pPr>
            <w:r>
              <w:t>18,219,430.90</w:t>
            </w:r>
          </w:p>
        </w:tc>
        <w:tc>
          <w:tcPr>
            <w:tcW w:w="914" w:type="pct"/>
            <w:tcBorders>
              <w:top w:val="single" w:sz="4" w:space="0" w:color="auto"/>
              <w:left w:val="single" w:sz="4" w:space="0" w:color="auto"/>
              <w:bottom w:val="single" w:sz="4" w:space="0" w:color="auto"/>
              <w:right w:val="single" w:sz="4" w:space="0" w:color="auto"/>
            </w:tcBorders>
          </w:tcPr>
          <w:p w14:paraId="38BA4CB6" w14:textId="77777777" w:rsidR="00E57DAA" w:rsidRDefault="00AC4185">
            <w:pPr>
              <w:autoSpaceDE w:val="0"/>
              <w:autoSpaceDN w:val="0"/>
              <w:adjustRightInd w:val="0"/>
              <w:jc w:val="right"/>
              <w:rPr>
                <w:szCs w:val="21"/>
              </w:rPr>
            </w:pPr>
            <w:r>
              <w:t>520,372.51</w:t>
            </w:r>
          </w:p>
        </w:tc>
      </w:tr>
      <w:tr w:rsidR="00E57DAA" w14:paraId="55D1086B" w14:textId="77777777">
        <w:tc>
          <w:tcPr>
            <w:tcW w:w="677" w:type="pct"/>
            <w:tcBorders>
              <w:top w:val="single" w:sz="4" w:space="0" w:color="auto"/>
              <w:left w:val="single" w:sz="4" w:space="0" w:color="auto"/>
              <w:bottom w:val="single" w:sz="4" w:space="0" w:color="auto"/>
              <w:right w:val="single" w:sz="4" w:space="0" w:color="auto"/>
            </w:tcBorders>
            <w:vAlign w:val="center"/>
          </w:tcPr>
          <w:p w14:paraId="32FD577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C124022" w14:textId="77777777" w:rsidR="00E57DAA" w:rsidRDefault="00AC4185">
            <w:pPr>
              <w:autoSpaceDE w:val="0"/>
              <w:autoSpaceDN w:val="0"/>
              <w:adjustRightInd w:val="0"/>
              <w:rPr>
                <w:szCs w:val="21"/>
              </w:rPr>
            </w:pPr>
            <w:r>
              <w:t>平阴山水水泥有限公司</w:t>
            </w:r>
          </w:p>
        </w:tc>
        <w:tc>
          <w:tcPr>
            <w:tcW w:w="633" w:type="pct"/>
            <w:tcBorders>
              <w:top w:val="single" w:sz="4" w:space="0" w:color="auto"/>
              <w:left w:val="single" w:sz="4" w:space="0" w:color="auto"/>
              <w:bottom w:val="single" w:sz="4" w:space="0" w:color="auto"/>
              <w:right w:val="single" w:sz="4" w:space="0" w:color="auto"/>
            </w:tcBorders>
          </w:tcPr>
          <w:p w14:paraId="23333D82" w14:textId="77777777" w:rsidR="00E57DAA" w:rsidRDefault="00AC4185">
            <w:pPr>
              <w:autoSpaceDE w:val="0"/>
              <w:autoSpaceDN w:val="0"/>
              <w:adjustRightInd w:val="0"/>
              <w:jc w:val="right"/>
              <w:rPr>
                <w:szCs w:val="21"/>
              </w:rPr>
            </w:pPr>
            <w:r>
              <w:t>14,559,946.22</w:t>
            </w:r>
          </w:p>
        </w:tc>
        <w:tc>
          <w:tcPr>
            <w:tcW w:w="632" w:type="pct"/>
            <w:tcBorders>
              <w:top w:val="single" w:sz="4" w:space="0" w:color="auto"/>
              <w:left w:val="single" w:sz="4" w:space="0" w:color="auto"/>
              <w:bottom w:val="single" w:sz="4" w:space="0" w:color="auto"/>
              <w:right w:val="single" w:sz="4" w:space="0" w:color="auto"/>
            </w:tcBorders>
          </w:tcPr>
          <w:p w14:paraId="7FCB5FF1" w14:textId="77777777" w:rsidR="00E57DAA" w:rsidRDefault="00AC4185">
            <w:pPr>
              <w:autoSpaceDE w:val="0"/>
              <w:autoSpaceDN w:val="0"/>
              <w:adjustRightInd w:val="0"/>
              <w:jc w:val="right"/>
              <w:rPr>
                <w:szCs w:val="21"/>
              </w:rPr>
            </w:pPr>
            <w:r>
              <w:t>620,899.98</w:t>
            </w:r>
          </w:p>
        </w:tc>
        <w:tc>
          <w:tcPr>
            <w:tcW w:w="703" w:type="pct"/>
            <w:tcBorders>
              <w:top w:val="single" w:sz="4" w:space="0" w:color="auto"/>
              <w:left w:val="single" w:sz="4" w:space="0" w:color="auto"/>
              <w:bottom w:val="single" w:sz="4" w:space="0" w:color="auto"/>
              <w:right w:val="single" w:sz="4" w:space="0" w:color="auto"/>
            </w:tcBorders>
          </w:tcPr>
          <w:p w14:paraId="382C97D6" w14:textId="77777777" w:rsidR="00E57DAA" w:rsidRDefault="00AC4185">
            <w:pPr>
              <w:autoSpaceDE w:val="0"/>
              <w:autoSpaceDN w:val="0"/>
              <w:adjustRightInd w:val="0"/>
              <w:jc w:val="right"/>
              <w:rPr>
                <w:szCs w:val="21"/>
              </w:rPr>
            </w:pPr>
            <w:r>
              <w:t>22,919,088.25</w:t>
            </w:r>
          </w:p>
        </w:tc>
        <w:tc>
          <w:tcPr>
            <w:tcW w:w="914" w:type="pct"/>
            <w:tcBorders>
              <w:top w:val="single" w:sz="4" w:space="0" w:color="auto"/>
              <w:left w:val="single" w:sz="4" w:space="0" w:color="auto"/>
              <w:bottom w:val="single" w:sz="4" w:space="0" w:color="auto"/>
              <w:right w:val="single" w:sz="4" w:space="0" w:color="auto"/>
            </w:tcBorders>
          </w:tcPr>
          <w:p w14:paraId="21C9CD2D" w14:textId="77777777" w:rsidR="00E57DAA" w:rsidRDefault="00AC4185">
            <w:pPr>
              <w:autoSpaceDE w:val="0"/>
              <w:autoSpaceDN w:val="0"/>
              <w:adjustRightInd w:val="0"/>
              <w:jc w:val="right"/>
              <w:rPr>
                <w:szCs w:val="21"/>
              </w:rPr>
            </w:pPr>
            <w:r>
              <w:t>592,245.98</w:t>
            </w:r>
          </w:p>
        </w:tc>
      </w:tr>
      <w:tr w:rsidR="00E57DAA" w14:paraId="6586AE8B" w14:textId="77777777">
        <w:tc>
          <w:tcPr>
            <w:tcW w:w="677" w:type="pct"/>
            <w:tcBorders>
              <w:top w:val="single" w:sz="4" w:space="0" w:color="auto"/>
              <w:left w:val="single" w:sz="4" w:space="0" w:color="auto"/>
              <w:bottom w:val="single" w:sz="4" w:space="0" w:color="auto"/>
              <w:right w:val="single" w:sz="4" w:space="0" w:color="auto"/>
            </w:tcBorders>
            <w:vAlign w:val="center"/>
          </w:tcPr>
          <w:p w14:paraId="4F3CDF3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D4D165A" w14:textId="77777777" w:rsidR="00E57DAA" w:rsidRDefault="00AC4185">
            <w:pPr>
              <w:autoSpaceDE w:val="0"/>
              <w:autoSpaceDN w:val="0"/>
              <w:adjustRightInd w:val="0"/>
              <w:rPr>
                <w:szCs w:val="21"/>
              </w:rPr>
            </w:pPr>
            <w:r>
              <w:t>安丘山水水泥有限公司</w:t>
            </w:r>
          </w:p>
        </w:tc>
        <w:tc>
          <w:tcPr>
            <w:tcW w:w="633" w:type="pct"/>
            <w:tcBorders>
              <w:top w:val="single" w:sz="4" w:space="0" w:color="auto"/>
              <w:left w:val="single" w:sz="4" w:space="0" w:color="auto"/>
              <w:bottom w:val="single" w:sz="4" w:space="0" w:color="auto"/>
              <w:right w:val="single" w:sz="4" w:space="0" w:color="auto"/>
            </w:tcBorders>
          </w:tcPr>
          <w:p w14:paraId="415F69D0" w14:textId="77777777" w:rsidR="00E57DAA" w:rsidRDefault="00AC4185">
            <w:pPr>
              <w:autoSpaceDE w:val="0"/>
              <w:autoSpaceDN w:val="0"/>
              <w:adjustRightInd w:val="0"/>
              <w:jc w:val="right"/>
              <w:rPr>
                <w:szCs w:val="21"/>
              </w:rPr>
            </w:pPr>
            <w:r>
              <w:t>11,692,944.17</w:t>
            </w:r>
          </w:p>
        </w:tc>
        <w:tc>
          <w:tcPr>
            <w:tcW w:w="632" w:type="pct"/>
            <w:tcBorders>
              <w:top w:val="single" w:sz="4" w:space="0" w:color="auto"/>
              <w:left w:val="single" w:sz="4" w:space="0" w:color="auto"/>
              <w:bottom w:val="single" w:sz="4" w:space="0" w:color="auto"/>
              <w:right w:val="single" w:sz="4" w:space="0" w:color="auto"/>
            </w:tcBorders>
          </w:tcPr>
          <w:p w14:paraId="046B38CB" w14:textId="77777777" w:rsidR="00E57DAA" w:rsidRDefault="00AC4185">
            <w:pPr>
              <w:autoSpaceDE w:val="0"/>
              <w:autoSpaceDN w:val="0"/>
              <w:adjustRightInd w:val="0"/>
              <w:jc w:val="right"/>
              <w:rPr>
                <w:szCs w:val="21"/>
              </w:rPr>
            </w:pPr>
            <w:r>
              <w:t>68,441.78</w:t>
            </w:r>
          </w:p>
        </w:tc>
        <w:tc>
          <w:tcPr>
            <w:tcW w:w="703" w:type="pct"/>
            <w:tcBorders>
              <w:top w:val="single" w:sz="4" w:space="0" w:color="auto"/>
              <w:left w:val="single" w:sz="4" w:space="0" w:color="auto"/>
              <w:bottom w:val="single" w:sz="4" w:space="0" w:color="auto"/>
              <w:right w:val="single" w:sz="4" w:space="0" w:color="auto"/>
            </w:tcBorders>
          </w:tcPr>
          <w:p w14:paraId="206E6A43" w14:textId="77777777" w:rsidR="00E57DAA" w:rsidRDefault="00AC4185">
            <w:pPr>
              <w:autoSpaceDE w:val="0"/>
              <w:autoSpaceDN w:val="0"/>
              <w:adjustRightInd w:val="0"/>
              <w:jc w:val="right"/>
              <w:rPr>
                <w:szCs w:val="21"/>
              </w:rPr>
            </w:pPr>
            <w:r>
              <w:t>12,154,371.18</w:t>
            </w:r>
          </w:p>
        </w:tc>
        <w:tc>
          <w:tcPr>
            <w:tcW w:w="914" w:type="pct"/>
            <w:tcBorders>
              <w:top w:val="single" w:sz="4" w:space="0" w:color="auto"/>
              <w:left w:val="single" w:sz="4" w:space="0" w:color="auto"/>
              <w:bottom w:val="single" w:sz="4" w:space="0" w:color="auto"/>
              <w:right w:val="single" w:sz="4" w:space="0" w:color="auto"/>
            </w:tcBorders>
          </w:tcPr>
          <w:p w14:paraId="46EF4DC1" w14:textId="77777777" w:rsidR="00E57DAA" w:rsidRDefault="00AC4185">
            <w:pPr>
              <w:autoSpaceDE w:val="0"/>
              <w:autoSpaceDN w:val="0"/>
              <w:adjustRightInd w:val="0"/>
              <w:jc w:val="right"/>
              <w:rPr>
                <w:szCs w:val="21"/>
              </w:rPr>
            </w:pPr>
            <w:r>
              <w:t>69,311.87</w:t>
            </w:r>
          </w:p>
        </w:tc>
      </w:tr>
      <w:tr w:rsidR="00E57DAA" w14:paraId="2B103447" w14:textId="77777777">
        <w:tc>
          <w:tcPr>
            <w:tcW w:w="677" w:type="pct"/>
            <w:tcBorders>
              <w:top w:val="single" w:sz="4" w:space="0" w:color="auto"/>
              <w:left w:val="single" w:sz="4" w:space="0" w:color="auto"/>
              <w:bottom w:val="single" w:sz="4" w:space="0" w:color="auto"/>
              <w:right w:val="single" w:sz="4" w:space="0" w:color="auto"/>
            </w:tcBorders>
            <w:vAlign w:val="center"/>
          </w:tcPr>
          <w:p w14:paraId="7AE2E4A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D6A0865" w14:textId="77777777" w:rsidR="00E57DAA" w:rsidRDefault="00AC4185">
            <w:pPr>
              <w:autoSpaceDE w:val="0"/>
              <w:autoSpaceDN w:val="0"/>
              <w:adjustRightInd w:val="0"/>
              <w:rPr>
                <w:szCs w:val="21"/>
              </w:rPr>
            </w:pPr>
            <w:r>
              <w:t>临朐山水水泥有限公司</w:t>
            </w:r>
          </w:p>
        </w:tc>
        <w:tc>
          <w:tcPr>
            <w:tcW w:w="633" w:type="pct"/>
            <w:tcBorders>
              <w:top w:val="single" w:sz="4" w:space="0" w:color="auto"/>
              <w:left w:val="single" w:sz="4" w:space="0" w:color="auto"/>
              <w:bottom w:val="single" w:sz="4" w:space="0" w:color="auto"/>
              <w:right w:val="single" w:sz="4" w:space="0" w:color="auto"/>
            </w:tcBorders>
          </w:tcPr>
          <w:p w14:paraId="17D0FA1D" w14:textId="77777777" w:rsidR="00E57DAA" w:rsidRDefault="00AC4185">
            <w:pPr>
              <w:autoSpaceDE w:val="0"/>
              <w:autoSpaceDN w:val="0"/>
              <w:adjustRightInd w:val="0"/>
              <w:jc w:val="right"/>
              <w:rPr>
                <w:szCs w:val="21"/>
              </w:rPr>
            </w:pPr>
            <w:r>
              <w:t>10,448,669.92</w:t>
            </w:r>
          </w:p>
        </w:tc>
        <w:tc>
          <w:tcPr>
            <w:tcW w:w="632" w:type="pct"/>
            <w:tcBorders>
              <w:top w:val="single" w:sz="4" w:space="0" w:color="auto"/>
              <w:left w:val="single" w:sz="4" w:space="0" w:color="auto"/>
              <w:bottom w:val="single" w:sz="4" w:space="0" w:color="auto"/>
              <w:right w:val="single" w:sz="4" w:space="0" w:color="auto"/>
            </w:tcBorders>
          </w:tcPr>
          <w:p w14:paraId="4717E1E8" w14:textId="77777777" w:rsidR="00E57DAA" w:rsidRDefault="00AC4185">
            <w:pPr>
              <w:autoSpaceDE w:val="0"/>
              <w:autoSpaceDN w:val="0"/>
              <w:adjustRightInd w:val="0"/>
              <w:jc w:val="right"/>
              <w:rPr>
                <w:szCs w:val="21"/>
              </w:rPr>
            </w:pPr>
            <w:r>
              <w:t>66,005.34</w:t>
            </w:r>
          </w:p>
        </w:tc>
        <w:tc>
          <w:tcPr>
            <w:tcW w:w="703" w:type="pct"/>
            <w:tcBorders>
              <w:top w:val="single" w:sz="4" w:space="0" w:color="auto"/>
              <w:left w:val="single" w:sz="4" w:space="0" w:color="auto"/>
              <w:bottom w:val="single" w:sz="4" w:space="0" w:color="auto"/>
              <w:right w:val="single" w:sz="4" w:space="0" w:color="auto"/>
            </w:tcBorders>
          </w:tcPr>
          <w:p w14:paraId="7A426409" w14:textId="77777777" w:rsidR="00E57DAA" w:rsidRDefault="00AC4185">
            <w:pPr>
              <w:autoSpaceDE w:val="0"/>
              <w:autoSpaceDN w:val="0"/>
              <w:adjustRightInd w:val="0"/>
              <w:jc w:val="right"/>
              <w:rPr>
                <w:szCs w:val="21"/>
              </w:rPr>
            </w:pPr>
            <w:r>
              <w:t>28,003,990.62</w:t>
            </w:r>
          </w:p>
        </w:tc>
        <w:tc>
          <w:tcPr>
            <w:tcW w:w="914" w:type="pct"/>
            <w:tcBorders>
              <w:top w:val="single" w:sz="4" w:space="0" w:color="auto"/>
              <w:left w:val="single" w:sz="4" w:space="0" w:color="auto"/>
              <w:bottom w:val="single" w:sz="4" w:space="0" w:color="auto"/>
              <w:right w:val="single" w:sz="4" w:space="0" w:color="auto"/>
            </w:tcBorders>
          </w:tcPr>
          <w:p w14:paraId="6004968B" w14:textId="77777777" w:rsidR="00E57DAA" w:rsidRDefault="00AC4185">
            <w:pPr>
              <w:autoSpaceDE w:val="0"/>
              <w:autoSpaceDN w:val="0"/>
              <w:adjustRightInd w:val="0"/>
              <w:jc w:val="right"/>
              <w:rPr>
                <w:szCs w:val="21"/>
              </w:rPr>
            </w:pPr>
            <w:r>
              <w:t>7,232.16</w:t>
            </w:r>
          </w:p>
        </w:tc>
      </w:tr>
      <w:tr w:rsidR="00E57DAA" w14:paraId="4D853D95" w14:textId="77777777">
        <w:tc>
          <w:tcPr>
            <w:tcW w:w="677" w:type="pct"/>
            <w:tcBorders>
              <w:top w:val="single" w:sz="4" w:space="0" w:color="auto"/>
              <w:left w:val="single" w:sz="4" w:space="0" w:color="auto"/>
              <w:bottom w:val="single" w:sz="4" w:space="0" w:color="auto"/>
              <w:right w:val="single" w:sz="4" w:space="0" w:color="auto"/>
            </w:tcBorders>
            <w:vAlign w:val="center"/>
          </w:tcPr>
          <w:p w14:paraId="27B2633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194B2D0" w14:textId="77777777" w:rsidR="00E57DAA" w:rsidRDefault="00AC4185">
            <w:pPr>
              <w:autoSpaceDE w:val="0"/>
              <w:autoSpaceDN w:val="0"/>
              <w:adjustRightInd w:val="0"/>
              <w:rPr>
                <w:szCs w:val="21"/>
              </w:rPr>
            </w:pPr>
            <w:r>
              <w:t>山东申丰水泥集团有限公司</w:t>
            </w:r>
          </w:p>
        </w:tc>
        <w:tc>
          <w:tcPr>
            <w:tcW w:w="633" w:type="pct"/>
            <w:tcBorders>
              <w:top w:val="single" w:sz="4" w:space="0" w:color="auto"/>
              <w:left w:val="single" w:sz="4" w:space="0" w:color="auto"/>
              <w:bottom w:val="single" w:sz="4" w:space="0" w:color="auto"/>
              <w:right w:val="single" w:sz="4" w:space="0" w:color="auto"/>
            </w:tcBorders>
          </w:tcPr>
          <w:p w14:paraId="409C7EC6" w14:textId="77777777" w:rsidR="00E57DAA" w:rsidRDefault="00AC4185">
            <w:pPr>
              <w:autoSpaceDE w:val="0"/>
              <w:autoSpaceDN w:val="0"/>
              <w:adjustRightInd w:val="0"/>
              <w:jc w:val="right"/>
              <w:rPr>
                <w:szCs w:val="21"/>
              </w:rPr>
            </w:pPr>
            <w:r>
              <w:t>10,415,596.10</w:t>
            </w:r>
          </w:p>
        </w:tc>
        <w:tc>
          <w:tcPr>
            <w:tcW w:w="632" w:type="pct"/>
            <w:tcBorders>
              <w:top w:val="single" w:sz="4" w:space="0" w:color="auto"/>
              <w:left w:val="single" w:sz="4" w:space="0" w:color="auto"/>
              <w:bottom w:val="single" w:sz="4" w:space="0" w:color="auto"/>
              <w:right w:val="single" w:sz="4" w:space="0" w:color="auto"/>
            </w:tcBorders>
          </w:tcPr>
          <w:p w14:paraId="4EB84806" w14:textId="77777777" w:rsidR="00E57DAA" w:rsidRDefault="00AC4185">
            <w:pPr>
              <w:autoSpaceDE w:val="0"/>
              <w:autoSpaceDN w:val="0"/>
              <w:adjustRightInd w:val="0"/>
              <w:jc w:val="right"/>
              <w:rPr>
                <w:szCs w:val="21"/>
              </w:rPr>
            </w:pPr>
            <w:r>
              <w:t>161,653.62</w:t>
            </w:r>
          </w:p>
        </w:tc>
        <w:tc>
          <w:tcPr>
            <w:tcW w:w="703" w:type="pct"/>
            <w:tcBorders>
              <w:top w:val="single" w:sz="4" w:space="0" w:color="auto"/>
              <w:left w:val="single" w:sz="4" w:space="0" w:color="auto"/>
              <w:bottom w:val="single" w:sz="4" w:space="0" w:color="auto"/>
              <w:right w:val="single" w:sz="4" w:space="0" w:color="auto"/>
            </w:tcBorders>
          </w:tcPr>
          <w:p w14:paraId="0EAFE82C" w14:textId="77777777" w:rsidR="00E57DAA" w:rsidRDefault="00AC4185">
            <w:pPr>
              <w:autoSpaceDE w:val="0"/>
              <w:autoSpaceDN w:val="0"/>
              <w:adjustRightInd w:val="0"/>
              <w:jc w:val="right"/>
              <w:rPr>
                <w:szCs w:val="21"/>
              </w:rPr>
            </w:pPr>
            <w:r>
              <w:t>9,128,649.52</w:t>
            </w:r>
          </w:p>
        </w:tc>
        <w:tc>
          <w:tcPr>
            <w:tcW w:w="914" w:type="pct"/>
            <w:tcBorders>
              <w:top w:val="single" w:sz="4" w:space="0" w:color="auto"/>
              <w:left w:val="single" w:sz="4" w:space="0" w:color="auto"/>
              <w:bottom w:val="single" w:sz="4" w:space="0" w:color="auto"/>
              <w:right w:val="single" w:sz="4" w:space="0" w:color="auto"/>
            </w:tcBorders>
          </w:tcPr>
          <w:p w14:paraId="0D6A993C" w14:textId="77777777" w:rsidR="00E57DAA" w:rsidRDefault="00AC4185">
            <w:pPr>
              <w:autoSpaceDE w:val="0"/>
              <w:autoSpaceDN w:val="0"/>
              <w:adjustRightInd w:val="0"/>
              <w:jc w:val="right"/>
              <w:rPr>
                <w:szCs w:val="21"/>
              </w:rPr>
            </w:pPr>
            <w:r>
              <w:t>193,434.96</w:t>
            </w:r>
          </w:p>
        </w:tc>
      </w:tr>
      <w:tr w:rsidR="00E57DAA" w14:paraId="2C743012" w14:textId="77777777">
        <w:tc>
          <w:tcPr>
            <w:tcW w:w="677" w:type="pct"/>
            <w:tcBorders>
              <w:top w:val="single" w:sz="4" w:space="0" w:color="auto"/>
              <w:left w:val="single" w:sz="4" w:space="0" w:color="auto"/>
              <w:bottom w:val="single" w:sz="4" w:space="0" w:color="auto"/>
              <w:right w:val="single" w:sz="4" w:space="0" w:color="auto"/>
            </w:tcBorders>
            <w:vAlign w:val="center"/>
          </w:tcPr>
          <w:p w14:paraId="0B984C1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AC6C84" w14:textId="77777777" w:rsidR="00E57DAA" w:rsidRDefault="00AC4185">
            <w:pPr>
              <w:autoSpaceDE w:val="0"/>
              <w:autoSpaceDN w:val="0"/>
              <w:adjustRightInd w:val="0"/>
              <w:rPr>
                <w:szCs w:val="21"/>
              </w:rPr>
            </w:pPr>
            <w:r>
              <w:t>安徽珍珠水泥集团股份有限公司</w:t>
            </w:r>
          </w:p>
        </w:tc>
        <w:tc>
          <w:tcPr>
            <w:tcW w:w="633" w:type="pct"/>
            <w:tcBorders>
              <w:top w:val="single" w:sz="4" w:space="0" w:color="auto"/>
              <w:left w:val="single" w:sz="4" w:space="0" w:color="auto"/>
              <w:bottom w:val="single" w:sz="4" w:space="0" w:color="auto"/>
              <w:right w:val="single" w:sz="4" w:space="0" w:color="auto"/>
            </w:tcBorders>
          </w:tcPr>
          <w:p w14:paraId="2DCBF373" w14:textId="77777777" w:rsidR="00E57DAA" w:rsidRDefault="00AC4185">
            <w:pPr>
              <w:autoSpaceDE w:val="0"/>
              <w:autoSpaceDN w:val="0"/>
              <w:adjustRightInd w:val="0"/>
              <w:jc w:val="right"/>
              <w:rPr>
                <w:szCs w:val="21"/>
              </w:rPr>
            </w:pPr>
            <w:r>
              <w:t>9,688,685.21</w:t>
            </w:r>
          </w:p>
        </w:tc>
        <w:tc>
          <w:tcPr>
            <w:tcW w:w="632" w:type="pct"/>
            <w:tcBorders>
              <w:top w:val="single" w:sz="4" w:space="0" w:color="auto"/>
              <w:left w:val="single" w:sz="4" w:space="0" w:color="auto"/>
              <w:bottom w:val="single" w:sz="4" w:space="0" w:color="auto"/>
              <w:right w:val="single" w:sz="4" w:space="0" w:color="auto"/>
            </w:tcBorders>
          </w:tcPr>
          <w:p w14:paraId="0447410C" w14:textId="77777777" w:rsidR="00E57DAA" w:rsidRDefault="00AC4185">
            <w:pPr>
              <w:autoSpaceDE w:val="0"/>
              <w:autoSpaceDN w:val="0"/>
              <w:adjustRightInd w:val="0"/>
              <w:jc w:val="right"/>
              <w:rPr>
                <w:szCs w:val="21"/>
              </w:rPr>
            </w:pPr>
            <w:r>
              <w:t>699,045.22</w:t>
            </w:r>
          </w:p>
        </w:tc>
        <w:tc>
          <w:tcPr>
            <w:tcW w:w="703" w:type="pct"/>
            <w:tcBorders>
              <w:top w:val="single" w:sz="4" w:space="0" w:color="auto"/>
              <w:left w:val="single" w:sz="4" w:space="0" w:color="auto"/>
              <w:bottom w:val="single" w:sz="4" w:space="0" w:color="auto"/>
              <w:right w:val="single" w:sz="4" w:space="0" w:color="auto"/>
            </w:tcBorders>
          </w:tcPr>
          <w:p w14:paraId="3C971AAA" w14:textId="77777777" w:rsidR="00E57DAA" w:rsidRDefault="00AC4185">
            <w:pPr>
              <w:autoSpaceDE w:val="0"/>
              <w:autoSpaceDN w:val="0"/>
              <w:adjustRightInd w:val="0"/>
              <w:jc w:val="right"/>
              <w:rPr>
                <w:szCs w:val="21"/>
              </w:rPr>
            </w:pPr>
            <w:r>
              <w:t>10,919,885.21</w:t>
            </w:r>
          </w:p>
        </w:tc>
        <w:tc>
          <w:tcPr>
            <w:tcW w:w="914" w:type="pct"/>
            <w:tcBorders>
              <w:top w:val="single" w:sz="4" w:space="0" w:color="auto"/>
              <w:left w:val="single" w:sz="4" w:space="0" w:color="auto"/>
              <w:bottom w:val="single" w:sz="4" w:space="0" w:color="auto"/>
              <w:right w:val="single" w:sz="4" w:space="0" w:color="auto"/>
            </w:tcBorders>
          </w:tcPr>
          <w:p w14:paraId="0BE6B32B" w14:textId="77777777" w:rsidR="00E57DAA" w:rsidRDefault="00AC4185">
            <w:pPr>
              <w:autoSpaceDE w:val="0"/>
              <w:autoSpaceDN w:val="0"/>
              <w:adjustRightInd w:val="0"/>
              <w:jc w:val="right"/>
              <w:rPr>
                <w:szCs w:val="21"/>
              </w:rPr>
            </w:pPr>
            <w:r>
              <w:t>409,576.16</w:t>
            </w:r>
          </w:p>
        </w:tc>
      </w:tr>
      <w:tr w:rsidR="00E57DAA" w14:paraId="6A11562E" w14:textId="77777777">
        <w:tc>
          <w:tcPr>
            <w:tcW w:w="677" w:type="pct"/>
            <w:tcBorders>
              <w:top w:val="single" w:sz="4" w:space="0" w:color="auto"/>
              <w:left w:val="single" w:sz="4" w:space="0" w:color="auto"/>
              <w:bottom w:val="single" w:sz="4" w:space="0" w:color="auto"/>
              <w:right w:val="single" w:sz="4" w:space="0" w:color="auto"/>
            </w:tcBorders>
            <w:vAlign w:val="center"/>
          </w:tcPr>
          <w:p w14:paraId="0064E5E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9D48DB5" w14:textId="77777777" w:rsidR="00E57DAA" w:rsidRDefault="00AC4185">
            <w:pPr>
              <w:autoSpaceDE w:val="0"/>
              <w:autoSpaceDN w:val="0"/>
              <w:adjustRightInd w:val="0"/>
              <w:rPr>
                <w:szCs w:val="21"/>
              </w:rPr>
            </w:pPr>
            <w:r>
              <w:t>烟台山水水泥有限公司</w:t>
            </w:r>
          </w:p>
        </w:tc>
        <w:tc>
          <w:tcPr>
            <w:tcW w:w="633" w:type="pct"/>
            <w:tcBorders>
              <w:top w:val="single" w:sz="4" w:space="0" w:color="auto"/>
              <w:left w:val="single" w:sz="4" w:space="0" w:color="auto"/>
              <w:bottom w:val="single" w:sz="4" w:space="0" w:color="auto"/>
              <w:right w:val="single" w:sz="4" w:space="0" w:color="auto"/>
            </w:tcBorders>
          </w:tcPr>
          <w:p w14:paraId="2A4D3AD7" w14:textId="77777777" w:rsidR="00E57DAA" w:rsidRDefault="00AC4185">
            <w:pPr>
              <w:autoSpaceDE w:val="0"/>
              <w:autoSpaceDN w:val="0"/>
              <w:adjustRightInd w:val="0"/>
              <w:jc w:val="right"/>
              <w:rPr>
                <w:szCs w:val="21"/>
              </w:rPr>
            </w:pPr>
            <w:r>
              <w:t>9,374,065.79</w:t>
            </w:r>
          </w:p>
        </w:tc>
        <w:tc>
          <w:tcPr>
            <w:tcW w:w="632" w:type="pct"/>
            <w:tcBorders>
              <w:top w:val="single" w:sz="4" w:space="0" w:color="auto"/>
              <w:left w:val="single" w:sz="4" w:space="0" w:color="auto"/>
              <w:bottom w:val="single" w:sz="4" w:space="0" w:color="auto"/>
              <w:right w:val="single" w:sz="4" w:space="0" w:color="auto"/>
            </w:tcBorders>
          </w:tcPr>
          <w:p w14:paraId="6FD7030C" w14:textId="77777777" w:rsidR="00E57DAA" w:rsidRDefault="00AC4185">
            <w:pPr>
              <w:autoSpaceDE w:val="0"/>
              <w:autoSpaceDN w:val="0"/>
              <w:adjustRightInd w:val="0"/>
              <w:jc w:val="right"/>
              <w:rPr>
                <w:szCs w:val="21"/>
              </w:rPr>
            </w:pPr>
            <w:r>
              <w:t>75,085.04</w:t>
            </w:r>
          </w:p>
        </w:tc>
        <w:tc>
          <w:tcPr>
            <w:tcW w:w="703" w:type="pct"/>
            <w:tcBorders>
              <w:top w:val="single" w:sz="4" w:space="0" w:color="auto"/>
              <w:left w:val="single" w:sz="4" w:space="0" w:color="auto"/>
              <w:bottom w:val="single" w:sz="4" w:space="0" w:color="auto"/>
              <w:right w:val="single" w:sz="4" w:space="0" w:color="auto"/>
            </w:tcBorders>
          </w:tcPr>
          <w:p w14:paraId="269CE55D" w14:textId="77777777" w:rsidR="00E57DAA" w:rsidRDefault="00AC4185">
            <w:pPr>
              <w:autoSpaceDE w:val="0"/>
              <w:autoSpaceDN w:val="0"/>
              <w:adjustRightInd w:val="0"/>
              <w:jc w:val="right"/>
              <w:rPr>
                <w:szCs w:val="21"/>
              </w:rPr>
            </w:pPr>
            <w:r>
              <w:t>11,168,958.26</w:t>
            </w:r>
          </w:p>
        </w:tc>
        <w:tc>
          <w:tcPr>
            <w:tcW w:w="914" w:type="pct"/>
            <w:tcBorders>
              <w:top w:val="single" w:sz="4" w:space="0" w:color="auto"/>
              <w:left w:val="single" w:sz="4" w:space="0" w:color="auto"/>
              <w:bottom w:val="single" w:sz="4" w:space="0" w:color="auto"/>
              <w:right w:val="single" w:sz="4" w:space="0" w:color="auto"/>
            </w:tcBorders>
          </w:tcPr>
          <w:p w14:paraId="6C17D9F4" w14:textId="77777777" w:rsidR="00E57DAA" w:rsidRDefault="00AC4185">
            <w:pPr>
              <w:autoSpaceDE w:val="0"/>
              <w:autoSpaceDN w:val="0"/>
              <w:adjustRightInd w:val="0"/>
              <w:jc w:val="right"/>
              <w:rPr>
                <w:szCs w:val="21"/>
              </w:rPr>
            </w:pPr>
            <w:r>
              <w:t>130,285.50</w:t>
            </w:r>
          </w:p>
        </w:tc>
      </w:tr>
      <w:tr w:rsidR="00E57DAA" w14:paraId="1E288382" w14:textId="77777777">
        <w:tc>
          <w:tcPr>
            <w:tcW w:w="677" w:type="pct"/>
            <w:tcBorders>
              <w:top w:val="single" w:sz="4" w:space="0" w:color="auto"/>
              <w:left w:val="single" w:sz="4" w:space="0" w:color="auto"/>
              <w:bottom w:val="single" w:sz="4" w:space="0" w:color="auto"/>
              <w:right w:val="single" w:sz="4" w:space="0" w:color="auto"/>
            </w:tcBorders>
            <w:vAlign w:val="center"/>
          </w:tcPr>
          <w:p w14:paraId="36241C5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25F4810" w14:textId="77777777" w:rsidR="00E57DAA" w:rsidRDefault="00AC4185">
            <w:pPr>
              <w:autoSpaceDE w:val="0"/>
              <w:autoSpaceDN w:val="0"/>
              <w:adjustRightInd w:val="0"/>
              <w:rPr>
                <w:szCs w:val="21"/>
              </w:rPr>
            </w:pPr>
            <w:r>
              <w:t>喀左丛元号水泥有限责任公司</w:t>
            </w:r>
          </w:p>
        </w:tc>
        <w:tc>
          <w:tcPr>
            <w:tcW w:w="633" w:type="pct"/>
            <w:tcBorders>
              <w:top w:val="single" w:sz="4" w:space="0" w:color="auto"/>
              <w:left w:val="single" w:sz="4" w:space="0" w:color="auto"/>
              <w:bottom w:val="single" w:sz="4" w:space="0" w:color="auto"/>
              <w:right w:val="single" w:sz="4" w:space="0" w:color="auto"/>
            </w:tcBorders>
          </w:tcPr>
          <w:p w14:paraId="3C5C5239" w14:textId="77777777" w:rsidR="00E57DAA" w:rsidRDefault="00AC4185">
            <w:pPr>
              <w:autoSpaceDE w:val="0"/>
              <w:autoSpaceDN w:val="0"/>
              <w:adjustRightInd w:val="0"/>
              <w:jc w:val="right"/>
              <w:rPr>
                <w:szCs w:val="21"/>
              </w:rPr>
            </w:pPr>
            <w:r>
              <w:t>8,988,724.83</w:t>
            </w:r>
          </w:p>
        </w:tc>
        <w:tc>
          <w:tcPr>
            <w:tcW w:w="632" w:type="pct"/>
            <w:tcBorders>
              <w:top w:val="single" w:sz="4" w:space="0" w:color="auto"/>
              <w:left w:val="single" w:sz="4" w:space="0" w:color="auto"/>
              <w:bottom w:val="single" w:sz="4" w:space="0" w:color="auto"/>
              <w:right w:val="single" w:sz="4" w:space="0" w:color="auto"/>
            </w:tcBorders>
          </w:tcPr>
          <w:p w14:paraId="3CCB2854" w14:textId="77777777" w:rsidR="00E57DAA" w:rsidRDefault="00AC4185">
            <w:pPr>
              <w:autoSpaceDE w:val="0"/>
              <w:autoSpaceDN w:val="0"/>
              <w:adjustRightInd w:val="0"/>
              <w:jc w:val="right"/>
              <w:rPr>
                <w:szCs w:val="21"/>
              </w:rPr>
            </w:pPr>
            <w:r>
              <w:t>36,530.90</w:t>
            </w:r>
          </w:p>
        </w:tc>
        <w:tc>
          <w:tcPr>
            <w:tcW w:w="703" w:type="pct"/>
            <w:tcBorders>
              <w:top w:val="single" w:sz="4" w:space="0" w:color="auto"/>
              <w:left w:val="single" w:sz="4" w:space="0" w:color="auto"/>
              <w:bottom w:val="single" w:sz="4" w:space="0" w:color="auto"/>
              <w:right w:val="single" w:sz="4" w:space="0" w:color="auto"/>
            </w:tcBorders>
          </w:tcPr>
          <w:p w14:paraId="58D6ED44" w14:textId="77777777" w:rsidR="00E57DAA" w:rsidRDefault="00AC4185">
            <w:pPr>
              <w:autoSpaceDE w:val="0"/>
              <w:autoSpaceDN w:val="0"/>
              <w:adjustRightInd w:val="0"/>
              <w:jc w:val="right"/>
              <w:rPr>
                <w:szCs w:val="21"/>
              </w:rPr>
            </w:pPr>
            <w:r>
              <w:t>5,154,669.40</w:t>
            </w:r>
          </w:p>
        </w:tc>
        <w:tc>
          <w:tcPr>
            <w:tcW w:w="914" w:type="pct"/>
            <w:tcBorders>
              <w:top w:val="single" w:sz="4" w:space="0" w:color="auto"/>
              <w:left w:val="single" w:sz="4" w:space="0" w:color="auto"/>
              <w:bottom w:val="single" w:sz="4" w:space="0" w:color="auto"/>
              <w:right w:val="single" w:sz="4" w:space="0" w:color="auto"/>
            </w:tcBorders>
          </w:tcPr>
          <w:p w14:paraId="48591FDF" w14:textId="77777777" w:rsidR="00E57DAA" w:rsidRDefault="00AC4185">
            <w:pPr>
              <w:autoSpaceDE w:val="0"/>
              <w:autoSpaceDN w:val="0"/>
              <w:adjustRightInd w:val="0"/>
              <w:jc w:val="right"/>
              <w:rPr>
                <w:szCs w:val="21"/>
              </w:rPr>
            </w:pPr>
            <w:r>
              <w:t>12,997.34</w:t>
            </w:r>
          </w:p>
        </w:tc>
      </w:tr>
      <w:tr w:rsidR="00E57DAA" w14:paraId="2AA26AC0" w14:textId="77777777">
        <w:tc>
          <w:tcPr>
            <w:tcW w:w="677" w:type="pct"/>
            <w:tcBorders>
              <w:top w:val="single" w:sz="4" w:space="0" w:color="auto"/>
              <w:left w:val="single" w:sz="4" w:space="0" w:color="auto"/>
              <w:bottom w:val="single" w:sz="4" w:space="0" w:color="auto"/>
              <w:right w:val="single" w:sz="4" w:space="0" w:color="auto"/>
            </w:tcBorders>
            <w:vAlign w:val="center"/>
          </w:tcPr>
          <w:p w14:paraId="1349CF5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A52B62" w14:textId="77777777" w:rsidR="00E57DAA" w:rsidRDefault="00AC4185">
            <w:pPr>
              <w:autoSpaceDE w:val="0"/>
              <w:autoSpaceDN w:val="0"/>
              <w:adjustRightInd w:val="0"/>
              <w:rPr>
                <w:szCs w:val="21"/>
              </w:rPr>
            </w:pPr>
            <w:r>
              <w:t>枣庄创新山水水泥有限公司</w:t>
            </w:r>
          </w:p>
        </w:tc>
        <w:tc>
          <w:tcPr>
            <w:tcW w:w="633" w:type="pct"/>
            <w:tcBorders>
              <w:top w:val="single" w:sz="4" w:space="0" w:color="auto"/>
              <w:left w:val="single" w:sz="4" w:space="0" w:color="auto"/>
              <w:bottom w:val="single" w:sz="4" w:space="0" w:color="auto"/>
              <w:right w:val="single" w:sz="4" w:space="0" w:color="auto"/>
            </w:tcBorders>
          </w:tcPr>
          <w:p w14:paraId="087E071A" w14:textId="77777777" w:rsidR="00E57DAA" w:rsidRDefault="00AC4185">
            <w:pPr>
              <w:autoSpaceDE w:val="0"/>
              <w:autoSpaceDN w:val="0"/>
              <w:adjustRightInd w:val="0"/>
              <w:jc w:val="right"/>
              <w:rPr>
                <w:szCs w:val="21"/>
              </w:rPr>
            </w:pPr>
            <w:r>
              <w:t>8,397,487.31</w:t>
            </w:r>
          </w:p>
        </w:tc>
        <w:tc>
          <w:tcPr>
            <w:tcW w:w="632" w:type="pct"/>
            <w:tcBorders>
              <w:top w:val="single" w:sz="4" w:space="0" w:color="auto"/>
              <w:left w:val="single" w:sz="4" w:space="0" w:color="auto"/>
              <w:bottom w:val="single" w:sz="4" w:space="0" w:color="auto"/>
              <w:right w:val="single" w:sz="4" w:space="0" w:color="auto"/>
            </w:tcBorders>
          </w:tcPr>
          <w:p w14:paraId="65E32245" w14:textId="77777777" w:rsidR="00E57DAA" w:rsidRDefault="00AC4185">
            <w:pPr>
              <w:autoSpaceDE w:val="0"/>
              <w:autoSpaceDN w:val="0"/>
              <w:adjustRightInd w:val="0"/>
              <w:jc w:val="right"/>
              <w:rPr>
                <w:szCs w:val="21"/>
              </w:rPr>
            </w:pPr>
            <w:r>
              <w:t>65,907.21</w:t>
            </w:r>
          </w:p>
        </w:tc>
        <w:tc>
          <w:tcPr>
            <w:tcW w:w="703" w:type="pct"/>
            <w:tcBorders>
              <w:top w:val="single" w:sz="4" w:space="0" w:color="auto"/>
              <w:left w:val="single" w:sz="4" w:space="0" w:color="auto"/>
              <w:bottom w:val="single" w:sz="4" w:space="0" w:color="auto"/>
              <w:right w:val="single" w:sz="4" w:space="0" w:color="auto"/>
            </w:tcBorders>
          </w:tcPr>
          <w:p w14:paraId="55A6A940" w14:textId="77777777" w:rsidR="00E57DAA" w:rsidRDefault="00AC4185">
            <w:pPr>
              <w:autoSpaceDE w:val="0"/>
              <w:autoSpaceDN w:val="0"/>
              <w:adjustRightInd w:val="0"/>
              <w:jc w:val="right"/>
              <w:rPr>
                <w:szCs w:val="21"/>
              </w:rPr>
            </w:pPr>
            <w:r>
              <w:t>5,001,110.90</w:t>
            </w:r>
          </w:p>
        </w:tc>
        <w:tc>
          <w:tcPr>
            <w:tcW w:w="914" w:type="pct"/>
            <w:tcBorders>
              <w:top w:val="single" w:sz="4" w:space="0" w:color="auto"/>
              <w:left w:val="single" w:sz="4" w:space="0" w:color="auto"/>
              <w:bottom w:val="single" w:sz="4" w:space="0" w:color="auto"/>
              <w:right w:val="single" w:sz="4" w:space="0" w:color="auto"/>
            </w:tcBorders>
          </w:tcPr>
          <w:p w14:paraId="75B7E393" w14:textId="77777777" w:rsidR="00E57DAA" w:rsidRDefault="00AC4185">
            <w:pPr>
              <w:autoSpaceDE w:val="0"/>
              <w:autoSpaceDN w:val="0"/>
              <w:adjustRightInd w:val="0"/>
              <w:jc w:val="right"/>
              <w:rPr>
                <w:szCs w:val="21"/>
              </w:rPr>
            </w:pPr>
            <w:r>
              <w:t>1,000.22</w:t>
            </w:r>
          </w:p>
        </w:tc>
      </w:tr>
      <w:tr w:rsidR="00E57DAA" w14:paraId="61C5E4CE" w14:textId="77777777">
        <w:tc>
          <w:tcPr>
            <w:tcW w:w="677" w:type="pct"/>
            <w:tcBorders>
              <w:top w:val="single" w:sz="4" w:space="0" w:color="auto"/>
              <w:left w:val="single" w:sz="4" w:space="0" w:color="auto"/>
              <w:bottom w:val="single" w:sz="4" w:space="0" w:color="auto"/>
              <w:right w:val="single" w:sz="4" w:space="0" w:color="auto"/>
            </w:tcBorders>
            <w:vAlign w:val="center"/>
          </w:tcPr>
          <w:p w14:paraId="33E6146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A9864B" w14:textId="77777777" w:rsidR="00E57DAA" w:rsidRDefault="00AC4185">
            <w:pPr>
              <w:autoSpaceDE w:val="0"/>
              <w:autoSpaceDN w:val="0"/>
              <w:adjustRightInd w:val="0"/>
              <w:rPr>
                <w:szCs w:val="21"/>
              </w:rPr>
            </w:pPr>
            <w:r>
              <w:t>烟台兴昊山水水泥有限公司</w:t>
            </w:r>
          </w:p>
        </w:tc>
        <w:tc>
          <w:tcPr>
            <w:tcW w:w="633" w:type="pct"/>
            <w:tcBorders>
              <w:top w:val="single" w:sz="4" w:space="0" w:color="auto"/>
              <w:left w:val="single" w:sz="4" w:space="0" w:color="auto"/>
              <w:bottom w:val="single" w:sz="4" w:space="0" w:color="auto"/>
              <w:right w:val="single" w:sz="4" w:space="0" w:color="auto"/>
            </w:tcBorders>
          </w:tcPr>
          <w:p w14:paraId="2E919AAD" w14:textId="77777777" w:rsidR="00E57DAA" w:rsidRDefault="00AC4185">
            <w:pPr>
              <w:autoSpaceDE w:val="0"/>
              <w:autoSpaceDN w:val="0"/>
              <w:adjustRightInd w:val="0"/>
              <w:jc w:val="right"/>
              <w:rPr>
                <w:szCs w:val="21"/>
              </w:rPr>
            </w:pPr>
            <w:r>
              <w:t>7,939,370.23</w:t>
            </w:r>
          </w:p>
        </w:tc>
        <w:tc>
          <w:tcPr>
            <w:tcW w:w="632" w:type="pct"/>
            <w:tcBorders>
              <w:top w:val="single" w:sz="4" w:space="0" w:color="auto"/>
              <w:left w:val="single" w:sz="4" w:space="0" w:color="auto"/>
              <w:bottom w:val="single" w:sz="4" w:space="0" w:color="auto"/>
              <w:right w:val="single" w:sz="4" w:space="0" w:color="auto"/>
            </w:tcBorders>
          </w:tcPr>
          <w:p w14:paraId="22E7B7DD" w14:textId="77777777" w:rsidR="00E57DAA" w:rsidRDefault="00AC4185">
            <w:pPr>
              <w:autoSpaceDE w:val="0"/>
              <w:autoSpaceDN w:val="0"/>
              <w:adjustRightInd w:val="0"/>
              <w:jc w:val="right"/>
              <w:rPr>
                <w:szCs w:val="21"/>
              </w:rPr>
            </w:pPr>
            <w:r>
              <w:t>113,085.05</w:t>
            </w:r>
          </w:p>
        </w:tc>
        <w:tc>
          <w:tcPr>
            <w:tcW w:w="703" w:type="pct"/>
            <w:tcBorders>
              <w:top w:val="single" w:sz="4" w:space="0" w:color="auto"/>
              <w:left w:val="single" w:sz="4" w:space="0" w:color="auto"/>
              <w:bottom w:val="single" w:sz="4" w:space="0" w:color="auto"/>
              <w:right w:val="single" w:sz="4" w:space="0" w:color="auto"/>
            </w:tcBorders>
          </w:tcPr>
          <w:p w14:paraId="2E856B09" w14:textId="77777777" w:rsidR="00E57DAA" w:rsidRDefault="00AC4185">
            <w:pPr>
              <w:autoSpaceDE w:val="0"/>
              <w:autoSpaceDN w:val="0"/>
              <w:adjustRightInd w:val="0"/>
              <w:jc w:val="right"/>
              <w:rPr>
                <w:szCs w:val="21"/>
              </w:rPr>
            </w:pPr>
            <w:r>
              <w:t>10,447,779.31</w:t>
            </w:r>
          </w:p>
        </w:tc>
        <w:tc>
          <w:tcPr>
            <w:tcW w:w="914" w:type="pct"/>
            <w:tcBorders>
              <w:top w:val="single" w:sz="4" w:space="0" w:color="auto"/>
              <w:left w:val="single" w:sz="4" w:space="0" w:color="auto"/>
              <w:bottom w:val="single" w:sz="4" w:space="0" w:color="auto"/>
              <w:right w:val="single" w:sz="4" w:space="0" w:color="auto"/>
            </w:tcBorders>
          </w:tcPr>
          <w:p w14:paraId="4F67F243" w14:textId="77777777" w:rsidR="00E57DAA" w:rsidRDefault="00AC4185">
            <w:pPr>
              <w:autoSpaceDE w:val="0"/>
              <w:autoSpaceDN w:val="0"/>
              <w:adjustRightInd w:val="0"/>
              <w:jc w:val="right"/>
              <w:rPr>
                <w:szCs w:val="21"/>
              </w:rPr>
            </w:pPr>
            <w:r>
              <w:t>77,615.13</w:t>
            </w:r>
          </w:p>
        </w:tc>
      </w:tr>
      <w:tr w:rsidR="00E57DAA" w14:paraId="75356F86" w14:textId="77777777">
        <w:tc>
          <w:tcPr>
            <w:tcW w:w="677" w:type="pct"/>
            <w:tcBorders>
              <w:top w:val="single" w:sz="4" w:space="0" w:color="auto"/>
              <w:left w:val="single" w:sz="4" w:space="0" w:color="auto"/>
              <w:bottom w:val="single" w:sz="4" w:space="0" w:color="auto"/>
              <w:right w:val="single" w:sz="4" w:space="0" w:color="auto"/>
            </w:tcBorders>
            <w:vAlign w:val="center"/>
          </w:tcPr>
          <w:p w14:paraId="7FE7A55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4BE4FF8" w14:textId="77777777" w:rsidR="00E57DAA" w:rsidRDefault="00AC4185">
            <w:pPr>
              <w:autoSpaceDE w:val="0"/>
              <w:autoSpaceDN w:val="0"/>
              <w:adjustRightInd w:val="0"/>
              <w:rPr>
                <w:szCs w:val="21"/>
              </w:rPr>
            </w:pPr>
            <w:r>
              <w:t>山东东华水泥有限公司</w:t>
            </w:r>
          </w:p>
        </w:tc>
        <w:tc>
          <w:tcPr>
            <w:tcW w:w="633" w:type="pct"/>
            <w:tcBorders>
              <w:top w:val="single" w:sz="4" w:space="0" w:color="auto"/>
              <w:left w:val="single" w:sz="4" w:space="0" w:color="auto"/>
              <w:bottom w:val="single" w:sz="4" w:space="0" w:color="auto"/>
              <w:right w:val="single" w:sz="4" w:space="0" w:color="auto"/>
            </w:tcBorders>
          </w:tcPr>
          <w:p w14:paraId="440ECFCF" w14:textId="77777777" w:rsidR="00E57DAA" w:rsidRDefault="00AC4185">
            <w:pPr>
              <w:autoSpaceDE w:val="0"/>
              <w:autoSpaceDN w:val="0"/>
              <w:adjustRightInd w:val="0"/>
              <w:jc w:val="right"/>
              <w:rPr>
                <w:szCs w:val="21"/>
              </w:rPr>
            </w:pPr>
            <w:r>
              <w:t>7,473,553.10</w:t>
            </w:r>
          </w:p>
        </w:tc>
        <w:tc>
          <w:tcPr>
            <w:tcW w:w="632" w:type="pct"/>
            <w:tcBorders>
              <w:top w:val="single" w:sz="4" w:space="0" w:color="auto"/>
              <w:left w:val="single" w:sz="4" w:space="0" w:color="auto"/>
              <w:bottom w:val="single" w:sz="4" w:space="0" w:color="auto"/>
              <w:right w:val="single" w:sz="4" w:space="0" w:color="auto"/>
            </w:tcBorders>
          </w:tcPr>
          <w:p w14:paraId="074715A3" w14:textId="77777777" w:rsidR="00E57DAA" w:rsidRDefault="00AC4185">
            <w:pPr>
              <w:autoSpaceDE w:val="0"/>
              <w:autoSpaceDN w:val="0"/>
              <w:adjustRightInd w:val="0"/>
              <w:jc w:val="right"/>
              <w:rPr>
                <w:szCs w:val="21"/>
              </w:rPr>
            </w:pPr>
            <w:r>
              <w:t>177,123.21</w:t>
            </w:r>
          </w:p>
        </w:tc>
        <w:tc>
          <w:tcPr>
            <w:tcW w:w="703" w:type="pct"/>
            <w:tcBorders>
              <w:top w:val="single" w:sz="4" w:space="0" w:color="auto"/>
              <w:left w:val="single" w:sz="4" w:space="0" w:color="auto"/>
              <w:bottom w:val="single" w:sz="4" w:space="0" w:color="auto"/>
              <w:right w:val="single" w:sz="4" w:space="0" w:color="auto"/>
            </w:tcBorders>
          </w:tcPr>
          <w:p w14:paraId="4D15D519" w14:textId="77777777" w:rsidR="00E57DAA" w:rsidRDefault="00AC4185">
            <w:pPr>
              <w:autoSpaceDE w:val="0"/>
              <w:autoSpaceDN w:val="0"/>
              <w:adjustRightInd w:val="0"/>
              <w:jc w:val="right"/>
              <w:rPr>
                <w:szCs w:val="21"/>
              </w:rPr>
            </w:pPr>
            <w:r>
              <w:t>6,167.71</w:t>
            </w:r>
          </w:p>
        </w:tc>
        <w:tc>
          <w:tcPr>
            <w:tcW w:w="914" w:type="pct"/>
            <w:tcBorders>
              <w:top w:val="single" w:sz="4" w:space="0" w:color="auto"/>
              <w:left w:val="single" w:sz="4" w:space="0" w:color="auto"/>
              <w:bottom w:val="single" w:sz="4" w:space="0" w:color="auto"/>
              <w:right w:val="single" w:sz="4" w:space="0" w:color="auto"/>
            </w:tcBorders>
          </w:tcPr>
          <w:p w14:paraId="599CF37A" w14:textId="77777777" w:rsidR="00E57DAA" w:rsidRDefault="00AC4185">
            <w:pPr>
              <w:autoSpaceDE w:val="0"/>
              <w:autoSpaceDN w:val="0"/>
              <w:adjustRightInd w:val="0"/>
              <w:jc w:val="right"/>
              <w:rPr>
                <w:szCs w:val="21"/>
              </w:rPr>
            </w:pPr>
            <w:r>
              <w:t>444.69</w:t>
            </w:r>
          </w:p>
        </w:tc>
      </w:tr>
      <w:tr w:rsidR="00E57DAA" w14:paraId="4CE02DA4" w14:textId="77777777">
        <w:tc>
          <w:tcPr>
            <w:tcW w:w="677" w:type="pct"/>
            <w:tcBorders>
              <w:top w:val="single" w:sz="4" w:space="0" w:color="auto"/>
              <w:left w:val="single" w:sz="4" w:space="0" w:color="auto"/>
              <w:bottom w:val="single" w:sz="4" w:space="0" w:color="auto"/>
              <w:right w:val="single" w:sz="4" w:space="0" w:color="auto"/>
            </w:tcBorders>
            <w:vAlign w:val="center"/>
          </w:tcPr>
          <w:p w14:paraId="1E047093"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B5F8BD9" w14:textId="77777777" w:rsidR="00E57DAA" w:rsidRDefault="00AC4185">
            <w:pPr>
              <w:autoSpaceDE w:val="0"/>
              <w:autoSpaceDN w:val="0"/>
              <w:adjustRightInd w:val="0"/>
              <w:rPr>
                <w:szCs w:val="21"/>
              </w:rPr>
            </w:pPr>
            <w:r>
              <w:t>保定太行和益环保科技有限公司</w:t>
            </w:r>
          </w:p>
        </w:tc>
        <w:tc>
          <w:tcPr>
            <w:tcW w:w="633" w:type="pct"/>
            <w:tcBorders>
              <w:top w:val="single" w:sz="4" w:space="0" w:color="auto"/>
              <w:left w:val="single" w:sz="4" w:space="0" w:color="auto"/>
              <w:bottom w:val="single" w:sz="4" w:space="0" w:color="auto"/>
              <w:right w:val="single" w:sz="4" w:space="0" w:color="auto"/>
            </w:tcBorders>
          </w:tcPr>
          <w:p w14:paraId="0B84D283" w14:textId="77777777" w:rsidR="00E57DAA" w:rsidRDefault="00AC4185">
            <w:pPr>
              <w:autoSpaceDE w:val="0"/>
              <w:autoSpaceDN w:val="0"/>
              <w:adjustRightInd w:val="0"/>
              <w:jc w:val="right"/>
              <w:rPr>
                <w:szCs w:val="21"/>
              </w:rPr>
            </w:pPr>
            <w:r>
              <w:t>7,255,822.07</w:t>
            </w:r>
          </w:p>
        </w:tc>
        <w:tc>
          <w:tcPr>
            <w:tcW w:w="632" w:type="pct"/>
            <w:tcBorders>
              <w:top w:val="single" w:sz="4" w:space="0" w:color="auto"/>
              <w:left w:val="single" w:sz="4" w:space="0" w:color="auto"/>
              <w:bottom w:val="single" w:sz="4" w:space="0" w:color="auto"/>
              <w:right w:val="single" w:sz="4" w:space="0" w:color="auto"/>
            </w:tcBorders>
          </w:tcPr>
          <w:p w14:paraId="018C946E" w14:textId="77777777" w:rsidR="00E57DAA" w:rsidRDefault="00AC4185">
            <w:pPr>
              <w:autoSpaceDE w:val="0"/>
              <w:autoSpaceDN w:val="0"/>
              <w:adjustRightInd w:val="0"/>
              <w:jc w:val="right"/>
              <w:rPr>
                <w:szCs w:val="21"/>
              </w:rPr>
            </w:pPr>
            <w:r>
              <w:t>352,721.76</w:t>
            </w:r>
          </w:p>
        </w:tc>
        <w:tc>
          <w:tcPr>
            <w:tcW w:w="703" w:type="pct"/>
            <w:tcBorders>
              <w:top w:val="single" w:sz="4" w:space="0" w:color="auto"/>
              <w:left w:val="single" w:sz="4" w:space="0" w:color="auto"/>
              <w:bottom w:val="single" w:sz="4" w:space="0" w:color="auto"/>
              <w:right w:val="single" w:sz="4" w:space="0" w:color="auto"/>
            </w:tcBorders>
          </w:tcPr>
          <w:p w14:paraId="0926F33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64D41C0" w14:textId="77777777" w:rsidR="00E57DAA" w:rsidRDefault="00AC4185">
            <w:pPr>
              <w:autoSpaceDE w:val="0"/>
              <w:autoSpaceDN w:val="0"/>
              <w:adjustRightInd w:val="0"/>
              <w:jc w:val="right"/>
              <w:rPr>
                <w:szCs w:val="21"/>
              </w:rPr>
            </w:pPr>
            <w:r>
              <w:t xml:space="preserve">　</w:t>
            </w:r>
          </w:p>
        </w:tc>
      </w:tr>
      <w:tr w:rsidR="00E57DAA" w14:paraId="6196892C" w14:textId="77777777">
        <w:tc>
          <w:tcPr>
            <w:tcW w:w="677" w:type="pct"/>
            <w:tcBorders>
              <w:top w:val="single" w:sz="4" w:space="0" w:color="auto"/>
              <w:left w:val="single" w:sz="4" w:space="0" w:color="auto"/>
              <w:bottom w:val="single" w:sz="4" w:space="0" w:color="auto"/>
              <w:right w:val="single" w:sz="4" w:space="0" w:color="auto"/>
            </w:tcBorders>
            <w:vAlign w:val="center"/>
          </w:tcPr>
          <w:p w14:paraId="4F43C84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667A54F" w14:textId="77777777" w:rsidR="00E57DAA" w:rsidRDefault="00AC4185">
            <w:pPr>
              <w:autoSpaceDE w:val="0"/>
              <w:autoSpaceDN w:val="0"/>
              <w:adjustRightInd w:val="0"/>
              <w:rPr>
                <w:szCs w:val="21"/>
              </w:rPr>
            </w:pPr>
            <w:r>
              <w:t>拉萨城投祁连山水泥有限公司</w:t>
            </w:r>
          </w:p>
        </w:tc>
        <w:tc>
          <w:tcPr>
            <w:tcW w:w="633" w:type="pct"/>
            <w:tcBorders>
              <w:top w:val="single" w:sz="4" w:space="0" w:color="auto"/>
              <w:left w:val="single" w:sz="4" w:space="0" w:color="auto"/>
              <w:bottom w:val="single" w:sz="4" w:space="0" w:color="auto"/>
              <w:right w:val="single" w:sz="4" w:space="0" w:color="auto"/>
            </w:tcBorders>
          </w:tcPr>
          <w:p w14:paraId="013DAD28" w14:textId="77777777" w:rsidR="00E57DAA" w:rsidRDefault="00AC4185">
            <w:pPr>
              <w:autoSpaceDE w:val="0"/>
              <w:autoSpaceDN w:val="0"/>
              <w:adjustRightInd w:val="0"/>
              <w:jc w:val="right"/>
              <w:rPr>
                <w:szCs w:val="21"/>
              </w:rPr>
            </w:pPr>
            <w:r>
              <w:t>6,456,395.00</w:t>
            </w:r>
          </w:p>
        </w:tc>
        <w:tc>
          <w:tcPr>
            <w:tcW w:w="632" w:type="pct"/>
            <w:tcBorders>
              <w:top w:val="single" w:sz="4" w:space="0" w:color="auto"/>
              <w:left w:val="single" w:sz="4" w:space="0" w:color="auto"/>
              <w:bottom w:val="single" w:sz="4" w:space="0" w:color="auto"/>
              <w:right w:val="single" w:sz="4" w:space="0" w:color="auto"/>
            </w:tcBorders>
          </w:tcPr>
          <w:p w14:paraId="362888E9" w14:textId="77777777" w:rsidR="00E57DAA" w:rsidRDefault="00AC4185">
            <w:pPr>
              <w:autoSpaceDE w:val="0"/>
              <w:autoSpaceDN w:val="0"/>
              <w:adjustRightInd w:val="0"/>
              <w:jc w:val="right"/>
              <w:rPr>
                <w:szCs w:val="21"/>
              </w:rPr>
            </w:pPr>
            <w:r>
              <w:t>47,825.58</w:t>
            </w:r>
          </w:p>
        </w:tc>
        <w:tc>
          <w:tcPr>
            <w:tcW w:w="703" w:type="pct"/>
            <w:tcBorders>
              <w:top w:val="single" w:sz="4" w:space="0" w:color="auto"/>
              <w:left w:val="single" w:sz="4" w:space="0" w:color="auto"/>
              <w:bottom w:val="single" w:sz="4" w:space="0" w:color="auto"/>
              <w:right w:val="single" w:sz="4" w:space="0" w:color="auto"/>
            </w:tcBorders>
          </w:tcPr>
          <w:p w14:paraId="4C192105" w14:textId="77777777" w:rsidR="00E57DAA" w:rsidRDefault="00AC4185">
            <w:pPr>
              <w:autoSpaceDE w:val="0"/>
              <w:autoSpaceDN w:val="0"/>
              <w:adjustRightInd w:val="0"/>
              <w:jc w:val="right"/>
              <w:rPr>
                <w:szCs w:val="21"/>
              </w:rPr>
            </w:pPr>
            <w:r>
              <w:t>72,475.20</w:t>
            </w:r>
          </w:p>
        </w:tc>
        <w:tc>
          <w:tcPr>
            <w:tcW w:w="914" w:type="pct"/>
            <w:tcBorders>
              <w:top w:val="single" w:sz="4" w:space="0" w:color="auto"/>
              <w:left w:val="single" w:sz="4" w:space="0" w:color="auto"/>
              <w:bottom w:val="single" w:sz="4" w:space="0" w:color="auto"/>
              <w:right w:val="single" w:sz="4" w:space="0" w:color="auto"/>
            </w:tcBorders>
          </w:tcPr>
          <w:p w14:paraId="7B14A1F7" w14:textId="77777777" w:rsidR="00E57DAA" w:rsidRDefault="00AC4185">
            <w:pPr>
              <w:autoSpaceDE w:val="0"/>
              <w:autoSpaceDN w:val="0"/>
              <w:adjustRightInd w:val="0"/>
              <w:jc w:val="right"/>
              <w:rPr>
                <w:szCs w:val="21"/>
              </w:rPr>
            </w:pPr>
            <w:r>
              <w:t>3,194.30</w:t>
            </w:r>
          </w:p>
        </w:tc>
      </w:tr>
      <w:tr w:rsidR="00E57DAA" w14:paraId="47638FB5" w14:textId="77777777">
        <w:tc>
          <w:tcPr>
            <w:tcW w:w="677" w:type="pct"/>
            <w:tcBorders>
              <w:top w:val="single" w:sz="4" w:space="0" w:color="auto"/>
              <w:left w:val="single" w:sz="4" w:space="0" w:color="auto"/>
              <w:bottom w:val="single" w:sz="4" w:space="0" w:color="auto"/>
              <w:right w:val="single" w:sz="4" w:space="0" w:color="auto"/>
            </w:tcBorders>
            <w:vAlign w:val="center"/>
          </w:tcPr>
          <w:p w14:paraId="6719545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1C59B5E" w14:textId="77777777" w:rsidR="00E57DAA" w:rsidRDefault="00AC4185">
            <w:pPr>
              <w:autoSpaceDE w:val="0"/>
              <w:autoSpaceDN w:val="0"/>
              <w:adjustRightInd w:val="0"/>
              <w:rPr>
                <w:szCs w:val="21"/>
              </w:rPr>
            </w:pPr>
            <w:r>
              <w:t>辉县市山水水泥有限公司</w:t>
            </w:r>
          </w:p>
        </w:tc>
        <w:tc>
          <w:tcPr>
            <w:tcW w:w="633" w:type="pct"/>
            <w:tcBorders>
              <w:top w:val="single" w:sz="4" w:space="0" w:color="auto"/>
              <w:left w:val="single" w:sz="4" w:space="0" w:color="auto"/>
              <w:bottom w:val="single" w:sz="4" w:space="0" w:color="auto"/>
              <w:right w:val="single" w:sz="4" w:space="0" w:color="auto"/>
            </w:tcBorders>
          </w:tcPr>
          <w:p w14:paraId="24E65877" w14:textId="77777777" w:rsidR="00E57DAA" w:rsidRDefault="00AC4185">
            <w:pPr>
              <w:autoSpaceDE w:val="0"/>
              <w:autoSpaceDN w:val="0"/>
              <w:adjustRightInd w:val="0"/>
              <w:jc w:val="right"/>
              <w:rPr>
                <w:szCs w:val="21"/>
              </w:rPr>
            </w:pPr>
            <w:r>
              <w:t>5,024,058.74</w:t>
            </w:r>
          </w:p>
        </w:tc>
        <w:tc>
          <w:tcPr>
            <w:tcW w:w="632" w:type="pct"/>
            <w:tcBorders>
              <w:top w:val="single" w:sz="4" w:space="0" w:color="auto"/>
              <w:left w:val="single" w:sz="4" w:space="0" w:color="auto"/>
              <w:bottom w:val="single" w:sz="4" w:space="0" w:color="auto"/>
              <w:right w:val="single" w:sz="4" w:space="0" w:color="auto"/>
            </w:tcBorders>
          </w:tcPr>
          <w:p w14:paraId="33DC959D" w14:textId="77777777" w:rsidR="00E57DAA" w:rsidRDefault="00AC4185">
            <w:pPr>
              <w:autoSpaceDE w:val="0"/>
              <w:autoSpaceDN w:val="0"/>
              <w:adjustRightInd w:val="0"/>
              <w:jc w:val="right"/>
              <w:rPr>
                <w:szCs w:val="21"/>
              </w:rPr>
            </w:pPr>
            <w:r>
              <w:t>20,096.23</w:t>
            </w:r>
          </w:p>
        </w:tc>
        <w:tc>
          <w:tcPr>
            <w:tcW w:w="703" w:type="pct"/>
            <w:tcBorders>
              <w:top w:val="single" w:sz="4" w:space="0" w:color="auto"/>
              <w:left w:val="single" w:sz="4" w:space="0" w:color="auto"/>
              <w:bottom w:val="single" w:sz="4" w:space="0" w:color="auto"/>
              <w:right w:val="single" w:sz="4" w:space="0" w:color="auto"/>
            </w:tcBorders>
          </w:tcPr>
          <w:p w14:paraId="30646D58" w14:textId="77777777" w:rsidR="00E57DAA" w:rsidRDefault="00AC4185">
            <w:pPr>
              <w:autoSpaceDE w:val="0"/>
              <w:autoSpaceDN w:val="0"/>
              <w:adjustRightInd w:val="0"/>
              <w:jc w:val="right"/>
              <w:rPr>
                <w:szCs w:val="21"/>
              </w:rPr>
            </w:pPr>
            <w:r>
              <w:t>5,720,923.57</w:t>
            </w:r>
          </w:p>
        </w:tc>
        <w:tc>
          <w:tcPr>
            <w:tcW w:w="914" w:type="pct"/>
            <w:tcBorders>
              <w:top w:val="single" w:sz="4" w:space="0" w:color="auto"/>
              <w:left w:val="single" w:sz="4" w:space="0" w:color="auto"/>
              <w:bottom w:val="single" w:sz="4" w:space="0" w:color="auto"/>
              <w:right w:val="single" w:sz="4" w:space="0" w:color="auto"/>
            </w:tcBorders>
          </w:tcPr>
          <w:p w14:paraId="17C3A37C" w14:textId="77777777" w:rsidR="00E57DAA" w:rsidRDefault="00AC4185">
            <w:pPr>
              <w:autoSpaceDE w:val="0"/>
              <w:autoSpaceDN w:val="0"/>
              <w:adjustRightInd w:val="0"/>
              <w:jc w:val="right"/>
              <w:rPr>
                <w:szCs w:val="21"/>
              </w:rPr>
            </w:pPr>
            <w:r>
              <w:t>1,144.18</w:t>
            </w:r>
          </w:p>
        </w:tc>
      </w:tr>
      <w:tr w:rsidR="00E57DAA" w14:paraId="77ADE4C9" w14:textId="77777777">
        <w:tc>
          <w:tcPr>
            <w:tcW w:w="677" w:type="pct"/>
            <w:tcBorders>
              <w:top w:val="single" w:sz="4" w:space="0" w:color="auto"/>
              <w:left w:val="single" w:sz="4" w:space="0" w:color="auto"/>
              <w:bottom w:val="single" w:sz="4" w:space="0" w:color="auto"/>
              <w:right w:val="single" w:sz="4" w:space="0" w:color="auto"/>
            </w:tcBorders>
            <w:vAlign w:val="center"/>
          </w:tcPr>
          <w:p w14:paraId="518CED6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67CF378" w14:textId="77777777" w:rsidR="00E57DAA" w:rsidRDefault="00AC4185">
            <w:pPr>
              <w:autoSpaceDE w:val="0"/>
              <w:autoSpaceDN w:val="0"/>
              <w:adjustRightInd w:val="0"/>
              <w:rPr>
                <w:szCs w:val="21"/>
              </w:rPr>
            </w:pPr>
            <w:r>
              <w:t>晋城山水合聚水泥有限公司</w:t>
            </w:r>
          </w:p>
        </w:tc>
        <w:tc>
          <w:tcPr>
            <w:tcW w:w="633" w:type="pct"/>
            <w:tcBorders>
              <w:top w:val="single" w:sz="4" w:space="0" w:color="auto"/>
              <w:left w:val="single" w:sz="4" w:space="0" w:color="auto"/>
              <w:bottom w:val="single" w:sz="4" w:space="0" w:color="auto"/>
              <w:right w:val="single" w:sz="4" w:space="0" w:color="auto"/>
            </w:tcBorders>
          </w:tcPr>
          <w:p w14:paraId="22951504" w14:textId="77777777" w:rsidR="00E57DAA" w:rsidRDefault="00AC4185">
            <w:pPr>
              <w:autoSpaceDE w:val="0"/>
              <w:autoSpaceDN w:val="0"/>
              <w:adjustRightInd w:val="0"/>
              <w:jc w:val="right"/>
              <w:rPr>
                <w:szCs w:val="21"/>
              </w:rPr>
            </w:pPr>
            <w:r>
              <w:t>4,958,376.35</w:t>
            </w:r>
          </w:p>
        </w:tc>
        <w:tc>
          <w:tcPr>
            <w:tcW w:w="632" w:type="pct"/>
            <w:tcBorders>
              <w:top w:val="single" w:sz="4" w:space="0" w:color="auto"/>
              <w:left w:val="single" w:sz="4" w:space="0" w:color="auto"/>
              <w:bottom w:val="single" w:sz="4" w:space="0" w:color="auto"/>
              <w:right w:val="single" w:sz="4" w:space="0" w:color="auto"/>
            </w:tcBorders>
          </w:tcPr>
          <w:p w14:paraId="4C540CCD" w14:textId="77777777" w:rsidR="00E57DAA" w:rsidRDefault="00AC4185">
            <w:pPr>
              <w:autoSpaceDE w:val="0"/>
              <w:autoSpaceDN w:val="0"/>
              <w:adjustRightInd w:val="0"/>
              <w:jc w:val="right"/>
              <w:rPr>
                <w:szCs w:val="21"/>
              </w:rPr>
            </w:pPr>
            <w:r>
              <w:t>19,833.51</w:t>
            </w:r>
          </w:p>
        </w:tc>
        <w:tc>
          <w:tcPr>
            <w:tcW w:w="703" w:type="pct"/>
            <w:tcBorders>
              <w:top w:val="single" w:sz="4" w:space="0" w:color="auto"/>
              <w:left w:val="single" w:sz="4" w:space="0" w:color="auto"/>
              <w:bottom w:val="single" w:sz="4" w:space="0" w:color="auto"/>
              <w:right w:val="single" w:sz="4" w:space="0" w:color="auto"/>
            </w:tcBorders>
          </w:tcPr>
          <w:p w14:paraId="4F7BDFDA" w14:textId="77777777" w:rsidR="00E57DAA" w:rsidRDefault="00AC4185">
            <w:pPr>
              <w:autoSpaceDE w:val="0"/>
              <w:autoSpaceDN w:val="0"/>
              <w:adjustRightInd w:val="0"/>
              <w:jc w:val="right"/>
              <w:rPr>
                <w:szCs w:val="21"/>
              </w:rPr>
            </w:pPr>
            <w:r>
              <w:t>4,939,014.82</w:t>
            </w:r>
          </w:p>
        </w:tc>
        <w:tc>
          <w:tcPr>
            <w:tcW w:w="914" w:type="pct"/>
            <w:tcBorders>
              <w:top w:val="single" w:sz="4" w:space="0" w:color="auto"/>
              <w:left w:val="single" w:sz="4" w:space="0" w:color="auto"/>
              <w:bottom w:val="single" w:sz="4" w:space="0" w:color="auto"/>
              <w:right w:val="single" w:sz="4" w:space="0" w:color="auto"/>
            </w:tcBorders>
          </w:tcPr>
          <w:p w14:paraId="5E477DB1" w14:textId="77777777" w:rsidR="00E57DAA" w:rsidRDefault="00AC4185">
            <w:pPr>
              <w:autoSpaceDE w:val="0"/>
              <w:autoSpaceDN w:val="0"/>
              <w:adjustRightInd w:val="0"/>
              <w:jc w:val="right"/>
              <w:rPr>
                <w:szCs w:val="21"/>
              </w:rPr>
            </w:pPr>
            <w:r>
              <w:t>39,512.12</w:t>
            </w:r>
          </w:p>
        </w:tc>
      </w:tr>
      <w:tr w:rsidR="00E57DAA" w14:paraId="1C424CE5" w14:textId="77777777">
        <w:tc>
          <w:tcPr>
            <w:tcW w:w="677" w:type="pct"/>
            <w:tcBorders>
              <w:top w:val="single" w:sz="4" w:space="0" w:color="auto"/>
              <w:left w:val="single" w:sz="4" w:space="0" w:color="auto"/>
              <w:bottom w:val="single" w:sz="4" w:space="0" w:color="auto"/>
              <w:right w:val="single" w:sz="4" w:space="0" w:color="auto"/>
            </w:tcBorders>
            <w:vAlign w:val="center"/>
          </w:tcPr>
          <w:p w14:paraId="652EEC0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421AFDE" w14:textId="77777777" w:rsidR="00E57DAA" w:rsidRDefault="00AC4185">
            <w:pPr>
              <w:autoSpaceDE w:val="0"/>
              <w:autoSpaceDN w:val="0"/>
              <w:adjustRightInd w:val="0"/>
              <w:rPr>
                <w:szCs w:val="21"/>
              </w:rPr>
            </w:pPr>
            <w:r>
              <w:t>晋城山水水泥有限公司</w:t>
            </w:r>
          </w:p>
        </w:tc>
        <w:tc>
          <w:tcPr>
            <w:tcW w:w="633" w:type="pct"/>
            <w:tcBorders>
              <w:top w:val="single" w:sz="4" w:space="0" w:color="auto"/>
              <w:left w:val="single" w:sz="4" w:space="0" w:color="auto"/>
              <w:bottom w:val="single" w:sz="4" w:space="0" w:color="auto"/>
              <w:right w:val="single" w:sz="4" w:space="0" w:color="auto"/>
            </w:tcBorders>
          </w:tcPr>
          <w:p w14:paraId="2B64C3FF" w14:textId="77777777" w:rsidR="00E57DAA" w:rsidRDefault="00AC4185">
            <w:pPr>
              <w:autoSpaceDE w:val="0"/>
              <w:autoSpaceDN w:val="0"/>
              <w:adjustRightInd w:val="0"/>
              <w:jc w:val="right"/>
              <w:rPr>
                <w:szCs w:val="21"/>
              </w:rPr>
            </w:pPr>
            <w:r>
              <w:t>4,291,227.48</w:t>
            </w:r>
          </w:p>
        </w:tc>
        <w:tc>
          <w:tcPr>
            <w:tcW w:w="632" w:type="pct"/>
            <w:tcBorders>
              <w:top w:val="single" w:sz="4" w:space="0" w:color="auto"/>
              <w:left w:val="single" w:sz="4" w:space="0" w:color="auto"/>
              <w:bottom w:val="single" w:sz="4" w:space="0" w:color="auto"/>
              <w:right w:val="single" w:sz="4" w:space="0" w:color="auto"/>
            </w:tcBorders>
          </w:tcPr>
          <w:p w14:paraId="53BFDA23" w14:textId="77777777" w:rsidR="00E57DAA" w:rsidRDefault="00AC4185">
            <w:pPr>
              <w:autoSpaceDE w:val="0"/>
              <w:autoSpaceDN w:val="0"/>
              <w:adjustRightInd w:val="0"/>
              <w:jc w:val="right"/>
              <w:rPr>
                <w:szCs w:val="21"/>
              </w:rPr>
            </w:pPr>
            <w:r>
              <w:t>59,875.91</w:t>
            </w:r>
          </w:p>
        </w:tc>
        <w:tc>
          <w:tcPr>
            <w:tcW w:w="703" w:type="pct"/>
            <w:tcBorders>
              <w:top w:val="single" w:sz="4" w:space="0" w:color="auto"/>
              <w:left w:val="single" w:sz="4" w:space="0" w:color="auto"/>
              <w:bottom w:val="single" w:sz="4" w:space="0" w:color="auto"/>
              <w:right w:val="single" w:sz="4" w:space="0" w:color="auto"/>
            </w:tcBorders>
          </w:tcPr>
          <w:p w14:paraId="02205C04" w14:textId="77777777" w:rsidR="00E57DAA" w:rsidRDefault="00AC4185">
            <w:pPr>
              <w:autoSpaceDE w:val="0"/>
              <w:autoSpaceDN w:val="0"/>
              <w:adjustRightInd w:val="0"/>
              <w:jc w:val="right"/>
              <w:rPr>
                <w:szCs w:val="21"/>
              </w:rPr>
            </w:pPr>
            <w:r>
              <w:t>7,750,527.56</w:t>
            </w:r>
          </w:p>
        </w:tc>
        <w:tc>
          <w:tcPr>
            <w:tcW w:w="914" w:type="pct"/>
            <w:tcBorders>
              <w:top w:val="single" w:sz="4" w:space="0" w:color="auto"/>
              <w:left w:val="single" w:sz="4" w:space="0" w:color="auto"/>
              <w:bottom w:val="single" w:sz="4" w:space="0" w:color="auto"/>
              <w:right w:val="single" w:sz="4" w:space="0" w:color="auto"/>
            </w:tcBorders>
          </w:tcPr>
          <w:p w14:paraId="2E76BD20" w14:textId="77777777" w:rsidR="00E57DAA" w:rsidRDefault="00AC4185">
            <w:pPr>
              <w:autoSpaceDE w:val="0"/>
              <w:autoSpaceDN w:val="0"/>
              <w:adjustRightInd w:val="0"/>
              <w:jc w:val="right"/>
              <w:rPr>
                <w:szCs w:val="21"/>
              </w:rPr>
            </w:pPr>
            <w:r>
              <w:t>72,929.62</w:t>
            </w:r>
          </w:p>
        </w:tc>
      </w:tr>
      <w:tr w:rsidR="00E57DAA" w14:paraId="5DB09633" w14:textId="77777777">
        <w:tc>
          <w:tcPr>
            <w:tcW w:w="677" w:type="pct"/>
            <w:tcBorders>
              <w:top w:val="single" w:sz="4" w:space="0" w:color="auto"/>
              <w:left w:val="single" w:sz="4" w:space="0" w:color="auto"/>
              <w:bottom w:val="single" w:sz="4" w:space="0" w:color="auto"/>
              <w:right w:val="single" w:sz="4" w:space="0" w:color="auto"/>
            </w:tcBorders>
            <w:vAlign w:val="center"/>
          </w:tcPr>
          <w:p w14:paraId="368CB69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F46CBE6" w14:textId="77777777" w:rsidR="00E57DAA" w:rsidRDefault="00AC4185">
            <w:pPr>
              <w:autoSpaceDE w:val="0"/>
              <w:autoSpaceDN w:val="0"/>
              <w:adjustRightInd w:val="0"/>
              <w:rPr>
                <w:szCs w:val="21"/>
              </w:rPr>
            </w:pPr>
            <w:r>
              <w:t>朔州山水新时代水泥有限公司</w:t>
            </w:r>
          </w:p>
        </w:tc>
        <w:tc>
          <w:tcPr>
            <w:tcW w:w="633" w:type="pct"/>
            <w:tcBorders>
              <w:top w:val="single" w:sz="4" w:space="0" w:color="auto"/>
              <w:left w:val="single" w:sz="4" w:space="0" w:color="auto"/>
              <w:bottom w:val="single" w:sz="4" w:space="0" w:color="auto"/>
              <w:right w:val="single" w:sz="4" w:space="0" w:color="auto"/>
            </w:tcBorders>
          </w:tcPr>
          <w:p w14:paraId="6A092419" w14:textId="77777777" w:rsidR="00E57DAA" w:rsidRDefault="00AC4185">
            <w:pPr>
              <w:autoSpaceDE w:val="0"/>
              <w:autoSpaceDN w:val="0"/>
              <w:adjustRightInd w:val="0"/>
              <w:jc w:val="right"/>
              <w:rPr>
                <w:szCs w:val="21"/>
              </w:rPr>
            </w:pPr>
            <w:r>
              <w:t>4,267,885.95</w:t>
            </w:r>
          </w:p>
        </w:tc>
        <w:tc>
          <w:tcPr>
            <w:tcW w:w="632" w:type="pct"/>
            <w:tcBorders>
              <w:top w:val="single" w:sz="4" w:space="0" w:color="auto"/>
              <w:left w:val="single" w:sz="4" w:space="0" w:color="auto"/>
              <w:bottom w:val="single" w:sz="4" w:space="0" w:color="auto"/>
              <w:right w:val="single" w:sz="4" w:space="0" w:color="auto"/>
            </w:tcBorders>
          </w:tcPr>
          <w:p w14:paraId="7BBAC259" w14:textId="77777777" w:rsidR="00E57DAA" w:rsidRDefault="00AC4185">
            <w:pPr>
              <w:autoSpaceDE w:val="0"/>
              <w:autoSpaceDN w:val="0"/>
              <w:adjustRightInd w:val="0"/>
              <w:jc w:val="right"/>
              <w:rPr>
                <w:szCs w:val="21"/>
              </w:rPr>
            </w:pPr>
            <w:r>
              <w:t>64,765.49</w:t>
            </w:r>
          </w:p>
        </w:tc>
        <w:tc>
          <w:tcPr>
            <w:tcW w:w="703" w:type="pct"/>
            <w:tcBorders>
              <w:top w:val="single" w:sz="4" w:space="0" w:color="auto"/>
              <w:left w:val="single" w:sz="4" w:space="0" w:color="auto"/>
              <w:bottom w:val="single" w:sz="4" w:space="0" w:color="auto"/>
              <w:right w:val="single" w:sz="4" w:space="0" w:color="auto"/>
            </w:tcBorders>
          </w:tcPr>
          <w:p w14:paraId="46BEC66B" w14:textId="77777777" w:rsidR="00E57DAA" w:rsidRDefault="00AC4185">
            <w:pPr>
              <w:autoSpaceDE w:val="0"/>
              <w:autoSpaceDN w:val="0"/>
              <w:adjustRightInd w:val="0"/>
              <w:jc w:val="right"/>
              <w:rPr>
                <w:szCs w:val="21"/>
              </w:rPr>
            </w:pPr>
            <w:r>
              <w:t>10,136,171.26</w:t>
            </w:r>
          </w:p>
        </w:tc>
        <w:tc>
          <w:tcPr>
            <w:tcW w:w="914" w:type="pct"/>
            <w:tcBorders>
              <w:top w:val="single" w:sz="4" w:space="0" w:color="auto"/>
              <w:left w:val="single" w:sz="4" w:space="0" w:color="auto"/>
              <w:bottom w:val="single" w:sz="4" w:space="0" w:color="auto"/>
              <w:right w:val="single" w:sz="4" w:space="0" w:color="auto"/>
            </w:tcBorders>
          </w:tcPr>
          <w:p w14:paraId="1FCEDAE7" w14:textId="77777777" w:rsidR="00E57DAA" w:rsidRDefault="00AC4185">
            <w:pPr>
              <w:autoSpaceDE w:val="0"/>
              <w:autoSpaceDN w:val="0"/>
              <w:adjustRightInd w:val="0"/>
              <w:jc w:val="right"/>
              <w:rPr>
                <w:szCs w:val="21"/>
              </w:rPr>
            </w:pPr>
            <w:r>
              <w:t>55,723.54</w:t>
            </w:r>
          </w:p>
        </w:tc>
      </w:tr>
      <w:tr w:rsidR="00E57DAA" w14:paraId="79D5AB63" w14:textId="77777777">
        <w:tc>
          <w:tcPr>
            <w:tcW w:w="677" w:type="pct"/>
            <w:tcBorders>
              <w:top w:val="single" w:sz="4" w:space="0" w:color="auto"/>
              <w:left w:val="single" w:sz="4" w:space="0" w:color="auto"/>
              <w:bottom w:val="single" w:sz="4" w:space="0" w:color="auto"/>
              <w:right w:val="single" w:sz="4" w:space="0" w:color="auto"/>
            </w:tcBorders>
            <w:vAlign w:val="center"/>
          </w:tcPr>
          <w:p w14:paraId="5A7F0AE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6D21ABB" w14:textId="77777777" w:rsidR="00E57DAA" w:rsidRDefault="00AC4185">
            <w:pPr>
              <w:autoSpaceDE w:val="0"/>
              <w:autoSpaceDN w:val="0"/>
              <w:adjustRightInd w:val="0"/>
              <w:rPr>
                <w:szCs w:val="21"/>
              </w:rPr>
            </w:pPr>
            <w:r>
              <w:t>大冶尖峰水泥有限公司</w:t>
            </w:r>
          </w:p>
        </w:tc>
        <w:tc>
          <w:tcPr>
            <w:tcW w:w="633" w:type="pct"/>
            <w:tcBorders>
              <w:top w:val="single" w:sz="4" w:space="0" w:color="auto"/>
              <w:left w:val="single" w:sz="4" w:space="0" w:color="auto"/>
              <w:bottom w:val="single" w:sz="4" w:space="0" w:color="auto"/>
              <w:right w:val="single" w:sz="4" w:space="0" w:color="auto"/>
            </w:tcBorders>
          </w:tcPr>
          <w:p w14:paraId="55585777" w14:textId="77777777" w:rsidR="00E57DAA" w:rsidRDefault="00AC4185">
            <w:pPr>
              <w:autoSpaceDE w:val="0"/>
              <w:autoSpaceDN w:val="0"/>
              <w:adjustRightInd w:val="0"/>
              <w:jc w:val="right"/>
              <w:rPr>
                <w:szCs w:val="21"/>
              </w:rPr>
            </w:pPr>
            <w:r>
              <w:t>4,148,948.10</w:t>
            </w:r>
          </w:p>
        </w:tc>
        <w:tc>
          <w:tcPr>
            <w:tcW w:w="632" w:type="pct"/>
            <w:tcBorders>
              <w:top w:val="single" w:sz="4" w:space="0" w:color="auto"/>
              <w:left w:val="single" w:sz="4" w:space="0" w:color="auto"/>
              <w:bottom w:val="single" w:sz="4" w:space="0" w:color="auto"/>
              <w:right w:val="single" w:sz="4" w:space="0" w:color="auto"/>
            </w:tcBorders>
          </w:tcPr>
          <w:p w14:paraId="392060C6" w14:textId="77777777" w:rsidR="00E57DAA" w:rsidRDefault="00AC4185">
            <w:pPr>
              <w:autoSpaceDE w:val="0"/>
              <w:autoSpaceDN w:val="0"/>
              <w:adjustRightInd w:val="0"/>
              <w:jc w:val="right"/>
              <w:rPr>
                <w:szCs w:val="21"/>
              </w:rPr>
            </w:pPr>
            <w:r>
              <w:t>663,163.19</w:t>
            </w:r>
          </w:p>
        </w:tc>
        <w:tc>
          <w:tcPr>
            <w:tcW w:w="703" w:type="pct"/>
            <w:tcBorders>
              <w:top w:val="single" w:sz="4" w:space="0" w:color="auto"/>
              <w:left w:val="single" w:sz="4" w:space="0" w:color="auto"/>
              <w:bottom w:val="single" w:sz="4" w:space="0" w:color="auto"/>
              <w:right w:val="single" w:sz="4" w:space="0" w:color="auto"/>
            </w:tcBorders>
          </w:tcPr>
          <w:p w14:paraId="2A2D5F07" w14:textId="77777777" w:rsidR="00E57DAA" w:rsidRDefault="00AC4185">
            <w:pPr>
              <w:autoSpaceDE w:val="0"/>
              <w:autoSpaceDN w:val="0"/>
              <w:adjustRightInd w:val="0"/>
              <w:jc w:val="right"/>
              <w:rPr>
                <w:szCs w:val="21"/>
              </w:rPr>
            </w:pPr>
            <w:r>
              <w:t>4,995,139.80</w:t>
            </w:r>
          </w:p>
        </w:tc>
        <w:tc>
          <w:tcPr>
            <w:tcW w:w="914" w:type="pct"/>
            <w:tcBorders>
              <w:top w:val="single" w:sz="4" w:space="0" w:color="auto"/>
              <w:left w:val="single" w:sz="4" w:space="0" w:color="auto"/>
              <w:bottom w:val="single" w:sz="4" w:space="0" w:color="auto"/>
              <w:right w:val="single" w:sz="4" w:space="0" w:color="auto"/>
            </w:tcBorders>
          </w:tcPr>
          <w:p w14:paraId="29A353E1" w14:textId="77777777" w:rsidR="00E57DAA" w:rsidRDefault="00AC4185">
            <w:pPr>
              <w:autoSpaceDE w:val="0"/>
              <w:autoSpaceDN w:val="0"/>
              <w:adjustRightInd w:val="0"/>
              <w:jc w:val="right"/>
              <w:rPr>
                <w:szCs w:val="21"/>
              </w:rPr>
            </w:pPr>
            <w:r>
              <w:t>557,557.62</w:t>
            </w:r>
          </w:p>
        </w:tc>
      </w:tr>
      <w:tr w:rsidR="00E57DAA" w14:paraId="2EBA0AC9" w14:textId="77777777">
        <w:tc>
          <w:tcPr>
            <w:tcW w:w="677" w:type="pct"/>
            <w:tcBorders>
              <w:top w:val="single" w:sz="4" w:space="0" w:color="auto"/>
              <w:left w:val="single" w:sz="4" w:space="0" w:color="auto"/>
              <w:bottom w:val="single" w:sz="4" w:space="0" w:color="auto"/>
              <w:right w:val="single" w:sz="4" w:space="0" w:color="auto"/>
            </w:tcBorders>
            <w:vAlign w:val="center"/>
          </w:tcPr>
          <w:p w14:paraId="151CEE3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1EAF079" w14:textId="77777777" w:rsidR="00E57DAA" w:rsidRDefault="00AC4185">
            <w:pPr>
              <w:autoSpaceDE w:val="0"/>
              <w:autoSpaceDN w:val="0"/>
              <w:adjustRightInd w:val="0"/>
              <w:rPr>
                <w:szCs w:val="21"/>
              </w:rPr>
            </w:pPr>
            <w:r>
              <w:t>贵州黔桂金州建材有限公司</w:t>
            </w:r>
          </w:p>
        </w:tc>
        <w:tc>
          <w:tcPr>
            <w:tcW w:w="633" w:type="pct"/>
            <w:tcBorders>
              <w:top w:val="single" w:sz="4" w:space="0" w:color="auto"/>
              <w:left w:val="single" w:sz="4" w:space="0" w:color="auto"/>
              <w:bottom w:val="single" w:sz="4" w:space="0" w:color="auto"/>
              <w:right w:val="single" w:sz="4" w:space="0" w:color="auto"/>
            </w:tcBorders>
          </w:tcPr>
          <w:p w14:paraId="7D18128B" w14:textId="77777777" w:rsidR="00E57DAA" w:rsidRDefault="00AC4185">
            <w:pPr>
              <w:autoSpaceDE w:val="0"/>
              <w:autoSpaceDN w:val="0"/>
              <w:adjustRightInd w:val="0"/>
              <w:jc w:val="right"/>
              <w:rPr>
                <w:szCs w:val="21"/>
              </w:rPr>
            </w:pPr>
            <w:r>
              <w:t>3,970,974.61</w:t>
            </w:r>
          </w:p>
        </w:tc>
        <w:tc>
          <w:tcPr>
            <w:tcW w:w="632" w:type="pct"/>
            <w:tcBorders>
              <w:top w:val="single" w:sz="4" w:space="0" w:color="auto"/>
              <w:left w:val="single" w:sz="4" w:space="0" w:color="auto"/>
              <w:bottom w:val="single" w:sz="4" w:space="0" w:color="auto"/>
              <w:right w:val="single" w:sz="4" w:space="0" w:color="auto"/>
            </w:tcBorders>
          </w:tcPr>
          <w:p w14:paraId="1F8C4E5E" w14:textId="77777777" w:rsidR="00E57DAA" w:rsidRDefault="00AC4185">
            <w:pPr>
              <w:autoSpaceDE w:val="0"/>
              <w:autoSpaceDN w:val="0"/>
              <w:adjustRightInd w:val="0"/>
              <w:jc w:val="right"/>
              <w:rPr>
                <w:szCs w:val="21"/>
              </w:rPr>
            </w:pPr>
            <w:r>
              <w:t>15,883.90</w:t>
            </w:r>
          </w:p>
        </w:tc>
        <w:tc>
          <w:tcPr>
            <w:tcW w:w="703" w:type="pct"/>
            <w:tcBorders>
              <w:top w:val="single" w:sz="4" w:space="0" w:color="auto"/>
              <w:left w:val="single" w:sz="4" w:space="0" w:color="auto"/>
              <w:bottom w:val="single" w:sz="4" w:space="0" w:color="auto"/>
              <w:right w:val="single" w:sz="4" w:space="0" w:color="auto"/>
            </w:tcBorders>
          </w:tcPr>
          <w:p w14:paraId="64A726F7" w14:textId="77777777" w:rsidR="00E57DAA" w:rsidRDefault="00AC4185">
            <w:pPr>
              <w:autoSpaceDE w:val="0"/>
              <w:autoSpaceDN w:val="0"/>
              <w:adjustRightInd w:val="0"/>
              <w:jc w:val="right"/>
              <w:rPr>
                <w:szCs w:val="21"/>
              </w:rPr>
            </w:pPr>
            <w:r>
              <w:t>550,360.06</w:t>
            </w:r>
          </w:p>
        </w:tc>
        <w:tc>
          <w:tcPr>
            <w:tcW w:w="914" w:type="pct"/>
            <w:tcBorders>
              <w:top w:val="single" w:sz="4" w:space="0" w:color="auto"/>
              <w:left w:val="single" w:sz="4" w:space="0" w:color="auto"/>
              <w:bottom w:val="single" w:sz="4" w:space="0" w:color="auto"/>
              <w:right w:val="single" w:sz="4" w:space="0" w:color="auto"/>
            </w:tcBorders>
          </w:tcPr>
          <w:p w14:paraId="7B8EC21F" w14:textId="77777777" w:rsidR="00E57DAA" w:rsidRDefault="00AC4185">
            <w:pPr>
              <w:autoSpaceDE w:val="0"/>
              <w:autoSpaceDN w:val="0"/>
              <w:adjustRightInd w:val="0"/>
              <w:jc w:val="right"/>
              <w:rPr>
                <w:szCs w:val="21"/>
              </w:rPr>
            </w:pPr>
            <w:r>
              <w:t>110.07</w:t>
            </w:r>
          </w:p>
        </w:tc>
      </w:tr>
      <w:tr w:rsidR="00E57DAA" w14:paraId="7798CC8B" w14:textId="77777777">
        <w:tc>
          <w:tcPr>
            <w:tcW w:w="677" w:type="pct"/>
            <w:tcBorders>
              <w:top w:val="single" w:sz="4" w:space="0" w:color="auto"/>
              <w:left w:val="single" w:sz="4" w:space="0" w:color="auto"/>
              <w:bottom w:val="single" w:sz="4" w:space="0" w:color="auto"/>
              <w:right w:val="single" w:sz="4" w:space="0" w:color="auto"/>
            </w:tcBorders>
            <w:vAlign w:val="center"/>
          </w:tcPr>
          <w:p w14:paraId="323C8DA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813D25B" w14:textId="77777777" w:rsidR="00E57DAA" w:rsidRDefault="00AC4185">
            <w:pPr>
              <w:autoSpaceDE w:val="0"/>
              <w:autoSpaceDN w:val="0"/>
              <w:adjustRightInd w:val="0"/>
              <w:rPr>
                <w:szCs w:val="21"/>
              </w:rPr>
            </w:pPr>
            <w:r>
              <w:t>鹤壁恒源合力实业有限公司</w:t>
            </w:r>
          </w:p>
        </w:tc>
        <w:tc>
          <w:tcPr>
            <w:tcW w:w="633" w:type="pct"/>
            <w:tcBorders>
              <w:top w:val="single" w:sz="4" w:space="0" w:color="auto"/>
              <w:left w:val="single" w:sz="4" w:space="0" w:color="auto"/>
              <w:bottom w:val="single" w:sz="4" w:space="0" w:color="auto"/>
              <w:right w:val="single" w:sz="4" w:space="0" w:color="auto"/>
            </w:tcBorders>
          </w:tcPr>
          <w:p w14:paraId="0B79C2DB" w14:textId="77777777" w:rsidR="00E57DAA" w:rsidRDefault="00AC4185">
            <w:pPr>
              <w:autoSpaceDE w:val="0"/>
              <w:autoSpaceDN w:val="0"/>
              <w:adjustRightInd w:val="0"/>
              <w:jc w:val="right"/>
              <w:rPr>
                <w:szCs w:val="21"/>
              </w:rPr>
            </w:pPr>
            <w:r>
              <w:t>3,027,577.23</w:t>
            </w:r>
          </w:p>
        </w:tc>
        <w:tc>
          <w:tcPr>
            <w:tcW w:w="632" w:type="pct"/>
            <w:tcBorders>
              <w:top w:val="single" w:sz="4" w:space="0" w:color="auto"/>
              <w:left w:val="single" w:sz="4" w:space="0" w:color="auto"/>
              <w:bottom w:val="single" w:sz="4" w:space="0" w:color="auto"/>
              <w:right w:val="single" w:sz="4" w:space="0" w:color="auto"/>
            </w:tcBorders>
          </w:tcPr>
          <w:p w14:paraId="5934FE35" w14:textId="77777777" w:rsidR="00E57DAA" w:rsidRDefault="00AC4185">
            <w:pPr>
              <w:autoSpaceDE w:val="0"/>
              <w:autoSpaceDN w:val="0"/>
              <w:adjustRightInd w:val="0"/>
              <w:jc w:val="right"/>
              <w:rPr>
                <w:szCs w:val="21"/>
              </w:rPr>
            </w:pPr>
            <w:r>
              <w:t>71,753.58</w:t>
            </w:r>
          </w:p>
        </w:tc>
        <w:tc>
          <w:tcPr>
            <w:tcW w:w="703" w:type="pct"/>
            <w:tcBorders>
              <w:top w:val="single" w:sz="4" w:space="0" w:color="auto"/>
              <w:left w:val="single" w:sz="4" w:space="0" w:color="auto"/>
              <w:bottom w:val="single" w:sz="4" w:space="0" w:color="auto"/>
              <w:right w:val="single" w:sz="4" w:space="0" w:color="auto"/>
            </w:tcBorders>
          </w:tcPr>
          <w:p w14:paraId="61092F5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86AE325" w14:textId="77777777" w:rsidR="00E57DAA" w:rsidRDefault="00AC4185">
            <w:pPr>
              <w:autoSpaceDE w:val="0"/>
              <w:autoSpaceDN w:val="0"/>
              <w:adjustRightInd w:val="0"/>
              <w:jc w:val="right"/>
              <w:rPr>
                <w:szCs w:val="21"/>
              </w:rPr>
            </w:pPr>
            <w:r>
              <w:t xml:space="preserve">　</w:t>
            </w:r>
          </w:p>
        </w:tc>
      </w:tr>
      <w:tr w:rsidR="00E57DAA" w14:paraId="6E989D88" w14:textId="77777777">
        <w:tc>
          <w:tcPr>
            <w:tcW w:w="677" w:type="pct"/>
            <w:tcBorders>
              <w:top w:val="single" w:sz="4" w:space="0" w:color="auto"/>
              <w:left w:val="single" w:sz="4" w:space="0" w:color="auto"/>
              <w:bottom w:val="single" w:sz="4" w:space="0" w:color="auto"/>
              <w:right w:val="single" w:sz="4" w:space="0" w:color="auto"/>
            </w:tcBorders>
            <w:vAlign w:val="center"/>
          </w:tcPr>
          <w:p w14:paraId="3BEBE2F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36FCC5D" w14:textId="77777777" w:rsidR="00E57DAA" w:rsidRDefault="00AC4185">
            <w:pPr>
              <w:autoSpaceDE w:val="0"/>
              <w:autoSpaceDN w:val="0"/>
              <w:adjustRightInd w:val="0"/>
              <w:rPr>
                <w:szCs w:val="21"/>
              </w:rPr>
            </w:pPr>
            <w:r>
              <w:t>枣庄山水水泥有限公司</w:t>
            </w:r>
          </w:p>
        </w:tc>
        <w:tc>
          <w:tcPr>
            <w:tcW w:w="633" w:type="pct"/>
            <w:tcBorders>
              <w:top w:val="single" w:sz="4" w:space="0" w:color="auto"/>
              <w:left w:val="single" w:sz="4" w:space="0" w:color="auto"/>
              <w:bottom w:val="single" w:sz="4" w:space="0" w:color="auto"/>
              <w:right w:val="single" w:sz="4" w:space="0" w:color="auto"/>
            </w:tcBorders>
          </w:tcPr>
          <w:p w14:paraId="52FFFE6D" w14:textId="77777777" w:rsidR="00E57DAA" w:rsidRDefault="00AC4185">
            <w:pPr>
              <w:autoSpaceDE w:val="0"/>
              <w:autoSpaceDN w:val="0"/>
              <w:adjustRightInd w:val="0"/>
              <w:jc w:val="right"/>
              <w:rPr>
                <w:szCs w:val="21"/>
              </w:rPr>
            </w:pPr>
            <w:r>
              <w:t>2,638,977.17</w:t>
            </w:r>
          </w:p>
        </w:tc>
        <w:tc>
          <w:tcPr>
            <w:tcW w:w="632" w:type="pct"/>
            <w:tcBorders>
              <w:top w:val="single" w:sz="4" w:space="0" w:color="auto"/>
              <w:left w:val="single" w:sz="4" w:space="0" w:color="auto"/>
              <w:bottom w:val="single" w:sz="4" w:space="0" w:color="auto"/>
              <w:right w:val="single" w:sz="4" w:space="0" w:color="auto"/>
            </w:tcBorders>
          </w:tcPr>
          <w:p w14:paraId="41D071FD" w14:textId="77777777" w:rsidR="00E57DAA" w:rsidRDefault="00AC4185">
            <w:pPr>
              <w:autoSpaceDE w:val="0"/>
              <w:autoSpaceDN w:val="0"/>
              <w:adjustRightInd w:val="0"/>
              <w:jc w:val="right"/>
              <w:rPr>
                <w:szCs w:val="21"/>
              </w:rPr>
            </w:pPr>
            <w:r>
              <w:t>10,555.91</w:t>
            </w:r>
          </w:p>
        </w:tc>
        <w:tc>
          <w:tcPr>
            <w:tcW w:w="703" w:type="pct"/>
            <w:tcBorders>
              <w:top w:val="single" w:sz="4" w:space="0" w:color="auto"/>
              <w:left w:val="single" w:sz="4" w:space="0" w:color="auto"/>
              <w:bottom w:val="single" w:sz="4" w:space="0" w:color="auto"/>
              <w:right w:val="single" w:sz="4" w:space="0" w:color="auto"/>
            </w:tcBorders>
          </w:tcPr>
          <w:p w14:paraId="74B1E14E" w14:textId="77777777" w:rsidR="00E57DAA" w:rsidRDefault="00AC4185">
            <w:pPr>
              <w:autoSpaceDE w:val="0"/>
              <w:autoSpaceDN w:val="0"/>
              <w:adjustRightInd w:val="0"/>
              <w:jc w:val="right"/>
              <w:rPr>
                <w:szCs w:val="21"/>
              </w:rPr>
            </w:pPr>
            <w:r>
              <w:t>893,597.26</w:t>
            </w:r>
          </w:p>
        </w:tc>
        <w:tc>
          <w:tcPr>
            <w:tcW w:w="914" w:type="pct"/>
            <w:tcBorders>
              <w:top w:val="single" w:sz="4" w:space="0" w:color="auto"/>
              <w:left w:val="single" w:sz="4" w:space="0" w:color="auto"/>
              <w:bottom w:val="single" w:sz="4" w:space="0" w:color="auto"/>
              <w:right w:val="single" w:sz="4" w:space="0" w:color="auto"/>
            </w:tcBorders>
          </w:tcPr>
          <w:p w14:paraId="671D6AD7" w14:textId="77777777" w:rsidR="00E57DAA" w:rsidRDefault="00AC4185">
            <w:pPr>
              <w:autoSpaceDE w:val="0"/>
              <w:autoSpaceDN w:val="0"/>
              <w:adjustRightInd w:val="0"/>
              <w:jc w:val="right"/>
              <w:rPr>
                <w:szCs w:val="21"/>
              </w:rPr>
            </w:pPr>
            <w:r>
              <w:t>178.72</w:t>
            </w:r>
          </w:p>
        </w:tc>
      </w:tr>
      <w:tr w:rsidR="00E57DAA" w14:paraId="5C5FD198" w14:textId="77777777">
        <w:tc>
          <w:tcPr>
            <w:tcW w:w="677" w:type="pct"/>
            <w:tcBorders>
              <w:top w:val="single" w:sz="4" w:space="0" w:color="auto"/>
              <w:left w:val="single" w:sz="4" w:space="0" w:color="auto"/>
              <w:bottom w:val="single" w:sz="4" w:space="0" w:color="auto"/>
              <w:right w:val="single" w:sz="4" w:space="0" w:color="auto"/>
            </w:tcBorders>
            <w:vAlign w:val="center"/>
          </w:tcPr>
          <w:p w14:paraId="6FE06C0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F9D520A" w14:textId="77777777" w:rsidR="00E57DAA" w:rsidRDefault="00AC4185">
            <w:pPr>
              <w:autoSpaceDE w:val="0"/>
              <w:autoSpaceDN w:val="0"/>
              <w:adjustRightInd w:val="0"/>
              <w:rPr>
                <w:szCs w:val="21"/>
              </w:rPr>
            </w:pPr>
            <w:r>
              <w:t>江西玉山万年青水泥有限公司</w:t>
            </w:r>
          </w:p>
        </w:tc>
        <w:tc>
          <w:tcPr>
            <w:tcW w:w="633" w:type="pct"/>
            <w:tcBorders>
              <w:top w:val="single" w:sz="4" w:space="0" w:color="auto"/>
              <w:left w:val="single" w:sz="4" w:space="0" w:color="auto"/>
              <w:bottom w:val="single" w:sz="4" w:space="0" w:color="auto"/>
              <w:right w:val="single" w:sz="4" w:space="0" w:color="auto"/>
            </w:tcBorders>
          </w:tcPr>
          <w:p w14:paraId="21610919" w14:textId="77777777" w:rsidR="00E57DAA" w:rsidRDefault="00AC4185">
            <w:pPr>
              <w:autoSpaceDE w:val="0"/>
              <w:autoSpaceDN w:val="0"/>
              <w:adjustRightInd w:val="0"/>
              <w:jc w:val="right"/>
              <w:rPr>
                <w:szCs w:val="21"/>
              </w:rPr>
            </w:pPr>
            <w:r>
              <w:t>2,529,321.00</w:t>
            </w:r>
          </w:p>
        </w:tc>
        <w:tc>
          <w:tcPr>
            <w:tcW w:w="632" w:type="pct"/>
            <w:tcBorders>
              <w:top w:val="single" w:sz="4" w:space="0" w:color="auto"/>
              <w:left w:val="single" w:sz="4" w:space="0" w:color="auto"/>
              <w:bottom w:val="single" w:sz="4" w:space="0" w:color="auto"/>
              <w:right w:val="single" w:sz="4" w:space="0" w:color="auto"/>
            </w:tcBorders>
          </w:tcPr>
          <w:p w14:paraId="22A6D827" w14:textId="77777777" w:rsidR="00E57DAA" w:rsidRDefault="00AC4185">
            <w:pPr>
              <w:autoSpaceDE w:val="0"/>
              <w:autoSpaceDN w:val="0"/>
              <w:adjustRightInd w:val="0"/>
              <w:jc w:val="right"/>
              <w:rPr>
                <w:szCs w:val="21"/>
              </w:rPr>
            </w:pPr>
            <w:r>
              <w:t>214,464.87</w:t>
            </w:r>
          </w:p>
        </w:tc>
        <w:tc>
          <w:tcPr>
            <w:tcW w:w="703" w:type="pct"/>
            <w:tcBorders>
              <w:top w:val="single" w:sz="4" w:space="0" w:color="auto"/>
              <w:left w:val="single" w:sz="4" w:space="0" w:color="auto"/>
              <w:bottom w:val="single" w:sz="4" w:space="0" w:color="auto"/>
              <w:right w:val="single" w:sz="4" w:space="0" w:color="auto"/>
            </w:tcBorders>
          </w:tcPr>
          <w:p w14:paraId="75BF225D" w14:textId="77777777" w:rsidR="00E57DAA" w:rsidRDefault="00AC4185">
            <w:pPr>
              <w:autoSpaceDE w:val="0"/>
              <w:autoSpaceDN w:val="0"/>
              <w:adjustRightInd w:val="0"/>
              <w:jc w:val="right"/>
              <w:rPr>
                <w:szCs w:val="21"/>
              </w:rPr>
            </w:pPr>
            <w:r>
              <w:t>3,765,699.88</w:t>
            </w:r>
          </w:p>
        </w:tc>
        <w:tc>
          <w:tcPr>
            <w:tcW w:w="914" w:type="pct"/>
            <w:tcBorders>
              <w:top w:val="single" w:sz="4" w:space="0" w:color="auto"/>
              <w:left w:val="single" w:sz="4" w:space="0" w:color="auto"/>
              <w:bottom w:val="single" w:sz="4" w:space="0" w:color="auto"/>
              <w:right w:val="single" w:sz="4" w:space="0" w:color="auto"/>
            </w:tcBorders>
          </w:tcPr>
          <w:p w14:paraId="40962D97" w14:textId="77777777" w:rsidR="00E57DAA" w:rsidRDefault="00AC4185">
            <w:pPr>
              <w:autoSpaceDE w:val="0"/>
              <w:autoSpaceDN w:val="0"/>
              <w:adjustRightInd w:val="0"/>
              <w:jc w:val="right"/>
              <w:rPr>
                <w:szCs w:val="21"/>
              </w:rPr>
            </w:pPr>
            <w:r>
              <w:t>159,768.56</w:t>
            </w:r>
          </w:p>
        </w:tc>
      </w:tr>
      <w:tr w:rsidR="00E57DAA" w14:paraId="13AFF934" w14:textId="77777777">
        <w:tc>
          <w:tcPr>
            <w:tcW w:w="677" w:type="pct"/>
            <w:tcBorders>
              <w:top w:val="single" w:sz="4" w:space="0" w:color="auto"/>
              <w:left w:val="single" w:sz="4" w:space="0" w:color="auto"/>
              <w:bottom w:val="single" w:sz="4" w:space="0" w:color="auto"/>
              <w:right w:val="single" w:sz="4" w:space="0" w:color="auto"/>
            </w:tcBorders>
            <w:vAlign w:val="center"/>
          </w:tcPr>
          <w:p w14:paraId="62F8A8F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87698B1" w14:textId="77777777" w:rsidR="00E57DAA" w:rsidRDefault="00AC4185">
            <w:pPr>
              <w:autoSpaceDE w:val="0"/>
              <w:autoSpaceDN w:val="0"/>
              <w:adjustRightInd w:val="0"/>
              <w:rPr>
                <w:szCs w:val="21"/>
              </w:rPr>
            </w:pPr>
            <w:r>
              <w:t>山东国材工程有限公司</w:t>
            </w:r>
          </w:p>
        </w:tc>
        <w:tc>
          <w:tcPr>
            <w:tcW w:w="633" w:type="pct"/>
            <w:tcBorders>
              <w:top w:val="single" w:sz="4" w:space="0" w:color="auto"/>
              <w:left w:val="single" w:sz="4" w:space="0" w:color="auto"/>
              <w:bottom w:val="single" w:sz="4" w:space="0" w:color="auto"/>
              <w:right w:val="single" w:sz="4" w:space="0" w:color="auto"/>
            </w:tcBorders>
          </w:tcPr>
          <w:p w14:paraId="78CCA865" w14:textId="77777777" w:rsidR="00E57DAA" w:rsidRDefault="00AC4185">
            <w:pPr>
              <w:autoSpaceDE w:val="0"/>
              <w:autoSpaceDN w:val="0"/>
              <w:adjustRightInd w:val="0"/>
              <w:jc w:val="right"/>
              <w:rPr>
                <w:szCs w:val="21"/>
              </w:rPr>
            </w:pPr>
            <w:r>
              <w:t>2,394,000.00</w:t>
            </w:r>
          </w:p>
        </w:tc>
        <w:tc>
          <w:tcPr>
            <w:tcW w:w="632" w:type="pct"/>
            <w:tcBorders>
              <w:top w:val="single" w:sz="4" w:space="0" w:color="auto"/>
              <w:left w:val="single" w:sz="4" w:space="0" w:color="auto"/>
              <w:bottom w:val="single" w:sz="4" w:space="0" w:color="auto"/>
              <w:right w:val="single" w:sz="4" w:space="0" w:color="auto"/>
            </w:tcBorders>
          </w:tcPr>
          <w:p w14:paraId="5E6532AF" w14:textId="77777777" w:rsidR="00E57DAA" w:rsidRDefault="00AC4185">
            <w:pPr>
              <w:autoSpaceDE w:val="0"/>
              <w:autoSpaceDN w:val="0"/>
              <w:adjustRightInd w:val="0"/>
              <w:jc w:val="right"/>
              <w:rPr>
                <w:szCs w:val="21"/>
              </w:rPr>
            </w:pPr>
            <w:r>
              <w:t>345,214.80</w:t>
            </w:r>
          </w:p>
        </w:tc>
        <w:tc>
          <w:tcPr>
            <w:tcW w:w="703" w:type="pct"/>
            <w:tcBorders>
              <w:top w:val="single" w:sz="4" w:space="0" w:color="auto"/>
              <w:left w:val="single" w:sz="4" w:space="0" w:color="auto"/>
              <w:bottom w:val="single" w:sz="4" w:space="0" w:color="auto"/>
              <w:right w:val="single" w:sz="4" w:space="0" w:color="auto"/>
            </w:tcBorders>
          </w:tcPr>
          <w:p w14:paraId="6B56577C" w14:textId="77777777" w:rsidR="00E57DAA" w:rsidRDefault="00AC4185">
            <w:pPr>
              <w:autoSpaceDE w:val="0"/>
              <w:autoSpaceDN w:val="0"/>
              <w:adjustRightInd w:val="0"/>
              <w:jc w:val="right"/>
              <w:rPr>
                <w:szCs w:val="21"/>
              </w:rPr>
            </w:pPr>
            <w:r>
              <w:t>2,464,000.00</w:t>
            </w:r>
          </w:p>
        </w:tc>
        <w:tc>
          <w:tcPr>
            <w:tcW w:w="914" w:type="pct"/>
            <w:tcBorders>
              <w:top w:val="single" w:sz="4" w:space="0" w:color="auto"/>
              <w:left w:val="single" w:sz="4" w:space="0" w:color="auto"/>
              <w:bottom w:val="single" w:sz="4" w:space="0" w:color="auto"/>
              <w:right w:val="single" w:sz="4" w:space="0" w:color="auto"/>
            </w:tcBorders>
          </w:tcPr>
          <w:p w14:paraId="6A67302C" w14:textId="77777777" w:rsidR="00E57DAA" w:rsidRDefault="00AC4185">
            <w:pPr>
              <w:autoSpaceDE w:val="0"/>
              <w:autoSpaceDN w:val="0"/>
              <w:adjustRightInd w:val="0"/>
              <w:jc w:val="right"/>
              <w:rPr>
                <w:szCs w:val="21"/>
              </w:rPr>
            </w:pPr>
            <w:r>
              <w:t>177,654.40</w:t>
            </w:r>
          </w:p>
        </w:tc>
      </w:tr>
      <w:tr w:rsidR="00E57DAA" w14:paraId="6DAE5076" w14:textId="77777777">
        <w:tc>
          <w:tcPr>
            <w:tcW w:w="677" w:type="pct"/>
            <w:tcBorders>
              <w:top w:val="single" w:sz="4" w:space="0" w:color="auto"/>
              <w:left w:val="single" w:sz="4" w:space="0" w:color="auto"/>
              <w:bottom w:val="single" w:sz="4" w:space="0" w:color="auto"/>
              <w:right w:val="single" w:sz="4" w:space="0" w:color="auto"/>
            </w:tcBorders>
            <w:vAlign w:val="center"/>
          </w:tcPr>
          <w:p w14:paraId="60F804F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E3B06E" w14:textId="77777777" w:rsidR="00E57DAA" w:rsidRDefault="00AC4185">
            <w:pPr>
              <w:autoSpaceDE w:val="0"/>
              <w:autoSpaceDN w:val="0"/>
              <w:adjustRightInd w:val="0"/>
              <w:rPr>
                <w:szCs w:val="21"/>
              </w:rPr>
            </w:pPr>
            <w:r>
              <w:t>济宁山水水泥有限公司</w:t>
            </w:r>
          </w:p>
        </w:tc>
        <w:tc>
          <w:tcPr>
            <w:tcW w:w="633" w:type="pct"/>
            <w:tcBorders>
              <w:top w:val="single" w:sz="4" w:space="0" w:color="auto"/>
              <w:left w:val="single" w:sz="4" w:space="0" w:color="auto"/>
              <w:bottom w:val="single" w:sz="4" w:space="0" w:color="auto"/>
              <w:right w:val="single" w:sz="4" w:space="0" w:color="auto"/>
            </w:tcBorders>
          </w:tcPr>
          <w:p w14:paraId="2AF43BFC" w14:textId="77777777" w:rsidR="00E57DAA" w:rsidRDefault="00AC4185">
            <w:pPr>
              <w:autoSpaceDE w:val="0"/>
              <w:autoSpaceDN w:val="0"/>
              <w:adjustRightInd w:val="0"/>
              <w:jc w:val="right"/>
              <w:rPr>
                <w:szCs w:val="21"/>
              </w:rPr>
            </w:pPr>
            <w:r>
              <w:t>2,371,924.68</w:t>
            </w:r>
          </w:p>
        </w:tc>
        <w:tc>
          <w:tcPr>
            <w:tcW w:w="632" w:type="pct"/>
            <w:tcBorders>
              <w:top w:val="single" w:sz="4" w:space="0" w:color="auto"/>
              <w:left w:val="single" w:sz="4" w:space="0" w:color="auto"/>
              <w:bottom w:val="single" w:sz="4" w:space="0" w:color="auto"/>
              <w:right w:val="single" w:sz="4" w:space="0" w:color="auto"/>
            </w:tcBorders>
          </w:tcPr>
          <w:p w14:paraId="76AE0C15" w14:textId="77777777" w:rsidR="00E57DAA" w:rsidRDefault="00AC4185">
            <w:pPr>
              <w:autoSpaceDE w:val="0"/>
              <w:autoSpaceDN w:val="0"/>
              <w:adjustRightInd w:val="0"/>
              <w:jc w:val="right"/>
              <w:rPr>
                <w:szCs w:val="21"/>
              </w:rPr>
            </w:pPr>
            <w:r>
              <w:t>9,487.70</w:t>
            </w:r>
          </w:p>
        </w:tc>
        <w:tc>
          <w:tcPr>
            <w:tcW w:w="703" w:type="pct"/>
            <w:tcBorders>
              <w:top w:val="single" w:sz="4" w:space="0" w:color="auto"/>
              <w:left w:val="single" w:sz="4" w:space="0" w:color="auto"/>
              <w:bottom w:val="single" w:sz="4" w:space="0" w:color="auto"/>
              <w:right w:val="single" w:sz="4" w:space="0" w:color="auto"/>
            </w:tcBorders>
          </w:tcPr>
          <w:p w14:paraId="0E128428" w14:textId="77777777" w:rsidR="00E57DAA" w:rsidRDefault="00AC4185">
            <w:pPr>
              <w:autoSpaceDE w:val="0"/>
              <w:autoSpaceDN w:val="0"/>
              <w:adjustRightInd w:val="0"/>
              <w:jc w:val="right"/>
              <w:rPr>
                <w:szCs w:val="21"/>
              </w:rPr>
            </w:pPr>
            <w:r>
              <w:t>1,053,275.72</w:t>
            </w:r>
          </w:p>
        </w:tc>
        <w:tc>
          <w:tcPr>
            <w:tcW w:w="914" w:type="pct"/>
            <w:tcBorders>
              <w:top w:val="single" w:sz="4" w:space="0" w:color="auto"/>
              <w:left w:val="single" w:sz="4" w:space="0" w:color="auto"/>
              <w:bottom w:val="single" w:sz="4" w:space="0" w:color="auto"/>
              <w:right w:val="single" w:sz="4" w:space="0" w:color="auto"/>
            </w:tcBorders>
          </w:tcPr>
          <w:p w14:paraId="7764B630" w14:textId="77777777" w:rsidR="00E57DAA" w:rsidRDefault="00AC4185">
            <w:pPr>
              <w:autoSpaceDE w:val="0"/>
              <w:autoSpaceDN w:val="0"/>
              <w:adjustRightInd w:val="0"/>
              <w:jc w:val="right"/>
              <w:rPr>
                <w:szCs w:val="21"/>
              </w:rPr>
            </w:pPr>
            <w:r>
              <w:t>43,124.66</w:t>
            </w:r>
          </w:p>
        </w:tc>
      </w:tr>
      <w:tr w:rsidR="00E57DAA" w14:paraId="76AEA047" w14:textId="77777777">
        <w:tc>
          <w:tcPr>
            <w:tcW w:w="677" w:type="pct"/>
            <w:tcBorders>
              <w:top w:val="single" w:sz="4" w:space="0" w:color="auto"/>
              <w:left w:val="single" w:sz="4" w:space="0" w:color="auto"/>
              <w:bottom w:val="single" w:sz="4" w:space="0" w:color="auto"/>
              <w:right w:val="single" w:sz="4" w:space="0" w:color="auto"/>
            </w:tcBorders>
            <w:vAlign w:val="center"/>
          </w:tcPr>
          <w:p w14:paraId="5351B6F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0E57542" w14:textId="77777777" w:rsidR="00E57DAA" w:rsidRDefault="00AC4185">
            <w:pPr>
              <w:autoSpaceDE w:val="0"/>
              <w:autoSpaceDN w:val="0"/>
              <w:adjustRightInd w:val="0"/>
              <w:rPr>
                <w:szCs w:val="21"/>
              </w:rPr>
            </w:pPr>
            <w:r>
              <w:t>英吉沙山水水泥有限公司</w:t>
            </w:r>
          </w:p>
        </w:tc>
        <w:tc>
          <w:tcPr>
            <w:tcW w:w="633" w:type="pct"/>
            <w:tcBorders>
              <w:top w:val="single" w:sz="4" w:space="0" w:color="auto"/>
              <w:left w:val="single" w:sz="4" w:space="0" w:color="auto"/>
              <w:bottom w:val="single" w:sz="4" w:space="0" w:color="auto"/>
              <w:right w:val="single" w:sz="4" w:space="0" w:color="auto"/>
            </w:tcBorders>
          </w:tcPr>
          <w:p w14:paraId="7DD00FAF" w14:textId="77777777" w:rsidR="00E57DAA" w:rsidRDefault="00AC4185">
            <w:pPr>
              <w:autoSpaceDE w:val="0"/>
              <w:autoSpaceDN w:val="0"/>
              <w:adjustRightInd w:val="0"/>
              <w:jc w:val="right"/>
              <w:rPr>
                <w:szCs w:val="21"/>
              </w:rPr>
            </w:pPr>
            <w:r>
              <w:t>2,043,072.98</w:t>
            </w:r>
          </w:p>
        </w:tc>
        <w:tc>
          <w:tcPr>
            <w:tcW w:w="632" w:type="pct"/>
            <w:tcBorders>
              <w:top w:val="single" w:sz="4" w:space="0" w:color="auto"/>
              <w:left w:val="single" w:sz="4" w:space="0" w:color="auto"/>
              <w:bottom w:val="single" w:sz="4" w:space="0" w:color="auto"/>
              <w:right w:val="single" w:sz="4" w:space="0" w:color="auto"/>
            </w:tcBorders>
          </w:tcPr>
          <w:p w14:paraId="31F69AF2" w14:textId="77777777" w:rsidR="00E57DAA" w:rsidRDefault="00AC4185">
            <w:pPr>
              <w:autoSpaceDE w:val="0"/>
              <w:autoSpaceDN w:val="0"/>
              <w:adjustRightInd w:val="0"/>
              <w:jc w:val="right"/>
              <w:rPr>
                <w:szCs w:val="21"/>
              </w:rPr>
            </w:pPr>
            <w:r>
              <w:t>8,172.29</w:t>
            </w:r>
          </w:p>
        </w:tc>
        <w:tc>
          <w:tcPr>
            <w:tcW w:w="703" w:type="pct"/>
            <w:tcBorders>
              <w:top w:val="single" w:sz="4" w:space="0" w:color="auto"/>
              <w:left w:val="single" w:sz="4" w:space="0" w:color="auto"/>
              <w:bottom w:val="single" w:sz="4" w:space="0" w:color="auto"/>
              <w:right w:val="single" w:sz="4" w:space="0" w:color="auto"/>
            </w:tcBorders>
          </w:tcPr>
          <w:p w14:paraId="5CA30A5B" w14:textId="77777777" w:rsidR="00E57DAA" w:rsidRDefault="00AC4185">
            <w:pPr>
              <w:autoSpaceDE w:val="0"/>
              <w:autoSpaceDN w:val="0"/>
              <w:adjustRightInd w:val="0"/>
              <w:jc w:val="right"/>
              <w:rPr>
                <w:szCs w:val="21"/>
              </w:rPr>
            </w:pPr>
            <w:r>
              <w:t>2,586,837.67</w:t>
            </w:r>
          </w:p>
        </w:tc>
        <w:tc>
          <w:tcPr>
            <w:tcW w:w="914" w:type="pct"/>
            <w:tcBorders>
              <w:top w:val="single" w:sz="4" w:space="0" w:color="auto"/>
              <w:left w:val="single" w:sz="4" w:space="0" w:color="auto"/>
              <w:bottom w:val="single" w:sz="4" w:space="0" w:color="auto"/>
              <w:right w:val="single" w:sz="4" w:space="0" w:color="auto"/>
            </w:tcBorders>
          </w:tcPr>
          <w:p w14:paraId="75D13A18" w14:textId="77777777" w:rsidR="00E57DAA" w:rsidRDefault="00AC4185">
            <w:pPr>
              <w:autoSpaceDE w:val="0"/>
              <w:autoSpaceDN w:val="0"/>
              <w:adjustRightInd w:val="0"/>
              <w:jc w:val="right"/>
              <w:rPr>
                <w:szCs w:val="21"/>
              </w:rPr>
            </w:pPr>
            <w:r>
              <w:t>78,276.46</w:t>
            </w:r>
          </w:p>
        </w:tc>
      </w:tr>
      <w:tr w:rsidR="00E57DAA" w14:paraId="5FCC1ED2" w14:textId="77777777">
        <w:tc>
          <w:tcPr>
            <w:tcW w:w="677" w:type="pct"/>
            <w:tcBorders>
              <w:top w:val="single" w:sz="4" w:space="0" w:color="auto"/>
              <w:left w:val="single" w:sz="4" w:space="0" w:color="auto"/>
              <w:bottom w:val="single" w:sz="4" w:space="0" w:color="auto"/>
              <w:right w:val="single" w:sz="4" w:space="0" w:color="auto"/>
            </w:tcBorders>
            <w:vAlign w:val="center"/>
          </w:tcPr>
          <w:p w14:paraId="2447C3D9"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70311FA4" w14:textId="77777777" w:rsidR="00E57DAA" w:rsidRDefault="00AC4185">
            <w:pPr>
              <w:autoSpaceDE w:val="0"/>
              <w:autoSpaceDN w:val="0"/>
              <w:adjustRightInd w:val="0"/>
              <w:rPr>
                <w:szCs w:val="21"/>
              </w:rPr>
            </w:pPr>
            <w:r>
              <w:t>江西瑞金万年青水泥有限责任公司</w:t>
            </w:r>
          </w:p>
        </w:tc>
        <w:tc>
          <w:tcPr>
            <w:tcW w:w="633" w:type="pct"/>
            <w:tcBorders>
              <w:top w:val="single" w:sz="4" w:space="0" w:color="auto"/>
              <w:left w:val="single" w:sz="4" w:space="0" w:color="auto"/>
              <w:bottom w:val="single" w:sz="4" w:space="0" w:color="auto"/>
              <w:right w:val="single" w:sz="4" w:space="0" w:color="auto"/>
            </w:tcBorders>
          </w:tcPr>
          <w:p w14:paraId="2797BF2E" w14:textId="77777777" w:rsidR="00E57DAA" w:rsidRDefault="00AC4185">
            <w:pPr>
              <w:autoSpaceDE w:val="0"/>
              <w:autoSpaceDN w:val="0"/>
              <w:adjustRightInd w:val="0"/>
              <w:jc w:val="right"/>
              <w:rPr>
                <w:szCs w:val="21"/>
              </w:rPr>
            </w:pPr>
            <w:r>
              <w:t>1,966,168.99</w:t>
            </w:r>
          </w:p>
        </w:tc>
        <w:tc>
          <w:tcPr>
            <w:tcW w:w="632" w:type="pct"/>
            <w:tcBorders>
              <w:top w:val="single" w:sz="4" w:space="0" w:color="auto"/>
              <w:left w:val="single" w:sz="4" w:space="0" w:color="auto"/>
              <w:bottom w:val="single" w:sz="4" w:space="0" w:color="auto"/>
              <w:right w:val="single" w:sz="4" w:space="0" w:color="auto"/>
            </w:tcBorders>
          </w:tcPr>
          <w:p w14:paraId="038E1112" w14:textId="77777777" w:rsidR="00E57DAA" w:rsidRDefault="00AC4185">
            <w:pPr>
              <w:autoSpaceDE w:val="0"/>
              <w:autoSpaceDN w:val="0"/>
              <w:adjustRightInd w:val="0"/>
              <w:jc w:val="right"/>
              <w:rPr>
                <w:szCs w:val="21"/>
              </w:rPr>
            </w:pPr>
            <w:r>
              <w:t>46,595.84</w:t>
            </w:r>
          </w:p>
        </w:tc>
        <w:tc>
          <w:tcPr>
            <w:tcW w:w="703" w:type="pct"/>
            <w:tcBorders>
              <w:top w:val="single" w:sz="4" w:space="0" w:color="auto"/>
              <w:left w:val="single" w:sz="4" w:space="0" w:color="auto"/>
              <w:bottom w:val="single" w:sz="4" w:space="0" w:color="auto"/>
              <w:right w:val="single" w:sz="4" w:space="0" w:color="auto"/>
            </w:tcBorders>
          </w:tcPr>
          <w:p w14:paraId="7C318C58" w14:textId="77777777" w:rsidR="00E57DAA" w:rsidRDefault="00AC4185">
            <w:pPr>
              <w:autoSpaceDE w:val="0"/>
              <w:autoSpaceDN w:val="0"/>
              <w:adjustRightInd w:val="0"/>
              <w:jc w:val="right"/>
              <w:rPr>
                <w:szCs w:val="21"/>
              </w:rPr>
            </w:pPr>
            <w:r>
              <w:t>3,947,771.05</w:t>
            </w:r>
          </w:p>
        </w:tc>
        <w:tc>
          <w:tcPr>
            <w:tcW w:w="914" w:type="pct"/>
            <w:tcBorders>
              <w:top w:val="single" w:sz="4" w:space="0" w:color="auto"/>
              <w:left w:val="single" w:sz="4" w:space="0" w:color="auto"/>
              <w:bottom w:val="single" w:sz="4" w:space="0" w:color="auto"/>
              <w:right w:val="single" w:sz="4" w:space="0" w:color="auto"/>
            </w:tcBorders>
          </w:tcPr>
          <w:p w14:paraId="13E1FDA3" w14:textId="77777777" w:rsidR="00E57DAA" w:rsidRDefault="00AC4185">
            <w:pPr>
              <w:autoSpaceDE w:val="0"/>
              <w:autoSpaceDN w:val="0"/>
              <w:adjustRightInd w:val="0"/>
              <w:jc w:val="right"/>
              <w:rPr>
                <w:szCs w:val="21"/>
              </w:rPr>
            </w:pPr>
            <w:r>
              <w:t>51,835.17</w:t>
            </w:r>
          </w:p>
        </w:tc>
      </w:tr>
      <w:tr w:rsidR="00E57DAA" w14:paraId="0D6F143E" w14:textId="77777777">
        <w:tc>
          <w:tcPr>
            <w:tcW w:w="677" w:type="pct"/>
            <w:tcBorders>
              <w:top w:val="single" w:sz="4" w:space="0" w:color="auto"/>
              <w:left w:val="single" w:sz="4" w:space="0" w:color="auto"/>
              <w:bottom w:val="single" w:sz="4" w:space="0" w:color="auto"/>
              <w:right w:val="single" w:sz="4" w:space="0" w:color="auto"/>
            </w:tcBorders>
            <w:vAlign w:val="center"/>
          </w:tcPr>
          <w:p w14:paraId="34C7388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9CF7B03" w14:textId="77777777" w:rsidR="00E57DAA" w:rsidRDefault="00AC4185">
            <w:pPr>
              <w:autoSpaceDE w:val="0"/>
              <w:autoSpaceDN w:val="0"/>
              <w:adjustRightInd w:val="0"/>
              <w:rPr>
                <w:szCs w:val="21"/>
              </w:rPr>
            </w:pPr>
            <w:r>
              <w:t>辽宁山水工源水泥有限公司</w:t>
            </w:r>
          </w:p>
        </w:tc>
        <w:tc>
          <w:tcPr>
            <w:tcW w:w="633" w:type="pct"/>
            <w:tcBorders>
              <w:top w:val="single" w:sz="4" w:space="0" w:color="auto"/>
              <w:left w:val="single" w:sz="4" w:space="0" w:color="auto"/>
              <w:bottom w:val="single" w:sz="4" w:space="0" w:color="auto"/>
              <w:right w:val="single" w:sz="4" w:space="0" w:color="auto"/>
            </w:tcBorders>
          </w:tcPr>
          <w:p w14:paraId="07AF0D3E" w14:textId="77777777" w:rsidR="00E57DAA" w:rsidRDefault="00AC4185">
            <w:pPr>
              <w:autoSpaceDE w:val="0"/>
              <w:autoSpaceDN w:val="0"/>
              <w:adjustRightInd w:val="0"/>
              <w:jc w:val="right"/>
              <w:rPr>
                <w:szCs w:val="21"/>
              </w:rPr>
            </w:pPr>
            <w:r>
              <w:t>1,948,118.03</w:t>
            </w:r>
          </w:p>
        </w:tc>
        <w:tc>
          <w:tcPr>
            <w:tcW w:w="632" w:type="pct"/>
            <w:tcBorders>
              <w:top w:val="single" w:sz="4" w:space="0" w:color="auto"/>
              <w:left w:val="single" w:sz="4" w:space="0" w:color="auto"/>
              <w:bottom w:val="single" w:sz="4" w:space="0" w:color="auto"/>
              <w:right w:val="single" w:sz="4" w:space="0" w:color="auto"/>
            </w:tcBorders>
          </w:tcPr>
          <w:p w14:paraId="619BAD42" w14:textId="77777777" w:rsidR="00E57DAA" w:rsidRDefault="00AC4185">
            <w:pPr>
              <w:autoSpaceDE w:val="0"/>
              <w:autoSpaceDN w:val="0"/>
              <w:adjustRightInd w:val="0"/>
              <w:jc w:val="right"/>
              <w:rPr>
                <w:szCs w:val="21"/>
              </w:rPr>
            </w:pPr>
            <w:r>
              <w:t>264,130.95</w:t>
            </w:r>
          </w:p>
        </w:tc>
        <w:tc>
          <w:tcPr>
            <w:tcW w:w="703" w:type="pct"/>
            <w:tcBorders>
              <w:top w:val="single" w:sz="4" w:space="0" w:color="auto"/>
              <w:left w:val="single" w:sz="4" w:space="0" w:color="auto"/>
              <w:bottom w:val="single" w:sz="4" w:space="0" w:color="auto"/>
              <w:right w:val="single" w:sz="4" w:space="0" w:color="auto"/>
            </w:tcBorders>
          </w:tcPr>
          <w:p w14:paraId="2C529D7C" w14:textId="77777777" w:rsidR="00E57DAA" w:rsidRDefault="00AC4185">
            <w:pPr>
              <w:autoSpaceDE w:val="0"/>
              <w:autoSpaceDN w:val="0"/>
              <w:adjustRightInd w:val="0"/>
              <w:jc w:val="right"/>
              <w:rPr>
                <w:szCs w:val="21"/>
              </w:rPr>
            </w:pPr>
            <w:r>
              <w:t>1,348,518.03</w:t>
            </w:r>
          </w:p>
        </w:tc>
        <w:tc>
          <w:tcPr>
            <w:tcW w:w="914" w:type="pct"/>
            <w:tcBorders>
              <w:top w:val="single" w:sz="4" w:space="0" w:color="auto"/>
              <w:left w:val="single" w:sz="4" w:space="0" w:color="auto"/>
              <w:bottom w:val="single" w:sz="4" w:space="0" w:color="auto"/>
              <w:right w:val="single" w:sz="4" w:space="0" w:color="auto"/>
            </w:tcBorders>
          </w:tcPr>
          <w:p w14:paraId="78707616" w14:textId="77777777" w:rsidR="00E57DAA" w:rsidRDefault="00AC4185">
            <w:pPr>
              <w:autoSpaceDE w:val="0"/>
              <w:autoSpaceDN w:val="0"/>
              <w:adjustRightInd w:val="0"/>
              <w:jc w:val="right"/>
              <w:rPr>
                <w:szCs w:val="21"/>
              </w:rPr>
            </w:pPr>
            <w:r>
              <w:t>94,496.23</w:t>
            </w:r>
          </w:p>
        </w:tc>
      </w:tr>
      <w:tr w:rsidR="00E57DAA" w14:paraId="778E5615" w14:textId="77777777">
        <w:tc>
          <w:tcPr>
            <w:tcW w:w="677" w:type="pct"/>
            <w:tcBorders>
              <w:top w:val="single" w:sz="4" w:space="0" w:color="auto"/>
              <w:left w:val="single" w:sz="4" w:space="0" w:color="auto"/>
              <w:bottom w:val="single" w:sz="4" w:space="0" w:color="auto"/>
              <w:right w:val="single" w:sz="4" w:space="0" w:color="auto"/>
            </w:tcBorders>
            <w:vAlign w:val="center"/>
          </w:tcPr>
          <w:p w14:paraId="796857E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30025E9" w14:textId="77777777" w:rsidR="00E57DAA" w:rsidRDefault="00AC4185">
            <w:pPr>
              <w:autoSpaceDE w:val="0"/>
              <w:autoSpaceDN w:val="0"/>
              <w:adjustRightInd w:val="0"/>
              <w:rPr>
                <w:szCs w:val="21"/>
              </w:rPr>
            </w:pPr>
            <w:r>
              <w:t>济南山水物流港有限公司</w:t>
            </w:r>
          </w:p>
        </w:tc>
        <w:tc>
          <w:tcPr>
            <w:tcW w:w="633" w:type="pct"/>
            <w:tcBorders>
              <w:top w:val="single" w:sz="4" w:space="0" w:color="auto"/>
              <w:left w:val="single" w:sz="4" w:space="0" w:color="auto"/>
              <w:bottom w:val="single" w:sz="4" w:space="0" w:color="auto"/>
              <w:right w:val="single" w:sz="4" w:space="0" w:color="auto"/>
            </w:tcBorders>
          </w:tcPr>
          <w:p w14:paraId="27BB2719" w14:textId="77777777" w:rsidR="00E57DAA" w:rsidRDefault="00AC4185">
            <w:pPr>
              <w:autoSpaceDE w:val="0"/>
              <w:autoSpaceDN w:val="0"/>
              <w:adjustRightInd w:val="0"/>
              <w:jc w:val="right"/>
              <w:rPr>
                <w:szCs w:val="21"/>
              </w:rPr>
            </w:pPr>
            <w:r>
              <w:t>1,799,470.00</w:t>
            </w:r>
          </w:p>
        </w:tc>
        <w:tc>
          <w:tcPr>
            <w:tcW w:w="632" w:type="pct"/>
            <w:tcBorders>
              <w:top w:val="single" w:sz="4" w:space="0" w:color="auto"/>
              <w:left w:val="single" w:sz="4" w:space="0" w:color="auto"/>
              <w:bottom w:val="single" w:sz="4" w:space="0" w:color="auto"/>
              <w:right w:val="single" w:sz="4" w:space="0" w:color="auto"/>
            </w:tcBorders>
          </w:tcPr>
          <w:p w14:paraId="51D7C08C" w14:textId="77777777" w:rsidR="00E57DAA" w:rsidRDefault="00AC4185">
            <w:pPr>
              <w:autoSpaceDE w:val="0"/>
              <w:autoSpaceDN w:val="0"/>
              <w:adjustRightInd w:val="0"/>
              <w:jc w:val="right"/>
              <w:rPr>
                <w:szCs w:val="21"/>
              </w:rPr>
            </w:pPr>
            <w:r>
              <w:t>42,647.44</w:t>
            </w:r>
          </w:p>
        </w:tc>
        <w:tc>
          <w:tcPr>
            <w:tcW w:w="703" w:type="pct"/>
            <w:tcBorders>
              <w:top w:val="single" w:sz="4" w:space="0" w:color="auto"/>
              <w:left w:val="single" w:sz="4" w:space="0" w:color="auto"/>
              <w:bottom w:val="single" w:sz="4" w:space="0" w:color="auto"/>
              <w:right w:val="single" w:sz="4" w:space="0" w:color="auto"/>
            </w:tcBorders>
          </w:tcPr>
          <w:p w14:paraId="5D02AC39" w14:textId="77777777" w:rsidR="00E57DAA" w:rsidRDefault="00AC4185">
            <w:pPr>
              <w:autoSpaceDE w:val="0"/>
              <w:autoSpaceDN w:val="0"/>
              <w:adjustRightInd w:val="0"/>
              <w:jc w:val="right"/>
              <w:rPr>
                <w:szCs w:val="21"/>
              </w:rPr>
            </w:pPr>
            <w:r>
              <w:t>867,642.49</w:t>
            </w:r>
          </w:p>
        </w:tc>
        <w:tc>
          <w:tcPr>
            <w:tcW w:w="914" w:type="pct"/>
            <w:tcBorders>
              <w:top w:val="single" w:sz="4" w:space="0" w:color="auto"/>
              <w:left w:val="single" w:sz="4" w:space="0" w:color="auto"/>
              <w:bottom w:val="single" w:sz="4" w:space="0" w:color="auto"/>
              <w:right w:val="single" w:sz="4" w:space="0" w:color="auto"/>
            </w:tcBorders>
          </w:tcPr>
          <w:p w14:paraId="4A960017" w14:textId="77777777" w:rsidR="00E57DAA" w:rsidRDefault="00AC4185">
            <w:pPr>
              <w:autoSpaceDE w:val="0"/>
              <w:autoSpaceDN w:val="0"/>
              <w:adjustRightInd w:val="0"/>
              <w:jc w:val="right"/>
              <w:rPr>
                <w:szCs w:val="21"/>
              </w:rPr>
            </w:pPr>
            <w:r>
              <w:t>20,563.13</w:t>
            </w:r>
          </w:p>
        </w:tc>
      </w:tr>
      <w:tr w:rsidR="00E57DAA" w14:paraId="789A2B93" w14:textId="77777777">
        <w:tc>
          <w:tcPr>
            <w:tcW w:w="677" w:type="pct"/>
            <w:tcBorders>
              <w:top w:val="single" w:sz="4" w:space="0" w:color="auto"/>
              <w:left w:val="single" w:sz="4" w:space="0" w:color="auto"/>
              <w:bottom w:val="single" w:sz="4" w:space="0" w:color="auto"/>
              <w:right w:val="single" w:sz="4" w:space="0" w:color="auto"/>
            </w:tcBorders>
            <w:vAlign w:val="center"/>
          </w:tcPr>
          <w:p w14:paraId="2A895AC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26BE3D9" w14:textId="77777777" w:rsidR="00E57DAA" w:rsidRDefault="00AC4185">
            <w:pPr>
              <w:autoSpaceDE w:val="0"/>
              <w:autoSpaceDN w:val="0"/>
              <w:adjustRightInd w:val="0"/>
              <w:rPr>
                <w:szCs w:val="21"/>
              </w:rPr>
            </w:pPr>
            <w:r>
              <w:t>大连山水水泥有限公司</w:t>
            </w:r>
          </w:p>
        </w:tc>
        <w:tc>
          <w:tcPr>
            <w:tcW w:w="633" w:type="pct"/>
            <w:tcBorders>
              <w:top w:val="single" w:sz="4" w:space="0" w:color="auto"/>
              <w:left w:val="single" w:sz="4" w:space="0" w:color="auto"/>
              <w:bottom w:val="single" w:sz="4" w:space="0" w:color="auto"/>
              <w:right w:val="single" w:sz="4" w:space="0" w:color="auto"/>
            </w:tcBorders>
          </w:tcPr>
          <w:p w14:paraId="3010E316" w14:textId="77777777" w:rsidR="00E57DAA" w:rsidRDefault="00AC4185">
            <w:pPr>
              <w:autoSpaceDE w:val="0"/>
              <w:autoSpaceDN w:val="0"/>
              <w:adjustRightInd w:val="0"/>
              <w:jc w:val="right"/>
              <w:rPr>
                <w:szCs w:val="21"/>
              </w:rPr>
            </w:pPr>
            <w:r>
              <w:t>1,625,695.00</w:t>
            </w:r>
          </w:p>
        </w:tc>
        <w:tc>
          <w:tcPr>
            <w:tcW w:w="632" w:type="pct"/>
            <w:tcBorders>
              <w:top w:val="single" w:sz="4" w:space="0" w:color="auto"/>
              <w:left w:val="single" w:sz="4" w:space="0" w:color="auto"/>
              <w:bottom w:val="single" w:sz="4" w:space="0" w:color="auto"/>
              <w:right w:val="single" w:sz="4" w:space="0" w:color="auto"/>
            </w:tcBorders>
          </w:tcPr>
          <w:p w14:paraId="12E48229" w14:textId="77777777" w:rsidR="00E57DAA" w:rsidRDefault="00AC4185">
            <w:pPr>
              <w:autoSpaceDE w:val="0"/>
              <w:autoSpaceDN w:val="0"/>
              <w:adjustRightInd w:val="0"/>
              <w:jc w:val="right"/>
              <w:rPr>
                <w:szCs w:val="21"/>
              </w:rPr>
            </w:pPr>
            <w:r>
              <w:t>234,425.22</w:t>
            </w:r>
          </w:p>
        </w:tc>
        <w:tc>
          <w:tcPr>
            <w:tcW w:w="703" w:type="pct"/>
            <w:tcBorders>
              <w:top w:val="single" w:sz="4" w:space="0" w:color="auto"/>
              <w:left w:val="single" w:sz="4" w:space="0" w:color="auto"/>
              <w:bottom w:val="single" w:sz="4" w:space="0" w:color="auto"/>
              <w:right w:val="single" w:sz="4" w:space="0" w:color="auto"/>
            </w:tcBorders>
          </w:tcPr>
          <w:p w14:paraId="6362171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51CB009" w14:textId="77777777" w:rsidR="00E57DAA" w:rsidRDefault="00AC4185">
            <w:pPr>
              <w:autoSpaceDE w:val="0"/>
              <w:autoSpaceDN w:val="0"/>
              <w:adjustRightInd w:val="0"/>
              <w:jc w:val="right"/>
              <w:rPr>
                <w:szCs w:val="21"/>
              </w:rPr>
            </w:pPr>
            <w:r>
              <w:t xml:space="preserve">　</w:t>
            </w:r>
          </w:p>
        </w:tc>
      </w:tr>
      <w:tr w:rsidR="00E57DAA" w14:paraId="43BC49EC" w14:textId="77777777">
        <w:tc>
          <w:tcPr>
            <w:tcW w:w="677" w:type="pct"/>
            <w:tcBorders>
              <w:top w:val="single" w:sz="4" w:space="0" w:color="auto"/>
              <w:left w:val="single" w:sz="4" w:space="0" w:color="auto"/>
              <w:bottom w:val="single" w:sz="4" w:space="0" w:color="auto"/>
              <w:right w:val="single" w:sz="4" w:space="0" w:color="auto"/>
            </w:tcBorders>
            <w:vAlign w:val="center"/>
          </w:tcPr>
          <w:p w14:paraId="4D868C3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DBE8794" w14:textId="77777777" w:rsidR="00E57DAA" w:rsidRDefault="00AC4185">
            <w:pPr>
              <w:autoSpaceDE w:val="0"/>
              <w:autoSpaceDN w:val="0"/>
              <w:adjustRightInd w:val="0"/>
              <w:rPr>
                <w:szCs w:val="21"/>
              </w:rPr>
            </w:pPr>
            <w:r>
              <w:t>凤阳中都水泥有限公司</w:t>
            </w:r>
          </w:p>
        </w:tc>
        <w:tc>
          <w:tcPr>
            <w:tcW w:w="633" w:type="pct"/>
            <w:tcBorders>
              <w:top w:val="single" w:sz="4" w:space="0" w:color="auto"/>
              <w:left w:val="single" w:sz="4" w:space="0" w:color="auto"/>
              <w:bottom w:val="single" w:sz="4" w:space="0" w:color="auto"/>
              <w:right w:val="single" w:sz="4" w:space="0" w:color="auto"/>
            </w:tcBorders>
          </w:tcPr>
          <w:p w14:paraId="516411EE" w14:textId="77777777" w:rsidR="00E57DAA" w:rsidRDefault="00AC4185">
            <w:pPr>
              <w:autoSpaceDE w:val="0"/>
              <w:autoSpaceDN w:val="0"/>
              <w:adjustRightInd w:val="0"/>
              <w:jc w:val="right"/>
              <w:rPr>
                <w:szCs w:val="21"/>
              </w:rPr>
            </w:pPr>
            <w:r>
              <w:t>1,561,650.17</w:t>
            </w:r>
          </w:p>
        </w:tc>
        <w:tc>
          <w:tcPr>
            <w:tcW w:w="632" w:type="pct"/>
            <w:tcBorders>
              <w:top w:val="single" w:sz="4" w:space="0" w:color="auto"/>
              <w:left w:val="single" w:sz="4" w:space="0" w:color="auto"/>
              <w:bottom w:val="single" w:sz="4" w:space="0" w:color="auto"/>
              <w:right w:val="single" w:sz="4" w:space="0" w:color="auto"/>
            </w:tcBorders>
          </w:tcPr>
          <w:p w14:paraId="0710B726" w14:textId="77777777" w:rsidR="00E57DAA" w:rsidRDefault="00AC4185">
            <w:pPr>
              <w:autoSpaceDE w:val="0"/>
              <w:autoSpaceDN w:val="0"/>
              <w:adjustRightInd w:val="0"/>
              <w:jc w:val="right"/>
              <w:rPr>
                <w:szCs w:val="21"/>
              </w:rPr>
            </w:pPr>
            <w:r>
              <w:t>93,966.61</w:t>
            </w:r>
          </w:p>
        </w:tc>
        <w:tc>
          <w:tcPr>
            <w:tcW w:w="703" w:type="pct"/>
            <w:tcBorders>
              <w:top w:val="single" w:sz="4" w:space="0" w:color="auto"/>
              <w:left w:val="single" w:sz="4" w:space="0" w:color="auto"/>
              <w:bottom w:val="single" w:sz="4" w:space="0" w:color="auto"/>
              <w:right w:val="single" w:sz="4" w:space="0" w:color="auto"/>
            </w:tcBorders>
          </w:tcPr>
          <w:p w14:paraId="274EDE8F" w14:textId="77777777" w:rsidR="00E57DAA" w:rsidRDefault="00AC4185">
            <w:pPr>
              <w:autoSpaceDE w:val="0"/>
              <w:autoSpaceDN w:val="0"/>
              <w:adjustRightInd w:val="0"/>
              <w:jc w:val="right"/>
              <w:rPr>
                <w:szCs w:val="21"/>
              </w:rPr>
            </w:pPr>
            <w:r>
              <w:t>1,018,849.56</w:t>
            </w:r>
          </w:p>
        </w:tc>
        <w:tc>
          <w:tcPr>
            <w:tcW w:w="914" w:type="pct"/>
            <w:tcBorders>
              <w:top w:val="single" w:sz="4" w:space="0" w:color="auto"/>
              <w:left w:val="single" w:sz="4" w:space="0" w:color="auto"/>
              <w:bottom w:val="single" w:sz="4" w:space="0" w:color="auto"/>
              <w:right w:val="single" w:sz="4" w:space="0" w:color="auto"/>
            </w:tcBorders>
          </w:tcPr>
          <w:p w14:paraId="17BCDECE" w14:textId="77777777" w:rsidR="00E57DAA" w:rsidRDefault="00AC4185">
            <w:pPr>
              <w:autoSpaceDE w:val="0"/>
              <w:autoSpaceDN w:val="0"/>
              <w:adjustRightInd w:val="0"/>
              <w:jc w:val="right"/>
              <w:rPr>
                <w:szCs w:val="21"/>
              </w:rPr>
            </w:pPr>
            <w:r>
              <w:t>24,668.76</w:t>
            </w:r>
          </w:p>
        </w:tc>
      </w:tr>
      <w:tr w:rsidR="00E57DAA" w14:paraId="5D2818C4" w14:textId="77777777">
        <w:tc>
          <w:tcPr>
            <w:tcW w:w="677" w:type="pct"/>
            <w:tcBorders>
              <w:top w:val="single" w:sz="4" w:space="0" w:color="auto"/>
              <w:left w:val="single" w:sz="4" w:space="0" w:color="auto"/>
              <w:bottom w:val="single" w:sz="4" w:space="0" w:color="auto"/>
              <w:right w:val="single" w:sz="4" w:space="0" w:color="auto"/>
            </w:tcBorders>
            <w:vAlign w:val="center"/>
          </w:tcPr>
          <w:p w14:paraId="296CA85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8307FE" w14:textId="77777777" w:rsidR="00E57DAA" w:rsidRDefault="00AC4185">
            <w:pPr>
              <w:autoSpaceDE w:val="0"/>
              <w:autoSpaceDN w:val="0"/>
              <w:adjustRightInd w:val="0"/>
              <w:rPr>
                <w:szCs w:val="21"/>
              </w:rPr>
            </w:pPr>
            <w:r>
              <w:t>江西万年青水泥股份有限公司</w:t>
            </w:r>
          </w:p>
        </w:tc>
        <w:tc>
          <w:tcPr>
            <w:tcW w:w="633" w:type="pct"/>
            <w:tcBorders>
              <w:top w:val="single" w:sz="4" w:space="0" w:color="auto"/>
              <w:left w:val="single" w:sz="4" w:space="0" w:color="auto"/>
              <w:bottom w:val="single" w:sz="4" w:space="0" w:color="auto"/>
              <w:right w:val="single" w:sz="4" w:space="0" w:color="auto"/>
            </w:tcBorders>
          </w:tcPr>
          <w:p w14:paraId="65D674D0" w14:textId="77777777" w:rsidR="00E57DAA" w:rsidRDefault="00AC4185">
            <w:pPr>
              <w:autoSpaceDE w:val="0"/>
              <w:autoSpaceDN w:val="0"/>
              <w:adjustRightInd w:val="0"/>
              <w:jc w:val="right"/>
              <w:rPr>
                <w:szCs w:val="21"/>
              </w:rPr>
            </w:pPr>
            <w:r>
              <w:t>1,551,840.00</w:t>
            </w:r>
          </w:p>
        </w:tc>
        <w:tc>
          <w:tcPr>
            <w:tcW w:w="632" w:type="pct"/>
            <w:tcBorders>
              <w:top w:val="single" w:sz="4" w:space="0" w:color="auto"/>
              <w:left w:val="single" w:sz="4" w:space="0" w:color="auto"/>
              <w:bottom w:val="single" w:sz="4" w:space="0" w:color="auto"/>
              <w:right w:val="single" w:sz="4" w:space="0" w:color="auto"/>
            </w:tcBorders>
          </w:tcPr>
          <w:p w14:paraId="6F4C2BB9" w14:textId="77777777" w:rsidR="00E57DAA" w:rsidRDefault="00AC4185">
            <w:pPr>
              <w:autoSpaceDE w:val="0"/>
              <w:autoSpaceDN w:val="0"/>
              <w:adjustRightInd w:val="0"/>
              <w:jc w:val="right"/>
              <w:rPr>
                <w:szCs w:val="21"/>
              </w:rPr>
            </w:pPr>
            <w:r>
              <w:t>570,230.32</w:t>
            </w:r>
          </w:p>
        </w:tc>
        <w:tc>
          <w:tcPr>
            <w:tcW w:w="703" w:type="pct"/>
            <w:tcBorders>
              <w:top w:val="single" w:sz="4" w:space="0" w:color="auto"/>
              <w:left w:val="single" w:sz="4" w:space="0" w:color="auto"/>
              <w:bottom w:val="single" w:sz="4" w:space="0" w:color="auto"/>
              <w:right w:val="single" w:sz="4" w:space="0" w:color="auto"/>
            </w:tcBorders>
          </w:tcPr>
          <w:p w14:paraId="58364214" w14:textId="77777777" w:rsidR="00E57DAA" w:rsidRDefault="00AC4185">
            <w:pPr>
              <w:autoSpaceDE w:val="0"/>
              <w:autoSpaceDN w:val="0"/>
              <w:adjustRightInd w:val="0"/>
              <w:jc w:val="right"/>
              <w:rPr>
                <w:szCs w:val="21"/>
              </w:rPr>
            </w:pPr>
            <w:r>
              <w:t>4,510,546.70</w:t>
            </w:r>
          </w:p>
        </w:tc>
        <w:tc>
          <w:tcPr>
            <w:tcW w:w="914" w:type="pct"/>
            <w:tcBorders>
              <w:top w:val="single" w:sz="4" w:space="0" w:color="auto"/>
              <w:left w:val="single" w:sz="4" w:space="0" w:color="auto"/>
              <w:bottom w:val="single" w:sz="4" w:space="0" w:color="auto"/>
              <w:right w:val="single" w:sz="4" w:space="0" w:color="auto"/>
            </w:tcBorders>
          </w:tcPr>
          <w:p w14:paraId="3491EC6E" w14:textId="77777777" w:rsidR="00E57DAA" w:rsidRDefault="00AC4185">
            <w:pPr>
              <w:autoSpaceDE w:val="0"/>
              <w:autoSpaceDN w:val="0"/>
              <w:adjustRightInd w:val="0"/>
              <w:jc w:val="right"/>
              <w:rPr>
                <w:szCs w:val="21"/>
              </w:rPr>
            </w:pPr>
            <w:r>
              <w:t>91,803.68</w:t>
            </w:r>
          </w:p>
        </w:tc>
      </w:tr>
      <w:tr w:rsidR="00E57DAA" w14:paraId="5BE9B838" w14:textId="77777777">
        <w:tc>
          <w:tcPr>
            <w:tcW w:w="677" w:type="pct"/>
            <w:tcBorders>
              <w:top w:val="single" w:sz="4" w:space="0" w:color="auto"/>
              <w:left w:val="single" w:sz="4" w:space="0" w:color="auto"/>
              <w:bottom w:val="single" w:sz="4" w:space="0" w:color="auto"/>
              <w:right w:val="single" w:sz="4" w:space="0" w:color="auto"/>
            </w:tcBorders>
            <w:vAlign w:val="center"/>
          </w:tcPr>
          <w:p w14:paraId="664B0B1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7F657A9" w14:textId="77777777" w:rsidR="00E57DAA" w:rsidRDefault="00AC4185">
            <w:pPr>
              <w:autoSpaceDE w:val="0"/>
              <w:autoSpaceDN w:val="0"/>
              <w:adjustRightInd w:val="0"/>
              <w:rPr>
                <w:szCs w:val="21"/>
              </w:rPr>
            </w:pPr>
            <w:r>
              <w:t>阿鲁科尔沁旗山水水泥有限公司</w:t>
            </w:r>
          </w:p>
        </w:tc>
        <w:tc>
          <w:tcPr>
            <w:tcW w:w="633" w:type="pct"/>
            <w:tcBorders>
              <w:top w:val="single" w:sz="4" w:space="0" w:color="auto"/>
              <w:left w:val="single" w:sz="4" w:space="0" w:color="auto"/>
              <w:bottom w:val="single" w:sz="4" w:space="0" w:color="auto"/>
              <w:right w:val="single" w:sz="4" w:space="0" w:color="auto"/>
            </w:tcBorders>
          </w:tcPr>
          <w:p w14:paraId="708DDF75" w14:textId="77777777" w:rsidR="00E57DAA" w:rsidRDefault="00AC4185">
            <w:pPr>
              <w:autoSpaceDE w:val="0"/>
              <w:autoSpaceDN w:val="0"/>
              <w:adjustRightInd w:val="0"/>
              <w:jc w:val="right"/>
              <w:rPr>
                <w:szCs w:val="21"/>
              </w:rPr>
            </w:pPr>
            <w:r>
              <w:t>1,283,000.00</w:t>
            </w:r>
          </w:p>
        </w:tc>
        <w:tc>
          <w:tcPr>
            <w:tcW w:w="632" w:type="pct"/>
            <w:tcBorders>
              <w:top w:val="single" w:sz="4" w:space="0" w:color="auto"/>
              <w:left w:val="single" w:sz="4" w:space="0" w:color="auto"/>
              <w:bottom w:val="single" w:sz="4" w:space="0" w:color="auto"/>
              <w:right w:val="single" w:sz="4" w:space="0" w:color="auto"/>
            </w:tcBorders>
          </w:tcPr>
          <w:p w14:paraId="0DC28F62" w14:textId="77777777" w:rsidR="00E57DAA" w:rsidRDefault="00AC4185">
            <w:pPr>
              <w:autoSpaceDE w:val="0"/>
              <w:autoSpaceDN w:val="0"/>
              <w:adjustRightInd w:val="0"/>
              <w:jc w:val="right"/>
              <w:rPr>
                <w:szCs w:val="21"/>
              </w:rPr>
            </w:pPr>
            <w:r>
              <w:t>32,479.20</w:t>
            </w:r>
          </w:p>
        </w:tc>
        <w:tc>
          <w:tcPr>
            <w:tcW w:w="703" w:type="pct"/>
            <w:tcBorders>
              <w:top w:val="single" w:sz="4" w:space="0" w:color="auto"/>
              <w:left w:val="single" w:sz="4" w:space="0" w:color="auto"/>
              <w:bottom w:val="single" w:sz="4" w:space="0" w:color="auto"/>
              <w:right w:val="single" w:sz="4" w:space="0" w:color="auto"/>
            </w:tcBorders>
          </w:tcPr>
          <w:p w14:paraId="7C034A16" w14:textId="77777777" w:rsidR="00E57DAA" w:rsidRDefault="00AC4185">
            <w:pPr>
              <w:autoSpaceDE w:val="0"/>
              <w:autoSpaceDN w:val="0"/>
              <w:adjustRightInd w:val="0"/>
              <w:jc w:val="right"/>
              <w:rPr>
                <w:szCs w:val="21"/>
              </w:rPr>
            </w:pPr>
            <w:r>
              <w:t>11,000.00</w:t>
            </w:r>
          </w:p>
        </w:tc>
        <w:tc>
          <w:tcPr>
            <w:tcW w:w="914" w:type="pct"/>
            <w:tcBorders>
              <w:top w:val="single" w:sz="4" w:space="0" w:color="auto"/>
              <w:left w:val="single" w:sz="4" w:space="0" w:color="auto"/>
              <w:bottom w:val="single" w:sz="4" w:space="0" w:color="auto"/>
              <w:right w:val="single" w:sz="4" w:space="0" w:color="auto"/>
            </w:tcBorders>
          </w:tcPr>
          <w:p w14:paraId="253E23A2" w14:textId="77777777" w:rsidR="00E57DAA" w:rsidRDefault="00AC4185">
            <w:pPr>
              <w:autoSpaceDE w:val="0"/>
              <w:autoSpaceDN w:val="0"/>
              <w:adjustRightInd w:val="0"/>
              <w:jc w:val="right"/>
              <w:rPr>
                <w:szCs w:val="21"/>
              </w:rPr>
            </w:pPr>
            <w:r>
              <w:t>550</w:t>
            </w:r>
          </w:p>
        </w:tc>
      </w:tr>
      <w:tr w:rsidR="00E57DAA" w14:paraId="07BD3444" w14:textId="77777777">
        <w:tc>
          <w:tcPr>
            <w:tcW w:w="677" w:type="pct"/>
            <w:tcBorders>
              <w:top w:val="single" w:sz="4" w:space="0" w:color="auto"/>
              <w:left w:val="single" w:sz="4" w:space="0" w:color="auto"/>
              <w:bottom w:val="single" w:sz="4" w:space="0" w:color="auto"/>
              <w:right w:val="single" w:sz="4" w:space="0" w:color="auto"/>
            </w:tcBorders>
            <w:vAlign w:val="center"/>
          </w:tcPr>
          <w:p w14:paraId="304D294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B35D9C5" w14:textId="77777777" w:rsidR="00E57DAA" w:rsidRDefault="00AC4185">
            <w:pPr>
              <w:autoSpaceDE w:val="0"/>
              <w:autoSpaceDN w:val="0"/>
              <w:adjustRightInd w:val="0"/>
              <w:rPr>
                <w:szCs w:val="21"/>
              </w:rPr>
            </w:pPr>
            <w:r>
              <w:t>山东山水重工有限公司</w:t>
            </w:r>
          </w:p>
        </w:tc>
        <w:tc>
          <w:tcPr>
            <w:tcW w:w="633" w:type="pct"/>
            <w:tcBorders>
              <w:top w:val="single" w:sz="4" w:space="0" w:color="auto"/>
              <w:left w:val="single" w:sz="4" w:space="0" w:color="auto"/>
              <w:bottom w:val="single" w:sz="4" w:space="0" w:color="auto"/>
              <w:right w:val="single" w:sz="4" w:space="0" w:color="auto"/>
            </w:tcBorders>
          </w:tcPr>
          <w:p w14:paraId="7BF024E4" w14:textId="77777777" w:rsidR="00E57DAA" w:rsidRDefault="00AC4185">
            <w:pPr>
              <w:autoSpaceDE w:val="0"/>
              <w:autoSpaceDN w:val="0"/>
              <w:adjustRightInd w:val="0"/>
              <w:jc w:val="right"/>
              <w:rPr>
                <w:szCs w:val="21"/>
              </w:rPr>
            </w:pPr>
            <w:r>
              <w:t>1,088,859.50</w:t>
            </w:r>
          </w:p>
        </w:tc>
        <w:tc>
          <w:tcPr>
            <w:tcW w:w="632" w:type="pct"/>
            <w:tcBorders>
              <w:top w:val="single" w:sz="4" w:space="0" w:color="auto"/>
              <w:left w:val="single" w:sz="4" w:space="0" w:color="auto"/>
              <w:bottom w:val="single" w:sz="4" w:space="0" w:color="auto"/>
              <w:right w:val="single" w:sz="4" w:space="0" w:color="auto"/>
            </w:tcBorders>
          </w:tcPr>
          <w:p w14:paraId="46C44639" w14:textId="77777777" w:rsidR="00E57DAA" w:rsidRDefault="00AC4185">
            <w:pPr>
              <w:autoSpaceDE w:val="0"/>
              <w:autoSpaceDN w:val="0"/>
              <w:adjustRightInd w:val="0"/>
              <w:jc w:val="right"/>
              <w:rPr>
                <w:szCs w:val="21"/>
              </w:rPr>
            </w:pPr>
            <w:r>
              <w:t>148,479.75</w:t>
            </w:r>
          </w:p>
        </w:tc>
        <w:tc>
          <w:tcPr>
            <w:tcW w:w="703" w:type="pct"/>
            <w:tcBorders>
              <w:top w:val="single" w:sz="4" w:space="0" w:color="auto"/>
              <w:left w:val="single" w:sz="4" w:space="0" w:color="auto"/>
              <w:bottom w:val="single" w:sz="4" w:space="0" w:color="auto"/>
              <w:right w:val="single" w:sz="4" w:space="0" w:color="auto"/>
            </w:tcBorders>
          </w:tcPr>
          <w:p w14:paraId="72C6DB3C" w14:textId="77777777" w:rsidR="00E57DAA" w:rsidRDefault="00AC4185">
            <w:pPr>
              <w:autoSpaceDE w:val="0"/>
              <w:autoSpaceDN w:val="0"/>
              <w:adjustRightInd w:val="0"/>
              <w:jc w:val="right"/>
              <w:rPr>
                <w:szCs w:val="21"/>
              </w:rPr>
            </w:pPr>
            <w:r>
              <w:t>1,423,779.50</w:t>
            </w:r>
          </w:p>
        </w:tc>
        <w:tc>
          <w:tcPr>
            <w:tcW w:w="914" w:type="pct"/>
            <w:tcBorders>
              <w:top w:val="single" w:sz="4" w:space="0" w:color="auto"/>
              <w:left w:val="single" w:sz="4" w:space="0" w:color="auto"/>
              <w:bottom w:val="single" w:sz="4" w:space="0" w:color="auto"/>
              <w:right w:val="single" w:sz="4" w:space="0" w:color="auto"/>
            </w:tcBorders>
          </w:tcPr>
          <w:p w14:paraId="51D58787" w14:textId="77777777" w:rsidR="00E57DAA" w:rsidRDefault="00AC4185">
            <w:pPr>
              <w:autoSpaceDE w:val="0"/>
              <w:autoSpaceDN w:val="0"/>
              <w:adjustRightInd w:val="0"/>
              <w:jc w:val="right"/>
              <w:rPr>
                <w:szCs w:val="21"/>
              </w:rPr>
            </w:pPr>
            <w:r>
              <w:t>414,890.38</w:t>
            </w:r>
          </w:p>
        </w:tc>
      </w:tr>
      <w:tr w:rsidR="00E57DAA" w14:paraId="358E330E" w14:textId="77777777">
        <w:tc>
          <w:tcPr>
            <w:tcW w:w="677" w:type="pct"/>
            <w:tcBorders>
              <w:top w:val="single" w:sz="4" w:space="0" w:color="auto"/>
              <w:left w:val="single" w:sz="4" w:space="0" w:color="auto"/>
              <w:bottom w:val="single" w:sz="4" w:space="0" w:color="auto"/>
              <w:right w:val="single" w:sz="4" w:space="0" w:color="auto"/>
            </w:tcBorders>
            <w:vAlign w:val="center"/>
          </w:tcPr>
          <w:p w14:paraId="008ACF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84AF194" w14:textId="77777777" w:rsidR="00E57DAA" w:rsidRDefault="00AC4185">
            <w:pPr>
              <w:autoSpaceDE w:val="0"/>
              <w:autoSpaceDN w:val="0"/>
              <w:adjustRightInd w:val="0"/>
              <w:rPr>
                <w:szCs w:val="21"/>
              </w:rPr>
            </w:pPr>
            <w:r>
              <w:t>朝阳山水东鑫水泥有限公司</w:t>
            </w:r>
          </w:p>
        </w:tc>
        <w:tc>
          <w:tcPr>
            <w:tcW w:w="633" w:type="pct"/>
            <w:tcBorders>
              <w:top w:val="single" w:sz="4" w:space="0" w:color="auto"/>
              <w:left w:val="single" w:sz="4" w:space="0" w:color="auto"/>
              <w:bottom w:val="single" w:sz="4" w:space="0" w:color="auto"/>
              <w:right w:val="single" w:sz="4" w:space="0" w:color="auto"/>
            </w:tcBorders>
          </w:tcPr>
          <w:p w14:paraId="1E22A22C" w14:textId="77777777" w:rsidR="00E57DAA" w:rsidRDefault="00AC4185">
            <w:pPr>
              <w:autoSpaceDE w:val="0"/>
              <w:autoSpaceDN w:val="0"/>
              <w:adjustRightInd w:val="0"/>
              <w:jc w:val="right"/>
              <w:rPr>
                <w:szCs w:val="21"/>
              </w:rPr>
            </w:pPr>
            <w:r>
              <w:t>1,060,840.00</w:t>
            </w:r>
          </w:p>
        </w:tc>
        <w:tc>
          <w:tcPr>
            <w:tcW w:w="632" w:type="pct"/>
            <w:tcBorders>
              <w:top w:val="single" w:sz="4" w:space="0" w:color="auto"/>
              <w:left w:val="single" w:sz="4" w:space="0" w:color="auto"/>
              <w:bottom w:val="single" w:sz="4" w:space="0" w:color="auto"/>
              <w:right w:val="single" w:sz="4" w:space="0" w:color="auto"/>
            </w:tcBorders>
          </w:tcPr>
          <w:p w14:paraId="31B4240A" w14:textId="77777777" w:rsidR="00E57DAA" w:rsidRDefault="00AC4185">
            <w:pPr>
              <w:autoSpaceDE w:val="0"/>
              <w:autoSpaceDN w:val="0"/>
              <w:adjustRightInd w:val="0"/>
              <w:jc w:val="right"/>
              <w:rPr>
                <w:szCs w:val="21"/>
              </w:rPr>
            </w:pPr>
            <w:r>
              <w:t>149,256.91</w:t>
            </w:r>
          </w:p>
        </w:tc>
        <w:tc>
          <w:tcPr>
            <w:tcW w:w="703" w:type="pct"/>
            <w:tcBorders>
              <w:top w:val="single" w:sz="4" w:space="0" w:color="auto"/>
              <w:left w:val="single" w:sz="4" w:space="0" w:color="auto"/>
              <w:bottom w:val="single" w:sz="4" w:space="0" w:color="auto"/>
              <w:right w:val="single" w:sz="4" w:space="0" w:color="auto"/>
            </w:tcBorders>
          </w:tcPr>
          <w:p w14:paraId="66D753FF" w14:textId="77777777" w:rsidR="00E57DAA" w:rsidRDefault="00AC4185">
            <w:pPr>
              <w:autoSpaceDE w:val="0"/>
              <w:autoSpaceDN w:val="0"/>
              <w:adjustRightInd w:val="0"/>
              <w:jc w:val="right"/>
              <w:rPr>
                <w:szCs w:val="21"/>
              </w:rPr>
            </w:pPr>
            <w:r>
              <w:t>1,100,840.00</w:t>
            </w:r>
          </w:p>
        </w:tc>
        <w:tc>
          <w:tcPr>
            <w:tcW w:w="914" w:type="pct"/>
            <w:tcBorders>
              <w:top w:val="single" w:sz="4" w:space="0" w:color="auto"/>
              <w:left w:val="single" w:sz="4" w:space="0" w:color="auto"/>
              <w:bottom w:val="single" w:sz="4" w:space="0" w:color="auto"/>
              <w:right w:val="single" w:sz="4" w:space="0" w:color="auto"/>
            </w:tcBorders>
          </w:tcPr>
          <w:p w14:paraId="6DBE3899" w14:textId="77777777" w:rsidR="00E57DAA" w:rsidRDefault="00AC4185">
            <w:pPr>
              <w:autoSpaceDE w:val="0"/>
              <w:autoSpaceDN w:val="0"/>
              <w:adjustRightInd w:val="0"/>
              <w:jc w:val="right"/>
              <w:rPr>
                <w:szCs w:val="21"/>
              </w:rPr>
            </w:pPr>
            <w:r>
              <w:t>79,370.56</w:t>
            </w:r>
          </w:p>
        </w:tc>
      </w:tr>
      <w:tr w:rsidR="00E57DAA" w14:paraId="696ACF45" w14:textId="77777777">
        <w:tc>
          <w:tcPr>
            <w:tcW w:w="677" w:type="pct"/>
            <w:tcBorders>
              <w:top w:val="single" w:sz="4" w:space="0" w:color="auto"/>
              <w:left w:val="single" w:sz="4" w:space="0" w:color="auto"/>
              <w:bottom w:val="single" w:sz="4" w:space="0" w:color="auto"/>
              <w:right w:val="single" w:sz="4" w:space="0" w:color="auto"/>
            </w:tcBorders>
            <w:vAlign w:val="center"/>
          </w:tcPr>
          <w:p w14:paraId="2B49621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94533E5" w14:textId="77777777" w:rsidR="00E57DAA" w:rsidRDefault="00AC4185">
            <w:pPr>
              <w:autoSpaceDE w:val="0"/>
              <w:autoSpaceDN w:val="0"/>
              <w:adjustRightInd w:val="0"/>
              <w:rPr>
                <w:szCs w:val="21"/>
              </w:rPr>
            </w:pPr>
            <w:r>
              <w:t>江苏金峰水泥集团有限公司</w:t>
            </w:r>
          </w:p>
        </w:tc>
        <w:tc>
          <w:tcPr>
            <w:tcW w:w="633" w:type="pct"/>
            <w:tcBorders>
              <w:top w:val="single" w:sz="4" w:space="0" w:color="auto"/>
              <w:left w:val="single" w:sz="4" w:space="0" w:color="auto"/>
              <w:bottom w:val="single" w:sz="4" w:space="0" w:color="auto"/>
              <w:right w:val="single" w:sz="4" w:space="0" w:color="auto"/>
            </w:tcBorders>
          </w:tcPr>
          <w:p w14:paraId="2EE4B7BA" w14:textId="77777777" w:rsidR="00E57DAA" w:rsidRDefault="00AC4185">
            <w:pPr>
              <w:autoSpaceDE w:val="0"/>
              <w:autoSpaceDN w:val="0"/>
              <w:adjustRightInd w:val="0"/>
              <w:jc w:val="right"/>
              <w:rPr>
                <w:szCs w:val="21"/>
              </w:rPr>
            </w:pPr>
            <w:r>
              <w:t>979,333.97</w:t>
            </w:r>
          </w:p>
        </w:tc>
        <w:tc>
          <w:tcPr>
            <w:tcW w:w="632" w:type="pct"/>
            <w:tcBorders>
              <w:top w:val="single" w:sz="4" w:space="0" w:color="auto"/>
              <w:left w:val="single" w:sz="4" w:space="0" w:color="auto"/>
              <w:bottom w:val="single" w:sz="4" w:space="0" w:color="auto"/>
              <w:right w:val="single" w:sz="4" w:space="0" w:color="auto"/>
            </w:tcBorders>
          </w:tcPr>
          <w:p w14:paraId="176924C1" w14:textId="77777777" w:rsidR="00E57DAA" w:rsidRDefault="00AC4185">
            <w:pPr>
              <w:autoSpaceDE w:val="0"/>
              <w:autoSpaceDN w:val="0"/>
              <w:adjustRightInd w:val="0"/>
              <w:jc w:val="right"/>
              <w:rPr>
                <w:szCs w:val="21"/>
              </w:rPr>
            </w:pPr>
            <w:r>
              <w:t>91,938.97</w:t>
            </w:r>
          </w:p>
        </w:tc>
        <w:tc>
          <w:tcPr>
            <w:tcW w:w="703" w:type="pct"/>
            <w:tcBorders>
              <w:top w:val="single" w:sz="4" w:space="0" w:color="auto"/>
              <w:left w:val="single" w:sz="4" w:space="0" w:color="auto"/>
              <w:bottom w:val="single" w:sz="4" w:space="0" w:color="auto"/>
              <w:right w:val="single" w:sz="4" w:space="0" w:color="auto"/>
            </w:tcBorders>
          </w:tcPr>
          <w:p w14:paraId="37B3ACD9" w14:textId="77777777" w:rsidR="00E57DAA" w:rsidRDefault="00AC4185">
            <w:pPr>
              <w:autoSpaceDE w:val="0"/>
              <w:autoSpaceDN w:val="0"/>
              <w:adjustRightInd w:val="0"/>
              <w:jc w:val="right"/>
              <w:rPr>
                <w:szCs w:val="21"/>
              </w:rPr>
            </w:pPr>
            <w:r>
              <w:t>979,333.97</w:t>
            </w:r>
          </w:p>
        </w:tc>
        <w:tc>
          <w:tcPr>
            <w:tcW w:w="914" w:type="pct"/>
            <w:tcBorders>
              <w:top w:val="single" w:sz="4" w:space="0" w:color="auto"/>
              <w:left w:val="single" w:sz="4" w:space="0" w:color="auto"/>
              <w:bottom w:val="single" w:sz="4" w:space="0" w:color="auto"/>
              <w:right w:val="single" w:sz="4" w:space="0" w:color="auto"/>
            </w:tcBorders>
          </w:tcPr>
          <w:p w14:paraId="02FAC52C" w14:textId="77777777" w:rsidR="00E57DAA" w:rsidRDefault="00AC4185">
            <w:pPr>
              <w:autoSpaceDE w:val="0"/>
              <w:autoSpaceDN w:val="0"/>
              <w:adjustRightInd w:val="0"/>
              <w:jc w:val="right"/>
              <w:rPr>
                <w:szCs w:val="21"/>
              </w:rPr>
            </w:pPr>
            <w:r>
              <w:t>48,248.67</w:t>
            </w:r>
          </w:p>
        </w:tc>
      </w:tr>
      <w:tr w:rsidR="00E57DAA" w14:paraId="55E4572C" w14:textId="77777777">
        <w:tc>
          <w:tcPr>
            <w:tcW w:w="677" w:type="pct"/>
            <w:tcBorders>
              <w:top w:val="single" w:sz="4" w:space="0" w:color="auto"/>
              <w:left w:val="single" w:sz="4" w:space="0" w:color="auto"/>
              <w:bottom w:val="single" w:sz="4" w:space="0" w:color="auto"/>
              <w:right w:val="single" w:sz="4" w:space="0" w:color="auto"/>
            </w:tcBorders>
            <w:vAlign w:val="center"/>
          </w:tcPr>
          <w:p w14:paraId="419E834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9200DC4" w14:textId="77777777" w:rsidR="00E57DAA" w:rsidRDefault="00AC4185">
            <w:pPr>
              <w:autoSpaceDE w:val="0"/>
              <w:autoSpaceDN w:val="0"/>
              <w:adjustRightInd w:val="0"/>
              <w:rPr>
                <w:szCs w:val="21"/>
              </w:rPr>
            </w:pPr>
            <w:r>
              <w:t>江西德安万年青水泥有限公司</w:t>
            </w:r>
          </w:p>
        </w:tc>
        <w:tc>
          <w:tcPr>
            <w:tcW w:w="633" w:type="pct"/>
            <w:tcBorders>
              <w:top w:val="single" w:sz="4" w:space="0" w:color="auto"/>
              <w:left w:val="single" w:sz="4" w:space="0" w:color="auto"/>
              <w:bottom w:val="single" w:sz="4" w:space="0" w:color="auto"/>
              <w:right w:val="single" w:sz="4" w:space="0" w:color="auto"/>
            </w:tcBorders>
          </w:tcPr>
          <w:p w14:paraId="5DBD0E83" w14:textId="77777777" w:rsidR="00E57DAA" w:rsidRDefault="00AC4185">
            <w:pPr>
              <w:autoSpaceDE w:val="0"/>
              <w:autoSpaceDN w:val="0"/>
              <w:adjustRightInd w:val="0"/>
              <w:jc w:val="right"/>
              <w:rPr>
                <w:szCs w:val="21"/>
              </w:rPr>
            </w:pPr>
            <w:r>
              <w:t>854,521.09</w:t>
            </w:r>
          </w:p>
        </w:tc>
        <w:tc>
          <w:tcPr>
            <w:tcW w:w="632" w:type="pct"/>
            <w:tcBorders>
              <w:top w:val="single" w:sz="4" w:space="0" w:color="auto"/>
              <w:left w:val="single" w:sz="4" w:space="0" w:color="auto"/>
              <w:bottom w:val="single" w:sz="4" w:space="0" w:color="auto"/>
              <w:right w:val="single" w:sz="4" w:space="0" w:color="auto"/>
            </w:tcBorders>
          </w:tcPr>
          <w:p w14:paraId="38E2B09A" w14:textId="77777777" w:rsidR="00E57DAA" w:rsidRDefault="00AC4185">
            <w:pPr>
              <w:autoSpaceDE w:val="0"/>
              <w:autoSpaceDN w:val="0"/>
              <w:adjustRightInd w:val="0"/>
              <w:jc w:val="right"/>
              <w:rPr>
                <w:szCs w:val="21"/>
              </w:rPr>
            </w:pPr>
            <w:r>
              <w:t>36,256.03</w:t>
            </w:r>
          </w:p>
        </w:tc>
        <w:tc>
          <w:tcPr>
            <w:tcW w:w="703" w:type="pct"/>
            <w:tcBorders>
              <w:top w:val="single" w:sz="4" w:space="0" w:color="auto"/>
              <w:left w:val="single" w:sz="4" w:space="0" w:color="auto"/>
              <w:bottom w:val="single" w:sz="4" w:space="0" w:color="auto"/>
              <w:right w:val="single" w:sz="4" w:space="0" w:color="auto"/>
            </w:tcBorders>
          </w:tcPr>
          <w:p w14:paraId="6B9DC4D5" w14:textId="77777777" w:rsidR="00E57DAA" w:rsidRDefault="00AC4185">
            <w:pPr>
              <w:autoSpaceDE w:val="0"/>
              <w:autoSpaceDN w:val="0"/>
              <w:adjustRightInd w:val="0"/>
              <w:jc w:val="right"/>
              <w:rPr>
                <w:szCs w:val="21"/>
              </w:rPr>
            </w:pPr>
            <w:r>
              <w:t>620,950.25</w:t>
            </w:r>
          </w:p>
        </w:tc>
        <w:tc>
          <w:tcPr>
            <w:tcW w:w="914" w:type="pct"/>
            <w:tcBorders>
              <w:top w:val="single" w:sz="4" w:space="0" w:color="auto"/>
              <w:left w:val="single" w:sz="4" w:space="0" w:color="auto"/>
              <w:bottom w:val="single" w:sz="4" w:space="0" w:color="auto"/>
              <w:right w:val="single" w:sz="4" w:space="0" w:color="auto"/>
            </w:tcBorders>
          </w:tcPr>
          <w:p w14:paraId="1E9504C2" w14:textId="77777777" w:rsidR="00E57DAA" w:rsidRDefault="00AC4185">
            <w:pPr>
              <w:autoSpaceDE w:val="0"/>
              <w:autoSpaceDN w:val="0"/>
              <w:adjustRightInd w:val="0"/>
              <w:jc w:val="right"/>
              <w:rPr>
                <w:szCs w:val="21"/>
              </w:rPr>
            </w:pPr>
            <w:r>
              <w:t>9,345.24</w:t>
            </w:r>
          </w:p>
        </w:tc>
      </w:tr>
      <w:tr w:rsidR="00E57DAA" w14:paraId="3B6CAA6F" w14:textId="77777777">
        <w:tc>
          <w:tcPr>
            <w:tcW w:w="677" w:type="pct"/>
            <w:tcBorders>
              <w:top w:val="single" w:sz="4" w:space="0" w:color="auto"/>
              <w:left w:val="single" w:sz="4" w:space="0" w:color="auto"/>
              <w:bottom w:val="single" w:sz="4" w:space="0" w:color="auto"/>
              <w:right w:val="single" w:sz="4" w:space="0" w:color="auto"/>
            </w:tcBorders>
            <w:vAlign w:val="center"/>
          </w:tcPr>
          <w:p w14:paraId="33F124E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52082D0" w14:textId="77777777" w:rsidR="00E57DAA" w:rsidRDefault="00AC4185">
            <w:pPr>
              <w:autoSpaceDE w:val="0"/>
              <w:autoSpaceDN w:val="0"/>
              <w:adjustRightInd w:val="0"/>
              <w:rPr>
                <w:szCs w:val="21"/>
              </w:rPr>
            </w:pPr>
            <w:r>
              <w:t>临汾山水水泥有限公司</w:t>
            </w:r>
          </w:p>
        </w:tc>
        <w:tc>
          <w:tcPr>
            <w:tcW w:w="633" w:type="pct"/>
            <w:tcBorders>
              <w:top w:val="single" w:sz="4" w:space="0" w:color="auto"/>
              <w:left w:val="single" w:sz="4" w:space="0" w:color="auto"/>
              <w:bottom w:val="single" w:sz="4" w:space="0" w:color="auto"/>
              <w:right w:val="single" w:sz="4" w:space="0" w:color="auto"/>
            </w:tcBorders>
          </w:tcPr>
          <w:p w14:paraId="0B472C73" w14:textId="77777777" w:rsidR="00E57DAA" w:rsidRDefault="00AC4185">
            <w:pPr>
              <w:autoSpaceDE w:val="0"/>
              <w:autoSpaceDN w:val="0"/>
              <w:adjustRightInd w:val="0"/>
              <w:jc w:val="right"/>
              <w:rPr>
                <w:szCs w:val="21"/>
              </w:rPr>
            </w:pPr>
            <w:r>
              <w:t>844,750.00</w:t>
            </w:r>
          </w:p>
        </w:tc>
        <w:tc>
          <w:tcPr>
            <w:tcW w:w="632" w:type="pct"/>
            <w:tcBorders>
              <w:top w:val="single" w:sz="4" w:space="0" w:color="auto"/>
              <w:left w:val="single" w:sz="4" w:space="0" w:color="auto"/>
              <w:bottom w:val="single" w:sz="4" w:space="0" w:color="auto"/>
              <w:right w:val="single" w:sz="4" w:space="0" w:color="auto"/>
            </w:tcBorders>
          </w:tcPr>
          <w:p w14:paraId="4480E4CF" w14:textId="77777777" w:rsidR="00E57DAA" w:rsidRDefault="00AC4185">
            <w:pPr>
              <w:autoSpaceDE w:val="0"/>
              <w:autoSpaceDN w:val="0"/>
              <w:adjustRightInd w:val="0"/>
              <w:jc w:val="right"/>
              <w:rPr>
                <w:szCs w:val="21"/>
              </w:rPr>
            </w:pPr>
            <w:r>
              <w:t>743,176.16</w:t>
            </w:r>
          </w:p>
        </w:tc>
        <w:tc>
          <w:tcPr>
            <w:tcW w:w="703" w:type="pct"/>
            <w:tcBorders>
              <w:top w:val="single" w:sz="4" w:space="0" w:color="auto"/>
              <w:left w:val="single" w:sz="4" w:space="0" w:color="auto"/>
              <w:bottom w:val="single" w:sz="4" w:space="0" w:color="auto"/>
              <w:right w:val="single" w:sz="4" w:space="0" w:color="auto"/>
            </w:tcBorders>
          </w:tcPr>
          <w:p w14:paraId="1FD6B969" w14:textId="77777777" w:rsidR="00E57DAA" w:rsidRDefault="00AC4185">
            <w:pPr>
              <w:autoSpaceDE w:val="0"/>
              <w:autoSpaceDN w:val="0"/>
              <w:adjustRightInd w:val="0"/>
              <w:jc w:val="right"/>
              <w:rPr>
                <w:szCs w:val="21"/>
              </w:rPr>
            </w:pPr>
            <w:r>
              <w:t>844,750.00</w:t>
            </w:r>
          </w:p>
        </w:tc>
        <w:tc>
          <w:tcPr>
            <w:tcW w:w="914" w:type="pct"/>
            <w:tcBorders>
              <w:top w:val="single" w:sz="4" w:space="0" w:color="auto"/>
              <w:left w:val="single" w:sz="4" w:space="0" w:color="auto"/>
              <w:bottom w:val="single" w:sz="4" w:space="0" w:color="auto"/>
              <w:right w:val="single" w:sz="4" w:space="0" w:color="auto"/>
            </w:tcBorders>
          </w:tcPr>
          <w:p w14:paraId="0B93AD51" w14:textId="77777777" w:rsidR="00E57DAA" w:rsidRDefault="00AC4185">
            <w:pPr>
              <w:autoSpaceDE w:val="0"/>
              <w:autoSpaceDN w:val="0"/>
              <w:adjustRightInd w:val="0"/>
              <w:jc w:val="right"/>
              <w:rPr>
                <w:szCs w:val="21"/>
              </w:rPr>
            </w:pPr>
            <w:r>
              <w:t>743,359.18</w:t>
            </w:r>
          </w:p>
        </w:tc>
      </w:tr>
      <w:tr w:rsidR="00E57DAA" w14:paraId="4F2A94F8" w14:textId="77777777">
        <w:tc>
          <w:tcPr>
            <w:tcW w:w="677" w:type="pct"/>
            <w:tcBorders>
              <w:top w:val="single" w:sz="4" w:space="0" w:color="auto"/>
              <w:left w:val="single" w:sz="4" w:space="0" w:color="auto"/>
              <w:bottom w:val="single" w:sz="4" w:space="0" w:color="auto"/>
              <w:right w:val="single" w:sz="4" w:space="0" w:color="auto"/>
            </w:tcBorders>
            <w:vAlign w:val="center"/>
          </w:tcPr>
          <w:p w14:paraId="52D32C0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A4D023B" w14:textId="77777777" w:rsidR="00E57DAA" w:rsidRDefault="00AC4185">
            <w:pPr>
              <w:autoSpaceDE w:val="0"/>
              <w:autoSpaceDN w:val="0"/>
              <w:adjustRightInd w:val="0"/>
              <w:rPr>
                <w:szCs w:val="21"/>
              </w:rPr>
            </w:pPr>
            <w:r>
              <w:t>微山山水水泥有限公司</w:t>
            </w:r>
          </w:p>
        </w:tc>
        <w:tc>
          <w:tcPr>
            <w:tcW w:w="633" w:type="pct"/>
            <w:tcBorders>
              <w:top w:val="single" w:sz="4" w:space="0" w:color="auto"/>
              <w:left w:val="single" w:sz="4" w:space="0" w:color="auto"/>
              <w:bottom w:val="single" w:sz="4" w:space="0" w:color="auto"/>
              <w:right w:val="single" w:sz="4" w:space="0" w:color="auto"/>
            </w:tcBorders>
          </w:tcPr>
          <w:p w14:paraId="475B444F" w14:textId="77777777" w:rsidR="00E57DAA" w:rsidRDefault="00AC4185">
            <w:pPr>
              <w:autoSpaceDE w:val="0"/>
              <w:autoSpaceDN w:val="0"/>
              <w:adjustRightInd w:val="0"/>
              <w:jc w:val="right"/>
              <w:rPr>
                <w:szCs w:val="21"/>
              </w:rPr>
            </w:pPr>
            <w:r>
              <w:t>816,000.00</w:t>
            </w:r>
          </w:p>
        </w:tc>
        <w:tc>
          <w:tcPr>
            <w:tcW w:w="632" w:type="pct"/>
            <w:tcBorders>
              <w:top w:val="single" w:sz="4" w:space="0" w:color="auto"/>
              <w:left w:val="single" w:sz="4" w:space="0" w:color="auto"/>
              <w:bottom w:val="single" w:sz="4" w:space="0" w:color="auto"/>
              <w:right w:val="single" w:sz="4" w:space="0" w:color="auto"/>
            </w:tcBorders>
          </w:tcPr>
          <w:p w14:paraId="1358715B" w14:textId="77777777" w:rsidR="00E57DAA" w:rsidRDefault="00AC4185">
            <w:pPr>
              <w:autoSpaceDE w:val="0"/>
              <w:autoSpaceDN w:val="0"/>
              <w:adjustRightInd w:val="0"/>
              <w:jc w:val="right"/>
              <w:rPr>
                <w:szCs w:val="21"/>
              </w:rPr>
            </w:pPr>
            <w:r>
              <w:t>53,520.00</w:t>
            </w:r>
          </w:p>
        </w:tc>
        <w:tc>
          <w:tcPr>
            <w:tcW w:w="703" w:type="pct"/>
            <w:tcBorders>
              <w:top w:val="single" w:sz="4" w:space="0" w:color="auto"/>
              <w:left w:val="single" w:sz="4" w:space="0" w:color="auto"/>
              <w:bottom w:val="single" w:sz="4" w:space="0" w:color="auto"/>
              <w:right w:val="single" w:sz="4" w:space="0" w:color="auto"/>
            </w:tcBorders>
          </w:tcPr>
          <w:p w14:paraId="43015DB1" w14:textId="77777777" w:rsidR="00E57DAA" w:rsidRDefault="00AC4185">
            <w:pPr>
              <w:autoSpaceDE w:val="0"/>
              <w:autoSpaceDN w:val="0"/>
              <w:adjustRightInd w:val="0"/>
              <w:jc w:val="right"/>
              <w:rPr>
                <w:szCs w:val="21"/>
              </w:rPr>
            </w:pPr>
            <w:r>
              <w:t>816,000.00</w:t>
            </w:r>
          </w:p>
        </w:tc>
        <w:tc>
          <w:tcPr>
            <w:tcW w:w="914" w:type="pct"/>
            <w:tcBorders>
              <w:top w:val="single" w:sz="4" w:space="0" w:color="auto"/>
              <w:left w:val="single" w:sz="4" w:space="0" w:color="auto"/>
              <w:bottom w:val="single" w:sz="4" w:space="0" w:color="auto"/>
              <w:right w:val="single" w:sz="4" w:space="0" w:color="auto"/>
            </w:tcBorders>
          </w:tcPr>
          <w:p w14:paraId="26741A88" w14:textId="77777777" w:rsidR="00E57DAA" w:rsidRDefault="00AC4185">
            <w:pPr>
              <w:autoSpaceDE w:val="0"/>
              <w:autoSpaceDN w:val="0"/>
              <w:adjustRightInd w:val="0"/>
              <w:jc w:val="right"/>
              <w:rPr>
                <w:szCs w:val="21"/>
              </w:rPr>
            </w:pPr>
            <w:r>
              <w:t>19,760.00</w:t>
            </w:r>
          </w:p>
        </w:tc>
      </w:tr>
      <w:tr w:rsidR="00E57DAA" w14:paraId="3A8FF97D" w14:textId="77777777">
        <w:tc>
          <w:tcPr>
            <w:tcW w:w="677" w:type="pct"/>
            <w:tcBorders>
              <w:top w:val="single" w:sz="4" w:space="0" w:color="auto"/>
              <w:left w:val="single" w:sz="4" w:space="0" w:color="auto"/>
              <w:bottom w:val="single" w:sz="4" w:space="0" w:color="auto"/>
              <w:right w:val="single" w:sz="4" w:space="0" w:color="auto"/>
            </w:tcBorders>
            <w:vAlign w:val="center"/>
          </w:tcPr>
          <w:p w14:paraId="2FA1C57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2111C3" w14:textId="77777777" w:rsidR="00E57DAA" w:rsidRDefault="00AC4185">
            <w:pPr>
              <w:autoSpaceDE w:val="0"/>
              <w:autoSpaceDN w:val="0"/>
              <w:adjustRightInd w:val="0"/>
              <w:rPr>
                <w:szCs w:val="21"/>
              </w:rPr>
            </w:pPr>
            <w:r>
              <w:t>辽阳千山水泥有限责任公司</w:t>
            </w:r>
          </w:p>
        </w:tc>
        <w:tc>
          <w:tcPr>
            <w:tcW w:w="633" w:type="pct"/>
            <w:tcBorders>
              <w:top w:val="single" w:sz="4" w:space="0" w:color="auto"/>
              <w:left w:val="single" w:sz="4" w:space="0" w:color="auto"/>
              <w:bottom w:val="single" w:sz="4" w:space="0" w:color="auto"/>
              <w:right w:val="single" w:sz="4" w:space="0" w:color="auto"/>
            </w:tcBorders>
          </w:tcPr>
          <w:p w14:paraId="4BB35422" w14:textId="77777777" w:rsidR="00E57DAA" w:rsidRDefault="00AC4185">
            <w:pPr>
              <w:autoSpaceDE w:val="0"/>
              <w:autoSpaceDN w:val="0"/>
              <w:adjustRightInd w:val="0"/>
              <w:jc w:val="right"/>
              <w:rPr>
                <w:szCs w:val="21"/>
              </w:rPr>
            </w:pPr>
            <w:r>
              <w:t>813,347.50</w:t>
            </w:r>
          </w:p>
        </w:tc>
        <w:tc>
          <w:tcPr>
            <w:tcW w:w="632" w:type="pct"/>
            <w:tcBorders>
              <w:top w:val="single" w:sz="4" w:space="0" w:color="auto"/>
              <w:left w:val="single" w:sz="4" w:space="0" w:color="auto"/>
              <w:bottom w:val="single" w:sz="4" w:space="0" w:color="auto"/>
              <w:right w:val="single" w:sz="4" w:space="0" w:color="auto"/>
            </w:tcBorders>
          </w:tcPr>
          <w:p w14:paraId="39AF8494" w14:textId="77777777" w:rsidR="00E57DAA" w:rsidRDefault="00AC4185">
            <w:pPr>
              <w:autoSpaceDE w:val="0"/>
              <w:autoSpaceDN w:val="0"/>
              <w:adjustRightInd w:val="0"/>
              <w:jc w:val="right"/>
              <w:rPr>
                <w:szCs w:val="21"/>
              </w:rPr>
            </w:pPr>
            <w:r>
              <w:t>117,284.71</w:t>
            </w:r>
          </w:p>
        </w:tc>
        <w:tc>
          <w:tcPr>
            <w:tcW w:w="703" w:type="pct"/>
            <w:tcBorders>
              <w:top w:val="single" w:sz="4" w:space="0" w:color="auto"/>
              <w:left w:val="single" w:sz="4" w:space="0" w:color="auto"/>
              <w:bottom w:val="single" w:sz="4" w:space="0" w:color="auto"/>
              <w:right w:val="single" w:sz="4" w:space="0" w:color="auto"/>
            </w:tcBorders>
          </w:tcPr>
          <w:p w14:paraId="1D7DEEA5" w14:textId="77777777" w:rsidR="00E57DAA" w:rsidRDefault="00AC4185">
            <w:pPr>
              <w:autoSpaceDE w:val="0"/>
              <w:autoSpaceDN w:val="0"/>
              <w:adjustRightInd w:val="0"/>
              <w:jc w:val="right"/>
              <w:rPr>
                <w:szCs w:val="21"/>
              </w:rPr>
            </w:pPr>
            <w:r>
              <w:t>813,347.50</w:t>
            </w:r>
          </w:p>
        </w:tc>
        <w:tc>
          <w:tcPr>
            <w:tcW w:w="914" w:type="pct"/>
            <w:tcBorders>
              <w:top w:val="single" w:sz="4" w:space="0" w:color="auto"/>
              <w:left w:val="single" w:sz="4" w:space="0" w:color="auto"/>
              <w:bottom w:val="single" w:sz="4" w:space="0" w:color="auto"/>
              <w:right w:val="single" w:sz="4" w:space="0" w:color="auto"/>
            </w:tcBorders>
          </w:tcPr>
          <w:p w14:paraId="0338F15C" w14:textId="77777777" w:rsidR="00E57DAA" w:rsidRDefault="00AC4185">
            <w:pPr>
              <w:autoSpaceDE w:val="0"/>
              <w:autoSpaceDN w:val="0"/>
              <w:adjustRightInd w:val="0"/>
              <w:jc w:val="right"/>
              <w:rPr>
                <w:szCs w:val="21"/>
              </w:rPr>
            </w:pPr>
            <w:r>
              <w:t>58,642.35</w:t>
            </w:r>
          </w:p>
        </w:tc>
      </w:tr>
      <w:tr w:rsidR="00E57DAA" w14:paraId="00084565" w14:textId="77777777">
        <w:tc>
          <w:tcPr>
            <w:tcW w:w="677" w:type="pct"/>
            <w:tcBorders>
              <w:top w:val="single" w:sz="4" w:space="0" w:color="auto"/>
              <w:left w:val="single" w:sz="4" w:space="0" w:color="auto"/>
              <w:bottom w:val="single" w:sz="4" w:space="0" w:color="auto"/>
              <w:right w:val="single" w:sz="4" w:space="0" w:color="auto"/>
            </w:tcBorders>
            <w:vAlign w:val="center"/>
          </w:tcPr>
          <w:p w14:paraId="40630A8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298A169" w14:textId="77777777" w:rsidR="00E57DAA" w:rsidRDefault="00AC4185">
            <w:pPr>
              <w:autoSpaceDE w:val="0"/>
              <w:autoSpaceDN w:val="0"/>
              <w:adjustRightInd w:val="0"/>
              <w:rPr>
                <w:szCs w:val="21"/>
              </w:rPr>
            </w:pPr>
            <w:r>
              <w:t>渤海水泥（葫芦岛）有限公司</w:t>
            </w:r>
          </w:p>
        </w:tc>
        <w:tc>
          <w:tcPr>
            <w:tcW w:w="633" w:type="pct"/>
            <w:tcBorders>
              <w:top w:val="single" w:sz="4" w:space="0" w:color="auto"/>
              <w:left w:val="single" w:sz="4" w:space="0" w:color="auto"/>
              <w:bottom w:val="single" w:sz="4" w:space="0" w:color="auto"/>
              <w:right w:val="single" w:sz="4" w:space="0" w:color="auto"/>
            </w:tcBorders>
          </w:tcPr>
          <w:p w14:paraId="2474F8FC" w14:textId="77777777" w:rsidR="00E57DAA" w:rsidRDefault="00AC4185">
            <w:pPr>
              <w:autoSpaceDE w:val="0"/>
              <w:autoSpaceDN w:val="0"/>
              <w:adjustRightInd w:val="0"/>
              <w:jc w:val="right"/>
              <w:rPr>
                <w:szCs w:val="21"/>
              </w:rPr>
            </w:pPr>
            <w:r>
              <w:t>775,000.00</w:t>
            </w:r>
          </w:p>
        </w:tc>
        <w:tc>
          <w:tcPr>
            <w:tcW w:w="632" w:type="pct"/>
            <w:tcBorders>
              <w:top w:val="single" w:sz="4" w:space="0" w:color="auto"/>
              <w:left w:val="single" w:sz="4" w:space="0" w:color="auto"/>
              <w:bottom w:val="single" w:sz="4" w:space="0" w:color="auto"/>
              <w:right w:val="single" w:sz="4" w:space="0" w:color="auto"/>
            </w:tcBorders>
          </w:tcPr>
          <w:p w14:paraId="3680AC18" w14:textId="77777777" w:rsidR="00E57DAA" w:rsidRDefault="00AC4185">
            <w:pPr>
              <w:autoSpaceDE w:val="0"/>
              <w:autoSpaceDN w:val="0"/>
              <w:adjustRightInd w:val="0"/>
              <w:jc w:val="right"/>
              <w:rPr>
                <w:szCs w:val="21"/>
              </w:rPr>
            </w:pPr>
            <w:r>
              <w:t>39,942.50</w:t>
            </w:r>
          </w:p>
        </w:tc>
        <w:tc>
          <w:tcPr>
            <w:tcW w:w="703" w:type="pct"/>
            <w:tcBorders>
              <w:top w:val="single" w:sz="4" w:space="0" w:color="auto"/>
              <w:left w:val="single" w:sz="4" w:space="0" w:color="auto"/>
              <w:bottom w:val="single" w:sz="4" w:space="0" w:color="auto"/>
              <w:right w:val="single" w:sz="4" w:space="0" w:color="auto"/>
            </w:tcBorders>
          </w:tcPr>
          <w:p w14:paraId="0156F8AD" w14:textId="77777777" w:rsidR="00E57DAA" w:rsidRDefault="00AC4185">
            <w:pPr>
              <w:autoSpaceDE w:val="0"/>
              <w:autoSpaceDN w:val="0"/>
              <w:adjustRightInd w:val="0"/>
              <w:jc w:val="right"/>
              <w:rPr>
                <w:szCs w:val="21"/>
              </w:rPr>
            </w:pPr>
            <w:r>
              <w:t>1,601,636.22</w:t>
            </w:r>
          </w:p>
        </w:tc>
        <w:tc>
          <w:tcPr>
            <w:tcW w:w="914" w:type="pct"/>
            <w:tcBorders>
              <w:top w:val="single" w:sz="4" w:space="0" w:color="auto"/>
              <w:left w:val="single" w:sz="4" w:space="0" w:color="auto"/>
              <w:bottom w:val="single" w:sz="4" w:space="0" w:color="auto"/>
              <w:right w:val="single" w:sz="4" w:space="0" w:color="auto"/>
            </w:tcBorders>
          </w:tcPr>
          <w:p w14:paraId="008EC42B" w14:textId="77777777" w:rsidR="00E57DAA" w:rsidRDefault="00AC4185">
            <w:pPr>
              <w:autoSpaceDE w:val="0"/>
              <w:autoSpaceDN w:val="0"/>
              <w:adjustRightInd w:val="0"/>
              <w:jc w:val="right"/>
              <w:rPr>
                <w:szCs w:val="21"/>
              </w:rPr>
            </w:pPr>
            <w:r>
              <w:t>115,477.97</w:t>
            </w:r>
          </w:p>
        </w:tc>
      </w:tr>
      <w:tr w:rsidR="00E57DAA" w14:paraId="64820C81" w14:textId="77777777">
        <w:tc>
          <w:tcPr>
            <w:tcW w:w="677" w:type="pct"/>
            <w:tcBorders>
              <w:top w:val="single" w:sz="4" w:space="0" w:color="auto"/>
              <w:left w:val="single" w:sz="4" w:space="0" w:color="auto"/>
              <w:bottom w:val="single" w:sz="4" w:space="0" w:color="auto"/>
              <w:right w:val="single" w:sz="4" w:space="0" w:color="auto"/>
            </w:tcBorders>
            <w:vAlign w:val="center"/>
          </w:tcPr>
          <w:p w14:paraId="585AF34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433526A" w14:textId="77777777" w:rsidR="00E57DAA" w:rsidRDefault="00AC4185">
            <w:pPr>
              <w:autoSpaceDE w:val="0"/>
              <w:autoSpaceDN w:val="0"/>
              <w:adjustRightInd w:val="0"/>
              <w:rPr>
                <w:szCs w:val="21"/>
              </w:rPr>
            </w:pPr>
            <w:r>
              <w:t>武乡山水水泥有限公司</w:t>
            </w:r>
          </w:p>
        </w:tc>
        <w:tc>
          <w:tcPr>
            <w:tcW w:w="633" w:type="pct"/>
            <w:tcBorders>
              <w:top w:val="single" w:sz="4" w:space="0" w:color="auto"/>
              <w:left w:val="single" w:sz="4" w:space="0" w:color="auto"/>
              <w:bottom w:val="single" w:sz="4" w:space="0" w:color="auto"/>
              <w:right w:val="single" w:sz="4" w:space="0" w:color="auto"/>
            </w:tcBorders>
          </w:tcPr>
          <w:p w14:paraId="2FED744A" w14:textId="77777777" w:rsidR="00E57DAA" w:rsidRDefault="00AC4185">
            <w:pPr>
              <w:autoSpaceDE w:val="0"/>
              <w:autoSpaceDN w:val="0"/>
              <w:adjustRightInd w:val="0"/>
              <w:jc w:val="right"/>
              <w:rPr>
                <w:szCs w:val="21"/>
              </w:rPr>
            </w:pPr>
            <w:r>
              <w:t>599,741.00</w:t>
            </w:r>
          </w:p>
        </w:tc>
        <w:tc>
          <w:tcPr>
            <w:tcW w:w="632" w:type="pct"/>
            <w:tcBorders>
              <w:top w:val="single" w:sz="4" w:space="0" w:color="auto"/>
              <w:left w:val="single" w:sz="4" w:space="0" w:color="auto"/>
              <w:bottom w:val="single" w:sz="4" w:space="0" w:color="auto"/>
              <w:right w:val="single" w:sz="4" w:space="0" w:color="auto"/>
            </w:tcBorders>
          </w:tcPr>
          <w:p w14:paraId="4393152C" w14:textId="77777777" w:rsidR="00E57DAA" w:rsidRDefault="00AC4185">
            <w:pPr>
              <w:autoSpaceDE w:val="0"/>
              <w:autoSpaceDN w:val="0"/>
              <w:adjustRightInd w:val="0"/>
              <w:jc w:val="right"/>
              <w:rPr>
                <w:szCs w:val="21"/>
              </w:rPr>
            </w:pPr>
            <w:r>
              <w:t>35,345.35</w:t>
            </w:r>
          </w:p>
        </w:tc>
        <w:tc>
          <w:tcPr>
            <w:tcW w:w="703" w:type="pct"/>
            <w:tcBorders>
              <w:top w:val="single" w:sz="4" w:space="0" w:color="auto"/>
              <w:left w:val="single" w:sz="4" w:space="0" w:color="auto"/>
              <w:bottom w:val="single" w:sz="4" w:space="0" w:color="auto"/>
              <w:right w:val="single" w:sz="4" w:space="0" w:color="auto"/>
            </w:tcBorders>
          </w:tcPr>
          <w:p w14:paraId="7CA00E19" w14:textId="77777777" w:rsidR="00E57DAA" w:rsidRDefault="00AC4185">
            <w:pPr>
              <w:autoSpaceDE w:val="0"/>
              <w:autoSpaceDN w:val="0"/>
              <w:adjustRightInd w:val="0"/>
              <w:jc w:val="right"/>
              <w:rPr>
                <w:szCs w:val="21"/>
              </w:rPr>
            </w:pPr>
            <w:r>
              <w:t>337,000.00</w:t>
            </w:r>
          </w:p>
        </w:tc>
        <w:tc>
          <w:tcPr>
            <w:tcW w:w="914" w:type="pct"/>
            <w:tcBorders>
              <w:top w:val="single" w:sz="4" w:space="0" w:color="auto"/>
              <w:left w:val="single" w:sz="4" w:space="0" w:color="auto"/>
              <w:bottom w:val="single" w:sz="4" w:space="0" w:color="auto"/>
              <w:right w:val="single" w:sz="4" w:space="0" w:color="auto"/>
            </w:tcBorders>
          </w:tcPr>
          <w:p w14:paraId="2349E279" w14:textId="77777777" w:rsidR="00E57DAA" w:rsidRDefault="00AC4185">
            <w:pPr>
              <w:autoSpaceDE w:val="0"/>
              <w:autoSpaceDN w:val="0"/>
              <w:adjustRightInd w:val="0"/>
              <w:jc w:val="right"/>
              <w:rPr>
                <w:szCs w:val="21"/>
              </w:rPr>
            </w:pPr>
            <w:r>
              <w:t>7,986.90</w:t>
            </w:r>
          </w:p>
        </w:tc>
      </w:tr>
      <w:tr w:rsidR="00E57DAA" w14:paraId="7A5F0031" w14:textId="77777777">
        <w:tc>
          <w:tcPr>
            <w:tcW w:w="677" w:type="pct"/>
            <w:tcBorders>
              <w:top w:val="single" w:sz="4" w:space="0" w:color="auto"/>
              <w:left w:val="single" w:sz="4" w:space="0" w:color="auto"/>
              <w:bottom w:val="single" w:sz="4" w:space="0" w:color="auto"/>
              <w:right w:val="single" w:sz="4" w:space="0" w:color="auto"/>
            </w:tcBorders>
            <w:vAlign w:val="center"/>
          </w:tcPr>
          <w:p w14:paraId="6C2694D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F27FB9B" w14:textId="77777777" w:rsidR="00E57DAA" w:rsidRDefault="00AC4185">
            <w:pPr>
              <w:autoSpaceDE w:val="0"/>
              <w:autoSpaceDN w:val="0"/>
              <w:adjustRightInd w:val="0"/>
              <w:rPr>
                <w:szCs w:val="21"/>
              </w:rPr>
            </w:pPr>
            <w:r>
              <w:t>山东泉兴水泥有限公司</w:t>
            </w:r>
          </w:p>
        </w:tc>
        <w:tc>
          <w:tcPr>
            <w:tcW w:w="633" w:type="pct"/>
            <w:tcBorders>
              <w:top w:val="single" w:sz="4" w:space="0" w:color="auto"/>
              <w:left w:val="single" w:sz="4" w:space="0" w:color="auto"/>
              <w:bottom w:val="single" w:sz="4" w:space="0" w:color="auto"/>
              <w:right w:val="single" w:sz="4" w:space="0" w:color="auto"/>
            </w:tcBorders>
          </w:tcPr>
          <w:p w14:paraId="5BEC2F84" w14:textId="77777777" w:rsidR="00E57DAA" w:rsidRDefault="00AC4185">
            <w:pPr>
              <w:autoSpaceDE w:val="0"/>
              <w:autoSpaceDN w:val="0"/>
              <w:adjustRightInd w:val="0"/>
              <w:jc w:val="right"/>
              <w:rPr>
                <w:szCs w:val="21"/>
              </w:rPr>
            </w:pPr>
            <w:r>
              <w:t>560,000.00</w:t>
            </w:r>
          </w:p>
        </w:tc>
        <w:tc>
          <w:tcPr>
            <w:tcW w:w="632" w:type="pct"/>
            <w:tcBorders>
              <w:top w:val="single" w:sz="4" w:space="0" w:color="auto"/>
              <w:left w:val="single" w:sz="4" w:space="0" w:color="auto"/>
              <w:bottom w:val="single" w:sz="4" w:space="0" w:color="auto"/>
              <w:right w:val="single" w:sz="4" w:space="0" w:color="auto"/>
            </w:tcBorders>
          </w:tcPr>
          <w:p w14:paraId="0EE7BC5D" w14:textId="77777777" w:rsidR="00E57DAA" w:rsidRDefault="00AC4185">
            <w:pPr>
              <w:autoSpaceDE w:val="0"/>
              <w:autoSpaceDN w:val="0"/>
              <w:adjustRightInd w:val="0"/>
              <w:jc w:val="right"/>
              <w:rPr>
                <w:szCs w:val="21"/>
              </w:rPr>
            </w:pPr>
            <w:r>
              <w:t>13,272.00</w:t>
            </w:r>
          </w:p>
        </w:tc>
        <w:tc>
          <w:tcPr>
            <w:tcW w:w="703" w:type="pct"/>
            <w:tcBorders>
              <w:top w:val="single" w:sz="4" w:space="0" w:color="auto"/>
              <w:left w:val="single" w:sz="4" w:space="0" w:color="auto"/>
              <w:bottom w:val="single" w:sz="4" w:space="0" w:color="auto"/>
              <w:right w:val="single" w:sz="4" w:space="0" w:color="auto"/>
            </w:tcBorders>
          </w:tcPr>
          <w:p w14:paraId="6B31F45B" w14:textId="77777777" w:rsidR="00E57DAA" w:rsidRDefault="00AC4185">
            <w:pPr>
              <w:autoSpaceDE w:val="0"/>
              <w:autoSpaceDN w:val="0"/>
              <w:adjustRightInd w:val="0"/>
              <w:jc w:val="right"/>
              <w:rPr>
                <w:szCs w:val="21"/>
              </w:rPr>
            </w:pPr>
            <w:r>
              <w:t>9,480.00</w:t>
            </w:r>
          </w:p>
        </w:tc>
        <w:tc>
          <w:tcPr>
            <w:tcW w:w="914" w:type="pct"/>
            <w:tcBorders>
              <w:top w:val="single" w:sz="4" w:space="0" w:color="auto"/>
              <w:left w:val="single" w:sz="4" w:space="0" w:color="auto"/>
              <w:bottom w:val="single" w:sz="4" w:space="0" w:color="auto"/>
              <w:right w:val="single" w:sz="4" w:space="0" w:color="auto"/>
            </w:tcBorders>
          </w:tcPr>
          <w:p w14:paraId="76782637" w14:textId="77777777" w:rsidR="00E57DAA" w:rsidRDefault="00AC4185">
            <w:pPr>
              <w:autoSpaceDE w:val="0"/>
              <w:autoSpaceDN w:val="0"/>
              <w:adjustRightInd w:val="0"/>
              <w:jc w:val="right"/>
              <w:rPr>
                <w:szCs w:val="21"/>
              </w:rPr>
            </w:pPr>
            <w:r>
              <w:t>660.28</w:t>
            </w:r>
          </w:p>
        </w:tc>
      </w:tr>
      <w:tr w:rsidR="00E57DAA" w14:paraId="30AD9DB4" w14:textId="77777777">
        <w:tc>
          <w:tcPr>
            <w:tcW w:w="677" w:type="pct"/>
            <w:tcBorders>
              <w:top w:val="single" w:sz="4" w:space="0" w:color="auto"/>
              <w:left w:val="single" w:sz="4" w:space="0" w:color="auto"/>
              <w:bottom w:val="single" w:sz="4" w:space="0" w:color="auto"/>
              <w:right w:val="single" w:sz="4" w:space="0" w:color="auto"/>
            </w:tcBorders>
            <w:vAlign w:val="center"/>
          </w:tcPr>
          <w:p w14:paraId="29974D8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C858238" w14:textId="77777777" w:rsidR="00E57DAA" w:rsidRDefault="00AC4185">
            <w:pPr>
              <w:autoSpaceDE w:val="0"/>
              <w:autoSpaceDN w:val="0"/>
              <w:adjustRightInd w:val="0"/>
              <w:rPr>
                <w:szCs w:val="21"/>
              </w:rPr>
            </w:pPr>
            <w:r>
              <w:t>长春市四通水泥有限公司</w:t>
            </w:r>
          </w:p>
        </w:tc>
        <w:tc>
          <w:tcPr>
            <w:tcW w:w="633" w:type="pct"/>
            <w:tcBorders>
              <w:top w:val="single" w:sz="4" w:space="0" w:color="auto"/>
              <w:left w:val="single" w:sz="4" w:space="0" w:color="auto"/>
              <w:bottom w:val="single" w:sz="4" w:space="0" w:color="auto"/>
              <w:right w:val="single" w:sz="4" w:space="0" w:color="auto"/>
            </w:tcBorders>
          </w:tcPr>
          <w:p w14:paraId="18E159D7" w14:textId="77777777" w:rsidR="00E57DAA" w:rsidRDefault="00AC4185">
            <w:pPr>
              <w:autoSpaceDE w:val="0"/>
              <w:autoSpaceDN w:val="0"/>
              <w:adjustRightInd w:val="0"/>
              <w:jc w:val="right"/>
              <w:rPr>
                <w:szCs w:val="21"/>
              </w:rPr>
            </w:pPr>
            <w:r>
              <w:t>536,000.00</w:t>
            </w:r>
          </w:p>
        </w:tc>
        <w:tc>
          <w:tcPr>
            <w:tcW w:w="632" w:type="pct"/>
            <w:tcBorders>
              <w:top w:val="single" w:sz="4" w:space="0" w:color="auto"/>
              <w:left w:val="single" w:sz="4" w:space="0" w:color="auto"/>
              <w:bottom w:val="single" w:sz="4" w:space="0" w:color="auto"/>
              <w:right w:val="single" w:sz="4" w:space="0" w:color="auto"/>
            </w:tcBorders>
          </w:tcPr>
          <w:p w14:paraId="18404920" w14:textId="77777777" w:rsidR="00E57DAA" w:rsidRDefault="00AC4185">
            <w:pPr>
              <w:autoSpaceDE w:val="0"/>
              <w:autoSpaceDN w:val="0"/>
              <w:adjustRightInd w:val="0"/>
              <w:jc w:val="right"/>
              <w:rPr>
                <w:szCs w:val="21"/>
              </w:rPr>
            </w:pPr>
            <w:r>
              <w:t>536,000.00</w:t>
            </w:r>
          </w:p>
        </w:tc>
        <w:tc>
          <w:tcPr>
            <w:tcW w:w="703" w:type="pct"/>
            <w:tcBorders>
              <w:top w:val="single" w:sz="4" w:space="0" w:color="auto"/>
              <w:left w:val="single" w:sz="4" w:space="0" w:color="auto"/>
              <w:bottom w:val="single" w:sz="4" w:space="0" w:color="auto"/>
              <w:right w:val="single" w:sz="4" w:space="0" w:color="auto"/>
            </w:tcBorders>
          </w:tcPr>
          <w:p w14:paraId="7542170E" w14:textId="77777777" w:rsidR="00E57DAA" w:rsidRDefault="00AC4185">
            <w:pPr>
              <w:autoSpaceDE w:val="0"/>
              <w:autoSpaceDN w:val="0"/>
              <w:adjustRightInd w:val="0"/>
              <w:jc w:val="right"/>
              <w:rPr>
                <w:szCs w:val="21"/>
              </w:rPr>
            </w:pPr>
            <w:r>
              <w:t>536,000.00</w:t>
            </w:r>
          </w:p>
        </w:tc>
        <w:tc>
          <w:tcPr>
            <w:tcW w:w="914" w:type="pct"/>
            <w:tcBorders>
              <w:top w:val="single" w:sz="4" w:space="0" w:color="auto"/>
              <w:left w:val="single" w:sz="4" w:space="0" w:color="auto"/>
              <w:bottom w:val="single" w:sz="4" w:space="0" w:color="auto"/>
              <w:right w:val="single" w:sz="4" w:space="0" w:color="auto"/>
            </w:tcBorders>
          </w:tcPr>
          <w:p w14:paraId="037B6A67" w14:textId="77777777" w:rsidR="00E57DAA" w:rsidRDefault="00AC4185">
            <w:pPr>
              <w:autoSpaceDE w:val="0"/>
              <w:autoSpaceDN w:val="0"/>
              <w:adjustRightInd w:val="0"/>
              <w:jc w:val="right"/>
              <w:rPr>
                <w:szCs w:val="21"/>
              </w:rPr>
            </w:pPr>
            <w:r>
              <w:t>536,000.00</w:t>
            </w:r>
          </w:p>
        </w:tc>
      </w:tr>
      <w:tr w:rsidR="00E57DAA" w14:paraId="67B08692" w14:textId="77777777">
        <w:tc>
          <w:tcPr>
            <w:tcW w:w="677" w:type="pct"/>
            <w:tcBorders>
              <w:top w:val="single" w:sz="4" w:space="0" w:color="auto"/>
              <w:left w:val="single" w:sz="4" w:space="0" w:color="auto"/>
              <w:bottom w:val="single" w:sz="4" w:space="0" w:color="auto"/>
              <w:right w:val="single" w:sz="4" w:space="0" w:color="auto"/>
            </w:tcBorders>
            <w:vAlign w:val="center"/>
          </w:tcPr>
          <w:p w14:paraId="0F87C34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65B602B" w14:textId="77777777" w:rsidR="00E57DAA" w:rsidRDefault="00AC4185">
            <w:pPr>
              <w:autoSpaceDE w:val="0"/>
              <w:autoSpaceDN w:val="0"/>
              <w:adjustRightInd w:val="0"/>
              <w:rPr>
                <w:szCs w:val="21"/>
              </w:rPr>
            </w:pPr>
            <w:r>
              <w:t>吕梁山水水泥有限公司</w:t>
            </w:r>
          </w:p>
        </w:tc>
        <w:tc>
          <w:tcPr>
            <w:tcW w:w="633" w:type="pct"/>
            <w:tcBorders>
              <w:top w:val="single" w:sz="4" w:space="0" w:color="auto"/>
              <w:left w:val="single" w:sz="4" w:space="0" w:color="auto"/>
              <w:bottom w:val="single" w:sz="4" w:space="0" w:color="auto"/>
              <w:right w:val="single" w:sz="4" w:space="0" w:color="auto"/>
            </w:tcBorders>
          </w:tcPr>
          <w:p w14:paraId="5A85489B" w14:textId="77777777" w:rsidR="00E57DAA" w:rsidRDefault="00AC4185">
            <w:pPr>
              <w:autoSpaceDE w:val="0"/>
              <w:autoSpaceDN w:val="0"/>
              <w:adjustRightInd w:val="0"/>
              <w:jc w:val="right"/>
              <w:rPr>
                <w:szCs w:val="21"/>
              </w:rPr>
            </w:pPr>
            <w:r>
              <w:t>387,000.00</w:t>
            </w:r>
          </w:p>
        </w:tc>
        <w:tc>
          <w:tcPr>
            <w:tcW w:w="632" w:type="pct"/>
            <w:tcBorders>
              <w:top w:val="single" w:sz="4" w:space="0" w:color="auto"/>
              <w:left w:val="single" w:sz="4" w:space="0" w:color="auto"/>
              <w:bottom w:val="single" w:sz="4" w:space="0" w:color="auto"/>
              <w:right w:val="single" w:sz="4" w:space="0" w:color="auto"/>
            </w:tcBorders>
          </w:tcPr>
          <w:p w14:paraId="463F4D3B" w14:textId="77777777" w:rsidR="00E57DAA" w:rsidRDefault="00AC4185">
            <w:pPr>
              <w:autoSpaceDE w:val="0"/>
              <w:autoSpaceDN w:val="0"/>
              <w:adjustRightInd w:val="0"/>
              <w:jc w:val="right"/>
              <w:rPr>
                <w:szCs w:val="21"/>
              </w:rPr>
            </w:pPr>
            <w:r>
              <w:t>25,503.30</w:t>
            </w:r>
          </w:p>
        </w:tc>
        <w:tc>
          <w:tcPr>
            <w:tcW w:w="703" w:type="pct"/>
            <w:tcBorders>
              <w:top w:val="single" w:sz="4" w:space="0" w:color="auto"/>
              <w:left w:val="single" w:sz="4" w:space="0" w:color="auto"/>
              <w:bottom w:val="single" w:sz="4" w:space="0" w:color="auto"/>
              <w:right w:val="single" w:sz="4" w:space="0" w:color="auto"/>
            </w:tcBorders>
          </w:tcPr>
          <w:p w14:paraId="0582B1F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1F323C9" w14:textId="77777777" w:rsidR="00E57DAA" w:rsidRDefault="00AC4185">
            <w:pPr>
              <w:autoSpaceDE w:val="0"/>
              <w:autoSpaceDN w:val="0"/>
              <w:adjustRightInd w:val="0"/>
              <w:jc w:val="right"/>
              <w:rPr>
                <w:szCs w:val="21"/>
              </w:rPr>
            </w:pPr>
            <w:r>
              <w:t xml:space="preserve">　</w:t>
            </w:r>
          </w:p>
        </w:tc>
      </w:tr>
      <w:tr w:rsidR="00E57DAA" w14:paraId="56396178" w14:textId="77777777">
        <w:tc>
          <w:tcPr>
            <w:tcW w:w="677" w:type="pct"/>
            <w:tcBorders>
              <w:top w:val="single" w:sz="4" w:space="0" w:color="auto"/>
              <w:left w:val="single" w:sz="4" w:space="0" w:color="auto"/>
              <w:bottom w:val="single" w:sz="4" w:space="0" w:color="auto"/>
              <w:right w:val="single" w:sz="4" w:space="0" w:color="auto"/>
            </w:tcBorders>
            <w:vAlign w:val="center"/>
          </w:tcPr>
          <w:p w14:paraId="7A2783D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8FA39DB" w14:textId="77777777" w:rsidR="00E57DAA" w:rsidRDefault="00AC4185">
            <w:pPr>
              <w:autoSpaceDE w:val="0"/>
              <w:autoSpaceDN w:val="0"/>
              <w:adjustRightInd w:val="0"/>
              <w:rPr>
                <w:szCs w:val="21"/>
              </w:rPr>
            </w:pPr>
            <w:r>
              <w:t>太原山水水泥有限公司</w:t>
            </w:r>
          </w:p>
        </w:tc>
        <w:tc>
          <w:tcPr>
            <w:tcW w:w="633" w:type="pct"/>
            <w:tcBorders>
              <w:top w:val="single" w:sz="4" w:space="0" w:color="auto"/>
              <w:left w:val="single" w:sz="4" w:space="0" w:color="auto"/>
              <w:bottom w:val="single" w:sz="4" w:space="0" w:color="auto"/>
              <w:right w:val="single" w:sz="4" w:space="0" w:color="auto"/>
            </w:tcBorders>
          </w:tcPr>
          <w:p w14:paraId="128A638C" w14:textId="77777777" w:rsidR="00E57DAA" w:rsidRDefault="00AC4185">
            <w:pPr>
              <w:autoSpaceDE w:val="0"/>
              <w:autoSpaceDN w:val="0"/>
              <w:adjustRightInd w:val="0"/>
              <w:jc w:val="right"/>
              <w:rPr>
                <w:szCs w:val="21"/>
              </w:rPr>
            </w:pPr>
            <w:r>
              <w:t>361,405.50</w:t>
            </w:r>
          </w:p>
        </w:tc>
        <w:tc>
          <w:tcPr>
            <w:tcW w:w="632" w:type="pct"/>
            <w:tcBorders>
              <w:top w:val="single" w:sz="4" w:space="0" w:color="auto"/>
              <w:left w:val="single" w:sz="4" w:space="0" w:color="auto"/>
              <w:bottom w:val="single" w:sz="4" w:space="0" w:color="auto"/>
              <w:right w:val="single" w:sz="4" w:space="0" w:color="auto"/>
            </w:tcBorders>
          </w:tcPr>
          <w:p w14:paraId="6219B54B" w14:textId="77777777" w:rsidR="00E57DAA" w:rsidRDefault="00AC4185">
            <w:pPr>
              <w:autoSpaceDE w:val="0"/>
              <w:autoSpaceDN w:val="0"/>
              <w:adjustRightInd w:val="0"/>
              <w:jc w:val="right"/>
              <w:rPr>
                <w:szCs w:val="21"/>
              </w:rPr>
            </w:pPr>
            <w:r>
              <w:t>26,327.90</w:t>
            </w:r>
          </w:p>
        </w:tc>
        <w:tc>
          <w:tcPr>
            <w:tcW w:w="703" w:type="pct"/>
            <w:tcBorders>
              <w:top w:val="single" w:sz="4" w:space="0" w:color="auto"/>
              <w:left w:val="single" w:sz="4" w:space="0" w:color="auto"/>
              <w:bottom w:val="single" w:sz="4" w:space="0" w:color="auto"/>
              <w:right w:val="single" w:sz="4" w:space="0" w:color="auto"/>
            </w:tcBorders>
          </w:tcPr>
          <w:p w14:paraId="0F4CEA5F" w14:textId="77777777" w:rsidR="00E57DAA" w:rsidRDefault="00AC4185">
            <w:pPr>
              <w:autoSpaceDE w:val="0"/>
              <w:autoSpaceDN w:val="0"/>
              <w:adjustRightInd w:val="0"/>
              <w:jc w:val="right"/>
              <w:rPr>
                <w:szCs w:val="21"/>
              </w:rPr>
            </w:pPr>
            <w:r>
              <w:t>201,405.50</w:t>
            </w:r>
          </w:p>
        </w:tc>
        <w:tc>
          <w:tcPr>
            <w:tcW w:w="914" w:type="pct"/>
            <w:tcBorders>
              <w:top w:val="single" w:sz="4" w:space="0" w:color="auto"/>
              <w:left w:val="single" w:sz="4" w:space="0" w:color="auto"/>
              <w:bottom w:val="single" w:sz="4" w:space="0" w:color="auto"/>
              <w:right w:val="single" w:sz="4" w:space="0" w:color="auto"/>
            </w:tcBorders>
          </w:tcPr>
          <w:p w14:paraId="14C7F61D" w14:textId="77777777" w:rsidR="00E57DAA" w:rsidRDefault="00AC4185">
            <w:pPr>
              <w:autoSpaceDE w:val="0"/>
              <w:autoSpaceDN w:val="0"/>
              <w:adjustRightInd w:val="0"/>
              <w:jc w:val="right"/>
              <w:rPr>
                <w:szCs w:val="21"/>
              </w:rPr>
            </w:pPr>
            <w:r>
              <w:t>17,723.68</w:t>
            </w:r>
          </w:p>
        </w:tc>
      </w:tr>
      <w:tr w:rsidR="00E57DAA" w14:paraId="2C155CE2" w14:textId="77777777">
        <w:tc>
          <w:tcPr>
            <w:tcW w:w="677" w:type="pct"/>
            <w:tcBorders>
              <w:top w:val="single" w:sz="4" w:space="0" w:color="auto"/>
              <w:left w:val="single" w:sz="4" w:space="0" w:color="auto"/>
              <w:bottom w:val="single" w:sz="4" w:space="0" w:color="auto"/>
              <w:right w:val="single" w:sz="4" w:space="0" w:color="auto"/>
            </w:tcBorders>
            <w:vAlign w:val="center"/>
          </w:tcPr>
          <w:p w14:paraId="725D158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80ED8B1" w14:textId="77777777" w:rsidR="00E57DAA" w:rsidRDefault="00AC4185">
            <w:pPr>
              <w:autoSpaceDE w:val="0"/>
              <w:autoSpaceDN w:val="0"/>
              <w:adjustRightInd w:val="0"/>
              <w:rPr>
                <w:szCs w:val="21"/>
              </w:rPr>
            </w:pPr>
            <w:r>
              <w:t>白山山水水泥有限责任公司</w:t>
            </w:r>
          </w:p>
        </w:tc>
        <w:tc>
          <w:tcPr>
            <w:tcW w:w="633" w:type="pct"/>
            <w:tcBorders>
              <w:top w:val="single" w:sz="4" w:space="0" w:color="auto"/>
              <w:left w:val="single" w:sz="4" w:space="0" w:color="auto"/>
              <w:bottom w:val="single" w:sz="4" w:space="0" w:color="auto"/>
              <w:right w:val="single" w:sz="4" w:space="0" w:color="auto"/>
            </w:tcBorders>
          </w:tcPr>
          <w:p w14:paraId="6C9BEE9E" w14:textId="77777777" w:rsidR="00E57DAA" w:rsidRDefault="00AC4185">
            <w:pPr>
              <w:autoSpaceDE w:val="0"/>
              <w:autoSpaceDN w:val="0"/>
              <w:adjustRightInd w:val="0"/>
              <w:jc w:val="right"/>
              <w:rPr>
                <w:szCs w:val="21"/>
              </w:rPr>
            </w:pPr>
            <w:r>
              <w:t>275,000.00</w:t>
            </w:r>
          </w:p>
        </w:tc>
        <w:tc>
          <w:tcPr>
            <w:tcW w:w="632" w:type="pct"/>
            <w:tcBorders>
              <w:top w:val="single" w:sz="4" w:space="0" w:color="auto"/>
              <w:left w:val="single" w:sz="4" w:space="0" w:color="auto"/>
              <w:bottom w:val="single" w:sz="4" w:space="0" w:color="auto"/>
              <w:right w:val="single" w:sz="4" w:space="0" w:color="auto"/>
            </w:tcBorders>
          </w:tcPr>
          <w:p w14:paraId="351E0807" w14:textId="77777777" w:rsidR="00E57DAA" w:rsidRDefault="00AC4185">
            <w:pPr>
              <w:autoSpaceDE w:val="0"/>
              <w:autoSpaceDN w:val="0"/>
              <w:adjustRightInd w:val="0"/>
              <w:jc w:val="right"/>
              <w:rPr>
                <w:szCs w:val="21"/>
              </w:rPr>
            </w:pPr>
            <w:r>
              <w:t>18,122.50</w:t>
            </w:r>
          </w:p>
        </w:tc>
        <w:tc>
          <w:tcPr>
            <w:tcW w:w="703" w:type="pct"/>
            <w:tcBorders>
              <w:top w:val="single" w:sz="4" w:space="0" w:color="auto"/>
              <w:left w:val="single" w:sz="4" w:space="0" w:color="auto"/>
              <w:bottom w:val="single" w:sz="4" w:space="0" w:color="auto"/>
              <w:right w:val="single" w:sz="4" w:space="0" w:color="auto"/>
            </w:tcBorders>
          </w:tcPr>
          <w:p w14:paraId="5C26CC48" w14:textId="77777777" w:rsidR="00E57DAA" w:rsidRDefault="00AC4185">
            <w:pPr>
              <w:autoSpaceDE w:val="0"/>
              <w:autoSpaceDN w:val="0"/>
              <w:adjustRightInd w:val="0"/>
              <w:jc w:val="right"/>
              <w:rPr>
                <w:szCs w:val="21"/>
              </w:rPr>
            </w:pPr>
            <w:r>
              <w:t>275,000.00</w:t>
            </w:r>
          </w:p>
        </w:tc>
        <w:tc>
          <w:tcPr>
            <w:tcW w:w="914" w:type="pct"/>
            <w:tcBorders>
              <w:top w:val="single" w:sz="4" w:space="0" w:color="auto"/>
              <w:left w:val="single" w:sz="4" w:space="0" w:color="auto"/>
              <w:bottom w:val="single" w:sz="4" w:space="0" w:color="auto"/>
              <w:right w:val="single" w:sz="4" w:space="0" w:color="auto"/>
            </w:tcBorders>
          </w:tcPr>
          <w:p w14:paraId="5777DAE5" w14:textId="77777777" w:rsidR="00E57DAA" w:rsidRDefault="00AC4185">
            <w:pPr>
              <w:autoSpaceDE w:val="0"/>
              <w:autoSpaceDN w:val="0"/>
              <w:adjustRightInd w:val="0"/>
              <w:jc w:val="right"/>
              <w:rPr>
                <w:szCs w:val="21"/>
              </w:rPr>
            </w:pPr>
            <w:r>
              <w:t>6,517.50</w:t>
            </w:r>
          </w:p>
        </w:tc>
      </w:tr>
      <w:tr w:rsidR="00E57DAA" w14:paraId="4BDF8D9F" w14:textId="77777777">
        <w:tc>
          <w:tcPr>
            <w:tcW w:w="677" w:type="pct"/>
            <w:tcBorders>
              <w:top w:val="single" w:sz="4" w:space="0" w:color="auto"/>
              <w:left w:val="single" w:sz="4" w:space="0" w:color="auto"/>
              <w:bottom w:val="single" w:sz="4" w:space="0" w:color="auto"/>
              <w:right w:val="single" w:sz="4" w:space="0" w:color="auto"/>
            </w:tcBorders>
            <w:vAlign w:val="center"/>
          </w:tcPr>
          <w:p w14:paraId="4A990DD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CB4AC5F" w14:textId="77777777" w:rsidR="00E57DAA" w:rsidRDefault="00AC4185">
            <w:pPr>
              <w:autoSpaceDE w:val="0"/>
              <w:autoSpaceDN w:val="0"/>
              <w:adjustRightInd w:val="0"/>
              <w:rPr>
                <w:szCs w:val="21"/>
              </w:rPr>
            </w:pPr>
            <w:r>
              <w:t>扎赉特旗山水水泥有限公司</w:t>
            </w:r>
          </w:p>
        </w:tc>
        <w:tc>
          <w:tcPr>
            <w:tcW w:w="633" w:type="pct"/>
            <w:tcBorders>
              <w:top w:val="single" w:sz="4" w:space="0" w:color="auto"/>
              <w:left w:val="single" w:sz="4" w:space="0" w:color="auto"/>
              <w:bottom w:val="single" w:sz="4" w:space="0" w:color="auto"/>
              <w:right w:val="single" w:sz="4" w:space="0" w:color="auto"/>
            </w:tcBorders>
          </w:tcPr>
          <w:p w14:paraId="6A45AC59" w14:textId="77777777" w:rsidR="00E57DAA" w:rsidRDefault="00AC4185">
            <w:pPr>
              <w:autoSpaceDE w:val="0"/>
              <w:autoSpaceDN w:val="0"/>
              <w:adjustRightInd w:val="0"/>
              <w:jc w:val="right"/>
              <w:rPr>
                <w:szCs w:val="21"/>
              </w:rPr>
            </w:pPr>
            <w:r>
              <w:t>265,411.00</w:t>
            </w:r>
          </w:p>
        </w:tc>
        <w:tc>
          <w:tcPr>
            <w:tcW w:w="632" w:type="pct"/>
            <w:tcBorders>
              <w:top w:val="single" w:sz="4" w:space="0" w:color="auto"/>
              <w:left w:val="single" w:sz="4" w:space="0" w:color="auto"/>
              <w:bottom w:val="single" w:sz="4" w:space="0" w:color="auto"/>
              <w:right w:val="single" w:sz="4" w:space="0" w:color="auto"/>
            </w:tcBorders>
          </w:tcPr>
          <w:p w14:paraId="0DF1CBA5" w14:textId="77777777" w:rsidR="00E57DAA" w:rsidRDefault="00AC4185">
            <w:pPr>
              <w:autoSpaceDE w:val="0"/>
              <w:autoSpaceDN w:val="0"/>
              <w:adjustRightInd w:val="0"/>
              <w:jc w:val="right"/>
              <w:rPr>
                <w:szCs w:val="21"/>
              </w:rPr>
            </w:pPr>
            <w:r>
              <w:t>6,290.24</w:t>
            </w:r>
          </w:p>
        </w:tc>
        <w:tc>
          <w:tcPr>
            <w:tcW w:w="703" w:type="pct"/>
            <w:tcBorders>
              <w:top w:val="single" w:sz="4" w:space="0" w:color="auto"/>
              <w:left w:val="single" w:sz="4" w:space="0" w:color="auto"/>
              <w:bottom w:val="single" w:sz="4" w:space="0" w:color="auto"/>
              <w:right w:val="single" w:sz="4" w:space="0" w:color="auto"/>
            </w:tcBorders>
          </w:tcPr>
          <w:p w14:paraId="101E2F58" w14:textId="77777777" w:rsidR="00E57DAA" w:rsidRDefault="00AC4185">
            <w:pPr>
              <w:autoSpaceDE w:val="0"/>
              <w:autoSpaceDN w:val="0"/>
              <w:adjustRightInd w:val="0"/>
              <w:jc w:val="right"/>
              <w:rPr>
                <w:szCs w:val="21"/>
              </w:rPr>
            </w:pPr>
            <w:r>
              <w:t>286,902.65</w:t>
            </w:r>
          </w:p>
        </w:tc>
        <w:tc>
          <w:tcPr>
            <w:tcW w:w="914" w:type="pct"/>
            <w:tcBorders>
              <w:top w:val="single" w:sz="4" w:space="0" w:color="auto"/>
              <w:left w:val="single" w:sz="4" w:space="0" w:color="auto"/>
              <w:bottom w:val="single" w:sz="4" w:space="0" w:color="auto"/>
              <w:right w:val="single" w:sz="4" w:space="0" w:color="auto"/>
            </w:tcBorders>
          </w:tcPr>
          <w:p w14:paraId="710AF17F" w14:textId="77777777" w:rsidR="00E57DAA" w:rsidRDefault="00AC4185">
            <w:pPr>
              <w:autoSpaceDE w:val="0"/>
              <w:autoSpaceDN w:val="0"/>
              <w:adjustRightInd w:val="0"/>
              <w:jc w:val="right"/>
              <w:rPr>
                <w:szCs w:val="21"/>
              </w:rPr>
            </w:pPr>
            <w:r>
              <w:t>6,981.13</w:t>
            </w:r>
          </w:p>
        </w:tc>
      </w:tr>
      <w:tr w:rsidR="00E57DAA" w14:paraId="798EB376" w14:textId="77777777">
        <w:tc>
          <w:tcPr>
            <w:tcW w:w="677" w:type="pct"/>
            <w:tcBorders>
              <w:top w:val="single" w:sz="4" w:space="0" w:color="auto"/>
              <w:left w:val="single" w:sz="4" w:space="0" w:color="auto"/>
              <w:bottom w:val="single" w:sz="4" w:space="0" w:color="auto"/>
              <w:right w:val="single" w:sz="4" w:space="0" w:color="auto"/>
            </w:tcBorders>
            <w:vAlign w:val="center"/>
          </w:tcPr>
          <w:p w14:paraId="5A48E99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A366E72" w14:textId="77777777" w:rsidR="00E57DAA" w:rsidRDefault="00AC4185">
            <w:pPr>
              <w:autoSpaceDE w:val="0"/>
              <w:autoSpaceDN w:val="0"/>
              <w:adjustRightInd w:val="0"/>
              <w:rPr>
                <w:szCs w:val="21"/>
              </w:rPr>
            </w:pPr>
            <w:r>
              <w:t>浙江裕廊水泥有限公司</w:t>
            </w:r>
          </w:p>
        </w:tc>
        <w:tc>
          <w:tcPr>
            <w:tcW w:w="633" w:type="pct"/>
            <w:tcBorders>
              <w:top w:val="single" w:sz="4" w:space="0" w:color="auto"/>
              <w:left w:val="single" w:sz="4" w:space="0" w:color="auto"/>
              <w:bottom w:val="single" w:sz="4" w:space="0" w:color="auto"/>
              <w:right w:val="single" w:sz="4" w:space="0" w:color="auto"/>
            </w:tcBorders>
          </w:tcPr>
          <w:p w14:paraId="5537D96A" w14:textId="77777777" w:rsidR="00E57DAA" w:rsidRDefault="00AC4185">
            <w:pPr>
              <w:autoSpaceDE w:val="0"/>
              <w:autoSpaceDN w:val="0"/>
              <w:adjustRightInd w:val="0"/>
              <w:jc w:val="right"/>
              <w:rPr>
                <w:szCs w:val="21"/>
              </w:rPr>
            </w:pPr>
            <w:r>
              <w:t>253,600.00</w:t>
            </w:r>
          </w:p>
        </w:tc>
        <w:tc>
          <w:tcPr>
            <w:tcW w:w="632" w:type="pct"/>
            <w:tcBorders>
              <w:top w:val="single" w:sz="4" w:space="0" w:color="auto"/>
              <w:left w:val="single" w:sz="4" w:space="0" w:color="auto"/>
              <w:bottom w:val="single" w:sz="4" w:space="0" w:color="auto"/>
              <w:right w:val="single" w:sz="4" w:space="0" w:color="auto"/>
            </w:tcBorders>
          </w:tcPr>
          <w:p w14:paraId="5A9C94B8" w14:textId="77777777" w:rsidR="00E57DAA" w:rsidRDefault="00AC4185">
            <w:pPr>
              <w:autoSpaceDE w:val="0"/>
              <w:autoSpaceDN w:val="0"/>
              <w:adjustRightInd w:val="0"/>
              <w:jc w:val="right"/>
              <w:rPr>
                <w:szCs w:val="21"/>
              </w:rPr>
            </w:pPr>
            <w:r>
              <w:t>253,600.00</w:t>
            </w:r>
          </w:p>
        </w:tc>
        <w:tc>
          <w:tcPr>
            <w:tcW w:w="703" w:type="pct"/>
            <w:tcBorders>
              <w:top w:val="single" w:sz="4" w:space="0" w:color="auto"/>
              <w:left w:val="single" w:sz="4" w:space="0" w:color="auto"/>
              <w:bottom w:val="single" w:sz="4" w:space="0" w:color="auto"/>
              <w:right w:val="single" w:sz="4" w:space="0" w:color="auto"/>
            </w:tcBorders>
          </w:tcPr>
          <w:p w14:paraId="44022F2F" w14:textId="77777777" w:rsidR="00E57DAA" w:rsidRDefault="00AC4185">
            <w:pPr>
              <w:autoSpaceDE w:val="0"/>
              <w:autoSpaceDN w:val="0"/>
              <w:adjustRightInd w:val="0"/>
              <w:jc w:val="right"/>
              <w:rPr>
                <w:szCs w:val="21"/>
              </w:rPr>
            </w:pPr>
            <w:r>
              <w:t>142,000.00</w:t>
            </w:r>
          </w:p>
        </w:tc>
        <w:tc>
          <w:tcPr>
            <w:tcW w:w="914" w:type="pct"/>
            <w:tcBorders>
              <w:top w:val="single" w:sz="4" w:space="0" w:color="auto"/>
              <w:left w:val="single" w:sz="4" w:space="0" w:color="auto"/>
              <w:bottom w:val="single" w:sz="4" w:space="0" w:color="auto"/>
              <w:right w:val="single" w:sz="4" w:space="0" w:color="auto"/>
            </w:tcBorders>
          </w:tcPr>
          <w:p w14:paraId="22D8FDD6" w14:textId="77777777" w:rsidR="00E57DAA" w:rsidRDefault="00AC4185">
            <w:pPr>
              <w:autoSpaceDE w:val="0"/>
              <w:autoSpaceDN w:val="0"/>
              <w:adjustRightInd w:val="0"/>
              <w:jc w:val="right"/>
              <w:rPr>
                <w:szCs w:val="21"/>
              </w:rPr>
            </w:pPr>
            <w:r>
              <w:t>142,000.00</w:t>
            </w:r>
          </w:p>
        </w:tc>
      </w:tr>
      <w:tr w:rsidR="00E57DAA" w14:paraId="7B51DFFC" w14:textId="77777777">
        <w:tc>
          <w:tcPr>
            <w:tcW w:w="677" w:type="pct"/>
            <w:tcBorders>
              <w:top w:val="single" w:sz="4" w:space="0" w:color="auto"/>
              <w:left w:val="single" w:sz="4" w:space="0" w:color="auto"/>
              <w:bottom w:val="single" w:sz="4" w:space="0" w:color="auto"/>
              <w:right w:val="single" w:sz="4" w:space="0" w:color="auto"/>
            </w:tcBorders>
            <w:vAlign w:val="center"/>
          </w:tcPr>
          <w:p w14:paraId="7287A2F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883A330" w14:textId="77777777" w:rsidR="00E57DAA" w:rsidRDefault="00AC4185">
            <w:pPr>
              <w:autoSpaceDE w:val="0"/>
              <w:autoSpaceDN w:val="0"/>
              <w:adjustRightInd w:val="0"/>
              <w:rPr>
                <w:szCs w:val="21"/>
              </w:rPr>
            </w:pPr>
            <w:r>
              <w:t>连云港板桥中联水泥有限公司</w:t>
            </w:r>
          </w:p>
        </w:tc>
        <w:tc>
          <w:tcPr>
            <w:tcW w:w="633" w:type="pct"/>
            <w:tcBorders>
              <w:top w:val="single" w:sz="4" w:space="0" w:color="auto"/>
              <w:left w:val="single" w:sz="4" w:space="0" w:color="auto"/>
              <w:bottom w:val="single" w:sz="4" w:space="0" w:color="auto"/>
              <w:right w:val="single" w:sz="4" w:space="0" w:color="auto"/>
            </w:tcBorders>
          </w:tcPr>
          <w:p w14:paraId="4D1850F6" w14:textId="77777777" w:rsidR="00E57DAA" w:rsidRDefault="00AC4185">
            <w:pPr>
              <w:autoSpaceDE w:val="0"/>
              <w:autoSpaceDN w:val="0"/>
              <w:adjustRightInd w:val="0"/>
              <w:jc w:val="right"/>
              <w:rPr>
                <w:szCs w:val="21"/>
              </w:rPr>
            </w:pPr>
            <w:r>
              <w:t>141,000.00</w:t>
            </w:r>
          </w:p>
        </w:tc>
        <w:tc>
          <w:tcPr>
            <w:tcW w:w="632" w:type="pct"/>
            <w:tcBorders>
              <w:top w:val="single" w:sz="4" w:space="0" w:color="auto"/>
              <w:left w:val="single" w:sz="4" w:space="0" w:color="auto"/>
              <w:bottom w:val="single" w:sz="4" w:space="0" w:color="auto"/>
              <w:right w:val="single" w:sz="4" w:space="0" w:color="auto"/>
            </w:tcBorders>
          </w:tcPr>
          <w:p w14:paraId="38E6D61E" w14:textId="77777777" w:rsidR="00E57DAA" w:rsidRDefault="00AC4185">
            <w:pPr>
              <w:autoSpaceDE w:val="0"/>
              <w:autoSpaceDN w:val="0"/>
              <w:adjustRightInd w:val="0"/>
              <w:jc w:val="right"/>
              <w:rPr>
                <w:szCs w:val="21"/>
              </w:rPr>
            </w:pPr>
            <w:r>
              <w:t>141,000.00</w:t>
            </w:r>
          </w:p>
        </w:tc>
        <w:tc>
          <w:tcPr>
            <w:tcW w:w="703" w:type="pct"/>
            <w:tcBorders>
              <w:top w:val="single" w:sz="4" w:space="0" w:color="auto"/>
              <w:left w:val="single" w:sz="4" w:space="0" w:color="auto"/>
              <w:bottom w:val="single" w:sz="4" w:space="0" w:color="auto"/>
              <w:right w:val="single" w:sz="4" w:space="0" w:color="auto"/>
            </w:tcBorders>
          </w:tcPr>
          <w:p w14:paraId="0AB11432" w14:textId="77777777" w:rsidR="00E57DAA" w:rsidRDefault="00AC4185">
            <w:pPr>
              <w:autoSpaceDE w:val="0"/>
              <w:autoSpaceDN w:val="0"/>
              <w:adjustRightInd w:val="0"/>
              <w:jc w:val="right"/>
              <w:rPr>
                <w:szCs w:val="21"/>
              </w:rPr>
            </w:pPr>
            <w:r>
              <w:t>141,000.00</w:t>
            </w:r>
          </w:p>
        </w:tc>
        <w:tc>
          <w:tcPr>
            <w:tcW w:w="914" w:type="pct"/>
            <w:tcBorders>
              <w:top w:val="single" w:sz="4" w:space="0" w:color="auto"/>
              <w:left w:val="single" w:sz="4" w:space="0" w:color="auto"/>
              <w:bottom w:val="single" w:sz="4" w:space="0" w:color="auto"/>
              <w:right w:val="single" w:sz="4" w:space="0" w:color="auto"/>
            </w:tcBorders>
          </w:tcPr>
          <w:p w14:paraId="466066BB" w14:textId="77777777" w:rsidR="00E57DAA" w:rsidRDefault="00AC4185">
            <w:pPr>
              <w:autoSpaceDE w:val="0"/>
              <w:autoSpaceDN w:val="0"/>
              <w:adjustRightInd w:val="0"/>
              <w:jc w:val="right"/>
              <w:rPr>
                <w:szCs w:val="21"/>
              </w:rPr>
            </w:pPr>
            <w:r>
              <w:t>141,000.00</w:t>
            </w:r>
          </w:p>
        </w:tc>
      </w:tr>
      <w:tr w:rsidR="00E57DAA" w14:paraId="7691049B" w14:textId="77777777">
        <w:tc>
          <w:tcPr>
            <w:tcW w:w="677" w:type="pct"/>
            <w:tcBorders>
              <w:top w:val="single" w:sz="4" w:space="0" w:color="auto"/>
              <w:left w:val="single" w:sz="4" w:space="0" w:color="auto"/>
              <w:bottom w:val="single" w:sz="4" w:space="0" w:color="auto"/>
              <w:right w:val="single" w:sz="4" w:space="0" w:color="auto"/>
            </w:tcBorders>
            <w:vAlign w:val="center"/>
          </w:tcPr>
          <w:p w14:paraId="0F0AAE6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7D14F9B" w14:textId="77777777" w:rsidR="00E57DAA" w:rsidRDefault="00AC4185">
            <w:pPr>
              <w:autoSpaceDE w:val="0"/>
              <w:autoSpaceDN w:val="0"/>
              <w:adjustRightInd w:val="0"/>
              <w:rPr>
                <w:szCs w:val="21"/>
              </w:rPr>
            </w:pPr>
            <w:r>
              <w:t>南京三龙水泥有限责任公司</w:t>
            </w:r>
          </w:p>
        </w:tc>
        <w:tc>
          <w:tcPr>
            <w:tcW w:w="633" w:type="pct"/>
            <w:tcBorders>
              <w:top w:val="single" w:sz="4" w:space="0" w:color="auto"/>
              <w:left w:val="single" w:sz="4" w:space="0" w:color="auto"/>
              <w:bottom w:val="single" w:sz="4" w:space="0" w:color="auto"/>
              <w:right w:val="single" w:sz="4" w:space="0" w:color="auto"/>
            </w:tcBorders>
          </w:tcPr>
          <w:p w14:paraId="23E7AAE7" w14:textId="77777777" w:rsidR="00E57DAA" w:rsidRDefault="00AC4185">
            <w:pPr>
              <w:autoSpaceDE w:val="0"/>
              <w:autoSpaceDN w:val="0"/>
              <w:adjustRightInd w:val="0"/>
              <w:jc w:val="right"/>
              <w:rPr>
                <w:szCs w:val="21"/>
              </w:rPr>
            </w:pPr>
            <w:r>
              <w:t>114,000.00</w:t>
            </w:r>
          </w:p>
        </w:tc>
        <w:tc>
          <w:tcPr>
            <w:tcW w:w="632" w:type="pct"/>
            <w:tcBorders>
              <w:top w:val="single" w:sz="4" w:space="0" w:color="auto"/>
              <w:left w:val="single" w:sz="4" w:space="0" w:color="auto"/>
              <w:bottom w:val="single" w:sz="4" w:space="0" w:color="auto"/>
              <w:right w:val="single" w:sz="4" w:space="0" w:color="auto"/>
            </w:tcBorders>
          </w:tcPr>
          <w:p w14:paraId="09941F3C" w14:textId="77777777" w:rsidR="00E57DAA" w:rsidRDefault="00AC4185">
            <w:pPr>
              <w:autoSpaceDE w:val="0"/>
              <w:autoSpaceDN w:val="0"/>
              <w:adjustRightInd w:val="0"/>
              <w:jc w:val="right"/>
              <w:rPr>
                <w:szCs w:val="21"/>
              </w:rPr>
            </w:pPr>
            <w:r>
              <w:t>114,000.00</w:t>
            </w:r>
          </w:p>
        </w:tc>
        <w:tc>
          <w:tcPr>
            <w:tcW w:w="703" w:type="pct"/>
            <w:tcBorders>
              <w:top w:val="single" w:sz="4" w:space="0" w:color="auto"/>
              <w:left w:val="single" w:sz="4" w:space="0" w:color="auto"/>
              <w:bottom w:val="single" w:sz="4" w:space="0" w:color="auto"/>
              <w:right w:val="single" w:sz="4" w:space="0" w:color="auto"/>
            </w:tcBorders>
          </w:tcPr>
          <w:p w14:paraId="127F06EF" w14:textId="77777777" w:rsidR="00E57DAA" w:rsidRDefault="00AC4185">
            <w:pPr>
              <w:autoSpaceDE w:val="0"/>
              <w:autoSpaceDN w:val="0"/>
              <w:adjustRightInd w:val="0"/>
              <w:jc w:val="right"/>
              <w:rPr>
                <w:szCs w:val="21"/>
              </w:rPr>
            </w:pPr>
            <w:r>
              <w:t>114,000.00</w:t>
            </w:r>
          </w:p>
        </w:tc>
        <w:tc>
          <w:tcPr>
            <w:tcW w:w="914" w:type="pct"/>
            <w:tcBorders>
              <w:top w:val="single" w:sz="4" w:space="0" w:color="auto"/>
              <w:left w:val="single" w:sz="4" w:space="0" w:color="auto"/>
              <w:bottom w:val="single" w:sz="4" w:space="0" w:color="auto"/>
              <w:right w:val="single" w:sz="4" w:space="0" w:color="auto"/>
            </w:tcBorders>
          </w:tcPr>
          <w:p w14:paraId="2E39B2E7" w14:textId="77777777" w:rsidR="00E57DAA" w:rsidRDefault="00AC4185">
            <w:pPr>
              <w:autoSpaceDE w:val="0"/>
              <w:autoSpaceDN w:val="0"/>
              <w:adjustRightInd w:val="0"/>
              <w:jc w:val="right"/>
              <w:rPr>
                <w:szCs w:val="21"/>
              </w:rPr>
            </w:pPr>
            <w:r>
              <w:t>114,000.00</w:t>
            </w:r>
          </w:p>
        </w:tc>
      </w:tr>
      <w:tr w:rsidR="00E57DAA" w14:paraId="782099E6" w14:textId="77777777">
        <w:tc>
          <w:tcPr>
            <w:tcW w:w="677" w:type="pct"/>
            <w:tcBorders>
              <w:top w:val="single" w:sz="4" w:space="0" w:color="auto"/>
              <w:left w:val="single" w:sz="4" w:space="0" w:color="auto"/>
              <w:bottom w:val="single" w:sz="4" w:space="0" w:color="auto"/>
              <w:right w:val="single" w:sz="4" w:space="0" w:color="auto"/>
            </w:tcBorders>
            <w:vAlign w:val="center"/>
          </w:tcPr>
          <w:p w14:paraId="346AB375"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C7360CC" w14:textId="77777777" w:rsidR="00E57DAA" w:rsidRDefault="00AC4185">
            <w:pPr>
              <w:autoSpaceDE w:val="0"/>
              <w:autoSpaceDN w:val="0"/>
              <w:adjustRightInd w:val="0"/>
              <w:rPr>
                <w:szCs w:val="21"/>
              </w:rPr>
            </w:pPr>
            <w:r>
              <w:t>潍坊凝石山水水泥有限公司</w:t>
            </w:r>
          </w:p>
        </w:tc>
        <w:tc>
          <w:tcPr>
            <w:tcW w:w="633" w:type="pct"/>
            <w:tcBorders>
              <w:top w:val="single" w:sz="4" w:space="0" w:color="auto"/>
              <w:left w:val="single" w:sz="4" w:space="0" w:color="auto"/>
              <w:bottom w:val="single" w:sz="4" w:space="0" w:color="auto"/>
              <w:right w:val="single" w:sz="4" w:space="0" w:color="auto"/>
            </w:tcBorders>
          </w:tcPr>
          <w:p w14:paraId="71557562"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7685136E" w14:textId="77777777" w:rsidR="00E57DAA" w:rsidRDefault="00AC4185">
            <w:pPr>
              <w:autoSpaceDE w:val="0"/>
              <w:autoSpaceDN w:val="0"/>
              <w:adjustRightInd w:val="0"/>
              <w:jc w:val="right"/>
              <w:rPr>
                <w:szCs w:val="21"/>
              </w:rPr>
            </w:pPr>
            <w:r>
              <w:t>5,700.00</w:t>
            </w:r>
          </w:p>
        </w:tc>
        <w:tc>
          <w:tcPr>
            <w:tcW w:w="703" w:type="pct"/>
            <w:tcBorders>
              <w:top w:val="single" w:sz="4" w:space="0" w:color="auto"/>
              <w:left w:val="single" w:sz="4" w:space="0" w:color="auto"/>
              <w:bottom w:val="single" w:sz="4" w:space="0" w:color="auto"/>
              <w:right w:val="single" w:sz="4" w:space="0" w:color="auto"/>
            </w:tcBorders>
          </w:tcPr>
          <w:p w14:paraId="6A47534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D52AF6C" w14:textId="77777777" w:rsidR="00E57DAA" w:rsidRDefault="00AC4185">
            <w:pPr>
              <w:autoSpaceDE w:val="0"/>
              <w:autoSpaceDN w:val="0"/>
              <w:adjustRightInd w:val="0"/>
              <w:jc w:val="right"/>
              <w:rPr>
                <w:szCs w:val="21"/>
              </w:rPr>
            </w:pPr>
            <w:r>
              <w:t xml:space="preserve">　</w:t>
            </w:r>
          </w:p>
        </w:tc>
      </w:tr>
      <w:tr w:rsidR="00E57DAA" w14:paraId="20E6841A" w14:textId="77777777">
        <w:tc>
          <w:tcPr>
            <w:tcW w:w="677" w:type="pct"/>
            <w:tcBorders>
              <w:top w:val="single" w:sz="4" w:space="0" w:color="auto"/>
              <w:left w:val="single" w:sz="4" w:space="0" w:color="auto"/>
              <w:bottom w:val="single" w:sz="4" w:space="0" w:color="auto"/>
              <w:right w:val="single" w:sz="4" w:space="0" w:color="auto"/>
            </w:tcBorders>
            <w:vAlign w:val="center"/>
          </w:tcPr>
          <w:p w14:paraId="15BCFA5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DDC200A" w14:textId="77777777" w:rsidR="00E57DAA" w:rsidRDefault="00AC4185">
            <w:pPr>
              <w:autoSpaceDE w:val="0"/>
              <w:autoSpaceDN w:val="0"/>
              <w:adjustRightInd w:val="0"/>
              <w:rPr>
                <w:szCs w:val="21"/>
              </w:rPr>
            </w:pPr>
            <w:r>
              <w:t>通辽山水工源水泥有限公司</w:t>
            </w:r>
          </w:p>
        </w:tc>
        <w:tc>
          <w:tcPr>
            <w:tcW w:w="633" w:type="pct"/>
            <w:tcBorders>
              <w:top w:val="single" w:sz="4" w:space="0" w:color="auto"/>
              <w:left w:val="single" w:sz="4" w:space="0" w:color="auto"/>
              <w:bottom w:val="single" w:sz="4" w:space="0" w:color="auto"/>
              <w:right w:val="single" w:sz="4" w:space="0" w:color="auto"/>
            </w:tcBorders>
          </w:tcPr>
          <w:p w14:paraId="50C5E9F6" w14:textId="77777777" w:rsidR="00E57DAA" w:rsidRDefault="00AC4185">
            <w:pPr>
              <w:autoSpaceDE w:val="0"/>
              <w:autoSpaceDN w:val="0"/>
              <w:adjustRightInd w:val="0"/>
              <w:jc w:val="right"/>
              <w:rPr>
                <w:szCs w:val="21"/>
              </w:rPr>
            </w:pPr>
            <w:r>
              <w:t>92,100.00</w:t>
            </w:r>
          </w:p>
        </w:tc>
        <w:tc>
          <w:tcPr>
            <w:tcW w:w="632" w:type="pct"/>
            <w:tcBorders>
              <w:top w:val="single" w:sz="4" w:space="0" w:color="auto"/>
              <w:left w:val="single" w:sz="4" w:space="0" w:color="auto"/>
              <w:bottom w:val="single" w:sz="4" w:space="0" w:color="auto"/>
              <w:right w:val="single" w:sz="4" w:space="0" w:color="auto"/>
            </w:tcBorders>
          </w:tcPr>
          <w:p w14:paraId="53AD6366" w14:textId="77777777" w:rsidR="00E57DAA" w:rsidRDefault="00AC4185">
            <w:pPr>
              <w:autoSpaceDE w:val="0"/>
              <w:autoSpaceDN w:val="0"/>
              <w:adjustRightInd w:val="0"/>
              <w:jc w:val="right"/>
              <w:rPr>
                <w:szCs w:val="21"/>
              </w:rPr>
            </w:pPr>
            <w:r>
              <w:t>6,059.85</w:t>
            </w:r>
          </w:p>
        </w:tc>
        <w:tc>
          <w:tcPr>
            <w:tcW w:w="703" w:type="pct"/>
            <w:tcBorders>
              <w:top w:val="single" w:sz="4" w:space="0" w:color="auto"/>
              <w:left w:val="single" w:sz="4" w:space="0" w:color="auto"/>
              <w:bottom w:val="single" w:sz="4" w:space="0" w:color="auto"/>
              <w:right w:val="single" w:sz="4" w:space="0" w:color="auto"/>
            </w:tcBorders>
          </w:tcPr>
          <w:p w14:paraId="3DCB228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4F7C8FE" w14:textId="77777777" w:rsidR="00E57DAA" w:rsidRDefault="00AC4185">
            <w:pPr>
              <w:autoSpaceDE w:val="0"/>
              <w:autoSpaceDN w:val="0"/>
              <w:adjustRightInd w:val="0"/>
              <w:jc w:val="right"/>
              <w:rPr>
                <w:szCs w:val="21"/>
              </w:rPr>
            </w:pPr>
            <w:r>
              <w:t xml:space="preserve">　</w:t>
            </w:r>
          </w:p>
        </w:tc>
      </w:tr>
      <w:tr w:rsidR="00E57DAA" w14:paraId="04936635" w14:textId="77777777">
        <w:tc>
          <w:tcPr>
            <w:tcW w:w="677" w:type="pct"/>
            <w:tcBorders>
              <w:top w:val="single" w:sz="4" w:space="0" w:color="auto"/>
              <w:left w:val="single" w:sz="4" w:space="0" w:color="auto"/>
              <w:bottom w:val="single" w:sz="4" w:space="0" w:color="auto"/>
              <w:right w:val="single" w:sz="4" w:space="0" w:color="auto"/>
            </w:tcBorders>
            <w:vAlign w:val="center"/>
          </w:tcPr>
          <w:p w14:paraId="4666AC64"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BF05516" w14:textId="77777777" w:rsidR="00E57DAA" w:rsidRDefault="00AC4185">
            <w:pPr>
              <w:autoSpaceDE w:val="0"/>
              <w:autoSpaceDN w:val="0"/>
              <w:adjustRightInd w:val="0"/>
              <w:rPr>
                <w:szCs w:val="21"/>
              </w:rPr>
            </w:pPr>
            <w:r>
              <w:t>江西于都南方万年青水泥有限公司</w:t>
            </w:r>
          </w:p>
        </w:tc>
        <w:tc>
          <w:tcPr>
            <w:tcW w:w="633" w:type="pct"/>
            <w:tcBorders>
              <w:top w:val="single" w:sz="4" w:space="0" w:color="auto"/>
              <w:left w:val="single" w:sz="4" w:space="0" w:color="auto"/>
              <w:bottom w:val="single" w:sz="4" w:space="0" w:color="auto"/>
              <w:right w:val="single" w:sz="4" w:space="0" w:color="auto"/>
            </w:tcBorders>
          </w:tcPr>
          <w:p w14:paraId="7DFD283F" w14:textId="77777777" w:rsidR="00E57DAA" w:rsidRDefault="00AC4185">
            <w:pPr>
              <w:autoSpaceDE w:val="0"/>
              <w:autoSpaceDN w:val="0"/>
              <w:adjustRightInd w:val="0"/>
              <w:jc w:val="right"/>
              <w:rPr>
                <w:szCs w:val="21"/>
              </w:rPr>
            </w:pPr>
            <w:r>
              <w:t>87,500.00</w:t>
            </w:r>
          </w:p>
        </w:tc>
        <w:tc>
          <w:tcPr>
            <w:tcW w:w="632" w:type="pct"/>
            <w:tcBorders>
              <w:top w:val="single" w:sz="4" w:space="0" w:color="auto"/>
              <w:left w:val="single" w:sz="4" w:space="0" w:color="auto"/>
              <w:bottom w:val="single" w:sz="4" w:space="0" w:color="auto"/>
              <w:right w:val="single" w:sz="4" w:space="0" w:color="auto"/>
            </w:tcBorders>
          </w:tcPr>
          <w:p w14:paraId="73FDF172" w14:textId="77777777" w:rsidR="00E57DAA" w:rsidRDefault="00AC4185">
            <w:pPr>
              <w:autoSpaceDE w:val="0"/>
              <w:autoSpaceDN w:val="0"/>
              <w:adjustRightInd w:val="0"/>
              <w:jc w:val="right"/>
              <w:rPr>
                <w:szCs w:val="21"/>
              </w:rPr>
            </w:pPr>
            <w:r>
              <w:t>2,073.75</w:t>
            </w:r>
          </w:p>
        </w:tc>
        <w:tc>
          <w:tcPr>
            <w:tcW w:w="703" w:type="pct"/>
            <w:tcBorders>
              <w:top w:val="single" w:sz="4" w:space="0" w:color="auto"/>
              <w:left w:val="single" w:sz="4" w:space="0" w:color="auto"/>
              <w:bottom w:val="single" w:sz="4" w:space="0" w:color="auto"/>
              <w:right w:val="single" w:sz="4" w:space="0" w:color="auto"/>
            </w:tcBorders>
          </w:tcPr>
          <w:p w14:paraId="7024864A" w14:textId="77777777" w:rsidR="00E57DAA" w:rsidRDefault="00AC4185">
            <w:pPr>
              <w:autoSpaceDE w:val="0"/>
              <w:autoSpaceDN w:val="0"/>
              <w:adjustRightInd w:val="0"/>
              <w:jc w:val="right"/>
              <w:rPr>
                <w:szCs w:val="21"/>
              </w:rPr>
            </w:pPr>
            <w:r>
              <w:t>168,568.00</w:t>
            </w:r>
          </w:p>
        </w:tc>
        <w:tc>
          <w:tcPr>
            <w:tcW w:w="914" w:type="pct"/>
            <w:tcBorders>
              <w:top w:val="single" w:sz="4" w:space="0" w:color="auto"/>
              <w:left w:val="single" w:sz="4" w:space="0" w:color="auto"/>
              <w:bottom w:val="single" w:sz="4" w:space="0" w:color="auto"/>
              <w:right w:val="single" w:sz="4" w:space="0" w:color="auto"/>
            </w:tcBorders>
          </w:tcPr>
          <w:p w14:paraId="4440CA08" w14:textId="77777777" w:rsidR="00E57DAA" w:rsidRDefault="00AC4185">
            <w:pPr>
              <w:autoSpaceDE w:val="0"/>
              <w:autoSpaceDN w:val="0"/>
              <w:adjustRightInd w:val="0"/>
              <w:jc w:val="right"/>
              <w:rPr>
                <w:szCs w:val="21"/>
              </w:rPr>
            </w:pPr>
            <w:r>
              <w:t>4,220.40</w:t>
            </w:r>
          </w:p>
        </w:tc>
      </w:tr>
      <w:tr w:rsidR="00E57DAA" w14:paraId="42BA32D7" w14:textId="77777777">
        <w:tc>
          <w:tcPr>
            <w:tcW w:w="677" w:type="pct"/>
            <w:tcBorders>
              <w:top w:val="single" w:sz="4" w:space="0" w:color="auto"/>
              <w:left w:val="single" w:sz="4" w:space="0" w:color="auto"/>
              <w:bottom w:val="single" w:sz="4" w:space="0" w:color="auto"/>
              <w:right w:val="single" w:sz="4" w:space="0" w:color="auto"/>
            </w:tcBorders>
            <w:vAlign w:val="center"/>
          </w:tcPr>
          <w:p w14:paraId="25C4B5C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67F5C4F" w14:textId="77777777" w:rsidR="00E57DAA" w:rsidRDefault="00AC4185">
            <w:pPr>
              <w:autoSpaceDE w:val="0"/>
              <w:autoSpaceDN w:val="0"/>
              <w:adjustRightInd w:val="0"/>
              <w:rPr>
                <w:szCs w:val="21"/>
              </w:rPr>
            </w:pPr>
            <w:r>
              <w:t>科右中旗山水水泥有限公司</w:t>
            </w:r>
          </w:p>
        </w:tc>
        <w:tc>
          <w:tcPr>
            <w:tcW w:w="633" w:type="pct"/>
            <w:tcBorders>
              <w:top w:val="single" w:sz="4" w:space="0" w:color="auto"/>
              <w:left w:val="single" w:sz="4" w:space="0" w:color="auto"/>
              <w:bottom w:val="single" w:sz="4" w:space="0" w:color="auto"/>
              <w:right w:val="single" w:sz="4" w:space="0" w:color="auto"/>
            </w:tcBorders>
          </w:tcPr>
          <w:p w14:paraId="5F04E637" w14:textId="77777777" w:rsidR="00E57DAA" w:rsidRDefault="00AC4185">
            <w:pPr>
              <w:autoSpaceDE w:val="0"/>
              <w:autoSpaceDN w:val="0"/>
              <w:adjustRightInd w:val="0"/>
              <w:jc w:val="right"/>
              <w:rPr>
                <w:szCs w:val="21"/>
              </w:rPr>
            </w:pPr>
            <w:r>
              <w:t>71,000.00</w:t>
            </w:r>
          </w:p>
        </w:tc>
        <w:tc>
          <w:tcPr>
            <w:tcW w:w="632" w:type="pct"/>
            <w:tcBorders>
              <w:top w:val="single" w:sz="4" w:space="0" w:color="auto"/>
              <w:left w:val="single" w:sz="4" w:space="0" w:color="auto"/>
              <w:bottom w:val="single" w:sz="4" w:space="0" w:color="auto"/>
              <w:right w:val="single" w:sz="4" w:space="0" w:color="auto"/>
            </w:tcBorders>
          </w:tcPr>
          <w:p w14:paraId="5A00A991" w14:textId="77777777" w:rsidR="00E57DAA" w:rsidRDefault="00AC4185">
            <w:pPr>
              <w:autoSpaceDE w:val="0"/>
              <w:autoSpaceDN w:val="0"/>
              <w:adjustRightInd w:val="0"/>
              <w:jc w:val="right"/>
              <w:rPr>
                <w:szCs w:val="21"/>
              </w:rPr>
            </w:pPr>
            <w:r>
              <w:t>4,678.90</w:t>
            </w:r>
          </w:p>
        </w:tc>
        <w:tc>
          <w:tcPr>
            <w:tcW w:w="703" w:type="pct"/>
            <w:tcBorders>
              <w:top w:val="single" w:sz="4" w:space="0" w:color="auto"/>
              <w:left w:val="single" w:sz="4" w:space="0" w:color="auto"/>
              <w:bottom w:val="single" w:sz="4" w:space="0" w:color="auto"/>
              <w:right w:val="single" w:sz="4" w:space="0" w:color="auto"/>
            </w:tcBorders>
          </w:tcPr>
          <w:p w14:paraId="6675F47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631774A" w14:textId="77777777" w:rsidR="00E57DAA" w:rsidRDefault="00AC4185">
            <w:pPr>
              <w:autoSpaceDE w:val="0"/>
              <w:autoSpaceDN w:val="0"/>
              <w:adjustRightInd w:val="0"/>
              <w:jc w:val="right"/>
              <w:rPr>
                <w:szCs w:val="21"/>
              </w:rPr>
            </w:pPr>
            <w:r>
              <w:t xml:space="preserve">　</w:t>
            </w:r>
          </w:p>
        </w:tc>
      </w:tr>
      <w:tr w:rsidR="00E57DAA" w14:paraId="1F050647" w14:textId="77777777">
        <w:tc>
          <w:tcPr>
            <w:tcW w:w="677" w:type="pct"/>
            <w:tcBorders>
              <w:top w:val="single" w:sz="4" w:space="0" w:color="auto"/>
              <w:left w:val="single" w:sz="4" w:space="0" w:color="auto"/>
              <w:bottom w:val="single" w:sz="4" w:space="0" w:color="auto"/>
              <w:right w:val="single" w:sz="4" w:space="0" w:color="auto"/>
            </w:tcBorders>
            <w:vAlign w:val="center"/>
          </w:tcPr>
          <w:p w14:paraId="7C3D3D9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470C1BD" w14:textId="77777777" w:rsidR="00E57DAA" w:rsidRDefault="00AC4185">
            <w:pPr>
              <w:autoSpaceDE w:val="0"/>
              <w:autoSpaceDN w:val="0"/>
              <w:adjustRightInd w:val="0"/>
              <w:rPr>
                <w:szCs w:val="21"/>
              </w:rPr>
            </w:pPr>
            <w:r>
              <w:t>马鞍山南方材料有限公司</w:t>
            </w:r>
          </w:p>
        </w:tc>
        <w:tc>
          <w:tcPr>
            <w:tcW w:w="633" w:type="pct"/>
            <w:tcBorders>
              <w:top w:val="single" w:sz="4" w:space="0" w:color="auto"/>
              <w:left w:val="single" w:sz="4" w:space="0" w:color="auto"/>
              <w:bottom w:val="single" w:sz="4" w:space="0" w:color="auto"/>
              <w:right w:val="single" w:sz="4" w:space="0" w:color="auto"/>
            </w:tcBorders>
          </w:tcPr>
          <w:p w14:paraId="04C5617B" w14:textId="77777777" w:rsidR="00E57DAA" w:rsidRDefault="00AC4185">
            <w:pPr>
              <w:autoSpaceDE w:val="0"/>
              <w:autoSpaceDN w:val="0"/>
              <w:adjustRightInd w:val="0"/>
              <w:jc w:val="right"/>
              <w:rPr>
                <w:szCs w:val="21"/>
              </w:rPr>
            </w:pPr>
            <w:r>
              <w:t>68,000.00</w:t>
            </w:r>
          </w:p>
        </w:tc>
        <w:tc>
          <w:tcPr>
            <w:tcW w:w="632" w:type="pct"/>
            <w:tcBorders>
              <w:top w:val="single" w:sz="4" w:space="0" w:color="auto"/>
              <w:left w:val="single" w:sz="4" w:space="0" w:color="auto"/>
              <w:bottom w:val="single" w:sz="4" w:space="0" w:color="auto"/>
              <w:right w:val="single" w:sz="4" w:space="0" w:color="auto"/>
            </w:tcBorders>
          </w:tcPr>
          <w:p w14:paraId="23395BCA" w14:textId="77777777" w:rsidR="00E57DAA" w:rsidRDefault="00AC4185">
            <w:pPr>
              <w:autoSpaceDE w:val="0"/>
              <w:autoSpaceDN w:val="0"/>
              <w:adjustRightInd w:val="0"/>
              <w:jc w:val="right"/>
              <w:rPr>
                <w:szCs w:val="21"/>
              </w:rPr>
            </w:pPr>
            <w:r>
              <w:t>3,400.00</w:t>
            </w:r>
          </w:p>
        </w:tc>
        <w:tc>
          <w:tcPr>
            <w:tcW w:w="703" w:type="pct"/>
            <w:tcBorders>
              <w:top w:val="single" w:sz="4" w:space="0" w:color="auto"/>
              <w:left w:val="single" w:sz="4" w:space="0" w:color="auto"/>
              <w:bottom w:val="single" w:sz="4" w:space="0" w:color="auto"/>
              <w:right w:val="single" w:sz="4" w:space="0" w:color="auto"/>
            </w:tcBorders>
          </w:tcPr>
          <w:p w14:paraId="6A831F6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357EBFC" w14:textId="77777777" w:rsidR="00E57DAA" w:rsidRDefault="00AC4185">
            <w:pPr>
              <w:autoSpaceDE w:val="0"/>
              <w:autoSpaceDN w:val="0"/>
              <w:adjustRightInd w:val="0"/>
              <w:jc w:val="right"/>
              <w:rPr>
                <w:szCs w:val="21"/>
              </w:rPr>
            </w:pPr>
            <w:r>
              <w:t xml:space="preserve">　</w:t>
            </w:r>
          </w:p>
        </w:tc>
      </w:tr>
      <w:tr w:rsidR="00E57DAA" w14:paraId="2FD09861" w14:textId="77777777">
        <w:tc>
          <w:tcPr>
            <w:tcW w:w="677" w:type="pct"/>
            <w:tcBorders>
              <w:top w:val="single" w:sz="4" w:space="0" w:color="auto"/>
              <w:left w:val="single" w:sz="4" w:space="0" w:color="auto"/>
              <w:bottom w:val="single" w:sz="4" w:space="0" w:color="auto"/>
              <w:right w:val="single" w:sz="4" w:space="0" w:color="auto"/>
            </w:tcBorders>
            <w:vAlign w:val="center"/>
          </w:tcPr>
          <w:p w14:paraId="1ECEA291" w14:textId="77777777" w:rsidR="00E57DAA" w:rsidRDefault="00AC4185">
            <w:pPr>
              <w:autoSpaceDE w:val="0"/>
              <w:autoSpaceDN w:val="0"/>
              <w:adjustRightInd w:val="0"/>
              <w:rPr>
                <w:szCs w:val="21"/>
              </w:rPr>
            </w:pPr>
            <w:r>
              <w:lastRenderedPageBreak/>
              <w:t>应收账款</w:t>
            </w:r>
          </w:p>
        </w:tc>
        <w:tc>
          <w:tcPr>
            <w:tcW w:w="1441" w:type="pct"/>
            <w:tcBorders>
              <w:top w:val="single" w:sz="4" w:space="0" w:color="auto"/>
              <w:left w:val="single" w:sz="4" w:space="0" w:color="auto"/>
              <w:bottom w:val="single" w:sz="4" w:space="0" w:color="auto"/>
              <w:right w:val="single" w:sz="4" w:space="0" w:color="auto"/>
            </w:tcBorders>
          </w:tcPr>
          <w:p w14:paraId="783F672B" w14:textId="77777777" w:rsidR="00E57DAA" w:rsidRDefault="00AC4185">
            <w:pPr>
              <w:autoSpaceDE w:val="0"/>
              <w:autoSpaceDN w:val="0"/>
              <w:adjustRightInd w:val="0"/>
              <w:rPr>
                <w:szCs w:val="21"/>
              </w:rPr>
            </w:pPr>
            <w:r>
              <w:t>内蒙古华立水泥有限公司</w:t>
            </w:r>
          </w:p>
        </w:tc>
        <w:tc>
          <w:tcPr>
            <w:tcW w:w="633" w:type="pct"/>
            <w:tcBorders>
              <w:top w:val="single" w:sz="4" w:space="0" w:color="auto"/>
              <w:left w:val="single" w:sz="4" w:space="0" w:color="auto"/>
              <w:bottom w:val="single" w:sz="4" w:space="0" w:color="auto"/>
              <w:right w:val="single" w:sz="4" w:space="0" w:color="auto"/>
            </w:tcBorders>
          </w:tcPr>
          <w:p w14:paraId="3365DC4D" w14:textId="77777777" w:rsidR="00E57DAA" w:rsidRDefault="00AC4185">
            <w:pPr>
              <w:autoSpaceDE w:val="0"/>
              <w:autoSpaceDN w:val="0"/>
              <w:adjustRightInd w:val="0"/>
              <w:jc w:val="right"/>
              <w:rPr>
                <w:szCs w:val="21"/>
              </w:rPr>
            </w:pPr>
            <w:r>
              <w:t>56,040.00</w:t>
            </w:r>
          </w:p>
        </w:tc>
        <w:tc>
          <w:tcPr>
            <w:tcW w:w="632" w:type="pct"/>
            <w:tcBorders>
              <w:top w:val="single" w:sz="4" w:space="0" w:color="auto"/>
              <w:left w:val="single" w:sz="4" w:space="0" w:color="auto"/>
              <w:bottom w:val="single" w:sz="4" w:space="0" w:color="auto"/>
              <w:right w:val="single" w:sz="4" w:space="0" w:color="auto"/>
            </w:tcBorders>
          </w:tcPr>
          <w:p w14:paraId="65C13D3A" w14:textId="77777777" w:rsidR="00E57DAA" w:rsidRDefault="00AC4185">
            <w:pPr>
              <w:autoSpaceDE w:val="0"/>
              <w:autoSpaceDN w:val="0"/>
              <w:adjustRightInd w:val="0"/>
              <w:jc w:val="right"/>
              <w:rPr>
                <w:szCs w:val="21"/>
              </w:rPr>
            </w:pPr>
            <w:r>
              <w:t>56,040.00</w:t>
            </w:r>
          </w:p>
        </w:tc>
        <w:tc>
          <w:tcPr>
            <w:tcW w:w="703" w:type="pct"/>
            <w:tcBorders>
              <w:top w:val="single" w:sz="4" w:space="0" w:color="auto"/>
              <w:left w:val="single" w:sz="4" w:space="0" w:color="auto"/>
              <w:bottom w:val="single" w:sz="4" w:space="0" w:color="auto"/>
              <w:right w:val="single" w:sz="4" w:space="0" w:color="auto"/>
            </w:tcBorders>
          </w:tcPr>
          <w:p w14:paraId="4156D04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A82324D" w14:textId="77777777" w:rsidR="00E57DAA" w:rsidRDefault="00AC4185">
            <w:pPr>
              <w:autoSpaceDE w:val="0"/>
              <w:autoSpaceDN w:val="0"/>
              <w:adjustRightInd w:val="0"/>
              <w:jc w:val="right"/>
              <w:rPr>
                <w:szCs w:val="21"/>
              </w:rPr>
            </w:pPr>
            <w:r>
              <w:t xml:space="preserve">　</w:t>
            </w:r>
          </w:p>
        </w:tc>
      </w:tr>
      <w:tr w:rsidR="00E57DAA" w14:paraId="41FF3C91" w14:textId="77777777">
        <w:tc>
          <w:tcPr>
            <w:tcW w:w="677" w:type="pct"/>
            <w:tcBorders>
              <w:top w:val="single" w:sz="4" w:space="0" w:color="auto"/>
              <w:left w:val="single" w:sz="4" w:space="0" w:color="auto"/>
              <w:bottom w:val="single" w:sz="4" w:space="0" w:color="auto"/>
              <w:right w:val="single" w:sz="4" w:space="0" w:color="auto"/>
            </w:tcBorders>
            <w:vAlign w:val="center"/>
          </w:tcPr>
          <w:p w14:paraId="707283F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43EC7C4" w14:textId="77777777" w:rsidR="00E57DAA" w:rsidRDefault="00AC4185">
            <w:pPr>
              <w:autoSpaceDE w:val="0"/>
              <w:autoSpaceDN w:val="0"/>
              <w:adjustRightInd w:val="0"/>
              <w:rPr>
                <w:szCs w:val="21"/>
              </w:rPr>
            </w:pPr>
            <w:r>
              <w:t>新余钢铁股份有限公司</w:t>
            </w:r>
          </w:p>
        </w:tc>
        <w:tc>
          <w:tcPr>
            <w:tcW w:w="633" w:type="pct"/>
            <w:tcBorders>
              <w:top w:val="single" w:sz="4" w:space="0" w:color="auto"/>
              <w:left w:val="single" w:sz="4" w:space="0" w:color="auto"/>
              <w:bottom w:val="single" w:sz="4" w:space="0" w:color="auto"/>
              <w:right w:val="single" w:sz="4" w:space="0" w:color="auto"/>
            </w:tcBorders>
          </w:tcPr>
          <w:p w14:paraId="2782AD68"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5B43245B" w14:textId="77777777" w:rsidR="00E57DAA" w:rsidRDefault="00AC4185">
            <w:pPr>
              <w:autoSpaceDE w:val="0"/>
              <w:autoSpaceDN w:val="0"/>
              <w:adjustRightInd w:val="0"/>
              <w:jc w:val="right"/>
              <w:rPr>
                <w:szCs w:val="21"/>
              </w:rPr>
            </w:pPr>
            <w:r>
              <w:t>10,000.00</w:t>
            </w:r>
          </w:p>
        </w:tc>
        <w:tc>
          <w:tcPr>
            <w:tcW w:w="703" w:type="pct"/>
            <w:tcBorders>
              <w:top w:val="single" w:sz="4" w:space="0" w:color="auto"/>
              <w:left w:val="single" w:sz="4" w:space="0" w:color="auto"/>
              <w:bottom w:val="single" w:sz="4" w:space="0" w:color="auto"/>
              <w:right w:val="single" w:sz="4" w:space="0" w:color="auto"/>
            </w:tcBorders>
          </w:tcPr>
          <w:p w14:paraId="39D68C07" w14:textId="77777777" w:rsidR="00E57DAA" w:rsidRDefault="00AC4185">
            <w:pPr>
              <w:autoSpaceDE w:val="0"/>
              <w:autoSpaceDN w:val="0"/>
              <w:adjustRightInd w:val="0"/>
              <w:jc w:val="right"/>
              <w:rPr>
                <w:szCs w:val="21"/>
              </w:rPr>
            </w:pPr>
            <w:r>
              <w:t>179,800.00</w:t>
            </w:r>
          </w:p>
        </w:tc>
        <w:tc>
          <w:tcPr>
            <w:tcW w:w="914" w:type="pct"/>
            <w:tcBorders>
              <w:top w:val="single" w:sz="4" w:space="0" w:color="auto"/>
              <w:left w:val="single" w:sz="4" w:space="0" w:color="auto"/>
              <w:bottom w:val="single" w:sz="4" w:space="0" w:color="auto"/>
              <w:right w:val="single" w:sz="4" w:space="0" w:color="auto"/>
            </w:tcBorders>
          </w:tcPr>
          <w:p w14:paraId="76C6C1A1" w14:textId="77777777" w:rsidR="00E57DAA" w:rsidRDefault="00AC4185">
            <w:pPr>
              <w:autoSpaceDE w:val="0"/>
              <w:autoSpaceDN w:val="0"/>
              <w:adjustRightInd w:val="0"/>
              <w:jc w:val="right"/>
              <w:rPr>
                <w:szCs w:val="21"/>
              </w:rPr>
            </w:pPr>
            <w:r>
              <w:t>17,980.00</w:t>
            </w:r>
          </w:p>
        </w:tc>
      </w:tr>
      <w:tr w:rsidR="00E57DAA" w14:paraId="3D501C78" w14:textId="77777777">
        <w:tc>
          <w:tcPr>
            <w:tcW w:w="677" w:type="pct"/>
            <w:tcBorders>
              <w:top w:val="single" w:sz="4" w:space="0" w:color="auto"/>
              <w:left w:val="single" w:sz="4" w:space="0" w:color="auto"/>
              <w:bottom w:val="single" w:sz="4" w:space="0" w:color="auto"/>
              <w:right w:val="single" w:sz="4" w:space="0" w:color="auto"/>
            </w:tcBorders>
            <w:vAlign w:val="center"/>
          </w:tcPr>
          <w:p w14:paraId="77C362E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DB6757D" w14:textId="77777777" w:rsidR="00E57DAA" w:rsidRDefault="00AC4185">
            <w:pPr>
              <w:autoSpaceDE w:val="0"/>
              <w:autoSpaceDN w:val="0"/>
              <w:adjustRightInd w:val="0"/>
              <w:rPr>
                <w:szCs w:val="21"/>
              </w:rPr>
            </w:pPr>
            <w:r>
              <w:t>敖汉旗山水水泥有限公司</w:t>
            </w:r>
          </w:p>
        </w:tc>
        <w:tc>
          <w:tcPr>
            <w:tcW w:w="633" w:type="pct"/>
            <w:tcBorders>
              <w:top w:val="single" w:sz="4" w:space="0" w:color="auto"/>
              <w:left w:val="single" w:sz="4" w:space="0" w:color="auto"/>
              <w:bottom w:val="single" w:sz="4" w:space="0" w:color="auto"/>
              <w:right w:val="single" w:sz="4" w:space="0" w:color="auto"/>
            </w:tcBorders>
          </w:tcPr>
          <w:p w14:paraId="7BC6052A" w14:textId="77777777" w:rsidR="00E57DAA" w:rsidRDefault="00AC4185">
            <w:pPr>
              <w:autoSpaceDE w:val="0"/>
              <w:autoSpaceDN w:val="0"/>
              <w:adjustRightInd w:val="0"/>
              <w:jc w:val="right"/>
              <w:rPr>
                <w:szCs w:val="21"/>
              </w:rPr>
            </w:pPr>
            <w:r>
              <w:t>49,000.00</w:t>
            </w:r>
          </w:p>
        </w:tc>
        <w:tc>
          <w:tcPr>
            <w:tcW w:w="632" w:type="pct"/>
            <w:tcBorders>
              <w:top w:val="single" w:sz="4" w:space="0" w:color="auto"/>
              <w:left w:val="single" w:sz="4" w:space="0" w:color="auto"/>
              <w:bottom w:val="single" w:sz="4" w:space="0" w:color="auto"/>
              <w:right w:val="single" w:sz="4" w:space="0" w:color="auto"/>
            </w:tcBorders>
          </w:tcPr>
          <w:p w14:paraId="76C10468" w14:textId="77777777" w:rsidR="00E57DAA" w:rsidRDefault="00AC4185">
            <w:pPr>
              <w:autoSpaceDE w:val="0"/>
              <w:autoSpaceDN w:val="0"/>
              <w:adjustRightInd w:val="0"/>
              <w:jc w:val="right"/>
              <w:rPr>
                <w:szCs w:val="21"/>
              </w:rPr>
            </w:pPr>
            <w:r>
              <w:t>3,229.10</w:t>
            </w:r>
          </w:p>
        </w:tc>
        <w:tc>
          <w:tcPr>
            <w:tcW w:w="703" w:type="pct"/>
            <w:tcBorders>
              <w:top w:val="single" w:sz="4" w:space="0" w:color="auto"/>
              <w:left w:val="single" w:sz="4" w:space="0" w:color="auto"/>
              <w:bottom w:val="single" w:sz="4" w:space="0" w:color="auto"/>
              <w:right w:val="single" w:sz="4" w:space="0" w:color="auto"/>
            </w:tcBorders>
          </w:tcPr>
          <w:p w14:paraId="65D2F63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93BFC6F" w14:textId="77777777" w:rsidR="00E57DAA" w:rsidRDefault="00AC4185">
            <w:pPr>
              <w:autoSpaceDE w:val="0"/>
              <w:autoSpaceDN w:val="0"/>
              <w:adjustRightInd w:val="0"/>
              <w:jc w:val="right"/>
              <w:rPr>
                <w:szCs w:val="21"/>
              </w:rPr>
            </w:pPr>
            <w:r>
              <w:t xml:space="preserve">　</w:t>
            </w:r>
          </w:p>
        </w:tc>
      </w:tr>
      <w:tr w:rsidR="00E57DAA" w14:paraId="58A0BCE2" w14:textId="77777777">
        <w:tc>
          <w:tcPr>
            <w:tcW w:w="677" w:type="pct"/>
            <w:tcBorders>
              <w:top w:val="single" w:sz="4" w:space="0" w:color="auto"/>
              <w:left w:val="single" w:sz="4" w:space="0" w:color="auto"/>
              <w:bottom w:val="single" w:sz="4" w:space="0" w:color="auto"/>
              <w:right w:val="single" w:sz="4" w:space="0" w:color="auto"/>
            </w:tcBorders>
            <w:vAlign w:val="center"/>
          </w:tcPr>
          <w:p w14:paraId="456101E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5921039" w14:textId="77777777" w:rsidR="00E57DAA" w:rsidRDefault="00AC4185">
            <w:pPr>
              <w:autoSpaceDE w:val="0"/>
              <w:autoSpaceDN w:val="0"/>
              <w:adjustRightInd w:val="0"/>
              <w:rPr>
                <w:szCs w:val="21"/>
              </w:rPr>
            </w:pPr>
            <w:r>
              <w:t>淄博山水水泥有限公司</w:t>
            </w:r>
          </w:p>
        </w:tc>
        <w:tc>
          <w:tcPr>
            <w:tcW w:w="633" w:type="pct"/>
            <w:tcBorders>
              <w:top w:val="single" w:sz="4" w:space="0" w:color="auto"/>
              <w:left w:val="single" w:sz="4" w:space="0" w:color="auto"/>
              <w:bottom w:val="single" w:sz="4" w:space="0" w:color="auto"/>
              <w:right w:val="single" w:sz="4" w:space="0" w:color="auto"/>
            </w:tcBorders>
          </w:tcPr>
          <w:p w14:paraId="3F851B5F" w14:textId="77777777" w:rsidR="00E57DAA" w:rsidRDefault="00AC4185">
            <w:pPr>
              <w:autoSpaceDE w:val="0"/>
              <w:autoSpaceDN w:val="0"/>
              <w:adjustRightInd w:val="0"/>
              <w:jc w:val="right"/>
              <w:rPr>
                <w:szCs w:val="21"/>
              </w:rPr>
            </w:pPr>
            <w:r>
              <w:t>48,600.00</w:t>
            </w:r>
          </w:p>
        </w:tc>
        <w:tc>
          <w:tcPr>
            <w:tcW w:w="632" w:type="pct"/>
            <w:tcBorders>
              <w:top w:val="single" w:sz="4" w:space="0" w:color="auto"/>
              <w:left w:val="single" w:sz="4" w:space="0" w:color="auto"/>
              <w:bottom w:val="single" w:sz="4" w:space="0" w:color="auto"/>
              <w:right w:val="single" w:sz="4" w:space="0" w:color="auto"/>
            </w:tcBorders>
          </w:tcPr>
          <w:p w14:paraId="7077DBFB" w14:textId="77777777" w:rsidR="00E57DAA" w:rsidRDefault="00AC4185">
            <w:pPr>
              <w:autoSpaceDE w:val="0"/>
              <w:autoSpaceDN w:val="0"/>
              <w:adjustRightInd w:val="0"/>
              <w:jc w:val="right"/>
              <w:rPr>
                <w:szCs w:val="21"/>
              </w:rPr>
            </w:pPr>
            <w:r>
              <w:t>4,045.84</w:t>
            </w:r>
          </w:p>
        </w:tc>
        <w:tc>
          <w:tcPr>
            <w:tcW w:w="703" w:type="pct"/>
            <w:tcBorders>
              <w:top w:val="single" w:sz="4" w:space="0" w:color="auto"/>
              <w:left w:val="single" w:sz="4" w:space="0" w:color="auto"/>
              <w:bottom w:val="single" w:sz="4" w:space="0" w:color="auto"/>
              <w:right w:val="single" w:sz="4" w:space="0" w:color="auto"/>
            </w:tcBorders>
          </w:tcPr>
          <w:p w14:paraId="413F2F88" w14:textId="77777777" w:rsidR="00E57DAA" w:rsidRDefault="00AC4185">
            <w:pPr>
              <w:autoSpaceDE w:val="0"/>
              <w:autoSpaceDN w:val="0"/>
              <w:adjustRightInd w:val="0"/>
              <w:jc w:val="right"/>
              <w:rPr>
                <w:szCs w:val="21"/>
              </w:rPr>
            </w:pPr>
            <w:r>
              <w:t>1,600,750.34</w:t>
            </w:r>
          </w:p>
        </w:tc>
        <w:tc>
          <w:tcPr>
            <w:tcW w:w="914" w:type="pct"/>
            <w:tcBorders>
              <w:top w:val="single" w:sz="4" w:space="0" w:color="auto"/>
              <w:left w:val="single" w:sz="4" w:space="0" w:color="auto"/>
              <w:bottom w:val="single" w:sz="4" w:space="0" w:color="auto"/>
              <w:right w:val="single" w:sz="4" w:space="0" w:color="auto"/>
            </w:tcBorders>
          </w:tcPr>
          <w:p w14:paraId="300F5E48" w14:textId="77777777" w:rsidR="00E57DAA" w:rsidRDefault="00AC4185">
            <w:pPr>
              <w:autoSpaceDE w:val="0"/>
              <w:autoSpaceDN w:val="0"/>
              <w:adjustRightInd w:val="0"/>
              <w:jc w:val="right"/>
              <w:rPr>
                <w:szCs w:val="21"/>
              </w:rPr>
            </w:pPr>
            <w:r>
              <w:t>245,524.57</w:t>
            </w:r>
          </w:p>
        </w:tc>
      </w:tr>
      <w:tr w:rsidR="00E57DAA" w14:paraId="478B8AFC" w14:textId="77777777">
        <w:tc>
          <w:tcPr>
            <w:tcW w:w="677" w:type="pct"/>
            <w:tcBorders>
              <w:top w:val="single" w:sz="4" w:space="0" w:color="auto"/>
              <w:left w:val="single" w:sz="4" w:space="0" w:color="auto"/>
              <w:bottom w:val="single" w:sz="4" w:space="0" w:color="auto"/>
              <w:right w:val="single" w:sz="4" w:space="0" w:color="auto"/>
            </w:tcBorders>
            <w:vAlign w:val="center"/>
          </w:tcPr>
          <w:p w14:paraId="297B03F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F530638" w14:textId="77777777" w:rsidR="00E57DAA" w:rsidRDefault="00AC4185">
            <w:pPr>
              <w:autoSpaceDE w:val="0"/>
              <w:autoSpaceDN w:val="0"/>
              <w:adjustRightInd w:val="0"/>
              <w:rPr>
                <w:szCs w:val="21"/>
              </w:rPr>
            </w:pPr>
            <w:r>
              <w:t>巴林右旗山水水泥有限公司</w:t>
            </w:r>
          </w:p>
        </w:tc>
        <w:tc>
          <w:tcPr>
            <w:tcW w:w="633" w:type="pct"/>
            <w:tcBorders>
              <w:top w:val="single" w:sz="4" w:space="0" w:color="auto"/>
              <w:left w:val="single" w:sz="4" w:space="0" w:color="auto"/>
              <w:bottom w:val="single" w:sz="4" w:space="0" w:color="auto"/>
              <w:right w:val="single" w:sz="4" w:space="0" w:color="auto"/>
            </w:tcBorders>
          </w:tcPr>
          <w:p w14:paraId="5F229218" w14:textId="77777777" w:rsidR="00E57DAA" w:rsidRDefault="00AC4185">
            <w:pPr>
              <w:autoSpaceDE w:val="0"/>
              <w:autoSpaceDN w:val="0"/>
              <w:adjustRightInd w:val="0"/>
              <w:jc w:val="right"/>
              <w:rPr>
                <w:szCs w:val="21"/>
              </w:rPr>
            </w:pPr>
            <w:r>
              <w:t>48,000.00</w:t>
            </w:r>
          </w:p>
        </w:tc>
        <w:tc>
          <w:tcPr>
            <w:tcW w:w="632" w:type="pct"/>
            <w:tcBorders>
              <w:top w:val="single" w:sz="4" w:space="0" w:color="auto"/>
              <w:left w:val="single" w:sz="4" w:space="0" w:color="auto"/>
              <w:bottom w:val="single" w:sz="4" w:space="0" w:color="auto"/>
              <w:right w:val="single" w:sz="4" w:space="0" w:color="auto"/>
            </w:tcBorders>
          </w:tcPr>
          <w:p w14:paraId="4C4B9762" w14:textId="77777777" w:rsidR="00E57DAA" w:rsidRDefault="00AC4185">
            <w:pPr>
              <w:autoSpaceDE w:val="0"/>
              <w:autoSpaceDN w:val="0"/>
              <w:adjustRightInd w:val="0"/>
              <w:jc w:val="right"/>
              <w:rPr>
                <w:szCs w:val="21"/>
              </w:rPr>
            </w:pPr>
            <w:r>
              <w:t>3,163.20</w:t>
            </w:r>
          </w:p>
        </w:tc>
        <w:tc>
          <w:tcPr>
            <w:tcW w:w="703" w:type="pct"/>
            <w:tcBorders>
              <w:top w:val="single" w:sz="4" w:space="0" w:color="auto"/>
              <w:left w:val="single" w:sz="4" w:space="0" w:color="auto"/>
              <w:bottom w:val="single" w:sz="4" w:space="0" w:color="auto"/>
              <w:right w:val="single" w:sz="4" w:space="0" w:color="auto"/>
            </w:tcBorders>
          </w:tcPr>
          <w:p w14:paraId="0AFB5D5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8380102" w14:textId="77777777" w:rsidR="00E57DAA" w:rsidRDefault="00AC4185">
            <w:pPr>
              <w:autoSpaceDE w:val="0"/>
              <w:autoSpaceDN w:val="0"/>
              <w:adjustRightInd w:val="0"/>
              <w:jc w:val="right"/>
              <w:rPr>
                <w:szCs w:val="21"/>
              </w:rPr>
            </w:pPr>
            <w:r>
              <w:t xml:space="preserve">　</w:t>
            </w:r>
          </w:p>
        </w:tc>
      </w:tr>
      <w:tr w:rsidR="00E57DAA" w14:paraId="4E8B96B0" w14:textId="77777777">
        <w:tc>
          <w:tcPr>
            <w:tcW w:w="677" w:type="pct"/>
            <w:tcBorders>
              <w:top w:val="single" w:sz="4" w:space="0" w:color="auto"/>
              <w:left w:val="single" w:sz="4" w:space="0" w:color="auto"/>
              <w:bottom w:val="single" w:sz="4" w:space="0" w:color="auto"/>
              <w:right w:val="single" w:sz="4" w:space="0" w:color="auto"/>
            </w:tcBorders>
            <w:vAlign w:val="center"/>
          </w:tcPr>
          <w:p w14:paraId="4F5FB68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5EAD9E6" w14:textId="77777777" w:rsidR="00E57DAA" w:rsidRDefault="00AC4185">
            <w:pPr>
              <w:autoSpaceDE w:val="0"/>
              <w:autoSpaceDN w:val="0"/>
              <w:adjustRightInd w:val="0"/>
              <w:rPr>
                <w:szCs w:val="21"/>
              </w:rPr>
            </w:pPr>
            <w:r>
              <w:t>江西乐平万年青水泥有限公司</w:t>
            </w:r>
          </w:p>
        </w:tc>
        <w:tc>
          <w:tcPr>
            <w:tcW w:w="633" w:type="pct"/>
            <w:tcBorders>
              <w:top w:val="single" w:sz="4" w:space="0" w:color="auto"/>
              <w:left w:val="single" w:sz="4" w:space="0" w:color="auto"/>
              <w:bottom w:val="single" w:sz="4" w:space="0" w:color="auto"/>
              <w:right w:val="single" w:sz="4" w:space="0" w:color="auto"/>
            </w:tcBorders>
          </w:tcPr>
          <w:p w14:paraId="3DB61982" w14:textId="77777777" w:rsidR="00E57DAA" w:rsidRDefault="00AC4185">
            <w:pPr>
              <w:autoSpaceDE w:val="0"/>
              <w:autoSpaceDN w:val="0"/>
              <w:adjustRightInd w:val="0"/>
              <w:jc w:val="right"/>
              <w:rPr>
                <w:szCs w:val="21"/>
              </w:rPr>
            </w:pPr>
            <w:r>
              <w:t>40,000.00</w:t>
            </w:r>
          </w:p>
        </w:tc>
        <w:tc>
          <w:tcPr>
            <w:tcW w:w="632" w:type="pct"/>
            <w:tcBorders>
              <w:top w:val="single" w:sz="4" w:space="0" w:color="auto"/>
              <w:left w:val="single" w:sz="4" w:space="0" w:color="auto"/>
              <w:bottom w:val="single" w:sz="4" w:space="0" w:color="auto"/>
              <w:right w:val="single" w:sz="4" w:space="0" w:color="auto"/>
            </w:tcBorders>
          </w:tcPr>
          <w:p w14:paraId="0DFD589C" w14:textId="77777777" w:rsidR="00E57DAA" w:rsidRDefault="00AC4185">
            <w:pPr>
              <w:autoSpaceDE w:val="0"/>
              <w:autoSpaceDN w:val="0"/>
              <w:adjustRightInd w:val="0"/>
              <w:jc w:val="right"/>
              <w:rPr>
                <w:szCs w:val="21"/>
              </w:rPr>
            </w:pPr>
            <w:r>
              <w:t>40,000.00</w:t>
            </w:r>
          </w:p>
        </w:tc>
        <w:tc>
          <w:tcPr>
            <w:tcW w:w="703" w:type="pct"/>
            <w:tcBorders>
              <w:top w:val="single" w:sz="4" w:space="0" w:color="auto"/>
              <w:left w:val="single" w:sz="4" w:space="0" w:color="auto"/>
              <w:bottom w:val="single" w:sz="4" w:space="0" w:color="auto"/>
              <w:right w:val="single" w:sz="4" w:space="0" w:color="auto"/>
            </w:tcBorders>
          </w:tcPr>
          <w:p w14:paraId="4B3D1DF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2B400B3" w14:textId="77777777" w:rsidR="00E57DAA" w:rsidRDefault="00AC4185">
            <w:pPr>
              <w:autoSpaceDE w:val="0"/>
              <w:autoSpaceDN w:val="0"/>
              <w:adjustRightInd w:val="0"/>
              <w:jc w:val="right"/>
              <w:rPr>
                <w:szCs w:val="21"/>
              </w:rPr>
            </w:pPr>
            <w:r>
              <w:t xml:space="preserve">　</w:t>
            </w:r>
          </w:p>
        </w:tc>
      </w:tr>
      <w:tr w:rsidR="00E57DAA" w14:paraId="6E8C78DB" w14:textId="77777777">
        <w:tc>
          <w:tcPr>
            <w:tcW w:w="677" w:type="pct"/>
            <w:tcBorders>
              <w:top w:val="single" w:sz="4" w:space="0" w:color="auto"/>
              <w:left w:val="single" w:sz="4" w:space="0" w:color="auto"/>
              <w:bottom w:val="single" w:sz="4" w:space="0" w:color="auto"/>
              <w:right w:val="single" w:sz="4" w:space="0" w:color="auto"/>
            </w:tcBorders>
            <w:vAlign w:val="center"/>
          </w:tcPr>
          <w:p w14:paraId="5C20B89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E56D48B" w14:textId="77777777" w:rsidR="00E57DAA" w:rsidRDefault="00AC4185">
            <w:pPr>
              <w:autoSpaceDE w:val="0"/>
              <w:autoSpaceDN w:val="0"/>
              <w:adjustRightInd w:val="0"/>
              <w:rPr>
                <w:szCs w:val="21"/>
              </w:rPr>
            </w:pPr>
            <w:r>
              <w:t>河南省淅川水泥有限公司</w:t>
            </w:r>
          </w:p>
        </w:tc>
        <w:tc>
          <w:tcPr>
            <w:tcW w:w="633" w:type="pct"/>
            <w:tcBorders>
              <w:top w:val="single" w:sz="4" w:space="0" w:color="auto"/>
              <w:left w:val="single" w:sz="4" w:space="0" w:color="auto"/>
              <w:bottom w:val="single" w:sz="4" w:space="0" w:color="auto"/>
              <w:right w:val="single" w:sz="4" w:space="0" w:color="auto"/>
            </w:tcBorders>
          </w:tcPr>
          <w:p w14:paraId="1424C838" w14:textId="77777777" w:rsidR="00E57DAA" w:rsidRDefault="00AC4185">
            <w:pPr>
              <w:autoSpaceDE w:val="0"/>
              <w:autoSpaceDN w:val="0"/>
              <w:adjustRightInd w:val="0"/>
              <w:jc w:val="right"/>
              <w:rPr>
                <w:szCs w:val="21"/>
              </w:rPr>
            </w:pPr>
            <w:r>
              <w:t>25,050.00</w:t>
            </w:r>
          </w:p>
        </w:tc>
        <w:tc>
          <w:tcPr>
            <w:tcW w:w="632" w:type="pct"/>
            <w:tcBorders>
              <w:top w:val="single" w:sz="4" w:space="0" w:color="auto"/>
              <w:left w:val="single" w:sz="4" w:space="0" w:color="auto"/>
              <w:bottom w:val="single" w:sz="4" w:space="0" w:color="auto"/>
              <w:right w:val="single" w:sz="4" w:space="0" w:color="auto"/>
            </w:tcBorders>
          </w:tcPr>
          <w:p w14:paraId="6221B939" w14:textId="77777777" w:rsidR="00E57DAA" w:rsidRDefault="00AC4185">
            <w:pPr>
              <w:autoSpaceDE w:val="0"/>
              <w:autoSpaceDN w:val="0"/>
              <w:adjustRightInd w:val="0"/>
              <w:jc w:val="right"/>
              <w:rPr>
                <w:szCs w:val="21"/>
              </w:rPr>
            </w:pPr>
            <w:r>
              <w:t>25,050.00</w:t>
            </w:r>
          </w:p>
        </w:tc>
        <w:tc>
          <w:tcPr>
            <w:tcW w:w="703" w:type="pct"/>
            <w:tcBorders>
              <w:top w:val="single" w:sz="4" w:space="0" w:color="auto"/>
              <w:left w:val="single" w:sz="4" w:space="0" w:color="auto"/>
              <w:bottom w:val="single" w:sz="4" w:space="0" w:color="auto"/>
              <w:right w:val="single" w:sz="4" w:space="0" w:color="auto"/>
            </w:tcBorders>
          </w:tcPr>
          <w:p w14:paraId="42CBB857" w14:textId="77777777" w:rsidR="00E57DAA" w:rsidRDefault="00AC4185">
            <w:pPr>
              <w:autoSpaceDE w:val="0"/>
              <w:autoSpaceDN w:val="0"/>
              <w:adjustRightInd w:val="0"/>
              <w:jc w:val="right"/>
              <w:rPr>
                <w:szCs w:val="21"/>
              </w:rPr>
            </w:pPr>
            <w:r>
              <w:t>25,050.00</w:t>
            </w:r>
          </w:p>
        </w:tc>
        <w:tc>
          <w:tcPr>
            <w:tcW w:w="914" w:type="pct"/>
            <w:tcBorders>
              <w:top w:val="single" w:sz="4" w:space="0" w:color="auto"/>
              <w:left w:val="single" w:sz="4" w:space="0" w:color="auto"/>
              <w:bottom w:val="single" w:sz="4" w:space="0" w:color="auto"/>
              <w:right w:val="single" w:sz="4" w:space="0" w:color="auto"/>
            </w:tcBorders>
          </w:tcPr>
          <w:p w14:paraId="1C6BCC61" w14:textId="77777777" w:rsidR="00E57DAA" w:rsidRDefault="00AC4185">
            <w:pPr>
              <w:autoSpaceDE w:val="0"/>
              <w:autoSpaceDN w:val="0"/>
              <w:adjustRightInd w:val="0"/>
              <w:jc w:val="right"/>
              <w:rPr>
                <w:szCs w:val="21"/>
              </w:rPr>
            </w:pPr>
            <w:r>
              <w:t>25,050.00</w:t>
            </w:r>
          </w:p>
        </w:tc>
      </w:tr>
      <w:tr w:rsidR="00E57DAA" w14:paraId="76FEF855" w14:textId="77777777">
        <w:tc>
          <w:tcPr>
            <w:tcW w:w="677" w:type="pct"/>
            <w:tcBorders>
              <w:top w:val="single" w:sz="4" w:space="0" w:color="auto"/>
              <w:left w:val="single" w:sz="4" w:space="0" w:color="auto"/>
              <w:bottom w:val="single" w:sz="4" w:space="0" w:color="auto"/>
              <w:right w:val="single" w:sz="4" w:space="0" w:color="auto"/>
            </w:tcBorders>
            <w:vAlign w:val="center"/>
          </w:tcPr>
          <w:p w14:paraId="1E055EA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F0DC2BA" w14:textId="77777777" w:rsidR="00E57DAA" w:rsidRDefault="00AC4185">
            <w:pPr>
              <w:autoSpaceDE w:val="0"/>
              <w:autoSpaceDN w:val="0"/>
              <w:adjustRightInd w:val="0"/>
              <w:rPr>
                <w:szCs w:val="21"/>
              </w:rPr>
            </w:pPr>
            <w:r>
              <w:t>四川省银河化学股份有限公司</w:t>
            </w:r>
          </w:p>
        </w:tc>
        <w:tc>
          <w:tcPr>
            <w:tcW w:w="633" w:type="pct"/>
            <w:tcBorders>
              <w:top w:val="single" w:sz="4" w:space="0" w:color="auto"/>
              <w:left w:val="single" w:sz="4" w:space="0" w:color="auto"/>
              <w:bottom w:val="single" w:sz="4" w:space="0" w:color="auto"/>
              <w:right w:val="single" w:sz="4" w:space="0" w:color="auto"/>
            </w:tcBorders>
          </w:tcPr>
          <w:p w14:paraId="5DF43608" w14:textId="77777777" w:rsidR="00E57DAA" w:rsidRDefault="00AC4185">
            <w:pPr>
              <w:autoSpaceDE w:val="0"/>
              <w:autoSpaceDN w:val="0"/>
              <w:adjustRightInd w:val="0"/>
              <w:jc w:val="right"/>
              <w:rPr>
                <w:szCs w:val="21"/>
              </w:rPr>
            </w:pPr>
            <w:r>
              <w:t>23,073.00</w:t>
            </w:r>
          </w:p>
        </w:tc>
        <w:tc>
          <w:tcPr>
            <w:tcW w:w="632" w:type="pct"/>
            <w:tcBorders>
              <w:top w:val="single" w:sz="4" w:space="0" w:color="auto"/>
              <w:left w:val="single" w:sz="4" w:space="0" w:color="auto"/>
              <w:bottom w:val="single" w:sz="4" w:space="0" w:color="auto"/>
              <w:right w:val="single" w:sz="4" w:space="0" w:color="auto"/>
            </w:tcBorders>
          </w:tcPr>
          <w:p w14:paraId="7CC9B049" w14:textId="77777777" w:rsidR="00E57DAA" w:rsidRDefault="00AC4185">
            <w:pPr>
              <w:autoSpaceDE w:val="0"/>
              <w:autoSpaceDN w:val="0"/>
              <w:adjustRightInd w:val="0"/>
              <w:jc w:val="right"/>
              <w:rPr>
                <w:szCs w:val="21"/>
              </w:rPr>
            </w:pPr>
            <w:r>
              <w:t>23,073.00</w:t>
            </w:r>
          </w:p>
        </w:tc>
        <w:tc>
          <w:tcPr>
            <w:tcW w:w="703" w:type="pct"/>
            <w:tcBorders>
              <w:top w:val="single" w:sz="4" w:space="0" w:color="auto"/>
              <w:left w:val="single" w:sz="4" w:space="0" w:color="auto"/>
              <w:bottom w:val="single" w:sz="4" w:space="0" w:color="auto"/>
              <w:right w:val="single" w:sz="4" w:space="0" w:color="auto"/>
            </w:tcBorders>
          </w:tcPr>
          <w:p w14:paraId="607CE97D" w14:textId="77777777" w:rsidR="00E57DAA" w:rsidRDefault="00AC4185">
            <w:pPr>
              <w:autoSpaceDE w:val="0"/>
              <w:autoSpaceDN w:val="0"/>
              <w:adjustRightInd w:val="0"/>
              <w:jc w:val="right"/>
              <w:rPr>
                <w:szCs w:val="21"/>
              </w:rPr>
            </w:pPr>
            <w:r>
              <w:t>161,073.00</w:t>
            </w:r>
          </w:p>
        </w:tc>
        <w:tc>
          <w:tcPr>
            <w:tcW w:w="914" w:type="pct"/>
            <w:tcBorders>
              <w:top w:val="single" w:sz="4" w:space="0" w:color="auto"/>
              <w:left w:val="single" w:sz="4" w:space="0" w:color="auto"/>
              <w:bottom w:val="single" w:sz="4" w:space="0" w:color="auto"/>
              <w:right w:val="single" w:sz="4" w:space="0" w:color="auto"/>
            </w:tcBorders>
          </w:tcPr>
          <w:p w14:paraId="33163BC0" w14:textId="77777777" w:rsidR="00E57DAA" w:rsidRDefault="00AC4185">
            <w:pPr>
              <w:autoSpaceDE w:val="0"/>
              <w:autoSpaceDN w:val="0"/>
              <w:adjustRightInd w:val="0"/>
              <w:jc w:val="right"/>
              <w:rPr>
                <w:szCs w:val="21"/>
              </w:rPr>
            </w:pPr>
            <w:r>
              <w:t>161,073.00</w:t>
            </w:r>
          </w:p>
        </w:tc>
      </w:tr>
      <w:tr w:rsidR="00E57DAA" w14:paraId="00139D8B" w14:textId="77777777">
        <w:tc>
          <w:tcPr>
            <w:tcW w:w="677" w:type="pct"/>
            <w:tcBorders>
              <w:top w:val="single" w:sz="4" w:space="0" w:color="auto"/>
              <w:left w:val="single" w:sz="4" w:space="0" w:color="auto"/>
              <w:bottom w:val="single" w:sz="4" w:space="0" w:color="auto"/>
              <w:right w:val="single" w:sz="4" w:space="0" w:color="auto"/>
            </w:tcBorders>
            <w:vAlign w:val="center"/>
          </w:tcPr>
          <w:p w14:paraId="2E89CEF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7D4A2FA" w14:textId="77777777" w:rsidR="00E57DAA" w:rsidRDefault="00AC4185">
            <w:pPr>
              <w:autoSpaceDE w:val="0"/>
              <w:autoSpaceDN w:val="0"/>
              <w:adjustRightInd w:val="0"/>
              <w:rPr>
                <w:szCs w:val="21"/>
              </w:rPr>
            </w:pPr>
            <w:r>
              <w:t>江西湖口万年青水泥有限公司</w:t>
            </w:r>
          </w:p>
        </w:tc>
        <w:tc>
          <w:tcPr>
            <w:tcW w:w="633" w:type="pct"/>
            <w:tcBorders>
              <w:top w:val="single" w:sz="4" w:space="0" w:color="auto"/>
              <w:left w:val="single" w:sz="4" w:space="0" w:color="auto"/>
              <w:bottom w:val="single" w:sz="4" w:space="0" w:color="auto"/>
              <w:right w:val="single" w:sz="4" w:space="0" w:color="auto"/>
            </w:tcBorders>
          </w:tcPr>
          <w:p w14:paraId="337D5033" w14:textId="77777777" w:rsidR="00E57DAA" w:rsidRDefault="00AC4185">
            <w:pPr>
              <w:autoSpaceDE w:val="0"/>
              <w:autoSpaceDN w:val="0"/>
              <w:adjustRightInd w:val="0"/>
              <w:jc w:val="right"/>
              <w:rPr>
                <w:szCs w:val="21"/>
              </w:rPr>
            </w:pPr>
            <w:r>
              <w:t>16,500.00</w:t>
            </w:r>
          </w:p>
        </w:tc>
        <w:tc>
          <w:tcPr>
            <w:tcW w:w="632" w:type="pct"/>
            <w:tcBorders>
              <w:top w:val="single" w:sz="4" w:space="0" w:color="auto"/>
              <w:left w:val="single" w:sz="4" w:space="0" w:color="auto"/>
              <w:bottom w:val="single" w:sz="4" w:space="0" w:color="auto"/>
              <w:right w:val="single" w:sz="4" w:space="0" w:color="auto"/>
            </w:tcBorders>
          </w:tcPr>
          <w:p w14:paraId="697A8646" w14:textId="77777777" w:rsidR="00E57DAA" w:rsidRDefault="00AC4185">
            <w:pPr>
              <w:autoSpaceDE w:val="0"/>
              <w:autoSpaceDN w:val="0"/>
              <w:adjustRightInd w:val="0"/>
              <w:jc w:val="right"/>
              <w:rPr>
                <w:szCs w:val="21"/>
              </w:rPr>
            </w:pPr>
            <w:r>
              <w:t>391.05</w:t>
            </w:r>
          </w:p>
        </w:tc>
        <w:tc>
          <w:tcPr>
            <w:tcW w:w="703" w:type="pct"/>
            <w:tcBorders>
              <w:top w:val="single" w:sz="4" w:space="0" w:color="auto"/>
              <w:left w:val="single" w:sz="4" w:space="0" w:color="auto"/>
              <w:bottom w:val="single" w:sz="4" w:space="0" w:color="auto"/>
              <w:right w:val="single" w:sz="4" w:space="0" w:color="auto"/>
            </w:tcBorders>
          </w:tcPr>
          <w:p w14:paraId="1C7E0BC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A970E7D" w14:textId="77777777" w:rsidR="00E57DAA" w:rsidRDefault="00AC4185">
            <w:pPr>
              <w:autoSpaceDE w:val="0"/>
              <w:autoSpaceDN w:val="0"/>
              <w:adjustRightInd w:val="0"/>
              <w:jc w:val="right"/>
              <w:rPr>
                <w:szCs w:val="21"/>
              </w:rPr>
            </w:pPr>
            <w:r>
              <w:t xml:space="preserve">　</w:t>
            </w:r>
          </w:p>
        </w:tc>
      </w:tr>
      <w:tr w:rsidR="00E57DAA" w14:paraId="6AA60591" w14:textId="77777777">
        <w:tc>
          <w:tcPr>
            <w:tcW w:w="677" w:type="pct"/>
            <w:tcBorders>
              <w:top w:val="single" w:sz="4" w:space="0" w:color="auto"/>
              <w:left w:val="single" w:sz="4" w:space="0" w:color="auto"/>
              <w:bottom w:val="single" w:sz="4" w:space="0" w:color="auto"/>
              <w:right w:val="single" w:sz="4" w:space="0" w:color="auto"/>
            </w:tcBorders>
            <w:vAlign w:val="center"/>
          </w:tcPr>
          <w:p w14:paraId="0B8F7F98"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B1E9023" w14:textId="77777777" w:rsidR="00E57DAA" w:rsidRDefault="00AC4185">
            <w:pPr>
              <w:autoSpaceDE w:val="0"/>
              <w:autoSpaceDN w:val="0"/>
              <w:adjustRightInd w:val="0"/>
              <w:rPr>
                <w:szCs w:val="21"/>
              </w:rPr>
            </w:pPr>
            <w:r>
              <w:t>四川省星船城水泥股份有限公司</w:t>
            </w:r>
          </w:p>
        </w:tc>
        <w:tc>
          <w:tcPr>
            <w:tcW w:w="633" w:type="pct"/>
            <w:tcBorders>
              <w:top w:val="single" w:sz="4" w:space="0" w:color="auto"/>
              <w:left w:val="single" w:sz="4" w:space="0" w:color="auto"/>
              <w:bottom w:val="single" w:sz="4" w:space="0" w:color="auto"/>
              <w:right w:val="single" w:sz="4" w:space="0" w:color="auto"/>
            </w:tcBorders>
          </w:tcPr>
          <w:p w14:paraId="7E8C4C65" w14:textId="77777777" w:rsidR="00E57DAA" w:rsidRDefault="00AC4185">
            <w:pPr>
              <w:autoSpaceDE w:val="0"/>
              <w:autoSpaceDN w:val="0"/>
              <w:adjustRightInd w:val="0"/>
              <w:jc w:val="right"/>
              <w:rPr>
                <w:szCs w:val="21"/>
              </w:rPr>
            </w:pPr>
            <w:r>
              <w:t>12,250.00</w:t>
            </w:r>
          </w:p>
        </w:tc>
        <w:tc>
          <w:tcPr>
            <w:tcW w:w="632" w:type="pct"/>
            <w:tcBorders>
              <w:top w:val="single" w:sz="4" w:space="0" w:color="auto"/>
              <w:left w:val="single" w:sz="4" w:space="0" w:color="auto"/>
              <w:bottom w:val="single" w:sz="4" w:space="0" w:color="auto"/>
              <w:right w:val="single" w:sz="4" w:space="0" w:color="auto"/>
            </w:tcBorders>
          </w:tcPr>
          <w:p w14:paraId="675BC9D5" w14:textId="77777777" w:rsidR="00E57DAA" w:rsidRDefault="00AC4185">
            <w:pPr>
              <w:autoSpaceDE w:val="0"/>
              <w:autoSpaceDN w:val="0"/>
              <w:adjustRightInd w:val="0"/>
              <w:jc w:val="right"/>
              <w:rPr>
                <w:szCs w:val="21"/>
              </w:rPr>
            </w:pPr>
            <w:r>
              <w:t>12,250.00</w:t>
            </w:r>
          </w:p>
        </w:tc>
        <w:tc>
          <w:tcPr>
            <w:tcW w:w="703" w:type="pct"/>
            <w:tcBorders>
              <w:top w:val="single" w:sz="4" w:space="0" w:color="auto"/>
              <w:left w:val="single" w:sz="4" w:space="0" w:color="auto"/>
              <w:bottom w:val="single" w:sz="4" w:space="0" w:color="auto"/>
              <w:right w:val="single" w:sz="4" w:space="0" w:color="auto"/>
            </w:tcBorders>
          </w:tcPr>
          <w:p w14:paraId="475AD60E" w14:textId="77777777" w:rsidR="00E57DAA" w:rsidRDefault="00AC4185">
            <w:pPr>
              <w:autoSpaceDE w:val="0"/>
              <w:autoSpaceDN w:val="0"/>
              <w:adjustRightInd w:val="0"/>
              <w:jc w:val="right"/>
              <w:rPr>
                <w:szCs w:val="21"/>
              </w:rPr>
            </w:pPr>
            <w:r>
              <w:t>12,250.00</w:t>
            </w:r>
          </w:p>
        </w:tc>
        <w:tc>
          <w:tcPr>
            <w:tcW w:w="914" w:type="pct"/>
            <w:tcBorders>
              <w:top w:val="single" w:sz="4" w:space="0" w:color="auto"/>
              <w:left w:val="single" w:sz="4" w:space="0" w:color="auto"/>
              <w:bottom w:val="single" w:sz="4" w:space="0" w:color="auto"/>
              <w:right w:val="single" w:sz="4" w:space="0" w:color="auto"/>
            </w:tcBorders>
          </w:tcPr>
          <w:p w14:paraId="02D2C396" w14:textId="77777777" w:rsidR="00E57DAA" w:rsidRDefault="00AC4185">
            <w:pPr>
              <w:autoSpaceDE w:val="0"/>
              <w:autoSpaceDN w:val="0"/>
              <w:adjustRightInd w:val="0"/>
              <w:jc w:val="right"/>
              <w:rPr>
                <w:szCs w:val="21"/>
              </w:rPr>
            </w:pPr>
            <w:r>
              <w:t>12,250.00</w:t>
            </w:r>
          </w:p>
        </w:tc>
      </w:tr>
      <w:tr w:rsidR="00E57DAA" w14:paraId="10C39532" w14:textId="77777777">
        <w:tc>
          <w:tcPr>
            <w:tcW w:w="677" w:type="pct"/>
            <w:tcBorders>
              <w:top w:val="single" w:sz="4" w:space="0" w:color="auto"/>
              <w:left w:val="single" w:sz="4" w:space="0" w:color="auto"/>
              <w:bottom w:val="single" w:sz="4" w:space="0" w:color="auto"/>
              <w:right w:val="single" w:sz="4" w:space="0" w:color="auto"/>
            </w:tcBorders>
            <w:vAlign w:val="center"/>
          </w:tcPr>
          <w:p w14:paraId="7E306EB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314F1B9" w14:textId="77777777" w:rsidR="00E57DAA" w:rsidRDefault="00AC4185">
            <w:pPr>
              <w:autoSpaceDE w:val="0"/>
              <w:autoSpaceDN w:val="0"/>
              <w:adjustRightInd w:val="0"/>
              <w:rPr>
                <w:szCs w:val="21"/>
              </w:rPr>
            </w:pPr>
            <w:r>
              <w:t>辽源市金刚水泥厂</w:t>
            </w:r>
          </w:p>
        </w:tc>
        <w:tc>
          <w:tcPr>
            <w:tcW w:w="633" w:type="pct"/>
            <w:tcBorders>
              <w:top w:val="single" w:sz="4" w:space="0" w:color="auto"/>
              <w:left w:val="single" w:sz="4" w:space="0" w:color="auto"/>
              <w:bottom w:val="single" w:sz="4" w:space="0" w:color="auto"/>
              <w:right w:val="single" w:sz="4" w:space="0" w:color="auto"/>
            </w:tcBorders>
          </w:tcPr>
          <w:p w14:paraId="758A0E5C" w14:textId="77777777" w:rsidR="00E57DAA" w:rsidRDefault="00AC4185">
            <w:pPr>
              <w:autoSpaceDE w:val="0"/>
              <w:autoSpaceDN w:val="0"/>
              <w:adjustRightInd w:val="0"/>
              <w:jc w:val="right"/>
              <w:rPr>
                <w:szCs w:val="21"/>
              </w:rPr>
            </w:pPr>
            <w:r>
              <w:t>10,200.00</w:t>
            </w:r>
          </w:p>
        </w:tc>
        <w:tc>
          <w:tcPr>
            <w:tcW w:w="632" w:type="pct"/>
            <w:tcBorders>
              <w:top w:val="single" w:sz="4" w:space="0" w:color="auto"/>
              <w:left w:val="single" w:sz="4" w:space="0" w:color="auto"/>
              <w:bottom w:val="single" w:sz="4" w:space="0" w:color="auto"/>
              <w:right w:val="single" w:sz="4" w:space="0" w:color="auto"/>
            </w:tcBorders>
          </w:tcPr>
          <w:p w14:paraId="4C55DC8D" w14:textId="77777777" w:rsidR="00E57DAA" w:rsidRDefault="00AC4185">
            <w:pPr>
              <w:autoSpaceDE w:val="0"/>
              <w:autoSpaceDN w:val="0"/>
              <w:adjustRightInd w:val="0"/>
              <w:jc w:val="right"/>
              <w:rPr>
                <w:szCs w:val="21"/>
              </w:rPr>
            </w:pPr>
            <w:r>
              <w:t>10,200.00</w:t>
            </w:r>
          </w:p>
        </w:tc>
        <w:tc>
          <w:tcPr>
            <w:tcW w:w="703" w:type="pct"/>
            <w:tcBorders>
              <w:top w:val="single" w:sz="4" w:space="0" w:color="auto"/>
              <w:left w:val="single" w:sz="4" w:space="0" w:color="auto"/>
              <w:bottom w:val="single" w:sz="4" w:space="0" w:color="auto"/>
              <w:right w:val="single" w:sz="4" w:space="0" w:color="auto"/>
            </w:tcBorders>
          </w:tcPr>
          <w:p w14:paraId="14FAF441" w14:textId="77777777" w:rsidR="00E57DAA" w:rsidRDefault="00AC4185">
            <w:pPr>
              <w:autoSpaceDE w:val="0"/>
              <w:autoSpaceDN w:val="0"/>
              <w:adjustRightInd w:val="0"/>
              <w:jc w:val="right"/>
              <w:rPr>
                <w:szCs w:val="21"/>
              </w:rPr>
            </w:pPr>
            <w:r>
              <w:t>10,200.00</w:t>
            </w:r>
          </w:p>
        </w:tc>
        <w:tc>
          <w:tcPr>
            <w:tcW w:w="914" w:type="pct"/>
            <w:tcBorders>
              <w:top w:val="single" w:sz="4" w:space="0" w:color="auto"/>
              <w:left w:val="single" w:sz="4" w:space="0" w:color="auto"/>
              <w:bottom w:val="single" w:sz="4" w:space="0" w:color="auto"/>
              <w:right w:val="single" w:sz="4" w:space="0" w:color="auto"/>
            </w:tcBorders>
          </w:tcPr>
          <w:p w14:paraId="7A790BB8" w14:textId="77777777" w:rsidR="00E57DAA" w:rsidRDefault="00AC4185">
            <w:pPr>
              <w:autoSpaceDE w:val="0"/>
              <w:autoSpaceDN w:val="0"/>
              <w:adjustRightInd w:val="0"/>
              <w:jc w:val="right"/>
              <w:rPr>
                <w:szCs w:val="21"/>
              </w:rPr>
            </w:pPr>
            <w:r>
              <w:t>10,200.00</w:t>
            </w:r>
          </w:p>
        </w:tc>
      </w:tr>
      <w:tr w:rsidR="00E57DAA" w14:paraId="51B406C7" w14:textId="77777777">
        <w:tc>
          <w:tcPr>
            <w:tcW w:w="677" w:type="pct"/>
            <w:tcBorders>
              <w:top w:val="single" w:sz="4" w:space="0" w:color="auto"/>
              <w:left w:val="single" w:sz="4" w:space="0" w:color="auto"/>
              <w:bottom w:val="single" w:sz="4" w:space="0" w:color="auto"/>
              <w:right w:val="single" w:sz="4" w:space="0" w:color="auto"/>
            </w:tcBorders>
            <w:vAlign w:val="center"/>
          </w:tcPr>
          <w:p w14:paraId="3A3F62A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2CB95393" w14:textId="77777777" w:rsidR="00E57DAA" w:rsidRDefault="00AC4185">
            <w:pPr>
              <w:autoSpaceDE w:val="0"/>
              <w:autoSpaceDN w:val="0"/>
              <w:adjustRightInd w:val="0"/>
              <w:rPr>
                <w:szCs w:val="21"/>
              </w:rPr>
            </w:pPr>
            <w:r>
              <w:t>山东东华科技有限公司</w:t>
            </w:r>
          </w:p>
        </w:tc>
        <w:tc>
          <w:tcPr>
            <w:tcW w:w="633" w:type="pct"/>
            <w:tcBorders>
              <w:top w:val="single" w:sz="4" w:space="0" w:color="auto"/>
              <w:left w:val="single" w:sz="4" w:space="0" w:color="auto"/>
              <w:bottom w:val="single" w:sz="4" w:space="0" w:color="auto"/>
              <w:right w:val="single" w:sz="4" w:space="0" w:color="auto"/>
            </w:tcBorders>
          </w:tcPr>
          <w:p w14:paraId="5CC8083D" w14:textId="77777777" w:rsidR="00E57DAA" w:rsidRDefault="00AC4185">
            <w:pPr>
              <w:autoSpaceDE w:val="0"/>
              <w:autoSpaceDN w:val="0"/>
              <w:adjustRightInd w:val="0"/>
              <w:jc w:val="right"/>
              <w:rPr>
                <w:szCs w:val="21"/>
              </w:rPr>
            </w:pPr>
            <w:r>
              <w:t>6,167.71</w:t>
            </w:r>
          </w:p>
        </w:tc>
        <w:tc>
          <w:tcPr>
            <w:tcW w:w="632" w:type="pct"/>
            <w:tcBorders>
              <w:top w:val="single" w:sz="4" w:space="0" w:color="auto"/>
              <w:left w:val="single" w:sz="4" w:space="0" w:color="auto"/>
              <w:bottom w:val="single" w:sz="4" w:space="0" w:color="auto"/>
              <w:right w:val="single" w:sz="4" w:space="0" w:color="auto"/>
            </w:tcBorders>
          </w:tcPr>
          <w:p w14:paraId="00F10433" w14:textId="77777777" w:rsidR="00E57DAA" w:rsidRDefault="00AC4185">
            <w:pPr>
              <w:autoSpaceDE w:val="0"/>
              <w:autoSpaceDN w:val="0"/>
              <w:adjustRightInd w:val="0"/>
              <w:jc w:val="right"/>
              <w:rPr>
                <w:szCs w:val="21"/>
              </w:rPr>
            </w:pPr>
            <w:r>
              <w:t>889.38</w:t>
            </w:r>
          </w:p>
        </w:tc>
        <w:tc>
          <w:tcPr>
            <w:tcW w:w="703" w:type="pct"/>
            <w:tcBorders>
              <w:top w:val="single" w:sz="4" w:space="0" w:color="auto"/>
              <w:left w:val="single" w:sz="4" w:space="0" w:color="auto"/>
              <w:bottom w:val="single" w:sz="4" w:space="0" w:color="auto"/>
              <w:right w:val="single" w:sz="4" w:space="0" w:color="auto"/>
            </w:tcBorders>
          </w:tcPr>
          <w:p w14:paraId="393ACB8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F9FD4D1" w14:textId="77777777" w:rsidR="00E57DAA" w:rsidRDefault="00AC4185">
            <w:pPr>
              <w:autoSpaceDE w:val="0"/>
              <w:autoSpaceDN w:val="0"/>
              <w:adjustRightInd w:val="0"/>
              <w:jc w:val="right"/>
              <w:rPr>
                <w:szCs w:val="21"/>
              </w:rPr>
            </w:pPr>
            <w:r>
              <w:t xml:space="preserve">　</w:t>
            </w:r>
          </w:p>
        </w:tc>
      </w:tr>
      <w:tr w:rsidR="00E57DAA" w14:paraId="007B45CD" w14:textId="77777777">
        <w:tc>
          <w:tcPr>
            <w:tcW w:w="677" w:type="pct"/>
            <w:tcBorders>
              <w:top w:val="single" w:sz="4" w:space="0" w:color="auto"/>
              <w:left w:val="single" w:sz="4" w:space="0" w:color="auto"/>
              <w:bottom w:val="single" w:sz="4" w:space="0" w:color="auto"/>
              <w:right w:val="single" w:sz="4" w:space="0" w:color="auto"/>
            </w:tcBorders>
            <w:vAlign w:val="center"/>
          </w:tcPr>
          <w:p w14:paraId="0274EA9F"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5A597F92" w14:textId="77777777" w:rsidR="00E57DAA" w:rsidRDefault="00AC4185">
            <w:pPr>
              <w:autoSpaceDE w:val="0"/>
              <w:autoSpaceDN w:val="0"/>
              <w:adjustRightInd w:val="0"/>
              <w:rPr>
                <w:szCs w:val="21"/>
              </w:rPr>
            </w:pPr>
            <w:r>
              <w:t>昌乐山水水泥有限公司</w:t>
            </w:r>
          </w:p>
        </w:tc>
        <w:tc>
          <w:tcPr>
            <w:tcW w:w="633" w:type="pct"/>
            <w:tcBorders>
              <w:top w:val="single" w:sz="4" w:space="0" w:color="auto"/>
              <w:left w:val="single" w:sz="4" w:space="0" w:color="auto"/>
              <w:bottom w:val="single" w:sz="4" w:space="0" w:color="auto"/>
              <w:right w:val="single" w:sz="4" w:space="0" w:color="auto"/>
            </w:tcBorders>
          </w:tcPr>
          <w:p w14:paraId="367FEB8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47B11E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0699FEE" w14:textId="77777777" w:rsidR="00E57DAA" w:rsidRDefault="00AC4185">
            <w:pPr>
              <w:autoSpaceDE w:val="0"/>
              <w:autoSpaceDN w:val="0"/>
              <w:adjustRightInd w:val="0"/>
              <w:jc w:val="right"/>
              <w:rPr>
                <w:szCs w:val="21"/>
              </w:rPr>
            </w:pPr>
            <w:r>
              <w:t>20,232.00</w:t>
            </w:r>
          </w:p>
        </w:tc>
        <w:tc>
          <w:tcPr>
            <w:tcW w:w="914" w:type="pct"/>
            <w:tcBorders>
              <w:top w:val="single" w:sz="4" w:space="0" w:color="auto"/>
              <w:left w:val="single" w:sz="4" w:space="0" w:color="auto"/>
              <w:bottom w:val="single" w:sz="4" w:space="0" w:color="auto"/>
              <w:right w:val="single" w:sz="4" w:space="0" w:color="auto"/>
            </w:tcBorders>
          </w:tcPr>
          <w:p w14:paraId="4F295A55" w14:textId="77777777" w:rsidR="00E57DAA" w:rsidRDefault="00AC4185">
            <w:pPr>
              <w:autoSpaceDE w:val="0"/>
              <w:autoSpaceDN w:val="0"/>
              <w:adjustRightInd w:val="0"/>
              <w:jc w:val="right"/>
              <w:rPr>
                <w:szCs w:val="21"/>
              </w:rPr>
            </w:pPr>
            <w:r>
              <w:t>1,458.73</w:t>
            </w:r>
          </w:p>
        </w:tc>
      </w:tr>
      <w:tr w:rsidR="00E57DAA" w14:paraId="0F31DFBE" w14:textId="77777777">
        <w:tc>
          <w:tcPr>
            <w:tcW w:w="677" w:type="pct"/>
            <w:tcBorders>
              <w:top w:val="single" w:sz="4" w:space="0" w:color="auto"/>
              <w:left w:val="single" w:sz="4" w:space="0" w:color="auto"/>
              <w:bottom w:val="single" w:sz="4" w:space="0" w:color="auto"/>
              <w:right w:val="single" w:sz="4" w:space="0" w:color="auto"/>
            </w:tcBorders>
            <w:vAlign w:val="center"/>
          </w:tcPr>
          <w:p w14:paraId="1431719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7DE5B9C" w14:textId="77777777" w:rsidR="00E57DAA" w:rsidRDefault="00AC4185">
            <w:pPr>
              <w:autoSpaceDE w:val="0"/>
              <w:autoSpaceDN w:val="0"/>
              <w:adjustRightInd w:val="0"/>
              <w:rPr>
                <w:szCs w:val="21"/>
              </w:rPr>
            </w:pPr>
            <w:r>
              <w:t>德州晶华集团大坝有限公司</w:t>
            </w:r>
          </w:p>
        </w:tc>
        <w:tc>
          <w:tcPr>
            <w:tcW w:w="633" w:type="pct"/>
            <w:tcBorders>
              <w:top w:val="single" w:sz="4" w:space="0" w:color="auto"/>
              <w:left w:val="single" w:sz="4" w:space="0" w:color="auto"/>
              <w:bottom w:val="single" w:sz="4" w:space="0" w:color="auto"/>
              <w:right w:val="single" w:sz="4" w:space="0" w:color="auto"/>
            </w:tcBorders>
          </w:tcPr>
          <w:p w14:paraId="386D3AC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17521B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59B2427" w14:textId="77777777" w:rsidR="00E57DAA" w:rsidRDefault="00AC4185">
            <w:pPr>
              <w:autoSpaceDE w:val="0"/>
              <w:autoSpaceDN w:val="0"/>
              <w:adjustRightInd w:val="0"/>
              <w:jc w:val="right"/>
              <w:rPr>
                <w:szCs w:val="21"/>
              </w:rPr>
            </w:pPr>
            <w:r>
              <w:t>333,100.00</w:t>
            </w:r>
          </w:p>
        </w:tc>
        <w:tc>
          <w:tcPr>
            <w:tcW w:w="914" w:type="pct"/>
            <w:tcBorders>
              <w:top w:val="single" w:sz="4" w:space="0" w:color="auto"/>
              <w:left w:val="single" w:sz="4" w:space="0" w:color="auto"/>
              <w:bottom w:val="single" w:sz="4" w:space="0" w:color="auto"/>
              <w:right w:val="single" w:sz="4" w:space="0" w:color="auto"/>
            </w:tcBorders>
          </w:tcPr>
          <w:p w14:paraId="7BC6A842" w14:textId="77777777" w:rsidR="00E57DAA" w:rsidRDefault="00AC4185">
            <w:pPr>
              <w:autoSpaceDE w:val="0"/>
              <w:autoSpaceDN w:val="0"/>
              <w:adjustRightInd w:val="0"/>
              <w:jc w:val="right"/>
              <w:rPr>
                <w:szCs w:val="21"/>
              </w:rPr>
            </w:pPr>
            <w:r>
              <w:t>333,100.00</w:t>
            </w:r>
          </w:p>
        </w:tc>
      </w:tr>
      <w:tr w:rsidR="00E57DAA" w14:paraId="44D55E19" w14:textId="77777777">
        <w:tc>
          <w:tcPr>
            <w:tcW w:w="677" w:type="pct"/>
            <w:tcBorders>
              <w:top w:val="single" w:sz="4" w:space="0" w:color="auto"/>
              <w:left w:val="single" w:sz="4" w:space="0" w:color="auto"/>
              <w:bottom w:val="single" w:sz="4" w:space="0" w:color="auto"/>
              <w:right w:val="single" w:sz="4" w:space="0" w:color="auto"/>
            </w:tcBorders>
            <w:vAlign w:val="center"/>
          </w:tcPr>
          <w:p w14:paraId="076147EE"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3A112903" w14:textId="77777777" w:rsidR="00E57DAA" w:rsidRDefault="00AC4185">
            <w:pPr>
              <w:autoSpaceDE w:val="0"/>
              <w:autoSpaceDN w:val="0"/>
              <w:adjustRightInd w:val="0"/>
              <w:rPr>
                <w:szCs w:val="21"/>
              </w:rPr>
            </w:pPr>
            <w:r>
              <w:t>聊城山水水泥有限公司</w:t>
            </w:r>
          </w:p>
        </w:tc>
        <w:tc>
          <w:tcPr>
            <w:tcW w:w="633" w:type="pct"/>
            <w:tcBorders>
              <w:top w:val="single" w:sz="4" w:space="0" w:color="auto"/>
              <w:left w:val="single" w:sz="4" w:space="0" w:color="auto"/>
              <w:bottom w:val="single" w:sz="4" w:space="0" w:color="auto"/>
              <w:right w:val="single" w:sz="4" w:space="0" w:color="auto"/>
            </w:tcBorders>
          </w:tcPr>
          <w:p w14:paraId="3F5F30B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1DD4B3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19AD87D" w14:textId="77777777" w:rsidR="00E57DAA" w:rsidRDefault="00AC4185">
            <w:pPr>
              <w:autoSpaceDE w:val="0"/>
              <w:autoSpaceDN w:val="0"/>
              <w:adjustRightInd w:val="0"/>
              <w:jc w:val="right"/>
              <w:rPr>
                <w:szCs w:val="21"/>
              </w:rPr>
            </w:pPr>
            <w:r>
              <w:t>49,900.00</w:t>
            </w:r>
          </w:p>
        </w:tc>
        <w:tc>
          <w:tcPr>
            <w:tcW w:w="914" w:type="pct"/>
            <w:tcBorders>
              <w:top w:val="single" w:sz="4" w:space="0" w:color="auto"/>
              <w:left w:val="single" w:sz="4" w:space="0" w:color="auto"/>
              <w:bottom w:val="single" w:sz="4" w:space="0" w:color="auto"/>
              <w:right w:val="single" w:sz="4" w:space="0" w:color="auto"/>
            </w:tcBorders>
          </w:tcPr>
          <w:p w14:paraId="0C702202" w14:textId="77777777" w:rsidR="00E57DAA" w:rsidRDefault="00AC4185">
            <w:pPr>
              <w:autoSpaceDE w:val="0"/>
              <w:autoSpaceDN w:val="0"/>
              <w:adjustRightInd w:val="0"/>
              <w:jc w:val="right"/>
              <w:rPr>
                <w:szCs w:val="21"/>
              </w:rPr>
            </w:pPr>
            <w:r>
              <w:t>49,900.00</w:t>
            </w:r>
          </w:p>
        </w:tc>
      </w:tr>
      <w:tr w:rsidR="00E57DAA" w14:paraId="0375BFC0" w14:textId="77777777">
        <w:tc>
          <w:tcPr>
            <w:tcW w:w="677" w:type="pct"/>
            <w:tcBorders>
              <w:top w:val="single" w:sz="4" w:space="0" w:color="auto"/>
              <w:left w:val="single" w:sz="4" w:space="0" w:color="auto"/>
              <w:bottom w:val="single" w:sz="4" w:space="0" w:color="auto"/>
              <w:right w:val="single" w:sz="4" w:space="0" w:color="auto"/>
            </w:tcBorders>
            <w:vAlign w:val="center"/>
          </w:tcPr>
          <w:p w14:paraId="4887C7D6"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1C0A4605" w14:textId="77777777" w:rsidR="00E57DAA" w:rsidRDefault="00AC4185">
            <w:pPr>
              <w:autoSpaceDE w:val="0"/>
              <w:autoSpaceDN w:val="0"/>
              <w:adjustRightInd w:val="0"/>
              <w:rPr>
                <w:szCs w:val="21"/>
              </w:rPr>
            </w:pPr>
            <w:r>
              <w:t>盘锦山水水泥有限公司</w:t>
            </w:r>
          </w:p>
        </w:tc>
        <w:tc>
          <w:tcPr>
            <w:tcW w:w="633" w:type="pct"/>
            <w:tcBorders>
              <w:top w:val="single" w:sz="4" w:space="0" w:color="auto"/>
              <w:left w:val="single" w:sz="4" w:space="0" w:color="auto"/>
              <w:bottom w:val="single" w:sz="4" w:space="0" w:color="auto"/>
              <w:right w:val="single" w:sz="4" w:space="0" w:color="auto"/>
            </w:tcBorders>
          </w:tcPr>
          <w:p w14:paraId="512CE92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2F99E5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D3C3E47" w14:textId="77777777" w:rsidR="00E57DAA" w:rsidRDefault="00AC4185">
            <w:pPr>
              <w:autoSpaceDE w:val="0"/>
              <w:autoSpaceDN w:val="0"/>
              <w:adjustRightInd w:val="0"/>
              <w:jc w:val="right"/>
              <w:rPr>
                <w:szCs w:val="21"/>
              </w:rPr>
            </w:pPr>
            <w:r>
              <w:t>2,600.00</w:t>
            </w:r>
          </w:p>
        </w:tc>
        <w:tc>
          <w:tcPr>
            <w:tcW w:w="914" w:type="pct"/>
            <w:tcBorders>
              <w:top w:val="single" w:sz="4" w:space="0" w:color="auto"/>
              <w:left w:val="single" w:sz="4" w:space="0" w:color="auto"/>
              <w:bottom w:val="single" w:sz="4" w:space="0" w:color="auto"/>
              <w:right w:val="single" w:sz="4" w:space="0" w:color="auto"/>
            </w:tcBorders>
          </w:tcPr>
          <w:p w14:paraId="0B2E1F5C" w14:textId="77777777" w:rsidR="00E57DAA" w:rsidRDefault="00AC4185">
            <w:pPr>
              <w:autoSpaceDE w:val="0"/>
              <w:autoSpaceDN w:val="0"/>
              <w:adjustRightInd w:val="0"/>
              <w:jc w:val="right"/>
              <w:rPr>
                <w:szCs w:val="21"/>
              </w:rPr>
            </w:pPr>
            <w:r>
              <w:t>130</w:t>
            </w:r>
          </w:p>
        </w:tc>
      </w:tr>
      <w:tr w:rsidR="00E57DAA" w14:paraId="2BB18B6E" w14:textId="77777777">
        <w:tc>
          <w:tcPr>
            <w:tcW w:w="677" w:type="pct"/>
            <w:tcBorders>
              <w:top w:val="single" w:sz="4" w:space="0" w:color="auto"/>
              <w:left w:val="single" w:sz="4" w:space="0" w:color="auto"/>
              <w:bottom w:val="single" w:sz="4" w:space="0" w:color="auto"/>
              <w:right w:val="single" w:sz="4" w:space="0" w:color="auto"/>
            </w:tcBorders>
            <w:vAlign w:val="center"/>
          </w:tcPr>
          <w:p w14:paraId="5749EC7C"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A0232AE" w14:textId="77777777" w:rsidR="00E57DAA" w:rsidRDefault="00AC4185">
            <w:pPr>
              <w:autoSpaceDE w:val="0"/>
              <w:autoSpaceDN w:val="0"/>
              <w:adjustRightInd w:val="0"/>
              <w:rPr>
                <w:szCs w:val="21"/>
              </w:rPr>
            </w:pPr>
            <w:r>
              <w:t>山东山水水泥集团有限公司</w:t>
            </w:r>
          </w:p>
        </w:tc>
        <w:tc>
          <w:tcPr>
            <w:tcW w:w="633" w:type="pct"/>
            <w:tcBorders>
              <w:top w:val="single" w:sz="4" w:space="0" w:color="auto"/>
              <w:left w:val="single" w:sz="4" w:space="0" w:color="auto"/>
              <w:bottom w:val="single" w:sz="4" w:space="0" w:color="auto"/>
              <w:right w:val="single" w:sz="4" w:space="0" w:color="auto"/>
            </w:tcBorders>
          </w:tcPr>
          <w:p w14:paraId="515F0AB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629D4B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DD2FF1F" w14:textId="77777777" w:rsidR="00E57DAA" w:rsidRDefault="00AC4185">
            <w:pPr>
              <w:autoSpaceDE w:val="0"/>
              <w:autoSpaceDN w:val="0"/>
              <w:adjustRightInd w:val="0"/>
              <w:jc w:val="right"/>
              <w:rPr>
                <w:szCs w:val="21"/>
              </w:rPr>
            </w:pPr>
            <w:r>
              <w:t>4,981.25</w:t>
            </w:r>
          </w:p>
        </w:tc>
        <w:tc>
          <w:tcPr>
            <w:tcW w:w="914" w:type="pct"/>
            <w:tcBorders>
              <w:top w:val="single" w:sz="4" w:space="0" w:color="auto"/>
              <w:left w:val="single" w:sz="4" w:space="0" w:color="auto"/>
              <w:bottom w:val="single" w:sz="4" w:space="0" w:color="auto"/>
              <w:right w:val="single" w:sz="4" w:space="0" w:color="auto"/>
            </w:tcBorders>
          </w:tcPr>
          <w:p w14:paraId="32922566" w14:textId="77777777" w:rsidR="00E57DAA" w:rsidRDefault="00AC4185">
            <w:pPr>
              <w:autoSpaceDE w:val="0"/>
              <w:autoSpaceDN w:val="0"/>
              <w:adjustRightInd w:val="0"/>
              <w:jc w:val="right"/>
              <w:rPr>
                <w:szCs w:val="21"/>
              </w:rPr>
            </w:pPr>
            <w:r>
              <w:t>4,981.25</w:t>
            </w:r>
          </w:p>
        </w:tc>
      </w:tr>
      <w:tr w:rsidR="00E57DAA" w14:paraId="39B9A5E2" w14:textId="77777777">
        <w:tc>
          <w:tcPr>
            <w:tcW w:w="677" w:type="pct"/>
            <w:tcBorders>
              <w:top w:val="single" w:sz="4" w:space="0" w:color="auto"/>
              <w:left w:val="single" w:sz="4" w:space="0" w:color="auto"/>
              <w:bottom w:val="single" w:sz="4" w:space="0" w:color="auto"/>
              <w:right w:val="single" w:sz="4" w:space="0" w:color="auto"/>
            </w:tcBorders>
            <w:vAlign w:val="center"/>
          </w:tcPr>
          <w:p w14:paraId="553EB87A"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237FF07" w14:textId="77777777" w:rsidR="00E57DAA" w:rsidRDefault="00AC4185">
            <w:pPr>
              <w:autoSpaceDE w:val="0"/>
              <w:autoSpaceDN w:val="0"/>
              <w:adjustRightInd w:val="0"/>
              <w:rPr>
                <w:szCs w:val="21"/>
              </w:rPr>
            </w:pPr>
            <w:r>
              <w:t>山东水泥厂有限公司</w:t>
            </w:r>
          </w:p>
        </w:tc>
        <w:tc>
          <w:tcPr>
            <w:tcW w:w="633" w:type="pct"/>
            <w:tcBorders>
              <w:top w:val="single" w:sz="4" w:space="0" w:color="auto"/>
              <w:left w:val="single" w:sz="4" w:space="0" w:color="auto"/>
              <w:bottom w:val="single" w:sz="4" w:space="0" w:color="auto"/>
              <w:right w:val="single" w:sz="4" w:space="0" w:color="auto"/>
            </w:tcBorders>
          </w:tcPr>
          <w:p w14:paraId="193FA02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8F01EF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EE08394" w14:textId="77777777" w:rsidR="00E57DAA" w:rsidRDefault="00AC4185">
            <w:pPr>
              <w:autoSpaceDE w:val="0"/>
              <w:autoSpaceDN w:val="0"/>
              <w:adjustRightInd w:val="0"/>
              <w:jc w:val="right"/>
              <w:rPr>
                <w:szCs w:val="21"/>
              </w:rPr>
            </w:pPr>
            <w:r>
              <w:t>257,730.00</w:t>
            </w:r>
          </w:p>
        </w:tc>
        <w:tc>
          <w:tcPr>
            <w:tcW w:w="914" w:type="pct"/>
            <w:tcBorders>
              <w:top w:val="single" w:sz="4" w:space="0" w:color="auto"/>
              <w:left w:val="single" w:sz="4" w:space="0" w:color="auto"/>
              <w:bottom w:val="single" w:sz="4" w:space="0" w:color="auto"/>
              <w:right w:val="single" w:sz="4" w:space="0" w:color="auto"/>
            </w:tcBorders>
          </w:tcPr>
          <w:p w14:paraId="3624B828" w14:textId="77777777" w:rsidR="00E57DAA" w:rsidRDefault="00AC4185">
            <w:pPr>
              <w:autoSpaceDE w:val="0"/>
              <w:autoSpaceDN w:val="0"/>
              <w:adjustRightInd w:val="0"/>
              <w:jc w:val="right"/>
              <w:rPr>
                <w:szCs w:val="21"/>
              </w:rPr>
            </w:pPr>
            <w:r>
              <w:t>101,175.00</w:t>
            </w:r>
          </w:p>
        </w:tc>
      </w:tr>
      <w:tr w:rsidR="00E57DAA" w14:paraId="3D8C24B5" w14:textId="77777777">
        <w:tc>
          <w:tcPr>
            <w:tcW w:w="677" w:type="pct"/>
            <w:tcBorders>
              <w:top w:val="single" w:sz="4" w:space="0" w:color="auto"/>
              <w:left w:val="single" w:sz="4" w:space="0" w:color="auto"/>
              <w:bottom w:val="single" w:sz="4" w:space="0" w:color="auto"/>
              <w:right w:val="single" w:sz="4" w:space="0" w:color="auto"/>
            </w:tcBorders>
            <w:vAlign w:val="center"/>
          </w:tcPr>
          <w:p w14:paraId="221D904B"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633541C5" w14:textId="77777777" w:rsidR="00E57DAA" w:rsidRDefault="00AC4185">
            <w:pPr>
              <w:autoSpaceDE w:val="0"/>
              <w:autoSpaceDN w:val="0"/>
              <w:adjustRightInd w:val="0"/>
              <w:rPr>
                <w:szCs w:val="21"/>
              </w:rPr>
            </w:pPr>
            <w:r>
              <w:t>四川省资中县东方红水泥有限责任公司</w:t>
            </w:r>
          </w:p>
        </w:tc>
        <w:tc>
          <w:tcPr>
            <w:tcW w:w="633" w:type="pct"/>
            <w:tcBorders>
              <w:top w:val="single" w:sz="4" w:space="0" w:color="auto"/>
              <w:left w:val="single" w:sz="4" w:space="0" w:color="auto"/>
              <w:bottom w:val="single" w:sz="4" w:space="0" w:color="auto"/>
              <w:right w:val="single" w:sz="4" w:space="0" w:color="auto"/>
            </w:tcBorders>
          </w:tcPr>
          <w:p w14:paraId="0D29091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A4DBD9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36F6A0E" w14:textId="77777777" w:rsidR="00E57DAA" w:rsidRDefault="00AC4185">
            <w:pPr>
              <w:autoSpaceDE w:val="0"/>
              <w:autoSpaceDN w:val="0"/>
              <w:adjustRightInd w:val="0"/>
              <w:jc w:val="right"/>
              <w:rPr>
                <w:szCs w:val="21"/>
              </w:rPr>
            </w:pPr>
            <w:r>
              <w:t>80,000.00</w:t>
            </w:r>
          </w:p>
        </w:tc>
        <w:tc>
          <w:tcPr>
            <w:tcW w:w="914" w:type="pct"/>
            <w:tcBorders>
              <w:top w:val="single" w:sz="4" w:space="0" w:color="auto"/>
              <w:left w:val="single" w:sz="4" w:space="0" w:color="auto"/>
              <w:bottom w:val="single" w:sz="4" w:space="0" w:color="auto"/>
              <w:right w:val="single" w:sz="4" w:space="0" w:color="auto"/>
            </w:tcBorders>
          </w:tcPr>
          <w:p w14:paraId="34445C0D" w14:textId="77777777" w:rsidR="00E57DAA" w:rsidRDefault="00AC4185">
            <w:pPr>
              <w:autoSpaceDE w:val="0"/>
              <w:autoSpaceDN w:val="0"/>
              <w:adjustRightInd w:val="0"/>
              <w:jc w:val="right"/>
              <w:rPr>
                <w:szCs w:val="21"/>
              </w:rPr>
            </w:pPr>
            <w:r>
              <w:t>80,000.00</w:t>
            </w:r>
          </w:p>
        </w:tc>
      </w:tr>
      <w:tr w:rsidR="00E57DAA" w14:paraId="50AB4098" w14:textId="77777777">
        <w:tc>
          <w:tcPr>
            <w:tcW w:w="677" w:type="pct"/>
            <w:tcBorders>
              <w:top w:val="single" w:sz="4" w:space="0" w:color="auto"/>
              <w:left w:val="single" w:sz="4" w:space="0" w:color="auto"/>
              <w:bottom w:val="single" w:sz="4" w:space="0" w:color="auto"/>
              <w:right w:val="single" w:sz="4" w:space="0" w:color="auto"/>
            </w:tcBorders>
            <w:vAlign w:val="center"/>
          </w:tcPr>
          <w:p w14:paraId="44690041"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3BA8EA" w14:textId="77777777" w:rsidR="00E57DAA" w:rsidRDefault="00AC4185">
            <w:pPr>
              <w:autoSpaceDE w:val="0"/>
              <w:autoSpaceDN w:val="0"/>
              <w:adjustRightInd w:val="0"/>
              <w:rPr>
                <w:szCs w:val="21"/>
              </w:rPr>
            </w:pPr>
            <w:r>
              <w:t>潍坊德正环境服务有限公司</w:t>
            </w:r>
          </w:p>
        </w:tc>
        <w:tc>
          <w:tcPr>
            <w:tcW w:w="633" w:type="pct"/>
            <w:tcBorders>
              <w:top w:val="single" w:sz="4" w:space="0" w:color="auto"/>
              <w:left w:val="single" w:sz="4" w:space="0" w:color="auto"/>
              <w:bottom w:val="single" w:sz="4" w:space="0" w:color="auto"/>
              <w:right w:val="single" w:sz="4" w:space="0" w:color="auto"/>
            </w:tcBorders>
          </w:tcPr>
          <w:p w14:paraId="0ACBD0A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8117B7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1BAD01C" w14:textId="77777777" w:rsidR="00E57DAA" w:rsidRDefault="00AC4185">
            <w:pPr>
              <w:autoSpaceDE w:val="0"/>
              <w:autoSpaceDN w:val="0"/>
              <w:adjustRightInd w:val="0"/>
              <w:jc w:val="right"/>
              <w:rPr>
                <w:szCs w:val="21"/>
              </w:rPr>
            </w:pPr>
            <w:r>
              <w:t>28,000.00</w:t>
            </w:r>
          </w:p>
        </w:tc>
        <w:tc>
          <w:tcPr>
            <w:tcW w:w="914" w:type="pct"/>
            <w:tcBorders>
              <w:top w:val="single" w:sz="4" w:space="0" w:color="auto"/>
              <w:left w:val="single" w:sz="4" w:space="0" w:color="auto"/>
              <w:bottom w:val="single" w:sz="4" w:space="0" w:color="auto"/>
              <w:right w:val="single" w:sz="4" w:space="0" w:color="auto"/>
            </w:tcBorders>
          </w:tcPr>
          <w:p w14:paraId="56CEA560" w14:textId="77777777" w:rsidR="00E57DAA" w:rsidRDefault="00AC4185">
            <w:pPr>
              <w:autoSpaceDE w:val="0"/>
              <w:autoSpaceDN w:val="0"/>
              <w:adjustRightInd w:val="0"/>
              <w:jc w:val="right"/>
              <w:rPr>
                <w:szCs w:val="21"/>
              </w:rPr>
            </w:pPr>
            <w:r>
              <w:t>5,600.00</w:t>
            </w:r>
          </w:p>
        </w:tc>
      </w:tr>
      <w:tr w:rsidR="00E57DAA" w14:paraId="59049F0A" w14:textId="77777777">
        <w:tc>
          <w:tcPr>
            <w:tcW w:w="677" w:type="pct"/>
            <w:tcBorders>
              <w:top w:val="single" w:sz="4" w:space="0" w:color="auto"/>
              <w:left w:val="single" w:sz="4" w:space="0" w:color="auto"/>
              <w:bottom w:val="single" w:sz="4" w:space="0" w:color="auto"/>
              <w:right w:val="single" w:sz="4" w:space="0" w:color="auto"/>
            </w:tcBorders>
            <w:vAlign w:val="center"/>
          </w:tcPr>
          <w:p w14:paraId="54D9F690"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8D4C901" w14:textId="77777777" w:rsidR="00E57DAA" w:rsidRDefault="00AC4185">
            <w:pPr>
              <w:autoSpaceDE w:val="0"/>
              <w:autoSpaceDN w:val="0"/>
              <w:adjustRightInd w:val="0"/>
              <w:rPr>
                <w:szCs w:val="21"/>
              </w:rPr>
            </w:pPr>
            <w:r>
              <w:t>潍坊山水水泥有限公司</w:t>
            </w:r>
          </w:p>
        </w:tc>
        <w:tc>
          <w:tcPr>
            <w:tcW w:w="633" w:type="pct"/>
            <w:tcBorders>
              <w:top w:val="single" w:sz="4" w:space="0" w:color="auto"/>
              <w:left w:val="single" w:sz="4" w:space="0" w:color="auto"/>
              <w:bottom w:val="single" w:sz="4" w:space="0" w:color="auto"/>
              <w:right w:val="single" w:sz="4" w:space="0" w:color="auto"/>
            </w:tcBorders>
          </w:tcPr>
          <w:p w14:paraId="26300B4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C2D431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F7387D9" w14:textId="77777777" w:rsidR="00E57DAA" w:rsidRDefault="00AC4185">
            <w:pPr>
              <w:autoSpaceDE w:val="0"/>
              <w:autoSpaceDN w:val="0"/>
              <w:adjustRightInd w:val="0"/>
              <w:jc w:val="right"/>
              <w:rPr>
                <w:szCs w:val="21"/>
              </w:rPr>
            </w:pPr>
            <w:r>
              <w:t>5,440.00</w:t>
            </w:r>
          </w:p>
        </w:tc>
        <w:tc>
          <w:tcPr>
            <w:tcW w:w="914" w:type="pct"/>
            <w:tcBorders>
              <w:top w:val="single" w:sz="4" w:space="0" w:color="auto"/>
              <w:left w:val="single" w:sz="4" w:space="0" w:color="auto"/>
              <w:bottom w:val="single" w:sz="4" w:space="0" w:color="auto"/>
              <w:right w:val="single" w:sz="4" w:space="0" w:color="auto"/>
            </w:tcBorders>
          </w:tcPr>
          <w:p w14:paraId="5E2F560A" w14:textId="77777777" w:rsidR="00E57DAA" w:rsidRDefault="00AC4185">
            <w:pPr>
              <w:autoSpaceDE w:val="0"/>
              <w:autoSpaceDN w:val="0"/>
              <w:adjustRightInd w:val="0"/>
              <w:jc w:val="right"/>
              <w:rPr>
                <w:szCs w:val="21"/>
              </w:rPr>
            </w:pPr>
            <w:r>
              <w:t>5,440.00</w:t>
            </w:r>
          </w:p>
        </w:tc>
      </w:tr>
      <w:tr w:rsidR="00E57DAA" w14:paraId="018D9594" w14:textId="77777777">
        <w:tc>
          <w:tcPr>
            <w:tcW w:w="677" w:type="pct"/>
            <w:tcBorders>
              <w:top w:val="single" w:sz="4" w:space="0" w:color="auto"/>
              <w:left w:val="single" w:sz="4" w:space="0" w:color="auto"/>
              <w:bottom w:val="single" w:sz="4" w:space="0" w:color="auto"/>
              <w:right w:val="single" w:sz="4" w:space="0" w:color="auto"/>
            </w:tcBorders>
            <w:vAlign w:val="center"/>
          </w:tcPr>
          <w:p w14:paraId="21562192"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05296D7" w14:textId="77777777" w:rsidR="00E57DAA" w:rsidRDefault="00AC4185">
            <w:pPr>
              <w:autoSpaceDE w:val="0"/>
              <w:autoSpaceDN w:val="0"/>
              <w:adjustRightInd w:val="0"/>
              <w:rPr>
                <w:szCs w:val="21"/>
              </w:rPr>
            </w:pPr>
            <w:r>
              <w:t>西藏堆龙东嘎水泥有限公司</w:t>
            </w:r>
          </w:p>
        </w:tc>
        <w:tc>
          <w:tcPr>
            <w:tcW w:w="633" w:type="pct"/>
            <w:tcBorders>
              <w:top w:val="single" w:sz="4" w:space="0" w:color="auto"/>
              <w:left w:val="single" w:sz="4" w:space="0" w:color="auto"/>
              <w:bottom w:val="single" w:sz="4" w:space="0" w:color="auto"/>
              <w:right w:val="single" w:sz="4" w:space="0" w:color="auto"/>
            </w:tcBorders>
          </w:tcPr>
          <w:p w14:paraId="7B715D7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71A9FC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36F7FF6" w14:textId="77777777" w:rsidR="00E57DAA" w:rsidRDefault="00AC4185">
            <w:pPr>
              <w:autoSpaceDE w:val="0"/>
              <w:autoSpaceDN w:val="0"/>
              <w:adjustRightInd w:val="0"/>
              <w:jc w:val="right"/>
              <w:rPr>
                <w:szCs w:val="21"/>
              </w:rPr>
            </w:pPr>
            <w:r>
              <w:t>8,100.00</w:t>
            </w:r>
          </w:p>
        </w:tc>
        <w:tc>
          <w:tcPr>
            <w:tcW w:w="914" w:type="pct"/>
            <w:tcBorders>
              <w:top w:val="single" w:sz="4" w:space="0" w:color="auto"/>
              <w:left w:val="single" w:sz="4" w:space="0" w:color="auto"/>
              <w:bottom w:val="single" w:sz="4" w:space="0" w:color="auto"/>
              <w:right w:val="single" w:sz="4" w:space="0" w:color="auto"/>
            </w:tcBorders>
          </w:tcPr>
          <w:p w14:paraId="478CD9D5" w14:textId="77777777" w:rsidR="00E57DAA" w:rsidRDefault="00AC4185">
            <w:pPr>
              <w:autoSpaceDE w:val="0"/>
              <w:autoSpaceDN w:val="0"/>
              <w:adjustRightInd w:val="0"/>
              <w:jc w:val="right"/>
              <w:rPr>
                <w:szCs w:val="21"/>
              </w:rPr>
            </w:pPr>
            <w:r>
              <w:t>8,100.00</w:t>
            </w:r>
          </w:p>
        </w:tc>
      </w:tr>
      <w:tr w:rsidR="00E57DAA" w14:paraId="3233FCE5" w14:textId="77777777">
        <w:tc>
          <w:tcPr>
            <w:tcW w:w="677" w:type="pct"/>
            <w:tcBorders>
              <w:top w:val="single" w:sz="4" w:space="0" w:color="auto"/>
              <w:left w:val="single" w:sz="4" w:space="0" w:color="auto"/>
              <w:bottom w:val="single" w:sz="4" w:space="0" w:color="auto"/>
              <w:right w:val="single" w:sz="4" w:space="0" w:color="auto"/>
            </w:tcBorders>
            <w:vAlign w:val="center"/>
          </w:tcPr>
          <w:p w14:paraId="2FAFF009"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0B9855A0" w14:textId="77777777" w:rsidR="00E57DAA" w:rsidRDefault="00AC4185">
            <w:pPr>
              <w:autoSpaceDE w:val="0"/>
              <w:autoSpaceDN w:val="0"/>
              <w:adjustRightInd w:val="0"/>
              <w:rPr>
                <w:szCs w:val="21"/>
              </w:rPr>
            </w:pPr>
            <w:r>
              <w:t>玉屏海创环境科技有限责任公司</w:t>
            </w:r>
          </w:p>
        </w:tc>
        <w:tc>
          <w:tcPr>
            <w:tcW w:w="633" w:type="pct"/>
            <w:tcBorders>
              <w:top w:val="single" w:sz="4" w:space="0" w:color="auto"/>
              <w:left w:val="single" w:sz="4" w:space="0" w:color="auto"/>
              <w:bottom w:val="single" w:sz="4" w:space="0" w:color="auto"/>
              <w:right w:val="single" w:sz="4" w:space="0" w:color="auto"/>
            </w:tcBorders>
          </w:tcPr>
          <w:p w14:paraId="6E199D9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7C0D1A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3924FA" w14:textId="77777777" w:rsidR="00E57DAA" w:rsidRDefault="00AC4185">
            <w:pPr>
              <w:autoSpaceDE w:val="0"/>
              <w:autoSpaceDN w:val="0"/>
              <w:adjustRightInd w:val="0"/>
              <w:jc w:val="right"/>
              <w:rPr>
                <w:szCs w:val="21"/>
              </w:rPr>
            </w:pPr>
            <w:r>
              <w:t>13,800.00</w:t>
            </w:r>
          </w:p>
        </w:tc>
        <w:tc>
          <w:tcPr>
            <w:tcW w:w="914" w:type="pct"/>
            <w:tcBorders>
              <w:top w:val="single" w:sz="4" w:space="0" w:color="auto"/>
              <w:left w:val="single" w:sz="4" w:space="0" w:color="auto"/>
              <w:bottom w:val="single" w:sz="4" w:space="0" w:color="auto"/>
              <w:right w:val="single" w:sz="4" w:space="0" w:color="auto"/>
            </w:tcBorders>
          </w:tcPr>
          <w:p w14:paraId="0A4C7512" w14:textId="77777777" w:rsidR="00E57DAA" w:rsidRDefault="00AC4185">
            <w:pPr>
              <w:autoSpaceDE w:val="0"/>
              <w:autoSpaceDN w:val="0"/>
              <w:adjustRightInd w:val="0"/>
              <w:jc w:val="right"/>
              <w:rPr>
                <w:szCs w:val="21"/>
              </w:rPr>
            </w:pPr>
            <w:r>
              <w:t>690</w:t>
            </w:r>
          </w:p>
        </w:tc>
      </w:tr>
      <w:tr w:rsidR="00E57DAA" w14:paraId="405D9A48" w14:textId="77777777">
        <w:tc>
          <w:tcPr>
            <w:tcW w:w="677" w:type="pct"/>
            <w:tcBorders>
              <w:top w:val="single" w:sz="4" w:space="0" w:color="auto"/>
              <w:left w:val="single" w:sz="4" w:space="0" w:color="auto"/>
              <w:bottom w:val="single" w:sz="4" w:space="0" w:color="auto"/>
              <w:right w:val="single" w:sz="4" w:space="0" w:color="auto"/>
            </w:tcBorders>
            <w:vAlign w:val="center"/>
          </w:tcPr>
          <w:p w14:paraId="0F79B05D"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4A6FAB16" w14:textId="77777777" w:rsidR="00E57DAA" w:rsidRDefault="00AC4185">
            <w:pPr>
              <w:autoSpaceDE w:val="0"/>
              <w:autoSpaceDN w:val="0"/>
              <w:adjustRightInd w:val="0"/>
              <w:rPr>
                <w:szCs w:val="21"/>
              </w:rPr>
            </w:pPr>
            <w:r>
              <w:t>长春市双阳区东龙白灰厂</w:t>
            </w:r>
          </w:p>
        </w:tc>
        <w:tc>
          <w:tcPr>
            <w:tcW w:w="633" w:type="pct"/>
            <w:tcBorders>
              <w:top w:val="single" w:sz="4" w:space="0" w:color="auto"/>
              <w:left w:val="single" w:sz="4" w:space="0" w:color="auto"/>
              <w:bottom w:val="single" w:sz="4" w:space="0" w:color="auto"/>
              <w:right w:val="single" w:sz="4" w:space="0" w:color="auto"/>
            </w:tcBorders>
          </w:tcPr>
          <w:p w14:paraId="390359E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09C2CB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26C1464" w14:textId="77777777" w:rsidR="00E57DAA" w:rsidRDefault="00AC4185">
            <w:pPr>
              <w:autoSpaceDE w:val="0"/>
              <w:autoSpaceDN w:val="0"/>
              <w:adjustRightInd w:val="0"/>
              <w:jc w:val="right"/>
              <w:rPr>
                <w:szCs w:val="21"/>
              </w:rPr>
            </w:pPr>
            <w:r>
              <w:t>6,822,726.59</w:t>
            </w:r>
          </w:p>
        </w:tc>
        <w:tc>
          <w:tcPr>
            <w:tcW w:w="914" w:type="pct"/>
            <w:tcBorders>
              <w:top w:val="single" w:sz="4" w:space="0" w:color="auto"/>
              <w:left w:val="single" w:sz="4" w:space="0" w:color="auto"/>
              <w:bottom w:val="single" w:sz="4" w:space="0" w:color="auto"/>
              <w:right w:val="single" w:sz="4" w:space="0" w:color="auto"/>
            </w:tcBorders>
          </w:tcPr>
          <w:p w14:paraId="575704BD" w14:textId="77777777" w:rsidR="00E57DAA" w:rsidRDefault="00AC4185">
            <w:pPr>
              <w:autoSpaceDE w:val="0"/>
              <w:autoSpaceDN w:val="0"/>
              <w:adjustRightInd w:val="0"/>
              <w:jc w:val="right"/>
              <w:rPr>
                <w:szCs w:val="21"/>
              </w:rPr>
            </w:pPr>
            <w:r>
              <w:t>5,478,226.94</w:t>
            </w:r>
          </w:p>
        </w:tc>
      </w:tr>
      <w:tr w:rsidR="00E57DAA" w14:paraId="61A39862" w14:textId="77777777">
        <w:tc>
          <w:tcPr>
            <w:tcW w:w="677" w:type="pct"/>
            <w:tcBorders>
              <w:top w:val="single" w:sz="4" w:space="0" w:color="auto"/>
              <w:left w:val="single" w:sz="4" w:space="0" w:color="auto"/>
              <w:bottom w:val="single" w:sz="4" w:space="0" w:color="auto"/>
              <w:right w:val="single" w:sz="4" w:space="0" w:color="auto"/>
            </w:tcBorders>
            <w:vAlign w:val="center"/>
          </w:tcPr>
          <w:p w14:paraId="61F48AE7" w14:textId="77777777" w:rsidR="00E57DAA" w:rsidRDefault="00AC4185">
            <w:pPr>
              <w:autoSpaceDE w:val="0"/>
              <w:autoSpaceDN w:val="0"/>
              <w:adjustRightInd w:val="0"/>
              <w:rPr>
                <w:szCs w:val="21"/>
              </w:rPr>
            </w:pPr>
            <w:r>
              <w:t>应收账款</w:t>
            </w:r>
          </w:p>
        </w:tc>
        <w:tc>
          <w:tcPr>
            <w:tcW w:w="1441" w:type="pct"/>
            <w:tcBorders>
              <w:top w:val="single" w:sz="4" w:space="0" w:color="auto"/>
              <w:left w:val="single" w:sz="4" w:space="0" w:color="auto"/>
              <w:bottom w:val="single" w:sz="4" w:space="0" w:color="auto"/>
              <w:right w:val="single" w:sz="4" w:space="0" w:color="auto"/>
            </w:tcBorders>
          </w:tcPr>
          <w:p w14:paraId="7D81BC72" w14:textId="77777777" w:rsidR="00E57DAA" w:rsidRDefault="00AC4185">
            <w:pPr>
              <w:autoSpaceDE w:val="0"/>
              <w:autoSpaceDN w:val="0"/>
              <w:adjustRightInd w:val="0"/>
              <w:rPr>
                <w:szCs w:val="21"/>
              </w:rPr>
            </w:pPr>
            <w:r>
              <w:t>淄博双凤山水水泥有限公司</w:t>
            </w:r>
          </w:p>
        </w:tc>
        <w:tc>
          <w:tcPr>
            <w:tcW w:w="633" w:type="pct"/>
            <w:tcBorders>
              <w:top w:val="single" w:sz="4" w:space="0" w:color="auto"/>
              <w:left w:val="single" w:sz="4" w:space="0" w:color="auto"/>
              <w:bottom w:val="single" w:sz="4" w:space="0" w:color="auto"/>
              <w:right w:val="single" w:sz="4" w:space="0" w:color="auto"/>
            </w:tcBorders>
          </w:tcPr>
          <w:p w14:paraId="75275D4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23203A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3C2BA37" w14:textId="77777777" w:rsidR="00E57DAA" w:rsidRDefault="00AC4185">
            <w:pPr>
              <w:autoSpaceDE w:val="0"/>
              <w:autoSpaceDN w:val="0"/>
              <w:adjustRightInd w:val="0"/>
              <w:jc w:val="right"/>
              <w:rPr>
                <w:szCs w:val="21"/>
              </w:rPr>
            </w:pPr>
            <w:r>
              <w:t>46,460.00</w:t>
            </w:r>
          </w:p>
        </w:tc>
        <w:tc>
          <w:tcPr>
            <w:tcW w:w="914" w:type="pct"/>
            <w:tcBorders>
              <w:top w:val="single" w:sz="4" w:space="0" w:color="auto"/>
              <w:left w:val="single" w:sz="4" w:space="0" w:color="auto"/>
              <w:bottom w:val="single" w:sz="4" w:space="0" w:color="auto"/>
              <w:right w:val="single" w:sz="4" w:space="0" w:color="auto"/>
            </w:tcBorders>
          </w:tcPr>
          <w:p w14:paraId="706EB1B0" w14:textId="77777777" w:rsidR="00E57DAA" w:rsidRDefault="00AC4185">
            <w:pPr>
              <w:autoSpaceDE w:val="0"/>
              <w:autoSpaceDN w:val="0"/>
              <w:adjustRightInd w:val="0"/>
              <w:jc w:val="right"/>
              <w:rPr>
                <w:szCs w:val="21"/>
              </w:rPr>
            </w:pPr>
            <w:r>
              <w:t>46,460.00</w:t>
            </w:r>
          </w:p>
        </w:tc>
      </w:tr>
      <w:tr w:rsidR="00E57DAA" w14:paraId="72FEE21E" w14:textId="77777777">
        <w:tc>
          <w:tcPr>
            <w:tcW w:w="677" w:type="pct"/>
            <w:tcBorders>
              <w:top w:val="single" w:sz="4" w:space="0" w:color="auto"/>
              <w:left w:val="single" w:sz="4" w:space="0" w:color="auto"/>
              <w:bottom w:val="single" w:sz="4" w:space="0" w:color="auto"/>
              <w:right w:val="single" w:sz="4" w:space="0" w:color="auto"/>
            </w:tcBorders>
            <w:vAlign w:val="center"/>
          </w:tcPr>
          <w:p w14:paraId="5C19D3B9"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65DC3E2A"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4D49C8E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2ADBC4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1CF8F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888CBCA" w14:textId="77777777" w:rsidR="00E57DAA" w:rsidRDefault="00AC4185">
            <w:pPr>
              <w:autoSpaceDE w:val="0"/>
              <w:autoSpaceDN w:val="0"/>
              <w:adjustRightInd w:val="0"/>
              <w:jc w:val="right"/>
              <w:rPr>
                <w:szCs w:val="21"/>
              </w:rPr>
            </w:pPr>
            <w:r>
              <w:t xml:space="preserve">　</w:t>
            </w:r>
          </w:p>
        </w:tc>
      </w:tr>
      <w:tr w:rsidR="00E57DAA" w14:paraId="7CE7A4E4" w14:textId="77777777">
        <w:tc>
          <w:tcPr>
            <w:tcW w:w="677" w:type="pct"/>
            <w:tcBorders>
              <w:top w:val="single" w:sz="4" w:space="0" w:color="auto"/>
              <w:left w:val="single" w:sz="4" w:space="0" w:color="auto"/>
              <w:bottom w:val="single" w:sz="4" w:space="0" w:color="auto"/>
              <w:right w:val="single" w:sz="4" w:space="0" w:color="auto"/>
            </w:tcBorders>
            <w:vAlign w:val="center"/>
          </w:tcPr>
          <w:p w14:paraId="37357BA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9D59F18" w14:textId="77777777" w:rsidR="00E57DAA" w:rsidRDefault="00AC4185">
            <w:pPr>
              <w:autoSpaceDE w:val="0"/>
              <w:autoSpaceDN w:val="0"/>
              <w:adjustRightInd w:val="0"/>
              <w:rPr>
                <w:szCs w:val="21"/>
              </w:rPr>
            </w:pPr>
            <w:r>
              <w:t>南方水泥有限公司</w:t>
            </w:r>
          </w:p>
        </w:tc>
        <w:tc>
          <w:tcPr>
            <w:tcW w:w="633" w:type="pct"/>
            <w:tcBorders>
              <w:top w:val="single" w:sz="4" w:space="0" w:color="auto"/>
              <w:left w:val="single" w:sz="4" w:space="0" w:color="auto"/>
              <w:bottom w:val="single" w:sz="4" w:space="0" w:color="auto"/>
              <w:right w:val="single" w:sz="4" w:space="0" w:color="auto"/>
            </w:tcBorders>
          </w:tcPr>
          <w:p w14:paraId="33452500" w14:textId="77777777" w:rsidR="00E57DAA" w:rsidRDefault="00AC4185">
            <w:pPr>
              <w:autoSpaceDE w:val="0"/>
              <w:autoSpaceDN w:val="0"/>
              <w:adjustRightInd w:val="0"/>
              <w:jc w:val="right"/>
              <w:rPr>
                <w:szCs w:val="21"/>
              </w:rPr>
            </w:pPr>
            <w:r>
              <w:t>52,622,205.34</w:t>
            </w:r>
          </w:p>
        </w:tc>
        <w:tc>
          <w:tcPr>
            <w:tcW w:w="632" w:type="pct"/>
            <w:tcBorders>
              <w:top w:val="single" w:sz="4" w:space="0" w:color="auto"/>
              <w:left w:val="single" w:sz="4" w:space="0" w:color="auto"/>
              <w:bottom w:val="single" w:sz="4" w:space="0" w:color="auto"/>
              <w:right w:val="single" w:sz="4" w:space="0" w:color="auto"/>
            </w:tcBorders>
          </w:tcPr>
          <w:p w14:paraId="7EA93D3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D9DC35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85AC294" w14:textId="77777777" w:rsidR="00E57DAA" w:rsidRDefault="00AC4185">
            <w:pPr>
              <w:autoSpaceDE w:val="0"/>
              <w:autoSpaceDN w:val="0"/>
              <w:adjustRightInd w:val="0"/>
              <w:jc w:val="right"/>
              <w:rPr>
                <w:szCs w:val="21"/>
              </w:rPr>
            </w:pPr>
            <w:r>
              <w:t xml:space="preserve">　</w:t>
            </w:r>
          </w:p>
        </w:tc>
      </w:tr>
      <w:tr w:rsidR="00E57DAA" w14:paraId="0CAA0DD0" w14:textId="77777777">
        <w:tc>
          <w:tcPr>
            <w:tcW w:w="677" w:type="pct"/>
            <w:tcBorders>
              <w:top w:val="single" w:sz="4" w:space="0" w:color="auto"/>
              <w:left w:val="single" w:sz="4" w:space="0" w:color="auto"/>
              <w:bottom w:val="single" w:sz="4" w:space="0" w:color="auto"/>
              <w:right w:val="single" w:sz="4" w:space="0" w:color="auto"/>
            </w:tcBorders>
            <w:vAlign w:val="center"/>
          </w:tcPr>
          <w:p w14:paraId="5DADCC1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6F7A9126" w14:textId="77777777" w:rsidR="00E57DAA" w:rsidRDefault="00AC4185">
            <w:pPr>
              <w:autoSpaceDE w:val="0"/>
              <w:autoSpaceDN w:val="0"/>
              <w:adjustRightInd w:val="0"/>
              <w:rPr>
                <w:szCs w:val="21"/>
              </w:rPr>
            </w:pPr>
            <w:r>
              <w:t>浙江南方水泥有限公司</w:t>
            </w:r>
          </w:p>
        </w:tc>
        <w:tc>
          <w:tcPr>
            <w:tcW w:w="633" w:type="pct"/>
            <w:tcBorders>
              <w:top w:val="single" w:sz="4" w:space="0" w:color="auto"/>
              <w:left w:val="single" w:sz="4" w:space="0" w:color="auto"/>
              <w:bottom w:val="single" w:sz="4" w:space="0" w:color="auto"/>
              <w:right w:val="single" w:sz="4" w:space="0" w:color="auto"/>
            </w:tcBorders>
          </w:tcPr>
          <w:p w14:paraId="4C1F4B00" w14:textId="77777777" w:rsidR="00E57DAA" w:rsidRDefault="00AC4185">
            <w:pPr>
              <w:autoSpaceDE w:val="0"/>
              <w:autoSpaceDN w:val="0"/>
              <w:adjustRightInd w:val="0"/>
              <w:jc w:val="right"/>
              <w:rPr>
                <w:szCs w:val="21"/>
              </w:rPr>
            </w:pPr>
            <w:r>
              <w:t>45,160,692.00</w:t>
            </w:r>
          </w:p>
        </w:tc>
        <w:tc>
          <w:tcPr>
            <w:tcW w:w="632" w:type="pct"/>
            <w:tcBorders>
              <w:top w:val="single" w:sz="4" w:space="0" w:color="auto"/>
              <w:left w:val="single" w:sz="4" w:space="0" w:color="auto"/>
              <w:bottom w:val="single" w:sz="4" w:space="0" w:color="auto"/>
              <w:right w:val="single" w:sz="4" w:space="0" w:color="auto"/>
            </w:tcBorders>
          </w:tcPr>
          <w:p w14:paraId="678D23E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CA82EA3" w14:textId="77777777" w:rsidR="00E57DAA" w:rsidRDefault="00AC4185">
            <w:pPr>
              <w:autoSpaceDE w:val="0"/>
              <w:autoSpaceDN w:val="0"/>
              <w:adjustRightInd w:val="0"/>
              <w:jc w:val="right"/>
              <w:rPr>
                <w:szCs w:val="21"/>
              </w:rPr>
            </w:pPr>
            <w:r>
              <w:t>41,581,825.00</w:t>
            </w:r>
          </w:p>
        </w:tc>
        <w:tc>
          <w:tcPr>
            <w:tcW w:w="914" w:type="pct"/>
            <w:tcBorders>
              <w:top w:val="single" w:sz="4" w:space="0" w:color="auto"/>
              <w:left w:val="single" w:sz="4" w:space="0" w:color="auto"/>
              <w:bottom w:val="single" w:sz="4" w:space="0" w:color="auto"/>
              <w:right w:val="single" w:sz="4" w:space="0" w:color="auto"/>
            </w:tcBorders>
          </w:tcPr>
          <w:p w14:paraId="4B120080" w14:textId="77777777" w:rsidR="00E57DAA" w:rsidRDefault="00AC4185">
            <w:pPr>
              <w:autoSpaceDE w:val="0"/>
              <w:autoSpaceDN w:val="0"/>
              <w:adjustRightInd w:val="0"/>
              <w:jc w:val="right"/>
              <w:rPr>
                <w:szCs w:val="21"/>
              </w:rPr>
            </w:pPr>
            <w:r>
              <w:t xml:space="preserve">　</w:t>
            </w:r>
          </w:p>
        </w:tc>
      </w:tr>
      <w:tr w:rsidR="00E57DAA" w14:paraId="6BAFB3AA" w14:textId="77777777">
        <w:tc>
          <w:tcPr>
            <w:tcW w:w="677" w:type="pct"/>
            <w:tcBorders>
              <w:top w:val="single" w:sz="4" w:space="0" w:color="auto"/>
              <w:left w:val="single" w:sz="4" w:space="0" w:color="auto"/>
              <w:bottom w:val="single" w:sz="4" w:space="0" w:color="auto"/>
              <w:right w:val="single" w:sz="4" w:space="0" w:color="auto"/>
            </w:tcBorders>
            <w:vAlign w:val="center"/>
          </w:tcPr>
          <w:p w14:paraId="72E099D5"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D7A8634" w14:textId="77777777" w:rsidR="00E57DAA" w:rsidRDefault="00AC4185">
            <w:pPr>
              <w:autoSpaceDE w:val="0"/>
              <w:autoSpaceDN w:val="0"/>
              <w:adjustRightInd w:val="0"/>
              <w:rPr>
                <w:szCs w:val="21"/>
              </w:rPr>
            </w:pPr>
            <w:r>
              <w:t>湖南南方水泥集团有限公司</w:t>
            </w:r>
          </w:p>
        </w:tc>
        <w:tc>
          <w:tcPr>
            <w:tcW w:w="633" w:type="pct"/>
            <w:tcBorders>
              <w:top w:val="single" w:sz="4" w:space="0" w:color="auto"/>
              <w:left w:val="single" w:sz="4" w:space="0" w:color="auto"/>
              <w:bottom w:val="single" w:sz="4" w:space="0" w:color="auto"/>
              <w:right w:val="single" w:sz="4" w:space="0" w:color="auto"/>
            </w:tcBorders>
          </w:tcPr>
          <w:p w14:paraId="507B3C40" w14:textId="77777777" w:rsidR="00E57DAA" w:rsidRDefault="00AC4185">
            <w:pPr>
              <w:autoSpaceDE w:val="0"/>
              <w:autoSpaceDN w:val="0"/>
              <w:adjustRightInd w:val="0"/>
              <w:jc w:val="right"/>
              <w:rPr>
                <w:szCs w:val="21"/>
              </w:rPr>
            </w:pPr>
            <w:r>
              <w:t>25,000,000.00</w:t>
            </w:r>
          </w:p>
        </w:tc>
        <w:tc>
          <w:tcPr>
            <w:tcW w:w="632" w:type="pct"/>
            <w:tcBorders>
              <w:top w:val="single" w:sz="4" w:space="0" w:color="auto"/>
              <w:left w:val="single" w:sz="4" w:space="0" w:color="auto"/>
              <w:bottom w:val="single" w:sz="4" w:space="0" w:color="auto"/>
              <w:right w:val="single" w:sz="4" w:space="0" w:color="auto"/>
            </w:tcBorders>
          </w:tcPr>
          <w:p w14:paraId="22C3486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8BD798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7EAF46C" w14:textId="77777777" w:rsidR="00E57DAA" w:rsidRDefault="00AC4185">
            <w:pPr>
              <w:autoSpaceDE w:val="0"/>
              <w:autoSpaceDN w:val="0"/>
              <w:adjustRightInd w:val="0"/>
              <w:jc w:val="right"/>
              <w:rPr>
                <w:szCs w:val="21"/>
              </w:rPr>
            </w:pPr>
            <w:r>
              <w:t xml:space="preserve">　</w:t>
            </w:r>
          </w:p>
        </w:tc>
      </w:tr>
      <w:tr w:rsidR="00E57DAA" w14:paraId="5F0AD47D" w14:textId="77777777">
        <w:tc>
          <w:tcPr>
            <w:tcW w:w="677" w:type="pct"/>
            <w:tcBorders>
              <w:top w:val="single" w:sz="4" w:space="0" w:color="auto"/>
              <w:left w:val="single" w:sz="4" w:space="0" w:color="auto"/>
              <w:bottom w:val="single" w:sz="4" w:space="0" w:color="auto"/>
              <w:right w:val="single" w:sz="4" w:space="0" w:color="auto"/>
            </w:tcBorders>
            <w:vAlign w:val="center"/>
          </w:tcPr>
          <w:p w14:paraId="4E8C783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DEBDE51" w14:textId="77777777" w:rsidR="00E57DAA" w:rsidRDefault="00AC4185">
            <w:pPr>
              <w:autoSpaceDE w:val="0"/>
              <w:autoSpaceDN w:val="0"/>
              <w:adjustRightInd w:val="0"/>
              <w:rPr>
                <w:szCs w:val="21"/>
              </w:rPr>
            </w:pPr>
            <w:r>
              <w:t>长兴南方水泥有限公司</w:t>
            </w:r>
          </w:p>
        </w:tc>
        <w:tc>
          <w:tcPr>
            <w:tcW w:w="633" w:type="pct"/>
            <w:tcBorders>
              <w:top w:val="single" w:sz="4" w:space="0" w:color="auto"/>
              <w:left w:val="single" w:sz="4" w:space="0" w:color="auto"/>
              <w:bottom w:val="single" w:sz="4" w:space="0" w:color="auto"/>
              <w:right w:val="single" w:sz="4" w:space="0" w:color="auto"/>
            </w:tcBorders>
          </w:tcPr>
          <w:p w14:paraId="5CBCC68E" w14:textId="77777777" w:rsidR="00E57DAA" w:rsidRDefault="00AC4185">
            <w:pPr>
              <w:autoSpaceDE w:val="0"/>
              <w:autoSpaceDN w:val="0"/>
              <w:adjustRightInd w:val="0"/>
              <w:jc w:val="right"/>
              <w:rPr>
                <w:szCs w:val="21"/>
              </w:rPr>
            </w:pPr>
            <w:r>
              <w:t>22,730,766.10</w:t>
            </w:r>
          </w:p>
        </w:tc>
        <w:tc>
          <w:tcPr>
            <w:tcW w:w="632" w:type="pct"/>
            <w:tcBorders>
              <w:top w:val="single" w:sz="4" w:space="0" w:color="auto"/>
              <w:left w:val="single" w:sz="4" w:space="0" w:color="auto"/>
              <w:bottom w:val="single" w:sz="4" w:space="0" w:color="auto"/>
              <w:right w:val="single" w:sz="4" w:space="0" w:color="auto"/>
            </w:tcBorders>
          </w:tcPr>
          <w:p w14:paraId="511A1C9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1C8838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469EF37" w14:textId="77777777" w:rsidR="00E57DAA" w:rsidRDefault="00AC4185">
            <w:pPr>
              <w:autoSpaceDE w:val="0"/>
              <w:autoSpaceDN w:val="0"/>
              <w:adjustRightInd w:val="0"/>
              <w:jc w:val="right"/>
              <w:rPr>
                <w:szCs w:val="21"/>
              </w:rPr>
            </w:pPr>
            <w:r>
              <w:t xml:space="preserve">　</w:t>
            </w:r>
          </w:p>
        </w:tc>
      </w:tr>
      <w:tr w:rsidR="00E57DAA" w14:paraId="35A593F4" w14:textId="77777777">
        <w:tc>
          <w:tcPr>
            <w:tcW w:w="677" w:type="pct"/>
            <w:tcBorders>
              <w:top w:val="single" w:sz="4" w:space="0" w:color="auto"/>
              <w:left w:val="single" w:sz="4" w:space="0" w:color="auto"/>
              <w:bottom w:val="single" w:sz="4" w:space="0" w:color="auto"/>
              <w:right w:val="single" w:sz="4" w:space="0" w:color="auto"/>
            </w:tcBorders>
            <w:vAlign w:val="center"/>
          </w:tcPr>
          <w:p w14:paraId="3D86B280" w14:textId="77777777" w:rsidR="00E57DAA" w:rsidRDefault="00AC4185">
            <w:pPr>
              <w:autoSpaceDE w:val="0"/>
              <w:autoSpaceDN w:val="0"/>
              <w:adjustRightInd w:val="0"/>
              <w:rPr>
                <w:szCs w:val="21"/>
              </w:rPr>
            </w:pPr>
            <w:r>
              <w:lastRenderedPageBreak/>
              <w:t>应收款项融资</w:t>
            </w:r>
          </w:p>
        </w:tc>
        <w:tc>
          <w:tcPr>
            <w:tcW w:w="1441" w:type="pct"/>
            <w:tcBorders>
              <w:top w:val="single" w:sz="4" w:space="0" w:color="auto"/>
              <w:left w:val="single" w:sz="4" w:space="0" w:color="auto"/>
              <w:bottom w:val="single" w:sz="4" w:space="0" w:color="auto"/>
              <w:right w:val="single" w:sz="4" w:space="0" w:color="auto"/>
            </w:tcBorders>
          </w:tcPr>
          <w:p w14:paraId="737AB256" w14:textId="77777777" w:rsidR="00E57DAA" w:rsidRDefault="00AC4185">
            <w:pPr>
              <w:autoSpaceDE w:val="0"/>
              <w:autoSpaceDN w:val="0"/>
              <w:adjustRightInd w:val="0"/>
              <w:rPr>
                <w:szCs w:val="21"/>
              </w:rPr>
            </w:pPr>
            <w:r>
              <w:t>湖州槐坎南方水泥有限公司</w:t>
            </w:r>
          </w:p>
        </w:tc>
        <w:tc>
          <w:tcPr>
            <w:tcW w:w="633" w:type="pct"/>
            <w:tcBorders>
              <w:top w:val="single" w:sz="4" w:space="0" w:color="auto"/>
              <w:left w:val="single" w:sz="4" w:space="0" w:color="auto"/>
              <w:bottom w:val="single" w:sz="4" w:space="0" w:color="auto"/>
              <w:right w:val="single" w:sz="4" w:space="0" w:color="auto"/>
            </w:tcBorders>
          </w:tcPr>
          <w:p w14:paraId="45188547" w14:textId="77777777" w:rsidR="00E57DAA" w:rsidRDefault="00AC4185">
            <w:pPr>
              <w:autoSpaceDE w:val="0"/>
              <w:autoSpaceDN w:val="0"/>
              <w:adjustRightInd w:val="0"/>
              <w:jc w:val="right"/>
              <w:rPr>
                <w:szCs w:val="21"/>
              </w:rPr>
            </w:pPr>
            <w:r>
              <w:t>15,074,390.04</w:t>
            </w:r>
          </w:p>
        </w:tc>
        <w:tc>
          <w:tcPr>
            <w:tcW w:w="632" w:type="pct"/>
            <w:tcBorders>
              <w:top w:val="single" w:sz="4" w:space="0" w:color="auto"/>
              <w:left w:val="single" w:sz="4" w:space="0" w:color="auto"/>
              <w:bottom w:val="single" w:sz="4" w:space="0" w:color="auto"/>
              <w:right w:val="single" w:sz="4" w:space="0" w:color="auto"/>
            </w:tcBorders>
          </w:tcPr>
          <w:p w14:paraId="58BDCE5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4A16F0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02DBC82" w14:textId="77777777" w:rsidR="00E57DAA" w:rsidRDefault="00AC4185">
            <w:pPr>
              <w:autoSpaceDE w:val="0"/>
              <w:autoSpaceDN w:val="0"/>
              <w:adjustRightInd w:val="0"/>
              <w:jc w:val="right"/>
              <w:rPr>
                <w:szCs w:val="21"/>
              </w:rPr>
            </w:pPr>
            <w:r>
              <w:t xml:space="preserve">　</w:t>
            </w:r>
          </w:p>
        </w:tc>
      </w:tr>
      <w:tr w:rsidR="00E57DAA" w14:paraId="4F036D68" w14:textId="77777777">
        <w:tc>
          <w:tcPr>
            <w:tcW w:w="677" w:type="pct"/>
            <w:tcBorders>
              <w:top w:val="single" w:sz="4" w:space="0" w:color="auto"/>
              <w:left w:val="single" w:sz="4" w:space="0" w:color="auto"/>
              <w:bottom w:val="single" w:sz="4" w:space="0" w:color="auto"/>
              <w:right w:val="single" w:sz="4" w:space="0" w:color="auto"/>
            </w:tcBorders>
            <w:vAlign w:val="center"/>
          </w:tcPr>
          <w:p w14:paraId="2C29D17B"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5B562D5B" w14:textId="77777777" w:rsidR="00E57DAA" w:rsidRDefault="00AC4185">
            <w:pPr>
              <w:autoSpaceDE w:val="0"/>
              <w:autoSpaceDN w:val="0"/>
              <w:adjustRightInd w:val="0"/>
              <w:rPr>
                <w:szCs w:val="21"/>
              </w:rPr>
            </w:pPr>
            <w:r>
              <w:t>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1416D573" w14:textId="77777777" w:rsidR="00E57DAA" w:rsidRDefault="00AC4185">
            <w:pPr>
              <w:autoSpaceDE w:val="0"/>
              <w:autoSpaceDN w:val="0"/>
              <w:adjustRightInd w:val="0"/>
              <w:jc w:val="right"/>
              <w:rPr>
                <w:szCs w:val="21"/>
              </w:rPr>
            </w:pPr>
            <w:r>
              <w:t>8,538,285.42</w:t>
            </w:r>
          </w:p>
        </w:tc>
        <w:tc>
          <w:tcPr>
            <w:tcW w:w="632" w:type="pct"/>
            <w:tcBorders>
              <w:top w:val="single" w:sz="4" w:space="0" w:color="auto"/>
              <w:left w:val="single" w:sz="4" w:space="0" w:color="auto"/>
              <w:bottom w:val="single" w:sz="4" w:space="0" w:color="auto"/>
              <w:right w:val="single" w:sz="4" w:space="0" w:color="auto"/>
            </w:tcBorders>
          </w:tcPr>
          <w:p w14:paraId="4B076B0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6A0D11D" w14:textId="77777777" w:rsidR="00E57DAA" w:rsidRDefault="00AC4185">
            <w:pPr>
              <w:autoSpaceDE w:val="0"/>
              <w:autoSpaceDN w:val="0"/>
              <w:adjustRightInd w:val="0"/>
              <w:jc w:val="right"/>
              <w:rPr>
                <w:szCs w:val="21"/>
              </w:rPr>
            </w:pPr>
            <w:r>
              <w:t>11,200,000.00</w:t>
            </w:r>
          </w:p>
        </w:tc>
        <w:tc>
          <w:tcPr>
            <w:tcW w:w="914" w:type="pct"/>
            <w:tcBorders>
              <w:top w:val="single" w:sz="4" w:space="0" w:color="auto"/>
              <w:left w:val="single" w:sz="4" w:space="0" w:color="auto"/>
              <w:bottom w:val="single" w:sz="4" w:space="0" w:color="auto"/>
              <w:right w:val="single" w:sz="4" w:space="0" w:color="auto"/>
            </w:tcBorders>
          </w:tcPr>
          <w:p w14:paraId="128337E1" w14:textId="77777777" w:rsidR="00E57DAA" w:rsidRDefault="00AC4185">
            <w:pPr>
              <w:autoSpaceDE w:val="0"/>
              <w:autoSpaceDN w:val="0"/>
              <w:adjustRightInd w:val="0"/>
              <w:jc w:val="right"/>
              <w:rPr>
                <w:szCs w:val="21"/>
              </w:rPr>
            </w:pPr>
            <w:r>
              <w:t xml:space="preserve">　</w:t>
            </w:r>
          </w:p>
        </w:tc>
      </w:tr>
      <w:tr w:rsidR="00E57DAA" w14:paraId="72236188" w14:textId="77777777">
        <w:tc>
          <w:tcPr>
            <w:tcW w:w="677" w:type="pct"/>
            <w:tcBorders>
              <w:top w:val="single" w:sz="4" w:space="0" w:color="auto"/>
              <w:left w:val="single" w:sz="4" w:space="0" w:color="auto"/>
              <w:bottom w:val="single" w:sz="4" w:space="0" w:color="auto"/>
              <w:right w:val="single" w:sz="4" w:space="0" w:color="auto"/>
            </w:tcBorders>
            <w:vAlign w:val="center"/>
          </w:tcPr>
          <w:p w14:paraId="5189113C"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2671E90" w14:textId="77777777" w:rsidR="00E57DAA" w:rsidRDefault="00AC4185">
            <w:pPr>
              <w:autoSpaceDE w:val="0"/>
              <w:autoSpaceDN w:val="0"/>
              <w:adjustRightInd w:val="0"/>
              <w:rPr>
                <w:szCs w:val="21"/>
              </w:rPr>
            </w:pPr>
            <w:r>
              <w:t>湖州南方水泥销售有限公司</w:t>
            </w:r>
          </w:p>
        </w:tc>
        <w:tc>
          <w:tcPr>
            <w:tcW w:w="633" w:type="pct"/>
            <w:tcBorders>
              <w:top w:val="single" w:sz="4" w:space="0" w:color="auto"/>
              <w:left w:val="single" w:sz="4" w:space="0" w:color="auto"/>
              <w:bottom w:val="single" w:sz="4" w:space="0" w:color="auto"/>
              <w:right w:val="single" w:sz="4" w:space="0" w:color="auto"/>
            </w:tcBorders>
          </w:tcPr>
          <w:p w14:paraId="190C4625" w14:textId="77777777" w:rsidR="00E57DAA" w:rsidRDefault="00AC4185">
            <w:pPr>
              <w:autoSpaceDE w:val="0"/>
              <w:autoSpaceDN w:val="0"/>
              <w:adjustRightInd w:val="0"/>
              <w:jc w:val="right"/>
              <w:rPr>
                <w:szCs w:val="21"/>
              </w:rPr>
            </w:pPr>
            <w:r>
              <w:t>5,370,000.00</w:t>
            </w:r>
          </w:p>
        </w:tc>
        <w:tc>
          <w:tcPr>
            <w:tcW w:w="632" w:type="pct"/>
            <w:tcBorders>
              <w:top w:val="single" w:sz="4" w:space="0" w:color="auto"/>
              <w:left w:val="single" w:sz="4" w:space="0" w:color="auto"/>
              <w:bottom w:val="single" w:sz="4" w:space="0" w:color="auto"/>
              <w:right w:val="single" w:sz="4" w:space="0" w:color="auto"/>
            </w:tcBorders>
          </w:tcPr>
          <w:p w14:paraId="06EBA60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94D10F2" w14:textId="77777777" w:rsidR="00E57DAA" w:rsidRDefault="00AC4185">
            <w:pPr>
              <w:autoSpaceDE w:val="0"/>
              <w:autoSpaceDN w:val="0"/>
              <w:adjustRightInd w:val="0"/>
              <w:jc w:val="right"/>
              <w:rPr>
                <w:szCs w:val="21"/>
              </w:rPr>
            </w:pPr>
            <w:r>
              <w:t>22,917,971.80</w:t>
            </w:r>
          </w:p>
        </w:tc>
        <w:tc>
          <w:tcPr>
            <w:tcW w:w="914" w:type="pct"/>
            <w:tcBorders>
              <w:top w:val="single" w:sz="4" w:space="0" w:color="auto"/>
              <w:left w:val="single" w:sz="4" w:space="0" w:color="auto"/>
              <w:bottom w:val="single" w:sz="4" w:space="0" w:color="auto"/>
              <w:right w:val="single" w:sz="4" w:space="0" w:color="auto"/>
            </w:tcBorders>
          </w:tcPr>
          <w:p w14:paraId="3C8FC272" w14:textId="77777777" w:rsidR="00E57DAA" w:rsidRDefault="00AC4185">
            <w:pPr>
              <w:autoSpaceDE w:val="0"/>
              <w:autoSpaceDN w:val="0"/>
              <w:adjustRightInd w:val="0"/>
              <w:jc w:val="right"/>
              <w:rPr>
                <w:szCs w:val="21"/>
              </w:rPr>
            </w:pPr>
            <w:r>
              <w:t xml:space="preserve">　</w:t>
            </w:r>
          </w:p>
        </w:tc>
      </w:tr>
      <w:tr w:rsidR="00E57DAA" w14:paraId="42EA8EA4" w14:textId="77777777">
        <w:tc>
          <w:tcPr>
            <w:tcW w:w="677" w:type="pct"/>
            <w:tcBorders>
              <w:top w:val="single" w:sz="4" w:space="0" w:color="auto"/>
              <w:left w:val="single" w:sz="4" w:space="0" w:color="auto"/>
              <w:bottom w:val="single" w:sz="4" w:space="0" w:color="auto"/>
              <w:right w:val="single" w:sz="4" w:space="0" w:color="auto"/>
            </w:tcBorders>
            <w:vAlign w:val="center"/>
          </w:tcPr>
          <w:p w14:paraId="5261A19B"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6819340" w14:textId="77777777" w:rsidR="00E57DAA" w:rsidRDefault="00AC4185">
            <w:pPr>
              <w:autoSpaceDE w:val="0"/>
              <w:autoSpaceDN w:val="0"/>
              <w:adjustRightInd w:val="0"/>
              <w:rPr>
                <w:szCs w:val="21"/>
              </w:rPr>
            </w:pPr>
            <w:r>
              <w:t>华东材料有限公司</w:t>
            </w:r>
          </w:p>
        </w:tc>
        <w:tc>
          <w:tcPr>
            <w:tcW w:w="633" w:type="pct"/>
            <w:tcBorders>
              <w:top w:val="single" w:sz="4" w:space="0" w:color="auto"/>
              <w:left w:val="single" w:sz="4" w:space="0" w:color="auto"/>
              <w:bottom w:val="single" w:sz="4" w:space="0" w:color="auto"/>
              <w:right w:val="single" w:sz="4" w:space="0" w:color="auto"/>
            </w:tcBorders>
          </w:tcPr>
          <w:p w14:paraId="33FAACDB" w14:textId="77777777" w:rsidR="00E57DAA" w:rsidRDefault="00AC4185">
            <w:pPr>
              <w:autoSpaceDE w:val="0"/>
              <w:autoSpaceDN w:val="0"/>
              <w:adjustRightInd w:val="0"/>
              <w:jc w:val="right"/>
              <w:rPr>
                <w:szCs w:val="21"/>
              </w:rPr>
            </w:pPr>
            <w:r>
              <w:t>2,820,000.00</w:t>
            </w:r>
          </w:p>
        </w:tc>
        <w:tc>
          <w:tcPr>
            <w:tcW w:w="632" w:type="pct"/>
            <w:tcBorders>
              <w:top w:val="single" w:sz="4" w:space="0" w:color="auto"/>
              <w:left w:val="single" w:sz="4" w:space="0" w:color="auto"/>
              <w:bottom w:val="single" w:sz="4" w:space="0" w:color="auto"/>
              <w:right w:val="single" w:sz="4" w:space="0" w:color="auto"/>
            </w:tcBorders>
          </w:tcPr>
          <w:p w14:paraId="32C626A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6C5870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2D9A70E" w14:textId="77777777" w:rsidR="00E57DAA" w:rsidRDefault="00AC4185">
            <w:pPr>
              <w:autoSpaceDE w:val="0"/>
              <w:autoSpaceDN w:val="0"/>
              <w:adjustRightInd w:val="0"/>
              <w:jc w:val="right"/>
              <w:rPr>
                <w:szCs w:val="21"/>
              </w:rPr>
            </w:pPr>
            <w:r>
              <w:t xml:space="preserve">　</w:t>
            </w:r>
          </w:p>
        </w:tc>
      </w:tr>
      <w:tr w:rsidR="00E57DAA" w14:paraId="58ED789C" w14:textId="77777777">
        <w:tc>
          <w:tcPr>
            <w:tcW w:w="677" w:type="pct"/>
            <w:tcBorders>
              <w:top w:val="single" w:sz="4" w:space="0" w:color="auto"/>
              <w:left w:val="single" w:sz="4" w:space="0" w:color="auto"/>
              <w:bottom w:val="single" w:sz="4" w:space="0" w:color="auto"/>
              <w:right w:val="single" w:sz="4" w:space="0" w:color="auto"/>
            </w:tcBorders>
            <w:vAlign w:val="center"/>
          </w:tcPr>
          <w:p w14:paraId="3B6EF927"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B592343" w14:textId="77777777" w:rsidR="00E57DAA" w:rsidRDefault="00AC4185">
            <w:pPr>
              <w:autoSpaceDE w:val="0"/>
              <w:autoSpaceDN w:val="0"/>
              <w:adjustRightInd w:val="0"/>
              <w:rPr>
                <w:szCs w:val="21"/>
              </w:rPr>
            </w:pPr>
            <w:r>
              <w:t>贵州西南水泥有限公司</w:t>
            </w:r>
          </w:p>
        </w:tc>
        <w:tc>
          <w:tcPr>
            <w:tcW w:w="633" w:type="pct"/>
            <w:tcBorders>
              <w:top w:val="single" w:sz="4" w:space="0" w:color="auto"/>
              <w:left w:val="single" w:sz="4" w:space="0" w:color="auto"/>
              <w:bottom w:val="single" w:sz="4" w:space="0" w:color="auto"/>
              <w:right w:val="single" w:sz="4" w:space="0" w:color="auto"/>
            </w:tcBorders>
          </w:tcPr>
          <w:p w14:paraId="15AA8FDE" w14:textId="77777777" w:rsidR="00E57DAA" w:rsidRDefault="00AC4185">
            <w:pPr>
              <w:autoSpaceDE w:val="0"/>
              <w:autoSpaceDN w:val="0"/>
              <w:adjustRightInd w:val="0"/>
              <w:jc w:val="right"/>
              <w:rPr>
                <w:szCs w:val="21"/>
              </w:rPr>
            </w:pPr>
            <w:r>
              <w:t>2,800,000.00</w:t>
            </w:r>
          </w:p>
        </w:tc>
        <w:tc>
          <w:tcPr>
            <w:tcW w:w="632" w:type="pct"/>
            <w:tcBorders>
              <w:top w:val="single" w:sz="4" w:space="0" w:color="auto"/>
              <w:left w:val="single" w:sz="4" w:space="0" w:color="auto"/>
              <w:bottom w:val="single" w:sz="4" w:space="0" w:color="auto"/>
              <w:right w:val="single" w:sz="4" w:space="0" w:color="auto"/>
            </w:tcBorders>
          </w:tcPr>
          <w:p w14:paraId="4B5DF8E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F22E48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8A4E4E2" w14:textId="77777777" w:rsidR="00E57DAA" w:rsidRDefault="00AC4185">
            <w:pPr>
              <w:autoSpaceDE w:val="0"/>
              <w:autoSpaceDN w:val="0"/>
              <w:adjustRightInd w:val="0"/>
              <w:jc w:val="right"/>
              <w:rPr>
                <w:szCs w:val="21"/>
              </w:rPr>
            </w:pPr>
            <w:r>
              <w:t xml:space="preserve">　</w:t>
            </w:r>
          </w:p>
        </w:tc>
      </w:tr>
      <w:tr w:rsidR="00E57DAA" w14:paraId="4D962AE8" w14:textId="77777777">
        <w:tc>
          <w:tcPr>
            <w:tcW w:w="677" w:type="pct"/>
            <w:tcBorders>
              <w:top w:val="single" w:sz="4" w:space="0" w:color="auto"/>
              <w:left w:val="single" w:sz="4" w:space="0" w:color="auto"/>
              <w:bottom w:val="single" w:sz="4" w:space="0" w:color="auto"/>
              <w:right w:val="single" w:sz="4" w:space="0" w:color="auto"/>
            </w:tcBorders>
            <w:vAlign w:val="center"/>
          </w:tcPr>
          <w:p w14:paraId="2938CF97"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380A24F" w14:textId="77777777" w:rsidR="00E57DAA" w:rsidRDefault="00AC4185">
            <w:pPr>
              <w:autoSpaceDE w:val="0"/>
              <w:autoSpaceDN w:val="0"/>
              <w:adjustRightInd w:val="0"/>
              <w:rPr>
                <w:szCs w:val="21"/>
              </w:rPr>
            </w:pPr>
            <w:r>
              <w:t>嘉兴南湖南方水泥有限公司</w:t>
            </w:r>
          </w:p>
        </w:tc>
        <w:tc>
          <w:tcPr>
            <w:tcW w:w="633" w:type="pct"/>
            <w:tcBorders>
              <w:top w:val="single" w:sz="4" w:space="0" w:color="auto"/>
              <w:left w:val="single" w:sz="4" w:space="0" w:color="auto"/>
              <w:bottom w:val="single" w:sz="4" w:space="0" w:color="auto"/>
              <w:right w:val="single" w:sz="4" w:space="0" w:color="auto"/>
            </w:tcBorders>
          </w:tcPr>
          <w:p w14:paraId="78DF6AFE" w14:textId="77777777" w:rsidR="00E57DAA" w:rsidRDefault="00AC4185">
            <w:pPr>
              <w:autoSpaceDE w:val="0"/>
              <w:autoSpaceDN w:val="0"/>
              <w:adjustRightInd w:val="0"/>
              <w:jc w:val="right"/>
              <w:rPr>
                <w:szCs w:val="21"/>
              </w:rPr>
            </w:pPr>
            <w:r>
              <w:t>2,210,000.00</w:t>
            </w:r>
          </w:p>
        </w:tc>
        <w:tc>
          <w:tcPr>
            <w:tcW w:w="632" w:type="pct"/>
            <w:tcBorders>
              <w:top w:val="single" w:sz="4" w:space="0" w:color="auto"/>
              <w:left w:val="single" w:sz="4" w:space="0" w:color="auto"/>
              <w:bottom w:val="single" w:sz="4" w:space="0" w:color="auto"/>
              <w:right w:val="single" w:sz="4" w:space="0" w:color="auto"/>
            </w:tcBorders>
          </w:tcPr>
          <w:p w14:paraId="2E18784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BCA115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207BACE" w14:textId="77777777" w:rsidR="00E57DAA" w:rsidRDefault="00AC4185">
            <w:pPr>
              <w:autoSpaceDE w:val="0"/>
              <w:autoSpaceDN w:val="0"/>
              <w:adjustRightInd w:val="0"/>
              <w:jc w:val="right"/>
              <w:rPr>
                <w:szCs w:val="21"/>
              </w:rPr>
            </w:pPr>
            <w:r>
              <w:t xml:space="preserve">　</w:t>
            </w:r>
          </w:p>
        </w:tc>
      </w:tr>
      <w:tr w:rsidR="00E57DAA" w14:paraId="401FB318" w14:textId="77777777">
        <w:tc>
          <w:tcPr>
            <w:tcW w:w="677" w:type="pct"/>
            <w:tcBorders>
              <w:top w:val="single" w:sz="4" w:space="0" w:color="auto"/>
              <w:left w:val="single" w:sz="4" w:space="0" w:color="auto"/>
              <w:bottom w:val="single" w:sz="4" w:space="0" w:color="auto"/>
              <w:right w:val="single" w:sz="4" w:space="0" w:color="auto"/>
            </w:tcBorders>
            <w:vAlign w:val="center"/>
          </w:tcPr>
          <w:p w14:paraId="14F8D75B"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96A8611" w14:textId="77777777" w:rsidR="00E57DAA" w:rsidRDefault="00AC4185">
            <w:pPr>
              <w:autoSpaceDE w:val="0"/>
              <w:autoSpaceDN w:val="0"/>
              <w:adjustRightInd w:val="0"/>
              <w:rPr>
                <w:szCs w:val="21"/>
              </w:rPr>
            </w:pPr>
            <w:r>
              <w:t>江西上高南方水泥有限公司</w:t>
            </w:r>
          </w:p>
        </w:tc>
        <w:tc>
          <w:tcPr>
            <w:tcW w:w="633" w:type="pct"/>
            <w:tcBorders>
              <w:top w:val="single" w:sz="4" w:space="0" w:color="auto"/>
              <w:left w:val="single" w:sz="4" w:space="0" w:color="auto"/>
              <w:bottom w:val="single" w:sz="4" w:space="0" w:color="auto"/>
              <w:right w:val="single" w:sz="4" w:space="0" w:color="auto"/>
            </w:tcBorders>
          </w:tcPr>
          <w:p w14:paraId="76A60301" w14:textId="77777777" w:rsidR="00E57DAA" w:rsidRDefault="00AC4185">
            <w:pPr>
              <w:autoSpaceDE w:val="0"/>
              <w:autoSpaceDN w:val="0"/>
              <w:adjustRightInd w:val="0"/>
              <w:jc w:val="right"/>
              <w:rPr>
                <w:szCs w:val="21"/>
              </w:rPr>
            </w:pPr>
            <w:r>
              <w:t>2,040,000.00</w:t>
            </w:r>
          </w:p>
        </w:tc>
        <w:tc>
          <w:tcPr>
            <w:tcW w:w="632" w:type="pct"/>
            <w:tcBorders>
              <w:top w:val="single" w:sz="4" w:space="0" w:color="auto"/>
              <w:left w:val="single" w:sz="4" w:space="0" w:color="auto"/>
              <w:bottom w:val="single" w:sz="4" w:space="0" w:color="auto"/>
              <w:right w:val="single" w:sz="4" w:space="0" w:color="auto"/>
            </w:tcBorders>
          </w:tcPr>
          <w:p w14:paraId="59CE2C7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58D52E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9B28186" w14:textId="77777777" w:rsidR="00E57DAA" w:rsidRDefault="00AC4185">
            <w:pPr>
              <w:autoSpaceDE w:val="0"/>
              <w:autoSpaceDN w:val="0"/>
              <w:adjustRightInd w:val="0"/>
              <w:jc w:val="right"/>
              <w:rPr>
                <w:szCs w:val="21"/>
              </w:rPr>
            </w:pPr>
            <w:r>
              <w:t xml:space="preserve">　</w:t>
            </w:r>
          </w:p>
        </w:tc>
      </w:tr>
      <w:tr w:rsidR="00E57DAA" w14:paraId="65E3B575" w14:textId="77777777">
        <w:tc>
          <w:tcPr>
            <w:tcW w:w="677" w:type="pct"/>
            <w:tcBorders>
              <w:top w:val="single" w:sz="4" w:space="0" w:color="auto"/>
              <w:left w:val="single" w:sz="4" w:space="0" w:color="auto"/>
              <w:bottom w:val="single" w:sz="4" w:space="0" w:color="auto"/>
              <w:right w:val="single" w:sz="4" w:space="0" w:color="auto"/>
            </w:tcBorders>
            <w:vAlign w:val="center"/>
          </w:tcPr>
          <w:p w14:paraId="1B266927"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B9CB0F2" w14:textId="77777777" w:rsidR="00E57DAA" w:rsidRDefault="00AC4185">
            <w:pPr>
              <w:autoSpaceDE w:val="0"/>
              <w:autoSpaceDN w:val="0"/>
              <w:adjustRightInd w:val="0"/>
              <w:rPr>
                <w:szCs w:val="21"/>
              </w:rPr>
            </w:pPr>
            <w:r>
              <w:t>江西南方水泥有限公司</w:t>
            </w:r>
          </w:p>
        </w:tc>
        <w:tc>
          <w:tcPr>
            <w:tcW w:w="633" w:type="pct"/>
            <w:tcBorders>
              <w:top w:val="single" w:sz="4" w:space="0" w:color="auto"/>
              <w:left w:val="single" w:sz="4" w:space="0" w:color="auto"/>
              <w:bottom w:val="single" w:sz="4" w:space="0" w:color="auto"/>
              <w:right w:val="single" w:sz="4" w:space="0" w:color="auto"/>
            </w:tcBorders>
          </w:tcPr>
          <w:p w14:paraId="353CFB19" w14:textId="77777777" w:rsidR="00E57DAA" w:rsidRDefault="00AC4185">
            <w:pPr>
              <w:autoSpaceDE w:val="0"/>
              <w:autoSpaceDN w:val="0"/>
              <w:adjustRightInd w:val="0"/>
              <w:jc w:val="right"/>
              <w:rPr>
                <w:szCs w:val="21"/>
              </w:rPr>
            </w:pPr>
            <w:r>
              <w:t>2,000,000.00</w:t>
            </w:r>
          </w:p>
        </w:tc>
        <w:tc>
          <w:tcPr>
            <w:tcW w:w="632" w:type="pct"/>
            <w:tcBorders>
              <w:top w:val="single" w:sz="4" w:space="0" w:color="auto"/>
              <w:left w:val="single" w:sz="4" w:space="0" w:color="auto"/>
              <w:bottom w:val="single" w:sz="4" w:space="0" w:color="auto"/>
              <w:right w:val="single" w:sz="4" w:space="0" w:color="auto"/>
            </w:tcBorders>
          </w:tcPr>
          <w:p w14:paraId="7F79B6F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B6DD7A1" w14:textId="77777777" w:rsidR="00E57DAA" w:rsidRDefault="00AC4185">
            <w:pPr>
              <w:autoSpaceDE w:val="0"/>
              <w:autoSpaceDN w:val="0"/>
              <w:adjustRightInd w:val="0"/>
              <w:jc w:val="right"/>
              <w:rPr>
                <w:szCs w:val="21"/>
              </w:rPr>
            </w:pPr>
            <w:r>
              <w:t>23,890,000.00</w:t>
            </w:r>
          </w:p>
        </w:tc>
        <w:tc>
          <w:tcPr>
            <w:tcW w:w="914" w:type="pct"/>
            <w:tcBorders>
              <w:top w:val="single" w:sz="4" w:space="0" w:color="auto"/>
              <w:left w:val="single" w:sz="4" w:space="0" w:color="auto"/>
              <w:bottom w:val="single" w:sz="4" w:space="0" w:color="auto"/>
              <w:right w:val="single" w:sz="4" w:space="0" w:color="auto"/>
            </w:tcBorders>
          </w:tcPr>
          <w:p w14:paraId="3FF645E2" w14:textId="77777777" w:rsidR="00E57DAA" w:rsidRDefault="00AC4185">
            <w:pPr>
              <w:autoSpaceDE w:val="0"/>
              <w:autoSpaceDN w:val="0"/>
              <w:adjustRightInd w:val="0"/>
              <w:jc w:val="right"/>
              <w:rPr>
                <w:szCs w:val="21"/>
              </w:rPr>
            </w:pPr>
            <w:r>
              <w:t xml:space="preserve">　</w:t>
            </w:r>
          </w:p>
        </w:tc>
      </w:tr>
      <w:tr w:rsidR="00E57DAA" w14:paraId="5CD73F89" w14:textId="77777777">
        <w:tc>
          <w:tcPr>
            <w:tcW w:w="677" w:type="pct"/>
            <w:tcBorders>
              <w:top w:val="single" w:sz="4" w:space="0" w:color="auto"/>
              <w:left w:val="single" w:sz="4" w:space="0" w:color="auto"/>
              <w:bottom w:val="single" w:sz="4" w:space="0" w:color="auto"/>
              <w:right w:val="single" w:sz="4" w:space="0" w:color="auto"/>
            </w:tcBorders>
            <w:vAlign w:val="center"/>
          </w:tcPr>
          <w:p w14:paraId="6BB538D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252B387" w14:textId="77777777" w:rsidR="00E57DAA" w:rsidRDefault="00AC4185">
            <w:pPr>
              <w:autoSpaceDE w:val="0"/>
              <w:autoSpaceDN w:val="0"/>
              <w:adjustRightInd w:val="0"/>
              <w:rPr>
                <w:szCs w:val="21"/>
              </w:rPr>
            </w:pPr>
            <w:r>
              <w:t>富民金锐水泥建材有限责任公司</w:t>
            </w:r>
          </w:p>
        </w:tc>
        <w:tc>
          <w:tcPr>
            <w:tcW w:w="633" w:type="pct"/>
            <w:tcBorders>
              <w:top w:val="single" w:sz="4" w:space="0" w:color="auto"/>
              <w:left w:val="single" w:sz="4" w:space="0" w:color="auto"/>
              <w:bottom w:val="single" w:sz="4" w:space="0" w:color="auto"/>
              <w:right w:val="single" w:sz="4" w:space="0" w:color="auto"/>
            </w:tcBorders>
          </w:tcPr>
          <w:p w14:paraId="59BDFBA9" w14:textId="77777777" w:rsidR="00E57DAA" w:rsidRDefault="00AC4185">
            <w:pPr>
              <w:autoSpaceDE w:val="0"/>
              <w:autoSpaceDN w:val="0"/>
              <w:adjustRightInd w:val="0"/>
              <w:jc w:val="right"/>
              <w:rPr>
                <w:szCs w:val="21"/>
              </w:rPr>
            </w:pPr>
            <w:r>
              <w:t>2,000,000.00</w:t>
            </w:r>
          </w:p>
        </w:tc>
        <w:tc>
          <w:tcPr>
            <w:tcW w:w="632" w:type="pct"/>
            <w:tcBorders>
              <w:top w:val="single" w:sz="4" w:space="0" w:color="auto"/>
              <w:left w:val="single" w:sz="4" w:space="0" w:color="auto"/>
              <w:bottom w:val="single" w:sz="4" w:space="0" w:color="auto"/>
              <w:right w:val="single" w:sz="4" w:space="0" w:color="auto"/>
            </w:tcBorders>
          </w:tcPr>
          <w:p w14:paraId="686C766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4066E5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5C39FD4" w14:textId="77777777" w:rsidR="00E57DAA" w:rsidRDefault="00AC4185">
            <w:pPr>
              <w:autoSpaceDE w:val="0"/>
              <w:autoSpaceDN w:val="0"/>
              <w:adjustRightInd w:val="0"/>
              <w:jc w:val="right"/>
              <w:rPr>
                <w:szCs w:val="21"/>
              </w:rPr>
            </w:pPr>
            <w:r>
              <w:t xml:space="preserve">　</w:t>
            </w:r>
          </w:p>
        </w:tc>
      </w:tr>
      <w:tr w:rsidR="00E57DAA" w14:paraId="1388D47C" w14:textId="77777777">
        <w:tc>
          <w:tcPr>
            <w:tcW w:w="677" w:type="pct"/>
            <w:tcBorders>
              <w:top w:val="single" w:sz="4" w:space="0" w:color="auto"/>
              <w:left w:val="single" w:sz="4" w:space="0" w:color="auto"/>
              <w:bottom w:val="single" w:sz="4" w:space="0" w:color="auto"/>
              <w:right w:val="single" w:sz="4" w:space="0" w:color="auto"/>
            </w:tcBorders>
            <w:vAlign w:val="center"/>
          </w:tcPr>
          <w:p w14:paraId="48AD5B76"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D9A9EE6" w14:textId="77777777" w:rsidR="00E57DAA" w:rsidRDefault="00AC4185">
            <w:pPr>
              <w:autoSpaceDE w:val="0"/>
              <w:autoSpaceDN w:val="0"/>
              <w:adjustRightInd w:val="0"/>
              <w:rPr>
                <w:szCs w:val="21"/>
              </w:rPr>
            </w:pPr>
            <w:r>
              <w:t>莒县中联水泥有限公司</w:t>
            </w:r>
          </w:p>
        </w:tc>
        <w:tc>
          <w:tcPr>
            <w:tcW w:w="633" w:type="pct"/>
            <w:tcBorders>
              <w:top w:val="single" w:sz="4" w:space="0" w:color="auto"/>
              <w:left w:val="single" w:sz="4" w:space="0" w:color="auto"/>
              <w:bottom w:val="single" w:sz="4" w:space="0" w:color="auto"/>
              <w:right w:val="single" w:sz="4" w:space="0" w:color="auto"/>
            </w:tcBorders>
          </w:tcPr>
          <w:p w14:paraId="6FCEC002" w14:textId="77777777" w:rsidR="00E57DAA" w:rsidRDefault="00AC4185">
            <w:pPr>
              <w:autoSpaceDE w:val="0"/>
              <w:autoSpaceDN w:val="0"/>
              <w:adjustRightInd w:val="0"/>
              <w:jc w:val="right"/>
              <w:rPr>
                <w:szCs w:val="21"/>
              </w:rPr>
            </w:pPr>
            <w:r>
              <w:t>1,800,000.00</w:t>
            </w:r>
          </w:p>
        </w:tc>
        <w:tc>
          <w:tcPr>
            <w:tcW w:w="632" w:type="pct"/>
            <w:tcBorders>
              <w:top w:val="single" w:sz="4" w:space="0" w:color="auto"/>
              <w:left w:val="single" w:sz="4" w:space="0" w:color="auto"/>
              <w:bottom w:val="single" w:sz="4" w:space="0" w:color="auto"/>
              <w:right w:val="single" w:sz="4" w:space="0" w:color="auto"/>
            </w:tcBorders>
          </w:tcPr>
          <w:p w14:paraId="69A9007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384ADA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4079FC2" w14:textId="77777777" w:rsidR="00E57DAA" w:rsidRDefault="00AC4185">
            <w:pPr>
              <w:autoSpaceDE w:val="0"/>
              <w:autoSpaceDN w:val="0"/>
              <w:adjustRightInd w:val="0"/>
              <w:jc w:val="right"/>
              <w:rPr>
                <w:szCs w:val="21"/>
              </w:rPr>
            </w:pPr>
            <w:r>
              <w:t xml:space="preserve">　</w:t>
            </w:r>
          </w:p>
        </w:tc>
      </w:tr>
      <w:tr w:rsidR="00E57DAA" w14:paraId="26A3C629" w14:textId="77777777">
        <w:tc>
          <w:tcPr>
            <w:tcW w:w="677" w:type="pct"/>
            <w:tcBorders>
              <w:top w:val="single" w:sz="4" w:space="0" w:color="auto"/>
              <w:left w:val="single" w:sz="4" w:space="0" w:color="auto"/>
              <w:bottom w:val="single" w:sz="4" w:space="0" w:color="auto"/>
              <w:right w:val="single" w:sz="4" w:space="0" w:color="auto"/>
            </w:tcBorders>
            <w:vAlign w:val="center"/>
          </w:tcPr>
          <w:p w14:paraId="034C47F5"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0712A3E" w14:textId="77777777" w:rsidR="00E57DAA" w:rsidRDefault="00AC4185">
            <w:pPr>
              <w:autoSpaceDE w:val="0"/>
              <w:autoSpaceDN w:val="0"/>
              <w:adjustRightInd w:val="0"/>
              <w:rPr>
                <w:szCs w:val="21"/>
              </w:rPr>
            </w:pPr>
            <w:r>
              <w:t>宜兴天山水泥有限责任公司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306E54C2" w14:textId="77777777" w:rsidR="00E57DAA" w:rsidRDefault="00AC4185">
            <w:pPr>
              <w:autoSpaceDE w:val="0"/>
              <w:autoSpaceDN w:val="0"/>
              <w:adjustRightInd w:val="0"/>
              <w:jc w:val="right"/>
              <w:rPr>
                <w:szCs w:val="21"/>
              </w:rPr>
            </w:pPr>
            <w:r>
              <w:t>1,213,549.16</w:t>
            </w:r>
          </w:p>
        </w:tc>
        <w:tc>
          <w:tcPr>
            <w:tcW w:w="632" w:type="pct"/>
            <w:tcBorders>
              <w:top w:val="single" w:sz="4" w:space="0" w:color="auto"/>
              <w:left w:val="single" w:sz="4" w:space="0" w:color="auto"/>
              <w:bottom w:val="single" w:sz="4" w:space="0" w:color="auto"/>
              <w:right w:val="single" w:sz="4" w:space="0" w:color="auto"/>
            </w:tcBorders>
          </w:tcPr>
          <w:p w14:paraId="13B664D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747D8E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A584032" w14:textId="77777777" w:rsidR="00E57DAA" w:rsidRDefault="00AC4185">
            <w:pPr>
              <w:autoSpaceDE w:val="0"/>
              <w:autoSpaceDN w:val="0"/>
              <w:adjustRightInd w:val="0"/>
              <w:jc w:val="right"/>
              <w:rPr>
                <w:szCs w:val="21"/>
              </w:rPr>
            </w:pPr>
            <w:r>
              <w:t xml:space="preserve">　</w:t>
            </w:r>
          </w:p>
        </w:tc>
      </w:tr>
      <w:tr w:rsidR="00E57DAA" w14:paraId="50D27C03" w14:textId="77777777">
        <w:tc>
          <w:tcPr>
            <w:tcW w:w="677" w:type="pct"/>
            <w:tcBorders>
              <w:top w:val="single" w:sz="4" w:space="0" w:color="auto"/>
              <w:left w:val="single" w:sz="4" w:space="0" w:color="auto"/>
              <w:bottom w:val="single" w:sz="4" w:space="0" w:color="auto"/>
              <w:right w:val="single" w:sz="4" w:space="0" w:color="auto"/>
            </w:tcBorders>
            <w:vAlign w:val="center"/>
          </w:tcPr>
          <w:p w14:paraId="73F5E07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AB04F2E" w14:textId="77777777" w:rsidR="00E57DAA" w:rsidRDefault="00AC4185">
            <w:pPr>
              <w:autoSpaceDE w:val="0"/>
              <w:autoSpaceDN w:val="0"/>
              <w:adjustRightInd w:val="0"/>
              <w:rPr>
                <w:szCs w:val="21"/>
              </w:rPr>
            </w:pPr>
            <w:r>
              <w:t>泰山玻璃纤维（太原）有限公司</w:t>
            </w:r>
          </w:p>
        </w:tc>
        <w:tc>
          <w:tcPr>
            <w:tcW w:w="633" w:type="pct"/>
            <w:tcBorders>
              <w:top w:val="single" w:sz="4" w:space="0" w:color="auto"/>
              <w:left w:val="single" w:sz="4" w:space="0" w:color="auto"/>
              <w:bottom w:val="single" w:sz="4" w:space="0" w:color="auto"/>
              <w:right w:val="single" w:sz="4" w:space="0" w:color="auto"/>
            </w:tcBorders>
          </w:tcPr>
          <w:p w14:paraId="18DA6291"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0D0419C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15D137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ABFF2CE" w14:textId="77777777" w:rsidR="00E57DAA" w:rsidRDefault="00AC4185">
            <w:pPr>
              <w:autoSpaceDE w:val="0"/>
              <w:autoSpaceDN w:val="0"/>
              <w:adjustRightInd w:val="0"/>
              <w:jc w:val="right"/>
              <w:rPr>
                <w:szCs w:val="21"/>
              </w:rPr>
            </w:pPr>
            <w:r>
              <w:t xml:space="preserve">　</w:t>
            </w:r>
          </w:p>
        </w:tc>
      </w:tr>
      <w:tr w:rsidR="00E57DAA" w14:paraId="3B525C5A" w14:textId="77777777">
        <w:tc>
          <w:tcPr>
            <w:tcW w:w="677" w:type="pct"/>
            <w:tcBorders>
              <w:top w:val="single" w:sz="4" w:space="0" w:color="auto"/>
              <w:left w:val="single" w:sz="4" w:space="0" w:color="auto"/>
              <w:bottom w:val="single" w:sz="4" w:space="0" w:color="auto"/>
              <w:right w:val="single" w:sz="4" w:space="0" w:color="auto"/>
            </w:tcBorders>
            <w:vAlign w:val="center"/>
          </w:tcPr>
          <w:p w14:paraId="35EC5B4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7759020" w14:textId="77777777" w:rsidR="00E57DAA" w:rsidRDefault="00AC4185">
            <w:pPr>
              <w:autoSpaceDE w:val="0"/>
              <w:autoSpaceDN w:val="0"/>
              <w:adjustRightInd w:val="0"/>
              <w:rPr>
                <w:szCs w:val="21"/>
              </w:rPr>
            </w:pPr>
            <w:r>
              <w:t>湖南桃江南方水泥有限公司</w:t>
            </w:r>
          </w:p>
        </w:tc>
        <w:tc>
          <w:tcPr>
            <w:tcW w:w="633" w:type="pct"/>
            <w:tcBorders>
              <w:top w:val="single" w:sz="4" w:space="0" w:color="auto"/>
              <w:left w:val="single" w:sz="4" w:space="0" w:color="auto"/>
              <w:bottom w:val="single" w:sz="4" w:space="0" w:color="auto"/>
              <w:right w:val="single" w:sz="4" w:space="0" w:color="auto"/>
            </w:tcBorders>
          </w:tcPr>
          <w:p w14:paraId="0426E85B"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63AC9E8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04ABF7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E9F2B70" w14:textId="77777777" w:rsidR="00E57DAA" w:rsidRDefault="00AC4185">
            <w:pPr>
              <w:autoSpaceDE w:val="0"/>
              <w:autoSpaceDN w:val="0"/>
              <w:adjustRightInd w:val="0"/>
              <w:jc w:val="right"/>
              <w:rPr>
                <w:szCs w:val="21"/>
              </w:rPr>
            </w:pPr>
            <w:r>
              <w:t xml:space="preserve">　</w:t>
            </w:r>
          </w:p>
        </w:tc>
      </w:tr>
      <w:tr w:rsidR="00E57DAA" w14:paraId="6F68C91A" w14:textId="77777777">
        <w:tc>
          <w:tcPr>
            <w:tcW w:w="677" w:type="pct"/>
            <w:tcBorders>
              <w:top w:val="single" w:sz="4" w:space="0" w:color="auto"/>
              <w:left w:val="single" w:sz="4" w:space="0" w:color="auto"/>
              <w:bottom w:val="single" w:sz="4" w:space="0" w:color="auto"/>
              <w:right w:val="single" w:sz="4" w:space="0" w:color="auto"/>
            </w:tcBorders>
            <w:vAlign w:val="center"/>
          </w:tcPr>
          <w:p w14:paraId="61ADBB7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60FE9F99" w14:textId="77777777" w:rsidR="00E57DAA" w:rsidRDefault="00AC4185">
            <w:pPr>
              <w:autoSpaceDE w:val="0"/>
              <w:autoSpaceDN w:val="0"/>
              <w:adjustRightInd w:val="0"/>
              <w:rPr>
                <w:szCs w:val="21"/>
              </w:rPr>
            </w:pPr>
            <w:r>
              <w:t>苏州中材非金属矿工业设计研究院有限公司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233D8DB8" w14:textId="77777777" w:rsidR="00E57DAA" w:rsidRDefault="00AC4185">
            <w:pPr>
              <w:autoSpaceDE w:val="0"/>
              <w:autoSpaceDN w:val="0"/>
              <w:adjustRightInd w:val="0"/>
              <w:jc w:val="right"/>
              <w:rPr>
                <w:szCs w:val="21"/>
              </w:rPr>
            </w:pPr>
            <w:r>
              <w:t>438,590.90</w:t>
            </w:r>
          </w:p>
        </w:tc>
        <w:tc>
          <w:tcPr>
            <w:tcW w:w="632" w:type="pct"/>
            <w:tcBorders>
              <w:top w:val="single" w:sz="4" w:space="0" w:color="auto"/>
              <w:left w:val="single" w:sz="4" w:space="0" w:color="auto"/>
              <w:bottom w:val="single" w:sz="4" w:space="0" w:color="auto"/>
              <w:right w:val="single" w:sz="4" w:space="0" w:color="auto"/>
            </w:tcBorders>
          </w:tcPr>
          <w:p w14:paraId="0B729D3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7062AD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2A718A1" w14:textId="77777777" w:rsidR="00E57DAA" w:rsidRDefault="00AC4185">
            <w:pPr>
              <w:autoSpaceDE w:val="0"/>
              <w:autoSpaceDN w:val="0"/>
              <w:adjustRightInd w:val="0"/>
              <w:jc w:val="right"/>
              <w:rPr>
                <w:szCs w:val="21"/>
              </w:rPr>
            </w:pPr>
            <w:r>
              <w:t xml:space="preserve">　</w:t>
            </w:r>
          </w:p>
        </w:tc>
      </w:tr>
      <w:tr w:rsidR="00E57DAA" w14:paraId="1DF898CF" w14:textId="77777777">
        <w:tc>
          <w:tcPr>
            <w:tcW w:w="677" w:type="pct"/>
            <w:tcBorders>
              <w:top w:val="single" w:sz="4" w:space="0" w:color="auto"/>
              <w:left w:val="single" w:sz="4" w:space="0" w:color="auto"/>
              <w:bottom w:val="single" w:sz="4" w:space="0" w:color="auto"/>
              <w:right w:val="single" w:sz="4" w:space="0" w:color="auto"/>
            </w:tcBorders>
            <w:vAlign w:val="center"/>
          </w:tcPr>
          <w:p w14:paraId="21F7EAE0"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EFA53BD" w14:textId="77777777" w:rsidR="00E57DAA" w:rsidRDefault="00AC4185">
            <w:pPr>
              <w:autoSpaceDE w:val="0"/>
              <w:autoSpaceDN w:val="0"/>
              <w:adjustRightInd w:val="0"/>
              <w:rPr>
                <w:szCs w:val="21"/>
              </w:rPr>
            </w:pPr>
            <w:r>
              <w:t>广德独山南方水泥有限公司</w:t>
            </w:r>
          </w:p>
        </w:tc>
        <w:tc>
          <w:tcPr>
            <w:tcW w:w="633" w:type="pct"/>
            <w:tcBorders>
              <w:top w:val="single" w:sz="4" w:space="0" w:color="auto"/>
              <w:left w:val="single" w:sz="4" w:space="0" w:color="auto"/>
              <w:bottom w:val="single" w:sz="4" w:space="0" w:color="auto"/>
              <w:right w:val="single" w:sz="4" w:space="0" w:color="auto"/>
            </w:tcBorders>
          </w:tcPr>
          <w:p w14:paraId="246B54A0" w14:textId="77777777" w:rsidR="00E57DAA" w:rsidRDefault="00AC4185">
            <w:pPr>
              <w:autoSpaceDE w:val="0"/>
              <w:autoSpaceDN w:val="0"/>
              <w:adjustRightInd w:val="0"/>
              <w:jc w:val="right"/>
              <w:rPr>
                <w:szCs w:val="21"/>
              </w:rPr>
            </w:pPr>
            <w:r>
              <w:t>280,000.00</w:t>
            </w:r>
          </w:p>
        </w:tc>
        <w:tc>
          <w:tcPr>
            <w:tcW w:w="632" w:type="pct"/>
            <w:tcBorders>
              <w:top w:val="single" w:sz="4" w:space="0" w:color="auto"/>
              <w:left w:val="single" w:sz="4" w:space="0" w:color="auto"/>
              <w:bottom w:val="single" w:sz="4" w:space="0" w:color="auto"/>
              <w:right w:val="single" w:sz="4" w:space="0" w:color="auto"/>
            </w:tcBorders>
          </w:tcPr>
          <w:p w14:paraId="449A453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D5ED0B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97A9024" w14:textId="77777777" w:rsidR="00E57DAA" w:rsidRDefault="00AC4185">
            <w:pPr>
              <w:autoSpaceDE w:val="0"/>
              <w:autoSpaceDN w:val="0"/>
              <w:adjustRightInd w:val="0"/>
              <w:jc w:val="right"/>
              <w:rPr>
                <w:szCs w:val="21"/>
              </w:rPr>
            </w:pPr>
            <w:r>
              <w:t xml:space="preserve">　</w:t>
            </w:r>
          </w:p>
        </w:tc>
      </w:tr>
      <w:tr w:rsidR="00E57DAA" w14:paraId="50039588" w14:textId="77777777">
        <w:tc>
          <w:tcPr>
            <w:tcW w:w="677" w:type="pct"/>
            <w:tcBorders>
              <w:top w:val="single" w:sz="4" w:space="0" w:color="auto"/>
              <w:left w:val="single" w:sz="4" w:space="0" w:color="auto"/>
              <w:bottom w:val="single" w:sz="4" w:space="0" w:color="auto"/>
              <w:right w:val="single" w:sz="4" w:space="0" w:color="auto"/>
            </w:tcBorders>
            <w:vAlign w:val="center"/>
          </w:tcPr>
          <w:p w14:paraId="650B0DF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423DBF3" w14:textId="77777777" w:rsidR="00E57DAA" w:rsidRDefault="00AC4185">
            <w:pPr>
              <w:autoSpaceDE w:val="0"/>
              <w:autoSpaceDN w:val="0"/>
              <w:adjustRightInd w:val="0"/>
              <w:rPr>
                <w:szCs w:val="21"/>
              </w:rPr>
            </w:pPr>
            <w:r>
              <w:t>泰山石膏有限公司</w:t>
            </w:r>
          </w:p>
        </w:tc>
        <w:tc>
          <w:tcPr>
            <w:tcW w:w="633" w:type="pct"/>
            <w:tcBorders>
              <w:top w:val="single" w:sz="4" w:space="0" w:color="auto"/>
              <w:left w:val="single" w:sz="4" w:space="0" w:color="auto"/>
              <w:bottom w:val="single" w:sz="4" w:space="0" w:color="auto"/>
              <w:right w:val="single" w:sz="4" w:space="0" w:color="auto"/>
            </w:tcBorders>
          </w:tcPr>
          <w:p w14:paraId="1EB9F8F5"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5F90964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8E1583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8020196" w14:textId="77777777" w:rsidR="00E57DAA" w:rsidRDefault="00AC4185">
            <w:pPr>
              <w:autoSpaceDE w:val="0"/>
              <w:autoSpaceDN w:val="0"/>
              <w:adjustRightInd w:val="0"/>
              <w:jc w:val="right"/>
              <w:rPr>
                <w:szCs w:val="21"/>
              </w:rPr>
            </w:pPr>
            <w:r>
              <w:t xml:space="preserve">　</w:t>
            </w:r>
          </w:p>
        </w:tc>
      </w:tr>
      <w:tr w:rsidR="00E57DAA" w14:paraId="0DBF59E9" w14:textId="77777777">
        <w:tc>
          <w:tcPr>
            <w:tcW w:w="677" w:type="pct"/>
            <w:tcBorders>
              <w:top w:val="single" w:sz="4" w:space="0" w:color="auto"/>
              <w:left w:val="single" w:sz="4" w:space="0" w:color="auto"/>
              <w:bottom w:val="single" w:sz="4" w:space="0" w:color="auto"/>
              <w:right w:val="single" w:sz="4" w:space="0" w:color="auto"/>
            </w:tcBorders>
            <w:vAlign w:val="center"/>
          </w:tcPr>
          <w:p w14:paraId="348C6B8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A06142E" w14:textId="77777777" w:rsidR="00E57DAA" w:rsidRDefault="00AC4185">
            <w:pPr>
              <w:autoSpaceDE w:val="0"/>
              <w:autoSpaceDN w:val="0"/>
              <w:adjustRightInd w:val="0"/>
              <w:rPr>
                <w:szCs w:val="21"/>
              </w:rPr>
            </w:pPr>
            <w:r>
              <w:t>连云港中复连众复合材料集团有限公司</w:t>
            </w:r>
          </w:p>
        </w:tc>
        <w:tc>
          <w:tcPr>
            <w:tcW w:w="633" w:type="pct"/>
            <w:tcBorders>
              <w:top w:val="single" w:sz="4" w:space="0" w:color="auto"/>
              <w:left w:val="single" w:sz="4" w:space="0" w:color="auto"/>
              <w:bottom w:val="single" w:sz="4" w:space="0" w:color="auto"/>
              <w:right w:val="single" w:sz="4" w:space="0" w:color="auto"/>
            </w:tcBorders>
          </w:tcPr>
          <w:p w14:paraId="2640DF09" w14:textId="77777777" w:rsidR="00E57DAA" w:rsidRDefault="00AC4185">
            <w:pPr>
              <w:autoSpaceDE w:val="0"/>
              <w:autoSpaceDN w:val="0"/>
              <w:adjustRightInd w:val="0"/>
              <w:jc w:val="right"/>
              <w:rPr>
                <w:szCs w:val="21"/>
              </w:rPr>
            </w:pPr>
            <w:r>
              <w:t>20,200.00</w:t>
            </w:r>
          </w:p>
        </w:tc>
        <w:tc>
          <w:tcPr>
            <w:tcW w:w="632" w:type="pct"/>
            <w:tcBorders>
              <w:top w:val="single" w:sz="4" w:space="0" w:color="auto"/>
              <w:left w:val="single" w:sz="4" w:space="0" w:color="auto"/>
              <w:bottom w:val="single" w:sz="4" w:space="0" w:color="auto"/>
              <w:right w:val="single" w:sz="4" w:space="0" w:color="auto"/>
            </w:tcBorders>
          </w:tcPr>
          <w:p w14:paraId="21B92A3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794966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A5AF03D" w14:textId="77777777" w:rsidR="00E57DAA" w:rsidRDefault="00AC4185">
            <w:pPr>
              <w:autoSpaceDE w:val="0"/>
              <w:autoSpaceDN w:val="0"/>
              <w:adjustRightInd w:val="0"/>
              <w:jc w:val="right"/>
              <w:rPr>
                <w:szCs w:val="21"/>
              </w:rPr>
            </w:pPr>
            <w:r>
              <w:t xml:space="preserve">　</w:t>
            </w:r>
          </w:p>
        </w:tc>
      </w:tr>
      <w:tr w:rsidR="00E57DAA" w14:paraId="3B4ADBB4" w14:textId="77777777">
        <w:tc>
          <w:tcPr>
            <w:tcW w:w="677" w:type="pct"/>
            <w:tcBorders>
              <w:top w:val="single" w:sz="4" w:space="0" w:color="auto"/>
              <w:left w:val="single" w:sz="4" w:space="0" w:color="auto"/>
              <w:bottom w:val="single" w:sz="4" w:space="0" w:color="auto"/>
              <w:right w:val="single" w:sz="4" w:space="0" w:color="auto"/>
            </w:tcBorders>
            <w:vAlign w:val="center"/>
          </w:tcPr>
          <w:p w14:paraId="00E8FBF7"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516EEAD" w14:textId="77777777" w:rsidR="00E57DAA" w:rsidRDefault="00AC4185">
            <w:pPr>
              <w:autoSpaceDE w:val="0"/>
              <w:autoSpaceDN w:val="0"/>
              <w:adjustRightInd w:val="0"/>
              <w:rPr>
                <w:szCs w:val="21"/>
              </w:rPr>
            </w:pPr>
            <w:r>
              <w:t>新疆天山水泥有限责任公司</w:t>
            </w:r>
          </w:p>
        </w:tc>
        <w:tc>
          <w:tcPr>
            <w:tcW w:w="633" w:type="pct"/>
            <w:tcBorders>
              <w:top w:val="single" w:sz="4" w:space="0" w:color="auto"/>
              <w:left w:val="single" w:sz="4" w:space="0" w:color="auto"/>
              <w:bottom w:val="single" w:sz="4" w:space="0" w:color="auto"/>
              <w:right w:val="single" w:sz="4" w:space="0" w:color="auto"/>
            </w:tcBorders>
          </w:tcPr>
          <w:p w14:paraId="5BCF2250" w14:textId="77777777" w:rsidR="00E57DAA" w:rsidRDefault="00AC4185">
            <w:pPr>
              <w:autoSpaceDE w:val="0"/>
              <w:autoSpaceDN w:val="0"/>
              <w:adjustRightInd w:val="0"/>
              <w:jc w:val="right"/>
              <w:rPr>
                <w:szCs w:val="21"/>
              </w:rPr>
            </w:pPr>
            <w:r>
              <w:t>1,800.00</w:t>
            </w:r>
          </w:p>
        </w:tc>
        <w:tc>
          <w:tcPr>
            <w:tcW w:w="632" w:type="pct"/>
            <w:tcBorders>
              <w:top w:val="single" w:sz="4" w:space="0" w:color="auto"/>
              <w:left w:val="single" w:sz="4" w:space="0" w:color="auto"/>
              <w:bottom w:val="single" w:sz="4" w:space="0" w:color="auto"/>
              <w:right w:val="single" w:sz="4" w:space="0" w:color="auto"/>
            </w:tcBorders>
          </w:tcPr>
          <w:p w14:paraId="346436A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39097B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D19A138" w14:textId="77777777" w:rsidR="00E57DAA" w:rsidRDefault="00AC4185">
            <w:pPr>
              <w:autoSpaceDE w:val="0"/>
              <w:autoSpaceDN w:val="0"/>
              <w:adjustRightInd w:val="0"/>
              <w:jc w:val="right"/>
              <w:rPr>
                <w:szCs w:val="21"/>
              </w:rPr>
            </w:pPr>
            <w:r>
              <w:t xml:space="preserve">　</w:t>
            </w:r>
          </w:p>
        </w:tc>
      </w:tr>
      <w:tr w:rsidR="00E57DAA" w14:paraId="142E9BC8" w14:textId="77777777">
        <w:tc>
          <w:tcPr>
            <w:tcW w:w="677" w:type="pct"/>
            <w:tcBorders>
              <w:top w:val="single" w:sz="4" w:space="0" w:color="auto"/>
              <w:left w:val="single" w:sz="4" w:space="0" w:color="auto"/>
              <w:bottom w:val="single" w:sz="4" w:space="0" w:color="auto"/>
              <w:right w:val="single" w:sz="4" w:space="0" w:color="auto"/>
            </w:tcBorders>
            <w:vAlign w:val="center"/>
          </w:tcPr>
          <w:p w14:paraId="41DB539E"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623BC54" w14:textId="77777777" w:rsidR="00E57DAA" w:rsidRDefault="00AC4185">
            <w:pPr>
              <w:autoSpaceDE w:val="0"/>
              <w:autoSpaceDN w:val="0"/>
              <w:adjustRightInd w:val="0"/>
              <w:rPr>
                <w:szCs w:val="21"/>
              </w:rPr>
            </w:pPr>
            <w:r>
              <w:t>四川利森建材集团有限公司</w:t>
            </w:r>
          </w:p>
        </w:tc>
        <w:tc>
          <w:tcPr>
            <w:tcW w:w="633" w:type="pct"/>
            <w:tcBorders>
              <w:top w:val="single" w:sz="4" w:space="0" w:color="auto"/>
              <w:left w:val="single" w:sz="4" w:space="0" w:color="auto"/>
              <w:bottom w:val="single" w:sz="4" w:space="0" w:color="auto"/>
              <w:right w:val="single" w:sz="4" w:space="0" w:color="auto"/>
            </w:tcBorders>
          </w:tcPr>
          <w:p w14:paraId="73FC938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BB4273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95130FD" w14:textId="77777777" w:rsidR="00E57DAA" w:rsidRDefault="00AC4185">
            <w:pPr>
              <w:autoSpaceDE w:val="0"/>
              <w:autoSpaceDN w:val="0"/>
              <w:adjustRightInd w:val="0"/>
              <w:jc w:val="right"/>
              <w:rPr>
                <w:szCs w:val="21"/>
              </w:rPr>
            </w:pPr>
            <w:r>
              <w:t>2,982,600.00</w:t>
            </w:r>
          </w:p>
        </w:tc>
        <w:tc>
          <w:tcPr>
            <w:tcW w:w="914" w:type="pct"/>
            <w:tcBorders>
              <w:top w:val="single" w:sz="4" w:space="0" w:color="auto"/>
              <w:left w:val="single" w:sz="4" w:space="0" w:color="auto"/>
              <w:bottom w:val="single" w:sz="4" w:space="0" w:color="auto"/>
              <w:right w:val="single" w:sz="4" w:space="0" w:color="auto"/>
            </w:tcBorders>
          </w:tcPr>
          <w:p w14:paraId="0AD122BE" w14:textId="77777777" w:rsidR="00E57DAA" w:rsidRDefault="00AC4185">
            <w:pPr>
              <w:autoSpaceDE w:val="0"/>
              <w:autoSpaceDN w:val="0"/>
              <w:adjustRightInd w:val="0"/>
              <w:jc w:val="right"/>
              <w:rPr>
                <w:szCs w:val="21"/>
              </w:rPr>
            </w:pPr>
            <w:r>
              <w:t xml:space="preserve">　</w:t>
            </w:r>
          </w:p>
        </w:tc>
      </w:tr>
      <w:tr w:rsidR="00E57DAA" w14:paraId="62A68C24" w14:textId="77777777">
        <w:tc>
          <w:tcPr>
            <w:tcW w:w="677" w:type="pct"/>
            <w:tcBorders>
              <w:top w:val="single" w:sz="4" w:space="0" w:color="auto"/>
              <w:left w:val="single" w:sz="4" w:space="0" w:color="auto"/>
              <w:bottom w:val="single" w:sz="4" w:space="0" w:color="auto"/>
              <w:right w:val="single" w:sz="4" w:space="0" w:color="auto"/>
            </w:tcBorders>
            <w:vAlign w:val="center"/>
          </w:tcPr>
          <w:p w14:paraId="5B1B097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7462053" w14:textId="77777777" w:rsidR="00E57DAA" w:rsidRDefault="00AC4185">
            <w:pPr>
              <w:autoSpaceDE w:val="0"/>
              <w:autoSpaceDN w:val="0"/>
              <w:adjustRightInd w:val="0"/>
              <w:rPr>
                <w:szCs w:val="21"/>
              </w:rPr>
            </w:pPr>
            <w:r>
              <w:t>合肥南方水泥有限公司</w:t>
            </w:r>
          </w:p>
        </w:tc>
        <w:tc>
          <w:tcPr>
            <w:tcW w:w="633" w:type="pct"/>
            <w:tcBorders>
              <w:top w:val="single" w:sz="4" w:space="0" w:color="auto"/>
              <w:left w:val="single" w:sz="4" w:space="0" w:color="auto"/>
              <w:bottom w:val="single" w:sz="4" w:space="0" w:color="auto"/>
              <w:right w:val="single" w:sz="4" w:space="0" w:color="auto"/>
            </w:tcBorders>
          </w:tcPr>
          <w:p w14:paraId="1852D5B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CDC89F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3A6B2EE" w14:textId="77777777" w:rsidR="00E57DAA" w:rsidRDefault="00AC4185">
            <w:pPr>
              <w:autoSpaceDE w:val="0"/>
              <w:autoSpaceDN w:val="0"/>
              <w:adjustRightInd w:val="0"/>
              <w:jc w:val="right"/>
              <w:rPr>
                <w:szCs w:val="21"/>
              </w:rPr>
            </w:pPr>
            <w:r>
              <w:t>2,400,000.00</w:t>
            </w:r>
          </w:p>
        </w:tc>
        <w:tc>
          <w:tcPr>
            <w:tcW w:w="914" w:type="pct"/>
            <w:tcBorders>
              <w:top w:val="single" w:sz="4" w:space="0" w:color="auto"/>
              <w:left w:val="single" w:sz="4" w:space="0" w:color="auto"/>
              <w:bottom w:val="single" w:sz="4" w:space="0" w:color="auto"/>
              <w:right w:val="single" w:sz="4" w:space="0" w:color="auto"/>
            </w:tcBorders>
          </w:tcPr>
          <w:p w14:paraId="5D2B569C" w14:textId="77777777" w:rsidR="00E57DAA" w:rsidRDefault="00AC4185">
            <w:pPr>
              <w:autoSpaceDE w:val="0"/>
              <w:autoSpaceDN w:val="0"/>
              <w:adjustRightInd w:val="0"/>
              <w:jc w:val="right"/>
              <w:rPr>
                <w:szCs w:val="21"/>
              </w:rPr>
            </w:pPr>
            <w:r>
              <w:t xml:space="preserve">　</w:t>
            </w:r>
          </w:p>
        </w:tc>
      </w:tr>
      <w:tr w:rsidR="00E57DAA" w14:paraId="5F537701" w14:textId="77777777">
        <w:tc>
          <w:tcPr>
            <w:tcW w:w="677" w:type="pct"/>
            <w:tcBorders>
              <w:top w:val="single" w:sz="4" w:space="0" w:color="auto"/>
              <w:left w:val="single" w:sz="4" w:space="0" w:color="auto"/>
              <w:bottom w:val="single" w:sz="4" w:space="0" w:color="auto"/>
              <w:right w:val="single" w:sz="4" w:space="0" w:color="auto"/>
            </w:tcBorders>
            <w:vAlign w:val="center"/>
          </w:tcPr>
          <w:p w14:paraId="2A5B296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64F4216" w14:textId="77777777" w:rsidR="00E57DAA" w:rsidRDefault="00AC4185">
            <w:pPr>
              <w:autoSpaceDE w:val="0"/>
              <w:autoSpaceDN w:val="0"/>
              <w:adjustRightInd w:val="0"/>
              <w:rPr>
                <w:szCs w:val="21"/>
              </w:rPr>
            </w:pPr>
            <w:r>
              <w:t>六安南方水泥有限公司</w:t>
            </w:r>
          </w:p>
        </w:tc>
        <w:tc>
          <w:tcPr>
            <w:tcW w:w="633" w:type="pct"/>
            <w:tcBorders>
              <w:top w:val="single" w:sz="4" w:space="0" w:color="auto"/>
              <w:left w:val="single" w:sz="4" w:space="0" w:color="auto"/>
              <w:bottom w:val="single" w:sz="4" w:space="0" w:color="auto"/>
              <w:right w:val="single" w:sz="4" w:space="0" w:color="auto"/>
            </w:tcBorders>
          </w:tcPr>
          <w:p w14:paraId="29A7034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735D15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6AC33C5" w14:textId="77777777" w:rsidR="00E57DAA" w:rsidRDefault="00AC4185">
            <w:pPr>
              <w:autoSpaceDE w:val="0"/>
              <w:autoSpaceDN w:val="0"/>
              <w:adjustRightInd w:val="0"/>
              <w:jc w:val="right"/>
              <w:rPr>
                <w:szCs w:val="21"/>
              </w:rPr>
            </w:pPr>
            <w:r>
              <w:t>2,095,343.10</w:t>
            </w:r>
          </w:p>
        </w:tc>
        <w:tc>
          <w:tcPr>
            <w:tcW w:w="914" w:type="pct"/>
            <w:tcBorders>
              <w:top w:val="single" w:sz="4" w:space="0" w:color="auto"/>
              <w:left w:val="single" w:sz="4" w:space="0" w:color="auto"/>
              <w:bottom w:val="single" w:sz="4" w:space="0" w:color="auto"/>
              <w:right w:val="single" w:sz="4" w:space="0" w:color="auto"/>
            </w:tcBorders>
          </w:tcPr>
          <w:p w14:paraId="074AE583" w14:textId="77777777" w:rsidR="00E57DAA" w:rsidRDefault="00AC4185">
            <w:pPr>
              <w:autoSpaceDE w:val="0"/>
              <w:autoSpaceDN w:val="0"/>
              <w:adjustRightInd w:val="0"/>
              <w:jc w:val="right"/>
              <w:rPr>
                <w:szCs w:val="21"/>
              </w:rPr>
            </w:pPr>
            <w:r>
              <w:t xml:space="preserve">　</w:t>
            </w:r>
          </w:p>
        </w:tc>
      </w:tr>
      <w:tr w:rsidR="00E57DAA" w14:paraId="445AA642" w14:textId="77777777">
        <w:tc>
          <w:tcPr>
            <w:tcW w:w="677" w:type="pct"/>
            <w:tcBorders>
              <w:top w:val="single" w:sz="4" w:space="0" w:color="auto"/>
              <w:left w:val="single" w:sz="4" w:space="0" w:color="auto"/>
              <w:bottom w:val="single" w:sz="4" w:space="0" w:color="auto"/>
              <w:right w:val="single" w:sz="4" w:space="0" w:color="auto"/>
            </w:tcBorders>
            <w:vAlign w:val="center"/>
          </w:tcPr>
          <w:p w14:paraId="200945D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EC93933" w14:textId="77777777" w:rsidR="00E57DAA" w:rsidRDefault="00AC4185">
            <w:pPr>
              <w:autoSpaceDE w:val="0"/>
              <w:autoSpaceDN w:val="0"/>
              <w:adjustRightInd w:val="0"/>
              <w:rPr>
                <w:szCs w:val="21"/>
              </w:rPr>
            </w:pPr>
            <w:r>
              <w:t>沙湾天山水泥有限责任公司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8A4292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CCC806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C67068D" w14:textId="77777777" w:rsidR="00E57DAA" w:rsidRDefault="00AC4185">
            <w:pPr>
              <w:autoSpaceDE w:val="0"/>
              <w:autoSpaceDN w:val="0"/>
              <w:adjustRightInd w:val="0"/>
              <w:jc w:val="right"/>
              <w:rPr>
                <w:szCs w:val="21"/>
              </w:rPr>
            </w:pPr>
            <w:r>
              <w:t>2,000,000.00</w:t>
            </w:r>
          </w:p>
        </w:tc>
        <w:tc>
          <w:tcPr>
            <w:tcW w:w="914" w:type="pct"/>
            <w:tcBorders>
              <w:top w:val="single" w:sz="4" w:space="0" w:color="auto"/>
              <w:left w:val="single" w:sz="4" w:space="0" w:color="auto"/>
              <w:bottom w:val="single" w:sz="4" w:space="0" w:color="auto"/>
              <w:right w:val="single" w:sz="4" w:space="0" w:color="auto"/>
            </w:tcBorders>
          </w:tcPr>
          <w:p w14:paraId="677310DC" w14:textId="77777777" w:rsidR="00E57DAA" w:rsidRDefault="00AC4185">
            <w:pPr>
              <w:autoSpaceDE w:val="0"/>
              <w:autoSpaceDN w:val="0"/>
              <w:adjustRightInd w:val="0"/>
              <w:jc w:val="right"/>
              <w:rPr>
                <w:szCs w:val="21"/>
              </w:rPr>
            </w:pPr>
            <w:r>
              <w:t xml:space="preserve">　</w:t>
            </w:r>
          </w:p>
        </w:tc>
      </w:tr>
      <w:tr w:rsidR="00E57DAA" w14:paraId="217726CA" w14:textId="77777777">
        <w:tc>
          <w:tcPr>
            <w:tcW w:w="677" w:type="pct"/>
            <w:tcBorders>
              <w:top w:val="single" w:sz="4" w:space="0" w:color="auto"/>
              <w:left w:val="single" w:sz="4" w:space="0" w:color="auto"/>
              <w:bottom w:val="single" w:sz="4" w:space="0" w:color="auto"/>
              <w:right w:val="single" w:sz="4" w:space="0" w:color="auto"/>
            </w:tcBorders>
            <w:vAlign w:val="center"/>
          </w:tcPr>
          <w:p w14:paraId="64A8FFC0"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268576B" w14:textId="77777777" w:rsidR="00E57DAA" w:rsidRDefault="00AC4185">
            <w:pPr>
              <w:autoSpaceDE w:val="0"/>
              <w:autoSpaceDN w:val="0"/>
              <w:adjustRightInd w:val="0"/>
              <w:rPr>
                <w:szCs w:val="21"/>
              </w:rPr>
            </w:pPr>
            <w:r>
              <w:t>上海南方水泥有限公司</w:t>
            </w:r>
          </w:p>
        </w:tc>
        <w:tc>
          <w:tcPr>
            <w:tcW w:w="633" w:type="pct"/>
            <w:tcBorders>
              <w:top w:val="single" w:sz="4" w:space="0" w:color="auto"/>
              <w:left w:val="single" w:sz="4" w:space="0" w:color="auto"/>
              <w:bottom w:val="single" w:sz="4" w:space="0" w:color="auto"/>
              <w:right w:val="single" w:sz="4" w:space="0" w:color="auto"/>
            </w:tcBorders>
          </w:tcPr>
          <w:p w14:paraId="37EE889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4FA4E0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19098EC" w14:textId="77777777" w:rsidR="00E57DAA" w:rsidRDefault="00AC4185">
            <w:pPr>
              <w:autoSpaceDE w:val="0"/>
              <w:autoSpaceDN w:val="0"/>
              <w:adjustRightInd w:val="0"/>
              <w:jc w:val="right"/>
              <w:rPr>
                <w:szCs w:val="21"/>
              </w:rPr>
            </w:pPr>
            <w:r>
              <w:t>1,787,467.67</w:t>
            </w:r>
          </w:p>
        </w:tc>
        <w:tc>
          <w:tcPr>
            <w:tcW w:w="914" w:type="pct"/>
            <w:tcBorders>
              <w:top w:val="single" w:sz="4" w:space="0" w:color="auto"/>
              <w:left w:val="single" w:sz="4" w:space="0" w:color="auto"/>
              <w:bottom w:val="single" w:sz="4" w:space="0" w:color="auto"/>
              <w:right w:val="single" w:sz="4" w:space="0" w:color="auto"/>
            </w:tcBorders>
          </w:tcPr>
          <w:p w14:paraId="43474D8E" w14:textId="77777777" w:rsidR="00E57DAA" w:rsidRDefault="00AC4185">
            <w:pPr>
              <w:autoSpaceDE w:val="0"/>
              <w:autoSpaceDN w:val="0"/>
              <w:adjustRightInd w:val="0"/>
              <w:jc w:val="right"/>
              <w:rPr>
                <w:szCs w:val="21"/>
              </w:rPr>
            </w:pPr>
            <w:r>
              <w:t xml:space="preserve">　</w:t>
            </w:r>
          </w:p>
        </w:tc>
      </w:tr>
      <w:tr w:rsidR="00E57DAA" w14:paraId="77056EAC" w14:textId="77777777">
        <w:tc>
          <w:tcPr>
            <w:tcW w:w="677" w:type="pct"/>
            <w:tcBorders>
              <w:top w:val="single" w:sz="4" w:space="0" w:color="auto"/>
              <w:left w:val="single" w:sz="4" w:space="0" w:color="auto"/>
              <w:bottom w:val="single" w:sz="4" w:space="0" w:color="auto"/>
              <w:right w:val="single" w:sz="4" w:space="0" w:color="auto"/>
            </w:tcBorders>
            <w:vAlign w:val="center"/>
          </w:tcPr>
          <w:p w14:paraId="7317E3EE"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690056A" w14:textId="77777777" w:rsidR="00E57DAA" w:rsidRDefault="00AC4185">
            <w:pPr>
              <w:autoSpaceDE w:val="0"/>
              <w:autoSpaceDN w:val="0"/>
              <w:adjustRightInd w:val="0"/>
              <w:rPr>
                <w:szCs w:val="21"/>
              </w:rPr>
            </w:pPr>
            <w:r>
              <w:t>通辽中联水泥有限公司</w:t>
            </w:r>
          </w:p>
        </w:tc>
        <w:tc>
          <w:tcPr>
            <w:tcW w:w="633" w:type="pct"/>
            <w:tcBorders>
              <w:top w:val="single" w:sz="4" w:space="0" w:color="auto"/>
              <w:left w:val="single" w:sz="4" w:space="0" w:color="auto"/>
              <w:bottom w:val="single" w:sz="4" w:space="0" w:color="auto"/>
              <w:right w:val="single" w:sz="4" w:space="0" w:color="auto"/>
            </w:tcBorders>
          </w:tcPr>
          <w:p w14:paraId="0E2C995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0034C6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9964B20" w14:textId="77777777" w:rsidR="00E57DAA" w:rsidRDefault="00AC4185">
            <w:pPr>
              <w:autoSpaceDE w:val="0"/>
              <w:autoSpaceDN w:val="0"/>
              <w:adjustRightInd w:val="0"/>
              <w:jc w:val="right"/>
              <w:rPr>
                <w:szCs w:val="21"/>
              </w:rPr>
            </w:pPr>
            <w:r>
              <w:t>850,000.00</w:t>
            </w:r>
          </w:p>
        </w:tc>
        <w:tc>
          <w:tcPr>
            <w:tcW w:w="914" w:type="pct"/>
            <w:tcBorders>
              <w:top w:val="single" w:sz="4" w:space="0" w:color="auto"/>
              <w:left w:val="single" w:sz="4" w:space="0" w:color="auto"/>
              <w:bottom w:val="single" w:sz="4" w:space="0" w:color="auto"/>
              <w:right w:val="single" w:sz="4" w:space="0" w:color="auto"/>
            </w:tcBorders>
          </w:tcPr>
          <w:p w14:paraId="15CD10AD" w14:textId="77777777" w:rsidR="00E57DAA" w:rsidRDefault="00AC4185">
            <w:pPr>
              <w:autoSpaceDE w:val="0"/>
              <w:autoSpaceDN w:val="0"/>
              <w:adjustRightInd w:val="0"/>
              <w:jc w:val="right"/>
              <w:rPr>
                <w:szCs w:val="21"/>
              </w:rPr>
            </w:pPr>
            <w:r>
              <w:t xml:space="preserve">　</w:t>
            </w:r>
          </w:p>
        </w:tc>
      </w:tr>
      <w:tr w:rsidR="00E57DAA" w14:paraId="4C3324E8" w14:textId="77777777">
        <w:tc>
          <w:tcPr>
            <w:tcW w:w="677" w:type="pct"/>
            <w:tcBorders>
              <w:top w:val="single" w:sz="4" w:space="0" w:color="auto"/>
              <w:left w:val="single" w:sz="4" w:space="0" w:color="auto"/>
              <w:bottom w:val="single" w:sz="4" w:space="0" w:color="auto"/>
              <w:right w:val="single" w:sz="4" w:space="0" w:color="auto"/>
            </w:tcBorders>
            <w:vAlign w:val="center"/>
          </w:tcPr>
          <w:p w14:paraId="2673B4AC"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FE6EB73" w14:textId="77777777" w:rsidR="00E57DAA" w:rsidRDefault="00AC4185">
            <w:pPr>
              <w:autoSpaceDE w:val="0"/>
              <w:autoSpaceDN w:val="0"/>
              <w:adjustRightInd w:val="0"/>
              <w:rPr>
                <w:szCs w:val="21"/>
              </w:rPr>
            </w:pPr>
            <w:r>
              <w:t>新疆天山水泥股份有限公司</w:t>
            </w:r>
          </w:p>
        </w:tc>
        <w:tc>
          <w:tcPr>
            <w:tcW w:w="633" w:type="pct"/>
            <w:tcBorders>
              <w:top w:val="single" w:sz="4" w:space="0" w:color="auto"/>
              <w:left w:val="single" w:sz="4" w:space="0" w:color="auto"/>
              <w:bottom w:val="single" w:sz="4" w:space="0" w:color="auto"/>
              <w:right w:val="single" w:sz="4" w:space="0" w:color="auto"/>
            </w:tcBorders>
          </w:tcPr>
          <w:p w14:paraId="18E360C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603E55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E8225E7" w14:textId="77777777" w:rsidR="00E57DAA" w:rsidRDefault="00AC4185">
            <w:pPr>
              <w:autoSpaceDE w:val="0"/>
              <w:autoSpaceDN w:val="0"/>
              <w:adjustRightInd w:val="0"/>
              <w:jc w:val="right"/>
              <w:rPr>
                <w:szCs w:val="21"/>
              </w:rPr>
            </w:pPr>
            <w:r>
              <w:t>650,000.00</w:t>
            </w:r>
          </w:p>
        </w:tc>
        <w:tc>
          <w:tcPr>
            <w:tcW w:w="914" w:type="pct"/>
            <w:tcBorders>
              <w:top w:val="single" w:sz="4" w:space="0" w:color="auto"/>
              <w:left w:val="single" w:sz="4" w:space="0" w:color="auto"/>
              <w:bottom w:val="single" w:sz="4" w:space="0" w:color="auto"/>
              <w:right w:val="single" w:sz="4" w:space="0" w:color="auto"/>
            </w:tcBorders>
          </w:tcPr>
          <w:p w14:paraId="21F4ECF5" w14:textId="77777777" w:rsidR="00E57DAA" w:rsidRDefault="00AC4185">
            <w:pPr>
              <w:autoSpaceDE w:val="0"/>
              <w:autoSpaceDN w:val="0"/>
              <w:adjustRightInd w:val="0"/>
              <w:jc w:val="right"/>
              <w:rPr>
                <w:szCs w:val="21"/>
              </w:rPr>
            </w:pPr>
            <w:r>
              <w:t xml:space="preserve">　</w:t>
            </w:r>
          </w:p>
        </w:tc>
      </w:tr>
      <w:tr w:rsidR="00E57DAA" w14:paraId="1CCEB527" w14:textId="77777777">
        <w:tc>
          <w:tcPr>
            <w:tcW w:w="677" w:type="pct"/>
            <w:tcBorders>
              <w:top w:val="single" w:sz="4" w:space="0" w:color="auto"/>
              <w:left w:val="single" w:sz="4" w:space="0" w:color="auto"/>
              <w:bottom w:val="single" w:sz="4" w:space="0" w:color="auto"/>
              <w:right w:val="single" w:sz="4" w:space="0" w:color="auto"/>
            </w:tcBorders>
            <w:vAlign w:val="center"/>
          </w:tcPr>
          <w:p w14:paraId="611BB112"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E64E2BE" w14:textId="77777777" w:rsidR="00E57DAA" w:rsidRDefault="00AC4185">
            <w:pPr>
              <w:autoSpaceDE w:val="0"/>
              <w:autoSpaceDN w:val="0"/>
              <w:adjustRightInd w:val="0"/>
              <w:rPr>
                <w:szCs w:val="21"/>
              </w:rPr>
            </w:pPr>
            <w:r>
              <w:t>四川泰昌建材集团有限公司</w:t>
            </w:r>
          </w:p>
        </w:tc>
        <w:tc>
          <w:tcPr>
            <w:tcW w:w="633" w:type="pct"/>
            <w:tcBorders>
              <w:top w:val="single" w:sz="4" w:space="0" w:color="auto"/>
              <w:left w:val="single" w:sz="4" w:space="0" w:color="auto"/>
              <w:bottom w:val="single" w:sz="4" w:space="0" w:color="auto"/>
              <w:right w:val="single" w:sz="4" w:space="0" w:color="auto"/>
            </w:tcBorders>
          </w:tcPr>
          <w:p w14:paraId="7F5B7FB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4408B7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324BC9"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039240DB" w14:textId="77777777" w:rsidR="00E57DAA" w:rsidRDefault="00AC4185">
            <w:pPr>
              <w:autoSpaceDE w:val="0"/>
              <w:autoSpaceDN w:val="0"/>
              <w:adjustRightInd w:val="0"/>
              <w:jc w:val="right"/>
              <w:rPr>
                <w:szCs w:val="21"/>
              </w:rPr>
            </w:pPr>
            <w:r>
              <w:t xml:space="preserve">　</w:t>
            </w:r>
          </w:p>
        </w:tc>
      </w:tr>
      <w:tr w:rsidR="00E57DAA" w14:paraId="5238EA72" w14:textId="77777777">
        <w:tc>
          <w:tcPr>
            <w:tcW w:w="677" w:type="pct"/>
            <w:tcBorders>
              <w:top w:val="single" w:sz="4" w:space="0" w:color="auto"/>
              <w:left w:val="single" w:sz="4" w:space="0" w:color="auto"/>
              <w:bottom w:val="single" w:sz="4" w:space="0" w:color="auto"/>
              <w:right w:val="single" w:sz="4" w:space="0" w:color="auto"/>
            </w:tcBorders>
            <w:vAlign w:val="center"/>
          </w:tcPr>
          <w:p w14:paraId="4108575C"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80C351E" w14:textId="77777777" w:rsidR="00E57DAA" w:rsidRDefault="00AC4185">
            <w:pPr>
              <w:autoSpaceDE w:val="0"/>
              <w:autoSpaceDN w:val="0"/>
              <w:adjustRightInd w:val="0"/>
              <w:rPr>
                <w:szCs w:val="21"/>
              </w:rPr>
            </w:pPr>
            <w:r>
              <w:t>江西南城南方水泥有限公司</w:t>
            </w:r>
          </w:p>
        </w:tc>
        <w:tc>
          <w:tcPr>
            <w:tcW w:w="633" w:type="pct"/>
            <w:tcBorders>
              <w:top w:val="single" w:sz="4" w:space="0" w:color="auto"/>
              <w:left w:val="single" w:sz="4" w:space="0" w:color="auto"/>
              <w:bottom w:val="single" w:sz="4" w:space="0" w:color="auto"/>
              <w:right w:val="single" w:sz="4" w:space="0" w:color="auto"/>
            </w:tcBorders>
          </w:tcPr>
          <w:p w14:paraId="075EB1C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6D76FD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1E9922C"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18997562" w14:textId="77777777" w:rsidR="00E57DAA" w:rsidRDefault="00AC4185">
            <w:pPr>
              <w:autoSpaceDE w:val="0"/>
              <w:autoSpaceDN w:val="0"/>
              <w:adjustRightInd w:val="0"/>
              <w:jc w:val="right"/>
              <w:rPr>
                <w:szCs w:val="21"/>
              </w:rPr>
            </w:pPr>
            <w:r>
              <w:t xml:space="preserve">　</w:t>
            </w:r>
          </w:p>
        </w:tc>
      </w:tr>
      <w:tr w:rsidR="00E57DAA" w14:paraId="5E73283F" w14:textId="77777777">
        <w:tc>
          <w:tcPr>
            <w:tcW w:w="677" w:type="pct"/>
            <w:tcBorders>
              <w:top w:val="single" w:sz="4" w:space="0" w:color="auto"/>
              <w:left w:val="single" w:sz="4" w:space="0" w:color="auto"/>
              <w:bottom w:val="single" w:sz="4" w:space="0" w:color="auto"/>
              <w:right w:val="single" w:sz="4" w:space="0" w:color="auto"/>
            </w:tcBorders>
            <w:vAlign w:val="center"/>
          </w:tcPr>
          <w:p w14:paraId="6C86F9F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12F8D49" w14:textId="77777777" w:rsidR="00E57DAA" w:rsidRDefault="00AC4185">
            <w:pPr>
              <w:autoSpaceDE w:val="0"/>
              <w:autoSpaceDN w:val="0"/>
              <w:adjustRightInd w:val="0"/>
              <w:rPr>
                <w:szCs w:val="21"/>
              </w:rPr>
            </w:pPr>
            <w:r>
              <w:t>重庆秀山西南水泥有限公司</w:t>
            </w:r>
          </w:p>
        </w:tc>
        <w:tc>
          <w:tcPr>
            <w:tcW w:w="633" w:type="pct"/>
            <w:tcBorders>
              <w:top w:val="single" w:sz="4" w:space="0" w:color="auto"/>
              <w:left w:val="single" w:sz="4" w:space="0" w:color="auto"/>
              <w:bottom w:val="single" w:sz="4" w:space="0" w:color="auto"/>
              <w:right w:val="single" w:sz="4" w:space="0" w:color="auto"/>
            </w:tcBorders>
          </w:tcPr>
          <w:p w14:paraId="684BF16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477D12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39ED659"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3F91FBBC" w14:textId="77777777" w:rsidR="00E57DAA" w:rsidRDefault="00AC4185">
            <w:pPr>
              <w:autoSpaceDE w:val="0"/>
              <w:autoSpaceDN w:val="0"/>
              <w:adjustRightInd w:val="0"/>
              <w:jc w:val="right"/>
              <w:rPr>
                <w:szCs w:val="21"/>
              </w:rPr>
            </w:pPr>
            <w:r>
              <w:t xml:space="preserve">　</w:t>
            </w:r>
          </w:p>
        </w:tc>
      </w:tr>
      <w:tr w:rsidR="00E57DAA" w14:paraId="594555C0" w14:textId="77777777">
        <w:tc>
          <w:tcPr>
            <w:tcW w:w="677" w:type="pct"/>
            <w:tcBorders>
              <w:top w:val="single" w:sz="4" w:space="0" w:color="auto"/>
              <w:left w:val="single" w:sz="4" w:space="0" w:color="auto"/>
              <w:bottom w:val="single" w:sz="4" w:space="0" w:color="auto"/>
              <w:right w:val="single" w:sz="4" w:space="0" w:color="auto"/>
            </w:tcBorders>
            <w:vAlign w:val="center"/>
          </w:tcPr>
          <w:p w14:paraId="02DBE7A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951F729" w14:textId="77777777" w:rsidR="00E57DAA" w:rsidRDefault="00AC4185">
            <w:pPr>
              <w:autoSpaceDE w:val="0"/>
              <w:autoSpaceDN w:val="0"/>
              <w:adjustRightInd w:val="0"/>
              <w:rPr>
                <w:szCs w:val="21"/>
              </w:rPr>
            </w:pPr>
            <w:r>
              <w:t>乌海市西水水泥有限责任公司</w:t>
            </w:r>
          </w:p>
        </w:tc>
        <w:tc>
          <w:tcPr>
            <w:tcW w:w="633" w:type="pct"/>
            <w:tcBorders>
              <w:top w:val="single" w:sz="4" w:space="0" w:color="auto"/>
              <w:left w:val="single" w:sz="4" w:space="0" w:color="auto"/>
              <w:bottom w:val="single" w:sz="4" w:space="0" w:color="auto"/>
              <w:right w:val="single" w:sz="4" w:space="0" w:color="auto"/>
            </w:tcBorders>
          </w:tcPr>
          <w:p w14:paraId="6883BA6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09328C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8915ECC" w14:textId="77777777" w:rsidR="00E57DAA" w:rsidRDefault="00AC4185">
            <w:pPr>
              <w:autoSpaceDE w:val="0"/>
              <w:autoSpaceDN w:val="0"/>
              <w:adjustRightInd w:val="0"/>
              <w:jc w:val="right"/>
              <w:rPr>
                <w:szCs w:val="21"/>
              </w:rPr>
            </w:pPr>
            <w:r>
              <w:t>252,000.00</w:t>
            </w:r>
          </w:p>
        </w:tc>
        <w:tc>
          <w:tcPr>
            <w:tcW w:w="914" w:type="pct"/>
            <w:tcBorders>
              <w:top w:val="single" w:sz="4" w:space="0" w:color="auto"/>
              <w:left w:val="single" w:sz="4" w:space="0" w:color="auto"/>
              <w:bottom w:val="single" w:sz="4" w:space="0" w:color="auto"/>
              <w:right w:val="single" w:sz="4" w:space="0" w:color="auto"/>
            </w:tcBorders>
          </w:tcPr>
          <w:p w14:paraId="0BEE8A89" w14:textId="77777777" w:rsidR="00E57DAA" w:rsidRDefault="00AC4185">
            <w:pPr>
              <w:autoSpaceDE w:val="0"/>
              <w:autoSpaceDN w:val="0"/>
              <w:adjustRightInd w:val="0"/>
              <w:jc w:val="right"/>
              <w:rPr>
                <w:szCs w:val="21"/>
              </w:rPr>
            </w:pPr>
            <w:r>
              <w:t xml:space="preserve">　</w:t>
            </w:r>
          </w:p>
        </w:tc>
      </w:tr>
      <w:tr w:rsidR="00E57DAA" w14:paraId="78C7CF41" w14:textId="77777777">
        <w:tc>
          <w:tcPr>
            <w:tcW w:w="677" w:type="pct"/>
            <w:tcBorders>
              <w:top w:val="single" w:sz="4" w:space="0" w:color="auto"/>
              <w:left w:val="single" w:sz="4" w:space="0" w:color="auto"/>
              <w:bottom w:val="single" w:sz="4" w:space="0" w:color="auto"/>
              <w:right w:val="single" w:sz="4" w:space="0" w:color="auto"/>
            </w:tcBorders>
            <w:vAlign w:val="center"/>
          </w:tcPr>
          <w:p w14:paraId="53F7987E" w14:textId="77777777" w:rsidR="00E57DAA" w:rsidRDefault="00AC4185">
            <w:pPr>
              <w:autoSpaceDE w:val="0"/>
              <w:autoSpaceDN w:val="0"/>
              <w:adjustRightInd w:val="0"/>
              <w:rPr>
                <w:szCs w:val="21"/>
              </w:rPr>
            </w:pPr>
            <w:r>
              <w:lastRenderedPageBreak/>
              <w:t>应收款项融资</w:t>
            </w:r>
          </w:p>
        </w:tc>
        <w:tc>
          <w:tcPr>
            <w:tcW w:w="1441" w:type="pct"/>
            <w:tcBorders>
              <w:top w:val="single" w:sz="4" w:space="0" w:color="auto"/>
              <w:left w:val="single" w:sz="4" w:space="0" w:color="auto"/>
              <w:bottom w:val="single" w:sz="4" w:space="0" w:color="auto"/>
              <w:right w:val="single" w:sz="4" w:space="0" w:color="auto"/>
            </w:tcBorders>
          </w:tcPr>
          <w:p w14:paraId="5CA1E945" w14:textId="77777777" w:rsidR="00E57DAA" w:rsidRDefault="00AC4185">
            <w:pPr>
              <w:autoSpaceDE w:val="0"/>
              <w:autoSpaceDN w:val="0"/>
              <w:adjustRightInd w:val="0"/>
              <w:rPr>
                <w:szCs w:val="21"/>
              </w:rPr>
            </w:pPr>
            <w:r>
              <w:t>北川中联水泥有限公司</w:t>
            </w:r>
          </w:p>
        </w:tc>
        <w:tc>
          <w:tcPr>
            <w:tcW w:w="633" w:type="pct"/>
            <w:tcBorders>
              <w:top w:val="single" w:sz="4" w:space="0" w:color="auto"/>
              <w:left w:val="single" w:sz="4" w:space="0" w:color="auto"/>
              <w:bottom w:val="single" w:sz="4" w:space="0" w:color="auto"/>
              <w:right w:val="single" w:sz="4" w:space="0" w:color="auto"/>
            </w:tcBorders>
          </w:tcPr>
          <w:p w14:paraId="4A7EF18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305A73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AED69B0" w14:textId="77777777" w:rsidR="00E57DAA" w:rsidRDefault="00AC4185">
            <w:pPr>
              <w:autoSpaceDE w:val="0"/>
              <w:autoSpaceDN w:val="0"/>
              <w:adjustRightInd w:val="0"/>
              <w:jc w:val="right"/>
              <w:rPr>
                <w:szCs w:val="21"/>
              </w:rPr>
            </w:pPr>
            <w:r>
              <w:t>239,300.00</w:t>
            </w:r>
          </w:p>
        </w:tc>
        <w:tc>
          <w:tcPr>
            <w:tcW w:w="914" w:type="pct"/>
            <w:tcBorders>
              <w:top w:val="single" w:sz="4" w:space="0" w:color="auto"/>
              <w:left w:val="single" w:sz="4" w:space="0" w:color="auto"/>
              <w:bottom w:val="single" w:sz="4" w:space="0" w:color="auto"/>
              <w:right w:val="single" w:sz="4" w:space="0" w:color="auto"/>
            </w:tcBorders>
          </w:tcPr>
          <w:p w14:paraId="50FC43F4" w14:textId="77777777" w:rsidR="00E57DAA" w:rsidRDefault="00AC4185">
            <w:pPr>
              <w:autoSpaceDE w:val="0"/>
              <w:autoSpaceDN w:val="0"/>
              <w:adjustRightInd w:val="0"/>
              <w:jc w:val="right"/>
              <w:rPr>
                <w:szCs w:val="21"/>
              </w:rPr>
            </w:pPr>
            <w:r>
              <w:t xml:space="preserve">　</w:t>
            </w:r>
          </w:p>
        </w:tc>
      </w:tr>
      <w:tr w:rsidR="00E57DAA" w14:paraId="740F137C" w14:textId="77777777">
        <w:tc>
          <w:tcPr>
            <w:tcW w:w="677" w:type="pct"/>
            <w:tcBorders>
              <w:top w:val="single" w:sz="4" w:space="0" w:color="auto"/>
              <w:left w:val="single" w:sz="4" w:space="0" w:color="auto"/>
              <w:bottom w:val="single" w:sz="4" w:space="0" w:color="auto"/>
              <w:right w:val="single" w:sz="4" w:space="0" w:color="auto"/>
            </w:tcBorders>
            <w:vAlign w:val="center"/>
          </w:tcPr>
          <w:p w14:paraId="2466E98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B1A804B" w14:textId="77777777" w:rsidR="00E57DAA" w:rsidRDefault="00AC4185">
            <w:pPr>
              <w:autoSpaceDE w:val="0"/>
              <w:autoSpaceDN w:val="0"/>
              <w:adjustRightInd w:val="0"/>
              <w:rPr>
                <w:szCs w:val="21"/>
              </w:rPr>
            </w:pPr>
            <w:r>
              <w:t>布尔津天山水泥有限责任公司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2B88E5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D38A7C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18A05F0"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0712B74F" w14:textId="77777777" w:rsidR="00E57DAA" w:rsidRDefault="00AC4185">
            <w:pPr>
              <w:autoSpaceDE w:val="0"/>
              <w:autoSpaceDN w:val="0"/>
              <w:adjustRightInd w:val="0"/>
              <w:jc w:val="right"/>
              <w:rPr>
                <w:szCs w:val="21"/>
              </w:rPr>
            </w:pPr>
            <w:r>
              <w:t xml:space="preserve">　</w:t>
            </w:r>
          </w:p>
        </w:tc>
      </w:tr>
      <w:tr w:rsidR="00E57DAA" w14:paraId="509D6B81" w14:textId="77777777">
        <w:tc>
          <w:tcPr>
            <w:tcW w:w="677" w:type="pct"/>
            <w:tcBorders>
              <w:top w:val="single" w:sz="4" w:space="0" w:color="auto"/>
              <w:left w:val="single" w:sz="4" w:space="0" w:color="auto"/>
              <w:bottom w:val="single" w:sz="4" w:space="0" w:color="auto"/>
              <w:right w:val="single" w:sz="4" w:space="0" w:color="auto"/>
            </w:tcBorders>
            <w:vAlign w:val="center"/>
          </w:tcPr>
          <w:p w14:paraId="016B685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08DD767" w14:textId="77777777" w:rsidR="00E57DAA" w:rsidRDefault="00AC4185">
            <w:pPr>
              <w:autoSpaceDE w:val="0"/>
              <w:autoSpaceDN w:val="0"/>
              <w:adjustRightInd w:val="0"/>
              <w:rPr>
                <w:szCs w:val="21"/>
              </w:rPr>
            </w:pPr>
            <w:r>
              <w:t>滁州中联水泥有限公司</w:t>
            </w:r>
          </w:p>
        </w:tc>
        <w:tc>
          <w:tcPr>
            <w:tcW w:w="633" w:type="pct"/>
            <w:tcBorders>
              <w:top w:val="single" w:sz="4" w:space="0" w:color="auto"/>
              <w:left w:val="single" w:sz="4" w:space="0" w:color="auto"/>
              <w:bottom w:val="single" w:sz="4" w:space="0" w:color="auto"/>
              <w:right w:val="single" w:sz="4" w:space="0" w:color="auto"/>
            </w:tcBorders>
          </w:tcPr>
          <w:p w14:paraId="2C8D341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013C84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1F84325" w14:textId="77777777" w:rsidR="00E57DAA" w:rsidRDefault="00AC4185">
            <w:pPr>
              <w:autoSpaceDE w:val="0"/>
              <w:autoSpaceDN w:val="0"/>
              <w:adjustRightInd w:val="0"/>
              <w:jc w:val="right"/>
              <w:rPr>
                <w:szCs w:val="21"/>
              </w:rPr>
            </w:pPr>
            <w:r>
              <w:t>125,924.95</w:t>
            </w:r>
          </w:p>
        </w:tc>
        <w:tc>
          <w:tcPr>
            <w:tcW w:w="914" w:type="pct"/>
            <w:tcBorders>
              <w:top w:val="single" w:sz="4" w:space="0" w:color="auto"/>
              <w:left w:val="single" w:sz="4" w:space="0" w:color="auto"/>
              <w:bottom w:val="single" w:sz="4" w:space="0" w:color="auto"/>
              <w:right w:val="single" w:sz="4" w:space="0" w:color="auto"/>
            </w:tcBorders>
          </w:tcPr>
          <w:p w14:paraId="3C34CCB1" w14:textId="77777777" w:rsidR="00E57DAA" w:rsidRDefault="00AC4185">
            <w:pPr>
              <w:autoSpaceDE w:val="0"/>
              <w:autoSpaceDN w:val="0"/>
              <w:adjustRightInd w:val="0"/>
              <w:jc w:val="right"/>
              <w:rPr>
                <w:szCs w:val="21"/>
              </w:rPr>
            </w:pPr>
            <w:r>
              <w:t xml:space="preserve">　</w:t>
            </w:r>
          </w:p>
        </w:tc>
      </w:tr>
      <w:tr w:rsidR="00E57DAA" w14:paraId="4E92836E" w14:textId="77777777">
        <w:tc>
          <w:tcPr>
            <w:tcW w:w="677" w:type="pct"/>
            <w:tcBorders>
              <w:top w:val="single" w:sz="4" w:space="0" w:color="auto"/>
              <w:left w:val="single" w:sz="4" w:space="0" w:color="auto"/>
              <w:bottom w:val="single" w:sz="4" w:space="0" w:color="auto"/>
              <w:right w:val="single" w:sz="4" w:space="0" w:color="auto"/>
            </w:tcBorders>
            <w:vAlign w:val="center"/>
          </w:tcPr>
          <w:p w14:paraId="42321F76"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7EDC56A" w14:textId="77777777" w:rsidR="00E57DAA" w:rsidRDefault="00AC4185">
            <w:pPr>
              <w:autoSpaceDE w:val="0"/>
              <w:autoSpaceDN w:val="0"/>
              <w:adjustRightInd w:val="0"/>
              <w:rPr>
                <w:szCs w:val="21"/>
              </w:rPr>
            </w:pPr>
            <w:r>
              <w:t>富蕴天山水泥有限责任公司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7BB3B4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4DE602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21C4D1A" w14:textId="77777777" w:rsidR="00E57DAA" w:rsidRDefault="00AC4185">
            <w:pPr>
              <w:autoSpaceDE w:val="0"/>
              <w:autoSpaceDN w:val="0"/>
              <w:adjustRightInd w:val="0"/>
              <w:jc w:val="right"/>
              <w:rPr>
                <w:szCs w:val="21"/>
              </w:rPr>
            </w:pPr>
            <w:r>
              <w:t>107,376.00</w:t>
            </w:r>
          </w:p>
        </w:tc>
        <w:tc>
          <w:tcPr>
            <w:tcW w:w="914" w:type="pct"/>
            <w:tcBorders>
              <w:top w:val="single" w:sz="4" w:space="0" w:color="auto"/>
              <w:left w:val="single" w:sz="4" w:space="0" w:color="auto"/>
              <w:bottom w:val="single" w:sz="4" w:space="0" w:color="auto"/>
              <w:right w:val="single" w:sz="4" w:space="0" w:color="auto"/>
            </w:tcBorders>
          </w:tcPr>
          <w:p w14:paraId="72C6C578" w14:textId="77777777" w:rsidR="00E57DAA" w:rsidRDefault="00AC4185">
            <w:pPr>
              <w:autoSpaceDE w:val="0"/>
              <w:autoSpaceDN w:val="0"/>
              <w:adjustRightInd w:val="0"/>
              <w:jc w:val="right"/>
              <w:rPr>
                <w:szCs w:val="21"/>
              </w:rPr>
            </w:pPr>
            <w:r>
              <w:t xml:space="preserve">　</w:t>
            </w:r>
          </w:p>
        </w:tc>
      </w:tr>
      <w:tr w:rsidR="00E57DAA" w14:paraId="66EABF36" w14:textId="77777777">
        <w:tc>
          <w:tcPr>
            <w:tcW w:w="677" w:type="pct"/>
            <w:tcBorders>
              <w:top w:val="single" w:sz="4" w:space="0" w:color="auto"/>
              <w:left w:val="single" w:sz="4" w:space="0" w:color="auto"/>
              <w:bottom w:val="single" w:sz="4" w:space="0" w:color="auto"/>
              <w:right w:val="single" w:sz="4" w:space="0" w:color="auto"/>
            </w:tcBorders>
            <w:vAlign w:val="center"/>
          </w:tcPr>
          <w:p w14:paraId="65C8F018"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68AFC074" w14:textId="77777777" w:rsidR="00E57DAA" w:rsidRDefault="00AC4185">
            <w:pPr>
              <w:autoSpaceDE w:val="0"/>
              <w:autoSpaceDN w:val="0"/>
              <w:adjustRightInd w:val="0"/>
              <w:rPr>
                <w:szCs w:val="21"/>
              </w:rPr>
            </w:pPr>
            <w:r>
              <w:t>江苏宜城南方水泥有限公司</w:t>
            </w:r>
          </w:p>
        </w:tc>
        <w:tc>
          <w:tcPr>
            <w:tcW w:w="633" w:type="pct"/>
            <w:tcBorders>
              <w:top w:val="single" w:sz="4" w:space="0" w:color="auto"/>
              <w:left w:val="single" w:sz="4" w:space="0" w:color="auto"/>
              <w:bottom w:val="single" w:sz="4" w:space="0" w:color="auto"/>
              <w:right w:val="single" w:sz="4" w:space="0" w:color="auto"/>
            </w:tcBorders>
          </w:tcPr>
          <w:p w14:paraId="3977060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62ECC8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C69214B" w14:textId="77777777" w:rsidR="00E57DAA" w:rsidRDefault="00AC4185">
            <w:pPr>
              <w:autoSpaceDE w:val="0"/>
              <w:autoSpaceDN w:val="0"/>
              <w:adjustRightInd w:val="0"/>
              <w:jc w:val="right"/>
              <w:rPr>
                <w:szCs w:val="21"/>
              </w:rPr>
            </w:pPr>
            <w:r>
              <w:t>76,000.00</w:t>
            </w:r>
          </w:p>
        </w:tc>
        <w:tc>
          <w:tcPr>
            <w:tcW w:w="914" w:type="pct"/>
            <w:tcBorders>
              <w:top w:val="single" w:sz="4" w:space="0" w:color="auto"/>
              <w:left w:val="single" w:sz="4" w:space="0" w:color="auto"/>
              <w:bottom w:val="single" w:sz="4" w:space="0" w:color="auto"/>
              <w:right w:val="single" w:sz="4" w:space="0" w:color="auto"/>
            </w:tcBorders>
          </w:tcPr>
          <w:p w14:paraId="182F3AAD" w14:textId="77777777" w:rsidR="00E57DAA" w:rsidRDefault="00AC4185">
            <w:pPr>
              <w:autoSpaceDE w:val="0"/>
              <w:autoSpaceDN w:val="0"/>
              <w:adjustRightInd w:val="0"/>
              <w:jc w:val="right"/>
              <w:rPr>
                <w:szCs w:val="21"/>
              </w:rPr>
            </w:pPr>
            <w:r>
              <w:t xml:space="preserve">　</w:t>
            </w:r>
          </w:p>
        </w:tc>
      </w:tr>
      <w:tr w:rsidR="00E57DAA" w14:paraId="1B409A11" w14:textId="77777777">
        <w:tc>
          <w:tcPr>
            <w:tcW w:w="677" w:type="pct"/>
            <w:tcBorders>
              <w:top w:val="single" w:sz="4" w:space="0" w:color="auto"/>
              <w:left w:val="single" w:sz="4" w:space="0" w:color="auto"/>
              <w:bottom w:val="single" w:sz="4" w:space="0" w:color="auto"/>
              <w:right w:val="single" w:sz="4" w:space="0" w:color="auto"/>
            </w:tcBorders>
            <w:vAlign w:val="center"/>
          </w:tcPr>
          <w:p w14:paraId="56B65594"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BFDFC3D" w14:textId="77777777" w:rsidR="00E57DAA" w:rsidRDefault="00AC4185">
            <w:pPr>
              <w:autoSpaceDE w:val="0"/>
              <w:autoSpaceDN w:val="0"/>
              <w:adjustRightInd w:val="0"/>
              <w:rPr>
                <w:szCs w:val="21"/>
              </w:rPr>
            </w:pPr>
            <w:r>
              <w:t>平湖南方水泥有限公司</w:t>
            </w:r>
          </w:p>
        </w:tc>
        <w:tc>
          <w:tcPr>
            <w:tcW w:w="633" w:type="pct"/>
            <w:tcBorders>
              <w:top w:val="single" w:sz="4" w:space="0" w:color="auto"/>
              <w:left w:val="single" w:sz="4" w:space="0" w:color="auto"/>
              <w:bottom w:val="single" w:sz="4" w:space="0" w:color="auto"/>
              <w:right w:val="single" w:sz="4" w:space="0" w:color="auto"/>
            </w:tcBorders>
          </w:tcPr>
          <w:p w14:paraId="49C2721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39FFCE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B6F3C0" w14:textId="77777777" w:rsidR="00E57DAA" w:rsidRDefault="00AC4185">
            <w:pPr>
              <w:autoSpaceDE w:val="0"/>
              <w:autoSpaceDN w:val="0"/>
              <w:adjustRightInd w:val="0"/>
              <w:jc w:val="right"/>
              <w:rPr>
                <w:szCs w:val="21"/>
              </w:rPr>
            </w:pPr>
            <w:r>
              <w:t>18,500.00</w:t>
            </w:r>
          </w:p>
        </w:tc>
        <w:tc>
          <w:tcPr>
            <w:tcW w:w="914" w:type="pct"/>
            <w:tcBorders>
              <w:top w:val="single" w:sz="4" w:space="0" w:color="auto"/>
              <w:left w:val="single" w:sz="4" w:space="0" w:color="auto"/>
              <w:bottom w:val="single" w:sz="4" w:space="0" w:color="auto"/>
              <w:right w:val="single" w:sz="4" w:space="0" w:color="auto"/>
            </w:tcBorders>
          </w:tcPr>
          <w:p w14:paraId="64B1FCEA" w14:textId="77777777" w:rsidR="00E57DAA" w:rsidRDefault="00AC4185">
            <w:pPr>
              <w:autoSpaceDE w:val="0"/>
              <w:autoSpaceDN w:val="0"/>
              <w:adjustRightInd w:val="0"/>
              <w:jc w:val="right"/>
              <w:rPr>
                <w:szCs w:val="21"/>
              </w:rPr>
            </w:pPr>
            <w:r>
              <w:t xml:space="preserve">　</w:t>
            </w:r>
          </w:p>
        </w:tc>
      </w:tr>
      <w:tr w:rsidR="00E57DAA" w14:paraId="772E5E10" w14:textId="77777777">
        <w:tc>
          <w:tcPr>
            <w:tcW w:w="677" w:type="pct"/>
            <w:tcBorders>
              <w:top w:val="single" w:sz="4" w:space="0" w:color="auto"/>
              <w:left w:val="single" w:sz="4" w:space="0" w:color="auto"/>
              <w:bottom w:val="single" w:sz="4" w:space="0" w:color="auto"/>
              <w:right w:val="single" w:sz="4" w:space="0" w:color="auto"/>
            </w:tcBorders>
            <w:vAlign w:val="center"/>
          </w:tcPr>
          <w:p w14:paraId="186337B9"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315D7ADE"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6A3F552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AB20C4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B8E2DE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884BC08" w14:textId="77777777" w:rsidR="00E57DAA" w:rsidRDefault="00AC4185">
            <w:pPr>
              <w:autoSpaceDE w:val="0"/>
              <w:autoSpaceDN w:val="0"/>
              <w:adjustRightInd w:val="0"/>
              <w:jc w:val="right"/>
              <w:rPr>
                <w:szCs w:val="21"/>
              </w:rPr>
            </w:pPr>
            <w:r>
              <w:t xml:space="preserve">　</w:t>
            </w:r>
          </w:p>
        </w:tc>
      </w:tr>
      <w:tr w:rsidR="00E57DAA" w14:paraId="7E5F9E84" w14:textId="77777777">
        <w:tc>
          <w:tcPr>
            <w:tcW w:w="677" w:type="pct"/>
            <w:tcBorders>
              <w:top w:val="single" w:sz="4" w:space="0" w:color="auto"/>
              <w:left w:val="single" w:sz="4" w:space="0" w:color="auto"/>
              <w:bottom w:val="single" w:sz="4" w:space="0" w:color="auto"/>
              <w:right w:val="single" w:sz="4" w:space="0" w:color="auto"/>
            </w:tcBorders>
            <w:vAlign w:val="center"/>
          </w:tcPr>
          <w:p w14:paraId="48DB7FE0"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27C59C27" w14:textId="77777777" w:rsidR="00E57DAA" w:rsidRDefault="00AC4185">
            <w:pPr>
              <w:autoSpaceDE w:val="0"/>
              <w:autoSpaceDN w:val="0"/>
              <w:adjustRightInd w:val="0"/>
              <w:rPr>
                <w:szCs w:val="21"/>
              </w:rPr>
            </w:pPr>
            <w:r>
              <w:t>中复神鹰（上海）科技有限公司</w:t>
            </w:r>
          </w:p>
        </w:tc>
        <w:tc>
          <w:tcPr>
            <w:tcW w:w="633" w:type="pct"/>
            <w:tcBorders>
              <w:top w:val="single" w:sz="4" w:space="0" w:color="auto"/>
              <w:left w:val="single" w:sz="4" w:space="0" w:color="auto"/>
              <w:bottom w:val="single" w:sz="4" w:space="0" w:color="auto"/>
              <w:right w:val="single" w:sz="4" w:space="0" w:color="auto"/>
            </w:tcBorders>
          </w:tcPr>
          <w:p w14:paraId="63044D99" w14:textId="77777777" w:rsidR="00E57DAA" w:rsidRDefault="00AC4185">
            <w:pPr>
              <w:autoSpaceDE w:val="0"/>
              <w:autoSpaceDN w:val="0"/>
              <w:adjustRightInd w:val="0"/>
              <w:jc w:val="right"/>
              <w:rPr>
                <w:szCs w:val="21"/>
              </w:rPr>
            </w:pPr>
            <w:r>
              <w:t>17,811,199.11</w:t>
            </w:r>
          </w:p>
        </w:tc>
        <w:tc>
          <w:tcPr>
            <w:tcW w:w="632" w:type="pct"/>
            <w:tcBorders>
              <w:top w:val="single" w:sz="4" w:space="0" w:color="auto"/>
              <w:left w:val="single" w:sz="4" w:space="0" w:color="auto"/>
              <w:bottom w:val="single" w:sz="4" w:space="0" w:color="auto"/>
              <w:right w:val="single" w:sz="4" w:space="0" w:color="auto"/>
            </w:tcBorders>
          </w:tcPr>
          <w:p w14:paraId="3721C0B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4EB406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012053B" w14:textId="77777777" w:rsidR="00E57DAA" w:rsidRDefault="00AC4185">
            <w:pPr>
              <w:autoSpaceDE w:val="0"/>
              <w:autoSpaceDN w:val="0"/>
              <w:adjustRightInd w:val="0"/>
              <w:jc w:val="right"/>
              <w:rPr>
                <w:szCs w:val="21"/>
              </w:rPr>
            </w:pPr>
            <w:r>
              <w:t xml:space="preserve">　</w:t>
            </w:r>
          </w:p>
        </w:tc>
      </w:tr>
      <w:tr w:rsidR="00E57DAA" w14:paraId="4ABBCBF4" w14:textId="77777777">
        <w:tc>
          <w:tcPr>
            <w:tcW w:w="677" w:type="pct"/>
            <w:tcBorders>
              <w:top w:val="single" w:sz="4" w:space="0" w:color="auto"/>
              <w:left w:val="single" w:sz="4" w:space="0" w:color="auto"/>
              <w:bottom w:val="single" w:sz="4" w:space="0" w:color="auto"/>
              <w:right w:val="single" w:sz="4" w:space="0" w:color="auto"/>
            </w:tcBorders>
            <w:vAlign w:val="center"/>
          </w:tcPr>
          <w:p w14:paraId="35513859"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7EB74B2" w14:textId="77777777" w:rsidR="00E57DAA" w:rsidRDefault="00AC4185">
            <w:pPr>
              <w:autoSpaceDE w:val="0"/>
              <w:autoSpaceDN w:val="0"/>
              <w:adjustRightInd w:val="0"/>
              <w:rPr>
                <w:szCs w:val="21"/>
              </w:rPr>
            </w:pPr>
            <w:r>
              <w:t>中建材国际物产有限公司</w:t>
            </w:r>
          </w:p>
        </w:tc>
        <w:tc>
          <w:tcPr>
            <w:tcW w:w="633" w:type="pct"/>
            <w:tcBorders>
              <w:top w:val="single" w:sz="4" w:space="0" w:color="auto"/>
              <w:left w:val="single" w:sz="4" w:space="0" w:color="auto"/>
              <w:bottom w:val="single" w:sz="4" w:space="0" w:color="auto"/>
              <w:right w:val="single" w:sz="4" w:space="0" w:color="auto"/>
            </w:tcBorders>
          </w:tcPr>
          <w:p w14:paraId="6EE87347" w14:textId="77777777" w:rsidR="00E57DAA" w:rsidRDefault="00AC4185">
            <w:pPr>
              <w:autoSpaceDE w:val="0"/>
              <w:autoSpaceDN w:val="0"/>
              <w:adjustRightInd w:val="0"/>
              <w:jc w:val="right"/>
              <w:rPr>
                <w:szCs w:val="21"/>
              </w:rPr>
            </w:pPr>
            <w:r>
              <w:t>16,400,000.00</w:t>
            </w:r>
          </w:p>
        </w:tc>
        <w:tc>
          <w:tcPr>
            <w:tcW w:w="632" w:type="pct"/>
            <w:tcBorders>
              <w:top w:val="single" w:sz="4" w:space="0" w:color="auto"/>
              <w:left w:val="single" w:sz="4" w:space="0" w:color="auto"/>
              <w:bottom w:val="single" w:sz="4" w:space="0" w:color="auto"/>
              <w:right w:val="single" w:sz="4" w:space="0" w:color="auto"/>
            </w:tcBorders>
          </w:tcPr>
          <w:p w14:paraId="669B67D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2EBCFD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B90528D" w14:textId="77777777" w:rsidR="00E57DAA" w:rsidRDefault="00AC4185">
            <w:pPr>
              <w:autoSpaceDE w:val="0"/>
              <w:autoSpaceDN w:val="0"/>
              <w:adjustRightInd w:val="0"/>
              <w:jc w:val="right"/>
              <w:rPr>
                <w:szCs w:val="21"/>
              </w:rPr>
            </w:pPr>
            <w:r>
              <w:t xml:space="preserve">　</w:t>
            </w:r>
          </w:p>
        </w:tc>
      </w:tr>
      <w:tr w:rsidR="00E57DAA" w14:paraId="7EC96CB7" w14:textId="77777777">
        <w:tc>
          <w:tcPr>
            <w:tcW w:w="677" w:type="pct"/>
            <w:tcBorders>
              <w:top w:val="single" w:sz="4" w:space="0" w:color="auto"/>
              <w:left w:val="single" w:sz="4" w:space="0" w:color="auto"/>
              <w:bottom w:val="single" w:sz="4" w:space="0" w:color="auto"/>
              <w:right w:val="single" w:sz="4" w:space="0" w:color="auto"/>
            </w:tcBorders>
            <w:vAlign w:val="center"/>
          </w:tcPr>
          <w:p w14:paraId="218C3C97"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BFD2461" w14:textId="77777777" w:rsidR="00E57DAA" w:rsidRDefault="00AC4185">
            <w:pPr>
              <w:autoSpaceDE w:val="0"/>
              <w:autoSpaceDN w:val="0"/>
              <w:adjustRightInd w:val="0"/>
              <w:rPr>
                <w:szCs w:val="21"/>
              </w:rPr>
            </w:pPr>
            <w:r>
              <w:t>新疆凯盛建材设计研究院（有限公司）</w:t>
            </w:r>
          </w:p>
        </w:tc>
        <w:tc>
          <w:tcPr>
            <w:tcW w:w="633" w:type="pct"/>
            <w:tcBorders>
              <w:top w:val="single" w:sz="4" w:space="0" w:color="auto"/>
              <w:left w:val="single" w:sz="4" w:space="0" w:color="auto"/>
              <w:bottom w:val="single" w:sz="4" w:space="0" w:color="auto"/>
              <w:right w:val="single" w:sz="4" w:space="0" w:color="auto"/>
            </w:tcBorders>
          </w:tcPr>
          <w:p w14:paraId="59696791" w14:textId="77777777" w:rsidR="00E57DAA" w:rsidRDefault="00AC4185">
            <w:pPr>
              <w:autoSpaceDE w:val="0"/>
              <w:autoSpaceDN w:val="0"/>
              <w:adjustRightInd w:val="0"/>
              <w:jc w:val="right"/>
              <w:rPr>
                <w:szCs w:val="21"/>
              </w:rPr>
            </w:pPr>
            <w:r>
              <w:t>3,670,248.00</w:t>
            </w:r>
          </w:p>
        </w:tc>
        <w:tc>
          <w:tcPr>
            <w:tcW w:w="632" w:type="pct"/>
            <w:tcBorders>
              <w:top w:val="single" w:sz="4" w:space="0" w:color="auto"/>
              <w:left w:val="single" w:sz="4" w:space="0" w:color="auto"/>
              <w:bottom w:val="single" w:sz="4" w:space="0" w:color="auto"/>
              <w:right w:val="single" w:sz="4" w:space="0" w:color="auto"/>
            </w:tcBorders>
          </w:tcPr>
          <w:p w14:paraId="3BB706B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789303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50B5504" w14:textId="77777777" w:rsidR="00E57DAA" w:rsidRDefault="00AC4185">
            <w:pPr>
              <w:autoSpaceDE w:val="0"/>
              <w:autoSpaceDN w:val="0"/>
              <w:adjustRightInd w:val="0"/>
              <w:jc w:val="right"/>
              <w:rPr>
                <w:szCs w:val="21"/>
              </w:rPr>
            </w:pPr>
            <w:r>
              <w:t xml:space="preserve">　</w:t>
            </w:r>
          </w:p>
        </w:tc>
      </w:tr>
      <w:tr w:rsidR="00E57DAA" w14:paraId="1FED717E" w14:textId="77777777">
        <w:tc>
          <w:tcPr>
            <w:tcW w:w="677" w:type="pct"/>
            <w:tcBorders>
              <w:top w:val="single" w:sz="4" w:space="0" w:color="auto"/>
              <w:left w:val="single" w:sz="4" w:space="0" w:color="auto"/>
              <w:bottom w:val="single" w:sz="4" w:space="0" w:color="auto"/>
              <w:right w:val="single" w:sz="4" w:space="0" w:color="auto"/>
            </w:tcBorders>
            <w:vAlign w:val="center"/>
          </w:tcPr>
          <w:p w14:paraId="105CA8C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DC2F31E"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4AF59B2B" w14:textId="77777777" w:rsidR="00E57DAA" w:rsidRDefault="00AC4185">
            <w:pPr>
              <w:autoSpaceDE w:val="0"/>
              <w:autoSpaceDN w:val="0"/>
              <w:adjustRightInd w:val="0"/>
              <w:jc w:val="right"/>
              <w:rPr>
                <w:szCs w:val="21"/>
              </w:rPr>
            </w:pPr>
            <w:r>
              <w:t>1,772,684.00</w:t>
            </w:r>
          </w:p>
        </w:tc>
        <w:tc>
          <w:tcPr>
            <w:tcW w:w="632" w:type="pct"/>
            <w:tcBorders>
              <w:top w:val="single" w:sz="4" w:space="0" w:color="auto"/>
              <w:left w:val="single" w:sz="4" w:space="0" w:color="auto"/>
              <w:bottom w:val="single" w:sz="4" w:space="0" w:color="auto"/>
              <w:right w:val="single" w:sz="4" w:space="0" w:color="auto"/>
            </w:tcBorders>
          </w:tcPr>
          <w:p w14:paraId="4B4E8F3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FD945F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D5CE5EC" w14:textId="77777777" w:rsidR="00E57DAA" w:rsidRDefault="00AC4185">
            <w:pPr>
              <w:autoSpaceDE w:val="0"/>
              <w:autoSpaceDN w:val="0"/>
              <w:adjustRightInd w:val="0"/>
              <w:jc w:val="right"/>
              <w:rPr>
                <w:szCs w:val="21"/>
              </w:rPr>
            </w:pPr>
            <w:r>
              <w:t xml:space="preserve">　</w:t>
            </w:r>
          </w:p>
        </w:tc>
      </w:tr>
      <w:tr w:rsidR="00E57DAA" w14:paraId="77E68F3A" w14:textId="77777777">
        <w:tc>
          <w:tcPr>
            <w:tcW w:w="677" w:type="pct"/>
            <w:tcBorders>
              <w:top w:val="single" w:sz="4" w:space="0" w:color="auto"/>
              <w:left w:val="single" w:sz="4" w:space="0" w:color="auto"/>
              <w:bottom w:val="single" w:sz="4" w:space="0" w:color="auto"/>
              <w:right w:val="single" w:sz="4" w:space="0" w:color="auto"/>
            </w:tcBorders>
            <w:vAlign w:val="center"/>
          </w:tcPr>
          <w:p w14:paraId="7327B1D5"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54DE2805" w14:textId="77777777" w:rsidR="00E57DAA" w:rsidRDefault="00AC4185">
            <w:pPr>
              <w:autoSpaceDE w:val="0"/>
              <w:autoSpaceDN w:val="0"/>
              <w:adjustRightInd w:val="0"/>
              <w:rPr>
                <w:szCs w:val="21"/>
              </w:rPr>
            </w:pPr>
            <w:r>
              <w:t>武汉建筑材料工业设计研究院有限公司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69B23A88" w14:textId="77777777" w:rsidR="00E57DAA" w:rsidRDefault="00AC4185">
            <w:pPr>
              <w:autoSpaceDE w:val="0"/>
              <w:autoSpaceDN w:val="0"/>
              <w:adjustRightInd w:val="0"/>
              <w:jc w:val="right"/>
              <w:rPr>
                <w:szCs w:val="21"/>
              </w:rPr>
            </w:pPr>
            <w:r>
              <w:t>1,146,950.53</w:t>
            </w:r>
          </w:p>
        </w:tc>
        <w:tc>
          <w:tcPr>
            <w:tcW w:w="632" w:type="pct"/>
            <w:tcBorders>
              <w:top w:val="single" w:sz="4" w:space="0" w:color="auto"/>
              <w:left w:val="single" w:sz="4" w:space="0" w:color="auto"/>
              <w:bottom w:val="single" w:sz="4" w:space="0" w:color="auto"/>
              <w:right w:val="single" w:sz="4" w:space="0" w:color="auto"/>
            </w:tcBorders>
          </w:tcPr>
          <w:p w14:paraId="757C50C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D33557B" w14:textId="77777777" w:rsidR="00E57DAA" w:rsidRDefault="00AC4185">
            <w:pPr>
              <w:autoSpaceDE w:val="0"/>
              <w:autoSpaceDN w:val="0"/>
              <w:adjustRightInd w:val="0"/>
              <w:jc w:val="right"/>
              <w:rPr>
                <w:szCs w:val="21"/>
              </w:rPr>
            </w:pPr>
            <w:r>
              <w:t>1,326,640.00</w:t>
            </w:r>
          </w:p>
        </w:tc>
        <w:tc>
          <w:tcPr>
            <w:tcW w:w="914" w:type="pct"/>
            <w:tcBorders>
              <w:top w:val="single" w:sz="4" w:space="0" w:color="auto"/>
              <w:left w:val="single" w:sz="4" w:space="0" w:color="auto"/>
              <w:bottom w:val="single" w:sz="4" w:space="0" w:color="auto"/>
              <w:right w:val="single" w:sz="4" w:space="0" w:color="auto"/>
            </w:tcBorders>
          </w:tcPr>
          <w:p w14:paraId="75632746" w14:textId="77777777" w:rsidR="00E57DAA" w:rsidRDefault="00AC4185">
            <w:pPr>
              <w:autoSpaceDE w:val="0"/>
              <w:autoSpaceDN w:val="0"/>
              <w:adjustRightInd w:val="0"/>
              <w:jc w:val="right"/>
              <w:rPr>
                <w:szCs w:val="21"/>
              </w:rPr>
            </w:pPr>
            <w:r>
              <w:t xml:space="preserve">　</w:t>
            </w:r>
          </w:p>
        </w:tc>
      </w:tr>
      <w:tr w:rsidR="00E57DAA" w14:paraId="038A46AC" w14:textId="77777777">
        <w:tc>
          <w:tcPr>
            <w:tcW w:w="677" w:type="pct"/>
            <w:tcBorders>
              <w:top w:val="single" w:sz="4" w:space="0" w:color="auto"/>
              <w:left w:val="single" w:sz="4" w:space="0" w:color="auto"/>
              <w:bottom w:val="single" w:sz="4" w:space="0" w:color="auto"/>
              <w:right w:val="single" w:sz="4" w:space="0" w:color="auto"/>
            </w:tcBorders>
            <w:vAlign w:val="center"/>
          </w:tcPr>
          <w:p w14:paraId="6311AC5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380E5536" w14:textId="77777777" w:rsidR="00E57DAA" w:rsidRDefault="00AC4185">
            <w:pPr>
              <w:autoSpaceDE w:val="0"/>
              <w:autoSpaceDN w:val="0"/>
              <w:adjustRightInd w:val="0"/>
              <w:rPr>
                <w:szCs w:val="21"/>
              </w:rPr>
            </w:pPr>
            <w:r>
              <w:t>中建材行业生产力促进中心有限公司</w:t>
            </w:r>
          </w:p>
        </w:tc>
        <w:tc>
          <w:tcPr>
            <w:tcW w:w="633" w:type="pct"/>
            <w:tcBorders>
              <w:top w:val="single" w:sz="4" w:space="0" w:color="auto"/>
              <w:left w:val="single" w:sz="4" w:space="0" w:color="auto"/>
              <w:bottom w:val="single" w:sz="4" w:space="0" w:color="auto"/>
              <w:right w:val="single" w:sz="4" w:space="0" w:color="auto"/>
            </w:tcBorders>
          </w:tcPr>
          <w:p w14:paraId="18E7C1E6" w14:textId="77777777" w:rsidR="00E57DAA" w:rsidRDefault="00AC4185">
            <w:pPr>
              <w:autoSpaceDE w:val="0"/>
              <w:autoSpaceDN w:val="0"/>
              <w:adjustRightInd w:val="0"/>
              <w:jc w:val="right"/>
              <w:rPr>
                <w:szCs w:val="21"/>
              </w:rPr>
            </w:pPr>
            <w:r>
              <w:t>761,780.00</w:t>
            </w:r>
          </w:p>
        </w:tc>
        <w:tc>
          <w:tcPr>
            <w:tcW w:w="632" w:type="pct"/>
            <w:tcBorders>
              <w:top w:val="single" w:sz="4" w:space="0" w:color="auto"/>
              <w:left w:val="single" w:sz="4" w:space="0" w:color="auto"/>
              <w:bottom w:val="single" w:sz="4" w:space="0" w:color="auto"/>
              <w:right w:val="single" w:sz="4" w:space="0" w:color="auto"/>
            </w:tcBorders>
          </w:tcPr>
          <w:p w14:paraId="0E0660C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5BAC1E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8AD8314" w14:textId="77777777" w:rsidR="00E57DAA" w:rsidRDefault="00AC4185">
            <w:pPr>
              <w:autoSpaceDE w:val="0"/>
              <w:autoSpaceDN w:val="0"/>
              <w:adjustRightInd w:val="0"/>
              <w:jc w:val="right"/>
              <w:rPr>
                <w:szCs w:val="21"/>
              </w:rPr>
            </w:pPr>
            <w:r>
              <w:t xml:space="preserve">　</w:t>
            </w:r>
          </w:p>
        </w:tc>
      </w:tr>
      <w:tr w:rsidR="00E57DAA" w14:paraId="188A0A18" w14:textId="77777777">
        <w:tc>
          <w:tcPr>
            <w:tcW w:w="677" w:type="pct"/>
            <w:tcBorders>
              <w:top w:val="single" w:sz="4" w:space="0" w:color="auto"/>
              <w:left w:val="single" w:sz="4" w:space="0" w:color="auto"/>
              <w:bottom w:val="single" w:sz="4" w:space="0" w:color="auto"/>
              <w:right w:val="single" w:sz="4" w:space="0" w:color="auto"/>
            </w:tcBorders>
            <w:vAlign w:val="center"/>
          </w:tcPr>
          <w:p w14:paraId="6AC5F4FF"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754C389" w14:textId="77777777" w:rsidR="00E57DAA" w:rsidRDefault="00AC4185">
            <w:pPr>
              <w:autoSpaceDE w:val="0"/>
              <w:autoSpaceDN w:val="0"/>
              <w:adjustRightInd w:val="0"/>
              <w:rPr>
                <w:szCs w:val="21"/>
              </w:rPr>
            </w:pPr>
            <w:r>
              <w:t>安徽天柱绿色能源科技有限公司</w:t>
            </w:r>
          </w:p>
        </w:tc>
        <w:tc>
          <w:tcPr>
            <w:tcW w:w="633" w:type="pct"/>
            <w:tcBorders>
              <w:top w:val="single" w:sz="4" w:space="0" w:color="auto"/>
              <w:left w:val="single" w:sz="4" w:space="0" w:color="auto"/>
              <w:bottom w:val="single" w:sz="4" w:space="0" w:color="auto"/>
              <w:right w:val="single" w:sz="4" w:space="0" w:color="auto"/>
            </w:tcBorders>
          </w:tcPr>
          <w:p w14:paraId="19DE4400" w14:textId="77777777" w:rsidR="00E57DAA" w:rsidRDefault="00AC4185">
            <w:pPr>
              <w:autoSpaceDE w:val="0"/>
              <w:autoSpaceDN w:val="0"/>
              <w:adjustRightInd w:val="0"/>
              <w:jc w:val="right"/>
              <w:rPr>
                <w:szCs w:val="21"/>
              </w:rPr>
            </w:pPr>
            <w:r>
              <w:t>600,000.00</w:t>
            </w:r>
          </w:p>
        </w:tc>
        <w:tc>
          <w:tcPr>
            <w:tcW w:w="632" w:type="pct"/>
            <w:tcBorders>
              <w:top w:val="single" w:sz="4" w:space="0" w:color="auto"/>
              <w:left w:val="single" w:sz="4" w:space="0" w:color="auto"/>
              <w:bottom w:val="single" w:sz="4" w:space="0" w:color="auto"/>
              <w:right w:val="single" w:sz="4" w:space="0" w:color="auto"/>
            </w:tcBorders>
          </w:tcPr>
          <w:p w14:paraId="7EE376A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74D0AB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1A1D58A" w14:textId="77777777" w:rsidR="00E57DAA" w:rsidRDefault="00AC4185">
            <w:pPr>
              <w:autoSpaceDE w:val="0"/>
              <w:autoSpaceDN w:val="0"/>
              <w:adjustRightInd w:val="0"/>
              <w:jc w:val="right"/>
              <w:rPr>
                <w:szCs w:val="21"/>
              </w:rPr>
            </w:pPr>
            <w:r>
              <w:t xml:space="preserve">　</w:t>
            </w:r>
          </w:p>
        </w:tc>
      </w:tr>
      <w:tr w:rsidR="00E57DAA" w14:paraId="48CC9930" w14:textId="77777777">
        <w:tc>
          <w:tcPr>
            <w:tcW w:w="677" w:type="pct"/>
            <w:tcBorders>
              <w:top w:val="single" w:sz="4" w:space="0" w:color="auto"/>
              <w:left w:val="single" w:sz="4" w:space="0" w:color="auto"/>
              <w:bottom w:val="single" w:sz="4" w:space="0" w:color="auto"/>
              <w:right w:val="single" w:sz="4" w:space="0" w:color="auto"/>
            </w:tcBorders>
            <w:vAlign w:val="center"/>
          </w:tcPr>
          <w:p w14:paraId="02B1F0F9"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F76210C" w14:textId="77777777" w:rsidR="00E57DAA" w:rsidRDefault="00AC4185">
            <w:pPr>
              <w:autoSpaceDE w:val="0"/>
              <w:autoSpaceDN w:val="0"/>
              <w:adjustRightInd w:val="0"/>
              <w:rPr>
                <w:szCs w:val="21"/>
              </w:rPr>
            </w:pPr>
            <w:r>
              <w:t>巨石集团有限公司</w:t>
            </w:r>
          </w:p>
        </w:tc>
        <w:tc>
          <w:tcPr>
            <w:tcW w:w="633" w:type="pct"/>
            <w:tcBorders>
              <w:top w:val="single" w:sz="4" w:space="0" w:color="auto"/>
              <w:left w:val="single" w:sz="4" w:space="0" w:color="auto"/>
              <w:bottom w:val="single" w:sz="4" w:space="0" w:color="auto"/>
              <w:right w:val="single" w:sz="4" w:space="0" w:color="auto"/>
            </w:tcBorders>
          </w:tcPr>
          <w:p w14:paraId="71DECA16"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0AFBA12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2625C6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2802307" w14:textId="77777777" w:rsidR="00E57DAA" w:rsidRDefault="00AC4185">
            <w:pPr>
              <w:autoSpaceDE w:val="0"/>
              <w:autoSpaceDN w:val="0"/>
              <w:adjustRightInd w:val="0"/>
              <w:jc w:val="right"/>
              <w:rPr>
                <w:szCs w:val="21"/>
              </w:rPr>
            </w:pPr>
            <w:r>
              <w:t xml:space="preserve">　</w:t>
            </w:r>
          </w:p>
        </w:tc>
      </w:tr>
      <w:tr w:rsidR="00E57DAA" w14:paraId="75803810" w14:textId="77777777">
        <w:tc>
          <w:tcPr>
            <w:tcW w:w="677" w:type="pct"/>
            <w:tcBorders>
              <w:top w:val="single" w:sz="4" w:space="0" w:color="auto"/>
              <w:left w:val="single" w:sz="4" w:space="0" w:color="auto"/>
              <w:bottom w:val="single" w:sz="4" w:space="0" w:color="auto"/>
              <w:right w:val="single" w:sz="4" w:space="0" w:color="auto"/>
            </w:tcBorders>
            <w:vAlign w:val="center"/>
          </w:tcPr>
          <w:p w14:paraId="6C1D918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5644EF1" w14:textId="77777777" w:rsidR="00E57DAA" w:rsidRDefault="00AC4185">
            <w:pPr>
              <w:autoSpaceDE w:val="0"/>
              <w:autoSpaceDN w:val="0"/>
              <w:adjustRightInd w:val="0"/>
              <w:rPr>
                <w:szCs w:val="21"/>
              </w:rPr>
            </w:pPr>
            <w:r>
              <w:t>蚌埠凯盛工程技术有限公司</w:t>
            </w:r>
          </w:p>
        </w:tc>
        <w:tc>
          <w:tcPr>
            <w:tcW w:w="633" w:type="pct"/>
            <w:tcBorders>
              <w:top w:val="single" w:sz="4" w:space="0" w:color="auto"/>
              <w:left w:val="single" w:sz="4" w:space="0" w:color="auto"/>
              <w:bottom w:val="single" w:sz="4" w:space="0" w:color="auto"/>
              <w:right w:val="single" w:sz="4" w:space="0" w:color="auto"/>
            </w:tcBorders>
          </w:tcPr>
          <w:p w14:paraId="3435533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CC6FCE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8E167DC" w14:textId="77777777" w:rsidR="00E57DAA" w:rsidRDefault="00AC4185">
            <w:pPr>
              <w:autoSpaceDE w:val="0"/>
              <w:autoSpaceDN w:val="0"/>
              <w:adjustRightInd w:val="0"/>
              <w:jc w:val="right"/>
              <w:rPr>
                <w:szCs w:val="21"/>
              </w:rPr>
            </w:pPr>
            <w:r>
              <w:t>157,680.00</w:t>
            </w:r>
          </w:p>
        </w:tc>
        <w:tc>
          <w:tcPr>
            <w:tcW w:w="914" w:type="pct"/>
            <w:tcBorders>
              <w:top w:val="single" w:sz="4" w:space="0" w:color="auto"/>
              <w:left w:val="single" w:sz="4" w:space="0" w:color="auto"/>
              <w:bottom w:val="single" w:sz="4" w:space="0" w:color="auto"/>
              <w:right w:val="single" w:sz="4" w:space="0" w:color="auto"/>
            </w:tcBorders>
          </w:tcPr>
          <w:p w14:paraId="7A5A4E71" w14:textId="77777777" w:rsidR="00E57DAA" w:rsidRDefault="00AC4185">
            <w:pPr>
              <w:autoSpaceDE w:val="0"/>
              <w:autoSpaceDN w:val="0"/>
              <w:adjustRightInd w:val="0"/>
              <w:jc w:val="right"/>
              <w:rPr>
                <w:szCs w:val="21"/>
              </w:rPr>
            </w:pPr>
            <w:r>
              <w:t xml:space="preserve">　</w:t>
            </w:r>
          </w:p>
        </w:tc>
      </w:tr>
      <w:tr w:rsidR="00E57DAA" w14:paraId="4BA76B7B" w14:textId="77777777">
        <w:tc>
          <w:tcPr>
            <w:tcW w:w="677" w:type="pct"/>
            <w:tcBorders>
              <w:top w:val="single" w:sz="4" w:space="0" w:color="auto"/>
              <w:left w:val="single" w:sz="4" w:space="0" w:color="auto"/>
              <w:bottom w:val="single" w:sz="4" w:space="0" w:color="auto"/>
              <w:right w:val="single" w:sz="4" w:space="0" w:color="auto"/>
            </w:tcBorders>
            <w:vAlign w:val="center"/>
          </w:tcPr>
          <w:p w14:paraId="52F3B71F"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6AC4FD18"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222E83F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D88A91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ECAB5F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1B36E9E" w14:textId="77777777" w:rsidR="00E57DAA" w:rsidRDefault="00AC4185">
            <w:pPr>
              <w:autoSpaceDE w:val="0"/>
              <w:autoSpaceDN w:val="0"/>
              <w:adjustRightInd w:val="0"/>
              <w:jc w:val="right"/>
              <w:rPr>
                <w:szCs w:val="21"/>
              </w:rPr>
            </w:pPr>
            <w:r>
              <w:t xml:space="preserve">　</w:t>
            </w:r>
          </w:p>
        </w:tc>
      </w:tr>
      <w:tr w:rsidR="00E57DAA" w14:paraId="279C7FEA" w14:textId="77777777">
        <w:tc>
          <w:tcPr>
            <w:tcW w:w="677" w:type="pct"/>
            <w:tcBorders>
              <w:top w:val="single" w:sz="4" w:space="0" w:color="auto"/>
              <w:left w:val="single" w:sz="4" w:space="0" w:color="auto"/>
              <w:bottom w:val="single" w:sz="4" w:space="0" w:color="auto"/>
              <w:right w:val="single" w:sz="4" w:space="0" w:color="auto"/>
            </w:tcBorders>
            <w:vAlign w:val="center"/>
          </w:tcPr>
          <w:p w14:paraId="70D31D7B"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6E1EE2AE" w14:textId="77777777" w:rsidR="00E57DAA" w:rsidRDefault="00AC4185">
            <w:pPr>
              <w:autoSpaceDE w:val="0"/>
              <w:autoSpaceDN w:val="0"/>
              <w:adjustRightInd w:val="0"/>
              <w:rPr>
                <w:szCs w:val="21"/>
              </w:rPr>
            </w:pPr>
            <w:r>
              <w:t>烟台山水水泥有限公司</w:t>
            </w:r>
          </w:p>
        </w:tc>
        <w:tc>
          <w:tcPr>
            <w:tcW w:w="633" w:type="pct"/>
            <w:tcBorders>
              <w:top w:val="single" w:sz="4" w:space="0" w:color="auto"/>
              <w:left w:val="single" w:sz="4" w:space="0" w:color="auto"/>
              <w:bottom w:val="single" w:sz="4" w:space="0" w:color="auto"/>
              <w:right w:val="single" w:sz="4" w:space="0" w:color="auto"/>
            </w:tcBorders>
          </w:tcPr>
          <w:p w14:paraId="31EB15BD" w14:textId="77777777" w:rsidR="00E57DAA" w:rsidRDefault="00AC4185">
            <w:pPr>
              <w:autoSpaceDE w:val="0"/>
              <w:autoSpaceDN w:val="0"/>
              <w:adjustRightInd w:val="0"/>
              <w:jc w:val="right"/>
              <w:rPr>
                <w:szCs w:val="21"/>
              </w:rPr>
            </w:pPr>
            <w:r>
              <w:t>2,500,000.00</w:t>
            </w:r>
          </w:p>
        </w:tc>
        <w:tc>
          <w:tcPr>
            <w:tcW w:w="632" w:type="pct"/>
            <w:tcBorders>
              <w:top w:val="single" w:sz="4" w:space="0" w:color="auto"/>
              <w:left w:val="single" w:sz="4" w:space="0" w:color="auto"/>
              <w:bottom w:val="single" w:sz="4" w:space="0" w:color="auto"/>
              <w:right w:val="single" w:sz="4" w:space="0" w:color="auto"/>
            </w:tcBorders>
          </w:tcPr>
          <w:p w14:paraId="22ADB62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D30A18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DB1587D" w14:textId="77777777" w:rsidR="00E57DAA" w:rsidRDefault="00AC4185">
            <w:pPr>
              <w:autoSpaceDE w:val="0"/>
              <w:autoSpaceDN w:val="0"/>
              <w:adjustRightInd w:val="0"/>
              <w:jc w:val="right"/>
              <w:rPr>
                <w:szCs w:val="21"/>
              </w:rPr>
            </w:pPr>
            <w:r>
              <w:t xml:space="preserve">　</w:t>
            </w:r>
          </w:p>
        </w:tc>
      </w:tr>
      <w:tr w:rsidR="00E57DAA" w14:paraId="1F10E7D4" w14:textId="77777777">
        <w:tc>
          <w:tcPr>
            <w:tcW w:w="677" w:type="pct"/>
            <w:tcBorders>
              <w:top w:val="single" w:sz="4" w:space="0" w:color="auto"/>
              <w:left w:val="single" w:sz="4" w:space="0" w:color="auto"/>
              <w:bottom w:val="single" w:sz="4" w:space="0" w:color="auto"/>
              <w:right w:val="single" w:sz="4" w:space="0" w:color="auto"/>
            </w:tcBorders>
            <w:vAlign w:val="center"/>
          </w:tcPr>
          <w:p w14:paraId="39E3F8F1"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9D21395" w14:textId="77777777" w:rsidR="00E57DAA" w:rsidRDefault="00AC4185">
            <w:pPr>
              <w:autoSpaceDE w:val="0"/>
              <w:autoSpaceDN w:val="0"/>
              <w:adjustRightInd w:val="0"/>
              <w:rPr>
                <w:szCs w:val="21"/>
              </w:rPr>
            </w:pPr>
            <w:r>
              <w:t>四川德胜集团钒钛有限公司</w:t>
            </w:r>
          </w:p>
        </w:tc>
        <w:tc>
          <w:tcPr>
            <w:tcW w:w="633" w:type="pct"/>
            <w:tcBorders>
              <w:top w:val="single" w:sz="4" w:space="0" w:color="auto"/>
              <w:left w:val="single" w:sz="4" w:space="0" w:color="auto"/>
              <w:bottom w:val="single" w:sz="4" w:space="0" w:color="auto"/>
              <w:right w:val="single" w:sz="4" w:space="0" w:color="auto"/>
            </w:tcBorders>
          </w:tcPr>
          <w:p w14:paraId="0B4639C3" w14:textId="77777777" w:rsidR="00E57DAA" w:rsidRDefault="00AC4185">
            <w:pPr>
              <w:autoSpaceDE w:val="0"/>
              <w:autoSpaceDN w:val="0"/>
              <w:adjustRightInd w:val="0"/>
              <w:jc w:val="right"/>
              <w:rPr>
                <w:szCs w:val="21"/>
              </w:rPr>
            </w:pPr>
            <w:r>
              <w:t>1,650,000.00</w:t>
            </w:r>
          </w:p>
        </w:tc>
        <w:tc>
          <w:tcPr>
            <w:tcW w:w="632" w:type="pct"/>
            <w:tcBorders>
              <w:top w:val="single" w:sz="4" w:space="0" w:color="auto"/>
              <w:left w:val="single" w:sz="4" w:space="0" w:color="auto"/>
              <w:bottom w:val="single" w:sz="4" w:space="0" w:color="auto"/>
              <w:right w:val="single" w:sz="4" w:space="0" w:color="auto"/>
            </w:tcBorders>
          </w:tcPr>
          <w:p w14:paraId="2022A06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70F3A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7400BC8" w14:textId="77777777" w:rsidR="00E57DAA" w:rsidRDefault="00AC4185">
            <w:pPr>
              <w:autoSpaceDE w:val="0"/>
              <w:autoSpaceDN w:val="0"/>
              <w:adjustRightInd w:val="0"/>
              <w:jc w:val="right"/>
              <w:rPr>
                <w:szCs w:val="21"/>
              </w:rPr>
            </w:pPr>
            <w:r>
              <w:t xml:space="preserve">　</w:t>
            </w:r>
          </w:p>
        </w:tc>
      </w:tr>
      <w:tr w:rsidR="00E57DAA" w14:paraId="0DB6D8E9" w14:textId="77777777">
        <w:tc>
          <w:tcPr>
            <w:tcW w:w="677" w:type="pct"/>
            <w:tcBorders>
              <w:top w:val="single" w:sz="4" w:space="0" w:color="auto"/>
              <w:left w:val="single" w:sz="4" w:space="0" w:color="auto"/>
              <w:bottom w:val="single" w:sz="4" w:space="0" w:color="auto"/>
              <w:right w:val="single" w:sz="4" w:space="0" w:color="auto"/>
            </w:tcBorders>
            <w:vAlign w:val="center"/>
          </w:tcPr>
          <w:p w14:paraId="669A6044"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B6C1002" w14:textId="77777777" w:rsidR="00E57DAA" w:rsidRDefault="00AC4185">
            <w:pPr>
              <w:autoSpaceDE w:val="0"/>
              <w:autoSpaceDN w:val="0"/>
              <w:adjustRightInd w:val="0"/>
              <w:rPr>
                <w:szCs w:val="21"/>
              </w:rPr>
            </w:pPr>
            <w:r>
              <w:t>山东东华科技有限公司</w:t>
            </w:r>
          </w:p>
        </w:tc>
        <w:tc>
          <w:tcPr>
            <w:tcW w:w="633" w:type="pct"/>
            <w:tcBorders>
              <w:top w:val="single" w:sz="4" w:space="0" w:color="auto"/>
              <w:left w:val="single" w:sz="4" w:space="0" w:color="auto"/>
              <w:bottom w:val="single" w:sz="4" w:space="0" w:color="auto"/>
              <w:right w:val="single" w:sz="4" w:space="0" w:color="auto"/>
            </w:tcBorders>
          </w:tcPr>
          <w:p w14:paraId="0BAEE782" w14:textId="77777777" w:rsidR="00E57DAA" w:rsidRDefault="00AC4185">
            <w:pPr>
              <w:autoSpaceDE w:val="0"/>
              <w:autoSpaceDN w:val="0"/>
              <w:adjustRightInd w:val="0"/>
              <w:jc w:val="right"/>
              <w:rPr>
                <w:szCs w:val="21"/>
              </w:rPr>
            </w:pPr>
            <w:r>
              <w:t>1,500,000.00</w:t>
            </w:r>
          </w:p>
        </w:tc>
        <w:tc>
          <w:tcPr>
            <w:tcW w:w="632" w:type="pct"/>
            <w:tcBorders>
              <w:top w:val="single" w:sz="4" w:space="0" w:color="auto"/>
              <w:left w:val="single" w:sz="4" w:space="0" w:color="auto"/>
              <w:bottom w:val="single" w:sz="4" w:space="0" w:color="auto"/>
              <w:right w:val="single" w:sz="4" w:space="0" w:color="auto"/>
            </w:tcBorders>
          </w:tcPr>
          <w:p w14:paraId="4FF4245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4230DB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FD15BAD" w14:textId="77777777" w:rsidR="00E57DAA" w:rsidRDefault="00AC4185">
            <w:pPr>
              <w:autoSpaceDE w:val="0"/>
              <w:autoSpaceDN w:val="0"/>
              <w:adjustRightInd w:val="0"/>
              <w:jc w:val="right"/>
              <w:rPr>
                <w:szCs w:val="21"/>
              </w:rPr>
            </w:pPr>
            <w:r>
              <w:t xml:space="preserve">　</w:t>
            </w:r>
          </w:p>
        </w:tc>
      </w:tr>
      <w:tr w:rsidR="00E57DAA" w14:paraId="0CCF60D1" w14:textId="77777777">
        <w:tc>
          <w:tcPr>
            <w:tcW w:w="677" w:type="pct"/>
            <w:tcBorders>
              <w:top w:val="single" w:sz="4" w:space="0" w:color="auto"/>
              <w:left w:val="single" w:sz="4" w:space="0" w:color="auto"/>
              <w:bottom w:val="single" w:sz="4" w:space="0" w:color="auto"/>
              <w:right w:val="single" w:sz="4" w:space="0" w:color="auto"/>
            </w:tcBorders>
            <w:vAlign w:val="center"/>
          </w:tcPr>
          <w:p w14:paraId="3AAC2D0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7A490D5B" w14:textId="77777777" w:rsidR="00E57DAA" w:rsidRDefault="00AC4185">
            <w:pPr>
              <w:autoSpaceDE w:val="0"/>
              <w:autoSpaceDN w:val="0"/>
              <w:adjustRightInd w:val="0"/>
              <w:rPr>
                <w:szCs w:val="21"/>
              </w:rPr>
            </w:pPr>
            <w:r>
              <w:t>昌乐山水水泥有限公司</w:t>
            </w:r>
          </w:p>
        </w:tc>
        <w:tc>
          <w:tcPr>
            <w:tcW w:w="633" w:type="pct"/>
            <w:tcBorders>
              <w:top w:val="single" w:sz="4" w:space="0" w:color="auto"/>
              <w:left w:val="single" w:sz="4" w:space="0" w:color="auto"/>
              <w:bottom w:val="single" w:sz="4" w:space="0" w:color="auto"/>
              <w:right w:val="single" w:sz="4" w:space="0" w:color="auto"/>
            </w:tcBorders>
          </w:tcPr>
          <w:p w14:paraId="5F9260C1" w14:textId="77777777" w:rsidR="00E57DAA" w:rsidRDefault="00AC4185">
            <w:pPr>
              <w:autoSpaceDE w:val="0"/>
              <w:autoSpaceDN w:val="0"/>
              <w:adjustRightInd w:val="0"/>
              <w:jc w:val="right"/>
              <w:rPr>
                <w:szCs w:val="21"/>
              </w:rPr>
            </w:pPr>
            <w:r>
              <w:t>550,000.00</w:t>
            </w:r>
          </w:p>
        </w:tc>
        <w:tc>
          <w:tcPr>
            <w:tcW w:w="632" w:type="pct"/>
            <w:tcBorders>
              <w:top w:val="single" w:sz="4" w:space="0" w:color="auto"/>
              <w:left w:val="single" w:sz="4" w:space="0" w:color="auto"/>
              <w:bottom w:val="single" w:sz="4" w:space="0" w:color="auto"/>
              <w:right w:val="single" w:sz="4" w:space="0" w:color="auto"/>
            </w:tcBorders>
          </w:tcPr>
          <w:p w14:paraId="0D96C05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5D25C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F7F96F6" w14:textId="77777777" w:rsidR="00E57DAA" w:rsidRDefault="00AC4185">
            <w:pPr>
              <w:autoSpaceDE w:val="0"/>
              <w:autoSpaceDN w:val="0"/>
              <w:adjustRightInd w:val="0"/>
              <w:jc w:val="right"/>
              <w:rPr>
                <w:szCs w:val="21"/>
              </w:rPr>
            </w:pPr>
            <w:r>
              <w:t xml:space="preserve">　</w:t>
            </w:r>
          </w:p>
        </w:tc>
      </w:tr>
      <w:tr w:rsidR="00E57DAA" w14:paraId="1092C728" w14:textId="77777777">
        <w:tc>
          <w:tcPr>
            <w:tcW w:w="677" w:type="pct"/>
            <w:tcBorders>
              <w:top w:val="single" w:sz="4" w:space="0" w:color="auto"/>
              <w:left w:val="single" w:sz="4" w:space="0" w:color="auto"/>
              <w:bottom w:val="single" w:sz="4" w:space="0" w:color="auto"/>
              <w:right w:val="single" w:sz="4" w:space="0" w:color="auto"/>
            </w:tcBorders>
            <w:vAlign w:val="center"/>
          </w:tcPr>
          <w:p w14:paraId="0AC1F8B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4E7010B9" w14:textId="77777777" w:rsidR="00E57DAA" w:rsidRDefault="00AC4185">
            <w:pPr>
              <w:autoSpaceDE w:val="0"/>
              <w:autoSpaceDN w:val="0"/>
              <w:adjustRightInd w:val="0"/>
              <w:rPr>
                <w:szCs w:val="21"/>
              </w:rPr>
            </w:pPr>
            <w:r>
              <w:t>四川省达州钢铁集团有限责任公司</w:t>
            </w:r>
          </w:p>
        </w:tc>
        <w:tc>
          <w:tcPr>
            <w:tcW w:w="633" w:type="pct"/>
            <w:tcBorders>
              <w:top w:val="single" w:sz="4" w:space="0" w:color="auto"/>
              <w:left w:val="single" w:sz="4" w:space="0" w:color="auto"/>
              <w:bottom w:val="single" w:sz="4" w:space="0" w:color="auto"/>
              <w:right w:val="single" w:sz="4" w:space="0" w:color="auto"/>
            </w:tcBorders>
          </w:tcPr>
          <w:p w14:paraId="3C3E6D89"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41FD02E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26615FE"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41666739" w14:textId="77777777" w:rsidR="00E57DAA" w:rsidRDefault="00AC4185">
            <w:pPr>
              <w:autoSpaceDE w:val="0"/>
              <w:autoSpaceDN w:val="0"/>
              <w:adjustRightInd w:val="0"/>
              <w:jc w:val="right"/>
              <w:rPr>
                <w:szCs w:val="21"/>
              </w:rPr>
            </w:pPr>
            <w:r>
              <w:t xml:space="preserve">　</w:t>
            </w:r>
          </w:p>
        </w:tc>
      </w:tr>
      <w:tr w:rsidR="00E57DAA" w14:paraId="5F2BC093" w14:textId="77777777">
        <w:tc>
          <w:tcPr>
            <w:tcW w:w="677" w:type="pct"/>
            <w:tcBorders>
              <w:top w:val="single" w:sz="4" w:space="0" w:color="auto"/>
              <w:left w:val="single" w:sz="4" w:space="0" w:color="auto"/>
              <w:bottom w:val="single" w:sz="4" w:space="0" w:color="auto"/>
              <w:right w:val="single" w:sz="4" w:space="0" w:color="auto"/>
            </w:tcBorders>
            <w:vAlign w:val="center"/>
          </w:tcPr>
          <w:p w14:paraId="69EF0E0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12F98A0B" w14:textId="77777777" w:rsidR="00E57DAA" w:rsidRDefault="00AC4185">
            <w:pPr>
              <w:autoSpaceDE w:val="0"/>
              <w:autoSpaceDN w:val="0"/>
              <w:adjustRightInd w:val="0"/>
              <w:rPr>
                <w:szCs w:val="21"/>
              </w:rPr>
            </w:pPr>
            <w:r>
              <w:t>安徽珍珠水泥集团股份有限公司</w:t>
            </w:r>
          </w:p>
        </w:tc>
        <w:tc>
          <w:tcPr>
            <w:tcW w:w="633" w:type="pct"/>
            <w:tcBorders>
              <w:top w:val="single" w:sz="4" w:space="0" w:color="auto"/>
              <w:left w:val="single" w:sz="4" w:space="0" w:color="auto"/>
              <w:bottom w:val="single" w:sz="4" w:space="0" w:color="auto"/>
              <w:right w:val="single" w:sz="4" w:space="0" w:color="auto"/>
            </w:tcBorders>
          </w:tcPr>
          <w:p w14:paraId="0A3192A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AD2DAA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61BA417" w14:textId="77777777" w:rsidR="00E57DAA" w:rsidRDefault="00AC4185">
            <w:pPr>
              <w:autoSpaceDE w:val="0"/>
              <w:autoSpaceDN w:val="0"/>
              <w:adjustRightInd w:val="0"/>
              <w:jc w:val="right"/>
              <w:rPr>
                <w:szCs w:val="21"/>
              </w:rPr>
            </w:pPr>
            <w:r>
              <w:t>2,500,000.00</w:t>
            </w:r>
          </w:p>
        </w:tc>
        <w:tc>
          <w:tcPr>
            <w:tcW w:w="914" w:type="pct"/>
            <w:tcBorders>
              <w:top w:val="single" w:sz="4" w:space="0" w:color="auto"/>
              <w:left w:val="single" w:sz="4" w:space="0" w:color="auto"/>
              <w:bottom w:val="single" w:sz="4" w:space="0" w:color="auto"/>
              <w:right w:val="single" w:sz="4" w:space="0" w:color="auto"/>
            </w:tcBorders>
          </w:tcPr>
          <w:p w14:paraId="1D72FB9F" w14:textId="77777777" w:rsidR="00E57DAA" w:rsidRDefault="00AC4185">
            <w:pPr>
              <w:autoSpaceDE w:val="0"/>
              <w:autoSpaceDN w:val="0"/>
              <w:adjustRightInd w:val="0"/>
              <w:jc w:val="right"/>
              <w:rPr>
                <w:szCs w:val="21"/>
              </w:rPr>
            </w:pPr>
            <w:r>
              <w:t xml:space="preserve">　</w:t>
            </w:r>
          </w:p>
        </w:tc>
      </w:tr>
      <w:tr w:rsidR="00E57DAA" w14:paraId="064ECB48" w14:textId="77777777">
        <w:tc>
          <w:tcPr>
            <w:tcW w:w="677" w:type="pct"/>
            <w:tcBorders>
              <w:top w:val="single" w:sz="4" w:space="0" w:color="auto"/>
              <w:left w:val="single" w:sz="4" w:space="0" w:color="auto"/>
              <w:bottom w:val="single" w:sz="4" w:space="0" w:color="auto"/>
              <w:right w:val="single" w:sz="4" w:space="0" w:color="auto"/>
            </w:tcBorders>
            <w:vAlign w:val="center"/>
          </w:tcPr>
          <w:p w14:paraId="2C87C1FD"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6F29C0AD" w14:textId="77777777" w:rsidR="00E57DAA" w:rsidRDefault="00AC4185">
            <w:pPr>
              <w:autoSpaceDE w:val="0"/>
              <w:autoSpaceDN w:val="0"/>
              <w:adjustRightInd w:val="0"/>
              <w:rPr>
                <w:szCs w:val="21"/>
              </w:rPr>
            </w:pPr>
            <w:r>
              <w:t>芜湖南方水泥有限公司</w:t>
            </w:r>
          </w:p>
        </w:tc>
        <w:tc>
          <w:tcPr>
            <w:tcW w:w="633" w:type="pct"/>
            <w:tcBorders>
              <w:top w:val="single" w:sz="4" w:space="0" w:color="auto"/>
              <w:left w:val="single" w:sz="4" w:space="0" w:color="auto"/>
              <w:bottom w:val="single" w:sz="4" w:space="0" w:color="auto"/>
              <w:right w:val="single" w:sz="4" w:space="0" w:color="auto"/>
            </w:tcBorders>
          </w:tcPr>
          <w:p w14:paraId="2FD1AEC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A2ABA9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444484E" w14:textId="77777777" w:rsidR="00E57DAA" w:rsidRDefault="00AC4185">
            <w:pPr>
              <w:autoSpaceDE w:val="0"/>
              <w:autoSpaceDN w:val="0"/>
              <w:adjustRightInd w:val="0"/>
              <w:jc w:val="right"/>
              <w:rPr>
                <w:szCs w:val="21"/>
              </w:rPr>
            </w:pPr>
            <w:r>
              <w:t>510,000.00</w:t>
            </w:r>
          </w:p>
        </w:tc>
        <w:tc>
          <w:tcPr>
            <w:tcW w:w="914" w:type="pct"/>
            <w:tcBorders>
              <w:top w:val="single" w:sz="4" w:space="0" w:color="auto"/>
              <w:left w:val="single" w:sz="4" w:space="0" w:color="auto"/>
              <w:bottom w:val="single" w:sz="4" w:space="0" w:color="auto"/>
              <w:right w:val="single" w:sz="4" w:space="0" w:color="auto"/>
            </w:tcBorders>
          </w:tcPr>
          <w:p w14:paraId="7A96CD4C" w14:textId="77777777" w:rsidR="00E57DAA" w:rsidRDefault="00AC4185">
            <w:pPr>
              <w:autoSpaceDE w:val="0"/>
              <w:autoSpaceDN w:val="0"/>
              <w:adjustRightInd w:val="0"/>
              <w:jc w:val="right"/>
              <w:rPr>
                <w:szCs w:val="21"/>
              </w:rPr>
            </w:pPr>
            <w:r>
              <w:t xml:space="preserve">　</w:t>
            </w:r>
          </w:p>
        </w:tc>
      </w:tr>
      <w:tr w:rsidR="00E57DAA" w14:paraId="4B500A7D" w14:textId="77777777">
        <w:tc>
          <w:tcPr>
            <w:tcW w:w="677" w:type="pct"/>
            <w:tcBorders>
              <w:top w:val="single" w:sz="4" w:space="0" w:color="auto"/>
              <w:left w:val="single" w:sz="4" w:space="0" w:color="auto"/>
              <w:bottom w:val="single" w:sz="4" w:space="0" w:color="auto"/>
              <w:right w:val="single" w:sz="4" w:space="0" w:color="auto"/>
            </w:tcBorders>
            <w:vAlign w:val="center"/>
          </w:tcPr>
          <w:p w14:paraId="17D94793"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059B91A5" w14:textId="77777777" w:rsidR="00E57DAA" w:rsidRDefault="00AC4185">
            <w:pPr>
              <w:autoSpaceDE w:val="0"/>
              <w:autoSpaceDN w:val="0"/>
              <w:adjustRightInd w:val="0"/>
              <w:rPr>
                <w:szCs w:val="21"/>
              </w:rPr>
            </w:pPr>
            <w:r>
              <w:t>凤阳中都水泥有限公司</w:t>
            </w:r>
          </w:p>
        </w:tc>
        <w:tc>
          <w:tcPr>
            <w:tcW w:w="633" w:type="pct"/>
            <w:tcBorders>
              <w:top w:val="single" w:sz="4" w:space="0" w:color="auto"/>
              <w:left w:val="single" w:sz="4" w:space="0" w:color="auto"/>
              <w:bottom w:val="single" w:sz="4" w:space="0" w:color="auto"/>
              <w:right w:val="single" w:sz="4" w:space="0" w:color="auto"/>
            </w:tcBorders>
          </w:tcPr>
          <w:p w14:paraId="3C2F261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7D5B85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D0ED0D4"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1C6E3766" w14:textId="77777777" w:rsidR="00E57DAA" w:rsidRDefault="00AC4185">
            <w:pPr>
              <w:autoSpaceDE w:val="0"/>
              <w:autoSpaceDN w:val="0"/>
              <w:adjustRightInd w:val="0"/>
              <w:jc w:val="right"/>
              <w:rPr>
                <w:szCs w:val="21"/>
              </w:rPr>
            </w:pPr>
            <w:r>
              <w:t xml:space="preserve">　</w:t>
            </w:r>
          </w:p>
        </w:tc>
      </w:tr>
      <w:tr w:rsidR="00E57DAA" w14:paraId="6F60591B" w14:textId="77777777">
        <w:tc>
          <w:tcPr>
            <w:tcW w:w="677" w:type="pct"/>
            <w:tcBorders>
              <w:top w:val="single" w:sz="4" w:space="0" w:color="auto"/>
              <w:left w:val="single" w:sz="4" w:space="0" w:color="auto"/>
              <w:bottom w:val="single" w:sz="4" w:space="0" w:color="auto"/>
              <w:right w:val="single" w:sz="4" w:space="0" w:color="auto"/>
            </w:tcBorders>
            <w:vAlign w:val="center"/>
          </w:tcPr>
          <w:p w14:paraId="58AF2D5C" w14:textId="77777777" w:rsidR="00E57DAA" w:rsidRDefault="00AC4185">
            <w:pPr>
              <w:autoSpaceDE w:val="0"/>
              <w:autoSpaceDN w:val="0"/>
              <w:adjustRightInd w:val="0"/>
              <w:rPr>
                <w:szCs w:val="21"/>
              </w:rPr>
            </w:pPr>
            <w:r>
              <w:t>应收款项融资</w:t>
            </w:r>
          </w:p>
        </w:tc>
        <w:tc>
          <w:tcPr>
            <w:tcW w:w="1441" w:type="pct"/>
            <w:tcBorders>
              <w:top w:val="single" w:sz="4" w:space="0" w:color="auto"/>
              <w:left w:val="single" w:sz="4" w:space="0" w:color="auto"/>
              <w:bottom w:val="single" w:sz="4" w:space="0" w:color="auto"/>
              <w:right w:val="single" w:sz="4" w:space="0" w:color="auto"/>
            </w:tcBorders>
          </w:tcPr>
          <w:p w14:paraId="536BF4FE" w14:textId="77777777" w:rsidR="00E57DAA" w:rsidRDefault="00AC4185">
            <w:pPr>
              <w:autoSpaceDE w:val="0"/>
              <w:autoSpaceDN w:val="0"/>
              <w:adjustRightInd w:val="0"/>
              <w:rPr>
                <w:szCs w:val="21"/>
              </w:rPr>
            </w:pPr>
            <w:r>
              <w:t>济南山水物流港有限公司</w:t>
            </w:r>
          </w:p>
        </w:tc>
        <w:tc>
          <w:tcPr>
            <w:tcW w:w="633" w:type="pct"/>
            <w:tcBorders>
              <w:top w:val="single" w:sz="4" w:space="0" w:color="auto"/>
              <w:left w:val="single" w:sz="4" w:space="0" w:color="auto"/>
              <w:bottom w:val="single" w:sz="4" w:space="0" w:color="auto"/>
              <w:right w:val="single" w:sz="4" w:space="0" w:color="auto"/>
            </w:tcBorders>
          </w:tcPr>
          <w:p w14:paraId="6FA2948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B29F51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3AC1D3E"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1CEA9B9B" w14:textId="77777777" w:rsidR="00E57DAA" w:rsidRDefault="00AC4185">
            <w:pPr>
              <w:autoSpaceDE w:val="0"/>
              <w:autoSpaceDN w:val="0"/>
              <w:adjustRightInd w:val="0"/>
              <w:jc w:val="right"/>
              <w:rPr>
                <w:szCs w:val="21"/>
              </w:rPr>
            </w:pPr>
            <w:r>
              <w:t xml:space="preserve">　</w:t>
            </w:r>
          </w:p>
        </w:tc>
      </w:tr>
      <w:tr w:rsidR="00E57DAA" w14:paraId="20D5263C" w14:textId="77777777">
        <w:tc>
          <w:tcPr>
            <w:tcW w:w="677" w:type="pct"/>
            <w:tcBorders>
              <w:top w:val="single" w:sz="4" w:space="0" w:color="auto"/>
              <w:left w:val="single" w:sz="4" w:space="0" w:color="auto"/>
              <w:bottom w:val="single" w:sz="4" w:space="0" w:color="auto"/>
              <w:right w:val="single" w:sz="4" w:space="0" w:color="auto"/>
            </w:tcBorders>
            <w:vAlign w:val="center"/>
          </w:tcPr>
          <w:p w14:paraId="5E474BCE"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7034065C" w14:textId="77777777" w:rsidR="00E57DAA" w:rsidRDefault="00AC4185">
            <w:pPr>
              <w:autoSpaceDE w:val="0"/>
              <w:autoSpaceDN w:val="0"/>
              <w:adjustRightInd w:val="0"/>
              <w:rPr>
                <w:szCs w:val="21"/>
              </w:rPr>
            </w:pPr>
            <w:r>
              <w:t>联营企业</w:t>
            </w:r>
          </w:p>
        </w:tc>
        <w:tc>
          <w:tcPr>
            <w:tcW w:w="633" w:type="pct"/>
            <w:tcBorders>
              <w:top w:val="single" w:sz="4" w:space="0" w:color="auto"/>
              <w:left w:val="single" w:sz="4" w:space="0" w:color="auto"/>
              <w:bottom w:val="single" w:sz="4" w:space="0" w:color="auto"/>
              <w:right w:val="single" w:sz="4" w:space="0" w:color="auto"/>
            </w:tcBorders>
          </w:tcPr>
          <w:p w14:paraId="16E4E02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578CF6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6BA617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739D60B" w14:textId="77777777" w:rsidR="00E57DAA" w:rsidRDefault="00AC4185">
            <w:pPr>
              <w:autoSpaceDE w:val="0"/>
              <w:autoSpaceDN w:val="0"/>
              <w:adjustRightInd w:val="0"/>
              <w:jc w:val="right"/>
              <w:rPr>
                <w:szCs w:val="21"/>
              </w:rPr>
            </w:pPr>
            <w:r>
              <w:t xml:space="preserve">　</w:t>
            </w:r>
          </w:p>
        </w:tc>
      </w:tr>
      <w:tr w:rsidR="00E57DAA" w14:paraId="31ABFB7B" w14:textId="77777777">
        <w:tc>
          <w:tcPr>
            <w:tcW w:w="677" w:type="pct"/>
            <w:tcBorders>
              <w:top w:val="single" w:sz="4" w:space="0" w:color="auto"/>
              <w:left w:val="single" w:sz="4" w:space="0" w:color="auto"/>
              <w:bottom w:val="single" w:sz="4" w:space="0" w:color="auto"/>
              <w:right w:val="single" w:sz="4" w:space="0" w:color="auto"/>
            </w:tcBorders>
            <w:vAlign w:val="center"/>
          </w:tcPr>
          <w:p w14:paraId="2C28952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BEECC57" w14:textId="77777777" w:rsidR="00E57DAA" w:rsidRDefault="00AC4185">
            <w:pPr>
              <w:autoSpaceDE w:val="0"/>
              <w:autoSpaceDN w:val="0"/>
              <w:adjustRightInd w:val="0"/>
              <w:rPr>
                <w:szCs w:val="21"/>
              </w:rPr>
            </w:pPr>
            <w:r>
              <w:t>中建（淄博）重型机械有限公司</w:t>
            </w:r>
          </w:p>
        </w:tc>
        <w:tc>
          <w:tcPr>
            <w:tcW w:w="633" w:type="pct"/>
            <w:tcBorders>
              <w:top w:val="single" w:sz="4" w:space="0" w:color="auto"/>
              <w:left w:val="single" w:sz="4" w:space="0" w:color="auto"/>
              <w:bottom w:val="single" w:sz="4" w:space="0" w:color="auto"/>
              <w:right w:val="single" w:sz="4" w:space="0" w:color="auto"/>
            </w:tcBorders>
          </w:tcPr>
          <w:p w14:paraId="0321F0EA" w14:textId="77777777" w:rsidR="00E57DAA" w:rsidRDefault="00AC4185">
            <w:pPr>
              <w:autoSpaceDE w:val="0"/>
              <w:autoSpaceDN w:val="0"/>
              <w:adjustRightInd w:val="0"/>
              <w:jc w:val="right"/>
              <w:rPr>
                <w:szCs w:val="21"/>
              </w:rPr>
            </w:pPr>
            <w:r>
              <w:t>18,919,718.12</w:t>
            </w:r>
          </w:p>
        </w:tc>
        <w:tc>
          <w:tcPr>
            <w:tcW w:w="632" w:type="pct"/>
            <w:tcBorders>
              <w:top w:val="single" w:sz="4" w:space="0" w:color="auto"/>
              <w:left w:val="single" w:sz="4" w:space="0" w:color="auto"/>
              <w:bottom w:val="single" w:sz="4" w:space="0" w:color="auto"/>
              <w:right w:val="single" w:sz="4" w:space="0" w:color="auto"/>
            </w:tcBorders>
          </w:tcPr>
          <w:p w14:paraId="4823E32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3CF0899" w14:textId="77777777" w:rsidR="00E57DAA" w:rsidRDefault="00AC4185">
            <w:pPr>
              <w:autoSpaceDE w:val="0"/>
              <w:autoSpaceDN w:val="0"/>
              <w:adjustRightInd w:val="0"/>
              <w:jc w:val="right"/>
              <w:rPr>
                <w:szCs w:val="21"/>
              </w:rPr>
            </w:pPr>
            <w:r>
              <w:t>32,027,790.76</w:t>
            </w:r>
          </w:p>
        </w:tc>
        <w:tc>
          <w:tcPr>
            <w:tcW w:w="914" w:type="pct"/>
            <w:tcBorders>
              <w:top w:val="single" w:sz="4" w:space="0" w:color="auto"/>
              <w:left w:val="single" w:sz="4" w:space="0" w:color="auto"/>
              <w:bottom w:val="single" w:sz="4" w:space="0" w:color="auto"/>
              <w:right w:val="single" w:sz="4" w:space="0" w:color="auto"/>
            </w:tcBorders>
          </w:tcPr>
          <w:p w14:paraId="5889987E" w14:textId="77777777" w:rsidR="00E57DAA" w:rsidRDefault="00AC4185">
            <w:pPr>
              <w:autoSpaceDE w:val="0"/>
              <w:autoSpaceDN w:val="0"/>
              <w:adjustRightInd w:val="0"/>
              <w:jc w:val="right"/>
              <w:rPr>
                <w:szCs w:val="21"/>
              </w:rPr>
            </w:pPr>
            <w:r>
              <w:t xml:space="preserve">　</w:t>
            </w:r>
          </w:p>
        </w:tc>
      </w:tr>
      <w:tr w:rsidR="00E57DAA" w14:paraId="3A268936" w14:textId="77777777">
        <w:tc>
          <w:tcPr>
            <w:tcW w:w="677" w:type="pct"/>
            <w:tcBorders>
              <w:top w:val="single" w:sz="4" w:space="0" w:color="auto"/>
              <w:left w:val="single" w:sz="4" w:space="0" w:color="auto"/>
              <w:bottom w:val="single" w:sz="4" w:space="0" w:color="auto"/>
              <w:right w:val="single" w:sz="4" w:space="0" w:color="auto"/>
            </w:tcBorders>
            <w:vAlign w:val="center"/>
          </w:tcPr>
          <w:p w14:paraId="2DDB7221"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6B62AA9" w14:textId="77777777" w:rsidR="00E57DAA" w:rsidRDefault="00AC4185">
            <w:pPr>
              <w:autoSpaceDE w:val="0"/>
              <w:autoSpaceDN w:val="0"/>
              <w:adjustRightInd w:val="0"/>
              <w:rPr>
                <w:szCs w:val="21"/>
              </w:rPr>
            </w:pPr>
            <w:r>
              <w:t>中才邦业（杭州）智能技术有限公司</w:t>
            </w:r>
          </w:p>
        </w:tc>
        <w:tc>
          <w:tcPr>
            <w:tcW w:w="633" w:type="pct"/>
            <w:tcBorders>
              <w:top w:val="single" w:sz="4" w:space="0" w:color="auto"/>
              <w:left w:val="single" w:sz="4" w:space="0" w:color="auto"/>
              <w:bottom w:val="single" w:sz="4" w:space="0" w:color="auto"/>
              <w:right w:val="single" w:sz="4" w:space="0" w:color="auto"/>
            </w:tcBorders>
          </w:tcPr>
          <w:p w14:paraId="258F8AF5" w14:textId="77777777" w:rsidR="00E57DAA" w:rsidRDefault="00AC4185">
            <w:pPr>
              <w:autoSpaceDE w:val="0"/>
              <w:autoSpaceDN w:val="0"/>
              <w:adjustRightInd w:val="0"/>
              <w:jc w:val="right"/>
              <w:rPr>
                <w:szCs w:val="21"/>
              </w:rPr>
            </w:pPr>
            <w:r>
              <w:t>11,861,000.00</w:t>
            </w:r>
          </w:p>
        </w:tc>
        <w:tc>
          <w:tcPr>
            <w:tcW w:w="632" w:type="pct"/>
            <w:tcBorders>
              <w:top w:val="single" w:sz="4" w:space="0" w:color="auto"/>
              <w:left w:val="single" w:sz="4" w:space="0" w:color="auto"/>
              <w:bottom w:val="single" w:sz="4" w:space="0" w:color="auto"/>
              <w:right w:val="single" w:sz="4" w:space="0" w:color="auto"/>
            </w:tcBorders>
          </w:tcPr>
          <w:p w14:paraId="0ED2B29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41B3A87" w14:textId="77777777" w:rsidR="00E57DAA" w:rsidRDefault="00AC4185">
            <w:pPr>
              <w:autoSpaceDE w:val="0"/>
              <w:autoSpaceDN w:val="0"/>
              <w:adjustRightInd w:val="0"/>
              <w:jc w:val="right"/>
              <w:rPr>
                <w:szCs w:val="21"/>
              </w:rPr>
            </w:pPr>
            <w:r>
              <w:t>2,683,025.40</w:t>
            </w:r>
          </w:p>
        </w:tc>
        <w:tc>
          <w:tcPr>
            <w:tcW w:w="914" w:type="pct"/>
            <w:tcBorders>
              <w:top w:val="single" w:sz="4" w:space="0" w:color="auto"/>
              <w:left w:val="single" w:sz="4" w:space="0" w:color="auto"/>
              <w:bottom w:val="single" w:sz="4" w:space="0" w:color="auto"/>
              <w:right w:val="single" w:sz="4" w:space="0" w:color="auto"/>
            </w:tcBorders>
          </w:tcPr>
          <w:p w14:paraId="63A132CB" w14:textId="77777777" w:rsidR="00E57DAA" w:rsidRDefault="00AC4185">
            <w:pPr>
              <w:autoSpaceDE w:val="0"/>
              <w:autoSpaceDN w:val="0"/>
              <w:adjustRightInd w:val="0"/>
              <w:jc w:val="right"/>
              <w:rPr>
                <w:szCs w:val="21"/>
              </w:rPr>
            </w:pPr>
            <w:r>
              <w:t xml:space="preserve">　</w:t>
            </w:r>
          </w:p>
        </w:tc>
      </w:tr>
      <w:tr w:rsidR="00E57DAA" w14:paraId="1A1879C9" w14:textId="77777777">
        <w:tc>
          <w:tcPr>
            <w:tcW w:w="677" w:type="pct"/>
            <w:tcBorders>
              <w:top w:val="single" w:sz="4" w:space="0" w:color="auto"/>
              <w:left w:val="single" w:sz="4" w:space="0" w:color="auto"/>
              <w:bottom w:val="single" w:sz="4" w:space="0" w:color="auto"/>
              <w:right w:val="single" w:sz="4" w:space="0" w:color="auto"/>
            </w:tcBorders>
            <w:vAlign w:val="center"/>
          </w:tcPr>
          <w:p w14:paraId="736AB2E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F5F5E41" w14:textId="77777777" w:rsidR="00E57DAA" w:rsidRDefault="00AC4185">
            <w:pPr>
              <w:autoSpaceDE w:val="0"/>
              <w:autoSpaceDN w:val="0"/>
              <w:adjustRightInd w:val="0"/>
              <w:rPr>
                <w:szCs w:val="21"/>
              </w:rPr>
            </w:pPr>
            <w:r>
              <w:t>安徽长江环境科技有限公司</w:t>
            </w:r>
          </w:p>
        </w:tc>
        <w:tc>
          <w:tcPr>
            <w:tcW w:w="633" w:type="pct"/>
            <w:tcBorders>
              <w:top w:val="single" w:sz="4" w:space="0" w:color="auto"/>
              <w:left w:val="single" w:sz="4" w:space="0" w:color="auto"/>
              <w:bottom w:val="single" w:sz="4" w:space="0" w:color="auto"/>
              <w:right w:val="single" w:sz="4" w:space="0" w:color="auto"/>
            </w:tcBorders>
          </w:tcPr>
          <w:p w14:paraId="68AFBEF3" w14:textId="77777777" w:rsidR="00E57DAA" w:rsidRDefault="00AC4185">
            <w:pPr>
              <w:autoSpaceDE w:val="0"/>
              <w:autoSpaceDN w:val="0"/>
              <w:adjustRightInd w:val="0"/>
              <w:jc w:val="right"/>
              <w:rPr>
                <w:szCs w:val="21"/>
              </w:rPr>
            </w:pPr>
            <w:r>
              <w:t>1,942,570.48</w:t>
            </w:r>
          </w:p>
        </w:tc>
        <w:tc>
          <w:tcPr>
            <w:tcW w:w="632" w:type="pct"/>
            <w:tcBorders>
              <w:top w:val="single" w:sz="4" w:space="0" w:color="auto"/>
              <w:left w:val="single" w:sz="4" w:space="0" w:color="auto"/>
              <w:bottom w:val="single" w:sz="4" w:space="0" w:color="auto"/>
              <w:right w:val="single" w:sz="4" w:space="0" w:color="auto"/>
            </w:tcBorders>
          </w:tcPr>
          <w:p w14:paraId="393D5A3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1BB36C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630D2ED" w14:textId="77777777" w:rsidR="00E57DAA" w:rsidRDefault="00AC4185">
            <w:pPr>
              <w:autoSpaceDE w:val="0"/>
              <w:autoSpaceDN w:val="0"/>
              <w:adjustRightInd w:val="0"/>
              <w:jc w:val="right"/>
              <w:rPr>
                <w:szCs w:val="21"/>
              </w:rPr>
            </w:pPr>
            <w:r>
              <w:t xml:space="preserve">　</w:t>
            </w:r>
          </w:p>
        </w:tc>
      </w:tr>
      <w:tr w:rsidR="00E57DAA" w14:paraId="5AEDF6E8" w14:textId="77777777">
        <w:tc>
          <w:tcPr>
            <w:tcW w:w="677" w:type="pct"/>
            <w:tcBorders>
              <w:top w:val="single" w:sz="4" w:space="0" w:color="auto"/>
              <w:left w:val="single" w:sz="4" w:space="0" w:color="auto"/>
              <w:bottom w:val="single" w:sz="4" w:space="0" w:color="auto"/>
              <w:right w:val="single" w:sz="4" w:space="0" w:color="auto"/>
            </w:tcBorders>
            <w:vAlign w:val="center"/>
          </w:tcPr>
          <w:p w14:paraId="3804DA85" w14:textId="77777777" w:rsidR="00E57DAA" w:rsidRDefault="00AC4185">
            <w:pPr>
              <w:autoSpaceDE w:val="0"/>
              <w:autoSpaceDN w:val="0"/>
              <w:adjustRightInd w:val="0"/>
              <w:rPr>
                <w:szCs w:val="21"/>
              </w:rPr>
            </w:pPr>
            <w:r>
              <w:lastRenderedPageBreak/>
              <w:t xml:space="preserve">　</w:t>
            </w:r>
          </w:p>
        </w:tc>
        <w:tc>
          <w:tcPr>
            <w:tcW w:w="1441" w:type="pct"/>
            <w:tcBorders>
              <w:top w:val="single" w:sz="4" w:space="0" w:color="auto"/>
              <w:left w:val="single" w:sz="4" w:space="0" w:color="auto"/>
              <w:bottom w:val="single" w:sz="4" w:space="0" w:color="auto"/>
              <w:right w:val="single" w:sz="4" w:space="0" w:color="auto"/>
            </w:tcBorders>
          </w:tcPr>
          <w:p w14:paraId="2D3FE7FD"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07B3919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EE59FB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A2D9A2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27FC679" w14:textId="77777777" w:rsidR="00E57DAA" w:rsidRDefault="00AC4185">
            <w:pPr>
              <w:autoSpaceDE w:val="0"/>
              <w:autoSpaceDN w:val="0"/>
              <w:adjustRightInd w:val="0"/>
              <w:jc w:val="right"/>
              <w:rPr>
                <w:szCs w:val="21"/>
              </w:rPr>
            </w:pPr>
            <w:r>
              <w:t xml:space="preserve">　</w:t>
            </w:r>
          </w:p>
        </w:tc>
      </w:tr>
      <w:tr w:rsidR="00E57DAA" w14:paraId="78DE589D" w14:textId="77777777">
        <w:tc>
          <w:tcPr>
            <w:tcW w:w="677" w:type="pct"/>
            <w:tcBorders>
              <w:top w:val="single" w:sz="4" w:space="0" w:color="auto"/>
              <w:left w:val="single" w:sz="4" w:space="0" w:color="auto"/>
              <w:bottom w:val="single" w:sz="4" w:space="0" w:color="auto"/>
              <w:right w:val="single" w:sz="4" w:space="0" w:color="auto"/>
            </w:tcBorders>
            <w:vAlign w:val="center"/>
          </w:tcPr>
          <w:p w14:paraId="7626122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D931CEA" w14:textId="77777777" w:rsidR="00E57DAA" w:rsidRDefault="00AC4185">
            <w:pPr>
              <w:autoSpaceDE w:val="0"/>
              <w:autoSpaceDN w:val="0"/>
              <w:adjustRightInd w:val="0"/>
              <w:rPr>
                <w:szCs w:val="21"/>
              </w:rPr>
            </w:pPr>
            <w:r>
              <w:t>南京玻璃纤维研究设计院有限公司</w:t>
            </w:r>
          </w:p>
        </w:tc>
        <w:tc>
          <w:tcPr>
            <w:tcW w:w="633" w:type="pct"/>
            <w:tcBorders>
              <w:top w:val="single" w:sz="4" w:space="0" w:color="auto"/>
              <w:left w:val="single" w:sz="4" w:space="0" w:color="auto"/>
              <w:bottom w:val="single" w:sz="4" w:space="0" w:color="auto"/>
              <w:right w:val="single" w:sz="4" w:space="0" w:color="auto"/>
            </w:tcBorders>
          </w:tcPr>
          <w:p w14:paraId="7FC90011" w14:textId="77777777" w:rsidR="00E57DAA" w:rsidRDefault="00AC4185">
            <w:pPr>
              <w:autoSpaceDE w:val="0"/>
              <w:autoSpaceDN w:val="0"/>
              <w:adjustRightInd w:val="0"/>
              <w:jc w:val="right"/>
              <w:rPr>
                <w:szCs w:val="21"/>
              </w:rPr>
            </w:pPr>
            <w:r>
              <w:t>6,703,743.60</w:t>
            </w:r>
          </w:p>
        </w:tc>
        <w:tc>
          <w:tcPr>
            <w:tcW w:w="632" w:type="pct"/>
            <w:tcBorders>
              <w:top w:val="single" w:sz="4" w:space="0" w:color="auto"/>
              <w:left w:val="single" w:sz="4" w:space="0" w:color="auto"/>
              <w:bottom w:val="single" w:sz="4" w:space="0" w:color="auto"/>
              <w:right w:val="single" w:sz="4" w:space="0" w:color="auto"/>
            </w:tcBorders>
          </w:tcPr>
          <w:p w14:paraId="5D147BD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5DEF3A3" w14:textId="77777777" w:rsidR="00E57DAA" w:rsidRDefault="00AC4185">
            <w:pPr>
              <w:autoSpaceDE w:val="0"/>
              <w:autoSpaceDN w:val="0"/>
              <w:adjustRightInd w:val="0"/>
              <w:jc w:val="right"/>
              <w:rPr>
                <w:szCs w:val="21"/>
              </w:rPr>
            </w:pPr>
            <w:r>
              <w:t>115,020.00</w:t>
            </w:r>
          </w:p>
        </w:tc>
        <w:tc>
          <w:tcPr>
            <w:tcW w:w="914" w:type="pct"/>
            <w:tcBorders>
              <w:top w:val="single" w:sz="4" w:space="0" w:color="auto"/>
              <w:left w:val="single" w:sz="4" w:space="0" w:color="auto"/>
              <w:bottom w:val="single" w:sz="4" w:space="0" w:color="auto"/>
              <w:right w:val="single" w:sz="4" w:space="0" w:color="auto"/>
            </w:tcBorders>
          </w:tcPr>
          <w:p w14:paraId="0535B7F1" w14:textId="77777777" w:rsidR="00E57DAA" w:rsidRDefault="00AC4185">
            <w:pPr>
              <w:autoSpaceDE w:val="0"/>
              <w:autoSpaceDN w:val="0"/>
              <w:adjustRightInd w:val="0"/>
              <w:jc w:val="right"/>
              <w:rPr>
                <w:szCs w:val="21"/>
              </w:rPr>
            </w:pPr>
            <w:r>
              <w:t xml:space="preserve">　</w:t>
            </w:r>
          </w:p>
        </w:tc>
      </w:tr>
      <w:tr w:rsidR="00E57DAA" w14:paraId="533893E0" w14:textId="77777777">
        <w:tc>
          <w:tcPr>
            <w:tcW w:w="677" w:type="pct"/>
            <w:tcBorders>
              <w:top w:val="single" w:sz="4" w:space="0" w:color="auto"/>
              <w:left w:val="single" w:sz="4" w:space="0" w:color="auto"/>
              <w:bottom w:val="single" w:sz="4" w:space="0" w:color="auto"/>
              <w:right w:val="single" w:sz="4" w:space="0" w:color="auto"/>
            </w:tcBorders>
            <w:vAlign w:val="center"/>
          </w:tcPr>
          <w:p w14:paraId="04FA647E"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4EDE727" w14:textId="77777777" w:rsidR="00E57DAA" w:rsidRDefault="00AC4185">
            <w:pPr>
              <w:autoSpaceDE w:val="0"/>
              <w:autoSpaceDN w:val="0"/>
              <w:adjustRightInd w:val="0"/>
              <w:rPr>
                <w:szCs w:val="21"/>
              </w:rPr>
            </w:pPr>
            <w:r>
              <w:t>天津灯塔涂料工业发展有限公司</w:t>
            </w:r>
          </w:p>
        </w:tc>
        <w:tc>
          <w:tcPr>
            <w:tcW w:w="633" w:type="pct"/>
            <w:tcBorders>
              <w:top w:val="single" w:sz="4" w:space="0" w:color="auto"/>
              <w:left w:val="single" w:sz="4" w:space="0" w:color="auto"/>
              <w:bottom w:val="single" w:sz="4" w:space="0" w:color="auto"/>
              <w:right w:val="single" w:sz="4" w:space="0" w:color="auto"/>
            </w:tcBorders>
          </w:tcPr>
          <w:p w14:paraId="05C9918C" w14:textId="77777777" w:rsidR="00E57DAA" w:rsidRDefault="00AC4185">
            <w:pPr>
              <w:autoSpaceDE w:val="0"/>
              <w:autoSpaceDN w:val="0"/>
              <w:adjustRightInd w:val="0"/>
              <w:jc w:val="right"/>
              <w:rPr>
                <w:szCs w:val="21"/>
              </w:rPr>
            </w:pPr>
            <w:r>
              <w:t>6,021,737.10</w:t>
            </w:r>
          </w:p>
        </w:tc>
        <w:tc>
          <w:tcPr>
            <w:tcW w:w="632" w:type="pct"/>
            <w:tcBorders>
              <w:top w:val="single" w:sz="4" w:space="0" w:color="auto"/>
              <w:left w:val="single" w:sz="4" w:space="0" w:color="auto"/>
              <w:bottom w:val="single" w:sz="4" w:space="0" w:color="auto"/>
              <w:right w:val="single" w:sz="4" w:space="0" w:color="auto"/>
            </w:tcBorders>
          </w:tcPr>
          <w:p w14:paraId="20E15B3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074042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DD0ED9D" w14:textId="77777777" w:rsidR="00E57DAA" w:rsidRDefault="00AC4185">
            <w:pPr>
              <w:autoSpaceDE w:val="0"/>
              <w:autoSpaceDN w:val="0"/>
              <w:adjustRightInd w:val="0"/>
              <w:jc w:val="right"/>
              <w:rPr>
                <w:szCs w:val="21"/>
              </w:rPr>
            </w:pPr>
            <w:r>
              <w:t xml:space="preserve">　</w:t>
            </w:r>
          </w:p>
        </w:tc>
      </w:tr>
      <w:tr w:rsidR="00E57DAA" w14:paraId="33EC28C1" w14:textId="77777777">
        <w:tc>
          <w:tcPr>
            <w:tcW w:w="677" w:type="pct"/>
            <w:tcBorders>
              <w:top w:val="single" w:sz="4" w:space="0" w:color="auto"/>
              <w:left w:val="single" w:sz="4" w:space="0" w:color="auto"/>
              <w:bottom w:val="single" w:sz="4" w:space="0" w:color="auto"/>
              <w:right w:val="single" w:sz="4" w:space="0" w:color="auto"/>
            </w:tcBorders>
            <w:vAlign w:val="center"/>
          </w:tcPr>
          <w:p w14:paraId="3C8DD6B6"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872D1E5" w14:textId="77777777" w:rsidR="00E57DAA" w:rsidRDefault="00AC4185">
            <w:pPr>
              <w:autoSpaceDE w:val="0"/>
              <w:autoSpaceDN w:val="0"/>
              <w:adjustRightInd w:val="0"/>
              <w:rPr>
                <w:szCs w:val="21"/>
              </w:rPr>
            </w:pPr>
            <w:r>
              <w:t>中建材物资有限公司</w:t>
            </w:r>
          </w:p>
        </w:tc>
        <w:tc>
          <w:tcPr>
            <w:tcW w:w="633" w:type="pct"/>
            <w:tcBorders>
              <w:top w:val="single" w:sz="4" w:space="0" w:color="auto"/>
              <w:left w:val="single" w:sz="4" w:space="0" w:color="auto"/>
              <w:bottom w:val="single" w:sz="4" w:space="0" w:color="auto"/>
              <w:right w:val="single" w:sz="4" w:space="0" w:color="auto"/>
            </w:tcBorders>
          </w:tcPr>
          <w:p w14:paraId="57EB067F" w14:textId="77777777" w:rsidR="00E57DAA" w:rsidRDefault="00AC4185">
            <w:pPr>
              <w:autoSpaceDE w:val="0"/>
              <w:autoSpaceDN w:val="0"/>
              <w:adjustRightInd w:val="0"/>
              <w:jc w:val="right"/>
              <w:rPr>
                <w:szCs w:val="21"/>
              </w:rPr>
            </w:pPr>
            <w:r>
              <w:t>1,004,615.00</w:t>
            </w:r>
          </w:p>
        </w:tc>
        <w:tc>
          <w:tcPr>
            <w:tcW w:w="632" w:type="pct"/>
            <w:tcBorders>
              <w:top w:val="single" w:sz="4" w:space="0" w:color="auto"/>
              <w:left w:val="single" w:sz="4" w:space="0" w:color="auto"/>
              <w:bottom w:val="single" w:sz="4" w:space="0" w:color="auto"/>
              <w:right w:val="single" w:sz="4" w:space="0" w:color="auto"/>
            </w:tcBorders>
          </w:tcPr>
          <w:p w14:paraId="6E651AD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7C388B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361A462" w14:textId="77777777" w:rsidR="00E57DAA" w:rsidRDefault="00AC4185">
            <w:pPr>
              <w:autoSpaceDE w:val="0"/>
              <w:autoSpaceDN w:val="0"/>
              <w:adjustRightInd w:val="0"/>
              <w:jc w:val="right"/>
              <w:rPr>
                <w:szCs w:val="21"/>
              </w:rPr>
            </w:pPr>
            <w:r>
              <w:t xml:space="preserve">　</w:t>
            </w:r>
          </w:p>
        </w:tc>
      </w:tr>
      <w:tr w:rsidR="00E57DAA" w14:paraId="112655F0" w14:textId="77777777">
        <w:tc>
          <w:tcPr>
            <w:tcW w:w="677" w:type="pct"/>
            <w:tcBorders>
              <w:top w:val="single" w:sz="4" w:space="0" w:color="auto"/>
              <w:left w:val="single" w:sz="4" w:space="0" w:color="auto"/>
              <w:bottom w:val="single" w:sz="4" w:space="0" w:color="auto"/>
              <w:right w:val="single" w:sz="4" w:space="0" w:color="auto"/>
            </w:tcBorders>
            <w:vAlign w:val="center"/>
          </w:tcPr>
          <w:p w14:paraId="05E45633"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3CB8D17" w14:textId="77777777" w:rsidR="00E57DAA" w:rsidRDefault="00AC4185">
            <w:pPr>
              <w:autoSpaceDE w:val="0"/>
              <w:autoSpaceDN w:val="0"/>
              <w:adjustRightInd w:val="0"/>
              <w:rPr>
                <w:szCs w:val="21"/>
              </w:rPr>
            </w:pPr>
            <w:r>
              <w:t>Mpande Limestone Limited</w:t>
            </w:r>
          </w:p>
        </w:tc>
        <w:tc>
          <w:tcPr>
            <w:tcW w:w="633" w:type="pct"/>
            <w:tcBorders>
              <w:top w:val="single" w:sz="4" w:space="0" w:color="auto"/>
              <w:left w:val="single" w:sz="4" w:space="0" w:color="auto"/>
              <w:bottom w:val="single" w:sz="4" w:space="0" w:color="auto"/>
              <w:right w:val="single" w:sz="4" w:space="0" w:color="auto"/>
            </w:tcBorders>
          </w:tcPr>
          <w:p w14:paraId="52F0656D" w14:textId="77777777" w:rsidR="00E57DAA" w:rsidRDefault="00AC4185">
            <w:pPr>
              <w:autoSpaceDE w:val="0"/>
              <w:autoSpaceDN w:val="0"/>
              <w:adjustRightInd w:val="0"/>
              <w:jc w:val="right"/>
              <w:rPr>
                <w:szCs w:val="21"/>
              </w:rPr>
            </w:pPr>
            <w:r>
              <w:t>761,269.34</w:t>
            </w:r>
          </w:p>
        </w:tc>
        <w:tc>
          <w:tcPr>
            <w:tcW w:w="632" w:type="pct"/>
            <w:tcBorders>
              <w:top w:val="single" w:sz="4" w:space="0" w:color="auto"/>
              <w:left w:val="single" w:sz="4" w:space="0" w:color="auto"/>
              <w:bottom w:val="single" w:sz="4" w:space="0" w:color="auto"/>
              <w:right w:val="single" w:sz="4" w:space="0" w:color="auto"/>
            </w:tcBorders>
          </w:tcPr>
          <w:p w14:paraId="6B6FD7A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CB1A97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6C00FAF" w14:textId="77777777" w:rsidR="00E57DAA" w:rsidRDefault="00AC4185">
            <w:pPr>
              <w:autoSpaceDE w:val="0"/>
              <w:autoSpaceDN w:val="0"/>
              <w:adjustRightInd w:val="0"/>
              <w:jc w:val="right"/>
              <w:rPr>
                <w:szCs w:val="21"/>
              </w:rPr>
            </w:pPr>
            <w:r>
              <w:t xml:space="preserve">　</w:t>
            </w:r>
          </w:p>
        </w:tc>
      </w:tr>
      <w:tr w:rsidR="00E57DAA" w14:paraId="1FF5E0DB" w14:textId="77777777">
        <w:tc>
          <w:tcPr>
            <w:tcW w:w="677" w:type="pct"/>
            <w:tcBorders>
              <w:top w:val="single" w:sz="4" w:space="0" w:color="auto"/>
              <w:left w:val="single" w:sz="4" w:space="0" w:color="auto"/>
              <w:bottom w:val="single" w:sz="4" w:space="0" w:color="auto"/>
              <w:right w:val="single" w:sz="4" w:space="0" w:color="auto"/>
            </w:tcBorders>
            <w:vAlign w:val="center"/>
          </w:tcPr>
          <w:p w14:paraId="06BB95D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6570B8D7" w14:textId="77777777" w:rsidR="00E57DAA" w:rsidRDefault="00AC4185">
            <w:pPr>
              <w:autoSpaceDE w:val="0"/>
              <w:autoSpaceDN w:val="0"/>
              <w:adjustRightInd w:val="0"/>
              <w:rPr>
                <w:szCs w:val="21"/>
              </w:rPr>
            </w:pPr>
            <w:r>
              <w:t>赛马物联科技（宁夏）有限公司</w:t>
            </w:r>
          </w:p>
        </w:tc>
        <w:tc>
          <w:tcPr>
            <w:tcW w:w="633" w:type="pct"/>
            <w:tcBorders>
              <w:top w:val="single" w:sz="4" w:space="0" w:color="auto"/>
              <w:left w:val="single" w:sz="4" w:space="0" w:color="auto"/>
              <w:bottom w:val="single" w:sz="4" w:space="0" w:color="auto"/>
              <w:right w:val="single" w:sz="4" w:space="0" w:color="auto"/>
            </w:tcBorders>
          </w:tcPr>
          <w:p w14:paraId="306FF87B" w14:textId="77777777" w:rsidR="00E57DAA" w:rsidRDefault="00AC4185">
            <w:pPr>
              <w:autoSpaceDE w:val="0"/>
              <w:autoSpaceDN w:val="0"/>
              <w:adjustRightInd w:val="0"/>
              <w:jc w:val="right"/>
              <w:rPr>
                <w:szCs w:val="21"/>
              </w:rPr>
            </w:pPr>
            <w:r>
              <w:t>428,962.50</w:t>
            </w:r>
          </w:p>
        </w:tc>
        <w:tc>
          <w:tcPr>
            <w:tcW w:w="632" w:type="pct"/>
            <w:tcBorders>
              <w:top w:val="single" w:sz="4" w:space="0" w:color="auto"/>
              <w:left w:val="single" w:sz="4" w:space="0" w:color="auto"/>
              <w:bottom w:val="single" w:sz="4" w:space="0" w:color="auto"/>
              <w:right w:val="single" w:sz="4" w:space="0" w:color="auto"/>
            </w:tcBorders>
          </w:tcPr>
          <w:p w14:paraId="529C617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45524A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16CA4A9" w14:textId="77777777" w:rsidR="00E57DAA" w:rsidRDefault="00AC4185">
            <w:pPr>
              <w:autoSpaceDE w:val="0"/>
              <w:autoSpaceDN w:val="0"/>
              <w:adjustRightInd w:val="0"/>
              <w:jc w:val="right"/>
              <w:rPr>
                <w:szCs w:val="21"/>
              </w:rPr>
            </w:pPr>
            <w:r>
              <w:t xml:space="preserve">　</w:t>
            </w:r>
          </w:p>
        </w:tc>
      </w:tr>
      <w:tr w:rsidR="00E57DAA" w14:paraId="3A73830B" w14:textId="77777777">
        <w:tc>
          <w:tcPr>
            <w:tcW w:w="677" w:type="pct"/>
            <w:tcBorders>
              <w:top w:val="single" w:sz="4" w:space="0" w:color="auto"/>
              <w:left w:val="single" w:sz="4" w:space="0" w:color="auto"/>
              <w:bottom w:val="single" w:sz="4" w:space="0" w:color="auto"/>
              <w:right w:val="single" w:sz="4" w:space="0" w:color="auto"/>
            </w:tcBorders>
            <w:vAlign w:val="center"/>
          </w:tcPr>
          <w:p w14:paraId="36BFF5E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D491ED7" w14:textId="77777777" w:rsidR="00E57DAA" w:rsidRDefault="00AC4185">
            <w:pPr>
              <w:autoSpaceDE w:val="0"/>
              <w:autoSpaceDN w:val="0"/>
              <w:adjustRightInd w:val="0"/>
              <w:rPr>
                <w:szCs w:val="21"/>
              </w:rPr>
            </w:pPr>
            <w:r>
              <w:t>宜兴市阳港矿业有限公司</w:t>
            </w:r>
          </w:p>
        </w:tc>
        <w:tc>
          <w:tcPr>
            <w:tcW w:w="633" w:type="pct"/>
            <w:tcBorders>
              <w:top w:val="single" w:sz="4" w:space="0" w:color="auto"/>
              <w:left w:val="single" w:sz="4" w:space="0" w:color="auto"/>
              <w:bottom w:val="single" w:sz="4" w:space="0" w:color="auto"/>
              <w:right w:val="single" w:sz="4" w:space="0" w:color="auto"/>
            </w:tcBorders>
          </w:tcPr>
          <w:p w14:paraId="79311756" w14:textId="77777777" w:rsidR="00E57DAA" w:rsidRDefault="00AC4185">
            <w:pPr>
              <w:autoSpaceDE w:val="0"/>
              <w:autoSpaceDN w:val="0"/>
              <w:adjustRightInd w:val="0"/>
              <w:jc w:val="right"/>
              <w:rPr>
                <w:szCs w:val="21"/>
              </w:rPr>
            </w:pPr>
            <w:r>
              <w:t>277,259.95</w:t>
            </w:r>
          </w:p>
        </w:tc>
        <w:tc>
          <w:tcPr>
            <w:tcW w:w="632" w:type="pct"/>
            <w:tcBorders>
              <w:top w:val="single" w:sz="4" w:space="0" w:color="auto"/>
              <w:left w:val="single" w:sz="4" w:space="0" w:color="auto"/>
              <w:bottom w:val="single" w:sz="4" w:space="0" w:color="auto"/>
              <w:right w:val="single" w:sz="4" w:space="0" w:color="auto"/>
            </w:tcBorders>
          </w:tcPr>
          <w:p w14:paraId="6B593A8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927F3E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CC41C03" w14:textId="77777777" w:rsidR="00E57DAA" w:rsidRDefault="00AC4185">
            <w:pPr>
              <w:autoSpaceDE w:val="0"/>
              <w:autoSpaceDN w:val="0"/>
              <w:adjustRightInd w:val="0"/>
              <w:jc w:val="right"/>
              <w:rPr>
                <w:szCs w:val="21"/>
              </w:rPr>
            </w:pPr>
            <w:r>
              <w:t xml:space="preserve">　</w:t>
            </w:r>
          </w:p>
        </w:tc>
      </w:tr>
      <w:tr w:rsidR="00E57DAA" w14:paraId="14A3D8C0" w14:textId="77777777">
        <w:tc>
          <w:tcPr>
            <w:tcW w:w="677" w:type="pct"/>
            <w:tcBorders>
              <w:top w:val="single" w:sz="4" w:space="0" w:color="auto"/>
              <w:left w:val="single" w:sz="4" w:space="0" w:color="auto"/>
              <w:bottom w:val="single" w:sz="4" w:space="0" w:color="auto"/>
              <w:right w:val="single" w:sz="4" w:space="0" w:color="auto"/>
            </w:tcBorders>
            <w:vAlign w:val="center"/>
          </w:tcPr>
          <w:p w14:paraId="7C7722D2"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17FCCBA" w14:textId="77777777" w:rsidR="00E57DAA" w:rsidRDefault="00AC4185">
            <w:pPr>
              <w:autoSpaceDE w:val="0"/>
              <w:autoSpaceDN w:val="0"/>
              <w:adjustRightInd w:val="0"/>
              <w:rPr>
                <w:szCs w:val="21"/>
              </w:rPr>
            </w:pPr>
            <w:r>
              <w:t>中国建材中东贸易公司</w:t>
            </w:r>
          </w:p>
        </w:tc>
        <w:tc>
          <w:tcPr>
            <w:tcW w:w="633" w:type="pct"/>
            <w:tcBorders>
              <w:top w:val="single" w:sz="4" w:space="0" w:color="auto"/>
              <w:left w:val="single" w:sz="4" w:space="0" w:color="auto"/>
              <w:bottom w:val="single" w:sz="4" w:space="0" w:color="auto"/>
              <w:right w:val="single" w:sz="4" w:space="0" w:color="auto"/>
            </w:tcBorders>
          </w:tcPr>
          <w:p w14:paraId="1EDDA78E" w14:textId="77777777" w:rsidR="00E57DAA" w:rsidRDefault="00AC4185">
            <w:pPr>
              <w:autoSpaceDE w:val="0"/>
              <w:autoSpaceDN w:val="0"/>
              <w:adjustRightInd w:val="0"/>
              <w:jc w:val="right"/>
              <w:rPr>
                <w:szCs w:val="21"/>
              </w:rPr>
            </w:pPr>
            <w:r>
              <w:t>182,962.62</w:t>
            </w:r>
          </w:p>
        </w:tc>
        <w:tc>
          <w:tcPr>
            <w:tcW w:w="632" w:type="pct"/>
            <w:tcBorders>
              <w:top w:val="single" w:sz="4" w:space="0" w:color="auto"/>
              <w:left w:val="single" w:sz="4" w:space="0" w:color="auto"/>
              <w:bottom w:val="single" w:sz="4" w:space="0" w:color="auto"/>
              <w:right w:val="single" w:sz="4" w:space="0" w:color="auto"/>
            </w:tcBorders>
          </w:tcPr>
          <w:p w14:paraId="3871BDF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9187B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010EEBF" w14:textId="77777777" w:rsidR="00E57DAA" w:rsidRDefault="00AC4185">
            <w:pPr>
              <w:autoSpaceDE w:val="0"/>
              <w:autoSpaceDN w:val="0"/>
              <w:adjustRightInd w:val="0"/>
              <w:jc w:val="right"/>
              <w:rPr>
                <w:szCs w:val="21"/>
              </w:rPr>
            </w:pPr>
            <w:r>
              <w:t xml:space="preserve">　</w:t>
            </w:r>
          </w:p>
        </w:tc>
      </w:tr>
      <w:tr w:rsidR="00E57DAA" w14:paraId="1CC435CF" w14:textId="77777777">
        <w:tc>
          <w:tcPr>
            <w:tcW w:w="677" w:type="pct"/>
            <w:tcBorders>
              <w:top w:val="single" w:sz="4" w:space="0" w:color="auto"/>
              <w:left w:val="single" w:sz="4" w:space="0" w:color="auto"/>
              <w:bottom w:val="single" w:sz="4" w:space="0" w:color="auto"/>
              <w:right w:val="single" w:sz="4" w:space="0" w:color="auto"/>
            </w:tcBorders>
            <w:vAlign w:val="center"/>
          </w:tcPr>
          <w:p w14:paraId="6CBEFC8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5EB1C36" w14:textId="77777777" w:rsidR="00E57DAA" w:rsidRDefault="00AC4185">
            <w:pPr>
              <w:autoSpaceDE w:val="0"/>
              <w:autoSpaceDN w:val="0"/>
              <w:adjustRightInd w:val="0"/>
              <w:rPr>
                <w:szCs w:val="21"/>
              </w:rPr>
            </w:pPr>
            <w:r>
              <w:t>苏州混凝土水泥制品研究院有限公司</w:t>
            </w:r>
          </w:p>
        </w:tc>
        <w:tc>
          <w:tcPr>
            <w:tcW w:w="633" w:type="pct"/>
            <w:tcBorders>
              <w:top w:val="single" w:sz="4" w:space="0" w:color="auto"/>
              <w:left w:val="single" w:sz="4" w:space="0" w:color="auto"/>
              <w:bottom w:val="single" w:sz="4" w:space="0" w:color="auto"/>
              <w:right w:val="single" w:sz="4" w:space="0" w:color="auto"/>
            </w:tcBorders>
          </w:tcPr>
          <w:p w14:paraId="57A63AFA" w14:textId="77777777" w:rsidR="00E57DAA" w:rsidRDefault="00AC4185">
            <w:pPr>
              <w:autoSpaceDE w:val="0"/>
              <w:autoSpaceDN w:val="0"/>
              <w:adjustRightInd w:val="0"/>
              <w:jc w:val="right"/>
              <w:rPr>
                <w:szCs w:val="21"/>
              </w:rPr>
            </w:pPr>
            <w:r>
              <w:t>109,596.49</w:t>
            </w:r>
          </w:p>
        </w:tc>
        <w:tc>
          <w:tcPr>
            <w:tcW w:w="632" w:type="pct"/>
            <w:tcBorders>
              <w:top w:val="single" w:sz="4" w:space="0" w:color="auto"/>
              <w:left w:val="single" w:sz="4" w:space="0" w:color="auto"/>
              <w:bottom w:val="single" w:sz="4" w:space="0" w:color="auto"/>
              <w:right w:val="single" w:sz="4" w:space="0" w:color="auto"/>
            </w:tcBorders>
          </w:tcPr>
          <w:p w14:paraId="1F31704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6ADE787" w14:textId="77777777" w:rsidR="00E57DAA" w:rsidRDefault="00AC4185">
            <w:pPr>
              <w:autoSpaceDE w:val="0"/>
              <w:autoSpaceDN w:val="0"/>
              <w:adjustRightInd w:val="0"/>
              <w:jc w:val="right"/>
              <w:rPr>
                <w:szCs w:val="21"/>
              </w:rPr>
            </w:pPr>
            <w:r>
              <w:t>3,164,599.41</w:t>
            </w:r>
          </w:p>
        </w:tc>
        <w:tc>
          <w:tcPr>
            <w:tcW w:w="914" w:type="pct"/>
            <w:tcBorders>
              <w:top w:val="single" w:sz="4" w:space="0" w:color="auto"/>
              <w:left w:val="single" w:sz="4" w:space="0" w:color="auto"/>
              <w:bottom w:val="single" w:sz="4" w:space="0" w:color="auto"/>
              <w:right w:val="single" w:sz="4" w:space="0" w:color="auto"/>
            </w:tcBorders>
          </w:tcPr>
          <w:p w14:paraId="189810AB" w14:textId="77777777" w:rsidR="00E57DAA" w:rsidRDefault="00AC4185">
            <w:pPr>
              <w:autoSpaceDE w:val="0"/>
              <w:autoSpaceDN w:val="0"/>
              <w:adjustRightInd w:val="0"/>
              <w:jc w:val="right"/>
              <w:rPr>
                <w:szCs w:val="21"/>
              </w:rPr>
            </w:pPr>
            <w:r>
              <w:t xml:space="preserve">　</w:t>
            </w:r>
          </w:p>
        </w:tc>
      </w:tr>
      <w:tr w:rsidR="00E57DAA" w14:paraId="4DB0C479" w14:textId="77777777">
        <w:tc>
          <w:tcPr>
            <w:tcW w:w="677" w:type="pct"/>
            <w:tcBorders>
              <w:top w:val="single" w:sz="4" w:space="0" w:color="auto"/>
              <w:left w:val="single" w:sz="4" w:space="0" w:color="auto"/>
              <w:bottom w:val="single" w:sz="4" w:space="0" w:color="auto"/>
              <w:right w:val="single" w:sz="4" w:space="0" w:color="auto"/>
            </w:tcBorders>
            <w:vAlign w:val="center"/>
          </w:tcPr>
          <w:p w14:paraId="2E50F6D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319F86E" w14:textId="77777777" w:rsidR="00E57DAA" w:rsidRDefault="00AC4185">
            <w:pPr>
              <w:autoSpaceDE w:val="0"/>
              <w:autoSpaceDN w:val="0"/>
              <w:adjustRightInd w:val="0"/>
              <w:rPr>
                <w:szCs w:val="21"/>
              </w:rPr>
            </w:pPr>
            <w:r>
              <w:t>湖南郴州南方新材料科技有限公司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465C96DC" w14:textId="77777777" w:rsidR="00E57DAA" w:rsidRDefault="00AC4185">
            <w:pPr>
              <w:autoSpaceDE w:val="0"/>
              <w:autoSpaceDN w:val="0"/>
              <w:adjustRightInd w:val="0"/>
              <w:jc w:val="right"/>
              <w:rPr>
                <w:szCs w:val="21"/>
              </w:rPr>
            </w:pPr>
            <w:r>
              <w:t>54,530.00</w:t>
            </w:r>
          </w:p>
        </w:tc>
        <w:tc>
          <w:tcPr>
            <w:tcW w:w="632" w:type="pct"/>
            <w:tcBorders>
              <w:top w:val="single" w:sz="4" w:space="0" w:color="auto"/>
              <w:left w:val="single" w:sz="4" w:space="0" w:color="auto"/>
              <w:bottom w:val="single" w:sz="4" w:space="0" w:color="auto"/>
              <w:right w:val="single" w:sz="4" w:space="0" w:color="auto"/>
            </w:tcBorders>
          </w:tcPr>
          <w:p w14:paraId="69145C5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D27A7C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55CA19D" w14:textId="77777777" w:rsidR="00E57DAA" w:rsidRDefault="00AC4185">
            <w:pPr>
              <w:autoSpaceDE w:val="0"/>
              <w:autoSpaceDN w:val="0"/>
              <w:adjustRightInd w:val="0"/>
              <w:jc w:val="right"/>
              <w:rPr>
                <w:szCs w:val="21"/>
              </w:rPr>
            </w:pPr>
            <w:r>
              <w:t xml:space="preserve">　</w:t>
            </w:r>
          </w:p>
        </w:tc>
      </w:tr>
      <w:tr w:rsidR="00E57DAA" w14:paraId="38288400" w14:textId="77777777">
        <w:tc>
          <w:tcPr>
            <w:tcW w:w="677" w:type="pct"/>
            <w:tcBorders>
              <w:top w:val="single" w:sz="4" w:space="0" w:color="auto"/>
              <w:left w:val="single" w:sz="4" w:space="0" w:color="auto"/>
              <w:bottom w:val="single" w:sz="4" w:space="0" w:color="auto"/>
              <w:right w:val="single" w:sz="4" w:space="0" w:color="auto"/>
            </w:tcBorders>
            <w:vAlign w:val="center"/>
          </w:tcPr>
          <w:p w14:paraId="116E37E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C62E8D0" w14:textId="77777777" w:rsidR="00E57DAA" w:rsidRDefault="00AC4185">
            <w:pPr>
              <w:autoSpaceDE w:val="0"/>
              <w:autoSpaceDN w:val="0"/>
              <w:adjustRightInd w:val="0"/>
              <w:rPr>
                <w:szCs w:val="21"/>
              </w:rPr>
            </w:pPr>
            <w:r>
              <w:t>中建材新材料有限公司</w:t>
            </w:r>
          </w:p>
        </w:tc>
        <w:tc>
          <w:tcPr>
            <w:tcW w:w="633" w:type="pct"/>
            <w:tcBorders>
              <w:top w:val="single" w:sz="4" w:space="0" w:color="auto"/>
              <w:left w:val="single" w:sz="4" w:space="0" w:color="auto"/>
              <w:bottom w:val="single" w:sz="4" w:space="0" w:color="auto"/>
              <w:right w:val="single" w:sz="4" w:space="0" w:color="auto"/>
            </w:tcBorders>
          </w:tcPr>
          <w:p w14:paraId="098A5C3E" w14:textId="77777777" w:rsidR="00E57DAA" w:rsidRDefault="00AC4185">
            <w:pPr>
              <w:autoSpaceDE w:val="0"/>
              <w:autoSpaceDN w:val="0"/>
              <w:adjustRightInd w:val="0"/>
              <w:jc w:val="right"/>
              <w:rPr>
                <w:szCs w:val="21"/>
              </w:rPr>
            </w:pPr>
            <w:r>
              <w:t>34,723.46</w:t>
            </w:r>
          </w:p>
        </w:tc>
        <w:tc>
          <w:tcPr>
            <w:tcW w:w="632" w:type="pct"/>
            <w:tcBorders>
              <w:top w:val="single" w:sz="4" w:space="0" w:color="auto"/>
              <w:left w:val="single" w:sz="4" w:space="0" w:color="auto"/>
              <w:bottom w:val="single" w:sz="4" w:space="0" w:color="auto"/>
              <w:right w:val="single" w:sz="4" w:space="0" w:color="auto"/>
            </w:tcBorders>
          </w:tcPr>
          <w:p w14:paraId="1C01607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BDF4418" w14:textId="77777777" w:rsidR="00E57DAA" w:rsidRDefault="00AC4185">
            <w:pPr>
              <w:autoSpaceDE w:val="0"/>
              <w:autoSpaceDN w:val="0"/>
              <w:adjustRightInd w:val="0"/>
              <w:jc w:val="right"/>
              <w:rPr>
                <w:szCs w:val="21"/>
              </w:rPr>
            </w:pPr>
            <w:r>
              <w:t>71,212.22</w:t>
            </w:r>
          </w:p>
        </w:tc>
        <w:tc>
          <w:tcPr>
            <w:tcW w:w="914" w:type="pct"/>
            <w:tcBorders>
              <w:top w:val="single" w:sz="4" w:space="0" w:color="auto"/>
              <w:left w:val="single" w:sz="4" w:space="0" w:color="auto"/>
              <w:bottom w:val="single" w:sz="4" w:space="0" w:color="auto"/>
              <w:right w:val="single" w:sz="4" w:space="0" w:color="auto"/>
            </w:tcBorders>
          </w:tcPr>
          <w:p w14:paraId="3F443EC3" w14:textId="77777777" w:rsidR="00E57DAA" w:rsidRDefault="00AC4185">
            <w:pPr>
              <w:autoSpaceDE w:val="0"/>
              <w:autoSpaceDN w:val="0"/>
              <w:adjustRightInd w:val="0"/>
              <w:jc w:val="right"/>
              <w:rPr>
                <w:szCs w:val="21"/>
              </w:rPr>
            </w:pPr>
            <w:r>
              <w:t xml:space="preserve">　</w:t>
            </w:r>
          </w:p>
        </w:tc>
      </w:tr>
      <w:tr w:rsidR="00E57DAA" w14:paraId="447BF6E7" w14:textId="77777777">
        <w:tc>
          <w:tcPr>
            <w:tcW w:w="677" w:type="pct"/>
            <w:tcBorders>
              <w:top w:val="single" w:sz="4" w:space="0" w:color="auto"/>
              <w:left w:val="single" w:sz="4" w:space="0" w:color="auto"/>
              <w:bottom w:val="single" w:sz="4" w:space="0" w:color="auto"/>
              <w:right w:val="single" w:sz="4" w:space="0" w:color="auto"/>
            </w:tcBorders>
            <w:vAlign w:val="center"/>
          </w:tcPr>
          <w:p w14:paraId="055CC09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254B9AB" w14:textId="77777777" w:rsidR="00E57DAA" w:rsidRDefault="00AC4185">
            <w:pPr>
              <w:autoSpaceDE w:val="0"/>
              <w:autoSpaceDN w:val="0"/>
              <w:adjustRightInd w:val="0"/>
              <w:rPr>
                <w:szCs w:val="21"/>
              </w:rPr>
            </w:pPr>
            <w:r>
              <w:t>新疆和静天山水泥有限责任公司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763AF0A"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663EC4E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114F3EB"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6BDE269B" w14:textId="77777777" w:rsidR="00E57DAA" w:rsidRDefault="00AC4185">
            <w:pPr>
              <w:autoSpaceDE w:val="0"/>
              <w:autoSpaceDN w:val="0"/>
              <w:adjustRightInd w:val="0"/>
              <w:jc w:val="right"/>
              <w:rPr>
                <w:szCs w:val="21"/>
              </w:rPr>
            </w:pPr>
            <w:r>
              <w:t xml:space="preserve">　</w:t>
            </w:r>
          </w:p>
        </w:tc>
      </w:tr>
      <w:tr w:rsidR="00E57DAA" w14:paraId="13DC702C" w14:textId="77777777">
        <w:tc>
          <w:tcPr>
            <w:tcW w:w="677" w:type="pct"/>
            <w:tcBorders>
              <w:top w:val="single" w:sz="4" w:space="0" w:color="auto"/>
              <w:left w:val="single" w:sz="4" w:space="0" w:color="auto"/>
              <w:bottom w:val="single" w:sz="4" w:space="0" w:color="auto"/>
              <w:right w:val="single" w:sz="4" w:space="0" w:color="auto"/>
            </w:tcBorders>
            <w:vAlign w:val="center"/>
          </w:tcPr>
          <w:p w14:paraId="62BBD9A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B99BE6C" w14:textId="77777777" w:rsidR="00E57DAA" w:rsidRDefault="00AC4185">
            <w:pPr>
              <w:autoSpaceDE w:val="0"/>
              <w:autoSpaceDN w:val="0"/>
              <w:adjustRightInd w:val="0"/>
              <w:rPr>
                <w:szCs w:val="21"/>
              </w:rPr>
            </w:pPr>
            <w:r>
              <w:t>江西兴国南方水泥有限公司</w:t>
            </w:r>
          </w:p>
        </w:tc>
        <w:tc>
          <w:tcPr>
            <w:tcW w:w="633" w:type="pct"/>
            <w:tcBorders>
              <w:top w:val="single" w:sz="4" w:space="0" w:color="auto"/>
              <w:left w:val="single" w:sz="4" w:space="0" w:color="auto"/>
              <w:bottom w:val="single" w:sz="4" w:space="0" w:color="auto"/>
              <w:right w:val="single" w:sz="4" w:space="0" w:color="auto"/>
            </w:tcBorders>
          </w:tcPr>
          <w:p w14:paraId="342B1E82" w14:textId="77777777" w:rsidR="00E57DAA" w:rsidRDefault="00AC4185">
            <w:pPr>
              <w:autoSpaceDE w:val="0"/>
              <w:autoSpaceDN w:val="0"/>
              <w:adjustRightInd w:val="0"/>
              <w:jc w:val="right"/>
              <w:rPr>
                <w:szCs w:val="21"/>
              </w:rPr>
            </w:pPr>
            <w:r>
              <w:t>6,539.44</w:t>
            </w:r>
          </w:p>
        </w:tc>
        <w:tc>
          <w:tcPr>
            <w:tcW w:w="632" w:type="pct"/>
            <w:tcBorders>
              <w:top w:val="single" w:sz="4" w:space="0" w:color="auto"/>
              <w:left w:val="single" w:sz="4" w:space="0" w:color="auto"/>
              <w:bottom w:val="single" w:sz="4" w:space="0" w:color="auto"/>
              <w:right w:val="single" w:sz="4" w:space="0" w:color="auto"/>
            </w:tcBorders>
          </w:tcPr>
          <w:p w14:paraId="753E42E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09A9F44" w14:textId="77777777" w:rsidR="00E57DAA" w:rsidRDefault="00AC4185">
            <w:pPr>
              <w:autoSpaceDE w:val="0"/>
              <w:autoSpaceDN w:val="0"/>
              <w:adjustRightInd w:val="0"/>
              <w:jc w:val="right"/>
              <w:rPr>
                <w:szCs w:val="21"/>
              </w:rPr>
            </w:pPr>
            <w:r>
              <w:t>184,507.88</w:t>
            </w:r>
          </w:p>
        </w:tc>
        <w:tc>
          <w:tcPr>
            <w:tcW w:w="914" w:type="pct"/>
            <w:tcBorders>
              <w:top w:val="single" w:sz="4" w:space="0" w:color="auto"/>
              <w:left w:val="single" w:sz="4" w:space="0" w:color="auto"/>
              <w:bottom w:val="single" w:sz="4" w:space="0" w:color="auto"/>
              <w:right w:val="single" w:sz="4" w:space="0" w:color="auto"/>
            </w:tcBorders>
          </w:tcPr>
          <w:p w14:paraId="76DCE8D0" w14:textId="77777777" w:rsidR="00E57DAA" w:rsidRDefault="00AC4185">
            <w:pPr>
              <w:autoSpaceDE w:val="0"/>
              <w:autoSpaceDN w:val="0"/>
              <w:adjustRightInd w:val="0"/>
              <w:jc w:val="right"/>
              <w:rPr>
                <w:szCs w:val="21"/>
              </w:rPr>
            </w:pPr>
            <w:r>
              <w:t xml:space="preserve">　</w:t>
            </w:r>
          </w:p>
        </w:tc>
      </w:tr>
      <w:tr w:rsidR="00E57DAA" w14:paraId="30E37C55" w14:textId="77777777">
        <w:tc>
          <w:tcPr>
            <w:tcW w:w="677" w:type="pct"/>
            <w:tcBorders>
              <w:top w:val="single" w:sz="4" w:space="0" w:color="auto"/>
              <w:left w:val="single" w:sz="4" w:space="0" w:color="auto"/>
              <w:bottom w:val="single" w:sz="4" w:space="0" w:color="auto"/>
              <w:right w:val="single" w:sz="4" w:space="0" w:color="auto"/>
            </w:tcBorders>
            <w:vAlign w:val="center"/>
          </w:tcPr>
          <w:p w14:paraId="0AC7FE29"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56E2AE2" w14:textId="77777777" w:rsidR="00E57DAA" w:rsidRDefault="00AC4185">
            <w:pPr>
              <w:autoSpaceDE w:val="0"/>
              <w:autoSpaceDN w:val="0"/>
              <w:adjustRightInd w:val="0"/>
              <w:rPr>
                <w:szCs w:val="21"/>
              </w:rPr>
            </w:pPr>
            <w:r>
              <w:t>北方水泥有限公司</w:t>
            </w:r>
          </w:p>
        </w:tc>
        <w:tc>
          <w:tcPr>
            <w:tcW w:w="633" w:type="pct"/>
            <w:tcBorders>
              <w:top w:val="single" w:sz="4" w:space="0" w:color="auto"/>
              <w:left w:val="single" w:sz="4" w:space="0" w:color="auto"/>
              <w:bottom w:val="single" w:sz="4" w:space="0" w:color="auto"/>
              <w:right w:val="single" w:sz="4" w:space="0" w:color="auto"/>
            </w:tcBorders>
          </w:tcPr>
          <w:p w14:paraId="5E6FFE96" w14:textId="77777777" w:rsidR="00E57DAA" w:rsidRDefault="00AC4185">
            <w:pPr>
              <w:autoSpaceDE w:val="0"/>
              <w:autoSpaceDN w:val="0"/>
              <w:adjustRightInd w:val="0"/>
              <w:jc w:val="right"/>
              <w:rPr>
                <w:szCs w:val="21"/>
              </w:rPr>
            </w:pPr>
            <w:r>
              <w:t>5,000.00</w:t>
            </w:r>
          </w:p>
        </w:tc>
        <w:tc>
          <w:tcPr>
            <w:tcW w:w="632" w:type="pct"/>
            <w:tcBorders>
              <w:top w:val="single" w:sz="4" w:space="0" w:color="auto"/>
              <w:left w:val="single" w:sz="4" w:space="0" w:color="auto"/>
              <w:bottom w:val="single" w:sz="4" w:space="0" w:color="auto"/>
              <w:right w:val="single" w:sz="4" w:space="0" w:color="auto"/>
            </w:tcBorders>
          </w:tcPr>
          <w:p w14:paraId="09869C3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C235D5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3BFD1E1" w14:textId="77777777" w:rsidR="00E57DAA" w:rsidRDefault="00AC4185">
            <w:pPr>
              <w:autoSpaceDE w:val="0"/>
              <w:autoSpaceDN w:val="0"/>
              <w:adjustRightInd w:val="0"/>
              <w:jc w:val="right"/>
              <w:rPr>
                <w:szCs w:val="21"/>
              </w:rPr>
            </w:pPr>
            <w:r>
              <w:t xml:space="preserve">　</w:t>
            </w:r>
          </w:p>
        </w:tc>
      </w:tr>
      <w:tr w:rsidR="00E57DAA" w14:paraId="42D2F7DA" w14:textId="77777777">
        <w:tc>
          <w:tcPr>
            <w:tcW w:w="677" w:type="pct"/>
            <w:tcBorders>
              <w:top w:val="single" w:sz="4" w:space="0" w:color="auto"/>
              <w:left w:val="single" w:sz="4" w:space="0" w:color="auto"/>
              <w:bottom w:val="single" w:sz="4" w:space="0" w:color="auto"/>
              <w:right w:val="single" w:sz="4" w:space="0" w:color="auto"/>
            </w:tcBorders>
            <w:vAlign w:val="center"/>
          </w:tcPr>
          <w:p w14:paraId="22258952"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511CA5C" w14:textId="77777777" w:rsidR="00E57DAA" w:rsidRDefault="00AC4185">
            <w:pPr>
              <w:autoSpaceDE w:val="0"/>
              <w:autoSpaceDN w:val="0"/>
              <w:adjustRightInd w:val="0"/>
              <w:rPr>
                <w:szCs w:val="21"/>
              </w:rPr>
            </w:pPr>
            <w:r>
              <w:t>汪清北方水泥有限公司</w:t>
            </w:r>
          </w:p>
        </w:tc>
        <w:tc>
          <w:tcPr>
            <w:tcW w:w="633" w:type="pct"/>
            <w:tcBorders>
              <w:top w:val="single" w:sz="4" w:space="0" w:color="auto"/>
              <w:left w:val="single" w:sz="4" w:space="0" w:color="auto"/>
              <w:bottom w:val="single" w:sz="4" w:space="0" w:color="auto"/>
              <w:right w:val="single" w:sz="4" w:space="0" w:color="auto"/>
            </w:tcBorders>
          </w:tcPr>
          <w:p w14:paraId="668CEE68" w14:textId="77777777" w:rsidR="00E57DAA" w:rsidRDefault="00AC4185">
            <w:pPr>
              <w:autoSpaceDE w:val="0"/>
              <w:autoSpaceDN w:val="0"/>
              <w:adjustRightInd w:val="0"/>
              <w:jc w:val="right"/>
              <w:rPr>
                <w:szCs w:val="21"/>
              </w:rPr>
            </w:pPr>
            <w:r>
              <w:t>4,000.00</w:t>
            </w:r>
          </w:p>
        </w:tc>
        <w:tc>
          <w:tcPr>
            <w:tcW w:w="632" w:type="pct"/>
            <w:tcBorders>
              <w:top w:val="single" w:sz="4" w:space="0" w:color="auto"/>
              <w:left w:val="single" w:sz="4" w:space="0" w:color="auto"/>
              <w:bottom w:val="single" w:sz="4" w:space="0" w:color="auto"/>
              <w:right w:val="single" w:sz="4" w:space="0" w:color="auto"/>
            </w:tcBorders>
          </w:tcPr>
          <w:p w14:paraId="47A2F47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188FCD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F582011" w14:textId="77777777" w:rsidR="00E57DAA" w:rsidRDefault="00AC4185">
            <w:pPr>
              <w:autoSpaceDE w:val="0"/>
              <w:autoSpaceDN w:val="0"/>
              <w:adjustRightInd w:val="0"/>
              <w:jc w:val="right"/>
              <w:rPr>
                <w:szCs w:val="21"/>
              </w:rPr>
            </w:pPr>
            <w:r>
              <w:t xml:space="preserve">　</w:t>
            </w:r>
          </w:p>
        </w:tc>
      </w:tr>
      <w:tr w:rsidR="00E57DAA" w14:paraId="2F883D45" w14:textId="77777777">
        <w:tc>
          <w:tcPr>
            <w:tcW w:w="677" w:type="pct"/>
            <w:tcBorders>
              <w:top w:val="single" w:sz="4" w:space="0" w:color="auto"/>
              <w:left w:val="single" w:sz="4" w:space="0" w:color="auto"/>
              <w:bottom w:val="single" w:sz="4" w:space="0" w:color="auto"/>
              <w:right w:val="single" w:sz="4" w:space="0" w:color="auto"/>
            </w:tcBorders>
            <w:vAlign w:val="center"/>
          </w:tcPr>
          <w:p w14:paraId="327B5192"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FF50CAE" w14:textId="77777777" w:rsidR="00E57DAA" w:rsidRDefault="00AC4185">
            <w:pPr>
              <w:autoSpaceDE w:val="0"/>
              <w:autoSpaceDN w:val="0"/>
              <w:adjustRightInd w:val="0"/>
              <w:rPr>
                <w:szCs w:val="21"/>
              </w:rPr>
            </w:pPr>
            <w:r>
              <w:t>凌源市富源矿业有限责任公司</w:t>
            </w:r>
          </w:p>
        </w:tc>
        <w:tc>
          <w:tcPr>
            <w:tcW w:w="633" w:type="pct"/>
            <w:tcBorders>
              <w:top w:val="single" w:sz="4" w:space="0" w:color="auto"/>
              <w:left w:val="single" w:sz="4" w:space="0" w:color="auto"/>
              <w:bottom w:val="single" w:sz="4" w:space="0" w:color="auto"/>
              <w:right w:val="single" w:sz="4" w:space="0" w:color="auto"/>
            </w:tcBorders>
          </w:tcPr>
          <w:p w14:paraId="36F4435B" w14:textId="77777777" w:rsidR="00E57DAA" w:rsidRDefault="00AC4185">
            <w:pPr>
              <w:autoSpaceDE w:val="0"/>
              <w:autoSpaceDN w:val="0"/>
              <w:adjustRightInd w:val="0"/>
              <w:jc w:val="right"/>
              <w:rPr>
                <w:szCs w:val="21"/>
              </w:rPr>
            </w:pPr>
            <w:r>
              <w:t>500</w:t>
            </w:r>
          </w:p>
        </w:tc>
        <w:tc>
          <w:tcPr>
            <w:tcW w:w="632" w:type="pct"/>
            <w:tcBorders>
              <w:top w:val="single" w:sz="4" w:space="0" w:color="auto"/>
              <w:left w:val="single" w:sz="4" w:space="0" w:color="auto"/>
              <w:bottom w:val="single" w:sz="4" w:space="0" w:color="auto"/>
              <w:right w:val="single" w:sz="4" w:space="0" w:color="auto"/>
            </w:tcBorders>
          </w:tcPr>
          <w:p w14:paraId="53C8D33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A5C116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9140172" w14:textId="77777777" w:rsidR="00E57DAA" w:rsidRDefault="00AC4185">
            <w:pPr>
              <w:autoSpaceDE w:val="0"/>
              <w:autoSpaceDN w:val="0"/>
              <w:adjustRightInd w:val="0"/>
              <w:jc w:val="right"/>
              <w:rPr>
                <w:szCs w:val="21"/>
              </w:rPr>
            </w:pPr>
            <w:r>
              <w:t xml:space="preserve">　</w:t>
            </w:r>
          </w:p>
        </w:tc>
      </w:tr>
      <w:tr w:rsidR="00E57DAA" w14:paraId="34E7651E" w14:textId="77777777">
        <w:tc>
          <w:tcPr>
            <w:tcW w:w="677" w:type="pct"/>
            <w:tcBorders>
              <w:top w:val="single" w:sz="4" w:space="0" w:color="auto"/>
              <w:left w:val="single" w:sz="4" w:space="0" w:color="auto"/>
              <w:bottom w:val="single" w:sz="4" w:space="0" w:color="auto"/>
              <w:right w:val="single" w:sz="4" w:space="0" w:color="auto"/>
            </w:tcBorders>
            <w:vAlign w:val="center"/>
          </w:tcPr>
          <w:p w14:paraId="18A3452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AA0AEC7" w14:textId="77777777" w:rsidR="00E57DAA" w:rsidRDefault="00AC4185">
            <w:pPr>
              <w:autoSpaceDE w:val="0"/>
              <w:autoSpaceDN w:val="0"/>
              <w:adjustRightInd w:val="0"/>
              <w:rPr>
                <w:szCs w:val="21"/>
              </w:rPr>
            </w:pPr>
            <w:r>
              <w:t>德安县南方新材料有限公司</w:t>
            </w:r>
          </w:p>
        </w:tc>
        <w:tc>
          <w:tcPr>
            <w:tcW w:w="633" w:type="pct"/>
            <w:tcBorders>
              <w:top w:val="single" w:sz="4" w:space="0" w:color="auto"/>
              <w:left w:val="single" w:sz="4" w:space="0" w:color="auto"/>
              <w:bottom w:val="single" w:sz="4" w:space="0" w:color="auto"/>
              <w:right w:val="single" w:sz="4" w:space="0" w:color="auto"/>
            </w:tcBorders>
          </w:tcPr>
          <w:p w14:paraId="115DD852" w14:textId="77777777" w:rsidR="00E57DAA" w:rsidRDefault="00AC4185">
            <w:pPr>
              <w:autoSpaceDE w:val="0"/>
              <w:autoSpaceDN w:val="0"/>
              <w:adjustRightInd w:val="0"/>
              <w:jc w:val="right"/>
              <w:rPr>
                <w:szCs w:val="21"/>
              </w:rPr>
            </w:pPr>
            <w:r>
              <w:t>400</w:t>
            </w:r>
          </w:p>
        </w:tc>
        <w:tc>
          <w:tcPr>
            <w:tcW w:w="632" w:type="pct"/>
            <w:tcBorders>
              <w:top w:val="single" w:sz="4" w:space="0" w:color="auto"/>
              <w:left w:val="single" w:sz="4" w:space="0" w:color="auto"/>
              <w:bottom w:val="single" w:sz="4" w:space="0" w:color="auto"/>
              <w:right w:val="single" w:sz="4" w:space="0" w:color="auto"/>
            </w:tcBorders>
          </w:tcPr>
          <w:p w14:paraId="584074F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BD403E5" w14:textId="77777777" w:rsidR="00E57DAA" w:rsidRDefault="00AC4185">
            <w:pPr>
              <w:autoSpaceDE w:val="0"/>
              <w:autoSpaceDN w:val="0"/>
              <w:adjustRightInd w:val="0"/>
              <w:jc w:val="right"/>
              <w:rPr>
                <w:szCs w:val="21"/>
              </w:rPr>
            </w:pPr>
            <w:r>
              <w:t>20,226.22</w:t>
            </w:r>
          </w:p>
        </w:tc>
        <w:tc>
          <w:tcPr>
            <w:tcW w:w="914" w:type="pct"/>
            <w:tcBorders>
              <w:top w:val="single" w:sz="4" w:space="0" w:color="auto"/>
              <w:left w:val="single" w:sz="4" w:space="0" w:color="auto"/>
              <w:bottom w:val="single" w:sz="4" w:space="0" w:color="auto"/>
              <w:right w:val="single" w:sz="4" w:space="0" w:color="auto"/>
            </w:tcBorders>
          </w:tcPr>
          <w:p w14:paraId="4FA62BB3" w14:textId="77777777" w:rsidR="00E57DAA" w:rsidRDefault="00AC4185">
            <w:pPr>
              <w:autoSpaceDE w:val="0"/>
              <w:autoSpaceDN w:val="0"/>
              <w:adjustRightInd w:val="0"/>
              <w:jc w:val="right"/>
              <w:rPr>
                <w:szCs w:val="21"/>
              </w:rPr>
            </w:pPr>
            <w:r>
              <w:t xml:space="preserve">　</w:t>
            </w:r>
          </w:p>
        </w:tc>
      </w:tr>
      <w:tr w:rsidR="00E57DAA" w14:paraId="5DF58BDA" w14:textId="77777777">
        <w:tc>
          <w:tcPr>
            <w:tcW w:w="677" w:type="pct"/>
            <w:tcBorders>
              <w:top w:val="single" w:sz="4" w:space="0" w:color="auto"/>
              <w:left w:val="single" w:sz="4" w:space="0" w:color="auto"/>
              <w:bottom w:val="single" w:sz="4" w:space="0" w:color="auto"/>
              <w:right w:val="single" w:sz="4" w:space="0" w:color="auto"/>
            </w:tcBorders>
            <w:vAlign w:val="center"/>
          </w:tcPr>
          <w:p w14:paraId="2C1F09BD"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DC56955" w14:textId="77777777" w:rsidR="00E57DAA" w:rsidRDefault="00AC4185">
            <w:pPr>
              <w:autoSpaceDE w:val="0"/>
              <w:autoSpaceDN w:val="0"/>
              <w:adjustRightInd w:val="0"/>
              <w:rPr>
                <w:szCs w:val="21"/>
              </w:rPr>
            </w:pPr>
            <w:r>
              <w:t>滁州中联水泥有限公司</w:t>
            </w:r>
          </w:p>
        </w:tc>
        <w:tc>
          <w:tcPr>
            <w:tcW w:w="633" w:type="pct"/>
            <w:tcBorders>
              <w:top w:val="single" w:sz="4" w:space="0" w:color="auto"/>
              <w:left w:val="single" w:sz="4" w:space="0" w:color="auto"/>
              <w:bottom w:val="single" w:sz="4" w:space="0" w:color="auto"/>
              <w:right w:val="single" w:sz="4" w:space="0" w:color="auto"/>
            </w:tcBorders>
          </w:tcPr>
          <w:p w14:paraId="5966BB44" w14:textId="77777777" w:rsidR="00E57DAA" w:rsidRDefault="00AC4185">
            <w:pPr>
              <w:autoSpaceDE w:val="0"/>
              <w:autoSpaceDN w:val="0"/>
              <w:adjustRightInd w:val="0"/>
              <w:jc w:val="right"/>
              <w:rPr>
                <w:szCs w:val="21"/>
              </w:rPr>
            </w:pPr>
            <w:r>
              <w:t>307.55</w:t>
            </w:r>
          </w:p>
        </w:tc>
        <w:tc>
          <w:tcPr>
            <w:tcW w:w="632" w:type="pct"/>
            <w:tcBorders>
              <w:top w:val="single" w:sz="4" w:space="0" w:color="auto"/>
              <w:left w:val="single" w:sz="4" w:space="0" w:color="auto"/>
              <w:bottom w:val="single" w:sz="4" w:space="0" w:color="auto"/>
              <w:right w:val="single" w:sz="4" w:space="0" w:color="auto"/>
            </w:tcBorders>
          </w:tcPr>
          <w:p w14:paraId="552B144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0B64CFF" w14:textId="77777777" w:rsidR="00E57DAA" w:rsidRDefault="00AC4185">
            <w:pPr>
              <w:autoSpaceDE w:val="0"/>
              <w:autoSpaceDN w:val="0"/>
              <w:adjustRightInd w:val="0"/>
              <w:jc w:val="right"/>
              <w:rPr>
                <w:szCs w:val="21"/>
              </w:rPr>
            </w:pPr>
            <w:r>
              <w:t>307.55</w:t>
            </w:r>
          </w:p>
        </w:tc>
        <w:tc>
          <w:tcPr>
            <w:tcW w:w="914" w:type="pct"/>
            <w:tcBorders>
              <w:top w:val="single" w:sz="4" w:space="0" w:color="auto"/>
              <w:left w:val="single" w:sz="4" w:space="0" w:color="auto"/>
              <w:bottom w:val="single" w:sz="4" w:space="0" w:color="auto"/>
              <w:right w:val="single" w:sz="4" w:space="0" w:color="auto"/>
            </w:tcBorders>
          </w:tcPr>
          <w:p w14:paraId="1CB4C4FB" w14:textId="77777777" w:rsidR="00E57DAA" w:rsidRDefault="00AC4185">
            <w:pPr>
              <w:autoSpaceDE w:val="0"/>
              <w:autoSpaceDN w:val="0"/>
              <w:adjustRightInd w:val="0"/>
              <w:jc w:val="right"/>
              <w:rPr>
                <w:szCs w:val="21"/>
              </w:rPr>
            </w:pPr>
            <w:r>
              <w:t xml:space="preserve">　</w:t>
            </w:r>
          </w:p>
        </w:tc>
      </w:tr>
      <w:tr w:rsidR="00E57DAA" w14:paraId="32BAC0E1" w14:textId="77777777">
        <w:tc>
          <w:tcPr>
            <w:tcW w:w="677" w:type="pct"/>
            <w:tcBorders>
              <w:top w:val="single" w:sz="4" w:space="0" w:color="auto"/>
              <w:left w:val="single" w:sz="4" w:space="0" w:color="auto"/>
              <w:bottom w:val="single" w:sz="4" w:space="0" w:color="auto"/>
              <w:right w:val="single" w:sz="4" w:space="0" w:color="auto"/>
            </w:tcBorders>
            <w:vAlign w:val="center"/>
          </w:tcPr>
          <w:p w14:paraId="30030CA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0093013" w14:textId="77777777" w:rsidR="00E57DAA" w:rsidRDefault="00AC4185">
            <w:pPr>
              <w:autoSpaceDE w:val="0"/>
              <w:autoSpaceDN w:val="0"/>
              <w:adjustRightInd w:val="0"/>
              <w:rPr>
                <w:szCs w:val="21"/>
              </w:rPr>
            </w:pPr>
            <w:r>
              <w:t>巴彦淖尔中联水泥有限公司</w:t>
            </w:r>
          </w:p>
        </w:tc>
        <w:tc>
          <w:tcPr>
            <w:tcW w:w="633" w:type="pct"/>
            <w:tcBorders>
              <w:top w:val="single" w:sz="4" w:space="0" w:color="auto"/>
              <w:left w:val="single" w:sz="4" w:space="0" w:color="auto"/>
              <w:bottom w:val="single" w:sz="4" w:space="0" w:color="auto"/>
              <w:right w:val="single" w:sz="4" w:space="0" w:color="auto"/>
            </w:tcBorders>
          </w:tcPr>
          <w:p w14:paraId="7B85EE5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C165F1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14B0631" w14:textId="77777777" w:rsidR="00E57DAA" w:rsidRDefault="00AC4185">
            <w:pPr>
              <w:autoSpaceDE w:val="0"/>
              <w:autoSpaceDN w:val="0"/>
              <w:adjustRightInd w:val="0"/>
              <w:jc w:val="right"/>
              <w:rPr>
                <w:szCs w:val="21"/>
              </w:rPr>
            </w:pPr>
            <w:r>
              <w:t>22,119.00</w:t>
            </w:r>
          </w:p>
        </w:tc>
        <w:tc>
          <w:tcPr>
            <w:tcW w:w="914" w:type="pct"/>
            <w:tcBorders>
              <w:top w:val="single" w:sz="4" w:space="0" w:color="auto"/>
              <w:left w:val="single" w:sz="4" w:space="0" w:color="auto"/>
              <w:bottom w:val="single" w:sz="4" w:space="0" w:color="auto"/>
              <w:right w:val="single" w:sz="4" w:space="0" w:color="auto"/>
            </w:tcBorders>
          </w:tcPr>
          <w:p w14:paraId="163963EA" w14:textId="77777777" w:rsidR="00E57DAA" w:rsidRDefault="00AC4185">
            <w:pPr>
              <w:autoSpaceDE w:val="0"/>
              <w:autoSpaceDN w:val="0"/>
              <w:adjustRightInd w:val="0"/>
              <w:jc w:val="right"/>
              <w:rPr>
                <w:szCs w:val="21"/>
              </w:rPr>
            </w:pPr>
            <w:r>
              <w:t xml:space="preserve">　</w:t>
            </w:r>
          </w:p>
        </w:tc>
      </w:tr>
      <w:tr w:rsidR="00E57DAA" w14:paraId="47CBDEEF" w14:textId="77777777">
        <w:tc>
          <w:tcPr>
            <w:tcW w:w="677" w:type="pct"/>
            <w:tcBorders>
              <w:top w:val="single" w:sz="4" w:space="0" w:color="auto"/>
              <w:left w:val="single" w:sz="4" w:space="0" w:color="auto"/>
              <w:bottom w:val="single" w:sz="4" w:space="0" w:color="auto"/>
              <w:right w:val="single" w:sz="4" w:space="0" w:color="auto"/>
            </w:tcBorders>
            <w:vAlign w:val="center"/>
          </w:tcPr>
          <w:p w14:paraId="41864C68"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82E155C" w14:textId="77777777" w:rsidR="00E57DAA" w:rsidRDefault="00AC4185">
            <w:pPr>
              <w:autoSpaceDE w:val="0"/>
              <w:autoSpaceDN w:val="0"/>
              <w:adjustRightInd w:val="0"/>
              <w:rPr>
                <w:szCs w:val="21"/>
              </w:rPr>
            </w:pPr>
            <w:r>
              <w:t>池州中建材新材料有限公司</w:t>
            </w:r>
          </w:p>
        </w:tc>
        <w:tc>
          <w:tcPr>
            <w:tcW w:w="633" w:type="pct"/>
            <w:tcBorders>
              <w:top w:val="single" w:sz="4" w:space="0" w:color="auto"/>
              <w:left w:val="single" w:sz="4" w:space="0" w:color="auto"/>
              <w:bottom w:val="single" w:sz="4" w:space="0" w:color="auto"/>
              <w:right w:val="single" w:sz="4" w:space="0" w:color="auto"/>
            </w:tcBorders>
          </w:tcPr>
          <w:p w14:paraId="7AF6539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6F2D58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CF56824"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2DA90259" w14:textId="77777777" w:rsidR="00E57DAA" w:rsidRDefault="00AC4185">
            <w:pPr>
              <w:autoSpaceDE w:val="0"/>
              <w:autoSpaceDN w:val="0"/>
              <w:adjustRightInd w:val="0"/>
              <w:jc w:val="right"/>
              <w:rPr>
                <w:szCs w:val="21"/>
              </w:rPr>
            </w:pPr>
            <w:r>
              <w:t xml:space="preserve">　</w:t>
            </w:r>
          </w:p>
        </w:tc>
      </w:tr>
      <w:tr w:rsidR="00E57DAA" w14:paraId="585F7BEB" w14:textId="77777777">
        <w:tc>
          <w:tcPr>
            <w:tcW w:w="677" w:type="pct"/>
            <w:tcBorders>
              <w:top w:val="single" w:sz="4" w:space="0" w:color="auto"/>
              <w:left w:val="single" w:sz="4" w:space="0" w:color="auto"/>
              <w:bottom w:val="single" w:sz="4" w:space="0" w:color="auto"/>
              <w:right w:val="single" w:sz="4" w:space="0" w:color="auto"/>
            </w:tcBorders>
            <w:vAlign w:val="center"/>
          </w:tcPr>
          <w:p w14:paraId="73343F0D"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663D9D2" w14:textId="77777777" w:rsidR="00E57DAA" w:rsidRDefault="00AC4185">
            <w:pPr>
              <w:autoSpaceDE w:val="0"/>
              <w:autoSpaceDN w:val="0"/>
              <w:adjustRightInd w:val="0"/>
              <w:rPr>
                <w:szCs w:val="21"/>
              </w:rPr>
            </w:pPr>
            <w:r>
              <w:t>甘肃祁连山水泥集团股份有限公司</w:t>
            </w:r>
          </w:p>
        </w:tc>
        <w:tc>
          <w:tcPr>
            <w:tcW w:w="633" w:type="pct"/>
            <w:tcBorders>
              <w:top w:val="single" w:sz="4" w:space="0" w:color="auto"/>
              <w:left w:val="single" w:sz="4" w:space="0" w:color="auto"/>
              <w:bottom w:val="single" w:sz="4" w:space="0" w:color="auto"/>
              <w:right w:val="single" w:sz="4" w:space="0" w:color="auto"/>
            </w:tcBorders>
          </w:tcPr>
          <w:p w14:paraId="2FA8301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24ADF2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D5F45A9" w14:textId="77777777" w:rsidR="00E57DAA" w:rsidRDefault="00AC4185">
            <w:pPr>
              <w:autoSpaceDE w:val="0"/>
              <w:autoSpaceDN w:val="0"/>
              <w:adjustRightInd w:val="0"/>
              <w:jc w:val="right"/>
              <w:rPr>
                <w:szCs w:val="21"/>
              </w:rPr>
            </w:pPr>
            <w:r>
              <w:t>500</w:t>
            </w:r>
          </w:p>
        </w:tc>
        <w:tc>
          <w:tcPr>
            <w:tcW w:w="914" w:type="pct"/>
            <w:tcBorders>
              <w:top w:val="single" w:sz="4" w:space="0" w:color="auto"/>
              <w:left w:val="single" w:sz="4" w:space="0" w:color="auto"/>
              <w:bottom w:val="single" w:sz="4" w:space="0" w:color="auto"/>
              <w:right w:val="single" w:sz="4" w:space="0" w:color="auto"/>
            </w:tcBorders>
          </w:tcPr>
          <w:p w14:paraId="7B005F93" w14:textId="77777777" w:rsidR="00E57DAA" w:rsidRDefault="00AC4185">
            <w:pPr>
              <w:autoSpaceDE w:val="0"/>
              <w:autoSpaceDN w:val="0"/>
              <w:adjustRightInd w:val="0"/>
              <w:jc w:val="right"/>
              <w:rPr>
                <w:szCs w:val="21"/>
              </w:rPr>
            </w:pPr>
            <w:r>
              <w:t xml:space="preserve">　</w:t>
            </w:r>
          </w:p>
        </w:tc>
      </w:tr>
      <w:tr w:rsidR="00E57DAA" w14:paraId="3920BC59" w14:textId="77777777">
        <w:tc>
          <w:tcPr>
            <w:tcW w:w="677" w:type="pct"/>
            <w:tcBorders>
              <w:top w:val="single" w:sz="4" w:space="0" w:color="auto"/>
              <w:left w:val="single" w:sz="4" w:space="0" w:color="auto"/>
              <w:bottom w:val="single" w:sz="4" w:space="0" w:color="auto"/>
              <w:right w:val="single" w:sz="4" w:space="0" w:color="auto"/>
            </w:tcBorders>
            <w:vAlign w:val="center"/>
          </w:tcPr>
          <w:p w14:paraId="6221C76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4EB9CE0" w14:textId="77777777" w:rsidR="00E57DAA" w:rsidRDefault="00AC4185">
            <w:pPr>
              <w:autoSpaceDE w:val="0"/>
              <w:autoSpaceDN w:val="0"/>
              <w:adjustRightInd w:val="0"/>
              <w:rPr>
                <w:szCs w:val="21"/>
              </w:rPr>
            </w:pPr>
            <w:r>
              <w:t>连云港中复连众复合材料集团有限公司</w:t>
            </w:r>
          </w:p>
        </w:tc>
        <w:tc>
          <w:tcPr>
            <w:tcW w:w="633" w:type="pct"/>
            <w:tcBorders>
              <w:top w:val="single" w:sz="4" w:space="0" w:color="auto"/>
              <w:left w:val="single" w:sz="4" w:space="0" w:color="auto"/>
              <w:bottom w:val="single" w:sz="4" w:space="0" w:color="auto"/>
              <w:right w:val="single" w:sz="4" w:space="0" w:color="auto"/>
            </w:tcBorders>
          </w:tcPr>
          <w:p w14:paraId="1DEE0AC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020401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048B836" w14:textId="77777777" w:rsidR="00E57DAA" w:rsidRDefault="00AC4185">
            <w:pPr>
              <w:autoSpaceDE w:val="0"/>
              <w:autoSpaceDN w:val="0"/>
              <w:adjustRightInd w:val="0"/>
              <w:jc w:val="right"/>
              <w:rPr>
                <w:szCs w:val="21"/>
              </w:rPr>
            </w:pPr>
            <w:r>
              <w:t>470,274.34</w:t>
            </w:r>
          </w:p>
        </w:tc>
        <w:tc>
          <w:tcPr>
            <w:tcW w:w="914" w:type="pct"/>
            <w:tcBorders>
              <w:top w:val="single" w:sz="4" w:space="0" w:color="auto"/>
              <w:left w:val="single" w:sz="4" w:space="0" w:color="auto"/>
              <w:bottom w:val="single" w:sz="4" w:space="0" w:color="auto"/>
              <w:right w:val="single" w:sz="4" w:space="0" w:color="auto"/>
            </w:tcBorders>
          </w:tcPr>
          <w:p w14:paraId="00CFA605" w14:textId="77777777" w:rsidR="00E57DAA" w:rsidRDefault="00AC4185">
            <w:pPr>
              <w:autoSpaceDE w:val="0"/>
              <w:autoSpaceDN w:val="0"/>
              <w:adjustRightInd w:val="0"/>
              <w:jc w:val="right"/>
              <w:rPr>
                <w:szCs w:val="21"/>
              </w:rPr>
            </w:pPr>
            <w:r>
              <w:t xml:space="preserve">　</w:t>
            </w:r>
          </w:p>
        </w:tc>
      </w:tr>
      <w:tr w:rsidR="00E57DAA" w14:paraId="61028C37" w14:textId="77777777">
        <w:tc>
          <w:tcPr>
            <w:tcW w:w="677" w:type="pct"/>
            <w:tcBorders>
              <w:top w:val="single" w:sz="4" w:space="0" w:color="auto"/>
              <w:left w:val="single" w:sz="4" w:space="0" w:color="auto"/>
              <w:bottom w:val="single" w:sz="4" w:space="0" w:color="auto"/>
              <w:right w:val="single" w:sz="4" w:space="0" w:color="auto"/>
            </w:tcBorders>
            <w:vAlign w:val="center"/>
          </w:tcPr>
          <w:p w14:paraId="37E682D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135CBAB" w14:textId="77777777" w:rsidR="00E57DAA" w:rsidRDefault="00AC4185">
            <w:pPr>
              <w:autoSpaceDE w:val="0"/>
              <w:autoSpaceDN w:val="0"/>
              <w:adjustRightInd w:val="0"/>
              <w:rPr>
                <w:szCs w:val="21"/>
              </w:rPr>
            </w:pPr>
            <w:r>
              <w:t>衢州南方水泥有限公司</w:t>
            </w:r>
          </w:p>
        </w:tc>
        <w:tc>
          <w:tcPr>
            <w:tcW w:w="633" w:type="pct"/>
            <w:tcBorders>
              <w:top w:val="single" w:sz="4" w:space="0" w:color="auto"/>
              <w:left w:val="single" w:sz="4" w:space="0" w:color="auto"/>
              <w:bottom w:val="single" w:sz="4" w:space="0" w:color="auto"/>
              <w:right w:val="single" w:sz="4" w:space="0" w:color="auto"/>
            </w:tcBorders>
          </w:tcPr>
          <w:p w14:paraId="27D331F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C31B31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9AF6C31" w14:textId="77777777" w:rsidR="00E57DAA" w:rsidRDefault="00AC4185">
            <w:pPr>
              <w:autoSpaceDE w:val="0"/>
              <w:autoSpaceDN w:val="0"/>
              <w:adjustRightInd w:val="0"/>
              <w:jc w:val="right"/>
              <w:rPr>
                <w:szCs w:val="21"/>
              </w:rPr>
            </w:pPr>
            <w:r>
              <w:t>5,000.00</w:t>
            </w:r>
          </w:p>
        </w:tc>
        <w:tc>
          <w:tcPr>
            <w:tcW w:w="914" w:type="pct"/>
            <w:tcBorders>
              <w:top w:val="single" w:sz="4" w:space="0" w:color="auto"/>
              <w:left w:val="single" w:sz="4" w:space="0" w:color="auto"/>
              <w:bottom w:val="single" w:sz="4" w:space="0" w:color="auto"/>
              <w:right w:val="single" w:sz="4" w:space="0" w:color="auto"/>
            </w:tcBorders>
          </w:tcPr>
          <w:p w14:paraId="69D6658C" w14:textId="77777777" w:rsidR="00E57DAA" w:rsidRDefault="00AC4185">
            <w:pPr>
              <w:autoSpaceDE w:val="0"/>
              <w:autoSpaceDN w:val="0"/>
              <w:adjustRightInd w:val="0"/>
              <w:jc w:val="right"/>
              <w:rPr>
                <w:szCs w:val="21"/>
              </w:rPr>
            </w:pPr>
            <w:r>
              <w:t xml:space="preserve">　</w:t>
            </w:r>
          </w:p>
        </w:tc>
      </w:tr>
      <w:tr w:rsidR="00E57DAA" w14:paraId="1D3E0659" w14:textId="77777777">
        <w:tc>
          <w:tcPr>
            <w:tcW w:w="677" w:type="pct"/>
            <w:tcBorders>
              <w:top w:val="single" w:sz="4" w:space="0" w:color="auto"/>
              <w:left w:val="single" w:sz="4" w:space="0" w:color="auto"/>
              <w:bottom w:val="single" w:sz="4" w:space="0" w:color="auto"/>
              <w:right w:val="single" w:sz="4" w:space="0" w:color="auto"/>
            </w:tcBorders>
            <w:vAlign w:val="center"/>
          </w:tcPr>
          <w:p w14:paraId="39CA0A73"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6FFA9E8" w14:textId="77777777" w:rsidR="00E57DAA" w:rsidRDefault="00AC4185">
            <w:pPr>
              <w:autoSpaceDE w:val="0"/>
              <w:autoSpaceDN w:val="0"/>
              <w:adjustRightInd w:val="0"/>
              <w:rPr>
                <w:szCs w:val="21"/>
              </w:rPr>
            </w:pPr>
            <w:r>
              <w:t>厦门艾思欧标准砂有限公司</w:t>
            </w:r>
          </w:p>
        </w:tc>
        <w:tc>
          <w:tcPr>
            <w:tcW w:w="633" w:type="pct"/>
            <w:tcBorders>
              <w:top w:val="single" w:sz="4" w:space="0" w:color="auto"/>
              <w:left w:val="single" w:sz="4" w:space="0" w:color="auto"/>
              <w:bottom w:val="single" w:sz="4" w:space="0" w:color="auto"/>
              <w:right w:val="single" w:sz="4" w:space="0" w:color="auto"/>
            </w:tcBorders>
          </w:tcPr>
          <w:p w14:paraId="6925F1B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FB7ABE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44BEC94" w14:textId="77777777" w:rsidR="00E57DAA" w:rsidRDefault="00AC4185">
            <w:pPr>
              <w:autoSpaceDE w:val="0"/>
              <w:autoSpaceDN w:val="0"/>
              <w:adjustRightInd w:val="0"/>
              <w:jc w:val="right"/>
              <w:rPr>
                <w:szCs w:val="21"/>
              </w:rPr>
            </w:pPr>
            <w:r>
              <w:t>333,060.01</w:t>
            </w:r>
          </w:p>
        </w:tc>
        <w:tc>
          <w:tcPr>
            <w:tcW w:w="914" w:type="pct"/>
            <w:tcBorders>
              <w:top w:val="single" w:sz="4" w:space="0" w:color="auto"/>
              <w:left w:val="single" w:sz="4" w:space="0" w:color="auto"/>
              <w:bottom w:val="single" w:sz="4" w:space="0" w:color="auto"/>
              <w:right w:val="single" w:sz="4" w:space="0" w:color="auto"/>
            </w:tcBorders>
          </w:tcPr>
          <w:p w14:paraId="1FBFD43E" w14:textId="77777777" w:rsidR="00E57DAA" w:rsidRDefault="00AC4185">
            <w:pPr>
              <w:autoSpaceDE w:val="0"/>
              <w:autoSpaceDN w:val="0"/>
              <w:adjustRightInd w:val="0"/>
              <w:jc w:val="right"/>
              <w:rPr>
                <w:szCs w:val="21"/>
              </w:rPr>
            </w:pPr>
            <w:r>
              <w:t xml:space="preserve">　</w:t>
            </w:r>
          </w:p>
        </w:tc>
      </w:tr>
      <w:tr w:rsidR="00E57DAA" w14:paraId="6AD25C50" w14:textId="77777777">
        <w:tc>
          <w:tcPr>
            <w:tcW w:w="677" w:type="pct"/>
            <w:tcBorders>
              <w:top w:val="single" w:sz="4" w:space="0" w:color="auto"/>
              <w:left w:val="single" w:sz="4" w:space="0" w:color="auto"/>
              <w:bottom w:val="single" w:sz="4" w:space="0" w:color="auto"/>
              <w:right w:val="single" w:sz="4" w:space="0" w:color="auto"/>
            </w:tcBorders>
            <w:vAlign w:val="center"/>
          </w:tcPr>
          <w:p w14:paraId="6F86442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CF21C89" w14:textId="77777777" w:rsidR="00E57DAA" w:rsidRDefault="00AC4185">
            <w:pPr>
              <w:autoSpaceDE w:val="0"/>
              <w:autoSpaceDN w:val="0"/>
              <w:adjustRightInd w:val="0"/>
              <w:rPr>
                <w:szCs w:val="21"/>
              </w:rPr>
            </w:pPr>
            <w:r>
              <w:t>苏州中材非金属矿工业设计研究院有限公司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3F3D717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3359BF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AAD6178" w14:textId="77777777" w:rsidR="00E57DAA" w:rsidRDefault="00AC4185">
            <w:pPr>
              <w:autoSpaceDE w:val="0"/>
              <w:autoSpaceDN w:val="0"/>
              <w:adjustRightInd w:val="0"/>
              <w:jc w:val="right"/>
              <w:rPr>
                <w:szCs w:val="21"/>
              </w:rPr>
            </w:pPr>
            <w:r>
              <w:t>7,782,817.85</w:t>
            </w:r>
          </w:p>
        </w:tc>
        <w:tc>
          <w:tcPr>
            <w:tcW w:w="914" w:type="pct"/>
            <w:tcBorders>
              <w:top w:val="single" w:sz="4" w:space="0" w:color="auto"/>
              <w:left w:val="single" w:sz="4" w:space="0" w:color="auto"/>
              <w:bottom w:val="single" w:sz="4" w:space="0" w:color="auto"/>
              <w:right w:val="single" w:sz="4" w:space="0" w:color="auto"/>
            </w:tcBorders>
          </w:tcPr>
          <w:p w14:paraId="58811368" w14:textId="77777777" w:rsidR="00E57DAA" w:rsidRDefault="00AC4185">
            <w:pPr>
              <w:autoSpaceDE w:val="0"/>
              <w:autoSpaceDN w:val="0"/>
              <w:adjustRightInd w:val="0"/>
              <w:jc w:val="right"/>
              <w:rPr>
                <w:szCs w:val="21"/>
              </w:rPr>
            </w:pPr>
            <w:r>
              <w:t xml:space="preserve">　</w:t>
            </w:r>
          </w:p>
        </w:tc>
      </w:tr>
      <w:tr w:rsidR="00E57DAA" w14:paraId="2C78D5E6" w14:textId="77777777">
        <w:tc>
          <w:tcPr>
            <w:tcW w:w="677" w:type="pct"/>
            <w:tcBorders>
              <w:top w:val="single" w:sz="4" w:space="0" w:color="auto"/>
              <w:left w:val="single" w:sz="4" w:space="0" w:color="auto"/>
              <w:bottom w:val="single" w:sz="4" w:space="0" w:color="auto"/>
              <w:right w:val="single" w:sz="4" w:space="0" w:color="auto"/>
            </w:tcBorders>
            <w:vAlign w:val="center"/>
          </w:tcPr>
          <w:p w14:paraId="232C599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776628D" w14:textId="77777777" w:rsidR="00E57DAA" w:rsidRDefault="00AC4185">
            <w:pPr>
              <w:autoSpaceDE w:val="0"/>
              <w:autoSpaceDN w:val="0"/>
              <w:adjustRightInd w:val="0"/>
              <w:rPr>
                <w:szCs w:val="21"/>
              </w:rPr>
            </w:pPr>
            <w:r>
              <w:t>泰安华泰非金属微粉有限公司</w:t>
            </w:r>
          </w:p>
        </w:tc>
        <w:tc>
          <w:tcPr>
            <w:tcW w:w="633" w:type="pct"/>
            <w:tcBorders>
              <w:top w:val="single" w:sz="4" w:space="0" w:color="auto"/>
              <w:left w:val="single" w:sz="4" w:space="0" w:color="auto"/>
              <w:bottom w:val="single" w:sz="4" w:space="0" w:color="auto"/>
              <w:right w:val="single" w:sz="4" w:space="0" w:color="auto"/>
            </w:tcBorders>
          </w:tcPr>
          <w:p w14:paraId="13AFB3D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693C37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DBF273D" w14:textId="77777777" w:rsidR="00E57DAA" w:rsidRDefault="00AC4185">
            <w:pPr>
              <w:autoSpaceDE w:val="0"/>
              <w:autoSpaceDN w:val="0"/>
              <w:adjustRightInd w:val="0"/>
              <w:jc w:val="right"/>
              <w:rPr>
                <w:szCs w:val="21"/>
              </w:rPr>
            </w:pPr>
            <w:r>
              <w:t>1,260.00</w:t>
            </w:r>
          </w:p>
        </w:tc>
        <w:tc>
          <w:tcPr>
            <w:tcW w:w="914" w:type="pct"/>
            <w:tcBorders>
              <w:top w:val="single" w:sz="4" w:space="0" w:color="auto"/>
              <w:left w:val="single" w:sz="4" w:space="0" w:color="auto"/>
              <w:bottom w:val="single" w:sz="4" w:space="0" w:color="auto"/>
              <w:right w:val="single" w:sz="4" w:space="0" w:color="auto"/>
            </w:tcBorders>
          </w:tcPr>
          <w:p w14:paraId="29513C08" w14:textId="77777777" w:rsidR="00E57DAA" w:rsidRDefault="00AC4185">
            <w:pPr>
              <w:autoSpaceDE w:val="0"/>
              <w:autoSpaceDN w:val="0"/>
              <w:adjustRightInd w:val="0"/>
              <w:jc w:val="right"/>
              <w:rPr>
                <w:szCs w:val="21"/>
              </w:rPr>
            </w:pPr>
            <w:r>
              <w:t xml:space="preserve">　</w:t>
            </w:r>
          </w:p>
        </w:tc>
      </w:tr>
      <w:tr w:rsidR="00E57DAA" w14:paraId="1CE93B00" w14:textId="77777777">
        <w:tc>
          <w:tcPr>
            <w:tcW w:w="677" w:type="pct"/>
            <w:tcBorders>
              <w:top w:val="single" w:sz="4" w:space="0" w:color="auto"/>
              <w:left w:val="single" w:sz="4" w:space="0" w:color="auto"/>
              <w:bottom w:val="single" w:sz="4" w:space="0" w:color="auto"/>
              <w:right w:val="single" w:sz="4" w:space="0" w:color="auto"/>
            </w:tcBorders>
            <w:vAlign w:val="center"/>
          </w:tcPr>
          <w:p w14:paraId="32B2ADF9"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BC905FF" w14:textId="77777777" w:rsidR="00E57DAA" w:rsidRDefault="00AC4185">
            <w:pPr>
              <w:autoSpaceDE w:val="0"/>
              <w:autoSpaceDN w:val="0"/>
              <w:adjustRightInd w:val="0"/>
              <w:rPr>
                <w:szCs w:val="21"/>
              </w:rPr>
            </w:pPr>
            <w:r>
              <w:t>浙江虎鹰水泥有限公司</w:t>
            </w:r>
          </w:p>
        </w:tc>
        <w:tc>
          <w:tcPr>
            <w:tcW w:w="633" w:type="pct"/>
            <w:tcBorders>
              <w:top w:val="single" w:sz="4" w:space="0" w:color="auto"/>
              <w:left w:val="single" w:sz="4" w:space="0" w:color="auto"/>
              <w:bottom w:val="single" w:sz="4" w:space="0" w:color="auto"/>
              <w:right w:val="single" w:sz="4" w:space="0" w:color="auto"/>
            </w:tcBorders>
          </w:tcPr>
          <w:p w14:paraId="39F7C7A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1B2239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A0CF362" w14:textId="77777777" w:rsidR="00E57DAA" w:rsidRDefault="00AC4185">
            <w:pPr>
              <w:autoSpaceDE w:val="0"/>
              <w:autoSpaceDN w:val="0"/>
              <w:adjustRightInd w:val="0"/>
              <w:jc w:val="right"/>
              <w:rPr>
                <w:szCs w:val="21"/>
              </w:rPr>
            </w:pPr>
            <w:r>
              <w:t>15,122.00</w:t>
            </w:r>
          </w:p>
        </w:tc>
        <w:tc>
          <w:tcPr>
            <w:tcW w:w="914" w:type="pct"/>
            <w:tcBorders>
              <w:top w:val="single" w:sz="4" w:space="0" w:color="auto"/>
              <w:left w:val="single" w:sz="4" w:space="0" w:color="auto"/>
              <w:bottom w:val="single" w:sz="4" w:space="0" w:color="auto"/>
              <w:right w:val="single" w:sz="4" w:space="0" w:color="auto"/>
            </w:tcBorders>
          </w:tcPr>
          <w:p w14:paraId="3DE1DD07" w14:textId="77777777" w:rsidR="00E57DAA" w:rsidRDefault="00AC4185">
            <w:pPr>
              <w:autoSpaceDE w:val="0"/>
              <w:autoSpaceDN w:val="0"/>
              <w:adjustRightInd w:val="0"/>
              <w:jc w:val="right"/>
              <w:rPr>
                <w:szCs w:val="21"/>
              </w:rPr>
            </w:pPr>
            <w:r>
              <w:t xml:space="preserve">　</w:t>
            </w:r>
          </w:p>
        </w:tc>
      </w:tr>
      <w:tr w:rsidR="00E57DAA" w14:paraId="042E0188" w14:textId="77777777">
        <w:tc>
          <w:tcPr>
            <w:tcW w:w="677" w:type="pct"/>
            <w:tcBorders>
              <w:top w:val="single" w:sz="4" w:space="0" w:color="auto"/>
              <w:left w:val="single" w:sz="4" w:space="0" w:color="auto"/>
              <w:bottom w:val="single" w:sz="4" w:space="0" w:color="auto"/>
              <w:right w:val="single" w:sz="4" w:space="0" w:color="auto"/>
            </w:tcBorders>
            <w:vAlign w:val="center"/>
          </w:tcPr>
          <w:p w14:paraId="3A89203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9A637DF" w14:textId="77777777" w:rsidR="00E57DAA" w:rsidRDefault="00AC4185">
            <w:pPr>
              <w:autoSpaceDE w:val="0"/>
              <w:autoSpaceDN w:val="0"/>
              <w:adjustRightInd w:val="0"/>
              <w:rPr>
                <w:szCs w:val="21"/>
              </w:rPr>
            </w:pPr>
            <w:r>
              <w:t>中建材海外经济合作有限公司</w:t>
            </w:r>
          </w:p>
        </w:tc>
        <w:tc>
          <w:tcPr>
            <w:tcW w:w="633" w:type="pct"/>
            <w:tcBorders>
              <w:top w:val="single" w:sz="4" w:space="0" w:color="auto"/>
              <w:left w:val="single" w:sz="4" w:space="0" w:color="auto"/>
              <w:bottom w:val="single" w:sz="4" w:space="0" w:color="auto"/>
              <w:right w:val="single" w:sz="4" w:space="0" w:color="auto"/>
            </w:tcBorders>
          </w:tcPr>
          <w:p w14:paraId="38BA47F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D66D1E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C8F4D3B" w14:textId="77777777" w:rsidR="00E57DAA" w:rsidRDefault="00AC4185">
            <w:pPr>
              <w:autoSpaceDE w:val="0"/>
              <w:autoSpaceDN w:val="0"/>
              <w:adjustRightInd w:val="0"/>
              <w:jc w:val="right"/>
              <w:rPr>
                <w:szCs w:val="21"/>
              </w:rPr>
            </w:pPr>
            <w:r>
              <w:t>1,126,425.00</w:t>
            </w:r>
          </w:p>
        </w:tc>
        <w:tc>
          <w:tcPr>
            <w:tcW w:w="914" w:type="pct"/>
            <w:tcBorders>
              <w:top w:val="single" w:sz="4" w:space="0" w:color="auto"/>
              <w:left w:val="single" w:sz="4" w:space="0" w:color="auto"/>
              <w:bottom w:val="single" w:sz="4" w:space="0" w:color="auto"/>
              <w:right w:val="single" w:sz="4" w:space="0" w:color="auto"/>
            </w:tcBorders>
          </w:tcPr>
          <w:p w14:paraId="3092A0C2" w14:textId="77777777" w:rsidR="00E57DAA" w:rsidRDefault="00AC4185">
            <w:pPr>
              <w:autoSpaceDE w:val="0"/>
              <w:autoSpaceDN w:val="0"/>
              <w:adjustRightInd w:val="0"/>
              <w:jc w:val="right"/>
              <w:rPr>
                <w:szCs w:val="21"/>
              </w:rPr>
            </w:pPr>
            <w:r>
              <w:t xml:space="preserve">　</w:t>
            </w:r>
          </w:p>
        </w:tc>
      </w:tr>
      <w:tr w:rsidR="00E57DAA" w14:paraId="56D3C17E" w14:textId="77777777">
        <w:tc>
          <w:tcPr>
            <w:tcW w:w="677" w:type="pct"/>
            <w:tcBorders>
              <w:top w:val="single" w:sz="4" w:space="0" w:color="auto"/>
              <w:left w:val="single" w:sz="4" w:space="0" w:color="auto"/>
              <w:bottom w:val="single" w:sz="4" w:space="0" w:color="auto"/>
              <w:right w:val="single" w:sz="4" w:space="0" w:color="auto"/>
            </w:tcBorders>
            <w:vAlign w:val="center"/>
          </w:tcPr>
          <w:p w14:paraId="73FD63B8"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AE77537" w14:textId="77777777" w:rsidR="00E57DAA" w:rsidRDefault="00AC4185">
            <w:pPr>
              <w:autoSpaceDE w:val="0"/>
              <w:autoSpaceDN w:val="0"/>
              <w:adjustRightInd w:val="0"/>
              <w:rPr>
                <w:szCs w:val="21"/>
              </w:rPr>
            </w:pPr>
            <w:r>
              <w:t>中联水泥（山东）研发中心有限公司</w:t>
            </w:r>
          </w:p>
        </w:tc>
        <w:tc>
          <w:tcPr>
            <w:tcW w:w="633" w:type="pct"/>
            <w:tcBorders>
              <w:top w:val="single" w:sz="4" w:space="0" w:color="auto"/>
              <w:left w:val="single" w:sz="4" w:space="0" w:color="auto"/>
              <w:bottom w:val="single" w:sz="4" w:space="0" w:color="auto"/>
              <w:right w:val="single" w:sz="4" w:space="0" w:color="auto"/>
            </w:tcBorders>
          </w:tcPr>
          <w:p w14:paraId="7C88A40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10AAE9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1D79F5B" w14:textId="77777777" w:rsidR="00E57DAA" w:rsidRDefault="00AC4185">
            <w:pPr>
              <w:autoSpaceDE w:val="0"/>
              <w:autoSpaceDN w:val="0"/>
              <w:adjustRightInd w:val="0"/>
              <w:jc w:val="right"/>
              <w:rPr>
                <w:szCs w:val="21"/>
              </w:rPr>
            </w:pPr>
            <w:r>
              <w:t>6,000.00</w:t>
            </w:r>
          </w:p>
        </w:tc>
        <w:tc>
          <w:tcPr>
            <w:tcW w:w="914" w:type="pct"/>
            <w:tcBorders>
              <w:top w:val="single" w:sz="4" w:space="0" w:color="auto"/>
              <w:left w:val="single" w:sz="4" w:space="0" w:color="auto"/>
              <w:bottom w:val="single" w:sz="4" w:space="0" w:color="auto"/>
              <w:right w:val="single" w:sz="4" w:space="0" w:color="auto"/>
            </w:tcBorders>
          </w:tcPr>
          <w:p w14:paraId="3809461E" w14:textId="77777777" w:rsidR="00E57DAA" w:rsidRDefault="00AC4185">
            <w:pPr>
              <w:autoSpaceDE w:val="0"/>
              <w:autoSpaceDN w:val="0"/>
              <w:adjustRightInd w:val="0"/>
              <w:jc w:val="right"/>
              <w:rPr>
                <w:szCs w:val="21"/>
              </w:rPr>
            </w:pPr>
            <w:r>
              <w:t xml:space="preserve">　</w:t>
            </w:r>
          </w:p>
        </w:tc>
      </w:tr>
      <w:tr w:rsidR="00E57DAA" w14:paraId="70DA854A" w14:textId="77777777">
        <w:tc>
          <w:tcPr>
            <w:tcW w:w="677" w:type="pct"/>
            <w:tcBorders>
              <w:top w:val="single" w:sz="4" w:space="0" w:color="auto"/>
              <w:left w:val="single" w:sz="4" w:space="0" w:color="auto"/>
              <w:bottom w:val="single" w:sz="4" w:space="0" w:color="auto"/>
              <w:right w:val="single" w:sz="4" w:space="0" w:color="auto"/>
            </w:tcBorders>
            <w:vAlign w:val="center"/>
          </w:tcPr>
          <w:p w14:paraId="14B2DB63" w14:textId="77777777" w:rsidR="00E57DAA" w:rsidRDefault="00AC4185">
            <w:pPr>
              <w:autoSpaceDE w:val="0"/>
              <w:autoSpaceDN w:val="0"/>
              <w:adjustRightInd w:val="0"/>
              <w:rPr>
                <w:szCs w:val="21"/>
              </w:rPr>
            </w:pPr>
            <w:r>
              <w:lastRenderedPageBreak/>
              <w:t>预付账款</w:t>
            </w:r>
          </w:p>
        </w:tc>
        <w:tc>
          <w:tcPr>
            <w:tcW w:w="1441" w:type="pct"/>
            <w:tcBorders>
              <w:top w:val="single" w:sz="4" w:space="0" w:color="auto"/>
              <w:left w:val="single" w:sz="4" w:space="0" w:color="auto"/>
              <w:bottom w:val="single" w:sz="4" w:space="0" w:color="auto"/>
              <w:right w:val="single" w:sz="4" w:space="0" w:color="auto"/>
            </w:tcBorders>
          </w:tcPr>
          <w:p w14:paraId="2C972BEC" w14:textId="77777777" w:rsidR="00E57DAA" w:rsidRDefault="00AC4185">
            <w:pPr>
              <w:autoSpaceDE w:val="0"/>
              <w:autoSpaceDN w:val="0"/>
              <w:adjustRightInd w:val="0"/>
              <w:rPr>
                <w:szCs w:val="21"/>
              </w:rPr>
            </w:pPr>
            <w:r>
              <w:t>重庆万州西南水泥有限公司</w:t>
            </w:r>
          </w:p>
        </w:tc>
        <w:tc>
          <w:tcPr>
            <w:tcW w:w="633" w:type="pct"/>
            <w:tcBorders>
              <w:top w:val="single" w:sz="4" w:space="0" w:color="auto"/>
              <w:left w:val="single" w:sz="4" w:space="0" w:color="auto"/>
              <w:bottom w:val="single" w:sz="4" w:space="0" w:color="auto"/>
              <w:right w:val="single" w:sz="4" w:space="0" w:color="auto"/>
            </w:tcBorders>
          </w:tcPr>
          <w:p w14:paraId="3E7CD71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654B62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ADD7288"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6C7F75E3" w14:textId="77777777" w:rsidR="00E57DAA" w:rsidRDefault="00AC4185">
            <w:pPr>
              <w:autoSpaceDE w:val="0"/>
              <w:autoSpaceDN w:val="0"/>
              <w:adjustRightInd w:val="0"/>
              <w:jc w:val="right"/>
              <w:rPr>
                <w:szCs w:val="21"/>
              </w:rPr>
            </w:pPr>
            <w:r>
              <w:t xml:space="preserve">　</w:t>
            </w:r>
          </w:p>
        </w:tc>
      </w:tr>
      <w:tr w:rsidR="00E57DAA" w14:paraId="0ADE4C09" w14:textId="77777777">
        <w:tc>
          <w:tcPr>
            <w:tcW w:w="677" w:type="pct"/>
            <w:tcBorders>
              <w:top w:val="single" w:sz="4" w:space="0" w:color="auto"/>
              <w:left w:val="single" w:sz="4" w:space="0" w:color="auto"/>
              <w:bottom w:val="single" w:sz="4" w:space="0" w:color="auto"/>
              <w:right w:val="single" w:sz="4" w:space="0" w:color="auto"/>
            </w:tcBorders>
            <w:vAlign w:val="center"/>
          </w:tcPr>
          <w:p w14:paraId="0A386398"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30516D80"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3EE2929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51E11C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D9BF8B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A1A25B" w14:textId="77777777" w:rsidR="00E57DAA" w:rsidRDefault="00AC4185">
            <w:pPr>
              <w:autoSpaceDE w:val="0"/>
              <w:autoSpaceDN w:val="0"/>
              <w:adjustRightInd w:val="0"/>
              <w:jc w:val="right"/>
              <w:rPr>
                <w:szCs w:val="21"/>
              </w:rPr>
            </w:pPr>
            <w:r>
              <w:t xml:space="preserve">　</w:t>
            </w:r>
          </w:p>
        </w:tc>
      </w:tr>
      <w:tr w:rsidR="00E57DAA" w14:paraId="201D566D" w14:textId="77777777">
        <w:tc>
          <w:tcPr>
            <w:tcW w:w="677" w:type="pct"/>
            <w:tcBorders>
              <w:top w:val="single" w:sz="4" w:space="0" w:color="auto"/>
              <w:left w:val="single" w:sz="4" w:space="0" w:color="auto"/>
              <w:bottom w:val="single" w:sz="4" w:space="0" w:color="auto"/>
              <w:right w:val="single" w:sz="4" w:space="0" w:color="auto"/>
            </w:tcBorders>
            <w:vAlign w:val="center"/>
          </w:tcPr>
          <w:p w14:paraId="0D17B9F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62469B50" w14:textId="77777777" w:rsidR="00E57DAA" w:rsidRDefault="00AC4185">
            <w:pPr>
              <w:autoSpaceDE w:val="0"/>
              <w:autoSpaceDN w:val="0"/>
              <w:adjustRightInd w:val="0"/>
              <w:rPr>
                <w:szCs w:val="21"/>
              </w:rPr>
            </w:pPr>
            <w:r>
              <w:t>南通万达能源动力科技有限公司</w:t>
            </w:r>
          </w:p>
        </w:tc>
        <w:tc>
          <w:tcPr>
            <w:tcW w:w="633" w:type="pct"/>
            <w:tcBorders>
              <w:top w:val="single" w:sz="4" w:space="0" w:color="auto"/>
              <w:left w:val="single" w:sz="4" w:space="0" w:color="auto"/>
              <w:bottom w:val="single" w:sz="4" w:space="0" w:color="auto"/>
              <w:right w:val="single" w:sz="4" w:space="0" w:color="auto"/>
            </w:tcBorders>
          </w:tcPr>
          <w:p w14:paraId="49C130B1" w14:textId="77777777" w:rsidR="00E57DAA" w:rsidRDefault="00AC4185">
            <w:pPr>
              <w:autoSpaceDE w:val="0"/>
              <w:autoSpaceDN w:val="0"/>
              <w:adjustRightInd w:val="0"/>
              <w:jc w:val="right"/>
              <w:rPr>
                <w:szCs w:val="21"/>
              </w:rPr>
            </w:pPr>
            <w:r>
              <w:t>12,042,100.00</w:t>
            </w:r>
          </w:p>
        </w:tc>
        <w:tc>
          <w:tcPr>
            <w:tcW w:w="632" w:type="pct"/>
            <w:tcBorders>
              <w:top w:val="single" w:sz="4" w:space="0" w:color="auto"/>
              <w:left w:val="single" w:sz="4" w:space="0" w:color="auto"/>
              <w:bottom w:val="single" w:sz="4" w:space="0" w:color="auto"/>
              <w:right w:val="single" w:sz="4" w:space="0" w:color="auto"/>
            </w:tcBorders>
          </w:tcPr>
          <w:p w14:paraId="1375CDF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96B6A81" w14:textId="77777777" w:rsidR="00E57DAA" w:rsidRDefault="00AC4185">
            <w:pPr>
              <w:autoSpaceDE w:val="0"/>
              <w:autoSpaceDN w:val="0"/>
              <w:adjustRightInd w:val="0"/>
              <w:jc w:val="right"/>
              <w:rPr>
                <w:szCs w:val="21"/>
              </w:rPr>
            </w:pPr>
            <w:r>
              <w:t>2,408,839.98</w:t>
            </w:r>
          </w:p>
        </w:tc>
        <w:tc>
          <w:tcPr>
            <w:tcW w:w="914" w:type="pct"/>
            <w:tcBorders>
              <w:top w:val="single" w:sz="4" w:space="0" w:color="auto"/>
              <w:left w:val="single" w:sz="4" w:space="0" w:color="auto"/>
              <w:bottom w:val="single" w:sz="4" w:space="0" w:color="auto"/>
              <w:right w:val="single" w:sz="4" w:space="0" w:color="auto"/>
            </w:tcBorders>
          </w:tcPr>
          <w:p w14:paraId="18E18E50" w14:textId="77777777" w:rsidR="00E57DAA" w:rsidRDefault="00AC4185">
            <w:pPr>
              <w:autoSpaceDE w:val="0"/>
              <w:autoSpaceDN w:val="0"/>
              <w:adjustRightInd w:val="0"/>
              <w:jc w:val="right"/>
              <w:rPr>
                <w:szCs w:val="21"/>
              </w:rPr>
            </w:pPr>
            <w:r>
              <w:t xml:space="preserve">　</w:t>
            </w:r>
          </w:p>
        </w:tc>
      </w:tr>
      <w:tr w:rsidR="00E57DAA" w14:paraId="0D16C06D" w14:textId="77777777">
        <w:tc>
          <w:tcPr>
            <w:tcW w:w="677" w:type="pct"/>
            <w:tcBorders>
              <w:top w:val="single" w:sz="4" w:space="0" w:color="auto"/>
              <w:left w:val="single" w:sz="4" w:space="0" w:color="auto"/>
              <w:bottom w:val="single" w:sz="4" w:space="0" w:color="auto"/>
              <w:right w:val="single" w:sz="4" w:space="0" w:color="auto"/>
            </w:tcBorders>
            <w:vAlign w:val="center"/>
          </w:tcPr>
          <w:p w14:paraId="2089526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F2A820C" w14:textId="77777777" w:rsidR="00E57DAA" w:rsidRDefault="00AC4185">
            <w:pPr>
              <w:autoSpaceDE w:val="0"/>
              <w:autoSpaceDN w:val="0"/>
              <w:adjustRightInd w:val="0"/>
              <w:rPr>
                <w:szCs w:val="21"/>
              </w:rPr>
            </w:pPr>
            <w:r>
              <w:t>中建材集团进出口有限公司</w:t>
            </w:r>
          </w:p>
        </w:tc>
        <w:tc>
          <w:tcPr>
            <w:tcW w:w="633" w:type="pct"/>
            <w:tcBorders>
              <w:top w:val="single" w:sz="4" w:space="0" w:color="auto"/>
              <w:left w:val="single" w:sz="4" w:space="0" w:color="auto"/>
              <w:bottom w:val="single" w:sz="4" w:space="0" w:color="auto"/>
              <w:right w:val="single" w:sz="4" w:space="0" w:color="auto"/>
            </w:tcBorders>
          </w:tcPr>
          <w:p w14:paraId="2CCBD749" w14:textId="77777777" w:rsidR="00E57DAA" w:rsidRDefault="00AC4185">
            <w:pPr>
              <w:autoSpaceDE w:val="0"/>
              <w:autoSpaceDN w:val="0"/>
              <w:adjustRightInd w:val="0"/>
              <w:jc w:val="right"/>
              <w:rPr>
                <w:szCs w:val="21"/>
              </w:rPr>
            </w:pPr>
            <w:r>
              <w:t>11,595,519.94</w:t>
            </w:r>
          </w:p>
        </w:tc>
        <w:tc>
          <w:tcPr>
            <w:tcW w:w="632" w:type="pct"/>
            <w:tcBorders>
              <w:top w:val="single" w:sz="4" w:space="0" w:color="auto"/>
              <w:left w:val="single" w:sz="4" w:space="0" w:color="auto"/>
              <w:bottom w:val="single" w:sz="4" w:space="0" w:color="auto"/>
              <w:right w:val="single" w:sz="4" w:space="0" w:color="auto"/>
            </w:tcBorders>
          </w:tcPr>
          <w:p w14:paraId="230EC59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8BF02E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2E02C78" w14:textId="77777777" w:rsidR="00E57DAA" w:rsidRDefault="00AC4185">
            <w:pPr>
              <w:autoSpaceDE w:val="0"/>
              <w:autoSpaceDN w:val="0"/>
              <w:adjustRightInd w:val="0"/>
              <w:jc w:val="right"/>
              <w:rPr>
                <w:szCs w:val="21"/>
              </w:rPr>
            </w:pPr>
            <w:r>
              <w:t xml:space="preserve">　</w:t>
            </w:r>
          </w:p>
        </w:tc>
      </w:tr>
      <w:tr w:rsidR="00E57DAA" w14:paraId="670D26D6" w14:textId="77777777">
        <w:tc>
          <w:tcPr>
            <w:tcW w:w="677" w:type="pct"/>
            <w:tcBorders>
              <w:top w:val="single" w:sz="4" w:space="0" w:color="auto"/>
              <w:left w:val="single" w:sz="4" w:space="0" w:color="auto"/>
              <w:bottom w:val="single" w:sz="4" w:space="0" w:color="auto"/>
              <w:right w:val="single" w:sz="4" w:space="0" w:color="auto"/>
            </w:tcBorders>
            <w:vAlign w:val="center"/>
          </w:tcPr>
          <w:p w14:paraId="3CE0DE5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9BF0AD9" w14:textId="77777777" w:rsidR="00E57DAA" w:rsidRDefault="00AC4185">
            <w:pPr>
              <w:autoSpaceDE w:val="0"/>
              <w:autoSpaceDN w:val="0"/>
              <w:adjustRightInd w:val="0"/>
              <w:rPr>
                <w:szCs w:val="21"/>
              </w:rPr>
            </w:pPr>
            <w:r>
              <w:t>NANTONG WANDA BOILER CO LTD</w:t>
            </w:r>
          </w:p>
        </w:tc>
        <w:tc>
          <w:tcPr>
            <w:tcW w:w="633" w:type="pct"/>
            <w:tcBorders>
              <w:top w:val="single" w:sz="4" w:space="0" w:color="auto"/>
              <w:left w:val="single" w:sz="4" w:space="0" w:color="auto"/>
              <w:bottom w:val="single" w:sz="4" w:space="0" w:color="auto"/>
              <w:right w:val="single" w:sz="4" w:space="0" w:color="auto"/>
            </w:tcBorders>
          </w:tcPr>
          <w:p w14:paraId="510FECBD" w14:textId="77777777" w:rsidR="00E57DAA" w:rsidRDefault="00AC4185">
            <w:pPr>
              <w:autoSpaceDE w:val="0"/>
              <w:autoSpaceDN w:val="0"/>
              <w:adjustRightInd w:val="0"/>
              <w:jc w:val="right"/>
              <w:rPr>
                <w:szCs w:val="21"/>
              </w:rPr>
            </w:pPr>
            <w:r>
              <w:t>4,061,592.72</w:t>
            </w:r>
          </w:p>
        </w:tc>
        <w:tc>
          <w:tcPr>
            <w:tcW w:w="632" w:type="pct"/>
            <w:tcBorders>
              <w:top w:val="single" w:sz="4" w:space="0" w:color="auto"/>
              <w:left w:val="single" w:sz="4" w:space="0" w:color="auto"/>
              <w:bottom w:val="single" w:sz="4" w:space="0" w:color="auto"/>
              <w:right w:val="single" w:sz="4" w:space="0" w:color="auto"/>
            </w:tcBorders>
          </w:tcPr>
          <w:p w14:paraId="6AF9FA8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30E090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C7C491A" w14:textId="77777777" w:rsidR="00E57DAA" w:rsidRDefault="00AC4185">
            <w:pPr>
              <w:autoSpaceDE w:val="0"/>
              <w:autoSpaceDN w:val="0"/>
              <w:adjustRightInd w:val="0"/>
              <w:jc w:val="right"/>
              <w:rPr>
                <w:szCs w:val="21"/>
              </w:rPr>
            </w:pPr>
            <w:r>
              <w:t xml:space="preserve">　</w:t>
            </w:r>
          </w:p>
        </w:tc>
      </w:tr>
      <w:tr w:rsidR="00E57DAA" w14:paraId="008BB77D" w14:textId="77777777">
        <w:tc>
          <w:tcPr>
            <w:tcW w:w="677" w:type="pct"/>
            <w:tcBorders>
              <w:top w:val="single" w:sz="4" w:space="0" w:color="auto"/>
              <w:left w:val="single" w:sz="4" w:space="0" w:color="auto"/>
              <w:bottom w:val="single" w:sz="4" w:space="0" w:color="auto"/>
              <w:right w:val="single" w:sz="4" w:space="0" w:color="auto"/>
            </w:tcBorders>
            <w:vAlign w:val="center"/>
          </w:tcPr>
          <w:p w14:paraId="7E97C903"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0078029" w14:textId="77777777" w:rsidR="00E57DAA" w:rsidRDefault="00AC4185">
            <w:pPr>
              <w:autoSpaceDE w:val="0"/>
              <w:autoSpaceDN w:val="0"/>
              <w:adjustRightInd w:val="0"/>
              <w:rPr>
                <w:szCs w:val="21"/>
              </w:rPr>
            </w:pPr>
            <w:r>
              <w:t>苏州开普岩土工程有限公司</w:t>
            </w:r>
          </w:p>
        </w:tc>
        <w:tc>
          <w:tcPr>
            <w:tcW w:w="633" w:type="pct"/>
            <w:tcBorders>
              <w:top w:val="single" w:sz="4" w:space="0" w:color="auto"/>
              <w:left w:val="single" w:sz="4" w:space="0" w:color="auto"/>
              <w:bottom w:val="single" w:sz="4" w:space="0" w:color="auto"/>
              <w:right w:val="single" w:sz="4" w:space="0" w:color="auto"/>
            </w:tcBorders>
          </w:tcPr>
          <w:p w14:paraId="5ACC7956" w14:textId="77777777" w:rsidR="00E57DAA" w:rsidRDefault="00AC4185">
            <w:pPr>
              <w:autoSpaceDE w:val="0"/>
              <w:autoSpaceDN w:val="0"/>
              <w:adjustRightInd w:val="0"/>
              <w:jc w:val="right"/>
              <w:rPr>
                <w:szCs w:val="21"/>
              </w:rPr>
            </w:pPr>
            <w:r>
              <w:t>3,586,363.82</w:t>
            </w:r>
          </w:p>
        </w:tc>
        <w:tc>
          <w:tcPr>
            <w:tcW w:w="632" w:type="pct"/>
            <w:tcBorders>
              <w:top w:val="single" w:sz="4" w:space="0" w:color="auto"/>
              <w:left w:val="single" w:sz="4" w:space="0" w:color="auto"/>
              <w:bottom w:val="single" w:sz="4" w:space="0" w:color="auto"/>
              <w:right w:val="single" w:sz="4" w:space="0" w:color="auto"/>
            </w:tcBorders>
          </w:tcPr>
          <w:p w14:paraId="7157CD4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06B125B" w14:textId="77777777" w:rsidR="00E57DAA" w:rsidRDefault="00AC4185">
            <w:pPr>
              <w:autoSpaceDE w:val="0"/>
              <w:autoSpaceDN w:val="0"/>
              <w:adjustRightInd w:val="0"/>
              <w:jc w:val="right"/>
              <w:rPr>
                <w:szCs w:val="21"/>
              </w:rPr>
            </w:pPr>
            <w:r>
              <w:t>2,351,994.51</w:t>
            </w:r>
          </w:p>
        </w:tc>
        <w:tc>
          <w:tcPr>
            <w:tcW w:w="914" w:type="pct"/>
            <w:tcBorders>
              <w:top w:val="single" w:sz="4" w:space="0" w:color="auto"/>
              <w:left w:val="single" w:sz="4" w:space="0" w:color="auto"/>
              <w:bottom w:val="single" w:sz="4" w:space="0" w:color="auto"/>
              <w:right w:val="single" w:sz="4" w:space="0" w:color="auto"/>
            </w:tcBorders>
          </w:tcPr>
          <w:p w14:paraId="36AC06C0" w14:textId="77777777" w:rsidR="00E57DAA" w:rsidRDefault="00AC4185">
            <w:pPr>
              <w:autoSpaceDE w:val="0"/>
              <w:autoSpaceDN w:val="0"/>
              <w:adjustRightInd w:val="0"/>
              <w:jc w:val="right"/>
              <w:rPr>
                <w:szCs w:val="21"/>
              </w:rPr>
            </w:pPr>
            <w:r>
              <w:t xml:space="preserve">　</w:t>
            </w:r>
          </w:p>
        </w:tc>
      </w:tr>
      <w:tr w:rsidR="00E57DAA" w14:paraId="4060AAB8" w14:textId="77777777">
        <w:tc>
          <w:tcPr>
            <w:tcW w:w="677" w:type="pct"/>
            <w:tcBorders>
              <w:top w:val="single" w:sz="4" w:space="0" w:color="auto"/>
              <w:left w:val="single" w:sz="4" w:space="0" w:color="auto"/>
              <w:bottom w:val="single" w:sz="4" w:space="0" w:color="auto"/>
              <w:right w:val="single" w:sz="4" w:space="0" w:color="auto"/>
            </w:tcBorders>
            <w:vAlign w:val="center"/>
          </w:tcPr>
          <w:p w14:paraId="0B0AF1A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DE66DB0"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4C0AD73C" w14:textId="77777777" w:rsidR="00E57DAA" w:rsidRDefault="00AC4185">
            <w:pPr>
              <w:autoSpaceDE w:val="0"/>
              <w:autoSpaceDN w:val="0"/>
              <w:adjustRightInd w:val="0"/>
              <w:jc w:val="right"/>
              <w:rPr>
                <w:szCs w:val="21"/>
              </w:rPr>
            </w:pPr>
            <w:r>
              <w:t>3,543,711.89</w:t>
            </w:r>
          </w:p>
        </w:tc>
        <w:tc>
          <w:tcPr>
            <w:tcW w:w="632" w:type="pct"/>
            <w:tcBorders>
              <w:top w:val="single" w:sz="4" w:space="0" w:color="auto"/>
              <w:left w:val="single" w:sz="4" w:space="0" w:color="auto"/>
              <w:bottom w:val="single" w:sz="4" w:space="0" w:color="auto"/>
              <w:right w:val="single" w:sz="4" w:space="0" w:color="auto"/>
            </w:tcBorders>
          </w:tcPr>
          <w:p w14:paraId="56EFF64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EC9028D" w14:textId="77777777" w:rsidR="00E57DAA" w:rsidRDefault="00AC4185">
            <w:pPr>
              <w:autoSpaceDE w:val="0"/>
              <w:autoSpaceDN w:val="0"/>
              <w:adjustRightInd w:val="0"/>
              <w:jc w:val="right"/>
              <w:rPr>
                <w:szCs w:val="21"/>
              </w:rPr>
            </w:pPr>
            <w:r>
              <w:t>7,467,354.59</w:t>
            </w:r>
          </w:p>
        </w:tc>
        <w:tc>
          <w:tcPr>
            <w:tcW w:w="914" w:type="pct"/>
            <w:tcBorders>
              <w:top w:val="single" w:sz="4" w:space="0" w:color="auto"/>
              <w:left w:val="single" w:sz="4" w:space="0" w:color="auto"/>
              <w:bottom w:val="single" w:sz="4" w:space="0" w:color="auto"/>
              <w:right w:val="single" w:sz="4" w:space="0" w:color="auto"/>
            </w:tcBorders>
          </w:tcPr>
          <w:p w14:paraId="1073AA80" w14:textId="77777777" w:rsidR="00E57DAA" w:rsidRDefault="00AC4185">
            <w:pPr>
              <w:autoSpaceDE w:val="0"/>
              <w:autoSpaceDN w:val="0"/>
              <w:adjustRightInd w:val="0"/>
              <w:jc w:val="right"/>
              <w:rPr>
                <w:szCs w:val="21"/>
              </w:rPr>
            </w:pPr>
            <w:r>
              <w:t xml:space="preserve">　</w:t>
            </w:r>
          </w:p>
        </w:tc>
      </w:tr>
      <w:tr w:rsidR="00E57DAA" w14:paraId="5EFA91FE" w14:textId="77777777">
        <w:tc>
          <w:tcPr>
            <w:tcW w:w="677" w:type="pct"/>
            <w:tcBorders>
              <w:top w:val="single" w:sz="4" w:space="0" w:color="auto"/>
              <w:left w:val="single" w:sz="4" w:space="0" w:color="auto"/>
              <w:bottom w:val="single" w:sz="4" w:space="0" w:color="auto"/>
              <w:right w:val="single" w:sz="4" w:space="0" w:color="auto"/>
            </w:tcBorders>
            <w:vAlign w:val="center"/>
          </w:tcPr>
          <w:p w14:paraId="578233D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90C1853" w14:textId="77777777" w:rsidR="00E57DAA" w:rsidRDefault="00AC4185">
            <w:pPr>
              <w:autoSpaceDE w:val="0"/>
              <w:autoSpaceDN w:val="0"/>
              <w:adjustRightInd w:val="0"/>
              <w:rPr>
                <w:szCs w:val="21"/>
              </w:rPr>
            </w:pPr>
            <w:r>
              <w:t>上海新建重型机械有限公司</w:t>
            </w:r>
          </w:p>
        </w:tc>
        <w:tc>
          <w:tcPr>
            <w:tcW w:w="633" w:type="pct"/>
            <w:tcBorders>
              <w:top w:val="single" w:sz="4" w:space="0" w:color="auto"/>
              <w:left w:val="single" w:sz="4" w:space="0" w:color="auto"/>
              <w:bottom w:val="single" w:sz="4" w:space="0" w:color="auto"/>
              <w:right w:val="single" w:sz="4" w:space="0" w:color="auto"/>
            </w:tcBorders>
          </w:tcPr>
          <w:p w14:paraId="200DF1BC" w14:textId="77777777" w:rsidR="00E57DAA" w:rsidRDefault="00AC4185">
            <w:pPr>
              <w:autoSpaceDE w:val="0"/>
              <w:autoSpaceDN w:val="0"/>
              <w:adjustRightInd w:val="0"/>
              <w:jc w:val="right"/>
              <w:rPr>
                <w:szCs w:val="21"/>
              </w:rPr>
            </w:pPr>
            <w:r>
              <w:t>1,792,500.00</w:t>
            </w:r>
          </w:p>
        </w:tc>
        <w:tc>
          <w:tcPr>
            <w:tcW w:w="632" w:type="pct"/>
            <w:tcBorders>
              <w:top w:val="single" w:sz="4" w:space="0" w:color="auto"/>
              <w:left w:val="single" w:sz="4" w:space="0" w:color="auto"/>
              <w:bottom w:val="single" w:sz="4" w:space="0" w:color="auto"/>
              <w:right w:val="single" w:sz="4" w:space="0" w:color="auto"/>
            </w:tcBorders>
          </w:tcPr>
          <w:p w14:paraId="51FF7B0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11EE107" w14:textId="77777777" w:rsidR="00E57DAA" w:rsidRDefault="00AC4185">
            <w:pPr>
              <w:autoSpaceDE w:val="0"/>
              <w:autoSpaceDN w:val="0"/>
              <w:adjustRightInd w:val="0"/>
              <w:jc w:val="right"/>
              <w:rPr>
                <w:szCs w:val="21"/>
              </w:rPr>
            </w:pPr>
            <w:r>
              <w:t>953,000.00</w:t>
            </w:r>
          </w:p>
        </w:tc>
        <w:tc>
          <w:tcPr>
            <w:tcW w:w="914" w:type="pct"/>
            <w:tcBorders>
              <w:top w:val="single" w:sz="4" w:space="0" w:color="auto"/>
              <w:left w:val="single" w:sz="4" w:space="0" w:color="auto"/>
              <w:bottom w:val="single" w:sz="4" w:space="0" w:color="auto"/>
              <w:right w:val="single" w:sz="4" w:space="0" w:color="auto"/>
            </w:tcBorders>
          </w:tcPr>
          <w:p w14:paraId="28ABB990" w14:textId="77777777" w:rsidR="00E57DAA" w:rsidRDefault="00AC4185">
            <w:pPr>
              <w:autoSpaceDE w:val="0"/>
              <w:autoSpaceDN w:val="0"/>
              <w:adjustRightInd w:val="0"/>
              <w:jc w:val="right"/>
              <w:rPr>
                <w:szCs w:val="21"/>
              </w:rPr>
            </w:pPr>
            <w:r>
              <w:t xml:space="preserve">　</w:t>
            </w:r>
          </w:p>
        </w:tc>
      </w:tr>
      <w:tr w:rsidR="00E57DAA" w14:paraId="2A52E937" w14:textId="77777777">
        <w:tc>
          <w:tcPr>
            <w:tcW w:w="677" w:type="pct"/>
            <w:tcBorders>
              <w:top w:val="single" w:sz="4" w:space="0" w:color="auto"/>
              <w:left w:val="single" w:sz="4" w:space="0" w:color="auto"/>
              <w:bottom w:val="single" w:sz="4" w:space="0" w:color="auto"/>
              <w:right w:val="single" w:sz="4" w:space="0" w:color="auto"/>
            </w:tcBorders>
            <w:vAlign w:val="center"/>
          </w:tcPr>
          <w:p w14:paraId="4DBF9E7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B2EB888" w14:textId="77777777" w:rsidR="00E57DAA" w:rsidRDefault="00AC4185">
            <w:pPr>
              <w:autoSpaceDE w:val="0"/>
              <w:autoSpaceDN w:val="0"/>
              <w:adjustRightInd w:val="0"/>
              <w:rPr>
                <w:szCs w:val="21"/>
              </w:rPr>
            </w:pPr>
            <w:r>
              <w:t>中国新型建材设计研究院有限公司</w:t>
            </w:r>
          </w:p>
        </w:tc>
        <w:tc>
          <w:tcPr>
            <w:tcW w:w="633" w:type="pct"/>
            <w:tcBorders>
              <w:top w:val="single" w:sz="4" w:space="0" w:color="auto"/>
              <w:left w:val="single" w:sz="4" w:space="0" w:color="auto"/>
              <w:bottom w:val="single" w:sz="4" w:space="0" w:color="auto"/>
              <w:right w:val="single" w:sz="4" w:space="0" w:color="auto"/>
            </w:tcBorders>
          </w:tcPr>
          <w:p w14:paraId="5A6A24ED" w14:textId="77777777" w:rsidR="00E57DAA" w:rsidRDefault="00AC4185">
            <w:pPr>
              <w:autoSpaceDE w:val="0"/>
              <w:autoSpaceDN w:val="0"/>
              <w:adjustRightInd w:val="0"/>
              <w:jc w:val="right"/>
              <w:rPr>
                <w:szCs w:val="21"/>
              </w:rPr>
            </w:pPr>
            <w:r>
              <w:t>1,738,639.00</w:t>
            </w:r>
          </w:p>
        </w:tc>
        <w:tc>
          <w:tcPr>
            <w:tcW w:w="632" w:type="pct"/>
            <w:tcBorders>
              <w:top w:val="single" w:sz="4" w:space="0" w:color="auto"/>
              <w:left w:val="single" w:sz="4" w:space="0" w:color="auto"/>
              <w:bottom w:val="single" w:sz="4" w:space="0" w:color="auto"/>
              <w:right w:val="single" w:sz="4" w:space="0" w:color="auto"/>
            </w:tcBorders>
          </w:tcPr>
          <w:p w14:paraId="35178B0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33DCA8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48FC3AF" w14:textId="77777777" w:rsidR="00E57DAA" w:rsidRDefault="00AC4185">
            <w:pPr>
              <w:autoSpaceDE w:val="0"/>
              <w:autoSpaceDN w:val="0"/>
              <w:adjustRightInd w:val="0"/>
              <w:jc w:val="right"/>
              <w:rPr>
                <w:szCs w:val="21"/>
              </w:rPr>
            </w:pPr>
            <w:r>
              <w:t xml:space="preserve">　</w:t>
            </w:r>
          </w:p>
        </w:tc>
      </w:tr>
      <w:tr w:rsidR="00E57DAA" w14:paraId="67194F54" w14:textId="77777777">
        <w:tc>
          <w:tcPr>
            <w:tcW w:w="677" w:type="pct"/>
            <w:tcBorders>
              <w:top w:val="single" w:sz="4" w:space="0" w:color="auto"/>
              <w:left w:val="single" w:sz="4" w:space="0" w:color="auto"/>
              <w:bottom w:val="single" w:sz="4" w:space="0" w:color="auto"/>
              <w:right w:val="single" w:sz="4" w:space="0" w:color="auto"/>
            </w:tcBorders>
            <w:vAlign w:val="center"/>
          </w:tcPr>
          <w:p w14:paraId="49C9B840"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AAE3DD9" w14:textId="77777777" w:rsidR="00E57DAA" w:rsidRDefault="00AC4185">
            <w:pPr>
              <w:autoSpaceDE w:val="0"/>
              <w:autoSpaceDN w:val="0"/>
              <w:adjustRightInd w:val="0"/>
              <w:rPr>
                <w:szCs w:val="21"/>
              </w:rPr>
            </w:pPr>
            <w:r>
              <w:t>西安墙体材料研究设计院有限公司</w:t>
            </w:r>
          </w:p>
        </w:tc>
        <w:tc>
          <w:tcPr>
            <w:tcW w:w="633" w:type="pct"/>
            <w:tcBorders>
              <w:top w:val="single" w:sz="4" w:space="0" w:color="auto"/>
              <w:left w:val="single" w:sz="4" w:space="0" w:color="auto"/>
              <w:bottom w:val="single" w:sz="4" w:space="0" w:color="auto"/>
              <w:right w:val="single" w:sz="4" w:space="0" w:color="auto"/>
            </w:tcBorders>
          </w:tcPr>
          <w:p w14:paraId="69879C6D" w14:textId="77777777" w:rsidR="00E57DAA" w:rsidRDefault="00AC4185">
            <w:pPr>
              <w:autoSpaceDE w:val="0"/>
              <w:autoSpaceDN w:val="0"/>
              <w:adjustRightInd w:val="0"/>
              <w:jc w:val="right"/>
              <w:rPr>
                <w:szCs w:val="21"/>
              </w:rPr>
            </w:pPr>
            <w:r>
              <w:t>1,510,209.59</w:t>
            </w:r>
          </w:p>
        </w:tc>
        <w:tc>
          <w:tcPr>
            <w:tcW w:w="632" w:type="pct"/>
            <w:tcBorders>
              <w:top w:val="single" w:sz="4" w:space="0" w:color="auto"/>
              <w:left w:val="single" w:sz="4" w:space="0" w:color="auto"/>
              <w:bottom w:val="single" w:sz="4" w:space="0" w:color="auto"/>
              <w:right w:val="single" w:sz="4" w:space="0" w:color="auto"/>
            </w:tcBorders>
          </w:tcPr>
          <w:p w14:paraId="1288DF5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7ECA2A3" w14:textId="77777777" w:rsidR="00E57DAA" w:rsidRDefault="00AC4185">
            <w:pPr>
              <w:autoSpaceDE w:val="0"/>
              <w:autoSpaceDN w:val="0"/>
              <w:adjustRightInd w:val="0"/>
              <w:jc w:val="right"/>
              <w:rPr>
                <w:szCs w:val="21"/>
              </w:rPr>
            </w:pPr>
            <w:r>
              <w:t>5,662,320.00</w:t>
            </w:r>
          </w:p>
        </w:tc>
        <w:tc>
          <w:tcPr>
            <w:tcW w:w="914" w:type="pct"/>
            <w:tcBorders>
              <w:top w:val="single" w:sz="4" w:space="0" w:color="auto"/>
              <w:left w:val="single" w:sz="4" w:space="0" w:color="auto"/>
              <w:bottom w:val="single" w:sz="4" w:space="0" w:color="auto"/>
              <w:right w:val="single" w:sz="4" w:space="0" w:color="auto"/>
            </w:tcBorders>
          </w:tcPr>
          <w:p w14:paraId="3C280A20" w14:textId="77777777" w:rsidR="00E57DAA" w:rsidRDefault="00AC4185">
            <w:pPr>
              <w:autoSpaceDE w:val="0"/>
              <w:autoSpaceDN w:val="0"/>
              <w:adjustRightInd w:val="0"/>
              <w:jc w:val="right"/>
              <w:rPr>
                <w:szCs w:val="21"/>
              </w:rPr>
            </w:pPr>
            <w:r>
              <w:t xml:space="preserve">　</w:t>
            </w:r>
          </w:p>
        </w:tc>
      </w:tr>
      <w:tr w:rsidR="00E57DAA" w14:paraId="2FFEC719" w14:textId="77777777">
        <w:tc>
          <w:tcPr>
            <w:tcW w:w="677" w:type="pct"/>
            <w:tcBorders>
              <w:top w:val="single" w:sz="4" w:space="0" w:color="auto"/>
              <w:left w:val="single" w:sz="4" w:space="0" w:color="auto"/>
              <w:bottom w:val="single" w:sz="4" w:space="0" w:color="auto"/>
              <w:right w:val="single" w:sz="4" w:space="0" w:color="auto"/>
            </w:tcBorders>
            <w:vAlign w:val="center"/>
          </w:tcPr>
          <w:p w14:paraId="51054453"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21AF2D4" w14:textId="77777777" w:rsidR="00E57DAA" w:rsidRDefault="00AC4185">
            <w:pPr>
              <w:autoSpaceDE w:val="0"/>
              <w:autoSpaceDN w:val="0"/>
              <w:adjustRightInd w:val="0"/>
              <w:rPr>
                <w:szCs w:val="21"/>
              </w:rPr>
            </w:pPr>
            <w:r>
              <w:t>安徽中建材开源新材料科技有限公司</w:t>
            </w:r>
          </w:p>
        </w:tc>
        <w:tc>
          <w:tcPr>
            <w:tcW w:w="633" w:type="pct"/>
            <w:tcBorders>
              <w:top w:val="single" w:sz="4" w:space="0" w:color="auto"/>
              <w:left w:val="single" w:sz="4" w:space="0" w:color="auto"/>
              <w:bottom w:val="single" w:sz="4" w:space="0" w:color="auto"/>
              <w:right w:val="single" w:sz="4" w:space="0" w:color="auto"/>
            </w:tcBorders>
          </w:tcPr>
          <w:p w14:paraId="6EE27E36" w14:textId="77777777" w:rsidR="00E57DAA" w:rsidRDefault="00AC4185">
            <w:pPr>
              <w:autoSpaceDE w:val="0"/>
              <w:autoSpaceDN w:val="0"/>
              <w:adjustRightInd w:val="0"/>
              <w:jc w:val="right"/>
              <w:rPr>
                <w:szCs w:val="21"/>
              </w:rPr>
            </w:pPr>
            <w:r>
              <w:t>1,494,830.00</w:t>
            </w:r>
          </w:p>
        </w:tc>
        <w:tc>
          <w:tcPr>
            <w:tcW w:w="632" w:type="pct"/>
            <w:tcBorders>
              <w:top w:val="single" w:sz="4" w:space="0" w:color="auto"/>
              <w:left w:val="single" w:sz="4" w:space="0" w:color="auto"/>
              <w:bottom w:val="single" w:sz="4" w:space="0" w:color="auto"/>
              <w:right w:val="single" w:sz="4" w:space="0" w:color="auto"/>
            </w:tcBorders>
          </w:tcPr>
          <w:p w14:paraId="0210DD9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C11F35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7B18316" w14:textId="77777777" w:rsidR="00E57DAA" w:rsidRDefault="00AC4185">
            <w:pPr>
              <w:autoSpaceDE w:val="0"/>
              <w:autoSpaceDN w:val="0"/>
              <w:adjustRightInd w:val="0"/>
              <w:jc w:val="right"/>
              <w:rPr>
                <w:szCs w:val="21"/>
              </w:rPr>
            </w:pPr>
            <w:r>
              <w:t xml:space="preserve">　</w:t>
            </w:r>
          </w:p>
        </w:tc>
      </w:tr>
      <w:tr w:rsidR="00E57DAA" w14:paraId="18FEF059" w14:textId="77777777">
        <w:tc>
          <w:tcPr>
            <w:tcW w:w="677" w:type="pct"/>
            <w:tcBorders>
              <w:top w:val="single" w:sz="4" w:space="0" w:color="auto"/>
              <w:left w:val="single" w:sz="4" w:space="0" w:color="auto"/>
              <w:bottom w:val="single" w:sz="4" w:space="0" w:color="auto"/>
              <w:right w:val="single" w:sz="4" w:space="0" w:color="auto"/>
            </w:tcBorders>
            <w:vAlign w:val="center"/>
          </w:tcPr>
          <w:p w14:paraId="5C28D75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5D9BC23" w14:textId="77777777" w:rsidR="00E57DAA" w:rsidRDefault="00AC4185">
            <w:pPr>
              <w:autoSpaceDE w:val="0"/>
              <w:autoSpaceDN w:val="0"/>
              <w:adjustRightInd w:val="0"/>
              <w:rPr>
                <w:szCs w:val="21"/>
              </w:rPr>
            </w:pPr>
            <w:r>
              <w:t>郑州瑞泰耐火科技有限公司</w:t>
            </w:r>
          </w:p>
        </w:tc>
        <w:tc>
          <w:tcPr>
            <w:tcW w:w="633" w:type="pct"/>
            <w:tcBorders>
              <w:top w:val="single" w:sz="4" w:space="0" w:color="auto"/>
              <w:left w:val="single" w:sz="4" w:space="0" w:color="auto"/>
              <w:bottom w:val="single" w:sz="4" w:space="0" w:color="auto"/>
              <w:right w:val="single" w:sz="4" w:space="0" w:color="auto"/>
            </w:tcBorders>
          </w:tcPr>
          <w:p w14:paraId="2D133F8A" w14:textId="77777777" w:rsidR="00E57DAA" w:rsidRDefault="00AC4185">
            <w:pPr>
              <w:autoSpaceDE w:val="0"/>
              <w:autoSpaceDN w:val="0"/>
              <w:adjustRightInd w:val="0"/>
              <w:jc w:val="right"/>
              <w:rPr>
                <w:szCs w:val="21"/>
              </w:rPr>
            </w:pPr>
            <w:r>
              <w:t>751,268.00</w:t>
            </w:r>
          </w:p>
        </w:tc>
        <w:tc>
          <w:tcPr>
            <w:tcW w:w="632" w:type="pct"/>
            <w:tcBorders>
              <w:top w:val="single" w:sz="4" w:space="0" w:color="auto"/>
              <w:left w:val="single" w:sz="4" w:space="0" w:color="auto"/>
              <w:bottom w:val="single" w:sz="4" w:space="0" w:color="auto"/>
              <w:right w:val="single" w:sz="4" w:space="0" w:color="auto"/>
            </w:tcBorders>
          </w:tcPr>
          <w:p w14:paraId="56796D2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B5D0062" w14:textId="77777777" w:rsidR="00E57DAA" w:rsidRDefault="00AC4185">
            <w:pPr>
              <w:autoSpaceDE w:val="0"/>
              <w:autoSpaceDN w:val="0"/>
              <w:adjustRightInd w:val="0"/>
              <w:jc w:val="right"/>
              <w:rPr>
                <w:szCs w:val="21"/>
              </w:rPr>
            </w:pPr>
            <w:r>
              <w:t>360,000.00</w:t>
            </w:r>
          </w:p>
        </w:tc>
        <w:tc>
          <w:tcPr>
            <w:tcW w:w="914" w:type="pct"/>
            <w:tcBorders>
              <w:top w:val="single" w:sz="4" w:space="0" w:color="auto"/>
              <w:left w:val="single" w:sz="4" w:space="0" w:color="auto"/>
              <w:bottom w:val="single" w:sz="4" w:space="0" w:color="auto"/>
              <w:right w:val="single" w:sz="4" w:space="0" w:color="auto"/>
            </w:tcBorders>
          </w:tcPr>
          <w:p w14:paraId="09E45E36" w14:textId="77777777" w:rsidR="00E57DAA" w:rsidRDefault="00AC4185">
            <w:pPr>
              <w:autoSpaceDE w:val="0"/>
              <w:autoSpaceDN w:val="0"/>
              <w:adjustRightInd w:val="0"/>
              <w:jc w:val="right"/>
              <w:rPr>
                <w:szCs w:val="21"/>
              </w:rPr>
            </w:pPr>
            <w:r>
              <w:t xml:space="preserve">　</w:t>
            </w:r>
          </w:p>
        </w:tc>
      </w:tr>
      <w:tr w:rsidR="00E57DAA" w14:paraId="08A39B26" w14:textId="77777777">
        <w:tc>
          <w:tcPr>
            <w:tcW w:w="677" w:type="pct"/>
            <w:tcBorders>
              <w:top w:val="single" w:sz="4" w:space="0" w:color="auto"/>
              <w:left w:val="single" w:sz="4" w:space="0" w:color="auto"/>
              <w:bottom w:val="single" w:sz="4" w:space="0" w:color="auto"/>
              <w:right w:val="single" w:sz="4" w:space="0" w:color="auto"/>
            </w:tcBorders>
            <w:vAlign w:val="center"/>
          </w:tcPr>
          <w:p w14:paraId="075738B0"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8266DD0" w14:textId="77777777" w:rsidR="00E57DAA" w:rsidRDefault="00AC4185">
            <w:pPr>
              <w:autoSpaceDE w:val="0"/>
              <w:autoSpaceDN w:val="0"/>
              <w:adjustRightInd w:val="0"/>
              <w:rPr>
                <w:szCs w:val="21"/>
              </w:rPr>
            </w:pPr>
            <w:r>
              <w:t>中建材国际贸易有限公司</w:t>
            </w:r>
          </w:p>
        </w:tc>
        <w:tc>
          <w:tcPr>
            <w:tcW w:w="633" w:type="pct"/>
            <w:tcBorders>
              <w:top w:val="single" w:sz="4" w:space="0" w:color="auto"/>
              <w:left w:val="single" w:sz="4" w:space="0" w:color="auto"/>
              <w:bottom w:val="single" w:sz="4" w:space="0" w:color="auto"/>
              <w:right w:val="single" w:sz="4" w:space="0" w:color="auto"/>
            </w:tcBorders>
          </w:tcPr>
          <w:p w14:paraId="354F8F0B" w14:textId="77777777" w:rsidR="00E57DAA" w:rsidRDefault="00AC4185">
            <w:pPr>
              <w:autoSpaceDE w:val="0"/>
              <w:autoSpaceDN w:val="0"/>
              <w:adjustRightInd w:val="0"/>
              <w:jc w:val="right"/>
              <w:rPr>
                <w:szCs w:val="21"/>
              </w:rPr>
            </w:pPr>
            <w:r>
              <w:t>525,200.00</w:t>
            </w:r>
          </w:p>
        </w:tc>
        <w:tc>
          <w:tcPr>
            <w:tcW w:w="632" w:type="pct"/>
            <w:tcBorders>
              <w:top w:val="single" w:sz="4" w:space="0" w:color="auto"/>
              <w:left w:val="single" w:sz="4" w:space="0" w:color="auto"/>
              <w:bottom w:val="single" w:sz="4" w:space="0" w:color="auto"/>
              <w:right w:val="single" w:sz="4" w:space="0" w:color="auto"/>
            </w:tcBorders>
          </w:tcPr>
          <w:p w14:paraId="482F619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CC02B2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344920B" w14:textId="77777777" w:rsidR="00E57DAA" w:rsidRDefault="00AC4185">
            <w:pPr>
              <w:autoSpaceDE w:val="0"/>
              <w:autoSpaceDN w:val="0"/>
              <w:adjustRightInd w:val="0"/>
              <w:jc w:val="right"/>
              <w:rPr>
                <w:szCs w:val="21"/>
              </w:rPr>
            </w:pPr>
            <w:r>
              <w:t xml:space="preserve">　</w:t>
            </w:r>
          </w:p>
        </w:tc>
      </w:tr>
      <w:tr w:rsidR="00E57DAA" w14:paraId="73088F32" w14:textId="77777777">
        <w:tc>
          <w:tcPr>
            <w:tcW w:w="677" w:type="pct"/>
            <w:tcBorders>
              <w:top w:val="single" w:sz="4" w:space="0" w:color="auto"/>
              <w:left w:val="single" w:sz="4" w:space="0" w:color="auto"/>
              <w:bottom w:val="single" w:sz="4" w:space="0" w:color="auto"/>
              <w:right w:val="single" w:sz="4" w:space="0" w:color="auto"/>
            </w:tcBorders>
            <w:vAlign w:val="center"/>
          </w:tcPr>
          <w:p w14:paraId="0783AA8B"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613250A4" w14:textId="77777777" w:rsidR="00E57DAA" w:rsidRDefault="00AC4185">
            <w:pPr>
              <w:autoSpaceDE w:val="0"/>
              <w:autoSpaceDN w:val="0"/>
              <w:adjustRightInd w:val="0"/>
              <w:rPr>
                <w:szCs w:val="21"/>
              </w:rPr>
            </w:pPr>
            <w:r>
              <w:t>扬州中科半导体照明有限公司</w:t>
            </w:r>
          </w:p>
        </w:tc>
        <w:tc>
          <w:tcPr>
            <w:tcW w:w="633" w:type="pct"/>
            <w:tcBorders>
              <w:top w:val="single" w:sz="4" w:space="0" w:color="auto"/>
              <w:left w:val="single" w:sz="4" w:space="0" w:color="auto"/>
              <w:bottom w:val="single" w:sz="4" w:space="0" w:color="auto"/>
              <w:right w:val="single" w:sz="4" w:space="0" w:color="auto"/>
            </w:tcBorders>
          </w:tcPr>
          <w:p w14:paraId="624C7B9E" w14:textId="77777777" w:rsidR="00E57DAA" w:rsidRDefault="00AC4185">
            <w:pPr>
              <w:autoSpaceDE w:val="0"/>
              <w:autoSpaceDN w:val="0"/>
              <w:adjustRightInd w:val="0"/>
              <w:jc w:val="right"/>
              <w:rPr>
                <w:szCs w:val="21"/>
              </w:rPr>
            </w:pPr>
            <w:r>
              <w:t>342,406.00</w:t>
            </w:r>
          </w:p>
        </w:tc>
        <w:tc>
          <w:tcPr>
            <w:tcW w:w="632" w:type="pct"/>
            <w:tcBorders>
              <w:top w:val="single" w:sz="4" w:space="0" w:color="auto"/>
              <w:left w:val="single" w:sz="4" w:space="0" w:color="auto"/>
              <w:bottom w:val="single" w:sz="4" w:space="0" w:color="auto"/>
              <w:right w:val="single" w:sz="4" w:space="0" w:color="auto"/>
            </w:tcBorders>
          </w:tcPr>
          <w:p w14:paraId="2B2F46A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FB61782" w14:textId="77777777" w:rsidR="00E57DAA" w:rsidRDefault="00AC4185">
            <w:pPr>
              <w:autoSpaceDE w:val="0"/>
              <w:autoSpaceDN w:val="0"/>
              <w:adjustRightInd w:val="0"/>
              <w:jc w:val="right"/>
              <w:rPr>
                <w:szCs w:val="21"/>
              </w:rPr>
            </w:pPr>
            <w:r>
              <w:t>128,746.00</w:t>
            </w:r>
          </w:p>
        </w:tc>
        <w:tc>
          <w:tcPr>
            <w:tcW w:w="914" w:type="pct"/>
            <w:tcBorders>
              <w:top w:val="single" w:sz="4" w:space="0" w:color="auto"/>
              <w:left w:val="single" w:sz="4" w:space="0" w:color="auto"/>
              <w:bottom w:val="single" w:sz="4" w:space="0" w:color="auto"/>
              <w:right w:val="single" w:sz="4" w:space="0" w:color="auto"/>
            </w:tcBorders>
          </w:tcPr>
          <w:p w14:paraId="17B0C1D4" w14:textId="77777777" w:rsidR="00E57DAA" w:rsidRDefault="00AC4185">
            <w:pPr>
              <w:autoSpaceDE w:val="0"/>
              <w:autoSpaceDN w:val="0"/>
              <w:adjustRightInd w:val="0"/>
              <w:jc w:val="right"/>
              <w:rPr>
                <w:szCs w:val="21"/>
              </w:rPr>
            </w:pPr>
            <w:r>
              <w:t xml:space="preserve">　</w:t>
            </w:r>
          </w:p>
        </w:tc>
      </w:tr>
      <w:tr w:rsidR="00E57DAA" w14:paraId="4C6E1B03" w14:textId="77777777">
        <w:tc>
          <w:tcPr>
            <w:tcW w:w="677" w:type="pct"/>
            <w:tcBorders>
              <w:top w:val="single" w:sz="4" w:space="0" w:color="auto"/>
              <w:left w:val="single" w:sz="4" w:space="0" w:color="auto"/>
              <w:bottom w:val="single" w:sz="4" w:space="0" w:color="auto"/>
              <w:right w:val="single" w:sz="4" w:space="0" w:color="auto"/>
            </w:tcBorders>
            <w:vAlign w:val="center"/>
          </w:tcPr>
          <w:p w14:paraId="2A6A5F4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DD73423" w14:textId="77777777" w:rsidR="00E57DAA" w:rsidRDefault="00AC4185">
            <w:pPr>
              <w:autoSpaceDE w:val="0"/>
              <w:autoSpaceDN w:val="0"/>
              <w:adjustRightInd w:val="0"/>
              <w:rPr>
                <w:szCs w:val="21"/>
              </w:rPr>
            </w:pPr>
            <w:r>
              <w:t>中建材信云智联科技有限公司</w:t>
            </w:r>
          </w:p>
        </w:tc>
        <w:tc>
          <w:tcPr>
            <w:tcW w:w="633" w:type="pct"/>
            <w:tcBorders>
              <w:top w:val="single" w:sz="4" w:space="0" w:color="auto"/>
              <w:left w:val="single" w:sz="4" w:space="0" w:color="auto"/>
              <w:bottom w:val="single" w:sz="4" w:space="0" w:color="auto"/>
              <w:right w:val="single" w:sz="4" w:space="0" w:color="auto"/>
            </w:tcBorders>
          </w:tcPr>
          <w:p w14:paraId="53F805C5" w14:textId="77777777" w:rsidR="00E57DAA" w:rsidRDefault="00AC4185">
            <w:pPr>
              <w:autoSpaceDE w:val="0"/>
              <w:autoSpaceDN w:val="0"/>
              <w:adjustRightInd w:val="0"/>
              <w:jc w:val="right"/>
              <w:rPr>
                <w:szCs w:val="21"/>
              </w:rPr>
            </w:pPr>
            <w:r>
              <w:t>182,000.00</w:t>
            </w:r>
          </w:p>
        </w:tc>
        <w:tc>
          <w:tcPr>
            <w:tcW w:w="632" w:type="pct"/>
            <w:tcBorders>
              <w:top w:val="single" w:sz="4" w:space="0" w:color="auto"/>
              <w:left w:val="single" w:sz="4" w:space="0" w:color="auto"/>
              <w:bottom w:val="single" w:sz="4" w:space="0" w:color="auto"/>
              <w:right w:val="single" w:sz="4" w:space="0" w:color="auto"/>
            </w:tcBorders>
          </w:tcPr>
          <w:p w14:paraId="6D02355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8C58EEC" w14:textId="77777777" w:rsidR="00E57DAA" w:rsidRDefault="00AC4185">
            <w:pPr>
              <w:autoSpaceDE w:val="0"/>
              <w:autoSpaceDN w:val="0"/>
              <w:adjustRightInd w:val="0"/>
              <w:jc w:val="right"/>
              <w:rPr>
                <w:szCs w:val="21"/>
              </w:rPr>
            </w:pPr>
            <w:r>
              <w:t>564,000.00</w:t>
            </w:r>
          </w:p>
        </w:tc>
        <w:tc>
          <w:tcPr>
            <w:tcW w:w="914" w:type="pct"/>
            <w:tcBorders>
              <w:top w:val="single" w:sz="4" w:space="0" w:color="auto"/>
              <w:left w:val="single" w:sz="4" w:space="0" w:color="auto"/>
              <w:bottom w:val="single" w:sz="4" w:space="0" w:color="auto"/>
              <w:right w:val="single" w:sz="4" w:space="0" w:color="auto"/>
            </w:tcBorders>
          </w:tcPr>
          <w:p w14:paraId="1E08A351" w14:textId="77777777" w:rsidR="00E57DAA" w:rsidRDefault="00AC4185">
            <w:pPr>
              <w:autoSpaceDE w:val="0"/>
              <w:autoSpaceDN w:val="0"/>
              <w:adjustRightInd w:val="0"/>
              <w:jc w:val="right"/>
              <w:rPr>
                <w:szCs w:val="21"/>
              </w:rPr>
            </w:pPr>
            <w:r>
              <w:t xml:space="preserve">　</w:t>
            </w:r>
          </w:p>
        </w:tc>
      </w:tr>
      <w:tr w:rsidR="00E57DAA" w14:paraId="5778CFE6" w14:textId="77777777">
        <w:tc>
          <w:tcPr>
            <w:tcW w:w="677" w:type="pct"/>
            <w:tcBorders>
              <w:top w:val="single" w:sz="4" w:space="0" w:color="auto"/>
              <w:left w:val="single" w:sz="4" w:space="0" w:color="auto"/>
              <w:bottom w:val="single" w:sz="4" w:space="0" w:color="auto"/>
              <w:right w:val="single" w:sz="4" w:space="0" w:color="auto"/>
            </w:tcBorders>
            <w:vAlign w:val="center"/>
          </w:tcPr>
          <w:p w14:paraId="370F31F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CFC651C" w14:textId="77777777" w:rsidR="00E57DAA" w:rsidRDefault="00AC4185">
            <w:pPr>
              <w:autoSpaceDE w:val="0"/>
              <w:autoSpaceDN w:val="0"/>
              <w:adjustRightInd w:val="0"/>
              <w:rPr>
                <w:szCs w:val="21"/>
              </w:rPr>
            </w:pPr>
            <w:r>
              <w:t>中建材中岩科技有限公司</w:t>
            </w:r>
          </w:p>
        </w:tc>
        <w:tc>
          <w:tcPr>
            <w:tcW w:w="633" w:type="pct"/>
            <w:tcBorders>
              <w:top w:val="single" w:sz="4" w:space="0" w:color="auto"/>
              <w:left w:val="single" w:sz="4" w:space="0" w:color="auto"/>
              <w:bottom w:val="single" w:sz="4" w:space="0" w:color="auto"/>
              <w:right w:val="single" w:sz="4" w:space="0" w:color="auto"/>
            </w:tcBorders>
          </w:tcPr>
          <w:p w14:paraId="59BFCC98" w14:textId="77777777" w:rsidR="00E57DAA" w:rsidRDefault="00AC4185">
            <w:pPr>
              <w:autoSpaceDE w:val="0"/>
              <w:autoSpaceDN w:val="0"/>
              <w:adjustRightInd w:val="0"/>
              <w:jc w:val="right"/>
              <w:rPr>
                <w:szCs w:val="21"/>
              </w:rPr>
            </w:pPr>
            <w:r>
              <w:t>140,329.00</w:t>
            </w:r>
          </w:p>
        </w:tc>
        <w:tc>
          <w:tcPr>
            <w:tcW w:w="632" w:type="pct"/>
            <w:tcBorders>
              <w:top w:val="single" w:sz="4" w:space="0" w:color="auto"/>
              <w:left w:val="single" w:sz="4" w:space="0" w:color="auto"/>
              <w:bottom w:val="single" w:sz="4" w:space="0" w:color="auto"/>
              <w:right w:val="single" w:sz="4" w:space="0" w:color="auto"/>
            </w:tcBorders>
          </w:tcPr>
          <w:p w14:paraId="2E18D2D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95E347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E106ED5" w14:textId="77777777" w:rsidR="00E57DAA" w:rsidRDefault="00AC4185">
            <w:pPr>
              <w:autoSpaceDE w:val="0"/>
              <w:autoSpaceDN w:val="0"/>
              <w:adjustRightInd w:val="0"/>
              <w:jc w:val="right"/>
              <w:rPr>
                <w:szCs w:val="21"/>
              </w:rPr>
            </w:pPr>
            <w:r>
              <w:t xml:space="preserve">　</w:t>
            </w:r>
          </w:p>
        </w:tc>
      </w:tr>
      <w:tr w:rsidR="00E57DAA" w14:paraId="4498FFEE" w14:textId="77777777">
        <w:tc>
          <w:tcPr>
            <w:tcW w:w="677" w:type="pct"/>
            <w:tcBorders>
              <w:top w:val="single" w:sz="4" w:space="0" w:color="auto"/>
              <w:left w:val="single" w:sz="4" w:space="0" w:color="auto"/>
              <w:bottom w:val="single" w:sz="4" w:space="0" w:color="auto"/>
              <w:right w:val="single" w:sz="4" w:space="0" w:color="auto"/>
            </w:tcBorders>
            <w:vAlign w:val="center"/>
          </w:tcPr>
          <w:p w14:paraId="50CC8165"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08CED89" w14:textId="77777777" w:rsidR="00E57DAA" w:rsidRDefault="00AC4185">
            <w:pPr>
              <w:autoSpaceDE w:val="0"/>
              <w:autoSpaceDN w:val="0"/>
              <w:adjustRightInd w:val="0"/>
              <w:rPr>
                <w:szCs w:val="21"/>
              </w:rPr>
            </w:pPr>
            <w:r>
              <w:t>建材桂林地质工程勘察院有限公司</w:t>
            </w:r>
          </w:p>
        </w:tc>
        <w:tc>
          <w:tcPr>
            <w:tcW w:w="633" w:type="pct"/>
            <w:tcBorders>
              <w:top w:val="single" w:sz="4" w:space="0" w:color="auto"/>
              <w:left w:val="single" w:sz="4" w:space="0" w:color="auto"/>
              <w:bottom w:val="single" w:sz="4" w:space="0" w:color="auto"/>
              <w:right w:val="single" w:sz="4" w:space="0" w:color="auto"/>
            </w:tcBorders>
          </w:tcPr>
          <w:p w14:paraId="4981858C" w14:textId="77777777" w:rsidR="00E57DAA" w:rsidRDefault="00AC4185">
            <w:pPr>
              <w:autoSpaceDE w:val="0"/>
              <w:autoSpaceDN w:val="0"/>
              <w:adjustRightInd w:val="0"/>
              <w:jc w:val="right"/>
              <w:rPr>
                <w:szCs w:val="21"/>
              </w:rPr>
            </w:pPr>
            <w:r>
              <w:t>120,537.40</w:t>
            </w:r>
          </w:p>
        </w:tc>
        <w:tc>
          <w:tcPr>
            <w:tcW w:w="632" w:type="pct"/>
            <w:tcBorders>
              <w:top w:val="single" w:sz="4" w:space="0" w:color="auto"/>
              <w:left w:val="single" w:sz="4" w:space="0" w:color="auto"/>
              <w:bottom w:val="single" w:sz="4" w:space="0" w:color="auto"/>
              <w:right w:val="single" w:sz="4" w:space="0" w:color="auto"/>
            </w:tcBorders>
          </w:tcPr>
          <w:p w14:paraId="08ED317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8F616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D983E41" w14:textId="77777777" w:rsidR="00E57DAA" w:rsidRDefault="00AC4185">
            <w:pPr>
              <w:autoSpaceDE w:val="0"/>
              <w:autoSpaceDN w:val="0"/>
              <w:adjustRightInd w:val="0"/>
              <w:jc w:val="right"/>
              <w:rPr>
                <w:szCs w:val="21"/>
              </w:rPr>
            </w:pPr>
            <w:r>
              <w:t xml:space="preserve">　</w:t>
            </w:r>
          </w:p>
        </w:tc>
      </w:tr>
      <w:tr w:rsidR="00E57DAA" w14:paraId="70BCAA1B" w14:textId="77777777">
        <w:tc>
          <w:tcPr>
            <w:tcW w:w="677" w:type="pct"/>
            <w:tcBorders>
              <w:top w:val="single" w:sz="4" w:space="0" w:color="auto"/>
              <w:left w:val="single" w:sz="4" w:space="0" w:color="auto"/>
              <w:bottom w:val="single" w:sz="4" w:space="0" w:color="auto"/>
              <w:right w:val="single" w:sz="4" w:space="0" w:color="auto"/>
            </w:tcBorders>
            <w:vAlign w:val="center"/>
          </w:tcPr>
          <w:p w14:paraId="3C9F2FC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1F85808" w14:textId="77777777" w:rsidR="00E57DAA" w:rsidRDefault="00AC4185">
            <w:pPr>
              <w:autoSpaceDE w:val="0"/>
              <w:autoSpaceDN w:val="0"/>
              <w:adjustRightInd w:val="0"/>
              <w:rPr>
                <w:szCs w:val="21"/>
              </w:rPr>
            </w:pPr>
            <w:r>
              <w:t>北新建材集团有限公司</w:t>
            </w:r>
          </w:p>
        </w:tc>
        <w:tc>
          <w:tcPr>
            <w:tcW w:w="633" w:type="pct"/>
            <w:tcBorders>
              <w:top w:val="single" w:sz="4" w:space="0" w:color="auto"/>
              <w:left w:val="single" w:sz="4" w:space="0" w:color="auto"/>
              <w:bottom w:val="single" w:sz="4" w:space="0" w:color="auto"/>
              <w:right w:val="single" w:sz="4" w:space="0" w:color="auto"/>
            </w:tcBorders>
          </w:tcPr>
          <w:p w14:paraId="6F55FEF9" w14:textId="77777777" w:rsidR="00E57DAA" w:rsidRDefault="00AC4185">
            <w:pPr>
              <w:autoSpaceDE w:val="0"/>
              <w:autoSpaceDN w:val="0"/>
              <w:adjustRightInd w:val="0"/>
              <w:jc w:val="right"/>
              <w:rPr>
                <w:szCs w:val="21"/>
              </w:rPr>
            </w:pPr>
            <w:r>
              <w:t>95,062.59</w:t>
            </w:r>
          </w:p>
        </w:tc>
        <w:tc>
          <w:tcPr>
            <w:tcW w:w="632" w:type="pct"/>
            <w:tcBorders>
              <w:top w:val="single" w:sz="4" w:space="0" w:color="auto"/>
              <w:left w:val="single" w:sz="4" w:space="0" w:color="auto"/>
              <w:bottom w:val="single" w:sz="4" w:space="0" w:color="auto"/>
              <w:right w:val="single" w:sz="4" w:space="0" w:color="auto"/>
            </w:tcBorders>
          </w:tcPr>
          <w:p w14:paraId="51238F0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C32705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60C4B97" w14:textId="77777777" w:rsidR="00E57DAA" w:rsidRDefault="00AC4185">
            <w:pPr>
              <w:autoSpaceDE w:val="0"/>
              <w:autoSpaceDN w:val="0"/>
              <w:adjustRightInd w:val="0"/>
              <w:jc w:val="right"/>
              <w:rPr>
                <w:szCs w:val="21"/>
              </w:rPr>
            </w:pPr>
            <w:r>
              <w:t xml:space="preserve">　</w:t>
            </w:r>
          </w:p>
        </w:tc>
      </w:tr>
      <w:tr w:rsidR="00E57DAA" w14:paraId="45C95CE4" w14:textId="77777777">
        <w:tc>
          <w:tcPr>
            <w:tcW w:w="677" w:type="pct"/>
            <w:tcBorders>
              <w:top w:val="single" w:sz="4" w:space="0" w:color="auto"/>
              <w:left w:val="single" w:sz="4" w:space="0" w:color="auto"/>
              <w:bottom w:val="single" w:sz="4" w:space="0" w:color="auto"/>
              <w:right w:val="single" w:sz="4" w:space="0" w:color="auto"/>
            </w:tcBorders>
            <w:vAlign w:val="center"/>
          </w:tcPr>
          <w:p w14:paraId="10D6CE3D"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BB2BA87" w14:textId="77777777" w:rsidR="00E57DAA" w:rsidRDefault="00AC4185">
            <w:pPr>
              <w:autoSpaceDE w:val="0"/>
              <w:autoSpaceDN w:val="0"/>
              <w:adjustRightInd w:val="0"/>
              <w:rPr>
                <w:szCs w:val="21"/>
              </w:rPr>
            </w:pPr>
            <w:r>
              <w:t>中国建材检验认证集团安徽有限公司</w:t>
            </w:r>
          </w:p>
        </w:tc>
        <w:tc>
          <w:tcPr>
            <w:tcW w:w="633" w:type="pct"/>
            <w:tcBorders>
              <w:top w:val="single" w:sz="4" w:space="0" w:color="auto"/>
              <w:left w:val="single" w:sz="4" w:space="0" w:color="auto"/>
              <w:bottom w:val="single" w:sz="4" w:space="0" w:color="auto"/>
              <w:right w:val="single" w:sz="4" w:space="0" w:color="auto"/>
            </w:tcBorders>
          </w:tcPr>
          <w:p w14:paraId="32AA81A5" w14:textId="77777777" w:rsidR="00E57DAA" w:rsidRDefault="00AC4185">
            <w:pPr>
              <w:autoSpaceDE w:val="0"/>
              <w:autoSpaceDN w:val="0"/>
              <w:adjustRightInd w:val="0"/>
              <w:jc w:val="right"/>
              <w:rPr>
                <w:szCs w:val="21"/>
              </w:rPr>
            </w:pPr>
            <w:r>
              <w:t>63,000.00</w:t>
            </w:r>
          </w:p>
        </w:tc>
        <w:tc>
          <w:tcPr>
            <w:tcW w:w="632" w:type="pct"/>
            <w:tcBorders>
              <w:top w:val="single" w:sz="4" w:space="0" w:color="auto"/>
              <w:left w:val="single" w:sz="4" w:space="0" w:color="auto"/>
              <w:bottom w:val="single" w:sz="4" w:space="0" w:color="auto"/>
              <w:right w:val="single" w:sz="4" w:space="0" w:color="auto"/>
            </w:tcBorders>
          </w:tcPr>
          <w:p w14:paraId="523C5E0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0F0DAA8" w14:textId="77777777" w:rsidR="00E57DAA" w:rsidRDefault="00AC4185">
            <w:pPr>
              <w:autoSpaceDE w:val="0"/>
              <w:autoSpaceDN w:val="0"/>
              <w:adjustRightInd w:val="0"/>
              <w:jc w:val="right"/>
              <w:rPr>
                <w:szCs w:val="21"/>
              </w:rPr>
            </w:pPr>
            <w:r>
              <w:t>60,000.00</w:t>
            </w:r>
          </w:p>
        </w:tc>
        <w:tc>
          <w:tcPr>
            <w:tcW w:w="914" w:type="pct"/>
            <w:tcBorders>
              <w:top w:val="single" w:sz="4" w:space="0" w:color="auto"/>
              <w:left w:val="single" w:sz="4" w:space="0" w:color="auto"/>
              <w:bottom w:val="single" w:sz="4" w:space="0" w:color="auto"/>
              <w:right w:val="single" w:sz="4" w:space="0" w:color="auto"/>
            </w:tcBorders>
          </w:tcPr>
          <w:p w14:paraId="6301593D" w14:textId="77777777" w:rsidR="00E57DAA" w:rsidRDefault="00AC4185">
            <w:pPr>
              <w:autoSpaceDE w:val="0"/>
              <w:autoSpaceDN w:val="0"/>
              <w:adjustRightInd w:val="0"/>
              <w:jc w:val="right"/>
              <w:rPr>
                <w:szCs w:val="21"/>
              </w:rPr>
            </w:pPr>
            <w:r>
              <w:t xml:space="preserve">　</w:t>
            </w:r>
          </w:p>
        </w:tc>
      </w:tr>
      <w:tr w:rsidR="00E57DAA" w14:paraId="68262641" w14:textId="77777777">
        <w:tc>
          <w:tcPr>
            <w:tcW w:w="677" w:type="pct"/>
            <w:tcBorders>
              <w:top w:val="single" w:sz="4" w:space="0" w:color="auto"/>
              <w:left w:val="single" w:sz="4" w:space="0" w:color="auto"/>
              <w:bottom w:val="single" w:sz="4" w:space="0" w:color="auto"/>
              <w:right w:val="single" w:sz="4" w:space="0" w:color="auto"/>
            </w:tcBorders>
            <w:vAlign w:val="center"/>
          </w:tcPr>
          <w:p w14:paraId="58FD679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C7C5172" w14:textId="77777777" w:rsidR="00E57DAA" w:rsidRDefault="00AC4185">
            <w:pPr>
              <w:autoSpaceDE w:val="0"/>
              <w:autoSpaceDN w:val="0"/>
              <w:adjustRightInd w:val="0"/>
              <w:rPr>
                <w:szCs w:val="21"/>
              </w:rPr>
            </w:pPr>
            <w:r>
              <w:t>安徽瑞泰新材料科技有限公司</w:t>
            </w:r>
          </w:p>
        </w:tc>
        <w:tc>
          <w:tcPr>
            <w:tcW w:w="633" w:type="pct"/>
            <w:tcBorders>
              <w:top w:val="single" w:sz="4" w:space="0" w:color="auto"/>
              <w:left w:val="single" w:sz="4" w:space="0" w:color="auto"/>
              <w:bottom w:val="single" w:sz="4" w:space="0" w:color="auto"/>
              <w:right w:val="single" w:sz="4" w:space="0" w:color="auto"/>
            </w:tcBorders>
          </w:tcPr>
          <w:p w14:paraId="184D355E" w14:textId="77777777" w:rsidR="00E57DAA" w:rsidRDefault="00AC4185">
            <w:pPr>
              <w:autoSpaceDE w:val="0"/>
              <w:autoSpaceDN w:val="0"/>
              <w:adjustRightInd w:val="0"/>
              <w:jc w:val="right"/>
              <w:rPr>
                <w:szCs w:val="21"/>
              </w:rPr>
            </w:pPr>
            <w:r>
              <w:t>57,785.88</w:t>
            </w:r>
          </w:p>
        </w:tc>
        <w:tc>
          <w:tcPr>
            <w:tcW w:w="632" w:type="pct"/>
            <w:tcBorders>
              <w:top w:val="single" w:sz="4" w:space="0" w:color="auto"/>
              <w:left w:val="single" w:sz="4" w:space="0" w:color="auto"/>
              <w:bottom w:val="single" w:sz="4" w:space="0" w:color="auto"/>
              <w:right w:val="single" w:sz="4" w:space="0" w:color="auto"/>
            </w:tcBorders>
          </w:tcPr>
          <w:p w14:paraId="65051E6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06C4BA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59F37A3" w14:textId="77777777" w:rsidR="00E57DAA" w:rsidRDefault="00AC4185">
            <w:pPr>
              <w:autoSpaceDE w:val="0"/>
              <w:autoSpaceDN w:val="0"/>
              <w:adjustRightInd w:val="0"/>
              <w:jc w:val="right"/>
              <w:rPr>
                <w:szCs w:val="21"/>
              </w:rPr>
            </w:pPr>
            <w:r>
              <w:t xml:space="preserve">　</w:t>
            </w:r>
          </w:p>
        </w:tc>
      </w:tr>
      <w:tr w:rsidR="00E57DAA" w14:paraId="30BE5016" w14:textId="77777777">
        <w:tc>
          <w:tcPr>
            <w:tcW w:w="677" w:type="pct"/>
            <w:tcBorders>
              <w:top w:val="single" w:sz="4" w:space="0" w:color="auto"/>
              <w:left w:val="single" w:sz="4" w:space="0" w:color="auto"/>
              <w:bottom w:val="single" w:sz="4" w:space="0" w:color="auto"/>
              <w:right w:val="single" w:sz="4" w:space="0" w:color="auto"/>
            </w:tcBorders>
            <w:vAlign w:val="center"/>
          </w:tcPr>
          <w:p w14:paraId="1A9674BE"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9094A6F" w14:textId="77777777" w:rsidR="00E57DAA" w:rsidRDefault="00AC4185">
            <w:pPr>
              <w:autoSpaceDE w:val="0"/>
              <w:autoSpaceDN w:val="0"/>
              <w:adjustRightInd w:val="0"/>
              <w:rPr>
                <w:szCs w:val="21"/>
              </w:rPr>
            </w:pPr>
            <w:r>
              <w:t>武汉建筑材料工业设计研究院有限公司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14793AA6"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09CBC03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89A6DA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76E6250" w14:textId="77777777" w:rsidR="00E57DAA" w:rsidRDefault="00AC4185">
            <w:pPr>
              <w:autoSpaceDE w:val="0"/>
              <w:autoSpaceDN w:val="0"/>
              <w:adjustRightInd w:val="0"/>
              <w:jc w:val="right"/>
              <w:rPr>
                <w:szCs w:val="21"/>
              </w:rPr>
            </w:pPr>
            <w:r>
              <w:t xml:space="preserve">　</w:t>
            </w:r>
          </w:p>
        </w:tc>
      </w:tr>
      <w:tr w:rsidR="00E57DAA" w14:paraId="2414DD0A" w14:textId="77777777">
        <w:tc>
          <w:tcPr>
            <w:tcW w:w="677" w:type="pct"/>
            <w:tcBorders>
              <w:top w:val="single" w:sz="4" w:space="0" w:color="auto"/>
              <w:left w:val="single" w:sz="4" w:space="0" w:color="auto"/>
              <w:bottom w:val="single" w:sz="4" w:space="0" w:color="auto"/>
              <w:right w:val="single" w:sz="4" w:space="0" w:color="auto"/>
            </w:tcBorders>
            <w:vAlign w:val="center"/>
          </w:tcPr>
          <w:p w14:paraId="1013183D"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7959122" w14:textId="77777777" w:rsidR="00E57DAA" w:rsidRDefault="00AC4185">
            <w:pPr>
              <w:autoSpaceDE w:val="0"/>
              <w:autoSpaceDN w:val="0"/>
              <w:adjustRightInd w:val="0"/>
              <w:rPr>
                <w:szCs w:val="21"/>
              </w:rPr>
            </w:pPr>
            <w:r>
              <w:t>中建材西南勘测设计有限公司</w:t>
            </w:r>
          </w:p>
        </w:tc>
        <w:tc>
          <w:tcPr>
            <w:tcW w:w="633" w:type="pct"/>
            <w:tcBorders>
              <w:top w:val="single" w:sz="4" w:space="0" w:color="auto"/>
              <w:left w:val="single" w:sz="4" w:space="0" w:color="auto"/>
              <w:bottom w:val="single" w:sz="4" w:space="0" w:color="auto"/>
              <w:right w:val="single" w:sz="4" w:space="0" w:color="auto"/>
            </w:tcBorders>
          </w:tcPr>
          <w:p w14:paraId="4FEDAF4D"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6C6AF0A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D9FA5D6"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50A9FB27" w14:textId="77777777" w:rsidR="00E57DAA" w:rsidRDefault="00AC4185">
            <w:pPr>
              <w:autoSpaceDE w:val="0"/>
              <w:autoSpaceDN w:val="0"/>
              <w:adjustRightInd w:val="0"/>
              <w:jc w:val="right"/>
              <w:rPr>
                <w:szCs w:val="21"/>
              </w:rPr>
            </w:pPr>
            <w:r>
              <w:t xml:space="preserve">　</w:t>
            </w:r>
          </w:p>
        </w:tc>
      </w:tr>
      <w:tr w:rsidR="00E57DAA" w14:paraId="09DA5385" w14:textId="77777777">
        <w:tc>
          <w:tcPr>
            <w:tcW w:w="677" w:type="pct"/>
            <w:tcBorders>
              <w:top w:val="single" w:sz="4" w:space="0" w:color="auto"/>
              <w:left w:val="single" w:sz="4" w:space="0" w:color="auto"/>
              <w:bottom w:val="single" w:sz="4" w:space="0" w:color="auto"/>
              <w:right w:val="single" w:sz="4" w:space="0" w:color="auto"/>
            </w:tcBorders>
            <w:vAlign w:val="center"/>
          </w:tcPr>
          <w:p w14:paraId="4F708241"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A41C53E" w14:textId="77777777" w:rsidR="00E57DAA" w:rsidRDefault="00AC4185">
            <w:pPr>
              <w:autoSpaceDE w:val="0"/>
              <w:autoSpaceDN w:val="0"/>
              <w:adjustRightInd w:val="0"/>
              <w:rPr>
                <w:szCs w:val="21"/>
              </w:rPr>
            </w:pPr>
            <w:r>
              <w:t>中国建材集团有限公司</w:t>
            </w:r>
          </w:p>
        </w:tc>
        <w:tc>
          <w:tcPr>
            <w:tcW w:w="633" w:type="pct"/>
            <w:tcBorders>
              <w:top w:val="single" w:sz="4" w:space="0" w:color="auto"/>
              <w:left w:val="single" w:sz="4" w:space="0" w:color="auto"/>
              <w:bottom w:val="single" w:sz="4" w:space="0" w:color="auto"/>
              <w:right w:val="single" w:sz="4" w:space="0" w:color="auto"/>
            </w:tcBorders>
          </w:tcPr>
          <w:p w14:paraId="383895E5" w14:textId="77777777" w:rsidR="00E57DAA" w:rsidRDefault="00AC4185">
            <w:pPr>
              <w:autoSpaceDE w:val="0"/>
              <w:autoSpaceDN w:val="0"/>
              <w:adjustRightInd w:val="0"/>
              <w:jc w:val="right"/>
              <w:rPr>
                <w:szCs w:val="21"/>
              </w:rPr>
            </w:pPr>
            <w:r>
              <w:t>26,400.00</w:t>
            </w:r>
          </w:p>
        </w:tc>
        <w:tc>
          <w:tcPr>
            <w:tcW w:w="632" w:type="pct"/>
            <w:tcBorders>
              <w:top w:val="single" w:sz="4" w:space="0" w:color="auto"/>
              <w:left w:val="single" w:sz="4" w:space="0" w:color="auto"/>
              <w:bottom w:val="single" w:sz="4" w:space="0" w:color="auto"/>
              <w:right w:val="single" w:sz="4" w:space="0" w:color="auto"/>
            </w:tcBorders>
          </w:tcPr>
          <w:p w14:paraId="6DDB38C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1DE1D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B6CD955" w14:textId="77777777" w:rsidR="00E57DAA" w:rsidRDefault="00AC4185">
            <w:pPr>
              <w:autoSpaceDE w:val="0"/>
              <w:autoSpaceDN w:val="0"/>
              <w:adjustRightInd w:val="0"/>
              <w:jc w:val="right"/>
              <w:rPr>
                <w:szCs w:val="21"/>
              </w:rPr>
            </w:pPr>
            <w:r>
              <w:t xml:space="preserve">　</w:t>
            </w:r>
          </w:p>
        </w:tc>
      </w:tr>
      <w:tr w:rsidR="00E57DAA" w14:paraId="2F519D7D" w14:textId="77777777">
        <w:tc>
          <w:tcPr>
            <w:tcW w:w="677" w:type="pct"/>
            <w:tcBorders>
              <w:top w:val="single" w:sz="4" w:space="0" w:color="auto"/>
              <w:left w:val="single" w:sz="4" w:space="0" w:color="auto"/>
              <w:bottom w:val="single" w:sz="4" w:space="0" w:color="auto"/>
              <w:right w:val="single" w:sz="4" w:space="0" w:color="auto"/>
            </w:tcBorders>
            <w:vAlign w:val="center"/>
          </w:tcPr>
          <w:p w14:paraId="17C2CD4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74A5DA9" w14:textId="77777777" w:rsidR="00E57DAA" w:rsidRDefault="00AC4185">
            <w:pPr>
              <w:autoSpaceDE w:val="0"/>
              <w:autoSpaceDN w:val="0"/>
              <w:adjustRightInd w:val="0"/>
              <w:rPr>
                <w:szCs w:val="21"/>
              </w:rPr>
            </w:pPr>
            <w:r>
              <w:t>中国国检测试控股集团股份有限公司</w:t>
            </w:r>
          </w:p>
        </w:tc>
        <w:tc>
          <w:tcPr>
            <w:tcW w:w="633" w:type="pct"/>
            <w:tcBorders>
              <w:top w:val="single" w:sz="4" w:space="0" w:color="auto"/>
              <w:left w:val="single" w:sz="4" w:space="0" w:color="auto"/>
              <w:bottom w:val="single" w:sz="4" w:space="0" w:color="auto"/>
              <w:right w:val="single" w:sz="4" w:space="0" w:color="auto"/>
            </w:tcBorders>
          </w:tcPr>
          <w:p w14:paraId="6AF7E4B3" w14:textId="77777777" w:rsidR="00E57DAA" w:rsidRDefault="00AC4185">
            <w:pPr>
              <w:autoSpaceDE w:val="0"/>
              <w:autoSpaceDN w:val="0"/>
              <w:adjustRightInd w:val="0"/>
              <w:jc w:val="right"/>
              <w:rPr>
                <w:szCs w:val="21"/>
              </w:rPr>
            </w:pPr>
            <w:r>
              <w:t>13,000.00</w:t>
            </w:r>
          </w:p>
        </w:tc>
        <w:tc>
          <w:tcPr>
            <w:tcW w:w="632" w:type="pct"/>
            <w:tcBorders>
              <w:top w:val="single" w:sz="4" w:space="0" w:color="auto"/>
              <w:left w:val="single" w:sz="4" w:space="0" w:color="auto"/>
              <w:bottom w:val="single" w:sz="4" w:space="0" w:color="auto"/>
              <w:right w:val="single" w:sz="4" w:space="0" w:color="auto"/>
            </w:tcBorders>
          </w:tcPr>
          <w:p w14:paraId="430D8BB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9B6639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5169B53" w14:textId="77777777" w:rsidR="00E57DAA" w:rsidRDefault="00AC4185">
            <w:pPr>
              <w:autoSpaceDE w:val="0"/>
              <w:autoSpaceDN w:val="0"/>
              <w:adjustRightInd w:val="0"/>
              <w:jc w:val="right"/>
              <w:rPr>
                <w:szCs w:val="21"/>
              </w:rPr>
            </w:pPr>
            <w:r>
              <w:t xml:space="preserve">　</w:t>
            </w:r>
          </w:p>
        </w:tc>
      </w:tr>
      <w:tr w:rsidR="00E57DAA" w14:paraId="2E84A3A1" w14:textId="77777777">
        <w:tc>
          <w:tcPr>
            <w:tcW w:w="677" w:type="pct"/>
            <w:tcBorders>
              <w:top w:val="single" w:sz="4" w:space="0" w:color="auto"/>
              <w:left w:val="single" w:sz="4" w:space="0" w:color="auto"/>
              <w:bottom w:val="single" w:sz="4" w:space="0" w:color="auto"/>
              <w:right w:val="single" w:sz="4" w:space="0" w:color="auto"/>
            </w:tcBorders>
            <w:vAlign w:val="center"/>
          </w:tcPr>
          <w:p w14:paraId="6913922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EDC03BF" w14:textId="77777777" w:rsidR="00E57DAA" w:rsidRDefault="00AC4185">
            <w:pPr>
              <w:autoSpaceDE w:val="0"/>
              <w:autoSpaceDN w:val="0"/>
              <w:adjustRightInd w:val="0"/>
              <w:rPr>
                <w:szCs w:val="21"/>
              </w:rPr>
            </w:pPr>
            <w:r>
              <w:t>广州华磊建筑基础工程有限公司</w:t>
            </w:r>
          </w:p>
        </w:tc>
        <w:tc>
          <w:tcPr>
            <w:tcW w:w="633" w:type="pct"/>
            <w:tcBorders>
              <w:top w:val="single" w:sz="4" w:space="0" w:color="auto"/>
              <w:left w:val="single" w:sz="4" w:space="0" w:color="auto"/>
              <w:bottom w:val="single" w:sz="4" w:space="0" w:color="auto"/>
              <w:right w:val="single" w:sz="4" w:space="0" w:color="auto"/>
            </w:tcBorders>
          </w:tcPr>
          <w:p w14:paraId="498874B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2F2E23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ADCCE8B" w14:textId="77777777" w:rsidR="00E57DAA" w:rsidRDefault="00AC4185">
            <w:pPr>
              <w:autoSpaceDE w:val="0"/>
              <w:autoSpaceDN w:val="0"/>
              <w:adjustRightInd w:val="0"/>
              <w:jc w:val="right"/>
              <w:rPr>
                <w:szCs w:val="21"/>
              </w:rPr>
            </w:pPr>
            <w:r>
              <w:t>75,000.00</w:t>
            </w:r>
          </w:p>
        </w:tc>
        <w:tc>
          <w:tcPr>
            <w:tcW w:w="914" w:type="pct"/>
            <w:tcBorders>
              <w:top w:val="single" w:sz="4" w:space="0" w:color="auto"/>
              <w:left w:val="single" w:sz="4" w:space="0" w:color="auto"/>
              <w:bottom w:val="single" w:sz="4" w:space="0" w:color="auto"/>
              <w:right w:val="single" w:sz="4" w:space="0" w:color="auto"/>
            </w:tcBorders>
          </w:tcPr>
          <w:p w14:paraId="53EC6251" w14:textId="77777777" w:rsidR="00E57DAA" w:rsidRDefault="00AC4185">
            <w:pPr>
              <w:autoSpaceDE w:val="0"/>
              <w:autoSpaceDN w:val="0"/>
              <w:adjustRightInd w:val="0"/>
              <w:jc w:val="right"/>
              <w:rPr>
                <w:szCs w:val="21"/>
              </w:rPr>
            </w:pPr>
            <w:r>
              <w:t xml:space="preserve">　</w:t>
            </w:r>
          </w:p>
        </w:tc>
      </w:tr>
      <w:tr w:rsidR="00E57DAA" w14:paraId="3B0A02BB" w14:textId="77777777">
        <w:tc>
          <w:tcPr>
            <w:tcW w:w="677" w:type="pct"/>
            <w:tcBorders>
              <w:top w:val="single" w:sz="4" w:space="0" w:color="auto"/>
              <w:left w:val="single" w:sz="4" w:space="0" w:color="auto"/>
              <w:bottom w:val="single" w:sz="4" w:space="0" w:color="auto"/>
              <w:right w:val="single" w:sz="4" w:space="0" w:color="auto"/>
            </w:tcBorders>
            <w:vAlign w:val="center"/>
          </w:tcPr>
          <w:p w14:paraId="3186280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02BAC53A" w14:textId="77777777" w:rsidR="00E57DAA" w:rsidRDefault="00AC4185">
            <w:pPr>
              <w:autoSpaceDE w:val="0"/>
              <w:autoSpaceDN w:val="0"/>
              <w:adjustRightInd w:val="0"/>
              <w:rPr>
                <w:szCs w:val="21"/>
              </w:rPr>
            </w:pPr>
            <w:r>
              <w:t>河南瑞泰耐火材料科技有限公司</w:t>
            </w:r>
          </w:p>
        </w:tc>
        <w:tc>
          <w:tcPr>
            <w:tcW w:w="633" w:type="pct"/>
            <w:tcBorders>
              <w:top w:val="single" w:sz="4" w:space="0" w:color="auto"/>
              <w:left w:val="single" w:sz="4" w:space="0" w:color="auto"/>
              <w:bottom w:val="single" w:sz="4" w:space="0" w:color="auto"/>
              <w:right w:val="single" w:sz="4" w:space="0" w:color="auto"/>
            </w:tcBorders>
          </w:tcPr>
          <w:p w14:paraId="522D016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39AF91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B532587" w14:textId="77777777" w:rsidR="00E57DAA" w:rsidRDefault="00AC4185">
            <w:pPr>
              <w:autoSpaceDE w:val="0"/>
              <w:autoSpaceDN w:val="0"/>
              <w:adjustRightInd w:val="0"/>
              <w:jc w:val="right"/>
              <w:rPr>
                <w:szCs w:val="21"/>
              </w:rPr>
            </w:pPr>
            <w:r>
              <w:t>213,000.00</w:t>
            </w:r>
          </w:p>
        </w:tc>
        <w:tc>
          <w:tcPr>
            <w:tcW w:w="914" w:type="pct"/>
            <w:tcBorders>
              <w:top w:val="single" w:sz="4" w:space="0" w:color="auto"/>
              <w:left w:val="single" w:sz="4" w:space="0" w:color="auto"/>
              <w:bottom w:val="single" w:sz="4" w:space="0" w:color="auto"/>
              <w:right w:val="single" w:sz="4" w:space="0" w:color="auto"/>
            </w:tcBorders>
          </w:tcPr>
          <w:p w14:paraId="0FD35FAC" w14:textId="77777777" w:rsidR="00E57DAA" w:rsidRDefault="00AC4185">
            <w:pPr>
              <w:autoSpaceDE w:val="0"/>
              <w:autoSpaceDN w:val="0"/>
              <w:adjustRightInd w:val="0"/>
              <w:jc w:val="right"/>
              <w:rPr>
                <w:szCs w:val="21"/>
              </w:rPr>
            </w:pPr>
            <w:r>
              <w:t xml:space="preserve">　</w:t>
            </w:r>
          </w:p>
        </w:tc>
      </w:tr>
      <w:tr w:rsidR="00E57DAA" w14:paraId="3B88E90B" w14:textId="77777777">
        <w:tc>
          <w:tcPr>
            <w:tcW w:w="677" w:type="pct"/>
            <w:tcBorders>
              <w:top w:val="single" w:sz="4" w:space="0" w:color="auto"/>
              <w:left w:val="single" w:sz="4" w:space="0" w:color="auto"/>
              <w:bottom w:val="single" w:sz="4" w:space="0" w:color="auto"/>
              <w:right w:val="single" w:sz="4" w:space="0" w:color="auto"/>
            </w:tcBorders>
            <w:vAlign w:val="center"/>
          </w:tcPr>
          <w:p w14:paraId="0A179116"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4525A19A" w14:textId="77777777" w:rsidR="00E57DAA" w:rsidRDefault="00AC4185">
            <w:pPr>
              <w:autoSpaceDE w:val="0"/>
              <w:autoSpaceDN w:val="0"/>
              <w:adjustRightInd w:val="0"/>
              <w:rPr>
                <w:szCs w:val="21"/>
              </w:rPr>
            </w:pPr>
            <w:r>
              <w:t>宁国市开源电力耐磨材料有限公司</w:t>
            </w:r>
          </w:p>
        </w:tc>
        <w:tc>
          <w:tcPr>
            <w:tcW w:w="633" w:type="pct"/>
            <w:tcBorders>
              <w:top w:val="single" w:sz="4" w:space="0" w:color="auto"/>
              <w:left w:val="single" w:sz="4" w:space="0" w:color="auto"/>
              <w:bottom w:val="single" w:sz="4" w:space="0" w:color="auto"/>
              <w:right w:val="single" w:sz="4" w:space="0" w:color="auto"/>
            </w:tcBorders>
          </w:tcPr>
          <w:p w14:paraId="4FB57C0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06394F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755EC8C" w14:textId="77777777" w:rsidR="00E57DAA" w:rsidRDefault="00AC4185">
            <w:pPr>
              <w:autoSpaceDE w:val="0"/>
              <w:autoSpaceDN w:val="0"/>
              <w:adjustRightInd w:val="0"/>
              <w:jc w:val="right"/>
              <w:rPr>
                <w:szCs w:val="21"/>
              </w:rPr>
            </w:pPr>
            <w:r>
              <w:t>758,240.00</w:t>
            </w:r>
          </w:p>
        </w:tc>
        <w:tc>
          <w:tcPr>
            <w:tcW w:w="914" w:type="pct"/>
            <w:tcBorders>
              <w:top w:val="single" w:sz="4" w:space="0" w:color="auto"/>
              <w:left w:val="single" w:sz="4" w:space="0" w:color="auto"/>
              <w:bottom w:val="single" w:sz="4" w:space="0" w:color="auto"/>
              <w:right w:val="single" w:sz="4" w:space="0" w:color="auto"/>
            </w:tcBorders>
          </w:tcPr>
          <w:p w14:paraId="0660682B" w14:textId="77777777" w:rsidR="00E57DAA" w:rsidRDefault="00AC4185">
            <w:pPr>
              <w:autoSpaceDE w:val="0"/>
              <w:autoSpaceDN w:val="0"/>
              <w:adjustRightInd w:val="0"/>
              <w:jc w:val="right"/>
              <w:rPr>
                <w:szCs w:val="21"/>
              </w:rPr>
            </w:pPr>
            <w:r>
              <w:t xml:space="preserve">　</w:t>
            </w:r>
          </w:p>
        </w:tc>
      </w:tr>
      <w:tr w:rsidR="00E57DAA" w14:paraId="6532B081" w14:textId="77777777">
        <w:tc>
          <w:tcPr>
            <w:tcW w:w="677" w:type="pct"/>
            <w:tcBorders>
              <w:top w:val="single" w:sz="4" w:space="0" w:color="auto"/>
              <w:left w:val="single" w:sz="4" w:space="0" w:color="auto"/>
              <w:bottom w:val="single" w:sz="4" w:space="0" w:color="auto"/>
              <w:right w:val="single" w:sz="4" w:space="0" w:color="auto"/>
            </w:tcBorders>
            <w:vAlign w:val="center"/>
          </w:tcPr>
          <w:p w14:paraId="0E6114C2"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D66072E" w14:textId="77777777" w:rsidR="00E57DAA" w:rsidRDefault="00AC4185">
            <w:pPr>
              <w:autoSpaceDE w:val="0"/>
              <w:autoSpaceDN w:val="0"/>
              <w:adjustRightInd w:val="0"/>
              <w:rPr>
                <w:szCs w:val="21"/>
              </w:rPr>
            </w:pPr>
            <w:r>
              <w:t>中材高新材料股份有限公司</w:t>
            </w:r>
          </w:p>
        </w:tc>
        <w:tc>
          <w:tcPr>
            <w:tcW w:w="633" w:type="pct"/>
            <w:tcBorders>
              <w:top w:val="single" w:sz="4" w:space="0" w:color="auto"/>
              <w:left w:val="single" w:sz="4" w:space="0" w:color="auto"/>
              <w:bottom w:val="single" w:sz="4" w:space="0" w:color="auto"/>
              <w:right w:val="single" w:sz="4" w:space="0" w:color="auto"/>
            </w:tcBorders>
          </w:tcPr>
          <w:p w14:paraId="0E2E4C1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12A338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B0675DC" w14:textId="77777777" w:rsidR="00E57DAA" w:rsidRDefault="00AC4185">
            <w:pPr>
              <w:autoSpaceDE w:val="0"/>
              <w:autoSpaceDN w:val="0"/>
              <w:adjustRightInd w:val="0"/>
              <w:jc w:val="right"/>
              <w:rPr>
                <w:szCs w:val="21"/>
              </w:rPr>
            </w:pPr>
            <w:r>
              <w:t>958,575.20</w:t>
            </w:r>
          </w:p>
        </w:tc>
        <w:tc>
          <w:tcPr>
            <w:tcW w:w="914" w:type="pct"/>
            <w:tcBorders>
              <w:top w:val="single" w:sz="4" w:space="0" w:color="auto"/>
              <w:left w:val="single" w:sz="4" w:space="0" w:color="auto"/>
              <w:bottom w:val="single" w:sz="4" w:space="0" w:color="auto"/>
              <w:right w:val="single" w:sz="4" w:space="0" w:color="auto"/>
            </w:tcBorders>
          </w:tcPr>
          <w:p w14:paraId="71E47A3F" w14:textId="77777777" w:rsidR="00E57DAA" w:rsidRDefault="00AC4185">
            <w:pPr>
              <w:autoSpaceDE w:val="0"/>
              <w:autoSpaceDN w:val="0"/>
              <w:adjustRightInd w:val="0"/>
              <w:jc w:val="right"/>
              <w:rPr>
                <w:szCs w:val="21"/>
              </w:rPr>
            </w:pPr>
            <w:r>
              <w:t xml:space="preserve">　</w:t>
            </w:r>
          </w:p>
        </w:tc>
      </w:tr>
      <w:tr w:rsidR="00E57DAA" w14:paraId="52FFD2B8" w14:textId="77777777">
        <w:tc>
          <w:tcPr>
            <w:tcW w:w="677" w:type="pct"/>
            <w:tcBorders>
              <w:top w:val="single" w:sz="4" w:space="0" w:color="auto"/>
              <w:left w:val="single" w:sz="4" w:space="0" w:color="auto"/>
              <w:bottom w:val="single" w:sz="4" w:space="0" w:color="auto"/>
              <w:right w:val="single" w:sz="4" w:space="0" w:color="auto"/>
            </w:tcBorders>
            <w:vAlign w:val="center"/>
          </w:tcPr>
          <w:p w14:paraId="64AA3B2C"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1ACFFEA" w14:textId="77777777" w:rsidR="00E57DAA" w:rsidRDefault="00AC4185">
            <w:pPr>
              <w:autoSpaceDE w:val="0"/>
              <w:autoSpaceDN w:val="0"/>
              <w:adjustRightInd w:val="0"/>
              <w:rPr>
                <w:szCs w:val="21"/>
              </w:rPr>
            </w:pPr>
            <w:r>
              <w:t>中材节能（武汉）有限公司</w:t>
            </w:r>
          </w:p>
        </w:tc>
        <w:tc>
          <w:tcPr>
            <w:tcW w:w="633" w:type="pct"/>
            <w:tcBorders>
              <w:top w:val="single" w:sz="4" w:space="0" w:color="auto"/>
              <w:left w:val="single" w:sz="4" w:space="0" w:color="auto"/>
              <w:bottom w:val="single" w:sz="4" w:space="0" w:color="auto"/>
              <w:right w:val="single" w:sz="4" w:space="0" w:color="auto"/>
            </w:tcBorders>
          </w:tcPr>
          <w:p w14:paraId="14E2BAA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91F823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8D45BBE" w14:textId="77777777" w:rsidR="00E57DAA" w:rsidRDefault="00AC4185">
            <w:pPr>
              <w:autoSpaceDE w:val="0"/>
              <w:autoSpaceDN w:val="0"/>
              <w:adjustRightInd w:val="0"/>
              <w:jc w:val="right"/>
              <w:rPr>
                <w:szCs w:val="21"/>
              </w:rPr>
            </w:pPr>
            <w:r>
              <w:t>64,912.00</w:t>
            </w:r>
          </w:p>
        </w:tc>
        <w:tc>
          <w:tcPr>
            <w:tcW w:w="914" w:type="pct"/>
            <w:tcBorders>
              <w:top w:val="single" w:sz="4" w:space="0" w:color="auto"/>
              <w:left w:val="single" w:sz="4" w:space="0" w:color="auto"/>
              <w:bottom w:val="single" w:sz="4" w:space="0" w:color="auto"/>
              <w:right w:val="single" w:sz="4" w:space="0" w:color="auto"/>
            </w:tcBorders>
          </w:tcPr>
          <w:p w14:paraId="75D04BFB" w14:textId="77777777" w:rsidR="00E57DAA" w:rsidRDefault="00AC4185">
            <w:pPr>
              <w:autoSpaceDE w:val="0"/>
              <w:autoSpaceDN w:val="0"/>
              <w:adjustRightInd w:val="0"/>
              <w:jc w:val="right"/>
              <w:rPr>
                <w:szCs w:val="21"/>
              </w:rPr>
            </w:pPr>
            <w:r>
              <w:t xml:space="preserve">　</w:t>
            </w:r>
          </w:p>
        </w:tc>
      </w:tr>
      <w:tr w:rsidR="00E57DAA" w14:paraId="4DB32BC1" w14:textId="77777777">
        <w:tc>
          <w:tcPr>
            <w:tcW w:w="677" w:type="pct"/>
            <w:tcBorders>
              <w:top w:val="single" w:sz="4" w:space="0" w:color="auto"/>
              <w:left w:val="single" w:sz="4" w:space="0" w:color="auto"/>
              <w:bottom w:val="single" w:sz="4" w:space="0" w:color="auto"/>
              <w:right w:val="single" w:sz="4" w:space="0" w:color="auto"/>
            </w:tcBorders>
            <w:vAlign w:val="center"/>
          </w:tcPr>
          <w:p w14:paraId="3B43C478"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1D51174" w14:textId="77777777" w:rsidR="00E57DAA" w:rsidRDefault="00AC4185">
            <w:pPr>
              <w:autoSpaceDE w:val="0"/>
              <w:autoSpaceDN w:val="0"/>
              <w:adjustRightInd w:val="0"/>
              <w:rPr>
                <w:szCs w:val="21"/>
              </w:rPr>
            </w:pPr>
            <w:r>
              <w:t>中国建筑材料工业地质勘查中心山东总队</w:t>
            </w:r>
          </w:p>
        </w:tc>
        <w:tc>
          <w:tcPr>
            <w:tcW w:w="633" w:type="pct"/>
            <w:tcBorders>
              <w:top w:val="single" w:sz="4" w:space="0" w:color="auto"/>
              <w:left w:val="single" w:sz="4" w:space="0" w:color="auto"/>
              <w:bottom w:val="single" w:sz="4" w:space="0" w:color="auto"/>
              <w:right w:val="single" w:sz="4" w:space="0" w:color="auto"/>
            </w:tcBorders>
          </w:tcPr>
          <w:p w14:paraId="560B4B2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A4F2A5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A17A877" w14:textId="77777777" w:rsidR="00E57DAA" w:rsidRDefault="00AC4185">
            <w:pPr>
              <w:autoSpaceDE w:val="0"/>
              <w:autoSpaceDN w:val="0"/>
              <w:adjustRightInd w:val="0"/>
              <w:jc w:val="right"/>
              <w:rPr>
                <w:szCs w:val="21"/>
              </w:rPr>
            </w:pPr>
            <w:r>
              <w:t>110,400.00</w:t>
            </w:r>
          </w:p>
        </w:tc>
        <w:tc>
          <w:tcPr>
            <w:tcW w:w="914" w:type="pct"/>
            <w:tcBorders>
              <w:top w:val="single" w:sz="4" w:space="0" w:color="auto"/>
              <w:left w:val="single" w:sz="4" w:space="0" w:color="auto"/>
              <w:bottom w:val="single" w:sz="4" w:space="0" w:color="auto"/>
              <w:right w:val="single" w:sz="4" w:space="0" w:color="auto"/>
            </w:tcBorders>
          </w:tcPr>
          <w:p w14:paraId="18A6AFCE" w14:textId="77777777" w:rsidR="00E57DAA" w:rsidRDefault="00AC4185">
            <w:pPr>
              <w:autoSpaceDE w:val="0"/>
              <w:autoSpaceDN w:val="0"/>
              <w:adjustRightInd w:val="0"/>
              <w:jc w:val="right"/>
              <w:rPr>
                <w:szCs w:val="21"/>
              </w:rPr>
            </w:pPr>
            <w:r>
              <w:t xml:space="preserve">　</w:t>
            </w:r>
          </w:p>
        </w:tc>
      </w:tr>
      <w:tr w:rsidR="00E57DAA" w14:paraId="1497AF82" w14:textId="77777777">
        <w:tc>
          <w:tcPr>
            <w:tcW w:w="677" w:type="pct"/>
            <w:tcBorders>
              <w:top w:val="single" w:sz="4" w:space="0" w:color="auto"/>
              <w:left w:val="single" w:sz="4" w:space="0" w:color="auto"/>
              <w:bottom w:val="single" w:sz="4" w:space="0" w:color="auto"/>
              <w:right w:val="single" w:sz="4" w:space="0" w:color="auto"/>
            </w:tcBorders>
            <w:vAlign w:val="center"/>
          </w:tcPr>
          <w:p w14:paraId="6DA2749C" w14:textId="77777777" w:rsidR="00E57DAA" w:rsidRDefault="00AC4185">
            <w:pPr>
              <w:autoSpaceDE w:val="0"/>
              <w:autoSpaceDN w:val="0"/>
              <w:adjustRightInd w:val="0"/>
              <w:rPr>
                <w:szCs w:val="21"/>
              </w:rPr>
            </w:pPr>
            <w:r>
              <w:lastRenderedPageBreak/>
              <w:t>预付账款</w:t>
            </w:r>
          </w:p>
        </w:tc>
        <w:tc>
          <w:tcPr>
            <w:tcW w:w="1441" w:type="pct"/>
            <w:tcBorders>
              <w:top w:val="single" w:sz="4" w:space="0" w:color="auto"/>
              <w:left w:val="single" w:sz="4" w:space="0" w:color="auto"/>
              <w:bottom w:val="single" w:sz="4" w:space="0" w:color="auto"/>
              <w:right w:val="single" w:sz="4" w:space="0" w:color="auto"/>
            </w:tcBorders>
          </w:tcPr>
          <w:p w14:paraId="0C607B49" w14:textId="77777777" w:rsidR="00E57DAA" w:rsidRDefault="00AC4185">
            <w:pPr>
              <w:autoSpaceDE w:val="0"/>
              <w:autoSpaceDN w:val="0"/>
              <w:adjustRightInd w:val="0"/>
              <w:rPr>
                <w:szCs w:val="21"/>
              </w:rPr>
            </w:pPr>
            <w:r>
              <w:t>中国建筑材料科学研究总院有限公司</w:t>
            </w:r>
          </w:p>
        </w:tc>
        <w:tc>
          <w:tcPr>
            <w:tcW w:w="633" w:type="pct"/>
            <w:tcBorders>
              <w:top w:val="single" w:sz="4" w:space="0" w:color="auto"/>
              <w:left w:val="single" w:sz="4" w:space="0" w:color="auto"/>
              <w:bottom w:val="single" w:sz="4" w:space="0" w:color="auto"/>
              <w:right w:val="single" w:sz="4" w:space="0" w:color="auto"/>
            </w:tcBorders>
          </w:tcPr>
          <w:p w14:paraId="6C6667A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FA42E9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89D2410" w14:textId="77777777" w:rsidR="00E57DAA" w:rsidRDefault="00AC4185">
            <w:pPr>
              <w:autoSpaceDE w:val="0"/>
              <w:autoSpaceDN w:val="0"/>
              <w:adjustRightInd w:val="0"/>
              <w:jc w:val="right"/>
              <w:rPr>
                <w:szCs w:val="21"/>
              </w:rPr>
            </w:pPr>
            <w:r>
              <w:t>60,000.00</w:t>
            </w:r>
          </w:p>
        </w:tc>
        <w:tc>
          <w:tcPr>
            <w:tcW w:w="914" w:type="pct"/>
            <w:tcBorders>
              <w:top w:val="single" w:sz="4" w:space="0" w:color="auto"/>
              <w:left w:val="single" w:sz="4" w:space="0" w:color="auto"/>
              <w:bottom w:val="single" w:sz="4" w:space="0" w:color="auto"/>
              <w:right w:val="single" w:sz="4" w:space="0" w:color="auto"/>
            </w:tcBorders>
          </w:tcPr>
          <w:p w14:paraId="4F7D4A49" w14:textId="77777777" w:rsidR="00E57DAA" w:rsidRDefault="00AC4185">
            <w:pPr>
              <w:autoSpaceDE w:val="0"/>
              <w:autoSpaceDN w:val="0"/>
              <w:adjustRightInd w:val="0"/>
              <w:jc w:val="right"/>
              <w:rPr>
                <w:szCs w:val="21"/>
              </w:rPr>
            </w:pPr>
            <w:r>
              <w:t xml:space="preserve">　</w:t>
            </w:r>
          </w:p>
        </w:tc>
      </w:tr>
      <w:tr w:rsidR="00E57DAA" w14:paraId="19BCB422" w14:textId="77777777">
        <w:tc>
          <w:tcPr>
            <w:tcW w:w="677" w:type="pct"/>
            <w:tcBorders>
              <w:top w:val="single" w:sz="4" w:space="0" w:color="auto"/>
              <w:left w:val="single" w:sz="4" w:space="0" w:color="auto"/>
              <w:bottom w:val="single" w:sz="4" w:space="0" w:color="auto"/>
              <w:right w:val="single" w:sz="4" w:space="0" w:color="auto"/>
            </w:tcBorders>
            <w:vAlign w:val="center"/>
          </w:tcPr>
          <w:p w14:paraId="1A34D1AA"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75C2C83" w14:textId="77777777" w:rsidR="00E57DAA" w:rsidRDefault="00AC4185">
            <w:pPr>
              <w:autoSpaceDE w:val="0"/>
              <w:autoSpaceDN w:val="0"/>
              <w:adjustRightInd w:val="0"/>
              <w:rPr>
                <w:szCs w:val="21"/>
              </w:rPr>
            </w:pPr>
            <w:r>
              <w:t>中建材浚鑫科技有限公司</w:t>
            </w:r>
          </w:p>
        </w:tc>
        <w:tc>
          <w:tcPr>
            <w:tcW w:w="633" w:type="pct"/>
            <w:tcBorders>
              <w:top w:val="single" w:sz="4" w:space="0" w:color="auto"/>
              <w:left w:val="single" w:sz="4" w:space="0" w:color="auto"/>
              <w:bottom w:val="single" w:sz="4" w:space="0" w:color="auto"/>
              <w:right w:val="single" w:sz="4" w:space="0" w:color="auto"/>
            </w:tcBorders>
          </w:tcPr>
          <w:p w14:paraId="2624A1E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6645F7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3AECFFD" w14:textId="77777777" w:rsidR="00E57DAA" w:rsidRDefault="00AC4185">
            <w:pPr>
              <w:autoSpaceDE w:val="0"/>
              <w:autoSpaceDN w:val="0"/>
              <w:adjustRightInd w:val="0"/>
              <w:jc w:val="right"/>
              <w:rPr>
                <w:szCs w:val="21"/>
              </w:rPr>
            </w:pPr>
            <w:r>
              <w:t>259,028.00</w:t>
            </w:r>
          </w:p>
        </w:tc>
        <w:tc>
          <w:tcPr>
            <w:tcW w:w="914" w:type="pct"/>
            <w:tcBorders>
              <w:top w:val="single" w:sz="4" w:space="0" w:color="auto"/>
              <w:left w:val="single" w:sz="4" w:space="0" w:color="auto"/>
              <w:bottom w:val="single" w:sz="4" w:space="0" w:color="auto"/>
              <w:right w:val="single" w:sz="4" w:space="0" w:color="auto"/>
            </w:tcBorders>
          </w:tcPr>
          <w:p w14:paraId="546DF77F" w14:textId="77777777" w:rsidR="00E57DAA" w:rsidRDefault="00AC4185">
            <w:pPr>
              <w:autoSpaceDE w:val="0"/>
              <w:autoSpaceDN w:val="0"/>
              <w:adjustRightInd w:val="0"/>
              <w:jc w:val="right"/>
              <w:rPr>
                <w:szCs w:val="21"/>
              </w:rPr>
            </w:pPr>
            <w:r>
              <w:t xml:space="preserve">　</w:t>
            </w:r>
          </w:p>
        </w:tc>
      </w:tr>
      <w:tr w:rsidR="00E57DAA" w14:paraId="59079BE4" w14:textId="77777777">
        <w:tc>
          <w:tcPr>
            <w:tcW w:w="677" w:type="pct"/>
            <w:tcBorders>
              <w:top w:val="single" w:sz="4" w:space="0" w:color="auto"/>
              <w:left w:val="single" w:sz="4" w:space="0" w:color="auto"/>
              <w:bottom w:val="single" w:sz="4" w:space="0" w:color="auto"/>
              <w:right w:val="single" w:sz="4" w:space="0" w:color="auto"/>
            </w:tcBorders>
            <w:vAlign w:val="center"/>
          </w:tcPr>
          <w:p w14:paraId="77572C87"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66542F60" w14:textId="77777777" w:rsidR="00E57DAA" w:rsidRDefault="00AC4185">
            <w:pPr>
              <w:autoSpaceDE w:val="0"/>
              <w:autoSpaceDN w:val="0"/>
              <w:adjustRightInd w:val="0"/>
              <w:rPr>
                <w:szCs w:val="21"/>
              </w:rPr>
            </w:pPr>
            <w:r>
              <w:t>中建材矿业投资江苏有限公司</w:t>
            </w:r>
          </w:p>
        </w:tc>
        <w:tc>
          <w:tcPr>
            <w:tcW w:w="633" w:type="pct"/>
            <w:tcBorders>
              <w:top w:val="single" w:sz="4" w:space="0" w:color="auto"/>
              <w:left w:val="single" w:sz="4" w:space="0" w:color="auto"/>
              <w:bottom w:val="single" w:sz="4" w:space="0" w:color="auto"/>
              <w:right w:val="single" w:sz="4" w:space="0" w:color="auto"/>
            </w:tcBorders>
          </w:tcPr>
          <w:p w14:paraId="46AA6B4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2E2C19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0287653" w14:textId="77777777" w:rsidR="00E57DAA" w:rsidRDefault="00AC4185">
            <w:pPr>
              <w:autoSpaceDE w:val="0"/>
              <w:autoSpaceDN w:val="0"/>
              <w:adjustRightInd w:val="0"/>
              <w:jc w:val="right"/>
              <w:rPr>
                <w:szCs w:val="21"/>
              </w:rPr>
            </w:pPr>
            <w:r>
              <w:t>3,351,277.00</w:t>
            </w:r>
          </w:p>
        </w:tc>
        <w:tc>
          <w:tcPr>
            <w:tcW w:w="914" w:type="pct"/>
            <w:tcBorders>
              <w:top w:val="single" w:sz="4" w:space="0" w:color="auto"/>
              <w:left w:val="single" w:sz="4" w:space="0" w:color="auto"/>
              <w:bottom w:val="single" w:sz="4" w:space="0" w:color="auto"/>
              <w:right w:val="single" w:sz="4" w:space="0" w:color="auto"/>
            </w:tcBorders>
          </w:tcPr>
          <w:p w14:paraId="4B500CCB" w14:textId="77777777" w:rsidR="00E57DAA" w:rsidRDefault="00AC4185">
            <w:pPr>
              <w:autoSpaceDE w:val="0"/>
              <w:autoSpaceDN w:val="0"/>
              <w:adjustRightInd w:val="0"/>
              <w:jc w:val="right"/>
              <w:rPr>
                <w:szCs w:val="21"/>
              </w:rPr>
            </w:pPr>
            <w:r>
              <w:t xml:space="preserve">　</w:t>
            </w:r>
          </w:p>
        </w:tc>
      </w:tr>
      <w:tr w:rsidR="00E57DAA" w14:paraId="0ACC224D" w14:textId="77777777">
        <w:tc>
          <w:tcPr>
            <w:tcW w:w="677" w:type="pct"/>
            <w:tcBorders>
              <w:top w:val="single" w:sz="4" w:space="0" w:color="auto"/>
              <w:left w:val="single" w:sz="4" w:space="0" w:color="auto"/>
              <w:bottom w:val="single" w:sz="4" w:space="0" w:color="auto"/>
              <w:right w:val="single" w:sz="4" w:space="0" w:color="auto"/>
            </w:tcBorders>
            <w:vAlign w:val="center"/>
          </w:tcPr>
          <w:p w14:paraId="13F452F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F20B9F6" w14:textId="77777777" w:rsidR="00E57DAA" w:rsidRDefault="00AC4185">
            <w:pPr>
              <w:autoSpaceDE w:val="0"/>
              <w:autoSpaceDN w:val="0"/>
              <w:adjustRightInd w:val="0"/>
              <w:rPr>
                <w:szCs w:val="21"/>
              </w:rPr>
            </w:pPr>
            <w:r>
              <w:t>中建材中研益科技有限公司</w:t>
            </w:r>
          </w:p>
        </w:tc>
        <w:tc>
          <w:tcPr>
            <w:tcW w:w="633" w:type="pct"/>
            <w:tcBorders>
              <w:top w:val="single" w:sz="4" w:space="0" w:color="auto"/>
              <w:left w:val="single" w:sz="4" w:space="0" w:color="auto"/>
              <w:bottom w:val="single" w:sz="4" w:space="0" w:color="auto"/>
              <w:right w:val="single" w:sz="4" w:space="0" w:color="auto"/>
            </w:tcBorders>
          </w:tcPr>
          <w:p w14:paraId="458AC41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792A41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FAED7FB" w14:textId="77777777" w:rsidR="00E57DAA" w:rsidRDefault="00AC4185">
            <w:pPr>
              <w:autoSpaceDE w:val="0"/>
              <w:autoSpaceDN w:val="0"/>
              <w:adjustRightInd w:val="0"/>
              <w:jc w:val="right"/>
              <w:rPr>
                <w:szCs w:val="21"/>
              </w:rPr>
            </w:pPr>
            <w:r>
              <w:t>982,900.00</w:t>
            </w:r>
          </w:p>
        </w:tc>
        <w:tc>
          <w:tcPr>
            <w:tcW w:w="914" w:type="pct"/>
            <w:tcBorders>
              <w:top w:val="single" w:sz="4" w:space="0" w:color="auto"/>
              <w:left w:val="single" w:sz="4" w:space="0" w:color="auto"/>
              <w:bottom w:val="single" w:sz="4" w:space="0" w:color="auto"/>
              <w:right w:val="single" w:sz="4" w:space="0" w:color="auto"/>
            </w:tcBorders>
          </w:tcPr>
          <w:p w14:paraId="01A0A44F" w14:textId="77777777" w:rsidR="00E57DAA" w:rsidRDefault="00AC4185">
            <w:pPr>
              <w:autoSpaceDE w:val="0"/>
              <w:autoSpaceDN w:val="0"/>
              <w:adjustRightInd w:val="0"/>
              <w:jc w:val="right"/>
              <w:rPr>
                <w:szCs w:val="21"/>
              </w:rPr>
            </w:pPr>
            <w:r>
              <w:t xml:space="preserve">　</w:t>
            </w:r>
          </w:p>
        </w:tc>
      </w:tr>
      <w:tr w:rsidR="00E57DAA" w14:paraId="0BDD6353" w14:textId="77777777">
        <w:tc>
          <w:tcPr>
            <w:tcW w:w="677" w:type="pct"/>
            <w:tcBorders>
              <w:top w:val="single" w:sz="4" w:space="0" w:color="auto"/>
              <w:left w:val="single" w:sz="4" w:space="0" w:color="auto"/>
              <w:bottom w:val="single" w:sz="4" w:space="0" w:color="auto"/>
              <w:right w:val="single" w:sz="4" w:space="0" w:color="auto"/>
            </w:tcBorders>
            <w:vAlign w:val="center"/>
          </w:tcPr>
          <w:p w14:paraId="544C8EE8"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181342B2"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35F271B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102600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32A32B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4E7CE2D" w14:textId="77777777" w:rsidR="00E57DAA" w:rsidRDefault="00AC4185">
            <w:pPr>
              <w:autoSpaceDE w:val="0"/>
              <w:autoSpaceDN w:val="0"/>
              <w:adjustRightInd w:val="0"/>
              <w:jc w:val="right"/>
              <w:rPr>
                <w:szCs w:val="21"/>
              </w:rPr>
            </w:pPr>
            <w:r>
              <w:t xml:space="preserve">　</w:t>
            </w:r>
          </w:p>
        </w:tc>
      </w:tr>
      <w:tr w:rsidR="00E57DAA" w14:paraId="6C3A157E" w14:textId="77777777">
        <w:tc>
          <w:tcPr>
            <w:tcW w:w="677" w:type="pct"/>
            <w:tcBorders>
              <w:top w:val="single" w:sz="4" w:space="0" w:color="auto"/>
              <w:left w:val="single" w:sz="4" w:space="0" w:color="auto"/>
              <w:bottom w:val="single" w:sz="4" w:space="0" w:color="auto"/>
              <w:right w:val="single" w:sz="4" w:space="0" w:color="auto"/>
            </w:tcBorders>
            <w:vAlign w:val="center"/>
          </w:tcPr>
          <w:p w14:paraId="47382BDD"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50F7866A" w14:textId="77777777" w:rsidR="00E57DAA" w:rsidRDefault="00AC4185">
            <w:pPr>
              <w:autoSpaceDE w:val="0"/>
              <w:autoSpaceDN w:val="0"/>
              <w:adjustRightInd w:val="0"/>
              <w:rPr>
                <w:szCs w:val="21"/>
              </w:rPr>
            </w:pPr>
            <w:r>
              <w:t>山东山水重工有限公司</w:t>
            </w:r>
          </w:p>
        </w:tc>
        <w:tc>
          <w:tcPr>
            <w:tcW w:w="633" w:type="pct"/>
            <w:tcBorders>
              <w:top w:val="single" w:sz="4" w:space="0" w:color="auto"/>
              <w:left w:val="single" w:sz="4" w:space="0" w:color="auto"/>
              <w:bottom w:val="single" w:sz="4" w:space="0" w:color="auto"/>
              <w:right w:val="single" w:sz="4" w:space="0" w:color="auto"/>
            </w:tcBorders>
          </w:tcPr>
          <w:p w14:paraId="42EC7523" w14:textId="77777777" w:rsidR="00E57DAA" w:rsidRDefault="00AC4185">
            <w:pPr>
              <w:autoSpaceDE w:val="0"/>
              <w:autoSpaceDN w:val="0"/>
              <w:adjustRightInd w:val="0"/>
              <w:jc w:val="right"/>
              <w:rPr>
                <w:szCs w:val="21"/>
              </w:rPr>
            </w:pPr>
            <w:r>
              <w:t>3,151,744.32</w:t>
            </w:r>
          </w:p>
        </w:tc>
        <w:tc>
          <w:tcPr>
            <w:tcW w:w="632" w:type="pct"/>
            <w:tcBorders>
              <w:top w:val="single" w:sz="4" w:space="0" w:color="auto"/>
              <w:left w:val="single" w:sz="4" w:space="0" w:color="auto"/>
              <w:bottom w:val="single" w:sz="4" w:space="0" w:color="auto"/>
              <w:right w:val="single" w:sz="4" w:space="0" w:color="auto"/>
            </w:tcBorders>
          </w:tcPr>
          <w:p w14:paraId="0456976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8FA5203" w14:textId="77777777" w:rsidR="00E57DAA" w:rsidRDefault="00AC4185">
            <w:pPr>
              <w:autoSpaceDE w:val="0"/>
              <w:autoSpaceDN w:val="0"/>
              <w:adjustRightInd w:val="0"/>
              <w:jc w:val="right"/>
              <w:rPr>
                <w:szCs w:val="21"/>
              </w:rPr>
            </w:pPr>
            <w:r>
              <w:t>9,842,755.00</w:t>
            </w:r>
          </w:p>
        </w:tc>
        <w:tc>
          <w:tcPr>
            <w:tcW w:w="914" w:type="pct"/>
            <w:tcBorders>
              <w:top w:val="single" w:sz="4" w:space="0" w:color="auto"/>
              <w:left w:val="single" w:sz="4" w:space="0" w:color="auto"/>
              <w:bottom w:val="single" w:sz="4" w:space="0" w:color="auto"/>
              <w:right w:val="single" w:sz="4" w:space="0" w:color="auto"/>
            </w:tcBorders>
          </w:tcPr>
          <w:p w14:paraId="0628F48A" w14:textId="77777777" w:rsidR="00E57DAA" w:rsidRDefault="00AC4185">
            <w:pPr>
              <w:autoSpaceDE w:val="0"/>
              <w:autoSpaceDN w:val="0"/>
              <w:adjustRightInd w:val="0"/>
              <w:jc w:val="right"/>
              <w:rPr>
                <w:szCs w:val="21"/>
              </w:rPr>
            </w:pPr>
            <w:r>
              <w:t xml:space="preserve">　</w:t>
            </w:r>
          </w:p>
        </w:tc>
      </w:tr>
      <w:tr w:rsidR="00E57DAA" w14:paraId="147BEA9B" w14:textId="77777777">
        <w:tc>
          <w:tcPr>
            <w:tcW w:w="677" w:type="pct"/>
            <w:tcBorders>
              <w:top w:val="single" w:sz="4" w:space="0" w:color="auto"/>
              <w:left w:val="single" w:sz="4" w:space="0" w:color="auto"/>
              <w:bottom w:val="single" w:sz="4" w:space="0" w:color="auto"/>
              <w:right w:val="single" w:sz="4" w:space="0" w:color="auto"/>
            </w:tcBorders>
            <w:vAlign w:val="center"/>
          </w:tcPr>
          <w:p w14:paraId="0B5767EE"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333AD154" w14:textId="77777777" w:rsidR="00E57DAA" w:rsidRDefault="00AC4185">
            <w:pPr>
              <w:autoSpaceDE w:val="0"/>
              <w:autoSpaceDN w:val="0"/>
              <w:adjustRightInd w:val="0"/>
              <w:rPr>
                <w:szCs w:val="21"/>
              </w:rPr>
            </w:pPr>
            <w:r>
              <w:t>平阴山水水泥有限公司</w:t>
            </w:r>
          </w:p>
        </w:tc>
        <w:tc>
          <w:tcPr>
            <w:tcW w:w="633" w:type="pct"/>
            <w:tcBorders>
              <w:top w:val="single" w:sz="4" w:space="0" w:color="auto"/>
              <w:left w:val="single" w:sz="4" w:space="0" w:color="auto"/>
              <w:bottom w:val="single" w:sz="4" w:space="0" w:color="auto"/>
              <w:right w:val="single" w:sz="4" w:space="0" w:color="auto"/>
            </w:tcBorders>
          </w:tcPr>
          <w:p w14:paraId="727D625F" w14:textId="77777777" w:rsidR="00E57DAA" w:rsidRDefault="00AC4185">
            <w:pPr>
              <w:autoSpaceDE w:val="0"/>
              <w:autoSpaceDN w:val="0"/>
              <w:adjustRightInd w:val="0"/>
              <w:jc w:val="right"/>
              <w:rPr>
                <w:szCs w:val="21"/>
              </w:rPr>
            </w:pPr>
            <w:r>
              <w:t>66,978.30</w:t>
            </w:r>
          </w:p>
        </w:tc>
        <w:tc>
          <w:tcPr>
            <w:tcW w:w="632" w:type="pct"/>
            <w:tcBorders>
              <w:top w:val="single" w:sz="4" w:space="0" w:color="auto"/>
              <w:left w:val="single" w:sz="4" w:space="0" w:color="auto"/>
              <w:bottom w:val="single" w:sz="4" w:space="0" w:color="auto"/>
              <w:right w:val="single" w:sz="4" w:space="0" w:color="auto"/>
            </w:tcBorders>
          </w:tcPr>
          <w:p w14:paraId="4F33D51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281BF1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68C03D6" w14:textId="77777777" w:rsidR="00E57DAA" w:rsidRDefault="00AC4185">
            <w:pPr>
              <w:autoSpaceDE w:val="0"/>
              <w:autoSpaceDN w:val="0"/>
              <w:adjustRightInd w:val="0"/>
              <w:jc w:val="right"/>
              <w:rPr>
                <w:szCs w:val="21"/>
              </w:rPr>
            </w:pPr>
            <w:r>
              <w:t xml:space="preserve">　</w:t>
            </w:r>
          </w:p>
        </w:tc>
      </w:tr>
      <w:tr w:rsidR="00E57DAA" w14:paraId="2ABD5EE2" w14:textId="77777777">
        <w:tc>
          <w:tcPr>
            <w:tcW w:w="677" w:type="pct"/>
            <w:tcBorders>
              <w:top w:val="single" w:sz="4" w:space="0" w:color="auto"/>
              <w:left w:val="single" w:sz="4" w:space="0" w:color="auto"/>
              <w:bottom w:val="single" w:sz="4" w:space="0" w:color="auto"/>
              <w:right w:val="single" w:sz="4" w:space="0" w:color="auto"/>
            </w:tcBorders>
            <w:vAlign w:val="center"/>
          </w:tcPr>
          <w:p w14:paraId="70E4092F"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774137D9" w14:textId="77777777" w:rsidR="00E57DAA" w:rsidRDefault="00AC4185">
            <w:pPr>
              <w:autoSpaceDE w:val="0"/>
              <w:autoSpaceDN w:val="0"/>
              <w:adjustRightInd w:val="0"/>
              <w:rPr>
                <w:szCs w:val="21"/>
              </w:rPr>
            </w:pPr>
            <w:r>
              <w:t>朔州山水新时代水泥有限公司</w:t>
            </w:r>
          </w:p>
        </w:tc>
        <w:tc>
          <w:tcPr>
            <w:tcW w:w="633" w:type="pct"/>
            <w:tcBorders>
              <w:top w:val="single" w:sz="4" w:space="0" w:color="auto"/>
              <w:left w:val="single" w:sz="4" w:space="0" w:color="auto"/>
              <w:bottom w:val="single" w:sz="4" w:space="0" w:color="auto"/>
              <w:right w:val="single" w:sz="4" w:space="0" w:color="auto"/>
            </w:tcBorders>
          </w:tcPr>
          <w:p w14:paraId="1C086FB4" w14:textId="77777777" w:rsidR="00E57DAA" w:rsidRDefault="00AC4185">
            <w:pPr>
              <w:autoSpaceDE w:val="0"/>
              <w:autoSpaceDN w:val="0"/>
              <w:adjustRightInd w:val="0"/>
              <w:jc w:val="right"/>
              <w:rPr>
                <w:szCs w:val="21"/>
              </w:rPr>
            </w:pPr>
            <w:r>
              <w:t>2,359.50</w:t>
            </w:r>
          </w:p>
        </w:tc>
        <w:tc>
          <w:tcPr>
            <w:tcW w:w="632" w:type="pct"/>
            <w:tcBorders>
              <w:top w:val="single" w:sz="4" w:space="0" w:color="auto"/>
              <w:left w:val="single" w:sz="4" w:space="0" w:color="auto"/>
              <w:bottom w:val="single" w:sz="4" w:space="0" w:color="auto"/>
              <w:right w:val="single" w:sz="4" w:space="0" w:color="auto"/>
            </w:tcBorders>
          </w:tcPr>
          <w:p w14:paraId="0AB2073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ACB6CA5" w14:textId="77777777" w:rsidR="00E57DAA" w:rsidRDefault="00AC4185">
            <w:pPr>
              <w:autoSpaceDE w:val="0"/>
              <w:autoSpaceDN w:val="0"/>
              <w:adjustRightInd w:val="0"/>
              <w:jc w:val="right"/>
              <w:rPr>
                <w:szCs w:val="21"/>
              </w:rPr>
            </w:pPr>
            <w:r>
              <w:t>2,359.50</w:t>
            </w:r>
          </w:p>
        </w:tc>
        <w:tc>
          <w:tcPr>
            <w:tcW w:w="914" w:type="pct"/>
            <w:tcBorders>
              <w:top w:val="single" w:sz="4" w:space="0" w:color="auto"/>
              <w:left w:val="single" w:sz="4" w:space="0" w:color="auto"/>
              <w:bottom w:val="single" w:sz="4" w:space="0" w:color="auto"/>
              <w:right w:val="single" w:sz="4" w:space="0" w:color="auto"/>
            </w:tcBorders>
          </w:tcPr>
          <w:p w14:paraId="1913E177" w14:textId="77777777" w:rsidR="00E57DAA" w:rsidRDefault="00AC4185">
            <w:pPr>
              <w:autoSpaceDE w:val="0"/>
              <w:autoSpaceDN w:val="0"/>
              <w:adjustRightInd w:val="0"/>
              <w:jc w:val="right"/>
              <w:rPr>
                <w:szCs w:val="21"/>
              </w:rPr>
            </w:pPr>
            <w:r>
              <w:t xml:space="preserve">　</w:t>
            </w:r>
          </w:p>
        </w:tc>
      </w:tr>
      <w:tr w:rsidR="00E57DAA" w14:paraId="200CB66B" w14:textId="77777777">
        <w:tc>
          <w:tcPr>
            <w:tcW w:w="677" w:type="pct"/>
            <w:tcBorders>
              <w:top w:val="single" w:sz="4" w:space="0" w:color="auto"/>
              <w:left w:val="single" w:sz="4" w:space="0" w:color="auto"/>
              <w:bottom w:val="single" w:sz="4" w:space="0" w:color="auto"/>
              <w:right w:val="single" w:sz="4" w:space="0" w:color="auto"/>
            </w:tcBorders>
            <w:vAlign w:val="center"/>
          </w:tcPr>
          <w:p w14:paraId="3DEDD6F9"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685CE43F" w14:textId="77777777" w:rsidR="00E57DAA" w:rsidRDefault="00AC4185">
            <w:pPr>
              <w:autoSpaceDE w:val="0"/>
              <w:autoSpaceDN w:val="0"/>
              <w:adjustRightInd w:val="0"/>
              <w:rPr>
                <w:szCs w:val="21"/>
              </w:rPr>
            </w:pPr>
            <w:r>
              <w:t>甘肃上峰水泥股份有限公司</w:t>
            </w:r>
          </w:p>
        </w:tc>
        <w:tc>
          <w:tcPr>
            <w:tcW w:w="633" w:type="pct"/>
            <w:tcBorders>
              <w:top w:val="single" w:sz="4" w:space="0" w:color="auto"/>
              <w:left w:val="single" w:sz="4" w:space="0" w:color="auto"/>
              <w:bottom w:val="single" w:sz="4" w:space="0" w:color="auto"/>
              <w:right w:val="single" w:sz="4" w:space="0" w:color="auto"/>
            </w:tcBorders>
          </w:tcPr>
          <w:p w14:paraId="4EAD4444" w14:textId="77777777" w:rsidR="00E57DAA" w:rsidRDefault="00AC4185">
            <w:pPr>
              <w:autoSpaceDE w:val="0"/>
              <w:autoSpaceDN w:val="0"/>
              <w:adjustRightInd w:val="0"/>
              <w:jc w:val="right"/>
              <w:rPr>
                <w:szCs w:val="21"/>
              </w:rPr>
            </w:pPr>
            <w:r>
              <w:t>1,000.00</w:t>
            </w:r>
          </w:p>
        </w:tc>
        <w:tc>
          <w:tcPr>
            <w:tcW w:w="632" w:type="pct"/>
            <w:tcBorders>
              <w:top w:val="single" w:sz="4" w:space="0" w:color="auto"/>
              <w:left w:val="single" w:sz="4" w:space="0" w:color="auto"/>
              <w:bottom w:val="single" w:sz="4" w:space="0" w:color="auto"/>
              <w:right w:val="single" w:sz="4" w:space="0" w:color="auto"/>
            </w:tcBorders>
          </w:tcPr>
          <w:p w14:paraId="6820B67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A043A2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F371AD2" w14:textId="77777777" w:rsidR="00E57DAA" w:rsidRDefault="00AC4185">
            <w:pPr>
              <w:autoSpaceDE w:val="0"/>
              <w:autoSpaceDN w:val="0"/>
              <w:adjustRightInd w:val="0"/>
              <w:jc w:val="right"/>
              <w:rPr>
                <w:szCs w:val="21"/>
              </w:rPr>
            </w:pPr>
            <w:r>
              <w:t xml:space="preserve">　</w:t>
            </w:r>
          </w:p>
        </w:tc>
      </w:tr>
      <w:tr w:rsidR="00E57DAA" w14:paraId="1CCDD630" w14:textId="77777777">
        <w:tc>
          <w:tcPr>
            <w:tcW w:w="677" w:type="pct"/>
            <w:tcBorders>
              <w:top w:val="single" w:sz="4" w:space="0" w:color="auto"/>
              <w:left w:val="single" w:sz="4" w:space="0" w:color="auto"/>
              <w:bottom w:val="single" w:sz="4" w:space="0" w:color="auto"/>
              <w:right w:val="single" w:sz="4" w:space="0" w:color="auto"/>
            </w:tcBorders>
            <w:vAlign w:val="center"/>
          </w:tcPr>
          <w:p w14:paraId="22BEEF54"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11F035CC" w14:textId="77777777" w:rsidR="00E57DAA" w:rsidRDefault="00AC4185">
            <w:pPr>
              <w:autoSpaceDE w:val="0"/>
              <w:autoSpaceDN w:val="0"/>
              <w:adjustRightInd w:val="0"/>
              <w:rPr>
                <w:szCs w:val="21"/>
              </w:rPr>
            </w:pPr>
            <w:r>
              <w:t>平阴山水建筑材料有限公司</w:t>
            </w:r>
          </w:p>
        </w:tc>
        <w:tc>
          <w:tcPr>
            <w:tcW w:w="633" w:type="pct"/>
            <w:tcBorders>
              <w:top w:val="single" w:sz="4" w:space="0" w:color="auto"/>
              <w:left w:val="single" w:sz="4" w:space="0" w:color="auto"/>
              <w:bottom w:val="single" w:sz="4" w:space="0" w:color="auto"/>
              <w:right w:val="single" w:sz="4" w:space="0" w:color="auto"/>
            </w:tcBorders>
          </w:tcPr>
          <w:p w14:paraId="474C832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D4FC01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789EFAD" w14:textId="77777777" w:rsidR="00E57DAA" w:rsidRDefault="00AC4185">
            <w:pPr>
              <w:autoSpaceDE w:val="0"/>
              <w:autoSpaceDN w:val="0"/>
              <w:adjustRightInd w:val="0"/>
              <w:jc w:val="right"/>
              <w:rPr>
                <w:szCs w:val="21"/>
              </w:rPr>
            </w:pPr>
            <w:r>
              <w:t>198,133.43</w:t>
            </w:r>
          </w:p>
        </w:tc>
        <w:tc>
          <w:tcPr>
            <w:tcW w:w="914" w:type="pct"/>
            <w:tcBorders>
              <w:top w:val="single" w:sz="4" w:space="0" w:color="auto"/>
              <w:left w:val="single" w:sz="4" w:space="0" w:color="auto"/>
              <w:bottom w:val="single" w:sz="4" w:space="0" w:color="auto"/>
              <w:right w:val="single" w:sz="4" w:space="0" w:color="auto"/>
            </w:tcBorders>
          </w:tcPr>
          <w:p w14:paraId="61BCA333" w14:textId="77777777" w:rsidR="00E57DAA" w:rsidRDefault="00AC4185">
            <w:pPr>
              <w:autoSpaceDE w:val="0"/>
              <w:autoSpaceDN w:val="0"/>
              <w:adjustRightInd w:val="0"/>
              <w:jc w:val="right"/>
              <w:rPr>
                <w:szCs w:val="21"/>
              </w:rPr>
            </w:pPr>
            <w:r>
              <w:t xml:space="preserve">　</w:t>
            </w:r>
          </w:p>
        </w:tc>
      </w:tr>
      <w:tr w:rsidR="00E57DAA" w14:paraId="5B99EC6F" w14:textId="77777777">
        <w:tc>
          <w:tcPr>
            <w:tcW w:w="677" w:type="pct"/>
            <w:tcBorders>
              <w:top w:val="single" w:sz="4" w:space="0" w:color="auto"/>
              <w:left w:val="single" w:sz="4" w:space="0" w:color="auto"/>
              <w:bottom w:val="single" w:sz="4" w:space="0" w:color="auto"/>
              <w:right w:val="single" w:sz="4" w:space="0" w:color="auto"/>
            </w:tcBorders>
            <w:vAlign w:val="center"/>
          </w:tcPr>
          <w:p w14:paraId="1F9EB02E" w14:textId="77777777" w:rsidR="00E57DAA" w:rsidRDefault="00AC4185">
            <w:pPr>
              <w:autoSpaceDE w:val="0"/>
              <w:autoSpaceDN w:val="0"/>
              <w:adjustRightInd w:val="0"/>
              <w:rPr>
                <w:szCs w:val="21"/>
              </w:rPr>
            </w:pPr>
            <w:r>
              <w:t>预付账款</w:t>
            </w:r>
          </w:p>
        </w:tc>
        <w:tc>
          <w:tcPr>
            <w:tcW w:w="1441" w:type="pct"/>
            <w:tcBorders>
              <w:top w:val="single" w:sz="4" w:space="0" w:color="auto"/>
              <w:left w:val="single" w:sz="4" w:space="0" w:color="auto"/>
              <w:bottom w:val="single" w:sz="4" w:space="0" w:color="auto"/>
              <w:right w:val="single" w:sz="4" w:space="0" w:color="auto"/>
            </w:tcBorders>
          </w:tcPr>
          <w:p w14:paraId="25D985CA" w14:textId="77777777" w:rsidR="00E57DAA" w:rsidRDefault="00AC4185">
            <w:pPr>
              <w:autoSpaceDE w:val="0"/>
              <w:autoSpaceDN w:val="0"/>
              <w:adjustRightInd w:val="0"/>
              <w:rPr>
                <w:szCs w:val="21"/>
              </w:rPr>
            </w:pPr>
            <w:r>
              <w:t>烟台山水水泥有限公司</w:t>
            </w:r>
          </w:p>
        </w:tc>
        <w:tc>
          <w:tcPr>
            <w:tcW w:w="633" w:type="pct"/>
            <w:tcBorders>
              <w:top w:val="single" w:sz="4" w:space="0" w:color="auto"/>
              <w:left w:val="single" w:sz="4" w:space="0" w:color="auto"/>
              <w:bottom w:val="single" w:sz="4" w:space="0" w:color="auto"/>
              <w:right w:val="single" w:sz="4" w:space="0" w:color="auto"/>
            </w:tcBorders>
          </w:tcPr>
          <w:p w14:paraId="24EE6F4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A2EAE0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BD85E0D" w14:textId="77777777" w:rsidR="00E57DAA" w:rsidRDefault="00AC4185">
            <w:pPr>
              <w:autoSpaceDE w:val="0"/>
              <w:autoSpaceDN w:val="0"/>
              <w:adjustRightInd w:val="0"/>
              <w:jc w:val="right"/>
              <w:rPr>
                <w:szCs w:val="21"/>
              </w:rPr>
            </w:pPr>
            <w:r>
              <w:t>40,000.00</w:t>
            </w:r>
          </w:p>
        </w:tc>
        <w:tc>
          <w:tcPr>
            <w:tcW w:w="914" w:type="pct"/>
            <w:tcBorders>
              <w:top w:val="single" w:sz="4" w:space="0" w:color="auto"/>
              <w:left w:val="single" w:sz="4" w:space="0" w:color="auto"/>
              <w:bottom w:val="single" w:sz="4" w:space="0" w:color="auto"/>
              <w:right w:val="single" w:sz="4" w:space="0" w:color="auto"/>
            </w:tcBorders>
          </w:tcPr>
          <w:p w14:paraId="569CE214" w14:textId="77777777" w:rsidR="00E57DAA" w:rsidRDefault="00AC4185">
            <w:pPr>
              <w:autoSpaceDE w:val="0"/>
              <w:autoSpaceDN w:val="0"/>
              <w:adjustRightInd w:val="0"/>
              <w:jc w:val="right"/>
              <w:rPr>
                <w:szCs w:val="21"/>
              </w:rPr>
            </w:pPr>
            <w:r>
              <w:t xml:space="preserve">　</w:t>
            </w:r>
          </w:p>
        </w:tc>
      </w:tr>
      <w:tr w:rsidR="00E57DAA" w14:paraId="2AEFA5AB" w14:textId="77777777">
        <w:tc>
          <w:tcPr>
            <w:tcW w:w="677" w:type="pct"/>
            <w:tcBorders>
              <w:top w:val="single" w:sz="4" w:space="0" w:color="auto"/>
              <w:left w:val="single" w:sz="4" w:space="0" w:color="auto"/>
              <w:bottom w:val="single" w:sz="4" w:space="0" w:color="auto"/>
              <w:right w:val="single" w:sz="4" w:space="0" w:color="auto"/>
            </w:tcBorders>
            <w:vAlign w:val="center"/>
          </w:tcPr>
          <w:p w14:paraId="3B104FFE"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7BD98BCD" w14:textId="77777777" w:rsidR="00E57DAA" w:rsidRDefault="00AC4185">
            <w:pPr>
              <w:autoSpaceDE w:val="0"/>
              <w:autoSpaceDN w:val="0"/>
              <w:adjustRightInd w:val="0"/>
              <w:rPr>
                <w:szCs w:val="21"/>
              </w:rPr>
            </w:pPr>
            <w:r>
              <w:t>联营企业</w:t>
            </w:r>
          </w:p>
        </w:tc>
        <w:tc>
          <w:tcPr>
            <w:tcW w:w="633" w:type="pct"/>
            <w:tcBorders>
              <w:top w:val="single" w:sz="4" w:space="0" w:color="auto"/>
              <w:left w:val="single" w:sz="4" w:space="0" w:color="auto"/>
              <w:bottom w:val="single" w:sz="4" w:space="0" w:color="auto"/>
              <w:right w:val="single" w:sz="4" w:space="0" w:color="auto"/>
            </w:tcBorders>
          </w:tcPr>
          <w:p w14:paraId="63D5311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4C8C4F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539763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8785207" w14:textId="77777777" w:rsidR="00E57DAA" w:rsidRDefault="00AC4185">
            <w:pPr>
              <w:autoSpaceDE w:val="0"/>
              <w:autoSpaceDN w:val="0"/>
              <w:adjustRightInd w:val="0"/>
              <w:jc w:val="right"/>
              <w:rPr>
                <w:szCs w:val="21"/>
              </w:rPr>
            </w:pPr>
            <w:r>
              <w:t xml:space="preserve">　</w:t>
            </w:r>
          </w:p>
        </w:tc>
      </w:tr>
      <w:tr w:rsidR="00E57DAA" w14:paraId="4F929BB8" w14:textId="77777777">
        <w:tc>
          <w:tcPr>
            <w:tcW w:w="677" w:type="pct"/>
            <w:tcBorders>
              <w:top w:val="single" w:sz="4" w:space="0" w:color="auto"/>
              <w:left w:val="single" w:sz="4" w:space="0" w:color="auto"/>
              <w:bottom w:val="single" w:sz="4" w:space="0" w:color="auto"/>
              <w:right w:val="single" w:sz="4" w:space="0" w:color="auto"/>
            </w:tcBorders>
            <w:vAlign w:val="center"/>
          </w:tcPr>
          <w:p w14:paraId="46B363C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B073D74" w14:textId="77777777" w:rsidR="00E57DAA" w:rsidRDefault="00AC4185">
            <w:pPr>
              <w:autoSpaceDE w:val="0"/>
              <w:autoSpaceDN w:val="0"/>
              <w:adjustRightInd w:val="0"/>
              <w:rPr>
                <w:szCs w:val="21"/>
              </w:rPr>
            </w:pPr>
            <w:r>
              <w:t>中建（淄博）重型机械有限公司</w:t>
            </w:r>
          </w:p>
        </w:tc>
        <w:tc>
          <w:tcPr>
            <w:tcW w:w="633" w:type="pct"/>
            <w:tcBorders>
              <w:top w:val="single" w:sz="4" w:space="0" w:color="auto"/>
              <w:left w:val="single" w:sz="4" w:space="0" w:color="auto"/>
              <w:bottom w:val="single" w:sz="4" w:space="0" w:color="auto"/>
              <w:right w:val="single" w:sz="4" w:space="0" w:color="auto"/>
            </w:tcBorders>
          </w:tcPr>
          <w:p w14:paraId="0FCD7086" w14:textId="77777777" w:rsidR="00E57DAA" w:rsidRDefault="00AC4185">
            <w:pPr>
              <w:autoSpaceDE w:val="0"/>
              <w:autoSpaceDN w:val="0"/>
              <w:adjustRightInd w:val="0"/>
              <w:jc w:val="right"/>
              <w:rPr>
                <w:szCs w:val="21"/>
              </w:rPr>
            </w:pPr>
            <w:r>
              <w:t>55,122,167.50</w:t>
            </w:r>
          </w:p>
        </w:tc>
        <w:tc>
          <w:tcPr>
            <w:tcW w:w="632" w:type="pct"/>
            <w:tcBorders>
              <w:top w:val="single" w:sz="4" w:space="0" w:color="auto"/>
              <w:left w:val="single" w:sz="4" w:space="0" w:color="auto"/>
              <w:bottom w:val="single" w:sz="4" w:space="0" w:color="auto"/>
              <w:right w:val="single" w:sz="4" w:space="0" w:color="auto"/>
            </w:tcBorders>
          </w:tcPr>
          <w:p w14:paraId="57626F03" w14:textId="77777777" w:rsidR="00E57DAA" w:rsidRDefault="00AC4185">
            <w:pPr>
              <w:autoSpaceDE w:val="0"/>
              <w:autoSpaceDN w:val="0"/>
              <w:adjustRightInd w:val="0"/>
              <w:jc w:val="right"/>
              <w:rPr>
                <w:szCs w:val="21"/>
              </w:rPr>
            </w:pPr>
            <w:r>
              <w:t>18,620,635.63</w:t>
            </w:r>
          </w:p>
        </w:tc>
        <w:tc>
          <w:tcPr>
            <w:tcW w:w="703" w:type="pct"/>
            <w:tcBorders>
              <w:top w:val="single" w:sz="4" w:space="0" w:color="auto"/>
              <w:left w:val="single" w:sz="4" w:space="0" w:color="auto"/>
              <w:bottom w:val="single" w:sz="4" w:space="0" w:color="auto"/>
              <w:right w:val="single" w:sz="4" w:space="0" w:color="auto"/>
            </w:tcBorders>
          </w:tcPr>
          <w:p w14:paraId="7649B7FA" w14:textId="77777777" w:rsidR="00E57DAA" w:rsidRDefault="00AC4185">
            <w:pPr>
              <w:autoSpaceDE w:val="0"/>
              <w:autoSpaceDN w:val="0"/>
              <w:adjustRightInd w:val="0"/>
              <w:jc w:val="right"/>
              <w:rPr>
                <w:szCs w:val="21"/>
              </w:rPr>
            </w:pPr>
            <w:r>
              <w:t>63,692,267.45</w:t>
            </w:r>
          </w:p>
        </w:tc>
        <w:tc>
          <w:tcPr>
            <w:tcW w:w="914" w:type="pct"/>
            <w:tcBorders>
              <w:top w:val="single" w:sz="4" w:space="0" w:color="auto"/>
              <w:left w:val="single" w:sz="4" w:space="0" w:color="auto"/>
              <w:bottom w:val="single" w:sz="4" w:space="0" w:color="auto"/>
              <w:right w:val="single" w:sz="4" w:space="0" w:color="auto"/>
            </w:tcBorders>
          </w:tcPr>
          <w:p w14:paraId="0523F5A0" w14:textId="77777777" w:rsidR="00E57DAA" w:rsidRDefault="00AC4185">
            <w:pPr>
              <w:autoSpaceDE w:val="0"/>
              <w:autoSpaceDN w:val="0"/>
              <w:adjustRightInd w:val="0"/>
              <w:jc w:val="right"/>
              <w:rPr>
                <w:szCs w:val="21"/>
              </w:rPr>
            </w:pPr>
            <w:r>
              <w:t>11,848,528.12</w:t>
            </w:r>
          </w:p>
        </w:tc>
      </w:tr>
      <w:tr w:rsidR="00E57DAA" w14:paraId="386BCD6B" w14:textId="77777777">
        <w:tc>
          <w:tcPr>
            <w:tcW w:w="677" w:type="pct"/>
            <w:tcBorders>
              <w:top w:val="single" w:sz="4" w:space="0" w:color="auto"/>
              <w:left w:val="single" w:sz="4" w:space="0" w:color="auto"/>
              <w:bottom w:val="single" w:sz="4" w:space="0" w:color="auto"/>
              <w:right w:val="single" w:sz="4" w:space="0" w:color="auto"/>
            </w:tcBorders>
            <w:vAlign w:val="center"/>
          </w:tcPr>
          <w:p w14:paraId="466CBC3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47D1957" w14:textId="77777777" w:rsidR="00E57DAA" w:rsidRDefault="00AC4185">
            <w:pPr>
              <w:autoSpaceDE w:val="0"/>
              <w:autoSpaceDN w:val="0"/>
              <w:adjustRightInd w:val="0"/>
              <w:rPr>
                <w:szCs w:val="21"/>
              </w:rPr>
            </w:pPr>
            <w:r>
              <w:t>中国建材尼日利亚新材料有限公司</w:t>
            </w:r>
          </w:p>
        </w:tc>
        <w:tc>
          <w:tcPr>
            <w:tcW w:w="633" w:type="pct"/>
            <w:tcBorders>
              <w:top w:val="single" w:sz="4" w:space="0" w:color="auto"/>
              <w:left w:val="single" w:sz="4" w:space="0" w:color="auto"/>
              <w:bottom w:val="single" w:sz="4" w:space="0" w:color="auto"/>
              <w:right w:val="single" w:sz="4" w:space="0" w:color="auto"/>
            </w:tcBorders>
          </w:tcPr>
          <w:p w14:paraId="5E420182" w14:textId="77777777" w:rsidR="00E57DAA" w:rsidRDefault="00AC4185">
            <w:pPr>
              <w:autoSpaceDE w:val="0"/>
              <w:autoSpaceDN w:val="0"/>
              <w:adjustRightInd w:val="0"/>
              <w:jc w:val="right"/>
              <w:rPr>
                <w:szCs w:val="21"/>
              </w:rPr>
            </w:pPr>
            <w:r>
              <w:t>1,210,157.42</w:t>
            </w:r>
          </w:p>
        </w:tc>
        <w:tc>
          <w:tcPr>
            <w:tcW w:w="632" w:type="pct"/>
            <w:tcBorders>
              <w:top w:val="single" w:sz="4" w:space="0" w:color="auto"/>
              <w:left w:val="single" w:sz="4" w:space="0" w:color="auto"/>
              <w:bottom w:val="single" w:sz="4" w:space="0" w:color="auto"/>
              <w:right w:val="single" w:sz="4" w:space="0" w:color="auto"/>
            </w:tcBorders>
          </w:tcPr>
          <w:p w14:paraId="2540CF70" w14:textId="77777777" w:rsidR="00E57DAA" w:rsidRDefault="00AC4185">
            <w:pPr>
              <w:autoSpaceDE w:val="0"/>
              <w:autoSpaceDN w:val="0"/>
              <w:adjustRightInd w:val="0"/>
              <w:jc w:val="right"/>
              <w:rPr>
                <w:szCs w:val="21"/>
              </w:rPr>
            </w:pPr>
            <w:r>
              <w:t>124,852.10</w:t>
            </w:r>
          </w:p>
        </w:tc>
        <w:tc>
          <w:tcPr>
            <w:tcW w:w="703" w:type="pct"/>
            <w:tcBorders>
              <w:top w:val="single" w:sz="4" w:space="0" w:color="auto"/>
              <w:left w:val="single" w:sz="4" w:space="0" w:color="auto"/>
              <w:bottom w:val="single" w:sz="4" w:space="0" w:color="auto"/>
              <w:right w:val="single" w:sz="4" w:space="0" w:color="auto"/>
            </w:tcBorders>
          </w:tcPr>
          <w:p w14:paraId="4262D527" w14:textId="77777777" w:rsidR="00E57DAA" w:rsidRDefault="00AC4185">
            <w:pPr>
              <w:autoSpaceDE w:val="0"/>
              <w:autoSpaceDN w:val="0"/>
              <w:adjustRightInd w:val="0"/>
              <w:jc w:val="right"/>
              <w:rPr>
                <w:szCs w:val="21"/>
              </w:rPr>
            </w:pPr>
            <w:r>
              <w:t>26,452,487.42</w:t>
            </w:r>
          </w:p>
        </w:tc>
        <w:tc>
          <w:tcPr>
            <w:tcW w:w="914" w:type="pct"/>
            <w:tcBorders>
              <w:top w:val="single" w:sz="4" w:space="0" w:color="auto"/>
              <w:left w:val="single" w:sz="4" w:space="0" w:color="auto"/>
              <w:bottom w:val="single" w:sz="4" w:space="0" w:color="auto"/>
              <w:right w:val="single" w:sz="4" w:space="0" w:color="auto"/>
            </w:tcBorders>
          </w:tcPr>
          <w:p w14:paraId="64980E5C" w14:textId="77777777" w:rsidR="00E57DAA" w:rsidRDefault="00AC4185">
            <w:pPr>
              <w:autoSpaceDE w:val="0"/>
              <w:autoSpaceDN w:val="0"/>
              <w:adjustRightInd w:val="0"/>
              <w:jc w:val="right"/>
              <w:rPr>
                <w:szCs w:val="21"/>
              </w:rPr>
            </w:pPr>
            <w:r>
              <w:t>555,502.24</w:t>
            </w:r>
          </w:p>
        </w:tc>
      </w:tr>
      <w:tr w:rsidR="00E57DAA" w14:paraId="74EAC137" w14:textId="77777777">
        <w:tc>
          <w:tcPr>
            <w:tcW w:w="677" w:type="pct"/>
            <w:tcBorders>
              <w:top w:val="single" w:sz="4" w:space="0" w:color="auto"/>
              <w:left w:val="single" w:sz="4" w:space="0" w:color="auto"/>
              <w:bottom w:val="single" w:sz="4" w:space="0" w:color="auto"/>
              <w:right w:val="single" w:sz="4" w:space="0" w:color="auto"/>
            </w:tcBorders>
            <w:vAlign w:val="center"/>
          </w:tcPr>
          <w:p w14:paraId="1AB44E3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229BE12" w14:textId="77777777" w:rsidR="00E57DAA" w:rsidRDefault="00AC4185">
            <w:pPr>
              <w:autoSpaceDE w:val="0"/>
              <w:autoSpaceDN w:val="0"/>
              <w:adjustRightInd w:val="0"/>
              <w:rPr>
                <w:szCs w:val="21"/>
              </w:rPr>
            </w:pPr>
            <w:r>
              <w:t>安徽长江环境科技有限公司</w:t>
            </w:r>
          </w:p>
        </w:tc>
        <w:tc>
          <w:tcPr>
            <w:tcW w:w="633" w:type="pct"/>
            <w:tcBorders>
              <w:top w:val="single" w:sz="4" w:space="0" w:color="auto"/>
              <w:left w:val="single" w:sz="4" w:space="0" w:color="auto"/>
              <w:bottom w:val="single" w:sz="4" w:space="0" w:color="auto"/>
              <w:right w:val="single" w:sz="4" w:space="0" w:color="auto"/>
            </w:tcBorders>
          </w:tcPr>
          <w:p w14:paraId="666D7873" w14:textId="77777777" w:rsidR="00E57DAA" w:rsidRDefault="00AC4185">
            <w:pPr>
              <w:autoSpaceDE w:val="0"/>
              <w:autoSpaceDN w:val="0"/>
              <w:adjustRightInd w:val="0"/>
              <w:jc w:val="right"/>
              <w:rPr>
                <w:szCs w:val="21"/>
              </w:rPr>
            </w:pPr>
            <w:r>
              <w:t>521,653.18</w:t>
            </w:r>
          </w:p>
        </w:tc>
        <w:tc>
          <w:tcPr>
            <w:tcW w:w="632" w:type="pct"/>
            <w:tcBorders>
              <w:top w:val="single" w:sz="4" w:space="0" w:color="auto"/>
              <w:left w:val="single" w:sz="4" w:space="0" w:color="auto"/>
              <w:bottom w:val="single" w:sz="4" w:space="0" w:color="auto"/>
              <w:right w:val="single" w:sz="4" w:space="0" w:color="auto"/>
            </w:tcBorders>
          </w:tcPr>
          <w:p w14:paraId="10B2D1A9" w14:textId="77777777" w:rsidR="00E57DAA" w:rsidRDefault="00AC4185">
            <w:pPr>
              <w:autoSpaceDE w:val="0"/>
              <w:autoSpaceDN w:val="0"/>
              <w:adjustRightInd w:val="0"/>
              <w:jc w:val="right"/>
              <w:rPr>
                <w:szCs w:val="21"/>
              </w:rPr>
            </w:pPr>
            <w:r>
              <w:t>31,483.93</w:t>
            </w:r>
          </w:p>
        </w:tc>
        <w:tc>
          <w:tcPr>
            <w:tcW w:w="703" w:type="pct"/>
            <w:tcBorders>
              <w:top w:val="single" w:sz="4" w:space="0" w:color="auto"/>
              <w:left w:val="single" w:sz="4" w:space="0" w:color="auto"/>
              <w:bottom w:val="single" w:sz="4" w:space="0" w:color="auto"/>
              <w:right w:val="single" w:sz="4" w:space="0" w:color="auto"/>
            </w:tcBorders>
          </w:tcPr>
          <w:p w14:paraId="3721F9DE" w14:textId="77777777" w:rsidR="00E57DAA" w:rsidRDefault="00AC4185">
            <w:pPr>
              <w:autoSpaceDE w:val="0"/>
              <w:autoSpaceDN w:val="0"/>
              <w:adjustRightInd w:val="0"/>
              <w:jc w:val="right"/>
              <w:rPr>
                <w:szCs w:val="21"/>
              </w:rPr>
            </w:pPr>
            <w:r>
              <w:t>179,921.94</w:t>
            </w:r>
          </w:p>
        </w:tc>
        <w:tc>
          <w:tcPr>
            <w:tcW w:w="914" w:type="pct"/>
            <w:tcBorders>
              <w:top w:val="single" w:sz="4" w:space="0" w:color="auto"/>
              <w:left w:val="single" w:sz="4" w:space="0" w:color="auto"/>
              <w:bottom w:val="single" w:sz="4" w:space="0" w:color="auto"/>
              <w:right w:val="single" w:sz="4" w:space="0" w:color="auto"/>
            </w:tcBorders>
          </w:tcPr>
          <w:p w14:paraId="2D7B7957" w14:textId="77777777" w:rsidR="00E57DAA" w:rsidRDefault="00AC4185">
            <w:pPr>
              <w:autoSpaceDE w:val="0"/>
              <w:autoSpaceDN w:val="0"/>
              <w:adjustRightInd w:val="0"/>
              <w:jc w:val="right"/>
              <w:rPr>
                <w:szCs w:val="21"/>
              </w:rPr>
            </w:pPr>
            <w:r>
              <w:t>3,778.36</w:t>
            </w:r>
          </w:p>
        </w:tc>
      </w:tr>
      <w:tr w:rsidR="00E57DAA" w14:paraId="06A4996F" w14:textId="77777777">
        <w:tc>
          <w:tcPr>
            <w:tcW w:w="677" w:type="pct"/>
            <w:tcBorders>
              <w:top w:val="single" w:sz="4" w:space="0" w:color="auto"/>
              <w:left w:val="single" w:sz="4" w:space="0" w:color="auto"/>
              <w:bottom w:val="single" w:sz="4" w:space="0" w:color="auto"/>
              <w:right w:val="single" w:sz="4" w:space="0" w:color="auto"/>
            </w:tcBorders>
            <w:vAlign w:val="center"/>
          </w:tcPr>
          <w:p w14:paraId="6D03472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1CE6E47" w14:textId="77777777" w:rsidR="00E57DAA" w:rsidRDefault="00AC4185">
            <w:pPr>
              <w:autoSpaceDE w:val="0"/>
              <w:autoSpaceDN w:val="0"/>
              <w:adjustRightInd w:val="0"/>
              <w:rPr>
                <w:szCs w:val="21"/>
              </w:rPr>
            </w:pPr>
            <w:r>
              <w:t>葛洲坝中材洁新（武汉）有限公司</w:t>
            </w:r>
          </w:p>
        </w:tc>
        <w:tc>
          <w:tcPr>
            <w:tcW w:w="633" w:type="pct"/>
            <w:tcBorders>
              <w:top w:val="single" w:sz="4" w:space="0" w:color="auto"/>
              <w:left w:val="single" w:sz="4" w:space="0" w:color="auto"/>
              <w:bottom w:val="single" w:sz="4" w:space="0" w:color="auto"/>
              <w:right w:val="single" w:sz="4" w:space="0" w:color="auto"/>
            </w:tcBorders>
          </w:tcPr>
          <w:p w14:paraId="5769670B" w14:textId="77777777" w:rsidR="00E57DAA" w:rsidRDefault="00AC4185">
            <w:pPr>
              <w:autoSpaceDE w:val="0"/>
              <w:autoSpaceDN w:val="0"/>
              <w:adjustRightInd w:val="0"/>
              <w:jc w:val="right"/>
              <w:rPr>
                <w:szCs w:val="21"/>
              </w:rPr>
            </w:pPr>
            <w:r>
              <w:t>290,000.00</w:t>
            </w:r>
          </w:p>
        </w:tc>
        <w:tc>
          <w:tcPr>
            <w:tcW w:w="632" w:type="pct"/>
            <w:tcBorders>
              <w:top w:val="single" w:sz="4" w:space="0" w:color="auto"/>
              <w:left w:val="single" w:sz="4" w:space="0" w:color="auto"/>
              <w:bottom w:val="single" w:sz="4" w:space="0" w:color="auto"/>
              <w:right w:val="single" w:sz="4" w:space="0" w:color="auto"/>
            </w:tcBorders>
          </w:tcPr>
          <w:p w14:paraId="01A2F541" w14:textId="77777777" w:rsidR="00E57DAA" w:rsidRDefault="00AC4185">
            <w:pPr>
              <w:autoSpaceDE w:val="0"/>
              <w:autoSpaceDN w:val="0"/>
              <w:adjustRightInd w:val="0"/>
              <w:jc w:val="right"/>
              <w:rPr>
                <w:szCs w:val="21"/>
              </w:rPr>
            </w:pPr>
            <w:r>
              <w:t>5,800.00</w:t>
            </w:r>
          </w:p>
        </w:tc>
        <w:tc>
          <w:tcPr>
            <w:tcW w:w="703" w:type="pct"/>
            <w:tcBorders>
              <w:top w:val="single" w:sz="4" w:space="0" w:color="auto"/>
              <w:left w:val="single" w:sz="4" w:space="0" w:color="auto"/>
              <w:bottom w:val="single" w:sz="4" w:space="0" w:color="auto"/>
              <w:right w:val="single" w:sz="4" w:space="0" w:color="auto"/>
            </w:tcBorders>
          </w:tcPr>
          <w:p w14:paraId="63A77370" w14:textId="77777777" w:rsidR="00E57DAA" w:rsidRDefault="00AC4185">
            <w:pPr>
              <w:autoSpaceDE w:val="0"/>
              <w:autoSpaceDN w:val="0"/>
              <w:adjustRightInd w:val="0"/>
              <w:jc w:val="right"/>
              <w:rPr>
                <w:szCs w:val="21"/>
              </w:rPr>
            </w:pPr>
            <w:r>
              <w:t>500</w:t>
            </w:r>
          </w:p>
        </w:tc>
        <w:tc>
          <w:tcPr>
            <w:tcW w:w="914" w:type="pct"/>
            <w:tcBorders>
              <w:top w:val="single" w:sz="4" w:space="0" w:color="auto"/>
              <w:left w:val="single" w:sz="4" w:space="0" w:color="auto"/>
              <w:bottom w:val="single" w:sz="4" w:space="0" w:color="auto"/>
              <w:right w:val="single" w:sz="4" w:space="0" w:color="auto"/>
            </w:tcBorders>
          </w:tcPr>
          <w:p w14:paraId="2A046BB4" w14:textId="77777777" w:rsidR="00E57DAA" w:rsidRDefault="00AC4185">
            <w:pPr>
              <w:autoSpaceDE w:val="0"/>
              <w:autoSpaceDN w:val="0"/>
              <w:adjustRightInd w:val="0"/>
              <w:jc w:val="right"/>
              <w:rPr>
                <w:szCs w:val="21"/>
              </w:rPr>
            </w:pPr>
            <w:r>
              <w:t>10.5</w:t>
            </w:r>
          </w:p>
        </w:tc>
      </w:tr>
      <w:tr w:rsidR="00E57DAA" w14:paraId="48F01A70" w14:textId="77777777">
        <w:tc>
          <w:tcPr>
            <w:tcW w:w="677" w:type="pct"/>
            <w:tcBorders>
              <w:top w:val="single" w:sz="4" w:space="0" w:color="auto"/>
              <w:left w:val="single" w:sz="4" w:space="0" w:color="auto"/>
              <w:bottom w:val="single" w:sz="4" w:space="0" w:color="auto"/>
              <w:right w:val="single" w:sz="4" w:space="0" w:color="auto"/>
            </w:tcBorders>
            <w:vAlign w:val="center"/>
          </w:tcPr>
          <w:p w14:paraId="739EDDE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0B42264" w14:textId="77777777" w:rsidR="00E57DAA" w:rsidRDefault="00AC4185">
            <w:pPr>
              <w:autoSpaceDE w:val="0"/>
              <w:autoSpaceDN w:val="0"/>
              <w:adjustRightInd w:val="0"/>
              <w:rPr>
                <w:szCs w:val="21"/>
              </w:rPr>
            </w:pPr>
            <w:r>
              <w:t>安顺中安铁源建设工程有限公司</w:t>
            </w:r>
          </w:p>
        </w:tc>
        <w:tc>
          <w:tcPr>
            <w:tcW w:w="633" w:type="pct"/>
            <w:tcBorders>
              <w:top w:val="single" w:sz="4" w:space="0" w:color="auto"/>
              <w:left w:val="single" w:sz="4" w:space="0" w:color="auto"/>
              <w:bottom w:val="single" w:sz="4" w:space="0" w:color="auto"/>
              <w:right w:val="single" w:sz="4" w:space="0" w:color="auto"/>
            </w:tcBorders>
          </w:tcPr>
          <w:p w14:paraId="09981BCA" w14:textId="77777777" w:rsidR="00E57DAA" w:rsidRDefault="00AC4185">
            <w:pPr>
              <w:autoSpaceDE w:val="0"/>
              <w:autoSpaceDN w:val="0"/>
              <w:adjustRightInd w:val="0"/>
              <w:jc w:val="right"/>
              <w:rPr>
                <w:szCs w:val="21"/>
              </w:rPr>
            </w:pPr>
            <w:r>
              <w:t>162,511.36</w:t>
            </w:r>
          </w:p>
        </w:tc>
        <w:tc>
          <w:tcPr>
            <w:tcW w:w="632" w:type="pct"/>
            <w:tcBorders>
              <w:top w:val="single" w:sz="4" w:space="0" w:color="auto"/>
              <w:left w:val="single" w:sz="4" w:space="0" w:color="auto"/>
              <w:bottom w:val="single" w:sz="4" w:space="0" w:color="auto"/>
              <w:right w:val="single" w:sz="4" w:space="0" w:color="auto"/>
            </w:tcBorders>
          </w:tcPr>
          <w:p w14:paraId="2B6ED679" w14:textId="77777777" w:rsidR="00E57DAA" w:rsidRDefault="00AC4185">
            <w:pPr>
              <w:autoSpaceDE w:val="0"/>
              <w:autoSpaceDN w:val="0"/>
              <w:adjustRightInd w:val="0"/>
              <w:jc w:val="right"/>
              <w:rPr>
                <w:szCs w:val="21"/>
              </w:rPr>
            </w:pPr>
            <w:r>
              <w:t>8,201.84</w:t>
            </w:r>
          </w:p>
        </w:tc>
        <w:tc>
          <w:tcPr>
            <w:tcW w:w="703" w:type="pct"/>
            <w:tcBorders>
              <w:top w:val="single" w:sz="4" w:space="0" w:color="auto"/>
              <w:left w:val="single" w:sz="4" w:space="0" w:color="auto"/>
              <w:bottom w:val="single" w:sz="4" w:space="0" w:color="auto"/>
              <w:right w:val="single" w:sz="4" w:space="0" w:color="auto"/>
            </w:tcBorders>
          </w:tcPr>
          <w:p w14:paraId="56269B60" w14:textId="77777777" w:rsidR="00E57DAA" w:rsidRDefault="00AC4185">
            <w:pPr>
              <w:autoSpaceDE w:val="0"/>
              <w:autoSpaceDN w:val="0"/>
              <w:adjustRightInd w:val="0"/>
              <w:jc w:val="right"/>
              <w:rPr>
                <w:szCs w:val="21"/>
              </w:rPr>
            </w:pPr>
            <w:r>
              <w:t>42,321.44</w:t>
            </w:r>
          </w:p>
        </w:tc>
        <w:tc>
          <w:tcPr>
            <w:tcW w:w="914" w:type="pct"/>
            <w:tcBorders>
              <w:top w:val="single" w:sz="4" w:space="0" w:color="auto"/>
              <w:left w:val="single" w:sz="4" w:space="0" w:color="auto"/>
              <w:bottom w:val="single" w:sz="4" w:space="0" w:color="auto"/>
              <w:right w:val="single" w:sz="4" w:space="0" w:color="auto"/>
            </w:tcBorders>
          </w:tcPr>
          <w:p w14:paraId="22238D4A" w14:textId="77777777" w:rsidR="00E57DAA" w:rsidRDefault="00AC4185">
            <w:pPr>
              <w:autoSpaceDE w:val="0"/>
              <w:autoSpaceDN w:val="0"/>
              <w:adjustRightInd w:val="0"/>
              <w:jc w:val="right"/>
              <w:rPr>
                <w:szCs w:val="21"/>
              </w:rPr>
            </w:pPr>
            <w:r>
              <w:t>888.75</w:t>
            </w:r>
          </w:p>
        </w:tc>
      </w:tr>
      <w:tr w:rsidR="00E57DAA" w14:paraId="1F8BA403" w14:textId="77777777">
        <w:tc>
          <w:tcPr>
            <w:tcW w:w="677" w:type="pct"/>
            <w:tcBorders>
              <w:top w:val="single" w:sz="4" w:space="0" w:color="auto"/>
              <w:left w:val="single" w:sz="4" w:space="0" w:color="auto"/>
              <w:bottom w:val="single" w:sz="4" w:space="0" w:color="auto"/>
              <w:right w:val="single" w:sz="4" w:space="0" w:color="auto"/>
            </w:tcBorders>
            <w:vAlign w:val="center"/>
          </w:tcPr>
          <w:p w14:paraId="3E330A4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71D826F" w14:textId="77777777" w:rsidR="00E57DAA" w:rsidRDefault="00AC4185">
            <w:pPr>
              <w:autoSpaceDE w:val="0"/>
              <w:autoSpaceDN w:val="0"/>
              <w:adjustRightInd w:val="0"/>
              <w:rPr>
                <w:szCs w:val="21"/>
              </w:rPr>
            </w:pPr>
            <w:r>
              <w:t>枞阳南方材料有限公司</w:t>
            </w:r>
          </w:p>
        </w:tc>
        <w:tc>
          <w:tcPr>
            <w:tcW w:w="633" w:type="pct"/>
            <w:tcBorders>
              <w:top w:val="single" w:sz="4" w:space="0" w:color="auto"/>
              <w:left w:val="single" w:sz="4" w:space="0" w:color="auto"/>
              <w:bottom w:val="single" w:sz="4" w:space="0" w:color="auto"/>
              <w:right w:val="single" w:sz="4" w:space="0" w:color="auto"/>
            </w:tcBorders>
          </w:tcPr>
          <w:p w14:paraId="5221AAD9" w14:textId="77777777" w:rsidR="00E57DAA" w:rsidRDefault="00AC4185">
            <w:pPr>
              <w:autoSpaceDE w:val="0"/>
              <w:autoSpaceDN w:val="0"/>
              <w:adjustRightInd w:val="0"/>
              <w:jc w:val="right"/>
              <w:rPr>
                <w:szCs w:val="21"/>
              </w:rPr>
            </w:pPr>
            <w:r>
              <w:t>85,386.48</w:t>
            </w:r>
          </w:p>
        </w:tc>
        <w:tc>
          <w:tcPr>
            <w:tcW w:w="632" w:type="pct"/>
            <w:tcBorders>
              <w:top w:val="single" w:sz="4" w:space="0" w:color="auto"/>
              <w:left w:val="single" w:sz="4" w:space="0" w:color="auto"/>
              <w:bottom w:val="single" w:sz="4" w:space="0" w:color="auto"/>
              <w:right w:val="single" w:sz="4" w:space="0" w:color="auto"/>
            </w:tcBorders>
          </w:tcPr>
          <w:p w14:paraId="70A42E75" w14:textId="77777777" w:rsidR="00E57DAA" w:rsidRDefault="00AC4185">
            <w:pPr>
              <w:autoSpaceDE w:val="0"/>
              <w:autoSpaceDN w:val="0"/>
              <w:adjustRightInd w:val="0"/>
              <w:jc w:val="right"/>
              <w:rPr>
                <w:szCs w:val="21"/>
              </w:rPr>
            </w:pPr>
            <w:r>
              <w:t>1,707.73</w:t>
            </w:r>
          </w:p>
        </w:tc>
        <w:tc>
          <w:tcPr>
            <w:tcW w:w="703" w:type="pct"/>
            <w:tcBorders>
              <w:top w:val="single" w:sz="4" w:space="0" w:color="auto"/>
              <w:left w:val="single" w:sz="4" w:space="0" w:color="auto"/>
              <w:bottom w:val="single" w:sz="4" w:space="0" w:color="auto"/>
              <w:right w:val="single" w:sz="4" w:space="0" w:color="auto"/>
            </w:tcBorders>
          </w:tcPr>
          <w:p w14:paraId="6597205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1C14BF3" w14:textId="77777777" w:rsidR="00E57DAA" w:rsidRDefault="00AC4185">
            <w:pPr>
              <w:autoSpaceDE w:val="0"/>
              <w:autoSpaceDN w:val="0"/>
              <w:adjustRightInd w:val="0"/>
              <w:jc w:val="right"/>
              <w:rPr>
                <w:szCs w:val="21"/>
              </w:rPr>
            </w:pPr>
            <w:r>
              <w:t xml:space="preserve">　</w:t>
            </w:r>
          </w:p>
        </w:tc>
      </w:tr>
      <w:tr w:rsidR="00E57DAA" w14:paraId="08E33A92" w14:textId="77777777">
        <w:tc>
          <w:tcPr>
            <w:tcW w:w="677" w:type="pct"/>
            <w:tcBorders>
              <w:top w:val="single" w:sz="4" w:space="0" w:color="auto"/>
              <w:left w:val="single" w:sz="4" w:space="0" w:color="auto"/>
              <w:bottom w:val="single" w:sz="4" w:space="0" w:color="auto"/>
              <w:right w:val="single" w:sz="4" w:space="0" w:color="auto"/>
            </w:tcBorders>
            <w:vAlign w:val="center"/>
          </w:tcPr>
          <w:p w14:paraId="4B1FCEF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E52FB2C" w14:textId="77777777" w:rsidR="00E57DAA" w:rsidRDefault="00AC4185">
            <w:pPr>
              <w:autoSpaceDE w:val="0"/>
              <w:autoSpaceDN w:val="0"/>
              <w:adjustRightInd w:val="0"/>
              <w:rPr>
                <w:szCs w:val="21"/>
              </w:rPr>
            </w:pPr>
            <w:r>
              <w:t>合肥中亚科技有限责任公司</w:t>
            </w:r>
          </w:p>
        </w:tc>
        <w:tc>
          <w:tcPr>
            <w:tcW w:w="633" w:type="pct"/>
            <w:tcBorders>
              <w:top w:val="single" w:sz="4" w:space="0" w:color="auto"/>
              <w:left w:val="single" w:sz="4" w:space="0" w:color="auto"/>
              <w:bottom w:val="single" w:sz="4" w:space="0" w:color="auto"/>
              <w:right w:val="single" w:sz="4" w:space="0" w:color="auto"/>
            </w:tcBorders>
          </w:tcPr>
          <w:p w14:paraId="707A97FB" w14:textId="77777777" w:rsidR="00E57DAA" w:rsidRDefault="00AC4185">
            <w:pPr>
              <w:autoSpaceDE w:val="0"/>
              <w:autoSpaceDN w:val="0"/>
              <w:adjustRightInd w:val="0"/>
              <w:jc w:val="right"/>
              <w:rPr>
                <w:szCs w:val="21"/>
              </w:rPr>
            </w:pPr>
            <w:r>
              <w:t>12,600.00</w:t>
            </w:r>
          </w:p>
        </w:tc>
        <w:tc>
          <w:tcPr>
            <w:tcW w:w="632" w:type="pct"/>
            <w:tcBorders>
              <w:top w:val="single" w:sz="4" w:space="0" w:color="auto"/>
              <w:left w:val="single" w:sz="4" w:space="0" w:color="auto"/>
              <w:bottom w:val="single" w:sz="4" w:space="0" w:color="auto"/>
              <w:right w:val="single" w:sz="4" w:space="0" w:color="auto"/>
            </w:tcBorders>
          </w:tcPr>
          <w:p w14:paraId="2A255F96" w14:textId="77777777" w:rsidR="00E57DAA" w:rsidRDefault="00AC4185">
            <w:pPr>
              <w:autoSpaceDE w:val="0"/>
              <w:autoSpaceDN w:val="0"/>
              <w:adjustRightInd w:val="0"/>
              <w:jc w:val="right"/>
              <w:rPr>
                <w:szCs w:val="21"/>
              </w:rPr>
            </w:pPr>
            <w:r>
              <w:t>630</w:t>
            </w:r>
          </w:p>
        </w:tc>
        <w:tc>
          <w:tcPr>
            <w:tcW w:w="703" w:type="pct"/>
            <w:tcBorders>
              <w:top w:val="single" w:sz="4" w:space="0" w:color="auto"/>
              <w:left w:val="single" w:sz="4" w:space="0" w:color="auto"/>
              <w:bottom w:val="single" w:sz="4" w:space="0" w:color="auto"/>
              <w:right w:val="single" w:sz="4" w:space="0" w:color="auto"/>
            </w:tcBorders>
          </w:tcPr>
          <w:p w14:paraId="76D0CA7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2F33FCC" w14:textId="77777777" w:rsidR="00E57DAA" w:rsidRDefault="00AC4185">
            <w:pPr>
              <w:autoSpaceDE w:val="0"/>
              <w:autoSpaceDN w:val="0"/>
              <w:adjustRightInd w:val="0"/>
              <w:jc w:val="right"/>
              <w:rPr>
                <w:szCs w:val="21"/>
              </w:rPr>
            </w:pPr>
            <w:r>
              <w:t xml:space="preserve">　</w:t>
            </w:r>
          </w:p>
        </w:tc>
      </w:tr>
      <w:tr w:rsidR="00E57DAA" w14:paraId="5DD0A912" w14:textId="77777777">
        <w:tc>
          <w:tcPr>
            <w:tcW w:w="677" w:type="pct"/>
            <w:tcBorders>
              <w:top w:val="single" w:sz="4" w:space="0" w:color="auto"/>
              <w:left w:val="single" w:sz="4" w:space="0" w:color="auto"/>
              <w:bottom w:val="single" w:sz="4" w:space="0" w:color="auto"/>
              <w:right w:val="single" w:sz="4" w:space="0" w:color="auto"/>
            </w:tcBorders>
            <w:vAlign w:val="center"/>
          </w:tcPr>
          <w:p w14:paraId="104AB52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D136E69" w14:textId="77777777" w:rsidR="00E57DAA" w:rsidRDefault="00AC4185">
            <w:pPr>
              <w:autoSpaceDE w:val="0"/>
              <w:autoSpaceDN w:val="0"/>
              <w:adjustRightInd w:val="0"/>
              <w:rPr>
                <w:szCs w:val="21"/>
              </w:rPr>
            </w:pPr>
            <w:r>
              <w:t>中材膜材料越南公司</w:t>
            </w:r>
          </w:p>
        </w:tc>
        <w:tc>
          <w:tcPr>
            <w:tcW w:w="633" w:type="pct"/>
            <w:tcBorders>
              <w:top w:val="single" w:sz="4" w:space="0" w:color="auto"/>
              <w:left w:val="single" w:sz="4" w:space="0" w:color="auto"/>
              <w:bottom w:val="single" w:sz="4" w:space="0" w:color="auto"/>
              <w:right w:val="single" w:sz="4" w:space="0" w:color="auto"/>
            </w:tcBorders>
          </w:tcPr>
          <w:p w14:paraId="0D7F673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BA6B3B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549696A" w14:textId="77777777" w:rsidR="00E57DAA" w:rsidRDefault="00AC4185">
            <w:pPr>
              <w:autoSpaceDE w:val="0"/>
              <w:autoSpaceDN w:val="0"/>
              <w:adjustRightInd w:val="0"/>
              <w:jc w:val="right"/>
              <w:rPr>
                <w:szCs w:val="21"/>
              </w:rPr>
            </w:pPr>
            <w:r>
              <w:t>182,173.94</w:t>
            </w:r>
          </w:p>
        </w:tc>
        <w:tc>
          <w:tcPr>
            <w:tcW w:w="914" w:type="pct"/>
            <w:tcBorders>
              <w:top w:val="single" w:sz="4" w:space="0" w:color="auto"/>
              <w:left w:val="single" w:sz="4" w:space="0" w:color="auto"/>
              <w:bottom w:val="single" w:sz="4" w:space="0" w:color="auto"/>
              <w:right w:val="single" w:sz="4" w:space="0" w:color="auto"/>
            </w:tcBorders>
          </w:tcPr>
          <w:p w14:paraId="1C5E041E" w14:textId="77777777" w:rsidR="00E57DAA" w:rsidRDefault="00AC4185">
            <w:pPr>
              <w:autoSpaceDE w:val="0"/>
              <w:autoSpaceDN w:val="0"/>
              <w:adjustRightInd w:val="0"/>
              <w:jc w:val="right"/>
              <w:rPr>
                <w:szCs w:val="21"/>
              </w:rPr>
            </w:pPr>
            <w:r>
              <w:t>3,825.65</w:t>
            </w:r>
          </w:p>
        </w:tc>
      </w:tr>
      <w:tr w:rsidR="00E57DAA" w14:paraId="0D99C484" w14:textId="77777777">
        <w:tc>
          <w:tcPr>
            <w:tcW w:w="677" w:type="pct"/>
            <w:tcBorders>
              <w:top w:val="single" w:sz="4" w:space="0" w:color="auto"/>
              <w:left w:val="single" w:sz="4" w:space="0" w:color="auto"/>
              <w:bottom w:val="single" w:sz="4" w:space="0" w:color="auto"/>
              <w:right w:val="single" w:sz="4" w:space="0" w:color="auto"/>
            </w:tcBorders>
            <w:vAlign w:val="center"/>
          </w:tcPr>
          <w:p w14:paraId="28F2FDE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D02F251" w14:textId="77777777" w:rsidR="00E57DAA" w:rsidRDefault="00AC4185">
            <w:pPr>
              <w:autoSpaceDE w:val="0"/>
              <w:autoSpaceDN w:val="0"/>
              <w:adjustRightInd w:val="0"/>
              <w:rPr>
                <w:szCs w:val="21"/>
              </w:rPr>
            </w:pPr>
            <w:r>
              <w:t>中材水泥有限责任公司</w:t>
            </w:r>
          </w:p>
        </w:tc>
        <w:tc>
          <w:tcPr>
            <w:tcW w:w="633" w:type="pct"/>
            <w:tcBorders>
              <w:top w:val="single" w:sz="4" w:space="0" w:color="auto"/>
              <w:left w:val="single" w:sz="4" w:space="0" w:color="auto"/>
              <w:bottom w:val="single" w:sz="4" w:space="0" w:color="auto"/>
              <w:right w:val="single" w:sz="4" w:space="0" w:color="auto"/>
            </w:tcBorders>
          </w:tcPr>
          <w:p w14:paraId="4516C2C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53B0C5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555E484" w14:textId="77777777" w:rsidR="00E57DAA" w:rsidRDefault="00AC4185">
            <w:pPr>
              <w:autoSpaceDE w:val="0"/>
              <w:autoSpaceDN w:val="0"/>
              <w:adjustRightInd w:val="0"/>
              <w:jc w:val="right"/>
              <w:rPr>
                <w:szCs w:val="21"/>
              </w:rPr>
            </w:pPr>
            <w:r>
              <w:t>540,000.00</w:t>
            </w:r>
          </w:p>
        </w:tc>
        <w:tc>
          <w:tcPr>
            <w:tcW w:w="914" w:type="pct"/>
            <w:tcBorders>
              <w:top w:val="single" w:sz="4" w:space="0" w:color="auto"/>
              <w:left w:val="single" w:sz="4" w:space="0" w:color="auto"/>
              <w:bottom w:val="single" w:sz="4" w:space="0" w:color="auto"/>
              <w:right w:val="single" w:sz="4" w:space="0" w:color="auto"/>
            </w:tcBorders>
          </w:tcPr>
          <w:p w14:paraId="1B2C4D2F" w14:textId="77777777" w:rsidR="00E57DAA" w:rsidRDefault="00AC4185">
            <w:pPr>
              <w:autoSpaceDE w:val="0"/>
              <w:autoSpaceDN w:val="0"/>
              <w:adjustRightInd w:val="0"/>
              <w:jc w:val="right"/>
              <w:rPr>
                <w:szCs w:val="21"/>
              </w:rPr>
            </w:pPr>
            <w:r>
              <w:t>31,410.00</w:t>
            </w:r>
          </w:p>
        </w:tc>
      </w:tr>
      <w:tr w:rsidR="00E57DAA" w14:paraId="7C4B7A89" w14:textId="77777777">
        <w:tc>
          <w:tcPr>
            <w:tcW w:w="677" w:type="pct"/>
            <w:tcBorders>
              <w:top w:val="single" w:sz="4" w:space="0" w:color="auto"/>
              <w:left w:val="single" w:sz="4" w:space="0" w:color="auto"/>
              <w:bottom w:val="single" w:sz="4" w:space="0" w:color="auto"/>
              <w:right w:val="single" w:sz="4" w:space="0" w:color="auto"/>
            </w:tcBorders>
            <w:vAlign w:val="center"/>
          </w:tcPr>
          <w:p w14:paraId="5F14B785"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38D152AB"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515D2C6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E7E6EA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367A55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A3F5FD0" w14:textId="77777777" w:rsidR="00E57DAA" w:rsidRDefault="00AC4185">
            <w:pPr>
              <w:autoSpaceDE w:val="0"/>
              <w:autoSpaceDN w:val="0"/>
              <w:adjustRightInd w:val="0"/>
              <w:jc w:val="right"/>
              <w:rPr>
                <w:szCs w:val="21"/>
              </w:rPr>
            </w:pPr>
            <w:r>
              <w:t xml:space="preserve">　</w:t>
            </w:r>
          </w:p>
        </w:tc>
      </w:tr>
      <w:tr w:rsidR="00E57DAA" w14:paraId="1E6D4A5C" w14:textId="77777777">
        <w:tc>
          <w:tcPr>
            <w:tcW w:w="677" w:type="pct"/>
            <w:tcBorders>
              <w:top w:val="single" w:sz="4" w:space="0" w:color="auto"/>
              <w:left w:val="single" w:sz="4" w:space="0" w:color="auto"/>
              <w:bottom w:val="single" w:sz="4" w:space="0" w:color="auto"/>
              <w:right w:val="single" w:sz="4" w:space="0" w:color="auto"/>
            </w:tcBorders>
            <w:vAlign w:val="center"/>
          </w:tcPr>
          <w:p w14:paraId="76A8E10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7CD2B0C" w14:textId="77777777" w:rsidR="00E57DAA" w:rsidRDefault="00AC4185">
            <w:pPr>
              <w:autoSpaceDE w:val="0"/>
              <w:autoSpaceDN w:val="0"/>
              <w:adjustRightInd w:val="0"/>
              <w:rPr>
                <w:szCs w:val="21"/>
              </w:rPr>
            </w:pPr>
            <w:r>
              <w:t>泌阳中联新材料有限公司</w:t>
            </w:r>
          </w:p>
        </w:tc>
        <w:tc>
          <w:tcPr>
            <w:tcW w:w="633" w:type="pct"/>
            <w:tcBorders>
              <w:top w:val="single" w:sz="4" w:space="0" w:color="auto"/>
              <w:left w:val="single" w:sz="4" w:space="0" w:color="auto"/>
              <w:bottom w:val="single" w:sz="4" w:space="0" w:color="auto"/>
              <w:right w:val="single" w:sz="4" w:space="0" w:color="auto"/>
            </w:tcBorders>
          </w:tcPr>
          <w:p w14:paraId="24F9480C" w14:textId="77777777" w:rsidR="00E57DAA" w:rsidRDefault="00AC4185">
            <w:pPr>
              <w:autoSpaceDE w:val="0"/>
              <w:autoSpaceDN w:val="0"/>
              <w:adjustRightInd w:val="0"/>
              <w:jc w:val="right"/>
              <w:rPr>
                <w:szCs w:val="21"/>
              </w:rPr>
            </w:pPr>
            <w:r>
              <w:t>36,022,695.71</w:t>
            </w:r>
          </w:p>
        </w:tc>
        <w:tc>
          <w:tcPr>
            <w:tcW w:w="632" w:type="pct"/>
            <w:tcBorders>
              <w:top w:val="single" w:sz="4" w:space="0" w:color="auto"/>
              <w:left w:val="single" w:sz="4" w:space="0" w:color="auto"/>
              <w:bottom w:val="single" w:sz="4" w:space="0" w:color="auto"/>
              <w:right w:val="single" w:sz="4" w:space="0" w:color="auto"/>
            </w:tcBorders>
          </w:tcPr>
          <w:p w14:paraId="0A4DC24A" w14:textId="77777777" w:rsidR="00E57DAA" w:rsidRDefault="00AC4185">
            <w:pPr>
              <w:autoSpaceDE w:val="0"/>
              <w:autoSpaceDN w:val="0"/>
              <w:adjustRightInd w:val="0"/>
              <w:jc w:val="right"/>
              <w:rPr>
                <w:szCs w:val="21"/>
              </w:rPr>
            </w:pPr>
            <w:r>
              <w:t>3,264,742.61</w:t>
            </w:r>
          </w:p>
        </w:tc>
        <w:tc>
          <w:tcPr>
            <w:tcW w:w="703" w:type="pct"/>
            <w:tcBorders>
              <w:top w:val="single" w:sz="4" w:space="0" w:color="auto"/>
              <w:left w:val="single" w:sz="4" w:space="0" w:color="auto"/>
              <w:bottom w:val="single" w:sz="4" w:space="0" w:color="auto"/>
              <w:right w:val="single" w:sz="4" w:space="0" w:color="auto"/>
            </w:tcBorders>
          </w:tcPr>
          <w:p w14:paraId="642340C3"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3778554D" w14:textId="77777777" w:rsidR="00E57DAA" w:rsidRDefault="00AC4185">
            <w:pPr>
              <w:autoSpaceDE w:val="0"/>
              <w:autoSpaceDN w:val="0"/>
              <w:adjustRightInd w:val="0"/>
              <w:jc w:val="right"/>
              <w:rPr>
                <w:szCs w:val="21"/>
              </w:rPr>
            </w:pPr>
            <w:r>
              <w:t>48,600.00</w:t>
            </w:r>
          </w:p>
        </w:tc>
      </w:tr>
      <w:tr w:rsidR="00E57DAA" w14:paraId="7BAAFEC6" w14:textId="77777777">
        <w:tc>
          <w:tcPr>
            <w:tcW w:w="677" w:type="pct"/>
            <w:tcBorders>
              <w:top w:val="single" w:sz="4" w:space="0" w:color="auto"/>
              <w:left w:val="single" w:sz="4" w:space="0" w:color="auto"/>
              <w:bottom w:val="single" w:sz="4" w:space="0" w:color="auto"/>
              <w:right w:val="single" w:sz="4" w:space="0" w:color="auto"/>
            </w:tcBorders>
            <w:vAlign w:val="center"/>
          </w:tcPr>
          <w:p w14:paraId="61CA67A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CF7C019" w14:textId="77777777" w:rsidR="00E57DAA" w:rsidRDefault="00AC4185">
            <w:pPr>
              <w:autoSpaceDE w:val="0"/>
              <w:autoSpaceDN w:val="0"/>
              <w:adjustRightInd w:val="0"/>
              <w:rPr>
                <w:szCs w:val="21"/>
              </w:rPr>
            </w:pPr>
            <w:r>
              <w:t>贵州天山水泥有限公司</w:t>
            </w:r>
          </w:p>
        </w:tc>
        <w:tc>
          <w:tcPr>
            <w:tcW w:w="633" w:type="pct"/>
            <w:tcBorders>
              <w:top w:val="single" w:sz="4" w:space="0" w:color="auto"/>
              <w:left w:val="single" w:sz="4" w:space="0" w:color="auto"/>
              <w:bottom w:val="single" w:sz="4" w:space="0" w:color="auto"/>
              <w:right w:val="single" w:sz="4" w:space="0" w:color="auto"/>
            </w:tcBorders>
          </w:tcPr>
          <w:p w14:paraId="379142AB" w14:textId="77777777" w:rsidR="00E57DAA" w:rsidRDefault="00AC4185">
            <w:pPr>
              <w:autoSpaceDE w:val="0"/>
              <w:autoSpaceDN w:val="0"/>
              <w:adjustRightInd w:val="0"/>
              <w:jc w:val="right"/>
              <w:rPr>
                <w:szCs w:val="21"/>
              </w:rPr>
            </w:pPr>
            <w:r>
              <w:t>6,285,000.00</w:t>
            </w:r>
          </w:p>
        </w:tc>
        <w:tc>
          <w:tcPr>
            <w:tcW w:w="632" w:type="pct"/>
            <w:tcBorders>
              <w:top w:val="single" w:sz="4" w:space="0" w:color="auto"/>
              <w:left w:val="single" w:sz="4" w:space="0" w:color="auto"/>
              <w:bottom w:val="single" w:sz="4" w:space="0" w:color="auto"/>
              <w:right w:val="single" w:sz="4" w:space="0" w:color="auto"/>
            </w:tcBorders>
          </w:tcPr>
          <w:p w14:paraId="5AB76DD1" w14:textId="77777777" w:rsidR="00E57DAA" w:rsidRDefault="00AC4185">
            <w:pPr>
              <w:autoSpaceDE w:val="0"/>
              <w:autoSpaceDN w:val="0"/>
              <w:adjustRightInd w:val="0"/>
              <w:jc w:val="right"/>
              <w:rPr>
                <w:szCs w:val="21"/>
              </w:rPr>
            </w:pPr>
            <w:r>
              <w:t>396,500.00</w:t>
            </w:r>
          </w:p>
        </w:tc>
        <w:tc>
          <w:tcPr>
            <w:tcW w:w="703" w:type="pct"/>
            <w:tcBorders>
              <w:top w:val="single" w:sz="4" w:space="0" w:color="auto"/>
              <w:left w:val="single" w:sz="4" w:space="0" w:color="auto"/>
              <w:bottom w:val="single" w:sz="4" w:space="0" w:color="auto"/>
              <w:right w:val="single" w:sz="4" w:space="0" w:color="auto"/>
            </w:tcBorders>
          </w:tcPr>
          <w:p w14:paraId="49FCC0A5" w14:textId="77777777" w:rsidR="00E57DAA" w:rsidRDefault="00AC4185">
            <w:pPr>
              <w:autoSpaceDE w:val="0"/>
              <w:autoSpaceDN w:val="0"/>
              <w:adjustRightInd w:val="0"/>
              <w:jc w:val="right"/>
              <w:rPr>
                <w:szCs w:val="21"/>
              </w:rPr>
            </w:pPr>
            <w:r>
              <w:t>6,224,000.00</w:t>
            </w:r>
          </w:p>
        </w:tc>
        <w:tc>
          <w:tcPr>
            <w:tcW w:w="914" w:type="pct"/>
            <w:tcBorders>
              <w:top w:val="single" w:sz="4" w:space="0" w:color="auto"/>
              <w:left w:val="single" w:sz="4" w:space="0" w:color="auto"/>
              <w:bottom w:val="single" w:sz="4" w:space="0" w:color="auto"/>
              <w:right w:val="single" w:sz="4" w:space="0" w:color="auto"/>
            </w:tcBorders>
          </w:tcPr>
          <w:p w14:paraId="00774BFE" w14:textId="77777777" w:rsidR="00E57DAA" w:rsidRDefault="00AC4185">
            <w:pPr>
              <w:autoSpaceDE w:val="0"/>
              <w:autoSpaceDN w:val="0"/>
              <w:adjustRightInd w:val="0"/>
              <w:jc w:val="right"/>
              <w:rPr>
                <w:szCs w:val="21"/>
              </w:rPr>
            </w:pPr>
            <w:r>
              <w:t>209,384.00</w:t>
            </w:r>
          </w:p>
        </w:tc>
      </w:tr>
      <w:tr w:rsidR="00E57DAA" w14:paraId="1EC2DDA0" w14:textId="77777777">
        <w:tc>
          <w:tcPr>
            <w:tcW w:w="677" w:type="pct"/>
            <w:tcBorders>
              <w:top w:val="single" w:sz="4" w:space="0" w:color="auto"/>
              <w:left w:val="single" w:sz="4" w:space="0" w:color="auto"/>
              <w:bottom w:val="single" w:sz="4" w:space="0" w:color="auto"/>
              <w:right w:val="single" w:sz="4" w:space="0" w:color="auto"/>
            </w:tcBorders>
            <w:vAlign w:val="center"/>
          </w:tcPr>
          <w:p w14:paraId="69FCF84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8CD9509" w14:textId="77777777" w:rsidR="00E57DAA" w:rsidRDefault="00AC4185">
            <w:pPr>
              <w:autoSpaceDE w:val="0"/>
              <w:autoSpaceDN w:val="0"/>
              <w:adjustRightInd w:val="0"/>
              <w:rPr>
                <w:szCs w:val="21"/>
              </w:rPr>
            </w:pPr>
            <w:r>
              <w:t>湖南南方水泥集团有限公司</w:t>
            </w:r>
          </w:p>
        </w:tc>
        <w:tc>
          <w:tcPr>
            <w:tcW w:w="633" w:type="pct"/>
            <w:tcBorders>
              <w:top w:val="single" w:sz="4" w:space="0" w:color="auto"/>
              <w:left w:val="single" w:sz="4" w:space="0" w:color="auto"/>
              <w:bottom w:val="single" w:sz="4" w:space="0" w:color="auto"/>
              <w:right w:val="single" w:sz="4" w:space="0" w:color="auto"/>
            </w:tcBorders>
          </w:tcPr>
          <w:p w14:paraId="71DB3A8E" w14:textId="77777777" w:rsidR="00E57DAA" w:rsidRDefault="00AC4185">
            <w:pPr>
              <w:autoSpaceDE w:val="0"/>
              <w:autoSpaceDN w:val="0"/>
              <w:adjustRightInd w:val="0"/>
              <w:jc w:val="right"/>
              <w:rPr>
                <w:szCs w:val="21"/>
              </w:rPr>
            </w:pPr>
            <w:r>
              <w:t>5,800,000.00</w:t>
            </w:r>
          </w:p>
        </w:tc>
        <w:tc>
          <w:tcPr>
            <w:tcW w:w="632" w:type="pct"/>
            <w:tcBorders>
              <w:top w:val="single" w:sz="4" w:space="0" w:color="auto"/>
              <w:left w:val="single" w:sz="4" w:space="0" w:color="auto"/>
              <w:bottom w:val="single" w:sz="4" w:space="0" w:color="auto"/>
              <w:right w:val="single" w:sz="4" w:space="0" w:color="auto"/>
            </w:tcBorders>
          </w:tcPr>
          <w:p w14:paraId="026253F3" w14:textId="77777777" w:rsidR="00E57DAA" w:rsidRDefault="00AC4185">
            <w:pPr>
              <w:autoSpaceDE w:val="0"/>
              <w:autoSpaceDN w:val="0"/>
              <w:adjustRightInd w:val="0"/>
              <w:jc w:val="right"/>
              <w:rPr>
                <w:szCs w:val="21"/>
              </w:rPr>
            </w:pPr>
            <w:r>
              <w:t>631,500.00</w:t>
            </w:r>
          </w:p>
        </w:tc>
        <w:tc>
          <w:tcPr>
            <w:tcW w:w="703" w:type="pct"/>
            <w:tcBorders>
              <w:top w:val="single" w:sz="4" w:space="0" w:color="auto"/>
              <w:left w:val="single" w:sz="4" w:space="0" w:color="auto"/>
              <w:bottom w:val="single" w:sz="4" w:space="0" w:color="auto"/>
              <w:right w:val="single" w:sz="4" w:space="0" w:color="auto"/>
            </w:tcBorders>
          </w:tcPr>
          <w:p w14:paraId="113B3638" w14:textId="77777777" w:rsidR="00E57DAA" w:rsidRDefault="00AC4185">
            <w:pPr>
              <w:autoSpaceDE w:val="0"/>
              <w:autoSpaceDN w:val="0"/>
              <w:adjustRightInd w:val="0"/>
              <w:jc w:val="right"/>
              <w:rPr>
                <w:szCs w:val="21"/>
              </w:rPr>
            </w:pPr>
            <w:r>
              <w:t>5,000,000.00</w:t>
            </w:r>
          </w:p>
        </w:tc>
        <w:tc>
          <w:tcPr>
            <w:tcW w:w="914" w:type="pct"/>
            <w:tcBorders>
              <w:top w:val="single" w:sz="4" w:space="0" w:color="auto"/>
              <w:left w:val="single" w:sz="4" w:space="0" w:color="auto"/>
              <w:bottom w:val="single" w:sz="4" w:space="0" w:color="auto"/>
              <w:right w:val="single" w:sz="4" w:space="0" w:color="auto"/>
            </w:tcBorders>
          </w:tcPr>
          <w:p w14:paraId="279BCAE1" w14:textId="77777777" w:rsidR="00E57DAA" w:rsidRDefault="00AC4185">
            <w:pPr>
              <w:autoSpaceDE w:val="0"/>
              <w:autoSpaceDN w:val="0"/>
              <w:adjustRightInd w:val="0"/>
              <w:jc w:val="right"/>
              <w:rPr>
                <w:szCs w:val="21"/>
              </w:rPr>
            </w:pPr>
            <w:r>
              <w:t>190,000.00</w:t>
            </w:r>
          </w:p>
        </w:tc>
      </w:tr>
      <w:tr w:rsidR="00E57DAA" w14:paraId="1E27EA14" w14:textId="77777777">
        <w:tc>
          <w:tcPr>
            <w:tcW w:w="677" w:type="pct"/>
            <w:tcBorders>
              <w:top w:val="single" w:sz="4" w:space="0" w:color="auto"/>
              <w:left w:val="single" w:sz="4" w:space="0" w:color="auto"/>
              <w:bottom w:val="single" w:sz="4" w:space="0" w:color="auto"/>
              <w:right w:val="single" w:sz="4" w:space="0" w:color="auto"/>
            </w:tcBorders>
            <w:vAlign w:val="center"/>
          </w:tcPr>
          <w:p w14:paraId="34BD0C5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38EDE1D" w14:textId="77777777" w:rsidR="00E57DAA" w:rsidRDefault="00AC4185">
            <w:pPr>
              <w:autoSpaceDE w:val="0"/>
              <w:autoSpaceDN w:val="0"/>
              <w:adjustRightInd w:val="0"/>
              <w:rPr>
                <w:szCs w:val="21"/>
              </w:rPr>
            </w:pPr>
            <w:r>
              <w:t>北新建材集团有限公司</w:t>
            </w:r>
          </w:p>
        </w:tc>
        <w:tc>
          <w:tcPr>
            <w:tcW w:w="633" w:type="pct"/>
            <w:tcBorders>
              <w:top w:val="single" w:sz="4" w:space="0" w:color="auto"/>
              <w:left w:val="single" w:sz="4" w:space="0" w:color="auto"/>
              <w:bottom w:val="single" w:sz="4" w:space="0" w:color="auto"/>
              <w:right w:val="single" w:sz="4" w:space="0" w:color="auto"/>
            </w:tcBorders>
          </w:tcPr>
          <w:p w14:paraId="2AEBD215" w14:textId="77777777" w:rsidR="00E57DAA" w:rsidRDefault="00AC4185">
            <w:pPr>
              <w:autoSpaceDE w:val="0"/>
              <w:autoSpaceDN w:val="0"/>
              <w:adjustRightInd w:val="0"/>
              <w:jc w:val="right"/>
              <w:rPr>
                <w:szCs w:val="21"/>
              </w:rPr>
            </w:pPr>
            <w:r>
              <w:t>4,131,462.00</w:t>
            </w:r>
          </w:p>
        </w:tc>
        <w:tc>
          <w:tcPr>
            <w:tcW w:w="632" w:type="pct"/>
            <w:tcBorders>
              <w:top w:val="single" w:sz="4" w:space="0" w:color="auto"/>
              <w:left w:val="single" w:sz="4" w:space="0" w:color="auto"/>
              <w:bottom w:val="single" w:sz="4" w:space="0" w:color="auto"/>
              <w:right w:val="single" w:sz="4" w:space="0" w:color="auto"/>
            </w:tcBorders>
          </w:tcPr>
          <w:p w14:paraId="33E73769" w14:textId="77777777" w:rsidR="00E57DAA" w:rsidRDefault="00AC4185">
            <w:pPr>
              <w:autoSpaceDE w:val="0"/>
              <w:autoSpaceDN w:val="0"/>
              <w:adjustRightInd w:val="0"/>
              <w:jc w:val="right"/>
              <w:rPr>
                <w:szCs w:val="21"/>
              </w:rPr>
            </w:pPr>
            <w:r>
              <w:t>218,245.70</w:t>
            </w:r>
          </w:p>
        </w:tc>
        <w:tc>
          <w:tcPr>
            <w:tcW w:w="703" w:type="pct"/>
            <w:tcBorders>
              <w:top w:val="single" w:sz="4" w:space="0" w:color="auto"/>
              <w:left w:val="single" w:sz="4" w:space="0" w:color="auto"/>
              <w:bottom w:val="single" w:sz="4" w:space="0" w:color="auto"/>
              <w:right w:val="single" w:sz="4" w:space="0" w:color="auto"/>
            </w:tcBorders>
          </w:tcPr>
          <w:p w14:paraId="4845916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FE92472" w14:textId="77777777" w:rsidR="00E57DAA" w:rsidRDefault="00AC4185">
            <w:pPr>
              <w:autoSpaceDE w:val="0"/>
              <w:autoSpaceDN w:val="0"/>
              <w:adjustRightInd w:val="0"/>
              <w:jc w:val="right"/>
              <w:rPr>
                <w:szCs w:val="21"/>
              </w:rPr>
            </w:pPr>
            <w:r>
              <w:t xml:space="preserve">　</w:t>
            </w:r>
          </w:p>
        </w:tc>
      </w:tr>
      <w:tr w:rsidR="00E57DAA" w14:paraId="37C761F2" w14:textId="77777777">
        <w:tc>
          <w:tcPr>
            <w:tcW w:w="677" w:type="pct"/>
            <w:tcBorders>
              <w:top w:val="single" w:sz="4" w:space="0" w:color="auto"/>
              <w:left w:val="single" w:sz="4" w:space="0" w:color="auto"/>
              <w:bottom w:val="single" w:sz="4" w:space="0" w:color="auto"/>
              <w:right w:val="single" w:sz="4" w:space="0" w:color="auto"/>
            </w:tcBorders>
            <w:vAlign w:val="center"/>
          </w:tcPr>
          <w:p w14:paraId="7C4BD1B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3BA1CA6" w14:textId="77777777" w:rsidR="00E57DAA" w:rsidRDefault="00AC4185">
            <w:pPr>
              <w:autoSpaceDE w:val="0"/>
              <w:autoSpaceDN w:val="0"/>
              <w:adjustRightInd w:val="0"/>
              <w:rPr>
                <w:szCs w:val="21"/>
              </w:rPr>
            </w:pPr>
            <w:r>
              <w:t>毕节西南水泥有限公司</w:t>
            </w:r>
          </w:p>
        </w:tc>
        <w:tc>
          <w:tcPr>
            <w:tcW w:w="633" w:type="pct"/>
            <w:tcBorders>
              <w:top w:val="single" w:sz="4" w:space="0" w:color="auto"/>
              <w:left w:val="single" w:sz="4" w:space="0" w:color="auto"/>
              <w:bottom w:val="single" w:sz="4" w:space="0" w:color="auto"/>
              <w:right w:val="single" w:sz="4" w:space="0" w:color="auto"/>
            </w:tcBorders>
          </w:tcPr>
          <w:p w14:paraId="15E9CFD1" w14:textId="77777777" w:rsidR="00E57DAA" w:rsidRDefault="00AC4185">
            <w:pPr>
              <w:autoSpaceDE w:val="0"/>
              <w:autoSpaceDN w:val="0"/>
              <w:adjustRightInd w:val="0"/>
              <w:jc w:val="right"/>
              <w:rPr>
                <w:szCs w:val="21"/>
              </w:rPr>
            </w:pPr>
            <w:r>
              <w:t>3,000,000.00</w:t>
            </w:r>
          </w:p>
        </w:tc>
        <w:tc>
          <w:tcPr>
            <w:tcW w:w="632" w:type="pct"/>
            <w:tcBorders>
              <w:top w:val="single" w:sz="4" w:space="0" w:color="auto"/>
              <w:left w:val="single" w:sz="4" w:space="0" w:color="auto"/>
              <w:bottom w:val="single" w:sz="4" w:space="0" w:color="auto"/>
              <w:right w:val="single" w:sz="4" w:space="0" w:color="auto"/>
            </w:tcBorders>
          </w:tcPr>
          <w:p w14:paraId="45D651A7" w14:textId="77777777" w:rsidR="00E57DAA" w:rsidRDefault="00AC4185">
            <w:pPr>
              <w:autoSpaceDE w:val="0"/>
              <w:autoSpaceDN w:val="0"/>
              <w:adjustRightInd w:val="0"/>
              <w:jc w:val="right"/>
              <w:rPr>
                <w:szCs w:val="21"/>
              </w:rPr>
            </w:pPr>
            <w:r>
              <w:t>75,000.00</w:t>
            </w:r>
          </w:p>
        </w:tc>
        <w:tc>
          <w:tcPr>
            <w:tcW w:w="703" w:type="pct"/>
            <w:tcBorders>
              <w:top w:val="single" w:sz="4" w:space="0" w:color="auto"/>
              <w:left w:val="single" w:sz="4" w:space="0" w:color="auto"/>
              <w:bottom w:val="single" w:sz="4" w:space="0" w:color="auto"/>
              <w:right w:val="single" w:sz="4" w:space="0" w:color="auto"/>
            </w:tcBorders>
          </w:tcPr>
          <w:p w14:paraId="4A074D8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53545E7" w14:textId="77777777" w:rsidR="00E57DAA" w:rsidRDefault="00AC4185">
            <w:pPr>
              <w:autoSpaceDE w:val="0"/>
              <w:autoSpaceDN w:val="0"/>
              <w:adjustRightInd w:val="0"/>
              <w:jc w:val="right"/>
              <w:rPr>
                <w:szCs w:val="21"/>
              </w:rPr>
            </w:pPr>
            <w:r>
              <w:t xml:space="preserve">　</w:t>
            </w:r>
          </w:p>
        </w:tc>
      </w:tr>
      <w:tr w:rsidR="00E57DAA" w14:paraId="74F8084D" w14:textId="77777777">
        <w:tc>
          <w:tcPr>
            <w:tcW w:w="677" w:type="pct"/>
            <w:tcBorders>
              <w:top w:val="single" w:sz="4" w:space="0" w:color="auto"/>
              <w:left w:val="single" w:sz="4" w:space="0" w:color="auto"/>
              <w:bottom w:val="single" w:sz="4" w:space="0" w:color="auto"/>
              <w:right w:val="single" w:sz="4" w:space="0" w:color="auto"/>
            </w:tcBorders>
            <w:vAlign w:val="center"/>
          </w:tcPr>
          <w:p w14:paraId="77054F2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1B9E3D5" w14:textId="77777777" w:rsidR="00E57DAA" w:rsidRDefault="00AC4185">
            <w:pPr>
              <w:autoSpaceDE w:val="0"/>
              <w:autoSpaceDN w:val="0"/>
              <w:adjustRightInd w:val="0"/>
              <w:rPr>
                <w:szCs w:val="21"/>
              </w:rPr>
            </w:pPr>
            <w:r>
              <w:t>江山南方水泥有限公司</w:t>
            </w:r>
          </w:p>
        </w:tc>
        <w:tc>
          <w:tcPr>
            <w:tcW w:w="633" w:type="pct"/>
            <w:tcBorders>
              <w:top w:val="single" w:sz="4" w:space="0" w:color="auto"/>
              <w:left w:val="single" w:sz="4" w:space="0" w:color="auto"/>
              <w:bottom w:val="single" w:sz="4" w:space="0" w:color="auto"/>
              <w:right w:val="single" w:sz="4" w:space="0" w:color="auto"/>
            </w:tcBorders>
          </w:tcPr>
          <w:p w14:paraId="73662E6E" w14:textId="77777777" w:rsidR="00E57DAA" w:rsidRDefault="00AC4185">
            <w:pPr>
              <w:autoSpaceDE w:val="0"/>
              <w:autoSpaceDN w:val="0"/>
              <w:adjustRightInd w:val="0"/>
              <w:jc w:val="right"/>
              <w:rPr>
                <w:szCs w:val="21"/>
              </w:rPr>
            </w:pPr>
            <w:r>
              <w:t>3,000,000.00</w:t>
            </w:r>
          </w:p>
        </w:tc>
        <w:tc>
          <w:tcPr>
            <w:tcW w:w="632" w:type="pct"/>
            <w:tcBorders>
              <w:top w:val="single" w:sz="4" w:space="0" w:color="auto"/>
              <w:left w:val="single" w:sz="4" w:space="0" w:color="auto"/>
              <w:bottom w:val="single" w:sz="4" w:space="0" w:color="auto"/>
              <w:right w:val="single" w:sz="4" w:space="0" w:color="auto"/>
            </w:tcBorders>
          </w:tcPr>
          <w:p w14:paraId="321019D0" w14:textId="77777777" w:rsidR="00E57DAA" w:rsidRDefault="00AC4185">
            <w:pPr>
              <w:autoSpaceDE w:val="0"/>
              <w:autoSpaceDN w:val="0"/>
              <w:adjustRightInd w:val="0"/>
              <w:jc w:val="right"/>
              <w:rPr>
                <w:szCs w:val="21"/>
              </w:rPr>
            </w:pPr>
            <w:r>
              <w:t>79,300.00</w:t>
            </w:r>
          </w:p>
        </w:tc>
        <w:tc>
          <w:tcPr>
            <w:tcW w:w="703" w:type="pct"/>
            <w:tcBorders>
              <w:top w:val="single" w:sz="4" w:space="0" w:color="auto"/>
              <w:left w:val="single" w:sz="4" w:space="0" w:color="auto"/>
              <w:bottom w:val="single" w:sz="4" w:space="0" w:color="auto"/>
              <w:right w:val="single" w:sz="4" w:space="0" w:color="auto"/>
            </w:tcBorders>
          </w:tcPr>
          <w:p w14:paraId="2EBB111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98C4320" w14:textId="77777777" w:rsidR="00E57DAA" w:rsidRDefault="00AC4185">
            <w:pPr>
              <w:autoSpaceDE w:val="0"/>
              <w:autoSpaceDN w:val="0"/>
              <w:adjustRightInd w:val="0"/>
              <w:jc w:val="right"/>
              <w:rPr>
                <w:szCs w:val="21"/>
              </w:rPr>
            </w:pPr>
            <w:r>
              <w:t xml:space="preserve">　</w:t>
            </w:r>
          </w:p>
        </w:tc>
      </w:tr>
      <w:tr w:rsidR="00E57DAA" w14:paraId="3697442C" w14:textId="77777777">
        <w:tc>
          <w:tcPr>
            <w:tcW w:w="677" w:type="pct"/>
            <w:tcBorders>
              <w:top w:val="single" w:sz="4" w:space="0" w:color="auto"/>
              <w:left w:val="single" w:sz="4" w:space="0" w:color="auto"/>
              <w:bottom w:val="single" w:sz="4" w:space="0" w:color="auto"/>
              <w:right w:val="single" w:sz="4" w:space="0" w:color="auto"/>
            </w:tcBorders>
            <w:vAlign w:val="center"/>
          </w:tcPr>
          <w:p w14:paraId="6A635E7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12BFC09" w14:textId="77777777" w:rsidR="00E57DAA" w:rsidRDefault="00AC4185">
            <w:pPr>
              <w:autoSpaceDE w:val="0"/>
              <w:autoSpaceDN w:val="0"/>
              <w:adjustRightInd w:val="0"/>
              <w:rPr>
                <w:szCs w:val="21"/>
              </w:rPr>
            </w:pPr>
            <w:r>
              <w:t>枣庄中联水泥有限公司</w:t>
            </w:r>
          </w:p>
        </w:tc>
        <w:tc>
          <w:tcPr>
            <w:tcW w:w="633" w:type="pct"/>
            <w:tcBorders>
              <w:top w:val="single" w:sz="4" w:space="0" w:color="auto"/>
              <w:left w:val="single" w:sz="4" w:space="0" w:color="auto"/>
              <w:bottom w:val="single" w:sz="4" w:space="0" w:color="auto"/>
              <w:right w:val="single" w:sz="4" w:space="0" w:color="auto"/>
            </w:tcBorders>
          </w:tcPr>
          <w:p w14:paraId="0F70A1F7" w14:textId="77777777" w:rsidR="00E57DAA" w:rsidRDefault="00AC4185">
            <w:pPr>
              <w:autoSpaceDE w:val="0"/>
              <w:autoSpaceDN w:val="0"/>
              <w:adjustRightInd w:val="0"/>
              <w:jc w:val="right"/>
              <w:rPr>
                <w:szCs w:val="21"/>
              </w:rPr>
            </w:pPr>
            <w:r>
              <w:t>3,000,000.00</w:t>
            </w:r>
          </w:p>
        </w:tc>
        <w:tc>
          <w:tcPr>
            <w:tcW w:w="632" w:type="pct"/>
            <w:tcBorders>
              <w:top w:val="single" w:sz="4" w:space="0" w:color="auto"/>
              <w:left w:val="single" w:sz="4" w:space="0" w:color="auto"/>
              <w:bottom w:val="single" w:sz="4" w:space="0" w:color="auto"/>
              <w:right w:val="single" w:sz="4" w:space="0" w:color="auto"/>
            </w:tcBorders>
          </w:tcPr>
          <w:p w14:paraId="6F023926" w14:textId="77777777" w:rsidR="00E57DAA" w:rsidRDefault="00AC4185">
            <w:pPr>
              <w:autoSpaceDE w:val="0"/>
              <w:autoSpaceDN w:val="0"/>
              <w:adjustRightInd w:val="0"/>
              <w:jc w:val="right"/>
              <w:rPr>
                <w:szCs w:val="21"/>
              </w:rPr>
            </w:pPr>
            <w:r>
              <w:t>270,000.00</w:t>
            </w:r>
          </w:p>
        </w:tc>
        <w:tc>
          <w:tcPr>
            <w:tcW w:w="703" w:type="pct"/>
            <w:tcBorders>
              <w:top w:val="single" w:sz="4" w:space="0" w:color="auto"/>
              <w:left w:val="single" w:sz="4" w:space="0" w:color="auto"/>
              <w:bottom w:val="single" w:sz="4" w:space="0" w:color="auto"/>
              <w:right w:val="single" w:sz="4" w:space="0" w:color="auto"/>
            </w:tcBorders>
          </w:tcPr>
          <w:p w14:paraId="435769E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B863476" w14:textId="77777777" w:rsidR="00E57DAA" w:rsidRDefault="00AC4185">
            <w:pPr>
              <w:autoSpaceDE w:val="0"/>
              <w:autoSpaceDN w:val="0"/>
              <w:adjustRightInd w:val="0"/>
              <w:jc w:val="right"/>
              <w:rPr>
                <w:szCs w:val="21"/>
              </w:rPr>
            </w:pPr>
            <w:r>
              <w:t xml:space="preserve">　</w:t>
            </w:r>
          </w:p>
        </w:tc>
      </w:tr>
      <w:tr w:rsidR="00E57DAA" w14:paraId="464783DB" w14:textId="77777777">
        <w:tc>
          <w:tcPr>
            <w:tcW w:w="677" w:type="pct"/>
            <w:tcBorders>
              <w:top w:val="single" w:sz="4" w:space="0" w:color="auto"/>
              <w:left w:val="single" w:sz="4" w:space="0" w:color="auto"/>
              <w:bottom w:val="single" w:sz="4" w:space="0" w:color="auto"/>
              <w:right w:val="single" w:sz="4" w:space="0" w:color="auto"/>
            </w:tcBorders>
            <w:vAlign w:val="center"/>
          </w:tcPr>
          <w:p w14:paraId="641F136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737C124" w14:textId="77777777" w:rsidR="00E57DAA" w:rsidRDefault="00AC4185">
            <w:pPr>
              <w:autoSpaceDE w:val="0"/>
              <w:autoSpaceDN w:val="0"/>
              <w:adjustRightInd w:val="0"/>
              <w:rPr>
                <w:szCs w:val="21"/>
              </w:rPr>
            </w:pPr>
            <w:r>
              <w:t>建德南方水泥有限公司</w:t>
            </w:r>
          </w:p>
        </w:tc>
        <w:tc>
          <w:tcPr>
            <w:tcW w:w="633" w:type="pct"/>
            <w:tcBorders>
              <w:top w:val="single" w:sz="4" w:space="0" w:color="auto"/>
              <w:left w:val="single" w:sz="4" w:space="0" w:color="auto"/>
              <w:bottom w:val="single" w:sz="4" w:space="0" w:color="auto"/>
              <w:right w:val="single" w:sz="4" w:space="0" w:color="auto"/>
            </w:tcBorders>
          </w:tcPr>
          <w:p w14:paraId="50F94570" w14:textId="77777777" w:rsidR="00E57DAA" w:rsidRDefault="00AC4185">
            <w:pPr>
              <w:autoSpaceDE w:val="0"/>
              <w:autoSpaceDN w:val="0"/>
              <w:adjustRightInd w:val="0"/>
              <w:jc w:val="right"/>
              <w:rPr>
                <w:szCs w:val="21"/>
              </w:rPr>
            </w:pPr>
            <w:r>
              <w:t>2,800,000.00</w:t>
            </w:r>
          </w:p>
        </w:tc>
        <w:tc>
          <w:tcPr>
            <w:tcW w:w="632" w:type="pct"/>
            <w:tcBorders>
              <w:top w:val="single" w:sz="4" w:space="0" w:color="auto"/>
              <w:left w:val="single" w:sz="4" w:space="0" w:color="auto"/>
              <w:bottom w:val="single" w:sz="4" w:space="0" w:color="auto"/>
              <w:right w:val="single" w:sz="4" w:space="0" w:color="auto"/>
            </w:tcBorders>
          </w:tcPr>
          <w:p w14:paraId="05E9BED8" w14:textId="77777777" w:rsidR="00E57DAA" w:rsidRDefault="00AC4185">
            <w:pPr>
              <w:autoSpaceDE w:val="0"/>
              <w:autoSpaceDN w:val="0"/>
              <w:adjustRightInd w:val="0"/>
              <w:jc w:val="right"/>
              <w:rPr>
                <w:szCs w:val="21"/>
              </w:rPr>
            </w:pPr>
            <w:r>
              <w:t>917,600.00</w:t>
            </w:r>
          </w:p>
        </w:tc>
        <w:tc>
          <w:tcPr>
            <w:tcW w:w="703" w:type="pct"/>
            <w:tcBorders>
              <w:top w:val="single" w:sz="4" w:space="0" w:color="auto"/>
              <w:left w:val="single" w:sz="4" w:space="0" w:color="auto"/>
              <w:bottom w:val="single" w:sz="4" w:space="0" w:color="auto"/>
              <w:right w:val="single" w:sz="4" w:space="0" w:color="auto"/>
            </w:tcBorders>
          </w:tcPr>
          <w:p w14:paraId="734B202F" w14:textId="77777777" w:rsidR="00E57DAA" w:rsidRDefault="00AC4185">
            <w:pPr>
              <w:autoSpaceDE w:val="0"/>
              <w:autoSpaceDN w:val="0"/>
              <w:adjustRightInd w:val="0"/>
              <w:jc w:val="right"/>
              <w:rPr>
                <w:szCs w:val="21"/>
              </w:rPr>
            </w:pPr>
            <w:r>
              <w:t>2,830,000.00</w:t>
            </w:r>
          </w:p>
        </w:tc>
        <w:tc>
          <w:tcPr>
            <w:tcW w:w="914" w:type="pct"/>
            <w:tcBorders>
              <w:top w:val="single" w:sz="4" w:space="0" w:color="auto"/>
              <w:left w:val="single" w:sz="4" w:space="0" w:color="auto"/>
              <w:bottom w:val="single" w:sz="4" w:space="0" w:color="auto"/>
              <w:right w:val="single" w:sz="4" w:space="0" w:color="auto"/>
            </w:tcBorders>
          </w:tcPr>
          <w:p w14:paraId="241EA25D" w14:textId="77777777" w:rsidR="00E57DAA" w:rsidRDefault="00AC4185">
            <w:pPr>
              <w:autoSpaceDE w:val="0"/>
              <w:autoSpaceDN w:val="0"/>
              <w:adjustRightInd w:val="0"/>
              <w:jc w:val="right"/>
              <w:rPr>
                <w:szCs w:val="21"/>
              </w:rPr>
            </w:pPr>
            <w:r>
              <w:t>448,810.00</w:t>
            </w:r>
          </w:p>
        </w:tc>
      </w:tr>
      <w:tr w:rsidR="00E57DAA" w14:paraId="57589235" w14:textId="77777777">
        <w:tc>
          <w:tcPr>
            <w:tcW w:w="677" w:type="pct"/>
            <w:tcBorders>
              <w:top w:val="single" w:sz="4" w:space="0" w:color="auto"/>
              <w:left w:val="single" w:sz="4" w:space="0" w:color="auto"/>
              <w:bottom w:val="single" w:sz="4" w:space="0" w:color="auto"/>
              <w:right w:val="single" w:sz="4" w:space="0" w:color="auto"/>
            </w:tcBorders>
            <w:vAlign w:val="center"/>
          </w:tcPr>
          <w:p w14:paraId="409A39A2"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77A1C3DB" w14:textId="77777777" w:rsidR="00E57DAA" w:rsidRDefault="00AC4185">
            <w:pPr>
              <w:autoSpaceDE w:val="0"/>
              <w:autoSpaceDN w:val="0"/>
              <w:adjustRightInd w:val="0"/>
              <w:rPr>
                <w:szCs w:val="21"/>
              </w:rPr>
            </w:pPr>
            <w:r>
              <w:t>四川筠连西南水泥有限公司</w:t>
            </w:r>
          </w:p>
        </w:tc>
        <w:tc>
          <w:tcPr>
            <w:tcW w:w="633" w:type="pct"/>
            <w:tcBorders>
              <w:top w:val="single" w:sz="4" w:space="0" w:color="auto"/>
              <w:left w:val="single" w:sz="4" w:space="0" w:color="auto"/>
              <w:bottom w:val="single" w:sz="4" w:space="0" w:color="auto"/>
              <w:right w:val="single" w:sz="4" w:space="0" w:color="auto"/>
            </w:tcBorders>
          </w:tcPr>
          <w:p w14:paraId="13E397C1" w14:textId="77777777" w:rsidR="00E57DAA" w:rsidRDefault="00AC4185">
            <w:pPr>
              <w:autoSpaceDE w:val="0"/>
              <w:autoSpaceDN w:val="0"/>
              <w:adjustRightInd w:val="0"/>
              <w:jc w:val="right"/>
              <w:rPr>
                <w:szCs w:val="21"/>
              </w:rPr>
            </w:pPr>
            <w:r>
              <w:t>2,700,000.00</w:t>
            </w:r>
          </w:p>
        </w:tc>
        <w:tc>
          <w:tcPr>
            <w:tcW w:w="632" w:type="pct"/>
            <w:tcBorders>
              <w:top w:val="single" w:sz="4" w:space="0" w:color="auto"/>
              <w:left w:val="single" w:sz="4" w:space="0" w:color="auto"/>
              <w:bottom w:val="single" w:sz="4" w:space="0" w:color="auto"/>
              <w:right w:val="single" w:sz="4" w:space="0" w:color="auto"/>
            </w:tcBorders>
          </w:tcPr>
          <w:p w14:paraId="1D418FDF" w14:textId="77777777" w:rsidR="00E57DAA" w:rsidRDefault="00AC4185">
            <w:pPr>
              <w:autoSpaceDE w:val="0"/>
              <w:autoSpaceDN w:val="0"/>
              <w:adjustRightInd w:val="0"/>
              <w:jc w:val="right"/>
              <w:rPr>
                <w:szCs w:val="21"/>
              </w:rPr>
            </w:pPr>
            <w:r>
              <w:t>687,000.00</w:t>
            </w:r>
          </w:p>
        </w:tc>
        <w:tc>
          <w:tcPr>
            <w:tcW w:w="703" w:type="pct"/>
            <w:tcBorders>
              <w:top w:val="single" w:sz="4" w:space="0" w:color="auto"/>
              <w:left w:val="single" w:sz="4" w:space="0" w:color="auto"/>
              <w:bottom w:val="single" w:sz="4" w:space="0" w:color="auto"/>
              <w:right w:val="single" w:sz="4" w:space="0" w:color="auto"/>
            </w:tcBorders>
          </w:tcPr>
          <w:p w14:paraId="77391FCC"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6585C161" w14:textId="77777777" w:rsidR="00E57DAA" w:rsidRDefault="00AC4185">
            <w:pPr>
              <w:autoSpaceDE w:val="0"/>
              <w:autoSpaceDN w:val="0"/>
              <w:adjustRightInd w:val="0"/>
              <w:jc w:val="right"/>
              <w:rPr>
                <w:szCs w:val="21"/>
              </w:rPr>
            </w:pPr>
            <w:r>
              <w:t>500,000.00</w:t>
            </w:r>
          </w:p>
        </w:tc>
      </w:tr>
      <w:tr w:rsidR="00E57DAA" w14:paraId="10777A03" w14:textId="77777777">
        <w:tc>
          <w:tcPr>
            <w:tcW w:w="677" w:type="pct"/>
            <w:tcBorders>
              <w:top w:val="single" w:sz="4" w:space="0" w:color="auto"/>
              <w:left w:val="single" w:sz="4" w:space="0" w:color="auto"/>
              <w:bottom w:val="single" w:sz="4" w:space="0" w:color="auto"/>
              <w:right w:val="single" w:sz="4" w:space="0" w:color="auto"/>
            </w:tcBorders>
            <w:vAlign w:val="center"/>
          </w:tcPr>
          <w:p w14:paraId="7BEDF1A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25BFA1D" w14:textId="77777777" w:rsidR="00E57DAA" w:rsidRDefault="00AC4185">
            <w:pPr>
              <w:autoSpaceDE w:val="0"/>
              <w:autoSpaceDN w:val="0"/>
              <w:adjustRightInd w:val="0"/>
              <w:rPr>
                <w:szCs w:val="21"/>
              </w:rPr>
            </w:pPr>
            <w:r>
              <w:t>江西南方水泥有限公司</w:t>
            </w:r>
          </w:p>
        </w:tc>
        <w:tc>
          <w:tcPr>
            <w:tcW w:w="633" w:type="pct"/>
            <w:tcBorders>
              <w:top w:val="single" w:sz="4" w:space="0" w:color="auto"/>
              <w:left w:val="single" w:sz="4" w:space="0" w:color="auto"/>
              <w:bottom w:val="single" w:sz="4" w:space="0" w:color="auto"/>
              <w:right w:val="single" w:sz="4" w:space="0" w:color="auto"/>
            </w:tcBorders>
          </w:tcPr>
          <w:p w14:paraId="4D972D22" w14:textId="77777777" w:rsidR="00E57DAA" w:rsidRDefault="00AC4185">
            <w:pPr>
              <w:autoSpaceDE w:val="0"/>
              <w:autoSpaceDN w:val="0"/>
              <w:adjustRightInd w:val="0"/>
              <w:jc w:val="right"/>
              <w:rPr>
                <w:szCs w:val="21"/>
              </w:rPr>
            </w:pPr>
            <w:r>
              <w:t>2,550,000.00</w:t>
            </w:r>
          </w:p>
        </w:tc>
        <w:tc>
          <w:tcPr>
            <w:tcW w:w="632" w:type="pct"/>
            <w:tcBorders>
              <w:top w:val="single" w:sz="4" w:space="0" w:color="auto"/>
              <w:left w:val="single" w:sz="4" w:space="0" w:color="auto"/>
              <w:bottom w:val="single" w:sz="4" w:space="0" w:color="auto"/>
              <w:right w:val="single" w:sz="4" w:space="0" w:color="auto"/>
            </w:tcBorders>
          </w:tcPr>
          <w:p w14:paraId="3BAB6245" w14:textId="77777777" w:rsidR="00E57DAA" w:rsidRDefault="00AC4185">
            <w:pPr>
              <w:autoSpaceDE w:val="0"/>
              <w:autoSpaceDN w:val="0"/>
              <w:adjustRightInd w:val="0"/>
              <w:jc w:val="right"/>
              <w:rPr>
                <w:szCs w:val="21"/>
              </w:rPr>
            </w:pPr>
            <w:r>
              <w:t>1,027,550.00</w:t>
            </w:r>
          </w:p>
        </w:tc>
        <w:tc>
          <w:tcPr>
            <w:tcW w:w="703" w:type="pct"/>
            <w:tcBorders>
              <w:top w:val="single" w:sz="4" w:space="0" w:color="auto"/>
              <w:left w:val="single" w:sz="4" w:space="0" w:color="auto"/>
              <w:bottom w:val="single" w:sz="4" w:space="0" w:color="auto"/>
              <w:right w:val="single" w:sz="4" w:space="0" w:color="auto"/>
            </w:tcBorders>
          </w:tcPr>
          <w:p w14:paraId="38E5C0A4" w14:textId="77777777" w:rsidR="00E57DAA" w:rsidRDefault="00AC4185">
            <w:pPr>
              <w:autoSpaceDE w:val="0"/>
              <w:autoSpaceDN w:val="0"/>
              <w:adjustRightInd w:val="0"/>
              <w:jc w:val="right"/>
              <w:rPr>
                <w:szCs w:val="21"/>
              </w:rPr>
            </w:pPr>
            <w:r>
              <w:t>2,954,700.00</w:t>
            </w:r>
          </w:p>
        </w:tc>
        <w:tc>
          <w:tcPr>
            <w:tcW w:w="914" w:type="pct"/>
            <w:tcBorders>
              <w:top w:val="single" w:sz="4" w:space="0" w:color="auto"/>
              <w:left w:val="single" w:sz="4" w:space="0" w:color="auto"/>
              <w:bottom w:val="single" w:sz="4" w:space="0" w:color="auto"/>
              <w:right w:val="single" w:sz="4" w:space="0" w:color="auto"/>
            </w:tcBorders>
          </w:tcPr>
          <w:p w14:paraId="611C29AB" w14:textId="77777777" w:rsidR="00E57DAA" w:rsidRDefault="00AC4185">
            <w:pPr>
              <w:autoSpaceDE w:val="0"/>
              <w:autoSpaceDN w:val="0"/>
              <w:adjustRightInd w:val="0"/>
              <w:jc w:val="right"/>
              <w:rPr>
                <w:szCs w:val="21"/>
              </w:rPr>
            </w:pPr>
            <w:r>
              <w:t>180,927.30</w:t>
            </w:r>
          </w:p>
        </w:tc>
      </w:tr>
      <w:tr w:rsidR="00E57DAA" w14:paraId="4423BAD3" w14:textId="77777777">
        <w:tc>
          <w:tcPr>
            <w:tcW w:w="677" w:type="pct"/>
            <w:tcBorders>
              <w:top w:val="single" w:sz="4" w:space="0" w:color="auto"/>
              <w:left w:val="single" w:sz="4" w:space="0" w:color="auto"/>
              <w:bottom w:val="single" w:sz="4" w:space="0" w:color="auto"/>
              <w:right w:val="single" w:sz="4" w:space="0" w:color="auto"/>
            </w:tcBorders>
            <w:vAlign w:val="center"/>
          </w:tcPr>
          <w:p w14:paraId="5290865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D7F0C8E" w14:textId="77777777" w:rsidR="00E57DAA" w:rsidRDefault="00AC4185">
            <w:pPr>
              <w:autoSpaceDE w:val="0"/>
              <w:autoSpaceDN w:val="0"/>
              <w:adjustRightInd w:val="0"/>
              <w:rPr>
                <w:szCs w:val="21"/>
              </w:rPr>
            </w:pPr>
            <w:r>
              <w:t>北方水泥有限公司</w:t>
            </w:r>
          </w:p>
        </w:tc>
        <w:tc>
          <w:tcPr>
            <w:tcW w:w="633" w:type="pct"/>
            <w:tcBorders>
              <w:top w:val="single" w:sz="4" w:space="0" w:color="auto"/>
              <w:left w:val="single" w:sz="4" w:space="0" w:color="auto"/>
              <w:bottom w:val="single" w:sz="4" w:space="0" w:color="auto"/>
              <w:right w:val="single" w:sz="4" w:space="0" w:color="auto"/>
            </w:tcBorders>
          </w:tcPr>
          <w:p w14:paraId="5E115F9A" w14:textId="77777777" w:rsidR="00E57DAA" w:rsidRDefault="00AC4185">
            <w:pPr>
              <w:autoSpaceDE w:val="0"/>
              <w:autoSpaceDN w:val="0"/>
              <w:adjustRightInd w:val="0"/>
              <w:jc w:val="right"/>
              <w:rPr>
                <w:szCs w:val="21"/>
              </w:rPr>
            </w:pPr>
            <w:r>
              <w:t>2,322,000.00</w:t>
            </w:r>
          </w:p>
        </w:tc>
        <w:tc>
          <w:tcPr>
            <w:tcW w:w="632" w:type="pct"/>
            <w:tcBorders>
              <w:top w:val="single" w:sz="4" w:space="0" w:color="auto"/>
              <w:left w:val="single" w:sz="4" w:space="0" w:color="auto"/>
              <w:bottom w:val="single" w:sz="4" w:space="0" w:color="auto"/>
              <w:right w:val="single" w:sz="4" w:space="0" w:color="auto"/>
            </w:tcBorders>
          </w:tcPr>
          <w:p w14:paraId="5B8D83BD" w14:textId="77777777" w:rsidR="00E57DAA" w:rsidRDefault="00AC4185">
            <w:pPr>
              <w:autoSpaceDE w:val="0"/>
              <w:autoSpaceDN w:val="0"/>
              <w:adjustRightInd w:val="0"/>
              <w:jc w:val="right"/>
              <w:rPr>
                <w:szCs w:val="21"/>
              </w:rPr>
            </w:pPr>
            <w:r>
              <w:t>200,548.00</w:t>
            </w:r>
          </w:p>
        </w:tc>
        <w:tc>
          <w:tcPr>
            <w:tcW w:w="703" w:type="pct"/>
            <w:tcBorders>
              <w:top w:val="single" w:sz="4" w:space="0" w:color="auto"/>
              <w:left w:val="single" w:sz="4" w:space="0" w:color="auto"/>
              <w:bottom w:val="single" w:sz="4" w:space="0" w:color="auto"/>
              <w:right w:val="single" w:sz="4" w:space="0" w:color="auto"/>
            </w:tcBorders>
          </w:tcPr>
          <w:p w14:paraId="5F03DFF8" w14:textId="77777777" w:rsidR="00E57DAA" w:rsidRDefault="00AC4185">
            <w:pPr>
              <w:autoSpaceDE w:val="0"/>
              <w:autoSpaceDN w:val="0"/>
              <w:adjustRightInd w:val="0"/>
              <w:jc w:val="right"/>
              <w:rPr>
                <w:szCs w:val="21"/>
              </w:rPr>
            </w:pPr>
            <w:r>
              <w:t>293,000.00</w:t>
            </w:r>
          </w:p>
        </w:tc>
        <w:tc>
          <w:tcPr>
            <w:tcW w:w="914" w:type="pct"/>
            <w:tcBorders>
              <w:top w:val="single" w:sz="4" w:space="0" w:color="auto"/>
              <w:left w:val="single" w:sz="4" w:space="0" w:color="auto"/>
              <w:bottom w:val="single" w:sz="4" w:space="0" w:color="auto"/>
              <w:right w:val="single" w:sz="4" w:space="0" w:color="auto"/>
            </w:tcBorders>
          </w:tcPr>
          <w:p w14:paraId="32B42607" w14:textId="77777777" w:rsidR="00E57DAA" w:rsidRDefault="00AC4185">
            <w:pPr>
              <w:autoSpaceDE w:val="0"/>
              <w:autoSpaceDN w:val="0"/>
              <w:adjustRightInd w:val="0"/>
              <w:jc w:val="right"/>
              <w:rPr>
                <w:szCs w:val="21"/>
              </w:rPr>
            </w:pPr>
            <w:r>
              <w:t>8,864.00</w:t>
            </w:r>
          </w:p>
        </w:tc>
      </w:tr>
      <w:tr w:rsidR="00E57DAA" w14:paraId="7E12B8B8" w14:textId="77777777">
        <w:tc>
          <w:tcPr>
            <w:tcW w:w="677" w:type="pct"/>
            <w:tcBorders>
              <w:top w:val="single" w:sz="4" w:space="0" w:color="auto"/>
              <w:left w:val="single" w:sz="4" w:space="0" w:color="auto"/>
              <w:bottom w:val="single" w:sz="4" w:space="0" w:color="auto"/>
              <w:right w:val="single" w:sz="4" w:space="0" w:color="auto"/>
            </w:tcBorders>
            <w:vAlign w:val="center"/>
          </w:tcPr>
          <w:p w14:paraId="29C31A2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CCF1A6B" w14:textId="77777777" w:rsidR="00E57DAA" w:rsidRDefault="00AC4185">
            <w:pPr>
              <w:autoSpaceDE w:val="0"/>
              <w:autoSpaceDN w:val="0"/>
              <w:adjustRightInd w:val="0"/>
              <w:rPr>
                <w:szCs w:val="21"/>
              </w:rPr>
            </w:pPr>
            <w:r>
              <w:t>滕州中联水泥有限公司</w:t>
            </w:r>
          </w:p>
        </w:tc>
        <w:tc>
          <w:tcPr>
            <w:tcW w:w="633" w:type="pct"/>
            <w:tcBorders>
              <w:top w:val="single" w:sz="4" w:space="0" w:color="auto"/>
              <w:left w:val="single" w:sz="4" w:space="0" w:color="auto"/>
              <w:bottom w:val="single" w:sz="4" w:space="0" w:color="auto"/>
              <w:right w:val="single" w:sz="4" w:space="0" w:color="auto"/>
            </w:tcBorders>
          </w:tcPr>
          <w:p w14:paraId="703542F3" w14:textId="77777777" w:rsidR="00E57DAA" w:rsidRDefault="00AC4185">
            <w:pPr>
              <w:autoSpaceDE w:val="0"/>
              <w:autoSpaceDN w:val="0"/>
              <w:adjustRightInd w:val="0"/>
              <w:jc w:val="right"/>
              <w:rPr>
                <w:szCs w:val="21"/>
              </w:rPr>
            </w:pPr>
            <w:r>
              <w:t>2,220,000.00</w:t>
            </w:r>
          </w:p>
        </w:tc>
        <w:tc>
          <w:tcPr>
            <w:tcW w:w="632" w:type="pct"/>
            <w:tcBorders>
              <w:top w:val="single" w:sz="4" w:space="0" w:color="auto"/>
              <w:left w:val="single" w:sz="4" w:space="0" w:color="auto"/>
              <w:bottom w:val="single" w:sz="4" w:space="0" w:color="auto"/>
              <w:right w:val="single" w:sz="4" w:space="0" w:color="auto"/>
            </w:tcBorders>
          </w:tcPr>
          <w:p w14:paraId="46565A70" w14:textId="77777777" w:rsidR="00E57DAA" w:rsidRDefault="00AC4185">
            <w:pPr>
              <w:autoSpaceDE w:val="0"/>
              <w:autoSpaceDN w:val="0"/>
              <w:adjustRightInd w:val="0"/>
              <w:jc w:val="right"/>
              <w:rPr>
                <w:szCs w:val="21"/>
              </w:rPr>
            </w:pPr>
            <w:r>
              <w:t>397,330.00</w:t>
            </w:r>
          </w:p>
        </w:tc>
        <w:tc>
          <w:tcPr>
            <w:tcW w:w="703" w:type="pct"/>
            <w:tcBorders>
              <w:top w:val="single" w:sz="4" w:space="0" w:color="auto"/>
              <w:left w:val="single" w:sz="4" w:space="0" w:color="auto"/>
              <w:bottom w:val="single" w:sz="4" w:space="0" w:color="auto"/>
              <w:right w:val="single" w:sz="4" w:space="0" w:color="auto"/>
            </w:tcBorders>
          </w:tcPr>
          <w:p w14:paraId="79D865C2" w14:textId="77777777" w:rsidR="00E57DAA" w:rsidRDefault="00AC4185">
            <w:pPr>
              <w:autoSpaceDE w:val="0"/>
              <w:autoSpaceDN w:val="0"/>
              <w:adjustRightInd w:val="0"/>
              <w:jc w:val="right"/>
              <w:rPr>
                <w:szCs w:val="21"/>
              </w:rPr>
            </w:pPr>
            <w:r>
              <w:t>2,000,000.00</w:t>
            </w:r>
          </w:p>
        </w:tc>
        <w:tc>
          <w:tcPr>
            <w:tcW w:w="914" w:type="pct"/>
            <w:tcBorders>
              <w:top w:val="single" w:sz="4" w:space="0" w:color="auto"/>
              <w:left w:val="single" w:sz="4" w:space="0" w:color="auto"/>
              <w:bottom w:val="single" w:sz="4" w:space="0" w:color="auto"/>
              <w:right w:val="single" w:sz="4" w:space="0" w:color="auto"/>
            </w:tcBorders>
          </w:tcPr>
          <w:p w14:paraId="7DC4B2F7" w14:textId="77777777" w:rsidR="00E57DAA" w:rsidRDefault="00AC4185">
            <w:pPr>
              <w:autoSpaceDE w:val="0"/>
              <w:autoSpaceDN w:val="0"/>
              <w:adjustRightInd w:val="0"/>
              <w:jc w:val="right"/>
              <w:rPr>
                <w:szCs w:val="21"/>
              </w:rPr>
            </w:pPr>
            <w:r>
              <w:t>48,000.00</w:t>
            </w:r>
          </w:p>
        </w:tc>
      </w:tr>
      <w:tr w:rsidR="00E57DAA" w14:paraId="2FF17B13" w14:textId="77777777">
        <w:tc>
          <w:tcPr>
            <w:tcW w:w="677" w:type="pct"/>
            <w:tcBorders>
              <w:top w:val="single" w:sz="4" w:space="0" w:color="auto"/>
              <w:left w:val="single" w:sz="4" w:space="0" w:color="auto"/>
              <w:bottom w:val="single" w:sz="4" w:space="0" w:color="auto"/>
              <w:right w:val="single" w:sz="4" w:space="0" w:color="auto"/>
            </w:tcBorders>
            <w:vAlign w:val="center"/>
          </w:tcPr>
          <w:p w14:paraId="2F4568F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4D800BB" w14:textId="77777777" w:rsidR="00E57DAA" w:rsidRDefault="00AC4185">
            <w:pPr>
              <w:autoSpaceDE w:val="0"/>
              <w:autoSpaceDN w:val="0"/>
              <w:adjustRightInd w:val="0"/>
              <w:rPr>
                <w:szCs w:val="21"/>
              </w:rPr>
            </w:pPr>
            <w:r>
              <w:t>四川德胜集团水泥有限公司</w:t>
            </w:r>
          </w:p>
        </w:tc>
        <w:tc>
          <w:tcPr>
            <w:tcW w:w="633" w:type="pct"/>
            <w:tcBorders>
              <w:top w:val="single" w:sz="4" w:space="0" w:color="auto"/>
              <w:left w:val="single" w:sz="4" w:space="0" w:color="auto"/>
              <w:bottom w:val="single" w:sz="4" w:space="0" w:color="auto"/>
              <w:right w:val="single" w:sz="4" w:space="0" w:color="auto"/>
            </w:tcBorders>
          </w:tcPr>
          <w:p w14:paraId="3DA0C03A" w14:textId="77777777" w:rsidR="00E57DAA" w:rsidRDefault="00AC4185">
            <w:pPr>
              <w:autoSpaceDE w:val="0"/>
              <w:autoSpaceDN w:val="0"/>
              <w:adjustRightInd w:val="0"/>
              <w:jc w:val="right"/>
              <w:rPr>
                <w:szCs w:val="21"/>
              </w:rPr>
            </w:pPr>
            <w:r>
              <w:t>2,011,600.00</w:t>
            </w:r>
          </w:p>
        </w:tc>
        <w:tc>
          <w:tcPr>
            <w:tcW w:w="632" w:type="pct"/>
            <w:tcBorders>
              <w:top w:val="single" w:sz="4" w:space="0" w:color="auto"/>
              <w:left w:val="single" w:sz="4" w:space="0" w:color="auto"/>
              <w:bottom w:val="single" w:sz="4" w:space="0" w:color="auto"/>
              <w:right w:val="single" w:sz="4" w:space="0" w:color="auto"/>
            </w:tcBorders>
          </w:tcPr>
          <w:p w14:paraId="5AFB570C" w14:textId="77777777" w:rsidR="00E57DAA" w:rsidRDefault="00AC4185">
            <w:pPr>
              <w:autoSpaceDE w:val="0"/>
              <w:autoSpaceDN w:val="0"/>
              <w:adjustRightInd w:val="0"/>
              <w:jc w:val="right"/>
              <w:rPr>
                <w:szCs w:val="21"/>
              </w:rPr>
            </w:pPr>
            <w:r>
              <w:t>182,144.00</w:t>
            </w:r>
          </w:p>
        </w:tc>
        <w:tc>
          <w:tcPr>
            <w:tcW w:w="703" w:type="pct"/>
            <w:tcBorders>
              <w:top w:val="single" w:sz="4" w:space="0" w:color="auto"/>
              <w:left w:val="single" w:sz="4" w:space="0" w:color="auto"/>
              <w:bottom w:val="single" w:sz="4" w:space="0" w:color="auto"/>
              <w:right w:val="single" w:sz="4" w:space="0" w:color="auto"/>
            </w:tcBorders>
          </w:tcPr>
          <w:p w14:paraId="7747495D"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04D6651B" w14:textId="77777777" w:rsidR="00E57DAA" w:rsidRDefault="00AC4185">
            <w:pPr>
              <w:autoSpaceDE w:val="0"/>
              <w:autoSpaceDN w:val="0"/>
              <w:adjustRightInd w:val="0"/>
              <w:jc w:val="right"/>
              <w:rPr>
                <w:szCs w:val="21"/>
              </w:rPr>
            </w:pPr>
            <w:r>
              <w:t>1,000.00</w:t>
            </w:r>
          </w:p>
        </w:tc>
      </w:tr>
      <w:tr w:rsidR="00E57DAA" w14:paraId="58B62F52" w14:textId="77777777">
        <w:tc>
          <w:tcPr>
            <w:tcW w:w="677" w:type="pct"/>
            <w:tcBorders>
              <w:top w:val="single" w:sz="4" w:space="0" w:color="auto"/>
              <w:left w:val="single" w:sz="4" w:space="0" w:color="auto"/>
              <w:bottom w:val="single" w:sz="4" w:space="0" w:color="auto"/>
              <w:right w:val="single" w:sz="4" w:space="0" w:color="auto"/>
            </w:tcBorders>
            <w:vAlign w:val="center"/>
          </w:tcPr>
          <w:p w14:paraId="5E0B5F9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55E2B71" w14:textId="77777777" w:rsidR="00E57DAA" w:rsidRDefault="00AC4185">
            <w:pPr>
              <w:autoSpaceDE w:val="0"/>
              <w:autoSpaceDN w:val="0"/>
              <w:adjustRightInd w:val="0"/>
              <w:rPr>
                <w:szCs w:val="21"/>
              </w:rPr>
            </w:pPr>
            <w:r>
              <w:t>安县中联水泥有限公司</w:t>
            </w:r>
          </w:p>
        </w:tc>
        <w:tc>
          <w:tcPr>
            <w:tcW w:w="633" w:type="pct"/>
            <w:tcBorders>
              <w:top w:val="single" w:sz="4" w:space="0" w:color="auto"/>
              <w:left w:val="single" w:sz="4" w:space="0" w:color="auto"/>
              <w:bottom w:val="single" w:sz="4" w:space="0" w:color="auto"/>
              <w:right w:val="single" w:sz="4" w:space="0" w:color="auto"/>
            </w:tcBorders>
          </w:tcPr>
          <w:p w14:paraId="38B5923A" w14:textId="77777777" w:rsidR="00E57DAA" w:rsidRDefault="00AC4185">
            <w:pPr>
              <w:autoSpaceDE w:val="0"/>
              <w:autoSpaceDN w:val="0"/>
              <w:adjustRightInd w:val="0"/>
              <w:jc w:val="right"/>
              <w:rPr>
                <w:szCs w:val="21"/>
              </w:rPr>
            </w:pPr>
            <w:r>
              <w:t>2,009,000.00</w:t>
            </w:r>
          </w:p>
        </w:tc>
        <w:tc>
          <w:tcPr>
            <w:tcW w:w="632" w:type="pct"/>
            <w:tcBorders>
              <w:top w:val="single" w:sz="4" w:space="0" w:color="auto"/>
              <w:left w:val="single" w:sz="4" w:space="0" w:color="auto"/>
              <w:bottom w:val="single" w:sz="4" w:space="0" w:color="auto"/>
              <w:right w:val="single" w:sz="4" w:space="0" w:color="auto"/>
            </w:tcBorders>
          </w:tcPr>
          <w:p w14:paraId="28B77E6F" w14:textId="77777777" w:rsidR="00E57DAA" w:rsidRDefault="00AC4185">
            <w:pPr>
              <w:autoSpaceDE w:val="0"/>
              <w:autoSpaceDN w:val="0"/>
              <w:adjustRightInd w:val="0"/>
              <w:jc w:val="right"/>
              <w:rPr>
                <w:szCs w:val="21"/>
              </w:rPr>
            </w:pPr>
            <w:r>
              <w:t>180,180.00</w:t>
            </w:r>
          </w:p>
        </w:tc>
        <w:tc>
          <w:tcPr>
            <w:tcW w:w="703" w:type="pct"/>
            <w:tcBorders>
              <w:top w:val="single" w:sz="4" w:space="0" w:color="auto"/>
              <w:left w:val="single" w:sz="4" w:space="0" w:color="auto"/>
              <w:bottom w:val="single" w:sz="4" w:space="0" w:color="auto"/>
              <w:right w:val="single" w:sz="4" w:space="0" w:color="auto"/>
            </w:tcBorders>
          </w:tcPr>
          <w:p w14:paraId="227A271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33B659E" w14:textId="77777777" w:rsidR="00E57DAA" w:rsidRDefault="00AC4185">
            <w:pPr>
              <w:autoSpaceDE w:val="0"/>
              <w:autoSpaceDN w:val="0"/>
              <w:adjustRightInd w:val="0"/>
              <w:jc w:val="right"/>
              <w:rPr>
                <w:szCs w:val="21"/>
              </w:rPr>
            </w:pPr>
            <w:r>
              <w:t xml:space="preserve">　</w:t>
            </w:r>
          </w:p>
        </w:tc>
      </w:tr>
      <w:tr w:rsidR="00E57DAA" w14:paraId="5B743B8F" w14:textId="77777777">
        <w:tc>
          <w:tcPr>
            <w:tcW w:w="677" w:type="pct"/>
            <w:tcBorders>
              <w:top w:val="single" w:sz="4" w:space="0" w:color="auto"/>
              <w:left w:val="single" w:sz="4" w:space="0" w:color="auto"/>
              <w:bottom w:val="single" w:sz="4" w:space="0" w:color="auto"/>
              <w:right w:val="single" w:sz="4" w:space="0" w:color="auto"/>
            </w:tcBorders>
            <w:vAlign w:val="center"/>
          </w:tcPr>
          <w:p w14:paraId="60423D3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83384C7" w14:textId="77777777" w:rsidR="00E57DAA" w:rsidRDefault="00AC4185">
            <w:pPr>
              <w:autoSpaceDE w:val="0"/>
              <w:autoSpaceDN w:val="0"/>
              <w:adjustRightInd w:val="0"/>
              <w:rPr>
                <w:szCs w:val="21"/>
              </w:rPr>
            </w:pPr>
            <w:r>
              <w:t>含山南方水泥有限公司</w:t>
            </w:r>
          </w:p>
        </w:tc>
        <w:tc>
          <w:tcPr>
            <w:tcW w:w="633" w:type="pct"/>
            <w:tcBorders>
              <w:top w:val="single" w:sz="4" w:space="0" w:color="auto"/>
              <w:left w:val="single" w:sz="4" w:space="0" w:color="auto"/>
              <w:bottom w:val="single" w:sz="4" w:space="0" w:color="auto"/>
              <w:right w:val="single" w:sz="4" w:space="0" w:color="auto"/>
            </w:tcBorders>
          </w:tcPr>
          <w:p w14:paraId="1B79B4AA" w14:textId="77777777" w:rsidR="00E57DAA" w:rsidRDefault="00AC4185">
            <w:pPr>
              <w:autoSpaceDE w:val="0"/>
              <w:autoSpaceDN w:val="0"/>
              <w:adjustRightInd w:val="0"/>
              <w:jc w:val="right"/>
              <w:rPr>
                <w:szCs w:val="21"/>
              </w:rPr>
            </w:pPr>
            <w:r>
              <w:t>2,000,000.00</w:t>
            </w:r>
          </w:p>
        </w:tc>
        <w:tc>
          <w:tcPr>
            <w:tcW w:w="632" w:type="pct"/>
            <w:tcBorders>
              <w:top w:val="single" w:sz="4" w:space="0" w:color="auto"/>
              <w:left w:val="single" w:sz="4" w:space="0" w:color="auto"/>
              <w:bottom w:val="single" w:sz="4" w:space="0" w:color="auto"/>
              <w:right w:val="single" w:sz="4" w:space="0" w:color="auto"/>
            </w:tcBorders>
          </w:tcPr>
          <w:p w14:paraId="2714A697" w14:textId="77777777" w:rsidR="00E57DAA" w:rsidRDefault="00AC4185">
            <w:pPr>
              <w:autoSpaceDE w:val="0"/>
              <w:autoSpaceDN w:val="0"/>
              <w:adjustRightInd w:val="0"/>
              <w:jc w:val="right"/>
              <w:rPr>
                <w:szCs w:val="21"/>
              </w:rPr>
            </w:pPr>
            <w:r>
              <w:t>394,000.00</w:t>
            </w:r>
          </w:p>
        </w:tc>
        <w:tc>
          <w:tcPr>
            <w:tcW w:w="703" w:type="pct"/>
            <w:tcBorders>
              <w:top w:val="single" w:sz="4" w:space="0" w:color="auto"/>
              <w:left w:val="single" w:sz="4" w:space="0" w:color="auto"/>
              <w:bottom w:val="single" w:sz="4" w:space="0" w:color="auto"/>
              <w:right w:val="single" w:sz="4" w:space="0" w:color="auto"/>
            </w:tcBorders>
          </w:tcPr>
          <w:p w14:paraId="5E47B79C" w14:textId="77777777" w:rsidR="00E57DAA" w:rsidRDefault="00AC4185">
            <w:pPr>
              <w:autoSpaceDE w:val="0"/>
              <w:autoSpaceDN w:val="0"/>
              <w:adjustRightInd w:val="0"/>
              <w:jc w:val="right"/>
              <w:rPr>
                <w:szCs w:val="21"/>
              </w:rPr>
            </w:pPr>
            <w:r>
              <w:t>2,005,000.00</w:t>
            </w:r>
          </w:p>
        </w:tc>
        <w:tc>
          <w:tcPr>
            <w:tcW w:w="914" w:type="pct"/>
            <w:tcBorders>
              <w:top w:val="single" w:sz="4" w:space="0" w:color="auto"/>
              <w:left w:val="single" w:sz="4" w:space="0" w:color="auto"/>
              <w:bottom w:val="single" w:sz="4" w:space="0" w:color="auto"/>
              <w:right w:val="single" w:sz="4" w:space="0" w:color="auto"/>
            </w:tcBorders>
          </w:tcPr>
          <w:p w14:paraId="005BC3D4" w14:textId="77777777" w:rsidR="00E57DAA" w:rsidRDefault="00AC4185">
            <w:pPr>
              <w:autoSpaceDE w:val="0"/>
              <w:autoSpaceDN w:val="0"/>
              <w:adjustRightInd w:val="0"/>
              <w:jc w:val="right"/>
              <w:rPr>
                <w:szCs w:val="21"/>
              </w:rPr>
            </w:pPr>
            <w:r>
              <w:t>13,032.50</w:t>
            </w:r>
          </w:p>
        </w:tc>
      </w:tr>
      <w:tr w:rsidR="00E57DAA" w14:paraId="68B17F1F" w14:textId="77777777">
        <w:tc>
          <w:tcPr>
            <w:tcW w:w="677" w:type="pct"/>
            <w:tcBorders>
              <w:top w:val="single" w:sz="4" w:space="0" w:color="auto"/>
              <w:left w:val="single" w:sz="4" w:space="0" w:color="auto"/>
              <w:bottom w:val="single" w:sz="4" w:space="0" w:color="auto"/>
              <w:right w:val="single" w:sz="4" w:space="0" w:color="auto"/>
            </w:tcBorders>
            <w:vAlign w:val="center"/>
          </w:tcPr>
          <w:p w14:paraId="151DC8D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2AF0446" w14:textId="77777777" w:rsidR="00E57DAA" w:rsidRDefault="00AC4185">
            <w:pPr>
              <w:autoSpaceDE w:val="0"/>
              <w:autoSpaceDN w:val="0"/>
              <w:adjustRightInd w:val="0"/>
              <w:rPr>
                <w:szCs w:val="21"/>
              </w:rPr>
            </w:pPr>
            <w:r>
              <w:t>丽江古城西南水泥有限公司</w:t>
            </w:r>
          </w:p>
        </w:tc>
        <w:tc>
          <w:tcPr>
            <w:tcW w:w="633" w:type="pct"/>
            <w:tcBorders>
              <w:top w:val="single" w:sz="4" w:space="0" w:color="auto"/>
              <w:left w:val="single" w:sz="4" w:space="0" w:color="auto"/>
              <w:bottom w:val="single" w:sz="4" w:space="0" w:color="auto"/>
              <w:right w:val="single" w:sz="4" w:space="0" w:color="auto"/>
            </w:tcBorders>
          </w:tcPr>
          <w:p w14:paraId="7F43CA4B" w14:textId="77777777" w:rsidR="00E57DAA" w:rsidRDefault="00AC4185">
            <w:pPr>
              <w:autoSpaceDE w:val="0"/>
              <w:autoSpaceDN w:val="0"/>
              <w:adjustRightInd w:val="0"/>
              <w:jc w:val="right"/>
              <w:rPr>
                <w:szCs w:val="21"/>
              </w:rPr>
            </w:pPr>
            <w:r>
              <w:t>2,000,000.00</w:t>
            </w:r>
          </w:p>
        </w:tc>
        <w:tc>
          <w:tcPr>
            <w:tcW w:w="632" w:type="pct"/>
            <w:tcBorders>
              <w:top w:val="single" w:sz="4" w:space="0" w:color="auto"/>
              <w:left w:val="single" w:sz="4" w:space="0" w:color="auto"/>
              <w:bottom w:val="single" w:sz="4" w:space="0" w:color="auto"/>
              <w:right w:val="single" w:sz="4" w:space="0" w:color="auto"/>
            </w:tcBorders>
          </w:tcPr>
          <w:p w14:paraId="66B4896B" w14:textId="77777777" w:rsidR="00E57DAA" w:rsidRDefault="00AC4185">
            <w:pPr>
              <w:autoSpaceDE w:val="0"/>
              <w:autoSpaceDN w:val="0"/>
              <w:adjustRightInd w:val="0"/>
              <w:jc w:val="right"/>
              <w:rPr>
                <w:szCs w:val="21"/>
              </w:rPr>
            </w:pPr>
            <w:r>
              <w:t>429,550.00</w:t>
            </w:r>
          </w:p>
        </w:tc>
        <w:tc>
          <w:tcPr>
            <w:tcW w:w="703" w:type="pct"/>
            <w:tcBorders>
              <w:top w:val="single" w:sz="4" w:space="0" w:color="auto"/>
              <w:left w:val="single" w:sz="4" w:space="0" w:color="auto"/>
              <w:bottom w:val="single" w:sz="4" w:space="0" w:color="auto"/>
              <w:right w:val="single" w:sz="4" w:space="0" w:color="auto"/>
            </w:tcBorders>
          </w:tcPr>
          <w:p w14:paraId="3708B68C" w14:textId="77777777" w:rsidR="00E57DAA" w:rsidRDefault="00AC4185">
            <w:pPr>
              <w:autoSpaceDE w:val="0"/>
              <w:autoSpaceDN w:val="0"/>
              <w:adjustRightInd w:val="0"/>
              <w:jc w:val="right"/>
              <w:rPr>
                <w:szCs w:val="21"/>
              </w:rPr>
            </w:pPr>
            <w:r>
              <w:t>1,300,000.00</w:t>
            </w:r>
          </w:p>
        </w:tc>
        <w:tc>
          <w:tcPr>
            <w:tcW w:w="914" w:type="pct"/>
            <w:tcBorders>
              <w:top w:val="single" w:sz="4" w:space="0" w:color="auto"/>
              <w:left w:val="single" w:sz="4" w:space="0" w:color="auto"/>
              <w:bottom w:val="single" w:sz="4" w:space="0" w:color="auto"/>
              <w:right w:val="single" w:sz="4" w:space="0" w:color="auto"/>
            </w:tcBorders>
          </w:tcPr>
          <w:p w14:paraId="644FE92E" w14:textId="77777777" w:rsidR="00E57DAA" w:rsidRDefault="00AC4185">
            <w:pPr>
              <w:autoSpaceDE w:val="0"/>
              <w:autoSpaceDN w:val="0"/>
              <w:adjustRightInd w:val="0"/>
              <w:jc w:val="right"/>
              <w:rPr>
                <w:szCs w:val="21"/>
              </w:rPr>
            </w:pPr>
            <w:r>
              <w:t>614,800.00</w:t>
            </w:r>
          </w:p>
        </w:tc>
      </w:tr>
      <w:tr w:rsidR="00E57DAA" w14:paraId="76E225E9" w14:textId="77777777">
        <w:tc>
          <w:tcPr>
            <w:tcW w:w="677" w:type="pct"/>
            <w:tcBorders>
              <w:top w:val="single" w:sz="4" w:space="0" w:color="auto"/>
              <w:left w:val="single" w:sz="4" w:space="0" w:color="auto"/>
              <w:bottom w:val="single" w:sz="4" w:space="0" w:color="auto"/>
              <w:right w:val="single" w:sz="4" w:space="0" w:color="auto"/>
            </w:tcBorders>
            <w:vAlign w:val="center"/>
          </w:tcPr>
          <w:p w14:paraId="7C66BA4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C060759" w14:textId="77777777" w:rsidR="00E57DAA" w:rsidRDefault="00AC4185">
            <w:pPr>
              <w:autoSpaceDE w:val="0"/>
              <w:autoSpaceDN w:val="0"/>
              <w:adjustRightInd w:val="0"/>
              <w:rPr>
                <w:szCs w:val="21"/>
              </w:rPr>
            </w:pPr>
            <w:r>
              <w:t>滁州中联水泥有限公司</w:t>
            </w:r>
          </w:p>
        </w:tc>
        <w:tc>
          <w:tcPr>
            <w:tcW w:w="633" w:type="pct"/>
            <w:tcBorders>
              <w:top w:val="single" w:sz="4" w:space="0" w:color="auto"/>
              <w:left w:val="single" w:sz="4" w:space="0" w:color="auto"/>
              <w:bottom w:val="single" w:sz="4" w:space="0" w:color="auto"/>
              <w:right w:val="single" w:sz="4" w:space="0" w:color="auto"/>
            </w:tcBorders>
          </w:tcPr>
          <w:p w14:paraId="5E54A00C" w14:textId="77777777" w:rsidR="00E57DAA" w:rsidRDefault="00AC4185">
            <w:pPr>
              <w:autoSpaceDE w:val="0"/>
              <w:autoSpaceDN w:val="0"/>
              <w:adjustRightInd w:val="0"/>
              <w:jc w:val="right"/>
              <w:rPr>
                <w:szCs w:val="21"/>
              </w:rPr>
            </w:pPr>
            <w:r>
              <w:t>1,746,170.00</w:t>
            </w:r>
          </w:p>
        </w:tc>
        <w:tc>
          <w:tcPr>
            <w:tcW w:w="632" w:type="pct"/>
            <w:tcBorders>
              <w:top w:val="single" w:sz="4" w:space="0" w:color="auto"/>
              <w:left w:val="single" w:sz="4" w:space="0" w:color="auto"/>
              <w:bottom w:val="single" w:sz="4" w:space="0" w:color="auto"/>
              <w:right w:val="single" w:sz="4" w:space="0" w:color="auto"/>
            </w:tcBorders>
          </w:tcPr>
          <w:p w14:paraId="6F8CC778" w14:textId="77777777" w:rsidR="00E57DAA" w:rsidRDefault="00AC4185">
            <w:pPr>
              <w:autoSpaceDE w:val="0"/>
              <w:autoSpaceDN w:val="0"/>
              <w:adjustRightInd w:val="0"/>
              <w:jc w:val="right"/>
              <w:rPr>
                <w:szCs w:val="21"/>
              </w:rPr>
            </w:pPr>
            <w:r>
              <w:t>117,404.25</w:t>
            </w:r>
          </w:p>
        </w:tc>
        <w:tc>
          <w:tcPr>
            <w:tcW w:w="703" w:type="pct"/>
            <w:tcBorders>
              <w:top w:val="single" w:sz="4" w:space="0" w:color="auto"/>
              <w:left w:val="single" w:sz="4" w:space="0" w:color="auto"/>
              <w:bottom w:val="single" w:sz="4" w:space="0" w:color="auto"/>
              <w:right w:val="single" w:sz="4" w:space="0" w:color="auto"/>
            </w:tcBorders>
          </w:tcPr>
          <w:p w14:paraId="06CD4201" w14:textId="77777777" w:rsidR="00E57DAA" w:rsidRDefault="00AC4185">
            <w:pPr>
              <w:autoSpaceDE w:val="0"/>
              <w:autoSpaceDN w:val="0"/>
              <w:adjustRightInd w:val="0"/>
              <w:jc w:val="right"/>
              <w:rPr>
                <w:szCs w:val="21"/>
              </w:rPr>
            </w:pPr>
            <w:r>
              <w:t>30,000.00</w:t>
            </w:r>
          </w:p>
        </w:tc>
        <w:tc>
          <w:tcPr>
            <w:tcW w:w="914" w:type="pct"/>
            <w:tcBorders>
              <w:top w:val="single" w:sz="4" w:space="0" w:color="auto"/>
              <w:left w:val="single" w:sz="4" w:space="0" w:color="auto"/>
              <w:bottom w:val="single" w:sz="4" w:space="0" w:color="auto"/>
              <w:right w:val="single" w:sz="4" w:space="0" w:color="auto"/>
            </w:tcBorders>
          </w:tcPr>
          <w:p w14:paraId="0B69DA23" w14:textId="77777777" w:rsidR="00E57DAA" w:rsidRDefault="00AC4185">
            <w:pPr>
              <w:autoSpaceDE w:val="0"/>
              <w:autoSpaceDN w:val="0"/>
              <w:adjustRightInd w:val="0"/>
              <w:jc w:val="right"/>
              <w:rPr>
                <w:szCs w:val="21"/>
              </w:rPr>
            </w:pPr>
            <w:r>
              <w:t>1,500.00</w:t>
            </w:r>
          </w:p>
        </w:tc>
      </w:tr>
      <w:tr w:rsidR="00E57DAA" w14:paraId="5BF71090" w14:textId="77777777">
        <w:tc>
          <w:tcPr>
            <w:tcW w:w="677" w:type="pct"/>
            <w:tcBorders>
              <w:top w:val="single" w:sz="4" w:space="0" w:color="auto"/>
              <w:left w:val="single" w:sz="4" w:space="0" w:color="auto"/>
              <w:bottom w:val="single" w:sz="4" w:space="0" w:color="auto"/>
              <w:right w:val="single" w:sz="4" w:space="0" w:color="auto"/>
            </w:tcBorders>
            <w:vAlign w:val="center"/>
          </w:tcPr>
          <w:p w14:paraId="5CD55A7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FFDA7E7" w14:textId="77777777" w:rsidR="00E57DAA" w:rsidRDefault="00AC4185">
            <w:pPr>
              <w:autoSpaceDE w:val="0"/>
              <w:autoSpaceDN w:val="0"/>
              <w:adjustRightInd w:val="0"/>
              <w:rPr>
                <w:szCs w:val="21"/>
              </w:rPr>
            </w:pPr>
            <w:r>
              <w:t>乌兰察布中联水泥有限公司</w:t>
            </w:r>
          </w:p>
        </w:tc>
        <w:tc>
          <w:tcPr>
            <w:tcW w:w="633" w:type="pct"/>
            <w:tcBorders>
              <w:top w:val="single" w:sz="4" w:space="0" w:color="auto"/>
              <w:left w:val="single" w:sz="4" w:space="0" w:color="auto"/>
              <w:bottom w:val="single" w:sz="4" w:space="0" w:color="auto"/>
              <w:right w:val="single" w:sz="4" w:space="0" w:color="auto"/>
            </w:tcBorders>
          </w:tcPr>
          <w:p w14:paraId="411F4D17" w14:textId="77777777" w:rsidR="00E57DAA" w:rsidRDefault="00AC4185">
            <w:pPr>
              <w:autoSpaceDE w:val="0"/>
              <w:autoSpaceDN w:val="0"/>
              <w:adjustRightInd w:val="0"/>
              <w:jc w:val="right"/>
              <w:rPr>
                <w:szCs w:val="21"/>
              </w:rPr>
            </w:pPr>
            <w:r>
              <w:t>1,500,000.00</w:t>
            </w:r>
          </w:p>
        </w:tc>
        <w:tc>
          <w:tcPr>
            <w:tcW w:w="632" w:type="pct"/>
            <w:tcBorders>
              <w:top w:val="single" w:sz="4" w:space="0" w:color="auto"/>
              <w:left w:val="single" w:sz="4" w:space="0" w:color="auto"/>
              <w:bottom w:val="single" w:sz="4" w:space="0" w:color="auto"/>
              <w:right w:val="single" w:sz="4" w:space="0" w:color="auto"/>
            </w:tcBorders>
          </w:tcPr>
          <w:p w14:paraId="68DD5514" w14:textId="77777777" w:rsidR="00E57DAA" w:rsidRDefault="00AC4185">
            <w:pPr>
              <w:autoSpaceDE w:val="0"/>
              <w:autoSpaceDN w:val="0"/>
              <w:adjustRightInd w:val="0"/>
              <w:jc w:val="right"/>
              <w:rPr>
                <w:szCs w:val="21"/>
              </w:rPr>
            </w:pPr>
            <w:r>
              <w:t>430,100.00</w:t>
            </w:r>
          </w:p>
        </w:tc>
        <w:tc>
          <w:tcPr>
            <w:tcW w:w="703" w:type="pct"/>
            <w:tcBorders>
              <w:top w:val="single" w:sz="4" w:space="0" w:color="auto"/>
              <w:left w:val="single" w:sz="4" w:space="0" w:color="auto"/>
              <w:bottom w:val="single" w:sz="4" w:space="0" w:color="auto"/>
              <w:right w:val="single" w:sz="4" w:space="0" w:color="auto"/>
            </w:tcBorders>
          </w:tcPr>
          <w:p w14:paraId="0E15C56C" w14:textId="77777777" w:rsidR="00E57DAA" w:rsidRDefault="00AC4185">
            <w:pPr>
              <w:autoSpaceDE w:val="0"/>
              <w:autoSpaceDN w:val="0"/>
              <w:adjustRightInd w:val="0"/>
              <w:jc w:val="right"/>
              <w:rPr>
                <w:szCs w:val="21"/>
              </w:rPr>
            </w:pPr>
            <w:r>
              <w:t>1,300,000.00</w:t>
            </w:r>
          </w:p>
        </w:tc>
        <w:tc>
          <w:tcPr>
            <w:tcW w:w="914" w:type="pct"/>
            <w:tcBorders>
              <w:top w:val="single" w:sz="4" w:space="0" w:color="auto"/>
              <w:left w:val="single" w:sz="4" w:space="0" w:color="auto"/>
              <w:bottom w:val="single" w:sz="4" w:space="0" w:color="auto"/>
              <w:right w:val="single" w:sz="4" w:space="0" w:color="auto"/>
            </w:tcBorders>
          </w:tcPr>
          <w:p w14:paraId="74437BF3" w14:textId="77777777" w:rsidR="00E57DAA" w:rsidRDefault="00AC4185">
            <w:pPr>
              <w:autoSpaceDE w:val="0"/>
              <w:autoSpaceDN w:val="0"/>
              <w:adjustRightInd w:val="0"/>
              <w:jc w:val="right"/>
              <w:rPr>
                <w:szCs w:val="21"/>
              </w:rPr>
            </w:pPr>
            <w:r>
              <w:t>631,800.00</w:t>
            </w:r>
          </w:p>
        </w:tc>
      </w:tr>
      <w:tr w:rsidR="00E57DAA" w14:paraId="3248E31D" w14:textId="77777777">
        <w:tc>
          <w:tcPr>
            <w:tcW w:w="677" w:type="pct"/>
            <w:tcBorders>
              <w:top w:val="single" w:sz="4" w:space="0" w:color="auto"/>
              <w:left w:val="single" w:sz="4" w:space="0" w:color="auto"/>
              <w:bottom w:val="single" w:sz="4" w:space="0" w:color="auto"/>
              <w:right w:val="single" w:sz="4" w:space="0" w:color="auto"/>
            </w:tcBorders>
            <w:vAlign w:val="center"/>
          </w:tcPr>
          <w:p w14:paraId="304344B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FB12476" w14:textId="77777777" w:rsidR="00E57DAA" w:rsidRDefault="00AC4185">
            <w:pPr>
              <w:autoSpaceDE w:val="0"/>
              <w:autoSpaceDN w:val="0"/>
              <w:adjustRightInd w:val="0"/>
              <w:rPr>
                <w:szCs w:val="21"/>
              </w:rPr>
            </w:pPr>
            <w:r>
              <w:t>正安西南水泥有限公司</w:t>
            </w:r>
          </w:p>
        </w:tc>
        <w:tc>
          <w:tcPr>
            <w:tcW w:w="633" w:type="pct"/>
            <w:tcBorders>
              <w:top w:val="single" w:sz="4" w:space="0" w:color="auto"/>
              <w:left w:val="single" w:sz="4" w:space="0" w:color="auto"/>
              <w:bottom w:val="single" w:sz="4" w:space="0" w:color="auto"/>
              <w:right w:val="single" w:sz="4" w:space="0" w:color="auto"/>
            </w:tcBorders>
          </w:tcPr>
          <w:p w14:paraId="69D08ADF" w14:textId="77777777" w:rsidR="00E57DAA" w:rsidRDefault="00AC4185">
            <w:pPr>
              <w:autoSpaceDE w:val="0"/>
              <w:autoSpaceDN w:val="0"/>
              <w:adjustRightInd w:val="0"/>
              <w:jc w:val="right"/>
              <w:rPr>
                <w:szCs w:val="21"/>
              </w:rPr>
            </w:pPr>
            <w:r>
              <w:t>1,500,000.00</w:t>
            </w:r>
          </w:p>
        </w:tc>
        <w:tc>
          <w:tcPr>
            <w:tcW w:w="632" w:type="pct"/>
            <w:tcBorders>
              <w:top w:val="single" w:sz="4" w:space="0" w:color="auto"/>
              <w:left w:val="single" w:sz="4" w:space="0" w:color="auto"/>
              <w:bottom w:val="single" w:sz="4" w:space="0" w:color="auto"/>
              <w:right w:val="single" w:sz="4" w:space="0" w:color="auto"/>
            </w:tcBorders>
          </w:tcPr>
          <w:p w14:paraId="006C7C36" w14:textId="77777777" w:rsidR="00E57DAA" w:rsidRDefault="00AC4185">
            <w:pPr>
              <w:autoSpaceDE w:val="0"/>
              <w:autoSpaceDN w:val="0"/>
              <w:adjustRightInd w:val="0"/>
              <w:jc w:val="right"/>
              <w:rPr>
                <w:szCs w:val="21"/>
              </w:rPr>
            </w:pPr>
            <w:r>
              <w:t>295,500.00</w:t>
            </w:r>
          </w:p>
        </w:tc>
        <w:tc>
          <w:tcPr>
            <w:tcW w:w="703" w:type="pct"/>
            <w:tcBorders>
              <w:top w:val="single" w:sz="4" w:space="0" w:color="auto"/>
              <w:left w:val="single" w:sz="4" w:space="0" w:color="auto"/>
              <w:bottom w:val="single" w:sz="4" w:space="0" w:color="auto"/>
              <w:right w:val="single" w:sz="4" w:space="0" w:color="auto"/>
            </w:tcBorders>
          </w:tcPr>
          <w:p w14:paraId="5CE5C602" w14:textId="77777777" w:rsidR="00E57DAA" w:rsidRDefault="00AC4185">
            <w:pPr>
              <w:autoSpaceDE w:val="0"/>
              <w:autoSpaceDN w:val="0"/>
              <w:adjustRightInd w:val="0"/>
              <w:jc w:val="right"/>
              <w:rPr>
                <w:szCs w:val="21"/>
              </w:rPr>
            </w:pPr>
            <w:r>
              <w:t>3,500,000.00</w:t>
            </w:r>
          </w:p>
        </w:tc>
        <w:tc>
          <w:tcPr>
            <w:tcW w:w="914" w:type="pct"/>
            <w:tcBorders>
              <w:top w:val="single" w:sz="4" w:space="0" w:color="auto"/>
              <w:left w:val="single" w:sz="4" w:space="0" w:color="auto"/>
              <w:bottom w:val="single" w:sz="4" w:space="0" w:color="auto"/>
              <w:right w:val="single" w:sz="4" w:space="0" w:color="auto"/>
            </w:tcBorders>
          </w:tcPr>
          <w:p w14:paraId="75EA22E0" w14:textId="77777777" w:rsidR="00E57DAA" w:rsidRDefault="00AC4185">
            <w:pPr>
              <w:autoSpaceDE w:val="0"/>
              <w:autoSpaceDN w:val="0"/>
              <w:adjustRightInd w:val="0"/>
              <w:jc w:val="right"/>
              <w:rPr>
                <w:szCs w:val="21"/>
              </w:rPr>
            </w:pPr>
            <w:r>
              <w:t>71,950.00</w:t>
            </w:r>
          </w:p>
        </w:tc>
      </w:tr>
      <w:tr w:rsidR="00E57DAA" w14:paraId="4CDC588B" w14:textId="77777777">
        <w:tc>
          <w:tcPr>
            <w:tcW w:w="677" w:type="pct"/>
            <w:tcBorders>
              <w:top w:val="single" w:sz="4" w:space="0" w:color="auto"/>
              <w:left w:val="single" w:sz="4" w:space="0" w:color="auto"/>
              <w:bottom w:val="single" w:sz="4" w:space="0" w:color="auto"/>
              <w:right w:val="single" w:sz="4" w:space="0" w:color="auto"/>
            </w:tcBorders>
            <w:vAlign w:val="center"/>
          </w:tcPr>
          <w:p w14:paraId="313D8D3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15ECA2D" w14:textId="77777777" w:rsidR="00E57DAA" w:rsidRDefault="00AC4185">
            <w:pPr>
              <w:autoSpaceDE w:val="0"/>
              <w:autoSpaceDN w:val="0"/>
              <w:adjustRightInd w:val="0"/>
              <w:rPr>
                <w:szCs w:val="21"/>
              </w:rPr>
            </w:pPr>
            <w:r>
              <w:t>宁夏建材集团股份有限公司</w:t>
            </w:r>
          </w:p>
        </w:tc>
        <w:tc>
          <w:tcPr>
            <w:tcW w:w="633" w:type="pct"/>
            <w:tcBorders>
              <w:top w:val="single" w:sz="4" w:space="0" w:color="auto"/>
              <w:left w:val="single" w:sz="4" w:space="0" w:color="auto"/>
              <w:bottom w:val="single" w:sz="4" w:space="0" w:color="auto"/>
              <w:right w:val="single" w:sz="4" w:space="0" w:color="auto"/>
            </w:tcBorders>
          </w:tcPr>
          <w:p w14:paraId="4C7EE25C" w14:textId="77777777" w:rsidR="00E57DAA" w:rsidRDefault="00AC4185">
            <w:pPr>
              <w:autoSpaceDE w:val="0"/>
              <w:autoSpaceDN w:val="0"/>
              <w:adjustRightInd w:val="0"/>
              <w:jc w:val="right"/>
              <w:rPr>
                <w:szCs w:val="21"/>
              </w:rPr>
            </w:pPr>
            <w:r>
              <w:t>1,380,000.00</w:t>
            </w:r>
          </w:p>
        </w:tc>
        <w:tc>
          <w:tcPr>
            <w:tcW w:w="632" w:type="pct"/>
            <w:tcBorders>
              <w:top w:val="single" w:sz="4" w:space="0" w:color="auto"/>
              <w:left w:val="single" w:sz="4" w:space="0" w:color="auto"/>
              <w:bottom w:val="single" w:sz="4" w:space="0" w:color="auto"/>
              <w:right w:val="single" w:sz="4" w:space="0" w:color="auto"/>
            </w:tcBorders>
          </w:tcPr>
          <w:p w14:paraId="3ABEBE3C" w14:textId="77777777" w:rsidR="00E57DAA" w:rsidRDefault="00AC4185">
            <w:pPr>
              <w:autoSpaceDE w:val="0"/>
              <w:autoSpaceDN w:val="0"/>
              <w:adjustRightInd w:val="0"/>
              <w:jc w:val="right"/>
              <w:rPr>
                <w:szCs w:val="21"/>
              </w:rPr>
            </w:pPr>
            <w:r>
              <w:t>248,900.00</w:t>
            </w:r>
          </w:p>
        </w:tc>
        <w:tc>
          <w:tcPr>
            <w:tcW w:w="703" w:type="pct"/>
            <w:tcBorders>
              <w:top w:val="single" w:sz="4" w:space="0" w:color="auto"/>
              <w:left w:val="single" w:sz="4" w:space="0" w:color="auto"/>
              <w:bottom w:val="single" w:sz="4" w:space="0" w:color="auto"/>
              <w:right w:val="single" w:sz="4" w:space="0" w:color="auto"/>
            </w:tcBorders>
          </w:tcPr>
          <w:p w14:paraId="4294E355" w14:textId="77777777" w:rsidR="00E57DAA" w:rsidRDefault="00AC4185">
            <w:pPr>
              <w:autoSpaceDE w:val="0"/>
              <w:autoSpaceDN w:val="0"/>
              <w:adjustRightInd w:val="0"/>
              <w:jc w:val="right"/>
              <w:rPr>
                <w:szCs w:val="21"/>
              </w:rPr>
            </w:pPr>
            <w:r>
              <w:t>1,280,000.00</w:t>
            </w:r>
          </w:p>
        </w:tc>
        <w:tc>
          <w:tcPr>
            <w:tcW w:w="914" w:type="pct"/>
            <w:tcBorders>
              <w:top w:val="single" w:sz="4" w:space="0" w:color="auto"/>
              <w:left w:val="single" w:sz="4" w:space="0" w:color="auto"/>
              <w:bottom w:val="single" w:sz="4" w:space="0" w:color="auto"/>
              <w:right w:val="single" w:sz="4" w:space="0" w:color="auto"/>
            </w:tcBorders>
          </w:tcPr>
          <w:p w14:paraId="64E1FE0E" w14:textId="77777777" w:rsidR="00E57DAA" w:rsidRDefault="00AC4185">
            <w:pPr>
              <w:autoSpaceDE w:val="0"/>
              <w:autoSpaceDN w:val="0"/>
              <w:adjustRightInd w:val="0"/>
              <w:jc w:val="right"/>
              <w:rPr>
                <w:szCs w:val="21"/>
              </w:rPr>
            </w:pPr>
            <w:r>
              <w:t>27,800.00</w:t>
            </w:r>
          </w:p>
        </w:tc>
      </w:tr>
      <w:tr w:rsidR="00E57DAA" w14:paraId="44E90979" w14:textId="77777777">
        <w:tc>
          <w:tcPr>
            <w:tcW w:w="677" w:type="pct"/>
            <w:tcBorders>
              <w:top w:val="single" w:sz="4" w:space="0" w:color="auto"/>
              <w:left w:val="single" w:sz="4" w:space="0" w:color="auto"/>
              <w:bottom w:val="single" w:sz="4" w:space="0" w:color="auto"/>
              <w:right w:val="single" w:sz="4" w:space="0" w:color="auto"/>
            </w:tcBorders>
            <w:vAlign w:val="center"/>
          </w:tcPr>
          <w:p w14:paraId="3C3DB73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6A9C5D1" w14:textId="77777777" w:rsidR="00E57DAA" w:rsidRDefault="00AC4185">
            <w:pPr>
              <w:autoSpaceDE w:val="0"/>
              <w:autoSpaceDN w:val="0"/>
              <w:adjustRightInd w:val="0"/>
              <w:rPr>
                <w:szCs w:val="21"/>
              </w:rPr>
            </w:pPr>
            <w:r>
              <w:t>徐州中联水泥有限公司</w:t>
            </w:r>
          </w:p>
        </w:tc>
        <w:tc>
          <w:tcPr>
            <w:tcW w:w="633" w:type="pct"/>
            <w:tcBorders>
              <w:top w:val="single" w:sz="4" w:space="0" w:color="auto"/>
              <w:left w:val="single" w:sz="4" w:space="0" w:color="auto"/>
              <w:bottom w:val="single" w:sz="4" w:space="0" w:color="auto"/>
              <w:right w:val="single" w:sz="4" w:space="0" w:color="auto"/>
            </w:tcBorders>
          </w:tcPr>
          <w:p w14:paraId="5A16B5CC" w14:textId="77777777" w:rsidR="00E57DAA" w:rsidRDefault="00AC4185">
            <w:pPr>
              <w:autoSpaceDE w:val="0"/>
              <w:autoSpaceDN w:val="0"/>
              <w:adjustRightInd w:val="0"/>
              <w:jc w:val="right"/>
              <w:rPr>
                <w:szCs w:val="21"/>
              </w:rPr>
            </w:pPr>
            <w:r>
              <w:t>1,360,000.00</w:t>
            </w:r>
          </w:p>
        </w:tc>
        <w:tc>
          <w:tcPr>
            <w:tcW w:w="632" w:type="pct"/>
            <w:tcBorders>
              <w:top w:val="single" w:sz="4" w:space="0" w:color="auto"/>
              <w:left w:val="single" w:sz="4" w:space="0" w:color="auto"/>
              <w:bottom w:val="single" w:sz="4" w:space="0" w:color="auto"/>
              <w:right w:val="single" w:sz="4" w:space="0" w:color="auto"/>
            </w:tcBorders>
          </w:tcPr>
          <w:p w14:paraId="344928E7" w14:textId="77777777" w:rsidR="00E57DAA" w:rsidRDefault="00AC4185">
            <w:pPr>
              <w:autoSpaceDE w:val="0"/>
              <w:autoSpaceDN w:val="0"/>
              <w:adjustRightInd w:val="0"/>
              <w:jc w:val="right"/>
              <w:rPr>
                <w:szCs w:val="21"/>
              </w:rPr>
            </w:pPr>
            <w:r>
              <w:t>109,050.00</w:t>
            </w:r>
          </w:p>
        </w:tc>
        <w:tc>
          <w:tcPr>
            <w:tcW w:w="703" w:type="pct"/>
            <w:tcBorders>
              <w:top w:val="single" w:sz="4" w:space="0" w:color="auto"/>
              <w:left w:val="single" w:sz="4" w:space="0" w:color="auto"/>
              <w:bottom w:val="single" w:sz="4" w:space="0" w:color="auto"/>
              <w:right w:val="single" w:sz="4" w:space="0" w:color="auto"/>
            </w:tcBorders>
          </w:tcPr>
          <w:p w14:paraId="75B2FEEE" w14:textId="77777777" w:rsidR="00E57DAA" w:rsidRDefault="00AC4185">
            <w:pPr>
              <w:autoSpaceDE w:val="0"/>
              <w:autoSpaceDN w:val="0"/>
              <w:adjustRightInd w:val="0"/>
              <w:jc w:val="right"/>
              <w:rPr>
                <w:szCs w:val="21"/>
              </w:rPr>
            </w:pPr>
            <w:r>
              <w:t>2,070,000.00</w:t>
            </w:r>
          </w:p>
        </w:tc>
        <w:tc>
          <w:tcPr>
            <w:tcW w:w="914" w:type="pct"/>
            <w:tcBorders>
              <w:top w:val="single" w:sz="4" w:space="0" w:color="auto"/>
              <w:left w:val="single" w:sz="4" w:space="0" w:color="auto"/>
              <w:bottom w:val="single" w:sz="4" w:space="0" w:color="auto"/>
              <w:right w:val="single" w:sz="4" w:space="0" w:color="auto"/>
            </w:tcBorders>
          </w:tcPr>
          <w:p w14:paraId="6EEAE892" w14:textId="77777777" w:rsidR="00E57DAA" w:rsidRDefault="00AC4185">
            <w:pPr>
              <w:autoSpaceDE w:val="0"/>
              <w:autoSpaceDN w:val="0"/>
              <w:adjustRightInd w:val="0"/>
              <w:jc w:val="right"/>
              <w:rPr>
                <w:szCs w:val="21"/>
              </w:rPr>
            </w:pPr>
            <w:r>
              <w:t>14,325.00</w:t>
            </w:r>
          </w:p>
        </w:tc>
      </w:tr>
      <w:tr w:rsidR="00E57DAA" w14:paraId="2E355A74" w14:textId="77777777">
        <w:tc>
          <w:tcPr>
            <w:tcW w:w="677" w:type="pct"/>
            <w:tcBorders>
              <w:top w:val="single" w:sz="4" w:space="0" w:color="auto"/>
              <w:left w:val="single" w:sz="4" w:space="0" w:color="auto"/>
              <w:bottom w:val="single" w:sz="4" w:space="0" w:color="auto"/>
              <w:right w:val="single" w:sz="4" w:space="0" w:color="auto"/>
            </w:tcBorders>
            <w:vAlign w:val="center"/>
          </w:tcPr>
          <w:p w14:paraId="3B1D381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AFE32C8" w14:textId="77777777" w:rsidR="00E57DAA" w:rsidRDefault="00AC4185">
            <w:pPr>
              <w:autoSpaceDE w:val="0"/>
              <w:autoSpaceDN w:val="0"/>
              <w:adjustRightInd w:val="0"/>
              <w:rPr>
                <w:szCs w:val="21"/>
              </w:rPr>
            </w:pPr>
            <w:r>
              <w:t>湖南金磊南方水泥有限公司</w:t>
            </w:r>
          </w:p>
        </w:tc>
        <w:tc>
          <w:tcPr>
            <w:tcW w:w="633" w:type="pct"/>
            <w:tcBorders>
              <w:top w:val="single" w:sz="4" w:space="0" w:color="auto"/>
              <w:left w:val="single" w:sz="4" w:space="0" w:color="auto"/>
              <w:bottom w:val="single" w:sz="4" w:space="0" w:color="auto"/>
              <w:right w:val="single" w:sz="4" w:space="0" w:color="auto"/>
            </w:tcBorders>
          </w:tcPr>
          <w:p w14:paraId="34EF0DBB" w14:textId="77777777" w:rsidR="00E57DAA" w:rsidRDefault="00AC4185">
            <w:pPr>
              <w:autoSpaceDE w:val="0"/>
              <w:autoSpaceDN w:val="0"/>
              <w:adjustRightInd w:val="0"/>
              <w:jc w:val="right"/>
              <w:rPr>
                <w:szCs w:val="21"/>
              </w:rPr>
            </w:pPr>
            <w:r>
              <w:t>1,200,000.00</w:t>
            </w:r>
          </w:p>
        </w:tc>
        <w:tc>
          <w:tcPr>
            <w:tcW w:w="632" w:type="pct"/>
            <w:tcBorders>
              <w:top w:val="single" w:sz="4" w:space="0" w:color="auto"/>
              <w:left w:val="single" w:sz="4" w:space="0" w:color="auto"/>
              <w:bottom w:val="single" w:sz="4" w:space="0" w:color="auto"/>
              <w:right w:val="single" w:sz="4" w:space="0" w:color="auto"/>
            </w:tcBorders>
          </w:tcPr>
          <w:p w14:paraId="51EE8823" w14:textId="77777777" w:rsidR="00E57DAA" w:rsidRDefault="00AC4185">
            <w:pPr>
              <w:autoSpaceDE w:val="0"/>
              <w:autoSpaceDN w:val="0"/>
              <w:adjustRightInd w:val="0"/>
              <w:jc w:val="right"/>
              <w:rPr>
                <w:szCs w:val="21"/>
              </w:rPr>
            </w:pPr>
            <w:r>
              <w:t>1,200,000.00</w:t>
            </w:r>
          </w:p>
        </w:tc>
        <w:tc>
          <w:tcPr>
            <w:tcW w:w="703" w:type="pct"/>
            <w:tcBorders>
              <w:top w:val="single" w:sz="4" w:space="0" w:color="auto"/>
              <w:left w:val="single" w:sz="4" w:space="0" w:color="auto"/>
              <w:bottom w:val="single" w:sz="4" w:space="0" w:color="auto"/>
              <w:right w:val="single" w:sz="4" w:space="0" w:color="auto"/>
            </w:tcBorders>
          </w:tcPr>
          <w:p w14:paraId="46E99250" w14:textId="77777777" w:rsidR="00E57DAA" w:rsidRDefault="00AC4185">
            <w:pPr>
              <w:autoSpaceDE w:val="0"/>
              <w:autoSpaceDN w:val="0"/>
              <w:adjustRightInd w:val="0"/>
              <w:jc w:val="right"/>
              <w:rPr>
                <w:szCs w:val="21"/>
              </w:rPr>
            </w:pPr>
            <w:r>
              <w:t>1,200,000.00</w:t>
            </w:r>
          </w:p>
        </w:tc>
        <w:tc>
          <w:tcPr>
            <w:tcW w:w="914" w:type="pct"/>
            <w:tcBorders>
              <w:top w:val="single" w:sz="4" w:space="0" w:color="auto"/>
              <w:left w:val="single" w:sz="4" w:space="0" w:color="auto"/>
              <w:bottom w:val="single" w:sz="4" w:space="0" w:color="auto"/>
              <w:right w:val="single" w:sz="4" w:space="0" w:color="auto"/>
            </w:tcBorders>
          </w:tcPr>
          <w:p w14:paraId="099EDA9C" w14:textId="77777777" w:rsidR="00E57DAA" w:rsidRDefault="00AC4185">
            <w:pPr>
              <w:autoSpaceDE w:val="0"/>
              <w:autoSpaceDN w:val="0"/>
              <w:adjustRightInd w:val="0"/>
              <w:jc w:val="right"/>
              <w:rPr>
                <w:szCs w:val="21"/>
              </w:rPr>
            </w:pPr>
            <w:r>
              <w:t>598,000.00</w:t>
            </w:r>
          </w:p>
        </w:tc>
      </w:tr>
      <w:tr w:rsidR="00E57DAA" w14:paraId="10198A78" w14:textId="77777777">
        <w:tc>
          <w:tcPr>
            <w:tcW w:w="677" w:type="pct"/>
            <w:tcBorders>
              <w:top w:val="single" w:sz="4" w:space="0" w:color="auto"/>
              <w:left w:val="single" w:sz="4" w:space="0" w:color="auto"/>
              <w:bottom w:val="single" w:sz="4" w:space="0" w:color="auto"/>
              <w:right w:val="single" w:sz="4" w:space="0" w:color="auto"/>
            </w:tcBorders>
            <w:vAlign w:val="center"/>
          </w:tcPr>
          <w:p w14:paraId="4FDBEE6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356C714" w14:textId="77777777" w:rsidR="00E57DAA" w:rsidRDefault="00AC4185">
            <w:pPr>
              <w:autoSpaceDE w:val="0"/>
              <w:autoSpaceDN w:val="0"/>
              <w:adjustRightInd w:val="0"/>
              <w:rPr>
                <w:szCs w:val="21"/>
              </w:rPr>
            </w:pPr>
            <w:r>
              <w:t>新疆天山水泥股份有限公司</w:t>
            </w:r>
          </w:p>
        </w:tc>
        <w:tc>
          <w:tcPr>
            <w:tcW w:w="633" w:type="pct"/>
            <w:tcBorders>
              <w:top w:val="single" w:sz="4" w:space="0" w:color="auto"/>
              <w:left w:val="single" w:sz="4" w:space="0" w:color="auto"/>
              <w:bottom w:val="single" w:sz="4" w:space="0" w:color="auto"/>
              <w:right w:val="single" w:sz="4" w:space="0" w:color="auto"/>
            </w:tcBorders>
          </w:tcPr>
          <w:p w14:paraId="7320314A" w14:textId="77777777" w:rsidR="00E57DAA" w:rsidRDefault="00AC4185">
            <w:pPr>
              <w:autoSpaceDE w:val="0"/>
              <w:autoSpaceDN w:val="0"/>
              <w:adjustRightInd w:val="0"/>
              <w:jc w:val="right"/>
              <w:rPr>
                <w:szCs w:val="21"/>
              </w:rPr>
            </w:pPr>
            <w:r>
              <w:t>1,174,500.00</w:t>
            </w:r>
          </w:p>
        </w:tc>
        <w:tc>
          <w:tcPr>
            <w:tcW w:w="632" w:type="pct"/>
            <w:tcBorders>
              <w:top w:val="single" w:sz="4" w:space="0" w:color="auto"/>
              <w:left w:val="single" w:sz="4" w:space="0" w:color="auto"/>
              <w:bottom w:val="single" w:sz="4" w:space="0" w:color="auto"/>
              <w:right w:val="single" w:sz="4" w:space="0" w:color="auto"/>
            </w:tcBorders>
          </w:tcPr>
          <w:p w14:paraId="350FDAB8" w14:textId="77777777" w:rsidR="00E57DAA" w:rsidRDefault="00AC4185">
            <w:pPr>
              <w:autoSpaceDE w:val="0"/>
              <w:autoSpaceDN w:val="0"/>
              <w:adjustRightInd w:val="0"/>
              <w:jc w:val="right"/>
              <w:rPr>
                <w:szCs w:val="21"/>
              </w:rPr>
            </w:pPr>
            <w:r>
              <w:t>117,125.00</w:t>
            </w:r>
          </w:p>
        </w:tc>
        <w:tc>
          <w:tcPr>
            <w:tcW w:w="703" w:type="pct"/>
            <w:tcBorders>
              <w:top w:val="single" w:sz="4" w:space="0" w:color="auto"/>
              <w:left w:val="single" w:sz="4" w:space="0" w:color="auto"/>
              <w:bottom w:val="single" w:sz="4" w:space="0" w:color="auto"/>
              <w:right w:val="single" w:sz="4" w:space="0" w:color="auto"/>
            </w:tcBorders>
          </w:tcPr>
          <w:p w14:paraId="3C46A1FB" w14:textId="77777777" w:rsidR="00E57DAA" w:rsidRDefault="00AC4185">
            <w:pPr>
              <w:autoSpaceDE w:val="0"/>
              <w:autoSpaceDN w:val="0"/>
              <w:adjustRightInd w:val="0"/>
              <w:jc w:val="right"/>
              <w:rPr>
                <w:szCs w:val="21"/>
              </w:rPr>
            </w:pPr>
            <w:r>
              <w:t>1,520,500.00</w:t>
            </w:r>
          </w:p>
        </w:tc>
        <w:tc>
          <w:tcPr>
            <w:tcW w:w="914" w:type="pct"/>
            <w:tcBorders>
              <w:top w:val="single" w:sz="4" w:space="0" w:color="auto"/>
              <w:left w:val="single" w:sz="4" w:space="0" w:color="auto"/>
              <w:bottom w:val="single" w:sz="4" w:space="0" w:color="auto"/>
              <w:right w:val="single" w:sz="4" w:space="0" w:color="auto"/>
            </w:tcBorders>
          </w:tcPr>
          <w:p w14:paraId="7CC0EB8D" w14:textId="77777777" w:rsidR="00E57DAA" w:rsidRDefault="00AC4185">
            <w:pPr>
              <w:autoSpaceDE w:val="0"/>
              <w:autoSpaceDN w:val="0"/>
              <w:adjustRightInd w:val="0"/>
              <w:jc w:val="right"/>
              <w:rPr>
                <w:szCs w:val="21"/>
              </w:rPr>
            </w:pPr>
            <w:r>
              <w:t>38,020.50</w:t>
            </w:r>
          </w:p>
        </w:tc>
      </w:tr>
      <w:tr w:rsidR="00E57DAA" w14:paraId="7EC4AD23" w14:textId="77777777">
        <w:tc>
          <w:tcPr>
            <w:tcW w:w="677" w:type="pct"/>
            <w:tcBorders>
              <w:top w:val="single" w:sz="4" w:space="0" w:color="auto"/>
              <w:left w:val="single" w:sz="4" w:space="0" w:color="auto"/>
              <w:bottom w:val="single" w:sz="4" w:space="0" w:color="auto"/>
              <w:right w:val="single" w:sz="4" w:space="0" w:color="auto"/>
            </w:tcBorders>
            <w:vAlign w:val="center"/>
          </w:tcPr>
          <w:p w14:paraId="3EE1D60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8DC28AC" w14:textId="77777777" w:rsidR="00E57DAA" w:rsidRDefault="00AC4185">
            <w:pPr>
              <w:autoSpaceDE w:val="0"/>
              <w:autoSpaceDN w:val="0"/>
              <w:adjustRightInd w:val="0"/>
              <w:rPr>
                <w:szCs w:val="21"/>
              </w:rPr>
            </w:pPr>
            <w:r>
              <w:t>四川省兆迪水泥有限责任公司</w:t>
            </w:r>
          </w:p>
        </w:tc>
        <w:tc>
          <w:tcPr>
            <w:tcW w:w="633" w:type="pct"/>
            <w:tcBorders>
              <w:top w:val="single" w:sz="4" w:space="0" w:color="auto"/>
              <w:left w:val="single" w:sz="4" w:space="0" w:color="auto"/>
              <w:bottom w:val="single" w:sz="4" w:space="0" w:color="auto"/>
              <w:right w:val="single" w:sz="4" w:space="0" w:color="auto"/>
            </w:tcBorders>
          </w:tcPr>
          <w:p w14:paraId="31114ACB" w14:textId="77777777" w:rsidR="00E57DAA" w:rsidRDefault="00AC4185">
            <w:pPr>
              <w:autoSpaceDE w:val="0"/>
              <w:autoSpaceDN w:val="0"/>
              <w:adjustRightInd w:val="0"/>
              <w:jc w:val="right"/>
              <w:rPr>
                <w:szCs w:val="21"/>
              </w:rPr>
            </w:pPr>
            <w:r>
              <w:t>1,140,000.00</w:t>
            </w:r>
          </w:p>
        </w:tc>
        <w:tc>
          <w:tcPr>
            <w:tcW w:w="632" w:type="pct"/>
            <w:tcBorders>
              <w:top w:val="single" w:sz="4" w:space="0" w:color="auto"/>
              <w:left w:val="single" w:sz="4" w:space="0" w:color="auto"/>
              <w:bottom w:val="single" w:sz="4" w:space="0" w:color="auto"/>
              <w:right w:val="single" w:sz="4" w:space="0" w:color="auto"/>
            </w:tcBorders>
          </w:tcPr>
          <w:p w14:paraId="7F6F0E68" w14:textId="77777777" w:rsidR="00E57DAA" w:rsidRDefault="00AC4185">
            <w:pPr>
              <w:autoSpaceDE w:val="0"/>
              <w:autoSpaceDN w:val="0"/>
              <w:adjustRightInd w:val="0"/>
              <w:jc w:val="right"/>
              <w:rPr>
                <w:szCs w:val="21"/>
              </w:rPr>
            </w:pPr>
            <w:r>
              <w:t>698,730.00</w:t>
            </w:r>
          </w:p>
        </w:tc>
        <w:tc>
          <w:tcPr>
            <w:tcW w:w="703" w:type="pct"/>
            <w:tcBorders>
              <w:top w:val="single" w:sz="4" w:space="0" w:color="auto"/>
              <w:left w:val="single" w:sz="4" w:space="0" w:color="auto"/>
              <w:bottom w:val="single" w:sz="4" w:space="0" w:color="auto"/>
              <w:right w:val="single" w:sz="4" w:space="0" w:color="auto"/>
            </w:tcBorders>
          </w:tcPr>
          <w:p w14:paraId="6288A29E" w14:textId="77777777" w:rsidR="00E57DAA" w:rsidRDefault="00AC4185">
            <w:pPr>
              <w:autoSpaceDE w:val="0"/>
              <w:autoSpaceDN w:val="0"/>
              <w:adjustRightInd w:val="0"/>
              <w:jc w:val="right"/>
              <w:rPr>
                <w:szCs w:val="21"/>
              </w:rPr>
            </w:pPr>
            <w:r>
              <w:t>2,140,000.00</w:t>
            </w:r>
          </w:p>
        </w:tc>
        <w:tc>
          <w:tcPr>
            <w:tcW w:w="914" w:type="pct"/>
            <w:tcBorders>
              <w:top w:val="single" w:sz="4" w:space="0" w:color="auto"/>
              <w:left w:val="single" w:sz="4" w:space="0" w:color="auto"/>
              <w:bottom w:val="single" w:sz="4" w:space="0" w:color="auto"/>
              <w:right w:val="single" w:sz="4" w:space="0" w:color="auto"/>
            </w:tcBorders>
          </w:tcPr>
          <w:p w14:paraId="2ED36489" w14:textId="77777777" w:rsidR="00E57DAA" w:rsidRDefault="00AC4185">
            <w:pPr>
              <w:autoSpaceDE w:val="0"/>
              <w:autoSpaceDN w:val="0"/>
              <w:adjustRightInd w:val="0"/>
              <w:jc w:val="right"/>
              <w:rPr>
                <w:szCs w:val="21"/>
              </w:rPr>
            </w:pPr>
            <w:r>
              <w:t>706,910.00</w:t>
            </w:r>
          </w:p>
        </w:tc>
      </w:tr>
      <w:tr w:rsidR="00E57DAA" w14:paraId="649925CC" w14:textId="77777777">
        <w:tc>
          <w:tcPr>
            <w:tcW w:w="677" w:type="pct"/>
            <w:tcBorders>
              <w:top w:val="single" w:sz="4" w:space="0" w:color="auto"/>
              <w:left w:val="single" w:sz="4" w:space="0" w:color="auto"/>
              <w:bottom w:val="single" w:sz="4" w:space="0" w:color="auto"/>
              <w:right w:val="single" w:sz="4" w:space="0" w:color="auto"/>
            </w:tcBorders>
            <w:vAlign w:val="center"/>
          </w:tcPr>
          <w:p w14:paraId="5A3321F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6AA92C9" w14:textId="77777777" w:rsidR="00E57DAA" w:rsidRDefault="00AC4185">
            <w:pPr>
              <w:autoSpaceDE w:val="0"/>
              <w:autoSpaceDN w:val="0"/>
              <w:adjustRightInd w:val="0"/>
              <w:rPr>
                <w:szCs w:val="21"/>
              </w:rPr>
            </w:pPr>
            <w:r>
              <w:t>崇左南方水泥有限公司</w:t>
            </w:r>
          </w:p>
        </w:tc>
        <w:tc>
          <w:tcPr>
            <w:tcW w:w="633" w:type="pct"/>
            <w:tcBorders>
              <w:top w:val="single" w:sz="4" w:space="0" w:color="auto"/>
              <w:left w:val="single" w:sz="4" w:space="0" w:color="auto"/>
              <w:bottom w:val="single" w:sz="4" w:space="0" w:color="auto"/>
              <w:right w:val="single" w:sz="4" w:space="0" w:color="auto"/>
            </w:tcBorders>
          </w:tcPr>
          <w:p w14:paraId="08CE209C" w14:textId="77777777" w:rsidR="00E57DAA" w:rsidRDefault="00AC4185">
            <w:pPr>
              <w:autoSpaceDE w:val="0"/>
              <w:autoSpaceDN w:val="0"/>
              <w:adjustRightInd w:val="0"/>
              <w:jc w:val="right"/>
              <w:rPr>
                <w:szCs w:val="21"/>
              </w:rPr>
            </w:pPr>
            <w:r>
              <w:t>1,105,191.63</w:t>
            </w:r>
          </w:p>
        </w:tc>
        <w:tc>
          <w:tcPr>
            <w:tcW w:w="632" w:type="pct"/>
            <w:tcBorders>
              <w:top w:val="single" w:sz="4" w:space="0" w:color="auto"/>
              <w:left w:val="single" w:sz="4" w:space="0" w:color="auto"/>
              <w:bottom w:val="single" w:sz="4" w:space="0" w:color="auto"/>
              <w:right w:val="single" w:sz="4" w:space="0" w:color="auto"/>
            </w:tcBorders>
          </w:tcPr>
          <w:p w14:paraId="66C5B040" w14:textId="77777777" w:rsidR="00E57DAA" w:rsidRDefault="00AC4185">
            <w:pPr>
              <w:autoSpaceDE w:val="0"/>
              <w:autoSpaceDN w:val="0"/>
              <w:adjustRightInd w:val="0"/>
              <w:jc w:val="right"/>
              <w:rPr>
                <w:szCs w:val="21"/>
              </w:rPr>
            </w:pPr>
            <w:r>
              <w:t>359,967.25</w:t>
            </w:r>
          </w:p>
        </w:tc>
        <w:tc>
          <w:tcPr>
            <w:tcW w:w="703" w:type="pct"/>
            <w:tcBorders>
              <w:top w:val="single" w:sz="4" w:space="0" w:color="auto"/>
              <w:left w:val="single" w:sz="4" w:space="0" w:color="auto"/>
              <w:bottom w:val="single" w:sz="4" w:space="0" w:color="auto"/>
              <w:right w:val="single" w:sz="4" w:space="0" w:color="auto"/>
            </w:tcBorders>
          </w:tcPr>
          <w:p w14:paraId="49076E34" w14:textId="77777777" w:rsidR="00E57DAA" w:rsidRDefault="00AC4185">
            <w:pPr>
              <w:autoSpaceDE w:val="0"/>
              <w:autoSpaceDN w:val="0"/>
              <w:adjustRightInd w:val="0"/>
              <w:jc w:val="right"/>
              <w:rPr>
                <w:szCs w:val="21"/>
              </w:rPr>
            </w:pPr>
            <w:r>
              <w:t>1,650,000.00</w:t>
            </w:r>
          </w:p>
        </w:tc>
        <w:tc>
          <w:tcPr>
            <w:tcW w:w="914" w:type="pct"/>
            <w:tcBorders>
              <w:top w:val="single" w:sz="4" w:space="0" w:color="auto"/>
              <w:left w:val="single" w:sz="4" w:space="0" w:color="auto"/>
              <w:bottom w:val="single" w:sz="4" w:space="0" w:color="auto"/>
              <w:right w:val="single" w:sz="4" w:space="0" w:color="auto"/>
            </w:tcBorders>
          </w:tcPr>
          <w:p w14:paraId="3D1B8A65" w14:textId="77777777" w:rsidR="00E57DAA" w:rsidRDefault="00AC4185">
            <w:pPr>
              <w:autoSpaceDE w:val="0"/>
              <w:autoSpaceDN w:val="0"/>
              <w:adjustRightInd w:val="0"/>
              <w:jc w:val="right"/>
              <w:rPr>
                <w:szCs w:val="21"/>
              </w:rPr>
            </w:pPr>
            <w:r>
              <w:t>191,725.00</w:t>
            </w:r>
          </w:p>
        </w:tc>
      </w:tr>
      <w:tr w:rsidR="00E57DAA" w14:paraId="57DC2C1A" w14:textId="77777777">
        <w:tc>
          <w:tcPr>
            <w:tcW w:w="677" w:type="pct"/>
            <w:tcBorders>
              <w:top w:val="single" w:sz="4" w:space="0" w:color="auto"/>
              <w:left w:val="single" w:sz="4" w:space="0" w:color="auto"/>
              <w:bottom w:val="single" w:sz="4" w:space="0" w:color="auto"/>
              <w:right w:val="single" w:sz="4" w:space="0" w:color="auto"/>
            </w:tcBorders>
            <w:vAlign w:val="center"/>
          </w:tcPr>
          <w:p w14:paraId="624BEC8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5BE0D0D" w14:textId="77777777" w:rsidR="00E57DAA" w:rsidRDefault="00AC4185">
            <w:pPr>
              <w:autoSpaceDE w:val="0"/>
              <w:autoSpaceDN w:val="0"/>
              <w:adjustRightInd w:val="0"/>
              <w:rPr>
                <w:szCs w:val="21"/>
              </w:rPr>
            </w:pPr>
            <w:r>
              <w:t>会东利森水泥有限公司</w:t>
            </w:r>
          </w:p>
        </w:tc>
        <w:tc>
          <w:tcPr>
            <w:tcW w:w="633" w:type="pct"/>
            <w:tcBorders>
              <w:top w:val="single" w:sz="4" w:space="0" w:color="auto"/>
              <w:left w:val="single" w:sz="4" w:space="0" w:color="auto"/>
              <w:bottom w:val="single" w:sz="4" w:space="0" w:color="auto"/>
              <w:right w:val="single" w:sz="4" w:space="0" w:color="auto"/>
            </w:tcBorders>
          </w:tcPr>
          <w:p w14:paraId="370777ED" w14:textId="77777777" w:rsidR="00E57DAA" w:rsidRDefault="00AC4185">
            <w:pPr>
              <w:autoSpaceDE w:val="0"/>
              <w:autoSpaceDN w:val="0"/>
              <w:adjustRightInd w:val="0"/>
              <w:jc w:val="right"/>
              <w:rPr>
                <w:szCs w:val="21"/>
              </w:rPr>
            </w:pPr>
            <w:r>
              <w:t>1,002,000.00</w:t>
            </w:r>
          </w:p>
        </w:tc>
        <w:tc>
          <w:tcPr>
            <w:tcW w:w="632" w:type="pct"/>
            <w:tcBorders>
              <w:top w:val="single" w:sz="4" w:space="0" w:color="auto"/>
              <w:left w:val="single" w:sz="4" w:space="0" w:color="auto"/>
              <w:bottom w:val="single" w:sz="4" w:space="0" w:color="auto"/>
              <w:right w:val="single" w:sz="4" w:space="0" w:color="auto"/>
            </w:tcBorders>
          </w:tcPr>
          <w:p w14:paraId="34908E86" w14:textId="77777777" w:rsidR="00E57DAA" w:rsidRDefault="00AC4185">
            <w:pPr>
              <w:autoSpaceDE w:val="0"/>
              <w:autoSpaceDN w:val="0"/>
              <w:adjustRightInd w:val="0"/>
              <w:jc w:val="right"/>
              <w:rPr>
                <w:szCs w:val="21"/>
              </w:rPr>
            </w:pPr>
            <w:r>
              <w:t>346,800.00</w:t>
            </w:r>
          </w:p>
        </w:tc>
        <w:tc>
          <w:tcPr>
            <w:tcW w:w="703" w:type="pct"/>
            <w:tcBorders>
              <w:top w:val="single" w:sz="4" w:space="0" w:color="auto"/>
              <w:left w:val="single" w:sz="4" w:space="0" w:color="auto"/>
              <w:bottom w:val="single" w:sz="4" w:space="0" w:color="auto"/>
              <w:right w:val="single" w:sz="4" w:space="0" w:color="auto"/>
            </w:tcBorders>
          </w:tcPr>
          <w:p w14:paraId="28B872D6" w14:textId="77777777" w:rsidR="00E57DAA" w:rsidRDefault="00AC4185">
            <w:pPr>
              <w:autoSpaceDE w:val="0"/>
              <w:autoSpaceDN w:val="0"/>
              <w:adjustRightInd w:val="0"/>
              <w:jc w:val="right"/>
              <w:rPr>
                <w:szCs w:val="21"/>
              </w:rPr>
            </w:pPr>
            <w:r>
              <w:t>1,005,000.00</w:t>
            </w:r>
          </w:p>
        </w:tc>
        <w:tc>
          <w:tcPr>
            <w:tcW w:w="914" w:type="pct"/>
            <w:tcBorders>
              <w:top w:val="single" w:sz="4" w:space="0" w:color="auto"/>
              <w:left w:val="single" w:sz="4" w:space="0" w:color="auto"/>
              <w:bottom w:val="single" w:sz="4" w:space="0" w:color="auto"/>
              <w:right w:val="single" w:sz="4" w:space="0" w:color="auto"/>
            </w:tcBorders>
          </w:tcPr>
          <w:p w14:paraId="471A5282" w14:textId="77777777" w:rsidR="00E57DAA" w:rsidRDefault="00AC4185">
            <w:pPr>
              <w:autoSpaceDE w:val="0"/>
              <w:autoSpaceDN w:val="0"/>
              <w:adjustRightInd w:val="0"/>
              <w:jc w:val="right"/>
              <w:rPr>
                <w:szCs w:val="21"/>
              </w:rPr>
            </w:pPr>
            <w:r>
              <w:t>522,050.00</w:t>
            </w:r>
          </w:p>
        </w:tc>
      </w:tr>
      <w:tr w:rsidR="00E57DAA" w14:paraId="42BC817F" w14:textId="77777777">
        <w:tc>
          <w:tcPr>
            <w:tcW w:w="677" w:type="pct"/>
            <w:tcBorders>
              <w:top w:val="single" w:sz="4" w:space="0" w:color="auto"/>
              <w:left w:val="single" w:sz="4" w:space="0" w:color="auto"/>
              <w:bottom w:val="single" w:sz="4" w:space="0" w:color="auto"/>
              <w:right w:val="single" w:sz="4" w:space="0" w:color="auto"/>
            </w:tcBorders>
            <w:vAlign w:val="center"/>
          </w:tcPr>
          <w:p w14:paraId="3494CA5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B237732" w14:textId="77777777" w:rsidR="00E57DAA" w:rsidRDefault="00AC4185">
            <w:pPr>
              <w:autoSpaceDE w:val="0"/>
              <w:autoSpaceDN w:val="0"/>
              <w:adjustRightInd w:val="0"/>
              <w:rPr>
                <w:szCs w:val="21"/>
              </w:rPr>
            </w:pPr>
            <w:r>
              <w:t>四川利森建材集团有限公司</w:t>
            </w:r>
          </w:p>
        </w:tc>
        <w:tc>
          <w:tcPr>
            <w:tcW w:w="633" w:type="pct"/>
            <w:tcBorders>
              <w:top w:val="single" w:sz="4" w:space="0" w:color="auto"/>
              <w:left w:val="single" w:sz="4" w:space="0" w:color="auto"/>
              <w:bottom w:val="single" w:sz="4" w:space="0" w:color="auto"/>
              <w:right w:val="single" w:sz="4" w:space="0" w:color="auto"/>
            </w:tcBorders>
          </w:tcPr>
          <w:p w14:paraId="2AA0A237" w14:textId="77777777" w:rsidR="00E57DAA" w:rsidRDefault="00AC4185">
            <w:pPr>
              <w:autoSpaceDE w:val="0"/>
              <w:autoSpaceDN w:val="0"/>
              <w:adjustRightInd w:val="0"/>
              <w:jc w:val="right"/>
              <w:rPr>
                <w:szCs w:val="21"/>
              </w:rPr>
            </w:pPr>
            <w:r>
              <w:t>1,002,000.00</w:t>
            </w:r>
          </w:p>
        </w:tc>
        <w:tc>
          <w:tcPr>
            <w:tcW w:w="632" w:type="pct"/>
            <w:tcBorders>
              <w:top w:val="single" w:sz="4" w:space="0" w:color="auto"/>
              <w:left w:val="single" w:sz="4" w:space="0" w:color="auto"/>
              <w:bottom w:val="single" w:sz="4" w:space="0" w:color="auto"/>
              <w:right w:val="single" w:sz="4" w:space="0" w:color="auto"/>
            </w:tcBorders>
          </w:tcPr>
          <w:p w14:paraId="6F7BE4C8" w14:textId="77777777" w:rsidR="00E57DAA" w:rsidRDefault="00AC4185">
            <w:pPr>
              <w:autoSpaceDE w:val="0"/>
              <w:autoSpaceDN w:val="0"/>
              <w:adjustRightInd w:val="0"/>
              <w:jc w:val="right"/>
              <w:rPr>
                <w:szCs w:val="21"/>
              </w:rPr>
            </w:pPr>
            <w:r>
              <w:t>90,274.00</w:t>
            </w:r>
          </w:p>
        </w:tc>
        <w:tc>
          <w:tcPr>
            <w:tcW w:w="703" w:type="pct"/>
            <w:tcBorders>
              <w:top w:val="single" w:sz="4" w:space="0" w:color="auto"/>
              <w:left w:val="single" w:sz="4" w:space="0" w:color="auto"/>
              <w:bottom w:val="single" w:sz="4" w:space="0" w:color="auto"/>
              <w:right w:val="single" w:sz="4" w:space="0" w:color="auto"/>
            </w:tcBorders>
          </w:tcPr>
          <w:p w14:paraId="7F04AD76" w14:textId="77777777" w:rsidR="00E57DAA" w:rsidRDefault="00AC4185">
            <w:pPr>
              <w:autoSpaceDE w:val="0"/>
              <w:autoSpaceDN w:val="0"/>
              <w:adjustRightInd w:val="0"/>
              <w:jc w:val="right"/>
              <w:rPr>
                <w:szCs w:val="21"/>
              </w:rPr>
            </w:pPr>
            <w:r>
              <w:t>2,000.00</w:t>
            </w:r>
          </w:p>
        </w:tc>
        <w:tc>
          <w:tcPr>
            <w:tcW w:w="914" w:type="pct"/>
            <w:tcBorders>
              <w:top w:val="single" w:sz="4" w:space="0" w:color="auto"/>
              <w:left w:val="single" w:sz="4" w:space="0" w:color="auto"/>
              <w:bottom w:val="single" w:sz="4" w:space="0" w:color="auto"/>
              <w:right w:val="single" w:sz="4" w:space="0" w:color="auto"/>
            </w:tcBorders>
          </w:tcPr>
          <w:p w14:paraId="717F7BC7" w14:textId="77777777" w:rsidR="00E57DAA" w:rsidRDefault="00AC4185">
            <w:pPr>
              <w:autoSpaceDE w:val="0"/>
              <w:autoSpaceDN w:val="0"/>
              <w:adjustRightInd w:val="0"/>
              <w:jc w:val="right"/>
              <w:rPr>
                <w:szCs w:val="21"/>
              </w:rPr>
            </w:pPr>
            <w:r>
              <w:t>42</w:t>
            </w:r>
          </w:p>
        </w:tc>
      </w:tr>
      <w:tr w:rsidR="00E57DAA" w14:paraId="37F747CC" w14:textId="77777777">
        <w:tc>
          <w:tcPr>
            <w:tcW w:w="677" w:type="pct"/>
            <w:tcBorders>
              <w:top w:val="single" w:sz="4" w:space="0" w:color="auto"/>
              <w:left w:val="single" w:sz="4" w:space="0" w:color="auto"/>
              <w:bottom w:val="single" w:sz="4" w:space="0" w:color="auto"/>
              <w:right w:val="single" w:sz="4" w:space="0" w:color="auto"/>
            </w:tcBorders>
            <w:vAlign w:val="center"/>
          </w:tcPr>
          <w:p w14:paraId="54C0B6E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034DC77" w14:textId="77777777" w:rsidR="00E57DAA" w:rsidRDefault="00AC4185">
            <w:pPr>
              <w:autoSpaceDE w:val="0"/>
              <w:autoSpaceDN w:val="0"/>
              <w:adjustRightInd w:val="0"/>
              <w:rPr>
                <w:szCs w:val="21"/>
              </w:rPr>
            </w:pPr>
            <w:r>
              <w:t>毕节赛德水泥有限公司</w:t>
            </w:r>
          </w:p>
        </w:tc>
        <w:tc>
          <w:tcPr>
            <w:tcW w:w="633" w:type="pct"/>
            <w:tcBorders>
              <w:top w:val="single" w:sz="4" w:space="0" w:color="auto"/>
              <w:left w:val="single" w:sz="4" w:space="0" w:color="auto"/>
              <w:bottom w:val="single" w:sz="4" w:space="0" w:color="auto"/>
              <w:right w:val="single" w:sz="4" w:space="0" w:color="auto"/>
            </w:tcBorders>
          </w:tcPr>
          <w:p w14:paraId="06FA64FA"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4F007096" w14:textId="77777777" w:rsidR="00E57DAA" w:rsidRDefault="00AC4185">
            <w:pPr>
              <w:autoSpaceDE w:val="0"/>
              <w:autoSpaceDN w:val="0"/>
              <w:adjustRightInd w:val="0"/>
              <w:jc w:val="right"/>
              <w:rPr>
                <w:szCs w:val="21"/>
              </w:rPr>
            </w:pPr>
            <w:r>
              <w:t>465,000.00</w:t>
            </w:r>
          </w:p>
        </w:tc>
        <w:tc>
          <w:tcPr>
            <w:tcW w:w="703" w:type="pct"/>
            <w:tcBorders>
              <w:top w:val="single" w:sz="4" w:space="0" w:color="auto"/>
              <w:left w:val="single" w:sz="4" w:space="0" w:color="auto"/>
              <w:bottom w:val="single" w:sz="4" w:space="0" w:color="auto"/>
              <w:right w:val="single" w:sz="4" w:space="0" w:color="auto"/>
            </w:tcBorders>
          </w:tcPr>
          <w:p w14:paraId="5EEC0153"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1EFBABB7" w14:textId="77777777" w:rsidR="00E57DAA" w:rsidRDefault="00AC4185">
            <w:pPr>
              <w:autoSpaceDE w:val="0"/>
              <w:autoSpaceDN w:val="0"/>
              <w:adjustRightInd w:val="0"/>
              <w:jc w:val="right"/>
              <w:rPr>
                <w:szCs w:val="21"/>
              </w:rPr>
            </w:pPr>
            <w:r>
              <w:t>25,000.00</w:t>
            </w:r>
          </w:p>
        </w:tc>
      </w:tr>
      <w:tr w:rsidR="00E57DAA" w14:paraId="7CA61151" w14:textId="77777777">
        <w:tc>
          <w:tcPr>
            <w:tcW w:w="677" w:type="pct"/>
            <w:tcBorders>
              <w:top w:val="single" w:sz="4" w:space="0" w:color="auto"/>
              <w:left w:val="single" w:sz="4" w:space="0" w:color="auto"/>
              <w:bottom w:val="single" w:sz="4" w:space="0" w:color="auto"/>
              <w:right w:val="single" w:sz="4" w:space="0" w:color="auto"/>
            </w:tcBorders>
            <w:vAlign w:val="center"/>
          </w:tcPr>
          <w:p w14:paraId="248A3F6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6AFAB55" w14:textId="77777777" w:rsidR="00E57DAA" w:rsidRDefault="00AC4185">
            <w:pPr>
              <w:autoSpaceDE w:val="0"/>
              <w:autoSpaceDN w:val="0"/>
              <w:adjustRightInd w:val="0"/>
              <w:rPr>
                <w:szCs w:val="21"/>
              </w:rPr>
            </w:pPr>
            <w:r>
              <w:t>贵州德隆水泥有限公司</w:t>
            </w:r>
          </w:p>
        </w:tc>
        <w:tc>
          <w:tcPr>
            <w:tcW w:w="633" w:type="pct"/>
            <w:tcBorders>
              <w:top w:val="single" w:sz="4" w:space="0" w:color="auto"/>
              <w:left w:val="single" w:sz="4" w:space="0" w:color="auto"/>
              <w:bottom w:val="single" w:sz="4" w:space="0" w:color="auto"/>
              <w:right w:val="single" w:sz="4" w:space="0" w:color="auto"/>
            </w:tcBorders>
          </w:tcPr>
          <w:p w14:paraId="7C4CD64F"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2AC68D43" w14:textId="77777777" w:rsidR="00E57DAA" w:rsidRDefault="00AC4185">
            <w:pPr>
              <w:autoSpaceDE w:val="0"/>
              <w:autoSpaceDN w:val="0"/>
              <w:adjustRightInd w:val="0"/>
              <w:jc w:val="right"/>
              <w:rPr>
                <w:szCs w:val="21"/>
              </w:rPr>
            </w:pPr>
            <w:r>
              <w:t>398,400.00</w:t>
            </w:r>
          </w:p>
        </w:tc>
        <w:tc>
          <w:tcPr>
            <w:tcW w:w="703" w:type="pct"/>
            <w:tcBorders>
              <w:top w:val="single" w:sz="4" w:space="0" w:color="auto"/>
              <w:left w:val="single" w:sz="4" w:space="0" w:color="auto"/>
              <w:bottom w:val="single" w:sz="4" w:space="0" w:color="auto"/>
              <w:right w:val="single" w:sz="4" w:space="0" w:color="auto"/>
            </w:tcBorders>
          </w:tcPr>
          <w:p w14:paraId="1E2600DC"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32FBB045" w14:textId="77777777" w:rsidR="00E57DAA" w:rsidRDefault="00AC4185">
            <w:pPr>
              <w:autoSpaceDE w:val="0"/>
              <w:autoSpaceDN w:val="0"/>
              <w:adjustRightInd w:val="0"/>
              <w:jc w:val="right"/>
              <w:rPr>
                <w:szCs w:val="21"/>
              </w:rPr>
            </w:pPr>
            <w:r>
              <w:t>31,210.00</w:t>
            </w:r>
          </w:p>
        </w:tc>
      </w:tr>
      <w:tr w:rsidR="00E57DAA" w14:paraId="07C87E40" w14:textId="77777777">
        <w:tc>
          <w:tcPr>
            <w:tcW w:w="677" w:type="pct"/>
            <w:tcBorders>
              <w:top w:val="single" w:sz="4" w:space="0" w:color="auto"/>
              <w:left w:val="single" w:sz="4" w:space="0" w:color="auto"/>
              <w:bottom w:val="single" w:sz="4" w:space="0" w:color="auto"/>
              <w:right w:val="single" w:sz="4" w:space="0" w:color="auto"/>
            </w:tcBorders>
            <w:vAlign w:val="center"/>
          </w:tcPr>
          <w:p w14:paraId="09F350D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671A1EC" w14:textId="77777777" w:rsidR="00E57DAA" w:rsidRDefault="00AC4185">
            <w:pPr>
              <w:autoSpaceDE w:val="0"/>
              <w:autoSpaceDN w:val="0"/>
              <w:adjustRightInd w:val="0"/>
              <w:rPr>
                <w:szCs w:val="21"/>
              </w:rPr>
            </w:pPr>
            <w:r>
              <w:t>贵州森垚水泥有限公司</w:t>
            </w:r>
          </w:p>
        </w:tc>
        <w:tc>
          <w:tcPr>
            <w:tcW w:w="633" w:type="pct"/>
            <w:tcBorders>
              <w:top w:val="single" w:sz="4" w:space="0" w:color="auto"/>
              <w:left w:val="single" w:sz="4" w:space="0" w:color="auto"/>
              <w:bottom w:val="single" w:sz="4" w:space="0" w:color="auto"/>
              <w:right w:val="single" w:sz="4" w:space="0" w:color="auto"/>
            </w:tcBorders>
          </w:tcPr>
          <w:p w14:paraId="605DB5B2"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06105B23" w14:textId="77777777" w:rsidR="00E57DAA" w:rsidRDefault="00AC4185">
            <w:pPr>
              <w:autoSpaceDE w:val="0"/>
              <w:autoSpaceDN w:val="0"/>
              <w:adjustRightInd w:val="0"/>
              <w:jc w:val="right"/>
              <w:rPr>
                <w:szCs w:val="21"/>
              </w:rPr>
            </w:pPr>
            <w:r>
              <w:t>197,000.00</w:t>
            </w:r>
          </w:p>
        </w:tc>
        <w:tc>
          <w:tcPr>
            <w:tcW w:w="703" w:type="pct"/>
            <w:tcBorders>
              <w:top w:val="single" w:sz="4" w:space="0" w:color="auto"/>
              <w:left w:val="single" w:sz="4" w:space="0" w:color="auto"/>
              <w:bottom w:val="single" w:sz="4" w:space="0" w:color="auto"/>
              <w:right w:val="single" w:sz="4" w:space="0" w:color="auto"/>
            </w:tcBorders>
          </w:tcPr>
          <w:p w14:paraId="3C850FA7"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57B64D83" w14:textId="77777777" w:rsidR="00E57DAA" w:rsidRDefault="00AC4185">
            <w:pPr>
              <w:autoSpaceDE w:val="0"/>
              <w:autoSpaceDN w:val="0"/>
              <w:adjustRightInd w:val="0"/>
              <w:jc w:val="right"/>
              <w:rPr>
                <w:szCs w:val="21"/>
              </w:rPr>
            </w:pPr>
            <w:r>
              <w:t>6,500.00</w:t>
            </w:r>
          </w:p>
        </w:tc>
      </w:tr>
      <w:tr w:rsidR="00E57DAA" w14:paraId="1755295C" w14:textId="77777777">
        <w:tc>
          <w:tcPr>
            <w:tcW w:w="677" w:type="pct"/>
            <w:tcBorders>
              <w:top w:val="single" w:sz="4" w:space="0" w:color="auto"/>
              <w:left w:val="single" w:sz="4" w:space="0" w:color="auto"/>
              <w:bottom w:val="single" w:sz="4" w:space="0" w:color="auto"/>
              <w:right w:val="single" w:sz="4" w:space="0" w:color="auto"/>
            </w:tcBorders>
            <w:vAlign w:val="center"/>
          </w:tcPr>
          <w:p w14:paraId="31A000B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475CEB" w14:textId="77777777" w:rsidR="00E57DAA" w:rsidRDefault="00AC4185">
            <w:pPr>
              <w:autoSpaceDE w:val="0"/>
              <w:autoSpaceDN w:val="0"/>
              <w:adjustRightInd w:val="0"/>
              <w:rPr>
                <w:szCs w:val="21"/>
              </w:rPr>
            </w:pPr>
            <w:r>
              <w:t>贵州兴义西南水泥有限公司</w:t>
            </w:r>
          </w:p>
        </w:tc>
        <w:tc>
          <w:tcPr>
            <w:tcW w:w="633" w:type="pct"/>
            <w:tcBorders>
              <w:top w:val="single" w:sz="4" w:space="0" w:color="auto"/>
              <w:left w:val="single" w:sz="4" w:space="0" w:color="auto"/>
              <w:bottom w:val="single" w:sz="4" w:space="0" w:color="auto"/>
              <w:right w:val="single" w:sz="4" w:space="0" w:color="auto"/>
            </w:tcBorders>
          </w:tcPr>
          <w:p w14:paraId="66C47C4F"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1AE1D3D8" w14:textId="77777777" w:rsidR="00E57DAA" w:rsidRDefault="00AC4185">
            <w:pPr>
              <w:autoSpaceDE w:val="0"/>
              <w:autoSpaceDN w:val="0"/>
              <w:adjustRightInd w:val="0"/>
              <w:jc w:val="right"/>
              <w:rPr>
                <w:szCs w:val="21"/>
              </w:rPr>
            </w:pPr>
            <w:r>
              <w:t>197,000.00</w:t>
            </w:r>
          </w:p>
        </w:tc>
        <w:tc>
          <w:tcPr>
            <w:tcW w:w="703" w:type="pct"/>
            <w:tcBorders>
              <w:top w:val="single" w:sz="4" w:space="0" w:color="auto"/>
              <w:left w:val="single" w:sz="4" w:space="0" w:color="auto"/>
              <w:bottom w:val="single" w:sz="4" w:space="0" w:color="auto"/>
              <w:right w:val="single" w:sz="4" w:space="0" w:color="auto"/>
            </w:tcBorders>
          </w:tcPr>
          <w:p w14:paraId="6488C395"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6DC41B38" w14:textId="77777777" w:rsidR="00E57DAA" w:rsidRDefault="00AC4185">
            <w:pPr>
              <w:autoSpaceDE w:val="0"/>
              <w:autoSpaceDN w:val="0"/>
              <w:adjustRightInd w:val="0"/>
              <w:jc w:val="right"/>
              <w:rPr>
                <w:szCs w:val="21"/>
              </w:rPr>
            </w:pPr>
            <w:r>
              <w:t>6,500.00</w:t>
            </w:r>
          </w:p>
        </w:tc>
      </w:tr>
      <w:tr w:rsidR="00E57DAA" w14:paraId="5B967E80" w14:textId="77777777">
        <w:tc>
          <w:tcPr>
            <w:tcW w:w="677" w:type="pct"/>
            <w:tcBorders>
              <w:top w:val="single" w:sz="4" w:space="0" w:color="auto"/>
              <w:left w:val="single" w:sz="4" w:space="0" w:color="auto"/>
              <w:bottom w:val="single" w:sz="4" w:space="0" w:color="auto"/>
              <w:right w:val="single" w:sz="4" w:space="0" w:color="auto"/>
            </w:tcBorders>
            <w:vAlign w:val="center"/>
          </w:tcPr>
          <w:p w14:paraId="3920653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AD7008A" w14:textId="77777777" w:rsidR="00E57DAA" w:rsidRDefault="00AC4185">
            <w:pPr>
              <w:autoSpaceDE w:val="0"/>
              <w:autoSpaceDN w:val="0"/>
              <w:adjustRightInd w:val="0"/>
              <w:rPr>
                <w:szCs w:val="21"/>
              </w:rPr>
            </w:pPr>
            <w:r>
              <w:t>黑龙江省宾州水泥有限公司</w:t>
            </w:r>
          </w:p>
        </w:tc>
        <w:tc>
          <w:tcPr>
            <w:tcW w:w="633" w:type="pct"/>
            <w:tcBorders>
              <w:top w:val="single" w:sz="4" w:space="0" w:color="auto"/>
              <w:left w:val="single" w:sz="4" w:space="0" w:color="auto"/>
              <w:bottom w:val="single" w:sz="4" w:space="0" w:color="auto"/>
              <w:right w:val="single" w:sz="4" w:space="0" w:color="auto"/>
            </w:tcBorders>
          </w:tcPr>
          <w:p w14:paraId="153C6BA7"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49FA9E04" w14:textId="77777777" w:rsidR="00E57DAA" w:rsidRDefault="00AC4185">
            <w:pPr>
              <w:autoSpaceDE w:val="0"/>
              <w:autoSpaceDN w:val="0"/>
              <w:adjustRightInd w:val="0"/>
              <w:jc w:val="right"/>
              <w:rPr>
                <w:szCs w:val="21"/>
              </w:rPr>
            </w:pPr>
            <w:r>
              <w:t>465,000.00</w:t>
            </w:r>
          </w:p>
        </w:tc>
        <w:tc>
          <w:tcPr>
            <w:tcW w:w="703" w:type="pct"/>
            <w:tcBorders>
              <w:top w:val="single" w:sz="4" w:space="0" w:color="auto"/>
              <w:left w:val="single" w:sz="4" w:space="0" w:color="auto"/>
              <w:bottom w:val="single" w:sz="4" w:space="0" w:color="auto"/>
              <w:right w:val="single" w:sz="4" w:space="0" w:color="auto"/>
            </w:tcBorders>
          </w:tcPr>
          <w:p w14:paraId="2E8CC9B5"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6A22FED1" w14:textId="77777777" w:rsidR="00E57DAA" w:rsidRDefault="00AC4185">
            <w:pPr>
              <w:autoSpaceDE w:val="0"/>
              <w:autoSpaceDN w:val="0"/>
              <w:adjustRightInd w:val="0"/>
              <w:jc w:val="right"/>
              <w:rPr>
                <w:szCs w:val="21"/>
              </w:rPr>
            </w:pPr>
            <w:r>
              <w:t>129,000.00</w:t>
            </w:r>
          </w:p>
        </w:tc>
      </w:tr>
      <w:tr w:rsidR="00E57DAA" w14:paraId="68CBD369" w14:textId="77777777">
        <w:tc>
          <w:tcPr>
            <w:tcW w:w="677" w:type="pct"/>
            <w:tcBorders>
              <w:top w:val="single" w:sz="4" w:space="0" w:color="auto"/>
              <w:left w:val="single" w:sz="4" w:space="0" w:color="auto"/>
              <w:bottom w:val="single" w:sz="4" w:space="0" w:color="auto"/>
              <w:right w:val="single" w:sz="4" w:space="0" w:color="auto"/>
            </w:tcBorders>
            <w:vAlign w:val="center"/>
          </w:tcPr>
          <w:p w14:paraId="377FE7E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0EFE52D" w14:textId="77777777" w:rsidR="00E57DAA" w:rsidRDefault="00AC4185">
            <w:pPr>
              <w:autoSpaceDE w:val="0"/>
              <w:autoSpaceDN w:val="0"/>
              <w:adjustRightInd w:val="0"/>
              <w:rPr>
                <w:szCs w:val="21"/>
              </w:rPr>
            </w:pPr>
            <w:r>
              <w:t>湖南临澧南方新材料科技有限公司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4E37D6E6"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4F3C1071" w14:textId="77777777" w:rsidR="00E57DAA" w:rsidRDefault="00AC4185">
            <w:pPr>
              <w:autoSpaceDE w:val="0"/>
              <w:autoSpaceDN w:val="0"/>
              <w:adjustRightInd w:val="0"/>
              <w:jc w:val="right"/>
              <w:rPr>
                <w:szCs w:val="21"/>
              </w:rPr>
            </w:pPr>
            <w:r>
              <w:t>465,000.00</w:t>
            </w:r>
          </w:p>
        </w:tc>
        <w:tc>
          <w:tcPr>
            <w:tcW w:w="703" w:type="pct"/>
            <w:tcBorders>
              <w:top w:val="single" w:sz="4" w:space="0" w:color="auto"/>
              <w:left w:val="single" w:sz="4" w:space="0" w:color="auto"/>
              <w:bottom w:val="single" w:sz="4" w:space="0" w:color="auto"/>
              <w:right w:val="single" w:sz="4" w:space="0" w:color="auto"/>
            </w:tcBorders>
          </w:tcPr>
          <w:p w14:paraId="4E4FA58D" w14:textId="77777777" w:rsidR="00E57DAA" w:rsidRDefault="00AC4185">
            <w:pPr>
              <w:autoSpaceDE w:val="0"/>
              <w:autoSpaceDN w:val="0"/>
              <w:adjustRightInd w:val="0"/>
              <w:jc w:val="right"/>
              <w:rPr>
                <w:szCs w:val="21"/>
              </w:rPr>
            </w:pPr>
            <w:r>
              <w:t>1,003,000.00</w:t>
            </w:r>
          </w:p>
        </w:tc>
        <w:tc>
          <w:tcPr>
            <w:tcW w:w="914" w:type="pct"/>
            <w:tcBorders>
              <w:top w:val="single" w:sz="4" w:space="0" w:color="auto"/>
              <w:left w:val="single" w:sz="4" w:space="0" w:color="auto"/>
              <w:bottom w:val="single" w:sz="4" w:space="0" w:color="auto"/>
              <w:right w:val="single" w:sz="4" w:space="0" w:color="auto"/>
            </w:tcBorders>
          </w:tcPr>
          <w:p w14:paraId="608EFEA4" w14:textId="77777777" w:rsidR="00E57DAA" w:rsidRDefault="00AC4185">
            <w:pPr>
              <w:autoSpaceDE w:val="0"/>
              <w:autoSpaceDN w:val="0"/>
              <w:adjustRightInd w:val="0"/>
              <w:jc w:val="right"/>
              <w:rPr>
                <w:szCs w:val="21"/>
              </w:rPr>
            </w:pPr>
            <w:r>
              <w:t>665,387.00</w:t>
            </w:r>
          </w:p>
        </w:tc>
      </w:tr>
      <w:tr w:rsidR="00E57DAA" w14:paraId="37362C21" w14:textId="77777777">
        <w:tc>
          <w:tcPr>
            <w:tcW w:w="677" w:type="pct"/>
            <w:tcBorders>
              <w:top w:val="single" w:sz="4" w:space="0" w:color="auto"/>
              <w:left w:val="single" w:sz="4" w:space="0" w:color="auto"/>
              <w:bottom w:val="single" w:sz="4" w:space="0" w:color="auto"/>
              <w:right w:val="single" w:sz="4" w:space="0" w:color="auto"/>
            </w:tcBorders>
            <w:vAlign w:val="center"/>
          </w:tcPr>
          <w:p w14:paraId="6E7A4A5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4820A32" w14:textId="77777777" w:rsidR="00E57DAA" w:rsidRDefault="00AC4185">
            <w:pPr>
              <w:autoSpaceDE w:val="0"/>
              <w:autoSpaceDN w:val="0"/>
              <w:adjustRightInd w:val="0"/>
              <w:rPr>
                <w:szCs w:val="21"/>
              </w:rPr>
            </w:pPr>
            <w:r>
              <w:t>湖南浏阳南方水泥有限公司</w:t>
            </w:r>
          </w:p>
        </w:tc>
        <w:tc>
          <w:tcPr>
            <w:tcW w:w="633" w:type="pct"/>
            <w:tcBorders>
              <w:top w:val="single" w:sz="4" w:space="0" w:color="auto"/>
              <w:left w:val="single" w:sz="4" w:space="0" w:color="auto"/>
              <w:bottom w:val="single" w:sz="4" w:space="0" w:color="auto"/>
              <w:right w:val="single" w:sz="4" w:space="0" w:color="auto"/>
            </w:tcBorders>
          </w:tcPr>
          <w:p w14:paraId="6BCE1B45"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5CF9109D" w14:textId="77777777" w:rsidR="00E57DAA" w:rsidRDefault="00AC4185">
            <w:pPr>
              <w:autoSpaceDE w:val="0"/>
              <w:autoSpaceDN w:val="0"/>
              <w:adjustRightInd w:val="0"/>
              <w:jc w:val="right"/>
              <w:rPr>
                <w:szCs w:val="21"/>
              </w:rPr>
            </w:pPr>
            <w:r>
              <w:t>197,000.00</w:t>
            </w:r>
          </w:p>
        </w:tc>
        <w:tc>
          <w:tcPr>
            <w:tcW w:w="703" w:type="pct"/>
            <w:tcBorders>
              <w:top w:val="single" w:sz="4" w:space="0" w:color="auto"/>
              <w:left w:val="single" w:sz="4" w:space="0" w:color="auto"/>
              <w:bottom w:val="single" w:sz="4" w:space="0" w:color="auto"/>
              <w:right w:val="single" w:sz="4" w:space="0" w:color="auto"/>
            </w:tcBorders>
          </w:tcPr>
          <w:p w14:paraId="59FF3C43"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2FB7BF64" w14:textId="77777777" w:rsidR="00E57DAA" w:rsidRDefault="00AC4185">
            <w:pPr>
              <w:autoSpaceDE w:val="0"/>
              <w:autoSpaceDN w:val="0"/>
              <w:adjustRightInd w:val="0"/>
              <w:jc w:val="right"/>
              <w:rPr>
                <w:szCs w:val="21"/>
              </w:rPr>
            </w:pPr>
            <w:r>
              <w:t>6,500.00</w:t>
            </w:r>
          </w:p>
        </w:tc>
      </w:tr>
      <w:tr w:rsidR="00E57DAA" w14:paraId="10DF9A51" w14:textId="77777777">
        <w:tc>
          <w:tcPr>
            <w:tcW w:w="677" w:type="pct"/>
            <w:tcBorders>
              <w:top w:val="single" w:sz="4" w:space="0" w:color="auto"/>
              <w:left w:val="single" w:sz="4" w:space="0" w:color="auto"/>
              <w:bottom w:val="single" w:sz="4" w:space="0" w:color="auto"/>
              <w:right w:val="single" w:sz="4" w:space="0" w:color="auto"/>
            </w:tcBorders>
            <w:vAlign w:val="center"/>
          </w:tcPr>
          <w:p w14:paraId="3447CEC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1D535A9" w14:textId="77777777" w:rsidR="00E57DAA" w:rsidRDefault="00AC4185">
            <w:pPr>
              <w:autoSpaceDE w:val="0"/>
              <w:autoSpaceDN w:val="0"/>
              <w:adjustRightInd w:val="0"/>
              <w:rPr>
                <w:szCs w:val="21"/>
              </w:rPr>
            </w:pPr>
            <w:r>
              <w:t>江西玉山南方水泥有限公司</w:t>
            </w:r>
          </w:p>
        </w:tc>
        <w:tc>
          <w:tcPr>
            <w:tcW w:w="633" w:type="pct"/>
            <w:tcBorders>
              <w:top w:val="single" w:sz="4" w:space="0" w:color="auto"/>
              <w:left w:val="single" w:sz="4" w:space="0" w:color="auto"/>
              <w:bottom w:val="single" w:sz="4" w:space="0" w:color="auto"/>
              <w:right w:val="single" w:sz="4" w:space="0" w:color="auto"/>
            </w:tcBorders>
          </w:tcPr>
          <w:p w14:paraId="2B786E29"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4626E599" w14:textId="77777777" w:rsidR="00E57DAA" w:rsidRDefault="00AC4185">
            <w:pPr>
              <w:autoSpaceDE w:val="0"/>
              <w:autoSpaceDN w:val="0"/>
              <w:adjustRightInd w:val="0"/>
              <w:jc w:val="right"/>
              <w:rPr>
                <w:szCs w:val="21"/>
              </w:rPr>
            </w:pPr>
            <w:r>
              <w:t>277,500.00</w:t>
            </w:r>
          </w:p>
        </w:tc>
        <w:tc>
          <w:tcPr>
            <w:tcW w:w="703" w:type="pct"/>
            <w:tcBorders>
              <w:top w:val="single" w:sz="4" w:space="0" w:color="auto"/>
              <w:left w:val="single" w:sz="4" w:space="0" w:color="auto"/>
              <w:bottom w:val="single" w:sz="4" w:space="0" w:color="auto"/>
              <w:right w:val="single" w:sz="4" w:space="0" w:color="auto"/>
            </w:tcBorders>
          </w:tcPr>
          <w:p w14:paraId="5D42FC17" w14:textId="77777777" w:rsidR="00E57DAA" w:rsidRDefault="00AC4185">
            <w:pPr>
              <w:autoSpaceDE w:val="0"/>
              <w:autoSpaceDN w:val="0"/>
              <w:adjustRightInd w:val="0"/>
              <w:jc w:val="right"/>
              <w:rPr>
                <w:szCs w:val="21"/>
              </w:rPr>
            </w:pPr>
            <w:r>
              <w:t>510,000.00</w:t>
            </w:r>
          </w:p>
        </w:tc>
        <w:tc>
          <w:tcPr>
            <w:tcW w:w="914" w:type="pct"/>
            <w:tcBorders>
              <w:top w:val="single" w:sz="4" w:space="0" w:color="auto"/>
              <w:left w:val="single" w:sz="4" w:space="0" w:color="auto"/>
              <w:bottom w:val="single" w:sz="4" w:space="0" w:color="auto"/>
              <w:right w:val="single" w:sz="4" w:space="0" w:color="auto"/>
            </w:tcBorders>
          </w:tcPr>
          <w:p w14:paraId="6DCDF291" w14:textId="77777777" w:rsidR="00E57DAA" w:rsidRDefault="00AC4185">
            <w:pPr>
              <w:autoSpaceDE w:val="0"/>
              <w:autoSpaceDN w:val="0"/>
              <w:adjustRightInd w:val="0"/>
              <w:jc w:val="right"/>
              <w:rPr>
                <w:szCs w:val="21"/>
              </w:rPr>
            </w:pPr>
            <w:r>
              <w:t>13,000.00</w:t>
            </w:r>
          </w:p>
        </w:tc>
      </w:tr>
      <w:tr w:rsidR="00E57DAA" w14:paraId="657313C0" w14:textId="77777777">
        <w:tc>
          <w:tcPr>
            <w:tcW w:w="677" w:type="pct"/>
            <w:tcBorders>
              <w:top w:val="single" w:sz="4" w:space="0" w:color="auto"/>
              <w:left w:val="single" w:sz="4" w:space="0" w:color="auto"/>
              <w:bottom w:val="single" w:sz="4" w:space="0" w:color="auto"/>
              <w:right w:val="single" w:sz="4" w:space="0" w:color="auto"/>
            </w:tcBorders>
            <w:vAlign w:val="center"/>
          </w:tcPr>
          <w:p w14:paraId="6D2FCFC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E438BB1" w14:textId="77777777" w:rsidR="00E57DAA" w:rsidRDefault="00AC4185">
            <w:pPr>
              <w:autoSpaceDE w:val="0"/>
              <w:autoSpaceDN w:val="0"/>
              <w:adjustRightInd w:val="0"/>
              <w:rPr>
                <w:szCs w:val="21"/>
              </w:rPr>
            </w:pPr>
            <w:r>
              <w:t>临沂中联水泥有限公司</w:t>
            </w:r>
          </w:p>
        </w:tc>
        <w:tc>
          <w:tcPr>
            <w:tcW w:w="633" w:type="pct"/>
            <w:tcBorders>
              <w:top w:val="single" w:sz="4" w:space="0" w:color="auto"/>
              <w:left w:val="single" w:sz="4" w:space="0" w:color="auto"/>
              <w:bottom w:val="single" w:sz="4" w:space="0" w:color="auto"/>
              <w:right w:val="single" w:sz="4" w:space="0" w:color="auto"/>
            </w:tcBorders>
          </w:tcPr>
          <w:p w14:paraId="6052E356"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66E83281" w14:textId="77777777" w:rsidR="00E57DAA" w:rsidRDefault="00AC4185">
            <w:pPr>
              <w:autoSpaceDE w:val="0"/>
              <w:autoSpaceDN w:val="0"/>
              <w:adjustRightInd w:val="0"/>
              <w:jc w:val="right"/>
              <w:rPr>
                <w:szCs w:val="21"/>
              </w:rPr>
            </w:pPr>
            <w:r>
              <w:t>171,500.00</w:t>
            </w:r>
          </w:p>
        </w:tc>
        <w:tc>
          <w:tcPr>
            <w:tcW w:w="703" w:type="pct"/>
            <w:tcBorders>
              <w:top w:val="single" w:sz="4" w:space="0" w:color="auto"/>
              <w:left w:val="single" w:sz="4" w:space="0" w:color="auto"/>
              <w:bottom w:val="single" w:sz="4" w:space="0" w:color="auto"/>
              <w:right w:val="single" w:sz="4" w:space="0" w:color="auto"/>
            </w:tcBorders>
          </w:tcPr>
          <w:p w14:paraId="74E67E04" w14:textId="77777777" w:rsidR="00E57DAA" w:rsidRDefault="00AC4185">
            <w:pPr>
              <w:autoSpaceDE w:val="0"/>
              <w:autoSpaceDN w:val="0"/>
              <w:adjustRightInd w:val="0"/>
              <w:jc w:val="right"/>
              <w:rPr>
                <w:szCs w:val="21"/>
              </w:rPr>
            </w:pPr>
            <w:r>
              <w:t>520,000.00</w:t>
            </w:r>
          </w:p>
        </w:tc>
        <w:tc>
          <w:tcPr>
            <w:tcW w:w="914" w:type="pct"/>
            <w:tcBorders>
              <w:top w:val="single" w:sz="4" w:space="0" w:color="auto"/>
              <w:left w:val="single" w:sz="4" w:space="0" w:color="auto"/>
              <w:bottom w:val="single" w:sz="4" w:space="0" w:color="auto"/>
              <w:right w:val="single" w:sz="4" w:space="0" w:color="auto"/>
            </w:tcBorders>
          </w:tcPr>
          <w:p w14:paraId="497D42A8" w14:textId="77777777" w:rsidR="00E57DAA" w:rsidRDefault="00AC4185">
            <w:pPr>
              <w:autoSpaceDE w:val="0"/>
              <w:autoSpaceDN w:val="0"/>
              <w:adjustRightInd w:val="0"/>
              <w:jc w:val="right"/>
              <w:rPr>
                <w:szCs w:val="21"/>
              </w:rPr>
            </w:pPr>
            <w:r>
              <w:t>29,000.00</w:t>
            </w:r>
          </w:p>
        </w:tc>
      </w:tr>
      <w:tr w:rsidR="00E57DAA" w14:paraId="33924952" w14:textId="77777777">
        <w:tc>
          <w:tcPr>
            <w:tcW w:w="677" w:type="pct"/>
            <w:tcBorders>
              <w:top w:val="single" w:sz="4" w:space="0" w:color="auto"/>
              <w:left w:val="single" w:sz="4" w:space="0" w:color="auto"/>
              <w:bottom w:val="single" w:sz="4" w:space="0" w:color="auto"/>
              <w:right w:val="single" w:sz="4" w:space="0" w:color="auto"/>
            </w:tcBorders>
            <w:vAlign w:val="center"/>
          </w:tcPr>
          <w:p w14:paraId="0AC99C1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3761B68" w14:textId="77777777" w:rsidR="00E57DAA" w:rsidRDefault="00AC4185">
            <w:pPr>
              <w:autoSpaceDE w:val="0"/>
              <w:autoSpaceDN w:val="0"/>
              <w:adjustRightInd w:val="0"/>
              <w:rPr>
                <w:szCs w:val="21"/>
              </w:rPr>
            </w:pPr>
            <w:r>
              <w:t>汪清北方水泥有限公司</w:t>
            </w:r>
          </w:p>
        </w:tc>
        <w:tc>
          <w:tcPr>
            <w:tcW w:w="633" w:type="pct"/>
            <w:tcBorders>
              <w:top w:val="single" w:sz="4" w:space="0" w:color="auto"/>
              <w:left w:val="single" w:sz="4" w:space="0" w:color="auto"/>
              <w:bottom w:val="single" w:sz="4" w:space="0" w:color="auto"/>
              <w:right w:val="single" w:sz="4" w:space="0" w:color="auto"/>
            </w:tcBorders>
          </w:tcPr>
          <w:p w14:paraId="15066B0E"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3245BEBF" w14:textId="77777777" w:rsidR="00E57DAA" w:rsidRDefault="00AC4185">
            <w:pPr>
              <w:autoSpaceDE w:val="0"/>
              <w:autoSpaceDN w:val="0"/>
              <w:adjustRightInd w:val="0"/>
              <w:jc w:val="right"/>
              <w:rPr>
                <w:szCs w:val="21"/>
              </w:rPr>
            </w:pPr>
            <w:r>
              <w:t>35,000.00</w:t>
            </w:r>
          </w:p>
        </w:tc>
        <w:tc>
          <w:tcPr>
            <w:tcW w:w="703" w:type="pct"/>
            <w:tcBorders>
              <w:top w:val="single" w:sz="4" w:space="0" w:color="auto"/>
              <w:left w:val="single" w:sz="4" w:space="0" w:color="auto"/>
              <w:bottom w:val="single" w:sz="4" w:space="0" w:color="auto"/>
              <w:right w:val="single" w:sz="4" w:space="0" w:color="auto"/>
            </w:tcBorders>
          </w:tcPr>
          <w:p w14:paraId="38B363E1"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550B74F2" w14:textId="77777777" w:rsidR="00E57DAA" w:rsidRDefault="00AC4185">
            <w:pPr>
              <w:autoSpaceDE w:val="0"/>
              <w:autoSpaceDN w:val="0"/>
              <w:adjustRightInd w:val="0"/>
              <w:jc w:val="right"/>
              <w:rPr>
                <w:szCs w:val="21"/>
              </w:rPr>
            </w:pPr>
            <w:r>
              <w:t>56</w:t>
            </w:r>
          </w:p>
        </w:tc>
      </w:tr>
      <w:tr w:rsidR="00E57DAA" w14:paraId="1DE95A79" w14:textId="77777777">
        <w:tc>
          <w:tcPr>
            <w:tcW w:w="677" w:type="pct"/>
            <w:tcBorders>
              <w:top w:val="single" w:sz="4" w:space="0" w:color="auto"/>
              <w:left w:val="single" w:sz="4" w:space="0" w:color="auto"/>
              <w:bottom w:val="single" w:sz="4" w:space="0" w:color="auto"/>
              <w:right w:val="single" w:sz="4" w:space="0" w:color="auto"/>
            </w:tcBorders>
            <w:vAlign w:val="center"/>
          </w:tcPr>
          <w:p w14:paraId="0E13ADB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3FC715E" w14:textId="77777777" w:rsidR="00E57DAA" w:rsidRDefault="00AC4185">
            <w:pPr>
              <w:autoSpaceDE w:val="0"/>
              <w:autoSpaceDN w:val="0"/>
              <w:adjustRightInd w:val="0"/>
              <w:rPr>
                <w:szCs w:val="21"/>
              </w:rPr>
            </w:pPr>
            <w:r>
              <w:t>云南普洱天恒水泥有限责任公司</w:t>
            </w:r>
          </w:p>
        </w:tc>
        <w:tc>
          <w:tcPr>
            <w:tcW w:w="633" w:type="pct"/>
            <w:tcBorders>
              <w:top w:val="single" w:sz="4" w:space="0" w:color="auto"/>
              <w:left w:val="single" w:sz="4" w:space="0" w:color="auto"/>
              <w:bottom w:val="single" w:sz="4" w:space="0" w:color="auto"/>
              <w:right w:val="single" w:sz="4" w:space="0" w:color="auto"/>
            </w:tcBorders>
          </w:tcPr>
          <w:p w14:paraId="2695F0DA"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61459C88" w14:textId="77777777" w:rsidR="00E57DAA" w:rsidRDefault="00AC4185">
            <w:pPr>
              <w:autoSpaceDE w:val="0"/>
              <w:autoSpaceDN w:val="0"/>
              <w:adjustRightInd w:val="0"/>
              <w:jc w:val="right"/>
              <w:rPr>
                <w:szCs w:val="21"/>
              </w:rPr>
            </w:pPr>
            <w:r>
              <w:t>317,000.00</w:t>
            </w:r>
          </w:p>
        </w:tc>
        <w:tc>
          <w:tcPr>
            <w:tcW w:w="703" w:type="pct"/>
            <w:tcBorders>
              <w:top w:val="single" w:sz="4" w:space="0" w:color="auto"/>
              <w:left w:val="single" w:sz="4" w:space="0" w:color="auto"/>
              <w:bottom w:val="single" w:sz="4" w:space="0" w:color="auto"/>
              <w:right w:val="single" w:sz="4" w:space="0" w:color="auto"/>
            </w:tcBorders>
          </w:tcPr>
          <w:p w14:paraId="4692F63B"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0EFD13B2" w14:textId="77777777" w:rsidR="00E57DAA" w:rsidRDefault="00AC4185">
            <w:pPr>
              <w:autoSpaceDE w:val="0"/>
              <w:autoSpaceDN w:val="0"/>
              <w:adjustRightInd w:val="0"/>
              <w:jc w:val="right"/>
              <w:rPr>
                <w:szCs w:val="21"/>
              </w:rPr>
            </w:pPr>
            <w:r>
              <w:t>486,000.00</w:t>
            </w:r>
          </w:p>
        </w:tc>
      </w:tr>
      <w:tr w:rsidR="00E57DAA" w14:paraId="4D71C5AA" w14:textId="77777777">
        <w:tc>
          <w:tcPr>
            <w:tcW w:w="677" w:type="pct"/>
            <w:tcBorders>
              <w:top w:val="single" w:sz="4" w:space="0" w:color="auto"/>
              <w:left w:val="single" w:sz="4" w:space="0" w:color="auto"/>
              <w:bottom w:val="single" w:sz="4" w:space="0" w:color="auto"/>
              <w:right w:val="single" w:sz="4" w:space="0" w:color="auto"/>
            </w:tcBorders>
            <w:vAlign w:val="center"/>
          </w:tcPr>
          <w:p w14:paraId="1C40A063"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7655B3ED" w14:textId="77777777" w:rsidR="00E57DAA" w:rsidRDefault="00AC4185">
            <w:pPr>
              <w:autoSpaceDE w:val="0"/>
              <w:autoSpaceDN w:val="0"/>
              <w:adjustRightInd w:val="0"/>
              <w:rPr>
                <w:szCs w:val="21"/>
              </w:rPr>
            </w:pPr>
            <w:r>
              <w:t>重庆秀山西南水泥有限公司</w:t>
            </w:r>
          </w:p>
        </w:tc>
        <w:tc>
          <w:tcPr>
            <w:tcW w:w="633" w:type="pct"/>
            <w:tcBorders>
              <w:top w:val="single" w:sz="4" w:space="0" w:color="auto"/>
              <w:left w:val="single" w:sz="4" w:space="0" w:color="auto"/>
              <w:bottom w:val="single" w:sz="4" w:space="0" w:color="auto"/>
              <w:right w:val="single" w:sz="4" w:space="0" w:color="auto"/>
            </w:tcBorders>
          </w:tcPr>
          <w:p w14:paraId="50E4939E"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6BFFEC70" w14:textId="77777777" w:rsidR="00E57DAA" w:rsidRDefault="00AC4185">
            <w:pPr>
              <w:autoSpaceDE w:val="0"/>
              <w:autoSpaceDN w:val="0"/>
              <w:adjustRightInd w:val="0"/>
              <w:jc w:val="right"/>
              <w:rPr>
                <w:szCs w:val="21"/>
              </w:rPr>
            </w:pPr>
            <w:r>
              <w:t>391,000.00</w:t>
            </w:r>
          </w:p>
        </w:tc>
        <w:tc>
          <w:tcPr>
            <w:tcW w:w="703" w:type="pct"/>
            <w:tcBorders>
              <w:top w:val="single" w:sz="4" w:space="0" w:color="auto"/>
              <w:left w:val="single" w:sz="4" w:space="0" w:color="auto"/>
              <w:bottom w:val="single" w:sz="4" w:space="0" w:color="auto"/>
              <w:right w:val="single" w:sz="4" w:space="0" w:color="auto"/>
            </w:tcBorders>
          </w:tcPr>
          <w:p w14:paraId="541E6EEF"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2E92B68B" w14:textId="77777777" w:rsidR="00E57DAA" w:rsidRDefault="00AC4185">
            <w:pPr>
              <w:autoSpaceDE w:val="0"/>
              <w:autoSpaceDN w:val="0"/>
              <w:adjustRightInd w:val="0"/>
              <w:jc w:val="right"/>
              <w:rPr>
                <w:szCs w:val="21"/>
              </w:rPr>
            </w:pPr>
            <w:r>
              <w:t>26,000.00</w:t>
            </w:r>
          </w:p>
        </w:tc>
      </w:tr>
      <w:tr w:rsidR="00E57DAA" w14:paraId="2E2DAC82" w14:textId="77777777">
        <w:tc>
          <w:tcPr>
            <w:tcW w:w="677" w:type="pct"/>
            <w:tcBorders>
              <w:top w:val="single" w:sz="4" w:space="0" w:color="auto"/>
              <w:left w:val="single" w:sz="4" w:space="0" w:color="auto"/>
              <w:bottom w:val="single" w:sz="4" w:space="0" w:color="auto"/>
              <w:right w:val="single" w:sz="4" w:space="0" w:color="auto"/>
            </w:tcBorders>
            <w:vAlign w:val="center"/>
          </w:tcPr>
          <w:p w14:paraId="20B8FC6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3B8AA20" w14:textId="77777777" w:rsidR="00E57DAA" w:rsidRDefault="00AC4185">
            <w:pPr>
              <w:autoSpaceDE w:val="0"/>
              <w:autoSpaceDN w:val="0"/>
              <w:adjustRightInd w:val="0"/>
              <w:rPr>
                <w:szCs w:val="21"/>
              </w:rPr>
            </w:pPr>
            <w:r>
              <w:t>遵义赛德水泥有限公司</w:t>
            </w:r>
          </w:p>
        </w:tc>
        <w:tc>
          <w:tcPr>
            <w:tcW w:w="633" w:type="pct"/>
            <w:tcBorders>
              <w:top w:val="single" w:sz="4" w:space="0" w:color="auto"/>
              <w:left w:val="single" w:sz="4" w:space="0" w:color="auto"/>
              <w:bottom w:val="single" w:sz="4" w:space="0" w:color="auto"/>
              <w:right w:val="single" w:sz="4" w:space="0" w:color="auto"/>
            </w:tcBorders>
          </w:tcPr>
          <w:p w14:paraId="0E63873D" w14:textId="77777777" w:rsidR="00E57DAA" w:rsidRDefault="00AC4185">
            <w:pPr>
              <w:autoSpaceDE w:val="0"/>
              <w:autoSpaceDN w:val="0"/>
              <w:adjustRightInd w:val="0"/>
              <w:jc w:val="right"/>
              <w:rPr>
                <w:szCs w:val="21"/>
              </w:rPr>
            </w:pPr>
            <w:r>
              <w:t>962,523.10</w:t>
            </w:r>
          </w:p>
        </w:tc>
        <w:tc>
          <w:tcPr>
            <w:tcW w:w="632" w:type="pct"/>
            <w:tcBorders>
              <w:top w:val="single" w:sz="4" w:space="0" w:color="auto"/>
              <w:left w:val="single" w:sz="4" w:space="0" w:color="auto"/>
              <w:bottom w:val="single" w:sz="4" w:space="0" w:color="auto"/>
              <w:right w:val="single" w:sz="4" w:space="0" w:color="auto"/>
            </w:tcBorders>
          </w:tcPr>
          <w:p w14:paraId="1B47DB25" w14:textId="77777777" w:rsidR="00E57DAA" w:rsidRDefault="00AC4185">
            <w:pPr>
              <w:autoSpaceDE w:val="0"/>
              <w:autoSpaceDN w:val="0"/>
              <w:adjustRightInd w:val="0"/>
              <w:jc w:val="right"/>
              <w:rPr>
                <w:szCs w:val="21"/>
              </w:rPr>
            </w:pPr>
            <w:r>
              <w:t>121,085.41</w:t>
            </w:r>
          </w:p>
        </w:tc>
        <w:tc>
          <w:tcPr>
            <w:tcW w:w="703" w:type="pct"/>
            <w:tcBorders>
              <w:top w:val="single" w:sz="4" w:space="0" w:color="auto"/>
              <w:left w:val="single" w:sz="4" w:space="0" w:color="auto"/>
              <w:bottom w:val="single" w:sz="4" w:space="0" w:color="auto"/>
              <w:right w:val="single" w:sz="4" w:space="0" w:color="auto"/>
            </w:tcBorders>
          </w:tcPr>
          <w:p w14:paraId="2EAEE5D2" w14:textId="77777777" w:rsidR="00E57DAA" w:rsidRDefault="00AC4185">
            <w:pPr>
              <w:autoSpaceDE w:val="0"/>
              <w:autoSpaceDN w:val="0"/>
              <w:adjustRightInd w:val="0"/>
              <w:jc w:val="right"/>
              <w:rPr>
                <w:szCs w:val="21"/>
              </w:rPr>
            </w:pPr>
            <w:r>
              <w:t>962,523.10</w:t>
            </w:r>
          </w:p>
        </w:tc>
        <w:tc>
          <w:tcPr>
            <w:tcW w:w="914" w:type="pct"/>
            <w:tcBorders>
              <w:top w:val="single" w:sz="4" w:space="0" w:color="auto"/>
              <w:left w:val="single" w:sz="4" w:space="0" w:color="auto"/>
              <w:bottom w:val="single" w:sz="4" w:space="0" w:color="auto"/>
              <w:right w:val="single" w:sz="4" w:space="0" w:color="auto"/>
            </w:tcBorders>
          </w:tcPr>
          <w:p w14:paraId="06B378CB" w14:textId="77777777" w:rsidR="00E57DAA" w:rsidRDefault="00AC4185">
            <w:pPr>
              <w:autoSpaceDE w:val="0"/>
              <w:autoSpaceDN w:val="0"/>
              <w:adjustRightInd w:val="0"/>
              <w:jc w:val="right"/>
              <w:rPr>
                <w:szCs w:val="21"/>
              </w:rPr>
            </w:pPr>
            <w:r>
              <w:t>126,956.80</w:t>
            </w:r>
          </w:p>
        </w:tc>
      </w:tr>
      <w:tr w:rsidR="00E57DAA" w14:paraId="0EF93415" w14:textId="77777777">
        <w:tc>
          <w:tcPr>
            <w:tcW w:w="677" w:type="pct"/>
            <w:tcBorders>
              <w:top w:val="single" w:sz="4" w:space="0" w:color="auto"/>
              <w:left w:val="single" w:sz="4" w:space="0" w:color="auto"/>
              <w:bottom w:val="single" w:sz="4" w:space="0" w:color="auto"/>
              <w:right w:val="single" w:sz="4" w:space="0" w:color="auto"/>
            </w:tcBorders>
            <w:vAlign w:val="center"/>
          </w:tcPr>
          <w:p w14:paraId="293FC9E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F305744" w14:textId="77777777" w:rsidR="00E57DAA" w:rsidRDefault="00AC4185">
            <w:pPr>
              <w:autoSpaceDE w:val="0"/>
              <w:autoSpaceDN w:val="0"/>
              <w:adjustRightInd w:val="0"/>
              <w:rPr>
                <w:szCs w:val="21"/>
              </w:rPr>
            </w:pPr>
            <w:r>
              <w:t>中材科技（成都）有限公司</w:t>
            </w:r>
          </w:p>
        </w:tc>
        <w:tc>
          <w:tcPr>
            <w:tcW w:w="633" w:type="pct"/>
            <w:tcBorders>
              <w:top w:val="single" w:sz="4" w:space="0" w:color="auto"/>
              <w:left w:val="single" w:sz="4" w:space="0" w:color="auto"/>
              <w:bottom w:val="single" w:sz="4" w:space="0" w:color="auto"/>
              <w:right w:val="single" w:sz="4" w:space="0" w:color="auto"/>
            </w:tcBorders>
          </w:tcPr>
          <w:p w14:paraId="4C908AB8" w14:textId="77777777" w:rsidR="00E57DAA" w:rsidRDefault="00AC4185">
            <w:pPr>
              <w:autoSpaceDE w:val="0"/>
              <w:autoSpaceDN w:val="0"/>
              <w:adjustRightInd w:val="0"/>
              <w:jc w:val="right"/>
              <w:rPr>
                <w:szCs w:val="21"/>
              </w:rPr>
            </w:pPr>
            <w:r>
              <w:t>958,424.60</w:t>
            </w:r>
          </w:p>
        </w:tc>
        <w:tc>
          <w:tcPr>
            <w:tcW w:w="632" w:type="pct"/>
            <w:tcBorders>
              <w:top w:val="single" w:sz="4" w:space="0" w:color="auto"/>
              <w:left w:val="single" w:sz="4" w:space="0" w:color="auto"/>
              <w:bottom w:val="single" w:sz="4" w:space="0" w:color="auto"/>
              <w:right w:val="single" w:sz="4" w:space="0" w:color="auto"/>
            </w:tcBorders>
          </w:tcPr>
          <w:p w14:paraId="60268577" w14:textId="77777777" w:rsidR="00E57DAA" w:rsidRDefault="00AC4185">
            <w:pPr>
              <w:autoSpaceDE w:val="0"/>
              <w:autoSpaceDN w:val="0"/>
              <w:adjustRightInd w:val="0"/>
              <w:jc w:val="right"/>
              <w:rPr>
                <w:szCs w:val="21"/>
              </w:rPr>
            </w:pPr>
            <w:r>
              <w:t>131,304.17</w:t>
            </w:r>
          </w:p>
        </w:tc>
        <w:tc>
          <w:tcPr>
            <w:tcW w:w="703" w:type="pct"/>
            <w:tcBorders>
              <w:top w:val="single" w:sz="4" w:space="0" w:color="auto"/>
              <w:left w:val="single" w:sz="4" w:space="0" w:color="auto"/>
              <w:bottom w:val="single" w:sz="4" w:space="0" w:color="auto"/>
              <w:right w:val="single" w:sz="4" w:space="0" w:color="auto"/>
            </w:tcBorders>
          </w:tcPr>
          <w:p w14:paraId="40DB1127" w14:textId="77777777" w:rsidR="00E57DAA" w:rsidRDefault="00AC4185">
            <w:pPr>
              <w:autoSpaceDE w:val="0"/>
              <w:autoSpaceDN w:val="0"/>
              <w:adjustRightInd w:val="0"/>
              <w:jc w:val="right"/>
              <w:rPr>
                <w:szCs w:val="21"/>
              </w:rPr>
            </w:pPr>
            <w:r>
              <w:t>958,424.60</w:t>
            </w:r>
          </w:p>
        </w:tc>
        <w:tc>
          <w:tcPr>
            <w:tcW w:w="914" w:type="pct"/>
            <w:tcBorders>
              <w:top w:val="single" w:sz="4" w:space="0" w:color="auto"/>
              <w:left w:val="single" w:sz="4" w:space="0" w:color="auto"/>
              <w:bottom w:val="single" w:sz="4" w:space="0" w:color="auto"/>
              <w:right w:val="single" w:sz="4" w:space="0" w:color="auto"/>
            </w:tcBorders>
          </w:tcPr>
          <w:p w14:paraId="2F2DE6BA" w14:textId="77777777" w:rsidR="00E57DAA" w:rsidRDefault="00AC4185">
            <w:pPr>
              <w:autoSpaceDE w:val="0"/>
              <w:autoSpaceDN w:val="0"/>
              <w:adjustRightInd w:val="0"/>
              <w:jc w:val="right"/>
              <w:rPr>
                <w:szCs w:val="21"/>
              </w:rPr>
            </w:pPr>
            <w:r>
              <w:t>20,126.92</w:t>
            </w:r>
          </w:p>
        </w:tc>
      </w:tr>
      <w:tr w:rsidR="00E57DAA" w14:paraId="612029DB" w14:textId="77777777">
        <w:tc>
          <w:tcPr>
            <w:tcW w:w="677" w:type="pct"/>
            <w:tcBorders>
              <w:top w:val="single" w:sz="4" w:space="0" w:color="auto"/>
              <w:left w:val="single" w:sz="4" w:space="0" w:color="auto"/>
              <w:bottom w:val="single" w:sz="4" w:space="0" w:color="auto"/>
              <w:right w:val="single" w:sz="4" w:space="0" w:color="auto"/>
            </w:tcBorders>
            <w:vAlign w:val="center"/>
          </w:tcPr>
          <w:p w14:paraId="094FBA3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2A66B86" w14:textId="77777777" w:rsidR="00E57DAA" w:rsidRDefault="00AC4185">
            <w:pPr>
              <w:autoSpaceDE w:val="0"/>
              <w:autoSpaceDN w:val="0"/>
              <w:adjustRightInd w:val="0"/>
              <w:rPr>
                <w:szCs w:val="21"/>
              </w:rPr>
            </w:pPr>
            <w:r>
              <w:t>旬阳县永泰祥矿业有限公司</w:t>
            </w:r>
          </w:p>
        </w:tc>
        <w:tc>
          <w:tcPr>
            <w:tcW w:w="633" w:type="pct"/>
            <w:tcBorders>
              <w:top w:val="single" w:sz="4" w:space="0" w:color="auto"/>
              <w:left w:val="single" w:sz="4" w:space="0" w:color="auto"/>
              <w:bottom w:val="single" w:sz="4" w:space="0" w:color="auto"/>
              <w:right w:val="single" w:sz="4" w:space="0" w:color="auto"/>
            </w:tcBorders>
          </w:tcPr>
          <w:p w14:paraId="5577D456" w14:textId="77777777" w:rsidR="00E57DAA" w:rsidRDefault="00AC4185">
            <w:pPr>
              <w:autoSpaceDE w:val="0"/>
              <w:autoSpaceDN w:val="0"/>
              <w:adjustRightInd w:val="0"/>
              <w:jc w:val="right"/>
              <w:rPr>
                <w:szCs w:val="21"/>
              </w:rPr>
            </w:pPr>
            <w:r>
              <w:t>822,153.12</w:t>
            </w:r>
          </w:p>
        </w:tc>
        <w:tc>
          <w:tcPr>
            <w:tcW w:w="632" w:type="pct"/>
            <w:tcBorders>
              <w:top w:val="single" w:sz="4" w:space="0" w:color="auto"/>
              <w:left w:val="single" w:sz="4" w:space="0" w:color="auto"/>
              <w:bottom w:val="single" w:sz="4" w:space="0" w:color="auto"/>
              <w:right w:val="single" w:sz="4" w:space="0" w:color="auto"/>
            </w:tcBorders>
          </w:tcPr>
          <w:p w14:paraId="7119CD38" w14:textId="77777777" w:rsidR="00E57DAA" w:rsidRDefault="00AC4185">
            <w:pPr>
              <w:autoSpaceDE w:val="0"/>
              <w:autoSpaceDN w:val="0"/>
              <w:adjustRightInd w:val="0"/>
              <w:jc w:val="right"/>
              <w:rPr>
                <w:szCs w:val="21"/>
              </w:rPr>
            </w:pPr>
            <w:r>
              <w:t>73,993.78</w:t>
            </w:r>
          </w:p>
        </w:tc>
        <w:tc>
          <w:tcPr>
            <w:tcW w:w="703" w:type="pct"/>
            <w:tcBorders>
              <w:top w:val="single" w:sz="4" w:space="0" w:color="auto"/>
              <w:left w:val="single" w:sz="4" w:space="0" w:color="auto"/>
              <w:bottom w:val="single" w:sz="4" w:space="0" w:color="auto"/>
              <w:right w:val="single" w:sz="4" w:space="0" w:color="auto"/>
            </w:tcBorders>
          </w:tcPr>
          <w:p w14:paraId="05E2BF5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6D3A9A6" w14:textId="77777777" w:rsidR="00E57DAA" w:rsidRDefault="00AC4185">
            <w:pPr>
              <w:autoSpaceDE w:val="0"/>
              <w:autoSpaceDN w:val="0"/>
              <w:adjustRightInd w:val="0"/>
              <w:jc w:val="right"/>
              <w:rPr>
                <w:szCs w:val="21"/>
              </w:rPr>
            </w:pPr>
            <w:r>
              <w:t xml:space="preserve">　</w:t>
            </w:r>
          </w:p>
        </w:tc>
      </w:tr>
      <w:tr w:rsidR="00E57DAA" w14:paraId="28739E51" w14:textId="77777777">
        <w:tc>
          <w:tcPr>
            <w:tcW w:w="677" w:type="pct"/>
            <w:tcBorders>
              <w:top w:val="single" w:sz="4" w:space="0" w:color="auto"/>
              <w:left w:val="single" w:sz="4" w:space="0" w:color="auto"/>
              <w:bottom w:val="single" w:sz="4" w:space="0" w:color="auto"/>
              <w:right w:val="single" w:sz="4" w:space="0" w:color="auto"/>
            </w:tcBorders>
            <w:vAlign w:val="center"/>
          </w:tcPr>
          <w:p w14:paraId="29F2AD9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DFB784A" w14:textId="77777777" w:rsidR="00E57DAA" w:rsidRDefault="00AC4185">
            <w:pPr>
              <w:autoSpaceDE w:val="0"/>
              <w:autoSpaceDN w:val="0"/>
              <w:adjustRightInd w:val="0"/>
              <w:rPr>
                <w:szCs w:val="21"/>
              </w:rPr>
            </w:pPr>
            <w:r>
              <w:t>四川雅安西南水泥有限公司</w:t>
            </w:r>
          </w:p>
        </w:tc>
        <w:tc>
          <w:tcPr>
            <w:tcW w:w="633" w:type="pct"/>
            <w:tcBorders>
              <w:top w:val="single" w:sz="4" w:space="0" w:color="auto"/>
              <w:left w:val="single" w:sz="4" w:space="0" w:color="auto"/>
              <w:bottom w:val="single" w:sz="4" w:space="0" w:color="auto"/>
              <w:right w:val="single" w:sz="4" w:space="0" w:color="auto"/>
            </w:tcBorders>
          </w:tcPr>
          <w:p w14:paraId="13428C52" w14:textId="77777777" w:rsidR="00E57DAA" w:rsidRDefault="00AC4185">
            <w:pPr>
              <w:autoSpaceDE w:val="0"/>
              <w:autoSpaceDN w:val="0"/>
              <w:adjustRightInd w:val="0"/>
              <w:jc w:val="right"/>
              <w:rPr>
                <w:szCs w:val="21"/>
              </w:rPr>
            </w:pPr>
            <w:r>
              <w:t>808,242.19</w:t>
            </w:r>
          </w:p>
        </w:tc>
        <w:tc>
          <w:tcPr>
            <w:tcW w:w="632" w:type="pct"/>
            <w:tcBorders>
              <w:top w:val="single" w:sz="4" w:space="0" w:color="auto"/>
              <w:left w:val="single" w:sz="4" w:space="0" w:color="auto"/>
              <w:bottom w:val="single" w:sz="4" w:space="0" w:color="auto"/>
              <w:right w:val="single" w:sz="4" w:space="0" w:color="auto"/>
            </w:tcBorders>
          </w:tcPr>
          <w:p w14:paraId="7B0DECAB" w14:textId="77777777" w:rsidR="00E57DAA" w:rsidRDefault="00AC4185">
            <w:pPr>
              <w:autoSpaceDE w:val="0"/>
              <w:autoSpaceDN w:val="0"/>
              <w:adjustRightInd w:val="0"/>
              <w:jc w:val="right"/>
              <w:rPr>
                <w:szCs w:val="21"/>
              </w:rPr>
            </w:pPr>
            <w:r>
              <w:t>289,783.71</w:t>
            </w:r>
          </w:p>
        </w:tc>
        <w:tc>
          <w:tcPr>
            <w:tcW w:w="703" w:type="pct"/>
            <w:tcBorders>
              <w:top w:val="single" w:sz="4" w:space="0" w:color="auto"/>
              <w:left w:val="single" w:sz="4" w:space="0" w:color="auto"/>
              <w:bottom w:val="single" w:sz="4" w:space="0" w:color="auto"/>
              <w:right w:val="single" w:sz="4" w:space="0" w:color="auto"/>
            </w:tcBorders>
          </w:tcPr>
          <w:p w14:paraId="603D55E1" w14:textId="77777777" w:rsidR="00E57DAA" w:rsidRDefault="00AC4185">
            <w:pPr>
              <w:autoSpaceDE w:val="0"/>
              <w:autoSpaceDN w:val="0"/>
              <w:adjustRightInd w:val="0"/>
              <w:jc w:val="right"/>
              <w:rPr>
                <w:szCs w:val="21"/>
              </w:rPr>
            </w:pPr>
            <w:r>
              <w:t>788,242.19</w:t>
            </w:r>
          </w:p>
        </w:tc>
        <w:tc>
          <w:tcPr>
            <w:tcW w:w="914" w:type="pct"/>
            <w:tcBorders>
              <w:top w:val="single" w:sz="4" w:space="0" w:color="auto"/>
              <w:left w:val="single" w:sz="4" w:space="0" w:color="auto"/>
              <w:bottom w:val="single" w:sz="4" w:space="0" w:color="auto"/>
              <w:right w:val="single" w:sz="4" w:space="0" w:color="auto"/>
            </w:tcBorders>
          </w:tcPr>
          <w:p w14:paraId="2C147906" w14:textId="77777777" w:rsidR="00E57DAA" w:rsidRDefault="00AC4185">
            <w:pPr>
              <w:autoSpaceDE w:val="0"/>
              <w:autoSpaceDN w:val="0"/>
              <w:adjustRightInd w:val="0"/>
              <w:jc w:val="right"/>
              <w:rPr>
                <w:szCs w:val="21"/>
              </w:rPr>
            </w:pPr>
            <w:r>
              <w:t>22,923.57</w:t>
            </w:r>
          </w:p>
        </w:tc>
      </w:tr>
      <w:tr w:rsidR="00E57DAA" w14:paraId="658174B9" w14:textId="77777777">
        <w:tc>
          <w:tcPr>
            <w:tcW w:w="677" w:type="pct"/>
            <w:tcBorders>
              <w:top w:val="single" w:sz="4" w:space="0" w:color="auto"/>
              <w:left w:val="single" w:sz="4" w:space="0" w:color="auto"/>
              <w:bottom w:val="single" w:sz="4" w:space="0" w:color="auto"/>
              <w:right w:val="single" w:sz="4" w:space="0" w:color="auto"/>
            </w:tcBorders>
            <w:vAlign w:val="center"/>
          </w:tcPr>
          <w:p w14:paraId="768D59A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7B609EE" w14:textId="77777777" w:rsidR="00E57DAA" w:rsidRDefault="00AC4185">
            <w:pPr>
              <w:autoSpaceDE w:val="0"/>
              <w:autoSpaceDN w:val="0"/>
              <w:adjustRightInd w:val="0"/>
              <w:rPr>
                <w:szCs w:val="21"/>
              </w:rPr>
            </w:pPr>
            <w:r>
              <w:t>通辽中联水泥有限公司</w:t>
            </w:r>
          </w:p>
        </w:tc>
        <w:tc>
          <w:tcPr>
            <w:tcW w:w="633" w:type="pct"/>
            <w:tcBorders>
              <w:top w:val="single" w:sz="4" w:space="0" w:color="auto"/>
              <w:left w:val="single" w:sz="4" w:space="0" w:color="auto"/>
              <w:bottom w:val="single" w:sz="4" w:space="0" w:color="auto"/>
              <w:right w:val="single" w:sz="4" w:space="0" w:color="auto"/>
            </w:tcBorders>
          </w:tcPr>
          <w:p w14:paraId="0DA7BF6A" w14:textId="77777777" w:rsidR="00E57DAA" w:rsidRDefault="00AC4185">
            <w:pPr>
              <w:autoSpaceDE w:val="0"/>
              <w:autoSpaceDN w:val="0"/>
              <w:adjustRightInd w:val="0"/>
              <w:jc w:val="right"/>
              <w:rPr>
                <w:szCs w:val="21"/>
              </w:rPr>
            </w:pPr>
            <w:r>
              <w:t>800,000.00</w:t>
            </w:r>
          </w:p>
        </w:tc>
        <w:tc>
          <w:tcPr>
            <w:tcW w:w="632" w:type="pct"/>
            <w:tcBorders>
              <w:top w:val="single" w:sz="4" w:space="0" w:color="auto"/>
              <w:left w:val="single" w:sz="4" w:space="0" w:color="auto"/>
              <w:bottom w:val="single" w:sz="4" w:space="0" w:color="auto"/>
              <w:right w:val="single" w:sz="4" w:space="0" w:color="auto"/>
            </w:tcBorders>
          </w:tcPr>
          <w:p w14:paraId="7766F1B6" w14:textId="77777777" w:rsidR="00E57DAA" w:rsidRDefault="00AC4185">
            <w:pPr>
              <w:autoSpaceDE w:val="0"/>
              <w:autoSpaceDN w:val="0"/>
              <w:adjustRightInd w:val="0"/>
              <w:jc w:val="right"/>
              <w:rPr>
                <w:szCs w:val="21"/>
              </w:rPr>
            </w:pPr>
            <w:r>
              <w:t>188,500.00</w:t>
            </w:r>
          </w:p>
        </w:tc>
        <w:tc>
          <w:tcPr>
            <w:tcW w:w="703" w:type="pct"/>
            <w:tcBorders>
              <w:top w:val="single" w:sz="4" w:space="0" w:color="auto"/>
              <w:left w:val="single" w:sz="4" w:space="0" w:color="auto"/>
              <w:bottom w:val="single" w:sz="4" w:space="0" w:color="auto"/>
              <w:right w:val="single" w:sz="4" w:space="0" w:color="auto"/>
            </w:tcBorders>
          </w:tcPr>
          <w:p w14:paraId="4353D9C3" w14:textId="77777777" w:rsidR="00E57DAA" w:rsidRDefault="00AC4185">
            <w:pPr>
              <w:autoSpaceDE w:val="0"/>
              <w:autoSpaceDN w:val="0"/>
              <w:adjustRightInd w:val="0"/>
              <w:jc w:val="right"/>
              <w:rPr>
                <w:szCs w:val="21"/>
              </w:rPr>
            </w:pPr>
            <w:r>
              <w:t>800,000.00</w:t>
            </w:r>
          </w:p>
        </w:tc>
        <w:tc>
          <w:tcPr>
            <w:tcW w:w="914" w:type="pct"/>
            <w:tcBorders>
              <w:top w:val="single" w:sz="4" w:space="0" w:color="auto"/>
              <w:left w:val="single" w:sz="4" w:space="0" w:color="auto"/>
              <w:bottom w:val="single" w:sz="4" w:space="0" w:color="auto"/>
              <w:right w:val="single" w:sz="4" w:space="0" w:color="auto"/>
            </w:tcBorders>
          </w:tcPr>
          <w:p w14:paraId="02D5F76B" w14:textId="77777777" w:rsidR="00E57DAA" w:rsidRDefault="00AC4185">
            <w:pPr>
              <w:autoSpaceDE w:val="0"/>
              <w:autoSpaceDN w:val="0"/>
              <w:adjustRightInd w:val="0"/>
              <w:jc w:val="right"/>
              <w:rPr>
                <w:szCs w:val="21"/>
              </w:rPr>
            </w:pPr>
            <w:r>
              <w:t>258,000.00</w:t>
            </w:r>
          </w:p>
        </w:tc>
      </w:tr>
      <w:tr w:rsidR="00E57DAA" w14:paraId="1E6106AD" w14:textId="77777777">
        <w:tc>
          <w:tcPr>
            <w:tcW w:w="677" w:type="pct"/>
            <w:tcBorders>
              <w:top w:val="single" w:sz="4" w:space="0" w:color="auto"/>
              <w:left w:val="single" w:sz="4" w:space="0" w:color="auto"/>
              <w:bottom w:val="single" w:sz="4" w:space="0" w:color="auto"/>
              <w:right w:val="single" w:sz="4" w:space="0" w:color="auto"/>
            </w:tcBorders>
            <w:vAlign w:val="center"/>
          </w:tcPr>
          <w:p w14:paraId="3267C78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25E9395" w14:textId="77777777" w:rsidR="00E57DAA" w:rsidRDefault="00AC4185">
            <w:pPr>
              <w:autoSpaceDE w:val="0"/>
              <w:autoSpaceDN w:val="0"/>
              <w:adjustRightInd w:val="0"/>
              <w:rPr>
                <w:szCs w:val="21"/>
              </w:rPr>
            </w:pPr>
            <w:r>
              <w:t>驻马店市豫龙同力水泥有限公司</w:t>
            </w:r>
          </w:p>
        </w:tc>
        <w:tc>
          <w:tcPr>
            <w:tcW w:w="633" w:type="pct"/>
            <w:tcBorders>
              <w:top w:val="single" w:sz="4" w:space="0" w:color="auto"/>
              <w:left w:val="single" w:sz="4" w:space="0" w:color="auto"/>
              <w:bottom w:val="single" w:sz="4" w:space="0" w:color="auto"/>
              <w:right w:val="single" w:sz="4" w:space="0" w:color="auto"/>
            </w:tcBorders>
          </w:tcPr>
          <w:p w14:paraId="1150998B" w14:textId="77777777" w:rsidR="00E57DAA" w:rsidRDefault="00AC4185">
            <w:pPr>
              <w:autoSpaceDE w:val="0"/>
              <w:autoSpaceDN w:val="0"/>
              <w:adjustRightInd w:val="0"/>
              <w:jc w:val="right"/>
              <w:rPr>
                <w:szCs w:val="21"/>
              </w:rPr>
            </w:pPr>
            <w:r>
              <w:t>765,000.00</w:t>
            </w:r>
          </w:p>
        </w:tc>
        <w:tc>
          <w:tcPr>
            <w:tcW w:w="632" w:type="pct"/>
            <w:tcBorders>
              <w:top w:val="single" w:sz="4" w:space="0" w:color="auto"/>
              <w:left w:val="single" w:sz="4" w:space="0" w:color="auto"/>
              <w:bottom w:val="single" w:sz="4" w:space="0" w:color="auto"/>
              <w:right w:val="single" w:sz="4" w:space="0" w:color="auto"/>
            </w:tcBorders>
          </w:tcPr>
          <w:p w14:paraId="5C1F17E0" w14:textId="77777777" w:rsidR="00E57DAA" w:rsidRDefault="00AC4185">
            <w:pPr>
              <w:autoSpaceDE w:val="0"/>
              <w:autoSpaceDN w:val="0"/>
              <w:adjustRightInd w:val="0"/>
              <w:jc w:val="right"/>
              <w:rPr>
                <w:szCs w:val="21"/>
              </w:rPr>
            </w:pPr>
            <w:r>
              <w:t>546,500.00</w:t>
            </w:r>
          </w:p>
        </w:tc>
        <w:tc>
          <w:tcPr>
            <w:tcW w:w="703" w:type="pct"/>
            <w:tcBorders>
              <w:top w:val="single" w:sz="4" w:space="0" w:color="auto"/>
              <w:left w:val="single" w:sz="4" w:space="0" w:color="auto"/>
              <w:bottom w:val="single" w:sz="4" w:space="0" w:color="auto"/>
              <w:right w:val="single" w:sz="4" w:space="0" w:color="auto"/>
            </w:tcBorders>
          </w:tcPr>
          <w:p w14:paraId="2FE3D6ED" w14:textId="77777777" w:rsidR="00E57DAA" w:rsidRDefault="00AC4185">
            <w:pPr>
              <w:autoSpaceDE w:val="0"/>
              <w:autoSpaceDN w:val="0"/>
              <w:adjustRightInd w:val="0"/>
              <w:jc w:val="right"/>
              <w:rPr>
                <w:szCs w:val="21"/>
              </w:rPr>
            </w:pPr>
            <w:r>
              <w:t>715,000.00</w:t>
            </w:r>
          </w:p>
        </w:tc>
        <w:tc>
          <w:tcPr>
            <w:tcW w:w="914" w:type="pct"/>
            <w:tcBorders>
              <w:top w:val="single" w:sz="4" w:space="0" w:color="auto"/>
              <w:left w:val="single" w:sz="4" w:space="0" w:color="auto"/>
              <w:bottom w:val="single" w:sz="4" w:space="0" w:color="auto"/>
              <w:right w:val="single" w:sz="4" w:space="0" w:color="auto"/>
            </w:tcBorders>
          </w:tcPr>
          <w:p w14:paraId="52B900D0" w14:textId="77777777" w:rsidR="00E57DAA" w:rsidRDefault="00AC4185">
            <w:pPr>
              <w:autoSpaceDE w:val="0"/>
              <w:autoSpaceDN w:val="0"/>
              <w:adjustRightInd w:val="0"/>
              <w:jc w:val="right"/>
              <w:rPr>
                <w:szCs w:val="21"/>
              </w:rPr>
            </w:pPr>
            <w:r>
              <w:t>375,500.00</w:t>
            </w:r>
          </w:p>
        </w:tc>
      </w:tr>
      <w:tr w:rsidR="00E57DAA" w14:paraId="771DC36A" w14:textId="77777777">
        <w:tc>
          <w:tcPr>
            <w:tcW w:w="677" w:type="pct"/>
            <w:tcBorders>
              <w:top w:val="single" w:sz="4" w:space="0" w:color="auto"/>
              <w:left w:val="single" w:sz="4" w:space="0" w:color="auto"/>
              <w:bottom w:val="single" w:sz="4" w:space="0" w:color="auto"/>
              <w:right w:val="single" w:sz="4" w:space="0" w:color="auto"/>
            </w:tcBorders>
            <w:vAlign w:val="center"/>
          </w:tcPr>
          <w:p w14:paraId="0B49EFE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E84DDE3" w14:textId="77777777" w:rsidR="00E57DAA" w:rsidRDefault="00AC4185">
            <w:pPr>
              <w:autoSpaceDE w:val="0"/>
              <w:autoSpaceDN w:val="0"/>
              <w:adjustRightInd w:val="0"/>
              <w:rPr>
                <w:szCs w:val="21"/>
              </w:rPr>
            </w:pPr>
            <w:r>
              <w:t>南京中联水泥有限公司</w:t>
            </w:r>
          </w:p>
        </w:tc>
        <w:tc>
          <w:tcPr>
            <w:tcW w:w="633" w:type="pct"/>
            <w:tcBorders>
              <w:top w:val="single" w:sz="4" w:space="0" w:color="auto"/>
              <w:left w:val="single" w:sz="4" w:space="0" w:color="auto"/>
              <w:bottom w:val="single" w:sz="4" w:space="0" w:color="auto"/>
              <w:right w:val="single" w:sz="4" w:space="0" w:color="auto"/>
            </w:tcBorders>
          </w:tcPr>
          <w:p w14:paraId="3A41220F" w14:textId="77777777" w:rsidR="00E57DAA" w:rsidRDefault="00AC4185">
            <w:pPr>
              <w:autoSpaceDE w:val="0"/>
              <w:autoSpaceDN w:val="0"/>
              <w:adjustRightInd w:val="0"/>
              <w:jc w:val="right"/>
              <w:rPr>
                <w:szCs w:val="21"/>
              </w:rPr>
            </w:pPr>
            <w:r>
              <w:t>718,600.00</w:t>
            </w:r>
          </w:p>
        </w:tc>
        <w:tc>
          <w:tcPr>
            <w:tcW w:w="632" w:type="pct"/>
            <w:tcBorders>
              <w:top w:val="single" w:sz="4" w:space="0" w:color="auto"/>
              <w:left w:val="single" w:sz="4" w:space="0" w:color="auto"/>
              <w:bottom w:val="single" w:sz="4" w:space="0" w:color="auto"/>
              <w:right w:val="single" w:sz="4" w:space="0" w:color="auto"/>
            </w:tcBorders>
          </w:tcPr>
          <w:p w14:paraId="6FC4760F" w14:textId="77777777" w:rsidR="00E57DAA" w:rsidRDefault="00AC4185">
            <w:pPr>
              <w:autoSpaceDE w:val="0"/>
              <w:autoSpaceDN w:val="0"/>
              <w:adjustRightInd w:val="0"/>
              <w:jc w:val="right"/>
              <w:rPr>
                <w:szCs w:val="21"/>
              </w:rPr>
            </w:pPr>
            <w:r>
              <w:t>89,130.00</w:t>
            </w:r>
          </w:p>
        </w:tc>
        <w:tc>
          <w:tcPr>
            <w:tcW w:w="703" w:type="pct"/>
            <w:tcBorders>
              <w:top w:val="single" w:sz="4" w:space="0" w:color="auto"/>
              <w:left w:val="single" w:sz="4" w:space="0" w:color="auto"/>
              <w:bottom w:val="single" w:sz="4" w:space="0" w:color="auto"/>
              <w:right w:val="single" w:sz="4" w:space="0" w:color="auto"/>
            </w:tcBorders>
          </w:tcPr>
          <w:p w14:paraId="5EF20AC5" w14:textId="77777777" w:rsidR="00E57DAA" w:rsidRDefault="00AC4185">
            <w:pPr>
              <w:autoSpaceDE w:val="0"/>
              <w:autoSpaceDN w:val="0"/>
              <w:adjustRightInd w:val="0"/>
              <w:jc w:val="right"/>
              <w:rPr>
                <w:szCs w:val="21"/>
              </w:rPr>
            </w:pPr>
            <w:r>
              <w:t>385,000.00</w:t>
            </w:r>
          </w:p>
        </w:tc>
        <w:tc>
          <w:tcPr>
            <w:tcW w:w="914" w:type="pct"/>
            <w:tcBorders>
              <w:top w:val="single" w:sz="4" w:space="0" w:color="auto"/>
              <w:left w:val="single" w:sz="4" w:space="0" w:color="auto"/>
              <w:bottom w:val="single" w:sz="4" w:space="0" w:color="auto"/>
              <w:right w:val="single" w:sz="4" w:space="0" w:color="auto"/>
            </w:tcBorders>
          </w:tcPr>
          <w:p w14:paraId="06940202" w14:textId="77777777" w:rsidR="00E57DAA" w:rsidRDefault="00AC4185">
            <w:pPr>
              <w:autoSpaceDE w:val="0"/>
              <w:autoSpaceDN w:val="0"/>
              <w:adjustRightInd w:val="0"/>
              <w:jc w:val="right"/>
              <w:rPr>
                <w:szCs w:val="21"/>
              </w:rPr>
            </w:pPr>
            <w:r>
              <w:t>4,025.00</w:t>
            </w:r>
          </w:p>
        </w:tc>
      </w:tr>
      <w:tr w:rsidR="00E57DAA" w14:paraId="12C4D81F" w14:textId="77777777">
        <w:tc>
          <w:tcPr>
            <w:tcW w:w="677" w:type="pct"/>
            <w:tcBorders>
              <w:top w:val="single" w:sz="4" w:space="0" w:color="auto"/>
              <w:left w:val="single" w:sz="4" w:space="0" w:color="auto"/>
              <w:bottom w:val="single" w:sz="4" w:space="0" w:color="auto"/>
              <w:right w:val="single" w:sz="4" w:space="0" w:color="auto"/>
            </w:tcBorders>
            <w:vAlign w:val="center"/>
          </w:tcPr>
          <w:p w14:paraId="4BDEBEA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B450454" w14:textId="77777777" w:rsidR="00E57DAA" w:rsidRDefault="00AC4185">
            <w:pPr>
              <w:autoSpaceDE w:val="0"/>
              <w:autoSpaceDN w:val="0"/>
              <w:adjustRightInd w:val="0"/>
              <w:rPr>
                <w:szCs w:val="21"/>
              </w:rPr>
            </w:pPr>
            <w:r>
              <w:t>南阳中联水泥有限公司</w:t>
            </w:r>
          </w:p>
        </w:tc>
        <w:tc>
          <w:tcPr>
            <w:tcW w:w="633" w:type="pct"/>
            <w:tcBorders>
              <w:top w:val="single" w:sz="4" w:space="0" w:color="auto"/>
              <w:left w:val="single" w:sz="4" w:space="0" w:color="auto"/>
              <w:bottom w:val="single" w:sz="4" w:space="0" w:color="auto"/>
              <w:right w:val="single" w:sz="4" w:space="0" w:color="auto"/>
            </w:tcBorders>
          </w:tcPr>
          <w:p w14:paraId="61C3E76D" w14:textId="77777777" w:rsidR="00E57DAA" w:rsidRDefault="00AC4185">
            <w:pPr>
              <w:autoSpaceDE w:val="0"/>
              <w:autoSpaceDN w:val="0"/>
              <w:adjustRightInd w:val="0"/>
              <w:jc w:val="right"/>
              <w:rPr>
                <w:szCs w:val="21"/>
              </w:rPr>
            </w:pPr>
            <w:r>
              <w:t>630,000.00</w:t>
            </w:r>
          </w:p>
        </w:tc>
        <w:tc>
          <w:tcPr>
            <w:tcW w:w="632" w:type="pct"/>
            <w:tcBorders>
              <w:top w:val="single" w:sz="4" w:space="0" w:color="auto"/>
              <w:left w:val="single" w:sz="4" w:space="0" w:color="auto"/>
              <w:bottom w:val="single" w:sz="4" w:space="0" w:color="auto"/>
              <w:right w:val="single" w:sz="4" w:space="0" w:color="auto"/>
            </w:tcBorders>
          </w:tcPr>
          <w:p w14:paraId="3392236E" w14:textId="77777777" w:rsidR="00E57DAA" w:rsidRDefault="00AC4185">
            <w:pPr>
              <w:autoSpaceDE w:val="0"/>
              <w:autoSpaceDN w:val="0"/>
              <w:adjustRightInd w:val="0"/>
              <w:jc w:val="right"/>
              <w:rPr>
                <w:szCs w:val="21"/>
              </w:rPr>
            </w:pPr>
            <w:r>
              <w:t>73,560.00</w:t>
            </w:r>
          </w:p>
        </w:tc>
        <w:tc>
          <w:tcPr>
            <w:tcW w:w="703" w:type="pct"/>
            <w:tcBorders>
              <w:top w:val="single" w:sz="4" w:space="0" w:color="auto"/>
              <w:left w:val="single" w:sz="4" w:space="0" w:color="auto"/>
              <w:bottom w:val="single" w:sz="4" w:space="0" w:color="auto"/>
              <w:right w:val="single" w:sz="4" w:space="0" w:color="auto"/>
            </w:tcBorders>
          </w:tcPr>
          <w:p w14:paraId="0865FCD8" w14:textId="77777777" w:rsidR="00E57DAA" w:rsidRDefault="00AC4185">
            <w:pPr>
              <w:autoSpaceDE w:val="0"/>
              <w:autoSpaceDN w:val="0"/>
              <w:adjustRightInd w:val="0"/>
              <w:jc w:val="right"/>
              <w:rPr>
                <w:szCs w:val="21"/>
              </w:rPr>
            </w:pPr>
            <w:r>
              <w:t>1,129,868.00</w:t>
            </w:r>
          </w:p>
        </w:tc>
        <w:tc>
          <w:tcPr>
            <w:tcW w:w="914" w:type="pct"/>
            <w:tcBorders>
              <w:top w:val="single" w:sz="4" w:space="0" w:color="auto"/>
              <w:left w:val="single" w:sz="4" w:space="0" w:color="auto"/>
              <w:bottom w:val="single" w:sz="4" w:space="0" w:color="auto"/>
              <w:right w:val="single" w:sz="4" w:space="0" w:color="auto"/>
            </w:tcBorders>
          </w:tcPr>
          <w:p w14:paraId="4BA1A1B1" w14:textId="77777777" w:rsidR="00E57DAA" w:rsidRDefault="00AC4185">
            <w:pPr>
              <w:autoSpaceDE w:val="0"/>
              <w:autoSpaceDN w:val="0"/>
              <w:adjustRightInd w:val="0"/>
              <w:jc w:val="right"/>
              <w:rPr>
                <w:szCs w:val="21"/>
              </w:rPr>
            </w:pPr>
            <w:r>
              <w:t>61,735.25</w:t>
            </w:r>
          </w:p>
        </w:tc>
      </w:tr>
      <w:tr w:rsidR="00E57DAA" w14:paraId="553A4283" w14:textId="77777777">
        <w:tc>
          <w:tcPr>
            <w:tcW w:w="677" w:type="pct"/>
            <w:tcBorders>
              <w:top w:val="single" w:sz="4" w:space="0" w:color="auto"/>
              <w:left w:val="single" w:sz="4" w:space="0" w:color="auto"/>
              <w:bottom w:val="single" w:sz="4" w:space="0" w:color="auto"/>
              <w:right w:val="single" w:sz="4" w:space="0" w:color="auto"/>
            </w:tcBorders>
            <w:vAlign w:val="center"/>
          </w:tcPr>
          <w:p w14:paraId="24A3E86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F180B77" w14:textId="77777777" w:rsidR="00E57DAA" w:rsidRDefault="00AC4185">
            <w:pPr>
              <w:autoSpaceDE w:val="0"/>
              <w:autoSpaceDN w:val="0"/>
              <w:adjustRightInd w:val="0"/>
              <w:rPr>
                <w:szCs w:val="21"/>
              </w:rPr>
            </w:pPr>
            <w:r>
              <w:t>中材安徽水泥有限公司</w:t>
            </w:r>
          </w:p>
        </w:tc>
        <w:tc>
          <w:tcPr>
            <w:tcW w:w="633" w:type="pct"/>
            <w:tcBorders>
              <w:top w:val="single" w:sz="4" w:space="0" w:color="auto"/>
              <w:left w:val="single" w:sz="4" w:space="0" w:color="auto"/>
              <w:bottom w:val="single" w:sz="4" w:space="0" w:color="auto"/>
              <w:right w:val="single" w:sz="4" w:space="0" w:color="auto"/>
            </w:tcBorders>
          </w:tcPr>
          <w:p w14:paraId="187CAFB8" w14:textId="77777777" w:rsidR="00E57DAA" w:rsidRDefault="00AC4185">
            <w:pPr>
              <w:autoSpaceDE w:val="0"/>
              <w:autoSpaceDN w:val="0"/>
              <w:adjustRightInd w:val="0"/>
              <w:jc w:val="right"/>
              <w:rPr>
                <w:szCs w:val="21"/>
              </w:rPr>
            </w:pPr>
            <w:r>
              <w:t>624,940.90</w:t>
            </w:r>
          </w:p>
        </w:tc>
        <w:tc>
          <w:tcPr>
            <w:tcW w:w="632" w:type="pct"/>
            <w:tcBorders>
              <w:top w:val="single" w:sz="4" w:space="0" w:color="auto"/>
              <w:left w:val="single" w:sz="4" w:space="0" w:color="auto"/>
              <w:bottom w:val="single" w:sz="4" w:space="0" w:color="auto"/>
              <w:right w:val="single" w:sz="4" w:space="0" w:color="auto"/>
            </w:tcBorders>
          </w:tcPr>
          <w:p w14:paraId="026DF75F" w14:textId="77777777" w:rsidR="00E57DAA" w:rsidRDefault="00AC4185">
            <w:pPr>
              <w:autoSpaceDE w:val="0"/>
              <w:autoSpaceDN w:val="0"/>
              <w:adjustRightInd w:val="0"/>
              <w:jc w:val="right"/>
              <w:rPr>
                <w:szCs w:val="21"/>
              </w:rPr>
            </w:pPr>
            <w:r>
              <w:t>56,044.68</w:t>
            </w:r>
          </w:p>
        </w:tc>
        <w:tc>
          <w:tcPr>
            <w:tcW w:w="703" w:type="pct"/>
            <w:tcBorders>
              <w:top w:val="single" w:sz="4" w:space="0" w:color="auto"/>
              <w:left w:val="single" w:sz="4" w:space="0" w:color="auto"/>
              <w:bottom w:val="single" w:sz="4" w:space="0" w:color="auto"/>
              <w:right w:val="single" w:sz="4" w:space="0" w:color="auto"/>
            </w:tcBorders>
          </w:tcPr>
          <w:p w14:paraId="4FB79C9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1FF966A" w14:textId="77777777" w:rsidR="00E57DAA" w:rsidRDefault="00AC4185">
            <w:pPr>
              <w:autoSpaceDE w:val="0"/>
              <w:autoSpaceDN w:val="0"/>
              <w:adjustRightInd w:val="0"/>
              <w:jc w:val="right"/>
              <w:rPr>
                <w:szCs w:val="21"/>
              </w:rPr>
            </w:pPr>
            <w:r>
              <w:t xml:space="preserve">　</w:t>
            </w:r>
          </w:p>
        </w:tc>
      </w:tr>
      <w:tr w:rsidR="00E57DAA" w14:paraId="36315E87" w14:textId="77777777">
        <w:tc>
          <w:tcPr>
            <w:tcW w:w="677" w:type="pct"/>
            <w:tcBorders>
              <w:top w:val="single" w:sz="4" w:space="0" w:color="auto"/>
              <w:left w:val="single" w:sz="4" w:space="0" w:color="auto"/>
              <w:bottom w:val="single" w:sz="4" w:space="0" w:color="auto"/>
              <w:right w:val="single" w:sz="4" w:space="0" w:color="auto"/>
            </w:tcBorders>
            <w:vAlign w:val="center"/>
          </w:tcPr>
          <w:p w14:paraId="37168BE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70227D5" w14:textId="77777777" w:rsidR="00E57DAA" w:rsidRDefault="00AC4185">
            <w:pPr>
              <w:autoSpaceDE w:val="0"/>
              <w:autoSpaceDN w:val="0"/>
              <w:adjustRightInd w:val="0"/>
              <w:rPr>
                <w:szCs w:val="21"/>
              </w:rPr>
            </w:pPr>
            <w:r>
              <w:t>旺苍川煤水泥有限责任公司</w:t>
            </w:r>
          </w:p>
        </w:tc>
        <w:tc>
          <w:tcPr>
            <w:tcW w:w="633" w:type="pct"/>
            <w:tcBorders>
              <w:top w:val="single" w:sz="4" w:space="0" w:color="auto"/>
              <w:left w:val="single" w:sz="4" w:space="0" w:color="auto"/>
              <w:bottom w:val="single" w:sz="4" w:space="0" w:color="auto"/>
              <w:right w:val="single" w:sz="4" w:space="0" w:color="auto"/>
            </w:tcBorders>
          </w:tcPr>
          <w:p w14:paraId="28BF0D71" w14:textId="77777777" w:rsidR="00E57DAA" w:rsidRDefault="00AC4185">
            <w:pPr>
              <w:autoSpaceDE w:val="0"/>
              <w:autoSpaceDN w:val="0"/>
              <w:adjustRightInd w:val="0"/>
              <w:jc w:val="right"/>
              <w:rPr>
                <w:szCs w:val="21"/>
              </w:rPr>
            </w:pPr>
            <w:r>
              <w:t>610,000.00</w:t>
            </w:r>
          </w:p>
        </w:tc>
        <w:tc>
          <w:tcPr>
            <w:tcW w:w="632" w:type="pct"/>
            <w:tcBorders>
              <w:top w:val="single" w:sz="4" w:space="0" w:color="auto"/>
              <w:left w:val="single" w:sz="4" w:space="0" w:color="auto"/>
              <w:bottom w:val="single" w:sz="4" w:space="0" w:color="auto"/>
              <w:right w:val="single" w:sz="4" w:space="0" w:color="auto"/>
            </w:tcBorders>
          </w:tcPr>
          <w:p w14:paraId="447373A7" w14:textId="77777777" w:rsidR="00E57DAA" w:rsidRDefault="00AC4185">
            <w:pPr>
              <w:autoSpaceDE w:val="0"/>
              <w:autoSpaceDN w:val="0"/>
              <w:adjustRightInd w:val="0"/>
              <w:jc w:val="right"/>
              <w:rPr>
                <w:szCs w:val="21"/>
              </w:rPr>
            </w:pPr>
            <w:r>
              <w:t>589,119.00</w:t>
            </w:r>
          </w:p>
        </w:tc>
        <w:tc>
          <w:tcPr>
            <w:tcW w:w="703" w:type="pct"/>
            <w:tcBorders>
              <w:top w:val="single" w:sz="4" w:space="0" w:color="auto"/>
              <w:left w:val="single" w:sz="4" w:space="0" w:color="auto"/>
              <w:bottom w:val="single" w:sz="4" w:space="0" w:color="auto"/>
              <w:right w:val="single" w:sz="4" w:space="0" w:color="auto"/>
            </w:tcBorders>
          </w:tcPr>
          <w:p w14:paraId="1C28B213" w14:textId="77777777" w:rsidR="00E57DAA" w:rsidRDefault="00AC4185">
            <w:pPr>
              <w:autoSpaceDE w:val="0"/>
              <w:autoSpaceDN w:val="0"/>
              <w:adjustRightInd w:val="0"/>
              <w:jc w:val="right"/>
              <w:rPr>
                <w:szCs w:val="21"/>
              </w:rPr>
            </w:pPr>
            <w:r>
              <w:t>630,000.00</w:t>
            </w:r>
          </w:p>
        </w:tc>
        <w:tc>
          <w:tcPr>
            <w:tcW w:w="914" w:type="pct"/>
            <w:tcBorders>
              <w:top w:val="single" w:sz="4" w:space="0" w:color="auto"/>
              <w:left w:val="single" w:sz="4" w:space="0" w:color="auto"/>
              <w:bottom w:val="single" w:sz="4" w:space="0" w:color="auto"/>
              <w:right w:val="single" w:sz="4" w:space="0" w:color="auto"/>
            </w:tcBorders>
          </w:tcPr>
          <w:p w14:paraId="604445A9" w14:textId="77777777" w:rsidR="00E57DAA" w:rsidRDefault="00AC4185">
            <w:pPr>
              <w:autoSpaceDE w:val="0"/>
              <w:autoSpaceDN w:val="0"/>
              <w:adjustRightInd w:val="0"/>
              <w:jc w:val="right"/>
              <w:rPr>
                <w:szCs w:val="21"/>
              </w:rPr>
            </w:pPr>
            <w:r>
              <w:t>584,800.00</w:t>
            </w:r>
          </w:p>
        </w:tc>
      </w:tr>
      <w:tr w:rsidR="00E57DAA" w14:paraId="36CCDC57" w14:textId="77777777">
        <w:tc>
          <w:tcPr>
            <w:tcW w:w="677" w:type="pct"/>
            <w:tcBorders>
              <w:top w:val="single" w:sz="4" w:space="0" w:color="auto"/>
              <w:left w:val="single" w:sz="4" w:space="0" w:color="auto"/>
              <w:bottom w:val="single" w:sz="4" w:space="0" w:color="auto"/>
              <w:right w:val="single" w:sz="4" w:space="0" w:color="auto"/>
            </w:tcBorders>
            <w:vAlign w:val="center"/>
          </w:tcPr>
          <w:p w14:paraId="1F043DB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0C0FCDD" w14:textId="77777777" w:rsidR="00E57DAA" w:rsidRDefault="00AC4185">
            <w:pPr>
              <w:autoSpaceDE w:val="0"/>
              <w:autoSpaceDN w:val="0"/>
              <w:adjustRightInd w:val="0"/>
              <w:rPr>
                <w:szCs w:val="21"/>
              </w:rPr>
            </w:pPr>
            <w:r>
              <w:t>蚌埠中联水泥有限公司</w:t>
            </w:r>
          </w:p>
        </w:tc>
        <w:tc>
          <w:tcPr>
            <w:tcW w:w="633" w:type="pct"/>
            <w:tcBorders>
              <w:top w:val="single" w:sz="4" w:space="0" w:color="auto"/>
              <w:left w:val="single" w:sz="4" w:space="0" w:color="auto"/>
              <w:bottom w:val="single" w:sz="4" w:space="0" w:color="auto"/>
              <w:right w:val="single" w:sz="4" w:space="0" w:color="auto"/>
            </w:tcBorders>
          </w:tcPr>
          <w:p w14:paraId="06B15A2B" w14:textId="77777777" w:rsidR="00E57DAA" w:rsidRDefault="00AC4185">
            <w:pPr>
              <w:autoSpaceDE w:val="0"/>
              <w:autoSpaceDN w:val="0"/>
              <w:adjustRightInd w:val="0"/>
              <w:jc w:val="right"/>
              <w:rPr>
                <w:szCs w:val="21"/>
              </w:rPr>
            </w:pPr>
            <w:r>
              <w:t>600,000.00</w:t>
            </w:r>
          </w:p>
        </w:tc>
        <w:tc>
          <w:tcPr>
            <w:tcW w:w="632" w:type="pct"/>
            <w:tcBorders>
              <w:top w:val="single" w:sz="4" w:space="0" w:color="auto"/>
              <w:left w:val="single" w:sz="4" w:space="0" w:color="auto"/>
              <w:bottom w:val="single" w:sz="4" w:space="0" w:color="auto"/>
              <w:right w:val="single" w:sz="4" w:space="0" w:color="auto"/>
            </w:tcBorders>
          </w:tcPr>
          <w:p w14:paraId="5CDCD9B8" w14:textId="77777777" w:rsidR="00E57DAA" w:rsidRDefault="00AC4185">
            <w:pPr>
              <w:autoSpaceDE w:val="0"/>
              <w:autoSpaceDN w:val="0"/>
              <w:adjustRightInd w:val="0"/>
              <w:jc w:val="right"/>
              <w:rPr>
                <w:szCs w:val="21"/>
              </w:rPr>
            </w:pPr>
            <w:r>
              <w:t>38,930.00</w:t>
            </w:r>
          </w:p>
        </w:tc>
        <w:tc>
          <w:tcPr>
            <w:tcW w:w="703" w:type="pct"/>
            <w:tcBorders>
              <w:top w:val="single" w:sz="4" w:space="0" w:color="auto"/>
              <w:left w:val="single" w:sz="4" w:space="0" w:color="auto"/>
              <w:bottom w:val="single" w:sz="4" w:space="0" w:color="auto"/>
              <w:right w:val="single" w:sz="4" w:space="0" w:color="auto"/>
            </w:tcBorders>
          </w:tcPr>
          <w:p w14:paraId="1F9952B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8079ADC" w14:textId="77777777" w:rsidR="00E57DAA" w:rsidRDefault="00AC4185">
            <w:pPr>
              <w:autoSpaceDE w:val="0"/>
              <w:autoSpaceDN w:val="0"/>
              <w:adjustRightInd w:val="0"/>
              <w:jc w:val="right"/>
              <w:rPr>
                <w:szCs w:val="21"/>
              </w:rPr>
            </w:pPr>
            <w:r>
              <w:t xml:space="preserve">　</w:t>
            </w:r>
          </w:p>
        </w:tc>
      </w:tr>
      <w:tr w:rsidR="00E57DAA" w14:paraId="585BCF8C" w14:textId="77777777">
        <w:tc>
          <w:tcPr>
            <w:tcW w:w="677" w:type="pct"/>
            <w:tcBorders>
              <w:top w:val="single" w:sz="4" w:space="0" w:color="auto"/>
              <w:left w:val="single" w:sz="4" w:space="0" w:color="auto"/>
              <w:bottom w:val="single" w:sz="4" w:space="0" w:color="auto"/>
              <w:right w:val="single" w:sz="4" w:space="0" w:color="auto"/>
            </w:tcBorders>
            <w:vAlign w:val="center"/>
          </w:tcPr>
          <w:p w14:paraId="6C2DB71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0D5E41E" w14:textId="77777777" w:rsidR="00E57DAA" w:rsidRDefault="00AC4185">
            <w:pPr>
              <w:autoSpaceDE w:val="0"/>
              <w:autoSpaceDN w:val="0"/>
              <w:adjustRightInd w:val="0"/>
              <w:rPr>
                <w:szCs w:val="21"/>
              </w:rPr>
            </w:pPr>
            <w:r>
              <w:t>洛阳中联水泥有限公司</w:t>
            </w:r>
          </w:p>
        </w:tc>
        <w:tc>
          <w:tcPr>
            <w:tcW w:w="633" w:type="pct"/>
            <w:tcBorders>
              <w:top w:val="single" w:sz="4" w:space="0" w:color="auto"/>
              <w:left w:val="single" w:sz="4" w:space="0" w:color="auto"/>
              <w:bottom w:val="single" w:sz="4" w:space="0" w:color="auto"/>
              <w:right w:val="single" w:sz="4" w:space="0" w:color="auto"/>
            </w:tcBorders>
          </w:tcPr>
          <w:p w14:paraId="189D28FE" w14:textId="77777777" w:rsidR="00E57DAA" w:rsidRDefault="00AC4185">
            <w:pPr>
              <w:autoSpaceDE w:val="0"/>
              <w:autoSpaceDN w:val="0"/>
              <w:adjustRightInd w:val="0"/>
              <w:jc w:val="right"/>
              <w:rPr>
                <w:szCs w:val="21"/>
              </w:rPr>
            </w:pPr>
            <w:r>
              <w:t>571,000.00</w:t>
            </w:r>
          </w:p>
        </w:tc>
        <w:tc>
          <w:tcPr>
            <w:tcW w:w="632" w:type="pct"/>
            <w:tcBorders>
              <w:top w:val="single" w:sz="4" w:space="0" w:color="auto"/>
              <w:left w:val="single" w:sz="4" w:space="0" w:color="auto"/>
              <w:bottom w:val="single" w:sz="4" w:space="0" w:color="auto"/>
              <w:right w:val="single" w:sz="4" w:space="0" w:color="auto"/>
            </w:tcBorders>
          </w:tcPr>
          <w:p w14:paraId="603A66CC" w14:textId="77777777" w:rsidR="00E57DAA" w:rsidRDefault="00AC4185">
            <w:pPr>
              <w:autoSpaceDE w:val="0"/>
              <w:autoSpaceDN w:val="0"/>
              <w:adjustRightInd w:val="0"/>
              <w:jc w:val="right"/>
              <w:rPr>
                <w:szCs w:val="21"/>
              </w:rPr>
            </w:pPr>
            <w:r>
              <w:t>261,848.00</w:t>
            </w:r>
          </w:p>
        </w:tc>
        <w:tc>
          <w:tcPr>
            <w:tcW w:w="703" w:type="pct"/>
            <w:tcBorders>
              <w:top w:val="single" w:sz="4" w:space="0" w:color="auto"/>
              <w:left w:val="single" w:sz="4" w:space="0" w:color="auto"/>
              <w:bottom w:val="single" w:sz="4" w:space="0" w:color="auto"/>
              <w:right w:val="single" w:sz="4" w:space="0" w:color="auto"/>
            </w:tcBorders>
          </w:tcPr>
          <w:p w14:paraId="3B8687BC" w14:textId="77777777" w:rsidR="00E57DAA" w:rsidRDefault="00AC4185">
            <w:pPr>
              <w:autoSpaceDE w:val="0"/>
              <w:autoSpaceDN w:val="0"/>
              <w:adjustRightInd w:val="0"/>
              <w:jc w:val="right"/>
              <w:rPr>
                <w:szCs w:val="21"/>
              </w:rPr>
            </w:pPr>
            <w:r>
              <w:t>571,000.00</w:t>
            </w:r>
          </w:p>
        </w:tc>
        <w:tc>
          <w:tcPr>
            <w:tcW w:w="914" w:type="pct"/>
            <w:tcBorders>
              <w:top w:val="single" w:sz="4" w:space="0" w:color="auto"/>
              <w:left w:val="single" w:sz="4" w:space="0" w:color="auto"/>
              <w:bottom w:val="single" w:sz="4" w:space="0" w:color="auto"/>
              <w:right w:val="single" w:sz="4" w:space="0" w:color="auto"/>
            </w:tcBorders>
          </w:tcPr>
          <w:p w14:paraId="33121928" w14:textId="77777777" w:rsidR="00E57DAA" w:rsidRDefault="00AC4185">
            <w:pPr>
              <w:autoSpaceDE w:val="0"/>
              <w:autoSpaceDN w:val="0"/>
              <w:adjustRightInd w:val="0"/>
              <w:jc w:val="right"/>
              <w:rPr>
                <w:szCs w:val="21"/>
              </w:rPr>
            </w:pPr>
            <w:r>
              <w:t>173,902.00</w:t>
            </w:r>
          </w:p>
        </w:tc>
      </w:tr>
      <w:tr w:rsidR="00E57DAA" w14:paraId="2BDC1FCE" w14:textId="77777777">
        <w:tc>
          <w:tcPr>
            <w:tcW w:w="677" w:type="pct"/>
            <w:tcBorders>
              <w:top w:val="single" w:sz="4" w:space="0" w:color="auto"/>
              <w:left w:val="single" w:sz="4" w:space="0" w:color="auto"/>
              <w:bottom w:val="single" w:sz="4" w:space="0" w:color="auto"/>
              <w:right w:val="single" w:sz="4" w:space="0" w:color="auto"/>
            </w:tcBorders>
            <w:vAlign w:val="center"/>
          </w:tcPr>
          <w:p w14:paraId="55361AA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7A96EFC" w14:textId="77777777" w:rsidR="00E57DAA" w:rsidRDefault="00AC4185">
            <w:pPr>
              <w:autoSpaceDE w:val="0"/>
              <w:autoSpaceDN w:val="0"/>
              <w:adjustRightInd w:val="0"/>
              <w:rPr>
                <w:szCs w:val="21"/>
              </w:rPr>
            </w:pPr>
            <w:r>
              <w:t>泰安中联水泥有限公司</w:t>
            </w:r>
          </w:p>
        </w:tc>
        <w:tc>
          <w:tcPr>
            <w:tcW w:w="633" w:type="pct"/>
            <w:tcBorders>
              <w:top w:val="single" w:sz="4" w:space="0" w:color="auto"/>
              <w:left w:val="single" w:sz="4" w:space="0" w:color="auto"/>
              <w:bottom w:val="single" w:sz="4" w:space="0" w:color="auto"/>
              <w:right w:val="single" w:sz="4" w:space="0" w:color="auto"/>
            </w:tcBorders>
          </w:tcPr>
          <w:p w14:paraId="5A1365C1" w14:textId="77777777" w:rsidR="00E57DAA" w:rsidRDefault="00AC4185">
            <w:pPr>
              <w:autoSpaceDE w:val="0"/>
              <w:autoSpaceDN w:val="0"/>
              <w:adjustRightInd w:val="0"/>
              <w:jc w:val="right"/>
              <w:rPr>
                <w:szCs w:val="21"/>
              </w:rPr>
            </w:pPr>
            <w:r>
              <w:t>510,000.00</w:t>
            </w:r>
          </w:p>
        </w:tc>
        <w:tc>
          <w:tcPr>
            <w:tcW w:w="632" w:type="pct"/>
            <w:tcBorders>
              <w:top w:val="single" w:sz="4" w:space="0" w:color="auto"/>
              <w:left w:val="single" w:sz="4" w:space="0" w:color="auto"/>
              <w:bottom w:val="single" w:sz="4" w:space="0" w:color="auto"/>
              <w:right w:val="single" w:sz="4" w:space="0" w:color="auto"/>
            </w:tcBorders>
          </w:tcPr>
          <w:p w14:paraId="35337D66" w14:textId="77777777" w:rsidR="00E57DAA" w:rsidRDefault="00AC4185">
            <w:pPr>
              <w:autoSpaceDE w:val="0"/>
              <w:autoSpaceDN w:val="0"/>
              <w:adjustRightInd w:val="0"/>
              <w:jc w:val="right"/>
              <w:rPr>
                <w:szCs w:val="21"/>
              </w:rPr>
            </w:pPr>
            <w:r>
              <w:t>14,900.00</w:t>
            </w:r>
          </w:p>
        </w:tc>
        <w:tc>
          <w:tcPr>
            <w:tcW w:w="703" w:type="pct"/>
            <w:tcBorders>
              <w:top w:val="single" w:sz="4" w:space="0" w:color="auto"/>
              <w:left w:val="single" w:sz="4" w:space="0" w:color="auto"/>
              <w:bottom w:val="single" w:sz="4" w:space="0" w:color="auto"/>
              <w:right w:val="single" w:sz="4" w:space="0" w:color="auto"/>
            </w:tcBorders>
          </w:tcPr>
          <w:p w14:paraId="135E7532"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29C2A90D" w14:textId="77777777" w:rsidR="00E57DAA" w:rsidRDefault="00AC4185">
            <w:pPr>
              <w:autoSpaceDE w:val="0"/>
              <w:autoSpaceDN w:val="0"/>
              <w:adjustRightInd w:val="0"/>
              <w:jc w:val="right"/>
              <w:rPr>
                <w:szCs w:val="21"/>
              </w:rPr>
            </w:pPr>
            <w:r>
              <w:t>1,420.00</w:t>
            </w:r>
          </w:p>
        </w:tc>
      </w:tr>
      <w:tr w:rsidR="00E57DAA" w14:paraId="40C89771" w14:textId="77777777">
        <w:tc>
          <w:tcPr>
            <w:tcW w:w="677" w:type="pct"/>
            <w:tcBorders>
              <w:top w:val="single" w:sz="4" w:space="0" w:color="auto"/>
              <w:left w:val="single" w:sz="4" w:space="0" w:color="auto"/>
              <w:bottom w:val="single" w:sz="4" w:space="0" w:color="auto"/>
              <w:right w:val="single" w:sz="4" w:space="0" w:color="auto"/>
            </w:tcBorders>
            <w:vAlign w:val="center"/>
          </w:tcPr>
          <w:p w14:paraId="36BCF1A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98EBEDA" w14:textId="77777777" w:rsidR="00E57DAA" w:rsidRDefault="00AC4185">
            <w:pPr>
              <w:autoSpaceDE w:val="0"/>
              <w:autoSpaceDN w:val="0"/>
              <w:adjustRightInd w:val="0"/>
              <w:rPr>
                <w:szCs w:val="21"/>
              </w:rPr>
            </w:pPr>
            <w:r>
              <w:t>中材亨达水泥有限公司</w:t>
            </w:r>
          </w:p>
        </w:tc>
        <w:tc>
          <w:tcPr>
            <w:tcW w:w="633" w:type="pct"/>
            <w:tcBorders>
              <w:top w:val="single" w:sz="4" w:space="0" w:color="auto"/>
              <w:left w:val="single" w:sz="4" w:space="0" w:color="auto"/>
              <w:bottom w:val="single" w:sz="4" w:space="0" w:color="auto"/>
              <w:right w:val="single" w:sz="4" w:space="0" w:color="auto"/>
            </w:tcBorders>
          </w:tcPr>
          <w:p w14:paraId="443C735B" w14:textId="77777777" w:rsidR="00E57DAA" w:rsidRDefault="00AC4185">
            <w:pPr>
              <w:autoSpaceDE w:val="0"/>
              <w:autoSpaceDN w:val="0"/>
              <w:adjustRightInd w:val="0"/>
              <w:jc w:val="right"/>
              <w:rPr>
                <w:szCs w:val="21"/>
              </w:rPr>
            </w:pPr>
            <w:r>
              <w:t>502,000.00</w:t>
            </w:r>
          </w:p>
        </w:tc>
        <w:tc>
          <w:tcPr>
            <w:tcW w:w="632" w:type="pct"/>
            <w:tcBorders>
              <w:top w:val="single" w:sz="4" w:space="0" w:color="auto"/>
              <w:left w:val="single" w:sz="4" w:space="0" w:color="auto"/>
              <w:bottom w:val="single" w:sz="4" w:space="0" w:color="auto"/>
              <w:right w:val="single" w:sz="4" w:space="0" w:color="auto"/>
            </w:tcBorders>
          </w:tcPr>
          <w:p w14:paraId="5E2252CF" w14:textId="77777777" w:rsidR="00E57DAA" w:rsidRDefault="00AC4185">
            <w:pPr>
              <w:autoSpaceDE w:val="0"/>
              <w:autoSpaceDN w:val="0"/>
              <w:adjustRightInd w:val="0"/>
              <w:jc w:val="right"/>
              <w:rPr>
                <w:szCs w:val="21"/>
              </w:rPr>
            </w:pPr>
            <w:r>
              <w:t>19,900.00</w:t>
            </w:r>
          </w:p>
        </w:tc>
        <w:tc>
          <w:tcPr>
            <w:tcW w:w="703" w:type="pct"/>
            <w:tcBorders>
              <w:top w:val="single" w:sz="4" w:space="0" w:color="auto"/>
              <w:left w:val="single" w:sz="4" w:space="0" w:color="auto"/>
              <w:bottom w:val="single" w:sz="4" w:space="0" w:color="auto"/>
              <w:right w:val="single" w:sz="4" w:space="0" w:color="auto"/>
            </w:tcBorders>
          </w:tcPr>
          <w:p w14:paraId="65CFA67D" w14:textId="77777777" w:rsidR="00E57DAA" w:rsidRDefault="00AC4185">
            <w:pPr>
              <w:autoSpaceDE w:val="0"/>
              <w:autoSpaceDN w:val="0"/>
              <w:adjustRightInd w:val="0"/>
              <w:jc w:val="right"/>
              <w:rPr>
                <w:szCs w:val="21"/>
              </w:rPr>
            </w:pPr>
            <w:r>
              <w:t>102,000.00</w:t>
            </w:r>
          </w:p>
        </w:tc>
        <w:tc>
          <w:tcPr>
            <w:tcW w:w="914" w:type="pct"/>
            <w:tcBorders>
              <w:top w:val="single" w:sz="4" w:space="0" w:color="auto"/>
              <w:left w:val="single" w:sz="4" w:space="0" w:color="auto"/>
              <w:bottom w:val="single" w:sz="4" w:space="0" w:color="auto"/>
              <w:right w:val="single" w:sz="4" w:space="0" w:color="auto"/>
            </w:tcBorders>
          </w:tcPr>
          <w:p w14:paraId="6A32FAB3" w14:textId="77777777" w:rsidR="00E57DAA" w:rsidRDefault="00AC4185">
            <w:pPr>
              <w:autoSpaceDE w:val="0"/>
              <w:autoSpaceDN w:val="0"/>
              <w:adjustRightInd w:val="0"/>
              <w:jc w:val="right"/>
              <w:rPr>
                <w:szCs w:val="21"/>
              </w:rPr>
            </w:pPr>
            <w:r>
              <w:t>5,100.00</w:t>
            </w:r>
          </w:p>
        </w:tc>
      </w:tr>
      <w:tr w:rsidR="00E57DAA" w14:paraId="7740C372" w14:textId="77777777">
        <w:tc>
          <w:tcPr>
            <w:tcW w:w="677" w:type="pct"/>
            <w:tcBorders>
              <w:top w:val="single" w:sz="4" w:space="0" w:color="auto"/>
              <w:left w:val="single" w:sz="4" w:space="0" w:color="auto"/>
              <w:bottom w:val="single" w:sz="4" w:space="0" w:color="auto"/>
              <w:right w:val="single" w:sz="4" w:space="0" w:color="auto"/>
            </w:tcBorders>
            <w:vAlign w:val="center"/>
          </w:tcPr>
          <w:p w14:paraId="6A66B1E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0C3BB52" w14:textId="77777777" w:rsidR="00E57DAA" w:rsidRDefault="00AC4185">
            <w:pPr>
              <w:autoSpaceDE w:val="0"/>
              <w:autoSpaceDN w:val="0"/>
              <w:adjustRightInd w:val="0"/>
              <w:rPr>
                <w:szCs w:val="21"/>
              </w:rPr>
            </w:pPr>
            <w:r>
              <w:t>贵州织金西南水泥有限公司</w:t>
            </w:r>
          </w:p>
        </w:tc>
        <w:tc>
          <w:tcPr>
            <w:tcW w:w="633" w:type="pct"/>
            <w:tcBorders>
              <w:top w:val="single" w:sz="4" w:space="0" w:color="auto"/>
              <w:left w:val="single" w:sz="4" w:space="0" w:color="auto"/>
              <w:bottom w:val="single" w:sz="4" w:space="0" w:color="auto"/>
              <w:right w:val="single" w:sz="4" w:space="0" w:color="auto"/>
            </w:tcBorders>
          </w:tcPr>
          <w:p w14:paraId="6FF5E871" w14:textId="77777777" w:rsidR="00E57DAA" w:rsidRDefault="00AC4185">
            <w:pPr>
              <w:autoSpaceDE w:val="0"/>
              <w:autoSpaceDN w:val="0"/>
              <w:adjustRightInd w:val="0"/>
              <w:jc w:val="right"/>
              <w:rPr>
                <w:szCs w:val="21"/>
              </w:rPr>
            </w:pPr>
            <w:r>
              <w:t>500,100.00</w:t>
            </w:r>
          </w:p>
        </w:tc>
        <w:tc>
          <w:tcPr>
            <w:tcW w:w="632" w:type="pct"/>
            <w:tcBorders>
              <w:top w:val="single" w:sz="4" w:space="0" w:color="auto"/>
              <w:left w:val="single" w:sz="4" w:space="0" w:color="auto"/>
              <w:bottom w:val="single" w:sz="4" w:space="0" w:color="auto"/>
              <w:right w:val="single" w:sz="4" w:space="0" w:color="auto"/>
            </w:tcBorders>
          </w:tcPr>
          <w:p w14:paraId="47E324F9" w14:textId="77777777" w:rsidR="00E57DAA" w:rsidRDefault="00AC4185">
            <w:pPr>
              <w:autoSpaceDE w:val="0"/>
              <w:autoSpaceDN w:val="0"/>
              <w:adjustRightInd w:val="0"/>
              <w:jc w:val="right"/>
              <w:rPr>
                <w:szCs w:val="21"/>
              </w:rPr>
            </w:pPr>
            <w:r>
              <w:t>232,546.50</w:t>
            </w:r>
          </w:p>
        </w:tc>
        <w:tc>
          <w:tcPr>
            <w:tcW w:w="703" w:type="pct"/>
            <w:tcBorders>
              <w:top w:val="single" w:sz="4" w:space="0" w:color="auto"/>
              <w:left w:val="single" w:sz="4" w:space="0" w:color="auto"/>
              <w:bottom w:val="single" w:sz="4" w:space="0" w:color="auto"/>
              <w:right w:val="single" w:sz="4" w:space="0" w:color="auto"/>
            </w:tcBorders>
          </w:tcPr>
          <w:p w14:paraId="700E3574" w14:textId="77777777" w:rsidR="00E57DAA" w:rsidRDefault="00AC4185">
            <w:pPr>
              <w:autoSpaceDE w:val="0"/>
              <w:autoSpaceDN w:val="0"/>
              <w:adjustRightInd w:val="0"/>
              <w:jc w:val="right"/>
              <w:rPr>
                <w:szCs w:val="21"/>
              </w:rPr>
            </w:pPr>
            <w:r>
              <w:t>500,100.00</w:t>
            </w:r>
          </w:p>
        </w:tc>
        <w:tc>
          <w:tcPr>
            <w:tcW w:w="914" w:type="pct"/>
            <w:tcBorders>
              <w:top w:val="single" w:sz="4" w:space="0" w:color="auto"/>
              <w:left w:val="single" w:sz="4" w:space="0" w:color="auto"/>
              <w:bottom w:val="single" w:sz="4" w:space="0" w:color="auto"/>
              <w:right w:val="single" w:sz="4" w:space="0" w:color="auto"/>
            </w:tcBorders>
          </w:tcPr>
          <w:p w14:paraId="6C258A8A" w14:textId="77777777" w:rsidR="00E57DAA" w:rsidRDefault="00AC4185">
            <w:pPr>
              <w:autoSpaceDE w:val="0"/>
              <w:autoSpaceDN w:val="0"/>
              <w:adjustRightInd w:val="0"/>
              <w:jc w:val="right"/>
              <w:rPr>
                <w:szCs w:val="21"/>
              </w:rPr>
            </w:pPr>
            <w:r>
              <w:t>21,054.21</w:t>
            </w:r>
          </w:p>
        </w:tc>
      </w:tr>
      <w:tr w:rsidR="00E57DAA" w14:paraId="687EA2BF" w14:textId="77777777">
        <w:tc>
          <w:tcPr>
            <w:tcW w:w="677" w:type="pct"/>
            <w:tcBorders>
              <w:top w:val="single" w:sz="4" w:space="0" w:color="auto"/>
              <w:left w:val="single" w:sz="4" w:space="0" w:color="auto"/>
              <w:bottom w:val="single" w:sz="4" w:space="0" w:color="auto"/>
              <w:right w:val="single" w:sz="4" w:space="0" w:color="auto"/>
            </w:tcBorders>
            <w:vAlign w:val="center"/>
          </w:tcPr>
          <w:p w14:paraId="0A96DB3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8655926" w14:textId="77777777" w:rsidR="00E57DAA" w:rsidRDefault="00AC4185">
            <w:pPr>
              <w:autoSpaceDE w:val="0"/>
              <w:autoSpaceDN w:val="0"/>
              <w:adjustRightInd w:val="0"/>
              <w:rPr>
                <w:szCs w:val="21"/>
              </w:rPr>
            </w:pPr>
            <w:r>
              <w:t>巴彦淖尔中联水泥有限公司</w:t>
            </w:r>
          </w:p>
        </w:tc>
        <w:tc>
          <w:tcPr>
            <w:tcW w:w="633" w:type="pct"/>
            <w:tcBorders>
              <w:top w:val="single" w:sz="4" w:space="0" w:color="auto"/>
              <w:left w:val="single" w:sz="4" w:space="0" w:color="auto"/>
              <w:bottom w:val="single" w:sz="4" w:space="0" w:color="auto"/>
              <w:right w:val="single" w:sz="4" w:space="0" w:color="auto"/>
            </w:tcBorders>
          </w:tcPr>
          <w:p w14:paraId="4319E42A"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53530589" w14:textId="77777777" w:rsidR="00E57DAA" w:rsidRDefault="00AC4185">
            <w:pPr>
              <w:autoSpaceDE w:val="0"/>
              <w:autoSpaceDN w:val="0"/>
              <w:adjustRightInd w:val="0"/>
              <w:jc w:val="right"/>
              <w:rPr>
                <w:szCs w:val="21"/>
              </w:rPr>
            </w:pPr>
            <w:r>
              <w:t>158,500.00</w:t>
            </w:r>
          </w:p>
        </w:tc>
        <w:tc>
          <w:tcPr>
            <w:tcW w:w="703" w:type="pct"/>
            <w:tcBorders>
              <w:top w:val="single" w:sz="4" w:space="0" w:color="auto"/>
              <w:left w:val="single" w:sz="4" w:space="0" w:color="auto"/>
              <w:bottom w:val="single" w:sz="4" w:space="0" w:color="auto"/>
              <w:right w:val="single" w:sz="4" w:space="0" w:color="auto"/>
            </w:tcBorders>
          </w:tcPr>
          <w:p w14:paraId="33083049"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5C31405A" w14:textId="77777777" w:rsidR="00E57DAA" w:rsidRDefault="00AC4185">
            <w:pPr>
              <w:autoSpaceDE w:val="0"/>
              <w:autoSpaceDN w:val="0"/>
              <w:adjustRightInd w:val="0"/>
              <w:jc w:val="right"/>
              <w:rPr>
                <w:szCs w:val="21"/>
              </w:rPr>
            </w:pPr>
            <w:r>
              <w:t>243,000.00</w:t>
            </w:r>
          </w:p>
        </w:tc>
      </w:tr>
      <w:tr w:rsidR="00E57DAA" w14:paraId="7D41E81B" w14:textId="77777777">
        <w:tc>
          <w:tcPr>
            <w:tcW w:w="677" w:type="pct"/>
            <w:tcBorders>
              <w:top w:val="single" w:sz="4" w:space="0" w:color="auto"/>
              <w:left w:val="single" w:sz="4" w:space="0" w:color="auto"/>
              <w:bottom w:val="single" w:sz="4" w:space="0" w:color="auto"/>
              <w:right w:val="single" w:sz="4" w:space="0" w:color="auto"/>
            </w:tcBorders>
            <w:vAlign w:val="center"/>
          </w:tcPr>
          <w:p w14:paraId="5D36625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684F9F" w14:textId="77777777" w:rsidR="00E57DAA" w:rsidRDefault="00AC4185">
            <w:pPr>
              <w:autoSpaceDE w:val="0"/>
              <w:autoSpaceDN w:val="0"/>
              <w:adjustRightInd w:val="0"/>
              <w:rPr>
                <w:szCs w:val="21"/>
              </w:rPr>
            </w:pPr>
            <w:r>
              <w:t>华坪县定华能源建材有限责任公司</w:t>
            </w:r>
          </w:p>
        </w:tc>
        <w:tc>
          <w:tcPr>
            <w:tcW w:w="633" w:type="pct"/>
            <w:tcBorders>
              <w:top w:val="single" w:sz="4" w:space="0" w:color="auto"/>
              <w:left w:val="single" w:sz="4" w:space="0" w:color="auto"/>
              <w:bottom w:val="single" w:sz="4" w:space="0" w:color="auto"/>
              <w:right w:val="single" w:sz="4" w:space="0" w:color="auto"/>
            </w:tcBorders>
          </w:tcPr>
          <w:p w14:paraId="5EC34553"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044774B2" w14:textId="77777777" w:rsidR="00E57DAA" w:rsidRDefault="00AC4185">
            <w:pPr>
              <w:autoSpaceDE w:val="0"/>
              <w:autoSpaceDN w:val="0"/>
              <w:adjustRightInd w:val="0"/>
              <w:jc w:val="right"/>
              <w:rPr>
                <w:szCs w:val="21"/>
              </w:rPr>
            </w:pPr>
            <w:r>
              <w:t>226,113.62</w:t>
            </w:r>
          </w:p>
        </w:tc>
        <w:tc>
          <w:tcPr>
            <w:tcW w:w="703" w:type="pct"/>
            <w:tcBorders>
              <w:top w:val="single" w:sz="4" w:space="0" w:color="auto"/>
              <w:left w:val="single" w:sz="4" w:space="0" w:color="auto"/>
              <w:bottom w:val="single" w:sz="4" w:space="0" w:color="auto"/>
              <w:right w:val="single" w:sz="4" w:space="0" w:color="auto"/>
            </w:tcBorders>
          </w:tcPr>
          <w:p w14:paraId="44548796" w14:textId="77777777" w:rsidR="00E57DAA" w:rsidRDefault="00AC4185">
            <w:pPr>
              <w:autoSpaceDE w:val="0"/>
              <w:autoSpaceDN w:val="0"/>
              <w:adjustRightInd w:val="0"/>
              <w:jc w:val="right"/>
              <w:rPr>
                <w:szCs w:val="21"/>
              </w:rPr>
            </w:pPr>
            <w:r>
              <w:t>530,329.76</w:t>
            </w:r>
          </w:p>
        </w:tc>
        <w:tc>
          <w:tcPr>
            <w:tcW w:w="914" w:type="pct"/>
            <w:tcBorders>
              <w:top w:val="single" w:sz="4" w:space="0" w:color="auto"/>
              <w:left w:val="single" w:sz="4" w:space="0" w:color="auto"/>
              <w:bottom w:val="single" w:sz="4" w:space="0" w:color="auto"/>
              <w:right w:val="single" w:sz="4" w:space="0" w:color="auto"/>
            </w:tcBorders>
          </w:tcPr>
          <w:p w14:paraId="79E264CC" w14:textId="77777777" w:rsidR="00E57DAA" w:rsidRDefault="00AC4185">
            <w:pPr>
              <w:autoSpaceDE w:val="0"/>
              <w:autoSpaceDN w:val="0"/>
              <w:adjustRightInd w:val="0"/>
              <w:jc w:val="right"/>
              <w:rPr>
                <w:szCs w:val="21"/>
              </w:rPr>
            </w:pPr>
            <w:r>
              <w:t>65,396.91</w:t>
            </w:r>
          </w:p>
        </w:tc>
      </w:tr>
      <w:tr w:rsidR="00E57DAA" w14:paraId="3B5DFB2F" w14:textId="77777777">
        <w:tc>
          <w:tcPr>
            <w:tcW w:w="677" w:type="pct"/>
            <w:tcBorders>
              <w:top w:val="single" w:sz="4" w:space="0" w:color="auto"/>
              <w:left w:val="single" w:sz="4" w:space="0" w:color="auto"/>
              <w:bottom w:val="single" w:sz="4" w:space="0" w:color="auto"/>
              <w:right w:val="single" w:sz="4" w:space="0" w:color="auto"/>
            </w:tcBorders>
            <w:vAlign w:val="center"/>
          </w:tcPr>
          <w:p w14:paraId="647259B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1E83F03" w14:textId="77777777" w:rsidR="00E57DAA" w:rsidRDefault="00AC4185">
            <w:pPr>
              <w:autoSpaceDE w:val="0"/>
              <w:autoSpaceDN w:val="0"/>
              <w:adjustRightInd w:val="0"/>
              <w:rPr>
                <w:szCs w:val="21"/>
              </w:rPr>
            </w:pPr>
            <w:r>
              <w:t>四川利森建材有限公司</w:t>
            </w:r>
          </w:p>
        </w:tc>
        <w:tc>
          <w:tcPr>
            <w:tcW w:w="633" w:type="pct"/>
            <w:tcBorders>
              <w:top w:val="single" w:sz="4" w:space="0" w:color="auto"/>
              <w:left w:val="single" w:sz="4" w:space="0" w:color="auto"/>
              <w:bottom w:val="single" w:sz="4" w:space="0" w:color="auto"/>
              <w:right w:val="single" w:sz="4" w:space="0" w:color="auto"/>
            </w:tcBorders>
          </w:tcPr>
          <w:p w14:paraId="15C609CB"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697270F5" w14:textId="77777777" w:rsidR="00E57DAA" w:rsidRDefault="00AC4185">
            <w:pPr>
              <w:autoSpaceDE w:val="0"/>
              <w:autoSpaceDN w:val="0"/>
              <w:adjustRightInd w:val="0"/>
              <w:jc w:val="right"/>
              <w:rPr>
                <w:szCs w:val="21"/>
              </w:rPr>
            </w:pPr>
            <w:r>
              <w:t>45,000.00</w:t>
            </w:r>
          </w:p>
        </w:tc>
        <w:tc>
          <w:tcPr>
            <w:tcW w:w="703" w:type="pct"/>
            <w:tcBorders>
              <w:top w:val="single" w:sz="4" w:space="0" w:color="auto"/>
              <w:left w:val="single" w:sz="4" w:space="0" w:color="auto"/>
              <w:bottom w:val="single" w:sz="4" w:space="0" w:color="auto"/>
              <w:right w:val="single" w:sz="4" w:space="0" w:color="auto"/>
            </w:tcBorders>
          </w:tcPr>
          <w:p w14:paraId="66645A6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2ECA40B" w14:textId="77777777" w:rsidR="00E57DAA" w:rsidRDefault="00AC4185">
            <w:pPr>
              <w:autoSpaceDE w:val="0"/>
              <w:autoSpaceDN w:val="0"/>
              <w:adjustRightInd w:val="0"/>
              <w:jc w:val="right"/>
              <w:rPr>
                <w:szCs w:val="21"/>
              </w:rPr>
            </w:pPr>
            <w:r>
              <w:t xml:space="preserve">　</w:t>
            </w:r>
          </w:p>
        </w:tc>
      </w:tr>
      <w:tr w:rsidR="00E57DAA" w14:paraId="7AA19C42" w14:textId="77777777">
        <w:tc>
          <w:tcPr>
            <w:tcW w:w="677" w:type="pct"/>
            <w:tcBorders>
              <w:top w:val="single" w:sz="4" w:space="0" w:color="auto"/>
              <w:left w:val="single" w:sz="4" w:space="0" w:color="auto"/>
              <w:bottom w:val="single" w:sz="4" w:space="0" w:color="auto"/>
              <w:right w:val="single" w:sz="4" w:space="0" w:color="auto"/>
            </w:tcBorders>
            <w:vAlign w:val="center"/>
          </w:tcPr>
          <w:p w14:paraId="1F7A14F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98307DF" w14:textId="77777777" w:rsidR="00E57DAA" w:rsidRDefault="00AC4185">
            <w:pPr>
              <w:autoSpaceDE w:val="0"/>
              <w:autoSpaceDN w:val="0"/>
              <w:adjustRightInd w:val="0"/>
              <w:rPr>
                <w:szCs w:val="21"/>
              </w:rPr>
            </w:pPr>
            <w:r>
              <w:t>伊春北方水泥有限公司</w:t>
            </w:r>
          </w:p>
        </w:tc>
        <w:tc>
          <w:tcPr>
            <w:tcW w:w="633" w:type="pct"/>
            <w:tcBorders>
              <w:top w:val="single" w:sz="4" w:space="0" w:color="auto"/>
              <w:left w:val="single" w:sz="4" w:space="0" w:color="auto"/>
              <w:bottom w:val="single" w:sz="4" w:space="0" w:color="auto"/>
              <w:right w:val="single" w:sz="4" w:space="0" w:color="auto"/>
            </w:tcBorders>
          </w:tcPr>
          <w:p w14:paraId="22D1BC12"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6328D202" w14:textId="77777777" w:rsidR="00E57DAA" w:rsidRDefault="00AC4185">
            <w:pPr>
              <w:autoSpaceDE w:val="0"/>
              <w:autoSpaceDN w:val="0"/>
              <w:adjustRightInd w:val="0"/>
              <w:jc w:val="right"/>
              <w:rPr>
                <w:szCs w:val="21"/>
              </w:rPr>
            </w:pPr>
            <w:r>
              <w:t>45,000.00</w:t>
            </w:r>
          </w:p>
        </w:tc>
        <w:tc>
          <w:tcPr>
            <w:tcW w:w="703" w:type="pct"/>
            <w:tcBorders>
              <w:top w:val="single" w:sz="4" w:space="0" w:color="auto"/>
              <w:left w:val="single" w:sz="4" w:space="0" w:color="auto"/>
              <w:bottom w:val="single" w:sz="4" w:space="0" w:color="auto"/>
              <w:right w:val="single" w:sz="4" w:space="0" w:color="auto"/>
            </w:tcBorders>
          </w:tcPr>
          <w:p w14:paraId="300D7DE7"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10A3E555" w14:textId="77777777" w:rsidR="00E57DAA" w:rsidRDefault="00AC4185">
            <w:pPr>
              <w:autoSpaceDE w:val="0"/>
              <w:autoSpaceDN w:val="0"/>
              <w:adjustRightInd w:val="0"/>
              <w:jc w:val="right"/>
              <w:rPr>
                <w:szCs w:val="21"/>
              </w:rPr>
            </w:pPr>
            <w:r>
              <w:t>12,000.00</w:t>
            </w:r>
          </w:p>
        </w:tc>
      </w:tr>
      <w:tr w:rsidR="00E57DAA" w14:paraId="2B2015EA" w14:textId="77777777">
        <w:tc>
          <w:tcPr>
            <w:tcW w:w="677" w:type="pct"/>
            <w:tcBorders>
              <w:top w:val="single" w:sz="4" w:space="0" w:color="auto"/>
              <w:left w:val="single" w:sz="4" w:space="0" w:color="auto"/>
              <w:bottom w:val="single" w:sz="4" w:space="0" w:color="auto"/>
              <w:right w:val="single" w:sz="4" w:space="0" w:color="auto"/>
            </w:tcBorders>
            <w:vAlign w:val="center"/>
          </w:tcPr>
          <w:p w14:paraId="24F47A8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20D4BE8" w14:textId="77777777" w:rsidR="00E57DAA" w:rsidRDefault="00AC4185">
            <w:pPr>
              <w:autoSpaceDE w:val="0"/>
              <w:autoSpaceDN w:val="0"/>
              <w:adjustRightInd w:val="0"/>
              <w:rPr>
                <w:szCs w:val="21"/>
              </w:rPr>
            </w:pPr>
            <w:r>
              <w:t>云南师宗西南水泥有限公司</w:t>
            </w:r>
          </w:p>
        </w:tc>
        <w:tc>
          <w:tcPr>
            <w:tcW w:w="633" w:type="pct"/>
            <w:tcBorders>
              <w:top w:val="single" w:sz="4" w:space="0" w:color="auto"/>
              <w:left w:val="single" w:sz="4" w:space="0" w:color="auto"/>
              <w:bottom w:val="single" w:sz="4" w:space="0" w:color="auto"/>
              <w:right w:val="single" w:sz="4" w:space="0" w:color="auto"/>
            </w:tcBorders>
          </w:tcPr>
          <w:p w14:paraId="6325EC54"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40E845AE" w14:textId="77777777" w:rsidR="00E57DAA" w:rsidRDefault="00AC4185">
            <w:pPr>
              <w:autoSpaceDE w:val="0"/>
              <w:autoSpaceDN w:val="0"/>
              <w:adjustRightInd w:val="0"/>
              <w:jc w:val="right"/>
              <w:rPr>
                <w:szCs w:val="21"/>
              </w:rPr>
            </w:pPr>
            <w:r>
              <w:t>158,500.00</w:t>
            </w:r>
          </w:p>
        </w:tc>
        <w:tc>
          <w:tcPr>
            <w:tcW w:w="703" w:type="pct"/>
            <w:tcBorders>
              <w:top w:val="single" w:sz="4" w:space="0" w:color="auto"/>
              <w:left w:val="single" w:sz="4" w:space="0" w:color="auto"/>
              <w:bottom w:val="single" w:sz="4" w:space="0" w:color="auto"/>
              <w:right w:val="single" w:sz="4" w:space="0" w:color="auto"/>
            </w:tcBorders>
          </w:tcPr>
          <w:p w14:paraId="29C60505"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2CBB5E5E" w14:textId="77777777" w:rsidR="00E57DAA" w:rsidRDefault="00AC4185">
            <w:pPr>
              <w:autoSpaceDE w:val="0"/>
              <w:autoSpaceDN w:val="0"/>
              <w:adjustRightInd w:val="0"/>
              <w:jc w:val="right"/>
              <w:rPr>
                <w:szCs w:val="21"/>
              </w:rPr>
            </w:pPr>
            <w:r>
              <w:t>243,000.00</w:t>
            </w:r>
          </w:p>
        </w:tc>
      </w:tr>
      <w:tr w:rsidR="00E57DAA" w14:paraId="02CB613E" w14:textId="77777777">
        <w:tc>
          <w:tcPr>
            <w:tcW w:w="677" w:type="pct"/>
            <w:tcBorders>
              <w:top w:val="single" w:sz="4" w:space="0" w:color="auto"/>
              <w:left w:val="single" w:sz="4" w:space="0" w:color="auto"/>
              <w:bottom w:val="single" w:sz="4" w:space="0" w:color="auto"/>
              <w:right w:val="single" w:sz="4" w:space="0" w:color="auto"/>
            </w:tcBorders>
            <w:vAlign w:val="center"/>
          </w:tcPr>
          <w:p w14:paraId="08F57CB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CBE2FA1" w14:textId="77777777" w:rsidR="00E57DAA" w:rsidRDefault="00AC4185">
            <w:pPr>
              <w:autoSpaceDE w:val="0"/>
              <w:autoSpaceDN w:val="0"/>
              <w:adjustRightInd w:val="0"/>
              <w:rPr>
                <w:szCs w:val="21"/>
              </w:rPr>
            </w:pPr>
            <w:r>
              <w:t>重庆綦江西南水泥有限公司</w:t>
            </w:r>
          </w:p>
        </w:tc>
        <w:tc>
          <w:tcPr>
            <w:tcW w:w="633" w:type="pct"/>
            <w:tcBorders>
              <w:top w:val="single" w:sz="4" w:space="0" w:color="auto"/>
              <w:left w:val="single" w:sz="4" w:space="0" w:color="auto"/>
              <w:bottom w:val="single" w:sz="4" w:space="0" w:color="auto"/>
              <w:right w:val="single" w:sz="4" w:space="0" w:color="auto"/>
            </w:tcBorders>
          </w:tcPr>
          <w:p w14:paraId="37360157"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2DDE35E2" w14:textId="77777777" w:rsidR="00E57DAA" w:rsidRDefault="00AC4185">
            <w:pPr>
              <w:autoSpaceDE w:val="0"/>
              <w:autoSpaceDN w:val="0"/>
              <w:adjustRightInd w:val="0"/>
              <w:jc w:val="right"/>
              <w:rPr>
                <w:szCs w:val="21"/>
              </w:rPr>
            </w:pPr>
            <w:r>
              <w:t>500,000.00</w:t>
            </w:r>
          </w:p>
        </w:tc>
        <w:tc>
          <w:tcPr>
            <w:tcW w:w="703" w:type="pct"/>
            <w:tcBorders>
              <w:top w:val="single" w:sz="4" w:space="0" w:color="auto"/>
              <w:left w:val="single" w:sz="4" w:space="0" w:color="auto"/>
              <w:bottom w:val="single" w:sz="4" w:space="0" w:color="auto"/>
              <w:right w:val="single" w:sz="4" w:space="0" w:color="auto"/>
            </w:tcBorders>
          </w:tcPr>
          <w:p w14:paraId="40C5D952"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012EFDCD" w14:textId="77777777" w:rsidR="00E57DAA" w:rsidRDefault="00AC4185">
            <w:pPr>
              <w:autoSpaceDE w:val="0"/>
              <w:autoSpaceDN w:val="0"/>
              <w:adjustRightInd w:val="0"/>
              <w:jc w:val="right"/>
              <w:rPr>
                <w:szCs w:val="21"/>
              </w:rPr>
            </w:pPr>
            <w:r>
              <w:t>229,000.00</w:t>
            </w:r>
          </w:p>
        </w:tc>
      </w:tr>
      <w:tr w:rsidR="00E57DAA" w14:paraId="48220D24" w14:textId="77777777">
        <w:tc>
          <w:tcPr>
            <w:tcW w:w="677" w:type="pct"/>
            <w:tcBorders>
              <w:top w:val="single" w:sz="4" w:space="0" w:color="auto"/>
              <w:left w:val="single" w:sz="4" w:space="0" w:color="auto"/>
              <w:bottom w:val="single" w:sz="4" w:space="0" w:color="auto"/>
              <w:right w:val="single" w:sz="4" w:space="0" w:color="auto"/>
            </w:tcBorders>
            <w:vAlign w:val="center"/>
          </w:tcPr>
          <w:p w14:paraId="4F5E2AB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A9A883C" w14:textId="77777777" w:rsidR="00E57DAA" w:rsidRDefault="00AC4185">
            <w:pPr>
              <w:autoSpaceDE w:val="0"/>
              <w:autoSpaceDN w:val="0"/>
              <w:adjustRightInd w:val="0"/>
              <w:rPr>
                <w:szCs w:val="21"/>
              </w:rPr>
            </w:pPr>
            <w:r>
              <w:t>重庆铜梁西南水泥有限公司</w:t>
            </w:r>
          </w:p>
        </w:tc>
        <w:tc>
          <w:tcPr>
            <w:tcW w:w="633" w:type="pct"/>
            <w:tcBorders>
              <w:top w:val="single" w:sz="4" w:space="0" w:color="auto"/>
              <w:left w:val="single" w:sz="4" w:space="0" w:color="auto"/>
              <w:bottom w:val="single" w:sz="4" w:space="0" w:color="auto"/>
              <w:right w:val="single" w:sz="4" w:space="0" w:color="auto"/>
            </w:tcBorders>
          </w:tcPr>
          <w:p w14:paraId="456942C8"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7233DC74" w14:textId="77777777" w:rsidR="00E57DAA" w:rsidRDefault="00AC4185">
            <w:pPr>
              <w:autoSpaceDE w:val="0"/>
              <w:autoSpaceDN w:val="0"/>
              <w:adjustRightInd w:val="0"/>
              <w:jc w:val="right"/>
              <w:rPr>
                <w:szCs w:val="21"/>
              </w:rPr>
            </w:pPr>
            <w:r>
              <w:t>10,000.00</w:t>
            </w:r>
          </w:p>
        </w:tc>
        <w:tc>
          <w:tcPr>
            <w:tcW w:w="703" w:type="pct"/>
            <w:tcBorders>
              <w:top w:val="single" w:sz="4" w:space="0" w:color="auto"/>
              <w:left w:val="single" w:sz="4" w:space="0" w:color="auto"/>
              <w:bottom w:val="single" w:sz="4" w:space="0" w:color="auto"/>
              <w:right w:val="single" w:sz="4" w:space="0" w:color="auto"/>
            </w:tcBorders>
          </w:tcPr>
          <w:p w14:paraId="4A9D3A43" w14:textId="77777777" w:rsidR="00E57DAA" w:rsidRDefault="00AC4185">
            <w:pPr>
              <w:autoSpaceDE w:val="0"/>
              <w:autoSpaceDN w:val="0"/>
              <w:adjustRightInd w:val="0"/>
              <w:jc w:val="right"/>
              <w:rPr>
                <w:szCs w:val="21"/>
              </w:rPr>
            </w:pPr>
            <w:r>
              <w:t>5,000,000.00</w:t>
            </w:r>
          </w:p>
        </w:tc>
        <w:tc>
          <w:tcPr>
            <w:tcW w:w="914" w:type="pct"/>
            <w:tcBorders>
              <w:top w:val="single" w:sz="4" w:space="0" w:color="auto"/>
              <w:left w:val="single" w:sz="4" w:space="0" w:color="auto"/>
              <w:bottom w:val="single" w:sz="4" w:space="0" w:color="auto"/>
              <w:right w:val="single" w:sz="4" w:space="0" w:color="auto"/>
            </w:tcBorders>
          </w:tcPr>
          <w:p w14:paraId="0CD0FA61" w14:textId="77777777" w:rsidR="00E57DAA" w:rsidRDefault="00AC4185">
            <w:pPr>
              <w:autoSpaceDE w:val="0"/>
              <w:autoSpaceDN w:val="0"/>
              <w:adjustRightInd w:val="0"/>
              <w:jc w:val="right"/>
              <w:rPr>
                <w:szCs w:val="21"/>
              </w:rPr>
            </w:pPr>
            <w:r>
              <w:t>105,000.00</w:t>
            </w:r>
          </w:p>
        </w:tc>
      </w:tr>
      <w:tr w:rsidR="00E57DAA" w14:paraId="497CAC08" w14:textId="77777777">
        <w:tc>
          <w:tcPr>
            <w:tcW w:w="677" w:type="pct"/>
            <w:tcBorders>
              <w:top w:val="single" w:sz="4" w:space="0" w:color="auto"/>
              <w:left w:val="single" w:sz="4" w:space="0" w:color="auto"/>
              <w:bottom w:val="single" w:sz="4" w:space="0" w:color="auto"/>
              <w:right w:val="single" w:sz="4" w:space="0" w:color="auto"/>
            </w:tcBorders>
            <w:vAlign w:val="center"/>
          </w:tcPr>
          <w:p w14:paraId="5D5EF6D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F3185DB" w14:textId="77777777" w:rsidR="00E57DAA" w:rsidRDefault="00AC4185">
            <w:pPr>
              <w:autoSpaceDE w:val="0"/>
              <w:autoSpaceDN w:val="0"/>
              <w:adjustRightInd w:val="0"/>
              <w:rPr>
                <w:szCs w:val="21"/>
              </w:rPr>
            </w:pPr>
            <w:r>
              <w:t>达州利森水泥有限公司</w:t>
            </w:r>
          </w:p>
        </w:tc>
        <w:tc>
          <w:tcPr>
            <w:tcW w:w="633" w:type="pct"/>
            <w:tcBorders>
              <w:top w:val="single" w:sz="4" w:space="0" w:color="auto"/>
              <w:left w:val="single" w:sz="4" w:space="0" w:color="auto"/>
              <w:bottom w:val="single" w:sz="4" w:space="0" w:color="auto"/>
              <w:right w:val="single" w:sz="4" w:space="0" w:color="auto"/>
            </w:tcBorders>
          </w:tcPr>
          <w:p w14:paraId="49E8E8EA" w14:textId="77777777" w:rsidR="00E57DAA" w:rsidRDefault="00AC4185">
            <w:pPr>
              <w:autoSpaceDE w:val="0"/>
              <w:autoSpaceDN w:val="0"/>
              <w:adjustRightInd w:val="0"/>
              <w:jc w:val="right"/>
              <w:rPr>
                <w:szCs w:val="21"/>
              </w:rPr>
            </w:pPr>
            <w:r>
              <w:t>470,000.00</w:t>
            </w:r>
          </w:p>
        </w:tc>
        <w:tc>
          <w:tcPr>
            <w:tcW w:w="632" w:type="pct"/>
            <w:tcBorders>
              <w:top w:val="single" w:sz="4" w:space="0" w:color="auto"/>
              <w:left w:val="single" w:sz="4" w:space="0" w:color="auto"/>
              <w:bottom w:val="single" w:sz="4" w:space="0" w:color="auto"/>
              <w:right w:val="single" w:sz="4" w:space="0" w:color="auto"/>
            </w:tcBorders>
          </w:tcPr>
          <w:p w14:paraId="073C485B" w14:textId="77777777" w:rsidR="00E57DAA" w:rsidRDefault="00AC4185">
            <w:pPr>
              <w:autoSpaceDE w:val="0"/>
              <w:autoSpaceDN w:val="0"/>
              <w:adjustRightInd w:val="0"/>
              <w:jc w:val="right"/>
              <w:rPr>
                <w:szCs w:val="21"/>
              </w:rPr>
            </w:pPr>
            <w:r>
              <w:t>143,650.00</w:t>
            </w:r>
          </w:p>
        </w:tc>
        <w:tc>
          <w:tcPr>
            <w:tcW w:w="703" w:type="pct"/>
            <w:tcBorders>
              <w:top w:val="single" w:sz="4" w:space="0" w:color="auto"/>
              <w:left w:val="single" w:sz="4" w:space="0" w:color="auto"/>
              <w:bottom w:val="single" w:sz="4" w:space="0" w:color="auto"/>
              <w:right w:val="single" w:sz="4" w:space="0" w:color="auto"/>
            </w:tcBorders>
          </w:tcPr>
          <w:p w14:paraId="2EB07B64" w14:textId="77777777" w:rsidR="00E57DAA" w:rsidRDefault="00AC4185">
            <w:pPr>
              <w:autoSpaceDE w:val="0"/>
              <w:autoSpaceDN w:val="0"/>
              <w:adjustRightInd w:val="0"/>
              <w:jc w:val="right"/>
              <w:rPr>
                <w:szCs w:val="21"/>
              </w:rPr>
            </w:pPr>
            <w:r>
              <w:t>472,500.00</w:t>
            </w:r>
          </w:p>
        </w:tc>
        <w:tc>
          <w:tcPr>
            <w:tcW w:w="914" w:type="pct"/>
            <w:tcBorders>
              <w:top w:val="single" w:sz="4" w:space="0" w:color="auto"/>
              <w:left w:val="single" w:sz="4" w:space="0" w:color="auto"/>
              <w:bottom w:val="single" w:sz="4" w:space="0" w:color="auto"/>
              <w:right w:val="single" w:sz="4" w:space="0" w:color="auto"/>
            </w:tcBorders>
          </w:tcPr>
          <w:p w14:paraId="437A64E0" w14:textId="77777777" w:rsidR="00E57DAA" w:rsidRDefault="00AC4185">
            <w:pPr>
              <w:autoSpaceDE w:val="0"/>
              <w:autoSpaceDN w:val="0"/>
              <w:adjustRightInd w:val="0"/>
              <w:jc w:val="right"/>
              <w:rPr>
                <w:szCs w:val="21"/>
              </w:rPr>
            </w:pPr>
            <w:r>
              <w:t>219,840.00</w:t>
            </w:r>
          </w:p>
        </w:tc>
      </w:tr>
      <w:tr w:rsidR="00E57DAA" w14:paraId="3B00E99B" w14:textId="77777777">
        <w:tc>
          <w:tcPr>
            <w:tcW w:w="677" w:type="pct"/>
            <w:tcBorders>
              <w:top w:val="single" w:sz="4" w:space="0" w:color="auto"/>
              <w:left w:val="single" w:sz="4" w:space="0" w:color="auto"/>
              <w:bottom w:val="single" w:sz="4" w:space="0" w:color="auto"/>
              <w:right w:val="single" w:sz="4" w:space="0" w:color="auto"/>
            </w:tcBorders>
            <w:vAlign w:val="center"/>
          </w:tcPr>
          <w:p w14:paraId="4EE093C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891660D" w14:textId="77777777" w:rsidR="00E57DAA" w:rsidRDefault="00AC4185">
            <w:pPr>
              <w:autoSpaceDE w:val="0"/>
              <w:autoSpaceDN w:val="0"/>
              <w:adjustRightInd w:val="0"/>
              <w:rPr>
                <w:szCs w:val="21"/>
              </w:rPr>
            </w:pPr>
            <w:r>
              <w:t>SINOMA MEMBRANE MATERIA LVIETNAM CO.,LTD</w:t>
            </w:r>
          </w:p>
        </w:tc>
        <w:tc>
          <w:tcPr>
            <w:tcW w:w="633" w:type="pct"/>
            <w:tcBorders>
              <w:top w:val="single" w:sz="4" w:space="0" w:color="auto"/>
              <w:left w:val="single" w:sz="4" w:space="0" w:color="auto"/>
              <w:bottom w:val="single" w:sz="4" w:space="0" w:color="auto"/>
              <w:right w:val="single" w:sz="4" w:space="0" w:color="auto"/>
            </w:tcBorders>
          </w:tcPr>
          <w:p w14:paraId="1D04BBC5" w14:textId="77777777" w:rsidR="00E57DAA" w:rsidRDefault="00AC4185">
            <w:pPr>
              <w:autoSpaceDE w:val="0"/>
              <w:autoSpaceDN w:val="0"/>
              <w:adjustRightInd w:val="0"/>
              <w:jc w:val="right"/>
              <w:rPr>
                <w:szCs w:val="21"/>
              </w:rPr>
            </w:pPr>
            <w:r>
              <w:t>468,015.03</w:t>
            </w:r>
          </w:p>
        </w:tc>
        <w:tc>
          <w:tcPr>
            <w:tcW w:w="632" w:type="pct"/>
            <w:tcBorders>
              <w:top w:val="single" w:sz="4" w:space="0" w:color="auto"/>
              <w:left w:val="single" w:sz="4" w:space="0" w:color="auto"/>
              <w:bottom w:val="single" w:sz="4" w:space="0" w:color="auto"/>
              <w:right w:val="single" w:sz="4" w:space="0" w:color="auto"/>
            </w:tcBorders>
          </w:tcPr>
          <w:p w14:paraId="59A42D23" w14:textId="77777777" w:rsidR="00E57DAA" w:rsidRDefault="00AC4185">
            <w:pPr>
              <w:autoSpaceDE w:val="0"/>
              <w:autoSpaceDN w:val="0"/>
              <w:adjustRightInd w:val="0"/>
              <w:jc w:val="right"/>
              <w:rPr>
                <w:szCs w:val="21"/>
              </w:rPr>
            </w:pPr>
            <w:r>
              <w:t>9,360.30</w:t>
            </w:r>
          </w:p>
        </w:tc>
        <w:tc>
          <w:tcPr>
            <w:tcW w:w="703" w:type="pct"/>
            <w:tcBorders>
              <w:top w:val="single" w:sz="4" w:space="0" w:color="auto"/>
              <w:left w:val="single" w:sz="4" w:space="0" w:color="auto"/>
              <w:bottom w:val="single" w:sz="4" w:space="0" w:color="auto"/>
              <w:right w:val="single" w:sz="4" w:space="0" w:color="auto"/>
            </w:tcBorders>
          </w:tcPr>
          <w:p w14:paraId="0A6476E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B313D13" w14:textId="77777777" w:rsidR="00E57DAA" w:rsidRDefault="00AC4185">
            <w:pPr>
              <w:autoSpaceDE w:val="0"/>
              <w:autoSpaceDN w:val="0"/>
              <w:adjustRightInd w:val="0"/>
              <w:jc w:val="right"/>
              <w:rPr>
                <w:szCs w:val="21"/>
              </w:rPr>
            </w:pPr>
            <w:r>
              <w:t xml:space="preserve">　</w:t>
            </w:r>
          </w:p>
        </w:tc>
      </w:tr>
      <w:tr w:rsidR="00E57DAA" w14:paraId="0025CCC5" w14:textId="77777777">
        <w:tc>
          <w:tcPr>
            <w:tcW w:w="677" w:type="pct"/>
            <w:tcBorders>
              <w:top w:val="single" w:sz="4" w:space="0" w:color="auto"/>
              <w:left w:val="single" w:sz="4" w:space="0" w:color="auto"/>
              <w:bottom w:val="single" w:sz="4" w:space="0" w:color="auto"/>
              <w:right w:val="single" w:sz="4" w:space="0" w:color="auto"/>
            </w:tcBorders>
            <w:vAlign w:val="center"/>
          </w:tcPr>
          <w:p w14:paraId="2D0EA1C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560E0D4" w14:textId="77777777" w:rsidR="00E57DAA" w:rsidRDefault="00AC4185">
            <w:pPr>
              <w:autoSpaceDE w:val="0"/>
              <w:autoSpaceDN w:val="0"/>
              <w:adjustRightInd w:val="0"/>
              <w:rPr>
                <w:szCs w:val="21"/>
              </w:rPr>
            </w:pPr>
            <w:r>
              <w:t>中联水泥（山东）研发中心有限公司</w:t>
            </w:r>
          </w:p>
        </w:tc>
        <w:tc>
          <w:tcPr>
            <w:tcW w:w="633" w:type="pct"/>
            <w:tcBorders>
              <w:top w:val="single" w:sz="4" w:space="0" w:color="auto"/>
              <w:left w:val="single" w:sz="4" w:space="0" w:color="auto"/>
              <w:bottom w:val="single" w:sz="4" w:space="0" w:color="auto"/>
              <w:right w:val="single" w:sz="4" w:space="0" w:color="auto"/>
            </w:tcBorders>
          </w:tcPr>
          <w:p w14:paraId="109DEBD3" w14:textId="77777777" w:rsidR="00E57DAA" w:rsidRDefault="00AC4185">
            <w:pPr>
              <w:autoSpaceDE w:val="0"/>
              <w:autoSpaceDN w:val="0"/>
              <w:adjustRightInd w:val="0"/>
              <w:jc w:val="right"/>
              <w:rPr>
                <w:szCs w:val="21"/>
              </w:rPr>
            </w:pPr>
            <w:r>
              <w:t>453,600.00</w:t>
            </w:r>
          </w:p>
        </w:tc>
        <w:tc>
          <w:tcPr>
            <w:tcW w:w="632" w:type="pct"/>
            <w:tcBorders>
              <w:top w:val="single" w:sz="4" w:space="0" w:color="auto"/>
              <w:left w:val="single" w:sz="4" w:space="0" w:color="auto"/>
              <w:bottom w:val="single" w:sz="4" w:space="0" w:color="auto"/>
              <w:right w:val="single" w:sz="4" w:space="0" w:color="auto"/>
            </w:tcBorders>
          </w:tcPr>
          <w:p w14:paraId="156CCA15" w14:textId="77777777" w:rsidR="00E57DAA" w:rsidRDefault="00AC4185">
            <w:pPr>
              <w:autoSpaceDE w:val="0"/>
              <w:autoSpaceDN w:val="0"/>
              <w:adjustRightInd w:val="0"/>
              <w:jc w:val="right"/>
              <w:rPr>
                <w:szCs w:val="21"/>
              </w:rPr>
            </w:pPr>
            <w:r>
              <w:t>47,012.50</w:t>
            </w:r>
          </w:p>
        </w:tc>
        <w:tc>
          <w:tcPr>
            <w:tcW w:w="703" w:type="pct"/>
            <w:tcBorders>
              <w:top w:val="single" w:sz="4" w:space="0" w:color="auto"/>
              <w:left w:val="single" w:sz="4" w:space="0" w:color="auto"/>
              <w:bottom w:val="single" w:sz="4" w:space="0" w:color="auto"/>
              <w:right w:val="single" w:sz="4" w:space="0" w:color="auto"/>
            </w:tcBorders>
          </w:tcPr>
          <w:p w14:paraId="09914599" w14:textId="77777777" w:rsidR="00E57DAA" w:rsidRDefault="00AC4185">
            <w:pPr>
              <w:autoSpaceDE w:val="0"/>
              <w:autoSpaceDN w:val="0"/>
              <w:adjustRightInd w:val="0"/>
              <w:jc w:val="right"/>
              <w:rPr>
                <w:szCs w:val="21"/>
              </w:rPr>
            </w:pPr>
            <w:r>
              <w:t>301,600.00</w:t>
            </w:r>
          </w:p>
        </w:tc>
        <w:tc>
          <w:tcPr>
            <w:tcW w:w="914" w:type="pct"/>
            <w:tcBorders>
              <w:top w:val="single" w:sz="4" w:space="0" w:color="auto"/>
              <w:left w:val="single" w:sz="4" w:space="0" w:color="auto"/>
              <w:bottom w:val="single" w:sz="4" w:space="0" w:color="auto"/>
              <w:right w:val="single" w:sz="4" w:space="0" w:color="auto"/>
            </w:tcBorders>
          </w:tcPr>
          <w:p w14:paraId="2527BA60" w14:textId="77777777" w:rsidR="00E57DAA" w:rsidRDefault="00AC4185">
            <w:pPr>
              <w:autoSpaceDE w:val="0"/>
              <w:autoSpaceDN w:val="0"/>
              <w:adjustRightInd w:val="0"/>
              <w:jc w:val="right"/>
              <w:rPr>
                <w:szCs w:val="21"/>
              </w:rPr>
            </w:pPr>
            <w:r>
              <w:t>15,080.00</w:t>
            </w:r>
          </w:p>
        </w:tc>
      </w:tr>
      <w:tr w:rsidR="00E57DAA" w14:paraId="003D9C91" w14:textId="77777777">
        <w:tc>
          <w:tcPr>
            <w:tcW w:w="677" w:type="pct"/>
            <w:tcBorders>
              <w:top w:val="single" w:sz="4" w:space="0" w:color="auto"/>
              <w:left w:val="single" w:sz="4" w:space="0" w:color="auto"/>
              <w:bottom w:val="single" w:sz="4" w:space="0" w:color="auto"/>
              <w:right w:val="single" w:sz="4" w:space="0" w:color="auto"/>
            </w:tcBorders>
            <w:vAlign w:val="center"/>
          </w:tcPr>
          <w:p w14:paraId="452D578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7833466" w14:textId="77777777" w:rsidR="00E57DAA" w:rsidRDefault="00AC4185">
            <w:pPr>
              <w:autoSpaceDE w:val="0"/>
              <w:autoSpaceDN w:val="0"/>
              <w:adjustRightInd w:val="0"/>
              <w:rPr>
                <w:szCs w:val="21"/>
              </w:rPr>
            </w:pPr>
            <w:r>
              <w:t>鲁南中联水泥有限公司</w:t>
            </w:r>
          </w:p>
        </w:tc>
        <w:tc>
          <w:tcPr>
            <w:tcW w:w="633" w:type="pct"/>
            <w:tcBorders>
              <w:top w:val="single" w:sz="4" w:space="0" w:color="auto"/>
              <w:left w:val="single" w:sz="4" w:space="0" w:color="auto"/>
              <w:bottom w:val="single" w:sz="4" w:space="0" w:color="auto"/>
              <w:right w:val="single" w:sz="4" w:space="0" w:color="auto"/>
            </w:tcBorders>
          </w:tcPr>
          <w:p w14:paraId="7F7E2649" w14:textId="77777777" w:rsidR="00E57DAA" w:rsidRDefault="00AC4185">
            <w:pPr>
              <w:autoSpaceDE w:val="0"/>
              <w:autoSpaceDN w:val="0"/>
              <w:adjustRightInd w:val="0"/>
              <w:jc w:val="right"/>
              <w:rPr>
                <w:szCs w:val="21"/>
              </w:rPr>
            </w:pPr>
            <w:r>
              <w:t>450,000.00</w:t>
            </w:r>
          </w:p>
        </w:tc>
        <w:tc>
          <w:tcPr>
            <w:tcW w:w="632" w:type="pct"/>
            <w:tcBorders>
              <w:top w:val="single" w:sz="4" w:space="0" w:color="auto"/>
              <w:left w:val="single" w:sz="4" w:space="0" w:color="auto"/>
              <w:bottom w:val="single" w:sz="4" w:space="0" w:color="auto"/>
              <w:right w:val="single" w:sz="4" w:space="0" w:color="auto"/>
            </w:tcBorders>
          </w:tcPr>
          <w:p w14:paraId="258FBAD4" w14:textId="77777777" w:rsidR="00E57DAA" w:rsidRDefault="00AC4185">
            <w:pPr>
              <w:autoSpaceDE w:val="0"/>
              <w:autoSpaceDN w:val="0"/>
              <w:adjustRightInd w:val="0"/>
              <w:jc w:val="right"/>
              <w:rPr>
                <w:szCs w:val="21"/>
              </w:rPr>
            </w:pPr>
            <w:r>
              <w:t>8,360.00</w:t>
            </w:r>
          </w:p>
        </w:tc>
        <w:tc>
          <w:tcPr>
            <w:tcW w:w="703" w:type="pct"/>
            <w:tcBorders>
              <w:top w:val="single" w:sz="4" w:space="0" w:color="auto"/>
              <w:left w:val="single" w:sz="4" w:space="0" w:color="auto"/>
              <w:bottom w:val="single" w:sz="4" w:space="0" w:color="auto"/>
              <w:right w:val="single" w:sz="4" w:space="0" w:color="auto"/>
            </w:tcBorders>
          </w:tcPr>
          <w:p w14:paraId="15FF17AE"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763C3EAE" w14:textId="77777777" w:rsidR="00E57DAA" w:rsidRDefault="00AC4185">
            <w:pPr>
              <w:autoSpaceDE w:val="0"/>
              <w:autoSpaceDN w:val="0"/>
              <w:adjustRightInd w:val="0"/>
              <w:jc w:val="right"/>
              <w:rPr>
                <w:szCs w:val="21"/>
              </w:rPr>
            </w:pPr>
            <w:r>
              <w:t>60,000.00</w:t>
            </w:r>
          </w:p>
        </w:tc>
      </w:tr>
      <w:tr w:rsidR="00E57DAA" w14:paraId="549E1EDF" w14:textId="77777777">
        <w:tc>
          <w:tcPr>
            <w:tcW w:w="677" w:type="pct"/>
            <w:tcBorders>
              <w:top w:val="single" w:sz="4" w:space="0" w:color="auto"/>
              <w:left w:val="single" w:sz="4" w:space="0" w:color="auto"/>
              <w:bottom w:val="single" w:sz="4" w:space="0" w:color="auto"/>
              <w:right w:val="single" w:sz="4" w:space="0" w:color="auto"/>
            </w:tcBorders>
            <w:vAlign w:val="center"/>
          </w:tcPr>
          <w:p w14:paraId="56AC03D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01B8262" w14:textId="77777777" w:rsidR="00E57DAA" w:rsidRDefault="00AC4185">
            <w:pPr>
              <w:autoSpaceDE w:val="0"/>
              <w:autoSpaceDN w:val="0"/>
              <w:adjustRightInd w:val="0"/>
              <w:rPr>
                <w:szCs w:val="21"/>
              </w:rPr>
            </w:pPr>
            <w:r>
              <w:t>哈密天山水泥有限责任公司</w:t>
            </w:r>
          </w:p>
        </w:tc>
        <w:tc>
          <w:tcPr>
            <w:tcW w:w="633" w:type="pct"/>
            <w:tcBorders>
              <w:top w:val="single" w:sz="4" w:space="0" w:color="auto"/>
              <w:left w:val="single" w:sz="4" w:space="0" w:color="auto"/>
              <w:bottom w:val="single" w:sz="4" w:space="0" w:color="auto"/>
              <w:right w:val="single" w:sz="4" w:space="0" w:color="auto"/>
            </w:tcBorders>
          </w:tcPr>
          <w:p w14:paraId="5A65AB76" w14:textId="77777777" w:rsidR="00E57DAA" w:rsidRDefault="00AC4185">
            <w:pPr>
              <w:autoSpaceDE w:val="0"/>
              <w:autoSpaceDN w:val="0"/>
              <w:adjustRightInd w:val="0"/>
              <w:jc w:val="right"/>
              <w:rPr>
                <w:szCs w:val="21"/>
              </w:rPr>
            </w:pPr>
            <w:r>
              <w:t>445,000.00</w:t>
            </w:r>
          </w:p>
        </w:tc>
        <w:tc>
          <w:tcPr>
            <w:tcW w:w="632" w:type="pct"/>
            <w:tcBorders>
              <w:top w:val="single" w:sz="4" w:space="0" w:color="auto"/>
              <w:left w:val="single" w:sz="4" w:space="0" w:color="auto"/>
              <w:bottom w:val="single" w:sz="4" w:space="0" w:color="auto"/>
              <w:right w:val="single" w:sz="4" w:space="0" w:color="auto"/>
            </w:tcBorders>
          </w:tcPr>
          <w:p w14:paraId="096FC11C" w14:textId="77777777" w:rsidR="00E57DAA" w:rsidRDefault="00AC4185">
            <w:pPr>
              <w:autoSpaceDE w:val="0"/>
              <w:autoSpaceDN w:val="0"/>
              <w:adjustRightInd w:val="0"/>
              <w:jc w:val="right"/>
              <w:rPr>
                <w:szCs w:val="21"/>
              </w:rPr>
            </w:pPr>
            <w:r>
              <w:t>45,935.00</w:t>
            </w:r>
          </w:p>
        </w:tc>
        <w:tc>
          <w:tcPr>
            <w:tcW w:w="703" w:type="pct"/>
            <w:tcBorders>
              <w:top w:val="single" w:sz="4" w:space="0" w:color="auto"/>
              <w:left w:val="single" w:sz="4" w:space="0" w:color="auto"/>
              <w:bottom w:val="single" w:sz="4" w:space="0" w:color="auto"/>
              <w:right w:val="single" w:sz="4" w:space="0" w:color="auto"/>
            </w:tcBorders>
          </w:tcPr>
          <w:p w14:paraId="1F501096" w14:textId="77777777" w:rsidR="00E57DAA" w:rsidRDefault="00AC4185">
            <w:pPr>
              <w:autoSpaceDE w:val="0"/>
              <w:autoSpaceDN w:val="0"/>
              <w:adjustRightInd w:val="0"/>
              <w:jc w:val="right"/>
              <w:rPr>
                <w:szCs w:val="21"/>
              </w:rPr>
            </w:pPr>
            <w:r>
              <w:t>205,000.00</w:t>
            </w:r>
          </w:p>
        </w:tc>
        <w:tc>
          <w:tcPr>
            <w:tcW w:w="914" w:type="pct"/>
            <w:tcBorders>
              <w:top w:val="single" w:sz="4" w:space="0" w:color="auto"/>
              <w:left w:val="single" w:sz="4" w:space="0" w:color="auto"/>
              <w:bottom w:val="single" w:sz="4" w:space="0" w:color="auto"/>
              <w:right w:val="single" w:sz="4" w:space="0" w:color="auto"/>
            </w:tcBorders>
          </w:tcPr>
          <w:p w14:paraId="5D9913EC" w14:textId="77777777" w:rsidR="00E57DAA" w:rsidRDefault="00AC4185">
            <w:pPr>
              <w:autoSpaceDE w:val="0"/>
              <w:autoSpaceDN w:val="0"/>
              <w:adjustRightInd w:val="0"/>
              <w:jc w:val="right"/>
              <w:rPr>
                <w:szCs w:val="21"/>
              </w:rPr>
            </w:pPr>
            <w:r>
              <w:t>2,460.00</w:t>
            </w:r>
          </w:p>
        </w:tc>
      </w:tr>
      <w:tr w:rsidR="00E57DAA" w14:paraId="1716C029" w14:textId="77777777">
        <w:tc>
          <w:tcPr>
            <w:tcW w:w="677" w:type="pct"/>
            <w:tcBorders>
              <w:top w:val="single" w:sz="4" w:space="0" w:color="auto"/>
              <w:left w:val="single" w:sz="4" w:space="0" w:color="auto"/>
              <w:bottom w:val="single" w:sz="4" w:space="0" w:color="auto"/>
              <w:right w:val="single" w:sz="4" w:space="0" w:color="auto"/>
            </w:tcBorders>
            <w:vAlign w:val="center"/>
          </w:tcPr>
          <w:p w14:paraId="51133E8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A53BCDA" w14:textId="77777777" w:rsidR="00E57DAA" w:rsidRDefault="00AC4185">
            <w:pPr>
              <w:autoSpaceDE w:val="0"/>
              <w:autoSpaceDN w:val="0"/>
              <w:adjustRightInd w:val="0"/>
              <w:rPr>
                <w:szCs w:val="21"/>
              </w:rPr>
            </w:pPr>
            <w:r>
              <w:t>富蕴天山水泥有限责任公司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980ED49" w14:textId="77777777" w:rsidR="00E57DAA" w:rsidRDefault="00AC4185">
            <w:pPr>
              <w:autoSpaceDE w:val="0"/>
              <w:autoSpaceDN w:val="0"/>
              <w:adjustRightInd w:val="0"/>
              <w:jc w:val="right"/>
              <w:rPr>
                <w:szCs w:val="21"/>
              </w:rPr>
            </w:pPr>
            <w:r>
              <w:t>425,000.00</w:t>
            </w:r>
          </w:p>
        </w:tc>
        <w:tc>
          <w:tcPr>
            <w:tcW w:w="632" w:type="pct"/>
            <w:tcBorders>
              <w:top w:val="single" w:sz="4" w:space="0" w:color="auto"/>
              <w:left w:val="single" w:sz="4" w:space="0" w:color="auto"/>
              <w:bottom w:val="single" w:sz="4" w:space="0" w:color="auto"/>
              <w:right w:val="single" w:sz="4" w:space="0" w:color="auto"/>
            </w:tcBorders>
          </w:tcPr>
          <w:p w14:paraId="521BC72F" w14:textId="77777777" w:rsidR="00E57DAA" w:rsidRDefault="00AC4185">
            <w:pPr>
              <w:autoSpaceDE w:val="0"/>
              <w:autoSpaceDN w:val="0"/>
              <w:adjustRightInd w:val="0"/>
              <w:jc w:val="right"/>
              <w:rPr>
                <w:szCs w:val="21"/>
              </w:rPr>
            </w:pPr>
            <w:r>
              <w:t>21,250.00</w:t>
            </w:r>
          </w:p>
        </w:tc>
        <w:tc>
          <w:tcPr>
            <w:tcW w:w="703" w:type="pct"/>
            <w:tcBorders>
              <w:top w:val="single" w:sz="4" w:space="0" w:color="auto"/>
              <w:left w:val="single" w:sz="4" w:space="0" w:color="auto"/>
              <w:bottom w:val="single" w:sz="4" w:space="0" w:color="auto"/>
              <w:right w:val="single" w:sz="4" w:space="0" w:color="auto"/>
            </w:tcBorders>
          </w:tcPr>
          <w:p w14:paraId="0EB542B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ACD7538" w14:textId="77777777" w:rsidR="00E57DAA" w:rsidRDefault="00AC4185">
            <w:pPr>
              <w:autoSpaceDE w:val="0"/>
              <w:autoSpaceDN w:val="0"/>
              <w:adjustRightInd w:val="0"/>
              <w:jc w:val="right"/>
              <w:rPr>
                <w:szCs w:val="21"/>
              </w:rPr>
            </w:pPr>
            <w:r>
              <w:t xml:space="preserve">　</w:t>
            </w:r>
          </w:p>
        </w:tc>
      </w:tr>
      <w:tr w:rsidR="00E57DAA" w14:paraId="33D0F18D" w14:textId="77777777">
        <w:tc>
          <w:tcPr>
            <w:tcW w:w="677" w:type="pct"/>
            <w:tcBorders>
              <w:top w:val="single" w:sz="4" w:space="0" w:color="auto"/>
              <w:left w:val="single" w:sz="4" w:space="0" w:color="auto"/>
              <w:bottom w:val="single" w:sz="4" w:space="0" w:color="auto"/>
              <w:right w:val="single" w:sz="4" w:space="0" w:color="auto"/>
            </w:tcBorders>
            <w:vAlign w:val="center"/>
          </w:tcPr>
          <w:p w14:paraId="5ED69E10"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6A7ABC5A" w14:textId="77777777" w:rsidR="00E57DAA" w:rsidRDefault="00AC4185">
            <w:pPr>
              <w:autoSpaceDE w:val="0"/>
              <w:autoSpaceDN w:val="0"/>
              <w:adjustRightInd w:val="0"/>
              <w:rPr>
                <w:szCs w:val="21"/>
              </w:rPr>
            </w:pPr>
            <w:r>
              <w:t>东平中联水泥有限公司</w:t>
            </w:r>
          </w:p>
        </w:tc>
        <w:tc>
          <w:tcPr>
            <w:tcW w:w="633" w:type="pct"/>
            <w:tcBorders>
              <w:top w:val="single" w:sz="4" w:space="0" w:color="auto"/>
              <w:left w:val="single" w:sz="4" w:space="0" w:color="auto"/>
              <w:bottom w:val="single" w:sz="4" w:space="0" w:color="auto"/>
              <w:right w:val="single" w:sz="4" w:space="0" w:color="auto"/>
            </w:tcBorders>
          </w:tcPr>
          <w:p w14:paraId="0198C229" w14:textId="77777777" w:rsidR="00E57DAA" w:rsidRDefault="00AC4185">
            <w:pPr>
              <w:autoSpaceDE w:val="0"/>
              <w:autoSpaceDN w:val="0"/>
              <w:adjustRightInd w:val="0"/>
              <w:jc w:val="right"/>
              <w:rPr>
                <w:szCs w:val="21"/>
              </w:rPr>
            </w:pPr>
            <w:r>
              <w:t>406,200.00</w:t>
            </w:r>
          </w:p>
        </w:tc>
        <w:tc>
          <w:tcPr>
            <w:tcW w:w="632" w:type="pct"/>
            <w:tcBorders>
              <w:top w:val="single" w:sz="4" w:space="0" w:color="auto"/>
              <w:left w:val="single" w:sz="4" w:space="0" w:color="auto"/>
              <w:bottom w:val="single" w:sz="4" w:space="0" w:color="auto"/>
              <w:right w:val="single" w:sz="4" w:space="0" w:color="auto"/>
            </w:tcBorders>
          </w:tcPr>
          <w:p w14:paraId="5C5D3CDD" w14:textId="77777777" w:rsidR="00E57DAA" w:rsidRDefault="00AC4185">
            <w:pPr>
              <w:autoSpaceDE w:val="0"/>
              <w:autoSpaceDN w:val="0"/>
              <w:adjustRightInd w:val="0"/>
              <w:jc w:val="right"/>
              <w:rPr>
                <w:szCs w:val="21"/>
              </w:rPr>
            </w:pPr>
            <w:r>
              <w:t>4,158.90</w:t>
            </w:r>
          </w:p>
        </w:tc>
        <w:tc>
          <w:tcPr>
            <w:tcW w:w="703" w:type="pct"/>
            <w:tcBorders>
              <w:top w:val="single" w:sz="4" w:space="0" w:color="auto"/>
              <w:left w:val="single" w:sz="4" w:space="0" w:color="auto"/>
              <w:bottom w:val="single" w:sz="4" w:space="0" w:color="auto"/>
              <w:right w:val="single" w:sz="4" w:space="0" w:color="auto"/>
            </w:tcBorders>
          </w:tcPr>
          <w:p w14:paraId="7FF4DD4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FDAB14E" w14:textId="77777777" w:rsidR="00E57DAA" w:rsidRDefault="00AC4185">
            <w:pPr>
              <w:autoSpaceDE w:val="0"/>
              <w:autoSpaceDN w:val="0"/>
              <w:adjustRightInd w:val="0"/>
              <w:jc w:val="right"/>
              <w:rPr>
                <w:szCs w:val="21"/>
              </w:rPr>
            </w:pPr>
            <w:r>
              <w:t xml:space="preserve">　</w:t>
            </w:r>
          </w:p>
        </w:tc>
      </w:tr>
      <w:tr w:rsidR="00E57DAA" w14:paraId="7269BEB3" w14:textId="77777777">
        <w:tc>
          <w:tcPr>
            <w:tcW w:w="677" w:type="pct"/>
            <w:tcBorders>
              <w:top w:val="single" w:sz="4" w:space="0" w:color="auto"/>
              <w:left w:val="single" w:sz="4" w:space="0" w:color="auto"/>
              <w:bottom w:val="single" w:sz="4" w:space="0" w:color="auto"/>
              <w:right w:val="single" w:sz="4" w:space="0" w:color="auto"/>
            </w:tcBorders>
            <w:vAlign w:val="center"/>
          </w:tcPr>
          <w:p w14:paraId="71CF7D9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0113197" w14:textId="77777777" w:rsidR="00E57DAA" w:rsidRDefault="00AC4185">
            <w:pPr>
              <w:autoSpaceDE w:val="0"/>
              <w:autoSpaceDN w:val="0"/>
              <w:adjustRightInd w:val="0"/>
              <w:rPr>
                <w:szCs w:val="21"/>
              </w:rPr>
            </w:pPr>
            <w:r>
              <w:t>杭州胥口南方水泥有限公司</w:t>
            </w:r>
          </w:p>
        </w:tc>
        <w:tc>
          <w:tcPr>
            <w:tcW w:w="633" w:type="pct"/>
            <w:tcBorders>
              <w:top w:val="single" w:sz="4" w:space="0" w:color="auto"/>
              <w:left w:val="single" w:sz="4" w:space="0" w:color="auto"/>
              <w:bottom w:val="single" w:sz="4" w:space="0" w:color="auto"/>
              <w:right w:val="single" w:sz="4" w:space="0" w:color="auto"/>
            </w:tcBorders>
          </w:tcPr>
          <w:p w14:paraId="6EA848E4" w14:textId="77777777" w:rsidR="00E57DAA" w:rsidRDefault="00AC4185">
            <w:pPr>
              <w:autoSpaceDE w:val="0"/>
              <w:autoSpaceDN w:val="0"/>
              <w:adjustRightInd w:val="0"/>
              <w:jc w:val="right"/>
              <w:rPr>
                <w:szCs w:val="21"/>
              </w:rPr>
            </w:pPr>
            <w:r>
              <w:t>400,000.00</w:t>
            </w:r>
          </w:p>
        </w:tc>
        <w:tc>
          <w:tcPr>
            <w:tcW w:w="632" w:type="pct"/>
            <w:tcBorders>
              <w:top w:val="single" w:sz="4" w:space="0" w:color="auto"/>
              <w:left w:val="single" w:sz="4" w:space="0" w:color="auto"/>
              <w:bottom w:val="single" w:sz="4" w:space="0" w:color="auto"/>
              <w:right w:val="single" w:sz="4" w:space="0" w:color="auto"/>
            </w:tcBorders>
          </w:tcPr>
          <w:p w14:paraId="49014744" w14:textId="77777777" w:rsidR="00E57DAA" w:rsidRDefault="00AC4185">
            <w:pPr>
              <w:autoSpaceDE w:val="0"/>
              <w:autoSpaceDN w:val="0"/>
              <w:adjustRightInd w:val="0"/>
              <w:jc w:val="right"/>
              <w:rPr>
                <w:szCs w:val="21"/>
              </w:rPr>
            </w:pPr>
            <w:r>
              <w:t>36,000.00</w:t>
            </w:r>
          </w:p>
        </w:tc>
        <w:tc>
          <w:tcPr>
            <w:tcW w:w="703" w:type="pct"/>
            <w:tcBorders>
              <w:top w:val="single" w:sz="4" w:space="0" w:color="auto"/>
              <w:left w:val="single" w:sz="4" w:space="0" w:color="auto"/>
              <w:bottom w:val="single" w:sz="4" w:space="0" w:color="auto"/>
              <w:right w:val="single" w:sz="4" w:space="0" w:color="auto"/>
            </w:tcBorders>
          </w:tcPr>
          <w:p w14:paraId="5117E00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BFA7511" w14:textId="77777777" w:rsidR="00E57DAA" w:rsidRDefault="00AC4185">
            <w:pPr>
              <w:autoSpaceDE w:val="0"/>
              <w:autoSpaceDN w:val="0"/>
              <w:adjustRightInd w:val="0"/>
              <w:jc w:val="right"/>
              <w:rPr>
                <w:szCs w:val="21"/>
              </w:rPr>
            </w:pPr>
            <w:r>
              <w:t xml:space="preserve">　</w:t>
            </w:r>
          </w:p>
        </w:tc>
      </w:tr>
      <w:tr w:rsidR="00E57DAA" w14:paraId="40423DF1" w14:textId="77777777">
        <w:tc>
          <w:tcPr>
            <w:tcW w:w="677" w:type="pct"/>
            <w:tcBorders>
              <w:top w:val="single" w:sz="4" w:space="0" w:color="auto"/>
              <w:left w:val="single" w:sz="4" w:space="0" w:color="auto"/>
              <w:bottom w:val="single" w:sz="4" w:space="0" w:color="auto"/>
              <w:right w:val="single" w:sz="4" w:space="0" w:color="auto"/>
            </w:tcBorders>
            <w:vAlign w:val="center"/>
          </w:tcPr>
          <w:p w14:paraId="5DC5DBB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8A59D7" w14:textId="77777777" w:rsidR="00E57DAA" w:rsidRDefault="00AC4185">
            <w:pPr>
              <w:autoSpaceDE w:val="0"/>
              <w:autoSpaceDN w:val="0"/>
              <w:adjustRightInd w:val="0"/>
              <w:rPr>
                <w:szCs w:val="21"/>
              </w:rPr>
            </w:pPr>
            <w:r>
              <w:t>嘉华特种水泥股份有限公司</w:t>
            </w:r>
          </w:p>
        </w:tc>
        <w:tc>
          <w:tcPr>
            <w:tcW w:w="633" w:type="pct"/>
            <w:tcBorders>
              <w:top w:val="single" w:sz="4" w:space="0" w:color="auto"/>
              <w:left w:val="single" w:sz="4" w:space="0" w:color="auto"/>
              <w:bottom w:val="single" w:sz="4" w:space="0" w:color="auto"/>
              <w:right w:val="single" w:sz="4" w:space="0" w:color="auto"/>
            </w:tcBorders>
          </w:tcPr>
          <w:p w14:paraId="78A55196" w14:textId="77777777" w:rsidR="00E57DAA" w:rsidRDefault="00AC4185">
            <w:pPr>
              <w:autoSpaceDE w:val="0"/>
              <w:autoSpaceDN w:val="0"/>
              <w:adjustRightInd w:val="0"/>
              <w:jc w:val="right"/>
              <w:rPr>
                <w:szCs w:val="21"/>
              </w:rPr>
            </w:pPr>
            <w:r>
              <w:t>400,000.00</w:t>
            </w:r>
          </w:p>
        </w:tc>
        <w:tc>
          <w:tcPr>
            <w:tcW w:w="632" w:type="pct"/>
            <w:tcBorders>
              <w:top w:val="single" w:sz="4" w:space="0" w:color="auto"/>
              <w:left w:val="single" w:sz="4" w:space="0" w:color="auto"/>
              <w:bottom w:val="single" w:sz="4" w:space="0" w:color="auto"/>
              <w:right w:val="single" w:sz="4" w:space="0" w:color="auto"/>
            </w:tcBorders>
          </w:tcPr>
          <w:p w14:paraId="7937E871" w14:textId="77777777" w:rsidR="00E57DAA" w:rsidRDefault="00AC4185">
            <w:pPr>
              <w:autoSpaceDE w:val="0"/>
              <w:autoSpaceDN w:val="0"/>
              <w:adjustRightInd w:val="0"/>
              <w:jc w:val="right"/>
              <w:rPr>
                <w:szCs w:val="21"/>
              </w:rPr>
            </w:pPr>
            <w:r>
              <w:t>54,800.00</w:t>
            </w:r>
          </w:p>
        </w:tc>
        <w:tc>
          <w:tcPr>
            <w:tcW w:w="703" w:type="pct"/>
            <w:tcBorders>
              <w:top w:val="single" w:sz="4" w:space="0" w:color="auto"/>
              <w:left w:val="single" w:sz="4" w:space="0" w:color="auto"/>
              <w:bottom w:val="single" w:sz="4" w:space="0" w:color="auto"/>
              <w:right w:val="single" w:sz="4" w:space="0" w:color="auto"/>
            </w:tcBorders>
          </w:tcPr>
          <w:p w14:paraId="70DD281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F58E47B" w14:textId="77777777" w:rsidR="00E57DAA" w:rsidRDefault="00AC4185">
            <w:pPr>
              <w:autoSpaceDE w:val="0"/>
              <w:autoSpaceDN w:val="0"/>
              <w:adjustRightInd w:val="0"/>
              <w:jc w:val="right"/>
              <w:rPr>
                <w:szCs w:val="21"/>
              </w:rPr>
            </w:pPr>
            <w:r>
              <w:t xml:space="preserve">　</w:t>
            </w:r>
          </w:p>
        </w:tc>
      </w:tr>
      <w:tr w:rsidR="00E57DAA" w14:paraId="7F8DE241" w14:textId="77777777">
        <w:tc>
          <w:tcPr>
            <w:tcW w:w="677" w:type="pct"/>
            <w:tcBorders>
              <w:top w:val="single" w:sz="4" w:space="0" w:color="auto"/>
              <w:left w:val="single" w:sz="4" w:space="0" w:color="auto"/>
              <w:bottom w:val="single" w:sz="4" w:space="0" w:color="auto"/>
              <w:right w:val="single" w:sz="4" w:space="0" w:color="auto"/>
            </w:tcBorders>
            <w:vAlign w:val="center"/>
          </w:tcPr>
          <w:p w14:paraId="484F18B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D753B32" w14:textId="77777777" w:rsidR="00E57DAA" w:rsidRDefault="00AC4185">
            <w:pPr>
              <w:autoSpaceDE w:val="0"/>
              <w:autoSpaceDN w:val="0"/>
              <w:adjustRightInd w:val="0"/>
              <w:rPr>
                <w:szCs w:val="21"/>
              </w:rPr>
            </w:pPr>
            <w:r>
              <w:t>三门峡腾跃同力水泥有限公司</w:t>
            </w:r>
          </w:p>
        </w:tc>
        <w:tc>
          <w:tcPr>
            <w:tcW w:w="633" w:type="pct"/>
            <w:tcBorders>
              <w:top w:val="single" w:sz="4" w:space="0" w:color="auto"/>
              <w:left w:val="single" w:sz="4" w:space="0" w:color="auto"/>
              <w:bottom w:val="single" w:sz="4" w:space="0" w:color="auto"/>
              <w:right w:val="single" w:sz="4" w:space="0" w:color="auto"/>
            </w:tcBorders>
          </w:tcPr>
          <w:p w14:paraId="356C9E8B" w14:textId="77777777" w:rsidR="00E57DAA" w:rsidRDefault="00AC4185">
            <w:pPr>
              <w:autoSpaceDE w:val="0"/>
              <w:autoSpaceDN w:val="0"/>
              <w:adjustRightInd w:val="0"/>
              <w:jc w:val="right"/>
              <w:rPr>
                <w:szCs w:val="21"/>
              </w:rPr>
            </w:pPr>
            <w:r>
              <w:t>372,511.72</w:t>
            </w:r>
          </w:p>
        </w:tc>
        <w:tc>
          <w:tcPr>
            <w:tcW w:w="632" w:type="pct"/>
            <w:tcBorders>
              <w:top w:val="single" w:sz="4" w:space="0" w:color="auto"/>
              <w:left w:val="single" w:sz="4" w:space="0" w:color="auto"/>
              <w:bottom w:val="single" w:sz="4" w:space="0" w:color="auto"/>
              <w:right w:val="single" w:sz="4" w:space="0" w:color="auto"/>
            </w:tcBorders>
          </w:tcPr>
          <w:p w14:paraId="230B08E0" w14:textId="77777777" w:rsidR="00E57DAA" w:rsidRDefault="00AC4185">
            <w:pPr>
              <w:autoSpaceDE w:val="0"/>
              <w:autoSpaceDN w:val="0"/>
              <w:adjustRightInd w:val="0"/>
              <w:jc w:val="right"/>
              <w:rPr>
                <w:szCs w:val="21"/>
              </w:rPr>
            </w:pPr>
            <w:r>
              <w:t>172,242.95</w:t>
            </w:r>
          </w:p>
        </w:tc>
        <w:tc>
          <w:tcPr>
            <w:tcW w:w="703" w:type="pct"/>
            <w:tcBorders>
              <w:top w:val="single" w:sz="4" w:space="0" w:color="auto"/>
              <w:left w:val="single" w:sz="4" w:space="0" w:color="auto"/>
              <w:bottom w:val="single" w:sz="4" w:space="0" w:color="auto"/>
              <w:right w:val="single" w:sz="4" w:space="0" w:color="auto"/>
            </w:tcBorders>
          </w:tcPr>
          <w:p w14:paraId="79602CB3" w14:textId="77777777" w:rsidR="00E57DAA" w:rsidRDefault="00AC4185">
            <w:pPr>
              <w:autoSpaceDE w:val="0"/>
              <w:autoSpaceDN w:val="0"/>
              <w:adjustRightInd w:val="0"/>
              <w:jc w:val="right"/>
              <w:rPr>
                <w:szCs w:val="21"/>
              </w:rPr>
            </w:pPr>
            <w:r>
              <w:t>362,511.72</w:t>
            </w:r>
          </w:p>
        </w:tc>
        <w:tc>
          <w:tcPr>
            <w:tcW w:w="914" w:type="pct"/>
            <w:tcBorders>
              <w:top w:val="single" w:sz="4" w:space="0" w:color="auto"/>
              <w:left w:val="single" w:sz="4" w:space="0" w:color="auto"/>
              <w:bottom w:val="single" w:sz="4" w:space="0" w:color="auto"/>
              <w:right w:val="single" w:sz="4" w:space="0" w:color="auto"/>
            </w:tcBorders>
          </w:tcPr>
          <w:p w14:paraId="799FB91F" w14:textId="77777777" w:rsidR="00E57DAA" w:rsidRDefault="00AC4185">
            <w:pPr>
              <w:autoSpaceDE w:val="0"/>
              <w:autoSpaceDN w:val="0"/>
              <w:adjustRightInd w:val="0"/>
              <w:jc w:val="right"/>
              <w:rPr>
                <w:szCs w:val="21"/>
              </w:rPr>
            </w:pPr>
            <w:r>
              <w:t>242,745.29</w:t>
            </w:r>
          </w:p>
        </w:tc>
      </w:tr>
      <w:tr w:rsidR="00E57DAA" w14:paraId="1BF30442" w14:textId="77777777">
        <w:tc>
          <w:tcPr>
            <w:tcW w:w="677" w:type="pct"/>
            <w:tcBorders>
              <w:top w:val="single" w:sz="4" w:space="0" w:color="auto"/>
              <w:left w:val="single" w:sz="4" w:space="0" w:color="auto"/>
              <w:bottom w:val="single" w:sz="4" w:space="0" w:color="auto"/>
              <w:right w:val="single" w:sz="4" w:space="0" w:color="auto"/>
            </w:tcBorders>
            <w:vAlign w:val="center"/>
          </w:tcPr>
          <w:p w14:paraId="012DCB8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4E5D3E2" w14:textId="77777777" w:rsidR="00E57DAA" w:rsidRDefault="00AC4185">
            <w:pPr>
              <w:autoSpaceDE w:val="0"/>
              <w:autoSpaceDN w:val="0"/>
              <w:adjustRightInd w:val="0"/>
              <w:rPr>
                <w:szCs w:val="21"/>
              </w:rPr>
            </w:pPr>
            <w:r>
              <w:t>西南水泥有限公司</w:t>
            </w:r>
          </w:p>
        </w:tc>
        <w:tc>
          <w:tcPr>
            <w:tcW w:w="633" w:type="pct"/>
            <w:tcBorders>
              <w:top w:val="single" w:sz="4" w:space="0" w:color="auto"/>
              <w:left w:val="single" w:sz="4" w:space="0" w:color="auto"/>
              <w:bottom w:val="single" w:sz="4" w:space="0" w:color="auto"/>
              <w:right w:val="single" w:sz="4" w:space="0" w:color="auto"/>
            </w:tcBorders>
          </w:tcPr>
          <w:p w14:paraId="0FFE56C7" w14:textId="77777777" w:rsidR="00E57DAA" w:rsidRDefault="00AC4185">
            <w:pPr>
              <w:autoSpaceDE w:val="0"/>
              <w:autoSpaceDN w:val="0"/>
              <w:adjustRightInd w:val="0"/>
              <w:jc w:val="right"/>
              <w:rPr>
                <w:szCs w:val="21"/>
              </w:rPr>
            </w:pPr>
            <w:r>
              <w:t>372,000.00</w:t>
            </w:r>
          </w:p>
        </w:tc>
        <w:tc>
          <w:tcPr>
            <w:tcW w:w="632" w:type="pct"/>
            <w:tcBorders>
              <w:top w:val="single" w:sz="4" w:space="0" w:color="auto"/>
              <w:left w:val="single" w:sz="4" w:space="0" w:color="auto"/>
              <w:bottom w:val="single" w:sz="4" w:space="0" w:color="auto"/>
              <w:right w:val="single" w:sz="4" w:space="0" w:color="auto"/>
            </w:tcBorders>
          </w:tcPr>
          <w:p w14:paraId="2B53CEC9" w14:textId="77777777" w:rsidR="00E57DAA" w:rsidRDefault="00AC4185">
            <w:pPr>
              <w:autoSpaceDE w:val="0"/>
              <w:autoSpaceDN w:val="0"/>
              <w:adjustRightInd w:val="0"/>
              <w:jc w:val="right"/>
              <w:rPr>
                <w:szCs w:val="21"/>
              </w:rPr>
            </w:pPr>
            <w:r>
              <w:t>47,676.80</w:t>
            </w:r>
          </w:p>
        </w:tc>
        <w:tc>
          <w:tcPr>
            <w:tcW w:w="703" w:type="pct"/>
            <w:tcBorders>
              <w:top w:val="single" w:sz="4" w:space="0" w:color="auto"/>
              <w:left w:val="single" w:sz="4" w:space="0" w:color="auto"/>
              <w:bottom w:val="single" w:sz="4" w:space="0" w:color="auto"/>
              <w:right w:val="single" w:sz="4" w:space="0" w:color="auto"/>
            </w:tcBorders>
          </w:tcPr>
          <w:p w14:paraId="4930BB3A" w14:textId="77777777" w:rsidR="00E57DAA" w:rsidRDefault="00AC4185">
            <w:pPr>
              <w:autoSpaceDE w:val="0"/>
              <w:autoSpaceDN w:val="0"/>
              <w:adjustRightInd w:val="0"/>
              <w:jc w:val="right"/>
              <w:rPr>
                <w:szCs w:val="21"/>
              </w:rPr>
            </w:pPr>
            <w:r>
              <w:t>422,000.00</w:t>
            </w:r>
          </w:p>
        </w:tc>
        <w:tc>
          <w:tcPr>
            <w:tcW w:w="914" w:type="pct"/>
            <w:tcBorders>
              <w:top w:val="single" w:sz="4" w:space="0" w:color="auto"/>
              <w:left w:val="single" w:sz="4" w:space="0" w:color="auto"/>
              <w:bottom w:val="single" w:sz="4" w:space="0" w:color="auto"/>
              <w:right w:val="single" w:sz="4" w:space="0" w:color="auto"/>
            </w:tcBorders>
          </w:tcPr>
          <w:p w14:paraId="6D8B817A" w14:textId="77777777" w:rsidR="00E57DAA" w:rsidRDefault="00AC4185">
            <w:pPr>
              <w:autoSpaceDE w:val="0"/>
              <w:autoSpaceDN w:val="0"/>
              <w:adjustRightInd w:val="0"/>
              <w:jc w:val="right"/>
              <w:rPr>
                <w:szCs w:val="21"/>
              </w:rPr>
            </w:pPr>
            <w:r>
              <w:t>142,711.60</w:t>
            </w:r>
          </w:p>
        </w:tc>
      </w:tr>
      <w:tr w:rsidR="00E57DAA" w14:paraId="325B71B2" w14:textId="77777777">
        <w:tc>
          <w:tcPr>
            <w:tcW w:w="677" w:type="pct"/>
            <w:tcBorders>
              <w:top w:val="single" w:sz="4" w:space="0" w:color="auto"/>
              <w:left w:val="single" w:sz="4" w:space="0" w:color="auto"/>
              <w:bottom w:val="single" w:sz="4" w:space="0" w:color="auto"/>
              <w:right w:val="single" w:sz="4" w:space="0" w:color="auto"/>
            </w:tcBorders>
            <w:vAlign w:val="center"/>
          </w:tcPr>
          <w:p w14:paraId="54F710D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54E2981" w14:textId="77777777" w:rsidR="00E57DAA" w:rsidRDefault="00AC4185">
            <w:pPr>
              <w:autoSpaceDE w:val="0"/>
              <w:autoSpaceDN w:val="0"/>
              <w:adjustRightInd w:val="0"/>
              <w:rPr>
                <w:szCs w:val="21"/>
              </w:rPr>
            </w:pPr>
            <w:r>
              <w:t>抚州市东乡区上陈新材料有限公司</w:t>
            </w:r>
          </w:p>
        </w:tc>
        <w:tc>
          <w:tcPr>
            <w:tcW w:w="633" w:type="pct"/>
            <w:tcBorders>
              <w:top w:val="single" w:sz="4" w:space="0" w:color="auto"/>
              <w:left w:val="single" w:sz="4" w:space="0" w:color="auto"/>
              <w:bottom w:val="single" w:sz="4" w:space="0" w:color="auto"/>
              <w:right w:val="single" w:sz="4" w:space="0" w:color="auto"/>
            </w:tcBorders>
          </w:tcPr>
          <w:p w14:paraId="429AF714" w14:textId="77777777" w:rsidR="00E57DAA" w:rsidRDefault="00AC4185">
            <w:pPr>
              <w:autoSpaceDE w:val="0"/>
              <w:autoSpaceDN w:val="0"/>
              <w:adjustRightInd w:val="0"/>
              <w:jc w:val="right"/>
              <w:rPr>
                <w:szCs w:val="21"/>
              </w:rPr>
            </w:pPr>
            <w:r>
              <w:t>360,000.00</w:t>
            </w:r>
          </w:p>
        </w:tc>
        <w:tc>
          <w:tcPr>
            <w:tcW w:w="632" w:type="pct"/>
            <w:tcBorders>
              <w:top w:val="single" w:sz="4" w:space="0" w:color="auto"/>
              <w:left w:val="single" w:sz="4" w:space="0" w:color="auto"/>
              <w:bottom w:val="single" w:sz="4" w:space="0" w:color="auto"/>
              <w:right w:val="single" w:sz="4" w:space="0" w:color="auto"/>
            </w:tcBorders>
          </w:tcPr>
          <w:p w14:paraId="4E05A377" w14:textId="77777777" w:rsidR="00E57DAA" w:rsidRDefault="00AC4185">
            <w:pPr>
              <w:autoSpaceDE w:val="0"/>
              <w:autoSpaceDN w:val="0"/>
              <w:adjustRightInd w:val="0"/>
              <w:jc w:val="right"/>
              <w:rPr>
                <w:szCs w:val="21"/>
              </w:rPr>
            </w:pPr>
            <w:r>
              <w:t>103,510.00</w:t>
            </w:r>
          </w:p>
        </w:tc>
        <w:tc>
          <w:tcPr>
            <w:tcW w:w="703" w:type="pct"/>
            <w:tcBorders>
              <w:top w:val="single" w:sz="4" w:space="0" w:color="auto"/>
              <w:left w:val="single" w:sz="4" w:space="0" w:color="auto"/>
              <w:bottom w:val="single" w:sz="4" w:space="0" w:color="auto"/>
              <w:right w:val="single" w:sz="4" w:space="0" w:color="auto"/>
            </w:tcBorders>
          </w:tcPr>
          <w:p w14:paraId="495CE6F8" w14:textId="77777777" w:rsidR="00E57DAA" w:rsidRDefault="00AC4185">
            <w:pPr>
              <w:autoSpaceDE w:val="0"/>
              <w:autoSpaceDN w:val="0"/>
              <w:adjustRightInd w:val="0"/>
              <w:jc w:val="right"/>
              <w:rPr>
                <w:szCs w:val="21"/>
              </w:rPr>
            </w:pPr>
            <w:r>
              <w:t>421,000.00</w:t>
            </w:r>
          </w:p>
        </w:tc>
        <w:tc>
          <w:tcPr>
            <w:tcW w:w="914" w:type="pct"/>
            <w:tcBorders>
              <w:top w:val="single" w:sz="4" w:space="0" w:color="auto"/>
              <w:left w:val="single" w:sz="4" w:space="0" w:color="auto"/>
              <w:bottom w:val="single" w:sz="4" w:space="0" w:color="auto"/>
              <w:right w:val="single" w:sz="4" w:space="0" w:color="auto"/>
            </w:tcBorders>
          </w:tcPr>
          <w:p w14:paraId="0C1590AA" w14:textId="77777777" w:rsidR="00E57DAA" w:rsidRDefault="00AC4185">
            <w:pPr>
              <w:autoSpaceDE w:val="0"/>
              <w:autoSpaceDN w:val="0"/>
              <w:adjustRightInd w:val="0"/>
              <w:jc w:val="right"/>
              <w:rPr>
                <w:szCs w:val="21"/>
              </w:rPr>
            </w:pPr>
            <w:r>
              <w:t>43,300.00</w:t>
            </w:r>
          </w:p>
        </w:tc>
      </w:tr>
      <w:tr w:rsidR="00E57DAA" w14:paraId="504CA869" w14:textId="77777777">
        <w:tc>
          <w:tcPr>
            <w:tcW w:w="677" w:type="pct"/>
            <w:tcBorders>
              <w:top w:val="single" w:sz="4" w:space="0" w:color="auto"/>
              <w:left w:val="single" w:sz="4" w:space="0" w:color="auto"/>
              <w:bottom w:val="single" w:sz="4" w:space="0" w:color="auto"/>
              <w:right w:val="single" w:sz="4" w:space="0" w:color="auto"/>
            </w:tcBorders>
            <w:vAlign w:val="center"/>
          </w:tcPr>
          <w:p w14:paraId="79258C6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08779D3" w14:textId="77777777" w:rsidR="00E57DAA" w:rsidRDefault="00AC4185">
            <w:pPr>
              <w:autoSpaceDE w:val="0"/>
              <w:autoSpaceDN w:val="0"/>
              <w:adjustRightInd w:val="0"/>
              <w:rPr>
                <w:szCs w:val="21"/>
              </w:rPr>
            </w:pPr>
            <w:r>
              <w:t>江西上高南方水泥有限公司</w:t>
            </w:r>
          </w:p>
        </w:tc>
        <w:tc>
          <w:tcPr>
            <w:tcW w:w="633" w:type="pct"/>
            <w:tcBorders>
              <w:top w:val="single" w:sz="4" w:space="0" w:color="auto"/>
              <w:left w:val="single" w:sz="4" w:space="0" w:color="auto"/>
              <w:bottom w:val="single" w:sz="4" w:space="0" w:color="auto"/>
              <w:right w:val="single" w:sz="4" w:space="0" w:color="auto"/>
            </w:tcBorders>
          </w:tcPr>
          <w:p w14:paraId="58594E9F" w14:textId="77777777" w:rsidR="00E57DAA" w:rsidRDefault="00AC4185">
            <w:pPr>
              <w:autoSpaceDE w:val="0"/>
              <w:autoSpaceDN w:val="0"/>
              <w:adjustRightInd w:val="0"/>
              <w:jc w:val="right"/>
              <w:rPr>
                <w:szCs w:val="21"/>
              </w:rPr>
            </w:pPr>
            <w:r>
              <w:t>350,000.00</w:t>
            </w:r>
          </w:p>
        </w:tc>
        <w:tc>
          <w:tcPr>
            <w:tcW w:w="632" w:type="pct"/>
            <w:tcBorders>
              <w:top w:val="single" w:sz="4" w:space="0" w:color="auto"/>
              <w:left w:val="single" w:sz="4" w:space="0" w:color="auto"/>
              <w:bottom w:val="single" w:sz="4" w:space="0" w:color="auto"/>
              <w:right w:val="single" w:sz="4" w:space="0" w:color="auto"/>
            </w:tcBorders>
          </w:tcPr>
          <w:p w14:paraId="752A01BA" w14:textId="77777777" w:rsidR="00E57DAA" w:rsidRDefault="00AC4185">
            <w:pPr>
              <w:autoSpaceDE w:val="0"/>
              <w:autoSpaceDN w:val="0"/>
              <w:adjustRightInd w:val="0"/>
              <w:jc w:val="right"/>
              <w:rPr>
                <w:szCs w:val="21"/>
              </w:rPr>
            </w:pPr>
            <w:r>
              <w:t>67,350.00</w:t>
            </w:r>
          </w:p>
        </w:tc>
        <w:tc>
          <w:tcPr>
            <w:tcW w:w="703" w:type="pct"/>
            <w:tcBorders>
              <w:top w:val="single" w:sz="4" w:space="0" w:color="auto"/>
              <w:left w:val="single" w:sz="4" w:space="0" w:color="auto"/>
              <w:bottom w:val="single" w:sz="4" w:space="0" w:color="auto"/>
              <w:right w:val="single" w:sz="4" w:space="0" w:color="auto"/>
            </w:tcBorders>
          </w:tcPr>
          <w:p w14:paraId="67911FD9"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457FBB99" w14:textId="77777777" w:rsidR="00E57DAA" w:rsidRDefault="00AC4185">
            <w:pPr>
              <w:autoSpaceDE w:val="0"/>
              <w:autoSpaceDN w:val="0"/>
              <w:adjustRightInd w:val="0"/>
              <w:jc w:val="right"/>
              <w:rPr>
                <w:szCs w:val="21"/>
              </w:rPr>
            </w:pPr>
            <w:r>
              <w:t>11,200.00</w:t>
            </w:r>
          </w:p>
        </w:tc>
      </w:tr>
      <w:tr w:rsidR="00E57DAA" w14:paraId="4A1327A5" w14:textId="77777777">
        <w:tc>
          <w:tcPr>
            <w:tcW w:w="677" w:type="pct"/>
            <w:tcBorders>
              <w:top w:val="single" w:sz="4" w:space="0" w:color="auto"/>
              <w:left w:val="single" w:sz="4" w:space="0" w:color="auto"/>
              <w:bottom w:val="single" w:sz="4" w:space="0" w:color="auto"/>
              <w:right w:val="single" w:sz="4" w:space="0" w:color="auto"/>
            </w:tcBorders>
            <w:vAlign w:val="center"/>
          </w:tcPr>
          <w:p w14:paraId="27E5971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DE22A1E" w14:textId="77777777" w:rsidR="00E57DAA" w:rsidRDefault="00AC4185">
            <w:pPr>
              <w:autoSpaceDE w:val="0"/>
              <w:autoSpaceDN w:val="0"/>
              <w:adjustRightInd w:val="0"/>
              <w:rPr>
                <w:szCs w:val="21"/>
              </w:rPr>
            </w:pPr>
            <w:r>
              <w:t>新疆屯河水泥有限责任公司</w:t>
            </w:r>
          </w:p>
        </w:tc>
        <w:tc>
          <w:tcPr>
            <w:tcW w:w="633" w:type="pct"/>
            <w:tcBorders>
              <w:top w:val="single" w:sz="4" w:space="0" w:color="auto"/>
              <w:left w:val="single" w:sz="4" w:space="0" w:color="auto"/>
              <w:bottom w:val="single" w:sz="4" w:space="0" w:color="auto"/>
              <w:right w:val="single" w:sz="4" w:space="0" w:color="auto"/>
            </w:tcBorders>
          </w:tcPr>
          <w:p w14:paraId="587695CB" w14:textId="77777777" w:rsidR="00E57DAA" w:rsidRDefault="00AC4185">
            <w:pPr>
              <w:autoSpaceDE w:val="0"/>
              <w:autoSpaceDN w:val="0"/>
              <w:adjustRightInd w:val="0"/>
              <w:jc w:val="right"/>
              <w:rPr>
                <w:szCs w:val="21"/>
              </w:rPr>
            </w:pPr>
            <w:r>
              <w:t>350,000.00</w:t>
            </w:r>
          </w:p>
        </w:tc>
        <w:tc>
          <w:tcPr>
            <w:tcW w:w="632" w:type="pct"/>
            <w:tcBorders>
              <w:top w:val="single" w:sz="4" w:space="0" w:color="auto"/>
              <w:left w:val="single" w:sz="4" w:space="0" w:color="auto"/>
              <w:bottom w:val="single" w:sz="4" w:space="0" w:color="auto"/>
              <w:right w:val="single" w:sz="4" w:space="0" w:color="auto"/>
            </w:tcBorders>
          </w:tcPr>
          <w:p w14:paraId="585D5EDE" w14:textId="77777777" w:rsidR="00E57DAA" w:rsidRDefault="00AC4185">
            <w:pPr>
              <w:autoSpaceDE w:val="0"/>
              <w:autoSpaceDN w:val="0"/>
              <w:adjustRightInd w:val="0"/>
              <w:jc w:val="right"/>
              <w:rPr>
                <w:szCs w:val="21"/>
              </w:rPr>
            </w:pPr>
            <w:r>
              <w:t>68,950.00</w:t>
            </w:r>
          </w:p>
        </w:tc>
        <w:tc>
          <w:tcPr>
            <w:tcW w:w="703" w:type="pct"/>
            <w:tcBorders>
              <w:top w:val="single" w:sz="4" w:space="0" w:color="auto"/>
              <w:left w:val="single" w:sz="4" w:space="0" w:color="auto"/>
              <w:bottom w:val="single" w:sz="4" w:space="0" w:color="auto"/>
              <w:right w:val="single" w:sz="4" w:space="0" w:color="auto"/>
            </w:tcBorders>
          </w:tcPr>
          <w:p w14:paraId="110D477D" w14:textId="77777777" w:rsidR="00E57DAA" w:rsidRDefault="00AC4185">
            <w:pPr>
              <w:autoSpaceDE w:val="0"/>
              <w:autoSpaceDN w:val="0"/>
              <w:adjustRightInd w:val="0"/>
              <w:jc w:val="right"/>
              <w:rPr>
                <w:szCs w:val="21"/>
              </w:rPr>
            </w:pPr>
            <w:r>
              <w:t>350,000.00</w:t>
            </w:r>
          </w:p>
        </w:tc>
        <w:tc>
          <w:tcPr>
            <w:tcW w:w="914" w:type="pct"/>
            <w:tcBorders>
              <w:top w:val="single" w:sz="4" w:space="0" w:color="auto"/>
              <w:left w:val="single" w:sz="4" w:space="0" w:color="auto"/>
              <w:bottom w:val="single" w:sz="4" w:space="0" w:color="auto"/>
              <w:right w:val="single" w:sz="4" w:space="0" w:color="auto"/>
            </w:tcBorders>
          </w:tcPr>
          <w:p w14:paraId="457C3BE9" w14:textId="77777777" w:rsidR="00E57DAA" w:rsidRDefault="00AC4185">
            <w:pPr>
              <w:autoSpaceDE w:val="0"/>
              <w:autoSpaceDN w:val="0"/>
              <w:adjustRightInd w:val="0"/>
              <w:jc w:val="right"/>
              <w:rPr>
                <w:szCs w:val="21"/>
              </w:rPr>
            </w:pPr>
            <w:r>
              <w:t>350,000.00</w:t>
            </w:r>
          </w:p>
        </w:tc>
      </w:tr>
      <w:tr w:rsidR="00E57DAA" w14:paraId="1598FB07" w14:textId="77777777">
        <w:tc>
          <w:tcPr>
            <w:tcW w:w="677" w:type="pct"/>
            <w:tcBorders>
              <w:top w:val="single" w:sz="4" w:space="0" w:color="auto"/>
              <w:left w:val="single" w:sz="4" w:space="0" w:color="auto"/>
              <w:bottom w:val="single" w:sz="4" w:space="0" w:color="auto"/>
              <w:right w:val="single" w:sz="4" w:space="0" w:color="auto"/>
            </w:tcBorders>
            <w:vAlign w:val="center"/>
          </w:tcPr>
          <w:p w14:paraId="5BE4C22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1F92A81" w14:textId="77777777" w:rsidR="00E57DAA" w:rsidRDefault="00AC4185">
            <w:pPr>
              <w:autoSpaceDE w:val="0"/>
              <w:autoSpaceDN w:val="0"/>
              <w:adjustRightInd w:val="0"/>
              <w:rPr>
                <w:szCs w:val="21"/>
              </w:rPr>
            </w:pPr>
            <w:r>
              <w:t>青州中联水泥有限公司</w:t>
            </w:r>
          </w:p>
        </w:tc>
        <w:tc>
          <w:tcPr>
            <w:tcW w:w="633" w:type="pct"/>
            <w:tcBorders>
              <w:top w:val="single" w:sz="4" w:space="0" w:color="auto"/>
              <w:left w:val="single" w:sz="4" w:space="0" w:color="auto"/>
              <w:bottom w:val="single" w:sz="4" w:space="0" w:color="auto"/>
              <w:right w:val="single" w:sz="4" w:space="0" w:color="auto"/>
            </w:tcBorders>
          </w:tcPr>
          <w:p w14:paraId="7EE09CFB" w14:textId="77777777" w:rsidR="00E57DAA" w:rsidRDefault="00AC4185">
            <w:pPr>
              <w:autoSpaceDE w:val="0"/>
              <w:autoSpaceDN w:val="0"/>
              <w:adjustRightInd w:val="0"/>
              <w:jc w:val="right"/>
              <w:rPr>
                <w:szCs w:val="21"/>
              </w:rPr>
            </w:pPr>
            <w:r>
              <w:t>330,000.00</w:t>
            </w:r>
          </w:p>
        </w:tc>
        <w:tc>
          <w:tcPr>
            <w:tcW w:w="632" w:type="pct"/>
            <w:tcBorders>
              <w:top w:val="single" w:sz="4" w:space="0" w:color="auto"/>
              <w:left w:val="single" w:sz="4" w:space="0" w:color="auto"/>
              <w:bottom w:val="single" w:sz="4" w:space="0" w:color="auto"/>
              <w:right w:val="single" w:sz="4" w:space="0" w:color="auto"/>
            </w:tcBorders>
          </w:tcPr>
          <w:p w14:paraId="09F34EC9" w14:textId="77777777" w:rsidR="00E57DAA" w:rsidRDefault="00AC4185">
            <w:pPr>
              <w:autoSpaceDE w:val="0"/>
              <w:autoSpaceDN w:val="0"/>
              <w:adjustRightInd w:val="0"/>
              <w:jc w:val="right"/>
              <w:rPr>
                <w:szCs w:val="21"/>
              </w:rPr>
            </w:pPr>
            <w:r>
              <w:t>9,000.00</w:t>
            </w:r>
          </w:p>
        </w:tc>
        <w:tc>
          <w:tcPr>
            <w:tcW w:w="703" w:type="pct"/>
            <w:tcBorders>
              <w:top w:val="single" w:sz="4" w:space="0" w:color="auto"/>
              <w:left w:val="single" w:sz="4" w:space="0" w:color="auto"/>
              <w:bottom w:val="single" w:sz="4" w:space="0" w:color="auto"/>
              <w:right w:val="single" w:sz="4" w:space="0" w:color="auto"/>
            </w:tcBorders>
          </w:tcPr>
          <w:p w14:paraId="56222366" w14:textId="77777777" w:rsidR="00E57DAA" w:rsidRDefault="00AC4185">
            <w:pPr>
              <w:autoSpaceDE w:val="0"/>
              <w:autoSpaceDN w:val="0"/>
              <w:adjustRightInd w:val="0"/>
              <w:jc w:val="right"/>
              <w:rPr>
                <w:szCs w:val="21"/>
              </w:rPr>
            </w:pPr>
            <w:r>
              <w:t>30,000.00</w:t>
            </w:r>
          </w:p>
        </w:tc>
        <w:tc>
          <w:tcPr>
            <w:tcW w:w="914" w:type="pct"/>
            <w:tcBorders>
              <w:top w:val="single" w:sz="4" w:space="0" w:color="auto"/>
              <w:left w:val="single" w:sz="4" w:space="0" w:color="auto"/>
              <w:bottom w:val="single" w:sz="4" w:space="0" w:color="auto"/>
              <w:right w:val="single" w:sz="4" w:space="0" w:color="auto"/>
            </w:tcBorders>
          </w:tcPr>
          <w:p w14:paraId="76B4EA9A" w14:textId="77777777" w:rsidR="00E57DAA" w:rsidRDefault="00AC4185">
            <w:pPr>
              <w:autoSpaceDE w:val="0"/>
              <w:autoSpaceDN w:val="0"/>
              <w:adjustRightInd w:val="0"/>
              <w:jc w:val="right"/>
              <w:rPr>
                <w:szCs w:val="21"/>
              </w:rPr>
            </w:pPr>
            <w:r>
              <w:t>1,500.00</w:t>
            </w:r>
          </w:p>
        </w:tc>
      </w:tr>
      <w:tr w:rsidR="00E57DAA" w14:paraId="5D3EF283" w14:textId="77777777">
        <w:tc>
          <w:tcPr>
            <w:tcW w:w="677" w:type="pct"/>
            <w:tcBorders>
              <w:top w:val="single" w:sz="4" w:space="0" w:color="auto"/>
              <w:left w:val="single" w:sz="4" w:space="0" w:color="auto"/>
              <w:bottom w:val="single" w:sz="4" w:space="0" w:color="auto"/>
              <w:right w:val="single" w:sz="4" w:space="0" w:color="auto"/>
            </w:tcBorders>
            <w:vAlign w:val="center"/>
          </w:tcPr>
          <w:p w14:paraId="28E2F05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52C222A" w14:textId="77777777" w:rsidR="00E57DAA" w:rsidRDefault="00AC4185">
            <w:pPr>
              <w:autoSpaceDE w:val="0"/>
              <w:autoSpaceDN w:val="0"/>
              <w:adjustRightInd w:val="0"/>
              <w:rPr>
                <w:szCs w:val="21"/>
              </w:rPr>
            </w:pPr>
            <w:r>
              <w:t>克州天山水泥有限责任公司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9275AD5" w14:textId="77777777" w:rsidR="00E57DAA" w:rsidRDefault="00AC4185">
            <w:pPr>
              <w:autoSpaceDE w:val="0"/>
              <w:autoSpaceDN w:val="0"/>
              <w:adjustRightInd w:val="0"/>
              <w:jc w:val="right"/>
              <w:rPr>
                <w:szCs w:val="21"/>
              </w:rPr>
            </w:pPr>
            <w:r>
              <w:t>310,000.00</w:t>
            </w:r>
          </w:p>
        </w:tc>
        <w:tc>
          <w:tcPr>
            <w:tcW w:w="632" w:type="pct"/>
            <w:tcBorders>
              <w:top w:val="single" w:sz="4" w:space="0" w:color="auto"/>
              <w:left w:val="single" w:sz="4" w:space="0" w:color="auto"/>
              <w:bottom w:val="single" w:sz="4" w:space="0" w:color="auto"/>
              <w:right w:val="single" w:sz="4" w:space="0" w:color="auto"/>
            </w:tcBorders>
          </w:tcPr>
          <w:p w14:paraId="65D47258" w14:textId="77777777" w:rsidR="00E57DAA" w:rsidRDefault="00AC4185">
            <w:pPr>
              <w:autoSpaceDE w:val="0"/>
              <w:autoSpaceDN w:val="0"/>
              <w:adjustRightInd w:val="0"/>
              <w:jc w:val="right"/>
              <w:rPr>
                <w:szCs w:val="21"/>
              </w:rPr>
            </w:pPr>
            <w:r>
              <w:t>39,070.00</w:t>
            </w:r>
          </w:p>
        </w:tc>
        <w:tc>
          <w:tcPr>
            <w:tcW w:w="703" w:type="pct"/>
            <w:tcBorders>
              <w:top w:val="single" w:sz="4" w:space="0" w:color="auto"/>
              <w:left w:val="single" w:sz="4" w:space="0" w:color="auto"/>
              <w:bottom w:val="single" w:sz="4" w:space="0" w:color="auto"/>
              <w:right w:val="single" w:sz="4" w:space="0" w:color="auto"/>
            </w:tcBorders>
          </w:tcPr>
          <w:p w14:paraId="2233996D" w14:textId="77777777" w:rsidR="00E57DAA" w:rsidRDefault="00AC4185">
            <w:pPr>
              <w:autoSpaceDE w:val="0"/>
              <w:autoSpaceDN w:val="0"/>
              <w:adjustRightInd w:val="0"/>
              <w:jc w:val="right"/>
              <w:rPr>
                <w:szCs w:val="21"/>
              </w:rPr>
            </w:pPr>
            <w:r>
              <w:t>310,000.00</w:t>
            </w:r>
          </w:p>
        </w:tc>
        <w:tc>
          <w:tcPr>
            <w:tcW w:w="914" w:type="pct"/>
            <w:tcBorders>
              <w:top w:val="single" w:sz="4" w:space="0" w:color="auto"/>
              <w:left w:val="single" w:sz="4" w:space="0" w:color="auto"/>
              <w:bottom w:val="single" w:sz="4" w:space="0" w:color="auto"/>
              <w:right w:val="single" w:sz="4" w:space="0" w:color="auto"/>
            </w:tcBorders>
          </w:tcPr>
          <w:p w14:paraId="30919CF3" w14:textId="77777777" w:rsidR="00E57DAA" w:rsidRDefault="00AC4185">
            <w:pPr>
              <w:autoSpaceDE w:val="0"/>
              <w:autoSpaceDN w:val="0"/>
              <w:adjustRightInd w:val="0"/>
              <w:jc w:val="right"/>
              <w:rPr>
                <w:szCs w:val="21"/>
              </w:rPr>
            </w:pPr>
            <w:r>
              <w:t>5,310.00</w:t>
            </w:r>
          </w:p>
        </w:tc>
      </w:tr>
      <w:tr w:rsidR="00E57DAA" w14:paraId="2B28BF68" w14:textId="77777777">
        <w:tc>
          <w:tcPr>
            <w:tcW w:w="677" w:type="pct"/>
            <w:tcBorders>
              <w:top w:val="single" w:sz="4" w:space="0" w:color="auto"/>
              <w:left w:val="single" w:sz="4" w:space="0" w:color="auto"/>
              <w:bottom w:val="single" w:sz="4" w:space="0" w:color="auto"/>
              <w:right w:val="single" w:sz="4" w:space="0" w:color="auto"/>
            </w:tcBorders>
            <w:vAlign w:val="center"/>
          </w:tcPr>
          <w:p w14:paraId="52EA7C6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8B476EF" w14:textId="77777777" w:rsidR="00E57DAA" w:rsidRDefault="00AC4185">
            <w:pPr>
              <w:autoSpaceDE w:val="0"/>
              <w:autoSpaceDN w:val="0"/>
              <w:adjustRightInd w:val="0"/>
              <w:rPr>
                <w:szCs w:val="21"/>
              </w:rPr>
            </w:pPr>
            <w:r>
              <w:t>洛阳黄河同力水泥有限责任公司</w:t>
            </w:r>
          </w:p>
        </w:tc>
        <w:tc>
          <w:tcPr>
            <w:tcW w:w="633" w:type="pct"/>
            <w:tcBorders>
              <w:top w:val="single" w:sz="4" w:space="0" w:color="auto"/>
              <w:left w:val="single" w:sz="4" w:space="0" w:color="auto"/>
              <w:bottom w:val="single" w:sz="4" w:space="0" w:color="auto"/>
              <w:right w:val="single" w:sz="4" w:space="0" w:color="auto"/>
            </w:tcBorders>
          </w:tcPr>
          <w:p w14:paraId="0E4362AE" w14:textId="77777777" w:rsidR="00E57DAA" w:rsidRDefault="00AC4185">
            <w:pPr>
              <w:autoSpaceDE w:val="0"/>
              <w:autoSpaceDN w:val="0"/>
              <w:adjustRightInd w:val="0"/>
              <w:jc w:val="right"/>
              <w:rPr>
                <w:szCs w:val="21"/>
              </w:rPr>
            </w:pPr>
            <w:r>
              <w:t>305,000.00</w:t>
            </w:r>
          </w:p>
        </w:tc>
        <w:tc>
          <w:tcPr>
            <w:tcW w:w="632" w:type="pct"/>
            <w:tcBorders>
              <w:top w:val="single" w:sz="4" w:space="0" w:color="auto"/>
              <w:left w:val="single" w:sz="4" w:space="0" w:color="auto"/>
              <w:bottom w:val="single" w:sz="4" w:space="0" w:color="auto"/>
              <w:right w:val="single" w:sz="4" w:space="0" w:color="auto"/>
            </w:tcBorders>
          </w:tcPr>
          <w:p w14:paraId="4A2D54FF" w14:textId="77777777" w:rsidR="00E57DAA" w:rsidRDefault="00AC4185">
            <w:pPr>
              <w:autoSpaceDE w:val="0"/>
              <w:autoSpaceDN w:val="0"/>
              <w:adjustRightInd w:val="0"/>
              <w:jc w:val="right"/>
              <w:rPr>
                <w:szCs w:val="21"/>
              </w:rPr>
            </w:pPr>
            <w:r>
              <w:t>61,400.00</w:t>
            </w:r>
          </w:p>
        </w:tc>
        <w:tc>
          <w:tcPr>
            <w:tcW w:w="703" w:type="pct"/>
            <w:tcBorders>
              <w:top w:val="single" w:sz="4" w:space="0" w:color="auto"/>
              <w:left w:val="single" w:sz="4" w:space="0" w:color="auto"/>
              <w:bottom w:val="single" w:sz="4" w:space="0" w:color="auto"/>
              <w:right w:val="single" w:sz="4" w:space="0" w:color="auto"/>
            </w:tcBorders>
          </w:tcPr>
          <w:p w14:paraId="4822A5C9" w14:textId="77777777" w:rsidR="00E57DAA" w:rsidRDefault="00AC4185">
            <w:pPr>
              <w:autoSpaceDE w:val="0"/>
              <w:autoSpaceDN w:val="0"/>
              <w:adjustRightInd w:val="0"/>
              <w:jc w:val="right"/>
              <w:rPr>
                <w:szCs w:val="21"/>
              </w:rPr>
            </w:pPr>
            <w:r>
              <w:t>305,000.00</w:t>
            </w:r>
          </w:p>
        </w:tc>
        <w:tc>
          <w:tcPr>
            <w:tcW w:w="914" w:type="pct"/>
            <w:tcBorders>
              <w:top w:val="single" w:sz="4" w:space="0" w:color="auto"/>
              <w:left w:val="single" w:sz="4" w:space="0" w:color="auto"/>
              <w:bottom w:val="single" w:sz="4" w:space="0" w:color="auto"/>
              <w:right w:val="single" w:sz="4" w:space="0" w:color="auto"/>
            </w:tcBorders>
          </w:tcPr>
          <w:p w14:paraId="743EE01D" w14:textId="77777777" w:rsidR="00E57DAA" w:rsidRDefault="00AC4185">
            <w:pPr>
              <w:autoSpaceDE w:val="0"/>
              <w:autoSpaceDN w:val="0"/>
              <w:adjustRightInd w:val="0"/>
              <w:jc w:val="right"/>
              <w:rPr>
                <w:szCs w:val="21"/>
              </w:rPr>
            </w:pPr>
            <w:r>
              <w:t>41,600.00</w:t>
            </w:r>
          </w:p>
        </w:tc>
      </w:tr>
      <w:tr w:rsidR="00E57DAA" w14:paraId="313CC638" w14:textId="77777777">
        <w:tc>
          <w:tcPr>
            <w:tcW w:w="677" w:type="pct"/>
            <w:tcBorders>
              <w:top w:val="single" w:sz="4" w:space="0" w:color="auto"/>
              <w:left w:val="single" w:sz="4" w:space="0" w:color="auto"/>
              <w:bottom w:val="single" w:sz="4" w:space="0" w:color="auto"/>
              <w:right w:val="single" w:sz="4" w:space="0" w:color="auto"/>
            </w:tcBorders>
            <w:vAlign w:val="center"/>
          </w:tcPr>
          <w:p w14:paraId="5543D0D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5AEF28A" w14:textId="77777777" w:rsidR="00E57DAA" w:rsidRDefault="00AC4185">
            <w:pPr>
              <w:autoSpaceDE w:val="0"/>
              <w:autoSpaceDN w:val="0"/>
              <w:adjustRightInd w:val="0"/>
              <w:rPr>
                <w:szCs w:val="21"/>
              </w:rPr>
            </w:pPr>
            <w:r>
              <w:t>富民金锐水泥建材有限责任公司</w:t>
            </w:r>
          </w:p>
        </w:tc>
        <w:tc>
          <w:tcPr>
            <w:tcW w:w="633" w:type="pct"/>
            <w:tcBorders>
              <w:top w:val="single" w:sz="4" w:space="0" w:color="auto"/>
              <w:left w:val="single" w:sz="4" w:space="0" w:color="auto"/>
              <w:bottom w:val="single" w:sz="4" w:space="0" w:color="auto"/>
              <w:right w:val="single" w:sz="4" w:space="0" w:color="auto"/>
            </w:tcBorders>
          </w:tcPr>
          <w:p w14:paraId="439B6156"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3AF20BD7" w14:textId="77777777" w:rsidR="00E57DAA" w:rsidRDefault="00AC4185">
            <w:pPr>
              <w:autoSpaceDE w:val="0"/>
              <w:autoSpaceDN w:val="0"/>
              <w:adjustRightInd w:val="0"/>
              <w:jc w:val="right"/>
              <w:rPr>
                <w:szCs w:val="21"/>
              </w:rPr>
            </w:pPr>
            <w:r>
              <w:t>95,100.00</w:t>
            </w:r>
          </w:p>
        </w:tc>
        <w:tc>
          <w:tcPr>
            <w:tcW w:w="703" w:type="pct"/>
            <w:tcBorders>
              <w:top w:val="single" w:sz="4" w:space="0" w:color="auto"/>
              <w:left w:val="single" w:sz="4" w:space="0" w:color="auto"/>
              <w:bottom w:val="single" w:sz="4" w:space="0" w:color="auto"/>
              <w:right w:val="single" w:sz="4" w:space="0" w:color="auto"/>
            </w:tcBorders>
          </w:tcPr>
          <w:p w14:paraId="72BD0AA6"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594E7073" w14:textId="77777777" w:rsidR="00E57DAA" w:rsidRDefault="00AC4185">
            <w:pPr>
              <w:autoSpaceDE w:val="0"/>
              <w:autoSpaceDN w:val="0"/>
              <w:adjustRightInd w:val="0"/>
              <w:jc w:val="right"/>
              <w:rPr>
                <w:szCs w:val="21"/>
              </w:rPr>
            </w:pPr>
            <w:r>
              <w:t>145,800.00</w:t>
            </w:r>
          </w:p>
        </w:tc>
      </w:tr>
      <w:tr w:rsidR="00E57DAA" w14:paraId="1A658CC1" w14:textId="77777777">
        <w:tc>
          <w:tcPr>
            <w:tcW w:w="677" w:type="pct"/>
            <w:tcBorders>
              <w:top w:val="single" w:sz="4" w:space="0" w:color="auto"/>
              <w:left w:val="single" w:sz="4" w:space="0" w:color="auto"/>
              <w:bottom w:val="single" w:sz="4" w:space="0" w:color="auto"/>
              <w:right w:val="single" w:sz="4" w:space="0" w:color="auto"/>
            </w:tcBorders>
            <w:vAlign w:val="center"/>
          </w:tcPr>
          <w:p w14:paraId="038D0F0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586AB0E" w14:textId="77777777" w:rsidR="00E57DAA" w:rsidRDefault="00AC4185">
            <w:pPr>
              <w:autoSpaceDE w:val="0"/>
              <w:autoSpaceDN w:val="0"/>
              <w:adjustRightInd w:val="0"/>
              <w:rPr>
                <w:szCs w:val="21"/>
              </w:rPr>
            </w:pPr>
            <w:r>
              <w:t>固原市赛马新型建材有限公司</w:t>
            </w:r>
          </w:p>
        </w:tc>
        <w:tc>
          <w:tcPr>
            <w:tcW w:w="633" w:type="pct"/>
            <w:tcBorders>
              <w:top w:val="single" w:sz="4" w:space="0" w:color="auto"/>
              <w:left w:val="single" w:sz="4" w:space="0" w:color="auto"/>
              <w:bottom w:val="single" w:sz="4" w:space="0" w:color="auto"/>
              <w:right w:val="single" w:sz="4" w:space="0" w:color="auto"/>
            </w:tcBorders>
          </w:tcPr>
          <w:p w14:paraId="2A5D094F"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4E3AF1A4" w14:textId="77777777" w:rsidR="00E57DAA" w:rsidRDefault="00AC4185">
            <w:pPr>
              <w:autoSpaceDE w:val="0"/>
              <w:autoSpaceDN w:val="0"/>
              <w:adjustRightInd w:val="0"/>
              <w:jc w:val="right"/>
              <w:rPr>
                <w:szCs w:val="21"/>
              </w:rPr>
            </w:pPr>
            <w:r>
              <w:t>98,700.00</w:t>
            </w:r>
          </w:p>
        </w:tc>
        <w:tc>
          <w:tcPr>
            <w:tcW w:w="703" w:type="pct"/>
            <w:tcBorders>
              <w:top w:val="single" w:sz="4" w:space="0" w:color="auto"/>
              <w:left w:val="single" w:sz="4" w:space="0" w:color="auto"/>
              <w:bottom w:val="single" w:sz="4" w:space="0" w:color="auto"/>
              <w:right w:val="single" w:sz="4" w:space="0" w:color="auto"/>
            </w:tcBorders>
          </w:tcPr>
          <w:p w14:paraId="46550788"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470EB5E9" w14:textId="77777777" w:rsidR="00E57DAA" w:rsidRDefault="00AC4185">
            <w:pPr>
              <w:autoSpaceDE w:val="0"/>
              <w:autoSpaceDN w:val="0"/>
              <w:adjustRightInd w:val="0"/>
              <w:jc w:val="right"/>
              <w:rPr>
                <w:szCs w:val="21"/>
              </w:rPr>
            </w:pPr>
            <w:r>
              <w:t>51,900.00</w:t>
            </w:r>
          </w:p>
        </w:tc>
      </w:tr>
      <w:tr w:rsidR="00E57DAA" w14:paraId="6365EA1E" w14:textId="77777777">
        <w:tc>
          <w:tcPr>
            <w:tcW w:w="677" w:type="pct"/>
            <w:tcBorders>
              <w:top w:val="single" w:sz="4" w:space="0" w:color="auto"/>
              <w:left w:val="single" w:sz="4" w:space="0" w:color="auto"/>
              <w:bottom w:val="single" w:sz="4" w:space="0" w:color="auto"/>
              <w:right w:val="single" w:sz="4" w:space="0" w:color="auto"/>
            </w:tcBorders>
            <w:vAlign w:val="center"/>
          </w:tcPr>
          <w:p w14:paraId="44D58B2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F4906A0" w14:textId="77777777" w:rsidR="00E57DAA" w:rsidRDefault="00AC4185">
            <w:pPr>
              <w:autoSpaceDE w:val="0"/>
              <w:autoSpaceDN w:val="0"/>
              <w:adjustRightInd w:val="0"/>
              <w:rPr>
                <w:szCs w:val="21"/>
              </w:rPr>
            </w:pPr>
            <w:r>
              <w:t>合肥南方水泥有限公司</w:t>
            </w:r>
          </w:p>
        </w:tc>
        <w:tc>
          <w:tcPr>
            <w:tcW w:w="633" w:type="pct"/>
            <w:tcBorders>
              <w:top w:val="single" w:sz="4" w:space="0" w:color="auto"/>
              <w:left w:val="single" w:sz="4" w:space="0" w:color="auto"/>
              <w:bottom w:val="single" w:sz="4" w:space="0" w:color="auto"/>
              <w:right w:val="single" w:sz="4" w:space="0" w:color="auto"/>
            </w:tcBorders>
          </w:tcPr>
          <w:p w14:paraId="3F901AB1"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165CC7BA" w14:textId="77777777" w:rsidR="00E57DAA" w:rsidRDefault="00AC4185">
            <w:pPr>
              <w:autoSpaceDE w:val="0"/>
              <w:autoSpaceDN w:val="0"/>
              <w:adjustRightInd w:val="0"/>
              <w:jc w:val="right"/>
              <w:rPr>
                <w:szCs w:val="21"/>
              </w:rPr>
            </w:pPr>
            <w:r>
              <w:t>95,100.00</w:t>
            </w:r>
          </w:p>
        </w:tc>
        <w:tc>
          <w:tcPr>
            <w:tcW w:w="703" w:type="pct"/>
            <w:tcBorders>
              <w:top w:val="single" w:sz="4" w:space="0" w:color="auto"/>
              <w:left w:val="single" w:sz="4" w:space="0" w:color="auto"/>
              <w:bottom w:val="single" w:sz="4" w:space="0" w:color="auto"/>
              <w:right w:val="single" w:sz="4" w:space="0" w:color="auto"/>
            </w:tcBorders>
          </w:tcPr>
          <w:p w14:paraId="0066F2BB"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087AA057" w14:textId="77777777" w:rsidR="00E57DAA" w:rsidRDefault="00AC4185">
            <w:pPr>
              <w:autoSpaceDE w:val="0"/>
              <w:autoSpaceDN w:val="0"/>
              <w:adjustRightInd w:val="0"/>
              <w:jc w:val="right"/>
              <w:rPr>
                <w:szCs w:val="21"/>
              </w:rPr>
            </w:pPr>
            <w:r>
              <w:t>5,370.00</w:t>
            </w:r>
          </w:p>
        </w:tc>
      </w:tr>
      <w:tr w:rsidR="00E57DAA" w14:paraId="4FF9EA2F" w14:textId="77777777">
        <w:tc>
          <w:tcPr>
            <w:tcW w:w="677" w:type="pct"/>
            <w:tcBorders>
              <w:top w:val="single" w:sz="4" w:space="0" w:color="auto"/>
              <w:left w:val="single" w:sz="4" w:space="0" w:color="auto"/>
              <w:bottom w:val="single" w:sz="4" w:space="0" w:color="auto"/>
              <w:right w:val="single" w:sz="4" w:space="0" w:color="auto"/>
            </w:tcBorders>
            <w:vAlign w:val="center"/>
          </w:tcPr>
          <w:p w14:paraId="57D3782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6B6277E" w14:textId="77777777" w:rsidR="00E57DAA" w:rsidRDefault="00AC4185">
            <w:pPr>
              <w:autoSpaceDE w:val="0"/>
              <w:autoSpaceDN w:val="0"/>
              <w:adjustRightInd w:val="0"/>
              <w:rPr>
                <w:szCs w:val="21"/>
              </w:rPr>
            </w:pPr>
            <w:r>
              <w:t>平邑中联水泥有限公司</w:t>
            </w:r>
          </w:p>
        </w:tc>
        <w:tc>
          <w:tcPr>
            <w:tcW w:w="633" w:type="pct"/>
            <w:tcBorders>
              <w:top w:val="single" w:sz="4" w:space="0" w:color="auto"/>
              <w:left w:val="single" w:sz="4" w:space="0" w:color="auto"/>
              <w:bottom w:val="single" w:sz="4" w:space="0" w:color="auto"/>
              <w:right w:val="single" w:sz="4" w:space="0" w:color="auto"/>
            </w:tcBorders>
          </w:tcPr>
          <w:p w14:paraId="7516021C"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685BD73E" w14:textId="77777777" w:rsidR="00E57DAA" w:rsidRDefault="00AC4185">
            <w:pPr>
              <w:autoSpaceDE w:val="0"/>
              <w:autoSpaceDN w:val="0"/>
              <w:adjustRightInd w:val="0"/>
              <w:jc w:val="right"/>
              <w:rPr>
                <w:szCs w:val="21"/>
              </w:rPr>
            </w:pPr>
            <w:r>
              <w:t>9,000.00</w:t>
            </w:r>
          </w:p>
        </w:tc>
        <w:tc>
          <w:tcPr>
            <w:tcW w:w="703" w:type="pct"/>
            <w:tcBorders>
              <w:top w:val="single" w:sz="4" w:space="0" w:color="auto"/>
              <w:left w:val="single" w:sz="4" w:space="0" w:color="auto"/>
              <w:bottom w:val="single" w:sz="4" w:space="0" w:color="auto"/>
              <w:right w:val="single" w:sz="4" w:space="0" w:color="auto"/>
            </w:tcBorders>
          </w:tcPr>
          <w:p w14:paraId="265D551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5963EF3" w14:textId="77777777" w:rsidR="00E57DAA" w:rsidRDefault="00AC4185">
            <w:pPr>
              <w:autoSpaceDE w:val="0"/>
              <w:autoSpaceDN w:val="0"/>
              <w:adjustRightInd w:val="0"/>
              <w:jc w:val="right"/>
              <w:rPr>
                <w:szCs w:val="21"/>
              </w:rPr>
            </w:pPr>
            <w:r>
              <w:t xml:space="preserve">　</w:t>
            </w:r>
          </w:p>
        </w:tc>
      </w:tr>
      <w:tr w:rsidR="00E57DAA" w14:paraId="5A021EF4" w14:textId="77777777">
        <w:tc>
          <w:tcPr>
            <w:tcW w:w="677" w:type="pct"/>
            <w:tcBorders>
              <w:top w:val="single" w:sz="4" w:space="0" w:color="auto"/>
              <w:left w:val="single" w:sz="4" w:space="0" w:color="auto"/>
              <w:bottom w:val="single" w:sz="4" w:space="0" w:color="auto"/>
              <w:right w:val="single" w:sz="4" w:space="0" w:color="auto"/>
            </w:tcBorders>
            <w:vAlign w:val="center"/>
          </w:tcPr>
          <w:p w14:paraId="4199FB3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B476DA2" w14:textId="77777777" w:rsidR="00E57DAA" w:rsidRDefault="00AC4185">
            <w:pPr>
              <w:autoSpaceDE w:val="0"/>
              <w:autoSpaceDN w:val="0"/>
              <w:adjustRightInd w:val="0"/>
              <w:rPr>
                <w:szCs w:val="21"/>
              </w:rPr>
            </w:pPr>
            <w:r>
              <w:t>中材罗定水泥有限公司</w:t>
            </w:r>
          </w:p>
        </w:tc>
        <w:tc>
          <w:tcPr>
            <w:tcW w:w="633" w:type="pct"/>
            <w:tcBorders>
              <w:top w:val="single" w:sz="4" w:space="0" w:color="auto"/>
              <w:left w:val="single" w:sz="4" w:space="0" w:color="auto"/>
              <w:bottom w:val="single" w:sz="4" w:space="0" w:color="auto"/>
              <w:right w:val="single" w:sz="4" w:space="0" w:color="auto"/>
            </w:tcBorders>
          </w:tcPr>
          <w:p w14:paraId="0E45B4F9"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233C751F" w14:textId="77777777" w:rsidR="00E57DAA" w:rsidRDefault="00AC4185">
            <w:pPr>
              <w:autoSpaceDE w:val="0"/>
              <w:autoSpaceDN w:val="0"/>
              <w:adjustRightInd w:val="0"/>
              <w:jc w:val="right"/>
              <w:rPr>
                <w:szCs w:val="21"/>
              </w:rPr>
            </w:pPr>
            <w:r>
              <w:t>9,000.00</w:t>
            </w:r>
          </w:p>
        </w:tc>
        <w:tc>
          <w:tcPr>
            <w:tcW w:w="703" w:type="pct"/>
            <w:tcBorders>
              <w:top w:val="single" w:sz="4" w:space="0" w:color="auto"/>
              <w:left w:val="single" w:sz="4" w:space="0" w:color="auto"/>
              <w:bottom w:val="single" w:sz="4" w:space="0" w:color="auto"/>
              <w:right w:val="single" w:sz="4" w:space="0" w:color="auto"/>
            </w:tcBorders>
          </w:tcPr>
          <w:p w14:paraId="6165F6B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FB76749" w14:textId="77777777" w:rsidR="00E57DAA" w:rsidRDefault="00AC4185">
            <w:pPr>
              <w:autoSpaceDE w:val="0"/>
              <w:autoSpaceDN w:val="0"/>
              <w:adjustRightInd w:val="0"/>
              <w:jc w:val="right"/>
              <w:rPr>
                <w:szCs w:val="21"/>
              </w:rPr>
            </w:pPr>
            <w:r>
              <w:t xml:space="preserve">　</w:t>
            </w:r>
          </w:p>
        </w:tc>
      </w:tr>
      <w:tr w:rsidR="00E57DAA" w14:paraId="2C934A26" w14:textId="77777777">
        <w:tc>
          <w:tcPr>
            <w:tcW w:w="677" w:type="pct"/>
            <w:tcBorders>
              <w:top w:val="single" w:sz="4" w:space="0" w:color="auto"/>
              <w:left w:val="single" w:sz="4" w:space="0" w:color="auto"/>
              <w:bottom w:val="single" w:sz="4" w:space="0" w:color="auto"/>
              <w:right w:val="single" w:sz="4" w:space="0" w:color="auto"/>
            </w:tcBorders>
            <w:vAlign w:val="center"/>
          </w:tcPr>
          <w:p w14:paraId="1E6A62C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25BB0CC" w14:textId="77777777" w:rsidR="00E57DAA" w:rsidRDefault="00AC4185">
            <w:pPr>
              <w:autoSpaceDE w:val="0"/>
              <w:autoSpaceDN w:val="0"/>
              <w:adjustRightInd w:val="0"/>
              <w:rPr>
                <w:szCs w:val="21"/>
              </w:rPr>
            </w:pPr>
            <w:r>
              <w:t>中材天山（云浮）水泥有限公司</w:t>
            </w:r>
          </w:p>
        </w:tc>
        <w:tc>
          <w:tcPr>
            <w:tcW w:w="633" w:type="pct"/>
            <w:tcBorders>
              <w:top w:val="single" w:sz="4" w:space="0" w:color="auto"/>
              <w:left w:val="single" w:sz="4" w:space="0" w:color="auto"/>
              <w:bottom w:val="single" w:sz="4" w:space="0" w:color="auto"/>
              <w:right w:val="single" w:sz="4" w:space="0" w:color="auto"/>
            </w:tcBorders>
          </w:tcPr>
          <w:p w14:paraId="429A79C5"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3B3E578E" w14:textId="77777777" w:rsidR="00E57DAA" w:rsidRDefault="00AC4185">
            <w:pPr>
              <w:autoSpaceDE w:val="0"/>
              <w:autoSpaceDN w:val="0"/>
              <w:adjustRightInd w:val="0"/>
              <w:jc w:val="right"/>
              <w:rPr>
                <w:szCs w:val="21"/>
              </w:rPr>
            </w:pPr>
            <w:r>
              <w:t>9,000.00</w:t>
            </w:r>
          </w:p>
        </w:tc>
        <w:tc>
          <w:tcPr>
            <w:tcW w:w="703" w:type="pct"/>
            <w:tcBorders>
              <w:top w:val="single" w:sz="4" w:space="0" w:color="auto"/>
              <w:left w:val="single" w:sz="4" w:space="0" w:color="auto"/>
              <w:bottom w:val="single" w:sz="4" w:space="0" w:color="auto"/>
              <w:right w:val="single" w:sz="4" w:space="0" w:color="auto"/>
            </w:tcBorders>
          </w:tcPr>
          <w:p w14:paraId="61B1A60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73AF9EF" w14:textId="77777777" w:rsidR="00E57DAA" w:rsidRDefault="00AC4185">
            <w:pPr>
              <w:autoSpaceDE w:val="0"/>
              <w:autoSpaceDN w:val="0"/>
              <w:adjustRightInd w:val="0"/>
              <w:jc w:val="right"/>
              <w:rPr>
                <w:szCs w:val="21"/>
              </w:rPr>
            </w:pPr>
            <w:r>
              <w:t xml:space="preserve">　</w:t>
            </w:r>
          </w:p>
        </w:tc>
      </w:tr>
      <w:tr w:rsidR="00E57DAA" w14:paraId="2DA8BC10" w14:textId="77777777">
        <w:tc>
          <w:tcPr>
            <w:tcW w:w="677" w:type="pct"/>
            <w:tcBorders>
              <w:top w:val="single" w:sz="4" w:space="0" w:color="auto"/>
              <w:left w:val="single" w:sz="4" w:space="0" w:color="auto"/>
              <w:bottom w:val="single" w:sz="4" w:space="0" w:color="auto"/>
              <w:right w:val="single" w:sz="4" w:space="0" w:color="auto"/>
            </w:tcBorders>
            <w:vAlign w:val="center"/>
          </w:tcPr>
          <w:p w14:paraId="2990654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389331A" w14:textId="77777777" w:rsidR="00E57DAA" w:rsidRDefault="00AC4185">
            <w:pPr>
              <w:autoSpaceDE w:val="0"/>
              <w:autoSpaceDN w:val="0"/>
              <w:adjustRightInd w:val="0"/>
              <w:rPr>
                <w:szCs w:val="21"/>
              </w:rPr>
            </w:pPr>
            <w:r>
              <w:t>江西永丰南方水泥有限公司</w:t>
            </w:r>
          </w:p>
        </w:tc>
        <w:tc>
          <w:tcPr>
            <w:tcW w:w="633" w:type="pct"/>
            <w:tcBorders>
              <w:top w:val="single" w:sz="4" w:space="0" w:color="auto"/>
              <w:left w:val="single" w:sz="4" w:space="0" w:color="auto"/>
              <w:bottom w:val="single" w:sz="4" w:space="0" w:color="auto"/>
              <w:right w:val="single" w:sz="4" w:space="0" w:color="auto"/>
            </w:tcBorders>
          </w:tcPr>
          <w:p w14:paraId="617A20AB" w14:textId="77777777" w:rsidR="00E57DAA" w:rsidRDefault="00AC4185">
            <w:pPr>
              <w:autoSpaceDE w:val="0"/>
              <w:autoSpaceDN w:val="0"/>
              <w:adjustRightInd w:val="0"/>
              <w:jc w:val="right"/>
              <w:rPr>
                <w:szCs w:val="21"/>
              </w:rPr>
            </w:pPr>
            <w:r>
              <w:t>260,200.00</w:t>
            </w:r>
          </w:p>
        </w:tc>
        <w:tc>
          <w:tcPr>
            <w:tcW w:w="632" w:type="pct"/>
            <w:tcBorders>
              <w:top w:val="single" w:sz="4" w:space="0" w:color="auto"/>
              <w:left w:val="single" w:sz="4" w:space="0" w:color="auto"/>
              <w:bottom w:val="single" w:sz="4" w:space="0" w:color="auto"/>
              <w:right w:val="single" w:sz="4" w:space="0" w:color="auto"/>
            </w:tcBorders>
          </w:tcPr>
          <w:p w14:paraId="2544311D" w14:textId="77777777" w:rsidR="00E57DAA" w:rsidRDefault="00AC4185">
            <w:pPr>
              <w:autoSpaceDE w:val="0"/>
              <w:autoSpaceDN w:val="0"/>
              <w:adjustRightInd w:val="0"/>
              <w:jc w:val="right"/>
              <w:rPr>
                <w:szCs w:val="21"/>
              </w:rPr>
            </w:pPr>
            <w:r>
              <w:t>104,247.40</w:t>
            </w:r>
          </w:p>
        </w:tc>
        <w:tc>
          <w:tcPr>
            <w:tcW w:w="703" w:type="pct"/>
            <w:tcBorders>
              <w:top w:val="single" w:sz="4" w:space="0" w:color="auto"/>
              <w:left w:val="single" w:sz="4" w:space="0" w:color="auto"/>
              <w:bottom w:val="single" w:sz="4" w:space="0" w:color="auto"/>
              <w:right w:val="single" w:sz="4" w:space="0" w:color="auto"/>
            </w:tcBorders>
          </w:tcPr>
          <w:p w14:paraId="441CFC14" w14:textId="77777777" w:rsidR="00E57DAA" w:rsidRDefault="00AC4185">
            <w:pPr>
              <w:autoSpaceDE w:val="0"/>
              <w:autoSpaceDN w:val="0"/>
              <w:adjustRightInd w:val="0"/>
              <w:jc w:val="right"/>
              <w:rPr>
                <w:szCs w:val="21"/>
              </w:rPr>
            </w:pPr>
            <w:r>
              <w:t>260,200.00</w:t>
            </w:r>
          </w:p>
        </w:tc>
        <w:tc>
          <w:tcPr>
            <w:tcW w:w="914" w:type="pct"/>
            <w:tcBorders>
              <w:top w:val="single" w:sz="4" w:space="0" w:color="auto"/>
              <w:left w:val="single" w:sz="4" w:space="0" w:color="auto"/>
              <w:bottom w:val="single" w:sz="4" w:space="0" w:color="auto"/>
              <w:right w:val="single" w:sz="4" w:space="0" w:color="auto"/>
            </w:tcBorders>
          </w:tcPr>
          <w:p w14:paraId="26FF5D3D" w14:textId="77777777" w:rsidR="00E57DAA" w:rsidRDefault="00AC4185">
            <w:pPr>
              <w:autoSpaceDE w:val="0"/>
              <w:autoSpaceDN w:val="0"/>
              <w:adjustRightInd w:val="0"/>
              <w:jc w:val="right"/>
              <w:rPr>
                <w:szCs w:val="21"/>
              </w:rPr>
            </w:pPr>
            <w:r>
              <w:t>8,014.20</w:t>
            </w:r>
          </w:p>
        </w:tc>
      </w:tr>
      <w:tr w:rsidR="00E57DAA" w14:paraId="5F40E1A2" w14:textId="77777777">
        <w:tc>
          <w:tcPr>
            <w:tcW w:w="677" w:type="pct"/>
            <w:tcBorders>
              <w:top w:val="single" w:sz="4" w:space="0" w:color="auto"/>
              <w:left w:val="single" w:sz="4" w:space="0" w:color="auto"/>
              <w:bottom w:val="single" w:sz="4" w:space="0" w:color="auto"/>
              <w:right w:val="single" w:sz="4" w:space="0" w:color="auto"/>
            </w:tcBorders>
            <w:vAlign w:val="center"/>
          </w:tcPr>
          <w:p w14:paraId="3D436F8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F1B67D6" w14:textId="77777777" w:rsidR="00E57DAA" w:rsidRDefault="00AC4185">
            <w:pPr>
              <w:autoSpaceDE w:val="0"/>
              <w:autoSpaceDN w:val="0"/>
              <w:adjustRightInd w:val="0"/>
              <w:rPr>
                <w:szCs w:val="21"/>
              </w:rPr>
            </w:pPr>
            <w:r>
              <w:t>衢州南方水泥有限公司</w:t>
            </w:r>
          </w:p>
        </w:tc>
        <w:tc>
          <w:tcPr>
            <w:tcW w:w="633" w:type="pct"/>
            <w:tcBorders>
              <w:top w:val="single" w:sz="4" w:space="0" w:color="auto"/>
              <w:left w:val="single" w:sz="4" w:space="0" w:color="auto"/>
              <w:bottom w:val="single" w:sz="4" w:space="0" w:color="auto"/>
              <w:right w:val="single" w:sz="4" w:space="0" w:color="auto"/>
            </w:tcBorders>
          </w:tcPr>
          <w:p w14:paraId="396B60FF" w14:textId="77777777" w:rsidR="00E57DAA" w:rsidRDefault="00AC4185">
            <w:pPr>
              <w:autoSpaceDE w:val="0"/>
              <w:autoSpaceDN w:val="0"/>
              <w:adjustRightInd w:val="0"/>
              <w:jc w:val="right"/>
              <w:rPr>
                <w:szCs w:val="21"/>
              </w:rPr>
            </w:pPr>
            <w:r>
              <w:t>250,000.00</w:t>
            </w:r>
          </w:p>
        </w:tc>
        <w:tc>
          <w:tcPr>
            <w:tcW w:w="632" w:type="pct"/>
            <w:tcBorders>
              <w:top w:val="single" w:sz="4" w:space="0" w:color="auto"/>
              <w:left w:val="single" w:sz="4" w:space="0" w:color="auto"/>
              <w:bottom w:val="single" w:sz="4" w:space="0" w:color="auto"/>
              <w:right w:val="single" w:sz="4" w:space="0" w:color="auto"/>
            </w:tcBorders>
          </w:tcPr>
          <w:p w14:paraId="6774F1D3" w14:textId="77777777" w:rsidR="00E57DAA" w:rsidRDefault="00AC4185">
            <w:pPr>
              <w:autoSpaceDE w:val="0"/>
              <w:autoSpaceDN w:val="0"/>
              <w:adjustRightInd w:val="0"/>
              <w:jc w:val="right"/>
              <w:rPr>
                <w:szCs w:val="21"/>
              </w:rPr>
            </w:pPr>
            <w:r>
              <w:t>135,700.00</w:t>
            </w:r>
          </w:p>
        </w:tc>
        <w:tc>
          <w:tcPr>
            <w:tcW w:w="703" w:type="pct"/>
            <w:tcBorders>
              <w:top w:val="single" w:sz="4" w:space="0" w:color="auto"/>
              <w:left w:val="single" w:sz="4" w:space="0" w:color="auto"/>
              <w:bottom w:val="single" w:sz="4" w:space="0" w:color="auto"/>
              <w:right w:val="single" w:sz="4" w:space="0" w:color="auto"/>
            </w:tcBorders>
          </w:tcPr>
          <w:p w14:paraId="0C6E07AB" w14:textId="77777777" w:rsidR="00E57DAA" w:rsidRDefault="00AC4185">
            <w:pPr>
              <w:autoSpaceDE w:val="0"/>
              <w:autoSpaceDN w:val="0"/>
              <w:adjustRightInd w:val="0"/>
              <w:jc w:val="right"/>
              <w:rPr>
                <w:szCs w:val="21"/>
              </w:rPr>
            </w:pPr>
            <w:r>
              <w:t>221,000.00</w:t>
            </w:r>
          </w:p>
        </w:tc>
        <w:tc>
          <w:tcPr>
            <w:tcW w:w="914" w:type="pct"/>
            <w:tcBorders>
              <w:top w:val="single" w:sz="4" w:space="0" w:color="auto"/>
              <w:left w:val="single" w:sz="4" w:space="0" w:color="auto"/>
              <w:bottom w:val="single" w:sz="4" w:space="0" w:color="auto"/>
              <w:right w:val="single" w:sz="4" w:space="0" w:color="auto"/>
            </w:tcBorders>
          </w:tcPr>
          <w:p w14:paraId="7428E0B1" w14:textId="77777777" w:rsidR="00E57DAA" w:rsidRDefault="00AC4185">
            <w:pPr>
              <w:autoSpaceDE w:val="0"/>
              <w:autoSpaceDN w:val="0"/>
              <w:adjustRightInd w:val="0"/>
              <w:jc w:val="right"/>
              <w:rPr>
                <w:szCs w:val="21"/>
              </w:rPr>
            </w:pPr>
            <w:r>
              <w:t>163,731.00</w:t>
            </w:r>
          </w:p>
        </w:tc>
      </w:tr>
      <w:tr w:rsidR="00E57DAA" w14:paraId="021388C3" w14:textId="77777777">
        <w:tc>
          <w:tcPr>
            <w:tcW w:w="677" w:type="pct"/>
            <w:tcBorders>
              <w:top w:val="single" w:sz="4" w:space="0" w:color="auto"/>
              <w:left w:val="single" w:sz="4" w:space="0" w:color="auto"/>
              <w:bottom w:val="single" w:sz="4" w:space="0" w:color="auto"/>
              <w:right w:val="single" w:sz="4" w:space="0" w:color="auto"/>
            </w:tcBorders>
            <w:vAlign w:val="center"/>
          </w:tcPr>
          <w:p w14:paraId="571CDD1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95AA203" w14:textId="77777777" w:rsidR="00E57DAA" w:rsidRDefault="00AC4185">
            <w:pPr>
              <w:autoSpaceDE w:val="0"/>
              <w:autoSpaceDN w:val="0"/>
              <w:adjustRightInd w:val="0"/>
              <w:rPr>
                <w:szCs w:val="21"/>
              </w:rPr>
            </w:pPr>
            <w:r>
              <w:t>上海南方水泥有限公司</w:t>
            </w:r>
          </w:p>
        </w:tc>
        <w:tc>
          <w:tcPr>
            <w:tcW w:w="633" w:type="pct"/>
            <w:tcBorders>
              <w:top w:val="single" w:sz="4" w:space="0" w:color="auto"/>
              <w:left w:val="single" w:sz="4" w:space="0" w:color="auto"/>
              <w:bottom w:val="single" w:sz="4" w:space="0" w:color="auto"/>
              <w:right w:val="single" w:sz="4" w:space="0" w:color="auto"/>
            </w:tcBorders>
          </w:tcPr>
          <w:p w14:paraId="7505FAB8" w14:textId="77777777" w:rsidR="00E57DAA" w:rsidRDefault="00AC4185">
            <w:pPr>
              <w:autoSpaceDE w:val="0"/>
              <w:autoSpaceDN w:val="0"/>
              <w:adjustRightInd w:val="0"/>
              <w:jc w:val="right"/>
              <w:rPr>
                <w:szCs w:val="21"/>
              </w:rPr>
            </w:pPr>
            <w:r>
              <w:t>250,000.00</w:t>
            </w:r>
          </w:p>
        </w:tc>
        <w:tc>
          <w:tcPr>
            <w:tcW w:w="632" w:type="pct"/>
            <w:tcBorders>
              <w:top w:val="single" w:sz="4" w:space="0" w:color="auto"/>
              <w:left w:val="single" w:sz="4" w:space="0" w:color="auto"/>
              <w:bottom w:val="single" w:sz="4" w:space="0" w:color="auto"/>
              <w:right w:val="single" w:sz="4" w:space="0" w:color="auto"/>
            </w:tcBorders>
          </w:tcPr>
          <w:p w14:paraId="01705670" w14:textId="77777777" w:rsidR="00E57DAA" w:rsidRDefault="00AC4185">
            <w:pPr>
              <w:autoSpaceDE w:val="0"/>
              <w:autoSpaceDN w:val="0"/>
              <w:adjustRightInd w:val="0"/>
              <w:jc w:val="right"/>
              <w:rPr>
                <w:szCs w:val="21"/>
              </w:rPr>
            </w:pPr>
            <w:r>
              <w:t>24,850.00</w:t>
            </w:r>
          </w:p>
        </w:tc>
        <w:tc>
          <w:tcPr>
            <w:tcW w:w="703" w:type="pct"/>
            <w:tcBorders>
              <w:top w:val="single" w:sz="4" w:space="0" w:color="auto"/>
              <w:left w:val="single" w:sz="4" w:space="0" w:color="auto"/>
              <w:bottom w:val="single" w:sz="4" w:space="0" w:color="auto"/>
              <w:right w:val="single" w:sz="4" w:space="0" w:color="auto"/>
            </w:tcBorders>
          </w:tcPr>
          <w:p w14:paraId="4DB0C840"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11FF169F" w14:textId="77777777" w:rsidR="00E57DAA" w:rsidRDefault="00AC4185">
            <w:pPr>
              <w:autoSpaceDE w:val="0"/>
              <w:autoSpaceDN w:val="0"/>
              <w:adjustRightInd w:val="0"/>
              <w:jc w:val="right"/>
              <w:rPr>
                <w:szCs w:val="21"/>
              </w:rPr>
            </w:pPr>
            <w:r>
              <w:t>1,050.00</w:t>
            </w:r>
          </w:p>
        </w:tc>
      </w:tr>
      <w:tr w:rsidR="00E57DAA" w14:paraId="29EAF414" w14:textId="77777777">
        <w:tc>
          <w:tcPr>
            <w:tcW w:w="677" w:type="pct"/>
            <w:tcBorders>
              <w:top w:val="single" w:sz="4" w:space="0" w:color="auto"/>
              <w:left w:val="single" w:sz="4" w:space="0" w:color="auto"/>
              <w:bottom w:val="single" w:sz="4" w:space="0" w:color="auto"/>
              <w:right w:val="single" w:sz="4" w:space="0" w:color="auto"/>
            </w:tcBorders>
            <w:vAlign w:val="center"/>
          </w:tcPr>
          <w:p w14:paraId="427260C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8F6A3A2" w14:textId="77777777" w:rsidR="00E57DAA" w:rsidRDefault="00AC4185">
            <w:pPr>
              <w:autoSpaceDE w:val="0"/>
              <w:autoSpaceDN w:val="0"/>
              <w:adjustRightInd w:val="0"/>
              <w:rPr>
                <w:szCs w:val="21"/>
              </w:rPr>
            </w:pPr>
            <w:r>
              <w:t>沂南中联水泥有限公司</w:t>
            </w:r>
          </w:p>
        </w:tc>
        <w:tc>
          <w:tcPr>
            <w:tcW w:w="633" w:type="pct"/>
            <w:tcBorders>
              <w:top w:val="single" w:sz="4" w:space="0" w:color="auto"/>
              <w:left w:val="single" w:sz="4" w:space="0" w:color="auto"/>
              <w:bottom w:val="single" w:sz="4" w:space="0" w:color="auto"/>
              <w:right w:val="single" w:sz="4" w:space="0" w:color="auto"/>
            </w:tcBorders>
          </w:tcPr>
          <w:p w14:paraId="68F04E53" w14:textId="77777777" w:rsidR="00E57DAA" w:rsidRDefault="00AC4185">
            <w:pPr>
              <w:autoSpaceDE w:val="0"/>
              <w:autoSpaceDN w:val="0"/>
              <w:adjustRightInd w:val="0"/>
              <w:jc w:val="right"/>
              <w:rPr>
                <w:szCs w:val="21"/>
              </w:rPr>
            </w:pPr>
            <w:r>
              <w:t>210,000.00</w:t>
            </w:r>
          </w:p>
        </w:tc>
        <w:tc>
          <w:tcPr>
            <w:tcW w:w="632" w:type="pct"/>
            <w:tcBorders>
              <w:top w:val="single" w:sz="4" w:space="0" w:color="auto"/>
              <w:left w:val="single" w:sz="4" w:space="0" w:color="auto"/>
              <w:bottom w:val="single" w:sz="4" w:space="0" w:color="auto"/>
              <w:right w:val="single" w:sz="4" w:space="0" w:color="auto"/>
            </w:tcBorders>
          </w:tcPr>
          <w:p w14:paraId="65F9A323" w14:textId="77777777" w:rsidR="00E57DAA" w:rsidRDefault="00AC4185">
            <w:pPr>
              <w:autoSpaceDE w:val="0"/>
              <w:autoSpaceDN w:val="0"/>
              <w:adjustRightInd w:val="0"/>
              <w:jc w:val="right"/>
              <w:rPr>
                <w:szCs w:val="21"/>
              </w:rPr>
            </w:pPr>
            <w:r>
              <w:t>3,190.00</w:t>
            </w:r>
          </w:p>
        </w:tc>
        <w:tc>
          <w:tcPr>
            <w:tcW w:w="703" w:type="pct"/>
            <w:tcBorders>
              <w:top w:val="single" w:sz="4" w:space="0" w:color="auto"/>
              <w:left w:val="single" w:sz="4" w:space="0" w:color="auto"/>
              <w:bottom w:val="single" w:sz="4" w:space="0" w:color="auto"/>
              <w:right w:val="single" w:sz="4" w:space="0" w:color="auto"/>
            </w:tcBorders>
          </w:tcPr>
          <w:p w14:paraId="34F45F8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E0110B7" w14:textId="77777777" w:rsidR="00E57DAA" w:rsidRDefault="00AC4185">
            <w:pPr>
              <w:autoSpaceDE w:val="0"/>
              <w:autoSpaceDN w:val="0"/>
              <w:adjustRightInd w:val="0"/>
              <w:jc w:val="right"/>
              <w:rPr>
                <w:szCs w:val="21"/>
              </w:rPr>
            </w:pPr>
            <w:r>
              <w:t xml:space="preserve">　</w:t>
            </w:r>
          </w:p>
        </w:tc>
      </w:tr>
      <w:tr w:rsidR="00E57DAA" w14:paraId="22209E47" w14:textId="77777777">
        <w:tc>
          <w:tcPr>
            <w:tcW w:w="677" w:type="pct"/>
            <w:tcBorders>
              <w:top w:val="single" w:sz="4" w:space="0" w:color="auto"/>
              <w:left w:val="single" w:sz="4" w:space="0" w:color="auto"/>
              <w:bottom w:val="single" w:sz="4" w:space="0" w:color="auto"/>
              <w:right w:val="single" w:sz="4" w:space="0" w:color="auto"/>
            </w:tcBorders>
            <w:vAlign w:val="center"/>
          </w:tcPr>
          <w:p w14:paraId="35A2749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45E953A" w14:textId="77777777" w:rsidR="00E57DAA" w:rsidRDefault="00AC4185">
            <w:pPr>
              <w:autoSpaceDE w:val="0"/>
              <w:autoSpaceDN w:val="0"/>
              <w:adjustRightInd w:val="0"/>
              <w:rPr>
                <w:szCs w:val="21"/>
              </w:rPr>
            </w:pPr>
            <w:r>
              <w:t>池州中建材新材料有限公司</w:t>
            </w:r>
          </w:p>
        </w:tc>
        <w:tc>
          <w:tcPr>
            <w:tcW w:w="633" w:type="pct"/>
            <w:tcBorders>
              <w:top w:val="single" w:sz="4" w:space="0" w:color="auto"/>
              <w:left w:val="single" w:sz="4" w:space="0" w:color="auto"/>
              <w:bottom w:val="single" w:sz="4" w:space="0" w:color="auto"/>
              <w:right w:val="single" w:sz="4" w:space="0" w:color="auto"/>
            </w:tcBorders>
          </w:tcPr>
          <w:p w14:paraId="2B8F8E8A" w14:textId="77777777" w:rsidR="00E57DAA" w:rsidRDefault="00AC4185">
            <w:pPr>
              <w:autoSpaceDE w:val="0"/>
              <w:autoSpaceDN w:val="0"/>
              <w:adjustRightInd w:val="0"/>
              <w:jc w:val="right"/>
              <w:rPr>
                <w:szCs w:val="21"/>
              </w:rPr>
            </w:pPr>
            <w:r>
              <w:t>206,400.00</w:t>
            </w:r>
          </w:p>
        </w:tc>
        <w:tc>
          <w:tcPr>
            <w:tcW w:w="632" w:type="pct"/>
            <w:tcBorders>
              <w:top w:val="single" w:sz="4" w:space="0" w:color="auto"/>
              <w:left w:val="single" w:sz="4" w:space="0" w:color="auto"/>
              <w:bottom w:val="single" w:sz="4" w:space="0" w:color="auto"/>
              <w:right w:val="single" w:sz="4" w:space="0" w:color="auto"/>
            </w:tcBorders>
          </w:tcPr>
          <w:p w14:paraId="3D5C0E03" w14:textId="77777777" w:rsidR="00E57DAA" w:rsidRDefault="00AC4185">
            <w:pPr>
              <w:autoSpaceDE w:val="0"/>
              <w:autoSpaceDN w:val="0"/>
              <w:adjustRightInd w:val="0"/>
              <w:jc w:val="right"/>
              <w:rPr>
                <w:szCs w:val="21"/>
              </w:rPr>
            </w:pPr>
            <w:r>
              <w:t>12,665.00</w:t>
            </w:r>
          </w:p>
        </w:tc>
        <w:tc>
          <w:tcPr>
            <w:tcW w:w="703" w:type="pct"/>
            <w:tcBorders>
              <w:top w:val="single" w:sz="4" w:space="0" w:color="auto"/>
              <w:left w:val="single" w:sz="4" w:space="0" w:color="auto"/>
              <w:bottom w:val="single" w:sz="4" w:space="0" w:color="auto"/>
              <w:right w:val="single" w:sz="4" w:space="0" w:color="auto"/>
            </w:tcBorders>
          </w:tcPr>
          <w:p w14:paraId="0F9266AE" w14:textId="77777777" w:rsidR="00E57DAA" w:rsidRDefault="00AC4185">
            <w:pPr>
              <w:autoSpaceDE w:val="0"/>
              <w:autoSpaceDN w:val="0"/>
              <w:adjustRightInd w:val="0"/>
              <w:jc w:val="right"/>
              <w:rPr>
                <w:szCs w:val="21"/>
              </w:rPr>
            </w:pPr>
            <w:r>
              <w:t>847,900.00</w:t>
            </w:r>
          </w:p>
        </w:tc>
        <w:tc>
          <w:tcPr>
            <w:tcW w:w="914" w:type="pct"/>
            <w:tcBorders>
              <w:top w:val="single" w:sz="4" w:space="0" w:color="auto"/>
              <w:left w:val="single" w:sz="4" w:space="0" w:color="auto"/>
              <w:bottom w:val="single" w:sz="4" w:space="0" w:color="auto"/>
              <w:right w:val="single" w:sz="4" w:space="0" w:color="auto"/>
            </w:tcBorders>
          </w:tcPr>
          <w:p w14:paraId="7E79CFAA" w14:textId="77777777" w:rsidR="00E57DAA" w:rsidRDefault="00AC4185">
            <w:pPr>
              <w:autoSpaceDE w:val="0"/>
              <w:autoSpaceDN w:val="0"/>
              <w:adjustRightInd w:val="0"/>
              <w:jc w:val="right"/>
              <w:rPr>
                <w:szCs w:val="21"/>
              </w:rPr>
            </w:pPr>
            <w:r>
              <w:t>42,352.10</w:t>
            </w:r>
          </w:p>
        </w:tc>
      </w:tr>
      <w:tr w:rsidR="00E57DAA" w14:paraId="2012A2D0" w14:textId="77777777">
        <w:tc>
          <w:tcPr>
            <w:tcW w:w="677" w:type="pct"/>
            <w:tcBorders>
              <w:top w:val="single" w:sz="4" w:space="0" w:color="auto"/>
              <w:left w:val="single" w:sz="4" w:space="0" w:color="auto"/>
              <w:bottom w:val="single" w:sz="4" w:space="0" w:color="auto"/>
              <w:right w:val="single" w:sz="4" w:space="0" w:color="auto"/>
            </w:tcBorders>
            <w:vAlign w:val="center"/>
          </w:tcPr>
          <w:p w14:paraId="5864C47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CD1C553" w14:textId="77777777" w:rsidR="00E57DAA" w:rsidRDefault="00AC4185">
            <w:pPr>
              <w:autoSpaceDE w:val="0"/>
              <w:autoSpaceDN w:val="0"/>
              <w:adjustRightInd w:val="0"/>
              <w:rPr>
                <w:szCs w:val="21"/>
              </w:rPr>
            </w:pPr>
            <w:r>
              <w:t>福建三明南方水泥有限公司</w:t>
            </w:r>
          </w:p>
        </w:tc>
        <w:tc>
          <w:tcPr>
            <w:tcW w:w="633" w:type="pct"/>
            <w:tcBorders>
              <w:top w:val="single" w:sz="4" w:space="0" w:color="auto"/>
              <w:left w:val="single" w:sz="4" w:space="0" w:color="auto"/>
              <w:bottom w:val="single" w:sz="4" w:space="0" w:color="auto"/>
              <w:right w:val="single" w:sz="4" w:space="0" w:color="auto"/>
            </w:tcBorders>
          </w:tcPr>
          <w:p w14:paraId="068BCE8F"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3C7FE96A" w14:textId="77777777" w:rsidR="00E57DAA" w:rsidRDefault="00AC4185">
            <w:pPr>
              <w:autoSpaceDE w:val="0"/>
              <w:autoSpaceDN w:val="0"/>
              <w:adjustRightInd w:val="0"/>
              <w:jc w:val="right"/>
              <w:rPr>
                <w:szCs w:val="21"/>
              </w:rPr>
            </w:pPr>
            <w:r>
              <w:t>63,400.00</w:t>
            </w:r>
          </w:p>
        </w:tc>
        <w:tc>
          <w:tcPr>
            <w:tcW w:w="703" w:type="pct"/>
            <w:tcBorders>
              <w:top w:val="single" w:sz="4" w:space="0" w:color="auto"/>
              <w:left w:val="single" w:sz="4" w:space="0" w:color="auto"/>
              <w:bottom w:val="single" w:sz="4" w:space="0" w:color="auto"/>
              <w:right w:val="single" w:sz="4" w:space="0" w:color="auto"/>
            </w:tcBorders>
          </w:tcPr>
          <w:p w14:paraId="122A5A75"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7DDCF0E6" w14:textId="77777777" w:rsidR="00E57DAA" w:rsidRDefault="00AC4185">
            <w:pPr>
              <w:autoSpaceDE w:val="0"/>
              <w:autoSpaceDN w:val="0"/>
              <w:adjustRightInd w:val="0"/>
              <w:jc w:val="right"/>
              <w:rPr>
                <w:szCs w:val="21"/>
              </w:rPr>
            </w:pPr>
            <w:r>
              <w:t>5,400.00</w:t>
            </w:r>
          </w:p>
        </w:tc>
      </w:tr>
      <w:tr w:rsidR="00E57DAA" w14:paraId="2DD3CD55" w14:textId="77777777">
        <w:tc>
          <w:tcPr>
            <w:tcW w:w="677" w:type="pct"/>
            <w:tcBorders>
              <w:top w:val="single" w:sz="4" w:space="0" w:color="auto"/>
              <w:left w:val="single" w:sz="4" w:space="0" w:color="auto"/>
              <w:bottom w:val="single" w:sz="4" w:space="0" w:color="auto"/>
              <w:right w:val="single" w:sz="4" w:space="0" w:color="auto"/>
            </w:tcBorders>
            <w:vAlign w:val="center"/>
          </w:tcPr>
          <w:p w14:paraId="05FCD7C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FEE1148" w14:textId="77777777" w:rsidR="00E57DAA" w:rsidRDefault="00AC4185">
            <w:pPr>
              <w:autoSpaceDE w:val="0"/>
              <w:autoSpaceDN w:val="0"/>
              <w:adjustRightInd w:val="0"/>
              <w:rPr>
                <w:szCs w:val="21"/>
              </w:rPr>
            </w:pPr>
            <w:r>
              <w:t>江西泰和南方水泥有限公司</w:t>
            </w:r>
          </w:p>
        </w:tc>
        <w:tc>
          <w:tcPr>
            <w:tcW w:w="633" w:type="pct"/>
            <w:tcBorders>
              <w:top w:val="single" w:sz="4" w:space="0" w:color="auto"/>
              <w:left w:val="single" w:sz="4" w:space="0" w:color="auto"/>
              <w:bottom w:val="single" w:sz="4" w:space="0" w:color="auto"/>
              <w:right w:val="single" w:sz="4" w:space="0" w:color="auto"/>
            </w:tcBorders>
          </w:tcPr>
          <w:p w14:paraId="7B19CEE5"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28231BEE" w14:textId="77777777" w:rsidR="00E57DAA" w:rsidRDefault="00AC4185">
            <w:pPr>
              <w:autoSpaceDE w:val="0"/>
              <w:autoSpaceDN w:val="0"/>
              <w:adjustRightInd w:val="0"/>
              <w:jc w:val="right"/>
              <w:rPr>
                <w:szCs w:val="21"/>
              </w:rPr>
            </w:pPr>
            <w:r>
              <w:t>39,400.00</w:t>
            </w:r>
          </w:p>
        </w:tc>
        <w:tc>
          <w:tcPr>
            <w:tcW w:w="703" w:type="pct"/>
            <w:tcBorders>
              <w:top w:val="single" w:sz="4" w:space="0" w:color="auto"/>
              <w:left w:val="single" w:sz="4" w:space="0" w:color="auto"/>
              <w:bottom w:val="single" w:sz="4" w:space="0" w:color="auto"/>
              <w:right w:val="single" w:sz="4" w:space="0" w:color="auto"/>
            </w:tcBorders>
          </w:tcPr>
          <w:p w14:paraId="65F3534C"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42CF82A5" w14:textId="77777777" w:rsidR="00E57DAA" w:rsidRDefault="00AC4185">
            <w:pPr>
              <w:autoSpaceDE w:val="0"/>
              <w:autoSpaceDN w:val="0"/>
              <w:adjustRightInd w:val="0"/>
              <w:jc w:val="right"/>
              <w:rPr>
                <w:szCs w:val="21"/>
              </w:rPr>
            </w:pPr>
            <w:r>
              <w:t>2,400.00</w:t>
            </w:r>
          </w:p>
        </w:tc>
      </w:tr>
      <w:tr w:rsidR="00E57DAA" w14:paraId="2272B947" w14:textId="77777777">
        <w:tc>
          <w:tcPr>
            <w:tcW w:w="677" w:type="pct"/>
            <w:tcBorders>
              <w:top w:val="single" w:sz="4" w:space="0" w:color="auto"/>
              <w:left w:val="single" w:sz="4" w:space="0" w:color="auto"/>
              <w:bottom w:val="single" w:sz="4" w:space="0" w:color="auto"/>
              <w:right w:val="single" w:sz="4" w:space="0" w:color="auto"/>
            </w:tcBorders>
            <w:vAlign w:val="center"/>
          </w:tcPr>
          <w:p w14:paraId="3179041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9F4B91" w14:textId="77777777" w:rsidR="00E57DAA" w:rsidRDefault="00AC4185">
            <w:pPr>
              <w:autoSpaceDE w:val="0"/>
              <w:autoSpaceDN w:val="0"/>
              <w:adjustRightInd w:val="0"/>
              <w:rPr>
                <w:szCs w:val="21"/>
              </w:rPr>
            </w:pPr>
            <w:r>
              <w:t>莒县中联水泥有限公司</w:t>
            </w:r>
          </w:p>
        </w:tc>
        <w:tc>
          <w:tcPr>
            <w:tcW w:w="633" w:type="pct"/>
            <w:tcBorders>
              <w:top w:val="single" w:sz="4" w:space="0" w:color="auto"/>
              <w:left w:val="single" w:sz="4" w:space="0" w:color="auto"/>
              <w:bottom w:val="single" w:sz="4" w:space="0" w:color="auto"/>
              <w:right w:val="single" w:sz="4" w:space="0" w:color="auto"/>
            </w:tcBorders>
          </w:tcPr>
          <w:p w14:paraId="1C229F4B"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7745BAC3" w14:textId="77777777" w:rsidR="00E57DAA" w:rsidRDefault="00AC4185">
            <w:pPr>
              <w:autoSpaceDE w:val="0"/>
              <w:autoSpaceDN w:val="0"/>
              <w:adjustRightInd w:val="0"/>
              <w:jc w:val="right"/>
              <w:rPr>
                <w:szCs w:val="21"/>
              </w:rPr>
            </w:pPr>
            <w:r>
              <w:t>18,000.00</w:t>
            </w:r>
          </w:p>
        </w:tc>
        <w:tc>
          <w:tcPr>
            <w:tcW w:w="703" w:type="pct"/>
            <w:tcBorders>
              <w:top w:val="single" w:sz="4" w:space="0" w:color="auto"/>
              <w:left w:val="single" w:sz="4" w:space="0" w:color="auto"/>
              <w:bottom w:val="single" w:sz="4" w:space="0" w:color="auto"/>
              <w:right w:val="single" w:sz="4" w:space="0" w:color="auto"/>
            </w:tcBorders>
          </w:tcPr>
          <w:p w14:paraId="491AC5B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201FDA" w14:textId="77777777" w:rsidR="00E57DAA" w:rsidRDefault="00AC4185">
            <w:pPr>
              <w:autoSpaceDE w:val="0"/>
              <w:autoSpaceDN w:val="0"/>
              <w:adjustRightInd w:val="0"/>
              <w:jc w:val="right"/>
              <w:rPr>
                <w:szCs w:val="21"/>
              </w:rPr>
            </w:pPr>
            <w:r>
              <w:t xml:space="preserve">　</w:t>
            </w:r>
          </w:p>
        </w:tc>
      </w:tr>
      <w:tr w:rsidR="00E57DAA" w14:paraId="28121F13" w14:textId="77777777">
        <w:tc>
          <w:tcPr>
            <w:tcW w:w="677" w:type="pct"/>
            <w:tcBorders>
              <w:top w:val="single" w:sz="4" w:space="0" w:color="auto"/>
              <w:left w:val="single" w:sz="4" w:space="0" w:color="auto"/>
              <w:bottom w:val="single" w:sz="4" w:space="0" w:color="auto"/>
              <w:right w:val="single" w:sz="4" w:space="0" w:color="auto"/>
            </w:tcBorders>
            <w:vAlign w:val="center"/>
          </w:tcPr>
          <w:p w14:paraId="263A8C6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F29C47B" w14:textId="77777777" w:rsidR="00E57DAA" w:rsidRDefault="00AC4185">
            <w:pPr>
              <w:autoSpaceDE w:val="0"/>
              <w:autoSpaceDN w:val="0"/>
              <w:adjustRightInd w:val="0"/>
              <w:rPr>
                <w:szCs w:val="21"/>
              </w:rPr>
            </w:pPr>
            <w:r>
              <w:t>宁夏中宁赛马水泥有限公司</w:t>
            </w:r>
          </w:p>
        </w:tc>
        <w:tc>
          <w:tcPr>
            <w:tcW w:w="633" w:type="pct"/>
            <w:tcBorders>
              <w:top w:val="single" w:sz="4" w:space="0" w:color="auto"/>
              <w:left w:val="single" w:sz="4" w:space="0" w:color="auto"/>
              <w:bottom w:val="single" w:sz="4" w:space="0" w:color="auto"/>
              <w:right w:val="single" w:sz="4" w:space="0" w:color="auto"/>
            </w:tcBorders>
          </w:tcPr>
          <w:p w14:paraId="706373D4"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325F815B" w14:textId="77777777" w:rsidR="00E57DAA" w:rsidRDefault="00AC4185">
            <w:pPr>
              <w:autoSpaceDE w:val="0"/>
              <w:autoSpaceDN w:val="0"/>
              <w:adjustRightInd w:val="0"/>
              <w:jc w:val="right"/>
              <w:rPr>
                <w:szCs w:val="21"/>
              </w:rPr>
            </w:pPr>
            <w:r>
              <w:t>93,000.00</w:t>
            </w:r>
          </w:p>
        </w:tc>
        <w:tc>
          <w:tcPr>
            <w:tcW w:w="703" w:type="pct"/>
            <w:tcBorders>
              <w:top w:val="single" w:sz="4" w:space="0" w:color="auto"/>
              <w:left w:val="single" w:sz="4" w:space="0" w:color="auto"/>
              <w:bottom w:val="single" w:sz="4" w:space="0" w:color="auto"/>
              <w:right w:val="single" w:sz="4" w:space="0" w:color="auto"/>
            </w:tcBorders>
          </w:tcPr>
          <w:p w14:paraId="14F244EC"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2D4AC270" w14:textId="77777777" w:rsidR="00E57DAA" w:rsidRDefault="00AC4185">
            <w:pPr>
              <w:autoSpaceDE w:val="0"/>
              <w:autoSpaceDN w:val="0"/>
              <w:adjustRightInd w:val="0"/>
              <w:jc w:val="right"/>
              <w:rPr>
                <w:szCs w:val="21"/>
              </w:rPr>
            </w:pPr>
            <w:r>
              <w:t>7,200.00</w:t>
            </w:r>
          </w:p>
        </w:tc>
      </w:tr>
      <w:tr w:rsidR="00E57DAA" w14:paraId="14CF24DE" w14:textId="77777777">
        <w:tc>
          <w:tcPr>
            <w:tcW w:w="677" w:type="pct"/>
            <w:tcBorders>
              <w:top w:val="single" w:sz="4" w:space="0" w:color="auto"/>
              <w:left w:val="single" w:sz="4" w:space="0" w:color="auto"/>
              <w:bottom w:val="single" w:sz="4" w:space="0" w:color="auto"/>
              <w:right w:val="single" w:sz="4" w:space="0" w:color="auto"/>
            </w:tcBorders>
            <w:vAlign w:val="center"/>
          </w:tcPr>
          <w:p w14:paraId="5A3EF45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C2FAE27" w14:textId="77777777" w:rsidR="00E57DAA" w:rsidRDefault="00AC4185">
            <w:pPr>
              <w:autoSpaceDE w:val="0"/>
              <w:autoSpaceDN w:val="0"/>
              <w:adjustRightInd w:val="0"/>
              <w:rPr>
                <w:szCs w:val="21"/>
              </w:rPr>
            </w:pPr>
            <w:r>
              <w:t>云南西南水泥有限公司</w:t>
            </w:r>
          </w:p>
        </w:tc>
        <w:tc>
          <w:tcPr>
            <w:tcW w:w="633" w:type="pct"/>
            <w:tcBorders>
              <w:top w:val="single" w:sz="4" w:space="0" w:color="auto"/>
              <w:left w:val="single" w:sz="4" w:space="0" w:color="auto"/>
              <w:bottom w:val="single" w:sz="4" w:space="0" w:color="auto"/>
              <w:right w:val="single" w:sz="4" w:space="0" w:color="auto"/>
            </w:tcBorders>
          </w:tcPr>
          <w:p w14:paraId="0C38E922" w14:textId="77777777" w:rsidR="00E57DAA" w:rsidRDefault="00AC4185">
            <w:pPr>
              <w:autoSpaceDE w:val="0"/>
              <w:autoSpaceDN w:val="0"/>
              <w:adjustRightInd w:val="0"/>
              <w:jc w:val="right"/>
              <w:rPr>
                <w:szCs w:val="21"/>
              </w:rPr>
            </w:pPr>
            <w:r>
              <w:t>156,000.00</w:t>
            </w:r>
          </w:p>
        </w:tc>
        <w:tc>
          <w:tcPr>
            <w:tcW w:w="632" w:type="pct"/>
            <w:tcBorders>
              <w:top w:val="single" w:sz="4" w:space="0" w:color="auto"/>
              <w:left w:val="single" w:sz="4" w:space="0" w:color="auto"/>
              <w:bottom w:val="single" w:sz="4" w:space="0" w:color="auto"/>
              <w:right w:val="single" w:sz="4" w:space="0" w:color="auto"/>
            </w:tcBorders>
          </w:tcPr>
          <w:p w14:paraId="7E548474" w14:textId="77777777" w:rsidR="00E57DAA" w:rsidRDefault="00AC4185">
            <w:pPr>
              <w:autoSpaceDE w:val="0"/>
              <w:autoSpaceDN w:val="0"/>
              <w:adjustRightInd w:val="0"/>
              <w:jc w:val="right"/>
              <w:rPr>
                <w:szCs w:val="21"/>
              </w:rPr>
            </w:pPr>
            <w:r>
              <w:t>5,710.00</w:t>
            </w:r>
          </w:p>
        </w:tc>
        <w:tc>
          <w:tcPr>
            <w:tcW w:w="703" w:type="pct"/>
            <w:tcBorders>
              <w:top w:val="single" w:sz="4" w:space="0" w:color="auto"/>
              <w:left w:val="single" w:sz="4" w:space="0" w:color="auto"/>
              <w:bottom w:val="single" w:sz="4" w:space="0" w:color="auto"/>
              <w:right w:val="single" w:sz="4" w:space="0" w:color="auto"/>
            </w:tcBorders>
          </w:tcPr>
          <w:p w14:paraId="0B6A64CF" w14:textId="77777777" w:rsidR="00E57DAA" w:rsidRDefault="00AC4185">
            <w:pPr>
              <w:autoSpaceDE w:val="0"/>
              <w:autoSpaceDN w:val="0"/>
              <w:adjustRightInd w:val="0"/>
              <w:jc w:val="right"/>
              <w:rPr>
                <w:szCs w:val="21"/>
              </w:rPr>
            </w:pPr>
            <w:r>
              <w:t>679,000.00</w:t>
            </w:r>
          </w:p>
        </w:tc>
        <w:tc>
          <w:tcPr>
            <w:tcW w:w="914" w:type="pct"/>
            <w:tcBorders>
              <w:top w:val="single" w:sz="4" w:space="0" w:color="auto"/>
              <w:left w:val="single" w:sz="4" w:space="0" w:color="auto"/>
              <w:bottom w:val="single" w:sz="4" w:space="0" w:color="auto"/>
              <w:right w:val="single" w:sz="4" w:space="0" w:color="auto"/>
            </w:tcBorders>
          </w:tcPr>
          <w:p w14:paraId="0BAA06AF" w14:textId="77777777" w:rsidR="00E57DAA" w:rsidRDefault="00AC4185">
            <w:pPr>
              <w:autoSpaceDE w:val="0"/>
              <w:autoSpaceDN w:val="0"/>
              <w:adjustRightInd w:val="0"/>
              <w:jc w:val="right"/>
              <w:rPr>
                <w:szCs w:val="21"/>
              </w:rPr>
            </w:pPr>
            <w:r>
              <w:t>34,311.50</w:t>
            </w:r>
          </w:p>
        </w:tc>
      </w:tr>
      <w:tr w:rsidR="00E57DAA" w14:paraId="001DF56C" w14:textId="77777777">
        <w:tc>
          <w:tcPr>
            <w:tcW w:w="677" w:type="pct"/>
            <w:tcBorders>
              <w:top w:val="single" w:sz="4" w:space="0" w:color="auto"/>
              <w:left w:val="single" w:sz="4" w:space="0" w:color="auto"/>
              <w:bottom w:val="single" w:sz="4" w:space="0" w:color="auto"/>
              <w:right w:val="single" w:sz="4" w:space="0" w:color="auto"/>
            </w:tcBorders>
            <w:vAlign w:val="center"/>
          </w:tcPr>
          <w:p w14:paraId="69C6227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12492C1" w14:textId="77777777" w:rsidR="00E57DAA" w:rsidRDefault="00AC4185">
            <w:pPr>
              <w:autoSpaceDE w:val="0"/>
              <w:autoSpaceDN w:val="0"/>
              <w:adjustRightInd w:val="0"/>
              <w:rPr>
                <w:szCs w:val="21"/>
              </w:rPr>
            </w:pPr>
            <w:r>
              <w:t>江西安福南方水泥有限公司</w:t>
            </w:r>
          </w:p>
        </w:tc>
        <w:tc>
          <w:tcPr>
            <w:tcW w:w="633" w:type="pct"/>
            <w:tcBorders>
              <w:top w:val="single" w:sz="4" w:space="0" w:color="auto"/>
              <w:left w:val="single" w:sz="4" w:space="0" w:color="auto"/>
              <w:bottom w:val="single" w:sz="4" w:space="0" w:color="auto"/>
              <w:right w:val="single" w:sz="4" w:space="0" w:color="auto"/>
            </w:tcBorders>
          </w:tcPr>
          <w:p w14:paraId="231EF56B" w14:textId="77777777" w:rsidR="00E57DAA" w:rsidRDefault="00AC4185">
            <w:pPr>
              <w:autoSpaceDE w:val="0"/>
              <w:autoSpaceDN w:val="0"/>
              <w:adjustRightInd w:val="0"/>
              <w:jc w:val="right"/>
              <w:rPr>
                <w:szCs w:val="21"/>
              </w:rPr>
            </w:pPr>
            <w:r>
              <w:t>150,176.00</w:t>
            </w:r>
          </w:p>
        </w:tc>
        <w:tc>
          <w:tcPr>
            <w:tcW w:w="632" w:type="pct"/>
            <w:tcBorders>
              <w:top w:val="single" w:sz="4" w:space="0" w:color="auto"/>
              <w:left w:val="single" w:sz="4" w:space="0" w:color="auto"/>
              <w:bottom w:val="single" w:sz="4" w:space="0" w:color="auto"/>
              <w:right w:val="single" w:sz="4" w:space="0" w:color="auto"/>
            </w:tcBorders>
          </w:tcPr>
          <w:p w14:paraId="75B9D4B9" w14:textId="77777777" w:rsidR="00E57DAA" w:rsidRDefault="00AC4185">
            <w:pPr>
              <w:autoSpaceDE w:val="0"/>
              <w:autoSpaceDN w:val="0"/>
              <w:adjustRightInd w:val="0"/>
              <w:jc w:val="right"/>
              <w:rPr>
                <w:szCs w:val="21"/>
              </w:rPr>
            </w:pPr>
            <w:r>
              <w:t>52,085.84</w:t>
            </w:r>
          </w:p>
        </w:tc>
        <w:tc>
          <w:tcPr>
            <w:tcW w:w="703" w:type="pct"/>
            <w:tcBorders>
              <w:top w:val="single" w:sz="4" w:space="0" w:color="auto"/>
              <w:left w:val="single" w:sz="4" w:space="0" w:color="auto"/>
              <w:bottom w:val="single" w:sz="4" w:space="0" w:color="auto"/>
              <w:right w:val="single" w:sz="4" w:space="0" w:color="auto"/>
            </w:tcBorders>
          </w:tcPr>
          <w:p w14:paraId="7522A8A7" w14:textId="77777777" w:rsidR="00E57DAA" w:rsidRDefault="00AC4185">
            <w:pPr>
              <w:autoSpaceDE w:val="0"/>
              <w:autoSpaceDN w:val="0"/>
              <w:adjustRightInd w:val="0"/>
              <w:jc w:val="right"/>
              <w:rPr>
                <w:szCs w:val="21"/>
              </w:rPr>
            </w:pPr>
            <w:r>
              <w:t>120,000.00</w:t>
            </w:r>
          </w:p>
        </w:tc>
        <w:tc>
          <w:tcPr>
            <w:tcW w:w="914" w:type="pct"/>
            <w:tcBorders>
              <w:top w:val="single" w:sz="4" w:space="0" w:color="auto"/>
              <w:left w:val="single" w:sz="4" w:space="0" w:color="auto"/>
              <w:bottom w:val="single" w:sz="4" w:space="0" w:color="auto"/>
              <w:right w:val="single" w:sz="4" w:space="0" w:color="auto"/>
            </w:tcBorders>
          </w:tcPr>
          <w:p w14:paraId="4DACFACA" w14:textId="77777777" w:rsidR="00E57DAA" w:rsidRDefault="00AC4185">
            <w:pPr>
              <w:autoSpaceDE w:val="0"/>
              <w:autoSpaceDN w:val="0"/>
              <w:adjustRightInd w:val="0"/>
              <w:jc w:val="right"/>
              <w:rPr>
                <w:szCs w:val="21"/>
              </w:rPr>
            </w:pPr>
            <w:r>
              <w:t>2,830.00</w:t>
            </w:r>
          </w:p>
        </w:tc>
      </w:tr>
      <w:tr w:rsidR="00E57DAA" w14:paraId="1A8FC6D5" w14:textId="77777777">
        <w:tc>
          <w:tcPr>
            <w:tcW w:w="677" w:type="pct"/>
            <w:tcBorders>
              <w:top w:val="single" w:sz="4" w:space="0" w:color="auto"/>
              <w:left w:val="single" w:sz="4" w:space="0" w:color="auto"/>
              <w:bottom w:val="single" w:sz="4" w:space="0" w:color="auto"/>
              <w:right w:val="single" w:sz="4" w:space="0" w:color="auto"/>
            </w:tcBorders>
            <w:vAlign w:val="center"/>
          </w:tcPr>
          <w:p w14:paraId="185CE22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E5C3182" w14:textId="77777777" w:rsidR="00E57DAA" w:rsidRDefault="00AC4185">
            <w:pPr>
              <w:autoSpaceDE w:val="0"/>
              <w:autoSpaceDN w:val="0"/>
              <w:adjustRightInd w:val="0"/>
              <w:rPr>
                <w:szCs w:val="21"/>
              </w:rPr>
            </w:pPr>
            <w:r>
              <w:t>阿克苏天山多浪水泥有限责任公司</w:t>
            </w:r>
          </w:p>
        </w:tc>
        <w:tc>
          <w:tcPr>
            <w:tcW w:w="633" w:type="pct"/>
            <w:tcBorders>
              <w:top w:val="single" w:sz="4" w:space="0" w:color="auto"/>
              <w:left w:val="single" w:sz="4" w:space="0" w:color="auto"/>
              <w:bottom w:val="single" w:sz="4" w:space="0" w:color="auto"/>
              <w:right w:val="single" w:sz="4" w:space="0" w:color="auto"/>
            </w:tcBorders>
          </w:tcPr>
          <w:p w14:paraId="71E4136F" w14:textId="77777777" w:rsidR="00E57DAA" w:rsidRDefault="00AC4185">
            <w:pPr>
              <w:autoSpaceDE w:val="0"/>
              <w:autoSpaceDN w:val="0"/>
              <w:adjustRightInd w:val="0"/>
              <w:jc w:val="right"/>
              <w:rPr>
                <w:szCs w:val="21"/>
              </w:rPr>
            </w:pPr>
            <w:r>
              <w:t>150,000.00</w:t>
            </w:r>
          </w:p>
        </w:tc>
        <w:tc>
          <w:tcPr>
            <w:tcW w:w="632" w:type="pct"/>
            <w:tcBorders>
              <w:top w:val="single" w:sz="4" w:space="0" w:color="auto"/>
              <w:left w:val="single" w:sz="4" w:space="0" w:color="auto"/>
              <w:bottom w:val="single" w:sz="4" w:space="0" w:color="auto"/>
              <w:right w:val="single" w:sz="4" w:space="0" w:color="auto"/>
            </w:tcBorders>
          </w:tcPr>
          <w:p w14:paraId="55CA791E" w14:textId="77777777" w:rsidR="00E57DAA" w:rsidRDefault="00AC4185">
            <w:pPr>
              <w:autoSpaceDE w:val="0"/>
              <w:autoSpaceDN w:val="0"/>
              <w:adjustRightInd w:val="0"/>
              <w:jc w:val="right"/>
              <w:rPr>
                <w:szCs w:val="21"/>
              </w:rPr>
            </w:pPr>
            <w:r>
              <w:t>41,700.00</w:t>
            </w:r>
          </w:p>
        </w:tc>
        <w:tc>
          <w:tcPr>
            <w:tcW w:w="703" w:type="pct"/>
            <w:tcBorders>
              <w:top w:val="single" w:sz="4" w:space="0" w:color="auto"/>
              <w:left w:val="single" w:sz="4" w:space="0" w:color="auto"/>
              <w:bottom w:val="single" w:sz="4" w:space="0" w:color="auto"/>
              <w:right w:val="single" w:sz="4" w:space="0" w:color="auto"/>
            </w:tcBorders>
          </w:tcPr>
          <w:p w14:paraId="53954E09"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21DF9CD1" w14:textId="77777777" w:rsidR="00E57DAA" w:rsidRDefault="00AC4185">
            <w:pPr>
              <w:autoSpaceDE w:val="0"/>
              <w:autoSpaceDN w:val="0"/>
              <w:adjustRightInd w:val="0"/>
              <w:jc w:val="right"/>
              <w:rPr>
                <w:szCs w:val="21"/>
              </w:rPr>
            </w:pPr>
            <w:r>
              <w:t>16,500.00</w:t>
            </w:r>
          </w:p>
        </w:tc>
      </w:tr>
      <w:tr w:rsidR="00E57DAA" w14:paraId="6D7BB3DC" w14:textId="77777777">
        <w:tc>
          <w:tcPr>
            <w:tcW w:w="677" w:type="pct"/>
            <w:tcBorders>
              <w:top w:val="single" w:sz="4" w:space="0" w:color="auto"/>
              <w:left w:val="single" w:sz="4" w:space="0" w:color="auto"/>
              <w:bottom w:val="single" w:sz="4" w:space="0" w:color="auto"/>
              <w:right w:val="single" w:sz="4" w:space="0" w:color="auto"/>
            </w:tcBorders>
            <w:vAlign w:val="center"/>
          </w:tcPr>
          <w:p w14:paraId="18CBA91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8232E79" w14:textId="77777777" w:rsidR="00E57DAA" w:rsidRDefault="00AC4185">
            <w:pPr>
              <w:autoSpaceDE w:val="0"/>
              <w:autoSpaceDN w:val="0"/>
              <w:adjustRightInd w:val="0"/>
              <w:rPr>
                <w:szCs w:val="21"/>
              </w:rPr>
            </w:pPr>
            <w:r>
              <w:t>济源中联水泥有限公司</w:t>
            </w:r>
          </w:p>
        </w:tc>
        <w:tc>
          <w:tcPr>
            <w:tcW w:w="633" w:type="pct"/>
            <w:tcBorders>
              <w:top w:val="single" w:sz="4" w:space="0" w:color="auto"/>
              <w:left w:val="single" w:sz="4" w:space="0" w:color="auto"/>
              <w:bottom w:val="single" w:sz="4" w:space="0" w:color="auto"/>
              <w:right w:val="single" w:sz="4" w:space="0" w:color="auto"/>
            </w:tcBorders>
          </w:tcPr>
          <w:p w14:paraId="58BAC49A" w14:textId="77777777" w:rsidR="00E57DAA" w:rsidRDefault="00AC4185">
            <w:pPr>
              <w:autoSpaceDE w:val="0"/>
              <w:autoSpaceDN w:val="0"/>
              <w:adjustRightInd w:val="0"/>
              <w:jc w:val="right"/>
              <w:rPr>
                <w:szCs w:val="21"/>
              </w:rPr>
            </w:pPr>
            <w:r>
              <w:t>150,000.00</w:t>
            </w:r>
          </w:p>
        </w:tc>
        <w:tc>
          <w:tcPr>
            <w:tcW w:w="632" w:type="pct"/>
            <w:tcBorders>
              <w:top w:val="single" w:sz="4" w:space="0" w:color="auto"/>
              <w:left w:val="single" w:sz="4" w:space="0" w:color="auto"/>
              <w:bottom w:val="single" w:sz="4" w:space="0" w:color="auto"/>
              <w:right w:val="single" w:sz="4" w:space="0" w:color="auto"/>
            </w:tcBorders>
          </w:tcPr>
          <w:p w14:paraId="10153053" w14:textId="77777777" w:rsidR="00E57DAA" w:rsidRDefault="00AC4185">
            <w:pPr>
              <w:autoSpaceDE w:val="0"/>
              <w:autoSpaceDN w:val="0"/>
              <w:adjustRightInd w:val="0"/>
              <w:jc w:val="right"/>
              <w:rPr>
                <w:szCs w:val="21"/>
              </w:rPr>
            </w:pPr>
            <w:r>
              <w:t>28,200.00</w:t>
            </w:r>
          </w:p>
        </w:tc>
        <w:tc>
          <w:tcPr>
            <w:tcW w:w="703" w:type="pct"/>
            <w:tcBorders>
              <w:top w:val="single" w:sz="4" w:space="0" w:color="auto"/>
              <w:left w:val="single" w:sz="4" w:space="0" w:color="auto"/>
              <w:bottom w:val="single" w:sz="4" w:space="0" w:color="auto"/>
              <w:right w:val="single" w:sz="4" w:space="0" w:color="auto"/>
            </w:tcBorders>
          </w:tcPr>
          <w:p w14:paraId="17EB949B" w14:textId="77777777" w:rsidR="00E57DAA" w:rsidRDefault="00AC4185">
            <w:pPr>
              <w:autoSpaceDE w:val="0"/>
              <w:autoSpaceDN w:val="0"/>
              <w:adjustRightInd w:val="0"/>
              <w:jc w:val="right"/>
              <w:rPr>
                <w:szCs w:val="21"/>
              </w:rPr>
            </w:pPr>
            <w:r>
              <w:t>150,000.00</w:t>
            </w:r>
          </w:p>
        </w:tc>
        <w:tc>
          <w:tcPr>
            <w:tcW w:w="914" w:type="pct"/>
            <w:tcBorders>
              <w:top w:val="single" w:sz="4" w:space="0" w:color="auto"/>
              <w:left w:val="single" w:sz="4" w:space="0" w:color="auto"/>
              <w:bottom w:val="single" w:sz="4" w:space="0" w:color="auto"/>
              <w:right w:val="single" w:sz="4" w:space="0" w:color="auto"/>
            </w:tcBorders>
          </w:tcPr>
          <w:p w14:paraId="43B0B77B" w14:textId="77777777" w:rsidR="00E57DAA" w:rsidRDefault="00AC4185">
            <w:pPr>
              <w:autoSpaceDE w:val="0"/>
              <w:autoSpaceDN w:val="0"/>
              <w:adjustRightInd w:val="0"/>
              <w:jc w:val="right"/>
              <w:rPr>
                <w:szCs w:val="21"/>
              </w:rPr>
            </w:pPr>
            <w:r>
              <w:t>25,950.00</w:t>
            </w:r>
          </w:p>
        </w:tc>
      </w:tr>
      <w:tr w:rsidR="00E57DAA" w14:paraId="4007A773" w14:textId="77777777">
        <w:tc>
          <w:tcPr>
            <w:tcW w:w="677" w:type="pct"/>
            <w:tcBorders>
              <w:top w:val="single" w:sz="4" w:space="0" w:color="auto"/>
              <w:left w:val="single" w:sz="4" w:space="0" w:color="auto"/>
              <w:bottom w:val="single" w:sz="4" w:space="0" w:color="auto"/>
              <w:right w:val="single" w:sz="4" w:space="0" w:color="auto"/>
            </w:tcBorders>
            <w:vAlign w:val="center"/>
          </w:tcPr>
          <w:p w14:paraId="3DAFF862"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22D88C03" w14:textId="77777777" w:rsidR="00E57DAA" w:rsidRDefault="00AC4185">
            <w:pPr>
              <w:autoSpaceDE w:val="0"/>
              <w:autoSpaceDN w:val="0"/>
              <w:adjustRightInd w:val="0"/>
              <w:rPr>
                <w:szCs w:val="21"/>
              </w:rPr>
            </w:pPr>
            <w:r>
              <w:t>喀喇沁草原水泥有限责任公司</w:t>
            </w:r>
          </w:p>
        </w:tc>
        <w:tc>
          <w:tcPr>
            <w:tcW w:w="633" w:type="pct"/>
            <w:tcBorders>
              <w:top w:val="single" w:sz="4" w:space="0" w:color="auto"/>
              <w:left w:val="single" w:sz="4" w:space="0" w:color="auto"/>
              <w:bottom w:val="single" w:sz="4" w:space="0" w:color="auto"/>
              <w:right w:val="single" w:sz="4" w:space="0" w:color="auto"/>
            </w:tcBorders>
          </w:tcPr>
          <w:p w14:paraId="688022B5" w14:textId="77777777" w:rsidR="00E57DAA" w:rsidRDefault="00AC4185">
            <w:pPr>
              <w:autoSpaceDE w:val="0"/>
              <w:autoSpaceDN w:val="0"/>
              <w:adjustRightInd w:val="0"/>
              <w:jc w:val="right"/>
              <w:rPr>
                <w:szCs w:val="21"/>
              </w:rPr>
            </w:pPr>
            <w:r>
              <w:t>150,000.00</w:t>
            </w:r>
          </w:p>
        </w:tc>
        <w:tc>
          <w:tcPr>
            <w:tcW w:w="632" w:type="pct"/>
            <w:tcBorders>
              <w:top w:val="single" w:sz="4" w:space="0" w:color="auto"/>
              <w:left w:val="single" w:sz="4" w:space="0" w:color="auto"/>
              <w:bottom w:val="single" w:sz="4" w:space="0" w:color="auto"/>
              <w:right w:val="single" w:sz="4" w:space="0" w:color="auto"/>
            </w:tcBorders>
          </w:tcPr>
          <w:p w14:paraId="16C06EDF" w14:textId="77777777" w:rsidR="00E57DAA" w:rsidRDefault="00AC4185">
            <w:pPr>
              <w:autoSpaceDE w:val="0"/>
              <w:autoSpaceDN w:val="0"/>
              <w:adjustRightInd w:val="0"/>
              <w:jc w:val="right"/>
              <w:rPr>
                <w:szCs w:val="21"/>
              </w:rPr>
            </w:pPr>
            <w:r>
              <w:t>16,100.00</w:t>
            </w:r>
          </w:p>
        </w:tc>
        <w:tc>
          <w:tcPr>
            <w:tcW w:w="703" w:type="pct"/>
            <w:tcBorders>
              <w:top w:val="single" w:sz="4" w:space="0" w:color="auto"/>
              <w:left w:val="single" w:sz="4" w:space="0" w:color="auto"/>
              <w:bottom w:val="single" w:sz="4" w:space="0" w:color="auto"/>
              <w:right w:val="single" w:sz="4" w:space="0" w:color="auto"/>
            </w:tcBorders>
          </w:tcPr>
          <w:p w14:paraId="6F6A10D0" w14:textId="77777777" w:rsidR="00E57DAA" w:rsidRDefault="00AC4185">
            <w:pPr>
              <w:autoSpaceDE w:val="0"/>
              <w:autoSpaceDN w:val="0"/>
              <w:adjustRightInd w:val="0"/>
              <w:jc w:val="right"/>
              <w:rPr>
                <w:szCs w:val="21"/>
              </w:rPr>
            </w:pPr>
            <w:r>
              <w:t>150,000.00</w:t>
            </w:r>
          </w:p>
        </w:tc>
        <w:tc>
          <w:tcPr>
            <w:tcW w:w="914" w:type="pct"/>
            <w:tcBorders>
              <w:top w:val="single" w:sz="4" w:space="0" w:color="auto"/>
              <w:left w:val="single" w:sz="4" w:space="0" w:color="auto"/>
              <w:bottom w:val="single" w:sz="4" w:space="0" w:color="auto"/>
              <w:right w:val="single" w:sz="4" w:space="0" w:color="auto"/>
            </w:tcBorders>
          </w:tcPr>
          <w:p w14:paraId="5313F76B" w14:textId="77777777" w:rsidR="00E57DAA" w:rsidRDefault="00AC4185">
            <w:pPr>
              <w:autoSpaceDE w:val="0"/>
              <w:autoSpaceDN w:val="0"/>
              <w:adjustRightInd w:val="0"/>
              <w:jc w:val="right"/>
              <w:rPr>
                <w:szCs w:val="21"/>
              </w:rPr>
            </w:pPr>
            <w:r>
              <w:t>6,100.00</w:t>
            </w:r>
          </w:p>
        </w:tc>
      </w:tr>
      <w:tr w:rsidR="00E57DAA" w14:paraId="0F1F164F" w14:textId="77777777">
        <w:tc>
          <w:tcPr>
            <w:tcW w:w="677" w:type="pct"/>
            <w:tcBorders>
              <w:top w:val="single" w:sz="4" w:space="0" w:color="auto"/>
              <w:left w:val="single" w:sz="4" w:space="0" w:color="auto"/>
              <w:bottom w:val="single" w:sz="4" w:space="0" w:color="auto"/>
              <w:right w:val="single" w:sz="4" w:space="0" w:color="auto"/>
            </w:tcBorders>
            <w:vAlign w:val="center"/>
          </w:tcPr>
          <w:p w14:paraId="00AFCFF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3CA848E" w14:textId="77777777" w:rsidR="00E57DAA" w:rsidRDefault="00AC4185">
            <w:pPr>
              <w:autoSpaceDE w:val="0"/>
              <w:autoSpaceDN w:val="0"/>
              <w:adjustRightInd w:val="0"/>
              <w:rPr>
                <w:szCs w:val="21"/>
              </w:rPr>
            </w:pPr>
            <w:r>
              <w:t>云南普洱西南水泥有限公司</w:t>
            </w:r>
          </w:p>
        </w:tc>
        <w:tc>
          <w:tcPr>
            <w:tcW w:w="633" w:type="pct"/>
            <w:tcBorders>
              <w:top w:val="single" w:sz="4" w:space="0" w:color="auto"/>
              <w:left w:val="single" w:sz="4" w:space="0" w:color="auto"/>
              <w:bottom w:val="single" w:sz="4" w:space="0" w:color="auto"/>
              <w:right w:val="single" w:sz="4" w:space="0" w:color="auto"/>
            </w:tcBorders>
          </w:tcPr>
          <w:p w14:paraId="3B4C3A84" w14:textId="77777777" w:rsidR="00E57DAA" w:rsidRDefault="00AC4185">
            <w:pPr>
              <w:autoSpaceDE w:val="0"/>
              <w:autoSpaceDN w:val="0"/>
              <w:adjustRightInd w:val="0"/>
              <w:jc w:val="right"/>
              <w:rPr>
                <w:szCs w:val="21"/>
              </w:rPr>
            </w:pPr>
            <w:r>
              <w:t>144,900.00</w:t>
            </w:r>
          </w:p>
        </w:tc>
        <w:tc>
          <w:tcPr>
            <w:tcW w:w="632" w:type="pct"/>
            <w:tcBorders>
              <w:top w:val="single" w:sz="4" w:space="0" w:color="auto"/>
              <w:left w:val="single" w:sz="4" w:space="0" w:color="auto"/>
              <w:bottom w:val="single" w:sz="4" w:space="0" w:color="auto"/>
              <w:right w:val="single" w:sz="4" w:space="0" w:color="auto"/>
            </w:tcBorders>
          </w:tcPr>
          <w:p w14:paraId="766DB3CA" w14:textId="77777777" w:rsidR="00E57DAA" w:rsidRDefault="00AC4185">
            <w:pPr>
              <w:autoSpaceDE w:val="0"/>
              <w:autoSpaceDN w:val="0"/>
              <w:adjustRightInd w:val="0"/>
              <w:jc w:val="right"/>
              <w:rPr>
                <w:szCs w:val="21"/>
              </w:rPr>
            </w:pPr>
            <w:r>
              <w:t>5,915.00</w:t>
            </w:r>
          </w:p>
        </w:tc>
        <w:tc>
          <w:tcPr>
            <w:tcW w:w="703" w:type="pct"/>
            <w:tcBorders>
              <w:top w:val="single" w:sz="4" w:space="0" w:color="auto"/>
              <w:left w:val="single" w:sz="4" w:space="0" w:color="auto"/>
              <w:bottom w:val="single" w:sz="4" w:space="0" w:color="auto"/>
              <w:right w:val="single" w:sz="4" w:space="0" w:color="auto"/>
            </w:tcBorders>
          </w:tcPr>
          <w:p w14:paraId="6997446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B289668" w14:textId="77777777" w:rsidR="00E57DAA" w:rsidRDefault="00AC4185">
            <w:pPr>
              <w:autoSpaceDE w:val="0"/>
              <w:autoSpaceDN w:val="0"/>
              <w:adjustRightInd w:val="0"/>
              <w:jc w:val="right"/>
              <w:rPr>
                <w:szCs w:val="21"/>
              </w:rPr>
            </w:pPr>
            <w:r>
              <w:t xml:space="preserve">　</w:t>
            </w:r>
          </w:p>
        </w:tc>
      </w:tr>
      <w:tr w:rsidR="00E57DAA" w14:paraId="15B9E5E0" w14:textId="77777777">
        <w:tc>
          <w:tcPr>
            <w:tcW w:w="677" w:type="pct"/>
            <w:tcBorders>
              <w:top w:val="single" w:sz="4" w:space="0" w:color="auto"/>
              <w:left w:val="single" w:sz="4" w:space="0" w:color="auto"/>
              <w:bottom w:val="single" w:sz="4" w:space="0" w:color="auto"/>
              <w:right w:val="single" w:sz="4" w:space="0" w:color="auto"/>
            </w:tcBorders>
            <w:vAlign w:val="center"/>
          </w:tcPr>
          <w:p w14:paraId="36A7985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68CDC16" w14:textId="77777777" w:rsidR="00E57DAA" w:rsidRDefault="00AC4185">
            <w:pPr>
              <w:autoSpaceDE w:val="0"/>
              <w:autoSpaceDN w:val="0"/>
              <w:adjustRightInd w:val="0"/>
              <w:rPr>
                <w:szCs w:val="21"/>
              </w:rPr>
            </w:pPr>
            <w:r>
              <w:t>安徽郎溪南方水泥有限公司</w:t>
            </w:r>
          </w:p>
        </w:tc>
        <w:tc>
          <w:tcPr>
            <w:tcW w:w="633" w:type="pct"/>
            <w:tcBorders>
              <w:top w:val="single" w:sz="4" w:space="0" w:color="auto"/>
              <w:left w:val="single" w:sz="4" w:space="0" w:color="auto"/>
              <w:bottom w:val="single" w:sz="4" w:space="0" w:color="auto"/>
              <w:right w:val="single" w:sz="4" w:space="0" w:color="auto"/>
            </w:tcBorders>
          </w:tcPr>
          <w:p w14:paraId="74E40996" w14:textId="77777777" w:rsidR="00E57DAA" w:rsidRDefault="00AC4185">
            <w:pPr>
              <w:autoSpaceDE w:val="0"/>
              <w:autoSpaceDN w:val="0"/>
              <w:adjustRightInd w:val="0"/>
              <w:jc w:val="right"/>
              <w:rPr>
                <w:szCs w:val="21"/>
              </w:rPr>
            </w:pPr>
            <w:r>
              <w:t>140,000.00</w:t>
            </w:r>
          </w:p>
        </w:tc>
        <w:tc>
          <w:tcPr>
            <w:tcW w:w="632" w:type="pct"/>
            <w:tcBorders>
              <w:top w:val="single" w:sz="4" w:space="0" w:color="auto"/>
              <w:left w:val="single" w:sz="4" w:space="0" w:color="auto"/>
              <w:bottom w:val="single" w:sz="4" w:space="0" w:color="auto"/>
              <w:right w:val="single" w:sz="4" w:space="0" w:color="auto"/>
            </w:tcBorders>
          </w:tcPr>
          <w:p w14:paraId="6B50B846" w14:textId="77777777" w:rsidR="00E57DAA" w:rsidRDefault="00AC4185">
            <w:pPr>
              <w:autoSpaceDE w:val="0"/>
              <w:autoSpaceDN w:val="0"/>
              <w:adjustRightInd w:val="0"/>
              <w:jc w:val="right"/>
              <w:rPr>
                <w:szCs w:val="21"/>
              </w:rPr>
            </w:pPr>
            <w:r>
              <w:t>14,740.00</w:t>
            </w:r>
          </w:p>
        </w:tc>
        <w:tc>
          <w:tcPr>
            <w:tcW w:w="703" w:type="pct"/>
            <w:tcBorders>
              <w:top w:val="single" w:sz="4" w:space="0" w:color="auto"/>
              <w:left w:val="single" w:sz="4" w:space="0" w:color="auto"/>
              <w:bottom w:val="single" w:sz="4" w:space="0" w:color="auto"/>
              <w:right w:val="single" w:sz="4" w:space="0" w:color="auto"/>
            </w:tcBorders>
          </w:tcPr>
          <w:p w14:paraId="12BA4E24"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10548689" w14:textId="77777777" w:rsidR="00E57DAA" w:rsidRDefault="00AC4185">
            <w:pPr>
              <w:autoSpaceDE w:val="0"/>
              <w:autoSpaceDN w:val="0"/>
              <w:adjustRightInd w:val="0"/>
              <w:jc w:val="right"/>
              <w:rPr>
                <w:szCs w:val="21"/>
              </w:rPr>
            </w:pPr>
            <w:r>
              <w:t>240</w:t>
            </w:r>
          </w:p>
        </w:tc>
      </w:tr>
      <w:tr w:rsidR="00E57DAA" w14:paraId="05E95B0A" w14:textId="77777777">
        <w:tc>
          <w:tcPr>
            <w:tcW w:w="677" w:type="pct"/>
            <w:tcBorders>
              <w:top w:val="single" w:sz="4" w:space="0" w:color="auto"/>
              <w:left w:val="single" w:sz="4" w:space="0" w:color="auto"/>
              <w:bottom w:val="single" w:sz="4" w:space="0" w:color="auto"/>
              <w:right w:val="single" w:sz="4" w:space="0" w:color="auto"/>
            </w:tcBorders>
            <w:vAlign w:val="center"/>
          </w:tcPr>
          <w:p w14:paraId="17B48D6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4A09543" w14:textId="77777777" w:rsidR="00E57DAA" w:rsidRDefault="00AC4185">
            <w:pPr>
              <w:autoSpaceDE w:val="0"/>
              <w:autoSpaceDN w:val="0"/>
              <w:adjustRightInd w:val="0"/>
              <w:rPr>
                <w:szCs w:val="21"/>
              </w:rPr>
            </w:pPr>
            <w:r>
              <w:t>西南水泥有限公司</w:t>
            </w:r>
          </w:p>
        </w:tc>
        <w:tc>
          <w:tcPr>
            <w:tcW w:w="633" w:type="pct"/>
            <w:tcBorders>
              <w:top w:val="single" w:sz="4" w:space="0" w:color="auto"/>
              <w:left w:val="single" w:sz="4" w:space="0" w:color="auto"/>
              <w:bottom w:val="single" w:sz="4" w:space="0" w:color="auto"/>
              <w:right w:val="single" w:sz="4" w:space="0" w:color="auto"/>
            </w:tcBorders>
          </w:tcPr>
          <w:p w14:paraId="1F8AE8B5" w14:textId="77777777" w:rsidR="00E57DAA" w:rsidRDefault="00AC4185">
            <w:pPr>
              <w:autoSpaceDE w:val="0"/>
              <w:autoSpaceDN w:val="0"/>
              <w:adjustRightInd w:val="0"/>
              <w:jc w:val="right"/>
              <w:rPr>
                <w:szCs w:val="21"/>
              </w:rPr>
            </w:pPr>
            <w:r>
              <w:t>140,000.00</w:t>
            </w:r>
          </w:p>
        </w:tc>
        <w:tc>
          <w:tcPr>
            <w:tcW w:w="632" w:type="pct"/>
            <w:tcBorders>
              <w:top w:val="single" w:sz="4" w:space="0" w:color="auto"/>
              <w:left w:val="single" w:sz="4" w:space="0" w:color="auto"/>
              <w:bottom w:val="single" w:sz="4" w:space="0" w:color="auto"/>
              <w:right w:val="single" w:sz="4" w:space="0" w:color="auto"/>
            </w:tcBorders>
          </w:tcPr>
          <w:p w14:paraId="2F0E3887" w14:textId="77777777" w:rsidR="00E57DAA" w:rsidRDefault="00AC4185">
            <w:pPr>
              <w:autoSpaceDE w:val="0"/>
              <w:autoSpaceDN w:val="0"/>
              <w:adjustRightInd w:val="0"/>
              <w:jc w:val="right"/>
              <w:rPr>
                <w:szCs w:val="21"/>
              </w:rPr>
            </w:pPr>
            <w:r>
              <w:t>27,020.00</w:t>
            </w:r>
          </w:p>
        </w:tc>
        <w:tc>
          <w:tcPr>
            <w:tcW w:w="703" w:type="pct"/>
            <w:tcBorders>
              <w:top w:val="single" w:sz="4" w:space="0" w:color="auto"/>
              <w:left w:val="single" w:sz="4" w:space="0" w:color="auto"/>
              <w:bottom w:val="single" w:sz="4" w:space="0" w:color="auto"/>
              <w:right w:val="single" w:sz="4" w:space="0" w:color="auto"/>
            </w:tcBorders>
          </w:tcPr>
          <w:p w14:paraId="4F9B658A" w14:textId="77777777" w:rsidR="00E57DAA" w:rsidRDefault="00AC4185">
            <w:pPr>
              <w:autoSpaceDE w:val="0"/>
              <w:autoSpaceDN w:val="0"/>
              <w:adjustRightInd w:val="0"/>
              <w:jc w:val="right"/>
              <w:rPr>
                <w:szCs w:val="21"/>
              </w:rPr>
            </w:pPr>
            <w:r>
              <w:t>340,000.00</w:t>
            </w:r>
          </w:p>
        </w:tc>
        <w:tc>
          <w:tcPr>
            <w:tcW w:w="914" w:type="pct"/>
            <w:tcBorders>
              <w:top w:val="single" w:sz="4" w:space="0" w:color="auto"/>
              <w:left w:val="single" w:sz="4" w:space="0" w:color="auto"/>
              <w:bottom w:val="single" w:sz="4" w:space="0" w:color="auto"/>
              <w:right w:val="single" w:sz="4" w:space="0" w:color="auto"/>
            </w:tcBorders>
          </w:tcPr>
          <w:p w14:paraId="17933873" w14:textId="77777777" w:rsidR="00E57DAA" w:rsidRDefault="00AC4185">
            <w:pPr>
              <w:autoSpaceDE w:val="0"/>
              <w:autoSpaceDN w:val="0"/>
              <w:adjustRightInd w:val="0"/>
              <w:jc w:val="right"/>
              <w:rPr>
                <w:szCs w:val="21"/>
              </w:rPr>
            </w:pPr>
            <w:r>
              <w:t>33,670.00</w:t>
            </w:r>
          </w:p>
        </w:tc>
      </w:tr>
      <w:tr w:rsidR="00E57DAA" w14:paraId="44BA6870" w14:textId="77777777">
        <w:tc>
          <w:tcPr>
            <w:tcW w:w="677" w:type="pct"/>
            <w:tcBorders>
              <w:top w:val="single" w:sz="4" w:space="0" w:color="auto"/>
              <w:left w:val="single" w:sz="4" w:space="0" w:color="auto"/>
              <w:bottom w:val="single" w:sz="4" w:space="0" w:color="auto"/>
              <w:right w:val="single" w:sz="4" w:space="0" w:color="auto"/>
            </w:tcBorders>
            <w:vAlign w:val="center"/>
          </w:tcPr>
          <w:p w14:paraId="6456382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AB4AF0B" w14:textId="77777777" w:rsidR="00E57DAA" w:rsidRDefault="00AC4185">
            <w:pPr>
              <w:autoSpaceDE w:val="0"/>
              <w:autoSpaceDN w:val="0"/>
              <w:adjustRightInd w:val="0"/>
              <w:rPr>
                <w:szCs w:val="21"/>
              </w:rPr>
            </w:pPr>
            <w:r>
              <w:t>江西南城南方水泥有限公司</w:t>
            </w:r>
          </w:p>
        </w:tc>
        <w:tc>
          <w:tcPr>
            <w:tcW w:w="633" w:type="pct"/>
            <w:tcBorders>
              <w:top w:val="single" w:sz="4" w:space="0" w:color="auto"/>
              <w:left w:val="single" w:sz="4" w:space="0" w:color="auto"/>
              <w:bottom w:val="single" w:sz="4" w:space="0" w:color="auto"/>
              <w:right w:val="single" w:sz="4" w:space="0" w:color="auto"/>
            </w:tcBorders>
          </w:tcPr>
          <w:p w14:paraId="60AC1D66" w14:textId="77777777" w:rsidR="00E57DAA" w:rsidRDefault="00AC4185">
            <w:pPr>
              <w:autoSpaceDE w:val="0"/>
              <w:autoSpaceDN w:val="0"/>
              <w:adjustRightInd w:val="0"/>
              <w:jc w:val="right"/>
              <w:rPr>
                <w:szCs w:val="21"/>
              </w:rPr>
            </w:pPr>
            <w:r>
              <w:t>108,000.00</w:t>
            </w:r>
          </w:p>
        </w:tc>
        <w:tc>
          <w:tcPr>
            <w:tcW w:w="632" w:type="pct"/>
            <w:tcBorders>
              <w:top w:val="single" w:sz="4" w:space="0" w:color="auto"/>
              <w:left w:val="single" w:sz="4" w:space="0" w:color="auto"/>
              <w:bottom w:val="single" w:sz="4" w:space="0" w:color="auto"/>
              <w:right w:val="single" w:sz="4" w:space="0" w:color="auto"/>
            </w:tcBorders>
          </w:tcPr>
          <w:p w14:paraId="45F0BB2E" w14:textId="77777777" w:rsidR="00E57DAA" w:rsidRDefault="00AC4185">
            <w:pPr>
              <w:autoSpaceDE w:val="0"/>
              <w:autoSpaceDN w:val="0"/>
              <w:adjustRightInd w:val="0"/>
              <w:jc w:val="right"/>
              <w:rPr>
                <w:szCs w:val="21"/>
              </w:rPr>
            </w:pPr>
            <w:r>
              <w:t>65,560.00</w:t>
            </w:r>
          </w:p>
        </w:tc>
        <w:tc>
          <w:tcPr>
            <w:tcW w:w="703" w:type="pct"/>
            <w:tcBorders>
              <w:top w:val="single" w:sz="4" w:space="0" w:color="auto"/>
              <w:left w:val="single" w:sz="4" w:space="0" w:color="auto"/>
              <w:bottom w:val="single" w:sz="4" w:space="0" w:color="auto"/>
              <w:right w:val="single" w:sz="4" w:space="0" w:color="auto"/>
            </w:tcBorders>
          </w:tcPr>
          <w:p w14:paraId="3F49A77B" w14:textId="77777777" w:rsidR="00E57DAA" w:rsidRDefault="00AC4185">
            <w:pPr>
              <w:autoSpaceDE w:val="0"/>
              <w:autoSpaceDN w:val="0"/>
              <w:adjustRightInd w:val="0"/>
              <w:jc w:val="right"/>
              <w:rPr>
                <w:szCs w:val="21"/>
              </w:rPr>
            </w:pPr>
            <w:r>
              <w:t>118,500.00</w:t>
            </w:r>
          </w:p>
        </w:tc>
        <w:tc>
          <w:tcPr>
            <w:tcW w:w="914" w:type="pct"/>
            <w:tcBorders>
              <w:top w:val="single" w:sz="4" w:space="0" w:color="auto"/>
              <w:left w:val="single" w:sz="4" w:space="0" w:color="auto"/>
              <w:bottom w:val="single" w:sz="4" w:space="0" w:color="auto"/>
              <w:right w:val="single" w:sz="4" w:space="0" w:color="auto"/>
            </w:tcBorders>
          </w:tcPr>
          <w:p w14:paraId="07AAF660" w14:textId="77777777" w:rsidR="00E57DAA" w:rsidRDefault="00AC4185">
            <w:pPr>
              <w:autoSpaceDE w:val="0"/>
              <w:autoSpaceDN w:val="0"/>
              <w:adjustRightInd w:val="0"/>
              <w:jc w:val="right"/>
              <w:rPr>
                <w:szCs w:val="21"/>
              </w:rPr>
            </w:pPr>
            <w:r>
              <w:t>22,488.50</w:t>
            </w:r>
          </w:p>
        </w:tc>
      </w:tr>
      <w:tr w:rsidR="00E57DAA" w14:paraId="7F671803" w14:textId="77777777">
        <w:tc>
          <w:tcPr>
            <w:tcW w:w="677" w:type="pct"/>
            <w:tcBorders>
              <w:top w:val="single" w:sz="4" w:space="0" w:color="auto"/>
              <w:left w:val="single" w:sz="4" w:space="0" w:color="auto"/>
              <w:bottom w:val="single" w:sz="4" w:space="0" w:color="auto"/>
              <w:right w:val="single" w:sz="4" w:space="0" w:color="auto"/>
            </w:tcBorders>
            <w:vAlign w:val="center"/>
          </w:tcPr>
          <w:p w14:paraId="3E4566E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78A94ED" w14:textId="77777777" w:rsidR="00E57DAA" w:rsidRDefault="00AC4185">
            <w:pPr>
              <w:autoSpaceDE w:val="0"/>
              <w:autoSpaceDN w:val="0"/>
              <w:adjustRightInd w:val="0"/>
              <w:rPr>
                <w:szCs w:val="21"/>
              </w:rPr>
            </w:pPr>
            <w:r>
              <w:t>淮海中联水泥有限公司</w:t>
            </w:r>
          </w:p>
        </w:tc>
        <w:tc>
          <w:tcPr>
            <w:tcW w:w="633" w:type="pct"/>
            <w:tcBorders>
              <w:top w:val="single" w:sz="4" w:space="0" w:color="auto"/>
              <w:left w:val="single" w:sz="4" w:space="0" w:color="auto"/>
              <w:bottom w:val="single" w:sz="4" w:space="0" w:color="auto"/>
              <w:right w:val="single" w:sz="4" w:space="0" w:color="auto"/>
            </w:tcBorders>
          </w:tcPr>
          <w:p w14:paraId="6A80011E" w14:textId="77777777" w:rsidR="00E57DAA" w:rsidRDefault="00AC4185">
            <w:pPr>
              <w:autoSpaceDE w:val="0"/>
              <w:autoSpaceDN w:val="0"/>
              <w:adjustRightInd w:val="0"/>
              <w:jc w:val="right"/>
              <w:rPr>
                <w:szCs w:val="21"/>
              </w:rPr>
            </w:pPr>
            <w:r>
              <w:t>105,000.00</w:t>
            </w:r>
          </w:p>
        </w:tc>
        <w:tc>
          <w:tcPr>
            <w:tcW w:w="632" w:type="pct"/>
            <w:tcBorders>
              <w:top w:val="single" w:sz="4" w:space="0" w:color="auto"/>
              <w:left w:val="single" w:sz="4" w:space="0" w:color="auto"/>
              <w:bottom w:val="single" w:sz="4" w:space="0" w:color="auto"/>
              <w:right w:val="single" w:sz="4" w:space="0" w:color="auto"/>
            </w:tcBorders>
          </w:tcPr>
          <w:p w14:paraId="4BB7BE81" w14:textId="77777777" w:rsidR="00E57DAA" w:rsidRDefault="00AC4185">
            <w:pPr>
              <w:autoSpaceDE w:val="0"/>
              <w:autoSpaceDN w:val="0"/>
              <w:adjustRightInd w:val="0"/>
              <w:jc w:val="right"/>
              <w:rPr>
                <w:szCs w:val="21"/>
              </w:rPr>
            </w:pPr>
            <w:r>
              <w:t>65,500.00</w:t>
            </w:r>
          </w:p>
        </w:tc>
        <w:tc>
          <w:tcPr>
            <w:tcW w:w="703" w:type="pct"/>
            <w:tcBorders>
              <w:top w:val="single" w:sz="4" w:space="0" w:color="auto"/>
              <w:left w:val="single" w:sz="4" w:space="0" w:color="auto"/>
              <w:bottom w:val="single" w:sz="4" w:space="0" w:color="auto"/>
              <w:right w:val="single" w:sz="4" w:space="0" w:color="auto"/>
            </w:tcBorders>
          </w:tcPr>
          <w:p w14:paraId="63143633"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19702C7B" w14:textId="77777777" w:rsidR="00E57DAA" w:rsidRDefault="00AC4185">
            <w:pPr>
              <w:autoSpaceDE w:val="0"/>
              <w:autoSpaceDN w:val="0"/>
              <w:adjustRightInd w:val="0"/>
              <w:jc w:val="right"/>
              <w:rPr>
                <w:szCs w:val="21"/>
              </w:rPr>
            </w:pPr>
            <w:r>
              <w:t>22,100.00</w:t>
            </w:r>
          </w:p>
        </w:tc>
      </w:tr>
      <w:tr w:rsidR="00E57DAA" w14:paraId="40C78A7B" w14:textId="77777777">
        <w:tc>
          <w:tcPr>
            <w:tcW w:w="677" w:type="pct"/>
            <w:tcBorders>
              <w:top w:val="single" w:sz="4" w:space="0" w:color="auto"/>
              <w:left w:val="single" w:sz="4" w:space="0" w:color="auto"/>
              <w:bottom w:val="single" w:sz="4" w:space="0" w:color="auto"/>
              <w:right w:val="single" w:sz="4" w:space="0" w:color="auto"/>
            </w:tcBorders>
            <w:vAlign w:val="center"/>
          </w:tcPr>
          <w:p w14:paraId="3111272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A189507" w14:textId="77777777" w:rsidR="00E57DAA" w:rsidRDefault="00AC4185">
            <w:pPr>
              <w:autoSpaceDE w:val="0"/>
              <w:autoSpaceDN w:val="0"/>
              <w:adjustRightInd w:val="0"/>
              <w:rPr>
                <w:szCs w:val="21"/>
              </w:rPr>
            </w:pPr>
            <w:r>
              <w:t>济宁中联水泥有限公司</w:t>
            </w:r>
          </w:p>
        </w:tc>
        <w:tc>
          <w:tcPr>
            <w:tcW w:w="633" w:type="pct"/>
            <w:tcBorders>
              <w:top w:val="single" w:sz="4" w:space="0" w:color="auto"/>
              <w:left w:val="single" w:sz="4" w:space="0" w:color="auto"/>
              <w:bottom w:val="single" w:sz="4" w:space="0" w:color="auto"/>
              <w:right w:val="single" w:sz="4" w:space="0" w:color="auto"/>
            </w:tcBorders>
          </w:tcPr>
          <w:p w14:paraId="1C1A29C7" w14:textId="77777777" w:rsidR="00E57DAA" w:rsidRDefault="00AC4185">
            <w:pPr>
              <w:autoSpaceDE w:val="0"/>
              <w:autoSpaceDN w:val="0"/>
              <w:adjustRightInd w:val="0"/>
              <w:jc w:val="right"/>
              <w:rPr>
                <w:szCs w:val="21"/>
              </w:rPr>
            </w:pPr>
            <w:r>
              <w:t>102,000.00</w:t>
            </w:r>
          </w:p>
        </w:tc>
        <w:tc>
          <w:tcPr>
            <w:tcW w:w="632" w:type="pct"/>
            <w:tcBorders>
              <w:top w:val="single" w:sz="4" w:space="0" w:color="auto"/>
              <w:left w:val="single" w:sz="4" w:space="0" w:color="auto"/>
              <w:bottom w:val="single" w:sz="4" w:space="0" w:color="auto"/>
              <w:right w:val="single" w:sz="4" w:space="0" w:color="auto"/>
            </w:tcBorders>
          </w:tcPr>
          <w:p w14:paraId="32C17110" w14:textId="77777777" w:rsidR="00E57DAA" w:rsidRDefault="00AC4185">
            <w:pPr>
              <w:autoSpaceDE w:val="0"/>
              <w:autoSpaceDN w:val="0"/>
              <w:adjustRightInd w:val="0"/>
              <w:jc w:val="right"/>
              <w:rPr>
                <w:szCs w:val="21"/>
              </w:rPr>
            </w:pPr>
            <w:r>
              <w:t>2,100.00</w:t>
            </w:r>
          </w:p>
        </w:tc>
        <w:tc>
          <w:tcPr>
            <w:tcW w:w="703" w:type="pct"/>
            <w:tcBorders>
              <w:top w:val="single" w:sz="4" w:space="0" w:color="auto"/>
              <w:left w:val="single" w:sz="4" w:space="0" w:color="auto"/>
              <w:bottom w:val="single" w:sz="4" w:space="0" w:color="auto"/>
              <w:right w:val="single" w:sz="4" w:space="0" w:color="auto"/>
            </w:tcBorders>
          </w:tcPr>
          <w:p w14:paraId="421B4E6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C9A915E" w14:textId="77777777" w:rsidR="00E57DAA" w:rsidRDefault="00AC4185">
            <w:pPr>
              <w:autoSpaceDE w:val="0"/>
              <w:autoSpaceDN w:val="0"/>
              <w:adjustRightInd w:val="0"/>
              <w:jc w:val="right"/>
              <w:rPr>
                <w:szCs w:val="21"/>
              </w:rPr>
            </w:pPr>
            <w:r>
              <w:t xml:space="preserve">　</w:t>
            </w:r>
          </w:p>
        </w:tc>
      </w:tr>
      <w:tr w:rsidR="00E57DAA" w14:paraId="5B224927" w14:textId="77777777">
        <w:tc>
          <w:tcPr>
            <w:tcW w:w="677" w:type="pct"/>
            <w:tcBorders>
              <w:top w:val="single" w:sz="4" w:space="0" w:color="auto"/>
              <w:left w:val="single" w:sz="4" w:space="0" w:color="auto"/>
              <w:bottom w:val="single" w:sz="4" w:space="0" w:color="auto"/>
              <w:right w:val="single" w:sz="4" w:space="0" w:color="auto"/>
            </w:tcBorders>
            <w:vAlign w:val="center"/>
          </w:tcPr>
          <w:p w14:paraId="4218678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D486D86" w14:textId="77777777" w:rsidR="00E57DAA" w:rsidRDefault="00AC4185">
            <w:pPr>
              <w:autoSpaceDE w:val="0"/>
              <w:autoSpaceDN w:val="0"/>
              <w:adjustRightInd w:val="0"/>
              <w:rPr>
                <w:szCs w:val="21"/>
              </w:rPr>
            </w:pPr>
            <w:r>
              <w:t>登封中联登电水泥有限公司</w:t>
            </w:r>
          </w:p>
        </w:tc>
        <w:tc>
          <w:tcPr>
            <w:tcW w:w="633" w:type="pct"/>
            <w:tcBorders>
              <w:top w:val="single" w:sz="4" w:space="0" w:color="auto"/>
              <w:left w:val="single" w:sz="4" w:space="0" w:color="auto"/>
              <w:bottom w:val="single" w:sz="4" w:space="0" w:color="auto"/>
              <w:right w:val="single" w:sz="4" w:space="0" w:color="auto"/>
            </w:tcBorders>
          </w:tcPr>
          <w:p w14:paraId="1E9E9276"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4465781B" w14:textId="77777777" w:rsidR="00E57DAA" w:rsidRDefault="00AC4185">
            <w:pPr>
              <w:autoSpaceDE w:val="0"/>
              <w:autoSpaceDN w:val="0"/>
              <w:adjustRightInd w:val="0"/>
              <w:jc w:val="right"/>
              <w:rPr>
                <w:szCs w:val="21"/>
              </w:rPr>
            </w:pPr>
            <w:r>
              <w:t>31,700.00</w:t>
            </w:r>
          </w:p>
        </w:tc>
        <w:tc>
          <w:tcPr>
            <w:tcW w:w="703" w:type="pct"/>
            <w:tcBorders>
              <w:top w:val="single" w:sz="4" w:space="0" w:color="auto"/>
              <w:left w:val="single" w:sz="4" w:space="0" w:color="auto"/>
              <w:bottom w:val="single" w:sz="4" w:space="0" w:color="auto"/>
              <w:right w:val="single" w:sz="4" w:space="0" w:color="auto"/>
            </w:tcBorders>
          </w:tcPr>
          <w:p w14:paraId="03BD8957"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194A86CE" w14:textId="77777777" w:rsidR="00E57DAA" w:rsidRDefault="00AC4185">
            <w:pPr>
              <w:autoSpaceDE w:val="0"/>
              <w:autoSpaceDN w:val="0"/>
              <w:adjustRightInd w:val="0"/>
              <w:jc w:val="right"/>
              <w:rPr>
                <w:szCs w:val="21"/>
              </w:rPr>
            </w:pPr>
            <w:r>
              <w:t>2,400.00</w:t>
            </w:r>
          </w:p>
        </w:tc>
      </w:tr>
      <w:tr w:rsidR="00E57DAA" w14:paraId="76D1D8E4" w14:textId="77777777">
        <w:tc>
          <w:tcPr>
            <w:tcW w:w="677" w:type="pct"/>
            <w:tcBorders>
              <w:top w:val="single" w:sz="4" w:space="0" w:color="auto"/>
              <w:left w:val="single" w:sz="4" w:space="0" w:color="auto"/>
              <w:bottom w:val="single" w:sz="4" w:space="0" w:color="auto"/>
              <w:right w:val="single" w:sz="4" w:space="0" w:color="auto"/>
            </w:tcBorders>
            <w:vAlign w:val="center"/>
          </w:tcPr>
          <w:p w14:paraId="4D5D3F7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D58EACA" w14:textId="77777777" w:rsidR="00E57DAA" w:rsidRDefault="00AC4185">
            <w:pPr>
              <w:autoSpaceDE w:val="0"/>
              <w:autoSpaceDN w:val="0"/>
              <w:adjustRightInd w:val="0"/>
              <w:rPr>
                <w:szCs w:val="21"/>
              </w:rPr>
            </w:pPr>
            <w:r>
              <w:t>抚州市东乡区南方新材料有限公司</w:t>
            </w:r>
          </w:p>
        </w:tc>
        <w:tc>
          <w:tcPr>
            <w:tcW w:w="633" w:type="pct"/>
            <w:tcBorders>
              <w:top w:val="single" w:sz="4" w:space="0" w:color="auto"/>
              <w:left w:val="single" w:sz="4" w:space="0" w:color="auto"/>
              <w:bottom w:val="single" w:sz="4" w:space="0" w:color="auto"/>
              <w:right w:val="single" w:sz="4" w:space="0" w:color="auto"/>
            </w:tcBorders>
          </w:tcPr>
          <w:p w14:paraId="2733F517"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0F4E458E" w14:textId="77777777" w:rsidR="00E57DAA" w:rsidRDefault="00AC4185">
            <w:pPr>
              <w:autoSpaceDE w:val="0"/>
              <w:autoSpaceDN w:val="0"/>
              <w:adjustRightInd w:val="0"/>
              <w:jc w:val="right"/>
              <w:rPr>
                <w:szCs w:val="21"/>
              </w:rPr>
            </w:pPr>
            <w:r>
              <w:t>17,560.00</w:t>
            </w:r>
          </w:p>
        </w:tc>
        <w:tc>
          <w:tcPr>
            <w:tcW w:w="703" w:type="pct"/>
            <w:tcBorders>
              <w:top w:val="single" w:sz="4" w:space="0" w:color="auto"/>
              <w:left w:val="single" w:sz="4" w:space="0" w:color="auto"/>
              <w:bottom w:val="single" w:sz="4" w:space="0" w:color="auto"/>
              <w:right w:val="single" w:sz="4" w:space="0" w:color="auto"/>
            </w:tcBorders>
          </w:tcPr>
          <w:p w14:paraId="48CF1607" w14:textId="77777777" w:rsidR="00E57DAA" w:rsidRDefault="00AC4185">
            <w:pPr>
              <w:autoSpaceDE w:val="0"/>
              <w:autoSpaceDN w:val="0"/>
              <w:adjustRightInd w:val="0"/>
              <w:jc w:val="right"/>
              <w:rPr>
                <w:szCs w:val="21"/>
              </w:rPr>
            </w:pPr>
            <w:r>
              <w:t>121,000.00</w:t>
            </w:r>
          </w:p>
        </w:tc>
        <w:tc>
          <w:tcPr>
            <w:tcW w:w="914" w:type="pct"/>
            <w:tcBorders>
              <w:top w:val="single" w:sz="4" w:space="0" w:color="auto"/>
              <w:left w:val="single" w:sz="4" w:space="0" w:color="auto"/>
              <w:bottom w:val="single" w:sz="4" w:space="0" w:color="auto"/>
              <w:right w:val="single" w:sz="4" w:space="0" w:color="auto"/>
            </w:tcBorders>
          </w:tcPr>
          <w:p w14:paraId="4B8CE249" w14:textId="77777777" w:rsidR="00E57DAA" w:rsidRDefault="00AC4185">
            <w:pPr>
              <w:autoSpaceDE w:val="0"/>
              <w:autoSpaceDN w:val="0"/>
              <w:adjustRightInd w:val="0"/>
              <w:jc w:val="right"/>
              <w:rPr>
                <w:szCs w:val="21"/>
              </w:rPr>
            </w:pPr>
            <w:r>
              <w:t>1,840.00</w:t>
            </w:r>
          </w:p>
        </w:tc>
      </w:tr>
      <w:tr w:rsidR="00E57DAA" w14:paraId="3B490DFE" w14:textId="77777777">
        <w:tc>
          <w:tcPr>
            <w:tcW w:w="677" w:type="pct"/>
            <w:tcBorders>
              <w:top w:val="single" w:sz="4" w:space="0" w:color="auto"/>
              <w:left w:val="single" w:sz="4" w:space="0" w:color="auto"/>
              <w:bottom w:val="single" w:sz="4" w:space="0" w:color="auto"/>
              <w:right w:val="single" w:sz="4" w:space="0" w:color="auto"/>
            </w:tcBorders>
            <w:vAlign w:val="center"/>
          </w:tcPr>
          <w:p w14:paraId="6B7AA2E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AC77BE9" w14:textId="77777777" w:rsidR="00E57DAA" w:rsidRDefault="00AC4185">
            <w:pPr>
              <w:autoSpaceDE w:val="0"/>
              <w:autoSpaceDN w:val="0"/>
              <w:adjustRightInd w:val="0"/>
              <w:rPr>
                <w:szCs w:val="21"/>
              </w:rPr>
            </w:pPr>
            <w:r>
              <w:t>建德更楼矿业有限公司</w:t>
            </w:r>
          </w:p>
        </w:tc>
        <w:tc>
          <w:tcPr>
            <w:tcW w:w="633" w:type="pct"/>
            <w:tcBorders>
              <w:top w:val="single" w:sz="4" w:space="0" w:color="auto"/>
              <w:left w:val="single" w:sz="4" w:space="0" w:color="auto"/>
              <w:bottom w:val="single" w:sz="4" w:space="0" w:color="auto"/>
              <w:right w:val="single" w:sz="4" w:space="0" w:color="auto"/>
            </w:tcBorders>
          </w:tcPr>
          <w:p w14:paraId="31E98252"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6639541C" w14:textId="77777777" w:rsidR="00E57DAA" w:rsidRDefault="00AC4185">
            <w:pPr>
              <w:autoSpaceDE w:val="0"/>
              <w:autoSpaceDN w:val="0"/>
              <w:adjustRightInd w:val="0"/>
              <w:jc w:val="right"/>
              <w:rPr>
                <w:szCs w:val="21"/>
              </w:rPr>
            </w:pPr>
            <w:r>
              <w:t>19,700.00</w:t>
            </w:r>
          </w:p>
        </w:tc>
        <w:tc>
          <w:tcPr>
            <w:tcW w:w="703" w:type="pct"/>
            <w:tcBorders>
              <w:top w:val="single" w:sz="4" w:space="0" w:color="auto"/>
              <w:left w:val="single" w:sz="4" w:space="0" w:color="auto"/>
              <w:bottom w:val="single" w:sz="4" w:space="0" w:color="auto"/>
              <w:right w:val="single" w:sz="4" w:space="0" w:color="auto"/>
            </w:tcBorders>
          </w:tcPr>
          <w:p w14:paraId="405CAB96"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3E2F652C" w14:textId="77777777" w:rsidR="00E57DAA" w:rsidRDefault="00AC4185">
            <w:pPr>
              <w:autoSpaceDE w:val="0"/>
              <w:autoSpaceDN w:val="0"/>
              <w:adjustRightInd w:val="0"/>
              <w:jc w:val="right"/>
              <w:rPr>
                <w:szCs w:val="21"/>
              </w:rPr>
            </w:pPr>
            <w:r>
              <w:t>1,200.00</w:t>
            </w:r>
          </w:p>
        </w:tc>
      </w:tr>
      <w:tr w:rsidR="00E57DAA" w14:paraId="00CA3478" w14:textId="77777777">
        <w:tc>
          <w:tcPr>
            <w:tcW w:w="677" w:type="pct"/>
            <w:tcBorders>
              <w:top w:val="single" w:sz="4" w:space="0" w:color="auto"/>
              <w:left w:val="single" w:sz="4" w:space="0" w:color="auto"/>
              <w:bottom w:val="single" w:sz="4" w:space="0" w:color="auto"/>
              <w:right w:val="single" w:sz="4" w:space="0" w:color="auto"/>
            </w:tcBorders>
            <w:vAlign w:val="center"/>
          </w:tcPr>
          <w:p w14:paraId="7CAAAE4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AECADF0" w14:textId="77777777" w:rsidR="00E57DAA" w:rsidRDefault="00AC4185">
            <w:pPr>
              <w:autoSpaceDE w:val="0"/>
              <w:autoSpaceDN w:val="0"/>
              <w:adjustRightInd w:val="0"/>
              <w:rPr>
                <w:szCs w:val="21"/>
              </w:rPr>
            </w:pPr>
            <w:r>
              <w:t>宁夏青铜峡水泥股份有限公司</w:t>
            </w:r>
          </w:p>
        </w:tc>
        <w:tc>
          <w:tcPr>
            <w:tcW w:w="633" w:type="pct"/>
            <w:tcBorders>
              <w:top w:val="single" w:sz="4" w:space="0" w:color="auto"/>
              <w:left w:val="single" w:sz="4" w:space="0" w:color="auto"/>
              <w:bottom w:val="single" w:sz="4" w:space="0" w:color="auto"/>
              <w:right w:val="single" w:sz="4" w:space="0" w:color="auto"/>
            </w:tcBorders>
          </w:tcPr>
          <w:p w14:paraId="24D9A96E"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4D45A140" w14:textId="77777777" w:rsidR="00E57DAA" w:rsidRDefault="00AC4185">
            <w:pPr>
              <w:autoSpaceDE w:val="0"/>
              <w:autoSpaceDN w:val="0"/>
              <w:adjustRightInd w:val="0"/>
              <w:jc w:val="right"/>
              <w:rPr>
                <w:szCs w:val="21"/>
              </w:rPr>
            </w:pPr>
            <w:r>
              <w:t>18,800.00</w:t>
            </w:r>
          </w:p>
        </w:tc>
        <w:tc>
          <w:tcPr>
            <w:tcW w:w="703" w:type="pct"/>
            <w:tcBorders>
              <w:top w:val="single" w:sz="4" w:space="0" w:color="auto"/>
              <w:left w:val="single" w:sz="4" w:space="0" w:color="auto"/>
              <w:bottom w:val="single" w:sz="4" w:space="0" w:color="auto"/>
              <w:right w:val="single" w:sz="4" w:space="0" w:color="auto"/>
            </w:tcBorders>
          </w:tcPr>
          <w:p w14:paraId="0347E840"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78A5841D" w14:textId="77777777" w:rsidR="00E57DAA" w:rsidRDefault="00AC4185">
            <w:pPr>
              <w:autoSpaceDE w:val="0"/>
              <w:autoSpaceDN w:val="0"/>
              <w:adjustRightInd w:val="0"/>
              <w:jc w:val="right"/>
              <w:rPr>
                <w:szCs w:val="21"/>
              </w:rPr>
            </w:pPr>
            <w:r>
              <w:t>12,200.00</w:t>
            </w:r>
          </w:p>
        </w:tc>
      </w:tr>
      <w:tr w:rsidR="00E57DAA" w14:paraId="0BE8D772" w14:textId="77777777">
        <w:tc>
          <w:tcPr>
            <w:tcW w:w="677" w:type="pct"/>
            <w:tcBorders>
              <w:top w:val="single" w:sz="4" w:space="0" w:color="auto"/>
              <w:left w:val="single" w:sz="4" w:space="0" w:color="auto"/>
              <w:bottom w:val="single" w:sz="4" w:space="0" w:color="auto"/>
              <w:right w:val="single" w:sz="4" w:space="0" w:color="auto"/>
            </w:tcBorders>
            <w:vAlign w:val="center"/>
          </w:tcPr>
          <w:p w14:paraId="684B813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3A9C9FE" w14:textId="77777777" w:rsidR="00E57DAA" w:rsidRDefault="00AC4185">
            <w:pPr>
              <w:autoSpaceDE w:val="0"/>
              <w:autoSpaceDN w:val="0"/>
              <w:adjustRightInd w:val="0"/>
              <w:rPr>
                <w:szCs w:val="21"/>
              </w:rPr>
            </w:pPr>
            <w:r>
              <w:t>新泰中联泰丰水泥有限公司</w:t>
            </w:r>
          </w:p>
        </w:tc>
        <w:tc>
          <w:tcPr>
            <w:tcW w:w="633" w:type="pct"/>
            <w:tcBorders>
              <w:top w:val="single" w:sz="4" w:space="0" w:color="auto"/>
              <w:left w:val="single" w:sz="4" w:space="0" w:color="auto"/>
              <w:bottom w:val="single" w:sz="4" w:space="0" w:color="auto"/>
              <w:right w:val="single" w:sz="4" w:space="0" w:color="auto"/>
            </w:tcBorders>
          </w:tcPr>
          <w:p w14:paraId="13B6E97F"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6B2866E7" w14:textId="77777777" w:rsidR="00E57DAA" w:rsidRDefault="00AC4185">
            <w:pPr>
              <w:autoSpaceDE w:val="0"/>
              <w:autoSpaceDN w:val="0"/>
              <w:adjustRightInd w:val="0"/>
              <w:jc w:val="right"/>
              <w:rPr>
                <w:szCs w:val="21"/>
              </w:rPr>
            </w:pPr>
            <w:r>
              <w:t>2,000.00</w:t>
            </w:r>
          </w:p>
        </w:tc>
        <w:tc>
          <w:tcPr>
            <w:tcW w:w="703" w:type="pct"/>
            <w:tcBorders>
              <w:top w:val="single" w:sz="4" w:space="0" w:color="auto"/>
              <w:left w:val="single" w:sz="4" w:space="0" w:color="auto"/>
              <w:bottom w:val="single" w:sz="4" w:space="0" w:color="auto"/>
              <w:right w:val="single" w:sz="4" w:space="0" w:color="auto"/>
            </w:tcBorders>
          </w:tcPr>
          <w:p w14:paraId="0800ADD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D1A101D" w14:textId="77777777" w:rsidR="00E57DAA" w:rsidRDefault="00AC4185">
            <w:pPr>
              <w:autoSpaceDE w:val="0"/>
              <w:autoSpaceDN w:val="0"/>
              <w:adjustRightInd w:val="0"/>
              <w:jc w:val="right"/>
              <w:rPr>
                <w:szCs w:val="21"/>
              </w:rPr>
            </w:pPr>
            <w:r>
              <w:t xml:space="preserve">　</w:t>
            </w:r>
          </w:p>
        </w:tc>
      </w:tr>
      <w:tr w:rsidR="00E57DAA" w14:paraId="49B2F258" w14:textId="77777777">
        <w:tc>
          <w:tcPr>
            <w:tcW w:w="677" w:type="pct"/>
            <w:tcBorders>
              <w:top w:val="single" w:sz="4" w:space="0" w:color="auto"/>
              <w:left w:val="single" w:sz="4" w:space="0" w:color="auto"/>
              <w:bottom w:val="single" w:sz="4" w:space="0" w:color="auto"/>
              <w:right w:val="single" w:sz="4" w:space="0" w:color="auto"/>
            </w:tcBorders>
            <w:vAlign w:val="center"/>
          </w:tcPr>
          <w:p w14:paraId="7E9DD8A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88D46E7" w14:textId="77777777" w:rsidR="00E57DAA" w:rsidRDefault="00AC4185">
            <w:pPr>
              <w:autoSpaceDE w:val="0"/>
              <w:autoSpaceDN w:val="0"/>
              <w:adjustRightInd w:val="0"/>
              <w:rPr>
                <w:szCs w:val="21"/>
              </w:rPr>
            </w:pPr>
            <w:r>
              <w:t>禹州市成磊建材有限公司</w:t>
            </w:r>
          </w:p>
        </w:tc>
        <w:tc>
          <w:tcPr>
            <w:tcW w:w="633" w:type="pct"/>
            <w:tcBorders>
              <w:top w:val="single" w:sz="4" w:space="0" w:color="auto"/>
              <w:left w:val="single" w:sz="4" w:space="0" w:color="auto"/>
              <w:bottom w:val="single" w:sz="4" w:space="0" w:color="auto"/>
              <w:right w:val="single" w:sz="4" w:space="0" w:color="auto"/>
            </w:tcBorders>
          </w:tcPr>
          <w:p w14:paraId="2EE5C34B"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3F81D0A3" w14:textId="77777777" w:rsidR="00E57DAA" w:rsidRDefault="00AC4185">
            <w:pPr>
              <w:autoSpaceDE w:val="0"/>
              <w:autoSpaceDN w:val="0"/>
              <w:adjustRightInd w:val="0"/>
              <w:jc w:val="right"/>
              <w:rPr>
                <w:szCs w:val="21"/>
              </w:rPr>
            </w:pPr>
            <w:r>
              <w:t>31,700.00</w:t>
            </w:r>
          </w:p>
        </w:tc>
        <w:tc>
          <w:tcPr>
            <w:tcW w:w="703" w:type="pct"/>
            <w:tcBorders>
              <w:top w:val="single" w:sz="4" w:space="0" w:color="auto"/>
              <w:left w:val="single" w:sz="4" w:space="0" w:color="auto"/>
              <w:bottom w:val="single" w:sz="4" w:space="0" w:color="auto"/>
              <w:right w:val="single" w:sz="4" w:space="0" w:color="auto"/>
            </w:tcBorders>
          </w:tcPr>
          <w:p w14:paraId="722DE67D" w14:textId="77777777" w:rsidR="00E57DAA" w:rsidRDefault="00AC4185">
            <w:pPr>
              <w:autoSpaceDE w:val="0"/>
              <w:autoSpaceDN w:val="0"/>
              <w:adjustRightInd w:val="0"/>
              <w:jc w:val="right"/>
              <w:rPr>
                <w:szCs w:val="21"/>
              </w:rPr>
            </w:pPr>
            <w:r>
              <w:t>165,000.00</w:t>
            </w:r>
          </w:p>
        </w:tc>
        <w:tc>
          <w:tcPr>
            <w:tcW w:w="914" w:type="pct"/>
            <w:tcBorders>
              <w:top w:val="single" w:sz="4" w:space="0" w:color="auto"/>
              <w:left w:val="single" w:sz="4" w:space="0" w:color="auto"/>
              <w:bottom w:val="single" w:sz="4" w:space="0" w:color="auto"/>
              <w:right w:val="single" w:sz="4" w:space="0" w:color="auto"/>
            </w:tcBorders>
          </w:tcPr>
          <w:p w14:paraId="65F02B1D" w14:textId="77777777" w:rsidR="00E57DAA" w:rsidRDefault="00AC4185">
            <w:pPr>
              <w:autoSpaceDE w:val="0"/>
              <w:autoSpaceDN w:val="0"/>
              <w:adjustRightInd w:val="0"/>
              <w:jc w:val="right"/>
              <w:rPr>
                <w:szCs w:val="21"/>
              </w:rPr>
            </w:pPr>
            <w:r>
              <w:t>3,960.00</w:t>
            </w:r>
          </w:p>
        </w:tc>
      </w:tr>
      <w:tr w:rsidR="00E57DAA" w14:paraId="2DCCE7C3" w14:textId="77777777">
        <w:tc>
          <w:tcPr>
            <w:tcW w:w="677" w:type="pct"/>
            <w:tcBorders>
              <w:top w:val="single" w:sz="4" w:space="0" w:color="auto"/>
              <w:left w:val="single" w:sz="4" w:space="0" w:color="auto"/>
              <w:bottom w:val="single" w:sz="4" w:space="0" w:color="auto"/>
              <w:right w:val="single" w:sz="4" w:space="0" w:color="auto"/>
            </w:tcBorders>
            <w:vAlign w:val="center"/>
          </w:tcPr>
          <w:p w14:paraId="7107E8A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774D124" w14:textId="77777777" w:rsidR="00E57DAA" w:rsidRDefault="00AC4185">
            <w:pPr>
              <w:autoSpaceDE w:val="0"/>
              <w:autoSpaceDN w:val="0"/>
              <w:adjustRightInd w:val="0"/>
              <w:rPr>
                <w:szCs w:val="21"/>
              </w:rPr>
            </w:pPr>
            <w:r>
              <w:t>长兴南方水泥有限公司</w:t>
            </w:r>
          </w:p>
        </w:tc>
        <w:tc>
          <w:tcPr>
            <w:tcW w:w="633" w:type="pct"/>
            <w:tcBorders>
              <w:top w:val="single" w:sz="4" w:space="0" w:color="auto"/>
              <w:left w:val="single" w:sz="4" w:space="0" w:color="auto"/>
              <w:bottom w:val="single" w:sz="4" w:space="0" w:color="auto"/>
              <w:right w:val="single" w:sz="4" w:space="0" w:color="auto"/>
            </w:tcBorders>
          </w:tcPr>
          <w:p w14:paraId="37882BC5"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7E03E84C" w14:textId="77777777" w:rsidR="00E57DAA" w:rsidRDefault="00AC4185">
            <w:pPr>
              <w:autoSpaceDE w:val="0"/>
              <w:autoSpaceDN w:val="0"/>
              <w:adjustRightInd w:val="0"/>
              <w:jc w:val="right"/>
              <w:rPr>
                <w:szCs w:val="21"/>
              </w:rPr>
            </w:pPr>
            <w:r>
              <w:t>5,000.00</w:t>
            </w:r>
          </w:p>
        </w:tc>
        <w:tc>
          <w:tcPr>
            <w:tcW w:w="703" w:type="pct"/>
            <w:tcBorders>
              <w:top w:val="single" w:sz="4" w:space="0" w:color="auto"/>
              <w:left w:val="single" w:sz="4" w:space="0" w:color="auto"/>
              <w:bottom w:val="single" w:sz="4" w:space="0" w:color="auto"/>
              <w:right w:val="single" w:sz="4" w:space="0" w:color="auto"/>
            </w:tcBorders>
          </w:tcPr>
          <w:p w14:paraId="76F3B39A" w14:textId="77777777" w:rsidR="00E57DAA" w:rsidRDefault="00AC4185">
            <w:pPr>
              <w:autoSpaceDE w:val="0"/>
              <w:autoSpaceDN w:val="0"/>
              <w:adjustRightInd w:val="0"/>
              <w:jc w:val="right"/>
              <w:rPr>
                <w:szCs w:val="21"/>
              </w:rPr>
            </w:pPr>
            <w:r>
              <w:t>306,500.00</w:t>
            </w:r>
          </w:p>
        </w:tc>
        <w:tc>
          <w:tcPr>
            <w:tcW w:w="914" w:type="pct"/>
            <w:tcBorders>
              <w:top w:val="single" w:sz="4" w:space="0" w:color="auto"/>
              <w:left w:val="single" w:sz="4" w:space="0" w:color="auto"/>
              <w:bottom w:val="single" w:sz="4" w:space="0" w:color="auto"/>
              <w:right w:val="single" w:sz="4" w:space="0" w:color="auto"/>
            </w:tcBorders>
          </w:tcPr>
          <w:p w14:paraId="7E3E0EDB" w14:textId="77777777" w:rsidR="00E57DAA" w:rsidRDefault="00AC4185">
            <w:pPr>
              <w:autoSpaceDE w:val="0"/>
              <w:autoSpaceDN w:val="0"/>
              <w:adjustRightInd w:val="0"/>
              <w:jc w:val="right"/>
              <w:rPr>
                <w:szCs w:val="21"/>
              </w:rPr>
            </w:pPr>
            <w:r>
              <w:t>7,785.00</w:t>
            </w:r>
          </w:p>
        </w:tc>
      </w:tr>
      <w:tr w:rsidR="00E57DAA" w14:paraId="6ED91D8E" w14:textId="77777777">
        <w:tc>
          <w:tcPr>
            <w:tcW w:w="677" w:type="pct"/>
            <w:tcBorders>
              <w:top w:val="single" w:sz="4" w:space="0" w:color="auto"/>
              <w:left w:val="single" w:sz="4" w:space="0" w:color="auto"/>
              <w:bottom w:val="single" w:sz="4" w:space="0" w:color="auto"/>
              <w:right w:val="single" w:sz="4" w:space="0" w:color="auto"/>
            </w:tcBorders>
            <w:vAlign w:val="center"/>
          </w:tcPr>
          <w:p w14:paraId="28E3F59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C515BD9" w14:textId="77777777" w:rsidR="00E57DAA" w:rsidRDefault="00AC4185">
            <w:pPr>
              <w:autoSpaceDE w:val="0"/>
              <w:autoSpaceDN w:val="0"/>
              <w:adjustRightInd w:val="0"/>
              <w:rPr>
                <w:szCs w:val="21"/>
              </w:rPr>
            </w:pPr>
            <w:r>
              <w:t>浙江南方水泥有限公司</w:t>
            </w:r>
          </w:p>
        </w:tc>
        <w:tc>
          <w:tcPr>
            <w:tcW w:w="633" w:type="pct"/>
            <w:tcBorders>
              <w:top w:val="single" w:sz="4" w:space="0" w:color="auto"/>
              <w:left w:val="single" w:sz="4" w:space="0" w:color="auto"/>
              <w:bottom w:val="single" w:sz="4" w:space="0" w:color="auto"/>
              <w:right w:val="single" w:sz="4" w:space="0" w:color="auto"/>
            </w:tcBorders>
          </w:tcPr>
          <w:p w14:paraId="683D844C"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1B094A1A" w14:textId="77777777" w:rsidR="00E57DAA" w:rsidRDefault="00AC4185">
            <w:pPr>
              <w:autoSpaceDE w:val="0"/>
              <w:autoSpaceDN w:val="0"/>
              <w:adjustRightInd w:val="0"/>
              <w:jc w:val="right"/>
              <w:rPr>
                <w:szCs w:val="21"/>
              </w:rPr>
            </w:pPr>
            <w:r>
              <w:t>13,700.00</w:t>
            </w:r>
          </w:p>
        </w:tc>
        <w:tc>
          <w:tcPr>
            <w:tcW w:w="703" w:type="pct"/>
            <w:tcBorders>
              <w:top w:val="single" w:sz="4" w:space="0" w:color="auto"/>
              <w:left w:val="single" w:sz="4" w:space="0" w:color="auto"/>
              <w:bottom w:val="single" w:sz="4" w:space="0" w:color="auto"/>
              <w:right w:val="single" w:sz="4" w:space="0" w:color="auto"/>
            </w:tcBorders>
          </w:tcPr>
          <w:p w14:paraId="4E6C8FE7"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35D95D32" w14:textId="77777777" w:rsidR="00E57DAA" w:rsidRDefault="00AC4185">
            <w:pPr>
              <w:autoSpaceDE w:val="0"/>
              <w:autoSpaceDN w:val="0"/>
              <w:adjustRightInd w:val="0"/>
              <w:jc w:val="right"/>
              <w:rPr>
                <w:szCs w:val="21"/>
              </w:rPr>
            </w:pPr>
            <w:r>
              <w:t>7,150.00</w:t>
            </w:r>
          </w:p>
        </w:tc>
      </w:tr>
      <w:tr w:rsidR="00E57DAA" w14:paraId="2636BF6F" w14:textId="77777777">
        <w:tc>
          <w:tcPr>
            <w:tcW w:w="677" w:type="pct"/>
            <w:tcBorders>
              <w:top w:val="single" w:sz="4" w:space="0" w:color="auto"/>
              <w:left w:val="single" w:sz="4" w:space="0" w:color="auto"/>
              <w:bottom w:val="single" w:sz="4" w:space="0" w:color="auto"/>
              <w:right w:val="single" w:sz="4" w:space="0" w:color="auto"/>
            </w:tcBorders>
            <w:vAlign w:val="center"/>
          </w:tcPr>
          <w:p w14:paraId="1A4FBAF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FC52CAF" w14:textId="77777777" w:rsidR="00E57DAA" w:rsidRDefault="00AC4185">
            <w:pPr>
              <w:autoSpaceDE w:val="0"/>
              <w:autoSpaceDN w:val="0"/>
              <w:adjustRightInd w:val="0"/>
              <w:rPr>
                <w:szCs w:val="21"/>
              </w:rPr>
            </w:pPr>
            <w:r>
              <w:t>中材常德水泥有限责任公司</w:t>
            </w:r>
          </w:p>
        </w:tc>
        <w:tc>
          <w:tcPr>
            <w:tcW w:w="633" w:type="pct"/>
            <w:tcBorders>
              <w:top w:val="single" w:sz="4" w:space="0" w:color="auto"/>
              <w:left w:val="single" w:sz="4" w:space="0" w:color="auto"/>
              <w:bottom w:val="single" w:sz="4" w:space="0" w:color="auto"/>
              <w:right w:val="single" w:sz="4" w:space="0" w:color="auto"/>
            </w:tcBorders>
          </w:tcPr>
          <w:p w14:paraId="4A503F4B"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0398F4B2" w14:textId="77777777" w:rsidR="00E57DAA" w:rsidRDefault="00AC4185">
            <w:pPr>
              <w:autoSpaceDE w:val="0"/>
              <w:autoSpaceDN w:val="0"/>
              <w:adjustRightInd w:val="0"/>
              <w:jc w:val="right"/>
              <w:rPr>
                <w:szCs w:val="21"/>
              </w:rPr>
            </w:pPr>
            <w:r>
              <w:t>96,540.00</w:t>
            </w:r>
          </w:p>
        </w:tc>
        <w:tc>
          <w:tcPr>
            <w:tcW w:w="703" w:type="pct"/>
            <w:tcBorders>
              <w:top w:val="single" w:sz="4" w:space="0" w:color="auto"/>
              <w:left w:val="single" w:sz="4" w:space="0" w:color="auto"/>
              <w:bottom w:val="single" w:sz="4" w:space="0" w:color="auto"/>
              <w:right w:val="single" w:sz="4" w:space="0" w:color="auto"/>
            </w:tcBorders>
          </w:tcPr>
          <w:p w14:paraId="1DEFF8FA" w14:textId="77777777" w:rsidR="00E57DAA" w:rsidRDefault="00AC4185">
            <w:pPr>
              <w:autoSpaceDE w:val="0"/>
              <w:autoSpaceDN w:val="0"/>
              <w:adjustRightInd w:val="0"/>
              <w:jc w:val="right"/>
              <w:rPr>
                <w:szCs w:val="21"/>
              </w:rPr>
            </w:pPr>
            <w:r>
              <w:t>108,400.00</w:t>
            </w:r>
          </w:p>
        </w:tc>
        <w:tc>
          <w:tcPr>
            <w:tcW w:w="914" w:type="pct"/>
            <w:tcBorders>
              <w:top w:val="single" w:sz="4" w:space="0" w:color="auto"/>
              <w:left w:val="single" w:sz="4" w:space="0" w:color="auto"/>
              <w:bottom w:val="single" w:sz="4" w:space="0" w:color="auto"/>
              <w:right w:val="single" w:sz="4" w:space="0" w:color="auto"/>
            </w:tcBorders>
          </w:tcPr>
          <w:p w14:paraId="1A2F5E06" w14:textId="77777777" w:rsidR="00E57DAA" w:rsidRDefault="00AC4185">
            <w:pPr>
              <w:autoSpaceDE w:val="0"/>
              <w:autoSpaceDN w:val="0"/>
              <w:adjustRightInd w:val="0"/>
              <w:jc w:val="right"/>
              <w:rPr>
                <w:szCs w:val="21"/>
              </w:rPr>
            </w:pPr>
            <w:r>
              <w:t>96,609.60</w:t>
            </w:r>
          </w:p>
        </w:tc>
      </w:tr>
      <w:tr w:rsidR="00E57DAA" w14:paraId="3C63B76B" w14:textId="77777777">
        <w:tc>
          <w:tcPr>
            <w:tcW w:w="677" w:type="pct"/>
            <w:tcBorders>
              <w:top w:val="single" w:sz="4" w:space="0" w:color="auto"/>
              <w:left w:val="single" w:sz="4" w:space="0" w:color="auto"/>
              <w:bottom w:val="single" w:sz="4" w:space="0" w:color="auto"/>
              <w:right w:val="single" w:sz="4" w:space="0" w:color="auto"/>
            </w:tcBorders>
            <w:vAlign w:val="center"/>
          </w:tcPr>
          <w:p w14:paraId="1D5AC21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DD4D21C" w14:textId="77777777" w:rsidR="00E57DAA" w:rsidRDefault="00AC4185">
            <w:pPr>
              <w:autoSpaceDE w:val="0"/>
              <w:autoSpaceDN w:val="0"/>
              <w:adjustRightInd w:val="0"/>
              <w:rPr>
                <w:szCs w:val="21"/>
              </w:rPr>
            </w:pPr>
            <w:r>
              <w:t>中材汉江水泥股份有限公司</w:t>
            </w:r>
          </w:p>
        </w:tc>
        <w:tc>
          <w:tcPr>
            <w:tcW w:w="633" w:type="pct"/>
            <w:tcBorders>
              <w:top w:val="single" w:sz="4" w:space="0" w:color="auto"/>
              <w:left w:val="single" w:sz="4" w:space="0" w:color="auto"/>
              <w:bottom w:val="single" w:sz="4" w:space="0" w:color="auto"/>
              <w:right w:val="single" w:sz="4" w:space="0" w:color="auto"/>
            </w:tcBorders>
          </w:tcPr>
          <w:p w14:paraId="288D4946"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4F40D8BF" w14:textId="77777777" w:rsidR="00E57DAA" w:rsidRDefault="00AC4185">
            <w:pPr>
              <w:autoSpaceDE w:val="0"/>
              <w:autoSpaceDN w:val="0"/>
              <w:adjustRightInd w:val="0"/>
              <w:jc w:val="right"/>
              <w:rPr>
                <w:szCs w:val="21"/>
              </w:rPr>
            </w:pPr>
            <w:r>
              <w:t>13,700.00</w:t>
            </w:r>
          </w:p>
        </w:tc>
        <w:tc>
          <w:tcPr>
            <w:tcW w:w="703" w:type="pct"/>
            <w:tcBorders>
              <w:top w:val="single" w:sz="4" w:space="0" w:color="auto"/>
              <w:left w:val="single" w:sz="4" w:space="0" w:color="auto"/>
              <w:bottom w:val="single" w:sz="4" w:space="0" w:color="auto"/>
              <w:right w:val="single" w:sz="4" w:space="0" w:color="auto"/>
            </w:tcBorders>
          </w:tcPr>
          <w:p w14:paraId="05C7FAD2"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63EDFF30" w14:textId="77777777" w:rsidR="00E57DAA" w:rsidRDefault="00AC4185">
            <w:pPr>
              <w:autoSpaceDE w:val="0"/>
              <w:autoSpaceDN w:val="0"/>
              <w:adjustRightInd w:val="0"/>
              <w:jc w:val="right"/>
              <w:rPr>
                <w:szCs w:val="21"/>
              </w:rPr>
            </w:pPr>
            <w:r>
              <w:t>2,100.00</w:t>
            </w:r>
          </w:p>
        </w:tc>
      </w:tr>
      <w:tr w:rsidR="00E57DAA" w14:paraId="472434BD" w14:textId="77777777">
        <w:tc>
          <w:tcPr>
            <w:tcW w:w="677" w:type="pct"/>
            <w:tcBorders>
              <w:top w:val="single" w:sz="4" w:space="0" w:color="auto"/>
              <w:left w:val="single" w:sz="4" w:space="0" w:color="auto"/>
              <w:bottom w:val="single" w:sz="4" w:space="0" w:color="auto"/>
              <w:right w:val="single" w:sz="4" w:space="0" w:color="auto"/>
            </w:tcBorders>
            <w:vAlign w:val="center"/>
          </w:tcPr>
          <w:p w14:paraId="58805BB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F4A4448" w14:textId="77777777" w:rsidR="00E57DAA" w:rsidRDefault="00AC4185">
            <w:pPr>
              <w:autoSpaceDE w:val="0"/>
              <w:autoSpaceDN w:val="0"/>
              <w:adjustRightInd w:val="0"/>
              <w:rPr>
                <w:szCs w:val="21"/>
              </w:rPr>
            </w:pPr>
            <w:r>
              <w:t>中建材新材料有限公司</w:t>
            </w:r>
          </w:p>
        </w:tc>
        <w:tc>
          <w:tcPr>
            <w:tcW w:w="633" w:type="pct"/>
            <w:tcBorders>
              <w:top w:val="single" w:sz="4" w:space="0" w:color="auto"/>
              <w:left w:val="single" w:sz="4" w:space="0" w:color="auto"/>
              <w:bottom w:val="single" w:sz="4" w:space="0" w:color="auto"/>
              <w:right w:val="single" w:sz="4" w:space="0" w:color="auto"/>
            </w:tcBorders>
          </w:tcPr>
          <w:p w14:paraId="6F2A53B9"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45DACAAE" w14:textId="77777777" w:rsidR="00E57DAA" w:rsidRDefault="00AC4185">
            <w:pPr>
              <w:autoSpaceDE w:val="0"/>
              <w:autoSpaceDN w:val="0"/>
              <w:adjustRightInd w:val="0"/>
              <w:jc w:val="right"/>
              <w:rPr>
                <w:szCs w:val="21"/>
              </w:rPr>
            </w:pPr>
            <w:r>
              <w:t>9,000.00</w:t>
            </w:r>
          </w:p>
        </w:tc>
        <w:tc>
          <w:tcPr>
            <w:tcW w:w="703" w:type="pct"/>
            <w:tcBorders>
              <w:top w:val="single" w:sz="4" w:space="0" w:color="auto"/>
              <w:left w:val="single" w:sz="4" w:space="0" w:color="auto"/>
              <w:bottom w:val="single" w:sz="4" w:space="0" w:color="auto"/>
              <w:right w:val="single" w:sz="4" w:space="0" w:color="auto"/>
            </w:tcBorders>
          </w:tcPr>
          <w:p w14:paraId="759E5365" w14:textId="77777777" w:rsidR="00E57DAA" w:rsidRDefault="00AC4185">
            <w:pPr>
              <w:autoSpaceDE w:val="0"/>
              <w:autoSpaceDN w:val="0"/>
              <w:adjustRightInd w:val="0"/>
              <w:jc w:val="right"/>
              <w:rPr>
                <w:szCs w:val="21"/>
              </w:rPr>
            </w:pPr>
            <w:r>
              <w:t>2,000.00</w:t>
            </w:r>
          </w:p>
        </w:tc>
        <w:tc>
          <w:tcPr>
            <w:tcW w:w="914" w:type="pct"/>
            <w:tcBorders>
              <w:top w:val="single" w:sz="4" w:space="0" w:color="auto"/>
              <w:left w:val="single" w:sz="4" w:space="0" w:color="auto"/>
              <w:bottom w:val="single" w:sz="4" w:space="0" w:color="auto"/>
              <w:right w:val="single" w:sz="4" w:space="0" w:color="auto"/>
            </w:tcBorders>
          </w:tcPr>
          <w:p w14:paraId="55F22FE5" w14:textId="77777777" w:rsidR="00E57DAA" w:rsidRDefault="00AC4185">
            <w:pPr>
              <w:autoSpaceDE w:val="0"/>
              <w:autoSpaceDN w:val="0"/>
              <w:adjustRightInd w:val="0"/>
              <w:jc w:val="right"/>
              <w:rPr>
                <w:szCs w:val="21"/>
              </w:rPr>
            </w:pPr>
            <w:r>
              <w:t>153</w:t>
            </w:r>
          </w:p>
        </w:tc>
      </w:tr>
      <w:tr w:rsidR="00E57DAA" w14:paraId="3DBC63A3" w14:textId="77777777">
        <w:tc>
          <w:tcPr>
            <w:tcW w:w="677" w:type="pct"/>
            <w:tcBorders>
              <w:top w:val="single" w:sz="4" w:space="0" w:color="auto"/>
              <w:left w:val="single" w:sz="4" w:space="0" w:color="auto"/>
              <w:bottom w:val="single" w:sz="4" w:space="0" w:color="auto"/>
              <w:right w:val="single" w:sz="4" w:space="0" w:color="auto"/>
            </w:tcBorders>
            <w:vAlign w:val="center"/>
          </w:tcPr>
          <w:p w14:paraId="53081A9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8F1DEB6" w14:textId="77777777" w:rsidR="00E57DAA" w:rsidRDefault="00AC4185">
            <w:pPr>
              <w:autoSpaceDE w:val="0"/>
              <w:autoSpaceDN w:val="0"/>
              <w:adjustRightInd w:val="0"/>
              <w:rPr>
                <w:szCs w:val="21"/>
              </w:rPr>
            </w:pPr>
            <w:r>
              <w:t>重庆万州西南水泥有限公司</w:t>
            </w:r>
          </w:p>
        </w:tc>
        <w:tc>
          <w:tcPr>
            <w:tcW w:w="633" w:type="pct"/>
            <w:tcBorders>
              <w:top w:val="single" w:sz="4" w:space="0" w:color="auto"/>
              <w:left w:val="single" w:sz="4" w:space="0" w:color="auto"/>
              <w:bottom w:val="single" w:sz="4" w:space="0" w:color="auto"/>
              <w:right w:val="single" w:sz="4" w:space="0" w:color="auto"/>
            </w:tcBorders>
          </w:tcPr>
          <w:p w14:paraId="71F9D89C"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18F7D97A" w14:textId="77777777" w:rsidR="00E57DAA" w:rsidRDefault="00AC4185">
            <w:pPr>
              <w:autoSpaceDE w:val="0"/>
              <w:autoSpaceDN w:val="0"/>
              <w:adjustRightInd w:val="0"/>
              <w:jc w:val="right"/>
              <w:rPr>
                <w:szCs w:val="21"/>
              </w:rPr>
            </w:pPr>
            <w:r>
              <w:t>2,000.00</w:t>
            </w:r>
          </w:p>
        </w:tc>
        <w:tc>
          <w:tcPr>
            <w:tcW w:w="703" w:type="pct"/>
            <w:tcBorders>
              <w:top w:val="single" w:sz="4" w:space="0" w:color="auto"/>
              <w:left w:val="single" w:sz="4" w:space="0" w:color="auto"/>
              <w:bottom w:val="single" w:sz="4" w:space="0" w:color="auto"/>
              <w:right w:val="single" w:sz="4" w:space="0" w:color="auto"/>
            </w:tcBorders>
          </w:tcPr>
          <w:p w14:paraId="775EDA1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CE163C0" w14:textId="77777777" w:rsidR="00E57DAA" w:rsidRDefault="00AC4185">
            <w:pPr>
              <w:autoSpaceDE w:val="0"/>
              <w:autoSpaceDN w:val="0"/>
              <w:adjustRightInd w:val="0"/>
              <w:jc w:val="right"/>
              <w:rPr>
                <w:szCs w:val="21"/>
              </w:rPr>
            </w:pPr>
            <w:r>
              <w:t xml:space="preserve">　</w:t>
            </w:r>
          </w:p>
        </w:tc>
      </w:tr>
      <w:tr w:rsidR="00E57DAA" w14:paraId="3FAAF4A8" w14:textId="77777777">
        <w:tc>
          <w:tcPr>
            <w:tcW w:w="677" w:type="pct"/>
            <w:tcBorders>
              <w:top w:val="single" w:sz="4" w:space="0" w:color="auto"/>
              <w:left w:val="single" w:sz="4" w:space="0" w:color="auto"/>
              <w:bottom w:val="single" w:sz="4" w:space="0" w:color="auto"/>
              <w:right w:val="single" w:sz="4" w:space="0" w:color="auto"/>
            </w:tcBorders>
            <w:vAlign w:val="center"/>
          </w:tcPr>
          <w:p w14:paraId="7F47487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CB3FEC7" w14:textId="77777777" w:rsidR="00E57DAA" w:rsidRDefault="00AC4185">
            <w:pPr>
              <w:autoSpaceDE w:val="0"/>
              <w:autoSpaceDN w:val="0"/>
              <w:adjustRightInd w:val="0"/>
              <w:rPr>
                <w:szCs w:val="21"/>
              </w:rPr>
            </w:pPr>
            <w:r>
              <w:t>德安县南方新材料有限公司</w:t>
            </w:r>
          </w:p>
        </w:tc>
        <w:tc>
          <w:tcPr>
            <w:tcW w:w="633" w:type="pct"/>
            <w:tcBorders>
              <w:top w:val="single" w:sz="4" w:space="0" w:color="auto"/>
              <w:left w:val="single" w:sz="4" w:space="0" w:color="auto"/>
              <w:bottom w:val="single" w:sz="4" w:space="0" w:color="auto"/>
              <w:right w:val="single" w:sz="4" w:space="0" w:color="auto"/>
            </w:tcBorders>
          </w:tcPr>
          <w:p w14:paraId="50421ABE" w14:textId="77777777" w:rsidR="00E57DAA" w:rsidRDefault="00AC4185">
            <w:pPr>
              <w:autoSpaceDE w:val="0"/>
              <w:autoSpaceDN w:val="0"/>
              <w:adjustRightInd w:val="0"/>
              <w:jc w:val="right"/>
              <w:rPr>
                <w:szCs w:val="21"/>
              </w:rPr>
            </w:pPr>
            <w:r>
              <w:t>80,000.00</w:t>
            </w:r>
          </w:p>
        </w:tc>
        <w:tc>
          <w:tcPr>
            <w:tcW w:w="632" w:type="pct"/>
            <w:tcBorders>
              <w:top w:val="single" w:sz="4" w:space="0" w:color="auto"/>
              <w:left w:val="single" w:sz="4" w:space="0" w:color="auto"/>
              <w:bottom w:val="single" w:sz="4" w:space="0" w:color="auto"/>
              <w:right w:val="single" w:sz="4" w:space="0" w:color="auto"/>
            </w:tcBorders>
          </w:tcPr>
          <w:p w14:paraId="1308CE02" w14:textId="77777777" w:rsidR="00E57DAA" w:rsidRDefault="00AC4185">
            <w:pPr>
              <w:autoSpaceDE w:val="0"/>
              <w:autoSpaceDN w:val="0"/>
              <w:adjustRightInd w:val="0"/>
              <w:jc w:val="right"/>
              <w:rPr>
                <w:szCs w:val="21"/>
              </w:rPr>
            </w:pPr>
            <w:r>
              <w:t>12,550.00</w:t>
            </w:r>
          </w:p>
        </w:tc>
        <w:tc>
          <w:tcPr>
            <w:tcW w:w="703" w:type="pct"/>
            <w:tcBorders>
              <w:top w:val="single" w:sz="4" w:space="0" w:color="auto"/>
              <w:left w:val="single" w:sz="4" w:space="0" w:color="auto"/>
              <w:bottom w:val="single" w:sz="4" w:space="0" w:color="auto"/>
              <w:right w:val="single" w:sz="4" w:space="0" w:color="auto"/>
            </w:tcBorders>
          </w:tcPr>
          <w:p w14:paraId="53D3D42E"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007FBE0F" w14:textId="77777777" w:rsidR="00E57DAA" w:rsidRDefault="00AC4185">
            <w:pPr>
              <w:autoSpaceDE w:val="0"/>
              <w:autoSpaceDN w:val="0"/>
              <w:adjustRightInd w:val="0"/>
              <w:jc w:val="right"/>
              <w:rPr>
                <w:szCs w:val="21"/>
              </w:rPr>
            </w:pPr>
            <w:r>
              <w:t>600</w:t>
            </w:r>
          </w:p>
        </w:tc>
      </w:tr>
      <w:tr w:rsidR="00E57DAA" w14:paraId="4FE837EA" w14:textId="77777777">
        <w:tc>
          <w:tcPr>
            <w:tcW w:w="677" w:type="pct"/>
            <w:tcBorders>
              <w:top w:val="single" w:sz="4" w:space="0" w:color="auto"/>
              <w:left w:val="single" w:sz="4" w:space="0" w:color="auto"/>
              <w:bottom w:val="single" w:sz="4" w:space="0" w:color="auto"/>
              <w:right w:val="single" w:sz="4" w:space="0" w:color="auto"/>
            </w:tcBorders>
            <w:vAlign w:val="center"/>
          </w:tcPr>
          <w:p w14:paraId="1C78952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8FE6FA7" w14:textId="77777777" w:rsidR="00E57DAA" w:rsidRDefault="00AC4185">
            <w:pPr>
              <w:autoSpaceDE w:val="0"/>
              <w:autoSpaceDN w:val="0"/>
              <w:adjustRightInd w:val="0"/>
              <w:rPr>
                <w:szCs w:val="21"/>
              </w:rPr>
            </w:pPr>
            <w:r>
              <w:t>贵州黔西西南水泥有限公司</w:t>
            </w:r>
          </w:p>
        </w:tc>
        <w:tc>
          <w:tcPr>
            <w:tcW w:w="633" w:type="pct"/>
            <w:tcBorders>
              <w:top w:val="single" w:sz="4" w:space="0" w:color="auto"/>
              <w:left w:val="single" w:sz="4" w:space="0" w:color="auto"/>
              <w:bottom w:val="single" w:sz="4" w:space="0" w:color="auto"/>
              <w:right w:val="single" w:sz="4" w:space="0" w:color="auto"/>
            </w:tcBorders>
          </w:tcPr>
          <w:p w14:paraId="340E30E3" w14:textId="77777777" w:rsidR="00E57DAA" w:rsidRDefault="00AC4185">
            <w:pPr>
              <w:autoSpaceDE w:val="0"/>
              <w:autoSpaceDN w:val="0"/>
              <w:adjustRightInd w:val="0"/>
              <w:jc w:val="right"/>
              <w:rPr>
                <w:szCs w:val="21"/>
              </w:rPr>
            </w:pPr>
            <w:r>
              <w:t>67,800.00</w:t>
            </w:r>
          </w:p>
        </w:tc>
        <w:tc>
          <w:tcPr>
            <w:tcW w:w="632" w:type="pct"/>
            <w:tcBorders>
              <w:top w:val="single" w:sz="4" w:space="0" w:color="auto"/>
              <w:left w:val="single" w:sz="4" w:space="0" w:color="auto"/>
              <w:bottom w:val="single" w:sz="4" w:space="0" w:color="auto"/>
              <w:right w:val="single" w:sz="4" w:space="0" w:color="auto"/>
            </w:tcBorders>
          </w:tcPr>
          <w:p w14:paraId="1F76386D" w14:textId="77777777" w:rsidR="00E57DAA" w:rsidRDefault="00AC4185">
            <w:pPr>
              <w:autoSpaceDE w:val="0"/>
              <w:autoSpaceDN w:val="0"/>
              <w:adjustRightInd w:val="0"/>
              <w:jc w:val="right"/>
              <w:rPr>
                <w:szCs w:val="21"/>
              </w:rPr>
            </w:pPr>
            <w:r>
              <w:t>1,356.00</w:t>
            </w:r>
          </w:p>
        </w:tc>
        <w:tc>
          <w:tcPr>
            <w:tcW w:w="703" w:type="pct"/>
            <w:tcBorders>
              <w:top w:val="single" w:sz="4" w:space="0" w:color="auto"/>
              <w:left w:val="single" w:sz="4" w:space="0" w:color="auto"/>
              <w:bottom w:val="single" w:sz="4" w:space="0" w:color="auto"/>
              <w:right w:val="single" w:sz="4" w:space="0" w:color="auto"/>
            </w:tcBorders>
          </w:tcPr>
          <w:p w14:paraId="155F7DC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B68D60C" w14:textId="77777777" w:rsidR="00E57DAA" w:rsidRDefault="00AC4185">
            <w:pPr>
              <w:autoSpaceDE w:val="0"/>
              <w:autoSpaceDN w:val="0"/>
              <w:adjustRightInd w:val="0"/>
              <w:jc w:val="right"/>
              <w:rPr>
                <w:szCs w:val="21"/>
              </w:rPr>
            </w:pPr>
            <w:r>
              <w:t xml:space="preserve">　</w:t>
            </w:r>
          </w:p>
        </w:tc>
      </w:tr>
      <w:tr w:rsidR="00E57DAA" w14:paraId="1A3ECCE9" w14:textId="77777777">
        <w:tc>
          <w:tcPr>
            <w:tcW w:w="677" w:type="pct"/>
            <w:tcBorders>
              <w:top w:val="single" w:sz="4" w:space="0" w:color="auto"/>
              <w:left w:val="single" w:sz="4" w:space="0" w:color="auto"/>
              <w:bottom w:val="single" w:sz="4" w:space="0" w:color="auto"/>
              <w:right w:val="single" w:sz="4" w:space="0" w:color="auto"/>
            </w:tcBorders>
            <w:vAlign w:val="center"/>
          </w:tcPr>
          <w:p w14:paraId="1AB5F6A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1C36A89" w14:textId="77777777" w:rsidR="00E57DAA" w:rsidRDefault="00AC4185">
            <w:pPr>
              <w:autoSpaceDE w:val="0"/>
              <w:autoSpaceDN w:val="0"/>
              <w:adjustRightInd w:val="0"/>
              <w:rPr>
                <w:szCs w:val="21"/>
              </w:rPr>
            </w:pPr>
            <w:r>
              <w:t>安徽广德洪山南方水泥有限公司</w:t>
            </w:r>
          </w:p>
        </w:tc>
        <w:tc>
          <w:tcPr>
            <w:tcW w:w="633" w:type="pct"/>
            <w:tcBorders>
              <w:top w:val="single" w:sz="4" w:space="0" w:color="auto"/>
              <w:left w:val="single" w:sz="4" w:space="0" w:color="auto"/>
              <w:bottom w:val="single" w:sz="4" w:space="0" w:color="auto"/>
              <w:right w:val="single" w:sz="4" w:space="0" w:color="auto"/>
            </w:tcBorders>
          </w:tcPr>
          <w:p w14:paraId="50DAE0C3" w14:textId="77777777" w:rsidR="00E57DAA" w:rsidRDefault="00AC4185">
            <w:pPr>
              <w:autoSpaceDE w:val="0"/>
              <w:autoSpaceDN w:val="0"/>
              <w:adjustRightInd w:val="0"/>
              <w:jc w:val="right"/>
              <w:rPr>
                <w:szCs w:val="21"/>
              </w:rPr>
            </w:pPr>
            <w:r>
              <w:t>60,000.00</w:t>
            </w:r>
          </w:p>
        </w:tc>
        <w:tc>
          <w:tcPr>
            <w:tcW w:w="632" w:type="pct"/>
            <w:tcBorders>
              <w:top w:val="single" w:sz="4" w:space="0" w:color="auto"/>
              <w:left w:val="single" w:sz="4" w:space="0" w:color="auto"/>
              <w:bottom w:val="single" w:sz="4" w:space="0" w:color="auto"/>
              <w:right w:val="single" w:sz="4" w:space="0" w:color="auto"/>
            </w:tcBorders>
          </w:tcPr>
          <w:p w14:paraId="77ED6E41" w14:textId="77777777" w:rsidR="00E57DAA" w:rsidRDefault="00AC4185">
            <w:pPr>
              <w:autoSpaceDE w:val="0"/>
              <w:autoSpaceDN w:val="0"/>
              <w:adjustRightInd w:val="0"/>
              <w:jc w:val="right"/>
              <w:rPr>
                <w:szCs w:val="21"/>
              </w:rPr>
            </w:pPr>
            <w:r>
              <w:t>5,400.00</w:t>
            </w:r>
          </w:p>
        </w:tc>
        <w:tc>
          <w:tcPr>
            <w:tcW w:w="703" w:type="pct"/>
            <w:tcBorders>
              <w:top w:val="single" w:sz="4" w:space="0" w:color="auto"/>
              <w:left w:val="single" w:sz="4" w:space="0" w:color="auto"/>
              <w:bottom w:val="single" w:sz="4" w:space="0" w:color="auto"/>
              <w:right w:val="single" w:sz="4" w:space="0" w:color="auto"/>
            </w:tcBorders>
          </w:tcPr>
          <w:p w14:paraId="6AABB68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885A604" w14:textId="77777777" w:rsidR="00E57DAA" w:rsidRDefault="00AC4185">
            <w:pPr>
              <w:autoSpaceDE w:val="0"/>
              <w:autoSpaceDN w:val="0"/>
              <w:adjustRightInd w:val="0"/>
              <w:jc w:val="right"/>
              <w:rPr>
                <w:szCs w:val="21"/>
              </w:rPr>
            </w:pPr>
            <w:r>
              <w:t xml:space="preserve">　</w:t>
            </w:r>
          </w:p>
        </w:tc>
      </w:tr>
      <w:tr w:rsidR="00E57DAA" w14:paraId="79B9E0A3" w14:textId="77777777">
        <w:tc>
          <w:tcPr>
            <w:tcW w:w="677" w:type="pct"/>
            <w:tcBorders>
              <w:top w:val="single" w:sz="4" w:space="0" w:color="auto"/>
              <w:left w:val="single" w:sz="4" w:space="0" w:color="auto"/>
              <w:bottom w:val="single" w:sz="4" w:space="0" w:color="auto"/>
              <w:right w:val="single" w:sz="4" w:space="0" w:color="auto"/>
            </w:tcBorders>
            <w:vAlign w:val="center"/>
          </w:tcPr>
          <w:p w14:paraId="7647B7D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865CCD0" w14:textId="77777777" w:rsidR="00E57DAA" w:rsidRDefault="00AC4185">
            <w:pPr>
              <w:autoSpaceDE w:val="0"/>
              <w:autoSpaceDN w:val="0"/>
              <w:adjustRightInd w:val="0"/>
              <w:rPr>
                <w:szCs w:val="21"/>
              </w:rPr>
            </w:pPr>
            <w:r>
              <w:t>常山南方水泥有限公司</w:t>
            </w:r>
          </w:p>
        </w:tc>
        <w:tc>
          <w:tcPr>
            <w:tcW w:w="633" w:type="pct"/>
            <w:tcBorders>
              <w:top w:val="single" w:sz="4" w:space="0" w:color="auto"/>
              <w:left w:val="single" w:sz="4" w:space="0" w:color="auto"/>
              <w:bottom w:val="single" w:sz="4" w:space="0" w:color="auto"/>
              <w:right w:val="single" w:sz="4" w:space="0" w:color="auto"/>
            </w:tcBorders>
          </w:tcPr>
          <w:p w14:paraId="346F297F" w14:textId="77777777" w:rsidR="00E57DAA" w:rsidRDefault="00AC4185">
            <w:pPr>
              <w:autoSpaceDE w:val="0"/>
              <w:autoSpaceDN w:val="0"/>
              <w:adjustRightInd w:val="0"/>
              <w:jc w:val="right"/>
              <w:rPr>
                <w:szCs w:val="21"/>
              </w:rPr>
            </w:pPr>
            <w:r>
              <w:t>60,000.00</w:t>
            </w:r>
          </w:p>
        </w:tc>
        <w:tc>
          <w:tcPr>
            <w:tcW w:w="632" w:type="pct"/>
            <w:tcBorders>
              <w:top w:val="single" w:sz="4" w:space="0" w:color="auto"/>
              <w:left w:val="single" w:sz="4" w:space="0" w:color="auto"/>
              <w:bottom w:val="single" w:sz="4" w:space="0" w:color="auto"/>
              <w:right w:val="single" w:sz="4" w:space="0" w:color="auto"/>
            </w:tcBorders>
          </w:tcPr>
          <w:p w14:paraId="2797B020" w14:textId="77777777" w:rsidR="00E57DAA" w:rsidRDefault="00AC4185">
            <w:pPr>
              <w:autoSpaceDE w:val="0"/>
              <w:autoSpaceDN w:val="0"/>
              <w:adjustRightInd w:val="0"/>
              <w:jc w:val="right"/>
              <w:rPr>
                <w:szCs w:val="21"/>
              </w:rPr>
            </w:pPr>
            <w:r>
              <w:t>13,200.00</w:t>
            </w:r>
          </w:p>
        </w:tc>
        <w:tc>
          <w:tcPr>
            <w:tcW w:w="703" w:type="pct"/>
            <w:tcBorders>
              <w:top w:val="single" w:sz="4" w:space="0" w:color="auto"/>
              <w:left w:val="single" w:sz="4" w:space="0" w:color="auto"/>
              <w:bottom w:val="single" w:sz="4" w:space="0" w:color="auto"/>
              <w:right w:val="single" w:sz="4" w:space="0" w:color="auto"/>
            </w:tcBorders>
          </w:tcPr>
          <w:p w14:paraId="014C7DF1" w14:textId="77777777" w:rsidR="00E57DAA" w:rsidRDefault="00AC4185">
            <w:pPr>
              <w:autoSpaceDE w:val="0"/>
              <w:autoSpaceDN w:val="0"/>
              <w:adjustRightInd w:val="0"/>
              <w:jc w:val="right"/>
              <w:rPr>
                <w:szCs w:val="21"/>
              </w:rPr>
            </w:pPr>
            <w:r>
              <w:t>30,000.00</w:t>
            </w:r>
          </w:p>
        </w:tc>
        <w:tc>
          <w:tcPr>
            <w:tcW w:w="914" w:type="pct"/>
            <w:tcBorders>
              <w:top w:val="single" w:sz="4" w:space="0" w:color="auto"/>
              <w:left w:val="single" w:sz="4" w:space="0" w:color="auto"/>
              <w:bottom w:val="single" w:sz="4" w:space="0" w:color="auto"/>
              <w:right w:val="single" w:sz="4" w:space="0" w:color="auto"/>
            </w:tcBorders>
          </w:tcPr>
          <w:p w14:paraId="6E883082" w14:textId="77777777" w:rsidR="00E57DAA" w:rsidRDefault="00AC4185">
            <w:pPr>
              <w:autoSpaceDE w:val="0"/>
              <w:autoSpaceDN w:val="0"/>
              <w:adjustRightInd w:val="0"/>
              <w:jc w:val="right"/>
              <w:rPr>
                <w:szCs w:val="21"/>
              </w:rPr>
            </w:pPr>
            <w:r>
              <w:t>6,000.00</w:t>
            </w:r>
          </w:p>
        </w:tc>
      </w:tr>
      <w:tr w:rsidR="00E57DAA" w14:paraId="29E9ECEC" w14:textId="77777777">
        <w:tc>
          <w:tcPr>
            <w:tcW w:w="677" w:type="pct"/>
            <w:tcBorders>
              <w:top w:val="single" w:sz="4" w:space="0" w:color="auto"/>
              <w:left w:val="single" w:sz="4" w:space="0" w:color="auto"/>
              <w:bottom w:val="single" w:sz="4" w:space="0" w:color="auto"/>
              <w:right w:val="single" w:sz="4" w:space="0" w:color="auto"/>
            </w:tcBorders>
            <w:vAlign w:val="center"/>
          </w:tcPr>
          <w:p w14:paraId="6AEBCAD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2D29803" w14:textId="77777777" w:rsidR="00E57DAA" w:rsidRDefault="00AC4185">
            <w:pPr>
              <w:autoSpaceDE w:val="0"/>
              <w:autoSpaceDN w:val="0"/>
              <w:adjustRightInd w:val="0"/>
              <w:rPr>
                <w:szCs w:val="21"/>
              </w:rPr>
            </w:pPr>
            <w:r>
              <w:t>邓州中联水泥有限公司</w:t>
            </w:r>
          </w:p>
        </w:tc>
        <w:tc>
          <w:tcPr>
            <w:tcW w:w="633" w:type="pct"/>
            <w:tcBorders>
              <w:top w:val="single" w:sz="4" w:space="0" w:color="auto"/>
              <w:left w:val="single" w:sz="4" w:space="0" w:color="auto"/>
              <w:bottom w:val="single" w:sz="4" w:space="0" w:color="auto"/>
              <w:right w:val="single" w:sz="4" w:space="0" w:color="auto"/>
            </w:tcBorders>
          </w:tcPr>
          <w:p w14:paraId="141EA48D"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769B79A1" w14:textId="77777777" w:rsidR="00E57DAA" w:rsidRDefault="00AC4185">
            <w:pPr>
              <w:autoSpaceDE w:val="0"/>
              <w:autoSpaceDN w:val="0"/>
              <w:adjustRightInd w:val="0"/>
              <w:jc w:val="right"/>
              <w:rPr>
                <w:szCs w:val="21"/>
              </w:rPr>
            </w:pPr>
            <w:r>
              <w:t>15,850.00</w:t>
            </w:r>
          </w:p>
        </w:tc>
        <w:tc>
          <w:tcPr>
            <w:tcW w:w="703" w:type="pct"/>
            <w:tcBorders>
              <w:top w:val="single" w:sz="4" w:space="0" w:color="auto"/>
              <w:left w:val="single" w:sz="4" w:space="0" w:color="auto"/>
              <w:bottom w:val="single" w:sz="4" w:space="0" w:color="auto"/>
              <w:right w:val="single" w:sz="4" w:space="0" w:color="auto"/>
            </w:tcBorders>
          </w:tcPr>
          <w:p w14:paraId="45960F79"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28DC63B5" w14:textId="77777777" w:rsidR="00E57DAA" w:rsidRDefault="00AC4185">
            <w:pPr>
              <w:autoSpaceDE w:val="0"/>
              <w:autoSpaceDN w:val="0"/>
              <w:adjustRightInd w:val="0"/>
              <w:jc w:val="right"/>
              <w:rPr>
                <w:szCs w:val="21"/>
              </w:rPr>
            </w:pPr>
            <w:r>
              <w:t>24,300.00</w:t>
            </w:r>
          </w:p>
        </w:tc>
      </w:tr>
      <w:tr w:rsidR="00E57DAA" w14:paraId="415FB8A5" w14:textId="77777777">
        <w:tc>
          <w:tcPr>
            <w:tcW w:w="677" w:type="pct"/>
            <w:tcBorders>
              <w:top w:val="single" w:sz="4" w:space="0" w:color="auto"/>
              <w:left w:val="single" w:sz="4" w:space="0" w:color="auto"/>
              <w:bottom w:val="single" w:sz="4" w:space="0" w:color="auto"/>
              <w:right w:val="single" w:sz="4" w:space="0" w:color="auto"/>
            </w:tcBorders>
            <w:vAlign w:val="center"/>
          </w:tcPr>
          <w:p w14:paraId="0E32EF3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3106793" w14:textId="77777777" w:rsidR="00E57DAA" w:rsidRDefault="00AC4185">
            <w:pPr>
              <w:autoSpaceDE w:val="0"/>
              <w:autoSpaceDN w:val="0"/>
              <w:adjustRightInd w:val="0"/>
              <w:rPr>
                <w:szCs w:val="21"/>
              </w:rPr>
            </w:pPr>
            <w:r>
              <w:t>湖南汨罗南方新材料科技有限公司</w:t>
            </w:r>
          </w:p>
        </w:tc>
        <w:tc>
          <w:tcPr>
            <w:tcW w:w="633" w:type="pct"/>
            <w:tcBorders>
              <w:top w:val="single" w:sz="4" w:space="0" w:color="auto"/>
              <w:left w:val="single" w:sz="4" w:space="0" w:color="auto"/>
              <w:bottom w:val="single" w:sz="4" w:space="0" w:color="auto"/>
              <w:right w:val="single" w:sz="4" w:space="0" w:color="auto"/>
            </w:tcBorders>
          </w:tcPr>
          <w:p w14:paraId="376254A2"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5255A9B6" w14:textId="77777777" w:rsidR="00E57DAA" w:rsidRDefault="00AC4185">
            <w:pPr>
              <w:autoSpaceDE w:val="0"/>
              <w:autoSpaceDN w:val="0"/>
              <w:adjustRightInd w:val="0"/>
              <w:jc w:val="right"/>
              <w:rPr>
                <w:szCs w:val="21"/>
              </w:rPr>
            </w:pPr>
            <w:r>
              <w:t>9,850.00</w:t>
            </w:r>
          </w:p>
        </w:tc>
        <w:tc>
          <w:tcPr>
            <w:tcW w:w="703" w:type="pct"/>
            <w:tcBorders>
              <w:top w:val="single" w:sz="4" w:space="0" w:color="auto"/>
              <w:left w:val="single" w:sz="4" w:space="0" w:color="auto"/>
              <w:bottom w:val="single" w:sz="4" w:space="0" w:color="auto"/>
              <w:right w:val="single" w:sz="4" w:space="0" w:color="auto"/>
            </w:tcBorders>
          </w:tcPr>
          <w:p w14:paraId="3B5C834F"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67263F85" w14:textId="77777777" w:rsidR="00E57DAA" w:rsidRDefault="00AC4185">
            <w:pPr>
              <w:autoSpaceDE w:val="0"/>
              <w:autoSpaceDN w:val="0"/>
              <w:adjustRightInd w:val="0"/>
              <w:jc w:val="right"/>
              <w:rPr>
                <w:szCs w:val="21"/>
              </w:rPr>
            </w:pPr>
            <w:r>
              <w:t>11,900.00</w:t>
            </w:r>
          </w:p>
        </w:tc>
      </w:tr>
      <w:tr w:rsidR="00E57DAA" w14:paraId="7FA025D8" w14:textId="77777777">
        <w:tc>
          <w:tcPr>
            <w:tcW w:w="677" w:type="pct"/>
            <w:tcBorders>
              <w:top w:val="single" w:sz="4" w:space="0" w:color="auto"/>
              <w:left w:val="single" w:sz="4" w:space="0" w:color="auto"/>
              <w:bottom w:val="single" w:sz="4" w:space="0" w:color="auto"/>
              <w:right w:val="single" w:sz="4" w:space="0" w:color="auto"/>
            </w:tcBorders>
            <w:vAlign w:val="center"/>
          </w:tcPr>
          <w:p w14:paraId="103B57E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FA8EB99" w14:textId="77777777" w:rsidR="00E57DAA" w:rsidRDefault="00AC4185">
            <w:pPr>
              <w:autoSpaceDE w:val="0"/>
              <w:autoSpaceDN w:val="0"/>
              <w:adjustRightInd w:val="0"/>
              <w:rPr>
                <w:szCs w:val="21"/>
              </w:rPr>
            </w:pPr>
            <w:r>
              <w:t>溧水天山水泥有限公司</w:t>
            </w:r>
          </w:p>
        </w:tc>
        <w:tc>
          <w:tcPr>
            <w:tcW w:w="633" w:type="pct"/>
            <w:tcBorders>
              <w:top w:val="single" w:sz="4" w:space="0" w:color="auto"/>
              <w:left w:val="single" w:sz="4" w:space="0" w:color="auto"/>
              <w:bottom w:val="single" w:sz="4" w:space="0" w:color="auto"/>
              <w:right w:val="single" w:sz="4" w:space="0" w:color="auto"/>
            </w:tcBorders>
          </w:tcPr>
          <w:p w14:paraId="1E6337E2"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5F6390C6" w14:textId="77777777" w:rsidR="00E57DAA" w:rsidRDefault="00AC4185">
            <w:pPr>
              <w:autoSpaceDE w:val="0"/>
              <w:autoSpaceDN w:val="0"/>
              <w:adjustRightInd w:val="0"/>
              <w:jc w:val="right"/>
              <w:rPr>
                <w:szCs w:val="21"/>
              </w:rPr>
            </w:pPr>
            <w:r>
              <w:t>1,000.00</w:t>
            </w:r>
          </w:p>
        </w:tc>
        <w:tc>
          <w:tcPr>
            <w:tcW w:w="703" w:type="pct"/>
            <w:tcBorders>
              <w:top w:val="single" w:sz="4" w:space="0" w:color="auto"/>
              <w:left w:val="single" w:sz="4" w:space="0" w:color="auto"/>
              <w:bottom w:val="single" w:sz="4" w:space="0" w:color="auto"/>
              <w:right w:val="single" w:sz="4" w:space="0" w:color="auto"/>
            </w:tcBorders>
          </w:tcPr>
          <w:p w14:paraId="09B5D43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F9A5AF5" w14:textId="77777777" w:rsidR="00E57DAA" w:rsidRDefault="00AC4185">
            <w:pPr>
              <w:autoSpaceDE w:val="0"/>
              <w:autoSpaceDN w:val="0"/>
              <w:adjustRightInd w:val="0"/>
              <w:jc w:val="right"/>
              <w:rPr>
                <w:szCs w:val="21"/>
              </w:rPr>
            </w:pPr>
            <w:r>
              <w:t xml:space="preserve">　</w:t>
            </w:r>
          </w:p>
        </w:tc>
      </w:tr>
      <w:tr w:rsidR="00E57DAA" w14:paraId="1A6A2ACB" w14:textId="77777777">
        <w:tc>
          <w:tcPr>
            <w:tcW w:w="677" w:type="pct"/>
            <w:tcBorders>
              <w:top w:val="single" w:sz="4" w:space="0" w:color="auto"/>
              <w:left w:val="single" w:sz="4" w:space="0" w:color="auto"/>
              <w:bottom w:val="single" w:sz="4" w:space="0" w:color="auto"/>
              <w:right w:val="single" w:sz="4" w:space="0" w:color="auto"/>
            </w:tcBorders>
            <w:vAlign w:val="center"/>
          </w:tcPr>
          <w:p w14:paraId="3DD8BC3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EB86CDB" w14:textId="77777777" w:rsidR="00E57DAA" w:rsidRDefault="00AC4185">
            <w:pPr>
              <w:autoSpaceDE w:val="0"/>
              <w:autoSpaceDN w:val="0"/>
              <w:adjustRightInd w:val="0"/>
              <w:rPr>
                <w:szCs w:val="21"/>
              </w:rPr>
            </w:pPr>
            <w:r>
              <w:t>四川威远西南水泥有限公司</w:t>
            </w:r>
          </w:p>
        </w:tc>
        <w:tc>
          <w:tcPr>
            <w:tcW w:w="633" w:type="pct"/>
            <w:tcBorders>
              <w:top w:val="single" w:sz="4" w:space="0" w:color="auto"/>
              <w:left w:val="single" w:sz="4" w:space="0" w:color="auto"/>
              <w:bottom w:val="single" w:sz="4" w:space="0" w:color="auto"/>
              <w:right w:val="single" w:sz="4" w:space="0" w:color="auto"/>
            </w:tcBorders>
          </w:tcPr>
          <w:p w14:paraId="4434EB38"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3D309F22" w14:textId="77777777" w:rsidR="00E57DAA" w:rsidRDefault="00AC4185">
            <w:pPr>
              <w:autoSpaceDE w:val="0"/>
              <w:autoSpaceDN w:val="0"/>
              <w:adjustRightInd w:val="0"/>
              <w:jc w:val="right"/>
              <w:rPr>
                <w:szCs w:val="21"/>
              </w:rPr>
            </w:pPr>
            <w:r>
              <w:t>5,000.00</w:t>
            </w:r>
          </w:p>
        </w:tc>
        <w:tc>
          <w:tcPr>
            <w:tcW w:w="703" w:type="pct"/>
            <w:tcBorders>
              <w:top w:val="single" w:sz="4" w:space="0" w:color="auto"/>
              <w:left w:val="single" w:sz="4" w:space="0" w:color="auto"/>
              <w:bottom w:val="single" w:sz="4" w:space="0" w:color="auto"/>
              <w:right w:val="single" w:sz="4" w:space="0" w:color="auto"/>
            </w:tcBorders>
          </w:tcPr>
          <w:p w14:paraId="0D55A263"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29436AEF" w14:textId="77777777" w:rsidR="00E57DAA" w:rsidRDefault="00AC4185">
            <w:pPr>
              <w:autoSpaceDE w:val="0"/>
              <w:autoSpaceDN w:val="0"/>
              <w:adjustRightInd w:val="0"/>
              <w:jc w:val="right"/>
              <w:rPr>
                <w:szCs w:val="21"/>
              </w:rPr>
            </w:pPr>
            <w:r>
              <w:t>2,500.00</w:t>
            </w:r>
          </w:p>
        </w:tc>
      </w:tr>
      <w:tr w:rsidR="00E57DAA" w14:paraId="02E66A47" w14:textId="77777777">
        <w:tc>
          <w:tcPr>
            <w:tcW w:w="677" w:type="pct"/>
            <w:tcBorders>
              <w:top w:val="single" w:sz="4" w:space="0" w:color="auto"/>
              <w:left w:val="single" w:sz="4" w:space="0" w:color="auto"/>
              <w:bottom w:val="single" w:sz="4" w:space="0" w:color="auto"/>
              <w:right w:val="single" w:sz="4" w:space="0" w:color="auto"/>
            </w:tcBorders>
            <w:vAlign w:val="center"/>
          </w:tcPr>
          <w:p w14:paraId="75F86AA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620C915" w14:textId="77777777" w:rsidR="00E57DAA" w:rsidRDefault="00AC4185">
            <w:pPr>
              <w:autoSpaceDE w:val="0"/>
              <w:autoSpaceDN w:val="0"/>
              <w:adjustRightInd w:val="0"/>
              <w:rPr>
                <w:szCs w:val="21"/>
              </w:rPr>
            </w:pPr>
            <w:r>
              <w:t>苏州天山水泥有限公司</w:t>
            </w:r>
          </w:p>
        </w:tc>
        <w:tc>
          <w:tcPr>
            <w:tcW w:w="633" w:type="pct"/>
            <w:tcBorders>
              <w:top w:val="single" w:sz="4" w:space="0" w:color="auto"/>
              <w:left w:val="single" w:sz="4" w:space="0" w:color="auto"/>
              <w:bottom w:val="single" w:sz="4" w:space="0" w:color="auto"/>
              <w:right w:val="single" w:sz="4" w:space="0" w:color="auto"/>
            </w:tcBorders>
          </w:tcPr>
          <w:p w14:paraId="42CF15DA"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1D862344" w14:textId="77777777" w:rsidR="00E57DAA" w:rsidRDefault="00AC4185">
            <w:pPr>
              <w:autoSpaceDE w:val="0"/>
              <w:autoSpaceDN w:val="0"/>
              <w:adjustRightInd w:val="0"/>
              <w:jc w:val="right"/>
              <w:rPr>
                <w:szCs w:val="21"/>
              </w:rPr>
            </w:pPr>
            <w:r>
              <w:t>2,500.00</w:t>
            </w:r>
          </w:p>
        </w:tc>
        <w:tc>
          <w:tcPr>
            <w:tcW w:w="703" w:type="pct"/>
            <w:tcBorders>
              <w:top w:val="single" w:sz="4" w:space="0" w:color="auto"/>
              <w:left w:val="single" w:sz="4" w:space="0" w:color="auto"/>
              <w:bottom w:val="single" w:sz="4" w:space="0" w:color="auto"/>
              <w:right w:val="single" w:sz="4" w:space="0" w:color="auto"/>
            </w:tcBorders>
          </w:tcPr>
          <w:p w14:paraId="3E039DB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BC6C0FD" w14:textId="77777777" w:rsidR="00E57DAA" w:rsidRDefault="00AC4185">
            <w:pPr>
              <w:autoSpaceDE w:val="0"/>
              <w:autoSpaceDN w:val="0"/>
              <w:adjustRightInd w:val="0"/>
              <w:jc w:val="right"/>
              <w:rPr>
                <w:szCs w:val="21"/>
              </w:rPr>
            </w:pPr>
            <w:r>
              <w:t xml:space="preserve">　</w:t>
            </w:r>
          </w:p>
        </w:tc>
      </w:tr>
      <w:tr w:rsidR="00E57DAA" w14:paraId="1B91D896" w14:textId="77777777">
        <w:tc>
          <w:tcPr>
            <w:tcW w:w="677" w:type="pct"/>
            <w:tcBorders>
              <w:top w:val="single" w:sz="4" w:space="0" w:color="auto"/>
              <w:left w:val="single" w:sz="4" w:space="0" w:color="auto"/>
              <w:bottom w:val="single" w:sz="4" w:space="0" w:color="auto"/>
              <w:right w:val="single" w:sz="4" w:space="0" w:color="auto"/>
            </w:tcBorders>
            <w:vAlign w:val="center"/>
          </w:tcPr>
          <w:p w14:paraId="5C87DA6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D21BCD" w14:textId="77777777" w:rsidR="00E57DAA" w:rsidRDefault="00AC4185">
            <w:pPr>
              <w:autoSpaceDE w:val="0"/>
              <w:autoSpaceDN w:val="0"/>
              <w:adjustRightInd w:val="0"/>
              <w:rPr>
                <w:szCs w:val="21"/>
              </w:rPr>
            </w:pPr>
            <w:r>
              <w:t>重庆石柱西南水泥有限公司</w:t>
            </w:r>
          </w:p>
        </w:tc>
        <w:tc>
          <w:tcPr>
            <w:tcW w:w="633" w:type="pct"/>
            <w:tcBorders>
              <w:top w:val="single" w:sz="4" w:space="0" w:color="auto"/>
              <w:left w:val="single" w:sz="4" w:space="0" w:color="auto"/>
              <w:bottom w:val="single" w:sz="4" w:space="0" w:color="auto"/>
              <w:right w:val="single" w:sz="4" w:space="0" w:color="auto"/>
            </w:tcBorders>
          </w:tcPr>
          <w:p w14:paraId="3181606A"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4B5C8D49" w14:textId="77777777" w:rsidR="00E57DAA" w:rsidRDefault="00AC4185">
            <w:pPr>
              <w:autoSpaceDE w:val="0"/>
              <w:autoSpaceDN w:val="0"/>
              <w:adjustRightInd w:val="0"/>
              <w:jc w:val="right"/>
              <w:rPr>
                <w:szCs w:val="21"/>
              </w:rPr>
            </w:pPr>
            <w:r>
              <w:t>4,500.00</w:t>
            </w:r>
          </w:p>
        </w:tc>
        <w:tc>
          <w:tcPr>
            <w:tcW w:w="703" w:type="pct"/>
            <w:tcBorders>
              <w:top w:val="single" w:sz="4" w:space="0" w:color="auto"/>
              <w:left w:val="single" w:sz="4" w:space="0" w:color="auto"/>
              <w:bottom w:val="single" w:sz="4" w:space="0" w:color="auto"/>
              <w:right w:val="single" w:sz="4" w:space="0" w:color="auto"/>
            </w:tcBorders>
          </w:tcPr>
          <w:p w14:paraId="38A50E00"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2F16DFBB" w14:textId="77777777" w:rsidR="00E57DAA" w:rsidRDefault="00AC4185">
            <w:pPr>
              <w:autoSpaceDE w:val="0"/>
              <w:autoSpaceDN w:val="0"/>
              <w:adjustRightInd w:val="0"/>
              <w:jc w:val="right"/>
              <w:rPr>
                <w:szCs w:val="21"/>
              </w:rPr>
            </w:pPr>
            <w:r>
              <w:t>56</w:t>
            </w:r>
          </w:p>
        </w:tc>
      </w:tr>
      <w:tr w:rsidR="00E57DAA" w14:paraId="5A8F042E" w14:textId="77777777">
        <w:tc>
          <w:tcPr>
            <w:tcW w:w="677" w:type="pct"/>
            <w:tcBorders>
              <w:top w:val="single" w:sz="4" w:space="0" w:color="auto"/>
              <w:left w:val="single" w:sz="4" w:space="0" w:color="auto"/>
              <w:bottom w:val="single" w:sz="4" w:space="0" w:color="auto"/>
              <w:right w:val="single" w:sz="4" w:space="0" w:color="auto"/>
            </w:tcBorders>
            <w:vAlign w:val="center"/>
          </w:tcPr>
          <w:p w14:paraId="452EA93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A1D8735" w14:textId="77777777" w:rsidR="00E57DAA" w:rsidRDefault="00AC4185">
            <w:pPr>
              <w:autoSpaceDE w:val="0"/>
              <w:autoSpaceDN w:val="0"/>
              <w:adjustRightInd w:val="0"/>
              <w:rPr>
                <w:szCs w:val="21"/>
              </w:rPr>
            </w:pPr>
            <w:r>
              <w:t>云南兴建水泥有限公司</w:t>
            </w:r>
          </w:p>
        </w:tc>
        <w:tc>
          <w:tcPr>
            <w:tcW w:w="633" w:type="pct"/>
            <w:tcBorders>
              <w:top w:val="single" w:sz="4" w:space="0" w:color="auto"/>
              <w:left w:val="single" w:sz="4" w:space="0" w:color="auto"/>
              <w:bottom w:val="single" w:sz="4" w:space="0" w:color="auto"/>
              <w:right w:val="single" w:sz="4" w:space="0" w:color="auto"/>
            </w:tcBorders>
          </w:tcPr>
          <w:p w14:paraId="49D8BDE4" w14:textId="77777777" w:rsidR="00E57DAA" w:rsidRDefault="00AC4185">
            <w:pPr>
              <w:autoSpaceDE w:val="0"/>
              <w:autoSpaceDN w:val="0"/>
              <w:adjustRightInd w:val="0"/>
              <w:jc w:val="right"/>
              <w:rPr>
                <w:szCs w:val="21"/>
              </w:rPr>
            </w:pPr>
            <w:r>
              <w:t>40,000.00</w:t>
            </w:r>
          </w:p>
        </w:tc>
        <w:tc>
          <w:tcPr>
            <w:tcW w:w="632" w:type="pct"/>
            <w:tcBorders>
              <w:top w:val="single" w:sz="4" w:space="0" w:color="auto"/>
              <w:left w:val="single" w:sz="4" w:space="0" w:color="auto"/>
              <w:bottom w:val="single" w:sz="4" w:space="0" w:color="auto"/>
              <w:right w:val="single" w:sz="4" w:space="0" w:color="auto"/>
            </w:tcBorders>
          </w:tcPr>
          <w:p w14:paraId="1AF9B22A" w14:textId="77777777" w:rsidR="00E57DAA" w:rsidRDefault="00AC4185">
            <w:pPr>
              <w:autoSpaceDE w:val="0"/>
              <w:autoSpaceDN w:val="0"/>
              <w:adjustRightInd w:val="0"/>
              <w:jc w:val="right"/>
              <w:rPr>
                <w:szCs w:val="21"/>
              </w:rPr>
            </w:pPr>
            <w:r>
              <w:t>7,520.00</w:t>
            </w:r>
          </w:p>
        </w:tc>
        <w:tc>
          <w:tcPr>
            <w:tcW w:w="703" w:type="pct"/>
            <w:tcBorders>
              <w:top w:val="single" w:sz="4" w:space="0" w:color="auto"/>
              <w:left w:val="single" w:sz="4" w:space="0" w:color="auto"/>
              <w:bottom w:val="single" w:sz="4" w:space="0" w:color="auto"/>
              <w:right w:val="single" w:sz="4" w:space="0" w:color="auto"/>
            </w:tcBorders>
          </w:tcPr>
          <w:p w14:paraId="7834C308" w14:textId="77777777" w:rsidR="00E57DAA" w:rsidRDefault="00AC4185">
            <w:pPr>
              <w:autoSpaceDE w:val="0"/>
              <w:autoSpaceDN w:val="0"/>
              <w:adjustRightInd w:val="0"/>
              <w:jc w:val="right"/>
              <w:rPr>
                <w:szCs w:val="21"/>
              </w:rPr>
            </w:pPr>
            <w:r>
              <w:t>90,000.00</w:t>
            </w:r>
          </w:p>
        </w:tc>
        <w:tc>
          <w:tcPr>
            <w:tcW w:w="914" w:type="pct"/>
            <w:tcBorders>
              <w:top w:val="single" w:sz="4" w:space="0" w:color="auto"/>
              <w:left w:val="single" w:sz="4" w:space="0" w:color="auto"/>
              <w:bottom w:val="single" w:sz="4" w:space="0" w:color="auto"/>
              <w:right w:val="single" w:sz="4" w:space="0" w:color="auto"/>
            </w:tcBorders>
          </w:tcPr>
          <w:p w14:paraId="1B2AF894" w14:textId="77777777" w:rsidR="00E57DAA" w:rsidRDefault="00AC4185">
            <w:pPr>
              <w:autoSpaceDE w:val="0"/>
              <w:autoSpaceDN w:val="0"/>
              <w:adjustRightInd w:val="0"/>
              <w:jc w:val="right"/>
              <w:rPr>
                <w:szCs w:val="21"/>
              </w:rPr>
            </w:pPr>
            <w:r>
              <w:t>5,930.00</w:t>
            </w:r>
          </w:p>
        </w:tc>
      </w:tr>
      <w:tr w:rsidR="00E57DAA" w14:paraId="42856044" w14:textId="77777777">
        <w:tc>
          <w:tcPr>
            <w:tcW w:w="677" w:type="pct"/>
            <w:tcBorders>
              <w:top w:val="single" w:sz="4" w:space="0" w:color="auto"/>
              <w:left w:val="single" w:sz="4" w:space="0" w:color="auto"/>
              <w:bottom w:val="single" w:sz="4" w:space="0" w:color="auto"/>
              <w:right w:val="single" w:sz="4" w:space="0" w:color="auto"/>
            </w:tcBorders>
            <w:vAlign w:val="center"/>
          </w:tcPr>
          <w:p w14:paraId="3BA03E50"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0D836898" w14:textId="77777777" w:rsidR="00E57DAA" w:rsidRDefault="00AC4185">
            <w:pPr>
              <w:autoSpaceDE w:val="0"/>
              <w:autoSpaceDN w:val="0"/>
              <w:adjustRightInd w:val="0"/>
              <w:rPr>
                <w:szCs w:val="21"/>
              </w:rPr>
            </w:pPr>
            <w:r>
              <w:t>中材株洲水泥有限责任公司</w:t>
            </w:r>
          </w:p>
        </w:tc>
        <w:tc>
          <w:tcPr>
            <w:tcW w:w="633" w:type="pct"/>
            <w:tcBorders>
              <w:top w:val="single" w:sz="4" w:space="0" w:color="auto"/>
              <w:left w:val="single" w:sz="4" w:space="0" w:color="auto"/>
              <w:bottom w:val="single" w:sz="4" w:space="0" w:color="auto"/>
              <w:right w:val="single" w:sz="4" w:space="0" w:color="auto"/>
            </w:tcBorders>
          </w:tcPr>
          <w:p w14:paraId="0550476B" w14:textId="77777777" w:rsidR="00E57DAA" w:rsidRDefault="00AC4185">
            <w:pPr>
              <w:autoSpaceDE w:val="0"/>
              <w:autoSpaceDN w:val="0"/>
              <w:adjustRightInd w:val="0"/>
              <w:jc w:val="right"/>
              <w:rPr>
                <w:szCs w:val="21"/>
              </w:rPr>
            </w:pPr>
            <w:r>
              <w:t>40,000.00</w:t>
            </w:r>
          </w:p>
        </w:tc>
        <w:tc>
          <w:tcPr>
            <w:tcW w:w="632" w:type="pct"/>
            <w:tcBorders>
              <w:top w:val="single" w:sz="4" w:space="0" w:color="auto"/>
              <w:left w:val="single" w:sz="4" w:space="0" w:color="auto"/>
              <w:bottom w:val="single" w:sz="4" w:space="0" w:color="auto"/>
              <w:right w:val="single" w:sz="4" w:space="0" w:color="auto"/>
            </w:tcBorders>
          </w:tcPr>
          <w:p w14:paraId="73D0902F" w14:textId="77777777" w:rsidR="00E57DAA" w:rsidRDefault="00AC4185">
            <w:pPr>
              <w:autoSpaceDE w:val="0"/>
              <w:autoSpaceDN w:val="0"/>
              <w:adjustRightInd w:val="0"/>
              <w:jc w:val="right"/>
              <w:rPr>
                <w:szCs w:val="21"/>
              </w:rPr>
            </w:pPr>
            <w:r>
              <w:t>26,640.00</w:t>
            </w:r>
          </w:p>
        </w:tc>
        <w:tc>
          <w:tcPr>
            <w:tcW w:w="703" w:type="pct"/>
            <w:tcBorders>
              <w:top w:val="single" w:sz="4" w:space="0" w:color="auto"/>
              <w:left w:val="single" w:sz="4" w:space="0" w:color="auto"/>
              <w:bottom w:val="single" w:sz="4" w:space="0" w:color="auto"/>
              <w:right w:val="single" w:sz="4" w:space="0" w:color="auto"/>
            </w:tcBorders>
          </w:tcPr>
          <w:p w14:paraId="233863BF" w14:textId="77777777" w:rsidR="00E57DAA" w:rsidRDefault="00AC4185">
            <w:pPr>
              <w:autoSpaceDE w:val="0"/>
              <w:autoSpaceDN w:val="0"/>
              <w:adjustRightInd w:val="0"/>
              <w:jc w:val="right"/>
              <w:rPr>
                <w:szCs w:val="21"/>
              </w:rPr>
            </w:pPr>
            <w:r>
              <w:t>290,000.00</w:t>
            </w:r>
          </w:p>
        </w:tc>
        <w:tc>
          <w:tcPr>
            <w:tcW w:w="914" w:type="pct"/>
            <w:tcBorders>
              <w:top w:val="single" w:sz="4" w:space="0" w:color="auto"/>
              <w:left w:val="single" w:sz="4" w:space="0" w:color="auto"/>
              <w:bottom w:val="single" w:sz="4" w:space="0" w:color="auto"/>
              <w:right w:val="single" w:sz="4" w:space="0" w:color="auto"/>
            </w:tcBorders>
          </w:tcPr>
          <w:p w14:paraId="455755DA" w14:textId="77777777" w:rsidR="00E57DAA" w:rsidRDefault="00AC4185">
            <w:pPr>
              <w:autoSpaceDE w:val="0"/>
              <w:autoSpaceDN w:val="0"/>
              <w:adjustRightInd w:val="0"/>
              <w:jc w:val="right"/>
              <w:rPr>
                <w:szCs w:val="21"/>
              </w:rPr>
            </w:pPr>
            <w:r>
              <w:t>150,980.00</w:t>
            </w:r>
          </w:p>
        </w:tc>
      </w:tr>
      <w:tr w:rsidR="00E57DAA" w14:paraId="5B275010" w14:textId="77777777">
        <w:tc>
          <w:tcPr>
            <w:tcW w:w="677" w:type="pct"/>
            <w:tcBorders>
              <w:top w:val="single" w:sz="4" w:space="0" w:color="auto"/>
              <w:left w:val="single" w:sz="4" w:space="0" w:color="auto"/>
              <w:bottom w:val="single" w:sz="4" w:space="0" w:color="auto"/>
              <w:right w:val="single" w:sz="4" w:space="0" w:color="auto"/>
            </w:tcBorders>
            <w:vAlign w:val="center"/>
          </w:tcPr>
          <w:p w14:paraId="11CAE2E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F6F755C" w14:textId="77777777" w:rsidR="00E57DAA" w:rsidRDefault="00AC4185">
            <w:pPr>
              <w:autoSpaceDE w:val="0"/>
              <w:autoSpaceDN w:val="0"/>
              <w:adjustRightInd w:val="0"/>
              <w:rPr>
                <w:szCs w:val="21"/>
              </w:rPr>
            </w:pPr>
            <w:r>
              <w:t>江苏宜城南方水泥有限公司</w:t>
            </w:r>
          </w:p>
        </w:tc>
        <w:tc>
          <w:tcPr>
            <w:tcW w:w="633" w:type="pct"/>
            <w:tcBorders>
              <w:top w:val="single" w:sz="4" w:space="0" w:color="auto"/>
              <w:left w:val="single" w:sz="4" w:space="0" w:color="auto"/>
              <w:bottom w:val="single" w:sz="4" w:space="0" w:color="auto"/>
              <w:right w:val="single" w:sz="4" w:space="0" w:color="auto"/>
            </w:tcBorders>
          </w:tcPr>
          <w:p w14:paraId="61F62229" w14:textId="77777777" w:rsidR="00E57DAA" w:rsidRDefault="00AC4185">
            <w:pPr>
              <w:autoSpaceDE w:val="0"/>
              <w:autoSpaceDN w:val="0"/>
              <w:adjustRightInd w:val="0"/>
              <w:jc w:val="right"/>
              <w:rPr>
                <w:szCs w:val="21"/>
              </w:rPr>
            </w:pPr>
            <w:r>
              <w:t>30,000.00</w:t>
            </w:r>
          </w:p>
        </w:tc>
        <w:tc>
          <w:tcPr>
            <w:tcW w:w="632" w:type="pct"/>
            <w:tcBorders>
              <w:top w:val="single" w:sz="4" w:space="0" w:color="auto"/>
              <w:left w:val="single" w:sz="4" w:space="0" w:color="auto"/>
              <w:bottom w:val="single" w:sz="4" w:space="0" w:color="auto"/>
              <w:right w:val="single" w:sz="4" w:space="0" w:color="auto"/>
            </w:tcBorders>
          </w:tcPr>
          <w:p w14:paraId="3A8973A2" w14:textId="77777777" w:rsidR="00E57DAA" w:rsidRDefault="00AC4185">
            <w:pPr>
              <w:autoSpaceDE w:val="0"/>
              <w:autoSpaceDN w:val="0"/>
              <w:adjustRightInd w:val="0"/>
              <w:jc w:val="right"/>
              <w:rPr>
                <w:szCs w:val="21"/>
              </w:rPr>
            </w:pPr>
            <w:r>
              <w:t>3,000.00</w:t>
            </w:r>
          </w:p>
        </w:tc>
        <w:tc>
          <w:tcPr>
            <w:tcW w:w="703" w:type="pct"/>
            <w:tcBorders>
              <w:top w:val="single" w:sz="4" w:space="0" w:color="auto"/>
              <w:left w:val="single" w:sz="4" w:space="0" w:color="auto"/>
              <w:bottom w:val="single" w:sz="4" w:space="0" w:color="auto"/>
              <w:right w:val="single" w:sz="4" w:space="0" w:color="auto"/>
            </w:tcBorders>
          </w:tcPr>
          <w:p w14:paraId="4625E78A" w14:textId="77777777" w:rsidR="00E57DAA" w:rsidRDefault="00AC4185">
            <w:pPr>
              <w:autoSpaceDE w:val="0"/>
              <w:autoSpaceDN w:val="0"/>
              <w:adjustRightInd w:val="0"/>
              <w:jc w:val="right"/>
              <w:rPr>
                <w:szCs w:val="21"/>
              </w:rPr>
            </w:pPr>
            <w:r>
              <w:t>30,000.00</w:t>
            </w:r>
          </w:p>
        </w:tc>
        <w:tc>
          <w:tcPr>
            <w:tcW w:w="914" w:type="pct"/>
            <w:tcBorders>
              <w:top w:val="single" w:sz="4" w:space="0" w:color="auto"/>
              <w:left w:val="single" w:sz="4" w:space="0" w:color="auto"/>
              <w:bottom w:val="single" w:sz="4" w:space="0" w:color="auto"/>
              <w:right w:val="single" w:sz="4" w:space="0" w:color="auto"/>
            </w:tcBorders>
          </w:tcPr>
          <w:p w14:paraId="3730833B" w14:textId="77777777" w:rsidR="00E57DAA" w:rsidRDefault="00AC4185">
            <w:pPr>
              <w:autoSpaceDE w:val="0"/>
              <w:autoSpaceDN w:val="0"/>
              <w:adjustRightInd w:val="0"/>
              <w:jc w:val="right"/>
              <w:rPr>
                <w:szCs w:val="21"/>
              </w:rPr>
            </w:pPr>
            <w:r>
              <w:t>1,500.00</w:t>
            </w:r>
          </w:p>
        </w:tc>
      </w:tr>
      <w:tr w:rsidR="00E57DAA" w14:paraId="391B5F0B" w14:textId="77777777">
        <w:tc>
          <w:tcPr>
            <w:tcW w:w="677" w:type="pct"/>
            <w:tcBorders>
              <w:top w:val="single" w:sz="4" w:space="0" w:color="auto"/>
              <w:left w:val="single" w:sz="4" w:space="0" w:color="auto"/>
              <w:bottom w:val="single" w:sz="4" w:space="0" w:color="auto"/>
              <w:right w:val="single" w:sz="4" w:space="0" w:color="auto"/>
            </w:tcBorders>
            <w:vAlign w:val="center"/>
          </w:tcPr>
          <w:p w14:paraId="0E3769A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EDCFE76" w14:textId="77777777" w:rsidR="00E57DAA" w:rsidRDefault="00AC4185">
            <w:pPr>
              <w:autoSpaceDE w:val="0"/>
              <w:autoSpaceDN w:val="0"/>
              <w:adjustRightInd w:val="0"/>
              <w:rPr>
                <w:szCs w:val="21"/>
              </w:rPr>
            </w:pPr>
            <w:r>
              <w:t>新乡平原同力水泥有限责任公司</w:t>
            </w:r>
          </w:p>
        </w:tc>
        <w:tc>
          <w:tcPr>
            <w:tcW w:w="633" w:type="pct"/>
            <w:tcBorders>
              <w:top w:val="single" w:sz="4" w:space="0" w:color="auto"/>
              <w:left w:val="single" w:sz="4" w:space="0" w:color="auto"/>
              <w:bottom w:val="single" w:sz="4" w:space="0" w:color="auto"/>
              <w:right w:val="single" w:sz="4" w:space="0" w:color="auto"/>
            </w:tcBorders>
          </w:tcPr>
          <w:p w14:paraId="7F1AEA0D" w14:textId="77777777" w:rsidR="00E57DAA" w:rsidRDefault="00AC4185">
            <w:pPr>
              <w:autoSpaceDE w:val="0"/>
              <w:autoSpaceDN w:val="0"/>
              <w:adjustRightInd w:val="0"/>
              <w:jc w:val="right"/>
              <w:rPr>
                <w:szCs w:val="21"/>
              </w:rPr>
            </w:pPr>
            <w:r>
              <w:t>30,000.00</w:t>
            </w:r>
          </w:p>
        </w:tc>
        <w:tc>
          <w:tcPr>
            <w:tcW w:w="632" w:type="pct"/>
            <w:tcBorders>
              <w:top w:val="single" w:sz="4" w:space="0" w:color="auto"/>
              <w:left w:val="single" w:sz="4" w:space="0" w:color="auto"/>
              <w:bottom w:val="single" w:sz="4" w:space="0" w:color="auto"/>
              <w:right w:val="single" w:sz="4" w:space="0" w:color="auto"/>
            </w:tcBorders>
          </w:tcPr>
          <w:p w14:paraId="4691F839" w14:textId="77777777" w:rsidR="00E57DAA" w:rsidRDefault="00AC4185">
            <w:pPr>
              <w:autoSpaceDE w:val="0"/>
              <w:autoSpaceDN w:val="0"/>
              <w:adjustRightInd w:val="0"/>
              <w:jc w:val="right"/>
              <w:rPr>
                <w:szCs w:val="21"/>
              </w:rPr>
            </w:pPr>
            <w:r>
              <w:t>600</w:t>
            </w:r>
          </w:p>
        </w:tc>
        <w:tc>
          <w:tcPr>
            <w:tcW w:w="703" w:type="pct"/>
            <w:tcBorders>
              <w:top w:val="single" w:sz="4" w:space="0" w:color="auto"/>
              <w:left w:val="single" w:sz="4" w:space="0" w:color="auto"/>
              <w:bottom w:val="single" w:sz="4" w:space="0" w:color="auto"/>
              <w:right w:val="single" w:sz="4" w:space="0" w:color="auto"/>
            </w:tcBorders>
          </w:tcPr>
          <w:p w14:paraId="68EC7427" w14:textId="77777777" w:rsidR="00E57DAA" w:rsidRDefault="00AC4185">
            <w:pPr>
              <w:autoSpaceDE w:val="0"/>
              <w:autoSpaceDN w:val="0"/>
              <w:adjustRightInd w:val="0"/>
              <w:jc w:val="right"/>
              <w:rPr>
                <w:szCs w:val="21"/>
              </w:rPr>
            </w:pPr>
            <w:r>
              <w:t>1,099,000.00</w:t>
            </w:r>
          </w:p>
        </w:tc>
        <w:tc>
          <w:tcPr>
            <w:tcW w:w="914" w:type="pct"/>
            <w:tcBorders>
              <w:top w:val="single" w:sz="4" w:space="0" w:color="auto"/>
              <w:left w:val="single" w:sz="4" w:space="0" w:color="auto"/>
              <w:bottom w:val="single" w:sz="4" w:space="0" w:color="auto"/>
              <w:right w:val="single" w:sz="4" w:space="0" w:color="auto"/>
            </w:tcBorders>
          </w:tcPr>
          <w:p w14:paraId="5230E704" w14:textId="77777777" w:rsidR="00E57DAA" w:rsidRDefault="00AC4185">
            <w:pPr>
              <w:autoSpaceDE w:val="0"/>
              <w:autoSpaceDN w:val="0"/>
              <w:adjustRightInd w:val="0"/>
              <w:jc w:val="right"/>
              <w:rPr>
                <w:szCs w:val="21"/>
              </w:rPr>
            </w:pPr>
            <w:r>
              <w:t>134,078.00</w:t>
            </w:r>
          </w:p>
        </w:tc>
      </w:tr>
      <w:tr w:rsidR="00E57DAA" w14:paraId="319EBDF1" w14:textId="77777777">
        <w:tc>
          <w:tcPr>
            <w:tcW w:w="677" w:type="pct"/>
            <w:tcBorders>
              <w:top w:val="single" w:sz="4" w:space="0" w:color="auto"/>
              <w:left w:val="single" w:sz="4" w:space="0" w:color="auto"/>
              <w:bottom w:val="single" w:sz="4" w:space="0" w:color="auto"/>
              <w:right w:val="single" w:sz="4" w:space="0" w:color="auto"/>
            </w:tcBorders>
            <w:vAlign w:val="center"/>
          </w:tcPr>
          <w:p w14:paraId="6A19F39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0A417AC" w14:textId="77777777" w:rsidR="00E57DAA" w:rsidRDefault="00AC4185">
            <w:pPr>
              <w:autoSpaceDE w:val="0"/>
              <w:autoSpaceDN w:val="0"/>
              <w:adjustRightInd w:val="0"/>
              <w:rPr>
                <w:szCs w:val="21"/>
              </w:rPr>
            </w:pPr>
            <w:r>
              <w:t>新疆米东天山水泥有限责任公司</w:t>
            </w:r>
          </w:p>
        </w:tc>
        <w:tc>
          <w:tcPr>
            <w:tcW w:w="633" w:type="pct"/>
            <w:tcBorders>
              <w:top w:val="single" w:sz="4" w:space="0" w:color="auto"/>
              <w:left w:val="single" w:sz="4" w:space="0" w:color="auto"/>
              <w:bottom w:val="single" w:sz="4" w:space="0" w:color="auto"/>
              <w:right w:val="single" w:sz="4" w:space="0" w:color="auto"/>
            </w:tcBorders>
          </w:tcPr>
          <w:p w14:paraId="322CCD18" w14:textId="77777777" w:rsidR="00E57DAA" w:rsidRDefault="00AC4185">
            <w:pPr>
              <w:autoSpaceDE w:val="0"/>
              <w:autoSpaceDN w:val="0"/>
              <w:adjustRightInd w:val="0"/>
              <w:jc w:val="right"/>
              <w:rPr>
                <w:szCs w:val="21"/>
              </w:rPr>
            </w:pPr>
            <w:r>
              <w:t>29,200.00</w:t>
            </w:r>
          </w:p>
        </w:tc>
        <w:tc>
          <w:tcPr>
            <w:tcW w:w="632" w:type="pct"/>
            <w:tcBorders>
              <w:top w:val="single" w:sz="4" w:space="0" w:color="auto"/>
              <w:left w:val="single" w:sz="4" w:space="0" w:color="auto"/>
              <w:bottom w:val="single" w:sz="4" w:space="0" w:color="auto"/>
              <w:right w:val="single" w:sz="4" w:space="0" w:color="auto"/>
            </w:tcBorders>
          </w:tcPr>
          <w:p w14:paraId="7BC4E09E" w14:textId="77777777" w:rsidR="00E57DAA" w:rsidRDefault="00AC4185">
            <w:pPr>
              <w:autoSpaceDE w:val="0"/>
              <w:autoSpaceDN w:val="0"/>
              <w:adjustRightInd w:val="0"/>
              <w:jc w:val="right"/>
              <w:rPr>
                <w:szCs w:val="21"/>
              </w:rPr>
            </w:pPr>
            <w:r>
              <w:t>3,993.00</w:t>
            </w:r>
          </w:p>
        </w:tc>
        <w:tc>
          <w:tcPr>
            <w:tcW w:w="703" w:type="pct"/>
            <w:tcBorders>
              <w:top w:val="single" w:sz="4" w:space="0" w:color="auto"/>
              <w:left w:val="single" w:sz="4" w:space="0" w:color="auto"/>
              <w:bottom w:val="single" w:sz="4" w:space="0" w:color="auto"/>
              <w:right w:val="single" w:sz="4" w:space="0" w:color="auto"/>
            </w:tcBorders>
          </w:tcPr>
          <w:p w14:paraId="4AE9FD01" w14:textId="77777777" w:rsidR="00E57DAA" w:rsidRDefault="00AC4185">
            <w:pPr>
              <w:autoSpaceDE w:val="0"/>
              <w:autoSpaceDN w:val="0"/>
              <w:adjustRightInd w:val="0"/>
              <w:jc w:val="right"/>
              <w:rPr>
                <w:szCs w:val="21"/>
              </w:rPr>
            </w:pPr>
            <w:r>
              <w:t>29,000.00</w:t>
            </w:r>
          </w:p>
        </w:tc>
        <w:tc>
          <w:tcPr>
            <w:tcW w:w="914" w:type="pct"/>
            <w:tcBorders>
              <w:top w:val="single" w:sz="4" w:space="0" w:color="auto"/>
              <w:left w:val="single" w:sz="4" w:space="0" w:color="auto"/>
              <w:bottom w:val="single" w:sz="4" w:space="0" w:color="auto"/>
              <w:right w:val="single" w:sz="4" w:space="0" w:color="auto"/>
            </w:tcBorders>
          </w:tcPr>
          <w:p w14:paraId="0D9BEB4E" w14:textId="77777777" w:rsidR="00E57DAA" w:rsidRDefault="00AC4185">
            <w:pPr>
              <w:autoSpaceDE w:val="0"/>
              <w:autoSpaceDN w:val="0"/>
              <w:adjustRightInd w:val="0"/>
              <w:jc w:val="right"/>
              <w:rPr>
                <w:szCs w:val="21"/>
              </w:rPr>
            </w:pPr>
            <w:r>
              <w:t>609</w:t>
            </w:r>
          </w:p>
        </w:tc>
      </w:tr>
      <w:tr w:rsidR="00E57DAA" w14:paraId="13197078" w14:textId="77777777">
        <w:tc>
          <w:tcPr>
            <w:tcW w:w="677" w:type="pct"/>
            <w:tcBorders>
              <w:top w:val="single" w:sz="4" w:space="0" w:color="auto"/>
              <w:left w:val="single" w:sz="4" w:space="0" w:color="auto"/>
              <w:bottom w:val="single" w:sz="4" w:space="0" w:color="auto"/>
              <w:right w:val="single" w:sz="4" w:space="0" w:color="auto"/>
            </w:tcBorders>
            <w:vAlign w:val="center"/>
          </w:tcPr>
          <w:p w14:paraId="31E99FA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A9E2F4A" w14:textId="77777777" w:rsidR="00E57DAA" w:rsidRDefault="00AC4185">
            <w:pPr>
              <w:autoSpaceDE w:val="0"/>
              <w:autoSpaceDN w:val="0"/>
              <w:adjustRightInd w:val="0"/>
              <w:rPr>
                <w:szCs w:val="21"/>
              </w:rPr>
            </w:pPr>
            <w:r>
              <w:t>四川省绵竹澳东水泥有限责任公司</w:t>
            </w:r>
          </w:p>
        </w:tc>
        <w:tc>
          <w:tcPr>
            <w:tcW w:w="633" w:type="pct"/>
            <w:tcBorders>
              <w:top w:val="single" w:sz="4" w:space="0" w:color="auto"/>
              <w:left w:val="single" w:sz="4" w:space="0" w:color="auto"/>
              <w:bottom w:val="single" w:sz="4" w:space="0" w:color="auto"/>
              <w:right w:val="single" w:sz="4" w:space="0" w:color="auto"/>
            </w:tcBorders>
          </w:tcPr>
          <w:p w14:paraId="51892C7B" w14:textId="77777777" w:rsidR="00E57DAA" w:rsidRDefault="00AC4185">
            <w:pPr>
              <w:autoSpaceDE w:val="0"/>
              <w:autoSpaceDN w:val="0"/>
              <w:adjustRightInd w:val="0"/>
              <w:jc w:val="right"/>
              <w:rPr>
                <w:szCs w:val="21"/>
              </w:rPr>
            </w:pPr>
            <w:r>
              <w:t>25,000.00</w:t>
            </w:r>
          </w:p>
        </w:tc>
        <w:tc>
          <w:tcPr>
            <w:tcW w:w="632" w:type="pct"/>
            <w:tcBorders>
              <w:top w:val="single" w:sz="4" w:space="0" w:color="auto"/>
              <w:left w:val="single" w:sz="4" w:space="0" w:color="auto"/>
              <w:bottom w:val="single" w:sz="4" w:space="0" w:color="auto"/>
              <w:right w:val="single" w:sz="4" w:space="0" w:color="auto"/>
            </w:tcBorders>
          </w:tcPr>
          <w:p w14:paraId="167C5B87" w14:textId="77777777" w:rsidR="00E57DAA" w:rsidRDefault="00AC4185">
            <w:pPr>
              <w:autoSpaceDE w:val="0"/>
              <w:autoSpaceDN w:val="0"/>
              <w:adjustRightInd w:val="0"/>
              <w:jc w:val="right"/>
              <w:rPr>
                <w:szCs w:val="21"/>
              </w:rPr>
            </w:pPr>
            <w:r>
              <w:t>4,250.00</w:t>
            </w:r>
          </w:p>
        </w:tc>
        <w:tc>
          <w:tcPr>
            <w:tcW w:w="703" w:type="pct"/>
            <w:tcBorders>
              <w:top w:val="single" w:sz="4" w:space="0" w:color="auto"/>
              <w:left w:val="single" w:sz="4" w:space="0" w:color="auto"/>
              <w:bottom w:val="single" w:sz="4" w:space="0" w:color="auto"/>
              <w:right w:val="single" w:sz="4" w:space="0" w:color="auto"/>
            </w:tcBorders>
          </w:tcPr>
          <w:p w14:paraId="3BD012A6"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38684485" w14:textId="77777777" w:rsidR="00E57DAA" w:rsidRDefault="00AC4185">
            <w:pPr>
              <w:autoSpaceDE w:val="0"/>
              <w:autoSpaceDN w:val="0"/>
              <w:adjustRightInd w:val="0"/>
              <w:jc w:val="right"/>
              <w:rPr>
                <w:szCs w:val="21"/>
              </w:rPr>
            </w:pPr>
            <w:r>
              <w:t>2,000.00</w:t>
            </w:r>
          </w:p>
        </w:tc>
      </w:tr>
      <w:tr w:rsidR="00E57DAA" w14:paraId="06CA54B0" w14:textId="77777777">
        <w:tc>
          <w:tcPr>
            <w:tcW w:w="677" w:type="pct"/>
            <w:tcBorders>
              <w:top w:val="single" w:sz="4" w:space="0" w:color="auto"/>
              <w:left w:val="single" w:sz="4" w:space="0" w:color="auto"/>
              <w:bottom w:val="single" w:sz="4" w:space="0" w:color="auto"/>
              <w:right w:val="single" w:sz="4" w:space="0" w:color="auto"/>
            </w:tcBorders>
            <w:vAlign w:val="center"/>
          </w:tcPr>
          <w:p w14:paraId="51FC706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C700956" w14:textId="77777777" w:rsidR="00E57DAA" w:rsidRDefault="00AC4185">
            <w:pPr>
              <w:autoSpaceDE w:val="0"/>
              <w:autoSpaceDN w:val="0"/>
              <w:adjustRightInd w:val="0"/>
              <w:rPr>
                <w:szCs w:val="21"/>
              </w:rPr>
            </w:pPr>
            <w:r>
              <w:t>安徽广德南方水泥有限公司</w:t>
            </w:r>
          </w:p>
        </w:tc>
        <w:tc>
          <w:tcPr>
            <w:tcW w:w="633" w:type="pct"/>
            <w:tcBorders>
              <w:top w:val="single" w:sz="4" w:space="0" w:color="auto"/>
              <w:left w:val="single" w:sz="4" w:space="0" w:color="auto"/>
              <w:bottom w:val="single" w:sz="4" w:space="0" w:color="auto"/>
              <w:right w:val="single" w:sz="4" w:space="0" w:color="auto"/>
            </w:tcBorders>
          </w:tcPr>
          <w:p w14:paraId="512308C0" w14:textId="77777777" w:rsidR="00E57DAA" w:rsidRDefault="00AC4185">
            <w:pPr>
              <w:autoSpaceDE w:val="0"/>
              <w:autoSpaceDN w:val="0"/>
              <w:adjustRightInd w:val="0"/>
              <w:jc w:val="right"/>
              <w:rPr>
                <w:szCs w:val="21"/>
              </w:rPr>
            </w:pPr>
            <w:r>
              <w:t>22,000.00</w:t>
            </w:r>
          </w:p>
        </w:tc>
        <w:tc>
          <w:tcPr>
            <w:tcW w:w="632" w:type="pct"/>
            <w:tcBorders>
              <w:top w:val="single" w:sz="4" w:space="0" w:color="auto"/>
              <w:left w:val="single" w:sz="4" w:space="0" w:color="auto"/>
              <w:bottom w:val="single" w:sz="4" w:space="0" w:color="auto"/>
              <w:right w:val="single" w:sz="4" w:space="0" w:color="auto"/>
            </w:tcBorders>
          </w:tcPr>
          <w:p w14:paraId="481385CA" w14:textId="77777777" w:rsidR="00E57DAA" w:rsidRDefault="00AC4185">
            <w:pPr>
              <w:autoSpaceDE w:val="0"/>
              <w:autoSpaceDN w:val="0"/>
              <w:adjustRightInd w:val="0"/>
              <w:jc w:val="right"/>
              <w:rPr>
                <w:szCs w:val="21"/>
              </w:rPr>
            </w:pPr>
            <w:r>
              <w:t>1,980.00</w:t>
            </w:r>
          </w:p>
        </w:tc>
        <w:tc>
          <w:tcPr>
            <w:tcW w:w="703" w:type="pct"/>
            <w:tcBorders>
              <w:top w:val="single" w:sz="4" w:space="0" w:color="auto"/>
              <w:left w:val="single" w:sz="4" w:space="0" w:color="auto"/>
              <w:bottom w:val="single" w:sz="4" w:space="0" w:color="auto"/>
              <w:right w:val="single" w:sz="4" w:space="0" w:color="auto"/>
            </w:tcBorders>
          </w:tcPr>
          <w:p w14:paraId="300080A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E53900F" w14:textId="77777777" w:rsidR="00E57DAA" w:rsidRDefault="00AC4185">
            <w:pPr>
              <w:autoSpaceDE w:val="0"/>
              <w:autoSpaceDN w:val="0"/>
              <w:adjustRightInd w:val="0"/>
              <w:jc w:val="right"/>
              <w:rPr>
                <w:szCs w:val="21"/>
              </w:rPr>
            </w:pPr>
            <w:r>
              <w:t xml:space="preserve">　</w:t>
            </w:r>
          </w:p>
        </w:tc>
      </w:tr>
      <w:tr w:rsidR="00E57DAA" w14:paraId="3C31E4A0" w14:textId="77777777">
        <w:tc>
          <w:tcPr>
            <w:tcW w:w="677" w:type="pct"/>
            <w:tcBorders>
              <w:top w:val="single" w:sz="4" w:space="0" w:color="auto"/>
              <w:left w:val="single" w:sz="4" w:space="0" w:color="auto"/>
              <w:bottom w:val="single" w:sz="4" w:space="0" w:color="auto"/>
              <w:right w:val="single" w:sz="4" w:space="0" w:color="auto"/>
            </w:tcBorders>
            <w:vAlign w:val="center"/>
          </w:tcPr>
          <w:p w14:paraId="1B1F911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50F1A0C" w14:textId="77777777" w:rsidR="00E57DAA" w:rsidRDefault="00AC4185">
            <w:pPr>
              <w:autoSpaceDE w:val="0"/>
              <w:autoSpaceDN w:val="0"/>
              <w:adjustRightInd w:val="0"/>
              <w:rPr>
                <w:szCs w:val="21"/>
              </w:rPr>
            </w:pPr>
            <w:r>
              <w:t>吐鲁番天山水泥有限责任公司</w:t>
            </w:r>
          </w:p>
        </w:tc>
        <w:tc>
          <w:tcPr>
            <w:tcW w:w="633" w:type="pct"/>
            <w:tcBorders>
              <w:top w:val="single" w:sz="4" w:space="0" w:color="auto"/>
              <w:left w:val="single" w:sz="4" w:space="0" w:color="auto"/>
              <w:bottom w:val="single" w:sz="4" w:space="0" w:color="auto"/>
              <w:right w:val="single" w:sz="4" w:space="0" w:color="auto"/>
            </w:tcBorders>
          </w:tcPr>
          <w:p w14:paraId="4F66F249" w14:textId="77777777" w:rsidR="00E57DAA" w:rsidRDefault="00AC4185">
            <w:pPr>
              <w:autoSpaceDE w:val="0"/>
              <w:autoSpaceDN w:val="0"/>
              <w:adjustRightInd w:val="0"/>
              <w:jc w:val="right"/>
              <w:rPr>
                <w:szCs w:val="21"/>
              </w:rPr>
            </w:pPr>
            <w:r>
              <w:t>22,000.00</w:t>
            </w:r>
          </w:p>
        </w:tc>
        <w:tc>
          <w:tcPr>
            <w:tcW w:w="632" w:type="pct"/>
            <w:tcBorders>
              <w:top w:val="single" w:sz="4" w:space="0" w:color="auto"/>
              <w:left w:val="single" w:sz="4" w:space="0" w:color="auto"/>
              <w:bottom w:val="single" w:sz="4" w:space="0" w:color="auto"/>
              <w:right w:val="single" w:sz="4" w:space="0" w:color="auto"/>
            </w:tcBorders>
          </w:tcPr>
          <w:p w14:paraId="3B69AFA4" w14:textId="77777777" w:rsidR="00E57DAA" w:rsidRDefault="00AC4185">
            <w:pPr>
              <w:autoSpaceDE w:val="0"/>
              <w:autoSpaceDN w:val="0"/>
              <w:adjustRightInd w:val="0"/>
              <w:jc w:val="right"/>
              <w:rPr>
                <w:szCs w:val="21"/>
              </w:rPr>
            </w:pPr>
            <w:r>
              <w:t>3,626.00</w:t>
            </w:r>
          </w:p>
        </w:tc>
        <w:tc>
          <w:tcPr>
            <w:tcW w:w="703" w:type="pct"/>
            <w:tcBorders>
              <w:top w:val="single" w:sz="4" w:space="0" w:color="auto"/>
              <w:left w:val="single" w:sz="4" w:space="0" w:color="auto"/>
              <w:bottom w:val="single" w:sz="4" w:space="0" w:color="auto"/>
              <w:right w:val="single" w:sz="4" w:space="0" w:color="auto"/>
            </w:tcBorders>
          </w:tcPr>
          <w:p w14:paraId="6083E73D" w14:textId="77777777" w:rsidR="00E57DAA" w:rsidRDefault="00AC4185">
            <w:pPr>
              <w:autoSpaceDE w:val="0"/>
              <w:autoSpaceDN w:val="0"/>
              <w:adjustRightInd w:val="0"/>
              <w:jc w:val="right"/>
              <w:rPr>
                <w:szCs w:val="21"/>
              </w:rPr>
            </w:pPr>
            <w:r>
              <w:t>12,000.00</w:t>
            </w:r>
          </w:p>
        </w:tc>
        <w:tc>
          <w:tcPr>
            <w:tcW w:w="914" w:type="pct"/>
            <w:tcBorders>
              <w:top w:val="single" w:sz="4" w:space="0" w:color="auto"/>
              <w:left w:val="single" w:sz="4" w:space="0" w:color="auto"/>
              <w:bottom w:val="single" w:sz="4" w:space="0" w:color="auto"/>
              <w:right w:val="single" w:sz="4" w:space="0" w:color="auto"/>
            </w:tcBorders>
          </w:tcPr>
          <w:p w14:paraId="3F4B05FF" w14:textId="77777777" w:rsidR="00E57DAA" w:rsidRDefault="00AC4185">
            <w:pPr>
              <w:autoSpaceDE w:val="0"/>
              <w:autoSpaceDN w:val="0"/>
              <w:adjustRightInd w:val="0"/>
              <w:jc w:val="right"/>
              <w:rPr>
                <w:szCs w:val="21"/>
              </w:rPr>
            </w:pPr>
            <w:r>
              <w:t>252</w:t>
            </w:r>
          </w:p>
        </w:tc>
      </w:tr>
      <w:tr w:rsidR="00E57DAA" w14:paraId="462EB12F" w14:textId="77777777">
        <w:tc>
          <w:tcPr>
            <w:tcW w:w="677" w:type="pct"/>
            <w:tcBorders>
              <w:top w:val="single" w:sz="4" w:space="0" w:color="auto"/>
              <w:left w:val="single" w:sz="4" w:space="0" w:color="auto"/>
              <w:bottom w:val="single" w:sz="4" w:space="0" w:color="auto"/>
              <w:right w:val="single" w:sz="4" w:space="0" w:color="auto"/>
            </w:tcBorders>
            <w:vAlign w:val="center"/>
          </w:tcPr>
          <w:p w14:paraId="611C918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0090713" w14:textId="77777777" w:rsidR="00E57DAA" w:rsidRDefault="00AC4185">
            <w:pPr>
              <w:autoSpaceDE w:val="0"/>
              <w:autoSpaceDN w:val="0"/>
              <w:adjustRightInd w:val="0"/>
              <w:rPr>
                <w:szCs w:val="21"/>
              </w:rPr>
            </w:pPr>
            <w:r>
              <w:t>江西丰城南方水泥有限公司</w:t>
            </w:r>
          </w:p>
        </w:tc>
        <w:tc>
          <w:tcPr>
            <w:tcW w:w="633" w:type="pct"/>
            <w:tcBorders>
              <w:top w:val="single" w:sz="4" w:space="0" w:color="auto"/>
              <w:left w:val="single" w:sz="4" w:space="0" w:color="auto"/>
              <w:bottom w:val="single" w:sz="4" w:space="0" w:color="auto"/>
              <w:right w:val="single" w:sz="4" w:space="0" w:color="auto"/>
            </w:tcBorders>
          </w:tcPr>
          <w:p w14:paraId="15611B81"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4968CECC" w14:textId="77777777" w:rsidR="00E57DAA" w:rsidRDefault="00AC4185">
            <w:pPr>
              <w:autoSpaceDE w:val="0"/>
              <w:autoSpaceDN w:val="0"/>
              <w:adjustRightInd w:val="0"/>
              <w:jc w:val="right"/>
              <w:rPr>
                <w:szCs w:val="21"/>
              </w:rPr>
            </w:pPr>
            <w:r>
              <w:t>3,940.00</w:t>
            </w:r>
          </w:p>
        </w:tc>
        <w:tc>
          <w:tcPr>
            <w:tcW w:w="703" w:type="pct"/>
            <w:tcBorders>
              <w:top w:val="single" w:sz="4" w:space="0" w:color="auto"/>
              <w:left w:val="single" w:sz="4" w:space="0" w:color="auto"/>
              <w:bottom w:val="single" w:sz="4" w:space="0" w:color="auto"/>
              <w:right w:val="single" w:sz="4" w:space="0" w:color="auto"/>
            </w:tcBorders>
          </w:tcPr>
          <w:p w14:paraId="54D24505" w14:textId="77777777" w:rsidR="00E57DAA" w:rsidRDefault="00AC4185">
            <w:pPr>
              <w:autoSpaceDE w:val="0"/>
              <w:autoSpaceDN w:val="0"/>
              <w:adjustRightInd w:val="0"/>
              <w:jc w:val="right"/>
              <w:rPr>
                <w:szCs w:val="21"/>
              </w:rPr>
            </w:pPr>
            <w:r>
              <w:t>20,500.00</w:t>
            </w:r>
          </w:p>
        </w:tc>
        <w:tc>
          <w:tcPr>
            <w:tcW w:w="914" w:type="pct"/>
            <w:tcBorders>
              <w:top w:val="single" w:sz="4" w:space="0" w:color="auto"/>
              <w:left w:val="single" w:sz="4" w:space="0" w:color="auto"/>
              <w:bottom w:val="single" w:sz="4" w:space="0" w:color="auto"/>
              <w:right w:val="single" w:sz="4" w:space="0" w:color="auto"/>
            </w:tcBorders>
          </w:tcPr>
          <w:p w14:paraId="21AEB3A6" w14:textId="77777777" w:rsidR="00E57DAA" w:rsidRDefault="00AC4185">
            <w:pPr>
              <w:autoSpaceDE w:val="0"/>
              <w:autoSpaceDN w:val="0"/>
              <w:adjustRightInd w:val="0"/>
              <w:jc w:val="right"/>
              <w:rPr>
                <w:szCs w:val="21"/>
              </w:rPr>
            </w:pPr>
            <w:r>
              <w:t>268</w:t>
            </w:r>
          </w:p>
        </w:tc>
      </w:tr>
      <w:tr w:rsidR="00E57DAA" w14:paraId="71626399" w14:textId="77777777">
        <w:tc>
          <w:tcPr>
            <w:tcW w:w="677" w:type="pct"/>
            <w:tcBorders>
              <w:top w:val="single" w:sz="4" w:space="0" w:color="auto"/>
              <w:left w:val="single" w:sz="4" w:space="0" w:color="auto"/>
              <w:bottom w:val="single" w:sz="4" w:space="0" w:color="auto"/>
              <w:right w:val="single" w:sz="4" w:space="0" w:color="auto"/>
            </w:tcBorders>
            <w:vAlign w:val="center"/>
          </w:tcPr>
          <w:p w14:paraId="085035A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8276938" w14:textId="77777777" w:rsidR="00E57DAA" w:rsidRDefault="00AC4185">
            <w:pPr>
              <w:autoSpaceDE w:val="0"/>
              <w:autoSpaceDN w:val="0"/>
              <w:adjustRightInd w:val="0"/>
              <w:rPr>
                <w:szCs w:val="21"/>
              </w:rPr>
            </w:pPr>
            <w:r>
              <w:t>江西九江南方水泥有限公司</w:t>
            </w:r>
          </w:p>
        </w:tc>
        <w:tc>
          <w:tcPr>
            <w:tcW w:w="633" w:type="pct"/>
            <w:tcBorders>
              <w:top w:val="single" w:sz="4" w:space="0" w:color="auto"/>
              <w:left w:val="single" w:sz="4" w:space="0" w:color="auto"/>
              <w:bottom w:val="single" w:sz="4" w:space="0" w:color="auto"/>
              <w:right w:val="single" w:sz="4" w:space="0" w:color="auto"/>
            </w:tcBorders>
          </w:tcPr>
          <w:p w14:paraId="6AFC2E22"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6782AF4F" w14:textId="77777777" w:rsidR="00E57DAA" w:rsidRDefault="00AC4185">
            <w:pPr>
              <w:autoSpaceDE w:val="0"/>
              <w:autoSpaceDN w:val="0"/>
              <w:adjustRightInd w:val="0"/>
              <w:jc w:val="right"/>
              <w:rPr>
                <w:szCs w:val="21"/>
              </w:rPr>
            </w:pPr>
            <w:r>
              <w:t>20,000.00</w:t>
            </w:r>
          </w:p>
        </w:tc>
        <w:tc>
          <w:tcPr>
            <w:tcW w:w="703" w:type="pct"/>
            <w:tcBorders>
              <w:top w:val="single" w:sz="4" w:space="0" w:color="auto"/>
              <w:left w:val="single" w:sz="4" w:space="0" w:color="auto"/>
              <w:bottom w:val="single" w:sz="4" w:space="0" w:color="auto"/>
              <w:right w:val="single" w:sz="4" w:space="0" w:color="auto"/>
            </w:tcBorders>
          </w:tcPr>
          <w:p w14:paraId="1B8C455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F4CD3B3" w14:textId="77777777" w:rsidR="00E57DAA" w:rsidRDefault="00AC4185">
            <w:pPr>
              <w:autoSpaceDE w:val="0"/>
              <w:autoSpaceDN w:val="0"/>
              <w:adjustRightInd w:val="0"/>
              <w:jc w:val="right"/>
              <w:rPr>
                <w:szCs w:val="21"/>
              </w:rPr>
            </w:pPr>
            <w:r>
              <w:t xml:space="preserve">　</w:t>
            </w:r>
          </w:p>
        </w:tc>
      </w:tr>
      <w:tr w:rsidR="00E57DAA" w14:paraId="52396D87" w14:textId="77777777">
        <w:tc>
          <w:tcPr>
            <w:tcW w:w="677" w:type="pct"/>
            <w:tcBorders>
              <w:top w:val="single" w:sz="4" w:space="0" w:color="auto"/>
              <w:left w:val="single" w:sz="4" w:space="0" w:color="auto"/>
              <w:bottom w:val="single" w:sz="4" w:space="0" w:color="auto"/>
              <w:right w:val="single" w:sz="4" w:space="0" w:color="auto"/>
            </w:tcBorders>
            <w:vAlign w:val="center"/>
          </w:tcPr>
          <w:p w14:paraId="6693E23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25B092A" w14:textId="77777777" w:rsidR="00E57DAA" w:rsidRDefault="00AC4185">
            <w:pPr>
              <w:autoSpaceDE w:val="0"/>
              <w:autoSpaceDN w:val="0"/>
              <w:adjustRightInd w:val="0"/>
              <w:rPr>
                <w:szCs w:val="21"/>
              </w:rPr>
            </w:pPr>
            <w:r>
              <w:t>辽源北方水泥有限公司</w:t>
            </w:r>
          </w:p>
        </w:tc>
        <w:tc>
          <w:tcPr>
            <w:tcW w:w="633" w:type="pct"/>
            <w:tcBorders>
              <w:top w:val="single" w:sz="4" w:space="0" w:color="auto"/>
              <w:left w:val="single" w:sz="4" w:space="0" w:color="auto"/>
              <w:bottom w:val="single" w:sz="4" w:space="0" w:color="auto"/>
              <w:right w:val="single" w:sz="4" w:space="0" w:color="auto"/>
            </w:tcBorders>
          </w:tcPr>
          <w:p w14:paraId="097B6348"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5D9C7E85" w14:textId="77777777" w:rsidR="00E57DAA" w:rsidRDefault="00AC4185">
            <w:pPr>
              <w:autoSpaceDE w:val="0"/>
              <w:autoSpaceDN w:val="0"/>
              <w:adjustRightInd w:val="0"/>
              <w:jc w:val="right"/>
              <w:rPr>
                <w:szCs w:val="21"/>
              </w:rPr>
            </w:pPr>
            <w:r>
              <w:t>2,740.00</w:t>
            </w:r>
          </w:p>
        </w:tc>
        <w:tc>
          <w:tcPr>
            <w:tcW w:w="703" w:type="pct"/>
            <w:tcBorders>
              <w:top w:val="single" w:sz="4" w:space="0" w:color="auto"/>
              <w:left w:val="single" w:sz="4" w:space="0" w:color="auto"/>
              <w:bottom w:val="single" w:sz="4" w:space="0" w:color="auto"/>
              <w:right w:val="single" w:sz="4" w:space="0" w:color="auto"/>
            </w:tcBorders>
            <w:vAlign w:val="center"/>
          </w:tcPr>
          <w:p w14:paraId="57AEAB74" w14:textId="77777777" w:rsidR="00E57DAA" w:rsidRDefault="00AC4185">
            <w:pPr>
              <w:autoSpaceDE w:val="0"/>
              <w:autoSpaceDN w:val="0"/>
              <w:adjustRightInd w:val="0"/>
              <w:jc w:val="right"/>
              <w:rPr>
                <w:szCs w:val="21"/>
              </w:rPr>
            </w:pPr>
            <w:r>
              <w:t>21,000.00</w:t>
            </w:r>
          </w:p>
        </w:tc>
        <w:tc>
          <w:tcPr>
            <w:tcW w:w="914" w:type="pct"/>
            <w:tcBorders>
              <w:top w:val="single" w:sz="4" w:space="0" w:color="auto"/>
              <w:left w:val="single" w:sz="4" w:space="0" w:color="auto"/>
              <w:bottom w:val="single" w:sz="4" w:space="0" w:color="auto"/>
              <w:right w:val="single" w:sz="4" w:space="0" w:color="auto"/>
            </w:tcBorders>
            <w:vAlign w:val="center"/>
          </w:tcPr>
          <w:p w14:paraId="62F453A3" w14:textId="77777777" w:rsidR="00E57DAA" w:rsidRDefault="00AC4185">
            <w:pPr>
              <w:autoSpaceDE w:val="0"/>
              <w:autoSpaceDN w:val="0"/>
              <w:adjustRightInd w:val="0"/>
              <w:jc w:val="right"/>
              <w:rPr>
                <w:szCs w:val="21"/>
              </w:rPr>
            </w:pPr>
            <w:r>
              <w:t>441</w:t>
            </w:r>
          </w:p>
        </w:tc>
      </w:tr>
      <w:tr w:rsidR="00E57DAA" w14:paraId="026AF307" w14:textId="77777777">
        <w:tc>
          <w:tcPr>
            <w:tcW w:w="677" w:type="pct"/>
            <w:tcBorders>
              <w:top w:val="single" w:sz="4" w:space="0" w:color="auto"/>
              <w:left w:val="single" w:sz="4" w:space="0" w:color="auto"/>
              <w:bottom w:val="single" w:sz="4" w:space="0" w:color="auto"/>
              <w:right w:val="single" w:sz="4" w:space="0" w:color="auto"/>
            </w:tcBorders>
            <w:vAlign w:val="center"/>
          </w:tcPr>
          <w:p w14:paraId="002BC1A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9B166A2" w14:textId="77777777" w:rsidR="00E57DAA" w:rsidRDefault="00AC4185">
            <w:pPr>
              <w:autoSpaceDE w:val="0"/>
              <w:autoSpaceDN w:val="0"/>
              <w:adjustRightInd w:val="0"/>
              <w:rPr>
                <w:szCs w:val="21"/>
              </w:rPr>
            </w:pPr>
            <w:r>
              <w:t>南京中联混凝土有限公司</w:t>
            </w:r>
          </w:p>
        </w:tc>
        <w:tc>
          <w:tcPr>
            <w:tcW w:w="633" w:type="pct"/>
            <w:tcBorders>
              <w:top w:val="single" w:sz="4" w:space="0" w:color="auto"/>
              <w:left w:val="single" w:sz="4" w:space="0" w:color="auto"/>
              <w:bottom w:val="single" w:sz="4" w:space="0" w:color="auto"/>
              <w:right w:val="single" w:sz="4" w:space="0" w:color="auto"/>
            </w:tcBorders>
          </w:tcPr>
          <w:p w14:paraId="15BB2075"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46D8F4EE" w14:textId="77777777" w:rsidR="00E57DAA" w:rsidRDefault="00AC4185">
            <w:pPr>
              <w:autoSpaceDE w:val="0"/>
              <w:autoSpaceDN w:val="0"/>
              <w:adjustRightInd w:val="0"/>
              <w:jc w:val="right"/>
              <w:rPr>
                <w:szCs w:val="21"/>
              </w:rPr>
            </w:pPr>
            <w:r>
              <w:t>20,000.00</w:t>
            </w:r>
          </w:p>
        </w:tc>
        <w:tc>
          <w:tcPr>
            <w:tcW w:w="703" w:type="pct"/>
            <w:tcBorders>
              <w:top w:val="single" w:sz="4" w:space="0" w:color="auto"/>
              <w:left w:val="single" w:sz="4" w:space="0" w:color="auto"/>
              <w:bottom w:val="single" w:sz="4" w:space="0" w:color="auto"/>
              <w:right w:val="single" w:sz="4" w:space="0" w:color="auto"/>
            </w:tcBorders>
          </w:tcPr>
          <w:p w14:paraId="0C3932CB"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095E518B" w14:textId="77777777" w:rsidR="00E57DAA" w:rsidRDefault="00AC4185">
            <w:pPr>
              <w:autoSpaceDE w:val="0"/>
              <w:autoSpaceDN w:val="0"/>
              <w:adjustRightInd w:val="0"/>
              <w:jc w:val="right"/>
              <w:rPr>
                <w:szCs w:val="21"/>
              </w:rPr>
            </w:pPr>
            <w:r>
              <w:t>20,000.00</w:t>
            </w:r>
          </w:p>
        </w:tc>
      </w:tr>
      <w:tr w:rsidR="00E57DAA" w14:paraId="3F1CB2FC" w14:textId="77777777">
        <w:tc>
          <w:tcPr>
            <w:tcW w:w="677" w:type="pct"/>
            <w:tcBorders>
              <w:top w:val="single" w:sz="4" w:space="0" w:color="auto"/>
              <w:left w:val="single" w:sz="4" w:space="0" w:color="auto"/>
              <w:bottom w:val="single" w:sz="4" w:space="0" w:color="auto"/>
              <w:right w:val="single" w:sz="4" w:space="0" w:color="auto"/>
            </w:tcBorders>
            <w:vAlign w:val="center"/>
          </w:tcPr>
          <w:p w14:paraId="5BFA097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24AF83A" w14:textId="77777777" w:rsidR="00E57DAA" w:rsidRDefault="00AC4185">
            <w:pPr>
              <w:autoSpaceDE w:val="0"/>
              <w:autoSpaceDN w:val="0"/>
              <w:adjustRightInd w:val="0"/>
              <w:rPr>
                <w:szCs w:val="21"/>
              </w:rPr>
            </w:pPr>
            <w:r>
              <w:t>四川峨边西南水泥有限公司</w:t>
            </w:r>
          </w:p>
        </w:tc>
        <w:tc>
          <w:tcPr>
            <w:tcW w:w="633" w:type="pct"/>
            <w:tcBorders>
              <w:top w:val="single" w:sz="4" w:space="0" w:color="auto"/>
              <w:left w:val="single" w:sz="4" w:space="0" w:color="auto"/>
              <w:bottom w:val="single" w:sz="4" w:space="0" w:color="auto"/>
              <w:right w:val="single" w:sz="4" w:space="0" w:color="auto"/>
            </w:tcBorders>
          </w:tcPr>
          <w:p w14:paraId="31217E32"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6CF315AF" w14:textId="77777777" w:rsidR="00E57DAA" w:rsidRDefault="00AC4185">
            <w:pPr>
              <w:autoSpaceDE w:val="0"/>
              <w:autoSpaceDN w:val="0"/>
              <w:adjustRightInd w:val="0"/>
              <w:jc w:val="right"/>
              <w:rPr>
                <w:szCs w:val="21"/>
              </w:rPr>
            </w:pPr>
            <w:r>
              <w:t>6,580.00</w:t>
            </w:r>
          </w:p>
        </w:tc>
        <w:tc>
          <w:tcPr>
            <w:tcW w:w="703" w:type="pct"/>
            <w:tcBorders>
              <w:top w:val="single" w:sz="4" w:space="0" w:color="auto"/>
              <w:left w:val="single" w:sz="4" w:space="0" w:color="auto"/>
              <w:bottom w:val="single" w:sz="4" w:space="0" w:color="auto"/>
              <w:right w:val="single" w:sz="4" w:space="0" w:color="auto"/>
            </w:tcBorders>
          </w:tcPr>
          <w:p w14:paraId="4493CC64"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7514EEDE" w14:textId="77777777" w:rsidR="00E57DAA" w:rsidRDefault="00AC4185">
            <w:pPr>
              <w:autoSpaceDE w:val="0"/>
              <w:autoSpaceDN w:val="0"/>
              <w:adjustRightInd w:val="0"/>
              <w:jc w:val="right"/>
              <w:rPr>
                <w:szCs w:val="21"/>
              </w:rPr>
            </w:pPr>
            <w:r>
              <w:t>3,460.00</w:t>
            </w:r>
          </w:p>
        </w:tc>
      </w:tr>
      <w:tr w:rsidR="00E57DAA" w14:paraId="68B05AAB" w14:textId="77777777">
        <w:tc>
          <w:tcPr>
            <w:tcW w:w="677" w:type="pct"/>
            <w:tcBorders>
              <w:top w:val="single" w:sz="4" w:space="0" w:color="auto"/>
              <w:left w:val="single" w:sz="4" w:space="0" w:color="auto"/>
              <w:bottom w:val="single" w:sz="4" w:space="0" w:color="auto"/>
              <w:right w:val="single" w:sz="4" w:space="0" w:color="auto"/>
            </w:tcBorders>
            <w:vAlign w:val="center"/>
          </w:tcPr>
          <w:p w14:paraId="4B0B3C9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9208543" w14:textId="77777777" w:rsidR="00E57DAA" w:rsidRDefault="00AC4185">
            <w:pPr>
              <w:autoSpaceDE w:val="0"/>
              <w:autoSpaceDN w:val="0"/>
              <w:adjustRightInd w:val="0"/>
              <w:rPr>
                <w:szCs w:val="21"/>
              </w:rPr>
            </w:pPr>
            <w:r>
              <w:t>徐州润基建材有限公司</w:t>
            </w:r>
          </w:p>
        </w:tc>
        <w:tc>
          <w:tcPr>
            <w:tcW w:w="633" w:type="pct"/>
            <w:tcBorders>
              <w:top w:val="single" w:sz="4" w:space="0" w:color="auto"/>
              <w:left w:val="single" w:sz="4" w:space="0" w:color="auto"/>
              <w:bottom w:val="single" w:sz="4" w:space="0" w:color="auto"/>
              <w:right w:val="single" w:sz="4" w:space="0" w:color="auto"/>
            </w:tcBorders>
          </w:tcPr>
          <w:p w14:paraId="3FA52059"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3CD6DB56" w14:textId="77777777" w:rsidR="00E57DAA" w:rsidRDefault="00AC4185">
            <w:pPr>
              <w:autoSpaceDE w:val="0"/>
              <w:autoSpaceDN w:val="0"/>
              <w:adjustRightInd w:val="0"/>
              <w:jc w:val="right"/>
              <w:rPr>
                <w:szCs w:val="21"/>
              </w:rPr>
            </w:pPr>
            <w:r>
              <w:t>186</w:t>
            </w:r>
          </w:p>
        </w:tc>
        <w:tc>
          <w:tcPr>
            <w:tcW w:w="703" w:type="pct"/>
            <w:tcBorders>
              <w:top w:val="single" w:sz="4" w:space="0" w:color="auto"/>
              <w:left w:val="single" w:sz="4" w:space="0" w:color="auto"/>
              <w:bottom w:val="single" w:sz="4" w:space="0" w:color="auto"/>
              <w:right w:val="single" w:sz="4" w:space="0" w:color="auto"/>
            </w:tcBorders>
          </w:tcPr>
          <w:p w14:paraId="19A9466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DFE1D22" w14:textId="77777777" w:rsidR="00E57DAA" w:rsidRDefault="00AC4185">
            <w:pPr>
              <w:autoSpaceDE w:val="0"/>
              <w:autoSpaceDN w:val="0"/>
              <w:adjustRightInd w:val="0"/>
              <w:jc w:val="right"/>
              <w:rPr>
                <w:szCs w:val="21"/>
              </w:rPr>
            </w:pPr>
            <w:r>
              <w:t xml:space="preserve">　</w:t>
            </w:r>
          </w:p>
        </w:tc>
      </w:tr>
      <w:tr w:rsidR="00E57DAA" w14:paraId="05A48890" w14:textId="77777777">
        <w:tc>
          <w:tcPr>
            <w:tcW w:w="677" w:type="pct"/>
            <w:tcBorders>
              <w:top w:val="single" w:sz="4" w:space="0" w:color="auto"/>
              <w:left w:val="single" w:sz="4" w:space="0" w:color="auto"/>
              <w:bottom w:val="single" w:sz="4" w:space="0" w:color="auto"/>
              <w:right w:val="single" w:sz="4" w:space="0" w:color="auto"/>
            </w:tcBorders>
            <w:vAlign w:val="center"/>
          </w:tcPr>
          <w:p w14:paraId="5093509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E87EECD" w14:textId="77777777" w:rsidR="00E57DAA" w:rsidRDefault="00AC4185">
            <w:pPr>
              <w:autoSpaceDE w:val="0"/>
              <w:autoSpaceDN w:val="0"/>
              <w:adjustRightInd w:val="0"/>
              <w:rPr>
                <w:szCs w:val="21"/>
              </w:rPr>
            </w:pPr>
            <w:r>
              <w:t>宜兴天山水泥有限责任公司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7FE0F38E"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73EC7A8E" w14:textId="77777777" w:rsidR="00E57DAA" w:rsidRDefault="00AC4185">
            <w:pPr>
              <w:autoSpaceDE w:val="0"/>
              <w:autoSpaceDN w:val="0"/>
              <w:adjustRightInd w:val="0"/>
              <w:jc w:val="right"/>
              <w:rPr>
                <w:szCs w:val="21"/>
              </w:rPr>
            </w:pPr>
            <w:r>
              <w:t>2,740.00</w:t>
            </w:r>
          </w:p>
        </w:tc>
        <w:tc>
          <w:tcPr>
            <w:tcW w:w="703" w:type="pct"/>
            <w:tcBorders>
              <w:top w:val="single" w:sz="4" w:space="0" w:color="auto"/>
              <w:left w:val="single" w:sz="4" w:space="0" w:color="auto"/>
              <w:bottom w:val="single" w:sz="4" w:space="0" w:color="auto"/>
              <w:right w:val="single" w:sz="4" w:space="0" w:color="auto"/>
            </w:tcBorders>
          </w:tcPr>
          <w:p w14:paraId="5226900C"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2C70FCF2" w14:textId="77777777" w:rsidR="00E57DAA" w:rsidRDefault="00AC4185">
            <w:pPr>
              <w:autoSpaceDE w:val="0"/>
              <w:autoSpaceDN w:val="0"/>
              <w:adjustRightInd w:val="0"/>
              <w:jc w:val="right"/>
              <w:rPr>
                <w:szCs w:val="21"/>
              </w:rPr>
            </w:pPr>
            <w:r>
              <w:t>420</w:t>
            </w:r>
          </w:p>
        </w:tc>
      </w:tr>
      <w:tr w:rsidR="00E57DAA" w14:paraId="0980BC82" w14:textId="77777777">
        <w:tc>
          <w:tcPr>
            <w:tcW w:w="677" w:type="pct"/>
            <w:tcBorders>
              <w:top w:val="single" w:sz="4" w:space="0" w:color="auto"/>
              <w:left w:val="single" w:sz="4" w:space="0" w:color="auto"/>
              <w:bottom w:val="single" w:sz="4" w:space="0" w:color="auto"/>
              <w:right w:val="single" w:sz="4" w:space="0" w:color="auto"/>
            </w:tcBorders>
            <w:vAlign w:val="center"/>
          </w:tcPr>
          <w:p w14:paraId="1417BC1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D9714D8" w14:textId="77777777" w:rsidR="00E57DAA" w:rsidRDefault="00AC4185">
            <w:pPr>
              <w:autoSpaceDE w:val="0"/>
              <w:autoSpaceDN w:val="0"/>
              <w:adjustRightInd w:val="0"/>
              <w:rPr>
                <w:szCs w:val="21"/>
              </w:rPr>
            </w:pPr>
            <w:r>
              <w:t>大方永贵建材有限责任公司</w:t>
            </w:r>
          </w:p>
        </w:tc>
        <w:tc>
          <w:tcPr>
            <w:tcW w:w="633" w:type="pct"/>
            <w:tcBorders>
              <w:top w:val="single" w:sz="4" w:space="0" w:color="auto"/>
              <w:left w:val="single" w:sz="4" w:space="0" w:color="auto"/>
              <w:bottom w:val="single" w:sz="4" w:space="0" w:color="auto"/>
              <w:right w:val="single" w:sz="4" w:space="0" w:color="auto"/>
            </w:tcBorders>
          </w:tcPr>
          <w:p w14:paraId="58078A8B" w14:textId="77777777" w:rsidR="00E57DAA" w:rsidRDefault="00AC4185">
            <w:pPr>
              <w:autoSpaceDE w:val="0"/>
              <w:autoSpaceDN w:val="0"/>
              <w:adjustRightInd w:val="0"/>
              <w:jc w:val="right"/>
              <w:rPr>
                <w:szCs w:val="21"/>
              </w:rPr>
            </w:pPr>
            <w:r>
              <w:t>17,000.00</w:t>
            </w:r>
          </w:p>
        </w:tc>
        <w:tc>
          <w:tcPr>
            <w:tcW w:w="632" w:type="pct"/>
            <w:tcBorders>
              <w:top w:val="single" w:sz="4" w:space="0" w:color="auto"/>
              <w:left w:val="single" w:sz="4" w:space="0" w:color="auto"/>
              <w:bottom w:val="single" w:sz="4" w:space="0" w:color="auto"/>
              <w:right w:val="single" w:sz="4" w:space="0" w:color="auto"/>
            </w:tcBorders>
          </w:tcPr>
          <w:p w14:paraId="345ADBE0" w14:textId="77777777" w:rsidR="00E57DAA" w:rsidRDefault="00AC4185">
            <w:pPr>
              <w:autoSpaceDE w:val="0"/>
              <w:autoSpaceDN w:val="0"/>
              <w:adjustRightInd w:val="0"/>
              <w:jc w:val="right"/>
              <w:rPr>
                <w:szCs w:val="21"/>
              </w:rPr>
            </w:pPr>
            <w:r>
              <w:t>850</w:t>
            </w:r>
          </w:p>
        </w:tc>
        <w:tc>
          <w:tcPr>
            <w:tcW w:w="703" w:type="pct"/>
            <w:tcBorders>
              <w:top w:val="single" w:sz="4" w:space="0" w:color="auto"/>
              <w:left w:val="single" w:sz="4" w:space="0" w:color="auto"/>
              <w:bottom w:val="single" w:sz="4" w:space="0" w:color="auto"/>
              <w:right w:val="single" w:sz="4" w:space="0" w:color="auto"/>
            </w:tcBorders>
          </w:tcPr>
          <w:p w14:paraId="1CB1F100" w14:textId="77777777" w:rsidR="00E57DAA" w:rsidRDefault="00AC4185">
            <w:pPr>
              <w:autoSpaceDE w:val="0"/>
              <w:autoSpaceDN w:val="0"/>
              <w:adjustRightInd w:val="0"/>
              <w:jc w:val="right"/>
              <w:rPr>
                <w:szCs w:val="21"/>
              </w:rPr>
            </w:pPr>
            <w:r>
              <w:t>300</w:t>
            </w:r>
          </w:p>
        </w:tc>
        <w:tc>
          <w:tcPr>
            <w:tcW w:w="914" w:type="pct"/>
            <w:tcBorders>
              <w:top w:val="single" w:sz="4" w:space="0" w:color="auto"/>
              <w:left w:val="single" w:sz="4" w:space="0" w:color="auto"/>
              <w:bottom w:val="single" w:sz="4" w:space="0" w:color="auto"/>
              <w:right w:val="single" w:sz="4" w:space="0" w:color="auto"/>
            </w:tcBorders>
          </w:tcPr>
          <w:p w14:paraId="7177518F" w14:textId="77777777" w:rsidR="00E57DAA" w:rsidRDefault="00AC4185">
            <w:pPr>
              <w:autoSpaceDE w:val="0"/>
              <w:autoSpaceDN w:val="0"/>
              <w:adjustRightInd w:val="0"/>
              <w:jc w:val="right"/>
              <w:rPr>
                <w:szCs w:val="21"/>
              </w:rPr>
            </w:pPr>
            <w:r>
              <w:t>60</w:t>
            </w:r>
          </w:p>
        </w:tc>
      </w:tr>
      <w:tr w:rsidR="00E57DAA" w14:paraId="41C16B5D" w14:textId="77777777">
        <w:tc>
          <w:tcPr>
            <w:tcW w:w="677" w:type="pct"/>
            <w:tcBorders>
              <w:top w:val="single" w:sz="4" w:space="0" w:color="auto"/>
              <w:left w:val="single" w:sz="4" w:space="0" w:color="auto"/>
              <w:bottom w:val="single" w:sz="4" w:space="0" w:color="auto"/>
              <w:right w:val="single" w:sz="4" w:space="0" w:color="auto"/>
            </w:tcBorders>
            <w:vAlign w:val="center"/>
          </w:tcPr>
          <w:p w14:paraId="2ACC8DE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46BFBF6" w14:textId="77777777" w:rsidR="00E57DAA" w:rsidRDefault="00AC4185">
            <w:pPr>
              <w:autoSpaceDE w:val="0"/>
              <w:autoSpaceDN w:val="0"/>
              <w:adjustRightInd w:val="0"/>
              <w:rPr>
                <w:szCs w:val="21"/>
              </w:rPr>
            </w:pPr>
            <w:r>
              <w:t>四川峨眉山西南水泥有限公司</w:t>
            </w:r>
          </w:p>
        </w:tc>
        <w:tc>
          <w:tcPr>
            <w:tcW w:w="633" w:type="pct"/>
            <w:tcBorders>
              <w:top w:val="single" w:sz="4" w:space="0" w:color="auto"/>
              <w:left w:val="single" w:sz="4" w:space="0" w:color="auto"/>
              <w:bottom w:val="single" w:sz="4" w:space="0" w:color="auto"/>
              <w:right w:val="single" w:sz="4" w:space="0" w:color="auto"/>
            </w:tcBorders>
          </w:tcPr>
          <w:p w14:paraId="3DADAC36" w14:textId="77777777" w:rsidR="00E57DAA" w:rsidRDefault="00AC4185">
            <w:pPr>
              <w:autoSpaceDE w:val="0"/>
              <w:autoSpaceDN w:val="0"/>
              <w:adjustRightInd w:val="0"/>
              <w:jc w:val="right"/>
              <w:rPr>
                <w:szCs w:val="21"/>
              </w:rPr>
            </w:pPr>
            <w:r>
              <w:t>10,130.00</w:t>
            </w:r>
          </w:p>
        </w:tc>
        <w:tc>
          <w:tcPr>
            <w:tcW w:w="632" w:type="pct"/>
            <w:tcBorders>
              <w:top w:val="single" w:sz="4" w:space="0" w:color="auto"/>
              <w:left w:val="single" w:sz="4" w:space="0" w:color="auto"/>
              <w:bottom w:val="single" w:sz="4" w:space="0" w:color="auto"/>
              <w:right w:val="single" w:sz="4" w:space="0" w:color="auto"/>
            </w:tcBorders>
          </w:tcPr>
          <w:p w14:paraId="4AB47506" w14:textId="77777777" w:rsidR="00E57DAA" w:rsidRDefault="00AC4185">
            <w:pPr>
              <w:autoSpaceDE w:val="0"/>
              <w:autoSpaceDN w:val="0"/>
              <w:adjustRightInd w:val="0"/>
              <w:jc w:val="right"/>
              <w:rPr>
                <w:szCs w:val="21"/>
              </w:rPr>
            </w:pPr>
            <w:r>
              <w:t>202.6</w:t>
            </w:r>
          </w:p>
        </w:tc>
        <w:tc>
          <w:tcPr>
            <w:tcW w:w="703" w:type="pct"/>
            <w:tcBorders>
              <w:top w:val="single" w:sz="4" w:space="0" w:color="auto"/>
              <w:left w:val="single" w:sz="4" w:space="0" w:color="auto"/>
              <w:bottom w:val="single" w:sz="4" w:space="0" w:color="auto"/>
              <w:right w:val="single" w:sz="4" w:space="0" w:color="auto"/>
            </w:tcBorders>
          </w:tcPr>
          <w:p w14:paraId="07FA461E"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2760A5B2" w14:textId="77777777" w:rsidR="00E57DAA" w:rsidRDefault="00AC4185">
            <w:pPr>
              <w:autoSpaceDE w:val="0"/>
              <w:autoSpaceDN w:val="0"/>
              <w:adjustRightInd w:val="0"/>
              <w:jc w:val="right"/>
              <w:rPr>
                <w:szCs w:val="21"/>
              </w:rPr>
            </w:pPr>
            <w:r>
              <w:t>1,000.00</w:t>
            </w:r>
          </w:p>
        </w:tc>
      </w:tr>
      <w:tr w:rsidR="00E57DAA" w14:paraId="5C445C85" w14:textId="77777777">
        <w:tc>
          <w:tcPr>
            <w:tcW w:w="677" w:type="pct"/>
            <w:tcBorders>
              <w:top w:val="single" w:sz="4" w:space="0" w:color="auto"/>
              <w:left w:val="single" w:sz="4" w:space="0" w:color="auto"/>
              <w:bottom w:val="single" w:sz="4" w:space="0" w:color="auto"/>
              <w:right w:val="single" w:sz="4" w:space="0" w:color="auto"/>
            </w:tcBorders>
            <w:vAlign w:val="center"/>
          </w:tcPr>
          <w:p w14:paraId="3440B67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1A59BDF" w14:textId="77777777" w:rsidR="00E57DAA" w:rsidRDefault="00AC4185">
            <w:pPr>
              <w:autoSpaceDE w:val="0"/>
              <w:autoSpaceDN w:val="0"/>
              <w:adjustRightInd w:val="0"/>
              <w:rPr>
                <w:szCs w:val="21"/>
              </w:rPr>
            </w:pPr>
            <w:r>
              <w:t>广西金鲤水泥有限公司</w:t>
            </w:r>
          </w:p>
        </w:tc>
        <w:tc>
          <w:tcPr>
            <w:tcW w:w="633" w:type="pct"/>
            <w:tcBorders>
              <w:top w:val="single" w:sz="4" w:space="0" w:color="auto"/>
              <w:left w:val="single" w:sz="4" w:space="0" w:color="auto"/>
              <w:bottom w:val="single" w:sz="4" w:space="0" w:color="auto"/>
              <w:right w:val="single" w:sz="4" w:space="0" w:color="auto"/>
            </w:tcBorders>
          </w:tcPr>
          <w:p w14:paraId="39599846"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3D337C3D" w14:textId="77777777" w:rsidR="00E57DAA" w:rsidRDefault="00AC4185">
            <w:pPr>
              <w:autoSpaceDE w:val="0"/>
              <w:autoSpaceDN w:val="0"/>
              <w:adjustRightInd w:val="0"/>
              <w:jc w:val="right"/>
              <w:rPr>
                <w:szCs w:val="21"/>
              </w:rPr>
            </w:pPr>
            <w:r>
              <w:t>200</w:t>
            </w:r>
          </w:p>
        </w:tc>
        <w:tc>
          <w:tcPr>
            <w:tcW w:w="703" w:type="pct"/>
            <w:tcBorders>
              <w:top w:val="single" w:sz="4" w:space="0" w:color="auto"/>
              <w:left w:val="single" w:sz="4" w:space="0" w:color="auto"/>
              <w:bottom w:val="single" w:sz="4" w:space="0" w:color="auto"/>
              <w:right w:val="single" w:sz="4" w:space="0" w:color="auto"/>
            </w:tcBorders>
          </w:tcPr>
          <w:p w14:paraId="7B31FC95" w14:textId="77777777" w:rsidR="00E57DAA" w:rsidRDefault="00AC4185">
            <w:pPr>
              <w:autoSpaceDE w:val="0"/>
              <w:autoSpaceDN w:val="0"/>
              <w:adjustRightInd w:val="0"/>
              <w:jc w:val="right"/>
              <w:rPr>
                <w:szCs w:val="21"/>
              </w:rPr>
            </w:pPr>
            <w:r>
              <w:t>130,000.00</w:t>
            </w:r>
          </w:p>
        </w:tc>
        <w:tc>
          <w:tcPr>
            <w:tcW w:w="914" w:type="pct"/>
            <w:tcBorders>
              <w:top w:val="single" w:sz="4" w:space="0" w:color="auto"/>
              <w:left w:val="single" w:sz="4" w:space="0" w:color="auto"/>
              <w:bottom w:val="single" w:sz="4" w:space="0" w:color="auto"/>
              <w:right w:val="single" w:sz="4" w:space="0" w:color="auto"/>
            </w:tcBorders>
          </w:tcPr>
          <w:p w14:paraId="47B3EAD2" w14:textId="77777777" w:rsidR="00E57DAA" w:rsidRDefault="00AC4185">
            <w:pPr>
              <w:autoSpaceDE w:val="0"/>
              <w:autoSpaceDN w:val="0"/>
              <w:adjustRightInd w:val="0"/>
              <w:jc w:val="right"/>
              <w:rPr>
                <w:szCs w:val="21"/>
              </w:rPr>
            </w:pPr>
            <w:r>
              <w:t>18,800.00</w:t>
            </w:r>
          </w:p>
        </w:tc>
      </w:tr>
      <w:tr w:rsidR="00E57DAA" w14:paraId="31DCEA80" w14:textId="77777777">
        <w:tc>
          <w:tcPr>
            <w:tcW w:w="677" w:type="pct"/>
            <w:tcBorders>
              <w:top w:val="single" w:sz="4" w:space="0" w:color="auto"/>
              <w:left w:val="single" w:sz="4" w:space="0" w:color="auto"/>
              <w:bottom w:val="single" w:sz="4" w:space="0" w:color="auto"/>
              <w:right w:val="single" w:sz="4" w:space="0" w:color="auto"/>
            </w:tcBorders>
            <w:vAlign w:val="center"/>
          </w:tcPr>
          <w:p w14:paraId="459E392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044B89" w14:textId="77777777" w:rsidR="00E57DAA" w:rsidRDefault="00AC4185">
            <w:pPr>
              <w:autoSpaceDE w:val="0"/>
              <w:autoSpaceDN w:val="0"/>
              <w:adjustRightInd w:val="0"/>
              <w:rPr>
                <w:szCs w:val="21"/>
              </w:rPr>
            </w:pPr>
            <w:r>
              <w:t>嘉华特种水泥股份有限公司</w:t>
            </w:r>
          </w:p>
        </w:tc>
        <w:tc>
          <w:tcPr>
            <w:tcW w:w="633" w:type="pct"/>
            <w:tcBorders>
              <w:top w:val="single" w:sz="4" w:space="0" w:color="auto"/>
              <w:left w:val="single" w:sz="4" w:space="0" w:color="auto"/>
              <w:bottom w:val="single" w:sz="4" w:space="0" w:color="auto"/>
              <w:right w:val="single" w:sz="4" w:space="0" w:color="auto"/>
            </w:tcBorders>
          </w:tcPr>
          <w:p w14:paraId="59D2BEF4"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04F47DF8" w14:textId="77777777" w:rsidR="00E57DAA" w:rsidRDefault="00AC4185">
            <w:pPr>
              <w:autoSpaceDE w:val="0"/>
              <w:autoSpaceDN w:val="0"/>
              <w:adjustRightInd w:val="0"/>
              <w:jc w:val="right"/>
              <w:rPr>
                <w:szCs w:val="21"/>
              </w:rPr>
            </w:pPr>
            <w:r>
              <w:t>200</w:t>
            </w:r>
          </w:p>
        </w:tc>
        <w:tc>
          <w:tcPr>
            <w:tcW w:w="703" w:type="pct"/>
            <w:tcBorders>
              <w:top w:val="single" w:sz="4" w:space="0" w:color="auto"/>
              <w:left w:val="single" w:sz="4" w:space="0" w:color="auto"/>
              <w:bottom w:val="single" w:sz="4" w:space="0" w:color="auto"/>
              <w:right w:val="single" w:sz="4" w:space="0" w:color="auto"/>
            </w:tcBorders>
          </w:tcPr>
          <w:p w14:paraId="3291591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D1320C5" w14:textId="77777777" w:rsidR="00E57DAA" w:rsidRDefault="00AC4185">
            <w:pPr>
              <w:autoSpaceDE w:val="0"/>
              <w:autoSpaceDN w:val="0"/>
              <w:adjustRightInd w:val="0"/>
              <w:jc w:val="right"/>
              <w:rPr>
                <w:szCs w:val="21"/>
              </w:rPr>
            </w:pPr>
            <w:r>
              <w:t xml:space="preserve">　</w:t>
            </w:r>
          </w:p>
        </w:tc>
      </w:tr>
      <w:tr w:rsidR="00E57DAA" w14:paraId="2C8CFFFC" w14:textId="77777777">
        <w:tc>
          <w:tcPr>
            <w:tcW w:w="677" w:type="pct"/>
            <w:tcBorders>
              <w:top w:val="single" w:sz="4" w:space="0" w:color="auto"/>
              <w:left w:val="single" w:sz="4" w:space="0" w:color="auto"/>
              <w:bottom w:val="single" w:sz="4" w:space="0" w:color="auto"/>
              <w:right w:val="single" w:sz="4" w:space="0" w:color="auto"/>
            </w:tcBorders>
            <w:vAlign w:val="center"/>
          </w:tcPr>
          <w:p w14:paraId="031D0E8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CC3760A" w14:textId="77777777" w:rsidR="00E57DAA" w:rsidRDefault="00AC4185">
            <w:pPr>
              <w:autoSpaceDE w:val="0"/>
              <w:autoSpaceDN w:val="0"/>
              <w:adjustRightInd w:val="0"/>
              <w:rPr>
                <w:szCs w:val="21"/>
              </w:rPr>
            </w:pPr>
            <w:r>
              <w:t>江西兴国南方水泥有限公司</w:t>
            </w:r>
          </w:p>
        </w:tc>
        <w:tc>
          <w:tcPr>
            <w:tcW w:w="633" w:type="pct"/>
            <w:tcBorders>
              <w:top w:val="single" w:sz="4" w:space="0" w:color="auto"/>
              <w:left w:val="single" w:sz="4" w:space="0" w:color="auto"/>
              <w:bottom w:val="single" w:sz="4" w:space="0" w:color="auto"/>
              <w:right w:val="single" w:sz="4" w:space="0" w:color="auto"/>
            </w:tcBorders>
          </w:tcPr>
          <w:p w14:paraId="41941010"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683909A5" w14:textId="77777777" w:rsidR="00E57DAA" w:rsidRDefault="00AC4185">
            <w:pPr>
              <w:autoSpaceDE w:val="0"/>
              <w:autoSpaceDN w:val="0"/>
              <w:adjustRightInd w:val="0"/>
              <w:jc w:val="right"/>
              <w:rPr>
                <w:szCs w:val="21"/>
              </w:rPr>
            </w:pPr>
            <w:r>
              <w:t>1,370.00</w:t>
            </w:r>
          </w:p>
        </w:tc>
        <w:tc>
          <w:tcPr>
            <w:tcW w:w="703" w:type="pct"/>
            <w:tcBorders>
              <w:top w:val="single" w:sz="4" w:space="0" w:color="auto"/>
              <w:left w:val="single" w:sz="4" w:space="0" w:color="auto"/>
              <w:bottom w:val="single" w:sz="4" w:space="0" w:color="auto"/>
              <w:right w:val="single" w:sz="4" w:space="0" w:color="auto"/>
            </w:tcBorders>
          </w:tcPr>
          <w:p w14:paraId="6F33F9AC" w14:textId="77777777" w:rsidR="00E57DAA" w:rsidRDefault="00AC4185">
            <w:pPr>
              <w:autoSpaceDE w:val="0"/>
              <w:autoSpaceDN w:val="0"/>
              <w:adjustRightInd w:val="0"/>
              <w:jc w:val="right"/>
              <w:rPr>
                <w:szCs w:val="21"/>
              </w:rPr>
            </w:pPr>
            <w:r>
              <w:t>20,100.00</w:t>
            </w:r>
          </w:p>
        </w:tc>
        <w:tc>
          <w:tcPr>
            <w:tcW w:w="914" w:type="pct"/>
            <w:tcBorders>
              <w:top w:val="single" w:sz="4" w:space="0" w:color="auto"/>
              <w:left w:val="single" w:sz="4" w:space="0" w:color="auto"/>
              <w:bottom w:val="single" w:sz="4" w:space="0" w:color="auto"/>
              <w:right w:val="single" w:sz="4" w:space="0" w:color="auto"/>
            </w:tcBorders>
          </w:tcPr>
          <w:p w14:paraId="37FE298E" w14:textId="77777777" w:rsidR="00E57DAA" w:rsidRDefault="00AC4185">
            <w:pPr>
              <w:autoSpaceDE w:val="0"/>
              <w:autoSpaceDN w:val="0"/>
              <w:adjustRightInd w:val="0"/>
              <w:jc w:val="right"/>
              <w:rPr>
                <w:szCs w:val="21"/>
              </w:rPr>
            </w:pPr>
            <w:r>
              <w:t>422.4</w:t>
            </w:r>
          </w:p>
        </w:tc>
      </w:tr>
      <w:tr w:rsidR="00E57DAA" w14:paraId="7AB93FF5" w14:textId="77777777">
        <w:tc>
          <w:tcPr>
            <w:tcW w:w="677" w:type="pct"/>
            <w:tcBorders>
              <w:top w:val="single" w:sz="4" w:space="0" w:color="auto"/>
              <w:left w:val="single" w:sz="4" w:space="0" w:color="auto"/>
              <w:bottom w:val="single" w:sz="4" w:space="0" w:color="auto"/>
              <w:right w:val="single" w:sz="4" w:space="0" w:color="auto"/>
            </w:tcBorders>
            <w:vAlign w:val="center"/>
          </w:tcPr>
          <w:p w14:paraId="3845206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EF87EDC" w14:textId="77777777" w:rsidR="00E57DAA" w:rsidRDefault="00AC4185">
            <w:pPr>
              <w:autoSpaceDE w:val="0"/>
              <w:autoSpaceDN w:val="0"/>
              <w:adjustRightInd w:val="0"/>
              <w:rPr>
                <w:szCs w:val="21"/>
              </w:rPr>
            </w:pPr>
            <w:r>
              <w:t>南阳中联卧龙水泥有限公司</w:t>
            </w:r>
          </w:p>
        </w:tc>
        <w:tc>
          <w:tcPr>
            <w:tcW w:w="633" w:type="pct"/>
            <w:tcBorders>
              <w:top w:val="single" w:sz="4" w:space="0" w:color="auto"/>
              <w:left w:val="single" w:sz="4" w:space="0" w:color="auto"/>
              <w:bottom w:val="single" w:sz="4" w:space="0" w:color="auto"/>
              <w:right w:val="single" w:sz="4" w:space="0" w:color="auto"/>
            </w:tcBorders>
          </w:tcPr>
          <w:p w14:paraId="2E27924B"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3F240EF4" w14:textId="77777777" w:rsidR="00E57DAA" w:rsidRDefault="00AC4185">
            <w:pPr>
              <w:autoSpaceDE w:val="0"/>
              <w:autoSpaceDN w:val="0"/>
              <w:adjustRightInd w:val="0"/>
              <w:jc w:val="right"/>
              <w:rPr>
                <w:szCs w:val="21"/>
              </w:rPr>
            </w:pPr>
            <w:r>
              <w:t>500</w:t>
            </w:r>
          </w:p>
        </w:tc>
        <w:tc>
          <w:tcPr>
            <w:tcW w:w="703" w:type="pct"/>
            <w:tcBorders>
              <w:top w:val="single" w:sz="4" w:space="0" w:color="auto"/>
              <w:left w:val="single" w:sz="4" w:space="0" w:color="auto"/>
              <w:bottom w:val="single" w:sz="4" w:space="0" w:color="auto"/>
              <w:right w:val="single" w:sz="4" w:space="0" w:color="auto"/>
            </w:tcBorders>
          </w:tcPr>
          <w:p w14:paraId="655E79F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479AB9B" w14:textId="77777777" w:rsidR="00E57DAA" w:rsidRDefault="00AC4185">
            <w:pPr>
              <w:autoSpaceDE w:val="0"/>
              <w:autoSpaceDN w:val="0"/>
              <w:adjustRightInd w:val="0"/>
              <w:jc w:val="right"/>
              <w:rPr>
                <w:szCs w:val="21"/>
              </w:rPr>
            </w:pPr>
            <w:r>
              <w:t xml:space="preserve">　</w:t>
            </w:r>
          </w:p>
        </w:tc>
      </w:tr>
      <w:tr w:rsidR="00E57DAA" w14:paraId="11D168E3" w14:textId="77777777">
        <w:tc>
          <w:tcPr>
            <w:tcW w:w="677" w:type="pct"/>
            <w:tcBorders>
              <w:top w:val="single" w:sz="4" w:space="0" w:color="auto"/>
              <w:left w:val="single" w:sz="4" w:space="0" w:color="auto"/>
              <w:bottom w:val="single" w:sz="4" w:space="0" w:color="auto"/>
              <w:right w:val="single" w:sz="4" w:space="0" w:color="auto"/>
            </w:tcBorders>
            <w:vAlign w:val="center"/>
          </w:tcPr>
          <w:p w14:paraId="2FD7948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C693ED3" w14:textId="77777777" w:rsidR="00E57DAA" w:rsidRDefault="00AC4185">
            <w:pPr>
              <w:autoSpaceDE w:val="0"/>
              <w:autoSpaceDN w:val="0"/>
              <w:adjustRightInd w:val="0"/>
              <w:rPr>
                <w:szCs w:val="21"/>
              </w:rPr>
            </w:pPr>
            <w:r>
              <w:t>沙湾天山水泥有限责任公司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C9C31AA" w14:textId="77777777" w:rsidR="00E57DAA" w:rsidRDefault="00AC4185">
            <w:pPr>
              <w:autoSpaceDE w:val="0"/>
              <w:autoSpaceDN w:val="0"/>
              <w:adjustRightInd w:val="0"/>
              <w:jc w:val="right"/>
              <w:rPr>
                <w:szCs w:val="21"/>
              </w:rPr>
            </w:pPr>
            <w:r>
              <w:t>10,000.00</w:t>
            </w:r>
          </w:p>
        </w:tc>
        <w:tc>
          <w:tcPr>
            <w:tcW w:w="632" w:type="pct"/>
            <w:tcBorders>
              <w:top w:val="single" w:sz="4" w:space="0" w:color="auto"/>
              <w:left w:val="single" w:sz="4" w:space="0" w:color="auto"/>
              <w:bottom w:val="single" w:sz="4" w:space="0" w:color="auto"/>
              <w:right w:val="single" w:sz="4" w:space="0" w:color="auto"/>
            </w:tcBorders>
          </w:tcPr>
          <w:p w14:paraId="3F2A4144" w14:textId="77777777" w:rsidR="00E57DAA" w:rsidRDefault="00AC4185">
            <w:pPr>
              <w:autoSpaceDE w:val="0"/>
              <w:autoSpaceDN w:val="0"/>
              <w:adjustRightInd w:val="0"/>
              <w:jc w:val="right"/>
              <w:rPr>
                <w:szCs w:val="21"/>
              </w:rPr>
            </w:pPr>
            <w:r>
              <w:t>1,370.00</w:t>
            </w:r>
          </w:p>
        </w:tc>
        <w:tc>
          <w:tcPr>
            <w:tcW w:w="703" w:type="pct"/>
            <w:tcBorders>
              <w:top w:val="single" w:sz="4" w:space="0" w:color="auto"/>
              <w:left w:val="single" w:sz="4" w:space="0" w:color="auto"/>
              <w:bottom w:val="single" w:sz="4" w:space="0" w:color="auto"/>
              <w:right w:val="single" w:sz="4" w:space="0" w:color="auto"/>
            </w:tcBorders>
          </w:tcPr>
          <w:p w14:paraId="5316A6F1"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270F5234" w14:textId="77777777" w:rsidR="00E57DAA" w:rsidRDefault="00AC4185">
            <w:pPr>
              <w:autoSpaceDE w:val="0"/>
              <w:autoSpaceDN w:val="0"/>
              <w:adjustRightInd w:val="0"/>
              <w:jc w:val="right"/>
              <w:rPr>
                <w:szCs w:val="21"/>
              </w:rPr>
            </w:pPr>
            <w:r>
              <w:t>210</w:t>
            </w:r>
          </w:p>
        </w:tc>
      </w:tr>
      <w:tr w:rsidR="00E57DAA" w14:paraId="630347BE" w14:textId="77777777">
        <w:tc>
          <w:tcPr>
            <w:tcW w:w="677" w:type="pct"/>
            <w:tcBorders>
              <w:top w:val="single" w:sz="4" w:space="0" w:color="auto"/>
              <w:left w:val="single" w:sz="4" w:space="0" w:color="auto"/>
              <w:bottom w:val="single" w:sz="4" w:space="0" w:color="auto"/>
              <w:right w:val="single" w:sz="4" w:space="0" w:color="auto"/>
            </w:tcBorders>
            <w:vAlign w:val="center"/>
          </w:tcPr>
          <w:p w14:paraId="29B197B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D15493B" w14:textId="77777777" w:rsidR="00E57DAA" w:rsidRDefault="00AC4185">
            <w:pPr>
              <w:autoSpaceDE w:val="0"/>
              <w:autoSpaceDN w:val="0"/>
              <w:adjustRightInd w:val="0"/>
              <w:rPr>
                <w:szCs w:val="21"/>
              </w:rPr>
            </w:pPr>
            <w:r>
              <w:t>中交设计咨询集团股份有限公司</w:t>
            </w:r>
          </w:p>
        </w:tc>
        <w:tc>
          <w:tcPr>
            <w:tcW w:w="633" w:type="pct"/>
            <w:tcBorders>
              <w:top w:val="single" w:sz="4" w:space="0" w:color="auto"/>
              <w:left w:val="single" w:sz="4" w:space="0" w:color="auto"/>
              <w:bottom w:val="single" w:sz="4" w:space="0" w:color="auto"/>
              <w:right w:val="single" w:sz="4" w:space="0" w:color="auto"/>
            </w:tcBorders>
          </w:tcPr>
          <w:p w14:paraId="54A70D70" w14:textId="77777777" w:rsidR="00E57DAA" w:rsidRDefault="00AC4185">
            <w:pPr>
              <w:autoSpaceDE w:val="0"/>
              <w:autoSpaceDN w:val="0"/>
              <w:adjustRightInd w:val="0"/>
              <w:jc w:val="right"/>
              <w:rPr>
                <w:szCs w:val="21"/>
              </w:rPr>
            </w:pPr>
            <w:r>
              <w:t>7,100.00</w:t>
            </w:r>
          </w:p>
        </w:tc>
        <w:tc>
          <w:tcPr>
            <w:tcW w:w="632" w:type="pct"/>
            <w:tcBorders>
              <w:top w:val="single" w:sz="4" w:space="0" w:color="auto"/>
              <w:left w:val="single" w:sz="4" w:space="0" w:color="auto"/>
              <w:bottom w:val="single" w:sz="4" w:space="0" w:color="auto"/>
              <w:right w:val="single" w:sz="4" w:space="0" w:color="auto"/>
            </w:tcBorders>
          </w:tcPr>
          <w:p w14:paraId="27BB5396" w14:textId="77777777" w:rsidR="00E57DAA" w:rsidRDefault="00AC4185">
            <w:pPr>
              <w:autoSpaceDE w:val="0"/>
              <w:autoSpaceDN w:val="0"/>
              <w:adjustRightInd w:val="0"/>
              <w:jc w:val="right"/>
              <w:rPr>
                <w:szCs w:val="21"/>
              </w:rPr>
            </w:pPr>
            <w:r>
              <w:t>260</w:t>
            </w:r>
          </w:p>
        </w:tc>
        <w:tc>
          <w:tcPr>
            <w:tcW w:w="703" w:type="pct"/>
            <w:tcBorders>
              <w:top w:val="single" w:sz="4" w:space="0" w:color="auto"/>
              <w:left w:val="single" w:sz="4" w:space="0" w:color="auto"/>
              <w:bottom w:val="single" w:sz="4" w:space="0" w:color="auto"/>
              <w:right w:val="single" w:sz="4" w:space="0" w:color="auto"/>
            </w:tcBorders>
          </w:tcPr>
          <w:p w14:paraId="5882696C" w14:textId="77777777" w:rsidR="00E57DAA" w:rsidRDefault="00AC4185">
            <w:pPr>
              <w:autoSpaceDE w:val="0"/>
              <w:autoSpaceDN w:val="0"/>
              <w:adjustRightInd w:val="0"/>
              <w:jc w:val="right"/>
              <w:rPr>
                <w:szCs w:val="21"/>
              </w:rPr>
            </w:pPr>
            <w:r>
              <w:t>27,400.00</w:t>
            </w:r>
          </w:p>
        </w:tc>
        <w:tc>
          <w:tcPr>
            <w:tcW w:w="914" w:type="pct"/>
            <w:tcBorders>
              <w:top w:val="single" w:sz="4" w:space="0" w:color="auto"/>
              <w:left w:val="single" w:sz="4" w:space="0" w:color="auto"/>
              <w:bottom w:val="single" w:sz="4" w:space="0" w:color="auto"/>
              <w:right w:val="single" w:sz="4" w:space="0" w:color="auto"/>
            </w:tcBorders>
          </w:tcPr>
          <w:p w14:paraId="1E133C76" w14:textId="77777777" w:rsidR="00E57DAA" w:rsidRDefault="00AC4185">
            <w:pPr>
              <w:autoSpaceDE w:val="0"/>
              <w:autoSpaceDN w:val="0"/>
              <w:adjustRightInd w:val="0"/>
              <w:jc w:val="right"/>
              <w:rPr>
                <w:szCs w:val="21"/>
              </w:rPr>
            </w:pPr>
            <w:r>
              <w:t>748</w:t>
            </w:r>
          </w:p>
        </w:tc>
      </w:tr>
      <w:tr w:rsidR="00E57DAA" w14:paraId="7ACEF356" w14:textId="77777777">
        <w:tc>
          <w:tcPr>
            <w:tcW w:w="677" w:type="pct"/>
            <w:tcBorders>
              <w:top w:val="single" w:sz="4" w:space="0" w:color="auto"/>
              <w:left w:val="single" w:sz="4" w:space="0" w:color="auto"/>
              <w:bottom w:val="single" w:sz="4" w:space="0" w:color="auto"/>
              <w:right w:val="single" w:sz="4" w:space="0" w:color="auto"/>
            </w:tcBorders>
            <w:vAlign w:val="center"/>
          </w:tcPr>
          <w:p w14:paraId="0FE42BC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F7120E7" w14:textId="77777777" w:rsidR="00E57DAA" w:rsidRDefault="00AC4185">
            <w:pPr>
              <w:autoSpaceDE w:val="0"/>
              <w:autoSpaceDN w:val="0"/>
              <w:adjustRightInd w:val="0"/>
              <w:rPr>
                <w:szCs w:val="21"/>
              </w:rPr>
            </w:pPr>
            <w:r>
              <w:t>新疆阜康天山水泥有限责任公司</w:t>
            </w:r>
          </w:p>
        </w:tc>
        <w:tc>
          <w:tcPr>
            <w:tcW w:w="633" w:type="pct"/>
            <w:tcBorders>
              <w:top w:val="single" w:sz="4" w:space="0" w:color="auto"/>
              <w:left w:val="single" w:sz="4" w:space="0" w:color="auto"/>
              <w:bottom w:val="single" w:sz="4" w:space="0" w:color="auto"/>
              <w:right w:val="single" w:sz="4" w:space="0" w:color="auto"/>
            </w:tcBorders>
          </w:tcPr>
          <w:p w14:paraId="7208180E" w14:textId="77777777" w:rsidR="00E57DAA" w:rsidRDefault="00AC4185">
            <w:pPr>
              <w:autoSpaceDE w:val="0"/>
              <w:autoSpaceDN w:val="0"/>
              <w:adjustRightInd w:val="0"/>
              <w:jc w:val="right"/>
              <w:rPr>
                <w:szCs w:val="21"/>
              </w:rPr>
            </w:pPr>
            <w:r>
              <w:t>4,000.00</w:t>
            </w:r>
          </w:p>
        </w:tc>
        <w:tc>
          <w:tcPr>
            <w:tcW w:w="632" w:type="pct"/>
            <w:tcBorders>
              <w:top w:val="single" w:sz="4" w:space="0" w:color="auto"/>
              <w:left w:val="single" w:sz="4" w:space="0" w:color="auto"/>
              <w:bottom w:val="single" w:sz="4" w:space="0" w:color="auto"/>
              <w:right w:val="single" w:sz="4" w:space="0" w:color="auto"/>
            </w:tcBorders>
          </w:tcPr>
          <w:p w14:paraId="3B8FBEA2" w14:textId="77777777" w:rsidR="00E57DAA" w:rsidRDefault="00AC4185">
            <w:pPr>
              <w:autoSpaceDE w:val="0"/>
              <w:autoSpaceDN w:val="0"/>
              <w:adjustRightInd w:val="0"/>
              <w:jc w:val="right"/>
              <w:rPr>
                <w:szCs w:val="21"/>
              </w:rPr>
            </w:pPr>
            <w:r>
              <w:t>752</w:t>
            </w:r>
          </w:p>
        </w:tc>
        <w:tc>
          <w:tcPr>
            <w:tcW w:w="703" w:type="pct"/>
            <w:tcBorders>
              <w:top w:val="single" w:sz="4" w:space="0" w:color="auto"/>
              <w:left w:val="single" w:sz="4" w:space="0" w:color="auto"/>
              <w:bottom w:val="single" w:sz="4" w:space="0" w:color="auto"/>
              <w:right w:val="single" w:sz="4" w:space="0" w:color="auto"/>
            </w:tcBorders>
          </w:tcPr>
          <w:p w14:paraId="149115E9" w14:textId="77777777" w:rsidR="00E57DAA" w:rsidRDefault="00AC4185">
            <w:pPr>
              <w:autoSpaceDE w:val="0"/>
              <w:autoSpaceDN w:val="0"/>
              <w:adjustRightInd w:val="0"/>
              <w:jc w:val="right"/>
              <w:rPr>
                <w:szCs w:val="21"/>
              </w:rPr>
            </w:pPr>
            <w:r>
              <w:t>4,000.00</w:t>
            </w:r>
          </w:p>
        </w:tc>
        <w:tc>
          <w:tcPr>
            <w:tcW w:w="914" w:type="pct"/>
            <w:tcBorders>
              <w:top w:val="single" w:sz="4" w:space="0" w:color="auto"/>
              <w:left w:val="single" w:sz="4" w:space="0" w:color="auto"/>
              <w:bottom w:val="single" w:sz="4" w:space="0" w:color="auto"/>
              <w:right w:val="single" w:sz="4" w:space="0" w:color="auto"/>
            </w:tcBorders>
          </w:tcPr>
          <w:p w14:paraId="1D0242F2" w14:textId="77777777" w:rsidR="00E57DAA" w:rsidRDefault="00AC4185">
            <w:pPr>
              <w:autoSpaceDE w:val="0"/>
              <w:autoSpaceDN w:val="0"/>
              <w:adjustRightInd w:val="0"/>
              <w:jc w:val="right"/>
              <w:rPr>
                <w:szCs w:val="21"/>
              </w:rPr>
            </w:pPr>
            <w:r>
              <w:t>488</w:t>
            </w:r>
          </w:p>
        </w:tc>
      </w:tr>
      <w:tr w:rsidR="00E57DAA" w14:paraId="25A03DFB" w14:textId="77777777">
        <w:tc>
          <w:tcPr>
            <w:tcW w:w="677" w:type="pct"/>
            <w:tcBorders>
              <w:top w:val="single" w:sz="4" w:space="0" w:color="auto"/>
              <w:left w:val="single" w:sz="4" w:space="0" w:color="auto"/>
              <w:bottom w:val="single" w:sz="4" w:space="0" w:color="auto"/>
              <w:right w:val="single" w:sz="4" w:space="0" w:color="auto"/>
            </w:tcBorders>
            <w:vAlign w:val="center"/>
          </w:tcPr>
          <w:p w14:paraId="705A17A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B49A98C" w14:textId="77777777" w:rsidR="00E57DAA" w:rsidRDefault="00AC4185">
            <w:pPr>
              <w:autoSpaceDE w:val="0"/>
              <w:autoSpaceDN w:val="0"/>
              <w:adjustRightInd w:val="0"/>
              <w:rPr>
                <w:szCs w:val="21"/>
              </w:rPr>
            </w:pPr>
            <w:r>
              <w:t>河南中联同力材料有限公司</w:t>
            </w:r>
          </w:p>
        </w:tc>
        <w:tc>
          <w:tcPr>
            <w:tcW w:w="633" w:type="pct"/>
            <w:tcBorders>
              <w:top w:val="single" w:sz="4" w:space="0" w:color="auto"/>
              <w:left w:val="single" w:sz="4" w:space="0" w:color="auto"/>
              <w:bottom w:val="single" w:sz="4" w:space="0" w:color="auto"/>
              <w:right w:val="single" w:sz="4" w:space="0" w:color="auto"/>
            </w:tcBorders>
          </w:tcPr>
          <w:p w14:paraId="63FA37E6" w14:textId="77777777" w:rsidR="00E57DAA" w:rsidRDefault="00AC4185">
            <w:pPr>
              <w:autoSpaceDE w:val="0"/>
              <w:autoSpaceDN w:val="0"/>
              <w:adjustRightInd w:val="0"/>
              <w:jc w:val="right"/>
              <w:rPr>
                <w:szCs w:val="21"/>
              </w:rPr>
            </w:pPr>
            <w:r>
              <w:t>3,000.00</w:t>
            </w:r>
          </w:p>
        </w:tc>
        <w:tc>
          <w:tcPr>
            <w:tcW w:w="632" w:type="pct"/>
            <w:tcBorders>
              <w:top w:val="single" w:sz="4" w:space="0" w:color="auto"/>
              <w:left w:val="single" w:sz="4" w:space="0" w:color="auto"/>
              <w:bottom w:val="single" w:sz="4" w:space="0" w:color="auto"/>
              <w:right w:val="single" w:sz="4" w:space="0" w:color="auto"/>
            </w:tcBorders>
          </w:tcPr>
          <w:p w14:paraId="113F5CCE" w14:textId="77777777" w:rsidR="00E57DAA" w:rsidRDefault="00AC4185">
            <w:pPr>
              <w:autoSpaceDE w:val="0"/>
              <w:autoSpaceDN w:val="0"/>
              <w:adjustRightInd w:val="0"/>
              <w:jc w:val="right"/>
              <w:rPr>
                <w:szCs w:val="21"/>
              </w:rPr>
            </w:pPr>
            <w:r>
              <w:t>27.9</w:t>
            </w:r>
          </w:p>
        </w:tc>
        <w:tc>
          <w:tcPr>
            <w:tcW w:w="703" w:type="pct"/>
            <w:tcBorders>
              <w:top w:val="single" w:sz="4" w:space="0" w:color="auto"/>
              <w:left w:val="single" w:sz="4" w:space="0" w:color="auto"/>
              <w:bottom w:val="single" w:sz="4" w:space="0" w:color="auto"/>
              <w:right w:val="single" w:sz="4" w:space="0" w:color="auto"/>
            </w:tcBorders>
          </w:tcPr>
          <w:p w14:paraId="46D8140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A85AF3A" w14:textId="77777777" w:rsidR="00E57DAA" w:rsidRDefault="00AC4185">
            <w:pPr>
              <w:autoSpaceDE w:val="0"/>
              <w:autoSpaceDN w:val="0"/>
              <w:adjustRightInd w:val="0"/>
              <w:jc w:val="right"/>
              <w:rPr>
                <w:szCs w:val="21"/>
              </w:rPr>
            </w:pPr>
            <w:r>
              <w:t xml:space="preserve">　</w:t>
            </w:r>
          </w:p>
        </w:tc>
      </w:tr>
      <w:tr w:rsidR="00E57DAA" w14:paraId="1D02A39C" w14:textId="77777777">
        <w:tc>
          <w:tcPr>
            <w:tcW w:w="677" w:type="pct"/>
            <w:tcBorders>
              <w:top w:val="single" w:sz="4" w:space="0" w:color="auto"/>
              <w:left w:val="single" w:sz="4" w:space="0" w:color="auto"/>
              <w:bottom w:val="single" w:sz="4" w:space="0" w:color="auto"/>
              <w:right w:val="single" w:sz="4" w:space="0" w:color="auto"/>
            </w:tcBorders>
            <w:vAlign w:val="center"/>
          </w:tcPr>
          <w:p w14:paraId="0F768DF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2311705" w14:textId="77777777" w:rsidR="00E57DAA" w:rsidRDefault="00AC4185">
            <w:pPr>
              <w:autoSpaceDE w:val="0"/>
              <w:autoSpaceDN w:val="0"/>
              <w:adjustRightInd w:val="0"/>
              <w:rPr>
                <w:szCs w:val="21"/>
              </w:rPr>
            </w:pPr>
            <w:r>
              <w:t>伊犁天山水泥有限责任公司</w:t>
            </w:r>
          </w:p>
        </w:tc>
        <w:tc>
          <w:tcPr>
            <w:tcW w:w="633" w:type="pct"/>
            <w:tcBorders>
              <w:top w:val="single" w:sz="4" w:space="0" w:color="auto"/>
              <w:left w:val="single" w:sz="4" w:space="0" w:color="auto"/>
              <w:bottom w:val="single" w:sz="4" w:space="0" w:color="auto"/>
              <w:right w:val="single" w:sz="4" w:space="0" w:color="auto"/>
            </w:tcBorders>
          </w:tcPr>
          <w:p w14:paraId="404CEFEF" w14:textId="77777777" w:rsidR="00E57DAA" w:rsidRDefault="00AC4185">
            <w:pPr>
              <w:autoSpaceDE w:val="0"/>
              <w:autoSpaceDN w:val="0"/>
              <w:adjustRightInd w:val="0"/>
              <w:jc w:val="right"/>
              <w:rPr>
                <w:szCs w:val="21"/>
              </w:rPr>
            </w:pPr>
            <w:r>
              <w:t>3,000.00</w:t>
            </w:r>
          </w:p>
        </w:tc>
        <w:tc>
          <w:tcPr>
            <w:tcW w:w="632" w:type="pct"/>
            <w:tcBorders>
              <w:top w:val="single" w:sz="4" w:space="0" w:color="auto"/>
              <w:left w:val="single" w:sz="4" w:space="0" w:color="auto"/>
              <w:bottom w:val="single" w:sz="4" w:space="0" w:color="auto"/>
              <w:right w:val="single" w:sz="4" w:space="0" w:color="auto"/>
            </w:tcBorders>
          </w:tcPr>
          <w:p w14:paraId="629D8AD9" w14:textId="77777777" w:rsidR="00E57DAA" w:rsidRDefault="00AC4185">
            <w:pPr>
              <w:autoSpaceDE w:val="0"/>
              <w:autoSpaceDN w:val="0"/>
              <w:adjustRightInd w:val="0"/>
              <w:jc w:val="right"/>
              <w:rPr>
                <w:szCs w:val="21"/>
              </w:rPr>
            </w:pPr>
            <w:r>
              <w:t>150</w:t>
            </w:r>
          </w:p>
        </w:tc>
        <w:tc>
          <w:tcPr>
            <w:tcW w:w="703" w:type="pct"/>
            <w:tcBorders>
              <w:top w:val="single" w:sz="4" w:space="0" w:color="auto"/>
              <w:left w:val="single" w:sz="4" w:space="0" w:color="auto"/>
              <w:bottom w:val="single" w:sz="4" w:space="0" w:color="auto"/>
              <w:right w:val="single" w:sz="4" w:space="0" w:color="auto"/>
            </w:tcBorders>
          </w:tcPr>
          <w:p w14:paraId="50E49DA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D81861B" w14:textId="77777777" w:rsidR="00E57DAA" w:rsidRDefault="00AC4185">
            <w:pPr>
              <w:autoSpaceDE w:val="0"/>
              <w:autoSpaceDN w:val="0"/>
              <w:adjustRightInd w:val="0"/>
              <w:jc w:val="right"/>
              <w:rPr>
                <w:szCs w:val="21"/>
              </w:rPr>
            </w:pPr>
            <w:r>
              <w:t xml:space="preserve">　</w:t>
            </w:r>
          </w:p>
        </w:tc>
      </w:tr>
      <w:tr w:rsidR="00E57DAA" w14:paraId="63C164A4" w14:textId="77777777">
        <w:tc>
          <w:tcPr>
            <w:tcW w:w="677" w:type="pct"/>
            <w:tcBorders>
              <w:top w:val="single" w:sz="4" w:space="0" w:color="auto"/>
              <w:left w:val="single" w:sz="4" w:space="0" w:color="auto"/>
              <w:bottom w:val="single" w:sz="4" w:space="0" w:color="auto"/>
              <w:right w:val="single" w:sz="4" w:space="0" w:color="auto"/>
            </w:tcBorders>
            <w:vAlign w:val="center"/>
          </w:tcPr>
          <w:p w14:paraId="094B5D6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B4C22EC" w14:textId="77777777" w:rsidR="00E57DAA" w:rsidRDefault="00AC4185">
            <w:pPr>
              <w:autoSpaceDE w:val="0"/>
              <w:autoSpaceDN w:val="0"/>
              <w:adjustRightInd w:val="0"/>
              <w:rPr>
                <w:szCs w:val="21"/>
              </w:rPr>
            </w:pPr>
            <w:r>
              <w:t>叶城天山水泥有限责任公司</w:t>
            </w:r>
          </w:p>
        </w:tc>
        <w:tc>
          <w:tcPr>
            <w:tcW w:w="633" w:type="pct"/>
            <w:tcBorders>
              <w:top w:val="single" w:sz="4" w:space="0" w:color="auto"/>
              <w:left w:val="single" w:sz="4" w:space="0" w:color="auto"/>
              <w:bottom w:val="single" w:sz="4" w:space="0" w:color="auto"/>
              <w:right w:val="single" w:sz="4" w:space="0" w:color="auto"/>
            </w:tcBorders>
          </w:tcPr>
          <w:p w14:paraId="22E48909" w14:textId="77777777" w:rsidR="00E57DAA" w:rsidRDefault="00AC4185">
            <w:pPr>
              <w:autoSpaceDE w:val="0"/>
              <w:autoSpaceDN w:val="0"/>
              <w:adjustRightInd w:val="0"/>
              <w:jc w:val="right"/>
              <w:rPr>
                <w:szCs w:val="21"/>
              </w:rPr>
            </w:pPr>
            <w:r>
              <w:t>2,889.32</w:t>
            </w:r>
          </w:p>
        </w:tc>
        <w:tc>
          <w:tcPr>
            <w:tcW w:w="632" w:type="pct"/>
            <w:tcBorders>
              <w:top w:val="single" w:sz="4" w:space="0" w:color="auto"/>
              <w:left w:val="single" w:sz="4" w:space="0" w:color="auto"/>
              <w:bottom w:val="single" w:sz="4" w:space="0" w:color="auto"/>
              <w:right w:val="single" w:sz="4" w:space="0" w:color="auto"/>
            </w:tcBorders>
          </w:tcPr>
          <w:p w14:paraId="3469D4D2" w14:textId="77777777" w:rsidR="00E57DAA" w:rsidRDefault="00AC4185">
            <w:pPr>
              <w:autoSpaceDE w:val="0"/>
              <w:autoSpaceDN w:val="0"/>
              <w:adjustRightInd w:val="0"/>
              <w:jc w:val="right"/>
              <w:rPr>
                <w:szCs w:val="21"/>
              </w:rPr>
            </w:pPr>
            <w:r>
              <w:t>1,924.29</w:t>
            </w:r>
          </w:p>
        </w:tc>
        <w:tc>
          <w:tcPr>
            <w:tcW w:w="703" w:type="pct"/>
            <w:tcBorders>
              <w:top w:val="single" w:sz="4" w:space="0" w:color="auto"/>
              <w:left w:val="single" w:sz="4" w:space="0" w:color="auto"/>
              <w:bottom w:val="single" w:sz="4" w:space="0" w:color="auto"/>
              <w:right w:val="single" w:sz="4" w:space="0" w:color="auto"/>
            </w:tcBorders>
          </w:tcPr>
          <w:p w14:paraId="5B1638C1" w14:textId="77777777" w:rsidR="00E57DAA" w:rsidRDefault="00AC4185">
            <w:pPr>
              <w:autoSpaceDE w:val="0"/>
              <w:autoSpaceDN w:val="0"/>
              <w:adjustRightInd w:val="0"/>
              <w:jc w:val="right"/>
              <w:rPr>
                <w:szCs w:val="21"/>
              </w:rPr>
            </w:pPr>
            <w:r>
              <w:t>2,889.32</w:t>
            </w:r>
          </w:p>
        </w:tc>
        <w:tc>
          <w:tcPr>
            <w:tcW w:w="914" w:type="pct"/>
            <w:tcBorders>
              <w:top w:val="single" w:sz="4" w:space="0" w:color="auto"/>
              <w:left w:val="single" w:sz="4" w:space="0" w:color="auto"/>
              <w:bottom w:val="single" w:sz="4" w:space="0" w:color="auto"/>
              <w:right w:val="single" w:sz="4" w:space="0" w:color="auto"/>
            </w:tcBorders>
          </w:tcPr>
          <w:p w14:paraId="7E8C345A" w14:textId="77777777" w:rsidR="00E57DAA" w:rsidRDefault="00AC4185">
            <w:pPr>
              <w:autoSpaceDE w:val="0"/>
              <w:autoSpaceDN w:val="0"/>
              <w:adjustRightInd w:val="0"/>
              <w:jc w:val="right"/>
              <w:rPr>
                <w:szCs w:val="21"/>
              </w:rPr>
            </w:pPr>
            <w:r>
              <w:t>1,138.39</w:t>
            </w:r>
          </w:p>
        </w:tc>
      </w:tr>
      <w:tr w:rsidR="00E57DAA" w14:paraId="22D8A096" w14:textId="77777777">
        <w:tc>
          <w:tcPr>
            <w:tcW w:w="677" w:type="pct"/>
            <w:tcBorders>
              <w:top w:val="single" w:sz="4" w:space="0" w:color="auto"/>
              <w:left w:val="single" w:sz="4" w:space="0" w:color="auto"/>
              <w:bottom w:val="single" w:sz="4" w:space="0" w:color="auto"/>
              <w:right w:val="single" w:sz="4" w:space="0" w:color="auto"/>
            </w:tcBorders>
            <w:vAlign w:val="center"/>
          </w:tcPr>
          <w:p w14:paraId="0D3EE2D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090FDDD" w14:textId="77777777" w:rsidR="00E57DAA" w:rsidRDefault="00AC4185">
            <w:pPr>
              <w:autoSpaceDE w:val="0"/>
              <w:autoSpaceDN w:val="0"/>
              <w:adjustRightInd w:val="0"/>
              <w:rPr>
                <w:szCs w:val="21"/>
              </w:rPr>
            </w:pPr>
            <w:r>
              <w:t>若羌天山水泥有限责任公司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567E420" w14:textId="77777777" w:rsidR="00E57DAA" w:rsidRDefault="00AC4185">
            <w:pPr>
              <w:autoSpaceDE w:val="0"/>
              <w:autoSpaceDN w:val="0"/>
              <w:adjustRightInd w:val="0"/>
              <w:jc w:val="right"/>
              <w:rPr>
                <w:szCs w:val="21"/>
              </w:rPr>
            </w:pPr>
            <w:r>
              <w:t>2,600.00</w:t>
            </w:r>
          </w:p>
        </w:tc>
        <w:tc>
          <w:tcPr>
            <w:tcW w:w="632" w:type="pct"/>
            <w:tcBorders>
              <w:top w:val="single" w:sz="4" w:space="0" w:color="auto"/>
              <w:left w:val="single" w:sz="4" w:space="0" w:color="auto"/>
              <w:bottom w:val="single" w:sz="4" w:space="0" w:color="auto"/>
              <w:right w:val="single" w:sz="4" w:space="0" w:color="auto"/>
            </w:tcBorders>
          </w:tcPr>
          <w:p w14:paraId="4DA75520" w14:textId="77777777" w:rsidR="00E57DAA" w:rsidRDefault="00AC4185">
            <w:pPr>
              <w:autoSpaceDE w:val="0"/>
              <w:autoSpaceDN w:val="0"/>
              <w:adjustRightInd w:val="0"/>
              <w:jc w:val="right"/>
              <w:rPr>
                <w:szCs w:val="21"/>
              </w:rPr>
            </w:pPr>
            <w:r>
              <w:t>855.4</w:t>
            </w:r>
          </w:p>
        </w:tc>
        <w:tc>
          <w:tcPr>
            <w:tcW w:w="703" w:type="pct"/>
            <w:tcBorders>
              <w:top w:val="single" w:sz="4" w:space="0" w:color="auto"/>
              <w:left w:val="single" w:sz="4" w:space="0" w:color="auto"/>
              <w:bottom w:val="single" w:sz="4" w:space="0" w:color="auto"/>
              <w:right w:val="single" w:sz="4" w:space="0" w:color="auto"/>
            </w:tcBorders>
          </w:tcPr>
          <w:p w14:paraId="27797AA1" w14:textId="77777777" w:rsidR="00E57DAA" w:rsidRDefault="00AC4185">
            <w:pPr>
              <w:autoSpaceDE w:val="0"/>
              <w:autoSpaceDN w:val="0"/>
              <w:adjustRightInd w:val="0"/>
              <w:jc w:val="right"/>
              <w:rPr>
                <w:szCs w:val="21"/>
              </w:rPr>
            </w:pPr>
            <w:r>
              <w:t>502,600.00</w:t>
            </w:r>
          </w:p>
        </w:tc>
        <w:tc>
          <w:tcPr>
            <w:tcW w:w="914" w:type="pct"/>
            <w:tcBorders>
              <w:top w:val="single" w:sz="4" w:space="0" w:color="auto"/>
              <w:left w:val="single" w:sz="4" w:space="0" w:color="auto"/>
              <w:bottom w:val="single" w:sz="4" w:space="0" w:color="auto"/>
              <w:right w:val="single" w:sz="4" w:space="0" w:color="auto"/>
            </w:tcBorders>
          </w:tcPr>
          <w:p w14:paraId="7A622955" w14:textId="77777777" w:rsidR="00E57DAA" w:rsidRDefault="00AC4185">
            <w:pPr>
              <w:autoSpaceDE w:val="0"/>
              <w:autoSpaceDN w:val="0"/>
              <w:adjustRightInd w:val="0"/>
              <w:jc w:val="right"/>
              <w:rPr>
                <w:szCs w:val="21"/>
              </w:rPr>
            </w:pPr>
            <w:r>
              <w:t>16,659.80</w:t>
            </w:r>
          </w:p>
        </w:tc>
      </w:tr>
      <w:tr w:rsidR="00E57DAA" w14:paraId="25C92263" w14:textId="77777777">
        <w:tc>
          <w:tcPr>
            <w:tcW w:w="677" w:type="pct"/>
            <w:tcBorders>
              <w:top w:val="single" w:sz="4" w:space="0" w:color="auto"/>
              <w:left w:val="single" w:sz="4" w:space="0" w:color="auto"/>
              <w:bottom w:val="single" w:sz="4" w:space="0" w:color="auto"/>
              <w:right w:val="single" w:sz="4" w:space="0" w:color="auto"/>
            </w:tcBorders>
            <w:vAlign w:val="center"/>
          </w:tcPr>
          <w:p w14:paraId="6B9553F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AC2EA6B" w14:textId="77777777" w:rsidR="00E57DAA" w:rsidRDefault="00AC4185">
            <w:pPr>
              <w:autoSpaceDE w:val="0"/>
              <w:autoSpaceDN w:val="0"/>
              <w:adjustRightInd w:val="0"/>
              <w:rPr>
                <w:szCs w:val="21"/>
              </w:rPr>
            </w:pPr>
            <w:r>
              <w:t>嘉峪关祁连山水泥有限公司</w:t>
            </w:r>
          </w:p>
        </w:tc>
        <w:tc>
          <w:tcPr>
            <w:tcW w:w="633" w:type="pct"/>
            <w:tcBorders>
              <w:top w:val="single" w:sz="4" w:space="0" w:color="auto"/>
              <w:left w:val="single" w:sz="4" w:space="0" w:color="auto"/>
              <w:bottom w:val="single" w:sz="4" w:space="0" w:color="auto"/>
              <w:right w:val="single" w:sz="4" w:space="0" w:color="auto"/>
            </w:tcBorders>
          </w:tcPr>
          <w:p w14:paraId="02A7F400" w14:textId="77777777" w:rsidR="00E57DAA" w:rsidRDefault="00AC4185">
            <w:pPr>
              <w:autoSpaceDE w:val="0"/>
              <w:autoSpaceDN w:val="0"/>
              <w:adjustRightInd w:val="0"/>
              <w:jc w:val="right"/>
              <w:rPr>
                <w:szCs w:val="21"/>
              </w:rPr>
            </w:pPr>
            <w:r>
              <w:t>2,000.00</w:t>
            </w:r>
          </w:p>
        </w:tc>
        <w:tc>
          <w:tcPr>
            <w:tcW w:w="632" w:type="pct"/>
            <w:tcBorders>
              <w:top w:val="single" w:sz="4" w:space="0" w:color="auto"/>
              <w:left w:val="single" w:sz="4" w:space="0" w:color="auto"/>
              <w:bottom w:val="single" w:sz="4" w:space="0" w:color="auto"/>
              <w:right w:val="single" w:sz="4" w:space="0" w:color="auto"/>
            </w:tcBorders>
          </w:tcPr>
          <w:p w14:paraId="00485169" w14:textId="77777777" w:rsidR="00E57DAA" w:rsidRDefault="00AC4185">
            <w:pPr>
              <w:autoSpaceDE w:val="0"/>
              <w:autoSpaceDN w:val="0"/>
              <w:adjustRightInd w:val="0"/>
              <w:jc w:val="right"/>
              <w:rPr>
                <w:szCs w:val="21"/>
              </w:rPr>
            </w:pPr>
            <w:r>
              <w:t>40</w:t>
            </w:r>
          </w:p>
        </w:tc>
        <w:tc>
          <w:tcPr>
            <w:tcW w:w="703" w:type="pct"/>
            <w:tcBorders>
              <w:top w:val="single" w:sz="4" w:space="0" w:color="auto"/>
              <w:left w:val="single" w:sz="4" w:space="0" w:color="auto"/>
              <w:bottom w:val="single" w:sz="4" w:space="0" w:color="auto"/>
              <w:right w:val="single" w:sz="4" w:space="0" w:color="auto"/>
            </w:tcBorders>
          </w:tcPr>
          <w:p w14:paraId="7167DF7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8F4E384" w14:textId="77777777" w:rsidR="00E57DAA" w:rsidRDefault="00AC4185">
            <w:pPr>
              <w:autoSpaceDE w:val="0"/>
              <w:autoSpaceDN w:val="0"/>
              <w:adjustRightInd w:val="0"/>
              <w:jc w:val="right"/>
              <w:rPr>
                <w:szCs w:val="21"/>
              </w:rPr>
            </w:pPr>
            <w:r>
              <w:t xml:space="preserve">　</w:t>
            </w:r>
          </w:p>
        </w:tc>
      </w:tr>
      <w:tr w:rsidR="00E57DAA" w14:paraId="726C5136" w14:textId="77777777">
        <w:tc>
          <w:tcPr>
            <w:tcW w:w="677" w:type="pct"/>
            <w:tcBorders>
              <w:top w:val="single" w:sz="4" w:space="0" w:color="auto"/>
              <w:left w:val="single" w:sz="4" w:space="0" w:color="auto"/>
              <w:bottom w:val="single" w:sz="4" w:space="0" w:color="auto"/>
              <w:right w:val="single" w:sz="4" w:space="0" w:color="auto"/>
            </w:tcBorders>
            <w:vAlign w:val="center"/>
          </w:tcPr>
          <w:p w14:paraId="3038E4D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1B0D545" w14:textId="77777777" w:rsidR="00E57DAA" w:rsidRDefault="00AC4185">
            <w:pPr>
              <w:autoSpaceDE w:val="0"/>
              <w:autoSpaceDN w:val="0"/>
              <w:adjustRightInd w:val="0"/>
              <w:rPr>
                <w:szCs w:val="21"/>
              </w:rPr>
            </w:pPr>
            <w:r>
              <w:t>新安中联万基水泥有限公司</w:t>
            </w:r>
          </w:p>
        </w:tc>
        <w:tc>
          <w:tcPr>
            <w:tcW w:w="633" w:type="pct"/>
            <w:tcBorders>
              <w:top w:val="single" w:sz="4" w:space="0" w:color="auto"/>
              <w:left w:val="single" w:sz="4" w:space="0" w:color="auto"/>
              <w:bottom w:val="single" w:sz="4" w:space="0" w:color="auto"/>
              <w:right w:val="single" w:sz="4" w:space="0" w:color="auto"/>
            </w:tcBorders>
          </w:tcPr>
          <w:p w14:paraId="47F26985" w14:textId="77777777" w:rsidR="00E57DAA" w:rsidRDefault="00AC4185">
            <w:pPr>
              <w:autoSpaceDE w:val="0"/>
              <w:autoSpaceDN w:val="0"/>
              <w:adjustRightInd w:val="0"/>
              <w:jc w:val="right"/>
              <w:rPr>
                <w:szCs w:val="21"/>
              </w:rPr>
            </w:pPr>
            <w:r>
              <w:t>2,000.00</w:t>
            </w:r>
          </w:p>
        </w:tc>
        <w:tc>
          <w:tcPr>
            <w:tcW w:w="632" w:type="pct"/>
            <w:tcBorders>
              <w:top w:val="single" w:sz="4" w:space="0" w:color="auto"/>
              <w:left w:val="single" w:sz="4" w:space="0" w:color="auto"/>
              <w:bottom w:val="single" w:sz="4" w:space="0" w:color="auto"/>
              <w:right w:val="single" w:sz="4" w:space="0" w:color="auto"/>
            </w:tcBorders>
          </w:tcPr>
          <w:p w14:paraId="39C6E8A9" w14:textId="77777777" w:rsidR="00E57DAA" w:rsidRDefault="00AC4185">
            <w:pPr>
              <w:autoSpaceDE w:val="0"/>
              <w:autoSpaceDN w:val="0"/>
              <w:adjustRightInd w:val="0"/>
              <w:jc w:val="right"/>
              <w:rPr>
                <w:szCs w:val="21"/>
              </w:rPr>
            </w:pPr>
            <w:r>
              <w:t>376</w:t>
            </w:r>
          </w:p>
        </w:tc>
        <w:tc>
          <w:tcPr>
            <w:tcW w:w="703" w:type="pct"/>
            <w:tcBorders>
              <w:top w:val="single" w:sz="4" w:space="0" w:color="auto"/>
              <w:left w:val="single" w:sz="4" w:space="0" w:color="auto"/>
              <w:bottom w:val="single" w:sz="4" w:space="0" w:color="auto"/>
              <w:right w:val="single" w:sz="4" w:space="0" w:color="auto"/>
            </w:tcBorders>
          </w:tcPr>
          <w:p w14:paraId="1ED870F7" w14:textId="77777777" w:rsidR="00E57DAA" w:rsidRDefault="00AC4185">
            <w:pPr>
              <w:autoSpaceDE w:val="0"/>
              <w:autoSpaceDN w:val="0"/>
              <w:adjustRightInd w:val="0"/>
              <w:jc w:val="right"/>
              <w:rPr>
                <w:szCs w:val="21"/>
              </w:rPr>
            </w:pPr>
            <w:r>
              <w:t>2,000.00</w:t>
            </w:r>
          </w:p>
        </w:tc>
        <w:tc>
          <w:tcPr>
            <w:tcW w:w="914" w:type="pct"/>
            <w:tcBorders>
              <w:top w:val="single" w:sz="4" w:space="0" w:color="auto"/>
              <w:left w:val="single" w:sz="4" w:space="0" w:color="auto"/>
              <w:bottom w:val="single" w:sz="4" w:space="0" w:color="auto"/>
              <w:right w:val="single" w:sz="4" w:space="0" w:color="auto"/>
            </w:tcBorders>
          </w:tcPr>
          <w:p w14:paraId="707277D6" w14:textId="77777777" w:rsidR="00E57DAA" w:rsidRDefault="00AC4185">
            <w:pPr>
              <w:autoSpaceDE w:val="0"/>
              <w:autoSpaceDN w:val="0"/>
              <w:adjustRightInd w:val="0"/>
              <w:jc w:val="right"/>
              <w:rPr>
                <w:szCs w:val="21"/>
              </w:rPr>
            </w:pPr>
            <w:r>
              <w:t>244</w:t>
            </w:r>
          </w:p>
        </w:tc>
      </w:tr>
      <w:tr w:rsidR="00E57DAA" w14:paraId="6274EEC7" w14:textId="77777777">
        <w:tc>
          <w:tcPr>
            <w:tcW w:w="677" w:type="pct"/>
            <w:tcBorders>
              <w:top w:val="single" w:sz="4" w:space="0" w:color="auto"/>
              <w:left w:val="single" w:sz="4" w:space="0" w:color="auto"/>
              <w:bottom w:val="single" w:sz="4" w:space="0" w:color="auto"/>
              <w:right w:val="single" w:sz="4" w:space="0" w:color="auto"/>
            </w:tcBorders>
            <w:vAlign w:val="center"/>
          </w:tcPr>
          <w:p w14:paraId="40748A3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1E734B9" w14:textId="77777777" w:rsidR="00E57DAA" w:rsidRDefault="00AC4185">
            <w:pPr>
              <w:autoSpaceDE w:val="0"/>
              <w:autoSpaceDN w:val="0"/>
              <w:adjustRightInd w:val="0"/>
              <w:rPr>
                <w:szCs w:val="21"/>
              </w:rPr>
            </w:pPr>
            <w:r>
              <w:t>中国联合水泥集团有限公司</w:t>
            </w:r>
          </w:p>
        </w:tc>
        <w:tc>
          <w:tcPr>
            <w:tcW w:w="633" w:type="pct"/>
            <w:tcBorders>
              <w:top w:val="single" w:sz="4" w:space="0" w:color="auto"/>
              <w:left w:val="single" w:sz="4" w:space="0" w:color="auto"/>
              <w:bottom w:val="single" w:sz="4" w:space="0" w:color="auto"/>
              <w:right w:val="single" w:sz="4" w:space="0" w:color="auto"/>
            </w:tcBorders>
          </w:tcPr>
          <w:p w14:paraId="2DDE87C2" w14:textId="77777777" w:rsidR="00E57DAA" w:rsidRDefault="00AC4185">
            <w:pPr>
              <w:autoSpaceDE w:val="0"/>
              <w:autoSpaceDN w:val="0"/>
              <w:adjustRightInd w:val="0"/>
              <w:jc w:val="right"/>
              <w:rPr>
                <w:szCs w:val="21"/>
              </w:rPr>
            </w:pPr>
            <w:r>
              <w:t>2,000.00</w:t>
            </w:r>
          </w:p>
        </w:tc>
        <w:tc>
          <w:tcPr>
            <w:tcW w:w="632" w:type="pct"/>
            <w:tcBorders>
              <w:top w:val="single" w:sz="4" w:space="0" w:color="auto"/>
              <w:left w:val="single" w:sz="4" w:space="0" w:color="auto"/>
              <w:bottom w:val="single" w:sz="4" w:space="0" w:color="auto"/>
              <w:right w:val="single" w:sz="4" w:space="0" w:color="auto"/>
            </w:tcBorders>
          </w:tcPr>
          <w:p w14:paraId="4D0ADC31" w14:textId="77777777" w:rsidR="00E57DAA" w:rsidRDefault="00AC4185">
            <w:pPr>
              <w:autoSpaceDE w:val="0"/>
              <w:autoSpaceDN w:val="0"/>
              <w:adjustRightInd w:val="0"/>
              <w:jc w:val="right"/>
              <w:rPr>
                <w:szCs w:val="21"/>
              </w:rPr>
            </w:pPr>
            <w:r>
              <w:t>2,000.00</w:t>
            </w:r>
          </w:p>
        </w:tc>
        <w:tc>
          <w:tcPr>
            <w:tcW w:w="703" w:type="pct"/>
            <w:tcBorders>
              <w:top w:val="single" w:sz="4" w:space="0" w:color="auto"/>
              <w:left w:val="single" w:sz="4" w:space="0" w:color="auto"/>
              <w:bottom w:val="single" w:sz="4" w:space="0" w:color="auto"/>
              <w:right w:val="single" w:sz="4" w:space="0" w:color="auto"/>
            </w:tcBorders>
          </w:tcPr>
          <w:p w14:paraId="34AE1EEA" w14:textId="77777777" w:rsidR="00E57DAA" w:rsidRDefault="00AC4185">
            <w:pPr>
              <w:autoSpaceDE w:val="0"/>
              <w:autoSpaceDN w:val="0"/>
              <w:adjustRightInd w:val="0"/>
              <w:jc w:val="right"/>
              <w:rPr>
                <w:szCs w:val="21"/>
              </w:rPr>
            </w:pPr>
            <w:r>
              <w:t>92,000.00</w:t>
            </w:r>
          </w:p>
        </w:tc>
        <w:tc>
          <w:tcPr>
            <w:tcW w:w="914" w:type="pct"/>
            <w:tcBorders>
              <w:top w:val="single" w:sz="4" w:space="0" w:color="auto"/>
              <w:left w:val="single" w:sz="4" w:space="0" w:color="auto"/>
              <w:bottom w:val="single" w:sz="4" w:space="0" w:color="auto"/>
              <w:right w:val="single" w:sz="4" w:space="0" w:color="auto"/>
            </w:tcBorders>
          </w:tcPr>
          <w:p w14:paraId="16E4CC0E" w14:textId="77777777" w:rsidR="00E57DAA" w:rsidRDefault="00AC4185">
            <w:pPr>
              <w:autoSpaceDE w:val="0"/>
              <w:autoSpaceDN w:val="0"/>
              <w:adjustRightInd w:val="0"/>
              <w:jc w:val="right"/>
              <w:rPr>
                <w:szCs w:val="21"/>
              </w:rPr>
            </w:pPr>
            <w:r>
              <w:t>47,880.00</w:t>
            </w:r>
          </w:p>
        </w:tc>
      </w:tr>
      <w:tr w:rsidR="00E57DAA" w14:paraId="2F60C1D6" w14:textId="77777777">
        <w:tc>
          <w:tcPr>
            <w:tcW w:w="677" w:type="pct"/>
            <w:tcBorders>
              <w:top w:val="single" w:sz="4" w:space="0" w:color="auto"/>
              <w:left w:val="single" w:sz="4" w:space="0" w:color="auto"/>
              <w:bottom w:val="single" w:sz="4" w:space="0" w:color="auto"/>
              <w:right w:val="single" w:sz="4" w:space="0" w:color="auto"/>
            </w:tcBorders>
            <w:vAlign w:val="center"/>
          </w:tcPr>
          <w:p w14:paraId="3AF94340"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0795CADD" w14:textId="77777777" w:rsidR="00E57DAA" w:rsidRDefault="00AC4185">
            <w:pPr>
              <w:autoSpaceDE w:val="0"/>
              <w:autoSpaceDN w:val="0"/>
              <w:adjustRightInd w:val="0"/>
              <w:rPr>
                <w:szCs w:val="21"/>
              </w:rPr>
            </w:pPr>
            <w:r>
              <w:t>甘肃祁连山水泥集团有限公司</w:t>
            </w:r>
          </w:p>
        </w:tc>
        <w:tc>
          <w:tcPr>
            <w:tcW w:w="633" w:type="pct"/>
            <w:tcBorders>
              <w:top w:val="single" w:sz="4" w:space="0" w:color="auto"/>
              <w:left w:val="single" w:sz="4" w:space="0" w:color="auto"/>
              <w:bottom w:val="single" w:sz="4" w:space="0" w:color="auto"/>
              <w:right w:val="single" w:sz="4" w:space="0" w:color="auto"/>
            </w:tcBorders>
          </w:tcPr>
          <w:p w14:paraId="1894473F" w14:textId="77777777" w:rsidR="00E57DAA" w:rsidRDefault="00AC4185">
            <w:pPr>
              <w:autoSpaceDE w:val="0"/>
              <w:autoSpaceDN w:val="0"/>
              <w:adjustRightInd w:val="0"/>
              <w:jc w:val="right"/>
              <w:rPr>
                <w:szCs w:val="21"/>
              </w:rPr>
            </w:pPr>
            <w:r>
              <w:t>1,500.00</w:t>
            </w:r>
          </w:p>
        </w:tc>
        <w:tc>
          <w:tcPr>
            <w:tcW w:w="632" w:type="pct"/>
            <w:tcBorders>
              <w:top w:val="single" w:sz="4" w:space="0" w:color="auto"/>
              <w:left w:val="single" w:sz="4" w:space="0" w:color="auto"/>
              <w:bottom w:val="single" w:sz="4" w:space="0" w:color="auto"/>
              <w:right w:val="single" w:sz="4" w:space="0" w:color="auto"/>
            </w:tcBorders>
          </w:tcPr>
          <w:p w14:paraId="0B7DEFE4" w14:textId="77777777" w:rsidR="00E57DAA" w:rsidRDefault="00AC4185">
            <w:pPr>
              <w:autoSpaceDE w:val="0"/>
              <w:autoSpaceDN w:val="0"/>
              <w:adjustRightInd w:val="0"/>
              <w:jc w:val="right"/>
              <w:rPr>
                <w:szCs w:val="21"/>
              </w:rPr>
            </w:pPr>
            <w:r>
              <w:t>45</w:t>
            </w:r>
          </w:p>
        </w:tc>
        <w:tc>
          <w:tcPr>
            <w:tcW w:w="703" w:type="pct"/>
            <w:tcBorders>
              <w:top w:val="single" w:sz="4" w:space="0" w:color="auto"/>
              <w:left w:val="single" w:sz="4" w:space="0" w:color="auto"/>
              <w:bottom w:val="single" w:sz="4" w:space="0" w:color="auto"/>
              <w:right w:val="single" w:sz="4" w:space="0" w:color="auto"/>
            </w:tcBorders>
          </w:tcPr>
          <w:p w14:paraId="7968B38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0BD0B21" w14:textId="77777777" w:rsidR="00E57DAA" w:rsidRDefault="00AC4185">
            <w:pPr>
              <w:autoSpaceDE w:val="0"/>
              <w:autoSpaceDN w:val="0"/>
              <w:adjustRightInd w:val="0"/>
              <w:jc w:val="right"/>
              <w:rPr>
                <w:szCs w:val="21"/>
              </w:rPr>
            </w:pPr>
            <w:r>
              <w:t xml:space="preserve">　</w:t>
            </w:r>
          </w:p>
        </w:tc>
      </w:tr>
      <w:tr w:rsidR="00E57DAA" w14:paraId="386597EA" w14:textId="77777777">
        <w:tc>
          <w:tcPr>
            <w:tcW w:w="677" w:type="pct"/>
            <w:tcBorders>
              <w:top w:val="single" w:sz="4" w:space="0" w:color="auto"/>
              <w:left w:val="single" w:sz="4" w:space="0" w:color="auto"/>
              <w:bottom w:val="single" w:sz="4" w:space="0" w:color="auto"/>
              <w:right w:val="single" w:sz="4" w:space="0" w:color="auto"/>
            </w:tcBorders>
            <w:vAlign w:val="center"/>
          </w:tcPr>
          <w:p w14:paraId="2DF9083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5BCAE73" w14:textId="77777777" w:rsidR="00E57DAA" w:rsidRDefault="00AC4185">
            <w:pPr>
              <w:autoSpaceDE w:val="0"/>
              <w:autoSpaceDN w:val="0"/>
              <w:adjustRightInd w:val="0"/>
              <w:rPr>
                <w:szCs w:val="21"/>
              </w:rPr>
            </w:pPr>
            <w:r>
              <w:t>曲阜中联水泥有限公司</w:t>
            </w:r>
          </w:p>
        </w:tc>
        <w:tc>
          <w:tcPr>
            <w:tcW w:w="633" w:type="pct"/>
            <w:tcBorders>
              <w:top w:val="single" w:sz="4" w:space="0" w:color="auto"/>
              <w:left w:val="single" w:sz="4" w:space="0" w:color="auto"/>
              <w:bottom w:val="single" w:sz="4" w:space="0" w:color="auto"/>
              <w:right w:val="single" w:sz="4" w:space="0" w:color="auto"/>
            </w:tcBorders>
          </w:tcPr>
          <w:p w14:paraId="727D3968" w14:textId="77777777" w:rsidR="00E57DAA" w:rsidRDefault="00AC4185">
            <w:pPr>
              <w:autoSpaceDE w:val="0"/>
              <w:autoSpaceDN w:val="0"/>
              <w:adjustRightInd w:val="0"/>
              <w:jc w:val="right"/>
              <w:rPr>
                <w:szCs w:val="21"/>
              </w:rPr>
            </w:pPr>
            <w:r>
              <w:t>1,000.00</w:t>
            </w:r>
          </w:p>
        </w:tc>
        <w:tc>
          <w:tcPr>
            <w:tcW w:w="632" w:type="pct"/>
            <w:tcBorders>
              <w:top w:val="single" w:sz="4" w:space="0" w:color="auto"/>
              <w:left w:val="single" w:sz="4" w:space="0" w:color="auto"/>
              <w:bottom w:val="single" w:sz="4" w:space="0" w:color="auto"/>
              <w:right w:val="single" w:sz="4" w:space="0" w:color="auto"/>
            </w:tcBorders>
          </w:tcPr>
          <w:p w14:paraId="49103D7F" w14:textId="77777777" w:rsidR="00E57DAA" w:rsidRDefault="00AC4185">
            <w:pPr>
              <w:autoSpaceDE w:val="0"/>
              <w:autoSpaceDN w:val="0"/>
              <w:adjustRightInd w:val="0"/>
              <w:jc w:val="right"/>
              <w:rPr>
                <w:szCs w:val="21"/>
              </w:rPr>
            </w:pPr>
            <w:r>
              <w:t>20</w:t>
            </w:r>
          </w:p>
        </w:tc>
        <w:tc>
          <w:tcPr>
            <w:tcW w:w="703" w:type="pct"/>
            <w:tcBorders>
              <w:top w:val="single" w:sz="4" w:space="0" w:color="auto"/>
              <w:left w:val="single" w:sz="4" w:space="0" w:color="auto"/>
              <w:bottom w:val="single" w:sz="4" w:space="0" w:color="auto"/>
              <w:right w:val="single" w:sz="4" w:space="0" w:color="auto"/>
            </w:tcBorders>
          </w:tcPr>
          <w:p w14:paraId="0F140E93" w14:textId="77777777" w:rsidR="00E57DAA" w:rsidRDefault="00AC4185">
            <w:pPr>
              <w:autoSpaceDE w:val="0"/>
              <w:autoSpaceDN w:val="0"/>
              <w:adjustRightInd w:val="0"/>
              <w:jc w:val="right"/>
              <w:rPr>
                <w:szCs w:val="21"/>
              </w:rPr>
            </w:pPr>
            <w:r>
              <w:t>60,000.00</w:t>
            </w:r>
          </w:p>
        </w:tc>
        <w:tc>
          <w:tcPr>
            <w:tcW w:w="914" w:type="pct"/>
            <w:tcBorders>
              <w:top w:val="single" w:sz="4" w:space="0" w:color="auto"/>
              <w:left w:val="single" w:sz="4" w:space="0" w:color="auto"/>
              <w:bottom w:val="single" w:sz="4" w:space="0" w:color="auto"/>
              <w:right w:val="single" w:sz="4" w:space="0" w:color="auto"/>
            </w:tcBorders>
          </w:tcPr>
          <w:p w14:paraId="0F7FE44A" w14:textId="77777777" w:rsidR="00E57DAA" w:rsidRDefault="00AC4185">
            <w:pPr>
              <w:autoSpaceDE w:val="0"/>
              <w:autoSpaceDN w:val="0"/>
              <w:adjustRightInd w:val="0"/>
              <w:jc w:val="right"/>
              <w:rPr>
                <w:szCs w:val="21"/>
              </w:rPr>
            </w:pPr>
            <w:r>
              <w:t>843</w:t>
            </w:r>
          </w:p>
        </w:tc>
      </w:tr>
      <w:tr w:rsidR="00E57DAA" w14:paraId="08E07792" w14:textId="77777777">
        <w:tc>
          <w:tcPr>
            <w:tcW w:w="677" w:type="pct"/>
            <w:tcBorders>
              <w:top w:val="single" w:sz="4" w:space="0" w:color="auto"/>
              <w:left w:val="single" w:sz="4" w:space="0" w:color="auto"/>
              <w:bottom w:val="single" w:sz="4" w:space="0" w:color="auto"/>
              <w:right w:val="single" w:sz="4" w:space="0" w:color="auto"/>
            </w:tcBorders>
            <w:vAlign w:val="center"/>
          </w:tcPr>
          <w:p w14:paraId="2C81CC3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843C84" w14:textId="77777777" w:rsidR="00E57DAA" w:rsidRDefault="00AC4185">
            <w:pPr>
              <w:autoSpaceDE w:val="0"/>
              <w:autoSpaceDN w:val="0"/>
              <w:adjustRightInd w:val="0"/>
              <w:rPr>
                <w:szCs w:val="21"/>
              </w:rPr>
            </w:pPr>
            <w:r>
              <w:t>响水中联水泥有限公司</w:t>
            </w:r>
          </w:p>
        </w:tc>
        <w:tc>
          <w:tcPr>
            <w:tcW w:w="633" w:type="pct"/>
            <w:tcBorders>
              <w:top w:val="single" w:sz="4" w:space="0" w:color="auto"/>
              <w:left w:val="single" w:sz="4" w:space="0" w:color="auto"/>
              <w:bottom w:val="single" w:sz="4" w:space="0" w:color="auto"/>
              <w:right w:val="single" w:sz="4" w:space="0" w:color="auto"/>
            </w:tcBorders>
          </w:tcPr>
          <w:p w14:paraId="0E1241F6" w14:textId="77777777" w:rsidR="00E57DAA" w:rsidRDefault="00AC4185">
            <w:pPr>
              <w:autoSpaceDE w:val="0"/>
              <w:autoSpaceDN w:val="0"/>
              <w:adjustRightInd w:val="0"/>
              <w:jc w:val="right"/>
              <w:rPr>
                <w:szCs w:val="21"/>
              </w:rPr>
            </w:pPr>
            <w:r>
              <w:t>1,000.00</w:t>
            </w:r>
          </w:p>
        </w:tc>
        <w:tc>
          <w:tcPr>
            <w:tcW w:w="632" w:type="pct"/>
            <w:tcBorders>
              <w:top w:val="single" w:sz="4" w:space="0" w:color="auto"/>
              <w:left w:val="single" w:sz="4" w:space="0" w:color="auto"/>
              <w:bottom w:val="single" w:sz="4" w:space="0" w:color="auto"/>
              <w:right w:val="single" w:sz="4" w:space="0" w:color="auto"/>
            </w:tcBorders>
          </w:tcPr>
          <w:p w14:paraId="6D794212" w14:textId="77777777" w:rsidR="00E57DAA" w:rsidRDefault="00AC4185">
            <w:pPr>
              <w:autoSpaceDE w:val="0"/>
              <w:autoSpaceDN w:val="0"/>
              <w:adjustRightInd w:val="0"/>
              <w:jc w:val="right"/>
              <w:rPr>
                <w:szCs w:val="21"/>
              </w:rPr>
            </w:pPr>
            <w:r>
              <w:t>200</w:t>
            </w:r>
          </w:p>
        </w:tc>
        <w:tc>
          <w:tcPr>
            <w:tcW w:w="703" w:type="pct"/>
            <w:tcBorders>
              <w:top w:val="single" w:sz="4" w:space="0" w:color="auto"/>
              <w:left w:val="single" w:sz="4" w:space="0" w:color="auto"/>
              <w:bottom w:val="single" w:sz="4" w:space="0" w:color="auto"/>
              <w:right w:val="single" w:sz="4" w:space="0" w:color="auto"/>
            </w:tcBorders>
          </w:tcPr>
          <w:p w14:paraId="5FE8A639"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7B3DB1F1" w14:textId="77777777" w:rsidR="00E57DAA" w:rsidRDefault="00AC4185">
            <w:pPr>
              <w:autoSpaceDE w:val="0"/>
              <w:autoSpaceDN w:val="0"/>
              <w:adjustRightInd w:val="0"/>
              <w:jc w:val="right"/>
              <w:rPr>
                <w:szCs w:val="21"/>
              </w:rPr>
            </w:pPr>
            <w:r>
              <w:t>100</w:t>
            </w:r>
          </w:p>
        </w:tc>
      </w:tr>
      <w:tr w:rsidR="00E57DAA" w14:paraId="386F6045" w14:textId="77777777">
        <w:tc>
          <w:tcPr>
            <w:tcW w:w="677" w:type="pct"/>
            <w:tcBorders>
              <w:top w:val="single" w:sz="4" w:space="0" w:color="auto"/>
              <w:left w:val="single" w:sz="4" w:space="0" w:color="auto"/>
              <w:bottom w:val="single" w:sz="4" w:space="0" w:color="auto"/>
              <w:right w:val="single" w:sz="4" w:space="0" w:color="auto"/>
            </w:tcBorders>
            <w:vAlign w:val="center"/>
          </w:tcPr>
          <w:p w14:paraId="2657C9D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0E65675" w14:textId="77777777" w:rsidR="00E57DAA" w:rsidRDefault="00AC4185">
            <w:pPr>
              <w:autoSpaceDE w:val="0"/>
              <w:autoSpaceDN w:val="0"/>
              <w:adjustRightInd w:val="0"/>
              <w:rPr>
                <w:szCs w:val="21"/>
              </w:rPr>
            </w:pPr>
            <w:r>
              <w:t>中建材海外经济合作有限公司</w:t>
            </w:r>
          </w:p>
        </w:tc>
        <w:tc>
          <w:tcPr>
            <w:tcW w:w="633" w:type="pct"/>
            <w:tcBorders>
              <w:top w:val="single" w:sz="4" w:space="0" w:color="auto"/>
              <w:left w:val="single" w:sz="4" w:space="0" w:color="auto"/>
              <w:bottom w:val="single" w:sz="4" w:space="0" w:color="auto"/>
              <w:right w:val="single" w:sz="4" w:space="0" w:color="auto"/>
            </w:tcBorders>
          </w:tcPr>
          <w:p w14:paraId="6F8F7FD2" w14:textId="77777777" w:rsidR="00E57DAA" w:rsidRDefault="00AC4185">
            <w:pPr>
              <w:autoSpaceDE w:val="0"/>
              <w:autoSpaceDN w:val="0"/>
              <w:adjustRightInd w:val="0"/>
              <w:jc w:val="right"/>
              <w:rPr>
                <w:szCs w:val="21"/>
              </w:rPr>
            </w:pPr>
            <w:r>
              <w:t>1,000.00</w:t>
            </w:r>
          </w:p>
        </w:tc>
        <w:tc>
          <w:tcPr>
            <w:tcW w:w="632" w:type="pct"/>
            <w:tcBorders>
              <w:top w:val="single" w:sz="4" w:space="0" w:color="auto"/>
              <w:left w:val="single" w:sz="4" w:space="0" w:color="auto"/>
              <w:bottom w:val="single" w:sz="4" w:space="0" w:color="auto"/>
              <w:right w:val="single" w:sz="4" w:space="0" w:color="auto"/>
            </w:tcBorders>
          </w:tcPr>
          <w:p w14:paraId="6F2799C4" w14:textId="77777777" w:rsidR="00E57DAA" w:rsidRDefault="00AC4185">
            <w:pPr>
              <w:autoSpaceDE w:val="0"/>
              <w:autoSpaceDN w:val="0"/>
              <w:adjustRightInd w:val="0"/>
              <w:jc w:val="right"/>
              <w:rPr>
                <w:szCs w:val="21"/>
              </w:rPr>
            </w:pPr>
            <w:r>
              <w:t>137</w:t>
            </w:r>
          </w:p>
        </w:tc>
        <w:tc>
          <w:tcPr>
            <w:tcW w:w="703" w:type="pct"/>
            <w:tcBorders>
              <w:top w:val="single" w:sz="4" w:space="0" w:color="auto"/>
              <w:left w:val="single" w:sz="4" w:space="0" w:color="auto"/>
              <w:bottom w:val="single" w:sz="4" w:space="0" w:color="auto"/>
              <w:right w:val="single" w:sz="4" w:space="0" w:color="auto"/>
            </w:tcBorders>
          </w:tcPr>
          <w:p w14:paraId="5D42E56B" w14:textId="77777777" w:rsidR="00E57DAA" w:rsidRDefault="00AC4185">
            <w:pPr>
              <w:autoSpaceDE w:val="0"/>
              <w:autoSpaceDN w:val="0"/>
              <w:adjustRightInd w:val="0"/>
              <w:jc w:val="right"/>
              <w:rPr>
                <w:szCs w:val="21"/>
              </w:rPr>
            </w:pPr>
            <w:r>
              <w:t>385,515.50</w:t>
            </w:r>
          </w:p>
        </w:tc>
        <w:tc>
          <w:tcPr>
            <w:tcW w:w="914" w:type="pct"/>
            <w:tcBorders>
              <w:top w:val="single" w:sz="4" w:space="0" w:color="auto"/>
              <w:left w:val="single" w:sz="4" w:space="0" w:color="auto"/>
              <w:bottom w:val="single" w:sz="4" w:space="0" w:color="auto"/>
              <w:right w:val="single" w:sz="4" w:space="0" w:color="auto"/>
            </w:tcBorders>
          </w:tcPr>
          <w:p w14:paraId="6A682564" w14:textId="77777777" w:rsidR="00E57DAA" w:rsidRDefault="00AC4185">
            <w:pPr>
              <w:autoSpaceDE w:val="0"/>
              <w:autoSpaceDN w:val="0"/>
              <w:adjustRightInd w:val="0"/>
              <w:jc w:val="right"/>
              <w:rPr>
                <w:szCs w:val="21"/>
              </w:rPr>
            </w:pPr>
            <w:r>
              <w:t>8,095.83</w:t>
            </w:r>
          </w:p>
        </w:tc>
      </w:tr>
      <w:tr w:rsidR="00E57DAA" w14:paraId="040A922D" w14:textId="77777777">
        <w:tc>
          <w:tcPr>
            <w:tcW w:w="677" w:type="pct"/>
            <w:tcBorders>
              <w:top w:val="single" w:sz="4" w:space="0" w:color="auto"/>
              <w:left w:val="single" w:sz="4" w:space="0" w:color="auto"/>
              <w:bottom w:val="single" w:sz="4" w:space="0" w:color="auto"/>
              <w:right w:val="single" w:sz="4" w:space="0" w:color="auto"/>
            </w:tcBorders>
            <w:vAlign w:val="center"/>
          </w:tcPr>
          <w:p w14:paraId="23CD02F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F7BE03" w14:textId="77777777" w:rsidR="00E57DAA" w:rsidRDefault="00AC4185">
            <w:pPr>
              <w:autoSpaceDE w:val="0"/>
              <w:autoSpaceDN w:val="0"/>
              <w:adjustRightInd w:val="0"/>
              <w:rPr>
                <w:szCs w:val="21"/>
              </w:rPr>
            </w:pPr>
            <w:r>
              <w:t>喀什天山水泥有限责任公司</w:t>
            </w:r>
          </w:p>
        </w:tc>
        <w:tc>
          <w:tcPr>
            <w:tcW w:w="633" w:type="pct"/>
            <w:tcBorders>
              <w:top w:val="single" w:sz="4" w:space="0" w:color="auto"/>
              <w:left w:val="single" w:sz="4" w:space="0" w:color="auto"/>
              <w:bottom w:val="single" w:sz="4" w:space="0" w:color="auto"/>
              <w:right w:val="single" w:sz="4" w:space="0" w:color="auto"/>
            </w:tcBorders>
          </w:tcPr>
          <w:p w14:paraId="5D412B5E" w14:textId="77777777" w:rsidR="00E57DAA" w:rsidRDefault="00AC4185">
            <w:pPr>
              <w:autoSpaceDE w:val="0"/>
              <w:autoSpaceDN w:val="0"/>
              <w:adjustRightInd w:val="0"/>
              <w:jc w:val="right"/>
              <w:rPr>
                <w:szCs w:val="21"/>
              </w:rPr>
            </w:pPr>
            <w:r>
              <w:t>602</w:t>
            </w:r>
          </w:p>
        </w:tc>
        <w:tc>
          <w:tcPr>
            <w:tcW w:w="632" w:type="pct"/>
            <w:tcBorders>
              <w:top w:val="single" w:sz="4" w:space="0" w:color="auto"/>
              <w:left w:val="single" w:sz="4" w:space="0" w:color="auto"/>
              <w:bottom w:val="single" w:sz="4" w:space="0" w:color="auto"/>
              <w:right w:val="single" w:sz="4" w:space="0" w:color="auto"/>
            </w:tcBorders>
          </w:tcPr>
          <w:p w14:paraId="28298A6B" w14:textId="77777777" w:rsidR="00E57DAA" w:rsidRDefault="00AC4185">
            <w:pPr>
              <w:autoSpaceDE w:val="0"/>
              <w:autoSpaceDN w:val="0"/>
              <w:adjustRightInd w:val="0"/>
              <w:jc w:val="right"/>
              <w:rPr>
                <w:szCs w:val="21"/>
              </w:rPr>
            </w:pPr>
            <w:r>
              <w:t>82.47</w:t>
            </w:r>
          </w:p>
        </w:tc>
        <w:tc>
          <w:tcPr>
            <w:tcW w:w="703" w:type="pct"/>
            <w:tcBorders>
              <w:top w:val="single" w:sz="4" w:space="0" w:color="auto"/>
              <w:left w:val="single" w:sz="4" w:space="0" w:color="auto"/>
              <w:bottom w:val="single" w:sz="4" w:space="0" w:color="auto"/>
              <w:right w:val="single" w:sz="4" w:space="0" w:color="auto"/>
            </w:tcBorders>
          </w:tcPr>
          <w:p w14:paraId="5CAFF978" w14:textId="77777777" w:rsidR="00E57DAA" w:rsidRDefault="00AC4185">
            <w:pPr>
              <w:autoSpaceDE w:val="0"/>
              <w:autoSpaceDN w:val="0"/>
              <w:adjustRightInd w:val="0"/>
              <w:jc w:val="right"/>
              <w:rPr>
                <w:szCs w:val="21"/>
              </w:rPr>
            </w:pPr>
            <w:r>
              <w:t>60,802.00</w:t>
            </w:r>
          </w:p>
        </w:tc>
        <w:tc>
          <w:tcPr>
            <w:tcW w:w="914" w:type="pct"/>
            <w:tcBorders>
              <w:top w:val="single" w:sz="4" w:space="0" w:color="auto"/>
              <w:left w:val="single" w:sz="4" w:space="0" w:color="auto"/>
              <w:bottom w:val="single" w:sz="4" w:space="0" w:color="auto"/>
              <w:right w:val="single" w:sz="4" w:space="0" w:color="auto"/>
            </w:tcBorders>
          </w:tcPr>
          <w:p w14:paraId="66025F30" w14:textId="77777777" w:rsidR="00E57DAA" w:rsidRDefault="00AC4185">
            <w:pPr>
              <w:autoSpaceDE w:val="0"/>
              <w:autoSpaceDN w:val="0"/>
              <w:adjustRightInd w:val="0"/>
              <w:jc w:val="right"/>
              <w:rPr>
                <w:szCs w:val="21"/>
              </w:rPr>
            </w:pPr>
            <w:r>
              <w:t>1,276.84</w:t>
            </w:r>
          </w:p>
        </w:tc>
      </w:tr>
      <w:tr w:rsidR="00E57DAA" w14:paraId="20AB4C20" w14:textId="77777777">
        <w:tc>
          <w:tcPr>
            <w:tcW w:w="677" w:type="pct"/>
            <w:tcBorders>
              <w:top w:val="single" w:sz="4" w:space="0" w:color="auto"/>
              <w:left w:val="single" w:sz="4" w:space="0" w:color="auto"/>
              <w:bottom w:val="single" w:sz="4" w:space="0" w:color="auto"/>
              <w:right w:val="single" w:sz="4" w:space="0" w:color="auto"/>
            </w:tcBorders>
            <w:vAlign w:val="center"/>
          </w:tcPr>
          <w:p w14:paraId="249684B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D6F2FEF" w14:textId="77777777" w:rsidR="00E57DAA" w:rsidRDefault="00AC4185">
            <w:pPr>
              <w:autoSpaceDE w:val="0"/>
              <w:autoSpaceDN w:val="0"/>
              <w:adjustRightInd w:val="0"/>
              <w:rPr>
                <w:szCs w:val="21"/>
              </w:rPr>
            </w:pPr>
            <w:r>
              <w:t>泰山中联水泥有限公司</w:t>
            </w:r>
          </w:p>
        </w:tc>
        <w:tc>
          <w:tcPr>
            <w:tcW w:w="633" w:type="pct"/>
            <w:tcBorders>
              <w:top w:val="single" w:sz="4" w:space="0" w:color="auto"/>
              <w:left w:val="single" w:sz="4" w:space="0" w:color="auto"/>
              <w:bottom w:val="single" w:sz="4" w:space="0" w:color="auto"/>
              <w:right w:val="single" w:sz="4" w:space="0" w:color="auto"/>
            </w:tcBorders>
          </w:tcPr>
          <w:p w14:paraId="6D8EC587" w14:textId="77777777" w:rsidR="00E57DAA" w:rsidRDefault="00AC4185">
            <w:pPr>
              <w:autoSpaceDE w:val="0"/>
              <w:autoSpaceDN w:val="0"/>
              <w:adjustRightInd w:val="0"/>
              <w:jc w:val="right"/>
              <w:rPr>
                <w:szCs w:val="21"/>
              </w:rPr>
            </w:pPr>
            <w:r>
              <w:t>500</w:t>
            </w:r>
          </w:p>
        </w:tc>
        <w:tc>
          <w:tcPr>
            <w:tcW w:w="632" w:type="pct"/>
            <w:tcBorders>
              <w:top w:val="single" w:sz="4" w:space="0" w:color="auto"/>
              <w:left w:val="single" w:sz="4" w:space="0" w:color="auto"/>
              <w:bottom w:val="single" w:sz="4" w:space="0" w:color="auto"/>
              <w:right w:val="single" w:sz="4" w:space="0" w:color="auto"/>
            </w:tcBorders>
          </w:tcPr>
          <w:p w14:paraId="193CC6DA" w14:textId="77777777" w:rsidR="00E57DAA" w:rsidRDefault="00AC4185">
            <w:pPr>
              <w:autoSpaceDE w:val="0"/>
              <w:autoSpaceDN w:val="0"/>
              <w:adjustRightInd w:val="0"/>
              <w:jc w:val="right"/>
              <w:rPr>
                <w:szCs w:val="21"/>
              </w:rPr>
            </w:pPr>
            <w:r>
              <w:t>50</w:t>
            </w:r>
          </w:p>
        </w:tc>
        <w:tc>
          <w:tcPr>
            <w:tcW w:w="703" w:type="pct"/>
            <w:tcBorders>
              <w:top w:val="single" w:sz="4" w:space="0" w:color="auto"/>
              <w:left w:val="single" w:sz="4" w:space="0" w:color="auto"/>
              <w:bottom w:val="single" w:sz="4" w:space="0" w:color="auto"/>
              <w:right w:val="single" w:sz="4" w:space="0" w:color="auto"/>
            </w:tcBorders>
          </w:tcPr>
          <w:p w14:paraId="4BA567F2" w14:textId="77777777" w:rsidR="00E57DAA" w:rsidRDefault="00AC4185">
            <w:pPr>
              <w:autoSpaceDE w:val="0"/>
              <w:autoSpaceDN w:val="0"/>
              <w:adjustRightInd w:val="0"/>
              <w:jc w:val="right"/>
              <w:rPr>
                <w:szCs w:val="21"/>
              </w:rPr>
            </w:pPr>
            <w:r>
              <w:t>50,500.00</w:t>
            </w:r>
          </w:p>
        </w:tc>
        <w:tc>
          <w:tcPr>
            <w:tcW w:w="914" w:type="pct"/>
            <w:tcBorders>
              <w:top w:val="single" w:sz="4" w:space="0" w:color="auto"/>
              <w:left w:val="single" w:sz="4" w:space="0" w:color="auto"/>
              <w:bottom w:val="single" w:sz="4" w:space="0" w:color="auto"/>
              <w:right w:val="single" w:sz="4" w:space="0" w:color="auto"/>
            </w:tcBorders>
          </w:tcPr>
          <w:p w14:paraId="23918515" w14:textId="77777777" w:rsidR="00E57DAA" w:rsidRDefault="00AC4185">
            <w:pPr>
              <w:autoSpaceDE w:val="0"/>
              <w:autoSpaceDN w:val="0"/>
              <w:adjustRightInd w:val="0"/>
              <w:jc w:val="right"/>
              <w:rPr>
                <w:szCs w:val="21"/>
              </w:rPr>
            </w:pPr>
            <w:r>
              <w:t>2,525.00</w:t>
            </w:r>
          </w:p>
        </w:tc>
      </w:tr>
      <w:tr w:rsidR="00E57DAA" w14:paraId="5845A1B5" w14:textId="77777777">
        <w:tc>
          <w:tcPr>
            <w:tcW w:w="677" w:type="pct"/>
            <w:tcBorders>
              <w:top w:val="single" w:sz="4" w:space="0" w:color="auto"/>
              <w:left w:val="single" w:sz="4" w:space="0" w:color="auto"/>
              <w:bottom w:val="single" w:sz="4" w:space="0" w:color="auto"/>
              <w:right w:val="single" w:sz="4" w:space="0" w:color="auto"/>
            </w:tcBorders>
            <w:vAlign w:val="center"/>
          </w:tcPr>
          <w:p w14:paraId="669424C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C53556F" w14:textId="77777777" w:rsidR="00E57DAA" w:rsidRDefault="00AC4185">
            <w:pPr>
              <w:autoSpaceDE w:val="0"/>
              <w:autoSpaceDN w:val="0"/>
              <w:adjustRightInd w:val="0"/>
              <w:rPr>
                <w:szCs w:val="21"/>
              </w:rPr>
            </w:pPr>
            <w:r>
              <w:t>凌源市富源矿业有限责任公司</w:t>
            </w:r>
          </w:p>
        </w:tc>
        <w:tc>
          <w:tcPr>
            <w:tcW w:w="633" w:type="pct"/>
            <w:tcBorders>
              <w:top w:val="single" w:sz="4" w:space="0" w:color="auto"/>
              <w:left w:val="single" w:sz="4" w:space="0" w:color="auto"/>
              <w:bottom w:val="single" w:sz="4" w:space="0" w:color="auto"/>
              <w:right w:val="single" w:sz="4" w:space="0" w:color="auto"/>
            </w:tcBorders>
          </w:tcPr>
          <w:p w14:paraId="04016230" w14:textId="77777777" w:rsidR="00E57DAA" w:rsidRDefault="00AC4185">
            <w:pPr>
              <w:autoSpaceDE w:val="0"/>
              <w:autoSpaceDN w:val="0"/>
              <w:adjustRightInd w:val="0"/>
              <w:jc w:val="right"/>
              <w:rPr>
                <w:szCs w:val="21"/>
              </w:rPr>
            </w:pPr>
            <w:r>
              <w:t>400</w:t>
            </w:r>
          </w:p>
        </w:tc>
        <w:tc>
          <w:tcPr>
            <w:tcW w:w="632" w:type="pct"/>
            <w:tcBorders>
              <w:top w:val="single" w:sz="4" w:space="0" w:color="auto"/>
              <w:left w:val="single" w:sz="4" w:space="0" w:color="auto"/>
              <w:bottom w:val="single" w:sz="4" w:space="0" w:color="auto"/>
              <w:right w:val="single" w:sz="4" w:space="0" w:color="auto"/>
            </w:tcBorders>
          </w:tcPr>
          <w:p w14:paraId="44207D44" w14:textId="77777777" w:rsidR="00E57DAA" w:rsidRDefault="00AC4185">
            <w:pPr>
              <w:autoSpaceDE w:val="0"/>
              <w:autoSpaceDN w:val="0"/>
              <w:adjustRightInd w:val="0"/>
              <w:jc w:val="right"/>
              <w:rPr>
                <w:szCs w:val="21"/>
              </w:rPr>
            </w:pPr>
            <w:r>
              <w:t>131.6</w:t>
            </w:r>
          </w:p>
        </w:tc>
        <w:tc>
          <w:tcPr>
            <w:tcW w:w="703" w:type="pct"/>
            <w:tcBorders>
              <w:top w:val="single" w:sz="4" w:space="0" w:color="auto"/>
              <w:left w:val="single" w:sz="4" w:space="0" w:color="auto"/>
              <w:bottom w:val="single" w:sz="4" w:space="0" w:color="auto"/>
              <w:right w:val="single" w:sz="4" w:space="0" w:color="auto"/>
            </w:tcBorders>
          </w:tcPr>
          <w:p w14:paraId="2D726B87" w14:textId="77777777" w:rsidR="00E57DAA" w:rsidRDefault="00AC4185">
            <w:pPr>
              <w:autoSpaceDE w:val="0"/>
              <w:autoSpaceDN w:val="0"/>
              <w:adjustRightInd w:val="0"/>
              <w:jc w:val="right"/>
              <w:rPr>
                <w:szCs w:val="21"/>
              </w:rPr>
            </w:pPr>
            <w:r>
              <w:t>400</w:t>
            </w:r>
          </w:p>
        </w:tc>
        <w:tc>
          <w:tcPr>
            <w:tcW w:w="914" w:type="pct"/>
            <w:tcBorders>
              <w:top w:val="single" w:sz="4" w:space="0" w:color="auto"/>
              <w:left w:val="single" w:sz="4" w:space="0" w:color="auto"/>
              <w:bottom w:val="single" w:sz="4" w:space="0" w:color="auto"/>
              <w:right w:val="single" w:sz="4" w:space="0" w:color="auto"/>
            </w:tcBorders>
          </w:tcPr>
          <w:p w14:paraId="1993DB02" w14:textId="77777777" w:rsidR="00E57DAA" w:rsidRDefault="00AC4185">
            <w:pPr>
              <w:autoSpaceDE w:val="0"/>
              <w:autoSpaceDN w:val="0"/>
              <w:adjustRightInd w:val="0"/>
              <w:jc w:val="right"/>
              <w:rPr>
                <w:szCs w:val="21"/>
              </w:rPr>
            </w:pPr>
            <w:r>
              <w:t>69.2</w:t>
            </w:r>
          </w:p>
        </w:tc>
      </w:tr>
      <w:tr w:rsidR="00E57DAA" w14:paraId="5D79FEED" w14:textId="77777777">
        <w:tc>
          <w:tcPr>
            <w:tcW w:w="677" w:type="pct"/>
            <w:tcBorders>
              <w:top w:val="single" w:sz="4" w:space="0" w:color="auto"/>
              <w:left w:val="single" w:sz="4" w:space="0" w:color="auto"/>
              <w:bottom w:val="single" w:sz="4" w:space="0" w:color="auto"/>
              <w:right w:val="single" w:sz="4" w:space="0" w:color="auto"/>
            </w:tcBorders>
            <w:vAlign w:val="center"/>
          </w:tcPr>
          <w:p w14:paraId="02598FA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0E78BB2" w14:textId="77777777" w:rsidR="00E57DAA" w:rsidRDefault="00AC4185">
            <w:pPr>
              <w:autoSpaceDE w:val="0"/>
              <w:autoSpaceDN w:val="0"/>
              <w:adjustRightInd w:val="0"/>
              <w:rPr>
                <w:szCs w:val="21"/>
              </w:rPr>
            </w:pPr>
            <w:r>
              <w:t>四川华蓥西南水泥有限公司</w:t>
            </w:r>
          </w:p>
        </w:tc>
        <w:tc>
          <w:tcPr>
            <w:tcW w:w="633" w:type="pct"/>
            <w:tcBorders>
              <w:top w:val="single" w:sz="4" w:space="0" w:color="auto"/>
              <w:left w:val="single" w:sz="4" w:space="0" w:color="auto"/>
              <w:bottom w:val="single" w:sz="4" w:space="0" w:color="auto"/>
              <w:right w:val="single" w:sz="4" w:space="0" w:color="auto"/>
            </w:tcBorders>
          </w:tcPr>
          <w:p w14:paraId="0DE709B4" w14:textId="77777777" w:rsidR="00E57DAA" w:rsidRDefault="00AC4185">
            <w:pPr>
              <w:autoSpaceDE w:val="0"/>
              <w:autoSpaceDN w:val="0"/>
              <w:adjustRightInd w:val="0"/>
              <w:jc w:val="right"/>
              <w:rPr>
                <w:szCs w:val="21"/>
              </w:rPr>
            </w:pPr>
            <w:r>
              <w:t>400</w:t>
            </w:r>
          </w:p>
        </w:tc>
        <w:tc>
          <w:tcPr>
            <w:tcW w:w="632" w:type="pct"/>
            <w:tcBorders>
              <w:top w:val="single" w:sz="4" w:space="0" w:color="auto"/>
              <w:left w:val="single" w:sz="4" w:space="0" w:color="auto"/>
              <w:bottom w:val="single" w:sz="4" w:space="0" w:color="auto"/>
              <w:right w:val="single" w:sz="4" w:space="0" w:color="auto"/>
            </w:tcBorders>
          </w:tcPr>
          <w:p w14:paraId="736C074B" w14:textId="77777777" w:rsidR="00E57DAA" w:rsidRDefault="00AC4185">
            <w:pPr>
              <w:autoSpaceDE w:val="0"/>
              <w:autoSpaceDN w:val="0"/>
              <w:adjustRightInd w:val="0"/>
              <w:jc w:val="right"/>
              <w:rPr>
                <w:szCs w:val="21"/>
              </w:rPr>
            </w:pPr>
            <w:r>
              <w:t>75.2</w:t>
            </w:r>
          </w:p>
        </w:tc>
        <w:tc>
          <w:tcPr>
            <w:tcW w:w="703" w:type="pct"/>
            <w:tcBorders>
              <w:top w:val="single" w:sz="4" w:space="0" w:color="auto"/>
              <w:left w:val="single" w:sz="4" w:space="0" w:color="auto"/>
              <w:bottom w:val="single" w:sz="4" w:space="0" w:color="auto"/>
              <w:right w:val="single" w:sz="4" w:space="0" w:color="auto"/>
            </w:tcBorders>
          </w:tcPr>
          <w:p w14:paraId="1260BE56" w14:textId="77777777" w:rsidR="00E57DAA" w:rsidRDefault="00AC4185">
            <w:pPr>
              <w:autoSpaceDE w:val="0"/>
              <w:autoSpaceDN w:val="0"/>
              <w:adjustRightInd w:val="0"/>
              <w:jc w:val="right"/>
              <w:rPr>
                <w:szCs w:val="21"/>
              </w:rPr>
            </w:pPr>
            <w:r>
              <w:t>600</w:t>
            </w:r>
          </w:p>
        </w:tc>
        <w:tc>
          <w:tcPr>
            <w:tcW w:w="914" w:type="pct"/>
            <w:tcBorders>
              <w:top w:val="single" w:sz="4" w:space="0" w:color="auto"/>
              <w:left w:val="single" w:sz="4" w:space="0" w:color="auto"/>
              <w:bottom w:val="single" w:sz="4" w:space="0" w:color="auto"/>
              <w:right w:val="single" w:sz="4" w:space="0" w:color="auto"/>
            </w:tcBorders>
          </w:tcPr>
          <w:p w14:paraId="2472A6E9" w14:textId="77777777" w:rsidR="00E57DAA" w:rsidRDefault="00AC4185">
            <w:pPr>
              <w:autoSpaceDE w:val="0"/>
              <w:autoSpaceDN w:val="0"/>
              <w:adjustRightInd w:val="0"/>
              <w:jc w:val="right"/>
              <w:rPr>
                <w:szCs w:val="21"/>
              </w:rPr>
            </w:pPr>
            <w:r>
              <w:t>74.6</w:t>
            </w:r>
          </w:p>
        </w:tc>
      </w:tr>
      <w:tr w:rsidR="00E57DAA" w14:paraId="43AF8885" w14:textId="77777777">
        <w:tc>
          <w:tcPr>
            <w:tcW w:w="677" w:type="pct"/>
            <w:tcBorders>
              <w:top w:val="single" w:sz="4" w:space="0" w:color="auto"/>
              <w:left w:val="single" w:sz="4" w:space="0" w:color="auto"/>
              <w:bottom w:val="single" w:sz="4" w:space="0" w:color="auto"/>
              <w:right w:val="single" w:sz="4" w:space="0" w:color="auto"/>
            </w:tcBorders>
            <w:vAlign w:val="center"/>
          </w:tcPr>
          <w:p w14:paraId="2C35B27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30CA6C6" w14:textId="77777777" w:rsidR="00E57DAA" w:rsidRDefault="00AC4185">
            <w:pPr>
              <w:autoSpaceDE w:val="0"/>
              <w:autoSpaceDN w:val="0"/>
              <w:adjustRightInd w:val="0"/>
              <w:rPr>
                <w:szCs w:val="21"/>
              </w:rPr>
            </w:pPr>
            <w:r>
              <w:t>云南远东水泥有限责任公司</w:t>
            </w:r>
          </w:p>
        </w:tc>
        <w:tc>
          <w:tcPr>
            <w:tcW w:w="633" w:type="pct"/>
            <w:tcBorders>
              <w:top w:val="single" w:sz="4" w:space="0" w:color="auto"/>
              <w:left w:val="single" w:sz="4" w:space="0" w:color="auto"/>
              <w:bottom w:val="single" w:sz="4" w:space="0" w:color="auto"/>
              <w:right w:val="single" w:sz="4" w:space="0" w:color="auto"/>
            </w:tcBorders>
          </w:tcPr>
          <w:p w14:paraId="3766B31A" w14:textId="77777777" w:rsidR="00E57DAA" w:rsidRDefault="00AC4185">
            <w:pPr>
              <w:autoSpaceDE w:val="0"/>
              <w:autoSpaceDN w:val="0"/>
              <w:adjustRightInd w:val="0"/>
              <w:jc w:val="right"/>
              <w:rPr>
                <w:szCs w:val="21"/>
              </w:rPr>
            </w:pPr>
            <w:r>
              <w:t>200</w:t>
            </w:r>
          </w:p>
        </w:tc>
        <w:tc>
          <w:tcPr>
            <w:tcW w:w="632" w:type="pct"/>
            <w:tcBorders>
              <w:top w:val="single" w:sz="4" w:space="0" w:color="auto"/>
              <w:left w:val="single" w:sz="4" w:space="0" w:color="auto"/>
              <w:bottom w:val="single" w:sz="4" w:space="0" w:color="auto"/>
              <w:right w:val="single" w:sz="4" w:space="0" w:color="auto"/>
            </w:tcBorders>
          </w:tcPr>
          <w:p w14:paraId="79F1B69F" w14:textId="77777777" w:rsidR="00E57DAA" w:rsidRDefault="00AC4185">
            <w:pPr>
              <w:autoSpaceDE w:val="0"/>
              <w:autoSpaceDN w:val="0"/>
              <w:adjustRightInd w:val="0"/>
              <w:jc w:val="right"/>
              <w:rPr>
                <w:szCs w:val="21"/>
              </w:rPr>
            </w:pPr>
            <w:r>
              <w:t>80</w:t>
            </w:r>
          </w:p>
        </w:tc>
        <w:tc>
          <w:tcPr>
            <w:tcW w:w="703" w:type="pct"/>
            <w:tcBorders>
              <w:top w:val="single" w:sz="4" w:space="0" w:color="auto"/>
              <w:left w:val="single" w:sz="4" w:space="0" w:color="auto"/>
              <w:bottom w:val="single" w:sz="4" w:space="0" w:color="auto"/>
              <w:right w:val="single" w:sz="4" w:space="0" w:color="auto"/>
            </w:tcBorders>
          </w:tcPr>
          <w:p w14:paraId="48F7EB38" w14:textId="77777777" w:rsidR="00E57DAA" w:rsidRDefault="00AC4185">
            <w:pPr>
              <w:autoSpaceDE w:val="0"/>
              <w:autoSpaceDN w:val="0"/>
              <w:adjustRightInd w:val="0"/>
              <w:jc w:val="right"/>
              <w:rPr>
                <w:szCs w:val="21"/>
              </w:rPr>
            </w:pPr>
            <w:r>
              <w:t>500,200.00</w:t>
            </w:r>
          </w:p>
        </w:tc>
        <w:tc>
          <w:tcPr>
            <w:tcW w:w="914" w:type="pct"/>
            <w:tcBorders>
              <w:top w:val="single" w:sz="4" w:space="0" w:color="auto"/>
              <w:left w:val="single" w:sz="4" w:space="0" w:color="auto"/>
              <w:bottom w:val="single" w:sz="4" w:space="0" w:color="auto"/>
              <w:right w:val="single" w:sz="4" w:space="0" w:color="auto"/>
            </w:tcBorders>
          </w:tcPr>
          <w:p w14:paraId="6A07AE1D" w14:textId="77777777" w:rsidR="00E57DAA" w:rsidRDefault="00AC4185">
            <w:pPr>
              <w:autoSpaceDE w:val="0"/>
              <w:autoSpaceDN w:val="0"/>
              <w:adjustRightInd w:val="0"/>
              <w:jc w:val="right"/>
              <w:rPr>
                <w:szCs w:val="21"/>
              </w:rPr>
            </w:pPr>
            <w:r>
              <w:t>25,040.00</w:t>
            </w:r>
          </w:p>
        </w:tc>
      </w:tr>
      <w:tr w:rsidR="00E57DAA" w14:paraId="61CE2571" w14:textId="77777777">
        <w:tc>
          <w:tcPr>
            <w:tcW w:w="677" w:type="pct"/>
            <w:tcBorders>
              <w:top w:val="single" w:sz="4" w:space="0" w:color="auto"/>
              <w:left w:val="single" w:sz="4" w:space="0" w:color="auto"/>
              <w:bottom w:val="single" w:sz="4" w:space="0" w:color="auto"/>
              <w:right w:val="single" w:sz="4" w:space="0" w:color="auto"/>
            </w:tcBorders>
            <w:vAlign w:val="center"/>
          </w:tcPr>
          <w:p w14:paraId="4015251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63BD359" w14:textId="77777777" w:rsidR="00E57DAA" w:rsidRDefault="00AC4185">
            <w:pPr>
              <w:autoSpaceDE w:val="0"/>
              <w:autoSpaceDN w:val="0"/>
              <w:adjustRightInd w:val="0"/>
              <w:rPr>
                <w:szCs w:val="21"/>
              </w:rPr>
            </w:pPr>
            <w:r>
              <w:t>贵州西南水泥有限公司</w:t>
            </w:r>
          </w:p>
        </w:tc>
        <w:tc>
          <w:tcPr>
            <w:tcW w:w="633" w:type="pct"/>
            <w:tcBorders>
              <w:top w:val="single" w:sz="4" w:space="0" w:color="auto"/>
              <w:left w:val="single" w:sz="4" w:space="0" w:color="auto"/>
              <w:bottom w:val="single" w:sz="4" w:space="0" w:color="auto"/>
              <w:right w:val="single" w:sz="4" w:space="0" w:color="auto"/>
            </w:tcBorders>
          </w:tcPr>
          <w:p w14:paraId="4027AC7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D100E5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C0434BD" w14:textId="77777777" w:rsidR="00E57DAA" w:rsidRDefault="00AC4185">
            <w:pPr>
              <w:autoSpaceDE w:val="0"/>
              <w:autoSpaceDN w:val="0"/>
              <w:adjustRightInd w:val="0"/>
              <w:jc w:val="right"/>
              <w:rPr>
                <w:szCs w:val="21"/>
              </w:rPr>
            </w:pPr>
            <w:r>
              <w:t>5,000.00</w:t>
            </w:r>
          </w:p>
        </w:tc>
        <w:tc>
          <w:tcPr>
            <w:tcW w:w="914" w:type="pct"/>
            <w:tcBorders>
              <w:top w:val="single" w:sz="4" w:space="0" w:color="auto"/>
              <w:left w:val="single" w:sz="4" w:space="0" w:color="auto"/>
              <w:bottom w:val="single" w:sz="4" w:space="0" w:color="auto"/>
              <w:right w:val="single" w:sz="4" w:space="0" w:color="auto"/>
            </w:tcBorders>
          </w:tcPr>
          <w:p w14:paraId="48683BE2" w14:textId="77777777" w:rsidR="00E57DAA" w:rsidRDefault="00AC4185">
            <w:pPr>
              <w:autoSpaceDE w:val="0"/>
              <w:autoSpaceDN w:val="0"/>
              <w:adjustRightInd w:val="0"/>
              <w:jc w:val="right"/>
              <w:rPr>
                <w:szCs w:val="21"/>
              </w:rPr>
            </w:pPr>
            <w:r>
              <w:t>5,000.00</w:t>
            </w:r>
          </w:p>
        </w:tc>
      </w:tr>
      <w:tr w:rsidR="00E57DAA" w14:paraId="206AA59B" w14:textId="77777777">
        <w:tc>
          <w:tcPr>
            <w:tcW w:w="677" w:type="pct"/>
            <w:tcBorders>
              <w:top w:val="single" w:sz="4" w:space="0" w:color="auto"/>
              <w:left w:val="single" w:sz="4" w:space="0" w:color="auto"/>
              <w:bottom w:val="single" w:sz="4" w:space="0" w:color="auto"/>
              <w:right w:val="single" w:sz="4" w:space="0" w:color="auto"/>
            </w:tcBorders>
            <w:vAlign w:val="center"/>
          </w:tcPr>
          <w:p w14:paraId="3C7F3FC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8BFC748" w14:textId="77777777" w:rsidR="00E57DAA" w:rsidRDefault="00AC4185">
            <w:pPr>
              <w:autoSpaceDE w:val="0"/>
              <w:autoSpaceDN w:val="0"/>
              <w:adjustRightInd w:val="0"/>
              <w:rPr>
                <w:szCs w:val="21"/>
              </w:rPr>
            </w:pPr>
            <w:r>
              <w:t>保定中联水泥有限公司</w:t>
            </w:r>
          </w:p>
        </w:tc>
        <w:tc>
          <w:tcPr>
            <w:tcW w:w="633" w:type="pct"/>
            <w:tcBorders>
              <w:top w:val="single" w:sz="4" w:space="0" w:color="auto"/>
              <w:left w:val="single" w:sz="4" w:space="0" w:color="auto"/>
              <w:bottom w:val="single" w:sz="4" w:space="0" w:color="auto"/>
              <w:right w:val="single" w:sz="4" w:space="0" w:color="auto"/>
            </w:tcBorders>
          </w:tcPr>
          <w:p w14:paraId="704D024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55C3D1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E9FC410" w14:textId="77777777" w:rsidR="00E57DAA" w:rsidRDefault="00AC4185">
            <w:pPr>
              <w:autoSpaceDE w:val="0"/>
              <w:autoSpaceDN w:val="0"/>
              <w:adjustRightInd w:val="0"/>
              <w:jc w:val="right"/>
              <w:rPr>
                <w:szCs w:val="21"/>
              </w:rPr>
            </w:pPr>
            <w:r>
              <w:t>101,000.00</w:t>
            </w:r>
          </w:p>
        </w:tc>
        <w:tc>
          <w:tcPr>
            <w:tcW w:w="914" w:type="pct"/>
            <w:tcBorders>
              <w:top w:val="single" w:sz="4" w:space="0" w:color="auto"/>
              <w:left w:val="single" w:sz="4" w:space="0" w:color="auto"/>
              <w:bottom w:val="single" w:sz="4" w:space="0" w:color="auto"/>
              <w:right w:val="single" w:sz="4" w:space="0" w:color="auto"/>
            </w:tcBorders>
          </w:tcPr>
          <w:p w14:paraId="6231828F" w14:textId="77777777" w:rsidR="00E57DAA" w:rsidRDefault="00AC4185">
            <w:pPr>
              <w:autoSpaceDE w:val="0"/>
              <w:autoSpaceDN w:val="0"/>
              <w:adjustRightInd w:val="0"/>
              <w:jc w:val="right"/>
              <w:rPr>
                <w:szCs w:val="21"/>
              </w:rPr>
            </w:pPr>
            <w:r>
              <w:t>2,208.00</w:t>
            </w:r>
          </w:p>
        </w:tc>
      </w:tr>
      <w:tr w:rsidR="00E57DAA" w14:paraId="46FF0A38" w14:textId="77777777">
        <w:tc>
          <w:tcPr>
            <w:tcW w:w="677" w:type="pct"/>
            <w:tcBorders>
              <w:top w:val="single" w:sz="4" w:space="0" w:color="auto"/>
              <w:left w:val="single" w:sz="4" w:space="0" w:color="auto"/>
              <w:bottom w:val="single" w:sz="4" w:space="0" w:color="auto"/>
              <w:right w:val="single" w:sz="4" w:space="0" w:color="auto"/>
            </w:tcBorders>
            <w:vAlign w:val="center"/>
          </w:tcPr>
          <w:p w14:paraId="365FF63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A764E37" w14:textId="77777777" w:rsidR="00E57DAA" w:rsidRDefault="00AC4185">
            <w:pPr>
              <w:autoSpaceDE w:val="0"/>
              <w:autoSpaceDN w:val="0"/>
              <w:adjustRightInd w:val="0"/>
              <w:rPr>
                <w:szCs w:val="21"/>
              </w:rPr>
            </w:pPr>
            <w:r>
              <w:t>北川中联水泥有限公司</w:t>
            </w:r>
          </w:p>
        </w:tc>
        <w:tc>
          <w:tcPr>
            <w:tcW w:w="633" w:type="pct"/>
            <w:tcBorders>
              <w:top w:val="single" w:sz="4" w:space="0" w:color="auto"/>
              <w:left w:val="single" w:sz="4" w:space="0" w:color="auto"/>
              <w:bottom w:val="single" w:sz="4" w:space="0" w:color="auto"/>
              <w:right w:val="single" w:sz="4" w:space="0" w:color="auto"/>
            </w:tcBorders>
          </w:tcPr>
          <w:p w14:paraId="47A3557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012ACF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783624A" w14:textId="77777777" w:rsidR="00E57DAA" w:rsidRDefault="00AC4185">
            <w:pPr>
              <w:autoSpaceDE w:val="0"/>
              <w:autoSpaceDN w:val="0"/>
              <w:adjustRightInd w:val="0"/>
              <w:jc w:val="right"/>
              <w:rPr>
                <w:szCs w:val="21"/>
              </w:rPr>
            </w:pPr>
            <w:r>
              <w:t>560,000.00</w:t>
            </w:r>
          </w:p>
        </w:tc>
        <w:tc>
          <w:tcPr>
            <w:tcW w:w="914" w:type="pct"/>
            <w:tcBorders>
              <w:top w:val="single" w:sz="4" w:space="0" w:color="auto"/>
              <w:left w:val="single" w:sz="4" w:space="0" w:color="auto"/>
              <w:bottom w:val="single" w:sz="4" w:space="0" w:color="auto"/>
              <w:right w:val="single" w:sz="4" w:space="0" w:color="auto"/>
            </w:tcBorders>
          </w:tcPr>
          <w:p w14:paraId="165E9ECE" w14:textId="77777777" w:rsidR="00E57DAA" w:rsidRDefault="00AC4185">
            <w:pPr>
              <w:autoSpaceDE w:val="0"/>
              <w:autoSpaceDN w:val="0"/>
              <w:adjustRightInd w:val="0"/>
              <w:jc w:val="right"/>
              <w:rPr>
                <w:szCs w:val="21"/>
              </w:rPr>
            </w:pPr>
            <w:r>
              <w:t>122,000.00</w:t>
            </w:r>
          </w:p>
        </w:tc>
      </w:tr>
      <w:tr w:rsidR="00E57DAA" w14:paraId="671DAC97" w14:textId="77777777">
        <w:tc>
          <w:tcPr>
            <w:tcW w:w="677" w:type="pct"/>
            <w:tcBorders>
              <w:top w:val="single" w:sz="4" w:space="0" w:color="auto"/>
              <w:left w:val="single" w:sz="4" w:space="0" w:color="auto"/>
              <w:bottom w:val="single" w:sz="4" w:space="0" w:color="auto"/>
              <w:right w:val="single" w:sz="4" w:space="0" w:color="auto"/>
            </w:tcBorders>
            <w:vAlign w:val="center"/>
          </w:tcPr>
          <w:p w14:paraId="4137E7D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8C56F8F" w14:textId="77777777" w:rsidR="00E57DAA" w:rsidRDefault="00AC4185">
            <w:pPr>
              <w:autoSpaceDE w:val="0"/>
              <w:autoSpaceDN w:val="0"/>
              <w:adjustRightInd w:val="0"/>
              <w:rPr>
                <w:szCs w:val="21"/>
              </w:rPr>
            </w:pPr>
            <w:r>
              <w:t>德清南方水泥有限公司</w:t>
            </w:r>
          </w:p>
        </w:tc>
        <w:tc>
          <w:tcPr>
            <w:tcW w:w="633" w:type="pct"/>
            <w:tcBorders>
              <w:top w:val="single" w:sz="4" w:space="0" w:color="auto"/>
              <w:left w:val="single" w:sz="4" w:space="0" w:color="auto"/>
              <w:bottom w:val="single" w:sz="4" w:space="0" w:color="auto"/>
              <w:right w:val="single" w:sz="4" w:space="0" w:color="auto"/>
            </w:tcBorders>
          </w:tcPr>
          <w:p w14:paraId="6955759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E8E493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39B0DB6"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6E69ACF9" w14:textId="77777777" w:rsidR="00E57DAA" w:rsidRDefault="00AC4185">
            <w:pPr>
              <w:autoSpaceDE w:val="0"/>
              <w:autoSpaceDN w:val="0"/>
              <w:adjustRightInd w:val="0"/>
              <w:jc w:val="right"/>
              <w:rPr>
                <w:szCs w:val="21"/>
              </w:rPr>
            </w:pPr>
            <w:r>
              <w:t>710</w:t>
            </w:r>
          </w:p>
        </w:tc>
      </w:tr>
      <w:tr w:rsidR="00E57DAA" w14:paraId="747D8204" w14:textId="77777777">
        <w:tc>
          <w:tcPr>
            <w:tcW w:w="677" w:type="pct"/>
            <w:tcBorders>
              <w:top w:val="single" w:sz="4" w:space="0" w:color="auto"/>
              <w:left w:val="single" w:sz="4" w:space="0" w:color="auto"/>
              <w:bottom w:val="single" w:sz="4" w:space="0" w:color="auto"/>
              <w:right w:val="single" w:sz="4" w:space="0" w:color="auto"/>
            </w:tcBorders>
            <w:vAlign w:val="center"/>
          </w:tcPr>
          <w:p w14:paraId="7872F87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DB3D93B" w14:textId="77777777" w:rsidR="00E57DAA" w:rsidRDefault="00AC4185">
            <w:pPr>
              <w:autoSpaceDE w:val="0"/>
              <w:autoSpaceDN w:val="0"/>
              <w:adjustRightInd w:val="0"/>
              <w:rPr>
                <w:szCs w:val="21"/>
              </w:rPr>
            </w:pPr>
            <w:r>
              <w:t>古浪祁连山水泥有限公司</w:t>
            </w:r>
          </w:p>
        </w:tc>
        <w:tc>
          <w:tcPr>
            <w:tcW w:w="633" w:type="pct"/>
            <w:tcBorders>
              <w:top w:val="single" w:sz="4" w:space="0" w:color="auto"/>
              <w:left w:val="single" w:sz="4" w:space="0" w:color="auto"/>
              <w:bottom w:val="single" w:sz="4" w:space="0" w:color="auto"/>
              <w:right w:val="single" w:sz="4" w:space="0" w:color="auto"/>
            </w:tcBorders>
          </w:tcPr>
          <w:p w14:paraId="27A1962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0A61C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2553887"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6A665FFE" w14:textId="77777777" w:rsidR="00E57DAA" w:rsidRDefault="00AC4185">
            <w:pPr>
              <w:autoSpaceDE w:val="0"/>
              <w:autoSpaceDN w:val="0"/>
              <w:adjustRightInd w:val="0"/>
              <w:jc w:val="right"/>
              <w:rPr>
                <w:szCs w:val="21"/>
              </w:rPr>
            </w:pPr>
            <w:r>
              <w:t>1,050.00</w:t>
            </w:r>
          </w:p>
        </w:tc>
      </w:tr>
      <w:tr w:rsidR="00E57DAA" w14:paraId="55283620" w14:textId="77777777">
        <w:tc>
          <w:tcPr>
            <w:tcW w:w="677" w:type="pct"/>
            <w:tcBorders>
              <w:top w:val="single" w:sz="4" w:space="0" w:color="auto"/>
              <w:left w:val="single" w:sz="4" w:space="0" w:color="auto"/>
              <w:bottom w:val="single" w:sz="4" w:space="0" w:color="auto"/>
              <w:right w:val="single" w:sz="4" w:space="0" w:color="auto"/>
            </w:tcBorders>
            <w:vAlign w:val="center"/>
          </w:tcPr>
          <w:p w14:paraId="0DF1BF2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E3E0937" w14:textId="77777777" w:rsidR="00E57DAA" w:rsidRDefault="00AC4185">
            <w:pPr>
              <w:autoSpaceDE w:val="0"/>
              <w:autoSpaceDN w:val="0"/>
              <w:adjustRightInd w:val="0"/>
              <w:rPr>
                <w:szCs w:val="21"/>
              </w:rPr>
            </w:pPr>
            <w:r>
              <w:t>贵州福泉西南水泥有限公司</w:t>
            </w:r>
          </w:p>
        </w:tc>
        <w:tc>
          <w:tcPr>
            <w:tcW w:w="633" w:type="pct"/>
            <w:tcBorders>
              <w:top w:val="single" w:sz="4" w:space="0" w:color="auto"/>
              <w:left w:val="single" w:sz="4" w:space="0" w:color="auto"/>
              <w:bottom w:val="single" w:sz="4" w:space="0" w:color="auto"/>
              <w:right w:val="single" w:sz="4" w:space="0" w:color="auto"/>
            </w:tcBorders>
          </w:tcPr>
          <w:p w14:paraId="7CF44D9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3523037"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3108007" w14:textId="77777777" w:rsidR="00E57DAA" w:rsidRDefault="00AC4185">
            <w:pPr>
              <w:autoSpaceDE w:val="0"/>
              <w:autoSpaceDN w:val="0"/>
              <w:adjustRightInd w:val="0"/>
              <w:jc w:val="right"/>
              <w:rPr>
                <w:szCs w:val="21"/>
              </w:rPr>
            </w:pPr>
            <w:r>
              <w:t>110,000.00</w:t>
            </w:r>
          </w:p>
        </w:tc>
        <w:tc>
          <w:tcPr>
            <w:tcW w:w="914" w:type="pct"/>
            <w:tcBorders>
              <w:top w:val="single" w:sz="4" w:space="0" w:color="auto"/>
              <w:left w:val="single" w:sz="4" w:space="0" w:color="auto"/>
              <w:bottom w:val="single" w:sz="4" w:space="0" w:color="auto"/>
              <w:right w:val="single" w:sz="4" w:space="0" w:color="auto"/>
            </w:tcBorders>
          </w:tcPr>
          <w:p w14:paraId="6B0C6269" w14:textId="77777777" w:rsidR="00E57DAA" w:rsidRDefault="00AC4185">
            <w:pPr>
              <w:autoSpaceDE w:val="0"/>
              <w:autoSpaceDN w:val="0"/>
              <w:adjustRightInd w:val="0"/>
              <w:jc w:val="right"/>
              <w:rPr>
                <w:szCs w:val="21"/>
              </w:rPr>
            </w:pPr>
            <w:r>
              <w:t>2,171.00</w:t>
            </w:r>
          </w:p>
        </w:tc>
      </w:tr>
      <w:tr w:rsidR="00E57DAA" w14:paraId="11A9332E" w14:textId="77777777">
        <w:tc>
          <w:tcPr>
            <w:tcW w:w="677" w:type="pct"/>
            <w:tcBorders>
              <w:top w:val="single" w:sz="4" w:space="0" w:color="auto"/>
              <w:left w:val="single" w:sz="4" w:space="0" w:color="auto"/>
              <w:bottom w:val="single" w:sz="4" w:space="0" w:color="auto"/>
              <w:right w:val="single" w:sz="4" w:space="0" w:color="auto"/>
            </w:tcBorders>
            <w:vAlign w:val="center"/>
          </w:tcPr>
          <w:p w14:paraId="02B15DB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96410A3" w14:textId="77777777" w:rsidR="00E57DAA" w:rsidRDefault="00AC4185">
            <w:pPr>
              <w:autoSpaceDE w:val="0"/>
              <w:autoSpaceDN w:val="0"/>
              <w:adjustRightInd w:val="0"/>
              <w:rPr>
                <w:szCs w:val="21"/>
              </w:rPr>
            </w:pPr>
            <w:r>
              <w:t>贵州西南水泥有限公司</w:t>
            </w:r>
          </w:p>
        </w:tc>
        <w:tc>
          <w:tcPr>
            <w:tcW w:w="633" w:type="pct"/>
            <w:tcBorders>
              <w:top w:val="single" w:sz="4" w:space="0" w:color="auto"/>
              <w:left w:val="single" w:sz="4" w:space="0" w:color="auto"/>
              <w:bottom w:val="single" w:sz="4" w:space="0" w:color="auto"/>
              <w:right w:val="single" w:sz="4" w:space="0" w:color="auto"/>
            </w:tcBorders>
          </w:tcPr>
          <w:p w14:paraId="3EDF260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1C342E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AEA2F4D"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552543DC" w14:textId="77777777" w:rsidR="00E57DAA" w:rsidRDefault="00AC4185">
            <w:pPr>
              <w:autoSpaceDE w:val="0"/>
              <w:autoSpaceDN w:val="0"/>
              <w:adjustRightInd w:val="0"/>
              <w:jc w:val="right"/>
              <w:rPr>
                <w:szCs w:val="21"/>
              </w:rPr>
            </w:pPr>
            <w:r>
              <w:t>100,000.00</w:t>
            </w:r>
          </w:p>
        </w:tc>
      </w:tr>
      <w:tr w:rsidR="00E57DAA" w14:paraId="5E6A76A8" w14:textId="77777777">
        <w:tc>
          <w:tcPr>
            <w:tcW w:w="677" w:type="pct"/>
            <w:tcBorders>
              <w:top w:val="single" w:sz="4" w:space="0" w:color="auto"/>
              <w:left w:val="single" w:sz="4" w:space="0" w:color="auto"/>
              <w:bottom w:val="single" w:sz="4" w:space="0" w:color="auto"/>
              <w:right w:val="single" w:sz="4" w:space="0" w:color="auto"/>
            </w:tcBorders>
            <w:vAlign w:val="center"/>
          </w:tcPr>
          <w:p w14:paraId="231D208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F7603C8" w14:textId="77777777" w:rsidR="00E57DAA" w:rsidRDefault="00AC4185">
            <w:pPr>
              <w:autoSpaceDE w:val="0"/>
              <w:autoSpaceDN w:val="0"/>
              <w:adjustRightInd w:val="0"/>
              <w:rPr>
                <w:szCs w:val="21"/>
              </w:rPr>
            </w:pPr>
            <w:r>
              <w:t>贵州中诚水泥有限公司</w:t>
            </w:r>
          </w:p>
        </w:tc>
        <w:tc>
          <w:tcPr>
            <w:tcW w:w="633" w:type="pct"/>
            <w:tcBorders>
              <w:top w:val="single" w:sz="4" w:space="0" w:color="auto"/>
              <w:left w:val="single" w:sz="4" w:space="0" w:color="auto"/>
              <w:bottom w:val="single" w:sz="4" w:space="0" w:color="auto"/>
              <w:right w:val="single" w:sz="4" w:space="0" w:color="auto"/>
            </w:tcBorders>
          </w:tcPr>
          <w:p w14:paraId="5D7BEB9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609FB2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7F63986"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3C09C8D5" w14:textId="77777777" w:rsidR="00E57DAA" w:rsidRDefault="00AC4185">
            <w:pPr>
              <w:autoSpaceDE w:val="0"/>
              <w:autoSpaceDN w:val="0"/>
              <w:adjustRightInd w:val="0"/>
              <w:jc w:val="right"/>
              <w:rPr>
                <w:szCs w:val="21"/>
              </w:rPr>
            </w:pPr>
            <w:r>
              <w:t>21,050.00</w:t>
            </w:r>
          </w:p>
        </w:tc>
      </w:tr>
      <w:tr w:rsidR="00E57DAA" w14:paraId="7616874F" w14:textId="77777777">
        <w:tc>
          <w:tcPr>
            <w:tcW w:w="677" w:type="pct"/>
            <w:tcBorders>
              <w:top w:val="single" w:sz="4" w:space="0" w:color="auto"/>
              <w:left w:val="single" w:sz="4" w:space="0" w:color="auto"/>
              <w:bottom w:val="single" w:sz="4" w:space="0" w:color="auto"/>
              <w:right w:val="single" w:sz="4" w:space="0" w:color="auto"/>
            </w:tcBorders>
            <w:vAlign w:val="center"/>
          </w:tcPr>
          <w:p w14:paraId="3556FEB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576C410" w14:textId="77777777" w:rsidR="00E57DAA" w:rsidRDefault="00AC4185">
            <w:pPr>
              <w:autoSpaceDE w:val="0"/>
              <w:autoSpaceDN w:val="0"/>
              <w:adjustRightInd w:val="0"/>
              <w:rPr>
                <w:szCs w:val="21"/>
              </w:rPr>
            </w:pPr>
            <w:r>
              <w:t>贵州紫云西南水泥有限公司</w:t>
            </w:r>
          </w:p>
        </w:tc>
        <w:tc>
          <w:tcPr>
            <w:tcW w:w="633" w:type="pct"/>
            <w:tcBorders>
              <w:top w:val="single" w:sz="4" w:space="0" w:color="auto"/>
              <w:left w:val="single" w:sz="4" w:space="0" w:color="auto"/>
              <w:bottom w:val="single" w:sz="4" w:space="0" w:color="auto"/>
              <w:right w:val="single" w:sz="4" w:space="0" w:color="auto"/>
            </w:tcBorders>
          </w:tcPr>
          <w:p w14:paraId="184C973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D5301E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47D2010"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4F43C62D" w14:textId="77777777" w:rsidR="00E57DAA" w:rsidRDefault="00AC4185">
            <w:pPr>
              <w:autoSpaceDE w:val="0"/>
              <w:autoSpaceDN w:val="0"/>
              <w:adjustRightInd w:val="0"/>
              <w:jc w:val="right"/>
              <w:rPr>
                <w:szCs w:val="21"/>
              </w:rPr>
            </w:pPr>
            <w:r>
              <w:t>21,050.00</w:t>
            </w:r>
          </w:p>
        </w:tc>
      </w:tr>
      <w:tr w:rsidR="00E57DAA" w14:paraId="73836418" w14:textId="77777777">
        <w:tc>
          <w:tcPr>
            <w:tcW w:w="677" w:type="pct"/>
            <w:tcBorders>
              <w:top w:val="single" w:sz="4" w:space="0" w:color="auto"/>
              <w:left w:val="single" w:sz="4" w:space="0" w:color="auto"/>
              <w:bottom w:val="single" w:sz="4" w:space="0" w:color="auto"/>
              <w:right w:val="single" w:sz="4" w:space="0" w:color="auto"/>
            </w:tcBorders>
            <w:vAlign w:val="center"/>
          </w:tcPr>
          <w:p w14:paraId="5951CF2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2858CFF" w14:textId="77777777" w:rsidR="00E57DAA" w:rsidRDefault="00AC4185">
            <w:pPr>
              <w:autoSpaceDE w:val="0"/>
              <w:autoSpaceDN w:val="0"/>
              <w:adjustRightInd w:val="0"/>
              <w:rPr>
                <w:szCs w:val="21"/>
              </w:rPr>
            </w:pPr>
            <w:r>
              <w:t>海盐秦山南方水泥有限公司</w:t>
            </w:r>
          </w:p>
        </w:tc>
        <w:tc>
          <w:tcPr>
            <w:tcW w:w="633" w:type="pct"/>
            <w:tcBorders>
              <w:top w:val="single" w:sz="4" w:space="0" w:color="auto"/>
              <w:left w:val="single" w:sz="4" w:space="0" w:color="auto"/>
              <w:bottom w:val="single" w:sz="4" w:space="0" w:color="auto"/>
              <w:right w:val="single" w:sz="4" w:space="0" w:color="auto"/>
            </w:tcBorders>
          </w:tcPr>
          <w:p w14:paraId="487EED7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868345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0ABAB3D"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34D53C9F" w14:textId="77777777" w:rsidR="00E57DAA" w:rsidRDefault="00AC4185">
            <w:pPr>
              <w:autoSpaceDE w:val="0"/>
              <w:autoSpaceDN w:val="0"/>
              <w:adjustRightInd w:val="0"/>
              <w:jc w:val="right"/>
              <w:rPr>
                <w:szCs w:val="21"/>
              </w:rPr>
            </w:pPr>
            <w:r>
              <w:t>2,500.00</w:t>
            </w:r>
          </w:p>
        </w:tc>
      </w:tr>
      <w:tr w:rsidR="00E57DAA" w14:paraId="7F131316" w14:textId="77777777">
        <w:tc>
          <w:tcPr>
            <w:tcW w:w="677" w:type="pct"/>
            <w:tcBorders>
              <w:top w:val="single" w:sz="4" w:space="0" w:color="auto"/>
              <w:left w:val="single" w:sz="4" w:space="0" w:color="auto"/>
              <w:bottom w:val="single" w:sz="4" w:space="0" w:color="auto"/>
              <w:right w:val="single" w:sz="4" w:space="0" w:color="auto"/>
            </w:tcBorders>
            <w:vAlign w:val="center"/>
          </w:tcPr>
          <w:p w14:paraId="12A3DFB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3CB023E" w14:textId="77777777" w:rsidR="00E57DAA" w:rsidRDefault="00AC4185">
            <w:pPr>
              <w:autoSpaceDE w:val="0"/>
              <w:autoSpaceDN w:val="0"/>
              <w:adjustRightInd w:val="0"/>
              <w:rPr>
                <w:szCs w:val="21"/>
              </w:rPr>
            </w:pPr>
            <w:r>
              <w:t>杭州临安南方水泥有限公司</w:t>
            </w:r>
          </w:p>
        </w:tc>
        <w:tc>
          <w:tcPr>
            <w:tcW w:w="633" w:type="pct"/>
            <w:tcBorders>
              <w:top w:val="single" w:sz="4" w:space="0" w:color="auto"/>
              <w:left w:val="single" w:sz="4" w:space="0" w:color="auto"/>
              <w:bottom w:val="single" w:sz="4" w:space="0" w:color="auto"/>
              <w:right w:val="single" w:sz="4" w:space="0" w:color="auto"/>
            </w:tcBorders>
          </w:tcPr>
          <w:p w14:paraId="0E21E14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4CC826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4B3EEA0"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35D67353" w14:textId="77777777" w:rsidR="00E57DAA" w:rsidRDefault="00AC4185">
            <w:pPr>
              <w:autoSpaceDE w:val="0"/>
              <w:autoSpaceDN w:val="0"/>
              <w:adjustRightInd w:val="0"/>
              <w:jc w:val="right"/>
              <w:rPr>
                <w:szCs w:val="21"/>
              </w:rPr>
            </w:pPr>
            <w:r>
              <w:t>1,000.00</w:t>
            </w:r>
          </w:p>
        </w:tc>
      </w:tr>
      <w:tr w:rsidR="00E57DAA" w14:paraId="0A88CDCC" w14:textId="77777777">
        <w:tc>
          <w:tcPr>
            <w:tcW w:w="677" w:type="pct"/>
            <w:tcBorders>
              <w:top w:val="single" w:sz="4" w:space="0" w:color="auto"/>
              <w:left w:val="single" w:sz="4" w:space="0" w:color="auto"/>
              <w:bottom w:val="single" w:sz="4" w:space="0" w:color="auto"/>
              <w:right w:val="single" w:sz="4" w:space="0" w:color="auto"/>
            </w:tcBorders>
            <w:vAlign w:val="center"/>
          </w:tcPr>
          <w:p w14:paraId="19D02E5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8DFF64" w14:textId="77777777" w:rsidR="00E57DAA" w:rsidRDefault="00AC4185">
            <w:pPr>
              <w:autoSpaceDE w:val="0"/>
              <w:autoSpaceDN w:val="0"/>
              <w:adjustRightInd w:val="0"/>
              <w:rPr>
                <w:szCs w:val="21"/>
              </w:rPr>
            </w:pPr>
            <w:r>
              <w:t>杭州山亚南方水泥有限公司</w:t>
            </w:r>
          </w:p>
        </w:tc>
        <w:tc>
          <w:tcPr>
            <w:tcW w:w="633" w:type="pct"/>
            <w:tcBorders>
              <w:top w:val="single" w:sz="4" w:space="0" w:color="auto"/>
              <w:left w:val="single" w:sz="4" w:space="0" w:color="auto"/>
              <w:bottom w:val="single" w:sz="4" w:space="0" w:color="auto"/>
              <w:right w:val="single" w:sz="4" w:space="0" w:color="auto"/>
            </w:tcBorders>
          </w:tcPr>
          <w:p w14:paraId="7C8B85F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F9FC22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EE92A03"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51FDA3FC" w14:textId="77777777" w:rsidR="00E57DAA" w:rsidRDefault="00AC4185">
            <w:pPr>
              <w:autoSpaceDE w:val="0"/>
              <w:autoSpaceDN w:val="0"/>
              <w:adjustRightInd w:val="0"/>
              <w:jc w:val="right"/>
              <w:rPr>
                <w:szCs w:val="21"/>
              </w:rPr>
            </w:pPr>
            <w:r>
              <w:t>25,000.00</w:t>
            </w:r>
          </w:p>
        </w:tc>
      </w:tr>
      <w:tr w:rsidR="00E57DAA" w14:paraId="31F8127C" w14:textId="77777777">
        <w:tc>
          <w:tcPr>
            <w:tcW w:w="677" w:type="pct"/>
            <w:tcBorders>
              <w:top w:val="single" w:sz="4" w:space="0" w:color="auto"/>
              <w:left w:val="single" w:sz="4" w:space="0" w:color="auto"/>
              <w:bottom w:val="single" w:sz="4" w:space="0" w:color="auto"/>
              <w:right w:val="single" w:sz="4" w:space="0" w:color="auto"/>
            </w:tcBorders>
            <w:vAlign w:val="center"/>
          </w:tcPr>
          <w:p w14:paraId="3D4BB70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CB8FF3A" w14:textId="77777777" w:rsidR="00E57DAA" w:rsidRDefault="00AC4185">
            <w:pPr>
              <w:autoSpaceDE w:val="0"/>
              <w:autoSpaceDN w:val="0"/>
              <w:adjustRightInd w:val="0"/>
              <w:rPr>
                <w:szCs w:val="21"/>
              </w:rPr>
            </w:pPr>
            <w:r>
              <w:t>湖南桃江南方水泥有限公司</w:t>
            </w:r>
          </w:p>
        </w:tc>
        <w:tc>
          <w:tcPr>
            <w:tcW w:w="633" w:type="pct"/>
            <w:tcBorders>
              <w:top w:val="single" w:sz="4" w:space="0" w:color="auto"/>
              <w:left w:val="single" w:sz="4" w:space="0" w:color="auto"/>
              <w:bottom w:val="single" w:sz="4" w:space="0" w:color="auto"/>
              <w:right w:val="single" w:sz="4" w:space="0" w:color="auto"/>
            </w:tcBorders>
          </w:tcPr>
          <w:p w14:paraId="002427B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613800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52448E5" w14:textId="77777777" w:rsidR="00E57DAA" w:rsidRDefault="00AC4185">
            <w:pPr>
              <w:autoSpaceDE w:val="0"/>
              <w:autoSpaceDN w:val="0"/>
              <w:adjustRightInd w:val="0"/>
              <w:jc w:val="right"/>
              <w:rPr>
                <w:szCs w:val="21"/>
              </w:rPr>
            </w:pPr>
            <w:r>
              <w:t>3,000,000.00</w:t>
            </w:r>
          </w:p>
        </w:tc>
        <w:tc>
          <w:tcPr>
            <w:tcW w:w="914" w:type="pct"/>
            <w:tcBorders>
              <w:top w:val="single" w:sz="4" w:space="0" w:color="auto"/>
              <w:left w:val="single" w:sz="4" w:space="0" w:color="auto"/>
              <w:bottom w:val="single" w:sz="4" w:space="0" w:color="auto"/>
              <w:right w:val="single" w:sz="4" w:space="0" w:color="auto"/>
            </w:tcBorders>
          </w:tcPr>
          <w:p w14:paraId="4C0D36B1" w14:textId="77777777" w:rsidR="00E57DAA" w:rsidRDefault="00AC4185">
            <w:pPr>
              <w:autoSpaceDE w:val="0"/>
              <w:autoSpaceDN w:val="0"/>
              <w:adjustRightInd w:val="0"/>
              <w:jc w:val="right"/>
              <w:rPr>
                <w:szCs w:val="21"/>
              </w:rPr>
            </w:pPr>
            <w:r>
              <w:t>1,995,000.00</w:t>
            </w:r>
          </w:p>
        </w:tc>
      </w:tr>
      <w:tr w:rsidR="00E57DAA" w14:paraId="6FF80789" w14:textId="77777777">
        <w:tc>
          <w:tcPr>
            <w:tcW w:w="677" w:type="pct"/>
            <w:tcBorders>
              <w:top w:val="single" w:sz="4" w:space="0" w:color="auto"/>
              <w:left w:val="single" w:sz="4" w:space="0" w:color="auto"/>
              <w:bottom w:val="single" w:sz="4" w:space="0" w:color="auto"/>
              <w:right w:val="single" w:sz="4" w:space="0" w:color="auto"/>
            </w:tcBorders>
            <w:vAlign w:val="center"/>
          </w:tcPr>
          <w:p w14:paraId="14E9E9A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CB66863" w14:textId="77777777" w:rsidR="00E57DAA" w:rsidRDefault="00AC4185">
            <w:pPr>
              <w:autoSpaceDE w:val="0"/>
              <w:autoSpaceDN w:val="0"/>
              <w:adjustRightInd w:val="0"/>
              <w:rPr>
                <w:szCs w:val="21"/>
              </w:rPr>
            </w:pPr>
            <w:r>
              <w:t>湖州槐坎南方水泥有限公司</w:t>
            </w:r>
          </w:p>
        </w:tc>
        <w:tc>
          <w:tcPr>
            <w:tcW w:w="633" w:type="pct"/>
            <w:tcBorders>
              <w:top w:val="single" w:sz="4" w:space="0" w:color="auto"/>
              <w:left w:val="single" w:sz="4" w:space="0" w:color="auto"/>
              <w:bottom w:val="single" w:sz="4" w:space="0" w:color="auto"/>
              <w:right w:val="single" w:sz="4" w:space="0" w:color="auto"/>
            </w:tcBorders>
          </w:tcPr>
          <w:p w14:paraId="2CCF964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2C5D70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AD6CCDB"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4D7DD8EE" w14:textId="77777777" w:rsidR="00E57DAA" w:rsidRDefault="00AC4185">
            <w:pPr>
              <w:autoSpaceDE w:val="0"/>
              <w:autoSpaceDN w:val="0"/>
              <w:adjustRightInd w:val="0"/>
              <w:jc w:val="right"/>
              <w:rPr>
                <w:szCs w:val="21"/>
              </w:rPr>
            </w:pPr>
            <w:r>
              <w:t>5,000.00</w:t>
            </w:r>
          </w:p>
        </w:tc>
      </w:tr>
      <w:tr w:rsidR="00E57DAA" w14:paraId="06D2F531" w14:textId="77777777">
        <w:tc>
          <w:tcPr>
            <w:tcW w:w="677" w:type="pct"/>
            <w:tcBorders>
              <w:top w:val="single" w:sz="4" w:space="0" w:color="auto"/>
              <w:left w:val="single" w:sz="4" w:space="0" w:color="auto"/>
              <w:bottom w:val="single" w:sz="4" w:space="0" w:color="auto"/>
              <w:right w:val="single" w:sz="4" w:space="0" w:color="auto"/>
            </w:tcBorders>
            <w:vAlign w:val="center"/>
          </w:tcPr>
          <w:p w14:paraId="1946144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08389EE" w14:textId="77777777" w:rsidR="00E57DAA" w:rsidRDefault="00AC4185">
            <w:pPr>
              <w:autoSpaceDE w:val="0"/>
              <w:autoSpaceDN w:val="0"/>
              <w:adjustRightInd w:val="0"/>
              <w:rPr>
                <w:szCs w:val="21"/>
              </w:rPr>
            </w:pPr>
            <w:r>
              <w:t>湖州小浦南方水泥有限公司</w:t>
            </w:r>
          </w:p>
        </w:tc>
        <w:tc>
          <w:tcPr>
            <w:tcW w:w="633" w:type="pct"/>
            <w:tcBorders>
              <w:top w:val="single" w:sz="4" w:space="0" w:color="auto"/>
              <w:left w:val="single" w:sz="4" w:space="0" w:color="auto"/>
              <w:bottom w:val="single" w:sz="4" w:space="0" w:color="auto"/>
              <w:right w:val="single" w:sz="4" w:space="0" w:color="auto"/>
            </w:tcBorders>
          </w:tcPr>
          <w:p w14:paraId="414F4F8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AAA75E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87A4842"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2632D2F0" w14:textId="77777777" w:rsidR="00E57DAA" w:rsidRDefault="00AC4185">
            <w:pPr>
              <w:autoSpaceDE w:val="0"/>
              <w:autoSpaceDN w:val="0"/>
              <w:adjustRightInd w:val="0"/>
              <w:jc w:val="right"/>
              <w:rPr>
                <w:szCs w:val="21"/>
              </w:rPr>
            </w:pPr>
            <w:r>
              <w:t>210</w:t>
            </w:r>
          </w:p>
        </w:tc>
      </w:tr>
      <w:tr w:rsidR="00E57DAA" w14:paraId="7BB94397" w14:textId="77777777">
        <w:tc>
          <w:tcPr>
            <w:tcW w:w="677" w:type="pct"/>
            <w:tcBorders>
              <w:top w:val="single" w:sz="4" w:space="0" w:color="auto"/>
              <w:left w:val="single" w:sz="4" w:space="0" w:color="auto"/>
              <w:bottom w:val="single" w:sz="4" w:space="0" w:color="auto"/>
              <w:right w:val="single" w:sz="4" w:space="0" w:color="auto"/>
            </w:tcBorders>
            <w:vAlign w:val="center"/>
          </w:tcPr>
          <w:p w14:paraId="66150E8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0DB0D96" w14:textId="77777777" w:rsidR="00E57DAA" w:rsidRDefault="00AC4185">
            <w:pPr>
              <w:autoSpaceDE w:val="0"/>
              <w:autoSpaceDN w:val="0"/>
              <w:adjustRightInd w:val="0"/>
              <w:rPr>
                <w:szCs w:val="21"/>
              </w:rPr>
            </w:pPr>
            <w:r>
              <w:t>郏县中联天广水泥有限公司</w:t>
            </w:r>
          </w:p>
        </w:tc>
        <w:tc>
          <w:tcPr>
            <w:tcW w:w="633" w:type="pct"/>
            <w:tcBorders>
              <w:top w:val="single" w:sz="4" w:space="0" w:color="auto"/>
              <w:left w:val="single" w:sz="4" w:space="0" w:color="auto"/>
              <w:bottom w:val="single" w:sz="4" w:space="0" w:color="auto"/>
              <w:right w:val="single" w:sz="4" w:space="0" w:color="auto"/>
            </w:tcBorders>
          </w:tcPr>
          <w:p w14:paraId="7EA5045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BA4571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AAD22E3"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2F200DAC" w14:textId="77777777" w:rsidR="00E57DAA" w:rsidRDefault="00AC4185">
            <w:pPr>
              <w:autoSpaceDE w:val="0"/>
              <w:autoSpaceDN w:val="0"/>
              <w:adjustRightInd w:val="0"/>
              <w:jc w:val="right"/>
              <w:rPr>
                <w:szCs w:val="21"/>
              </w:rPr>
            </w:pPr>
            <w:r>
              <w:t>2,800.00</w:t>
            </w:r>
          </w:p>
        </w:tc>
      </w:tr>
      <w:tr w:rsidR="00E57DAA" w14:paraId="1F733A84" w14:textId="77777777">
        <w:tc>
          <w:tcPr>
            <w:tcW w:w="677" w:type="pct"/>
            <w:tcBorders>
              <w:top w:val="single" w:sz="4" w:space="0" w:color="auto"/>
              <w:left w:val="single" w:sz="4" w:space="0" w:color="auto"/>
              <w:bottom w:val="single" w:sz="4" w:space="0" w:color="auto"/>
              <w:right w:val="single" w:sz="4" w:space="0" w:color="auto"/>
            </w:tcBorders>
            <w:vAlign w:val="center"/>
          </w:tcPr>
          <w:p w14:paraId="0D62FC5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97701C0" w14:textId="77777777" w:rsidR="00E57DAA" w:rsidRDefault="00AC4185">
            <w:pPr>
              <w:autoSpaceDE w:val="0"/>
              <w:autoSpaceDN w:val="0"/>
              <w:adjustRightInd w:val="0"/>
              <w:rPr>
                <w:szCs w:val="21"/>
              </w:rPr>
            </w:pPr>
            <w:r>
              <w:t>铁岭北方水泥有限公司</w:t>
            </w:r>
          </w:p>
        </w:tc>
        <w:tc>
          <w:tcPr>
            <w:tcW w:w="633" w:type="pct"/>
            <w:tcBorders>
              <w:top w:val="single" w:sz="4" w:space="0" w:color="auto"/>
              <w:left w:val="single" w:sz="4" w:space="0" w:color="auto"/>
              <w:bottom w:val="single" w:sz="4" w:space="0" w:color="auto"/>
              <w:right w:val="single" w:sz="4" w:space="0" w:color="auto"/>
            </w:tcBorders>
          </w:tcPr>
          <w:p w14:paraId="558AF76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F42A77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B1ECFFA"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781D848E" w14:textId="77777777" w:rsidR="00E57DAA" w:rsidRDefault="00AC4185">
            <w:pPr>
              <w:autoSpaceDE w:val="0"/>
              <w:autoSpaceDN w:val="0"/>
              <w:adjustRightInd w:val="0"/>
              <w:jc w:val="right"/>
              <w:rPr>
                <w:szCs w:val="21"/>
              </w:rPr>
            </w:pPr>
            <w:r>
              <w:t>129</w:t>
            </w:r>
          </w:p>
        </w:tc>
      </w:tr>
      <w:tr w:rsidR="00E57DAA" w14:paraId="36F66F98" w14:textId="77777777">
        <w:tc>
          <w:tcPr>
            <w:tcW w:w="677" w:type="pct"/>
            <w:tcBorders>
              <w:top w:val="single" w:sz="4" w:space="0" w:color="auto"/>
              <w:left w:val="single" w:sz="4" w:space="0" w:color="auto"/>
              <w:bottom w:val="single" w:sz="4" w:space="0" w:color="auto"/>
              <w:right w:val="single" w:sz="4" w:space="0" w:color="auto"/>
            </w:tcBorders>
            <w:vAlign w:val="center"/>
          </w:tcPr>
          <w:p w14:paraId="2298A86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5815813" w14:textId="77777777" w:rsidR="00E57DAA" w:rsidRDefault="00AC4185">
            <w:pPr>
              <w:autoSpaceDE w:val="0"/>
              <w:autoSpaceDN w:val="0"/>
              <w:adjustRightInd w:val="0"/>
              <w:rPr>
                <w:szCs w:val="21"/>
              </w:rPr>
            </w:pPr>
            <w:r>
              <w:t>兰溪南方水泥有限公司</w:t>
            </w:r>
          </w:p>
        </w:tc>
        <w:tc>
          <w:tcPr>
            <w:tcW w:w="633" w:type="pct"/>
            <w:tcBorders>
              <w:top w:val="single" w:sz="4" w:space="0" w:color="auto"/>
              <w:left w:val="single" w:sz="4" w:space="0" w:color="auto"/>
              <w:bottom w:val="single" w:sz="4" w:space="0" w:color="auto"/>
              <w:right w:val="single" w:sz="4" w:space="0" w:color="auto"/>
            </w:tcBorders>
          </w:tcPr>
          <w:p w14:paraId="5E1CB6E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EA0B7B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6B5E457"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4B05C229" w14:textId="77777777" w:rsidR="00E57DAA" w:rsidRDefault="00AC4185">
            <w:pPr>
              <w:autoSpaceDE w:val="0"/>
              <w:autoSpaceDN w:val="0"/>
              <w:adjustRightInd w:val="0"/>
              <w:jc w:val="right"/>
              <w:rPr>
                <w:szCs w:val="21"/>
              </w:rPr>
            </w:pPr>
            <w:r>
              <w:t>34,980.00</w:t>
            </w:r>
          </w:p>
        </w:tc>
      </w:tr>
      <w:tr w:rsidR="00E57DAA" w14:paraId="1FF1B036" w14:textId="77777777">
        <w:tc>
          <w:tcPr>
            <w:tcW w:w="677" w:type="pct"/>
            <w:tcBorders>
              <w:top w:val="single" w:sz="4" w:space="0" w:color="auto"/>
              <w:left w:val="single" w:sz="4" w:space="0" w:color="auto"/>
              <w:bottom w:val="single" w:sz="4" w:space="0" w:color="auto"/>
              <w:right w:val="single" w:sz="4" w:space="0" w:color="auto"/>
            </w:tcBorders>
            <w:vAlign w:val="center"/>
          </w:tcPr>
          <w:p w14:paraId="2723E5C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731ADD3" w14:textId="77777777" w:rsidR="00E57DAA" w:rsidRDefault="00AC4185">
            <w:pPr>
              <w:autoSpaceDE w:val="0"/>
              <w:autoSpaceDN w:val="0"/>
              <w:adjustRightInd w:val="0"/>
              <w:rPr>
                <w:szCs w:val="21"/>
              </w:rPr>
            </w:pPr>
            <w:r>
              <w:t>溧阳天山水泥有限公司</w:t>
            </w:r>
          </w:p>
        </w:tc>
        <w:tc>
          <w:tcPr>
            <w:tcW w:w="633" w:type="pct"/>
            <w:tcBorders>
              <w:top w:val="single" w:sz="4" w:space="0" w:color="auto"/>
              <w:left w:val="single" w:sz="4" w:space="0" w:color="auto"/>
              <w:bottom w:val="single" w:sz="4" w:space="0" w:color="auto"/>
              <w:right w:val="single" w:sz="4" w:space="0" w:color="auto"/>
            </w:tcBorders>
          </w:tcPr>
          <w:p w14:paraId="37E63E8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6F9E12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B3FE878" w14:textId="77777777" w:rsidR="00E57DAA" w:rsidRDefault="00AC4185">
            <w:pPr>
              <w:autoSpaceDE w:val="0"/>
              <w:autoSpaceDN w:val="0"/>
              <w:adjustRightInd w:val="0"/>
              <w:jc w:val="right"/>
              <w:rPr>
                <w:szCs w:val="21"/>
              </w:rPr>
            </w:pPr>
            <w:r>
              <w:t>10,000,000.00</w:t>
            </w:r>
          </w:p>
        </w:tc>
        <w:tc>
          <w:tcPr>
            <w:tcW w:w="914" w:type="pct"/>
            <w:tcBorders>
              <w:top w:val="single" w:sz="4" w:space="0" w:color="auto"/>
              <w:left w:val="single" w:sz="4" w:space="0" w:color="auto"/>
              <w:bottom w:val="single" w:sz="4" w:space="0" w:color="auto"/>
              <w:right w:val="single" w:sz="4" w:space="0" w:color="auto"/>
            </w:tcBorders>
          </w:tcPr>
          <w:p w14:paraId="2DC5FFC3" w14:textId="77777777" w:rsidR="00E57DAA" w:rsidRDefault="00AC4185">
            <w:pPr>
              <w:autoSpaceDE w:val="0"/>
              <w:autoSpaceDN w:val="0"/>
              <w:adjustRightInd w:val="0"/>
              <w:jc w:val="right"/>
              <w:rPr>
                <w:szCs w:val="21"/>
              </w:rPr>
            </w:pPr>
            <w:r>
              <w:t>65,000.00</w:t>
            </w:r>
          </w:p>
        </w:tc>
      </w:tr>
      <w:tr w:rsidR="00E57DAA" w14:paraId="5D5F573D" w14:textId="77777777">
        <w:tc>
          <w:tcPr>
            <w:tcW w:w="677" w:type="pct"/>
            <w:tcBorders>
              <w:top w:val="single" w:sz="4" w:space="0" w:color="auto"/>
              <w:left w:val="single" w:sz="4" w:space="0" w:color="auto"/>
              <w:bottom w:val="single" w:sz="4" w:space="0" w:color="auto"/>
              <w:right w:val="single" w:sz="4" w:space="0" w:color="auto"/>
            </w:tcBorders>
            <w:vAlign w:val="center"/>
          </w:tcPr>
          <w:p w14:paraId="1601CF5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E7B7679" w14:textId="77777777" w:rsidR="00E57DAA" w:rsidRDefault="00AC4185">
            <w:pPr>
              <w:autoSpaceDE w:val="0"/>
              <w:autoSpaceDN w:val="0"/>
              <w:adjustRightInd w:val="0"/>
              <w:rPr>
                <w:szCs w:val="21"/>
              </w:rPr>
            </w:pPr>
            <w:r>
              <w:t>洛浦天山水泥有限责任公司</w:t>
            </w:r>
          </w:p>
        </w:tc>
        <w:tc>
          <w:tcPr>
            <w:tcW w:w="633" w:type="pct"/>
            <w:tcBorders>
              <w:top w:val="single" w:sz="4" w:space="0" w:color="auto"/>
              <w:left w:val="single" w:sz="4" w:space="0" w:color="auto"/>
              <w:bottom w:val="single" w:sz="4" w:space="0" w:color="auto"/>
              <w:right w:val="single" w:sz="4" w:space="0" w:color="auto"/>
            </w:tcBorders>
          </w:tcPr>
          <w:p w14:paraId="417CD93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DA539D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6A7DAEB" w14:textId="77777777" w:rsidR="00E57DAA" w:rsidRDefault="00AC4185">
            <w:pPr>
              <w:autoSpaceDE w:val="0"/>
              <w:autoSpaceDN w:val="0"/>
              <w:adjustRightInd w:val="0"/>
              <w:jc w:val="right"/>
              <w:rPr>
                <w:szCs w:val="21"/>
              </w:rPr>
            </w:pPr>
            <w:r>
              <w:t>90,000.00</w:t>
            </w:r>
          </w:p>
        </w:tc>
        <w:tc>
          <w:tcPr>
            <w:tcW w:w="914" w:type="pct"/>
            <w:tcBorders>
              <w:top w:val="single" w:sz="4" w:space="0" w:color="auto"/>
              <w:left w:val="single" w:sz="4" w:space="0" w:color="auto"/>
              <w:bottom w:val="single" w:sz="4" w:space="0" w:color="auto"/>
              <w:right w:val="single" w:sz="4" w:space="0" w:color="auto"/>
            </w:tcBorders>
          </w:tcPr>
          <w:p w14:paraId="20865B0A" w14:textId="77777777" w:rsidR="00E57DAA" w:rsidRDefault="00AC4185">
            <w:pPr>
              <w:autoSpaceDE w:val="0"/>
              <w:autoSpaceDN w:val="0"/>
              <w:adjustRightInd w:val="0"/>
              <w:jc w:val="right"/>
              <w:rPr>
                <w:szCs w:val="21"/>
              </w:rPr>
            </w:pPr>
            <w:r>
              <w:t>2,470.00</w:t>
            </w:r>
          </w:p>
        </w:tc>
      </w:tr>
      <w:tr w:rsidR="00E57DAA" w14:paraId="216BBA05" w14:textId="77777777">
        <w:tc>
          <w:tcPr>
            <w:tcW w:w="677" w:type="pct"/>
            <w:tcBorders>
              <w:top w:val="single" w:sz="4" w:space="0" w:color="auto"/>
              <w:left w:val="single" w:sz="4" w:space="0" w:color="auto"/>
              <w:bottom w:val="single" w:sz="4" w:space="0" w:color="auto"/>
              <w:right w:val="single" w:sz="4" w:space="0" w:color="auto"/>
            </w:tcBorders>
            <w:vAlign w:val="center"/>
          </w:tcPr>
          <w:p w14:paraId="2DA2996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1E2C606" w14:textId="77777777" w:rsidR="00E57DAA" w:rsidRDefault="00AC4185">
            <w:pPr>
              <w:autoSpaceDE w:val="0"/>
              <w:autoSpaceDN w:val="0"/>
              <w:adjustRightInd w:val="0"/>
              <w:rPr>
                <w:szCs w:val="21"/>
              </w:rPr>
            </w:pPr>
            <w:r>
              <w:t>青岛中联混凝土工程有限公司</w:t>
            </w:r>
          </w:p>
        </w:tc>
        <w:tc>
          <w:tcPr>
            <w:tcW w:w="633" w:type="pct"/>
            <w:tcBorders>
              <w:top w:val="single" w:sz="4" w:space="0" w:color="auto"/>
              <w:left w:val="single" w:sz="4" w:space="0" w:color="auto"/>
              <w:bottom w:val="single" w:sz="4" w:space="0" w:color="auto"/>
              <w:right w:val="single" w:sz="4" w:space="0" w:color="auto"/>
            </w:tcBorders>
          </w:tcPr>
          <w:p w14:paraId="03D3BF5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D5FC99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C66C8C" w14:textId="77777777" w:rsidR="00E57DAA" w:rsidRDefault="00AC4185">
            <w:pPr>
              <w:autoSpaceDE w:val="0"/>
              <w:autoSpaceDN w:val="0"/>
              <w:adjustRightInd w:val="0"/>
              <w:jc w:val="right"/>
              <w:rPr>
                <w:szCs w:val="21"/>
              </w:rPr>
            </w:pPr>
            <w:r>
              <w:t>40,000.00</w:t>
            </w:r>
          </w:p>
        </w:tc>
        <w:tc>
          <w:tcPr>
            <w:tcW w:w="914" w:type="pct"/>
            <w:tcBorders>
              <w:top w:val="single" w:sz="4" w:space="0" w:color="auto"/>
              <w:left w:val="single" w:sz="4" w:space="0" w:color="auto"/>
              <w:bottom w:val="single" w:sz="4" w:space="0" w:color="auto"/>
              <w:right w:val="single" w:sz="4" w:space="0" w:color="auto"/>
            </w:tcBorders>
          </w:tcPr>
          <w:p w14:paraId="6D3EE889" w14:textId="77777777" w:rsidR="00E57DAA" w:rsidRDefault="00AC4185">
            <w:pPr>
              <w:autoSpaceDE w:val="0"/>
              <w:autoSpaceDN w:val="0"/>
              <w:adjustRightInd w:val="0"/>
              <w:jc w:val="right"/>
              <w:rPr>
                <w:szCs w:val="21"/>
              </w:rPr>
            </w:pPr>
            <w:r>
              <w:t>1,140.00</w:t>
            </w:r>
          </w:p>
        </w:tc>
      </w:tr>
      <w:tr w:rsidR="00E57DAA" w14:paraId="4AFAF9E0" w14:textId="77777777">
        <w:tc>
          <w:tcPr>
            <w:tcW w:w="677" w:type="pct"/>
            <w:tcBorders>
              <w:top w:val="single" w:sz="4" w:space="0" w:color="auto"/>
              <w:left w:val="single" w:sz="4" w:space="0" w:color="auto"/>
              <w:bottom w:val="single" w:sz="4" w:space="0" w:color="auto"/>
              <w:right w:val="single" w:sz="4" w:space="0" w:color="auto"/>
            </w:tcBorders>
            <w:vAlign w:val="center"/>
          </w:tcPr>
          <w:p w14:paraId="3CCC1B2C"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7D3B3A27" w14:textId="77777777" w:rsidR="00E57DAA" w:rsidRDefault="00AC4185">
            <w:pPr>
              <w:autoSpaceDE w:val="0"/>
              <w:autoSpaceDN w:val="0"/>
              <w:adjustRightInd w:val="0"/>
              <w:rPr>
                <w:szCs w:val="21"/>
              </w:rPr>
            </w:pPr>
            <w:r>
              <w:t>四川国大水泥有限公司</w:t>
            </w:r>
          </w:p>
        </w:tc>
        <w:tc>
          <w:tcPr>
            <w:tcW w:w="633" w:type="pct"/>
            <w:tcBorders>
              <w:top w:val="single" w:sz="4" w:space="0" w:color="auto"/>
              <w:left w:val="single" w:sz="4" w:space="0" w:color="auto"/>
              <w:bottom w:val="single" w:sz="4" w:space="0" w:color="auto"/>
              <w:right w:val="single" w:sz="4" w:space="0" w:color="auto"/>
            </w:tcBorders>
          </w:tcPr>
          <w:p w14:paraId="6432DBD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E28695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F5E558C"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2104AA03" w14:textId="77777777" w:rsidR="00E57DAA" w:rsidRDefault="00AC4185">
            <w:pPr>
              <w:autoSpaceDE w:val="0"/>
              <w:autoSpaceDN w:val="0"/>
              <w:adjustRightInd w:val="0"/>
              <w:jc w:val="right"/>
              <w:rPr>
                <w:szCs w:val="21"/>
              </w:rPr>
            </w:pPr>
            <w:r>
              <w:t>12,000.00</w:t>
            </w:r>
          </w:p>
        </w:tc>
      </w:tr>
      <w:tr w:rsidR="00E57DAA" w14:paraId="2AEF098A" w14:textId="77777777">
        <w:tc>
          <w:tcPr>
            <w:tcW w:w="677" w:type="pct"/>
            <w:tcBorders>
              <w:top w:val="single" w:sz="4" w:space="0" w:color="auto"/>
              <w:left w:val="single" w:sz="4" w:space="0" w:color="auto"/>
              <w:bottom w:val="single" w:sz="4" w:space="0" w:color="auto"/>
              <w:right w:val="single" w:sz="4" w:space="0" w:color="auto"/>
            </w:tcBorders>
            <w:vAlign w:val="center"/>
          </w:tcPr>
          <w:p w14:paraId="1950D67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D40C077" w14:textId="77777777" w:rsidR="00E57DAA" w:rsidRDefault="00AC4185">
            <w:pPr>
              <w:autoSpaceDE w:val="0"/>
              <w:autoSpaceDN w:val="0"/>
              <w:adjustRightInd w:val="0"/>
              <w:rPr>
                <w:szCs w:val="21"/>
              </w:rPr>
            </w:pPr>
            <w:r>
              <w:t>四川利万步森水泥有限公司</w:t>
            </w:r>
          </w:p>
        </w:tc>
        <w:tc>
          <w:tcPr>
            <w:tcW w:w="633" w:type="pct"/>
            <w:tcBorders>
              <w:top w:val="single" w:sz="4" w:space="0" w:color="auto"/>
              <w:left w:val="single" w:sz="4" w:space="0" w:color="auto"/>
              <w:bottom w:val="single" w:sz="4" w:space="0" w:color="auto"/>
              <w:right w:val="single" w:sz="4" w:space="0" w:color="auto"/>
            </w:tcBorders>
          </w:tcPr>
          <w:p w14:paraId="48246D4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880DA5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2441EA2" w14:textId="77777777" w:rsidR="00E57DAA" w:rsidRDefault="00AC4185">
            <w:pPr>
              <w:autoSpaceDE w:val="0"/>
              <w:autoSpaceDN w:val="0"/>
              <w:adjustRightInd w:val="0"/>
              <w:jc w:val="right"/>
              <w:rPr>
                <w:szCs w:val="21"/>
              </w:rPr>
            </w:pPr>
            <w:r>
              <w:t>200</w:t>
            </w:r>
          </w:p>
        </w:tc>
        <w:tc>
          <w:tcPr>
            <w:tcW w:w="914" w:type="pct"/>
            <w:tcBorders>
              <w:top w:val="single" w:sz="4" w:space="0" w:color="auto"/>
              <w:left w:val="single" w:sz="4" w:space="0" w:color="auto"/>
              <w:bottom w:val="single" w:sz="4" w:space="0" w:color="auto"/>
              <w:right w:val="single" w:sz="4" w:space="0" w:color="auto"/>
            </w:tcBorders>
          </w:tcPr>
          <w:p w14:paraId="4A57F216" w14:textId="77777777" w:rsidR="00E57DAA" w:rsidRDefault="00AC4185">
            <w:pPr>
              <w:autoSpaceDE w:val="0"/>
              <w:autoSpaceDN w:val="0"/>
              <w:adjustRightInd w:val="0"/>
              <w:jc w:val="right"/>
              <w:rPr>
                <w:szCs w:val="21"/>
              </w:rPr>
            </w:pPr>
            <w:r>
              <w:t>4.8</w:t>
            </w:r>
          </w:p>
        </w:tc>
      </w:tr>
      <w:tr w:rsidR="00E57DAA" w14:paraId="0BCA7757" w14:textId="77777777">
        <w:tc>
          <w:tcPr>
            <w:tcW w:w="677" w:type="pct"/>
            <w:tcBorders>
              <w:top w:val="single" w:sz="4" w:space="0" w:color="auto"/>
              <w:left w:val="single" w:sz="4" w:space="0" w:color="auto"/>
              <w:bottom w:val="single" w:sz="4" w:space="0" w:color="auto"/>
              <w:right w:val="single" w:sz="4" w:space="0" w:color="auto"/>
            </w:tcBorders>
            <w:vAlign w:val="center"/>
          </w:tcPr>
          <w:p w14:paraId="2F4DBAE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4087D4C" w14:textId="77777777" w:rsidR="00E57DAA" w:rsidRDefault="00AC4185">
            <w:pPr>
              <w:autoSpaceDE w:val="0"/>
              <w:autoSpaceDN w:val="0"/>
              <w:adjustRightInd w:val="0"/>
              <w:rPr>
                <w:szCs w:val="21"/>
              </w:rPr>
            </w:pPr>
            <w:r>
              <w:t>四川泰昌建材集团有限公司</w:t>
            </w:r>
          </w:p>
        </w:tc>
        <w:tc>
          <w:tcPr>
            <w:tcW w:w="633" w:type="pct"/>
            <w:tcBorders>
              <w:top w:val="single" w:sz="4" w:space="0" w:color="auto"/>
              <w:left w:val="single" w:sz="4" w:space="0" w:color="auto"/>
              <w:bottom w:val="single" w:sz="4" w:space="0" w:color="auto"/>
              <w:right w:val="single" w:sz="4" w:space="0" w:color="auto"/>
            </w:tcBorders>
          </w:tcPr>
          <w:p w14:paraId="64BBA1BA"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D38439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286150E" w14:textId="77777777" w:rsidR="00E57DAA" w:rsidRDefault="00AC4185">
            <w:pPr>
              <w:autoSpaceDE w:val="0"/>
              <w:autoSpaceDN w:val="0"/>
              <w:adjustRightInd w:val="0"/>
              <w:jc w:val="right"/>
              <w:rPr>
                <w:szCs w:val="21"/>
              </w:rPr>
            </w:pPr>
            <w:r>
              <w:t>1,000.00</w:t>
            </w:r>
          </w:p>
        </w:tc>
        <w:tc>
          <w:tcPr>
            <w:tcW w:w="914" w:type="pct"/>
            <w:tcBorders>
              <w:top w:val="single" w:sz="4" w:space="0" w:color="auto"/>
              <w:left w:val="single" w:sz="4" w:space="0" w:color="auto"/>
              <w:bottom w:val="single" w:sz="4" w:space="0" w:color="auto"/>
              <w:right w:val="single" w:sz="4" w:space="0" w:color="auto"/>
            </w:tcBorders>
          </w:tcPr>
          <w:p w14:paraId="2CE29713" w14:textId="77777777" w:rsidR="00E57DAA" w:rsidRDefault="00AC4185">
            <w:pPr>
              <w:autoSpaceDE w:val="0"/>
              <w:autoSpaceDN w:val="0"/>
              <w:adjustRightInd w:val="0"/>
              <w:jc w:val="right"/>
              <w:rPr>
                <w:szCs w:val="21"/>
              </w:rPr>
            </w:pPr>
            <w:r>
              <w:t>56</w:t>
            </w:r>
          </w:p>
        </w:tc>
      </w:tr>
      <w:tr w:rsidR="00E57DAA" w14:paraId="023E26BA" w14:textId="77777777">
        <w:tc>
          <w:tcPr>
            <w:tcW w:w="677" w:type="pct"/>
            <w:tcBorders>
              <w:top w:val="single" w:sz="4" w:space="0" w:color="auto"/>
              <w:left w:val="single" w:sz="4" w:space="0" w:color="auto"/>
              <w:bottom w:val="single" w:sz="4" w:space="0" w:color="auto"/>
              <w:right w:val="single" w:sz="4" w:space="0" w:color="auto"/>
            </w:tcBorders>
            <w:vAlign w:val="center"/>
          </w:tcPr>
          <w:p w14:paraId="71510A5C"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D076FBF" w14:textId="77777777" w:rsidR="00E57DAA" w:rsidRDefault="00AC4185">
            <w:pPr>
              <w:autoSpaceDE w:val="0"/>
              <w:autoSpaceDN w:val="0"/>
              <w:adjustRightInd w:val="0"/>
              <w:rPr>
                <w:szCs w:val="21"/>
              </w:rPr>
            </w:pPr>
            <w:r>
              <w:t>桐庐南方水泥有限公司</w:t>
            </w:r>
          </w:p>
        </w:tc>
        <w:tc>
          <w:tcPr>
            <w:tcW w:w="633" w:type="pct"/>
            <w:tcBorders>
              <w:top w:val="single" w:sz="4" w:space="0" w:color="auto"/>
              <w:left w:val="single" w:sz="4" w:space="0" w:color="auto"/>
              <w:bottom w:val="single" w:sz="4" w:space="0" w:color="auto"/>
              <w:right w:val="single" w:sz="4" w:space="0" w:color="auto"/>
            </w:tcBorders>
          </w:tcPr>
          <w:p w14:paraId="3156C3D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8A3AD3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A3964A8"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36D77206" w14:textId="77777777" w:rsidR="00E57DAA" w:rsidRDefault="00AC4185">
            <w:pPr>
              <w:autoSpaceDE w:val="0"/>
              <w:autoSpaceDN w:val="0"/>
              <w:adjustRightInd w:val="0"/>
              <w:jc w:val="right"/>
              <w:rPr>
                <w:szCs w:val="21"/>
              </w:rPr>
            </w:pPr>
            <w:r>
              <w:t>2,500.00</w:t>
            </w:r>
          </w:p>
        </w:tc>
      </w:tr>
      <w:tr w:rsidR="00E57DAA" w14:paraId="16FE08B0" w14:textId="77777777">
        <w:tc>
          <w:tcPr>
            <w:tcW w:w="677" w:type="pct"/>
            <w:tcBorders>
              <w:top w:val="single" w:sz="4" w:space="0" w:color="auto"/>
              <w:left w:val="single" w:sz="4" w:space="0" w:color="auto"/>
              <w:bottom w:val="single" w:sz="4" w:space="0" w:color="auto"/>
              <w:right w:val="single" w:sz="4" w:space="0" w:color="auto"/>
            </w:tcBorders>
            <w:vAlign w:val="center"/>
          </w:tcPr>
          <w:p w14:paraId="2560592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C4A089C" w14:textId="77777777" w:rsidR="00E57DAA" w:rsidRDefault="00AC4185">
            <w:pPr>
              <w:autoSpaceDE w:val="0"/>
              <w:autoSpaceDN w:val="0"/>
              <w:adjustRightInd w:val="0"/>
              <w:rPr>
                <w:szCs w:val="21"/>
              </w:rPr>
            </w:pPr>
            <w:r>
              <w:t>徐州中联混凝土有限公司</w:t>
            </w:r>
          </w:p>
        </w:tc>
        <w:tc>
          <w:tcPr>
            <w:tcW w:w="633" w:type="pct"/>
            <w:tcBorders>
              <w:top w:val="single" w:sz="4" w:space="0" w:color="auto"/>
              <w:left w:val="single" w:sz="4" w:space="0" w:color="auto"/>
              <w:bottom w:val="single" w:sz="4" w:space="0" w:color="auto"/>
              <w:right w:val="single" w:sz="4" w:space="0" w:color="auto"/>
            </w:tcBorders>
          </w:tcPr>
          <w:p w14:paraId="3F3943C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2EA13E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90AE40E"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71DBC413" w14:textId="77777777" w:rsidR="00E57DAA" w:rsidRDefault="00AC4185">
            <w:pPr>
              <w:autoSpaceDE w:val="0"/>
              <w:autoSpaceDN w:val="0"/>
              <w:adjustRightInd w:val="0"/>
              <w:jc w:val="right"/>
              <w:rPr>
                <w:szCs w:val="21"/>
              </w:rPr>
            </w:pPr>
            <w:r>
              <w:t>1,000.00</w:t>
            </w:r>
          </w:p>
        </w:tc>
      </w:tr>
      <w:tr w:rsidR="00E57DAA" w14:paraId="36B5BB29" w14:textId="77777777">
        <w:tc>
          <w:tcPr>
            <w:tcW w:w="677" w:type="pct"/>
            <w:tcBorders>
              <w:top w:val="single" w:sz="4" w:space="0" w:color="auto"/>
              <w:left w:val="single" w:sz="4" w:space="0" w:color="auto"/>
              <w:bottom w:val="single" w:sz="4" w:space="0" w:color="auto"/>
              <w:right w:val="single" w:sz="4" w:space="0" w:color="auto"/>
            </w:tcBorders>
            <w:vAlign w:val="center"/>
          </w:tcPr>
          <w:p w14:paraId="2A9FFE1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6E45E86" w14:textId="77777777" w:rsidR="00E57DAA" w:rsidRDefault="00AC4185">
            <w:pPr>
              <w:autoSpaceDE w:val="0"/>
              <w:autoSpaceDN w:val="0"/>
              <w:adjustRightInd w:val="0"/>
              <w:rPr>
                <w:szCs w:val="21"/>
              </w:rPr>
            </w:pPr>
            <w:r>
              <w:t>宜兴市阳港矿业有限公司</w:t>
            </w:r>
          </w:p>
        </w:tc>
        <w:tc>
          <w:tcPr>
            <w:tcW w:w="633" w:type="pct"/>
            <w:tcBorders>
              <w:top w:val="single" w:sz="4" w:space="0" w:color="auto"/>
              <w:left w:val="single" w:sz="4" w:space="0" w:color="auto"/>
              <w:bottom w:val="single" w:sz="4" w:space="0" w:color="auto"/>
              <w:right w:val="single" w:sz="4" w:space="0" w:color="auto"/>
            </w:tcBorders>
          </w:tcPr>
          <w:p w14:paraId="120B192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ED13BF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BF67F85"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4A86F6C5" w14:textId="77777777" w:rsidR="00E57DAA" w:rsidRDefault="00AC4185">
            <w:pPr>
              <w:autoSpaceDE w:val="0"/>
              <w:autoSpaceDN w:val="0"/>
              <w:adjustRightInd w:val="0"/>
              <w:jc w:val="right"/>
              <w:rPr>
                <w:szCs w:val="21"/>
              </w:rPr>
            </w:pPr>
            <w:r>
              <w:t>4,200.00</w:t>
            </w:r>
          </w:p>
        </w:tc>
      </w:tr>
      <w:tr w:rsidR="00E57DAA" w14:paraId="5FA33665" w14:textId="77777777">
        <w:tc>
          <w:tcPr>
            <w:tcW w:w="677" w:type="pct"/>
            <w:tcBorders>
              <w:top w:val="single" w:sz="4" w:space="0" w:color="auto"/>
              <w:left w:val="single" w:sz="4" w:space="0" w:color="auto"/>
              <w:bottom w:val="single" w:sz="4" w:space="0" w:color="auto"/>
              <w:right w:val="single" w:sz="4" w:space="0" w:color="auto"/>
            </w:tcBorders>
            <w:vAlign w:val="center"/>
          </w:tcPr>
          <w:p w14:paraId="74D9D45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3B3A2CF" w14:textId="77777777" w:rsidR="00E57DAA" w:rsidRDefault="00AC4185">
            <w:pPr>
              <w:autoSpaceDE w:val="0"/>
              <w:autoSpaceDN w:val="0"/>
              <w:adjustRightInd w:val="0"/>
              <w:rPr>
                <w:szCs w:val="21"/>
              </w:rPr>
            </w:pPr>
            <w:r>
              <w:t>云南芒市西南水泥有限公司</w:t>
            </w:r>
          </w:p>
        </w:tc>
        <w:tc>
          <w:tcPr>
            <w:tcW w:w="633" w:type="pct"/>
            <w:tcBorders>
              <w:top w:val="single" w:sz="4" w:space="0" w:color="auto"/>
              <w:left w:val="single" w:sz="4" w:space="0" w:color="auto"/>
              <w:bottom w:val="single" w:sz="4" w:space="0" w:color="auto"/>
              <w:right w:val="single" w:sz="4" w:space="0" w:color="auto"/>
            </w:tcBorders>
          </w:tcPr>
          <w:p w14:paraId="7D79C89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4126B6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1AF4123" w14:textId="77777777" w:rsidR="00E57DAA" w:rsidRDefault="00AC4185">
            <w:pPr>
              <w:autoSpaceDE w:val="0"/>
              <w:autoSpaceDN w:val="0"/>
              <w:adjustRightInd w:val="0"/>
              <w:jc w:val="right"/>
              <w:rPr>
                <w:szCs w:val="21"/>
              </w:rPr>
            </w:pPr>
            <w:r>
              <w:t>10,000.00</w:t>
            </w:r>
          </w:p>
        </w:tc>
        <w:tc>
          <w:tcPr>
            <w:tcW w:w="914" w:type="pct"/>
            <w:tcBorders>
              <w:top w:val="single" w:sz="4" w:space="0" w:color="auto"/>
              <w:left w:val="single" w:sz="4" w:space="0" w:color="auto"/>
              <w:bottom w:val="single" w:sz="4" w:space="0" w:color="auto"/>
              <w:right w:val="single" w:sz="4" w:space="0" w:color="auto"/>
            </w:tcBorders>
          </w:tcPr>
          <w:p w14:paraId="0B6292B7" w14:textId="77777777" w:rsidR="00E57DAA" w:rsidRDefault="00AC4185">
            <w:pPr>
              <w:autoSpaceDE w:val="0"/>
              <w:autoSpaceDN w:val="0"/>
              <w:adjustRightInd w:val="0"/>
              <w:jc w:val="right"/>
              <w:rPr>
                <w:szCs w:val="21"/>
              </w:rPr>
            </w:pPr>
            <w:r>
              <w:t>500</w:t>
            </w:r>
          </w:p>
        </w:tc>
      </w:tr>
      <w:tr w:rsidR="00E57DAA" w14:paraId="7687FB24" w14:textId="77777777">
        <w:tc>
          <w:tcPr>
            <w:tcW w:w="677" w:type="pct"/>
            <w:tcBorders>
              <w:top w:val="single" w:sz="4" w:space="0" w:color="auto"/>
              <w:left w:val="single" w:sz="4" w:space="0" w:color="auto"/>
              <w:bottom w:val="single" w:sz="4" w:space="0" w:color="auto"/>
              <w:right w:val="single" w:sz="4" w:space="0" w:color="auto"/>
            </w:tcBorders>
            <w:vAlign w:val="center"/>
          </w:tcPr>
          <w:p w14:paraId="136A983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B5E0915" w14:textId="77777777" w:rsidR="00E57DAA" w:rsidRDefault="00AC4185">
            <w:pPr>
              <w:autoSpaceDE w:val="0"/>
              <w:autoSpaceDN w:val="0"/>
              <w:adjustRightInd w:val="0"/>
              <w:rPr>
                <w:szCs w:val="21"/>
              </w:rPr>
            </w:pPr>
            <w:r>
              <w:t>浙江虎鹰水泥有限公司</w:t>
            </w:r>
          </w:p>
        </w:tc>
        <w:tc>
          <w:tcPr>
            <w:tcW w:w="633" w:type="pct"/>
            <w:tcBorders>
              <w:top w:val="single" w:sz="4" w:space="0" w:color="auto"/>
              <w:left w:val="single" w:sz="4" w:space="0" w:color="auto"/>
              <w:bottom w:val="single" w:sz="4" w:space="0" w:color="auto"/>
              <w:right w:val="single" w:sz="4" w:space="0" w:color="auto"/>
            </w:tcBorders>
          </w:tcPr>
          <w:p w14:paraId="618F770B"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7D6CA1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614DB08" w14:textId="77777777" w:rsidR="00E57DAA" w:rsidRDefault="00AC4185">
            <w:pPr>
              <w:autoSpaceDE w:val="0"/>
              <w:autoSpaceDN w:val="0"/>
              <w:adjustRightInd w:val="0"/>
              <w:jc w:val="right"/>
              <w:rPr>
                <w:szCs w:val="21"/>
              </w:rPr>
            </w:pPr>
            <w:r>
              <w:t>305,000.00</w:t>
            </w:r>
          </w:p>
        </w:tc>
        <w:tc>
          <w:tcPr>
            <w:tcW w:w="914" w:type="pct"/>
            <w:tcBorders>
              <w:top w:val="single" w:sz="4" w:space="0" w:color="auto"/>
              <w:left w:val="single" w:sz="4" w:space="0" w:color="auto"/>
              <w:bottom w:val="single" w:sz="4" w:space="0" w:color="auto"/>
              <w:right w:val="single" w:sz="4" w:space="0" w:color="auto"/>
            </w:tcBorders>
          </w:tcPr>
          <w:p w14:paraId="49239E98" w14:textId="77777777" w:rsidR="00E57DAA" w:rsidRDefault="00AC4185">
            <w:pPr>
              <w:autoSpaceDE w:val="0"/>
              <w:autoSpaceDN w:val="0"/>
              <w:adjustRightInd w:val="0"/>
              <w:jc w:val="right"/>
              <w:rPr>
                <w:szCs w:val="21"/>
              </w:rPr>
            </w:pPr>
            <w:r>
              <w:t>15,105.00</w:t>
            </w:r>
          </w:p>
        </w:tc>
      </w:tr>
      <w:tr w:rsidR="00E57DAA" w14:paraId="25703EC5" w14:textId="77777777">
        <w:tc>
          <w:tcPr>
            <w:tcW w:w="677" w:type="pct"/>
            <w:tcBorders>
              <w:top w:val="single" w:sz="4" w:space="0" w:color="auto"/>
              <w:left w:val="single" w:sz="4" w:space="0" w:color="auto"/>
              <w:bottom w:val="single" w:sz="4" w:space="0" w:color="auto"/>
              <w:right w:val="single" w:sz="4" w:space="0" w:color="auto"/>
            </w:tcBorders>
            <w:vAlign w:val="center"/>
          </w:tcPr>
          <w:p w14:paraId="59BA90A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54D661C" w14:textId="77777777" w:rsidR="00E57DAA" w:rsidRDefault="00AC4185">
            <w:pPr>
              <w:autoSpaceDE w:val="0"/>
              <w:autoSpaceDN w:val="0"/>
              <w:adjustRightInd w:val="0"/>
              <w:rPr>
                <w:szCs w:val="21"/>
              </w:rPr>
            </w:pPr>
            <w:r>
              <w:t>浙江南方水泥有限公司</w:t>
            </w:r>
          </w:p>
        </w:tc>
        <w:tc>
          <w:tcPr>
            <w:tcW w:w="633" w:type="pct"/>
            <w:tcBorders>
              <w:top w:val="single" w:sz="4" w:space="0" w:color="auto"/>
              <w:left w:val="single" w:sz="4" w:space="0" w:color="auto"/>
              <w:bottom w:val="single" w:sz="4" w:space="0" w:color="auto"/>
              <w:right w:val="single" w:sz="4" w:space="0" w:color="auto"/>
            </w:tcBorders>
          </w:tcPr>
          <w:p w14:paraId="6553268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1F9C12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57443F9"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78606785" w14:textId="77777777" w:rsidR="00E57DAA" w:rsidRDefault="00AC4185">
            <w:pPr>
              <w:autoSpaceDE w:val="0"/>
              <w:autoSpaceDN w:val="0"/>
              <w:adjustRightInd w:val="0"/>
              <w:jc w:val="right"/>
              <w:rPr>
                <w:szCs w:val="21"/>
              </w:rPr>
            </w:pPr>
            <w:r>
              <w:t>50,000.00</w:t>
            </w:r>
          </w:p>
        </w:tc>
      </w:tr>
      <w:tr w:rsidR="00E57DAA" w14:paraId="7094EB13" w14:textId="77777777">
        <w:tc>
          <w:tcPr>
            <w:tcW w:w="677" w:type="pct"/>
            <w:tcBorders>
              <w:top w:val="single" w:sz="4" w:space="0" w:color="auto"/>
              <w:left w:val="single" w:sz="4" w:space="0" w:color="auto"/>
              <w:bottom w:val="single" w:sz="4" w:space="0" w:color="auto"/>
              <w:right w:val="single" w:sz="4" w:space="0" w:color="auto"/>
            </w:tcBorders>
            <w:vAlign w:val="center"/>
          </w:tcPr>
          <w:p w14:paraId="5E24E34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8311C13" w14:textId="77777777" w:rsidR="00E57DAA" w:rsidRDefault="00AC4185">
            <w:pPr>
              <w:autoSpaceDE w:val="0"/>
              <w:autoSpaceDN w:val="0"/>
              <w:adjustRightInd w:val="0"/>
              <w:rPr>
                <w:szCs w:val="21"/>
              </w:rPr>
            </w:pPr>
            <w:r>
              <w:t>中联水泥（山东）研发中心有限公司</w:t>
            </w:r>
          </w:p>
        </w:tc>
        <w:tc>
          <w:tcPr>
            <w:tcW w:w="633" w:type="pct"/>
            <w:tcBorders>
              <w:top w:val="single" w:sz="4" w:space="0" w:color="auto"/>
              <w:left w:val="single" w:sz="4" w:space="0" w:color="auto"/>
              <w:bottom w:val="single" w:sz="4" w:space="0" w:color="auto"/>
              <w:right w:val="single" w:sz="4" w:space="0" w:color="auto"/>
            </w:tcBorders>
          </w:tcPr>
          <w:p w14:paraId="1F0EDE9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87E30F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C28E246" w14:textId="77777777" w:rsidR="00E57DAA" w:rsidRDefault="00AC4185">
            <w:pPr>
              <w:autoSpaceDE w:val="0"/>
              <w:autoSpaceDN w:val="0"/>
              <w:adjustRightInd w:val="0"/>
              <w:jc w:val="right"/>
              <w:rPr>
                <w:szCs w:val="21"/>
              </w:rPr>
            </w:pPr>
            <w:r>
              <w:t>2,712,000.00</w:t>
            </w:r>
          </w:p>
        </w:tc>
        <w:tc>
          <w:tcPr>
            <w:tcW w:w="914" w:type="pct"/>
            <w:tcBorders>
              <w:top w:val="single" w:sz="4" w:space="0" w:color="auto"/>
              <w:left w:val="single" w:sz="4" w:space="0" w:color="auto"/>
              <w:bottom w:val="single" w:sz="4" w:space="0" w:color="auto"/>
              <w:right w:val="single" w:sz="4" w:space="0" w:color="auto"/>
            </w:tcBorders>
          </w:tcPr>
          <w:p w14:paraId="077D64E9" w14:textId="77777777" w:rsidR="00E57DAA" w:rsidRDefault="00AC4185">
            <w:pPr>
              <w:autoSpaceDE w:val="0"/>
              <w:autoSpaceDN w:val="0"/>
              <w:adjustRightInd w:val="0"/>
              <w:jc w:val="right"/>
              <w:rPr>
                <w:szCs w:val="21"/>
              </w:rPr>
            </w:pPr>
            <w:r>
              <w:t>79,900.00</w:t>
            </w:r>
          </w:p>
        </w:tc>
      </w:tr>
      <w:tr w:rsidR="00E57DAA" w14:paraId="0A36BC96" w14:textId="77777777">
        <w:tc>
          <w:tcPr>
            <w:tcW w:w="677" w:type="pct"/>
            <w:tcBorders>
              <w:top w:val="single" w:sz="4" w:space="0" w:color="auto"/>
              <w:left w:val="single" w:sz="4" w:space="0" w:color="auto"/>
              <w:bottom w:val="single" w:sz="4" w:space="0" w:color="auto"/>
              <w:right w:val="single" w:sz="4" w:space="0" w:color="auto"/>
            </w:tcBorders>
            <w:vAlign w:val="center"/>
          </w:tcPr>
          <w:p w14:paraId="1C0B2D18"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73CDA87D"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33C5BB2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3A95E7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39A0E3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8212289" w14:textId="77777777" w:rsidR="00E57DAA" w:rsidRDefault="00AC4185">
            <w:pPr>
              <w:autoSpaceDE w:val="0"/>
              <w:autoSpaceDN w:val="0"/>
              <w:adjustRightInd w:val="0"/>
              <w:jc w:val="right"/>
              <w:rPr>
                <w:szCs w:val="21"/>
              </w:rPr>
            </w:pPr>
            <w:r>
              <w:t xml:space="preserve">　</w:t>
            </w:r>
          </w:p>
        </w:tc>
      </w:tr>
      <w:tr w:rsidR="00E57DAA" w14:paraId="3B602BF1" w14:textId="77777777">
        <w:tc>
          <w:tcPr>
            <w:tcW w:w="677" w:type="pct"/>
            <w:tcBorders>
              <w:top w:val="single" w:sz="4" w:space="0" w:color="auto"/>
              <w:left w:val="single" w:sz="4" w:space="0" w:color="auto"/>
              <w:bottom w:val="single" w:sz="4" w:space="0" w:color="auto"/>
              <w:right w:val="single" w:sz="4" w:space="0" w:color="auto"/>
            </w:tcBorders>
            <w:vAlign w:val="center"/>
          </w:tcPr>
          <w:p w14:paraId="70ED7FA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4766EF" w14:textId="77777777" w:rsidR="00E57DAA" w:rsidRDefault="00AC4185">
            <w:pPr>
              <w:autoSpaceDE w:val="0"/>
              <w:autoSpaceDN w:val="0"/>
              <w:adjustRightInd w:val="0"/>
              <w:rPr>
                <w:szCs w:val="21"/>
              </w:rPr>
            </w:pPr>
            <w:r>
              <w:t>中国建材工业对外经济技术合作有限公司</w:t>
            </w:r>
          </w:p>
        </w:tc>
        <w:tc>
          <w:tcPr>
            <w:tcW w:w="633" w:type="pct"/>
            <w:tcBorders>
              <w:top w:val="single" w:sz="4" w:space="0" w:color="auto"/>
              <w:left w:val="single" w:sz="4" w:space="0" w:color="auto"/>
              <w:bottom w:val="single" w:sz="4" w:space="0" w:color="auto"/>
              <w:right w:val="single" w:sz="4" w:space="0" w:color="auto"/>
            </w:tcBorders>
          </w:tcPr>
          <w:p w14:paraId="6844D86E" w14:textId="77777777" w:rsidR="00E57DAA" w:rsidRDefault="00AC4185">
            <w:pPr>
              <w:autoSpaceDE w:val="0"/>
              <w:autoSpaceDN w:val="0"/>
              <w:adjustRightInd w:val="0"/>
              <w:jc w:val="right"/>
              <w:rPr>
                <w:szCs w:val="21"/>
              </w:rPr>
            </w:pPr>
            <w:r>
              <w:t>28,920,968.32</w:t>
            </w:r>
          </w:p>
        </w:tc>
        <w:tc>
          <w:tcPr>
            <w:tcW w:w="632" w:type="pct"/>
            <w:tcBorders>
              <w:top w:val="single" w:sz="4" w:space="0" w:color="auto"/>
              <w:left w:val="single" w:sz="4" w:space="0" w:color="auto"/>
              <w:bottom w:val="single" w:sz="4" w:space="0" w:color="auto"/>
              <w:right w:val="single" w:sz="4" w:space="0" w:color="auto"/>
            </w:tcBorders>
          </w:tcPr>
          <w:p w14:paraId="342FEC99" w14:textId="77777777" w:rsidR="00E57DAA" w:rsidRDefault="00AC4185">
            <w:pPr>
              <w:autoSpaceDE w:val="0"/>
              <w:autoSpaceDN w:val="0"/>
              <w:adjustRightInd w:val="0"/>
              <w:jc w:val="right"/>
              <w:rPr>
                <w:szCs w:val="21"/>
              </w:rPr>
            </w:pPr>
            <w:r>
              <w:t>28,920,968.32</w:t>
            </w:r>
          </w:p>
        </w:tc>
        <w:tc>
          <w:tcPr>
            <w:tcW w:w="703" w:type="pct"/>
            <w:tcBorders>
              <w:top w:val="single" w:sz="4" w:space="0" w:color="auto"/>
              <w:left w:val="single" w:sz="4" w:space="0" w:color="auto"/>
              <w:bottom w:val="single" w:sz="4" w:space="0" w:color="auto"/>
              <w:right w:val="single" w:sz="4" w:space="0" w:color="auto"/>
            </w:tcBorders>
            <w:vAlign w:val="center"/>
          </w:tcPr>
          <w:p w14:paraId="2D946DFE" w14:textId="77777777" w:rsidR="00E57DAA" w:rsidRDefault="00AC4185">
            <w:pPr>
              <w:autoSpaceDE w:val="0"/>
              <w:autoSpaceDN w:val="0"/>
              <w:adjustRightInd w:val="0"/>
              <w:jc w:val="right"/>
              <w:rPr>
                <w:szCs w:val="21"/>
              </w:rPr>
            </w:pPr>
            <w:r>
              <w:t>28,920,968.32</w:t>
            </w:r>
          </w:p>
        </w:tc>
        <w:tc>
          <w:tcPr>
            <w:tcW w:w="914" w:type="pct"/>
            <w:tcBorders>
              <w:top w:val="single" w:sz="4" w:space="0" w:color="auto"/>
              <w:left w:val="single" w:sz="4" w:space="0" w:color="auto"/>
              <w:bottom w:val="single" w:sz="4" w:space="0" w:color="auto"/>
              <w:right w:val="single" w:sz="4" w:space="0" w:color="auto"/>
            </w:tcBorders>
            <w:vAlign w:val="center"/>
          </w:tcPr>
          <w:p w14:paraId="324C7CE5" w14:textId="77777777" w:rsidR="00E57DAA" w:rsidRDefault="00AC4185">
            <w:pPr>
              <w:autoSpaceDE w:val="0"/>
              <w:autoSpaceDN w:val="0"/>
              <w:adjustRightInd w:val="0"/>
              <w:jc w:val="right"/>
              <w:rPr>
                <w:szCs w:val="21"/>
              </w:rPr>
            </w:pPr>
            <w:r>
              <w:t>28,920,968.32</w:t>
            </w:r>
          </w:p>
        </w:tc>
      </w:tr>
      <w:tr w:rsidR="00E57DAA" w14:paraId="48F3C1E8" w14:textId="77777777">
        <w:tc>
          <w:tcPr>
            <w:tcW w:w="677" w:type="pct"/>
            <w:tcBorders>
              <w:top w:val="single" w:sz="4" w:space="0" w:color="auto"/>
              <w:left w:val="single" w:sz="4" w:space="0" w:color="auto"/>
              <w:bottom w:val="single" w:sz="4" w:space="0" w:color="auto"/>
              <w:right w:val="single" w:sz="4" w:space="0" w:color="auto"/>
            </w:tcBorders>
            <w:vAlign w:val="center"/>
          </w:tcPr>
          <w:p w14:paraId="738292B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3437256" w14:textId="77777777" w:rsidR="00E57DAA" w:rsidRDefault="00AC4185">
            <w:pPr>
              <w:autoSpaceDE w:val="0"/>
              <w:autoSpaceDN w:val="0"/>
              <w:adjustRightInd w:val="0"/>
              <w:rPr>
                <w:szCs w:val="21"/>
              </w:rPr>
            </w:pPr>
            <w:r>
              <w:t>中国中材集团有限公司</w:t>
            </w:r>
          </w:p>
        </w:tc>
        <w:tc>
          <w:tcPr>
            <w:tcW w:w="633" w:type="pct"/>
            <w:tcBorders>
              <w:top w:val="single" w:sz="4" w:space="0" w:color="auto"/>
              <w:left w:val="single" w:sz="4" w:space="0" w:color="auto"/>
              <w:bottom w:val="single" w:sz="4" w:space="0" w:color="auto"/>
              <w:right w:val="single" w:sz="4" w:space="0" w:color="auto"/>
            </w:tcBorders>
          </w:tcPr>
          <w:p w14:paraId="7D8630D2" w14:textId="77777777" w:rsidR="00E57DAA" w:rsidRDefault="00AC4185">
            <w:pPr>
              <w:autoSpaceDE w:val="0"/>
              <w:autoSpaceDN w:val="0"/>
              <w:adjustRightInd w:val="0"/>
              <w:jc w:val="right"/>
              <w:rPr>
                <w:szCs w:val="21"/>
              </w:rPr>
            </w:pPr>
            <w:r>
              <w:t>429,830.73</w:t>
            </w:r>
          </w:p>
        </w:tc>
        <w:tc>
          <w:tcPr>
            <w:tcW w:w="632" w:type="pct"/>
            <w:tcBorders>
              <w:top w:val="single" w:sz="4" w:space="0" w:color="auto"/>
              <w:left w:val="single" w:sz="4" w:space="0" w:color="auto"/>
              <w:bottom w:val="single" w:sz="4" w:space="0" w:color="auto"/>
              <w:right w:val="single" w:sz="4" w:space="0" w:color="auto"/>
            </w:tcBorders>
          </w:tcPr>
          <w:p w14:paraId="200BD191" w14:textId="77777777" w:rsidR="00E57DAA" w:rsidRDefault="00AC4185">
            <w:pPr>
              <w:autoSpaceDE w:val="0"/>
              <w:autoSpaceDN w:val="0"/>
              <w:adjustRightInd w:val="0"/>
              <w:jc w:val="right"/>
              <w:rPr>
                <w:szCs w:val="21"/>
              </w:rPr>
            </w:pPr>
            <w:r>
              <w:t>429,830.73</w:t>
            </w:r>
          </w:p>
        </w:tc>
        <w:tc>
          <w:tcPr>
            <w:tcW w:w="703" w:type="pct"/>
            <w:tcBorders>
              <w:top w:val="single" w:sz="4" w:space="0" w:color="auto"/>
              <w:left w:val="single" w:sz="4" w:space="0" w:color="auto"/>
              <w:bottom w:val="single" w:sz="4" w:space="0" w:color="auto"/>
              <w:right w:val="single" w:sz="4" w:space="0" w:color="auto"/>
            </w:tcBorders>
          </w:tcPr>
          <w:p w14:paraId="00736319" w14:textId="77777777" w:rsidR="00E57DAA" w:rsidRDefault="00AC4185">
            <w:pPr>
              <w:autoSpaceDE w:val="0"/>
              <w:autoSpaceDN w:val="0"/>
              <w:adjustRightInd w:val="0"/>
              <w:jc w:val="right"/>
              <w:rPr>
                <w:szCs w:val="21"/>
              </w:rPr>
            </w:pPr>
            <w:r>
              <w:t>429,830.72</w:t>
            </w:r>
          </w:p>
        </w:tc>
        <w:tc>
          <w:tcPr>
            <w:tcW w:w="914" w:type="pct"/>
            <w:tcBorders>
              <w:top w:val="single" w:sz="4" w:space="0" w:color="auto"/>
              <w:left w:val="single" w:sz="4" w:space="0" w:color="auto"/>
              <w:bottom w:val="single" w:sz="4" w:space="0" w:color="auto"/>
              <w:right w:val="single" w:sz="4" w:space="0" w:color="auto"/>
            </w:tcBorders>
          </w:tcPr>
          <w:p w14:paraId="65AD6B21" w14:textId="77777777" w:rsidR="00E57DAA" w:rsidRDefault="00AC4185">
            <w:pPr>
              <w:autoSpaceDE w:val="0"/>
              <w:autoSpaceDN w:val="0"/>
              <w:adjustRightInd w:val="0"/>
              <w:jc w:val="right"/>
              <w:rPr>
                <w:szCs w:val="21"/>
              </w:rPr>
            </w:pPr>
            <w:r>
              <w:t>359,579.18</w:t>
            </w:r>
          </w:p>
        </w:tc>
      </w:tr>
      <w:tr w:rsidR="00E57DAA" w14:paraId="43E780BF" w14:textId="77777777">
        <w:tc>
          <w:tcPr>
            <w:tcW w:w="677" w:type="pct"/>
            <w:tcBorders>
              <w:top w:val="single" w:sz="4" w:space="0" w:color="auto"/>
              <w:left w:val="single" w:sz="4" w:space="0" w:color="auto"/>
              <w:bottom w:val="single" w:sz="4" w:space="0" w:color="auto"/>
              <w:right w:val="single" w:sz="4" w:space="0" w:color="auto"/>
            </w:tcBorders>
            <w:vAlign w:val="center"/>
          </w:tcPr>
          <w:p w14:paraId="4A62BC5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8DF63DD" w14:textId="77777777" w:rsidR="00E57DAA" w:rsidRDefault="00AC4185">
            <w:pPr>
              <w:autoSpaceDE w:val="0"/>
              <w:autoSpaceDN w:val="0"/>
              <w:adjustRightInd w:val="0"/>
              <w:rPr>
                <w:szCs w:val="21"/>
              </w:rPr>
            </w:pPr>
            <w:r>
              <w:t>武汉建筑材料工业设计研究院有限公司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3D06F977" w14:textId="77777777" w:rsidR="00E57DAA" w:rsidRDefault="00AC4185">
            <w:pPr>
              <w:autoSpaceDE w:val="0"/>
              <w:autoSpaceDN w:val="0"/>
              <w:adjustRightInd w:val="0"/>
              <w:jc w:val="right"/>
              <w:rPr>
                <w:szCs w:val="21"/>
              </w:rPr>
            </w:pPr>
            <w:r>
              <w:t>150,000.00</w:t>
            </w:r>
          </w:p>
        </w:tc>
        <w:tc>
          <w:tcPr>
            <w:tcW w:w="632" w:type="pct"/>
            <w:tcBorders>
              <w:top w:val="single" w:sz="4" w:space="0" w:color="auto"/>
              <w:left w:val="single" w:sz="4" w:space="0" w:color="auto"/>
              <w:bottom w:val="single" w:sz="4" w:space="0" w:color="auto"/>
              <w:right w:val="single" w:sz="4" w:space="0" w:color="auto"/>
            </w:tcBorders>
          </w:tcPr>
          <w:p w14:paraId="4F9D1E73" w14:textId="77777777" w:rsidR="00E57DAA" w:rsidRDefault="00AC4185">
            <w:pPr>
              <w:autoSpaceDE w:val="0"/>
              <w:autoSpaceDN w:val="0"/>
              <w:adjustRightInd w:val="0"/>
              <w:jc w:val="right"/>
              <w:rPr>
                <w:szCs w:val="21"/>
              </w:rPr>
            </w:pPr>
            <w:r>
              <w:t>38,300.00</w:t>
            </w:r>
          </w:p>
        </w:tc>
        <w:tc>
          <w:tcPr>
            <w:tcW w:w="703" w:type="pct"/>
            <w:tcBorders>
              <w:top w:val="single" w:sz="4" w:space="0" w:color="auto"/>
              <w:left w:val="single" w:sz="4" w:space="0" w:color="auto"/>
              <w:bottom w:val="single" w:sz="4" w:space="0" w:color="auto"/>
              <w:right w:val="single" w:sz="4" w:space="0" w:color="auto"/>
            </w:tcBorders>
          </w:tcPr>
          <w:p w14:paraId="59A601E9"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50A42335" w14:textId="77777777" w:rsidR="00E57DAA" w:rsidRDefault="00AC4185">
            <w:pPr>
              <w:autoSpaceDE w:val="0"/>
              <w:autoSpaceDN w:val="0"/>
              <w:adjustRightInd w:val="0"/>
              <w:jc w:val="right"/>
              <w:rPr>
                <w:szCs w:val="21"/>
              </w:rPr>
            </w:pPr>
            <w:r>
              <w:t>40,850.00</w:t>
            </w:r>
          </w:p>
        </w:tc>
      </w:tr>
      <w:tr w:rsidR="00E57DAA" w14:paraId="79F918C1" w14:textId="77777777">
        <w:tc>
          <w:tcPr>
            <w:tcW w:w="677" w:type="pct"/>
            <w:tcBorders>
              <w:top w:val="single" w:sz="4" w:space="0" w:color="auto"/>
              <w:left w:val="single" w:sz="4" w:space="0" w:color="auto"/>
              <w:bottom w:val="single" w:sz="4" w:space="0" w:color="auto"/>
              <w:right w:val="single" w:sz="4" w:space="0" w:color="auto"/>
            </w:tcBorders>
            <w:vAlign w:val="center"/>
          </w:tcPr>
          <w:p w14:paraId="2342E6B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899F7AF" w14:textId="77777777" w:rsidR="00E57DAA" w:rsidRDefault="00AC4185">
            <w:pPr>
              <w:autoSpaceDE w:val="0"/>
              <w:autoSpaceDN w:val="0"/>
              <w:adjustRightInd w:val="0"/>
              <w:rPr>
                <w:szCs w:val="21"/>
              </w:rPr>
            </w:pPr>
            <w:r>
              <w:t>国检测试控股集团北京生态环境保护技术研究院有限公司</w:t>
            </w:r>
          </w:p>
        </w:tc>
        <w:tc>
          <w:tcPr>
            <w:tcW w:w="633" w:type="pct"/>
            <w:tcBorders>
              <w:top w:val="single" w:sz="4" w:space="0" w:color="auto"/>
              <w:left w:val="single" w:sz="4" w:space="0" w:color="auto"/>
              <w:bottom w:val="single" w:sz="4" w:space="0" w:color="auto"/>
              <w:right w:val="single" w:sz="4" w:space="0" w:color="auto"/>
            </w:tcBorders>
          </w:tcPr>
          <w:p w14:paraId="25BFE26C" w14:textId="77777777" w:rsidR="00E57DAA" w:rsidRDefault="00AC4185">
            <w:pPr>
              <w:autoSpaceDE w:val="0"/>
              <w:autoSpaceDN w:val="0"/>
              <w:adjustRightInd w:val="0"/>
              <w:jc w:val="right"/>
              <w:rPr>
                <w:szCs w:val="21"/>
              </w:rPr>
            </w:pPr>
            <w:r>
              <w:t>90,760.00</w:t>
            </w:r>
          </w:p>
        </w:tc>
        <w:tc>
          <w:tcPr>
            <w:tcW w:w="632" w:type="pct"/>
            <w:tcBorders>
              <w:top w:val="single" w:sz="4" w:space="0" w:color="auto"/>
              <w:left w:val="single" w:sz="4" w:space="0" w:color="auto"/>
              <w:bottom w:val="single" w:sz="4" w:space="0" w:color="auto"/>
              <w:right w:val="single" w:sz="4" w:space="0" w:color="auto"/>
            </w:tcBorders>
          </w:tcPr>
          <w:p w14:paraId="4D5E07A6" w14:textId="77777777" w:rsidR="00E57DAA" w:rsidRDefault="00AC4185">
            <w:pPr>
              <w:autoSpaceDE w:val="0"/>
              <w:autoSpaceDN w:val="0"/>
              <w:adjustRightInd w:val="0"/>
              <w:jc w:val="right"/>
              <w:rPr>
                <w:szCs w:val="21"/>
              </w:rPr>
            </w:pPr>
            <w:r>
              <w:t>2,269.00</w:t>
            </w:r>
          </w:p>
        </w:tc>
        <w:tc>
          <w:tcPr>
            <w:tcW w:w="703" w:type="pct"/>
            <w:tcBorders>
              <w:top w:val="single" w:sz="4" w:space="0" w:color="auto"/>
              <w:left w:val="single" w:sz="4" w:space="0" w:color="auto"/>
              <w:bottom w:val="single" w:sz="4" w:space="0" w:color="auto"/>
              <w:right w:val="single" w:sz="4" w:space="0" w:color="auto"/>
            </w:tcBorders>
          </w:tcPr>
          <w:p w14:paraId="2B5850E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624B9CE" w14:textId="77777777" w:rsidR="00E57DAA" w:rsidRDefault="00AC4185">
            <w:pPr>
              <w:autoSpaceDE w:val="0"/>
              <w:autoSpaceDN w:val="0"/>
              <w:adjustRightInd w:val="0"/>
              <w:jc w:val="right"/>
              <w:rPr>
                <w:szCs w:val="21"/>
              </w:rPr>
            </w:pPr>
            <w:r>
              <w:t xml:space="preserve">　</w:t>
            </w:r>
          </w:p>
        </w:tc>
      </w:tr>
      <w:tr w:rsidR="00E57DAA" w14:paraId="7D42835B" w14:textId="77777777">
        <w:tc>
          <w:tcPr>
            <w:tcW w:w="677" w:type="pct"/>
            <w:tcBorders>
              <w:top w:val="single" w:sz="4" w:space="0" w:color="auto"/>
              <w:left w:val="single" w:sz="4" w:space="0" w:color="auto"/>
              <w:bottom w:val="single" w:sz="4" w:space="0" w:color="auto"/>
              <w:right w:val="single" w:sz="4" w:space="0" w:color="auto"/>
            </w:tcBorders>
            <w:vAlign w:val="center"/>
          </w:tcPr>
          <w:p w14:paraId="6437AD4E"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70079A7" w14:textId="77777777" w:rsidR="00E57DAA" w:rsidRDefault="00AC4185">
            <w:pPr>
              <w:autoSpaceDE w:val="0"/>
              <w:autoSpaceDN w:val="0"/>
              <w:adjustRightInd w:val="0"/>
              <w:rPr>
                <w:szCs w:val="21"/>
              </w:rPr>
            </w:pPr>
            <w:r>
              <w:t>广州华磊建筑基础工程有限公司</w:t>
            </w:r>
          </w:p>
        </w:tc>
        <w:tc>
          <w:tcPr>
            <w:tcW w:w="633" w:type="pct"/>
            <w:tcBorders>
              <w:top w:val="single" w:sz="4" w:space="0" w:color="auto"/>
              <w:left w:val="single" w:sz="4" w:space="0" w:color="auto"/>
              <w:bottom w:val="single" w:sz="4" w:space="0" w:color="auto"/>
              <w:right w:val="single" w:sz="4" w:space="0" w:color="auto"/>
            </w:tcBorders>
          </w:tcPr>
          <w:p w14:paraId="7847E038" w14:textId="77777777" w:rsidR="00E57DAA" w:rsidRDefault="00AC4185">
            <w:pPr>
              <w:autoSpaceDE w:val="0"/>
              <w:autoSpaceDN w:val="0"/>
              <w:adjustRightInd w:val="0"/>
              <w:jc w:val="right"/>
              <w:rPr>
                <w:szCs w:val="21"/>
              </w:rPr>
            </w:pPr>
            <w:r>
              <w:t>77,460.00</w:t>
            </w:r>
          </w:p>
        </w:tc>
        <w:tc>
          <w:tcPr>
            <w:tcW w:w="632" w:type="pct"/>
            <w:tcBorders>
              <w:top w:val="single" w:sz="4" w:space="0" w:color="auto"/>
              <w:left w:val="single" w:sz="4" w:space="0" w:color="auto"/>
              <w:bottom w:val="single" w:sz="4" w:space="0" w:color="auto"/>
              <w:right w:val="single" w:sz="4" w:space="0" w:color="auto"/>
            </w:tcBorders>
          </w:tcPr>
          <w:p w14:paraId="7871BB67" w14:textId="77777777" w:rsidR="00E57DAA" w:rsidRDefault="00AC4185">
            <w:pPr>
              <w:autoSpaceDE w:val="0"/>
              <w:autoSpaceDN w:val="0"/>
              <w:adjustRightInd w:val="0"/>
              <w:jc w:val="right"/>
              <w:rPr>
                <w:szCs w:val="21"/>
              </w:rPr>
            </w:pPr>
            <w:r>
              <w:t>6,971.40</w:t>
            </w:r>
          </w:p>
        </w:tc>
        <w:tc>
          <w:tcPr>
            <w:tcW w:w="703" w:type="pct"/>
            <w:tcBorders>
              <w:top w:val="single" w:sz="4" w:space="0" w:color="auto"/>
              <w:left w:val="single" w:sz="4" w:space="0" w:color="auto"/>
              <w:bottom w:val="single" w:sz="4" w:space="0" w:color="auto"/>
              <w:right w:val="single" w:sz="4" w:space="0" w:color="auto"/>
            </w:tcBorders>
          </w:tcPr>
          <w:p w14:paraId="3E2F506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82BA415" w14:textId="77777777" w:rsidR="00E57DAA" w:rsidRDefault="00AC4185">
            <w:pPr>
              <w:autoSpaceDE w:val="0"/>
              <w:autoSpaceDN w:val="0"/>
              <w:adjustRightInd w:val="0"/>
              <w:jc w:val="right"/>
              <w:rPr>
                <w:szCs w:val="21"/>
              </w:rPr>
            </w:pPr>
            <w:r>
              <w:t xml:space="preserve">　</w:t>
            </w:r>
          </w:p>
        </w:tc>
      </w:tr>
      <w:tr w:rsidR="00E57DAA" w14:paraId="64C80DED" w14:textId="77777777">
        <w:tc>
          <w:tcPr>
            <w:tcW w:w="677" w:type="pct"/>
            <w:tcBorders>
              <w:top w:val="single" w:sz="4" w:space="0" w:color="auto"/>
              <w:left w:val="single" w:sz="4" w:space="0" w:color="auto"/>
              <w:bottom w:val="single" w:sz="4" w:space="0" w:color="auto"/>
              <w:right w:val="single" w:sz="4" w:space="0" w:color="auto"/>
            </w:tcBorders>
            <w:vAlign w:val="center"/>
          </w:tcPr>
          <w:p w14:paraId="7BB6301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75EFFAE" w14:textId="77777777" w:rsidR="00E57DAA" w:rsidRDefault="00AC4185">
            <w:pPr>
              <w:autoSpaceDE w:val="0"/>
              <w:autoSpaceDN w:val="0"/>
              <w:adjustRightInd w:val="0"/>
              <w:rPr>
                <w:szCs w:val="21"/>
              </w:rPr>
            </w:pPr>
            <w:r>
              <w:t>中材集团科技开发中心有限公司</w:t>
            </w:r>
          </w:p>
        </w:tc>
        <w:tc>
          <w:tcPr>
            <w:tcW w:w="633" w:type="pct"/>
            <w:tcBorders>
              <w:top w:val="single" w:sz="4" w:space="0" w:color="auto"/>
              <w:left w:val="single" w:sz="4" w:space="0" w:color="auto"/>
              <w:bottom w:val="single" w:sz="4" w:space="0" w:color="auto"/>
              <w:right w:val="single" w:sz="4" w:space="0" w:color="auto"/>
            </w:tcBorders>
          </w:tcPr>
          <w:p w14:paraId="3283614C" w14:textId="77777777" w:rsidR="00E57DAA" w:rsidRDefault="00AC4185">
            <w:pPr>
              <w:autoSpaceDE w:val="0"/>
              <w:autoSpaceDN w:val="0"/>
              <w:adjustRightInd w:val="0"/>
              <w:jc w:val="right"/>
              <w:rPr>
                <w:szCs w:val="21"/>
              </w:rPr>
            </w:pPr>
            <w:r>
              <w:t>15,616.20</w:t>
            </w:r>
          </w:p>
        </w:tc>
        <w:tc>
          <w:tcPr>
            <w:tcW w:w="632" w:type="pct"/>
            <w:tcBorders>
              <w:top w:val="single" w:sz="4" w:space="0" w:color="auto"/>
              <w:left w:val="single" w:sz="4" w:space="0" w:color="auto"/>
              <w:bottom w:val="single" w:sz="4" w:space="0" w:color="auto"/>
              <w:right w:val="single" w:sz="4" w:space="0" w:color="auto"/>
            </w:tcBorders>
          </w:tcPr>
          <w:p w14:paraId="75386517" w14:textId="77777777" w:rsidR="00E57DAA" w:rsidRDefault="00AC4185">
            <w:pPr>
              <w:autoSpaceDE w:val="0"/>
              <w:autoSpaceDN w:val="0"/>
              <w:adjustRightInd w:val="0"/>
              <w:jc w:val="right"/>
              <w:rPr>
                <w:szCs w:val="21"/>
              </w:rPr>
            </w:pPr>
            <w:r>
              <w:t>15,616.20</w:t>
            </w:r>
          </w:p>
        </w:tc>
        <w:tc>
          <w:tcPr>
            <w:tcW w:w="703" w:type="pct"/>
            <w:tcBorders>
              <w:top w:val="single" w:sz="4" w:space="0" w:color="auto"/>
              <w:left w:val="single" w:sz="4" w:space="0" w:color="auto"/>
              <w:bottom w:val="single" w:sz="4" w:space="0" w:color="auto"/>
              <w:right w:val="single" w:sz="4" w:space="0" w:color="auto"/>
            </w:tcBorders>
          </w:tcPr>
          <w:p w14:paraId="0F8B244F" w14:textId="77777777" w:rsidR="00E57DAA" w:rsidRDefault="00AC4185">
            <w:pPr>
              <w:autoSpaceDE w:val="0"/>
              <w:autoSpaceDN w:val="0"/>
              <w:adjustRightInd w:val="0"/>
              <w:jc w:val="right"/>
              <w:rPr>
                <w:szCs w:val="21"/>
              </w:rPr>
            </w:pPr>
            <w:r>
              <w:t>15,616.20</w:t>
            </w:r>
          </w:p>
        </w:tc>
        <w:tc>
          <w:tcPr>
            <w:tcW w:w="914" w:type="pct"/>
            <w:tcBorders>
              <w:top w:val="single" w:sz="4" w:space="0" w:color="auto"/>
              <w:left w:val="single" w:sz="4" w:space="0" w:color="auto"/>
              <w:bottom w:val="single" w:sz="4" w:space="0" w:color="auto"/>
              <w:right w:val="single" w:sz="4" w:space="0" w:color="auto"/>
            </w:tcBorders>
          </w:tcPr>
          <w:p w14:paraId="67FCB567" w14:textId="77777777" w:rsidR="00E57DAA" w:rsidRDefault="00AC4185">
            <w:pPr>
              <w:autoSpaceDE w:val="0"/>
              <w:autoSpaceDN w:val="0"/>
              <w:adjustRightInd w:val="0"/>
              <w:jc w:val="right"/>
              <w:rPr>
                <w:szCs w:val="21"/>
              </w:rPr>
            </w:pPr>
            <w:r>
              <w:t>12,758.44</w:t>
            </w:r>
          </w:p>
        </w:tc>
      </w:tr>
      <w:tr w:rsidR="00E57DAA" w14:paraId="6A837C0D" w14:textId="77777777">
        <w:tc>
          <w:tcPr>
            <w:tcW w:w="677" w:type="pct"/>
            <w:tcBorders>
              <w:top w:val="single" w:sz="4" w:space="0" w:color="auto"/>
              <w:left w:val="single" w:sz="4" w:space="0" w:color="auto"/>
              <w:bottom w:val="single" w:sz="4" w:space="0" w:color="auto"/>
              <w:right w:val="single" w:sz="4" w:space="0" w:color="auto"/>
            </w:tcBorders>
            <w:vAlign w:val="center"/>
          </w:tcPr>
          <w:p w14:paraId="69CB314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32F9956" w14:textId="77777777" w:rsidR="00E57DAA" w:rsidRDefault="00AC4185">
            <w:pPr>
              <w:autoSpaceDE w:val="0"/>
              <w:autoSpaceDN w:val="0"/>
              <w:adjustRightInd w:val="0"/>
              <w:rPr>
                <w:szCs w:val="21"/>
              </w:rPr>
            </w:pPr>
            <w:r>
              <w:t>凯盛重工有限公司</w:t>
            </w:r>
          </w:p>
        </w:tc>
        <w:tc>
          <w:tcPr>
            <w:tcW w:w="633" w:type="pct"/>
            <w:tcBorders>
              <w:top w:val="single" w:sz="4" w:space="0" w:color="auto"/>
              <w:left w:val="single" w:sz="4" w:space="0" w:color="auto"/>
              <w:bottom w:val="single" w:sz="4" w:space="0" w:color="auto"/>
              <w:right w:val="single" w:sz="4" w:space="0" w:color="auto"/>
            </w:tcBorders>
          </w:tcPr>
          <w:p w14:paraId="441A58D3" w14:textId="77777777" w:rsidR="00E57DAA" w:rsidRDefault="00AC4185">
            <w:pPr>
              <w:autoSpaceDE w:val="0"/>
              <w:autoSpaceDN w:val="0"/>
              <w:adjustRightInd w:val="0"/>
              <w:jc w:val="right"/>
              <w:rPr>
                <w:szCs w:val="21"/>
              </w:rPr>
            </w:pPr>
            <w:r>
              <w:t>5,000.00</w:t>
            </w:r>
          </w:p>
        </w:tc>
        <w:tc>
          <w:tcPr>
            <w:tcW w:w="632" w:type="pct"/>
            <w:tcBorders>
              <w:top w:val="single" w:sz="4" w:space="0" w:color="auto"/>
              <w:left w:val="single" w:sz="4" w:space="0" w:color="auto"/>
              <w:bottom w:val="single" w:sz="4" w:space="0" w:color="auto"/>
              <w:right w:val="single" w:sz="4" w:space="0" w:color="auto"/>
            </w:tcBorders>
          </w:tcPr>
          <w:p w14:paraId="41CE75A9" w14:textId="77777777" w:rsidR="00E57DAA" w:rsidRDefault="00AC4185">
            <w:pPr>
              <w:autoSpaceDE w:val="0"/>
              <w:autoSpaceDN w:val="0"/>
              <w:adjustRightInd w:val="0"/>
              <w:jc w:val="right"/>
              <w:rPr>
                <w:szCs w:val="21"/>
              </w:rPr>
            </w:pPr>
            <w:r>
              <w:t>100</w:t>
            </w:r>
          </w:p>
        </w:tc>
        <w:tc>
          <w:tcPr>
            <w:tcW w:w="703" w:type="pct"/>
            <w:tcBorders>
              <w:top w:val="single" w:sz="4" w:space="0" w:color="auto"/>
              <w:left w:val="single" w:sz="4" w:space="0" w:color="auto"/>
              <w:bottom w:val="single" w:sz="4" w:space="0" w:color="auto"/>
              <w:right w:val="single" w:sz="4" w:space="0" w:color="auto"/>
            </w:tcBorders>
          </w:tcPr>
          <w:p w14:paraId="2884BA8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6F47043" w14:textId="77777777" w:rsidR="00E57DAA" w:rsidRDefault="00AC4185">
            <w:pPr>
              <w:autoSpaceDE w:val="0"/>
              <w:autoSpaceDN w:val="0"/>
              <w:adjustRightInd w:val="0"/>
              <w:jc w:val="right"/>
              <w:rPr>
                <w:szCs w:val="21"/>
              </w:rPr>
            </w:pPr>
            <w:r>
              <w:t xml:space="preserve">　</w:t>
            </w:r>
          </w:p>
        </w:tc>
      </w:tr>
      <w:tr w:rsidR="00E57DAA" w14:paraId="3CBE0604" w14:textId="77777777">
        <w:tc>
          <w:tcPr>
            <w:tcW w:w="677" w:type="pct"/>
            <w:tcBorders>
              <w:top w:val="single" w:sz="4" w:space="0" w:color="auto"/>
              <w:left w:val="single" w:sz="4" w:space="0" w:color="auto"/>
              <w:bottom w:val="single" w:sz="4" w:space="0" w:color="auto"/>
              <w:right w:val="single" w:sz="4" w:space="0" w:color="auto"/>
            </w:tcBorders>
            <w:vAlign w:val="center"/>
          </w:tcPr>
          <w:p w14:paraId="513AE40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B4AAA32" w14:textId="77777777" w:rsidR="00E57DAA" w:rsidRDefault="00AC4185">
            <w:pPr>
              <w:autoSpaceDE w:val="0"/>
              <w:autoSpaceDN w:val="0"/>
              <w:adjustRightInd w:val="0"/>
              <w:rPr>
                <w:szCs w:val="21"/>
              </w:rPr>
            </w:pPr>
            <w:r>
              <w:t>中国建材集团有限公司</w:t>
            </w:r>
          </w:p>
        </w:tc>
        <w:tc>
          <w:tcPr>
            <w:tcW w:w="633" w:type="pct"/>
            <w:tcBorders>
              <w:top w:val="single" w:sz="4" w:space="0" w:color="auto"/>
              <w:left w:val="single" w:sz="4" w:space="0" w:color="auto"/>
              <w:bottom w:val="single" w:sz="4" w:space="0" w:color="auto"/>
              <w:right w:val="single" w:sz="4" w:space="0" w:color="auto"/>
            </w:tcBorders>
          </w:tcPr>
          <w:p w14:paraId="5A702F35" w14:textId="77777777" w:rsidR="00E57DAA" w:rsidRDefault="00AC4185">
            <w:pPr>
              <w:autoSpaceDE w:val="0"/>
              <w:autoSpaceDN w:val="0"/>
              <w:adjustRightInd w:val="0"/>
              <w:jc w:val="right"/>
              <w:rPr>
                <w:szCs w:val="21"/>
              </w:rPr>
            </w:pPr>
            <w:r>
              <w:t>2,000.00</w:t>
            </w:r>
          </w:p>
        </w:tc>
        <w:tc>
          <w:tcPr>
            <w:tcW w:w="632" w:type="pct"/>
            <w:tcBorders>
              <w:top w:val="single" w:sz="4" w:space="0" w:color="auto"/>
              <w:left w:val="single" w:sz="4" w:space="0" w:color="auto"/>
              <w:bottom w:val="single" w:sz="4" w:space="0" w:color="auto"/>
              <w:right w:val="single" w:sz="4" w:space="0" w:color="auto"/>
            </w:tcBorders>
          </w:tcPr>
          <w:p w14:paraId="1CCFE570" w14:textId="77777777" w:rsidR="00E57DAA" w:rsidRDefault="00AC4185">
            <w:pPr>
              <w:autoSpaceDE w:val="0"/>
              <w:autoSpaceDN w:val="0"/>
              <w:adjustRightInd w:val="0"/>
              <w:jc w:val="right"/>
              <w:rPr>
                <w:szCs w:val="21"/>
              </w:rPr>
            </w:pPr>
            <w:r>
              <w:t>658</w:t>
            </w:r>
          </w:p>
        </w:tc>
        <w:tc>
          <w:tcPr>
            <w:tcW w:w="703" w:type="pct"/>
            <w:tcBorders>
              <w:top w:val="single" w:sz="4" w:space="0" w:color="auto"/>
              <w:left w:val="single" w:sz="4" w:space="0" w:color="auto"/>
              <w:bottom w:val="single" w:sz="4" w:space="0" w:color="auto"/>
              <w:right w:val="single" w:sz="4" w:space="0" w:color="auto"/>
            </w:tcBorders>
          </w:tcPr>
          <w:p w14:paraId="6EA1C3B7" w14:textId="77777777" w:rsidR="00E57DAA" w:rsidRDefault="00AC4185">
            <w:pPr>
              <w:autoSpaceDE w:val="0"/>
              <w:autoSpaceDN w:val="0"/>
              <w:adjustRightInd w:val="0"/>
              <w:jc w:val="right"/>
              <w:rPr>
                <w:szCs w:val="21"/>
              </w:rPr>
            </w:pPr>
            <w:r>
              <w:t>2,000.00</w:t>
            </w:r>
          </w:p>
        </w:tc>
        <w:tc>
          <w:tcPr>
            <w:tcW w:w="914" w:type="pct"/>
            <w:tcBorders>
              <w:top w:val="single" w:sz="4" w:space="0" w:color="auto"/>
              <w:left w:val="single" w:sz="4" w:space="0" w:color="auto"/>
              <w:bottom w:val="single" w:sz="4" w:space="0" w:color="auto"/>
              <w:right w:val="single" w:sz="4" w:space="0" w:color="auto"/>
            </w:tcBorders>
          </w:tcPr>
          <w:p w14:paraId="4EDE2F01" w14:textId="77777777" w:rsidR="00E57DAA" w:rsidRDefault="00AC4185">
            <w:pPr>
              <w:autoSpaceDE w:val="0"/>
              <w:autoSpaceDN w:val="0"/>
              <w:adjustRightInd w:val="0"/>
              <w:jc w:val="right"/>
              <w:rPr>
                <w:szCs w:val="21"/>
              </w:rPr>
            </w:pPr>
            <w:r>
              <w:t>346</w:t>
            </w:r>
          </w:p>
        </w:tc>
      </w:tr>
      <w:tr w:rsidR="00E57DAA" w14:paraId="50AE0135" w14:textId="77777777">
        <w:tc>
          <w:tcPr>
            <w:tcW w:w="677" w:type="pct"/>
            <w:tcBorders>
              <w:top w:val="single" w:sz="4" w:space="0" w:color="auto"/>
              <w:left w:val="single" w:sz="4" w:space="0" w:color="auto"/>
              <w:bottom w:val="single" w:sz="4" w:space="0" w:color="auto"/>
              <w:right w:val="single" w:sz="4" w:space="0" w:color="auto"/>
            </w:tcBorders>
            <w:vAlign w:val="center"/>
          </w:tcPr>
          <w:p w14:paraId="60F99A5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2A237F2" w14:textId="77777777" w:rsidR="00E57DAA" w:rsidRDefault="00AC4185">
            <w:pPr>
              <w:autoSpaceDE w:val="0"/>
              <w:autoSpaceDN w:val="0"/>
              <w:adjustRightInd w:val="0"/>
              <w:rPr>
                <w:szCs w:val="21"/>
              </w:rPr>
            </w:pPr>
            <w:r>
              <w:t>中建材（湖南）非金属矿有限公司</w:t>
            </w:r>
          </w:p>
        </w:tc>
        <w:tc>
          <w:tcPr>
            <w:tcW w:w="633" w:type="pct"/>
            <w:tcBorders>
              <w:top w:val="single" w:sz="4" w:space="0" w:color="auto"/>
              <w:left w:val="single" w:sz="4" w:space="0" w:color="auto"/>
              <w:bottom w:val="single" w:sz="4" w:space="0" w:color="auto"/>
              <w:right w:val="single" w:sz="4" w:space="0" w:color="auto"/>
            </w:tcBorders>
          </w:tcPr>
          <w:p w14:paraId="044917E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327D73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A77EC9D" w14:textId="77777777" w:rsidR="00E57DAA" w:rsidRDefault="00AC4185">
            <w:pPr>
              <w:autoSpaceDE w:val="0"/>
              <w:autoSpaceDN w:val="0"/>
              <w:adjustRightInd w:val="0"/>
              <w:jc w:val="right"/>
              <w:rPr>
                <w:szCs w:val="21"/>
              </w:rPr>
            </w:pPr>
            <w:r>
              <w:t>5,648,726.00</w:t>
            </w:r>
          </w:p>
        </w:tc>
        <w:tc>
          <w:tcPr>
            <w:tcW w:w="914" w:type="pct"/>
            <w:tcBorders>
              <w:top w:val="single" w:sz="4" w:space="0" w:color="auto"/>
              <w:left w:val="single" w:sz="4" w:space="0" w:color="auto"/>
              <w:bottom w:val="single" w:sz="4" w:space="0" w:color="auto"/>
              <w:right w:val="single" w:sz="4" w:space="0" w:color="auto"/>
            </w:tcBorders>
          </w:tcPr>
          <w:p w14:paraId="55BD0D24" w14:textId="77777777" w:rsidR="00E57DAA" w:rsidRDefault="00AC4185">
            <w:pPr>
              <w:autoSpaceDE w:val="0"/>
              <w:autoSpaceDN w:val="0"/>
              <w:adjustRightInd w:val="0"/>
              <w:jc w:val="right"/>
              <w:rPr>
                <w:szCs w:val="21"/>
              </w:rPr>
            </w:pPr>
            <w:r>
              <w:t>2,745,280.84</w:t>
            </w:r>
          </w:p>
        </w:tc>
      </w:tr>
      <w:tr w:rsidR="00E57DAA" w14:paraId="1BCECB27" w14:textId="77777777">
        <w:tc>
          <w:tcPr>
            <w:tcW w:w="677" w:type="pct"/>
            <w:tcBorders>
              <w:top w:val="single" w:sz="4" w:space="0" w:color="auto"/>
              <w:left w:val="single" w:sz="4" w:space="0" w:color="auto"/>
              <w:bottom w:val="single" w:sz="4" w:space="0" w:color="auto"/>
              <w:right w:val="single" w:sz="4" w:space="0" w:color="auto"/>
            </w:tcBorders>
            <w:vAlign w:val="center"/>
          </w:tcPr>
          <w:p w14:paraId="3E71340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7E4FDD5" w14:textId="77777777" w:rsidR="00E57DAA" w:rsidRDefault="00AC4185">
            <w:pPr>
              <w:autoSpaceDE w:val="0"/>
              <w:autoSpaceDN w:val="0"/>
              <w:adjustRightInd w:val="0"/>
              <w:rPr>
                <w:szCs w:val="21"/>
              </w:rPr>
            </w:pPr>
            <w:r>
              <w:t>浙江中研机电技术有限公司</w:t>
            </w:r>
          </w:p>
        </w:tc>
        <w:tc>
          <w:tcPr>
            <w:tcW w:w="633" w:type="pct"/>
            <w:tcBorders>
              <w:top w:val="single" w:sz="4" w:space="0" w:color="auto"/>
              <w:left w:val="single" w:sz="4" w:space="0" w:color="auto"/>
              <w:bottom w:val="single" w:sz="4" w:space="0" w:color="auto"/>
              <w:right w:val="single" w:sz="4" w:space="0" w:color="auto"/>
            </w:tcBorders>
          </w:tcPr>
          <w:p w14:paraId="46EA845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DE3944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EBD75F7" w14:textId="77777777" w:rsidR="00E57DAA" w:rsidRDefault="00AC4185">
            <w:pPr>
              <w:autoSpaceDE w:val="0"/>
              <w:autoSpaceDN w:val="0"/>
              <w:adjustRightInd w:val="0"/>
              <w:jc w:val="right"/>
              <w:rPr>
                <w:szCs w:val="21"/>
              </w:rPr>
            </w:pPr>
            <w:r>
              <w:t>800,000.00</w:t>
            </w:r>
          </w:p>
        </w:tc>
        <w:tc>
          <w:tcPr>
            <w:tcW w:w="914" w:type="pct"/>
            <w:tcBorders>
              <w:top w:val="single" w:sz="4" w:space="0" w:color="auto"/>
              <w:left w:val="single" w:sz="4" w:space="0" w:color="auto"/>
              <w:bottom w:val="single" w:sz="4" w:space="0" w:color="auto"/>
              <w:right w:val="single" w:sz="4" w:space="0" w:color="auto"/>
            </w:tcBorders>
          </w:tcPr>
          <w:p w14:paraId="1563415A" w14:textId="77777777" w:rsidR="00E57DAA" w:rsidRDefault="00AC4185">
            <w:pPr>
              <w:autoSpaceDE w:val="0"/>
              <w:autoSpaceDN w:val="0"/>
              <w:adjustRightInd w:val="0"/>
              <w:jc w:val="right"/>
              <w:rPr>
                <w:szCs w:val="21"/>
              </w:rPr>
            </w:pPr>
            <w:r>
              <w:t>16,800.00</w:t>
            </w:r>
          </w:p>
        </w:tc>
      </w:tr>
      <w:tr w:rsidR="00E57DAA" w14:paraId="2A90593E" w14:textId="77777777">
        <w:tc>
          <w:tcPr>
            <w:tcW w:w="677" w:type="pct"/>
            <w:tcBorders>
              <w:top w:val="single" w:sz="4" w:space="0" w:color="auto"/>
              <w:left w:val="single" w:sz="4" w:space="0" w:color="auto"/>
              <w:bottom w:val="single" w:sz="4" w:space="0" w:color="auto"/>
              <w:right w:val="single" w:sz="4" w:space="0" w:color="auto"/>
            </w:tcBorders>
            <w:vAlign w:val="center"/>
          </w:tcPr>
          <w:p w14:paraId="6754462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713F560"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43B927F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13FCCA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79B2843"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16648D60" w14:textId="77777777" w:rsidR="00E57DAA" w:rsidRDefault="00AC4185">
            <w:pPr>
              <w:autoSpaceDE w:val="0"/>
              <w:autoSpaceDN w:val="0"/>
              <w:adjustRightInd w:val="0"/>
              <w:jc w:val="right"/>
              <w:rPr>
                <w:szCs w:val="21"/>
              </w:rPr>
            </w:pPr>
            <w:r>
              <w:t>24,400.00</w:t>
            </w:r>
          </w:p>
        </w:tc>
      </w:tr>
      <w:tr w:rsidR="00E57DAA" w14:paraId="31F97702" w14:textId="77777777">
        <w:tc>
          <w:tcPr>
            <w:tcW w:w="677" w:type="pct"/>
            <w:tcBorders>
              <w:top w:val="single" w:sz="4" w:space="0" w:color="auto"/>
              <w:left w:val="single" w:sz="4" w:space="0" w:color="auto"/>
              <w:bottom w:val="single" w:sz="4" w:space="0" w:color="auto"/>
              <w:right w:val="single" w:sz="4" w:space="0" w:color="auto"/>
            </w:tcBorders>
            <w:vAlign w:val="center"/>
          </w:tcPr>
          <w:p w14:paraId="7EBC704B"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E2CE61C" w14:textId="77777777" w:rsidR="00E57DAA" w:rsidRDefault="00AC4185">
            <w:pPr>
              <w:autoSpaceDE w:val="0"/>
              <w:autoSpaceDN w:val="0"/>
              <w:adjustRightInd w:val="0"/>
              <w:rPr>
                <w:szCs w:val="21"/>
              </w:rPr>
            </w:pPr>
            <w:r>
              <w:t>中国建筑材料科学研究总院有限公司</w:t>
            </w:r>
          </w:p>
        </w:tc>
        <w:tc>
          <w:tcPr>
            <w:tcW w:w="633" w:type="pct"/>
            <w:tcBorders>
              <w:top w:val="single" w:sz="4" w:space="0" w:color="auto"/>
              <w:left w:val="single" w:sz="4" w:space="0" w:color="auto"/>
              <w:bottom w:val="single" w:sz="4" w:space="0" w:color="auto"/>
              <w:right w:val="single" w:sz="4" w:space="0" w:color="auto"/>
            </w:tcBorders>
          </w:tcPr>
          <w:p w14:paraId="3B847333"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34439C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B686CDE" w14:textId="77777777" w:rsidR="00E57DAA" w:rsidRDefault="00AC4185">
            <w:pPr>
              <w:autoSpaceDE w:val="0"/>
              <w:autoSpaceDN w:val="0"/>
              <w:adjustRightInd w:val="0"/>
              <w:jc w:val="right"/>
              <w:rPr>
                <w:szCs w:val="21"/>
              </w:rPr>
            </w:pPr>
            <w:r>
              <w:t>5,000.00</w:t>
            </w:r>
          </w:p>
        </w:tc>
        <w:tc>
          <w:tcPr>
            <w:tcW w:w="914" w:type="pct"/>
            <w:tcBorders>
              <w:top w:val="single" w:sz="4" w:space="0" w:color="auto"/>
              <w:left w:val="single" w:sz="4" w:space="0" w:color="auto"/>
              <w:bottom w:val="single" w:sz="4" w:space="0" w:color="auto"/>
              <w:right w:val="single" w:sz="4" w:space="0" w:color="auto"/>
            </w:tcBorders>
          </w:tcPr>
          <w:p w14:paraId="00254CA1" w14:textId="77777777" w:rsidR="00E57DAA" w:rsidRDefault="00AC4185">
            <w:pPr>
              <w:autoSpaceDE w:val="0"/>
              <w:autoSpaceDN w:val="0"/>
              <w:adjustRightInd w:val="0"/>
              <w:jc w:val="right"/>
              <w:rPr>
                <w:szCs w:val="21"/>
              </w:rPr>
            </w:pPr>
            <w:r>
              <w:t>105</w:t>
            </w:r>
          </w:p>
        </w:tc>
      </w:tr>
      <w:tr w:rsidR="00E57DAA" w14:paraId="53E7427A" w14:textId="77777777">
        <w:tc>
          <w:tcPr>
            <w:tcW w:w="677" w:type="pct"/>
            <w:tcBorders>
              <w:top w:val="single" w:sz="4" w:space="0" w:color="auto"/>
              <w:left w:val="single" w:sz="4" w:space="0" w:color="auto"/>
              <w:bottom w:val="single" w:sz="4" w:space="0" w:color="auto"/>
              <w:right w:val="single" w:sz="4" w:space="0" w:color="auto"/>
            </w:tcBorders>
            <w:vAlign w:val="center"/>
          </w:tcPr>
          <w:p w14:paraId="4A575C3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47AC0EB" w14:textId="77777777" w:rsidR="00E57DAA" w:rsidRDefault="00AC4185">
            <w:pPr>
              <w:autoSpaceDE w:val="0"/>
              <w:autoSpaceDN w:val="0"/>
              <w:adjustRightInd w:val="0"/>
              <w:rPr>
                <w:szCs w:val="21"/>
              </w:rPr>
            </w:pPr>
            <w:r>
              <w:t>中国巨石股份有限公司</w:t>
            </w:r>
          </w:p>
        </w:tc>
        <w:tc>
          <w:tcPr>
            <w:tcW w:w="633" w:type="pct"/>
            <w:tcBorders>
              <w:top w:val="single" w:sz="4" w:space="0" w:color="auto"/>
              <w:left w:val="single" w:sz="4" w:space="0" w:color="auto"/>
              <w:bottom w:val="single" w:sz="4" w:space="0" w:color="auto"/>
              <w:right w:val="single" w:sz="4" w:space="0" w:color="auto"/>
            </w:tcBorders>
          </w:tcPr>
          <w:p w14:paraId="4447BDA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F43980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F2CB8CF"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61BABCBB" w14:textId="77777777" w:rsidR="00E57DAA" w:rsidRDefault="00AC4185">
            <w:pPr>
              <w:autoSpaceDE w:val="0"/>
              <w:autoSpaceDN w:val="0"/>
              <w:adjustRightInd w:val="0"/>
              <w:jc w:val="right"/>
              <w:rPr>
                <w:szCs w:val="21"/>
              </w:rPr>
            </w:pPr>
            <w:r>
              <w:t>5,000.00</w:t>
            </w:r>
          </w:p>
        </w:tc>
      </w:tr>
      <w:tr w:rsidR="00E57DAA" w14:paraId="0642DA8E" w14:textId="77777777">
        <w:tc>
          <w:tcPr>
            <w:tcW w:w="677" w:type="pct"/>
            <w:tcBorders>
              <w:top w:val="single" w:sz="4" w:space="0" w:color="auto"/>
              <w:left w:val="single" w:sz="4" w:space="0" w:color="auto"/>
              <w:bottom w:val="single" w:sz="4" w:space="0" w:color="auto"/>
              <w:right w:val="single" w:sz="4" w:space="0" w:color="auto"/>
            </w:tcBorders>
            <w:vAlign w:val="center"/>
          </w:tcPr>
          <w:p w14:paraId="69EE156A"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6DB86E34"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5768B3E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6CA9E3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624F3D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2AB0746" w14:textId="77777777" w:rsidR="00E57DAA" w:rsidRDefault="00AC4185">
            <w:pPr>
              <w:autoSpaceDE w:val="0"/>
              <w:autoSpaceDN w:val="0"/>
              <w:adjustRightInd w:val="0"/>
              <w:jc w:val="right"/>
              <w:rPr>
                <w:szCs w:val="21"/>
              </w:rPr>
            </w:pPr>
            <w:r>
              <w:t xml:space="preserve">　</w:t>
            </w:r>
          </w:p>
        </w:tc>
      </w:tr>
      <w:tr w:rsidR="00E57DAA" w14:paraId="00BDC545" w14:textId="77777777">
        <w:tc>
          <w:tcPr>
            <w:tcW w:w="677" w:type="pct"/>
            <w:tcBorders>
              <w:top w:val="single" w:sz="4" w:space="0" w:color="auto"/>
              <w:left w:val="single" w:sz="4" w:space="0" w:color="auto"/>
              <w:bottom w:val="single" w:sz="4" w:space="0" w:color="auto"/>
              <w:right w:val="single" w:sz="4" w:space="0" w:color="auto"/>
            </w:tcBorders>
            <w:vAlign w:val="center"/>
          </w:tcPr>
          <w:p w14:paraId="4DC7300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D8B8B4F" w14:textId="77777777" w:rsidR="00E57DAA" w:rsidRDefault="00AC4185">
            <w:pPr>
              <w:autoSpaceDE w:val="0"/>
              <w:autoSpaceDN w:val="0"/>
              <w:adjustRightInd w:val="0"/>
              <w:rPr>
                <w:szCs w:val="21"/>
              </w:rPr>
            </w:pPr>
            <w:r>
              <w:t>山东泉兴水泥有限公司</w:t>
            </w:r>
          </w:p>
        </w:tc>
        <w:tc>
          <w:tcPr>
            <w:tcW w:w="633" w:type="pct"/>
            <w:tcBorders>
              <w:top w:val="single" w:sz="4" w:space="0" w:color="auto"/>
              <w:left w:val="single" w:sz="4" w:space="0" w:color="auto"/>
              <w:bottom w:val="single" w:sz="4" w:space="0" w:color="auto"/>
              <w:right w:val="single" w:sz="4" w:space="0" w:color="auto"/>
            </w:tcBorders>
          </w:tcPr>
          <w:p w14:paraId="1D6C4A11" w14:textId="77777777" w:rsidR="00E57DAA" w:rsidRDefault="00AC4185">
            <w:pPr>
              <w:autoSpaceDE w:val="0"/>
              <w:autoSpaceDN w:val="0"/>
              <w:adjustRightInd w:val="0"/>
              <w:jc w:val="right"/>
              <w:rPr>
                <w:szCs w:val="21"/>
              </w:rPr>
            </w:pPr>
            <w:r>
              <w:t>7,000,000.00</w:t>
            </w:r>
          </w:p>
        </w:tc>
        <w:tc>
          <w:tcPr>
            <w:tcW w:w="632" w:type="pct"/>
            <w:tcBorders>
              <w:top w:val="single" w:sz="4" w:space="0" w:color="auto"/>
              <w:left w:val="single" w:sz="4" w:space="0" w:color="auto"/>
              <w:bottom w:val="single" w:sz="4" w:space="0" w:color="auto"/>
              <w:right w:val="single" w:sz="4" w:space="0" w:color="auto"/>
            </w:tcBorders>
          </w:tcPr>
          <w:p w14:paraId="5E622519" w14:textId="77777777" w:rsidR="00E57DAA" w:rsidRDefault="00AC4185">
            <w:pPr>
              <w:autoSpaceDE w:val="0"/>
              <w:autoSpaceDN w:val="0"/>
              <w:adjustRightInd w:val="0"/>
              <w:jc w:val="right"/>
              <w:rPr>
                <w:szCs w:val="21"/>
              </w:rPr>
            </w:pPr>
            <w:r>
              <w:t>725,000.00</w:t>
            </w:r>
          </w:p>
        </w:tc>
        <w:tc>
          <w:tcPr>
            <w:tcW w:w="703" w:type="pct"/>
            <w:tcBorders>
              <w:top w:val="single" w:sz="4" w:space="0" w:color="auto"/>
              <w:left w:val="single" w:sz="4" w:space="0" w:color="auto"/>
              <w:bottom w:val="single" w:sz="4" w:space="0" w:color="auto"/>
              <w:right w:val="single" w:sz="4" w:space="0" w:color="auto"/>
            </w:tcBorders>
          </w:tcPr>
          <w:p w14:paraId="76360F63" w14:textId="77777777" w:rsidR="00E57DAA" w:rsidRDefault="00AC4185">
            <w:pPr>
              <w:autoSpaceDE w:val="0"/>
              <w:autoSpaceDN w:val="0"/>
              <w:adjustRightInd w:val="0"/>
              <w:jc w:val="right"/>
              <w:rPr>
                <w:szCs w:val="21"/>
              </w:rPr>
            </w:pPr>
            <w:r>
              <w:t>5,000,000.00</w:t>
            </w:r>
          </w:p>
        </w:tc>
        <w:tc>
          <w:tcPr>
            <w:tcW w:w="914" w:type="pct"/>
            <w:tcBorders>
              <w:top w:val="single" w:sz="4" w:space="0" w:color="auto"/>
              <w:left w:val="single" w:sz="4" w:space="0" w:color="auto"/>
              <w:bottom w:val="single" w:sz="4" w:space="0" w:color="auto"/>
              <w:right w:val="single" w:sz="4" w:space="0" w:color="auto"/>
            </w:tcBorders>
          </w:tcPr>
          <w:p w14:paraId="12F94AF8" w14:textId="77777777" w:rsidR="00E57DAA" w:rsidRDefault="00AC4185">
            <w:pPr>
              <w:autoSpaceDE w:val="0"/>
              <w:autoSpaceDN w:val="0"/>
              <w:adjustRightInd w:val="0"/>
              <w:jc w:val="right"/>
              <w:rPr>
                <w:szCs w:val="21"/>
              </w:rPr>
            </w:pPr>
            <w:r>
              <w:t>105,000.00</w:t>
            </w:r>
          </w:p>
        </w:tc>
      </w:tr>
      <w:tr w:rsidR="00E57DAA" w14:paraId="1BDAA0A0" w14:textId="77777777">
        <w:tc>
          <w:tcPr>
            <w:tcW w:w="677" w:type="pct"/>
            <w:tcBorders>
              <w:top w:val="single" w:sz="4" w:space="0" w:color="auto"/>
              <w:left w:val="single" w:sz="4" w:space="0" w:color="auto"/>
              <w:bottom w:val="single" w:sz="4" w:space="0" w:color="auto"/>
              <w:right w:val="single" w:sz="4" w:space="0" w:color="auto"/>
            </w:tcBorders>
            <w:vAlign w:val="center"/>
          </w:tcPr>
          <w:p w14:paraId="0B458BE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6143034" w14:textId="77777777" w:rsidR="00E57DAA" w:rsidRDefault="00AC4185">
            <w:pPr>
              <w:autoSpaceDE w:val="0"/>
              <w:autoSpaceDN w:val="0"/>
              <w:adjustRightInd w:val="0"/>
              <w:rPr>
                <w:szCs w:val="21"/>
              </w:rPr>
            </w:pPr>
            <w:r>
              <w:t>山东申丰水泥集团有限公司</w:t>
            </w:r>
          </w:p>
        </w:tc>
        <w:tc>
          <w:tcPr>
            <w:tcW w:w="633" w:type="pct"/>
            <w:tcBorders>
              <w:top w:val="single" w:sz="4" w:space="0" w:color="auto"/>
              <w:left w:val="single" w:sz="4" w:space="0" w:color="auto"/>
              <w:bottom w:val="single" w:sz="4" w:space="0" w:color="auto"/>
              <w:right w:val="single" w:sz="4" w:space="0" w:color="auto"/>
            </w:tcBorders>
          </w:tcPr>
          <w:p w14:paraId="4F89E45D" w14:textId="77777777" w:rsidR="00E57DAA" w:rsidRDefault="00AC4185">
            <w:pPr>
              <w:autoSpaceDE w:val="0"/>
              <w:autoSpaceDN w:val="0"/>
              <w:adjustRightInd w:val="0"/>
              <w:jc w:val="right"/>
              <w:rPr>
                <w:szCs w:val="21"/>
              </w:rPr>
            </w:pPr>
            <w:r>
              <w:t>3,000,000.00</w:t>
            </w:r>
          </w:p>
        </w:tc>
        <w:tc>
          <w:tcPr>
            <w:tcW w:w="632" w:type="pct"/>
            <w:tcBorders>
              <w:top w:val="single" w:sz="4" w:space="0" w:color="auto"/>
              <w:left w:val="single" w:sz="4" w:space="0" w:color="auto"/>
              <w:bottom w:val="single" w:sz="4" w:space="0" w:color="auto"/>
              <w:right w:val="single" w:sz="4" w:space="0" w:color="auto"/>
            </w:tcBorders>
          </w:tcPr>
          <w:p w14:paraId="780A9F15" w14:textId="77777777" w:rsidR="00E57DAA" w:rsidRDefault="00AC4185">
            <w:pPr>
              <w:autoSpaceDE w:val="0"/>
              <w:autoSpaceDN w:val="0"/>
              <w:adjustRightInd w:val="0"/>
              <w:jc w:val="right"/>
              <w:rPr>
                <w:szCs w:val="21"/>
              </w:rPr>
            </w:pPr>
            <w:r>
              <w:t>591,000.00</w:t>
            </w:r>
          </w:p>
        </w:tc>
        <w:tc>
          <w:tcPr>
            <w:tcW w:w="703" w:type="pct"/>
            <w:tcBorders>
              <w:top w:val="single" w:sz="4" w:space="0" w:color="auto"/>
              <w:left w:val="single" w:sz="4" w:space="0" w:color="auto"/>
              <w:bottom w:val="single" w:sz="4" w:space="0" w:color="auto"/>
              <w:right w:val="single" w:sz="4" w:space="0" w:color="auto"/>
            </w:tcBorders>
          </w:tcPr>
          <w:p w14:paraId="4A85E250" w14:textId="77777777" w:rsidR="00E57DAA" w:rsidRDefault="00AC4185">
            <w:pPr>
              <w:autoSpaceDE w:val="0"/>
              <w:autoSpaceDN w:val="0"/>
              <w:adjustRightInd w:val="0"/>
              <w:jc w:val="right"/>
              <w:rPr>
                <w:szCs w:val="21"/>
              </w:rPr>
            </w:pPr>
            <w:r>
              <w:t>3,590,000.00</w:t>
            </w:r>
          </w:p>
        </w:tc>
        <w:tc>
          <w:tcPr>
            <w:tcW w:w="914" w:type="pct"/>
            <w:tcBorders>
              <w:top w:val="single" w:sz="4" w:space="0" w:color="auto"/>
              <w:left w:val="single" w:sz="4" w:space="0" w:color="auto"/>
              <w:bottom w:val="single" w:sz="4" w:space="0" w:color="auto"/>
              <w:right w:val="single" w:sz="4" w:space="0" w:color="auto"/>
            </w:tcBorders>
          </w:tcPr>
          <w:p w14:paraId="0D47F04E" w14:textId="77777777" w:rsidR="00E57DAA" w:rsidRDefault="00AC4185">
            <w:pPr>
              <w:autoSpaceDE w:val="0"/>
              <w:autoSpaceDN w:val="0"/>
              <w:adjustRightInd w:val="0"/>
              <w:jc w:val="right"/>
              <w:rPr>
                <w:szCs w:val="21"/>
              </w:rPr>
            </w:pPr>
            <w:r>
              <w:t>84,390.00</w:t>
            </w:r>
          </w:p>
        </w:tc>
      </w:tr>
      <w:tr w:rsidR="00E57DAA" w14:paraId="4E80D31A" w14:textId="77777777">
        <w:tc>
          <w:tcPr>
            <w:tcW w:w="677" w:type="pct"/>
            <w:tcBorders>
              <w:top w:val="single" w:sz="4" w:space="0" w:color="auto"/>
              <w:left w:val="single" w:sz="4" w:space="0" w:color="auto"/>
              <w:bottom w:val="single" w:sz="4" w:space="0" w:color="auto"/>
              <w:right w:val="single" w:sz="4" w:space="0" w:color="auto"/>
            </w:tcBorders>
            <w:vAlign w:val="center"/>
          </w:tcPr>
          <w:p w14:paraId="2D50EE1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4CBE67E" w14:textId="77777777" w:rsidR="00E57DAA" w:rsidRDefault="00AC4185">
            <w:pPr>
              <w:autoSpaceDE w:val="0"/>
              <w:autoSpaceDN w:val="0"/>
              <w:adjustRightInd w:val="0"/>
              <w:rPr>
                <w:szCs w:val="21"/>
              </w:rPr>
            </w:pPr>
            <w:r>
              <w:t>贵州黔桂金州建材有限公司</w:t>
            </w:r>
          </w:p>
        </w:tc>
        <w:tc>
          <w:tcPr>
            <w:tcW w:w="633" w:type="pct"/>
            <w:tcBorders>
              <w:top w:val="single" w:sz="4" w:space="0" w:color="auto"/>
              <w:left w:val="single" w:sz="4" w:space="0" w:color="auto"/>
              <w:bottom w:val="single" w:sz="4" w:space="0" w:color="auto"/>
              <w:right w:val="single" w:sz="4" w:space="0" w:color="auto"/>
            </w:tcBorders>
          </w:tcPr>
          <w:p w14:paraId="6D563155" w14:textId="77777777" w:rsidR="00E57DAA" w:rsidRDefault="00AC4185">
            <w:pPr>
              <w:autoSpaceDE w:val="0"/>
              <w:autoSpaceDN w:val="0"/>
              <w:adjustRightInd w:val="0"/>
              <w:jc w:val="right"/>
              <w:rPr>
                <w:szCs w:val="21"/>
              </w:rPr>
            </w:pPr>
            <w:r>
              <w:t>2,500,000.00</w:t>
            </w:r>
          </w:p>
        </w:tc>
        <w:tc>
          <w:tcPr>
            <w:tcW w:w="632" w:type="pct"/>
            <w:tcBorders>
              <w:top w:val="single" w:sz="4" w:space="0" w:color="auto"/>
              <w:left w:val="single" w:sz="4" w:space="0" w:color="auto"/>
              <w:bottom w:val="single" w:sz="4" w:space="0" w:color="auto"/>
              <w:right w:val="single" w:sz="4" w:space="0" w:color="auto"/>
            </w:tcBorders>
          </w:tcPr>
          <w:p w14:paraId="1EAF879C" w14:textId="77777777" w:rsidR="00E57DAA" w:rsidRDefault="00AC4185">
            <w:pPr>
              <w:autoSpaceDE w:val="0"/>
              <w:autoSpaceDN w:val="0"/>
              <w:adjustRightInd w:val="0"/>
              <w:jc w:val="right"/>
              <w:rPr>
                <w:szCs w:val="21"/>
              </w:rPr>
            </w:pPr>
            <w:r>
              <w:t>332,000.00</w:t>
            </w:r>
          </w:p>
        </w:tc>
        <w:tc>
          <w:tcPr>
            <w:tcW w:w="703" w:type="pct"/>
            <w:tcBorders>
              <w:top w:val="single" w:sz="4" w:space="0" w:color="auto"/>
              <w:left w:val="single" w:sz="4" w:space="0" w:color="auto"/>
              <w:bottom w:val="single" w:sz="4" w:space="0" w:color="auto"/>
              <w:right w:val="single" w:sz="4" w:space="0" w:color="auto"/>
            </w:tcBorders>
          </w:tcPr>
          <w:p w14:paraId="4EF23DB8" w14:textId="77777777" w:rsidR="00E57DAA" w:rsidRDefault="00AC4185">
            <w:pPr>
              <w:autoSpaceDE w:val="0"/>
              <w:autoSpaceDN w:val="0"/>
              <w:adjustRightInd w:val="0"/>
              <w:jc w:val="right"/>
              <w:rPr>
                <w:szCs w:val="21"/>
              </w:rPr>
            </w:pPr>
            <w:r>
              <w:t>1,000,000.00</w:t>
            </w:r>
          </w:p>
        </w:tc>
        <w:tc>
          <w:tcPr>
            <w:tcW w:w="914" w:type="pct"/>
            <w:tcBorders>
              <w:top w:val="single" w:sz="4" w:space="0" w:color="auto"/>
              <w:left w:val="single" w:sz="4" w:space="0" w:color="auto"/>
              <w:bottom w:val="single" w:sz="4" w:space="0" w:color="auto"/>
              <w:right w:val="single" w:sz="4" w:space="0" w:color="auto"/>
            </w:tcBorders>
          </w:tcPr>
          <w:p w14:paraId="3E3691B6" w14:textId="77777777" w:rsidR="00E57DAA" w:rsidRDefault="00AC4185">
            <w:pPr>
              <w:autoSpaceDE w:val="0"/>
              <w:autoSpaceDN w:val="0"/>
              <w:adjustRightInd w:val="0"/>
              <w:jc w:val="right"/>
              <w:rPr>
                <w:szCs w:val="21"/>
              </w:rPr>
            </w:pPr>
            <w:r>
              <w:t>6,500.00</w:t>
            </w:r>
          </w:p>
        </w:tc>
      </w:tr>
      <w:tr w:rsidR="00E57DAA" w14:paraId="3A8C6617" w14:textId="77777777">
        <w:tc>
          <w:tcPr>
            <w:tcW w:w="677" w:type="pct"/>
            <w:tcBorders>
              <w:top w:val="single" w:sz="4" w:space="0" w:color="auto"/>
              <w:left w:val="single" w:sz="4" w:space="0" w:color="auto"/>
              <w:bottom w:val="single" w:sz="4" w:space="0" w:color="auto"/>
              <w:right w:val="single" w:sz="4" w:space="0" w:color="auto"/>
            </w:tcBorders>
            <w:vAlign w:val="center"/>
          </w:tcPr>
          <w:p w14:paraId="3F2F5A1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69F4546" w14:textId="77777777" w:rsidR="00E57DAA" w:rsidRDefault="00AC4185">
            <w:pPr>
              <w:autoSpaceDE w:val="0"/>
              <w:autoSpaceDN w:val="0"/>
              <w:adjustRightInd w:val="0"/>
              <w:rPr>
                <w:szCs w:val="21"/>
              </w:rPr>
            </w:pPr>
            <w:r>
              <w:t>枣庄创新山水水泥有限公司</w:t>
            </w:r>
          </w:p>
        </w:tc>
        <w:tc>
          <w:tcPr>
            <w:tcW w:w="633" w:type="pct"/>
            <w:tcBorders>
              <w:top w:val="single" w:sz="4" w:space="0" w:color="auto"/>
              <w:left w:val="single" w:sz="4" w:space="0" w:color="auto"/>
              <w:bottom w:val="single" w:sz="4" w:space="0" w:color="auto"/>
              <w:right w:val="single" w:sz="4" w:space="0" w:color="auto"/>
            </w:tcBorders>
          </w:tcPr>
          <w:p w14:paraId="77315502" w14:textId="77777777" w:rsidR="00E57DAA" w:rsidRDefault="00AC4185">
            <w:pPr>
              <w:autoSpaceDE w:val="0"/>
              <w:autoSpaceDN w:val="0"/>
              <w:adjustRightInd w:val="0"/>
              <w:jc w:val="right"/>
              <w:rPr>
                <w:szCs w:val="21"/>
              </w:rPr>
            </w:pPr>
            <w:r>
              <w:t>1,643,518.80</w:t>
            </w:r>
          </w:p>
        </w:tc>
        <w:tc>
          <w:tcPr>
            <w:tcW w:w="632" w:type="pct"/>
            <w:tcBorders>
              <w:top w:val="single" w:sz="4" w:space="0" w:color="auto"/>
              <w:left w:val="single" w:sz="4" w:space="0" w:color="auto"/>
              <w:bottom w:val="single" w:sz="4" w:space="0" w:color="auto"/>
              <w:right w:val="single" w:sz="4" w:space="0" w:color="auto"/>
            </w:tcBorders>
          </w:tcPr>
          <w:p w14:paraId="3A9731FA" w14:textId="77777777" w:rsidR="00E57DAA" w:rsidRDefault="00AC4185">
            <w:pPr>
              <w:autoSpaceDE w:val="0"/>
              <w:autoSpaceDN w:val="0"/>
              <w:adjustRightInd w:val="0"/>
              <w:jc w:val="right"/>
              <w:rPr>
                <w:szCs w:val="21"/>
              </w:rPr>
            </w:pPr>
            <w:r>
              <w:t>323,773.20</w:t>
            </w:r>
          </w:p>
        </w:tc>
        <w:tc>
          <w:tcPr>
            <w:tcW w:w="703" w:type="pct"/>
            <w:tcBorders>
              <w:top w:val="single" w:sz="4" w:space="0" w:color="auto"/>
              <w:left w:val="single" w:sz="4" w:space="0" w:color="auto"/>
              <w:bottom w:val="single" w:sz="4" w:space="0" w:color="auto"/>
              <w:right w:val="single" w:sz="4" w:space="0" w:color="auto"/>
            </w:tcBorders>
          </w:tcPr>
          <w:p w14:paraId="55650E39" w14:textId="77777777" w:rsidR="00E57DAA" w:rsidRDefault="00AC4185">
            <w:pPr>
              <w:autoSpaceDE w:val="0"/>
              <w:autoSpaceDN w:val="0"/>
              <w:adjustRightInd w:val="0"/>
              <w:jc w:val="right"/>
              <w:rPr>
                <w:szCs w:val="21"/>
              </w:rPr>
            </w:pPr>
            <w:r>
              <w:t>1,743,518.80</w:t>
            </w:r>
          </w:p>
        </w:tc>
        <w:tc>
          <w:tcPr>
            <w:tcW w:w="914" w:type="pct"/>
            <w:tcBorders>
              <w:top w:val="single" w:sz="4" w:space="0" w:color="auto"/>
              <w:left w:val="single" w:sz="4" w:space="0" w:color="auto"/>
              <w:bottom w:val="single" w:sz="4" w:space="0" w:color="auto"/>
              <w:right w:val="single" w:sz="4" w:space="0" w:color="auto"/>
            </w:tcBorders>
          </w:tcPr>
          <w:p w14:paraId="20DF88B6" w14:textId="77777777" w:rsidR="00E57DAA" w:rsidRDefault="00AC4185">
            <w:pPr>
              <w:autoSpaceDE w:val="0"/>
              <w:autoSpaceDN w:val="0"/>
              <w:adjustRightInd w:val="0"/>
              <w:jc w:val="right"/>
              <w:rPr>
                <w:szCs w:val="21"/>
              </w:rPr>
            </w:pPr>
            <w:r>
              <w:t>11,332.87</w:t>
            </w:r>
          </w:p>
        </w:tc>
      </w:tr>
      <w:tr w:rsidR="00E57DAA" w14:paraId="23850827" w14:textId="77777777">
        <w:tc>
          <w:tcPr>
            <w:tcW w:w="677" w:type="pct"/>
            <w:tcBorders>
              <w:top w:val="single" w:sz="4" w:space="0" w:color="auto"/>
              <w:left w:val="single" w:sz="4" w:space="0" w:color="auto"/>
              <w:bottom w:val="single" w:sz="4" w:space="0" w:color="auto"/>
              <w:right w:val="single" w:sz="4" w:space="0" w:color="auto"/>
            </w:tcBorders>
            <w:vAlign w:val="center"/>
          </w:tcPr>
          <w:p w14:paraId="37354E22" w14:textId="77777777" w:rsidR="00E57DAA" w:rsidRDefault="00AC4185">
            <w:pPr>
              <w:autoSpaceDE w:val="0"/>
              <w:autoSpaceDN w:val="0"/>
              <w:adjustRightInd w:val="0"/>
              <w:rPr>
                <w:szCs w:val="21"/>
              </w:rPr>
            </w:pPr>
            <w:r>
              <w:lastRenderedPageBreak/>
              <w:t>其他应收款</w:t>
            </w:r>
          </w:p>
        </w:tc>
        <w:tc>
          <w:tcPr>
            <w:tcW w:w="1441" w:type="pct"/>
            <w:tcBorders>
              <w:top w:val="single" w:sz="4" w:space="0" w:color="auto"/>
              <w:left w:val="single" w:sz="4" w:space="0" w:color="auto"/>
              <w:bottom w:val="single" w:sz="4" w:space="0" w:color="auto"/>
              <w:right w:val="single" w:sz="4" w:space="0" w:color="auto"/>
            </w:tcBorders>
          </w:tcPr>
          <w:p w14:paraId="130336A9" w14:textId="77777777" w:rsidR="00E57DAA" w:rsidRDefault="00AC4185">
            <w:pPr>
              <w:autoSpaceDE w:val="0"/>
              <w:autoSpaceDN w:val="0"/>
              <w:adjustRightInd w:val="0"/>
              <w:rPr>
                <w:szCs w:val="21"/>
              </w:rPr>
            </w:pPr>
            <w:r>
              <w:t>都匀上峰西南水泥有限公司</w:t>
            </w:r>
          </w:p>
        </w:tc>
        <w:tc>
          <w:tcPr>
            <w:tcW w:w="633" w:type="pct"/>
            <w:tcBorders>
              <w:top w:val="single" w:sz="4" w:space="0" w:color="auto"/>
              <w:left w:val="single" w:sz="4" w:space="0" w:color="auto"/>
              <w:bottom w:val="single" w:sz="4" w:space="0" w:color="auto"/>
              <w:right w:val="single" w:sz="4" w:space="0" w:color="auto"/>
            </w:tcBorders>
          </w:tcPr>
          <w:p w14:paraId="7D54AFBB"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34E69DEF" w14:textId="77777777" w:rsidR="00E57DAA" w:rsidRDefault="00AC4185">
            <w:pPr>
              <w:autoSpaceDE w:val="0"/>
              <w:autoSpaceDN w:val="0"/>
              <w:adjustRightInd w:val="0"/>
              <w:jc w:val="right"/>
              <w:rPr>
                <w:szCs w:val="21"/>
              </w:rPr>
            </w:pPr>
            <w:r>
              <w:t>90,000.00</w:t>
            </w:r>
          </w:p>
        </w:tc>
        <w:tc>
          <w:tcPr>
            <w:tcW w:w="703" w:type="pct"/>
            <w:tcBorders>
              <w:top w:val="single" w:sz="4" w:space="0" w:color="auto"/>
              <w:left w:val="single" w:sz="4" w:space="0" w:color="auto"/>
              <w:bottom w:val="single" w:sz="4" w:space="0" w:color="auto"/>
              <w:right w:val="single" w:sz="4" w:space="0" w:color="auto"/>
            </w:tcBorders>
          </w:tcPr>
          <w:p w14:paraId="0E459D30" w14:textId="77777777" w:rsidR="00E57DAA" w:rsidRDefault="00AC4185">
            <w:pPr>
              <w:autoSpaceDE w:val="0"/>
              <w:autoSpaceDN w:val="0"/>
              <w:adjustRightInd w:val="0"/>
              <w:jc w:val="right"/>
              <w:rPr>
                <w:szCs w:val="21"/>
              </w:rPr>
            </w:pPr>
            <w:r>
              <w:t>900,000.00</w:t>
            </w:r>
          </w:p>
        </w:tc>
        <w:tc>
          <w:tcPr>
            <w:tcW w:w="914" w:type="pct"/>
            <w:tcBorders>
              <w:top w:val="single" w:sz="4" w:space="0" w:color="auto"/>
              <w:left w:val="single" w:sz="4" w:space="0" w:color="auto"/>
              <w:bottom w:val="single" w:sz="4" w:space="0" w:color="auto"/>
              <w:right w:val="single" w:sz="4" w:space="0" w:color="auto"/>
            </w:tcBorders>
          </w:tcPr>
          <w:p w14:paraId="1FABF93B" w14:textId="77777777" w:rsidR="00E57DAA" w:rsidRDefault="00AC4185">
            <w:pPr>
              <w:autoSpaceDE w:val="0"/>
              <w:autoSpaceDN w:val="0"/>
              <w:adjustRightInd w:val="0"/>
              <w:jc w:val="right"/>
              <w:rPr>
                <w:szCs w:val="21"/>
              </w:rPr>
            </w:pPr>
            <w:r>
              <w:t>5,850.00</w:t>
            </w:r>
          </w:p>
        </w:tc>
      </w:tr>
      <w:tr w:rsidR="00E57DAA" w14:paraId="550E600F" w14:textId="77777777">
        <w:tc>
          <w:tcPr>
            <w:tcW w:w="677" w:type="pct"/>
            <w:tcBorders>
              <w:top w:val="single" w:sz="4" w:space="0" w:color="auto"/>
              <w:left w:val="single" w:sz="4" w:space="0" w:color="auto"/>
              <w:bottom w:val="single" w:sz="4" w:space="0" w:color="auto"/>
              <w:right w:val="single" w:sz="4" w:space="0" w:color="auto"/>
            </w:tcBorders>
            <w:vAlign w:val="center"/>
          </w:tcPr>
          <w:p w14:paraId="4196911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848FFCA" w14:textId="77777777" w:rsidR="00E57DAA" w:rsidRDefault="00AC4185">
            <w:pPr>
              <w:autoSpaceDE w:val="0"/>
              <w:autoSpaceDN w:val="0"/>
              <w:adjustRightInd w:val="0"/>
              <w:rPr>
                <w:szCs w:val="21"/>
              </w:rPr>
            </w:pPr>
            <w:r>
              <w:t>乐平万年青上堡矿业有限公司</w:t>
            </w:r>
          </w:p>
        </w:tc>
        <w:tc>
          <w:tcPr>
            <w:tcW w:w="633" w:type="pct"/>
            <w:tcBorders>
              <w:top w:val="single" w:sz="4" w:space="0" w:color="auto"/>
              <w:left w:val="single" w:sz="4" w:space="0" w:color="auto"/>
              <w:bottom w:val="single" w:sz="4" w:space="0" w:color="auto"/>
              <w:right w:val="single" w:sz="4" w:space="0" w:color="auto"/>
            </w:tcBorders>
          </w:tcPr>
          <w:p w14:paraId="3389B975" w14:textId="77777777" w:rsidR="00E57DAA" w:rsidRDefault="00AC4185">
            <w:pPr>
              <w:autoSpaceDE w:val="0"/>
              <w:autoSpaceDN w:val="0"/>
              <w:adjustRightInd w:val="0"/>
              <w:jc w:val="right"/>
              <w:rPr>
                <w:szCs w:val="21"/>
              </w:rPr>
            </w:pPr>
            <w:r>
              <w:t>1,000,000.00</w:t>
            </w:r>
          </w:p>
        </w:tc>
        <w:tc>
          <w:tcPr>
            <w:tcW w:w="632" w:type="pct"/>
            <w:tcBorders>
              <w:top w:val="single" w:sz="4" w:space="0" w:color="auto"/>
              <w:left w:val="single" w:sz="4" w:space="0" w:color="auto"/>
              <w:bottom w:val="single" w:sz="4" w:space="0" w:color="auto"/>
              <w:right w:val="single" w:sz="4" w:space="0" w:color="auto"/>
            </w:tcBorders>
          </w:tcPr>
          <w:p w14:paraId="459C8583" w14:textId="77777777" w:rsidR="00E57DAA" w:rsidRDefault="00AC4185">
            <w:pPr>
              <w:autoSpaceDE w:val="0"/>
              <w:autoSpaceDN w:val="0"/>
              <w:adjustRightInd w:val="0"/>
              <w:jc w:val="right"/>
              <w:rPr>
                <w:szCs w:val="21"/>
              </w:rPr>
            </w:pPr>
            <w:r>
              <w:t>197,000.00</w:t>
            </w:r>
          </w:p>
        </w:tc>
        <w:tc>
          <w:tcPr>
            <w:tcW w:w="703" w:type="pct"/>
            <w:tcBorders>
              <w:top w:val="single" w:sz="4" w:space="0" w:color="auto"/>
              <w:left w:val="single" w:sz="4" w:space="0" w:color="auto"/>
              <w:bottom w:val="single" w:sz="4" w:space="0" w:color="auto"/>
              <w:right w:val="single" w:sz="4" w:space="0" w:color="auto"/>
            </w:tcBorders>
          </w:tcPr>
          <w:p w14:paraId="20BABB6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6B4E6FE" w14:textId="77777777" w:rsidR="00E57DAA" w:rsidRDefault="00AC4185">
            <w:pPr>
              <w:autoSpaceDE w:val="0"/>
              <w:autoSpaceDN w:val="0"/>
              <w:adjustRightInd w:val="0"/>
              <w:jc w:val="right"/>
              <w:rPr>
                <w:szCs w:val="21"/>
              </w:rPr>
            </w:pPr>
            <w:r>
              <w:t xml:space="preserve">　</w:t>
            </w:r>
          </w:p>
        </w:tc>
      </w:tr>
      <w:tr w:rsidR="00E57DAA" w14:paraId="60092678" w14:textId="77777777">
        <w:tc>
          <w:tcPr>
            <w:tcW w:w="677" w:type="pct"/>
            <w:tcBorders>
              <w:top w:val="single" w:sz="4" w:space="0" w:color="auto"/>
              <w:left w:val="single" w:sz="4" w:space="0" w:color="auto"/>
              <w:bottom w:val="single" w:sz="4" w:space="0" w:color="auto"/>
              <w:right w:val="single" w:sz="4" w:space="0" w:color="auto"/>
            </w:tcBorders>
            <w:vAlign w:val="center"/>
          </w:tcPr>
          <w:p w14:paraId="23880BB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5367DBE" w14:textId="77777777" w:rsidR="00E57DAA" w:rsidRDefault="00AC4185">
            <w:pPr>
              <w:autoSpaceDE w:val="0"/>
              <w:autoSpaceDN w:val="0"/>
              <w:adjustRightInd w:val="0"/>
              <w:rPr>
                <w:szCs w:val="21"/>
              </w:rPr>
            </w:pPr>
            <w:r>
              <w:t>马鞍山南方材料有限公司</w:t>
            </w:r>
          </w:p>
        </w:tc>
        <w:tc>
          <w:tcPr>
            <w:tcW w:w="633" w:type="pct"/>
            <w:tcBorders>
              <w:top w:val="single" w:sz="4" w:space="0" w:color="auto"/>
              <w:left w:val="single" w:sz="4" w:space="0" w:color="auto"/>
              <w:bottom w:val="single" w:sz="4" w:space="0" w:color="auto"/>
              <w:right w:val="single" w:sz="4" w:space="0" w:color="auto"/>
            </w:tcBorders>
          </w:tcPr>
          <w:p w14:paraId="0682AB15" w14:textId="77777777" w:rsidR="00E57DAA" w:rsidRDefault="00AC4185">
            <w:pPr>
              <w:autoSpaceDE w:val="0"/>
              <w:autoSpaceDN w:val="0"/>
              <w:adjustRightInd w:val="0"/>
              <w:jc w:val="right"/>
              <w:rPr>
                <w:szCs w:val="21"/>
              </w:rPr>
            </w:pPr>
            <w:r>
              <w:t>968,000.00</w:t>
            </w:r>
          </w:p>
        </w:tc>
        <w:tc>
          <w:tcPr>
            <w:tcW w:w="632" w:type="pct"/>
            <w:tcBorders>
              <w:top w:val="single" w:sz="4" w:space="0" w:color="auto"/>
              <w:left w:val="single" w:sz="4" w:space="0" w:color="auto"/>
              <w:bottom w:val="single" w:sz="4" w:space="0" w:color="auto"/>
              <w:right w:val="single" w:sz="4" w:space="0" w:color="auto"/>
            </w:tcBorders>
          </w:tcPr>
          <w:p w14:paraId="5DE9FBED" w14:textId="77777777" w:rsidR="00E57DAA" w:rsidRDefault="00AC4185">
            <w:pPr>
              <w:autoSpaceDE w:val="0"/>
              <w:autoSpaceDN w:val="0"/>
              <w:adjustRightInd w:val="0"/>
              <w:jc w:val="right"/>
              <w:rPr>
                <w:szCs w:val="21"/>
              </w:rPr>
            </w:pPr>
            <w:r>
              <w:t>84,400.00</w:t>
            </w:r>
          </w:p>
        </w:tc>
        <w:tc>
          <w:tcPr>
            <w:tcW w:w="703" w:type="pct"/>
            <w:tcBorders>
              <w:top w:val="single" w:sz="4" w:space="0" w:color="auto"/>
              <w:left w:val="single" w:sz="4" w:space="0" w:color="auto"/>
              <w:bottom w:val="single" w:sz="4" w:space="0" w:color="auto"/>
              <w:right w:val="single" w:sz="4" w:space="0" w:color="auto"/>
            </w:tcBorders>
          </w:tcPr>
          <w:p w14:paraId="74728EE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9E0617F" w14:textId="77777777" w:rsidR="00E57DAA" w:rsidRDefault="00AC4185">
            <w:pPr>
              <w:autoSpaceDE w:val="0"/>
              <w:autoSpaceDN w:val="0"/>
              <w:adjustRightInd w:val="0"/>
              <w:jc w:val="right"/>
              <w:rPr>
                <w:szCs w:val="21"/>
              </w:rPr>
            </w:pPr>
            <w:r>
              <w:t xml:space="preserve">　</w:t>
            </w:r>
          </w:p>
        </w:tc>
      </w:tr>
      <w:tr w:rsidR="00E57DAA" w14:paraId="645E6A39" w14:textId="77777777">
        <w:tc>
          <w:tcPr>
            <w:tcW w:w="677" w:type="pct"/>
            <w:tcBorders>
              <w:top w:val="single" w:sz="4" w:space="0" w:color="auto"/>
              <w:left w:val="single" w:sz="4" w:space="0" w:color="auto"/>
              <w:bottom w:val="single" w:sz="4" w:space="0" w:color="auto"/>
              <w:right w:val="single" w:sz="4" w:space="0" w:color="auto"/>
            </w:tcBorders>
            <w:vAlign w:val="center"/>
          </w:tcPr>
          <w:p w14:paraId="5A15A18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AE3CE3C" w14:textId="77777777" w:rsidR="00E57DAA" w:rsidRDefault="00AC4185">
            <w:pPr>
              <w:autoSpaceDE w:val="0"/>
              <w:autoSpaceDN w:val="0"/>
              <w:adjustRightInd w:val="0"/>
              <w:rPr>
                <w:szCs w:val="21"/>
              </w:rPr>
            </w:pPr>
            <w:r>
              <w:t>临朐山水水泥有限公司</w:t>
            </w:r>
          </w:p>
        </w:tc>
        <w:tc>
          <w:tcPr>
            <w:tcW w:w="633" w:type="pct"/>
            <w:tcBorders>
              <w:top w:val="single" w:sz="4" w:space="0" w:color="auto"/>
              <w:left w:val="single" w:sz="4" w:space="0" w:color="auto"/>
              <w:bottom w:val="single" w:sz="4" w:space="0" w:color="auto"/>
              <w:right w:val="single" w:sz="4" w:space="0" w:color="auto"/>
            </w:tcBorders>
          </w:tcPr>
          <w:p w14:paraId="606B7AC2" w14:textId="77777777" w:rsidR="00E57DAA" w:rsidRDefault="00AC4185">
            <w:pPr>
              <w:autoSpaceDE w:val="0"/>
              <w:autoSpaceDN w:val="0"/>
              <w:adjustRightInd w:val="0"/>
              <w:jc w:val="right"/>
              <w:rPr>
                <w:szCs w:val="21"/>
              </w:rPr>
            </w:pPr>
            <w:r>
              <w:t>750,000.00</w:t>
            </w:r>
          </w:p>
        </w:tc>
        <w:tc>
          <w:tcPr>
            <w:tcW w:w="632" w:type="pct"/>
            <w:tcBorders>
              <w:top w:val="single" w:sz="4" w:space="0" w:color="auto"/>
              <w:left w:val="single" w:sz="4" w:space="0" w:color="auto"/>
              <w:bottom w:val="single" w:sz="4" w:space="0" w:color="auto"/>
              <w:right w:val="single" w:sz="4" w:space="0" w:color="auto"/>
            </w:tcBorders>
          </w:tcPr>
          <w:p w14:paraId="16514FB4" w14:textId="77777777" w:rsidR="00E57DAA" w:rsidRDefault="00AC4185">
            <w:pPr>
              <w:autoSpaceDE w:val="0"/>
              <w:autoSpaceDN w:val="0"/>
              <w:adjustRightInd w:val="0"/>
              <w:jc w:val="right"/>
              <w:rPr>
                <w:szCs w:val="21"/>
              </w:rPr>
            </w:pPr>
            <w:r>
              <w:t>348,750.00</w:t>
            </w:r>
          </w:p>
        </w:tc>
        <w:tc>
          <w:tcPr>
            <w:tcW w:w="703" w:type="pct"/>
            <w:tcBorders>
              <w:top w:val="single" w:sz="4" w:space="0" w:color="auto"/>
              <w:left w:val="single" w:sz="4" w:space="0" w:color="auto"/>
              <w:bottom w:val="single" w:sz="4" w:space="0" w:color="auto"/>
              <w:right w:val="single" w:sz="4" w:space="0" w:color="auto"/>
            </w:tcBorders>
          </w:tcPr>
          <w:p w14:paraId="486B5D18" w14:textId="77777777" w:rsidR="00E57DAA" w:rsidRDefault="00AC4185">
            <w:pPr>
              <w:autoSpaceDE w:val="0"/>
              <w:autoSpaceDN w:val="0"/>
              <w:adjustRightInd w:val="0"/>
              <w:jc w:val="right"/>
              <w:rPr>
                <w:szCs w:val="21"/>
              </w:rPr>
            </w:pPr>
            <w:r>
              <w:t>750,000.00</w:t>
            </w:r>
          </w:p>
        </w:tc>
        <w:tc>
          <w:tcPr>
            <w:tcW w:w="914" w:type="pct"/>
            <w:tcBorders>
              <w:top w:val="single" w:sz="4" w:space="0" w:color="auto"/>
              <w:left w:val="single" w:sz="4" w:space="0" w:color="auto"/>
              <w:bottom w:val="single" w:sz="4" w:space="0" w:color="auto"/>
              <w:right w:val="single" w:sz="4" w:space="0" w:color="auto"/>
            </w:tcBorders>
          </w:tcPr>
          <w:p w14:paraId="59DF3E1B" w14:textId="77777777" w:rsidR="00E57DAA" w:rsidRDefault="00AC4185">
            <w:pPr>
              <w:autoSpaceDE w:val="0"/>
              <w:autoSpaceDN w:val="0"/>
              <w:adjustRightInd w:val="0"/>
              <w:jc w:val="right"/>
              <w:rPr>
                <w:szCs w:val="21"/>
              </w:rPr>
            </w:pPr>
            <w:r>
              <w:t>31,575.00</w:t>
            </w:r>
          </w:p>
        </w:tc>
      </w:tr>
      <w:tr w:rsidR="00E57DAA" w14:paraId="0FBD667D" w14:textId="77777777">
        <w:tc>
          <w:tcPr>
            <w:tcW w:w="677" w:type="pct"/>
            <w:tcBorders>
              <w:top w:val="single" w:sz="4" w:space="0" w:color="auto"/>
              <w:left w:val="single" w:sz="4" w:space="0" w:color="auto"/>
              <w:bottom w:val="single" w:sz="4" w:space="0" w:color="auto"/>
              <w:right w:val="single" w:sz="4" w:space="0" w:color="auto"/>
            </w:tcBorders>
            <w:vAlign w:val="center"/>
          </w:tcPr>
          <w:p w14:paraId="151DF37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910C44A" w14:textId="77777777" w:rsidR="00E57DAA" w:rsidRDefault="00AC4185">
            <w:pPr>
              <w:autoSpaceDE w:val="0"/>
              <w:autoSpaceDN w:val="0"/>
              <w:adjustRightInd w:val="0"/>
              <w:rPr>
                <w:szCs w:val="21"/>
              </w:rPr>
            </w:pPr>
            <w:r>
              <w:t>济南山水物流港有限公司</w:t>
            </w:r>
          </w:p>
        </w:tc>
        <w:tc>
          <w:tcPr>
            <w:tcW w:w="633" w:type="pct"/>
            <w:tcBorders>
              <w:top w:val="single" w:sz="4" w:space="0" w:color="auto"/>
              <w:left w:val="single" w:sz="4" w:space="0" w:color="auto"/>
              <w:bottom w:val="single" w:sz="4" w:space="0" w:color="auto"/>
              <w:right w:val="single" w:sz="4" w:space="0" w:color="auto"/>
            </w:tcBorders>
          </w:tcPr>
          <w:p w14:paraId="534711FD" w14:textId="77777777" w:rsidR="00E57DAA" w:rsidRDefault="00AC4185">
            <w:pPr>
              <w:autoSpaceDE w:val="0"/>
              <w:autoSpaceDN w:val="0"/>
              <w:adjustRightInd w:val="0"/>
              <w:jc w:val="right"/>
              <w:rPr>
                <w:szCs w:val="21"/>
              </w:rPr>
            </w:pPr>
            <w:r>
              <w:t>520,000.00</w:t>
            </w:r>
          </w:p>
        </w:tc>
        <w:tc>
          <w:tcPr>
            <w:tcW w:w="632" w:type="pct"/>
            <w:tcBorders>
              <w:top w:val="single" w:sz="4" w:space="0" w:color="auto"/>
              <w:left w:val="single" w:sz="4" w:space="0" w:color="auto"/>
              <w:bottom w:val="single" w:sz="4" w:space="0" w:color="auto"/>
              <w:right w:val="single" w:sz="4" w:space="0" w:color="auto"/>
            </w:tcBorders>
          </w:tcPr>
          <w:p w14:paraId="6889FF35" w14:textId="77777777" w:rsidR="00E57DAA" w:rsidRDefault="00AC4185">
            <w:pPr>
              <w:autoSpaceDE w:val="0"/>
              <w:autoSpaceDN w:val="0"/>
              <w:adjustRightInd w:val="0"/>
              <w:jc w:val="right"/>
              <w:rPr>
                <w:szCs w:val="21"/>
              </w:rPr>
            </w:pPr>
            <w:r>
              <w:t>27,520.00</w:t>
            </w:r>
          </w:p>
        </w:tc>
        <w:tc>
          <w:tcPr>
            <w:tcW w:w="703" w:type="pct"/>
            <w:tcBorders>
              <w:top w:val="single" w:sz="4" w:space="0" w:color="auto"/>
              <w:left w:val="single" w:sz="4" w:space="0" w:color="auto"/>
              <w:bottom w:val="single" w:sz="4" w:space="0" w:color="auto"/>
              <w:right w:val="single" w:sz="4" w:space="0" w:color="auto"/>
            </w:tcBorders>
          </w:tcPr>
          <w:p w14:paraId="11108E77" w14:textId="77777777" w:rsidR="00E57DAA" w:rsidRDefault="00AC4185">
            <w:pPr>
              <w:autoSpaceDE w:val="0"/>
              <w:autoSpaceDN w:val="0"/>
              <w:adjustRightInd w:val="0"/>
              <w:jc w:val="right"/>
              <w:rPr>
                <w:szCs w:val="21"/>
              </w:rPr>
            </w:pPr>
            <w:r>
              <w:t>660,000.00</w:t>
            </w:r>
          </w:p>
        </w:tc>
        <w:tc>
          <w:tcPr>
            <w:tcW w:w="914" w:type="pct"/>
            <w:tcBorders>
              <w:top w:val="single" w:sz="4" w:space="0" w:color="auto"/>
              <w:left w:val="single" w:sz="4" w:space="0" w:color="auto"/>
              <w:bottom w:val="single" w:sz="4" w:space="0" w:color="auto"/>
              <w:right w:val="single" w:sz="4" w:space="0" w:color="auto"/>
            </w:tcBorders>
          </w:tcPr>
          <w:p w14:paraId="43362886" w14:textId="77777777" w:rsidR="00E57DAA" w:rsidRDefault="00AC4185">
            <w:pPr>
              <w:autoSpaceDE w:val="0"/>
              <w:autoSpaceDN w:val="0"/>
              <w:adjustRightInd w:val="0"/>
              <w:jc w:val="right"/>
              <w:rPr>
                <w:szCs w:val="21"/>
              </w:rPr>
            </w:pPr>
            <w:r>
              <w:t>20,760.00</w:t>
            </w:r>
          </w:p>
        </w:tc>
      </w:tr>
      <w:tr w:rsidR="00E57DAA" w14:paraId="73143B23" w14:textId="77777777">
        <w:tc>
          <w:tcPr>
            <w:tcW w:w="677" w:type="pct"/>
            <w:tcBorders>
              <w:top w:val="single" w:sz="4" w:space="0" w:color="auto"/>
              <w:left w:val="single" w:sz="4" w:space="0" w:color="auto"/>
              <w:bottom w:val="single" w:sz="4" w:space="0" w:color="auto"/>
              <w:right w:val="single" w:sz="4" w:space="0" w:color="auto"/>
            </w:tcBorders>
            <w:vAlign w:val="center"/>
          </w:tcPr>
          <w:p w14:paraId="701179A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97547B2" w14:textId="77777777" w:rsidR="00E57DAA" w:rsidRDefault="00AC4185">
            <w:pPr>
              <w:autoSpaceDE w:val="0"/>
              <w:autoSpaceDN w:val="0"/>
              <w:adjustRightInd w:val="0"/>
              <w:rPr>
                <w:szCs w:val="21"/>
              </w:rPr>
            </w:pPr>
            <w:r>
              <w:t>安丘山水水泥有限公司</w:t>
            </w:r>
          </w:p>
        </w:tc>
        <w:tc>
          <w:tcPr>
            <w:tcW w:w="633" w:type="pct"/>
            <w:tcBorders>
              <w:top w:val="single" w:sz="4" w:space="0" w:color="auto"/>
              <w:left w:val="single" w:sz="4" w:space="0" w:color="auto"/>
              <w:bottom w:val="single" w:sz="4" w:space="0" w:color="auto"/>
              <w:right w:val="single" w:sz="4" w:space="0" w:color="auto"/>
            </w:tcBorders>
          </w:tcPr>
          <w:p w14:paraId="534C68E1"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35606B30" w14:textId="77777777" w:rsidR="00E57DAA" w:rsidRDefault="00AC4185">
            <w:pPr>
              <w:autoSpaceDE w:val="0"/>
              <w:autoSpaceDN w:val="0"/>
              <w:adjustRightInd w:val="0"/>
              <w:jc w:val="right"/>
              <w:rPr>
                <w:szCs w:val="21"/>
              </w:rPr>
            </w:pPr>
            <w:r>
              <w:t>232,500.00</w:t>
            </w:r>
          </w:p>
        </w:tc>
        <w:tc>
          <w:tcPr>
            <w:tcW w:w="703" w:type="pct"/>
            <w:tcBorders>
              <w:top w:val="single" w:sz="4" w:space="0" w:color="auto"/>
              <w:left w:val="single" w:sz="4" w:space="0" w:color="auto"/>
              <w:bottom w:val="single" w:sz="4" w:space="0" w:color="auto"/>
              <w:right w:val="single" w:sz="4" w:space="0" w:color="auto"/>
            </w:tcBorders>
          </w:tcPr>
          <w:p w14:paraId="4EFCD60C"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54AC5A62" w14:textId="77777777" w:rsidR="00E57DAA" w:rsidRDefault="00AC4185">
            <w:pPr>
              <w:autoSpaceDE w:val="0"/>
              <w:autoSpaceDN w:val="0"/>
              <w:adjustRightInd w:val="0"/>
              <w:jc w:val="right"/>
              <w:rPr>
                <w:szCs w:val="21"/>
              </w:rPr>
            </w:pPr>
            <w:r>
              <w:t>21,050.00</w:t>
            </w:r>
          </w:p>
        </w:tc>
      </w:tr>
      <w:tr w:rsidR="00E57DAA" w14:paraId="45975F34" w14:textId="77777777">
        <w:tc>
          <w:tcPr>
            <w:tcW w:w="677" w:type="pct"/>
            <w:tcBorders>
              <w:top w:val="single" w:sz="4" w:space="0" w:color="auto"/>
              <w:left w:val="single" w:sz="4" w:space="0" w:color="auto"/>
              <w:bottom w:val="single" w:sz="4" w:space="0" w:color="auto"/>
              <w:right w:val="single" w:sz="4" w:space="0" w:color="auto"/>
            </w:tcBorders>
            <w:vAlign w:val="center"/>
          </w:tcPr>
          <w:p w14:paraId="6A2DB03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5CEFE2E" w14:textId="77777777" w:rsidR="00E57DAA" w:rsidRDefault="00AC4185">
            <w:pPr>
              <w:autoSpaceDE w:val="0"/>
              <w:autoSpaceDN w:val="0"/>
              <w:adjustRightInd w:val="0"/>
              <w:rPr>
                <w:szCs w:val="21"/>
              </w:rPr>
            </w:pPr>
            <w:r>
              <w:t>烟台兴昊山水水泥有限公司</w:t>
            </w:r>
          </w:p>
        </w:tc>
        <w:tc>
          <w:tcPr>
            <w:tcW w:w="633" w:type="pct"/>
            <w:tcBorders>
              <w:top w:val="single" w:sz="4" w:space="0" w:color="auto"/>
              <w:left w:val="single" w:sz="4" w:space="0" w:color="auto"/>
              <w:bottom w:val="single" w:sz="4" w:space="0" w:color="auto"/>
              <w:right w:val="single" w:sz="4" w:space="0" w:color="auto"/>
            </w:tcBorders>
          </w:tcPr>
          <w:p w14:paraId="20FA2BBD" w14:textId="77777777" w:rsidR="00E57DAA" w:rsidRDefault="00AC4185">
            <w:pPr>
              <w:autoSpaceDE w:val="0"/>
              <w:autoSpaceDN w:val="0"/>
              <w:adjustRightInd w:val="0"/>
              <w:jc w:val="right"/>
              <w:rPr>
                <w:szCs w:val="21"/>
              </w:rPr>
            </w:pPr>
            <w:r>
              <w:t>500,000.00</w:t>
            </w:r>
          </w:p>
        </w:tc>
        <w:tc>
          <w:tcPr>
            <w:tcW w:w="632" w:type="pct"/>
            <w:tcBorders>
              <w:top w:val="single" w:sz="4" w:space="0" w:color="auto"/>
              <w:left w:val="single" w:sz="4" w:space="0" w:color="auto"/>
              <w:bottom w:val="single" w:sz="4" w:space="0" w:color="auto"/>
              <w:right w:val="single" w:sz="4" w:space="0" w:color="auto"/>
            </w:tcBorders>
          </w:tcPr>
          <w:p w14:paraId="386CC368" w14:textId="77777777" w:rsidR="00E57DAA" w:rsidRDefault="00AC4185">
            <w:pPr>
              <w:autoSpaceDE w:val="0"/>
              <w:autoSpaceDN w:val="0"/>
              <w:adjustRightInd w:val="0"/>
              <w:jc w:val="right"/>
              <w:rPr>
                <w:szCs w:val="21"/>
              </w:rPr>
            </w:pPr>
            <w:r>
              <w:t>98,500.00</w:t>
            </w:r>
          </w:p>
        </w:tc>
        <w:tc>
          <w:tcPr>
            <w:tcW w:w="703" w:type="pct"/>
            <w:tcBorders>
              <w:top w:val="single" w:sz="4" w:space="0" w:color="auto"/>
              <w:left w:val="single" w:sz="4" w:space="0" w:color="auto"/>
              <w:bottom w:val="single" w:sz="4" w:space="0" w:color="auto"/>
              <w:right w:val="single" w:sz="4" w:space="0" w:color="auto"/>
            </w:tcBorders>
          </w:tcPr>
          <w:p w14:paraId="3F914D24" w14:textId="77777777" w:rsidR="00E57DAA" w:rsidRDefault="00AC4185">
            <w:pPr>
              <w:autoSpaceDE w:val="0"/>
              <w:autoSpaceDN w:val="0"/>
              <w:adjustRightInd w:val="0"/>
              <w:jc w:val="right"/>
              <w:rPr>
                <w:szCs w:val="21"/>
              </w:rPr>
            </w:pPr>
            <w:r>
              <w:t>500,000.00</w:t>
            </w:r>
          </w:p>
        </w:tc>
        <w:tc>
          <w:tcPr>
            <w:tcW w:w="914" w:type="pct"/>
            <w:tcBorders>
              <w:top w:val="single" w:sz="4" w:space="0" w:color="auto"/>
              <w:left w:val="single" w:sz="4" w:space="0" w:color="auto"/>
              <w:bottom w:val="single" w:sz="4" w:space="0" w:color="auto"/>
              <w:right w:val="single" w:sz="4" w:space="0" w:color="auto"/>
            </w:tcBorders>
          </w:tcPr>
          <w:p w14:paraId="4449282F" w14:textId="77777777" w:rsidR="00E57DAA" w:rsidRDefault="00AC4185">
            <w:pPr>
              <w:autoSpaceDE w:val="0"/>
              <w:autoSpaceDN w:val="0"/>
              <w:adjustRightInd w:val="0"/>
              <w:jc w:val="right"/>
              <w:rPr>
                <w:szCs w:val="21"/>
              </w:rPr>
            </w:pPr>
            <w:r>
              <w:t>3,250.00</w:t>
            </w:r>
          </w:p>
        </w:tc>
      </w:tr>
      <w:tr w:rsidR="00E57DAA" w14:paraId="10C3B5AD" w14:textId="77777777">
        <w:tc>
          <w:tcPr>
            <w:tcW w:w="677" w:type="pct"/>
            <w:tcBorders>
              <w:top w:val="single" w:sz="4" w:space="0" w:color="auto"/>
              <w:left w:val="single" w:sz="4" w:space="0" w:color="auto"/>
              <w:bottom w:val="single" w:sz="4" w:space="0" w:color="auto"/>
              <w:right w:val="single" w:sz="4" w:space="0" w:color="auto"/>
            </w:tcBorders>
            <w:vAlign w:val="center"/>
          </w:tcPr>
          <w:p w14:paraId="5B2C1658"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4562209C" w14:textId="77777777" w:rsidR="00E57DAA" w:rsidRDefault="00AC4185">
            <w:pPr>
              <w:autoSpaceDE w:val="0"/>
              <w:autoSpaceDN w:val="0"/>
              <w:adjustRightInd w:val="0"/>
              <w:rPr>
                <w:szCs w:val="21"/>
              </w:rPr>
            </w:pPr>
            <w:r>
              <w:t>拉萨城投祁连山水泥有限公司</w:t>
            </w:r>
          </w:p>
        </w:tc>
        <w:tc>
          <w:tcPr>
            <w:tcW w:w="633" w:type="pct"/>
            <w:tcBorders>
              <w:top w:val="single" w:sz="4" w:space="0" w:color="auto"/>
              <w:left w:val="single" w:sz="4" w:space="0" w:color="auto"/>
              <w:bottom w:val="single" w:sz="4" w:space="0" w:color="auto"/>
              <w:right w:val="single" w:sz="4" w:space="0" w:color="auto"/>
            </w:tcBorders>
          </w:tcPr>
          <w:p w14:paraId="6089D710" w14:textId="77777777" w:rsidR="00E57DAA" w:rsidRDefault="00AC4185">
            <w:pPr>
              <w:autoSpaceDE w:val="0"/>
              <w:autoSpaceDN w:val="0"/>
              <w:adjustRightInd w:val="0"/>
              <w:jc w:val="right"/>
              <w:rPr>
                <w:szCs w:val="21"/>
              </w:rPr>
            </w:pPr>
            <w:r>
              <w:t>362,713.05</w:t>
            </w:r>
          </w:p>
        </w:tc>
        <w:tc>
          <w:tcPr>
            <w:tcW w:w="632" w:type="pct"/>
            <w:tcBorders>
              <w:top w:val="single" w:sz="4" w:space="0" w:color="auto"/>
              <w:left w:val="single" w:sz="4" w:space="0" w:color="auto"/>
              <w:bottom w:val="single" w:sz="4" w:space="0" w:color="auto"/>
              <w:right w:val="single" w:sz="4" w:space="0" w:color="auto"/>
            </w:tcBorders>
          </w:tcPr>
          <w:p w14:paraId="230C6B36" w14:textId="77777777" w:rsidR="00E57DAA" w:rsidRDefault="00AC4185">
            <w:pPr>
              <w:autoSpaceDE w:val="0"/>
              <w:autoSpaceDN w:val="0"/>
              <w:adjustRightInd w:val="0"/>
              <w:jc w:val="right"/>
              <w:rPr>
                <w:szCs w:val="21"/>
              </w:rPr>
            </w:pPr>
            <w:r>
              <w:t>3,373.23</w:t>
            </w:r>
          </w:p>
        </w:tc>
        <w:tc>
          <w:tcPr>
            <w:tcW w:w="703" w:type="pct"/>
            <w:tcBorders>
              <w:top w:val="single" w:sz="4" w:space="0" w:color="auto"/>
              <w:left w:val="single" w:sz="4" w:space="0" w:color="auto"/>
              <w:bottom w:val="single" w:sz="4" w:space="0" w:color="auto"/>
              <w:right w:val="single" w:sz="4" w:space="0" w:color="auto"/>
            </w:tcBorders>
          </w:tcPr>
          <w:p w14:paraId="2E79CDC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1D76ED6" w14:textId="77777777" w:rsidR="00E57DAA" w:rsidRDefault="00AC4185">
            <w:pPr>
              <w:autoSpaceDE w:val="0"/>
              <w:autoSpaceDN w:val="0"/>
              <w:adjustRightInd w:val="0"/>
              <w:jc w:val="right"/>
              <w:rPr>
                <w:szCs w:val="21"/>
              </w:rPr>
            </w:pPr>
            <w:r>
              <w:t xml:space="preserve">　</w:t>
            </w:r>
          </w:p>
        </w:tc>
      </w:tr>
      <w:tr w:rsidR="00E57DAA" w14:paraId="023CD4B2" w14:textId="77777777">
        <w:tc>
          <w:tcPr>
            <w:tcW w:w="677" w:type="pct"/>
            <w:tcBorders>
              <w:top w:val="single" w:sz="4" w:space="0" w:color="auto"/>
              <w:left w:val="single" w:sz="4" w:space="0" w:color="auto"/>
              <w:bottom w:val="single" w:sz="4" w:space="0" w:color="auto"/>
              <w:right w:val="single" w:sz="4" w:space="0" w:color="auto"/>
            </w:tcBorders>
            <w:vAlign w:val="center"/>
          </w:tcPr>
          <w:p w14:paraId="3F1D6E9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72847EE" w14:textId="77777777" w:rsidR="00E57DAA" w:rsidRDefault="00AC4185">
            <w:pPr>
              <w:autoSpaceDE w:val="0"/>
              <w:autoSpaceDN w:val="0"/>
              <w:adjustRightInd w:val="0"/>
              <w:rPr>
                <w:szCs w:val="21"/>
              </w:rPr>
            </w:pPr>
            <w:r>
              <w:t>辽宁山水工源水泥有限公司</w:t>
            </w:r>
          </w:p>
        </w:tc>
        <w:tc>
          <w:tcPr>
            <w:tcW w:w="633" w:type="pct"/>
            <w:tcBorders>
              <w:top w:val="single" w:sz="4" w:space="0" w:color="auto"/>
              <w:left w:val="single" w:sz="4" w:space="0" w:color="auto"/>
              <w:bottom w:val="single" w:sz="4" w:space="0" w:color="auto"/>
              <w:right w:val="single" w:sz="4" w:space="0" w:color="auto"/>
            </w:tcBorders>
          </w:tcPr>
          <w:p w14:paraId="0F5C74B1" w14:textId="77777777" w:rsidR="00E57DAA" w:rsidRDefault="00AC4185">
            <w:pPr>
              <w:autoSpaceDE w:val="0"/>
              <w:autoSpaceDN w:val="0"/>
              <w:adjustRightInd w:val="0"/>
              <w:jc w:val="right"/>
              <w:rPr>
                <w:szCs w:val="21"/>
              </w:rPr>
            </w:pPr>
            <w:r>
              <w:t>300,000.00</w:t>
            </w:r>
          </w:p>
        </w:tc>
        <w:tc>
          <w:tcPr>
            <w:tcW w:w="632" w:type="pct"/>
            <w:tcBorders>
              <w:top w:val="single" w:sz="4" w:space="0" w:color="auto"/>
              <w:left w:val="single" w:sz="4" w:space="0" w:color="auto"/>
              <w:bottom w:val="single" w:sz="4" w:space="0" w:color="auto"/>
              <w:right w:val="single" w:sz="4" w:space="0" w:color="auto"/>
            </w:tcBorders>
          </w:tcPr>
          <w:p w14:paraId="68F56E1C" w14:textId="77777777" w:rsidR="00E57DAA" w:rsidRDefault="00AC4185">
            <w:pPr>
              <w:autoSpaceDE w:val="0"/>
              <w:autoSpaceDN w:val="0"/>
              <w:adjustRightInd w:val="0"/>
              <w:jc w:val="right"/>
              <w:rPr>
                <w:szCs w:val="21"/>
              </w:rPr>
            </w:pPr>
            <w:r>
              <w:t>139,500.00</w:t>
            </w:r>
          </w:p>
        </w:tc>
        <w:tc>
          <w:tcPr>
            <w:tcW w:w="703" w:type="pct"/>
            <w:tcBorders>
              <w:top w:val="single" w:sz="4" w:space="0" w:color="auto"/>
              <w:left w:val="single" w:sz="4" w:space="0" w:color="auto"/>
              <w:bottom w:val="single" w:sz="4" w:space="0" w:color="auto"/>
              <w:right w:val="single" w:sz="4" w:space="0" w:color="auto"/>
            </w:tcBorders>
          </w:tcPr>
          <w:p w14:paraId="2A8E10C6" w14:textId="77777777" w:rsidR="00E57DAA" w:rsidRDefault="00AC4185">
            <w:pPr>
              <w:autoSpaceDE w:val="0"/>
              <w:autoSpaceDN w:val="0"/>
              <w:adjustRightInd w:val="0"/>
              <w:jc w:val="right"/>
              <w:rPr>
                <w:szCs w:val="21"/>
              </w:rPr>
            </w:pPr>
            <w:r>
              <w:t>300,000.00</w:t>
            </w:r>
          </w:p>
        </w:tc>
        <w:tc>
          <w:tcPr>
            <w:tcW w:w="914" w:type="pct"/>
            <w:tcBorders>
              <w:top w:val="single" w:sz="4" w:space="0" w:color="auto"/>
              <w:left w:val="single" w:sz="4" w:space="0" w:color="auto"/>
              <w:bottom w:val="single" w:sz="4" w:space="0" w:color="auto"/>
              <w:right w:val="single" w:sz="4" w:space="0" w:color="auto"/>
            </w:tcBorders>
          </w:tcPr>
          <w:p w14:paraId="27264549" w14:textId="77777777" w:rsidR="00E57DAA" w:rsidRDefault="00AC4185">
            <w:pPr>
              <w:autoSpaceDE w:val="0"/>
              <w:autoSpaceDN w:val="0"/>
              <w:adjustRightInd w:val="0"/>
              <w:jc w:val="right"/>
              <w:rPr>
                <w:szCs w:val="21"/>
              </w:rPr>
            </w:pPr>
            <w:r>
              <w:t>7,200.00</w:t>
            </w:r>
          </w:p>
        </w:tc>
      </w:tr>
      <w:tr w:rsidR="00E57DAA" w14:paraId="1BAF8F73" w14:textId="77777777">
        <w:tc>
          <w:tcPr>
            <w:tcW w:w="677" w:type="pct"/>
            <w:tcBorders>
              <w:top w:val="single" w:sz="4" w:space="0" w:color="auto"/>
              <w:left w:val="single" w:sz="4" w:space="0" w:color="auto"/>
              <w:bottom w:val="single" w:sz="4" w:space="0" w:color="auto"/>
              <w:right w:val="single" w:sz="4" w:space="0" w:color="auto"/>
            </w:tcBorders>
            <w:vAlign w:val="center"/>
          </w:tcPr>
          <w:p w14:paraId="72B8559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4B8E3D8" w14:textId="77777777" w:rsidR="00E57DAA" w:rsidRDefault="00AC4185">
            <w:pPr>
              <w:autoSpaceDE w:val="0"/>
              <w:autoSpaceDN w:val="0"/>
              <w:adjustRightInd w:val="0"/>
              <w:rPr>
                <w:szCs w:val="21"/>
              </w:rPr>
            </w:pPr>
            <w:r>
              <w:t>枞阳东园环境投资建设有限公司</w:t>
            </w:r>
          </w:p>
        </w:tc>
        <w:tc>
          <w:tcPr>
            <w:tcW w:w="633" w:type="pct"/>
            <w:tcBorders>
              <w:top w:val="single" w:sz="4" w:space="0" w:color="auto"/>
              <w:left w:val="single" w:sz="4" w:space="0" w:color="auto"/>
              <w:bottom w:val="single" w:sz="4" w:space="0" w:color="auto"/>
              <w:right w:val="single" w:sz="4" w:space="0" w:color="auto"/>
            </w:tcBorders>
          </w:tcPr>
          <w:p w14:paraId="6409996D" w14:textId="77777777" w:rsidR="00E57DAA" w:rsidRDefault="00AC4185">
            <w:pPr>
              <w:autoSpaceDE w:val="0"/>
              <w:autoSpaceDN w:val="0"/>
              <w:adjustRightInd w:val="0"/>
              <w:jc w:val="right"/>
              <w:rPr>
                <w:szCs w:val="21"/>
              </w:rPr>
            </w:pPr>
            <w:r>
              <w:t>278,366.53</w:t>
            </w:r>
          </w:p>
        </w:tc>
        <w:tc>
          <w:tcPr>
            <w:tcW w:w="632" w:type="pct"/>
            <w:tcBorders>
              <w:top w:val="single" w:sz="4" w:space="0" w:color="auto"/>
              <w:left w:val="single" w:sz="4" w:space="0" w:color="auto"/>
              <w:bottom w:val="single" w:sz="4" w:space="0" w:color="auto"/>
              <w:right w:val="single" w:sz="4" w:space="0" w:color="auto"/>
            </w:tcBorders>
          </w:tcPr>
          <w:p w14:paraId="5F4FE122" w14:textId="77777777" w:rsidR="00E57DAA" w:rsidRDefault="00AC4185">
            <w:pPr>
              <w:autoSpaceDE w:val="0"/>
              <w:autoSpaceDN w:val="0"/>
              <w:adjustRightInd w:val="0"/>
              <w:jc w:val="right"/>
              <w:rPr>
                <w:szCs w:val="21"/>
              </w:rPr>
            </w:pPr>
            <w:r>
              <w:t>5,567.33</w:t>
            </w:r>
          </w:p>
        </w:tc>
        <w:tc>
          <w:tcPr>
            <w:tcW w:w="703" w:type="pct"/>
            <w:tcBorders>
              <w:top w:val="single" w:sz="4" w:space="0" w:color="auto"/>
              <w:left w:val="single" w:sz="4" w:space="0" w:color="auto"/>
              <w:bottom w:val="single" w:sz="4" w:space="0" w:color="auto"/>
              <w:right w:val="single" w:sz="4" w:space="0" w:color="auto"/>
            </w:tcBorders>
          </w:tcPr>
          <w:p w14:paraId="167CBCD5" w14:textId="77777777" w:rsidR="00E57DAA" w:rsidRDefault="00AC4185">
            <w:pPr>
              <w:autoSpaceDE w:val="0"/>
              <w:autoSpaceDN w:val="0"/>
              <w:adjustRightInd w:val="0"/>
              <w:jc w:val="right"/>
              <w:rPr>
                <w:szCs w:val="21"/>
              </w:rPr>
            </w:pPr>
            <w:r>
              <w:t>423,246.12</w:t>
            </w:r>
          </w:p>
        </w:tc>
        <w:tc>
          <w:tcPr>
            <w:tcW w:w="914" w:type="pct"/>
            <w:tcBorders>
              <w:top w:val="single" w:sz="4" w:space="0" w:color="auto"/>
              <w:left w:val="single" w:sz="4" w:space="0" w:color="auto"/>
              <w:bottom w:val="single" w:sz="4" w:space="0" w:color="auto"/>
              <w:right w:val="single" w:sz="4" w:space="0" w:color="auto"/>
            </w:tcBorders>
          </w:tcPr>
          <w:p w14:paraId="4A64E4EF" w14:textId="77777777" w:rsidR="00E57DAA" w:rsidRDefault="00AC4185">
            <w:pPr>
              <w:autoSpaceDE w:val="0"/>
              <w:autoSpaceDN w:val="0"/>
              <w:adjustRightInd w:val="0"/>
              <w:jc w:val="right"/>
              <w:rPr>
                <w:szCs w:val="21"/>
              </w:rPr>
            </w:pPr>
            <w:r>
              <w:t>8,888.17</w:t>
            </w:r>
          </w:p>
        </w:tc>
      </w:tr>
      <w:tr w:rsidR="00E57DAA" w14:paraId="04235635" w14:textId="77777777">
        <w:tc>
          <w:tcPr>
            <w:tcW w:w="677" w:type="pct"/>
            <w:tcBorders>
              <w:top w:val="single" w:sz="4" w:space="0" w:color="auto"/>
              <w:left w:val="single" w:sz="4" w:space="0" w:color="auto"/>
              <w:bottom w:val="single" w:sz="4" w:space="0" w:color="auto"/>
              <w:right w:val="single" w:sz="4" w:space="0" w:color="auto"/>
            </w:tcBorders>
            <w:vAlign w:val="center"/>
          </w:tcPr>
          <w:p w14:paraId="391EF476"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39529DB" w14:textId="77777777" w:rsidR="00E57DAA" w:rsidRDefault="00AC4185">
            <w:pPr>
              <w:autoSpaceDE w:val="0"/>
              <w:autoSpaceDN w:val="0"/>
              <w:adjustRightInd w:val="0"/>
              <w:rPr>
                <w:szCs w:val="21"/>
              </w:rPr>
            </w:pPr>
            <w:r>
              <w:t>大冶尖峰水泥有限公司</w:t>
            </w:r>
          </w:p>
        </w:tc>
        <w:tc>
          <w:tcPr>
            <w:tcW w:w="633" w:type="pct"/>
            <w:tcBorders>
              <w:top w:val="single" w:sz="4" w:space="0" w:color="auto"/>
              <w:left w:val="single" w:sz="4" w:space="0" w:color="auto"/>
              <w:bottom w:val="single" w:sz="4" w:space="0" w:color="auto"/>
              <w:right w:val="single" w:sz="4" w:space="0" w:color="auto"/>
            </w:tcBorders>
          </w:tcPr>
          <w:p w14:paraId="3C73B257" w14:textId="77777777" w:rsidR="00E57DAA" w:rsidRDefault="00AC4185">
            <w:pPr>
              <w:autoSpaceDE w:val="0"/>
              <w:autoSpaceDN w:val="0"/>
              <w:adjustRightInd w:val="0"/>
              <w:jc w:val="right"/>
              <w:rPr>
                <w:szCs w:val="21"/>
              </w:rPr>
            </w:pPr>
            <w:r>
              <w:t>250,000.00</w:t>
            </w:r>
          </w:p>
        </w:tc>
        <w:tc>
          <w:tcPr>
            <w:tcW w:w="632" w:type="pct"/>
            <w:tcBorders>
              <w:top w:val="single" w:sz="4" w:space="0" w:color="auto"/>
              <w:left w:val="single" w:sz="4" w:space="0" w:color="auto"/>
              <w:bottom w:val="single" w:sz="4" w:space="0" w:color="auto"/>
              <w:right w:val="single" w:sz="4" w:space="0" w:color="auto"/>
            </w:tcBorders>
          </w:tcPr>
          <w:p w14:paraId="3D8D9024" w14:textId="77777777" w:rsidR="00E57DAA" w:rsidRDefault="00AC4185">
            <w:pPr>
              <w:autoSpaceDE w:val="0"/>
              <w:autoSpaceDN w:val="0"/>
              <w:adjustRightInd w:val="0"/>
              <w:jc w:val="right"/>
              <w:rPr>
                <w:szCs w:val="21"/>
              </w:rPr>
            </w:pPr>
            <w:r>
              <w:t>10,850.00</w:t>
            </w:r>
          </w:p>
        </w:tc>
        <w:tc>
          <w:tcPr>
            <w:tcW w:w="703" w:type="pct"/>
            <w:tcBorders>
              <w:top w:val="single" w:sz="4" w:space="0" w:color="auto"/>
              <w:left w:val="single" w:sz="4" w:space="0" w:color="auto"/>
              <w:bottom w:val="single" w:sz="4" w:space="0" w:color="auto"/>
              <w:right w:val="single" w:sz="4" w:space="0" w:color="auto"/>
            </w:tcBorders>
          </w:tcPr>
          <w:p w14:paraId="7ADF9B6D" w14:textId="77777777" w:rsidR="00E57DAA" w:rsidRDefault="00AC4185">
            <w:pPr>
              <w:autoSpaceDE w:val="0"/>
              <w:autoSpaceDN w:val="0"/>
              <w:adjustRightInd w:val="0"/>
              <w:jc w:val="right"/>
              <w:rPr>
                <w:szCs w:val="21"/>
              </w:rPr>
            </w:pPr>
            <w:r>
              <w:t>169,900.00</w:t>
            </w:r>
          </w:p>
        </w:tc>
        <w:tc>
          <w:tcPr>
            <w:tcW w:w="914" w:type="pct"/>
            <w:tcBorders>
              <w:top w:val="single" w:sz="4" w:space="0" w:color="auto"/>
              <w:left w:val="single" w:sz="4" w:space="0" w:color="auto"/>
              <w:bottom w:val="single" w:sz="4" w:space="0" w:color="auto"/>
              <w:right w:val="single" w:sz="4" w:space="0" w:color="auto"/>
            </w:tcBorders>
          </w:tcPr>
          <w:p w14:paraId="6F5AA971" w14:textId="77777777" w:rsidR="00E57DAA" w:rsidRDefault="00AC4185">
            <w:pPr>
              <w:autoSpaceDE w:val="0"/>
              <w:autoSpaceDN w:val="0"/>
              <w:adjustRightInd w:val="0"/>
              <w:jc w:val="right"/>
              <w:rPr>
                <w:szCs w:val="21"/>
              </w:rPr>
            </w:pPr>
            <w:r>
              <w:t>3,567.90</w:t>
            </w:r>
          </w:p>
        </w:tc>
      </w:tr>
      <w:tr w:rsidR="00E57DAA" w14:paraId="3F4EC619" w14:textId="77777777">
        <w:tc>
          <w:tcPr>
            <w:tcW w:w="677" w:type="pct"/>
            <w:tcBorders>
              <w:top w:val="single" w:sz="4" w:space="0" w:color="auto"/>
              <w:left w:val="single" w:sz="4" w:space="0" w:color="auto"/>
              <w:bottom w:val="single" w:sz="4" w:space="0" w:color="auto"/>
              <w:right w:val="single" w:sz="4" w:space="0" w:color="auto"/>
            </w:tcBorders>
            <w:vAlign w:val="center"/>
          </w:tcPr>
          <w:p w14:paraId="5AAECFFF"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F6E51EF" w14:textId="77777777" w:rsidR="00E57DAA" w:rsidRDefault="00AC4185">
            <w:pPr>
              <w:autoSpaceDE w:val="0"/>
              <w:autoSpaceDN w:val="0"/>
              <w:adjustRightInd w:val="0"/>
              <w:rPr>
                <w:szCs w:val="21"/>
              </w:rPr>
            </w:pPr>
            <w:r>
              <w:t>临朐山水建材骨料有限公司</w:t>
            </w:r>
          </w:p>
        </w:tc>
        <w:tc>
          <w:tcPr>
            <w:tcW w:w="633" w:type="pct"/>
            <w:tcBorders>
              <w:top w:val="single" w:sz="4" w:space="0" w:color="auto"/>
              <w:left w:val="single" w:sz="4" w:space="0" w:color="auto"/>
              <w:bottom w:val="single" w:sz="4" w:space="0" w:color="auto"/>
              <w:right w:val="single" w:sz="4" w:space="0" w:color="auto"/>
            </w:tcBorders>
          </w:tcPr>
          <w:p w14:paraId="464A3808" w14:textId="77777777" w:rsidR="00E57DAA" w:rsidRDefault="00AC4185">
            <w:pPr>
              <w:autoSpaceDE w:val="0"/>
              <w:autoSpaceDN w:val="0"/>
              <w:adjustRightInd w:val="0"/>
              <w:jc w:val="right"/>
              <w:rPr>
                <w:szCs w:val="21"/>
              </w:rPr>
            </w:pPr>
            <w:r>
              <w:t>250,000.00</w:t>
            </w:r>
          </w:p>
        </w:tc>
        <w:tc>
          <w:tcPr>
            <w:tcW w:w="632" w:type="pct"/>
            <w:tcBorders>
              <w:top w:val="single" w:sz="4" w:space="0" w:color="auto"/>
              <w:left w:val="single" w:sz="4" w:space="0" w:color="auto"/>
              <w:bottom w:val="single" w:sz="4" w:space="0" w:color="auto"/>
              <w:right w:val="single" w:sz="4" w:space="0" w:color="auto"/>
            </w:tcBorders>
          </w:tcPr>
          <w:p w14:paraId="28546EA3" w14:textId="77777777" w:rsidR="00E57DAA" w:rsidRDefault="00AC4185">
            <w:pPr>
              <w:autoSpaceDE w:val="0"/>
              <w:autoSpaceDN w:val="0"/>
              <w:adjustRightInd w:val="0"/>
              <w:jc w:val="right"/>
              <w:rPr>
                <w:szCs w:val="21"/>
              </w:rPr>
            </w:pPr>
            <w:r>
              <w:t>116,250.00</w:t>
            </w:r>
          </w:p>
        </w:tc>
        <w:tc>
          <w:tcPr>
            <w:tcW w:w="703" w:type="pct"/>
            <w:tcBorders>
              <w:top w:val="single" w:sz="4" w:space="0" w:color="auto"/>
              <w:left w:val="single" w:sz="4" w:space="0" w:color="auto"/>
              <w:bottom w:val="single" w:sz="4" w:space="0" w:color="auto"/>
              <w:right w:val="single" w:sz="4" w:space="0" w:color="auto"/>
            </w:tcBorders>
          </w:tcPr>
          <w:p w14:paraId="4A2533FD" w14:textId="77777777" w:rsidR="00E57DAA" w:rsidRDefault="00AC4185">
            <w:pPr>
              <w:autoSpaceDE w:val="0"/>
              <w:autoSpaceDN w:val="0"/>
              <w:adjustRightInd w:val="0"/>
              <w:jc w:val="right"/>
              <w:rPr>
                <w:szCs w:val="21"/>
              </w:rPr>
            </w:pPr>
            <w:r>
              <w:t>250,000.00</w:t>
            </w:r>
          </w:p>
        </w:tc>
        <w:tc>
          <w:tcPr>
            <w:tcW w:w="914" w:type="pct"/>
            <w:tcBorders>
              <w:top w:val="single" w:sz="4" w:space="0" w:color="auto"/>
              <w:left w:val="single" w:sz="4" w:space="0" w:color="auto"/>
              <w:bottom w:val="single" w:sz="4" w:space="0" w:color="auto"/>
              <w:right w:val="single" w:sz="4" w:space="0" w:color="auto"/>
            </w:tcBorders>
          </w:tcPr>
          <w:p w14:paraId="10484369" w14:textId="77777777" w:rsidR="00E57DAA" w:rsidRDefault="00AC4185">
            <w:pPr>
              <w:autoSpaceDE w:val="0"/>
              <w:autoSpaceDN w:val="0"/>
              <w:adjustRightInd w:val="0"/>
              <w:jc w:val="right"/>
              <w:rPr>
                <w:szCs w:val="21"/>
              </w:rPr>
            </w:pPr>
            <w:r>
              <w:t>10,525.00</w:t>
            </w:r>
          </w:p>
        </w:tc>
      </w:tr>
      <w:tr w:rsidR="00E57DAA" w14:paraId="17101F31" w14:textId="77777777">
        <w:tc>
          <w:tcPr>
            <w:tcW w:w="677" w:type="pct"/>
            <w:tcBorders>
              <w:top w:val="single" w:sz="4" w:space="0" w:color="auto"/>
              <w:left w:val="single" w:sz="4" w:space="0" w:color="auto"/>
              <w:bottom w:val="single" w:sz="4" w:space="0" w:color="auto"/>
              <w:right w:val="single" w:sz="4" w:space="0" w:color="auto"/>
            </w:tcBorders>
            <w:vAlign w:val="center"/>
          </w:tcPr>
          <w:p w14:paraId="4C12745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B05FD7A" w14:textId="77777777" w:rsidR="00E57DAA" w:rsidRDefault="00AC4185">
            <w:pPr>
              <w:autoSpaceDE w:val="0"/>
              <w:autoSpaceDN w:val="0"/>
              <w:adjustRightInd w:val="0"/>
              <w:rPr>
                <w:szCs w:val="21"/>
              </w:rPr>
            </w:pPr>
            <w:r>
              <w:t>芜湖南方水泥有限公司</w:t>
            </w:r>
          </w:p>
        </w:tc>
        <w:tc>
          <w:tcPr>
            <w:tcW w:w="633" w:type="pct"/>
            <w:tcBorders>
              <w:top w:val="single" w:sz="4" w:space="0" w:color="auto"/>
              <w:left w:val="single" w:sz="4" w:space="0" w:color="auto"/>
              <w:bottom w:val="single" w:sz="4" w:space="0" w:color="auto"/>
              <w:right w:val="single" w:sz="4" w:space="0" w:color="auto"/>
            </w:tcBorders>
          </w:tcPr>
          <w:p w14:paraId="2FDA234A" w14:textId="77777777" w:rsidR="00E57DAA" w:rsidRDefault="00AC4185">
            <w:pPr>
              <w:autoSpaceDE w:val="0"/>
              <w:autoSpaceDN w:val="0"/>
              <w:adjustRightInd w:val="0"/>
              <w:jc w:val="right"/>
              <w:rPr>
                <w:szCs w:val="21"/>
              </w:rPr>
            </w:pPr>
            <w:r>
              <w:t>250,000.00</w:t>
            </w:r>
          </w:p>
        </w:tc>
        <w:tc>
          <w:tcPr>
            <w:tcW w:w="632" w:type="pct"/>
            <w:tcBorders>
              <w:top w:val="single" w:sz="4" w:space="0" w:color="auto"/>
              <w:left w:val="single" w:sz="4" w:space="0" w:color="auto"/>
              <w:bottom w:val="single" w:sz="4" w:space="0" w:color="auto"/>
              <w:right w:val="single" w:sz="4" w:space="0" w:color="auto"/>
            </w:tcBorders>
          </w:tcPr>
          <w:p w14:paraId="5E888BFF" w14:textId="77777777" w:rsidR="00E57DAA" w:rsidRDefault="00AC4185">
            <w:pPr>
              <w:autoSpaceDE w:val="0"/>
              <w:autoSpaceDN w:val="0"/>
              <w:adjustRightInd w:val="0"/>
              <w:jc w:val="right"/>
              <w:rPr>
                <w:szCs w:val="21"/>
              </w:rPr>
            </w:pPr>
            <w:r>
              <w:t>61,300.00</w:t>
            </w:r>
          </w:p>
        </w:tc>
        <w:tc>
          <w:tcPr>
            <w:tcW w:w="703" w:type="pct"/>
            <w:tcBorders>
              <w:top w:val="single" w:sz="4" w:space="0" w:color="auto"/>
              <w:left w:val="single" w:sz="4" w:space="0" w:color="auto"/>
              <w:bottom w:val="single" w:sz="4" w:space="0" w:color="auto"/>
              <w:right w:val="single" w:sz="4" w:space="0" w:color="auto"/>
            </w:tcBorders>
          </w:tcPr>
          <w:p w14:paraId="376FA5BB"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5135C695" w14:textId="77777777" w:rsidR="00E57DAA" w:rsidRDefault="00AC4185">
            <w:pPr>
              <w:autoSpaceDE w:val="0"/>
              <w:autoSpaceDN w:val="0"/>
              <w:adjustRightInd w:val="0"/>
              <w:jc w:val="right"/>
              <w:rPr>
                <w:szCs w:val="21"/>
              </w:rPr>
            </w:pPr>
            <w:r>
              <w:t>32,200.00</w:t>
            </w:r>
          </w:p>
        </w:tc>
      </w:tr>
      <w:tr w:rsidR="00E57DAA" w14:paraId="06860C72" w14:textId="77777777">
        <w:tc>
          <w:tcPr>
            <w:tcW w:w="677" w:type="pct"/>
            <w:tcBorders>
              <w:top w:val="single" w:sz="4" w:space="0" w:color="auto"/>
              <w:left w:val="single" w:sz="4" w:space="0" w:color="auto"/>
              <w:bottom w:val="single" w:sz="4" w:space="0" w:color="auto"/>
              <w:right w:val="single" w:sz="4" w:space="0" w:color="auto"/>
            </w:tcBorders>
            <w:vAlign w:val="center"/>
          </w:tcPr>
          <w:p w14:paraId="60896534"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11FC63E5" w14:textId="77777777" w:rsidR="00E57DAA" w:rsidRDefault="00AC4185">
            <w:pPr>
              <w:autoSpaceDE w:val="0"/>
              <w:autoSpaceDN w:val="0"/>
              <w:adjustRightInd w:val="0"/>
              <w:rPr>
                <w:szCs w:val="21"/>
              </w:rPr>
            </w:pPr>
            <w:r>
              <w:t>喀左丛元号水泥有限责任公司</w:t>
            </w:r>
          </w:p>
        </w:tc>
        <w:tc>
          <w:tcPr>
            <w:tcW w:w="633" w:type="pct"/>
            <w:tcBorders>
              <w:top w:val="single" w:sz="4" w:space="0" w:color="auto"/>
              <w:left w:val="single" w:sz="4" w:space="0" w:color="auto"/>
              <w:bottom w:val="single" w:sz="4" w:space="0" w:color="auto"/>
              <w:right w:val="single" w:sz="4" w:space="0" w:color="auto"/>
            </w:tcBorders>
          </w:tcPr>
          <w:p w14:paraId="1A91002A" w14:textId="77777777" w:rsidR="00E57DAA" w:rsidRDefault="00AC4185">
            <w:pPr>
              <w:autoSpaceDE w:val="0"/>
              <w:autoSpaceDN w:val="0"/>
              <w:adjustRightInd w:val="0"/>
              <w:jc w:val="right"/>
              <w:rPr>
                <w:szCs w:val="21"/>
              </w:rPr>
            </w:pPr>
            <w:r>
              <w:t>200,000.00</w:t>
            </w:r>
          </w:p>
        </w:tc>
        <w:tc>
          <w:tcPr>
            <w:tcW w:w="632" w:type="pct"/>
            <w:tcBorders>
              <w:top w:val="single" w:sz="4" w:space="0" w:color="auto"/>
              <w:left w:val="single" w:sz="4" w:space="0" w:color="auto"/>
              <w:bottom w:val="single" w:sz="4" w:space="0" w:color="auto"/>
              <w:right w:val="single" w:sz="4" w:space="0" w:color="auto"/>
            </w:tcBorders>
          </w:tcPr>
          <w:p w14:paraId="47C01909" w14:textId="77777777" w:rsidR="00E57DAA" w:rsidRDefault="00AC4185">
            <w:pPr>
              <w:autoSpaceDE w:val="0"/>
              <w:autoSpaceDN w:val="0"/>
              <w:adjustRightInd w:val="0"/>
              <w:jc w:val="right"/>
              <w:rPr>
                <w:szCs w:val="21"/>
              </w:rPr>
            </w:pPr>
            <w:r>
              <w:t>93,000.00</w:t>
            </w:r>
          </w:p>
        </w:tc>
        <w:tc>
          <w:tcPr>
            <w:tcW w:w="703" w:type="pct"/>
            <w:tcBorders>
              <w:top w:val="single" w:sz="4" w:space="0" w:color="auto"/>
              <w:left w:val="single" w:sz="4" w:space="0" w:color="auto"/>
              <w:bottom w:val="single" w:sz="4" w:space="0" w:color="auto"/>
              <w:right w:val="single" w:sz="4" w:space="0" w:color="auto"/>
            </w:tcBorders>
          </w:tcPr>
          <w:p w14:paraId="2F8D3694" w14:textId="77777777" w:rsidR="00E57DAA" w:rsidRDefault="00AC4185">
            <w:pPr>
              <w:autoSpaceDE w:val="0"/>
              <w:autoSpaceDN w:val="0"/>
              <w:adjustRightInd w:val="0"/>
              <w:jc w:val="right"/>
              <w:rPr>
                <w:szCs w:val="21"/>
              </w:rPr>
            </w:pPr>
            <w:r>
              <w:t>200,000.00</w:t>
            </w:r>
          </w:p>
        </w:tc>
        <w:tc>
          <w:tcPr>
            <w:tcW w:w="914" w:type="pct"/>
            <w:tcBorders>
              <w:top w:val="single" w:sz="4" w:space="0" w:color="auto"/>
              <w:left w:val="single" w:sz="4" w:space="0" w:color="auto"/>
              <w:bottom w:val="single" w:sz="4" w:space="0" w:color="auto"/>
              <w:right w:val="single" w:sz="4" w:space="0" w:color="auto"/>
            </w:tcBorders>
          </w:tcPr>
          <w:p w14:paraId="57738A1B" w14:textId="77777777" w:rsidR="00E57DAA" w:rsidRDefault="00AC4185">
            <w:pPr>
              <w:autoSpaceDE w:val="0"/>
              <w:autoSpaceDN w:val="0"/>
              <w:adjustRightInd w:val="0"/>
              <w:jc w:val="right"/>
              <w:rPr>
                <w:szCs w:val="21"/>
              </w:rPr>
            </w:pPr>
            <w:r>
              <w:t>5,000.00</w:t>
            </w:r>
          </w:p>
        </w:tc>
      </w:tr>
      <w:tr w:rsidR="00E57DAA" w14:paraId="6C364319" w14:textId="77777777">
        <w:tc>
          <w:tcPr>
            <w:tcW w:w="677" w:type="pct"/>
            <w:tcBorders>
              <w:top w:val="single" w:sz="4" w:space="0" w:color="auto"/>
              <w:left w:val="single" w:sz="4" w:space="0" w:color="auto"/>
              <w:bottom w:val="single" w:sz="4" w:space="0" w:color="auto"/>
              <w:right w:val="single" w:sz="4" w:space="0" w:color="auto"/>
            </w:tcBorders>
            <w:vAlign w:val="center"/>
          </w:tcPr>
          <w:p w14:paraId="5F9834B3"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D2A9536" w14:textId="77777777" w:rsidR="00E57DAA" w:rsidRDefault="00AC4185">
            <w:pPr>
              <w:autoSpaceDE w:val="0"/>
              <w:autoSpaceDN w:val="0"/>
              <w:adjustRightInd w:val="0"/>
              <w:rPr>
                <w:szCs w:val="21"/>
              </w:rPr>
            </w:pPr>
            <w:r>
              <w:t>江西玉山万年青水泥有限公司</w:t>
            </w:r>
          </w:p>
        </w:tc>
        <w:tc>
          <w:tcPr>
            <w:tcW w:w="633" w:type="pct"/>
            <w:tcBorders>
              <w:top w:val="single" w:sz="4" w:space="0" w:color="auto"/>
              <w:left w:val="single" w:sz="4" w:space="0" w:color="auto"/>
              <w:bottom w:val="single" w:sz="4" w:space="0" w:color="auto"/>
              <w:right w:val="single" w:sz="4" w:space="0" w:color="auto"/>
            </w:tcBorders>
          </w:tcPr>
          <w:p w14:paraId="15AB1ED3"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60CA2ED6" w14:textId="77777777" w:rsidR="00E57DAA" w:rsidRDefault="00AC4185">
            <w:pPr>
              <w:autoSpaceDE w:val="0"/>
              <w:autoSpaceDN w:val="0"/>
              <w:adjustRightInd w:val="0"/>
              <w:jc w:val="right"/>
              <w:rPr>
                <w:szCs w:val="21"/>
              </w:rPr>
            </w:pPr>
            <w:r>
              <w:t>8,000.00</w:t>
            </w:r>
          </w:p>
        </w:tc>
        <w:tc>
          <w:tcPr>
            <w:tcW w:w="703" w:type="pct"/>
            <w:tcBorders>
              <w:top w:val="single" w:sz="4" w:space="0" w:color="auto"/>
              <w:left w:val="single" w:sz="4" w:space="0" w:color="auto"/>
              <w:bottom w:val="single" w:sz="4" w:space="0" w:color="auto"/>
              <w:right w:val="single" w:sz="4" w:space="0" w:color="auto"/>
            </w:tcBorders>
          </w:tcPr>
          <w:p w14:paraId="4773ABB2" w14:textId="77777777" w:rsidR="00E57DAA" w:rsidRDefault="00AC4185">
            <w:pPr>
              <w:autoSpaceDE w:val="0"/>
              <w:autoSpaceDN w:val="0"/>
              <w:adjustRightInd w:val="0"/>
              <w:jc w:val="right"/>
              <w:rPr>
                <w:szCs w:val="21"/>
              </w:rPr>
            </w:pPr>
            <w:r>
              <w:t>320,000.00</w:t>
            </w:r>
          </w:p>
        </w:tc>
        <w:tc>
          <w:tcPr>
            <w:tcW w:w="914" w:type="pct"/>
            <w:tcBorders>
              <w:top w:val="single" w:sz="4" w:space="0" w:color="auto"/>
              <w:left w:val="single" w:sz="4" w:space="0" w:color="auto"/>
              <w:bottom w:val="single" w:sz="4" w:space="0" w:color="auto"/>
              <w:right w:val="single" w:sz="4" w:space="0" w:color="auto"/>
            </w:tcBorders>
          </w:tcPr>
          <w:p w14:paraId="3B8EB158" w14:textId="77777777" w:rsidR="00E57DAA" w:rsidRDefault="00AC4185">
            <w:pPr>
              <w:autoSpaceDE w:val="0"/>
              <w:autoSpaceDN w:val="0"/>
              <w:adjustRightInd w:val="0"/>
              <w:jc w:val="right"/>
              <w:rPr>
                <w:szCs w:val="21"/>
              </w:rPr>
            </w:pPr>
            <w:r>
              <w:t>8,200.00</w:t>
            </w:r>
          </w:p>
        </w:tc>
      </w:tr>
      <w:tr w:rsidR="00E57DAA" w14:paraId="42E7F117" w14:textId="77777777">
        <w:tc>
          <w:tcPr>
            <w:tcW w:w="677" w:type="pct"/>
            <w:tcBorders>
              <w:top w:val="single" w:sz="4" w:space="0" w:color="auto"/>
              <w:left w:val="single" w:sz="4" w:space="0" w:color="auto"/>
              <w:bottom w:val="single" w:sz="4" w:space="0" w:color="auto"/>
              <w:right w:val="single" w:sz="4" w:space="0" w:color="auto"/>
            </w:tcBorders>
            <w:vAlign w:val="center"/>
          </w:tcPr>
          <w:p w14:paraId="78B916E1"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FAFBF3B" w14:textId="77777777" w:rsidR="00E57DAA" w:rsidRDefault="00AC4185">
            <w:pPr>
              <w:autoSpaceDE w:val="0"/>
              <w:autoSpaceDN w:val="0"/>
              <w:adjustRightInd w:val="0"/>
              <w:rPr>
                <w:szCs w:val="21"/>
              </w:rPr>
            </w:pPr>
            <w:r>
              <w:t>英吉沙山水水泥有限公司</w:t>
            </w:r>
          </w:p>
        </w:tc>
        <w:tc>
          <w:tcPr>
            <w:tcW w:w="633" w:type="pct"/>
            <w:tcBorders>
              <w:top w:val="single" w:sz="4" w:space="0" w:color="auto"/>
              <w:left w:val="single" w:sz="4" w:space="0" w:color="auto"/>
              <w:bottom w:val="single" w:sz="4" w:space="0" w:color="auto"/>
              <w:right w:val="single" w:sz="4" w:space="0" w:color="auto"/>
            </w:tcBorders>
          </w:tcPr>
          <w:p w14:paraId="44482043" w14:textId="77777777" w:rsidR="00E57DAA" w:rsidRDefault="00AC4185">
            <w:pPr>
              <w:autoSpaceDE w:val="0"/>
              <w:autoSpaceDN w:val="0"/>
              <w:adjustRightInd w:val="0"/>
              <w:jc w:val="right"/>
              <w:rPr>
                <w:szCs w:val="21"/>
              </w:rPr>
            </w:pPr>
            <w:r>
              <w:t>100,000.00</w:t>
            </w:r>
          </w:p>
        </w:tc>
        <w:tc>
          <w:tcPr>
            <w:tcW w:w="632" w:type="pct"/>
            <w:tcBorders>
              <w:top w:val="single" w:sz="4" w:space="0" w:color="auto"/>
              <w:left w:val="single" w:sz="4" w:space="0" w:color="auto"/>
              <w:bottom w:val="single" w:sz="4" w:space="0" w:color="auto"/>
              <w:right w:val="single" w:sz="4" w:space="0" w:color="auto"/>
            </w:tcBorders>
          </w:tcPr>
          <w:p w14:paraId="1E0A7E7D" w14:textId="77777777" w:rsidR="00E57DAA" w:rsidRDefault="00AC4185">
            <w:pPr>
              <w:autoSpaceDE w:val="0"/>
              <w:autoSpaceDN w:val="0"/>
              <w:adjustRightInd w:val="0"/>
              <w:jc w:val="right"/>
              <w:rPr>
                <w:szCs w:val="21"/>
              </w:rPr>
            </w:pPr>
            <w:r>
              <w:t>31,700.00</w:t>
            </w:r>
          </w:p>
        </w:tc>
        <w:tc>
          <w:tcPr>
            <w:tcW w:w="703" w:type="pct"/>
            <w:tcBorders>
              <w:top w:val="single" w:sz="4" w:space="0" w:color="auto"/>
              <w:left w:val="single" w:sz="4" w:space="0" w:color="auto"/>
              <w:bottom w:val="single" w:sz="4" w:space="0" w:color="auto"/>
              <w:right w:val="single" w:sz="4" w:space="0" w:color="auto"/>
            </w:tcBorders>
          </w:tcPr>
          <w:p w14:paraId="13A33437" w14:textId="77777777" w:rsidR="00E57DAA" w:rsidRDefault="00AC4185">
            <w:pPr>
              <w:autoSpaceDE w:val="0"/>
              <w:autoSpaceDN w:val="0"/>
              <w:adjustRightInd w:val="0"/>
              <w:jc w:val="right"/>
              <w:rPr>
                <w:szCs w:val="21"/>
              </w:rPr>
            </w:pPr>
            <w:r>
              <w:t>100,000.00</w:t>
            </w:r>
          </w:p>
        </w:tc>
        <w:tc>
          <w:tcPr>
            <w:tcW w:w="914" w:type="pct"/>
            <w:tcBorders>
              <w:top w:val="single" w:sz="4" w:space="0" w:color="auto"/>
              <w:left w:val="single" w:sz="4" w:space="0" w:color="auto"/>
              <w:bottom w:val="single" w:sz="4" w:space="0" w:color="auto"/>
              <w:right w:val="single" w:sz="4" w:space="0" w:color="auto"/>
            </w:tcBorders>
          </w:tcPr>
          <w:p w14:paraId="7716DB4C" w14:textId="77777777" w:rsidR="00E57DAA" w:rsidRDefault="00AC4185">
            <w:pPr>
              <w:autoSpaceDE w:val="0"/>
              <w:autoSpaceDN w:val="0"/>
              <w:adjustRightInd w:val="0"/>
              <w:jc w:val="right"/>
              <w:rPr>
                <w:szCs w:val="21"/>
              </w:rPr>
            </w:pPr>
            <w:r>
              <w:t>1,790.00</w:t>
            </w:r>
          </w:p>
        </w:tc>
      </w:tr>
      <w:tr w:rsidR="00E57DAA" w14:paraId="560F7954" w14:textId="77777777">
        <w:tc>
          <w:tcPr>
            <w:tcW w:w="677" w:type="pct"/>
            <w:tcBorders>
              <w:top w:val="single" w:sz="4" w:space="0" w:color="auto"/>
              <w:left w:val="single" w:sz="4" w:space="0" w:color="auto"/>
              <w:bottom w:val="single" w:sz="4" w:space="0" w:color="auto"/>
              <w:right w:val="single" w:sz="4" w:space="0" w:color="auto"/>
            </w:tcBorders>
            <w:vAlign w:val="center"/>
          </w:tcPr>
          <w:p w14:paraId="5718CA35"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D123EB3" w14:textId="77777777" w:rsidR="00E57DAA" w:rsidRDefault="00AC4185">
            <w:pPr>
              <w:autoSpaceDE w:val="0"/>
              <w:autoSpaceDN w:val="0"/>
              <w:adjustRightInd w:val="0"/>
              <w:rPr>
                <w:szCs w:val="21"/>
              </w:rPr>
            </w:pPr>
            <w:r>
              <w:t>杭州博宇机械有限公司</w:t>
            </w:r>
          </w:p>
        </w:tc>
        <w:tc>
          <w:tcPr>
            <w:tcW w:w="633" w:type="pct"/>
            <w:tcBorders>
              <w:top w:val="single" w:sz="4" w:space="0" w:color="auto"/>
              <w:left w:val="single" w:sz="4" w:space="0" w:color="auto"/>
              <w:bottom w:val="single" w:sz="4" w:space="0" w:color="auto"/>
              <w:right w:val="single" w:sz="4" w:space="0" w:color="auto"/>
            </w:tcBorders>
          </w:tcPr>
          <w:p w14:paraId="6FFC44FF" w14:textId="77777777" w:rsidR="00E57DAA" w:rsidRDefault="00AC4185">
            <w:pPr>
              <w:autoSpaceDE w:val="0"/>
              <w:autoSpaceDN w:val="0"/>
              <w:adjustRightInd w:val="0"/>
              <w:jc w:val="right"/>
              <w:rPr>
                <w:szCs w:val="21"/>
              </w:rPr>
            </w:pPr>
            <w:r>
              <w:t>70,000.00</w:t>
            </w:r>
          </w:p>
        </w:tc>
        <w:tc>
          <w:tcPr>
            <w:tcW w:w="632" w:type="pct"/>
            <w:tcBorders>
              <w:top w:val="single" w:sz="4" w:space="0" w:color="auto"/>
              <w:left w:val="single" w:sz="4" w:space="0" w:color="auto"/>
              <w:bottom w:val="single" w:sz="4" w:space="0" w:color="auto"/>
              <w:right w:val="single" w:sz="4" w:space="0" w:color="auto"/>
            </w:tcBorders>
          </w:tcPr>
          <w:p w14:paraId="3BEFE119" w14:textId="77777777" w:rsidR="00E57DAA" w:rsidRDefault="00AC4185">
            <w:pPr>
              <w:autoSpaceDE w:val="0"/>
              <w:autoSpaceDN w:val="0"/>
              <w:adjustRightInd w:val="0"/>
              <w:jc w:val="right"/>
              <w:rPr>
                <w:szCs w:val="21"/>
              </w:rPr>
            </w:pPr>
            <w:r>
              <w:t>9,590.00</w:t>
            </w:r>
          </w:p>
        </w:tc>
        <w:tc>
          <w:tcPr>
            <w:tcW w:w="703" w:type="pct"/>
            <w:tcBorders>
              <w:top w:val="single" w:sz="4" w:space="0" w:color="auto"/>
              <w:left w:val="single" w:sz="4" w:space="0" w:color="auto"/>
              <w:bottom w:val="single" w:sz="4" w:space="0" w:color="auto"/>
              <w:right w:val="single" w:sz="4" w:space="0" w:color="auto"/>
            </w:tcBorders>
          </w:tcPr>
          <w:p w14:paraId="7C9B5CA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F3EC4C4" w14:textId="77777777" w:rsidR="00E57DAA" w:rsidRDefault="00AC4185">
            <w:pPr>
              <w:autoSpaceDE w:val="0"/>
              <w:autoSpaceDN w:val="0"/>
              <w:adjustRightInd w:val="0"/>
              <w:jc w:val="right"/>
              <w:rPr>
                <w:szCs w:val="21"/>
              </w:rPr>
            </w:pPr>
            <w:r>
              <w:t xml:space="preserve">　</w:t>
            </w:r>
          </w:p>
        </w:tc>
      </w:tr>
      <w:tr w:rsidR="00E57DAA" w14:paraId="3B4D9388" w14:textId="77777777">
        <w:tc>
          <w:tcPr>
            <w:tcW w:w="677" w:type="pct"/>
            <w:tcBorders>
              <w:top w:val="single" w:sz="4" w:space="0" w:color="auto"/>
              <w:left w:val="single" w:sz="4" w:space="0" w:color="auto"/>
              <w:bottom w:val="single" w:sz="4" w:space="0" w:color="auto"/>
              <w:right w:val="single" w:sz="4" w:space="0" w:color="auto"/>
            </w:tcBorders>
            <w:vAlign w:val="center"/>
          </w:tcPr>
          <w:p w14:paraId="2AAE7B89"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2C5FF74" w14:textId="77777777" w:rsidR="00E57DAA" w:rsidRDefault="00AC4185">
            <w:pPr>
              <w:autoSpaceDE w:val="0"/>
              <w:autoSpaceDN w:val="0"/>
              <w:adjustRightInd w:val="0"/>
              <w:rPr>
                <w:szCs w:val="21"/>
              </w:rPr>
            </w:pPr>
            <w:r>
              <w:t>甘肃上峰水泥股份有限公司</w:t>
            </w:r>
          </w:p>
        </w:tc>
        <w:tc>
          <w:tcPr>
            <w:tcW w:w="633" w:type="pct"/>
            <w:tcBorders>
              <w:top w:val="single" w:sz="4" w:space="0" w:color="auto"/>
              <w:left w:val="single" w:sz="4" w:space="0" w:color="auto"/>
              <w:bottom w:val="single" w:sz="4" w:space="0" w:color="auto"/>
              <w:right w:val="single" w:sz="4" w:space="0" w:color="auto"/>
            </w:tcBorders>
          </w:tcPr>
          <w:p w14:paraId="00E5BFF7"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09020A67" w14:textId="77777777" w:rsidR="00E57DAA" w:rsidRDefault="00AC4185">
            <w:pPr>
              <w:autoSpaceDE w:val="0"/>
              <w:autoSpaceDN w:val="0"/>
              <w:adjustRightInd w:val="0"/>
              <w:jc w:val="right"/>
              <w:rPr>
                <w:szCs w:val="21"/>
              </w:rPr>
            </w:pPr>
            <w:r>
              <w:t>9,400.00</w:t>
            </w:r>
          </w:p>
        </w:tc>
        <w:tc>
          <w:tcPr>
            <w:tcW w:w="703" w:type="pct"/>
            <w:tcBorders>
              <w:top w:val="single" w:sz="4" w:space="0" w:color="auto"/>
              <w:left w:val="single" w:sz="4" w:space="0" w:color="auto"/>
              <w:bottom w:val="single" w:sz="4" w:space="0" w:color="auto"/>
              <w:right w:val="single" w:sz="4" w:space="0" w:color="auto"/>
            </w:tcBorders>
          </w:tcPr>
          <w:p w14:paraId="2E55C736" w14:textId="77777777" w:rsidR="00E57DAA" w:rsidRDefault="00AC4185">
            <w:pPr>
              <w:autoSpaceDE w:val="0"/>
              <w:autoSpaceDN w:val="0"/>
              <w:adjustRightInd w:val="0"/>
              <w:jc w:val="right"/>
              <w:rPr>
                <w:szCs w:val="21"/>
              </w:rPr>
            </w:pPr>
            <w:r>
              <w:t>50,000.00</w:t>
            </w:r>
          </w:p>
        </w:tc>
        <w:tc>
          <w:tcPr>
            <w:tcW w:w="914" w:type="pct"/>
            <w:tcBorders>
              <w:top w:val="single" w:sz="4" w:space="0" w:color="auto"/>
              <w:left w:val="single" w:sz="4" w:space="0" w:color="auto"/>
              <w:bottom w:val="single" w:sz="4" w:space="0" w:color="auto"/>
              <w:right w:val="single" w:sz="4" w:space="0" w:color="auto"/>
            </w:tcBorders>
          </w:tcPr>
          <w:p w14:paraId="2BC8395E" w14:textId="77777777" w:rsidR="00E57DAA" w:rsidRDefault="00AC4185">
            <w:pPr>
              <w:autoSpaceDE w:val="0"/>
              <w:autoSpaceDN w:val="0"/>
              <w:adjustRightInd w:val="0"/>
              <w:jc w:val="right"/>
              <w:rPr>
                <w:szCs w:val="21"/>
              </w:rPr>
            </w:pPr>
            <w:r>
              <w:t>6,100.00</w:t>
            </w:r>
          </w:p>
        </w:tc>
      </w:tr>
      <w:tr w:rsidR="00E57DAA" w14:paraId="3C0139DC" w14:textId="77777777">
        <w:tc>
          <w:tcPr>
            <w:tcW w:w="677" w:type="pct"/>
            <w:tcBorders>
              <w:top w:val="single" w:sz="4" w:space="0" w:color="auto"/>
              <w:left w:val="single" w:sz="4" w:space="0" w:color="auto"/>
              <w:bottom w:val="single" w:sz="4" w:space="0" w:color="auto"/>
              <w:right w:val="single" w:sz="4" w:space="0" w:color="auto"/>
            </w:tcBorders>
            <w:vAlign w:val="center"/>
          </w:tcPr>
          <w:p w14:paraId="2A218DB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64467FFE" w14:textId="77777777" w:rsidR="00E57DAA" w:rsidRDefault="00AC4185">
            <w:pPr>
              <w:autoSpaceDE w:val="0"/>
              <w:autoSpaceDN w:val="0"/>
              <w:adjustRightInd w:val="0"/>
              <w:rPr>
                <w:szCs w:val="21"/>
              </w:rPr>
            </w:pPr>
            <w:r>
              <w:t>海控三鑫（蚌埠）新能源材料有限公司</w:t>
            </w:r>
          </w:p>
        </w:tc>
        <w:tc>
          <w:tcPr>
            <w:tcW w:w="633" w:type="pct"/>
            <w:tcBorders>
              <w:top w:val="single" w:sz="4" w:space="0" w:color="auto"/>
              <w:left w:val="single" w:sz="4" w:space="0" w:color="auto"/>
              <w:bottom w:val="single" w:sz="4" w:space="0" w:color="auto"/>
              <w:right w:val="single" w:sz="4" w:space="0" w:color="auto"/>
            </w:tcBorders>
          </w:tcPr>
          <w:p w14:paraId="7FA91D4B" w14:textId="77777777" w:rsidR="00E57DAA" w:rsidRDefault="00AC4185">
            <w:pPr>
              <w:autoSpaceDE w:val="0"/>
              <w:autoSpaceDN w:val="0"/>
              <w:adjustRightInd w:val="0"/>
              <w:jc w:val="right"/>
              <w:rPr>
                <w:szCs w:val="21"/>
              </w:rPr>
            </w:pPr>
            <w:r>
              <w:t>50,000.00</w:t>
            </w:r>
          </w:p>
        </w:tc>
        <w:tc>
          <w:tcPr>
            <w:tcW w:w="632" w:type="pct"/>
            <w:tcBorders>
              <w:top w:val="single" w:sz="4" w:space="0" w:color="auto"/>
              <w:left w:val="single" w:sz="4" w:space="0" w:color="auto"/>
              <w:bottom w:val="single" w:sz="4" w:space="0" w:color="auto"/>
              <w:right w:val="single" w:sz="4" w:space="0" w:color="auto"/>
            </w:tcBorders>
          </w:tcPr>
          <w:p w14:paraId="15D5C747" w14:textId="77777777" w:rsidR="00E57DAA" w:rsidRDefault="00AC4185">
            <w:pPr>
              <w:autoSpaceDE w:val="0"/>
              <w:autoSpaceDN w:val="0"/>
              <w:adjustRightInd w:val="0"/>
              <w:jc w:val="right"/>
              <w:rPr>
                <w:szCs w:val="21"/>
              </w:rPr>
            </w:pPr>
            <w:r>
              <w:t>1,000.00</w:t>
            </w:r>
          </w:p>
        </w:tc>
        <w:tc>
          <w:tcPr>
            <w:tcW w:w="703" w:type="pct"/>
            <w:tcBorders>
              <w:top w:val="single" w:sz="4" w:space="0" w:color="auto"/>
              <w:left w:val="single" w:sz="4" w:space="0" w:color="auto"/>
              <w:bottom w:val="single" w:sz="4" w:space="0" w:color="auto"/>
              <w:right w:val="single" w:sz="4" w:space="0" w:color="auto"/>
            </w:tcBorders>
          </w:tcPr>
          <w:p w14:paraId="454A9A2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A0990B4" w14:textId="77777777" w:rsidR="00E57DAA" w:rsidRDefault="00AC4185">
            <w:pPr>
              <w:autoSpaceDE w:val="0"/>
              <w:autoSpaceDN w:val="0"/>
              <w:adjustRightInd w:val="0"/>
              <w:jc w:val="right"/>
              <w:rPr>
                <w:szCs w:val="21"/>
              </w:rPr>
            </w:pPr>
            <w:r>
              <w:t xml:space="preserve">　</w:t>
            </w:r>
          </w:p>
        </w:tc>
      </w:tr>
      <w:tr w:rsidR="00E57DAA" w14:paraId="3CE54506" w14:textId="77777777">
        <w:tc>
          <w:tcPr>
            <w:tcW w:w="677" w:type="pct"/>
            <w:tcBorders>
              <w:top w:val="single" w:sz="4" w:space="0" w:color="auto"/>
              <w:left w:val="single" w:sz="4" w:space="0" w:color="auto"/>
              <w:bottom w:val="single" w:sz="4" w:space="0" w:color="auto"/>
              <w:right w:val="single" w:sz="4" w:space="0" w:color="auto"/>
            </w:tcBorders>
            <w:vAlign w:val="center"/>
          </w:tcPr>
          <w:p w14:paraId="1615790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0D1B02D" w14:textId="77777777" w:rsidR="00E57DAA" w:rsidRDefault="00AC4185">
            <w:pPr>
              <w:autoSpaceDE w:val="0"/>
              <w:autoSpaceDN w:val="0"/>
              <w:adjustRightInd w:val="0"/>
              <w:rPr>
                <w:szCs w:val="21"/>
              </w:rPr>
            </w:pPr>
            <w:r>
              <w:t>江西瑞金万年青水泥有限责任公司</w:t>
            </w:r>
          </w:p>
        </w:tc>
        <w:tc>
          <w:tcPr>
            <w:tcW w:w="633" w:type="pct"/>
            <w:tcBorders>
              <w:top w:val="single" w:sz="4" w:space="0" w:color="auto"/>
              <w:left w:val="single" w:sz="4" w:space="0" w:color="auto"/>
              <w:bottom w:val="single" w:sz="4" w:space="0" w:color="auto"/>
              <w:right w:val="single" w:sz="4" w:space="0" w:color="auto"/>
            </w:tcBorders>
          </w:tcPr>
          <w:p w14:paraId="1760A0FE" w14:textId="77777777" w:rsidR="00E57DAA" w:rsidRDefault="00AC4185">
            <w:pPr>
              <w:autoSpaceDE w:val="0"/>
              <w:autoSpaceDN w:val="0"/>
              <w:adjustRightInd w:val="0"/>
              <w:jc w:val="right"/>
              <w:rPr>
                <w:szCs w:val="21"/>
              </w:rPr>
            </w:pPr>
            <w:r>
              <w:t>48,000.00</w:t>
            </w:r>
          </w:p>
        </w:tc>
        <w:tc>
          <w:tcPr>
            <w:tcW w:w="632" w:type="pct"/>
            <w:tcBorders>
              <w:top w:val="single" w:sz="4" w:space="0" w:color="auto"/>
              <w:left w:val="single" w:sz="4" w:space="0" w:color="auto"/>
              <w:bottom w:val="single" w:sz="4" w:space="0" w:color="auto"/>
              <w:right w:val="single" w:sz="4" w:space="0" w:color="auto"/>
            </w:tcBorders>
          </w:tcPr>
          <w:p w14:paraId="710CE04D" w14:textId="77777777" w:rsidR="00E57DAA" w:rsidRDefault="00AC4185">
            <w:pPr>
              <w:autoSpaceDE w:val="0"/>
              <w:autoSpaceDN w:val="0"/>
              <w:adjustRightInd w:val="0"/>
              <w:jc w:val="right"/>
              <w:rPr>
                <w:szCs w:val="21"/>
              </w:rPr>
            </w:pPr>
            <w:r>
              <w:t>4,320.00</w:t>
            </w:r>
          </w:p>
        </w:tc>
        <w:tc>
          <w:tcPr>
            <w:tcW w:w="703" w:type="pct"/>
            <w:tcBorders>
              <w:top w:val="single" w:sz="4" w:space="0" w:color="auto"/>
              <w:left w:val="single" w:sz="4" w:space="0" w:color="auto"/>
              <w:bottom w:val="single" w:sz="4" w:space="0" w:color="auto"/>
              <w:right w:val="single" w:sz="4" w:space="0" w:color="auto"/>
            </w:tcBorders>
          </w:tcPr>
          <w:p w14:paraId="1605D46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8B117A6" w14:textId="77777777" w:rsidR="00E57DAA" w:rsidRDefault="00AC4185">
            <w:pPr>
              <w:autoSpaceDE w:val="0"/>
              <w:autoSpaceDN w:val="0"/>
              <w:adjustRightInd w:val="0"/>
              <w:jc w:val="right"/>
              <w:rPr>
                <w:szCs w:val="21"/>
              </w:rPr>
            </w:pPr>
            <w:r>
              <w:t xml:space="preserve">　</w:t>
            </w:r>
          </w:p>
        </w:tc>
      </w:tr>
      <w:tr w:rsidR="00E57DAA" w14:paraId="5C0B769D" w14:textId="77777777">
        <w:tc>
          <w:tcPr>
            <w:tcW w:w="677" w:type="pct"/>
            <w:tcBorders>
              <w:top w:val="single" w:sz="4" w:space="0" w:color="auto"/>
              <w:left w:val="single" w:sz="4" w:space="0" w:color="auto"/>
              <w:bottom w:val="single" w:sz="4" w:space="0" w:color="auto"/>
              <w:right w:val="single" w:sz="4" w:space="0" w:color="auto"/>
            </w:tcBorders>
            <w:vAlign w:val="center"/>
          </w:tcPr>
          <w:p w14:paraId="4295CBA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07B187CE" w14:textId="77777777" w:rsidR="00E57DAA" w:rsidRDefault="00AC4185">
            <w:pPr>
              <w:autoSpaceDE w:val="0"/>
              <w:autoSpaceDN w:val="0"/>
              <w:adjustRightInd w:val="0"/>
              <w:rPr>
                <w:szCs w:val="21"/>
              </w:rPr>
            </w:pPr>
            <w:r>
              <w:t>江西德安万年青水泥有限公司</w:t>
            </w:r>
          </w:p>
        </w:tc>
        <w:tc>
          <w:tcPr>
            <w:tcW w:w="633" w:type="pct"/>
            <w:tcBorders>
              <w:top w:val="single" w:sz="4" w:space="0" w:color="auto"/>
              <w:left w:val="single" w:sz="4" w:space="0" w:color="auto"/>
              <w:bottom w:val="single" w:sz="4" w:space="0" w:color="auto"/>
              <w:right w:val="single" w:sz="4" w:space="0" w:color="auto"/>
            </w:tcBorders>
          </w:tcPr>
          <w:p w14:paraId="40B392AC" w14:textId="77777777" w:rsidR="00E57DAA" w:rsidRDefault="00AC4185">
            <w:pPr>
              <w:autoSpaceDE w:val="0"/>
              <w:autoSpaceDN w:val="0"/>
              <w:adjustRightInd w:val="0"/>
              <w:jc w:val="right"/>
              <w:rPr>
                <w:szCs w:val="21"/>
              </w:rPr>
            </w:pPr>
            <w:r>
              <w:t>20,000.00</w:t>
            </w:r>
          </w:p>
        </w:tc>
        <w:tc>
          <w:tcPr>
            <w:tcW w:w="632" w:type="pct"/>
            <w:tcBorders>
              <w:top w:val="single" w:sz="4" w:space="0" w:color="auto"/>
              <w:left w:val="single" w:sz="4" w:space="0" w:color="auto"/>
              <w:bottom w:val="single" w:sz="4" w:space="0" w:color="auto"/>
              <w:right w:val="single" w:sz="4" w:space="0" w:color="auto"/>
            </w:tcBorders>
          </w:tcPr>
          <w:p w14:paraId="440EAA19" w14:textId="77777777" w:rsidR="00E57DAA" w:rsidRDefault="00AC4185">
            <w:pPr>
              <w:autoSpaceDE w:val="0"/>
              <w:autoSpaceDN w:val="0"/>
              <w:adjustRightInd w:val="0"/>
              <w:jc w:val="right"/>
              <w:rPr>
                <w:szCs w:val="21"/>
              </w:rPr>
            </w:pPr>
            <w:r>
              <w:t>3,940.00</w:t>
            </w:r>
          </w:p>
        </w:tc>
        <w:tc>
          <w:tcPr>
            <w:tcW w:w="703" w:type="pct"/>
            <w:tcBorders>
              <w:top w:val="single" w:sz="4" w:space="0" w:color="auto"/>
              <w:left w:val="single" w:sz="4" w:space="0" w:color="auto"/>
              <w:bottom w:val="single" w:sz="4" w:space="0" w:color="auto"/>
              <w:right w:val="single" w:sz="4" w:space="0" w:color="auto"/>
            </w:tcBorders>
          </w:tcPr>
          <w:p w14:paraId="01A06437" w14:textId="77777777" w:rsidR="00E57DAA" w:rsidRDefault="00AC4185">
            <w:pPr>
              <w:autoSpaceDE w:val="0"/>
              <w:autoSpaceDN w:val="0"/>
              <w:adjustRightInd w:val="0"/>
              <w:jc w:val="right"/>
              <w:rPr>
                <w:szCs w:val="21"/>
              </w:rPr>
            </w:pPr>
            <w:r>
              <w:t>20,000.00</w:t>
            </w:r>
          </w:p>
        </w:tc>
        <w:tc>
          <w:tcPr>
            <w:tcW w:w="914" w:type="pct"/>
            <w:tcBorders>
              <w:top w:val="single" w:sz="4" w:space="0" w:color="auto"/>
              <w:left w:val="single" w:sz="4" w:space="0" w:color="auto"/>
              <w:bottom w:val="single" w:sz="4" w:space="0" w:color="auto"/>
              <w:right w:val="single" w:sz="4" w:space="0" w:color="auto"/>
            </w:tcBorders>
          </w:tcPr>
          <w:p w14:paraId="01315160" w14:textId="77777777" w:rsidR="00E57DAA" w:rsidRDefault="00AC4185">
            <w:pPr>
              <w:autoSpaceDE w:val="0"/>
              <w:autoSpaceDN w:val="0"/>
              <w:adjustRightInd w:val="0"/>
              <w:jc w:val="right"/>
              <w:rPr>
                <w:szCs w:val="21"/>
              </w:rPr>
            </w:pPr>
            <w:r>
              <w:t>1,120.00</w:t>
            </w:r>
          </w:p>
        </w:tc>
      </w:tr>
      <w:tr w:rsidR="00E57DAA" w14:paraId="518401BF" w14:textId="77777777">
        <w:tc>
          <w:tcPr>
            <w:tcW w:w="677" w:type="pct"/>
            <w:tcBorders>
              <w:top w:val="single" w:sz="4" w:space="0" w:color="auto"/>
              <w:left w:val="single" w:sz="4" w:space="0" w:color="auto"/>
              <w:bottom w:val="single" w:sz="4" w:space="0" w:color="auto"/>
              <w:right w:val="single" w:sz="4" w:space="0" w:color="auto"/>
            </w:tcBorders>
            <w:vAlign w:val="center"/>
          </w:tcPr>
          <w:p w14:paraId="3ED246D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3F4F44F" w14:textId="77777777" w:rsidR="00E57DAA" w:rsidRDefault="00AC4185">
            <w:pPr>
              <w:autoSpaceDE w:val="0"/>
              <w:autoSpaceDN w:val="0"/>
              <w:adjustRightInd w:val="0"/>
              <w:rPr>
                <w:szCs w:val="21"/>
              </w:rPr>
            </w:pPr>
            <w:r>
              <w:t>冀东水泥铜川有限公司</w:t>
            </w:r>
          </w:p>
        </w:tc>
        <w:tc>
          <w:tcPr>
            <w:tcW w:w="633" w:type="pct"/>
            <w:tcBorders>
              <w:top w:val="single" w:sz="4" w:space="0" w:color="auto"/>
              <w:left w:val="single" w:sz="4" w:space="0" w:color="auto"/>
              <w:bottom w:val="single" w:sz="4" w:space="0" w:color="auto"/>
              <w:right w:val="single" w:sz="4" w:space="0" w:color="auto"/>
            </w:tcBorders>
          </w:tcPr>
          <w:p w14:paraId="074D4FBF" w14:textId="77777777" w:rsidR="00E57DAA" w:rsidRDefault="00AC4185">
            <w:pPr>
              <w:autoSpaceDE w:val="0"/>
              <w:autoSpaceDN w:val="0"/>
              <w:adjustRightInd w:val="0"/>
              <w:jc w:val="right"/>
              <w:rPr>
                <w:szCs w:val="21"/>
              </w:rPr>
            </w:pPr>
            <w:r>
              <w:t>15,000.00</w:t>
            </w:r>
          </w:p>
        </w:tc>
        <w:tc>
          <w:tcPr>
            <w:tcW w:w="632" w:type="pct"/>
            <w:tcBorders>
              <w:top w:val="single" w:sz="4" w:space="0" w:color="auto"/>
              <w:left w:val="single" w:sz="4" w:space="0" w:color="auto"/>
              <w:bottom w:val="single" w:sz="4" w:space="0" w:color="auto"/>
              <w:right w:val="single" w:sz="4" w:space="0" w:color="auto"/>
            </w:tcBorders>
          </w:tcPr>
          <w:p w14:paraId="3BF90C15" w14:textId="77777777" w:rsidR="00E57DAA" w:rsidRDefault="00AC4185">
            <w:pPr>
              <w:autoSpaceDE w:val="0"/>
              <w:autoSpaceDN w:val="0"/>
              <w:adjustRightInd w:val="0"/>
              <w:jc w:val="right"/>
              <w:rPr>
                <w:szCs w:val="21"/>
              </w:rPr>
            </w:pPr>
            <w:r>
              <w:t>800</w:t>
            </w:r>
          </w:p>
        </w:tc>
        <w:tc>
          <w:tcPr>
            <w:tcW w:w="703" w:type="pct"/>
            <w:tcBorders>
              <w:top w:val="single" w:sz="4" w:space="0" w:color="auto"/>
              <w:left w:val="single" w:sz="4" w:space="0" w:color="auto"/>
              <w:bottom w:val="single" w:sz="4" w:space="0" w:color="auto"/>
              <w:right w:val="single" w:sz="4" w:space="0" w:color="auto"/>
            </w:tcBorders>
          </w:tcPr>
          <w:p w14:paraId="5C51563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765A552" w14:textId="77777777" w:rsidR="00E57DAA" w:rsidRDefault="00AC4185">
            <w:pPr>
              <w:autoSpaceDE w:val="0"/>
              <w:autoSpaceDN w:val="0"/>
              <w:adjustRightInd w:val="0"/>
              <w:jc w:val="right"/>
              <w:rPr>
                <w:szCs w:val="21"/>
              </w:rPr>
            </w:pPr>
            <w:r>
              <w:t xml:space="preserve">　</w:t>
            </w:r>
          </w:p>
        </w:tc>
      </w:tr>
      <w:tr w:rsidR="00E57DAA" w14:paraId="707BBF07" w14:textId="77777777">
        <w:tc>
          <w:tcPr>
            <w:tcW w:w="677" w:type="pct"/>
            <w:tcBorders>
              <w:top w:val="single" w:sz="4" w:space="0" w:color="auto"/>
              <w:left w:val="single" w:sz="4" w:space="0" w:color="auto"/>
              <w:bottom w:val="single" w:sz="4" w:space="0" w:color="auto"/>
              <w:right w:val="single" w:sz="4" w:space="0" w:color="auto"/>
            </w:tcBorders>
            <w:vAlign w:val="center"/>
          </w:tcPr>
          <w:p w14:paraId="5043D6C0"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5925FD6" w14:textId="77777777" w:rsidR="00E57DAA" w:rsidRDefault="00AC4185">
            <w:pPr>
              <w:autoSpaceDE w:val="0"/>
              <w:autoSpaceDN w:val="0"/>
              <w:adjustRightInd w:val="0"/>
              <w:rPr>
                <w:szCs w:val="21"/>
              </w:rPr>
            </w:pPr>
            <w:r>
              <w:t>沂水山水水泥有限公司</w:t>
            </w:r>
          </w:p>
        </w:tc>
        <w:tc>
          <w:tcPr>
            <w:tcW w:w="633" w:type="pct"/>
            <w:tcBorders>
              <w:top w:val="single" w:sz="4" w:space="0" w:color="auto"/>
              <w:left w:val="single" w:sz="4" w:space="0" w:color="auto"/>
              <w:bottom w:val="single" w:sz="4" w:space="0" w:color="auto"/>
              <w:right w:val="single" w:sz="4" w:space="0" w:color="auto"/>
            </w:tcBorders>
          </w:tcPr>
          <w:p w14:paraId="6B7377A5" w14:textId="77777777" w:rsidR="00E57DAA" w:rsidRDefault="00AC4185">
            <w:pPr>
              <w:autoSpaceDE w:val="0"/>
              <w:autoSpaceDN w:val="0"/>
              <w:adjustRightInd w:val="0"/>
              <w:jc w:val="right"/>
              <w:rPr>
                <w:szCs w:val="21"/>
              </w:rPr>
            </w:pPr>
            <w:r>
              <w:t>8,000.00</w:t>
            </w:r>
          </w:p>
        </w:tc>
        <w:tc>
          <w:tcPr>
            <w:tcW w:w="632" w:type="pct"/>
            <w:tcBorders>
              <w:top w:val="single" w:sz="4" w:space="0" w:color="auto"/>
              <w:left w:val="single" w:sz="4" w:space="0" w:color="auto"/>
              <w:bottom w:val="single" w:sz="4" w:space="0" w:color="auto"/>
              <w:right w:val="single" w:sz="4" w:space="0" w:color="auto"/>
            </w:tcBorders>
          </w:tcPr>
          <w:p w14:paraId="47C1EC27" w14:textId="77777777" w:rsidR="00E57DAA" w:rsidRDefault="00AC4185">
            <w:pPr>
              <w:autoSpaceDE w:val="0"/>
              <w:autoSpaceDN w:val="0"/>
              <w:adjustRightInd w:val="0"/>
              <w:jc w:val="right"/>
              <w:rPr>
                <w:szCs w:val="21"/>
              </w:rPr>
            </w:pPr>
            <w:r>
              <w:t>160</w:t>
            </w:r>
          </w:p>
        </w:tc>
        <w:tc>
          <w:tcPr>
            <w:tcW w:w="703" w:type="pct"/>
            <w:tcBorders>
              <w:top w:val="single" w:sz="4" w:space="0" w:color="auto"/>
              <w:left w:val="single" w:sz="4" w:space="0" w:color="auto"/>
              <w:bottom w:val="single" w:sz="4" w:space="0" w:color="auto"/>
              <w:right w:val="single" w:sz="4" w:space="0" w:color="auto"/>
            </w:tcBorders>
          </w:tcPr>
          <w:p w14:paraId="758D6DB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DB694EA" w14:textId="77777777" w:rsidR="00E57DAA" w:rsidRDefault="00AC4185">
            <w:pPr>
              <w:autoSpaceDE w:val="0"/>
              <w:autoSpaceDN w:val="0"/>
              <w:adjustRightInd w:val="0"/>
              <w:jc w:val="right"/>
              <w:rPr>
                <w:szCs w:val="21"/>
              </w:rPr>
            </w:pPr>
            <w:r>
              <w:t xml:space="preserve">　</w:t>
            </w:r>
          </w:p>
        </w:tc>
      </w:tr>
      <w:tr w:rsidR="00E57DAA" w14:paraId="5290E969" w14:textId="77777777">
        <w:tc>
          <w:tcPr>
            <w:tcW w:w="677" w:type="pct"/>
            <w:tcBorders>
              <w:top w:val="single" w:sz="4" w:space="0" w:color="auto"/>
              <w:left w:val="single" w:sz="4" w:space="0" w:color="auto"/>
              <w:bottom w:val="single" w:sz="4" w:space="0" w:color="auto"/>
              <w:right w:val="single" w:sz="4" w:space="0" w:color="auto"/>
            </w:tcBorders>
            <w:vAlign w:val="center"/>
          </w:tcPr>
          <w:p w14:paraId="565C7092"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335762C9" w14:textId="77777777" w:rsidR="00E57DAA" w:rsidRDefault="00AC4185">
            <w:pPr>
              <w:autoSpaceDE w:val="0"/>
              <w:autoSpaceDN w:val="0"/>
              <w:adjustRightInd w:val="0"/>
              <w:rPr>
                <w:szCs w:val="21"/>
              </w:rPr>
            </w:pPr>
            <w:r>
              <w:t>成都科睿众联企业管理中心（有限合伙）</w:t>
            </w:r>
          </w:p>
        </w:tc>
        <w:tc>
          <w:tcPr>
            <w:tcW w:w="633" w:type="pct"/>
            <w:tcBorders>
              <w:top w:val="single" w:sz="4" w:space="0" w:color="auto"/>
              <w:left w:val="single" w:sz="4" w:space="0" w:color="auto"/>
              <w:bottom w:val="single" w:sz="4" w:space="0" w:color="auto"/>
              <w:right w:val="single" w:sz="4" w:space="0" w:color="auto"/>
            </w:tcBorders>
          </w:tcPr>
          <w:p w14:paraId="3A759961" w14:textId="77777777" w:rsidR="00E57DAA" w:rsidRDefault="00AC4185">
            <w:pPr>
              <w:autoSpaceDE w:val="0"/>
              <w:autoSpaceDN w:val="0"/>
              <w:adjustRightInd w:val="0"/>
              <w:jc w:val="right"/>
              <w:rPr>
                <w:szCs w:val="21"/>
              </w:rPr>
            </w:pPr>
            <w:r>
              <w:t>500</w:t>
            </w:r>
          </w:p>
        </w:tc>
        <w:tc>
          <w:tcPr>
            <w:tcW w:w="632" w:type="pct"/>
            <w:tcBorders>
              <w:top w:val="single" w:sz="4" w:space="0" w:color="auto"/>
              <w:left w:val="single" w:sz="4" w:space="0" w:color="auto"/>
              <w:bottom w:val="single" w:sz="4" w:space="0" w:color="auto"/>
              <w:right w:val="single" w:sz="4" w:space="0" w:color="auto"/>
            </w:tcBorders>
          </w:tcPr>
          <w:p w14:paraId="4C89E858" w14:textId="77777777" w:rsidR="00E57DAA" w:rsidRDefault="00AC4185">
            <w:pPr>
              <w:autoSpaceDE w:val="0"/>
              <w:autoSpaceDN w:val="0"/>
              <w:adjustRightInd w:val="0"/>
              <w:jc w:val="right"/>
              <w:rPr>
                <w:szCs w:val="21"/>
              </w:rPr>
            </w:pPr>
            <w:r>
              <w:t>94</w:t>
            </w:r>
          </w:p>
        </w:tc>
        <w:tc>
          <w:tcPr>
            <w:tcW w:w="703" w:type="pct"/>
            <w:tcBorders>
              <w:top w:val="single" w:sz="4" w:space="0" w:color="auto"/>
              <w:left w:val="single" w:sz="4" w:space="0" w:color="auto"/>
              <w:bottom w:val="single" w:sz="4" w:space="0" w:color="auto"/>
              <w:right w:val="single" w:sz="4" w:space="0" w:color="auto"/>
            </w:tcBorders>
          </w:tcPr>
          <w:p w14:paraId="61A34418" w14:textId="77777777" w:rsidR="00E57DAA" w:rsidRDefault="00AC4185">
            <w:pPr>
              <w:autoSpaceDE w:val="0"/>
              <w:autoSpaceDN w:val="0"/>
              <w:adjustRightInd w:val="0"/>
              <w:jc w:val="right"/>
              <w:rPr>
                <w:szCs w:val="21"/>
              </w:rPr>
            </w:pPr>
            <w:r>
              <w:t>500</w:t>
            </w:r>
          </w:p>
        </w:tc>
        <w:tc>
          <w:tcPr>
            <w:tcW w:w="914" w:type="pct"/>
            <w:tcBorders>
              <w:top w:val="single" w:sz="4" w:space="0" w:color="auto"/>
              <w:left w:val="single" w:sz="4" w:space="0" w:color="auto"/>
              <w:bottom w:val="single" w:sz="4" w:space="0" w:color="auto"/>
              <w:right w:val="single" w:sz="4" w:space="0" w:color="auto"/>
            </w:tcBorders>
          </w:tcPr>
          <w:p w14:paraId="4F783B89" w14:textId="77777777" w:rsidR="00E57DAA" w:rsidRDefault="00AC4185">
            <w:pPr>
              <w:autoSpaceDE w:val="0"/>
              <w:autoSpaceDN w:val="0"/>
              <w:adjustRightInd w:val="0"/>
              <w:jc w:val="right"/>
              <w:rPr>
                <w:szCs w:val="21"/>
              </w:rPr>
            </w:pPr>
            <w:r>
              <w:t>61</w:t>
            </w:r>
          </w:p>
        </w:tc>
      </w:tr>
      <w:tr w:rsidR="00E57DAA" w14:paraId="277603C0" w14:textId="77777777">
        <w:tc>
          <w:tcPr>
            <w:tcW w:w="677" w:type="pct"/>
            <w:tcBorders>
              <w:top w:val="single" w:sz="4" w:space="0" w:color="auto"/>
              <w:left w:val="single" w:sz="4" w:space="0" w:color="auto"/>
              <w:bottom w:val="single" w:sz="4" w:space="0" w:color="auto"/>
              <w:right w:val="single" w:sz="4" w:space="0" w:color="auto"/>
            </w:tcBorders>
            <w:vAlign w:val="center"/>
          </w:tcPr>
          <w:p w14:paraId="1C57378A"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58FA6D2B" w14:textId="77777777" w:rsidR="00E57DAA" w:rsidRDefault="00AC4185">
            <w:pPr>
              <w:autoSpaceDE w:val="0"/>
              <w:autoSpaceDN w:val="0"/>
              <w:adjustRightInd w:val="0"/>
              <w:rPr>
                <w:szCs w:val="21"/>
              </w:rPr>
            </w:pPr>
            <w:r>
              <w:t>巴林左旗磊鑫矿业有限公司</w:t>
            </w:r>
          </w:p>
        </w:tc>
        <w:tc>
          <w:tcPr>
            <w:tcW w:w="633" w:type="pct"/>
            <w:tcBorders>
              <w:top w:val="single" w:sz="4" w:space="0" w:color="auto"/>
              <w:left w:val="single" w:sz="4" w:space="0" w:color="auto"/>
              <w:bottom w:val="single" w:sz="4" w:space="0" w:color="auto"/>
              <w:right w:val="single" w:sz="4" w:space="0" w:color="auto"/>
            </w:tcBorders>
          </w:tcPr>
          <w:p w14:paraId="1A3AE1C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FF3D93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8E02776" w14:textId="77777777" w:rsidR="00E57DAA" w:rsidRDefault="00AC4185">
            <w:pPr>
              <w:autoSpaceDE w:val="0"/>
              <w:autoSpaceDN w:val="0"/>
              <w:adjustRightInd w:val="0"/>
              <w:jc w:val="right"/>
              <w:rPr>
                <w:szCs w:val="21"/>
              </w:rPr>
            </w:pPr>
            <w:r>
              <w:t>984,960.70</w:t>
            </w:r>
          </w:p>
        </w:tc>
        <w:tc>
          <w:tcPr>
            <w:tcW w:w="914" w:type="pct"/>
            <w:tcBorders>
              <w:top w:val="single" w:sz="4" w:space="0" w:color="auto"/>
              <w:left w:val="single" w:sz="4" w:space="0" w:color="auto"/>
              <w:bottom w:val="single" w:sz="4" w:space="0" w:color="auto"/>
              <w:right w:val="single" w:sz="4" w:space="0" w:color="auto"/>
            </w:tcBorders>
          </w:tcPr>
          <w:p w14:paraId="3A569A9B" w14:textId="77777777" w:rsidR="00E57DAA" w:rsidRDefault="00AC4185">
            <w:pPr>
              <w:autoSpaceDE w:val="0"/>
              <w:autoSpaceDN w:val="0"/>
              <w:adjustRightInd w:val="0"/>
              <w:jc w:val="right"/>
              <w:rPr>
                <w:szCs w:val="21"/>
              </w:rPr>
            </w:pPr>
            <w:r>
              <w:t>196,992.14</w:t>
            </w:r>
          </w:p>
        </w:tc>
      </w:tr>
      <w:tr w:rsidR="00E57DAA" w14:paraId="537BF28E" w14:textId="77777777">
        <w:tc>
          <w:tcPr>
            <w:tcW w:w="677" w:type="pct"/>
            <w:tcBorders>
              <w:top w:val="single" w:sz="4" w:space="0" w:color="auto"/>
              <w:left w:val="single" w:sz="4" w:space="0" w:color="auto"/>
              <w:bottom w:val="single" w:sz="4" w:space="0" w:color="auto"/>
              <w:right w:val="single" w:sz="4" w:space="0" w:color="auto"/>
            </w:tcBorders>
            <w:vAlign w:val="center"/>
          </w:tcPr>
          <w:p w14:paraId="757AB59D"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7F963234" w14:textId="77777777" w:rsidR="00E57DAA" w:rsidRDefault="00AC4185">
            <w:pPr>
              <w:autoSpaceDE w:val="0"/>
              <w:autoSpaceDN w:val="0"/>
              <w:adjustRightInd w:val="0"/>
              <w:rPr>
                <w:szCs w:val="21"/>
              </w:rPr>
            </w:pPr>
            <w:r>
              <w:t>成都安美科机电有限公司</w:t>
            </w:r>
          </w:p>
        </w:tc>
        <w:tc>
          <w:tcPr>
            <w:tcW w:w="633" w:type="pct"/>
            <w:tcBorders>
              <w:top w:val="single" w:sz="4" w:space="0" w:color="auto"/>
              <w:left w:val="single" w:sz="4" w:space="0" w:color="auto"/>
              <w:bottom w:val="single" w:sz="4" w:space="0" w:color="auto"/>
              <w:right w:val="single" w:sz="4" w:space="0" w:color="auto"/>
            </w:tcBorders>
          </w:tcPr>
          <w:p w14:paraId="401103E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7D091D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7787AF0" w14:textId="77777777" w:rsidR="00E57DAA" w:rsidRDefault="00AC4185">
            <w:pPr>
              <w:autoSpaceDE w:val="0"/>
              <w:autoSpaceDN w:val="0"/>
              <w:adjustRightInd w:val="0"/>
              <w:jc w:val="right"/>
              <w:rPr>
                <w:szCs w:val="21"/>
              </w:rPr>
            </w:pPr>
            <w:r>
              <w:t>3,900,222.00</w:t>
            </w:r>
          </w:p>
        </w:tc>
        <w:tc>
          <w:tcPr>
            <w:tcW w:w="914" w:type="pct"/>
            <w:tcBorders>
              <w:top w:val="single" w:sz="4" w:space="0" w:color="auto"/>
              <w:left w:val="single" w:sz="4" w:space="0" w:color="auto"/>
              <w:bottom w:val="single" w:sz="4" w:space="0" w:color="auto"/>
              <w:right w:val="single" w:sz="4" w:space="0" w:color="auto"/>
            </w:tcBorders>
          </w:tcPr>
          <w:p w14:paraId="7411371B" w14:textId="77777777" w:rsidR="00E57DAA" w:rsidRDefault="00AC4185">
            <w:pPr>
              <w:autoSpaceDE w:val="0"/>
              <w:autoSpaceDN w:val="0"/>
              <w:adjustRightInd w:val="0"/>
              <w:jc w:val="right"/>
              <w:rPr>
                <w:szCs w:val="21"/>
              </w:rPr>
            </w:pPr>
            <w:r>
              <w:t>27,691.58</w:t>
            </w:r>
          </w:p>
        </w:tc>
      </w:tr>
      <w:tr w:rsidR="00E57DAA" w14:paraId="6038C5F4" w14:textId="77777777">
        <w:tc>
          <w:tcPr>
            <w:tcW w:w="677" w:type="pct"/>
            <w:tcBorders>
              <w:top w:val="single" w:sz="4" w:space="0" w:color="auto"/>
              <w:left w:val="single" w:sz="4" w:space="0" w:color="auto"/>
              <w:bottom w:val="single" w:sz="4" w:space="0" w:color="auto"/>
              <w:right w:val="single" w:sz="4" w:space="0" w:color="auto"/>
            </w:tcBorders>
            <w:vAlign w:val="center"/>
          </w:tcPr>
          <w:p w14:paraId="55151337" w14:textId="77777777" w:rsidR="00E57DAA" w:rsidRDefault="00AC4185">
            <w:pPr>
              <w:autoSpaceDE w:val="0"/>
              <w:autoSpaceDN w:val="0"/>
              <w:adjustRightInd w:val="0"/>
              <w:rPr>
                <w:szCs w:val="21"/>
              </w:rPr>
            </w:pPr>
            <w:r>
              <w:t>其他应收款</w:t>
            </w:r>
          </w:p>
        </w:tc>
        <w:tc>
          <w:tcPr>
            <w:tcW w:w="1441" w:type="pct"/>
            <w:tcBorders>
              <w:top w:val="single" w:sz="4" w:space="0" w:color="auto"/>
              <w:left w:val="single" w:sz="4" w:space="0" w:color="auto"/>
              <w:bottom w:val="single" w:sz="4" w:space="0" w:color="auto"/>
              <w:right w:val="single" w:sz="4" w:space="0" w:color="auto"/>
            </w:tcBorders>
          </w:tcPr>
          <w:p w14:paraId="248F18D2" w14:textId="77777777" w:rsidR="00E57DAA" w:rsidRDefault="00AC4185">
            <w:pPr>
              <w:autoSpaceDE w:val="0"/>
              <w:autoSpaceDN w:val="0"/>
              <w:adjustRightInd w:val="0"/>
              <w:rPr>
                <w:szCs w:val="21"/>
              </w:rPr>
            </w:pPr>
            <w:r>
              <w:t>济宁山水水泥有限公司</w:t>
            </w:r>
          </w:p>
        </w:tc>
        <w:tc>
          <w:tcPr>
            <w:tcW w:w="633" w:type="pct"/>
            <w:tcBorders>
              <w:top w:val="single" w:sz="4" w:space="0" w:color="auto"/>
              <w:left w:val="single" w:sz="4" w:space="0" w:color="auto"/>
              <w:bottom w:val="single" w:sz="4" w:space="0" w:color="auto"/>
              <w:right w:val="single" w:sz="4" w:space="0" w:color="auto"/>
            </w:tcBorders>
          </w:tcPr>
          <w:p w14:paraId="20B8031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E5B31D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B92FC10" w14:textId="77777777" w:rsidR="00E57DAA" w:rsidRDefault="00AC4185">
            <w:pPr>
              <w:autoSpaceDE w:val="0"/>
              <w:autoSpaceDN w:val="0"/>
              <w:adjustRightInd w:val="0"/>
              <w:jc w:val="right"/>
              <w:rPr>
                <w:szCs w:val="21"/>
              </w:rPr>
            </w:pPr>
            <w:r>
              <w:t>139,411.97</w:t>
            </w:r>
          </w:p>
        </w:tc>
        <w:tc>
          <w:tcPr>
            <w:tcW w:w="914" w:type="pct"/>
            <w:tcBorders>
              <w:top w:val="single" w:sz="4" w:space="0" w:color="auto"/>
              <w:left w:val="single" w:sz="4" w:space="0" w:color="auto"/>
              <w:bottom w:val="single" w:sz="4" w:space="0" w:color="auto"/>
              <w:right w:val="single" w:sz="4" w:space="0" w:color="auto"/>
            </w:tcBorders>
          </w:tcPr>
          <w:p w14:paraId="70DCC32F" w14:textId="77777777" w:rsidR="00E57DAA" w:rsidRDefault="00AC4185">
            <w:pPr>
              <w:autoSpaceDE w:val="0"/>
              <w:autoSpaceDN w:val="0"/>
              <w:adjustRightInd w:val="0"/>
              <w:jc w:val="right"/>
              <w:rPr>
                <w:szCs w:val="21"/>
              </w:rPr>
            </w:pPr>
            <w:r>
              <w:t>906.18</w:t>
            </w:r>
          </w:p>
        </w:tc>
      </w:tr>
      <w:tr w:rsidR="00E57DAA" w14:paraId="74DE1173" w14:textId="77777777">
        <w:tc>
          <w:tcPr>
            <w:tcW w:w="677" w:type="pct"/>
            <w:tcBorders>
              <w:top w:val="single" w:sz="4" w:space="0" w:color="auto"/>
              <w:left w:val="single" w:sz="4" w:space="0" w:color="auto"/>
              <w:bottom w:val="single" w:sz="4" w:space="0" w:color="auto"/>
              <w:right w:val="single" w:sz="4" w:space="0" w:color="auto"/>
            </w:tcBorders>
            <w:vAlign w:val="center"/>
          </w:tcPr>
          <w:p w14:paraId="7D0F006C"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439026D2" w14:textId="77777777" w:rsidR="00E57DAA" w:rsidRDefault="00AC4185">
            <w:pPr>
              <w:autoSpaceDE w:val="0"/>
              <w:autoSpaceDN w:val="0"/>
              <w:adjustRightInd w:val="0"/>
              <w:rPr>
                <w:szCs w:val="21"/>
              </w:rPr>
            </w:pPr>
            <w:r>
              <w:t>联营企业</w:t>
            </w:r>
          </w:p>
        </w:tc>
        <w:tc>
          <w:tcPr>
            <w:tcW w:w="633" w:type="pct"/>
            <w:tcBorders>
              <w:top w:val="single" w:sz="4" w:space="0" w:color="auto"/>
              <w:left w:val="single" w:sz="4" w:space="0" w:color="auto"/>
              <w:bottom w:val="single" w:sz="4" w:space="0" w:color="auto"/>
              <w:right w:val="single" w:sz="4" w:space="0" w:color="auto"/>
            </w:tcBorders>
          </w:tcPr>
          <w:p w14:paraId="0C2E1C3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FFDEA6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B15A17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7E059B3" w14:textId="77777777" w:rsidR="00E57DAA" w:rsidRDefault="00AC4185">
            <w:pPr>
              <w:autoSpaceDE w:val="0"/>
              <w:autoSpaceDN w:val="0"/>
              <w:adjustRightInd w:val="0"/>
              <w:jc w:val="right"/>
              <w:rPr>
                <w:szCs w:val="21"/>
              </w:rPr>
            </w:pPr>
            <w:r>
              <w:t xml:space="preserve">　</w:t>
            </w:r>
          </w:p>
        </w:tc>
      </w:tr>
      <w:tr w:rsidR="00E57DAA" w14:paraId="2FF159AF" w14:textId="77777777">
        <w:tc>
          <w:tcPr>
            <w:tcW w:w="677" w:type="pct"/>
            <w:tcBorders>
              <w:top w:val="single" w:sz="4" w:space="0" w:color="auto"/>
              <w:left w:val="single" w:sz="4" w:space="0" w:color="auto"/>
              <w:bottom w:val="single" w:sz="4" w:space="0" w:color="auto"/>
              <w:right w:val="single" w:sz="4" w:space="0" w:color="auto"/>
            </w:tcBorders>
            <w:vAlign w:val="center"/>
          </w:tcPr>
          <w:p w14:paraId="06505880" w14:textId="77777777" w:rsidR="00E57DAA" w:rsidRDefault="00AC4185">
            <w:pPr>
              <w:autoSpaceDE w:val="0"/>
              <w:autoSpaceDN w:val="0"/>
              <w:adjustRightInd w:val="0"/>
              <w:rPr>
                <w:szCs w:val="21"/>
              </w:rPr>
            </w:pPr>
            <w:r>
              <w:t>应收股利</w:t>
            </w:r>
          </w:p>
        </w:tc>
        <w:tc>
          <w:tcPr>
            <w:tcW w:w="1441" w:type="pct"/>
            <w:tcBorders>
              <w:top w:val="single" w:sz="4" w:space="0" w:color="auto"/>
              <w:left w:val="single" w:sz="4" w:space="0" w:color="auto"/>
              <w:bottom w:val="single" w:sz="4" w:space="0" w:color="auto"/>
              <w:right w:val="single" w:sz="4" w:space="0" w:color="auto"/>
            </w:tcBorders>
          </w:tcPr>
          <w:p w14:paraId="535FD362" w14:textId="77777777" w:rsidR="00E57DAA" w:rsidRDefault="00AC4185">
            <w:pPr>
              <w:autoSpaceDE w:val="0"/>
              <w:autoSpaceDN w:val="0"/>
              <w:adjustRightInd w:val="0"/>
              <w:rPr>
                <w:szCs w:val="21"/>
              </w:rPr>
            </w:pPr>
            <w:r>
              <w:t>中才邦业（杭州）智能技术有限公司</w:t>
            </w:r>
          </w:p>
        </w:tc>
        <w:tc>
          <w:tcPr>
            <w:tcW w:w="633" w:type="pct"/>
            <w:tcBorders>
              <w:top w:val="single" w:sz="4" w:space="0" w:color="auto"/>
              <w:left w:val="single" w:sz="4" w:space="0" w:color="auto"/>
              <w:bottom w:val="single" w:sz="4" w:space="0" w:color="auto"/>
              <w:right w:val="single" w:sz="4" w:space="0" w:color="auto"/>
            </w:tcBorders>
          </w:tcPr>
          <w:p w14:paraId="1E3D28E0" w14:textId="77777777" w:rsidR="00E57DAA" w:rsidRDefault="00AC4185">
            <w:pPr>
              <w:autoSpaceDE w:val="0"/>
              <w:autoSpaceDN w:val="0"/>
              <w:adjustRightInd w:val="0"/>
              <w:jc w:val="right"/>
              <w:rPr>
                <w:szCs w:val="21"/>
              </w:rPr>
            </w:pPr>
            <w:r>
              <w:t>2,040,114.47</w:t>
            </w:r>
          </w:p>
        </w:tc>
        <w:tc>
          <w:tcPr>
            <w:tcW w:w="632" w:type="pct"/>
            <w:tcBorders>
              <w:top w:val="single" w:sz="4" w:space="0" w:color="auto"/>
              <w:left w:val="single" w:sz="4" w:space="0" w:color="auto"/>
              <w:bottom w:val="single" w:sz="4" w:space="0" w:color="auto"/>
              <w:right w:val="single" w:sz="4" w:space="0" w:color="auto"/>
            </w:tcBorders>
          </w:tcPr>
          <w:p w14:paraId="2B55DDC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82A3BA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73ED154" w14:textId="77777777" w:rsidR="00E57DAA" w:rsidRDefault="00AC4185">
            <w:pPr>
              <w:autoSpaceDE w:val="0"/>
              <w:autoSpaceDN w:val="0"/>
              <w:adjustRightInd w:val="0"/>
              <w:jc w:val="right"/>
              <w:rPr>
                <w:szCs w:val="21"/>
              </w:rPr>
            </w:pPr>
            <w:r>
              <w:t xml:space="preserve">　</w:t>
            </w:r>
          </w:p>
        </w:tc>
      </w:tr>
      <w:tr w:rsidR="00E57DAA" w14:paraId="18A16B9B" w14:textId="77777777">
        <w:tc>
          <w:tcPr>
            <w:tcW w:w="677" w:type="pct"/>
            <w:tcBorders>
              <w:top w:val="single" w:sz="4" w:space="0" w:color="auto"/>
              <w:left w:val="single" w:sz="4" w:space="0" w:color="auto"/>
              <w:bottom w:val="single" w:sz="4" w:space="0" w:color="auto"/>
              <w:right w:val="single" w:sz="4" w:space="0" w:color="auto"/>
            </w:tcBorders>
            <w:vAlign w:val="center"/>
          </w:tcPr>
          <w:p w14:paraId="590A6411"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7EADC3AD"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6B38CC7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07E9F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3A847C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9D69866" w14:textId="77777777" w:rsidR="00E57DAA" w:rsidRDefault="00AC4185">
            <w:pPr>
              <w:autoSpaceDE w:val="0"/>
              <w:autoSpaceDN w:val="0"/>
              <w:adjustRightInd w:val="0"/>
              <w:jc w:val="right"/>
              <w:rPr>
                <w:szCs w:val="21"/>
              </w:rPr>
            </w:pPr>
            <w:r>
              <w:t xml:space="preserve">　</w:t>
            </w:r>
          </w:p>
        </w:tc>
      </w:tr>
      <w:tr w:rsidR="00E57DAA" w14:paraId="2C60EF0B" w14:textId="77777777">
        <w:tc>
          <w:tcPr>
            <w:tcW w:w="677" w:type="pct"/>
            <w:tcBorders>
              <w:top w:val="single" w:sz="4" w:space="0" w:color="auto"/>
              <w:left w:val="single" w:sz="4" w:space="0" w:color="auto"/>
              <w:bottom w:val="single" w:sz="4" w:space="0" w:color="auto"/>
              <w:right w:val="single" w:sz="4" w:space="0" w:color="auto"/>
            </w:tcBorders>
            <w:vAlign w:val="center"/>
          </w:tcPr>
          <w:p w14:paraId="03A9D807" w14:textId="77777777" w:rsidR="00E57DAA" w:rsidRDefault="00AC4185">
            <w:pPr>
              <w:autoSpaceDE w:val="0"/>
              <w:autoSpaceDN w:val="0"/>
              <w:adjustRightInd w:val="0"/>
              <w:rPr>
                <w:szCs w:val="21"/>
              </w:rPr>
            </w:pPr>
            <w:r>
              <w:lastRenderedPageBreak/>
              <w:t>长期应收款（含一年内到期）</w:t>
            </w:r>
          </w:p>
        </w:tc>
        <w:tc>
          <w:tcPr>
            <w:tcW w:w="1441" w:type="pct"/>
            <w:tcBorders>
              <w:top w:val="single" w:sz="4" w:space="0" w:color="auto"/>
              <w:left w:val="single" w:sz="4" w:space="0" w:color="auto"/>
              <w:bottom w:val="single" w:sz="4" w:space="0" w:color="auto"/>
              <w:right w:val="single" w:sz="4" w:space="0" w:color="auto"/>
            </w:tcBorders>
          </w:tcPr>
          <w:p w14:paraId="25D1394B" w14:textId="77777777" w:rsidR="00E57DAA" w:rsidRDefault="00AC4185">
            <w:pPr>
              <w:autoSpaceDE w:val="0"/>
              <w:autoSpaceDN w:val="0"/>
              <w:adjustRightInd w:val="0"/>
              <w:rPr>
                <w:szCs w:val="21"/>
              </w:rPr>
            </w:pPr>
            <w:r>
              <w:t>中国建材国际工程集团有限公司</w:t>
            </w:r>
          </w:p>
        </w:tc>
        <w:tc>
          <w:tcPr>
            <w:tcW w:w="633" w:type="pct"/>
            <w:tcBorders>
              <w:top w:val="single" w:sz="4" w:space="0" w:color="auto"/>
              <w:left w:val="single" w:sz="4" w:space="0" w:color="auto"/>
              <w:bottom w:val="single" w:sz="4" w:space="0" w:color="auto"/>
              <w:right w:val="single" w:sz="4" w:space="0" w:color="auto"/>
            </w:tcBorders>
          </w:tcPr>
          <w:p w14:paraId="668FC74A" w14:textId="77777777" w:rsidR="00E57DAA" w:rsidRDefault="00AC4185">
            <w:pPr>
              <w:autoSpaceDE w:val="0"/>
              <w:autoSpaceDN w:val="0"/>
              <w:adjustRightInd w:val="0"/>
              <w:jc w:val="right"/>
              <w:rPr>
                <w:szCs w:val="21"/>
              </w:rPr>
            </w:pPr>
            <w:r>
              <w:t>556,606,799.66</w:t>
            </w:r>
          </w:p>
        </w:tc>
        <w:tc>
          <w:tcPr>
            <w:tcW w:w="632" w:type="pct"/>
            <w:tcBorders>
              <w:top w:val="single" w:sz="4" w:space="0" w:color="auto"/>
              <w:left w:val="single" w:sz="4" w:space="0" w:color="auto"/>
              <w:bottom w:val="single" w:sz="4" w:space="0" w:color="auto"/>
              <w:right w:val="single" w:sz="4" w:space="0" w:color="auto"/>
            </w:tcBorders>
          </w:tcPr>
          <w:p w14:paraId="34DD41F1"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7378F26" w14:textId="77777777" w:rsidR="00E57DAA" w:rsidRDefault="00AC4185">
            <w:pPr>
              <w:autoSpaceDE w:val="0"/>
              <w:autoSpaceDN w:val="0"/>
              <w:adjustRightInd w:val="0"/>
              <w:jc w:val="right"/>
              <w:rPr>
                <w:szCs w:val="21"/>
              </w:rPr>
            </w:pPr>
            <w:r>
              <w:t>590,175,900.73</w:t>
            </w:r>
          </w:p>
        </w:tc>
        <w:tc>
          <w:tcPr>
            <w:tcW w:w="914" w:type="pct"/>
            <w:tcBorders>
              <w:top w:val="single" w:sz="4" w:space="0" w:color="auto"/>
              <w:left w:val="single" w:sz="4" w:space="0" w:color="auto"/>
              <w:bottom w:val="single" w:sz="4" w:space="0" w:color="auto"/>
              <w:right w:val="single" w:sz="4" w:space="0" w:color="auto"/>
            </w:tcBorders>
          </w:tcPr>
          <w:p w14:paraId="197B5B0E" w14:textId="77777777" w:rsidR="00E57DAA" w:rsidRDefault="00AC4185">
            <w:pPr>
              <w:autoSpaceDE w:val="0"/>
              <w:autoSpaceDN w:val="0"/>
              <w:adjustRightInd w:val="0"/>
              <w:jc w:val="right"/>
              <w:rPr>
                <w:szCs w:val="21"/>
              </w:rPr>
            </w:pPr>
            <w:r>
              <w:t xml:space="preserve">　</w:t>
            </w:r>
          </w:p>
        </w:tc>
      </w:tr>
      <w:tr w:rsidR="00E57DAA" w14:paraId="63D5AA1D" w14:textId="77777777">
        <w:tc>
          <w:tcPr>
            <w:tcW w:w="677" w:type="pct"/>
            <w:tcBorders>
              <w:top w:val="single" w:sz="4" w:space="0" w:color="auto"/>
              <w:left w:val="single" w:sz="4" w:space="0" w:color="auto"/>
              <w:bottom w:val="single" w:sz="4" w:space="0" w:color="auto"/>
              <w:right w:val="single" w:sz="4" w:space="0" w:color="auto"/>
            </w:tcBorders>
            <w:vAlign w:val="center"/>
          </w:tcPr>
          <w:p w14:paraId="1DBF535D"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4FEDCC82"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70CB7A2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9193B3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800ED1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6938157" w14:textId="77777777" w:rsidR="00E57DAA" w:rsidRDefault="00AC4185">
            <w:pPr>
              <w:autoSpaceDE w:val="0"/>
              <w:autoSpaceDN w:val="0"/>
              <w:adjustRightInd w:val="0"/>
              <w:jc w:val="right"/>
              <w:rPr>
                <w:szCs w:val="21"/>
              </w:rPr>
            </w:pPr>
            <w:r>
              <w:t xml:space="preserve">　</w:t>
            </w:r>
          </w:p>
        </w:tc>
      </w:tr>
      <w:tr w:rsidR="00E57DAA" w14:paraId="22357A15" w14:textId="77777777">
        <w:tc>
          <w:tcPr>
            <w:tcW w:w="677" w:type="pct"/>
            <w:tcBorders>
              <w:top w:val="single" w:sz="4" w:space="0" w:color="auto"/>
              <w:left w:val="single" w:sz="4" w:space="0" w:color="auto"/>
              <w:bottom w:val="single" w:sz="4" w:space="0" w:color="auto"/>
              <w:right w:val="single" w:sz="4" w:space="0" w:color="auto"/>
            </w:tcBorders>
            <w:vAlign w:val="center"/>
          </w:tcPr>
          <w:p w14:paraId="16EC0DA1" w14:textId="77777777" w:rsidR="00E57DAA" w:rsidRDefault="00AC4185">
            <w:pPr>
              <w:autoSpaceDE w:val="0"/>
              <w:autoSpaceDN w:val="0"/>
              <w:adjustRightInd w:val="0"/>
              <w:rPr>
                <w:szCs w:val="21"/>
              </w:rPr>
            </w:pPr>
            <w:r>
              <w:t>长期应收款（含一年内到期）</w:t>
            </w:r>
          </w:p>
        </w:tc>
        <w:tc>
          <w:tcPr>
            <w:tcW w:w="1441" w:type="pct"/>
            <w:tcBorders>
              <w:top w:val="single" w:sz="4" w:space="0" w:color="auto"/>
              <w:left w:val="single" w:sz="4" w:space="0" w:color="auto"/>
              <w:bottom w:val="single" w:sz="4" w:space="0" w:color="auto"/>
              <w:right w:val="single" w:sz="4" w:space="0" w:color="auto"/>
            </w:tcBorders>
          </w:tcPr>
          <w:p w14:paraId="78D38CF6" w14:textId="77777777" w:rsidR="00E57DAA" w:rsidRDefault="00AC4185">
            <w:pPr>
              <w:autoSpaceDE w:val="0"/>
              <w:autoSpaceDN w:val="0"/>
              <w:adjustRightInd w:val="0"/>
              <w:rPr>
                <w:szCs w:val="21"/>
              </w:rPr>
            </w:pPr>
            <w:r>
              <w:t>山东优科尚品节能科技有限公司</w:t>
            </w:r>
          </w:p>
        </w:tc>
        <w:tc>
          <w:tcPr>
            <w:tcW w:w="633" w:type="pct"/>
            <w:tcBorders>
              <w:top w:val="single" w:sz="4" w:space="0" w:color="auto"/>
              <w:left w:val="single" w:sz="4" w:space="0" w:color="auto"/>
              <w:bottom w:val="single" w:sz="4" w:space="0" w:color="auto"/>
              <w:right w:val="single" w:sz="4" w:space="0" w:color="auto"/>
            </w:tcBorders>
          </w:tcPr>
          <w:p w14:paraId="66D3B166" w14:textId="77777777" w:rsidR="00E57DAA" w:rsidRDefault="00AC4185">
            <w:pPr>
              <w:autoSpaceDE w:val="0"/>
              <w:autoSpaceDN w:val="0"/>
              <w:adjustRightInd w:val="0"/>
              <w:jc w:val="right"/>
              <w:rPr>
                <w:szCs w:val="21"/>
              </w:rPr>
            </w:pPr>
            <w:r>
              <w:t>61,139,890.34</w:t>
            </w:r>
          </w:p>
        </w:tc>
        <w:tc>
          <w:tcPr>
            <w:tcW w:w="632" w:type="pct"/>
            <w:tcBorders>
              <w:top w:val="single" w:sz="4" w:space="0" w:color="auto"/>
              <w:left w:val="single" w:sz="4" w:space="0" w:color="auto"/>
              <w:bottom w:val="single" w:sz="4" w:space="0" w:color="auto"/>
              <w:right w:val="single" w:sz="4" w:space="0" w:color="auto"/>
            </w:tcBorders>
          </w:tcPr>
          <w:p w14:paraId="624995F5"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C0AB42B" w14:textId="77777777" w:rsidR="00E57DAA" w:rsidRDefault="00AC4185">
            <w:pPr>
              <w:autoSpaceDE w:val="0"/>
              <w:autoSpaceDN w:val="0"/>
              <w:adjustRightInd w:val="0"/>
              <w:jc w:val="right"/>
              <w:rPr>
                <w:szCs w:val="21"/>
              </w:rPr>
            </w:pPr>
            <w:r>
              <w:t>58,272,589.41</w:t>
            </w:r>
          </w:p>
        </w:tc>
        <w:tc>
          <w:tcPr>
            <w:tcW w:w="914" w:type="pct"/>
            <w:tcBorders>
              <w:top w:val="single" w:sz="4" w:space="0" w:color="auto"/>
              <w:left w:val="single" w:sz="4" w:space="0" w:color="auto"/>
              <w:bottom w:val="single" w:sz="4" w:space="0" w:color="auto"/>
              <w:right w:val="single" w:sz="4" w:space="0" w:color="auto"/>
            </w:tcBorders>
          </w:tcPr>
          <w:p w14:paraId="01AE9923" w14:textId="77777777" w:rsidR="00E57DAA" w:rsidRDefault="00AC4185">
            <w:pPr>
              <w:autoSpaceDE w:val="0"/>
              <w:autoSpaceDN w:val="0"/>
              <w:adjustRightInd w:val="0"/>
              <w:jc w:val="right"/>
              <w:rPr>
                <w:szCs w:val="21"/>
              </w:rPr>
            </w:pPr>
            <w:r>
              <w:t xml:space="preserve">　</w:t>
            </w:r>
          </w:p>
        </w:tc>
      </w:tr>
      <w:tr w:rsidR="00E57DAA" w14:paraId="28184188" w14:textId="77777777">
        <w:tc>
          <w:tcPr>
            <w:tcW w:w="677" w:type="pct"/>
            <w:tcBorders>
              <w:top w:val="single" w:sz="4" w:space="0" w:color="auto"/>
              <w:left w:val="single" w:sz="4" w:space="0" w:color="auto"/>
              <w:bottom w:val="single" w:sz="4" w:space="0" w:color="auto"/>
              <w:right w:val="single" w:sz="4" w:space="0" w:color="auto"/>
            </w:tcBorders>
            <w:vAlign w:val="center"/>
          </w:tcPr>
          <w:p w14:paraId="78992B1B"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2717937C" w14:textId="77777777" w:rsidR="00E57DAA" w:rsidRDefault="00AC4185">
            <w:pPr>
              <w:autoSpaceDE w:val="0"/>
              <w:autoSpaceDN w:val="0"/>
              <w:adjustRightInd w:val="0"/>
              <w:rPr>
                <w:szCs w:val="21"/>
              </w:rPr>
            </w:pPr>
            <w:r>
              <w:t>联营企业</w:t>
            </w:r>
          </w:p>
        </w:tc>
        <w:tc>
          <w:tcPr>
            <w:tcW w:w="633" w:type="pct"/>
            <w:tcBorders>
              <w:top w:val="single" w:sz="4" w:space="0" w:color="auto"/>
              <w:left w:val="single" w:sz="4" w:space="0" w:color="auto"/>
              <w:bottom w:val="single" w:sz="4" w:space="0" w:color="auto"/>
              <w:right w:val="single" w:sz="4" w:space="0" w:color="auto"/>
            </w:tcBorders>
          </w:tcPr>
          <w:p w14:paraId="4E81CC7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48D076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162F4E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C59477D" w14:textId="77777777" w:rsidR="00E57DAA" w:rsidRDefault="00AC4185">
            <w:pPr>
              <w:autoSpaceDE w:val="0"/>
              <w:autoSpaceDN w:val="0"/>
              <w:adjustRightInd w:val="0"/>
              <w:jc w:val="right"/>
              <w:rPr>
                <w:szCs w:val="21"/>
              </w:rPr>
            </w:pPr>
            <w:r>
              <w:t xml:space="preserve">　</w:t>
            </w:r>
          </w:p>
        </w:tc>
      </w:tr>
      <w:tr w:rsidR="00E57DAA" w14:paraId="5288E02F" w14:textId="77777777">
        <w:tc>
          <w:tcPr>
            <w:tcW w:w="677" w:type="pct"/>
            <w:tcBorders>
              <w:top w:val="single" w:sz="4" w:space="0" w:color="auto"/>
              <w:left w:val="single" w:sz="4" w:space="0" w:color="auto"/>
              <w:bottom w:val="single" w:sz="4" w:space="0" w:color="auto"/>
              <w:right w:val="single" w:sz="4" w:space="0" w:color="auto"/>
            </w:tcBorders>
            <w:vAlign w:val="center"/>
          </w:tcPr>
          <w:p w14:paraId="4596BDF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301C7F4" w14:textId="77777777" w:rsidR="00E57DAA" w:rsidRDefault="00AC4185">
            <w:pPr>
              <w:autoSpaceDE w:val="0"/>
              <w:autoSpaceDN w:val="0"/>
              <w:adjustRightInd w:val="0"/>
              <w:rPr>
                <w:szCs w:val="21"/>
              </w:rPr>
            </w:pPr>
            <w:r>
              <w:t>中国建材尼日利亚新材料有限公司</w:t>
            </w:r>
          </w:p>
        </w:tc>
        <w:tc>
          <w:tcPr>
            <w:tcW w:w="633" w:type="pct"/>
            <w:tcBorders>
              <w:top w:val="single" w:sz="4" w:space="0" w:color="auto"/>
              <w:left w:val="single" w:sz="4" w:space="0" w:color="auto"/>
              <w:bottom w:val="single" w:sz="4" w:space="0" w:color="auto"/>
              <w:right w:val="single" w:sz="4" w:space="0" w:color="auto"/>
            </w:tcBorders>
          </w:tcPr>
          <w:p w14:paraId="3660A9B8" w14:textId="77777777" w:rsidR="00E57DAA" w:rsidRDefault="00AC4185">
            <w:pPr>
              <w:autoSpaceDE w:val="0"/>
              <w:autoSpaceDN w:val="0"/>
              <w:adjustRightInd w:val="0"/>
              <w:jc w:val="right"/>
              <w:rPr>
                <w:szCs w:val="21"/>
              </w:rPr>
            </w:pPr>
            <w:r>
              <w:t>22,892,011.96</w:t>
            </w:r>
          </w:p>
        </w:tc>
        <w:tc>
          <w:tcPr>
            <w:tcW w:w="632" w:type="pct"/>
            <w:tcBorders>
              <w:top w:val="single" w:sz="4" w:space="0" w:color="auto"/>
              <w:left w:val="single" w:sz="4" w:space="0" w:color="auto"/>
              <w:bottom w:val="single" w:sz="4" w:space="0" w:color="auto"/>
              <w:right w:val="single" w:sz="4" w:space="0" w:color="auto"/>
            </w:tcBorders>
          </w:tcPr>
          <w:p w14:paraId="355BB5A9" w14:textId="77777777" w:rsidR="00E57DAA" w:rsidRDefault="00AC4185">
            <w:pPr>
              <w:autoSpaceDE w:val="0"/>
              <w:autoSpaceDN w:val="0"/>
              <w:adjustRightInd w:val="0"/>
              <w:jc w:val="right"/>
              <w:rPr>
                <w:szCs w:val="21"/>
              </w:rPr>
            </w:pPr>
            <w:r>
              <w:t>542,540.68</w:t>
            </w:r>
          </w:p>
        </w:tc>
        <w:tc>
          <w:tcPr>
            <w:tcW w:w="703" w:type="pct"/>
            <w:tcBorders>
              <w:top w:val="single" w:sz="4" w:space="0" w:color="auto"/>
              <w:left w:val="single" w:sz="4" w:space="0" w:color="auto"/>
              <w:bottom w:val="single" w:sz="4" w:space="0" w:color="auto"/>
              <w:right w:val="single" w:sz="4" w:space="0" w:color="auto"/>
            </w:tcBorders>
          </w:tcPr>
          <w:p w14:paraId="1A54E89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66CAF2B" w14:textId="77777777" w:rsidR="00E57DAA" w:rsidRDefault="00AC4185">
            <w:pPr>
              <w:autoSpaceDE w:val="0"/>
              <w:autoSpaceDN w:val="0"/>
              <w:adjustRightInd w:val="0"/>
              <w:jc w:val="right"/>
              <w:rPr>
                <w:szCs w:val="21"/>
              </w:rPr>
            </w:pPr>
            <w:r>
              <w:t xml:space="preserve">　</w:t>
            </w:r>
          </w:p>
        </w:tc>
      </w:tr>
      <w:tr w:rsidR="00E57DAA" w14:paraId="3B396051" w14:textId="77777777">
        <w:tc>
          <w:tcPr>
            <w:tcW w:w="677" w:type="pct"/>
            <w:tcBorders>
              <w:top w:val="single" w:sz="4" w:space="0" w:color="auto"/>
              <w:left w:val="single" w:sz="4" w:space="0" w:color="auto"/>
              <w:bottom w:val="single" w:sz="4" w:space="0" w:color="auto"/>
              <w:right w:val="single" w:sz="4" w:space="0" w:color="auto"/>
            </w:tcBorders>
            <w:vAlign w:val="center"/>
          </w:tcPr>
          <w:p w14:paraId="680D439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FE5D902" w14:textId="77777777" w:rsidR="00E57DAA" w:rsidRDefault="00AC4185">
            <w:pPr>
              <w:autoSpaceDE w:val="0"/>
              <w:autoSpaceDN w:val="0"/>
              <w:adjustRightInd w:val="0"/>
              <w:rPr>
                <w:szCs w:val="21"/>
              </w:rPr>
            </w:pPr>
            <w:r>
              <w:t>中建材矿业投资尼日利亚有限公司</w:t>
            </w:r>
          </w:p>
        </w:tc>
        <w:tc>
          <w:tcPr>
            <w:tcW w:w="633" w:type="pct"/>
            <w:tcBorders>
              <w:top w:val="single" w:sz="4" w:space="0" w:color="auto"/>
              <w:left w:val="single" w:sz="4" w:space="0" w:color="auto"/>
              <w:bottom w:val="single" w:sz="4" w:space="0" w:color="auto"/>
              <w:right w:val="single" w:sz="4" w:space="0" w:color="auto"/>
            </w:tcBorders>
          </w:tcPr>
          <w:p w14:paraId="0FC2F892" w14:textId="77777777" w:rsidR="00E57DAA" w:rsidRDefault="00AC4185">
            <w:pPr>
              <w:autoSpaceDE w:val="0"/>
              <w:autoSpaceDN w:val="0"/>
              <w:adjustRightInd w:val="0"/>
              <w:jc w:val="right"/>
              <w:rPr>
                <w:szCs w:val="21"/>
              </w:rPr>
            </w:pPr>
            <w:r>
              <w:t>9,479,809.97</w:t>
            </w:r>
          </w:p>
        </w:tc>
        <w:tc>
          <w:tcPr>
            <w:tcW w:w="632" w:type="pct"/>
            <w:tcBorders>
              <w:top w:val="single" w:sz="4" w:space="0" w:color="auto"/>
              <w:left w:val="single" w:sz="4" w:space="0" w:color="auto"/>
              <w:bottom w:val="single" w:sz="4" w:space="0" w:color="auto"/>
              <w:right w:val="single" w:sz="4" w:space="0" w:color="auto"/>
            </w:tcBorders>
          </w:tcPr>
          <w:p w14:paraId="45C6C085" w14:textId="77777777" w:rsidR="00E57DAA" w:rsidRDefault="00AC4185">
            <w:pPr>
              <w:autoSpaceDE w:val="0"/>
              <w:autoSpaceDN w:val="0"/>
              <w:adjustRightInd w:val="0"/>
              <w:jc w:val="right"/>
              <w:rPr>
                <w:szCs w:val="21"/>
              </w:rPr>
            </w:pPr>
            <w:r>
              <w:t>1,366,988.60</w:t>
            </w:r>
          </w:p>
        </w:tc>
        <w:tc>
          <w:tcPr>
            <w:tcW w:w="703" w:type="pct"/>
            <w:tcBorders>
              <w:top w:val="single" w:sz="4" w:space="0" w:color="auto"/>
              <w:left w:val="single" w:sz="4" w:space="0" w:color="auto"/>
              <w:bottom w:val="single" w:sz="4" w:space="0" w:color="auto"/>
              <w:right w:val="single" w:sz="4" w:space="0" w:color="auto"/>
            </w:tcBorders>
          </w:tcPr>
          <w:p w14:paraId="74D49318" w14:textId="77777777" w:rsidR="00E57DAA" w:rsidRDefault="00AC4185">
            <w:pPr>
              <w:autoSpaceDE w:val="0"/>
              <w:autoSpaceDN w:val="0"/>
              <w:adjustRightInd w:val="0"/>
              <w:jc w:val="right"/>
              <w:rPr>
                <w:szCs w:val="21"/>
              </w:rPr>
            </w:pPr>
            <w:r>
              <w:t>9,766,884.87</w:t>
            </w:r>
          </w:p>
        </w:tc>
        <w:tc>
          <w:tcPr>
            <w:tcW w:w="914" w:type="pct"/>
            <w:tcBorders>
              <w:top w:val="single" w:sz="4" w:space="0" w:color="auto"/>
              <w:left w:val="single" w:sz="4" w:space="0" w:color="auto"/>
              <w:bottom w:val="single" w:sz="4" w:space="0" w:color="auto"/>
              <w:right w:val="single" w:sz="4" w:space="0" w:color="auto"/>
            </w:tcBorders>
          </w:tcPr>
          <w:p w14:paraId="1A1BE553" w14:textId="77777777" w:rsidR="00E57DAA" w:rsidRDefault="00AC4185">
            <w:pPr>
              <w:autoSpaceDE w:val="0"/>
              <w:autoSpaceDN w:val="0"/>
              <w:adjustRightInd w:val="0"/>
              <w:jc w:val="right"/>
              <w:rPr>
                <w:szCs w:val="21"/>
              </w:rPr>
            </w:pPr>
            <w:r>
              <w:t>704,192.40</w:t>
            </w:r>
          </w:p>
        </w:tc>
      </w:tr>
      <w:tr w:rsidR="00E57DAA" w14:paraId="3DCF2D9E" w14:textId="77777777">
        <w:tc>
          <w:tcPr>
            <w:tcW w:w="677" w:type="pct"/>
            <w:tcBorders>
              <w:top w:val="single" w:sz="4" w:space="0" w:color="auto"/>
              <w:left w:val="single" w:sz="4" w:space="0" w:color="auto"/>
              <w:bottom w:val="single" w:sz="4" w:space="0" w:color="auto"/>
              <w:right w:val="single" w:sz="4" w:space="0" w:color="auto"/>
            </w:tcBorders>
            <w:vAlign w:val="center"/>
          </w:tcPr>
          <w:p w14:paraId="2330E1F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55A633B" w14:textId="77777777" w:rsidR="00E57DAA" w:rsidRDefault="00AC4185">
            <w:pPr>
              <w:autoSpaceDE w:val="0"/>
              <w:autoSpaceDN w:val="0"/>
              <w:adjustRightInd w:val="0"/>
              <w:rPr>
                <w:szCs w:val="21"/>
              </w:rPr>
            </w:pPr>
            <w:r>
              <w:t>安顺中安铁源建设工程有限公司</w:t>
            </w:r>
          </w:p>
        </w:tc>
        <w:tc>
          <w:tcPr>
            <w:tcW w:w="633" w:type="pct"/>
            <w:tcBorders>
              <w:top w:val="single" w:sz="4" w:space="0" w:color="auto"/>
              <w:left w:val="single" w:sz="4" w:space="0" w:color="auto"/>
              <w:bottom w:val="single" w:sz="4" w:space="0" w:color="auto"/>
              <w:right w:val="single" w:sz="4" w:space="0" w:color="auto"/>
            </w:tcBorders>
          </w:tcPr>
          <w:p w14:paraId="179D8A61" w14:textId="77777777" w:rsidR="00E57DAA" w:rsidRDefault="00AC4185">
            <w:pPr>
              <w:autoSpaceDE w:val="0"/>
              <w:autoSpaceDN w:val="0"/>
              <w:adjustRightInd w:val="0"/>
              <w:jc w:val="right"/>
              <w:rPr>
                <w:szCs w:val="21"/>
              </w:rPr>
            </w:pPr>
            <w:r>
              <w:t>8,338,245.79</w:t>
            </w:r>
          </w:p>
        </w:tc>
        <w:tc>
          <w:tcPr>
            <w:tcW w:w="632" w:type="pct"/>
            <w:tcBorders>
              <w:top w:val="single" w:sz="4" w:space="0" w:color="auto"/>
              <w:left w:val="single" w:sz="4" w:space="0" w:color="auto"/>
              <w:bottom w:val="single" w:sz="4" w:space="0" w:color="auto"/>
              <w:right w:val="single" w:sz="4" w:space="0" w:color="auto"/>
            </w:tcBorders>
          </w:tcPr>
          <w:p w14:paraId="11D26AB5" w14:textId="77777777" w:rsidR="00E57DAA" w:rsidRDefault="00AC4185">
            <w:pPr>
              <w:autoSpaceDE w:val="0"/>
              <w:autoSpaceDN w:val="0"/>
              <w:adjustRightInd w:val="0"/>
              <w:jc w:val="right"/>
              <w:rPr>
                <w:szCs w:val="21"/>
              </w:rPr>
            </w:pPr>
            <w:r>
              <w:t>668,625.52</w:t>
            </w:r>
          </w:p>
        </w:tc>
        <w:tc>
          <w:tcPr>
            <w:tcW w:w="703" w:type="pct"/>
            <w:tcBorders>
              <w:top w:val="single" w:sz="4" w:space="0" w:color="auto"/>
              <w:left w:val="single" w:sz="4" w:space="0" w:color="auto"/>
              <w:bottom w:val="single" w:sz="4" w:space="0" w:color="auto"/>
              <w:right w:val="single" w:sz="4" w:space="0" w:color="auto"/>
            </w:tcBorders>
          </w:tcPr>
          <w:p w14:paraId="50544F76" w14:textId="77777777" w:rsidR="00E57DAA" w:rsidRDefault="00AC4185">
            <w:pPr>
              <w:autoSpaceDE w:val="0"/>
              <w:autoSpaceDN w:val="0"/>
              <w:adjustRightInd w:val="0"/>
              <w:jc w:val="right"/>
              <w:rPr>
                <w:szCs w:val="21"/>
              </w:rPr>
            </w:pPr>
            <w:r>
              <w:t>1,909,382.59</w:t>
            </w:r>
          </w:p>
        </w:tc>
        <w:tc>
          <w:tcPr>
            <w:tcW w:w="914" w:type="pct"/>
            <w:tcBorders>
              <w:top w:val="single" w:sz="4" w:space="0" w:color="auto"/>
              <w:left w:val="single" w:sz="4" w:space="0" w:color="auto"/>
              <w:bottom w:val="single" w:sz="4" w:space="0" w:color="auto"/>
              <w:right w:val="single" w:sz="4" w:space="0" w:color="auto"/>
            </w:tcBorders>
          </w:tcPr>
          <w:p w14:paraId="4D793410" w14:textId="77777777" w:rsidR="00E57DAA" w:rsidRDefault="00AC4185">
            <w:pPr>
              <w:autoSpaceDE w:val="0"/>
              <w:autoSpaceDN w:val="0"/>
              <w:adjustRightInd w:val="0"/>
              <w:jc w:val="right"/>
              <w:rPr>
                <w:szCs w:val="21"/>
              </w:rPr>
            </w:pPr>
            <w:r>
              <w:t>260,445.15</w:t>
            </w:r>
          </w:p>
        </w:tc>
      </w:tr>
      <w:tr w:rsidR="00E57DAA" w14:paraId="6CDFCA27" w14:textId="77777777">
        <w:tc>
          <w:tcPr>
            <w:tcW w:w="677" w:type="pct"/>
            <w:tcBorders>
              <w:top w:val="single" w:sz="4" w:space="0" w:color="auto"/>
              <w:left w:val="single" w:sz="4" w:space="0" w:color="auto"/>
              <w:bottom w:val="single" w:sz="4" w:space="0" w:color="auto"/>
              <w:right w:val="single" w:sz="4" w:space="0" w:color="auto"/>
            </w:tcBorders>
            <w:vAlign w:val="center"/>
          </w:tcPr>
          <w:p w14:paraId="5015DE2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1F7D973" w14:textId="77777777" w:rsidR="00E57DAA" w:rsidRDefault="00AC4185">
            <w:pPr>
              <w:autoSpaceDE w:val="0"/>
              <w:autoSpaceDN w:val="0"/>
              <w:adjustRightInd w:val="0"/>
              <w:rPr>
                <w:szCs w:val="21"/>
              </w:rPr>
            </w:pPr>
            <w:r>
              <w:t>安徽长江环境科技有限公司</w:t>
            </w:r>
          </w:p>
        </w:tc>
        <w:tc>
          <w:tcPr>
            <w:tcW w:w="633" w:type="pct"/>
            <w:tcBorders>
              <w:top w:val="single" w:sz="4" w:space="0" w:color="auto"/>
              <w:left w:val="single" w:sz="4" w:space="0" w:color="auto"/>
              <w:bottom w:val="single" w:sz="4" w:space="0" w:color="auto"/>
              <w:right w:val="single" w:sz="4" w:space="0" w:color="auto"/>
            </w:tcBorders>
          </w:tcPr>
          <w:p w14:paraId="4C5E10D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FB87F3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3F43D09" w14:textId="77777777" w:rsidR="00E57DAA" w:rsidRDefault="00AC4185">
            <w:pPr>
              <w:autoSpaceDE w:val="0"/>
              <w:autoSpaceDN w:val="0"/>
              <w:adjustRightInd w:val="0"/>
              <w:jc w:val="right"/>
              <w:rPr>
                <w:szCs w:val="21"/>
              </w:rPr>
            </w:pPr>
            <w:r>
              <w:t>15,841,735.49</w:t>
            </w:r>
          </w:p>
        </w:tc>
        <w:tc>
          <w:tcPr>
            <w:tcW w:w="914" w:type="pct"/>
            <w:tcBorders>
              <w:top w:val="single" w:sz="4" w:space="0" w:color="auto"/>
              <w:left w:val="single" w:sz="4" w:space="0" w:color="auto"/>
              <w:bottom w:val="single" w:sz="4" w:space="0" w:color="auto"/>
              <w:right w:val="single" w:sz="4" w:space="0" w:color="auto"/>
            </w:tcBorders>
          </w:tcPr>
          <w:p w14:paraId="7BD671FC" w14:textId="77777777" w:rsidR="00E57DAA" w:rsidRDefault="00AC4185">
            <w:pPr>
              <w:autoSpaceDE w:val="0"/>
              <w:autoSpaceDN w:val="0"/>
              <w:adjustRightInd w:val="0"/>
              <w:jc w:val="right"/>
              <w:rPr>
                <w:szCs w:val="21"/>
              </w:rPr>
            </w:pPr>
            <w:r>
              <w:t>375,449.13</w:t>
            </w:r>
          </w:p>
        </w:tc>
      </w:tr>
      <w:tr w:rsidR="00E57DAA" w14:paraId="6FCF1EFB" w14:textId="77777777">
        <w:tc>
          <w:tcPr>
            <w:tcW w:w="677" w:type="pct"/>
            <w:tcBorders>
              <w:top w:val="single" w:sz="4" w:space="0" w:color="auto"/>
              <w:left w:val="single" w:sz="4" w:space="0" w:color="auto"/>
              <w:bottom w:val="single" w:sz="4" w:space="0" w:color="auto"/>
              <w:right w:val="single" w:sz="4" w:space="0" w:color="auto"/>
            </w:tcBorders>
            <w:vAlign w:val="center"/>
          </w:tcPr>
          <w:p w14:paraId="605B32E0"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25BBAD31" w14:textId="77777777" w:rsidR="00E57DAA" w:rsidRDefault="00AC4185">
            <w:pPr>
              <w:autoSpaceDE w:val="0"/>
              <w:autoSpaceDN w:val="0"/>
              <w:adjustRightInd w:val="0"/>
              <w:rPr>
                <w:szCs w:val="21"/>
              </w:rPr>
            </w:pPr>
            <w:r>
              <w:t>受同一母公司控制的其他企业</w:t>
            </w:r>
          </w:p>
        </w:tc>
        <w:tc>
          <w:tcPr>
            <w:tcW w:w="633" w:type="pct"/>
            <w:tcBorders>
              <w:top w:val="single" w:sz="4" w:space="0" w:color="auto"/>
              <w:left w:val="single" w:sz="4" w:space="0" w:color="auto"/>
              <w:bottom w:val="single" w:sz="4" w:space="0" w:color="auto"/>
              <w:right w:val="single" w:sz="4" w:space="0" w:color="auto"/>
            </w:tcBorders>
          </w:tcPr>
          <w:p w14:paraId="2BF0074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253AD1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F235E8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AEF77AE" w14:textId="77777777" w:rsidR="00E57DAA" w:rsidRDefault="00AC4185">
            <w:pPr>
              <w:autoSpaceDE w:val="0"/>
              <w:autoSpaceDN w:val="0"/>
              <w:adjustRightInd w:val="0"/>
              <w:jc w:val="right"/>
              <w:rPr>
                <w:szCs w:val="21"/>
              </w:rPr>
            </w:pPr>
            <w:r>
              <w:t xml:space="preserve">　</w:t>
            </w:r>
          </w:p>
        </w:tc>
      </w:tr>
      <w:tr w:rsidR="00E57DAA" w14:paraId="6368D80D" w14:textId="77777777">
        <w:tc>
          <w:tcPr>
            <w:tcW w:w="677" w:type="pct"/>
            <w:tcBorders>
              <w:top w:val="single" w:sz="4" w:space="0" w:color="auto"/>
              <w:left w:val="single" w:sz="4" w:space="0" w:color="auto"/>
              <w:bottom w:val="single" w:sz="4" w:space="0" w:color="auto"/>
              <w:right w:val="single" w:sz="4" w:space="0" w:color="auto"/>
            </w:tcBorders>
            <w:vAlign w:val="center"/>
          </w:tcPr>
          <w:p w14:paraId="77E47C0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3778B63" w14:textId="77777777" w:rsidR="00E57DAA" w:rsidRDefault="00AC4185">
            <w:pPr>
              <w:autoSpaceDE w:val="0"/>
              <w:autoSpaceDN w:val="0"/>
              <w:adjustRightInd w:val="0"/>
              <w:rPr>
                <w:szCs w:val="21"/>
              </w:rPr>
            </w:pPr>
            <w:r>
              <w:t>中建材新材料有限公司</w:t>
            </w:r>
          </w:p>
        </w:tc>
        <w:tc>
          <w:tcPr>
            <w:tcW w:w="633" w:type="pct"/>
            <w:tcBorders>
              <w:top w:val="single" w:sz="4" w:space="0" w:color="auto"/>
              <w:left w:val="single" w:sz="4" w:space="0" w:color="auto"/>
              <w:bottom w:val="single" w:sz="4" w:space="0" w:color="auto"/>
              <w:right w:val="single" w:sz="4" w:space="0" w:color="auto"/>
            </w:tcBorders>
          </w:tcPr>
          <w:p w14:paraId="6C2B2343" w14:textId="77777777" w:rsidR="00E57DAA" w:rsidRDefault="00AC4185">
            <w:pPr>
              <w:autoSpaceDE w:val="0"/>
              <w:autoSpaceDN w:val="0"/>
              <w:adjustRightInd w:val="0"/>
              <w:jc w:val="right"/>
              <w:rPr>
                <w:szCs w:val="21"/>
              </w:rPr>
            </w:pPr>
            <w:r>
              <w:t>238,450,946.10</w:t>
            </w:r>
          </w:p>
        </w:tc>
        <w:tc>
          <w:tcPr>
            <w:tcW w:w="632" w:type="pct"/>
            <w:tcBorders>
              <w:top w:val="single" w:sz="4" w:space="0" w:color="auto"/>
              <w:left w:val="single" w:sz="4" w:space="0" w:color="auto"/>
              <w:bottom w:val="single" w:sz="4" w:space="0" w:color="auto"/>
              <w:right w:val="single" w:sz="4" w:space="0" w:color="auto"/>
            </w:tcBorders>
          </w:tcPr>
          <w:p w14:paraId="4DF4BA6C" w14:textId="77777777" w:rsidR="00E57DAA" w:rsidRDefault="00AC4185">
            <w:pPr>
              <w:autoSpaceDE w:val="0"/>
              <w:autoSpaceDN w:val="0"/>
              <w:adjustRightInd w:val="0"/>
              <w:jc w:val="right"/>
              <w:rPr>
                <w:szCs w:val="21"/>
              </w:rPr>
            </w:pPr>
            <w:r>
              <w:t>1,648,271.85</w:t>
            </w:r>
          </w:p>
        </w:tc>
        <w:tc>
          <w:tcPr>
            <w:tcW w:w="703" w:type="pct"/>
            <w:tcBorders>
              <w:top w:val="single" w:sz="4" w:space="0" w:color="auto"/>
              <w:left w:val="single" w:sz="4" w:space="0" w:color="auto"/>
              <w:bottom w:val="single" w:sz="4" w:space="0" w:color="auto"/>
              <w:right w:val="single" w:sz="4" w:space="0" w:color="auto"/>
            </w:tcBorders>
          </w:tcPr>
          <w:p w14:paraId="40A0AF74" w14:textId="77777777" w:rsidR="00E57DAA" w:rsidRDefault="00AC4185">
            <w:pPr>
              <w:autoSpaceDE w:val="0"/>
              <w:autoSpaceDN w:val="0"/>
              <w:adjustRightInd w:val="0"/>
              <w:jc w:val="right"/>
              <w:rPr>
                <w:szCs w:val="21"/>
              </w:rPr>
            </w:pPr>
            <w:r>
              <w:t>272,945,342.66</w:t>
            </w:r>
          </w:p>
        </w:tc>
        <w:tc>
          <w:tcPr>
            <w:tcW w:w="914" w:type="pct"/>
            <w:tcBorders>
              <w:top w:val="single" w:sz="4" w:space="0" w:color="auto"/>
              <w:left w:val="single" w:sz="4" w:space="0" w:color="auto"/>
              <w:bottom w:val="single" w:sz="4" w:space="0" w:color="auto"/>
              <w:right w:val="single" w:sz="4" w:space="0" w:color="auto"/>
            </w:tcBorders>
          </w:tcPr>
          <w:p w14:paraId="6F77D665" w14:textId="77777777" w:rsidR="00E57DAA" w:rsidRDefault="00AC4185">
            <w:pPr>
              <w:autoSpaceDE w:val="0"/>
              <w:autoSpaceDN w:val="0"/>
              <w:adjustRightInd w:val="0"/>
              <w:jc w:val="right"/>
              <w:rPr>
                <w:szCs w:val="21"/>
              </w:rPr>
            </w:pPr>
            <w:r>
              <w:t>2,498,587.00</w:t>
            </w:r>
          </w:p>
        </w:tc>
      </w:tr>
      <w:tr w:rsidR="00E57DAA" w14:paraId="604F364A" w14:textId="77777777">
        <w:tc>
          <w:tcPr>
            <w:tcW w:w="677" w:type="pct"/>
            <w:tcBorders>
              <w:top w:val="single" w:sz="4" w:space="0" w:color="auto"/>
              <w:left w:val="single" w:sz="4" w:space="0" w:color="auto"/>
              <w:bottom w:val="single" w:sz="4" w:space="0" w:color="auto"/>
              <w:right w:val="single" w:sz="4" w:space="0" w:color="auto"/>
            </w:tcBorders>
            <w:vAlign w:val="center"/>
          </w:tcPr>
          <w:p w14:paraId="4835523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09F4273" w14:textId="77777777" w:rsidR="00E57DAA" w:rsidRDefault="00AC4185">
            <w:pPr>
              <w:autoSpaceDE w:val="0"/>
              <w:autoSpaceDN w:val="0"/>
              <w:adjustRightInd w:val="0"/>
              <w:rPr>
                <w:szCs w:val="21"/>
              </w:rPr>
            </w:pPr>
            <w:r>
              <w:t>铜仁西南水泥有限公司</w:t>
            </w:r>
          </w:p>
        </w:tc>
        <w:tc>
          <w:tcPr>
            <w:tcW w:w="633" w:type="pct"/>
            <w:tcBorders>
              <w:top w:val="single" w:sz="4" w:space="0" w:color="auto"/>
              <w:left w:val="single" w:sz="4" w:space="0" w:color="auto"/>
              <w:bottom w:val="single" w:sz="4" w:space="0" w:color="auto"/>
              <w:right w:val="single" w:sz="4" w:space="0" w:color="auto"/>
            </w:tcBorders>
          </w:tcPr>
          <w:p w14:paraId="38C4FA0A" w14:textId="77777777" w:rsidR="00E57DAA" w:rsidRDefault="00AC4185">
            <w:pPr>
              <w:autoSpaceDE w:val="0"/>
              <w:autoSpaceDN w:val="0"/>
              <w:adjustRightInd w:val="0"/>
              <w:jc w:val="right"/>
              <w:rPr>
                <w:szCs w:val="21"/>
              </w:rPr>
            </w:pPr>
            <w:r>
              <w:t>212,376,821.87</w:t>
            </w:r>
          </w:p>
        </w:tc>
        <w:tc>
          <w:tcPr>
            <w:tcW w:w="632" w:type="pct"/>
            <w:tcBorders>
              <w:top w:val="single" w:sz="4" w:space="0" w:color="auto"/>
              <w:left w:val="single" w:sz="4" w:space="0" w:color="auto"/>
              <w:bottom w:val="single" w:sz="4" w:space="0" w:color="auto"/>
              <w:right w:val="single" w:sz="4" w:space="0" w:color="auto"/>
            </w:tcBorders>
          </w:tcPr>
          <w:p w14:paraId="77B91750" w14:textId="77777777" w:rsidR="00E57DAA" w:rsidRDefault="00AC4185">
            <w:pPr>
              <w:autoSpaceDE w:val="0"/>
              <w:autoSpaceDN w:val="0"/>
              <w:adjustRightInd w:val="0"/>
              <w:jc w:val="right"/>
              <w:rPr>
                <w:szCs w:val="21"/>
              </w:rPr>
            </w:pPr>
            <w:r>
              <w:t>3,015,750.87</w:t>
            </w:r>
          </w:p>
        </w:tc>
        <w:tc>
          <w:tcPr>
            <w:tcW w:w="703" w:type="pct"/>
            <w:tcBorders>
              <w:top w:val="single" w:sz="4" w:space="0" w:color="auto"/>
              <w:left w:val="single" w:sz="4" w:space="0" w:color="auto"/>
              <w:bottom w:val="single" w:sz="4" w:space="0" w:color="auto"/>
              <w:right w:val="single" w:sz="4" w:space="0" w:color="auto"/>
            </w:tcBorders>
          </w:tcPr>
          <w:p w14:paraId="12C0556C" w14:textId="77777777" w:rsidR="00E57DAA" w:rsidRDefault="00AC4185">
            <w:pPr>
              <w:autoSpaceDE w:val="0"/>
              <w:autoSpaceDN w:val="0"/>
              <w:adjustRightInd w:val="0"/>
              <w:jc w:val="right"/>
              <w:rPr>
                <w:szCs w:val="21"/>
              </w:rPr>
            </w:pPr>
            <w:r>
              <w:t>212,376,821.87</w:t>
            </w:r>
          </w:p>
        </w:tc>
        <w:tc>
          <w:tcPr>
            <w:tcW w:w="914" w:type="pct"/>
            <w:tcBorders>
              <w:top w:val="single" w:sz="4" w:space="0" w:color="auto"/>
              <w:left w:val="single" w:sz="4" w:space="0" w:color="auto"/>
              <w:bottom w:val="single" w:sz="4" w:space="0" w:color="auto"/>
              <w:right w:val="single" w:sz="4" w:space="0" w:color="auto"/>
            </w:tcBorders>
          </w:tcPr>
          <w:p w14:paraId="7799BF5C" w14:textId="77777777" w:rsidR="00E57DAA" w:rsidRDefault="00AC4185">
            <w:pPr>
              <w:autoSpaceDE w:val="0"/>
              <w:autoSpaceDN w:val="0"/>
              <w:adjustRightInd w:val="0"/>
              <w:jc w:val="right"/>
              <w:rPr>
                <w:szCs w:val="21"/>
              </w:rPr>
            </w:pPr>
            <w:r>
              <w:t>3,652,881.34</w:t>
            </w:r>
          </w:p>
        </w:tc>
      </w:tr>
      <w:tr w:rsidR="00E57DAA" w14:paraId="721A599C" w14:textId="77777777">
        <w:tc>
          <w:tcPr>
            <w:tcW w:w="677" w:type="pct"/>
            <w:tcBorders>
              <w:top w:val="single" w:sz="4" w:space="0" w:color="auto"/>
              <w:left w:val="single" w:sz="4" w:space="0" w:color="auto"/>
              <w:bottom w:val="single" w:sz="4" w:space="0" w:color="auto"/>
              <w:right w:val="single" w:sz="4" w:space="0" w:color="auto"/>
            </w:tcBorders>
            <w:vAlign w:val="center"/>
          </w:tcPr>
          <w:p w14:paraId="59E2971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4CC1264" w14:textId="77777777" w:rsidR="00E57DAA" w:rsidRDefault="00AC4185">
            <w:pPr>
              <w:autoSpaceDE w:val="0"/>
              <w:autoSpaceDN w:val="0"/>
              <w:adjustRightInd w:val="0"/>
              <w:rPr>
                <w:szCs w:val="21"/>
              </w:rPr>
            </w:pPr>
            <w:r>
              <w:t>江苏宜城南方水泥有限公司</w:t>
            </w:r>
          </w:p>
        </w:tc>
        <w:tc>
          <w:tcPr>
            <w:tcW w:w="633" w:type="pct"/>
            <w:tcBorders>
              <w:top w:val="single" w:sz="4" w:space="0" w:color="auto"/>
              <w:left w:val="single" w:sz="4" w:space="0" w:color="auto"/>
              <w:bottom w:val="single" w:sz="4" w:space="0" w:color="auto"/>
              <w:right w:val="single" w:sz="4" w:space="0" w:color="auto"/>
            </w:tcBorders>
          </w:tcPr>
          <w:p w14:paraId="03EA84E3" w14:textId="77777777" w:rsidR="00E57DAA" w:rsidRDefault="00AC4185">
            <w:pPr>
              <w:autoSpaceDE w:val="0"/>
              <w:autoSpaceDN w:val="0"/>
              <w:adjustRightInd w:val="0"/>
              <w:jc w:val="right"/>
              <w:rPr>
                <w:szCs w:val="21"/>
              </w:rPr>
            </w:pPr>
            <w:r>
              <w:t>190,476,402.24</w:t>
            </w:r>
          </w:p>
        </w:tc>
        <w:tc>
          <w:tcPr>
            <w:tcW w:w="632" w:type="pct"/>
            <w:tcBorders>
              <w:top w:val="single" w:sz="4" w:space="0" w:color="auto"/>
              <w:left w:val="single" w:sz="4" w:space="0" w:color="auto"/>
              <w:bottom w:val="single" w:sz="4" w:space="0" w:color="auto"/>
              <w:right w:val="single" w:sz="4" w:space="0" w:color="auto"/>
            </w:tcBorders>
          </w:tcPr>
          <w:p w14:paraId="56F8A3EC" w14:textId="77777777" w:rsidR="00E57DAA" w:rsidRDefault="00AC4185">
            <w:pPr>
              <w:autoSpaceDE w:val="0"/>
              <w:autoSpaceDN w:val="0"/>
              <w:adjustRightInd w:val="0"/>
              <w:jc w:val="right"/>
              <w:rPr>
                <w:szCs w:val="21"/>
              </w:rPr>
            </w:pPr>
            <w:r>
              <w:t>1,600,001.78</w:t>
            </w:r>
          </w:p>
        </w:tc>
        <w:tc>
          <w:tcPr>
            <w:tcW w:w="703" w:type="pct"/>
            <w:tcBorders>
              <w:top w:val="single" w:sz="4" w:space="0" w:color="auto"/>
              <w:left w:val="single" w:sz="4" w:space="0" w:color="auto"/>
              <w:bottom w:val="single" w:sz="4" w:space="0" w:color="auto"/>
              <w:right w:val="single" w:sz="4" w:space="0" w:color="auto"/>
            </w:tcBorders>
          </w:tcPr>
          <w:p w14:paraId="1BB57C1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C6537CC" w14:textId="77777777" w:rsidR="00E57DAA" w:rsidRDefault="00AC4185">
            <w:pPr>
              <w:autoSpaceDE w:val="0"/>
              <w:autoSpaceDN w:val="0"/>
              <w:adjustRightInd w:val="0"/>
              <w:jc w:val="right"/>
              <w:rPr>
                <w:szCs w:val="21"/>
              </w:rPr>
            </w:pPr>
            <w:r>
              <w:t xml:space="preserve">　</w:t>
            </w:r>
          </w:p>
        </w:tc>
      </w:tr>
      <w:tr w:rsidR="00E57DAA" w14:paraId="161D1745" w14:textId="77777777">
        <w:tc>
          <w:tcPr>
            <w:tcW w:w="677" w:type="pct"/>
            <w:tcBorders>
              <w:top w:val="single" w:sz="4" w:space="0" w:color="auto"/>
              <w:left w:val="single" w:sz="4" w:space="0" w:color="auto"/>
              <w:bottom w:val="single" w:sz="4" w:space="0" w:color="auto"/>
              <w:right w:val="single" w:sz="4" w:space="0" w:color="auto"/>
            </w:tcBorders>
            <w:vAlign w:val="center"/>
          </w:tcPr>
          <w:p w14:paraId="77ECA0F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BE82821" w14:textId="77777777" w:rsidR="00E57DAA" w:rsidRDefault="00AC4185">
            <w:pPr>
              <w:autoSpaceDE w:val="0"/>
              <w:autoSpaceDN w:val="0"/>
              <w:adjustRightInd w:val="0"/>
              <w:rPr>
                <w:szCs w:val="21"/>
              </w:rPr>
            </w:pPr>
            <w:r>
              <w:t>湖南韶峰南方水泥有限公司</w:t>
            </w:r>
          </w:p>
        </w:tc>
        <w:tc>
          <w:tcPr>
            <w:tcW w:w="633" w:type="pct"/>
            <w:tcBorders>
              <w:top w:val="single" w:sz="4" w:space="0" w:color="auto"/>
              <w:left w:val="single" w:sz="4" w:space="0" w:color="auto"/>
              <w:bottom w:val="single" w:sz="4" w:space="0" w:color="auto"/>
              <w:right w:val="single" w:sz="4" w:space="0" w:color="auto"/>
            </w:tcBorders>
          </w:tcPr>
          <w:p w14:paraId="24585255" w14:textId="77777777" w:rsidR="00E57DAA" w:rsidRDefault="00AC4185">
            <w:pPr>
              <w:autoSpaceDE w:val="0"/>
              <w:autoSpaceDN w:val="0"/>
              <w:adjustRightInd w:val="0"/>
              <w:jc w:val="right"/>
              <w:rPr>
                <w:szCs w:val="21"/>
              </w:rPr>
            </w:pPr>
            <w:r>
              <w:t>152,895,369.76</w:t>
            </w:r>
          </w:p>
        </w:tc>
        <w:tc>
          <w:tcPr>
            <w:tcW w:w="632" w:type="pct"/>
            <w:tcBorders>
              <w:top w:val="single" w:sz="4" w:space="0" w:color="auto"/>
              <w:left w:val="single" w:sz="4" w:space="0" w:color="auto"/>
              <w:bottom w:val="single" w:sz="4" w:space="0" w:color="auto"/>
              <w:right w:val="single" w:sz="4" w:space="0" w:color="auto"/>
            </w:tcBorders>
          </w:tcPr>
          <w:p w14:paraId="6B5B4046" w14:textId="77777777" w:rsidR="00E57DAA" w:rsidRDefault="00AC4185">
            <w:pPr>
              <w:autoSpaceDE w:val="0"/>
              <w:autoSpaceDN w:val="0"/>
              <w:adjustRightInd w:val="0"/>
              <w:jc w:val="right"/>
              <w:rPr>
                <w:szCs w:val="21"/>
              </w:rPr>
            </w:pPr>
            <w:r>
              <w:t>1,394,635.32</w:t>
            </w:r>
          </w:p>
        </w:tc>
        <w:tc>
          <w:tcPr>
            <w:tcW w:w="703" w:type="pct"/>
            <w:tcBorders>
              <w:top w:val="single" w:sz="4" w:space="0" w:color="auto"/>
              <w:left w:val="single" w:sz="4" w:space="0" w:color="auto"/>
              <w:bottom w:val="single" w:sz="4" w:space="0" w:color="auto"/>
              <w:right w:val="single" w:sz="4" w:space="0" w:color="auto"/>
            </w:tcBorders>
          </w:tcPr>
          <w:p w14:paraId="26BD9C84" w14:textId="77777777" w:rsidR="00E57DAA" w:rsidRDefault="00AC4185">
            <w:pPr>
              <w:autoSpaceDE w:val="0"/>
              <w:autoSpaceDN w:val="0"/>
              <w:adjustRightInd w:val="0"/>
              <w:jc w:val="right"/>
              <w:rPr>
                <w:szCs w:val="21"/>
              </w:rPr>
            </w:pPr>
            <w:r>
              <w:t>166,127,410.06</w:t>
            </w:r>
          </w:p>
        </w:tc>
        <w:tc>
          <w:tcPr>
            <w:tcW w:w="914" w:type="pct"/>
            <w:tcBorders>
              <w:top w:val="single" w:sz="4" w:space="0" w:color="auto"/>
              <w:left w:val="single" w:sz="4" w:space="0" w:color="auto"/>
              <w:bottom w:val="single" w:sz="4" w:space="0" w:color="auto"/>
              <w:right w:val="single" w:sz="4" w:space="0" w:color="auto"/>
            </w:tcBorders>
          </w:tcPr>
          <w:p w14:paraId="532A3AC2" w14:textId="77777777" w:rsidR="00E57DAA" w:rsidRDefault="00AC4185">
            <w:pPr>
              <w:autoSpaceDE w:val="0"/>
              <w:autoSpaceDN w:val="0"/>
              <w:adjustRightInd w:val="0"/>
              <w:jc w:val="right"/>
              <w:rPr>
                <w:szCs w:val="21"/>
              </w:rPr>
            </w:pPr>
            <w:r>
              <w:t>1,744,337.81</w:t>
            </w:r>
          </w:p>
        </w:tc>
      </w:tr>
      <w:tr w:rsidR="00E57DAA" w14:paraId="6EF1BE2F" w14:textId="77777777">
        <w:tc>
          <w:tcPr>
            <w:tcW w:w="677" w:type="pct"/>
            <w:tcBorders>
              <w:top w:val="single" w:sz="4" w:space="0" w:color="auto"/>
              <w:left w:val="single" w:sz="4" w:space="0" w:color="auto"/>
              <w:bottom w:val="single" w:sz="4" w:space="0" w:color="auto"/>
              <w:right w:val="single" w:sz="4" w:space="0" w:color="auto"/>
            </w:tcBorders>
            <w:vAlign w:val="center"/>
          </w:tcPr>
          <w:p w14:paraId="7512700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F60C510" w14:textId="77777777" w:rsidR="00E57DAA" w:rsidRDefault="00AC4185">
            <w:pPr>
              <w:autoSpaceDE w:val="0"/>
              <w:autoSpaceDN w:val="0"/>
              <w:adjustRightInd w:val="0"/>
              <w:rPr>
                <w:szCs w:val="21"/>
              </w:rPr>
            </w:pPr>
            <w:r>
              <w:t>丽江古城西南水泥有限公司</w:t>
            </w:r>
          </w:p>
        </w:tc>
        <w:tc>
          <w:tcPr>
            <w:tcW w:w="633" w:type="pct"/>
            <w:tcBorders>
              <w:top w:val="single" w:sz="4" w:space="0" w:color="auto"/>
              <w:left w:val="single" w:sz="4" w:space="0" w:color="auto"/>
              <w:bottom w:val="single" w:sz="4" w:space="0" w:color="auto"/>
              <w:right w:val="single" w:sz="4" w:space="0" w:color="auto"/>
            </w:tcBorders>
          </w:tcPr>
          <w:p w14:paraId="1E74CEDB" w14:textId="77777777" w:rsidR="00E57DAA" w:rsidRDefault="00AC4185">
            <w:pPr>
              <w:autoSpaceDE w:val="0"/>
              <w:autoSpaceDN w:val="0"/>
              <w:adjustRightInd w:val="0"/>
              <w:jc w:val="right"/>
              <w:rPr>
                <w:szCs w:val="21"/>
              </w:rPr>
            </w:pPr>
            <w:r>
              <w:t>79,426,873.67</w:t>
            </w:r>
          </w:p>
        </w:tc>
        <w:tc>
          <w:tcPr>
            <w:tcW w:w="632" w:type="pct"/>
            <w:tcBorders>
              <w:top w:val="single" w:sz="4" w:space="0" w:color="auto"/>
              <w:left w:val="single" w:sz="4" w:space="0" w:color="auto"/>
              <w:bottom w:val="single" w:sz="4" w:space="0" w:color="auto"/>
              <w:right w:val="single" w:sz="4" w:space="0" w:color="auto"/>
            </w:tcBorders>
          </w:tcPr>
          <w:p w14:paraId="02306B73" w14:textId="77777777" w:rsidR="00E57DAA" w:rsidRDefault="00AC4185">
            <w:pPr>
              <w:autoSpaceDE w:val="0"/>
              <w:autoSpaceDN w:val="0"/>
              <w:adjustRightInd w:val="0"/>
              <w:jc w:val="right"/>
              <w:rPr>
                <w:szCs w:val="21"/>
              </w:rPr>
            </w:pPr>
            <w:r>
              <w:t>1,127,861.61</w:t>
            </w:r>
          </w:p>
        </w:tc>
        <w:tc>
          <w:tcPr>
            <w:tcW w:w="703" w:type="pct"/>
            <w:tcBorders>
              <w:top w:val="single" w:sz="4" w:space="0" w:color="auto"/>
              <w:left w:val="single" w:sz="4" w:space="0" w:color="auto"/>
              <w:bottom w:val="single" w:sz="4" w:space="0" w:color="auto"/>
              <w:right w:val="single" w:sz="4" w:space="0" w:color="auto"/>
            </w:tcBorders>
          </w:tcPr>
          <w:p w14:paraId="1696BD9F" w14:textId="77777777" w:rsidR="00E57DAA" w:rsidRDefault="00AC4185">
            <w:pPr>
              <w:autoSpaceDE w:val="0"/>
              <w:autoSpaceDN w:val="0"/>
              <w:adjustRightInd w:val="0"/>
              <w:jc w:val="right"/>
              <w:rPr>
                <w:szCs w:val="21"/>
              </w:rPr>
            </w:pPr>
            <w:r>
              <w:t>79,426,873.67</w:t>
            </w:r>
          </w:p>
        </w:tc>
        <w:tc>
          <w:tcPr>
            <w:tcW w:w="914" w:type="pct"/>
            <w:tcBorders>
              <w:top w:val="single" w:sz="4" w:space="0" w:color="auto"/>
              <w:left w:val="single" w:sz="4" w:space="0" w:color="auto"/>
              <w:bottom w:val="single" w:sz="4" w:space="0" w:color="auto"/>
              <w:right w:val="single" w:sz="4" w:space="0" w:color="auto"/>
            </w:tcBorders>
          </w:tcPr>
          <w:p w14:paraId="2FF54200" w14:textId="77777777" w:rsidR="00E57DAA" w:rsidRDefault="00AC4185">
            <w:pPr>
              <w:autoSpaceDE w:val="0"/>
              <w:autoSpaceDN w:val="0"/>
              <w:adjustRightInd w:val="0"/>
              <w:jc w:val="right"/>
              <w:rPr>
                <w:szCs w:val="21"/>
              </w:rPr>
            </w:pPr>
            <w:r>
              <w:t>1,366,142.23</w:t>
            </w:r>
          </w:p>
        </w:tc>
      </w:tr>
      <w:tr w:rsidR="00E57DAA" w14:paraId="7A59FEAA" w14:textId="77777777">
        <w:tc>
          <w:tcPr>
            <w:tcW w:w="677" w:type="pct"/>
            <w:tcBorders>
              <w:top w:val="single" w:sz="4" w:space="0" w:color="auto"/>
              <w:left w:val="single" w:sz="4" w:space="0" w:color="auto"/>
              <w:bottom w:val="single" w:sz="4" w:space="0" w:color="auto"/>
              <w:right w:val="single" w:sz="4" w:space="0" w:color="auto"/>
            </w:tcBorders>
            <w:vAlign w:val="center"/>
          </w:tcPr>
          <w:p w14:paraId="4B19F62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E05115B" w14:textId="77777777" w:rsidR="00E57DAA" w:rsidRDefault="00AC4185">
            <w:pPr>
              <w:autoSpaceDE w:val="0"/>
              <w:autoSpaceDN w:val="0"/>
              <w:adjustRightInd w:val="0"/>
              <w:rPr>
                <w:szCs w:val="21"/>
              </w:rPr>
            </w:pPr>
            <w:r>
              <w:t>滁州中联水泥有限公司</w:t>
            </w:r>
          </w:p>
        </w:tc>
        <w:tc>
          <w:tcPr>
            <w:tcW w:w="633" w:type="pct"/>
            <w:tcBorders>
              <w:top w:val="single" w:sz="4" w:space="0" w:color="auto"/>
              <w:left w:val="single" w:sz="4" w:space="0" w:color="auto"/>
              <w:bottom w:val="single" w:sz="4" w:space="0" w:color="auto"/>
              <w:right w:val="single" w:sz="4" w:space="0" w:color="auto"/>
            </w:tcBorders>
          </w:tcPr>
          <w:p w14:paraId="6377AC12" w14:textId="77777777" w:rsidR="00E57DAA" w:rsidRDefault="00AC4185">
            <w:pPr>
              <w:autoSpaceDE w:val="0"/>
              <w:autoSpaceDN w:val="0"/>
              <w:adjustRightInd w:val="0"/>
              <w:jc w:val="right"/>
              <w:rPr>
                <w:szCs w:val="21"/>
              </w:rPr>
            </w:pPr>
            <w:r>
              <w:t>58,108,446.91</w:t>
            </w:r>
          </w:p>
        </w:tc>
        <w:tc>
          <w:tcPr>
            <w:tcW w:w="632" w:type="pct"/>
            <w:tcBorders>
              <w:top w:val="single" w:sz="4" w:space="0" w:color="auto"/>
              <w:left w:val="single" w:sz="4" w:space="0" w:color="auto"/>
              <w:bottom w:val="single" w:sz="4" w:space="0" w:color="auto"/>
              <w:right w:val="single" w:sz="4" w:space="0" w:color="auto"/>
            </w:tcBorders>
          </w:tcPr>
          <w:p w14:paraId="01110A7B" w14:textId="77777777" w:rsidR="00E57DAA" w:rsidRDefault="00AC4185">
            <w:pPr>
              <w:autoSpaceDE w:val="0"/>
              <w:autoSpaceDN w:val="0"/>
              <w:adjustRightInd w:val="0"/>
              <w:jc w:val="right"/>
              <w:rPr>
                <w:szCs w:val="21"/>
              </w:rPr>
            </w:pPr>
            <w:r>
              <w:t>706,775.22</w:t>
            </w:r>
          </w:p>
        </w:tc>
        <w:tc>
          <w:tcPr>
            <w:tcW w:w="703" w:type="pct"/>
            <w:tcBorders>
              <w:top w:val="single" w:sz="4" w:space="0" w:color="auto"/>
              <w:left w:val="single" w:sz="4" w:space="0" w:color="auto"/>
              <w:bottom w:val="single" w:sz="4" w:space="0" w:color="auto"/>
              <w:right w:val="single" w:sz="4" w:space="0" w:color="auto"/>
            </w:tcBorders>
          </w:tcPr>
          <w:p w14:paraId="05CBBF4B" w14:textId="77777777" w:rsidR="00E57DAA" w:rsidRDefault="00AC4185">
            <w:pPr>
              <w:autoSpaceDE w:val="0"/>
              <w:autoSpaceDN w:val="0"/>
              <w:adjustRightInd w:val="0"/>
              <w:jc w:val="right"/>
              <w:rPr>
                <w:szCs w:val="21"/>
              </w:rPr>
            </w:pPr>
            <w:r>
              <w:t>8,451,786.41</w:t>
            </w:r>
          </w:p>
        </w:tc>
        <w:tc>
          <w:tcPr>
            <w:tcW w:w="914" w:type="pct"/>
            <w:tcBorders>
              <w:top w:val="single" w:sz="4" w:space="0" w:color="auto"/>
              <w:left w:val="single" w:sz="4" w:space="0" w:color="auto"/>
              <w:bottom w:val="single" w:sz="4" w:space="0" w:color="auto"/>
              <w:right w:val="single" w:sz="4" w:space="0" w:color="auto"/>
            </w:tcBorders>
          </w:tcPr>
          <w:p w14:paraId="747652F9" w14:textId="77777777" w:rsidR="00E57DAA" w:rsidRDefault="00AC4185">
            <w:pPr>
              <w:autoSpaceDE w:val="0"/>
              <w:autoSpaceDN w:val="0"/>
              <w:adjustRightInd w:val="0"/>
              <w:jc w:val="right"/>
              <w:rPr>
                <w:szCs w:val="21"/>
              </w:rPr>
            </w:pPr>
            <w:r>
              <w:t>260,173.75</w:t>
            </w:r>
          </w:p>
        </w:tc>
      </w:tr>
      <w:tr w:rsidR="00E57DAA" w14:paraId="25DB7DA4" w14:textId="77777777">
        <w:tc>
          <w:tcPr>
            <w:tcW w:w="677" w:type="pct"/>
            <w:tcBorders>
              <w:top w:val="single" w:sz="4" w:space="0" w:color="auto"/>
              <w:left w:val="single" w:sz="4" w:space="0" w:color="auto"/>
              <w:bottom w:val="single" w:sz="4" w:space="0" w:color="auto"/>
              <w:right w:val="single" w:sz="4" w:space="0" w:color="auto"/>
            </w:tcBorders>
            <w:vAlign w:val="center"/>
          </w:tcPr>
          <w:p w14:paraId="698BC96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2BA41D2" w14:textId="77777777" w:rsidR="00E57DAA" w:rsidRDefault="00AC4185">
            <w:pPr>
              <w:autoSpaceDE w:val="0"/>
              <w:autoSpaceDN w:val="0"/>
              <w:adjustRightInd w:val="0"/>
              <w:rPr>
                <w:szCs w:val="21"/>
              </w:rPr>
            </w:pPr>
            <w:r>
              <w:t>保定中联水泥有限公司</w:t>
            </w:r>
          </w:p>
        </w:tc>
        <w:tc>
          <w:tcPr>
            <w:tcW w:w="633" w:type="pct"/>
            <w:tcBorders>
              <w:top w:val="single" w:sz="4" w:space="0" w:color="auto"/>
              <w:left w:val="single" w:sz="4" w:space="0" w:color="auto"/>
              <w:bottom w:val="single" w:sz="4" w:space="0" w:color="auto"/>
              <w:right w:val="single" w:sz="4" w:space="0" w:color="auto"/>
            </w:tcBorders>
          </w:tcPr>
          <w:p w14:paraId="2E7BE11E" w14:textId="77777777" w:rsidR="00E57DAA" w:rsidRDefault="00AC4185">
            <w:pPr>
              <w:autoSpaceDE w:val="0"/>
              <w:autoSpaceDN w:val="0"/>
              <w:adjustRightInd w:val="0"/>
              <w:jc w:val="right"/>
              <w:rPr>
                <w:szCs w:val="21"/>
              </w:rPr>
            </w:pPr>
            <w:r>
              <w:t>53,047,072.35</w:t>
            </w:r>
          </w:p>
        </w:tc>
        <w:tc>
          <w:tcPr>
            <w:tcW w:w="632" w:type="pct"/>
            <w:tcBorders>
              <w:top w:val="single" w:sz="4" w:space="0" w:color="auto"/>
              <w:left w:val="single" w:sz="4" w:space="0" w:color="auto"/>
              <w:bottom w:val="single" w:sz="4" w:space="0" w:color="auto"/>
              <w:right w:val="single" w:sz="4" w:space="0" w:color="auto"/>
            </w:tcBorders>
          </w:tcPr>
          <w:p w14:paraId="61780ED8" w14:textId="77777777" w:rsidR="00E57DAA" w:rsidRDefault="00AC4185">
            <w:pPr>
              <w:autoSpaceDE w:val="0"/>
              <w:autoSpaceDN w:val="0"/>
              <w:adjustRightInd w:val="0"/>
              <w:jc w:val="right"/>
              <w:rPr>
                <w:szCs w:val="21"/>
              </w:rPr>
            </w:pPr>
            <w:r>
              <w:t>4,186,434.83</w:t>
            </w:r>
          </w:p>
        </w:tc>
        <w:tc>
          <w:tcPr>
            <w:tcW w:w="703" w:type="pct"/>
            <w:tcBorders>
              <w:top w:val="single" w:sz="4" w:space="0" w:color="auto"/>
              <w:left w:val="single" w:sz="4" w:space="0" w:color="auto"/>
              <w:bottom w:val="single" w:sz="4" w:space="0" w:color="auto"/>
              <w:right w:val="single" w:sz="4" w:space="0" w:color="auto"/>
            </w:tcBorders>
          </w:tcPr>
          <w:p w14:paraId="55DE513B" w14:textId="77777777" w:rsidR="00E57DAA" w:rsidRDefault="00AC4185">
            <w:pPr>
              <w:autoSpaceDE w:val="0"/>
              <w:autoSpaceDN w:val="0"/>
              <w:adjustRightInd w:val="0"/>
              <w:jc w:val="right"/>
              <w:rPr>
                <w:szCs w:val="21"/>
              </w:rPr>
            </w:pPr>
            <w:r>
              <w:t>94,920,137.95</w:t>
            </w:r>
          </w:p>
        </w:tc>
        <w:tc>
          <w:tcPr>
            <w:tcW w:w="914" w:type="pct"/>
            <w:tcBorders>
              <w:top w:val="single" w:sz="4" w:space="0" w:color="auto"/>
              <w:left w:val="single" w:sz="4" w:space="0" w:color="auto"/>
              <w:bottom w:val="single" w:sz="4" w:space="0" w:color="auto"/>
              <w:right w:val="single" w:sz="4" w:space="0" w:color="auto"/>
            </w:tcBorders>
          </w:tcPr>
          <w:p w14:paraId="4CDF1954" w14:textId="77777777" w:rsidR="00E57DAA" w:rsidRDefault="00AC4185">
            <w:pPr>
              <w:autoSpaceDE w:val="0"/>
              <w:autoSpaceDN w:val="0"/>
              <w:adjustRightInd w:val="0"/>
              <w:jc w:val="right"/>
              <w:rPr>
                <w:szCs w:val="21"/>
              </w:rPr>
            </w:pPr>
            <w:r>
              <w:t>4,746,006.90</w:t>
            </w:r>
          </w:p>
        </w:tc>
      </w:tr>
      <w:tr w:rsidR="00E57DAA" w14:paraId="2A192250" w14:textId="77777777">
        <w:tc>
          <w:tcPr>
            <w:tcW w:w="677" w:type="pct"/>
            <w:tcBorders>
              <w:top w:val="single" w:sz="4" w:space="0" w:color="auto"/>
              <w:left w:val="single" w:sz="4" w:space="0" w:color="auto"/>
              <w:bottom w:val="single" w:sz="4" w:space="0" w:color="auto"/>
              <w:right w:val="single" w:sz="4" w:space="0" w:color="auto"/>
            </w:tcBorders>
            <w:vAlign w:val="center"/>
          </w:tcPr>
          <w:p w14:paraId="706FB30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834D597" w14:textId="77777777" w:rsidR="00E57DAA" w:rsidRDefault="00AC4185">
            <w:pPr>
              <w:autoSpaceDE w:val="0"/>
              <w:autoSpaceDN w:val="0"/>
              <w:adjustRightInd w:val="0"/>
              <w:rPr>
                <w:szCs w:val="21"/>
              </w:rPr>
            </w:pPr>
            <w:r>
              <w:t>江西兴国南方水泥有限公司</w:t>
            </w:r>
          </w:p>
        </w:tc>
        <w:tc>
          <w:tcPr>
            <w:tcW w:w="633" w:type="pct"/>
            <w:tcBorders>
              <w:top w:val="single" w:sz="4" w:space="0" w:color="auto"/>
              <w:left w:val="single" w:sz="4" w:space="0" w:color="auto"/>
              <w:bottom w:val="single" w:sz="4" w:space="0" w:color="auto"/>
              <w:right w:val="single" w:sz="4" w:space="0" w:color="auto"/>
            </w:tcBorders>
          </w:tcPr>
          <w:p w14:paraId="6DF2A9A4" w14:textId="77777777" w:rsidR="00E57DAA" w:rsidRDefault="00AC4185">
            <w:pPr>
              <w:autoSpaceDE w:val="0"/>
              <w:autoSpaceDN w:val="0"/>
              <w:adjustRightInd w:val="0"/>
              <w:jc w:val="right"/>
              <w:rPr>
                <w:szCs w:val="21"/>
              </w:rPr>
            </w:pPr>
            <w:r>
              <w:t>36,492,759.41</w:t>
            </w:r>
          </w:p>
        </w:tc>
        <w:tc>
          <w:tcPr>
            <w:tcW w:w="632" w:type="pct"/>
            <w:tcBorders>
              <w:top w:val="single" w:sz="4" w:space="0" w:color="auto"/>
              <w:left w:val="single" w:sz="4" w:space="0" w:color="auto"/>
              <w:bottom w:val="single" w:sz="4" w:space="0" w:color="auto"/>
              <w:right w:val="single" w:sz="4" w:space="0" w:color="auto"/>
            </w:tcBorders>
          </w:tcPr>
          <w:p w14:paraId="1162E3BB" w14:textId="77777777" w:rsidR="00E57DAA" w:rsidRDefault="00AC4185">
            <w:pPr>
              <w:autoSpaceDE w:val="0"/>
              <w:autoSpaceDN w:val="0"/>
              <w:adjustRightInd w:val="0"/>
              <w:jc w:val="right"/>
              <w:rPr>
                <w:szCs w:val="21"/>
              </w:rPr>
            </w:pPr>
            <w:r>
              <w:t>3,199,602.41</w:t>
            </w:r>
          </w:p>
        </w:tc>
        <w:tc>
          <w:tcPr>
            <w:tcW w:w="703" w:type="pct"/>
            <w:tcBorders>
              <w:top w:val="single" w:sz="4" w:space="0" w:color="auto"/>
              <w:left w:val="single" w:sz="4" w:space="0" w:color="auto"/>
              <w:bottom w:val="single" w:sz="4" w:space="0" w:color="auto"/>
              <w:right w:val="single" w:sz="4" w:space="0" w:color="auto"/>
            </w:tcBorders>
          </w:tcPr>
          <w:p w14:paraId="19C726D2" w14:textId="77777777" w:rsidR="00E57DAA" w:rsidRDefault="00AC4185">
            <w:pPr>
              <w:autoSpaceDE w:val="0"/>
              <w:autoSpaceDN w:val="0"/>
              <w:adjustRightInd w:val="0"/>
              <w:jc w:val="right"/>
              <w:rPr>
                <w:szCs w:val="21"/>
              </w:rPr>
            </w:pPr>
            <w:r>
              <w:t>29,753,271.14</w:t>
            </w:r>
          </w:p>
        </w:tc>
        <w:tc>
          <w:tcPr>
            <w:tcW w:w="914" w:type="pct"/>
            <w:tcBorders>
              <w:top w:val="single" w:sz="4" w:space="0" w:color="auto"/>
              <w:left w:val="single" w:sz="4" w:space="0" w:color="auto"/>
              <w:bottom w:val="single" w:sz="4" w:space="0" w:color="auto"/>
              <w:right w:val="single" w:sz="4" w:space="0" w:color="auto"/>
            </w:tcBorders>
          </w:tcPr>
          <w:p w14:paraId="08290E60" w14:textId="77777777" w:rsidR="00E57DAA" w:rsidRDefault="00AC4185">
            <w:pPr>
              <w:autoSpaceDE w:val="0"/>
              <w:autoSpaceDN w:val="0"/>
              <w:adjustRightInd w:val="0"/>
              <w:jc w:val="right"/>
              <w:rPr>
                <w:szCs w:val="21"/>
              </w:rPr>
            </w:pPr>
            <w:r>
              <w:t>1,487,663.56</w:t>
            </w:r>
          </w:p>
        </w:tc>
      </w:tr>
      <w:tr w:rsidR="00E57DAA" w14:paraId="5F7C132B" w14:textId="77777777">
        <w:tc>
          <w:tcPr>
            <w:tcW w:w="677" w:type="pct"/>
            <w:tcBorders>
              <w:top w:val="single" w:sz="4" w:space="0" w:color="auto"/>
              <w:left w:val="single" w:sz="4" w:space="0" w:color="auto"/>
              <w:bottom w:val="single" w:sz="4" w:space="0" w:color="auto"/>
              <w:right w:val="single" w:sz="4" w:space="0" w:color="auto"/>
            </w:tcBorders>
            <w:vAlign w:val="center"/>
          </w:tcPr>
          <w:p w14:paraId="21461BB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9A16431" w14:textId="77777777" w:rsidR="00E57DAA" w:rsidRDefault="00AC4185">
            <w:pPr>
              <w:autoSpaceDE w:val="0"/>
              <w:autoSpaceDN w:val="0"/>
              <w:adjustRightInd w:val="0"/>
              <w:rPr>
                <w:szCs w:val="21"/>
              </w:rPr>
            </w:pPr>
            <w:r>
              <w:t>六安南方水泥有限公司</w:t>
            </w:r>
          </w:p>
        </w:tc>
        <w:tc>
          <w:tcPr>
            <w:tcW w:w="633" w:type="pct"/>
            <w:tcBorders>
              <w:top w:val="single" w:sz="4" w:space="0" w:color="auto"/>
              <w:left w:val="single" w:sz="4" w:space="0" w:color="auto"/>
              <w:bottom w:val="single" w:sz="4" w:space="0" w:color="auto"/>
              <w:right w:val="single" w:sz="4" w:space="0" w:color="auto"/>
            </w:tcBorders>
          </w:tcPr>
          <w:p w14:paraId="5F8D6E30" w14:textId="77777777" w:rsidR="00E57DAA" w:rsidRDefault="00AC4185">
            <w:pPr>
              <w:autoSpaceDE w:val="0"/>
              <w:autoSpaceDN w:val="0"/>
              <w:adjustRightInd w:val="0"/>
              <w:jc w:val="right"/>
              <w:rPr>
                <w:szCs w:val="21"/>
              </w:rPr>
            </w:pPr>
            <w:r>
              <w:t>33,860,966.27</w:t>
            </w:r>
          </w:p>
        </w:tc>
        <w:tc>
          <w:tcPr>
            <w:tcW w:w="632" w:type="pct"/>
            <w:tcBorders>
              <w:top w:val="single" w:sz="4" w:space="0" w:color="auto"/>
              <w:left w:val="single" w:sz="4" w:space="0" w:color="auto"/>
              <w:bottom w:val="single" w:sz="4" w:space="0" w:color="auto"/>
              <w:right w:val="single" w:sz="4" w:space="0" w:color="auto"/>
            </w:tcBorders>
          </w:tcPr>
          <w:p w14:paraId="4FC8FEBA" w14:textId="77777777" w:rsidR="00E57DAA" w:rsidRDefault="00AC4185">
            <w:pPr>
              <w:autoSpaceDE w:val="0"/>
              <w:autoSpaceDN w:val="0"/>
              <w:adjustRightInd w:val="0"/>
              <w:jc w:val="right"/>
              <w:rPr>
                <w:szCs w:val="21"/>
              </w:rPr>
            </w:pPr>
            <w:r>
              <w:t>2,849,055.65</w:t>
            </w:r>
          </w:p>
        </w:tc>
        <w:tc>
          <w:tcPr>
            <w:tcW w:w="703" w:type="pct"/>
            <w:tcBorders>
              <w:top w:val="single" w:sz="4" w:space="0" w:color="auto"/>
              <w:left w:val="single" w:sz="4" w:space="0" w:color="auto"/>
              <w:bottom w:val="single" w:sz="4" w:space="0" w:color="auto"/>
              <w:right w:val="single" w:sz="4" w:space="0" w:color="auto"/>
            </w:tcBorders>
          </w:tcPr>
          <w:p w14:paraId="6CE116DC" w14:textId="77777777" w:rsidR="00E57DAA" w:rsidRDefault="00AC4185">
            <w:pPr>
              <w:autoSpaceDE w:val="0"/>
              <w:autoSpaceDN w:val="0"/>
              <w:adjustRightInd w:val="0"/>
              <w:jc w:val="right"/>
              <w:rPr>
                <w:szCs w:val="21"/>
              </w:rPr>
            </w:pPr>
            <w:r>
              <w:t>23,120,146.82</w:t>
            </w:r>
          </w:p>
        </w:tc>
        <w:tc>
          <w:tcPr>
            <w:tcW w:w="914" w:type="pct"/>
            <w:tcBorders>
              <w:top w:val="single" w:sz="4" w:space="0" w:color="auto"/>
              <w:left w:val="single" w:sz="4" w:space="0" w:color="auto"/>
              <w:bottom w:val="single" w:sz="4" w:space="0" w:color="auto"/>
              <w:right w:val="single" w:sz="4" w:space="0" w:color="auto"/>
            </w:tcBorders>
          </w:tcPr>
          <w:p w14:paraId="1236E857" w14:textId="77777777" w:rsidR="00E57DAA" w:rsidRDefault="00AC4185">
            <w:pPr>
              <w:autoSpaceDE w:val="0"/>
              <w:autoSpaceDN w:val="0"/>
              <w:adjustRightInd w:val="0"/>
              <w:jc w:val="right"/>
              <w:rPr>
                <w:szCs w:val="21"/>
              </w:rPr>
            </w:pPr>
            <w:r>
              <w:t>1,156,007.34</w:t>
            </w:r>
          </w:p>
        </w:tc>
      </w:tr>
      <w:tr w:rsidR="00E57DAA" w14:paraId="7BB6D069" w14:textId="77777777">
        <w:tc>
          <w:tcPr>
            <w:tcW w:w="677" w:type="pct"/>
            <w:tcBorders>
              <w:top w:val="single" w:sz="4" w:space="0" w:color="auto"/>
              <w:left w:val="single" w:sz="4" w:space="0" w:color="auto"/>
              <w:bottom w:val="single" w:sz="4" w:space="0" w:color="auto"/>
              <w:right w:val="single" w:sz="4" w:space="0" w:color="auto"/>
            </w:tcBorders>
            <w:vAlign w:val="center"/>
          </w:tcPr>
          <w:p w14:paraId="35F82FF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D55CECF" w14:textId="77777777" w:rsidR="00E57DAA" w:rsidRDefault="00AC4185">
            <w:pPr>
              <w:autoSpaceDE w:val="0"/>
              <w:autoSpaceDN w:val="0"/>
              <w:adjustRightInd w:val="0"/>
              <w:rPr>
                <w:szCs w:val="21"/>
              </w:rPr>
            </w:pPr>
            <w:r>
              <w:t>江西上高南方水泥有限公司</w:t>
            </w:r>
          </w:p>
        </w:tc>
        <w:tc>
          <w:tcPr>
            <w:tcW w:w="633" w:type="pct"/>
            <w:tcBorders>
              <w:top w:val="single" w:sz="4" w:space="0" w:color="auto"/>
              <w:left w:val="single" w:sz="4" w:space="0" w:color="auto"/>
              <w:bottom w:val="single" w:sz="4" w:space="0" w:color="auto"/>
              <w:right w:val="single" w:sz="4" w:space="0" w:color="auto"/>
            </w:tcBorders>
          </w:tcPr>
          <w:p w14:paraId="2FEBA322" w14:textId="77777777" w:rsidR="00E57DAA" w:rsidRDefault="00AC4185">
            <w:pPr>
              <w:autoSpaceDE w:val="0"/>
              <w:autoSpaceDN w:val="0"/>
              <w:adjustRightInd w:val="0"/>
              <w:jc w:val="right"/>
              <w:rPr>
                <w:szCs w:val="21"/>
              </w:rPr>
            </w:pPr>
            <w:r>
              <w:t>33,816,002.06</w:t>
            </w:r>
          </w:p>
        </w:tc>
        <w:tc>
          <w:tcPr>
            <w:tcW w:w="632" w:type="pct"/>
            <w:tcBorders>
              <w:top w:val="single" w:sz="4" w:space="0" w:color="auto"/>
              <w:left w:val="single" w:sz="4" w:space="0" w:color="auto"/>
              <w:bottom w:val="single" w:sz="4" w:space="0" w:color="auto"/>
              <w:right w:val="single" w:sz="4" w:space="0" w:color="auto"/>
            </w:tcBorders>
          </w:tcPr>
          <w:p w14:paraId="7DDE1136" w14:textId="77777777" w:rsidR="00E57DAA" w:rsidRDefault="00AC4185">
            <w:pPr>
              <w:autoSpaceDE w:val="0"/>
              <w:autoSpaceDN w:val="0"/>
              <w:adjustRightInd w:val="0"/>
              <w:jc w:val="right"/>
              <w:rPr>
                <w:szCs w:val="21"/>
              </w:rPr>
            </w:pPr>
            <w:r>
              <w:t>1,969,223.17</w:t>
            </w:r>
          </w:p>
        </w:tc>
        <w:tc>
          <w:tcPr>
            <w:tcW w:w="703" w:type="pct"/>
            <w:tcBorders>
              <w:top w:val="single" w:sz="4" w:space="0" w:color="auto"/>
              <w:left w:val="single" w:sz="4" w:space="0" w:color="auto"/>
              <w:bottom w:val="single" w:sz="4" w:space="0" w:color="auto"/>
              <w:right w:val="single" w:sz="4" w:space="0" w:color="auto"/>
            </w:tcBorders>
          </w:tcPr>
          <w:p w14:paraId="4B4737DB" w14:textId="77777777" w:rsidR="00E57DAA" w:rsidRDefault="00AC4185">
            <w:pPr>
              <w:autoSpaceDE w:val="0"/>
              <w:autoSpaceDN w:val="0"/>
              <w:adjustRightInd w:val="0"/>
              <w:jc w:val="right"/>
              <w:rPr>
                <w:szCs w:val="21"/>
              </w:rPr>
            </w:pPr>
            <w:r>
              <w:t>22,843,519.46</w:t>
            </w:r>
          </w:p>
        </w:tc>
        <w:tc>
          <w:tcPr>
            <w:tcW w:w="914" w:type="pct"/>
            <w:tcBorders>
              <w:top w:val="single" w:sz="4" w:space="0" w:color="auto"/>
              <w:left w:val="single" w:sz="4" w:space="0" w:color="auto"/>
              <w:bottom w:val="single" w:sz="4" w:space="0" w:color="auto"/>
              <w:right w:val="single" w:sz="4" w:space="0" w:color="auto"/>
            </w:tcBorders>
          </w:tcPr>
          <w:p w14:paraId="0636B47D" w14:textId="77777777" w:rsidR="00E57DAA" w:rsidRDefault="00AC4185">
            <w:pPr>
              <w:autoSpaceDE w:val="0"/>
              <w:autoSpaceDN w:val="0"/>
              <w:adjustRightInd w:val="0"/>
              <w:jc w:val="right"/>
              <w:rPr>
                <w:szCs w:val="21"/>
              </w:rPr>
            </w:pPr>
            <w:r>
              <w:t>562,385.42</w:t>
            </w:r>
          </w:p>
        </w:tc>
      </w:tr>
      <w:tr w:rsidR="00E57DAA" w14:paraId="721B8DC0" w14:textId="77777777">
        <w:tc>
          <w:tcPr>
            <w:tcW w:w="677" w:type="pct"/>
            <w:tcBorders>
              <w:top w:val="single" w:sz="4" w:space="0" w:color="auto"/>
              <w:left w:val="single" w:sz="4" w:space="0" w:color="auto"/>
              <w:bottom w:val="single" w:sz="4" w:space="0" w:color="auto"/>
              <w:right w:val="single" w:sz="4" w:space="0" w:color="auto"/>
            </w:tcBorders>
            <w:vAlign w:val="center"/>
          </w:tcPr>
          <w:p w14:paraId="2F66446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15B11CB" w14:textId="77777777" w:rsidR="00E57DAA" w:rsidRDefault="00AC4185">
            <w:pPr>
              <w:autoSpaceDE w:val="0"/>
              <w:autoSpaceDN w:val="0"/>
              <w:adjustRightInd w:val="0"/>
              <w:rPr>
                <w:szCs w:val="21"/>
              </w:rPr>
            </w:pPr>
            <w:r>
              <w:t>合肥南方水泥有限公司</w:t>
            </w:r>
          </w:p>
        </w:tc>
        <w:tc>
          <w:tcPr>
            <w:tcW w:w="633" w:type="pct"/>
            <w:tcBorders>
              <w:top w:val="single" w:sz="4" w:space="0" w:color="auto"/>
              <w:left w:val="single" w:sz="4" w:space="0" w:color="auto"/>
              <w:bottom w:val="single" w:sz="4" w:space="0" w:color="auto"/>
              <w:right w:val="single" w:sz="4" w:space="0" w:color="auto"/>
            </w:tcBorders>
          </w:tcPr>
          <w:p w14:paraId="1DC63B37" w14:textId="77777777" w:rsidR="00E57DAA" w:rsidRDefault="00AC4185">
            <w:pPr>
              <w:autoSpaceDE w:val="0"/>
              <w:autoSpaceDN w:val="0"/>
              <w:adjustRightInd w:val="0"/>
              <w:jc w:val="right"/>
              <w:rPr>
                <w:szCs w:val="21"/>
              </w:rPr>
            </w:pPr>
            <w:r>
              <w:t>32,693,310.91</w:t>
            </w:r>
          </w:p>
        </w:tc>
        <w:tc>
          <w:tcPr>
            <w:tcW w:w="632" w:type="pct"/>
            <w:tcBorders>
              <w:top w:val="single" w:sz="4" w:space="0" w:color="auto"/>
              <w:left w:val="single" w:sz="4" w:space="0" w:color="auto"/>
              <w:bottom w:val="single" w:sz="4" w:space="0" w:color="auto"/>
              <w:right w:val="single" w:sz="4" w:space="0" w:color="auto"/>
            </w:tcBorders>
          </w:tcPr>
          <w:p w14:paraId="58DA75BC" w14:textId="77777777" w:rsidR="00E57DAA" w:rsidRDefault="00AC4185">
            <w:pPr>
              <w:autoSpaceDE w:val="0"/>
              <w:autoSpaceDN w:val="0"/>
              <w:adjustRightInd w:val="0"/>
              <w:jc w:val="right"/>
              <w:rPr>
                <w:szCs w:val="21"/>
              </w:rPr>
            </w:pPr>
            <w:r>
              <w:t>934,012.25</w:t>
            </w:r>
          </w:p>
        </w:tc>
        <w:tc>
          <w:tcPr>
            <w:tcW w:w="703" w:type="pct"/>
            <w:tcBorders>
              <w:top w:val="single" w:sz="4" w:space="0" w:color="auto"/>
              <w:left w:val="single" w:sz="4" w:space="0" w:color="auto"/>
              <w:bottom w:val="single" w:sz="4" w:space="0" w:color="auto"/>
              <w:right w:val="single" w:sz="4" w:space="0" w:color="auto"/>
            </w:tcBorders>
          </w:tcPr>
          <w:p w14:paraId="4FE3A0F3" w14:textId="77777777" w:rsidR="00E57DAA" w:rsidRDefault="00AC4185">
            <w:pPr>
              <w:autoSpaceDE w:val="0"/>
              <w:autoSpaceDN w:val="0"/>
              <w:adjustRightInd w:val="0"/>
              <w:jc w:val="right"/>
              <w:rPr>
                <w:szCs w:val="21"/>
              </w:rPr>
            </w:pPr>
            <w:r>
              <w:t>182,527,269.78</w:t>
            </w:r>
          </w:p>
        </w:tc>
        <w:tc>
          <w:tcPr>
            <w:tcW w:w="914" w:type="pct"/>
            <w:tcBorders>
              <w:top w:val="single" w:sz="4" w:space="0" w:color="auto"/>
              <w:left w:val="single" w:sz="4" w:space="0" w:color="auto"/>
              <w:bottom w:val="single" w:sz="4" w:space="0" w:color="auto"/>
              <w:right w:val="single" w:sz="4" w:space="0" w:color="auto"/>
            </w:tcBorders>
          </w:tcPr>
          <w:p w14:paraId="6AA25ECB" w14:textId="77777777" w:rsidR="00E57DAA" w:rsidRDefault="00AC4185">
            <w:pPr>
              <w:autoSpaceDE w:val="0"/>
              <w:autoSpaceDN w:val="0"/>
              <w:adjustRightInd w:val="0"/>
              <w:jc w:val="right"/>
              <w:rPr>
                <w:szCs w:val="21"/>
              </w:rPr>
            </w:pPr>
            <w:r>
              <w:t>14,892,942.17</w:t>
            </w:r>
          </w:p>
        </w:tc>
      </w:tr>
      <w:tr w:rsidR="00E57DAA" w14:paraId="421BD575" w14:textId="77777777">
        <w:tc>
          <w:tcPr>
            <w:tcW w:w="677" w:type="pct"/>
            <w:tcBorders>
              <w:top w:val="single" w:sz="4" w:space="0" w:color="auto"/>
              <w:left w:val="single" w:sz="4" w:space="0" w:color="auto"/>
              <w:bottom w:val="single" w:sz="4" w:space="0" w:color="auto"/>
              <w:right w:val="single" w:sz="4" w:space="0" w:color="auto"/>
            </w:tcBorders>
            <w:vAlign w:val="center"/>
          </w:tcPr>
          <w:p w14:paraId="2619F03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C2061F0" w14:textId="77777777" w:rsidR="00E57DAA" w:rsidRDefault="00AC4185">
            <w:pPr>
              <w:autoSpaceDE w:val="0"/>
              <w:autoSpaceDN w:val="0"/>
              <w:adjustRightInd w:val="0"/>
              <w:rPr>
                <w:szCs w:val="21"/>
              </w:rPr>
            </w:pPr>
            <w:r>
              <w:t>汪清北方水泥有限公司</w:t>
            </w:r>
          </w:p>
        </w:tc>
        <w:tc>
          <w:tcPr>
            <w:tcW w:w="633" w:type="pct"/>
            <w:tcBorders>
              <w:top w:val="single" w:sz="4" w:space="0" w:color="auto"/>
              <w:left w:val="single" w:sz="4" w:space="0" w:color="auto"/>
              <w:bottom w:val="single" w:sz="4" w:space="0" w:color="auto"/>
              <w:right w:val="single" w:sz="4" w:space="0" w:color="auto"/>
            </w:tcBorders>
          </w:tcPr>
          <w:p w14:paraId="115A21BC" w14:textId="77777777" w:rsidR="00E57DAA" w:rsidRDefault="00AC4185">
            <w:pPr>
              <w:autoSpaceDE w:val="0"/>
              <w:autoSpaceDN w:val="0"/>
              <w:adjustRightInd w:val="0"/>
              <w:jc w:val="right"/>
              <w:rPr>
                <w:szCs w:val="21"/>
              </w:rPr>
            </w:pPr>
            <w:r>
              <w:t>23,877,687.11</w:t>
            </w:r>
          </w:p>
        </w:tc>
        <w:tc>
          <w:tcPr>
            <w:tcW w:w="632" w:type="pct"/>
            <w:tcBorders>
              <w:top w:val="single" w:sz="4" w:space="0" w:color="auto"/>
              <w:left w:val="single" w:sz="4" w:space="0" w:color="auto"/>
              <w:bottom w:val="single" w:sz="4" w:space="0" w:color="auto"/>
              <w:right w:val="single" w:sz="4" w:space="0" w:color="auto"/>
            </w:tcBorders>
          </w:tcPr>
          <w:p w14:paraId="49CCF234" w14:textId="77777777" w:rsidR="00E57DAA" w:rsidRDefault="00AC4185">
            <w:pPr>
              <w:autoSpaceDE w:val="0"/>
              <w:autoSpaceDN w:val="0"/>
              <w:adjustRightInd w:val="0"/>
              <w:jc w:val="right"/>
              <w:rPr>
                <w:szCs w:val="21"/>
              </w:rPr>
            </w:pPr>
            <w:r>
              <w:t>1,193,884.36</w:t>
            </w:r>
          </w:p>
        </w:tc>
        <w:tc>
          <w:tcPr>
            <w:tcW w:w="703" w:type="pct"/>
            <w:tcBorders>
              <w:top w:val="single" w:sz="4" w:space="0" w:color="auto"/>
              <w:left w:val="single" w:sz="4" w:space="0" w:color="auto"/>
              <w:bottom w:val="single" w:sz="4" w:space="0" w:color="auto"/>
              <w:right w:val="single" w:sz="4" w:space="0" w:color="auto"/>
            </w:tcBorders>
          </w:tcPr>
          <w:p w14:paraId="5674849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F105F10" w14:textId="77777777" w:rsidR="00E57DAA" w:rsidRDefault="00AC4185">
            <w:pPr>
              <w:autoSpaceDE w:val="0"/>
              <w:autoSpaceDN w:val="0"/>
              <w:adjustRightInd w:val="0"/>
              <w:jc w:val="right"/>
              <w:rPr>
                <w:szCs w:val="21"/>
              </w:rPr>
            </w:pPr>
            <w:r>
              <w:t xml:space="preserve">　</w:t>
            </w:r>
          </w:p>
        </w:tc>
      </w:tr>
      <w:tr w:rsidR="00E57DAA" w14:paraId="022739CF" w14:textId="77777777">
        <w:tc>
          <w:tcPr>
            <w:tcW w:w="677" w:type="pct"/>
            <w:tcBorders>
              <w:top w:val="single" w:sz="4" w:space="0" w:color="auto"/>
              <w:left w:val="single" w:sz="4" w:space="0" w:color="auto"/>
              <w:bottom w:val="single" w:sz="4" w:space="0" w:color="auto"/>
              <w:right w:val="single" w:sz="4" w:space="0" w:color="auto"/>
            </w:tcBorders>
            <w:vAlign w:val="center"/>
          </w:tcPr>
          <w:p w14:paraId="40D8D1E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8F87F8D" w14:textId="77777777" w:rsidR="00E57DAA" w:rsidRDefault="00AC4185">
            <w:pPr>
              <w:autoSpaceDE w:val="0"/>
              <w:autoSpaceDN w:val="0"/>
              <w:adjustRightInd w:val="0"/>
              <w:rPr>
                <w:szCs w:val="21"/>
              </w:rPr>
            </w:pPr>
            <w:r>
              <w:t>宜兴市阳港矿业有限公司</w:t>
            </w:r>
          </w:p>
        </w:tc>
        <w:tc>
          <w:tcPr>
            <w:tcW w:w="633" w:type="pct"/>
            <w:tcBorders>
              <w:top w:val="single" w:sz="4" w:space="0" w:color="auto"/>
              <w:left w:val="single" w:sz="4" w:space="0" w:color="auto"/>
              <w:bottom w:val="single" w:sz="4" w:space="0" w:color="auto"/>
              <w:right w:val="single" w:sz="4" w:space="0" w:color="auto"/>
            </w:tcBorders>
          </w:tcPr>
          <w:p w14:paraId="504223C1" w14:textId="77777777" w:rsidR="00E57DAA" w:rsidRDefault="00AC4185">
            <w:pPr>
              <w:autoSpaceDE w:val="0"/>
              <w:autoSpaceDN w:val="0"/>
              <w:adjustRightInd w:val="0"/>
              <w:jc w:val="right"/>
              <w:rPr>
                <w:szCs w:val="21"/>
              </w:rPr>
            </w:pPr>
            <w:r>
              <w:t>23,130,996.17</w:t>
            </w:r>
          </w:p>
        </w:tc>
        <w:tc>
          <w:tcPr>
            <w:tcW w:w="632" w:type="pct"/>
            <w:tcBorders>
              <w:top w:val="single" w:sz="4" w:space="0" w:color="auto"/>
              <w:left w:val="single" w:sz="4" w:space="0" w:color="auto"/>
              <w:bottom w:val="single" w:sz="4" w:space="0" w:color="auto"/>
              <w:right w:val="single" w:sz="4" w:space="0" w:color="auto"/>
            </w:tcBorders>
          </w:tcPr>
          <w:p w14:paraId="146293A9" w14:textId="77777777" w:rsidR="00E57DAA" w:rsidRDefault="00AC4185">
            <w:pPr>
              <w:autoSpaceDE w:val="0"/>
              <w:autoSpaceDN w:val="0"/>
              <w:adjustRightInd w:val="0"/>
              <w:jc w:val="right"/>
              <w:rPr>
                <w:szCs w:val="21"/>
              </w:rPr>
            </w:pPr>
            <w:r>
              <w:t>194,300.37</w:t>
            </w:r>
          </w:p>
        </w:tc>
        <w:tc>
          <w:tcPr>
            <w:tcW w:w="703" w:type="pct"/>
            <w:tcBorders>
              <w:top w:val="single" w:sz="4" w:space="0" w:color="auto"/>
              <w:left w:val="single" w:sz="4" w:space="0" w:color="auto"/>
              <w:bottom w:val="single" w:sz="4" w:space="0" w:color="auto"/>
              <w:right w:val="single" w:sz="4" w:space="0" w:color="auto"/>
            </w:tcBorders>
          </w:tcPr>
          <w:p w14:paraId="24C7672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0CC2153" w14:textId="77777777" w:rsidR="00E57DAA" w:rsidRDefault="00AC4185">
            <w:pPr>
              <w:autoSpaceDE w:val="0"/>
              <w:autoSpaceDN w:val="0"/>
              <w:adjustRightInd w:val="0"/>
              <w:jc w:val="right"/>
              <w:rPr>
                <w:szCs w:val="21"/>
              </w:rPr>
            </w:pPr>
            <w:r>
              <w:t xml:space="preserve">　</w:t>
            </w:r>
          </w:p>
        </w:tc>
      </w:tr>
      <w:tr w:rsidR="00E57DAA" w14:paraId="2B2CC60F" w14:textId="77777777">
        <w:tc>
          <w:tcPr>
            <w:tcW w:w="677" w:type="pct"/>
            <w:tcBorders>
              <w:top w:val="single" w:sz="4" w:space="0" w:color="auto"/>
              <w:left w:val="single" w:sz="4" w:space="0" w:color="auto"/>
              <w:bottom w:val="single" w:sz="4" w:space="0" w:color="auto"/>
              <w:right w:val="single" w:sz="4" w:space="0" w:color="auto"/>
            </w:tcBorders>
            <w:vAlign w:val="center"/>
          </w:tcPr>
          <w:p w14:paraId="35E166B5"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32E038D" w14:textId="77777777" w:rsidR="00E57DAA" w:rsidRDefault="00AC4185">
            <w:pPr>
              <w:autoSpaceDE w:val="0"/>
              <w:autoSpaceDN w:val="0"/>
              <w:adjustRightInd w:val="0"/>
              <w:rPr>
                <w:szCs w:val="21"/>
              </w:rPr>
            </w:pPr>
            <w:r>
              <w:t>杭州山亚南方水泥有限公司</w:t>
            </w:r>
          </w:p>
        </w:tc>
        <w:tc>
          <w:tcPr>
            <w:tcW w:w="633" w:type="pct"/>
            <w:tcBorders>
              <w:top w:val="single" w:sz="4" w:space="0" w:color="auto"/>
              <w:left w:val="single" w:sz="4" w:space="0" w:color="auto"/>
              <w:bottom w:val="single" w:sz="4" w:space="0" w:color="auto"/>
              <w:right w:val="single" w:sz="4" w:space="0" w:color="auto"/>
            </w:tcBorders>
          </w:tcPr>
          <w:p w14:paraId="374B01E1" w14:textId="77777777" w:rsidR="00E57DAA" w:rsidRDefault="00AC4185">
            <w:pPr>
              <w:autoSpaceDE w:val="0"/>
              <w:autoSpaceDN w:val="0"/>
              <w:adjustRightInd w:val="0"/>
              <w:jc w:val="right"/>
              <w:rPr>
                <w:szCs w:val="21"/>
              </w:rPr>
            </w:pPr>
            <w:r>
              <w:t>22,948,974.69</w:t>
            </w:r>
          </w:p>
        </w:tc>
        <w:tc>
          <w:tcPr>
            <w:tcW w:w="632" w:type="pct"/>
            <w:tcBorders>
              <w:top w:val="single" w:sz="4" w:space="0" w:color="auto"/>
              <w:left w:val="single" w:sz="4" w:space="0" w:color="auto"/>
              <w:bottom w:val="single" w:sz="4" w:space="0" w:color="auto"/>
              <w:right w:val="single" w:sz="4" w:space="0" w:color="auto"/>
            </w:tcBorders>
          </w:tcPr>
          <w:p w14:paraId="5393DD6B" w14:textId="77777777" w:rsidR="00E57DAA" w:rsidRDefault="00AC4185">
            <w:pPr>
              <w:autoSpaceDE w:val="0"/>
              <w:autoSpaceDN w:val="0"/>
              <w:adjustRightInd w:val="0"/>
              <w:jc w:val="right"/>
              <w:rPr>
                <w:szCs w:val="21"/>
              </w:rPr>
            </w:pPr>
            <w:r>
              <w:t>1,034,645.73</w:t>
            </w:r>
          </w:p>
        </w:tc>
        <w:tc>
          <w:tcPr>
            <w:tcW w:w="703" w:type="pct"/>
            <w:tcBorders>
              <w:top w:val="single" w:sz="4" w:space="0" w:color="auto"/>
              <w:left w:val="single" w:sz="4" w:space="0" w:color="auto"/>
              <w:bottom w:val="single" w:sz="4" w:space="0" w:color="auto"/>
              <w:right w:val="single" w:sz="4" w:space="0" w:color="auto"/>
            </w:tcBorders>
          </w:tcPr>
          <w:p w14:paraId="6AA2330D" w14:textId="77777777" w:rsidR="00E57DAA" w:rsidRDefault="00AC4185">
            <w:pPr>
              <w:autoSpaceDE w:val="0"/>
              <w:autoSpaceDN w:val="0"/>
              <w:adjustRightInd w:val="0"/>
              <w:jc w:val="right"/>
              <w:rPr>
                <w:szCs w:val="21"/>
              </w:rPr>
            </w:pPr>
            <w:r>
              <w:t>22,211,206.48</w:t>
            </w:r>
          </w:p>
        </w:tc>
        <w:tc>
          <w:tcPr>
            <w:tcW w:w="914" w:type="pct"/>
            <w:tcBorders>
              <w:top w:val="single" w:sz="4" w:space="0" w:color="auto"/>
              <w:left w:val="single" w:sz="4" w:space="0" w:color="auto"/>
              <w:bottom w:val="single" w:sz="4" w:space="0" w:color="auto"/>
              <w:right w:val="single" w:sz="4" w:space="0" w:color="auto"/>
            </w:tcBorders>
          </w:tcPr>
          <w:p w14:paraId="6B8D6A1D" w14:textId="77777777" w:rsidR="00E57DAA" w:rsidRDefault="00AC4185">
            <w:pPr>
              <w:autoSpaceDE w:val="0"/>
              <w:autoSpaceDN w:val="0"/>
              <w:adjustRightInd w:val="0"/>
              <w:jc w:val="right"/>
              <w:rPr>
                <w:szCs w:val="21"/>
              </w:rPr>
            </w:pPr>
            <w:r>
              <w:t>80,802.77</w:t>
            </w:r>
          </w:p>
        </w:tc>
      </w:tr>
      <w:tr w:rsidR="00E57DAA" w14:paraId="7B0E7206" w14:textId="77777777">
        <w:tc>
          <w:tcPr>
            <w:tcW w:w="677" w:type="pct"/>
            <w:tcBorders>
              <w:top w:val="single" w:sz="4" w:space="0" w:color="auto"/>
              <w:left w:val="single" w:sz="4" w:space="0" w:color="auto"/>
              <w:bottom w:val="single" w:sz="4" w:space="0" w:color="auto"/>
              <w:right w:val="single" w:sz="4" w:space="0" w:color="auto"/>
            </w:tcBorders>
            <w:vAlign w:val="center"/>
          </w:tcPr>
          <w:p w14:paraId="6FB6FA1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9A58A51" w14:textId="77777777" w:rsidR="00E57DAA" w:rsidRDefault="00AC4185">
            <w:pPr>
              <w:autoSpaceDE w:val="0"/>
              <w:autoSpaceDN w:val="0"/>
              <w:adjustRightInd w:val="0"/>
              <w:rPr>
                <w:szCs w:val="21"/>
              </w:rPr>
            </w:pPr>
            <w:r>
              <w:t>池州中建材新材料有限公司</w:t>
            </w:r>
          </w:p>
        </w:tc>
        <w:tc>
          <w:tcPr>
            <w:tcW w:w="633" w:type="pct"/>
            <w:tcBorders>
              <w:top w:val="single" w:sz="4" w:space="0" w:color="auto"/>
              <w:left w:val="single" w:sz="4" w:space="0" w:color="auto"/>
              <w:bottom w:val="single" w:sz="4" w:space="0" w:color="auto"/>
              <w:right w:val="single" w:sz="4" w:space="0" w:color="auto"/>
            </w:tcBorders>
          </w:tcPr>
          <w:p w14:paraId="3EB81B5E" w14:textId="77777777" w:rsidR="00E57DAA" w:rsidRDefault="00AC4185">
            <w:pPr>
              <w:autoSpaceDE w:val="0"/>
              <w:autoSpaceDN w:val="0"/>
              <w:adjustRightInd w:val="0"/>
              <w:jc w:val="right"/>
              <w:rPr>
                <w:szCs w:val="21"/>
              </w:rPr>
            </w:pPr>
            <w:r>
              <w:t>21,308,830.02</w:t>
            </w:r>
          </w:p>
        </w:tc>
        <w:tc>
          <w:tcPr>
            <w:tcW w:w="632" w:type="pct"/>
            <w:tcBorders>
              <w:top w:val="single" w:sz="4" w:space="0" w:color="auto"/>
              <w:left w:val="single" w:sz="4" w:space="0" w:color="auto"/>
              <w:bottom w:val="single" w:sz="4" w:space="0" w:color="auto"/>
              <w:right w:val="single" w:sz="4" w:space="0" w:color="auto"/>
            </w:tcBorders>
          </w:tcPr>
          <w:p w14:paraId="37FECC1A" w14:textId="77777777" w:rsidR="00E57DAA" w:rsidRDefault="00AC4185">
            <w:pPr>
              <w:autoSpaceDE w:val="0"/>
              <w:autoSpaceDN w:val="0"/>
              <w:adjustRightInd w:val="0"/>
              <w:jc w:val="right"/>
              <w:rPr>
                <w:szCs w:val="21"/>
              </w:rPr>
            </w:pPr>
            <w:r>
              <w:t>85,235.32</w:t>
            </w:r>
          </w:p>
        </w:tc>
        <w:tc>
          <w:tcPr>
            <w:tcW w:w="703" w:type="pct"/>
            <w:tcBorders>
              <w:top w:val="single" w:sz="4" w:space="0" w:color="auto"/>
              <w:left w:val="single" w:sz="4" w:space="0" w:color="auto"/>
              <w:bottom w:val="single" w:sz="4" w:space="0" w:color="auto"/>
              <w:right w:val="single" w:sz="4" w:space="0" w:color="auto"/>
            </w:tcBorders>
          </w:tcPr>
          <w:p w14:paraId="44E8CAF3" w14:textId="77777777" w:rsidR="00E57DAA" w:rsidRDefault="00AC4185">
            <w:pPr>
              <w:autoSpaceDE w:val="0"/>
              <w:autoSpaceDN w:val="0"/>
              <w:adjustRightInd w:val="0"/>
              <w:jc w:val="right"/>
              <w:rPr>
                <w:szCs w:val="21"/>
              </w:rPr>
            </w:pPr>
            <w:r>
              <w:t>27,600,140.29</w:t>
            </w:r>
          </w:p>
        </w:tc>
        <w:tc>
          <w:tcPr>
            <w:tcW w:w="914" w:type="pct"/>
            <w:tcBorders>
              <w:top w:val="single" w:sz="4" w:space="0" w:color="auto"/>
              <w:left w:val="single" w:sz="4" w:space="0" w:color="auto"/>
              <w:bottom w:val="single" w:sz="4" w:space="0" w:color="auto"/>
              <w:right w:val="single" w:sz="4" w:space="0" w:color="auto"/>
            </w:tcBorders>
          </w:tcPr>
          <w:p w14:paraId="31BEAD63" w14:textId="77777777" w:rsidR="00E57DAA" w:rsidRDefault="00AC4185">
            <w:pPr>
              <w:autoSpaceDE w:val="0"/>
              <w:autoSpaceDN w:val="0"/>
              <w:adjustRightInd w:val="0"/>
              <w:jc w:val="right"/>
              <w:rPr>
                <w:szCs w:val="21"/>
              </w:rPr>
            </w:pPr>
            <w:r>
              <w:t>317,841.53</w:t>
            </w:r>
          </w:p>
        </w:tc>
      </w:tr>
      <w:tr w:rsidR="00E57DAA" w14:paraId="4828FCDD" w14:textId="77777777">
        <w:tc>
          <w:tcPr>
            <w:tcW w:w="677" w:type="pct"/>
            <w:tcBorders>
              <w:top w:val="single" w:sz="4" w:space="0" w:color="auto"/>
              <w:left w:val="single" w:sz="4" w:space="0" w:color="auto"/>
              <w:bottom w:val="single" w:sz="4" w:space="0" w:color="auto"/>
              <w:right w:val="single" w:sz="4" w:space="0" w:color="auto"/>
            </w:tcBorders>
            <w:vAlign w:val="center"/>
          </w:tcPr>
          <w:p w14:paraId="74393FD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3524E01" w14:textId="77777777" w:rsidR="00E57DAA" w:rsidRDefault="00AC4185">
            <w:pPr>
              <w:autoSpaceDE w:val="0"/>
              <w:autoSpaceDN w:val="0"/>
              <w:adjustRightInd w:val="0"/>
              <w:rPr>
                <w:szCs w:val="21"/>
              </w:rPr>
            </w:pPr>
            <w:r>
              <w:t>新泰中联泰丰水泥有限公司</w:t>
            </w:r>
          </w:p>
        </w:tc>
        <w:tc>
          <w:tcPr>
            <w:tcW w:w="633" w:type="pct"/>
            <w:tcBorders>
              <w:top w:val="single" w:sz="4" w:space="0" w:color="auto"/>
              <w:left w:val="single" w:sz="4" w:space="0" w:color="auto"/>
              <w:bottom w:val="single" w:sz="4" w:space="0" w:color="auto"/>
              <w:right w:val="single" w:sz="4" w:space="0" w:color="auto"/>
            </w:tcBorders>
          </w:tcPr>
          <w:p w14:paraId="178759CD" w14:textId="77777777" w:rsidR="00E57DAA" w:rsidRDefault="00AC4185">
            <w:pPr>
              <w:autoSpaceDE w:val="0"/>
              <w:autoSpaceDN w:val="0"/>
              <w:adjustRightInd w:val="0"/>
              <w:jc w:val="right"/>
              <w:rPr>
                <w:szCs w:val="21"/>
              </w:rPr>
            </w:pPr>
            <w:r>
              <w:t>20,538,956.43</w:t>
            </w:r>
          </w:p>
        </w:tc>
        <w:tc>
          <w:tcPr>
            <w:tcW w:w="632" w:type="pct"/>
            <w:tcBorders>
              <w:top w:val="single" w:sz="4" w:space="0" w:color="auto"/>
              <w:left w:val="single" w:sz="4" w:space="0" w:color="auto"/>
              <w:bottom w:val="single" w:sz="4" w:space="0" w:color="auto"/>
              <w:right w:val="single" w:sz="4" w:space="0" w:color="auto"/>
            </w:tcBorders>
          </w:tcPr>
          <w:p w14:paraId="3E8CD45B" w14:textId="77777777" w:rsidR="00E57DAA" w:rsidRDefault="00AC4185">
            <w:pPr>
              <w:autoSpaceDE w:val="0"/>
              <w:autoSpaceDN w:val="0"/>
              <w:adjustRightInd w:val="0"/>
              <w:jc w:val="right"/>
              <w:rPr>
                <w:szCs w:val="21"/>
              </w:rPr>
            </w:pPr>
            <w:r>
              <w:t>2,053,895.64</w:t>
            </w:r>
          </w:p>
        </w:tc>
        <w:tc>
          <w:tcPr>
            <w:tcW w:w="703" w:type="pct"/>
            <w:tcBorders>
              <w:top w:val="single" w:sz="4" w:space="0" w:color="auto"/>
              <w:left w:val="single" w:sz="4" w:space="0" w:color="auto"/>
              <w:bottom w:val="single" w:sz="4" w:space="0" w:color="auto"/>
              <w:right w:val="single" w:sz="4" w:space="0" w:color="auto"/>
            </w:tcBorders>
          </w:tcPr>
          <w:p w14:paraId="3BBB7A74" w14:textId="77777777" w:rsidR="00E57DAA" w:rsidRDefault="00AC4185">
            <w:pPr>
              <w:autoSpaceDE w:val="0"/>
              <w:autoSpaceDN w:val="0"/>
              <w:adjustRightInd w:val="0"/>
              <w:jc w:val="right"/>
              <w:rPr>
                <w:szCs w:val="21"/>
              </w:rPr>
            </w:pPr>
            <w:r>
              <w:t>20,538,956.43</w:t>
            </w:r>
          </w:p>
        </w:tc>
        <w:tc>
          <w:tcPr>
            <w:tcW w:w="914" w:type="pct"/>
            <w:tcBorders>
              <w:top w:val="single" w:sz="4" w:space="0" w:color="auto"/>
              <w:left w:val="single" w:sz="4" w:space="0" w:color="auto"/>
              <w:bottom w:val="single" w:sz="4" w:space="0" w:color="auto"/>
              <w:right w:val="single" w:sz="4" w:space="0" w:color="auto"/>
            </w:tcBorders>
          </w:tcPr>
          <w:p w14:paraId="2255945A" w14:textId="77777777" w:rsidR="00E57DAA" w:rsidRDefault="00AC4185">
            <w:pPr>
              <w:autoSpaceDE w:val="0"/>
              <w:autoSpaceDN w:val="0"/>
              <w:adjustRightInd w:val="0"/>
              <w:jc w:val="right"/>
              <w:rPr>
                <w:szCs w:val="21"/>
              </w:rPr>
            </w:pPr>
            <w:r>
              <w:t>1,026,947.82</w:t>
            </w:r>
          </w:p>
        </w:tc>
      </w:tr>
      <w:tr w:rsidR="00E57DAA" w14:paraId="0DC02419" w14:textId="77777777">
        <w:tc>
          <w:tcPr>
            <w:tcW w:w="677" w:type="pct"/>
            <w:tcBorders>
              <w:top w:val="single" w:sz="4" w:space="0" w:color="auto"/>
              <w:left w:val="single" w:sz="4" w:space="0" w:color="auto"/>
              <w:bottom w:val="single" w:sz="4" w:space="0" w:color="auto"/>
              <w:right w:val="single" w:sz="4" w:space="0" w:color="auto"/>
            </w:tcBorders>
            <w:vAlign w:val="center"/>
          </w:tcPr>
          <w:p w14:paraId="67797EA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AFCBABD" w14:textId="77777777" w:rsidR="00E57DAA" w:rsidRDefault="00AC4185">
            <w:pPr>
              <w:autoSpaceDE w:val="0"/>
              <w:autoSpaceDN w:val="0"/>
              <w:adjustRightInd w:val="0"/>
              <w:rPr>
                <w:szCs w:val="21"/>
              </w:rPr>
            </w:pPr>
            <w:r>
              <w:t>中材亨达水泥有限公司</w:t>
            </w:r>
          </w:p>
        </w:tc>
        <w:tc>
          <w:tcPr>
            <w:tcW w:w="633" w:type="pct"/>
            <w:tcBorders>
              <w:top w:val="single" w:sz="4" w:space="0" w:color="auto"/>
              <w:left w:val="single" w:sz="4" w:space="0" w:color="auto"/>
              <w:bottom w:val="single" w:sz="4" w:space="0" w:color="auto"/>
              <w:right w:val="single" w:sz="4" w:space="0" w:color="auto"/>
            </w:tcBorders>
          </w:tcPr>
          <w:p w14:paraId="0C94B7FC" w14:textId="77777777" w:rsidR="00E57DAA" w:rsidRDefault="00AC4185">
            <w:pPr>
              <w:autoSpaceDE w:val="0"/>
              <w:autoSpaceDN w:val="0"/>
              <w:adjustRightInd w:val="0"/>
              <w:jc w:val="right"/>
              <w:rPr>
                <w:szCs w:val="21"/>
              </w:rPr>
            </w:pPr>
            <w:r>
              <w:t>20,246,680.00</w:t>
            </w:r>
          </w:p>
        </w:tc>
        <w:tc>
          <w:tcPr>
            <w:tcW w:w="632" w:type="pct"/>
            <w:tcBorders>
              <w:top w:val="single" w:sz="4" w:space="0" w:color="auto"/>
              <w:left w:val="single" w:sz="4" w:space="0" w:color="auto"/>
              <w:bottom w:val="single" w:sz="4" w:space="0" w:color="auto"/>
              <w:right w:val="single" w:sz="4" w:space="0" w:color="auto"/>
            </w:tcBorders>
          </w:tcPr>
          <w:p w14:paraId="4062F16C" w14:textId="77777777" w:rsidR="00E57DAA" w:rsidRDefault="00AC4185">
            <w:pPr>
              <w:autoSpaceDE w:val="0"/>
              <w:autoSpaceDN w:val="0"/>
              <w:adjustRightInd w:val="0"/>
              <w:jc w:val="right"/>
              <w:rPr>
                <w:szCs w:val="21"/>
              </w:rPr>
            </w:pPr>
            <w:r>
              <w:t>1,012,334.00</w:t>
            </w:r>
          </w:p>
        </w:tc>
        <w:tc>
          <w:tcPr>
            <w:tcW w:w="703" w:type="pct"/>
            <w:tcBorders>
              <w:top w:val="single" w:sz="4" w:space="0" w:color="auto"/>
              <w:left w:val="single" w:sz="4" w:space="0" w:color="auto"/>
              <w:bottom w:val="single" w:sz="4" w:space="0" w:color="auto"/>
              <w:right w:val="single" w:sz="4" w:space="0" w:color="auto"/>
            </w:tcBorders>
          </w:tcPr>
          <w:p w14:paraId="2ED4A2E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E79B276" w14:textId="77777777" w:rsidR="00E57DAA" w:rsidRDefault="00AC4185">
            <w:pPr>
              <w:autoSpaceDE w:val="0"/>
              <w:autoSpaceDN w:val="0"/>
              <w:adjustRightInd w:val="0"/>
              <w:jc w:val="right"/>
              <w:rPr>
                <w:szCs w:val="21"/>
              </w:rPr>
            </w:pPr>
            <w:r>
              <w:t xml:space="preserve">　</w:t>
            </w:r>
          </w:p>
        </w:tc>
      </w:tr>
      <w:tr w:rsidR="00E57DAA" w14:paraId="74E9793F" w14:textId="77777777">
        <w:tc>
          <w:tcPr>
            <w:tcW w:w="677" w:type="pct"/>
            <w:tcBorders>
              <w:top w:val="single" w:sz="4" w:space="0" w:color="auto"/>
              <w:left w:val="single" w:sz="4" w:space="0" w:color="auto"/>
              <w:bottom w:val="single" w:sz="4" w:space="0" w:color="auto"/>
              <w:right w:val="single" w:sz="4" w:space="0" w:color="auto"/>
            </w:tcBorders>
            <w:vAlign w:val="center"/>
          </w:tcPr>
          <w:p w14:paraId="1F3594A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594554E" w14:textId="77777777" w:rsidR="00E57DAA" w:rsidRDefault="00AC4185">
            <w:pPr>
              <w:autoSpaceDE w:val="0"/>
              <w:autoSpaceDN w:val="0"/>
              <w:adjustRightInd w:val="0"/>
              <w:rPr>
                <w:szCs w:val="21"/>
              </w:rPr>
            </w:pPr>
            <w:r>
              <w:t>徐州中联水泥有限公司</w:t>
            </w:r>
          </w:p>
        </w:tc>
        <w:tc>
          <w:tcPr>
            <w:tcW w:w="633" w:type="pct"/>
            <w:tcBorders>
              <w:top w:val="single" w:sz="4" w:space="0" w:color="auto"/>
              <w:left w:val="single" w:sz="4" w:space="0" w:color="auto"/>
              <w:bottom w:val="single" w:sz="4" w:space="0" w:color="auto"/>
              <w:right w:val="single" w:sz="4" w:space="0" w:color="auto"/>
            </w:tcBorders>
          </w:tcPr>
          <w:p w14:paraId="0699899A" w14:textId="77777777" w:rsidR="00E57DAA" w:rsidRDefault="00AC4185">
            <w:pPr>
              <w:autoSpaceDE w:val="0"/>
              <w:autoSpaceDN w:val="0"/>
              <w:adjustRightInd w:val="0"/>
              <w:jc w:val="right"/>
              <w:rPr>
                <w:szCs w:val="21"/>
              </w:rPr>
            </w:pPr>
            <w:r>
              <w:t>12,736,201.61</w:t>
            </w:r>
          </w:p>
        </w:tc>
        <w:tc>
          <w:tcPr>
            <w:tcW w:w="632" w:type="pct"/>
            <w:tcBorders>
              <w:top w:val="single" w:sz="4" w:space="0" w:color="auto"/>
              <w:left w:val="single" w:sz="4" w:space="0" w:color="auto"/>
              <w:bottom w:val="single" w:sz="4" w:space="0" w:color="auto"/>
              <w:right w:val="single" w:sz="4" w:space="0" w:color="auto"/>
            </w:tcBorders>
          </w:tcPr>
          <w:p w14:paraId="4B407A83" w14:textId="77777777" w:rsidR="00E57DAA" w:rsidRDefault="00AC4185">
            <w:pPr>
              <w:autoSpaceDE w:val="0"/>
              <w:autoSpaceDN w:val="0"/>
              <w:adjustRightInd w:val="0"/>
              <w:jc w:val="right"/>
              <w:rPr>
                <w:szCs w:val="21"/>
              </w:rPr>
            </w:pPr>
            <w:r>
              <w:t>301,847.97</w:t>
            </w:r>
          </w:p>
        </w:tc>
        <w:tc>
          <w:tcPr>
            <w:tcW w:w="703" w:type="pct"/>
            <w:tcBorders>
              <w:top w:val="single" w:sz="4" w:space="0" w:color="auto"/>
              <w:left w:val="single" w:sz="4" w:space="0" w:color="auto"/>
              <w:bottom w:val="single" w:sz="4" w:space="0" w:color="auto"/>
              <w:right w:val="single" w:sz="4" w:space="0" w:color="auto"/>
            </w:tcBorders>
          </w:tcPr>
          <w:p w14:paraId="03A8DBD2" w14:textId="77777777" w:rsidR="00E57DAA" w:rsidRDefault="00AC4185">
            <w:pPr>
              <w:autoSpaceDE w:val="0"/>
              <w:autoSpaceDN w:val="0"/>
              <w:adjustRightInd w:val="0"/>
              <w:jc w:val="right"/>
              <w:rPr>
                <w:szCs w:val="21"/>
              </w:rPr>
            </w:pPr>
            <w:r>
              <w:t>520,047.96</w:t>
            </w:r>
          </w:p>
        </w:tc>
        <w:tc>
          <w:tcPr>
            <w:tcW w:w="914" w:type="pct"/>
            <w:tcBorders>
              <w:top w:val="single" w:sz="4" w:space="0" w:color="auto"/>
              <w:left w:val="single" w:sz="4" w:space="0" w:color="auto"/>
              <w:bottom w:val="single" w:sz="4" w:space="0" w:color="auto"/>
              <w:right w:val="single" w:sz="4" w:space="0" w:color="auto"/>
            </w:tcBorders>
          </w:tcPr>
          <w:p w14:paraId="0005ADCE" w14:textId="77777777" w:rsidR="00E57DAA" w:rsidRDefault="00AC4185">
            <w:pPr>
              <w:autoSpaceDE w:val="0"/>
              <w:autoSpaceDN w:val="0"/>
              <w:adjustRightInd w:val="0"/>
              <w:jc w:val="right"/>
              <w:rPr>
                <w:szCs w:val="21"/>
              </w:rPr>
            </w:pPr>
            <w:r>
              <w:t>12,325.14</w:t>
            </w:r>
          </w:p>
        </w:tc>
      </w:tr>
      <w:tr w:rsidR="00E57DAA" w14:paraId="14E9AB02" w14:textId="77777777">
        <w:tc>
          <w:tcPr>
            <w:tcW w:w="677" w:type="pct"/>
            <w:tcBorders>
              <w:top w:val="single" w:sz="4" w:space="0" w:color="auto"/>
              <w:left w:val="single" w:sz="4" w:space="0" w:color="auto"/>
              <w:bottom w:val="single" w:sz="4" w:space="0" w:color="auto"/>
              <w:right w:val="single" w:sz="4" w:space="0" w:color="auto"/>
            </w:tcBorders>
            <w:vAlign w:val="center"/>
          </w:tcPr>
          <w:p w14:paraId="3BDD55A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52CDC4A" w14:textId="77777777" w:rsidR="00E57DAA" w:rsidRDefault="00AC4185">
            <w:pPr>
              <w:autoSpaceDE w:val="0"/>
              <w:autoSpaceDN w:val="0"/>
              <w:adjustRightInd w:val="0"/>
              <w:rPr>
                <w:szCs w:val="21"/>
              </w:rPr>
            </w:pPr>
            <w:r>
              <w:t>四川崇州西南水泥有限公司</w:t>
            </w:r>
          </w:p>
        </w:tc>
        <w:tc>
          <w:tcPr>
            <w:tcW w:w="633" w:type="pct"/>
            <w:tcBorders>
              <w:top w:val="single" w:sz="4" w:space="0" w:color="auto"/>
              <w:left w:val="single" w:sz="4" w:space="0" w:color="auto"/>
              <w:bottom w:val="single" w:sz="4" w:space="0" w:color="auto"/>
              <w:right w:val="single" w:sz="4" w:space="0" w:color="auto"/>
            </w:tcBorders>
          </w:tcPr>
          <w:p w14:paraId="150BC1D3" w14:textId="77777777" w:rsidR="00E57DAA" w:rsidRDefault="00AC4185">
            <w:pPr>
              <w:autoSpaceDE w:val="0"/>
              <w:autoSpaceDN w:val="0"/>
              <w:adjustRightInd w:val="0"/>
              <w:jc w:val="right"/>
              <w:rPr>
                <w:szCs w:val="21"/>
              </w:rPr>
            </w:pPr>
            <w:r>
              <w:t>10,664,678.90</w:t>
            </w:r>
          </w:p>
        </w:tc>
        <w:tc>
          <w:tcPr>
            <w:tcW w:w="632" w:type="pct"/>
            <w:tcBorders>
              <w:top w:val="single" w:sz="4" w:space="0" w:color="auto"/>
              <w:left w:val="single" w:sz="4" w:space="0" w:color="auto"/>
              <w:bottom w:val="single" w:sz="4" w:space="0" w:color="auto"/>
              <w:right w:val="single" w:sz="4" w:space="0" w:color="auto"/>
            </w:tcBorders>
          </w:tcPr>
          <w:p w14:paraId="7F17854E" w14:textId="77777777" w:rsidR="00E57DAA" w:rsidRDefault="00AC4185">
            <w:pPr>
              <w:autoSpaceDE w:val="0"/>
              <w:autoSpaceDN w:val="0"/>
              <w:adjustRightInd w:val="0"/>
              <w:jc w:val="right"/>
              <w:rPr>
                <w:szCs w:val="21"/>
              </w:rPr>
            </w:pPr>
            <w:r>
              <w:t>89,583.30</w:t>
            </w:r>
          </w:p>
        </w:tc>
        <w:tc>
          <w:tcPr>
            <w:tcW w:w="703" w:type="pct"/>
            <w:tcBorders>
              <w:top w:val="single" w:sz="4" w:space="0" w:color="auto"/>
              <w:left w:val="single" w:sz="4" w:space="0" w:color="auto"/>
              <w:bottom w:val="single" w:sz="4" w:space="0" w:color="auto"/>
              <w:right w:val="single" w:sz="4" w:space="0" w:color="auto"/>
            </w:tcBorders>
          </w:tcPr>
          <w:p w14:paraId="4461F061" w14:textId="77777777" w:rsidR="00E57DAA" w:rsidRDefault="00AC4185">
            <w:pPr>
              <w:autoSpaceDE w:val="0"/>
              <w:autoSpaceDN w:val="0"/>
              <w:adjustRightInd w:val="0"/>
              <w:jc w:val="right"/>
              <w:rPr>
                <w:szCs w:val="21"/>
              </w:rPr>
            </w:pPr>
            <w:r>
              <w:t>10,664,678.90</w:t>
            </w:r>
          </w:p>
        </w:tc>
        <w:tc>
          <w:tcPr>
            <w:tcW w:w="914" w:type="pct"/>
            <w:tcBorders>
              <w:top w:val="single" w:sz="4" w:space="0" w:color="auto"/>
              <w:left w:val="single" w:sz="4" w:space="0" w:color="auto"/>
              <w:bottom w:val="single" w:sz="4" w:space="0" w:color="auto"/>
              <w:right w:val="single" w:sz="4" w:space="0" w:color="auto"/>
            </w:tcBorders>
          </w:tcPr>
          <w:p w14:paraId="7C4F9A91" w14:textId="77777777" w:rsidR="00E57DAA" w:rsidRDefault="00AC4185">
            <w:pPr>
              <w:autoSpaceDE w:val="0"/>
              <w:autoSpaceDN w:val="0"/>
              <w:adjustRightInd w:val="0"/>
              <w:jc w:val="right"/>
              <w:rPr>
                <w:szCs w:val="21"/>
              </w:rPr>
            </w:pPr>
            <w:r>
              <w:t>111,979.13</w:t>
            </w:r>
          </w:p>
        </w:tc>
      </w:tr>
      <w:tr w:rsidR="00E57DAA" w14:paraId="4896683E" w14:textId="77777777">
        <w:tc>
          <w:tcPr>
            <w:tcW w:w="677" w:type="pct"/>
            <w:tcBorders>
              <w:top w:val="single" w:sz="4" w:space="0" w:color="auto"/>
              <w:left w:val="single" w:sz="4" w:space="0" w:color="auto"/>
              <w:bottom w:val="single" w:sz="4" w:space="0" w:color="auto"/>
              <w:right w:val="single" w:sz="4" w:space="0" w:color="auto"/>
            </w:tcBorders>
            <w:vAlign w:val="center"/>
          </w:tcPr>
          <w:p w14:paraId="635228CB" w14:textId="77777777" w:rsidR="00E57DAA" w:rsidRDefault="00AC4185">
            <w:pPr>
              <w:autoSpaceDE w:val="0"/>
              <w:autoSpaceDN w:val="0"/>
              <w:adjustRightInd w:val="0"/>
              <w:rPr>
                <w:szCs w:val="21"/>
              </w:rPr>
            </w:pPr>
            <w:r>
              <w:lastRenderedPageBreak/>
              <w:t>合同资产</w:t>
            </w:r>
          </w:p>
        </w:tc>
        <w:tc>
          <w:tcPr>
            <w:tcW w:w="1441" w:type="pct"/>
            <w:tcBorders>
              <w:top w:val="single" w:sz="4" w:space="0" w:color="auto"/>
              <w:left w:val="single" w:sz="4" w:space="0" w:color="auto"/>
              <w:bottom w:val="single" w:sz="4" w:space="0" w:color="auto"/>
              <w:right w:val="single" w:sz="4" w:space="0" w:color="auto"/>
            </w:tcBorders>
          </w:tcPr>
          <w:p w14:paraId="61F3CF02" w14:textId="77777777" w:rsidR="00E57DAA" w:rsidRDefault="00AC4185">
            <w:pPr>
              <w:autoSpaceDE w:val="0"/>
              <w:autoSpaceDN w:val="0"/>
              <w:adjustRightInd w:val="0"/>
              <w:rPr>
                <w:szCs w:val="21"/>
              </w:rPr>
            </w:pPr>
            <w:r>
              <w:t>蚌埠中联水泥有限公司</w:t>
            </w:r>
          </w:p>
        </w:tc>
        <w:tc>
          <w:tcPr>
            <w:tcW w:w="633" w:type="pct"/>
            <w:tcBorders>
              <w:top w:val="single" w:sz="4" w:space="0" w:color="auto"/>
              <w:left w:val="single" w:sz="4" w:space="0" w:color="auto"/>
              <w:bottom w:val="single" w:sz="4" w:space="0" w:color="auto"/>
              <w:right w:val="single" w:sz="4" w:space="0" w:color="auto"/>
            </w:tcBorders>
          </w:tcPr>
          <w:p w14:paraId="615962B5" w14:textId="77777777" w:rsidR="00E57DAA" w:rsidRDefault="00AC4185">
            <w:pPr>
              <w:autoSpaceDE w:val="0"/>
              <w:autoSpaceDN w:val="0"/>
              <w:adjustRightInd w:val="0"/>
              <w:jc w:val="right"/>
              <w:rPr>
                <w:szCs w:val="21"/>
              </w:rPr>
            </w:pPr>
            <w:r>
              <w:t>10,151,464.00</w:t>
            </w:r>
          </w:p>
        </w:tc>
        <w:tc>
          <w:tcPr>
            <w:tcW w:w="632" w:type="pct"/>
            <w:tcBorders>
              <w:top w:val="single" w:sz="4" w:space="0" w:color="auto"/>
              <w:left w:val="single" w:sz="4" w:space="0" w:color="auto"/>
              <w:bottom w:val="single" w:sz="4" w:space="0" w:color="auto"/>
              <w:right w:val="single" w:sz="4" w:space="0" w:color="auto"/>
            </w:tcBorders>
          </w:tcPr>
          <w:p w14:paraId="3D2C9192" w14:textId="77777777" w:rsidR="00E57DAA" w:rsidRDefault="00AC4185">
            <w:pPr>
              <w:autoSpaceDE w:val="0"/>
              <w:autoSpaceDN w:val="0"/>
              <w:adjustRightInd w:val="0"/>
              <w:jc w:val="right"/>
              <w:rPr>
                <w:szCs w:val="21"/>
              </w:rPr>
            </w:pPr>
            <w:r>
              <w:t>845,504.70</w:t>
            </w:r>
          </w:p>
        </w:tc>
        <w:tc>
          <w:tcPr>
            <w:tcW w:w="703" w:type="pct"/>
            <w:tcBorders>
              <w:top w:val="single" w:sz="4" w:space="0" w:color="auto"/>
              <w:left w:val="single" w:sz="4" w:space="0" w:color="auto"/>
              <w:bottom w:val="single" w:sz="4" w:space="0" w:color="auto"/>
              <w:right w:val="single" w:sz="4" w:space="0" w:color="auto"/>
            </w:tcBorders>
          </w:tcPr>
          <w:p w14:paraId="71D96361" w14:textId="77777777" w:rsidR="00E57DAA" w:rsidRDefault="00AC4185">
            <w:pPr>
              <w:autoSpaceDE w:val="0"/>
              <w:autoSpaceDN w:val="0"/>
              <w:adjustRightInd w:val="0"/>
              <w:jc w:val="right"/>
              <w:rPr>
                <w:szCs w:val="21"/>
              </w:rPr>
            </w:pPr>
            <w:r>
              <w:t>17,758,629.97</w:t>
            </w:r>
          </w:p>
        </w:tc>
        <w:tc>
          <w:tcPr>
            <w:tcW w:w="914" w:type="pct"/>
            <w:tcBorders>
              <w:top w:val="single" w:sz="4" w:space="0" w:color="auto"/>
              <w:left w:val="single" w:sz="4" w:space="0" w:color="auto"/>
              <w:bottom w:val="single" w:sz="4" w:space="0" w:color="auto"/>
              <w:right w:val="single" w:sz="4" w:space="0" w:color="auto"/>
            </w:tcBorders>
          </w:tcPr>
          <w:p w14:paraId="3BC67C2C" w14:textId="77777777" w:rsidR="00E57DAA" w:rsidRDefault="00AC4185">
            <w:pPr>
              <w:autoSpaceDE w:val="0"/>
              <w:autoSpaceDN w:val="0"/>
              <w:adjustRightInd w:val="0"/>
              <w:jc w:val="right"/>
              <w:rPr>
                <w:szCs w:val="21"/>
              </w:rPr>
            </w:pPr>
            <w:r>
              <w:t>887,931.50</w:t>
            </w:r>
          </w:p>
        </w:tc>
      </w:tr>
      <w:tr w:rsidR="00E57DAA" w14:paraId="01FA12DD" w14:textId="77777777">
        <w:tc>
          <w:tcPr>
            <w:tcW w:w="677" w:type="pct"/>
            <w:tcBorders>
              <w:top w:val="single" w:sz="4" w:space="0" w:color="auto"/>
              <w:left w:val="single" w:sz="4" w:space="0" w:color="auto"/>
              <w:bottom w:val="single" w:sz="4" w:space="0" w:color="auto"/>
              <w:right w:val="single" w:sz="4" w:space="0" w:color="auto"/>
            </w:tcBorders>
            <w:vAlign w:val="center"/>
          </w:tcPr>
          <w:p w14:paraId="4D29FE9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F17FE07" w14:textId="77777777" w:rsidR="00E57DAA" w:rsidRDefault="00AC4185">
            <w:pPr>
              <w:autoSpaceDE w:val="0"/>
              <w:autoSpaceDN w:val="0"/>
              <w:adjustRightInd w:val="0"/>
              <w:rPr>
                <w:szCs w:val="21"/>
              </w:rPr>
            </w:pPr>
            <w:r>
              <w:t>云南兴建水泥有限公司</w:t>
            </w:r>
          </w:p>
        </w:tc>
        <w:tc>
          <w:tcPr>
            <w:tcW w:w="633" w:type="pct"/>
            <w:tcBorders>
              <w:top w:val="single" w:sz="4" w:space="0" w:color="auto"/>
              <w:left w:val="single" w:sz="4" w:space="0" w:color="auto"/>
              <w:bottom w:val="single" w:sz="4" w:space="0" w:color="auto"/>
              <w:right w:val="single" w:sz="4" w:space="0" w:color="auto"/>
            </w:tcBorders>
          </w:tcPr>
          <w:p w14:paraId="36794E53" w14:textId="77777777" w:rsidR="00E57DAA" w:rsidRDefault="00AC4185">
            <w:pPr>
              <w:autoSpaceDE w:val="0"/>
              <w:autoSpaceDN w:val="0"/>
              <w:adjustRightInd w:val="0"/>
              <w:jc w:val="right"/>
              <w:rPr>
                <w:szCs w:val="21"/>
              </w:rPr>
            </w:pPr>
            <w:r>
              <w:t>9,696,221.88</w:t>
            </w:r>
          </w:p>
        </w:tc>
        <w:tc>
          <w:tcPr>
            <w:tcW w:w="632" w:type="pct"/>
            <w:tcBorders>
              <w:top w:val="single" w:sz="4" w:space="0" w:color="auto"/>
              <w:left w:val="single" w:sz="4" w:space="0" w:color="auto"/>
              <w:bottom w:val="single" w:sz="4" w:space="0" w:color="auto"/>
              <w:right w:val="single" w:sz="4" w:space="0" w:color="auto"/>
            </w:tcBorders>
          </w:tcPr>
          <w:p w14:paraId="66BEA2B0" w14:textId="77777777" w:rsidR="00E57DAA" w:rsidRDefault="00AC4185">
            <w:pPr>
              <w:autoSpaceDE w:val="0"/>
              <w:autoSpaceDN w:val="0"/>
              <w:adjustRightInd w:val="0"/>
              <w:jc w:val="right"/>
              <w:rPr>
                <w:szCs w:val="21"/>
              </w:rPr>
            </w:pPr>
            <w:r>
              <w:t>999,251.68</w:t>
            </w:r>
          </w:p>
        </w:tc>
        <w:tc>
          <w:tcPr>
            <w:tcW w:w="703" w:type="pct"/>
            <w:tcBorders>
              <w:top w:val="single" w:sz="4" w:space="0" w:color="auto"/>
              <w:left w:val="single" w:sz="4" w:space="0" w:color="auto"/>
              <w:bottom w:val="single" w:sz="4" w:space="0" w:color="auto"/>
              <w:right w:val="single" w:sz="4" w:space="0" w:color="auto"/>
            </w:tcBorders>
          </w:tcPr>
          <w:p w14:paraId="3A74204A" w14:textId="77777777" w:rsidR="00E57DAA" w:rsidRDefault="00AC4185">
            <w:pPr>
              <w:autoSpaceDE w:val="0"/>
              <w:autoSpaceDN w:val="0"/>
              <w:adjustRightInd w:val="0"/>
              <w:jc w:val="right"/>
              <w:rPr>
                <w:szCs w:val="21"/>
              </w:rPr>
            </w:pPr>
            <w:r>
              <w:t>9,214,014.25</w:t>
            </w:r>
          </w:p>
        </w:tc>
        <w:tc>
          <w:tcPr>
            <w:tcW w:w="914" w:type="pct"/>
            <w:tcBorders>
              <w:top w:val="single" w:sz="4" w:space="0" w:color="auto"/>
              <w:left w:val="single" w:sz="4" w:space="0" w:color="auto"/>
              <w:bottom w:val="single" w:sz="4" w:space="0" w:color="auto"/>
              <w:right w:val="single" w:sz="4" w:space="0" w:color="auto"/>
            </w:tcBorders>
          </w:tcPr>
          <w:p w14:paraId="1407955F" w14:textId="77777777" w:rsidR="00E57DAA" w:rsidRDefault="00AC4185">
            <w:pPr>
              <w:autoSpaceDE w:val="0"/>
              <w:autoSpaceDN w:val="0"/>
              <w:adjustRightInd w:val="0"/>
              <w:jc w:val="right"/>
              <w:rPr>
                <w:szCs w:val="21"/>
              </w:rPr>
            </w:pPr>
            <w:r>
              <w:t>453,646.71</w:t>
            </w:r>
          </w:p>
        </w:tc>
      </w:tr>
      <w:tr w:rsidR="00E57DAA" w14:paraId="003CA5E4" w14:textId="77777777">
        <w:tc>
          <w:tcPr>
            <w:tcW w:w="677" w:type="pct"/>
            <w:tcBorders>
              <w:top w:val="single" w:sz="4" w:space="0" w:color="auto"/>
              <w:left w:val="single" w:sz="4" w:space="0" w:color="auto"/>
              <w:bottom w:val="single" w:sz="4" w:space="0" w:color="auto"/>
              <w:right w:val="single" w:sz="4" w:space="0" w:color="auto"/>
            </w:tcBorders>
            <w:vAlign w:val="center"/>
          </w:tcPr>
          <w:p w14:paraId="71B2685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45A03C9" w14:textId="77777777" w:rsidR="00E57DAA" w:rsidRDefault="00AC4185">
            <w:pPr>
              <w:autoSpaceDE w:val="0"/>
              <w:autoSpaceDN w:val="0"/>
              <w:adjustRightInd w:val="0"/>
              <w:rPr>
                <w:szCs w:val="21"/>
              </w:rPr>
            </w:pPr>
            <w:r>
              <w:t>布尔津天山水泥有限责任公司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C5024B0" w14:textId="77777777" w:rsidR="00E57DAA" w:rsidRDefault="00AC4185">
            <w:pPr>
              <w:autoSpaceDE w:val="0"/>
              <w:autoSpaceDN w:val="0"/>
              <w:adjustRightInd w:val="0"/>
              <w:jc w:val="right"/>
              <w:rPr>
                <w:szCs w:val="21"/>
              </w:rPr>
            </w:pPr>
            <w:r>
              <w:t>9,367,328.43</w:t>
            </w:r>
          </w:p>
        </w:tc>
        <w:tc>
          <w:tcPr>
            <w:tcW w:w="632" w:type="pct"/>
            <w:tcBorders>
              <w:top w:val="single" w:sz="4" w:space="0" w:color="auto"/>
              <w:left w:val="single" w:sz="4" w:space="0" w:color="auto"/>
              <w:bottom w:val="single" w:sz="4" w:space="0" w:color="auto"/>
              <w:right w:val="single" w:sz="4" w:space="0" w:color="auto"/>
            </w:tcBorders>
          </w:tcPr>
          <w:p w14:paraId="599C58A4" w14:textId="77777777" w:rsidR="00E57DAA" w:rsidRDefault="00AC4185">
            <w:pPr>
              <w:autoSpaceDE w:val="0"/>
              <w:autoSpaceDN w:val="0"/>
              <w:adjustRightInd w:val="0"/>
              <w:jc w:val="right"/>
              <w:rPr>
                <w:szCs w:val="21"/>
              </w:rPr>
            </w:pPr>
            <w:r>
              <w:t>468,366.42</w:t>
            </w:r>
          </w:p>
        </w:tc>
        <w:tc>
          <w:tcPr>
            <w:tcW w:w="703" w:type="pct"/>
            <w:tcBorders>
              <w:top w:val="single" w:sz="4" w:space="0" w:color="auto"/>
              <w:left w:val="single" w:sz="4" w:space="0" w:color="auto"/>
              <w:bottom w:val="single" w:sz="4" w:space="0" w:color="auto"/>
              <w:right w:val="single" w:sz="4" w:space="0" w:color="auto"/>
            </w:tcBorders>
          </w:tcPr>
          <w:p w14:paraId="5E016A3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7548343" w14:textId="77777777" w:rsidR="00E57DAA" w:rsidRDefault="00AC4185">
            <w:pPr>
              <w:autoSpaceDE w:val="0"/>
              <w:autoSpaceDN w:val="0"/>
              <w:adjustRightInd w:val="0"/>
              <w:jc w:val="right"/>
              <w:rPr>
                <w:szCs w:val="21"/>
              </w:rPr>
            </w:pPr>
            <w:r>
              <w:t xml:space="preserve">　</w:t>
            </w:r>
          </w:p>
        </w:tc>
      </w:tr>
      <w:tr w:rsidR="00E57DAA" w14:paraId="432DE298" w14:textId="77777777">
        <w:tc>
          <w:tcPr>
            <w:tcW w:w="677" w:type="pct"/>
            <w:tcBorders>
              <w:top w:val="single" w:sz="4" w:space="0" w:color="auto"/>
              <w:left w:val="single" w:sz="4" w:space="0" w:color="auto"/>
              <w:bottom w:val="single" w:sz="4" w:space="0" w:color="auto"/>
              <w:right w:val="single" w:sz="4" w:space="0" w:color="auto"/>
            </w:tcBorders>
            <w:vAlign w:val="center"/>
          </w:tcPr>
          <w:p w14:paraId="31B4DBBE"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25EDF8C" w14:textId="77777777" w:rsidR="00E57DAA" w:rsidRDefault="00AC4185">
            <w:pPr>
              <w:autoSpaceDE w:val="0"/>
              <w:autoSpaceDN w:val="0"/>
              <w:adjustRightInd w:val="0"/>
              <w:rPr>
                <w:szCs w:val="21"/>
              </w:rPr>
            </w:pPr>
            <w:r>
              <w:t>翁源县中源发展有限公司</w:t>
            </w:r>
          </w:p>
        </w:tc>
        <w:tc>
          <w:tcPr>
            <w:tcW w:w="633" w:type="pct"/>
            <w:tcBorders>
              <w:top w:val="single" w:sz="4" w:space="0" w:color="auto"/>
              <w:left w:val="single" w:sz="4" w:space="0" w:color="auto"/>
              <w:bottom w:val="single" w:sz="4" w:space="0" w:color="auto"/>
              <w:right w:val="single" w:sz="4" w:space="0" w:color="auto"/>
            </w:tcBorders>
          </w:tcPr>
          <w:p w14:paraId="0CB29F5B" w14:textId="77777777" w:rsidR="00E57DAA" w:rsidRDefault="00AC4185">
            <w:pPr>
              <w:autoSpaceDE w:val="0"/>
              <w:autoSpaceDN w:val="0"/>
              <w:adjustRightInd w:val="0"/>
              <w:jc w:val="right"/>
              <w:rPr>
                <w:szCs w:val="21"/>
              </w:rPr>
            </w:pPr>
            <w:r>
              <w:t>9,359,458.96</w:t>
            </w:r>
          </w:p>
        </w:tc>
        <w:tc>
          <w:tcPr>
            <w:tcW w:w="632" w:type="pct"/>
            <w:tcBorders>
              <w:top w:val="single" w:sz="4" w:space="0" w:color="auto"/>
              <w:left w:val="single" w:sz="4" w:space="0" w:color="auto"/>
              <w:bottom w:val="single" w:sz="4" w:space="0" w:color="auto"/>
              <w:right w:val="single" w:sz="4" w:space="0" w:color="auto"/>
            </w:tcBorders>
          </w:tcPr>
          <w:p w14:paraId="3B9820F5" w14:textId="77777777" w:rsidR="00E57DAA" w:rsidRDefault="00AC4185">
            <w:pPr>
              <w:autoSpaceDE w:val="0"/>
              <w:autoSpaceDN w:val="0"/>
              <w:adjustRightInd w:val="0"/>
              <w:jc w:val="right"/>
              <w:rPr>
                <w:szCs w:val="21"/>
              </w:rPr>
            </w:pPr>
            <w:r>
              <w:t>584,195.00</w:t>
            </w:r>
          </w:p>
        </w:tc>
        <w:tc>
          <w:tcPr>
            <w:tcW w:w="703" w:type="pct"/>
            <w:tcBorders>
              <w:top w:val="single" w:sz="4" w:space="0" w:color="auto"/>
              <w:left w:val="single" w:sz="4" w:space="0" w:color="auto"/>
              <w:bottom w:val="single" w:sz="4" w:space="0" w:color="auto"/>
              <w:right w:val="single" w:sz="4" w:space="0" w:color="auto"/>
            </w:tcBorders>
          </w:tcPr>
          <w:p w14:paraId="563518A1" w14:textId="77777777" w:rsidR="00E57DAA" w:rsidRDefault="00AC4185">
            <w:pPr>
              <w:autoSpaceDE w:val="0"/>
              <w:autoSpaceDN w:val="0"/>
              <w:adjustRightInd w:val="0"/>
              <w:jc w:val="right"/>
              <w:rPr>
                <w:szCs w:val="21"/>
              </w:rPr>
            </w:pPr>
            <w:r>
              <w:t>13,225,871.40</w:t>
            </w:r>
          </w:p>
        </w:tc>
        <w:tc>
          <w:tcPr>
            <w:tcW w:w="914" w:type="pct"/>
            <w:tcBorders>
              <w:top w:val="single" w:sz="4" w:space="0" w:color="auto"/>
              <w:left w:val="single" w:sz="4" w:space="0" w:color="auto"/>
              <w:bottom w:val="single" w:sz="4" w:space="0" w:color="auto"/>
              <w:right w:val="single" w:sz="4" w:space="0" w:color="auto"/>
            </w:tcBorders>
          </w:tcPr>
          <w:p w14:paraId="4DFECDE6" w14:textId="77777777" w:rsidR="00E57DAA" w:rsidRDefault="00AC4185">
            <w:pPr>
              <w:autoSpaceDE w:val="0"/>
              <w:autoSpaceDN w:val="0"/>
              <w:adjustRightInd w:val="0"/>
              <w:jc w:val="right"/>
              <w:rPr>
                <w:szCs w:val="21"/>
              </w:rPr>
            </w:pPr>
            <w:r>
              <w:t>661,293.57</w:t>
            </w:r>
          </w:p>
        </w:tc>
      </w:tr>
      <w:tr w:rsidR="00E57DAA" w14:paraId="473D8BDC" w14:textId="77777777">
        <w:tc>
          <w:tcPr>
            <w:tcW w:w="677" w:type="pct"/>
            <w:tcBorders>
              <w:top w:val="single" w:sz="4" w:space="0" w:color="auto"/>
              <w:left w:val="single" w:sz="4" w:space="0" w:color="auto"/>
              <w:bottom w:val="single" w:sz="4" w:space="0" w:color="auto"/>
              <w:right w:val="single" w:sz="4" w:space="0" w:color="auto"/>
            </w:tcBorders>
            <w:vAlign w:val="center"/>
          </w:tcPr>
          <w:p w14:paraId="525ACC9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067A1DD" w14:textId="77777777" w:rsidR="00E57DAA" w:rsidRDefault="00AC4185">
            <w:pPr>
              <w:autoSpaceDE w:val="0"/>
              <w:autoSpaceDN w:val="0"/>
              <w:adjustRightInd w:val="0"/>
              <w:rPr>
                <w:szCs w:val="21"/>
              </w:rPr>
            </w:pPr>
            <w:r>
              <w:t>夏河祁连山安多水泥有限公司</w:t>
            </w:r>
          </w:p>
        </w:tc>
        <w:tc>
          <w:tcPr>
            <w:tcW w:w="633" w:type="pct"/>
            <w:tcBorders>
              <w:top w:val="single" w:sz="4" w:space="0" w:color="auto"/>
              <w:left w:val="single" w:sz="4" w:space="0" w:color="auto"/>
              <w:bottom w:val="single" w:sz="4" w:space="0" w:color="auto"/>
              <w:right w:val="single" w:sz="4" w:space="0" w:color="auto"/>
            </w:tcBorders>
          </w:tcPr>
          <w:p w14:paraId="22B94912" w14:textId="77777777" w:rsidR="00E57DAA" w:rsidRDefault="00AC4185">
            <w:pPr>
              <w:autoSpaceDE w:val="0"/>
              <w:autoSpaceDN w:val="0"/>
              <w:adjustRightInd w:val="0"/>
              <w:jc w:val="right"/>
              <w:rPr>
                <w:szCs w:val="21"/>
              </w:rPr>
            </w:pPr>
            <w:r>
              <w:t>7,627,230.58</w:t>
            </w:r>
          </w:p>
        </w:tc>
        <w:tc>
          <w:tcPr>
            <w:tcW w:w="632" w:type="pct"/>
            <w:tcBorders>
              <w:top w:val="single" w:sz="4" w:space="0" w:color="auto"/>
              <w:left w:val="single" w:sz="4" w:space="0" w:color="auto"/>
              <w:bottom w:val="single" w:sz="4" w:space="0" w:color="auto"/>
              <w:right w:val="single" w:sz="4" w:space="0" w:color="auto"/>
            </w:tcBorders>
          </w:tcPr>
          <w:p w14:paraId="3934EA58" w14:textId="77777777" w:rsidR="00E57DAA" w:rsidRDefault="00AC4185">
            <w:pPr>
              <w:autoSpaceDE w:val="0"/>
              <w:autoSpaceDN w:val="0"/>
              <w:adjustRightInd w:val="0"/>
              <w:jc w:val="right"/>
              <w:rPr>
                <w:szCs w:val="21"/>
              </w:rPr>
            </w:pPr>
            <w:r>
              <w:t>180,765.36</w:t>
            </w:r>
          </w:p>
        </w:tc>
        <w:tc>
          <w:tcPr>
            <w:tcW w:w="703" w:type="pct"/>
            <w:tcBorders>
              <w:top w:val="single" w:sz="4" w:space="0" w:color="auto"/>
              <w:left w:val="single" w:sz="4" w:space="0" w:color="auto"/>
              <w:bottom w:val="single" w:sz="4" w:space="0" w:color="auto"/>
              <w:right w:val="single" w:sz="4" w:space="0" w:color="auto"/>
            </w:tcBorders>
          </w:tcPr>
          <w:p w14:paraId="3E0EF9A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F8D352B" w14:textId="77777777" w:rsidR="00E57DAA" w:rsidRDefault="00AC4185">
            <w:pPr>
              <w:autoSpaceDE w:val="0"/>
              <w:autoSpaceDN w:val="0"/>
              <w:adjustRightInd w:val="0"/>
              <w:jc w:val="right"/>
              <w:rPr>
                <w:szCs w:val="21"/>
              </w:rPr>
            </w:pPr>
            <w:r>
              <w:t xml:space="preserve">　</w:t>
            </w:r>
          </w:p>
        </w:tc>
      </w:tr>
      <w:tr w:rsidR="00E57DAA" w14:paraId="7C4A2DFF" w14:textId="77777777">
        <w:tc>
          <w:tcPr>
            <w:tcW w:w="677" w:type="pct"/>
            <w:tcBorders>
              <w:top w:val="single" w:sz="4" w:space="0" w:color="auto"/>
              <w:left w:val="single" w:sz="4" w:space="0" w:color="auto"/>
              <w:bottom w:val="single" w:sz="4" w:space="0" w:color="auto"/>
              <w:right w:val="single" w:sz="4" w:space="0" w:color="auto"/>
            </w:tcBorders>
            <w:vAlign w:val="center"/>
          </w:tcPr>
          <w:p w14:paraId="1F2B5D9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DB1A465" w14:textId="77777777" w:rsidR="00E57DAA" w:rsidRDefault="00AC4185">
            <w:pPr>
              <w:autoSpaceDE w:val="0"/>
              <w:autoSpaceDN w:val="0"/>
              <w:adjustRightInd w:val="0"/>
              <w:rPr>
                <w:szCs w:val="21"/>
              </w:rPr>
            </w:pPr>
            <w:r>
              <w:t>旺苍川煤水泥有限责任公司</w:t>
            </w:r>
          </w:p>
        </w:tc>
        <w:tc>
          <w:tcPr>
            <w:tcW w:w="633" w:type="pct"/>
            <w:tcBorders>
              <w:top w:val="single" w:sz="4" w:space="0" w:color="auto"/>
              <w:left w:val="single" w:sz="4" w:space="0" w:color="auto"/>
              <w:bottom w:val="single" w:sz="4" w:space="0" w:color="auto"/>
              <w:right w:val="single" w:sz="4" w:space="0" w:color="auto"/>
            </w:tcBorders>
          </w:tcPr>
          <w:p w14:paraId="02FCA849" w14:textId="77777777" w:rsidR="00E57DAA" w:rsidRDefault="00AC4185">
            <w:pPr>
              <w:autoSpaceDE w:val="0"/>
              <w:autoSpaceDN w:val="0"/>
              <w:adjustRightInd w:val="0"/>
              <w:jc w:val="right"/>
              <w:rPr>
                <w:szCs w:val="21"/>
              </w:rPr>
            </w:pPr>
            <w:r>
              <w:t>7,530,934.78</w:t>
            </w:r>
          </w:p>
        </w:tc>
        <w:tc>
          <w:tcPr>
            <w:tcW w:w="632" w:type="pct"/>
            <w:tcBorders>
              <w:top w:val="single" w:sz="4" w:space="0" w:color="auto"/>
              <w:left w:val="single" w:sz="4" w:space="0" w:color="auto"/>
              <w:bottom w:val="single" w:sz="4" w:space="0" w:color="auto"/>
              <w:right w:val="single" w:sz="4" w:space="0" w:color="auto"/>
            </w:tcBorders>
          </w:tcPr>
          <w:p w14:paraId="31D0BA15" w14:textId="77777777" w:rsidR="00E57DAA" w:rsidRDefault="00AC4185">
            <w:pPr>
              <w:autoSpaceDE w:val="0"/>
              <w:autoSpaceDN w:val="0"/>
              <w:adjustRightInd w:val="0"/>
              <w:jc w:val="right"/>
              <w:rPr>
                <w:szCs w:val="21"/>
              </w:rPr>
            </w:pPr>
            <w:r>
              <w:t>329,606.95</w:t>
            </w:r>
          </w:p>
        </w:tc>
        <w:tc>
          <w:tcPr>
            <w:tcW w:w="703" w:type="pct"/>
            <w:tcBorders>
              <w:top w:val="single" w:sz="4" w:space="0" w:color="auto"/>
              <w:left w:val="single" w:sz="4" w:space="0" w:color="auto"/>
              <w:bottom w:val="single" w:sz="4" w:space="0" w:color="auto"/>
              <w:right w:val="single" w:sz="4" w:space="0" w:color="auto"/>
            </w:tcBorders>
          </w:tcPr>
          <w:p w14:paraId="2F7F8F00" w14:textId="77777777" w:rsidR="00E57DAA" w:rsidRDefault="00AC4185">
            <w:pPr>
              <w:autoSpaceDE w:val="0"/>
              <w:autoSpaceDN w:val="0"/>
              <w:adjustRightInd w:val="0"/>
              <w:jc w:val="right"/>
              <w:rPr>
                <w:szCs w:val="21"/>
              </w:rPr>
            </w:pPr>
            <w:r>
              <w:t>3,537,507.19</w:t>
            </w:r>
          </w:p>
        </w:tc>
        <w:tc>
          <w:tcPr>
            <w:tcW w:w="914" w:type="pct"/>
            <w:tcBorders>
              <w:top w:val="single" w:sz="4" w:space="0" w:color="auto"/>
              <w:left w:val="single" w:sz="4" w:space="0" w:color="auto"/>
              <w:bottom w:val="single" w:sz="4" w:space="0" w:color="auto"/>
              <w:right w:val="single" w:sz="4" w:space="0" w:color="auto"/>
            </w:tcBorders>
          </w:tcPr>
          <w:p w14:paraId="4B9DB589" w14:textId="77777777" w:rsidR="00E57DAA" w:rsidRDefault="00AC4185">
            <w:pPr>
              <w:autoSpaceDE w:val="0"/>
              <w:autoSpaceDN w:val="0"/>
              <w:adjustRightInd w:val="0"/>
              <w:jc w:val="right"/>
              <w:rPr>
                <w:szCs w:val="21"/>
              </w:rPr>
            </w:pPr>
            <w:r>
              <w:t>83,838.92</w:t>
            </w:r>
          </w:p>
        </w:tc>
      </w:tr>
      <w:tr w:rsidR="00E57DAA" w14:paraId="4DB0447E" w14:textId="77777777">
        <w:tc>
          <w:tcPr>
            <w:tcW w:w="677" w:type="pct"/>
            <w:tcBorders>
              <w:top w:val="single" w:sz="4" w:space="0" w:color="auto"/>
              <w:left w:val="single" w:sz="4" w:space="0" w:color="auto"/>
              <w:bottom w:val="single" w:sz="4" w:space="0" w:color="auto"/>
              <w:right w:val="single" w:sz="4" w:space="0" w:color="auto"/>
            </w:tcBorders>
            <w:vAlign w:val="center"/>
          </w:tcPr>
          <w:p w14:paraId="44D378B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FC9C4E3" w14:textId="77777777" w:rsidR="00E57DAA" w:rsidRDefault="00AC4185">
            <w:pPr>
              <w:autoSpaceDE w:val="0"/>
              <w:autoSpaceDN w:val="0"/>
              <w:adjustRightInd w:val="0"/>
              <w:rPr>
                <w:szCs w:val="21"/>
              </w:rPr>
            </w:pPr>
            <w:r>
              <w:t>南京中联水泥有限公司</w:t>
            </w:r>
          </w:p>
        </w:tc>
        <w:tc>
          <w:tcPr>
            <w:tcW w:w="633" w:type="pct"/>
            <w:tcBorders>
              <w:top w:val="single" w:sz="4" w:space="0" w:color="auto"/>
              <w:left w:val="single" w:sz="4" w:space="0" w:color="auto"/>
              <w:bottom w:val="single" w:sz="4" w:space="0" w:color="auto"/>
              <w:right w:val="single" w:sz="4" w:space="0" w:color="auto"/>
            </w:tcBorders>
          </w:tcPr>
          <w:p w14:paraId="7A932735" w14:textId="77777777" w:rsidR="00E57DAA" w:rsidRDefault="00AC4185">
            <w:pPr>
              <w:autoSpaceDE w:val="0"/>
              <w:autoSpaceDN w:val="0"/>
              <w:adjustRightInd w:val="0"/>
              <w:jc w:val="right"/>
              <w:rPr>
                <w:szCs w:val="21"/>
              </w:rPr>
            </w:pPr>
            <w:r>
              <w:t>6,724,275.90</w:t>
            </w:r>
          </w:p>
        </w:tc>
        <w:tc>
          <w:tcPr>
            <w:tcW w:w="632" w:type="pct"/>
            <w:tcBorders>
              <w:top w:val="single" w:sz="4" w:space="0" w:color="auto"/>
              <w:left w:val="single" w:sz="4" w:space="0" w:color="auto"/>
              <w:bottom w:val="single" w:sz="4" w:space="0" w:color="auto"/>
              <w:right w:val="single" w:sz="4" w:space="0" w:color="auto"/>
            </w:tcBorders>
          </w:tcPr>
          <w:p w14:paraId="7A540813" w14:textId="77777777" w:rsidR="00E57DAA" w:rsidRDefault="00AC4185">
            <w:pPr>
              <w:autoSpaceDE w:val="0"/>
              <w:autoSpaceDN w:val="0"/>
              <w:adjustRightInd w:val="0"/>
              <w:jc w:val="right"/>
              <w:rPr>
                <w:szCs w:val="21"/>
              </w:rPr>
            </w:pPr>
            <w:r>
              <w:t>162,437.45</w:t>
            </w:r>
          </w:p>
        </w:tc>
        <w:tc>
          <w:tcPr>
            <w:tcW w:w="703" w:type="pct"/>
            <w:tcBorders>
              <w:top w:val="single" w:sz="4" w:space="0" w:color="auto"/>
              <w:left w:val="single" w:sz="4" w:space="0" w:color="auto"/>
              <w:bottom w:val="single" w:sz="4" w:space="0" w:color="auto"/>
              <w:right w:val="single" w:sz="4" w:space="0" w:color="auto"/>
            </w:tcBorders>
          </w:tcPr>
          <w:p w14:paraId="04C6A96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45EA36C" w14:textId="77777777" w:rsidR="00E57DAA" w:rsidRDefault="00AC4185">
            <w:pPr>
              <w:autoSpaceDE w:val="0"/>
              <w:autoSpaceDN w:val="0"/>
              <w:adjustRightInd w:val="0"/>
              <w:jc w:val="right"/>
              <w:rPr>
                <w:szCs w:val="21"/>
              </w:rPr>
            </w:pPr>
            <w:r>
              <w:t xml:space="preserve">　</w:t>
            </w:r>
          </w:p>
        </w:tc>
      </w:tr>
      <w:tr w:rsidR="00E57DAA" w14:paraId="01BA9EBB" w14:textId="77777777">
        <w:tc>
          <w:tcPr>
            <w:tcW w:w="677" w:type="pct"/>
            <w:tcBorders>
              <w:top w:val="single" w:sz="4" w:space="0" w:color="auto"/>
              <w:left w:val="single" w:sz="4" w:space="0" w:color="auto"/>
              <w:bottom w:val="single" w:sz="4" w:space="0" w:color="auto"/>
              <w:right w:val="single" w:sz="4" w:space="0" w:color="auto"/>
            </w:tcBorders>
            <w:vAlign w:val="center"/>
          </w:tcPr>
          <w:p w14:paraId="7E4082F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BEC4A58" w14:textId="77777777" w:rsidR="00E57DAA" w:rsidRDefault="00AC4185">
            <w:pPr>
              <w:autoSpaceDE w:val="0"/>
              <w:autoSpaceDN w:val="0"/>
              <w:adjustRightInd w:val="0"/>
              <w:rPr>
                <w:szCs w:val="21"/>
              </w:rPr>
            </w:pPr>
            <w:r>
              <w:t>克州天山水泥有限责任公司</w:t>
            </w:r>
          </w:p>
        </w:tc>
        <w:tc>
          <w:tcPr>
            <w:tcW w:w="633" w:type="pct"/>
            <w:tcBorders>
              <w:top w:val="single" w:sz="4" w:space="0" w:color="auto"/>
              <w:left w:val="single" w:sz="4" w:space="0" w:color="auto"/>
              <w:bottom w:val="single" w:sz="4" w:space="0" w:color="auto"/>
              <w:right w:val="single" w:sz="4" w:space="0" w:color="auto"/>
            </w:tcBorders>
          </w:tcPr>
          <w:p w14:paraId="02ECCFF0" w14:textId="77777777" w:rsidR="00E57DAA" w:rsidRDefault="00AC4185">
            <w:pPr>
              <w:autoSpaceDE w:val="0"/>
              <w:autoSpaceDN w:val="0"/>
              <w:adjustRightInd w:val="0"/>
              <w:jc w:val="right"/>
              <w:rPr>
                <w:szCs w:val="21"/>
              </w:rPr>
            </w:pPr>
            <w:r>
              <w:t>6,703,796.39</w:t>
            </w:r>
          </w:p>
        </w:tc>
        <w:tc>
          <w:tcPr>
            <w:tcW w:w="632" w:type="pct"/>
            <w:tcBorders>
              <w:top w:val="single" w:sz="4" w:space="0" w:color="auto"/>
              <w:left w:val="single" w:sz="4" w:space="0" w:color="auto"/>
              <w:bottom w:val="single" w:sz="4" w:space="0" w:color="auto"/>
              <w:right w:val="single" w:sz="4" w:space="0" w:color="auto"/>
            </w:tcBorders>
          </w:tcPr>
          <w:p w14:paraId="51F1E5FB" w14:textId="77777777" w:rsidR="00E57DAA" w:rsidRDefault="00AC4185">
            <w:pPr>
              <w:autoSpaceDE w:val="0"/>
              <w:autoSpaceDN w:val="0"/>
              <w:adjustRightInd w:val="0"/>
              <w:jc w:val="right"/>
              <w:rPr>
                <w:szCs w:val="21"/>
              </w:rPr>
            </w:pPr>
            <w:r>
              <w:t>91,141.63</w:t>
            </w:r>
          </w:p>
        </w:tc>
        <w:tc>
          <w:tcPr>
            <w:tcW w:w="703" w:type="pct"/>
            <w:tcBorders>
              <w:top w:val="single" w:sz="4" w:space="0" w:color="auto"/>
              <w:left w:val="single" w:sz="4" w:space="0" w:color="auto"/>
              <w:bottom w:val="single" w:sz="4" w:space="0" w:color="auto"/>
              <w:right w:val="single" w:sz="4" w:space="0" w:color="auto"/>
            </w:tcBorders>
          </w:tcPr>
          <w:p w14:paraId="4810A614" w14:textId="77777777" w:rsidR="00E57DAA" w:rsidRDefault="00AC4185">
            <w:pPr>
              <w:autoSpaceDE w:val="0"/>
              <w:autoSpaceDN w:val="0"/>
              <w:adjustRightInd w:val="0"/>
              <w:jc w:val="right"/>
              <w:rPr>
                <w:szCs w:val="21"/>
              </w:rPr>
            </w:pPr>
            <w:r>
              <w:t>1,461,964.54</w:t>
            </w:r>
          </w:p>
        </w:tc>
        <w:tc>
          <w:tcPr>
            <w:tcW w:w="914" w:type="pct"/>
            <w:tcBorders>
              <w:top w:val="single" w:sz="4" w:space="0" w:color="auto"/>
              <w:left w:val="single" w:sz="4" w:space="0" w:color="auto"/>
              <w:bottom w:val="single" w:sz="4" w:space="0" w:color="auto"/>
              <w:right w:val="single" w:sz="4" w:space="0" w:color="auto"/>
            </w:tcBorders>
          </w:tcPr>
          <w:p w14:paraId="41C01A38" w14:textId="77777777" w:rsidR="00E57DAA" w:rsidRDefault="00AC4185">
            <w:pPr>
              <w:autoSpaceDE w:val="0"/>
              <w:autoSpaceDN w:val="0"/>
              <w:adjustRightInd w:val="0"/>
              <w:jc w:val="right"/>
              <w:rPr>
                <w:szCs w:val="21"/>
              </w:rPr>
            </w:pPr>
            <w:r>
              <w:t>4,385.89</w:t>
            </w:r>
          </w:p>
        </w:tc>
      </w:tr>
      <w:tr w:rsidR="00E57DAA" w14:paraId="615DDCD4" w14:textId="77777777">
        <w:tc>
          <w:tcPr>
            <w:tcW w:w="677" w:type="pct"/>
            <w:tcBorders>
              <w:top w:val="single" w:sz="4" w:space="0" w:color="auto"/>
              <w:left w:val="single" w:sz="4" w:space="0" w:color="auto"/>
              <w:bottom w:val="single" w:sz="4" w:space="0" w:color="auto"/>
              <w:right w:val="single" w:sz="4" w:space="0" w:color="auto"/>
            </w:tcBorders>
            <w:vAlign w:val="center"/>
          </w:tcPr>
          <w:p w14:paraId="6F680AE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5763442" w14:textId="77777777" w:rsidR="00E57DAA" w:rsidRDefault="00AC4185">
            <w:pPr>
              <w:autoSpaceDE w:val="0"/>
              <w:autoSpaceDN w:val="0"/>
              <w:adjustRightInd w:val="0"/>
              <w:rPr>
                <w:szCs w:val="21"/>
              </w:rPr>
            </w:pPr>
            <w:r>
              <w:t>湖南桃江南方水泥有限公司</w:t>
            </w:r>
          </w:p>
        </w:tc>
        <w:tc>
          <w:tcPr>
            <w:tcW w:w="633" w:type="pct"/>
            <w:tcBorders>
              <w:top w:val="single" w:sz="4" w:space="0" w:color="auto"/>
              <w:left w:val="single" w:sz="4" w:space="0" w:color="auto"/>
              <w:bottom w:val="single" w:sz="4" w:space="0" w:color="auto"/>
              <w:right w:val="single" w:sz="4" w:space="0" w:color="auto"/>
            </w:tcBorders>
          </w:tcPr>
          <w:p w14:paraId="22BF7C5B" w14:textId="77777777" w:rsidR="00E57DAA" w:rsidRDefault="00AC4185">
            <w:pPr>
              <w:autoSpaceDE w:val="0"/>
              <w:autoSpaceDN w:val="0"/>
              <w:adjustRightInd w:val="0"/>
              <w:jc w:val="right"/>
              <w:rPr>
                <w:szCs w:val="21"/>
              </w:rPr>
            </w:pPr>
            <w:r>
              <w:t>6,299,177.94</w:t>
            </w:r>
          </w:p>
        </w:tc>
        <w:tc>
          <w:tcPr>
            <w:tcW w:w="632" w:type="pct"/>
            <w:tcBorders>
              <w:top w:val="single" w:sz="4" w:space="0" w:color="auto"/>
              <w:left w:val="single" w:sz="4" w:space="0" w:color="auto"/>
              <w:bottom w:val="single" w:sz="4" w:space="0" w:color="auto"/>
              <w:right w:val="single" w:sz="4" w:space="0" w:color="auto"/>
            </w:tcBorders>
          </w:tcPr>
          <w:p w14:paraId="27126143" w14:textId="77777777" w:rsidR="00E57DAA" w:rsidRDefault="00AC4185">
            <w:pPr>
              <w:autoSpaceDE w:val="0"/>
              <w:autoSpaceDN w:val="0"/>
              <w:adjustRightInd w:val="0"/>
              <w:jc w:val="right"/>
              <w:rPr>
                <w:szCs w:val="21"/>
              </w:rPr>
            </w:pPr>
            <w:r>
              <w:t>53,872.87</w:t>
            </w:r>
          </w:p>
        </w:tc>
        <w:tc>
          <w:tcPr>
            <w:tcW w:w="703" w:type="pct"/>
            <w:tcBorders>
              <w:top w:val="single" w:sz="4" w:space="0" w:color="auto"/>
              <w:left w:val="single" w:sz="4" w:space="0" w:color="auto"/>
              <w:bottom w:val="single" w:sz="4" w:space="0" w:color="auto"/>
              <w:right w:val="single" w:sz="4" w:space="0" w:color="auto"/>
            </w:tcBorders>
          </w:tcPr>
          <w:p w14:paraId="072A15A5" w14:textId="77777777" w:rsidR="00E57DAA" w:rsidRDefault="00AC4185">
            <w:pPr>
              <w:autoSpaceDE w:val="0"/>
              <w:autoSpaceDN w:val="0"/>
              <w:adjustRightInd w:val="0"/>
              <w:jc w:val="right"/>
              <w:rPr>
                <w:szCs w:val="21"/>
              </w:rPr>
            </w:pPr>
            <w:r>
              <w:t>5,000,000.00</w:t>
            </w:r>
          </w:p>
        </w:tc>
        <w:tc>
          <w:tcPr>
            <w:tcW w:w="914" w:type="pct"/>
            <w:tcBorders>
              <w:top w:val="single" w:sz="4" w:space="0" w:color="auto"/>
              <w:left w:val="single" w:sz="4" w:space="0" w:color="auto"/>
              <w:bottom w:val="single" w:sz="4" w:space="0" w:color="auto"/>
              <w:right w:val="single" w:sz="4" w:space="0" w:color="auto"/>
            </w:tcBorders>
          </w:tcPr>
          <w:p w14:paraId="748D074C" w14:textId="77777777" w:rsidR="00E57DAA" w:rsidRDefault="00AC4185">
            <w:pPr>
              <w:autoSpaceDE w:val="0"/>
              <w:autoSpaceDN w:val="0"/>
              <w:adjustRightInd w:val="0"/>
              <w:jc w:val="right"/>
              <w:rPr>
                <w:szCs w:val="21"/>
              </w:rPr>
            </w:pPr>
            <w:r>
              <w:t>52,500.00</w:t>
            </w:r>
          </w:p>
        </w:tc>
      </w:tr>
      <w:tr w:rsidR="00E57DAA" w14:paraId="2B05E748" w14:textId="77777777">
        <w:tc>
          <w:tcPr>
            <w:tcW w:w="677" w:type="pct"/>
            <w:tcBorders>
              <w:top w:val="single" w:sz="4" w:space="0" w:color="auto"/>
              <w:left w:val="single" w:sz="4" w:space="0" w:color="auto"/>
              <w:bottom w:val="single" w:sz="4" w:space="0" w:color="auto"/>
              <w:right w:val="single" w:sz="4" w:space="0" w:color="auto"/>
            </w:tcBorders>
            <w:vAlign w:val="center"/>
          </w:tcPr>
          <w:p w14:paraId="68ED925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D14384B" w14:textId="77777777" w:rsidR="00E57DAA" w:rsidRDefault="00AC4185">
            <w:pPr>
              <w:autoSpaceDE w:val="0"/>
              <w:autoSpaceDN w:val="0"/>
              <w:adjustRightInd w:val="0"/>
              <w:rPr>
                <w:szCs w:val="21"/>
              </w:rPr>
            </w:pPr>
            <w:r>
              <w:t>西藏中材祁连山水泥有限公司</w:t>
            </w:r>
          </w:p>
        </w:tc>
        <w:tc>
          <w:tcPr>
            <w:tcW w:w="633" w:type="pct"/>
            <w:tcBorders>
              <w:top w:val="single" w:sz="4" w:space="0" w:color="auto"/>
              <w:left w:val="single" w:sz="4" w:space="0" w:color="auto"/>
              <w:bottom w:val="single" w:sz="4" w:space="0" w:color="auto"/>
              <w:right w:val="single" w:sz="4" w:space="0" w:color="auto"/>
            </w:tcBorders>
          </w:tcPr>
          <w:p w14:paraId="0BC09EE5" w14:textId="77777777" w:rsidR="00E57DAA" w:rsidRDefault="00AC4185">
            <w:pPr>
              <w:autoSpaceDE w:val="0"/>
              <w:autoSpaceDN w:val="0"/>
              <w:adjustRightInd w:val="0"/>
              <w:jc w:val="right"/>
              <w:rPr>
                <w:szCs w:val="21"/>
              </w:rPr>
            </w:pPr>
            <w:r>
              <w:t>5,937,712.18</w:t>
            </w:r>
          </w:p>
        </w:tc>
        <w:tc>
          <w:tcPr>
            <w:tcW w:w="632" w:type="pct"/>
            <w:tcBorders>
              <w:top w:val="single" w:sz="4" w:space="0" w:color="auto"/>
              <w:left w:val="single" w:sz="4" w:space="0" w:color="auto"/>
              <w:bottom w:val="single" w:sz="4" w:space="0" w:color="auto"/>
              <w:right w:val="single" w:sz="4" w:space="0" w:color="auto"/>
            </w:tcBorders>
          </w:tcPr>
          <w:p w14:paraId="779C5E3A" w14:textId="77777777" w:rsidR="00E57DAA" w:rsidRDefault="00AC4185">
            <w:pPr>
              <w:autoSpaceDE w:val="0"/>
              <w:autoSpaceDN w:val="0"/>
              <w:adjustRightInd w:val="0"/>
              <w:jc w:val="right"/>
              <w:rPr>
                <w:szCs w:val="21"/>
              </w:rPr>
            </w:pPr>
            <w:r>
              <w:t>23,750.85</w:t>
            </w:r>
          </w:p>
        </w:tc>
        <w:tc>
          <w:tcPr>
            <w:tcW w:w="703" w:type="pct"/>
            <w:tcBorders>
              <w:top w:val="single" w:sz="4" w:space="0" w:color="auto"/>
              <w:left w:val="single" w:sz="4" w:space="0" w:color="auto"/>
              <w:bottom w:val="single" w:sz="4" w:space="0" w:color="auto"/>
              <w:right w:val="single" w:sz="4" w:space="0" w:color="auto"/>
            </w:tcBorders>
          </w:tcPr>
          <w:p w14:paraId="44D7C943" w14:textId="77777777" w:rsidR="00E57DAA" w:rsidRDefault="00AC4185">
            <w:pPr>
              <w:autoSpaceDE w:val="0"/>
              <w:autoSpaceDN w:val="0"/>
              <w:adjustRightInd w:val="0"/>
              <w:jc w:val="right"/>
              <w:rPr>
                <w:szCs w:val="21"/>
              </w:rPr>
            </w:pPr>
            <w:r>
              <w:t>26,831,886.85</w:t>
            </w:r>
          </w:p>
        </w:tc>
        <w:tc>
          <w:tcPr>
            <w:tcW w:w="914" w:type="pct"/>
            <w:tcBorders>
              <w:top w:val="single" w:sz="4" w:space="0" w:color="auto"/>
              <w:left w:val="single" w:sz="4" w:space="0" w:color="auto"/>
              <w:bottom w:val="single" w:sz="4" w:space="0" w:color="auto"/>
              <w:right w:val="single" w:sz="4" w:space="0" w:color="auto"/>
            </w:tcBorders>
          </w:tcPr>
          <w:p w14:paraId="2550E24A" w14:textId="77777777" w:rsidR="00E57DAA" w:rsidRDefault="00AC4185">
            <w:pPr>
              <w:autoSpaceDE w:val="0"/>
              <w:autoSpaceDN w:val="0"/>
              <w:adjustRightInd w:val="0"/>
              <w:jc w:val="right"/>
              <w:rPr>
                <w:szCs w:val="21"/>
              </w:rPr>
            </w:pPr>
            <w:r>
              <w:t>80,495.66</w:t>
            </w:r>
          </w:p>
        </w:tc>
      </w:tr>
      <w:tr w:rsidR="00E57DAA" w14:paraId="0F99B4E7" w14:textId="77777777">
        <w:tc>
          <w:tcPr>
            <w:tcW w:w="677" w:type="pct"/>
            <w:tcBorders>
              <w:top w:val="single" w:sz="4" w:space="0" w:color="auto"/>
              <w:left w:val="single" w:sz="4" w:space="0" w:color="auto"/>
              <w:bottom w:val="single" w:sz="4" w:space="0" w:color="auto"/>
              <w:right w:val="single" w:sz="4" w:space="0" w:color="auto"/>
            </w:tcBorders>
            <w:vAlign w:val="center"/>
          </w:tcPr>
          <w:p w14:paraId="1C868A0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06AE6D7" w14:textId="77777777" w:rsidR="00E57DAA" w:rsidRDefault="00AC4185">
            <w:pPr>
              <w:autoSpaceDE w:val="0"/>
              <w:autoSpaceDN w:val="0"/>
              <w:adjustRightInd w:val="0"/>
              <w:rPr>
                <w:szCs w:val="21"/>
              </w:rPr>
            </w:pPr>
            <w:r>
              <w:t>云南远东水泥有限责任公司</w:t>
            </w:r>
          </w:p>
        </w:tc>
        <w:tc>
          <w:tcPr>
            <w:tcW w:w="633" w:type="pct"/>
            <w:tcBorders>
              <w:top w:val="single" w:sz="4" w:space="0" w:color="auto"/>
              <w:left w:val="single" w:sz="4" w:space="0" w:color="auto"/>
              <w:bottom w:val="single" w:sz="4" w:space="0" w:color="auto"/>
              <w:right w:val="single" w:sz="4" w:space="0" w:color="auto"/>
            </w:tcBorders>
          </w:tcPr>
          <w:p w14:paraId="5026C94E" w14:textId="77777777" w:rsidR="00E57DAA" w:rsidRDefault="00AC4185">
            <w:pPr>
              <w:autoSpaceDE w:val="0"/>
              <w:autoSpaceDN w:val="0"/>
              <w:adjustRightInd w:val="0"/>
              <w:jc w:val="right"/>
              <w:rPr>
                <w:szCs w:val="21"/>
              </w:rPr>
            </w:pPr>
            <w:r>
              <w:t>5,220,880.03</w:t>
            </w:r>
          </w:p>
        </w:tc>
        <w:tc>
          <w:tcPr>
            <w:tcW w:w="632" w:type="pct"/>
            <w:tcBorders>
              <w:top w:val="single" w:sz="4" w:space="0" w:color="auto"/>
              <w:left w:val="single" w:sz="4" w:space="0" w:color="auto"/>
              <w:bottom w:val="single" w:sz="4" w:space="0" w:color="auto"/>
              <w:right w:val="single" w:sz="4" w:space="0" w:color="auto"/>
            </w:tcBorders>
          </w:tcPr>
          <w:p w14:paraId="7B059145" w14:textId="77777777" w:rsidR="00E57DAA" w:rsidRDefault="00AC4185">
            <w:pPr>
              <w:autoSpaceDE w:val="0"/>
              <w:autoSpaceDN w:val="0"/>
              <w:adjustRightInd w:val="0"/>
              <w:jc w:val="right"/>
              <w:rPr>
                <w:szCs w:val="21"/>
              </w:rPr>
            </w:pPr>
            <w:r>
              <w:t>286,581.53</w:t>
            </w:r>
          </w:p>
        </w:tc>
        <w:tc>
          <w:tcPr>
            <w:tcW w:w="703" w:type="pct"/>
            <w:tcBorders>
              <w:top w:val="single" w:sz="4" w:space="0" w:color="auto"/>
              <w:left w:val="single" w:sz="4" w:space="0" w:color="auto"/>
              <w:bottom w:val="single" w:sz="4" w:space="0" w:color="auto"/>
              <w:right w:val="single" w:sz="4" w:space="0" w:color="auto"/>
            </w:tcBorders>
          </w:tcPr>
          <w:p w14:paraId="1FA2FF67" w14:textId="77777777" w:rsidR="00E57DAA" w:rsidRDefault="00AC4185">
            <w:pPr>
              <w:autoSpaceDE w:val="0"/>
              <w:autoSpaceDN w:val="0"/>
              <w:adjustRightInd w:val="0"/>
              <w:jc w:val="right"/>
              <w:rPr>
                <w:szCs w:val="21"/>
              </w:rPr>
            </w:pPr>
            <w:r>
              <w:t>19,376,053.19</w:t>
            </w:r>
          </w:p>
        </w:tc>
        <w:tc>
          <w:tcPr>
            <w:tcW w:w="914" w:type="pct"/>
            <w:tcBorders>
              <w:top w:val="single" w:sz="4" w:space="0" w:color="auto"/>
              <w:left w:val="single" w:sz="4" w:space="0" w:color="auto"/>
              <w:bottom w:val="single" w:sz="4" w:space="0" w:color="auto"/>
              <w:right w:val="single" w:sz="4" w:space="0" w:color="auto"/>
            </w:tcBorders>
          </w:tcPr>
          <w:p w14:paraId="4B2CC54B" w14:textId="77777777" w:rsidR="00E57DAA" w:rsidRDefault="00AC4185">
            <w:pPr>
              <w:autoSpaceDE w:val="0"/>
              <w:autoSpaceDN w:val="0"/>
              <w:adjustRightInd w:val="0"/>
              <w:jc w:val="right"/>
              <w:rPr>
                <w:szCs w:val="21"/>
              </w:rPr>
            </w:pPr>
            <w:r>
              <w:t>968,802.66</w:t>
            </w:r>
          </w:p>
        </w:tc>
      </w:tr>
      <w:tr w:rsidR="00E57DAA" w14:paraId="1D6F16D8" w14:textId="77777777">
        <w:tc>
          <w:tcPr>
            <w:tcW w:w="677" w:type="pct"/>
            <w:tcBorders>
              <w:top w:val="single" w:sz="4" w:space="0" w:color="auto"/>
              <w:left w:val="single" w:sz="4" w:space="0" w:color="auto"/>
              <w:bottom w:val="single" w:sz="4" w:space="0" w:color="auto"/>
              <w:right w:val="single" w:sz="4" w:space="0" w:color="auto"/>
            </w:tcBorders>
            <w:vAlign w:val="center"/>
          </w:tcPr>
          <w:p w14:paraId="16BDAF8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6047F74" w14:textId="77777777" w:rsidR="00E57DAA" w:rsidRDefault="00AC4185">
            <w:pPr>
              <w:autoSpaceDE w:val="0"/>
              <w:autoSpaceDN w:val="0"/>
              <w:adjustRightInd w:val="0"/>
              <w:rPr>
                <w:szCs w:val="21"/>
              </w:rPr>
            </w:pPr>
            <w:r>
              <w:t>含山南方水泥有限公司</w:t>
            </w:r>
          </w:p>
        </w:tc>
        <w:tc>
          <w:tcPr>
            <w:tcW w:w="633" w:type="pct"/>
            <w:tcBorders>
              <w:top w:val="single" w:sz="4" w:space="0" w:color="auto"/>
              <w:left w:val="single" w:sz="4" w:space="0" w:color="auto"/>
              <w:bottom w:val="single" w:sz="4" w:space="0" w:color="auto"/>
              <w:right w:val="single" w:sz="4" w:space="0" w:color="auto"/>
            </w:tcBorders>
          </w:tcPr>
          <w:p w14:paraId="759A46B3" w14:textId="77777777" w:rsidR="00E57DAA" w:rsidRDefault="00AC4185">
            <w:pPr>
              <w:autoSpaceDE w:val="0"/>
              <w:autoSpaceDN w:val="0"/>
              <w:adjustRightInd w:val="0"/>
              <w:jc w:val="right"/>
              <w:rPr>
                <w:szCs w:val="21"/>
              </w:rPr>
            </w:pPr>
            <w:r>
              <w:t>4,566,121.81</w:t>
            </w:r>
          </w:p>
        </w:tc>
        <w:tc>
          <w:tcPr>
            <w:tcW w:w="632" w:type="pct"/>
            <w:tcBorders>
              <w:top w:val="single" w:sz="4" w:space="0" w:color="auto"/>
              <w:left w:val="single" w:sz="4" w:space="0" w:color="auto"/>
              <w:bottom w:val="single" w:sz="4" w:space="0" w:color="auto"/>
              <w:right w:val="single" w:sz="4" w:space="0" w:color="auto"/>
            </w:tcBorders>
          </w:tcPr>
          <w:p w14:paraId="3A973EC2" w14:textId="77777777" w:rsidR="00E57DAA" w:rsidRDefault="00AC4185">
            <w:pPr>
              <w:autoSpaceDE w:val="0"/>
              <w:autoSpaceDN w:val="0"/>
              <w:adjustRightInd w:val="0"/>
              <w:jc w:val="right"/>
              <w:rPr>
                <w:szCs w:val="21"/>
              </w:rPr>
            </w:pPr>
            <w:r>
              <w:t>241,174.27</w:t>
            </w:r>
          </w:p>
        </w:tc>
        <w:tc>
          <w:tcPr>
            <w:tcW w:w="703" w:type="pct"/>
            <w:tcBorders>
              <w:top w:val="single" w:sz="4" w:space="0" w:color="auto"/>
              <w:left w:val="single" w:sz="4" w:space="0" w:color="auto"/>
              <w:bottom w:val="single" w:sz="4" w:space="0" w:color="auto"/>
              <w:right w:val="single" w:sz="4" w:space="0" w:color="auto"/>
            </w:tcBorders>
          </w:tcPr>
          <w:p w14:paraId="574F6A86" w14:textId="77777777" w:rsidR="00E57DAA" w:rsidRDefault="00AC4185">
            <w:pPr>
              <w:autoSpaceDE w:val="0"/>
              <w:autoSpaceDN w:val="0"/>
              <w:adjustRightInd w:val="0"/>
              <w:jc w:val="right"/>
              <w:rPr>
                <w:szCs w:val="21"/>
              </w:rPr>
            </w:pPr>
            <w:r>
              <w:t>28,858,585.05</w:t>
            </w:r>
          </w:p>
        </w:tc>
        <w:tc>
          <w:tcPr>
            <w:tcW w:w="914" w:type="pct"/>
            <w:tcBorders>
              <w:top w:val="single" w:sz="4" w:space="0" w:color="auto"/>
              <w:left w:val="single" w:sz="4" w:space="0" w:color="auto"/>
              <w:bottom w:val="single" w:sz="4" w:space="0" w:color="auto"/>
              <w:right w:val="single" w:sz="4" w:space="0" w:color="auto"/>
            </w:tcBorders>
          </w:tcPr>
          <w:p w14:paraId="1CB66C8D" w14:textId="77777777" w:rsidR="00E57DAA" w:rsidRDefault="00AC4185">
            <w:pPr>
              <w:autoSpaceDE w:val="0"/>
              <w:autoSpaceDN w:val="0"/>
              <w:adjustRightInd w:val="0"/>
              <w:jc w:val="right"/>
              <w:rPr>
                <w:szCs w:val="21"/>
              </w:rPr>
            </w:pPr>
            <w:r>
              <w:t>2,442,929.25</w:t>
            </w:r>
          </w:p>
        </w:tc>
      </w:tr>
      <w:tr w:rsidR="00E57DAA" w14:paraId="19B92CC9" w14:textId="77777777">
        <w:tc>
          <w:tcPr>
            <w:tcW w:w="677" w:type="pct"/>
            <w:tcBorders>
              <w:top w:val="single" w:sz="4" w:space="0" w:color="auto"/>
              <w:left w:val="single" w:sz="4" w:space="0" w:color="auto"/>
              <w:bottom w:val="single" w:sz="4" w:space="0" w:color="auto"/>
              <w:right w:val="single" w:sz="4" w:space="0" w:color="auto"/>
            </w:tcBorders>
            <w:vAlign w:val="center"/>
          </w:tcPr>
          <w:p w14:paraId="49CC2A1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877BB74" w14:textId="77777777" w:rsidR="00E57DAA" w:rsidRDefault="00AC4185">
            <w:pPr>
              <w:autoSpaceDE w:val="0"/>
              <w:autoSpaceDN w:val="0"/>
              <w:adjustRightInd w:val="0"/>
              <w:rPr>
                <w:szCs w:val="21"/>
              </w:rPr>
            </w:pPr>
            <w:r>
              <w:t>德安县南方新材料有限公司</w:t>
            </w:r>
          </w:p>
        </w:tc>
        <w:tc>
          <w:tcPr>
            <w:tcW w:w="633" w:type="pct"/>
            <w:tcBorders>
              <w:top w:val="single" w:sz="4" w:space="0" w:color="auto"/>
              <w:left w:val="single" w:sz="4" w:space="0" w:color="auto"/>
              <w:bottom w:val="single" w:sz="4" w:space="0" w:color="auto"/>
              <w:right w:val="single" w:sz="4" w:space="0" w:color="auto"/>
            </w:tcBorders>
          </w:tcPr>
          <w:p w14:paraId="645F17B9" w14:textId="77777777" w:rsidR="00E57DAA" w:rsidRDefault="00AC4185">
            <w:pPr>
              <w:autoSpaceDE w:val="0"/>
              <w:autoSpaceDN w:val="0"/>
              <w:adjustRightInd w:val="0"/>
              <w:jc w:val="right"/>
              <w:rPr>
                <w:szCs w:val="21"/>
              </w:rPr>
            </w:pPr>
            <w:r>
              <w:t>4,368,927.29</w:t>
            </w:r>
          </w:p>
        </w:tc>
        <w:tc>
          <w:tcPr>
            <w:tcW w:w="632" w:type="pct"/>
            <w:tcBorders>
              <w:top w:val="single" w:sz="4" w:space="0" w:color="auto"/>
              <w:left w:val="single" w:sz="4" w:space="0" w:color="auto"/>
              <w:bottom w:val="single" w:sz="4" w:space="0" w:color="auto"/>
              <w:right w:val="single" w:sz="4" w:space="0" w:color="auto"/>
            </w:tcBorders>
          </w:tcPr>
          <w:p w14:paraId="2F1DF218" w14:textId="77777777" w:rsidR="00E57DAA" w:rsidRDefault="00AC4185">
            <w:pPr>
              <w:autoSpaceDE w:val="0"/>
              <w:autoSpaceDN w:val="0"/>
              <w:adjustRightInd w:val="0"/>
              <w:jc w:val="right"/>
              <w:rPr>
                <w:szCs w:val="21"/>
              </w:rPr>
            </w:pPr>
            <w:r>
              <w:t>17,475.71</w:t>
            </w:r>
          </w:p>
        </w:tc>
        <w:tc>
          <w:tcPr>
            <w:tcW w:w="703" w:type="pct"/>
            <w:tcBorders>
              <w:top w:val="single" w:sz="4" w:space="0" w:color="auto"/>
              <w:left w:val="single" w:sz="4" w:space="0" w:color="auto"/>
              <w:bottom w:val="single" w:sz="4" w:space="0" w:color="auto"/>
              <w:right w:val="single" w:sz="4" w:space="0" w:color="auto"/>
            </w:tcBorders>
          </w:tcPr>
          <w:p w14:paraId="2ADD4D0D" w14:textId="77777777" w:rsidR="00E57DAA" w:rsidRDefault="00AC4185">
            <w:pPr>
              <w:autoSpaceDE w:val="0"/>
              <w:autoSpaceDN w:val="0"/>
              <w:adjustRightInd w:val="0"/>
              <w:jc w:val="right"/>
              <w:rPr>
                <w:szCs w:val="21"/>
              </w:rPr>
            </w:pPr>
            <w:r>
              <w:t>2,530,286.17</w:t>
            </w:r>
          </w:p>
        </w:tc>
        <w:tc>
          <w:tcPr>
            <w:tcW w:w="914" w:type="pct"/>
            <w:tcBorders>
              <w:top w:val="single" w:sz="4" w:space="0" w:color="auto"/>
              <w:left w:val="single" w:sz="4" w:space="0" w:color="auto"/>
              <w:bottom w:val="single" w:sz="4" w:space="0" w:color="auto"/>
              <w:right w:val="single" w:sz="4" w:space="0" w:color="auto"/>
            </w:tcBorders>
          </w:tcPr>
          <w:p w14:paraId="06E1A665" w14:textId="77777777" w:rsidR="00E57DAA" w:rsidRDefault="00AC4185">
            <w:pPr>
              <w:autoSpaceDE w:val="0"/>
              <w:autoSpaceDN w:val="0"/>
              <w:adjustRightInd w:val="0"/>
              <w:jc w:val="right"/>
              <w:rPr>
                <w:szCs w:val="21"/>
              </w:rPr>
            </w:pPr>
            <w:r>
              <w:t>7,590.86</w:t>
            </w:r>
          </w:p>
        </w:tc>
      </w:tr>
      <w:tr w:rsidR="00E57DAA" w14:paraId="48D41817" w14:textId="77777777">
        <w:tc>
          <w:tcPr>
            <w:tcW w:w="677" w:type="pct"/>
            <w:tcBorders>
              <w:top w:val="single" w:sz="4" w:space="0" w:color="auto"/>
              <w:left w:val="single" w:sz="4" w:space="0" w:color="auto"/>
              <w:bottom w:val="single" w:sz="4" w:space="0" w:color="auto"/>
              <w:right w:val="single" w:sz="4" w:space="0" w:color="auto"/>
            </w:tcBorders>
            <w:vAlign w:val="center"/>
          </w:tcPr>
          <w:p w14:paraId="6FF7E86B"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49C4311" w14:textId="77777777" w:rsidR="00E57DAA" w:rsidRDefault="00AC4185">
            <w:pPr>
              <w:autoSpaceDE w:val="0"/>
              <w:autoSpaceDN w:val="0"/>
              <w:adjustRightInd w:val="0"/>
              <w:rPr>
                <w:szCs w:val="21"/>
              </w:rPr>
            </w:pPr>
            <w:r>
              <w:t>富民金锐水泥建材有限责任公司</w:t>
            </w:r>
          </w:p>
        </w:tc>
        <w:tc>
          <w:tcPr>
            <w:tcW w:w="633" w:type="pct"/>
            <w:tcBorders>
              <w:top w:val="single" w:sz="4" w:space="0" w:color="auto"/>
              <w:left w:val="single" w:sz="4" w:space="0" w:color="auto"/>
              <w:bottom w:val="single" w:sz="4" w:space="0" w:color="auto"/>
              <w:right w:val="single" w:sz="4" w:space="0" w:color="auto"/>
            </w:tcBorders>
          </w:tcPr>
          <w:p w14:paraId="49C58FC2" w14:textId="77777777" w:rsidR="00E57DAA" w:rsidRDefault="00AC4185">
            <w:pPr>
              <w:autoSpaceDE w:val="0"/>
              <w:autoSpaceDN w:val="0"/>
              <w:adjustRightInd w:val="0"/>
              <w:jc w:val="right"/>
              <w:rPr>
                <w:szCs w:val="21"/>
              </w:rPr>
            </w:pPr>
            <w:r>
              <w:t>3,198,177.33</w:t>
            </w:r>
          </w:p>
        </w:tc>
        <w:tc>
          <w:tcPr>
            <w:tcW w:w="632" w:type="pct"/>
            <w:tcBorders>
              <w:top w:val="single" w:sz="4" w:space="0" w:color="auto"/>
              <w:left w:val="single" w:sz="4" w:space="0" w:color="auto"/>
              <w:bottom w:val="single" w:sz="4" w:space="0" w:color="auto"/>
              <w:right w:val="single" w:sz="4" w:space="0" w:color="auto"/>
            </w:tcBorders>
          </w:tcPr>
          <w:p w14:paraId="3B28E23D" w14:textId="77777777" w:rsidR="00E57DAA" w:rsidRDefault="00AC4185">
            <w:pPr>
              <w:autoSpaceDE w:val="0"/>
              <w:autoSpaceDN w:val="0"/>
              <w:adjustRightInd w:val="0"/>
              <w:jc w:val="right"/>
              <w:rPr>
                <w:szCs w:val="21"/>
              </w:rPr>
            </w:pPr>
            <w:r>
              <w:t>79,954.43</w:t>
            </w:r>
          </w:p>
        </w:tc>
        <w:tc>
          <w:tcPr>
            <w:tcW w:w="703" w:type="pct"/>
            <w:tcBorders>
              <w:top w:val="single" w:sz="4" w:space="0" w:color="auto"/>
              <w:left w:val="single" w:sz="4" w:space="0" w:color="auto"/>
              <w:bottom w:val="single" w:sz="4" w:space="0" w:color="auto"/>
              <w:right w:val="single" w:sz="4" w:space="0" w:color="auto"/>
            </w:tcBorders>
          </w:tcPr>
          <w:p w14:paraId="2A7C130E" w14:textId="77777777" w:rsidR="00E57DAA" w:rsidRDefault="00AC4185">
            <w:pPr>
              <w:autoSpaceDE w:val="0"/>
              <w:autoSpaceDN w:val="0"/>
              <w:adjustRightInd w:val="0"/>
              <w:jc w:val="right"/>
              <w:rPr>
                <w:szCs w:val="21"/>
              </w:rPr>
            </w:pPr>
            <w:r>
              <w:t>4,263,724.26</w:t>
            </w:r>
          </w:p>
        </w:tc>
        <w:tc>
          <w:tcPr>
            <w:tcW w:w="914" w:type="pct"/>
            <w:tcBorders>
              <w:top w:val="single" w:sz="4" w:space="0" w:color="auto"/>
              <w:left w:val="single" w:sz="4" w:space="0" w:color="auto"/>
              <w:bottom w:val="single" w:sz="4" w:space="0" w:color="auto"/>
              <w:right w:val="single" w:sz="4" w:space="0" w:color="auto"/>
            </w:tcBorders>
          </w:tcPr>
          <w:p w14:paraId="74F3D234" w14:textId="77777777" w:rsidR="00E57DAA" w:rsidRDefault="00AC4185">
            <w:pPr>
              <w:autoSpaceDE w:val="0"/>
              <w:autoSpaceDN w:val="0"/>
              <w:adjustRightInd w:val="0"/>
              <w:jc w:val="right"/>
              <w:rPr>
                <w:szCs w:val="21"/>
              </w:rPr>
            </w:pPr>
            <w:r>
              <w:t>59,692.14</w:t>
            </w:r>
          </w:p>
        </w:tc>
      </w:tr>
      <w:tr w:rsidR="00E57DAA" w14:paraId="5F601574" w14:textId="77777777">
        <w:tc>
          <w:tcPr>
            <w:tcW w:w="677" w:type="pct"/>
            <w:tcBorders>
              <w:top w:val="single" w:sz="4" w:space="0" w:color="auto"/>
              <w:left w:val="single" w:sz="4" w:space="0" w:color="auto"/>
              <w:bottom w:val="single" w:sz="4" w:space="0" w:color="auto"/>
              <w:right w:val="single" w:sz="4" w:space="0" w:color="auto"/>
            </w:tcBorders>
            <w:vAlign w:val="center"/>
          </w:tcPr>
          <w:p w14:paraId="0BAD064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7D74038" w14:textId="77777777" w:rsidR="00E57DAA" w:rsidRDefault="00AC4185">
            <w:pPr>
              <w:autoSpaceDE w:val="0"/>
              <w:autoSpaceDN w:val="0"/>
              <w:adjustRightInd w:val="0"/>
              <w:rPr>
                <w:szCs w:val="21"/>
              </w:rPr>
            </w:pPr>
            <w:r>
              <w:t>富蕴天山水泥有限责任公司</w:t>
            </w:r>
          </w:p>
        </w:tc>
        <w:tc>
          <w:tcPr>
            <w:tcW w:w="633" w:type="pct"/>
            <w:tcBorders>
              <w:top w:val="single" w:sz="4" w:space="0" w:color="auto"/>
              <w:left w:val="single" w:sz="4" w:space="0" w:color="auto"/>
              <w:bottom w:val="single" w:sz="4" w:space="0" w:color="auto"/>
              <w:right w:val="single" w:sz="4" w:space="0" w:color="auto"/>
            </w:tcBorders>
          </w:tcPr>
          <w:p w14:paraId="67C75711" w14:textId="77777777" w:rsidR="00E57DAA" w:rsidRDefault="00AC4185">
            <w:pPr>
              <w:autoSpaceDE w:val="0"/>
              <w:autoSpaceDN w:val="0"/>
              <w:adjustRightInd w:val="0"/>
              <w:jc w:val="right"/>
              <w:rPr>
                <w:szCs w:val="21"/>
              </w:rPr>
            </w:pPr>
            <w:r>
              <w:t>3,135,000.00</w:t>
            </w:r>
          </w:p>
        </w:tc>
        <w:tc>
          <w:tcPr>
            <w:tcW w:w="632" w:type="pct"/>
            <w:tcBorders>
              <w:top w:val="single" w:sz="4" w:space="0" w:color="auto"/>
              <w:left w:val="single" w:sz="4" w:space="0" w:color="auto"/>
              <w:bottom w:val="single" w:sz="4" w:space="0" w:color="auto"/>
              <w:right w:val="single" w:sz="4" w:space="0" w:color="auto"/>
            </w:tcBorders>
          </w:tcPr>
          <w:p w14:paraId="65642641" w14:textId="77777777" w:rsidR="00E57DAA" w:rsidRDefault="00AC4185">
            <w:pPr>
              <w:autoSpaceDE w:val="0"/>
              <w:autoSpaceDN w:val="0"/>
              <w:adjustRightInd w:val="0"/>
              <w:jc w:val="right"/>
              <w:rPr>
                <w:szCs w:val="21"/>
              </w:rPr>
            </w:pPr>
            <w:r>
              <w:t>156,750.00</w:t>
            </w:r>
          </w:p>
        </w:tc>
        <w:tc>
          <w:tcPr>
            <w:tcW w:w="703" w:type="pct"/>
            <w:tcBorders>
              <w:top w:val="single" w:sz="4" w:space="0" w:color="auto"/>
              <w:left w:val="single" w:sz="4" w:space="0" w:color="auto"/>
              <w:bottom w:val="single" w:sz="4" w:space="0" w:color="auto"/>
              <w:right w:val="single" w:sz="4" w:space="0" w:color="auto"/>
            </w:tcBorders>
          </w:tcPr>
          <w:p w14:paraId="4E1C67D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2C8E0AD" w14:textId="77777777" w:rsidR="00E57DAA" w:rsidRDefault="00AC4185">
            <w:pPr>
              <w:autoSpaceDE w:val="0"/>
              <w:autoSpaceDN w:val="0"/>
              <w:adjustRightInd w:val="0"/>
              <w:jc w:val="right"/>
              <w:rPr>
                <w:szCs w:val="21"/>
              </w:rPr>
            </w:pPr>
            <w:r>
              <w:t xml:space="preserve">　</w:t>
            </w:r>
          </w:p>
        </w:tc>
      </w:tr>
      <w:tr w:rsidR="00E57DAA" w14:paraId="658D57D3" w14:textId="77777777">
        <w:tc>
          <w:tcPr>
            <w:tcW w:w="677" w:type="pct"/>
            <w:tcBorders>
              <w:top w:val="single" w:sz="4" w:space="0" w:color="auto"/>
              <w:left w:val="single" w:sz="4" w:space="0" w:color="auto"/>
              <w:bottom w:val="single" w:sz="4" w:space="0" w:color="auto"/>
              <w:right w:val="single" w:sz="4" w:space="0" w:color="auto"/>
            </w:tcBorders>
            <w:vAlign w:val="center"/>
          </w:tcPr>
          <w:p w14:paraId="0423DD5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EEFBA35" w14:textId="77777777" w:rsidR="00E57DAA" w:rsidRDefault="00AC4185">
            <w:pPr>
              <w:autoSpaceDE w:val="0"/>
              <w:autoSpaceDN w:val="0"/>
              <w:adjustRightInd w:val="0"/>
              <w:rPr>
                <w:szCs w:val="21"/>
              </w:rPr>
            </w:pPr>
            <w:r>
              <w:t>莒县中联水泥有限公司</w:t>
            </w:r>
          </w:p>
        </w:tc>
        <w:tc>
          <w:tcPr>
            <w:tcW w:w="633" w:type="pct"/>
            <w:tcBorders>
              <w:top w:val="single" w:sz="4" w:space="0" w:color="auto"/>
              <w:left w:val="single" w:sz="4" w:space="0" w:color="auto"/>
              <w:bottom w:val="single" w:sz="4" w:space="0" w:color="auto"/>
              <w:right w:val="single" w:sz="4" w:space="0" w:color="auto"/>
            </w:tcBorders>
          </w:tcPr>
          <w:p w14:paraId="7DC76E66" w14:textId="77777777" w:rsidR="00E57DAA" w:rsidRDefault="00AC4185">
            <w:pPr>
              <w:autoSpaceDE w:val="0"/>
              <w:autoSpaceDN w:val="0"/>
              <w:adjustRightInd w:val="0"/>
              <w:jc w:val="right"/>
              <w:rPr>
                <w:szCs w:val="21"/>
              </w:rPr>
            </w:pPr>
            <w:r>
              <w:t>3,102,568.25</w:t>
            </w:r>
          </w:p>
        </w:tc>
        <w:tc>
          <w:tcPr>
            <w:tcW w:w="632" w:type="pct"/>
            <w:tcBorders>
              <w:top w:val="single" w:sz="4" w:space="0" w:color="auto"/>
              <w:left w:val="single" w:sz="4" w:space="0" w:color="auto"/>
              <w:bottom w:val="single" w:sz="4" w:space="0" w:color="auto"/>
              <w:right w:val="single" w:sz="4" w:space="0" w:color="auto"/>
            </w:tcBorders>
          </w:tcPr>
          <w:p w14:paraId="66E335AA" w14:textId="77777777" w:rsidR="00E57DAA" w:rsidRDefault="00AC4185">
            <w:pPr>
              <w:autoSpaceDE w:val="0"/>
              <w:autoSpaceDN w:val="0"/>
              <w:adjustRightInd w:val="0"/>
              <w:jc w:val="right"/>
              <w:rPr>
                <w:szCs w:val="21"/>
              </w:rPr>
            </w:pPr>
            <w:r>
              <w:t>176,846.39</w:t>
            </w:r>
          </w:p>
        </w:tc>
        <w:tc>
          <w:tcPr>
            <w:tcW w:w="703" w:type="pct"/>
            <w:tcBorders>
              <w:top w:val="single" w:sz="4" w:space="0" w:color="auto"/>
              <w:left w:val="single" w:sz="4" w:space="0" w:color="auto"/>
              <w:bottom w:val="single" w:sz="4" w:space="0" w:color="auto"/>
              <w:right w:val="single" w:sz="4" w:space="0" w:color="auto"/>
            </w:tcBorders>
          </w:tcPr>
          <w:p w14:paraId="358EA947" w14:textId="77777777" w:rsidR="00E57DAA" w:rsidRDefault="00AC4185">
            <w:pPr>
              <w:autoSpaceDE w:val="0"/>
              <w:autoSpaceDN w:val="0"/>
              <w:adjustRightInd w:val="0"/>
              <w:jc w:val="right"/>
              <w:rPr>
                <w:szCs w:val="21"/>
              </w:rPr>
            </w:pPr>
            <w:r>
              <w:t>3,270,288.25</w:t>
            </w:r>
          </w:p>
        </w:tc>
        <w:tc>
          <w:tcPr>
            <w:tcW w:w="914" w:type="pct"/>
            <w:tcBorders>
              <w:top w:val="single" w:sz="4" w:space="0" w:color="auto"/>
              <w:left w:val="single" w:sz="4" w:space="0" w:color="auto"/>
              <w:bottom w:val="single" w:sz="4" w:space="0" w:color="auto"/>
              <w:right w:val="single" w:sz="4" w:space="0" w:color="auto"/>
            </w:tcBorders>
          </w:tcPr>
          <w:p w14:paraId="3D00DF8F" w14:textId="77777777" w:rsidR="00E57DAA" w:rsidRDefault="00AC4185">
            <w:pPr>
              <w:autoSpaceDE w:val="0"/>
              <w:autoSpaceDN w:val="0"/>
              <w:adjustRightInd w:val="0"/>
              <w:jc w:val="right"/>
              <w:rPr>
                <w:szCs w:val="21"/>
              </w:rPr>
            </w:pPr>
            <w:r>
              <w:t>45,784.04</w:t>
            </w:r>
          </w:p>
        </w:tc>
      </w:tr>
      <w:tr w:rsidR="00E57DAA" w14:paraId="12E405F8" w14:textId="77777777">
        <w:tc>
          <w:tcPr>
            <w:tcW w:w="677" w:type="pct"/>
            <w:tcBorders>
              <w:top w:val="single" w:sz="4" w:space="0" w:color="auto"/>
              <w:left w:val="single" w:sz="4" w:space="0" w:color="auto"/>
              <w:bottom w:val="single" w:sz="4" w:space="0" w:color="auto"/>
              <w:right w:val="single" w:sz="4" w:space="0" w:color="auto"/>
            </w:tcBorders>
            <w:vAlign w:val="center"/>
          </w:tcPr>
          <w:p w14:paraId="7A6F228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48D6074" w14:textId="77777777" w:rsidR="00E57DAA" w:rsidRDefault="00AC4185">
            <w:pPr>
              <w:autoSpaceDE w:val="0"/>
              <w:autoSpaceDN w:val="0"/>
              <w:adjustRightInd w:val="0"/>
              <w:rPr>
                <w:szCs w:val="21"/>
              </w:rPr>
            </w:pPr>
            <w:r>
              <w:t>湖州白岘南方水泥有限公司</w:t>
            </w:r>
          </w:p>
        </w:tc>
        <w:tc>
          <w:tcPr>
            <w:tcW w:w="633" w:type="pct"/>
            <w:tcBorders>
              <w:top w:val="single" w:sz="4" w:space="0" w:color="auto"/>
              <w:left w:val="single" w:sz="4" w:space="0" w:color="auto"/>
              <w:bottom w:val="single" w:sz="4" w:space="0" w:color="auto"/>
              <w:right w:val="single" w:sz="4" w:space="0" w:color="auto"/>
            </w:tcBorders>
          </w:tcPr>
          <w:p w14:paraId="0EBA04E8" w14:textId="77777777" w:rsidR="00E57DAA" w:rsidRDefault="00AC4185">
            <w:pPr>
              <w:autoSpaceDE w:val="0"/>
              <w:autoSpaceDN w:val="0"/>
              <w:adjustRightInd w:val="0"/>
              <w:jc w:val="right"/>
              <w:rPr>
                <w:szCs w:val="21"/>
              </w:rPr>
            </w:pPr>
            <w:r>
              <w:t>3,102,437.09</w:t>
            </w:r>
          </w:p>
        </w:tc>
        <w:tc>
          <w:tcPr>
            <w:tcW w:w="632" w:type="pct"/>
            <w:tcBorders>
              <w:top w:val="single" w:sz="4" w:space="0" w:color="auto"/>
              <w:left w:val="single" w:sz="4" w:space="0" w:color="auto"/>
              <w:bottom w:val="single" w:sz="4" w:space="0" w:color="auto"/>
              <w:right w:val="single" w:sz="4" w:space="0" w:color="auto"/>
            </w:tcBorders>
          </w:tcPr>
          <w:p w14:paraId="115AE5B1" w14:textId="77777777" w:rsidR="00E57DAA" w:rsidRDefault="00AC4185">
            <w:pPr>
              <w:autoSpaceDE w:val="0"/>
              <w:autoSpaceDN w:val="0"/>
              <w:adjustRightInd w:val="0"/>
              <w:jc w:val="right"/>
              <w:rPr>
                <w:szCs w:val="21"/>
              </w:rPr>
            </w:pPr>
            <w:r>
              <w:t>194,774.96</w:t>
            </w:r>
          </w:p>
        </w:tc>
        <w:tc>
          <w:tcPr>
            <w:tcW w:w="703" w:type="pct"/>
            <w:tcBorders>
              <w:top w:val="single" w:sz="4" w:space="0" w:color="auto"/>
              <w:left w:val="single" w:sz="4" w:space="0" w:color="auto"/>
              <w:bottom w:val="single" w:sz="4" w:space="0" w:color="auto"/>
              <w:right w:val="single" w:sz="4" w:space="0" w:color="auto"/>
            </w:tcBorders>
          </w:tcPr>
          <w:p w14:paraId="672A6D9F" w14:textId="77777777" w:rsidR="00E57DAA" w:rsidRDefault="00AC4185">
            <w:pPr>
              <w:autoSpaceDE w:val="0"/>
              <w:autoSpaceDN w:val="0"/>
              <w:adjustRightInd w:val="0"/>
              <w:jc w:val="right"/>
              <w:rPr>
                <w:szCs w:val="21"/>
              </w:rPr>
            </w:pPr>
            <w:r>
              <w:t>2,829,709.57</w:t>
            </w:r>
          </w:p>
        </w:tc>
        <w:tc>
          <w:tcPr>
            <w:tcW w:w="914" w:type="pct"/>
            <w:tcBorders>
              <w:top w:val="single" w:sz="4" w:space="0" w:color="auto"/>
              <w:left w:val="single" w:sz="4" w:space="0" w:color="auto"/>
              <w:bottom w:val="single" w:sz="4" w:space="0" w:color="auto"/>
              <w:right w:val="single" w:sz="4" w:space="0" w:color="auto"/>
            </w:tcBorders>
          </w:tcPr>
          <w:p w14:paraId="61BC610C" w14:textId="77777777" w:rsidR="00E57DAA" w:rsidRDefault="00AC4185">
            <w:pPr>
              <w:autoSpaceDE w:val="0"/>
              <w:autoSpaceDN w:val="0"/>
              <w:adjustRightInd w:val="0"/>
              <w:jc w:val="right"/>
              <w:rPr>
                <w:szCs w:val="21"/>
              </w:rPr>
            </w:pPr>
            <w:r>
              <w:t>68,857.39</w:t>
            </w:r>
          </w:p>
        </w:tc>
      </w:tr>
      <w:tr w:rsidR="00E57DAA" w14:paraId="0AA7F9EA" w14:textId="77777777">
        <w:tc>
          <w:tcPr>
            <w:tcW w:w="677" w:type="pct"/>
            <w:tcBorders>
              <w:top w:val="single" w:sz="4" w:space="0" w:color="auto"/>
              <w:left w:val="single" w:sz="4" w:space="0" w:color="auto"/>
              <w:bottom w:val="single" w:sz="4" w:space="0" w:color="auto"/>
              <w:right w:val="single" w:sz="4" w:space="0" w:color="auto"/>
            </w:tcBorders>
            <w:vAlign w:val="center"/>
          </w:tcPr>
          <w:p w14:paraId="50C5B13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B2B842F" w14:textId="77777777" w:rsidR="00E57DAA" w:rsidRDefault="00AC4185">
            <w:pPr>
              <w:autoSpaceDE w:val="0"/>
              <w:autoSpaceDN w:val="0"/>
              <w:adjustRightInd w:val="0"/>
              <w:rPr>
                <w:szCs w:val="21"/>
              </w:rPr>
            </w:pPr>
            <w:r>
              <w:t>滕州中联水泥有限公司</w:t>
            </w:r>
          </w:p>
        </w:tc>
        <w:tc>
          <w:tcPr>
            <w:tcW w:w="633" w:type="pct"/>
            <w:tcBorders>
              <w:top w:val="single" w:sz="4" w:space="0" w:color="auto"/>
              <w:left w:val="single" w:sz="4" w:space="0" w:color="auto"/>
              <w:bottom w:val="single" w:sz="4" w:space="0" w:color="auto"/>
              <w:right w:val="single" w:sz="4" w:space="0" w:color="auto"/>
            </w:tcBorders>
          </w:tcPr>
          <w:p w14:paraId="5F7AE1AE" w14:textId="77777777" w:rsidR="00E57DAA" w:rsidRDefault="00AC4185">
            <w:pPr>
              <w:autoSpaceDE w:val="0"/>
              <w:autoSpaceDN w:val="0"/>
              <w:adjustRightInd w:val="0"/>
              <w:jc w:val="right"/>
              <w:rPr>
                <w:szCs w:val="21"/>
              </w:rPr>
            </w:pPr>
            <w:r>
              <w:t>3,052,404.57</w:t>
            </w:r>
          </w:p>
        </w:tc>
        <w:tc>
          <w:tcPr>
            <w:tcW w:w="632" w:type="pct"/>
            <w:tcBorders>
              <w:top w:val="single" w:sz="4" w:space="0" w:color="auto"/>
              <w:left w:val="single" w:sz="4" w:space="0" w:color="auto"/>
              <w:bottom w:val="single" w:sz="4" w:space="0" w:color="auto"/>
              <w:right w:val="single" w:sz="4" w:space="0" w:color="auto"/>
            </w:tcBorders>
          </w:tcPr>
          <w:p w14:paraId="0830AB8D" w14:textId="77777777" w:rsidR="00E57DAA" w:rsidRDefault="00AC4185">
            <w:pPr>
              <w:autoSpaceDE w:val="0"/>
              <w:autoSpaceDN w:val="0"/>
              <w:adjustRightInd w:val="0"/>
              <w:jc w:val="right"/>
              <w:rPr>
                <w:szCs w:val="21"/>
              </w:rPr>
            </w:pPr>
            <w:r>
              <w:t>72,341.99</w:t>
            </w:r>
          </w:p>
        </w:tc>
        <w:tc>
          <w:tcPr>
            <w:tcW w:w="703" w:type="pct"/>
            <w:tcBorders>
              <w:top w:val="single" w:sz="4" w:space="0" w:color="auto"/>
              <w:left w:val="single" w:sz="4" w:space="0" w:color="auto"/>
              <w:bottom w:val="single" w:sz="4" w:space="0" w:color="auto"/>
              <w:right w:val="single" w:sz="4" w:space="0" w:color="auto"/>
            </w:tcBorders>
          </w:tcPr>
          <w:p w14:paraId="4E3203CF" w14:textId="77777777" w:rsidR="00E57DAA" w:rsidRDefault="00AC4185">
            <w:pPr>
              <w:autoSpaceDE w:val="0"/>
              <w:autoSpaceDN w:val="0"/>
              <w:adjustRightInd w:val="0"/>
              <w:jc w:val="right"/>
              <w:rPr>
                <w:szCs w:val="21"/>
              </w:rPr>
            </w:pPr>
            <w:r>
              <w:t>1,320,921.77</w:t>
            </w:r>
          </w:p>
        </w:tc>
        <w:tc>
          <w:tcPr>
            <w:tcW w:w="914" w:type="pct"/>
            <w:tcBorders>
              <w:top w:val="single" w:sz="4" w:space="0" w:color="auto"/>
              <w:left w:val="single" w:sz="4" w:space="0" w:color="auto"/>
              <w:bottom w:val="single" w:sz="4" w:space="0" w:color="auto"/>
              <w:right w:val="single" w:sz="4" w:space="0" w:color="auto"/>
            </w:tcBorders>
          </w:tcPr>
          <w:p w14:paraId="6FC8EFE4" w14:textId="77777777" w:rsidR="00E57DAA" w:rsidRDefault="00AC4185">
            <w:pPr>
              <w:autoSpaceDE w:val="0"/>
              <w:autoSpaceDN w:val="0"/>
              <w:adjustRightInd w:val="0"/>
              <w:jc w:val="right"/>
              <w:rPr>
                <w:szCs w:val="21"/>
              </w:rPr>
            </w:pPr>
            <w:r>
              <w:t>18,492.90</w:t>
            </w:r>
          </w:p>
        </w:tc>
      </w:tr>
      <w:tr w:rsidR="00E57DAA" w14:paraId="3CBE6C4B" w14:textId="77777777">
        <w:tc>
          <w:tcPr>
            <w:tcW w:w="677" w:type="pct"/>
            <w:tcBorders>
              <w:top w:val="single" w:sz="4" w:space="0" w:color="auto"/>
              <w:left w:val="single" w:sz="4" w:space="0" w:color="auto"/>
              <w:bottom w:val="single" w:sz="4" w:space="0" w:color="auto"/>
              <w:right w:val="single" w:sz="4" w:space="0" w:color="auto"/>
            </w:tcBorders>
            <w:vAlign w:val="center"/>
          </w:tcPr>
          <w:p w14:paraId="692B31B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91E292B" w14:textId="77777777" w:rsidR="00E57DAA" w:rsidRDefault="00AC4185">
            <w:pPr>
              <w:autoSpaceDE w:val="0"/>
              <w:autoSpaceDN w:val="0"/>
              <w:adjustRightInd w:val="0"/>
              <w:rPr>
                <w:szCs w:val="21"/>
              </w:rPr>
            </w:pPr>
            <w:r>
              <w:t>青州中联水泥有限公司</w:t>
            </w:r>
          </w:p>
        </w:tc>
        <w:tc>
          <w:tcPr>
            <w:tcW w:w="633" w:type="pct"/>
            <w:tcBorders>
              <w:top w:val="single" w:sz="4" w:space="0" w:color="auto"/>
              <w:left w:val="single" w:sz="4" w:space="0" w:color="auto"/>
              <w:bottom w:val="single" w:sz="4" w:space="0" w:color="auto"/>
              <w:right w:val="single" w:sz="4" w:space="0" w:color="auto"/>
            </w:tcBorders>
          </w:tcPr>
          <w:p w14:paraId="551E369A" w14:textId="77777777" w:rsidR="00E57DAA" w:rsidRDefault="00AC4185">
            <w:pPr>
              <w:autoSpaceDE w:val="0"/>
              <w:autoSpaceDN w:val="0"/>
              <w:adjustRightInd w:val="0"/>
              <w:jc w:val="right"/>
              <w:rPr>
                <w:szCs w:val="21"/>
              </w:rPr>
            </w:pPr>
            <w:r>
              <w:t>3,011,614.78</w:t>
            </w:r>
          </w:p>
        </w:tc>
        <w:tc>
          <w:tcPr>
            <w:tcW w:w="632" w:type="pct"/>
            <w:tcBorders>
              <w:top w:val="single" w:sz="4" w:space="0" w:color="auto"/>
              <w:left w:val="single" w:sz="4" w:space="0" w:color="auto"/>
              <w:bottom w:val="single" w:sz="4" w:space="0" w:color="auto"/>
              <w:right w:val="single" w:sz="4" w:space="0" w:color="auto"/>
            </w:tcBorders>
          </w:tcPr>
          <w:p w14:paraId="0321A5F0" w14:textId="77777777" w:rsidR="00E57DAA" w:rsidRDefault="00AC4185">
            <w:pPr>
              <w:autoSpaceDE w:val="0"/>
              <w:autoSpaceDN w:val="0"/>
              <w:adjustRightInd w:val="0"/>
              <w:jc w:val="right"/>
              <w:rPr>
                <w:szCs w:val="21"/>
              </w:rPr>
            </w:pPr>
            <w:r>
              <w:t>71,375.27</w:t>
            </w:r>
          </w:p>
        </w:tc>
        <w:tc>
          <w:tcPr>
            <w:tcW w:w="703" w:type="pct"/>
            <w:tcBorders>
              <w:top w:val="single" w:sz="4" w:space="0" w:color="auto"/>
              <w:left w:val="single" w:sz="4" w:space="0" w:color="auto"/>
              <w:bottom w:val="single" w:sz="4" w:space="0" w:color="auto"/>
              <w:right w:val="single" w:sz="4" w:space="0" w:color="auto"/>
            </w:tcBorders>
          </w:tcPr>
          <w:p w14:paraId="3CE7A28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D540E89" w14:textId="77777777" w:rsidR="00E57DAA" w:rsidRDefault="00AC4185">
            <w:pPr>
              <w:autoSpaceDE w:val="0"/>
              <w:autoSpaceDN w:val="0"/>
              <w:adjustRightInd w:val="0"/>
              <w:jc w:val="right"/>
              <w:rPr>
                <w:szCs w:val="21"/>
              </w:rPr>
            </w:pPr>
            <w:r>
              <w:t xml:space="preserve">　</w:t>
            </w:r>
          </w:p>
        </w:tc>
      </w:tr>
      <w:tr w:rsidR="00E57DAA" w14:paraId="2D7BD08E" w14:textId="77777777">
        <w:tc>
          <w:tcPr>
            <w:tcW w:w="677" w:type="pct"/>
            <w:tcBorders>
              <w:top w:val="single" w:sz="4" w:space="0" w:color="auto"/>
              <w:left w:val="single" w:sz="4" w:space="0" w:color="auto"/>
              <w:bottom w:val="single" w:sz="4" w:space="0" w:color="auto"/>
              <w:right w:val="single" w:sz="4" w:space="0" w:color="auto"/>
            </w:tcBorders>
            <w:vAlign w:val="center"/>
          </w:tcPr>
          <w:p w14:paraId="704D60D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38A2CDE" w14:textId="77777777" w:rsidR="00E57DAA" w:rsidRDefault="00AC4185">
            <w:pPr>
              <w:autoSpaceDE w:val="0"/>
              <w:autoSpaceDN w:val="0"/>
              <w:adjustRightInd w:val="0"/>
              <w:rPr>
                <w:szCs w:val="21"/>
              </w:rPr>
            </w:pPr>
            <w:r>
              <w:t>鲁南中联水泥有限公司</w:t>
            </w:r>
          </w:p>
        </w:tc>
        <w:tc>
          <w:tcPr>
            <w:tcW w:w="633" w:type="pct"/>
            <w:tcBorders>
              <w:top w:val="single" w:sz="4" w:space="0" w:color="auto"/>
              <w:left w:val="single" w:sz="4" w:space="0" w:color="auto"/>
              <w:bottom w:val="single" w:sz="4" w:space="0" w:color="auto"/>
              <w:right w:val="single" w:sz="4" w:space="0" w:color="auto"/>
            </w:tcBorders>
          </w:tcPr>
          <w:p w14:paraId="46E8232E" w14:textId="77777777" w:rsidR="00E57DAA" w:rsidRDefault="00AC4185">
            <w:pPr>
              <w:autoSpaceDE w:val="0"/>
              <w:autoSpaceDN w:val="0"/>
              <w:adjustRightInd w:val="0"/>
              <w:jc w:val="right"/>
              <w:rPr>
                <w:szCs w:val="21"/>
              </w:rPr>
            </w:pPr>
            <w:r>
              <w:t>2,823,261.82</w:t>
            </w:r>
          </w:p>
        </w:tc>
        <w:tc>
          <w:tcPr>
            <w:tcW w:w="632" w:type="pct"/>
            <w:tcBorders>
              <w:top w:val="single" w:sz="4" w:space="0" w:color="auto"/>
              <w:left w:val="single" w:sz="4" w:space="0" w:color="auto"/>
              <w:bottom w:val="single" w:sz="4" w:space="0" w:color="auto"/>
              <w:right w:val="single" w:sz="4" w:space="0" w:color="auto"/>
            </w:tcBorders>
          </w:tcPr>
          <w:p w14:paraId="529A7014" w14:textId="77777777" w:rsidR="00E57DAA" w:rsidRDefault="00AC4185">
            <w:pPr>
              <w:autoSpaceDE w:val="0"/>
              <w:autoSpaceDN w:val="0"/>
              <w:adjustRightInd w:val="0"/>
              <w:jc w:val="right"/>
              <w:rPr>
                <w:szCs w:val="21"/>
              </w:rPr>
            </w:pPr>
            <w:r>
              <w:t>446,848.24</w:t>
            </w:r>
          </w:p>
        </w:tc>
        <w:tc>
          <w:tcPr>
            <w:tcW w:w="703" w:type="pct"/>
            <w:tcBorders>
              <w:top w:val="single" w:sz="4" w:space="0" w:color="auto"/>
              <w:left w:val="single" w:sz="4" w:space="0" w:color="auto"/>
              <w:bottom w:val="single" w:sz="4" w:space="0" w:color="auto"/>
              <w:right w:val="single" w:sz="4" w:space="0" w:color="auto"/>
            </w:tcBorders>
          </w:tcPr>
          <w:p w14:paraId="09CA9D57" w14:textId="77777777" w:rsidR="00E57DAA" w:rsidRDefault="00AC4185">
            <w:pPr>
              <w:autoSpaceDE w:val="0"/>
              <w:autoSpaceDN w:val="0"/>
              <w:adjustRightInd w:val="0"/>
              <w:jc w:val="right"/>
              <w:rPr>
                <w:szCs w:val="21"/>
              </w:rPr>
            </w:pPr>
            <w:r>
              <w:t>1,845,954.59</w:t>
            </w:r>
          </w:p>
        </w:tc>
        <w:tc>
          <w:tcPr>
            <w:tcW w:w="914" w:type="pct"/>
            <w:tcBorders>
              <w:top w:val="single" w:sz="4" w:space="0" w:color="auto"/>
              <w:left w:val="single" w:sz="4" w:space="0" w:color="auto"/>
              <w:bottom w:val="single" w:sz="4" w:space="0" w:color="auto"/>
              <w:right w:val="single" w:sz="4" w:space="0" w:color="auto"/>
            </w:tcBorders>
          </w:tcPr>
          <w:p w14:paraId="3D02BF90" w14:textId="77777777" w:rsidR="00E57DAA" w:rsidRDefault="00AC4185">
            <w:pPr>
              <w:autoSpaceDE w:val="0"/>
              <w:autoSpaceDN w:val="0"/>
              <w:adjustRightInd w:val="0"/>
              <w:jc w:val="right"/>
              <w:rPr>
                <w:szCs w:val="21"/>
              </w:rPr>
            </w:pPr>
            <w:r>
              <w:t>326,733.96</w:t>
            </w:r>
          </w:p>
        </w:tc>
      </w:tr>
      <w:tr w:rsidR="00E57DAA" w14:paraId="392A2578" w14:textId="77777777">
        <w:tc>
          <w:tcPr>
            <w:tcW w:w="677" w:type="pct"/>
            <w:tcBorders>
              <w:top w:val="single" w:sz="4" w:space="0" w:color="auto"/>
              <w:left w:val="single" w:sz="4" w:space="0" w:color="auto"/>
              <w:bottom w:val="single" w:sz="4" w:space="0" w:color="auto"/>
              <w:right w:val="single" w:sz="4" w:space="0" w:color="auto"/>
            </w:tcBorders>
            <w:vAlign w:val="center"/>
          </w:tcPr>
          <w:p w14:paraId="01FC97E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25B405E" w14:textId="77777777" w:rsidR="00E57DAA" w:rsidRDefault="00AC4185">
            <w:pPr>
              <w:autoSpaceDE w:val="0"/>
              <w:autoSpaceDN w:val="0"/>
              <w:adjustRightInd w:val="0"/>
              <w:rPr>
                <w:szCs w:val="21"/>
              </w:rPr>
            </w:pPr>
            <w:r>
              <w:t>安徽郎溪南方水泥有限公司</w:t>
            </w:r>
          </w:p>
        </w:tc>
        <w:tc>
          <w:tcPr>
            <w:tcW w:w="633" w:type="pct"/>
            <w:tcBorders>
              <w:top w:val="single" w:sz="4" w:space="0" w:color="auto"/>
              <w:left w:val="single" w:sz="4" w:space="0" w:color="auto"/>
              <w:bottom w:val="single" w:sz="4" w:space="0" w:color="auto"/>
              <w:right w:val="single" w:sz="4" w:space="0" w:color="auto"/>
            </w:tcBorders>
          </w:tcPr>
          <w:p w14:paraId="11C147BF" w14:textId="77777777" w:rsidR="00E57DAA" w:rsidRDefault="00AC4185">
            <w:pPr>
              <w:autoSpaceDE w:val="0"/>
              <w:autoSpaceDN w:val="0"/>
              <w:adjustRightInd w:val="0"/>
              <w:jc w:val="right"/>
              <w:rPr>
                <w:szCs w:val="21"/>
              </w:rPr>
            </w:pPr>
            <w:r>
              <w:t>2,683,865.17</w:t>
            </w:r>
          </w:p>
        </w:tc>
        <w:tc>
          <w:tcPr>
            <w:tcW w:w="632" w:type="pct"/>
            <w:tcBorders>
              <w:top w:val="single" w:sz="4" w:space="0" w:color="auto"/>
              <w:left w:val="single" w:sz="4" w:space="0" w:color="auto"/>
              <w:bottom w:val="single" w:sz="4" w:space="0" w:color="auto"/>
              <w:right w:val="single" w:sz="4" w:space="0" w:color="auto"/>
            </w:tcBorders>
          </w:tcPr>
          <w:p w14:paraId="3EEA1C97" w14:textId="77777777" w:rsidR="00E57DAA" w:rsidRDefault="00AC4185">
            <w:pPr>
              <w:autoSpaceDE w:val="0"/>
              <w:autoSpaceDN w:val="0"/>
              <w:adjustRightInd w:val="0"/>
              <w:jc w:val="right"/>
              <w:rPr>
                <w:szCs w:val="21"/>
              </w:rPr>
            </w:pPr>
            <w:r>
              <w:t>240,735.67</w:t>
            </w:r>
          </w:p>
        </w:tc>
        <w:tc>
          <w:tcPr>
            <w:tcW w:w="703" w:type="pct"/>
            <w:tcBorders>
              <w:top w:val="single" w:sz="4" w:space="0" w:color="auto"/>
              <w:left w:val="single" w:sz="4" w:space="0" w:color="auto"/>
              <w:bottom w:val="single" w:sz="4" w:space="0" w:color="auto"/>
              <w:right w:val="single" w:sz="4" w:space="0" w:color="auto"/>
            </w:tcBorders>
          </w:tcPr>
          <w:p w14:paraId="36579B28" w14:textId="77777777" w:rsidR="00E57DAA" w:rsidRDefault="00AC4185">
            <w:pPr>
              <w:autoSpaceDE w:val="0"/>
              <w:autoSpaceDN w:val="0"/>
              <w:adjustRightInd w:val="0"/>
              <w:jc w:val="right"/>
              <w:rPr>
                <w:szCs w:val="21"/>
              </w:rPr>
            </w:pPr>
            <w:r>
              <w:t>9,998,000.05</w:t>
            </w:r>
          </w:p>
        </w:tc>
        <w:tc>
          <w:tcPr>
            <w:tcW w:w="914" w:type="pct"/>
            <w:tcBorders>
              <w:top w:val="single" w:sz="4" w:space="0" w:color="auto"/>
              <w:left w:val="single" w:sz="4" w:space="0" w:color="auto"/>
              <w:bottom w:val="single" w:sz="4" w:space="0" w:color="auto"/>
              <w:right w:val="single" w:sz="4" w:space="0" w:color="auto"/>
            </w:tcBorders>
          </w:tcPr>
          <w:p w14:paraId="59E82040" w14:textId="77777777" w:rsidR="00E57DAA" w:rsidRDefault="00AC4185">
            <w:pPr>
              <w:autoSpaceDE w:val="0"/>
              <w:autoSpaceDN w:val="0"/>
              <w:adjustRightInd w:val="0"/>
              <w:jc w:val="right"/>
              <w:rPr>
                <w:szCs w:val="21"/>
              </w:rPr>
            </w:pPr>
            <w:r>
              <w:t>499,900.00</w:t>
            </w:r>
          </w:p>
        </w:tc>
      </w:tr>
      <w:tr w:rsidR="00E57DAA" w14:paraId="6F17D244" w14:textId="77777777">
        <w:tc>
          <w:tcPr>
            <w:tcW w:w="677" w:type="pct"/>
            <w:tcBorders>
              <w:top w:val="single" w:sz="4" w:space="0" w:color="auto"/>
              <w:left w:val="single" w:sz="4" w:space="0" w:color="auto"/>
              <w:bottom w:val="single" w:sz="4" w:space="0" w:color="auto"/>
              <w:right w:val="single" w:sz="4" w:space="0" w:color="auto"/>
            </w:tcBorders>
            <w:vAlign w:val="center"/>
          </w:tcPr>
          <w:p w14:paraId="20EC4DD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4737532" w14:textId="77777777" w:rsidR="00E57DAA" w:rsidRDefault="00AC4185">
            <w:pPr>
              <w:autoSpaceDE w:val="0"/>
              <w:autoSpaceDN w:val="0"/>
              <w:adjustRightInd w:val="0"/>
              <w:rPr>
                <w:szCs w:val="21"/>
              </w:rPr>
            </w:pPr>
            <w:r>
              <w:t>通辽中联水泥有限公司</w:t>
            </w:r>
          </w:p>
        </w:tc>
        <w:tc>
          <w:tcPr>
            <w:tcW w:w="633" w:type="pct"/>
            <w:tcBorders>
              <w:top w:val="single" w:sz="4" w:space="0" w:color="auto"/>
              <w:left w:val="single" w:sz="4" w:space="0" w:color="auto"/>
              <w:bottom w:val="single" w:sz="4" w:space="0" w:color="auto"/>
              <w:right w:val="single" w:sz="4" w:space="0" w:color="auto"/>
            </w:tcBorders>
          </w:tcPr>
          <w:p w14:paraId="7C63C033" w14:textId="77777777" w:rsidR="00E57DAA" w:rsidRDefault="00AC4185">
            <w:pPr>
              <w:autoSpaceDE w:val="0"/>
              <w:autoSpaceDN w:val="0"/>
              <w:adjustRightInd w:val="0"/>
              <w:jc w:val="right"/>
              <w:rPr>
                <w:szCs w:val="21"/>
              </w:rPr>
            </w:pPr>
            <w:r>
              <w:t>2,636,016.08</w:t>
            </w:r>
          </w:p>
        </w:tc>
        <w:tc>
          <w:tcPr>
            <w:tcW w:w="632" w:type="pct"/>
            <w:tcBorders>
              <w:top w:val="single" w:sz="4" w:space="0" w:color="auto"/>
              <w:left w:val="single" w:sz="4" w:space="0" w:color="auto"/>
              <w:bottom w:val="single" w:sz="4" w:space="0" w:color="auto"/>
              <w:right w:val="single" w:sz="4" w:space="0" w:color="auto"/>
            </w:tcBorders>
          </w:tcPr>
          <w:p w14:paraId="19D157D8" w14:textId="77777777" w:rsidR="00E57DAA" w:rsidRDefault="00AC4185">
            <w:pPr>
              <w:autoSpaceDE w:val="0"/>
              <w:autoSpaceDN w:val="0"/>
              <w:adjustRightInd w:val="0"/>
              <w:jc w:val="right"/>
              <w:rPr>
                <w:szCs w:val="21"/>
              </w:rPr>
            </w:pPr>
            <w:r>
              <w:t>263,601.61</w:t>
            </w:r>
          </w:p>
        </w:tc>
        <w:tc>
          <w:tcPr>
            <w:tcW w:w="703" w:type="pct"/>
            <w:tcBorders>
              <w:top w:val="single" w:sz="4" w:space="0" w:color="auto"/>
              <w:left w:val="single" w:sz="4" w:space="0" w:color="auto"/>
              <w:bottom w:val="single" w:sz="4" w:space="0" w:color="auto"/>
              <w:right w:val="single" w:sz="4" w:space="0" w:color="auto"/>
            </w:tcBorders>
          </w:tcPr>
          <w:p w14:paraId="0F23C1ED"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9D36D5F" w14:textId="77777777" w:rsidR="00E57DAA" w:rsidRDefault="00AC4185">
            <w:pPr>
              <w:autoSpaceDE w:val="0"/>
              <w:autoSpaceDN w:val="0"/>
              <w:adjustRightInd w:val="0"/>
              <w:jc w:val="right"/>
              <w:rPr>
                <w:szCs w:val="21"/>
              </w:rPr>
            </w:pPr>
            <w:r>
              <w:t xml:space="preserve">　</w:t>
            </w:r>
          </w:p>
        </w:tc>
      </w:tr>
      <w:tr w:rsidR="00E57DAA" w14:paraId="062AD333" w14:textId="77777777">
        <w:tc>
          <w:tcPr>
            <w:tcW w:w="677" w:type="pct"/>
            <w:tcBorders>
              <w:top w:val="single" w:sz="4" w:space="0" w:color="auto"/>
              <w:left w:val="single" w:sz="4" w:space="0" w:color="auto"/>
              <w:bottom w:val="single" w:sz="4" w:space="0" w:color="auto"/>
              <w:right w:val="single" w:sz="4" w:space="0" w:color="auto"/>
            </w:tcBorders>
            <w:vAlign w:val="center"/>
          </w:tcPr>
          <w:p w14:paraId="7FEA651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E356D96" w14:textId="77777777" w:rsidR="00E57DAA" w:rsidRDefault="00AC4185">
            <w:pPr>
              <w:autoSpaceDE w:val="0"/>
              <w:autoSpaceDN w:val="0"/>
              <w:adjustRightInd w:val="0"/>
              <w:rPr>
                <w:szCs w:val="21"/>
              </w:rPr>
            </w:pPr>
            <w:r>
              <w:t>溧水天山水泥有限公司</w:t>
            </w:r>
          </w:p>
        </w:tc>
        <w:tc>
          <w:tcPr>
            <w:tcW w:w="633" w:type="pct"/>
            <w:tcBorders>
              <w:top w:val="single" w:sz="4" w:space="0" w:color="auto"/>
              <w:left w:val="single" w:sz="4" w:space="0" w:color="auto"/>
              <w:bottom w:val="single" w:sz="4" w:space="0" w:color="auto"/>
              <w:right w:val="single" w:sz="4" w:space="0" w:color="auto"/>
            </w:tcBorders>
          </w:tcPr>
          <w:p w14:paraId="42B9F6EC" w14:textId="77777777" w:rsidR="00E57DAA" w:rsidRDefault="00AC4185">
            <w:pPr>
              <w:autoSpaceDE w:val="0"/>
              <w:autoSpaceDN w:val="0"/>
              <w:adjustRightInd w:val="0"/>
              <w:jc w:val="right"/>
              <w:rPr>
                <w:szCs w:val="21"/>
              </w:rPr>
            </w:pPr>
            <w:r>
              <w:t>1,755,000.00</w:t>
            </w:r>
          </w:p>
        </w:tc>
        <w:tc>
          <w:tcPr>
            <w:tcW w:w="632" w:type="pct"/>
            <w:tcBorders>
              <w:top w:val="single" w:sz="4" w:space="0" w:color="auto"/>
              <w:left w:val="single" w:sz="4" w:space="0" w:color="auto"/>
              <w:bottom w:val="single" w:sz="4" w:space="0" w:color="auto"/>
              <w:right w:val="single" w:sz="4" w:space="0" w:color="auto"/>
            </w:tcBorders>
          </w:tcPr>
          <w:p w14:paraId="734296FF" w14:textId="77777777" w:rsidR="00E57DAA" w:rsidRDefault="00AC4185">
            <w:pPr>
              <w:autoSpaceDE w:val="0"/>
              <w:autoSpaceDN w:val="0"/>
              <w:adjustRightInd w:val="0"/>
              <w:jc w:val="right"/>
              <w:rPr>
                <w:szCs w:val="21"/>
              </w:rPr>
            </w:pPr>
            <w:r>
              <w:t>87,750.00</w:t>
            </w:r>
          </w:p>
        </w:tc>
        <w:tc>
          <w:tcPr>
            <w:tcW w:w="703" w:type="pct"/>
            <w:tcBorders>
              <w:top w:val="single" w:sz="4" w:space="0" w:color="auto"/>
              <w:left w:val="single" w:sz="4" w:space="0" w:color="auto"/>
              <w:bottom w:val="single" w:sz="4" w:space="0" w:color="auto"/>
              <w:right w:val="single" w:sz="4" w:space="0" w:color="auto"/>
            </w:tcBorders>
          </w:tcPr>
          <w:p w14:paraId="5CA7979E" w14:textId="77777777" w:rsidR="00E57DAA" w:rsidRDefault="00AC4185">
            <w:pPr>
              <w:autoSpaceDE w:val="0"/>
              <w:autoSpaceDN w:val="0"/>
              <w:adjustRightInd w:val="0"/>
              <w:jc w:val="right"/>
              <w:rPr>
                <w:szCs w:val="21"/>
              </w:rPr>
            </w:pPr>
            <w:r>
              <w:t>1,555.49</w:t>
            </w:r>
          </w:p>
        </w:tc>
        <w:tc>
          <w:tcPr>
            <w:tcW w:w="914" w:type="pct"/>
            <w:tcBorders>
              <w:top w:val="single" w:sz="4" w:space="0" w:color="auto"/>
              <w:left w:val="single" w:sz="4" w:space="0" w:color="auto"/>
              <w:bottom w:val="single" w:sz="4" w:space="0" w:color="auto"/>
              <w:right w:val="single" w:sz="4" w:space="0" w:color="auto"/>
            </w:tcBorders>
          </w:tcPr>
          <w:p w14:paraId="2470604B" w14:textId="77777777" w:rsidR="00E57DAA" w:rsidRDefault="00AC4185">
            <w:pPr>
              <w:autoSpaceDE w:val="0"/>
              <w:autoSpaceDN w:val="0"/>
              <w:adjustRightInd w:val="0"/>
              <w:jc w:val="right"/>
              <w:rPr>
                <w:szCs w:val="21"/>
              </w:rPr>
            </w:pPr>
            <w:r>
              <w:t>36.87</w:t>
            </w:r>
          </w:p>
        </w:tc>
      </w:tr>
      <w:tr w:rsidR="00E57DAA" w14:paraId="3C61AE0B" w14:textId="77777777">
        <w:tc>
          <w:tcPr>
            <w:tcW w:w="677" w:type="pct"/>
            <w:tcBorders>
              <w:top w:val="single" w:sz="4" w:space="0" w:color="auto"/>
              <w:left w:val="single" w:sz="4" w:space="0" w:color="auto"/>
              <w:bottom w:val="single" w:sz="4" w:space="0" w:color="auto"/>
              <w:right w:val="single" w:sz="4" w:space="0" w:color="auto"/>
            </w:tcBorders>
            <w:vAlign w:val="center"/>
          </w:tcPr>
          <w:p w14:paraId="33F4F69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7A5A985" w14:textId="77777777" w:rsidR="00E57DAA" w:rsidRDefault="00AC4185">
            <w:pPr>
              <w:autoSpaceDE w:val="0"/>
              <w:autoSpaceDN w:val="0"/>
              <w:adjustRightInd w:val="0"/>
              <w:rPr>
                <w:szCs w:val="21"/>
              </w:rPr>
            </w:pPr>
            <w:r>
              <w:t>泰安中联水泥有限公司</w:t>
            </w:r>
          </w:p>
        </w:tc>
        <w:tc>
          <w:tcPr>
            <w:tcW w:w="633" w:type="pct"/>
            <w:tcBorders>
              <w:top w:val="single" w:sz="4" w:space="0" w:color="auto"/>
              <w:left w:val="single" w:sz="4" w:space="0" w:color="auto"/>
              <w:bottom w:val="single" w:sz="4" w:space="0" w:color="auto"/>
              <w:right w:val="single" w:sz="4" w:space="0" w:color="auto"/>
            </w:tcBorders>
          </w:tcPr>
          <w:p w14:paraId="09652DE9" w14:textId="77777777" w:rsidR="00E57DAA" w:rsidRDefault="00AC4185">
            <w:pPr>
              <w:autoSpaceDE w:val="0"/>
              <w:autoSpaceDN w:val="0"/>
              <w:adjustRightInd w:val="0"/>
              <w:jc w:val="right"/>
              <w:rPr>
                <w:szCs w:val="21"/>
              </w:rPr>
            </w:pPr>
            <w:r>
              <w:t>1,529,008.68</w:t>
            </w:r>
          </w:p>
        </w:tc>
        <w:tc>
          <w:tcPr>
            <w:tcW w:w="632" w:type="pct"/>
            <w:tcBorders>
              <w:top w:val="single" w:sz="4" w:space="0" w:color="auto"/>
              <w:left w:val="single" w:sz="4" w:space="0" w:color="auto"/>
              <w:bottom w:val="single" w:sz="4" w:space="0" w:color="auto"/>
              <w:right w:val="single" w:sz="4" w:space="0" w:color="auto"/>
            </w:tcBorders>
          </w:tcPr>
          <w:p w14:paraId="099EE7EA" w14:textId="77777777" w:rsidR="00E57DAA" w:rsidRDefault="00AC4185">
            <w:pPr>
              <w:autoSpaceDE w:val="0"/>
              <w:autoSpaceDN w:val="0"/>
              <w:adjustRightInd w:val="0"/>
              <w:jc w:val="right"/>
              <w:rPr>
                <w:szCs w:val="21"/>
              </w:rPr>
            </w:pPr>
            <w:r>
              <w:t>12,843.67</w:t>
            </w:r>
          </w:p>
        </w:tc>
        <w:tc>
          <w:tcPr>
            <w:tcW w:w="703" w:type="pct"/>
            <w:tcBorders>
              <w:top w:val="single" w:sz="4" w:space="0" w:color="auto"/>
              <w:left w:val="single" w:sz="4" w:space="0" w:color="auto"/>
              <w:bottom w:val="single" w:sz="4" w:space="0" w:color="auto"/>
              <w:right w:val="single" w:sz="4" w:space="0" w:color="auto"/>
            </w:tcBorders>
          </w:tcPr>
          <w:p w14:paraId="3033AC3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9617F69" w14:textId="77777777" w:rsidR="00E57DAA" w:rsidRDefault="00AC4185">
            <w:pPr>
              <w:autoSpaceDE w:val="0"/>
              <w:autoSpaceDN w:val="0"/>
              <w:adjustRightInd w:val="0"/>
              <w:jc w:val="right"/>
              <w:rPr>
                <w:szCs w:val="21"/>
              </w:rPr>
            </w:pPr>
            <w:r>
              <w:t xml:space="preserve">　</w:t>
            </w:r>
          </w:p>
        </w:tc>
      </w:tr>
      <w:tr w:rsidR="00E57DAA" w14:paraId="07B21FCA" w14:textId="77777777">
        <w:tc>
          <w:tcPr>
            <w:tcW w:w="677" w:type="pct"/>
            <w:tcBorders>
              <w:top w:val="single" w:sz="4" w:space="0" w:color="auto"/>
              <w:left w:val="single" w:sz="4" w:space="0" w:color="auto"/>
              <w:bottom w:val="single" w:sz="4" w:space="0" w:color="auto"/>
              <w:right w:val="single" w:sz="4" w:space="0" w:color="auto"/>
            </w:tcBorders>
            <w:vAlign w:val="center"/>
          </w:tcPr>
          <w:p w14:paraId="0A5EC01B"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FFC72B2" w14:textId="77777777" w:rsidR="00E57DAA" w:rsidRDefault="00AC4185">
            <w:pPr>
              <w:autoSpaceDE w:val="0"/>
              <w:autoSpaceDN w:val="0"/>
              <w:adjustRightInd w:val="0"/>
              <w:rPr>
                <w:szCs w:val="21"/>
              </w:rPr>
            </w:pPr>
            <w:r>
              <w:t>四川嘉华锦屏特种水泥有限责任公司</w:t>
            </w:r>
          </w:p>
        </w:tc>
        <w:tc>
          <w:tcPr>
            <w:tcW w:w="633" w:type="pct"/>
            <w:tcBorders>
              <w:top w:val="single" w:sz="4" w:space="0" w:color="auto"/>
              <w:left w:val="single" w:sz="4" w:space="0" w:color="auto"/>
              <w:bottom w:val="single" w:sz="4" w:space="0" w:color="auto"/>
              <w:right w:val="single" w:sz="4" w:space="0" w:color="auto"/>
            </w:tcBorders>
          </w:tcPr>
          <w:p w14:paraId="42C8FAEB" w14:textId="77777777" w:rsidR="00E57DAA" w:rsidRDefault="00AC4185">
            <w:pPr>
              <w:autoSpaceDE w:val="0"/>
              <w:autoSpaceDN w:val="0"/>
              <w:adjustRightInd w:val="0"/>
              <w:jc w:val="right"/>
              <w:rPr>
                <w:szCs w:val="21"/>
              </w:rPr>
            </w:pPr>
            <w:r>
              <w:t>1,348,000.00</w:t>
            </w:r>
          </w:p>
        </w:tc>
        <w:tc>
          <w:tcPr>
            <w:tcW w:w="632" w:type="pct"/>
            <w:tcBorders>
              <w:top w:val="single" w:sz="4" w:space="0" w:color="auto"/>
              <w:left w:val="single" w:sz="4" w:space="0" w:color="auto"/>
              <w:bottom w:val="single" w:sz="4" w:space="0" w:color="auto"/>
              <w:right w:val="single" w:sz="4" w:space="0" w:color="auto"/>
            </w:tcBorders>
          </w:tcPr>
          <w:p w14:paraId="334EE4B6" w14:textId="77777777" w:rsidR="00E57DAA" w:rsidRDefault="00AC4185">
            <w:pPr>
              <w:autoSpaceDE w:val="0"/>
              <w:autoSpaceDN w:val="0"/>
              <w:adjustRightInd w:val="0"/>
              <w:jc w:val="right"/>
              <w:rPr>
                <w:szCs w:val="21"/>
              </w:rPr>
            </w:pPr>
            <w:r>
              <w:t>134,800.00</w:t>
            </w:r>
          </w:p>
        </w:tc>
        <w:tc>
          <w:tcPr>
            <w:tcW w:w="703" w:type="pct"/>
            <w:tcBorders>
              <w:top w:val="single" w:sz="4" w:space="0" w:color="auto"/>
              <w:left w:val="single" w:sz="4" w:space="0" w:color="auto"/>
              <w:bottom w:val="single" w:sz="4" w:space="0" w:color="auto"/>
              <w:right w:val="single" w:sz="4" w:space="0" w:color="auto"/>
            </w:tcBorders>
          </w:tcPr>
          <w:p w14:paraId="74A8DDB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D4E1617" w14:textId="77777777" w:rsidR="00E57DAA" w:rsidRDefault="00AC4185">
            <w:pPr>
              <w:autoSpaceDE w:val="0"/>
              <w:autoSpaceDN w:val="0"/>
              <w:adjustRightInd w:val="0"/>
              <w:jc w:val="right"/>
              <w:rPr>
                <w:szCs w:val="21"/>
              </w:rPr>
            </w:pPr>
            <w:r>
              <w:t xml:space="preserve">　</w:t>
            </w:r>
          </w:p>
        </w:tc>
      </w:tr>
      <w:tr w:rsidR="00E57DAA" w14:paraId="1513C8ED" w14:textId="77777777">
        <w:tc>
          <w:tcPr>
            <w:tcW w:w="677" w:type="pct"/>
            <w:tcBorders>
              <w:top w:val="single" w:sz="4" w:space="0" w:color="auto"/>
              <w:left w:val="single" w:sz="4" w:space="0" w:color="auto"/>
              <w:bottom w:val="single" w:sz="4" w:space="0" w:color="auto"/>
              <w:right w:val="single" w:sz="4" w:space="0" w:color="auto"/>
            </w:tcBorders>
            <w:vAlign w:val="center"/>
          </w:tcPr>
          <w:p w14:paraId="577A3B0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7379A05" w14:textId="77777777" w:rsidR="00E57DAA" w:rsidRDefault="00AC4185">
            <w:pPr>
              <w:autoSpaceDE w:val="0"/>
              <w:autoSpaceDN w:val="0"/>
              <w:adjustRightInd w:val="0"/>
              <w:rPr>
                <w:szCs w:val="21"/>
              </w:rPr>
            </w:pPr>
            <w:r>
              <w:t>桐庐南方水泥有限公司</w:t>
            </w:r>
          </w:p>
        </w:tc>
        <w:tc>
          <w:tcPr>
            <w:tcW w:w="633" w:type="pct"/>
            <w:tcBorders>
              <w:top w:val="single" w:sz="4" w:space="0" w:color="auto"/>
              <w:left w:val="single" w:sz="4" w:space="0" w:color="auto"/>
              <w:bottom w:val="single" w:sz="4" w:space="0" w:color="auto"/>
              <w:right w:val="single" w:sz="4" w:space="0" w:color="auto"/>
            </w:tcBorders>
          </w:tcPr>
          <w:p w14:paraId="7B1C6BCF" w14:textId="77777777" w:rsidR="00E57DAA" w:rsidRDefault="00AC4185">
            <w:pPr>
              <w:autoSpaceDE w:val="0"/>
              <w:autoSpaceDN w:val="0"/>
              <w:adjustRightInd w:val="0"/>
              <w:jc w:val="right"/>
              <w:rPr>
                <w:szCs w:val="21"/>
              </w:rPr>
            </w:pPr>
            <w:r>
              <w:t>1,305,387.70</w:t>
            </w:r>
          </w:p>
        </w:tc>
        <w:tc>
          <w:tcPr>
            <w:tcW w:w="632" w:type="pct"/>
            <w:tcBorders>
              <w:top w:val="single" w:sz="4" w:space="0" w:color="auto"/>
              <w:left w:val="single" w:sz="4" w:space="0" w:color="auto"/>
              <w:bottom w:val="single" w:sz="4" w:space="0" w:color="auto"/>
              <w:right w:val="single" w:sz="4" w:space="0" w:color="auto"/>
            </w:tcBorders>
          </w:tcPr>
          <w:p w14:paraId="0C60D4AC" w14:textId="77777777" w:rsidR="00E57DAA" w:rsidRDefault="00AC4185">
            <w:pPr>
              <w:autoSpaceDE w:val="0"/>
              <w:autoSpaceDN w:val="0"/>
              <w:adjustRightInd w:val="0"/>
              <w:jc w:val="right"/>
              <w:rPr>
                <w:szCs w:val="21"/>
              </w:rPr>
            </w:pPr>
            <w:r>
              <w:t>5,221.55</w:t>
            </w:r>
          </w:p>
        </w:tc>
        <w:tc>
          <w:tcPr>
            <w:tcW w:w="703" w:type="pct"/>
            <w:tcBorders>
              <w:top w:val="single" w:sz="4" w:space="0" w:color="auto"/>
              <w:left w:val="single" w:sz="4" w:space="0" w:color="auto"/>
              <w:bottom w:val="single" w:sz="4" w:space="0" w:color="auto"/>
              <w:right w:val="single" w:sz="4" w:space="0" w:color="auto"/>
            </w:tcBorders>
          </w:tcPr>
          <w:p w14:paraId="79CB705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CA0EF94" w14:textId="77777777" w:rsidR="00E57DAA" w:rsidRDefault="00AC4185">
            <w:pPr>
              <w:autoSpaceDE w:val="0"/>
              <w:autoSpaceDN w:val="0"/>
              <w:adjustRightInd w:val="0"/>
              <w:jc w:val="right"/>
              <w:rPr>
                <w:szCs w:val="21"/>
              </w:rPr>
            </w:pPr>
            <w:r>
              <w:t xml:space="preserve">　</w:t>
            </w:r>
          </w:p>
        </w:tc>
      </w:tr>
      <w:tr w:rsidR="00E57DAA" w14:paraId="618483B3" w14:textId="77777777">
        <w:tc>
          <w:tcPr>
            <w:tcW w:w="677" w:type="pct"/>
            <w:tcBorders>
              <w:top w:val="single" w:sz="4" w:space="0" w:color="auto"/>
              <w:left w:val="single" w:sz="4" w:space="0" w:color="auto"/>
              <w:bottom w:val="single" w:sz="4" w:space="0" w:color="auto"/>
              <w:right w:val="single" w:sz="4" w:space="0" w:color="auto"/>
            </w:tcBorders>
            <w:vAlign w:val="center"/>
          </w:tcPr>
          <w:p w14:paraId="330FDC8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28B0161" w14:textId="77777777" w:rsidR="00E57DAA" w:rsidRDefault="00AC4185">
            <w:pPr>
              <w:autoSpaceDE w:val="0"/>
              <w:autoSpaceDN w:val="0"/>
              <w:adjustRightInd w:val="0"/>
              <w:rPr>
                <w:szCs w:val="21"/>
              </w:rPr>
            </w:pPr>
            <w:r>
              <w:t>中材株洲水泥有限责任公司</w:t>
            </w:r>
          </w:p>
        </w:tc>
        <w:tc>
          <w:tcPr>
            <w:tcW w:w="633" w:type="pct"/>
            <w:tcBorders>
              <w:top w:val="single" w:sz="4" w:space="0" w:color="auto"/>
              <w:left w:val="single" w:sz="4" w:space="0" w:color="auto"/>
              <w:bottom w:val="single" w:sz="4" w:space="0" w:color="auto"/>
              <w:right w:val="single" w:sz="4" w:space="0" w:color="auto"/>
            </w:tcBorders>
          </w:tcPr>
          <w:p w14:paraId="29C0A8C7" w14:textId="77777777" w:rsidR="00E57DAA" w:rsidRDefault="00AC4185">
            <w:pPr>
              <w:autoSpaceDE w:val="0"/>
              <w:autoSpaceDN w:val="0"/>
              <w:adjustRightInd w:val="0"/>
              <w:jc w:val="right"/>
              <w:rPr>
                <w:szCs w:val="21"/>
              </w:rPr>
            </w:pPr>
            <w:r>
              <w:t>1,169,539.91</w:t>
            </w:r>
          </w:p>
        </w:tc>
        <w:tc>
          <w:tcPr>
            <w:tcW w:w="632" w:type="pct"/>
            <w:tcBorders>
              <w:top w:val="single" w:sz="4" w:space="0" w:color="auto"/>
              <w:left w:val="single" w:sz="4" w:space="0" w:color="auto"/>
              <w:bottom w:val="single" w:sz="4" w:space="0" w:color="auto"/>
              <w:right w:val="single" w:sz="4" w:space="0" w:color="auto"/>
            </w:tcBorders>
          </w:tcPr>
          <w:p w14:paraId="5F179929" w14:textId="77777777" w:rsidR="00E57DAA" w:rsidRDefault="00AC4185">
            <w:pPr>
              <w:autoSpaceDE w:val="0"/>
              <w:autoSpaceDN w:val="0"/>
              <w:adjustRightInd w:val="0"/>
              <w:jc w:val="right"/>
              <w:rPr>
                <w:szCs w:val="21"/>
              </w:rPr>
            </w:pPr>
            <w:r>
              <w:t>27,718.10</w:t>
            </w:r>
          </w:p>
        </w:tc>
        <w:tc>
          <w:tcPr>
            <w:tcW w:w="703" w:type="pct"/>
            <w:tcBorders>
              <w:top w:val="single" w:sz="4" w:space="0" w:color="auto"/>
              <w:left w:val="single" w:sz="4" w:space="0" w:color="auto"/>
              <w:bottom w:val="single" w:sz="4" w:space="0" w:color="auto"/>
              <w:right w:val="single" w:sz="4" w:space="0" w:color="auto"/>
            </w:tcBorders>
          </w:tcPr>
          <w:p w14:paraId="275B9396"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F39A539" w14:textId="77777777" w:rsidR="00E57DAA" w:rsidRDefault="00AC4185">
            <w:pPr>
              <w:autoSpaceDE w:val="0"/>
              <w:autoSpaceDN w:val="0"/>
              <w:adjustRightInd w:val="0"/>
              <w:jc w:val="right"/>
              <w:rPr>
                <w:szCs w:val="21"/>
              </w:rPr>
            </w:pPr>
            <w:r>
              <w:t xml:space="preserve">　</w:t>
            </w:r>
          </w:p>
        </w:tc>
      </w:tr>
      <w:tr w:rsidR="00E57DAA" w14:paraId="396F3B1C" w14:textId="77777777">
        <w:tc>
          <w:tcPr>
            <w:tcW w:w="677" w:type="pct"/>
            <w:tcBorders>
              <w:top w:val="single" w:sz="4" w:space="0" w:color="auto"/>
              <w:left w:val="single" w:sz="4" w:space="0" w:color="auto"/>
              <w:bottom w:val="single" w:sz="4" w:space="0" w:color="auto"/>
              <w:right w:val="single" w:sz="4" w:space="0" w:color="auto"/>
            </w:tcBorders>
            <w:vAlign w:val="center"/>
          </w:tcPr>
          <w:p w14:paraId="33BD5DF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2C9C052" w14:textId="77777777" w:rsidR="00E57DAA" w:rsidRDefault="00AC4185">
            <w:pPr>
              <w:autoSpaceDE w:val="0"/>
              <w:autoSpaceDN w:val="0"/>
              <w:adjustRightInd w:val="0"/>
              <w:rPr>
                <w:szCs w:val="21"/>
              </w:rPr>
            </w:pPr>
            <w:r>
              <w:t>沙湾天山水泥有限责任公司</w:t>
            </w:r>
          </w:p>
        </w:tc>
        <w:tc>
          <w:tcPr>
            <w:tcW w:w="633" w:type="pct"/>
            <w:tcBorders>
              <w:top w:val="single" w:sz="4" w:space="0" w:color="auto"/>
              <w:left w:val="single" w:sz="4" w:space="0" w:color="auto"/>
              <w:bottom w:val="single" w:sz="4" w:space="0" w:color="auto"/>
              <w:right w:val="single" w:sz="4" w:space="0" w:color="auto"/>
            </w:tcBorders>
          </w:tcPr>
          <w:p w14:paraId="10E3AE22" w14:textId="77777777" w:rsidR="00E57DAA" w:rsidRDefault="00AC4185">
            <w:pPr>
              <w:autoSpaceDE w:val="0"/>
              <w:autoSpaceDN w:val="0"/>
              <w:adjustRightInd w:val="0"/>
              <w:jc w:val="right"/>
              <w:rPr>
                <w:szCs w:val="21"/>
              </w:rPr>
            </w:pPr>
            <w:r>
              <w:t>1,126,000.00</w:t>
            </w:r>
          </w:p>
        </w:tc>
        <w:tc>
          <w:tcPr>
            <w:tcW w:w="632" w:type="pct"/>
            <w:tcBorders>
              <w:top w:val="single" w:sz="4" w:space="0" w:color="auto"/>
              <w:left w:val="single" w:sz="4" w:space="0" w:color="auto"/>
              <w:bottom w:val="single" w:sz="4" w:space="0" w:color="auto"/>
              <w:right w:val="single" w:sz="4" w:space="0" w:color="auto"/>
            </w:tcBorders>
          </w:tcPr>
          <w:p w14:paraId="099C0581" w14:textId="77777777" w:rsidR="00E57DAA" w:rsidRDefault="00AC4185">
            <w:pPr>
              <w:autoSpaceDE w:val="0"/>
              <w:autoSpaceDN w:val="0"/>
              <w:adjustRightInd w:val="0"/>
              <w:jc w:val="right"/>
              <w:rPr>
                <w:szCs w:val="21"/>
              </w:rPr>
            </w:pPr>
            <w:r>
              <w:t>56,300.00</w:t>
            </w:r>
          </w:p>
        </w:tc>
        <w:tc>
          <w:tcPr>
            <w:tcW w:w="703" w:type="pct"/>
            <w:tcBorders>
              <w:top w:val="single" w:sz="4" w:space="0" w:color="auto"/>
              <w:left w:val="single" w:sz="4" w:space="0" w:color="auto"/>
              <w:bottom w:val="single" w:sz="4" w:space="0" w:color="auto"/>
              <w:right w:val="single" w:sz="4" w:space="0" w:color="auto"/>
            </w:tcBorders>
          </w:tcPr>
          <w:p w14:paraId="418BE45B"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EC43D45" w14:textId="77777777" w:rsidR="00E57DAA" w:rsidRDefault="00AC4185">
            <w:pPr>
              <w:autoSpaceDE w:val="0"/>
              <w:autoSpaceDN w:val="0"/>
              <w:adjustRightInd w:val="0"/>
              <w:jc w:val="right"/>
              <w:rPr>
                <w:szCs w:val="21"/>
              </w:rPr>
            </w:pPr>
            <w:r>
              <w:t xml:space="preserve">　</w:t>
            </w:r>
          </w:p>
        </w:tc>
      </w:tr>
      <w:tr w:rsidR="00E57DAA" w14:paraId="13E834C8" w14:textId="77777777">
        <w:tc>
          <w:tcPr>
            <w:tcW w:w="677" w:type="pct"/>
            <w:tcBorders>
              <w:top w:val="single" w:sz="4" w:space="0" w:color="auto"/>
              <w:left w:val="single" w:sz="4" w:space="0" w:color="auto"/>
              <w:bottom w:val="single" w:sz="4" w:space="0" w:color="auto"/>
              <w:right w:val="single" w:sz="4" w:space="0" w:color="auto"/>
            </w:tcBorders>
            <w:vAlign w:val="center"/>
          </w:tcPr>
          <w:p w14:paraId="7B3B801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4AE6AF8" w14:textId="77777777" w:rsidR="00E57DAA" w:rsidRDefault="00AC4185">
            <w:pPr>
              <w:autoSpaceDE w:val="0"/>
              <w:autoSpaceDN w:val="0"/>
              <w:adjustRightInd w:val="0"/>
              <w:rPr>
                <w:szCs w:val="21"/>
              </w:rPr>
            </w:pPr>
            <w:r>
              <w:t>平邑中联水泥有限公司</w:t>
            </w:r>
          </w:p>
        </w:tc>
        <w:tc>
          <w:tcPr>
            <w:tcW w:w="633" w:type="pct"/>
            <w:tcBorders>
              <w:top w:val="single" w:sz="4" w:space="0" w:color="auto"/>
              <w:left w:val="single" w:sz="4" w:space="0" w:color="auto"/>
              <w:bottom w:val="single" w:sz="4" w:space="0" w:color="auto"/>
              <w:right w:val="single" w:sz="4" w:space="0" w:color="auto"/>
            </w:tcBorders>
          </w:tcPr>
          <w:p w14:paraId="224A79F2" w14:textId="77777777" w:rsidR="00E57DAA" w:rsidRDefault="00AC4185">
            <w:pPr>
              <w:autoSpaceDE w:val="0"/>
              <w:autoSpaceDN w:val="0"/>
              <w:adjustRightInd w:val="0"/>
              <w:jc w:val="right"/>
              <w:rPr>
                <w:szCs w:val="21"/>
              </w:rPr>
            </w:pPr>
            <w:r>
              <w:t>1,120,912.06</w:t>
            </w:r>
          </w:p>
        </w:tc>
        <w:tc>
          <w:tcPr>
            <w:tcW w:w="632" w:type="pct"/>
            <w:tcBorders>
              <w:top w:val="single" w:sz="4" w:space="0" w:color="auto"/>
              <w:left w:val="single" w:sz="4" w:space="0" w:color="auto"/>
              <w:bottom w:val="single" w:sz="4" w:space="0" w:color="auto"/>
              <w:right w:val="single" w:sz="4" w:space="0" w:color="auto"/>
            </w:tcBorders>
          </w:tcPr>
          <w:p w14:paraId="1E350831" w14:textId="77777777" w:rsidR="00E57DAA" w:rsidRDefault="00AC4185">
            <w:pPr>
              <w:autoSpaceDE w:val="0"/>
              <w:autoSpaceDN w:val="0"/>
              <w:adjustRightInd w:val="0"/>
              <w:jc w:val="right"/>
              <w:rPr>
                <w:szCs w:val="21"/>
              </w:rPr>
            </w:pPr>
            <w:r>
              <w:t>26,565.62</w:t>
            </w:r>
          </w:p>
        </w:tc>
        <w:tc>
          <w:tcPr>
            <w:tcW w:w="703" w:type="pct"/>
            <w:tcBorders>
              <w:top w:val="single" w:sz="4" w:space="0" w:color="auto"/>
              <w:left w:val="single" w:sz="4" w:space="0" w:color="auto"/>
              <w:bottom w:val="single" w:sz="4" w:space="0" w:color="auto"/>
              <w:right w:val="single" w:sz="4" w:space="0" w:color="auto"/>
            </w:tcBorders>
          </w:tcPr>
          <w:p w14:paraId="7387FA0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28F70D3" w14:textId="77777777" w:rsidR="00E57DAA" w:rsidRDefault="00AC4185">
            <w:pPr>
              <w:autoSpaceDE w:val="0"/>
              <w:autoSpaceDN w:val="0"/>
              <w:adjustRightInd w:val="0"/>
              <w:jc w:val="right"/>
              <w:rPr>
                <w:szCs w:val="21"/>
              </w:rPr>
            </w:pPr>
            <w:r>
              <w:t xml:space="preserve">　</w:t>
            </w:r>
          </w:p>
        </w:tc>
      </w:tr>
      <w:tr w:rsidR="00E57DAA" w14:paraId="11CB9306" w14:textId="77777777">
        <w:tc>
          <w:tcPr>
            <w:tcW w:w="677" w:type="pct"/>
            <w:tcBorders>
              <w:top w:val="single" w:sz="4" w:space="0" w:color="auto"/>
              <w:left w:val="single" w:sz="4" w:space="0" w:color="auto"/>
              <w:bottom w:val="single" w:sz="4" w:space="0" w:color="auto"/>
              <w:right w:val="single" w:sz="4" w:space="0" w:color="auto"/>
            </w:tcBorders>
            <w:vAlign w:val="center"/>
          </w:tcPr>
          <w:p w14:paraId="4E3DA63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E1F33E0" w14:textId="77777777" w:rsidR="00E57DAA" w:rsidRDefault="00AC4185">
            <w:pPr>
              <w:autoSpaceDE w:val="0"/>
              <w:autoSpaceDN w:val="0"/>
              <w:adjustRightInd w:val="0"/>
              <w:rPr>
                <w:szCs w:val="21"/>
              </w:rPr>
            </w:pPr>
            <w:r>
              <w:t>临城中联水泥有限公司</w:t>
            </w:r>
          </w:p>
        </w:tc>
        <w:tc>
          <w:tcPr>
            <w:tcW w:w="633" w:type="pct"/>
            <w:tcBorders>
              <w:top w:val="single" w:sz="4" w:space="0" w:color="auto"/>
              <w:left w:val="single" w:sz="4" w:space="0" w:color="auto"/>
              <w:bottom w:val="single" w:sz="4" w:space="0" w:color="auto"/>
              <w:right w:val="single" w:sz="4" w:space="0" w:color="auto"/>
            </w:tcBorders>
          </w:tcPr>
          <w:p w14:paraId="7E15D750" w14:textId="77777777" w:rsidR="00E57DAA" w:rsidRDefault="00AC4185">
            <w:pPr>
              <w:autoSpaceDE w:val="0"/>
              <w:autoSpaceDN w:val="0"/>
              <w:adjustRightInd w:val="0"/>
              <w:jc w:val="right"/>
              <w:rPr>
                <w:szCs w:val="21"/>
              </w:rPr>
            </w:pPr>
            <w:r>
              <w:t>1,120,218.92</w:t>
            </w:r>
          </w:p>
        </w:tc>
        <w:tc>
          <w:tcPr>
            <w:tcW w:w="632" w:type="pct"/>
            <w:tcBorders>
              <w:top w:val="single" w:sz="4" w:space="0" w:color="auto"/>
              <w:left w:val="single" w:sz="4" w:space="0" w:color="auto"/>
              <w:bottom w:val="single" w:sz="4" w:space="0" w:color="auto"/>
              <w:right w:val="single" w:sz="4" w:space="0" w:color="auto"/>
            </w:tcBorders>
          </w:tcPr>
          <w:p w14:paraId="26F20815" w14:textId="77777777" w:rsidR="00E57DAA" w:rsidRDefault="00AC4185">
            <w:pPr>
              <w:autoSpaceDE w:val="0"/>
              <w:autoSpaceDN w:val="0"/>
              <w:adjustRightInd w:val="0"/>
              <w:jc w:val="right"/>
              <w:rPr>
                <w:szCs w:val="21"/>
              </w:rPr>
            </w:pPr>
            <w:r>
              <w:t>112,021.89</w:t>
            </w:r>
          </w:p>
        </w:tc>
        <w:tc>
          <w:tcPr>
            <w:tcW w:w="703" w:type="pct"/>
            <w:tcBorders>
              <w:top w:val="single" w:sz="4" w:space="0" w:color="auto"/>
              <w:left w:val="single" w:sz="4" w:space="0" w:color="auto"/>
              <w:bottom w:val="single" w:sz="4" w:space="0" w:color="auto"/>
              <w:right w:val="single" w:sz="4" w:space="0" w:color="auto"/>
            </w:tcBorders>
          </w:tcPr>
          <w:p w14:paraId="2E2CD663"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92955C1" w14:textId="77777777" w:rsidR="00E57DAA" w:rsidRDefault="00AC4185">
            <w:pPr>
              <w:autoSpaceDE w:val="0"/>
              <w:autoSpaceDN w:val="0"/>
              <w:adjustRightInd w:val="0"/>
              <w:jc w:val="right"/>
              <w:rPr>
                <w:szCs w:val="21"/>
              </w:rPr>
            </w:pPr>
            <w:r>
              <w:t xml:space="preserve">　</w:t>
            </w:r>
          </w:p>
        </w:tc>
      </w:tr>
      <w:tr w:rsidR="00E57DAA" w14:paraId="37E07DE0" w14:textId="77777777">
        <w:tc>
          <w:tcPr>
            <w:tcW w:w="677" w:type="pct"/>
            <w:tcBorders>
              <w:top w:val="single" w:sz="4" w:space="0" w:color="auto"/>
              <w:left w:val="single" w:sz="4" w:space="0" w:color="auto"/>
              <w:bottom w:val="single" w:sz="4" w:space="0" w:color="auto"/>
              <w:right w:val="single" w:sz="4" w:space="0" w:color="auto"/>
            </w:tcBorders>
            <w:vAlign w:val="center"/>
          </w:tcPr>
          <w:p w14:paraId="49D412B6" w14:textId="77777777" w:rsidR="00E57DAA" w:rsidRDefault="00AC4185">
            <w:pPr>
              <w:autoSpaceDE w:val="0"/>
              <w:autoSpaceDN w:val="0"/>
              <w:adjustRightInd w:val="0"/>
              <w:rPr>
                <w:szCs w:val="21"/>
              </w:rPr>
            </w:pPr>
            <w:r>
              <w:lastRenderedPageBreak/>
              <w:t>合同资产</w:t>
            </w:r>
          </w:p>
        </w:tc>
        <w:tc>
          <w:tcPr>
            <w:tcW w:w="1441" w:type="pct"/>
            <w:tcBorders>
              <w:top w:val="single" w:sz="4" w:space="0" w:color="auto"/>
              <w:left w:val="single" w:sz="4" w:space="0" w:color="auto"/>
              <w:bottom w:val="single" w:sz="4" w:space="0" w:color="auto"/>
              <w:right w:val="single" w:sz="4" w:space="0" w:color="auto"/>
            </w:tcBorders>
          </w:tcPr>
          <w:p w14:paraId="67DEBF89" w14:textId="77777777" w:rsidR="00E57DAA" w:rsidRDefault="00AC4185">
            <w:pPr>
              <w:autoSpaceDE w:val="0"/>
              <w:autoSpaceDN w:val="0"/>
              <w:adjustRightInd w:val="0"/>
              <w:rPr>
                <w:szCs w:val="21"/>
              </w:rPr>
            </w:pPr>
            <w:r>
              <w:t>永登祁连山水泥有限公司</w:t>
            </w:r>
          </w:p>
        </w:tc>
        <w:tc>
          <w:tcPr>
            <w:tcW w:w="633" w:type="pct"/>
            <w:tcBorders>
              <w:top w:val="single" w:sz="4" w:space="0" w:color="auto"/>
              <w:left w:val="single" w:sz="4" w:space="0" w:color="auto"/>
              <w:bottom w:val="single" w:sz="4" w:space="0" w:color="auto"/>
              <w:right w:val="single" w:sz="4" w:space="0" w:color="auto"/>
            </w:tcBorders>
          </w:tcPr>
          <w:p w14:paraId="6766C86E" w14:textId="77777777" w:rsidR="00E57DAA" w:rsidRDefault="00AC4185">
            <w:pPr>
              <w:autoSpaceDE w:val="0"/>
              <w:autoSpaceDN w:val="0"/>
              <w:adjustRightInd w:val="0"/>
              <w:jc w:val="right"/>
              <w:rPr>
                <w:szCs w:val="21"/>
              </w:rPr>
            </w:pPr>
            <w:r>
              <w:t>935,542.01</w:t>
            </w:r>
          </w:p>
        </w:tc>
        <w:tc>
          <w:tcPr>
            <w:tcW w:w="632" w:type="pct"/>
            <w:tcBorders>
              <w:top w:val="single" w:sz="4" w:space="0" w:color="auto"/>
              <w:left w:val="single" w:sz="4" w:space="0" w:color="auto"/>
              <w:bottom w:val="single" w:sz="4" w:space="0" w:color="auto"/>
              <w:right w:val="single" w:sz="4" w:space="0" w:color="auto"/>
            </w:tcBorders>
          </w:tcPr>
          <w:p w14:paraId="6D23FFBF" w14:textId="77777777" w:rsidR="00E57DAA" w:rsidRDefault="00AC4185">
            <w:pPr>
              <w:autoSpaceDE w:val="0"/>
              <w:autoSpaceDN w:val="0"/>
              <w:adjustRightInd w:val="0"/>
              <w:jc w:val="right"/>
              <w:rPr>
                <w:szCs w:val="21"/>
              </w:rPr>
            </w:pPr>
            <w:r>
              <w:t>22,172.35</w:t>
            </w:r>
          </w:p>
        </w:tc>
        <w:tc>
          <w:tcPr>
            <w:tcW w:w="703" w:type="pct"/>
            <w:tcBorders>
              <w:top w:val="single" w:sz="4" w:space="0" w:color="auto"/>
              <w:left w:val="single" w:sz="4" w:space="0" w:color="auto"/>
              <w:bottom w:val="single" w:sz="4" w:space="0" w:color="auto"/>
              <w:right w:val="single" w:sz="4" w:space="0" w:color="auto"/>
            </w:tcBorders>
          </w:tcPr>
          <w:p w14:paraId="19172FC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990ECFD" w14:textId="77777777" w:rsidR="00E57DAA" w:rsidRDefault="00AC4185">
            <w:pPr>
              <w:autoSpaceDE w:val="0"/>
              <w:autoSpaceDN w:val="0"/>
              <w:adjustRightInd w:val="0"/>
              <w:jc w:val="right"/>
              <w:rPr>
                <w:szCs w:val="21"/>
              </w:rPr>
            </w:pPr>
            <w:r>
              <w:t xml:space="preserve">　</w:t>
            </w:r>
          </w:p>
        </w:tc>
      </w:tr>
      <w:tr w:rsidR="00E57DAA" w14:paraId="023F0515" w14:textId="77777777">
        <w:tc>
          <w:tcPr>
            <w:tcW w:w="677" w:type="pct"/>
            <w:tcBorders>
              <w:top w:val="single" w:sz="4" w:space="0" w:color="auto"/>
              <w:left w:val="single" w:sz="4" w:space="0" w:color="auto"/>
              <w:bottom w:val="single" w:sz="4" w:space="0" w:color="auto"/>
              <w:right w:val="single" w:sz="4" w:space="0" w:color="auto"/>
            </w:tcBorders>
            <w:vAlign w:val="center"/>
          </w:tcPr>
          <w:p w14:paraId="3A49DDA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EC9435C" w14:textId="77777777" w:rsidR="00E57DAA" w:rsidRDefault="00AC4185">
            <w:pPr>
              <w:autoSpaceDE w:val="0"/>
              <w:autoSpaceDN w:val="0"/>
              <w:adjustRightInd w:val="0"/>
              <w:rPr>
                <w:szCs w:val="21"/>
              </w:rPr>
            </w:pPr>
            <w:r>
              <w:t>杭州胥口南方水泥有限公司</w:t>
            </w:r>
          </w:p>
        </w:tc>
        <w:tc>
          <w:tcPr>
            <w:tcW w:w="633" w:type="pct"/>
            <w:tcBorders>
              <w:top w:val="single" w:sz="4" w:space="0" w:color="auto"/>
              <w:left w:val="single" w:sz="4" w:space="0" w:color="auto"/>
              <w:bottom w:val="single" w:sz="4" w:space="0" w:color="auto"/>
              <w:right w:val="single" w:sz="4" w:space="0" w:color="auto"/>
            </w:tcBorders>
          </w:tcPr>
          <w:p w14:paraId="4A29E548" w14:textId="77777777" w:rsidR="00E57DAA" w:rsidRDefault="00AC4185">
            <w:pPr>
              <w:autoSpaceDE w:val="0"/>
              <w:autoSpaceDN w:val="0"/>
              <w:adjustRightInd w:val="0"/>
              <w:jc w:val="right"/>
              <w:rPr>
                <w:szCs w:val="21"/>
              </w:rPr>
            </w:pPr>
            <w:r>
              <w:t>916,620.37</w:t>
            </w:r>
          </w:p>
        </w:tc>
        <w:tc>
          <w:tcPr>
            <w:tcW w:w="632" w:type="pct"/>
            <w:tcBorders>
              <w:top w:val="single" w:sz="4" w:space="0" w:color="auto"/>
              <w:left w:val="single" w:sz="4" w:space="0" w:color="auto"/>
              <w:bottom w:val="single" w:sz="4" w:space="0" w:color="auto"/>
              <w:right w:val="single" w:sz="4" w:space="0" w:color="auto"/>
            </w:tcBorders>
          </w:tcPr>
          <w:p w14:paraId="444DD239" w14:textId="77777777" w:rsidR="00E57DAA" w:rsidRDefault="00AC4185">
            <w:pPr>
              <w:autoSpaceDE w:val="0"/>
              <w:autoSpaceDN w:val="0"/>
              <w:adjustRightInd w:val="0"/>
              <w:jc w:val="right"/>
              <w:rPr>
                <w:szCs w:val="21"/>
              </w:rPr>
            </w:pPr>
            <w:r>
              <w:t>3,666.48</w:t>
            </w:r>
          </w:p>
        </w:tc>
        <w:tc>
          <w:tcPr>
            <w:tcW w:w="703" w:type="pct"/>
            <w:tcBorders>
              <w:top w:val="single" w:sz="4" w:space="0" w:color="auto"/>
              <w:left w:val="single" w:sz="4" w:space="0" w:color="auto"/>
              <w:bottom w:val="single" w:sz="4" w:space="0" w:color="auto"/>
              <w:right w:val="single" w:sz="4" w:space="0" w:color="auto"/>
            </w:tcBorders>
          </w:tcPr>
          <w:p w14:paraId="7886B117" w14:textId="77777777" w:rsidR="00E57DAA" w:rsidRDefault="00AC4185">
            <w:pPr>
              <w:autoSpaceDE w:val="0"/>
              <w:autoSpaceDN w:val="0"/>
              <w:adjustRightInd w:val="0"/>
              <w:jc w:val="right"/>
              <w:rPr>
                <w:szCs w:val="21"/>
              </w:rPr>
            </w:pPr>
            <w:r>
              <w:t>19,000.00</w:t>
            </w:r>
          </w:p>
        </w:tc>
        <w:tc>
          <w:tcPr>
            <w:tcW w:w="914" w:type="pct"/>
            <w:tcBorders>
              <w:top w:val="single" w:sz="4" w:space="0" w:color="auto"/>
              <w:left w:val="single" w:sz="4" w:space="0" w:color="auto"/>
              <w:bottom w:val="single" w:sz="4" w:space="0" w:color="auto"/>
              <w:right w:val="single" w:sz="4" w:space="0" w:color="auto"/>
            </w:tcBorders>
          </w:tcPr>
          <w:p w14:paraId="6244BE22" w14:textId="77777777" w:rsidR="00E57DAA" w:rsidRDefault="00AC4185">
            <w:pPr>
              <w:autoSpaceDE w:val="0"/>
              <w:autoSpaceDN w:val="0"/>
              <w:adjustRightInd w:val="0"/>
              <w:jc w:val="right"/>
              <w:rPr>
                <w:szCs w:val="21"/>
              </w:rPr>
            </w:pPr>
            <w:r>
              <w:t>450.3</w:t>
            </w:r>
          </w:p>
        </w:tc>
      </w:tr>
      <w:tr w:rsidR="00E57DAA" w14:paraId="4A9EFD5A" w14:textId="77777777">
        <w:tc>
          <w:tcPr>
            <w:tcW w:w="677" w:type="pct"/>
            <w:tcBorders>
              <w:top w:val="single" w:sz="4" w:space="0" w:color="auto"/>
              <w:left w:val="single" w:sz="4" w:space="0" w:color="auto"/>
              <w:bottom w:val="single" w:sz="4" w:space="0" w:color="auto"/>
              <w:right w:val="single" w:sz="4" w:space="0" w:color="auto"/>
            </w:tcBorders>
            <w:vAlign w:val="center"/>
          </w:tcPr>
          <w:p w14:paraId="46B2AB3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F5FBD8B" w14:textId="77777777" w:rsidR="00E57DAA" w:rsidRDefault="00AC4185">
            <w:pPr>
              <w:autoSpaceDE w:val="0"/>
              <w:autoSpaceDN w:val="0"/>
              <w:adjustRightInd w:val="0"/>
              <w:rPr>
                <w:szCs w:val="21"/>
              </w:rPr>
            </w:pPr>
            <w:r>
              <w:t>成县祁连山水泥有限公司</w:t>
            </w:r>
          </w:p>
        </w:tc>
        <w:tc>
          <w:tcPr>
            <w:tcW w:w="633" w:type="pct"/>
            <w:tcBorders>
              <w:top w:val="single" w:sz="4" w:space="0" w:color="auto"/>
              <w:left w:val="single" w:sz="4" w:space="0" w:color="auto"/>
              <w:bottom w:val="single" w:sz="4" w:space="0" w:color="auto"/>
              <w:right w:val="single" w:sz="4" w:space="0" w:color="auto"/>
            </w:tcBorders>
          </w:tcPr>
          <w:p w14:paraId="26F75670" w14:textId="77777777" w:rsidR="00E57DAA" w:rsidRDefault="00AC4185">
            <w:pPr>
              <w:autoSpaceDE w:val="0"/>
              <w:autoSpaceDN w:val="0"/>
              <w:adjustRightInd w:val="0"/>
              <w:jc w:val="right"/>
              <w:rPr>
                <w:szCs w:val="21"/>
              </w:rPr>
            </w:pPr>
            <w:r>
              <w:t>862,344.72</w:t>
            </w:r>
          </w:p>
        </w:tc>
        <w:tc>
          <w:tcPr>
            <w:tcW w:w="632" w:type="pct"/>
            <w:tcBorders>
              <w:top w:val="single" w:sz="4" w:space="0" w:color="auto"/>
              <w:left w:val="single" w:sz="4" w:space="0" w:color="auto"/>
              <w:bottom w:val="single" w:sz="4" w:space="0" w:color="auto"/>
              <w:right w:val="single" w:sz="4" w:space="0" w:color="auto"/>
            </w:tcBorders>
          </w:tcPr>
          <w:p w14:paraId="79BBD176" w14:textId="77777777" w:rsidR="00E57DAA" w:rsidRDefault="00AC4185">
            <w:pPr>
              <w:autoSpaceDE w:val="0"/>
              <w:autoSpaceDN w:val="0"/>
              <w:adjustRightInd w:val="0"/>
              <w:jc w:val="right"/>
              <w:rPr>
                <w:szCs w:val="21"/>
              </w:rPr>
            </w:pPr>
            <w:r>
              <w:t>124,350.11</w:t>
            </w:r>
          </w:p>
        </w:tc>
        <w:tc>
          <w:tcPr>
            <w:tcW w:w="703" w:type="pct"/>
            <w:tcBorders>
              <w:top w:val="single" w:sz="4" w:space="0" w:color="auto"/>
              <w:left w:val="single" w:sz="4" w:space="0" w:color="auto"/>
              <w:bottom w:val="single" w:sz="4" w:space="0" w:color="auto"/>
              <w:right w:val="single" w:sz="4" w:space="0" w:color="auto"/>
            </w:tcBorders>
          </w:tcPr>
          <w:p w14:paraId="355FA6B6" w14:textId="77777777" w:rsidR="00E57DAA" w:rsidRDefault="00AC4185">
            <w:pPr>
              <w:autoSpaceDE w:val="0"/>
              <w:autoSpaceDN w:val="0"/>
              <w:adjustRightInd w:val="0"/>
              <w:jc w:val="right"/>
              <w:rPr>
                <w:szCs w:val="21"/>
              </w:rPr>
            </w:pPr>
            <w:r>
              <w:t>862,344.72</w:t>
            </w:r>
          </w:p>
        </w:tc>
        <w:tc>
          <w:tcPr>
            <w:tcW w:w="914" w:type="pct"/>
            <w:tcBorders>
              <w:top w:val="single" w:sz="4" w:space="0" w:color="auto"/>
              <w:left w:val="single" w:sz="4" w:space="0" w:color="auto"/>
              <w:bottom w:val="single" w:sz="4" w:space="0" w:color="auto"/>
              <w:right w:val="single" w:sz="4" w:space="0" w:color="auto"/>
            </w:tcBorders>
          </w:tcPr>
          <w:p w14:paraId="318B5DEC" w14:textId="77777777" w:rsidR="00E57DAA" w:rsidRDefault="00AC4185">
            <w:pPr>
              <w:autoSpaceDE w:val="0"/>
              <w:autoSpaceDN w:val="0"/>
              <w:adjustRightInd w:val="0"/>
              <w:jc w:val="right"/>
              <w:rPr>
                <w:szCs w:val="21"/>
              </w:rPr>
            </w:pPr>
            <w:r>
              <w:t>62,175.05</w:t>
            </w:r>
          </w:p>
        </w:tc>
      </w:tr>
      <w:tr w:rsidR="00E57DAA" w14:paraId="43068AC5" w14:textId="77777777">
        <w:tc>
          <w:tcPr>
            <w:tcW w:w="677" w:type="pct"/>
            <w:tcBorders>
              <w:top w:val="single" w:sz="4" w:space="0" w:color="auto"/>
              <w:left w:val="single" w:sz="4" w:space="0" w:color="auto"/>
              <w:bottom w:val="single" w:sz="4" w:space="0" w:color="auto"/>
              <w:right w:val="single" w:sz="4" w:space="0" w:color="auto"/>
            </w:tcBorders>
            <w:vAlign w:val="center"/>
          </w:tcPr>
          <w:p w14:paraId="506A3EA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6F1BDFF" w14:textId="77777777" w:rsidR="00E57DAA" w:rsidRDefault="00AC4185">
            <w:pPr>
              <w:autoSpaceDE w:val="0"/>
              <w:autoSpaceDN w:val="0"/>
              <w:adjustRightInd w:val="0"/>
              <w:rPr>
                <w:szCs w:val="21"/>
              </w:rPr>
            </w:pPr>
            <w:r>
              <w:t>江山南方水泥有限公司</w:t>
            </w:r>
          </w:p>
        </w:tc>
        <w:tc>
          <w:tcPr>
            <w:tcW w:w="633" w:type="pct"/>
            <w:tcBorders>
              <w:top w:val="single" w:sz="4" w:space="0" w:color="auto"/>
              <w:left w:val="single" w:sz="4" w:space="0" w:color="auto"/>
              <w:bottom w:val="single" w:sz="4" w:space="0" w:color="auto"/>
              <w:right w:val="single" w:sz="4" w:space="0" w:color="auto"/>
            </w:tcBorders>
          </w:tcPr>
          <w:p w14:paraId="53129DC0" w14:textId="77777777" w:rsidR="00E57DAA" w:rsidRDefault="00AC4185">
            <w:pPr>
              <w:autoSpaceDE w:val="0"/>
              <w:autoSpaceDN w:val="0"/>
              <w:adjustRightInd w:val="0"/>
              <w:jc w:val="right"/>
              <w:rPr>
                <w:szCs w:val="21"/>
              </w:rPr>
            </w:pPr>
            <w:r>
              <w:t>842,488.18</w:t>
            </w:r>
          </w:p>
        </w:tc>
        <w:tc>
          <w:tcPr>
            <w:tcW w:w="632" w:type="pct"/>
            <w:tcBorders>
              <w:top w:val="single" w:sz="4" w:space="0" w:color="auto"/>
              <w:left w:val="single" w:sz="4" w:space="0" w:color="auto"/>
              <w:bottom w:val="single" w:sz="4" w:space="0" w:color="auto"/>
              <w:right w:val="single" w:sz="4" w:space="0" w:color="auto"/>
            </w:tcBorders>
          </w:tcPr>
          <w:p w14:paraId="0C3ABED9" w14:textId="77777777" w:rsidR="00E57DAA" w:rsidRDefault="00AC4185">
            <w:pPr>
              <w:autoSpaceDE w:val="0"/>
              <w:autoSpaceDN w:val="0"/>
              <w:adjustRightInd w:val="0"/>
              <w:jc w:val="right"/>
              <w:rPr>
                <w:szCs w:val="21"/>
              </w:rPr>
            </w:pPr>
            <w:r>
              <w:t>23,722.05</w:t>
            </w:r>
          </w:p>
        </w:tc>
        <w:tc>
          <w:tcPr>
            <w:tcW w:w="703" w:type="pct"/>
            <w:tcBorders>
              <w:top w:val="single" w:sz="4" w:space="0" w:color="auto"/>
              <w:left w:val="single" w:sz="4" w:space="0" w:color="auto"/>
              <w:bottom w:val="single" w:sz="4" w:space="0" w:color="auto"/>
              <w:right w:val="single" w:sz="4" w:space="0" w:color="auto"/>
            </w:tcBorders>
          </w:tcPr>
          <w:p w14:paraId="44B8341E" w14:textId="77777777" w:rsidR="00E57DAA" w:rsidRDefault="00AC4185">
            <w:pPr>
              <w:autoSpaceDE w:val="0"/>
              <w:autoSpaceDN w:val="0"/>
              <w:adjustRightInd w:val="0"/>
              <w:jc w:val="right"/>
              <w:rPr>
                <w:szCs w:val="21"/>
              </w:rPr>
            </w:pPr>
            <w:r>
              <w:t>651,741.36</w:t>
            </w:r>
          </w:p>
        </w:tc>
        <w:tc>
          <w:tcPr>
            <w:tcW w:w="914" w:type="pct"/>
            <w:tcBorders>
              <w:top w:val="single" w:sz="4" w:space="0" w:color="auto"/>
              <w:left w:val="single" w:sz="4" w:space="0" w:color="auto"/>
              <w:bottom w:val="single" w:sz="4" w:space="0" w:color="auto"/>
              <w:right w:val="single" w:sz="4" w:space="0" w:color="auto"/>
            </w:tcBorders>
          </w:tcPr>
          <w:p w14:paraId="69B43FF5" w14:textId="77777777" w:rsidR="00E57DAA" w:rsidRDefault="00AC4185">
            <w:pPr>
              <w:autoSpaceDE w:val="0"/>
              <w:autoSpaceDN w:val="0"/>
              <w:adjustRightInd w:val="0"/>
              <w:jc w:val="right"/>
              <w:rPr>
                <w:szCs w:val="21"/>
              </w:rPr>
            </w:pPr>
            <w:r>
              <w:t>15,885.72</w:t>
            </w:r>
          </w:p>
        </w:tc>
      </w:tr>
      <w:tr w:rsidR="00E57DAA" w14:paraId="1A94DFF7" w14:textId="77777777">
        <w:tc>
          <w:tcPr>
            <w:tcW w:w="677" w:type="pct"/>
            <w:tcBorders>
              <w:top w:val="single" w:sz="4" w:space="0" w:color="auto"/>
              <w:left w:val="single" w:sz="4" w:space="0" w:color="auto"/>
              <w:bottom w:val="single" w:sz="4" w:space="0" w:color="auto"/>
              <w:right w:val="single" w:sz="4" w:space="0" w:color="auto"/>
            </w:tcBorders>
            <w:vAlign w:val="center"/>
          </w:tcPr>
          <w:p w14:paraId="6D068F9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FBE8C03" w14:textId="77777777" w:rsidR="00E57DAA" w:rsidRDefault="00AC4185">
            <w:pPr>
              <w:autoSpaceDE w:val="0"/>
              <w:autoSpaceDN w:val="0"/>
              <w:adjustRightInd w:val="0"/>
              <w:rPr>
                <w:szCs w:val="21"/>
              </w:rPr>
            </w:pPr>
            <w:r>
              <w:t>云南普洱西南水泥有限公司</w:t>
            </w:r>
          </w:p>
        </w:tc>
        <w:tc>
          <w:tcPr>
            <w:tcW w:w="633" w:type="pct"/>
            <w:tcBorders>
              <w:top w:val="single" w:sz="4" w:space="0" w:color="auto"/>
              <w:left w:val="single" w:sz="4" w:space="0" w:color="auto"/>
              <w:bottom w:val="single" w:sz="4" w:space="0" w:color="auto"/>
              <w:right w:val="single" w:sz="4" w:space="0" w:color="auto"/>
            </w:tcBorders>
          </w:tcPr>
          <w:p w14:paraId="3C0E1CF1" w14:textId="77777777" w:rsidR="00E57DAA" w:rsidRDefault="00AC4185">
            <w:pPr>
              <w:autoSpaceDE w:val="0"/>
              <w:autoSpaceDN w:val="0"/>
              <w:adjustRightInd w:val="0"/>
              <w:jc w:val="right"/>
              <w:rPr>
                <w:szCs w:val="21"/>
              </w:rPr>
            </w:pPr>
            <w:r>
              <w:t>715,968.00</w:t>
            </w:r>
          </w:p>
        </w:tc>
        <w:tc>
          <w:tcPr>
            <w:tcW w:w="632" w:type="pct"/>
            <w:tcBorders>
              <w:top w:val="single" w:sz="4" w:space="0" w:color="auto"/>
              <w:left w:val="single" w:sz="4" w:space="0" w:color="auto"/>
              <w:bottom w:val="single" w:sz="4" w:space="0" w:color="auto"/>
              <w:right w:val="single" w:sz="4" w:space="0" w:color="auto"/>
            </w:tcBorders>
          </w:tcPr>
          <w:p w14:paraId="047918D4" w14:textId="77777777" w:rsidR="00E57DAA" w:rsidRDefault="00AC4185">
            <w:pPr>
              <w:autoSpaceDE w:val="0"/>
              <w:autoSpaceDN w:val="0"/>
              <w:adjustRightInd w:val="0"/>
              <w:jc w:val="right"/>
              <w:rPr>
                <w:szCs w:val="21"/>
              </w:rPr>
            </w:pPr>
            <w:r>
              <w:t>16,968.44</w:t>
            </w:r>
          </w:p>
        </w:tc>
        <w:tc>
          <w:tcPr>
            <w:tcW w:w="703" w:type="pct"/>
            <w:tcBorders>
              <w:top w:val="single" w:sz="4" w:space="0" w:color="auto"/>
              <w:left w:val="single" w:sz="4" w:space="0" w:color="auto"/>
              <w:bottom w:val="single" w:sz="4" w:space="0" w:color="auto"/>
              <w:right w:val="single" w:sz="4" w:space="0" w:color="auto"/>
            </w:tcBorders>
          </w:tcPr>
          <w:p w14:paraId="34BA373C"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6E5D7CE" w14:textId="77777777" w:rsidR="00E57DAA" w:rsidRDefault="00AC4185">
            <w:pPr>
              <w:autoSpaceDE w:val="0"/>
              <w:autoSpaceDN w:val="0"/>
              <w:adjustRightInd w:val="0"/>
              <w:jc w:val="right"/>
              <w:rPr>
                <w:szCs w:val="21"/>
              </w:rPr>
            </w:pPr>
            <w:r>
              <w:t xml:space="preserve">　</w:t>
            </w:r>
          </w:p>
        </w:tc>
      </w:tr>
      <w:tr w:rsidR="00E57DAA" w14:paraId="170874CE" w14:textId="77777777">
        <w:tc>
          <w:tcPr>
            <w:tcW w:w="677" w:type="pct"/>
            <w:tcBorders>
              <w:top w:val="single" w:sz="4" w:space="0" w:color="auto"/>
              <w:left w:val="single" w:sz="4" w:space="0" w:color="auto"/>
              <w:bottom w:val="single" w:sz="4" w:space="0" w:color="auto"/>
              <w:right w:val="single" w:sz="4" w:space="0" w:color="auto"/>
            </w:tcBorders>
            <w:vAlign w:val="center"/>
          </w:tcPr>
          <w:p w14:paraId="5C60D04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9244EC7" w14:textId="77777777" w:rsidR="00E57DAA" w:rsidRDefault="00AC4185">
            <w:pPr>
              <w:autoSpaceDE w:val="0"/>
              <w:autoSpaceDN w:val="0"/>
              <w:adjustRightInd w:val="0"/>
              <w:rPr>
                <w:szCs w:val="21"/>
              </w:rPr>
            </w:pPr>
            <w:r>
              <w:t>福建三明南方水泥有限公司</w:t>
            </w:r>
          </w:p>
        </w:tc>
        <w:tc>
          <w:tcPr>
            <w:tcW w:w="633" w:type="pct"/>
            <w:tcBorders>
              <w:top w:val="single" w:sz="4" w:space="0" w:color="auto"/>
              <w:left w:val="single" w:sz="4" w:space="0" w:color="auto"/>
              <w:bottom w:val="single" w:sz="4" w:space="0" w:color="auto"/>
              <w:right w:val="single" w:sz="4" w:space="0" w:color="auto"/>
            </w:tcBorders>
          </w:tcPr>
          <w:p w14:paraId="50EEE73B" w14:textId="77777777" w:rsidR="00E57DAA" w:rsidRDefault="00AC4185">
            <w:pPr>
              <w:autoSpaceDE w:val="0"/>
              <w:autoSpaceDN w:val="0"/>
              <w:adjustRightInd w:val="0"/>
              <w:jc w:val="right"/>
              <w:rPr>
                <w:szCs w:val="21"/>
              </w:rPr>
            </w:pPr>
            <w:r>
              <w:t>526,340.69</w:t>
            </w:r>
          </w:p>
        </w:tc>
        <w:tc>
          <w:tcPr>
            <w:tcW w:w="632" w:type="pct"/>
            <w:tcBorders>
              <w:top w:val="single" w:sz="4" w:space="0" w:color="auto"/>
              <w:left w:val="single" w:sz="4" w:space="0" w:color="auto"/>
              <w:bottom w:val="single" w:sz="4" w:space="0" w:color="auto"/>
              <w:right w:val="single" w:sz="4" w:space="0" w:color="auto"/>
            </w:tcBorders>
          </w:tcPr>
          <w:p w14:paraId="7829B273" w14:textId="77777777" w:rsidR="00E57DAA" w:rsidRDefault="00AC4185">
            <w:pPr>
              <w:autoSpaceDE w:val="0"/>
              <w:autoSpaceDN w:val="0"/>
              <w:adjustRightInd w:val="0"/>
              <w:jc w:val="right"/>
              <w:rPr>
                <w:szCs w:val="21"/>
              </w:rPr>
            </w:pPr>
            <w:r>
              <w:t>2,105.36</w:t>
            </w:r>
          </w:p>
        </w:tc>
        <w:tc>
          <w:tcPr>
            <w:tcW w:w="703" w:type="pct"/>
            <w:tcBorders>
              <w:top w:val="single" w:sz="4" w:space="0" w:color="auto"/>
              <w:left w:val="single" w:sz="4" w:space="0" w:color="auto"/>
              <w:bottom w:val="single" w:sz="4" w:space="0" w:color="auto"/>
              <w:right w:val="single" w:sz="4" w:space="0" w:color="auto"/>
            </w:tcBorders>
          </w:tcPr>
          <w:p w14:paraId="72AFD4D1" w14:textId="77777777" w:rsidR="00E57DAA" w:rsidRDefault="00AC4185">
            <w:pPr>
              <w:autoSpaceDE w:val="0"/>
              <w:autoSpaceDN w:val="0"/>
              <w:adjustRightInd w:val="0"/>
              <w:jc w:val="right"/>
              <w:rPr>
                <w:szCs w:val="21"/>
              </w:rPr>
            </w:pPr>
            <w:r>
              <w:t>196,849.94</w:t>
            </w:r>
          </w:p>
        </w:tc>
        <w:tc>
          <w:tcPr>
            <w:tcW w:w="914" w:type="pct"/>
            <w:tcBorders>
              <w:top w:val="single" w:sz="4" w:space="0" w:color="auto"/>
              <w:left w:val="single" w:sz="4" w:space="0" w:color="auto"/>
              <w:bottom w:val="single" w:sz="4" w:space="0" w:color="auto"/>
              <w:right w:val="single" w:sz="4" w:space="0" w:color="auto"/>
            </w:tcBorders>
          </w:tcPr>
          <w:p w14:paraId="5E845D9F" w14:textId="77777777" w:rsidR="00E57DAA" w:rsidRDefault="00AC4185">
            <w:pPr>
              <w:autoSpaceDE w:val="0"/>
              <w:autoSpaceDN w:val="0"/>
              <w:adjustRightInd w:val="0"/>
              <w:jc w:val="right"/>
              <w:rPr>
                <w:szCs w:val="21"/>
              </w:rPr>
            </w:pPr>
            <w:r>
              <w:t>590.55</w:t>
            </w:r>
          </w:p>
        </w:tc>
      </w:tr>
      <w:tr w:rsidR="00E57DAA" w14:paraId="47C337E2" w14:textId="77777777">
        <w:tc>
          <w:tcPr>
            <w:tcW w:w="677" w:type="pct"/>
            <w:tcBorders>
              <w:top w:val="single" w:sz="4" w:space="0" w:color="auto"/>
              <w:left w:val="single" w:sz="4" w:space="0" w:color="auto"/>
              <w:bottom w:val="single" w:sz="4" w:space="0" w:color="auto"/>
              <w:right w:val="single" w:sz="4" w:space="0" w:color="auto"/>
            </w:tcBorders>
            <w:vAlign w:val="center"/>
          </w:tcPr>
          <w:p w14:paraId="3A75C6B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3557069" w14:textId="77777777" w:rsidR="00E57DAA" w:rsidRDefault="00AC4185">
            <w:pPr>
              <w:autoSpaceDE w:val="0"/>
              <w:autoSpaceDN w:val="0"/>
              <w:adjustRightInd w:val="0"/>
              <w:rPr>
                <w:szCs w:val="21"/>
              </w:rPr>
            </w:pPr>
            <w:r>
              <w:t>泰山玻璃纤维邹城有限公司</w:t>
            </w:r>
          </w:p>
        </w:tc>
        <w:tc>
          <w:tcPr>
            <w:tcW w:w="633" w:type="pct"/>
            <w:tcBorders>
              <w:top w:val="single" w:sz="4" w:space="0" w:color="auto"/>
              <w:left w:val="single" w:sz="4" w:space="0" w:color="auto"/>
              <w:bottom w:val="single" w:sz="4" w:space="0" w:color="auto"/>
              <w:right w:val="single" w:sz="4" w:space="0" w:color="auto"/>
            </w:tcBorders>
          </w:tcPr>
          <w:p w14:paraId="0FC657BF" w14:textId="77777777" w:rsidR="00E57DAA" w:rsidRDefault="00AC4185">
            <w:pPr>
              <w:autoSpaceDE w:val="0"/>
              <w:autoSpaceDN w:val="0"/>
              <w:adjustRightInd w:val="0"/>
              <w:jc w:val="right"/>
              <w:rPr>
                <w:szCs w:val="21"/>
              </w:rPr>
            </w:pPr>
            <w:r>
              <w:t>474,999.20</w:t>
            </w:r>
          </w:p>
        </w:tc>
        <w:tc>
          <w:tcPr>
            <w:tcW w:w="632" w:type="pct"/>
            <w:tcBorders>
              <w:top w:val="single" w:sz="4" w:space="0" w:color="auto"/>
              <w:left w:val="single" w:sz="4" w:space="0" w:color="auto"/>
              <w:bottom w:val="single" w:sz="4" w:space="0" w:color="auto"/>
              <w:right w:val="single" w:sz="4" w:space="0" w:color="auto"/>
            </w:tcBorders>
          </w:tcPr>
          <w:p w14:paraId="4720E792" w14:textId="77777777" w:rsidR="00E57DAA" w:rsidRDefault="00AC4185">
            <w:pPr>
              <w:autoSpaceDE w:val="0"/>
              <w:autoSpaceDN w:val="0"/>
              <w:adjustRightInd w:val="0"/>
              <w:jc w:val="right"/>
              <w:rPr>
                <w:szCs w:val="21"/>
              </w:rPr>
            </w:pPr>
            <w:r>
              <w:t>23,749.96</w:t>
            </w:r>
          </w:p>
        </w:tc>
        <w:tc>
          <w:tcPr>
            <w:tcW w:w="703" w:type="pct"/>
            <w:tcBorders>
              <w:top w:val="single" w:sz="4" w:space="0" w:color="auto"/>
              <w:left w:val="single" w:sz="4" w:space="0" w:color="auto"/>
              <w:bottom w:val="single" w:sz="4" w:space="0" w:color="auto"/>
              <w:right w:val="single" w:sz="4" w:space="0" w:color="auto"/>
            </w:tcBorders>
          </w:tcPr>
          <w:p w14:paraId="546093D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813B995" w14:textId="77777777" w:rsidR="00E57DAA" w:rsidRDefault="00AC4185">
            <w:pPr>
              <w:autoSpaceDE w:val="0"/>
              <w:autoSpaceDN w:val="0"/>
              <w:adjustRightInd w:val="0"/>
              <w:jc w:val="right"/>
              <w:rPr>
                <w:szCs w:val="21"/>
              </w:rPr>
            </w:pPr>
            <w:r>
              <w:t xml:space="preserve">　</w:t>
            </w:r>
          </w:p>
        </w:tc>
      </w:tr>
      <w:tr w:rsidR="00E57DAA" w14:paraId="2798BD2B" w14:textId="77777777">
        <w:tc>
          <w:tcPr>
            <w:tcW w:w="677" w:type="pct"/>
            <w:tcBorders>
              <w:top w:val="single" w:sz="4" w:space="0" w:color="auto"/>
              <w:left w:val="single" w:sz="4" w:space="0" w:color="auto"/>
              <w:bottom w:val="single" w:sz="4" w:space="0" w:color="auto"/>
              <w:right w:val="single" w:sz="4" w:space="0" w:color="auto"/>
            </w:tcBorders>
            <w:vAlign w:val="center"/>
          </w:tcPr>
          <w:p w14:paraId="2743C02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D2E8275" w14:textId="77777777" w:rsidR="00E57DAA" w:rsidRDefault="00AC4185">
            <w:pPr>
              <w:autoSpaceDE w:val="0"/>
              <w:autoSpaceDN w:val="0"/>
              <w:adjustRightInd w:val="0"/>
              <w:rPr>
                <w:szCs w:val="21"/>
              </w:rPr>
            </w:pPr>
            <w:r>
              <w:t>杭州临安南方水泥有限公司</w:t>
            </w:r>
          </w:p>
        </w:tc>
        <w:tc>
          <w:tcPr>
            <w:tcW w:w="633" w:type="pct"/>
            <w:tcBorders>
              <w:top w:val="single" w:sz="4" w:space="0" w:color="auto"/>
              <w:left w:val="single" w:sz="4" w:space="0" w:color="auto"/>
              <w:bottom w:val="single" w:sz="4" w:space="0" w:color="auto"/>
              <w:right w:val="single" w:sz="4" w:space="0" w:color="auto"/>
            </w:tcBorders>
          </w:tcPr>
          <w:p w14:paraId="2C4FC5DB" w14:textId="77777777" w:rsidR="00E57DAA" w:rsidRDefault="00AC4185">
            <w:pPr>
              <w:autoSpaceDE w:val="0"/>
              <w:autoSpaceDN w:val="0"/>
              <w:adjustRightInd w:val="0"/>
              <w:jc w:val="right"/>
              <w:rPr>
                <w:szCs w:val="21"/>
              </w:rPr>
            </w:pPr>
            <w:r>
              <w:t>448,000.00</w:t>
            </w:r>
          </w:p>
        </w:tc>
        <w:tc>
          <w:tcPr>
            <w:tcW w:w="632" w:type="pct"/>
            <w:tcBorders>
              <w:top w:val="single" w:sz="4" w:space="0" w:color="auto"/>
              <w:left w:val="single" w:sz="4" w:space="0" w:color="auto"/>
              <w:bottom w:val="single" w:sz="4" w:space="0" w:color="auto"/>
              <w:right w:val="single" w:sz="4" w:space="0" w:color="auto"/>
            </w:tcBorders>
          </w:tcPr>
          <w:p w14:paraId="0B662613" w14:textId="77777777" w:rsidR="00E57DAA" w:rsidRDefault="00AC4185">
            <w:pPr>
              <w:autoSpaceDE w:val="0"/>
              <w:autoSpaceDN w:val="0"/>
              <w:adjustRightInd w:val="0"/>
              <w:jc w:val="right"/>
              <w:rPr>
                <w:szCs w:val="21"/>
              </w:rPr>
            </w:pPr>
            <w:r>
              <w:t>19,770.00</w:t>
            </w:r>
          </w:p>
        </w:tc>
        <w:tc>
          <w:tcPr>
            <w:tcW w:w="703" w:type="pct"/>
            <w:tcBorders>
              <w:top w:val="single" w:sz="4" w:space="0" w:color="auto"/>
              <w:left w:val="single" w:sz="4" w:space="0" w:color="auto"/>
              <w:bottom w:val="single" w:sz="4" w:space="0" w:color="auto"/>
              <w:right w:val="single" w:sz="4" w:space="0" w:color="auto"/>
            </w:tcBorders>
          </w:tcPr>
          <w:p w14:paraId="68CF4D43" w14:textId="77777777" w:rsidR="00E57DAA" w:rsidRDefault="00AC4185">
            <w:pPr>
              <w:autoSpaceDE w:val="0"/>
              <w:autoSpaceDN w:val="0"/>
              <w:adjustRightInd w:val="0"/>
              <w:jc w:val="right"/>
              <w:rPr>
                <w:szCs w:val="21"/>
              </w:rPr>
            </w:pPr>
            <w:r>
              <w:t>87,500.00</w:t>
            </w:r>
          </w:p>
        </w:tc>
        <w:tc>
          <w:tcPr>
            <w:tcW w:w="914" w:type="pct"/>
            <w:tcBorders>
              <w:top w:val="single" w:sz="4" w:space="0" w:color="auto"/>
              <w:left w:val="single" w:sz="4" w:space="0" w:color="auto"/>
              <w:bottom w:val="single" w:sz="4" w:space="0" w:color="auto"/>
              <w:right w:val="single" w:sz="4" w:space="0" w:color="auto"/>
            </w:tcBorders>
          </w:tcPr>
          <w:p w14:paraId="73D4038A" w14:textId="77777777" w:rsidR="00E57DAA" w:rsidRDefault="00AC4185">
            <w:pPr>
              <w:autoSpaceDE w:val="0"/>
              <w:autoSpaceDN w:val="0"/>
              <w:adjustRightInd w:val="0"/>
              <w:jc w:val="right"/>
              <w:rPr>
                <w:szCs w:val="21"/>
              </w:rPr>
            </w:pPr>
            <w:r>
              <w:t>2,073.75</w:t>
            </w:r>
          </w:p>
        </w:tc>
      </w:tr>
      <w:tr w:rsidR="00E57DAA" w14:paraId="2FDAC727" w14:textId="77777777">
        <w:tc>
          <w:tcPr>
            <w:tcW w:w="677" w:type="pct"/>
            <w:tcBorders>
              <w:top w:val="single" w:sz="4" w:space="0" w:color="auto"/>
              <w:left w:val="single" w:sz="4" w:space="0" w:color="auto"/>
              <w:bottom w:val="single" w:sz="4" w:space="0" w:color="auto"/>
              <w:right w:val="single" w:sz="4" w:space="0" w:color="auto"/>
            </w:tcBorders>
            <w:vAlign w:val="center"/>
          </w:tcPr>
          <w:p w14:paraId="299DF42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BACA50F" w14:textId="77777777" w:rsidR="00E57DAA" w:rsidRDefault="00AC4185">
            <w:pPr>
              <w:autoSpaceDE w:val="0"/>
              <w:autoSpaceDN w:val="0"/>
              <w:adjustRightInd w:val="0"/>
              <w:rPr>
                <w:szCs w:val="21"/>
              </w:rPr>
            </w:pPr>
            <w:r>
              <w:t>湖州槐坎南方水泥有限公司</w:t>
            </w:r>
          </w:p>
        </w:tc>
        <w:tc>
          <w:tcPr>
            <w:tcW w:w="633" w:type="pct"/>
            <w:tcBorders>
              <w:top w:val="single" w:sz="4" w:space="0" w:color="auto"/>
              <w:left w:val="single" w:sz="4" w:space="0" w:color="auto"/>
              <w:bottom w:val="single" w:sz="4" w:space="0" w:color="auto"/>
              <w:right w:val="single" w:sz="4" w:space="0" w:color="auto"/>
            </w:tcBorders>
          </w:tcPr>
          <w:p w14:paraId="1944F3F6" w14:textId="77777777" w:rsidR="00E57DAA" w:rsidRDefault="00AC4185">
            <w:pPr>
              <w:autoSpaceDE w:val="0"/>
              <w:autoSpaceDN w:val="0"/>
              <w:adjustRightInd w:val="0"/>
              <w:jc w:val="right"/>
              <w:rPr>
                <w:szCs w:val="21"/>
              </w:rPr>
            </w:pPr>
            <w:r>
              <w:t>436,000.00</w:t>
            </w:r>
          </w:p>
        </w:tc>
        <w:tc>
          <w:tcPr>
            <w:tcW w:w="632" w:type="pct"/>
            <w:tcBorders>
              <w:top w:val="single" w:sz="4" w:space="0" w:color="auto"/>
              <w:left w:val="single" w:sz="4" w:space="0" w:color="auto"/>
              <w:bottom w:val="single" w:sz="4" w:space="0" w:color="auto"/>
              <w:right w:val="single" w:sz="4" w:space="0" w:color="auto"/>
            </w:tcBorders>
          </w:tcPr>
          <w:p w14:paraId="054FF119" w14:textId="77777777" w:rsidR="00E57DAA" w:rsidRDefault="00AC4185">
            <w:pPr>
              <w:autoSpaceDE w:val="0"/>
              <w:autoSpaceDN w:val="0"/>
              <w:adjustRightInd w:val="0"/>
              <w:jc w:val="right"/>
              <w:rPr>
                <w:szCs w:val="21"/>
              </w:rPr>
            </w:pPr>
            <w:r>
              <w:t>21,800.00</w:t>
            </w:r>
          </w:p>
        </w:tc>
        <w:tc>
          <w:tcPr>
            <w:tcW w:w="703" w:type="pct"/>
            <w:tcBorders>
              <w:top w:val="single" w:sz="4" w:space="0" w:color="auto"/>
              <w:left w:val="single" w:sz="4" w:space="0" w:color="auto"/>
              <w:bottom w:val="single" w:sz="4" w:space="0" w:color="auto"/>
              <w:right w:val="single" w:sz="4" w:space="0" w:color="auto"/>
            </w:tcBorders>
          </w:tcPr>
          <w:p w14:paraId="66E0FF8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0B8E29F" w14:textId="77777777" w:rsidR="00E57DAA" w:rsidRDefault="00AC4185">
            <w:pPr>
              <w:autoSpaceDE w:val="0"/>
              <w:autoSpaceDN w:val="0"/>
              <w:adjustRightInd w:val="0"/>
              <w:jc w:val="right"/>
              <w:rPr>
                <w:szCs w:val="21"/>
              </w:rPr>
            </w:pPr>
            <w:r>
              <w:t xml:space="preserve">　</w:t>
            </w:r>
          </w:p>
        </w:tc>
      </w:tr>
      <w:tr w:rsidR="00E57DAA" w14:paraId="05BDDCDF" w14:textId="77777777">
        <w:tc>
          <w:tcPr>
            <w:tcW w:w="677" w:type="pct"/>
            <w:tcBorders>
              <w:top w:val="single" w:sz="4" w:space="0" w:color="auto"/>
              <w:left w:val="single" w:sz="4" w:space="0" w:color="auto"/>
              <w:bottom w:val="single" w:sz="4" w:space="0" w:color="auto"/>
              <w:right w:val="single" w:sz="4" w:space="0" w:color="auto"/>
            </w:tcBorders>
            <w:vAlign w:val="center"/>
          </w:tcPr>
          <w:p w14:paraId="7716F16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6377B72" w14:textId="77777777" w:rsidR="00E57DAA" w:rsidRDefault="00AC4185">
            <w:pPr>
              <w:autoSpaceDE w:val="0"/>
              <w:autoSpaceDN w:val="0"/>
              <w:adjustRightInd w:val="0"/>
              <w:rPr>
                <w:szCs w:val="21"/>
              </w:rPr>
            </w:pPr>
            <w:r>
              <w:t>沂南中联水泥有限公司</w:t>
            </w:r>
          </w:p>
        </w:tc>
        <w:tc>
          <w:tcPr>
            <w:tcW w:w="633" w:type="pct"/>
            <w:tcBorders>
              <w:top w:val="single" w:sz="4" w:space="0" w:color="auto"/>
              <w:left w:val="single" w:sz="4" w:space="0" w:color="auto"/>
              <w:bottom w:val="single" w:sz="4" w:space="0" w:color="auto"/>
              <w:right w:val="single" w:sz="4" w:space="0" w:color="auto"/>
            </w:tcBorders>
          </w:tcPr>
          <w:p w14:paraId="59879077" w14:textId="77777777" w:rsidR="00E57DAA" w:rsidRDefault="00AC4185">
            <w:pPr>
              <w:autoSpaceDE w:val="0"/>
              <w:autoSpaceDN w:val="0"/>
              <w:adjustRightInd w:val="0"/>
              <w:jc w:val="right"/>
              <w:rPr>
                <w:szCs w:val="21"/>
              </w:rPr>
            </w:pPr>
            <w:r>
              <w:t>394,792.48</w:t>
            </w:r>
          </w:p>
        </w:tc>
        <w:tc>
          <w:tcPr>
            <w:tcW w:w="632" w:type="pct"/>
            <w:tcBorders>
              <w:top w:val="single" w:sz="4" w:space="0" w:color="auto"/>
              <w:left w:val="single" w:sz="4" w:space="0" w:color="auto"/>
              <w:bottom w:val="single" w:sz="4" w:space="0" w:color="auto"/>
              <w:right w:val="single" w:sz="4" w:space="0" w:color="auto"/>
            </w:tcBorders>
          </w:tcPr>
          <w:p w14:paraId="40BE0D15" w14:textId="77777777" w:rsidR="00E57DAA" w:rsidRDefault="00AC4185">
            <w:pPr>
              <w:autoSpaceDE w:val="0"/>
              <w:autoSpaceDN w:val="0"/>
              <w:adjustRightInd w:val="0"/>
              <w:jc w:val="right"/>
              <w:rPr>
                <w:szCs w:val="21"/>
              </w:rPr>
            </w:pPr>
            <w:r>
              <w:t>9,356.58</w:t>
            </w:r>
          </w:p>
        </w:tc>
        <w:tc>
          <w:tcPr>
            <w:tcW w:w="703" w:type="pct"/>
            <w:tcBorders>
              <w:top w:val="single" w:sz="4" w:space="0" w:color="auto"/>
              <w:left w:val="single" w:sz="4" w:space="0" w:color="auto"/>
              <w:bottom w:val="single" w:sz="4" w:space="0" w:color="auto"/>
              <w:right w:val="single" w:sz="4" w:space="0" w:color="auto"/>
            </w:tcBorders>
          </w:tcPr>
          <w:p w14:paraId="5608AF07"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62F7590" w14:textId="77777777" w:rsidR="00E57DAA" w:rsidRDefault="00AC4185">
            <w:pPr>
              <w:autoSpaceDE w:val="0"/>
              <w:autoSpaceDN w:val="0"/>
              <w:adjustRightInd w:val="0"/>
              <w:jc w:val="right"/>
              <w:rPr>
                <w:szCs w:val="21"/>
              </w:rPr>
            </w:pPr>
            <w:r>
              <w:t xml:space="preserve">　</w:t>
            </w:r>
          </w:p>
        </w:tc>
      </w:tr>
      <w:tr w:rsidR="00E57DAA" w14:paraId="36E1035E" w14:textId="77777777">
        <w:tc>
          <w:tcPr>
            <w:tcW w:w="677" w:type="pct"/>
            <w:tcBorders>
              <w:top w:val="single" w:sz="4" w:space="0" w:color="auto"/>
              <w:left w:val="single" w:sz="4" w:space="0" w:color="auto"/>
              <w:bottom w:val="single" w:sz="4" w:space="0" w:color="auto"/>
              <w:right w:val="single" w:sz="4" w:space="0" w:color="auto"/>
            </w:tcBorders>
            <w:vAlign w:val="center"/>
          </w:tcPr>
          <w:p w14:paraId="5FCF1C65"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781302D" w14:textId="77777777" w:rsidR="00E57DAA" w:rsidRDefault="00AC4185">
            <w:pPr>
              <w:autoSpaceDE w:val="0"/>
              <w:autoSpaceDN w:val="0"/>
              <w:adjustRightInd w:val="0"/>
              <w:rPr>
                <w:szCs w:val="21"/>
              </w:rPr>
            </w:pPr>
            <w:r>
              <w:t>南阳中联卧龙水泥有限公司</w:t>
            </w:r>
          </w:p>
        </w:tc>
        <w:tc>
          <w:tcPr>
            <w:tcW w:w="633" w:type="pct"/>
            <w:tcBorders>
              <w:top w:val="single" w:sz="4" w:space="0" w:color="auto"/>
              <w:left w:val="single" w:sz="4" w:space="0" w:color="auto"/>
              <w:bottom w:val="single" w:sz="4" w:space="0" w:color="auto"/>
              <w:right w:val="single" w:sz="4" w:space="0" w:color="auto"/>
            </w:tcBorders>
          </w:tcPr>
          <w:p w14:paraId="2221EDE4" w14:textId="77777777" w:rsidR="00E57DAA" w:rsidRDefault="00AC4185">
            <w:pPr>
              <w:autoSpaceDE w:val="0"/>
              <w:autoSpaceDN w:val="0"/>
              <w:adjustRightInd w:val="0"/>
              <w:jc w:val="right"/>
              <w:rPr>
                <w:szCs w:val="21"/>
              </w:rPr>
            </w:pPr>
            <w:r>
              <w:t>344,999.70</w:t>
            </w:r>
          </w:p>
        </w:tc>
        <w:tc>
          <w:tcPr>
            <w:tcW w:w="632" w:type="pct"/>
            <w:tcBorders>
              <w:top w:val="single" w:sz="4" w:space="0" w:color="auto"/>
              <w:left w:val="single" w:sz="4" w:space="0" w:color="auto"/>
              <w:bottom w:val="single" w:sz="4" w:space="0" w:color="auto"/>
              <w:right w:val="single" w:sz="4" w:space="0" w:color="auto"/>
            </w:tcBorders>
          </w:tcPr>
          <w:p w14:paraId="0AAFF882" w14:textId="77777777" w:rsidR="00E57DAA" w:rsidRDefault="00AC4185">
            <w:pPr>
              <w:autoSpaceDE w:val="0"/>
              <w:autoSpaceDN w:val="0"/>
              <w:adjustRightInd w:val="0"/>
              <w:jc w:val="right"/>
              <w:rPr>
                <w:szCs w:val="21"/>
              </w:rPr>
            </w:pPr>
            <w:r>
              <w:t>68,999.94</w:t>
            </w:r>
          </w:p>
        </w:tc>
        <w:tc>
          <w:tcPr>
            <w:tcW w:w="703" w:type="pct"/>
            <w:tcBorders>
              <w:top w:val="single" w:sz="4" w:space="0" w:color="auto"/>
              <w:left w:val="single" w:sz="4" w:space="0" w:color="auto"/>
              <w:bottom w:val="single" w:sz="4" w:space="0" w:color="auto"/>
              <w:right w:val="single" w:sz="4" w:space="0" w:color="auto"/>
            </w:tcBorders>
          </w:tcPr>
          <w:p w14:paraId="1BDD3AF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12AED5F" w14:textId="77777777" w:rsidR="00E57DAA" w:rsidRDefault="00AC4185">
            <w:pPr>
              <w:autoSpaceDE w:val="0"/>
              <w:autoSpaceDN w:val="0"/>
              <w:adjustRightInd w:val="0"/>
              <w:jc w:val="right"/>
              <w:rPr>
                <w:szCs w:val="21"/>
              </w:rPr>
            </w:pPr>
            <w:r>
              <w:t xml:space="preserve">　</w:t>
            </w:r>
          </w:p>
        </w:tc>
      </w:tr>
      <w:tr w:rsidR="00E57DAA" w14:paraId="5F5602AA" w14:textId="77777777">
        <w:tc>
          <w:tcPr>
            <w:tcW w:w="677" w:type="pct"/>
            <w:tcBorders>
              <w:top w:val="single" w:sz="4" w:space="0" w:color="auto"/>
              <w:left w:val="single" w:sz="4" w:space="0" w:color="auto"/>
              <w:bottom w:val="single" w:sz="4" w:space="0" w:color="auto"/>
              <w:right w:val="single" w:sz="4" w:space="0" w:color="auto"/>
            </w:tcBorders>
            <w:vAlign w:val="center"/>
          </w:tcPr>
          <w:p w14:paraId="714B0D4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7495EB7" w14:textId="77777777" w:rsidR="00E57DAA" w:rsidRDefault="00AC4185">
            <w:pPr>
              <w:autoSpaceDE w:val="0"/>
              <w:autoSpaceDN w:val="0"/>
              <w:adjustRightInd w:val="0"/>
              <w:rPr>
                <w:szCs w:val="21"/>
              </w:rPr>
            </w:pPr>
            <w:r>
              <w:t>广德新杭南方水泥有限公司</w:t>
            </w:r>
          </w:p>
        </w:tc>
        <w:tc>
          <w:tcPr>
            <w:tcW w:w="633" w:type="pct"/>
            <w:tcBorders>
              <w:top w:val="single" w:sz="4" w:space="0" w:color="auto"/>
              <w:left w:val="single" w:sz="4" w:space="0" w:color="auto"/>
              <w:bottom w:val="single" w:sz="4" w:space="0" w:color="auto"/>
              <w:right w:val="single" w:sz="4" w:space="0" w:color="auto"/>
            </w:tcBorders>
          </w:tcPr>
          <w:p w14:paraId="04C3917D" w14:textId="77777777" w:rsidR="00E57DAA" w:rsidRDefault="00AC4185">
            <w:pPr>
              <w:autoSpaceDE w:val="0"/>
              <w:autoSpaceDN w:val="0"/>
              <w:adjustRightInd w:val="0"/>
              <w:jc w:val="right"/>
              <w:rPr>
                <w:szCs w:val="21"/>
              </w:rPr>
            </w:pPr>
            <w:r>
              <w:t>323,370.26</w:t>
            </w:r>
          </w:p>
        </w:tc>
        <w:tc>
          <w:tcPr>
            <w:tcW w:w="632" w:type="pct"/>
            <w:tcBorders>
              <w:top w:val="single" w:sz="4" w:space="0" w:color="auto"/>
              <w:left w:val="single" w:sz="4" w:space="0" w:color="auto"/>
              <w:bottom w:val="single" w:sz="4" w:space="0" w:color="auto"/>
              <w:right w:val="single" w:sz="4" w:space="0" w:color="auto"/>
            </w:tcBorders>
          </w:tcPr>
          <w:p w14:paraId="5DB11750" w14:textId="77777777" w:rsidR="00E57DAA" w:rsidRDefault="00AC4185">
            <w:pPr>
              <w:autoSpaceDE w:val="0"/>
              <w:autoSpaceDN w:val="0"/>
              <w:adjustRightInd w:val="0"/>
              <w:jc w:val="right"/>
              <w:rPr>
                <w:szCs w:val="21"/>
              </w:rPr>
            </w:pPr>
            <w:r>
              <w:t>32,337.03</w:t>
            </w:r>
          </w:p>
        </w:tc>
        <w:tc>
          <w:tcPr>
            <w:tcW w:w="703" w:type="pct"/>
            <w:tcBorders>
              <w:top w:val="single" w:sz="4" w:space="0" w:color="auto"/>
              <w:left w:val="single" w:sz="4" w:space="0" w:color="auto"/>
              <w:bottom w:val="single" w:sz="4" w:space="0" w:color="auto"/>
              <w:right w:val="single" w:sz="4" w:space="0" w:color="auto"/>
            </w:tcBorders>
          </w:tcPr>
          <w:p w14:paraId="6DD84D06" w14:textId="77777777" w:rsidR="00E57DAA" w:rsidRDefault="00AC4185">
            <w:pPr>
              <w:autoSpaceDE w:val="0"/>
              <w:autoSpaceDN w:val="0"/>
              <w:adjustRightInd w:val="0"/>
              <w:jc w:val="right"/>
              <w:rPr>
                <w:szCs w:val="21"/>
              </w:rPr>
            </w:pPr>
            <w:r>
              <w:t>8,795,030.75</w:t>
            </w:r>
          </w:p>
        </w:tc>
        <w:tc>
          <w:tcPr>
            <w:tcW w:w="914" w:type="pct"/>
            <w:tcBorders>
              <w:top w:val="single" w:sz="4" w:space="0" w:color="auto"/>
              <w:left w:val="single" w:sz="4" w:space="0" w:color="auto"/>
              <w:bottom w:val="single" w:sz="4" w:space="0" w:color="auto"/>
              <w:right w:val="single" w:sz="4" w:space="0" w:color="auto"/>
            </w:tcBorders>
          </w:tcPr>
          <w:p w14:paraId="1E0FCDC7" w14:textId="77777777" w:rsidR="00E57DAA" w:rsidRDefault="00AC4185">
            <w:pPr>
              <w:autoSpaceDE w:val="0"/>
              <w:autoSpaceDN w:val="0"/>
              <w:adjustRightInd w:val="0"/>
              <w:jc w:val="right"/>
              <w:rPr>
                <w:szCs w:val="21"/>
              </w:rPr>
            </w:pPr>
            <w:r>
              <w:t>439,751.54</w:t>
            </w:r>
          </w:p>
        </w:tc>
      </w:tr>
      <w:tr w:rsidR="00E57DAA" w14:paraId="5BEE33F3" w14:textId="77777777">
        <w:tc>
          <w:tcPr>
            <w:tcW w:w="677" w:type="pct"/>
            <w:tcBorders>
              <w:top w:val="single" w:sz="4" w:space="0" w:color="auto"/>
              <w:left w:val="single" w:sz="4" w:space="0" w:color="auto"/>
              <w:bottom w:val="single" w:sz="4" w:space="0" w:color="auto"/>
              <w:right w:val="single" w:sz="4" w:space="0" w:color="auto"/>
            </w:tcBorders>
            <w:vAlign w:val="center"/>
          </w:tcPr>
          <w:p w14:paraId="01B1168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1B988DE" w14:textId="77777777" w:rsidR="00E57DAA" w:rsidRDefault="00AC4185">
            <w:pPr>
              <w:autoSpaceDE w:val="0"/>
              <w:autoSpaceDN w:val="0"/>
              <w:adjustRightInd w:val="0"/>
              <w:rPr>
                <w:szCs w:val="21"/>
              </w:rPr>
            </w:pPr>
            <w:r>
              <w:t>广西金鲤水泥有限公司</w:t>
            </w:r>
          </w:p>
        </w:tc>
        <w:tc>
          <w:tcPr>
            <w:tcW w:w="633" w:type="pct"/>
            <w:tcBorders>
              <w:top w:val="single" w:sz="4" w:space="0" w:color="auto"/>
              <w:left w:val="single" w:sz="4" w:space="0" w:color="auto"/>
              <w:bottom w:val="single" w:sz="4" w:space="0" w:color="auto"/>
              <w:right w:val="single" w:sz="4" w:space="0" w:color="auto"/>
            </w:tcBorders>
          </w:tcPr>
          <w:p w14:paraId="45C467FE" w14:textId="77777777" w:rsidR="00E57DAA" w:rsidRDefault="00AC4185">
            <w:pPr>
              <w:autoSpaceDE w:val="0"/>
              <w:autoSpaceDN w:val="0"/>
              <w:adjustRightInd w:val="0"/>
              <w:jc w:val="right"/>
              <w:rPr>
                <w:szCs w:val="21"/>
              </w:rPr>
            </w:pPr>
            <w:r>
              <w:t>318,336.00</w:t>
            </w:r>
          </w:p>
        </w:tc>
        <w:tc>
          <w:tcPr>
            <w:tcW w:w="632" w:type="pct"/>
            <w:tcBorders>
              <w:top w:val="single" w:sz="4" w:space="0" w:color="auto"/>
              <w:left w:val="single" w:sz="4" w:space="0" w:color="auto"/>
              <w:bottom w:val="single" w:sz="4" w:space="0" w:color="auto"/>
              <w:right w:val="single" w:sz="4" w:space="0" w:color="auto"/>
            </w:tcBorders>
          </w:tcPr>
          <w:p w14:paraId="1AD666B8" w14:textId="77777777" w:rsidR="00E57DAA" w:rsidRDefault="00AC4185">
            <w:pPr>
              <w:autoSpaceDE w:val="0"/>
              <w:autoSpaceDN w:val="0"/>
              <w:adjustRightInd w:val="0"/>
              <w:jc w:val="right"/>
              <w:rPr>
                <w:szCs w:val="21"/>
              </w:rPr>
            </w:pPr>
            <w:r>
              <w:t>15,916.80</w:t>
            </w:r>
          </w:p>
        </w:tc>
        <w:tc>
          <w:tcPr>
            <w:tcW w:w="703" w:type="pct"/>
            <w:tcBorders>
              <w:top w:val="single" w:sz="4" w:space="0" w:color="auto"/>
              <w:left w:val="single" w:sz="4" w:space="0" w:color="auto"/>
              <w:bottom w:val="single" w:sz="4" w:space="0" w:color="auto"/>
              <w:right w:val="single" w:sz="4" w:space="0" w:color="auto"/>
            </w:tcBorders>
          </w:tcPr>
          <w:p w14:paraId="2E2F5ED0" w14:textId="77777777" w:rsidR="00E57DAA" w:rsidRDefault="00AC4185">
            <w:pPr>
              <w:autoSpaceDE w:val="0"/>
              <w:autoSpaceDN w:val="0"/>
              <w:adjustRightInd w:val="0"/>
              <w:jc w:val="right"/>
              <w:rPr>
                <w:szCs w:val="21"/>
              </w:rPr>
            </w:pPr>
            <w:r>
              <w:t>29,352,675.46</w:t>
            </w:r>
          </w:p>
        </w:tc>
        <w:tc>
          <w:tcPr>
            <w:tcW w:w="914" w:type="pct"/>
            <w:tcBorders>
              <w:top w:val="single" w:sz="4" w:space="0" w:color="auto"/>
              <w:left w:val="single" w:sz="4" w:space="0" w:color="auto"/>
              <w:bottom w:val="single" w:sz="4" w:space="0" w:color="auto"/>
              <w:right w:val="single" w:sz="4" w:space="0" w:color="auto"/>
            </w:tcBorders>
          </w:tcPr>
          <w:p w14:paraId="6A550D5A" w14:textId="77777777" w:rsidR="00E57DAA" w:rsidRDefault="00AC4185">
            <w:pPr>
              <w:autoSpaceDE w:val="0"/>
              <w:autoSpaceDN w:val="0"/>
              <w:adjustRightInd w:val="0"/>
              <w:jc w:val="right"/>
              <w:rPr>
                <w:szCs w:val="21"/>
              </w:rPr>
            </w:pPr>
            <w:r>
              <w:t>1,519,632.43</w:t>
            </w:r>
          </w:p>
        </w:tc>
      </w:tr>
      <w:tr w:rsidR="00E57DAA" w14:paraId="10850347" w14:textId="77777777">
        <w:tc>
          <w:tcPr>
            <w:tcW w:w="677" w:type="pct"/>
            <w:tcBorders>
              <w:top w:val="single" w:sz="4" w:space="0" w:color="auto"/>
              <w:left w:val="single" w:sz="4" w:space="0" w:color="auto"/>
              <w:bottom w:val="single" w:sz="4" w:space="0" w:color="auto"/>
              <w:right w:val="single" w:sz="4" w:space="0" w:color="auto"/>
            </w:tcBorders>
            <w:vAlign w:val="center"/>
          </w:tcPr>
          <w:p w14:paraId="5C4BCD9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31AEB4D" w14:textId="77777777" w:rsidR="00E57DAA" w:rsidRDefault="00AC4185">
            <w:pPr>
              <w:autoSpaceDE w:val="0"/>
              <w:autoSpaceDN w:val="0"/>
              <w:adjustRightInd w:val="0"/>
              <w:rPr>
                <w:szCs w:val="21"/>
              </w:rPr>
            </w:pPr>
            <w:r>
              <w:t>大方永贵建材有限责任公司</w:t>
            </w:r>
          </w:p>
        </w:tc>
        <w:tc>
          <w:tcPr>
            <w:tcW w:w="633" w:type="pct"/>
            <w:tcBorders>
              <w:top w:val="single" w:sz="4" w:space="0" w:color="auto"/>
              <w:left w:val="single" w:sz="4" w:space="0" w:color="auto"/>
              <w:bottom w:val="single" w:sz="4" w:space="0" w:color="auto"/>
              <w:right w:val="single" w:sz="4" w:space="0" w:color="auto"/>
            </w:tcBorders>
          </w:tcPr>
          <w:p w14:paraId="1AC1D3D3" w14:textId="77777777" w:rsidR="00E57DAA" w:rsidRDefault="00AC4185">
            <w:pPr>
              <w:autoSpaceDE w:val="0"/>
              <w:autoSpaceDN w:val="0"/>
              <w:adjustRightInd w:val="0"/>
              <w:jc w:val="right"/>
              <w:rPr>
                <w:szCs w:val="21"/>
              </w:rPr>
            </w:pPr>
            <w:r>
              <w:t>279,049.60</w:t>
            </w:r>
          </w:p>
        </w:tc>
        <w:tc>
          <w:tcPr>
            <w:tcW w:w="632" w:type="pct"/>
            <w:tcBorders>
              <w:top w:val="single" w:sz="4" w:space="0" w:color="auto"/>
              <w:left w:val="single" w:sz="4" w:space="0" w:color="auto"/>
              <w:bottom w:val="single" w:sz="4" w:space="0" w:color="auto"/>
              <w:right w:val="single" w:sz="4" w:space="0" w:color="auto"/>
            </w:tcBorders>
          </w:tcPr>
          <w:p w14:paraId="18E7F9E1" w14:textId="77777777" w:rsidR="00E57DAA" w:rsidRDefault="00AC4185">
            <w:pPr>
              <w:autoSpaceDE w:val="0"/>
              <w:autoSpaceDN w:val="0"/>
              <w:adjustRightInd w:val="0"/>
              <w:jc w:val="right"/>
              <w:rPr>
                <w:szCs w:val="21"/>
              </w:rPr>
            </w:pPr>
            <w:r>
              <w:t>13,952.48</w:t>
            </w:r>
          </w:p>
        </w:tc>
        <w:tc>
          <w:tcPr>
            <w:tcW w:w="703" w:type="pct"/>
            <w:tcBorders>
              <w:top w:val="single" w:sz="4" w:space="0" w:color="auto"/>
              <w:left w:val="single" w:sz="4" w:space="0" w:color="auto"/>
              <w:bottom w:val="single" w:sz="4" w:space="0" w:color="auto"/>
              <w:right w:val="single" w:sz="4" w:space="0" w:color="auto"/>
            </w:tcBorders>
          </w:tcPr>
          <w:p w14:paraId="1669F75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A43A7B0" w14:textId="77777777" w:rsidR="00E57DAA" w:rsidRDefault="00AC4185">
            <w:pPr>
              <w:autoSpaceDE w:val="0"/>
              <w:autoSpaceDN w:val="0"/>
              <w:adjustRightInd w:val="0"/>
              <w:jc w:val="right"/>
              <w:rPr>
                <w:szCs w:val="21"/>
              </w:rPr>
            </w:pPr>
            <w:r>
              <w:t xml:space="preserve">　</w:t>
            </w:r>
          </w:p>
        </w:tc>
      </w:tr>
      <w:tr w:rsidR="00E57DAA" w14:paraId="4605C6E4" w14:textId="77777777">
        <w:tc>
          <w:tcPr>
            <w:tcW w:w="677" w:type="pct"/>
            <w:tcBorders>
              <w:top w:val="single" w:sz="4" w:space="0" w:color="auto"/>
              <w:left w:val="single" w:sz="4" w:space="0" w:color="auto"/>
              <w:bottom w:val="single" w:sz="4" w:space="0" w:color="auto"/>
              <w:right w:val="single" w:sz="4" w:space="0" w:color="auto"/>
            </w:tcBorders>
            <w:vAlign w:val="center"/>
          </w:tcPr>
          <w:p w14:paraId="59DB637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084315C" w14:textId="77777777" w:rsidR="00E57DAA" w:rsidRDefault="00AC4185">
            <w:pPr>
              <w:autoSpaceDE w:val="0"/>
              <w:autoSpaceDN w:val="0"/>
              <w:adjustRightInd w:val="0"/>
              <w:rPr>
                <w:szCs w:val="21"/>
              </w:rPr>
            </w:pPr>
            <w:r>
              <w:t>泰山石膏（嘉兴）有限公司</w:t>
            </w:r>
          </w:p>
        </w:tc>
        <w:tc>
          <w:tcPr>
            <w:tcW w:w="633" w:type="pct"/>
            <w:tcBorders>
              <w:top w:val="single" w:sz="4" w:space="0" w:color="auto"/>
              <w:left w:val="single" w:sz="4" w:space="0" w:color="auto"/>
              <w:bottom w:val="single" w:sz="4" w:space="0" w:color="auto"/>
              <w:right w:val="single" w:sz="4" w:space="0" w:color="auto"/>
            </w:tcBorders>
          </w:tcPr>
          <w:p w14:paraId="7A6681CA" w14:textId="77777777" w:rsidR="00E57DAA" w:rsidRDefault="00AC4185">
            <w:pPr>
              <w:autoSpaceDE w:val="0"/>
              <w:autoSpaceDN w:val="0"/>
              <w:adjustRightInd w:val="0"/>
              <w:jc w:val="right"/>
              <w:rPr>
                <w:szCs w:val="21"/>
              </w:rPr>
            </w:pPr>
            <w:r>
              <w:t>195,000.00</w:t>
            </w:r>
          </w:p>
        </w:tc>
        <w:tc>
          <w:tcPr>
            <w:tcW w:w="632" w:type="pct"/>
            <w:tcBorders>
              <w:top w:val="single" w:sz="4" w:space="0" w:color="auto"/>
              <w:left w:val="single" w:sz="4" w:space="0" w:color="auto"/>
              <w:bottom w:val="single" w:sz="4" w:space="0" w:color="auto"/>
              <w:right w:val="single" w:sz="4" w:space="0" w:color="auto"/>
            </w:tcBorders>
          </w:tcPr>
          <w:p w14:paraId="498E2DC0" w14:textId="77777777" w:rsidR="00E57DAA" w:rsidRDefault="00AC4185">
            <w:pPr>
              <w:autoSpaceDE w:val="0"/>
              <w:autoSpaceDN w:val="0"/>
              <w:adjustRightInd w:val="0"/>
              <w:jc w:val="right"/>
              <w:rPr>
                <w:szCs w:val="21"/>
              </w:rPr>
            </w:pPr>
            <w:r>
              <w:t>9,750.00</w:t>
            </w:r>
          </w:p>
        </w:tc>
        <w:tc>
          <w:tcPr>
            <w:tcW w:w="703" w:type="pct"/>
            <w:tcBorders>
              <w:top w:val="single" w:sz="4" w:space="0" w:color="auto"/>
              <w:left w:val="single" w:sz="4" w:space="0" w:color="auto"/>
              <w:bottom w:val="single" w:sz="4" w:space="0" w:color="auto"/>
              <w:right w:val="single" w:sz="4" w:space="0" w:color="auto"/>
            </w:tcBorders>
          </w:tcPr>
          <w:p w14:paraId="6E7DF2E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0DC145A" w14:textId="77777777" w:rsidR="00E57DAA" w:rsidRDefault="00AC4185">
            <w:pPr>
              <w:autoSpaceDE w:val="0"/>
              <w:autoSpaceDN w:val="0"/>
              <w:adjustRightInd w:val="0"/>
              <w:jc w:val="right"/>
              <w:rPr>
                <w:szCs w:val="21"/>
              </w:rPr>
            </w:pPr>
            <w:r>
              <w:t xml:space="preserve">　</w:t>
            </w:r>
          </w:p>
        </w:tc>
      </w:tr>
      <w:tr w:rsidR="00E57DAA" w14:paraId="097D7E5F" w14:textId="77777777">
        <w:tc>
          <w:tcPr>
            <w:tcW w:w="677" w:type="pct"/>
            <w:tcBorders>
              <w:top w:val="single" w:sz="4" w:space="0" w:color="auto"/>
              <w:left w:val="single" w:sz="4" w:space="0" w:color="auto"/>
              <w:bottom w:val="single" w:sz="4" w:space="0" w:color="auto"/>
              <w:right w:val="single" w:sz="4" w:space="0" w:color="auto"/>
            </w:tcBorders>
            <w:vAlign w:val="center"/>
          </w:tcPr>
          <w:p w14:paraId="66ABFEF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F60C695" w14:textId="77777777" w:rsidR="00E57DAA" w:rsidRDefault="00AC4185">
            <w:pPr>
              <w:autoSpaceDE w:val="0"/>
              <w:autoSpaceDN w:val="0"/>
              <w:adjustRightInd w:val="0"/>
              <w:rPr>
                <w:szCs w:val="21"/>
              </w:rPr>
            </w:pPr>
            <w:r>
              <w:t>兰溪诸葛南方水泥有限公司</w:t>
            </w:r>
          </w:p>
        </w:tc>
        <w:tc>
          <w:tcPr>
            <w:tcW w:w="633" w:type="pct"/>
            <w:tcBorders>
              <w:top w:val="single" w:sz="4" w:space="0" w:color="auto"/>
              <w:left w:val="single" w:sz="4" w:space="0" w:color="auto"/>
              <w:bottom w:val="single" w:sz="4" w:space="0" w:color="auto"/>
              <w:right w:val="single" w:sz="4" w:space="0" w:color="auto"/>
            </w:tcBorders>
          </w:tcPr>
          <w:p w14:paraId="6EAF2A34" w14:textId="77777777" w:rsidR="00E57DAA" w:rsidRDefault="00AC4185">
            <w:pPr>
              <w:autoSpaceDE w:val="0"/>
              <w:autoSpaceDN w:val="0"/>
              <w:adjustRightInd w:val="0"/>
              <w:jc w:val="right"/>
              <w:rPr>
                <w:szCs w:val="21"/>
              </w:rPr>
            </w:pPr>
            <w:r>
              <w:t>170,000.00</w:t>
            </w:r>
          </w:p>
        </w:tc>
        <w:tc>
          <w:tcPr>
            <w:tcW w:w="632" w:type="pct"/>
            <w:tcBorders>
              <w:top w:val="single" w:sz="4" w:space="0" w:color="auto"/>
              <w:left w:val="single" w:sz="4" w:space="0" w:color="auto"/>
              <w:bottom w:val="single" w:sz="4" w:space="0" w:color="auto"/>
              <w:right w:val="single" w:sz="4" w:space="0" w:color="auto"/>
            </w:tcBorders>
          </w:tcPr>
          <w:p w14:paraId="50F2F245" w14:textId="77777777" w:rsidR="00E57DAA" w:rsidRDefault="00AC4185">
            <w:pPr>
              <w:autoSpaceDE w:val="0"/>
              <w:autoSpaceDN w:val="0"/>
              <w:adjustRightInd w:val="0"/>
              <w:jc w:val="right"/>
              <w:rPr>
                <w:szCs w:val="21"/>
              </w:rPr>
            </w:pPr>
            <w:r>
              <w:t>4,029.00</w:t>
            </w:r>
          </w:p>
        </w:tc>
        <w:tc>
          <w:tcPr>
            <w:tcW w:w="703" w:type="pct"/>
            <w:tcBorders>
              <w:top w:val="single" w:sz="4" w:space="0" w:color="auto"/>
              <w:left w:val="single" w:sz="4" w:space="0" w:color="auto"/>
              <w:bottom w:val="single" w:sz="4" w:space="0" w:color="auto"/>
              <w:right w:val="single" w:sz="4" w:space="0" w:color="auto"/>
            </w:tcBorders>
          </w:tcPr>
          <w:p w14:paraId="134511C4" w14:textId="77777777" w:rsidR="00E57DAA" w:rsidRDefault="00AC4185">
            <w:pPr>
              <w:autoSpaceDE w:val="0"/>
              <w:autoSpaceDN w:val="0"/>
              <w:adjustRightInd w:val="0"/>
              <w:jc w:val="right"/>
              <w:rPr>
                <w:szCs w:val="21"/>
              </w:rPr>
            </w:pPr>
            <w:r>
              <w:t>52,000.00</w:t>
            </w:r>
          </w:p>
        </w:tc>
        <w:tc>
          <w:tcPr>
            <w:tcW w:w="914" w:type="pct"/>
            <w:tcBorders>
              <w:top w:val="single" w:sz="4" w:space="0" w:color="auto"/>
              <w:left w:val="single" w:sz="4" w:space="0" w:color="auto"/>
              <w:bottom w:val="single" w:sz="4" w:space="0" w:color="auto"/>
              <w:right w:val="single" w:sz="4" w:space="0" w:color="auto"/>
            </w:tcBorders>
          </w:tcPr>
          <w:p w14:paraId="5BC757BB" w14:textId="77777777" w:rsidR="00E57DAA" w:rsidRDefault="00AC4185">
            <w:pPr>
              <w:autoSpaceDE w:val="0"/>
              <w:autoSpaceDN w:val="0"/>
              <w:adjustRightInd w:val="0"/>
              <w:jc w:val="right"/>
              <w:rPr>
                <w:szCs w:val="21"/>
              </w:rPr>
            </w:pPr>
            <w:r>
              <w:t>1,232.40</w:t>
            </w:r>
          </w:p>
        </w:tc>
      </w:tr>
      <w:tr w:rsidR="00E57DAA" w14:paraId="060EC5F6" w14:textId="77777777">
        <w:tc>
          <w:tcPr>
            <w:tcW w:w="677" w:type="pct"/>
            <w:tcBorders>
              <w:top w:val="single" w:sz="4" w:space="0" w:color="auto"/>
              <w:left w:val="single" w:sz="4" w:space="0" w:color="auto"/>
              <w:bottom w:val="single" w:sz="4" w:space="0" w:color="auto"/>
              <w:right w:val="single" w:sz="4" w:space="0" w:color="auto"/>
            </w:tcBorders>
            <w:vAlign w:val="center"/>
          </w:tcPr>
          <w:p w14:paraId="2E65C965"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1EBFB17" w14:textId="77777777" w:rsidR="00E57DAA" w:rsidRDefault="00AC4185">
            <w:pPr>
              <w:autoSpaceDE w:val="0"/>
              <w:autoSpaceDN w:val="0"/>
              <w:adjustRightInd w:val="0"/>
              <w:rPr>
                <w:szCs w:val="21"/>
              </w:rPr>
            </w:pPr>
            <w:r>
              <w:t>长兴南方水泥有限公司</w:t>
            </w:r>
          </w:p>
        </w:tc>
        <w:tc>
          <w:tcPr>
            <w:tcW w:w="633" w:type="pct"/>
            <w:tcBorders>
              <w:top w:val="single" w:sz="4" w:space="0" w:color="auto"/>
              <w:left w:val="single" w:sz="4" w:space="0" w:color="auto"/>
              <w:bottom w:val="single" w:sz="4" w:space="0" w:color="auto"/>
              <w:right w:val="single" w:sz="4" w:space="0" w:color="auto"/>
            </w:tcBorders>
          </w:tcPr>
          <w:p w14:paraId="250C5B34" w14:textId="77777777" w:rsidR="00E57DAA" w:rsidRDefault="00AC4185">
            <w:pPr>
              <w:autoSpaceDE w:val="0"/>
              <w:autoSpaceDN w:val="0"/>
              <w:adjustRightInd w:val="0"/>
              <w:jc w:val="right"/>
              <w:rPr>
                <w:szCs w:val="21"/>
              </w:rPr>
            </w:pPr>
            <w:r>
              <w:t>158,000.00</w:t>
            </w:r>
          </w:p>
        </w:tc>
        <w:tc>
          <w:tcPr>
            <w:tcW w:w="632" w:type="pct"/>
            <w:tcBorders>
              <w:top w:val="single" w:sz="4" w:space="0" w:color="auto"/>
              <w:left w:val="single" w:sz="4" w:space="0" w:color="auto"/>
              <w:bottom w:val="single" w:sz="4" w:space="0" w:color="auto"/>
              <w:right w:val="single" w:sz="4" w:space="0" w:color="auto"/>
            </w:tcBorders>
          </w:tcPr>
          <w:p w14:paraId="6613960E" w14:textId="77777777" w:rsidR="00E57DAA" w:rsidRDefault="00AC4185">
            <w:pPr>
              <w:autoSpaceDE w:val="0"/>
              <w:autoSpaceDN w:val="0"/>
              <w:adjustRightInd w:val="0"/>
              <w:jc w:val="right"/>
              <w:rPr>
                <w:szCs w:val="21"/>
              </w:rPr>
            </w:pPr>
            <w:r>
              <w:t>7,900.00</w:t>
            </w:r>
          </w:p>
        </w:tc>
        <w:tc>
          <w:tcPr>
            <w:tcW w:w="703" w:type="pct"/>
            <w:tcBorders>
              <w:top w:val="single" w:sz="4" w:space="0" w:color="auto"/>
              <w:left w:val="single" w:sz="4" w:space="0" w:color="auto"/>
              <w:bottom w:val="single" w:sz="4" w:space="0" w:color="auto"/>
              <w:right w:val="single" w:sz="4" w:space="0" w:color="auto"/>
            </w:tcBorders>
          </w:tcPr>
          <w:p w14:paraId="187091D2"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196ECFF" w14:textId="77777777" w:rsidR="00E57DAA" w:rsidRDefault="00AC4185">
            <w:pPr>
              <w:autoSpaceDE w:val="0"/>
              <w:autoSpaceDN w:val="0"/>
              <w:adjustRightInd w:val="0"/>
              <w:jc w:val="right"/>
              <w:rPr>
                <w:szCs w:val="21"/>
              </w:rPr>
            </w:pPr>
            <w:r>
              <w:t xml:space="preserve">　</w:t>
            </w:r>
          </w:p>
        </w:tc>
      </w:tr>
      <w:tr w:rsidR="00E57DAA" w14:paraId="3F7AEB0C" w14:textId="77777777">
        <w:tc>
          <w:tcPr>
            <w:tcW w:w="677" w:type="pct"/>
            <w:tcBorders>
              <w:top w:val="single" w:sz="4" w:space="0" w:color="auto"/>
              <w:left w:val="single" w:sz="4" w:space="0" w:color="auto"/>
              <w:bottom w:val="single" w:sz="4" w:space="0" w:color="auto"/>
              <w:right w:val="single" w:sz="4" w:space="0" w:color="auto"/>
            </w:tcBorders>
            <w:vAlign w:val="center"/>
          </w:tcPr>
          <w:p w14:paraId="7FCD213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B812E2C" w14:textId="77777777" w:rsidR="00E57DAA" w:rsidRDefault="00AC4185">
            <w:pPr>
              <w:autoSpaceDE w:val="0"/>
              <w:autoSpaceDN w:val="0"/>
              <w:adjustRightInd w:val="0"/>
              <w:rPr>
                <w:szCs w:val="21"/>
              </w:rPr>
            </w:pPr>
            <w:r>
              <w:t>常山南方水泥有限公司</w:t>
            </w:r>
          </w:p>
        </w:tc>
        <w:tc>
          <w:tcPr>
            <w:tcW w:w="633" w:type="pct"/>
            <w:tcBorders>
              <w:top w:val="single" w:sz="4" w:space="0" w:color="auto"/>
              <w:left w:val="single" w:sz="4" w:space="0" w:color="auto"/>
              <w:bottom w:val="single" w:sz="4" w:space="0" w:color="auto"/>
              <w:right w:val="single" w:sz="4" w:space="0" w:color="auto"/>
            </w:tcBorders>
          </w:tcPr>
          <w:p w14:paraId="25D5487E" w14:textId="77777777" w:rsidR="00E57DAA" w:rsidRDefault="00AC4185">
            <w:pPr>
              <w:autoSpaceDE w:val="0"/>
              <w:autoSpaceDN w:val="0"/>
              <w:adjustRightInd w:val="0"/>
              <w:jc w:val="right"/>
              <w:rPr>
                <w:szCs w:val="21"/>
              </w:rPr>
            </w:pPr>
            <w:r>
              <w:t>114,673.45</w:t>
            </w:r>
          </w:p>
        </w:tc>
        <w:tc>
          <w:tcPr>
            <w:tcW w:w="632" w:type="pct"/>
            <w:tcBorders>
              <w:top w:val="single" w:sz="4" w:space="0" w:color="auto"/>
              <w:left w:val="single" w:sz="4" w:space="0" w:color="auto"/>
              <w:bottom w:val="single" w:sz="4" w:space="0" w:color="auto"/>
              <w:right w:val="single" w:sz="4" w:space="0" w:color="auto"/>
            </w:tcBorders>
          </w:tcPr>
          <w:p w14:paraId="024AE304" w14:textId="77777777" w:rsidR="00E57DAA" w:rsidRDefault="00AC4185">
            <w:pPr>
              <w:autoSpaceDE w:val="0"/>
              <w:autoSpaceDN w:val="0"/>
              <w:adjustRightInd w:val="0"/>
              <w:jc w:val="right"/>
              <w:rPr>
                <w:szCs w:val="21"/>
              </w:rPr>
            </w:pPr>
            <w:r>
              <w:t>176.69</w:t>
            </w:r>
          </w:p>
        </w:tc>
        <w:tc>
          <w:tcPr>
            <w:tcW w:w="703" w:type="pct"/>
            <w:tcBorders>
              <w:top w:val="single" w:sz="4" w:space="0" w:color="auto"/>
              <w:left w:val="single" w:sz="4" w:space="0" w:color="auto"/>
              <w:bottom w:val="single" w:sz="4" w:space="0" w:color="auto"/>
              <w:right w:val="single" w:sz="4" w:space="0" w:color="auto"/>
            </w:tcBorders>
          </w:tcPr>
          <w:p w14:paraId="0DF3D0BF" w14:textId="77777777" w:rsidR="00E57DAA" w:rsidRDefault="00AC4185">
            <w:pPr>
              <w:autoSpaceDE w:val="0"/>
              <w:autoSpaceDN w:val="0"/>
              <w:adjustRightInd w:val="0"/>
              <w:jc w:val="right"/>
              <w:rPr>
                <w:szCs w:val="21"/>
              </w:rPr>
            </w:pPr>
            <w:r>
              <w:t>54,647.84</w:t>
            </w:r>
          </w:p>
        </w:tc>
        <w:tc>
          <w:tcPr>
            <w:tcW w:w="914" w:type="pct"/>
            <w:tcBorders>
              <w:top w:val="single" w:sz="4" w:space="0" w:color="auto"/>
              <w:left w:val="single" w:sz="4" w:space="0" w:color="auto"/>
              <w:bottom w:val="single" w:sz="4" w:space="0" w:color="auto"/>
              <w:right w:val="single" w:sz="4" w:space="0" w:color="auto"/>
            </w:tcBorders>
          </w:tcPr>
          <w:p w14:paraId="5D9BDD05" w14:textId="77777777" w:rsidR="00E57DAA" w:rsidRDefault="00AC4185">
            <w:pPr>
              <w:autoSpaceDE w:val="0"/>
              <w:autoSpaceDN w:val="0"/>
              <w:adjustRightInd w:val="0"/>
              <w:jc w:val="right"/>
              <w:rPr>
                <w:szCs w:val="21"/>
              </w:rPr>
            </w:pPr>
            <w:r>
              <w:t>567.4</w:t>
            </w:r>
          </w:p>
        </w:tc>
      </w:tr>
      <w:tr w:rsidR="00E57DAA" w14:paraId="0DD24494" w14:textId="77777777">
        <w:tc>
          <w:tcPr>
            <w:tcW w:w="677" w:type="pct"/>
            <w:tcBorders>
              <w:top w:val="single" w:sz="4" w:space="0" w:color="auto"/>
              <w:left w:val="single" w:sz="4" w:space="0" w:color="auto"/>
              <w:bottom w:val="single" w:sz="4" w:space="0" w:color="auto"/>
              <w:right w:val="single" w:sz="4" w:space="0" w:color="auto"/>
            </w:tcBorders>
            <w:vAlign w:val="center"/>
          </w:tcPr>
          <w:p w14:paraId="69980A3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8CCDE8A" w14:textId="77777777" w:rsidR="00E57DAA" w:rsidRDefault="00AC4185">
            <w:pPr>
              <w:autoSpaceDE w:val="0"/>
              <w:autoSpaceDN w:val="0"/>
              <w:adjustRightInd w:val="0"/>
              <w:rPr>
                <w:szCs w:val="21"/>
              </w:rPr>
            </w:pPr>
            <w:r>
              <w:t>西南水泥有限公司</w:t>
            </w:r>
          </w:p>
        </w:tc>
        <w:tc>
          <w:tcPr>
            <w:tcW w:w="633" w:type="pct"/>
            <w:tcBorders>
              <w:top w:val="single" w:sz="4" w:space="0" w:color="auto"/>
              <w:left w:val="single" w:sz="4" w:space="0" w:color="auto"/>
              <w:bottom w:val="single" w:sz="4" w:space="0" w:color="auto"/>
              <w:right w:val="single" w:sz="4" w:space="0" w:color="auto"/>
            </w:tcBorders>
          </w:tcPr>
          <w:p w14:paraId="3681FF98" w14:textId="77777777" w:rsidR="00E57DAA" w:rsidRDefault="00AC4185">
            <w:pPr>
              <w:autoSpaceDE w:val="0"/>
              <w:autoSpaceDN w:val="0"/>
              <w:adjustRightInd w:val="0"/>
              <w:jc w:val="right"/>
              <w:rPr>
                <w:szCs w:val="21"/>
              </w:rPr>
            </w:pPr>
            <w:r>
              <w:t>62,668.05</w:t>
            </w:r>
          </w:p>
        </w:tc>
        <w:tc>
          <w:tcPr>
            <w:tcW w:w="632" w:type="pct"/>
            <w:tcBorders>
              <w:top w:val="single" w:sz="4" w:space="0" w:color="auto"/>
              <w:left w:val="single" w:sz="4" w:space="0" w:color="auto"/>
              <w:bottom w:val="single" w:sz="4" w:space="0" w:color="auto"/>
              <w:right w:val="single" w:sz="4" w:space="0" w:color="auto"/>
            </w:tcBorders>
          </w:tcPr>
          <w:p w14:paraId="34372B2F" w14:textId="77777777" w:rsidR="00E57DAA" w:rsidRDefault="00AC4185">
            <w:pPr>
              <w:autoSpaceDE w:val="0"/>
              <w:autoSpaceDN w:val="0"/>
              <w:adjustRightInd w:val="0"/>
              <w:jc w:val="right"/>
              <w:rPr>
                <w:szCs w:val="21"/>
              </w:rPr>
            </w:pPr>
            <w:r>
              <w:t>1,485.23</w:t>
            </w:r>
          </w:p>
        </w:tc>
        <w:tc>
          <w:tcPr>
            <w:tcW w:w="703" w:type="pct"/>
            <w:tcBorders>
              <w:top w:val="single" w:sz="4" w:space="0" w:color="auto"/>
              <w:left w:val="single" w:sz="4" w:space="0" w:color="auto"/>
              <w:bottom w:val="single" w:sz="4" w:space="0" w:color="auto"/>
              <w:right w:val="single" w:sz="4" w:space="0" w:color="auto"/>
            </w:tcBorders>
          </w:tcPr>
          <w:p w14:paraId="4380700F"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157BBF4" w14:textId="77777777" w:rsidR="00E57DAA" w:rsidRDefault="00AC4185">
            <w:pPr>
              <w:autoSpaceDE w:val="0"/>
              <w:autoSpaceDN w:val="0"/>
              <w:adjustRightInd w:val="0"/>
              <w:jc w:val="right"/>
              <w:rPr>
                <w:szCs w:val="21"/>
              </w:rPr>
            </w:pPr>
            <w:r>
              <w:t xml:space="preserve">　</w:t>
            </w:r>
          </w:p>
        </w:tc>
      </w:tr>
      <w:tr w:rsidR="00E57DAA" w14:paraId="0B855428" w14:textId="77777777">
        <w:tc>
          <w:tcPr>
            <w:tcW w:w="677" w:type="pct"/>
            <w:tcBorders>
              <w:top w:val="single" w:sz="4" w:space="0" w:color="auto"/>
              <w:left w:val="single" w:sz="4" w:space="0" w:color="auto"/>
              <w:bottom w:val="single" w:sz="4" w:space="0" w:color="auto"/>
              <w:right w:val="single" w:sz="4" w:space="0" w:color="auto"/>
            </w:tcBorders>
            <w:vAlign w:val="center"/>
          </w:tcPr>
          <w:p w14:paraId="569D997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71435F3" w14:textId="77777777" w:rsidR="00E57DAA" w:rsidRDefault="00AC4185">
            <w:pPr>
              <w:autoSpaceDE w:val="0"/>
              <w:autoSpaceDN w:val="0"/>
              <w:adjustRightInd w:val="0"/>
              <w:rPr>
                <w:szCs w:val="21"/>
              </w:rPr>
            </w:pPr>
            <w:r>
              <w:t>抚州市东乡区上陈新材料有限公司</w:t>
            </w:r>
          </w:p>
        </w:tc>
        <w:tc>
          <w:tcPr>
            <w:tcW w:w="633" w:type="pct"/>
            <w:tcBorders>
              <w:top w:val="single" w:sz="4" w:space="0" w:color="auto"/>
              <w:left w:val="single" w:sz="4" w:space="0" w:color="auto"/>
              <w:bottom w:val="single" w:sz="4" w:space="0" w:color="auto"/>
              <w:right w:val="single" w:sz="4" w:space="0" w:color="auto"/>
            </w:tcBorders>
          </w:tcPr>
          <w:p w14:paraId="5D66AA6E" w14:textId="77777777" w:rsidR="00E57DAA" w:rsidRDefault="00AC4185">
            <w:pPr>
              <w:autoSpaceDE w:val="0"/>
              <w:autoSpaceDN w:val="0"/>
              <w:adjustRightInd w:val="0"/>
              <w:jc w:val="right"/>
              <w:rPr>
                <w:szCs w:val="21"/>
              </w:rPr>
            </w:pPr>
            <w:r>
              <w:t>37,025.88</w:t>
            </w:r>
          </w:p>
        </w:tc>
        <w:tc>
          <w:tcPr>
            <w:tcW w:w="632" w:type="pct"/>
            <w:tcBorders>
              <w:top w:val="single" w:sz="4" w:space="0" w:color="auto"/>
              <w:left w:val="single" w:sz="4" w:space="0" w:color="auto"/>
              <w:bottom w:val="single" w:sz="4" w:space="0" w:color="auto"/>
              <w:right w:val="single" w:sz="4" w:space="0" w:color="auto"/>
            </w:tcBorders>
          </w:tcPr>
          <w:p w14:paraId="46A5213E" w14:textId="77777777" w:rsidR="00E57DAA" w:rsidRDefault="00AC4185">
            <w:pPr>
              <w:autoSpaceDE w:val="0"/>
              <w:autoSpaceDN w:val="0"/>
              <w:adjustRightInd w:val="0"/>
              <w:jc w:val="right"/>
              <w:rPr>
                <w:szCs w:val="21"/>
              </w:rPr>
            </w:pPr>
            <w:r>
              <w:t>148.1</w:t>
            </w:r>
          </w:p>
        </w:tc>
        <w:tc>
          <w:tcPr>
            <w:tcW w:w="703" w:type="pct"/>
            <w:tcBorders>
              <w:top w:val="single" w:sz="4" w:space="0" w:color="auto"/>
              <w:left w:val="single" w:sz="4" w:space="0" w:color="auto"/>
              <w:bottom w:val="single" w:sz="4" w:space="0" w:color="auto"/>
              <w:right w:val="single" w:sz="4" w:space="0" w:color="auto"/>
            </w:tcBorders>
          </w:tcPr>
          <w:p w14:paraId="47F914D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9A1B40E" w14:textId="77777777" w:rsidR="00E57DAA" w:rsidRDefault="00AC4185">
            <w:pPr>
              <w:autoSpaceDE w:val="0"/>
              <w:autoSpaceDN w:val="0"/>
              <w:adjustRightInd w:val="0"/>
              <w:jc w:val="right"/>
              <w:rPr>
                <w:szCs w:val="21"/>
              </w:rPr>
            </w:pPr>
            <w:r>
              <w:t xml:space="preserve">　</w:t>
            </w:r>
          </w:p>
        </w:tc>
      </w:tr>
      <w:tr w:rsidR="00E57DAA" w14:paraId="0761EBFE" w14:textId="77777777">
        <w:tc>
          <w:tcPr>
            <w:tcW w:w="677" w:type="pct"/>
            <w:tcBorders>
              <w:top w:val="single" w:sz="4" w:space="0" w:color="auto"/>
              <w:left w:val="single" w:sz="4" w:space="0" w:color="auto"/>
              <w:bottom w:val="single" w:sz="4" w:space="0" w:color="auto"/>
              <w:right w:val="single" w:sz="4" w:space="0" w:color="auto"/>
            </w:tcBorders>
            <w:vAlign w:val="center"/>
          </w:tcPr>
          <w:p w14:paraId="14FA388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E587800" w14:textId="77777777" w:rsidR="00E57DAA" w:rsidRDefault="00AC4185">
            <w:pPr>
              <w:autoSpaceDE w:val="0"/>
              <w:autoSpaceDN w:val="0"/>
              <w:adjustRightInd w:val="0"/>
              <w:rPr>
                <w:szCs w:val="21"/>
              </w:rPr>
            </w:pPr>
            <w:r>
              <w:t>无锡天山水泥有限公司</w:t>
            </w:r>
          </w:p>
        </w:tc>
        <w:tc>
          <w:tcPr>
            <w:tcW w:w="633" w:type="pct"/>
            <w:tcBorders>
              <w:top w:val="single" w:sz="4" w:space="0" w:color="auto"/>
              <w:left w:val="single" w:sz="4" w:space="0" w:color="auto"/>
              <w:bottom w:val="single" w:sz="4" w:space="0" w:color="auto"/>
              <w:right w:val="single" w:sz="4" w:space="0" w:color="auto"/>
            </w:tcBorders>
          </w:tcPr>
          <w:p w14:paraId="03007EBB" w14:textId="77777777" w:rsidR="00E57DAA" w:rsidRDefault="00AC4185">
            <w:pPr>
              <w:autoSpaceDE w:val="0"/>
              <w:autoSpaceDN w:val="0"/>
              <w:adjustRightInd w:val="0"/>
              <w:jc w:val="right"/>
              <w:rPr>
                <w:szCs w:val="21"/>
              </w:rPr>
            </w:pPr>
            <w:r>
              <w:t>21,800.00</w:t>
            </w:r>
          </w:p>
        </w:tc>
        <w:tc>
          <w:tcPr>
            <w:tcW w:w="632" w:type="pct"/>
            <w:tcBorders>
              <w:top w:val="single" w:sz="4" w:space="0" w:color="auto"/>
              <w:left w:val="single" w:sz="4" w:space="0" w:color="auto"/>
              <w:bottom w:val="single" w:sz="4" w:space="0" w:color="auto"/>
              <w:right w:val="single" w:sz="4" w:space="0" w:color="auto"/>
            </w:tcBorders>
          </w:tcPr>
          <w:p w14:paraId="450A8089" w14:textId="77777777" w:rsidR="00E57DAA" w:rsidRDefault="00AC4185">
            <w:pPr>
              <w:autoSpaceDE w:val="0"/>
              <w:autoSpaceDN w:val="0"/>
              <w:adjustRightInd w:val="0"/>
              <w:jc w:val="right"/>
              <w:rPr>
                <w:szCs w:val="21"/>
              </w:rPr>
            </w:pPr>
            <w:r>
              <w:t>1,436.62</w:t>
            </w:r>
          </w:p>
        </w:tc>
        <w:tc>
          <w:tcPr>
            <w:tcW w:w="703" w:type="pct"/>
            <w:tcBorders>
              <w:top w:val="single" w:sz="4" w:space="0" w:color="auto"/>
              <w:left w:val="single" w:sz="4" w:space="0" w:color="auto"/>
              <w:bottom w:val="single" w:sz="4" w:space="0" w:color="auto"/>
              <w:right w:val="single" w:sz="4" w:space="0" w:color="auto"/>
            </w:tcBorders>
          </w:tcPr>
          <w:p w14:paraId="3EF1CEE1" w14:textId="77777777" w:rsidR="00E57DAA" w:rsidRDefault="00AC4185">
            <w:pPr>
              <w:autoSpaceDE w:val="0"/>
              <w:autoSpaceDN w:val="0"/>
              <w:adjustRightInd w:val="0"/>
              <w:jc w:val="right"/>
              <w:rPr>
                <w:szCs w:val="21"/>
              </w:rPr>
            </w:pPr>
            <w:r>
              <w:t>21,800.00</w:t>
            </w:r>
          </w:p>
        </w:tc>
        <w:tc>
          <w:tcPr>
            <w:tcW w:w="914" w:type="pct"/>
            <w:tcBorders>
              <w:top w:val="single" w:sz="4" w:space="0" w:color="auto"/>
              <w:left w:val="single" w:sz="4" w:space="0" w:color="auto"/>
              <w:bottom w:val="single" w:sz="4" w:space="0" w:color="auto"/>
              <w:right w:val="single" w:sz="4" w:space="0" w:color="auto"/>
            </w:tcBorders>
          </w:tcPr>
          <w:p w14:paraId="5D9A66AD" w14:textId="77777777" w:rsidR="00E57DAA" w:rsidRDefault="00AC4185">
            <w:pPr>
              <w:autoSpaceDE w:val="0"/>
              <w:autoSpaceDN w:val="0"/>
              <w:adjustRightInd w:val="0"/>
              <w:jc w:val="right"/>
              <w:rPr>
                <w:szCs w:val="21"/>
              </w:rPr>
            </w:pPr>
            <w:r>
              <w:t>516.44</w:t>
            </w:r>
          </w:p>
        </w:tc>
      </w:tr>
      <w:tr w:rsidR="00E57DAA" w14:paraId="4F399CE4" w14:textId="77777777">
        <w:tc>
          <w:tcPr>
            <w:tcW w:w="677" w:type="pct"/>
            <w:tcBorders>
              <w:top w:val="single" w:sz="4" w:space="0" w:color="auto"/>
              <w:left w:val="single" w:sz="4" w:space="0" w:color="auto"/>
              <w:bottom w:val="single" w:sz="4" w:space="0" w:color="auto"/>
              <w:right w:val="single" w:sz="4" w:space="0" w:color="auto"/>
            </w:tcBorders>
            <w:vAlign w:val="center"/>
          </w:tcPr>
          <w:p w14:paraId="52A72D6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2851F0E" w14:textId="77777777" w:rsidR="00E57DAA" w:rsidRDefault="00AC4185">
            <w:pPr>
              <w:autoSpaceDE w:val="0"/>
              <w:autoSpaceDN w:val="0"/>
              <w:adjustRightInd w:val="0"/>
              <w:rPr>
                <w:szCs w:val="21"/>
              </w:rPr>
            </w:pPr>
            <w:r>
              <w:t>德州中联大坝水泥有限公司</w:t>
            </w:r>
          </w:p>
        </w:tc>
        <w:tc>
          <w:tcPr>
            <w:tcW w:w="633" w:type="pct"/>
            <w:tcBorders>
              <w:top w:val="single" w:sz="4" w:space="0" w:color="auto"/>
              <w:left w:val="single" w:sz="4" w:space="0" w:color="auto"/>
              <w:bottom w:val="single" w:sz="4" w:space="0" w:color="auto"/>
              <w:right w:val="single" w:sz="4" w:space="0" w:color="auto"/>
            </w:tcBorders>
          </w:tcPr>
          <w:p w14:paraId="78055218" w14:textId="77777777" w:rsidR="00E57DAA" w:rsidRDefault="00AC4185">
            <w:pPr>
              <w:autoSpaceDE w:val="0"/>
              <w:autoSpaceDN w:val="0"/>
              <w:adjustRightInd w:val="0"/>
              <w:jc w:val="right"/>
              <w:rPr>
                <w:szCs w:val="21"/>
              </w:rPr>
            </w:pPr>
            <w:r>
              <w:t>8,446.60</w:t>
            </w:r>
          </w:p>
        </w:tc>
        <w:tc>
          <w:tcPr>
            <w:tcW w:w="632" w:type="pct"/>
            <w:tcBorders>
              <w:top w:val="single" w:sz="4" w:space="0" w:color="auto"/>
              <w:left w:val="single" w:sz="4" w:space="0" w:color="auto"/>
              <w:bottom w:val="single" w:sz="4" w:space="0" w:color="auto"/>
              <w:right w:val="single" w:sz="4" w:space="0" w:color="auto"/>
            </w:tcBorders>
          </w:tcPr>
          <w:p w14:paraId="7F2B6637" w14:textId="77777777" w:rsidR="00E57DAA" w:rsidRDefault="00AC4185">
            <w:pPr>
              <w:autoSpaceDE w:val="0"/>
              <w:autoSpaceDN w:val="0"/>
              <w:adjustRightInd w:val="0"/>
              <w:jc w:val="right"/>
              <w:rPr>
                <w:szCs w:val="21"/>
              </w:rPr>
            </w:pPr>
            <w:r>
              <w:t>200.18</w:t>
            </w:r>
          </w:p>
        </w:tc>
        <w:tc>
          <w:tcPr>
            <w:tcW w:w="703" w:type="pct"/>
            <w:tcBorders>
              <w:top w:val="single" w:sz="4" w:space="0" w:color="auto"/>
              <w:left w:val="single" w:sz="4" w:space="0" w:color="auto"/>
              <w:bottom w:val="single" w:sz="4" w:space="0" w:color="auto"/>
              <w:right w:val="single" w:sz="4" w:space="0" w:color="auto"/>
            </w:tcBorders>
          </w:tcPr>
          <w:p w14:paraId="3EFD43CB" w14:textId="77777777" w:rsidR="00E57DAA" w:rsidRDefault="00AC4185">
            <w:pPr>
              <w:autoSpaceDE w:val="0"/>
              <w:autoSpaceDN w:val="0"/>
              <w:adjustRightInd w:val="0"/>
              <w:jc w:val="right"/>
              <w:rPr>
                <w:szCs w:val="21"/>
              </w:rPr>
            </w:pPr>
            <w:r>
              <w:t>8,446.60</w:t>
            </w:r>
          </w:p>
        </w:tc>
        <w:tc>
          <w:tcPr>
            <w:tcW w:w="914" w:type="pct"/>
            <w:tcBorders>
              <w:top w:val="single" w:sz="4" w:space="0" w:color="auto"/>
              <w:left w:val="single" w:sz="4" w:space="0" w:color="auto"/>
              <w:bottom w:val="single" w:sz="4" w:space="0" w:color="auto"/>
              <w:right w:val="single" w:sz="4" w:space="0" w:color="auto"/>
            </w:tcBorders>
          </w:tcPr>
          <w:p w14:paraId="151E874F" w14:textId="77777777" w:rsidR="00E57DAA" w:rsidRDefault="00AC4185">
            <w:pPr>
              <w:autoSpaceDE w:val="0"/>
              <w:autoSpaceDN w:val="0"/>
              <w:adjustRightInd w:val="0"/>
              <w:jc w:val="right"/>
              <w:rPr>
                <w:szCs w:val="21"/>
              </w:rPr>
            </w:pPr>
            <w:r>
              <w:t>200.18</w:t>
            </w:r>
          </w:p>
        </w:tc>
      </w:tr>
      <w:tr w:rsidR="00E57DAA" w14:paraId="1D80E02E" w14:textId="77777777">
        <w:tc>
          <w:tcPr>
            <w:tcW w:w="677" w:type="pct"/>
            <w:tcBorders>
              <w:top w:val="single" w:sz="4" w:space="0" w:color="auto"/>
              <w:left w:val="single" w:sz="4" w:space="0" w:color="auto"/>
              <w:bottom w:val="single" w:sz="4" w:space="0" w:color="auto"/>
              <w:right w:val="single" w:sz="4" w:space="0" w:color="auto"/>
            </w:tcBorders>
            <w:vAlign w:val="center"/>
          </w:tcPr>
          <w:p w14:paraId="7044C3B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91480F2" w14:textId="77777777" w:rsidR="00E57DAA" w:rsidRDefault="00AC4185">
            <w:pPr>
              <w:autoSpaceDE w:val="0"/>
              <w:autoSpaceDN w:val="0"/>
              <w:adjustRightInd w:val="0"/>
              <w:rPr>
                <w:szCs w:val="21"/>
              </w:rPr>
            </w:pPr>
            <w:r>
              <w:t>中材安徽水泥有限公司</w:t>
            </w:r>
          </w:p>
        </w:tc>
        <w:tc>
          <w:tcPr>
            <w:tcW w:w="633" w:type="pct"/>
            <w:tcBorders>
              <w:top w:val="single" w:sz="4" w:space="0" w:color="auto"/>
              <w:left w:val="single" w:sz="4" w:space="0" w:color="auto"/>
              <w:bottom w:val="single" w:sz="4" w:space="0" w:color="auto"/>
              <w:right w:val="single" w:sz="4" w:space="0" w:color="auto"/>
            </w:tcBorders>
          </w:tcPr>
          <w:p w14:paraId="42A3925D" w14:textId="77777777" w:rsidR="00E57DAA" w:rsidRDefault="00AC4185">
            <w:pPr>
              <w:autoSpaceDE w:val="0"/>
              <w:autoSpaceDN w:val="0"/>
              <w:adjustRightInd w:val="0"/>
              <w:jc w:val="right"/>
              <w:rPr>
                <w:szCs w:val="21"/>
              </w:rPr>
            </w:pPr>
            <w:r>
              <w:t>5,525.60</w:t>
            </w:r>
          </w:p>
        </w:tc>
        <w:tc>
          <w:tcPr>
            <w:tcW w:w="632" w:type="pct"/>
            <w:tcBorders>
              <w:top w:val="single" w:sz="4" w:space="0" w:color="auto"/>
              <w:left w:val="single" w:sz="4" w:space="0" w:color="auto"/>
              <w:bottom w:val="single" w:sz="4" w:space="0" w:color="auto"/>
              <w:right w:val="single" w:sz="4" w:space="0" w:color="auto"/>
            </w:tcBorders>
          </w:tcPr>
          <w:p w14:paraId="1832DA72" w14:textId="77777777" w:rsidR="00E57DAA" w:rsidRDefault="00AC4185">
            <w:pPr>
              <w:autoSpaceDE w:val="0"/>
              <w:autoSpaceDN w:val="0"/>
              <w:adjustRightInd w:val="0"/>
              <w:jc w:val="right"/>
              <w:rPr>
                <w:szCs w:val="21"/>
              </w:rPr>
            </w:pPr>
            <w:r>
              <w:t>130.96</w:t>
            </w:r>
          </w:p>
        </w:tc>
        <w:tc>
          <w:tcPr>
            <w:tcW w:w="703" w:type="pct"/>
            <w:tcBorders>
              <w:top w:val="single" w:sz="4" w:space="0" w:color="auto"/>
              <w:left w:val="single" w:sz="4" w:space="0" w:color="auto"/>
              <w:bottom w:val="single" w:sz="4" w:space="0" w:color="auto"/>
              <w:right w:val="single" w:sz="4" w:space="0" w:color="auto"/>
            </w:tcBorders>
          </w:tcPr>
          <w:p w14:paraId="71F30707" w14:textId="77777777" w:rsidR="00E57DAA" w:rsidRDefault="00AC4185">
            <w:pPr>
              <w:autoSpaceDE w:val="0"/>
              <w:autoSpaceDN w:val="0"/>
              <w:adjustRightInd w:val="0"/>
              <w:jc w:val="right"/>
              <w:rPr>
                <w:szCs w:val="21"/>
              </w:rPr>
            </w:pPr>
            <w:r>
              <w:t>28,380.63</w:t>
            </w:r>
          </w:p>
        </w:tc>
        <w:tc>
          <w:tcPr>
            <w:tcW w:w="914" w:type="pct"/>
            <w:tcBorders>
              <w:top w:val="single" w:sz="4" w:space="0" w:color="auto"/>
              <w:left w:val="single" w:sz="4" w:space="0" w:color="auto"/>
              <w:bottom w:val="single" w:sz="4" w:space="0" w:color="auto"/>
              <w:right w:val="single" w:sz="4" w:space="0" w:color="auto"/>
            </w:tcBorders>
          </w:tcPr>
          <w:p w14:paraId="1361798D" w14:textId="77777777" w:rsidR="00E57DAA" w:rsidRDefault="00AC4185">
            <w:pPr>
              <w:autoSpaceDE w:val="0"/>
              <w:autoSpaceDN w:val="0"/>
              <w:adjustRightInd w:val="0"/>
              <w:jc w:val="right"/>
              <w:rPr>
                <w:szCs w:val="21"/>
              </w:rPr>
            </w:pPr>
            <w:r>
              <w:t>672.62</w:t>
            </w:r>
          </w:p>
        </w:tc>
      </w:tr>
      <w:tr w:rsidR="00E57DAA" w14:paraId="053E7265" w14:textId="77777777">
        <w:tc>
          <w:tcPr>
            <w:tcW w:w="677" w:type="pct"/>
            <w:tcBorders>
              <w:top w:val="single" w:sz="4" w:space="0" w:color="auto"/>
              <w:left w:val="single" w:sz="4" w:space="0" w:color="auto"/>
              <w:bottom w:val="single" w:sz="4" w:space="0" w:color="auto"/>
              <w:right w:val="single" w:sz="4" w:space="0" w:color="auto"/>
            </w:tcBorders>
            <w:vAlign w:val="center"/>
          </w:tcPr>
          <w:p w14:paraId="742502E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AED289E" w14:textId="77777777" w:rsidR="00E57DAA" w:rsidRDefault="00AC4185">
            <w:pPr>
              <w:autoSpaceDE w:val="0"/>
              <w:autoSpaceDN w:val="0"/>
              <w:adjustRightInd w:val="0"/>
              <w:rPr>
                <w:szCs w:val="21"/>
              </w:rPr>
            </w:pPr>
            <w:r>
              <w:t>云南富源西南水泥有限公司</w:t>
            </w:r>
          </w:p>
        </w:tc>
        <w:tc>
          <w:tcPr>
            <w:tcW w:w="633" w:type="pct"/>
            <w:tcBorders>
              <w:top w:val="single" w:sz="4" w:space="0" w:color="auto"/>
              <w:left w:val="single" w:sz="4" w:space="0" w:color="auto"/>
              <w:bottom w:val="single" w:sz="4" w:space="0" w:color="auto"/>
              <w:right w:val="single" w:sz="4" w:space="0" w:color="auto"/>
            </w:tcBorders>
          </w:tcPr>
          <w:p w14:paraId="073C010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3FF4168"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27CF58C" w14:textId="77777777" w:rsidR="00E57DAA" w:rsidRDefault="00AC4185">
            <w:pPr>
              <w:autoSpaceDE w:val="0"/>
              <w:autoSpaceDN w:val="0"/>
              <w:adjustRightInd w:val="0"/>
              <w:jc w:val="right"/>
              <w:rPr>
                <w:szCs w:val="21"/>
              </w:rPr>
            </w:pPr>
            <w:r>
              <w:t>142,527,107.63</w:t>
            </w:r>
          </w:p>
        </w:tc>
        <w:tc>
          <w:tcPr>
            <w:tcW w:w="914" w:type="pct"/>
            <w:tcBorders>
              <w:top w:val="single" w:sz="4" w:space="0" w:color="auto"/>
              <w:left w:val="single" w:sz="4" w:space="0" w:color="auto"/>
              <w:bottom w:val="single" w:sz="4" w:space="0" w:color="auto"/>
              <w:right w:val="single" w:sz="4" w:space="0" w:color="auto"/>
            </w:tcBorders>
          </w:tcPr>
          <w:p w14:paraId="5EE4A944" w14:textId="77777777" w:rsidR="00E57DAA" w:rsidRDefault="00AC4185">
            <w:pPr>
              <w:autoSpaceDE w:val="0"/>
              <w:autoSpaceDN w:val="0"/>
              <w:adjustRightInd w:val="0"/>
              <w:jc w:val="right"/>
              <w:rPr>
                <w:szCs w:val="21"/>
              </w:rPr>
            </w:pPr>
            <w:r>
              <w:t>3,377,892.46</w:t>
            </w:r>
          </w:p>
        </w:tc>
      </w:tr>
      <w:tr w:rsidR="00E57DAA" w14:paraId="394EE3F6" w14:textId="77777777">
        <w:tc>
          <w:tcPr>
            <w:tcW w:w="677" w:type="pct"/>
            <w:tcBorders>
              <w:top w:val="single" w:sz="4" w:space="0" w:color="auto"/>
              <w:left w:val="single" w:sz="4" w:space="0" w:color="auto"/>
              <w:bottom w:val="single" w:sz="4" w:space="0" w:color="auto"/>
              <w:right w:val="single" w:sz="4" w:space="0" w:color="auto"/>
            </w:tcBorders>
            <w:vAlign w:val="center"/>
          </w:tcPr>
          <w:p w14:paraId="47B7344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A5C77DB" w14:textId="77777777" w:rsidR="00E57DAA" w:rsidRDefault="00AC4185">
            <w:pPr>
              <w:autoSpaceDE w:val="0"/>
              <w:autoSpaceDN w:val="0"/>
              <w:adjustRightInd w:val="0"/>
              <w:rPr>
                <w:szCs w:val="21"/>
              </w:rPr>
            </w:pPr>
            <w:r>
              <w:t>正安西南水泥有限公司</w:t>
            </w:r>
          </w:p>
        </w:tc>
        <w:tc>
          <w:tcPr>
            <w:tcW w:w="633" w:type="pct"/>
            <w:tcBorders>
              <w:top w:val="single" w:sz="4" w:space="0" w:color="auto"/>
              <w:left w:val="single" w:sz="4" w:space="0" w:color="auto"/>
              <w:bottom w:val="single" w:sz="4" w:space="0" w:color="auto"/>
              <w:right w:val="single" w:sz="4" w:space="0" w:color="auto"/>
            </w:tcBorders>
          </w:tcPr>
          <w:p w14:paraId="286EE90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1EE443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CBB3B21" w14:textId="77777777" w:rsidR="00E57DAA" w:rsidRDefault="00AC4185">
            <w:pPr>
              <w:autoSpaceDE w:val="0"/>
              <w:autoSpaceDN w:val="0"/>
              <w:adjustRightInd w:val="0"/>
              <w:jc w:val="right"/>
              <w:rPr>
                <w:szCs w:val="21"/>
              </w:rPr>
            </w:pPr>
            <w:r>
              <w:t>111,331,257.62</w:t>
            </w:r>
          </w:p>
        </w:tc>
        <w:tc>
          <w:tcPr>
            <w:tcW w:w="914" w:type="pct"/>
            <w:tcBorders>
              <w:top w:val="single" w:sz="4" w:space="0" w:color="auto"/>
              <w:left w:val="single" w:sz="4" w:space="0" w:color="auto"/>
              <w:bottom w:val="single" w:sz="4" w:space="0" w:color="auto"/>
              <w:right w:val="single" w:sz="4" w:space="0" w:color="auto"/>
            </w:tcBorders>
          </w:tcPr>
          <w:p w14:paraId="65D862B0" w14:textId="77777777" w:rsidR="00E57DAA" w:rsidRDefault="00AC4185">
            <w:pPr>
              <w:autoSpaceDE w:val="0"/>
              <w:autoSpaceDN w:val="0"/>
              <w:adjustRightInd w:val="0"/>
              <w:jc w:val="right"/>
              <w:rPr>
                <w:szCs w:val="21"/>
              </w:rPr>
            </w:pPr>
            <w:r>
              <w:t>2,638,550.81</w:t>
            </w:r>
          </w:p>
        </w:tc>
      </w:tr>
      <w:tr w:rsidR="00E57DAA" w14:paraId="787BDD1E" w14:textId="77777777">
        <w:tc>
          <w:tcPr>
            <w:tcW w:w="677" w:type="pct"/>
            <w:tcBorders>
              <w:top w:val="single" w:sz="4" w:space="0" w:color="auto"/>
              <w:left w:val="single" w:sz="4" w:space="0" w:color="auto"/>
              <w:bottom w:val="single" w:sz="4" w:space="0" w:color="auto"/>
              <w:right w:val="single" w:sz="4" w:space="0" w:color="auto"/>
            </w:tcBorders>
            <w:vAlign w:val="center"/>
          </w:tcPr>
          <w:p w14:paraId="228C2F0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6F51780" w14:textId="77777777" w:rsidR="00E57DAA" w:rsidRDefault="00AC4185">
            <w:pPr>
              <w:autoSpaceDE w:val="0"/>
              <w:autoSpaceDN w:val="0"/>
              <w:adjustRightInd w:val="0"/>
              <w:rPr>
                <w:szCs w:val="21"/>
              </w:rPr>
            </w:pPr>
            <w:r>
              <w:t>江西玉山南方水泥有限公司</w:t>
            </w:r>
          </w:p>
        </w:tc>
        <w:tc>
          <w:tcPr>
            <w:tcW w:w="633" w:type="pct"/>
            <w:tcBorders>
              <w:top w:val="single" w:sz="4" w:space="0" w:color="auto"/>
              <w:left w:val="single" w:sz="4" w:space="0" w:color="auto"/>
              <w:bottom w:val="single" w:sz="4" w:space="0" w:color="auto"/>
              <w:right w:val="single" w:sz="4" w:space="0" w:color="auto"/>
            </w:tcBorders>
          </w:tcPr>
          <w:p w14:paraId="3393824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CF9FCD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D669C06" w14:textId="77777777" w:rsidR="00E57DAA" w:rsidRDefault="00AC4185">
            <w:pPr>
              <w:autoSpaceDE w:val="0"/>
              <w:autoSpaceDN w:val="0"/>
              <w:adjustRightInd w:val="0"/>
              <w:jc w:val="right"/>
              <w:rPr>
                <w:szCs w:val="21"/>
              </w:rPr>
            </w:pPr>
            <w:r>
              <w:t>101,156,958.65</w:t>
            </w:r>
          </w:p>
        </w:tc>
        <w:tc>
          <w:tcPr>
            <w:tcW w:w="914" w:type="pct"/>
            <w:tcBorders>
              <w:top w:val="single" w:sz="4" w:space="0" w:color="auto"/>
              <w:left w:val="single" w:sz="4" w:space="0" w:color="auto"/>
              <w:bottom w:val="single" w:sz="4" w:space="0" w:color="auto"/>
              <w:right w:val="single" w:sz="4" w:space="0" w:color="auto"/>
            </w:tcBorders>
          </w:tcPr>
          <w:p w14:paraId="447C880B" w14:textId="77777777" w:rsidR="00E57DAA" w:rsidRDefault="00AC4185">
            <w:pPr>
              <w:autoSpaceDE w:val="0"/>
              <w:autoSpaceDN w:val="0"/>
              <w:adjustRightInd w:val="0"/>
              <w:jc w:val="right"/>
              <w:rPr>
                <w:szCs w:val="21"/>
              </w:rPr>
            </w:pPr>
            <w:r>
              <w:t>2,397,419.92</w:t>
            </w:r>
          </w:p>
        </w:tc>
      </w:tr>
      <w:tr w:rsidR="00E57DAA" w14:paraId="0AE28746" w14:textId="77777777">
        <w:tc>
          <w:tcPr>
            <w:tcW w:w="677" w:type="pct"/>
            <w:tcBorders>
              <w:top w:val="single" w:sz="4" w:space="0" w:color="auto"/>
              <w:left w:val="single" w:sz="4" w:space="0" w:color="auto"/>
              <w:bottom w:val="single" w:sz="4" w:space="0" w:color="auto"/>
              <w:right w:val="single" w:sz="4" w:space="0" w:color="auto"/>
            </w:tcBorders>
            <w:vAlign w:val="center"/>
          </w:tcPr>
          <w:p w14:paraId="42DEC0E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69B6B9B" w14:textId="77777777" w:rsidR="00E57DAA" w:rsidRDefault="00AC4185">
            <w:pPr>
              <w:autoSpaceDE w:val="0"/>
              <w:autoSpaceDN w:val="0"/>
              <w:adjustRightInd w:val="0"/>
              <w:rPr>
                <w:szCs w:val="21"/>
              </w:rPr>
            </w:pPr>
            <w:r>
              <w:t>海盐秦山南方水泥有限公司</w:t>
            </w:r>
          </w:p>
        </w:tc>
        <w:tc>
          <w:tcPr>
            <w:tcW w:w="633" w:type="pct"/>
            <w:tcBorders>
              <w:top w:val="single" w:sz="4" w:space="0" w:color="auto"/>
              <w:left w:val="single" w:sz="4" w:space="0" w:color="auto"/>
              <w:bottom w:val="single" w:sz="4" w:space="0" w:color="auto"/>
              <w:right w:val="single" w:sz="4" w:space="0" w:color="auto"/>
            </w:tcBorders>
          </w:tcPr>
          <w:p w14:paraId="437C05A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7F1CAB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1F96E71" w14:textId="77777777" w:rsidR="00E57DAA" w:rsidRDefault="00AC4185">
            <w:pPr>
              <w:autoSpaceDE w:val="0"/>
              <w:autoSpaceDN w:val="0"/>
              <w:adjustRightInd w:val="0"/>
              <w:jc w:val="right"/>
              <w:rPr>
                <w:szCs w:val="21"/>
              </w:rPr>
            </w:pPr>
            <w:r>
              <w:t>81,816,800.11</w:t>
            </w:r>
          </w:p>
        </w:tc>
        <w:tc>
          <w:tcPr>
            <w:tcW w:w="914" w:type="pct"/>
            <w:tcBorders>
              <w:top w:val="single" w:sz="4" w:space="0" w:color="auto"/>
              <w:left w:val="single" w:sz="4" w:space="0" w:color="auto"/>
              <w:bottom w:val="single" w:sz="4" w:space="0" w:color="auto"/>
              <w:right w:val="single" w:sz="4" w:space="0" w:color="auto"/>
            </w:tcBorders>
          </w:tcPr>
          <w:p w14:paraId="390EE135" w14:textId="77777777" w:rsidR="00E57DAA" w:rsidRDefault="00AC4185">
            <w:pPr>
              <w:autoSpaceDE w:val="0"/>
              <w:autoSpaceDN w:val="0"/>
              <w:adjustRightInd w:val="0"/>
              <w:jc w:val="right"/>
              <w:rPr>
                <w:szCs w:val="21"/>
              </w:rPr>
            </w:pPr>
            <w:r>
              <w:t>1,407,248.96</w:t>
            </w:r>
          </w:p>
        </w:tc>
      </w:tr>
      <w:tr w:rsidR="00E57DAA" w14:paraId="50D85138" w14:textId="77777777">
        <w:tc>
          <w:tcPr>
            <w:tcW w:w="677" w:type="pct"/>
            <w:tcBorders>
              <w:top w:val="single" w:sz="4" w:space="0" w:color="auto"/>
              <w:left w:val="single" w:sz="4" w:space="0" w:color="auto"/>
              <w:bottom w:val="single" w:sz="4" w:space="0" w:color="auto"/>
              <w:right w:val="single" w:sz="4" w:space="0" w:color="auto"/>
            </w:tcBorders>
            <w:vAlign w:val="center"/>
          </w:tcPr>
          <w:p w14:paraId="2F6C33D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50C92EB" w14:textId="77777777" w:rsidR="00E57DAA" w:rsidRDefault="00AC4185">
            <w:pPr>
              <w:autoSpaceDE w:val="0"/>
              <w:autoSpaceDN w:val="0"/>
              <w:adjustRightInd w:val="0"/>
              <w:rPr>
                <w:szCs w:val="21"/>
              </w:rPr>
            </w:pPr>
            <w:r>
              <w:t>安阳中联水泥有限公司</w:t>
            </w:r>
          </w:p>
        </w:tc>
        <w:tc>
          <w:tcPr>
            <w:tcW w:w="633" w:type="pct"/>
            <w:tcBorders>
              <w:top w:val="single" w:sz="4" w:space="0" w:color="auto"/>
              <w:left w:val="single" w:sz="4" w:space="0" w:color="auto"/>
              <w:bottom w:val="single" w:sz="4" w:space="0" w:color="auto"/>
              <w:right w:val="single" w:sz="4" w:space="0" w:color="auto"/>
            </w:tcBorders>
          </w:tcPr>
          <w:p w14:paraId="2E6D31D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E1DD13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8F0B341" w14:textId="77777777" w:rsidR="00E57DAA" w:rsidRDefault="00AC4185">
            <w:pPr>
              <w:autoSpaceDE w:val="0"/>
              <w:autoSpaceDN w:val="0"/>
              <w:adjustRightInd w:val="0"/>
              <w:jc w:val="right"/>
              <w:rPr>
                <w:szCs w:val="21"/>
              </w:rPr>
            </w:pPr>
            <w:r>
              <w:t>26,952,053.94</w:t>
            </w:r>
          </w:p>
        </w:tc>
        <w:tc>
          <w:tcPr>
            <w:tcW w:w="914" w:type="pct"/>
            <w:tcBorders>
              <w:top w:val="single" w:sz="4" w:space="0" w:color="auto"/>
              <w:left w:val="single" w:sz="4" w:space="0" w:color="auto"/>
              <w:bottom w:val="single" w:sz="4" w:space="0" w:color="auto"/>
              <w:right w:val="single" w:sz="4" w:space="0" w:color="auto"/>
            </w:tcBorders>
          </w:tcPr>
          <w:p w14:paraId="551990E4" w14:textId="77777777" w:rsidR="00E57DAA" w:rsidRDefault="00AC4185">
            <w:pPr>
              <w:autoSpaceDE w:val="0"/>
              <w:autoSpaceDN w:val="0"/>
              <w:adjustRightInd w:val="0"/>
              <w:jc w:val="right"/>
              <w:rPr>
                <w:szCs w:val="21"/>
              </w:rPr>
            </w:pPr>
            <w:r>
              <w:t>1,347,602.70</w:t>
            </w:r>
          </w:p>
        </w:tc>
      </w:tr>
      <w:tr w:rsidR="00E57DAA" w14:paraId="797ED1F8" w14:textId="77777777">
        <w:tc>
          <w:tcPr>
            <w:tcW w:w="677" w:type="pct"/>
            <w:tcBorders>
              <w:top w:val="single" w:sz="4" w:space="0" w:color="auto"/>
              <w:left w:val="single" w:sz="4" w:space="0" w:color="auto"/>
              <w:bottom w:val="single" w:sz="4" w:space="0" w:color="auto"/>
              <w:right w:val="single" w:sz="4" w:space="0" w:color="auto"/>
            </w:tcBorders>
            <w:vAlign w:val="center"/>
          </w:tcPr>
          <w:p w14:paraId="15B0BBB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81F3F2A" w14:textId="77777777" w:rsidR="00E57DAA" w:rsidRDefault="00AC4185">
            <w:pPr>
              <w:autoSpaceDE w:val="0"/>
              <w:autoSpaceDN w:val="0"/>
              <w:adjustRightInd w:val="0"/>
              <w:rPr>
                <w:szCs w:val="21"/>
              </w:rPr>
            </w:pPr>
            <w:r>
              <w:t>吴忠赛马新型建材有限公司</w:t>
            </w:r>
          </w:p>
        </w:tc>
        <w:tc>
          <w:tcPr>
            <w:tcW w:w="633" w:type="pct"/>
            <w:tcBorders>
              <w:top w:val="single" w:sz="4" w:space="0" w:color="auto"/>
              <w:left w:val="single" w:sz="4" w:space="0" w:color="auto"/>
              <w:bottom w:val="single" w:sz="4" w:space="0" w:color="auto"/>
              <w:right w:val="single" w:sz="4" w:space="0" w:color="auto"/>
            </w:tcBorders>
          </w:tcPr>
          <w:p w14:paraId="21C7119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CFB885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8A9E59F" w14:textId="77777777" w:rsidR="00E57DAA" w:rsidRDefault="00AC4185">
            <w:pPr>
              <w:autoSpaceDE w:val="0"/>
              <w:autoSpaceDN w:val="0"/>
              <w:adjustRightInd w:val="0"/>
              <w:jc w:val="right"/>
              <w:rPr>
                <w:szCs w:val="21"/>
              </w:rPr>
            </w:pPr>
            <w:r>
              <w:t>26,770,791.62</w:t>
            </w:r>
          </w:p>
        </w:tc>
        <w:tc>
          <w:tcPr>
            <w:tcW w:w="914" w:type="pct"/>
            <w:tcBorders>
              <w:top w:val="single" w:sz="4" w:space="0" w:color="auto"/>
              <w:left w:val="single" w:sz="4" w:space="0" w:color="auto"/>
              <w:bottom w:val="single" w:sz="4" w:space="0" w:color="auto"/>
              <w:right w:val="single" w:sz="4" w:space="0" w:color="auto"/>
            </w:tcBorders>
          </w:tcPr>
          <w:p w14:paraId="78DAB5D6" w14:textId="77777777" w:rsidR="00E57DAA" w:rsidRDefault="00AC4185">
            <w:pPr>
              <w:autoSpaceDE w:val="0"/>
              <w:autoSpaceDN w:val="0"/>
              <w:adjustRightInd w:val="0"/>
              <w:jc w:val="right"/>
              <w:rPr>
                <w:szCs w:val="21"/>
              </w:rPr>
            </w:pPr>
            <w:r>
              <w:t>634,467.76</w:t>
            </w:r>
          </w:p>
        </w:tc>
      </w:tr>
      <w:tr w:rsidR="00E57DAA" w14:paraId="1E34247A" w14:textId="77777777">
        <w:tc>
          <w:tcPr>
            <w:tcW w:w="677" w:type="pct"/>
            <w:tcBorders>
              <w:top w:val="single" w:sz="4" w:space="0" w:color="auto"/>
              <w:left w:val="single" w:sz="4" w:space="0" w:color="auto"/>
              <w:bottom w:val="single" w:sz="4" w:space="0" w:color="auto"/>
              <w:right w:val="single" w:sz="4" w:space="0" w:color="auto"/>
            </w:tcBorders>
            <w:vAlign w:val="center"/>
          </w:tcPr>
          <w:p w14:paraId="114A016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F25361E" w14:textId="77777777" w:rsidR="00E57DAA" w:rsidRDefault="00AC4185">
            <w:pPr>
              <w:autoSpaceDE w:val="0"/>
              <w:autoSpaceDN w:val="0"/>
              <w:adjustRightInd w:val="0"/>
              <w:rPr>
                <w:szCs w:val="21"/>
              </w:rPr>
            </w:pPr>
            <w:r>
              <w:t>济宁中联水泥有限公司</w:t>
            </w:r>
          </w:p>
        </w:tc>
        <w:tc>
          <w:tcPr>
            <w:tcW w:w="633" w:type="pct"/>
            <w:tcBorders>
              <w:top w:val="single" w:sz="4" w:space="0" w:color="auto"/>
              <w:left w:val="single" w:sz="4" w:space="0" w:color="auto"/>
              <w:bottom w:val="single" w:sz="4" w:space="0" w:color="auto"/>
              <w:right w:val="single" w:sz="4" w:space="0" w:color="auto"/>
            </w:tcBorders>
          </w:tcPr>
          <w:p w14:paraId="319A0B5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B1FEC4"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0879034" w14:textId="77777777" w:rsidR="00E57DAA" w:rsidRDefault="00AC4185">
            <w:pPr>
              <w:autoSpaceDE w:val="0"/>
              <w:autoSpaceDN w:val="0"/>
              <w:adjustRightInd w:val="0"/>
              <w:jc w:val="right"/>
              <w:rPr>
                <w:szCs w:val="21"/>
              </w:rPr>
            </w:pPr>
            <w:r>
              <w:t>26,682,586.00</w:t>
            </w:r>
          </w:p>
        </w:tc>
        <w:tc>
          <w:tcPr>
            <w:tcW w:w="914" w:type="pct"/>
            <w:tcBorders>
              <w:top w:val="single" w:sz="4" w:space="0" w:color="auto"/>
              <w:left w:val="single" w:sz="4" w:space="0" w:color="auto"/>
              <w:bottom w:val="single" w:sz="4" w:space="0" w:color="auto"/>
              <w:right w:val="single" w:sz="4" w:space="0" w:color="auto"/>
            </w:tcBorders>
          </w:tcPr>
          <w:p w14:paraId="5BB3DD0D" w14:textId="77777777" w:rsidR="00E57DAA" w:rsidRDefault="00AC4185">
            <w:pPr>
              <w:autoSpaceDE w:val="0"/>
              <w:autoSpaceDN w:val="0"/>
              <w:adjustRightInd w:val="0"/>
              <w:jc w:val="right"/>
              <w:rPr>
                <w:szCs w:val="21"/>
              </w:rPr>
            </w:pPr>
            <w:r>
              <w:t>2,334,129.30</w:t>
            </w:r>
          </w:p>
        </w:tc>
      </w:tr>
      <w:tr w:rsidR="00E57DAA" w14:paraId="180CCDEB" w14:textId="77777777">
        <w:tc>
          <w:tcPr>
            <w:tcW w:w="677" w:type="pct"/>
            <w:tcBorders>
              <w:top w:val="single" w:sz="4" w:space="0" w:color="auto"/>
              <w:left w:val="single" w:sz="4" w:space="0" w:color="auto"/>
              <w:bottom w:val="single" w:sz="4" w:space="0" w:color="auto"/>
              <w:right w:val="single" w:sz="4" w:space="0" w:color="auto"/>
            </w:tcBorders>
            <w:vAlign w:val="center"/>
          </w:tcPr>
          <w:p w14:paraId="51680D3F" w14:textId="77777777" w:rsidR="00E57DAA" w:rsidRDefault="00AC4185">
            <w:pPr>
              <w:autoSpaceDE w:val="0"/>
              <w:autoSpaceDN w:val="0"/>
              <w:adjustRightInd w:val="0"/>
              <w:rPr>
                <w:szCs w:val="21"/>
              </w:rPr>
            </w:pPr>
            <w:r>
              <w:lastRenderedPageBreak/>
              <w:t>合同资产</w:t>
            </w:r>
          </w:p>
        </w:tc>
        <w:tc>
          <w:tcPr>
            <w:tcW w:w="1441" w:type="pct"/>
            <w:tcBorders>
              <w:top w:val="single" w:sz="4" w:space="0" w:color="auto"/>
              <w:left w:val="single" w:sz="4" w:space="0" w:color="auto"/>
              <w:bottom w:val="single" w:sz="4" w:space="0" w:color="auto"/>
              <w:right w:val="single" w:sz="4" w:space="0" w:color="auto"/>
            </w:tcBorders>
          </w:tcPr>
          <w:p w14:paraId="1FD11B2E" w14:textId="77777777" w:rsidR="00E57DAA" w:rsidRDefault="00AC4185">
            <w:pPr>
              <w:autoSpaceDE w:val="0"/>
              <w:autoSpaceDN w:val="0"/>
              <w:adjustRightInd w:val="0"/>
              <w:rPr>
                <w:szCs w:val="21"/>
              </w:rPr>
            </w:pPr>
            <w:r>
              <w:t>曲靖市宣威宇恒水泥有限公司</w:t>
            </w:r>
          </w:p>
        </w:tc>
        <w:tc>
          <w:tcPr>
            <w:tcW w:w="633" w:type="pct"/>
            <w:tcBorders>
              <w:top w:val="single" w:sz="4" w:space="0" w:color="auto"/>
              <w:left w:val="single" w:sz="4" w:space="0" w:color="auto"/>
              <w:bottom w:val="single" w:sz="4" w:space="0" w:color="auto"/>
              <w:right w:val="single" w:sz="4" w:space="0" w:color="auto"/>
            </w:tcBorders>
          </w:tcPr>
          <w:p w14:paraId="340C7FC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E8E43B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2C7ADB4" w14:textId="77777777" w:rsidR="00E57DAA" w:rsidRDefault="00AC4185">
            <w:pPr>
              <w:autoSpaceDE w:val="0"/>
              <w:autoSpaceDN w:val="0"/>
              <w:adjustRightInd w:val="0"/>
              <w:jc w:val="right"/>
              <w:rPr>
                <w:szCs w:val="21"/>
              </w:rPr>
            </w:pPr>
            <w:r>
              <w:t>7,917,186.97</w:t>
            </w:r>
          </w:p>
        </w:tc>
        <w:tc>
          <w:tcPr>
            <w:tcW w:w="914" w:type="pct"/>
            <w:tcBorders>
              <w:top w:val="single" w:sz="4" w:space="0" w:color="auto"/>
              <w:left w:val="single" w:sz="4" w:space="0" w:color="auto"/>
              <w:bottom w:val="single" w:sz="4" w:space="0" w:color="auto"/>
              <w:right w:val="single" w:sz="4" w:space="0" w:color="auto"/>
            </w:tcBorders>
          </w:tcPr>
          <w:p w14:paraId="115F820C" w14:textId="77777777" w:rsidR="00E57DAA" w:rsidRDefault="00AC4185">
            <w:pPr>
              <w:autoSpaceDE w:val="0"/>
              <w:autoSpaceDN w:val="0"/>
              <w:adjustRightInd w:val="0"/>
              <w:jc w:val="right"/>
              <w:rPr>
                <w:szCs w:val="21"/>
              </w:rPr>
            </w:pPr>
            <w:r>
              <w:t>187,637.33</w:t>
            </w:r>
          </w:p>
        </w:tc>
      </w:tr>
      <w:tr w:rsidR="00E57DAA" w14:paraId="05BD7D5B" w14:textId="77777777">
        <w:tc>
          <w:tcPr>
            <w:tcW w:w="677" w:type="pct"/>
            <w:tcBorders>
              <w:top w:val="single" w:sz="4" w:space="0" w:color="auto"/>
              <w:left w:val="single" w:sz="4" w:space="0" w:color="auto"/>
              <w:bottom w:val="single" w:sz="4" w:space="0" w:color="auto"/>
              <w:right w:val="single" w:sz="4" w:space="0" w:color="auto"/>
            </w:tcBorders>
            <w:vAlign w:val="center"/>
          </w:tcPr>
          <w:p w14:paraId="3E4475C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3664E98" w14:textId="77777777" w:rsidR="00E57DAA" w:rsidRDefault="00AC4185">
            <w:pPr>
              <w:autoSpaceDE w:val="0"/>
              <w:autoSpaceDN w:val="0"/>
              <w:adjustRightInd w:val="0"/>
              <w:rPr>
                <w:szCs w:val="21"/>
              </w:rPr>
            </w:pPr>
            <w:r>
              <w:t>会东利森水泥有限公司</w:t>
            </w:r>
          </w:p>
        </w:tc>
        <w:tc>
          <w:tcPr>
            <w:tcW w:w="633" w:type="pct"/>
            <w:tcBorders>
              <w:top w:val="single" w:sz="4" w:space="0" w:color="auto"/>
              <w:left w:val="single" w:sz="4" w:space="0" w:color="auto"/>
              <w:bottom w:val="single" w:sz="4" w:space="0" w:color="auto"/>
              <w:right w:val="single" w:sz="4" w:space="0" w:color="auto"/>
            </w:tcBorders>
          </w:tcPr>
          <w:p w14:paraId="66E2031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79E974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A1F330C" w14:textId="77777777" w:rsidR="00E57DAA" w:rsidRDefault="00AC4185">
            <w:pPr>
              <w:autoSpaceDE w:val="0"/>
              <w:autoSpaceDN w:val="0"/>
              <w:adjustRightInd w:val="0"/>
              <w:jc w:val="right"/>
              <w:rPr>
                <w:szCs w:val="21"/>
              </w:rPr>
            </w:pPr>
            <w:r>
              <w:t>7,561,136.68</w:t>
            </w:r>
          </w:p>
        </w:tc>
        <w:tc>
          <w:tcPr>
            <w:tcW w:w="914" w:type="pct"/>
            <w:tcBorders>
              <w:top w:val="single" w:sz="4" w:space="0" w:color="auto"/>
              <w:left w:val="single" w:sz="4" w:space="0" w:color="auto"/>
              <w:bottom w:val="single" w:sz="4" w:space="0" w:color="auto"/>
              <w:right w:val="single" w:sz="4" w:space="0" w:color="auto"/>
            </w:tcBorders>
          </w:tcPr>
          <w:p w14:paraId="49F6378A" w14:textId="77777777" w:rsidR="00E57DAA" w:rsidRDefault="00AC4185">
            <w:pPr>
              <w:autoSpaceDE w:val="0"/>
              <w:autoSpaceDN w:val="0"/>
              <w:adjustRightInd w:val="0"/>
              <w:jc w:val="right"/>
              <w:rPr>
                <w:szCs w:val="21"/>
              </w:rPr>
            </w:pPr>
            <w:r>
              <w:t>378,056.83</w:t>
            </w:r>
          </w:p>
        </w:tc>
      </w:tr>
      <w:tr w:rsidR="00E57DAA" w14:paraId="2DCF199A" w14:textId="77777777">
        <w:tc>
          <w:tcPr>
            <w:tcW w:w="677" w:type="pct"/>
            <w:tcBorders>
              <w:top w:val="single" w:sz="4" w:space="0" w:color="auto"/>
              <w:left w:val="single" w:sz="4" w:space="0" w:color="auto"/>
              <w:bottom w:val="single" w:sz="4" w:space="0" w:color="auto"/>
              <w:right w:val="single" w:sz="4" w:space="0" w:color="auto"/>
            </w:tcBorders>
            <w:vAlign w:val="center"/>
          </w:tcPr>
          <w:p w14:paraId="517EC5D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07783195" w14:textId="77777777" w:rsidR="00E57DAA" w:rsidRDefault="00AC4185">
            <w:pPr>
              <w:autoSpaceDE w:val="0"/>
              <w:autoSpaceDN w:val="0"/>
              <w:adjustRightInd w:val="0"/>
              <w:rPr>
                <w:szCs w:val="21"/>
              </w:rPr>
            </w:pPr>
            <w:r>
              <w:t>青海祁连山水泥有限公司</w:t>
            </w:r>
          </w:p>
        </w:tc>
        <w:tc>
          <w:tcPr>
            <w:tcW w:w="633" w:type="pct"/>
            <w:tcBorders>
              <w:top w:val="single" w:sz="4" w:space="0" w:color="auto"/>
              <w:left w:val="single" w:sz="4" w:space="0" w:color="auto"/>
              <w:bottom w:val="single" w:sz="4" w:space="0" w:color="auto"/>
              <w:right w:val="single" w:sz="4" w:space="0" w:color="auto"/>
            </w:tcBorders>
          </w:tcPr>
          <w:p w14:paraId="2912D342"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23F524F"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245778A" w14:textId="77777777" w:rsidR="00E57DAA" w:rsidRDefault="00AC4185">
            <w:pPr>
              <w:autoSpaceDE w:val="0"/>
              <w:autoSpaceDN w:val="0"/>
              <w:adjustRightInd w:val="0"/>
              <w:jc w:val="right"/>
              <w:rPr>
                <w:szCs w:val="21"/>
              </w:rPr>
            </w:pPr>
            <w:r>
              <w:t>7,301,000.02</w:t>
            </w:r>
          </w:p>
        </w:tc>
        <w:tc>
          <w:tcPr>
            <w:tcW w:w="914" w:type="pct"/>
            <w:tcBorders>
              <w:top w:val="single" w:sz="4" w:space="0" w:color="auto"/>
              <w:left w:val="single" w:sz="4" w:space="0" w:color="auto"/>
              <w:bottom w:val="single" w:sz="4" w:space="0" w:color="auto"/>
              <w:right w:val="single" w:sz="4" w:space="0" w:color="auto"/>
            </w:tcBorders>
          </w:tcPr>
          <w:p w14:paraId="1E07D6FB" w14:textId="77777777" w:rsidR="00E57DAA" w:rsidRDefault="00AC4185">
            <w:pPr>
              <w:autoSpaceDE w:val="0"/>
              <w:autoSpaceDN w:val="0"/>
              <w:adjustRightInd w:val="0"/>
              <w:jc w:val="right"/>
              <w:rPr>
                <w:szCs w:val="21"/>
              </w:rPr>
            </w:pPr>
            <w:r>
              <w:t>189,924.62</w:t>
            </w:r>
          </w:p>
        </w:tc>
      </w:tr>
      <w:tr w:rsidR="00E57DAA" w14:paraId="3C83FE69" w14:textId="77777777">
        <w:tc>
          <w:tcPr>
            <w:tcW w:w="677" w:type="pct"/>
            <w:tcBorders>
              <w:top w:val="single" w:sz="4" w:space="0" w:color="auto"/>
              <w:left w:val="single" w:sz="4" w:space="0" w:color="auto"/>
              <w:bottom w:val="single" w:sz="4" w:space="0" w:color="auto"/>
              <w:right w:val="single" w:sz="4" w:space="0" w:color="auto"/>
            </w:tcBorders>
            <w:vAlign w:val="center"/>
          </w:tcPr>
          <w:p w14:paraId="7D15E82E"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C79389A" w14:textId="77777777" w:rsidR="00E57DAA" w:rsidRDefault="00AC4185">
            <w:pPr>
              <w:autoSpaceDE w:val="0"/>
              <w:autoSpaceDN w:val="0"/>
              <w:adjustRightInd w:val="0"/>
              <w:rPr>
                <w:szCs w:val="21"/>
              </w:rPr>
            </w:pPr>
            <w:r>
              <w:t>毕节西南水泥有限公司</w:t>
            </w:r>
          </w:p>
        </w:tc>
        <w:tc>
          <w:tcPr>
            <w:tcW w:w="633" w:type="pct"/>
            <w:tcBorders>
              <w:top w:val="single" w:sz="4" w:space="0" w:color="auto"/>
              <w:left w:val="single" w:sz="4" w:space="0" w:color="auto"/>
              <w:bottom w:val="single" w:sz="4" w:space="0" w:color="auto"/>
              <w:right w:val="single" w:sz="4" w:space="0" w:color="auto"/>
            </w:tcBorders>
          </w:tcPr>
          <w:p w14:paraId="617D4A9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EA2F96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D4735B1" w14:textId="77777777" w:rsidR="00E57DAA" w:rsidRDefault="00AC4185">
            <w:pPr>
              <w:autoSpaceDE w:val="0"/>
              <w:autoSpaceDN w:val="0"/>
              <w:adjustRightInd w:val="0"/>
              <w:jc w:val="right"/>
              <w:rPr>
                <w:szCs w:val="21"/>
              </w:rPr>
            </w:pPr>
            <w:r>
              <w:t>6,770,845.27</w:t>
            </w:r>
          </w:p>
        </w:tc>
        <w:tc>
          <w:tcPr>
            <w:tcW w:w="914" w:type="pct"/>
            <w:tcBorders>
              <w:top w:val="single" w:sz="4" w:space="0" w:color="auto"/>
              <w:left w:val="single" w:sz="4" w:space="0" w:color="auto"/>
              <w:bottom w:val="single" w:sz="4" w:space="0" w:color="auto"/>
              <w:right w:val="single" w:sz="4" w:space="0" w:color="auto"/>
            </w:tcBorders>
          </w:tcPr>
          <w:p w14:paraId="5FE3AD80" w14:textId="77777777" w:rsidR="00E57DAA" w:rsidRDefault="00AC4185">
            <w:pPr>
              <w:autoSpaceDE w:val="0"/>
              <w:autoSpaceDN w:val="0"/>
              <w:adjustRightInd w:val="0"/>
              <w:jc w:val="right"/>
              <w:rPr>
                <w:szCs w:val="21"/>
              </w:rPr>
            </w:pPr>
            <w:r>
              <w:t>71,093.88</w:t>
            </w:r>
          </w:p>
        </w:tc>
      </w:tr>
      <w:tr w:rsidR="00E57DAA" w14:paraId="618D98B4" w14:textId="77777777">
        <w:tc>
          <w:tcPr>
            <w:tcW w:w="677" w:type="pct"/>
            <w:tcBorders>
              <w:top w:val="single" w:sz="4" w:space="0" w:color="auto"/>
              <w:left w:val="single" w:sz="4" w:space="0" w:color="auto"/>
              <w:bottom w:val="single" w:sz="4" w:space="0" w:color="auto"/>
              <w:right w:val="single" w:sz="4" w:space="0" w:color="auto"/>
            </w:tcBorders>
            <w:vAlign w:val="center"/>
          </w:tcPr>
          <w:p w14:paraId="2EC3E61A"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C5F32C3" w14:textId="77777777" w:rsidR="00E57DAA" w:rsidRDefault="00AC4185">
            <w:pPr>
              <w:autoSpaceDE w:val="0"/>
              <w:autoSpaceDN w:val="0"/>
              <w:adjustRightInd w:val="0"/>
              <w:rPr>
                <w:szCs w:val="21"/>
              </w:rPr>
            </w:pPr>
            <w:r>
              <w:t>遵义赛德水泥有限公司</w:t>
            </w:r>
          </w:p>
        </w:tc>
        <w:tc>
          <w:tcPr>
            <w:tcW w:w="633" w:type="pct"/>
            <w:tcBorders>
              <w:top w:val="single" w:sz="4" w:space="0" w:color="auto"/>
              <w:left w:val="single" w:sz="4" w:space="0" w:color="auto"/>
              <w:bottom w:val="single" w:sz="4" w:space="0" w:color="auto"/>
              <w:right w:val="single" w:sz="4" w:space="0" w:color="auto"/>
            </w:tcBorders>
          </w:tcPr>
          <w:p w14:paraId="5B2B28F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1CFB2E6"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80EDE3F" w14:textId="77777777" w:rsidR="00E57DAA" w:rsidRDefault="00AC4185">
            <w:pPr>
              <w:autoSpaceDE w:val="0"/>
              <w:autoSpaceDN w:val="0"/>
              <w:adjustRightInd w:val="0"/>
              <w:jc w:val="right"/>
              <w:rPr>
                <w:szCs w:val="21"/>
              </w:rPr>
            </w:pPr>
            <w:r>
              <w:t>5,355,211.44</w:t>
            </w:r>
          </w:p>
        </w:tc>
        <w:tc>
          <w:tcPr>
            <w:tcW w:w="914" w:type="pct"/>
            <w:tcBorders>
              <w:top w:val="single" w:sz="4" w:space="0" w:color="auto"/>
              <w:left w:val="single" w:sz="4" w:space="0" w:color="auto"/>
              <w:bottom w:val="single" w:sz="4" w:space="0" w:color="auto"/>
              <w:right w:val="single" w:sz="4" w:space="0" w:color="auto"/>
            </w:tcBorders>
          </w:tcPr>
          <w:p w14:paraId="2D70F5AC" w14:textId="77777777" w:rsidR="00E57DAA" w:rsidRDefault="00AC4185">
            <w:pPr>
              <w:autoSpaceDE w:val="0"/>
              <w:autoSpaceDN w:val="0"/>
              <w:adjustRightInd w:val="0"/>
              <w:jc w:val="right"/>
              <w:rPr>
                <w:szCs w:val="21"/>
              </w:rPr>
            </w:pPr>
            <w:r>
              <w:t>92,109.64</w:t>
            </w:r>
          </w:p>
        </w:tc>
      </w:tr>
      <w:tr w:rsidR="00E57DAA" w14:paraId="4F18A842" w14:textId="77777777">
        <w:tc>
          <w:tcPr>
            <w:tcW w:w="677" w:type="pct"/>
            <w:tcBorders>
              <w:top w:val="single" w:sz="4" w:space="0" w:color="auto"/>
              <w:left w:val="single" w:sz="4" w:space="0" w:color="auto"/>
              <w:bottom w:val="single" w:sz="4" w:space="0" w:color="auto"/>
              <w:right w:val="single" w:sz="4" w:space="0" w:color="auto"/>
            </w:tcBorders>
            <w:vAlign w:val="center"/>
          </w:tcPr>
          <w:p w14:paraId="10282DB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06DEC9D" w14:textId="77777777" w:rsidR="00E57DAA" w:rsidRDefault="00AC4185">
            <w:pPr>
              <w:autoSpaceDE w:val="0"/>
              <w:autoSpaceDN w:val="0"/>
              <w:adjustRightInd w:val="0"/>
              <w:rPr>
                <w:szCs w:val="21"/>
              </w:rPr>
            </w:pPr>
            <w:r>
              <w:t>建德更楼矿业有限公司</w:t>
            </w:r>
          </w:p>
        </w:tc>
        <w:tc>
          <w:tcPr>
            <w:tcW w:w="633" w:type="pct"/>
            <w:tcBorders>
              <w:top w:val="single" w:sz="4" w:space="0" w:color="auto"/>
              <w:left w:val="single" w:sz="4" w:space="0" w:color="auto"/>
              <w:bottom w:val="single" w:sz="4" w:space="0" w:color="auto"/>
              <w:right w:val="single" w:sz="4" w:space="0" w:color="auto"/>
            </w:tcBorders>
          </w:tcPr>
          <w:p w14:paraId="441B32E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27CA91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3701479" w14:textId="77777777" w:rsidR="00E57DAA" w:rsidRDefault="00AC4185">
            <w:pPr>
              <w:autoSpaceDE w:val="0"/>
              <w:autoSpaceDN w:val="0"/>
              <w:adjustRightInd w:val="0"/>
              <w:jc w:val="right"/>
              <w:rPr>
                <w:szCs w:val="21"/>
              </w:rPr>
            </w:pPr>
            <w:r>
              <w:t>4,388,853.79</w:t>
            </w:r>
          </w:p>
        </w:tc>
        <w:tc>
          <w:tcPr>
            <w:tcW w:w="914" w:type="pct"/>
            <w:tcBorders>
              <w:top w:val="single" w:sz="4" w:space="0" w:color="auto"/>
              <w:left w:val="single" w:sz="4" w:space="0" w:color="auto"/>
              <w:bottom w:val="single" w:sz="4" w:space="0" w:color="auto"/>
              <w:right w:val="single" w:sz="4" w:space="0" w:color="auto"/>
            </w:tcBorders>
          </w:tcPr>
          <w:p w14:paraId="5DCE517A" w14:textId="77777777" w:rsidR="00E57DAA" w:rsidRDefault="00AC4185">
            <w:pPr>
              <w:autoSpaceDE w:val="0"/>
              <w:autoSpaceDN w:val="0"/>
              <w:adjustRightInd w:val="0"/>
              <w:jc w:val="right"/>
              <w:rPr>
                <w:szCs w:val="21"/>
              </w:rPr>
            </w:pPr>
            <w:r>
              <w:t>618,828.38</w:t>
            </w:r>
          </w:p>
        </w:tc>
      </w:tr>
      <w:tr w:rsidR="00E57DAA" w14:paraId="4D712C36" w14:textId="77777777">
        <w:tc>
          <w:tcPr>
            <w:tcW w:w="677" w:type="pct"/>
            <w:tcBorders>
              <w:top w:val="single" w:sz="4" w:space="0" w:color="auto"/>
              <w:left w:val="single" w:sz="4" w:space="0" w:color="auto"/>
              <w:bottom w:val="single" w:sz="4" w:space="0" w:color="auto"/>
              <w:right w:val="single" w:sz="4" w:space="0" w:color="auto"/>
            </w:tcBorders>
            <w:vAlign w:val="center"/>
          </w:tcPr>
          <w:p w14:paraId="7FFBDE3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C89CA6F" w14:textId="77777777" w:rsidR="00E57DAA" w:rsidRDefault="00AC4185">
            <w:pPr>
              <w:autoSpaceDE w:val="0"/>
              <w:autoSpaceDN w:val="0"/>
              <w:adjustRightInd w:val="0"/>
              <w:rPr>
                <w:szCs w:val="21"/>
              </w:rPr>
            </w:pPr>
            <w:r>
              <w:t>贵州威宁西南水泥有限公司</w:t>
            </w:r>
          </w:p>
        </w:tc>
        <w:tc>
          <w:tcPr>
            <w:tcW w:w="633" w:type="pct"/>
            <w:tcBorders>
              <w:top w:val="single" w:sz="4" w:space="0" w:color="auto"/>
              <w:left w:val="single" w:sz="4" w:space="0" w:color="auto"/>
              <w:bottom w:val="single" w:sz="4" w:space="0" w:color="auto"/>
              <w:right w:val="single" w:sz="4" w:space="0" w:color="auto"/>
            </w:tcBorders>
          </w:tcPr>
          <w:p w14:paraId="4D28035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31482DD"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4ED077E" w14:textId="77777777" w:rsidR="00E57DAA" w:rsidRDefault="00AC4185">
            <w:pPr>
              <w:autoSpaceDE w:val="0"/>
              <w:autoSpaceDN w:val="0"/>
              <w:adjustRightInd w:val="0"/>
              <w:jc w:val="right"/>
              <w:rPr>
                <w:szCs w:val="21"/>
              </w:rPr>
            </w:pPr>
            <w:r>
              <w:t>1,948,039.29</w:t>
            </w:r>
          </w:p>
        </w:tc>
        <w:tc>
          <w:tcPr>
            <w:tcW w:w="914" w:type="pct"/>
            <w:tcBorders>
              <w:top w:val="single" w:sz="4" w:space="0" w:color="auto"/>
              <w:left w:val="single" w:sz="4" w:space="0" w:color="auto"/>
              <w:bottom w:val="single" w:sz="4" w:space="0" w:color="auto"/>
              <w:right w:val="single" w:sz="4" w:space="0" w:color="auto"/>
            </w:tcBorders>
          </w:tcPr>
          <w:p w14:paraId="644530E2" w14:textId="77777777" w:rsidR="00E57DAA" w:rsidRDefault="00AC4185">
            <w:pPr>
              <w:autoSpaceDE w:val="0"/>
              <w:autoSpaceDN w:val="0"/>
              <w:adjustRightInd w:val="0"/>
              <w:jc w:val="right"/>
              <w:rPr>
                <w:szCs w:val="21"/>
              </w:rPr>
            </w:pPr>
            <w:r>
              <w:t>46,168.53</w:t>
            </w:r>
          </w:p>
        </w:tc>
      </w:tr>
      <w:tr w:rsidR="00E57DAA" w14:paraId="678953CA" w14:textId="77777777">
        <w:tc>
          <w:tcPr>
            <w:tcW w:w="677" w:type="pct"/>
            <w:tcBorders>
              <w:top w:val="single" w:sz="4" w:space="0" w:color="auto"/>
              <w:left w:val="single" w:sz="4" w:space="0" w:color="auto"/>
              <w:bottom w:val="single" w:sz="4" w:space="0" w:color="auto"/>
              <w:right w:val="single" w:sz="4" w:space="0" w:color="auto"/>
            </w:tcBorders>
            <w:vAlign w:val="center"/>
          </w:tcPr>
          <w:p w14:paraId="09B9F2DB"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DA669DD" w14:textId="77777777" w:rsidR="00E57DAA" w:rsidRDefault="00AC4185">
            <w:pPr>
              <w:autoSpaceDE w:val="0"/>
              <w:autoSpaceDN w:val="0"/>
              <w:adjustRightInd w:val="0"/>
              <w:rPr>
                <w:szCs w:val="21"/>
              </w:rPr>
            </w:pPr>
            <w:r>
              <w:t>四川德胜集团水泥有限公司</w:t>
            </w:r>
          </w:p>
        </w:tc>
        <w:tc>
          <w:tcPr>
            <w:tcW w:w="633" w:type="pct"/>
            <w:tcBorders>
              <w:top w:val="single" w:sz="4" w:space="0" w:color="auto"/>
              <w:left w:val="single" w:sz="4" w:space="0" w:color="auto"/>
              <w:bottom w:val="single" w:sz="4" w:space="0" w:color="auto"/>
              <w:right w:val="single" w:sz="4" w:space="0" w:color="auto"/>
            </w:tcBorders>
          </w:tcPr>
          <w:p w14:paraId="343826D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937D57B"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E05D0CA" w14:textId="77777777" w:rsidR="00E57DAA" w:rsidRDefault="00AC4185">
            <w:pPr>
              <w:autoSpaceDE w:val="0"/>
              <w:autoSpaceDN w:val="0"/>
              <w:adjustRightInd w:val="0"/>
              <w:jc w:val="right"/>
              <w:rPr>
                <w:szCs w:val="21"/>
              </w:rPr>
            </w:pPr>
            <w:r>
              <w:t>1,222,130.05</w:t>
            </w:r>
          </w:p>
        </w:tc>
        <w:tc>
          <w:tcPr>
            <w:tcW w:w="914" w:type="pct"/>
            <w:tcBorders>
              <w:top w:val="single" w:sz="4" w:space="0" w:color="auto"/>
              <w:left w:val="single" w:sz="4" w:space="0" w:color="auto"/>
              <w:bottom w:val="single" w:sz="4" w:space="0" w:color="auto"/>
              <w:right w:val="single" w:sz="4" w:space="0" w:color="auto"/>
            </w:tcBorders>
          </w:tcPr>
          <w:p w14:paraId="60278795" w14:textId="77777777" w:rsidR="00E57DAA" w:rsidRDefault="00AC4185">
            <w:pPr>
              <w:autoSpaceDE w:val="0"/>
              <w:autoSpaceDN w:val="0"/>
              <w:adjustRightInd w:val="0"/>
              <w:jc w:val="right"/>
              <w:rPr>
                <w:szCs w:val="21"/>
              </w:rPr>
            </w:pPr>
            <w:r>
              <w:t>28,964.49</w:t>
            </w:r>
          </w:p>
        </w:tc>
      </w:tr>
      <w:tr w:rsidR="00E57DAA" w14:paraId="63509471" w14:textId="77777777">
        <w:tc>
          <w:tcPr>
            <w:tcW w:w="677" w:type="pct"/>
            <w:tcBorders>
              <w:top w:val="single" w:sz="4" w:space="0" w:color="auto"/>
              <w:left w:val="single" w:sz="4" w:space="0" w:color="auto"/>
              <w:bottom w:val="single" w:sz="4" w:space="0" w:color="auto"/>
              <w:right w:val="single" w:sz="4" w:space="0" w:color="auto"/>
            </w:tcBorders>
            <w:vAlign w:val="center"/>
          </w:tcPr>
          <w:p w14:paraId="1A60657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F217472" w14:textId="77777777" w:rsidR="00E57DAA" w:rsidRDefault="00AC4185">
            <w:pPr>
              <w:autoSpaceDE w:val="0"/>
              <w:autoSpaceDN w:val="0"/>
              <w:adjustRightInd w:val="0"/>
              <w:rPr>
                <w:szCs w:val="21"/>
              </w:rPr>
            </w:pPr>
            <w:r>
              <w:t>德清南方水泥有限公司</w:t>
            </w:r>
          </w:p>
        </w:tc>
        <w:tc>
          <w:tcPr>
            <w:tcW w:w="633" w:type="pct"/>
            <w:tcBorders>
              <w:top w:val="single" w:sz="4" w:space="0" w:color="auto"/>
              <w:left w:val="single" w:sz="4" w:space="0" w:color="auto"/>
              <w:bottom w:val="single" w:sz="4" w:space="0" w:color="auto"/>
              <w:right w:val="single" w:sz="4" w:space="0" w:color="auto"/>
            </w:tcBorders>
          </w:tcPr>
          <w:p w14:paraId="417D4109"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34C76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6CD322D8" w14:textId="77777777" w:rsidR="00E57DAA" w:rsidRDefault="00AC4185">
            <w:pPr>
              <w:autoSpaceDE w:val="0"/>
              <w:autoSpaceDN w:val="0"/>
              <w:adjustRightInd w:val="0"/>
              <w:jc w:val="right"/>
              <w:rPr>
                <w:szCs w:val="21"/>
              </w:rPr>
            </w:pPr>
            <w:r>
              <w:t>474,655.11</w:t>
            </w:r>
          </w:p>
        </w:tc>
        <w:tc>
          <w:tcPr>
            <w:tcW w:w="914" w:type="pct"/>
            <w:tcBorders>
              <w:top w:val="single" w:sz="4" w:space="0" w:color="auto"/>
              <w:left w:val="single" w:sz="4" w:space="0" w:color="auto"/>
              <w:bottom w:val="single" w:sz="4" w:space="0" w:color="auto"/>
              <w:right w:val="single" w:sz="4" w:space="0" w:color="auto"/>
            </w:tcBorders>
          </w:tcPr>
          <w:p w14:paraId="7AECA3B0" w14:textId="77777777" w:rsidR="00E57DAA" w:rsidRDefault="00AC4185">
            <w:pPr>
              <w:autoSpaceDE w:val="0"/>
              <w:autoSpaceDN w:val="0"/>
              <w:adjustRightInd w:val="0"/>
              <w:jc w:val="right"/>
              <w:rPr>
                <w:szCs w:val="21"/>
              </w:rPr>
            </w:pPr>
            <w:r>
              <w:t>23,732.76</w:t>
            </w:r>
          </w:p>
        </w:tc>
      </w:tr>
      <w:tr w:rsidR="00E57DAA" w14:paraId="21111E49" w14:textId="77777777">
        <w:tc>
          <w:tcPr>
            <w:tcW w:w="677" w:type="pct"/>
            <w:tcBorders>
              <w:top w:val="single" w:sz="4" w:space="0" w:color="auto"/>
              <w:left w:val="single" w:sz="4" w:space="0" w:color="auto"/>
              <w:bottom w:val="single" w:sz="4" w:space="0" w:color="auto"/>
              <w:right w:val="single" w:sz="4" w:space="0" w:color="auto"/>
            </w:tcBorders>
            <w:vAlign w:val="center"/>
          </w:tcPr>
          <w:p w14:paraId="255B967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5A8C7F2" w14:textId="77777777" w:rsidR="00E57DAA" w:rsidRDefault="00AC4185">
            <w:pPr>
              <w:autoSpaceDE w:val="0"/>
              <w:autoSpaceDN w:val="0"/>
              <w:adjustRightInd w:val="0"/>
              <w:rPr>
                <w:szCs w:val="21"/>
              </w:rPr>
            </w:pPr>
            <w:r>
              <w:t>曲阜中联水泥有限公司</w:t>
            </w:r>
          </w:p>
        </w:tc>
        <w:tc>
          <w:tcPr>
            <w:tcW w:w="633" w:type="pct"/>
            <w:tcBorders>
              <w:top w:val="single" w:sz="4" w:space="0" w:color="auto"/>
              <w:left w:val="single" w:sz="4" w:space="0" w:color="auto"/>
              <w:bottom w:val="single" w:sz="4" w:space="0" w:color="auto"/>
              <w:right w:val="single" w:sz="4" w:space="0" w:color="auto"/>
            </w:tcBorders>
          </w:tcPr>
          <w:p w14:paraId="770B71E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D1D3603"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4ADC012" w14:textId="77777777" w:rsidR="00E57DAA" w:rsidRDefault="00AC4185">
            <w:pPr>
              <w:autoSpaceDE w:val="0"/>
              <w:autoSpaceDN w:val="0"/>
              <w:adjustRightInd w:val="0"/>
              <w:jc w:val="right"/>
              <w:rPr>
                <w:szCs w:val="21"/>
              </w:rPr>
            </w:pPr>
            <w:r>
              <w:t>180,000.00</w:t>
            </w:r>
          </w:p>
        </w:tc>
        <w:tc>
          <w:tcPr>
            <w:tcW w:w="914" w:type="pct"/>
            <w:tcBorders>
              <w:top w:val="single" w:sz="4" w:space="0" w:color="auto"/>
              <w:left w:val="single" w:sz="4" w:space="0" w:color="auto"/>
              <w:bottom w:val="single" w:sz="4" w:space="0" w:color="auto"/>
              <w:right w:val="single" w:sz="4" w:space="0" w:color="auto"/>
            </w:tcBorders>
          </w:tcPr>
          <w:p w14:paraId="08AE481C" w14:textId="77777777" w:rsidR="00E57DAA" w:rsidRDefault="00AC4185">
            <w:pPr>
              <w:autoSpaceDE w:val="0"/>
              <w:autoSpaceDN w:val="0"/>
              <w:adjustRightInd w:val="0"/>
              <w:jc w:val="right"/>
              <w:rPr>
                <w:szCs w:val="21"/>
              </w:rPr>
            </w:pPr>
            <w:r>
              <w:t>9,000.00</w:t>
            </w:r>
          </w:p>
        </w:tc>
      </w:tr>
      <w:tr w:rsidR="00E57DAA" w14:paraId="5ABD1B5B" w14:textId="77777777">
        <w:tc>
          <w:tcPr>
            <w:tcW w:w="677" w:type="pct"/>
            <w:tcBorders>
              <w:top w:val="single" w:sz="4" w:space="0" w:color="auto"/>
              <w:left w:val="single" w:sz="4" w:space="0" w:color="auto"/>
              <w:bottom w:val="single" w:sz="4" w:space="0" w:color="auto"/>
              <w:right w:val="single" w:sz="4" w:space="0" w:color="auto"/>
            </w:tcBorders>
            <w:vAlign w:val="center"/>
          </w:tcPr>
          <w:p w14:paraId="28C38E45"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135A5EF" w14:textId="77777777" w:rsidR="00E57DAA" w:rsidRDefault="00AC4185">
            <w:pPr>
              <w:autoSpaceDE w:val="0"/>
              <w:autoSpaceDN w:val="0"/>
              <w:adjustRightInd w:val="0"/>
              <w:rPr>
                <w:szCs w:val="21"/>
              </w:rPr>
            </w:pPr>
            <w:r>
              <w:t>江西泰和南方水泥有限公司</w:t>
            </w:r>
          </w:p>
        </w:tc>
        <w:tc>
          <w:tcPr>
            <w:tcW w:w="633" w:type="pct"/>
            <w:tcBorders>
              <w:top w:val="single" w:sz="4" w:space="0" w:color="auto"/>
              <w:left w:val="single" w:sz="4" w:space="0" w:color="auto"/>
              <w:bottom w:val="single" w:sz="4" w:space="0" w:color="auto"/>
              <w:right w:val="single" w:sz="4" w:space="0" w:color="auto"/>
            </w:tcBorders>
          </w:tcPr>
          <w:p w14:paraId="322BBCDC"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2F9014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5B344A8" w14:textId="77777777" w:rsidR="00E57DAA" w:rsidRDefault="00AC4185">
            <w:pPr>
              <w:autoSpaceDE w:val="0"/>
              <w:autoSpaceDN w:val="0"/>
              <w:adjustRightInd w:val="0"/>
              <w:jc w:val="right"/>
              <w:rPr>
                <w:szCs w:val="21"/>
              </w:rPr>
            </w:pPr>
            <w:r>
              <w:t>143,900.00</w:t>
            </w:r>
          </w:p>
        </w:tc>
        <w:tc>
          <w:tcPr>
            <w:tcW w:w="914" w:type="pct"/>
            <w:tcBorders>
              <w:top w:val="single" w:sz="4" w:space="0" w:color="auto"/>
              <w:left w:val="single" w:sz="4" w:space="0" w:color="auto"/>
              <w:bottom w:val="single" w:sz="4" w:space="0" w:color="auto"/>
              <w:right w:val="single" w:sz="4" w:space="0" w:color="auto"/>
            </w:tcBorders>
          </w:tcPr>
          <w:p w14:paraId="395DB387" w14:textId="77777777" w:rsidR="00E57DAA" w:rsidRDefault="00AC4185">
            <w:pPr>
              <w:autoSpaceDE w:val="0"/>
              <w:autoSpaceDN w:val="0"/>
              <w:adjustRightInd w:val="0"/>
              <w:jc w:val="right"/>
              <w:rPr>
                <w:szCs w:val="21"/>
              </w:rPr>
            </w:pPr>
            <w:r>
              <w:t>3,408.99</w:t>
            </w:r>
          </w:p>
        </w:tc>
      </w:tr>
      <w:tr w:rsidR="00E57DAA" w14:paraId="3CA07A7C" w14:textId="77777777">
        <w:tc>
          <w:tcPr>
            <w:tcW w:w="677" w:type="pct"/>
            <w:tcBorders>
              <w:top w:val="single" w:sz="4" w:space="0" w:color="auto"/>
              <w:left w:val="single" w:sz="4" w:space="0" w:color="auto"/>
              <w:bottom w:val="single" w:sz="4" w:space="0" w:color="auto"/>
              <w:right w:val="single" w:sz="4" w:space="0" w:color="auto"/>
            </w:tcBorders>
            <w:vAlign w:val="center"/>
          </w:tcPr>
          <w:p w14:paraId="23CF5FAE"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5966615" w14:textId="77777777" w:rsidR="00E57DAA" w:rsidRDefault="00AC4185">
            <w:pPr>
              <w:autoSpaceDE w:val="0"/>
              <w:autoSpaceDN w:val="0"/>
              <w:adjustRightInd w:val="0"/>
              <w:rPr>
                <w:szCs w:val="21"/>
              </w:rPr>
            </w:pPr>
            <w:r>
              <w:t>江西南城南方水泥有限公司</w:t>
            </w:r>
          </w:p>
        </w:tc>
        <w:tc>
          <w:tcPr>
            <w:tcW w:w="633" w:type="pct"/>
            <w:tcBorders>
              <w:top w:val="single" w:sz="4" w:space="0" w:color="auto"/>
              <w:left w:val="single" w:sz="4" w:space="0" w:color="auto"/>
              <w:bottom w:val="single" w:sz="4" w:space="0" w:color="auto"/>
              <w:right w:val="single" w:sz="4" w:space="0" w:color="auto"/>
            </w:tcBorders>
          </w:tcPr>
          <w:p w14:paraId="55D72598"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9CA1CA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9B8E8E4" w14:textId="77777777" w:rsidR="00E57DAA" w:rsidRDefault="00AC4185">
            <w:pPr>
              <w:autoSpaceDE w:val="0"/>
              <w:autoSpaceDN w:val="0"/>
              <w:adjustRightInd w:val="0"/>
              <w:jc w:val="right"/>
              <w:rPr>
                <w:szCs w:val="21"/>
              </w:rPr>
            </w:pPr>
            <w:r>
              <w:t>135,397.47</w:t>
            </w:r>
          </w:p>
        </w:tc>
        <w:tc>
          <w:tcPr>
            <w:tcW w:w="914" w:type="pct"/>
            <w:tcBorders>
              <w:top w:val="single" w:sz="4" w:space="0" w:color="auto"/>
              <w:left w:val="single" w:sz="4" w:space="0" w:color="auto"/>
              <w:bottom w:val="single" w:sz="4" w:space="0" w:color="auto"/>
              <w:right w:val="single" w:sz="4" w:space="0" w:color="auto"/>
            </w:tcBorders>
          </w:tcPr>
          <w:p w14:paraId="65CB203C" w14:textId="77777777" w:rsidR="00E57DAA" w:rsidRDefault="00AC4185">
            <w:pPr>
              <w:autoSpaceDE w:val="0"/>
              <w:autoSpaceDN w:val="0"/>
              <w:adjustRightInd w:val="0"/>
              <w:jc w:val="right"/>
              <w:rPr>
                <w:szCs w:val="21"/>
              </w:rPr>
            </w:pPr>
            <w:r>
              <w:t>3,208.92</w:t>
            </w:r>
          </w:p>
        </w:tc>
      </w:tr>
      <w:tr w:rsidR="00E57DAA" w14:paraId="6F79CD39" w14:textId="77777777">
        <w:tc>
          <w:tcPr>
            <w:tcW w:w="677" w:type="pct"/>
            <w:tcBorders>
              <w:top w:val="single" w:sz="4" w:space="0" w:color="auto"/>
              <w:left w:val="single" w:sz="4" w:space="0" w:color="auto"/>
              <w:bottom w:val="single" w:sz="4" w:space="0" w:color="auto"/>
              <w:right w:val="single" w:sz="4" w:space="0" w:color="auto"/>
            </w:tcBorders>
            <w:vAlign w:val="center"/>
          </w:tcPr>
          <w:p w14:paraId="7387B4F8"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8368AB3" w14:textId="77777777" w:rsidR="00E57DAA" w:rsidRDefault="00AC4185">
            <w:pPr>
              <w:autoSpaceDE w:val="0"/>
              <w:autoSpaceDN w:val="0"/>
              <w:adjustRightInd w:val="0"/>
              <w:rPr>
                <w:szCs w:val="21"/>
              </w:rPr>
            </w:pPr>
            <w:r>
              <w:t>溧阳天山水泥有限公司</w:t>
            </w:r>
          </w:p>
        </w:tc>
        <w:tc>
          <w:tcPr>
            <w:tcW w:w="633" w:type="pct"/>
            <w:tcBorders>
              <w:top w:val="single" w:sz="4" w:space="0" w:color="auto"/>
              <w:left w:val="single" w:sz="4" w:space="0" w:color="auto"/>
              <w:bottom w:val="single" w:sz="4" w:space="0" w:color="auto"/>
              <w:right w:val="single" w:sz="4" w:space="0" w:color="auto"/>
            </w:tcBorders>
          </w:tcPr>
          <w:p w14:paraId="1F73D191"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393B67A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704C33E" w14:textId="77777777" w:rsidR="00E57DAA" w:rsidRDefault="00AC4185">
            <w:pPr>
              <w:autoSpaceDE w:val="0"/>
              <w:autoSpaceDN w:val="0"/>
              <w:adjustRightInd w:val="0"/>
              <w:jc w:val="right"/>
              <w:rPr>
                <w:szCs w:val="21"/>
              </w:rPr>
            </w:pPr>
            <w:r>
              <w:t>12,830.18</w:t>
            </w:r>
          </w:p>
        </w:tc>
        <w:tc>
          <w:tcPr>
            <w:tcW w:w="914" w:type="pct"/>
            <w:tcBorders>
              <w:top w:val="single" w:sz="4" w:space="0" w:color="auto"/>
              <w:left w:val="single" w:sz="4" w:space="0" w:color="auto"/>
              <w:bottom w:val="single" w:sz="4" w:space="0" w:color="auto"/>
              <w:right w:val="single" w:sz="4" w:space="0" w:color="auto"/>
            </w:tcBorders>
          </w:tcPr>
          <w:p w14:paraId="4CC2FD3C" w14:textId="77777777" w:rsidR="00E57DAA" w:rsidRDefault="00AC4185">
            <w:pPr>
              <w:autoSpaceDE w:val="0"/>
              <w:autoSpaceDN w:val="0"/>
              <w:adjustRightInd w:val="0"/>
              <w:jc w:val="right"/>
              <w:rPr>
                <w:szCs w:val="21"/>
              </w:rPr>
            </w:pPr>
            <w:r>
              <w:t>304.08</w:t>
            </w:r>
          </w:p>
        </w:tc>
      </w:tr>
      <w:tr w:rsidR="00E57DAA" w14:paraId="50F55FAC" w14:textId="77777777">
        <w:tc>
          <w:tcPr>
            <w:tcW w:w="677" w:type="pct"/>
            <w:tcBorders>
              <w:top w:val="single" w:sz="4" w:space="0" w:color="auto"/>
              <w:left w:val="single" w:sz="4" w:space="0" w:color="auto"/>
              <w:bottom w:val="single" w:sz="4" w:space="0" w:color="auto"/>
              <w:right w:val="single" w:sz="4" w:space="0" w:color="auto"/>
            </w:tcBorders>
            <w:vAlign w:val="center"/>
          </w:tcPr>
          <w:p w14:paraId="2EC2E929"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0677A1A4" w14:textId="77777777" w:rsidR="00E57DAA" w:rsidRDefault="00AC4185">
            <w:pPr>
              <w:autoSpaceDE w:val="0"/>
              <w:autoSpaceDN w:val="0"/>
              <w:adjustRightInd w:val="0"/>
              <w:rPr>
                <w:szCs w:val="21"/>
              </w:rPr>
            </w:pPr>
            <w:r>
              <w:t>受最终控制方控制的其他企业</w:t>
            </w:r>
          </w:p>
        </w:tc>
        <w:tc>
          <w:tcPr>
            <w:tcW w:w="633" w:type="pct"/>
            <w:tcBorders>
              <w:top w:val="single" w:sz="4" w:space="0" w:color="auto"/>
              <w:left w:val="single" w:sz="4" w:space="0" w:color="auto"/>
              <w:bottom w:val="single" w:sz="4" w:space="0" w:color="auto"/>
              <w:right w:val="single" w:sz="4" w:space="0" w:color="auto"/>
            </w:tcBorders>
          </w:tcPr>
          <w:p w14:paraId="3680B89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336528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609889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46CA10DA" w14:textId="77777777" w:rsidR="00E57DAA" w:rsidRDefault="00AC4185">
            <w:pPr>
              <w:autoSpaceDE w:val="0"/>
              <w:autoSpaceDN w:val="0"/>
              <w:adjustRightInd w:val="0"/>
              <w:jc w:val="right"/>
              <w:rPr>
                <w:szCs w:val="21"/>
              </w:rPr>
            </w:pPr>
            <w:r>
              <w:t xml:space="preserve">　</w:t>
            </w:r>
          </w:p>
        </w:tc>
      </w:tr>
      <w:tr w:rsidR="00E57DAA" w14:paraId="2EAD8460" w14:textId="77777777">
        <w:tc>
          <w:tcPr>
            <w:tcW w:w="677" w:type="pct"/>
            <w:tcBorders>
              <w:top w:val="single" w:sz="4" w:space="0" w:color="auto"/>
              <w:left w:val="single" w:sz="4" w:space="0" w:color="auto"/>
              <w:bottom w:val="single" w:sz="4" w:space="0" w:color="auto"/>
              <w:right w:val="single" w:sz="4" w:space="0" w:color="auto"/>
            </w:tcBorders>
            <w:vAlign w:val="center"/>
          </w:tcPr>
          <w:p w14:paraId="7064399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001B26A" w14:textId="77777777" w:rsidR="00E57DAA" w:rsidRDefault="00AC4185">
            <w:pPr>
              <w:autoSpaceDE w:val="0"/>
              <w:autoSpaceDN w:val="0"/>
              <w:adjustRightInd w:val="0"/>
              <w:rPr>
                <w:szCs w:val="21"/>
              </w:rPr>
            </w:pPr>
            <w:r>
              <w:t>中国建材国际工程集团有限公司</w:t>
            </w:r>
          </w:p>
        </w:tc>
        <w:tc>
          <w:tcPr>
            <w:tcW w:w="633" w:type="pct"/>
            <w:tcBorders>
              <w:top w:val="single" w:sz="4" w:space="0" w:color="auto"/>
              <w:left w:val="single" w:sz="4" w:space="0" w:color="auto"/>
              <w:bottom w:val="single" w:sz="4" w:space="0" w:color="auto"/>
              <w:right w:val="single" w:sz="4" w:space="0" w:color="auto"/>
            </w:tcBorders>
          </w:tcPr>
          <w:p w14:paraId="6C2669A4" w14:textId="77777777" w:rsidR="00E57DAA" w:rsidRDefault="00AC4185">
            <w:pPr>
              <w:autoSpaceDE w:val="0"/>
              <w:autoSpaceDN w:val="0"/>
              <w:adjustRightInd w:val="0"/>
              <w:jc w:val="right"/>
              <w:rPr>
                <w:szCs w:val="21"/>
              </w:rPr>
            </w:pPr>
            <w:r>
              <w:t>95,731,714.36</w:t>
            </w:r>
          </w:p>
        </w:tc>
        <w:tc>
          <w:tcPr>
            <w:tcW w:w="632" w:type="pct"/>
            <w:tcBorders>
              <w:top w:val="single" w:sz="4" w:space="0" w:color="auto"/>
              <w:left w:val="single" w:sz="4" w:space="0" w:color="auto"/>
              <w:bottom w:val="single" w:sz="4" w:space="0" w:color="auto"/>
              <w:right w:val="single" w:sz="4" w:space="0" w:color="auto"/>
            </w:tcBorders>
          </w:tcPr>
          <w:p w14:paraId="18AFB051" w14:textId="77777777" w:rsidR="00E57DAA" w:rsidRDefault="00AC4185">
            <w:pPr>
              <w:autoSpaceDE w:val="0"/>
              <w:autoSpaceDN w:val="0"/>
              <w:adjustRightInd w:val="0"/>
              <w:jc w:val="right"/>
              <w:rPr>
                <w:szCs w:val="21"/>
              </w:rPr>
            </w:pPr>
            <w:r>
              <w:t>5,367,820.46</w:t>
            </w:r>
          </w:p>
        </w:tc>
        <w:tc>
          <w:tcPr>
            <w:tcW w:w="703" w:type="pct"/>
            <w:tcBorders>
              <w:top w:val="single" w:sz="4" w:space="0" w:color="auto"/>
              <w:left w:val="single" w:sz="4" w:space="0" w:color="auto"/>
              <w:bottom w:val="single" w:sz="4" w:space="0" w:color="auto"/>
              <w:right w:val="single" w:sz="4" w:space="0" w:color="auto"/>
            </w:tcBorders>
          </w:tcPr>
          <w:p w14:paraId="270BD118" w14:textId="77777777" w:rsidR="00E57DAA" w:rsidRDefault="00AC4185">
            <w:pPr>
              <w:autoSpaceDE w:val="0"/>
              <w:autoSpaceDN w:val="0"/>
              <w:adjustRightInd w:val="0"/>
              <w:jc w:val="right"/>
              <w:rPr>
                <w:szCs w:val="21"/>
              </w:rPr>
            </w:pPr>
            <w:r>
              <w:t>89,826,314.55</w:t>
            </w:r>
          </w:p>
        </w:tc>
        <w:tc>
          <w:tcPr>
            <w:tcW w:w="914" w:type="pct"/>
            <w:tcBorders>
              <w:top w:val="single" w:sz="4" w:space="0" w:color="auto"/>
              <w:left w:val="single" w:sz="4" w:space="0" w:color="auto"/>
              <w:bottom w:val="single" w:sz="4" w:space="0" w:color="auto"/>
              <w:right w:val="single" w:sz="4" w:space="0" w:color="auto"/>
            </w:tcBorders>
          </w:tcPr>
          <w:p w14:paraId="0B614C01" w14:textId="77777777" w:rsidR="00E57DAA" w:rsidRDefault="00AC4185">
            <w:pPr>
              <w:autoSpaceDE w:val="0"/>
              <w:autoSpaceDN w:val="0"/>
              <w:adjustRightInd w:val="0"/>
              <w:jc w:val="right"/>
              <w:rPr>
                <w:szCs w:val="21"/>
              </w:rPr>
            </w:pPr>
            <w:r>
              <w:t>2,463,511.05</w:t>
            </w:r>
          </w:p>
        </w:tc>
      </w:tr>
      <w:tr w:rsidR="00E57DAA" w14:paraId="602FA604" w14:textId="77777777">
        <w:tc>
          <w:tcPr>
            <w:tcW w:w="677" w:type="pct"/>
            <w:tcBorders>
              <w:top w:val="single" w:sz="4" w:space="0" w:color="auto"/>
              <w:left w:val="single" w:sz="4" w:space="0" w:color="auto"/>
              <w:bottom w:val="single" w:sz="4" w:space="0" w:color="auto"/>
              <w:right w:val="single" w:sz="4" w:space="0" w:color="auto"/>
            </w:tcBorders>
            <w:vAlign w:val="center"/>
          </w:tcPr>
          <w:p w14:paraId="51BC31B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BCB0C79" w14:textId="77777777" w:rsidR="00E57DAA" w:rsidRDefault="00AC4185">
            <w:pPr>
              <w:autoSpaceDE w:val="0"/>
              <w:autoSpaceDN w:val="0"/>
              <w:adjustRightInd w:val="0"/>
              <w:rPr>
                <w:szCs w:val="21"/>
              </w:rPr>
            </w:pPr>
            <w:r>
              <w:t>广州华磊建筑基础工程有限公司</w:t>
            </w:r>
          </w:p>
        </w:tc>
        <w:tc>
          <w:tcPr>
            <w:tcW w:w="633" w:type="pct"/>
            <w:tcBorders>
              <w:top w:val="single" w:sz="4" w:space="0" w:color="auto"/>
              <w:left w:val="single" w:sz="4" w:space="0" w:color="auto"/>
              <w:bottom w:val="single" w:sz="4" w:space="0" w:color="auto"/>
              <w:right w:val="single" w:sz="4" w:space="0" w:color="auto"/>
            </w:tcBorders>
          </w:tcPr>
          <w:p w14:paraId="77AA4822" w14:textId="77777777" w:rsidR="00E57DAA" w:rsidRDefault="00AC4185">
            <w:pPr>
              <w:autoSpaceDE w:val="0"/>
              <w:autoSpaceDN w:val="0"/>
              <w:adjustRightInd w:val="0"/>
              <w:jc w:val="right"/>
              <w:rPr>
                <w:szCs w:val="21"/>
              </w:rPr>
            </w:pPr>
            <w:r>
              <w:t>10,675,251.02</w:t>
            </w:r>
          </w:p>
        </w:tc>
        <w:tc>
          <w:tcPr>
            <w:tcW w:w="632" w:type="pct"/>
            <w:tcBorders>
              <w:top w:val="single" w:sz="4" w:space="0" w:color="auto"/>
              <w:left w:val="single" w:sz="4" w:space="0" w:color="auto"/>
              <w:bottom w:val="single" w:sz="4" w:space="0" w:color="auto"/>
              <w:right w:val="single" w:sz="4" w:space="0" w:color="auto"/>
            </w:tcBorders>
          </w:tcPr>
          <w:p w14:paraId="5A9E39CF" w14:textId="77777777" w:rsidR="00E57DAA" w:rsidRDefault="00AC4185">
            <w:pPr>
              <w:autoSpaceDE w:val="0"/>
              <w:autoSpaceDN w:val="0"/>
              <w:adjustRightInd w:val="0"/>
              <w:jc w:val="right"/>
              <w:rPr>
                <w:szCs w:val="21"/>
              </w:rPr>
            </w:pPr>
            <w:r>
              <w:t>182,269.37</w:t>
            </w:r>
          </w:p>
        </w:tc>
        <w:tc>
          <w:tcPr>
            <w:tcW w:w="703" w:type="pct"/>
            <w:tcBorders>
              <w:top w:val="single" w:sz="4" w:space="0" w:color="auto"/>
              <w:left w:val="single" w:sz="4" w:space="0" w:color="auto"/>
              <w:bottom w:val="single" w:sz="4" w:space="0" w:color="auto"/>
              <w:right w:val="single" w:sz="4" w:space="0" w:color="auto"/>
            </w:tcBorders>
          </w:tcPr>
          <w:p w14:paraId="031CA4FA"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7CF1B813" w14:textId="77777777" w:rsidR="00E57DAA" w:rsidRDefault="00AC4185">
            <w:pPr>
              <w:autoSpaceDE w:val="0"/>
              <w:autoSpaceDN w:val="0"/>
              <w:adjustRightInd w:val="0"/>
              <w:jc w:val="right"/>
              <w:rPr>
                <w:szCs w:val="21"/>
              </w:rPr>
            </w:pPr>
            <w:r>
              <w:t xml:space="preserve">　</w:t>
            </w:r>
          </w:p>
        </w:tc>
      </w:tr>
      <w:tr w:rsidR="00E57DAA" w14:paraId="0E1FD0A0" w14:textId="77777777">
        <w:tc>
          <w:tcPr>
            <w:tcW w:w="677" w:type="pct"/>
            <w:tcBorders>
              <w:top w:val="single" w:sz="4" w:space="0" w:color="auto"/>
              <w:left w:val="single" w:sz="4" w:space="0" w:color="auto"/>
              <w:bottom w:val="single" w:sz="4" w:space="0" w:color="auto"/>
              <w:right w:val="single" w:sz="4" w:space="0" w:color="auto"/>
            </w:tcBorders>
            <w:vAlign w:val="center"/>
          </w:tcPr>
          <w:p w14:paraId="1F00D4A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DE9CA8C" w14:textId="77777777" w:rsidR="00E57DAA" w:rsidRDefault="00AC4185">
            <w:pPr>
              <w:autoSpaceDE w:val="0"/>
              <w:autoSpaceDN w:val="0"/>
              <w:adjustRightInd w:val="0"/>
              <w:rPr>
                <w:szCs w:val="21"/>
              </w:rPr>
            </w:pPr>
            <w:r>
              <w:t>中建材国际装备有限公司</w:t>
            </w:r>
          </w:p>
        </w:tc>
        <w:tc>
          <w:tcPr>
            <w:tcW w:w="633" w:type="pct"/>
            <w:tcBorders>
              <w:top w:val="single" w:sz="4" w:space="0" w:color="auto"/>
              <w:left w:val="single" w:sz="4" w:space="0" w:color="auto"/>
              <w:bottom w:val="single" w:sz="4" w:space="0" w:color="auto"/>
              <w:right w:val="single" w:sz="4" w:space="0" w:color="auto"/>
            </w:tcBorders>
          </w:tcPr>
          <w:p w14:paraId="0D0C678E" w14:textId="77777777" w:rsidR="00E57DAA" w:rsidRDefault="00AC4185">
            <w:pPr>
              <w:autoSpaceDE w:val="0"/>
              <w:autoSpaceDN w:val="0"/>
              <w:adjustRightInd w:val="0"/>
              <w:jc w:val="right"/>
              <w:rPr>
                <w:szCs w:val="21"/>
              </w:rPr>
            </w:pPr>
            <w:r>
              <w:t>7,682,020.39</w:t>
            </w:r>
          </w:p>
        </w:tc>
        <w:tc>
          <w:tcPr>
            <w:tcW w:w="632" w:type="pct"/>
            <w:tcBorders>
              <w:top w:val="single" w:sz="4" w:space="0" w:color="auto"/>
              <w:left w:val="single" w:sz="4" w:space="0" w:color="auto"/>
              <w:bottom w:val="single" w:sz="4" w:space="0" w:color="auto"/>
              <w:right w:val="single" w:sz="4" w:space="0" w:color="auto"/>
            </w:tcBorders>
          </w:tcPr>
          <w:p w14:paraId="2FED6E74" w14:textId="77777777" w:rsidR="00E57DAA" w:rsidRDefault="00AC4185">
            <w:pPr>
              <w:autoSpaceDE w:val="0"/>
              <w:autoSpaceDN w:val="0"/>
              <w:adjustRightInd w:val="0"/>
              <w:jc w:val="right"/>
              <w:rPr>
                <w:szCs w:val="21"/>
              </w:rPr>
            </w:pPr>
            <w:r>
              <w:t>35,000.00</w:t>
            </w:r>
          </w:p>
        </w:tc>
        <w:tc>
          <w:tcPr>
            <w:tcW w:w="703" w:type="pct"/>
            <w:tcBorders>
              <w:top w:val="single" w:sz="4" w:space="0" w:color="auto"/>
              <w:left w:val="single" w:sz="4" w:space="0" w:color="auto"/>
              <w:bottom w:val="single" w:sz="4" w:space="0" w:color="auto"/>
              <w:right w:val="single" w:sz="4" w:space="0" w:color="auto"/>
            </w:tcBorders>
          </w:tcPr>
          <w:p w14:paraId="42B33700" w14:textId="77777777" w:rsidR="00E57DAA" w:rsidRDefault="00AC4185">
            <w:pPr>
              <w:autoSpaceDE w:val="0"/>
              <w:autoSpaceDN w:val="0"/>
              <w:adjustRightInd w:val="0"/>
              <w:jc w:val="right"/>
              <w:rPr>
                <w:szCs w:val="21"/>
              </w:rPr>
            </w:pPr>
            <w:r>
              <w:t>11,123,715.45</w:t>
            </w:r>
          </w:p>
        </w:tc>
        <w:tc>
          <w:tcPr>
            <w:tcW w:w="914" w:type="pct"/>
            <w:tcBorders>
              <w:top w:val="single" w:sz="4" w:space="0" w:color="auto"/>
              <w:left w:val="single" w:sz="4" w:space="0" w:color="auto"/>
              <w:bottom w:val="single" w:sz="4" w:space="0" w:color="auto"/>
              <w:right w:val="single" w:sz="4" w:space="0" w:color="auto"/>
            </w:tcBorders>
          </w:tcPr>
          <w:p w14:paraId="7051D330" w14:textId="77777777" w:rsidR="00E57DAA" w:rsidRDefault="00AC4185">
            <w:pPr>
              <w:autoSpaceDE w:val="0"/>
              <w:autoSpaceDN w:val="0"/>
              <w:adjustRightInd w:val="0"/>
              <w:jc w:val="right"/>
              <w:rPr>
                <w:szCs w:val="21"/>
              </w:rPr>
            </w:pPr>
            <w:r>
              <w:t>260,156.27</w:t>
            </w:r>
          </w:p>
        </w:tc>
      </w:tr>
      <w:tr w:rsidR="00E57DAA" w14:paraId="1A1ED6B3" w14:textId="77777777">
        <w:tc>
          <w:tcPr>
            <w:tcW w:w="677" w:type="pct"/>
            <w:tcBorders>
              <w:top w:val="single" w:sz="4" w:space="0" w:color="auto"/>
              <w:left w:val="single" w:sz="4" w:space="0" w:color="auto"/>
              <w:bottom w:val="single" w:sz="4" w:space="0" w:color="auto"/>
              <w:right w:val="single" w:sz="4" w:space="0" w:color="auto"/>
            </w:tcBorders>
            <w:vAlign w:val="center"/>
          </w:tcPr>
          <w:p w14:paraId="75934B1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EB47757" w14:textId="77777777" w:rsidR="00E57DAA" w:rsidRDefault="00AC4185">
            <w:pPr>
              <w:autoSpaceDE w:val="0"/>
              <w:autoSpaceDN w:val="0"/>
              <w:adjustRightInd w:val="0"/>
              <w:rPr>
                <w:szCs w:val="21"/>
              </w:rPr>
            </w:pPr>
            <w:r>
              <w:t>中建材光芯科技有限公司</w:t>
            </w:r>
          </w:p>
        </w:tc>
        <w:tc>
          <w:tcPr>
            <w:tcW w:w="633" w:type="pct"/>
            <w:tcBorders>
              <w:top w:val="single" w:sz="4" w:space="0" w:color="auto"/>
              <w:left w:val="single" w:sz="4" w:space="0" w:color="auto"/>
              <w:bottom w:val="single" w:sz="4" w:space="0" w:color="auto"/>
              <w:right w:val="single" w:sz="4" w:space="0" w:color="auto"/>
            </w:tcBorders>
          </w:tcPr>
          <w:p w14:paraId="5C531141" w14:textId="77777777" w:rsidR="00E57DAA" w:rsidRDefault="00AC4185">
            <w:pPr>
              <w:autoSpaceDE w:val="0"/>
              <w:autoSpaceDN w:val="0"/>
              <w:adjustRightInd w:val="0"/>
              <w:jc w:val="right"/>
              <w:rPr>
                <w:szCs w:val="21"/>
              </w:rPr>
            </w:pPr>
            <w:r>
              <w:t>6,275,519.72</w:t>
            </w:r>
          </w:p>
        </w:tc>
        <w:tc>
          <w:tcPr>
            <w:tcW w:w="632" w:type="pct"/>
            <w:tcBorders>
              <w:top w:val="single" w:sz="4" w:space="0" w:color="auto"/>
              <w:left w:val="single" w:sz="4" w:space="0" w:color="auto"/>
              <w:bottom w:val="single" w:sz="4" w:space="0" w:color="auto"/>
              <w:right w:val="single" w:sz="4" w:space="0" w:color="auto"/>
            </w:tcBorders>
          </w:tcPr>
          <w:p w14:paraId="79C9E3D8" w14:textId="77777777" w:rsidR="00E57DAA" w:rsidRDefault="00AC4185">
            <w:pPr>
              <w:autoSpaceDE w:val="0"/>
              <w:autoSpaceDN w:val="0"/>
              <w:adjustRightInd w:val="0"/>
              <w:jc w:val="right"/>
              <w:rPr>
                <w:szCs w:val="21"/>
              </w:rPr>
            </w:pPr>
            <w:r>
              <w:t>312,967.29</w:t>
            </w:r>
          </w:p>
        </w:tc>
        <w:tc>
          <w:tcPr>
            <w:tcW w:w="703" w:type="pct"/>
            <w:tcBorders>
              <w:top w:val="single" w:sz="4" w:space="0" w:color="auto"/>
              <w:left w:val="single" w:sz="4" w:space="0" w:color="auto"/>
              <w:bottom w:val="single" w:sz="4" w:space="0" w:color="auto"/>
              <w:right w:val="single" w:sz="4" w:space="0" w:color="auto"/>
            </w:tcBorders>
          </w:tcPr>
          <w:p w14:paraId="5136D1A0" w14:textId="77777777" w:rsidR="00E57DAA" w:rsidRDefault="00AC4185">
            <w:pPr>
              <w:autoSpaceDE w:val="0"/>
              <w:autoSpaceDN w:val="0"/>
              <w:adjustRightInd w:val="0"/>
              <w:jc w:val="right"/>
              <w:rPr>
                <w:szCs w:val="21"/>
              </w:rPr>
            </w:pPr>
            <w:r>
              <w:t>21,973,455.93</w:t>
            </w:r>
          </w:p>
        </w:tc>
        <w:tc>
          <w:tcPr>
            <w:tcW w:w="914" w:type="pct"/>
            <w:tcBorders>
              <w:top w:val="single" w:sz="4" w:space="0" w:color="auto"/>
              <w:left w:val="single" w:sz="4" w:space="0" w:color="auto"/>
              <w:bottom w:val="single" w:sz="4" w:space="0" w:color="auto"/>
              <w:right w:val="single" w:sz="4" w:space="0" w:color="auto"/>
            </w:tcBorders>
          </w:tcPr>
          <w:p w14:paraId="3F14C037" w14:textId="77777777" w:rsidR="00E57DAA" w:rsidRDefault="00AC4185">
            <w:pPr>
              <w:autoSpaceDE w:val="0"/>
              <w:autoSpaceDN w:val="0"/>
              <w:adjustRightInd w:val="0"/>
              <w:jc w:val="right"/>
              <w:rPr>
                <w:szCs w:val="21"/>
              </w:rPr>
            </w:pPr>
            <w:r>
              <w:t>419,926.08</w:t>
            </w:r>
          </w:p>
        </w:tc>
      </w:tr>
      <w:tr w:rsidR="00E57DAA" w14:paraId="28268DF0" w14:textId="77777777">
        <w:tc>
          <w:tcPr>
            <w:tcW w:w="677" w:type="pct"/>
            <w:tcBorders>
              <w:top w:val="single" w:sz="4" w:space="0" w:color="auto"/>
              <w:left w:val="single" w:sz="4" w:space="0" w:color="auto"/>
              <w:bottom w:val="single" w:sz="4" w:space="0" w:color="auto"/>
              <w:right w:val="single" w:sz="4" w:space="0" w:color="auto"/>
            </w:tcBorders>
            <w:vAlign w:val="center"/>
          </w:tcPr>
          <w:p w14:paraId="2C1F46E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6EFD666" w14:textId="77777777" w:rsidR="00E57DAA" w:rsidRDefault="00AC4185">
            <w:pPr>
              <w:autoSpaceDE w:val="0"/>
              <w:autoSpaceDN w:val="0"/>
              <w:adjustRightInd w:val="0"/>
              <w:rPr>
                <w:szCs w:val="21"/>
              </w:rPr>
            </w:pPr>
            <w:r>
              <w:t>武汉建筑材料工业设计研究院有限公司</w:t>
            </w:r>
          </w:p>
        </w:tc>
        <w:tc>
          <w:tcPr>
            <w:tcW w:w="633" w:type="pct"/>
            <w:tcBorders>
              <w:top w:val="single" w:sz="4" w:space="0" w:color="auto"/>
              <w:left w:val="single" w:sz="4" w:space="0" w:color="auto"/>
              <w:bottom w:val="single" w:sz="4" w:space="0" w:color="auto"/>
              <w:right w:val="single" w:sz="4" w:space="0" w:color="auto"/>
            </w:tcBorders>
          </w:tcPr>
          <w:p w14:paraId="7A00CFA8" w14:textId="77777777" w:rsidR="00E57DAA" w:rsidRDefault="00AC4185">
            <w:pPr>
              <w:autoSpaceDE w:val="0"/>
              <w:autoSpaceDN w:val="0"/>
              <w:adjustRightInd w:val="0"/>
              <w:jc w:val="right"/>
              <w:rPr>
                <w:szCs w:val="21"/>
              </w:rPr>
            </w:pPr>
            <w:r>
              <w:t>673,350.00</w:t>
            </w:r>
          </w:p>
        </w:tc>
        <w:tc>
          <w:tcPr>
            <w:tcW w:w="632" w:type="pct"/>
            <w:tcBorders>
              <w:top w:val="single" w:sz="4" w:space="0" w:color="auto"/>
              <w:left w:val="single" w:sz="4" w:space="0" w:color="auto"/>
              <w:bottom w:val="single" w:sz="4" w:space="0" w:color="auto"/>
              <w:right w:val="single" w:sz="4" w:space="0" w:color="auto"/>
            </w:tcBorders>
          </w:tcPr>
          <w:p w14:paraId="0C2B609D" w14:textId="77777777" w:rsidR="00E57DAA" w:rsidRDefault="00AC4185">
            <w:pPr>
              <w:autoSpaceDE w:val="0"/>
              <w:autoSpaceDN w:val="0"/>
              <w:adjustRightInd w:val="0"/>
              <w:jc w:val="right"/>
              <w:rPr>
                <w:szCs w:val="21"/>
              </w:rPr>
            </w:pPr>
            <w:r>
              <w:t>52,707.20</w:t>
            </w:r>
          </w:p>
        </w:tc>
        <w:tc>
          <w:tcPr>
            <w:tcW w:w="703" w:type="pct"/>
            <w:tcBorders>
              <w:top w:val="single" w:sz="4" w:space="0" w:color="auto"/>
              <w:left w:val="single" w:sz="4" w:space="0" w:color="auto"/>
              <w:bottom w:val="single" w:sz="4" w:space="0" w:color="auto"/>
              <w:right w:val="single" w:sz="4" w:space="0" w:color="auto"/>
            </w:tcBorders>
          </w:tcPr>
          <w:p w14:paraId="77260ED2" w14:textId="77777777" w:rsidR="00E57DAA" w:rsidRDefault="00AC4185">
            <w:pPr>
              <w:autoSpaceDE w:val="0"/>
              <w:autoSpaceDN w:val="0"/>
              <w:adjustRightInd w:val="0"/>
              <w:jc w:val="right"/>
              <w:rPr>
                <w:szCs w:val="21"/>
              </w:rPr>
            </w:pPr>
            <w:r>
              <w:t>383,000.00</w:t>
            </w:r>
          </w:p>
        </w:tc>
        <w:tc>
          <w:tcPr>
            <w:tcW w:w="914" w:type="pct"/>
            <w:tcBorders>
              <w:top w:val="single" w:sz="4" w:space="0" w:color="auto"/>
              <w:left w:val="single" w:sz="4" w:space="0" w:color="auto"/>
              <w:bottom w:val="single" w:sz="4" w:space="0" w:color="auto"/>
              <w:right w:val="single" w:sz="4" w:space="0" w:color="auto"/>
            </w:tcBorders>
          </w:tcPr>
          <w:p w14:paraId="0A137971" w14:textId="77777777" w:rsidR="00E57DAA" w:rsidRDefault="00AC4185">
            <w:pPr>
              <w:autoSpaceDE w:val="0"/>
              <w:autoSpaceDN w:val="0"/>
              <w:adjustRightInd w:val="0"/>
              <w:jc w:val="right"/>
              <w:rPr>
                <w:szCs w:val="21"/>
              </w:rPr>
            </w:pPr>
            <w:r>
              <w:t>9,073.27</w:t>
            </w:r>
          </w:p>
        </w:tc>
      </w:tr>
      <w:tr w:rsidR="00E57DAA" w14:paraId="688C8E23" w14:textId="77777777">
        <w:tc>
          <w:tcPr>
            <w:tcW w:w="677" w:type="pct"/>
            <w:tcBorders>
              <w:top w:val="single" w:sz="4" w:space="0" w:color="auto"/>
              <w:left w:val="single" w:sz="4" w:space="0" w:color="auto"/>
              <w:bottom w:val="single" w:sz="4" w:space="0" w:color="auto"/>
              <w:right w:val="single" w:sz="4" w:space="0" w:color="auto"/>
            </w:tcBorders>
            <w:vAlign w:val="center"/>
          </w:tcPr>
          <w:p w14:paraId="6A1FF84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7843EDD" w14:textId="77777777" w:rsidR="00E57DAA" w:rsidRDefault="00AC4185">
            <w:pPr>
              <w:autoSpaceDE w:val="0"/>
              <w:autoSpaceDN w:val="0"/>
              <w:adjustRightInd w:val="0"/>
              <w:rPr>
                <w:szCs w:val="21"/>
              </w:rPr>
            </w:pPr>
            <w:r>
              <w:t>中材节能股份有限公司</w:t>
            </w:r>
          </w:p>
        </w:tc>
        <w:tc>
          <w:tcPr>
            <w:tcW w:w="633" w:type="pct"/>
            <w:tcBorders>
              <w:top w:val="single" w:sz="4" w:space="0" w:color="auto"/>
              <w:left w:val="single" w:sz="4" w:space="0" w:color="auto"/>
              <w:bottom w:val="single" w:sz="4" w:space="0" w:color="auto"/>
              <w:right w:val="single" w:sz="4" w:space="0" w:color="auto"/>
            </w:tcBorders>
          </w:tcPr>
          <w:p w14:paraId="576C8F48" w14:textId="77777777" w:rsidR="00E57DAA" w:rsidRDefault="00AC4185">
            <w:pPr>
              <w:autoSpaceDE w:val="0"/>
              <w:autoSpaceDN w:val="0"/>
              <w:adjustRightInd w:val="0"/>
              <w:jc w:val="right"/>
              <w:rPr>
                <w:szCs w:val="21"/>
              </w:rPr>
            </w:pPr>
            <w:r>
              <w:t>88,000.00</w:t>
            </w:r>
          </w:p>
        </w:tc>
        <w:tc>
          <w:tcPr>
            <w:tcW w:w="632" w:type="pct"/>
            <w:tcBorders>
              <w:top w:val="single" w:sz="4" w:space="0" w:color="auto"/>
              <w:left w:val="single" w:sz="4" w:space="0" w:color="auto"/>
              <w:bottom w:val="single" w:sz="4" w:space="0" w:color="auto"/>
              <w:right w:val="single" w:sz="4" w:space="0" w:color="auto"/>
            </w:tcBorders>
          </w:tcPr>
          <w:p w14:paraId="7AC1A5AE" w14:textId="77777777" w:rsidR="00E57DAA" w:rsidRDefault="00AC4185">
            <w:pPr>
              <w:autoSpaceDE w:val="0"/>
              <w:autoSpaceDN w:val="0"/>
              <w:adjustRightInd w:val="0"/>
              <w:jc w:val="right"/>
              <w:rPr>
                <w:szCs w:val="21"/>
              </w:rPr>
            </w:pPr>
            <w:r>
              <w:t>4,400.00</w:t>
            </w:r>
          </w:p>
        </w:tc>
        <w:tc>
          <w:tcPr>
            <w:tcW w:w="703" w:type="pct"/>
            <w:tcBorders>
              <w:top w:val="single" w:sz="4" w:space="0" w:color="auto"/>
              <w:left w:val="single" w:sz="4" w:space="0" w:color="auto"/>
              <w:bottom w:val="single" w:sz="4" w:space="0" w:color="auto"/>
              <w:right w:val="single" w:sz="4" w:space="0" w:color="auto"/>
            </w:tcBorders>
          </w:tcPr>
          <w:p w14:paraId="71FDECF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57870CF" w14:textId="77777777" w:rsidR="00E57DAA" w:rsidRDefault="00AC4185">
            <w:pPr>
              <w:autoSpaceDE w:val="0"/>
              <w:autoSpaceDN w:val="0"/>
              <w:adjustRightInd w:val="0"/>
              <w:jc w:val="right"/>
              <w:rPr>
                <w:szCs w:val="21"/>
              </w:rPr>
            </w:pPr>
            <w:r>
              <w:t xml:space="preserve">　</w:t>
            </w:r>
          </w:p>
        </w:tc>
      </w:tr>
      <w:tr w:rsidR="00E57DAA" w14:paraId="71CD0BB8" w14:textId="77777777">
        <w:tc>
          <w:tcPr>
            <w:tcW w:w="677" w:type="pct"/>
            <w:tcBorders>
              <w:top w:val="single" w:sz="4" w:space="0" w:color="auto"/>
              <w:left w:val="single" w:sz="4" w:space="0" w:color="auto"/>
              <w:bottom w:val="single" w:sz="4" w:space="0" w:color="auto"/>
              <w:right w:val="single" w:sz="4" w:space="0" w:color="auto"/>
            </w:tcBorders>
            <w:vAlign w:val="center"/>
          </w:tcPr>
          <w:p w14:paraId="7335C5DB"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0F44709" w14:textId="77777777" w:rsidR="00E57DAA" w:rsidRDefault="00AC4185">
            <w:pPr>
              <w:autoSpaceDE w:val="0"/>
              <w:autoSpaceDN w:val="0"/>
              <w:adjustRightInd w:val="0"/>
              <w:rPr>
                <w:szCs w:val="21"/>
              </w:rPr>
            </w:pPr>
            <w:r>
              <w:t>中建材行业生产力促进中心有限公司</w:t>
            </w:r>
          </w:p>
        </w:tc>
        <w:tc>
          <w:tcPr>
            <w:tcW w:w="633" w:type="pct"/>
            <w:tcBorders>
              <w:top w:val="single" w:sz="4" w:space="0" w:color="auto"/>
              <w:left w:val="single" w:sz="4" w:space="0" w:color="auto"/>
              <w:bottom w:val="single" w:sz="4" w:space="0" w:color="auto"/>
              <w:right w:val="single" w:sz="4" w:space="0" w:color="auto"/>
            </w:tcBorders>
          </w:tcPr>
          <w:p w14:paraId="6656146F"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F5AE36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CD1E026" w14:textId="77777777" w:rsidR="00E57DAA" w:rsidRDefault="00AC4185">
            <w:pPr>
              <w:autoSpaceDE w:val="0"/>
              <w:autoSpaceDN w:val="0"/>
              <w:adjustRightInd w:val="0"/>
              <w:jc w:val="right"/>
              <w:rPr>
                <w:szCs w:val="21"/>
              </w:rPr>
            </w:pPr>
            <w:r>
              <w:t>260,000.00</w:t>
            </w:r>
          </w:p>
        </w:tc>
        <w:tc>
          <w:tcPr>
            <w:tcW w:w="914" w:type="pct"/>
            <w:tcBorders>
              <w:top w:val="single" w:sz="4" w:space="0" w:color="auto"/>
              <w:left w:val="single" w:sz="4" w:space="0" w:color="auto"/>
              <w:bottom w:val="single" w:sz="4" w:space="0" w:color="auto"/>
              <w:right w:val="single" w:sz="4" w:space="0" w:color="auto"/>
            </w:tcBorders>
          </w:tcPr>
          <w:p w14:paraId="0A90D877" w14:textId="77777777" w:rsidR="00E57DAA" w:rsidRDefault="00AC4185">
            <w:pPr>
              <w:autoSpaceDE w:val="0"/>
              <w:autoSpaceDN w:val="0"/>
              <w:adjustRightInd w:val="0"/>
              <w:jc w:val="right"/>
              <w:rPr>
                <w:szCs w:val="21"/>
              </w:rPr>
            </w:pPr>
            <w:r>
              <w:t>6,159.40</w:t>
            </w:r>
          </w:p>
        </w:tc>
      </w:tr>
      <w:tr w:rsidR="00E57DAA" w14:paraId="2CDFA5DC" w14:textId="77777777">
        <w:tc>
          <w:tcPr>
            <w:tcW w:w="677" w:type="pct"/>
            <w:tcBorders>
              <w:top w:val="single" w:sz="4" w:space="0" w:color="auto"/>
              <w:left w:val="single" w:sz="4" w:space="0" w:color="auto"/>
              <w:bottom w:val="single" w:sz="4" w:space="0" w:color="auto"/>
              <w:right w:val="single" w:sz="4" w:space="0" w:color="auto"/>
            </w:tcBorders>
            <w:vAlign w:val="center"/>
          </w:tcPr>
          <w:p w14:paraId="62477E6A" w14:textId="77777777" w:rsidR="00E57DAA" w:rsidRDefault="00AC4185">
            <w:pPr>
              <w:autoSpaceDE w:val="0"/>
              <w:autoSpaceDN w:val="0"/>
              <w:adjustRightInd w:val="0"/>
              <w:rPr>
                <w:szCs w:val="21"/>
              </w:rPr>
            </w:pPr>
            <w:r>
              <w:t xml:space="preserve">　</w:t>
            </w:r>
          </w:p>
        </w:tc>
        <w:tc>
          <w:tcPr>
            <w:tcW w:w="1441" w:type="pct"/>
            <w:tcBorders>
              <w:top w:val="single" w:sz="4" w:space="0" w:color="auto"/>
              <w:left w:val="single" w:sz="4" w:space="0" w:color="auto"/>
              <w:bottom w:val="single" w:sz="4" w:space="0" w:color="auto"/>
              <w:right w:val="single" w:sz="4" w:space="0" w:color="auto"/>
            </w:tcBorders>
          </w:tcPr>
          <w:p w14:paraId="6BC989FD" w14:textId="77777777" w:rsidR="00E57DAA" w:rsidRDefault="00AC4185">
            <w:pPr>
              <w:autoSpaceDE w:val="0"/>
              <w:autoSpaceDN w:val="0"/>
              <w:adjustRightInd w:val="0"/>
              <w:rPr>
                <w:szCs w:val="21"/>
              </w:rPr>
            </w:pPr>
            <w:r>
              <w:t>其他关联方</w:t>
            </w:r>
          </w:p>
        </w:tc>
        <w:tc>
          <w:tcPr>
            <w:tcW w:w="633" w:type="pct"/>
            <w:tcBorders>
              <w:top w:val="single" w:sz="4" w:space="0" w:color="auto"/>
              <w:left w:val="single" w:sz="4" w:space="0" w:color="auto"/>
              <w:bottom w:val="single" w:sz="4" w:space="0" w:color="auto"/>
              <w:right w:val="single" w:sz="4" w:space="0" w:color="auto"/>
            </w:tcBorders>
          </w:tcPr>
          <w:p w14:paraId="2DBF94D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29BCCA9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4AB5440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6FF57FF" w14:textId="77777777" w:rsidR="00E57DAA" w:rsidRDefault="00AC4185">
            <w:pPr>
              <w:autoSpaceDE w:val="0"/>
              <w:autoSpaceDN w:val="0"/>
              <w:adjustRightInd w:val="0"/>
              <w:jc w:val="right"/>
              <w:rPr>
                <w:szCs w:val="21"/>
              </w:rPr>
            </w:pPr>
            <w:r>
              <w:t xml:space="preserve">　</w:t>
            </w:r>
          </w:p>
        </w:tc>
      </w:tr>
      <w:tr w:rsidR="00E57DAA" w14:paraId="579F1B20" w14:textId="77777777">
        <w:tc>
          <w:tcPr>
            <w:tcW w:w="677" w:type="pct"/>
            <w:tcBorders>
              <w:top w:val="single" w:sz="4" w:space="0" w:color="auto"/>
              <w:left w:val="single" w:sz="4" w:space="0" w:color="auto"/>
              <w:bottom w:val="single" w:sz="4" w:space="0" w:color="auto"/>
              <w:right w:val="single" w:sz="4" w:space="0" w:color="auto"/>
            </w:tcBorders>
            <w:vAlign w:val="center"/>
          </w:tcPr>
          <w:p w14:paraId="1AEAA2B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6703BDD" w14:textId="77777777" w:rsidR="00E57DAA" w:rsidRDefault="00AC4185">
            <w:pPr>
              <w:autoSpaceDE w:val="0"/>
              <w:autoSpaceDN w:val="0"/>
              <w:adjustRightInd w:val="0"/>
              <w:rPr>
                <w:szCs w:val="21"/>
              </w:rPr>
            </w:pPr>
            <w:r>
              <w:t>拉萨城投祁连山水泥有限公司</w:t>
            </w:r>
          </w:p>
        </w:tc>
        <w:tc>
          <w:tcPr>
            <w:tcW w:w="633" w:type="pct"/>
            <w:tcBorders>
              <w:top w:val="single" w:sz="4" w:space="0" w:color="auto"/>
              <w:left w:val="single" w:sz="4" w:space="0" w:color="auto"/>
              <w:bottom w:val="single" w:sz="4" w:space="0" w:color="auto"/>
              <w:right w:val="single" w:sz="4" w:space="0" w:color="auto"/>
            </w:tcBorders>
          </w:tcPr>
          <w:p w14:paraId="0AB565C7" w14:textId="77777777" w:rsidR="00E57DAA" w:rsidRDefault="00AC4185">
            <w:pPr>
              <w:autoSpaceDE w:val="0"/>
              <w:autoSpaceDN w:val="0"/>
              <w:adjustRightInd w:val="0"/>
              <w:jc w:val="right"/>
              <w:rPr>
                <w:szCs w:val="21"/>
              </w:rPr>
            </w:pPr>
            <w:r>
              <w:t>63,755,466.15</w:t>
            </w:r>
          </w:p>
        </w:tc>
        <w:tc>
          <w:tcPr>
            <w:tcW w:w="632" w:type="pct"/>
            <w:tcBorders>
              <w:top w:val="single" w:sz="4" w:space="0" w:color="auto"/>
              <w:left w:val="single" w:sz="4" w:space="0" w:color="auto"/>
              <w:bottom w:val="single" w:sz="4" w:space="0" w:color="auto"/>
              <w:right w:val="single" w:sz="4" w:space="0" w:color="auto"/>
            </w:tcBorders>
          </w:tcPr>
          <w:p w14:paraId="6C0E4A9F" w14:textId="77777777" w:rsidR="00E57DAA" w:rsidRDefault="00AC4185">
            <w:pPr>
              <w:autoSpaceDE w:val="0"/>
              <w:autoSpaceDN w:val="0"/>
              <w:adjustRightInd w:val="0"/>
              <w:jc w:val="right"/>
              <w:rPr>
                <w:szCs w:val="21"/>
              </w:rPr>
            </w:pPr>
            <w:r>
              <w:t>2,122,496.02</w:t>
            </w:r>
          </w:p>
        </w:tc>
        <w:tc>
          <w:tcPr>
            <w:tcW w:w="703" w:type="pct"/>
            <w:tcBorders>
              <w:top w:val="single" w:sz="4" w:space="0" w:color="auto"/>
              <w:left w:val="single" w:sz="4" w:space="0" w:color="auto"/>
              <w:bottom w:val="single" w:sz="4" w:space="0" w:color="auto"/>
              <w:right w:val="single" w:sz="4" w:space="0" w:color="auto"/>
            </w:tcBorders>
          </w:tcPr>
          <w:p w14:paraId="7B51B2F7" w14:textId="77777777" w:rsidR="00E57DAA" w:rsidRDefault="00AC4185">
            <w:pPr>
              <w:autoSpaceDE w:val="0"/>
              <w:autoSpaceDN w:val="0"/>
              <w:adjustRightInd w:val="0"/>
              <w:jc w:val="right"/>
              <w:rPr>
                <w:szCs w:val="21"/>
              </w:rPr>
            </w:pPr>
            <w:r>
              <w:t>65,061,737.93</w:t>
            </w:r>
          </w:p>
        </w:tc>
        <w:tc>
          <w:tcPr>
            <w:tcW w:w="914" w:type="pct"/>
            <w:tcBorders>
              <w:top w:val="single" w:sz="4" w:space="0" w:color="auto"/>
              <w:left w:val="single" w:sz="4" w:space="0" w:color="auto"/>
              <w:bottom w:val="single" w:sz="4" w:space="0" w:color="auto"/>
              <w:right w:val="single" w:sz="4" w:space="0" w:color="auto"/>
            </w:tcBorders>
          </w:tcPr>
          <w:p w14:paraId="084B9BA7" w14:textId="77777777" w:rsidR="00E57DAA" w:rsidRDefault="00AC4185">
            <w:pPr>
              <w:autoSpaceDE w:val="0"/>
              <w:autoSpaceDN w:val="0"/>
              <w:adjustRightInd w:val="0"/>
              <w:jc w:val="right"/>
              <w:rPr>
                <w:szCs w:val="21"/>
              </w:rPr>
            </w:pPr>
            <w:r>
              <w:t>1,776,185.45</w:t>
            </w:r>
          </w:p>
        </w:tc>
      </w:tr>
      <w:tr w:rsidR="00E57DAA" w14:paraId="7C0075FC" w14:textId="77777777">
        <w:tc>
          <w:tcPr>
            <w:tcW w:w="677" w:type="pct"/>
            <w:tcBorders>
              <w:top w:val="single" w:sz="4" w:space="0" w:color="auto"/>
              <w:left w:val="single" w:sz="4" w:space="0" w:color="auto"/>
              <w:bottom w:val="single" w:sz="4" w:space="0" w:color="auto"/>
              <w:right w:val="single" w:sz="4" w:space="0" w:color="auto"/>
            </w:tcBorders>
            <w:vAlign w:val="center"/>
          </w:tcPr>
          <w:p w14:paraId="0DE0831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91151AE" w14:textId="77777777" w:rsidR="00E57DAA" w:rsidRDefault="00AC4185">
            <w:pPr>
              <w:autoSpaceDE w:val="0"/>
              <w:autoSpaceDN w:val="0"/>
              <w:adjustRightInd w:val="0"/>
              <w:rPr>
                <w:szCs w:val="21"/>
              </w:rPr>
            </w:pPr>
            <w:r>
              <w:t>山东泉兴水泥有限公司</w:t>
            </w:r>
          </w:p>
        </w:tc>
        <w:tc>
          <w:tcPr>
            <w:tcW w:w="633" w:type="pct"/>
            <w:tcBorders>
              <w:top w:val="single" w:sz="4" w:space="0" w:color="auto"/>
              <w:left w:val="single" w:sz="4" w:space="0" w:color="auto"/>
              <w:bottom w:val="single" w:sz="4" w:space="0" w:color="auto"/>
              <w:right w:val="single" w:sz="4" w:space="0" w:color="auto"/>
            </w:tcBorders>
          </w:tcPr>
          <w:p w14:paraId="287781FD" w14:textId="77777777" w:rsidR="00E57DAA" w:rsidRDefault="00AC4185">
            <w:pPr>
              <w:autoSpaceDE w:val="0"/>
              <w:autoSpaceDN w:val="0"/>
              <w:adjustRightInd w:val="0"/>
              <w:jc w:val="right"/>
              <w:rPr>
                <w:szCs w:val="21"/>
              </w:rPr>
            </w:pPr>
            <w:r>
              <w:t>17,105,376.83</w:t>
            </w:r>
          </w:p>
        </w:tc>
        <w:tc>
          <w:tcPr>
            <w:tcW w:w="632" w:type="pct"/>
            <w:tcBorders>
              <w:top w:val="single" w:sz="4" w:space="0" w:color="auto"/>
              <w:left w:val="single" w:sz="4" w:space="0" w:color="auto"/>
              <w:bottom w:val="single" w:sz="4" w:space="0" w:color="auto"/>
              <w:right w:val="single" w:sz="4" w:space="0" w:color="auto"/>
            </w:tcBorders>
          </w:tcPr>
          <w:p w14:paraId="0BC29178" w14:textId="77777777" w:rsidR="00E57DAA" w:rsidRDefault="00AC4185">
            <w:pPr>
              <w:autoSpaceDE w:val="0"/>
              <w:autoSpaceDN w:val="0"/>
              <w:adjustRightInd w:val="0"/>
              <w:jc w:val="right"/>
              <w:rPr>
                <w:szCs w:val="21"/>
              </w:rPr>
            </w:pPr>
            <w:r>
              <w:t>405,397.43</w:t>
            </w:r>
          </w:p>
        </w:tc>
        <w:tc>
          <w:tcPr>
            <w:tcW w:w="703" w:type="pct"/>
            <w:tcBorders>
              <w:top w:val="single" w:sz="4" w:space="0" w:color="auto"/>
              <w:left w:val="single" w:sz="4" w:space="0" w:color="auto"/>
              <w:bottom w:val="single" w:sz="4" w:space="0" w:color="auto"/>
              <w:right w:val="single" w:sz="4" w:space="0" w:color="auto"/>
            </w:tcBorders>
          </w:tcPr>
          <w:p w14:paraId="425351CE"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17621EF" w14:textId="77777777" w:rsidR="00E57DAA" w:rsidRDefault="00AC4185">
            <w:pPr>
              <w:autoSpaceDE w:val="0"/>
              <w:autoSpaceDN w:val="0"/>
              <w:adjustRightInd w:val="0"/>
              <w:jc w:val="right"/>
              <w:rPr>
                <w:szCs w:val="21"/>
              </w:rPr>
            </w:pPr>
            <w:r>
              <w:t xml:space="preserve">　</w:t>
            </w:r>
          </w:p>
        </w:tc>
      </w:tr>
      <w:tr w:rsidR="00E57DAA" w14:paraId="32216FA6" w14:textId="77777777">
        <w:tc>
          <w:tcPr>
            <w:tcW w:w="677" w:type="pct"/>
            <w:tcBorders>
              <w:top w:val="single" w:sz="4" w:space="0" w:color="auto"/>
              <w:left w:val="single" w:sz="4" w:space="0" w:color="auto"/>
              <w:bottom w:val="single" w:sz="4" w:space="0" w:color="auto"/>
              <w:right w:val="single" w:sz="4" w:space="0" w:color="auto"/>
            </w:tcBorders>
            <w:vAlign w:val="center"/>
          </w:tcPr>
          <w:p w14:paraId="38BB2C2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F9A75E9" w14:textId="77777777" w:rsidR="00E57DAA" w:rsidRDefault="00AC4185">
            <w:pPr>
              <w:autoSpaceDE w:val="0"/>
              <w:autoSpaceDN w:val="0"/>
              <w:adjustRightInd w:val="0"/>
              <w:rPr>
                <w:szCs w:val="21"/>
              </w:rPr>
            </w:pPr>
            <w:r>
              <w:t>江苏金峰水泥集团有限公司</w:t>
            </w:r>
          </w:p>
        </w:tc>
        <w:tc>
          <w:tcPr>
            <w:tcW w:w="633" w:type="pct"/>
            <w:tcBorders>
              <w:top w:val="single" w:sz="4" w:space="0" w:color="auto"/>
              <w:left w:val="single" w:sz="4" w:space="0" w:color="auto"/>
              <w:bottom w:val="single" w:sz="4" w:space="0" w:color="auto"/>
              <w:right w:val="single" w:sz="4" w:space="0" w:color="auto"/>
            </w:tcBorders>
          </w:tcPr>
          <w:p w14:paraId="63AA7B5B" w14:textId="77777777" w:rsidR="00E57DAA" w:rsidRDefault="00AC4185">
            <w:pPr>
              <w:autoSpaceDE w:val="0"/>
              <w:autoSpaceDN w:val="0"/>
              <w:adjustRightInd w:val="0"/>
              <w:jc w:val="right"/>
              <w:rPr>
                <w:szCs w:val="21"/>
              </w:rPr>
            </w:pPr>
            <w:r>
              <w:t>8,630,724.42</w:t>
            </w:r>
          </w:p>
        </w:tc>
        <w:tc>
          <w:tcPr>
            <w:tcW w:w="632" w:type="pct"/>
            <w:tcBorders>
              <w:top w:val="single" w:sz="4" w:space="0" w:color="auto"/>
              <w:left w:val="single" w:sz="4" w:space="0" w:color="auto"/>
              <w:bottom w:val="single" w:sz="4" w:space="0" w:color="auto"/>
              <w:right w:val="single" w:sz="4" w:space="0" w:color="auto"/>
            </w:tcBorders>
          </w:tcPr>
          <w:p w14:paraId="1E4B3AE3" w14:textId="77777777" w:rsidR="00E57DAA" w:rsidRDefault="00AC4185">
            <w:pPr>
              <w:autoSpaceDE w:val="0"/>
              <w:autoSpaceDN w:val="0"/>
              <w:adjustRightInd w:val="0"/>
              <w:jc w:val="right"/>
              <w:rPr>
                <w:szCs w:val="21"/>
              </w:rPr>
            </w:pPr>
            <w:r>
              <w:t>72,498.09</w:t>
            </w:r>
          </w:p>
        </w:tc>
        <w:tc>
          <w:tcPr>
            <w:tcW w:w="703" w:type="pct"/>
            <w:tcBorders>
              <w:top w:val="single" w:sz="4" w:space="0" w:color="auto"/>
              <w:left w:val="single" w:sz="4" w:space="0" w:color="auto"/>
              <w:bottom w:val="single" w:sz="4" w:space="0" w:color="auto"/>
              <w:right w:val="single" w:sz="4" w:space="0" w:color="auto"/>
            </w:tcBorders>
          </w:tcPr>
          <w:p w14:paraId="471ECE5C" w14:textId="77777777" w:rsidR="00E57DAA" w:rsidRDefault="00AC4185">
            <w:pPr>
              <w:autoSpaceDE w:val="0"/>
              <w:autoSpaceDN w:val="0"/>
              <w:adjustRightInd w:val="0"/>
              <w:jc w:val="right"/>
              <w:rPr>
                <w:szCs w:val="21"/>
              </w:rPr>
            </w:pPr>
            <w:r>
              <w:t>25,164,123.58</w:t>
            </w:r>
          </w:p>
        </w:tc>
        <w:tc>
          <w:tcPr>
            <w:tcW w:w="914" w:type="pct"/>
            <w:tcBorders>
              <w:top w:val="single" w:sz="4" w:space="0" w:color="auto"/>
              <w:left w:val="single" w:sz="4" w:space="0" w:color="auto"/>
              <w:bottom w:val="single" w:sz="4" w:space="0" w:color="auto"/>
              <w:right w:val="single" w:sz="4" w:space="0" w:color="auto"/>
            </w:tcBorders>
          </w:tcPr>
          <w:p w14:paraId="03DF8C99" w14:textId="77777777" w:rsidR="00E57DAA" w:rsidRDefault="00AC4185">
            <w:pPr>
              <w:autoSpaceDE w:val="0"/>
              <w:autoSpaceDN w:val="0"/>
              <w:adjustRightInd w:val="0"/>
              <w:jc w:val="right"/>
              <w:rPr>
                <w:szCs w:val="21"/>
              </w:rPr>
            </w:pPr>
            <w:r>
              <w:t>264,223.30</w:t>
            </w:r>
          </w:p>
        </w:tc>
      </w:tr>
      <w:tr w:rsidR="00E57DAA" w14:paraId="3ED40746" w14:textId="77777777">
        <w:tc>
          <w:tcPr>
            <w:tcW w:w="677" w:type="pct"/>
            <w:tcBorders>
              <w:top w:val="single" w:sz="4" w:space="0" w:color="auto"/>
              <w:left w:val="single" w:sz="4" w:space="0" w:color="auto"/>
              <w:bottom w:val="single" w:sz="4" w:space="0" w:color="auto"/>
              <w:right w:val="single" w:sz="4" w:space="0" w:color="auto"/>
            </w:tcBorders>
            <w:vAlign w:val="center"/>
          </w:tcPr>
          <w:p w14:paraId="47C4F145"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968C638" w14:textId="77777777" w:rsidR="00E57DAA" w:rsidRDefault="00AC4185">
            <w:pPr>
              <w:autoSpaceDE w:val="0"/>
              <w:autoSpaceDN w:val="0"/>
              <w:adjustRightInd w:val="0"/>
              <w:rPr>
                <w:szCs w:val="21"/>
              </w:rPr>
            </w:pPr>
            <w:r>
              <w:t>山东申丰水泥集团有限公司</w:t>
            </w:r>
          </w:p>
        </w:tc>
        <w:tc>
          <w:tcPr>
            <w:tcW w:w="633" w:type="pct"/>
            <w:tcBorders>
              <w:top w:val="single" w:sz="4" w:space="0" w:color="auto"/>
              <w:left w:val="single" w:sz="4" w:space="0" w:color="auto"/>
              <w:bottom w:val="single" w:sz="4" w:space="0" w:color="auto"/>
              <w:right w:val="single" w:sz="4" w:space="0" w:color="auto"/>
            </w:tcBorders>
          </w:tcPr>
          <w:p w14:paraId="73895098" w14:textId="77777777" w:rsidR="00E57DAA" w:rsidRDefault="00AC4185">
            <w:pPr>
              <w:autoSpaceDE w:val="0"/>
              <w:autoSpaceDN w:val="0"/>
              <w:adjustRightInd w:val="0"/>
              <w:jc w:val="right"/>
              <w:rPr>
                <w:szCs w:val="21"/>
              </w:rPr>
            </w:pPr>
            <w:r>
              <w:t>7,215,833.12</w:t>
            </w:r>
          </w:p>
        </w:tc>
        <w:tc>
          <w:tcPr>
            <w:tcW w:w="632" w:type="pct"/>
            <w:tcBorders>
              <w:top w:val="single" w:sz="4" w:space="0" w:color="auto"/>
              <w:left w:val="single" w:sz="4" w:space="0" w:color="auto"/>
              <w:bottom w:val="single" w:sz="4" w:space="0" w:color="auto"/>
              <w:right w:val="single" w:sz="4" w:space="0" w:color="auto"/>
            </w:tcBorders>
          </w:tcPr>
          <w:p w14:paraId="75E5D9E4" w14:textId="77777777" w:rsidR="00E57DAA" w:rsidRDefault="00AC4185">
            <w:pPr>
              <w:autoSpaceDE w:val="0"/>
              <w:autoSpaceDN w:val="0"/>
              <w:adjustRightInd w:val="0"/>
              <w:jc w:val="right"/>
              <w:rPr>
                <w:szCs w:val="21"/>
              </w:rPr>
            </w:pPr>
            <w:r>
              <w:t>171,015.24</w:t>
            </w:r>
          </w:p>
        </w:tc>
        <w:tc>
          <w:tcPr>
            <w:tcW w:w="703" w:type="pct"/>
            <w:tcBorders>
              <w:top w:val="single" w:sz="4" w:space="0" w:color="auto"/>
              <w:left w:val="single" w:sz="4" w:space="0" w:color="auto"/>
              <w:bottom w:val="single" w:sz="4" w:space="0" w:color="auto"/>
              <w:right w:val="single" w:sz="4" w:space="0" w:color="auto"/>
            </w:tcBorders>
          </w:tcPr>
          <w:p w14:paraId="0DE4F7A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3FD1324" w14:textId="77777777" w:rsidR="00E57DAA" w:rsidRDefault="00AC4185">
            <w:pPr>
              <w:autoSpaceDE w:val="0"/>
              <w:autoSpaceDN w:val="0"/>
              <w:adjustRightInd w:val="0"/>
              <w:jc w:val="right"/>
              <w:rPr>
                <w:szCs w:val="21"/>
              </w:rPr>
            </w:pPr>
            <w:r>
              <w:t xml:space="preserve">　</w:t>
            </w:r>
          </w:p>
        </w:tc>
      </w:tr>
      <w:tr w:rsidR="00E57DAA" w14:paraId="28CBD957" w14:textId="77777777">
        <w:tc>
          <w:tcPr>
            <w:tcW w:w="677" w:type="pct"/>
            <w:tcBorders>
              <w:top w:val="single" w:sz="4" w:space="0" w:color="auto"/>
              <w:left w:val="single" w:sz="4" w:space="0" w:color="auto"/>
              <w:bottom w:val="single" w:sz="4" w:space="0" w:color="auto"/>
              <w:right w:val="single" w:sz="4" w:space="0" w:color="auto"/>
            </w:tcBorders>
            <w:vAlign w:val="center"/>
          </w:tcPr>
          <w:p w14:paraId="6727CEEF"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D3AA41A" w14:textId="77777777" w:rsidR="00E57DAA" w:rsidRDefault="00AC4185">
            <w:pPr>
              <w:autoSpaceDE w:val="0"/>
              <w:autoSpaceDN w:val="0"/>
              <w:adjustRightInd w:val="0"/>
              <w:rPr>
                <w:szCs w:val="21"/>
              </w:rPr>
            </w:pPr>
            <w:r>
              <w:t>安徽珍珠水泥集团股份有限公司</w:t>
            </w:r>
          </w:p>
        </w:tc>
        <w:tc>
          <w:tcPr>
            <w:tcW w:w="633" w:type="pct"/>
            <w:tcBorders>
              <w:top w:val="single" w:sz="4" w:space="0" w:color="auto"/>
              <w:left w:val="single" w:sz="4" w:space="0" w:color="auto"/>
              <w:bottom w:val="single" w:sz="4" w:space="0" w:color="auto"/>
              <w:right w:val="single" w:sz="4" w:space="0" w:color="auto"/>
            </w:tcBorders>
          </w:tcPr>
          <w:p w14:paraId="4DB66E42" w14:textId="77777777" w:rsidR="00E57DAA" w:rsidRDefault="00AC4185">
            <w:pPr>
              <w:autoSpaceDE w:val="0"/>
              <w:autoSpaceDN w:val="0"/>
              <w:adjustRightInd w:val="0"/>
              <w:jc w:val="right"/>
              <w:rPr>
                <w:szCs w:val="21"/>
              </w:rPr>
            </w:pPr>
            <w:r>
              <w:t>2,704,580.00</w:t>
            </w:r>
          </w:p>
        </w:tc>
        <w:tc>
          <w:tcPr>
            <w:tcW w:w="632" w:type="pct"/>
            <w:tcBorders>
              <w:top w:val="single" w:sz="4" w:space="0" w:color="auto"/>
              <w:left w:val="single" w:sz="4" w:space="0" w:color="auto"/>
              <w:bottom w:val="single" w:sz="4" w:space="0" w:color="auto"/>
              <w:right w:val="single" w:sz="4" w:space="0" w:color="auto"/>
            </w:tcBorders>
          </w:tcPr>
          <w:p w14:paraId="6AB0BAB5" w14:textId="77777777" w:rsidR="00E57DAA" w:rsidRDefault="00AC4185">
            <w:pPr>
              <w:autoSpaceDE w:val="0"/>
              <w:autoSpaceDN w:val="0"/>
              <w:adjustRightInd w:val="0"/>
              <w:jc w:val="right"/>
              <w:rPr>
                <w:szCs w:val="21"/>
              </w:rPr>
            </w:pPr>
            <w:r>
              <w:t>161,518.00</w:t>
            </w:r>
          </w:p>
        </w:tc>
        <w:tc>
          <w:tcPr>
            <w:tcW w:w="703" w:type="pct"/>
            <w:tcBorders>
              <w:top w:val="single" w:sz="4" w:space="0" w:color="auto"/>
              <w:left w:val="single" w:sz="4" w:space="0" w:color="auto"/>
              <w:bottom w:val="single" w:sz="4" w:space="0" w:color="auto"/>
              <w:right w:val="single" w:sz="4" w:space="0" w:color="auto"/>
            </w:tcBorders>
          </w:tcPr>
          <w:p w14:paraId="18F79EB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6E9016E9" w14:textId="77777777" w:rsidR="00E57DAA" w:rsidRDefault="00AC4185">
            <w:pPr>
              <w:autoSpaceDE w:val="0"/>
              <w:autoSpaceDN w:val="0"/>
              <w:adjustRightInd w:val="0"/>
              <w:jc w:val="right"/>
              <w:rPr>
                <w:szCs w:val="21"/>
              </w:rPr>
            </w:pPr>
            <w:r>
              <w:t xml:space="preserve">　</w:t>
            </w:r>
          </w:p>
        </w:tc>
      </w:tr>
      <w:tr w:rsidR="00E57DAA" w14:paraId="1B5B4AFF" w14:textId="77777777">
        <w:tc>
          <w:tcPr>
            <w:tcW w:w="677" w:type="pct"/>
            <w:tcBorders>
              <w:top w:val="single" w:sz="4" w:space="0" w:color="auto"/>
              <w:left w:val="single" w:sz="4" w:space="0" w:color="auto"/>
              <w:bottom w:val="single" w:sz="4" w:space="0" w:color="auto"/>
              <w:right w:val="single" w:sz="4" w:space="0" w:color="auto"/>
            </w:tcBorders>
            <w:vAlign w:val="center"/>
          </w:tcPr>
          <w:p w14:paraId="2F5D9947"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4CDF4E3" w14:textId="77777777" w:rsidR="00E57DAA" w:rsidRDefault="00AC4185">
            <w:pPr>
              <w:autoSpaceDE w:val="0"/>
              <w:autoSpaceDN w:val="0"/>
              <w:adjustRightInd w:val="0"/>
              <w:rPr>
                <w:szCs w:val="21"/>
              </w:rPr>
            </w:pPr>
            <w:r>
              <w:t>冀东水泥铜川有限公司</w:t>
            </w:r>
          </w:p>
        </w:tc>
        <w:tc>
          <w:tcPr>
            <w:tcW w:w="633" w:type="pct"/>
            <w:tcBorders>
              <w:top w:val="single" w:sz="4" w:space="0" w:color="auto"/>
              <w:left w:val="single" w:sz="4" w:space="0" w:color="auto"/>
              <w:bottom w:val="single" w:sz="4" w:space="0" w:color="auto"/>
              <w:right w:val="single" w:sz="4" w:space="0" w:color="auto"/>
            </w:tcBorders>
          </w:tcPr>
          <w:p w14:paraId="5C3875DD" w14:textId="77777777" w:rsidR="00E57DAA" w:rsidRDefault="00AC4185">
            <w:pPr>
              <w:autoSpaceDE w:val="0"/>
              <w:autoSpaceDN w:val="0"/>
              <w:adjustRightInd w:val="0"/>
              <w:jc w:val="right"/>
              <w:rPr>
                <w:szCs w:val="21"/>
              </w:rPr>
            </w:pPr>
            <w:r>
              <w:t>2,264,471.93</w:t>
            </w:r>
          </w:p>
        </w:tc>
        <w:tc>
          <w:tcPr>
            <w:tcW w:w="632" w:type="pct"/>
            <w:tcBorders>
              <w:top w:val="single" w:sz="4" w:space="0" w:color="auto"/>
              <w:left w:val="single" w:sz="4" w:space="0" w:color="auto"/>
              <w:bottom w:val="single" w:sz="4" w:space="0" w:color="auto"/>
              <w:right w:val="single" w:sz="4" w:space="0" w:color="auto"/>
            </w:tcBorders>
          </w:tcPr>
          <w:p w14:paraId="7D0E9179" w14:textId="77777777" w:rsidR="00E57DAA" w:rsidRDefault="00AC4185">
            <w:pPr>
              <w:autoSpaceDE w:val="0"/>
              <w:autoSpaceDN w:val="0"/>
              <w:adjustRightInd w:val="0"/>
              <w:jc w:val="right"/>
              <w:rPr>
                <w:szCs w:val="21"/>
              </w:rPr>
            </w:pPr>
            <w:r>
              <w:t>30,540.10</w:t>
            </w:r>
          </w:p>
        </w:tc>
        <w:tc>
          <w:tcPr>
            <w:tcW w:w="703" w:type="pct"/>
            <w:tcBorders>
              <w:top w:val="single" w:sz="4" w:space="0" w:color="auto"/>
              <w:left w:val="single" w:sz="4" w:space="0" w:color="auto"/>
              <w:bottom w:val="single" w:sz="4" w:space="0" w:color="auto"/>
              <w:right w:val="single" w:sz="4" w:space="0" w:color="auto"/>
            </w:tcBorders>
          </w:tcPr>
          <w:p w14:paraId="32EFC844"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33E2B58A" w14:textId="77777777" w:rsidR="00E57DAA" w:rsidRDefault="00AC4185">
            <w:pPr>
              <w:autoSpaceDE w:val="0"/>
              <w:autoSpaceDN w:val="0"/>
              <w:adjustRightInd w:val="0"/>
              <w:jc w:val="right"/>
              <w:rPr>
                <w:szCs w:val="21"/>
              </w:rPr>
            </w:pPr>
            <w:r>
              <w:t xml:space="preserve">　</w:t>
            </w:r>
          </w:p>
        </w:tc>
      </w:tr>
      <w:tr w:rsidR="00E57DAA" w14:paraId="0C193DC2" w14:textId="77777777">
        <w:tc>
          <w:tcPr>
            <w:tcW w:w="677" w:type="pct"/>
            <w:tcBorders>
              <w:top w:val="single" w:sz="4" w:space="0" w:color="auto"/>
              <w:left w:val="single" w:sz="4" w:space="0" w:color="auto"/>
              <w:bottom w:val="single" w:sz="4" w:space="0" w:color="auto"/>
              <w:right w:val="single" w:sz="4" w:space="0" w:color="auto"/>
            </w:tcBorders>
            <w:vAlign w:val="center"/>
          </w:tcPr>
          <w:p w14:paraId="1858E6A4"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594D86D" w14:textId="77777777" w:rsidR="00E57DAA" w:rsidRDefault="00AC4185">
            <w:pPr>
              <w:autoSpaceDE w:val="0"/>
              <w:autoSpaceDN w:val="0"/>
              <w:adjustRightInd w:val="0"/>
              <w:rPr>
                <w:szCs w:val="21"/>
              </w:rPr>
            </w:pPr>
            <w:r>
              <w:t>安丘山水水泥有限公司</w:t>
            </w:r>
          </w:p>
        </w:tc>
        <w:tc>
          <w:tcPr>
            <w:tcW w:w="633" w:type="pct"/>
            <w:tcBorders>
              <w:top w:val="single" w:sz="4" w:space="0" w:color="auto"/>
              <w:left w:val="single" w:sz="4" w:space="0" w:color="auto"/>
              <w:bottom w:val="single" w:sz="4" w:space="0" w:color="auto"/>
              <w:right w:val="single" w:sz="4" w:space="0" w:color="auto"/>
            </w:tcBorders>
          </w:tcPr>
          <w:p w14:paraId="5A3FA5F0" w14:textId="77777777" w:rsidR="00E57DAA" w:rsidRDefault="00AC4185">
            <w:pPr>
              <w:autoSpaceDE w:val="0"/>
              <w:autoSpaceDN w:val="0"/>
              <w:adjustRightInd w:val="0"/>
              <w:jc w:val="right"/>
              <w:rPr>
                <w:szCs w:val="21"/>
              </w:rPr>
            </w:pPr>
            <w:r>
              <w:t>2,108,435.10</w:t>
            </w:r>
          </w:p>
        </w:tc>
        <w:tc>
          <w:tcPr>
            <w:tcW w:w="632" w:type="pct"/>
            <w:tcBorders>
              <w:top w:val="single" w:sz="4" w:space="0" w:color="auto"/>
              <w:left w:val="single" w:sz="4" w:space="0" w:color="auto"/>
              <w:bottom w:val="single" w:sz="4" w:space="0" w:color="auto"/>
              <w:right w:val="single" w:sz="4" w:space="0" w:color="auto"/>
            </w:tcBorders>
          </w:tcPr>
          <w:p w14:paraId="56CDC7F2" w14:textId="77777777" w:rsidR="00E57DAA" w:rsidRDefault="00AC4185">
            <w:pPr>
              <w:autoSpaceDE w:val="0"/>
              <w:autoSpaceDN w:val="0"/>
              <w:adjustRightInd w:val="0"/>
              <w:jc w:val="right"/>
              <w:rPr>
                <w:szCs w:val="21"/>
              </w:rPr>
            </w:pPr>
            <w:r>
              <w:t>49,969.91</w:t>
            </w:r>
          </w:p>
        </w:tc>
        <w:tc>
          <w:tcPr>
            <w:tcW w:w="703" w:type="pct"/>
            <w:tcBorders>
              <w:top w:val="single" w:sz="4" w:space="0" w:color="auto"/>
              <w:left w:val="single" w:sz="4" w:space="0" w:color="auto"/>
              <w:bottom w:val="single" w:sz="4" w:space="0" w:color="auto"/>
              <w:right w:val="single" w:sz="4" w:space="0" w:color="auto"/>
            </w:tcBorders>
          </w:tcPr>
          <w:p w14:paraId="2F7C6E00"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394BCBB" w14:textId="77777777" w:rsidR="00E57DAA" w:rsidRDefault="00AC4185">
            <w:pPr>
              <w:autoSpaceDE w:val="0"/>
              <w:autoSpaceDN w:val="0"/>
              <w:adjustRightInd w:val="0"/>
              <w:jc w:val="right"/>
              <w:rPr>
                <w:szCs w:val="21"/>
              </w:rPr>
            </w:pPr>
            <w:r>
              <w:t xml:space="preserve">　</w:t>
            </w:r>
          </w:p>
        </w:tc>
      </w:tr>
      <w:tr w:rsidR="00E57DAA" w14:paraId="1434FC45" w14:textId="77777777">
        <w:tc>
          <w:tcPr>
            <w:tcW w:w="677" w:type="pct"/>
            <w:tcBorders>
              <w:top w:val="single" w:sz="4" w:space="0" w:color="auto"/>
              <w:left w:val="single" w:sz="4" w:space="0" w:color="auto"/>
              <w:bottom w:val="single" w:sz="4" w:space="0" w:color="auto"/>
              <w:right w:val="single" w:sz="4" w:space="0" w:color="auto"/>
            </w:tcBorders>
            <w:vAlign w:val="center"/>
          </w:tcPr>
          <w:p w14:paraId="3F62FD90"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3A65F18" w14:textId="77777777" w:rsidR="00E57DAA" w:rsidRDefault="00AC4185">
            <w:pPr>
              <w:autoSpaceDE w:val="0"/>
              <w:autoSpaceDN w:val="0"/>
              <w:adjustRightInd w:val="0"/>
              <w:rPr>
                <w:szCs w:val="21"/>
              </w:rPr>
            </w:pPr>
            <w:r>
              <w:t>芜湖南方水泥有限公司</w:t>
            </w:r>
          </w:p>
        </w:tc>
        <w:tc>
          <w:tcPr>
            <w:tcW w:w="633" w:type="pct"/>
            <w:tcBorders>
              <w:top w:val="single" w:sz="4" w:space="0" w:color="auto"/>
              <w:left w:val="single" w:sz="4" w:space="0" w:color="auto"/>
              <w:bottom w:val="single" w:sz="4" w:space="0" w:color="auto"/>
              <w:right w:val="single" w:sz="4" w:space="0" w:color="auto"/>
            </w:tcBorders>
          </w:tcPr>
          <w:p w14:paraId="309AF722" w14:textId="77777777" w:rsidR="00E57DAA" w:rsidRDefault="00AC4185">
            <w:pPr>
              <w:autoSpaceDE w:val="0"/>
              <w:autoSpaceDN w:val="0"/>
              <w:adjustRightInd w:val="0"/>
              <w:jc w:val="right"/>
              <w:rPr>
                <w:szCs w:val="21"/>
              </w:rPr>
            </w:pPr>
            <w:r>
              <w:t>1,296,000.02</w:t>
            </w:r>
          </w:p>
        </w:tc>
        <w:tc>
          <w:tcPr>
            <w:tcW w:w="632" w:type="pct"/>
            <w:tcBorders>
              <w:top w:val="single" w:sz="4" w:space="0" w:color="auto"/>
              <w:left w:val="single" w:sz="4" w:space="0" w:color="auto"/>
              <w:bottom w:val="single" w:sz="4" w:space="0" w:color="auto"/>
              <w:right w:val="single" w:sz="4" w:space="0" w:color="auto"/>
            </w:tcBorders>
          </w:tcPr>
          <w:p w14:paraId="44079DE8" w14:textId="77777777" w:rsidR="00E57DAA" w:rsidRDefault="00AC4185">
            <w:pPr>
              <w:autoSpaceDE w:val="0"/>
              <w:autoSpaceDN w:val="0"/>
              <w:adjustRightInd w:val="0"/>
              <w:jc w:val="right"/>
              <w:rPr>
                <w:szCs w:val="21"/>
              </w:rPr>
            </w:pPr>
            <w:r>
              <w:t>193,839.99</w:t>
            </w:r>
          </w:p>
        </w:tc>
        <w:tc>
          <w:tcPr>
            <w:tcW w:w="703" w:type="pct"/>
            <w:tcBorders>
              <w:top w:val="single" w:sz="4" w:space="0" w:color="auto"/>
              <w:left w:val="single" w:sz="4" w:space="0" w:color="auto"/>
              <w:bottom w:val="single" w:sz="4" w:space="0" w:color="auto"/>
              <w:right w:val="single" w:sz="4" w:space="0" w:color="auto"/>
            </w:tcBorders>
          </w:tcPr>
          <w:p w14:paraId="73419CDA" w14:textId="77777777" w:rsidR="00E57DAA" w:rsidRDefault="00AC4185">
            <w:pPr>
              <w:autoSpaceDE w:val="0"/>
              <w:autoSpaceDN w:val="0"/>
              <w:adjustRightInd w:val="0"/>
              <w:jc w:val="right"/>
              <w:rPr>
                <w:szCs w:val="21"/>
              </w:rPr>
            </w:pPr>
            <w:r>
              <w:t>90,233,053.27</w:t>
            </w:r>
          </w:p>
        </w:tc>
        <w:tc>
          <w:tcPr>
            <w:tcW w:w="914" w:type="pct"/>
            <w:tcBorders>
              <w:top w:val="single" w:sz="4" w:space="0" w:color="auto"/>
              <w:left w:val="single" w:sz="4" w:space="0" w:color="auto"/>
              <w:bottom w:val="single" w:sz="4" w:space="0" w:color="auto"/>
              <w:right w:val="single" w:sz="4" w:space="0" w:color="auto"/>
            </w:tcBorders>
          </w:tcPr>
          <w:p w14:paraId="372B53A7" w14:textId="77777777" w:rsidR="00E57DAA" w:rsidRDefault="00AC4185">
            <w:pPr>
              <w:autoSpaceDE w:val="0"/>
              <w:autoSpaceDN w:val="0"/>
              <w:adjustRightInd w:val="0"/>
              <w:jc w:val="right"/>
              <w:rPr>
                <w:szCs w:val="21"/>
              </w:rPr>
            </w:pPr>
            <w:r>
              <w:t>6,511,652.66</w:t>
            </w:r>
          </w:p>
        </w:tc>
      </w:tr>
      <w:tr w:rsidR="00E57DAA" w14:paraId="7AE0EEC5" w14:textId="77777777">
        <w:tc>
          <w:tcPr>
            <w:tcW w:w="677" w:type="pct"/>
            <w:tcBorders>
              <w:top w:val="single" w:sz="4" w:space="0" w:color="auto"/>
              <w:left w:val="single" w:sz="4" w:space="0" w:color="auto"/>
              <w:bottom w:val="single" w:sz="4" w:space="0" w:color="auto"/>
              <w:right w:val="single" w:sz="4" w:space="0" w:color="auto"/>
            </w:tcBorders>
            <w:vAlign w:val="center"/>
          </w:tcPr>
          <w:p w14:paraId="4FBEAB4C" w14:textId="77777777" w:rsidR="00E57DAA" w:rsidRDefault="00AC4185">
            <w:pPr>
              <w:autoSpaceDE w:val="0"/>
              <w:autoSpaceDN w:val="0"/>
              <w:adjustRightInd w:val="0"/>
              <w:rPr>
                <w:szCs w:val="21"/>
              </w:rPr>
            </w:pPr>
            <w:r>
              <w:lastRenderedPageBreak/>
              <w:t>合同资产</w:t>
            </w:r>
          </w:p>
        </w:tc>
        <w:tc>
          <w:tcPr>
            <w:tcW w:w="1441" w:type="pct"/>
            <w:tcBorders>
              <w:top w:val="single" w:sz="4" w:space="0" w:color="auto"/>
              <w:left w:val="single" w:sz="4" w:space="0" w:color="auto"/>
              <w:bottom w:val="single" w:sz="4" w:space="0" w:color="auto"/>
              <w:right w:val="single" w:sz="4" w:space="0" w:color="auto"/>
            </w:tcBorders>
          </w:tcPr>
          <w:p w14:paraId="60BE6058" w14:textId="77777777" w:rsidR="00E57DAA" w:rsidRDefault="00AC4185">
            <w:pPr>
              <w:autoSpaceDE w:val="0"/>
              <w:autoSpaceDN w:val="0"/>
              <w:adjustRightInd w:val="0"/>
              <w:rPr>
                <w:szCs w:val="21"/>
              </w:rPr>
            </w:pPr>
            <w:r>
              <w:t>邯郸涉县金隅水泥有限公司</w:t>
            </w:r>
          </w:p>
        </w:tc>
        <w:tc>
          <w:tcPr>
            <w:tcW w:w="633" w:type="pct"/>
            <w:tcBorders>
              <w:top w:val="single" w:sz="4" w:space="0" w:color="auto"/>
              <w:left w:val="single" w:sz="4" w:space="0" w:color="auto"/>
              <w:bottom w:val="single" w:sz="4" w:space="0" w:color="auto"/>
              <w:right w:val="single" w:sz="4" w:space="0" w:color="auto"/>
            </w:tcBorders>
          </w:tcPr>
          <w:p w14:paraId="0282F2BA" w14:textId="77777777" w:rsidR="00E57DAA" w:rsidRDefault="00AC4185">
            <w:pPr>
              <w:autoSpaceDE w:val="0"/>
              <w:autoSpaceDN w:val="0"/>
              <w:adjustRightInd w:val="0"/>
              <w:jc w:val="right"/>
              <w:rPr>
                <w:szCs w:val="21"/>
              </w:rPr>
            </w:pPr>
            <w:r>
              <w:t>1,095,412.84</w:t>
            </w:r>
          </w:p>
        </w:tc>
        <w:tc>
          <w:tcPr>
            <w:tcW w:w="632" w:type="pct"/>
            <w:tcBorders>
              <w:top w:val="single" w:sz="4" w:space="0" w:color="auto"/>
              <w:left w:val="single" w:sz="4" w:space="0" w:color="auto"/>
              <w:bottom w:val="single" w:sz="4" w:space="0" w:color="auto"/>
              <w:right w:val="single" w:sz="4" w:space="0" w:color="auto"/>
            </w:tcBorders>
          </w:tcPr>
          <w:p w14:paraId="74A68C7A" w14:textId="77777777" w:rsidR="00E57DAA" w:rsidRDefault="00AC4185">
            <w:pPr>
              <w:autoSpaceDE w:val="0"/>
              <w:autoSpaceDN w:val="0"/>
              <w:adjustRightInd w:val="0"/>
              <w:jc w:val="right"/>
              <w:rPr>
                <w:szCs w:val="21"/>
              </w:rPr>
            </w:pPr>
            <w:r>
              <w:t>9,201.47</w:t>
            </w:r>
          </w:p>
        </w:tc>
        <w:tc>
          <w:tcPr>
            <w:tcW w:w="703" w:type="pct"/>
            <w:tcBorders>
              <w:top w:val="single" w:sz="4" w:space="0" w:color="auto"/>
              <w:left w:val="single" w:sz="4" w:space="0" w:color="auto"/>
              <w:bottom w:val="single" w:sz="4" w:space="0" w:color="auto"/>
              <w:right w:val="single" w:sz="4" w:space="0" w:color="auto"/>
            </w:tcBorders>
          </w:tcPr>
          <w:p w14:paraId="34682C65"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1B7BE3DA" w14:textId="77777777" w:rsidR="00E57DAA" w:rsidRDefault="00AC4185">
            <w:pPr>
              <w:autoSpaceDE w:val="0"/>
              <w:autoSpaceDN w:val="0"/>
              <w:adjustRightInd w:val="0"/>
              <w:jc w:val="right"/>
              <w:rPr>
                <w:szCs w:val="21"/>
              </w:rPr>
            </w:pPr>
            <w:r>
              <w:t xml:space="preserve">　</w:t>
            </w:r>
          </w:p>
        </w:tc>
      </w:tr>
      <w:tr w:rsidR="00E57DAA" w14:paraId="343B54AA" w14:textId="77777777">
        <w:tc>
          <w:tcPr>
            <w:tcW w:w="677" w:type="pct"/>
            <w:tcBorders>
              <w:top w:val="single" w:sz="4" w:space="0" w:color="auto"/>
              <w:left w:val="single" w:sz="4" w:space="0" w:color="auto"/>
              <w:bottom w:val="single" w:sz="4" w:space="0" w:color="auto"/>
              <w:right w:val="single" w:sz="4" w:space="0" w:color="auto"/>
            </w:tcBorders>
            <w:vAlign w:val="center"/>
          </w:tcPr>
          <w:p w14:paraId="2234EDD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394DE5E" w14:textId="77777777" w:rsidR="00E57DAA" w:rsidRDefault="00AC4185">
            <w:pPr>
              <w:autoSpaceDE w:val="0"/>
              <w:autoSpaceDN w:val="0"/>
              <w:adjustRightInd w:val="0"/>
              <w:rPr>
                <w:szCs w:val="21"/>
              </w:rPr>
            </w:pPr>
            <w:r>
              <w:t>赤峰山水远航水泥有限公司</w:t>
            </w:r>
          </w:p>
        </w:tc>
        <w:tc>
          <w:tcPr>
            <w:tcW w:w="633" w:type="pct"/>
            <w:tcBorders>
              <w:top w:val="single" w:sz="4" w:space="0" w:color="auto"/>
              <w:left w:val="single" w:sz="4" w:space="0" w:color="auto"/>
              <w:bottom w:val="single" w:sz="4" w:space="0" w:color="auto"/>
              <w:right w:val="single" w:sz="4" w:space="0" w:color="auto"/>
            </w:tcBorders>
          </w:tcPr>
          <w:p w14:paraId="61239BC1" w14:textId="77777777" w:rsidR="00E57DAA" w:rsidRDefault="00AC4185">
            <w:pPr>
              <w:autoSpaceDE w:val="0"/>
              <w:autoSpaceDN w:val="0"/>
              <w:adjustRightInd w:val="0"/>
              <w:jc w:val="right"/>
              <w:rPr>
                <w:szCs w:val="21"/>
              </w:rPr>
            </w:pPr>
            <w:r>
              <w:t>1,012,250.00</w:t>
            </w:r>
          </w:p>
        </w:tc>
        <w:tc>
          <w:tcPr>
            <w:tcW w:w="632" w:type="pct"/>
            <w:tcBorders>
              <w:top w:val="single" w:sz="4" w:space="0" w:color="auto"/>
              <w:left w:val="single" w:sz="4" w:space="0" w:color="auto"/>
              <w:bottom w:val="single" w:sz="4" w:space="0" w:color="auto"/>
              <w:right w:val="single" w:sz="4" w:space="0" w:color="auto"/>
            </w:tcBorders>
          </w:tcPr>
          <w:p w14:paraId="2E1B32A0" w14:textId="77777777" w:rsidR="00E57DAA" w:rsidRDefault="00AC4185">
            <w:pPr>
              <w:autoSpaceDE w:val="0"/>
              <w:autoSpaceDN w:val="0"/>
              <w:adjustRightInd w:val="0"/>
              <w:jc w:val="right"/>
              <w:rPr>
                <w:szCs w:val="21"/>
              </w:rPr>
            </w:pPr>
            <w:r>
              <w:t>37,008.83</w:t>
            </w:r>
          </w:p>
        </w:tc>
        <w:tc>
          <w:tcPr>
            <w:tcW w:w="703" w:type="pct"/>
            <w:tcBorders>
              <w:top w:val="single" w:sz="4" w:space="0" w:color="auto"/>
              <w:left w:val="single" w:sz="4" w:space="0" w:color="auto"/>
              <w:bottom w:val="single" w:sz="4" w:space="0" w:color="auto"/>
              <w:right w:val="single" w:sz="4" w:space="0" w:color="auto"/>
            </w:tcBorders>
          </w:tcPr>
          <w:p w14:paraId="6471F319"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0287F129" w14:textId="77777777" w:rsidR="00E57DAA" w:rsidRDefault="00AC4185">
            <w:pPr>
              <w:autoSpaceDE w:val="0"/>
              <w:autoSpaceDN w:val="0"/>
              <w:adjustRightInd w:val="0"/>
              <w:jc w:val="right"/>
              <w:rPr>
                <w:szCs w:val="21"/>
              </w:rPr>
            </w:pPr>
            <w:r>
              <w:t xml:space="preserve">　</w:t>
            </w:r>
          </w:p>
        </w:tc>
      </w:tr>
      <w:tr w:rsidR="00E57DAA" w14:paraId="4D9269A0" w14:textId="77777777">
        <w:tc>
          <w:tcPr>
            <w:tcW w:w="677" w:type="pct"/>
            <w:tcBorders>
              <w:top w:val="single" w:sz="4" w:space="0" w:color="auto"/>
              <w:left w:val="single" w:sz="4" w:space="0" w:color="auto"/>
              <w:bottom w:val="single" w:sz="4" w:space="0" w:color="auto"/>
              <w:right w:val="single" w:sz="4" w:space="0" w:color="auto"/>
            </w:tcBorders>
            <w:vAlign w:val="center"/>
          </w:tcPr>
          <w:p w14:paraId="632BBC06"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FD920DA" w14:textId="77777777" w:rsidR="00E57DAA" w:rsidRDefault="00AC4185">
            <w:pPr>
              <w:autoSpaceDE w:val="0"/>
              <w:autoSpaceDN w:val="0"/>
              <w:adjustRightInd w:val="0"/>
              <w:rPr>
                <w:szCs w:val="21"/>
              </w:rPr>
            </w:pPr>
            <w:r>
              <w:t>吕梁山水水泥有限公司</w:t>
            </w:r>
          </w:p>
        </w:tc>
        <w:tc>
          <w:tcPr>
            <w:tcW w:w="633" w:type="pct"/>
            <w:tcBorders>
              <w:top w:val="single" w:sz="4" w:space="0" w:color="auto"/>
              <w:left w:val="single" w:sz="4" w:space="0" w:color="auto"/>
              <w:bottom w:val="single" w:sz="4" w:space="0" w:color="auto"/>
              <w:right w:val="single" w:sz="4" w:space="0" w:color="auto"/>
            </w:tcBorders>
          </w:tcPr>
          <w:p w14:paraId="67CE0989" w14:textId="77777777" w:rsidR="00E57DAA" w:rsidRDefault="00AC4185">
            <w:pPr>
              <w:autoSpaceDE w:val="0"/>
              <w:autoSpaceDN w:val="0"/>
              <w:adjustRightInd w:val="0"/>
              <w:jc w:val="right"/>
              <w:rPr>
                <w:szCs w:val="21"/>
              </w:rPr>
            </w:pPr>
            <w:r>
              <w:t>316,000.00</w:t>
            </w:r>
          </w:p>
        </w:tc>
        <w:tc>
          <w:tcPr>
            <w:tcW w:w="632" w:type="pct"/>
            <w:tcBorders>
              <w:top w:val="single" w:sz="4" w:space="0" w:color="auto"/>
              <w:left w:val="single" w:sz="4" w:space="0" w:color="auto"/>
              <w:bottom w:val="single" w:sz="4" w:space="0" w:color="auto"/>
              <w:right w:val="single" w:sz="4" w:space="0" w:color="auto"/>
            </w:tcBorders>
          </w:tcPr>
          <w:p w14:paraId="6650AB67" w14:textId="77777777" w:rsidR="00E57DAA" w:rsidRDefault="00AC4185">
            <w:pPr>
              <w:autoSpaceDE w:val="0"/>
              <w:autoSpaceDN w:val="0"/>
              <w:adjustRightInd w:val="0"/>
              <w:jc w:val="right"/>
              <w:rPr>
                <w:szCs w:val="21"/>
              </w:rPr>
            </w:pPr>
            <w:r>
              <w:t>7,489.20</w:t>
            </w:r>
          </w:p>
        </w:tc>
        <w:tc>
          <w:tcPr>
            <w:tcW w:w="703" w:type="pct"/>
            <w:tcBorders>
              <w:top w:val="single" w:sz="4" w:space="0" w:color="auto"/>
              <w:left w:val="single" w:sz="4" w:space="0" w:color="auto"/>
              <w:bottom w:val="single" w:sz="4" w:space="0" w:color="auto"/>
              <w:right w:val="single" w:sz="4" w:space="0" w:color="auto"/>
            </w:tcBorders>
          </w:tcPr>
          <w:p w14:paraId="3FCC7811"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2227025D" w14:textId="77777777" w:rsidR="00E57DAA" w:rsidRDefault="00AC4185">
            <w:pPr>
              <w:autoSpaceDE w:val="0"/>
              <w:autoSpaceDN w:val="0"/>
              <w:adjustRightInd w:val="0"/>
              <w:jc w:val="right"/>
              <w:rPr>
                <w:szCs w:val="21"/>
              </w:rPr>
            </w:pPr>
            <w:r>
              <w:t xml:space="preserve">　</w:t>
            </w:r>
          </w:p>
        </w:tc>
      </w:tr>
      <w:tr w:rsidR="00E57DAA" w14:paraId="1F53F537" w14:textId="77777777">
        <w:tc>
          <w:tcPr>
            <w:tcW w:w="677" w:type="pct"/>
            <w:tcBorders>
              <w:top w:val="single" w:sz="4" w:space="0" w:color="auto"/>
              <w:left w:val="single" w:sz="4" w:space="0" w:color="auto"/>
              <w:bottom w:val="single" w:sz="4" w:space="0" w:color="auto"/>
              <w:right w:val="single" w:sz="4" w:space="0" w:color="auto"/>
            </w:tcBorders>
            <w:vAlign w:val="center"/>
          </w:tcPr>
          <w:p w14:paraId="04EAEFA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43F97D70" w14:textId="77777777" w:rsidR="00E57DAA" w:rsidRDefault="00AC4185">
            <w:pPr>
              <w:autoSpaceDE w:val="0"/>
              <w:autoSpaceDN w:val="0"/>
              <w:adjustRightInd w:val="0"/>
              <w:rPr>
                <w:szCs w:val="21"/>
              </w:rPr>
            </w:pPr>
            <w:r>
              <w:t>江西玉山万年青水泥有限公司</w:t>
            </w:r>
          </w:p>
        </w:tc>
        <w:tc>
          <w:tcPr>
            <w:tcW w:w="633" w:type="pct"/>
            <w:tcBorders>
              <w:top w:val="single" w:sz="4" w:space="0" w:color="auto"/>
              <w:left w:val="single" w:sz="4" w:space="0" w:color="auto"/>
              <w:bottom w:val="single" w:sz="4" w:space="0" w:color="auto"/>
              <w:right w:val="single" w:sz="4" w:space="0" w:color="auto"/>
            </w:tcBorders>
          </w:tcPr>
          <w:p w14:paraId="554E175D" w14:textId="77777777" w:rsidR="00E57DAA" w:rsidRDefault="00AC4185">
            <w:pPr>
              <w:autoSpaceDE w:val="0"/>
              <w:autoSpaceDN w:val="0"/>
              <w:adjustRightInd w:val="0"/>
              <w:jc w:val="right"/>
              <w:rPr>
                <w:szCs w:val="21"/>
              </w:rPr>
            </w:pPr>
            <w:r>
              <w:t>93,336.35</w:t>
            </w:r>
          </w:p>
        </w:tc>
        <w:tc>
          <w:tcPr>
            <w:tcW w:w="632" w:type="pct"/>
            <w:tcBorders>
              <w:top w:val="single" w:sz="4" w:space="0" w:color="auto"/>
              <w:left w:val="single" w:sz="4" w:space="0" w:color="auto"/>
              <w:bottom w:val="single" w:sz="4" w:space="0" w:color="auto"/>
              <w:right w:val="single" w:sz="4" w:space="0" w:color="auto"/>
            </w:tcBorders>
          </w:tcPr>
          <w:p w14:paraId="2FE33748" w14:textId="77777777" w:rsidR="00E57DAA" w:rsidRDefault="00AC4185">
            <w:pPr>
              <w:autoSpaceDE w:val="0"/>
              <w:autoSpaceDN w:val="0"/>
              <w:adjustRightInd w:val="0"/>
              <w:jc w:val="right"/>
              <w:rPr>
                <w:szCs w:val="21"/>
              </w:rPr>
            </w:pPr>
            <w:r>
              <w:t>9,333.64</w:t>
            </w:r>
          </w:p>
        </w:tc>
        <w:tc>
          <w:tcPr>
            <w:tcW w:w="703" w:type="pct"/>
            <w:tcBorders>
              <w:top w:val="single" w:sz="4" w:space="0" w:color="auto"/>
              <w:left w:val="single" w:sz="4" w:space="0" w:color="auto"/>
              <w:bottom w:val="single" w:sz="4" w:space="0" w:color="auto"/>
              <w:right w:val="single" w:sz="4" w:space="0" w:color="auto"/>
            </w:tcBorders>
          </w:tcPr>
          <w:p w14:paraId="3ACC9F98" w14:textId="77777777" w:rsidR="00E57DAA" w:rsidRDefault="00AC4185">
            <w:pPr>
              <w:autoSpaceDE w:val="0"/>
              <w:autoSpaceDN w:val="0"/>
              <w:adjustRightInd w:val="0"/>
              <w:jc w:val="right"/>
              <w:rPr>
                <w:szCs w:val="21"/>
              </w:rPr>
            </w:pPr>
            <w:r>
              <w:t xml:space="preserve">　</w:t>
            </w:r>
          </w:p>
        </w:tc>
        <w:tc>
          <w:tcPr>
            <w:tcW w:w="914" w:type="pct"/>
            <w:tcBorders>
              <w:top w:val="single" w:sz="4" w:space="0" w:color="auto"/>
              <w:left w:val="single" w:sz="4" w:space="0" w:color="auto"/>
              <w:bottom w:val="single" w:sz="4" w:space="0" w:color="auto"/>
              <w:right w:val="single" w:sz="4" w:space="0" w:color="auto"/>
            </w:tcBorders>
          </w:tcPr>
          <w:p w14:paraId="57136D46" w14:textId="77777777" w:rsidR="00E57DAA" w:rsidRDefault="00AC4185">
            <w:pPr>
              <w:autoSpaceDE w:val="0"/>
              <w:autoSpaceDN w:val="0"/>
              <w:adjustRightInd w:val="0"/>
              <w:jc w:val="right"/>
              <w:rPr>
                <w:szCs w:val="21"/>
              </w:rPr>
            </w:pPr>
            <w:r>
              <w:t xml:space="preserve">　</w:t>
            </w:r>
          </w:p>
        </w:tc>
      </w:tr>
      <w:tr w:rsidR="00E57DAA" w14:paraId="666FEAA3" w14:textId="77777777">
        <w:tc>
          <w:tcPr>
            <w:tcW w:w="677" w:type="pct"/>
            <w:tcBorders>
              <w:top w:val="single" w:sz="4" w:space="0" w:color="auto"/>
              <w:left w:val="single" w:sz="4" w:space="0" w:color="auto"/>
              <w:bottom w:val="single" w:sz="4" w:space="0" w:color="auto"/>
              <w:right w:val="single" w:sz="4" w:space="0" w:color="auto"/>
            </w:tcBorders>
            <w:vAlign w:val="center"/>
          </w:tcPr>
          <w:p w14:paraId="72F31033"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71C170D5" w14:textId="77777777" w:rsidR="00E57DAA" w:rsidRDefault="00AC4185">
            <w:pPr>
              <w:autoSpaceDE w:val="0"/>
              <w:autoSpaceDN w:val="0"/>
              <w:adjustRightInd w:val="0"/>
              <w:rPr>
                <w:szCs w:val="21"/>
              </w:rPr>
            </w:pPr>
            <w:r>
              <w:t>平阴山水水泥有限公司</w:t>
            </w:r>
          </w:p>
        </w:tc>
        <w:tc>
          <w:tcPr>
            <w:tcW w:w="633" w:type="pct"/>
            <w:tcBorders>
              <w:top w:val="single" w:sz="4" w:space="0" w:color="auto"/>
              <w:left w:val="single" w:sz="4" w:space="0" w:color="auto"/>
              <w:bottom w:val="single" w:sz="4" w:space="0" w:color="auto"/>
              <w:right w:val="single" w:sz="4" w:space="0" w:color="auto"/>
            </w:tcBorders>
          </w:tcPr>
          <w:p w14:paraId="25128268" w14:textId="77777777" w:rsidR="00E57DAA" w:rsidRDefault="00AC4185">
            <w:pPr>
              <w:autoSpaceDE w:val="0"/>
              <w:autoSpaceDN w:val="0"/>
              <w:adjustRightInd w:val="0"/>
              <w:jc w:val="right"/>
              <w:rPr>
                <w:szCs w:val="21"/>
              </w:rPr>
            </w:pPr>
            <w:r>
              <w:t>11,500.00</w:t>
            </w:r>
          </w:p>
        </w:tc>
        <w:tc>
          <w:tcPr>
            <w:tcW w:w="632" w:type="pct"/>
            <w:tcBorders>
              <w:top w:val="single" w:sz="4" w:space="0" w:color="auto"/>
              <w:left w:val="single" w:sz="4" w:space="0" w:color="auto"/>
              <w:bottom w:val="single" w:sz="4" w:space="0" w:color="auto"/>
              <w:right w:val="single" w:sz="4" w:space="0" w:color="auto"/>
            </w:tcBorders>
          </w:tcPr>
          <w:p w14:paraId="5221A054" w14:textId="77777777" w:rsidR="00E57DAA" w:rsidRDefault="00AC4185">
            <w:pPr>
              <w:autoSpaceDE w:val="0"/>
              <w:autoSpaceDN w:val="0"/>
              <w:adjustRightInd w:val="0"/>
              <w:jc w:val="right"/>
              <w:rPr>
                <w:szCs w:val="21"/>
              </w:rPr>
            </w:pPr>
            <w:r>
              <w:t>757.85</w:t>
            </w:r>
          </w:p>
        </w:tc>
        <w:tc>
          <w:tcPr>
            <w:tcW w:w="703" w:type="pct"/>
            <w:tcBorders>
              <w:top w:val="single" w:sz="4" w:space="0" w:color="auto"/>
              <w:left w:val="single" w:sz="4" w:space="0" w:color="auto"/>
              <w:bottom w:val="single" w:sz="4" w:space="0" w:color="auto"/>
              <w:right w:val="single" w:sz="4" w:space="0" w:color="auto"/>
            </w:tcBorders>
          </w:tcPr>
          <w:p w14:paraId="6F109A78" w14:textId="77777777" w:rsidR="00E57DAA" w:rsidRDefault="00AC4185">
            <w:pPr>
              <w:autoSpaceDE w:val="0"/>
              <w:autoSpaceDN w:val="0"/>
              <w:adjustRightInd w:val="0"/>
              <w:jc w:val="right"/>
              <w:rPr>
                <w:szCs w:val="21"/>
              </w:rPr>
            </w:pPr>
            <w:r>
              <w:t>441,500.00</w:t>
            </w:r>
          </w:p>
        </w:tc>
        <w:tc>
          <w:tcPr>
            <w:tcW w:w="914" w:type="pct"/>
            <w:tcBorders>
              <w:top w:val="single" w:sz="4" w:space="0" w:color="auto"/>
              <w:left w:val="single" w:sz="4" w:space="0" w:color="auto"/>
              <w:bottom w:val="single" w:sz="4" w:space="0" w:color="auto"/>
              <w:right w:val="single" w:sz="4" w:space="0" w:color="auto"/>
            </w:tcBorders>
          </w:tcPr>
          <w:p w14:paraId="6B02D345" w14:textId="77777777" w:rsidR="00E57DAA" w:rsidRDefault="00AC4185">
            <w:pPr>
              <w:autoSpaceDE w:val="0"/>
              <w:autoSpaceDN w:val="0"/>
              <w:adjustRightInd w:val="0"/>
              <w:jc w:val="right"/>
              <w:rPr>
                <w:szCs w:val="21"/>
              </w:rPr>
            </w:pPr>
            <w:r>
              <w:t>10,459.14</w:t>
            </w:r>
          </w:p>
        </w:tc>
      </w:tr>
      <w:tr w:rsidR="00E57DAA" w14:paraId="2923FA3D" w14:textId="77777777">
        <w:tc>
          <w:tcPr>
            <w:tcW w:w="677" w:type="pct"/>
            <w:tcBorders>
              <w:top w:val="single" w:sz="4" w:space="0" w:color="auto"/>
              <w:left w:val="single" w:sz="4" w:space="0" w:color="auto"/>
              <w:bottom w:val="single" w:sz="4" w:space="0" w:color="auto"/>
              <w:right w:val="single" w:sz="4" w:space="0" w:color="auto"/>
            </w:tcBorders>
            <w:vAlign w:val="center"/>
          </w:tcPr>
          <w:p w14:paraId="6E8950B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24E9A292" w14:textId="77777777" w:rsidR="00E57DAA" w:rsidRDefault="00AC4185">
            <w:pPr>
              <w:autoSpaceDE w:val="0"/>
              <w:autoSpaceDN w:val="0"/>
              <w:adjustRightInd w:val="0"/>
              <w:rPr>
                <w:szCs w:val="21"/>
              </w:rPr>
            </w:pPr>
            <w:r>
              <w:t>通辽山水工源水泥有限公司</w:t>
            </w:r>
          </w:p>
        </w:tc>
        <w:tc>
          <w:tcPr>
            <w:tcW w:w="633" w:type="pct"/>
            <w:tcBorders>
              <w:top w:val="single" w:sz="4" w:space="0" w:color="auto"/>
              <w:left w:val="single" w:sz="4" w:space="0" w:color="auto"/>
              <w:bottom w:val="single" w:sz="4" w:space="0" w:color="auto"/>
              <w:right w:val="single" w:sz="4" w:space="0" w:color="auto"/>
            </w:tcBorders>
          </w:tcPr>
          <w:p w14:paraId="320E6FB7"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6EE08D8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37A364C4" w14:textId="77777777" w:rsidR="00E57DAA" w:rsidRDefault="00AC4185">
            <w:pPr>
              <w:autoSpaceDE w:val="0"/>
              <w:autoSpaceDN w:val="0"/>
              <w:adjustRightInd w:val="0"/>
              <w:jc w:val="right"/>
              <w:rPr>
                <w:szCs w:val="21"/>
              </w:rPr>
            </w:pPr>
            <w:r>
              <w:t>91,500.00</w:t>
            </w:r>
          </w:p>
        </w:tc>
        <w:tc>
          <w:tcPr>
            <w:tcW w:w="914" w:type="pct"/>
            <w:tcBorders>
              <w:top w:val="single" w:sz="4" w:space="0" w:color="auto"/>
              <w:left w:val="single" w:sz="4" w:space="0" w:color="auto"/>
              <w:bottom w:val="single" w:sz="4" w:space="0" w:color="auto"/>
              <w:right w:val="single" w:sz="4" w:space="0" w:color="auto"/>
            </w:tcBorders>
          </w:tcPr>
          <w:p w14:paraId="125D8780" w14:textId="77777777" w:rsidR="00E57DAA" w:rsidRDefault="00AC4185">
            <w:pPr>
              <w:autoSpaceDE w:val="0"/>
              <w:autoSpaceDN w:val="0"/>
              <w:adjustRightInd w:val="0"/>
              <w:jc w:val="right"/>
              <w:rPr>
                <w:szCs w:val="21"/>
              </w:rPr>
            </w:pPr>
            <w:r>
              <w:t>2,167.64</w:t>
            </w:r>
          </w:p>
        </w:tc>
      </w:tr>
      <w:tr w:rsidR="00E57DAA" w14:paraId="3CDA5374" w14:textId="77777777">
        <w:tc>
          <w:tcPr>
            <w:tcW w:w="677" w:type="pct"/>
            <w:tcBorders>
              <w:top w:val="single" w:sz="4" w:space="0" w:color="auto"/>
              <w:left w:val="single" w:sz="4" w:space="0" w:color="auto"/>
              <w:bottom w:val="single" w:sz="4" w:space="0" w:color="auto"/>
              <w:right w:val="single" w:sz="4" w:space="0" w:color="auto"/>
            </w:tcBorders>
            <w:vAlign w:val="center"/>
          </w:tcPr>
          <w:p w14:paraId="6443CD99"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183365D0" w14:textId="77777777" w:rsidR="00E57DAA" w:rsidRDefault="00AC4185">
            <w:pPr>
              <w:autoSpaceDE w:val="0"/>
              <w:autoSpaceDN w:val="0"/>
              <w:adjustRightInd w:val="0"/>
              <w:rPr>
                <w:szCs w:val="21"/>
              </w:rPr>
            </w:pPr>
            <w:r>
              <w:t>渤海水泥（葫芦岛）有限公司</w:t>
            </w:r>
          </w:p>
        </w:tc>
        <w:tc>
          <w:tcPr>
            <w:tcW w:w="633" w:type="pct"/>
            <w:tcBorders>
              <w:top w:val="single" w:sz="4" w:space="0" w:color="auto"/>
              <w:left w:val="single" w:sz="4" w:space="0" w:color="auto"/>
              <w:bottom w:val="single" w:sz="4" w:space="0" w:color="auto"/>
              <w:right w:val="single" w:sz="4" w:space="0" w:color="auto"/>
            </w:tcBorders>
          </w:tcPr>
          <w:p w14:paraId="06D5A060"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4C76451C"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704632E3" w14:textId="77777777" w:rsidR="00E57DAA" w:rsidRDefault="00AC4185">
            <w:pPr>
              <w:autoSpaceDE w:val="0"/>
              <w:autoSpaceDN w:val="0"/>
              <w:adjustRightInd w:val="0"/>
              <w:jc w:val="right"/>
              <w:rPr>
                <w:szCs w:val="21"/>
              </w:rPr>
            </w:pPr>
            <w:r>
              <w:t>75,000.00</w:t>
            </w:r>
          </w:p>
        </w:tc>
        <w:tc>
          <w:tcPr>
            <w:tcW w:w="914" w:type="pct"/>
            <w:tcBorders>
              <w:top w:val="single" w:sz="4" w:space="0" w:color="auto"/>
              <w:left w:val="single" w:sz="4" w:space="0" w:color="auto"/>
              <w:bottom w:val="single" w:sz="4" w:space="0" w:color="auto"/>
              <w:right w:val="single" w:sz="4" w:space="0" w:color="auto"/>
            </w:tcBorders>
          </w:tcPr>
          <w:p w14:paraId="501B27FF" w14:textId="77777777" w:rsidR="00E57DAA" w:rsidRDefault="00AC4185">
            <w:pPr>
              <w:autoSpaceDE w:val="0"/>
              <w:autoSpaceDN w:val="0"/>
              <w:adjustRightInd w:val="0"/>
              <w:jc w:val="right"/>
              <w:rPr>
                <w:szCs w:val="21"/>
              </w:rPr>
            </w:pPr>
            <w:r>
              <w:t>1,776.75</w:t>
            </w:r>
          </w:p>
        </w:tc>
      </w:tr>
      <w:tr w:rsidR="00E57DAA" w14:paraId="4AC9F2CF" w14:textId="77777777">
        <w:tc>
          <w:tcPr>
            <w:tcW w:w="677" w:type="pct"/>
            <w:tcBorders>
              <w:top w:val="single" w:sz="4" w:space="0" w:color="auto"/>
              <w:left w:val="single" w:sz="4" w:space="0" w:color="auto"/>
              <w:bottom w:val="single" w:sz="4" w:space="0" w:color="auto"/>
              <w:right w:val="single" w:sz="4" w:space="0" w:color="auto"/>
            </w:tcBorders>
            <w:vAlign w:val="center"/>
          </w:tcPr>
          <w:p w14:paraId="1EC05F9C"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520AEAD" w14:textId="77777777" w:rsidR="00E57DAA" w:rsidRDefault="00AC4185">
            <w:pPr>
              <w:autoSpaceDE w:val="0"/>
              <w:autoSpaceDN w:val="0"/>
              <w:adjustRightInd w:val="0"/>
              <w:rPr>
                <w:szCs w:val="21"/>
              </w:rPr>
            </w:pPr>
            <w:r>
              <w:t>科右中旗山水水泥有限公司</w:t>
            </w:r>
          </w:p>
        </w:tc>
        <w:tc>
          <w:tcPr>
            <w:tcW w:w="633" w:type="pct"/>
            <w:tcBorders>
              <w:top w:val="single" w:sz="4" w:space="0" w:color="auto"/>
              <w:left w:val="single" w:sz="4" w:space="0" w:color="auto"/>
              <w:bottom w:val="single" w:sz="4" w:space="0" w:color="auto"/>
              <w:right w:val="single" w:sz="4" w:space="0" w:color="auto"/>
            </w:tcBorders>
          </w:tcPr>
          <w:p w14:paraId="61D9F5DE"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01BA2962"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DD23F02" w14:textId="77777777" w:rsidR="00E57DAA" w:rsidRDefault="00AC4185">
            <w:pPr>
              <w:autoSpaceDE w:val="0"/>
              <w:autoSpaceDN w:val="0"/>
              <w:adjustRightInd w:val="0"/>
              <w:jc w:val="right"/>
              <w:rPr>
                <w:szCs w:val="21"/>
              </w:rPr>
            </w:pPr>
            <w:r>
              <w:t>71,000.00</w:t>
            </w:r>
          </w:p>
        </w:tc>
        <w:tc>
          <w:tcPr>
            <w:tcW w:w="914" w:type="pct"/>
            <w:tcBorders>
              <w:top w:val="single" w:sz="4" w:space="0" w:color="auto"/>
              <w:left w:val="single" w:sz="4" w:space="0" w:color="auto"/>
              <w:bottom w:val="single" w:sz="4" w:space="0" w:color="auto"/>
              <w:right w:val="single" w:sz="4" w:space="0" w:color="auto"/>
            </w:tcBorders>
          </w:tcPr>
          <w:p w14:paraId="65C82896" w14:textId="77777777" w:rsidR="00E57DAA" w:rsidRDefault="00AC4185">
            <w:pPr>
              <w:autoSpaceDE w:val="0"/>
              <w:autoSpaceDN w:val="0"/>
              <w:adjustRightInd w:val="0"/>
              <w:jc w:val="right"/>
              <w:rPr>
                <w:szCs w:val="21"/>
              </w:rPr>
            </w:pPr>
            <w:r>
              <w:t>1,681.99</w:t>
            </w:r>
          </w:p>
        </w:tc>
      </w:tr>
      <w:tr w:rsidR="00E57DAA" w14:paraId="73A28A33" w14:textId="77777777">
        <w:tc>
          <w:tcPr>
            <w:tcW w:w="677" w:type="pct"/>
            <w:tcBorders>
              <w:top w:val="single" w:sz="4" w:space="0" w:color="auto"/>
              <w:left w:val="single" w:sz="4" w:space="0" w:color="auto"/>
              <w:bottom w:val="single" w:sz="4" w:space="0" w:color="auto"/>
              <w:right w:val="single" w:sz="4" w:space="0" w:color="auto"/>
            </w:tcBorders>
            <w:vAlign w:val="center"/>
          </w:tcPr>
          <w:p w14:paraId="4074D3C1"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5CEC63CF" w14:textId="77777777" w:rsidR="00E57DAA" w:rsidRDefault="00AC4185">
            <w:pPr>
              <w:autoSpaceDE w:val="0"/>
              <w:autoSpaceDN w:val="0"/>
              <w:adjustRightInd w:val="0"/>
              <w:rPr>
                <w:szCs w:val="21"/>
              </w:rPr>
            </w:pPr>
            <w:r>
              <w:t>敖汉旗山水水泥有限公司</w:t>
            </w:r>
          </w:p>
        </w:tc>
        <w:tc>
          <w:tcPr>
            <w:tcW w:w="633" w:type="pct"/>
            <w:tcBorders>
              <w:top w:val="single" w:sz="4" w:space="0" w:color="auto"/>
              <w:left w:val="single" w:sz="4" w:space="0" w:color="auto"/>
              <w:bottom w:val="single" w:sz="4" w:space="0" w:color="auto"/>
              <w:right w:val="single" w:sz="4" w:space="0" w:color="auto"/>
            </w:tcBorders>
          </w:tcPr>
          <w:p w14:paraId="73BDEE16"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5863C5CA"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06A7C3B5" w14:textId="77777777" w:rsidR="00E57DAA" w:rsidRDefault="00AC4185">
            <w:pPr>
              <w:autoSpaceDE w:val="0"/>
              <w:autoSpaceDN w:val="0"/>
              <w:adjustRightInd w:val="0"/>
              <w:jc w:val="right"/>
              <w:rPr>
                <w:szCs w:val="21"/>
              </w:rPr>
            </w:pPr>
            <w:r>
              <w:t>49,000.00</w:t>
            </w:r>
          </w:p>
        </w:tc>
        <w:tc>
          <w:tcPr>
            <w:tcW w:w="914" w:type="pct"/>
            <w:tcBorders>
              <w:top w:val="single" w:sz="4" w:space="0" w:color="auto"/>
              <w:left w:val="single" w:sz="4" w:space="0" w:color="auto"/>
              <w:bottom w:val="single" w:sz="4" w:space="0" w:color="auto"/>
              <w:right w:val="single" w:sz="4" w:space="0" w:color="auto"/>
            </w:tcBorders>
          </w:tcPr>
          <w:p w14:paraId="6D0BAAC0" w14:textId="77777777" w:rsidR="00E57DAA" w:rsidRDefault="00AC4185">
            <w:pPr>
              <w:autoSpaceDE w:val="0"/>
              <w:autoSpaceDN w:val="0"/>
              <w:adjustRightInd w:val="0"/>
              <w:jc w:val="right"/>
              <w:rPr>
                <w:szCs w:val="21"/>
              </w:rPr>
            </w:pPr>
            <w:r>
              <w:t>1,160.81</w:t>
            </w:r>
          </w:p>
        </w:tc>
      </w:tr>
      <w:tr w:rsidR="00E57DAA" w14:paraId="1B90A6EB" w14:textId="77777777">
        <w:tc>
          <w:tcPr>
            <w:tcW w:w="677" w:type="pct"/>
            <w:tcBorders>
              <w:top w:val="single" w:sz="4" w:space="0" w:color="auto"/>
              <w:left w:val="single" w:sz="4" w:space="0" w:color="auto"/>
              <w:bottom w:val="single" w:sz="4" w:space="0" w:color="auto"/>
              <w:right w:val="single" w:sz="4" w:space="0" w:color="auto"/>
            </w:tcBorders>
            <w:vAlign w:val="center"/>
          </w:tcPr>
          <w:p w14:paraId="3D9CA982"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3E1FB81E" w14:textId="77777777" w:rsidR="00E57DAA" w:rsidRDefault="00AC4185">
            <w:pPr>
              <w:autoSpaceDE w:val="0"/>
              <w:autoSpaceDN w:val="0"/>
              <w:adjustRightInd w:val="0"/>
              <w:rPr>
                <w:szCs w:val="21"/>
              </w:rPr>
            </w:pPr>
            <w:r>
              <w:t>巴林右旗山水水泥有限公司</w:t>
            </w:r>
          </w:p>
        </w:tc>
        <w:tc>
          <w:tcPr>
            <w:tcW w:w="633" w:type="pct"/>
            <w:tcBorders>
              <w:top w:val="single" w:sz="4" w:space="0" w:color="auto"/>
              <w:left w:val="single" w:sz="4" w:space="0" w:color="auto"/>
              <w:bottom w:val="single" w:sz="4" w:space="0" w:color="auto"/>
              <w:right w:val="single" w:sz="4" w:space="0" w:color="auto"/>
            </w:tcBorders>
          </w:tcPr>
          <w:p w14:paraId="61E73335"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DA47010"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286C00A9" w14:textId="77777777" w:rsidR="00E57DAA" w:rsidRDefault="00AC4185">
            <w:pPr>
              <w:autoSpaceDE w:val="0"/>
              <w:autoSpaceDN w:val="0"/>
              <w:adjustRightInd w:val="0"/>
              <w:jc w:val="right"/>
              <w:rPr>
                <w:szCs w:val="21"/>
              </w:rPr>
            </w:pPr>
            <w:r>
              <w:t>48,000.00</w:t>
            </w:r>
          </w:p>
        </w:tc>
        <w:tc>
          <w:tcPr>
            <w:tcW w:w="914" w:type="pct"/>
            <w:tcBorders>
              <w:top w:val="single" w:sz="4" w:space="0" w:color="auto"/>
              <w:left w:val="single" w:sz="4" w:space="0" w:color="auto"/>
              <w:bottom w:val="single" w:sz="4" w:space="0" w:color="auto"/>
              <w:right w:val="single" w:sz="4" w:space="0" w:color="auto"/>
            </w:tcBorders>
          </w:tcPr>
          <w:p w14:paraId="52622E22" w14:textId="77777777" w:rsidR="00E57DAA" w:rsidRDefault="00AC4185">
            <w:pPr>
              <w:autoSpaceDE w:val="0"/>
              <w:autoSpaceDN w:val="0"/>
              <w:adjustRightInd w:val="0"/>
              <w:jc w:val="right"/>
              <w:rPr>
                <w:szCs w:val="21"/>
              </w:rPr>
            </w:pPr>
            <w:r>
              <w:t>1,137.12</w:t>
            </w:r>
          </w:p>
        </w:tc>
      </w:tr>
      <w:tr w:rsidR="00E57DAA" w14:paraId="362A9CBC" w14:textId="77777777">
        <w:tc>
          <w:tcPr>
            <w:tcW w:w="677" w:type="pct"/>
            <w:tcBorders>
              <w:top w:val="single" w:sz="4" w:space="0" w:color="auto"/>
              <w:left w:val="single" w:sz="4" w:space="0" w:color="auto"/>
              <w:bottom w:val="single" w:sz="4" w:space="0" w:color="auto"/>
              <w:right w:val="single" w:sz="4" w:space="0" w:color="auto"/>
            </w:tcBorders>
            <w:vAlign w:val="center"/>
          </w:tcPr>
          <w:p w14:paraId="176053AD"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576C034" w14:textId="77777777" w:rsidR="00E57DAA" w:rsidRDefault="00AC4185">
            <w:pPr>
              <w:autoSpaceDE w:val="0"/>
              <w:autoSpaceDN w:val="0"/>
              <w:adjustRightInd w:val="0"/>
              <w:rPr>
                <w:szCs w:val="21"/>
              </w:rPr>
            </w:pPr>
            <w:r>
              <w:t>阿鲁科尔沁旗山水水泥有限公司</w:t>
            </w:r>
          </w:p>
        </w:tc>
        <w:tc>
          <w:tcPr>
            <w:tcW w:w="633" w:type="pct"/>
            <w:tcBorders>
              <w:top w:val="single" w:sz="4" w:space="0" w:color="auto"/>
              <w:left w:val="single" w:sz="4" w:space="0" w:color="auto"/>
              <w:bottom w:val="single" w:sz="4" w:space="0" w:color="auto"/>
              <w:right w:val="single" w:sz="4" w:space="0" w:color="auto"/>
            </w:tcBorders>
          </w:tcPr>
          <w:p w14:paraId="17B8791D"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1B0B086E"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114F34F6" w14:textId="77777777" w:rsidR="00E57DAA" w:rsidRDefault="00AC4185">
            <w:pPr>
              <w:autoSpaceDE w:val="0"/>
              <w:autoSpaceDN w:val="0"/>
              <w:adjustRightInd w:val="0"/>
              <w:jc w:val="right"/>
              <w:rPr>
                <w:szCs w:val="21"/>
              </w:rPr>
            </w:pPr>
            <w:r>
              <w:t>41,000.00</w:t>
            </w:r>
          </w:p>
        </w:tc>
        <w:tc>
          <w:tcPr>
            <w:tcW w:w="914" w:type="pct"/>
            <w:tcBorders>
              <w:top w:val="single" w:sz="4" w:space="0" w:color="auto"/>
              <w:left w:val="single" w:sz="4" w:space="0" w:color="auto"/>
              <w:bottom w:val="single" w:sz="4" w:space="0" w:color="auto"/>
              <w:right w:val="single" w:sz="4" w:space="0" w:color="auto"/>
            </w:tcBorders>
          </w:tcPr>
          <w:p w14:paraId="26AF8268" w14:textId="77777777" w:rsidR="00E57DAA" w:rsidRDefault="00AC4185">
            <w:pPr>
              <w:autoSpaceDE w:val="0"/>
              <w:autoSpaceDN w:val="0"/>
              <w:adjustRightInd w:val="0"/>
              <w:jc w:val="right"/>
              <w:rPr>
                <w:szCs w:val="21"/>
              </w:rPr>
            </w:pPr>
            <w:r>
              <w:t>971.29</w:t>
            </w:r>
          </w:p>
        </w:tc>
      </w:tr>
      <w:tr w:rsidR="00E57DAA" w14:paraId="4DC5B96A" w14:textId="77777777">
        <w:tc>
          <w:tcPr>
            <w:tcW w:w="677" w:type="pct"/>
            <w:tcBorders>
              <w:top w:val="single" w:sz="4" w:space="0" w:color="auto"/>
              <w:left w:val="single" w:sz="4" w:space="0" w:color="auto"/>
              <w:bottom w:val="single" w:sz="4" w:space="0" w:color="auto"/>
              <w:right w:val="single" w:sz="4" w:space="0" w:color="auto"/>
            </w:tcBorders>
            <w:vAlign w:val="center"/>
          </w:tcPr>
          <w:p w14:paraId="1BCBA0AE" w14:textId="77777777" w:rsidR="00E57DAA" w:rsidRDefault="00AC4185">
            <w:pPr>
              <w:autoSpaceDE w:val="0"/>
              <w:autoSpaceDN w:val="0"/>
              <w:adjustRightInd w:val="0"/>
              <w:rPr>
                <w:szCs w:val="21"/>
              </w:rPr>
            </w:pPr>
            <w:r>
              <w:t>合同资产</w:t>
            </w:r>
          </w:p>
        </w:tc>
        <w:tc>
          <w:tcPr>
            <w:tcW w:w="1441" w:type="pct"/>
            <w:tcBorders>
              <w:top w:val="single" w:sz="4" w:space="0" w:color="auto"/>
              <w:left w:val="single" w:sz="4" w:space="0" w:color="auto"/>
              <w:bottom w:val="single" w:sz="4" w:space="0" w:color="auto"/>
              <w:right w:val="single" w:sz="4" w:space="0" w:color="auto"/>
            </w:tcBorders>
          </w:tcPr>
          <w:p w14:paraId="6DDFF884" w14:textId="77777777" w:rsidR="00E57DAA" w:rsidRDefault="00AC4185">
            <w:pPr>
              <w:autoSpaceDE w:val="0"/>
              <w:autoSpaceDN w:val="0"/>
              <w:adjustRightInd w:val="0"/>
              <w:rPr>
                <w:szCs w:val="21"/>
              </w:rPr>
            </w:pPr>
            <w:r>
              <w:t>乌兰浩特山水水泥有限公司</w:t>
            </w:r>
          </w:p>
        </w:tc>
        <w:tc>
          <w:tcPr>
            <w:tcW w:w="633" w:type="pct"/>
            <w:tcBorders>
              <w:top w:val="single" w:sz="4" w:space="0" w:color="auto"/>
              <w:left w:val="single" w:sz="4" w:space="0" w:color="auto"/>
              <w:bottom w:val="single" w:sz="4" w:space="0" w:color="auto"/>
              <w:right w:val="single" w:sz="4" w:space="0" w:color="auto"/>
            </w:tcBorders>
          </w:tcPr>
          <w:p w14:paraId="444DE0D4" w14:textId="77777777" w:rsidR="00E57DAA" w:rsidRDefault="00AC4185">
            <w:pPr>
              <w:autoSpaceDE w:val="0"/>
              <w:autoSpaceDN w:val="0"/>
              <w:adjustRightInd w:val="0"/>
              <w:jc w:val="right"/>
              <w:rPr>
                <w:szCs w:val="21"/>
              </w:rPr>
            </w:pPr>
            <w:r>
              <w:t xml:space="preserve">　</w:t>
            </w:r>
          </w:p>
        </w:tc>
        <w:tc>
          <w:tcPr>
            <w:tcW w:w="632" w:type="pct"/>
            <w:tcBorders>
              <w:top w:val="single" w:sz="4" w:space="0" w:color="auto"/>
              <w:left w:val="single" w:sz="4" w:space="0" w:color="auto"/>
              <w:bottom w:val="single" w:sz="4" w:space="0" w:color="auto"/>
              <w:right w:val="single" w:sz="4" w:space="0" w:color="auto"/>
            </w:tcBorders>
          </w:tcPr>
          <w:p w14:paraId="7AB70F09" w14:textId="77777777" w:rsidR="00E57DAA" w:rsidRDefault="00AC4185">
            <w:pPr>
              <w:autoSpaceDE w:val="0"/>
              <w:autoSpaceDN w:val="0"/>
              <w:adjustRightInd w:val="0"/>
              <w:jc w:val="right"/>
              <w:rPr>
                <w:szCs w:val="21"/>
              </w:rPr>
            </w:pPr>
            <w:r>
              <w:t xml:space="preserve">　</w:t>
            </w:r>
          </w:p>
        </w:tc>
        <w:tc>
          <w:tcPr>
            <w:tcW w:w="703" w:type="pct"/>
            <w:tcBorders>
              <w:top w:val="single" w:sz="4" w:space="0" w:color="auto"/>
              <w:left w:val="single" w:sz="4" w:space="0" w:color="auto"/>
              <w:bottom w:val="single" w:sz="4" w:space="0" w:color="auto"/>
              <w:right w:val="single" w:sz="4" w:space="0" w:color="auto"/>
            </w:tcBorders>
          </w:tcPr>
          <w:p w14:paraId="5BC8CD4B" w14:textId="77777777" w:rsidR="00E57DAA" w:rsidRDefault="00AC4185">
            <w:pPr>
              <w:autoSpaceDE w:val="0"/>
              <w:autoSpaceDN w:val="0"/>
              <w:adjustRightInd w:val="0"/>
              <w:jc w:val="right"/>
              <w:rPr>
                <w:szCs w:val="21"/>
              </w:rPr>
            </w:pPr>
            <w:r>
              <w:t>33,500.00</w:t>
            </w:r>
          </w:p>
        </w:tc>
        <w:tc>
          <w:tcPr>
            <w:tcW w:w="914" w:type="pct"/>
            <w:tcBorders>
              <w:top w:val="single" w:sz="4" w:space="0" w:color="auto"/>
              <w:left w:val="single" w:sz="4" w:space="0" w:color="auto"/>
              <w:bottom w:val="single" w:sz="4" w:space="0" w:color="auto"/>
              <w:right w:val="single" w:sz="4" w:space="0" w:color="auto"/>
            </w:tcBorders>
          </w:tcPr>
          <w:p w14:paraId="4178AE5B" w14:textId="77777777" w:rsidR="00E57DAA" w:rsidRDefault="00AC4185">
            <w:pPr>
              <w:autoSpaceDE w:val="0"/>
              <w:autoSpaceDN w:val="0"/>
              <w:adjustRightInd w:val="0"/>
              <w:jc w:val="right"/>
              <w:rPr>
                <w:szCs w:val="21"/>
              </w:rPr>
            </w:pPr>
            <w:r>
              <w:t>793.62</w:t>
            </w:r>
          </w:p>
        </w:tc>
      </w:tr>
    </w:tbl>
    <w:p w14:paraId="356707FA" w14:textId="77777777" w:rsidR="00E57DAA" w:rsidRDefault="00E57DAA"/>
    <w:p w14:paraId="4CA9CDF2" w14:textId="77777777" w:rsidR="00E57DAA" w:rsidRDefault="00E57DAA" w:rsidP="00C25422">
      <w:pPr>
        <w:pStyle w:val="92"/>
        <w:sectPr w:rsidR="00E57DAA" w:rsidSect="00226547">
          <w:pgSz w:w="16838" w:h="11906" w:orient="landscape"/>
          <w:pgMar w:top="1797" w:right="1525" w:bottom="1276" w:left="1440" w:header="856" w:footer="992" w:gutter="0"/>
          <w:cols w:space="425"/>
          <w:docGrid w:linePitch="312"/>
        </w:sectPr>
      </w:pPr>
    </w:p>
    <w:p w14:paraId="294EABBC" w14:textId="77777777" w:rsidR="00E57DAA" w:rsidRDefault="00E57DAA" w:rsidP="00C25422">
      <w:pPr>
        <w:pStyle w:val="92"/>
      </w:pPr>
    </w:p>
    <w:p w14:paraId="4A1F1793" w14:textId="77777777" w:rsidR="00E57DAA" w:rsidRDefault="00AC4185">
      <w:pPr>
        <w:pStyle w:val="4"/>
        <w:numPr>
          <w:ilvl w:val="3"/>
          <w:numId w:val="123"/>
        </w:numPr>
        <w:ind w:left="426" w:hangingChars="202" w:hanging="426"/>
      </w:pPr>
      <w:r>
        <w:rPr>
          <w:rFonts w:hint="eastAsia"/>
        </w:rPr>
        <w:t>应付项目</w:t>
      </w:r>
    </w:p>
    <w:sdt>
      <w:sdtPr>
        <w:rPr>
          <w:rFonts w:hint="eastAsia"/>
          <w:szCs w:val="21"/>
        </w:rPr>
        <w:alias w:val="是否适用：应付项目[双击切换]"/>
        <w:tag w:val="_GBC_41bc31a1fefb4e25918c1ece7c27be62"/>
        <w:id w:val="-1949922963"/>
      </w:sdtPr>
      <w:sdtEndPr/>
      <w:sdtContent>
        <w:p w14:paraId="25D838CC"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07AE24" w14:textId="77777777" w:rsidR="00E57DAA" w:rsidRDefault="00AC4185">
      <w:pPr>
        <w:jc w:val="right"/>
        <w:rPr>
          <w:szCs w:val="21"/>
        </w:rPr>
      </w:pPr>
      <w:r>
        <w:rPr>
          <w:rFonts w:hint="eastAsia"/>
          <w:szCs w:val="21"/>
        </w:rPr>
        <w:t>单位:</w:t>
      </w:r>
      <w:sdt>
        <w:sdtPr>
          <w:rPr>
            <w:rFonts w:hint="eastAsia"/>
            <w:szCs w:val="21"/>
          </w:rPr>
          <w:alias w:val="单位：上市公司应付关联方款项"/>
          <w:tag w:val="_GBC_dda5edeadff34e4f829b49a813d869a1"/>
          <w:id w:val="1841268600"/>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72657100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342"/>
        <w:gridCol w:w="1869"/>
        <w:gridCol w:w="2483"/>
      </w:tblGrid>
      <w:tr w:rsidR="00E57DAA" w14:paraId="28B0D324" w14:textId="77777777">
        <w:sdt>
          <w:sdtPr>
            <w:tag w:val="_PLD_e606617d378f48ec942565c9488249ee"/>
            <w:id w:val="540330674"/>
          </w:sdtPr>
          <w:sdtEndPr/>
          <w:sdtContent>
            <w:tc>
              <w:tcPr>
                <w:tcW w:w="640" w:type="pct"/>
                <w:tcBorders>
                  <w:top w:val="single" w:sz="4" w:space="0" w:color="auto"/>
                  <w:left w:val="single" w:sz="4" w:space="0" w:color="auto"/>
                  <w:right w:val="single" w:sz="4" w:space="0" w:color="auto"/>
                </w:tcBorders>
              </w:tcPr>
              <w:p w14:paraId="08B09896" w14:textId="77777777" w:rsidR="00E57DAA" w:rsidRDefault="00AC4185">
                <w:pPr>
                  <w:jc w:val="center"/>
                  <w:rPr>
                    <w:szCs w:val="21"/>
                  </w:rPr>
                </w:pPr>
                <w:r>
                  <w:rPr>
                    <w:rFonts w:hint="eastAsia"/>
                    <w:szCs w:val="21"/>
                  </w:rPr>
                  <w:t>项目名称</w:t>
                </w:r>
              </w:p>
            </w:tc>
          </w:sdtContent>
        </w:sdt>
        <w:sdt>
          <w:sdtPr>
            <w:tag w:val="_PLD_8c0f65fb9987497db9d8cb750665f14a"/>
            <w:id w:val="-2118429995"/>
          </w:sdtPr>
          <w:sdtEndPr/>
          <w:sdtContent>
            <w:tc>
              <w:tcPr>
                <w:tcW w:w="1894" w:type="pct"/>
                <w:tcBorders>
                  <w:top w:val="single" w:sz="4" w:space="0" w:color="auto"/>
                  <w:left w:val="single" w:sz="4" w:space="0" w:color="auto"/>
                  <w:right w:val="single" w:sz="4" w:space="0" w:color="auto"/>
                </w:tcBorders>
              </w:tcPr>
              <w:p w14:paraId="79DA6F8E" w14:textId="77777777" w:rsidR="00E57DAA" w:rsidRDefault="00AC4185">
                <w:pPr>
                  <w:jc w:val="center"/>
                  <w:rPr>
                    <w:szCs w:val="21"/>
                  </w:rPr>
                </w:pPr>
                <w:r>
                  <w:rPr>
                    <w:rFonts w:hint="eastAsia"/>
                    <w:szCs w:val="21"/>
                  </w:rPr>
                  <w:t>关联方</w:t>
                </w:r>
              </w:p>
            </w:tc>
          </w:sdtContent>
        </w:sdt>
        <w:sdt>
          <w:sdtPr>
            <w:tag w:val="_PLD_6abb3a201708442494b9fede0eddf518"/>
            <w:id w:val="309911045"/>
          </w:sdtPr>
          <w:sdtEndPr/>
          <w:sdtContent>
            <w:tc>
              <w:tcPr>
                <w:tcW w:w="1059" w:type="pct"/>
                <w:tcBorders>
                  <w:top w:val="single" w:sz="4" w:space="0" w:color="auto"/>
                  <w:left w:val="single" w:sz="4" w:space="0" w:color="auto"/>
                  <w:bottom w:val="single" w:sz="4" w:space="0" w:color="auto"/>
                  <w:right w:val="single" w:sz="4" w:space="0" w:color="auto"/>
                </w:tcBorders>
              </w:tcPr>
              <w:p w14:paraId="4BF69C36" w14:textId="77777777" w:rsidR="00E57DAA" w:rsidRDefault="00AC4185">
                <w:pPr>
                  <w:jc w:val="center"/>
                  <w:rPr>
                    <w:szCs w:val="21"/>
                  </w:rPr>
                </w:pPr>
                <w:r>
                  <w:rPr>
                    <w:rFonts w:hint="eastAsia"/>
                    <w:szCs w:val="21"/>
                  </w:rPr>
                  <w:t>期末账面余额</w:t>
                </w:r>
              </w:p>
            </w:tc>
          </w:sdtContent>
        </w:sdt>
        <w:sdt>
          <w:sdtPr>
            <w:tag w:val="_PLD_55efe2bab54445818fecaf16ed9366f9"/>
            <w:id w:val="-1021248795"/>
          </w:sdtPr>
          <w:sdtEndPr/>
          <w:sdtContent>
            <w:tc>
              <w:tcPr>
                <w:tcW w:w="1407" w:type="pct"/>
                <w:tcBorders>
                  <w:top w:val="single" w:sz="4" w:space="0" w:color="auto"/>
                  <w:left w:val="single" w:sz="4" w:space="0" w:color="auto"/>
                  <w:bottom w:val="single" w:sz="4" w:space="0" w:color="auto"/>
                  <w:right w:val="single" w:sz="4" w:space="0" w:color="auto"/>
                </w:tcBorders>
              </w:tcPr>
              <w:p w14:paraId="4ED3A6BF" w14:textId="77777777" w:rsidR="00E57DAA" w:rsidRDefault="00AC4185">
                <w:pPr>
                  <w:jc w:val="center"/>
                  <w:rPr>
                    <w:szCs w:val="21"/>
                  </w:rPr>
                </w:pPr>
                <w:r>
                  <w:rPr>
                    <w:rFonts w:hint="eastAsia"/>
                    <w:szCs w:val="21"/>
                  </w:rPr>
                  <w:t>期初账面余额</w:t>
                </w:r>
              </w:p>
            </w:tc>
          </w:sdtContent>
        </w:sdt>
      </w:tr>
      <w:tr w:rsidR="00E57DAA" w14:paraId="76428BD2" w14:textId="77777777">
        <w:tc>
          <w:tcPr>
            <w:tcW w:w="640" w:type="pct"/>
            <w:tcBorders>
              <w:top w:val="single" w:sz="4" w:space="0" w:color="auto"/>
              <w:left w:val="single" w:sz="4" w:space="0" w:color="auto"/>
              <w:bottom w:val="single" w:sz="4" w:space="0" w:color="auto"/>
              <w:right w:val="single" w:sz="4" w:space="0" w:color="auto"/>
            </w:tcBorders>
            <w:vAlign w:val="center"/>
          </w:tcPr>
          <w:p w14:paraId="22A0D92E"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0FB89008" w14:textId="77777777" w:rsidR="00E57DAA" w:rsidRDefault="00AC4185">
            <w:pPr>
              <w:autoSpaceDE w:val="0"/>
              <w:autoSpaceDN w:val="0"/>
              <w:adjustRightInd w:val="0"/>
              <w:rPr>
                <w:szCs w:val="21"/>
              </w:rPr>
            </w:pPr>
            <w:r>
              <w:t>联营企业</w:t>
            </w:r>
          </w:p>
        </w:tc>
        <w:tc>
          <w:tcPr>
            <w:tcW w:w="1059" w:type="pct"/>
            <w:tcBorders>
              <w:top w:val="single" w:sz="4" w:space="0" w:color="auto"/>
              <w:left w:val="single" w:sz="4" w:space="0" w:color="auto"/>
              <w:bottom w:val="single" w:sz="4" w:space="0" w:color="auto"/>
              <w:right w:val="single" w:sz="4" w:space="0" w:color="auto"/>
            </w:tcBorders>
          </w:tcPr>
          <w:p w14:paraId="367A3FF9"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AF50EB9" w14:textId="77777777" w:rsidR="00E57DAA" w:rsidRDefault="00AC4185">
            <w:pPr>
              <w:autoSpaceDE w:val="0"/>
              <w:autoSpaceDN w:val="0"/>
              <w:adjustRightInd w:val="0"/>
              <w:jc w:val="right"/>
              <w:rPr>
                <w:szCs w:val="21"/>
              </w:rPr>
            </w:pPr>
            <w:r>
              <w:t xml:space="preserve">　</w:t>
            </w:r>
          </w:p>
        </w:tc>
      </w:tr>
      <w:tr w:rsidR="00E57DAA" w14:paraId="61DBC17E" w14:textId="77777777">
        <w:tc>
          <w:tcPr>
            <w:tcW w:w="640" w:type="pct"/>
            <w:tcBorders>
              <w:top w:val="single" w:sz="4" w:space="0" w:color="auto"/>
              <w:left w:val="single" w:sz="4" w:space="0" w:color="auto"/>
              <w:bottom w:val="single" w:sz="4" w:space="0" w:color="auto"/>
              <w:right w:val="single" w:sz="4" w:space="0" w:color="auto"/>
            </w:tcBorders>
            <w:vAlign w:val="center"/>
          </w:tcPr>
          <w:p w14:paraId="71FAF577"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43A7D1F0" w14:textId="77777777" w:rsidR="00E57DAA" w:rsidRDefault="00AC4185">
            <w:pPr>
              <w:autoSpaceDE w:val="0"/>
              <w:autoSpaceDN w:val="0"/>
              <w:adjustRightInd w:val="0"/>
              <w:rPr>
                <w:szCs w:val="21"/>
              </w:rPr>
            </w:pPr>
            <w:r>
              <w:t>中才邦业（杭州）智能技术有限公司</w:t>
            </w:r>
          </w:p>
        </w:tc>
        <w:tc>
          <w:tcPr>
            <w:tcW w:w="1059" w:type="pct"/>
            <w:tcBorders>
              <w:top w:val="single" w:sz="4" w:space="0" w:color="auto"/>
              <w:left w:val="single" w:sz="4" w:space="0" w:color="auto"/>
              <w:bottom w:val="single" w:sz="4" w:space="0" w:color="auto"/>
              <w:right w:val="single" w:sz="4" w:space="0" w:color="auto"/>
            </w:tcBorders>
          </w:tcPr>
          <w:p w14:paraId="182DB9D5" w14:textId="77777777" w:rsidR="00E57DAA" w:rsidRDefault="00AC4185">
            <w:pPr>
              <w:autoSpaceDE w:val="0"/>
              <w:autoSpaceDN w:val="0"/>
              <w:adjustRightInd w:val="0"/>
              <w:jc w:val="right"/>
              <w:rPr>
                <w:szCs w:val="21"/>
              </w:rPr>
            </w:pPr>
            <w:r>
              <w:t>4,538,750.00</w:t>
            </w:r>
          </w:p>
        </w:tc>
        <w:tc>
          <w:tcPr>
            <w:tcW w:w="1407" w:type="pct"/>
            <w:tcBorders>
              <w:top w:val="single" w:sz="4" w:space="0" w:color="auto"/>
              <w:left w:val="single" w:sz="4" w:space="0" w:color="auto"/>
              <w:bottom w:val="single" w:sz="4" w:space="0" w:color="auto"/>
              <w:right w:val="single" w:sz="4" w:space="0" w:color="auto"/>
            </w:tcBorders>
          </w:tcPr>
          <w:p w14:paraId="2D3EEB75" w14:textId="77777777" w:rsidR="00E57DAA" w:rsidRDefault="00AC4185">
            <w:pPr>
              <w:autoSpaceDE w:val="0"/>
              <w:autoSpaceDN w:val="0"/>
              <w:adjustRightInd w:val="0"/>
              <w:jc w:val="right"/>
              <w:rPr>
                <w:szCs w:val="21"/>
              </w:rPr>
            </w:pPr>
            <w:r>
              <w:t xml:space="preserve">　</w:t>
            </w:r>
          </w:p>
        </w:tc>
      </w:tr>
      <w:tr w:rsidR="00E57DAA" w14:paraId="2A67195D" w14:textId="77777777">
        <w:tc>
          <w:tcPr>
            <w:tcW w:w="640" w:type="pct"/>
            <w:tcBorders>
              <w:top w:val="single" w:sz="4" w:space="0" w:color="auto"/>
              <w:left w:val="single" w:sz="4" w:space="0" w:color="auto"/>
              <w:bottom w:val="single" w:sz="4" w:space="0" w:color="auto"/>
              <w:right w:val="single" w:sz="4" w:space="0" w:color="auto"/>
            </w:tcBorders>
            <w:vAlign w:val="center"/>
          </w:tcPr>
          <w:p w14:paraId="469ADE62"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E5226C0" w14:textId="77777777" w:rsidR="00E57DAA" w:rsidRDefault="00AC4185">
            <w:pPr>
              <w:autoSpaceDE w:val="0"/>
              <w:autoSpaceDN w:val="0"/>
              <w:adjustRightInd w:val="0"/>
              <w:rPr>
                <w:szCs w:val="21"/>
              </w:rPr>
            </w:pPr>
            <w:r>
              <w:t>安徽长江环境科技有限公司</w:t>
            </w:r>
          </w:p>
        </w:tc>
        <w:tc>
          <w:tcPr>
            <w:tcW w:w="1059" w:type="pct"/>
            <w:tcBorders>
              <w:top w:val="single" w:sz="4" w:space="0" w:color="auto"/>
              <w:left w:val="single" w:sz="4" w:space="0" w:color="auto"/>
              <w:bottom w:val="single" w:sz="4" w:space="0" w:color="auto"/>
              <w:right w:val="single" w:sz="4" w:space="0" w:color="auto"/>
            </w:tcBorders>
          </w:tcPr>
          <w:p w14:paraId="70A562B9" w14:textId="77777777" w:rsidR="00E57DAA" w:rsidRDefault="00AC4185">
            <w:pPr>
              <w:autoSpaceDE w:val="0"/>
              <w:autoSpaceDN w:val="0"/>
              <w:adjustRightInd w:val="0"/>
              <w:jc w:val="right"/>
              <w:rPr>
                <w:szCs w:val="21"/>
              </w:rPr>
            </w:pPr>
            <w:r>
              <w:t>1,942,570.48</w:t>
            </w:r>
          </w:p>
        </w:tc>
        <w:tc>
          <w:tcPr>
            <w:tcW w:w="1407" w:type="pct"/>
            <w:tcBorders>
              <w:top w:val="single" w:sz="4" w:space="0" w:color="auto"/>
              <w:left w:val="single" w:sz="4" w:space="0" w:color="auto"/>
              <w:bottom w:val="single" w:sz="4" w:space="0" w:color="auto"/>
              <w:right w:val="single" w:sz="4" w:space="0" w:color="auto"/>
            </w:tcBorders>
          </w:tcPr>
          <w:p w14:paraId="13C93E48" w14:textId="77777777" w:rsidR="00E57DAA" w:rsidRDefault="00AC4185">
            <w:pPr>
              <w:autoSpaceDE w:val="0"/>
              <w:autoSpaceDN w:val="0"/>
              <w:adjustRightInd w:val="0"/>
              <w:jc w:val="right"/>
              <w:rPr>
                <w:szCs w:val="21"/>
              </w:rPr>
            </w:pPr>
            <w:r>
              <w:t xml:space="preserve">　</w:t>
            </w:r>
          </w:p>
        </w:tc>
      </w:tr>
      <w:tr w:rsidR="00E57DAA" w14:paraId="635ED4AA" w14:textId="77777777">
        <w:tc>
          <w:tcPr>
            <w:tcW w:w="640" w:type="pct"/>
            <w:tcBorders>
              <w:top w:val="single" w:sz="4" w:space="0" w:color="auto"/>
              <w:left w:val="single" w:sz="4" w:space="0" w:color="auto"/>
              <w:bottom w:val="single" w:sz="4" w:space="0" w:color="auto"/>
              <w:right w:val="single" w:sz="4" w:space="0" w:color="auto"/>
            </w:tcBorders>
            <w:vAlign w:val="center"/>
          </w:tcPr>
          <w:p w14:paraId="5044CA05"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7A06F55C" w14:textId="77777777" w:rsidR="00E57DAA" w:rsidRDefault="00AC4185">
            <w:pPr>
              <w:autoSpaceDE w:val="0"/>
              <w:autoSpaceDN w:val="0"/>
              <w:adjustRightInd w:val="0"/>
              <w:rPr>
                <w:szCs w:val="21"/>
              </w:rPr>
            </w:pPr>
            <w:r>
              <w:t>中建（淄博）重型机械有限公司</w:t>
            </w:r>
          </w:p>
        </w:tc>
        <w:tc>
          <w:tcPr>
            <w:tcW w:w="1059" w:type="pct"/>
            <w:tcBorders>
              <w:top w:val="single" w:sz="4" w:space="0" w:color="auto"/>
              <w:left w:val="single" w:sz="4" w:space="0" w:color="auto"/>
              <w:bottom w:val="single" w:sz="4" w:space="0" w:color="auto"/>
              <w:right w:val="single" w:sz="4" w:space="0" w:color="auto"/>
            </w:tcBorders>
          </w:tcPr>
          <w:p w14:paraId="77FFB890" w14:textId="77777777" w:rsidR="00E57DAA" w:rsidRDefault="00AC4185">
            <w:pPr>
              <w:autoSpaceDE w:val="0"/>
              <w:autoSpaceDN w:val="0"/>
              <w:adjustRightInd w:val="0"/>
              <w:jc w:val="right"/>
              <w:rPr>
                <w:szCs w:val="21"/>
              </w:rPr>
            </w:pPr>
            <w:r>
              <w:t>1,546,000.00</w:t>
            </w:r>
          </w:p>
        </w:tc>
        <w:tc>
          <w:tcPr>
            <w:tcW w:w="1407" w:type="pct"/>
            <w:tcBorders>
              <w:top w:val="single" w:sz="4" w:space="0" w:color="auto"/>
              <w:left w:val="single" w:sz="4" w:space="0" w:color="auto"/>
              <w:bottom w:val="single" w:sz="4" w:space="0" w:color="auto"/>
              <w:right w:val="single" w:sz="4" w:space="0" w:color="auto"/>
            </w:tcBorders>
          </w:tcPr>
          <w:p w14:paraId="28586D1E" w14:textId="77777777" w:rsidR="00E57DAA" w:rsidRDefault="00AC4185">
            <w:pPr>
              <w:autoSpaceDE w:val="0"/>
              <w:autoSpaceDN w:val="0"/>
              <w:adjustRightInd w:val="0"/>
              <w:jc w:val="right"/>
              <w:rPr>
                <w:szCs w:val="21"/>
              </w:rPr>
            </w:pPr>
            <w:r>
              <w:t>400,000.00</w:t>
            </w:r>
          </w:p>
        </w:tc>
      </w:tr>
      <w:tr w:rsidR="00E57DAA" w14:paraId="26412548" w14:textId="77777777">
        <w:tc>
          <w:tcPr>
            <w:tcW w:w="640" w:type="pct"/>
            <w:tcBorders>
              <w:top w:val="single" w:sz="4" w:space="0" w:color="auto"/>
              <w:left w:val="single" w:sz="4" w:space="0" w:color="auto"/>
              <w:bottom w:val="single" w:sz="4" w:space="0" w:color="auto"/>
              <w:right w:val="single" w:sz="4" w:space="0" w:color="auto"/>
            </w:tcBorders>
            <w:vAlign w:val="center"/>
          </w:tcPr>
          <w:p w14:paraId="48116383"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5E2365B1" w14:textId="77777777" w:rsidR="00E57DAA" w:rsidRDefault="00AC4185">
            <w:pPr>
              <w:autoSpaceDE w:val="0"/>
              <w:autoSpaceDN w:val="0"/>
              <w:adjustRightInd w:val="0"/>
              <w:rPr>
                <w:szCs w:val="21"/>
              </w:rPr>
            </w:pPr>
            <w:r>
              <w:t>受同一母公司控制的其他企业</w:t>
            </w:r>
          </w:p>
        </w:tc>
        <w:tc>
          <w:tcPr>
            <w:tcW w:w="1059" w:type="pct"/>
            <w:tcBorders>
              <w:top w:val="single" w:sz="4" w:space="0" w:color="auto"/>
              <w:left w:val="single" w:sz="4" w:space="0" w:color="auto"/>
              <w:bottom w:val="single" w:sz="4" w:space="0" w:color="auto"/>
              <w:right w:val="single" w:sz="4" w:space="0" w:color="auto"/>
            </w:tcBorders>
          </w:tcPr>
          <w:p w14:paraId="0F010D9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67449D4" w14:textId="77777777" w:rsidR="00E57DAA" w:rsidRDefault="00AC4185">
            <w:pPr>
              <w:autoSpaceDE w:val="0"/>
              <w:autoSpaceDN w:val="0"/>
              <w:adjustRightInd w:val="0"/>
              <w:jc w:val="right"/>
              <w:rPr>
                <w:szCs w:val="21"/>
              </w:rPr>
            </w:pPr>
            <w:r>
              <w:t xml:space="preserve">　</w:t>
            </w:r>
          </w:p>
        </w:tc>
      </w:tr>
      <w:tr w:rsidR="00E57DAA" w14:paraId="776FF1F8" w14:textId="77777777">
        <w:tc>
          <w:tcPr>
            <w:tcW w:w="640" w:type="pct"/>
            <w:tcBorders>
              <w:top w:val="single" w:sz="4" w:space="0" w:color="auto"/>
              <w:left w:val="single" w:sz="4" w:space="0" w:color="auto"/>
              <w:bottom w:val="single" w:sz="4" w:space="0" w:color="auto"/>
              <w:right w:val="single" w:sz="4" w:space="0" w:color="auto"/>
            </w:tcBorders>
            <w:vAlign w:val="center"/>
          </w:tcPr>
          <w:p w14:paraId="2C3FF7C6"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D113EBF" w14:textId="77777777" w:rsidR="00E57DAA" w:rsidRDefault="00AC4185">
            <w:pPr>
              <w:autoSpaceDE w:val="0"/>
              <w:autoSpaceDN w:val="0"/>
              <w:adjustRightInd w:val="0"/>
              <w:rPr>
                <w:szCs w:val="21"/>
              </w:rPr>
            </w:pPr>
            <w:r>
              <w:t>苏州混凝土水泥制品研究院有限公司</w:t>
            </w:r>
          </w:p>
        </w:tc>
        <w:tc>
          <w:tcPr>
            <w:tcW w:w="1059" w:type="pct"/>
            <w:tcBorders>
              <w:top w:val="single" w:sz="4" w:space="0" w:color="auto"/>
              <w:left w:val="single" w:sz="4" w:space="0" w:color="auto"/>
              <w:bottom w:val="single" w:sz="4" w:space="0" w:color="auto"/>
              <w:right w:val="single" w:sz="4" w:space="0" w:color="auto"/>
            </w:tcBorders>
          </w:tcPr>
          <w:p w14:paraId="09A0FABC" w14:textId="77777777" w:rsidR="00E57DAA" w:rsidRDefault="00AC4185">
            <w:pPr>
              <w:autoSpaceDE w:val="0"/>
              <w:autoSpaceDN w:val="0"/>
              <w:adjustRightInd w:val="0"/>
              <w:jc w:val="right"/>
              <w:rPr>
                <w:szCs w:val="21"/>
              </w:rPr>
            </w:pPr>
            <w:r>
              <w:t>790,000.00</w:t>
            </w:r>
          </w:p>
        </w:tc>
        <w:tc>
          <w:tcPr>
            <w:tcW w:w="1407" w:type="pct"/>
            <w:tcBorders>
              <w:top w:val="single" w:sz="4" w:space="0" w:color="auto"/>
              <w:left w:val="single" w:sz="4" w:space="0" w:color="auto"/>
              <w:bottom w:val="single" w:sz="4" w:space="0" w:color="auto"/>
              <w:right w:val="single" w:sz="4" w:space="0" w:color="auto"/>
            </w:tcBorders>
          </w:tcPr>
          <w:p w14:paraId="7FBFAD80" w14:textId="77777777" w:rsidR="00E57DAA" w:rsidRDefault="00AC4185">
            <w:pPr>
              <w:autoSpaceDE w:val="0"/>
              <w:autoSpaceDN w:val="0"/>
              <w:adjustRightInd w:val="0"/>
              <w:jc w:val="right"/>
              <w:rPr>
                <w:szCs w:val="21"/>
              </w:rPr>
            </w:pPr>
            <w:r>
              <w:t xml:space="preserve">　</w:t>
            </w:r>
          </w:p>
        </w:tc>
      </w:tr>
      <w:tr w:rsidR="00E57DAA" w14:paraId="2C28A35A" w14:textId="77777777">
        <w:tc>
          <w:tcPr>
            <w:tcW w:w="640" w:type="pct"/>
            <w:tcBorders>
              <w:top w:val="single" w:sz="4" w:space="0" w:color="auto"/>
              <w:left w:val="single" w:sz="4" w:space="0" w:color="auto"/>
              <w:bottom w:val="single" w:sz="4" w:space="0" w:color="auto"/>
              <w:right w:val="single" w:sz="4" w:space="0" w:color="auto"/>
            </w:tcBorders>
            <w:vAlign w:val="center"/>
          </w:tcPr>
          <w:p w14:paraId="1CA2BBA5"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A0568DB" w14:textId="77777777" w:rsidR="00E57DAA" w:rsidRDefault="00AC4185">
            <w:pPr>
              <w:autoSpaceDE w:val="0"/>
              <w:autoSpaceDN w:val="0"/>
              <w:adjustRightInd w:val="0"/>
              <w:rPr>
                <w:szCs w:val="21"/>
              </w:rPr>
            </w:pPr>
            <w:r>
              <w:t>南京玻璃纤维研究设计院有限公司</w:t>
            </w:r>
          </w:p>
        </w:tc>
        <w:tc>
          <w:tcPr>
            <w:tcW w:w="1059" w:type="pct"/>
            <w:tcBorders>
              <w:top w:val="single" w:sz="4" w:space="0" w:color="auto"/>
              <w:left w:val="single" w:sz="4" w:space="0" w:color="auto"/>
              <w:bottom w:val="single" w:sz="4" w:space="0" w:color="auto"/>
              <w:right w:val="single" w:sz="4" w:space="0" w:color="auto"/>
            </w:tcBorders>
          </w:tcPr>
          <w:p w14:paraId="2C94711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5C2C5BC" w14:textId="77777777" w:rsidR="00E57DAA" w:rsidRDefault="00AC4185">
            <w:pPr>
              <w:autoSpaceDE w:val="0"/>
              <w:autoSpaceDN w:val="0"/>
              <w:adjustRightInd w:val="0"/>
              <w:jc w:val="right"/>
              <w:rPr>
                <w:szCs w:val="21"/>
              </w:rPr>
            </w:pPr>
            <w:r>
              <w:t>4,160,154.40</w:t>
            </w:r>
          </w:p>
        </w:tc>
      </w:tr>
      <w:tr w:rsidR="00E57DAA" w14:paraId="43D42E28" w14:textId="77777777">
        <w:tc>
          <w:tcPr>
            <w:tcW w:w="640" w:type="pct"/>
            <w:tcBorders>
              <w:top w:val="single" w:sz="4" w:space="0" w:color="auto"/>
              <w:left w:val="single" w:sz="4" w:space="0" w:color="auto"/>
              <w:bottom w:val="single" w:sz="4" w:space="0" w:color="auto"/>
              <w:right w:val="single" w:sz="4" w:space="0" w:color="auto"/>
            </w:tcBorders>
            <w:vAlign w:val="center"/>
          </w:tcPr>
          <w:p w14:paraId="2E0F764F"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23A7A89" w14:textId="77777777" w:rsidR="00E57DAA" w:rsidRDefault="00AC4185">
            <w:pPr>
              <w:autoSpaceDE w:val="0"/>
              <w:autoSpaceDN w:val="0"/>
              <w:adjustRightInd w:val="0"/>
              <w:rPr>
                <w:szCs w:val="21"/>
              </w:rPr>
            </w:pPr>
            <w:r>
              <w:t>湖南湘乡南方新材料科技有限公司</w:t>
            </w:r>
          </w:p>
        </w:tc>
        <w:tc>
          <w:tcPr>
            <w:tcW w:w="1059" w:type="pct"/>
            <w:tcBorders>
              <w:top w:val="single" w:sz="4" w:space="0" w:color="auto"/>
              <w:left w:val="single" w:sz="4" w:space="0" w:color="auto"/>
              <w:bottom w:val="single" w:sz="4" w:space="0" w:color="auto"/>
              <w:right w:val="single" w:sz="4" w:space="0" w:color="auto"/>
            </w:tcBorders>
          </w:tcPr>
          <w:p w14:paraId="387B985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88FE86A" w14:textId="77777777" w:rsidR="00E57DAA" w:rsidRDefault="00AC4185">
            <w:pPr>
              <w:autoSpaceDE w:val="0"/>
              <w:autoSpaceDN w:val="0"/>
              <w:adjustRightInd w:val="0"/>
              <w:jc w:val="right"/>
              <w:rPr>
                <w:szCs w:val="21"/>
              </w:rPr>
            </w:pPr>
            <w:r>
              <w:t>2,700,000.00</w:t>
            </w:r>
          </w:p>
        </w:tc>
      </w:tr>
      <w:tr w:rsidR="00E57DAA" w14:paraId="3EDCE46F" w14:textId="77777777">
        <w:tc>
          <w:tcPr>
            <w:tcW w:w="640" w:type="pct"/>
            <w:tcBorders>
              <w:top w:val="single" w:sz="4" w:space="0" w:color="auto"/>
              <w:left w:val="single" w:sz="4" w:space="0" w:color="auto"/>
              <w:bottom w:val="single" w:sz="4" w:space="0" w:color="auto"/>
              <w:right w:val="single" w:sz="4" w:space="0" w:color="auto"/>
            </w:tcBorders>
            <w:vAlign w:val="center"/>
          </w:tcPr>
          <w:p w14:paraId="3DFB93EA"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77665A9C" w14:textId="77777777" w:rsidR="00E57DAA" w:rsidRDefault="00AC4185">
            <w:pPr>
              <w:autoSpaceDE w:val="0"/>
              <w:autoSpaceDN w:val="0"/>
              <w:adjustRightInd w:val="0"/>
              <w:rPr>
                <w:szCs w:val="21"/>
              </w:rPr>
            </w:pPr>
            <w:r>
              <w:t>海盐沈荡南方混凝土有限公司</w:t>
            </w:r>
          </w:p>
        </w:tc>
        <w:tc>
          <w:tcPr>
            <w:tcW w:w="1059" w:type="pct"/>
            <w:tcBorders>
              <w:top w:val="single" w:sz="4" w:space="0" w:color="auto"/>
              <w:left w:val="single" w:sz="4" w:space="0" w:color="auto"/>
              <w:bottom w:val="single" w:sz="4" w:space="0" w:color="auto"/>
              <w:right w:val="single" w:sz="4" w:space="0" w:color="auto"/>
            </w:tcBorders>
          </w:tcPr>
          <w:p w14:paraId="2CAF146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3AD6A89" w14:textId="77777777" w:rsidR="00E57DAA" w:rsidRDefault="00AC4185">
            <w:pPr>
              <w:autoSpaceDE w:val="0"/>
              <w:autoSpaceDN w:val="0"/>
              <w:adjustRightInd w:val="0"/>
              <w:jc w:val="right"/>
              <w:rPr>
                <w:szCs w:val="21"/>
              </w:rPr>
            </w:pPr>
            <w:r>
              <w:t>792,328.67</w:t>
            </w:r>
          </w:p>
        </w:tc>
      </w:tr>
      <w:tr w:rsidR="00E57DAA" w14:paraId="336E1C66" w14:textId="77777777">
        <w:tc>
          <w:tcPr>
            <w:tcW w:w="640" w:type="pct"/>
            <w:tcBorders>
              <w:top w:val="single" w:sz="4" w:space="0" w:color="auto"/>
              <w:left w:val="single" w:sz="4" w:space="0" w:color="auto"/>
              <w:bottom w:val="single" w:sz="4" w:space="0" w:color="auto"/>
              <w:right w:val="single" w:sz="4" w:space="0" w:color="auto"/>
            </w:tcBorders>
            <w:vAlign w:val="center"/>
          </w:tcPr>
          <w:p w14:paraId="3B3447EC"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5FB7FB27" w14:textId="77777777" w:rsidR="00E57DAA" w:rsidRDefault="00AC4185">
            <w:pPr>
              <w:autoSpaceDE w:val="0"/>
              <w:autoSpaceDN w:val="0"/>
              <w:adjustRightInd w:val="0"/>
              <w:rPr>
                <w:szCs w:val="21"/>
              </w:rPr>
            </w:pPr>
            <w:r>
              <w:t>受最终控制方控制的其他企业</w:t>
            </w:r>
          </w:p>
        </w:tc>
        <w:tc>
          <w:tcPr>
            <w:tcW w:w="1059" w:type="pct"/>
            <w:tcBorders>
              <w:top w:val="single" w:sz="4" w:space="0" w:color="auto"/>
              <w:left w:val="single" w:sz="4" w:space="0" w:color="auto"/>
              <w:bottom w:val="single" w:sz="4" w:space="0" w:color="auto"/>
              <w:right w:val="single" w:sz="4" w:space="0" w:color="auto"/>
            </w:tcBorders>
          </w:tcPr>
          <w:p w14:paraId="302AFFE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CA7261D" w14:textId="77777777" w:rsidR="00E57DAA" w:rsidRDefault="00AC4185">
            <w:pPr>
              <w:autoSpaceDE w:val="0"/>
              <w:autoSpaceDN w:val="0"/>
              <w:adjustRightInd w:val="0"/>
              <w:jc w:val="right"/>
              <w:rPr>
                <w:szCs w:val="21"/>
              </w:rPr>
            </w:pPr>
            <w:r>
              <w:t xml:space="preserve">　</w:t>
            </w:r>
          </w:p>
        </w:tc>
      </w:tr>
      <w:tr w:rsidR="00E57DAA" w14:paraId="2FBF6442" w14:textId="77777777">
        <w:tc>
          <w:tcPr>
            <w:tcW w:w="640" w:type="pct"/>
            <w:tcBorders>
              <w:top w:val="single" w:sz="4" w:space="0" w:color="auto"/>
              <w:left w:val="single" w:sz="4" w:space="0" w:color="auto"/>
              <w:bottom w:val="single" w:sz="4" w:space="0" w:color="auto"/>
              <w:right w:val="single" w:sz="4" w:space="0" w:color="auto"/>
            </w:tcBorders>
            <w:vAlign w:val="center"/>
          </w:tcPr>
          <w:p w14:paraId="22444442"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FFB4B3B" w14:textId="77777777" w:rsidR="00E57DAA" w:rsidRDefault="00AC4185">
            <w:pPr>
              <w:autoSpaceDE w:val="0"/>
              <w:autoSpaceDN w:val="0"/>
              <w:adjustRightInd w:val="0"/>
              <w:rPr>
                <w:szCs w:val="21"/>
              </w:rPr>
            </w:pPr>
            <w:r>
              <w:t>中材节能股份有限公司</w:t>
            </w:r>
          </w:p>
        </w:tc>
        <w:tc>
          <w:tcPr>
            <w:tcW w:w="1059" w:type="pct"/>
            <w:tcBorders>
              <w:top w:val="single" w:sz="4" w:space="0" w:color="auto"/>
              <w:left w:val="single" w:sz="4" w:space="0" w:color="auto"/>
              <w:bottom w:val="single" w:sz="4" w:space="0" w:color="auto"/>
              <w:right w:val="single" w:sz="4" w:space="0" w:color="auto"/>
            </w:tcBorders>
          </w:tcPr>
          <w:p w14:paraId="5681D333" w14:textId="77777777" w:rsidR="00E57DAA" w:rsidRDefault="00AC4185">
            <w:pPr>
              <w:autoSpaceDE w:val="0"/>
              <w:autoSpaceDN w:val="0"/>
              <w:adjustRightInd w:val="0"/>
              <w:jc w:val="right"/>
              <w:rPr>
                <w:szCs w:val="21"/>
              </w:rPr>
            </w:pPr>
            <w:r>
              <w:t>8,785,600.00</w:t>
            </w:r>
          </w:p>
        </w:tc>
        <w:tc>
          <w:tcPr>
            <w:tcW w:w="1407" w:type="pct"/>
            <w:tcBorders>
              <w:top w:val="single" w:sz="4" w:space="0" w:color="auto"/>
              <w:left w:val="single" w:sz="4" w:space="0" w:color="auto"/>
              <w:bottom w:val="single" w:sz="4" w:space="0" w:color="auto"/>
              <w:right w:val="single" w:sz="4" w:space="0" w:color="auto"/>
            </w:tcBorders>
          </w:tcPr>
          <w:p w14:paraId="4D903148" w14:textId="77777777" w:rsidR="00E57DAA" w:rsidRDefault="00AC4185">
            <w:pPr>
              <w:autoSpaceDE w:val="0"/>
              <w:autoSpaceDN w:val="0"/>
              <w:adjustRightInd w:val="0"/>
              <w:jc w:val="right"/>
              <w:rPr>
                <w:szCs w:val="21"/>
              </w:rPr>
            </w:pPr>
            <w:r>
              <w:t>3,684,000.00</w:t>
            </w:r>
          </w:p>
        </w:tc>
      </w:tr>
      <w:tr w:rsidR="00E57DAA" w14:paraId="20FC66FC" w14:textId="77777777">
        <w:tc>
          <w:tcPr>
            <w:tcW w:w="640" w:type="pct"/>
            <w:tcBorders>
              <w:top w:val="single" w:sz="4" w:space="0" w:color="auto"/>
              <w:left w:val="single" w:sz="4" w:space="0" w:color="auto"/>
              <w:bottom w:val="single" w:sz="4" w:space="0" w:color="auto"/>
              <w:right w:val="single" w:sz="4" w:space="0" w:color="auto"/>
            </w:tcBorders>
            <w:vAlign w:val="center"/>
          </w:tcPr>
          <w:p w14:paraId="5C760E4B"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80F36AD" w14:textId="77777777" w:rsidR="00E57DAA" w:rsidRDefault="00AC4185">
            <w:pPr>
              <w:autoSpaceDE w:val="0"/>
              <w:autoSpaceDN w:val="0"/>
              <w:adjustRightInd w:val="0"/>
              <w:rPr>
                <w:szCs w:val="21"/>
              </w:rPr>
            </w:pPr>
            <w:r>
              <w:t>南通万达能源动力科技有限公司</w:t>
            </w:r>
          </w:p>
        </w:tc>
        <w:tc>
          <w:tcPr>
            <w:tcW w:w="1059" w:type="pct"/>
            <w:tcBorders>
              <w:top w:val="single" w:sz="4" w:space="0" w:color="auto"/>
              <w:left w:val="single" w:sz="4" w:space="0" w:color="auto"/>
              <w:bottom w:val="single" w:sz="4" w:space="0" w:color="auto"/>
              <w:right w:val="single" w:sz="4" w:space="0" w:color="auto"/>
            </w:tcBorders>
          </w:tcPr>
          <w:p w14:paraId="3AB1661C" w14:textId="77777777" w:rsidR="00E57DAA" w:rsidRDefault="00AC4185">
            <w:pPr>
              <w:autoSpaceDE w:val="0"/>
              <w:autoSpaceDN w:val="0"/>
              <w:adjustRightInd w:val="0"/>
              <w:jc w:val="right"/>
              <w:rPr>
                <w:szCs w:val="21"/>
              </w:rPr>
            </w:pPr>
            <w:r>
              <w:t>4,719,000.00</w:t>
            </w:r>
          </w:p>
        </w:tc>
        <w:tc>
          <w:tcPr>
            <w:tcW w:w="1407" w:type="pct"/>
            <w:tcBorders>
              <w:top w:val="single" w:sz="4" w:space="0" w:color="auto"/>
              <w:left w:val="single" w:sz="4" w:space="0" w:color="auto"/>
              <w:bottom w:val="single" w:sz="4" w:space="0" w:color="auto"/>
              <w:right w:val="single" w:sz="4" w:space="0" w:color="auto"/>
            </w:tcBorders>
          </w:tcPr>
          <w:p w14:paraId="42A72327" w14:textId="77777777" w:rsidR="00E57DAA" w:rsidRDefault="00AC4185">
            <w:pPr>
              <w:autoSpaceDE w:val="0"/>
              <w:autoSpaceDN w:val="0"/>
              <w:adjustRightInd w:val="0"/>
              <w:jc w:val="right"/>
              <w:rPr>
                <w:szCs w:val="21"/>
              </w:rPr>
            </w:pPr>
            <w:r>
              <w:t>12,475,000.00</w:t>
            </w:r>
          </w:p>
        </w:tc>
      </w:tr>
      <w:tr w:rsidR="00E57DAA" w14:paraId="02B99563" w14:textId="77777777">
        <w:tc>
          <w:tcPr>
            <w:tcW w:w="640" w:type="pct"/>
            <w:tcBorders>
              <w:top w:val="single" w:sz="4" w:space="0" w:color="auto"/>
              <w:left w:val="single" w:sz="4" w:space="0" w:color="auto"/>
              <w:bottom w:val="single" w:sz="4" w:space="0" w:color="auto"/>
              <w:right w:val="single" w:sz="4" w:space="0" w:color="auto"/>
            </w:tcBorders>
            <w:vAlign w:val="center"/>
          </w:tcPr>
          <w:p w14:paraId="0E07A6E5"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69A4E65" w14:textId="77777777" w:rsidR="00E57DAA" w:rsidRDefault="00AC4185">
            <w:pPr>
              <w:autoSpaceDE w:val="0"/>
              <w:autoSpaceDN w:val="0"/>
              <w:adjustRightInd w:val="0"/>
              <w:rPr>
                <w:szCs w:val="21"/>
              </w:rPr>
            </w:pPr>
            <w:r>
              <w:t>上海新建重型机械有限公司</w:t>
            </w:r>
          </w:p>
        </w:tc>
        <w:tc>
          <w:tcPr>
            <w:tcW w:w="1059" w:type="pct"/>
            <w:tcBorders>
              <w:top w:val="single" w:sz="4" w:space="0" w:color="auto"/>
              <w:left w:val="single" w:sz="4" w:space="0" w:color="auto"/>
              <w:bottom w:val="single" w:sz="4" w:space="0" w:color="auto"/>
              <w:right w:val="single" w:sz="4" w:space="0" w:color="auto"/>
            </w:tcBorders>
          </w:tcPr>
          <w:p w14:paraId="78BE6329" w14:textId="77777777" w:rsidR="00E57DAA" w:rsidRDefault="00AC4185">
            <w:pPr>
              <w:autoSpaceDE w:val="0"/>
              <w:autoSpaceDN w:val="0"/>
              <w:adjustRightInd w:val="0"/>
              <w:jc w:val="right"/>
              <w:rPr>
                <w:szCs w:val="21"/>
              </w:rPr>
            </w:pPr>
            <w:r>
              <w:t>4,266,000.00</w:t>
            </w:r>
          </w:p>
        </w:tc>
        <w:tc>
          <w:tcPr>
            <w:tcW w:w="1407" w:type="pct"/>
            <w:tcBorders>
              <w:top w:val="single" w:sz="4" w:space="0" w:color="auto"/>
              <w:left w:val="single" w:sz="4" w:space="0" w:color="auto"/>
              <w:bottom w:val="single" w:sz="4" w:space="0" w:color="auto"/>
              <w:right w:val="single" w:sz="4" w:space="0" w:color="auto"/>
            </w:tcBorders>
          </w:tcPr>
          <w:p w14:paraId="3AEF205E" w14:textId="77777777" w:rsidR="00E57DAA" w:rsidRDefault="00AC4185">
            <w:pPr>
              <w:autoSpaceDE w:val="0"/>
              <w:autoSpaceDN w:val="0"/>
              <w:adjustRightInd w:val="0"/>
              <w:jc w:val="right"/>
              <w:rPr>
                <w:szCs w:val="21"/>
              </w:rPr>
            </w:pPr>
            <w:r>
              <w:t>16,733,000.00</w:t>
            </w:r>
          </w:p>
        </w:tc>
      </w:tr>
      <w:tr w:rsidR="00E57DAA" w14:paraId="5F0DDBEC" w14:textId="77777777">
        <w:tc>
          <w:tcPr>
            <w:tcW w:w="640" w:type="pct"/>
            <w:tcBorders>
              <w:top w:val="single" w:sz="4" w:space="0" w:color="auto"/>
              <w:left w:val="single" w:sz="4" w:space="0" w:color="auto"/>
              <w:bottom w:val="single" w:sz="4" w:space="0" w:color="auto"/>
              <w:right w:val="single" w:sz="4" w:space="0" w:color="auto"/>
            </w:tcBorders>
            <w:vAlign w:val="center"/>
          </w:tcPr>
          <w:p w14:paraId="24A4A546"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B652BA6" w14:textId="77777777" w:rsidR="00E57DAA" w:rsidRDefault="00AC4185">
            <w:pPr>
              <w:autoSpaceDE w:val="0"/>
              <w:autoSpaceDN w:val="0"/>
              <w:adjustRightInd w:val="0"/>
              <w:rPr>
                <w:szCs w:val="21"/>
              </w:rPr>
            </w:pPr>
            <w:r>
              <w:t>凯盛重工有限公司</w:t>
            </w:r>
          </w:p>
        </w:tc>
        <w:tc>
          <w:tcPr>
            <w:tcW w:w="1059" w:type="pct"/>
            <w:tcBorders>
              <w:top w:val="single" w:sz="4" w:space="0" w:color="auto"/>
              <w:left w:val="single" w:sz="4" w:space="0" w:color="auto"/>
              <w:bottom w:val="single" w:sz="4" w:space="0" w:color="auto"/>
              <w:right w:val="single" w:sz="4" w:space="0" w:color="auto"/>
            </w:tcBorders>
          </w:tcPr>
          <w:p w14:paraId="53485925" w14:textId="77777777" w:rsidR="00E57DAA" w:rsidRDefault="00AC4185">
            <w:pPr>
              <w:autoSpaceDE w:val="0"/>
              <w:autoSpaceDN w:val="0"/>
              <w:adjustRightInd w:val="0"/>
              <w:jc w:val="right"/>
              <w:rPr>
                <w:szCs w:val="21"/>
              </w:rPr>
            </w:pPr>
            <w:r>
              <w:t>3,000,000.00</w:t>
            </w:r>
          </w:p>
        </w:tc>
        <w:tc>
          <w:tcPr>
            <w:tcW w:w="1407" w:type="pct"/>
            <w:tcBorders>
              <w:top w:val="single" w:sz="4" w:space="0" w:color="auto"/>
              <w:left w:val="single" w:sz="4" w:space="0" w:color="auto"/>
              <w:bottom w:val="single" w:sz="4" w:space="0" w:color="auto"/>
              <w:right w:val="single" w:sz="4" w:space="0" w:color="auto"/>
            </w:tcBorders>
          </w:tcPr>
          <w:p w14:paraId="1990B21E" w14:textId="77777777" w:rsidR="00E57DAA" w:rsidRDefault="00AC4185">
            <w:pPr>
              <w:autoSpaceDE w:val="0"/>
              <w:autoSpaceDN w:val="0"/>
              <w:adjustRightInd w:val="0"/>
              <w:jc w:val="right"/>
              <w:rPr>
                <w:szCs w:val="21"/>
              </w:rPr>
            </w:pPr>
            <w:r>
              <w:t xml:space="preserve">　</w:t>
            </w:r>
          </w:p>
        </w:tc>
      </w:tr>
      <w:tr w:rsidR="00E57DAA" w14:paraId="01E1E872" w14:textId="77777777">
        <w:tc>
          <w:tcPr>
            <w:tcW w:w="640" w:type="pct"/>
            <w:tcBorders>
              <w:top w:val="single" w:sz="4" w:space="0" w:color="auto"/>
              <w:left w:val="single" w:sz="4" w:space="0" w:color="auto"/>
              <w:bottom w:val="single" w:sz="4" w:space="0" w:color="auto"/>
              <w:right w:val="single" w:sz="4" w:space="0" w:color="auto"/>
            </w:tcBorders>
            <w:vAlign w:val="center"/>
          </w:tcPr>
          <w:p w14:paraId="31BAE153"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6962F8E7" w14:textId="77777777" w:rsidR="00E57DAA" w:rsidRDefault="00AC4185">
            <w:pPr>
              <w:autoSpaceDE w:val="0"/>
              <w:autoSpaceDN w:val="0"/>
              <w:adjustRightInd w:val="0"/>
              <w:rPr>
                <w:szCs w:val="21"/>
              </w:rPr>
            </w:pPr>
            <w:r>
              <w:t>成都中建材光电材料有限公司</w:t>
            </w:r>
          </w:p>
        </w:tc>
        <w:tc>
          <w:tcPr>
            <w:tcW w:w="1059" w:type="pct"/>
            <w:tcBorders>
              <w:top w:val="single" w:sz="4" w:space="0" w:color="auto"/>
              <w:left w:val="single" w:sz="4" w:space="0" w:color="auto"/>
              <w:bottom w:val="single" w:sz="4" w:space="0" w:color="auto"/>
              <w:right w:val="single" w:sz="4" w:space="0" w:color="auto"/>
            </w:tcBorders>
          </w:tcPr>
          <w:p w14:paraId="14F3A843" w14:textId="77777777" w:rsidR="00E57DAA" w:rsidRDefault="00AC4185">
            <w:pPr>
              <w:autoSpaceDE w:val="0"/>
              <w:autoSpaceDN w:val="0"/>
              <w:adjustRightInd w:val="0"/>
              <w:jc w:val="right"/>
              <w:rPr>
                <w:szCs w:val="21"/>
              </w:rPr>
            </w:pPr>
            <w:r>
              <w:t>3,000,000.00</w:t>
            </w:r>
          </w:p>
        </w:tc>
        <w:tc>
          <w:tcPr>
            <w:tcW w:w="1407" w:type="pct"/>
            <w:tcBorders>
              <w:top w:val="single" w:sz="4" w:space="0" w:color="auto"/>
              <w:left w:val="single" w:sz="4" w:space="0" w:color="auto"/>
              <w:bottom w:val="single" w:sz="4" w:space="0" w:color="auto"/>
              <w:right w:val="single" w:sz="4" w:space="0" w:color="auto"/>
            </w:tcBorders>
          </w:tcPr>
          <w:p w14:paraId="628ACCDB" w14:textId="77777777" w:rsidR="00E57DAA" w:rsidRDefault="00AC4185">
            <w:pPr>
              <w:autoSpaceDE w:val="0"/>
              <w:autoSpaceDN w:val="0"/>
              <w:adjustRightInd w:val="0"/>
              <w:jc w:val="right"/>
              <w:rPr>
                <w:szCs w:val="21"/>
              </w:rPr>
            </w:pPr>
            <w:r>
              <w:t>5,984,499.00</w:t>
            </w:r>
          </w:p>
        </w:tc>
      </w:tr>
      <w:tr w:rsidR="00E57DAA" w14:paraId="4DBEB49C" w14:textId="77777777">
        <w:tc>
          <w:tcPr>
            <w:tcW w:w="640" w:type="pct"/>
            <w:tcBorders>
              <w:top w:val="single" w:sz="4" w:space="0" w:color="auto"/>
              <w:left w:val="single" w:sz="4" w:space="0" w:color="auto"/>
              <w:bottom w:val="single" w:sz="4" w:space="0" w:color="auto"/>
              <w:right w:val="single" w:sz="4" w:space="0" w:color="auto"/>
            </w:tcBorders>
            <w:vAlign w:val="center"/>
          </w:tcPr>
          <w:p w14:paraId="529F0CB1"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AB6D3BF" w14:textId="77777777" w:rsidR="00E57DAA" w:rsidRDefault="00AC4185">
            <w:pPr>
              <w:autoSpaceDE w:val="0"/>
              <w:autoSpaceDN w:val="0"/>
              <w:adjustRightInd w:val="0"/>
              <w:rPr>
                <w:szCs w:val="21"/>
              </w:rPr>
            </w:pPr>
            <w:r>
              <w:t>中建材矿业投资江苏有限公司</w:t>
            </w:r>
          </w:p>
        </w:tc>
        <w:tc>
          <w:tcPr>
            <w:tcW w:w="1059" w:type="pct"/>
            <w:tcBorders>
              <w:top w:val="single" w:sz="4" w:space="0" w:color="auto"/>
              <w:left w:val="single" w:sz="4" w:space="0" w:color="auto"/>
              <w:bottom w:val="single" w:sz="4" w:space="0" w:color="auto"/>
              <w:right w:val="single" w:sz="4" w:space="0" w:color="auto"/>
            </w:tcBorders>
          </w:tcPr>
          <w:p w14:paraId="12E61105" w14:textId="77777777" w:rsidR="00E57DAA" w:rsidRDefault="00AC4185">
            <w:pPr>
              <w:autoSpaceDE w:val="0"/>
              <w:autoSpaceDN w:val="0"/>
              <w:adjustRightInd w:val="0"/>
              <w:jc w:val="right"/>
              <w:rPr>
                <w:szCs w:val="21"/>
              </w:rPr>
            </w:pPr>
            <w:r>
              <w:t>3,000,000.00</w:t>
            </w:r>
          </w:p>
        </w:tc>
        <w:tc>
          <w:tcPr>
            <w:tcW w:w="1407" w:type="pct"/>
            <w:tcBorders>
              <w:top w:val="single" w:sz="4" w:space="0" w:color="auto"/>
              <w:left w:val="single" w:sz="4" w:space="0" w:color="auto"/>
              <w:bottom w:val="single" w:sz="4" w:space="0" w:color="auto"/>
              <w:right w:val="single" w:sz="4" w:space="0" w:color="auto"/>
            </w:tcBorders>
          </w:tcPr>
          <w:p w14:paraId="1F279CFF" w14:textId="77777777" w:rsidR="00E57DAA" w:rsidRDefault="00AC4185">
            <w:pPr>
              <w:autoSpaceDE w:val="0"/>
              <w:autoSpaceDN w:val="0"/>
              <w:adjustRightInd w:val="0"/>
              <w:jc w:val="right"/>
              <w:rPr>
                <w:szCs w:val="21"/>
              </w:rPr>
            </w:pPr>
            <w:r>
              <w:t xml:space="preserve">　</w:t>
            </w:r>
          </w:p>
        </w:tc>
      </w:tr>
      <w:tr w:rsidR="00E57DAA" w14:paraId="4C5778A5" w14:textId="77777777">
        <w:tc>
          <w:tcPr>
            <w:tcW w:w="640" w:type="pct"/>
            <w:tcBorders>
              <w:top w:val="single" w:sz="4" w:space="0" w:color="auto"/>
              <w:left w:val="single" w:sz="4" w:space="0" w:color="auto"/>
              <w:bottom w:val="single" w:sz="4" w:space="0" w:color="auto"/>
              <w:right w:val="single" w:sz="4" w:space="0" w:color="auto"/>
            </w:tcBorders>
            <w:vAlign w:val="center"/>
          </w:tcPr>
          <w:p w14:paraId="28239393"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77E12C24" w14:textId="77777777" w:rsidR="00E57DAA" w:rsidRDefault="00AC4185">
            <w:pPr>
              <w:autoSpaceDE w:val="0"/>
              <w:autoSpaceDN w:val="0"/>
              <w:adjustRightInd w:val="0"/>
              <w:rPr>
                <w:szCs w:val="21"/>
              </w:rPr>
            </w:pPr>
            <w:r>
              <w:t>中材高新材料股份有限公司</w:t>
            </w:r>
          </w:p>
        </w:tc>
        <w:tc>
          <w:tcPr>
            <w:tcW w:w="1059" w:type="pct"/>
            <w:tcBorders>
              <w:top w:val="single" w:sz="4" w:space="0" w:color="auto"/>
              <w:left w:val="single" w:sz="4" w:space="0" w:color="auto"/>
              <w:bottom w:val="single" w:sz="4" w:space="0" w:color="auto"/>
              <w:right w:val="single" w:sz="4" w:space="0" w:color="auto"/>
            </w:tcBorders>
          </w:tcPr>
          <w:p w14:paraId="146754B2" w14:textId="77777777" w:rsidR="00E57DAA" w:rsidRDefault="00AC4185">
            <w:pPr>
              <w:autoSpaceDE w:val="0"/>
              <w:autoSpaceDN w:val="0"/>
              <w:adjustRightInd w:val="0"/>
              <w:jc w:val="right"/>
              <w:rPr>
                <w:szCs w:val="21"/>
              </w:rPr>
            </w:pPr>
            <w:r>
              <w:t>2,097,150.40</w:t>
            </w:r>
          </w:p>
        </w:tc>
        <w:tc>
          <w:tcPr>
            <w:tcW w:w="1407" w:type="pct"/>
            <w:tcBorders>
              <w:top w:val="single" w:sz="4" w:space="0" w:color="auto"/>
              <w:left w:val="single" w:sz="4" w:space="0" w:color="auto"/>
              <w:bottom w:val="single" w:sz="4" w:space="0" w:color="auto"/>
              <w:right w:val="single" w:sz="4" w:space="0" w:color="auto"/>
            </w:tcBorders>
          </w:tcPr>
          <w:p w14:paraId="5B28EEA1" w14:textId="77777777" w:rsidR="00E57DAA" w:rsidRDefault="00AC4185">
            <w:pPr>
              <w:autoSpaceDE w:val="0"/>
              <w:autoSpaceDN w:val="0"/>
              <w:adjustRightInd w:val="0"/>
              <w:jc w:val="right"/>
              <w:rPr>
                <w:szCs w:val="21"/>
              </w:rPr>
            </w:pPr>
            <w:r>
              <w:t xml:space="preserve">　</w:t>
            </w:r>
          </w:p>
        </w:tc>
      </w:tr>
      <w:tr w:rsidR="00E57DAA" w14:paraId="523BA562" w14:textId="77777777">
        <w:tc>
          <w:tcPr>
            <w:tcW w:w="640" w:type="pct"/>
            <w:tcBorders>
              <w:top w:val="single" w:sz="4" w:space="0" w:color="auto"/>
              <w:left w:val="single" w:sz="4" w:space="0" w:color="auto"/>
              <w:bottom w:val="single" w:sz="4" w:space="0" w:color="auto"/>
              <w:right w:val="single" w:sz="4" w:space="0" w:color="auto"/>
            </w:tcBorders>
            <w:vAlign w:val="center"/>
          </w:tcPr>
          <w:p w14:paraId="52BC29D5"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179DACB1" w14:textId="77777777" w:rsidR="00E57DAA" w:rsidRDefault="00AC4185">
            <w:pPr>
              <w:autoSpaceDE w:val="0"/>
              <w:autoSpaceDN w:val="0"/>
              <w:adjustRightInd w:val="0"/>
              <w:rPr>
                <w:szCs w:val="21"/>
              </w:rPr>
            </w:pPr>
            <w:r>
              <w:t>新疆凯盛建材设计研究院（有限公司）</w:t>
            </w:r>
          </w:p>
        </w:tc>
        <w:tc>
          <w:tcPr>
            <w:tcW w:w="1059" w:type="pct"/>
            <w:tcBorders>
              <w:top w:val="single" w:sz="4" w:space="0" w:color="auto"/>
              <w:left w:val="single" w:sz="4" w:space="0" w:color="auto"/>
              <w:bottom w:val="single" w:sz="4" w:space="0" w:color="auto"/>
              <w:right w:val="single" w:sz="4" w:space="0" w:color="auto"/>
            </w:tcBorders>
          </w:tcPr>
          <w:p w14:paraId="16F6D3C0" w14:textId="77777777" w:rsidR="00E57DAA" w:rsidRDefault="00AC4185">
            <w:pPr>
              <w:autoSpaceDE w:val="0"/>
              <w:autoSpaceDN w:val="0"/>
              <w:adjustRightInd w:val="0"/>
              <w:jc w:val="right"/>
              <w:rPr>
                <w:szCs w:val="21"/>
              </w:rPr>
            </w:pPr>
            <w:r>
              <w:t>2,000,000.00</w:t>
            </w:r>
          </w:p>
        </w:tc>
        <w:tc>
          <w:tcPr>
            <w:tcW w:w="1407" w:type="pct"/>
            <w:tcBorders>
              <w:top w:val="single" w:sz="4" w:space="0" w:color="auto"/>
              <w:left w:val="single" w:sz="4" w:space="0" w:color="auto"/>
              <w:bottom w:val="single" w:sz="4" w:space="0" w:color="auto"/>
              <w:right w:val="single" w:sz="4" w:space="0" w:color="auto"/>
            </w:tcBorders>
          </w:tcPr>
          <w:p w14:paraId="1626313D" w14:textId="77777777" w:rsidR="00E57DAA" w:rsidRDefault="00AC4185">
            <w:pPr>
              <w:autoSpaceDE w:val="0"/>
              <w:autoSpaceDN w:val="0"/>
              <w:adjustRightInd w:val="0"/>
              <w:jc w:val="right"/>
              <w:rPr>
                <w:szCs w:val="21"/>
              </w:rPr>
            </w:pPr>
            <w:r>
              <w:t>2,515,500.00</w:t>
            </w:r>
          </w:p>
        </w:tc>
      </w:tr>
      <w:tr w:rsidR="00E57DAA" w14:paraId="6943B0F8" w14:textId="77777777">
        <w:tc>
          <w:tcPr>
            <w:tcW w:w="640" w:type="pct"/>
            <w:tcBorders>
              <w:top w:val="single" w:sz="4" w:space="0" w:color="auto"/>
              <w:left w:val="single" w:sz="4" w:space="0" w:color="auto"/>
              <w:bottom w:val="single" w:sz="4" w:space="0" w:color="auto"/>
              <w:right w:val="single" w:sz="4" w:space="0" w:color="auto"/>
            </w:tcBorders>
            <w:vAlign w:val="center"/>
          </w:tcPr>
          <w:p w14:paraId="55449198"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42924AC3" w14:textId="77777777" w:rsidR="00E57DAA" w:rsidRDefault="00AC4185">
            <w:pPr>
              <w:autoSpaceDE w:val="0"/>
              <w:autoSpaceDN w:val="0"/>
              <w:adjustRightInd w:val="0"/>
              <w:rPr>
                <w:szCs w:val="21"/>
              </w:rPr>
            </w:pPr>
            <w:r>
              <w:t>中建材中岩科技有限公司</w:t>
            </w:r>
          </w:p>
        </w:tc>
        <w:tc>
          <w:tcPr>
            <w:tcW w:w="1059" w:type="pct"/>
            <w:tcBorders>
              <w:top w:val="single" w:sz="4" w:space="0" w:color="auto"/>
              <w:left w:val="single" w:sz="4" w:space="0" w:color="auto"/>
              <w:bottom w:val="single" w:sz="4" w:space="0" w:color="auto"/>
              <w:right w:val="single" w:sz="4" w:space="0" w:color="auto"/>
            </w:tcBorders>
          </w:tcPr>
          <w:p w14:paraId="014AECD1" w14:textId="77777777" w:rsidR="00E57DAA" w:rsidRDefault="00AC4185">
            <w:pPr>
              <w:autoSpaceDE w:val="0"/>
              <w:autoSpaceDN w:val="0"/>
              <w:adjustRightInd w:val="0"/>
              <w:jc w:val="right"/>
              <w:rPr>
                <w:szCs w:val="21"/>
              </w:rPr>
            </w:pPr>
            <w:r>
              <w:t>1,174,000.00</w:t>
            </w:r>
          </w:p>
        </w:tc>
        <w:tc>
          <w:tcPr>
            <w:tcW w:w="1407" w:type="pct"/>
            <w:tcBorders>
              <w:top w:val="single" w:sz="4" w:space="0" w:color="auto"/>
              <w:left w:val="single" w:sz="4" w:space="0" w:color="auto"/>
              <w:bottom w:val="single" w:sz="4" w:space="0" w:color="auto"/>
              <w:right w:val="single" w:sz="4" w:space="0" w:color="auto"/>
            </w:tcBorders>
          </w:tcPr>
          <w:p w14:paraId="326BB677" w14:textId="77777777" w:rsidR="00E57DAA" w:rsidRDefault="00AC4185">
            <w:pPr>
              <w:autoSpaceDE w:val="0"/>
              <w:autoSpaceDN w:val="0"/>
              <w:adjustRightInd w:val="0"/>
              <w:jc w:val="right"/>
              <w:rPr>
                <w:szCs w:val="21"/>
              </w:rPr>
            </w:pPr>
            <w:r>
              <w:t>1,000,000.00</w:t>
            </w:r>
          </w:p>
        </w:tc>
      </w:tr>
      <w:tr w:rsidR="00E57DAA" w14:paraId="3D414FFF" w14:textId="77777777">
        <w:tc>
          <w:tcPr>
            <w:tcW w:w="640" w:type="pct"/>
            <w:tcBorders>
              <w:top w:val="single" w:sz="4" w:space="0" w:color="auto"/>
              <w:left w:val="single" w:sz="4" w:space="0" w:color="auto"/>
              <w:bottom w:val="single" w:sz="4" w:space="0" w:color="auto"/>
              <w:right w:val="single" w:sz="4" w:space="0" w:color="auto"/>
            </w:tcBorders>
            <w:vAlign w:val="center"/>
          </w:tcPr>
          <w:p w14:paraId="64E91935"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D78F931" w14:textId="77777777" w:rsidR="00E57DAA" w:rsidRDefault="00AC4185">
            <w:pPr>
              <w:autoSpaceDE w:val="0"/>
              <w:autoSpaceDN w:val="0"/>
              <w:adjustRightInd w:val="0"/>
              <w:rPr>
                <w:szCs w:val="21"/>
              </w:rPr>
            </w:pPr>
            <w:r>
              <w:t>合肥中辰轻工机械有限公司</w:t>
            </w:r>
          </w:p>
        </w:tc>
        <w:tc>
          <w:tcPr>
            <w:tcW w:w="1059" w:type="pct"/>
            <w:tcBorders>
              <w:top w:val="single" w:sz="4" w:space="0" w:color="auto"/>
              <w:left w:val="single" w:sz="4" w:space="0" w:color="auto"/>
              <w:bottom w:val="single" w:sz="4" w:space="0" w:color="auto"/>
              <w:right w:val="single" w:sz="4" w:space="0" w:color="auto"/>
            </w:tcBorders>
          </w:tcPr>
          <w:p w14:paraId="04FCBF12" w14:textId="77777777" w:rsidR="00E57DAA" w:rsidRDefault="00AC4185">
            <w:pPr>
              <w:autoSpaceDE w:val="0"/>
              <w:autoSpaceDN w:val="0"/>
              <w:adjustRightInd w:val="0"/>
              <w:jc w:val="right"/>
              <w:rPr>
                <w:szCs w:val="21"/>
              </w:rPr>
            </w:pPr>
            <w:r>
              <w:t>1,045,830.00</w:t>
            </w:r>
          </w:p>
        </w:tc>
        <w:tc>
          <w:tcPr>
            <w:tcW w:w="1407" w:type="pct"/>
            <w:tcBorders>
              <w:top w:val="single" w:sz="4" w:space="0" w:color="auto"/>
              <w:left w:val="single" w:sz="4" w:space="0" w:color="auto"/>
              <w:bottom w:val="single" w:sz="4" w:space="0" w:color="auto"/>
              <w:right w:val="single" w:sz="4" w:space="0" w:color="auto"/>
            </w:tcBorders>
          </w:tcPr>
          <w:p w14:paraId="6F3AC916" w14:textId="77777777" w:rsidR="00E57DAA" w:rsidRDefault="00AC4185">
            <w:pPr>
              <w:autoSpaceDE w:val="0"/>
              <w:autoSpaceDN w:val="0"/>
              <w:adjustRightInd w:val="0"/>
              <w:jc w:val="right"/>
              <w:rPr>
                <w:szCs w:val="21"/>
              </w:rPr>
            </w:pPr>
            <w:r>
              <w:t xml:space="preserve">　</w:t>
            </w:r>
          </w:p>
        </w:tc>
      </w:tr>
      <w:tr w:rsidR="00E57DAA" w14:paraId="6CAD8128" w14:textId="77777777">
        <w:tc>
          <w:tcPr>
            <w:tcW w:w="640" w:type="pct"/>
            <w:tcBorders>
              <w:top w:val="single" w:sz="4" w:space="0" w:color="auto"/>
              <w:left w:val="single" w:sz="4" w:space="0" w:color="auto"/>
              <w:bottom w:val="single" w:sz="4" w:space="0" w:color="auto"/>
              <w:right w:val="single" w:sz="4" w:space="0" w:color="auto"/>
            </w:tcBorders>
            <w:vAlign w:val="center"/>
          </w:tcPr>
          <w:p w14:paraId="0DA6BEFC"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0F978C0" w14:textId="77777777" w:rsidR="00E57DAA" w:rsidRDefault="00AC4185">
            <w:pPr>
              <w:autoSpaceDE w:val="0"/>
              <w:autoSpaceDN w:val="0"/>
              <w:adjustRightInd w:val="0"/>
              <w:rPr>
                <w:szCs w:val="21"/>
              </w:rPr>
            </w:pPr>
            <w:r>
              <w:t>安徽中建材开源新材料科技有限公司</w:t>
            </w:r>
          </w:p>
        </w:tc>
        <w:tc>
          <w:tcPr>
            <w:tcW w:w="1059" w:type="pct"/>
            <w:tcBorders>
              <w:top w:val="single" w:sz="4" w:space="0" w:color="auto"/>
              <w:left w:val="single" w:sz="4" w:space="0" w:color="auto"/>
              <w:bottom w:val="single" w:sz="4" w:space="0" w:color="auto"/>
              <w:right w:val="single" w:sz="4" w:space="0" w:color="auto"/>
            </w:tcBorders>
          </w:tcPr>
          <w:p w14:paraId="0D9A483A" w14:textId="77777777" w:rsidR="00E57DAA" w:rsidRDefault="00AC4185">
            <w:pPr>
              <w:autoSpaceDE w:val="0"/>
              <w:autoSpaceDN w:val="0"/>
              <w:adjustRightInd w:val="0"/>
              <w:jc w:val="right"/>
              <w:rPr>
                <w:szCs w:val="21"/>
              </w:rPr>
            </w:pPr>
            <w:r>
              <w:t>353,000.00</w:t>
            </w:r>
          </w:p>
        </w:tc>
        <w:tc>
          <w:tcPr>
            <w:tcW w:w="1407" w:type="pct"/>
            <w:tcBorders>
              <w:top w:val="single" w:sz="4" w:space="0" w:color="auto"/>
              <w:left w:val="single" w:sz="4" w:space="0" w:color="auto"/>
              <w:bottom w:val="single" w:sz="4" w:space="0" w:color="auto"/>
              <w:right w:val="single" w:sz="4" w:space="0" w:color="auto"/>
            </w:tcBorders>
          </w:tcPr>
          <w:p w14:paraId="72D190D0" w14:textId="77777777" w:rsidR="00E57DAA" w:rsidRDefault="00AC4185">
            <w:pPr>
              <w:autoSpaceDE w:val="0"/>
              <w:autoSpaceDN w:val="0"/>
              <w:adjustRightInd w:val="0"/>
              <w:jc w:val="right"/>
              <w:rPr>
                <w:szCs w:val="21"/>
              </w:rPr>
            </w:pPr>
            <w:r>
              <w:t xml:space="preserve">　</w:t>
            </w:r>
          </w:p>
        </w:tc>
      </w:tr>
      <w:tr w:rsidR="00E57DAA" w14:paraId="2AC93209" w14:textId="77777777">
        <w:tc>
          <w:tcPr>
            <w:tcW w:w="640" w:type="pct"/>
            <w:tcBorders>
              <w:top w:val="single" w:sz="4" w:space="0" w:color="auto"/>
              <w:left w:val="single" w:sz="4" w:space="0" w:color="auto"/>
              <w:bottom w:val="single" w:sz="4" w:space="0" w:color="auto"/>
              <w:right w:val="single" w:sz="4" w:space="0" w:color="auto"/>
            </w:tcBorders>
            <w:vAlign w:val="center"/>
          </w:tcPr>
          <w:p w14:paraId="5740D6A3"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6D7715D6" w14:textId="77777777" w:rsidR="00E57DAA" w:rsidRDefault="00AC4185">
            <w:pPr>
              <w:autoSpaceDE w:val="0"/>
              <w:autoSpaceDN w:val="0"/>
              <w:adjustRightInd w:val="0"/>
              <w:rPr>
                <w:szCs w:val="21"/>
              </w:rPr>
            </w:pPr>
            <w:r>
              <w:t>扬州中科半导体照明有限公司</w:t>
            </w:r>
          </w:p>
        </w:tc>
        <w:tc>
          <w:tcPr>
            <w:tcW w:w="1059" w:type="pct"/>
            <w:tcBorders>
              <w:top w:val="single" w:sz="4" w:space="0" w:color="auto"/>
              <w:left w:val="single" w:sz="4" w:space="0" w:color="auto"/>
              <w:bottom w:val="single" w:sz="4" w:space="0" w:color="auto"/>
              <w:right w:val="single" w:sz="4" w:space="0" w:color="auto"/>
            </w:tcBorders>
          </w:tcPr>
          <w:p w14:paraId="0C8D9ECB" w14:textId="77777777" w:rsidR="00E57DAA" w:rsidRDefault="00AC4185">
            <w:pPr>
              <w:autoSpaceDE w:val="0"/>
              <w:autoSpaceDN w:val="0"/>
              <w:adjustRightInd w:val="0"/>
              <w:jc w:val="right"/>
              <w:rPr>
                <w:szCs w:val="21"/>
              </w:rPr>
            </w:pPr>
            <w:r>
              <w:t>210,000.00</w:t>
            </w:r>
          </w:p>
        </w:tc>
        <w:tc>
          <w:tcPr>
            <w:tcW w:w="1407" w:type="pct"/>
            <w:tcBorders>
              <w:top w:val="single" w:sz="4" w:space="0" w:color="auto"/>
              <w:left w:val="single" w:sz="4" w:space="0" w:color="auto"/>
              <w:bottom w:val="single" w:sz="4" w:space="0" w:color="auto"/>
              <w:right w:val="single" w:sz="4" w:space="0" w:color="auto"/>
            </w:tcBorders>
          </w:tcPr>
          <w:p w14:paraId="30118287" w14:textId="77777777" w:rsidR="00E57DAA" w:rsidRDefault="00AC4185">
            <w:pPr>
              <w:autoSpaceDE w:val="0"/>
              <w:autoSpaceDN w:val="0"/>
              <w:adjustRightInd w:val="0"/>
              <w:jc w:val="right"/>
              <w:rPr>
                <w:szCs w:val="21"/>
              </w:rPr>
            </w:pPr>
            <w:r>
              <w:t xml:space="preserve">　</w:t>
            </w:r>
          </w:p>
        </w:tc>
      </w:tr>
      <w:tr w:rsidR="00E57DAA" w14:paraId="6D7C351F" w14:textId="77777777">
        <w:tc>
          <w:tcPr>
            <w:tcW w:w="640" w:type="pct"/>
            <w:tcBorders>
              <w:top w:val="single" w:sz="4" w:space="0" w:color="auto"/>
              <w:left w:val="single" w:sz="4" w:space="0" w:color="auto"/>
              <w:bottom w:val="single" w:sz="4" w:space="0" w:color="auto"/>
              <w:right w:val="single" w:sz="4" w:space="0" w:color="auto"/>
            </w:tcBorders>
            <w:vAlign w:val="center"/>
          </w:tcPr>
          <w:p w14:paraId="03915791"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79D91669" w14:textId="77777777" w:rsidR="00E57DAA" w:rsidRDefault="00AC4185">
            <w:pPr>
              <w:autoSpaceDE w:val="0"/>
              <w:autoSpaceDN w:val="0"/>
              <w:adjustRightInd w:val="0"/>
              <w:rPr>
                <w:szCs w:val="21"/>
              </w:rPr>
            </w:pPr>
            <w:r>
              <w:t>西安凯盛建材工程有限公司</w:t>
            </w:r>
          </w:p>
        </w:tc>
        <w:tc>
          <w:tcPr>
            <w:tcW w:w="1059" w:type="pct"/>
            <w:tcBorders>
              <w:top w:val="single" w:sz="4" w:space="0" w:color="auto"/>
              <w:left w:val="single" w:sz="4" w:space="0" w:color="auto"/>
              <w:bottom w:val="single" w:sz="4" w:space="0" w:color="auto"/>
              <w:right w:val="single" w:sz="4" w:space="0" w:color="auto"/>
            </w:tcBorders>
          </w:tcPr>
          <w:p w14:paraId="183DB7F4" w14:textId="77777777" w:rsidR="00E57DAA" w:rsidRDefault="00AC4185">
            <w:pPr>
              <w:autoSpaceDE w:val="0"/>
              <w:autoSpaceDN w:val="0"/>
              <w:adjustRightInd w:val="0"/>
              <w:jc w:val="right"/>
              <w:rPr>
                <w:szCs w:val="21"/>
              </w:rPr>
            </w:pPr>
            <w:r>
              <w:t>145,000.00</w:t>
            </w:r>
          </w:p>
        </w:tc>
        <w:tc>
          <w:tcPr>
            <w:tcW w:w="1407" w:type="pct"/>
            <w:tcBorders>
              <w:top w:val="single" w:sz="4" w:space="0" w:color="auto"/>
              <w:left w:val="single" w:sz="4" w:space="0" w:color="auto"/>
              <w:bottom w:val="single" w:sz="4" w:space="0" w:color="auto"/>
              <w:right w:val="single" w:sz="4" w:space="0" w:color="auto"/>
            </w:tcBorders>
          </w:tcPr>
          <w:p w14:paraId="12C6BE38" w14:textId="77777777" w:rsidR="00E57DAA" w:rsidRDefault="00AC4185">
            <w:pPr>
              <w:autoSpaceDE w:val="0"/>
              <w:autoSpaceDN w:val="0"/>
              <w:adjustRightInd w:val="0"/>
              <w:jc w:val="right"/>
              <w:rPr>
                <w:szCs w:val="21"/>
              </w:rPr>
            </w:pPr>
            <w:r>
              <w:t xml:space="preserve">　</w:t>
            </w:r>
          </w:p>
        </w:tc>
      </w:tr>
      <w:tr w:rsidR="00E57DAA" w14:paraId="6D6D6086" w14:textId="77777777">
        <w:tc>
          <w:tcPr>
            <w:tcW w:w="640" w:type="pct"/>
            <w:tcBorders>
              <w:top w:val="single" w:sz="4" w:space="0" w:color="auto"/>
              <w:left w:val="single" w:sz="4" w:space="0" w:color="auto"/>
              <w:bottom w:val="single" w:sz="4" w:space="0" w:color="auto"/>
              <w:right w:val="single" w:sz="4" w:space="0" w:color="auto"/>
            </w:tcBorders>
            <w:vAlign w:val="center"/>
          </w:tcPr>
          <w:p w14:paraId="510ECABD"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F84A4D4" w14:textId="77777777" w:rsidR="00E57DAA" w:rsidRDefault="00AC4185">
            <w:pPr>
              <w:autoSpaceDE w:val="0"/>
              <w:autoSpaceDN w:val="0"/>
              <w:adjustRightInd w:val="0"/>
              <w:rPr>
                <w:szCs w:val="21"/>
              </w:rPr>
            </w:pPr>
            <w:r>
              <w:t>国检测试控股集团上海有限公司</w:t>
            </w:r>
          </w:p>
        </w:tc>
        <w:tc>
          <w:tcPr>
            <w:tcW w:w="1059" w:type="pct"/>
            <w:tcBorders>
              <w:top w:val="single" w:sz="4" w:space="0" w:color="auto"/>
              <w:left w:val="single" w:sz="4" w:space="0" w:color="auto"/>
              <w:bottom w:val="single" w:sz="4" w:space="0" w:color="auto"/>
              <w:right w:val="single" w:sz="4" w:space="0" w:color="auto"/>
            </w:tcBorders>
          </w:tcPr>
          <w:p w14:paraId="5EB42FA2" w14:textId="77777777" w:rsidR="00E57DAA" w:rsidRDefault="00AC4185">
            <w:pPr>
              <w:autoSpaceDE w:val="0"/>
              <w:autoSpaceDN w:val="0"/>
              <w:adjustRightInd w:val="0"/>
              <w:jc w:val="right"/>
              <w:rPr>
                <w:szCs w:val="21"/>
              </w:rPr>
            </w:pPr>
            <w:r>
              <w:t>132,300.00</w:t>
            </w:r>
          </w:p>
        </w:tc>
        <w:tc>
          <w:tcPr>
            <w:tcW w:w="1407" w:type="pct"/>
            <w:tcBorders>
              <w:top w:val="single" w:sz="4" w:space="0" w:color="auto"/>
              <w:left w:val="single" w:sz="4" w:space="0" w:color="auto"/>
              <w:bottom w:val="single" w:sz="4" w:space="0" w:color="auto"/>
              <w:right w:val="single" w:sz="4" w:space="0" w:color="auto"/>
            </w:tcBorders>
          </w:tcPr>
          <w:p w14:paraId="419432CB" w14:textId="77777777" w:rsidR="00E57DAA" w:rsidRDefault="00AC4185">
            <w:pPr>
              <w:autoSpaceDE w:val="0"/>
              <w:autoSpaceDN w:val="0"/>
              <w:adjustRightInd w:val="0"/>
              <w:jc w:val="right"/>
              <w:rPr>
                <w:szCs w:val="21"/>
              </w:rPr>
            </w:pPr>
            <w:r>
              <w:t xml:space="preserve">　</w:t>
            </w:r>
          </w:p>
        </w:tc>
      </w:tr>
      <w:tr w:rsidR="00E57DAA" w14:paraId="229432E2" w14:textId="77777777">
        <w:tc>
          <w:tcPr>
            <w:tcW w:w="640" w:type="pct"/>
            <w:tcBorders>
              <w:top w:val="single" w:sz="4" w:space="0" w:color="auto"/>
              <w:left w:val="single" w:sz="4" w:space="0" w:color="auto"/>
              <w:bottom w:val="single" w:sz="4" w:space="0" w:color="auto"/>
              <w:right w:val="single" w:sz="4" w:space="0" w:color="auto"/>
            </w:tcBorders>
            <w:vAlign w:val="center"/>
          </w:tcPr>
          <w:p w14:paraId="181CD929"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5C3C3B3" w14:textId="77777777" w:rsidR="00E57DAA" w:rsidRDefault="00AC4185">
            <w:pPr>
              <w:autoSpaceDE w:val="0"/>
              <w:autoSpaceDN w:val="0"/>
              <w:adjustRightInd w:val="0"/>
              <w:rPr>
                <w:szCs w:val="21"/>
              </w:rPr>
            </w:pPr>
            <w:r>
              <w:t>中建材中研益科技有限公司</w:t>
            </w:r>
          </w:p>
        </w:tc>
        <w:tc>
          <w:tcPr>
            <w:tcW w:w="1059" w:type="pct"/>
            <w:tcBorders>
              <w:top w:val="single" w:sz="4" w:space="0" w:color="auto"/>
              <w:left w:val="single" w:sz="4" w:space="0" w:color="auto"/>
              <w:bottom w:val="single" w:sz="4" w:space="0" w:color="auto"/>
              <w:right w:val="single" w:sz="4" w:space="0" w:color="auto"/>
            </w:tcBorders>
          </w:tcPr>
          <w:p w14:paraId="623780A5"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064F12E3" w14:textId="77777777" w:rsidR="00E57DAA" w:rsidRDefault="00AC4185">
            <w:pPr>
              <w:autoSpaceDE w:val="0"/>
              <w:autoSpaceDN w:val="0"/>
              <w:adjustRightInd w:val="0"/>
              <w:jc w:val="right"/>
              <w:rPr>
                <w:szCs w:val="21"/>
              </w:rPr>
            </w:pPr>
            <w:r>
              <w:t xml:space="preserve">　</w:t>
            </w:r>
          </w:p>
        </w:tc>
      </w:tr>
      <w:tr w:rsidR="00E57DAA" w14:paraId="6B8D74EC" w14:textId="77777777">
        <w:tc>
          <w:tcPr>
            <w:tcW w:w="640" w:type="pct"/>
            <w:tcBorders>
              <w:top w:val="single" w:sz="4" w:space="0" w:color="auto"/>
              <w:left w:val="single" w:sz="4" w:space="0" w:color="auto"/>
              <w:bottom w:val="single" w:sz="4" w:space="0" w:color="auto"/>
              <w:right w:val="single" w:sz="4" w:space="0" w:color="auto"/>
            </w:tcBorders>
            <w:vAlign w:val="center"/>
          </w:tcPr>
          <w:p w14:paraId="2A70C638"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43711C13" w14:textId="77777777" w:rsidR="00E57DAA" w:rsidRDefault="00AC4185">
            <w:pPr>
              <w:autoSpaceDE w:val="0"/>
              <w:autoSpaceDN w:val="0"/>
              <w:adjustRightInd w:val="0"/>
              <w:rPr>
                <w:szCs w:val="21"/>
              </w:rPr>
            </w:pPr>
            <w:r>
              <w:t>中建材玻璃新材料研究院集团有限公司</w:t>
            </w:r>
          </w:p>
        </w:tc>
        <w:tc>
          <w:tcPr>
            <w:tcW w:w="1059" w:type="pct"/>
            <w:tcBorders>
              <w:top w:val="single" w:sz="4" w:space="0" w:color="auto"/>
              <w:left w:val="single" w:sz="4" w:space="0" w:color="auto"/>
              <w:bottom w:val="single" w:sz="4" w:space="0" w:color="auto"/>
              <w:right w:val="single" w:sz="4" w:space="0" w:color="auto"/>
            </w:tcBorders>
          </w:tcPr>
          <w:p w14:paraId="654ED48D" w14:textId="77777777" w:rsidR="00E57DAA" w:rsidRDefault="00AC4185">
            <w:pPr>
              <w:autoSpaceDE w:val="0"/>
              <w:autoSpaceDN w:val="0"/>
              <w:adjustRightInd w:val="0"/>
              <w:jc w:val="right"/>
              <w:rPr>
                <w:szCs w:val="21"/>
              </w:rPr>
            </w:pPr>
            <w:r>
              <w:t>90,000.00</w:t>
            </w:r>
          </w:p>
        </w:tc>
        <w:tc>
          <w:tcPr>
            <w:tcW w:w="1407" w:type="pct"/>
            <w:tcBorders>
              <w:top w:val="single" w:sz="4" w:space="0" w:color="auto"/>
              <w:left w:val="single" w:sz="4" w:space="0" w:color="auto"/>
              <w:bottom w:val="single" w:sz="4" w:space="0" w:color="auto"/>
              <w:right w:val="single" w:sz="4" w:space="0" w:color="auto"/>
            </w:tcBorders>
          </w:tcPr>
          <w:p w14:paraId="1C3D0249" w14:textId="77777777" w:rsidR="00E57DAA" w:rsidRDefault="00AC4185">
            <w:pPr>
              <w:autoSpaceDE w:val="0"/>
              <w:autoSpaceDN w:val="0"/>
              <w:adjustRightInd w:val="0"/>
              <w:jc w:val="right"/>
              <w:rPr>
                <w:szCs w:val="21"/>
              </w:rPr>
            </w:pPr>
            <w:r>
              <w:t xml:space="preserve">　</w:t>
            </w:r>
          </w:p>
        </w:tc>
      </w:tr>
      <w:tr w:rsidR="00E57DAA" w14:paraId="6CD13773" w14:textId="77777777">
        <w:tc>
          <w:tcPr>
            <w:tcW w:w="640" w:type="pct"/>
            <w:tcBorders>
              <w:top w:val="single" w:sz="4" w:space="0" w:color="auto"/>
              <w:left w:val="single" w:sz="4" w:space="0" w:color="auto"/>
              <w:bottom w:val="single" w:sz="4" w:space="0" w:color="auto"/>
              <w:right w:val="single" w:sz="4" w:space="0" w:color="auto"/>
            </w:tcBorders>
            <w:vAlign w:val="center"/>
          </w:tcPr>
          <w:p w14:paraId="2CCB69BD"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12A42FA2" w14:textId="77777777" w:rsidR="00E57DAA" w:rsidRDefault="00AC4185">
            <w:pPr>
              <w:autoSpaceDE w:val="0"/>
              <w:autoSpaceDN w:val="0"/>
              <w:adjustRightInd w:val="0"/>
              <w:rPr>
                <w:szCs w:val="21"/>
              </w:rPr>
            </w:pPr>
            <w:r>
              <w:t>中建材行业生产力促进中心有限公司</w:t>
            </w:r>
          </w:p>
        </w:tc>
        <w:tc>
          <w:tcPr>
            <w:tcW w:w="1059" w:type="pct"/>
            <w:tcBorders>
              <w:top w:val="single" w:sz="4" w:space="0" w:color="auto"/>
              <w:left w:val="single" w:sz="4" w:space="0" w:color="auto"/>
              <w:bottom w:val="single" w:sz="4" w:space="0" w:color="auto"/>
              <w:right w:val="single" w:sz="4" w:space="0" w:color="auto"/>
            </w:tcBorders>
          </w:tcPr>
          <w:p w14:paraId="3FC427A1" w14:textId="77777777" w:rsidR="00E57DAA" w:rsidRDefault="00AC4185">
            <w:pPr>
              <w:autoSpaceDE w:val="0"/>
              <w:autoSpaceDN w:val="0"/>
              <w:adjustRightInd w:val="0"/>
              <w:jc w:val="right"/>
              <w:rPr>
                <w:szCs w:val="21"/>
              </w:rPr>
            </w:pPr>
            <w:r>
              <w:t>87,000.00</w:t>
            </w:r>
          </w:p>
        </w:tc>
        <w:tc>
          <w:tcPr>
            <w:tcW w:w="1407" w:type="pct"/>
            <w:tcBorders>
              <w:top w:val="single" w:sz="4" w:space="0" w:color="auto"/>
              <w:left w:val="single" w:sz="4" w:space="0" w:color="auto"/>
              <w:bottom w:val="single" w:sz="4" w:space="0" w:color="auto"/>
              <w:right w:val="single" w:sz="4" w:space="0" w:color="auto"/>
            </w:tcBorders>
          </w:tcPr>
          <w:p w14:paraId="633113CB" w14:textId="77777777" w:rsidR="00E57DAA" w:rsidRDefault="00AC4185">
            <w:pPr>
              <w:autoSpaceDE w:val="0"/>
              <w:autoSpaceDN w:val="0"/>
              <w:adjustRightInd w:val="0"/>
              <w:jc w:val="right"/>
              <w:rPr>
                <w:szCs w:val="21"/>
              </w:rPr>
            </w:pPr>
            <w:r>
              <w:t>3,634,729.00</w:t>
            </w:r>
          </w:p>
        </w:tc>
      </w:tr>
      <w:tr w:rsidR="00E57DAA" w14:paraId="20EC9983" w14:textId="77777777">
        <w:tc>
          <w:tcPr>
            <w:tcW w:w="640" w:type="pct"/>
            <w:tcBorders>
              <w:top w:val="single" w:sz="4" w:space="0" w:color="auto"/>
              <w:left w:val="single" w:sz="4" w:space="0" w:color="auto"/>
              <w:bottom w:val="single" w:sz="4" w:space="0" w:color="auto"/>
              <w:right w:val="single" w:sz="4" w:space="0" w:color="auto"/>
            </w:tcBorders>
            <w:vAlign w:val="center"/>
          </w:tcPr>
          <w:p w14:paraId="3149156A"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BC746DE" w14:textId="77777777" w:rsidR="00E57DAA" w:rsidRDefault="00AC4185">
            <w:pPr>
              <w:autoSpaceDE w:val="0"/>
              <w:autoSpaceDN w:val="0"/>
              <w:adjustRightInd w:val="0"/>
              <w:rPr>
                <w:szCs w:val="21"/>
              </w:rPr>
            </w:pPr>
            <w:r>
              <w:t>中国建筑材料科学研究总院有限公司</w:t>
            </w:r>
          </w:p>
        </w:tc>
        <w:tc>
          <w:tcPr>
            <w:tcW w:w="1059" w:type="pct"/>
            <w:tcBorders>
              <w:top w:val="single" w:sz="4" w:space="0" w:color="auto"/>
              <w:left w:val="single" w:sz="4" w:space="0" w:color="auto"/>
              <w:bottom w:val="single" w:sz="4" w:space="0" w:color="auto"/>
              <w:right w:val="single" w:sz="4" w:space="0" w:color="auto"/>
            </w:tcBorders>
          </w:tcPr>
          <w:p w14:paraId="06F697CE" w14:textId="77777777" w:rsidR="00E57DAA" w:rsidRDefault="00AC4185">
            <w:pPr>
              <w:autoSpaceDE w:val="0"/>
              <w:autoSpaceDN w:val="0"/>
              <w:adjustRightInd w:val="0"/>
              <w:jc w:val="right"/>
              <w:rPr>
                <w:szCs w:val="21"/>
              </w:rPr>
            </w:pPr>
            <w:r>
              <w:t>80,000.00</w:t>
            </w:r>
          </w:p>
        </w:tc>
        <w:tc>
          <w:tcPr>
            <w:tcW w:w="1407" w:type="pct"/>
            <w:tcBorders>
              <w:top w:val="single" w:sz="4" w:space="0" w:color="auto"/>
              <w:left w:val="single" w:sz="4" w:space="0" w:color="auto"/>
              <w:bottom w:val="single" w:sz="4" w:space="0" w:color="auto"/>
              <w:right w:val="single" w:sz="4" w:space="0" w:color="auto"/>
            </w:tcBorders>
          </w:tcPr>
          <w:p w14:paraId="3D2A758E" w14:textId="77777777" w:rsidR="00E57DAA" w:rsidRDefault="00AC4185">
            <w:pPr>
              <w:autoSpaceDE w:val="0"/>
              <w:autoSpaceDN w:val="0"/>
              <w:adjustRightInd w:val="0"/>
              <w:jc w:val="right"/>
              <w:rPr>
                <w:szCs w:val="21"/>
              </w:rPr>
            </w:pPr>
            <w:r>
              <w:t xml:space="preserve">　</w:t>
            </w:r>
          </w:p>
        </w:tc>
      </w:tr>
      <w:tr w:rsidR="00E57DAA" w14:paraId="0B4625EC" w14:textId="77777777">
        <w:tc>
          <w:tcPr>
            <w:tcW w:w="640" w:type="pct"/>
            <w:tcBorders>
              <w:top w:val="single" w:sz="4" w:space="0" w:color="auto"/>
              <w:left w:val="single" w:sz="4" w:space="0" w:color="auto"/>
              <w:bottom w:val="single" w:sz="4" w:space="0" w:color="auto"/>
              <w:right w:val="single" w:sz="4" w:space="0" w:color="auto"/>
            </w:tcBorders>
            <w:vAlign w:val="center"/>
          </w:tcPr>
          <w:p w14:paraId="2FC9F0A9"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71225477" w14:textId="77777777" w:rsidR="00E57DAA" w:rsidRDefault="00AC4185">
            <w:pPr>
              <w:autoSpaceDE w:val="0"/>
              <w:autoSpaceDN w:val="0"/>
              <w:adjustRightInd w:val="0"/>
              <w:rPr>
                <w:szCs w:val="21"/>
              </w:rPr>
            </w:pPr>
            <w:r>
              <w:t>合肥神马电气有限公司</w:t>
            </w:r>
          </w:p>
        </w:tc>
        <w:tc>
          <w:tcPr>
            <w:tcW w:w="1059" w:type="pct"/>
            <w:tcBorders>
              <w:top w:val="single" w:sz="4" w:space="0" w:color="auto"/>
              <w:left w:val="single" w:sz="4" w:space="0" w:color="auto"/>
              <w:bottom w:val="single" w:sz="4" w:space="0" w:color="auto"/>
              <w:right w:val="single" w:sz="4" w:space="0" w:color="auto"/>
            </w:tcBorders>
          </w:tcPr>
          <w:p w14:paraId="4D0F4799" w14:textId="77777777" w:rsidR="00E57DAA" w:rsidRDefault="00AC4185">
            <w:pPr>
              <w:autoSpaceDE w:val="0"/>
              <w:autoSpaceDN w:val="0"/>
              <w:adjustRightInd w:val="0"/>
              <w:jc w:val="right"/>
              <w:rPr>
                <w:szCs w:val="21"/>
              </w:rPr>
            </w:pPr>
            <w:r>
              <w:t>43,619.00</w:t>
            </w:r>
          </w:p>
        </w:tc>
        <w:tc>
          <w:tcPr>
            <w:tcW w:w="1407" w:type="pct"/>
            <w:tcBorders>
              <w:top w:val="single" w:sz="4" w:space="0" w:color="auto"/>
              <w:left w:val="single" w:sz="4" w:space="0" w:color="auto"/>
              <w:bottom w:val="single" w:sz="4" w:space="0" w:color="auto"/>
              <w:right w:val="single" w:sz="4" w:space="0" w:color="auto"/>
            </w:tcBorders>
          </w:tcPr>
          <w:p w14:paraId="5E3AA7D9" w14:textId="77777777" w:rsidR="00E57DAA" w:rsidRDefault="00AC4185">
            <w:pPr>
              <w:autoSpaceDE w:val="0"/>
              <w:autoSpaceDN w:val="0"/>
              <w:adjustRightInd w:val="0"/>
              <w:jc w:val="right"/>
              <w:rPr>
                <w:szCs w:val="21"/>
              </w:rPr>
            </w:pPr>
            <w:r>
              <w:t xml:space="preserve">　</w:t>
            </w:r>
          </w:p>
        </w:tc>
      </w:tr>
      <w:tr w:rsidR="00E57DAA" w14:paraId="19CDC0F8" w14:textId="77777777">
        <w:tc>
          <w:tcPr>
            <w:tcW w:w="640" w:type="pct"/>
            <w:tcBorders>
              <w:top w:val="single" w:sz="4" w:space="0" w:color="auto"/>
              <w:left w:val="single" w:sz="4" w:space="0" w:color="auto"/>
              <w:bottom w:val="single" w:sz="4" w:space="0" w:color="auto"/>
              <w:right w:val="single" w:sz="4" w:space="0" w:color="auto"/>
            </w:tcBorders>
            <w:vAlign w:val="center"/>
          </w:tcPr>
          <w:p w14:paraId="1D298C67"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DFC11B3" w14:textId="77777777" w:rsidR="00E57DAA" w:rsidRDefault="00AC4185">
            <w:pPr>
              <w:autoSpaceDE w:val="0"/>
              <w:autoSpaceDN w:val="0"/>
              <w:adjustRightInd w:val="0"/>
              <w:rPr>
                <w:szCs w:val="21"/>
              </w:rPr>
            </w:pPr>
            <w:r>
              <w:t>西安墙体材料研究设计院有限公司</w:t>
            </w:r>
          </w:p>
        </w:tc>
        <w:tc>
          <w:tcPr>
            <w:tcW w:w="1059" w:type="pct"/>
            <w:tcBorders>
              <w:top w:val="single" w:sz="4" w:space="0" w:color="auto"/>
              <w:left w:val="single" w:sz="4" w:space="0" w:color="auto"/>
              <w:bottom w:val="single" w:sz="4" w:space="0" w:color="auto"/>
              <w:right w:val="single" w:sz="4" w:space="0" w:color="auto"/>
            </w:tcBorders>
          </w:tcPr>
          <w:p w14:paraId="2A3FE86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0C3923A" w14:textId="77777777" w:rsidR="00E57DAA" w:rsidRDefault="00AC4185">
            <w:pPr>
              <w:autoSpaceDE w:val="0"/>
              <w:autoSpaceDN w:val="0"/>
              <w:adjustRightInd w:val="0"/>
              <w:jc w:val="right"/>
              <w:rPr>
                <w:szCs w:val="21"/>
              </w:rPr>
            </w:pPr>
            <w:r>
              <w:t>5,000,000.00</w:t>
            </w:r>
          </w:p>
        </w:tc>
      </w:tr>
      <w:tr w:rsidR="00E57DAA" w14:paraId="6AEA7111" w14:textId="77777777">
        <w:tc>
          <w:tcPr>
            <w:tcW w:w="640" w:type="pct"/>
            <w:tcBorders>
              <w:top w:val="single" w:sz="4" w:space="0" w:color="auto"/>
              <w:left w:val="single" w:sz="4" w:space="0" w:color="auto"/>
              <w:bottom w:val="single" w:sz="4" w:space="0" w:color="auto"/>
              <w:right w:val="single" w:sz="4" w:space="0" w:color="auto"/>
            </w:tcBorders>
            <w:vAlign w:val="center"/>
          </w:tcPr>
          <w:p w14:paraId="0570B45A"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4FC39465" w14:textId="77777777" w:rsidR="00E57DAA" w:rsidRDefault="00AC4185">
            <w:pPr>
              <w:autoSpaceDE w:val="0"/>
              <w:autoSpaceDN w:val="0"/>
              <w:adjustRightInd w:val="0"/>
              <w:rPr>
                <w:szCs w:val="21"/>
              </w:rPr>
            </w:pPr>
            <w:r>
              <w:t>南通万达能源动力科技有限公司</w:t>
            </w:r>
          </w:p>
        </w:tc>
        <w:tc>
          <w:tcPr>
            <w:tcW w:w="1059" w:type="pct"/>
            <w:tcBorders>
              <w:top w:val="single" w:sz="4" w:space="0" w:color="auto"/>
              <w:left w:val="single" w:sz="4" w:space="0" w:color="auto"/>
              <w:bottom w:val="single" w:sz="4" w:space="0" w:color="auto"/>
              <w:right w:val="single" w:sz="4" w:space="0" w:color="auto"/>
            </w:tcBorders>
          </w:tcPr>
          <w:p w14:paraId="1D20CD4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E6F9D19" w14:textId="77777777" w:rsidR="00E57DAA" w:rsidRDefault="00AC4185">
            <w:pPr>
              <w:autoSpaceDE w:val="0"/>
              <w:autoSpaceDN w:val="0"/>
              <w:adjustRightInd w:val="0"/>
              <w:jc w:val="right"/>
              <w:rPr>
                <w:szCs w:val="21"/>
              </w:rPr>
            </w:pPr>
            <w:r>
              <w:t>4,865,000.00</w:t>
            </w:r>
          </w:p>
        </w:tc>
      </w:tr>
      <w:tr w:rsidR="00E57DAA" w14:paraId="440B65E5" w14:textId="77777777">
        <w:tc>
          <w:tcPr>
            <w:tcW w:w="640" w:type="pct"/>
            <w:tcBorders>
              <w:top w:val="single" w:sz="4" w:space="0" w:color="auto"/>
              <w:left w:val="single" w:sz="4" w:space="0" w:color="auto"/>
              <w:bottom w:val="single" w:sz="4" w:space="0" w:color="auto"/>
              <w:right w:val="single" w:sz="4" w:space="0" w:color="auto"/>
            </w:tcBorders>
            <w:vAlign w:val="center"/>
          </w:tcPr>
          <w:p w14:paraId="3F0080BA"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11573A9D" w14:textId="77777777" w:rsidR="00E57DAA" w:rsidRDefault="00AC4185">
            <w:pPr>
              <w:autoSpaceDE w:val="0"/>
              <w:autoSpaceDN w:val="0"/>
              <w:adjustRightInd w:val="0"/>
              <w:rPr>
                <w:szCs w:val="21"/>
              </w:rPr>
            </w:pPr>
            <w:r>
              <w:t>上海凯盛节能工程技术有限公司</w:t>
            </w:r>
          </w:p>
        </w:tc>
        <w:tc>
          <w:tcPr>
            <w:tcW w:w="1059" w:type="pct"/>
            <w:tcBorders>
              <w:top w:val="single" w:sz="4" w:space="0" w:color="auto"/>
              <w:left w:val="single" w:sz="4" w:space="0" w:color="auto"/>
              <w:bottom w:val="single" w:sz="4" w:space="0" w:color="auto"/>
              <w:right w:val="single" w:sz="4" w:space="0" w:color="auto"/>
            </w:tcBorders>
          </w:tcPr>
          <w:p w14:paraId="5A7040B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F70C391" w14:textId="77777777" w:rsidR="00E57DAA" w:rsidRDefault="00AC4185">
            <w:pPr>
              <w:autoSpaceDE w:val="0"/>
              <w:autoSpaceDN w:val="0"/>
              <w:adjustRightInd w:val="0"/>
              <w:jc w:val="right"/>
              <w:rPr>
                <w:szCs w:val="21"/>
              </w:rPr>
            </w:pPr>
            <w:r>
              <w:t>2,387,080.00</w:t>
            </w:r>
          </w:p>
        </w:tc>
      </w:tr>
      <w:tr w:rsidR="00E57DAA" w14:paraId="20A5D43A" w14:textId="77777777">
        <w:tc>
          <w:tcPr>
            <w:tcW w:w="640" w:type="pct"/>
            <w:tcBorders>
              <w:top w:val="single" w:sz="4" w:space="0" w:color="auto"/>
              <w:left w:val="single" w:sz="4" w:space="0" w:color="auto"/>
              <w:bottom w:val="single" w:sz="4" w:space="0" w:color="auto"/>
              <w:right w:val="single" w:sz="4" w:space="0" w:color="auto"/>
            </w:tcBorders>
            <w:vAlign w:val="center"/>
          </w:tcPr>
          <w:p w14:paraId="0450E254"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2E0765B7" w14:textId="77777777" w:rsidR="00E57DAA" w:rsidRDefault="00AC4185">
            <w:pPr>
              <w:autoSpaceDE w:val="0"/>
              <w:autoSpaceDN w:val="0"/>
              <w:adjustRightInd w:val="0"/>
              <w:rPr>
                <w:szCs w:val="21"/>
              </w:rPr>
            </w:pPr>
            <w:r>
              <w:t>郑州瑞泰耐火科技有限公司</w:t>
            </w:r>
          </w:p>
        </w:tc>
        <w:tc>
          <w:tcPr>
            <w:tcW w:w="1059" w:type="pct"/>
            <w:tcBorders>
              <w:top w:val="single" w:sz="4" w:space="0" w:color="auto"/>
              <w:left w:val="single" w:sz="4" w:space="0" w:color="auto"/>
              <w:bottom w:val="single" w:sz="4" w:space="0" w:color="auto"/>
              <w:right w:val="single" w:sz="4" w:space="0" w:color="auto"/>
            </w:tcBorders>
          </w:tcPr>
          <w:p w14:paraId="6CD5F5F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74A18C9" w14:textId="77777777" w:rsidR="00E57DAA" w:rsidRDefault="00AC4185">
            <w:pPr>
              <w:autoSpaceDE w:val="0"/>
              <w:autoSpaceDN w:val="0"/>
              <w:adjustRightInd w:val="0"/>
              <w:jc w:val="right"/>
              <w:rPr>
                <w:szCs w:val="21"/>
              </w:rPr>
            </w:pPr>
            <w:r>
              <w:t>1,198,000.00</w:t>
            </w:r>
          </w:p>
        </w:tc>
      </w:tr>
      <w:tr w:rsidR="00E57DAA" w14:paraId="52B59C84" w14:textId="77777777">
        <w:tc>
          <w:tcPr>
            <w:tcW w:w="640" w:type="pct"/>
            <w:tcBorders>
              <w:top w:val="single" w:sz="4" w:space="0" w:color="auto"/>
              <w:left w:val="single" w:sz="4" w:space="0" w:color="auto"/>
              <w:bottom w:val="single" w:sz="4" w:space="0" w:color="auto"/>
              <w:right w:val="single" w:sz="4" w:space="0" w:color="auto"/>
            </w:tcBorders>
            <w:vAlign w:val="center"/>
          </w:tcPr>
          <w:p w14:paraId="14CB7C8E" w14:textId="77777777" w:rsidR="00E57DAA" w:rsidRDefault="00AC4185">
            <w:pPr>
              <w:autoSpaceDE w:val="0"/>
              <w:autoSpaceDN w:val="0"/>
              <w:adjustRightInd w:val="0"/>
              <w:rPr>
                <w:szCs w:val="21"/>
              </w:rPr>
            </w:pPr>
            <w:r>
              <w:lastRenderedPageBreak/>
              <w:t>应付票据</w:t>
            </w:r>
          </w:p>
        </w:tc>
        <w:tc>
          <w:tcPr>
            <w:tcW w:w="1894" w:type="pct"/>
            <w:tcBorders>
              <w:top w:val="single" w:sz="4" w:space="0" w:color="auto"/>
              <w:left w:val="single" w:sz="4" w:space="0" w:color="auto"/>
              <w:bottom w:val="single" w:sz="4" w:space="0" w:color="auto"/>
              <w:right w:val="single" w:sz="4" w:space="0" w:color="auto"/>
            </w:tcBorders>
          </w:tcPr>
          <w:p w14:paraId="5D761200" w14:textId="77777777" w:rsidR="00E57DAA" w:rsidRDefault="00AC4185">
            <w:pPr>
              <w:autoSpaceDE w:val="0"/>
              <w:autoSpaceDN w:val="0"/>
              <w:adjustRightInd w:val="0"/>
              <w:rPr>
                <w:szCs w:val="21"/>
              </w:rPr>
            </w:pPr>
            <w:r>
              <w:t>武汉建筑材料工业设计研究院有限公司</w:t>
            </w:r>
          </w:p>
        </w:tc>
        <w:tc>
          <w:tcPr>
            <w:tcW w:w="1059" w:type="pct"/>
            <w:tcBorders>
              <w:top w:val="single" w:sz="4" w:space="0" w:color="auto"/>
              <w:left w:val="single" w:sz="4" w:space="0" w:color="auto"/>
              <w:bottom w:val="single" w:sz="4" w:space="0" w:color="auto"/>
              <w:right w:val="single" w:sz="4" w:space="0" w:color="auto"/>
            </w:tcBorders>
          </w:tcPr>
          <w:p w14:paraId="159D6F9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3CF4C79" w14:textId="77777777" w:rsidR="00E57DAA" w:rsidRDefault="00AC4185">
            <w:pPr>
              <w:autoSpaceDE w:val="0"/>
              <w:autoSpaceDN w:val="0"/>
              <w:adjustRightInd w:val="0"/>
              <w:jc w:val="right"/>
              <w:rPr>
                <w:szCs w:val="21"/>
              </w:rPr>
            </w:pPr>
            <w:r>
              <w:t>803,120.00</w:t>
            </w:r>
          </w:p>
        </w:tc>
      </w:tr>
      <w:tr w:rsidR="00E57DAA" w14:paraId="14C5C3F9" w14:textId="77777777">
        <w:tc>
          <w:tcPr>
            <w:tcW w:w="640" w:type="pct"/>
            <w:tcBorders>
              <w:top w:val="single" w:sz="4" w:space="0" w:color="auto"/>
              <w:left w:val="single" w:sz="4" w:space="0" w:color="auto"/>
              <w:bottom w:val="single" w:sz="4" w:space="0" w:color="auto"/>
              <w:right w:val="single" w:sz="4" w:space="0" w:color="auto"/>
            </w:tcBorders>
            <w:vAlign w:val="center"/>
          </w:tcPr>
          <w:p w14:paraId="1C4256A3"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8026729" w14:textId="77777777" w:rsidR="00E57DAA" w:rsidRDefault="00AC4185">
            <w:pPr>
              <w:autoSpaceDE w:val="0"/>
              <w:autoSpaceDN w:val="0"/>
              <w:adjustRightInd w:val="0"/>
              <w:rPr>
                <w:szCs w:val="21"/>
              </w:rPr>
            </w:pPr>
            <w:r>
              <w:t>上海美诺福科技有限公司</w:t>
            </w:r>
          </w:p>
        </w:tc>
        <w:tc>
          <w:tcPr>
            <w:tcW w:w="1059" w:type="pct"/>
            <w:tcBorders>
              <w:top w:val="single" w:sz="4" w:space="0" w:color="auto"/>
              <w:left w:val="single" w:sz="4" w:space="0" w:color="auto"/>
              <w:bottom w:val="single" w:sz="4" w:space="0" w:color="auto"/>
              <w:right w:val="single" w:sz="4" w:space="0" w:color="auto"/>
            </w:tcBorders>
          </w:tcPr>
          <w:p w14:paraId="4F3C4F5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7BD507E" w14:textId="77777777" w:rsidR="00E57DAA" w:rsidRDefault="00AC4185">
            <w:pPr>
              <w:autoSpaceDE w:val="0"/>
              <w:autoSpaceDN w:val="0"/>
              <w:adjustRightInd w:val="0"/>
              <w:jc w:val="right"/>
              <w:rPr>
                <w:szCs w:val="21"/>
              </w:rPr>
            </w:pPr>
            <w:r>
              <w:t>384,000.00</w:t>
            </w:r>
          </w:p>
        </w:tc>
      </w:tr>
      <w:tr w:rsidR="00E57DAA" w14:paraId="466A9131" w14:textId="77777777">
        <w:tc>
          <w:tcPr>
            <w:tcW w:w="640" w:type="pct"/>
            <w:tcBorders>
              <w:top w:val="single" w:sz="4" w:space="0" w:color="auto"/>
              <w:left w:val="single" w:sz="4" w:space="0" w:color="auto"/>
              <w:bottom w:val="single" w:sz="4" w:space="0" w:color="auto"/>
              <w:right w:val="single" w:sz="4" w:space="0" w:color="auto"/>
            </w:tcBorders>
            <w:vAlign w:val="center"/>
          </w:tcPr>
          <w:p w14:paraId="01FBE4E7"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3789234C" w14:textId="77777777" w:rsidR="00E57DAA" w:rsidRDefault="00AC4185">
            <w:pPr>
              <w:autoSpaceDE w:val="0"/>
              <w:autoSpaceDN w:val="0"/>
              <w:adjustRightInd w:val="0"/>
              <w:rPr>
                <w:szCs w:val="21"/>
              </w:rPr>
            </w:pPr>
            <w:r>
              <w:t>广州华磊建筑基础工程有限公司</w:t>
            </w:r>
          </w:p>
        </w:tc>
        <w:tc>
          <w:tcPr>
            <w:tcW w:w="1059" w:type="pct"/>
            <w:tcBorders>
              <w:top w:val="single" w:sz="4" w:space="0" w:color="auto"/>
              <w:left w:val="single" w:sz="4" w:space="0" w:color="auto"/>
              <w:bottom w:val="single" w:sz="4" w:space="0" w:color="auto"/>
              <w:right w:val="single" w:sz="4" w:space="0" w:color="auto"/>
            </w:tcBorders>
          </w:tcPr>
          <w:p w14:paraId="231BE8F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0C5FC3E" w14:textId="77777777" w:rsidR="00E57DAA" w:rsidRDefault="00AC4185">
            <w:pPr>
              <w:autoSpaceDE w:val="0"/>
              <w:autoSpaceDN w:val="0"/>
              <w:adjustRightInd w:val="0"/>
              <w:jc w:val="right"/>
              <w:rPr>
                <w:szCs w:val="21"/>
              </w:rPr>
            </w:pPr>
            <w:r>
              <w:t>281,920.00</w:t>
            </w:r>
          </w:p>
        </w:tc>
      </w:tr>
      <w:tr w:rsidR="00E57DAA" w14:paraId="3803F93C" w14:textId="77777777">
        <w:tc>
          <w:tcPr>
            <w:tcW w:w="640" w:type="pct"/>
            <w:tcBorders>
              <w:top w:val="single" w:sz="4" w:space="0" w:color="auto"/>
              <w:left w:val="single" w:sz="4" w:space="0" w:color="auto"/>
              <w:bottom w:val="single" w:sz="4" w:space="0" w:color="auto"/>
              <w:right w:val="single" w:sz="4" w:space="0" w:color="auto"/>
            </w:tcBorders>
            <w:vAlign w:val="center"/>
          </w:tcPr>
          <w:p w14:paraId="0150E743"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17C4A7D8" w14:textId="77777777" w:rsidR="00E57DAA" w:rsidRDefault="00AC4185">
            <w:pPr>
              <w:autoSpaceDE w:val="0"/>
              <w:autoSpaceDN w:val="0"/>
              <w:adjustRightInd w:val="0"/>
              <w:rPr>
                <w:szCs w:val="21"/>
              </w:rPr>
            </w:pPr>
            <w:r>
              <w:t>中建材凯盛机器人（上海）有限公司</w:t>
            </w:r>
          </w:p>
        </w:tc>
        <w:tc>
          <w:tcPr>
            <w:tcW w:w="1059" w:type="pct"/>
            <w:tcBorders>
              <w:top w:val="single" w:sz="4" w:space="0" w:color="auto"/>
              <w:left w:val="single" w:sz="4" w:space="0" w:color="auto"/>
              <w:bottom w:val="single" w:sz="4" w:space="0" w:color="auto"/>
              <w:right w:val="single" w:sz="4" w:space="0" w:color="auto"/>
            </w:tcBorders>
          </w:tcPr>
          <w:p w14:paraId="6E67CD4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F3B10E6" w14:textId="77777777" w:rsidR="00E57DAA" w:rsidRDefault="00AC4185">
            <w:pPr>
              <w:autoSpaceDE w:val="0"/>
              <w:autoSpaceDN w:val="0"/>
              <w:adjustRightInd w:val="0"/>
              <w:jc w:val="right"/>
              <w:rPr>
                <w:szCs w:val="21"/>
              </w:rPr>
            </w:pPr>
            <w:r>
              <w:t>80,000.00</w:t>
            </w:r>
          </w:p>
        </w:tc>
      </w:tr>
      <w:tr w:rsidR="00E57DAA" w14:paraId="033EF5AA" w14:textId="77777777">
        <w:tc>
          <w:tcPr>
            <w:tcW w:w="640" w:type="pct"/>
            <w:tcBorders>
              <w:top w:val="single" w:sz="4" w:space="0" w:color="auto"/>
              <w:left w:val="single" w:sz="4" w:space="0" w:color="auto"/>
              <w:bottom w:val="single" w:sz="4" w:space="0" w:color="auto"/>
              <w:right w:val="single" w:sz="4" w:space="0" w:color="auto"/>
            </w:tcBorders>
            <w:vAlign w:val="center"/>
          </w:tcPr>
          <w:p w14:paraId="0B7D36AF" w14:textId="77777777" w:rsidR="00E57DAA" w:rsidRDefault="00AC4185">
            <w:pPr>
              <w:autoSpaceDE w:val="0"/>
              <w:autoSpaceDN w:val="0"/>
              <w:adjustRightInd w:val="0"/>
              <w:rPr>
                <w:szCs w:val="21"/>
              </w:rPr>
            </w:pPr>
            <w:r>
              <w:t>应付票据</w:t>
            </w:r>
          </w:p>
        </w:tc>
        <w:tc>
          <w:tcPr>
            <w:tcW w:w="1894" w:type="pct"/>
            <w:tcBorders>
              <w:top w:val="single" w:sz="4" w:space="0" w:color="auto"/>
              <w:left w:val="single" w:sz="4" w:space="0" w:color="auto"/>
              <w:bottom w:val="single" w:sz="4" w:space="0" w:color="auto"/>
              <w:right w:val="single" w:sz="4" w:space="0" w:color="auto"/>
            </w:tcBorders>
          </w:tcPr>
          <w:p w14:paraId="5DA7A0C7" w14:textId="77777777" w:rsidR="00E57DAA" w:rsidRDefault="00AC4185">
            <w:pPr>
              <w:autoSpaceDE w:val="0"/>
              <w:autoSpaceDN w:val="0"/>
              <w:adjustRightInd w:val="0"/>
              <w:rPr>
                <w:szCs w:val="21"/>
              </w:rPr>
            </w:pPr>
            <w:r>
              <w:t>安徽瑞泰新材料科技有限公司</w:t>
            </w:r>
          </w:p>
        </w:tc>
        <w:tc>
          <w:tcPr>
            <w:tcW w:w="1059" w:type="pct"/>
            <w:tcBorders>
              <w:top w:val="single" w:sz="4" w:space="0" w:color="auto"/>
              <w:left w:val="single" w:sz="4" w:space="0" w:color="auto"/>
              <w:bottom w:val="single" w:sz="4" w:space="0" w:color="auto"/>
              <w:right w:val="single" w:sz="4" w:space="0" w:color="auto"/>
            </w:tcBorders>
          </w:tcPr>
          <w:p w14:paraId="02CFDDE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B80475F" w14:textId="77777777" w:rsidR="00E57DAA" w:rsidRDefault="00AC4185">
            <w:pPr>
              <w:autoSpaceDE w:val="0"/>
              <w:autoSpaceDN w:val="0"/>
              <w:adjustRightInd w:val="0"/>
              <w:jc w:val="right"/>
              <w:rPr>
                <w:szCs w:val="21"/>
              </w:rPr>
            </w:pPr>
            <w:r>
              <w:t>36,500.00</w:t>
            </w:r>
          </w:p>
        </w:tc>
      </w:tr>
      <w:tr w:rsidR="00E57DAA" w14:paraId="6D775ACB" w14:textId="77777777">
        <w:tc>
          <w:tcPr>
            <w:tcW w:w="640" w:type="pct"/>
            <w:tcBorders>
              <w:top w:val="single" w:sz="4" w:space="0" w:color="auto"/>
              <w:left w:val="single" w:sz="4" w:space="0" w:color="auto"/>
              <w:bottom w:val="single" w:sz="4" w:space="0" w:color="auto"/>
              <w:right w:val="single" w:sz="4" w:space="0" w:color="auto"/>
            </w:tcBorders>
            <w:vAlign w:val="center"/>
          </w:tcPr>
          <w:p w14:paraId="21631F66"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72B85F13" w14:textId="77777777" w:rsidR="00E57DAA" w:rsidRDefault="00AC4185">
            <w:pPr>
              <w:autoSpaceDE w:val="0"/>
              <w:autoSpaceDN w:val="0"/>
              <w:adjustRightInd w:val="0"/>
              <w:rPr>
                <w:szCs w:val="21"/>
              </w:rPr>
            </w:pPr>
            <w:r>
              <w:t>联营企业</w:t>
            </w:r>
          </w:p>
        </w:tc>
        <w:tc>
          <w:tcPr>
            <w:tcW w:w="1059" w:type="pct"/>
            <w:tcBorders>
              <w:top w:val="single" w:sz="4" w:space="0" w:color="auto"/>
              <w:left w:val="single" w:sz="4" w:space="0" w:color="auto"/>
              <w:bottom w:val="single" w:sz="4" w:space="0" w:color="auto"/>
              <w:right w:val="single" w:sz="4" w:space="0" w:color="auto"/>
            </w:tcBorders>
          </w:tcPr>
          <w:p w14:paraId="262456A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B1C7312" w14:textId="77777777" w:rsidR="00E57DAA" w:rsidRDefault="00AC4185">
            <w:pPr>
              <w:autoSpaceDE w:val="0"/>
              <w:autoSpaceDN w:val="0"/>
              <w:adjustRightInd w:val="0"/>
              <w:jc w:val="right"/>
              <w:rPr>
                <w:szCs w:val="21"/>
              </w:rPr>
            </w:pPr>
            <w:r>
              <w:t xml:space="preserve">　</w:t>
            </w:r>
          </w:p>
        </w:tc>
      </w:tr>
      <w:tr w:rsidR="00E57DAA" w14:paraId="25D591BF" w14:textId="77777777">
        <w:tc>
          <w:tcPr>
            <w:tcW w:w="640" w:type="pct"/>
            <w:tcBorders>
              <w:top w:val="single" w:sz="4" w:space="0" w:color="auto"/>
              <w:left w:val="single" w:sz="4" w:space="0" w:color="auto"/>
              <w:bottom w:val="single" w:sz="4" w:space="0" w:color="auto"/>
              <w:right w:val="single" w:sz="4" w:space="0" w:color="auto"/>
            </w:tcBorders>
            <w:vAlign w:val="center"/>
          </w:tcPr>
          <w:p w14:paraId="16E3151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0AD9449" w14:textId="77777777" w:rsidR="00E57DAA" w:rsidRDefault="00AC4185">
            <w:pPr>
              <w:autoSpaceDE w:val="0"/>
              <w:autoSpaceDN w:val="0"/>
              <w:adjustRightInd w:val="0"/>
              <w:rPr>
                <w:szCs w:val="21"/>
              </w:rPr>
            </w:pPr>
            <w:r>
              <w:t>中才邦业（杭州）智能技术有限公司</w:t>
            </w:r>
          </w:p>
        </w:tc>
        <w:tc>
          <w:tcPr>
            <w:tcW w:w="1059" w:type="pct"/>
            <w:tcBorders>
              <w:top w:val="single" w:sz="4" w:space="0" w:color="auto"/>
              <w:left w:val="single" w:sz="4" w:space="0" w:color="auto"/>
              <w:bottom w:val="single" w:sz="4" w:space="0" w:color="auto"/>
              <w:right w:val="single" w:sz="4" w:space="0" w:color="auto"/>
            </w:tcBorders>
          </w:tcPr>
          <w:p w14:paraId="3E1E8871" w14:textId="77777777" w:rsidR="00E57DAA" w:rsidRDefault="00AC4185">
            <w:pPr>
              <w:autoSpaceDE w:val="0"/>
              <w:autoSpaceDN w:val="0"/>
              <w:adjustRightInd w:val="0"/>
              <w:jc w:val="right"/>
              <w:rPr>
                <w:szCs w:val="21"/>
              </w:rPr>
            </w:pPr>
            <w:r>
              <w:t>16,412,513.17</w:t>
            </w:r>
          </w:p>
        </w:tc>
        <w:tc>
          <w:tcPr>
            <w:tcW w:w="1407" w:type="pct"/>
            <w:tcBorders>
              <w:top w:val="single" w:sz="4" w:space="0" w:color="auto"/>
              <w:left w:val="single" w:sz="4" w:space="0" w:color="auto"/>
              <w:bottom w:val="single" w:sz="4" w:space="0" w:color="auto"/>
              <w:right w:val="single" w:sz="4" w:space="0" w:color="auto"/>
            </w:tcBorders>
          </w:tcPr>
          <w:p w14:paraId="34651B50" w14:textId="77777777" w:rsidR="00E57DAA" w:rsidRDefault="00AC4185">
            <w:pPr>
              <w:autoSpaceDE w:val="0"/>
              <w:autoSpaceDN w:val="0"/>
              <w:adjustRightInd w:val="0"/>
              <w:jc w:val="right"/>
              <w:rPr>
                <w:szCs w:val="21"/>
              </w:rPr>
            </w:pPr>
            <w:r>
              <w:t>17,846,553.17</w:t>
            </w:r>
          </w:p>
        </w:tc>
      </w:tr>
      <w:tr w:rsidR="00E57DAA" w14:paraId="2089E208" w14:textId="77777777">
        <w:tc>
          <w:tcPr>
            <w:tcW w:w="640" w:type="pct"/>
            <w:tcBorders>
              <w:top w:val="single" w:sz="4" w:space="0" w:color="auto"/>
              <w:left w:val="single" w:sz="4" w:space="0" w:color="auto"/>
              <w:bottom w:val="single" w:sz="4" w:space="0" w:color="auto"/>
              <w:right w:val="single" w:sz="4" w:space="0" w:color="auto"/>
            </w:tcBorders>
            <w:vAlign w:val="center"/>
          </w:tcPr>
          <w:p w14:paraId="0D45236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06B15A8" w14:textId="77777777" w:rsidR="00E57DAA" w:rsidRDefault="00AC4185">
            <w:pPr>
              <w:autoSpaceDE w:val="0"/>
              <w:autoSpaceDN w:val="0"/>
              <w:adjustRightInd w:val="0"/>
              <w:rPr>
                <w:szCs w:val="21"/>
              </w:rPr>
            </w:pPr>
            <w:r>
              <w:t>中建（淄博）重型机械有限公司</w:t>
            </w:r>
          </w:p>
        </w:tc>
        <w:tc>
          <w:tcPr>
            <w:tcW w:w="1059" w:type="pct"/>
            <w:tcBorders>
              <w:top w:val="single" w:sz="4" w:space="0" w:color="auto"/>
              <w:left w:val="single" w:sz="4" w:space="0" w:color="auto"/>
              <w:bottom w:val="single" w:sz="4" w:space="0" w:color="auto"/>
              <w:right w:val="single" w:sz="4" w:space="0" w:color="auto"/>
            </w:tcBorders>
          </w:tcPr>
          <w:p w14:paraId="172AAA92" w14:textId="77777777" w:rsidR="00E57DAA" w:rsidRDefault="00AC4185">
            <w:pPr>
              <w:autoSpaceDE w:val="0"/>
              <w:autoSpaceDN w:val="0"/>
              <w:adjustRightInd w:val="0"/>
              <w:jc w:val="right"/>
              <w:rPr>
                <w:szCs w:val="21"/>
              </w:rPr>
            </w:pPr>
            <w:r>
              <w:t>14,544,153.12</w:t>
            </w:r>
          </w:p>
        </w:tc>
        <w:tc>
          <w:tcPr>
            <w:tcW w:w="1407" w:type="pct"/>
            <w:tcBorders>
              <w:top w:val="single" w:sz="4" w:space="0" w:color="auto"/>
              <w:left w:val="single" w:sz="4" w:space="0" w:color="auto"/>
              <w:bottom w:val="single" w:sz="4" w:space="0" w:color="auto"/>
              <w:right w:val="single" w:sz="4" w:space="0" w:color="auto"/>
            </w:tcBorders>
          </w:tcPr>
          <w:p w14:paraId="5ADE6307" w14:textId="77777777" w:rsidR="00E57DAA" w:rsidRDefault="00AC4185">
            <w:pPr>
              <w:autoSpaceDE w:val="0"/>
              <w:autoSpaceDN w:val="0"/>
              <w:adjustRightInd w:val="0"/>
              <w:jc w:val="right"/>
              <w:rPr>
                <w:szCs w:val="21"/>
              </w:rPr>
            </w:pPr>
            <w:r>
              <w:t>25,749,304.94</w:t>
            </w:r>
          </w:p>
        </w:tc>
      </w:tr>
      <w:tr w:rsidR="00E57DAA" w14:paraId="1EF7D4AD" w14:textId="77777777">
        <w:tc>
          <w:tcPr>
            <w:tcW w:w="640" w:type="pct"/>
            <w:tcBorders>
              <w:top w:val="single" w:sz="4" w:space="0" w:color="auto"/>
              <w:left w:val="single" w:sz="4" w:space="0" w:color="auto"/>
              <w:bottom w:val="single" w:sz="4" w:space="0" w:color="auto"/>
              <w:right w:val="single" w:sz="4" w:space="0" w:color="auto"/>
            </w:tcBorders>
            <w:vAlign w:val="center"/>
          </w:tcPr>
          <w:p w14:paraId="64B10241"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5B05E0A" w14:textId="77777777" w:rsidR="00E57DAA" w:rsidRDefault="00AC4185">
            <w:pPr>
              <w:autoSpaceDE w:val="0"/>
              <w:autoSpaceDN w:val="0"/>
              <w:adjustRightInd w:val="0"/>
              <w:rPr>
                <w:szCs w:val="21"/>
              </w:rPr>
            </w:pPr>
            <w:r>
              <w:t>中国建材国际坦桑尼亚有限公司</w:t>
            </w:r>
          </w:p>
        </w:tc>
        <w:tc>
          <w:tcPr>
            <w:tcW w:w="1059" w:type="pct"/>
            <w:tcBorders>
              <w:top w:val="single" w:sz="4" w:space="0" w:color="auto"/>
              <w:left w:val="single" w:sz="4" w:space="0" w:color="auto"/>
              <w:bottom w:val="single" w:sz="4" w:space="0" w:color="auto"/>
              <w:right w:val="single" w:sz="4" w:space="0" w:color="auto"/>
            </w:tcBorders>
          </w:tcPr>
          <w:p w14:paraId="0A148B17" w14:textId="77777777" w:rsidR="00E57DAA" w:rsidRDefault="00AC4185">
            <w:pPr>
              <w:autoSpaceDE w:val="0"/>
              <w:autoSpaceDN w:val="0"/>
              <w:adjustRightInd w:val="0"/>
              <w:jc w:val="right"/>
              <w:rPr>
                <w:szCs w:val="21"/>
              </w:rPr>
            </w:pPr>
            <w:r>
              <w:t>2,192,413.72</w:t>
            </w:r>
          </w:p>
        </w:tc>
        <w:tc>
          <w:tcPr>
            <w:tcW w:w="1407" w:type="pct"/>
            <w:tcBorders>
              <w:top w:val="single" w:sz="4" w:space="0" w:color="auto"/>
              <w:left w:val="single" w:sz="4" w:space="0" w:color="auto"/>
              <w:bottom w:val="single" w:sz="4" w:space="0" w:color="auto"/>
              <w:right w:val="single" w:sz="4" w:space="0" w:color="auto"/>
            </w:tcBorders>
          </w:tcPr>
          <w:p w14:paraId="5128A2BC" w14:textId="77777777" w:rsidR="00E57DAA" w:rsidRDefault="00AC4185">
            <w:pPr>
              <w:autoSpaceDE w:val="0"/>
              <w:autoSpaceDN w:val="0"/>
              <w:adjustRightInd w:val="0"/>
              <w:jc w:val="right"/>
              <w:rPr>
                <w:szCs w:val="21"/>
              </w:rPr>
            </w:pPr>
            <w:r>
              <w:t xml:space="preserve">　</w:t>
            </w:r>
          </w:p>
        </w:tc>
      </w:tr>
      <w:tr w:rsidR="00E57DAA" w14:paraId="071C2CBA" w14:textId="77777777">
        <w:tc>
          <w:tcPr>
            <w:tcW w:w="640" w:type="pct"/>
            <w:tcBorders>
              <w:top w:val="single" w:sz="4" w:space="0" w:color="auto"/>
              <w:left w:val="single" w:sz="4" w:space="0" w:color="auto"/>
              <w:bottom w:val="single" w:sz="4" w:space="0" w:color="auto"/>
              <w:right w:val="single" w:sz="4" w:space="0" w:color="auto"/>
            </w:tcBorders>
            <w:vAlign w:val="center"/>
          </w:tcPr>
          <w:p w14:paraId="24A6A42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7F51616" w14:textId="77777777" w:rsidR="00E57DAA" w:rsidRDefault="00AC4185">
            <w:pPr>
              <w:autoSpaceDE w:val="0"/>
              <w:autoSpaceDN w:val="0"/>
              <w:adjustRightInd w:val="0"/>
              <w:rPr>
                <w:szCs w:val="21"/>
              </w:rPr>
            </w:pPr>
            <w:r>
              <w:t>江苏丰海新能源淡化海水发展有限公司</w:t>
            </w:r>
          </w:p>
        </w:tc>
        <w:tc>
          <w:tcPr>
            <w:tcW w:w="1059" w:type="pct"/>
            <w:tcBorders>
              <w:top w:val="single" w:sz="4" w:space="0" w:color="auto"/>
              <w:left w:val="single" w:sz="4" w:space="0" w:color="auto"/>
              <w:bottom w:val="single" w:sz="4" w:space="0" w:color="auto"/>
              <w:right w:val="single" w:sz="4" w:space="0" w:color="auto"/>
            </w:tcBorders>
          </w:tcPr>
          <w:p w14:paraId="005D0544" w14:textId="77777777" w:rsidR="00E57DAA" w:rsidRDefault="00AC4185">
            <w:pPr>
              <w:autoSpaceDE w:val="0"/>
              <w:autoSpaceDN w:val="0"/>
              <w:adjustRightInd w:val="0"/>
              <w:jc w:val="right"/>
              <w:rPr>
                <w:szCs w:val="21"/>
              </w:rPr>
            </w:pPr>
            <w:r>
              <w:t>1,697,000.00</w:t>
            </w:r>
          </w:p>
        </w:tc>
        <w:tc>
          <w:tcPr>
            <w:tcW w:w="1407" w:type="pct"/>
            <w:tcBorders>
              <w:top w:val="single" w:sz="4" w:space="0" w:color="auto"/>
              <w:left w:val="single" w:sz="4" w:space="0" w:color="auto"/>
              <w:bottom w:val="single" w:sz="4" w:space="0" w:color="auto"/>
              <w:right w:val="single" w:sz="4" w:space="0" w:color="auto"/>
            </w:tcBorders>
          </w:tcPr>
          <w:p w14:paraId="0B9FA8D2" w14:textId="77777777" w:rsidR="00E57DAA" w:rsidRDefault="00AC4185">
            <w:pPr>
              <w:autoSpaceDE w:val="0"/>
              <w:autoSpaceDN w:val="0"/>
              <w:adjustRightInd w:val="0"/>
              <w:jc w:val="right"/>
              <w:rPr>
                <w:szCs w:val="21"/>
              </w:rPr>
            </w:pPr>
            <w:r>
              <w:t xml:space="preserve">　</w:t>
            </w:r>
          </w:p>
        </w:tc>
      </w:tr>
      <w:tr w:rsidR="00E57DAA" w14:paraId="2BBD796B" w14:textId="77777777">
        <w:tc>
          <w:tcPr>
            <w:tcW w:w="640" w:type="pct"/>
            <w:tcBorders>
              <w:top w:val="single" w:sz="4" w:space="0" w:color="auto"/>
              <w:left w:val="single" w:sz="4" w:space="0" w:color="auto"/>
              <w:bottom w:val="single" w:sz="4" w:space="0" w:color="auto"/>
              <w:right w:val="single" w:sz="4" w:space="0" w:color="auto"/>
            </w:tcBorders>
            <w:vAlign w:val="center"/>
          </w:tcPr>
          <w:p w14:paraId="5EEC9268"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4B98F3B" w14:textId="77777777" w:rsidR="00E57DAA" w:rsidRDefault="00AC4185">
            <w:pPr>
              <w:autoSpaceDE w:val="0"/>
              <w:autoSpaceDN w:val="0"/>
              <w:adjustRightInd w:val="0"/>
              <w:rPr>
                <w:szCs w:val="21"/>
              </w:rPr>
            </w:pPr>
            <w:r>
              <w:t>富沛（上海）建设有限公司</w:t>
            </w:r>
          </w:p>
        </w:tc>
        <w:tc>
          <w:tcPr>
            <w:tcW w:w="1059" w:type="pct"/>
            <w:tcBorders>
              <w:top w:val="single" w:sz="4" w:space="0" w:color="auto"/>
              <w:left w:val="single" w:sz="4" w:space="0" w:color="auto"/>
              <w:bottom w:val="single" w:sz="4" w:space="0" w:color="auto"/>
              <w:right w:val="single" w:sz="4" w:space="0" w:color="auto"/>
            </w:tcBorders>
          </w:tcPr>
          <w:p w14:paraId="4DB88926" w14:textId="77777777" w:rsidR="00E57DAA" w:rsidRDefault="00AC4185">
            <w:pPr>
              <w:autoSpaceDE w:val="0"/>
              <w:autoSpaceDN w:val="0"/>
              <w:adjustRightInd w:val="0"/>
              <w:jc w:val="right"/>
              <w:rPr>
                <w:szCs w:val="21"/>
              </w:rPr>
            </w:pPr>
            <w:r>
              <w:t>193,095.68</w:t>
            </w:r>
          </w:p>
        </w:tc>
        <w:tc>
          <w:tcPr>
            <w:tcW w:w="1407" w:type="pct"/>
            <w:tcBorders>
              <w:top w:val="single" w:sz="4" w:space="0" w:color="auto"/>
              <w:left w:val="single" w:sz="4" w:space="0" w:color="auto"/>
              <w:bottom w:val="single" w:sz="4" w:space="0" w:color="auto"/>
              <w:right w:val="single" w:sz="4" w:space="0" w:color="auto"/>
            </w:tcBorders>
          </w:tcPr>
          <w:p w14:paraId="3B7251EB" w14:textId="77777777" w:rsidR="00E57DAA" w:rsidRDefault="00AC4185">
            <w:pPr>
              <w:autoSpaceDE w:val="0"/>
              <w:autoSpaceDN w:val="0"/>
              <w:adjustRightInd w:val="0"/>
              <w:jc w:val="right"/>
              <w:rPr>
                <w:szCs w:val="21"/>
              </w:rPr>
            </w:pPr>
            <w:r>
              <w:t>337,217.00</w:t>
            </w:r>
          </w:p>
        </w:tc>
      </w:tr>
      <w:tr w:rsidR="00E57DAA" w14:paraId="699CBB0F" w14:textId="77777777">
        <w:tc>
          <w:tcPr>
            <w:tcW w:w="640" w:type="pct"/>
            <w:tcBorders>
              <w:top w:val="single" w:sz="4" w:space="0" w:color="auto"/>
              <w:left w:val="single" w:sz="4" w:space="0" w:color="auto"/>
              <w:bottom w:val="single" w:sz="4" w:space="0" w:color="auto"/>
              <w:right w:val="single" w:sz="4" w:space="0" w:color="auto"/>
            </w:tcBorders>
            <w:vAlign w:val="center"/>
          </w:tcPr>
          <w:p w14:paraId="1EE7B791"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A7A0A45" w14:textId="77777777" w:rsidR="00E57DAA" w:rsidRDefault="00AC4185">
            <w:pPr>
              <w:autoSpaceDE w:val="0"/>
              <w:autoSpaceDN w:val="0"/>
              <w:adjustRightInd w:val="0"/>
              <w:rPr>
                <w:szCs w:val="21"/>
              </w:rPr>
            </w:pPr>
            <w:r>
              <w:t>合肥中亚科技有限责任公司</w:t>
            </w:r>
          </w:p>
        </w:tc>
        <w:tc>
          <w:tcPr>
            <w:tcW w:w="1059" w:type="pct"/>
            <w:tcBorders>
              <w:top w:val="single" w:sz="4" w:space="0" w:color="auto"/>
              <w:left w:val="single" w:sz="4" w:space="0" w:color="auto"/>
              <w:bottom w:val="single" w:sz="4" w:space="0" w:color="auto"/>
              <w:right w:val="single" w:sz="4" w:space="0" w:color="auto"/>
            </w:tcBorders>
          </w:tcPr>
          <w:p w14:paraId="76E8D5A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D5A3B2B" w14:textId="77777777" w:rsidR="00E57DAA" w:rsidRDefault="00AC4185">
            <w:pPr>
              <w:autoSpaceDE w:val="0"/>
              <w:autoSpaceDN w:val="0"/>
              <w:adjustRightInd w:val="0"/>
              <w:jc w:val="right"/>
              <w:rPr>
                <w:szCs w:val="21"/>
              </w:rPr>
            </w:pPr>
            <w:r>
              <w:t>109,807.01</w:t>
            </w:r>
          </w:p>
        </w:tc>
      </w:tr>
      <w:tr w:rsidR="00E57DAA" w14:paraId="31C95380" w14:textId="77777777">
        <w:tc>
          <w:tcPr>
            <w:tcW w:w="640" w:type="pct"/>
            <w:tcBorders>
              <w:top w:val="single" w:sz="4" w:space="0" w:color="auto"/>
              <w:left w:val="single" w:sz="4" w:space="0" w:color="auto"/>
              <w:bottom w:val="single" w:sz="4" w:space="0" w:color="auto"/>
              <w:right w:val="single" w:sz="4" w:space="0" w:color="auto"/>
            </w:tcBorders>
            <w:vAlign w:val="center"/>
          </w:tcPr>
          <w:p w14:paraId="3CC11181"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55C960A6" w14:textId="77777777" w:rsidR="00E57DAA" w:rsidRDefault="00AC4185">
            <w:pPr>
              <w:autoSpaceDE w:val="0"/>
              <w:autoSpaceDN w:val="0"/>
              <w:adjustRightInd w:val="0"/>
              <w:rPr>
                <w:szCs w:val="21"/>
              </w:rPr>
            </w:pPr>
            <w:r>
              <w:t>受同一母公司控制的其他企业</w:t>
            </w:r>
          </w:p>
        </w:tc>
        <w:tc>
          <w:tcPr>
            <w:tcW w:w="1059" w:type="pct"/>
            <w:tcBorders>
              <w:top w:val="single" w:sz="4" w:space="0" w:color="auto"/>
              <w:left w:val="single" w:sz="4" w:space="0" w:color="auto"/>
              <w:bottom w:val="single" w:sz="4" w:space="0" w:color="auto"/>
              <w:right w:val="single" w:sz="4" w:space="0" w:color="auto"/>
            </w:tcBorders>
          </w:tcPr>
          <w:p w14:paraId="298D918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714BDFD" w14:textId="77777777" w:rsidR="00E57DAA" w:rsidRDefault="00AC4185">
            <w:pPr>
              <w:autoSpaceDE w:val="0"/>
              <w:autoSpaceDN w:val="0"/>
              <w:adjustRightInd w:val="0"/>
              <w:jc w:val="right"/>
              <w:rPr>
                <w:szCs w:val="21"/>
              </w:rPr>
            </w:pPr>
            <w:r>
              <w:t xml:space="preserve">　</w:t>
            </w:r>
          </w:p>
        </w:tc>
      </w:tr>
      <w:tr w:rsidR="00E57DAA" w14:paraId="3C948F6F" w14:textId="77777777">
        <w:tc>
          <w:tcPr>
            <w:tcW w:w="640" w:type="pct"/>
            <w:tcBorders>
              <w:top w:val="single" w:sz="4" w:space="0" w:color="auto"/>
              <w:left w:val="single" w:sz="4" w:space="0" w:color="auto"/>
              <w:bottom w:val="single" w:sz="4" w:space="0" w:color="auto"/>
              <w:right w:val="single" w:sz="4" w:space="0" w:color="auto"/>
            </w:tcBorders>
            <w:vAlign w:val="center"/>
          </w:tcPr>
          <w:p w14:paraId="13951F0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AD34A78" w14:textId="77777777" w:rsidR="00E57DAA" w:rsidRDefault="00AC4185">
            <w:pPr>
              <w:autoSpaceDE w:val="0"/>
              <w:autoSpaceDN w:val="0"/>
              <w:adjustRightInd w:val="0"/>
              <w:rPr>
                <w:szCs w:val="21"/>
              </w:rPr>
            </w:pPr>
            <w:r>
              <w:t>南京玻璃纤维研究设计院有限公司</w:t>
            </w:r>
          </w:p>
        </w:tc>
        <w:tc>
          <w:tcPr>
            <w:tcW w:w="1059" w:type="pct"/>
            <w:tcBorders>
              <w:top w:val="single" w:sz="4" w:space="0" w:color="auto"/>
              <w:left w:val="single" w:sz="4" w:space="0" w:color="auto"/>
              <w:bottom w:val="single" w:sz="4" w:space="0" w:color="auto"/>
              <w:right w:val="single" w:sz="4" w:space="0" w:color="auto"/>
            </w:tcBorders>
          </w:tcPr>
          <w:p w14:paraId="76DCC704" w14:textId="77777777" w:rsidR="00E57DAA" w:rsidRDefault="00AC4185">
            <w:pPr>
              <w:autoSpaceDE w:val="0"/>
              <w:autoSpaceDN w:val="0"/>
              <w:adjustRightInd w:val="0"/>
              <w:jc w:val="right"/>
              <w:rPr>
                <w:szCs w:val="21"/>
              </w:rPr>
            </w:pPr>
            <w:r>
              <w:t>33,100,927.15</w:t>
            </w:r>
          </w:p>
        </w:tc>
        <w:tc>
          <w:tcPr>
            <w:tcW w:w="1407" w:type="pct"/>
            <w:tcBorders>
              <w:top w:val="single" w:sz="4" w:space="0" w:color="auto"/>
              <w:left w:val="single" w:sz="4" w:space="0" w:color="auto"/>
              <w:bottom w:val="single" w:sz="4" w:space="0" w:color="auto"/>
              <w:right w:val="single" w:sz="4" w:space="0" w:color="auto"/>
            </w:tcBorders>
          </w:tcPr>
          <w:p w14:paraId="0ECBD41A" w14:textId="77777777" w:rsidR="00E57DAA" w:rsidRDefault="00AC4185">
            <w:pPr>
              <w:autoSpaceDE w:val="0"/>
              <w:autoSpaceDN w:val="0"/>
              <w:adjustRightInd w:val="0"/>
              <w:jc w:val="right"/>
              <w:rPr>
                <w:szCs w:val="21"/>
              </w:rPr>
            </w:pPr>
            <w:r>
              <w:t>26,359,073.03</w:t>
            </w:r>
          </w:p>
        </w:tc>
      </w:tr>
      <w:tr w:rsidR="00E57DAA" w14:paraId="42AF8054" w14:textId="77777777">
        <w:tc>
          <w:tcPr>
            <w:tcW w:w="640" w:type="pct"/>
            <w:tcBorders>
              <w:top w:val="single" w:sz="4" w:space="0" w:color="auto"/>
              <w:left w:val="single" w:sz="4" w:space="0" w:color="auto"/>
              <w:bottom w:val="single" w:sz="4" w:space="0" w:color="auto"/>
              <w:right w:val="single" w:sz="4" w:space="0" w:color="auto"/>
            </w:tcBorders>
            <w:vAlign w:val="center"/>
          </w:tcPr>
          <w:p w14:paraId="2A4F72B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4EF89DA" w14:textId="77777777" w:rsidR="00E57DAA" w:rsidRDefault="00AC4185">
            <w:pPr>
              <w:autoSpaceDE w:val="0"/>
              <w:autoSpaceDN w:val="0"/>
              <w:adjustRightInd w:val="0"/>
              <w:rPr>
                <w:szCs w:val="21"/>
              </w:rPr>
            </w:pPr>
            <w:r>
              <w:t>临沂中联水泥有限公司</w:t>
            </w:r>
          </w:p>
        </w:tc>
        <w:tc>
          <w:tcPr>
            <w:tcW w:w="1059" w:type="pct"/>
            <w:tcBorders>
              <w:top w:val="single" w:sz="4" w:space="0" w:color="auto"/>
              <w:left w:val="single" w:sz="4" w:space="0" w:color="auto"/>
              <w:bottom w:val="single" w:sz="4" w:space="0" w:color="auto"/>
              <w:right w:val="single" w:sz="4" w:space="0" w:color="auto"/>
            </w:tcBorders>
          </w:tcPr>
          <w:p w14:paraId="348847B6" w14:textId="77777777" w:rsidR="00E57DAA" w:rsidRDefault="00AC4185">
            <w:pPr>
              <w:autoSpaceDE w:val="0"/>
              <w:autoSpaceDN w:val="0"/>
              <w:adjustRightInd w:val="0"/>
              <w:jc w:val="right"/>
              <w:rPr>
                <w:szCs w:val="21"/>
              </w:rPr>
            </w:pPr>
            <w:r>
              <w:t>16,298,516.90</w:t>
            </w:r>
          </w:p>
        </w:tc>
        <w:tc>
          <w:tcPr>
            <w:tcW w:w="1407" w:type="pct"/>
            <w:tcBorders>
              <w:top w:val="single" w:sz="4" w:space="0" w:color="auto"/>
              <w:left w:val="single" w:sz="4" w:space="0" w:color="auto"/>
              <w:bottom w:val="single" w:sz="4" w:space="0" w:color="auto"/>
              <w:right w:val="single" w:sz="4" w:space="0" w:color="auto"/>
            </w:tcBorders>
          </w:tcPr>
          <w:p w14:paraId="6B33F0F3" w14:textId="77777777" w:rsidR="00E57DAA" w:rsidRDefault="00AC4185">
            <w:pPr>
              <w:autoSpaceDE w:val="0"/>
              <w:autoSpaceDN w:val="0"/>
              <w:adjustRightInd w:val="0"/>
              <w:jc w:val="right"/>
              <w:rPr>
                <w:szCs w:val="21"/>
              </w:rPr>
            </w:pPr>
            <w:r>
              <w:t>13,555,984.02</w:t>
            </w:r>
          </w:p>
        </w:tc>
      </w:tr>
      <w:tr w:rsidR="00E57DAA" w14:paraId="23D2C545" w14:textId="77777777">
        <w:tc>
          <w:tcPr>
            <w:tcW w:w="640" w:type="pct"/>
            <w:tcBorders>
              <w:top w:val="single" w:sz="4" w:space="0" w:color="auto"/>
              <w:left w:val="single" w:sz="4" w:space="0" w:color="auto"/>
              <w:bottom w:val="single" w:sz="4" w:space="0" w:color="auto"/>
              <w:right w:val="single" w:sz="4" w:space="0" w:color="auto"/>
            </w:tcBorders>
            <w:vAlign w:val="center"/>
          </w:tcPr>
          <w:p w14:paraId="61DAFFA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98E0A5A" w14:textId="77777777" w:rsidR="00E57DAA" w:rsidRDefault="00AC4185">
            <w:pPr>
              <w:autoSpaceDE w:val="0"/>
              <w:autoSpaceDN w:val="0"/>
              <w:adjustRightInd w:val="0"/>
              <w:rPr>
                <w:szCs w:val="21"/>
              </w:rPr>
            </w:pPr>
            <w:r>
              <w:t>苏州混凝土水泥制品研究院有限公司</w:t>
            </w:r>
          </w:p>
        </w:tc>
        <w:tc>
          <w:tcPr>
            <w:tcW w:w="1059" w:type="pct"/>
            <w:tcBorders>
              <w:top w:val="single" w:sz="4" w:space="0" w:color="auto"/>
              <w:left w:val="single" w:sz="4" w:space="0" w:color="auto"/>
              <w:bottom w:val="single" w:sz="4" w:space="0" w:color="auto"/>
              <w:right w:val="single" w:sz="4" w:space="0" w:color="auto"/>
            </w:tcBorders>
          </w:tcPr>
          <w:p w14:paraId="492FD505" w14:textId="77777777" w:rsidR="00E57DAA" w:rsidRDefault="00AC4185">
            <w:pPr>
              <w:autoSpaceDE w:val="0"/>
              <w:autoSpaceDN w:val="0"/>
              <w:adjustRightInd w:val="0"/>
              <w:jc w:val="right"/>
              <w:rPr>
                <w:szCs w:val="21"/>
              </w:rPr>
            </w:pPr>
            <w:r>
              <w:t>12,793,562.10</w:t>
            </w:r>
          </w:p>
        </w:tc>
        <w:tc>
          <w:tcPr>
            <w:tcW w:w="1407" w:type="pct"/>
            <w:tcBorders>
              <w:top w:val="single" w:sz="4" w:space="0" w:color="auto"/>
              <w:left w:val="single" w:sz="4" w:space="0" w:color="auto"/>
              <w:bottom w:val="single" w:sz="4" w:space="0" w:color="auto"/>
              <w:right w:val="single" w:sz="4" w:space="0" w:color="auto"/>
            </w:tcBorders>
          </w:tcPr>
          <w:p w14:paraId="4B0BEEBE" w14:textId="77777777" w:rsidR="00E57DAA" w:rsidRDefault="00AC4185">
            <w:pPr>
              <w:autoSpaceDE w:val="0"/>
              <w:autoSpaceDN w:val="0"/>
              <w:adjustRightInd w:val="0"/>
              <w:jc w:val="right"/>
              <w:rPr>
                <w:szCs w:val="21"/>
              </w:rPr>
            </w:pPr>
            <w:r>
              <w:t>154,349.36</w:t>
            </w:r>
          </w:p>
        </w:tc>
      </w:tr>
      <w:tr w:rsidR="00E57DAA" w14:paraId="630BAA18" w14:textId="77777777">
        <w:tc>
          <w:tcPr>
            <w:tcW w:w="640" w:type="pct"/>
            <w:tcBorders>
              <w:top w:val="single" w:sz="4" w:space="0" w:color="auto"/>
              <w:left w:val="single" w:sz="4" w:space="0" w:color="auto"/>
              <w:bottom w:val="single" w:sz="4" w:space="0" w:color="auto"/>
              <w:right w:val="single" w:sz="4" w:space="0" w:color="auto"/>
            </w:tcBorders>
            <w:vAlign w:val="center"/>
          </w:tcPr>
          <w:p w14:paraId="67E69E2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54E90A5" w14:textId="77777777" w:rsidR="00E57DAA" w:rsidRDefault="00AC4185">
            <w:pPr>
              <w:autoSpaceDE w:val="0"/>
              <w:autoSpaceDN w:val="0"/>
              <w:adjustRightInd w:val="0"/>
              <w:rPr>
                <w:szCs w:val="21"/>
              </w:rPr>
            </w:pPr>
            <w:r>
              <w:t>溧水天山水泥有限公司</w:t>
            </w:r>
          </w:p>
        </w:tc>
        <w:tc>
          <w:tcPr>
            <w:tcW w:w="1059" w:type="pct"/>
            <w:tcBorders>
              <w:top w:val="single" w:sz="4" w:space="0" w:color="auto"/>
              <w:left w:val="single" w:sz="4" w:space="0" w:color="auto"/>
              <w:bottom w:val="single" w:sz="4" w:space="0" w:color="auto"/>
              <w:right w:val="single" w:sz="4" w:space="0" w:color="auto"/>
            </w:tcBorders>
          </w:tcPr>
          <w:p w14:paraId="020FC630" w14:textId="77777777" w:rsidR="00E57DAA" w:rsidRDefault="00AC4185">
            <w:pPr>
              <w:autoSpaceDE w:val="0"/>
              <w:autoSpaceDN w:val="0"/>
              <w:adjustRightInd w:val="0"/>
              <w:jc w:val="right"/>
              <w:rPr>
                <w:szCs w:val="21"/>
              </w:rPr>
            </w:pPr>
            <w:r>
              <w:t>9,457,428.73</w:t>
            </w:r>
          </w:p>
        </w:tc>
        <w:tc>
          <w:tcPr>
            <w:tcW w:w="1407" w:type="pct"/>
            <w:tcBorders>
              <w:top w:val="single" w:sz="4" w:space="0" w:color="auto"/>
              <w:left w:val="single" w:sz="4" w:space="0" w:color="auto"/>
              <w:bottom w:val="single" w:sz="4" w:space="0" w:color="auto"/>
              <w:right w:val="single" w:sz="4" w:space="0" w:color="auto"/>
            </w:tcBorders>
          </w:tcPr>
          <w:p w14:paraId="3232D46A" w14:textId="77777777" w:rsidR="00E57DAA" w:rsidRDefault="00AC4185">
            <w:pPr>
              <w:autoSpaceDE w:val="0"/>
              <w:autoSpaceDN w:val="0"/>
              <w:adjustRightInd w:val="0"/>
              <w:jc w:val="right"/>
              <w:rPr>
                <w:szCs w:val="21"/>
              </w:rPr>
            </w:pPr>
            <w:r>
              <w:t>2,848,007.97</w:t>
            </w:r>
          </w:p>
        </w:tc>
      </w:tr>
      <w:tr w:rsidR="00E57DAA" w14:paraId="7A3B0A77" w14:textId="77777777">
        <w:tc>
          <w:tcPr>
            <w:tcW w:w="640" w:type="pct"/>
            <w:tcBorders>
              <w:top w:val="single" w:sz="4" w:space="0" w:color="auto"/>
              <w:left w:val="single" w:sz="4" w:space="0" w:color="auto"/>
              <w:bottom w:val="single" w:sz="4" w:space="0" w:color="auto"/>
              <w:right w:val="single" w:sz="4" w:space="0" w:color="auto"/>
            </w:tcBorders>
            <w:vAlign w:val="center"/>
          </w:tcPr>
          <w:p w14:paraId="5189456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A38E686" w14:textId="77777777" w:rsidR="00E57DAA" w:rsidRDefault="00AC4185">
            <w:pPr>
              <w:autoSpaceDE w:val="0"/>
              <w:autoSpaceDN w:val="0"/>
              <w:adjustRightInd w:val="0"/>
              <w:rPr>
                <w:szCs w:val="21"/>
              </w:rPr>
            </w:pPr>
            <w:r>
              <w:t>中材科技（成都）有限公司</w:t>
            </w:r>
          </w:p>
        </w:tc>
        <w:tc>
          <w:tcPr>
            <w:tcW w:w="1059" w:type="pct"/>
            <w:tcBorders>
              <w:top w:val="single" w:sz="4" w:space="0" w:color="auto"/>
              <w:left w:val="single" w:sz="4" w:space="0" w:color="auto"/>
              <w:bottom w:val="single" w:sz="4" w:space="0" w:color="auto"/>
              <w:right w:val="single" w:sz="4" w:space="0" w:color="auto"/>
            </w:tcBorders>
          </w:tcPr>
          <w:p w14:paraId="13F0758E" w14:textId="77777777" w:rsidR="00E57DAA" w:rsidRDefault="00AC4185">
            <w:pPr>
              <w:autoSpaceDE w:val="0"/>
              <w:autoSpaceDN w:val="0"/>
              <w:adjustRightInd w:val="0"/>
              <w:jc w:val="right"/>
              <w:rPr>
                <w:szCs w:val="21"/>
              </w:rPr>
            </w:pPr>
            <w:r>
              <w:t>8,960,364.08</w:t>
            </w:r>
          </w:p>
        </w:tc>
        <w:tc>
          <w:tcPr>
            <w:tcW w:w="1407" w:type="pct"/>
            <w:tcBorders>
              <w:top w:val="single" w:sz="4" w:space="0" w:color="auto"/>
              <w:left w:val="single" w:sz="4" w:space="0" w:color="auto"/>
              <w:bottom w:val="single" w:sz="4" w:space="0" w:color="auto"/>
              <w:right w:val="single" w:sz="4" w:space="0" w:color="auto"/>
            </w:tcBorders>
          </w:tcPr>
          <w:p w14:paraId="0ADA7805" w14:textId="77777777" w:rsidR="00E57DAA" w:rsidRDefault="00AC4185">
            <w:pPr>
              <w:autoSpaceDE w:val="0"/>
              <w:autoSpaceDN w:val="0"/>
              <w:adjustRightInd w:val="0"/>
              <w:jc w:val="right"/>
              <w:rPr>
                <w:szCs w:val="21"/>
              </w:rPr>
            </w:pPr>
            <w:r>
              <w:t xml:space="preserve">　</w:t>
            </w:r>
          </w:p>
        </w:tc>
      </w:tr>
      <w:tr w:rsidR="00E57DAA" w14:paraId="0131EDAD" w14:textId="77777777">
        <w:tc>
          <w:tcPr>
            <w:tcW w:w="640" w:type="pct"/>
            <w:tcBorders>
              <w:top w:val="single" w:sz="4" w:space="0" w:color="auto"/>
              <w:left w:val="single" w:sz="4" w:space="0" w:color="auto"/>
              <w:bottom w:val="single" w:sz="4" w:space="0" w:color="auto"/>
              <w:right w:val="single" w:sz="4" w:space="0" w:color="auto"/>
            </w:tcBorders>
            <w:vAlign w:val="center"/>
          </w:tcPr>
          <w:p w14:paraId="460D6F5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C753D0B" w14:textId="77777777" w:rsidR="00E57DAA" w:rsidRDefault="00AC4185">
            <w:pPr>
              <w:autoSpaceDE w:val="0"/>
              <w:autoSpaceDN w:val="0"/>
              <w:adjustRightInd w:val="0"/>
              <w:rPr>
                <w:szCs w:val="21"/>
              </w:rPr>
            </w:pPr>
            <w:r>
              <w:t>中建材物资有限公司</w:t>
            </w:r>
          </w:p>
        </w:tc>
        <w:tc>
          <w:tcPr>
            <w:tcW w:w="1059" w:type="pct"/>
            <w:tcBorders>
              <w:top w:val="single" w:sz="4" w:space="0" w:color="auto"/>
              <w:left w:val="single" w:sz="4" w:space="0" w:color="auto"/>
              <w:bottom w:val="single" w:sz="4" w:space="0" w:color="auto"/>
              <w:right w:val="single" w:sz="4" w:space="0" w:color="auto"/>
            </w:tcBorders>
          </w:tcPr>
          <w:p w14:paraId="08B379B5" w14:textId="77777777" w:rsidR="00E57DAA" w:rsidRDefault="00AC4185">
            <w:pPr>
              <w:autoSpaceDE w:val="0"/>
              <w:autoSpaceDN w:val="0"/>
              <w:adjustRightInd w:val="0"/>
              <w:jc w:val="right"/>
              <w:rPr>
                <w:szCs w:val="21"/>
              </w:rPr>
            </w:pPr>
            <w:r>
              <w:t>8,145,514.00</w:t>
            </w:r>
          </w:p>
        </w:tc>
        <w:tc>
          <w:tcPr>
            <w:tcW w:w="1407" w:type="pct"/>
            <w:tcBorders>
              <w:top w:val="single" w:sz="4" w:space="0" w:color="auto"/>
              <w:left w:val="single" w:sz="4" w:space="0" w:color="auto"/>
              <w:bottom w:val="single" w:sz="4" w:space="0" w:color="auto"/>
              <w:right w:val="single" w:sz="4" w:space="0" w:color="auto"/>
            </w:tcBorders>
          </w:tcPr>
          <w:p w14:paraId="6850DCC2" w14:textId="77777777" w:rsidR="00E57DAA" w:rsidRDefault="00AC4185">
            <w:pPr>
              <w:autoSpaceDE w:val="0"/>
              <w:autoSpaceDN w:val="0"/>
              <w:adjustRightInd w:val="0"/>
              <w:jc w:val="right"/>
              <w:rPr>
                <w:szCs w:val="21"/>
              </w:rPr>
            </w:pPr>
            <w:r>
              <w:t xml:space="preserve">　</w:t>
            </w:r>
          </w:p>
        </w:tc>
      </w:tr>
      <w:tr w:rsidR="00E57DAA" w14:paraId="1B9EE37E" w14:textId="77777777">
        <w:tc>
          <w:tcPr>
            <w:tcW w:w="640" w:type="pct"/>
            <w:tcBorders>
              <w:top w:val="single" w:sz="4" w:space="0" w:color="auto"/>
              <w:left w:val="single" w:sz="4" w:space="0" w:color="auto"/>
              <w:bottom w:val="single" w:sz="4" w:space="0" w:color="auto"/>
              <w:right w:val="single" w:sz="4" w:space="0" w:color="auto"/>
            </w:tcBorders>
            <w:vAlign w:val="center"/>
          </w:tcPr>
          <w:p w14:paraId="7377A83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07E1450" w14:textId="77777777" w:rsidR="00E57DAA" w:rsidRDefault="00AC4185">
            <w:pPr>
              <w:autoSpaceDE w:val="0"/>
              <w:autoSpaceDN w:val="0"/>
              <w:adjustRightInd w:val="0"/>
              <w:rPr>
                <w:szCs w:val="21"/>
              </w:rPr>
            </w:pPr>
            <w:r>
              <w:t>天津灯塔涂料工业发展有限公司</w:t>
            </w:r>
          </w:p>
        </w:tc>
        <w:tc>
          <w:tcPr>
            <w:tcW w:w="1059" w:type="pct"/>
            <w:tcBorders>
              <w:top w:val="single" w:sz="4" w:space="0" w:color="auto"/>
              <w:left w:val="single" w:sz="4" w:space="0" w:color="auto"/>
              <w:bottom w:val="single" w:sz="4" w:space="0" w:color="auto"/>
              <w:right w:val="single" w:sz="4" w:space="0" w:color="auto"/>
            </w:tcBorders>
          </w:tcPr>
          <w:p w14:paraId="0FDE1283" w14:textId="77777777" w:rsidR="00E57DAA" w:rsidRDefault="00AC4185">
            <w:pPr>
              <w:autoSpaceDE w:val="0"/>
              <w:autoSpaceDN w:val="0"/>
              <w:adjustRightInd w:val="0"/>
              <w:jc w:val="right"/>
              <w:rPr>
                <w:szCs w:val="21"/>
              </w:rPr>
            </w:pPr>
            <w:r>
              <w:t>7,682,187.00</w:t>
            </w:r>
          </w:p>
        </w:tc>
        <w:tc>
          <w:tcPr>
            <w:tcW w:w="1407" w:type="pct"/>
            <w:tcBorders>
              <w:top w:val="single" w:sz="4" w:space="0" w:color="auto"/>
              <w:left w:val="single" w:sz="4" w:space="0" w:color="auto"/>
              <w:bottom w:val="single" w:sz="4" w:space="0" w:color="auto"/>
              <w:right w:val="single" w:sz="4" w:space="0" w:color="auto"/>
            </w:tcBorders>
          </w:tcPr>
          <w:p w14:paraId="5578F013" w14:textId="77777777" w:rsidR="00E57DAA" w:rsidRDefault="00AC4185">
            <w:pPr>
              <w:autoSpaceDE w:val="0"/>
              <w:autoSpaceDN w:val="0"/>
              <w:adjustRightInd w:val="0"/>
              <w:jc w:val="right"/>
              <w:rPr>
                <w:szCs w:val="21"/>
              </w:rPr>
            </w:pPr>
            <w:r>
              <w:t xml:space="preserve">　</w:t>
            </w:r>
          </w:p>
        </w:tc>
      </w:tr>
      <w:tr w:rsidR="00E57DAA" w14:paraId="4D1A040B" w14:textId="77777777">
        <w:tc>
          <w:tcPr>
            <w:tcW w:w="640" w:type="pct"/>
            <w:tcBorders>
              <w:top w:val="single" w:sz="4" w:space="0" w:color="auto"/>
              <w:left w:val="single" w:sz="4" w:space="0" w:color="auto"/>
              <w:bottom w:val="single" w:sz="4" w:space="0" w:color="auto"/>
              <w:right w:val="single" w:sz="4" w:space="0" w:color="auto"/>
            </w:tcBorders>
            <w:vAlign w:val="center"/>
          </w:tcPr>
          <w:p w14:paraId="398A236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37CFCF7" w14:textId="77777777" w:rsidR="00E57DAA" w:rsidRDefault="00AC4185">
            <w:pPr>
              <w:autoSpaceDE w:val="0"/>
              <w:autoSpaceDN w:val="0"/>
              <w:adjustRightInd w:val="0"/>
              <w:rPr>
                <w:szCs w:val="21"/>
              </w:rPr>
            </w:pPr>
            <w:r>
              <w:t>溧阳天山水泥有限公司</w:t>
            </w:r>
          </w:p>
        </w:tc>
        <w:tc>
          <w:tcPr>
            <w:tcW w:w="1059" w:type="pct"/>
            <w:tcBorders>
              <w:top w:val="single" w:sz="4" w:space="0" w:color="auto"/>
              <w:left w:val="single" w:sz="4" w:space="0" w:color="auto"/>
              <w:bottom w:val="single" w:sz="4" w:space="0" w:color="auto"/>
              <w:right w:val="single" w:sz="4" w:space="0" w:color="auto"/>
            </w:tcBorders>
          </w:tcPr>
          <w:p w14:paraId="6D013B56" w14:textId="77777777" w:rsidR="00E57DAA" w:rsidRDefault="00AC4185">
            <w:pPr>
              <w:autoSpaceDE w:val="0"/>
              <w:autoSpaceDN w:val="0"/>
              <w:adjustRightInd w:val="0"/>
              <w:jc w:val="right"/>
              <w:rPr>
                <w:szCs w:val="21"/>
              </w:rPr>
            </w:pPr>
            <w:r>
              <w:t>6,346,581.73</w:t>
            </w:r>
          </w:p>
        </w:tc>
        <w:tc>
          <w:tcPr>
            <w:tcW w:w="1407" w:type="pct"/>
            <w:tcBorders>
              <w:top w:val="single" w:sz="4" w:space="0" w:color="auto"/>
              <w:left w:val="single" w:sz="4" w:space="0" w:color="auto"/>
              <w:bottom w:val="single" w:sz="4" w:space="0" w:color="auto"/>
              <w:right w:val="single" w:sz="4" w:space="0" w:color="auto"/>
            </w:tcBorders>
          </w:tcPr>
          <w:p w14:paraId="634E4781" w14:textId="77777777" w:rsidR="00E57DAA" w:rsidRDefault="00AC4185">
            <w:pPr>
              <w:autoSpaceDE w:val="0"/>
              <w:autoSpaceDN w:val="0"/>
              <w:adjustRightInd w:val="0"/>
              <w:jc w:val="right"/>
              <w:rPr>
                <w:szCs w:val="21"/>
              </w:rPr>
            </w:pPr>
            <w:r>
              <w:t>2,912,171.60</w:t>
            </w:r>
          </w:p>
        </w:tc>
      </w:tr>
      <w:tr w:rsidR="00E57DAA" w14:paraId="3386CBA0" w14:textId="77777777">
        <w:tc>
          <w:tcPr>
            <w:tcW w:w="640" w:type="pct"/>
            <w:tcBorders>
              <w:top w:val="single" w:sz="4" w:space="0" w:color="auto"/>
              <w:left w:val="single" w:sz="4" w:space="0" w:color="auto"/>
              <w:bottom w:val="single" w:sz="4" w:space="0" w:color="auto"/>
              <w:right w:val="single" w:sz="4" w:space="0" w:color="auto"/>
            </w:tcBorders>
            <w:vAlign w:val="center"/>
          </w:tcPr>
          <w:p w14:paraId="7A19EE3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FD4941D" w14:textId="77777777" w:rsidR="00E57DAA" w:rsidRDefault="00AC4185">
            <w:pPr>
              <w:autoSpaceDE w:val="0"/>
              <w:autoSpaceDN w:val="0"/>
              <w:adjustRightInd w:val="0"/>
              <w:rPr>
                <w:szCs w:val="21"/>
              </w:rPr>
            </w:pPr>
            <w:r>
              <w:t>合肥中材混凝土有限公司</w:t>
            </w:r>
          </w:p>
        </w:tc>
        <w:tc>
          <w:tcPr>
            <w:tcW w:w="1059" w:type="pct"/>
            <w:tcBorders>
              <w:top w:val="single" w:sz="4" w:space="0" w:color="auto"/>
              <w:left w:val="single" w:sz="4" w:space="0" w:color="auto"/>
              <w:bottom w:val="single" w:sz="4" w:space="0" w:color="auto"/>
              <w:right w:val="single" w:sz="4" w:space="0" w:color="auto"/>
            </w:tcBorders>
          </w:tcPr>
          <w:p w14:paraId="2942F82D" w14:textId="77777777" w:rsidR="00E57DAA" w:rsidRDefault="00AC4185">
            <w:pPr>
              <w:autoSpaceDE w:val="0"/>
              <w:autoSpaceDN w:val="0"/>
              <w:adjustRightInd w:val="0"/>
              <w:jc w:val="right"/>
              <w:rPr>
                <w:szCs w:val="21"/>
              </w:rPr>
            </w:pPr>
            <w:r>
              <w:t>5,443,451.49</w:t>
            </w:r>
          </w:p>
        </w:tc>
        <w:tc>
          <w:tcPr>
            <w:tcW w:w="1407" w:type="pct"/>
            <w:tcBorders>
              <w:top w:val="single" w:sz="4" w:space="0" w:color="auto"/>
              <w:left w:val="single" w:sz="4" w:space="0" w:color="auto"/>
              <w:bottom w:val="single" w:sz="4" w:space="0" w:color="auto"/>
              <w:right w:val="single" w:sz="4" w:space="0" w:color="auto"/>
            </w:tcBorders>
          </w:tcPr>
          <w:p w14:paraId="09378F72" w14:textId="77777777" w:rsidR="00E57DAA" w:rsidRDefault="00AC4185">
            <w:pPr>
              <w:autoSpaceDE w:val="0"/>
              <w:autoSpaceDN w:val="0"/>
              <w:adjustRightInd w:val="0"/>
              <w:jc w:val="right"/>
              <w:rPr>
                <w:szCs w:val="21"/>
              </w:rPr>
            </w:pPr>
            <w:r>
              <w:t xml:space="preserve">　</w:t>
            </w:r>
          </w:p>
        </w:tc>
      </w:tr>
      <w:tr w:rsidR="00E57DAA" w14:paraId="7FEE396F" w14:textId="77777777">
        <w:tc>
          <w:tcPr>
            <w:tcW w:w="640" w:type="pct"/>
            <w:tcBorders>
              <w:top w:val="single" w:sz="4" w:space="0" w:color="auto"/>
              <w:left w:val="single" w:sz="4" w:space="0" w:color="auto"/>
              <w:bottom w:val="single" w:sz="4" w:space="0" w:color="auto"/>
              <w:right w:val="single" w:sz="4" w:space="0" w:color="auto"/>
            </w:tcBorders>
            <w:vAlign w:val="center"/>
          </w:tcPr>
          <w:p w14:paraId="553E905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C3443ED" w14:textId="77777777" w:rsidR="00E57DAA" w:rsidRDefault="00AC4185">
            <w:pPr>
              <w:autoSpaceDE w:val="0"/>
              <w:autoSpaceDN w:val="0"/>
              <w:adjustRightInd w:val="0"/>
              <w:rPr>
                <w:szCs w:val="21"/>
              </w:rPr>
            </w:pPr>
            <w:r>
              <w:t>赛马物联科技（宁夏）有限公司</w:t>
            </w:r>
          </w:p>
        </w:tc>
        <w:tc>
          <w:tcPr>
            <w:tcW w:w="1059" w:type="pct"/>
            <w:tcBorders>
              <w:top w:val="single" w:sz="4" w:space="0" w:color="auto"/>
              <w:left w:val="single" w:sz="4" w:space="0" w:color="auto"/>
              <w:bottom w:val="single" w:sz="4" w:space="0" w:color="auto"/>
              <w:right w:val="single" w:sz="4" w:space="0" w:color="auto"/>
            </w:tcBorders>
          </w:tcPr>
          <w:p w14:paraId="5C1ED1A2" w14:textId="77777777" w:rsidR="00E57DAA" w:rsidRDefault="00AC4185">
            <w:pPr>
              <w:autoSpaceDE w:val="0"/>
              <w:autoSpaceDN w:val="0"/>
              <w:adjustRightInd w:val="0"/>
              <w:jc w:val="right"/>
              <w:rPr>
                <w:szCs w:val="21"/>
              </w:rPr>
            </w:pPr>
            <w:r>
              <w:t>3,501,680.00</w:t>
            </w:r>
          </w:p>
        </w:tc>
        <w:tc>
          <w:tcPr>
            <w:tcW w:w="1407" w:type="pct"/>
            <w:tcBorders>
              <w:top w:val="single" w:sz="4" w:space="0" w:color="auto"/>
              <w:left w:val="single" w:sz="4" w:space="0" w:color="auto"/>
              <w:bottom w:val="single" w:sz="4" w:space="0" w:color="auto"/>
              <w:right w:val="single" w:sz="4" w:space="0" w:color="auto"/>
            </w:tcBorders>
          </w:tcPr>
          <w:p w14:paraId="255D1B54" w14:textId="77777777" w:rsidR="00E57DAA" w:rsidRDefault="00AC4185">
            <w:pPr>
              <w:autoSpaceDE w:val="0"/>
              <w:autoSpaceDN w:val="0"/>
              <w:adjustRightInd w:val="0"/>
              <w:jc w:val="right"/>
              <w:rPr>
                <w:szCs w:val="21"/>
              </w:rPr>
            </w:pPr>
            <w:r>
              <w:t>6,816,154.76</w:t>
            </w:r>
          </w:p>
        </w:tc>
      </w:tr>
      <w:tr w:rsidR="00E57DAA" w14:paraId="085184E4" w14:textId="77777777">
        <w:tc>
          <w:tcPr>
            <w:tcW w:w="640" w:type="pct"/>
            <w:tcBorders>
              <w:top w:val="single" w:sz="4" w:space="0" w:color="auto"/>
              <w:left w:val="single" w:sz="4" w:space="0" w:color="auto"/>
              <w:bottom w:val="single" w:sz="4" w:space="0" w:color="auto"/>
              <w:right w:val="single" w:sz="4" w:space="0" w:color="auto"/>
            </w:tcBorders>
            <w:vAlign w:val="center"/>
          </w:tcPr>
          <w:p w14:paraId="711E41F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0D4CD09" w14:textId="77777777" w:rsidR="00E57DAA" w:rsidRDefault="00AC4185">
            <w:pPr>
              <w:autoSpaceDE w:val="0"/>
              <w:autoSpaceDN w:val="0"/>
              <w:adjustRightInd w:val="0"/>
              <w:rPr>
                <w:szCs w:val="21"/>
              </w:rPr>
            </w:pPr>
            <w:r>
              <w:t>滁州中联混凝土有限公司</w:t>
            </w:r>
          </w:p>
        </w:tc>
        <w:tc>
          <w:tcPr>
            <w:tcW w:w="1059" w:type="pct"/>
            <w:tcBorders>
              <w:top w:val="single" w:sz="4" w:space="0" w:color="auto"/>
              <w:left w:val="single" w:sz="4" w:space="0" w:color="auto"/>
              <w:bottom w:val="single" w:sz="4" w:space="0" w:color="auto"/>
              <w:right w:val="single" w:sz="4" w:space="0" w:color="auto"/>
            </w:tcBorders>
          </w:tcPr>
          <w:p w14:paraId="6ECAB04D" w14:textId="77777777" w:rsidR="00E57DAA" w:rsidRDefault="00AC4185">
            <w:pPr>
              <w:autoSpaceDE w:val="0"/>
              <w:autoSpaceDN w:val="0"/>
              <w:adjustRightInd w:val="0"/>
              <w:jc w:val="right"/>
              <w:rPr>
                <w:szCs w:val="21"/>
              </w:rPr>
            </w:pPr>
            <w:r>
              <w:t>2,705,306.30</w:t>
            </w:r>
          </w:p>
        </w:tc>
        <w:tc>
          <w:tcPr>
            <w:tcW w:w="1407" w:type="pct"/>
            <w:tcBorders>
              <w:top w:val="single" w:sz="4" w:space="0" w:color="auto"/>
              <w:left w:val="single" w:sz="4" w:space="0" w:color="auto"/>
              <w:bottom w:val="single" w:sz="4" w:space="0" w:color="auto"/>
              <w:right w:val="single" w:sz="4" w:space="0" w:color="auto"/>
            </w:tcBorders>
          </w:tcPr>
          <w:p w14:paraId="70DA7899" w14:textId="77777777" w:rsidR="00E57DAA" w:rsidRDefault="00AC4185">
            <w:pPr>
              <w:autoSpaceDE w:val="0"/>
              <w:autoSpaceDN w:val="0"/>
              <w:adjustRightInd w:val="0"/>
              <w:jc w:val="right"/>
              <w:rPr>
                <w:szCs w:val="21"/>
              </w:rPr>
            </w:pPr>
            <w:r>
              <w:t xml:space="preserve">　</w:t>
            </w:r>
          </w:p>
        </w:tc>
      </w:tr>
      <w:tr w:rsidR="00E57DAA" w14:paraId="08882095" w14:textId="77777777">
        <w:tc>
          <w:tcPr>
            <w:tcW w:w="640" w:type="pct"/>
            <w:tcBorders>
              <w:top w:val="single" w:sz="4" w:space="0" w:color="auto"/>
              <w:left w:val="single" w:sz="4" w:space="0" w:color="auto"/>
              <w:bottom w:val="single" w:sz="4" w:space="0" w:color="auto"/>
              <w:right w:val="single" w:sz="4" w:space="0" w:color="auto"/>
            </w:tcBorders>
            <w:vAlign w:val="center"/>
          </w:tcPr>
          <w:p w14:paraId="3A63C35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048E5E0" w14:textId="77777777" w:rsidR="00E57DAA" w:rsidRDefault="00AC4185">
            <w:pPr>
              <w:autoSpaceDE w:val="0"/>
              <w:autoSpaceDN w:val="0"/>
              <w:adjustRightInd w:val="0"/>
              <w:rPr>
                <w:szCs w:val="21"/>
              </w:rPr>
            </w:pPr>
            <w:r>
              <w:t>中材科技股份有限公司</w:t>
            </w:r>
          </w:p>
        </w:tc>
        <w:tc>
          <w:tcPr>
            <w:tcW w:w="1059" w:type="pct"/>
            <w:tcBorders>
              <w:top w:val="single" w:sz="4" w:space="0" w:color="auto"/>
              <w:left w:val="single" w:sz="4" w:space="0" w:color="auto"/>
              <w:bottom w:val="single" w:sz="4" w:space="0" w:color="auto"/>
              <w:right w:val="single" w:sz="4" w:space="0" w:color="auto"/>
            </w:tcBorders>
          </w:tcPr>
          <w:p w14:paraId="27A787FC" w14:textId="77777777" w:rsidR="00E57DAA" w:rsidRDefault="00AC4185">
            <w:pPr>
              <w:autoSpaceDE w:val="0"/>
              <w:autoSpaceDN w:val="0"/>
              <w:adjustRightInd w:val="0"/>
              <w:jc w:val="right"/>
              <w:rPr>
                <w:szCs w:val="21"/>
              </w:rPr>
            </w:pPr>
            <w:r>
              <w:t>1,464,049.20</w:t>
            </w:r>
          </w:p>
        </w:tc>
        <w:tc>
          <w:tcPr>
            <w:tcW w:w="1407" w:type="pct"/>
            <w:tcBorders>
              <w:top w:val="single" w:sz="4" w:space="0" w:color="auto"/>
              <w:left w:val="single" w:sz="4" w:space="0" w:color="auto"/>
              <w:bottom w:val="single" w:sz="4" w:space="0" w:color="auto"/>
              <w:right w:val="single" w:sz="4" w:space="0" w:color="auto"/>
            </w:tcBorders>
          </w:tcPr>
          <w:p w14:paraId="61189E92" w14:textId="77777777" w:rsidR="00E57DAA" w:rsidRDefault="00AC4185">
            <w:pPr>
              <w:autoSpaceDE w:val="0"/>
              <w:autoSpaceDN w:val="0"/>
              <w:adjustRightInd w:val="0"/>
              <w:jc w:val="right"/>
              <w:rPr>
                <w:szCs w:val="21"/>
              </w:rPr>
            </w:pPr>
            <w:r>
              <w:t>4,407,923.20</w:t>
            </w:r>
          </w:p>
        </w:tc>
      </w:tr>
      <w:tr w:rsidR="00E57DAA" w14:paraId="13DC95C2" w14:textId="77777777">
        <w:tc>
          <w:tcPr>
            <w:tcW w:w="640" w:type="pct"/>
            <w:tcBorders>
              <w:top w:val="single" w:sz="4" w:space="0" w:color="auto"/>
              <w:left w:val="single" w:sz="4" w:space="0" w:color="auto"/>
              <w:bottom w:val="single" w:sz="4" w:space="0" w:color="auto"/>
              <w:right w:val="single" w:sz="4" w:space="0" w:color="auto"/>
            </w:tcBorders>
            <w:vAlign w:val="center"/>
          </w:tcPr>
          <w:p w14:paraId="6956A9E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CC1D2F9" w14:textId="77777777" w:rsidR="00E57DAA" w:rsidRDefault="00AC4185">
            <w:pPr>
              <w:autoSpaceDE w:val="0"/>
              <w:autoSpaceDN w:val="0"/>
              <w:adjustRightInd w:val="0"/>
              <w:rPr>
                <w:szCs w:val="21"/>
              </w:rPr>
            </w:pPr>
            <w:r>
              <w:t>建德市新安江建材石料有限公司</w:t>
            </w:r>
          </w:p>
        </w:tc>
        <w:tc>
          <w:tcPr>
            <w:tcW w:w="1059" w:type="pct"/>
            <w:tcBorders>
              <w:top w:val="single" w:sz="4" w:space="0" w:color="auto"/>
              <w:left w:val="single" w:sz="4" w:space="0" w:color="auto"/>
              <w:bottom w:val="single" w:sz="4" w:space="0" w:color="auto"/>
              <w:right w:val="single" w:sz="4" w:space="0" w:color="auto"/>
            </w:tcBorders>
          </w:tcPr>
          <w:p w14:paraId="72C7672E" w14:textId="77777777" w:rsidR="00E57DAA" w:rsidRDefault="00AC4185">
            <w:pPr>
              <w:autoSpaceDE w:val="0"/>
              <w:autoSpaceDN w:val="0"/>
              <w:adjustRightInd w:val="0"/>
              <w:jc w:val="right"/>
              <w:rPr>
                <w:szCs w:val="21"/>
              </w:rPr>
            </w:pPr>
            <w:r>
              <w:t>1,434,833.74</w:t>
            </w:r>
          </w:p>
        </w:tc>
        <w:tc>
          <w:tcPr>
            <w:tcW w:w="1407" w:type="pct"/>
            <w:tcBorders>
              <w:top w:val="single" w:sz="4" w:space="0" w:color="auto"/>
              <w:left w:val="single" w:sz="4" w:space="0" w:color="auto"/>
              <w:bottom w:val="single" w:sz="4" w:space="0" w:color="auto"/>
              <w:right w:val="single" w:sz="4" w:space="0" w:color="auto"/>
            </w:tcBorders>
          </w:tcPr>
          <w:p w14:paraId="66CE4FE9" w14:textId="77777777" w:rsidR="00E57DAA" w:rsidRDefault="00AC4185">
            <w:pPr>
              <w:autoSpaceDE w:val="0"/>
              <w:autoSpaceDN w:val="0"/>
              <w:adjustRightInd w:val="0"/>
              <w:jc w:val="right"/>
              <w:rPr>
                <w:szCs w:val="21"/>
              </w:rPr>
            </w:pPr>
            <w:r>
              <w:t>2,434,833.74</w:t>
            </w:r>
          </w:p>
        </w:tc>
      </w:tr>
      <w:tr w:rsidR="00E57DAA" w14:paraId="1BDF3915" w14:textId="77777777">
        <w:tc>
          <w:tcPr>
            <w:tcW w:w="640" w:type="pct"/>
            <w:tcBorders>
              <w:top w:val="single" w:sz="4" w:space="0" w:color="auto"/>
              <w:left w:val="single" w:sz="4" w:space="0" w:color="auto"/>
              <w:bottom w:val="single" w:sz="4" w:space="0" w:color="auto"/>
              <w:right w:val="single" w:sz="4" w:space="0" w:color="auto"/>
            </w:tcBorders>
            <w:vAlign w:val="center"/>
          </w:tcPr>
          <w:p w14:paraId="1069ED79"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AC80510" w14:textId="77777777" w:rsidR="00E57DAA" w:rsidRDefault="00AC4185">
            <w:pPr>
              <w:autoSpaceDE w:val="0"/>
              <w:autoSpaceDN w:val="0"/>
              <w:adjustRightInd w:val="0"/>
              <w:rPr>
                <w:szCs w:val="21"/>
              </w:rPr>
            </w:pPr>
            <w:r>
              <w:t>新疆天山建材集团耐火材料有限责任公司</w:t>
            </w:r>
          </w:p>
        </w:tc>
        <w:tc>
          <w:tcPr>
            <w:tcW w:w="1059" w:type="pct"/>
            <w:tcBorders>
              <w:top w:val="single" w:sz="4" w:space="0" w:color="auto"/>
              <w:left w:val="single" w:sz="4" w:space="0" w:color="auto"/>
              <w:bottom w:val="single" w:sz="4" w:space="0" w:color="auto"/>
              <w:right w:val="single" w:sz="4" w:space="0" w:color="auto"/>
            </w:tcBorders>
          </w:tcPr>
          <w:p w14:paraId="767702F0" w14:textId="77777777" w:rsidR="00E57DAA" w:rsidRDefault="00AC4185">
            <w:pPr>
              <w:autoSpaceDE w:val="0"/>
              <w:autoSpaceDN w:val="0"/>
              <w:adjustRightInd w:val="0"/>
              <w:jc w:val="right"/>
              <w:rPr>
                <w:szCs w:val="21"/>
              </w:rPr>
            </w:pPr>
            <w:r>
              <w:t>1,361,237.47</w:t>
            </w:r>
          </w:p>
        </w:tc>
        <w:tc>
          <w:tcPr>
            <w:tcW w:w="1407" w:type="pct"/>
            <w:tcBorders>
              <w:top w:val="single" w:sz="4" w:space="0" w:color="auto"/>
              <w:left w:val="single" w:sz="4" w:space="0" w:color="auto"/>
              <w:bottom w:val="single" w:sz="4" w:space="0" w:color="auto"/>
              <w:right w:val="single" w:sz="4" w:space="0" w:color="auto"/>
            </w:tcBorders>
          </w:tcPr>
          <w:p w14:paraId="4EB8A002" w14:textId="77777777" w:rsidR="00E57DAA" w:rsidRDefault="00AC4185">
            <w:pPr>
              <w:autoSpaceDE w:val="0"/>
              <w:autoSpaceDN w:val="0"/>
              <w:adjustRightInd w:val="0"/>
              <w:jc w:val="right"/>
              <w:rPr>
                <w:szCs w:val="21"/>
              </w:rPr>
            </w:pPr>
            <w:r>
              <w:t xml:space="preserve">　</w:t>
            </w:r>
          </w:p>
        </w:tc>
      </w:tr>
      <w:tr w:rsidR="00E57DAA" w14:paraId="0289C5B4" w14:textId="77777777">
        <w:tc>
          <w:tcPr>
            <w:tcW w:w="640" w:type="pct"/>
            <w:tcBorders>
              <w:top w:val="single" w:sz="4" w:space="0" w:color="auto"/>
              <w:left w:val="single" w:sz="4" w:space="0" w:color="auto"/>
              <w:bottom w:val="single" w:sz="4" w:space="0" w:color="auto"/>
              <w:right w:val="single" w:sz="4" w:space="0" w:color="auto"/>
            </w:tcBorders>
            <w:vAlign w:val="center"/>
          </w:tcPr>
          <w:p w14:paraId="5D9D91A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0E88D68" w14:textId="77777777" w:rsidR="00E57DAA" w:rsidRDefault="00AC4185">
            <w:pPr>
              <w:autoSpaceDE w:val="0"/>
              <w:autoSpaceDN w:val="0"/>
              <w:adjustRightInd w:val="0"/>
              <w:rPr>
                <w:szCs w:val="21"/>
              </w:rPr>
            </w:pPr>
            <w:r>
              <w:t>贵州瑞溪水泥发展有限公司</w:t>
            </w:r>
          </w:p>
        </w:tc>
        <w:tc>
          <w:tcPr>
            <w:tcW w:w="1059" w:type="pct"/>
            <w:tcBorders>
              <w:top w:val="single" w:sz="4" w:space="0" w:color="auto"/>
              <w:left w:val="single" w:sz="4" w:space="0" w:color="auto"/>
              <w:bottom w:val="single" w:sz="4" w:space="0" w:color="auto"/>
              <w:right w:val="single" w:sz="4" w:space="0" w:color="auto"/>
            </w:tcBorders>
          </w:tcPr>
          <w:p w14:paraId="74857FEE" w14:textId="77777777" w:rsidR="00E57DAA" w:rsidRDefault="00AC4185">
            <w:pPr>
              <w:autoSpaceDE w:val="0"/>
              <w:autoSpaceDN w:val="0"/>
              <w:adjustRightInd w:val="0"/>
              <w:jc w:val="right"/>
              <w:rPr>
                <w:szCs w:val="21"/>
              </w:rPr>
            </w:pPr>
            <w:r>
              <w:t>736,510.02</w:t>
            </w:r>
          </w:p>
        </w:tc>
        <w:tc>
          <w:tcPr>
            <w:tcW w:w="1407" w:type="pct"/>
            <w:tcBorders>
              <w:top w:val="single" w:sz="4" w:space="0" w:color="auto"/>
              <w:left w:val="single" w:sz="4" w:space="0" w:color="auto"/>
              <w:bottom w:val="single" w:sz="4" w:space="0" w:color="auto"/>
              <w:right w:val="single" w:sz="4" w:space="0" w:color="auto"/>
            </w:tcBorders>
          </w:tcPr>
          <w:p w14:paraId="4089D3A9" w14:textId="77777777" w:rsidR="00E57DAA" w:rsidRDefault="00AC4185">
            <w:pPr>
              <w:autoSpaceDE w:val="0"/>
              <w:autoSpaceDN w:val="0"/>
              <w:adjustRightInd w:val="0"/>
              <w:jc w:val="right"/>
              <w:rPr>
                <w:szCs w:val="21"/>
              </w:rPr>
            </w:pPr>
            <w:r>
              <w:t>736,510.02</w:t>
            </w:r>
          </w:p>
        </w:tc>
      </w:tr>
      <w:tr w:rsidR="00E57DAA" w14:paraId="4C8BC923" w14:textId="77777777">
        <w:tc>
          <w:tcPr>
            <w:tcW w:w="640" w:type="pct"/>
            <w:tcBorders>
              <w:top w:val="single" w:sz="4" w:space="0" w:color="auto"/>
              <w:left w:val="single" w:sz="4" w:space="0" w:color="auto"/>
              <w:bottom w:val="single" w:sz="4" w:space="0" w:color="auto"/>
              <w:right w:val="single" w:sz="4" w:space="0" w:color="auto"/>
            </w:tcBorders>
            <w:vAlign w:val="center"/>
          </w:tcPr>
          <w:p w14:paraId="7A722C8E"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9243D33" w14:textId="77777777" w:rsidR="00E57DAA" w:rsidRDefault="00AC4185">
            <w:pPr>
              <w:autoSpaceDE w:val="0"/>
              <w:autoSpaceDN w:val="0"/>
              <w:adjustRightInd w:val="0"/>
              <w:rPr>
                <w:szCs w:val="21"/>
              </w:rPr>
            </w:pPr>
            <w:r>
              <w:t>郏县中联天广水泥有限公司</w:t>
            </w:r>
          </w:p>
        </w:tc>
        <w:tc>
          <w:tcPr>
            <w:tcW w:w="1059" w:type="pct"/>
            <w:tcBorders>
              <w:top w:val="single" w:sz="4" w:space="0" w:color="auto"/>
              <w:left w:val="single" w:sz="4" w:space="0" w:color="auto"/>
              <w:bottom w:val="single" w:sz="4" w:space="0" w:color="auto"/>
              <w:right w:val="single" w:sz="4" w:space="0" w:color="auto"/>
            </w:tcBorders>
          </w:tcPr>
          <w:p w14:paraId="4E4C9070" w14:textId="77777777" w:rsidR="00E57DAA" w:rsidRDefault="00AC4185">
            <w:pPr>
              <w:autoSpaceDE w:val="0"/>
              <w:autoSpaceDN w:val="0"/>
              <w:adjustRightInd w:val="0"/>
              <w:jc w:val="right"/>
              <w:rPr>
                <w:szCs w:val="21"/>
              </w:rPr>
            </w:pPr>
            <w:r>
              <w:t>526,675.82</w:t>
            </w:r>
          </w:p>
        </w:tc>
        <w:tc>
          <w:tcPr>
            <w:tcW w:w="1407" w:type="pct"/>
            <w:tcBorders>
              <w:top w:val="single" w:sz="4" w:space="0" w:color="auto"/>
              <w:left w:val="single" w:sz="4" w:space="0" w:color="auto"/>
              <w:bottom w:val="single" w:sz="4" w:space="0" w:color="auto"/>
              <w:right w:val="single" w:sz="4" w:space="0" w:color="auto"/>
            </w:tcBorders>
          </w:tcPr>
          <w:p w14:paraId="6A4DFA64" w14:textId="77777777" w:rsidR="00E57DAA" w:rsidRDefault="00AC4185">
            <w:pPr>
              <w:autoSpaceDE w:val="0"/>
              <w:autoSpaceDN w:val="0"/>
              <w:adjustRightInd w:val="0"/>
              <w:jc w:val="right"/>
              <w:rPr>
                <w:szCs w:val="21"/>
              </w:rPr>
            </w:pPr>
            <w:r>
              <w:t>10</w:t>
            </w:r>
          </w:p>
        </w:tc>
      </w:tr>
      <w:tr w:rsidR="00E57DAA" w14:paraId="722337A5" w14:textId="77777777">
        <w:tc>
          <w:tcPr>
            <w:tcW w:w="640" w:type="pct"/>
            <w:tcBorders>
              <w:top w:val="single" w:sz="4" w:space="0" w:color="auto"/>
              <w:left w:val="single" w:sz="4" w:space="0" w:color="auto"/>
              <w:bottom w:val="single" w:sz="4" w:space="0" w:color="auto"/>
              <w:right w:val="single" w:sz="4" w:space="0" w:color="auto"/>
            </w:tcBorders>
            <w:vAlign w:val="center"/>
          </w:tcPr>
          <w:p w14:paraId="29B0126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2BE5587" w14:textId="77777777" w:rsidR="00E57DAA" w:rsidRDefault="00AC4185">
            <w:pPr>
              <w:autoSpaceDE w:val="0"/>
              <w:autoSpaceDN w:val="0"/>
              <w:adjustRightInd w:val="0"/>
              <w:rPr>
                <w:szCs w:val="21"/>
              </w:rPr>
            </w:pPr>
            <w:r>
              <w:t>中复新水源科技有限公司</w:t>
            </w:r>
          </w:p>
        </w:tc>
        <w:tc>
          <w:tcPr>
            <w:tcW w:w="1059" w:type="pct"/>
            <w:tcBorders>
              <w:top w:val="single" w:sz="4" w:space="0" w:color="auto"/>
              <w:left w:val="single" w:sz="4" w:space="0" w:color="auto"/>
              <w:bottom w:val="single" w:sz="4" w:space="0" w:color="auto"/>
              <w:right w:val="single" w:sz="4" w:space="0" w:color="auto"/>
            </w:tcBorders>
          </w:tcPr>
          <w:p w14:paraId="3AE3F5A8" w14:textId="77777777" w:rsidR="00E57DAA" w:rsidRDefault="00AC4185">
            <w:pPr>
              <w:autoSpaceDE w:val="0"/>
              <w:autoSpaceDN w:val="0"/>
              <w:adjustRightInd w:val="0"/>
              <w:jc w:val="right"/>
              <w:rPr>
                <w:szCs w:val="21"/>
              </w:rPr>
            </w:pPr>
            <w:r>
              <w:t>384,955.74</w:t>
            </w:r>
          </w:p>
        </w:tc>
        <w:tc>
          <w:tcPr>
            <w:tcW w:w="1407" w:type="pct"/>
            <w:tcBorders>
              <w:top w:val="single" w:sz="4" w:space="0" w:color="auto"/>
              <w:left w:val="single" w:sz="4" w:space="0" w:color="auto"/>
              <w:bottom w:val="single" w:sz="4" w:space="0" w:color="auto"/>
              <w:right w:val="single" w:sz="4" w:space="0" w:color="auto"/>
            </w:tcBorders>
          </w:tcPr>
          <w:p w14:paraId="56541129" w14:textId="77777777" w:rsidR="00E57DAA" w:rsidRDefault="00AC4185">
            <w:pPr>
              <w:autoSpaceDE w:val="0"/>
              <w:autoSpaceDN w:val="0"/>
              <w:adjustRightInd w:val="0"/>
              <w:jc w:val="right"/>
              <w:rPr>
                <w:szCs w:val="21"/>
              </w:rPr>
            </w:pPr>
            <w:r>
              <w:t>1,796,460.16</w:t>
            </w:r>
          </w:p>
        </w:tc>
      </w:tr>
      <w:tr w:rsidR="00E57DAA" w14:paraId="4CA16074" w14:textId="77777777">
        <w:tc>
          <w:tcPr>
            <w:tcW w:w="640" w:type="pct"/>
            <w:tcBorders>
              <w:top w:val="single" w:sz="4" w:space="0" w:color="auto"/>
              <w:left w:val="single" w:sz="4" w:space="0" w:color="auto"/>
              <w:bottom w:val="single" w:sz="4" w:space="0" w:color="auto"/>
              <w:right w:val="single" w:sz="4" w:space="0" w:color="auto"/>
            </w:tcBorders>
            <w:vAlign w:val="center"/>
          </w:tcPr>
          <w:p w14:paraId="4C1AA868"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5BB742D" w14:textId="77777777" w:rsidR="00E57DAA" w:rsidRDefault="00AC4185">
            <w:pPr>
              <w:autoSpaceDE w:val="0"/>
              <w:autoSpaceDN w:val="0"/>
              <w:adjustRightInd w:val="0"/>
              <w:rPr>
                <w:szCs w:val="21"/>
              </w:rPr>
            </w:pPr>
            <w:r>
              <w:t>连云港中复连众复合材料集团有限公司</w:t>
            </w:r>
          </w:p>
        </w:tc>
        <w:tc>
          <w:tcPr>
            <w:tcW w:w="1059" w:type="pct"/>
            <w:tcBorders>
              <w:top w:val="single" w:sz="4" w:space="0" w:color="auto"/>
              <w:left w:val="single" w:sz="4" w:space="0" w:color="auto"/>
              <w:bottom w:val="single" w:sz="4" w:space="0" w:color="auto"/>
              <w:right w:val="single" w:sz="4" w:space="0" w:color="auto"/>
            </w:tcBorders>
          </w:tcPr>
          <w:p w14:paraId="7364A661" w14:textId="77777777" w:rsidR="00E57DAA" w:rsidRDefault="00AC4185">
            <w:pPr>
              <w:autoSpaceDE w:val="0"/>
              <w:autoSpaceDN w:val="0"/>
              <w:adjustRightInd w:val="0"/>
              <w:jc w:val="right"/>
              <w:rPr>
                <w:szCs w:val="21"/>
              </w:rPr>
            </w:pPr>
            <w:r>
              <w:t>302,831.86</w:t>
            </w:r>
          </w:p>
        </w:tc>
        <w:tc>
          <w:tcPr>
            <w:tcW w:w="1407" w:type="pct"/>
            <w:tcBorders>
              <w:top w:val="single" w:sz="4" w:space="0" w:color="auto"/>
              <w:left w:val="single" w:sz="4" w:space="0" w:color="auto"/>
              <w:bottom w:val="single" w:sz="4" w:space="0" w:color="auto"/>
              <w:right w:val="single" w:sz="4" w:space="0" w:color="auto"/>
            </w:tcBorders>
          </w:tcPr>
          <w:p w14:paraId="774FD4BD" w14:textId="77777777" w:rsidR="00E57DAA" w:rsidRDefault="00AC4185">
            <w:pPr>
              <w:autoSpaceDE w:val="0"/>
              <w:autoSpaceDN w:val="0"/>
              <w:adjustRightInd w:val="0"/>
              <w:jc w:val="right"/>
              <w:rPr>
                <w:szCs w:val="21"/>
              </w:rPr>
            </w:pPr>
            <w:r>
              <w:t xml:space="preserve">　</w:t>
            </w:r>
          </w:p>
        </w:tc>
      </w:tr>
      <w:tr w:rsidR="00E57DAA" w14:paraId="2B7BF6FF" w14:textId="77777777">
        <w:tc>
          <w:tcPr>
            <w:tcW w:w="640" w:type="pct"/>
            <w:tcBorders>
              <w:top w:val="single" w:sz="4" w:space="0" w:color="auto"/>
              <w:left w:val="single" w:sz="4" w:space="0" w:color="auto"/>
              <w:bottom w:val="single" w:sz="4" w:space="0" w:color="auto"/>
              <w:right w:val="single" w:sz="4" w:space="0" w:color="auto"/>
            </w:tcBorders>
            <w:vAlign w:val="center"/>
          </w:tcPr>
          <w:p w14:paraId="65FE1D7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0BDBB44" w14:textId="77777777" w:rsidR="00E57DAA" w:rsidRDefault="00AC4185">
            <w:pPr>
              <w:autoSpaceDE w:val="0"/>
              <w:autoSpaceDN w:val="0"/>
              <w:adjustRightInd w:val="0"/>
              <w:rPr>
                <w:szCs w:val="21"/>
              </w:rPr>
            </w:pPr>
            <w:r>
              <w:t>乌兰察布中联水泥有限公司</w:t>
            </w:r>
          </w:p>
        </w:tc>
        <w:tc>
          <w:tcPr>
            <w:tcW w:w="1059" w:type="pct"/>
            <w:tcBorders>
              <w:top w:val="single" w:sz="4" w:space="0" w:color="auto"/>
              <w:left w:val="single" w:sz="4" w:space="0" w:color="auto"/>
              <w:bottom w:val="single" w:sz="4" w:space="0" w:color="auto"/>
              <w:right w:val="single" w:sz="4" w:space="0" w:color="auto"/>
            </w:tcBorders>
          </w:tcPr>
          <w:p w14:paraId="69C619C2" w14:textId="77777777" w:rsidR="00E57DAA" w:rsidRDefault="00AC4185">
            <w:pPr>
              <w:autoSpaceDE w:val="0"/>
              <w:autoSpaceDN w:val="0"/>
              <w:adjustRightInd w:val="0"/>
              <w:jc w:val="right"/>
              <w:rPr>
                <w:szCs w:val="21"/>
              </w:rPr>
            </w:pPr>
            <w:r>
              <w:t>214,365.12</w:t>
            </w:r>
          </w:p>
        </w:tc>
        <w:tc>
          <w:tcPr>
            <w:tcW w:w="1407" w:type="pct"/>
            <w:tcBorders>
              <w:top w:val="single" w:sz="4" w:space="0" w:color="auto"/>
              <w:left w:val="single" w:sz="4" w:space="0" w:color="auto"/>
              <w:bottom w:val="single" w:sz="4" w:space="0" w:color="auto"/>
              <w:right w:val="single" w:sz="4" w:space="0" w:color="auto"/>
            </w:tcBorders>
          </w:tcPr>
          <w:p w14:paraId="6FD7238E" w14:textId="77777777" w:rsidR="00E57DAA" w:rsidRDefault="00AC4185">
            <w:pPr>
              <w:autoSpaceDE w:val="0"/>
              <w:autoSpaceDN w:val="0"/>
              <w:adjustRightInd w:val="0"/>
              <w:jc w:val="right"/>
              <w:rPr>
                <w:szCs w:val="21"/>
              </w:rPr>
            </w:pPr>
            <w:r>
              <w:t xml:space="preserve">　</w:t>
            </w:r>
          </w:p>
        </w:tc>
      </w:tr>
      <w:tr w:rsidR="00E57DAA" w14:paraId="42A4D71D" w14:textId="77777777">
        <w:tc>
          <w:tcPr>
            <w:tcW w:w="640" w:type="pct"/>
            <w:tcBorders>
              <w:top w:val="single" w:sz="4" w:space="0" w:color="auto"/>
              <w:left w:val="single" w:sz="4" w:space="0" w:color="auto"/>
              <w:bottom w:val="single" w:sz="4" w:space="0" w:color="auto"/>
              <w:right w:val="single" w:sz="4" w:space="0" w:color="auto"/>
            </w:tcBorders>
            <w:vAlign w:val="center"/>
          </w:tcPr>
          <w:p w14:paraId="4DBF6A9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36896B8" w14:textId="77777777" w:rsidR="00E57DAA" w:rsidRDefault="00AC4185">
            <w:pPr>
              <w:autoSpaceDE w:val="0"/>
              <w:autoSpaceDN w:val="0"/>
              <w:adjustRightInd w:val="0"/>
              <w:rPr>
                <w:szCs w:val="21"/>
              </w:rPr>
            </w:pPr>
            <w:r>
              <w:t>四川筠连西南水泥有限公司</w:t>
            </w:r>
          </w:p>
        </w:tc>
        <w:tc>
          <w:tcPr>
            <w:tcW w:w="1059" w:type="pct"/>
            <w:tcBorders>
              <w:top w:val="single" w:sz="4" w:space="0" w:color="auto"/>
              <w:left w:val="single" w:sz="4" w:space="0" w:color="auto"/>
              <w:bottom w:val="single" w:sz="4" w:space="0" w:color="auto"/>
              <w:right w:val="single" w:sz="4" w:space="0" w:color="auto"/>
            </w:tcBorders>
          </w:tcPr>
          <w:p w14:paraId="1E6ADA5A" w14:textId="77777777" w:rsidR="00E57DAA" w:rsidRDefault="00AC4185">
            <w:pPr>
              <w:autoSpaceDE w:val="0"/>
              <w:autoSpaceDN w:val="0"/>
              <w:adjustRightInd w:val="0"/>
              <w:jc w:val="right"/>
              <w:rPr>
                <w:szCs w:val="21"/>
              </w:rPr>
            </w:pPr>
            <w:r>
              <w:t>153,800.00</w:t>
            </w:r>
          </w:p>
        </w:tc>
        <w:tc>
          <w:tcPr>
            <w:tcW w:w="1407" w:type="pct"/>
            <w:tcBorders>
              <w:top w:val="single" w:sz="4" w:space="0" w:color="auto"/>
              <w:left w:val="single" w:sz="4" w:space="0" w:color="auto"/>
              <w:bottom w:val="single" w:sz="4" w:space="0" w:color="auto"/>
              <w:right w:val="single" w:sz="4" w:space="0" w:color="auto"/>
            </w:tcBorders>
          </w:tcPr>
          <w:p w14:paraId="04476971" w14:textId="77777777" w:rsidR="00E57DAA" w:rsidRDefault="00AC4185">
            <w:pPr>
              <w:autoSpaceDE w:val="0"/>
              <w:autoSpaceDN w:val="0"/>
              <w:adjustRightInd w:val="0"/>
              <w:jc w:val="right"/>
              <w:rPr>
                <w:szCs w:val="21"/>
              </w:rPr>
            </w:pPr>
            <w:r>
              <w:t>307,600.00</w:t>
            </w:r>
          </w:p>
        </w:tc>
      </w:tr>
      <w:tr w:rsidR="00E57DAA" w14:paraId="4A482D86" w14:textId="77777777">
        <w:tc>
          <w:tcPr>
            <w:tcW w:w="640" w:type="pct"/>
            <w:tcBorders>
              <w:top w:val="single" w:sz="4" w:space="0" w:color="auto"/>
              <w:left w:val="single" w:sz="4" w:space="0" w:color="auto"/>
              <w:bottom w:val="single" w:sz="4" w:space="0" w:color="auto"/>
              <w:right w:val="single" w:sz="4" w:space="0" w:color="auto"/>
            </w:tcBorders>
            <w:vAlign w:val="center"/>
          </w:tcPr>
          <w:p w14:paraId="48DD3CD1"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A72EA20" w14:textId="77777777" w:rsidR="00E57DAA" w:rsidRDefault="00AC4185">
            <w:pPr>
              <w:autoSpaceDE w:val="0"/>
              <w:autoSpaceDN w:val="0"/>
              <w:adjustRightInd w:val="0"/>
              <w:rPr>
                <w:szCs w:val="21"/>
              </w:rPr>
            </w:pPr>
            <w:r>
              <w:t>中建材海外经济合作有限公司</w:t>
            </w:r>
          </w:p>
        </w:tc>
        <w:tc>
          <w:tcPr>
            <w:tcW w:w="1059" w:type="pct"/>
            <w:tcBorders>
              <w:top w:val="single" w:sz="4" w:space="0" w:color="auto"/>
              <w:left w:val="single" w:sz="4" w:space="0" w:color="auto"/>
              <w:bottom w:val="single" w:sz="4" w:space="0" w:color="auto"/>
              <w:right w:val="single" w:sz="4" w:space="0" w:color="auto"/>
            </w:tcBorders>
          </w:tcPr>
          <w:p w14:paraId="558CC369" w14:textId="77777777" w:rsidR="00E57DAA" w:rsidRDefault="00AC4185">
            <w:pPr>
              <w:autoSpaceDE w:val="0"/>
              <w:autoSpaceDN w:val="0"/>
              <w:adjustRightInd w:val="0"/>
              <w:jc w:val="right"/>
              <w:rPr>
                <w:szCs w:val="21"/>
              </w:rPr>
            </w:pPr>
            <w:r>
              <w:t>124,225.00</w:t>
            </w:r>
          </w:p>
        </w:tc>
        <w:tc>
          <w:tcPr>
            <w:tcW w:w="1407" w:type="pct"/>
            <w:tcBorders>
              <w:top w:val="single" w:sz="4" w:space="0" w:color="auto"/>
              <w:left w:val="single" w:sz="4" w:space="0" w:color="auto"/>
              <w:bottom w:val="single" w:sz="4" w:space="0" w:color="auto"/>
              <w:right w:val="single" w:sz="4" w:space="0" w:color="auto"/>
            </w:tcBorders>
          </w:tcPr>
          <w:p w14:paraId="143181AB" w14:textId="77777777" w:rsidR="00E57DAA" w:rsidRDefault="00AC4185">
            <w:pPr>
              <w:autoSpaceDE w:val="0"/>
              <w:autoSpaceDN w:val="0"/>
              <w:adjustRightInd w:val="0"/>
              <w:jc w:val="right"/>
              <w:rPr>
                <w:szCs w:val="21"/>
              </w:rPr>
            </w:pPr>
            <w:r>
              <w:t xml:space="preserve">　</w:t>
            </w:r>
          </w:p>
        </w:tc>
      </w:tr>
      <w:tr w:rsidR="00E57DAA" w14:paraId="6E7E977C" w14:textId="77777777">
        <w:tc>
          <w:tcPr>
            <w:tcW w:w="640" w:type="pct"/>
            <w:tcBorders>
              <w:top w:val="single" w:sz="4" w:space="0" w:color="auto"/>
              <w:left w:val="single" w:sz="4" w:space="0" w:color="auto"/>
              <w:bottom w:val="single" w:sz="4" w:space="0" w:color="auto"/>
              <w:right w:val="single" w:sz="4" w:space="0" w:color="auto"/>
            </w:tcBorders>
            <w:vAlign w:val="center"/>
          </w:tcPr>
          <w:p w14:paraId="4E07548E"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A43B47D" w14:textId="77777777" w:rsidR="00E57DAA" w:rsidRDefault="00AC4185">
            <w:pPr>
              <w:autoSpaceDE w:val="0"/>
              <w:autoSpaceDN w:val="0"/>
              <w:adjustRightInd w:val="0"/>
              <w:rPr>
                <w:szCs w:val="21"/>
              </w:rPr>
            </w:pPr>
            <w:r>
              <w:t>河南中联节能工程有限公司</w:t>
            </w:r>
          </w:p>
        </w:tc>
        <w:tc>
          <w:tcPr>
            <w:tcW w:w="1059" w:type="pct"/>
            <w:tcBorders>
              <w:top w:val="single" w:sz="4" w:space="0" w:color="auto"/>
              <w:left w:val="single" w:sz="4" w:space="0" w:color="auto"/>
              <w:bottom w:val="single" w:sz="4" w:space="0" w:color="auto"/>
              <w:right w:val="single" w:sz="4" w:space="0" w:color="auto"/>
            </w:tcBorders>
          </w:tcPr>
          <w:p w14:paraId="626FDE46" w14:textId="77777777" w:rsidR="00E57DAA" w:rsidRDefault="00AC4185">
            <w:pPr>
              <w:autoSpaceDE w:val="0"/>
              <w:autoSpaceDN w:val="0"/>
              <w:adjustRightInd w:val="0"/>
              <w:jc w:val="right"/>
              <w:rPr>
                <w:szCs w:val="21"/>
              </w:rPr>
            </w:pPr>
            <w:r>
              <w:t>120,000.00</w:t>
            </w:r>
          </w:p>
        </w:tc>
        <w:tc>
          <w:tcPr>
            <w:tcW w:w="1407" w:type="pct"/>
            <w:tcBorders>
              <w:top w:val="single" w:sz="4" w:space="0" w:color="auto"/>
              <w:left w:val="single" w:sz="4" w:space="0" w:color="auto"/>
              <w:bottom w:val="single" w:sz="4" w:space="0" w:color="auto"/>
              <w:right w:val="single" w:sz="4" w:space="0" w:color="auto"/>
            </w:tcBorders>
          </w:tcPr>
          <w:p w14:paraId="78AF0C7A" w14:textId="77777777" w:rsidR="00E57DAA" w:rsidRDefault="00AC4185">
            <w:pPr>
              <w:autoSpaceDE w:val="0"/>
              <w:autoSpaceDN w:val="0"/>
              <w:adjustRightInd w:val="0"/>
              <w:jc w:val="right"/>
              <w:rPr>
                <w:szCs w:val="21"/>
              </w:rPr>
            </w:pPr>
            <w:r>
              <w:t xml:space="preserve">　</w:t>
            </w:r>
          </w:p>
        </w:tc>
      </w:tr>
      <w:tr w:rsidR="00E57DAA" w14:paraId="56EC6669" w14:textId="77777777">
        <w:tc>
          <w:tcPr>
            <w:tcW w:w="640" w:type="pct"/>
            <w:tcBorders>
              <w:top w:val="single" w:sz="4" w:space="0" w:color="auto"/>
              <w:left w:val="single" w:sz="4" w:space="0" w:color="auto"/>
              <w:bottom w:val="single" w:sz="4" w:space="0" w:color="auto"/>
              <w:right w:val="single" w:sz="4" w:space="0" w:color="auto"/>
            </w:tcBorders>
            <w:vAlign w:val="center"/>
          </w:tcPr>
          <w:p w14:paraId="098650E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0DB8F0F" w14:textId="77777777" w:rsidR="00E57DAA" w:rsidRDefault="00AC4185">
            <w:pPr>
              <w:autoSpaceDE w:val="0"/>
              <w:autoSpaceDN w:val="0"/>
              <w:adjustRightInd w:val="0"/>
              <w:rPr>
                <w:szCs w:val="21"/>
              </w:rPr>
            </w:pPr>
            <w:r>
              <w:t>徐州中联混凝土有限公司</w:t>
            </w:r>
          </w:p>
        </w:tc>
        <w:tc>
          <w:tcPr>
            <w:tcW w:w="1059" w:type="pct"/>
            <w:tcBorders>
              <w:top w:val="single" w:sz="4" w:space="0" w:color="auto"/>
              <w:left w:val="single" w:sz="4" w:space="0" w:color="auto"/>
              <w:bottom w:val="single" w:sz="4" w:space="0" w:color="auto"/>
              <w:right w:val="single" w:sz="4" w:space="0" w:color="auto"/>
            </w:tcBorders>
          </w:tcPr>
          <w:p w14:paraId="020BE8B4" w14:textId="77777777" w:rsidR="00E57DAA" w:rsidRDefault="00AC4185">
            <w:pPr>
              <w:autoSpaceDE w:val="0"/>
              <w:autoSpaceDN w:val="0"/>
              <w:adjustRightInd w:val="0"/>
              <w:jc w:val="right"/>
              <w:rPr>
                <w:szCs w:val="21"/>
              </w:rPr>
            </w:pPr>
            <w:r>
              <w:t>94,336.39</w:t>
            </w:r>
          </w:p>
        </w:tc>
        <w:tc>
          <w:tcPr>
            <w:tcW w:w="1407" w:type="pct"/>
            <w:tcBorders>
              <w:top w:val="single" w:sz="4" w:space="0" w:color="auto"/>
              <w:left w:val="single" w:sz="4" w:space="0" w:color="auto"/>
              <w:bottom w:val="single" w:sz="4" w:space="0" w:color="auto"/>
              <w:right w:val="single" w:sz="4" w:space="0" w:color="auto"/>
            </w:tcBorders>
          </w:tcPr>
          <w:p w14:paraId="1DEAE1FD" w14:textId="77777777" w:rsidR="00E57DAA" w:rsidRDefault="00AC4185">
            <w:pPr>
              <w:autoSpaceDE w:val="0"/>
              <w:autoSpaceDN w:val="0"/>
              <w:adjustRightInd w:val="0"/>
              <w:jc w:val="right"/>
              <w:rPr>
                <w:szCs w:val="21"/>
              </w:rPr>
            </w:pPr>
            <w:r>
              <w:t xml:space="preserve">　</w:t>
            </w:r>
          </w:p>
        </w:tc>
      </w:tr>
      <w:tr w:rsidR="00E57DAA" w14:paraId="2A6ADAC2" w14:textId="77777777">
        <w:tc>
          <w:tcPr>
            <w:tcW w:w="640" w:type="pct"/>
            <w:tcBorders>
              <w:top w:val="single" w:sz="4" w:space="0" w:color="auto"/>
              <w:left w:val="single" w:sz="4" w:space="0" w:color="auto"/>
              <w:bottom w:val="single" w:sz="4" w:space="0" w:color="auto"/>
              <w:right w:val="single" w:sz="4" w:space="0" w:color="auto"/>
            </w:tcBorders>
            <w:vAlign w:val="center"/>
          </w:tcPr>
          <w:p w14:paraId="46219DE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2B286B9" w14:textId="77777777" w:rsidR="00E57DAA" w:rsidRDefault="00AC4185">
            <w:pPr>
              <w:autoSpaceDE w:val="0"/>
              <w:autoSpaceDN w:val="0"/>
              <w:adjustRightInd w:val="0"/>
              <w:rPr>
                <w:szCs w:val="21"/>
              </w:rPr>
            </w:pPr>
            <w:r>
              <w:t>贵州兴义西南水泥有限公司</w:t>
            </w:r>
          </w:p>
        </w:tc>
        <w:tc>
          <w:tcPr>
            <w:tcW w:w="1059" w:type="pct"/>
            <w:tcBorders>
              <w:top w:val="single" w:sz="4" w:space="0" w:color="auto"/>
              <w:left w:val="single" w:sz="4" w:space="0" w:color="auto"/>
              <w:bottom w:val="single" w:sz="4" w:space="0" w:color="auto"/>
              <w:right w:val="single" w:sz="4" w:space="0" w:color="auto"/>
            </w:tcBorders>
          </w:tcPr>
          <w:p w14:paraId="65E733B5" w14:textId="77777777" w:rsidR="00E57DAA" w:rsidRDefault="00AC4185">
            <w:pPr>
              <w:autoSpaceDE w:val="0"/>
              <w:autoSpaceDN w:val="0"/>
              <w:adjustRightInd w:val="0"/>
              <w:jc w:val="right"/>
              <w:rPr>
                <w:szCs w:val="21"/>
              </w:rPr>
            </w:pPr>
            <w:r>
              <w:t>74,537.89</w:t>
            </w:r>
          </w:p>
        </w:tc>
        <w:tc>
          <w:tcPr>
            <w:tcW w:w="1407" w:type="pct"/>
            <w:tcBorders>
              <w:top w:val="single" w:sz="4" w:space="0" w:color="auto"/>
              <w:left w:val="single" w:sz="4" w:space="0" w:color="auto"/>
              <w:bottom w:val="single" w:sz="4" w:space="0" w:color="auto"/>
              <w:right w:val="single" w:sz="4" w:space="0" w:color="auto"/>
            </w:tcBorders>
          </w:tcPr>
          <w:p w14:paraId="71B7920C" w14:textId="77777777" w:rsidR="00E57DAA" w:rsidRDefault="00AC4185">
            <w:pPr>
              <w:autoSpaceDE w:val="0"/>
              <w:autoSpaceDN w:val="0"/>
              <w:adjustRightInd w:val="0"/>
              <w:jc w:val="right"/>
              <w:rPr>
                <w:szCs w:val="21"/>
              </w:rPr>
            </w:pPr>
            <w:r>
              <w:t>171,364.44</w:t>
            </w:r>
          </w:p>
        </w:tc>
      </w:tr>
      <w:tr w:rsidR="00E57DAA" w14:paraId="5AB5D272" w14:textId="77777777">
        <w:tc>
          <w:tcPr>
            <w:tcW w:w="640" w:type="pct"/>
            <w:tcBorders>
              <w:top w:val="single" w:sz="4" w:space="0" w:color="auto"/>
              <w:left w:val="single" w:sz="4" w:space="0" w:color="auto"/>
              <w:bottom w:val="single" w:sz="4" w:space="0" w:color="auto"/>
              <w:right w:val="single" w:sz="4" w:space="0" w:color="auto"/>
            </w:tcBorders>
            <w:vAlign w:val="center"/>
          </w:tcPr>
          <w:p w14:paraId="60571CD1"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8F95DB0" w14:textId="77777777" w:rsidR="00E57DAA" w:rsidRDefault="00AC4185">
            <w:pPr>
              <w:autoSpaceDE w:val="0"/>
              <w:autoSpaceDN w:val="0"/>
              <w:adjustRightInd w:val="0"/>
              <w:rPr>
                <w:szCs w:val="21"/>
              </w:rPr>
            </w:pPr>
            <w:r>
              <w:t>云南普洱天恒水泥有限责任公司</w:t>
            </w:r>
          </w:p>
        </w:tc>
        <w:tc>
          <w:tcPr>
            <w:tcW w:w="1059" w:type="pct"/>
            <w:tcBorders>
              <w:top w:val="single" w:sz="4" w:space="0" w:color="auto"/>
              <w:left w:val="single" w:sz="4" w:space="0" w:color="auto"/>
              <w:bottom w:val="single" w:sz="4" w:space="0" w:color="auto"/>
              <w:right w:val="single" w:sz="4" w:space="0" w:color="auto"/>
            </w:tcBorders>
          </w:tcPr>
          <w:p w14:paraId="618BE1A8" w14:textId="77777777" w:rsidR="00E57DAA" w:rsidRDefault="00AC4185">
            <w:pPr>
              <w:autoSpaceDE w:val="0"/>
              <w:autoSpaceDN w:val="0"/>
              <w:adjustRightInd w:val="0"/>
              <w:jc w:val="right"/>
              <w:rPr>
                <w:szCs w:val="21"/>
              </w:rPr>
            </w:pPr>
            <w:r>
              <w:t>5,616.88</w:t>
            </w:r>
          </w:p>
        </w:tc>
        <w:tc>
          <w:tcPr>
            <w:tcW w:w="1407" w:type="pct"/>
            <w:tcBorders>
              <w:top w:val="single" w:sz="4" w:space="0" w:color="auto"/>
              <w:left w:val="single" w:sz="4" w:space="0" w:color="auto"/>
              <w:bottom w:val="single" w:sz="4" w:space="0" w:color="auto"/>
              <w:right w:val="single" w:sz="4" w:space="0" w:color="auto"/>
            </w:tcBorders>
          </w:tcPr>
          <w:p w14:paraId="4E5CD720" w14:textId="77777777" w:rsidR="00E57DAA" w:rsidRDefault="00AC4185">
            <w:pPr>
              <w:autoSpaceDE w:val="0"/>
              <w:autoSpaceDN w:val="0"/>
              <w:adjustRightInd w:val="0"/>
              <w:jc w:val="right"/>
              <w:rPr>
                <w:szCs w:val="21"/>
              </w:rPr>
            </w:pPr>
            <w:r>
              <w:t>65,550.72</w:t>
            </w:r>
          </w:p>
        </w:tc>
      </w:tr>
      <w:tr w:rsidR="00E57DAA" w14:paraId="38B740B8" w14:textId="77777777">
        <w:tc>
          <w:tcPr>
            <w:tcW w:w="640" w:type="pct"/>
            <w:tcBorders>
              <w:top w:val="single" w:sz="4" w:space="0" w:color="auto"/>
              <w:left w:val="single" w:sz="4" w:space="0" w:color="auto"/>
              <w:bottom w:val="single" w:sz="4" w:space="0" w:color="auto"/>
              <w:right w:val="single" w:sz="4" w:space="0" w:color="auto"/>
            </w:tcBorders>
            <w:vAlign w:val="center"/>
          </w:tcPr>
          <w:p w14:paraId="0C5747DE"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B6CCB12" w14:textId="77777777" w:rsidR="00E57DAA" w:rsidRDefault="00AC4185">
            <w:pPr>
              <w:autoSpaceDE w:val="0"/>
              <w:autoSpaceDN w:val="0"/>
              <w:adjustRightInd w:val="0"/>
              <w:rPr>
                <w:szCs w:val="21"/>
              </w:rPr>
            </w:pPr>
            <w:r>
              <w:t>江西泰和南方水泥有限公司</w:t>
            </w:r>
          </w:p>
        </w:tc>
        <w:tc>
          <w:tcPr>
            <w:tcW w:w="1059" w:type="pct"/>
            <w:tcBorders>
              <w:top w:val="single" w:sz="4" w:space="0" w:color="auto"/>
              <w:left w:val="single" w:sz="4" w:space="0" w:color="auto"/>
              <w:bottom w:val="single" w:sz="4" w:space="0" w:color="auto"/>
              <w:right w:val="single" w:sz="4" w:space="0" w:color="auto"/>
            </w:tcBorders>
          </w:tcPr>
          <w:p w14:paraId="67B72696" w14:textId="77777777" w:rsidR="00E57DAA" w:rsidRDefault="00AC4185">
            <w:pPr>
              <w:autoSpaceDE w:val="0"/>
              <w:autoSpaceDN w:val="0"/>
              <w:adjustRightInd w:val="0"/>
              <w:jc w:val="right"/>
              <w:rPr>
                <w:szCs w:val="21"/>
              </w:rPr>
            </w:pPr>
            <w:r>
              <w:t>2,347.58</w:t>
            </w:r>
          </w:p>
        </w:tc>
        <w:tc>
          <w:tcPr>
            <w:tcW w:w="1407" w:type="pct"/>
            <w:tcBorders>
              <w:top w:val="single" w:sz="4" w:space="0" w:color="auto"/>
              <w:left w:val="single" w:sz="4" w:space="0" w:color="auto"/>
              <w:bottom w:val="single" w:sz="4" w:space="0" w:color="auto"/>
              <w:right w:val="single" w:sz="4" w:space="0" w:color="auto"/>
            </w:tcBorders>
          </w:tcPr>
          <w:p w14:paraId="78503968" w14:textId="77777777" w:rsidR="00E57DAA" w:rsidRDefault="00AC4185">
            <w:pPr>
              <w:autoSpaceDE w:val="0"/>
              <w:autoSpaceDN w:val="0"/>
              <w:adjustRightInd w:val="0"/>
              <w:jc w:val="right"/>
              <w:rPr>
                <w:szCs w:val="21"/>
              </w:rPr>
            </w:pPr>
            <w:r>
              <w:t xml:space="preserve">　</w:t>
            </w:r>
          </w:p>
        </w:tc>
      </w:tr>
      <w:tr w:rsidR="00E57DAA" w14:paraId="3BED50DC" w14:textId="77777777">
        <w:tc>
          <w:tcPr>
            <w:tcW w:w="640" w:type="pct"/>
            <w:tcBorders>
              <w:top w:val="single" w:sz="4" w:space="0" w:color="auto"/>
              <w:left w:val="single" w:sz="4" w:space="0" w:color="auto"/>
              <w:bottom w:val="single" w:sz="4" w:space="0" w:color="auto"/>
              <w:right w:val="single" w:sz="4" w:space="0" w:color="auto"/>
            </w:tcBorders>
            <w:vAlign w:val="center"/>
          </w:tcPr>
          <w:p w14:paraId="693AA91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A758D75" w14:textId="77777777" w:rsidR="00E57DAA" w:rsidRDefault="00AC4185">
            <w:pPr>
              <w:autoSpaceDE w:val="0"/>
              <w:autoSpaceDN w:val="0"/>
              <w:adjustRightInd w:val="0"/>
              <w:rPr>
                <w:szCs w:val="21"/>
              </w:rPr>
            </w:pPr>
            <w:r>
              <w:t>Mpande   Limestone Limited</w:t>
            </w:r>
          </w:p>
        </w:tc>
        <w:tc>
          <w:tcPr>
            <w:tcW w:w="1059" w:type="pct"/>
            <w:tcBorders>
              <w:top w:val="single" w:sz="4" w:space="0" w:color="auto"/>
              <w:left w:val="single" w:sz="4" w:space="0" w:color="auto"/>
              <w:bottom w:val="single" w:sz="4" w:space="0" w:color="auto"/>
              <w:right w:val="single" w:sz="4" w:space="0" w:color="auto"/>
            </w:tcBorders>
          </w:tcPr>
          <w:p w14:paraId="5AC07A8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529494A" w14:textId="77777777" w:rsidR="00E57DAA" w:rsidRDefault="00AC4185">
            <w:pPr>
              <w:autoSpaceDE w:val="0"/>
              <w:autoSpaceDN w:val="0"/>
              <w:adjustRightInd w:val="0"/>
              <w:jc w:val="right"/>
              <w:rPr>
                <w:szCs w:val="21"/>
              </w:rPr>
            </w:pPr>
            <w:r>
              <w:t>928,729.92</w:t>
            </w:r>
          </w:p>
        </w:tc>
      </w:tr>
      <w:tr w:rsidR="00E57DAA" w14:paraId="12DB374F" w14:textId="77777777">
        <w:tc>
          <w:tcPr>
            <w:tcW w:w="640" w:type="pct"/>
            <w:tcBorders>
              <w:top w:val="single" w:sz="4" w:space="0" w:color="auto"/>
              <w:left w:val="single" w:sz="4" w:space="0" w:color="auto"/>
              <w:bottom w:val="single" w:sz="4" w:space="0" w:color="auto"/>
              <w:right w:val="single" w:sz="4" w:space="0" w:color="auto"/>
            </w:tcBorders>
            <w:vAlign w:val="center"/>
          </w:tcPr>
          <w:p w14:paraId="1A43CB8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5E30DEC" w14:textId="77777777" w:rsidR="00E57DAA" w:rsidRDefault="00AC4185">
            <w:pPr>
              <w:autoSpaceDE w:val="0"/>
              <w:autoSpaceDN w:val="0"/>
              <w:adjustRightInd w:val="0"/>
              <w:rPr>
                <w:szCs w:val="21"/>
              </w:rPr>
            </w:pPr>
            <w:r>
              <w:t>海盐沈荡南方混凝土有限公司</w:t>
            </w:r>
          </w:p>
        </w:tc>
        <w:tc>
          <w:tcPr>
            <w:tcW w:w="1059" w:type="pct"/>
            <w:tcBorders>
              <w:top w:val="single" w:sz="4" w:space="0" w:color="auto"/>
              <w:left w:val="single" w:sz="4" w:space="0" w:color="auto"/>
              <w:bottom w:val="single" w:sz="4" w:space="0" w:color="auto"/>
              <w:right w:val="single" w:sz="4" w:space="0" w:color="auto"/>
            </w:tcBorders>
          </w:tcPr>
          <w:p w14:paraId="6299EC7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610F030" w14:textId="77777777" w:rsidR="00E57DAA" w:rsidRDefault="00AC4185">
            <w:pPr>
              <w:autoSpaceDE w:val="0"/>
              <w:autoSpaceDN w:val="0"/>
              <w:adjustRightInd w:val="0"/>
              <w:jc w:val="right"/>
              <w:rPr>
                <w:szCs w:val="21"/>
              </w:rPr>
            </w:pPr>
            <w:r>
              <w:t>4,561,027.34</w:t>
            </w:r>
          </w:p>
        </w:tc>
      </w:tr>
      <w:tr w:rsidR="00E57DAA" w14:paraId="25F01FD8" w14:textId="77777777">
        <w:tc>
          <w:tcPr>
            <w:tcW w:w="640" w:type="pct"/>
            <w:tcBorders>
              <w:top w:val="single" w:sz="4" w:space="0" w:color="auto"/>
              <w:left w:val="single" w:sz="4" w:space="0" w:color="auto"/>
              <w:bottom w:val="single" w:sz="4" w:space="0" w:color="auto"/>
              <w:right w:val="single" w:sz="4" w:space="0" w:color="auto"/>
            </w:tcBorders>
            <w:vAlign w:val="center"/>
          </w:tcPr>
          <w:p w14:paraId="7EE58B51" w14:textId="77777777" w:rsidR="00E57DAA" w:rsidRDefault="00AC4185">
            <w:pPr>
              <w:autoSpaceDE w:val="0"/>
              <w:autoSpaceDN w:val="0"/>
              <w:adjustRightInd w:val="0"/>
              <w:rPr>
                <w:szCs w:val="21"/>
              </w:rPr>
            </w:pPr>
            <w:r>
              <w:lastRenderedPageBreak/>
              <w:t>应付账款</w:t>
            </w:r>
          </w:p>
        </w:tc>
        <w:tc>
          <w:tcPr>
            <w:tcW w:w="1894" w:type="pct"/>
            <w:tcBorders>
              <w:top w:val="single" w:sz="4" w:space="0" w:color="auto"/>
              <w:left w:val="single" w:sz="4" w:space="0" w:color="auto"/>
              <w:bottom w:val="single" w:sz="4" w:space="0" w:color="auto"/>
              <w:right w:val="single" w:sz="4" w:space="0" w:color="auto"/>
            </w:tcBorders>
          </w:tcPr>
          <w:p w14:paraId="471E966A" w14:textId="77777777" w:rsidR="00E57DAA" w:rsidRDefault="00AC4185">
            <w:pPr>
              <w:autoSpaceDE w:val="0"/>
              <w:autoSpaceDN w:val="0"/>
              <w:adjustRightInd w:val="0"/>
              <w:rPr>
                <w:szCs w:val="21"/>
              </w:rPr>
            </w:pPr>
            <w:r>
              <w:t>湖南湘乡南方新材料科技有限公司</w:t>
            </w:r>
          </w:p>
        </w:tc>
        <w:tc>
          <w:tcPr>
            <w:tcW w:w="1059" w:type="pct"/>
            <w:tcBorders>
              <w:top w:val="single" w:sz="4" w:space="0" w:color="auto"/>
              <w:left w:val="single" w:sz="4" w:space="0" w:color="auto"/>
              <w:bottom w:val="single" w:sz="4" w:space="0" w:color="auto"/>
              <w:right w:val="single" w:sz="4" w:space="0" w:color="auto"/>
            </w:tcBorders>
          </w:tcPr>
          <w:p w14:paraId="7B7D413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F3CAE1C" w14:textId="77777777" w:rsidR="00E57DAA" w:rsidRDefault="00AC4185">
            <w:pPr>
              <w:autoSpaceDE w:val="0"/>
              <w:autoSpaceDN w:val="0"/>
              <w:adjustRightInd w:val="0"/>
              <w:jc w:val="right"/>
              <w:rPr>
                <w:szCs w:val="21"/>
              </w:rPr>
            </w:pPr>
            <w:r>
              <w:t>15,536,015.80</w:t>
            </w:r>
          </w:p>
        </w:tc>
      </w:tr>
      <w:tr w:rsidR="00E57DAA" w14:paraId="18261886" w14:textId="77777777">
        <w:tc>
          <w:tcPr>
            <w:tcW w:w="640" w:type="pct"/>
            <w:tcBorders>
              <w:top w:val="single" w:sz="4" w:space="0" w:color="auto"/>
              <w:left w:val="single" w:sz="4" w:space="0" w:color="auto"/>
              <w:bottom w:val="single" w:sz="4" w:space="0" w:color="auto"/>
              <w:right w:val="single" w:sz="4" w:space="0" w:color="auto"/>
            </w:tcBorders>
            <w:vAlign w:val="center"/>
          </w:tcPr>
          <w:p w14:paraId="080279B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204FA16" w14:textId="77777777" w:rsidR="00E57DAA" w:rsidRDefault="00AC4185">
            <w:pPr>
              <w:autoSpaceDE w:val="0"/>
              <w:autoSpaceDN w:val="0"/>
              <w:adjustRightInd w:val="0"/>
              <w:rPr>
                <w:szCs w:val="21"/>
              </w:rPr>
            </w:pPr>
            <w:r>
              <w:t>洛阳中联水泥有限公司</w:t>
            </w:r>
          </w:p>
        </w:tc>
        <w:tc>
          <w:tcPr>
            <w:tcW w:w="1059" w:type="pct"/>
            <w:tcBorders>
              <w:top w:val="single" w:sz="4" w:space="0" w:color="auto"/>
              <w:left w:val="single" w:sz="4" w:space="0" w:color="auto"/>
              <w:bottom w:val="single" w:sz="4" w:space="0" w:color="auto"/>
              <w:right w:val="single" w:sz="4" w:space="0" w:color="auto"/>
            </w:tcBorders>
          </w:tcPr>
          <w:p w14:paraId="73FB013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F69C7E2" w14:textId="77777777" w:rsidR="00E57DAA" w:rsidRDefault="00AC4185">
            <w:pPr>
              <w:autoSpaceDE w:val="0"/>
              <w:autoSpaceDN w:val="0"/>
              <w:adjustRightInd w:val="0"/>
              <w:jc w:val="right"/>
              <w:rPr>
                <w:szCs w:val="21"/>
              </w:rPr>
            </w:pPr>
            <w:r>
              <w:t>140,000.00</w:t>
            </w:r>
          </w:p>
        </w:tc>
      </w:tr>
      <w:tr w:rsidR="00E57DAA" w14:paraId="4D2FC68B" w14:textId="77777777">
        <w:tc>
          <w:tcPr>
            <w:tcW w:w="640" w:type="pct"/>
            <w:tcBorders>
              <w:top w:val="single" w:sz="4" w:space="0" w:color="auto"/>
              <w:left w:val="single" w:sz="4" w:space="0" w:color="auto"/>
              <w:bottom w:val="single" w:sz="4" w:space="0" w:color="auto"/>
              <w:right w:val="single" w:sz="4" w:space="0" w:color="auto"/>
            </w:tcBorders>
            <w:vAlign w:val="center"/>
          </w:tcPr>
          <w:p w14:paraId="0887840E"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51E1C97A" w14:textId="77777777" w:rsidR="00E57DAA" w:rsidRDefault="00AC4185">
            <w:pPr>
              <w:autoSpaceDE w:val="0"/>
              <w:autoSpaceDN w:val="0"/>
              <w:adjustRightInd w:val="0"/>
              <w:rPr>
                <w:szCs w:val="21"/>
              </w:rPr>
            </w:pPr>
            <w:r>
              <w:t>受最终控制方控制的其他企业</w:t>
            </w:r>
          </w:p>
        </w:tc>
        <w:tc>
          <w:tcPr>
            <w:tcW w:w="1059" w:type="pct"/>
            <w:tcBorders>
              <w:top w:val="single" w:sz="4" w:space="0" w:color="auto"/>
              <w:left w:val="single" w:sz="4" w:space="0" w:color="auto"/>
              <w:bottom w:val="single" w:sz="4" w:space="0" w:color="auto"/>
              <w:right w:val="single" w:sz="4" w:space="0" w:color="auto"/>
            </w:tcBorders>
          </w:tcPr>
          <w:p w14:paraId="5DFB369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96A46EE" w14:textId="77777777" w:rsidR="00E57DAA" w:rsidRDefault="00AC4185">
            <w:pPr>
              <w:autoSpaceDE w:val="0"/>
              <w:autoSpaceDN w:val="0"/>
              <w:adjustRightInd w:val="0"/>
              <w:jc w:val="right"/>
              <w:rPr>
                <w:szCs w:val="21"/>
              </w:rPr>
            </w:pPr>
            <w:r>
              <w:t xml:space="preserve">　</w:t>
            </w:r>
          </w:p>
        </w:tc>
      </w:tr>
      <w:tr w:rsidR="00E57DAA" w14:paraId="1CBD30EE" w14:textId="77777777">
        <w:tc>
          <w:tcPr>
            <w:tcW w:w="640" w:type="pct"/>
            <w:tcBorders>
              <w:top w:val="single" w:sz="4" w:space="0" w:color="auto"/>
              <w:left w:val="single" w:sz="4" w:space="0" w:color="auto"/>
              <w:bottom w:val="single" w:sz="4" w:space="0" w:color="auto"/>
              <w:right w:val="single" w:sz="4" w:space="0" w:color="auto"/>
            </w:tcBorders>
            <w:vAlign w:val="center"/>
          </w:tcPr>
          <w:p w14:paraId="3CE0912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E2E1430" w14:textId="77777777" w:rsidR="00E57DAA" w:rsidRDefault="00AC4185">
            <w:pPr>
              <w:autoSpaceDE w:val="0"/>
              <w:autoSpaceDN w:val="0"/>
              <w:adjustRightInd w:val="0"/>
              <w:rPr>
                <w:szCs w:val="21"/>
              </w:rPr>
            </w:pPr>
            <w:r>
              <w:t>中材节能股份有限公司</w:t>
            </w:r>
          </w:p>
        </w:tc>
        <w:tc>
          <w:tcPr>
            <w:tcW w:w="1059" w:type="pct"/>
            <w:tcBorders>
              <w:top w:val="single" w:sz="4" w:space="0" w:color="auto"/>
              <w:left w:val="single" w:sz="4" w:space="0" w:color="auto"/>
              <w:bottom w:val="single" w:sz="4" w:space="0" w:color="auto"/>
              <w:right w:val="single" w:sz="4" w:space="0" w:color="auto"/>
            </w:tcBorders>
          </w:tcPr>
          <w:p w14:paraId="18C928B1" w14:textId="77777777" w:rsidR="00E57DAA" w:rsidRDefault="00AC4185">
            <w:pPr>
              <w:autoSpaceDE w:val="0"/>
              <w:autoSpaceDN w:val="0"/>
              <w:adjustRightInd w:val="0"/>
              <w:jc w:val="right"/>
              <w:rPr>
                <w:szCs w:val="21"/>
              </w:rPr>
            </w:pPr>
            <w:r>
              <w:t>103,222,476.15</w:t>
            </w:r>
          </w:p>
        </w:tc>
        <w:tc>
          <w:tcPr>
            <w:tcW w:w="1407" w:type="pct"/>
            <w:tcBorders>
              <w:top w:val="single" w:sz="4" w:space="0" w:color="auto"/>
              <w:left w:val="single" w:sz="4" w:space="0" w:color="auto"/>
              <w:bottom w:val="single" w:sz="4" w:space="0" w:color="auto"/>
              <w:right w:val="single" w:sz="4" w:space="0" w:color="auto"/>
            </w:tcBorders>
          </w:tcPr>
          <w:p w14:paraId="782ACB11" w14:textId="77777777" w:rsidR="00E57DAA" w:rsidRDefault="00AC4185">
            <w:pPr>
              <w:autoSpaceDE w:val="0"/>
              <w:autoSpaceDN w:val="0"/>
              <w:adjustRightInd w:val="0"/>
              <w:jc w:val="right"/>
              <w:rPr>
                <w:szCs w:val="21"/>
              </w:rPr>
            </w:pPr>
            <w:r>
              <w:t>50,609,607.27</w:t>
            </w:r>
          </w:p>
        </w:tc>
      </w:tr>
      <w:tr w:rsidR="00E57DAA" w14:paraId="11236693" w14:textId="77777777">
        <w:tc>
          <w:tcPr>
            <w:tcW w:w="640" w:type="pct"/>
            <w:tcBorders>
              <w:top w:val="single" w:sz="4" w:space="0" w:color="auto"/>
              <w:left w:val="single" w:sz="4" w:space="0" w:color="auto"/>
              <w:bottom w:val="single" w:sz="4" w:space="0" w:color="auto"/>
              <w:right w:val="single" w:sz="4" w:space="0" w:color="auto"/>
            </w:tcBorders>
            <w:vAlign w:val="center"/>
          </w:tcPr>
          <w:p w14:paraId="210AE7B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A68155F" w14:textId="77777777" w:rsidR="00E57DAA" w:rsidRDefault="00AC4185">
            <w:pPr>
              <w:autoSpaceDE w:val="0"/>
              <w:autoSpaceDN w:val="0"/>
              <w:adjustRightInd w:val="0"/>
              <w:rPr>
                <w:szCs w:val="21"/>
              </w:rPr>
            </w:pPr>
            <w:r>
              <w:t>南通万达能源动力科技有限公司</w:t>
            </w:r>
          </w:p>
        </w:tc>
        <w:tc>
          <w:tcPr>
            <w:tcW w:w="1059" w:type="pct"/>
            <w:tcBorders>
              <w:top w:val="single" w:sz="4" w:space="0" w:color="auto"/>
              <w:left w:val="single" w:sz="4" w:space="0" w:color="auto"/>
              <w:bottom w:val="single" w:sz="4" w:space="0" w:color="auto"/>
              <w:right w:val="single" w:sz="4" w:space="0" w:color="auto"/>
            </w:tcBorders>
          </w:tcPr>
          <w:p w14:paraId="4608B8B3" w14:textId="77777777" w:rsidR="00E57DAA" w:rsidRDefault="00AC4185">
            <w:pPr>
              <w:autoSpaceDE w:val="0"/>
              <w:autoSpaceDN w:val="0"/>
              <w:adjustRightInd w:val="0"/>
              <w:jc w:val="right"/>
              <w:rPr>
                <w:szCs w:val="21"/>
              </w:rPr>
            </w:pPr>
            <w:r>
              <w:t>29,025,293.00</w:t>
            </w:r>
          </w:p>
        </w:tc>
        <w:tc>
          <w:tcPr>
            <w:tcW w:w="1407" w:type="pct"/>
            <w:tcBorders>
              <w:top w:val="single" w:sz="4" w:space="0" w:color="auto"/>
              <w:left w:val="single" w:sz="4" w:space="0" w:color="auto"/>
              <w:bottom w:val="single" w:sz="4" w:space="0" w:color="auto"/>
              <w:right w:val="single" w:sz="4" w:space="0" w:color="auto"/>
            </w:tcBorders>
          </w:tcPr>
          <w:p w14:paraId="57A2870A" w14:textId="77777777" w:rsidR="00E57DAA" w:rsidRDefault="00AC4185">
            <w:pPr>
              <w:autoSpaceDE w:val="0"/>
              <w:autoSpaceDN w:val="0"/>
              <w:adjustRightInd w:val="0"/>
              <w:jc w:val="right"/>
              <w:rPr>
                <w:szCs w:val="21"/>
              </w:rPr>
            </w:pPr>
            <w:r>
              <w:t>33,458,199.13</w:t>
            </w:r>
          </w:p>
        </w:tc>
      </w:tr>
      <w:tr w:rsidR="00E57DAA" w14:paraId="27562668" w14:textId="77777777">
        <w:tc>
          <w:tcPr>
            <w:tcW w:w="640" w:type="pct"/>
            <w:tcBorders>
              <w:top w:val="single" w:sz="4" w:space="0" w:color="auto"/>
              <w:left w:val="single" w:sz="4" w:space="0" w:color="auto"/>
              <w:bottom w:val="single" w:sz="4" w:space="0" w:color="auto"/>
              <w:right w:val="single" w:sz="4" w:space="0" w:color="auto"/>
            </w:tcBorders>
            <w:vAlign w:val="center"/>
          </w:tcPr>
          <w:p w14:paraId="1622C40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EC659D1" w14:textId="77777777" w:rsidR="00E57DAA" w:rsidRDefault="00AC4185">
            <w:pPr>
              <w:autoSpaceDE w:val="0"/>
              <w:autoSpaceDN w:val="0"/>
              <w:adjustRightInd w:val="0"/>
              <w:rPr>
                <w:szCs w:val="21"/>
              </w:rPr>
            </w:pPr>
            <w:r>
              <w:t>中建材行业生产力促进中心有限公司</w:t>
            </w:r>
          </w:p>
        </w:tc>
        <w:tc>
          <w:tcPr>
            <w:tcW w:w="1059" w:type="pct"/>
            <w:tcBorders>
              <w:top w:val="single" w:sz="4" w:space="0" w:color="auto"/>
              <w:left w:val="single" w:sz="4" w:space="0" w:color="auto"/>
              <w:bottom w:val="single" w:sz="4" w:space="0" w:color="auto"/>
              <w:right w:val="single" w:sz="4" w:space="0" w:color="auto"/>
            </w:tcBorders>
          </w:tcPr>
          <w:p w14:paraId="2A707FA4" w14:textId="77777777" w:rsidR="00E57DAA" w:rsidRDefault="00AC4185">
            <w:pPr>
              <w:autoSpaceDE w:val="0"/>
              <w:autoSpaceDN w:val="0"/>
              <w:adjustRightInd w:val="0"/>
              <w:jc w:val="right"/>
              <w:rPr>
                <w:szCs w:val="21"/>
              </w:rPr>
            </w:pPr>
            <w:r>
              <w:t>21,914,643.32</w:t>
            </w:r>
          </w:p>
        </w:tc>
        <w:tc>
          <w:tcPr>
            <w:tcW w:w="1407" w:type="pct"/>
            <w:tcBorders>
              <w:top w:val="single" w:sz="4" w:space="0" w:color="auto"/>
              <w:left w:val="single" w:sz="4" w:space="0" w:color="auto"/>
              <w:bottom w:val="single" w:sz="4" w:space="0" w:color="auto"/>
              <w:right w:val="single" w:sz="4" w:space="0" w:color="auto"/>
            </w:tcBorders>
          </w:tcPr>
          <w:p w14:paraId="38DD92D1" w14:textId="77777777" w:rsidR="00E57DAA" w:rsidRDefault="00AC4185">
            <w:pPr>
              <w:autoSpaceDE w:val="0"/>
              <w:autoSpaceDN w:val="0"/>
              <w:adjustRightInd w:val="0"/>
              <w:jc w:val="right"/>
              <w:rPr>
                <w:szCs w:val="21"/>
              </w:rPr>
            </w:pPr>
            <w:r>
              <w:t>32,709,578.40</w:t>
            </w:r>
          </w:p>
        </w:tc>
      </w:tr>
      <w:tr w:rsidR="00E57DAA" w14:paraId="6CFC2319" w14:textId="77777777">
        <w:tc>
          <w:tcPr>
            <w:tcW w:w="640" w:type="pct"/>
            <w:tcBorders>
              <w:top w:val="single" w:sz="4" w:space="0" w:color="auto"/>
              <w:left w:val="single" w:sz="4" w:space="0" w:color="auto"/>
              <w:bottom w:val="single" w:sz="4" w:space="0" w:color="auto"/>
              <w:right w:val="single" w:sz="4" w:space="0" w:color="auto"/>
            </w:tcBorders>
            <w:vAlign w:val="center"/>
          </w:tcPr>
          <w:p w14:paraId="2F0C2C6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10FAC2F" w14:textId="77777777" w:rsidR="00E57DAA" w:rsidRDefault="00AC4185">
            <w:pPr>
              <w:autoSpaceDE w:val="0"/>
              <w:autoSpaceDN w:val="0"/>
              <w:adjustRightInd w:val="0"/>
              <w:rPr>
                <w:szCs w:val="21"/>
              </w:rPr>
            </w:pPr>
            <w:r>
              <w:t>中材供应链管理有限公司</w:t>
            </w:r>
          </w:p>
        </w:tc>
        <w:tc>
          <w:tcPr>
            <w:tcW w:w="1059" w:type="pct"/>
            <w:tcBorders>
              <w:top w:val="single" w:sz="4" w:space="0" w:color="auto"/>
              <w:left w:val="single" w:sz="4" w:space="0" w:color="auto"/>
              <w:bottom w:val="single" w:sz="4" w:space="0" w:color="auto"/>
              <w:right w:val="single" w:sz="4" w:space="0" w:color="auto"/>
            </w:tcBorders>
          </w:tcPr>
          <w:p w14:paraId="514D2EDC" w14:textId="77777777" w:rsidR="00E57DAA" w:rsidRDefault="00AC4185">
            <w:pPr>
              <w:autoSpaceDE w:val="0"/>
              <w:autoSpaceDN w:val="0"/>
              <w:adjustRightInd w:val="0"/>
              <w:jc w:val="right"/>
              <w:rPr>
                <w:szCs w:val="21"/>
              </w:rPr>
            </w:pPr>
            <w:r>
              <w:t>21,444,126.82</w:t>
            </w:r>
          </w:p>
        </w:tc>
        <w:tc>
          <w:tcPr>
            <w:tcW w:w="1407" w:type="pct"/>
            <w:tcBorders>
              <w:top w:val="single" w:sz="4" w:space="0" w:color="auto"/>
              <w:left w:val="single" w:sz="4" w:space="0" w:color="auto"/>
              <w:bottom w:val="single" w:sz="4" w:space="0" w:color="auto"/>
              <w:right w:val="single" w:sz="4" w:space="0" w:color="auto"/>
            </w:tcBorders>
          </w:tcPr>
          <w:p w14:paraId="190B9913" w14:textId="77777777" w:rsidR="00E57DAA" w:rsidRDefault="00AC4185">
            <w:pPr>
              <w:autoSpaceDE w:val="0"/>
              <w:autoSpaceDN w:val="0"/>
              <w:adjustRightInd w:val="0"/>
              <w:jc w:val="right"/>
              <w:rPr>
                <w:szCs w:val="21"/>
              </w:rPr>
            </w:pPr>
            <w:r>
              <w:t>21,444,126.82</w:t>
            </w:r>
          </w:p>
        </w:tc>
      </w:tr>
      <w:tr w:rsidR="00E57DAA" w14:paraId="40B46ADB" w14:textId="77777777">
        <w:tc>
          <w:tcPr>
            <w:tcW w:w="640" w:type="pct"/>
            <w:tcBorders>
              <w:top w:val="single" w:sz="4" w:space="0" w:color="auto"/>
              <w:left w:val="single" w:sz="4" w:space="0" w:color="auto"/>
              <w:bottom w:val="single" w:sz="4" w:space="0" w:color="auto"/>
              <w:right w:val="single" w:sz="4" w:space="0" w:color="auto"/>
            </w:tcBorders>
            <w:vAlign w:val="center"/>
          </w:tcPr>
          <w:p w14:paraId="1FDB74F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121E298" w14:textId="77777777" w:rsidR="00E57DAA" w:rsidRDefault="00AC4185">
            <w:pPr>
              <w:autoSpaceDE w:val="0"/>
              <w:autoSpaceDN w:val="0"/>
              <w:adjustRightInd w:val="0"/>
              <w:rPr>
                <w:szCs w:val="21"/>
              </w:rPr>
            </w:pPr>
            <w:r>
              <w:t>上海新建重型机械有限公司</w:t>
            </w:r>
          </w:p>
        </w:tc>
        <w:tc>
          <w:tcPr>
            <w:tcW w:w="1059" w:type="pct"/>
            <w:tcBorders>
              <w:top w:val="single" w:sz="4" w:space="0" w:color="auto"/>
              <w:left w:val="single" w:sz="4" w:space="0" w:color="auto"/>
              <w:bottom w:val="single" w:sz="4" w:space="0" w:color="auto"/>
              <w:right w:val="single" w:sz="4" w:space="0" w:color="auto"/>
            </w:tcBorders>
          </w:tcPr>
          <w:p w14:paraId="4BFEBF07" w14:textId="77777777" w:rsidR="00E57DAA" w:rsidRDefault="00AC4185">
            <w:pPr>
              <w:autoSpaceDE w:val="0"/>
              <w:autoSpaceDN w:val="0"/>
              <w:adjustRightInd w:val="0"/>
              <w:jc w:val="right"/>
              <w:rPr>
                <w:szCs w:val="21"/>
              </w:rPr>
            </w:pPr>
            <w:r>
              <w:t>20,979,621.00</w:t>
            </w:r>
          </w:p>
        </w:tc>
        <w:tc>
          <w:tcPr>
            <w:tcW w:w="1407" w:type="pct"/>
            <w:tcBorders>
              <w:top w:val="single" w:sz="4" w:space="0" w:color="auto"/>
              <w:left w:val="single" w:sz="4" w:space="0" w:color="auto"/>
              <w:bottom w:val="single" w:sz="4" w:space="0" w:color="auto"/>
              <w:right w:val="single" w:sz="4" w:space="0" w:color="auto"/>
            </w:tcBorders>
          </w:tcPr>
          <w:p w14:paraId="06F35945" w14:textId="77777777" w:rsidR="00E57DAA" w:rsidRDefault="00AC4185">
            <w:pPr>
              <w:autoSpaceDE w:val="0"/>
              <w:autoSpaceDN w:val="0"/>
              <w:adjustRightInd w:val="0"/>
              <w:jc w:val="right"/>
              <w:rPr>
                <w:szCs w:val="21"/>
              </w:rPr>
            </w:pPr>
            <w:r>
              <w:t>35,508,542.00</w:t>
            </w:r>
          </w:p>
        </w:tc>
      </w:tr>
      <w:tr w:rsidR="00E57DAA" w14:paraId="2A4DF390" w14:textId="77777777">
        <w:tc>
          <w:tcPr>
            <w:tcW w:w="640" w:type="pct"/>
            <w:tcBorders>
              <w:top w:val="single" w:sz="4" w:space="0" w:color="auto"/>
              <w:left w:val="single" w:sz="4" w:space="0" w:color="auto"/>
              <w:bottom w:val="single" w:sz="4" w:space="0" w:color="auto"/>
              <w:right w:val="single" w:sz="4" w:space="0" w:color="auto"/>
            </w:tcBorders>
            <w:vAlign w:val="center"/>
          </w:tcPr>
          <w:p w14:paraId="647435A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93AA580" w14:textId="77777777" w:rsidR="00E57DAA" w:rsidRDefault="00AC4185">
            <w:pPr>
              <w:autoSpaceDE w:val="0"/>
              <w:autoSpaceDN w:val="0"/>
              <w:adjustRightInd w:val="0"/>
              <w:rPr>
                <w:szCs w:val="21"/>
              </w:rPr>
            </w:pPr>
            <w:r>
              <w:t>苏州开普岩土工程有限公司</w:t>
            </w:r>
          </w:p>
        </w:tc>
        <w:tc>
          <w:tcPr>
            <w:tcW w:w="1059" w:type="pct"/>
            <w:tcBorders>
              <w:top w:val="single" w:sz="4" w:space="0" w:color="auto"/>
              <w:left w:val="single" w:sz="4" w:space="0" w:color="auto"/>
              <w:bottom w:val="single" w:sz="4" w:space="0" w:color="auto"/>
              <w:right w:val="single" w:sz="4" w:space="0" w:color="auto"/>
            </w:tcBorders>
          </w:tcPr>
          <w:p w14:paraId="39EBFFEF" w14:textId="77777777" w:rsidR="00E57DAA" w:rsidRDefault="00AC4185">
            <w:pPr>
              <w:autoSpaceDE w:val="0"/>
              <w:autoSpaceDN w:val="0"/>
              <w:adjustRightInd w:val="0"/>
              <w:jc w:val="right"/>
              <w:rPr>
                <w:szCs w:val="21"/>
              </w:rPr>
            </w:pPr>
            <w:r>
              <w:t>20,149,386.47</w:t>
            </w:r>
          </w:p>
        </w:tc>
        <w:tc>
          <w:tcPr>
            <w:tcW w:w="1407" w:type="pct"/>
            <w:tcBorders>
              <w:top w:val="single" w:sz="4" w:space="0" w:color="auto"/>
              <w:left w:val="single" w:sz="4" w:space="0" w:color="auto"/>
              <w:bottom w:val="single" w:sz="4" w:space="0" w:color="auto"/>
              <w:right w:val="single" w:sz="4" w:space="0" w:color="auto"/>
            </w:tcBorders>
          </w:tcPr>
          <w:p w14:paraId="2DC644E6" w14:textId="77777777" w:rsidR="00E57DAA" w:rsidRDefault="00AC4185">
            <w:pPr>
              <w:autoSpaceDE w:val="0"/>
              <w:autoSpaceDN w:val="0"/>
              <w:adjustRightInd w:val="0"/>
              <w:jc w:val="right"/>
              <w:rPr>
                <w:szCs w:val="21"/>
              </w:rPr>
            </w:pPr>
            <w:r>
              <w:t>9,094,823.13</w:t>
            </w:r>
          </w:p>
        </w:tc>
      </w:tr>
      <w:tr w:rsidR="00E57DAA" w14:paraId="5420EBC6" w14:textId="77777777">
        <w:tc>
          <w:tcPr>
            <w:tcW w:w="640" w:type="pct"/>
            <w:tcBorders>
              <w:top w:val="single" w:sz="4" w:space="0" w:color="auto"/>
              <w:left w:val="single" w:sz="4" w:space="0" w:color="auto"/>
              <w:bottom w:val="single" w:sz="4" w:space="0" w:color="auto"/>
              <w:right w:val="single" w:sz="4" w:space="0" w:color="auto"/>
            </w:tcBorders>
            <w:vAlign w:val="center"/>
          </w:tcPr>
          <w:p w14:paraId="0B85A42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0F6E833" w14:textId="77777777" w:rsidR="00E57DAA" w:rsidRDefault="00AC4185">
            <w:pPr>
              <w:autoSpaceDE w:val="0"/>
              <w:autoSpaceDN w:val="0"/>
              <w:adjustRightInd w:val="0"/>
              <w:rPr>
                <w:szCs w:val="21"/>
              </w:rPr>
            </w:pPr>
            <w:r>
              <w:t>凯盛重工有限公司</w:t>
            </w:r>
          </w:p>
        </w:tc>
        <w:tc>
          <w:tcPr>
            <w:tcW w:w="1059" w:type="pct"/>
            <w:tcBorders>
              <w:top w:val="single" w:sz="4" w:space="0" w:color="auto"/>
              <w:left w:val="single" w:sz="4" w:space="0" w:color="auto"/>
              <w:bottom w:val="single" w:sz="4" w:space="0" w:color="auto"/>
              <w:right w:val="single" w:sz="4" w:space="0" w:color="auto"/>
            </w:tcBorders>
          </w:tcPr>
          <w:p w14:paraId="3B36AE51" w14:textId="77777777" w:rsidR="00E57DAA" w:rsidRDefault="00AC4185">
            <w:pPr>
              <w:autoSpaceDE w:val="0"/>
              <w:autoSpaceDN w:val="0"/>
              <w:adjustRightInd w:val="0"/>
              <w:jc w:val="right"/>
              <w:rPr>
                <w:szCs w:val="21"/>
              </w:rPr>
            </w:pPr>
            <w:r>
              <w:t>18,532,253.50</w:t>
            </w:r>
          </w:p>
        </w:tc>
        <w:tc>
          <w:tcPr>
            <w:tcW w:w="1407" w:type="pct"/>
            <w:tcBorders>
              <w:top w:val="single" w:sz="4" w:space="0" w:color="auto"/>
              <w:left w:val="single" w:sz="4" w:space="0" w:color="auto"/>
              <w:bottom w:val="single" w:sz="4" w:space="0" w:color="auto"/>
              <w:right w:val="single" w:sz="4" w:space="0" w:color="auto"/>
            </w:tcBorders>
          </w:tcPr>
          <w:p w14:paraId="3BCA1F56" w14:textId="77777777" w:rsidR="00E57DAA" w:rsidRDefault="00AC4185">
            <w:pPr>
              <w:autoSpaceDE w:val="0"/>
              <w:autoSpaceDN w:val="0"/>
              <w:adjustRightInd w:val="0"/>
              <w:jc w:val="right"/>
              <w:rPr>
                <w:szCs w:val="21"/>
              </w:rPr>
            </w:pPr>
            <w:r>
              <w:t>1,694,474.00</w:t>
            </w:r>
          </w:p>
        </w:tc>
      </w:tr>
      <w:tr w:rsidR="00E57DAA" w14:paraId="3B0080AC" w14:textId="77777777">
        <w:tc>
          <w:tcPr>
            <w:tcW w:w="640" w:type="pct"/>
            <w:tcBorders>
              <w:top w:val="single" w:sz="4" w:space="0" w:color="auto"/>
              <w:left w:val="single" w:sz="4" w:space="0" w:color="auto"/>
              <w:bottom w:val="single" w:sz="4" w:space="0" w:color="auto"/>
              <w:right w:val="single" w:sz="4" w:space="0" w:color="auto"/>
            </w:tcBorders>
            <w:vAlign w:val="center"/>
          </w:tcPr>
          <w:p w14:paraId="0E01FA5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CEE05FD" w14:textId="77777777" w:rsidR="00E57DAA" w:rsidRDefault="00AC4185">
            <w:pPr>
              <w:autoSpaceDE w:val="0"/>
              <w:autoSpaceDN w:val="0"/>
              <w:adjustRightInd w:val="0"/>
              <w:rPr>
                <w:szCs w:val="21"/>
              </w:rPr>
            </w:pPr>
            <w:r>
              <w:t>郑州瑞泰耐火科技有限公司</w:t>
            </w:r>
          </w:p>
        </w:tc>
        <w:tc>
          <w:tcPr>
            <w:tcW w:w="1059" w:type="pct"/>
            <w:tcBorders>
              <w:top w:val="single" w:sz="4" w:space="0" w:color="auto"/>
              <w:left w:val="single" w:sz="4" w:space="0" w:color="auto"/>
              <w:bottom w:val="single" w:sz="4" w:space="0" w:color="auto"/>
              <w:right w:val="single" w:sz="4" w:space="0" w:color="auto"/>
            </w:tcBorders>
          </w:tcPr>
          <w:p w14:paraId="5268BD0F" w14:textId="77777777" w:rsidR="00E57DAA" w:rsidRDefault="00AC4185">
            <w:pPr>
              <w:autoSpaceDE w:val="0"/>
              <w:autoSpaceDN w:val="0"/>
              <w:adjustRightInd w:val="0"/>
              <w:jc w:val="right"/>
              <w:rPr>
                <w:szCs w:val="21"/>
              </w:rPr>
            </w:pPr>
            <w:r>
              <w:t>18,339,809.63</w:t>
            </w:r>
          </w:p>
        </w:tc>
        <w:tc>
          <w:tcPr>
            <w:tcW w:w="1407" w:type="pct"/>
            <w:tcBorders>
              <w:top w:val="single" w:sz="4" w:space="0" w:color="auto"/>
              <w:left w:val="single" w:sz="4" w:space="0" w:color="auto"/>
              <w:bottom w:val="single" w:sz="4" w:space="0" w:color="auto"/>
              <w:right w:val="single" w:sz="4" w:space="0" w:color="auto"/>
            </w:tcBorders>
          </w:tcPr>
          <w:p w14:paraId="1729D5EC" w14:textId="77777777" w:rsidR="00E57DAA" w:rsidRDefault="00AC4185">
            <w:pPr>
              <w:autoSpaceDE w:val="0"/>
              <w:autoSpaceDN w:val="0"/>
              <w:adjustRightInd w:val="0"/>
              <w:jc w:val="right"/>
              <w:rPr>
                <w:szCs w:val="21"/>
              </w:rPr>
            </w:pPr>
            <w:r>
              <w:t>14,150,130.04</w:t>
            </w:r>
          </w:p>
        </w:tc>
      </w:tr>
      <w:tr w:rsidR="00E57DAA" w14:paraId="3C71C9F1" w14:textId="77777777">
        <w:tc>
          <w:tcPr>
            <w:tcW w:w="640" w:type="pct"/>
            <w:tcBorders>
              <w:top w:val="single" w:sz="4" w:space="0" w:color="auto"/>
              <w:left w:val="single" w:sz="4" w:space="0" w:color="auto"/>
              <w:bottom w:val="single" w:sz="4" w:space="0" w:color="auto"/>
              <w:right w:val="single" w:sz="4" w:space="0" w:color="auto"/>
            </w:tcBorders>
            <w:vAlign w:val="center"/>
          </w:tcPr>
          <w:p w14:paraId="1D551A5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4DFEC2B" w14:textId="77777777" w:rsidR="00E57DAA" w:rsidRDefault="00AC4185">
            <w:pPr>
              <w:autoSpaceDE w:val="0"/>
              <w:autoSpaceDN w:val="0"/>
              <w:adjustRightInd w:val="0"/>
              <w:rPr>
                <w:szCs w:val="21"/>
              </w:rPr>
            </w:pPr>
            <w:r>
              <w:t>NANTONG WANDA   BOILER CO LTD</w:t>
            </w:r>
          </w:p>
        </w:tc>
        <w:tc>
          <w:tcPr>
            <w:tcW w:w="1059" w:type="pct"/>
            <w:tcBorders>
              <w:top w:val="single" w:sz="4" w:space="0" w:color="auto"/>
              <w:left w:val="single" w:sz="4" w:space="0" w:color="auto"/>
              <w:bottom w:val="single" w:sz="4" w:space="0" w:color="auto"/>
              <w:right w:val="single" w:sz="4" w:space="0" w:color="auto"/>
            </w:tcBorders>
          </w:tcPr>
          <w:p w14:paraId="7D741DC9" w14:textId="77777777" w:rsidR="00E57DAA" w:rsidRDefault="00AC4185">
            <w:pPr>
              <w:autoSpaceDE w:val="0"/>
              <w:autoSpaceDN w:val="0"/>
              <w:adjustRightInd w:val="0"/>
              <w:jc w:val="right"/>
              <w:rPr>
                <w:szCs w:val="21"/>
              </w:rPr>
            </w:pPr>
            <w:r>
              <w:t>12,902,881.13</w:t>
            </w:r>
          </w:p>
        </w:tc>
        <w:tc>
          <w:tcPr>
            <w:tcW w:w="1407" w:type="pct"/>
            <w:tcBorders>
              <w:top w:val="single" w:sz="4" w:space="0" w:color="auto"/>
              <w:left w:val="single" w:sz="4" w:space="0" w:color="auto"/>
              <w:bottom w:val="single" w:sz="4" w:space="0" w:color="auto"/>
              <w:right w:val="single" w:sz="4" w:space="0" w:color="auto"/>
            </w:tcBorders>
          </w:tcPr>
          <w:p w14:paraId="6AA7A4FF" w14:textId="77777777" w:rsidR="00E57DAA" w:rsidRDefault="00AC4185">
            <w:pPr>
              <w:autoSpaceDE w:val="0"/>
              <w:autoSpaceDN w:val="0"/>
              <w:adjustRightInd w:val="0"/>
              <w:jc w:val="right"/>
              <w:rPr>
                <w:szCs w:val="21"/>
              </w:rPr>
            </w:pPr>
            <w:r>
              <w:t xml:space="preserve">　</w:t>
            </w:r>
          </w:p>
        </w:tc>
      </w:tr>
      <w:tr w:rsidR="00E57DAA" w14:paraId="6247E90F" w14:textId="77777777">
        <w:tc>
          <w:tcPr>
            <w:tcW w:w="640" w:type="pct"/>
            <w:tcBorders>
              <w:top w:val="single" w:sz="4" w:space="0" w:color="auto"/>
              <w:left w:val="single" w:sz="4" w:space="0" w:color="auto"/>
              <w:bottom w:val="single" w:sz="4" w:space="0" w:color="auto"/>
              <w:right w:val="single" w:sz="4" w:space="0" w:color="auto"/>
            </w:tcBorders>
            <w:vAlign w:val="center"/>
          </w:tcPr>
          <w:p w14:paraId="745CED5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C0993FF" w14:textId="77777777" w:rsidR="00E57DAA" w:rsidRDefault="00AC4185">
            <w:pPr>
              <w:autoSpaceDE w:val="0"/>
              <w:autoSpaceDN w:val="0"/>
              <w:adjustRightInd w:val="0"/>
              <w:rPr>
                <w:szCs w:val="21"/>
              </w:rPr>
            </w:pPr>
            <w:proofErr w:type="spellStart"/>
            <w:r>
              <w:t>Sinoma</w:t>
            </w:r>
            <w:proofErr w:type="spellEnd"/>
            <w:r>
              <w:t xml:space="preserve"> Energy   Conservation Ltd</w:t>
            </w:r>
          </w:p>
        </w:tc>
        <w:tc>
          <w:tcPr>
            <w:tcW w:w="1059" w:type="pct"/>
            <w:tcBorders>
              <w:top w:val="single" w:sz="4" w:space="0" w:color="auto"/>
              <w:left w:val="single" w:sz="4" w:space="0" w:color="auto"/>
              <w:bottom w:val="single" w:sz="4" w:space="0" w:color="auto"/>
              <w:right w:val="single" w:sz="4" w:space="0" w:color="auto"/>
            </w:tcBorders>
          </w:tcPr>
          <w:p w14:paraId="067F6772" w14:textId="77777777" w:rsidR="00E57DAA" w:rsidRDefault="00AC4185">
            <w:pPr>
              <w:autoSpaceDE w:val="0"/>
              <w:autoSpaceDN w:val="0"/>
              <w:adjustRightInd w:val="0"/>
              <w:jc w:val="right"/>
              <w:rPr>
                <w:szCs w:val="21"/>
              </w:rPr>
            </w:pPr>
            <w:r>
              <w:t>9,796,295.34</w:t>
            </w:r>
          </w:p>
        </w:tc>
        <w:tc>
          <w:tcPr>
            <w:tcW w:w="1407" w:type="pct"/>
            <w:tcBorders>
              <w:top w:val="single" w:sz="4" w:space="0" w:color="auto"/>
              <w:left w:val="single" w:sz="4" w:space="0" w:color="auto"/>
              <w:bottom w:val="single" w:sz="4" w:space="0" w:color="auto"/>
              <w:right w:val="single" w:sz="4" w:space="0" w:color="auto"/>
            </w:tcBorders>
          </w:tcPr>
          <w:p w14:paraId="60B030AB" w14:textId="77777777" w:rsidR="00E57DAA" w:rsidRDefault="00AC4185">
            <w:pPr>
              <w:autoSpaceDE w:val="0"/>
              <w:autoSpaceDN w:val="0"/>
              <w:adjustRightInd w:val="0"/>
              <w:jc w:val="right"/>
              <w:rPr>
                <w:szCs w:val="21"/>
              </w:rPr>
            </w:pPr>
            <w:r>
              <w:t xml:space="preserve">　</w:t>
            </w:r>
          </w:p>
        </w:tc>
      </w:tr>
      <w:tr w:rsidR="00E57DAA" w14:paraId="2E6F7CC3" w14:textId="77777777">
        <w:tc>
          <w:tcPr>
            <w:tcW w:w="640" w:type="pct"/>
            <w:tcBorders>
              <w:top w:val="single" w:sz="4" w:space="0" w:color="auto"/>
              <w:left w:val="single" w:sz="4" w:space="0" w:color="auto"/>
              <w:bottom w:val="single" w:sz="4" w:space="0" w:color="auto"/>
              <w:right w:val="single" w:sz="4" w:space="0" w:color="auto"/>
            </w:tcBorders>
            <w:vAlign w:val="center"/>
          </w:tcPr>
          <w:p w14:paraId="7BC4D59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942E656" w14:textId="77777777" w:rsidR="00E57DAA" w:rsidRDefault="00AC4185">
            <w:pPr>
              <w:autoSpaceDE w:val="0"/>
              <w:autoSpaceDN w:val="0"/>
              <w:adjustRightInd w:val="0"/>
              <w:rPr>
                <w:szCs w:val="21"/>
              </w:rPr>
            </w:pPr>
            <w:r>
              <w:t>西安墙体材料研究设计院有限公司</w:t>
            </w:r>
          </w:p>
        </w:tc>
        <w:tc>
          <w:tcPr>
            <w:tcW w:w="1059" w:type="pct"/>
            <w:tcBorders>
              <w:top w:val="single" w:sz="4" w:space="0" w:color="auto"/>
              <w:left w:val="single" w:sz="4" w:space="0" w:color="auto"/>
              <w:bottom w:val="single" w:sz="4" w:space="0" w:color="auto"/>
              <w:right w:val="single" w:sz="4" w:space="0" w:color="auto"/>
            </w:tcBorders>
          </w:tcPr>
          <w:p w14:paraId="268B3B0C" w14:textId="77777777" w:rsidR="00E57DAA" w:rsidRDefault="00AC4185">
            <w:pPr>
              <w:autoSpaceDE w:val="0"/>
              <w:autoSpaceDN w:val="0"/>
              <w:adjustRightInd w:val="0"/>
              <w:jc w:val="right"/>
              <w:rPr>
                <w:szCs w:val="21"/>
              </w:rPr>
            </w:pPr>
            <w:r>
              <w:t>8,490,159.00</w:t>
            </w:r>
          </w:p>
        </w:tc>
        <w:tc>
          <w:tcPr>
            <w:tcW w:w="1407" w:type="pct"/>
            <w:tcBorders>
              <w:top w:val="single" w:sz="4" w:space="0" w:color="auto"/>
              <w:left w:val="single" w:sz="4" w:space="0" w:color="auto"/>
              <w:bottom w:val="single" w:sz="4" w:space="0" w:color="auto"/>
              <w:right w:val="single" w:sz="4" w:space="0" w:color="auto"/>
            </w:tcBorders>
          </w:tcPr>
          <w:p w14:paraId="466511FA" w14:textId="77777777" w:rsidR="00E57DAA" w:rsidRDefault="00AC4185">
            <w:pPr>
              <w:autoSpaceDE w:val="0"/>
              <w:autoSpaceDN w:val="0"/>
              <w:adjustRightInd w:val="0"/>
              <w:jc w:val="right"/>
              <w:rPr>
                <w:szCs w:val="21"/>
              </w:rPr>
            </w:pPr>
            <w:r>
              <w:t xml:space="preserve">　</w:t>
            </w:r>
          </w:p>
        </w:tc>
      </w:tr>
      <w:tr w:rsidR="00E57DAA" w14:paraId="27EE4396" w14:textId="77777777">
        <w:tc>
          <w:tcPr>
            <w:tcW w:w="640" w:type="pct"/>
            <w:tcBorders>
              <w:top w:val="single" w:sz="4" w:space="0" w:color="auto"/>
              <w:left w:val="single" w:sz="4" w:space="0" w:color="auto"/>
              <w:bottom w:val="single" w:sz="4" w:space="0" w:color="auto"/>
              <w:right w:val="single" w:sz="4" w:space="0" w:color="auto"/>
            </w:tcBorders>
            <w:vAlign w:val="center"/>
          </w:tcPr>
          <w:p w14:paraId="06120F9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DEE04E0" w14:textId="77777777" w:rsidR="00E57DAA" w:rsidRDefault="00AC4185">
            <w:pPr>
              <w:autoSpaceDE w:val="0"/>
              <w:autoSpaceDN w:val="0"/>
              <w:adjustRightInd w:val="0"/>
              <w:rPr>
                <w:szCs w:val="21"/>
              </w:rPr>
            </w:pPr>
            <w:r>
              <w:t>中建材矿业投资江苏有限公司</w:t>
            </w:r>
          </w:p>
        </w:tc>
        <w:tc>
          <w:tcPr>
            <w:tcW w:w="1059" w:type="pct"/>
            <w:tcBorders>
              <w:top w:val="single" w:sz="4" w:space="0" w:color="auto"/>
              <w:left w:val="single" w:sz="4" w:space="0" w:color="auto"/>
              <w:bottom w:val="single" w:sz="4" w:space="0" w:color="auto"/>
              <w:right w:val="single" w:sz="4" w:space="0" w:color="auto"/>
            </w:tcBorders>
          </w:tcPr>
          <w:p w14:paraId="2F3DF578" w14:textId="77777777" w:rsidR="00E57DAA" w:rsidRDefault="00AC4185">
            <w:pPr>
              <w:autoSpaceDE w:val="0"/>
              <w:autoSpaceDN w:val="0"/>
              <w:adjustRightInd w:val="0"/>
              <w:jc w:val="right"/>
              <w:rPr>
                <w:szCs w:val="21"/>
              </w:rPr>
            </w:pPr>
            <w:r>
              <w:t>6,705,872.08</w:t>
            </w:r>
          </w:p>
        </w:tc>
        <w:tc>
          <w:tcPr>
            <w:tcW w:w="1407" w:type="pct"/>
            <w:tcBorders>
              <w:top w:val="single" w:sz="4" w:space="0" w:color="auto"/>
              <w:left w:val="single" w:sz="4" w:space="0" w:color="auto"/>
              <w:bottom w:val="single" w:sz="4" w:space="0" w:color="auto"/>
              <w:right w:val="single" w:sz="4" w:space="0" w:color="auto"/>
            </w:tcBorders>
          </w:tcPr>
          <w:p w14:paraId="76FECC3D" w14:textId="77777777" w:rsidR="00E57DAA" w:rsidRDefault="00AC4185">
            <w:pPr>
              <w:autoSpaceDE w:val="0"/>
              <w:autoSpaceDN w:val="0"/>
              <w:adjustRightInd w:val="0"/>
              <w:jc w:val="right"/>
              <w:rPr>
                <w:szCs w:val="21"/>
              </w:rPr>
            </w:pPr>
            <w:r>
              <w:t>5,905,783.58</w:t>
            </w:r>
          </w:p>
        </w:tc>
      </w:tr>
      <w:tr w:rsidR="00E57DAA" w14:paraId="3B667678" w14:textId="77777777">
        <w:tc>
          <w:tcPr>
            <w:tcW w:w="640" w:type="pct"/>
            <w:tcBorders>
              <w:top w:val="single" w:sz="4" w:space="0" w:color="auto"/>
              <w:left w:val="single" w:sz="4" w:space="0" w:color="auto"/>
              <w:bottom w:val="single" w:sz="4" w:space="0" w:color="auto"/>
              <w:right w:val="single" w:sz="4" w:space="0" w:color="auto"/>
            </w:tcBorders>
            <w:vAlign w:val="center"/>
          </w:tcPr>
          <w:p w14:paraId="7AA39C0B"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1A647EE" w14:textId="77777777" w:rsidR="00E57DAA" w:rsidRDefault="00AC4185">
            <w:pPr>
              <w:autoSpaceDE w:val="0"/>
              <w:autoSpaceDN w:val="0"/>
              <w:adjustRightInd w:val="0"/>
              <w:rPr>
                <w:szCs w:val="21"/>
              </w:rPr>
            </w:pPr>
            <w:r>
              <w:t>深圳市南华岩土工程有限公司</w:t>
            </w:r>
          </w:p>
        </w:tc>
        <w:tc>
          <w:tcPr>
            <w:tcW w:w="1059" w:type="pct"/>
            <w:tcBorders>
              <w:top w:val="single" w:sz="4" w:space="0" w:color="auto"/>
              <w:left w:val="single" w:sz="4" w:space="0" w:color="auto"/>
              <w:bottom w:val="single" w:sz="4" w:space="0" w:color="auto"/>
              <w:right w:val="single" w:sz="4" w:space="0" w:color="auto"/>
            </w:tcBorders>
          </w:tcPr>
          <w:p w14:paraId="13227212" w14:textId="77777777" w:rsidR="00E57DAA" w:rsidRDefault="00AC4185">
            <w:pPr>
              <w:autoSpaceDE w:val="0"/>
              <w:autoSpaceDN w:val="0"/>
              <w:adjustRightInd w:val="0"/>
              <w:jc w:val="right"/>
              <w:rPr>
                <w:szCs w:val="21"/>
              </w:rPr>
            </w:pPr>
            <w:r>
              <w:t>6,580,559.41</w:t>
            </w:r>
          </w:p>
        </w:tc>
        <w:tc>
          <w:tcPr>
            <w:tcW w:w="1407" w:type="pct"/>
            <w:tcBorders>
              <w:top w:val="single" w:sz="4" w:space="0" w:color="auto"/>
              <w:left w:val="single" w:sz="4" w:space="0" w:color="auto"/>
              <w:bottom w:val="single" w:sz="4" w:space="0" w:color="auto"/>
              <w:right w:val="single" w:sz="4" w:space="0" w:color="auto"/>
            </w:tcBorders>
          </w:tcPr>
          <w:p w14:paraId="2B7ED2B7" w14:textId="77777777" w:rsidR="00E57DAA" w:rsidRDefault="00AC4185">
            <w:pPr>
              <w:autoSpaceDE w:val="0"/>
              <w:autoSpaceDN w:val="0"/>
              <w:adjustRightInd w:val="0"/>
              <w:jc w:val="right"/>
              <w:rPr>
                <w:szCs w:val="21"/>
              </w:rPr>
            </w:pPr>
            <w:r>
              <w:t>8,619,788.54</w:t>
            </w:r>
          </w:p>
        </w:tc>
      </w:tr>
      <w:tr w:rsidR="00E57DAA" w14:paraId="05379E5A" w14:textId="77777777">
        <w:tc>
          <w:tcPr>
            <w:tcW w:w="640" w:type="pct"/>
            <w:tcBorders>
              <w:top w:val="single" w:sz="4" w:space="0" w:color="auto"/>
              <w:left w:val="single" w:sz="4" w:space="0" w:color="auto"/>
              <w:bottom w:val="single" w:sz="4" w:space="0" w:color="auto"/>
              <w:right w:val="single" w:sz="4" w:space="0" w:color="auto"/>
            </w:tcBorders>
            <w:vAlign w:val="center"/>
          </w:tcPr>
          <w:p w14:paraId="64DBB81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C31B2FA" w14:textId="77777777" w:rsidR="00E57DAA" w:rsidRDefault="00AC4185">
            <w:pPr>
              <w:autoSpaceDE w:val="0"/>
              <w:autoSpaceDN w:val="0"/>
              <w:adjustRightInd w:val="0"/>
              <w:rPr>
                <w:szCs w:val="21"/>
              </w:rPr>
            </w:pPr>
            <w:r>
              <w:t>河南瑞泰耐火材料科技有限公司</w:t>
            </w:r>
          </w:p>
        </w:tc>
        <w:tc>
          <w:tcPr>
            <w:tcW w:w="1059" w:type="pct"/>
            <w:tcBorders>
              <w:top w:val="single" w:sz="4" w:space="0" w:color="auto"/>
              <w:left w:val="single" w:sz="4" w:space="0" w:color="auto"/>
              <w:bottom w:val="single" w:sz="4" w:space="0" w:color="auto"/>
              <w:right w:val="single" w:sz="4" w:space="0" w:color="auto"/>
            </w:tcBorders>
          </w:tcPr>
          <w:p w14:paraId="79AC073E" w14:textId="77777777" w:rsidR="00E57DAA" w:rsidRDefault="00AC4185">
            <w:pPr>
              <w:autoSpaceDE w:val="0"/>
              <w:autoSpaceDN w:val="0"/>
              <w:adjustRightInd w:val="0"/>
              <w:jc w:val="right"/>
              <w:rPr>
                <w:szCs w:val="21"/>
              </w:rPr>
            </w:pPr>
            <w:r>
              <w:t>5,796,523.29</w:t>
            </w:r>
          </w:p>
        </w:tc>
        <w:tc>
          <w:tcPr>
            <w:tcW w:w="1407" w:type="pct"/>
            <w:tcBorders>
              <w:top w:val="single" w:sz="4" w:space="0" w:color="auto"/>
              <w:left w:val="single" w:sz="4" w:space="0" w:color="auto"/>
              <w:bottom w:val="single" w:sz="4" w:space="0" w:color="auto"/>
              <w:right w:val="single" w:sz="4" w:space="0" w:color="auto"/>
            </w:tcBorders>
          </w:tcPr>
          <w:p w14:paraId="579EE157" w14:textId="77777777" w:rsidR="00E57DAA" w:rsidRDefault="00AC4185">
            <w:pPr>
              <w:autoSpaceDE w:val="0"/>
              <w:autoSpaceDN w:val="0"/>
              <w:adjustRightInd w:val="0"/>
              <w:jc w:val="right"/>
              <w:rPr>
                <w:szCs w:val="21"/>
              </w:rPr>
            </w:pPr>
            <w:r>
              <w:t>1,941,066.64</w:t>
            </w:r>
          </w:p>
        </w:tc>
      </w:tr>
      <w:tr w:rsidR="00E57DAA" w14:paraId="1FFBE52A" w14:textId="77777777">
        <w:tc>
          <w:tcPr>
            <w:tcW w:w="640" w:type="pct"/>
            <w:tcBorders>
              <w:top w:val="single" w:sz="4" w:space="0" w:color="auto"/>
              <w:left w:val="single" w:sz="4" w:space="0" w:color="auto"/>
              <w:bottom w:val="single" w:sz="4" w:space="0" w:color="auto"/>
              <w:right w:val="single" w:sz="4" w:space="0" w:color="auto"/>
            </w:tcBorders>
            <w:vAlign w:val="center"/>
          </w:tcPr>
          <w:p w14:paraId="41C28AB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F501B71" w14:textId="77777777" w:rsidR="00E57DAA" w:rsidRDefault="00AC4185">
            <w:pPr>
              <w:autoSpaceDE w:val="0"/>
              <w:autoSpaceDN w:val="0"/>
              <w:adjustRightInd w:val="0"/>
              <w:rPr>
                <w:szCs w:val="21"/>
              </w:rPr>
            </w:pPr>
            <w:r>
              <w:t>西安凯盛建材工程有限公司</w:t>
            </w:r>
          </w:p>
        </w:tc>
        <w:tc>
          <w:tcPr>
            <w:tcW w:w="1059" w:type="pct"/>
            <w:tcBorders>
              <w:top w:val="single" w:sz="4" w:space="0" w:color="auto"/>
              <w:left w:val="single" w:sz="4" w:space="0" w:color="auto"/>
              <w:bottom w:val="single" w:sz="4" w:space="0" w:color="auto"/>
              <w:right w:val="single" w:sz="4" w:space="0" w:color="auto"/>
            </w:tcBorders>
          </w:tcPr>
          <w:p w14:paraId="1F39A827" w14:textId="77777777" w:rsidR="00E57DAA" w:rsidRDefault="00AC4185">
            <w:pPr>
              <w:autoSpaceDE w:val="0"/>
              <w:autoSpaceDN w:val="0"/>
              <w:adjustRightInd w:val="0"/>
              <w:jc w:val="right"/>
              <w:rPr>
                <w:szCs w:val="21"/>
              </w:rPr>
            </w:pPr>
            <w:r>
              <w:t>4,831,500.00</w:t>
            </w:r>
          </w:p>
        </w:tc>
        <w:tc>
          <w:tcPr>
            <w:tcW w:w="1407" w:type="pct"/>
            <w:tcBorders>
              <w:top w:val="single" w:sz="4" w:space="0" w:color="auto"/>
              <w:left w:val="single" w:sz="4" w:space="0" w:color="auto"/>
              <w:bottom w:val="single" w:sz="4" w:space="0" w:color="auto"/>
              <w:right w:val="single" w:sz="4" w:space="0" w:color="auto"/>
            </w:tcBorders>
          </w:tcPr>
          <w:p w14:paraId="01F49B71" w14:textId="77777777" w:rsidR="00E57DAA" w:rsidRDefault="00AC4185">
            <w:pPr>
              <w:autoSpaceDE w:val="0"/>
              <w:autoSpaceDN w:val="0"/>
              <w:adjustRightInd w:val="0"/>
              <w:jc w:val="right"/>
              <w:rPr>
                <w:szCs w:val="21"/>
              </w:rPr>
            </w:pPr>
            <w:r>
              <w:t>9,953,000.26</w:t>
            </w:r>
          </w:p>
        </w:tc>
      </w:tr>
      <w:tr w:rsidR="00E57DAA" w14:paraId="3A56C1AC" w14:textId="77777777">
        <w:tc>
          <w:tcPr>
            <w:tcW w:w="640" w:type="pct"/>
            <w:tcBorders>
              <w:top w:val="single" w:sz="4" w:space="0" w:color="auto"/>
              <w:left w:val="single" w:sz="4" w:space="0" w:color="auto"/>
              <w:bottom w:val="single" w:sz="4" w:space="0" w:color="auto"/>
              <w:right w:val="single" w:sz="4" w:space="0" w:color="auto"/>
            </w:tcBorders>
            <w:vAlign w:val="center"/>
          </w:tcPr>
          <w:p w14:paraId="1D934F0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74CB1EA" w14:textId="77777777" w:rsidR="00E57DAA" w:rsidRDefault="00AC4185">
            <w:pPr>
              <w:autoSpaceDE w:val="0"/>
              <w:autoSpaceDN w:val="0"/>
              <w:adjustRightInd w:val="0"/>
              <w:rPr>
                <w:szCs w:val="21"/>
              </w:rPr>
            </w:pPr>
            <w:r>
              <w:t>中建材信息技术股份有限公司</w:t>
            </w:r>
          </w:p>
        </w:tc>
        <w:tc>
          <w:tcPr>
            <w:tcW w:w="1059" w:type="pct"/>
            <w:tcBorders>
              <w:top w:val="single" w:sz="4" w:space="0" w:color="auto"/>
              <w:left w:val="single" w:sz="4" w:space="0" w:color="auto"/>
              <w:bottom w:val="single" w:sz="4" w:space="0" w:color="auto"/>
              <w:right w:val="single" w:sz="4" w:space="0" w:color="auto"/>
            </w:tcBorders>
          </w:tcPr>
          <w:p w14:paraId="14523215" w14:textId="77777777" w:rsidR="00E57DAA" w:rsidRDefault="00AC4185">
            <w:pPr>
              <w:autoSpaceDE w:val="0"/>
              <w:autoSpaceDN w:val="0"/>
              <w:adjustRightInd w:val="0"/>
              <w:jc w:val="right"/>
              <w:rPr>
                <w:szCs w:val="21"/>
              </w:rPr>
            </w:pPr>
            <w:r>
              <w:t>4,261,960.00</w:t>
            </w:r>
          </w:p>
        </w:tc>
        <w:tc>
          <w:tcPr>
            <w:tcW w:w="1407" w:type="pct"/>
            <w:tcBorders>
              <w:top w:val="single" w:sz="4" w:space="0" w:color="auto"/>
              <w:left w:val="single" w:sz="4" w:space="0" w:color="auto"/>
              <w:bottom w:val="single" w:sz="4" w:space="0" w:color="auto"/>
              <w:right w:val="single" w:sz="4" w:space="0" w:color="auto"/>
            </w:tcBorders>
          </w:tcPr>
          <w:p w14:paraId="3057FB77" w14:textId="77777777" w:rsidR="00E57DAA" w:rsidRDefault="00AC4185">
            <w:pPr>
              <w:autoSpaceDE w:val="0"/>
              <w:autoSpaceDN w:val="0"/>
              <w:adjustRightInd w:val="0"/>
              <w:jc w:val="right"/>
              <w:rPr>
                <w:szCs w:val="21"/>
              </w:rPr>
            </w:pPr>
            <w:r>
              <w:t>3,753,920.00</w:t>
            </w:r>
          </w:p>
        </w:tc>
      </w:tr>
      <w:tr w:rsidR="00E57DAA" w14:paraId="7DB3B620" w14:textId="77777777">
        <w:tc>
          <w:tcPr>
            <w:tcW w:w="640" w:type="pct"/>
            <w:tcBorders>
              <w:top w:val="single" w:sz="4" w:space="0" w:color="auto"/>
              <w:left w:val="single" w:sz="4" w:space="0" w:color="auto"/>
              <w:bottom w:val="single" w:sz="4" w:space="0" w:color="auto"/>
              <w:right w:val="single" w:sz="4" w:space="0" w:color="auto"/>
            </w:tcBorders>
            <w:vAlign w:val="center"/>
          </w:tcPr>
          <w:p w14:paraId="2D50BB3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D2B6E73" w14:textId="77777777" w:rsidR="00E57DAA" w:rsidRDefault="00AC4185">
            <w:pPr>
              <w:autoSpaceDE w:val="0"/>
              <w:autoSpaceDN w:val="0"/>
              <w:adjustRightInd w:val="0"/>
              <w:rPr>
                <w:szCs w:val="21"/>
              </w:rPr>
            </w:pPr>
            <w:r>
              <w:t>中建材凯盛机器人（上海）有限公司</w:t>
            </w:r>
          </w:p>
        </w:tc>
        <w:tc>
          <w:tcPr>
            <w:tcW w:w="1059" w:type="pct"/>
            <w:tcBorders>
              <w:top w:val="single" w:sz="4" w:space="0" w:color="auto"/>
              <w:left w:val="single" w:sz="4" w:space="0" w:color="auto"/>
              <w:bottom w:val="single" w:sz="4" w:space="0" w:color="auto"/>
              <w:right w:val="single" w:sz="4" w:space="0" w:color="auto"/>
            </w:tcBorders>
          </w:tcPr>
          <w:p w14:paraId="5638E51A" w14:textId="77777777" w:rsidR="00E57DAA" w:rsidRDefault="00AC4185">
            <w:pPr>
              <w:autoSpaceDE w:val="0"/>
              <w:autoSpaceDN w:val="0"/>
              <w:adjustRightInd w:val="0"/>
              <w:jc w:val="right"/>
              <w:rPr>
                <w:szCs w:val="21"/>
              </w:rPr>
            </w:pPr>
            <w:r>
              <w:t>2,647,000.00</w:t>
            </w:r>
          </w:p>
        </w:tc>
        <w:tc>
          <w:tcPr>
            <w:tcW w:w="1407" w:type="pct"/>
            <w:tcBorders>
              <w:top w:val="single" w:sz="4" w:space="0" w:color="auto"/>
              <w:left w:val="single" w:sz="4" w:space="0" w:color="auto"/>
              <w:bottom w:val="single" w:sz="4" w:space="0" w:color="auto"/>
              <w:right w:val="single" w:sz="4" w:space="0" w:color="auto"/>
            </w:tcBorders>
          </w:tcPr>
          <w:p w14:paraId="5FBA008B" w14:textId="77777777" w:rsidR="00E57DAA" w:rsidRDefault="00AC4185">
            <w:pPr>
              <w:autoSpaceDE w:val="0"/>
              <w:autoSpaceDN w:val="0"/>
              <w:adjustRightInd w:val="0"/>
              <w:jc w:val="right"/>
              <w:rPr>
                <w:szCs w:val="21"/>
              </w:rPr>
            </w:pPr>
            <w:r>
              <w:t>5,954,000.00</w:t>
            </w:r>
          </w:p>
        </w:tc>
      </w:tr>
      <w:tr w:rsidR="00E57DAA" w14:paraId="6399BB30" w14:textId="77777777">
        <w:tc>
          <w:tcPr>
            <w:tcW w:w="640" w:type="pct"/>
            <w:tcBorders>
              <w:top w:val="single" w:sz="4" w:space="0" w:color="auto"/>
              <w:left w:val="single" w:sz="4" w:space="0" w:color="auto"/>
              <w:bottom w:val="single" w:sz="4" w:space="0" w:color="auto"/>
              <w:right w:val="single" w:sz="4" w:space="0" w:color="auto"/>
            </w:tcBorders>
            <w:vAlign w:val="center"/>
          </w:tcPr>
          <w:p w14:paraId="725EDD7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C62F12D" w14:textId="77777777" w:rsidR="00E57DAA" w:rsidRDefault="00AC4185">
            <w:pPr>
              <w:autoSpaceDE w:val="0"/>
              <w:autoSpaceDN w:val="0"/>
              <w:adjustRightInd w:val="0"/>
              <w:rPr>
                <w:szCs w:val="21"/>
              </w:rPr>
            </w:pPr>
            <w:r>
              <w:t>扬州中科半导体照明有限公司</w:t>
            </w:r>
          </w:p>
        </w:tc>
        <w:tc>
          <w:tcPr>
            <w:tcW w:w="1059" w:type="pct"/>
            <w:tcBorders>
              <w:top w:val="single" w:sz="4" w:space="0" w:color="auto"/>
              <w:left w:val="single" w:sz="4" w:space="0" w:color="auto"/>
              <w:bottom w:val="single" w:sz="4" w:space="0" w:color="auto"/>
              <w:right w:val="single" w:sz="4" w:space="0" w:color="auto"/>
            </w:tcBorders>
          </w:tcPr>
          <w:p w14:paraId="3ACB282F" w14:textId="77777777" w:rsidR="00E57DAA" w:rsidRDefault="00AC4185">
            <w:pPr>
              <w:autoSpaceDE w:val="0"/>
              <w:autoSpaceDN w:val="0"/>
              <w:adjustRightInd w:val="0"/>
              <w:jc w:val="right"/>
              <w:rPr>
                <w:szCs w:val="21"/>
              </w:rPr>
            </w:pPr>
            <w:r>
              <w:t>2,448,408.40</w:t>
            </w:r>
          </w:p>
        </w:tc>
        <w:tc>
          <w:tcPr>
            <w:tcW w:w="1407" w:type="pct"/>
            <w:tcBorders>
              <w:top w:val="single" w:sz="4" w:space="0" w:color="auto"/>
              <w:left w:val="single" w:sz="4" w:space="0" w:color="auto"/>
              <w:bottom w:val="single" w:sz="4" w:space="0" w:color="auto"/>
              <w:right w:val="single" w:sz="4" w:space="0" w:color="auto"/>
            </w:tcBorders>
          </w:tcPr>
          <w:p w14:paraId="1ED16EF0" w14:textId="77777777" w:rsidR="00E57DAA" w:rsidRDefault="00AC4185">
            <w:pPr>
              <w:autoSpaceDE w:val="0"/>
              <w:autoSpaceDN w:val="0"/>
              <w:adjustRightInd w:val="0"/>
              <w:jc w:val="right"/>
              <w:rPr>
                <w:szCs w:val="21"/>
              </w:rPr>
            </w:pPr>
            <w:r>
              <w:t>1,852,644.30</w:t>
            </w:r>
          </w:p>
        </w:tc>
      </w:tr>
      <w:tr w:rsidR="00E57DAA" w14:paraId="5F870F44" w14:textId="77777777">
        <w:tc>
          <w:tcPr>
            <w:tcW w:w="640" w:type="pct"/>
            <w:tcBorders>
              <w:top w:val="single" w:sz="4" w:space="0" w:color="auto"/>
              <w:left w:val="single" w:sz="4" w:space="0" w:color="auto"/>
              <w:bottom w:val="single" w:sz="4" w:space="0" w:color="auto"/>
              <w:right w:val="single" w:sz="4" w:space="0" w:color="auto"/>
            </w:tcBorders>
            <w:vAlign w:val="center"/>
          </w:tcPr>
          <w:p w14:paraId="1BAEFDA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345A1A6" w14:textId="77777777" w:rsidR="00E57DAA" w:rsidRDefault="00AC4185">
            <w:pPr>
              <w:autoSpaceDE w:val="0"/>
              <w:autoSpaceDN w:val="0"/>
              <w:adjustRightInd w:val="0"/>
              <w:rPr>
                <w:szCs w:val="21"/>
              </w:rPr>
            </w:pPr>
            <w:r>
              <w:t>蚌埠凯盛工程技术有限公司</w:t>
            </w:r>
          </w:p>
        </w:tc>
        <w:tc>
          <w:tcPr>
            <w:tcW w:w="1059" w:type="pct"/>
            <w:tcBorders>
              <w:top w:val="single" w:sz="4" w:space="0" w:color="auto"/>
              <w:left w:val="single" w:sz="4" w:space="0" w:color="auto"/>
              <w:bottom w:val="single" w:sz="4" w:space="0" w:color="auto"/>
              <w:right w:val="single" w:sz="4" w:space="0" w:color="auto"/>
            </w:tcBorders>
          </w:tcPr>
          <w:p w14:paraId="415716B3" w14:textId="77777777" w:rsidR="00E57DAA" w:rsidRDefault="00AC4185">
            <w:pPr>
              <w:autoSpaceDE w:val="0"/>
              <w:autoSpaceDN w:val="0"/>
              <w:adjustRightInd w:val="0"/>
              <w:jc w:val="right"/>
              <w:rPr>
                <w:szCs w:val="21"/>
              </w:rPr>
            </w:pPr>
            <w:r>
              <w:t>1,845,000.00</w:t>
            </w:r>
          </w:p>
        </w:tc>
        <w:tc>
          <w:tcPr>
            <w:tcW w:w="1407" w:type="pct"/>
            <w:tcBorders>
              <w:top w:val="single" w:sz="4" w:space="0" w:color="auto"/>
              <w:left w:val="single" w:sz="4" w:space="0" w:color="auto"/>
              <w:bottom w:val="single" w:sz="4" w:space="0" w:color="auto"/>
              <w:right w:val="single" w:sz="4" w:space="0" w:color="auto"/>
            </w:tcBorders>
          </w:tcPr>
          <w:p w14:paraId="450EB01D" w14:textId="77777777" w:rsidR="00E57DAA" w:rsidRDefault="00AC4185">
            <w:pPr>
              <w:autoSpaceDE w:val="0"/>
              <w:autoSpaceDN w:val="0"/>
              <w:adjustRightInd w:val="0"/>
              <w:jc w:val="right"/>
              <w:rPr>
                <w:szCs w:val="21"/>
              </w:rPr>
            </w:pPr>
            <w:r>
              <w:t>3,690,000.00</w:t>
            </w:r>
          </w:p>
        </w:tc>
      </w:tr>
      <w:tr w:rsidR="00E57DAA" w14:paraId="2A18A2BD" w14:textId="77777777">
        <w:tc>
          <w:tcPr>
            <w:tcW w:w="640" w:type="pct"/>
            <w:tcBorders>
              <w:top w:val="single" w:sz="4" w:space="0" w:color="auto"/>
              <w:left w:val="single" w:sz="4" w:space="0" w:color="auto"/>
              <w:bottom w:val="single" w:sz="4" w:space="0" w:color="auto"/>
              <w:right w:val="single" w:sz="4" w:space="0" w:color="auto"/>
            </w:tcBorders>
            <w:vAlign w:val="center"/>
          </w:tcPr>
          <w:p w14:paraId="5B618F8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8CBF021" w14:textId="77777777" w:rsidR="00E57DAA" w:rsidRDefault="00AC4185">
            <w:pPr>
              <w:autoSpaceDE w:val="0"/>
              <w:autoSpaceDN w:val="0"/>
              <w:adjustRightInd w:val="0"/>
              <w:rPr>
                <w:szCs w:val="21"/>
              </w:rPr>
            </w:pPr>
            <w:r>
              <w:t>武汉建筑材料工业设计研究院有限公司</w:t>
            </w:r>
          </w:p>
        </w:tc>
        <w:tc>
          <w:tcPr>
            <w:tcW w:w="1059" w:type="pct"/>
            <w:tcBorders>
              <w:top w:val="single" w:sz="4" w:space="0" w:color="auto"/>
              <w:left w:val="single" w:sz="4" w:space="0" w:color="auto"/>
              <w:bottom w:val="single" w:sz="4" w:space="0" w:color="auto"/>
              <w:right w:val="single" w:sz="4" w:space="0" w:color="auto"/>
            </w:tcBorders>
          </w:tcPr>
          <w:p w14:paraId="52C803C5" w14:textId="77777777" w:rsidR="00E57DAA" w:rsidRDefault="00AC4185">
            <w:pPr>
              <w:autoSpaceDE w:val="0"/>
              <w:autoSpaceDN w:val="0"/>
              <w:adjustRightInd w:val="0"/>
              <w:jc w:val="right"/>
              <w:rPr>
                <w:szCs w:val="21"/>
              </w:rPr>
            </w:pPr>
            <w:r>
              <w:t>1,550,000.00</w:t>
            </w:r>
          </w:p>
        </w:tc>
        <w:tc>
          <w:tcPr>
            <w:tcW w:w="1407" w:type="pct"/>
            <w:tcBorders>
              <w:top w:val="single" w:sz="4" w:space="0" w:color="auto"/>
              <w:left w:val="single" w:sz="4" w:space="0" w:color="auto"/>
              <w:bottom w:val="single" w:sz="4" w:space="0" w:color="auto"/>
              <w:right w:val="single" w:sz="4" w:space="0" w:color="auto"/>
            </w:tcBorders>
          </w:tcPr>
          <w:p w14:paraId="5E4577FA" w14:textId="77777777" w:rsidR="00E57DAA" w:rsidRDefault="00AC4185">
            <w:pPr>
              <w:autoSpaceDE w:val="0"/>
              <w:autoSpaceDN w:val="0"/>
              <w:adjustRightInd w:val="0"/>
              <w:jc w:val="right"/>
              <w:rPr>
                <w:szCs w:val="21"/>
              </w:rPr>
            </w:pPr>
            <w:r>
              <w:t>105,000.00</w:t>
            </w:r>
          </w:p>
        </w:tc>
      </w:tr>
      <w:tr w:rsidR="00E57DAA" w14:paraId="4D8BDBA5" w14:textId="77777777">
        <w:tc>
          <w:tcPr>
            <w:tcW w:w="640" w:type="pct"/>
            <w:tcBorders>
              <w:top w:val="single" w:sz="4" w:space="0" w:color="auto"/>
              <w:left w:val="single" w:sz="4" w:space="0" w:color="auto"/>
              <w:bottom w:val="single" w:sz="4" w:space="0" w:color="auto"/>
              <w:right w:val="single" w:sz="4" w:space="0" w:color="auto"/>
            </w:tcBorders>
            <w:vAlign w:val="center"/>
          </w:tcPr>
          <w:p w14:paraId="0E27FC3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F045FE4" w14:textId="77777777" w:rsidR="00E57DAA" w:rsidRDefault="00AC4185">
            <w:pPr>
              <w:autoSpaceDE w:val="0"/>
              <w:autoSpaceDN w:val="0"/>
              <w:adjustRightInd w:val="0"/>
              <w:rPr>
                <w:szCs w:val="21"/>
              </w:rPr>
            </w:pPr>
            <w:r>
              <w:t>上海凯盛节能工程技术有限公司</w:t>
            </w:r>
          </w:p>
        </w:tc>
        <w:tc>
          <w:tcPr>
            <w:tcW w:w="1059" w:type="pct"/>
            <w:tcBorders>
              <w:top w:val="single" w:sz="4" w:space="0" w:color="auto"/>
              <w:left w:val="single" w:sz="4" w:space="0" w:color="auto"/>
              <w:bottom w:val="single" w:sz="4" w:space="0" w:color="auto"/>
              <w:right w:val="single" w:sz="4" w:space="0" w:color="auto"/>
            </w:tcBorders>
          </w:tcPr>
          <w:p w14:paraId="55DF7C5A" w14:textId="77777777" w:rsidR="00E57DAA" w:rsidRDefault="00AC4185">
            <w:pPr>
              <w:autoSpaceDE w:val="0"/>
              <w:autoSpaceDN w:val="0"/>
              <w:adjustRightInd w:val="0"/>
              <w:jc w:val="right"/>
              <w:rPr>
                <w:szCs w:val="21"/>
              </w:rPr>
            </w:pPr>
            <w:r>
              <w:t>1,460,000.00</w:t>
            </w:r>
          </w:p>
        </w:tc>
        <w:tc>
          <w:tcPr>
            <w:tcW w:w="1407" w:type="pct"/>
            <w:tcBorders>
              <w:top w:val="single" w:sz="4" w:space="0" w:color="auto"/>
              <w:left w:val="single" w:sz="4" w:space="0" w:color="auto"/>
              <w:bottom w:val="single" w:sz="4" w:space="0" w:color="auto"/>
              <w:right w:val="single" w:sz="4" w:space="0" w:color="auto"/>
            </w:tcBorders>
          </w:tcPr>
          <w:p w14:paraId="79B27051" w14:textId="77777777" w:rsidR="00E57DAA" w:rsidRDefault="00AC4185">
            <w:pPr>
              <w:autoSpaceDE w:val="0"/>
              <w:autoSpaceDN w:val="0"/>
              <w:adjustRightInd w:val="0"/>
              <w:jc w:val="right"/>
              <w:rPr>
                <w:szCs w:val="21"/>
              </w:rPr>
            </w:pPr>
            <w:r>
              <w:t>2,920,000.00</w:t>
            </w:r>
          </w:p>
        </w:tc>
      </w:tr>
      <w:tr w:rsidR="00E57DAA" w14:paraId="5FA6C2C8" w14:textId="77777777">
        <w:tc>
          <w:tcPr>
            <w:tcW w:w="640" w:type="pct"/>
            <w:tcBorders>
              <w:top w:val="single" w:sz="4" w:space="0" w:color="auto"/>
              <w:left w:val="single" w:sz="4" w:space="0" w:color="auto"/>
              <w:bottom w:val="single" w:sz="4" w:space="0" w:color="auto"/>
              <w:right w:val="single" w:sz="4" w:space="0" w:color="auto"/>
            </w:tcBorders>
            <w:vAlign w:val="center"/>
          </w:tcPr>
          <w:p w14:paraId="09762B7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56E9554" w14:textId="77777777" w:rsidR="00E57DAA" w:rsidRDefault="00AC4185">
            <w:pPr>
              <w:autoSpaceDE w:val="0"/>
              <w:autoSpaceDN w:val="0"/>
              <w:adjustRightInd w:val="0"/>
              <w:rPr>
                <w:szCs w:val="21"/>
              </w:rPr>
            </w:pPr>
            <w:r>
              <w:t>中建材信云智联科技有限公司</w:t>
            </w:r>
          </w:p>
        </w:tc>
        <w:tc>
          <w:tcPr>
            <w:tcW w:w="1059" w:type="pct"/>
            <w:tcBorders>
              <w:top w:val="single" w:sz="4" w:space="0" w:color="auto"/>
              <w:left w:val="single" w:sz="4" w:space="0" w:color="auto"/>
              <w:bottom w:val="single" w:sz="4" w:space="0" w:color="auto"/>
              <w:right w:val="single" w:sz="4" w:space="0" w:color="auto"/>
            </w:tcBorders>
          </w:tcPr>
          <w:p w14:paraId="4E637F39" w14:textId="77777777" w:rsidR="00E57DAA" w:rsidRDefault="00AC4185">
            <w:pPr>
              <w:autoSpaceDE w:val="0"/>
              <w:autoSpaceDN w:val="0"/>
              <w:adjustRightInd w:val="0"/>
              <w:jc w:val="right"/>
              <w:rPr>
                <w:szCs w:val="21"/>
              </w:rPr>
            </w:pPr>
            <w:r>
              <w:t>1,219,400.00</w:t>
            </w:r>
          </w:p>
        </w:tc>
        <w:tc>
          <w:tcPr>
            <w:tcW w:w="1407" w:type="pct"/>
            <w:tcBorders>
              <w:top w:val="single" w:sz="4" w:space="0" w:color="auto"/>
              <w:left w:val="single" w:sz="4" w:space="0" w:color="auto"/>
              <w:bottom w:val="single" w:sz="4" w:space="0" w:color="auto"/>
              <w:right w:val="single" w:sz="4" w:space="0" w:color="auto"/>
            </w:tcBorders>
          </w:tcPr>
          <w:p w14:paraId="5A148107" w14:textId="77777777" w:rsidR="00E57DAA" w:rsidRDefault="00AC4185">
            <w:pPr>
              <w:autoSpaceDE w:val="0"/>
              <w:autoSpaceDN w:val="0"/>
              <w:adjustRightInd w:val="0"/>
              <w:jc w:val="right"/>
              <w:rPr>
                <w:szCs w:val="21"/>
              </w:rPr>
            </w:pPr>
            <w:r>
              <w:t>1,243,400.00</w:t>
            </w:r>
          </w:p>
        </w:tc>
      </w:tr>
      <w:tr w:rsidR="00E57DAA" w14:paraId="4DA4B77B" w14:textId="77777777">
        <w:tc>
          <w:tcPr>
            <w:tcW w:w="640" w:type="pct"/>
            <w:tcBorders>
              <w:top w:val="single" w:sz="4" w:space="0" w:color="auto"/>
              <w:left w:val="single" w:sz="4" w:space="0" w:color="auto"/>
              <w:bottom w:val="single" w:sz="4" w:space="0" w:color="auto"/>
              <w:right w:val="single" w:sz="4" w:space="0" w:color="auto"/>
            </w:tcBorders>
            <w:vAlign w:val="center"/>
          </w:tcPr>
          <w:p w14:paraId="1B8B595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BEDFFB2" w14:textId="77777777" w:rsidR="00E57DAA" w:rsidRDefault="00AC4185">
            <w:pPr>
              <w:autoSpaceDE w:val="0"/>
              <w:autoSpaceDN w:val="0"/>
              <w:adjustRightInd w:val="0"/>
              <w:rPr>
                <w:szCs w:val="21"/>
              </w:rPr>
            </w:pPr>
            <w:r>
              <w:t>瑞泰科技股份有限公司</w:t>
            </w:r>
          </w:p>
        </w:tc>
        <w:tc>
          <w:tcPr>
            <w:tcW w:w="1059" w:type="pct"/>
            <w:tcBorders>
              <w:top w:val="single" w:sz="4" w:space="0" w:color="auto"/>
              <w:left w:val="single" w:sz="4" w:space="0" w:color="auto"/>
              <w:bottom w:val="single" w:sz="4" w:space="0" w:color="auto"/>
              <w:right w:val="single" w:sz="4" w:space="0" w:color="auto"/>
            </w:tcBorders>
          </w:tcPr>
          <w:p w14:paraId="04771AE5" w14:textId="77777777" w:rsidR="00E57DAA" w:rsidRDefault="00AC4185">
            <w:pPr>
              <w:autoSpaceDE w:val="0"/>
              <w:autoSpaceDN w:val="0"/>
              <w:adjustRightInd w:val="0"/>
              <w:jc w:val="right"/>
              <w:rPr>
                <w:szCs w:val="21"/>
              </w:rPr>
            </w:pPr>
            <w:r>
              <w:t>1,185,785.20</w:t>
            </w:r>
          </w:p>
        </w:tc>
        <w:tc>
          <w:tcPr>
            <w:tcW w:w="1407" w:type="pct"/>
            <w:tcBorders>
              <w:top w:val="single" w:sz="4" w:space="0" w:color="auto"/>
              <w:left w:val="single" w:sz="4" w:space="0" w:color="auto"/>
              <w:bottom w:val="single" w:sz="4" w:space="0" w:color="auto"/>
              <w:right w:val="single" w:sz="4" w:space="0" w:color="auto"/>
            </w:tcBorders>
          </w:tcPr>
          <w:p w14:paraId="684F84C0" w14:textId="77777777" w:rsidR="00E57DAA" w:rsidRDefault="00AC4185">
            <w:pPr>
              <w:autoSpaceDE w:val="0"/>
              <w:autoSpaceDN w:val="0"/>
              <w:adjustRightInd w:val="0"/>
              <w:jc w:val="right"/>
              <w:rPr>
                <w:szCs w:val="21"/>
              </w:rPr>
            </w:pPr>
            <w:r>
              <w:t xml:space="preserve">　</w:t>
            </w:r>
          </w:p>
        </w:tc>
      </w:tr>
      <w:tr w:rsidR="00E57DAA" w14:paraId="3A14ABFC" w14:textId="77777777">
        <w:tc>
          <w:tcPr>
            <w:tcW w:w="640" w:type="pct"/>
            <w:tcBorders>
              <w:top w:val="single" w:sz="4" w:space="0" w:color="auto"/>
              <w:left w:val="single" w:sz="4" w:space="0" w:color="auto"/>
              <w:bottom w:val="single" w:sz="4" w:space="0" w:color="auto"/>
              <w:right w:val="single" w:sz="4" w:space="0" w:color="auto"/>
            </w:tcBorders>
            <w:vAlign w:val="center"/>
          </w:tcPr>
          <w:p w14:paraId="431FBB9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36C0B10" w14:textId="77777777" w:rsidR="00E57DAA" w:rsidRDefault="00AC4185">
            <w:pPr>
              <w:autoSpaceDE w:val="0"/>
              <w:autoSpaceDN w:val="0"/>
              <w:adjustRightInd w:val="0"/>
              <w:rPr>
                <w:szCs w:val="21"/>
              </w:rPr>
            </w:pPr>
            <w:r>
              <w:t>中建材岩土工程江苏有限公司</w:t>
            </w:r>
          </w:p>
        </w:tc>
        <w:tc>
          <w:tcPr>
            <w:tcW w:w="1059" w:type="pct"/>
            <w:tcBorders>
              <w:top w:val="single" w:sz="4" w:space="0" w:color="auto"/>
              <w:left w:val="single" w:sz="4" w:space="0" w:color="auto"/>
              <w:bottom w:val="single" w:sz="4" w:space="0" w:color="auto"/>
              <w:right w:val="single" w:sz="4" w:space="0" w:color="auto"/>
            </w:tcBorders>
          </w:tcPr>
          <w:p w14:paraId="52F126AC" w14:textId="77777777" w:rsidR="00E57DAA" w:rsidRDefault="00AC4185">
            <w:pPr>
              <w:autoSpaceDE w:val="0"/>
              <w:autoSpaceDN w:val="0"/>
              <w:adjustRightInd w:val="0"/>
              <w:jc w:val="right"/>
              <w:rPr>
                <w:szCs w:val="21"/>
              </w:rPr>
            </w:pPr>
            <w:r>
              <w:t>986,316.83</w:t>
            </w:r>
          </w:p>
        </w:tc>
        <w:tc>
          <w:tcPr>
            <w:tcW w:w="1407" w:type="pct"/>
            <w:tcBorders>
              <w:top w:val="single" w:sz="4" w:space="0" w:color="auto"/>
              <w:left w:val="single" w:sz="4" w:space="0" w:color="auto"/>
              <w:bottom w:val="single" w:sz="4" w:space="0" w:color="auto"/>
              <w:right w:val="single" w:sz="4" w:space="0" w:color="auto"/>
            </w:tcBorders>
          </w:tcPr>
          <w:p w14:paraId="086587BA" w14:textId="77777777" w:rsidR="00E57DAA" w:rsidRDefault="00AC4185">
            <w:pPr>
              <w:autoSpaceDE w:val="0"/>
              <w:autoSpaceDN w:val="0"/>
              <w:adjustRightInd w:val="0"/>
              <w:jc w:val="right"/>
              <w:rPr>
                <w:szCs w:val="21"/>
              </w:rPr>
            </w:pPr>
            <w:r>
              <w:t>376,300.43</w:t>
            </w:r>
          </w:p>
        </w:tc>
      </w:tr>
      <w:tr w:rsidR="00E57DAA" w14:paraId="58FD7274" w14:textId="77777777">
        <w:tc>
          <w:tcPr>
            <w:tcW w:w="640" w:type="pct"/>
            <w:tcBorders>
              <w:top w:val="single" w:sz="4" w:space="0" w:color="auto"/>
              <w:left w:val="single" w:sz="4" w:space="0" w:color="auto"/>
              <w:bottom w:val="single" w:sz="4" w:space="0" w:color="auto"/>
              <w:right w:val="single" w:sz="4" w:space="0" w:color="auto"/>
            </w:tcBorders>
            <w:vAlign w:val="center"/>
          </w:tcPr>
          <w:p w14:paraId="4616ABF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ED06FF5" w14:textId="77777777" w:rsidR="00E57DAA" w:rsidRDefault="00AC4185">
            <w:pPr>
              <w:autoSpaceDE w:val="0"/>
              <w:autoSpaceDN w:val="0"/>
              <w:adjustRightInd w:val="0"/>
              <w:rPr>
                <w:szCs w:val="21"/>
              </w:rPr>
            </w:pPr>
            <w:r>
              <w:t>安徽中建材开源新材料科技有限公司</w:t>
            </w:r>
          </w:p>
        </w:tc>
        <w:tc>
          <w:tcPr>
            <w:tcW w:w="1059" w:type="pct"/>
            <w:tcBorders>
              <w:top w:val="single" w:sz="4" w:space="0" w:color="auto"/>
              <w:left w:val="single" w:sz="4" w:space="0" w:color="auto"/>
              <w:bottom w:val="single" w:sz="4" w:space="0" w:color="auto"/>
              <w:right w:val="single" w:sz="4" w:space="0" w:color="auto"/>
            </w:tcBorders>
          </w:tcPr>
          <w:p w14:paraId="4D63F78C" w14:textId="77777777" w:rsidR="00E57DAA" w:rsidRDefault="00AC4185">
            <w:pPr>
              <w:autoSpaceDE w:val="0"/>
              <w:autoSpaceDN w:val="0"/>
              <w:adjustRightInd w:val="0"/>
              <w:jc w:val="right"/>
              <w:rPr>
                <w:szCs w:val="21"/>
              </w:rPr>
            </w:pPr>
            <w:r>
              <w:t>966,825.22</w:t>
            </w:r>
          </w:p>
        </w:tc>
        <w:tc>
          <w:tcPr>
            <w:tcW w:w="1407" w:type="pct"/>
            <w:tcBorders>
              <w:top w:val="single" w:sz="4" w:space="0" w:color="auto"/>
              <w:left w:val="single" w:sz="4" w:space="0" w:color="auto"/>
              <w:bottom w:val="single" w:sz="4" w:space="0" w:color="auto"/>
              <w:right w:val="single" w:sz="4" w:space="0" w:color="auto"/>
            </w:tcBorders>
          </w:tcPr>
          <w:p w14:paraId="0F1CA548" w14:textId="77777777" w:rsidR="00E57DAA" w:rsidRDefault="00AC4185">
            <w:pPr>
              <w:autoSpaceDE w:val="0"/>
              <w:autoSpaceDN w:val="0"/>
              <w:adjustRightInd w:val="0"/>
              <w:jc w:val="right"/>
              <w:rPr>
                <w:szCs w:val="21"/>
              </w:rPr>
            </w:pPr>
            <w:r>
              <w:t xml:space="preserve">　</w:t>
            </w:r>
          </w:p>
        </w:tc>
      </w:tr>
      <w:tr w:rsidR="00E57DAA" w14:paraId="1DB88D15" w14:textId="77777777">
        <w:tc>
          <w:tcPr>
            <w:tcW w:w="640" w:type="pct"/>
            <w:tcBorders>
              <w:top w:val="single" w:sz="4" w:space="0" w:color="auto"/>
              <w:left w:val="single" w:sz="4" w:space="0" w:color="auto"/>
              <w:bottom w:val="single" w:sz="4" w:space="0" w:color="auto"/>
              <w:right w:val="single" w:sz="4" w:space="0" w:color="auto"/>
            </w:tcBorders>
            <w:vAlign w:val="center"/>
          </w:tcPr>
          <w:p w14:paraId="0E1CA7EE"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C631C7D" w14:textId="77777777" w:rsidR="00E57DAA" w:rsidRDefault="00AC4185">
            <w:pPr>
              <w:autoSpaceDE w:val="0"/>
              <w:autoSpaceDN w:val="0"/>
              <w:adjustRightInd w:val="0"/>
              <w:rPr>
                <w:szCs w:val="21"/>
              </w:rPr>
            </w:pPr>
            <w:r>
              <w:t>Nantong Wanda   Energy &amp; Power Technology Co Ltd</w:t>
            </w:r>
          </w:p>
        </w:tc>
        <w:tc>
          <w:tcPr>
            <w:tcW w:w="1059" w:type="pct"/>
            <w:tcBorders>
              <w:top w:val="single" w:sz="4" w:space="0" w:color="auto"/>
              <w:left w:val="single" w:sz="4" w:space="0" w:color="auto"/>
              <w:bottom w:val="single" w:sz="4" w:space="0" w:color="auto"/>
              <w:right w:val="single" w:sz="4" w:space="0" w:color="auto"/>
            </w:tcBorders>
          </w:tcPr>
          <w:p w14:paraId="0148EF1C" w14:textId="77777777" w:rsidR="00E57DAA" w:rsidRDefault="00AC4185">
            <w:pPr>
              <w:autoSpaceDE w:val="0"/>
              <w:autoSpaceDN w:val="0"/>
              <w:adjustRightInd w:val="0"/>
              <w:jc w:val="right"/>
              <w:rPr>
                <w:szCs w:val="21"/>
              </w:rPr>
            </w:pPr>
            <w:r>
              <w:t>787,305.85</w:t>
            </w:r>
          </w:p>
        </w:tc>
        <w:tc>
          <w:tcPr>
            <w:tcW w:w="1407" w:type="pct"/>
            <w:tcBorders>
              <w:top w:val="single" w:sz="4" w:space="0" w:color="auto"/>
              <w:left w:val="single" w:sz="4" w:space="0" w:color="auto"/>
              <w:bottom w:val="single" w:sz="4" w:space="0" w:color="auto"/>
              <w:right w:val="single" w:sz="4" w:space="0" w:color="auto"/>
            </w:tcBorders>
          </w:tcPr>
          <w:p w14:paraId="6609B6D9" w14:textId="77777777" w:rsidR="00E57DAA" w:rsidRDefault="00AC4185">
            <w:pPr>
              <w:autoSpaceDE w:val="0"/>
              <w:autoSpaceDN w:val="0"/>
              <w:adjustRightInd w:val="0"/>
              <w:jc w:val="right"/>
              <w:rPr>
                <w:szCs w:val="21"/>
              </w:rPr>
            </w:pPr>
            <w:r>
              <w:t xml:space="preserve">　</w:t>
            </w:r>
          </w:p>
        </w:tc>
      </w:tr>
      <w:tr w:rsidR="00E57DAA" w14:paraId="2B39A435" w14:textId="77777777">
        <w:tc>
          <w:tcPr>
            <w:tcW w:w="640" w:type="pct"/>
            <w:tcBorders>
              <w:top w:val="single" w:sz="4" w:space="0" w:color="auto"/>
              <w:left w:val="single" w:sz="4" w:space="0" w:color="auto"/>
              <w:bottom w:val="single" w:sz="4" w:space="0" w:color="auto"/>
              <w:right w:val="single" w:sz="4" w:space="0" w:color="auto"/>
            </w:tcBorders>
            <w:vAlign w:val="center"/>
          </w:tcPr>
          <w:p w14:paraId="4C09334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801CE31" w14:textId="77777777" w:rsidR="00E57DAA" w:rsidRDefault="00AC4185">
            <w:pPr>
              <w:autoSpaceDE w:val="0"/>
              <w:autoSpaceDN w:val="0"/>
              <w:adjustRightInd w:val="0"/>
              <w:rPr>
                <w:szCs w:val="21"/>
              </w:rPr>
            </w:pPr>
            <w:r>
              <w:t>山东工业陶瓷研究设计院有限公司</w:t>
            </w:r>
          </w:p>
        </w:tc>
        <w:tc>
          <w:tcPr>
            <w:tcW w:w="1059" w:type="pct"/>
            <w:tcBorders>
              <w:top w:val="single" w:sz="4" w:space="0" w:color="auto"/>
              <w:left w:val="single" w:sz="4" w:space="0" w:color="auto"/>
              <w:bottom w:val="single" w:sz="4" w:space="0" w:color="auto"/>
              <w:right w:val="single" w:sz="4" w:space="0" w:color="auto"/>
            </w:tcBorders>
          </w:tcPr>
          <w:p w14:paraId="184FF0A4" w14:textId="77777777" w:rsidR="00E57DAA" w:rsidRDefault="00AC4185">
            <w:pPr>
              <w:autoSpaceDE w:val="0"/>
              <w:autoSpaceDN w:val="0"/>
              <w:adjustRightInd w:val="0"/>
              <w:jc w:val="right"/>
              <w:rPr>
                <w:szCs w:val="21"/>
              </w:rPr>
            </w:pPr>
            <w:r>
              <w:t>581,984.00</w:t>
            </w:r>
          </w:p>
        </w:tc>
        <w:tc>
          <w:tcPr>
            <w:tcW w:w="1407" w:type="pct"/>
            <w:tcBorders>
              <w:top w:val="single" w:sz="4" w:space="0" w:color="auto"/>
              <w:left w:val="single" w:sz="4" w:space="0" w:color="auto"/>
              <w:bottom w:val="single" w:sz="4" w:space="0" w:color="auto"/>
              <w:right w:val="single" w:sz="4" w:space="0" w:color="auto"/>
            </w:tcBorders>
          </w:tcPr>
          <w:p w14:paraId="4DCF77F4" w14:textId="77777777" w:rsidR="00E57DAA" w:rsidRDefault="00AC4185">
            <w:pPr>
              <w:autoSpaceDE w:val="0"/>
              <w:autoSpaceDN w:val="0"/>
              <w:adjustRightInd w:val="0"/>
              <w:jc w:val="right"/>
              <w:rPr>
                <w:szCs w:val="21"/>
              </w:rPr>
            </w:pPr>
            <w:r>
              <w:t xml:space="preserve">　</w:t>
            </w:r>
          </w:p>
        </w:tc>
      </w:tr>
      <w:tr w:rsidR="00E57DAA" w14:paraId="1D100A78" w14:textId="77777777">
        <w:tc>
          <w:tcPr>
            <w:tcW w:w="640" w:type="pct"/>
            <w:tcBorders>
              <w:top w:val="single" w:sz="4" w:space="0" w:color="auto"/>
              <w:left w:val="single" w:sz="4" w:space="0" w:color="auto"/>
              <w:bottom w:val="single" w:sz="4" w:space="0" w:color="auto"/>
              <w:right w:val="single" w:sz="4" w:space="0" w:color="auto"/>
            </w:tcBorders>
            <w:vAlign w:val="center"/>
          </w:tcPr>
          <w:p w14:paraId="5D5D538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05B414E" w14:textId="77777777" w:rsidR="00E57DAA" w:rsidRDefault="00AC4185">
            <w:pPr>
              <w:autoSpaceDE w:val="0"/>
              <w:autoSpaceDN w:val="0"/>
              <w:adjustRightInd w:val="0"/>
              <w:rPr>
                <w:szCs w:val="21"/>
              </w:rPr>
            </w:pPr>
            <w:r>
              <w:t>安徽瑞泰新材料科技有限公司</w:t>
            </w:r>
          </w:p>
        </w:tc>
        <w:tc>
          <w:tcPr>
            <w:tcW w:w="1059" w:type="pct"/>
            <w:tcBorders>
              <w:top w:val="single" w:sz="4" w:space="0" w:color="auto"/>
              <w:left w:val="single" w:sz="4" w:space="0" w:color="auto"/>
              <w:bottom w:val="single" w:sz="4" w:space="0" w:color="auto"/>
              <w:right w:val="single" w:sz="4" w:space="0" w:color="auto"/>
            </w:tcBorders>
          </w:tcPr>
          <w:p w14:paraId="27E53B8F" w14:textId="77777777" w:rsidR="00E57DAA" w:rsidRDefault="00AC4185">
            <w:pPr>
              <w:autoSpaceDE w:val="0"/>
              <w:autoSpaceDN w:val="0"/>
              <w:adjustRightInd w:val="0"/>
              <w:jc w:val="right"/>
              <w:rPr>
                <w:szCs w:val="21"/>
              </w:rPr>
            </w:pPr>
            <w:r>
              <w:t>514,332.00</w:t>
            </w:r>
          </w:p>
        </w:tc>
        <w:tc>
          <w:tcPr>
            <w:tcW w:w="1407" w:type="pct"/>
            <w:tcBorders>
              <w:top w:val="single" w:sz="4" w:space="0" w:color="auto"/>
              <w:left w:val="single" w:sz="4" w:space="0" w:color="auto"/>
              <w:bottom w:val="single" w:sz="4" w:space="0" w:color="auto"/>
              <w:right w:val="single" w:sz="4" w:space="0" w:color="auto"/>
            </w:tcBorders>
          </w:tcPr>
          <w:p w14:paraId="202A97D8" w14:textId="77777777" w:rsidR="00E57DAA" w:rsidRDefault="00AC4185">
            <w:pPr>
              <w:autoSpaceDE w:val="0"/>
              <w:autoSpaceDN w:val="0"/>
              <w:adjustRightInd w:val="0"/>
              <w:jc w:val="right"/>
              <w:rPr>
                <w:szCs w:val="21"/>
              </w:rPr>
            </w:pPr>
            <w:r>
              <w:t>615,000.00</w:t>
            </w:r>
          </w:p>
        </w:tc>
      </w:tr>
      <w:tr w:rsidR="00E57DAA" w14:paraId="62FB022E" w14:textId="77777777">
        <w:tc>
          <w:tcPr>
            <w:tcW w:w="640" w:type="pct"/>
            <w:tcBorders>
              <w:top w:val="single" w:sz="4" w:space="0" w:color="auto"/>
              <w:left w:val="single" w:sz="4" w:space="0" w:color="auto"/>
              <w:bottom w:val="single" w:sz="4" w:space="0" w:color="auto"/>
              <w:right w:val="single" w:sz="4" w:space="0" w:color="auto"/>
            </w:tcBorders>
            <w:vAlign w:val="center"/>
          </w:tcPr>
          <w:p w14:paraId="0B6E5EA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43139CE" w14:textId="77777777" w:rsidR="00E57DAA" w:rsidRDefault="00AC4185">
            <w:pPr>
              <w:autoSpaceDE w:val="0"/>
              <w:autoSpaceDN w:val="0"/>
              <w:adjustRightInd w:val="0"/>
              <w:rPr>
                <w:szCs w:val="21"/>
              </w:rPr>
            </w:pPr>
            <w:r>
              <w:t>中材高新材料股份有限公司</w:t>
            </w:r>
          </w:p>
        </w:tc>
        <w:tc>
          <w:tcPr>
            <w:tcW w:w="1059" w:type="pct"/>
            <w:tcBorders>
              <w:top w:val="single" w:sz="4" w:space="0" w:color="auto"/>
              <w:left w:val="single" w:sz="4" w:space="0" w:color="auto"/>
              <w:bottom w:val="single" w:sz="4" w:space="0" w:color="auto"/>
              <w:right w:val="single" w:sz="4" w:space="0" w:color="auto"/>
            </w:tcBorders>
          </w:tcPr>
          <w:p w14:paraId="0F835C38" w14:textId="77777777" w:rsidR="00E57DAA" w:rsidRDefault="00AC4185">
            <w:pPr>
              <w:autoSpaceDE w:val="0"/>
              <w:autoSpaceDN w:val="0"/>
              <w:adjustRightInd w:val="0"/>
              <w:jc w:val="right"/>
              <w:rPr>
                <w:szCs w:val="21"/>
              </w:rPr>
            </w:pPr>
            <w:r>
              <w:t>483,148.60</w:t>
            </w:r>
          </w:p>
        </w:tc>
        <w:tc>
          <w:tcPr>
            <w:tcW w:w="1407" w:type="pct"/>
            <w:tcBorders>
              <w:top w:val="single" w:sz="4" w:space="0" w:color="auto"/>
              <w:left w:val="single" w:sz="4" w:space="0" w:color="auto"/>
              <w:bottom w:val="single" w:sz="4" w:space="0" w:color="auto"/>
              <w:right w:val="single" w:sz="4" w:space="0" w:color="auto"/>
            </w:tcBorders>
          </w:tcPr>
          <w:p w14:paraId="3D7595A7" w14:textId="77777777" w:rsidR="00E57DAA" w:rsidRDefault="00AC4185">
            <w:pPr>
              <w:autoSpaceDE w:val="0"/>
              <w:autoSpaceDN w:val="0"/>
              <w:adjustRightInd w:val="0"/>
              <w:jc w:val="right"/>
              <w:rPr>
                <w:szCs w:val="21"/>
              </w:rPr>
            </w:pPr>
            <w:r>
              <w:t>3,861.00</w:t>
            </w:r>
          </w:p>
        </w:tc>
      </w:tr>
      <w:tr w:rsidR="00E57DAA" w14:paraId="68CC2C83" w14:textId="77777777">
        <w:tc>
          <w:tcPr>
            <w:tcW w:w="640" w:type="pct"/>
            <w:tcBorders>
              <w:top w:val="single" w:sz="4" w:space="0" w:color="auto"/>
              <w:left w:val="single" w:sz="4" w:space="0" w:color="auto"/>
              <w:bottom w:val="single" w:sz="4" w:space="0" w:color="auto"/>
              <w:right w:val="single" w:sz="4" w:space="0" w:color="auto"/>
            </w:tcBorders>
            <w:vAlign w:val="center"/>
          </w:tcPr>
          <w:p w14:paraId="528F88B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77D6EF5" w14:textId="77777777" w:rsidR="00E57DAA" w:rsidRDefault="00AC4185">
            <w:pPr>
              <w:autoSpaceDE w:val="0"/>
              <w:autoSpaceDN w:val="0"/>
              <w:adjustRightInd w:val="0"/>
              <w:rPr>
                <w:szCs w:val="21"/>
              </w:rPr>
            </w:pPr>
            <w:r>
              <w:t>中新集团工程咨询有限责任公司</w:t>
            </w:r>
          </w:p>
        </w:tc>
        <w:tc>
          <w:tcPr>
            <w:tcW w:w="1059" w:type="pct"/>
            <w:tcBorders>
              <w:top w:val="single" w:sz="4" w:space="0" w:color="auto"/>
              <w:left w:val="single" w:sz="4" w:space="0" w:color="auto"/>
              <w:bottom w:val="single" w:sz="4" w:space="0" w:color="auto"/>
              <w:right w:val="single" w:sz="4" w:space="0" w:color="auto"/>
            </w:tcBorders>
          </w:tcPr>
          <w:p w14:paraId="5216A4F7" w14:textId="77777777" w:rsidR="00E57DAA" w:rsidRDefault="00AC4185">
            <w:pPr>
              <w:autoSpaceDE w:val="0"/>
              <w:autoSpaceDN w:val="0"/>
              <w:adjustRightInd w:val="0"/>
              <w:jc w:val="right"/>
              <w:rPr>
                <w:szCs w:val="21"/>
              </w:rPr>
            </w:pPr>
            <w:r>
              <w:t>401,000.00</w:t>
            </w:r>
          </w:p>
        </w:tc>
        <w:tc>
          <w:tcPr>
            <w:tcW w:w="1407" w:type="pct"/>
            <w:tcBorders>
              <w:top w:val="single" w:sz="4" w:space="0" w:color="auto"/>
              <w:left w:val="single" w:sz="4" w:space="0" w:color="auto"/>
              <w:bottom w:val="single" w:sz="4" w:space="0" w:color="auto"/>
              <w:right w:val="single" w:sz="4" w:space="0" w:color="auto"/>
            </w:tcBorders>
          </w:tcPr>
          <w:p w14:paraId="49C36A27" w14:textId="77777777" w:rsidR="00E57DAA" w:rsidRDefault="00AC4185">
            <w:pPr>
              <w:autoSpaceDE w:val="0"/>
              <w:autoSpaceDN w:val="0"/>
              <w:adjustRightInd w:val="0"/>
              <w:jc w:val="right"/>
              <w:rPr>
                <w:szCs w:val="21"/>
              </w:rPr>
            </w:pPr>
            <w:r>
              <w:t>802,000.00</w:t>
            </w:r>
          </w:p>
        </w:tc>
      </w:tr>
      <w:tr w:rsidR="00E57DAA" w14:paraId="5A49DA1A" w14:textId="77777777">
        <w:tc>
          <w:tcPr>
            <w:tcW w:w="640" w:type="pct"/>
            <w:tcBorders>
              <w:top w:val="single" w:sz="4" w:space="0" w:color="auto"/>
              <w:left w:val="single" w:sz="4" w:space="0" w:color="auto"/>
              <w:bottom w:val="single" w:sz="4" w:space="0" w:color="auto"/>
              <w:right w:val="single" w:sz="4" w:space="0" w:color="auto"/>
            </w:tcBorders>
            <w:vAlign w:val="center"/>
          </w:tcPr>
          <w:p w14:paraId="7BD48F5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48B7F61" w14:textId="77777777" w:rsidR="00E57DAA" w:rsidRDefault="00AC4185">
            <w:pPr>
              <w:autoSpaceDE w:val="0"/>
              <w:autoSpaceDN w:val="0"/>
              <w:adjustRightInd w:val="0"/>
              <w:rPr>
                <w:szCs w:val="21"/>
              </w:rPr>
            </w:pPr>
            <w:r>
              <w:t>安徽天柱绿色能源科技有限公司</w:t>
            </w:r>
          </w:p>
        </w:tc>
        <w:tc>
          <w:tcPr>
            <w:tcW w:w="1059" w:type="pct"/>
            <w:tcBorders>
              <w:top w:val="single" w:sz="4" w:space="0" w:color="auto"/>
              <w:left w:val="single" w:sz="4" w:space="0" w:color="auto"/>
              <w:bottom w:val="single" w:sz="4" w:space="0" w:color="auto"/>
              <w:right w:val="single" w:sz="4" w:space="0" w:color="auto"/>
            </w:tcBorders>
          </w:tcPr>
          <w:p w14:paraId="16A27B71" w14:textId="77777777" w:rsidR="00E57DAA" w:rsidRDefault="00AC4185">
            <w:pPr>
              <w:autoSpaceDE w:val="0"/>
              <w:autoSpaceDN w:val="0"/>
              <w:adjustRightInd w:val="0"/>
              <w:jc w:val="right"/>
              <w:rPr>
                <w:szCs w:val="21"/>
              </w:rPr>
            </w:pPr>
            <w:r>
              <w:t>354,459.46</w:t>
            </w:r>
          </w:p>
        </w:tc>
        <w:tc>
          <w:tcPr>
            <w:tcW w:w="1407" w:type="pct"/>
            <w:tcBorders>
              <w:top w:val="single" w:sz="4" w:space="0" w:color="auto"/>
              <w:left w:val="single" w:sz="4" w:space="0" w:color="auto"/>
              <w:bottom w:val="single" w:sz="4" w:space="0" w:color="auto"/>
              <w:right w:val="single" w:sz="4" w:space="0" w:color="auto"/>
            </w:tcBorders>
          </w:tcPr>
          <w:p w14:paraId="7266514D" w14:textId="77777777" w:rsidR="00E57DAA" w:rsidRDefault="00AC4185">
            <w:pPr>
              <w:autoSpaceDE w:val="0"/>
              <w:autoSpaceDN w:val="0"/>
              <w:adjustRightInd w:val="0"/>
              <w:jc w:val="right"/>
              <w:rPr>
                <w:szCs w:val="21"/>
              </w:rPr>
            </w:pPr>
            <w:r>
              <w:t>708,918.92</w:t>
            </w:r>
          </w:p>
        </w:tc>
      </w:tr>
      <w:tr w:rsidR="00E57DAA" w14:paraId="7E972534" w14:textId="77777777">
        <w:tc>
          <w:tcPr>
            <w:tcW w:w="640" w:type="pct"/>
            <w:tcBorders>
              <w:top w:val="single" w:sz="4" w:space="0" w:color="auto"/>
              <w:left w:val="single" w:sz="4" w:space="0" w:color="auto"/>
              <w:bottom w:val="single" w:sz="4" w:space="0" w:color="auto"/>
              <w:right w:val="single" w:sz="4" w:space="0" w:color="auto"/>
            </w:tcBorders>
            <w:vAlign w:val="center"/>
          </w:tcPr>
          <w:p w14:paraId="5E40FD4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E413A7F" w14:textId="77777777" w:rsidR="00E57DAA" w:rsidRDefault="00AC4185">
            <w:pPr>
              <w:autoSpaceDE w:val="0"/>
              <w:autoSpaceDN w:val="0"/>
              <w:adjustRightInd w:val="0"/>
              <w:rPr>
                <w:szCs w:val="21"/>
              </w:rPr>
            </w:pPr>
            <w:r>
              <w:t>安徽中建材开源新材料科技有限公司</w:t>
            </w:r>
          </w:p>
        </w:tc>
        <w:tc>
          <w:tcPr>
            <w:tcW w:w="1059" w:type="pct"/>
            <w:tcBorders>
              <w:top w:val="single" w:sz="4" w:space="0" w:color="auto"/>
              <w:left w:val="single" w:sz="4" w:space="0" w:color="auto"/>
              <w:bottom w:val="single" w:sz="4" w:space="0" w:color="auto"/>
              <w:right w:val="single" w:sz="4" w:space="0" w:color="auto"/>
            </w:tcBorders>
          </w:tcPr>
          <w:p w14:paraId="276E12B3" w14:textId="77777777" w:rsidR="00E57DAA" w:rsidRDefault="00AC4185">
            <w:pPr>
              <w:autoSpaceDE w:val="0"/>
              <w:autoSpaceDN w:val="0"/>
              <w:adjustRightInd w:val="0"/>
              <w:jc w:val="right"/>
              <w:rPr>
                <w:szCs w:val="21"/>
              </w:rPr>
            </w:pPr>
            <w:r>
              <w:t>353,000.00</w:t>
            </w:r>
          </w:p>
        </w:tc>
        <w:tc>
          <w:tcPr>
            <w:tcW w:w="1407" w:type="pct"/>
            <w:tcBorders>
              <w:top w:val="single" w:sz="4" w:space="0" w:color="auto"/>
              <w:left w:val="single" w:sz="4" w:space="0" w:color="auto"/>
              <w:bottom w:val="single" w:sz="4" w:space="0" w:color="auto"/>
              <w:right w:val="single" w:sz="4" w:space="0" w:color="auto"/>
            </w:tcBorders>
          </w:tcPr>
          <w:p w14:paraId="44D01A8B" w14:textId="77777777" w:rsidR="00E57DAA" w:rsidRDefault="00AC4185">
            <w:pPr>
              <w:autoSpaceDE w:val="0"/>
              <w:autoSpaceDN w:val="0"/>
              <w:adjustRightInd w:val="0"/>
              <w:jc w:val="right"/>
              <w:rPr>
                <w:szCs w:val="21"/>
              </w:rPr>
            </w:pPr>
            <w:r>
              <w:t>1,514,500.00</w:t>
            </w:r>
          </w:p>
        </w:tc>
      </w:tr>
      <w:tr w:rsidR="00E57DAA" w14:paraId="40BB59BE" w14:textId="77777777">
        <w:tc>
          <w:tcPr>
            <w:tcW w:w="640" w:type="pct"/>
            <w:tcBorders>
              <w:top w:val="single" w:sz="4" w:space="0" w:color="auto"/>
              <w:left w:val="single" w:sz="4" w:space="0" w:color="auto"/>
              <w:bottom w:val="single" w:sz="4" w:space="0" w:color="auto"/>
              <w:right w:val="single" w:sz="4" w:space="0" w:color="auto"/>
            </w:tcBorders>
            <w:vAlign w:val="center"/>
          </w:tcPr>
          <w:p w14:paraId="077B2C8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B67515E" w14:textId="77777777" w:rsidR="00E57DAA" w:rsidRDefault="00AC4185">
            <w:pPr>
              <w:autoSpaceDE w:val="0"/>
              <w:autoSpaceDN w:val="0"/>
              <w:adjustRightInd w:val="0"/>
              <w:rPr>
                <w:szCs w:val="21"/>
              </w:rPr>
            </w:pPr>
            <w:r>
              <w:t>山东中岩建材科技有限公司</w:t>
            </w:r>
          </w:p>
        </w:tc>
        <w:tc>
          <w:tcPr>
            <w:tcW w:w="1059" w:type="pct"/>
            <w:tcBorders>
              <w:top w:val="single" w:sz="4" w:space="0" w:color="auto"/>
              <w:left w:val="single" w:sz="4" w:space="0" w:color="auto"/>
              <w:bottom w:val="single" w:sz="4" w:space="0" w:color="auto"/>
              <w:right w:val="single" w:sz="4" w:space="0" w:color="auto"/>
            </w:tcBorders>
          </w:tcPr>
          <w:p w14:paraId="65A94A54" w14:textId="77777777" w:rsidR="00E57DAA" w:rsidRDefault="00AC4185">
            <w:pPr>
              <w:autoSpaceDE w:val="0"/>
              <w:autoSpaceDN w:val="0"/>
              <w:adjustRightInd w:val="0"/>
              <w:jc w:val="right"/>
              <w:rPr>
                <w:szCs w:val="21"/>
              </w:rPr>
            </w:pPr>
            <w:r>
              <w:t>280,000.00</w:t>
            </w:r>
          </w:p>
        </w:tc>
        <w:tc>
          <w:tcPr>
            <w:tcW w:w="1407" w:type="pct"/>
            <w:tcBorders>
              <w:top w:val="single" w:sz="4" w:space="0" w:color="auto"/>
              <w:left w:val="single" w:sz="4" w:space="0" w:color="auto"/>
              <w:bottom w:val="single" w:sz="4" w:space="0" w:color="auto"/>
              <w:right w:val="single" w:sz="4" w:space="0" w:color="auto"/>
            </w:tcBorders>
          </w:tcPr>
          <w:p w14:paraId="2A9567C9" w14:textId="77777777" w:rsidR="00E57DAA" w:rsidRDefault="00AC4185">
            <w:pPr>
              <w:autoSpaceDE w:val="0"/>
              <w:autoSpaceDN w:val="0"/>
              <w:adjustRightInd w:val="0"/>
              <w:jc w:val="right"/>
              <w:rPr>
                <w:szCs w:val="21"/>
              </w:rPr>
            </w:pPr>
            <w:r>
              <w:t>560,000.00</w:t>
            </w:r>
          </w:p>
        </w:tc>
      </w:tr>
      <w:tr w:rsidR="00E57DAA" w14:paraId="52548316" w14:textId="77777777">
        <w:tc>
          <w:tcPr>
            <w:tcW w:w="640" w:type="pct"/>
            <w:tcBorders>
              <w:top w:val="single" w:sz="4" w:space="0" w:color="auto"/>
              <w:left w:val="single" w:sz="4" w:space="0" w:color="auto"/>
              <w:bottom w:val="single" w:sz="4" w:space="0" w:color="auto"/>
              <w:right w:val="single" w:sz="4" w:space="0" w:color="auto"/>
            </w:tcBorders>
            <w:vAlign w:val="center"/>
          </w:tcPr>
          <w:p w14:paraId="6E6EB20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7B1895F" w14:textId="77777777" w:rsidR="00E57DAA" w:rsidRDefault="00AC4185">
            <w:pPr>
              <w:autoSpaceDE w:val="0"/>
              <w:autoSpaceDN w:val="0"/>
              <w:adjustRightInd w:val="0"/>
              <w:rPr>
                <w:szCs w:val="21"/>
              </w:rPr>
            </w:pPr>
            <w:r>
              <w:t>中国建筑材料工业地质勘查中心福建总队</w:t>
            </w:r>
          </w:p>
        </w:tc>
        <w:tc>
          <w:tcPr>
            <w:tcW w:w="1059" w:type="pct"/>
            <w:tcBorders>
              <w:top w:val="single" w:sz="4" w:space="0" w:color="auto"/>
              <w:left w:val="single" w:sz="4" w:space="0" w:color="auto"/>
              <w:bottom w:val="single" w:sz="4" w:space="0" w:color="auto"/>
              <w:right w:val="single" w:sz="4" w:space="0" w:color="auto"/>
            </w:tcBorders>
          </w:tcPr>
          <w:p w14:paraId="60EFC3AC" w14:textId="77777777" w:rsidR="00E57DAA" w:rsidRDefault="00AC4185">
            <w:pPr>
              <w:autoSpaceDE w:val="0"/>
              <w:autoSpaceDN w:val="0"/>
              <w:adjustRightInd w:val="0"/>
              <w:jc w:val="right"/>
              <w:rPr>
                <w:szCs w:val="21"/>
              </w:rPr>
            </w:pPr>
            <w:r>
              <w:t>280,000.00</w:t>
            </w:r>
          </w:p>
        </w:tc>
        <w:tc>
          <w:tcPr>
            <w:tcW w:w="1407" w:type="pct"/>
            <w:tcBorders>
              <w:top w:val="single" w:sz="4" w:space="0" w:color="auto"/>
              <w:left w:val="single" w:sz="4" w:space="0" w:color="auto"/>
              <w:bottom w:val="single" w:sz="4" w:space="0" w:color="auto"/>
              <w:right w:val="single" w:sz="4" w:space="0" w:color="auto"/>
            </w:tcBorders>
          </w:tcPr>
          <w:p w14:paraId="6932863B" w14:textId="77777777" w:rsidR="00E57DAA" w:rsidRDefault="00AC4185">
            <w:pPr>
              <w:autoSpaceDE w:val="0"/>
              <w:autoSpaceDN w:val="0"/>
              <w:adjustRightInd w:val="0"/>
              <w:jc w:val="right"/>
              <w:rPr>
                <w:szCs w:val="21"/>
              </w:rPr>
            </w:pPr>
            <w:r>
              <w:t xml:space="preserve">　</w:t>
            </w:r>
          </w:p>
        </w:tc>
      </w:tr>
      <w:tr w:rsidR="00E57DAA" w14:paraId="41F47E17" w14:textId="77777777">
        <w:tc>
          <w:tcPr>
            <w:tcW w:w="640" w:type="pct"/>
            <w:tcBorders>
              <w:top w:val="single" w:sz="4" w:space="0" w:color="auto"/>
              <w:left w:val="single" w:sz="4" w:space="0" w:color="auto"/>
              <w:bottom w:val="single" w:sz="4" w:space="0" w:color="auto"/>
              <w:right w:val="single" w:sz="4" w:space="0" w:color="auto"/>
            </w:tcBorders>
            <w:vAlign w:val="center"/>
          </w:tcPr>
          <w:p w14:paraId="0F35D449" w14:textId="77777777" w:rsidR="00E57DAA" w:rsidRDefault="00AC4185">
            <w:pPr>
              <w:autoSpaceDE w:val="0"/>
              <w:autoSpaceDN w:val="0"/>
              <w:adjustRightInd w:val="0"/>
              <w:rPr>
                <w:szCs w:val="21"/>
              </w:rPr>
            </w:pPr>
            <w:r>
              <w:lastRenderedPageBreak/>
              <w:t>应付账款</w:t>
            </w:r>
          </w:p>
        </w:tc>
        <w:tc>
          <w:tcPr>
            <w:tcW w:w="1894" w:type="pct"/>
            <w:tcBorders>
              <w:top w:val="single" w:sz="4" w:space="0" w:color="auto"/>
              <w:left w:val="single" w:sz="4" w:space="0" w:color="auto"/>
              <w:bottom w:val="single" w:sz="4" w:space="0" w:color="auto"/>
              <w:right w:val="single" w:sz="4" w:space="0" w:color="auto"/>
            </w:tcBorders>
          </w:tcPr>
          <w:p w14:paraId="1F1DC093" w14:textId="77777777" w:rsidR="00E57DAA" w:rsidRDefault="00AC4185">
            <w:pPr>
              <w:autoSpaceDE w:val="0"/>
              <w:autoSpaceDN w:val="0"/>
              <w:adjustRightInd w:val="0"/>
              <w:rPr>
                <w:szCs w:val="21"/>
              </w:rPr>
            </w:pPr>
            <w:r>
              <w:t>新疆凯盛建材设计研究院（有限公司）</w:t>
            </w:r>
          </w:p>
        </w:tc>
        <w:tc>
          <w:tcPr>
            <w:tcW w:w="1059" w:type="pct"/>
            <w:tcBorders>
              <w:top w:val="single" w:sz="4" w:space="0" w:color="auto"/>
              <w:left w:val="single" w:sz="4" w:space="0" w:color="auto"/>
              <w:bottom w:val="single" w:sz="4" w:space="0" w:color="auto"/>
              <w:right w:val="single" w:sz="4" w:space="0" w:color="auto"/>
            </w:tcBorders>
          </w:tcPr>
          <w:p w14:paraId="537188E4" w14:textId="77777777" w:rsidR="00E57DAA" w:rsidRDefault="00AC4185">
            <w:pPr>
              <w:autoSpaceDE w:val="0"/>
              <w:autoSpaceDN w:val="0"/>
              <w:adjustRightInd w:val="0"/>
              <w:jc w:val="right"/>
              <w:rPr>
                <w:szCs w:val="21"/>
              </w:rPr>
            </w:pPr>
            <w:r>
              <w:t>158,207.55</w:t>
            </w:r>
          </w:p>
        </w:tc>
        <w:tc>
          <w:tcPr>
            <w:tcW w:w="1407" w:type="pct"/>
            <w:tcBorders>
              <w:top w:val="single" w:sz="4" w:space="0" w:color="auto"/>
              <w:left w:val="single" w:sz="4" w:space="0" w:color="auto"/>
              <w:bottom w:val="single" w:sz="4" w:space="0" w:color="auto"/>
              <w:right w:val="single" w:sz="4" w:space="0" w:color="auto"/>
            </w:tcBorders>
          </w:tcPr>
          <w:p w14:paraId="459D633A" w14:textId="77777777" w:rsidR="00E57DAA" w:rsidRDefault="00AC4185">
            <w:pPr>
              <w:autoSpaceDE w:val="0"/>
              <w:autoSpaceDN w:val="0"/>
              <w:adjustRightInd w:val="0"/>
              <w:jc w:val="right"/>
              <w:rPr>
                <w:szCs w:val="21"/>
              </w:rPr>
            </w:pPr>
            <w:r>
              <w:t>545,568.00</w:t>
            </w:r>
          </w:p>
        </w:tc>
      </w:tr>
      <w:tr w:rsidR="00E57DAA" w14:paraId="051E017D" w14:textId="77777777">
        <w:tc>
          <w:tcPr>
            <w:tcW w:w="640" w:type="pct"/>
            <w:tcBorders>
              <w:top w:val="single" w:sz="4" w:space="0" w:color="auto"/>
              <w:left w:val="single" w:sz="4" w:space="0" w:color="auto"/>
              <w:bottom w:val="single" w:sz="4" w:space="0" w:color="auto"/>
              <w:right w:val="single" w:sz="4" w:space="0" w:color="auto"/>
            </w:tcBorders>
            <w:vAlign w:val="center"/>
          </w:tcPr>
          <w:p w14:paraId="5B95FFE9"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4877965" w14:textId="77777777" w:rsidR="00E57DAA" w:rsidRDefault="00AC4185">
            <w:pPr>
              <w:autoSpaceDE w:val="0"/>
              <w:autoSpaceDN w:val="0"/>
              <w:adjustRightInd w:val="0"/>
              <w:rPr>
                <w:szCs w:val="21"/>
              </w:rPr>
            </w:pPr>
            <w:r>
              <w:t>广州华磊建筑基础工程有限公司</w:t>
            </w:r>
          </w:p>
        </w:tc>
        <w:tc>
          <w:tcPr>
            <w:tcW w:w="1059" w:type="pct"/>
            <w:tcBorders>
              <w:top w:val="single" w:sz="4" w:space="0" w:color="auto"/>
              <w:left w:val="single" w:sz="4" w:space="0" w:color="auto"/>
              <w:bottom w:val="single" w:sz="4" w:space="0" w:color="auto"/>
              <w:right w:val="single" w:sz="4" w:space="0" w:color="auto"/>
            </w:tcBorders>
          </w:tcPr>
          <w:p w14:paraId="7C48D2CE" w14:textId="77777777" w:rsidR="00E57DAA" w:rsidRDefault="00AC4185">
            <w:pPr>
              <w:autoSpaceDE w:val="0"/>
              <w:autoSpaceDN w:val="0"/>
              <w:adjustRightInd w:val="0"/>
              <w:jc w:val="right"/>
              <w:rPr>
                <w:szCs w:val="21"/>
              </w:rPr>
            </w:pPr>
            <w:r>
              <w:t>138,076.26</w:t>
            </w:r>
          </w:p>
        </w:tc>
        <w:tc>
          <w:tcPr>
            <w:tcW w:w="1407" w:type="pct"/>
            <w:tcBorders>
              <w:top w:val="single" w:sz="4" w:space="0" w:color="auto"/>
              <w:left w:val="single" w:sz="4" w:space="0" w:color="auto"/>
              <w:bottom w:val="single" w:sz="4" w:space="0" w:color="auto"/>
              <w:right w:val="single" w:sz="4" w:space="0" w:color="auto"/>
            </w:tcBorders>
          </w:tcPr>
          <w:p w14:paraId="10CC351B" w14:textId="77777777" w:rsidR="00E57DAA" w:rsidRDefault="00AC4185">
            <w:pPr>
              <w:autoSpaceDE w:val="0"/>
              <w:autoSpaceDN w:val="0"/>
              <w:adjustRightInd w:val="0"/>
              <w:jc w:val="right"/>
              <w:rPr>
                <w:szCs w:val="21"/>
              </w:rPr>
            </w:pPr>
            <w:r>
              <w:t>113,076.26</w:t>
            </w:r>
          </w:p>
        </w:tc>
      </w:tr>
      <w:tr w:rsidR="00E57DAA" w14:paraId="51A06CFB" w14:textId="77777777">
        <w:tc>
          <w:tcPr>
            <w:tcW w:w="640" w:type="pct"/>
            <w:tcBorders>
              <w:top w:val="single" w:sz="4" w:space="0" w:color="auto"/>
              <w:left w:val="single" w:sz="4" w:space="0" w:color="auto"/>
              <w:bottom w:val="single" w:sz="4" w:space="0" w:color="auto"/>
              <w:right w:val="single" w:sz="4" w:space="0" w:color="auto"/>
            </w:tcBorders>
            <w:vAlign w:val="center"/>
          </w:tcPr>
          <w:p w14:paraId="6B2BC01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8764972" w14:textId="77777777" w:rsidR="00E57DAA" w:rsidRDefault="00AC4185">
            <w:pPr>
              <w:autoSpaceDE w:val="0"/>
              <w:autoSpaceDN w:val="0"/>
              <w:adjustRightInd w:val="0"/>
              <w:rPr>
                <w:szCs w:val="21"/>
              </w:rPr>
            </w:pPr>
            <w:r>
              <w:t>成都中建材光电材料有限公司</w:t>
            </w:r>
          </w:p>
        </w:tc>
        <w:tc>
          <w:tcPr>
            <w:tcW w:w="1059" w:type="pct"/>
            <w:tcBorders>
              <w:top w:val="single" w:sz="4" w:space="0" w:color="auto"/>
              <w:left w:val="single" w:sz="4" w:space="0" w:color="auto"/>
              <w:bottom w:val="single" w:sz="4" w:space="0" w:color="auto"/>
              <w:right w:val="single" w:sz="4" w:space="0" w:color="auto"/>
            </w:tcBorders>
          </w:tcPr>
          <w:p w14:paraId="3CEC4858" w14:textId="77777777" w:rsidR="00E57DAA" w:rsidRDefault="00AC4185">
            <w:pPr>
              <w:autoSpaceDE w:val="0"/>
              <w:autoSpaceDN w:val="0"/>
              <w:adjustRightInd w:val="0"/>
              <w:jc w:val="right"/>
              <w:rPr>
                <w:szCs w:val="21"/>
              </w:rPr>
            </w:pPr>
            <w:r>
              <w:t>101,373.69</w:t>
            </w:r>
          </w:p>
        </w:tc>
        <w:tc>
          <w:tcPr>
            <w:tcW w:w="1407" w:type="pct"/>
            <w:tcBorders>
              <w:top w:val="single" w:sz="4" w:space="0" w:color="auto"/>
              <w:left w:val="single" w:sz="4" w:space="0" w:color="auto"/>
              <w:bottom w:val="single" w:sz="4" w:space="0" w:color="auto"/>
              <w:right w:val="single" w:sz="4" w:space="0" w:color="auto"/>
            </w:tcBorders>
          </w:tcPr>
          <w:p w14:paraId="4FA03F12" w14:textId="77777777" w:rsidR="00E57DAA" w:rsidRDefault="00AC4185">
            <w:pPr>
              <w:autoSpaceDE w:val="0"/>
              <w:autoSpaceDN w:val="0"/>
              <w:adjustRightInd w:val="0"/>
              <w:jc w:val="right"/>
              <w:rPr>
                <w:szCs w:val="21"/>
              </w:rPr>
            </w:pPr>
            <w:r>
              <w:t>101,373.69</w:t>
            </w:r>
          </w:p>
        </w:tc>
      </w:tr>
      <w:tr w:rsidR="00E57DAA" w14:paraId="08D3F0CE" w14:textId="77777777">
        <w:tc>
          <w:tcPr>
            <w:tcW w:w="640" w:type="pct"/>
            <w:tcBorders>
              <w:top w:val="single" w:sz="4" w:space="0" w:color="auto"/>
              <w:left w:val="single" w:sz="4" w:space="0" w:color="auto"/>
              <w:bottom w:val="single" w:sz="4" w:space="0" w:color="auto"/>
              <w:right w:val="single" w:sz="4" w:space="0" w:color="auto"/>
            </w:tcBorders>
            <w:vAlign w:val="center"/>
          </w:tcPr>
          <w:p w14:paraId="1281B20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4986089" w14:textId="77777777" w:rsidR="00E57DAA" w:rsidRDefault="00AC4185">
            <w:pPr>
              <w:autoSpaceDE w:val="0"/>
              <w:autoSpaceDN w:val="0"/>
              <w:adjustRightInd w:val="0"/>
              <w:rPr>
                <w:szCs w:val="21"/>
              </w:rPr>
            </w:pPr>
            <w:r>
              <w:t>上海美诺福科技有限公司</w:t>
            </w:r>
          </w:p>
        </w:tc>
        <w:tc>
          <w:tcPr>
            <w:tcW w:w="1059" w:type="pct"/>
            <w:tcBorders>
              <w:top w:val="single" w:sz="4" w:space="0" w:color="auto"/>
              <w:left w:val="single" w:sz="4" w:space="0" w:color="auto"/>
              <w:bottom w:val="single" w:sz="4" w:space="0" w:color="auto"/>
              <w:right w:val="single" w:sz="4" w:space="0" w:color="auto"/>
            </w:tcBorders>
          </w:tcPr>
          <w:p w14:paraId="34BC2A02"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31A45815" w14:textId="77777777" w:rsidR="00E57DAA" w:rsidRDefault="00AC4185">
            <w:pPr>
              <w:autoSpaceDE w:val="0"/>
              <w:autoSpaceDN w:val="0"/>
              <w:adjustRightInd w:val="0"/>
              <w:jc w:val="right"/>
              <w:rPr>
                <w:szCs w:val="21"/>
              </w:rPr>
            </w:pPr>
            <w:r>
              <w:t>210,000.00</w:t>
            </w:r>
          </w:p>
        </w:tc>
      </w:tr>
      <w:tr w:rsidR="00E57DAA" w14:paraId="3356EC6D" w14:textId="77777777">
        <w:tc>
          <w:tcPr>
            <w:tcW w:w="640" w:type="pct"/>
            <w:tcBorders>
              <w:top w:val="single" w:sz="4" w:space="0" w:color="auto"/>
              <w:left w:val="single" w:sz="4" w:space="0" w:color="auto"/>
              <w:bottom w:val="single" w:sz="4" w:space="0" w:color="auto"/>
              <w:right w:val="single" w:sz="4" w:space="0" w:color="auto"/>
            </w:tcBorders>
            <w:vAlign w:val="center"/>
          </w:tcPr>
          <w:p w14:paraId="45C9B3C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602A1D2" w14:textId="77777777" w:rsidR="00E57DAA" w:rsidRDefault="00AC4185">
            <w:pPr>
              <w:autoSpaceDE w:val="0"/>
              <w:autoSpaceDN w:val="0"/>
              <w:adjustRightInd w:val="0"/>
              <w:rPr>
                <w:szCs w:val="21"/>
              </w:rPr>
            </w:pPr>
            <w:r>
              <w:t>中国建筑材料工业地质勘查中心江苏总队</w:t>
            </w:r>
          </w:p>
        </w:tc>
        <w:tc>
          <w:tcPr>
            <w:tcW w:w="1059" w:type="pct"/>
            <w:tcBorders>
              <w:top w:val="single" w:sz="4" w:space="0" w:color="auto"/>
              <w:left w:val="single" w:sz="4" w:space="0" w:color="auto"/>
              <w:bottom w:val="single" w:sz="4" w:space="0" w:color="auto"/>
              <w:right w:val="single" w:sz="4" w:space="0" w:color="auto"/>
            </w:tcBorders>
          </w:tcPr>
          <w:p w14:paraId="0E06EEE7"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3B07BFD4" w14:textId="77777777" w:rsidR="00E57DAA" w:rsidRDefault="00AC4185">
            <w:pPr>
              <w:autoSpaceDE w:val="0"/>
              <w:autoSpaceDN w:val="0"/>
              <w:adjustRightInd w:val="0"/>
              <w:jc w:val="right"/>
              <w:rPr>
                <w:szCs w:val="21"/>
              </w:rPr>
            </w:pPr>
            <w:r>
              <w:t xml:space="preserve">　</w:t>
            </w:r>
          </w:p>
        </w:tc>
      </w:tr>
      <w:tr w:rsidR="00E57DAA" w14:paraId="45E0C195" w14:textId="77777777">
        <w:tc>
          <w:tcPr>
            <w:tcW w:w="640" w:type="pct"/>
            <w:tcBorders>
              <w:top w:val="single" w:sz="4" w:space="0" w:color="auto"/>
              <w:left w:val="single" w:sz="4" w:space="0" w:color="auto"/>
              <w:bottom w:val="single" w:sz="4" w:space="0" w:color="auto"/>
              <w:right w:val="single" w:sz="4" w:space="0" w:color="auto"/>
            </w:tcBorders>
            <w:vAlign w:val="center"/>
          </w:tcPr>
          <w:p w14:paraId="28B8E538"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83E6418" w14:textId="77777777" w:rsidR="00E57DAA" w:rsidRDefault="00AC4185">
            <w:pPr>
              <w:autoSpaceDE w:val="0"/>
              <w:autoSpaceDN w:val="0"/>
              <w:adjustRightInd w:val="0"/>
              <w:rPr>
                <w:szCs w:val="21"/>
              </w:rPr>
            </w:pPr>
            <w:r>
              <w:t>中国新型建材设计研究院有限公司</w:t>
            </w:r>
          </w:p>
        </w:tc>
        <w:tc>
          <w:tcPr>
            <w:tcW w:w="1059" w:type="pct"/>
            <w:tcBorders>
              <w:top w:val="single" w:sz="4" w:space="0" w:color="auto"/>
              <w:left w:val="single" w:sz="4" w:space="0" w:color="auto"/>
              <w:bottom w:val="single" w:sz="4" w:space="0" w:color="auto"/>
              <w:right w:val="single" w:sz="4" w:space="0" w:color="auto"/>
            </w:tcBorders>
          </w:tcPr>
          <w:p w14:paraId="6C92C2E2" w14:textId="77777777" w:rsidR="00E57DAA" w:rsidRDefault="00AC4185">
            <w:pPr>
              <w:autoSpaceDE w:val="0"/>
              <w:autoSpaceDN w:val="0"/>
              <w:adjustRightInd w:val="0"/>
              <w:jc w:val="right"/>
              <w:rPr>
                <w:szCs w:val="21"/>
              </w:rPr>
            </w:pPr>
            <w:r>
              <w:t>93,000.00</w:t>
            </w:r>
          </w:p>
        </w:tc>
        <w:tc>
          <w:tcPr>
            <w:tcW w:w="1407" w:type="pct"/>
            <w:tcBorders>
              <w:top w:val="single" w:sz="4" w:space="0" w:color="auto"/>
              <w:left w:val="single" w:sz="4" w:space="0" w:color="auto"/>
              <w:bottom w:val="single" w:sz="4" w:space="0" w:color="auto"/>
              <w:right w:val="single" w:sz="4" w:space="0" w:color="auto"/>
            </w:tcBorders>
          </w:tcPr>
          <w:p w14:paraId="554B53F5" w14:textId="77777777" w:rsidR="00E57DAA" w:rsidRDefault="00AC4185">
            <w:pPr>
              <w:autoSpaceDE w:val="0"/>
              <w:autoSpaceDN w:val="0"/>
              <w:adjustRightInd w:val="0"/>
              <w:jc w:val="right"/>
              <w:rPr>
                <w:szCs w:val="21"/>
              </w:rPr>
            </w:pPr>
            <w:r>
              <w:t xml:space="preserve">　</w:t>
            </w:r>
          </w:p>
        </w:tc>
      </w:tr>
      <w:tr w:rsidR="00E57DAA" w14:paraId="262C818E" w14:textId="77777777">
        <w:tc>
          <w:tcPr>
            <w:tcW w:w="640" w:type="pct"/>
            <w:tcBorders>
              <w:top w:val="single" w:sz="4" w:space="0" w:color="auto"/>
              <w:left w:val="single" w:sz="4" w:space="0" w:color="auto"/>
              <w:bottom w:val="single" w:sz="4" w:space="0" w:color="auto"/>
              <w:right w:val="single" w:sz="4" w:space="0" w:color="auto"/>
            </w:tcBorders>
            <w:vAlign w:val="center"/>
          </w:tcPr>
          <w:p w14:paraId="5A6F5A5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CE92340" w14:textId="77777777" w:rsidR="00E57DAA" w:rsidRDefault="00AC4185">
            <w:pPr>
              <w:autoSpaceDE w:val="0"/>
              <w:autoSpaceDN w:val="0"/>
              <w:adjustRightInd w:val="0"/>
              <w:rPr>
                <w:szCs w:val="21"/>
              </w:rPr>
            </w:pPr>
            <w:r>
              <w:t>中国国检测试控股集团股份有限公司</w:t>
            </w:r>
          </w:p>
        </w:tc>
        <w:tc>
          <w:tcPr>
            <w:tcW w:w="1059" w:type="pct"/>
            <w:tcBorders>
              <w:top w:val="single" w:sz="4" w:space="0" w:color="auto"/>
              <w:left w:val="single" w:sz="4" w:space="0" w:color="auto"/>
              <w:bottom w:val="single" w:sz="4" w:space="0" w:color="auto"/>
              <w:right w:val="single" w:sz="4" w:space="0" w:color="auto"/>
            </w:tcBorders>
          </w:tcPr>
          <w:p w14:paraId="16FA4D2E" w14:textId="77777777" w:rsidR="00E57DAA" w:rsidRDefault="00AC4185">
            <w:pPr>
              <w:autoSpaceDE w:val="0"/>
              <w:autoSpaceDN w:val="0"/>
              <w:adjustRightInd w:val="0"/>
              <w:jc w:val="right"/>
              <w:rPr>
                <w:szCs w:val="21"/>
              </w:rPr>
            </w:pPr>
            <w:r>
              <w:t>89,000.00</w:t>
            </w:r>
          </w:p>
        </w:tc>
        <w:tc>
          <w:tcPr>
            <w:tcW w:w="1407" w:type="pct"/>
            <w:tcBorders>
              <w:top w:val="single" w:sz="4" w:space="0" w:color="auto"/>
              <w:left w:val="single" w:sz="4" w:space="0" w:color="auto"/>
              <w:bottom w:val="single" w:sz="4" w:space="0" w:color="auto"/>
              <w:right w:val="single" w:sz="4" w:space="0" w:color="auto"/>
            </w:tcBorders>
          </w:tcPr>
          <w:p w14:paraId="1B6FAC2A" w14:textId="77777777" w:rsidR="00E57DAA" w:rsidRDefault="00AC4185">
            <w:pPr>
              <w:autoSpaceDE w:val="0"/>
              <w:autoSpaceDN w:val="0"/>
              <w:adjustRightInd w:val="0"/>
              <w:jc w:val="right"/>
              <w:rPr>
                <w:szCs w:val="21"/>
              </w:rPr>
            </w:pPr>
            <w:r>
              <w:t xml:space="preserve">　</w:t>
            </w:r>
          </w:p>
        </w:tc>
      </w:tr>
      <w:tr w:rsidR="00E57DAA" w14:paraId="42CD6DB0" w14:textId="77777777">
        <w:tc>
          <w:tcPr>
            <w:tcW w:w="640" w:type="pct"/>
            <w:tcBorders>
              <w:top w:val="single" w:sz="4" w:space="0" w:color="auto"/>
              <w:left w:val="single" w:sz="4" w:space="0" w:color="auto"/>
              <w:bottom w:val="single" w:sz="4" w:space="0" w:color="auto"/>
              <w:right w:val="single" w:sz="4" w:space="0" w:color="auto"/>
            </w:tcBorders>
            <w:vAlign w:val="center"/>
          </w:tcPr>
          <w:p w14:paraId="1472E43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6A95A89" w14:textId="77777777" w:rsidR="00E57DAA" w:rsidRDefault="00AC4185">
            <w:pPr>
              <w:autoSpaceDE w:val="0"/>
              <w:autoSpaceDN w:val="0"/>
              <w:adjustRightInd w:val="0"/>
              <w:rPr>
                <w:szCs w:val="21"/>
              </w:rPr>
            </w:pPr>
            <w:r>
              <w:t>长沙中轻机械有限公司</w:t>
            </w:r>
          </w:p>
        </w:tc>
        <w:tc>
          <w:tcPr>
            <w:tcW w:w="1059" w:type="pct"/>
            <w:tcBorders>
              <w:top w:val="single" w:sz="4" w:space="0" w:color="auto"/>
              <w:left w:val="single" w:sz="4" w:space="0" w:color="auto"/>
              <w:bottom w:val="single" w:sz="4" w:space="0" w:color="auto"/>
              <w:right w:val="single" w:sz="4" w:space="0" w:color="auto"/>
            </w:tcBorders>
          </w:tcPr>
          <w:p w14:paraId="7A0303B8" w14:textId="77777777" w:rsidR="00E57DAA" w:rsidRDefault="00AC4185">
            <w:pPr>
              <w:autoSpaceDE w:val="0"/>
              <w:autoSpaceDN w:val="0"/>
              <w:adjustRightInd w:val="0"/>
              <w:jc w:val="right"/>
              <w:rPr>
                <w:szCs w:val="21"/>
              </w:rPr>
            </w:pPr>
            <w:r>
              <w:t>56,530.00</w:t>
            </w:r>
          </w:p>
        </w:tc>
        <w:tc>
          <w:tcPr>
            <w:tcW w:w="1407" w:type="pct"/>
            <w:tcBorders>
              <w:top w:val="single" w:sz="4" w:space="0" w:color="auto"/>
              <w:left w:val="single" w:sz="4" w:space="0" w:color="auto"/>
              <w:bottom w:val="single" w:sz="4" w:space="0" w:color="auto"/>
              <w:right w:val="single" w:sz="4" w:space="0" w:color="auto"/>
            </w:tcBorders>
          </w:tcPr>
          <w:p w14:paraId="60B2B4C2" w14:textId="77777777" w:rsidR="00E57DAA" w:rsidRDefault="00AC4185">
            <w:pPr>
              <w:autoSpaceDE w:val="0"/>
              <w:autoSpaceDN w:val="0"/>
              <w:adjustRightInd w:val="0"/>
              <w:jc w:val="right"/>
              <w:rPr>
                <w:szCs w:val="21"/>
              </w:rPr>
            </w:pPr>
            <w:r>
              <w:t>3,730.00</w:t>
            </w:r>
          </w:p>
        </w:tc>
      </w:tr>
      <w:tr w:rsidR="00E57DAA" w14:paraId="010F3F52" w14:textId="77777777">
        <w:tc>
          <w:tcPr>
            <w:tcW w:w="640" w:type="pct"/>
            <w:tcBorders>
              <w:top w:val="single" w:sz="4" w:space="0" w:color="auto"/>
              <w:left w:val="single" w:sz="4" w:space="0" w:color="auto"/>
              <w:bottom w:val="single" w:sz="4" w:space="0" w:color="auto"/>
              <w:right w:val="single" w:sz="4" w:space="0" w:color="auto"/>
            </w:tcBorders>
            <w:vAlign w:val="center"/>
          </w:tcPr>
          <w:p w14:paraId="5DF5D26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A958E9D" w14:textId="77777777" w:rsidR="00E57DAA" w:rsidRDefault="00AC4185">
            <w:pPr>
              <w:autoSpaceDE w:val="0"/>
              <w:autoSpaceDN w:val="0"/>
              <w:adjustRightInd w:val="0"/>
              <w:rPr>
                <w:szCs w:val="21"/>
              </w:rPr>
            </w:pPr>
            <w:r>
              <w:t>合肥神马电气有限公司</w:t>
            </w:r>
          </w:p>
        </w:tc>
        <w:tc>
          <w:tcPr>
            <w:tcW w:w="1059" w:type="pct"/>
            <w:tcBorders>
              <w:top w:val="single" w:sz="4" w:space="0" w:color="auto"/>
              <w:left w:val="single" w:sz="4" w:space="0" w:color="auto"/>
              <w:bottom w:val="single" w:sz="4" w:space="0" w:color="auto"/>
              <w:right w:val="single" w:sz="4" w:space="0" w:color="auto"/>
            </w:tcBorders>
          </w:tcPr>
          <w:p w14:paraId="168CE4AB" w14:textId="77777777" w:rsidR="00E57DAA" w:rsidRDefault="00AC4185">
            <w:pPr>
              <w:autoSpaceDE w:val="0"/>
              <w:autoSpaceDN w:val="0"/>
              <w:adjustRightInd w:val="0"/>
              <w:jc w:val="right"/>
              <w:rPr>
                <w:szCs w:val="21"/>
              </w:rPr>
            </w:pPr>
            <w:r>
              <w:t>54,183.21</w:t>
            </w:r>
          </w:p>
        </w:tc>
        <w:tc>
          <w:tcPr>
            <w:tcW w:w="1407" w:type="pct"/>
            <w:tcBorders>
              <w:top w:val="single" w:sz="4" w:space="0" w:color="auto"/>
              <w:left w:val="single" w:sz="4" w:space="0" w:color="auto"/>
              <w:bottom w:val="single" w:sz="4" w:space="0" w:color="auto"/>
              <w:right w:val="single" w:sz="4" w:space="0" w:color="auto"/>
            </w:tcBorders>
          </w:tcPr>
          <w:p w14:paraId="362D4079" w14:textId="77777777" w:rsidR="00E57DAA" w:rsidRDefault="00AC4185">
            <w:pPr>
              <w:autoSpaceDE w:val="0"/>
              <w:autoSpaceDN w:val="0"/>
              <w:adjustRightInd w:val="0"/>
              <w:jc w:val="right"/>
              <w:rPr>
                <w:szCs w:val="21"/>
              </w:rPr>
            </w:pPr>
            <w:r>
              <w:t>53,678.07</w:t>
            </w:r>
          </w:p>
        </w:tc>
      </w:tr>
      <w:tr w:rsidR="00E57DAA" w14:paraId="2BE3B2BD" w14:textId="77777777">
        <w:tc>
          <w:tcPr>
            <w:tcW w:w="640" w:type="pct"/>
            <w:tcBorders>
              <w:top w:val="single" w:sz="4" w:space="0" w:color="auto"/>
              <w:left w:val="single" w:sz="4" w:space="0" w:color="auto"/>
              <w:bottom w:val="single" w:sz="4" w:space="0" w:color="auto"/>
              <w:right w:val="single" w:sz="4" w:space="0" w:color="auto"/>
            </w:tcBorders>
            <w:vAlign w:val="center"/>
          </w:tcPr>
          <w:p w14:paraId="40FCECB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2118CE9" w14:textId="77777777" w:rsidR="00E57DAA" w:rsidRDefault="00AC4185">
            <w:pPr>
              <w:autoSpaceDE w:val="0"/>
              <w:autoSpaceDN w:val="0"/>
              <w:adjustRightInd w:val="0"/>
              <w:rPr>
                <w:szCs w:val="21"/>
              </w:rPr>
            </w:pPr>
            <w:r>
              <w:t>中国建材检验认证集团安徽有限公司</w:t>
            </w:r>
          </w:p>
        </w:tc>
        <w:tc>
          <w:tcPr>
            <w:tcW w:w="1059" w:type="pct"/>
            <w:tcBorders>
              <w:top w:val="single" w:sz="4" w:space="0" w:color="auto"/>
              <w:left w:val="single" w:sz="4" w:space="0" w:color="auto"/>
              <w:bottom w:val="single" w:sz="4" w:space="0" w:color="auto"/>
              <w:right w:val="single" w:sz="4" w:space="0" w:color="auto"/>
            </w:tcBorders>
          </w:tcPr>
          <w:p w14:paraId="36578B94" w14:textId="77777777" w:rsidR="00E57DAA" w:rsidRDefault="00AC4185">
            <w:pPr>
              <w:autoSpaceDE w:val="0"/>
              <w:autoSpaceDN w:val="0"/>
              <w:adjustRightInd w:val="0"/>
              <w:jc w:val="right"/>
              <w:rPr>
                <w:szCs w:val="21"/>
              </w:rPr>
            </w:pPr>
            <w:r>
              <w:t>44,400.00</w:t>
            </w:r>
          </w:p>
        </w:tc>
        <w:tc>
          <w:tcPr>
            <w:tcW w:w="1407" w:type="pct"/>
            <w:tcBorders>
              <w:top w:val="single" w:sz="4" w:space="0" w:color="auto"/>
              <w:left w:val="single" w:sz="4" w:space="0" w:color="auto"/>
              <w:bottom w:val="single" w:sz="4" w:space="0" w:color="auto"/>
              <w:right w:val="single" w:sz="4" w:space="0" w:color="auto"/>
            </w:tcBorders>
          </w:tcPr>
          <w:p w14:paraId="57928ACD" w14:textId="77777777" w:rsidR="00E57DAA" w:rsidRDefault="00AC4185">
            <w:pPr>
              <w:autoSpaceDE w:val="0"/>
              <w:autoSpaceDN w:val="0"/>
              <w:adjustRightInd w:val="0"/>
              <w:jc w:val="right"/>
              <w:rPr>
                <w:szCs w:val="21"/>
              </w:rPr>
            </w:pPr>
            <w:r>
              <w:t>35,000.00</w:t>
            </w:r>
          </w:p>
        </w:tc>
      </w:tr>
      <w:tr w:rsidR="00E57DAA" w14:paraId="259405E8" w14:textId="77777777">
        <w:tc>
          <w:tcPr>
            <w:tcW w:w="640" w:type="pct"/>
            <w:tcBorders>
              <w:top w:val="single" w:sz="4" w:space="0" w:color="auto"/>
              <w:left w:val="single" w:sz="4" w:space="0" w:color="auto"/>
              <w:bottom w:val="single" w:sz="4" w:space="0" w:color="auto"/>
              <w:right w:val="single" w:sz="4" w:space="0" w:color="auto"/>
            </w:tcBorders>
            <w:vAlign w:val="center"/>
          </w:tcPr>
          <w:p w14:paraId="594CD57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3A57FFB" w14:textId="77777777" w:rsidR="00E57DAA" w:rsidRDefault="00AC4185">
            <w:pPr>
              <w:autoSpaceDE w:val="0"/>
              <w:autoSpaceDN w:val="0"/>
              <w:adjustRightInd w:val="0"/>
              <w:rPr>
                <w:szCs w:val="21"/>
              </w:rPr>
            </w:pPr>
            <w:r>
              <w:t>唐山中轻机械有限公司</w:t>
            </w:r>
          </w:p>
        </w:tc>
        <w:tc>
          <w:tcPr>
            <w:tcW w:w="1059" w:type="pct"/>
            <w:tcBorders>
              <w:top w:val="single" w:sz="4" w:space="0" w:color="auto"/>
              <w:left w:val="single" w:sz="4" w:space="0" w:color="auto"/>
              <w:bottom w:val="single" w:sz="4" w:space="0" w:color="auto"/>
              <w:right w:val="single" w:sz="4" w:space="0" w:color="auto"/>
            </w:tcBorders>
          </w:tcPr>
          <w:p w14:paraId="2F2BACE8" w14:textId="77777777" w:rsidR="00E57DAA" w:rsidRDefault="00AC4185">
            <w:pPr>
              <w:autoSpaceDE w:val="0"/>
              <w:autoSpaceDN w:val="0"/>
              <w:adjustRightInd w:val="0"/>
              <w:jc w:val="right"/>
              <w:rPr>
                <w:szCs w:val="21"/>
              </w:rPr>
            </w:pPr>
            <w:r>
              <w:t>36,717.68</w:t>
            </w:r>
          </w:p>
        </w:tc>
        <w:tc>
          <w:tcPr>
            <w:tcW w:w="1407" w:type="pct"/>
            <w:tcBorders>
              <w:top w:val="single" w:sz="4" w:space="0" w:color="auto"/>
              <w:left w:val="single" w:sz="4" w:space="0" w:color="auto"/>
              <w:bottom w:val="single" w:sz="4" w:space="0" w:color="auto"/>
              <w:right w:val="single" w:sz="4" w:space="0" w:color="auto"/>
            </w:tcBorders>
          </w:tcPr>
          <w:p w14:paraId="39950956" w14:textId="77777777" w:rsidR="00E57DAA" w:rsidRDefault="00AC4185">
            <w:pPr>
              <w:autoSpaceDE w:val="0"/>
              <w:autoSpaceDN w:val="0"/>
              <w:adjustRightInd w:val="0"/>
              <w:jc w:val="right"/>
              <w:rPr>
                <w:szCs w:val="21"/>
              </w:rPr>
            </w:pPr>
            <w:r>
              <w:t xml:space="preserve">　</w:t>
            </w:r>
          </w:p>
        </w:tc>
      </w:tr>
      <w:tr w:rsidR="00E57DAA" w14:paraId="048EA2AE" w14:textId="77777777">
        <w:tc>
          <w:tcPr>
            <w:tcW w:w="640" w:type="pct"/>
            <w:tcBorders>
              <w:top w:val="single" w:sz="4" w:space="0" w:color="auto"/>
              <w:left w:val="single" w:sz="4" w:space="0" w:color="auto"/>
              <w:bottom w:val="single" w:sz="4" w:space="0" w:color="auto"/>
              <w:right w:val="single" w:sz="4" w:space="0" w:color="auto"/>
            </w:tcBorders>
            <w:vAlign w:val="center"/>
          </w:tcPr>
          <w:p w14:paraId="3AB34AB5"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B45C8CA" w14:textId="77777777" w:rsidR="00E57DAA" w:rsidRDefault="00AC4185">
            <w:pPr>
              <w:autoSpaceDE w:val="0"/>
              <w:autoSpaceDN w:val="0"/>
              <w:adjustRightInd w:val="0"/>
              <w:rPr>
                <w:szCs w:val="21"/>
              </w:rPr>
            </w:pPr>
            <w:r>
              <w:t>唐山森普矿山装备有限公司</w:t>
            </w:r>
          </w:p>
        </w:tc>
        <w:tc>
          <w:tcPr>
            <w:tcW w:w="1059" w:type="pct"/>
            <w:tcBorders>
              <w:top w:val="single" w:sz="4" w:space="0" w:color="auto"/>
              <w:left w:val="single" w:sz="4" w:space="0" w:color="auto"/>
              <w:bottom w:val="single" w:sz="4" w:space="0" w:color="auto"/>
              <w:right w:val="single" w:sz="4" w:space="0" w:color="auto"/>
            </w:tcBorders>
          </w:tcPr>
          <w:p w14:paraId="0F34A85B" w14:textId="77777777" w:rsidR="00E57DAA" w:rsidRDefault="00AC4185">
            <w:pPr>
              <w:autoSpaceDE w:val="0"/>
              <w:autoSpaceDN w:val="0"/>
              <w:adjustRightInd w:val="0"/>
              <w:jc w:val="right"/>
              <w:rPr>
                <w:szCs w:val="21"/>
              </w:rPr>
            </w:pPr>
            <w:r>
              <w:t>34,926.60</w:t>
            </w:r>
          </w:p>
        </w:tc>
        <w:tc>
          <w:tcPr>
            <w:tcW w:w="1407" w:type="pct"/>
            <w:tcBorders>
              <w:top w:val="single" w:sz="4" w:space="0" w:color="auto"/>
              <w:left w:val="single" w:sz="4" w:space="0" w:color="auto"/>
              <w:bottom w:val="single" w:sz="4" w:space="0" w:color="auto"/>
              <w:right w:val="single" w:sz="4" w:space="0" w:color="auto"/>
            </w:tcBorders>
          </w:tcPr>
          <w:p w14:paraId="722B5CA9" w14:textId="77777777" w:rsidR="00E57DAA" w:rsidRDefault="00AC4185">
            <w:pPr>
              <w:autoSpaceDE w:val="0"/>
              <w:autoSpaceDN w:val="0"/>
              <w:adjustRightInd w:val="0"/>
              <w:jc w:val="right"/>
              <w:rPr>
                <w:szCs w:val="21"/>
              </w:rPr>
            </w:pPr>
            <w:r>
              <w:t>34,446.60</w:t>
            </w:r>
          </w:p>
        </w:tc>
      </w:tr>
      <w:tr w:rsidR="00E57DAA" w14:paraId="59A88714" w14:textId="77777777">
        <w:tc>
          <w:tcPr>
            <w:tcW w:w="640" w:type="pct"/>
            <w:tcBorders>
              <w:top w:val="single" w:sz="4" w:space="0" w:color="auto"/>
              <w:left w:val="single" w:sz="4" w:space="0" w:color="auto"/>
              <w:bottom w:val="single" w:sz="4" w:space="0" w:color="auto"/>
              <w:right w:val="single" w:sz="4" w:space="0" w:color="auto"/>
            </w:tcBorders>
            <w:vAlign w:val="center"/>
          </w:tcPr>
          <w:p w14:paraId="6F03943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775B2713" w14:textId="77777777" w:rsidR="00E57DAA" w:rsidRDefault="00AC4185">
            <w:pPr>
              <w:autoSpaceDE w:val="0"/>
              <w:autoSpaceDN w:val="0"/>
              <w:adjustRightInd w:val="0"/>
              <w:rPr>
                <w:szCs w:val="21"/>
              </w:rPr>
            </w:pPr>
            <w:r>
              <w:t>中国建筑材料科学研究总院有限公司</w:t>
            </w:r>
          </w:p>
        </w:tc>
        <w:tc>
          <w:tcPr>
            <w:tcW w:w="1059" w:type="pct"/>
            <w:tcBorders>
              <w:top w:val="single" w:sz="4" w:space="0" w:color="auto"/>
              <w:left w:val="single" w:sz="4" w:space="0" w:color="auto"/>
              <w:bottom w:val="single" w:sz="4" w:space="0" w:color="auto"/>
              <w:right w:val="single" w:sz="4" w:space="0" w:color="auto"/>
            </w:tcBorders>
          </w:tcPr>
          <w:p w14:paraId="7EF6FD35" w14:textId="77777777" w:rsidR="00E57DAA" w:rsidRDefault="00AC4185">
            <w:pPr>
              <w:autoSpaceDE w:val="0"/>
              <w:autoSpaceDN w:val="0"/>
              <w:adjustRightInd w:val="0"/>
              <w:jc w:val="right"/>
              <w:rPr>
                <w:szCs w:val="21"/>
              </w:rPr>
            </w:pPr>
            <w:r>
              <w:t>24,000.00</w:t>
            </w:r>
          </w:p>
        </w:tc>
        <w:tc>
          <w:tcPr>
            <w:tcW w:w="1407" w:type="pct"/>
            <w:tcBorders>
              <w:top w:val="single" w:sz="4" w:space="0" w:color="auto"/>
              <w:left w:val="single" w:sz="4" w:space="0" w:color="auto"/>
              <w:bottom w:val="single" w:sz="4" w:space="0" w:color="auto"/>
              <w:right w:val="single" w:sz="4" w:space="0" w:color="auto"/>
            </w:tcBorders>
          </w:tcPr>
          <w:p w14:paraId="645CDD74" w14:textId="77777777" w:rsidR="00E57DAA" w:rsidRDefault="00AC4185">
            <w:pPr>
              <w:autoSpaceDE w:val="0"/>
              <w:autoSpaceDN w:val="0"/>
              <w:adjustRightInd w:val="0"/>
              <w:jc w:val="right"/>
              <w:rPr>
                <w:szCs w:val="21"/>
              </w:rPr>
            </w:pPr>
            <w:r>
              <w:t>208,000.00</w:t>
            </w:r>
          </w:p>
        </w:tc>
      </w:tr>
      <w:tr w:rsidR="00E57DAA" w14:paraId="28D0B6D5" w14:textId="77777777">
        <w:tc>
          <w:tcPr>
            <w:tcW w:w="640" w:type="pct"/>
            <w:tcBorders>
              <w:top w:val="single" w:sz="4" w:space="0" w:color="auto"/>
              <w:left w:val="single" w:sz="4" w:space="0" w:color="auto"/>
              <w:bottom w:val="single" w:sz="4" w:space="0" w:color="auto"/>
              <w:right w:val="single" w:sz="4" w:space="0" w:color="auto"/>
            </w:tcBorders>
            <w:vAlign w:val="center"/>
          </w:tcPr>
          <w:p w14:paraId="3152DF3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34AD9E3" w14:textId="77777777" w:rsidR="00E57DAA" w:rsidRDefault="00AC4185">
            <w:pPr>
              <w:autoSpaceDE w:val="0"/>
              <w:autoSpaceDN w:val="0"/>
              <w:adjustRightInd w:val="0"/>
              <w:rPr>
                <w:szCs w:val="21"/>
              </w:rPr>
            </w:pPr>
            <w:r>
              <w:t>中建材集团进出口有限公司</w:t>
            </w:r>
          </w:p>
        </w:tc>
        <w:tc>
          <w:tcPr>
            <w:tcW w:w="1059" w:type="pct"/>
            <w:tcBorders>
              <w:top w:val="single" w:sz="4" w:space="0" w:color="auto"/>
              <w:left w:val="single" w:sz="4" w:space="0" w:color="auto"/>
              <w:bottom w:val="single" w:sz="4" w:space="0" w:color="auto"/>
              <w:right w:val="single" w:sz="4" w:space="0" w:color="auto"/>
            </w:tcBorders>
          </w:tcPr>
          <w:p w14:paraId="7995B22D" w14:textId="77777777" w:rsidR="00E57DAA" w:rsidRDefault="00AC4185">
            <w:pPr>
              <w:autoSpaceDE w:val="0"/>
              <w:autoSpaceDN w:val="0"/>
              <w:adjustRightInd w:val="0"/>
              <w:jc w:val="right"/>
              <w:rPr>
                <w:szCs w:val="21"/>
              </w:rPr>
            </w:pPr>
            <w:r>
              <w:t>11,705.73</w:t>
            </w:r>
          </w:p>
        </w:tc>
        <w:tc>
          <w:tcPr>
            <w:tcW w:w="1407" w:type="pct"/>
            <w:tcBorders>
              <w:top w:val="single" w:sz="4" w:space="0" w:color="auto"/>
              <w:left w:val="single" w:sz="4" w:space="0" w:color="auto"/>
              <w:bottom w:val="single" w:sz="4" w:space="0" w:color="auto"/>
              <w:right w:val="single" w:sz="4" w:space="0" w:color="auto"/>
            </w:tcBorders>
          </w:tcPr>
          <w:p w14:paraId="7EE16AF2" w14:textId="77777777" w:rsidR="00E57DAA" w:rsidRDefault="00AC4185">
            <w:pPr>
              <w:autoSpaceDE w:val="0"/>
              <w:autoSpaceDN w:val="0"/>
              <w:adjustRightInd w:val="0"/>
              <w:jc w:val="right"/>
              <w:rPr>
                <w:szCs w:val="21"/>
              </w:rPr>
            </w:pPr>
            <w:r>
              <w:t>11,705.73</w:t>
            </w:r>
          </w:p>
        </w:tc>
      </w:tr>
      <w:tr w:rsidR="00E57DAA" w14:paraId="13A8ED3C" w14:textId="77777777">
        <w:tc>
          <w:tcPr>
            <w:tcW w:w="640" w:type="pct"/>
            <w:tcBorders>
              <w:top w:val="single" w:sz="4" w:space="0" w:color="auto"/>
              <w:left w:val="single" w:sz="4" w:space="0" w:color="auto"/>
              <w:bottom w:val="single" w:sz="4" w:space="0" w:color="auto"/>
              <w:right w:val="single" w:sz="4" w:space="0" w:color="auto"/>
            </w:tcBorders>
            <w:vAlign w:val="center"/>
          </w:tcPr>
          <w:p w14:paraId="6A02D907"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A4CBE9C" w14:textId="77777777" w:rsidR="00E57DAA" w:rsidRDefault="00AC4185">
            <w:pPr>
              <w:autoSpaceDE w:val="0"/>
              <w:autoSpaceDN w:val="0"/>
              <w:adjustRightInd w:val="0"/>
              <w:rPr>
                <w:szCs w:val="21"/>
              </w:rPr>
            </w:pPr>
            <w:r>
              <w:t>咸阳非金属矿研究设计院有限公司</w:t>
            </w:r>
          </w:p>
        </w:tc>
        <w:tc>
          <w:tcPr>
            <w:tcW w:w="1059" w:type="pct"/>
            <w:tcBorders>
              <w:top w:val="single" w:sz="4" w:space="0" w:color="auto"/>
              <w:left w:val="single" w:sz="4" w:space="0" w:color="auto"/>
              <w:bottom w:val="single" w:sz="4" w:space="0" w:color="auto"/>
              <w:right w:val="single" w:sz="4" w:space="0" w:color="auto"/>
            </w:tcBorders>
          </w:tcPr>
          <w:p w14:paraId="3D390AB6" w14:textId="77777777" w:rsidR="00E57DAA" w:rsidRDefault="00AC4185">
            <w:pPr>
              <w:autoSpaceDE w:val="0"/>
              <w:autoSpaceDN w:val="0"/>
              <w:adjustRightInd w:val="0"/>
              <w:jc w:val="right"/>
              <w:rPr>
                <w:szCs w:val="21"/>
              </w:rPr>
            </w:pPr>
            <w:r>
              <w:t>6,934.00</w:t>
            </w:r>
          </w:p>
        </w:tc>
        <w:tc>
          <w:tcPr>
            <w:tcW w:w="1407" w:type="pct"/>
            <w:tcBorders>
              <w:top w:val="single" w:sz="4" w:space="0" w:color="auto"/>
              <w:left w:val="single" w:sz="4" w:space="0" w:color="auto"/>
              <w:bottom w:val="single" w:sz="4" w:space="0" w:color="auto"/>
              <w:right w:val="single" w:sz="4" w:space="0" w:color="auto"/>
            </w:tcBorders>
          </w:tcPr>
          <w:p w14:paraId="505CD01E" w14:textId="77777777" w:rsidR="00E57DAA" w:rsidRDefault="00AC4185">
            <w:pPr>
              <w:autoSpaceDE w:val="0"/>
              <w:autoSpaceDN w:val="0"/>
              <w:adjustRightInd w:val="0"/>
              <w:jc w:val="right"/>
              <w:rPr>
                <w:szCs w:val="21"/>
              </w:rPr>
            </w:pPr>
            <w:r>
              <w:t>13,868.00</w:t>
            </w:r>
          </w:p>
        </w:tc>
      </w:tr>
      <w:tr w:rsidR="00E57DAA" w14:paraId="4113E65D" w14:textId="77777777">
        <w:tc>
          <w:tcPr>
            <w:tcW w:w="640" w:type="pct"/>
            <w:tcBorders>
              <w:top w:val="single" w:sz="4" w:space="0" w:color="auto"/>
              <w:left w:val="single" w:sz="4" w:space="0" w:color="auto"/>
              <w:bottom w:val="single" w:sz="4" w:space="0" w:color="auto"/>
              <w:right w:val="single" w:sz="4" w:space="0" w:color="auto"/>
            </w:tcBorders>
            <w:vAlign w:val="center"/>
          </w:tcPr>
          <w:p w14:paraId="52A1E49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7CAA3B6" w14:textId="77777777" w:rsidR="00E57DAA" w:rsidRDefault="00AC4185">
            <w:pPr>
              <w:autoSpaceDE w:val="0"/>
              <w:autoSpaceDN w:val="0"/>
              <w:adjustRightInd w:val="0"/>
              <w:rPr>
                <w:szCs w:val="21"/>
              </w:rPr>
            </w:pPr>
            <w:r>
              <w:t>中建材广西勘测规划设计有限公司</w:t>
            </w:r>
          </w:p>
        </w:tc>
        <w:tc>
          <w:tcPr>
            <w:tcW w:w="1059" w:type="pct"/>
            <w:tcBorders>
              <w:top w:val="single" w:sz="4" w:space="0" w:color="auto"/>
              <w:left w:val="single" w:sz="4" w:space="0" w:color="auto"/>
              <w:bottom w:val="single" w:sz="4" w:space="0" w:color="auto"/>
              <w:right w:val="single" w:sz="4" w:space="0" w:color="auto"/>
            </w:tcBorders>
          </w:tcPr>
          <w:p w14:paraId="23F73B76" w14:textId="77777777" w:rsidR="00E57DAA" w:rsidRDefault="00AC4185">
            <w:pPr>
              <w:autoSpaceDE w:val="0"/>
              <w:autoSpaceDN w:val="0"/>
              <w:adjustRightInd w:val="0"/>
              <w:jc w:val="right"/>
              <w:rPr>
                <w:szCs w:val="21"/>
              </w:rPr>
            </w:pPr>
            <w:r>
              <w:t>6,116.72</w:t>
            </w:r>
          </w:p>
        </w:tc>
        <w:tc>
          <w:tcPr>
            <w:tcW w:w="1407" w:type="pct"/>
            <w:tcBorders>
              <w:top w:val="single" w:sz="4" w:space="0" w:color="auto"/>
              <w:left w:val="single" w:sz="4" w:space="0" w:color="auto"/>
              <w:bottom w:val="single" w:sz="4" w:space="0" w:color="auto"/>
              <w:right w:val="single" w:sz="4" w:space="0" w:color="auto"/>
            </w:tcBorders>
          </w:tcPr>
          <w:p w14:paraId="5EB0D623" w14:textId="77777777" w:rsidR="00E57DAA" w:rsidRDefault="00AC4185">
            <w:pPr>
              <w:autoSpaceDE w:val="0"/>
              <w:autoSpaceDN w:val="0"/>
              <w:adjustRightInd w:val="0"/>
              <w:jc w:val="right"/>
              <w:rPr>
                <w:szCs w:val="21"/>
              </w:rPr>
            </w:pPr>
            <w:r>
              <w:t xml:space="preserve">　</w:t>
            </w:r>
          </w:p>
        </w:tc>
      </w:tr>
      <w:tr w:rsidR="00E57DAA" w14:paraId="3D1703BA" w14:textId="77777777">
        <w:tc>
          <w:tcPr>
            <w:tcW w:w="640" w:type="pct"/>
            <w:tcBorders>
              <w:top w:val="single" w:sz="4" w:space="0" w:color="auto"/>
              <w:left w:val="single" w:sz="4" w:space="0" w:color="auto"/>
              <w:bottom w:val="single" w:sz="4" w:space="0" w:color="auto"/>
              <w:right w:val="single" w:sz="4" w:space="0" w:color="auto"/>
            </w:tcBorders>
            <w:vAlign w:val="center"/>
          </w:tcPr>
          <w:p w14:paraId="33795BF9"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1CA1F4C" w14:textId="77777777" w:rsidR="00E57DAA" w:rsidRDefault="00AC4185">
            <w:pPr>
              <w:autoSpaceDE w:val="0"/>
              <w:autoSpaceDN w:val="0"/>
              <w:adjustRightInd w:val="0"/>
              <w:rPr>
                <w:szCs w:val="21"/>
              </w:rPr>
            </w:pPr>
            <w:r>
              <w:t>安徽建材地质工程勘察院有限公司</w:t>
            </w:r>
          </w:p>
        </w:tc>
        <w:tc>
          <w:tcPr>
            <w:tcW w:w="1059" w:type="pct"/>
            <w:tcBorders>
              <w:top w:val="single" w:sz="4" w:space="0" w:color="auto"/>
              <w:left w:val="single" w:sz="4" w:space="0" w:color="auto"/>
              <w:bottom w:val="single" w:sz="4" w:space="0" w:color="auto"/>
              <w:right w:val="single" w:sz="4" w:space="0" w:color="auto"/>
            </w:tcBorders>
          </w:tcPr>
          <w:p w14:paraId="521F7728" w14:textId="77777777" w:rsidR="00E57DAA" w:rsidRDefault="00AC4185">
            <w:pPr>
              <w:autoSpaceDE w:val="0"/>
              <w:autoSpaceDN w:val="0"/>
              <w:adjustRightInd w:val="0"/>
              <w:jc w:val="right"/>
              <w:rPr>
                <w:szCs w:val="21"/>
              </w:rPr>
            </w:pPr>
            <w:r>
              <w:t>5,000.00</w:t>
            </w:r>
          </w:p>
        </w:tc>
        <w:tc>
          <w:tcPr>
            <w:tcW w:w="1407" w:type="pct"/>
            <w:tcBorders>
              <w:top w:val="single" w:sz="4" w:space="0" w:color="auto"/>
              <w:left w:val="single" w:sz="4" w:space="0" w:color="auto"/>
              <w:bottom w:val="single" w:sz="4" w:space="0" w:color="auto"/>
              <w:right w:val="single" w:sz="4" w:space="0" w:color="auto"/>
            </w:tcBorders>
          </w:tcPr>
          <w:p w14:paraId="1C2B1D7D" w14:textId="77777777" w:rsidR="00E57DAA" w:rsidRDefault="00AC4185">
            <w:pPr>
              <w:autoSpaceDE w:val="0"/>
              <w:autoSpaceDN w:val="0"/>
              <w:adjustRightInd w:val="0"/>
              <w:jc w:val="right"/>
              <w:rPr>
                <w:szCs w:val="21"/>
              </w:rPr>
            </w:pPr>
            <w:r>
              <w:t>5,000.00</w:t>
            </w:r>
          </w:p>
        </w:tc>
      </w:tr>
      <w:tr w:rsidR="00E57DAA" w14:paraId="18117174" w14:textId="77777777">
        <w:tc>
          <w:tcPr>
            <w:tcW w:w="640" w:type="pct"/>
            <w:tcBorders>
              <w:top w:val="single" w:sz="4" w:space="0" w:color="auto"/>
              <w:left w:val="single" w:sz="4" w:space="0" w:color="auto"/>
              <w:bottom w:val="single" w:sz="4" w:space="0" w:color="auto"/>
              <w:right w:val="single" w:sz="4" w:space="0" w:color="auto"/>
            </w:tcBorders>
            <w:vAlign w:val="center"/>
          </w:tcPr>
          <w:p w14:paraId="36F6BCB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2B21FD5" w14:textId="77777777" w:rsidR="00E57DAA" w:rsidRDefault="00AC4185">
            <w:pPr>
              <w:autoSpaceDE w:val="0"/>
              <w:autoSpaceDN w:val="0"/>
              <w:adjustRightInd w:val="0"/>
              <w:rPr>
                <w:szCs w:val="21"/>
              </w:rPr>
            </w:pPr>
            <w:r>
              <w:t>建材广州工程勘测院有限公司</w:t>
            </w:r>
          </w:p>
        </w:tc>
        <w:tc>
          <w:tcPr>
            <w:tcW w:w="1059" w:type="pct"/>
            <w:tcBorders>
              <w:top w:val="single" w:sz="4" w:space="0" w:color="auto"/>
              <w:left w:val="single" w:sz="4" w:space="0" w:color="auto"/>
              <w:bottom w:val="single" w:sz="4" w:space="0" w:color="auto"/>
              <w:right w:val="single" w:sz="4" w:space="0" w:color="auto"/>
            </w:tcBorders>
          </w:tcPr>
          <w:p w14:paraId="767BEB11" w14:textId="77777777" w:rsidR="00E57DAA" w:rsidRDefault="00AC4185">
            <w:pPr>
              <w:autoSpaceDE w:val="0"/>
              <w:autoSpaceDN w:val="0"/>
              <w:adjustRightInd w:val="0"/>
              <w:jc w:val="right"/>
              <w:rPr>
                <w:szCs w:val="21"/>
              </w:rPr>
            </w:pPr>
            <w:r>
              <w:t>4,200.00</w:t>
            </w:r>
          </w:p>
        </w:tc>
        <w:tc>
          <w:tcPr>
            <w:tcW w:w="1407" w:type="pct"/>
            <w:tcBorders>
              <w:top w:val="single" w:sz="4" w:space="0" w:color="auto"/>
              <w:left w:val="single" w:sz="4" w:space="0" w:color="auto"/>
              <w:bottom w:val="single" w:sz="4" w:space="0" w:color="auto"/>
              <w:right w:val="single" w:sz="4" w:space="0" w:color="auto"/>
            </w:tcBorders>
          </w:tcPr>
          <w:p w14:paraId="0AF5F054" w14:textId="77777777" w:rsidR="00E57DAA" w:rsidRDefault="00AC4185">
            <w:pPr>
              <w:autoSpaceDE w:val="0"/>
              <w:autoSpaceDN w:val="0"/>
              <w:adjustRightInd w:val="0"/>
              <w:jc w:val="right"/>
              <w:rPr>
                <w:szCs w:val="21"/>
              </w:rPr>
            </w:pPr>
            <w:r>
              <w:t>4,200.00</w:t>
            </w:r>
          </w:p>
        </w:tc>
      </w:tr>
      <w:tr w:rsidR="00E57DAA" w14:paraId="148122CA" w14:textId="77777777">
        <w:tc>
          <w:tcPr>
            <w:tcW w:w="640" w:type="pct"/>
            <w:tcBorders>
              <w:top w:val="single" w:sz="4" w:space="0" w:color="auto"/>
              <w:left w:val="single" w:sz="4" w:space="0" w:color="auto"/>
              <w:bottom w:val="single" w:sz="4" w:space="0" w:color="auto"/>
              <w:right w:val="single" w:sz="4" w:space="0" w:color="auto"/>
            </w:tcBorders>
            <w:vAlign w:val="center"/>
          </w:tcPr>
          <w:p w14:paraId="703A25B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1C4B3C6" w14:textId="77777777" w:rsidR="00E57DAA" w:rsidRDefault="00AC4185">
            <w:pPr>
              <w:autoSpaceDE w:val="0"/>
              <w:autoSpaceDN w:val="0"/>
              <w:adjustRightInd w:val="0"/>
              <w:rPr>
                <w:szCs w:val="21"/>
              </w:rPr>
            </w:pPr>
            <w:r>
              <w:t>北新建材集团南宫金属有限公司</w:t>
            </w:r>
          </w:p>
        </w:tc>
        <w:tc>
          <w:tcPr>
            <w:tcW w:w="1059" w:type="pct"/>
            <w:tcBorders>
              <w:top w:val="single" w:sz="4" w:space="0" w:color="auto"/>
              <w:left w:val="single" w:sz="4" w:space="0" w:color="auto"/>
              <w:bottom w:val="single" w:sz="4" w:space="0" w:color="auto"/>
              <w:right w:val="single" w:sz="4" w:space="0" w:color="auto"/>
            </w:tcBorders>
          </w:tcPr>
          <w:p w14:paraId="7231568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9D110DF" w14:textId="77777777" w:rsidR="00E57DAA" w:rsidRDefault="00AC4185">
            <w:pPr>
              <w:autoSpaceDE w:val="0"/>
              <w:autoSpaceDN w:val="0"/>
              <w:adjustRightInd w:val="0"/>
              <w:jc w:val="right"/>
              <w:rPr>
                <w:szCs w:val="21"/>
              </w:rPr>
            </w:pPr>
            <w:r>
              <w:t>599,523.12</w:t>
            </w:r>
          </w:p>
        </w:tc>
      </w:tr>
      <w:tr w:rsidR="00E57DAA" w14:paraId="44A4F76C" w14:textId="77777777">
        <w:tc>
          <w:tcPr>
            <w:tcW w:w="640" w:type="pct"/>
            <w:tcBorders>
              <w:top w:val="single" w:sz="4" w:space="0" w:color="auto"/>
              <w:left w:val="single" w:sz="4" w:space="0" w:color="auto"/>
              <w:bottom w:val="single" w:sz="4" w:space="0" w:color="auto"/>
              <w:right w:val="single" w:sz="4" w:space="0" w:color="auto"/>
            </w:tcBorders>
            <w:vAlign w:val="center"/>
          </w:tcPr>
          <w:p w14:paraId="392068D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B61CDB4" w14:textId="77777777" w:rsidR="00E57DAA" w:rsidRDefault="00AC4185">
            <w:pPr>
              <w:autoSpaceDE w:val="0"/>
              <w:autoSpaceDN w:val="0"/>
              <w:adjustRightInd w:val="0"/>
              <w:rPr>
                <w:szCs w:val="21"/>
              </w:rPr>
            </w:pPr>
            <w:r>
              <w:t>合肥中辰轻工机械有限公司</w:t>
            </w:r>
          </w:p>
        </w:tc>
        <w:tc>
          <w:tcPr>
            <w:tcW w:w="1059" w:type="pct"/>
            <w:tcBorders>
              <w:top w:val="single" w:sz="4" w:space="0" w:color="auto"/>
              <w:left w:val="single" w:sz="4" w:space="0" w:color="auto"/>
              <w:bottom w:val="single" w:sz="4" w:space="0" w:color="auto"/>
              <w:right w:val="single" w:sz="4" w:space="0" w:color="auto"/>
            </w:tcBorders>
          </w:tcPr>
          <w:p w14:paraId="621D399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636854F" w14:textId="77777777" w:rsidR="00E57DAA" w:rsidRDefault="00AC4185">
            <w:pPr>
              <w:autoSpaceDE w:val="0"/>
              <w:autoSpaceDN w:val="0"/>
              <w:adjustRightInd w:val="0"/>
              <w:jc w:val="right"/>
              <w:rPr>
                <w:szCs w:val="21"/>
              </w:rPr>
            </w:pPr>
            <w:r>
              <w:t>4,344,311.20</w:t>
            </w:r>
          </w:p>
        </w:tc>
      </w:tr>
      <w:tr w:rsidR="00E57DAA" w14:paraId="7F1E7164" w14:textId="77777777">
        <w:tc>
          <w:tcPr>
            <w:tcW w:w="640" w:type="pct"/>
            <w:tcBorders>
              <w:top w:val="single" w:sz="4" w:space="0" w:color="auto"/>
              <w:left w:val="single" w:sz="4" w:space="0" w:color="auto"/>
              <w:bottom w:val="single" w:sz="4" w:space="0" w:color="auto"/>
              <w:right w:val="single" w:sz="4" w:space="0" w:color="auto"/>
            </w:tcBorders>
            <w:vAlign w:val="center"/>
          </w:tcPr>
          <w:p w14:paraId="07B4CE44"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E59CCFC" w14:textId="77777777" w:rsidR="00E57DAA" w:rsidRDefault="00AC4185">
            <w:pPr>
              <w:autoSpaceDE w:val="0"/>
              <w:autoSpaceDN w:val="0"/>
              <w:adjustRightInd w:val="0"/>
              <w:rPr>
                <w:szCs w:val="21"/>
              </w:rPr>
            </w:pPr>
            <w:r>
              <w:t>唐山中轻机械有限公司</w:t>
            </w:r>
          </w:p>
        </w:tc>
        <w:tc>
          <w:tcPr>
            <w:tcW w:w="1059" w:type="pct"/>
            <w:tcBorders>
              <w:top w:val="single" w:sz="4" w:space="0" w:color="auto"/>
              <w:left w:val="single" w:sz="4" w:space="0" w:color="auto"/>
              <w:bottom w:val="single" w:sz="4" w:space="0" w:color="auto"/>
              <w:right w:val="single" w:sz="4" w:space="0" w:color="auto"/>
            </w:tcBorders>
          </w:tcPr>
          <w:p w14:paraId="1619C7E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617838B" w14:textId="77777777" w:rsidR="00E57DAA" w:rsidRDefault="00AC4185">
            <w:pPr>
              <w:autoSpaceDE w:val="0"/>
              <w:autoSpaceDN w:val="0"/>
              <w:adjustRightInd w:val="0"/>
              <w:jc w:val="right"/>
              <w:rPr>
                <w:szCs w:val="21"/>
              </w:rPr>
            </w:pPr>
            <w:r>
              <w:t>36,717.68</w:t>
            </w:r>
          </w:p>
        </w:tc>
      </w:tr>
      <w:tr w:rsidR="00E57DAA" w14:paraId="1290222F" w14:textId="77777777">
        <w:tc>
          <w:tcPr>
            <w:tcW w:w="640" w:type="pct"/>
            <w:tcBorders>
              <w:top w:val="single" w:sz="4" w:space="0" w:color="auto"/>
              <w:left w:val="single" w:sz="4" w:space="0" w:color="auto"/>
              <w:bottom w:val="single" w:sz="4" w:space="0" w:color="auto"/>
              <w:right w:val="single" w:sz="4" w:space="0" w:color="auto"/>
            </w:tcBorders>
            <w:vAlign w:val="center"/>
          </w:tcPr>
          <w:p w14:paraId="4DF0F9F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0B1930E" w14:textId="77777777" w:rsidR="00E57DAA" w:rsidRDefault="00AC4185">
            <w:pPr>
              <w:autoSpaceDE w:val="0"/>
              <w:autoSpaceDN w:val="0"/>
              <w:adjustRightInd w:val="0"/>
              <w:rPr>
                <w:szCs w:val="21"/>
              </w:rPr>
            </w:pPr>
            <w:r>
              <w:t>中材节能（武汉）有限公司</w:t>
            </w:r>
          </w:p>
        </w:tc>
        <w:tc>
          <w:tcPr>
            <w:tcW w:w="1059" w:type="pct"/>
            <w:tcBorders>
              <w:top w:val="single" w:sz="4" w:space="0" w:color="auto"/>
              <w:left w:val="single" w:sz="4" w:space="0" w:color="auto"/>
              <w:bottom w:val="single" w:sz="4" w:space="0" w:color="auto"/>
              <w:right w:val="single" w:sz="4" w:space="0" w:color="auto"/>
            </w:tcBorders>
          </w:tcPr>
          <w:p w14:paraId="2763474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6B1EAF9" w14:textId="77777777" w:rsidR="00E57DAA" w:rsidRDefault="00AC4185">
            <w:pPr>
              <w:autoSpaceDE w:val="0"/>
              <w:autoSpaceDN w:val="0"/>
              <w:adjustRightInd w:val="0"/>
              <w:jc w:val="right"/>
              <w:rPr>
                <w:szCs w:val="21"/>
              </w:rPr>
            </w:pPr>
            <w:r>
              <w:t>64,912.00</w:t>
            </w:r>
          </w:p>
        </w:tc>
      </w:tr>
      <w:tr w:rsidR="00E57DAA" w14:paraId="27177EFF" w14:textId="77777777">
        <w:tc>
          <w:tcPr>
            <w:tcW w:w="640" w:type="pct"/>
            <w:tcBorders>
              <w:top w:val="single" w:sz="4" w:space="0" w:color="auto"/>
              <w:left w:val="single" w:sz="4" w:space="0" w:color="auto"/>
              <w:bottom w:val="single" w:sz="4" w:space="0" w:color="auto"/>
              <w:right w:val="single" w:sz="4" w:space="0" w:color="auto"/>
            </w:tcBorders>
            <w:vAlign w:val="center"/>
          </w:tcPr>
          <w:p w14:paraId="3E7C22BE"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B4D994F" w14:textId="77777777" w:rsidR="00E57DAA" w:rsidRDefault="00AC4185">
            <w:pPr>
              <w:autoSpaceDE w:val="0"/>
              <w:autoSpaceDN w:val="0"/>
              <w:adjustRightInd w:val="0"/>
              <w:rPr>
                <w:szCs w:val="21"/>
              </w:rPr>
            </w:pPr>
            <w:r>
              <w:t>中材新材料装备科技（天津）有限公司</w:t>
            </w:r>
          </w:p>
        </w:tc>
        <w:tc>
          <w:tcPr>
            <w:tcW w:w="1059" w:type="pct"/>
            <w:tcBorders>
              <w:top w:val="single" w:sz="4" w:space="0" w:color="auto"/>
              <w:left w:val="single" w:sz="4" w:space="0" w:color="auto"/>
              <w:bottom w:val="single" w:sz="4" w:space="0" w:color="auto"/>
              <w:right w:val="single" w:sz="4" w:space="0" w:color="auto"/>
            </w:tcBorders>
          </w:tcPr>
          <w:p w14:paraId="2AFF2DB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A8979EF" w14:textId="77777777" w:rsidR="00E57DAA" w:rsidRDefault="00AC4185">
            <w:pPr>
              <w:autoSpaceDE w:val="0"/>
              <w:autoSpaceDN w:val="0"/>
              <w:adjustRightInd w:val="0"/>
              <w:jc w:val="right"/>
              <w:rPr>
                <w:szCs w:val="21"/>
              </w:rPr>
            </w:pPr>
            <w:r>
              <w:t>191,258.00</w:t>
            </w:r>
          </w:p>
        </w:tc>
      </w:tr>
      <w:tr w:rsidR="00E57DAA" w14:paraId="48DDAA2E" w14:textId="77777777">
        <w:tc>
          <w:tcPr>
            <w:tcW w:w="640" w:type="pct"/>
            <w:tcBorders>
              <w:top w:val="single" w:sz="4" w:space="0" w:color="auto"/>
              <w:left w:val="single" w:sz="4" w:space="0" w:color="auto"/>
              <w:bottom w:val="single" w:sz="4" w:space="0" w:color="auto"/>
              <w:right w:val="single" w:sz="4" w:space="0" w:color="auto"/>
            </w:tcBorders>
            <w:vAlign w:val="center"/>
          </w:tcPr>
          <w:p w14:paraId="4B6FC6D1"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A2B1306" w14:textId="77777777" w:rsidR="00E57DAA" w:rsidRDefault="00AC4185">
            <w:pPr>
              <w:autoSpaceDE w:val="0"/>
              <w:autoSpaceDN w:val="0"/>
              <w:adjustRightInd w:val="0"/>
              <w:rPr>
                <w:szCs w:val="21"/>
              </w:rPr>
            </w:pPr>
            <w:r>
              <w:t>中非高岭茂名新材料有限公司</w:t>
            </w:r>
          </w:p>
        </w:tc>
        <w:tc>
          <w:tcPr>
            <w:tcW w:w="1059" w:type="pct"/>
            <w:tcBorders>
              <w:top w:val="single" w:sz="4" w:space="0" w:color="auto"/>
              <w:left w:val="single" w:sz="4" w:space="0" w:color="auto"/>
              <w:bottom w:val="single" w:sz="4" w:space="0" w:color="auto"/>
              <w:right w:val="single" w:sz="4" w:space="0" w:color="auto"/>
            </w:tcBorders>
          </w:tcPr>
          <w:p w14:paraId="0185918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C2C419A" w14:textId="77777777" w:rsidR="00E57DAA" w:rsidRDefault="00AC4185">
            <w:pPr>
              <w:autoSpaceDE w:val="0"/>
              <w:autoSpaceDN w:val="0"/>
              <w:adjustRightInd w:val="0"/>
              <w:jc w:val="right"/>
              <w:rPr>
                <w:szCs w:val="21"/>
              </w:rPr>
            </w:pPr>
            <w:r>
              <w:t>143,653.64</w:t>
            </w:r>
          </w:p>
        </w:tc>
      </w:tr>
      <w:tr w:rsidR="00E57DAA" w14:paraId="3AACF17E" w14:textId="77777777">
        <w:tc>
          <w:tcPr>
            <w:tcW w:w="640" w:type="pct"/>
            <w:tcBorders>
              <w:top w:val="single" w:sz="4" w:space="0" w:color="auto"/>
              <w:left w:val="single" w:sz="4" w:space="0" w:color="auto"/>
              <w:bottom w:val="single" w:sz="4" w:space="0" w:color="auto"/>
              <w:right w:val="single" w:sz="4" w:space="0" w:color="auto"/>
            </w:tcBorders>
            <w:vAlign w:val="center"/>
          </w:tcPr>
          <w:p w14:paraId="7AD6880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32DE5F7" w14:textId="77777777" w:rsidR="00E57DAA" w:rsidRDefault="00AC4185">
            <w:pPr>
              <w:autoSpaceDE w:val="0"/>
              <w:autoSpaceDN w:val="0"/>
              <w:adjustRightInd w:val="0"/>
              <w:rPr>
                <w:szCs w:val="21"/>
              </w:rPr>
            </w:pPr>
            <w:r>
              <w:t>中国联合装备集团安阳机械有限公司</w:t>
            </w:r>
          </w:p>
        </w:tc>
        <w:tc>
          <w:tcPr>
            <w:tcW w:w="1059" w:type="pct"/>
            <w:tcBorders>
              <w:top w:val="single" w:sz="4" w:space="0" w:color="auto"/>
              <w:left w:val="single" w:sz="4" w:space="0" w:color="auto"/>
              <w:bottom w:val="single" w:sz="4" w:space="0" w:color="auto"/>
              <w:right w:val="single" w:sz="4" w:space="0" w:color="auto"/>
            </w:tcBorders>
          </w:tcPr>
          <w:p w14:paraId="62DBF1C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AD7FA60" w14:textId="77777777" w:rsidR="00E57DAA" w:rsidRDefault="00AC4185">
            <w:pPr>
              <w:autoSpaceDE w:val="0"/>
              <w:autoSpaceDN w:val="0"/>
              <w:adjustRightInd w:val="0"/>
              <w:jc w:val="right"/>
              <w:rPr>
                <w:szCs w:val="21"/>
              </w:rPr>
            </w:pPr>
            <w:r>
              <w:t>810</w:t>
            </w:r>
          </w:p>
        </w:tc>
      </w:tr>
      <w:tr w:rsidR="00E57DAA" w14:paraId="71F90AE8" w14:textId="77777777">
        <w:tc>
          <w:tcPr>
            <w:tcW w:w="640" w:type="pct"/>
            <w:tcBorders>
              <w:top w:val="single" w:sz="4" w:space="0" w:color="auto"/>
              <w:left w:val="single" w:sz="4" w:space="0" w:color="auto"/>
              <w:bottom w:val="single" w:sz="4" w:space="0" w:color="auto"/>
              <w:right w:val="single" w:sz="4" w:space="0" w:color="auto"/>
            </w:tcBorders>
            <w:vAlign w:val="center"/>
          </w:tcPr>
          <w:p w14:paraId="17B94698"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9D5E433" w14:textId="77777777" w:rsidR="00E57DAA" w:rsidRDefault="00AC4185">
            <w:pPr>
              <w:autoSpaceDE w:val="0"/>
              <w:autoSpaceDN w:val="0"/>
              <w:adjustRightInd w:val="0"/>
              <w:rPr>
                <w:szCs w:val="21"/>
              </w:rPr>
            </w:pPr>
            <w:r>
              <w:t>中建材国际贸易有限公司</w:t>
            </w:r>
          </w:p>
        </w:tc>
        <w:tc>
          <w:tcPr>
            <w:tcW w:w="1059" w:type="pct"/>
            <w:tcBorders>
              <w:top w:val="single" w:sz="4" w:space="0" w:color="auto"/>
              <w:left w:val="single" w:sz="4" w:space="0" w:color="auto"/>
              <w:bottom w:val="single" w:sz="4" w:space="0" w:color="auto"/>
              <w:right w:val="single" w:sz="4" w:space="0" w:color="auto"/>
            </w:tcBorders>
          </w:tcPr>
          <w:p w14:paraId="5DA04E1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9E0D931" w14:textId="77777777" w:rsidR="00E57DAA" w:rsidRDefault="00AC4185">
            <w:pPr>
              <w:autoSpaceDE w:val="0"/>
              <w:autoSpaceDN w:val="0"/>
              <w:adjustRightInd w:val="0"/>
              <w:jc w:val="right"/>
              <w:rPr>
                <w:szCs w:val="21"/>
              </w:rPr>
            </w:pPr>
            <w:r>
              <w:t>387,187.14</w:t>
            </w:r>
          </w:p>
        </w:tc>
      </w:tr>
      <w:tr w:rsidR="00E57DAA" w14:paraId="79972A98" w14:textId="77777777">
        <w:tc>
          <w:tcPr>
            <w:tcW w:w="640" w:type="pct"/>
            <w:tcBorders>
              <w:top w:val="single" w:sz="4" w:space="0" w:color="auto"/>
              <w:left w:val="single" w:sz="4" w:space="0" w:color="auto"/>
              <w:bottom w:val="single" w:sz="4" w:space="0" w:color="auto"/>
              <w:right w:val="single" w:sz="4" w:space="0" w:color="auto"/>
            </w:tcBorders>
            <w:vAlign w:val="center"/>
          </w:tcPr>
          <w:p w14:paraId="7A246BE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24B6B7B" w14:textId="77777777" w:rsidR="00E57DAA" w:rsidRDefault="00AC4185">
            <w:pPr>
              <w:autoSpaceDE w:val="0"/>
              <w:autoSpaceDN w:val="0"/>
              <w:adjustRightInd w:val="0"/>
              <w:rPr>
                <w:szCs w:val="21"/>
              </w:rPr>
            </w:pPr>
            <w:r>
              <w:t>中建材中岩科技有限公司</w:t>
            </w:r>
          </w:p>
        </w:tc>
        <w:tc>
          <w:tcPr>
            <w:tcW w:w="1059" w:type="pct"/>
            <w:tcBorders>
              <w:top w:val="single" w:sz="4" w:space="0" w:color="auto"/>
              <w:left w:val="single" w:sz="4" w:space="0" w:color="auto"/>
              <w:bottom w:val="single" w:sz="4" w:space="0" w:color="auto"/>
              <w:right w:val="single" w:sz="4" w:space="0" w:color="auto"/>
            </w:tcBorders>
          </w:tcPr>
          <w:p w14:paraId="0267385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CE7F462" w14:textId="77777777" w:rsidR="00E57DAA" w:rsidRDefault="00AC4185">
            <w:pPr>
              <w:autoSpaceDE w:val="0"/>
              <w:autoSpaceDN w:val="0"/>
              <w:adjustRightInd w:val="0"/>
              <w:jc w:val="right"/>
              <w:rPr>
                <w:szCs w:val="21"/>
              </w:rPr>
            </w:pPr>
            <w:r>
              <w:t>2,725,300.00</w:t>
            </w:r>
          </w:p>
        </w:tc>
      </w:tr>
      <w:tr w:rsidR="00E57DAA" w14:paraId="3E7EAAA8" w14:textId="77777777">
        <w:tc>
          <w:tcPr>
            <w:tcW w:w="640" w:type="pct"/>
            <w:tcBorders>
              <w:top w:val="single" w:sz="4" w:space="0" w:color="auto"/>
              <w:left w:val="single" w:sz="4" w:space="0" w:color="auto"/>
              <w:bottom w:val="single" w:sz="4" w:space="0" w:color="auto"/>
              <w:right w:val="single" w:sz="4" w:space="0" w:color="auto"/>
            </w:tcBorders>
            <w:vAlign w:val="center"/>
          </w:tcPr>
          <w:p w14:paraId="3749F5A4"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2B616820" w14:textId="77777777" w:rsidR="00E57DAA" w:rsidRDefault="00AC4185">
            <w:pPr>
              <w:autoSpaceDE w:val="0"/>
              <w:autoSpaceDN w:val="0"/>
              <w:adjustRightInd w:val="0"/>
              <w:rPr>
                <w:szCs w:val="21"/>
              </w:rPr>
            </w:pPr>
            <w:r>
              <w:t>其他关联方</w:t>
            </w:r>
          </w:p>
        </w:tc>
        <w:tc>
          <w:tcPr>
            <w:tcW w:w="1059" w:type="pct"/>
            <w:tcBorders>
              <w:top w:val="single" w:sz="4" w:space="0" w:color="auto"/>
              <w:left w:val="single" w:sz="4" w:space="0" w:color="auto"/>
              <w:bottom w:val="single" w:sz="4" w:space="0" w:color="auto"/>
              <w:right w:val="single" w:sz="4" w:space="0" w:color="auto"/>
            </w:tcBorders>
          </w:tcPr>
          <w:p w14:paraId="52E45B6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D937F13" w14:textId="77777777" w:rsidR="00E57DAA" w:rsidRDefault="00AC4185">
            <w:pPr>
              <w:autoSpaceDE w:val="0"/>
              <w:autoSpaceDN w:val="0"/>
              <w:adjustRightInd w:val="0"/>
              <w:jc w:val="right"/>
              <w:rPr>
                <w:szCs w:val="21"/>
              </w:rPr>
            </w:pPr>
            <w:r>
              <w:t xml:space="preserve">　</w:t>
            </w:r>
          </w:p>
        </w:tc>
      </w:tr>
      <w:tr w:rsidR="00E57DAA" w14:paraId="453316B3" w14:textId="77777777">
        <w:tc>
          <w:tcPr>
            <w:tcW w:w="640" w:type="pct"/>
            <w:tcBorders>
              <w:top w:val="single" w:sz="4" w:space="0" w:color="auto"/>
              <w:left w:val="single" w:sz="4" w:space="0" w:color="auto"/>
              <w:bottom w:val="single" w:sz="4" w:space="0" w:color="auto"/>
              <w:right w:val="single" w:sz="4" w:space="0" w:color="auto"/>
            </w:tcBorders>
            <w:vAlign w:val="center"/>
          </w:tcPr>
          <w:p w14:paraId="1C65D60F"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9D1CDED" w14:textId="77777777" w:rsidR="00E57DAA" w:rsidRDefault="00AC4185">
            <w:pPr>
              <w:autoSpaceDE w:val="0"/>
              <w:autoSpaceDN w:val="0"/>
              <w:adjustRightInd w:val="0"/>
              <w:rPr>
                <w:szCs w:val="21"/>
              </w:rPr>
            </w:pPr>
            <w:r>
              <w:t>平阴山水建筑材料有限公司</w:t>
            </w:r>
          </w:p>
        </w:tc>
        <w:tc>
          <w:tcPr>
            <w:tcW w:w="1059" w:type="pct"/>
            <w:tcBorders>
              <w:top w:val="single" w:sz="4" w:space="0" w:color="auto"/>
              <w:left w:val="single" w:sz="4" w:space="0" w:color="auto"/>
              <w:bottom w:val="single" w:sz="4" w:space="0" w:color="auto"/>
              <w:right w:val="single" w:sz="4" w:space="0" w:color="auto"/>
            </w:tcBorders>
          </w:tcPr>
          <w:p w14:paraId="50D5B3B8" w14:textId="77777777" w:rsidR="00E57DAA" w:rsidRDefault="00AC4185">
            <w:pPr>
              <w:autoSpaceDE w:val="0"/>
              <w:autoSpaceDN w:val="0"/>
              <w:adjustRightInd w:val="0"/>
              <w:jc w:val="right"/>
              <w:rPr>
                <w:szCs w:val="21"/>
              </w:rPr>
            </w:pPr>
            <w:r>
              <w:t>1,671,564.58</w:t>
            </w:r>
          </w:p>
        </w:tc>
        <w:tc>
          <w:tcPr>
            <w:tcW w:w="1407" w:type="pct"/>
            <w:tcBorders>
              <w:top w:val="single" w:sz="4" w:space="0" w:color="auto"/>
              <w:left w:val="single" w:sz="4" w:space="0" w:color="auto"/>
              <w:bottom w:val="single" w:sz="4" w:space="0" w:color="auto"/>
              <w:right w:val="single" w:sz="4" w:space="0" w:color="auto"/>
            </w:tcBorders>
          </w:tcPr>
          <w:p w14:paraId="315C83A5" w14:textId="77777777" w:rsidR="00E57DAA" w:rsidRDefault="00AC4185">
            <w:pPr>
              <w:autoSpaceDE w:val="0"/>
              <w:autoSpaceDN w:val="0"/>
              <w:adjustRightInd w:val="0"/>
              <w:jc w:val="right"/>
              <w:rPr>
                <w:szCs w:val="21"/>
              </w:rPr>
            </w:pPr>
            <w:r>
              <w:t xml:space="preserve">　</w:t>
            </w:r>
          </w:p>
        </w:tc>
      </w:tr>
      <w:tr w:rsidR="00E57DAA" w14:paraId="1207653D" w14:textId="77777777">
        <w:tc>
          <w:tcPr>
            <w:tcW w:w="640" w:type="pct"/>
            <w:tcBorders>
              <w:top w:val="single" w:sz="4" w:space="0" w:color="auto"/>
              <w:left w:val="single" w:sz="4" w:space="0" w:color="auto"/>
              <w:bottom w:val="single" w:sz="4" w:space="0" w:color="auto"/>
              <w:right w:val="single" w:sz="4" w:space="0" w:color="auto"/>
            </w:tcBorders>
            <w:vAlign w:val="center"/>
          </w:tcPr>
          <w:p w14:paraId="53FAAEFD"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5317F135" w14:textId="77777777" w:rsidR="00E57DAA" w:rsidRDefault="00AC4185">
            <w:pPr>
              <w:autoSpaceDE w:val="0"/>
              <w:autoSpaceDN w:val="0"/>
              <w:adjustRightInd w:val="0"/>
              <w:rPr>
                <w:szCs w:val="21"/>
              </w:rPr>
            </w:pPr>
            <w:r>
              <w:t>山东国材工程有限公司</w:t>
            </w:r>
          </w:p>
        </w:tc>
        <w:tc>
          <w:tcPr>
            <w:tcW w:w="1059" w:type="pct"/>
            <w:tcBorders>
              <w:top w:val="single" w:sz="4" w:space="0" w:color="auto"/>
              <w:left w:val="single" w:sz="4" w:space="0" w:color="auto"/>
              <w:bottom w:val="single" w:sz="4" w:space="0" w:color="auto"/>
              <w:right w:val="single" w:sz="4" w:space="0" w:color="auto"/>
            </w:tcBorders>
          </w:tcPr>
          <w:p w14:paraId="588D5B2A" w14:textId="77777777" w:rsidR="00E57DAA" w:rsidRDefault="00AC4185">
            <w:pPr>
              <w:autoSpaceDE w:val="0"/>
              <w:autoSpaceDN w:val="0"/>
              <w:adjustRightInd w:val="0"/>
              <w:jc w:val="right"/>
              <w:rPr>
                <w:szCs w:val="21"/>
              </w:rPr>
            </w:pPr>
            <w:r>
              <w:t>377,358.49</w:t>
            </w:r>
          </w:p>
        </w:tc>
        <w:tc>
          <w:tcPr>
            <w:tcW w:w="1407" w:type="pct"/>
            <w:tcBorders>
              <w:top w:val="single" w:sz="4" w:space="0" w:color="auto"/>
              <w:left w:val="single" w:sz="4" w:space="0" w:color="auto"/>
              <w:bottom w:val="single" w:sz="4" w:space="0" w:color="auto"/>
              <w:right w:val="single" w:sz="4" w:space="0" w:color="auto"/>
            </w:tcBorders>
          </w:tcPr>
          <w:p w14:paraId="41EF3D17" w14:textId="77777777" w:rsidR="00E57DAA" w:rsidRDefault="00AC4185">
            <w:pPr>
              <w:autoSpaceDE w:val="0"/>
              <w:autoSpaceDN w:val="0"/>
              <w:adjustRightInd w:val="0"/>
              <w:jc w:val="right"/>
              <w:rPr>
                <w:szCs w:val="21"/>
              </w:rPr>
            </w:pPr>
            <w:r>
              <w:t xml:space="preserve">　</w:t>
            </w:r>
          </w:p>
        </w:tc>
      </w:tr>
      <w:tr w:rsidR="00E57DAA" w14:paraId="253A8139" w14:textId="77777777">
        <w:tc>
          <w:tcPr>
            <w:tcW w:w="640" w:type="pct"/>
            <w:tcBorders>
              <w:top w:val="single" w:sz="4" w:space="0" w:color="auto"/>
              <w:left w:val="single" w:sz="4" w:space="0" w:color="auto"/>
              <w:bottom w:val="single" w:sz="4" w:space="0" w:color="auto"/>
              <w:right w:val="single" w:sz="4" w:space="0" w:color="auto"/>
            </w:tcBorders>
            <w:vAlign w:val="center"/>
          </w:tcPr>
          <w:p w14:paraId="40C38C62"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8ED606C" w14:textId="77777777" w:rsidR="00E57DAA" w:rsidRDefault="00AC4185">
            <w:pPr>
              <w:autoSpaceDE w:val="0"/>
              <w:autoSpaceDN w:val="0"/>
              <w:adjustRightInd w:val="0"/>
              <w:rPr>
                <w:szCs w:val="21"/>
              </w:rPr>
            </w:pPr>
            <w:r>
              <w:t>山东山水重工有限公司</w:t>
            </w:r>
          </w:p>
        </w:tc>
        <w:tc>
          <w:tcPr>
            <w:tcW w:w="1059" w:type="pct"/>
            <w:tcBorders>
              <w:top w:val="single" w:sz="4" w:space="0" w:color="auto"/>
              <w:left w:val="single" w:sz="4" w:space="0" w:color="auto"/>
              <w:bottom w:val="single" w:sz="4" w:space="0" w:color="auto"/>
              <w:right w:val="single" w:sz="4" w:space="0" w:color="auto"/>
            </w:tcBorders>
          </w:tcPr>
          <w:p w14:paraId="3598DA63" w14:textId="77777777" w:rsidR="00E57DAA" w:rsidRDefault="00AC4185">
            <w:pPr>
              <w:autoSpaceDE w:val="0"/>
              <w:autoSpaceDN w:val="0"/>
              <w:adjustRightInd w:val="0"/>
              <w:jc w:val="right"/>
              <w:rPr>
                <w:szCs w:val="21"/>
              </w:rPr>
            </w:pPr>
            <w:r>
              <w:t>223,695.00</w:t>
            </w:r>
          </w:p>
        </w:tc>
        <w:tc>
          <w:tcPr>
            <w:tcW w:w="1407" w:type="pct"/>
            <w:tcBorders>
              <w:top w:val="single" w:sz="4" w:space="0" w:color="auto"/>
              <w:left w:val="single" w:sz="4" w:space="0" w:color="auto"/>
              <w:bottom w:val="single" w:sz="4" w:space="0" w:color="auto"/>
              <w:right w:val="single" w:sz="4" w:space="0" w:color="auto"/>
            </w:tcBorders>
          </w:tcPr>
          <w:p w14:paraId="43FEE8EC" w14:textId="77777777" w:rsidR="00E57DAA" w:rsidRDefault="00AC4185">
            <w:pPr>
              <w:autoSpaceDE w:val="0"/>
              <w:autoSpaceDN w:val="0"/>
              <w:adjustRightInd w:val="0"/>
              <w:jc w:val="right"/>
              <w:rPr>
                <w:szCs w:val="21"/>
              </w:rPr>
            </w:pPr>
            <w:r>
              <w:t>5,847,455.68</w:t>
            </w:r>
          </w:p>
        </w:tc>
      </w:tr>
      <w:tr w:rsidR="00E57DAA" w14:paraId="0BE7C40A" w14:textId="77777777">
        <w:tc>
          <w:tcPr>
            <w:tcW w:w="640" w:type="pct"/>
            <w:tcBorders>
              <w:top w:val="single" w:sz="4" w:space="0" w:color="auto"/>
              <w:left w:val="single" w:sz="4" w:space="0" w:color="auto"/>
              <w:bottom w:val="single" w:sz="4" w:space="0" w:color="auto"/>
              <w:right w:val="single" w:sz="4" w:space="0" w:color="auto"/>
            </w:tcBorders>
            <w:vAlign w:val="center"/>
          </w:tcPr>
          <w:p w14:paraId="507C393A"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48AC57E3" w14:textId="77777777" w:rsidR="00E57DAA" w:rsidRDefault="00AC4185">
            <w:pPr>
              <w:autoSpaceDE w:val="0"/>
              <w:autoSpaceDN w:val="0"/>
              <w:adjustRightInd w:val="0"/>
              <w:rPr>
                <w:szCs w:val="21"/>
              </w:rPr>
            </w:pPr>
            <w:r>
              <w:t>贵州黔桂金州建材有限公司</w:t>
            </w:r>
          </w:p>
        </w:tc>
        <w:tc>
          <w:tcPr>
            <w:tcW w:w="1059" w:type="pct"/>
            <w:tcBorders>
              <w:top w:val="single" w:sz="4" w:space="0" w:color="auto"/>
              <w:left w:val="single" w:sz="4" w:space="0" w:color="auto"/>
              <w:bottom w:val="single" w:sz="4" w:space="0" w:color="auto"/>
              <w:right w:val="single" w:sz="4" w:space="0" w:color="auto"/>
            </w:tcBorders>
          </w:tcPr>
          <w:p w14:paraId="16B475EF" w14:textId="77777777" w:rsidR="00E57DAA" w:rsidRDefault="00AC4185">
            <w:pPr>
              <w:autoSpaceDE w:val="0"/>
              <w:autoSpaceDN w:val="0"/>
              <w:adjustRightInd w:val="0"/>
              <w:jc w:val="right"/>
              <w:rPr>
                <w:szCs w:val="21"/>
              </w:rPr>
            </w:pPr>
            <w:r>
              <w:t>73,569.89</w:t>
            </w:r>
          </w:p>
        </w:tc>
        <w:tc>
          <w:tcPr>
            <w:tcW w:w="1407" w:type="pct"/>
            <w:tcBorders>
              <w:top w:val="single" w:sz="4" w:space="0" w:color="auto"/>
              <w:left w:val="single" w:sz="4" w:space="0" w:color="auto"/>
              <w:bottom w:val="single" w:sz="4" w:space="0" w:color="auto"/>
              <w:right w:val="single" w:sz="4" w:space="0" w:color="auto"/>
            </w:tcBorders>
          </w:tcPr>
          <w:p w14:paraId="241D1CD4" w14:textId="77777777" w:rsidR="00E57DAA" w:rsidRDefault="00AC4185">
            <w:pPr>
              <w:autoSpaceDE w:val="0"/>
              <w:autoSpaceDN w:val="0"/>
              <w:adjustRightInd w:val="0"/>
              <w:jc w:val="right"/>
              <w:rPr>
                <w:szCs w:val="21"/>
              </w:rPr>
            </w:pPr>
            <w:r>
              <w:t>147,139.78</w:t>
            </w:r>
          </w:p>
        </w:tc>
      </w:tr>
      <w:tr w:rsidR="00E57DAA" w14:paraId="5B6BCD43" w14:textId="77777777">
        <w:tc>
          <w:tcPr>
            <w:tcW w:w="640" w:type="pct"/>
            <w:tcBorders>
              <w:top w:val="single" w:sz="4" w:space="0" w:color="auto"/>
              <w:left w:val="single" w:sz="4" w:space="0" w:color="auto"/>
              <w:bottom w:val="single" w:sz="4" w:space="0" w:color="auto"/>
              <w:right w:val="single" w:sz="4" w:space="0" w:color="auto"/>
            </w:tcBorders>
            <w:vAlign w:val="center"/>
          </w:tcPr>
          <w:p w14:paraId="55587100"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3CF3DDC6" w14:textId="77777777" w:rsidR="00E57DAA" w:rsidRDefault="00AC4185">
            <w:pPr>
              <w:autoSpaceDE w:val="0"/>
              <w:autoSpaceDN w:val="0"/>
              <w:adjustRightInd w:val="0"/>
              <w:rPr>
                <w:szCs w:val="21"/>
              </w:rPr>
            </w:pPr>
            <w:r>
              <w:t>中建材玻璃新材料研究院集团有限公司</w:t>
            </w:r>
          </w:p>
        </w:tc>
        <w:tc>
          <w:tcPr>
            <w:tcW w:w="1059" w:type="pct"/>
            <w:tcBorders>
              <w:top w:val="single" w:sz="4" w:space="0" w:color="auto"/>
              <w:left w:val="single" w:sz="4" w:space="0" w:color="auto"/>
              <w:bottom w:val="single" w:sz="4" w:space="0" w:color="auto"/>
              <w:right w:val="single" w:sz="4" w:space="0" w:color="auto"/>
            </w:tcBorders>
          </w:tcPr>
          <w:p w14:paraId="728FC76C" w14:textId="77777777" w:rsidR="00E57DAA" w:rsidRDefault="00AC4185">
            <w:pPr>
              <w:autoSpaceDE w:val="0"/>
              <w:autoSpaceDN w:val="0"/>
              <w:adjustRightInd w:val="0"/>
              <w:jc w:val="right"/>
              <w:rPr>
                <w:szCs w:val="21"/>
              </w:rPr>
            </w:pPr>
            <w:r>
              <w:t>72,000.00</w:t>
            </w:r>
          </w:p>
        </w:tc>
        <w:tc>
          <w:tcPr>
            <w:tcW w:w="1407" w:type="pct"/>
            <w:tcBorders>
              <w:top w:val="single" w:sz="4" w:space="0" w:color="auto"/>
              <w:left w:val="single" w:sz="4" w:space="0" w:color="auto"/>
              <w:bottom w:val="single" w:sz="4" w:space="0" w:color="auto"/>
              <w:right w:val="single" w:sz="4" w:space="0" w:color="auto"/>
            </w:tcBorders>
          </w:tcPr>
          <w:p w14:paraId="10E279EA" w14:textId="77777777" w:rsidR="00E57DAA" w:rsidRDefault="00AC4185">
            <w:pPr>
              <w:autoSpaceDE w:val="0"/>
              <w:autoSpaceDN w:val="0"/>
              <w:adjustRightInd w:val="0"/>
              <w:jc w:val="right"/>
              <w:rPr>
                <w:szCs w:val="21"/>
              </w:rPr>
            </w:pPr>
            <w:r>
              <w:t>144,000.00</w:t>
            </w:r>
          </w:p>
        </w:tc>
      </w:tr>
      <w:tr w:rsidR="00E57DAA" w14:paraId="540ABC1A" w14:textId="77777777">
        <w:tc>
          <w:tcPr>
            <w:tcW w:w="640" w:type="pct"/>
            <w:tcBorders>
              <w:top w:val="single" w:sz="4" w:space="0" w:color="auto"/>
              <w:left w:val="single" w:sz="4" w:space="0" w:color="auto"/>
              <w:bottom w:val="single" w:sz="4" w:space="0" w:color="auto"/>
              <w:right w:val="single" w:sz="4" w:space="0" w:color="auto"/>
            </w:tcBorders>
            <w:vAlign w:val="center"/>
          </w:tcPr>
          <w:p w14:paraId="51AE7993"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2D7AEE5F" w14:textId="77777777" w:rsidR="00E57DAA" w:rsidRDefault="00AC4185">
            <w:pPr>
              <w:autoSpaceDE w:val="0"/>
              <w:autoSpaceDN w:val="0"/>
              <w:adjustRightInd w:val="0"/>
              <w:rPr>
                <w:szCs w:val="21"/>
              </w:rPr>
            </w:pPr>
            <w:r>
              <w:t>合肥金星智控科技股份有限公司</w:t>
            </w:r>
          </w:p>
        </w:tc>
        <w:tc>
          <w:tcPr>
            <w:tcW w:w="1059" w:type="pct"/>
            <w:tcBorders>
              <w:top w:val="single" w:sz="4" w:space="0" w:color="auto"/>
              <w:left w:val="single" w:sz="4" w:space="0" w:color="auto"/>
              <w:bottom w:val="single" w:sz="4" w:space="0" w:color="auto"/>
              <w:right w:val="single" w:sz="4" w:space="0" w:color="auto"/>
            </w:tcBorders>
          </w:tcPr>
          <w:p w14:paraId="6017708D" w14:textId="77777777" w:rsidR="00E57DAA" w:rsidRDefault="00AC4185">
            <w:pPr>
              <w:autoSpaceDE w:val="0"/>
              <w:autoSpaceDN w:val="0"/>
              <w:adjustRightInd w:val="0"/>
              <w:jc w:val="right"/>
              <w:rPr>
                <w:szCs w:val="21"/>
              </w:rPr>
            </w:pPr>
            <w:r>
              <w:t>22,140.00</w:t>
            </w:r>
          </w:p>
        </w:tc>
        <w:tc>
          <w:tcPr>
            <w:tcW w:w="1407" w:type="pct"/>
            <w:tcBorders>
              <w:top w:val="single" w:sz="4" w:space="0" w:color="auto"/>
              <w:left w:val="single" w:sz="4" w:space="0" w:color="auto"/>
              <w:bottom w:val="single" w:sz="4" w:space="0" w:color="auto"/>
              <w:right w:val="single" w:sz="4" w:space="0" w:color="auto"/>
            </w:tcBorders>
          </w:tcPr>
          <w:p w14:paraId="7E45BA58" w14:textId="77777777" w:rsidR="00E57DAA" w:rsidRDefault="00AC4185">
            <w:pPr>
              <w:autoSpaceDE w:val="0"/>
              <w:autoSpaceDN w:val="0"/>
              <w:adjustRightInd w:val="0"/>
              <w:jc w:val="right"/>
              <w:rPr>
                <w:szCs w:val="21"/>
              </w:rPr>
            </w:pPr>
            <w:r>
              <w:t xml:space="preserve">　</w:t>
            </w:r>
          </w:p>
        </w:tc>
      </w:tr>
      <w:tr w:rsidR="00E57DAA" w14:paraId="5CB88B0E" w14:textId="77777777">
        <w:tc>
          <w:tcPr>
            <w:tcW w:w="640" w:type="pct"/>
            <w:tcBorders>
              <w:top w:val="single" w:sz="4" w:space="0" w:color="auto"/>
              <w:left w:val="single" w:sz="4" w:space="0" w:color="auto"/>
              <w:bottom w:val="single" w:sz="4" w:space="0" w:color="auto"/>
              <w:right w:val="single" w:sz="4" w:space="0" w:color="auto"/>
            </w:tcBorders>
            <w:vAlign w:val="center"/>
          </w:tcPr>
          <w:p w14:paraId="3ADF0E48"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1A33BC05" w14:textId="77777777" w:rsidR="00E57DAA" w:rsidRDefault="00AC4185">
            <w:pPr>
              <w:autoSpaceDE w:val="0"/>
              <w:autoSpaceDN w:val="0"/>
              <w:adjustRightInd w:val="0"/>
              <w:rPr>
                <w:szCs w:val="21"/>
              </w:rPr>
            </w:pPr>
            <w:r>
              <w:t>中建材钢构工程有限公司</w:t>
            </w:r>
          </w:p>
        </w:tc>
        <w:tc>
          <w:tcPr>
            <w:tcW w:w="1059" w:type="pct"/>
            <w:tcBorders>
              <w:top w:val="single" w:sz="4" w:space="0" w:color="auto"/>
              <w:left w:val="single" w:sz="4" w:space="0" w:color="auto"/>
              <w:bottom w:val="single" w:sz="4" w:space="0" w:color="auto"/>
              <w:right w:val="single" w:sz="4" w:space="0" w:color="auto"/>
            </w:tcBorders>
          </w:tcPr>
          <w:p w14:paraId="4DC0D9D1" w14:textId="77777777" w:rsidR="00E57DAA" w:rsidRDefault="00AC4185">
            <w:pPr>
              <w:autoSpaceDE w:val="0"/>
              <w:autoSpaceDN w:val="0"/>
              <w:adjustRightInd w:val="0"/>
              <w:jc w:val="right"/>
              <w:rPr>
                <w:szCs w:val="21"/>
              </w:rPr>
            </w:pPr>
            <w:r>
              <w:t>20,892.60</w:t>
            </w:r>
          </w:p>
        </w:tc>
        <w:tc>
          <w:tcPr>
            <w:tcW w:w="1407" w:type="pct"/>
            <w:tcBorders>
              <w:top w:val="single" w:sz="4" w:space="0" w:color="auto"/>
              <w:left w:val="single" w:sz="4" w:space="0" w:color="auto"/>
              <w:bottom w:val="single" w:sz="4" w:space="0" w:color="auto"/>
              <w:right w:val="single" w:sz="4" w:space="0" w:color="auto"/>
            </w:tcBorders>
          </w:tcPr>
          <w:p w14:paraId="7A710422" w14:textId="77777777" w:rsidR="00E57DAA" w:rsidRDefault="00AC4185">
            <w:pPr>
              <w:autoSpaceDE w:val="0"/>
              <w:autoSpaceDN w:val="0"/>
              <w:adjustRightInd w:val="0"/>
              <w:jc w:val="right"/>
              <w:rPr>
                <w:szCs w:val="21"/>
              </w:rPr>
            </w:pPr>
            <w:r>
              <w:t xml:space="preserve">　</w:t>
            </w:r>
          </w:p>
        </w:tc>
      </w:tr>
      <w:tr w:rsidR="00E57DAA" w14:paraId="3095F9B5" w14:textId="77777777">
        <w:tc>
          <w:tcPr>
            <w:tcW w:w="640" w:type="pct"/>
            <w:tcBorders>
              <w:top w:val="single" w:sz="4" w:space="0" w:color="auto"/>
              <w:left w:val="single" w:sz="4" w:space="0" w:color="auto"/>
              <w:bottom w:val="single" w:sz="4" w:space="0" w:color="auto"/>
              <w:right w:val="single" w:sz="4" w:space="0" w:color="auto"/>
            </w:tcBorders>
            <w:vAlign w:val="center"/>
          </w:tcPr>
          <w:p w14:paraId="2EBB77EC"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68F4586C" w14:textId="77777777" w:rsidR="00E57DAA" w:rsidRDefault="00AC4185">
            <w:pPr>
              <w:autoSpaceDE w:val="0"/>
              <w:autoSpaceDN w:val="0"/>
              <w:adjustRightInd w:val="0"/>
              <w:rPr>
                <w:szCs w:val="21"/>
              </w:rPr>
            </w:pPr>
            <w:r>
              <w:t>江苏中凯新材料有限公司</w:t>
            </w:r>
          </w:p>
        </w:tc>
        <w:tc>
          <w:tcPr>
            <w:tcW w:w="1059" w:type="pct"/>
            <w:tcBorders>
              <w:top w:val="single" w:sz="4" w:space="0" w:color="auto"/>
              <w:left w:val="single" w:sz="4" w:space="0" w:color="auto"/>
              <w:bottom w:val="single" w:sz="4" w:space="0" w:color="auto"/>
              <w:right w:val="single" w:sz="4" w:space="0" w:color="auto"/>
            </w:tcBorders>
          </w:tcPr>
          <w:p w14:paraId="00F1103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B07AD73" w14:textId="77777777" w:rsidR="00E57DAA" w:rsidRDefault="00AC4185">
            <w:pPr>
              <w:autoSpaceDE w:val="0"/>
              <w:autoSpaceDN w:val="0"/>
              <w:adjustRightInd w:val="0"/>
              <w:jc w:val="right"/>
              <w:rPr>
                <w:szCs w:val="21"/>
              </w:rPr>
            </w:pPr>
            <w:r>
              <w:t>84,782.50</w:t>
            </w:r>
          </w:p>
        </w:tc>
      </w:tr>
      <w:tr w:rsidR="00E57DAA" w14:paraId="12094AE4" w14:textId="77777777">
        <w:tc>
          <w:tcPr>
            <w:tcW w:w="640" w:type="pct"/>
            <w:tcBorders>
              <w:top w:val="single" w:sz="4" w:space="0" w:color="auto"/>
              <w:left w:val="single" w:sz="4" w:space="0" w:color="auto"/>
              <w:bottom w:val="single" w:sz="4" w:space="0" w:color="auto"/>
              <w:right w:val="single" w:sz="4" w:space="0" w:color="auto"/>
            </w:tcBorders>
            <w:vAlign w:val="center"/>
          </w:tcPr>
          <w:p w14:paraId="04996D66" w14:textId="77777777" w:rsidR="00E57DAA" w:rsidRDefault="00AC4185">
            <w:pPr>
              <w:autoSpaceDE w:val="0"/>
              <w:autoSpaceDN w:val="0"/>
              <w:adjustRightInd w:val="0"/>
              <w:rPr>
                <w:szCs w:val="21"/>
              </w:rPr>
            </w:pPr>
            <w:r>
              <w:t>应付账款</w:t>
            </w:r>
          </w:p>
        </w:tc>
        <w:tc>
          <w:tcPr>
            <w:tcW w:w="1894" w:type="pct"/>
            <w:tcBorders>
              <w:top w:val="single" w:sz="4" w:space="0" w:color="auto"/>
              <w:left w:val="single" w:sz="4" w:space="0" w:color="auto"/>
              <w:bottom w:val="single" w:sz="4" w:space="0" w:color="auto"/>
              <w:right w:val="single" w:sz="4" w:space="0" w:color="auto"/>
            </w:tcBorders>
          </w:tcPr>
          <w:p w14:paraId="0D0690F7" w14:textId="77777777" w:rsidR="00E57DAA" w:rsidRDefault="00AC4185">
            <w:pPr>
              <w:autoSpaceDE w:val="0"/>
              <w:autoSpaceDN w:val="0"/>
              <w:adjustRightInd w:val="0"/>
              <w:rPr>
                <w:szCs w:val="21"/>
              </w:rPr>
            </w:pPr>
            <w:r>
              <w:t>中材高新成都能源技术有限公司</w:t>
            </w:r>
          </w:p>
        </w:tc>
        <w:tc>
          <w:tcPr>
            <w:tcW w:w="1059" w:type="pct"/>
            <w:tcBorders>
              <w:top w:val="single" w:sz="4" w:space="0" w:color="auto"/>
              <w:left w:val="single" w:sz="4" w:space="0" w:color="auto"/>
              <w:bottom w:val="single" w:sz="4" w:space="0" w:color="auto"/>
              <w:right w:val="single" w:sz="4" w:space="0" w:color="auto"/>
            </w:tcBorders>
          </w:tcPr>
          <w:p w14:paraId="4FF3FBF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E162153" w14:textId="77777777" w:rsidR="00E57DAA" w:rsidRDefault="00AC4185">
            <w:pPr>
              <w:autoSpaceDE w:val="0"/>
              <w:autoSpaceDN w:val="0"/>
              <w:adjustRightInd w:val="0"/>
              <w:jc w:val="right"/>
              <w:rPr>
                <w:szCs w:val="21"/>
              </w:rPr>
            </w:pPr>
            <w:r>
              <w:t>126,000.00</w:t>
            </w:r>
          </w:p>
        </w:tc>
      </w:tr>
      <w:tr w:rsidR="00E57DAA" w14:paraId="537ECD4A" w14:textId="77777777">
        <w:tc>
          <w:tcPr>
            <w:tcW w:w="640" w:type="pct"/>
            <w:tcBorders>
              <w:top w:val="single" w:sz="4" w:space="0" w:color="auto"/>
              <w:left w:val="single" w:sz="4" w:space="0" w:color="auto"/>
              <w:bottom w:val="single" w:sz="4" w:space="0" w:color="auto"/>
              <w:right w:val="single" w:sz="4" w:space="0" w:color="auto"/>
            </w:tcBorders>
            <w:vAlign w:val="center"/>
          </w:tcPr>
          <w:p w14:paraId="098AC939" w14:textId="77777777" w:rsidR="00E57DAA" w:rsidRDefault="00AC4185">
            <w:pPr>
              <w:autoSpaceDE w:val="0"/>
              <w:autoSpaceDN w:val="0"/>
              <w:adjustRightInd w:val="0"/>
              <w:rPr>
                <w:szCs w:val="21"/>
              </w:rPr>
            </w:pPr>
            <w:r>
              <w:lastRenderedPageBreak/>
              <w:t>应付账款</w:t>
            </w:r>
          </w:p>
        </w:tc>
        <w:tc>
          <w:tcPr>
            <w:tcW w:w="1894" w:type="pct"/>
            <w:tcBorders>
              <w:top w:val="single" w:sz="4" w:space="0" w:color="auto"/>
              <w:left w:val="single" w:sz="4" w:space="0" w:color="auto"/>
              <w:bottom w:val="single" w:sz="4" w:space="0" w:color="auto"/>
              <w:right w:val="single" w:sz="4" w:space="0" w:color="auto"/>
            </w:tcBorders>
          </w:tcPr>
          <w:p w14:paraId="2C56529F" w14:textId="77777777" w:rsidR="00E57DAA" w:rsidRDefault="00AC4185">
            <w:pPr>
              <w:autoSpaceDE w:val="0"/>
              <w:autoSpaceDN w:val="0"/>
              <w:adjustRightInd w:val="0"/>
              <w:rPr>
                <w:szCs w:val="21"/>
              </w:rPr>
            </w:pPr>
            <w:r>
              <w:t>中建材富磊（上海）建设有限公司</w:t>
            </w:r>
          </w:p>
        </w:tc>
        <w:tc>
          <w:tcPr>
            <w:tcW w:w="1059" w:type="pct"/>
            <w:tcBorders>
              <w:top w:val="single" w:sz="4" w:space="0" w:color="auto"/>
              <w:left w:val="single" w:sz="4" w:space="0" w:color="auto"/>
              <w:bottom w:val="single" w:sz="4" w:space="0" w:color="auto"/>
              <w:right w:val="single" w:sz="4" w:space="0" w:color="auto"/>
            </w:tcBorders>
          </w:tcPr>
          <w:p w14:paraId="06AC591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CE33541" w14:textId="77777777" w:rsidR="00E57DAA" w:rsidRDefault="00AC4185">
            <w:pPr>
              <w:autoSpaceDE w:val="0"/>
              <w:autoSpaceDN w:val="0"/>
              <w:adjustRightInd w:val="0"/>
              <w:jc w:val="right"/>
              <w:rPr>
                <w:szCs w:val="21"/>
              </w:rPr>
            </w:pPr>
            <w:r>
              <w:t>193,095.68</w:t>
            </w:r>
          </w:p>
        </w:tc>
      </w:tr>
      <w:tr w:rsidR="00E57DAA" w14:paraId="4012977C" w14:textId="77777777">
        <w:tc>
          <w:tcPr>
            <w:tcW w:w="640" w:type="pct"/>
            <w:tcBorders>
              <w:top w:val="single" w:sz="4" w:space="0" w:color="auto"/>
              <w:left w:val="single" w:sz="4" w:space="0" w:color="auto"/>
              <w:bottom w:val="single" w:sz="4" w:space="0" w:color="auto"/>
              <w:right w:val="single" w:sz="4" w:space="0" w:color="auto"/>
            </w:tcBorders>
            <w:vAlign w:val="center"/>
          </w:tcPr>
          <w:p w14:paraId="42965F15"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1DCA823F" w14:textId="77777777" w:rsidR="00E57DAA" w:rsidRDefault="00AC4185">
            <w:pPr>
              <w:autoSpaceDE w:val="0"/>
              <w:autoSpaceDN w:val="0"/>
              <w:adjustRightInd w:val="0"/>
              <w:rPr>
                <w:szCs w:val="21"/>
              </w:rPr>
            </w:pPr>
            <w:r>
              <w:t>联营企业</w:t>
            </w:r>
          </w:p>
        </w:tc>
        <w:tc>
          <w:tcPr>
            <w:tcW w:w="1059" w:type="pct"/>
            <w:tcBorders>
              <w:top w:val="single" w:sz="4" w:space="0" w:color="auto"/>
              <w:left w:val="single" w:sz="4" w:space="0" w:color="auto"/>
              <w:bottom w:val="single" w:sz="4" w:space="0" w:color="auto"/>
              <w:right w:val="single" w:sz="4" w:space="0" w:color="auto"/>
            </w:tcBorders>
          </w:tcPr>
          <w:p w14:paraId="7CF367A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0DC576C" w14:textId="77777777" w:rsidR="00E57DAA" w:rsidRDefault="00AC4185">
            <w:pPr>
              <w:autoSpaceDE w:val="0"/>
              <w:autoSpaceDN w:val="0"/>
              <w:adjustRightInd w:val="0"/>
              <w:jc w:val="right"/>
              <w:rPr>
                <w:szCs w:val="21"/>
              </w:rPr>
            </w:pPr>
            <w:r>
              <w:t xml:space="preserve">　</w:t>
            </w:r>
          </w:p>
        </w:tc>
      </w:tr>
      <w:tr w:rsidR="00E57DAA" w14:paraId="33E9E650" w14:textId="77777777">
        <w:tc>
          <w:tcPr>
            <w:tcW w:w="640" w:type="pct"/>
            <w:tcBorders>
              <w:top w:val="single" w:sz="4" w:space="0" w:color="auto"/>
              <w:left w:val="single" w:sz="4" w:space="0" w:color="auto"/>
              <w:bottom w:val="single" w:sz="4" w:space="0" w:color="auto"/>
              <w:right w:val="single" w:sz="4" w:space="0" w:color="auto"/>
            </w:tcBorders>
            <w:vAlign w:val="center"/>
          </w:tcPr>
          <w:p w14:paraId="244A544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290E929" w14:textId="77777777" w:rsidR="00E57DAA" w:rsidRDefault="00AC4185">
            <w:pPr>
              <w:autoSpaceDE w:val="0"/>
              <w:autoSpaceDN w:val="0"/>
              <w:adjustRightInd w:val="0"/>
              <w:rPr>
                <w:szCs w:val="21"/>
              </w:rPr>
            </w:pPr>
            <w:r>
              <w:t>安徽长江环境科技有限公司</w:t>
            </w:r>
          </w:p>
        </w:tc>
        <w:tc>
          <w:tcPr>
            <w:tcW w:w="1059" w:type="pct"/>
            <w:tcBorders>
              <w:top w:val="single" w:sz="4" w:space="0" w:color="auto"/>
              <w:left w:val="single" w:sz="4" w:space="0" w:color="auto"/>
              <w:bottom w:val="single" w:sz="4" w:space="0" w:color="auto"/>
              <w:right w:val="single" w:sz="4" w:space="0" w:color="auto"/>
            </w:tcBorders>
          </w:tcPr>
          <w:p w14:paraId="1C4DA5E9" w14:textId="77777777" w:rsidR="00E57DAA" w:rsidRDefault="00AC4185">
            <w:pPr>
              <w:autoSpaceDE w:val="0"/>
              <w:autoSpaceDN w:val="0"/>
              <w:adjustRightInd w:val="0"/>
              <w:jc w:val="right"/>
              <w:rPr>
                <w:szCs w:val="21"/>
              </w:rPr>
            </w:pPr>
            <w:r>
              <w:t>1,273,069.47</w:t>
            </w:r>
          </w:p>
        </w:tc>
        <w:tc>
          <w:tcPr>
            <w:tcW w:w="1407" w:type="pct"/>
            <w:tcBorders>
              <w:top w:val="single" w:sz="4" w:space="0" w:color="auto"/>
              <w:left w:val="single" w:sz="4" w:space="0" w:color="auto"/>
              <w:bottom w:val="single" w:sz="4" w:space="0" w:color="auto"/>
              <w:right w:val="single" w:sz="4" w:space="0" w:color="auto"/>
            </w:tcBorders>
          </w:tcPr>
          <w:p w14:paraId="69E29137" w14:textId="77777777" w:rsidR="00E57DAA" w:rsidRDefault="00AC4185">
            <w:pPr>
              <w:autoSpaceDE w:val="0"/>
              <w:autoSpaceDN w:val="0"/>
              <w:adjustRightInd w:val="0"/>
              <w:jc w:val="right"/>
              <w:rPr>
                <w:szCs w:val="21"/>
              </w:rPr>
            </w:pPr>
            <w:r>
              <w:t xml:space="preserve">　</w:t>
            </w:r>
          </w:p>
        </w:tc>
      </w:tr>
      <w:tr w:rsidR="00E57DAA" w14:paraId="1C9C369A" w14:textId="77777777">
        <w:tc>
          <w:tcPr>
            <w:tcW w:w="640" w:type="pct"/>
            <w:tcBorders>
              <w:top w:val="single" w:sz="4" w:space="0" w:color="auto"/>
              <w:left w:val="single" w:sz="4" w:space="0" w:color="auto"/>
              <w:bottom w:val="single" w:sz="4" w:space="0" w:color="auto"/>
              <w:right w:val="single" w:sz="4" w:space="0" w:color="auto"/>
            </w:tcBorders>
            <w:vAlign w:val="center"/>
          </w:tcPr>
          <w:p w14:paraId="2F35642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E5004E2" w14:textId="77777777" w:rsidR="00E57DAA" w:rsidRDefault="00AC4185">
            <w:pPr>
              <w:autoSpaceDE w:val="0"/>
              <w:autoSpaceDN w:val="0"/>
              <w:adjustRightInd w:val="0"/>
              <w:rPr>
                <w:szCs w:val="21"/>
              </w:rPr>
            </w:pPr>
            <w:r>
              <w:t>中国建材国际坦桑尼亚有限公司</w:t>
            </w:r>
          </w:p>
        </w:tc>
        <w:tc>
          <w:tcPr>
            <w:tcW w:w="1059" w:type="pct"/>
            <w:tcBorders>
              <w:top w:val="single" w:sz="4" w:space="0" w:color="auto"/>
              <w:left w:val="single" w:sz="4" w:space="0" w:color="auto"/>
              <w:bottom w:val="single" w:sz="4" w:space="0" w:color="auto"/>
              <w:right w:val="single" w:sz="4" w:space="0" w:color="auto"/>
            </w:tcBorders>
          </w:tcPr>
          <w:p w14:paraId="4ED82E56" w14:textId="77777777" w:rsidR="00E57DAA" w:rsidRDefault="00AC4185">
            <w:pPr>
              <w:autoSpaceDE w:val="0"/>
              <w:autoSpaceDN w:val="0"/>
              <w:adjustRightInd w:val="0"/>
              <w:jc w:val="right"/>
              <w:rPr>
                <w:szCs w:val="21"/>
              </w:rPr>
            </w:pPr>
            <w:r>
              <w:t>474,193.65</w:t>
            </w:r>
          </w:p>
        </w:tc>
        <w:tc>
          <w:tcPr>
            <w:tcW w:w="1407" w:type="pct"/>
            <w:tcBorders>
              <w:top w:val="single" w:sz="4" w:space="0" w:color="auto"/>
              <w:left w:val="single" w:sz="4" w:space="0" w:color="auto"/>
              <w:bottom w:val="single" w:sz="4" w:space="0" w:color="auto"/>
              <w:right w:val="single" w:sz="4" w:space="0" w:color="auto"/>
            </w:tcBorders>
          </w:tcPr>
          <w:p w14:paraId="56768A15" w14:textId="77777777" w:rsidR="00E57DAA" w:rsidRDefault="00AC4185">
            <w:pPr>
              <w:autoSpaceDE w:val="0"/>
              <w:autoSpaceDN w:val="0"/>
              <w:adjustRightInd w:val="0"/>
              <w:jc w:val="right"/>
              <w:rPr>
                <w:szCs w:val="21"/>
              </w:rPr>
            </w:pPr>
            <w:r>
              <w:t>2,146,666.77</w:t>
            </w:r>
          </w:p>
        </w:tc>
      </w:tr>
      <w:tr w:rsidR="00E57DAA" w14:paraId="7AB0C4B6" w14:textId="77777777">
        <w:tc>
          <w:tcPr>
            <w:tcW w:w="640" w:type="pct"/>
            <w:tcBorders>
              <w:top w:val="single" w:sz="4" w:space="0" w:color="auto"/>
              <w:left w:val="single" w:sz="4" w:space="0" w:color="auto"/>
              <w:bottom w:val="single" w:sz="4" w:space="0" w:color="auto"/>
              <w:right w:val="single" w:sz="4" w:space="0" w:color="auto"/>
            </w:tcBorders>
            <w:vAlign w:val="center"/>
          </w:tcPr>
          <w:p w14:paraId="2FE765C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B391142" w14:textId="77777777" w:rsidR="00E57DAA" w:rsidRDefault="00AC4185">
            <w:pPr>
              <w:autoSpaceDE w:val="0"/>
              <w:autoSpaceDN w:val="0"/>
              <w:adjustRightInd w:val="0"/>
              <w:rPr>
                <w:szCs w:val="21"/>
              </w:rPr>
            </w:pPr>
            <w:r>
              <w:t>富沛（上海）建设有限公司</w:t>
            </w:r>
          </w:p>
        </w:tc>
        <w:tc>
          <w:tcPr>
            <w:tcW w:w="1059" w:type="pct"/>
            <w:tcBorders>
              <w:top w:val="single" w:sz="4" w:space="0" w:color="auto"/>
              <w:left w:val="single" w:sz="4" w:space="0" w:color="auto"/>
              <w:bottom w:val="single" w:sz="4" w:space="0" w:color="auto"/>
              <w:right w:val="single" w:sz="4" w:space="0" w:color="auto"/>
            </w:tcBorders>
          </w:tcPr>
          <w:p w14:paraId="3757FC20" w14:textId="77777777" w:rsidR="00E57DAA" w:rsidRDefault="00AC4185">
            <w:pPr>
              <w:autoSpaceDE w:val="0"/>
              <w:autoSpaceDN w:val="0"/>
              <w:adjustRightInd w:val="0"/>
              <w:jc w:val="right"/>
              <w:rPr>
                <w:szCs w:val="21"/>
              </w:rPr>
            </w:pPr>
            <w:r>
              <w:t>2,529.61</w:t>
            </w:r>
          </w:p>
        </w:tc>
        <w:tc>
          <w:tcPr>
            <w:tcW w:w="1407" w:type="pct"/>
            <w:tcBorders>
              <w:top w:val="single" w:sz="4" w:space="0" w:color="auto"/>
              <w:left w:val="single" w:sz="4" w:space="0" w:color="auto"/>
              <w:bottom w:val="single" w:sz="4" w:space="0" w:color="auto"/>
              <w:right w:val="single" w:sz="4" w:space="0" w:color="auto"/>
            </w:tcBorders>
          </w:tcPr>
          <w:p w14:paraId="457027B9" w14:textId="77777777" w:rsidR="00E57DAA" w:rsidRDefault="00AC4185">
            <w:pPr>
              <w:autoSpaceDE w:val="0"/>
              <w:autoSpaceDN w:val="0"/>
              <w:adjustRightInd w:val="0"/>
              <w:jc w:val="right"/>
              <w:rPr>
                <w:szCs w:val="21"/>
              </w:rPr>
            </w:pPr>
            <w:r>
              <w:t>2,484.84</w:t>
            </w:r>
          </w:p>
        </w:tc>
      </w:tr>
      <w:tr w:rsidR="00E57DAA" w14:paraId="258E48FE" w14:textId="77777777">
        <w:tc>
          <w:tcPr>
            <w:tcW w:w="640" w:type="pct"/>
            <w:tcBorders>
              <w:top w:val="single" w:sz="4" w:space="0" w:color="auto"/>
              <w:left w:val="single" w:sz="4" w:space="0" w:color="auto"/>
              <w:bottom w:val="single" w:sz="4" w:space="0" w:color="auto"/>
              <w:right w:val="single" w:sz="4" w:space="0" w:color="auto"/>
            </w:tcBorders>
            <w:vAlign w:val="center"/>
          </w:tcPr>
          <w:p w14:paraId="6A777885"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045770A5" w14:textId="77777777" w:rsidR="00E57DAA" w:rsidRDefault="00AC4185">
            <w:pPr>
              <w:autoSpaceDE w:val="0"/>
              <w:autoSpaceDN w:val="0"/>
              <w:adjustRightInd w:val="0"/>
              <w:rPr>
                <w:szCs w:val="21"/>
              </w:rPr>
            </w:pPr>
            <w:r>
              <w:t>受同一母公司控制的其他企业</w:t>
            </w:r>
          </w:p>
        </w:tc>
        <w:tc>
          <w:tcPr>
            <w:tcW w:w="1059" w:type="pct"/>
            <w:tcBorders>
              <w:top w:val="single" w:sz="4" w:space="0" w:color="auto"/>
              <w:left w:val="single" w:sz="4" w:space="0" w:color="auto"/>
              <w:bottom w:val="single" w:sz="4" w:space="0" w:color="auto"/>
              <w:right w:val="single" w:sz="4" w:space="0" w:color="auto"/>
            </w:tcBorders>
          </w:tcPr>
          <w:p w14:paraId="298913C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AC7943B" w14:textId="77777777" w:rsidR="00E57DAA" w:rsidRDefault="00AC4185">
            <w:pPr>
              <w:autoSpaceDE w:val="0"/>
              <w:autoSpaceDN w:val="0"/>
              <w:adjustRightInd w:val="0"/>
              <w:jc w:val="right"/>
              <w:rPr>
                <w:szCs w:val="21"/>
              </w:rPr>
            </w:pPr>
            <w:r>
              <w:t xml:space="preserve">　</w:t>
            </w:r>
          </w:p>
        </w:tc>
      </w:tr>
      <w:tr w:rsidR="00E57DAA" w14:paraId="17DD791B" w14:textId="77777777">
        <w:tc>
          <w:tcPr>
            <w:tcW w:w="640" w:type="pct"/>
            <w:tcBorders>
              <w:top w:val="single" w:sz="4" w:space="0" w:color="auto"/>
              <w:left w:val="single" w:sz="4" w:space="0" w:color="auto"/>
              <w:bottom w:val="single" w:sz="4" w:space="0" w:color="auto"/>
              <w:right w:val="single" w:sz="4" w:space="0" w:color="auto"/>
            </w:tcBorders>
            <w:vAlign w:val="center"/>
          </w:tcPr>
          <w:p w14:paraId="5E92FC8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7EED974" w14:textId="77777777" w:rsidR="00E57DAA" w:rsidRDefault="00AC4185">
            <w:pPr>
              <w:autoSpaceDE w:val="0"/>
              <w:autoSpaceDN w:val="0"/>
              <w:adjustRightInd w:val="0"/>
              <w:rPr>
                <w:szCs w:val="21"/>
              </w:rPr>
            </w:pPr>
            <w:r>
              <w:t>池州中建材新材料有限公司</w:t>
            </w:r>
          </w:p>
        </w:tc>
        <w:tc>
          <w:tcPr>
            <w:tcW w:w="1059" w:type="pct"/>
            <w:tcBorders>
              <w:top w:val="single" w:sz="4" w:space="0" w:color="auto"/>
              <w:left w:val="single" w:sz="4" w:space="0" w:color="auto"/>
              <w:bottom w:val="single" w:sz="4" w:space="0" w:color="auto"/>
              <w:right w:val="single" w:sz="4" w:space="0" w:color="auto"/>
            </w:tcBorders>
          </w:tcPr>
          <w:p w14:paraId="31190E22" w14:textId="77777777" w:rsidR="00E57DAA" w:rsidRDefault="00AC4185">
            <w:pPr>
              <w:autoSpaceDE w:val="0"/>
              <w:autoSpaceDN w:val="0"/>
              <w:adjustRightInd w:val="0"/>
              <w:jc w:val="right"/>
              <w:rPr>
                <w:szCs w:val="21"/>
              </w:rPr>
            </w:pPr>
            <w:r>
              <w:t>602,346,359.11</w:t>
            </w:r>
          </w:p>
        </w:tc>
        <w:tc>
          <w:tcPr>
            <w:tcW w:w="1407" w:type="pct"/>
            <w:tcBorders>
              <w:top w:val="single" w:sz="4" w:space="0" w:color="auto"/>
              <w:left w:val="single" w:sz="4" w:space="0" w:color="auto"/>
              <w:bottom w:val="single" w:sz="4" w:space="0" w:color="auto"/>
              <w:right w:val="single" w:sz="4" w:space="0" w:color="auto"/>
            </w:tcBorders>
          </w:tcPr>
          <w:p w14:paraId="294003C6" w14:textId="77777777" w:rsidR="00E57DAA" w:rsidRDefault="00AC4185">
            <w:pPr>
              <w:autoSpaceDE w:val="0"/>
              <w:autoSpaceDN w:val="0"/>
              <w:adjustRightInd w:val="0"/>
              <w:jc w:val="right"/>
              <w:rPr>
                <w:szCs w:val="21"/>
              </w:rPr>
            </w:pPr>
            <w:r>
              <w:t>24,545,201.12</w:t>
            </w:r>
          </w:p>
        </w:tc>
      </w:tr>
      <w:tr w:rsidR="00E57DAA" w14:paraId="29685BEB" w14:textId="77777777">
        <w:tc>
          <w:tcPr>
            <w:tcW w:w="640" w:type="pct"/>
            <w:tcBorders>
              <w:top w:val="single" w:sz="4" w:space="0" w:color="auto"/>
              <w:left w:val="single" w:sz="4" w:space="0" w:color="auto"/>
              <w:bottom w:val="single" w:sz="4" w:space="0" w:color="auto"/>
              <w:right w:val="single" w:sz="4" w:space="0" w:color="auto"/>
            </w:tcBorders>
            <w:vAlign w:val="center"/>
          </w:tcPr>
          <w:p w14:paraId="267BC0C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4A03097" w14:textId="77777777" w:rsidR="00E57DAA" w:rsidRDefault="00AC4185">
            <w:pPr>
              <w:autoSpaceDE w:val="0"/>
              <w:autoSpaceDN w:val="0"/>
              <w:adjustRightInd w:val="0"/>
              <w:rPr>
                <w:szCs w:val="21"/>
              </w:rPr>
            </w:pPr>
            <w:r>
              <w:t>重庆铜梁西南水泥有限公司</w:t>
            </w:r>
          </w:p>
        </w:tc>
        <w:tc>
          <w:tcPr>
            <w:tcW w:w="1059" w:type="pct"/>
            <w:tcBorders>
              <w:top w:val="single" w:sz="4" w:space="0" w:color="auto"/>
              <w:left w:val="single" w:sz="4" w:space="0" w:color="auto"/>
              <w:bottom w:val="single" w:sz="4" w:space="0" w:color="auto"/>
              <w:right w:val="single" w:sz="4" w:space="0" w:color="auto"/>
            </w:tcBorders>
          </w:tcPr>
          <w:p w14:paraId="407512EE" w14:textId="77777777" w:rsidR="00E57DAA" w:rsidRDefault="00AC4185">
            <w:pPr>
              <w:autoSpaceDE w:val="0"/>
              <w:autoSpaceDN w:val="0"/>
              <w:adjustRightInd w:val="0"/>
              <w:jc w:val="right"/>
              <w:rPr>
                <w:szCs w:val="21"/>
              </w:rPr>
            </w:pPr>
            <w:r>
              <w:t>161,836,754.31</w:t>
            </w:r>
          </w:p>
        </w:tc>
        <w:tc>
          <w:tcPr>
            <w:tcW w:w="1407" w:type="pct"/>
            <w:tcBorders>
              <w:top w:val="single" w:sz="4" w:space="0" w:color="auto"/>
              <w:left w:val="single" w:sz="4" w:space="0" w:color="auto"/>
              <w:bottom w:val="single" w:sz="4" w:space="0" w:color="auto"/>
              <w:right w:val="single" w:sz="4" w:space="0" w:color="auto"/>
            </w:tcBorders>
          </w:tcPr>
          <w:p w14:paraId="66641AE3" w14:textId="77777777" w:rsidR="00E57DAA" w:rsidRDefault="00AC4185">
            <w:pPr>
              <w:autoSpaceDE w:val="0"/>
              <w:autoSpaceDN w:val="0"/>
              <w:adjustRightInd w:val="0"/>
              <w:jc w:val="right"/>
              <w:rPr>
                <w:szCs w:val="21"/>
              </w:rPr>
            </w:pPr>
            <w:r>
              <w:t xml:space="preserve">　</w:t>
            </w:r>
          </w:p>
        </w:tc>
      </w:tr>
      <w:tr w:rsidR="00E57DAA" w14:paraId="06D617DE" w14:textId="77777777">
        <w:tc>
          <w:tcPr>
            <w:tcW w:w="640" w:type="pct"/>
            <w:tcBorders>
              <w:top w:val="single" w:sz="4" w:space="0" w:color="auto"/>
              <w:left w:val="single" w:sz="4" w:space="0" w:color="auto"/>
              <w:bottom w:val="single" w:sz="4" w:space="0" w:color="auto"/>
              <w:right w:val="single" w:sz="4" w:space="0" w:color="auto"/>
            </w:tcBorders>
            <w:vAlign w:val="center"/>
          </w:tcPr>
          <w:p w14:paraId="239B1DF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0D94D2C" w14:textId="77777777" w:rsidR="00E57DAA" w:rsidRDefault="00AC4185">
            <w:pPr>
              <w:autoSpaceDE w:val="0"/>
              <w:autoSpaceDN w:val="0"/>
              <w:adjustRightInd w:val="0"/>
              <w:rPr>
                <w:szCs w:val="21"/>
              </w:rPr>
            </w:pPr>
            <w:r>
              <w:t>毕节西南水泥有限公司</w:t>
            </w:r>
          </w:p>
        </w:tc>
        <w:tc>
          <w:tcPr>
            <w:tcW w:w="1059" w:type="pct"/>
            <w:tcBorders>
              <w:top w:val="single" w:sz="4" w:space="0" w:color="auto"/>
              <w:left w:val="single" w:sz="4" w:space="0" w:color="auto"/>
              <w:bottom w:val="single" w:sz="4" w:space="0" w:color="auto"/>
              <w:right w:val="single" w:sz="4" w:space="0" w:color="auto"/>
            </w:tcBorders>
          </w:tcPr>
          <w:p w14:paraId="7B724C8D" w14:textId="77777777" w:rsidR="00E57DAA" w:rsidRDefault="00AC4185">
            <w:pPr>
              <w:autoSpaceDE w:val="0"/>
              <w:autoSpaceDN w:val="0"/>
              <w:adjustRightInd w:val="0"/>
              <w:jc w:val="right"/>
              <w:rPr>
                <w:szCs w:val="21"/>
              </w:rPr>
            </w:pPr>
            <w:r>
              <w:t>49,478,855.06</w:t>
            </w:r>
          </w:p>
        </w:tc>
        <w:tc>
          <w:tcPr>
            <w:tcW w:w="1407" w:type="pct"/>
            <w:tcBorders>
              <w:top w:val="single" w:sz="4" w:space="0" w:color="auto"/>
              <w:left w:val="single" w:sz="4" w:space="0" w:color="auto"/>
              <w:bottom w:val="single" w:sz="4" w:space="0" w:color="auto"/>
              <w:right w:val="single" w:sz="4" w:space="0" w:color="auto"/>
            </w:tcBorders>
          </w:tcPr>
          <w:p w14:paraId="6AEFA692" w14:textId="77777777" w:rsidR="00E57DAA" w:rsidRDefault="00AC4185">
            <w:pPr>
              <w:autoSpaceDE w:val="0"/>
              <w:autoSpaceDN w:val="0"/>
              <w:adjustRightInd w:val="0"/>
              <w:jc w:val="right"/>
              <w:rPr>
                <w:szCs w:val="21"/>
              </w:rPr>
            </w:pPr>
            <w:r>
              <w:t>50,955,743.53</w:t>
            </w:r>
          </w:p>
        </w:tc>
      </w:tr>
      <w:tr w:rsidR="00E57DAA" w14:paraId="207A85F7" w14:textId="77777777">
        <w:tc>
          <w:tcPr>
            <w:tcW w:w="640" w:type="pct"/>
            <w:tcBorders>
              <w:top w:val="single" w:sz="4" w:space="0" w:color="auto"/>
              <w:left w:val="single" w:sz="4" w:space="0" w:color="auto"/>
              <w:bottom w:val="single" w:sz="4" w:space="0" w:color="auto"/>
              <w:right w:val="single" w:sz="4" w:space="0" w:color="auto"/>
            </w:tcBorders>
            <w:vAlign w:val="center"/>
          </w:tcPr>
          <w:p w14:paraId="5E5E579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4543C89" w14:textId="77777777" w:rsidR="00E57DAA" w:rsidRDefault="00AC4185">
            <w:pPr>
              <w:autoSpaceDE w:val="0"/>
              <w:autoSpaceDN w:val="0"/>
              <w:adjustRightInd w:val="0"/>
              <w:rPr>
                <w:szCs w:val="21"/>
              </w:rPr>
            </w:pPr>
            <w:r>
              <w:t>新疆天山水泥股份有限公司</w:t>
            </w:r>
          </w:p>
        </w:tc>
        <w:tc>
          <w:tcPr>
            <w:tcW w:w="1059" w:type="pct"/>
            <w:tcBorders>
              <w:top w:val="single" w:sz="4" w:space="0" w:color="auto"/>
              <w:left w:val="single" w:sz="4" w:space="0" w:color="auto"/>
              <w:bottom w:val="single" w:sz="4" w:space="0" w:color="auto"/>
              <w:right w:val="single" w:sz="4" w:space="0" w:color="auto"/>
            </w:tcBorders>
          </w:tcPr>
          <w:p w14:paraId="0EA34271" w14:textId="77777777" w:rsidR="00E57DAA" w:rsidRDefault="00AC4185">
            <w:pPr>
              <w:autoSpaceDE w:val="0"/>
              <w:autoSpaceDN w:val="0"/>
              <w:adjustRightInd w:val="0"/>
              <w:jc w:val="right"/>
              <w:rPr>
                <w:szCs w:val="21"/>
              </w:rPr>
            </w:pPr>
            <w:r>
              <w:t>47,850,149.24</w:t>
            </w:r>
          </w:p>
        </w:tc>
        <w:tc>
          <w:tcPr>
            <w:tcW w:w="1407" w:type="pct"/>
            <w:tcBorders>
              <w:top w:val="single" w:sz="4" w:space="0" w:color="auto"/>
              <w:left w:val="single" w:sz="4" w:space="0" w:color="auto"/>
              <w:bottom w:val="single" w:sz="4" w:space="0" w:color="auto"/>
              <w:right w:val="single" w:sz="4" w:space="0" w:color="auto"/>
            </w:tcBorders>
          </w:tcPr>
          <w:p w14:paraId="2838A765" w14:textId="77777777" w:rsidR="00E57DAA" w:rsidRDefault="00AC4185">
            <w:pPr>
              <w:autoSpaceDE w:val="0"/>
              <w:autoSpaceDN w:val="0"/>
              <w:adjustRightInd w:val="0"/>
              <w:jc w:val="right"/>
              <w:rPr>
                <w:szCs w:val="21"/>
              </w:rPr>
            </w:pPr>
            <w:r>
              <w:t xml:space="preserve">　</w:t>
            </w:r>
          </w:p>
        </w:tc>
      </w:tr>
      <w:tr w:rsidR="00E57DAA" w14:paraId="356BD7E7" w14:textId="77777777">
        <w:tc>
          <w:tcPr>
            <w:tcW w:w="640" w:type="pct"/>
            <w:tcBorders>
              <w:top w:val="single" w:sz="4" w:space="0" w:color="auto"/>
              <w:left w:val="single" w:sz="4" w:space="0" w:color="auto"/>
              <w:bottom w:val="single" w:sz="4" w:space="0" w:color="auto"/>
              <w:right w:val="single" w:sz="4" w:space="0" w:color="auto"/>
            </w:tcBorders>
            <w:vAlign w:val="center"/>
          </w:tcPr>
          <w:p w14:paraId="1772180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F102FA4" w14:textId="77777777" w:rsidR="00E57DAA" w:rsidRDefault="00AC4185">
            <w:pPr>
              <w:autoSpaceDE w:val="0"/>
              <w:autoSpaceDN w:val="0"/>
              <w:adjustRightInd w:val="0"/>
              <w:rPr>
                <w:szCs w:val="21"/>
              </w:rPr>
            </w:pPr>
            <w:r>
              <w:t>泌阳中联新材料有限公司</w:t>
            </w:r>
          </w:p>
        </w:tc>
        <w:tc>
          <w:tcPr>
            <w:tcW w:w="1059" w:type="pct"/>
            <w:tcBorders>
              <w:top w:val="single" w:sz="4" w:space="0" w:color="auto"/>
              <w:left w:val="single" w:sz="4" w:space="0" w:color="auto"/>
              <w:bottom w:val="single" w:sz="4" w:space="0" w:color="auto"/>
              <w:right w:val="single" w:sz="4" w:space="0" w:color="auto"/>
            </w:tcBorders>
          </w:tcPr>
          <w:p w14:paraId="7B00666A" w14:textId="77777777" w:rsidR="00E57DAA" w:rsidRDefault="00AC4185">
            <w:pPr>
              <w:autoSpaceDE w:val="0"/>
              <w:autoSpaceDN w:val="0"/>
              <w:adjustRightInd w:val="0"/>
              <w:jc w:val="right"/>
              <w:rPr>
                <w:szCs w:val="21"/>
              </w:rPr>
            </w:pPr>
            <w:r>
              <w:t>45,120,589.26</w:t>
            </w:r>
          </w:p>
        </w:tc>
        <w:tc>
          <w:tcPr>
            <w:tcW w:w="1407" w:type="pct"/>
            <w:tcBorders>
              <w:top w:val="single" w:sz="4" w:space="0" w:color="auto"/>
              <w:left w:val="single" w:sz="4" w:space="0" w:color="auto"/>
              <w:bottom w:val="single" w:sz="4" w:space="0" w:color="auto"/>
              <w:right w:val="single" w:sz="4" w:space="0" w:color="auto"/>
            </w:tcBorders>
          </w:tcPr>
          <w:p w14:paraId="5965E76B" w14:textId="77777777" w:rsidR="00E57DAA" w:rsidRDefault="00AC4185">
            <w:pPr>
              <w:autoSpaceDE w:val="0"/>
              <w:autoSpaceDN w:val="0"/>
              <w:adjustRightInd w:val="0"/>
              <w:jc w:val="right"/>
              <w:rPr>
                <w:szCs w:val="21"/>
              </w:rPr>
            </w:pPr>
            <w:r>
              <w:t xml:space="preserve">　</w:t>
            </w:r>
          </w:p>
        </w:tc>
      </w:tr>
      <w:tr w:rsidR="00E57DAA" w14:paraId="7B4299D8" w14:textId="77777777">
        <w:tc>
          <w:tcPr>
            <w:tcW w:w="640" w:type="pct"/>
            <w:tcBorders>
              <w:top w:val="single" w:sz="4" w:space="0" w:color="auto"/>
              <w:left w:val="single" w:sz="4" w:space="0" w:color="auto"/>
              <w:bottom w:val="single" w:sz="4" w:space="0" w:color="auto"/>
              <w:right w:val="single" w:sz="4" w:space="0" w:color="auto"/>
            </w:tcBorders>
            <w:vAlign w:val="center"/>
          </w:tcPr>
          <w:p w14:paraId="05467F3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C8AAFE6" w14:textId="77777777" w:rsidR="00E57DAA" w:rsidRDefault="00AC4185">
            <w:pPr>
              <w:autoSpaceDE w:val="0"/>
              <w:autoSpaceDN w:val="0"/>
              <w:adjustRightInd w:val="0"/>
              <w:rPr>
                <w:szCs w:val="21"/>
              </w:rPr>
            </w:pPr>
            <w:r>
              <w:t>湖南金磊南方水泥有限公司</w:t>
            </w:r>
          </w:p>
        </w:tc>
        <w:tc>
          <w:tcPr>
            <w:tcW w:w="1059" w:type="pct"/>
            <w:tcBorders>
              <w:top w:val="single" w:sz="4" w:space="0" w:color="auto"/>
              <w:left w:val="single" w:sz="4" w:space="0" w:color="auto"/>
              <w:bottom w:val="single" w:sz="4" w:space="0" w:color="auto"/>
              <w:right w:val="single" w:sz="4" w:space="0" w:color="auto"/>
            </w:tcBorders>
          </w:tcPr>
          <w:p w14:paraId="6F8B0BBA" w14:textId="77777777" w:rsidR="00E57DAA" w:rsidRDefault="00AC4185">
            <w:pPr>
              <w:autoSpaceDE w:val="0"/>
              <w:autoSpaceDN w:val="0"/>
              <w:adjustRightInd w:val="0"/>
              <w:jc w:val="right"/>
              <w:rPr>
                <w:szCs w:val="21"/>
              </w:rPr>
            </w:pPr>
            <w:r>
              <w:t>38,350,678.16</w:t>
            </w:r>
          </w:p>
        </w:tc>
        <w:tc>
          <w:tcPr>
            <w:tcW w:w="1407" w:type="pct"/>
            <w:tcBorders>
              <w:top w:val="single" w:sz="4" w:space="0" w:color="auto"/>
              <w:left w:val="single" w:sz="4" w:space="0" w:color="auto"/>
              <w:bottom w:val="single" w:sz="4" w:space="0" w:color="auto"/>
              <w:right w:val="single" w:sz="4" w:space="0" w:color="auto"/>
            </w:tcBorders>
          </w:tcPr>
          <w:p w14:paraId="444DE478" w14:textId="77777777" w:rsidR="00E57DAA" w:rsidRDefault="00AC4185">
            <w:pPr>
              <w:autoSpaceDE w:val="0"/>
              <w:autoSpaceDN w:val="0"/>
              <w:adjustRightInd w:val="0"/>
              <w:jc w:val="right"/>
              <w:rPr>
                <w:szCs w:val="21"/>
              </w:rPr>
            </w:pPr>
            <w:r>
              <w:t>5,405,405.41</w:t>
            </w:r>
          </w:p>
        </w:tc>
      </w:tr>
      <w:tr w:rsidR="00E57DAA" w14:paraId="7A7498B4" w14:textId="77777777">
        <w:tc>
          <w:tcPr>
            <w:tcW w:w="640" w:type="pct"/>
            <w:tcBorders>
              <w:top w:val="single" w:sz="4" w:space="0" w:color="auto"/>
              <w:left w:val="single" w:sz="4" w:space="0" w:color="auto"/>
              <w:bottom w:val="single" w:sz="4" w:space="0" w:color="auto"/>
              <w:right w:val="single" w:sz="4" w:space="0" w:color="auto"/>
            </w:tcBorders>
            <w:vAlign w:val="center"/>
          </w:tcPr>
          <w:p w14:paraId="4514F3E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FDD7EEB" w14:textId="77777777" w:rsidR="00E57DAA" w:rsidRDefault="00AC4185">
            <w:pPr>
              <w:autoSpaceDE w:val="0"/>
              <w:autoSpaceDN w:val="0"/>
              <w:adjustRightInd w:val="0"/>
              <w:rPr>
                <w:szCs w:val="21"/>
              </w:rPr>
            </w:pPr>
            <w:r>
              <w:t>青州中联水泥有限公司</w:t>
            </w:r>
          </w:p>
        </w:tc>
        <w:tc>
          <w:tcPr>
            <w:tcW w:w="1059" w:type="pct"/>
            <w:tcBorders>
              <w:top w:val="single" w:sz="4" w:space="0" w:color="auto"/>
              <w:left w:val="single" w:sz="4" w:space="0" w:color="auto"/>
              <w:bottom w:val="single" w:sz="4" w:space="0" w:color="auto"/>
              <w:right w:val="single" w:sz="4" w:space="0" w:color="auto"/>
            </w:tcBorders>
          </w:tcPr>
          <w:p w14:paraId="7F5AD855" w14:textId="77777777" w:rsidR="00E57DAA" w:rsidRDefault="00AC4185">
            <w:pPr>
              <w:autoSpaceDE w:val="0"/>
              <w:autoSpaceDN w:val="0"/>
              <w:adjustRightInd w:val="0"/>
              <w:jc w:val="right"/>
              <w:rPr>
                <w:szCs w:val="21"/>
              </w:rPr>
            </w:pPr>
            <w:r>
              <w:t>32,576,134.34</w:t>
            </w:r>
          </w:p>
        </w:tc>
        <w:tc>
          <w:tcPr>
            <w:tcW w:w="1407" w:type="pct"/>
            <w:tcBorders>
              <w:top w:val="single" w:sz="4" w:space="0" w:color="auto"/>
              <w:left w:val="single" w:sz="4" w:space="0" w:color="auto"/>
              <w:bottom w:val="single" w:sz="4" w:space="0" w:color="auto"/>
              <w:right w:val="single" w:sz="4" w:space="0" w:color="auto"/>
            </w:tcBorders>
          </w:tcPr>
          <w:p w14:paraId="5B2A2259" w14:textId="77777777" w:rsidR="00E57DAA" w:rsidRDefault="00AC4185">
            <w:pPr>
              <w:autoSpaceDE w:val="0"/>
              <w:autoSpaceDN w:val="0"/>
              <w:adjustRightInd w:val="0"/>
              <w:jc w:val="right"/>
              <w:rPr>
                <w:szCs w:val="21"/>
              </w:rPr>
            </w:pPr>
            <w:r>
              <w:t>3,322,387.78</w:t>
            </w:r>
          </w:p>
        </w:tc>
      </w:tr>
      <w:tr w:rsidR="00E57DAA" w14:paraId="441EE397" w14:textId="77777777">
        <w:tc>
          <w:tcPr>
            <w:tcW w:w="640" w:type="pct"/>
            <w:tcBorders>
              <w:top w:val="single" w:sz="4" w:space="0" w:color="auto"/>
              <w:left w:val="single" w:sz="4" w:space="0" w:color="auto"/>
              <w:bottom w:val="single" w:sz="4" w:space="0" w:color="auto"/>
              <w:right w:val="single" w:sz="4" w:space="0" w:color="auto"/>
            </w:tcBorders>
            <w:vAlign w:val="center"/>
          </w:tcPr>
          <w:p w14:paraId="6613329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987C437" w14:textId="77777777" w:rsidR="00E57DAA" w:rsidRDefault="00AC4185">
            <w:pPr>
              <w:autoSpaceDE w:val="0"/>
              <w:autoSpaceDN w:val="0"/>
              <w:adjustRightInd w:val="0"/>
              <w:rPr>
                <w:szCs w:val="21"/>
              </w:rPr>
            </w:pPr>
            <w:r>
              <w:t>宜兴天山水泥有限责任公司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387F15CC" w14:textId="77777777" w:rsidR="00E57DAA" w:rsidRDefault="00AC4185">
            <w:pPr>
              <w:autoSpaceDE w:val="0"/>
              <w:autoSpaceDN w:val="0"/>
              <w:adjustRightInd w:val="0"/>
              <w:jc w:val="right"/>
              <w:rPr>
                <w:szCs w:val="21"/>
              </w:rPr>
            </w:pPr>
            <w:r>
              <w:t>18,761,647.17</w:t>
            </w:r>
          </w:p>
        </w:tc>
        <w:tc>
          <w:tcPr>
            <w:tcW w:w="1407" w:type="pct"/>
            <w:tcBorders>
              <w:top w:val="single" w:sz="4" w:space="0" w:color="auto"/>
              <w:left w:val="single" w:sz="4" w:space="0" w:color="auto"/>
              <w:bottom w:val="single" w:sz="4" w:space="0" w:color="auto"/>
              <w:right w:val="single" w:sz="4" w:space="0" w:color="auto"/>
            </w:tcBorders>
          </w:tcPr>
          <w:p w14:paraId="7E740634" w14:textId="77777777" w:rsidR="00E57DAA" w:rsidRDefault="00AC4185">
            <w:pPr>
              <w:autoSpaceDE w:val="0"/>
              <w:autoSpaceDN w:val="0"/>
              <w:adjustRightInd w:val="0"/>
              <w:jc w:val="right"/>
              <w:rPr>
                <w:szCs w:val="21"/>
              </w:rPr>
            </w:pPr>
            <w:r>
              <w:t xml:space="preserve">　</w:t>
            </w:r>
          </w:p>
        </w:tc>
      </w:tr>
      <w:tr w:rsidR="00E57DAA" w14:paraId="452E01DB" w14:textId="77777777">
        <w:tc>
          <w:tcPr>
            <w:tcW w:w="640" w:type="pct"/>
            <w:tcBorders>
              <w:top w:val="single" w:sz="4" w:space="0" w:color="auto"/>
              <w:left w:val="single" w:sz="4" w:space="0" w:color="auto"/>
              <w:bottom w:val="single" w:sz="4" w:space="0" w:color="auto"/>
              <w:right w:val="single" w:sz="4" w:space="0" w:color="auto"/>
            </w:tcBorders>
            <w:vAlign w:val="center"/>
          </w:tcPr>
          <w:p w14:paraId="700DE48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0042218" w14:textId="77777777" w:rsidR="00E57DAA" w:rsidRDefault="00AC4185">
            <w:pPr>
              <w:autoSpaceDE w:val="0"/>
              <w:autoSpaceDN w:val="0"/>
              <w:adjustRightInd w:val="0"/>
              <w:rPr>
                <w:szCs w:val="21"/>
              </w:rPr>
            </w:pPr>
            <w:r>
              <w:t>溧水天山水泥有限公司</w:t>
            </w:r>
          </w:p>
        </w:tc>
        <w:tc>
          <w:tcPr>
            <w:tcW w:w="1059" w:type="pct"/>
            <w:tcBorders>
              <w:top w:val="single" w:sz="4" w:space="0" w:color="auto"/>
              <w:left w:val="single" w:sz="4" w:space="0" w:color="auto"/>
              <w:bottom w:val="single" w:sz="4" w:space="0" w:color="auto"/>
              <w:right w:val="single" w:sz="4" w:space="0" w:color="auto"/>
            </w:tcBorders>
          </w:tcPr>
          <w:p w14:paraId="199CEF07" w14:textId="77777777" w:rsidR="00E57DAA" w:rsidRDefault="00AC4185">
            <w:pPr>
              <w:autoSpaceDE w:val="0"/>
              <w:autoSpaceDN w:val="0"/>
              <w:adjustRightInd w:val="0"/>
              <w:jc w:val="right"/>
              <w:rPr>
                <w:szCs w:val="21"/>
              </w:rPr>
            </w:pPr>
            <w:r>
              <w:t>18,408,727.27</w:t>
            </w:r>
          </w:p>
        </w:tc>
        <w:tc>
          <w:tcPr>
            <w:tcW w:w="1407" w:type="pct"/>
            <w:tcBorders>
              <w:top w:val="single" w:sz="4" w:space="0" w:color="auto"/>
              <w:left w:val="single" w:sz="4" w:space="0" w:color="auto"/>
              <w:bottom w:val="single" w:sz="4" w:space="0" w:color="auto"/>
              <w:right w:val="single" w:sz="4" w:space="0" w:color="auto"/>
            </w:tcBorders>
          </w:tcPr>
          <w:p w14:paraId="348AA022" w14:textId="77777777" w:rsidR="00E57DAA" w:rsidRDefault="00AC4185">
            <w:pPr>
              <w:autoSpaceDE w:val="0"/>
              <w:autoSpaceDN w:val="0"/>
              <w:adjustRightInd w:val="0"/>
              <w:jc w:val="right"/>
              <w:rPr>
                <w:szCs w:val="21"/>
              </w:rPr>
            </w:pPr>
            <w:r>
              <w:t>3,329,618.59</w:t>
            </w:r>
          </w:p>
        </w:tc>
      </w:tr>
      <w:tr w:rsidR="00E57DAA" w14:paraId="6597CEC3" w14:textId="77777777">
        <w:tc>
          <w:tcPr>
            <w:tcW w:w="640" w:type="pct"/>
            <w:tcBorders>
              <w:top w:val="single" w:sz="4" w:space="0" w:color="auto"/>
              <w:left w:val="single" w:sz="4" w:space="0" w:color="auto"/>
              <w:bottom w:val="single" w:sz="4" w:space="0" w:color="auto"/>
              <w:right w:val="single" w:sz="4" w:space="0" w:color="auto"/>
            </w:tcBorders>
            <w:vAlign w:val="center"/>
          </w:tcPr>
          <w:p w14:paraId="110A0FA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A07D62E" w14:textId="77777777" w:rsidR="00E57DAA" w:rsidRDefault="00AC4185">
            <w:pPr>
              <w:autoSpaceDE w:val="0"/>
              <w:autoSpaceDN w:val="0"/>
              <w:adjustRightInd w:val="0"/>
              <w:rPr>
                <w:szCs w:val="21"/>
              </w:rPr>
            </w:pPr>
            <w:r>
              <w:t>乌兰察布中联水泥有限公司</w:t>
            </w:r>
          </w:p>
        </w:tc>
        <w:tc>
          <w:tcPr>
            <w:tcW w:w="1059" w:type="pct"/>
            <w:tcBorders>
              <w:top w:val="single" w:sz="4" w:space="0" w:color="auto"/>
              <w:left w:val="single" w:sz="4" w:space="0" w:color="auto"/>
              <w:bottom w:val="single" w:sz="4" w:space="0" w:color="auto"/>
              <w:right w:val="single" w:sz="4" w:space="0" w:color="auto"/>
            </w:tcBorders>
          </w:tcPr>
          <w:p w14:paraId="29B0925B" w14:textId="77777777" w:rsidR="00E57DAA" w:rsidRDefault="00AC4185">
            <w:pPr>
              <w:autoSpaceDE w:val="0"/>
              <w:autoSpaceDN w:val="0"/>
              <w:adjustRightInd w:val="0"/>
              <w:jc w:val="right"/>
              <w:rPr>
                <w:szCs w:val="21"/>
              </w:rPr>
            </w:pPr>
            <w:r>
              <w:t>16,700,000.00</w:t>
            </w:r>
          </w:p>
        </w:tc>
        <w:tc>
          <w:tcPr>
            <w:tcW w:w="1407" w:type="pct"/>
            <w:tcBorders>
              <w:top w:val="single" w:sz="4" w:space="0" w:color="auto"/>
              <w:left w:val="single" w:sz="4" w:space="0" w:color="auto"/>
              <w:bottom w:val="single" w:sz="4" w:space="0" w:color="auto"/>
              <w:right w:val="single" w:sz="4" w:space="0" w:color="auto"/>
            </w:tcBorders>
          </w:tcPr>
          <w:p w14:paraId="75EB7942" w14:textId="77777777" w:rsidR="00E57DAA" w:rsidRDefault="00AC4185">
            <w:pPr>
              <w:autoSpaceDE w:val="0"/>
              <w:autoSpaceDN w:val="0"/>
              <w:adjustRightInd w:val="0"/>
              <w:jc w:val="right"/>
              <w:rPr>
                <w:szCs w:val="21"/>
              </w:rPr>
            </w:pPr>
            <w:r>
              <w:t xml:space="preserve">　</w:t>
            </w:r>
          </w:p>
        </w:tc>
      </w:tr>
      <w:tr w:rsidR="00E57DAA" w14:paraId="6A2B7898" w14:textId="77777777">
        <w:tc>
          <w:tcPr>
            <w:tcW w:w="640" w:type="pct"/>
            <w:tcBorders>
              <w:top w:val="single" w:sz="4" w:space="0" w:color="auto"/>
              <w:left w:val="single" w:sz="4" w:space="0" w:color="auto"/>
              <w:bottom w:val="single" w:sz="4" w:space="0" w:color="auto"/>
              <w:right w:val="single" w:sz="4" w:space="0" w:color="auto"/>
            </w:tcBorders>
            <w:vAlign w:val="center"/>
          </w:tcPr>
          <w:p w14:paraId="0BE3FD5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47B8930" w14:textId="77777777" w:rsidR="00E57DAA" w:rsidRDefault="00AC4185">
            <w:pPr>
              <w:autoSpaceDE w:val="0"/>
              <w:autoSpaceDN w:val="0"/>
              <w:adjustRightInd w:val="0"/>
              <w:rPr>
                <w:szCs w:val="21"/>
              </w:rPr>
            </w:pPr>
            <w:r>
              <w:t>汪清北方水泥有限公司</w:t>
            </w:r>
          </w:p>
        </w:tc>
        <w:tc>
          <w:tcPr>
            <w:tcW w:w="1059" w:type="pct"/>
            <w:tcBorders>
              <w:top w:val="single" w:sz="4" w:space="0" w:color="auto"/>
              <w:left w:val="single" w:sz="4" w:space="0" w:color="auto"/>
              <w:bottom w:val="single" w:sz="4" w:space="0" w:color="auto"/>
              <w:right w:val="single" w:sz="4" w:space="0" w:color="auto"/>
            </w:tcBorders>
          </w:tcPr>
          <w:p w14:paraId="524ADD50" w14:textId="77777777" w:rsidR="00E57DAA" w:rsidRDefault="00AC4185">
            <w:pPr>
              <w:autoSpaceDE w:val="0"/>
              <w:autoSpaceDN w:val="0"/>
              <w:adjustRightInd w:val="0"/>
              <w:jc w:val="right"/>
              <w:rPr>
                <w:szCs w:val="21"/>
              </w:rPr>
            </w:pPr>
            <w:r>
              <w:t>14,230,178.62</w:t>
            </w:r>
          </w:p>
        </w:tc>
        <w:tc>
          <w:tcPr>
            <w:tcW w:w="1407" w:type="pct"/>
            <w:tcBorders>
              <w:top w:val="single" w:sz="4" w:space="0" w:color="auto"/>
              <w:left w:val="single" w:sz="4" w:space="0" w:color="auto"/>
              <w:bottom w:val="single" w:sz="4" w:space="0" w:color="auto"/>
              <w:right w:val="single" w:sz="4" w:space="0" w:color="auto"/>
            </w:tcBorders>
          </w:tcPr>
          <w:p w14:paraId="1D192EF7" w14:textId="77777777" w:rsidR="00E57DAA" w:rsidRDefault="00AC4185">
            <w:pPr>
              <w:autoSpaceDE w:val="0"/>
              <w:autoSpaceDN w:val="0"/>
              <w:adjustRightInd w:val="0"/>
              <w:jc w:val="right"/>
              <w:rPr>
                <w:szCs w:val="21"/>
              </w:rPr>
            </w:pPr>
            <w:r>
              <w:t xml:space="preserve">　</w:t>
            </w:r>
          </w:p>
        </w:tc>
      </w:tr>
      <w:tr w:rsidR="00E57DAA" w14:paraId="3780B4DA" w14:textId="77777777">
        <w:tc>
          <w:tcPr>
            <w:tcW w:w="640" w:type="pct"/>
            <w:tcBorders>
              <w:top w:val="single" w:sz="4" w:space="0" w:color="auto"/>
              <w:left w:val="single" w:sz="4" w:space="0" w:color="auto"/>
              <w:bottom w:val="single" w:sz="4" w:space="0" w:color="auto"/>
              <w:right w:val="single" w:sz="4" w:space="0" w:color="auto"/>
            </w:tcBorders>
            <w:vAlign w:val="center"/>
          </w:tcPr>
          <w:p w14:paraId="20BE484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EE74BDE" w14:textId="77777777" w:rsidR="00E57DAA" w:rsidRDefault="00AC4185">
            <w:pPr>
              <w:autoSpaceDE w:val="0"/>
              <w:autoSpaceDN w:val="0"/>
              <w:adjustRightInd w:val="0"/>
              <w:rPr>
                <w:szCs w:val="21"/>
              </w:rPr>
            </w:pPr>
            <w:r>
              <w:t>驻马店市豫龙同力水泥有限公司</w:t>
            </w:r>
          </w:p>
        </w:tc>
        <w:tc>
          <w:tcPr>
            <w:tcW w:w="1059" w:type="pct"/>
            <w:tcBorders>
              <w:top w:val="single" w:sz="4" w:space="0" w:color="auto"/>
              <w:left w:val="single" w:sz="4" w:space="0" w:color="auto"/>
              <w:bottom w:val="single" w:sz="4" w:space="0" w:color="auto"/>
              <w:right w:val="single" w:sz="4" w:space="0" w:color="auto"/>
            </w:tcBorders>
          </w:tcPr>
          <w:p w14:paraId="4A566475" w14:textId="77777777" w:rsidR="00E57DAA" w:rsidRDefault="00AC4185">
            <w:pPr>
              <w:autoSpaceDE w:val="0"/>
              <w:autoSpaceDN w:val="0"/>
              <w:adjustRightInd w:val="0"/>
              <w:jc w:val="right"/>
              <w:rPr>
                <w:szCs w:val="21"/>
              </w:rPr>
            </w:pPr>
            <w:r>
              <w:t>13,897,499.35</w:t>
            </w:r>
          </w:p>
        </w:tc>
        <w:tc>
          <w:tcPr>
            <w:tcW w:w="1407" w:type="pct"/>
            <w:tcBorders>
              <w:top w:val="single" w:sz="4" w:space="0" w:color="auto"/>
              <w:left w:val="single" w:sz="4" w:space="0" w:color="auto"/>
              <w:bottom w:val="single" w:sz="4" w:space="0" w:color="auto"/>
              <w:right w:val="single" w:sz="4" w:space="0" w:color="auto"/>
            </w:tcBorders>
          </w:tcPr>
          <w:p w14:paraId="6F58AA0D" w14:textId="77777777" w:rsidR="00E57DAA" w:rsidRDefault="00AC4185">
            <w:pPr>
              <w:autoSpaceDE w:val="0"/>
              <w:autoSpaceDN w:val="0"/>
              <w:adjustRightInd w:val="0"/>
              <w:jc w:val="right"/>
              <w:rPr>
                <w:szCs w:val="21"/>
              </w:rPr>
            </w:pPr>
            <w:r>
              <w:t xml:space="preserve">　</w:t>
            </w:r>
          </w:p>
        </w:tc>
      </w:tr>
      <w:tr w:rsidR="00E57DAA" w14:paraId="2F52EC3F" w14:textId="77777777">
        <w:tc>
          <w:tcPr>
            <w:tcW w:w="640" w:type="pct"/>
            <w:tcBorders>
              <w:top w:val="single" w:sz="4" w:space="0" w:color="auto"/>
              <w:left w:val="single" w:sz="4" w:space="0" w:color="auto"/>
              <w:bottom w:val="single" w:sz="4" w:space="0" w:color="auto"/>
              <w:right w:val="single" w:sz="4" w:space="0" w:color="auto"/>
            </w:tcBorders>
            <w:vAlign w:val="center"/>
          </w:tcPr>
          <w:p w14:paraId="5FA6DA0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F07E9CF" w14:textId="77777777" w:rsidR="00E57DAA" w:rsidRDefault="00AC4185">
            <w:pPr>
              <w:autoSpaceDE w:val="0"/>
              <w:autoSpaceDN w:val="0"/>
              <w:adjustRightInd w:val="0"/>
              <w:rPr>
                <w:szCs w:val="21"/>
              </w:rPr>
            </w:pPr>
            <w:r>
              <w:t>济宁中联水泥有限公司</w:t>
            </w:r>
          </w:p>
        </w:tc>
        <w:tc>
          <w:tcPr>
            <w:tcW w:w="1059" w:type="pct"/>
            <w:tcBorders>
              <w:top w:val="single" w:sz="4" w:space="0" w:color="auto"/>
              <w:left w:val="single" w:sz="4" w:space="0" w:color="auto"/>
              <w:bottom w:val="single" w:sz="4" w:space="0" w:color="auto"/>
              <w:right w:val="single" w:sz="4" w:space="0" w:color="auto"/>
            </w:tcBorders>
          </w:tcPr>
          <w:p w14:paraId="0DA16FD0" w14:textId="77777777" w:rsidR="00E57DAA" w:rsidRDefault="00AC4185">
            <w:pPr>
              <w:autoSpaceDE w:val="0"/>
              <w:autoSpaceDN w:val="0"/>
              <w:adjustRightInd w:val="0"/>
              <w:jc w:val="right"/>
              <w:rPr>
                <w:szCs w:val="21"/>
              </w:rPr>
            </w:pPr>
            <w:r>
              <w:t>11,469,026.54</w:t>
            </w:r>
          </w:p>
        </w:tc>
        <w:tc>
          <w:tcPr>
            <w:tcW w:w="1407" w:type="pct"/>
            <w:tcBorders>
              <w:top w:val="single" w:sz="4" w:space="0" w:color="auto"/>
              <w:left w:val="single" w:sz="4" w:space="0" w:color="auto"/>
              <w:bottom w:val="single" w:sz="4" w:space="0" w:color="auto"/>
              <w:right w:val="single" w:sz="4" w:space="0" w:color="auto"/>
            </w:tcBorders>
          </w:tcPr>
          <w:p w14:paraId="054B283A" w14:textId="77777777" w:rsidR="00E57DAA" w:rsidRDefault="00AC4185">
            <w:pPr>
              <w:autoSpaceDE w:val="0"/>
              <w:autoSpaceDN w:val="0"/>
              <w:adjustRightInd w:val="0"/>
              <w:jc w:val="right"/>
              <w:rPr>
                <w:szCs w:val="21"/>
              </w:rPr>
            </w:pPr>
            <w:r>
              <w:t xml:space="preserve">　</w:t>
            </w:r>
          </w:p>
        </w:tc>
      </w:tr>
      <w:tr w:rsidR="00E57DAA" w14:paraId="4466B6FD" w14:textId="77777777">
        <w:tc>
          <w:tcPr>
            <w:tcW w:w="640" w:type="pct"/>
            <w:tcBorders>
              <w:top w:val="single" w:sz="4" w:space="0" w:color="auto"/>
              <w:left w:val="single" w:sz="4" w:space="0" w:color="auto"/>
              <w:bottom w:val="single" w:sz="4" w:space="0" w:color="auto"/>
              <w:right w:val="single" w:sz="4" w:space="0" w:color="auto"/>
            </w:tcBorders>
            <w:vAlign w:val="center"/>
          </w:tcPr>
          <w:p w14:paraId="1B3E090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5EDFB3C" w14:textId="77777777" w:rsidR="00E57DAA" w:rsidRDefault="00AC4185">
            <w:pPr>
              <w:autoSpaceDE w:val="0"/>
              <w:autoSpaceDN w:val="0"/>
              <w:adjustRightInd w:val="0"/>
              <w:rPr>
                <w:szCs w:val="21"/>
              </w:rPr>
            </w:pPr>
            <w:r>
              <w:t>江山南方水泥有限公司</w:t>
            </w:r>
          </w:p>
        </w:tc>
        <w:tc>
          <w:tcPr>
            <w:tcW w:w="1059" w:type="pct"/>
            <w:tcBorders>
              <w:top w:val="single" w:sz="4" w:space="0" w:color="auto"/>
              <w:left w:val="single" w:sz="4" w:space="0" w:color="auto"/>
              <w:bottom w:val="single" w:sz="4" w:space="0" w:color="auto"/>
              <w:right w:val="single" w:sz="4" w:space="0" w:color="auto"/>
            </w:tcBorders>
          </w:tcPr>
          <w:p w14:paraId="05CBF987" w14:textId="77777777" w:rsidR="00E57DAA" w:rsidRDefault="00AC4185">
            <w:pPr>
              <w:autoSpaceDE w:val="0"/>
              <w:autoSpaceDN w:val="0"/>
              <w:adjustRightInd w:val="0"/>
              <w:jc w:val="right"/>
              <w:rPr>
                <w:szCs w:val="21"/>
              </w:rPr>
            </w:pPr>
            <w:r>
              <w:t>8,675,063.43</w:t>
            </w:r>
          </w:p>
        </w:tc>
        <w:tc>
          <w:tcPr>
            <w:tcW w:w="1407" w:type="pct"/>
            <w:tcBorders>
              <w:top w:val="single" w:sz="4" w:space="0" w:color="auto"/>
              <w:left w:val="single" w:sz="4" w:space="0" w:color="auto"/>
              <w:bottom w:val="single" w:sz="4" w:space="0" w:color="auto"/>
              <w:right w:val="single" w:sz="4" w:space="0" w:color="auto"/>
            </w:tcBorders>
          </w:tcPr>
          <w:p w14:paraId="7D306384" w14:textId="77777777" w:rsidR="00E57DAA" w:rsidRDefault="00AC4185">
            <w:pPr>
              <w:autoSpaceDE w:val="0"/>
              <w:autoSpaceDN w:val="0"/>
              <w:adjustRightInd w:val="0"/>
              <w:jc w:val="right"/>
              <w:rPr>
                <w:szCs w:val="21"/>
              </w:rPr>
            </w:pPr>
            <w:r>
              <w:t>12,389.38</w:t>
            </w:r>
          </w:p>
        </w:tc>
      </w:tr>
      <w:tr w:rsidR="00E57DAA" w14:paraId="73C37EF8" w14:textId="77777777">
        <w:tc>
          <w:tcPr>
            <w:tcW w:w="640" w:type="pct"/>
            <w:tcBorders>
              <w:top w:val="single" w:sz="4" w:space="0" w:color="auto"/>
              <w:left w:val="single" w:sz="4" w:space="0" w:color="auto"/>
              <w:bottom w:val="single" w:sz="4" w:space="0" w:color="auto"/>
              <w:right w:val="single" w:sz="4" w:space="0" w:color="auto"/>
            </w:tcBorders>
            <w:vAlign w:val="center"/>
          </w:tcPr>
          <w:p w14:paraId="3386E17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883D4F0" w14:textId="77777777" w:rsidR="00E57DAA" w:rsidRDefault="00AC4185">
            <w:pPr>
              <w:autoSpaceDE w:val="0"/>
              <w:autoSpaceDN w:val="0"/>
              <w:adjustRightInd w:val="0"/>
              <w:rPr>
                <w:szCs w:val="21"/>
              </w:rPr>
            </w:pPr>
            <w:r>
              <w:t>广德独山南方水泥有限公司</w:t>
            </w:r>
          </w:p>
        </w:tc>
        <w:tc>
          <w:tcPr>
            <w:tcW w:w="1059" w:type="pct"/>
            <w:tcBorders>
              <w:top w:val="single" w:sz="4" w:space="0" w:color="auto"/>
              <w:left w:val="single" w:sz="4" w:space="0" w:color="auto"/>
              <w:bottom w:val="single" w:sz="4" w:space="0" w:color="auto"/>
              <w:right w:val="single" w:sz="4" w:space="0" w:color="auto"/>
            </w:tcBorders>
          </w:tcPr>
          <w:p w14:paraId="548CE50F" w14:textId="77777777" w:rsidR="00E57DAA" w:rsidRDefault="00AC4185">
            <w:pPr>
              <w:autoSpaceDE w:val="0"/>
              <w:autoSpaceDN w:val="0"/>
              <w:adjustRightInd w:val="0"/>
              <w:jc w:val="right"/>
              <w:rPr>
                <w:szCs w:val="21"/>
              </w:rPr>
            </w:pPr>
            <w:r>
              <w:t>7,099,399.92</w:t>
            </w:r>
          </w:p>
        </w:tc>
        <w:tc>
          <w:tcPr>
            <w:tcW w:w="1407" w:type="pct"/>
            <w:tcBorders>
              <w:top w:val="single" w:sz="4" w:space="0" w:color="auto"/>
              <w:left w:val="single" w:sz="4" w:space="0" w:color="auto"/>
              <w:bottom w:val="single" w:sz="4" w:space="0" w:color="auto"/>
              <w:right w:val="single" w:sz="4" w:space="0" w:color="auto"/>
            </w:tcBorders>
          </w:tcPr>
          <w:p w14:paraId="3C3C638A" w14:textId="77777777" w:rsidR="00E57DAA" w:rsidRDefault="00AC4185">
            <w:pPr>
              <w:autoSpaceDE w:val="0"/>
              <w:autoSpaceDN w:val="0"/>
              <w:adjustRightInd w:val="0"/>
              <w:jc w:val="right"/>
              <w:rPr>
                <w:szCs w:val="21"/>
              </w:rPr>
            </w:pPr>
            <w:r>
              <w:t>6,304,716.39</w:t>
            </w:r>
          </w:p>
        </w:tc>
      </w:tr>
      <w:tr w:rsidR="00E57DAA" w14:paraId="276DFDEE" w14:textId="77777777">
        <w:tc>
          <w:tcPr>
            <w:tcW w:w="640" w:type="pct"/>
            <w:tcBorders>
              <w:top w:val="single" w:sz="4" w:space="0" w:color="auto"/>
              <w:left w:val="single" w:sz="4" w:space="0" w:color="auto"/>
              <w:bottom w:val="single" w:sz="4" w:space="0" w:color="auto"/>
              <w:right w:val="single" w:sz="4" w:space="0" w:color="auto"/>
            </w:tcBorders>
            <w:vAlign w:val="center"/>
          </w:tcPr>
          <w:p w14:paraId="2DEAE82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7D81388" w14:textId="77777777" w:rsidR="00E57DAA" w:rsidRDefault="00AC4185">
            <w:pPr>
              <w:autoSpaceDE w:val="0"/>
              <w:autoSpaceDN w:val="0"/>
              <w:adjustRightInd w:val="0"/>
              <w:rPr>
                <w:szCs w:val="21"/>
              </w:rPr>
            </w:pPr>
            <w:r>
              <w:t>东平中联水泥有限公司</w:t>
            </w:r>
          </w:p>
        </w:tc>
        <w:tc>
          <w:tcPr>
            <w:tcW w:w="1059" w:type="pct"/>
            <w:tcBorders>
              <w:top w:val="single" w:sz="4" w:space="0" w:color="auto"/>
              <w:left w:val="single" w:sz="4" w:space="0" w:color="auto"/>
              <w:bottom w:val="single" w:sz="4" w:space="0" w:color="auto"/>
              <w:right w:val="single" w:sz="4" w:space="0" w:color="auto"/>
            </w:tcBorders>
          </w:tcPr>
          <w:p w14:paraId="2771FE35" w14:textId="77777777" w:rsidR="00E57DAA" w:rsidRDefault="00AC4185">
            <w:pPr>
              <w:autoSpaceDE w:val="0"/>
              <w:autoSpaceDN w:val="0"/>
              <w:adjustRightInd w:val="0"/>
              <w:jc w:val="right"/>
              <w:rPr>
                <w:szCs w:val="21"/>
              </w:rPr>
            </w:pPr>
            <w:r>
              <w:t>6,920,425.78</w:t>
            </w:r>
          </w:p>
        </w:tc>
        <w:tc>
          <w:tcPr>
            <w:tcW w:w="1407" w:type="pct"/>
            <w:tcBorders>
              <w:top w:val="single" w:sz="4" w:space="0" w:color="auto"/>
              <w:left w:val="single" w:sz="4" w:space="0" w:color="auto"/>
              <w:bottom w:val="single" w:sz="4" w:space="0" w:color="auto"/>
              <w:right w:val="single" w:sz="4" w:space="0" w:color="auto"/>
            </w:tcBorders>
          </w:tcPr>
          <w:p w14:paraId="5B31FAC3" w14:textId="77777777" w:rsidR="00E57DAA" w:rsidRDefault="00AC4185">
            <w:pPr>
              <w:autoSpaceDE w:val="0"/>
              <w:autoSpaceDN w:val="0"/>
              <w:adjustRightInd w:val="0"/>
              <w:jc w:val="right"/>
              <w:rPr>
                <w:szCs w:val="21"/>
              </w:rPr>
            </w:pPr>
            <w:r>
              <w:t xml:space="preserve">　</w:t>
            </w:r>
          </w:p>
        </w:tc>
      </w:tr>
      <w:tr w:rsidR="00E57DAA" w14:paraId="7CEA858F" w14:textId="77777777">
        <w:tc>
          <w:tcPr>
            <w:tcW w:w="640" w:type="pct"/>
            <w:tcBorders>
              <w:top w:val="single" w:sz="4" w:space="0" w:color="auto"/>
              <w:left w:val="single" w:sz="4" w:space="0" w:color="auto"/>
              <w:bottom w:val="single" w:sz="4" w:space="0" w:color="auto"/>
              <w:right w:val="single" w:sz="4" w:space="0" w:color="auto"/>
            </w:tcBorders>
            <w:vAlign w:val="center"/>
          </w:tcPr>
          <w:p w14:paraId="41B36D4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B74F4A6" w14:textId="77777777" w:rsidR="00E57DAA" w:rsidRDefault="00AC4185">
            <w:pPr>
              <w:autoSpaceDE w:val="0"/>
              <w:autoSpaceDN w:val="0"/>
              <w:adjustRightInd w:val="0"/>
              <w:rPr>
                <w:szCs w:val="21"/>
              </w:rPr>
            </w:pPr>
            <w:r>
              <w:t>抚州市东乡区上陈新材料有限公司</w:t>
            </w:r>
          </w:p>
        </w:tc>
        <w:tc>
          <w:tcPr>
            <w:tcW w:w="1059" w:type="pct"/>
            <w:tcBorders>
              <w:top w:val="single" w:sz="4" w:space="0" w:color="auto"/>
              <w:left w:val="single" w:sz="4" w:space="0" w:color="auto"/>
              <w:bottom w:val="single" w:sz="4" w:space="0" w:color="auto"/>
              <w:right w:val="single" w:sz="4" w:space="0" w:color="auto"/>
            </w:tcBorders>
          </w:tcPr>
          <w:p w14:paraId="70DA3754" w14:textId="77777777" w:rsidR="00E57DAA" w:rsidRDefault="00AC4185">
            <w:pPr>
              <w:autoSpaceDE w:val="0"/>
              <w:autoSpaceDN w:val="0"/>
              <w:adjustRightInd w:val="0"/>
              <w:jc w:val="right"/>
              <w:rPr>
                <w:szCs w:val="21"/>
              </w:rPr>
            </w:pPr>
            <w:r>
              <w:t>6,898,164.57</w:t>
            </w:r>
          </w:p>
        </w:tc>
        <w:tc>
          <w:tcPr>
            <w:tcW w:w="1407" w:type="pct"/>
            <w:tcBorders>
              <w:top w:val="single" w:sz="4" w:space="0" w:color="auto"/>
              <w:left w:val="single" w:sz="4" w:space="0" w:color="auto"/>
              <w:bottom w:val="single" w:sz="4" w:space="0" w:color="auto"/>
              <w:right w:val="single" w:sz="4" w:space="0" w:color="auto"/>
            </w:tcBorders>
          </w:tcPr>
          <w:p w14:paraId="7E89861A" w14:textId="77777777" w:rsidR="00E57DAA" w:rsidRDefault="00AC4185">
            <w:pPr>
              <w:autoSpaceDE w:val="0"/>
              <w:autoSpaceDN w:val="0"/>
              <w:adjustRightInd w:val="0"/>
              <w:jc w:val="right"/>
              <w:rPr>
                <w:szCs w:val="21"/>
              </w:rPr>
            </w:pPr>
            <w:r>
              <w:t>998,134.33</w:t>
            </w:r>
          </w:p>
        </w:tc>
      </w:tr>
      <w:tr w:rsidR="00E57DAA" w14:paraId="269C92D9" w14:textId="77777777">
        <w:tc>
          <w:tcPr>
            <w:tcW w:w="640" w:type="pct"/>
            <w:tcBorders>
              <w:top w:val="single" w:sz="4" w:space="0" w:color="auto"/>
              <w:left w:val="single" w:sz="4" w:space="0" w:color="auto"/>
              <w:bottom w:val="single" w:sz="4" w:space="0" w:color="auto"/>
              <w:right w:val="single" w:sz="4" w:space="0" w:color="auto"/>
            </w:tcBorders>
            <w:vAlign w:val="center"/>
          </w:tcPr>
          <w:p w14:paraId="4C12B15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42B24B7" w14:textId="77777777" w:rsidR="00E57DAA" w:rsidRDefault="00AC4185">
            <w:pPr>
              <w:autoSpaceDE w:val="0"/>
              <w:autoSpaceDN w:val="0"/>
              <w:adjustRightInd w:val="0"/>
              <w:rPr>
                <w:szCs w:val="21"/>
              </w:rPr>
            </w:pPr>
            <w:r>
              <w:t>泰山玻璃纤维（太原）有限公司</w:t>
            </w:r>
          </w:p>
        </w:tc>
        <w:tc>
          <w:tcPr>
            <w:tcW w:w="1059" w:type="pct"/>
            <w:tcBorders>
              <w:top w:val="single" w:sz="4" w:space="0" w:color="auto"/>
              <w:left w:val="single" w:sz="4" w:space="0" w:color="auto"/>
              <w:bottom w:val="single" w:sz="4" w:space="0" w:color="auto"/>
              <w:right w:val="single" w:sz="4" w:space="0" w:color="auto"/>
            </w:tcBorders>
          </w:tcPr>
          <w:p w14:paraId="062C317D" w14:textId="77777777" w:rsidR="00E57DAA" w:rsidRDefault="00AC4185">
            <w:pPr>
              <w:autoSpaceDE w:val="0"/>
              <w:autoSpaceDN w:val="0"/>
              <w:adjustRightInd w:val="0"/>
              <w:jc w:val="right"/>
              <w:rPr>
                <w:szCs w:val="21"/>
              </w:rPr>
            </w:pPr>
            <w:r>
              <w:t>6,858,407.08</w:t>
            </w:r>
          </w:p>
        </w:tc>
        <w:tc>
          <w:tcPr>
            <w:tcW w:w="1407" w:type="pct"/>
            <w:tcBorders>
              <w:top w:val="single" w:sz="4" w:space="0" w:color="auto"/>
              <w:left w:val="single" w:sz="4" w:space="0" w:color="auto"/>
              <w:bottom w:val="single" w:sz="4" w:space="0" w:color="auto"/>
              <w:right w:val="single" w:sz="4" w:space="0" w:color="auto"/>
            </w:tcBorders>
          </w:tcPr>
          <w:p w14:paraId="687333F1" w14:textId="77777777" w:rsidR="00E57DAA" w:rsidRDefault="00AC4185">
            <w:pPr>
              <w:autoSpaceDE w:val="0"/>
              <w:autoSpaceDN w:val="0"/>
              <w:adjustRightInd w:val="0"/>
              <w:jc w:val="right"/>
              <w:rPr>
                <w:szCs w:val="21"/>
              </w:rPr>
            </w:pPr>
            <w:r>
              <w:t xml:space="preserve">　</w:t>
            </w:r>
          </w:p>
        </w:tc>
      </w:tr>
      <w:tr w:rsidR="00E57DAA" w14:paraId="0A13C10B" w14:textId="77777777">
        <w:tc>
          <w:tcPr>
            <w:tcW w:w="640" w:type="pct"/>
            <w:tcBorders>
              <w:top w:val="single" w:sz="4" w:space="0" w:color="auto"/>
              <w:left w:val="single" w:sz="4" w:space="0" w:color="auto"/>
              <w:bottom w:val="single" w:sz="4" w:space="0" w:color="auto"/>
              <w:right w:val="single" w:sz="4" w:space="0" w:color="auto"/>
            </w:tcBorders>
            <w:vAlign w:val="center"/>
          </w:tcPr>
          <w:p w14:paraId="5FBA50B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9B6898B" w14:textId="77777777" w:rsidR="00E57DAA" w:rsidRDefault="00AC4185">
            <w:pPr>
              <w:autoSpaceDE w:val="0"/>
              <w:autoSpaceDN w:val="0"/>
              <w:adjustRightInd w:val="0"/>
              <w:rPr>
                <w:szCs w:val="21"/>
              </w:rPr>
            </w:pPr>
            <w:r>
              <w:t>溧阳天山水泥有限公司</w:t>
            </w:r>
          </w:p>
        </w:tc>
        <w:tc>
          <w:tcPr>
            <w:tcW w:w="1059" w:type="pct"/>
            <w:tcBorders>
              <w:top w:val="single" w:sz="4" w:space="0" w:color="auto"/>
              <w:left w:val="single" w:sz="4" w:space="0" w:color="auto"/>
              <w:bottom w:val="single" w:sz="4" w:space="0" w:color="auto"/>
              <w:right w:val="single" w:sz="4" w:space="0" w:color="auto"/>
            </w:tcBorders>
          </w:tcPr>
          <w:p w14:paraId="3AC75AE9" w14:textId="77777777" w:rsidR="00E57DAA" w:rsidRDefault="00AC4185">
            <w:pPr>
              <w:autoSpaceDE w:val="0"/>
              <w:autoSpaceDN w:val="0"/>
              <w:adjustRightInd w:val="0"/>
              <w:jc w:val="right"/>
              <w:rPr>
                <w:szCs w:val="21"/>
              </w:rPr>
            </w:pPr>
            <w:r>
              <w:t>6,411,214.73</w:t>
            </w:r>
          </w:p>
        </w:tc>
        <w:tc>
          <w:tcPr>
            <w:tcW w:w="1407" w:type="pct"/>
            <w:tcBorders>
              <w:top w:val="single" w:sz="4" w:space="0" w:color="auto"/>
              <w:left w:val="single" w:sz="4" w:space="0" w:color="auto"/>
              <w:bottom w:val="single" w:sz="4" w:space="0" w:color="auto"/>
              <w:right w:val="single" w:sz="4" w:space="0" w:color="auto"/>
            </w:tcBorders>
          </w:tcPr>
          <w:p w14:paraId="0CF76614" w14:textId="77777777" w:rsidR="00E57DAA" w:rsidRDefault="00AC4185">
            <w:pPr>
              <w:autoSpaceDE w:val="0"/>
              <w:autoSpaceDN w:val="0"/>
              <w:adjustRightInd w:val="0"/>
              <w:jc w:val="right"/>
              <w:rPr>
                <w:szCs w:val="21"/>
              </w:rPr>
            </w:pPr>
            <w:r>
              <w:t>1,097,580.08</w:t>
            </w:r>
          </w:p>
        </w:tc>
      </w:tr>
      <w:tr w:rsidR="00E57DAA" w14:paraId="13EDF888" w14:textId="77777777">
        <w:tc>
          <w:tcPr>
            <w:tcW w:w="640" w:type="pct"/>
            <w:tcBorders>
              <w:top w:val="single" w:sz="4" w:space="0" w:color="auto"/>
              <w:left w:val="single" w:sz="4" w:space="0" w:color="auto"/>
              <w:bottom w:val="single" w:sz="4" w:space="0" w:color="auto"/>
              <w:right w:val="single" w:sz="4" w:space="0" w:color="auto"/>
            </w:tcBorders>
            <w:vAlign w:val="center"/>
          </w:tcPr>
          <w:p w14:paraId="32E18A2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17ECF9F" w14:textId="77777777" w:rsidR="00E57DAA" w:rsidRDefault="00AC4185">
            <w:pPr>
              <w:autoSpaceDE w:val="0"/>
              <w:autoSpaceDN w:val="0"/>
              <w:adjustRightInd w:val="0"/>
              <w:rPr>
                <w:szCs w:val="21"/>
              </w:rPr>
            </w:pPr>
            <w:r>
              <w:t>鲁南中联水泥有限公司</w:t>
            </w:r>
          </w:p>
        </w:tc>
        <w:tc>
          <w:tcPr>
            <w:tcW w:w="1059" w:type="pct"/>
            <w:tcBorders>
              <w:top w:val="single" w:sz="4" w:space="0" w:color="auto"/>
              <w:left w:val="single" w:sz="4" w:space="0" w:color="auto"/>
              <w:bottom w:val="single" w:sz="4" w:space="0" w:color="auto"/>
              <w:right w:val="single" w:sz="4" w:space="0" w:color="auto"/>
            </w:tcBorders>
          </w:tcPr>
          <w:p w14:paraId="48EFB01F" w14:textId="77777777" w:rsidR="00E57DAA" w:rsidRDefault="00AC4185">
            <w:pPr>
              <w:autoSpaceDE w:val="0"/>
              <w:autoSpaceDN w:val="0"/>
              <w:adjustRightInd w:val="0"/>
              <w:jc w:val="right"/>
              <w:rPr>
                <w:szCs w:val="21"/>
              </w:rPr>
            </w:pPr>
            <w:r>
              <w:t>3,558,443.15</w:t>
            </w:r>
          </w:p>
        </w:tc>
        <w:tc>
          <w:tcPr>
            <w:tcW w:w="1407" w:type="pct"/>
            <w:tcBorders>
              <w:top w:val="single" w:sz="4" w:space="0" w:color="auto"/>
              <w:left w:val="single" w:sz="4" w:space="0" w:color="auto"/>
              <w:bottom w:val="single" w:sz="4" w:space="0" w:color="auto"/>
              <w:right w:val="single" w:sz="4" w:space="0" w:color="auto"/>
            </w:tcBorders>
          </w:tcPr>
          <w:p w14:paraId="2E44794B" w14:textId="77777777" w:rsidR="00E57DAA" w:rsidRDefault="00AC4185">
            <w:pPr>
              <w:autoSpaceDE w:val="0"/>
              <w:autoSpaceDN w:val="0"/>
              <w:adjustRightInd w:val="0"/>
              <w:jc w:val="right"/>
              <w:rPr>
                <w:szCs w:val="21"/>
              </w:rPr>
            </w:pPr>
            <w:r>
              <w:t>309,557.52</w:t>
            </w:r>
          </w:p>
        </w:tc>
      </w:tr>
      <w:tr w:rsidR="00E57DAA" w14:paraId="1E4F16CB" w14:textId="77777777">
        <w:tc>
          <w:tcPr>
            <w:tcW w:w="640" w:type="pct"/>
            <w:tcBorders>
              <w:top w:val="single" w:sz="4" w:space="0" w:color="auto"/>
              <w:left w:val="single" w:sz="4" w:space="0" w:color="auto"/>
              <w:bottom w:val="single" w:sz="4" w:space="0" w:color="auto"/>
              <w:right w:val="single" w:sz="4" w:space="0" w:color="auto"/>
            </w:tcBorders>
            <w:vAlign w:val="center"/>
          </w:tcPr>
          <w:p w14:paraId="2B643B6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F4852AF" w14:textId="77777777" w:rsidR="00E57DAA" w:rsidRDefault="00AC4185">
            <w:pPr>
              <w:autoSpaceDE w:val="0"/>
              <w:autoSpaceDN w:val="0"/>
              <w:adjustRightInd w:val="0"/>
              <w:rPr>
                <w:szCs w:val="21"/>
              </w:rPr>
            </w:pPr>
            <w:r>
              <w:t>湖州白岘南方水泥有限公司</w:t>
            </w:r>
          </w:p>
        </w:tc>
        <w:tc>
          <w:tcPr>
            <w:tcW w:w="1059" w:type="pct"/>
            <w:tcBorders>
              <w:top w:val="single" w:sz="4" w:space="0" w:color="auto"/>
              <w:left w:val="single" w:sz="4" w:space="0" w:color="auto"/>
              <w:bottom w:val="single" w:sz="4" w:space="0" w:color="auto"/>
              <w:right w:val="single" w:sz="4" w:space="0" w:color="auto"/>
            </w:tcBorders>
          </w:tcPr>
          <w:p w14:paraId="5498E31B" w14:textId="77777777" w:rsidR="00E57DAA" w:rsidRDefault="00AC4185">
            <w:pPr>
              <w:autoSpaceDE w:val="0"/>
              <w:autoSpaceDN w:val="0"/>
              <w:adjustRightInd w:val="0"/>
              <w:jc w:val="right"/>
              <w:rPr>
                <w:szCs w:val="21"/>
              </w:rPr>
            </w:pPr>
            <w:r>
              <w:t>2,924,173.14</w:t>
            </w:r>
          </w:p>
        </w:tc>
        <w:tc>
          <w:tcPr>
            <w:tcW w:w="1407" w:type="pct"/>
            <w:tcBorders>
              <w:top w:val="single" w:sz="4" w:space="0" w:color="auto"/>
              <w:left w:val="single" w:sz="4" w:space="0" w:color="auto"/>
              <w:bottom w:val="single" w:sz="4" w:space="0" w:color="auto"/>
              <w:right w:val="single" w:sz="4" w:space="0" w:color="auto"/>
            </w:tcBorders>
          </w:tcPr>
          <w:p w14:paraId="084D735B" w14:textId="77777777" w:rsidR="00E57DAA" w:rsidRDefault="00AC4185">
            <w:pPr>
              <w:autoSpaceDE w:val="0"/>
              <w:autoSpaceDN w:val="0"/>
              <w:adjustRightInd w:val="0"/>
              <w:jc w:val="right"/>
              <w:rPr>
                <w:szCs w:val="21"/>
              </w:rPr>
            </w:pPr>
            <w:r>
              <w:t>4,820,028.87</w:t>
            </w:r>
          </w:p>
        </w:tc>
      </w:tr>
      <w:tr w:rsidR="00E57DAA" w14:paraId="6E7B22FF" w14:textId="77777777">
        <w:tc>
          <w:tcPr>
            <w:tcW w:w="640" w:type="pct"/>
            <w:tcBorders>
              <w:top w:val="single" w:sz="4" w:space="0" w:color="auto"/>
              <w:left w:val="single" w:sz="4" w:space="0" w:color="auto"/>
              <w:bottom w:val="single" w:sz="4" w:space="0" w:color="auto"/>
              <w:right w:val="single" w:sz="4" w:space="0" w:color="auto"/>
            </w:tcBorders>
            <w:vAlign w:val="center"/>
          </w:tcPr>
          <w:p w14:paraId="5B2A2E1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C36A847" w14:textId="77777777" w:rsidR="00E57DAA" w:rsidRDefault="00AC4185">
            <w:pPr>
              <w:autoSpaceDE w:val="0"/>
              <w:autoSpaceDN w:val="0"/>
              <w:adjustRightInd w:val="0"/>
              <w:rPr>
                <w:szCs w:val="21"/>
              </w:rPr>
            </w:pPr>
            <w:r>
              <w:t>北新新材料（锦州）有限公司</w:t>
            </w:r>
          </w:p>
        </w:tc>
        <w:tc>
          <w:tcPr>
            <w:tcW w:w="1059" w:type="pct"/>
            <w:tcBorders>
              <w:top w:val="single" w:sz="4" w:space="0" w:color="auto"/>
              <w:left w:val="single" w:sz="4" w:space="0" w:color="auto"/>
              <w:bottom w:val="single" w:sz="4" w:space="0" w:color="auto"/>
              <w:right w:val="single" w:sz="4" w:space="0" w:color="auto"/>
            </w:tcBorders>
          </w:tcPr>
          <w:p w14:paraId="57E2A507" w14:textId="77777777" w:rsidR="00E57DAA" w:rsidRDefault="00AC4185">
            <w:pPr>
              <w:autoSpaceDE w:val="0"/>
              <w:autoSpaceDN w:val="0"/>
              <w:adjustRightInd w:val="0"/>
              <w:jc w:val="right"/>
              <w:rPr>
                <w:szCs w:val="21"/>
              </w:rPr>
            </w:pPr>
            <w:r>
              <w:t>2,715,136.44</w:t>
            </w:r>
          </w:p>
        </w:tc>
        <w:tc>
          <w:tcPr>
            <w:tcW w:w="1407" w:type="pct"/>
            <w:tcBorders>
              <w:top w:val="single" w:sz="4" w:space="0" w:color="auto"/>
              <w:left w:val="single" w:sz="4" w:space="0" w:color="auto"/>
              <w:bottom w:val="single" w:sz="4" w:space="0" w:color="auto"/>
              <w:right w:val="single" w:sz="4" w:space="0" w:color="auto"/>
            </w:tcBorders>
          </w:tcPr>
          <w:p w14:paraId="2CE1D37D" w14:textId="77777777" w:rsidR="00E57DAA" w:rsidRDefault="00AC4185">
            <w:pPr>
              <w:autoSpaceDE w:val="0"/>
              <w:autoSpaceDN w:val="0"/>
              <w:adjustRightInd w:val="0"/>
              <w:jc w:val="right"/>
              <w:rPr>
                <w:szCs w:val="21"/>
              </w:rPr>
            </w:pPr>
            <w:r>
              <w:t xml:space="preserve">　</w:t>
            </w:r>
          </w:p>
        </w:tc>
      </w:tr>
      <w:tr w:rsidR="00E57DAA" w14:paraId="0DDFF8FE" w14:textId="77777777">
        <w:tc>
          <w:tcPr>
            <w:tcW w:w="640" w:type="pct"/>
            <w:tcBorders>
              <w:top w:val="single" w:sz="4" w:space="0" w:color="auto"/>
              <w:left w:val="single" w:sz="4" w:space="0" w:color="auto"/>
              <w:bottom w:val="single" w:sz="4" w:space="0" w:color="auto"/>
              <w:right w:val="single" w:sz="4" w:space="0" w:color="auto"/>
            </w:tcBorders>
            <w:vAlign w:val="center"/>
          </w:tcPr>
          <w:p w14:paraId="04FA808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920B60C" w14:textId="77777777" w:rsidR="00E57DAA" w:rsidRDefault="00AC4185">
            <w:pPr>
              <w:autoSpaceDE w:val="0"/>
              <w:autoSpaceDN w:val="0"/>
              <w:adjustRightInd w:val="0"/>
              <w:rPr>
                <w:szCs w:val="21"/>
              </w:rPr>
            </w:pPr>
            <w:r>
              <w:t>滕州中联水泥有限公司</w:t>
            </w:r>
          </w:p>
        </w:tc>
        <w:tc>
          <w:tcPr>
            <w:tcW w:w="1059" w:type="pct"/>
            <w:tcBorders>
              <w:top w:val="single" w:sz="4" w:space="0" w:color="auto"/>
              <w:left w:val="single" w:sz="4" w:space="0" w:color="auto"/>
              <w:bottom w:val="single" w:sz="4" w:space="0" w:color="auto"/>
              <w:right w:val="single" w:sz="4" w:space="0" w:color="auto"/>
            </w:tcBorders>
          </w:tcPr>
          <w:p w14:paraId="16F4B464" w14:textId="77777777" w:rsidR="00E57DAA" w:rsidRDefault="00AC4185">
            <w:pPr>
              <w:autoSpaceDE w:val="0"/>
              <w:autoSpaceDN w:val="0"/>
              <w:adjustRightInd w:val="0"/>
              <w:jc w:val="right"/>
              <w:rPr>
                <w:szCs w:val="21"/>
              </w:rPr>
            </w:pPr>
            <w:r>
              <w:t>2,646,119.27</w:t>
            </w:r>
          </w:p>
        </w:tc>
        <w:tc>
          <w:tcPr>
            <w:tcW w:w="1407" w:type="pct"/>
            <w:tcBorders>
              <w:top w:val="single" w:sz="4" w:space="0" w:color="auto"/>
              <w:left w:val="single" w:sz="4" w:space="0" w:color="auto"/>
              <w:bottom w:val="single" w:sz="4" w:space="0" w:color="auto"/>
              <w:right w:val="single" w:sz="4" w:space="0" w:color="auto"/>
            </w:tcBorders>
          </w:tcPr>
          <w:p w14:paraId="44B9257D" w14:textId="77777777" w:rsidR="00E57DAA" w:rsidRDefault="00AC4185">
            <w:pPr>
              <w:autoSpaceDE w:val="0"/>
              <w:autoSpaceDN w:val="0"/>
              <w:adjustRightInd w:val="0"/>
              <w:jc w:val="right"/>
              <w:rPr>
                <w:szCs w:val="21"/>
              </w:rPr>
            </w:pPr>
            <w:r>
              <w:t xml:space="preserve">　</w:t>
            </w:r>
          </w:p>
        </w:tc>
      </w:tr>
      <w:tr w:rsidR="00E57DAA" w14:paraId="2B247BF7" w14:textId="77777777">
        <w:tc>
          <w:tcPr>
            <w:tcW w:w="640" w:type="pct"/>
            <w:tcBorders>
              <w:top w:val="single" w:sz="4" w:space="0" w:color="auto"/>
              <w:left w:val="single" w:sz="4" w:space="0" w:color="auto"/>
              <w:bottom w:val="single" w:sz="4" w:space="0" w:color="auto"/>
              <w:right w:val="single" w:sz="4" w:space="0" w:color="auto"/>
            </w:tcBorders>
            <w:vAlign w:val="center"/>
          </w:tcPr>
          <w:p w14:paraId="645FCDD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A677E7A" w14:textId="77777777" w:rsidR="00E57DAA" w:rsidRDefault="00AC4185">
            <w:pPr>
              <w:autoSpaceDE w:val="0"/>
              <w:autoSpaceDN w:val="0"/>
              <w:adjustRightInd w:val="0"/>
              <w:rPr>
                <w:szCs w:val="21"/>
              </w:rPr>
            </w:pPr>
            <w:r>
              <w:t>江西泰和南方水泥有限公司</w:t>
            </w:r>
          </w:p>
        </w:tc>
        <w:tc>
          <w:tcPr>
            <w:tcW w:w="1059" w:type="pct"/>
            <w:tcBorders>
              <w:top w:val="single" w:sz="4" w:space="0" w:color="auto"/>
              <w:left w:val="single" w:sz="4" w:space="0" w:color="auto"/>
              <w:bottom w:val="single" w:sz="4" w:space="0" w:color="auto"/>
              <w:right w:val="single" w:sz="4" w:space="0" w:color="auto"/>
            </w:tcBorders>
          </w:tcPr>
          <w:p w14:paraId="7F6BE6F5" w14:textId="77777777" w:rsidR="00E57DAA" w:rsidRDefault="00AC4185">
            <w:pPr>
              <w:autoSpaceDE w:val="0"/>
              <w:autoSpaceDN w:val="0"/>
              <w:adjustRightInd w:val="0"/>
              <w:jc w:val="right"/>
              <w:rPr>
                <w:szCs w:val="21"/>
              </w:rPr>
            </w:pPr>
            <w:r>
              <w:t>1,283,766.36</w:t>
            </w:r>
          </w:p>
        </w:tc>
        <w:tc>
          <w:tcPr>
            <w:tcW w:w="1407" w:type="pct"/>
            <w:tcBorders>
              <w:top w:val="single" w:sz="4" w:space="0" w:color="auto"/>
              <w:left w:val="single" w:sz="4" w:space="0" w:color="auto"/>
              <w:bottom w:val="single" w:sz="4" w:space="0" w:color="auto"/>
              <w:right w:val="single" w:sz="4" w:space="0" w:color="auto"/>
            </w:tcBorders>
          </w:tcPr>
          <w:p w14:paraId="698840A2" w14:textId="77777777" w:rsidR="00E57DAA" w:rsidRDefault="00AC4185">
            <w:pPr>
              <w:autoSpaceDE w:val="0"/>
              <w:autoSpaceDN w:val="0"/>
              <w:adjustRightInd w:val="0"/>
              <w:jc w:val="right"/>
              <w:rPr>
                <w:szCs w:val="21"/>
              </w:rPr>
            </w:pPr>
            <w:r>
              <w:t>1,721,976.81</w:t>
            </w:r>
          </w:p>
        </w:tc>
      </w:tr>
      <w:tr w:rsidR="00E57DAA" w14:paraId="1FC096D1" w14:textId="77777777">
        <w:tc>
          <w:tcPr>
            <w:tcW w:w="640" w:type="pct"/>
            <w:tcBorders>
              <w:top w:val="single" w:sz="4" w:space="0" w:color="auto"/>
              <w:left w:val="single" w:sz="4" w:space="0" w:color="auto"/>
              <w:bottom w:val="single" w:sz="4" w:space="0" w:color="auto"/>
              <w:right w:val="single" w:sz="4" w:space="0" w:color="auto"/>
            </w:tcBorders>
            <w:vAlign w:val="center"/>
          </w:tcPr>
          <w:p w14:paraId="31B488E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5F4B50B" w14:textId="77777777" w:rsidR="00E57DAA" w:rsidRDefault="00AC4185">
            <w:pPr>
              <w:autoSpaceDE w:val="0"/>
              <w:autoSpaceDN w:val="0"/>
              <w:adjustRightInd w:val="0"/>
              <w:rPr>
                <w:szCs w:val="21"/>
              </w:rPr>
            </w:pPr>
            <w:r>
              <w:t>中材天山（云浮）水泥有限公司</w:t>
            </w:r>
          </w:p>
        </w:tc>
        <w:tc>
          <w:tcPr>
            <w:tcW w:w="1059" w:type="pct"/>
            <w:tcBorders>
              <w:top w:val="single" w:sz="4" w:space="0" w:color="auto"/>
              <w:left w:val="single" w:sz="4" w:space="0" w:color="auto"/>
              <w:bottom w:val="single" w:sz="4" w:space="0" w:color="auto"/>
              <w:right w:val="single" w:sz="4" w:space="0" w:color="auto"/>
            </w:tcBorders>
          </w:tcPr>
          <w:p w14:paraId="47D270DD" w14:textId="77777777" w:rsidR="00E57DAA" w:rsidRDefault="00AC4185">
            <w:pPr>
              <w:autoSpaceDE w:val="0"/>
              <w:autoSpaceDN w:val="0"/>
              <w:adjustRightInd w:val="0"/>
              <w:jc w:val="right"/>
              <w:rPr>
                <w:szCs w:val="21"/>
              </w:rPr>
            </w:pPr>
            <w:r>
              <w:t>1,097,123.89</w:t>
            </w:r>
          </w:p>
        </w:tc>
        <w:tc>
          <w:tcPr>
            <w:tcW w:w="1407" w:type="pct"/>
            <w:tcBorders>
              <w:top w:val="single" w:sz="4" w:space="0" w:color="auto"/>
              <w:left w:val="single" w:sz="4" w:space="0" w:color="auto"/>
              <w:bottom w:val="single" w:sz="4" w:space="0" w:color="auto"/>
              <w:right w:val="single" w:sz="4" w:space="0" w:color="auto"/>
            </w:tcBorders>
          </w:tcPr>
          <w:p w14:paraId="6F40B083" w14:textId="77777777" w:rsidR="00E57DAA" w:rsidRDefault="00AC4185">
            <w:pPr>
              <w:autoSpaceDE w:val="0"/>
              <w:autoSpaceDN w:val="0"/>
              <w:adjustRightInd w:val="0"/>
              <w:jc w:val="right"/>
              <w:rPr>
                <w:szCs w:val="21"/>
              </w:rPr>
            </w:pPr>
            <w:r>
              <w:t>365,707.96</w:t>
            </w:r>
          </w:p>
        </w:tc>
      </w:tr>
      <w:tr w:rsidR="00E57DAA" w14:paraId="50B33368" w14:textId="77777777">
        <w:tc>
          <w:tcPr>
            <w:tcW w:w="640" w:type="pct"/>
            <w:tcBorders>
              <w:top w:val="single" w:sz="4" w:space="0" w:color="auto"/>
              <w:left w:val="single" w:sz="4" w:space="0" w:color="auto"/>
              <w:bottom w:val="single" w:sz="4" w:space="0" w:color="auto"/>
              <w:right w:val="single" w:sz="4" w:space="0" w:color="auto"/>
            </w:tcBorders>
            <w:vAlign w:val="center"/>
          </w:tcPr>
          <w:p w14:paraId="3A6681E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9925AAE" w14:textId="77777777" w:rsidR="00E57DAA" w:rsidRDefault="00AC4185">
            <w:pPr>
              <w:autoSpaceDE w:val="0"/>
              <w:autoSpaceDN w:val="0"/>
              <w:adjustRightInd w:val="0"/>
              <w:rPr>
                <w:szCs w:val="21"/>
              </w:rPr>
            </w:pPr>
            <w:r>
              <w:t>正镶白旗中联水泥有限公司</w:t>
            </w:r>
          </w:p>
        </w:tc>
        <w:tc>
          <w:tcPr>
            <w:tcW w:w="1059" w:type="pct"/>
            <w:tcBorders>
              <w:top w:val="single" w:sz="4" w:space="0" w:color="auto"/>
              <w:left w:val="single" w:sz="4" w:space="0" w:color="auto"/>
              <w:bottom w:val="single" w:sz="4" w:space="0" w:color="auto"/>
              <w:right w:val="single" w:sz="4" w:space="0" w:color="auto"/>
            </w:tcBorders>
          </w:tcPr>
          <w:p w14:paraId="4EAD7DEE" w14:textId="77777777" w:rsidR="00E57DAA" w:rsidRDefault="00AC4185">
            <w:pPr>
              <w:autoSpaceDE w:val="0"/>
              <w:autoSpaceDN w:val="0"/>
              <w:adjustRightInd w:val="0"/>
              <w:jc w:val="right"/>
              <w:rPr>
                <w:szCs w:val="21"/>
              </w:rPr>
            </w:pPr>
            <w:r>
              <w:t>825,486.73</w:t>
            </w:r>
          </w:p>
        </w:tc>
        <w:tc>
          <w:tcPr>
            <w:tcW w:w="1407" w:type="pct"/>
            <w:tcBorders>
              <w:top w:val="single" w:sz="4" w:space="0" w:color="auto"/>
              <w:left w:val="single" w:sz="4" w:space="0" w:color="auto"/>
              <w:bottom w:val="single" w:sz="4" w:space="0" w:color="auto"/>
              <w:right w:val="single" w:sz="4" w:space="0" w:color="auto"/>
            </w:tcBorders>
          </w:tcPr>
          <w:p w14:paraId="70C5008E" w14:textId="77777777" w:rsidR="00E57DAA" w:rsidRDefault="00AC4185">
            <w:pPr>
              <w:autoSpaceDE w:val="0"/>
              <w:autoSpaceDN w:val="0"/>
              <w:adjustRightInd w:val="0"/>
              <w:jc w:val="right"/>
              <w:rPr>
                <w:szCs w:val="21"/>
              </w:rPr>
            </w:pPr>
            <w:r>
              <w:t xml:space="preserve">　</w:t>
            </w:r>
          </w:p>
        </w:tc>
      </w:tr>
      <w:tr w:rsidR="00E57DAA" w14:paraId="6B5383D4" w14:textId="77777777">
        <w:tc>
          <w:tcPr>
            <w:tcW w:w="640" w:type="pct"/>
            <w:tcBorders>
              <w:top w:val="single" w:sz="4" w:space="0" w:color="auto"/>
              <w:left w:val="single" w:sz="4" w:space="0" w:color="auto"/>
              <w:bottom w:val="single" w:sz="4" w:space="0" w:color="auto"/>
              <w:right w:val="single" w:sz="4" w:space="0" w:color="auto"/>
            </w:tcBorders>
            <w:vAlign w:val="center"/>
          </w:tcPr>
          <w:p w14:paraId="05C8054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5806A15" w14:textId="77777777" w:rsidR="00E57DAA" w:rsidRDefault="00AC4185">
            <w:pPr>
              <w:autoSpaceDE w:val="0"/>
              <w:autoSpaceDN w:val="0"/>
              <w:adjustRightInd w:val="0"/>
              <w:rPr>
                <w:szCs w:val="21"/>
              </w:rPr>
            </w:pPr>
            <w:r>
              <w:t>漳县祁连山水泥有限公司</w:t>
            </w:r>
          </w:p>
        </w:tc>
        <w:tc>
          <w:tcPr>
            <w:tcW w:w="1059" w:type="pct"/>
            <w:tcBorders>
              <w:top w:val="single" w:sz="4" w:space="0" w:color="auto"/>
              <w:left w:val="single" w:sz="4" w:space="0" w:color="auto"/>
              <w:bottom w:val="single" w:sz="4" w:space="0" w:color="auto"/>
              <w:right w:val="single" w:sz="4" w:space="0" w:color="auto"/>
            </w:tcBorders>
          </w:tcPr>
          <w:p w14:paraId="0A72A54A" w14:textId="77777777" w:rsidR="00E57DAA" w:rsidRDefault="00AC4185">
            <w:pPr>
              <w:autoSpaceDE w:val="0"/>
              <w:autoSpaceDN w:val="0"/>
              <w:adjustRightInd w:val="0"/>
              <w:jc w:val="right"/>
              <w:rPr>
                <w:szCs w:val="21"/>
              </w:rPr>
            </w:pPr>
            <w:r>
              <w:t>806,968.12</w:t>
            </w:r>
          </w:p>
        </w:tc>
        <w:tc>
          <w:tcPr>
            <w:tcW w:w="1407" w:type="pct"/>
            <w:tcBorders>
              <w:top w:val="single" w:sz="4" w:space="0" w:color="auto"/>
              <w:left w:val="single" w:sz="4" w:space="0" w:color="auto"/>
              <w:bottom w:val="single" w:sz="4" w:space="0" w:color="auto"/>
              <w:right w:val="single" w:sz="4" w:space="0" w:color="auto"/>
            </w:tcBorders>
          </w:tcPr>
          <w:p w14:paraId="6B3BAC72" w14:textId="77777777" w:rsidR="00E57DAA" w:rsidRDefault="00AC4185">
            <w:pPr>
              <w:autoSpaceDE w:val="0"/>
              <w:autoSpaceDN w:val="0"/>
              <w:adjustRightInd w:val="0"/>
              <w:jc w:val="right"/>
              <w:rPr>
                <w:szCs w:val="21"/>
              </w:rPr>
            </w:pPr>
            <w:r>
              <w:t>3,981,110.51</w:t>
            </w:r>
          </w:p>
        </w:tc>
      </w:tr>
      <w:tr w:rsidR="00E57DAA" w14:paraId="1EC146F5" w14:textId="77777777">
        <w:tc>
          <w:tcPr>
            <w:tcW w:w="640" w:type="pct"/>
            <w:tcBorders>
              <w:top w:val="single" w:sz="4" w:space="0" w:color="auto"/>
              <w:left w:val="single" w:sz="4" w:space="0" w:color="auto"/>
              <w:bottom w:val="single" w:sz="4" w:space="0" w:color="auto"/>
              <w:right w:val="single" w:sz="4" w:space="0" w:color="auto"/>
            </w:tcBorders>
            <w:vAlign w:val="center"/>
          </w:tcPr>
          <w:p w14:paraId="7DF543F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53C4BFE" w14:textId="77777777" w:rsidR="00E57DAA" w:rsidRDefault="00AC4185">
            <w:pPr>
              <w:autoSpaceDE w:val="0"/>
              <w:autoSpaceDN w:val="0"/>
              <w:adjustRightInd w:val="0"/>
              <w:rPr>
                <w:szCs w:val="21"/>
              </w:rPr>
            </w:pPr>
            <w:r>
              <w:t>青岛即墨中联水泥有限公司</w:t>
            </w:r>
          </w:p>
        </w:tc>
        <w:tc>
          <w:tcPr>
            <w:tcW w:w="1059" w:type="pct"/>
            <w:tcBorders>
              <w:top w:val="single" w:sz="4" w:space="0" w:color="auto"/>
              <w:left w:val="single" w:sz="4" w:space="0" w:color="auto"/>
              <w:bottom w:val="single" w:sz="4" w:space="0" w:color="auto"/>
              <w:right w:val="single" w:sz="4" w:space="0" w:color="auto"/>
            </w:tcBorders>
          </w:tcPr>
          <w:p w14:paraId="353C2837" w14:textId="77777777" w:rsidR="00E57DAA" w:rsidRDefault="00AC4185">
            <w:pPr>
              <w:autoSpaceDE w:val="0"/>
              <w:autoSpaceDN w:val="0"/>
              <w:adjustRightInd w:val="0"/>
              <w:jc w:val="right"/>
              <w:rPr>
                <w:szCs w:val="21"/>
              </w:rPr>
            </w:pPr>
            <w:r>
              <w:t>788,391.93</w:t>
            </w:r>
          </w:p>
        </w:tc>
        <w:tc>
          <w:tcPr>
            <w:tcW w:w="1407" w:type="pct"/>
            <w:tcBorders>
              <w:top w:val="single" w:sz="4" w:space="0" w:color="auto"/>
              <w:left w:val="single" w:sz="4" w:space="0" w:color="auto"/>
              <w:bottom w:val="single" w:sz="4" w:space="0" w:color="auto"/>
              <w:right w:val="single" w:sz="4" w:space="0" w:color="auto"/>
            </w:tcBorders>
          </w:tcPr>
          <w:p w14:paraId="5FDF90C2" w14:textId="77777777" w:rsidR="00E57DAA" w:rsidRDefault="00AC4185">
            <w:pPr>
              <w:autoSpaceDE w:val="0"/>
              <w:autoSpaceDN w:val="0"/>
              <w:adjustRightInd w:val="0"/>
              <w:jc w:val="right"/>
              <w:rPr>
                <w:szCs w:val="21"/>
              </w:rPr>
            </w:pPr>
            <w:r>
              <w:t>730,973.45</w:t>
            </w:r>
          </w:p>
        </w:tc>
      </w:tr>
      <w:tr w:rsidR="00E57DAA" w14:paraId="6599CE99" w14:textId="77777777">
        <w:tc>
          <w:tcPr>
            <w:tcW w:w="640" w:type="pct"/>
            <w:tcBorders>
              <w:top w:val="single" w:sz="4" w:space="0" w:color="auto"/>
              <w:left w:val="single" w:sz="4" w:space="0" w:color="auto"/>
              <w:bottom w:val="single" w:sz="4" w:space="0" w:color="auto"/>
              <w:right w:val="single" w:sz="4" w:space="0" w:color="auto"/>
            </w:tcBorders>
            <w:vAlign w:val="center"/>
          </w:tcPr>
          <w:p w14:paraId="77CBEEB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59271F2" w14:textId="77777777" w:rsidR="00E57DAA" w:rsidRDefault="00AC4185">
            <w:pPr>
              <w:autoSpaceDE w:val="0"/>
              <w:autoSpaceDN w:val="0"/>
              <w:adjustRightInd w:val="0"/>
              <w:rPr>
                <w:szCs w:val="21"/>
              </w:rPr>
            </w:pPr>
            <w:r>
              <w:t>黑龙江省宾州水泥有限公司</w:t>
            </w:r>
          </w:p>
        </w:tc>
        <w:tc>
          <w:tcPr>
            <w:tcW w:w="1059" w:type="pct"/>
            <w:tcBorders>
              <w:top w:val="single" w:sz="4" w:space="0" w:color="auto"/>
              <w:left w:val="single" w:sz="4" w:space="0" w:color="auto"/>
              <w:bottom w:val="single" w:sz="4" w:space="0" w:color="auto"/>
              <w:right w:val="single" w:sz="4" w:space="0" w:color="auto"/>
            </w:tcBorders>
          </w:tcPr>
          <w:p w14:paraId="3E2A2E0D" w14:textId="77777777" w:rsidR="00E57DAA" w:rsidRDefault="00AC4185">
            <w:pPr>
              <w:autoSpaceDE w:val="0"/>
              <w:autoSpaceDN w:val="0"/>
              <w:adjustRightInd w:val="0"/>
              <w:jc w:val="right"/>
              <w:rPr>
                <w:szCs w:val="21"/>
              </w:rPr>
            </w:pPr>
            <w:r>
              <w:t>778,516.71</w:t>
            </w:r>
          </w:p>
        </w:tc>
        <w:tc>
          <w:tcPr>
            <w:tcW w:w="1407" w:type="pct"/>
            <w:tcBorders>
              <w:top w:val="single" w:sz="4" w:space="0" w:color="auto"/>
              <w:left w:val="single" w:sz="4" w:space="0" w:color="auto"/>
              <w:bottom w:val="single" w:sz="4" w:space="0" w:color="auto"/>
              <w:right w:val="single" w:sz="4" w:space="0" w:color="auto"/>
            </w:tcBorders>
          </w:tcPr>
          <w:p w14:paraId="73357A18" w14:textId="77777777" w:rsidR="00E57DAA" w:rsidRDefault="00AC4185">
            <w:pPr>
              <w:autoSpaceDE w:val="0"/>
              <w:autoSpaceDN w:val="0"/>
              <w:adjustRightInd w:val="0"/>
              <w:jc w:val="right"/>
              <w:rPr>
                <w:szCs w:val="21"/>
              </w:rPr>
            </w:pPr>
            <w:r>
              <w:t>931,621.24</w:t>
            </w:r>
          </w:p>
        </w:tc>
      </w:tr>
      <w:tr w:rsidR="00E57DAA" w14:paraId="2D69CE3A" w14:textId="77777777">
        <w:tc>
          <w:tcPr>
            <w:tcW w:w="640" w:type="pct"/>
            <w:tcBorders>
              <w:top w:val="single" w:sz="4" w:space="0" w:color="auto"/>
              <w:left w:val="single" w:sz="4" w:space="0" w:color="auto"/>
              <w:bottom w:val="single" w:sz="4" w:space="0" w:color="auto"/>
              <w:right w:val="single" w:sz="4" w:space="0" w:color="auto"/>
            </w:tcBorders>
            <w:vAlign w:val="center"/>
          </w:tcPr>
          <w:p w14:paraId="5897A25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C3CC15F" w14:textId="77777777" w:rsidR="00E57DAA" w:rsidRDefault="00AC4185">
            <w:pPr>
              <w:autoSpaceDE w:val="0"/>
              <w:autoSpaceDN w:val="0"/>
              <w:adjustRightInd w:val="0"/>
              <w:rPr>
                <w:szCs w:val="21"/>
              </w:rPr>
            </w:pPr>
            <w:r>
              <w:t>江西玉山南方水泥有限公司</w:t>
            </w:r>
          </w:p>
        </w:tc>
        <w:tc>
          <w:tcPr>
            <w:tcW w:w="1059" w:type="pct"/>
            <w:tcBorders>
              <w:top w:val="single" w:sz="4" w:space="0" w:color="auto"/>
              <w:left w:val="single" w:sz="4" w:space="0" w:color="auto"/>
              <w:bottom w:val="single" w:sz="4" w:space="0" w:color="auto"/>
              <w:right w:val="single" w:sz="4" w:space="0" w:color="auto"/>
            </w:tcBorders>
          </w:tcPr>
          <w:p w14:paraId="51D32F74" w14:textId="77777777" w:rsidR="00E57DAA" w:rsidRDefault="00AC4185">
            <w:pPr>
              <w:autoSpaceDE w:val="0"/>
              <w:autoSpaceDN w:val="0"/>
              <w:adjustRightInd w:val="0"/>
              <w:jc w:val="right"/>
              <w:rPr>
                <w:szCs w:val="21"/>
              </w:rPr>
            </w:pPr>
            <w:r>
              <w:t>655,241.03</w:t>
            </w:r>
          </w:p>
        </w:tc>
        <w:tc>
          <w:tcPr>
            <w:tcW w:w="1407" w:type="pct"/>
            <w:tcBorders>
              <w:top w:val="single" w:sz="4" w:space="0" w:color="auto"/>
              <w:left w:val="single" w:sz="4" w:space="0" w:color="auto"/>
              <w:bottom w:val="single" w:sz="4" w:space="0" w:color="auto"/>
              <w:right w:val="single" w:sz="4" w:space="0" w:color="auto"/>
            </w:tcBorders>
          </w:tcPr>
          <w:p w14:paraId="2DD05C18" w14:textId="77777777" w:rsidR="00E57DAA" w:rsidRDefault="00AC4185">
            <w:pPr>
              <w:autoSpaceDE w:val="0"/>
              <w:autoSpaceDN w:val="0"/>
              <w:adjustRightInd w:val="0"/>
              <w:jc w:val="right"/>
              <w:rPr>
                <w:szCs w:val="21"/>
              </w:rPr>
            </w:pPr>
            <w:r>
              <w:t>3,540,135.79</w:t>
            </w:r>
          </w:p>
        </w:tc>
      </w:tr>
      <w:tr w:rsidR="00E57DAA" w14:paraId="14ED09CA" w14:textId="77777777">
        <w:tc>
          <w:tcPr>
            <w:tcW w:w="640" w:type="pct"/>
            <w:tcBorders>
              <w:top w:val="single" w:sz="4" w:space="0" w:color="auto"/>
              <w:left w:val="single" w:sz="4" w:space="0" w:color="auto"/>
              <w:bottom w:val="single" w:sz="4" w:space="0" w:color="auto"/>
              <w:right w:val="single" w:sz="4" w:space="0" w:color="auto"/>
            </w:tcBorders>
            <w:vAlign w:val="center"/>
          </w:tcPr>
          <w:p w14:paraId="4F1941D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6FEB1FD" w14:textId="77777777" w:rsidR="00E57DAA" w:rsidRDefault="00AC4185">
            <w:pPr>
              <w:autoSpaceDE w:val="0"/>
              <w:autoSpaceDN w:val="0"/>
              <w:adjustRightInd w:val="0"/>
              <w:rPr>
                <w:szCs w:val="21"/>
              </w:rPr>
            </w:pPr>
            <w:r>
              <w:t>厦门艾思欧标准砂有限公司</w:t>
            </w:r>
          </w:p>
        </w:tc>
        <w:tc>
          <w:tcPr>
            <w:tcW w:w="1059" w:type="pct"/>
            <w:tcBorders>
              <w:top w:val="single" w:sz="4" w:space="0" w:color="auto"/>
              <w:left w:val="single" w:sz="4" w:space="0" w:color="auto"/>
              <w:bottom w:val="single" w:sz="4" w:space="0" w:color="auto"/>
              <w:right w:val="single" w:sz="4" w:space="0" w:color="auto"/>
            </w:tcBorders>
          </w:tcPr>
          <w:p w14:paraId="43FF0031" w14:textId="77777777" w:rsidR="00E57DAA" w:rsidRDefault="00AC4185">
            <w:pPr>
              <w:autoSpaceDE w:val="0"/>
              <w:autoSpaceDN w:val="0"/>
              <w:adjustRightInd w:val="0"/>
              <w:jc w:val="right"/>
              <w:rPr>
                <w:szCs w:val="21"/>
              </w:rPr>
            </w:pPr>
            <w:r>
              <w:t>607,964.60</w:t>
            </w:r>
          </w:p>
        </w:tc>
        <w:tc>
          <w:tcPr>
            <w:tcW w:w="1407" w:type="pct"/>
            <w:tcBorders>
              <w:top w:val="single" w:sz="4" w:space="0" w:color="auto"/>
              <w:left w:val="single" w:sz="4" w:space="0" w:color="auto"/>
              <w:bottom w:val="single" w:sz="4" w:space="0" w:color="auto"/>
              <w:right w:val="single" w:sz="4" w:space="0" w:color="auto"/>
            </w:tcBorders>
          </w:tcPr>
          <w:p w14:paraId="28B72401" w14:textId="77777777" w:rsidR="00E57DAA" w:rsidRDefault="00AC4185">
            <w:pPr>
              <w:autoSpaceDE w:val="0"/>
              <w:autoSpaceDN w:val="0"/>
              <w:adjustRightInd w:val="0"/>
              <w:jc w:val="right"/>
              <w:rPr>
                <w:szCs w:val="21"/>
              </w:rPr>
            </w:pPr>
            <w:r>
              <w:t xml:space="preserve">　</w:t>
            </w:r>
          </w:p>
        </w:tc>
      </w:tr>
      <w:tr w:rsidR="00E57DAA" w14:paraId="777F9C26" w14:textId="77777777">
        <w:tc>
          <w:tcPr>
            <w:tcW w:w="640" w:type="pct"/>
            <w:tcBorders>
              <w:top w:val="single" w:sz="4" w:space="0" w:color="auto"/>
              <w:left w:val="single" w:sz="4" w:space="0" w:color="auto"/>
              <w:bottom w:val="single" w:sz="4" w:space="0" w:color="auto"/>
              <w:right w:val="single" w:sz="4" w:space="0" w:color="auto"/>
            </w:tcBorders>
            <w:vAlign w:val="center"/>
          </w:tcPr>
          <w:p w14:paraId="649D528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2744EE7" w14:textId="77777777" w:rsidR="00E57DAA" w:rsidRDefault="00AC4185">
            <w:pPr>
              <w:autoSpaceDE w:val="0"/>
              <w:autoSpaceDN w:val="0"/>
              <w:adjustRightInd w:val="0"/>
              <w:rPr>
                <w:szCs w:val="21"/>
              </w:rPr>
            </w:pPr>
            <w:r>
              <w:t>四川德胜集团水泥有限公司</w:t>
            </w:r>
          </w:p>
        </w:tc>
        <w:tc>
          <w:tcPr>
            <w:tcW w:w="1059" w:type="pct"/>
            <w:tcBorders>
              <w:top w:val="single" w:sz="4" w:space="0" w:color="auto"/>
              <w:left w:val="single" w:sz="4" w:space="0" w:color="auto"/>
              <w:bottom w:val="single" w:sz="4" w:space="0" w:color="auto"/>
              <w:right w:val="single" w:sz="4" w:space="0" w:color="auto"/>
            </w:tcBorders>
          </w:tcPr>
          <w:p w14:paraId="4303B46E" w14:textId="77777777" w:rsidR="00E57DAA" w:rsidRDefault="00AC4185">
            <w:pPr>
              <w:autoSpaceDE w:val="0"/>
              <w:autoSpaceDN w:val="0"/>
              <w:adjustRightInd w:val="0"/>
              <w:jc w:val="right"/>
              <w:rPr>
                <w:szCs w:val="21"/>
              </w:rPr>
            </w:pPr>
            <w:r>
              <w:t>517,515.08</w:t>
            </w:r>
          </w:p>
        </w:tc>
        <w:tc>
          <w:tcPr>
            <w:tcW w:w="1407" w:type="pct"/>
            <w:tcBorders>
              <w:top w:val="single" w:sz="4" w:space="0" w:color="auto"/>
              <w:left w:val="single" w:sz="4" w:space="0" w:color="auto"/>
              <w:bottom w:val="single" w:sz="4" w:space="0" w:color="auto"/>
              <w:right w:val="single" w:sz="4" w:space="0" w:color="auto"/>
            </w:tcBorders>
          </w:tcPr>
          <w:p w14:paraId="002DC8DE" w14:textId="77777777" w:rsidR="00E57DAA" w:rsidRDefault="00AC4185">
            <w:pPr>
              <w:autoSpaceDE w:val="0"/>
              <w:autoSpaceDN w:val="0"/>
              <w:adjustRightInd w:val="0"/>
              <w:jc w:val="right"/>
              <w:rPr>
                <w:szCs w:val="21"/>
              </w:rPr>
            </w:pPr>
            <w:r>
              <w:t>517,515.08</w:t>
            </w:r>
          </w:p>
        </w:tc>
      </w:tr>
      <w:tr w:rsidR="00E57DAA" w14:paraId="1B7DB99E" w14:textId="77777777">
        <w:tc>
          <w:tcPr>
            <w:tcW w:w="640" w:type="pct"/>
            <w:tcBorders>
              <w:top w:val="single" w:sz="4" w:space="0" w:color="auto"/>
              <w:left w:val="single" w:sz="4" w:space="0" w:color="auto"/>
              <w:bottom w:val="single" w:sz="4" w:space="0" w:color="auto"/>
              <w:right w:val="single" w:sz="4" w:space="0" w:color="auto"/>
            </w:tcBorders>
            <w:vAlign w:val="center"/>
          </w:tcPr>
          <w:p w14:paraId="7596642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58D0842" w14:textId="77777777" w:rsidR="00E57DAA" w:rsidRDefault="00AC4185">
            <w:pPr>
              <w:autoSpaceDE w:val="0"/>
              <w:autoSpaceDN w:val="0"/>
              <w:adjustRightInd w:val="0"/>
              <w:rPr>
                <w:szCs w:val="21"/>
              </w:rPr>
            </w:pPr>
            <w:r>
              <w:t>枣庄中联水泥有限公司</w:t>
            </w:r>
          </w:p>
        </w:tc>
        <w:tc>
          <w:tcPr>
            <w:tcW w:w="1059" w:type="pct"/>
            <w:tcBorders>
              <w:top w:val="single" w:sz="4" w:space="0" w:color="auto"/>
              <w:left w:val="single" w:sz="4" w:space="0" w:color="auto"/>
              <w:bottom w:val="single" w:sz="4" w:space="0" w:color="auto"/>
              <w:right w:val="single" w:sz="4" w:space="0" w:color="auto"/>
            </w:tcBorders>
          </w:tcPr>
          <w:p w14:paraId="2E828898" w14:textId="77777777" w:rsidR="00E57DAA" w:rsidRDefault="00AC4185">
            <w:pPr>
              <w:autoSpaceDE w:val="0"/>
              <w:autoSpaceDN w:val="0"/>
              <w:adjustRightInd w:val="0"/>
              <w:jc w:val="right"/>
              <w:rPr>
                <w:szCs w:val="21"/>
              </w:rPr>
            </w:pPr>
            <w:r>
              <w:t>488,697.23</w:t>
            </w:r>
          </w:p>
        </w:tc>
        <w:tc>
          <w:tcPr>
            <w:tcW w:w="1407" w:type="pct"/>
            <w:tcBorders>
              <w:top w:val="single" w:sz="4" w:space="0" w:color="auto"/>
              <w:left w:val="single" w:sz="4" w:space="0" w:color="auto"/>
              <w:bottom w:val="single" w:sz="4" w:space="0" w:color="auto"/>
              <w:right w:val="single" w:sz="4" w:space="0" w:color="auto"/>
            </w:tcBorders>
          </w:tcPr>
          <w:p w14:paraId="60BF0708" w14:textId="77777777" w:rsidR="00E57DAA" w:rsidRDefault="00AC4185">
            <w:pPr>
              <w:autoSpaceDE w:val="0"/>
              <w:autoSpaceDN w:val="0"/>
              <w:adjustRightInd w:val="0"/>
              <w:jc w:val="right"/>
              <w:rPr>
                <w:szCs w:val="21"/>
              </w:rPr>
            </w:pPr>
            <w:r>
              <w:t xml:space="preserve">　</w:t>
            </w:r>
          </w:p>
        </w:tc>
      </w:tr>
      <w:tr w:rsidR="00E57DAA" w14:paraId="0371D68B" w14:textId="77777777">
        <w:tc>
          <w:tcPr>
            <w:tcW w:w="640" w:type="pct"/>
            <w:tcBorders>
              <w:top w:val="single" w:sz="4" w:space="0" w:color="auto"/>
              <w:left w:val="single" w:sz="4" w:space="0" w:color="auto"/>
              <w:bottom w:val="single" w:sz="4" w:space="0" w:color="auto"/>
              <w:right w:val="single" w:sz="4" w:space="0" w:color="auto"/>
            </w:tcBorders>
            <w:vAlign w:val="center"/>
          </w:tcPr>
          <w:p w14:paraId="4146919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B4CAB6B" w14:textId="77777777" w:rsidR="00E57DAA" w:rsidRDefault="00AC4185">
            <w:pPr>
              <w:autoSpaceDE w:val="0"/>
              <w:autoSpaceDN w:val="0"/>
              <w:adjustRightInd w:val="0"/>
              <w:rPr>
                <w:szCs w:val="21"/>
              </w:rPr>
            </w:pPr>
            <w:r>
              <w:t>江西南城南方水泥有限公司</w:t>
            </w:r>
          </w:p>
        </w:tc>
        <w:tc>
          <w:tcPr>
            <w:tcW w:w="1059" w:type="pct"/>
            <w:tcBorders>
              <w:top w:val="single" w:sz="4" w:space="0" w:color="auto"/>
              <w:left w:val="single" w:sz="4" w:space="0" w:color="auto"/>
              <w:bottom w:val="single" w:sz="4" w:space="0" w:color="auto"/>
              <w:right w:val="single" w:sz="4" w:space="0" w:color="auto"/>
            </w:tcBorders>
          </w:tcPr>
          <w:p w14:paraId="575905FB" w14:textId="77777777" w:rsidR="00E57DAA" w:rsidRDefault="00AC4185">
            <w:pPr>
              <w:autoSpaceDE w:val="0"/>
              <w:autoSpaceDN w:val="0"/>
              <w:adjustRightInd w:val="0"/>
              <w:jc w:val="right"/>
              <w:rPr>
                <w:szCs w:val="21"/>
              </w:rPr>
            </w:pPr>
            <w:r>
              <w:t>462,126.37</w:t>
            </w:r>
          </w:p>
        </w:tc>
        <w:tc>
          <w:tcPr>
            <w:tcW w:w="1407" w:type="pct"/>
            <w:tcBorders>
              <w:top w:val="single" w:sz="4" w:space="0" w:color="auto"/>
              <w:left w:val="single" w:sz="4" w:space="0" w:color="auto"/>
              <w:bottom w:val="single" w:sz="4" w:space="0" w:color="auto"/>
              <w:right w:val="single" w:sz="4" w:space="0" w:color="auto"/>
            </w:tcBorders>
          </w:tcPr>
          <w:p w14:paraId="0D474D6C" w14:textId="77777777" w:rsidR="00E57DAA" w:rsidRDefault="00AC4185">
            <w:pPr>
              <w:autoSpaceDE w:val="0"/>
              <w:autoSpaceDN w:val="0"/>
              <w:adjustRightInd w:val="0"/>
              <w:jc w:val="right"/>
              <w:rPr>
                <w:szCs w:val="21"/>
              </w:rPr>
            </w:pPr>
            <w:r>
              <w:t>2,411,124.73</w:t>
            </w:r>
          </w:p>
        </w:tc>
      </w:tr>
      <w:tr w:rsidR="00E57DAA" w14:paraId="3341FBF4" w14:textId="77777777">
        <w:tc>
          <w:tcPr>
            <w:tcW w:w="640" w:type="pct"/>
            <w:tcBorders>
              <w:top w:val="single" w:sz="4" w:space="0" w:color="auto"/>
              <w:left w:val="single" w:sz="4" w:space="0" w:color="auto"/>
              <w:bottom w:val="single" w:sz="4" w:space="0" w:color="auto"/>
              <w:right w:val="single" w:sz="4" w:space="0" w:color="auto"/>
            </w:tcBorders>
            <w:vAlign w:val="center"/>
          </w:tcPr>
          <w:p w14:paraId="41404FB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B3EE251" w14:textId="77777777" w:rsidR="00E57DAA" w:rsidRDefault="00AC4185">
            <w:pPr>
              <w:autoSpaceDE w:val="0"/>
              <w:autoSpaceDN w:val="0"/>
              <w:adjustRightInd w:val="0"/>
              <w:rPr>
                <w:szCs w:val="21"/>
              </w:rPr>
            </w:pPr>
            <w:r>
              <w:t>安阳中联水泥有限公司</w:t>
            </w:r>
          </w:p>
        </w:tc>
        <w:tc>
          <w:tcPr>
            <w:tcW w:w="1059" w:type="pct"/>
            <w:tcBorders>
              <w:top w:val="single" w:sz="4" w:space="0" w:color="auto"/>
              <w:left w:val="single" w:sz="4" w:space="0" w:color="auto"/>
              <w:bottom w:val="single" w:sz="4" w:space="0" w:color="auto"/>
              <w:right w:val="single" w:sz="4" w:space="0" w:color="auto"/>
            </w:tcBorders>
          </w:tcPr>
          <w:p w14:paraId="167D182B" w14:textId="77777777" w:rsidR="00E57DAA" w:rsidRDefault="00AC4185">
            <w:pPr>
              <w:autoSpaceDE w:val="0"/>
              <w:autoSpaceDN w:val="0"/>
              <w:adjustRightInd w:val="0"/>
              <w:jc w:val="right"/>
              <w:rPr>
                <w:szCs w:val="21"/>
              </w:rPr>
            </w:pPr>
            <w:r>
              <w:t>400,444.07</w:t>
            </w:r>
          </w:p>
        </w:tc>
        <w:tc>
          <w:tcPr>
            <w:tcW w:w="1407" w:type="pct"/>
            <w:tcBorders>
              <w:top w:val="single" w:sz="4" w:space="0" w:color="auto"/>
              <w:left w:val="single" w:sz="4" w:space="0" w:color="auto"/>
              <w:bottom w:val="single" w:sz="4" w:space="0" w:color="auto"/>
              <w:right w:val="single" w:sz="4" w:space="0" w:color="auto"/>
            </w:tcBorders>
          </w:tcPr>
          <w:p w14:paraId="5814DBD2" w14:textId="77777777" w:rsidR="00E57DAA" w:rsidRDefault="00AC4185">
            <w:pPr>
              <w:autoSpaceDE w:val="0"/>
              <w:autoSpaceDN w:val="0"/>
              <w:adjustRightInd w:val="0"/>
              <w:jc w:val="right"/>
              <w:rPr>
                <w:szCs w:val="21"/>
              </w:rPr>
            </w:pPr>
            <w:r>
              <w:t>5,289,400.93</w:t>
            </w:r>
          </w:p>
        </w:tc>
      </w:tr>
      <w:tr w:rsidR="00E57DAA" w14:paraId="571D2D0F" w14:textId="77777777">
        <w:tc>
          <w:tcPr>
            <w:tcW w:w="640" w:type="pct"/>
            <w:tcBorders>
              <w:top w:val="single" w:sz="4" w:space="0" w:color="auto"/>
              <w:left w:val="single" w:sz="4" w:space="0" w:color="auto"/>
              <w:bottom w:val="single" w:sz="4" w:space="0" w:color="auto"/>
              <w:right w:val="single" w:sz="4" w:space="0" w:color="auto"/>
            </w:tcBorders>
            <w:vAlign w:val="center"/>
          </w:tcPr>
          <w:p w14:paraId="056B925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ADAC1A5" w14:textId="77777777" w:rsidR="00E57DAA" w:rsidRDefault="00AC4185">
            <w:pPr>
              <w:autoSpaceDE w:val="0"/>
              <w:autoSpaceDN w:val="0"/>
              <w:adjustRightInd w:val="0"/>
              <w:rPr>
                <w:szCs w:val="21"/>
              </w:rPr>
            </w:pPr>
            <w:proofErr w:type="spellStart"/>
            <w:r>
              <w:t>MpandeLimestoneLimited</w:t>
            </w:r>
            <w:proofErr w:type="spellEnd"/>
          </w:p>
        </w:tc>
        <w:tc>
          <w:tcPr>
            <w:tcW w:w="1059" w:type="pct"/>
            <w:tcBorders>
              <w:top w:val="single" w:sz="4" w:space="0" w:color="auto"/>
              <w:left w:val="single" w:sz="4" w:space="0" w:color="auto"/>
              <w:bottom w:val="single" w:sz="4" w:space="0" w:color="auto"/>
              <w:right w:val="single" w:sz="4" w:space="0" w:color="auto"/>
            </w:tcBorders>
          </w:tcPr>
          <w:p w14:paraId="054391D7" w14:textId="77777777" w:rsidR="00E57DAA" w:rsidRDefault="00AC4185">
            <w:pPr>
              <w:autoSpaceDE w:val="0"/>
              <w:autoSpaceDN w:val="0"/>
              <w:adjustRightInd w:val="0"/>
              <w:jc w:val="right"/>
              <w:rPr>
                <w:szCs w:val="21"/>
              </w:rPr>
            </w:pPr>
            <w:r>
              <w:t>287,498.07</w:t>
            </w:r>
          </w:p>
        </w:tc>
        <w:tc>
          <w:tcPr>
            <w:tcW w:w="1407" w:type="pct"/>
            <w:tcBorders>
              <w:top w:val="single" w:sz="4" w:space="0" w:color="auto"/>
              <w:left w:val="single" w:sz="4" w:space="0" w:color="auto"/>
              <w:bottom w:val="single" w:sz="4" w:space="0" w:color="auto"/>
              <w:right w:val="single" w:sz="4" w:space="0" w:color="auto"/>
            </w:tcBorders>
          </w:tcPr>
          <w:p w14:paraId="0C3E8FBE" w14:textId="77777777" w:rsidR="00E57DAA" w:rsidRDefault="00AC4185">
            <w:pPr>
              <w:autoSpaceDE w:val="0"/>
              <w:autoSpaceDN w:val="0"/>
              <w:adjustRightInd w:val="0"/>
              <w:jc w:val="right"/>
              <w:rPr>
                <w:szCs w:val="21"/>
              </w:rPr>
            </w:pPr>
            <w:r>
              <w:t xml:space="preserve">　</w:t>
            </w:r>
          </w:p>
        </w:tc>
      </w:tr>
      <w:tr w:rsidR="00E57DAA" w14:paraId="7FC16C91" w14:textId="77777777">
        <w:tc>
          <w:tcPr>
            <w:tcW w:w="640" w:type="pct"/>
            <w:tcBorders>
              <w:top w:val="single" w:sz="4" w:space="0" w:color="auto"/>
              <w:left w:val="single" w:sz="4" w:space="0" w:color="auto"/>
              <w:bottom w:val="single" w:sz="4" w:space="0" w:color="auto"/>
              <w:right w:val="single" w:sz="4" w:space="0" w:color="auto"/>
            </w:tcBorders>
            <w:vAlign w:val="center"/>
          </w:tcPr>
          <w:p w14:paraId="15568BC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43CA696" w14:textId="77777777" w:rsidR="00E57DAA" w:rsidRDefault="00AC4185">
            <w:pPr>
              <w:autoSpaceDE w:val="0"/>
              <w:autoSpaceDN w:val="0"/>
              <w:adjustRightInd w:val="0"/>
              <w:rPr>
                <w:szCs w:val="21"/>
              </w:rPr>
            </w:pPr>
            <w:r>
              <w:t>四川康巴水泥有限公司</w:t>
            </w:r>
          </w:p>
        </w:tc>
        <w:tc>
          <w:tcPr>
            <w:tcW w:w="1059" w:type="pct"/>
            <w:tcBorders>
              <w:top w:val="single" w:sz="4" w:space="0" w:color="auto"/>
              <w:left w:val="single" w:sz="4" w:space="0" w:color="auto"/>
              <w:bottom w:val="single" w:sz="4" w:space="0" w:color="auto"/>
              <w:right w:val="single" w:sz="4" w:space="0" w:color="auto"/>
            </w:tcBorders>
          </w:tcPr>
          <w:p w14:paraId="15CF8DCE" w14:textId="77777777" w:rsidR="00E57DAA" w:rsidRDefault="00AC4185">
            <w:pPr>
              <w:autoSpaceDE w:val="0"/>
              <w:autoSpaceDN w:val="0"/>
              <w:adjustRightInd w:val="0"/>
              <w:jc w:val="right"/>
              <w:rPr>
                <w:szCs w:val="21"/>
              </w:rPr>
            </w:pPr>
            <w:r>
              <w:t>252,252.25</w:t>
            </w:r>
          </w:p>
        </w:tc>
        <w:tc>
          <w:tcPr>
            <w:tcW w:w="1407" w:type="pct"/>
            <w:tcBorders>
              <w:top w:val="single" w:sz="4" w:space="0" w:color="auto"/>
              <w:left w:val="single" w:sz="4" w:space="0" w:color="auto"/>
              <w:bottom w:val="single" w:sz="4" w:space="0" w:color="auto"/>
              <w:right w:val="single" w:sz="4" w:space="0" w:color="auto"/>
            </w:tcBorders>
          </w:tcPr>
          <w:p w14:paraId="567FCBFC" w14:textId="77777777" w:rsidR="00E57DAA" w:rsidRDefault="00AC4185">
            <w:pPr>
              <w:autoSpaceDE w:val="0"/>
              <w:autoSpaceDN w:val="0"/>
              <w:adjustRightInd w:val="0"/>
              <w:jc w:val="right"/>
              <w:rPr>
                <w:szCs w:val="21"/>
              </w:rPr>
            </w:pPr>
            <w:r>
              <w:t>252,252.25</w:t>
            </w:r>
          </w:p>
        </w:tc>
      </w:tr>
      <w:tr w:rsidR="00E57DAA" w14:paraId="2E6244EE" w14:textId="77777777">
        <w:tc>
          <w:tcPr>
            <w:tcW w:w="640" w:type="pct"/>
            <w:tcBorders>
              <w:top w:val="single" w:sz="4" w:space="0" w:color="auto"/>
              <w:left w:val="single" w:sz="4" w:space="0" w:color="auto"/>
              <w:bottom w:val="single" w:sz="4" w:space="0" w:color="auto"/>
              <w:right w:val="single" w:sz="4" w:space="0" w:color="auto"/>
            </w:tcBorders>
            <w:vAlign w:val="center"/>
          </w:tcPr>
          <w:p w14:paraId="3A6EF7B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E218623" w14:textId="77777777" w:rsidR="00E57DAA" w:rsidRDefault="00AC4185">
            <w:pPr>
              <w:autoSpaceDE w:val="0"/>
              <w:autoSpaceDN w:val="0"/>
              <w:adjustRightInd w:val="0"/>
              <w:rPr>
                <w:szCs w:val="21"/>
              </w:rPr>
            </w:pPr>
            <w:r>
              <w:t>杭州山亚南方水泥有限公司</w:t>
            </w:r>
          </w:p>
        </w:tc>
        <w:tc>
          <w:tcPr>
            <w:tcW w:w="1059" w:type="pct"/>
            <w:tcBorders>
              <w:top w:val="single" w:sz="4" w:space="0" w:color="auto"/>
              <w:left w:val="single" w:sz="4" w:space="0" w:color="auto"/>
              <w:bottom w:val="single" w:sz="4" w:space="0" w:color="auto"/>
              <w:right w:val="single" w:sz="4" w:space="0" w:color="auto"/>
            </w:tcBorders>
          </w:tcPr>
          <w:p w14:paraId="7723CD12" w14:textId="77777777" w:rsidR="00E57DAA" w:rsidRDefault="00AC4185">
            <w:pPr>
              <w:autoSpaceDE w:val="0"/>
              <w:autoSpaceDN w:val="0"/>
              <w:adjustRightInd w:val="0"/>
              <w:jc w:val="right"/>
              <w:rPr>
                <w:szCs w:val="21"/>
              </w:rPr>
            </w:pPr>
            <w:r>
              <w:t>236,824.75</w:t>
            </w:r>
          </w:p>
        </w:tc>
        <w:tc>
          <w:tcPr>
            <w:tcW w:w="1407" w:type="pct"/>
            <w:tcBorders>
              <w:top w:val="single" w:sz="4" w:space="0" w:color="auto"/>
              <w:left w:val="single" w:sz="4" w:space="0" w:color="auto"/>
              <w:bottom w:val="single" w:sz="4" w:space="0" w:color="auto"/>
              <w:right w:val="single" w:sz="4" w:space="0" w:color="auto"/>
            </w:tcBorders>
          </w:tcPr>
          <w:p w14:paraId="337F1C02" w14:textId="77777777" w:rsidR="00E57DAA" w:rsidRDefault="00AC4185">
            <w:pPr>
              <w:autoSpaceDE w:val="0"/>
              <w:autoSpaceDN w:val="0"/>
              <w:adjustRightInd w:val="0"/>
              <w:jc w:val="right"/>
              <w:rPr>
                <w:szCs w:val="21"/>
              </w:rPr>
            </w:pPr>
            <w:r>
              <w:t>13,018,573.42</w:t>
            </w:r>
          </w:p>
        </w:tc>
      </w:tr>
      <w:tr w:rsidR="00E57DAA" w14:paraId="79DF5044" w14:textId="77777777">
        <w:tc>
          <w:tcPr>
            <w:tcW w:w="640" w:type="pct"/>
            <w:tcBorders>
              <w:top w:val="single" w:sz="4" w:space="0" w:color="auto"/>
              <w:left w:val="single" w:sz="4" w:space="0" w:color="auto"/>
              <w:bottom w:val="single" w:sz="4" w:space="0" w:color="auto"/>
              <w:right w:val="single" w:sz="4" w:space="0" w:color="auto"/>
            </w:tcBorders>
            <w:vAlign w:val="center"/>
          </w:tcPr>
          <w:p w14:paraId="0AFB2DE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11C259E" w14:textId="77777777" w:rsidR="00E57DAA" w:rsidRDefault="00AC4185">
            <w:pPr>
              <w:autoSpaceDE w:val="0"/>
              <w:autoSpaceDN w:val="0"/>
              <w:adjustRightInd w:val="0"/>
              <w:rPr>
                <w:szCs w:val="21"/>
              </w:rPr>
            </w:pPr>
            <w:r>
              <w:t>乐昌市中建材水泥有限公司</w:t>
            </w:r>
          </w:p>
        </w:tc>
        <w:tc>
          <w:tcPr>
            <w:tcW w:w="1059" w:type="pct"/>
            <w:tcBorders>
              <w:top w:val="single" w:sz="4" w:space="0" w:color="auto"/>
              <w:left w:val="single" w:sz="4" w:space="0" w:color="auto"/>
              <w:bottom w:val="single" w:sz="4" w:space="0" w:color="auto"/>
              <w:right w:val="single" w:sz="4" w:space="0" w:color="auto"/>
            </w:tcBorders>
          </w:tcPr>
          <w:p w14:paraId="0FDC1B88" w14:textId="77777777" w:rsidR="00E57DAA" w:rsidRDefault="00AC4185">
            <w:pPr>
              <w:autoSpaceDE w:val="0"/>
              <w:autoSpaceDN w:val="0"/>
              <w:adjustRightInd w:val="0"/>
              <w:jc w:val="right"/>
              <w:rPr>
                <w:szCs w:val="21"/>
              </w:rPr>
            </w:pPr>
            <w:r>
              <w:t>172,957.03</w:t>
            </w:r>
          </w:p>
        </w:tc>
        <w:tc>
          <w:tcPr>
            <w:tcW w:w="1407" w:type="pct"/>
            <w:tcBorders>
              <w:top w:val="single" w:sz="4" w:space="0" w:color="auto"/>
              <w:left w:val="single" w:sz="4" w:space="0" w:color="auto"/>
              <w:bottom w:val="single" w:sz="4" w:space="0" w:color="auto"/>
              <w:right w:val="single" w:sz="4" w:space="0" w:color="auto"/>
            </w:tcBorders>
          </w:tcPr>
          <w:p w14:paraId="0A18F0EC" w14:textId="77777777" w:rsidR="00E57DAA" w:rsidRDefault="00AC4185">
            <w:pPr>
              <w:autoSpaceDE w:val="0"/>
              <w:autoSpaceDN w:val="0"/>
              <w:adjustRightInd w:val="0"/>
              <w:jc w:val="right"/>
              <w:rPr>
                <w:szCs w:val="21"/>
              </w:rPr>
            </w:pPr>
            <w:r>
              <w:t xml:space="preserve">　</w:t>
            </w:r>
          </w:p>
        </w:tc>
      </w:tr>
      <w:tr w:rsidR="00E57DAA" w14:paraId="0939D466" w14:textId="77777777">
        <w:tc>
          <w:tcPr>
            <w:tcW w:w="640" w:type="pct"/>
            <w:tcBorders>
              <w:top w:val="single" w:sz="4" w:space="0" w:color="auto"/>
              <w:left w:val="single" w:sz="4" w:space="0" w:color="auto"/>
              <w:bottom w:val="single" w:sz="4" w:space="0" w:color="auto"/>
              <w:right w:val="single" w:sz="4" w:space="0" w:color="auto"/>
            </w:tcBorders>
            <w:vAlign w:val="center"/>
          </w:tcPr>
          <w:p w14:paraId="07174C4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3D6C25F" w14:textId="77777777" w:rsidR="00E57DAA" w:rsidRDefault="00AC4185">
            <w:pPr>
              <w:autoSpaceDE w:val="0"/>
              <w:autoSpaceDN w:val="0"/>
              <w:adjustRightInd w:val="0"/>
              <w:rPr>
                <w:szCs w:val="21"/>
              </w:rPr>
            </w:pPr>
            <w:r>
              <w:t>南京中联水泥有限公司</w:t>
            </w:r>
          </w:p>
        </w:tc>
        <w:tc>
          <w:tcPr>
            <w:tcW w:w="1059" w:type="pct"/>
            <w:tcBorders>
              <w:top w:val="single" w:sz="4" w:space="0" w:color="auto"/>
              <w:left w:val="single" w:sz="4" w:space="0" w:color="auto"/>
              <w:bottom w:val="single" w:sz="4" w:space="0" w:color="auto"/>
              <w:right w:val="single" w:sz="4" w:space="0" w:color="auto"/>
            </w:tcBorders>
          </w:tcPr>
          <w:p w14:paraId="00EB8A49" w14:textId="77777777" w:rsidR="00E57DAA" w:rsidRDefault="00AC4185">
            <w:pPr>
              <w:autoSpaceDE w:val="0"/>
              <w:autoSpaceDN w:val="0"/>
              <w:adjustRightInd w:val="0"/>
              <w:jc w:val="right"/>
              <w:rPr>
                <w:szCs w:val="21"/>
              </w:rPr>
            </w:pPr>
            <w:r>
              <w:t>167,256.64</w:t>
            </w:r>
          </w:p>
        </w:tc>
        <w:tc>
          <w:tcPr>
            <w:tcW w:w="1407" w:type="pct"/>
            <w:tcBorders>
              <w:top w:val="single" w:sz="4" w:space="0" w:color="auto"/>
              <w:left w:val="single" w:sz="4" w:space="0" w:color="auto"/>
              <w:bottom w:val="single" w:sz="4" w:space="0" w:color="auto"/>
              <w:right w:val="single" w:sz="4" w:space="0" w:color="auto"/>
            </w:tcBorders>
          </w:tcPr>
          <w:p w14:paraId="6724C8D7" w14:textId="77777777" w:rsidR="00E57DAA" w:rsidRDefault="00AC4185">
            <w:pPr>
              <w:autoSpaceDE w:val="0"/>
              <w:autoSpaceDN w:val="0"/>
              <w:adjustRightInd w:val="0"/>
              <w:jc w:val="right"/>
              <w:rPr>
                <w:szCs w:val="21"/>
              </w:rPr>
            </w:pPr>
            <w:r>
              <w:t xml:space="preserve">　</w:t>
            </w:r>
          </w:p>
        </w:tc>
      </w:tr>
      <w:tr w:rsidR="00E57DAA" w14:paraId="6BF9CB79" w14:textId="77777777">
        <w:tc>
          <w:tcPr>
            <w:tcW w:w="640" w:type="pct"/>
            <w:tcBorders>
              <w:top w:val="single" w:sz="4" w:space="0" w:color="auto"/>
              <w:left w:val="single" w:sz="4" w:space="0" w:color="auto"/>
              <w:bottom w:val="single" w:sz="4" w:space="0" w:color="auto"/>
              <w:right w:val="single" w:sz="4" w:space="0" w:color="auto"/>
            </w:tcBorders>
            <w:vAlign w:val="center"/>
          </w:tcPr>
          <w:p w14:paraId="0A96086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8CD0580" w14:textId="77777777" w:rsidR="00E57DAA" w:rsidRDefault="00AC4185">
            <w:pPr>
              <w:autoSpaceDE w:val="0"/>
              <w:autoSpaceDN w:val="0"/>
              <w:adjustRightInd w:val="0"/>
              <w:rPr>
                <w:szCs w:val="21"/>
              </w:rPr>
            </w:pPr>
            <w:r>
              <w:t>北川中联水泥有限公司</w:t>
            </w:r>
          </w:p>
        </w:tc>
        <w:tc>
          <w:tcPr>
            <w:tcW w:w="1059" w:type="pct"/>
            <w:tcBorders>
              <w:top w:val="single" w:sz="4" w:space="0" w:color="auto"/>
              <w:left w:val="single" w:sz="4" w:space="0" w:color="auto"/>
              <w:bottom w:val="single" w:sz="4" w:space="0" w:color="auto"/>
              <w:right w:val="single" w:sz="4" w:space="0" w:color="auto"/>
            </w:tcBorders>
          </w:tcPr>
          <w:p w14:paraId="2C58CE2D" w14:textId="77777777" w:rsidR="00E57DAA" w:rsidRDefault="00AC4185">
            <w:pPr>
              <w:autoSpaceDE w:val="0"/>
              <w:autoSpaceDN w:val="0"/>
              <w:adjustRightInd w:val="0"/>
              <w:jc w:val="right"/>
              <w:rPr>
                <w:szCs w:val="21"/>
              </w:rPr>
            </w:pPr>
            <w:r>
              <w:t>155,487.26</w:t>
            </w:r>
          </w:p>
        </w:tc>
        <w:tc>
          <w:tcPr>
            <w:tcW w:w="1407" w:type="pct"/>
            <w:tcBorders>
              <w:top w:val="single" w:sz="4" w:space="0" w:color="auto"/>
              <w:left w:val="single" w:sz="4" w:space="0" w:color="auto"/>
              <w:bottom w:val="single" w:sz="4" w:space="0" w:color="auto"/>
              <w:right w:val="single" w:sz="4" w:space="0" w:color="auto"/>
            </w:tcBorders>
          </w:tcPr>
          <w:p w14:paraId="65EA638B" w14:textId="77777777" w:rsidR="00E57DAA" w:rsidRDefault="00AC4185">
            <w:pPr>
              <w:autoSpaceDE w:val="0"/>
              <w:autoSpaceDN w:val="0"/>
              <w:adjustRightInd w:val="0"/>
              <w:jc w:val="right"/>
              <w:rPr>
                <w:szCs w:val="21"/>
              </w:rPr>
            </w:pPr>
            <w:r>
              <w:t xml:space="preserve">　</w:t>
            </w:r>
          </w:p>
        </w:tc>
      </w:tr>
      <w:tr w:rsidR="00E57DAA" w14:paraId="55F88534" w14:textId="77777777">
        <w:tc>
          <w:tcPr>
            <w:tcW w:w="640" w:type="pct"/>
            <w:tcBorders>
              <w:top w:val="single" w:sz="4" w:space="0" w:color="auto"/>
              <w:left w:val="single" w:sz="4" w:space="0" w:color="auto"/>
              <w:bottom w:val="single" w:sz="4" w:space="0" w:color="auto"/>
              <w:right w:val="single" w:sz="4" w:space="0" w:color="auto"/>
            </w:tcBorders>
            <w:vAlign w:val="center"/>
          </w:tcPr>
          <w:p w14:paraId="68FFC416" w14:textId="77777777" w:rsidR="00E57DAA" w:rsidRDefault="00AC4185">
            <w:pPr>
              <w:autoSpaceDE w:val="0"/>
              <w:autoSpaceDN w:val="0"/>
              <w:adjustRightInd w:val="0"/>
              <w:rPr>
                <w:szCs w:val="21"/>
              </w:rPr>
            </w:pPr>
            <w:r>
              <w:lastRenderedPageBreak/>
              <w:t>合同负债</w:t>
            </w:r>
          </w:p>
        </w:tc>
        <w:tc>
          <w:tcPr>
            <w:tcW w:w="1894" w:type="pct"/>
            <w:tcBorders>
              <w:top w:val="single" w:sz="4" w:space="0" w:color="auto"/>
              <w:left w:val="single" w:sz="4" w:space="0" w:color="auto"/>
              <w:bottom w:val="single" w:sz="4" w:space="0" w:color="auto"/>
              <w:right w:val="single" w:sz="4" w:space="0" w:color="auto"/>
            </w:tcBorders>
          </w:tcPr>
          <w:p w14:paraId="371265D2" w14:textId="77777777" w:rsidR="00E57DAA" w:rsidRDefault="00AC4185">
            <w:pPr>
              <w:autoSpaceDE w:val="0"/>
              <w:autoSpaceDN w:val="0"/>
              <w:adjustRightInd w:val="0"/>
              <w:rPr>
                <w:szCs w:val="21"/>
              </w:rPr>
            </w:pPr>
            <w:r>
              <w:t>建德南方水泥有限公司</w:t>
            </w:r>
          </w:p>
        </w:tc>
        <w:tc>
          <w:tcPr>
            <w:tcW w:w="1059" w:type="pct"/>
            <w:tcBorders>
              <w:top w:val="single" w:sz="4" w:space="0" w:color="auto"/>
              <w:left w:val="single" w:sz="4" w:space="0" w:color="auto"/>
              <w:bottom w:val="single" w:sz="4" w:space="0" w:color="auto"/>
              <w:right w:val="single" w:sz="4" w:space="0" w:color="auto"/>
            </w:tcBorders>
          </w:tcPr>
          <w:p w14:paraId="57D8FD5C" w14:textId="77777777" w:rsidR="00E57DAA" w:rsidRDefault="00AC4185">
            <w:pPr>
              <w:autoSpaceDE w:val="0"/>
              <w:autoSpaceDN w:val="0"/>
              <w:adjustRightInd w:val="0"/>
              <w:jc w:val="right"/>
              <w:rPr>
                <w:szCs w:val="21"/>
              </w:rPr>
            </w:pPr>
            <w:r>
              <w:t>144,245.26</w:t>
            </w:r>
          </w:p>
        </w:tc>
        <w:tc>
          <w:tcPr>
            <w:tcW w:w="1407" w:type="pct"/>
            <w:tcBorders>
              <w:top w:val="single" w:sz="4" w:space="0" w:color="auto"/>
              <w:left w:val="single" w:sz="4" w:space="0" w:color="auto"/>
              <w:bottom w:val="single" w:sz="4" w:space="0" w:color="auto"/>
              <w:right w:val="single" w:sz="4" w:space="0" w:color="auto"/>
            </w:tcBorders>
          </w:tcPr>
          <w:p w14:paraId="3A7C849E" w14:textId="77777777" w:rsidR="00E57DAA" w:rsidRDefault="00AC4185">
            <w:pPr>
              <w:autoSpaceDE w:val="0"/>
              <w:autoSpaceDN w:val="0"/>
              <w:adjustRightInd w:val="0"/>
              <w:jc w:val="right"/>
              <w:rPr>
                <w:szCs w:val="21"/>
              </w:rPr>
            </w:pPr>
            <w:r>
              <w:t>64,690.27</w:t>
            </w:r>
          </w:p>
        </w:tc>
      </w:tr>
      <w:tr w:rsidR="00E57DAA" w14:paraId="4C7D9B09" w14:textId="77777777">
        <w:tc>
          <w:tcPr>
            <w:tcW w:w="640" w:type="pct"/>
            <w:tcBorders>
              <w:top w:val="single" w:sz="4" w:space="0" w:color="auto"/>
              <w:left w:val="single" w:sz="4" w:space="0" w:color="auto"/>
              <w:bottom w:val="single" w:sz="4" w:space="0" w:color="auto"/>
              <w:right w:val="single" w:sz="4" w:space="0" w:color="auto"/>
            </w:tcBorders>
            <w:vAlign w:val="center"/>
          </w:tcPr>
          <w:p w14:paraId="3A1AF3A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7015C3A" w14:textId="77777777" w:rsidR="00E57DAA" w:rsidRDefault="00AC4185">
            <w:pPr>
              <w:autoSpaceDE w:val="0"/>
              <w:autoSpaceDN w:val="0"/>
              <w:adjustRightInd w:val="0"/>
              <w:rPr>
                <w:szCs w:val="21"/>
              </w:rPr>
            </w:pPr>
            <w:r>
              <w:t>江西上高南方水泥有限公司</w:t>
            </w:r>
          </w:p>
        </w:tc>
        <w:tc>
          <w:tcPr>
            <w:tcW w:w="1059" w:type="pct"/>
            <w:tcBorders>
              <w:top w:val="single" w:sz="4" w:space="0" w:color="auto"/>
              <w:left w:val="single" w:sz="4" w:space="0" w:color="auto"/>
              <w:bottom w:val="single" w:sz="4" w:space="0" w:color="auto"/>
              <w:right w:val="single" w:sz="4" w:space="0" w:color="auto"/>
            </w:tcBorders>
          </w:tcPr>
          <w:p w14:paraId="4A3BF6C2" w14:textId="77777777" w:rsidR="00E57DAA" w:rsidRDefault="00AC4185">
            <w:pPr>
              <w:autoSpaceDE w:val="0"/>
              <w:autoSpaceDN w:val="0"/>
              <w:adjustRightInd w:val="0"/>
              <w:jc w:val="right"/>
              <w:rPr>
                <w:szCs w:val="21"/>
              </w:rPr>
            </w:pPr>
            <w:r>
              <w:t>134,181.98</w:t>
            </w:r>
          </w:p>
        </w:tc>
        <w:tc>
          <w:tcPr>
            <w:tcW w:w="1407" w:type="pct"/>
            <w:tcBorders>
              <w:top w:val="single" w:sz="4" w:space="0" w:color="auto"/>
              <w:left w:val="single" w:sz="4" w:space="0" w:color="auto"/>
              <w:bottom w:val="single" w:sz="4" w:space="0" w:color="auto"/>
              <w:right w:val="single" w:sz="4" w:space="0" w:color="auto"/>
            </w:tcBorders>
          </w:tcPr>
          <w:p w14:paraId="79765A92" w14:textId="77777777" w:rsidR="00E57DAA" w:rsidRDefault="00AC4185">
            <w:pPr>
              <w:autoSpaceDE w:val="0"/>
              <w:autoSpaceDN w:val="0"/>
              <w:adjustRightInd w:val="0"/>
              <w:jc w:val="right"/>
              <w:rPr>
                <w:szCs w:val="21"/>
              </w:rPr>
            </w:pPr>
            <w:r>
              <w:t xml:space="preserve">　</w:t>
            </w:r>
          </w:p>
        </w:tc>
      </w:tr>
      <w:tr w:rsidR="00E57DAA" w14:paraId="2811B2FD" w14:textId="77777777">
        <w:tc>
          <w:tcPr>
            <w:tcW w:w="640" w:type="pct"/>
            <w:tcBorders>
              <w:top w:val="single" w:sz="4" w:space="0" w:color="auto"/>
              <w:left w:val="single" w:sz="4" w:space="0" w:color="auto"/>
              <w:bottom w:val="single" w:sz="4" w:space="0" w:color="auto"/>
              <w:right w:val="single" w:sz="4" w:space="0" w:color="auto"/>
            </w:tcBorders>
            <w:vAlign w:val="center"/>
          </w:tcPr>
          <w:p w14:paraId="09B175D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801D30D" w14:textId="77777777" w:rsidR="00E57DAA" w:rsidRDefault="00AC4185">
            <w:pPr>
              <w:autoSpaceDE w:val="0"/>
              <w:autoSpaceDN w:val="0"/>
              <w:adjustRightInd w:val="0"/>
              <w:rPr>
                <w:szCs w:val="21"/>
              </w:rPr>
            </w:pPr>
            <w:r>
              <w:t>常山南方水泥有限公司</w:t>
            </w:r>
          </w:p>
        </w:tc>
        <w:tc>
          <w:tcPr>
            <w:tcW w:w="1059" w:type="pct"/>
            <w:tcBorders>
              <w:top w:val="single" w:sz="4" w:space="0" w:color="auto"/>
              <w:left w:val="single" w:sz="4" w:space="0" w:color="auto"/>
              <w:bottom w:val="single" w:sz="4" w:space="0" w:color="auto"/>
              <w:right w:val="single" w:sz="4" w:space="0" w:color="auto"/>
            </w:tcBorders>
          </w:tcPr>
          <w:p w14:paraId="790A8AC9" w14:textId="77777777" w:rsidR="00E57DAA" w:rsidRDefault="00AC4185">
            <w:pPr>
              <w:autoSpaceDE w:val="0"/>
              <w:autoSpaceDN w:val="0"/>
              <w:adjustRightInd w:val="0"/>
              <w:jc w:val="right"/>
              <w:rPr>
                <w:szCs w:val="21"/>
              </w:rPr>
            </w:pPr>
            <w:r>
              <w:t>119,026.55</w:t>
            </w:r>
          </w:p>
        </w:tc>
        <w:tc>
          <w:tcPr>
            <w:tcW w:w="1407" w:type="pct"/>
            <w:tcBorders>
              <w:top w:val="single" w:sz="4" w:space="0" w:color="auto"/>
              <w:left w:val="single" w:sz="4" w:space="0" w:color="auto"/>
              <w:bottom w:val="single" w:sz="4" w:space="0" w:color="auto"/>
              <w:right w:val="single" w:sz="4" w:space="0" w:color="auto"/>
            </w:tcBorders>
          </w:tcPr>
          <w:p w14:paraId="247B44F8" w14:textId="77777777" w:rsidR="00E57DAA" w:rsidRDefault="00AC4185">
            <w:pPr>
              <w:autoSpaceDE w:val="0"/>
              <w:autoSpaceDN w:val="0"/>
              <w:adjustRightInd w:val="0"/>
              <w:jc w:val="right"/>
              <w:rPr>
                <w:szCs w:val="21"/>
              </w:rPr>
            </w:pPr>
            <w:r>
              <w:t>8,849.56</w:t>
            </w:r>
          </w:p>
        </w:tc>
      </w:tr>
      <w:tr w:rsidR="00E57DAA" w14:paraId="01EB8172" w14:textId="77777777">
        <w:tc>
          <w:tcPr>
            <w:tcW w:w="640" w:type="pct"/>
            <w:tcBorders>
              <w:top w:val="single" w:sz="4" w:space="0" w:color="auto"/>
              <w:left w:val="single" w:sz="4" w:space="0" w:color="auto"/>
              <w:bottom w:val="single" w:sz="4" w:space="0" w:color="auto"/>
              <w:right w:val="single" w:sz="4" w:space="0" w:color="auto"/>
            </w:tcBorders>
            <w:vAlign w:val="center"/>
          </w:tcPr>
          <w:p w14:paraId="4A0C660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8B31DBE" w14:textId="77777777" w:rsidR="00E57DAA" w:rsidRDefault="00AC4185">
            <w:pPr>
              <w:autoSpaceDE w:val="0"/>
              <w:autoSpaceDN w:val="0"/>
              <w:adjustRightInd w:val="0"/>
              <w:rPr>
                <w:szCs w:val="21"/>
              </w:rPr>
            </w:pPr>
            <w:r>
              <w:t>抚州市东乡区南方新材料有限公司</w:t>
            </w:r>
          </w:p>
        </w:tc>
        <w:tc>
          <w:tcPr>
            <w:tcW w:w="1059" w:type="pct"/>
            <w:tcBorders>
              <w:top w:val="single" w:sz="4" w:space="0" w:color="auto"/>
              <w:left w:val="single" w:sz="4" w:space="0" w:color="auto"/>
              <w:bottom w:val="single" w:sz="4" w:space="0" w:color="auto"/>
              <w:right w:val="single" w:sz="4" w:space="0" w:color="auto"/>
            </w:tcBorders>
          </w:tcPr>
          <w:p w14:paraId="6A88DDE2" w14:textId="77777777" w:rsidR="00E57DAA" w:rsidRDefault="00AC4185">
            <w:pPr>
              <w:autoSpaceDE w:val="0"/>
              <w:autoSpaceDN w:val="0"/>
              <w:adjustRightInd w:val="0"/>
              <w:jc w:val="right"/>
              <w:rPr>
                <w:szCs w:val="21"/>
              </w:rPr>
            </w:pPr>
            <w:r>
              <w:t>118,584.07</w:t>
            </w:r>
          </w:p>
        </w:tc>
        <w:tc>
          <w:tcPr>
            <w:tcW w:w="1407" w:type="pct"/>
            <w:tcBorders>
              <w:top w:val="single" w:sz="4" w:space="0" w:color="auto"/>
              <w:left w:val="single" w:sz="4" w:space="0" w:color="auto"/>
              <w:bottom w:val="single" w:sz="4" w:space="0" w:color="auto"/>
              <w:right w:val="single" w:sz="4" w:space="0" w:color="auto"/>
            </w:tcBorders>
          </w:tcPr>
          <w:p w14:paraId="1FB51B78" w14:textId="77777777" w:rsidR="00E57DAA" w:rsidRDefault="00AC4185">
            <w:pPr>
              <w:autoSpaceDE w:val="0"/>
              <w:autoSpaceDN w:val="0"/>
              <w:adjustRightInd w:val="0"/>
              <w:jc w:val="right"/>
              <w:rPr>
                <w:szCs w:val="21"/>
              </w:rPr>
            </w:pPr>
            <w:r>
              <w:t>2,416,200.37</w:t>
            </w:r>
          </w:p>
        </w:tc>
      </w:tr>
      <w:tr w:rsidR="00E57DAA" w14:paraId="4F9BA2E4" w14:textId="77777777">
        <w:tc>
          <w:tcPr>
            <w:tcW w:w="640" w:type="pct"/>
            <w:tcBorders>
              <w:top w:val="single" w:sz="4" w:space="0" w:color="auto"/>
              <w:left w:val="single" w:sz="4" w:space="0" w:color="auto"/>
              <w:bottom w:val="single" w:sz="4" w:space="0" w:color="auto"/>
              <w:right w:val="single" w:sz="4" w:space="0" w:color="auto"/>
            </w:tcBorders>
            <w:vAlign w:val="center"/>
          </w:tcPr>
          <w:p w14:paraId="42D1A46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F9C7016" w14:textId="77777777" w:rsidR="00E57DAA" w:rsidRDefault="00AC4185">
            <w:pPr>
              <w:autoSpaceDE w:val="0"/>
              <w:autoSpaceDN w:val="0"/>
              <w:adjustRightInd w:val="0"/>
              <w:rPr>
                <w:szCs w:val="21"/>
              </w:rPr>
            </w:pPr>
            <w:r>
              <w:t>济源中联水泥有限公司</w:t>
            </w:r>
          </w:p>
        </w:tc>
        <w:tc>
          <w:tcPr>
            <w:tcW w:w="1059" w:type="pct"/>
            <w:tcBorders>
              <w:top w:val="single" w:sz="4" w:space="0" w:color="auto"/>
              <w:left w:val="single" w:sz="4" w:space="0" w:color="auto"/>
              <w:bottom w:val="single" w:sz="4" w:space="0" w:color="auto"/>
              <w:right w:val="single" w:sz="4" w:space="0" w:color="auto"/>
            </w:tcBorders>
          </w:tcPr>
          <w:p w14:paraId="2F84F215" w14:textId="77777777" w:rsidR="00E57DAA" w:rsidRDefault="00AC4185">
            <w:pPr>
              <w:autoSpaceDE w:val="0"/>
              <w:autoSpaceDN w:val="0"/>
              <w:adjustRightInd w:val="0"/>
              <w:jc w:val="right"/>
              <w:rPr>
                <w:szCs w:val="21"/>
              </w:rPr>
            </w:pPr>
            <w:r>
              <w:t>110,208.42</w:t>
            </w:r>
          </w:p>
        </w:tc>
        <w:tc>
          <w:tcPr>
            <w:tcW w:w="1407" w:type="pct"/>
            <w:tcBorders>
              <w:top w:val="single" w:sz="4" w:space="0" w:color="auto"/>
              <w:left w:val="single" w:sz="4" w:space="0" w:color="auto"/>
              <w:bottom w:val="single" w:sz="4" w:space="0" w:color="auto"/>
              <w:right w:val="single" w:sz="4" w:space="0" w:color="auto"/>
            </w:tcBorders>
          </w:tcPr>
          <w:p w14:paraId="1A47CD4C" w14:textId="77777777" w:rsidR="00E57DAA" w:rsidRDefault="00AC4185">
            <w:pPr>
              <w:autoSpaceDE w:val="0"/>
              <w:autoSpaceDN w:val="0"/>
              <w:adjustRightInd w:val="0"/>
              <w:jc w:val="right"/>
              <w:rPr>
                <w:szCs w:val="21"/>
              </w:rPr>
            </w:pPr>
            <w:r>
              <w:t xml:space="preserve">　</w:t>
            </w:r>
          </w:p>
        </w:tc>
      </w:tr>
      <w:tr w:rsidR="00E57DAA" w14:paraId="4F681B0A" w14:textId="77777777">
        <w:tc>
          <w:tcPr>
            <w:tcW w:w="640" w:type="pct"/>
            <w:tcBorders>
              <w:top w:val="single" w:sz="4" w:space="0" w:color="auto"/>
              <w:left w:val="single" w:sz="4" w:space="0" w:color="auto"/>
              <w:bottom w:val="single" w:sz="4" w:space="0" w:color="auto"/>
              <w:right w:val="single" w:sz="4" w:space="0" w:color="auto"/>
            </w:tcBorders>
            <w:vAlign w:val="center"/>
          </w:tcPr>
          <w:p w14:paraId="20C4ED3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DCCBEB4" w14:textId="77777777" w:rsidR="00E57DAA" w:rsidRDefault="00AC4185">
            <w:pPr>
              <w:autoSpaceDE w:val="0"/>
              <w:autoSpaceDN w:val="0"/>
              <w:adjustRightInd w:val="0"/>
              <w:rPr>
                <w:szCs w:val="21"/>
              </w:rPr>
            </w:pPr>
            <w:r>
              <w:t>成县祁连山水泥有限公司</w:t>
            </w:r>
          </w:p>
        </w:tc>
        <w:tc>
          <w:tcPr>
            <w:tcW w:w="1059" w:type="pct"/>
            <w:tcBorders>
              <w:top w:val="single" w:sz="4" w:space="0" w:color="auto"/>
              <w:left w:val="single" w:sz="4" w:space="0" w:color="auto"/>
              <w:bottom w:val="single" w:sz="4" w:space="0" w:color="auto"/>
              <w:right w:val="single" w:sz="4" w:space="0" w:color="auto"/>
            </w:tcBorders>
          </w:tcPr>
          <w:p w14:paraId="72BCDEEC" w14:textId="77777777" w:rsidR="00E57DAA" w:rsidRDefault="00AC4185">
            <w:pPr>
              <w:autoSpaceDE w:val="0"/>
              <w:autoSpaceDN w:val="0"/>
              <w:adjustRightInd w:val="0"/>
              <w:jc w:val="right"/>
              <w:rPr>
                <w:szCs w:val="21"/>
              </w:rPr>
            </w:pPr>
            <w:r>
              <w:t>109,651.14</w:t>
            </w:r>
          </w:p>
        </w:tc>
        <w:tc>
          <w:tcPr>
            <w:tcW w:w="1407" w:type="pct"/>
            <w:tcBorders>
              <w:top w:val="single" w:sz="4" w:space="0" w:color="auto"/>
              <w:left w:val="single" w:sz="4" w:space="0" w:color="auto"/>
              <w:bottom w:val="single" w:sz="4" w:space="0" w:color="auto"/>
              <w:right w:val="single" w:sz="4" w:space="0" w:color="auto"/>
            </w:tcBorders>
          </w:tcPr>
          <w:p w14:paraId="52C0F447" w14:textId="77777777" w:rsidR="00E57DAA" w:rsidRDefault="00AC4185">
            <w:pPr>
              <w:autoSpaceDE w:val="0"/>
              <w:autoSpaceDN w:val="0"/>
              <w:adjustRightInd w:val="0"/>
              <w:jc w:val="right"/>
              <w:rPr>
                <w:szCs w:val="21"/>
              </w:rPr>
            </w:pPr>
            <w:r>
              <w:t>2,376,067.03</w:t>
            </w:r>
          </w:p>
        </w:tc>
      </w:tr>
      <w:tr w:rsidR="00E57DAA" w14:paraId="746B1049" w14:textId="77777777">
        <w:tc>
          <w:tcPr>
            <w:tcW w:w="640" w:type="pct"/>
            <w:tcBorders>
              <w:top w:val="single" w:sz="4" w:space="0" w:color="auto"/>
              <w:left w:val="single" w:sz="4" w:space="0" w:color="auto"/>
              <w:bottom w:val="single" w:sz="4" w:space="0" w:color="auto"/>
              <w:right w:val="single" w:sz="4" w:space="0" w:color="auto"/>
            </w:tcBorders>
            <w:vAlign w:val="center"/>
          </w:tcPr>
          <w:p w14:paraId="67E220E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91528B0" w14:textId="77777777" w:rsidR="00E57DAA" w:rsidRDefault="00AC4185">
            <w:pPr>
              <w:autoSpaceDE w:val="0"/>
              <w:autoSpaceDN w:val="0"/>
              <w:adjustRightInd w:val="0"/>
              <w:rPr>
                <w:szCs w:val="21"/>
              </w:rPr>
            </w:pPr>
            <w:r>
              <w:t>江西丰城南方水泥有限公司</w:t>
            </w:r>
          </w:p>
        </w:tc>
        <w:tc>
          <w:tcPr>
            <w:tcW w:w="1059" w:type="pct"/>
            <w:tcBorders>
              <w:top w:val="single" w:sz="4" w:space="0" w:color="auto"/>
              <w:left w:val="single" w:sz="4" w:space="0" w:color="auto"/>
              <w:bottom w:val="single" w:sz="4" w:space="0" w:color="auto"/>
              <w:right w:val="single" w:sz="4" w:space="0" w:color="auto"/>
            </w:tcBorders>
          </w:tcPr>
          <w:p w14:paraId="6BC6E1EB" w14:textId="77777777" w:rsidR="00E57DAA" w:rsidRDefault="00AC4185">
            <w:pPr>
              <w:autoSpaceDE w:val="0"/>
              <w:autoSpaceDN w:val="0"/>
              <w:adjustRightInd w:val="0"/>
              <w:jc w:val="right"/>
              <w:rPr>
                <w:szCs w:val="21"/>
              </w:rPr>
            </w:pPr>
            <w:r>
              <w:t>107,296.70</w:t>
            </w:r>
          </w:p>
        </w:tc>
        <w:tc>
          <w:tcPr>
            <w:tcW w:w="1407" w:type="pct"/>
            <w:tcBorders>
              <w:top w:val="single" w:sz="4" w:space="0" w:color="auto"/>
              <w:left w:val="single" w:sz="4" w:space="0" w:color="auto"/>
              <w:bottom w:val="single" w:sz="4" w:space="0" w:color="auto"/>
              <w:right w:val="single" w:sz="4" w:space="0" w:color="auto"/>
            </w:tcBorders>
          </w:tcPr>
          <w:p w14:paraId="47D5E97C" w14:textId="77777777" w:rsidR="00E57DAA" w:rsidRDefault="00AC4185">
            <w:pPr>
              <w:autoSpaceDE w:val="0"/>
              <w:autoSpaceDN w:val="0"/>
              <w:adjustRightInd w:val="0"/>
              <w:jc w:val="right"/>
              <w:rPr>
                <w:szCs w:val="21"/>
              </w:rPr>
            </w:pPr>
            <w:r>
              <w:t xml:space="preserve">　</w:t>
            </w:r>
          </w:p>
        </w:tc>
      </w:tr>
      <w:tr w:rsidR="00E57DAA" w14:paraId="61CE270D" w14:textId="77777777">
        <w:tc>
          <w:tcPr>
            <w:tcW w:w="640" w:type="pct"/>
            <w:tcBorders>
              <w:top w:val="single" w:sz="4" w:space="0" w:color="auto"/>
              <w:left w:val="single" w:sz="4" w:space="0" w:color="auto"/>
              <w:bottom w:val="single" w:sz="4" w:space="0" w:color="auto"/>
              <w:right w:val="single" w:sz="4" w:space="0" w:color="auto"/>
            </w:tcBorders>
            <w:vAlign w:val="center"/>
          </w:tcPr>
          <w:p w14:paraId="4A5CC35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3BEE680" w14:textId="77777777" w:rsidR="00E57DAA" w:rsidRDefault="00AC4185">
            <w:pPr>
              <w:autoSpaceDE w:val="0"/>
              <w:autoSpaceDN w:val="0"/>
              <w:adjustRightInd w:val="0"/>
              <w:rPr>
                <w:szCs w:val="21"/>
              </w:rPr>
            </w:pPr>
            <w:r>
              <w:t>中材亨达水泥有限公司</w:t>
            </w:r>
          </w:p>
        </w:tc>
        <w:tc>
          <w:tcPr>
            <w:tcW w:w="1059" w:type="pct"/>
            <w:tcBorders>
              <w:top w:val="single" w:sz="4" w:space="0" w:color="auto"/>
              <w:left w:val="single" w:sz="4" w:space="0" w:color="auto"/>
              <w:bottom w:val="single" w:sz="4" w:space="0" w:color="auto"/>
              <w:right w:val="single" w:sz="4" w:space="0" w:color="auto"/>
            </w:tcBorders>
          </w:tcPr>
          <w:p w14:paraId="2D9DAD0B" w14:textId="77777777" w:rsidR="00E57DAA" w:rsidRDefault="00AC4185">
            <w:pPr>
              <w:autoSpaceDE w:val="0"/>
              <w:autoSpaceDN w:val="0"/>
              <w:adjustRightInd w:val="0"/>
              <w:jc w:val="right"/>
              <w:rPr>
                <w:szCs w:val="21"/>
              </w:rPr>
            </w:pPr>
            <w:r>
              <w:t>106,500.00</w:t>
            </w:r>
          </w:p>
        </w:tc>
        <w:tc>
          <w:tcPr>
            <w:tcW w:w="1407" w:type="pct"/>
            <w:tcBorders>
              <w:top w:val="single" w:sz="4" w:space="0" w:color="auto"/>
              <w:left w:val="single" w:sz="4" w:space="0" w:color="auto"/>
              <w:bottom w:val="single" w:sz="4" w:space="0" w:color="auto"/>
              <w:right w:val="single" w:sz="4" w:space="0" w:color="auto"/>
            </w:tcBorders>
          </w:tcPr>
          <w:p w14:paraId="15045218" w14:textId="77777777" w:rsidR="00E57DAA" w:rsidRDefault="00AC4185">
            <w:pPr>
              <w:autoSpaceDE w:val="0"/>
              <w:autoSpaceDN w:val="0"/>
              <w:adjustRightInd w:val="0"/>
              <w:jc w:val="right"/>
              <w:rPr>
                <w:szCs w:val="21"/>
              </w:rPr>
            </w:pPr>
            <w:r>
              <w:t>397,594.19</w:t>
            </w:r>
          </w:p>
        </w:tc>
      </w:tr>
      <w:tr w:rsidR="00E57DAA" w14:paraId="2B50073F" w14:textId="77777777">
        <w:tc>
          <w:tcPr>
            <w:tcW w:w="640" w:type="pct"/>
            <w:tcBorders>
              <w:top w:val="single" w:sz="4" w:space="0" w:color="auto"/>
              <w:left w:val="single" w:sz="4" w:space="0" w:color="auto"/>
              <w:bottom w:val="single" w:sz="4" w:space="0" w:color="auto"/>
              <w:right w:val="single" w:sz="4" w:space="0" w:color="auto"/>
            </w:tcBorders>
            <w:vAlign w:val="center"/>
          </w:tcPr>
          <w:p w14:paraId="3CBD10B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C37F588" w14:textId="77777777" w:rsidR="00E57DAA" w:rsidRDefault="00AC4185">
            <w:pPr>
              <w:autoSpaceDE w:val="0"/>
              <w:autoSpaceDN w:val="0"/>
              <w:adjustRightInd w:val="0"/>
              <w:rPr>
                <w:szCs w:val="21"/>
              </w:rPr>
            </w:pPr>
            <w:r>
              <w:t>四川嘉华锦屏特种水泥有限责任公司</w:t>
            </w:r>
          </w:p>
        </w:tc>
        <w:tc>
          <w:tcPr>
            <w:tcW w:w="1059" w:type="pct"/>
            <w:tcBorders>
              <w:top w:val="single" w:sz="4" w:space="0" w:color="auto"/>
              <w:left w:val="single" w:sz="4" w:space="0" w:color="auto"/>
              <w:bottom w:val="single" w:sz="4" w:space="0" w:color="auto"/>
              <w:right w:val="single" w:sz="4" w:space="0" w:color="auto"/>
            </w:tcBorders>
          </w:tcPr>
          <w:p w14:paraId="49D33833" w14:textId="77777777" w:rsidR="00E57DAA" w:rsidRDefault="00AC4185">
            <w:pPr>
              <w:autoSpaceDE w:val="0"/>
              <w:autoSpaceDN w:val="0"/>
              <w:adjustRightInd w:val="0"/>
              <w:jc w:val="right"/>
              <w:rPr>
                <w:szCs w:val="21"/>
              </w:rPr>
            </w:pPr>
            <w:r>
              <w:t>95,731.28</w:t>
            </w:r>
          </w:p>
        </w:tc>
        <w:tc>
          <w:tcPr>
            <w:tcW w:w="1407" w:type="pct"/>
            <w:tcBorders>
              <w:top w:val="single" w:sz="4" w:space="0" w:color="auto"/>
              <w:left w:val="single" w:sz="4" w:space="0" w:color="auto"/>
              <w:bottom w:val="single" w:sz="4" w:space="0" w:color="auto"/>
              <w:right w:val="single" w:sz="4" w:space="0" w:color="auto"/>
            </w:tcBorders>
          </w:tcPr>
          <w:p w14:paraId="471FD58B" w14:textId="77777777" w:rsidR="00E57DAA" w:rsidRDefault="00AC4185">
            <w:pPr>
              <w:autoSpaceDE w:val="0"/>
              <w:autoSpaceDN w:val="0"/>
              <w:adjustRightInd w:val="0"/>
              <w:jc w:val="right"/>
              <w:rPr>
                <w:szCs w:val="21"/>
              </w:rPr>
            </w:pPr>
            <w:r>
              <w:t xml:space="preserve">　</w:t>
            </w:r>
          </w:p>
        </w:tc>
      </w:tr>
      <w:tr w:rsidR="00E57DAA" w14:paraId="790D15BA" w14:textId="77777777">
        <w:tc>
          <w:tcPr>
            <w:tcW w:w="640" w:type="pct"/>
            <w:tcBorders>
              <w:top w:val="single" w:sz="4" w:space="0" w:color="auto"/>
              <w:left w:val="single" w:sz="4" w:space="0" w:color="auto"/>
              <w:bottom w:val="single" w:sz="4" w:space="0" w:color="auto"/>
              <w:right w:val="single" w:sz="4" w:space="0" w:color="auto"/>
            </w:tcBorders>
            <w:vAlign w:val="center"/>
          </w:tcPr>
          <w:p w14:paraId="3832B5E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C786936" w14:textId="77777777" w:rsidR="00E57DAA" w:rsidRDefault="00AC4185">
            <w:pPr>
              <w:autoSpaceDE w:val="0"/>
              <w:autoSpaceDN w:val="0"/>
              <w:adjustRightInd w:val="0"/>
              <w:rPr>
                <w:szCs w:val="21"/>
              </w:rPr>
            </w:pPr>
            <w:r>
              <w:t>丽江古城西南水泥有限公司</w:t>
            </w:r>
          </w:p>
        </w:tc>
        <w:tc>
          <w:tcPr>
            <w:tcW w:w="1059" w:type="pct"/>
            <w:tcBorders>
              <w:top w:val="single" w:sz="4" w:space="0" w:color="auto"/>
              <w:left w:val="single" w:sz="4" w:space="0" w:color="auto"/>
              <w:bottom w:val="single" w:sz="4" w:space="0" w:color="auto"/>
              <w:right w:val="single" w:sz="4" w:space="0" w:color="auto"/>
            </w:tcBorders>
          </w:tcPr>
          <w:p w14:paraId="0268E263" w14:textId="77777777" w:rsidR="00E57DAA" w:rsidRDefault="00AC4185">
            <w:pPr>
              <w:autoSpaceDE w:val="0"/>
              <w:autoSpaceDN w:val="0"/>
              <w:adjustRightInd w:val="0"/>
              <w:jc w:val="right"/>
              <w:rPr>
                <w:szCs w:val="21"/>
              </w:rPr>
            </w:pPr>
            <w:r>
              <w:t>86,486.49</w:t>
            </w:r>
          </w:p>
        </w:tc>
        <w:tc>
          <w:tcPr>
            <w:tcW w:w="1407" w:type="pct"/>
            <w:tcBorders>
              <w:top w:val="single" w:sz="4" w:space="0" w:color="auto"/>
              <w:left w:val="single" w:sz="4" w:space="0" w:color="auto"/>
              <w:bottom w:val="single" w:sz="4" w:space="0" w:color="auto"/>
              <w:right w:val="single" w:sz="4" w:space="0" w:color="auto"/>
            </w:tcBorders>
          </w:tcPr>
          <w:p w14:paraId="0CC19210" w14:textId="77777777" w:rsidR="00E57DAA" w:rsidRDefault="00AC4185">
            <w:pPr>
              <w:autoSpaceDE w:val="0"/>
              <w:autoSpaceDN w:val="0"/>
              <w:adjustRightInd w:val="0"/>
              <w:jc w:val="right"/>
              <w:rPr>
                <w:szCs w:val="21"/>
              </w:rPr>
            </w:pPr>
            <w:r>
              <w:t xml:space="preserve">　</w:t>
            </w:r>
          </w:p>
        </w:tc>
      </w:tr>
      <w:tr w:rsidR="00E57DAA" w14:paraId="51D8D823" w14:textId="77777777">
        <w:tc>
          <w:tcPr>
            <w:tcW w:w="640" w:type="pct"/>
            <w:tcBorders>
              <w:top w:val="single" w:sz="4" w:space="0" w:color="auto"/>
              <w:left w:val="single" w:sz="4" w:space="0" w:color="auto"/>
              <w:bottom w:val="single" w:sz="4" w:space="0" w:color="auto"/>
              <w:right w:val="single" w:sz="4" w:space="0" w:color="auto"/>
            </w:tcBorders>
            <w:vAlign w:val="center"/>
          </w:tcPr>
          <w:p w14:paraId="06076DF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6122233" w14:textId="77777777" w:rsidR="00E57DAA" w:rsidRDefault="00AC4185">
            <w:pPr>
              <w:autoSpaceDE w:val="0"/>
              <w:autoSpaceDN w:val="0"/>
              <w:adjustRightInd w:val="0"/>
              <w:rPr>
                <w:szCs w:val="21"/>
              </w:rPr>
            </w:pPr>
            <w:r>
              <w:t>沂南中联水泥有限公司</w:t>
            </w:r>
          </w:p>
        </w:tc>
        <w:tc>
          <w:tcPr>
            <w:tcW w:w="1059" w:type="pct"/>
            <w:tcBorders>
              <w:top w:val="single" w:sz="4" w:space="0" w:color="auto"/>
              <w:left w:val="single" w:sz="4" w:space="0" w:color="auto"/>
              <w:bottom w:val="single" w:sz="4" w:space="0" w:color="auto"/>
              <w:right w:val="single" w:sz="4" w:space="0" w:color="auto"/>
            </w:tcBorders>
          </w:tcPr>
          <w:p w14:paraId="60B6E255" w14:textId="77777777" w:rsidR="00E57DAA" w:rsidRDefault="00AC4185">
            <w:pPr>
              <w:autoSpaceDE w:val="0"/>
              <w:autoSpaceDN w:val="0"/>
              <w:adjustRightInd w:val="0"/>
              <w:jc w:val="right"/>
              <w:rPr>
                <w:szCs w:val="21"/>
              </w:rPr>
            </w:pPr>
            <w:r>
              <w:t>85,840.71</w:t>
            </w:r>
          </w:p>
        </w:tc>
        <w:tc>
          <w:tcPr>
            <w:tcW w:w="1407" w:type="pct"/>
            <w:tcBorders>
              <w:top w:val="single" w:sz="4" w:space="0" w:color="auto"/>
              <w:left w:val="single" w:sz="4" w:space="0" w:color="auto"/>
              <w:bottom w:val="single" w:sz="4" w:space="0" w:color="auto"/>
              <w:right w:val="single" w:sz="4" w:space="0" w:color="auto"/>
            </w:tcBorders>
          </w:tcPr>
          <w:p w14:paraId="6315AE9E" w14:textId="77777777" w:rsidR="00E57DAA" w:rsidRDefault="00AC4185">
            <w:pPr>
              <w:autoSpaceDE w:val="0"/>
              <w:autoSpaceDN w:val="0"/>
              <w:adjustRightInd w:val="0"/>
              <w:jc w:val="right"/>
              <w:rPr>
                <w:szCs w:val="21"/>
              </w:rPr>
            </w:pPr>
            <w:r>
              <w:t xml:space="preserve">　</w:t>
            </w:r>
          </w:p>
        </w:tc>
      </w:tr>
      <w:tr w:rsidR="00E57DAA" w14:paraId="71D9C5E3" w14:textId="77777777">
        <w:tc>
          <w:tcPr>
            <w:tcW w:w="640" w:type="pct"/>
            <w:tcBorders>
              <w:top w:val="single" w:sz="4" w:space="0" w:color="auto"/>
              <w:left w:val="single" w:sz="4" w:space="0" w:color="auto"/>
              <w:bottom w:val="single" w:sz="4" w:space="0" w:color="auto"/>
              <w:right w:val="single" w:sz="4" w:space="0" w:color="auto"/>
            </w:tcBorders>
            <w:vAlign w:val="center"/>
          </w:tcPr>
          <w:p w14:paraId="06E8906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2F8A985" w14:textId="77777777" w:rsidR="00E57DAA" w:rsidRDefault="00AC4185">
            <w:pPr>
              <w:autoSpaceDE w:val="0"/>
              <w:autoSpaceDN w:val="0"/>
              <w:adjustRightInd w:val="0"/>
              <w:rPr>
                <w:szCs w:val="21"/>
              </w:rPr>
            </w:pPr>
            <w:r>
              <w:t>徐州中联水泥有限公司</w:t>
            </w:r>
          </w:p>
        </w:tc>
        <w:tc>
          <w:tcPr>
            <w:tcW w:w="1059" w:type="pct"/>
            <w:tcBorders>
              <w:top w:val="single" w:sz="4" w:space="0" w:color="auto"/>
              <w:left w:val="single" w:sz="4" w:space="0" w:color="auto"/>
              <w:bottom w:val="single" w:sz="4" w:space="0" w:color="auto"/>
              <w:right w:val="single" w:sz="4" w:space="0" w:color="auto"/>
            </w:tcBorders>
          </w:tcPr>
          <w:p w14:paraId="388C0E96" w14:textId="77777777" w:rsidR="00E57DAA" w:rsidRDefault="00AC4185">
            <w:pPr>
              <w:autoSpaceDE w:val="0"/>
              <w:autoSpaceDN w:val="0"/>
              <w:adjustRightInd w:val="0"/>
              <w:jc w:val="right"/>
              <w:rPr>
                <w:szCs w:val="21"/>
              </w:rPr>
            </w:pPr>
            <w:r>
              <w:t>85,585.59</w:t>
            </w:r>
          </w:p>
        </w:tc>
        <w:tc>
          <w:tcPr>
            <w:tcW w:w="1407" w:type="pct"/>
            <w:tcBorders>
              <w:top w:val="single" w:sz="4" w:space="0" w:color="auto"/>
              <w:left w:val="single" w:sz="4" w:space="0" w:color="auto"/>
              <w:bottom w:val="single" w:sz="4" w:space="0" w:color="auto"/>
              <w:right w:val="single" w:sz="4" w:space="0" w:color="auto"/>
            </w:tcBorders>
          </w:tcPr>
          <w:p w14:paraId="70185DF7" w14:textId="77777777" w:rsidR="00E57DAA" w:rsidRDefault="00AC4185">
            <w:pPr>
              <w:autoSpaceDE w:val="0"/>
              <w:autoSpaceDN w:val="0"/>
              <w:adjustRightInd w:val="0"/>
              <w:jc w:val="right"/>
              <w:rPr>
                <w:szCs w:val="21"/>
              </w:rPr>
            </w:pPr>
            <w:r>
              <w:t>48,463,936.91</w:t>
            </w:r>
          </w:p>
        </w:tc>
      </w:tr>
      <w:tr w:rsidR="00E57DAA" w14:paraId="2450C8A2" w14:textId="77777777">
        <w:tc>
          <w:tcPr>
            <w:tcW w:w="640" w:type="pct"/>
            <w:tcBorders>
              <w:top w:val="single" w:sz="4" w:space="0" w:color="auto"/>
              <w:left w:val="single" w:sz="4" w:space="0" w:color="auto"/>
              <w:bottom w:val="single" w:sz="4" w:space="0" w:color="auto"/>
              <w:right w:val="single" w:sz="4" w:space="0" w:color="auto"/>
            </w:tcBorders>
            <w:vAlign w:val="center"/>
          </w:tcPr>
          <w:p w14:paraId="4A898AB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99BE5C1" w14:textId="77777777" w:rsidR="00E57DAA" w:rsidRDefault="00AC4185">
            <w:pPr>
              <w:autoSpaceDE w:val="0"/>
              <w:autoSpaceDN w:val="0"/>
              <w:adjustRightInd w:val="0"/>
              <w:rPr>
                <w:szCs w:val="21"/>
              </w:rPr>
            </w:pPr>
            <w:r>
              <w:t>崇左南方水泥有限公司</w:t>
            </w:r>
          </w:p>
        </w:tc>
        <w:tc>
          <w:tcPr>
            <w:tcW w:w="1059" w:type="pct"/>
            <w:tcBorders>
              <w:top w:val="single" w:sz="4" w:space="0" w:color="auto"/>
              <w:left w:val="single" w:sz="4" w:space="0" w:color="auto"/>
              <w:bottom w:val="single" w:sz="4" w:space="0" w:color="auto"/>
              <w:right w:val="single" w:sz="4" w:space="0" w:color="auto"/>
            </w:tcBorders>
          </w:tcPr>
          <w:p w14:paraId="0CC9CAF9" w14:textId="77777777" w:rsidR="00E57DAA" w:rsidRDefault="00AC4185">
            <w:pPr>
              <w:autoSpaceDE w:val="0"/>
              <w:autoSpaceDN w:val="0"/>
              <w:adjustRightInd w:val="0"/>
              <w:jc w:val="right"/>
              <w:rPr>
                <w:szCs w:val="21"/>
              </w:rPr>
            </w:pPr>
            <w:r>
              <w:t>84,955.75</w:t>
            </w:r>
          </w:p>
        </w:tc>
        <w:tc>
          <w:tcPr>
            <w:tcW w:w="1407" w:type="pct"/>
            <w:tcBorders>
              <w:top w:val="single" w:sz="4" w:space="0" w:color="auto"/>
              <w:left w:val="single" w:sz="4" w:space="0" w:color="auto"/>
              <w:bottom w:val="single" w:sz="4" w:space="0" w:color="auto"/>
              <w:right w:val="single" w:sz="4" w:space="0" w:color="auto"/>
            </w:tcBorders>
          </w:tcPr>
          <w:p w14:paraId="347C6C3A" w14:textId="77777777" w:rsidR="00E57DAA" w:rsidRDefault="00AC4185">
            <w:pPr>
              <w:autoSpaceDE w:val="0"/>
              <w:autoSpaceDN w:val="0"/>
              <w:adjustRightInd w:val="0"/>
              <w:jc w:val="right"/>
              <w:rPr>
                <w:szCs w:val="21"/>
              </w:rPr>
            </w:pPr>
            <w:r>
              <w:t>1,959.08</w:t>
            </w:r>
          </w:p>
        </w:tc>
      </w:tr>
      <w:tr w:rsidR="00E57DAA" w14:paraId="2AC53990" w14:textId="77777777">
        <w:tc>
          <w:tcPr>
            <w:tcW w:w="640" w:type="pct"/>
            <w:tcBorders>
              <w:top w:val="single" w:sz="4" w:space="0" w:color="auto"/>
              <w:left w:val="single" w:sz="4" w:space="0" w:color="auto"/>
              <w:bottom w:val="single" w:sz="4" w:space="0" w:color="auto"/>
              <w:right w:val="single" w:sz="4" w:space="0" w:color="auto"/>
            </w:tcBorders>
            <w:vAlign w:val="center"/>
          </w:tcPr>
          <w:p w14:paraId="4A2DC75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945424D" w14:textId="77777777" w:rsidR="00E57DAA" w:rsidRDefault="00AC4185">
            <w:pPr>
              <w:autoSpaceDE w:val="0"/>
              <w:autoSpaceDN w:val="0"/>
              <w:adjustRightInd w:val="0"/>
              <w:rPr>
                <w:szCs w:val="21"/>
              </w:rPr>
            </w:pPr>
            <w:r>
              <w:t>驻马店市同力骨料有限公司</w:t>
            </w:r>
          </w:p>
        </w:tc>
        <w:tc>
          <w:tcPr>
            <w:tcW w:w="1059" w:type="pct"/>
            <w:tcBorders>
              <w:top w:val="single" w:sz="4" w:space="0" w:color="auto"/>
              <w:left w:val="single" w:sz="4" w:space="0" w:color="auto"/>
              <w:bottom w:val="single" w:sz="4" w:space="0" w:color="auto"/>
              <w:right w:val="single" w:sz="4" w:space="0" w:color="auto"/>
            </w:tcBorders>
          </w:tcPr>
          <w:p w14:paraId="510D5AD0" w14:textId="77777777" w:rsidR="00E57DAA" w:rsidRDefault="00AC4185">
            <w:pPr>
              <w:autoSpaceDE w:val="0"/>
              <w:autoSpaceDN w:val="0"/>
              <w:adjustRightInd w:val="0"/>
              <w:jc w:val="right"/>
              <w:rPr>
                <w:szCs w:val="21"/>
              </w:rPr>
            </w:pPr>
            <w:r>
              <w:t>80,477.21</w:t>
            </w:r>
          </w:p>
        </w:tc>
        <w:tc>
          <w:tcPr>
            <w:tcW w:w="1407" w:type="pct"/>
            <w:tcBorders>
              <w:top w:val="single" w:sz="4" w:space="0" w:color="auto"/>
              <w:left w:val="single" w:sz="4" w:space="0" w:color="auto"/>
              <w:bottom w:val="single" w:sz="4" w:space="0" w:color="auto"/>
              <w:right w:val="single" w:sz="4" w:space="0" w:color="auto"/>
            </w:tcBorders>
          </w:tcPr>
          <w:p w14:paraId="0861CB69" w14:textId="77777777" w:rsidR="00E57DAA" w:rsidRDefault="00AC4185">
            <w:pPr>
              <w:autoSpaceDE w:val="0"/>
              <w:autoSpaceDN w:val="0"/>
              <w:adjustRightInd w:val="0"/>
              <w:jc w:val="right"/>
              <w:rPr>
                <w:szCs w:val="21"/>
              </w:rPr>
            </w:pPr>
            <w:r>
              <w:t xml:space="preserve">　</w:t>
            </w:r>
          </w:p>
        </w:tc>
      </w:tr>
      <w:tr w:rsidR="00E57DAA" w14:paraId="0BCF7497" w14:textId="77777777">
        <w:tc>
          <w:tcPr>
            <w:tcW w:w="640" w:type="pct"/>
            <w:tcBorders>
              <w:top w:val="single" w:sz="4" w:space="0" w:color="auto"/>
              <w:left w:val="single" w:sz="4" w:space="0" w:color="auto"/>
              <w:bottom w:val="single" w:sz="4" w:space="0" w:color="auto"/>
              <w:right w:val="single" w:sz="4" w:space="0" w:color="auto"/>
            </w:tcBorders>
            <w:vAlign w:val="center"/>
          </w:tcPr>
          <w:p w14:paraId="6B3E088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5DAEEC0" w14:textId="77777777" w:rsidR="00E57DAA" w:rsidRDefault="00AC4185">
            <w:pPr>
              <w:autoSpaceDE w:val="0"/>
              <w:autoSpaceDN w:val="0"/>
              <w:adjustRightInd w:val="0"/>
              <w:rPr>
                <w:szCs w:val="21"/>
              </w:rPr>
            </w:pPr>
            <w:r>
              <w:t>云南兴建水泥有限公司</w:t>
            </w:r>
          </w:p>
        </w:tc>
        <w:tc>
          <w:tcPr>
            <w:tcW w:w="1059" w:type="pct"/>
            <w:tcBorders>
              <w:top w:val="single" w:sz="4" w:space="0" w:color="auto"/>
              <w:left w:val="single" w:sz="4" w:space="0" w:color="auto"/>
              <w:bottom w:val="single" w:sz="4" w:space="0" w:color="auto"/>
              <w:right w:val="single" w:sz="4" w:space="0" w:color="auto"/>
            </w:tcBorders>
          </w:tcPr>
          <w:p w14:paraId="7B061A62" w14:textId="77777777" w:rsidR="00E57DAA" w:rsidRDefault="00AC4185">
            <w:pPr>
              <w:autoSpaceDE w:val="0"/>
              <w:autoSpaceDN w:val="0"/>
              <w:adjustRightInd w:val="0"/>
              <w:jc w:val="right"/>
              <w:rPr>
                <w:szCs w:val="21"/>
              </w:rPr>
            </w:pPr>
            <w:r>
              <w:t>70,068.47</w:t>
            </w:r>
          </w:p>
        </w:tc>
        <w:tc>
          <w:tcPr>
            <w:tcW w:w="1407" w:type="pct"/>
            <w:tcBorders>
              <w:top w:val="single" w:sz="4" w:space="0" w:color="auto"/>
              <w:left w:val="single" w:sz="4" w:space="0" w:color="auto"/>
              <w:bottom w:val="single" w:sz="4" w:space="0" w:color="auto"/>
              <w:right w:val="single" w:sz="4" w:space="0" w:color="auto"/>
            </w:tcBorders>
          </w:tcPr>
          <w:p w14:paraId="342F0B40" w14:textId="77777777" w:rsidR="00E57DAA" w:rsidRDefault="00AC4185">
            <w:pPr>
              <w:autoSpaceDE w:val="0"/>
              <w:autoSpaceDN w:val="0"/>
              <w:adjustRightInd w:val="0"/>
              <w:jc w:val="right"/>
              <w:rPr>
                <w:szCs w:val="21"/>
              </w:rPr>
            </w:pPr>
            <w:r>
              <w:t xml:space="preserve">　</w:t>
            </w:r>
          </w:p>
        </w:tc>
      </w:tr>
      <w:tr w:rsidR="00E57DAA" w14:paraId="21514CB0" w14:textId="77777777">
        <w:tc>
          <w:tcPr>
            <w:tcW w:w="640" w:type="pct"/>
            <w:tcBorders>
              <w:top w:val="single" w:sz="4" w:space="0" w:color="auto"/>
              <w:left w:val="single" w:sz="4" w:space="0" w:color="auto"/>
              <w:bottom w:val="single" w:sz="4" w:space="0" w:color="auto"/>
              <w:right w:val="single" w:sz="4" w:space="0" w:color="auto"/>
            </w:tcBorders>
            <w:vAlign w:val="center"/>
          </w:tcPr>
          <w:p w14:paraId="30B86C4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E1E5B60" w14:textId="77777777" w:rsidR="00E57DAA" w:rsidRDefault="00AC4185">
            <w:pPr>
              <w:autoSpaceDE w:val="0"/>
              <w:autoSpaceDN w:val="0"/>
              <w:adjustRightInd w:val="0"/>
              <w:rPr>
                <w:szCs w:val="21"/>
              </w:rPr>
            </w:pPr>
            <w:r>
              <w:t>甘谷祁连山水泥有限公司</w:t>
            </w:r>
          </w:p>
        </w:tc>
        <w:tc>
          <w:tcPr>
            <w:tcW w:w="1059" w:type="pct"/>
            <w:tcBorders>
              <w:top w:val="single" w:sz="4" w:space="0" w:color="auto"/>
              <w:left w:val="single" w:sz="4" w:space="0" w:color="auto"/>
              <w:bottom w:val="single" w:sz="4" w:space="0" w:color="auto"/>
              <w:right w:val="single" w:sz="4" w:space="0" w:color="auto"/>
            </w:tcBorders>
          </w:tcPr>
          <w:p w14:paraId="5DA43037" w14:textId="77777777" w:rsidR="00E57DAA" w:rsidRDefault="00AC4185">
            <w:pPr>
              <w:autoSpaceDE w:val="0"/>
              <w:autoSpaceDN w:val="0"/>
              <w:adjustRightInd w:val="0"/>
              <w:jc w:val="right"/>
              <w:rPr>
                <w:szCs w:val="21"/>
              </w:rPr>
            </w:pPr>
            <w:r>
              <w:t>68,918.92</w:t>
            </w:r>
          </w:p>
        </w:tc>
        <w:tc>
          <w:tcPr>
            <w:tcW w:w="1407" w:type="pct"/>
            <w:tcBorders>
              <w:top w:val="single" w:sz="4" w:space="0" w:color="auto"/>
              <w:left w:val="single" w:sz="4" w:space="0" w:color="auto"/>
              <w:bottom w:val="single" w:sz="4" w:space="0" w:color="auto"/>
              <w:right w:val="single" w:sz="4" w:space="0" w:color="auto"/>
            </w:tcBorders>
          </w:tcPr>
          <w:p w14:paraId="7EDA8C9D" w14:textId="77777777" w:rsidR="00E57DAA" w:rsidRDefault="00AC4185">
            <w:pPr>
              <w:autoSpaceDE w:val="0"/>
              <w:autoSpaceDN w:val="0"/>
              <w:adjustRightInd w:val="0"/>
              <w:jc w:val="right"/>
              <w:rPr>
                <w:szCs w:val="21"/>
              </w:rPr>
            </w:pPr>
            <w:r>
              <w:t>4,472,123.90</w:t>
            </w:r>
          </w:p>
        </w:tc>
      </w:tr>
      <w:tr w:rsidR="00E57DAA" w14:paraId="5810A460" w14:textId="77777777">
        <w:tc>
          <w:tcPr>
            <w:tcW w:w="640" w:type="pct"/>
            <w:tcBorders>
              <w:top w:val="single" w:sz="4" w:space="0" w:color="auto"/>
              <w:left w:val="single" w:sz="4" w:space="0" w:color="auto"/>
              <w:bottom w:val="single" w:sz="4" w:space="0" w:color="auto"/>
              <w:right w:val="single" w:sz="4" w:space="0" w:color="auto"/>
            </w:tcBorders>
            <w:vAlign w:val="center"/>
          </w:tcPr>
          <w:p w14:paraId="46F7B3E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7BDBF6C" w14:textId="77777777" w:rsidR="00E57DAA" w:rsidRDefault="00AC4185">
            <w:pPr>
              <w:autoSpaceDE w:val="0"/>
              <w:autoSpaceDN w:val="0"/>
              <w:adjustRightInd w:val="0"/>
              <w:rPr>
                <w:szCs w:val="21"/>
              </w:rPr>
            </w:pPr>
            <w:r>
              <w:t>河南省同力水泥有限公司</w:t>
            </w:r>
          </w:p>
        </w:tc>
        <w:tc>
          <w:tcPr>
            <w:tcW w:w="1059" w:type="pct"/>
            <w:tcBorders>
              <w:top w:val="single" w:sz="4" w:space="0" w:color="auto"/>
              <w:left w:val="single" w:sz="4" w:space="0" w:color="auto"/>
              <w:bottom w:val="single" w:sz="4" w:space="0" w:color="auto"/>
              <w:right w:val="single" w:sz="4" w:space="0" w:color="auto"/>
            </w:tcBorders>
          </w:tcPr>
          <w:p w14:paraId="35655A8B" w14:textId="77777777" w:rsidR="00E57DAA" w:rsidRDefault="00AC4185">
            <w:pPr>
              <w:autoSpaceDE w:val="0"/>
              <w:autoSpaceDN w:val="0"/>
              <w:adjustRightInd w:val="0"/>
              <w:jc w:val="right"/>
              <w:rPr>
                <w:szCs w:val="21"/>
              </w:rPr>
            </w:pPr>
            <w:r>
              <w:t>68,368.71</w:t>
            </w:r>
          </w:p>
        </w:tc>
        <w:tc>
          <w:tcPr>
            <w:tcW w:w="1407" w:type="pct"/>
            <w:tcBorders>
              <w:top w:val="single" w:sz="4" w:space="0" w:color="auto"/>
              <w:left w:val="single" w:sz="4" w:space="0" w:color="auto"/>
              <w:bottom w:val="single" w:sz="4" w:space="0" w:color="auto"/>
              <w:right w:val="single" w:sz="4" w:space="0" w:color="auto"/>
            </w:tcBorders>
          </w:tcPr>
          <w:p w14:paraId="0C4F44D7" w14:textId="77777777" w:rsidR="00E57DAA" w:rsidRDefault="00AC4185">
            <w:pPr>
              <w:autoSpaceDE w:val="0"/>
              <w:autoSpaceDN w:val="0"/>
              <w:adjustRightInd w:val="0"/>
              <w:jc w:val="right"/>
              <w:rPr>
                <w:szCs w:val="21"/>
              </w:rPr>
            </w:pPr>
            <w:r>
              <w:t xml:space="preserve">　</w:t>
            </w:r>
          </w:p>
        </w:tc>
      </w:tr>
      <w:tr w:rsidR="00E57DAA" w14:paraId="7FC7D7F4" w14:textId="77777777">
        <w:tc>
          <w:tcPr>
            <w:tcW w:w="640" w:type="pct"/>
            <w:tcBorders>
              <w:top w:val="single" w:sz="4" w:space="0" w:color="auto"/>
              <w:left w:val="single" w:sz="4" w:space="0" w:color="auto"/>
              <w:bottom w:val="single" w:sz="4" w:space="0" w:color="auto"/>
              <w:right w:val="single" w:sz="4" w:space="0" w:color="auto"/>
            </w:tcBorders>
            <w:vAlign w:val="center"/>
          </w:tcPr>
          <w:p w14:paraId="117EE08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B7852DD" w14:textId="77777777" w:rsidR="00E57DAA" w:rsidRDefault="00AC4185">
            <w:pPr>
              <w:autoSpaceDE w:val="0"/>
              <w:autoSpaceDN w:val="0"/>
              <w:adjustRightInd w:val="0"/>
              <w:rPr>
                <w:szCs w:val="21"/>
              </w:rPr>
            </w:pPr>
            <w:r>
              <w:t>天水中材水泥有限责任公司</w:t>
            </w:r>
          </w:p>
        </w:tc>
        <w:tc>
          <w:tcPr>
            <w:tcW w:w="1059" w:type="pct"/>
            <w:tcBorders>
              <w:top w:val="single" w:sz="4" w:space="0" w:color="auto"/>
              <w:left w:val="single" w:sz="4" w:space="0" w:color="auto"/>
              <w:bottom w:val="single" w:sz="4" w:space="0" w:color="auto"/>
              <w:right w:val="single" w:sz="4" w:space="0" w:color="auto"/>
            </w:tcBorders>
          </w:tcPr>
          <w:p w14:paraId="620FCE7C" w14:textId="77777777" w:rsidR="00E57DAA" w:rsidRDefault="00AC4185">
            <w:pPr>
              <w:autoSpaceDE w:val="0"/>
              <w:autoSpaceDN w:val="0"/>
              <w:adjustRightInd w:val="0"/>
              <w:jc w:val="right"/>
              <w:rPr>
                <w:szCs w:val="21"/>
              </w:rPr>
            </w:pPr>
            <w:r>
              <w:t>67,843.29</w:t>
            </w:r>
          </w:p>
        </w:tc>
        <w:tc>
          <w:tcPr>
            <w:tcW w:w="1407" w:type="pct"/>
            <w:tcBorders>
              <w:top w:val="single" w:sz="4" w:space="0" w:color="auto"/>
              <w:left w:val="single" w:sz="4" w:space="0" w:color="auto"/>
              <w:bottom w:val="single" w:sz="4" w:space="0" w:color="auto"/>
              <w:right w:val="single" w:sz="4" w:space="0" w:color="auto"/>
            </w:tcBorders>
          </w:tcPr>
          <w:p w14:paraId="137161F6" w14:textId="77777777" w:rsidR="00E57DAA" w:rsidRDefault="00AC4185">
            <w:pPr>
              <w:autoSpaceDE w:val="0"/>
              <w:autoSpaceDN w:val="0"/>
              <w:adjustRightInd w:val="0"/>
              <w:jc w:val="right"/>
              <w:rPr>
                <w:szCs w:val="21"/>
              </w:rPr>
            </w:pPr>
            <w:r>
              <w:t>67,256.64</w:t>
            </w:r>
          </w:p>
        </w:tc>
      </w:tr>
      <w:tr w:rsidR="00E57DAA" w14:paraId="5689BE9F" w14:textId="77777777">
        <w:tc>
          <w:tcPr>
            <w:tcW w:w="640" w:type="pct"/>
            <w:tcBorders>
              <w:top w:val="single" w:sz="4" w:space="0" w:color="auto"/>
              <w:left w:val="single" w:sz="4" w:space="0" w:color="auto"/>
              <w:bottom w:val="single" w:sz="4" w:space="0" w:color="auto"/>
              <w:right w:val="single" w:sz="4" w:space="0" w:color="auto"/>
            </w:tcBorders>
            <w:vAlign w:val="center"/>
          </w:tcPr>
          <w:p w14:paraId="30B4B7A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FF77AC9" w14:textId="77777777" w:rsidR="00E57DAA" w:rsidRDefault="00AC4185">
            <w:pPr>
              <w:autoSpaceDE w:val="0"/>
              <w:autoSpaceDN w:val="0"/>
              <w:adjustRightInd w:val="0"/>
              <w:rPr>
                <w:szCs w:val="21"/>
              </w:rPr>
            </w:pPr>
            <w:r>
              <w:t>泰山中联水泥有限公司</w:t>
            </w:r>
          </w:p>
        </w:tc>
        <w:tc>
          <w:tcPr>
            <w:tcW w:w="1059" w:type="pct"/>
            <w:tcBorders>
              <w:top w:val="single" w:sz="4" w:space="0" w:color="auto"/>
              <w:left w:val="single" w:sz="4" w:space="0" w:color="auto"/>
              <w:bottom w:val="single" w:sz="4" w:space="0" w:color="auto"/>
              <w:right w:val="single" w:sz="4" w:space="0" w:color="auto"/>
            </w:tcBorders>
          </w:tcPr>
          <w:p w14:paraId="742E2C0F" w14:textId="77777777" w:rsidR="00E57DAA" w:rsidRDefault="00AC4185">
            <w:pPr>
              <w:autoSpaceDE w:val="0"/>
              <w:autoSpaceDN w:val="0"/>
              <w:adjustRightInd w:val="0"/>
              <w:jc w:val="right"/>
              <w:rPr>
                <w:szCs w:val="21"/>
              </w:rPr>
            </w:pPr>
            <w:r>
              <w:t>67,567.57</w:t>
            </w:r>
          </w:p>
        </w:tc>
        <w:tc>
          <w:tcPr>
            <w:tcW w:w="1407" w:type="pct"/>
            <w:tcBorders>
              <w:top w:val="single" w:sz="4" w:space="0" w:color="auto"/>
              <w:left w:val="single" w:sz="4" w:space="0" w:color="auto"/>
              <w:bottom w:val="single" w:sz="4" w:space="0" w:color="auto"/>
              <w:right w:val="single" w:sz="4" w:space="0" w:color="auto"/>
            </w:tcBorders>
          </w:tcPr>
          <w:p w14:paraId="2A5D40C0" w14:textId="77777777" w:rsidR="00E57DAA" w:rsidRDefault="00AC4185">
            <w:pPr>
              <w:autoSpaceDE w:val="0"/>
              <w:autoSpaceDN w:val="0"/>
              <w:adjustRightInd w:val="0"/>
              <w:jc w:val="right"/>
              <w:rPr>
                <w:szCs w:val="21"/>
              </w:rPr>
            </w:pPr>
            <w:r>
              <w:t>67,567.57</w:t>
            </w:r>
          </w:p>
        </w:tc>
      </w:tr>
      <w:tr w:rsidR="00E57DAA" w14:paraId="095842DC" w14:textId="77777777">
        <w:tc>
          <w:tcPr>
            <w:tcW w:w="640" w:type="pct"/>
            <w:tcBorders>
              <w:top w:val="single" w:sz="4" w:space="0" w:color="auto"/>
              <w:left w:val="single" w:sz="4" w:space="0" w:color="auto"/>
              <w:bottom w:val="single" w:sz="4" w:space="0" w:color="auto"/>
              <w:right w:val="single" w:sz="4" w:space="0" w:color="auto"/>
            </w:tcBorders>
            <w:vAlign w:val="center"/>
          </w:tcPr>
          <w:p w14:paraId="7D62AE6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DCA958A" w14:textId="77777777" w:rsidR="00E57DAA" w:rsidRDefault="00AC4185">
            <w:pPr>
              <w:autoSpaceDE w:val="0"/>
              <w:autoSpaceDN w:val="0"/>
              <w:adjustRightInd w:val="0"/>
              <w:rPr>
                <w:szCs w:val="21"/>
              </w:rPr>
            </w:pPr>
            <w:r>
              <w:t>云南宜良西南水泥有限公司</w:t>
            </w:r>
          </w:p>
        </w:tc>
        <w:tc>
          <w:tcPr>
            <w:tcW w:w="1059" w:type="pct"/>
            <w:tcBorders>
              <w:top w:val="single" w:sz="4" w:space="0" w:color="auto"/>
              <w:left w:val="single" w:sz="4" w:space="0" w:color="auto"/>
              <w:bottom w:val="single" w:sz="4" w:space="0" w:color="auto"/>
              <w:right w:val="single" w:sz="4" w:space="0" w:color="auto"/>
            </w:tcBorders>
          </w:tcPr>
          <w:p w14:paraId="6FD7B868" w14:textId="77777777" w:rsidR="00E57DAA" w:rsidRDefault="00AC4185">
            <w:pPr>
              <w:autoSpaceDE w:val="0"/>
              <w:autoSpaceDN w:val="0"/>
              <w:adjustRightInd w:val="0"/>
              <w:jc w:val="right"/>
              <w:rPr>
                <w:szCs w:val="21"/>
              </w:rPr>
            </w:pPr>
            <w:r>
              <w:t>48,648.65</w:t>
            </w:r>
          </w:p>
        </w:tc>
        <w:tc>
          <w:tcPr>
            <w:tcW w:w="1407" w:type="pct"/>
            <w:tcBorders>
              <w:top w:val="single" w:sz="4" w:space="0" w:color="auto"/>
              <w:left w:val="single" w:sz="4" w:space="0" w:color="auto"/>
              <w:bottom w:val="single" w:sz="4" w:space="0" w:color="auto"/>
              <w:right w:val="single" w:sz="4" w:space="0" w:color="auto"/>
            </w:tcBorders>
          </w:tcPr>
          <w:p w14:paraId="41CA4F7D" w14:textId="77777777" w:rsidR="00E57DAA" w:rsidRDefault="00AC4185">
            <w:pPr>
              <w:autoSpaceDE w:val="0"/>
              <w:autoSpaceDN w:val="0"/>
              <w:adjustRightInd w:val="0"/>
              <w:jc w:val="right"/>
              <w:rPr>
                <w:szCs w:val="21"/>
              </w:rPr>
            </w:pPr>
            <w:r>
              <w:t>1,037,486.80</w:t>
            </w:r>
          </w:p>
        </w:tc>
      </w:tr>
      <w:tr w:rsidR="00E57DAA" w14:paraId="57E306FD" w14:textId="77777777">
        <w:tc>
          <w:tcPr>
            <w:tcW w:w="640" w:type="pct"/>
            <w:tcBorders>
              <w:top w:val="single" w:sz="4" w:space="0" w:color="auto"/>
              <w:left w:val="single" w:sz="4" w:space="0" w:color="auto"/>
              <w:bottom w:val="single" w:sz="4" w:space="0" w:color="auto"/>
              <w:right w:val="single" w:sz="4" w:space="0" w:color="auto"/>
            </w:tcBorders>
            <w:vAlign w:val="center"/>
          </w:tcPr>
          <w:p w14:paraId="1A099A3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D6EBEFE" w14:textId="77777777" w:rsidR="00E57DAA" w:rsidRDefault="00AC4185">
            <w:pPr>
              <w:autoSpaceDE w:val="0"/>
              <w:autoSpaceDN w:val="0"/>
              <w:adjustRightInd w:val="0"/>
              <w:rPr>
                <w:szCs w:val="21"/>
              </w:rPr>
            </w:pPr>
            <w:r>
              <w:t>中材科技股份有限公司</w:t>
            </w:r>
          </w:p>
        </w:tc>
        <w:tc>
          <w:tcPr>
            <w:tcW w:w="1059" w:type="pct"/>
            <w:tcBorders>
              <w:top w:val="single" w:sz="4" w:space="0" w:color="auto"/>
              <w:left w:val="single" w:sz="4" w:space="0" w:color="auto"/>
              <w:bottom w:val="single" w:sz="4" w:space="0" w:color="auto"/>
              <w:right w:val="single" w:sz="4" w:space="0" w:color="auto"/>
            </w:tcBorders>
          </w:tcPr>
          <w:p w14:paraId="1CA21641" w14:textId="77777777" w:rsidR="00E57DAA" w:rsidRDefault="00AC4185">
            <w:pPr>
              <w:autoSpaceDE w:val="0"/>
              <w:autoSpaceDN w:val="0"/>
              <w:adjustRightInd w:val="0"/>
              <w:jc w:val="right"/>
              <w:rPr>
                <w:szCs w:val="21"/>
              </w:rPr>
            </w:pPr>
            <w:r>
              <w:t>47,169.81</w:t>
            </w:r>
          </w:p>
        </w:tc>
        <w:tc>
          <w:tcPr>
            <w:tcW w:w="1407" w:type="pct"/>
            <w:tcBorders>
              <w:top w:val="single" w:sz="4" w:space="0" w:color="auto"/>
              <w:left w:val="single" w:sz="4" w:space="0" w:color="auto"/>
              <w:bottom w:val="single" w:sz="4" w:space="0" w:color="auto"/>
              <w:right w:val="single" w:sz="4" w:space="0" w:color="auto"/>
            </w:tcBorders>
          </w:tcPr>
          <w:p w14:paraId="113C7862" w14:textId="77777777" w:rsidR="00E57DAA" w:rsidRDefault="00AC4185">
            <w:pPr>
              <w:autoSpaceDE w:val="0"/>
              <w:autoSpaceDN w:val="0"/>
              <w:adjustRightInd w:val="0"/>
              <w:jc w:val="right"/>
              <w:rPr>
                <w:szCs w:val="21"/>
              </w:rPr>
            </w:pPr>
            <w:r>
              <w:t>47,169.81</w:t>
            </w:r>
          </w:p>
        </w:tc>
      </w:tr>
      <w:tr w:rsidR="00E57DAA" w14:paraId="1DFCA4A6" w14:textId="77777777">
        <w:tc>
          <w:tcPr>
            <w:tcW w:w="640" w:type="pct"/>
            <w:tcBorders>
              <w:top w:val="single" w:sz="4" w:space="0" w:color="auto"/>
              <w:left w:val="single" w:sz="4" w:space="0" w:color="auto"/>
              <w:bottom w:val="single" w:sz="4" w:space="0" w:color="auto"/>
              <w:right w:val="single" w:sz="4" w:space="0" w:color="auto"/>
            </w:tcBorders>
            <w:vAlign w:val="center"/>
          </w:tcPr>
          <w:p w14:paraId="3B900B6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0113832" w14:textId="77777777" w:rsidR="00E57DAA" w:rsidRDefault="00AC4185">
            <w:pPr>
              <w:autoSpaceDE w:val="0"/>
              <w:autoSpaceDN w:val="0"/>
              <w:adjustRightInd w:val="0"/>
              <w:rPr>
                <w:szCs w:val="21"/>
              </w:rPr>
            </w:pPr>
            <w:r>
              <w:t>上海张堰南方水泥有限公司</w:t>
            </w:r>
          </w:p>
        </w:tc>
        <w:tc>
          <w:tcPr>
            <w:tcW w:w="1059" w:type="pct"/>
            <w:tcBorders>
              <w:top w:val="single" w:sz="4" w:space="0" w:color="auto"/>
              <w:left w:val="single" w:sz="4" w:space="0" w:color="auto"/>
              <w:bottom w:val="single" w:sz="4" w:space="0" w:color="auto"/>
              <w:right w:val="single" w:sz="4" w:space="0" w:color="auto"/>
            </w:tcBorders>
          </w:tcPr>
          <w:p w14:paraId="4FA5933B" w14:textId="77777777" w:rsidR="00E57DAA" w:rsidRDefault="00AC4185">
            <w:pPr>
              <w:autoSpaceDE w:val="0"/>
              <w:autoSpaceDN w:val="0"/>
              <w:adjustRightInd w:val="0"/>
              <w:jc w:val="right"/>
              <w:rPr>
                <w:szCs w:val="21"/>
              </w:rPr>
            </w:pPr>
            <w:r>
              <w:t>46,988.81</w:t>
            </w:r>
          </w:p>
        </w:tc>
        <w:tc>
          <w:tcPr>
            <w:tcW w:w="1407" w:type="pct"/>
            <w:tcBorders>
              <w:top w:val="single" w:sz="4" w:space="0" w:color="auto"/>
              <w:left w:val="single" w:sz="4" w:space="0" w:color="auto"/>
              <w:bottom w:val="single" w:sz="4" w:space="0" w:color="auto"/>
              <w:right w:val="single" w:sz="4" w:space="0" w:color="auto"/>
            </w:tcBorders>
          </w:tcPr>
          <w:p w14:paraId="1E0E19B3" w14:textId="77777777" w:rsidR="00E57DAA" w:rsidRDefault="00AC4185">
            <w:pPr>
              <w:autoSpaceDE w:val="0"/>
              <w:autoSpaceDN w:val="0"/>
              <w:adjustRightInd w:val="0"/>
              <w:jc w:val="right"/>
              <w:rPr>
                <w:szCs w:val="21"/>
              </w:rPr>
            </w:pPr>
            <w:r>
              <w:t>133,134.94</w:t>
            </w:r>
          </w:p>
        </w:tc>
      </w:tr>
      <w:tr w:rsidR="00E57DAA" w14:paraId="17FC7130" w14:textId="77777777">
        <w:tc>
          <w:tcPr>
            <w:tcW w:w="640" w:type="pct"/>
            <w:tcBorders>
              <w:top w:val="single" w:sz="4" w:space="0" w:color="auto"/>
              <w:left w:val="single" w:sz="4" w:space="0" w:color="auto"/>
              <w:bottom w:val="single" w:sz="4" w:space="0" w:color="auto"/>
              <w:right w:val="single" w:sz="4" w:space="0" w:color="auto"/>
            </w:tcBorders>
            <w:vAlign w:val="center"/>
          </w:tcPr>
          <w:p w14:paraId="004525C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7C658D1" w14:textId="77777777" w:rsidR="00E57DAA" w:rsidRDefault="00AC4185">
            <w:pPr>
              <w:autoSpaceDE w:val="0"/>
              <w:autoSpaceDN w:val="0"/>
              <w:adjustRightInd w:val="0"/>
              <w:rPr>
                <w:szCs w:val="21"/>
              </w:rPr>
            </w:pPr>
            <w:r>
              <w:t>云南永保特种水泥有限责任公司</w:t>
            </w:r>
          </w:p>
        </w:tc>
        <w:tc>
          <w:tcPr>
            <w:tcW w:w="1059" w:type="pct"/>
            <w:tcBorders>
              <w:top w:val="single" w:sz="4" w:space="0" w:color="auto"/>
              <w:left w:val="single" w:sz="4" w:space="0" w:color="auto"/>
              <w:bottom w:val="single" w:sz="4" w:space="0" w:color="auto"/>
              <w:right w:val="single" w:sz="4" w:space="0" w:color="auto"/>
            </w:tcBorders>
          </w:tcPr>
          <w:p w14:paraId="0F4A45DD" w14:textId="77777777" w:rsidR="00E57DAA" w:rsidRDefault="00AC4185">
            <w:pPr>
              <w:autoSpaceDE w:val="0"/>
              <w:autoSpaceDN w:val="0"/>
              <w:adjustRightInd w:val="0"/>
              <w:jc w:val="right"/>
              <w:rPr>
                <w:szCs w:val="21"/>
              </w:rPr>
            </w:pPr>
            <w:r>
              <w:t>45,405.41</w:t>
            </w:r>
          </w:p>
        </w:tc>
        <w:tc>
          <w:tcPr>
            <w:tcW w:w="1407" w:type="pct"/>
            <w:tcBorders>
              <w:top w:val="single" w:sz="4" w:space="0" w:color="auto"/>
              <w:left w:val="single" w:sz="4" w:space="0" w:color="auto"/>
              <w:bottom w:val="single" w:sz="4" w:space="0" w:color="auto"/>
              <w:right w:val="single" w:sz="4" w:space="0" w:color="auto"/>
            </w:tcBorders>
          </w:tcPr>
          <w:p w14:paraId="2F66DB6B" w14:textId="77777777" w:rsidR="00E57DAA" w:rsidRDefault="00AC4185">
            <w:pPr>
              <w:autoSpaceDE w:val="0"/>
              <w:autoSpaceDN w:val="0"/>
              <w:adjustRightInd w:val="0"/>
              <w:jc w:val="right"/>
              <w:rPr>
                <w:szCs w:val="21"/>
              </w:rPr>
            </w:pPr>
            <w:r>
              <w:t>727,496.91</w:t>
            </w:r>
          </w:p>
        </w:tc>
      </w:tr>
      <w:tr w:rsidR="00E57DAA" w14:paraId="7A7DEE05" w14:textId="77777777">
        <w:tc>
          <w:tcPr>
            <w:tcW w:w="640" w:type="pct"/>
            <w:tcBorders>
              <w:top w:val="single" w:sz="4" w:space="0" w:color="auto"/>
              <w:left w:val="single" w:sz="4" w:space="0" w:color="auto"/>
              <w:bottom w:val="single" w:sz="4" w:space="0" w:color="auto"/>
              <w:right w:val="single" w:sz="4" w:space="0" w:color="auto"/>
            </w:tcBorders>
            <w:vAlign w:val="center"/>
          </w:tcPr>
          <w:p w14:paraId="4A8F05B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BDA4D89" w14:textId="77777777" w:rsidR="00E57DAA" w:rsidRDefault="00AC4185">
            <w:pPr>
              <w:autoSpaceDE w:val="0"/>
              <w:autoSpaceDN w:val="0"/>
              <w:adjustRightInd w:val="0"/>
              <w:rPr>
                <w:szCs w:val="21"/>
              </w:rPr>
            </w:pPr>
            <w:r>
              <w:t>泰安中联水泥有限公司</w:t>
            </w:r>
          </w:p>
        </w:tc>
        <w:tc>
          <w:tcPr>
            <w:tcW w:w="1059" w:type="pct"/>
            <w:tcBorders>
              <w:top w:val="single" w:sz="4" w:space="0" w:color="auto"/>
              <w:left w:val="single" w:sz="4" w:space="0" w:color="auto"/>
              <w:bottom w:val="single" w:sz="4" w:space="0" w:color="auto"/>
              <w:right w:val="single" w:sz="4" w:space="0" w:color="auto"/>
            </w:tcBorders>
          </w:tcPr>
          <w:p w14:paraId="30DD72BD" w14:textId="77777777" w:rsidR="00E57DAA" w:rsidRDefault="00AC4185">
            <w:pPr>
              <w:autoSpaceDE w:val="0"/>
              <w:autoSpaceDN w:val="0"/>
              <w:adjustRightInd w:val="0"/>
              <w:jc w:val="right"/>
              <w:rPr>
                <w:szCs w:val="21"/>
              </w:rPr>
            </w:pPr>
            <w:r>
              <w:t>45,045.04</w:t>
            </w:r>
          </w:p>
        </w:tc>
        <w:tc>
          <w:tcPr>
            <w:tcW w:w="1407" w:type="pct"/>
            <w:tcBorders>
              <w:top w:val="single" w:sz="4" w:space="0" w:color="auto"/>
              <w:left w:val="single" w:sz="4" w:space="0" w:color="auto"/>
              <w:bottom w:val="single" w:sz="4" w:space="0" w:color="auto"/>
              <w:right w:val="single" w:sz="4" w:space="0" w:color="auto"/>
            </w:tcBorders>
          </w:tcPr>
          <w:p w14:paraId="3A877AC7" w14:textId="77777777" w:rsidR="00E57DAA" w:rsidRDefault="00AC4185">
            <w:pPr>
              <w:autoSpaceDE w:val="0"/>
              <w:autoSpaceDN w:val="0"/>
              <w:adjustRightInd w:val="0"/>
              <w:jc w:val="right"/>
              <w:rPr>
                <w:szCs w:val="21"/>
              </w:rPr>
            </w:pPr>
            <w:r>
              <w:t>67,792.41</w:t>
            </w:r>
          </w:p>
        </w:tc>
      </w:tr>
      <w:tr w:rsidR="00E57DAA" w14:paraId="5D2751DF" w14:textId="77777777">
        <w:tc>
          <w:tcPr>
            <w:tcW w:w="640" w:type="pct"/>
            <w:tcBorders>
              <w:top w:val="single" w:sz="4" w:space="0" w:color="auto"/>
              <w:left w:val="single" w:sz="4" w:space="0" w:color="auto"/>
              <w:bottom w:val="single" w:sz="4" w:space="0" w:color="auto"/>
              <w:right w:val="single" w:sz="4" w:space="0" w:color="auto"/>
            </w:tcBorders>
            <w:vAlign w:val="center"/>
          </w:tcPr>
          <w:p w14:paraId="4C212BD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F9B4127" w14:textId="77777777" w:rsidR="00E57DAA" w:rsidRDefault="00AC4185">
            <w:pPr>
              <w:autoSpaceDE w:val="0"/>
              <w:autoSpaceDN w:val="0"/>
              <w:adjustRightInd w:val="0"/>
              <w:rPr>
                <w:szCs w:val="21"/>
              </w:rPr>
            </w:pPr>
            <w:r>
              <w:t>新疆阜康天山水泥有限责任公司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721F468A" w14:textId="77777777" w:rsidR="00E57DAA" w:rsidRDefault="00AC4185">
            <w:pPr>
              <w:autoSpaceDE w:val="0"/>
              <w:autoSpaceDN w:val="0"/>
              <w:adjustRightInd w:val="0"/>
              <w:jc w:val="right"/>
              <w:rPr>
                <w:szCs w:val="21"/>
              </w:rPr>
            </w:pPr>
            <w:r>
              <w:t>41,894.69</w:t>
            </w:r>
          </w:p>
        </w:tc>
        <w:tc>
          <w:tcPr>
            <w:tcW w:w="1407" w:type="pct"/>
            <w:tcBorders>
              <w:top w:val="single" w:sz="4" w:space="0" w:color="auto"/>
              <w:left w:val="single" w:sz="4" w:space="0" w:color="auto"/>
              <w:bottom w:val="single" w:sz="4" w:space="0" w:color="auto"/>
              <w:right w:val="single" w:sz="4" w:space="0" w:color="auto"/>
            </w:tcBorders>
          </w:tcPr>
          <w:p w14:paraId="34E20003" w14:textId="77777777" w:rsidR="00E57DAA" w:rsidRDefault="00AC4185">
            <w:pPr>
              <w:autoSpaceDE w:val="0"/>
              <w:autoSpaceDN w:val="0"/>
              <w:adjustRightInd w:val="0"/>
              <w:jc w:val="right"/>
              <w:rPr>
                <w:szCs w:val="21"/>
              </w:rPr>
            </w:pPr>
            <w:r>
              <w:t xml:space="preserve">　</w:t>
            </w:r>
          </w:p>
        </w:tc>
      </w:tr>
      <w:tr w:rsidR="00E57DAA" w14:paraId="5963F4E8" w14:textId="77777777">
        <w:tc>
          <w:tcPr>
            <w:tcW w:w="640" w:type="pct"/>
            <w:tcBorders>
              <w:top w:val="single" w:sz="4" w:space="0" w:color="auto"/>
              <w:left w:val="single" w:sz="4" w:space="0" w:color="auto"/>
              <w:bottom w:val="single" w:sz="4" w:space="0" w:color="auto"/>
              <w:right w:val="single" w:sz="4" w:space="0" w:color="auto"/>
            </w:tcBorders>
            <w:vAlign w:val="center"/>
          </w:tcPr>
          <w:p w14:paraId="487CCF9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734F686" w14:textId="77777777" w:rsidR="00E57DAA" w:rsidRDefault="00AC4185">
            <w:pPr>
              <w:autoSpaceDE w:val="0"/>
              <w:autoSpaceDN w:val="0"/>
              <w:adjustRightInd w:val="0"/>
              <w:rPr>
                <w:szCs w:val="21"/>
              </w:rPr>
            </w:pPr>
            <w:r>
              <w:t>乌兰察布市蒙中水泥有限公司</w:t>
            </w:r>
          </w:p>
        </w:tc>
        <w:tc>
          <w:tcPr>
            <w:tcW w:w="1059" w:type="pct"/>
            <w:tcBorders>
              <w:top w:val="single" w:sz="4" w:space="0" w:color="auto"/>
              <w:left w:val="single" w:sz="4" w:space="0" w:color="auto"/>
              <w:bottom w:val="single" w:sz="4" w:space="0" w:color="auto"/>
              <w:right w:val="single" w:sz="4" w:space="0" w:color="auto"/>
            </w:tcBorders>
          </w:tcPr>
          <w:p w14:paraId="45E259A2" w14:textId="77777777" w:rsidR="00E57DAA" w:rsidRDefault="00AC4185">
            <w:pPr>
              <w:autoSpaceDE w:val="0"/>
              <w:autoSpaceDN w:val="0"/>
              <w:adjustRightInd w:val="0"/>
              <w:jc w:val="right"/>
              <w:rPr>
                <w:szCs w:val="21"/>
              </w:rPr>
            </w:pPr>
            <w:r>
              <w:t>41,628.32</w:t>
            </w:r>
          </w:p>
        </w:tc>
        <w:tc>
          <w:tcPr>
            <w:tcW w:w="1407" w:type="pct"/>
            <w:tcBorders>
              <w:top w:val="single" w:sz="4" w:space="0" w:color="auto"/>
              <w:left w:val="single" w:sz="4" w:space="0" w:color="auto"/>
              <w:bottom w:val="single" w:sz="4" w:space="0" w:color="auto"/>
              <w:right w:val="single" w:sz="4" w:space="0" w:color="auto"/>
            </w:tcBorders>
          </w:tcPr>
          <w:p w14:paraId="17956582" w14:textId="77777777" w:rsidR="00E57DAA" w:rsidRDefault="00AC4185">
            <w:pPr>
              <w:autoSpaceDE w:val="0"/>
              <w:autoSpaceDN w:val="0"/>
              <w:adjustRightInd w:val="0"/>
              <w:jc w:val="right"/>
              <w:rPr>
                <w:szCs w:val="21"/>
              </w:rPr>
            </w:pPr>
            <w:r>
              <w:t xml:space="preserve">　</w:t>
            </w:r>
          </w:p>
        </w:tc>
      </w:tr>
      <w:tr w:rsidR="00E57DAA" w14:paraId="407E352B" w14:textId="77777777">
        <w:tc>
          <w:tcPr>
            <w:tcW w:w="640" w:type="pct"/>
            <w:tcBorders>
              <w:top w:val="single" w:sz="4" w:space="0" w:color="auto"/>
              <w:left w:val="single" w:sz="4" w:space="0" w:color="auto"/>
              <w:bottom w:val="single" w:sz="4" w:space="0" w:color="auto"/>
              <w:right w:val="single" w:sz="4" w:space="0" w:color="auto"/>
            </w:tcBorders>
            <w:vAlign w:val="center"/>
          </w:tcPr>
          <w:p w14:paraId="6AB7497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48A2443" w14:textId="77777777" w:rsidR="00E57DAA" w:rsidRDefault="00AC4185">
            <w:pPr>
              <w:autoSpaceDE w:val="0"/>
              <w:autoSpaceDN w:val="0"/>
              <w:adjustRightInd w:val="0"/>
              <w:rPr>
                <w:szCs w:val="21"/>
              </w:rPr>
            </w:pPr>
            <w:r>
              <w:t>巴彦淖尔中联水泥有限公司</w:t>
            </w:r>
          </w:p>
        </w:tc>
        <w:tc>
          <w:tcPr>
            <w:tcW w:w="1059" w:type="pct"/>
            <w:tcBorders>
              <w:top w:val="single" w:sz="4" w:space="0" w:color="auto"/>
              <w:left w:val="single" w:sz="4" w:space="0" w:color="auto"/>
              <w:bottom w:val="single" w:sz="4" w:space="0" w:color="auto"/>
              <w:right w:val="single" w:sz="4" w:space="0" w:color="auto"/>
            </w:tcBorders>
          </w:tcPr>
          <w:p w14:paraId="129DE380" w14:textId="77777777" w:rsidR="00E57DAA" w:rsidRDefault="00AC4185">
            <w:pPr>
              <w:autoSpaceDE w:val="0"/>
              <w:autoSpaceDN w:val="0"/>
              <w:adjustRightInd w:val="0"/>
              <w:jc w:val="right"/>
              <w:rPr>
                <w:szCs w:val="21"/>
              </w:rPr>
            </w:pPr>
            <w:r>
              <w:t>41,513.27</w:t>
            </w:r>
          </w:p>
        </w:tc>
        <w:tc>
          <w:tcPr>
            <w:tcW w:w="1407" w:type="pct"/>
            <w:tcBorders>
              <w:top w:val="single" w:sz="4" w:space="0" w:color="auto"/>
              <w:left w:val="single" w:sz="4" w:space="0" w:color="auto"/>
              <w:bottom w:val="single" w:sz="4" w:space="0" w:color="auto"/>
              <w:right w:val="single" w:sz="4" w:space="0" w:color="auto"/>
            </w:tcBorders>
          </w:tcPr>
          <w:p w14:paraId="4E2D7214" w14:textId="77777777" w:rsidR="00E57DAA" w:rsidRDefault="00AC4185">
            <w:pPr>
              <w:autoSpaceDE w:val="0"/>
              <w:autoSpaceDN w:val="0"/>
              <w:adjustRightInd w:val="0"/>
              <w:jc w:val="right"/>
              <w:rPr>
                <w:szCs w:val="21"/>
              </w:rPr>
            </w:pPr>
            <w:r>
              <w:t>121,918.58</w:t>
            </w:r>
          </w:p>
        </w:tc>
      </w:tr>
      <w:tr w:rsidR="00E57DAA" w14:paraId="28954C7B" w14:textId="77777777">
        <w:tc>
          <w:tcPr>
            <w:tcW w:w="640" w:type="pct"/>
            <w:tcBorders>
              <w:top w:val="single" w:sz="4" w:space="0" w:color="auto"/>
              <w:left w:val="single" w:sz="4" w:space="0" w:color="auto"/>
              <w:bottom w:val="single" w:sz="4" w:space="0" w:color="auto"/>
              <w:right w:val="single" w:sz="4" w:space="0" w:color="auto"/>
            </w:tcBorders>
            <w:vAlign w:val="center"/>
          </w:tcPr>
          <w:p w14:paraId="44CA8C8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97E3C69" w14:textId="77777777" w:rsidR="00E57DAA" w:rsidRDefault="00AC4185">
            <w:pPr>
              <w:autoSpaceDE w:val="0"/>
              <w:autoSpaceDN w:val="0"/>
              <w:adjustRightInd w:val="0"/>
              <w:rPr>
                <w:szCs w:val="21"/>
              </w:rPr>
            </w:pPr>
            <w:r>
              <w:t>洛浦天山水泥有限责任公司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6AE05D69" w14:textId="77777777" w:rsidR="00E57DAA" w:rsidRDefault="00AC4185">
            <w:pPr>
              <w:autoSpaceDE w:val="0"/>
              <w:autoSpaceDN w:val="0"/>
              <w:adjustRightInd w:val="0"/>
              <w:jc w:val="right"/>
              <w:rPr>
                <w:szCs w:val="21"/>
              </w:rPr>
            </w:pPr>
            <w:r>
              <w:t>37,993.88</w:t>
            </w:r>
          </w:p>
        </w:tc>
        <w:tc>
          <w:tcPr>
            <w:tcW w:w="1407" w:type="pct"/>
            <w:tcBorders>
              <w:top w:val="single" w:sz="4" w:space="0" w:color="auto"/>
              <w:left w:val="single" w:sz="4" w:space="0" w:color="auto"/>
              <w:bottom w:val="single" w:sz="4" w:space="0" w:color="auto"/>
              <w:right w:val="single" w:sz="4" w:space="0" w:color="auto"/>
            </w:tcBorders>
          </w:tcPr>
          <w:p w14:paraId="3C6C7A1C" w14:textId="77777777" w:rsidR="00E57DAA" w:rsidRDefault="00AC4185">
            <w:pPr>
              <w:autoSpaceDE w:val="0"/>
              <w:autoSpaceDN w:val="0"/>
              <w:adjustRightInd w:val="0"/>
              <w:jc w:val="right"/>
              <w:rPr>
                <w:szCs w:val="21"/>
              </w:rPr>
            </w:pPr>
            <w:r>
              <w:t xml:space="preserve">　</w:t>
            </w:r>
          </w:p>
        </w:tc>
      </w:tr>
      <w:tr w:rsidR="00E57DAA" w14:paraId="1FB181F9" w14:textId="77777777">
        <w:tc>
          <w:tcPr>
            <w:tcW w:w="640" w:type="pct"/>
            <w:tcBorders>
              <w:top w:val="single" w:sz="4" w:space="0" w:color="auto"/>
              <w:left w:val="single" w:sz="4" w:space="0" w:color="auto"/>
              <w:bottom w:val="single" w:sz="4" w:space="0" w:color="auto"/>
              <w:right w:val="single" w:sz="4" w:space="0" w:color="auto"/>
            </w:tcBorders>
            <w:vAlign w:val="center"/>
          </w:tcPr>
          <w:p w14:paraId="02A3C90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063C9D0" w14:textId="77777777" w:rsidR="00E57DAA" w:rsidRDefault="00AC4185">
            <w:pPr>
              <w:autoSpaceDE w:val="0"/>
              <w:autoSpaceDN w:val="0"/>
              <w:adjustRightInd w:val="0"/>
              <w:rPr>
                <w:szCs w:val="21"/>
              </w:rPr>
            </w:pPr>
            <w:r>
              <w:t>中材汉江水泥股份有限公司</w:t>
            </w:r>
          </w:p>
        </w:tc>
        <w:tc>
          <w:tcPr>
            <w:tcW w:w="1059" w:type="pct"/>
            <w:tcBorders>
              <w:top w:val="single" w:sz="4" w:space="0" w:color="auto"/>
              <w:left w:val="single" w:sz="4" w:space="0" w:color="auto"/>
              <w:bottom w:val="single" w:sz="4" w:space="0" w:color="auto"/>
              <w:right w:val="single" w:sz="4" w:space="0" w:color="auto"/>
            </w:tcBorders>
          </w:tcPr>
          <w:p w14:paraId="6F421A36" w14:textId="77777777" w:rsidR="00E57DAA" w:rsidRDefault="00AC4185">
            <w:pPr>
              <w:autoSpaceDE w:val="0"/>
              <w:autoSpaceDN w:val="0"/>
              <w:adjustRightInd w:val="0"/>
              <w:jc w:val="right"/>
              <w:rPr>
                <w:szCs w:val="21"/>
              </w:rPr>
            </w:pPr>
            <w:r>
              <w:t>37,522.12</w:t>
            </w:r>
          </w:p>
        </w:tc>
        <w:tc>
          <w:tcPr>
            <w:tcW w:w="1407" w:type="pct"/>
            <w:tcBorders>
              <w:top w:val="single" w:sz="4" w:space="0" w:color="auto"/>
              <w:left w:val="single" w:sz="4" w:space="0" w:color="auto"/>
              <w:bottom w:val="single" w:sz="4" w:space="0" w:color="auto"/>
              <w:right w:val="single" w:sz="4" w:space="0" w:color="auto"/>
            </w:tcBorders>
          </w:tcPr>
          <w:p w14:paraId="55F47ECE" w14:textId="77777777" w:rsidR="00E57DAA" w:rsidRDefault="00AC4185">
            <w:pPr>
              <w:autoSpaceDE w:val="0"/>
              <w:autoSpaceDN w:val="0"/>
              <w:adjustRightInd w:val="0"/>
              <w:jc w:val="right"/>
              <w:rPr>
                <w:szCs w:val="21"/>
              </w:rPr>
            </w:pPr>
            <w:r>
              <w:t>2,355,858.55</w:t>
            </w:r>
          </w:p>
        </w:tc>
      </w:tr>
      <w:tr w:rsidR="00E57DAA" w14:paraId="742530F0" w14:textId="77777777">
        <w:tc>
          <w:tcPr>
            <w:tcW w:w="640" w:type="pct"/>
            <w:tcBorders>
              <w:top w:val="single" w:sz="4" w:space="0" w:color="auto"/>
              <w:left w:val="single" w:sz="4" w:space="0" w:color="auto"/>
              <w:bottom w:val="single" w:sz="4" w:space="0" w:color="auto"/>
              <w:right w:val="single" w:sz="4" w:space="0" w:color="auto"/>
            </w:tcBorders>
            <w:vAlign w:val="center"/>
          </w:tcPr>
          <w:p w14:paraId="77D3FED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AE3EEE6" w14:textId="77777777" w:rsidR="00E57DAA" w:rsidRDefault="00AC4185">
            <w:pPr>
              <w:autoSpaceDE w:val="0"/>
              <w:autoSpaceDN w:val="0"/>
              <w:adjustRightInd w:val="0"/>
              <w:rPr>
                <w:szCs w:val="21"/>
              </w:rPr>
            </w:pPr>
            <w:r>
              <w:t>浙江金华南方尖峰水泥有限公司</w:t>
            </w:r>
          </w:p>
        </w:tc>
        <w:tc>
          <w:tcPr>
            <w:tcW w:w="1059" w:type="pct"/>
            <w:tcBorders>
              <w:top w:val="single" w:sz="4" w:space="0" w:color="auto"/>
              <w:left w:val="single" w:sz="4" w:space="0" w:color="auto"/>
              <w:bottom w:val="single" w:sz="4" w:space="0" w:color="auto"/>
              <w:right w:val="single" w:sz="4" w:space="0" w:color="auto"/>
            </w:tcBorders>
          </w:tcPr>
          <w:p w14:paraId="3550A5FA" w14:textId="77777777" w:rsidR="00E57DAA" w:rsidRDefault="00AC4185">
            <w:pPr>
              <w:autoSpaceDE w:val="0"/>
              <w:autoSpaceDN w:val="0"/>
              <w:adjustRightInd w:val="0"/>
              <w:jc w:val="right"/>
              <w:rPr>
                <w:szCs w:val="21"/>
              </w:rPr>
            </w:pPr>
            <w:r>
              <w:t>35,398.23</w:t>
            </w:r>
          </w:p>
        </w:tc>
        <w:tc>
          <w:tcPr>
            <w:tcW w:w="1407" w:type="pct"/>
            <w:tcBorders>
              <w:top w:val="single" w:sz="4" w:space="0" w:color="auto"/>
              <w:left w:val="single" w:sz="4" w:space="0" w:color="auto"/>
              <w:bottom w:val="single" w:sz="4" w:space="0" w:color="auto"/>
              <w:right w:val="single" w:sz="4" w:space="0" w:color="auto"/>
            </w:tcBorders>
          </w:tcPr>
          <w:p w14:paraId="71FC390A" w14:textId="77777777" w:rsidR="00E57DAA" w:rsidRDefault="00AC4185">
            <w:pPr>
              <w:autoSpaceDE w:val="0"/>
              <w:autoSpaceDN w:val="0"/>
              <w:adjustRightInd w:val="0"/>
              <w:jc w:val="right"/>
              <w:rPr>
                <w:szCs w:val="21"/>
              </w:rPr>
            </w:pPr>
            <w:r>
              <w:t>35,398.23</w:t>
            </w:r>
          </w:p>
        </w:tc>
      </w:tr>
      <w:tr w:rsidR="00E57DAA" w14:paraId="4B36978F" w14:textId="77777777">
        <w:tc>
          <w:tcPr>
            <w:tcW w:w="640" w:type="pct"/>
            <w:tcBorders>
              <w:top w:val="single" w:sz="4" w:space="0" w:color="auto"/>
              <w:left w:val="single" w:sz="4" w:space="0" w:color="auto"/>
              <w:bottom w:val="single" w:sz="4" w:space="0" w:color="auto"/>
              <w:right w:val="single" w:sz="4" w:space="0" w:color="auto"/>
            </w:tcBorders>
            <w:vAlign w:val="center"/>
          </w:tcPr>
          <w:p w14:paraId="51D34E3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26C6488" w14:textId="77777777" w:rsidR="00E57DAA" w:rsidRDefault="00AC4185">
            <w:pPr>
              <w:autoSpaceDE w:val="0"/>
              <w:autoSpaceDN w:val="0"/>
              <w:adjustRightInd w:val="0"/>
              <w:rPr>
                <w:szCs w:val="21"/>
              </w:rPr>
            </w:pPr>
            <w:r>
              <w:t>南阳中联卧龙水泥有限公司</w:t>
            </w:r>
          </w:p>
        </w:tc>
        <w:tc>
          <w:tcPr>
            <w:tcW w:w="1059" w:type="pct"/>
            <w:tcBorders>
              <w:top w:val="single" w:sz="4" w:space="0" w:color="auto"/>
              <w:left w:val="single" w:sz="4" w:space="0" w:color="auto"/>
              <w:bottom w:val="single" w:sz="4" w:space="0" w:color="auto"/>
              <w:right w:val="single" w:sz="4" w:space="0" w:color="auto"/>
            </w:tcBorders>
          </w:tcPr>
          <w:p w14:paraId="03597300" w14:textId="77777777" w:rsidR="00E57DAA" w:rsidRDefault="00AC4185">
            <w:pPr>
              <w:autoSpaceDE w:val="0"/>
              <w:autoSpaceDN w:val="0"/>
              <w:adjustRightInd w:val="0"/>
              <w:jc w:val="right"/>
              <w:rPr>
                <w:szCs w:val="21"/>
              </w:rPr>
            </w:pPr>
            <w:r>
              <w:t>34,867.26</w:t>
            </w:r>
          </w:p>
        </w:tc>
        <w:tc>
          <w:tcPr>
            <w:tcW w:w="1407" w:type="pct"/>
            <w:tcBorders>
              <w:top w:val="single" w:sz="4" w:space="0" w:color="auto"/>
              <w:left w:val="single" w:sz="4" w:space="0" w:color="auto"/>
              <w:bottom w:val="single" w:sz="4" w:space="0" w:color="auto"/>
              <w:right w:val="single" w:sz="4" w:space="0" w:color="auto"/>
            </w:tcBorders>
          </w:tcPr>
          <w:p w14:paraId="199D8651" w14:textId="77777777" w:rsidR="00E57DAA" w:rsidRDefault="00AC4185">
            <w:pPr>
              <w:autoSpaceDE w:val="0"/>
              <w:autoSpaceDN w:val="0"/>
              <w:adjustRightInd w:val="0"/>
              <w:jc w:val="right"/>
              <w:rPr>
                <w:szCs w:val="21"/>
              </w:rPr>
            </w:pPr>
            <w:r>
              <w:t>3,274.34</w:t>
            </w:r>
          </w:p>
        </w:tc>
      </w:tr>
      <w:tr w:rsidR="00E57DAA" w14:paraId="6FE7B690" w14:textId="77777777">
        <w:tc>
          <w:tcPr>
            <w:tcW w:w="640" w:type="pct"/>
            <w:tcBorders>
              <w:top w:val="single" w:sz="4" w:space="0" w:color="auto"/>
              <w:left w:val="single" w:sz="4" w:space="0" w:color="auto"/>
              <w:bottom w:val="single" w:sz="4" w:space="0" w:color="auto"/>
              <w:right w:val="single" w:sz="4" w:space="0" w:color="auto"/>
            </w:tcBorders>
            <w:vAlign w:val="center"/>
          </w:tcPr>
          <w:p w14:paraId="0861236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1977006" w14:textId="77777777" w:rsidR="00E57DAA" w:rsidRDefault="00AC4185">
            <w:pPr>
              <w:autoSpaceDE w:val="0"/>
              <w:autoSpaceDN w:val="0"/>
              <w:adjustRightInd w:val="0"/>
              <w:rPr>
                <w:szCs w:val="21"/>
              </w:rPr>
            </w:pPr>
            <w:r>
              <w:t>含山南方水泥有限公司</w:t>
            </w:r>
          </w:p>
        </w:tc>
        <w:tc>
          <w:tcPr>
            <w:tcW w:w="1059" w:type="pct"/>
            <w:tcBorders>
              <w:top w:val="single" w:sz="4" w:space="0" w:color="auto"/>
              <w:left w:val="single" w:sz="4" w:space="0" w:color="auto"/>
              <w:bottom w:val="single" w:sz="4" w:space="0" w:color="auto"/>
              <w:right w:val="single" w:sz="4" w:space="0" w:color="auto"/>
            </w:tcBorders>
          </w:tcPr>
          <w:p w14:paraId="79B14E99" w14:textId="77777777" w:rsidR="00E57DAA" w:rsidRDefault="00AC4185">
            <w:pPr>
              <w:autoSpaceDE w:val="0"/>
              <w:autoSpaceDN w:val="0"/>
              <w:adjustRightInd w:val="0"/>
              <w:jc w:val="right"/>
              <w:rPr>
                <w:szCs w:val="21"/>
              </w:rPr>
            </w:pPr>
            <w:r>
              <w:t>34,771.72</w:t>
            </w:r>
          </w:p>
        </w:tc>
        <w:tc>
          <w:tcPr>
            <w:tcW w:w="1407" w:type="pct"/>
            <w:tcBorders>
              <w:top w:val="single" w:sz="4" w:space="0" w:color="auto"/>
              <w:left w:val="single" w:sz="4" w:space="0" w:color="auto"/>
              <w:bottom w:val="single" w:sz="4" w:space="0" w:color="auto"/>
              <w:right w:val="single" w:sz="4" w:space="0" w:color="auto"/>
            </w:tcBorders>
          </w:tcPr>
          <w:p w14:paraId="22213B2B" w14:textId="77777777" w:rsidR="00E57DAA" w:rsidRDefault="00AC4185">
            <w:pPr>
              <w:autoSpaceDE w:val="0"/>
              <w:autoSpaceDN w:val="0"/>
              <w:adjustRightInd w:val="0"/>
              <w:jc w:val="right"/>
              <w:rPr>
                <w:szCs w:val="21"/>
              </w:rPr>
            </w:pPr>
            <w:r>
              <w:t xml:space="preserve">　</w:t>
            </w:r>
          </w:p>
        </w:tc>
      </w:tr>
      <w:tr w:rsidR="00E57DAA" w14:paraId="27D94585" w14:textId="77777777">
        <w:tc>
          <w:tcPr>
            <w:tcW w:w="640" w:type="pct"/>
            <w:tcBorders>
              <w:top w:val="single" w:sz="4" w:space="0" w:color="auto"/>
              <w:left w:val="single" w:sz="4" w:space="0" w:color="auto"/>
              <w:bottom w:val="single" w:sz="4" w:space="0" w:color="auto"/>
              <w:right w:val="single" w:sz="4" w:space="0" w:color="auto"/>
            </w:tcBorders>
            <w:vAlign w:val="center"/>
          </w:tcPr>
          <w:p w14:paraId="2753994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D2B8F5B" w14:textId="77777777" w:rsidR="00E57DAA" w:rsidRDefault="00AC4185">
            <w:pPr>
              <w:autoSpaceDE w:val="0"/>
              <w:autoSpaceDN w:val="0"/>
              <w:adjustRightInd w:val="0"/>
              <w:rPr>
                <w:szCs w:val="21"/>
              </w:rPr>
            </w:pPr>
            <w:r>
              <w:t>富民金锐水泥建材有限责任公司</w:t>
            </w:r>
          </w:p>
        </w:tc>
        <w:tc>
          <w:tcPr>
            <w:tcW w:w="1059" w:type="pct"/>
            <w:tcBorders>
              <w:top w:val="single" w:sz="4" w:space="0" w:color="auto"/>
              <w:left w:val="single" w:sz="4" w:space="0" w:color="auto"/>
              <w:bottom w:val="single" w:sz="4" w:space="0" w:color="auto"/>
              <w:right w:val="single" w:sz="4" w:space="0" w:color="auto"/>
            </w:tcBorders>
          </w:tcPr>
          <w:p w14:paraId="1B27851B" w14:textId="77777777" w:rsidR="00E57DAA" w:rsidRDefault="00AC4185">
            <w:pPr>
              <w:autoSpaceDE w:val="0"/>
              <w:autoSpaceDN w:val="0"/>
              <w:adjustRightInd w:val="0"/>
              <w:jc w:val="right"/>
              <w:rPr>
                <w:szCs w:val="21"/>
              </w:rPr>
            </w:pPr>
            <w:r>
              <w:t>30,270.27</w:t>
            </w:r>
          </w:p>
        </w:tc>
        <w:tc>
          <w:tcPr>
            <w:tcW w:w="1407" w:type="pct"/>
            <w:tcBorders>
              <w:top w:val="single" w:sz="4" w:space="0" w:color="auto"/>
              <w:left w:val="single" w:sz="4" w:space="0" w:color="auto"/>
              <w:bottom w:val="single" w:sz="4" w:space="0" w:color="auto"/>
              <w:right w:val="single" w:sz="4" w:space="0" w:color="auto"/>
            </w:tcBorders>
          </w:tcPr>
          <w:p w14:paraId="562A17A0" w14:textId="77777777" w:rsidR="00E57DAA" w:rsidRDefault="00AC4185">
            <w:pPr>
              <w:autoSpaceDE w:val="0"/>
              <w:autoSpaceDN w:val="0"/>
              <w:adjustRightInd w:val="0"/>
              <w:jc w:val="right"/>
              <w:rPr>
                <w:szCs w:val="21"/>
              </w:rPr>
            </w:pPr>
            <w:r>
              <w:t xml:space="preserve">　</w:t>
            </w:r>
          </w:p>
        </w:tc>
      </w:tr>
      <w:tr w:rsidR="00E57DAA" w14:paraId="030B5E76" w14:textId="77777777">
        <w:tc>
          <w:tcPr>
            <w:tcW w:w="640" w:type="pct"/>
            <w:tcBorders>
              <w:top w:val="single" w:sz="4" w:space="0" w:color="auto"/>
              <w:left w:val="single" w:sz="4" w:space="0" w:color="auto"/>
              <w:bottom w:val="single" w:sz="4" w:space="0" w:color="auto"/>
              <w:right w:val="single" w:sz="4" w:space="0" w:color="auto"/>
            </w:tcBorders>
            <w:vAlign w:val="center"/>
          </w:tcPr>
          <w:p w14:paraId="554CC47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D1A48E5" w14:textId="77777777" w:rsidR="00E57DAA" w:rsidRDefault="00AC4185">
            <w:pPr>
              <w:autoSpaceDE w:val="0"/>
              <w:autoSpaceDN w:val="0"/>
              <w:adjustRightInd w:val="0"/>
              <w:rPr>
                <w:szCs w:val="21"/>
              </w:rPr>
            </w:pPr>
            <w:r>
              <w:t>云南普洱西南水泥有限公司</w:t>
            </w:r>
          </w:p>
        </w:tc>
        <w:tc>
          <w:tcPr>
            <w:tcW w:w="1059" w:type="pct"/>
            <w:tcBorders>
              <w:top w:val="single" w:sz="4" w:space="0" w:color="auto"/>
              <w:left w:val="single" w:sz="4" w:space="0" w:color="auto"/>
              <w:bottom w:val="single" w:sz="4" w:space="0" w:color="auto"/>
              <w:right w:val="single" w:sz="4" w:space="0" w:color="auto"/>
            </w:tcBorders>
          </w:tcPr>
          <w:p w14:paraId="746B6B74" w14:textId="77777777" w:rsidR="00E57DAA" w:rsidRDefault="00AC4185">
            <w:pPr>
              <w:autoSpaceDE w:val="0"/>
              <w:autoSpaceDN w:val="0"/>
              <w:adjustRightInd w:val="0"/>
              <w:jc w:val="right"/>
              <w:rPr>
                <w:szCs w:val="21"/>
              </w:rPr>
            </w:pPr>
            <w:r>
              <w:t>28,378.38</w:t>
            </w:r>
          </w:p>
        </w:tc>
        <w:tc>
          <w:tcPr>
            <w:tcW w:w="1407" w:type="pct"/>
            <w:tcBorders>
              <w:top w:val="single" w:sz="4" w:space="0" w:color="auto"/>
              <w:left w:val="single" w:sz="4" w:space="0" w:color="auto"/>
              <w:bottom w:val="single" w:sz="4" w:space="0" w:color="auto"/>
              <w:right w:val="single" w:sz="4" w:space="0" w:color="auto"/>
            </w:tcBorders>
          </w:tcPr>
          <w:p w14:paraId="5806417E" w14:textId="77777777" w:rsidR="00E57DAA" w:rsidRDefault="00AC4185">
            <w:pPr>
              <w:autoSpaceDE w:val="0"/>
              <w:autoSpaceDN w:val="0"/>
              <w:adjustRightInd w:val="0"/>
              <w:jc w:val="right"/>
              <w:rPr>
                <w:szCs w:val="21"/>
              </w:rPr>
            </w:pPr>
            <w:r>
              <w:t xml:space="preserve">　</w:t>
            </w:r>
          </w:p>
        </w:tc>
      </w:tr>
      <w:tr w:rsidR="00E57DAA" w14:paraId="693FA97C" w14:textId="77777777">
        <w:tc>
          <w:tcPr>
            <w:tcW w:w="640" w:type="pct"/>
            <w:tcBorders>
              <w:top w:val="single" w:sz="4" w:space="0" w:color="auto"/>
              <w:left w:val="single" w:sz="4" w:space="0" w:color="auto"/>
              <w:bottom w:val="single" w:sz="4" w:space="0" w:color="auto"/>
              <w:right w:val="single" w:sz="4" w:space="0" w:color="auto"/>
            </w:tcBorders>
            <w:vAlign w:val="center"/>
          </w:tcPr>
          <w:p w14:paraId="6633869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1C04C9E" w14:textId="77777777" w:rsidR="00E57DAA" w:rsidRDefault="00AC4185">
            <w:pPr>
              <w:autoSpaceDE w:val="0"/>
              <w:autoSpaceDN w:val="0"/>
              <w:adjustRightInd w:val="0"/>
              <w:rPr>
                <w:szCs w:val="21"/>
              </w:rPr>
            </w:pPr>
            <w:r>
              <w:t>中材常德水泥有限责任公司</w:t>
            </w:r>
          </w:p>
        </w:tc>
        <w:tc>
          <w:tcPr>
            <w:tcW w:w="1059" w:type="pct"/>
            <w:tcBorders>
              <w:top w:val="single" w:sz="4" w:space="0" w:color="auto"/>
              <w:left w:val="single" w:sz="4" w:space="0" w:color="auto"/>
              <w:bottom w:val="single" w:sz="4" w:space="0" w:color="auto"/>
              <w:right w:val="single" w:sz="4" w:space="0" w:color="auto"/>
            </w:tcBorders>
          </w:tcPr>
          <w:p w14:paraId="2948257D" w14:textId="77777777" w:rsidR="00E57DAA" w:rsidRDefault="00AC4185">
            <w:pPr>
              <w:autoSpaceDE w:val="0"/>
              <w:autoSpaceDN w:val="0"/>
              <w:adjustRightInd w:val="0"/>
              <w:jc w:val="right"/>
              <w:rPr>
                <w:szCs w:val="21"/>
              </w:rPr>
            </w:pPr>
            <w:r>
              <w:t>28,141.59</w:t>
            </w:r>
          </w:p>
        </w:tc>
        <w:tc>
          <w:tcPr>
            <w:tcW w:w="1407" w:type="pct"/>
            <w:tcBorders>
              <w:top w:val="single" w:sz="4" w:space="0" w:color="auto"/>
              <w:left w:val="single" w:sz="4" w:space="0" w:color="auto"/>
              <w:bottom w:val="single" w:sz="4" w:space="0" w:color="auto"/>
              <w:right w:val="single" w:sz="4" w:space="0" w:color="auto"/>
            </w:tcBorders>
          </w:tcPr>
          <w:p w14:paraId="4FD2E8F4" w14:textId="77777777" w:rsidR="00E57DAA" w:rsidRDefault="00AC4185">
            <w:pPr>
              <w:autoSpaceDE w:val="0"/>
              <w:autoSpaceDN w:val="0"/>
              <w:adjustRightInd w:val="0"/>
              <w:jc w:val="right"/>
              <w:rPr>
                <w:szCs w:val="21"/>
              </w:rPr>
            </w:pPr>
            <w:r>
              <w:t>26,548.67</w:t>
            </w:r>
          </w:p>
        </w:tc>
      </w:tr>
      <w:tr w:rsidR="00E57DAA" w14:paraId="2F11282E" w14:textId="77777777">
        <w:tc>
          <w:tcPr>
            <w:tcW w:w="640" w:type="pct"/>
            <w:tcBorders>
              <w:top w:val="single" w:sz="4" w:space="0" w:color="auto"/>
              <w:left w:val="single" w:sz="4" w:space="0" w:color="auto"/>
              <w:bottom w:val="single" w:sz="4" w:space="0" w:color="auto"/>
              <w:right w:val="single" w:sz="4" w:space="0" w:color="auto"/>
            </w:tcBorders>
            <w:vAlign w:val="center"/>
          </w:tcPr>
          <w:p w14:paraId="4A55F9E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F5FDB91" w14:textId="77777777" w:rsidR="00E57DAA" w:rsidRDefault="00AC4185">
            <w:pPr>
              <w:autoSpaceDE w:val="0"/>
              <w:autoSpaceDN w:val="0"/>
              <w:adjustRightInd w:val="0"/>
              <w:rPr>
                <w:szCs w:val="21"/>
              </w:rPr>
            </w:pPr>
            <w:r>
              <w:t>富蕴天山水泥有限责任公司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7B7737AB" w14:textId="77777777" w:rsidR="00E57DAA" w:rsidRDefault="00AC4185">
            <w:pPr>
              <w:autoSpaceDE w:val="0"/>
              <w:autoSpaceDN w:val="0"/>
              <w:adjustRightInd w:val="0"/>
              <w:jc w:val="right"/>
              <w:rPr>
                <w:szCs w:val="21"/>
              </w:rPr>
            </w:pPr>
            <w:r>
              <w:t>25,661.38</w:t>
            </w:r>
          </w:p>
        </w:tc>
        <w:tc>
          <w:tcPr>
            <w:tcW w:w="1407" w:type="pct"/>
            <w:tcBorders>
              <w:top w:val="single" w:sz="4" w:space="0" w:color="auto"/>
              <w:left w:val="single" w:sz="4" w:space="0" w:color="auto"/>
              <w:bottom w:val="single" w:sz="4" w:space="0" w:color="auto"/>
              <w:right w:val="single" w:sz="4" w:space="0" w:color="auto"/>
            </w:tcBorders>
          </w:tcPr>
          <w:p w14:paraId="279F8DD7" w14:textId="77777777" w:rsidR="00E57DAA" w:rsidRDefault="00AC4185">
            <w:pPr>
              <w:autoSpaceDE w:val="0"/>
              <w:autoSpaceDN w:val="0"/>
              <w:adjustRightInd w:val="0"/>
              <w:jc w:val="right"/>
              <w:rPr>
                <w:szCs w:val="21"/>
              </w:rPr>
            </w:pPr>
            <w:r>
              <w:t>5,291,132.55</w:t>
            </w:r>
          </w:p>
        </w:tc>
      </w:tr>
      <w:tr w:rsidR="00E57DAA" w14:paraId="4C8ACA74" w14:textId="77777777">
        <w:tc>
          <w:tcPr>
            <w:tcW w:w="640" w:type="pct"/>
            <w:tcBorders>
              <w:top w:val="single" w:sz="4" w:space="0" w:color="auto"/>
              <w:left w:val="single" w:sz="4" w:space="0" w:color="auto"/>
              <w:bottom w:val="single" w:sz="4" w:space="0" w:color="auto"/>
              <w:right w:val="single" w:sz="4" w:space="0" w:color="auto"/>
            </w:tcBorders>
            <w:vAlign w:val="center"/>
          </w:tcPr>
          <w:p w14:paraId="403F339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3AB219D" w14:textId="77777777" w:rsidR="00E57DAA" w:rsidRDefault="00AC4185">
            <w:pPr>
              <w:autoSpaceDE w:val="0"/>
              <w:autoSpaceDN w:val="0"/>
              <w:adjustRightInd w:val="0"/>
              <w:rPr>
                <w:szCs w:val="21"/>
              </w:rPr>
            </w:pPr>
            <w:r>
              <w:t>曲阜中联水泥有限公司</w:t>
            </w:r>
          </w:p>
        </w:tc>
        <w:tc>
          <w:tcPr>
            <w:tcW w:w="1059" w:type="pct"/>
            <w:tcBorders>
              <w:top w:val="single" w:sz="4" w:space="0" w:color="auto"/>
              <w:left w:val="single" w:sz="4" w:space="0" w:color="auto"/>
              <w:bottom w:val="single" w:sz="4" w:space="0" w:color="auto"/>
              <w:right w:val="single" w:sz="4" w:space="0" w:color="auto"/>
            </w:tcBorders>
          </w:tcPr>
          <w:p w14:paraId="6735643E" w14:textId="77777777" w:rsidR="00E57DAA" w:rsidRDefault="00AC4185">
            <w:pPr>
              <w:autoSpaceDE w:val="0"/>
              <w:autoSpaceDN w:val="0"/>
              <w:adjustRightInd w:val="0"/>
              <w:jc w:val="right"/>
              <w:rPr>
                <w:szCs w:val="21"/>
              </w:rPr>
            </w:pPr>
            <w:r>
              <w:t>22,123.90</w:t>
            </w:r>
          </w:p>
        </w:tc>
        <w:tc>
          <w:tcPr>
            <w:tcW w:w="1407" w:type="pct"/>
            <w:tcBorders>
              <w:top w:val="single" w:sz="4" w:space="0" w:color="auto"/>
              <w:left w:val="single" w:sz="4" w:space="0" w:color="auto"/>
              <w:bottom w:val="single" w:sz="4" w:space="0" w:color="auto"/>
              <w:right w:val="single" w:sz="4" w:space="0" w:color="auto"/>
            </w:tcBorders>
          </w:tcPr>
          <w:p w14:paraId="0653810F" w14:textId="77777777" w:rsidR="00E57DAA" w:rsidRDefault="00AC4185">
            <w:pPr>
              <w:autoSpaceDE w:val="0"/>
              <w:autoSpaceDN w:val="0"/>
              <w:adjustRightInd w:val="0"/>
              <w:jc w:val="right"/>
              <w:rPr>
                <w:szCs w:val="21"/>
              </w:rPr>
            </w:pPr>
            <w:r>
              <w:t>22,123.89</w:t>
            </w:r>
          </w:p>
        </w:tc>
      </w:tr>
      <w:tr w:rsidR="00E57DAA" w14:paraId="057D6B40" w14:textId="77777777">
        <w:tc>
          <w:tcPr>
            <w:tcW w:w="640" w:type="pct"/>
            <w:tcBorders>
              <w:top w:val="single" w:sz="4" w:space="0" w:color="auto"/>
              <w:left w:val="single" w:sz="4" w:space="0" w:color="auto"/>
              <w:bottom w:val="single" w:sz="4" w:space="0" w:color="auto"/>
              <w:right w:val="single" w:sz="4" w:space="0" w:color="auto"/>
            </w:tcBorders>
            <w:vAlign w:val="center"/>
          </w:tcPr>
          <w:p w14:paraId="0385B23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B1294F0" w14:textId="77777777" w:rsidR="00E57DAA" w:rsidRDefault="00AC4185">
            <w:pPr>
              <w:autoSpaceDE w:val="0"/>
              <w:autoSpaceDN w:val="0"/>
              <w:adjustRightInd w:val="0"/>
              <w:rPr>
                <w:szCs w:val="21"/>
              </w:rPr>
            </w:pPr>
            <w:r>
              <w:t>白山北方水泥有限公司</w:t>
            </w:r>
          </w:p>
        </w:tc>
        <w:tc>
          <w:tcPr>
            <w:tcW w:w="1059" w:type="pct"/>
            <w:tcBorders>
              <w:top w:val="single" w:sz="4" w:space="0" w:color="auto"/>
              <w:left w:val="single" w:sz="4" w:space="0" w:color="auto"/>
              <w:bottom w:val="single" w:sz="4" w:space="0" w:color="auto"/>
              <w:right w:val="single" w:sz="4" w:space="0" w:color="auto"/>
            </w:tcBorders>
          </w:tcPr>
          <w:p w14:paraId="52E8946D" w14:textId="77777777" w:rsidR="00E57DAA" w:rsidRDefault="00AC4185">
            <w:pPr>
              <w:autoSpaceDE w:val="0"/>
              <w:autoSpaceDN w:val="0"/>
              <w:adjustRightInd w:val="0"/>
              <w:jc w:val="right"/>
              <w:rPr>
                <w:szCs w:val="21"/>
              </w:rPr>
            </w:pPr>
            <w:r>
              <w:t>21,306.31</w:t>
            </w:r>
          </w:p>
        </w:tc>
        <w:tc>
          <w:tcPr>
            <w:tcW w:w="1407" w:type="pct"/>
            <w:tcBorders>
              <w:top w:val="single" w:sz="4" w:space="0" w:color="auto"/>
              <w:left w:val="single" w:sz="4" w:space="0" w:color="auto"/>
              <w:bottom w:val="single" w:sz="4" w:space="0" w:color="auto"/>
              <w:right w:val="single" w:sz="4" w:space="0" w:color="auto"/>
            </w:tcBorders>
          </w:tcPr>
          <w:p w14:paraId="3F930040" w14:textId="77777777" w:rsidR="00E57DAA" w:rsidRDefault="00AC4185">
            <w:pPr>
              <w:autoSpaceDE w:val="0"/>
              <w:autoSpaceDN w:val="0"/>
              <w:adjustRightInd w:val="0"/>
              <w:jc w:val="right"/>
              <w:rPr>
                <w:szCs w:val="21"/>
              </w:rPr>
            </w:pPr>
            <w:r>
              <w:t>20,929.20</w:t>
            </w:r>
          </w:p>
        </w:tc>
      </w:tr>
      <w:tr w:rsidR="00E57DAA" w14:paraId="3709E856" w14:textId="77777777">
        <w:tc>
          <w:tcPr>
            <w:tcW w:w="640" w:type="pct"/>
            <w:tcBorders>
              <w:top w:val="single" w:sz="4" w:space="0" w:color="auto"/>
              <w:left w:val="single" w:sz="4" w:space="0" w:color="auto"/>
              <w:bottom w:val="single" w:sz="4" w:space="0" w:color="auto"/>
              <w:right w:val="single" w:sz="4" w:space="0" w:color="auto"/>
            </w:tcBorders>
            <w:vAlign w:val="center"/>
          </w:tcPr>
          <w:p w14:paraId="37881B1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B850F75" w14:textId="77777777" w:rsidR="00E57DAA" w:rsidRDefault="00AC4185">
            <w:pPr>
              <w:autoSpaceDE w:val="0"/>
              <w:autoSpaceDN w:val="0"/>
              <w:adjustRightInd w:val="0"/>
              <w:rPr>
                <w:szCs w:val="21"/>
              </w:rPr>
            </w:pPr>
            <w:r>
              <w:t>宁夏建材集团股份有限公司</w:t>
            </w:r>
          </w:p>
        </w:tc>
        <w:tc>
          <w:tcPr>
            <w:tcW w:w="1059" w:type="pct"/>
            <w:tcBorders>
              <w:top w:val="single" w:sz="4" w:space="0" w:color="auto"/>
              <w:left w:val="single" w:sz="4" w:space="0" w:color="auto"/>
              <w:bottom w:val="single" w:sz="4" w:space="0" w:color="auto"/>
              <w:right w:val="single" w:sz="4" w:space="0" w:color="auto"/>
            </w:tcBorders>
          </w:tcPr>
          <w:p w14:paraId="3AAEF93C" w14:textId="77777777" w:rsidR="00E57DAA" w:rsidRDefault="00AC4185">
            <w:pPr>
              <w:autoSpaceDE w:val="0"/>
              <w:autoSpaceDN w:val="0"/>
              <w:adjustRightInd w:val="0"/>
              <w:jc w:val="right"/>
              <w:rPr>
                <w:szCs w:val="21"/>
              </w:rPr>
            </w:pPr>
            <w:r>
              <w:t>20,654.87</w:t>
            </w:r>
          </w:p>
        </w:tc>
        <w:tc>
          <w:tcPr>
            <w:tcW w:w="1407" w:type="pct"/>
            <w:tcBorders>
              <w:top w:val="single" w:sz="4" w:space="0" w:color="auto"/>
              <w:left w:val="single" w:sz="4" w:space="0" w:color="auto"/>
              <w:bottom w:val="single" w:sz="4" w:space="0" w:color="auto"/>
              <w:right w:val="single" w:sz="4" w:space="0" w:color="auto"/>
            </w:tcBorders>
          </w:tcPr>
          <w:p w14:paraId="659C44D7" w14:textId="77777777" w:rsidR="00E57DAA" w:rsidRDefault="00AC4185">
            <w:pPr>
              <w:autoSpaceDE w:val="0"/>
              <w:autoSpaceDN w:val="0"/>
              <w:adjustRightInd w:val="0"/>
              <w:jc w:val="right"/>
              <w:rPr>
                <w:szCs w:val="21"/>
              </w:rPr>
            </w:pPr>
            <w:r>
              <w:t>20,654.87</w:t>
            </w:r>
          </w:p>
        </w:tc>
      </w:tr>
      <w:tr w:rsidR="00E57DAA" w14:paraId="4A9BE440" w14:textId="77777777">
        <w:tc>
          <w:tcPr>
            <w:tcW w:w="640" w:type="pct"/>
            <w:tcBorders>
              <w:top w:val="single" w:sz="4" w:space="0" w:color="auto"/>
              <w:left w:val="single" w:sz="4" w:space="0" w:color="auto"/>
              <w:bottom w:val="single" w:sz="4" w:space="0" w:color="auto"/>
              <w:right w:val="single" w:sz="4" w:space="0" w:color="auto"/>
            </w:tcBorders>
            <w:vAlign w:val="center"/>
          </w:tcPr>
          <w:p w14:paraId="12230B3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5727DB2" w14:textId="77777777" w:rsidR="00E57DAA" w:rsidRDefault="00AC4185">
            <w:pPr>
              <w:autoSpaceDE w:val="0"/>
              <w:autoSpaceDN w:val="0"/>
              <w:adjustRightInd w:val="0"/>
              <w:rPr>
                <w:szCs w:val="21"/>
              </w:rPr>
            </w:pPr>
            <w:r>
              <w:t>重庆綦江西南水泥有限公司</w:t>
            </w:r>
          </w:p>
        </w:tc>
        <w:tc>
          <w:tcPr>
            <w:tcW w:w="1059" w:type="pct"/>
            <w:tcBorders>
              <w:top w:val="single" w:sz="4" w:space="0" w:color="auto"/>
              <w:left w:val="single" w:sz="4" w:space="0" w:color="auto"/>
              <w:bottom w:val="single" w:sz="4" w:space="0" w:color="auto"/>
              <w:right w:val="single" w:sz="4" w:space="0" w:color="auto"/>
            </w:tcBorders>
          </w:tcPr>
          <w:p w14:paraId="744CF665" w14:textId="77777777" w:rsidR="00E57DAA" w:rsidRDefault="00AC4185">
            <w:pPr>
              <w:autoSpaceDE w:val="0"/>
              <w:autoSpaceDN w:val="0"/>
              <w:adjustRightInd w:val="0"/>
              <w:jc w:val="right"/>
              <w:rPr>
                <w:szCs w:val="21"/>
              </w:rPr>
            </w:pPr>
            <w:r>
              <w:t>18,732.74</w:t>
            </w:r>
          </w:p>
        </w:tc>
        <w:tc>
          <w:tcPr>
            <w:tcW w:w="1407" w:type="pct"/>
            <w:tcBorders>
              <w:top w:val="single" w:sz="4" w:space="0" w:color="auto"/>
              <w:left w:val="single" w:sz="4" w:space="0" w:color="auto"/>
              <w:bottom w:val="single" w:sz="4" w:space="0" w:color="auto"/>
              <w:right w:val="single" w:sz="4" w:space="0" w:color="auto"/>
            </w:tcBorders>
          </w:tcPr>
          <w:p w14:paraId="47956DA3" w14:textId="77777777" w:rsidR="00E57DAA" w:rsidRDefault="00AC4185">
            <w:pPr>
              <w:autoSpaceDE w:val="0"/>
              <w:autoSpaceDN w:val="0"/>
              <w:adjustRightInd w:val="0"/>
              <w:jc w:val="right"/>
              <w:rPr>
                <w:szCs w:val="21"/>
              </w:rPr>
            </w:pPr>
            <w:r>
              <w:t>1,723.89</w:t>
            </w:r>
          </w:p>
        </w:tc>
      </w:tr>
      <w:tr w:rsidR="00E57DAA" w14:paraId="16174CBB" w14:textId="77777777">
        <w:tc>
          <w:tcPr>
            <w:tcW w:w="640" w:type="pct"/>
            <w:tcBorders>
              <w:top w:val="single" w:sz="4" w:space="0" w:color="auto"/>
              <w:left w:val="single" w:sz="4" w:space="0" w:color="auto"/>
              <w:bottom w:val="single" w:sz="4" w:space="0" w:color="auto"/>
              <w:right w:val="single" w:sz="4" w:space="0" w:color="auto"/>
            </w:tcBorders>
            <w:vAlign w:val="center"/>
          </w:tcPr>
          <w:p w14:paraId="5990438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E7AF7BF" w14:textId="77777777" w:rsidR="00E57DAA" w:rsidRDefault="00AC4185">
            <w:pPr>
              <w:autoSpaceDE w:val="0"/>
              <w:autoSpaceDN w:val="0"/>
              <w:adjustRightInd w:val="0"/>
              <w:rPr>
                <w:szCs w:val="21"/>
              </w:rPr>
            </w:pPr>
            <w:r>
              <w:t>宁夏赛马水泥有限公司</w:t>
            </w:r>
          </w:p>
        </w:tc>
        <w:tc>
          <w:tcPr>
            <w:tcW w:w="1059" w:type="pct"/>
            <w:tcBorders>
              <w:top w:val="single" w:sz="4" w:space="0" w:color="auto"/>
              <w:left w:val="single" w:sz="4" w:space="0" w:color="auto"/>
              <w:bottom w:val="single" w:sz="4" w:space="0" w:color="auto"/>
              <w:right w:val="single" w:sz="4" w:space="0" w:color="auto"/>
            </w:tcBorders>
          </w:tcPr>
          <w:p w14:paraId="1E7F173B" w14:textId="77777777" w:rsidR="00E57DAA" w:rsidRDefault="00AC4185">
            <w:pPr>
              <w:autoSpaceDE w:val="0"/>
              <w:autoSpaceDN w:val="0"/>
              <w:adjustRightInd w:val="0"/>
              <w:jc w:val="right"/>
              <w:rPr>
                <w:szCs w:val="21"/>
              </w:rPr>
            </w:pPr>
            <w:r>
              <w:t>18,678.83</w:t>
            </w:r>
          </w:p>
        </w:tc>
        <w:tc>
          <w:tcPr>
            <w:tcW w:w="1407" w:type="pct"/>
            <w:tcBorders>
              <w:top w:val="single" w:sz="4" w:space="0" w:color="auto"/>
              <w:left w:val="single" w:sz="4" w:space="0" w:color="auto"/>
              <w:bottom w:val="single" w:sz="4" w:space="0" w:color="auto"/>
              <w:right w:val="single" w:sz="4" w:space="0" w:color="auto"/>
            </w:tcBorders>
          </w:tcPr>
          <w:p w14:paraId="0CAAF8CB" w14:textId="77777777" w:rsidR="00E57DAA" w:rsidRDefault="00AC4185">
            <w:pPr>
              <w:autoSpaceDE w:val="0"/>
              <w:autoSpaceDN w:val="0"/>
              <w:adjustRightInd w:val="0"/>
              <w:jc w:val="right"/>
              <w:rPr>
                <w:szCs w:val="21"/>
              </w:rPr>
            </w:pPr>
            <w:r>
              <w:t>11,238.94</w:t>
            </w:r>
          </w:p>
        </w:tc>
      </w:tr>
      <w:tr w:rsidR="00E57DAA" w14:paraId="09CAF2ED" w14:textId="77777777">
        <w:tc>
          <w:tcPr>
            <w:tcW w:w="640" w:type="pct"/>
            <w:tcBorders>
              <w:top w:val="single" w:sz="4" w:space="0" w:color="auto"/>
              <w:left w:val="single" w:sz="4" w:space="0" w:color="auto"/>
              <w:bottom w:val="single" w:sz="4" w:space="0" w:color="auto"/>
              <w:right w:val="single" w:sz="4" w:space="0" w:color="auto"/>
            </w:tcBorders>
            <w:vAlign w:val="center"/>
          </w:tcPr>
          <w:p w14:paraId="16E7524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34BB440" w14:textId="77777777" w:rsidR="00E57DAA" w:rsidRDefault="00AC4185">
            <w:pPr>
              <w:autoSpaceDE w:val="0"/>
              <w:autoSpaceDN w:val="0"/>
              <w:adjustRightInd w:val="0"/>
              <w:rPr>
                <w:szCs w:val="21"/>
              </w:rPr>
            </w:pPr>
            <w:r>
              <w:t>宜兴市阳港矿业有限公司</w:t>
            </w:r>
          </w:p>
        </w:tc>
        <w:tc>
          <w:tcPr>
            <w:tcW w:w="1059" w:type="pct"/>
            <w:tcBorders>
              <w:top w:val="single" w:sz="4" w:space="0" w:color="auto"/>
              <w:left w:val="single" w:sz="4" w:space="0" w:color="auto"/>
              <w:bottom w:val="single" w:sz="4" w:space="0" w:color="auto"/>
              <w:right w:val="single" w:sz="4" w:space="0" w:color="auto"/>
            </w:tcBorders>
          </w:tcPr>
          <w:p w14:paraId="4A4EC1E8" w14:textId="77777777" w:rsidR="00E57DAA" w:rsidRDefault="00AC4185">
            <w:pPr>
              <w:autoSpaceDE w:val="0"/>
              <w:autoSpaceDN w:val="0"/>
              <w:adjustRightInd w:val="0"/>
              <w:jc w:val="right"/>
              <w:rPr>
                <w:szCs w:val="21"/>
              </w:rPr>
            </w:pPr>
            <w:r>
              <w:t>18,018.02</w:t>
            </w:r>
          </w:p>
        </w:tc>
        <w:tc>
          <w:tcPr>
            <w:tcW w:w="1407" w:type="pct"/>
            <w:tcBorders>
              <w:top w:val="single" w:sz="4" w:space="0" w:color="auto"/>
              <w:left w:val="single" w:sz="4" w:space="0" w:color="auto"/>
              <w:bottom w:val="single" w:sz="4" w:space="0" w:color="auto"/>
              <w:right w:val="single" w:sz="4" w:space="0" w:color="auto"/>
            </w:tcBorders>
          </w:tcPr>
          <w:p w14:paraId="4A71C622" w14:textId="77777777" w:rsidR="00E57DAA" w:rsidRDefault="00AC4185">
            <w:pPr>
              <w:autoSpaceDE w:val="0"/>
              <w:autoSpaceDN w:val="0"/>
              <w:adjustRightInd w:val="0"/>
              <w:jc w:val="right"/>
              <w:rPr>
                <w:szCs w:val="21"/>
              </w:rPr>
            </w:pPr>
            <w:r>
              <w:t xml:space="preserve">　</w:t>
            </w:r>
          </w:p>
        </w:tc>
      </w:tr>
      <w:tr w:rsidR="00E57DAA" w14:paraId="70FCD4FA" w14:textId="77777777">
        <w:tc>
          <w:tcPr>
            <w:tcW w:w="640" w:type="pct"/>
            <w:tcBorders>
              <w:top w:val="single" w:sz="4" w:space="0" w:color="auto"/>
              <w:left w:val="single" w:sz="4" w:space="0" w:color="auto"/>
              <w:bottom w:val="single" w:sz="4" w:space="0" w:color="auto"/>
              <w:right w:val="single" w:sz="4" w:space="0" w:color="auto"/>
            </w:tcBorders>
            <w:vAlign w:val="center"/>
          </w:tcPr>
          <w:p w14:paraId="49D6292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7F52903" w14:textId="77777777" w:rsidR="00E57DAA" w:rsidRDefault="00AC4185">
            <w:pPr>
              <w:autoSpaceDE w:val="0"/>
              <w:autoSpaceDN w:val="0"/>
              <w:adjustRightInd w:val="0"/>
              <w:rPr>
                <w:szCs w:val="21"/>
              </w:rPr>
            </w:pPr>
            <w:r>
              <w:t>凌源市富源矿业有限责任公司</w:t>
            </w:r>
          </w:p>
        </w:tc>
        <w:tc>
          <w:tcPr>
            <w:tcW w:w="1059" w:type="pct"/>
            <w:tcBorders>
              <w:top w:val="single" w:sz="4" w:space="0" w:color="auto"/>
              <w:left w:val="single" w:sz="4" w:space="0" w:color="auto"/>
              <w:bottom w:val="single" w:sz="4" w:space="0" w:color="auto"/>
              <w:right w:val="single" w:sz="4" w:space="0" w:color="auto"/>
            </w:tcBorders>
          </w:tcPr>
          <w:p w14:paraId="5333373F" w14:textId="77777777" w:rsidR="00E57DAA" w:rsidRDefault="00AC4185">
            <w:pPr>
              <w:autoSpaceDE w:val="0"/>
              <w:autoSpaceDN w:val="0"/>
              <w:adjustRightInd w:val="0"/>
              <w:jc w:val="right"/>
              <w:rPr>
                <w:szCs w:val="21"/>
              </w:rPr>
            </w:pPr>
            <w:r>
              <w:t>17,699.12</w:t>
            </w:r>
          </w:p>
        </w:tc>
        <w:tc>
          <w:tcPr>
            <w:tcW w:w="1407" w:type="pct"/>
            <w:tcBorders>
              <w:top w:val="single" w:sz="4" w:space="0" w:color="auto"/>
              <w:left w:val="single" w:sz="4" w:space="0" w:color="auto"/>
              <w:bottom w:val="single" w:sz="4" w:space="0" w:color="auto"/>
              <w:right w:val="single" w:sz="4" w:space="0" w:color="auto"/>
            </w:tcBorders>
          </w:tcPr>
          <w:p w14:paraId="6EDB5FF3" w14:textId="77777777" w:rsidR="00E57DAA" w:rsidRDefault="00AC4185">
            <w:pPr>
              <w:autoSpaceDE w:val="0"/>
              <w:autoSpaceDN w:val="0"/>
              <w:adjustRightInd w:val="0"/>
              <w:jc w:val="right"/>
              <w:rPr>
                <w:szCs w:val="21"/>
              </w:rPr>
            </w:pPr>
            <w:r>
              <w:t>53,097.35</w:t>
            </w:r>
          </w:p>
        </w:tc>
      </w:tr>
      <w:tr w:rsidR="00E57DAA" w14:paraId="63310949" w14:textId="77777777">
        <w:tc>
          <w:tcPr>
            <w:tcW w:w="640" w:type="pct"/>
            <w:tcBorders>
              <w:top w:val="single" w:sz="4" w:space="0" w:color="auto"/>
              <w:left w:val="single" w:sz="4" w:space="0" w:color="auto"/>
              <w:bottom w:val="single" w:sz="4" w:space="0" w:color="auto"/>
              <w:right w:val="single" w:sz="4" w:space="0" w:color="auto"/>
            </w:tcBorders>
            <w:vAlign w:val="center"/>
          </w:tcPr>
          <w:p w14:paraId="2E8363A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1928F48" w14:textId="77777777" w:rsidR="00E57DAA" w:rsidRDefault="00AC4185">
            <w:pPr>
              <w:autoSpaceDE w:val="0"/>
              <w:autoSpaceDN w:val="0"/>
              <w:adjustRightInd w:val="0"/>
              <w:rPr>
                <w:szCs w:val="21"/>
              </w:rPr>
            </w:pPr>
            <w:r>
              <w:t>新疆米东天山水泥有限责任公司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6E8F6491" w14:textId="77777777" w:rsidR="00E57DAA" w:rsidRDefault="00AC4185">
            <w:pPr>
              <w:autoSpaceDE w:val="0"/>
              <w:autoSpaceDN w:val="0"/>
              <w:adjustRightInd w:val="0"/>
              <w:jc w:val="right"/>
              <w:rPr>
                <w:szCs w:val="21"/>
              </w:rPr>
            </w:pPr>
            <w:r>
              <w:t>17,699.12</w:t>
            </w:r>
          </w:p>
        </w:tc>
        <w:tc>
          <w:tcPr>
            <w:tcW w:w="1407" w:type="pct"/>
            <w:tcBorders>
              <w:top w:val="single" w:sz="4" w:space="0" w:color="auto"/>
              <w:left w:val="single" w:sz="4" w:space="0" w:color="auto"/>
              <w:bottom w:val="single" w:sz="4" w:space="0" w:color="auto"/>
              <w:right w:val="single" w:sz="4" w:space="0" w:color="auto"/>
            </w:tcBorders>
          </w:tcPr>
          <w:p w14:paraId="0E11FD59" w14:textId="77777777" w:rsidR="00E57DAA" w:rsidRDefault="00AC4185">
            <w:pPr>
              <w:autoSpaceDE w:val="0"/>
              <w:autoSpaceDN w:val="0"/>
              <w:adjustRightInd w:val="0"/>
              <w:jc w:val="right"/>
              <w:rPr>
                <w:szCs w:val="21"/>
              </w:rPr>
            </w:pPr>
            <w:r>
              <w:t xml:space="preserve">　</w:t>
            </w:r>
          </w:p>
        </w:tc>
      </w:tr>
      <w:tr w:rsidR="00E57DAA" w14:paraId="01CB9478" w14:textId="77777777">
        <w:tc>
          <w:tcPr>
            <w:tcW w:w="640" w:type="pct"/>
            <w:tcBorders>
              <w:top w:val="single" w:sz="4" w:space="0" w:color="auto"/>
              <w:left w:val="single" w:sz="4" w:space="0" w:color="auto"/>
              <w:bottom w:val="single" w:sz="4" w:space="0" w:color="auto"/>
              <w:right w:val="single" w:sz="4" w:space="0" w:color="auto"/>
            </w:tcBorders>
            <w:vAlign w:val="center"/>
          </w:tcPr>
          <w:p w14:paraId="6B3E1A1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87B1B9A" w14:textId="77777777" w:rsidR="00E57DAA" w:rsidRDefault="00AC4185">
            <w:pPr>
              <w:autoSpaceDE w:val="0"/>
              <w:autoSpaceDN w:val="0"/>
              <w:adjustRightInd w:val="0"/>
              <w:rPr>
                <w:szCs w:val="21"/>
              </w:rPr>
            </w:pPr>
            <w:r>
              <w:t>临城中联福石水泥有限公司</w:t>
            </w:r>
          </w:p>
        </w:tc>
        <w:tc>
          <w:tcPr>
            <w:tcW w:w="1059" w:type="pct"/>
            <w:tcBorders>
              <w:top w:val="single" w:sz="4" w:space="0" w:color="auto"/>
              <w:left w:val="single" w:sz="4" w:space="0" w:color="auto"/>
              <w:bottom w:val="single" w:sz="4" w:space="0" w:color="auto"/>
              <w:right w:val="single" w:sz="4" w:space="0" w:color="auto"/>
            </w:tcBorders>
          </w:tcPr>
          <w:p w14:paraId="35DEAE8D" w14:textId="77777777" w:rsidR="00E57DAA" w:rsidRDefault="00AC4185">
            <w:pPr>
              <w:autoSpaceDE w:val="0"/>
              <w:autoSpaceDN w:val="0"/>
              <w:adjustRightInd w:val="0"/>
              <w:jc w:val="right"/>
              <w:rPr>
                <w:szCs w:val="21"/>
              </w:rPr>
            </w:pPr>
            <w:r>
              <w:t>15,929.20</w:t>
            </w:r>
          </w:p>
        </w:tc>
        <w:tc>
          <w:tcPr>
            <w:tcW w:w="1407" w:type="pct"/>
            <w:tcBorders>
              <w:top w:val="single" w:sz="4" w:space="0" w:color="auto"/>
              <w:left w:val="single" w:sz="4" w:space="0" w:color="auto"/>
              <w:bottom w:val="single" w:sz="4" w:space="0" w:color="auto"/>
              <w:right w:val="single" w:sz="4" w:space="0" w:color="auto"/>
            </w:tcBorders>
          </w:tcPr>
          <w:p w14:paraId="3ADB1544" w14:textId="77777777" w:rsidR="00E57DAA" w:rsidRDefault="00AC4185">
            <w:pPr>
              <w:autoSpaceDE w:val="0"/>
              <w:autoSpaceDN w:val="0"/>
              <w:adjustRightInd w:val="0"/>
              <w:jc w:val="right"/>
              <w:rPr>
                <w:szCs w:val="21"/>
              </w:rPr>
            </w:pPr>
            <w:r>
              <w:t xml:space="preserve">　</w:t>
            </w:r>
          </w:p>
        </w:tc>
      </w:tr>
      <w:tr w:rsidR="00E57DAA" w14:paraId="1FC65617" w14:textId="77777777">
        <w:tc>
          <w:tcPr>
            <w:tcW w:w="640" w:type="pct"/>
            <w:tcBorders>
              <w:top w:val="single" w:sz="4" w:space="0" w:color="auto"/>
              <w:left w:val="single" w:sz="4" w:space="0" w:color="auto"/>
              <w:bottom w:val="single" w:sz="4" w:space="0" w:color="auto"/>
              <w:right w:val="single" w:sz="4" w:space="0" w:color="auto"/>
            </w:tcBorders>
            <w:vAlign w:val="center"/>
          </w:tcPr>
          <w:p w14:paraId="7A0B6CF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36175B1" w14:textId="77777777" w:rsidR="00E57DAA" w:rsidRDefault="00AC4185">
            <w:pPr>
              <w:autoSpaceDE w:val="0"/>
              <w:autoSpaceDN w:val="0"/>
              <w:adjustRightInd w:val="0"/>
              <w:rPr>
                <w:szCs w:val="21"/>
              </w:rPr>
            </w:pPr>
            <w:r>
              <w:t>四川利森建材集团有限公司</w:t>
            </w:r>
          </w:p>
        </w:tc>
        <w:tc>
          <w:tcPr>
            <w:tcW w:w="1059" w:type="pct"/>
            <w:tcBorders>
              <w:top w:val="single" w:sz="4" w:space="0" w:color="auto"/>
              <w:left w:val="single" w:sz="4" w:space="0" w:color="auto"/>
              <w:bottom w:val="single" w:sz="4" w:space="0" w:color="auto"/>
              <w:right w:val="single" w:sz="4" w:space="0" w:color="auto"/>
            </w:tcBorders>
          </w:tcPr>
          <w:p w14:paraId="6CECC5DD" w14:textId="77777777" w:rsidR="00E57DAA" w:rsidRDefault="00AC4185">
            <w:pPr>
              <w:autoSpaceDE w:val="0"/>
              <w:autoSpaceDN w:val="0"/>
              <w:adjustRightInd w:val="0"/>
              <w:jc w:val="right"/>
              <w:rPr>
                <w:szCs w:val="21"/>
              </w:rPr>
            </w:pPr>
            <w:r>
              <w:t>15,675.68</w:t>
            </w:r>
          </w:p>
        </w:tc>
        <w:tc>
          <w:tcPr>
            <w:tcW w:w="1407" w:type="pct"/>
            <w:tcBorders>
              <w:top w:val="single" w:sz="4" w:space="0" w:color="auto"/>
              <w:left w:val="single" w:sz="4" w:space="0" w:color="auto"/>
              <w:bottom w:val="single" w:sz="4" w:space="0" w:color="auto"/>
              <w:right w:val="single" w:sz="4" w:space="0" w:color="auto"/>
            </w:tcBorders>
          </w:tcPr>
          <w:p w14:paraId="526FA2D3" w14:textId="77777777" w:rsidR="00E57DAA" w:rsidRDefault="00AC4185">
            <w:pPr>
              <w:autoSpaceDE w:val="0"/>
              <w:autoSpaceDN w:val="0"/>
              <w:adjustRightInd w:val="0"/>
              <w:jc w:val="right"/>
              <w:rPr>
                <w:szCs w:val="21"/>
              </w:rPr>
            </w:pPr>
            <w:r>
              <w:t>29,734.51</w:t>
            </w:r>
          </w:p>
        </w:tc>
      </w:tr>
      <w:tr w:rsidR="00E57DAA" w14:paraId="0F5B672A" w14:textId="77777777">
        <w:tc>
          <w:tcPr>
            <w:tcW w:w="640" w:type="pct"/>
            <w:tcBorders>
              <w:top w:val="single" w:sz="4" w:space="0" w:color="auto"/>
              <w:left w:val="single" w:sz="4" w:space="0" w:color="auto"/>
              <w:bottom w:val="single" w:sz="4" w:space="0" w:color="auto"/>
              <w:right w:val="single" w:sz="4" w:space="0" w:color="auto"/>
            </w:tcBorders>
            <w:vAlign w:val="center"/>
          </w:tcPr>
          <w:p w14:paraId="16E1773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2A8328E" w14:textId="77777777" w:rsidR="00E57DAA" w:rsidRDefault="00AC4185">
            <w:pPr>
              <w:autoSpaceDE w:val="0"/>
              <w:autoSpaceDN w:val="0"/>
              <w:adjustRightInd w:val="0"/>
              <w:rPr>
                <w:szCs w:val="21"/>
              </w:rPr>
            </w:pPr>
            <w:r>
              <w:t>邵阳南方水泥有限公司</w:t>
            </w:r>
          </w:p>
        </w:tc>
        <w:tc>
          <w:tcPr>
            <w:tcW w:w="1059" w:type="pct"/>
            <w:tcBorders>
              <w:top w:val="single" w:sz="4" w:space="0" w:color="auto"/>
              <w:left w:val="single" w:sz="4" w:space="0" w:color="auto"/>
              <w:bottom w:val="single" w:sz="4" w:space="0" w:color="auto"/>
              <w:right w:val="single" w:sz="4" w:space="0" w:color="auto"/>
            </w:tcBorders>
          </w:tcPr>
          <w:p w14:paraId="69A851CB" w14:textId="77777777" w:rsidR="00E57DAA" w:rsidRDefault="00AC4185">
            <w:pPr>
              <w:autoSpaceDE w:val="0"/>
              <w:autoSpaceDN w:val="0"/>
              <w:adjustRightInd w:val="0"/>
              <w:jc w:val="right"/>
              <w:rPr>
                <w:szCs w:val="21"/>
              </w:rPr>
            </w:pPr>
            <w:r>
              <w:t>12,612.61</w:t>
            </w:r>
          </w:p>
        </w:tc>
        <w:tc>
          <w:tcPr>
            <w:tcW w:w="1407" w:type="pct"/>
            <w:tcBorders>
              <w:top w:val="single" w:sz="4" w:space="0" w:color="auto"/>
              <w:left w:val="single" w:sz="4" w:space="0" w:color="auto"/>
              <w:bottom w:val="single" w:sz="4" w:space="0" w:color="auto"/>
              <w:right w:val="single" w:sz="4" w:space="0" w:color="auto"/>
            </w:tcBorders>
          </w:tcPr>
          <w:p w14:paraId="7956BB46" w14:textId="77777777" w:rsidR="00E57DAA" w:rsidRDefault="00AC4185">
            <w:pPr>
              <w:autoSpaceDE w:val="0"/>
              <w:autoSpaceDN w:val="0"/>
              <w:adjustRightInd w:val="0"/>
              <w:jc w:val="right"/>
              <w:rPr>
                <w:szCs w:val="21"/>
              </w:rPr>
            </w:pPr>
            <w:r>
              <w:t>12,612.61</w:t>
            </w:r>
          </w:p>
        </w:tc>
      </w:tr>
      <w:tr w:rsidR="00E57DAA" w14:paraId="18FB198D" w14:textId="77777777">
        <w:tc>
          <w:tcPr>
            <w:tcW w:w="640" w:type="pct"/>
            <w:tcBorders>
              <w:top w:val="single" w:sz="4" w:space="0" w:color="auto"/>
              <w:left w:val="single" w:sz="4" w:space="0" w:color="auto"/>
              <w:bottom w:val="single" w:sz="4" w:space="0" w:color="auto"/>
              <w:right w:val="single" w:sz="4" w:space="0" w:color="auto"/>
            </w:tcBorders>
            <w:vAlign w:val="center"/>
          </w:tcPr>
          <w:p w14:paraId="40917E1D" w14:textId="77777777" w:rsidR="00E57DAA" w:rsidRDefault="00AC4185">
            <w:pPr>
              <w:autoSpaceDE w:val="0"/>
              <w:autoSpaceDN w:val="0"/>
              <w:adjustRightInd w:val="0"/>
              <w:rPr>
                <w:szCs w:val="21"/>
              </w:rPr>
            </w:pPr>
            <w:r>
              <w:lastRenderedPageBreak/>
              <w:t>合同负债</w:t>
            </w:r>
          </w:p>
        </w:tc>
        <w:tc>
          <w:tcPr>
            <w:tcW w:w="1894" w:type="pct"/>
            <w:tcBorders>
              <w:top w:val="single" w:sz="4" w:space="0" w:color="auto"/>
              <w:left w:val="single" w:sz="4" w:space="0" w:color="auto"/>
              <w:bottom w:val="single" w:sz="4" w:space="0" w:color="auto"/>
              <w:right w:val="single" w:sz="4" w:space="0" w:color="auto"/>
            </w:tcBorders>
          </w:tcPr>
          <w:p w14:paraId="289FFFCB" w14:textId="77777777" w:rsidR="00E57DAA" w:rsidRDefault="00AC4185">
            <w:pPr>
              <w:autoSpaceDE w:val="0"/>
              <w:autoSpaceDN w:val="0"/>
              <w:adjustRightInd w:val="0"/>
              <w:rPr>
                <w:szCs w:val="21"/>
              </w:rPr>
            </w:pPr>
            <w:r>
              <w:t>宁夏中宁赛马水泥有限公司</w:t>
            </w:r>
          </w:p>
        </w:tc>
        <w:tc>
          <w:tcPr>
            <w:tcW w:w="1059" w:type="pct"/>
            <w:tcBorders>
              <w:top w:val="single" w:sz="4" w:space="0" w:color="auto"/>
              <w:left w:val="single" w:sz="4" w:space="0" w:color="auto"/>
              <w:bottom w:val="single" w:sz="4" w:space="0" w:color="auto"/>
              <w:right w:val="single" w:sz="4" w:space="0" w:color="auto"/>
            </w:tcBorders>
          </w:tcPr>
          <w:p w14:paraId="1D24DFBF" w14:textId="77777777" w:rsidR="00E57DAA" w:rsidRDefault="00AC4185">
            <w:pPr>
              <w:autoSpaceDE w:val="0"/>
              <w:autoSpaceDN w:val="0"/>
              <w:adjustRightInd w:val="0"/>
              <w:jc w:val="right"/>
              <w:rPr>
                <w:szCs w:val="21"/>
              </w:rPr>
            </w:pPr>
            <w:r>
              <w:t>9,115.04</w:t>
            </w:r>
          </w:p>
        </w:tc>
        <w:tc>
          <w:tcPr>
            <w:tcW w:w="1407" w:type="pct"/>
            <w:tcBorders>
              <w:top w:val="single" w:sz="4" w:space="0" w:color="auto"/>
              <w:left w:val="single" w:sz="4" w:space="0" w:color="auto"/>
              <w:bottom w:val="single" w:sz="4" w:space="0" w:color="auto"/>
              <w:right w:val="single" w:sz="4" w:space="0" w:color="auto"/>
            </w:tcBorders>
          </w:tcPr>
          <w:p w14:paraId="2AA8636D" w14:textId="77777777" w:rsidR="00E57DAA" w:rsidRDefault="00AC4185">
            <w:pPr>
              <w:autoSpaceDE w:val="0"/>
              <w:autoSpaceDN w:val="0"/>
              <w:adjustRightInd w:val="0"/>
              <w:jc w:val="right"/>
              <w:rPr>
                <w:szCs w:val="21"/>
              </w:rPr>
            </w:pPr>
            <w:r>
              <w:t xml:space="preserve">　</w:t>
            </w:r>
          </w:p>
        </w:tc>
      </w:tr>
      <w:tr w:rsidR="00E57DAA" w14:paraId="47CA40AD" w14:textId="77777777">
        <w:tc>
          <w:tcPr>
            <w:tcW w:w="640" w:type="pct"/>
            <w:tcBorders>
              <w:top w:val="single" w:sz="4" w:space="0" w:color="auto"/>
              <w:left w:val="single" w:sz="4" w:space="0" w:color="auto"/>
              <w:bottom w:val="single" w:sz="4" w:space="0" w:color="auto"/>
              <w:right w:val="single" w:sz="4" w:space="0" w:color="auto"/>
            </w:tcBorders>
            <w:vAlign w:val="center"/>
          </w:tcPr>
          <w:p w14:paraId="740FFE9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4A7459F" w14:textId="77777777" w:rsidR="00E57DAA" w:rsidRDefault="00AC4185">
            <w:pPr>
              <w:autoSpaceDE w:val="0"/>
              <w:autoSpaceDN w:val="0"/>
              <w:adjustRightInd w:val="0"/>
              <w:rPr>
                <w:szCs w:val="21"/>
              </w:rPr>
            </w:pPr>
            <w:r>
              <w:t>伊春北方水泥有限公司</w:t>
            </w:r>
          </w:p>
        </w:tc>
        <w:tc>
          <w:tcPr>
            <w:tcW w:w="1059" w:type="pct"/>
            <w:tcBorders>
              <w:top w:val="single" w:sz="4" w:space="0" w:color="auto"/>
              <w:left w:val="single" w:sz="4" w:space="0" w:color="auto"/>
              <w:bottom w:val="single" w:sz="4" w:space="0" w:color="auto"/>
              <w:right w:val="single" w:sz="4" w:space="0" w:color="auto"/>
            </w:tcBorders>
          </w:tcPr>
          <w:p w14:paraId="402698FD" w14:textId="77777777" w:rsidR="00E57DAA" w:rsidRDefault="00AC4185">
            <w:pPr>
              <w:autoSpaceDE w:val="0"/>
              <w:autoSpaceDN w:val="0"/>
              <w:adjustRightInd w:val="0"/>
              <w:jc w:val="right"/>
              <w:rPr>
                <w:szCs w:val="21"/>
              </w:rPr>
            </w:pPr>
            <w:r>
              <w:t>7,115.04</w:t>
            </w:r>
          </w:p>
        </w:tc>
        <w:tc>
          <w:tcPr>
            <w:tcW w:w="1407" w:type="pct"/>
            <w:tcBorders>
              <w:top w:val="single" w:sz="4" w:space="0" w:color="auto"/>
              <w:left w:val="single" w:sz="4" w:space="0" w:color="auto"/>
              <w:bottom w:val="single" w:sz="4" w:space="0" w:color="auto"/>
              <w:right w:val="single" w:sz="4" w:space="0" w:color="auto"/>
            </w:tcBorders>
          </w:tcPr>
          <w:p w14:paraId="23C7EC8A" w14:textId="77777777" w:rsidR="00E57DAA" w:rsidRDefault="00AC4185">
            <w:pPr>
              <w:autoSpaceDE w:val="0"/>
              <w:autoSpaceDN w:val="0"/>
              <w:adjustRightInd w:val="0"/>
              <w:jc w:val="right"/>
              <w:rPr>
                <w:szCs w:val="21"/>
              </w:rPr>
            </w:pPr>
            <w:r>
              <w:t>20,884.96</w:t>
            </w:r>
          </w:p>
        </w:tc>
      </w:tr>
      <w:tr w:rsidR="00E57DAA" w14:paraId="58323EA4" w14:textId="77777777">
        <w:tc>
          <w:tcPr>
            <w:tcW w:w="640" w:type="pct"/>
            <w:tcBorders>
              <w:top w:val="single" w:sz="4" w:space="0" w:color="auto"/>
              <w:left w:val="single" w:sz="4" w:space="0" w:color="auto"/>
              <w:bottom w:val="single" w:sz="4" w:space="0" w:color="auto"/>
              <w:right w:val="single" w:sz="4" w:space="0" w:color="auto"/>
            </w:tcBorders>
            <w:vAlign w:val="center"/>
          </w:tcPr>
          <w:p w14:paraId="351FFED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77F8D31" w14:textId="77777777" w:rsidR="00E57DAA" w:rsidRDefault="00AC4185">
            <w:pPr>
              <w:autoSpaceDE w:val="0"/>
              <w:autoSpaceDN w:val="0"/>
              <w:adjustRightInd w:val="0"/>
              <w:rPr>
                <w:szCs w:val="21"/>
              </w:rPr>
            </w:pPr>
            <w:r>
              <w:t>四川省女娲建材有限公司</w:t>
            </w:r>
          </w:p>
        </w:tc>
        <w:tc>
          <w:tcPr>
            <w:tcW w:w="1059" w:type="pct"/>
            <w:tcBorders>
              <w:top w:val="single" w:sz="4" w:space="0" w:color="auto"/>
              <w:left w:val="single" w:sz="4" w:space="0" w:color="auto"/>
              <w:bottom w:val="single" w:sz="4" w:space="0" w:color="auto"/>
              <w:right w:val="single" w:sz="4" w:space="0" w:color="auto"/>
            </w:tcBorders>
          </w:tcPr>
          <w:p w14:paraId="63584E8A" w14:textId="77777777" w:rsidR="00E57DAA" w:rsidRDefault="00AC4185">
            <w:pPr>
              <w:autoSpaceDE w:val="0"/>
              <w:autoSpaceDN w:val="0"/>
              <w:adjustRightInd w:val="0"/>
              <w:jc w:val="right"/>
              <w:rPr>
                <w:szCs w:val="21"/>
              </w:rPr>
            </w:pPr>
            <w:r>
              <w:t>7,079.65</w:t>
            </w:r>
          </w:p>
        </w:tc>
        <w:tc>
          <w:tcPr>
            <w:tcW w:w="1407" w:type="pct"/>
            <w:tcBorders>
              <w:top w:val="single" w:sz="4" w:space="0" w:color="auto"/>
              <w:left w:val="single" w:sz="4" w:space="0" w:color="auto"/>
              <w:bottom w:val="single" w:sz="4" w:space="0" w:color="auto"/>
              <w:right w:val="single" w:sz="4" w:space="0" w:color="auto"/>
            </w:tcBorders>
          </w:tcPr>
          <w:p w14:paraId="4DC9F7BF" w14:textId="77777777" w:rsidR="00E57DAA" w:rsidRDefault="00AC4185">
            <w:pPr>
              <w:autoSpaceDE w:val="0"/>
              <w:autoSpaceDN w:val="0"/>
              <w:adjustRightInd w:val="0"/>
              <w:jc w:val="right"/>
              <w:rPr>
                <w:szCs w:val="21"/>
              </w:rPr>
            </w:pPr>
            <w:r>
              <w:t>796.46</w:t>
            </w:r>
          </w:p>
        </w:tc>
      </w:tr>
      <w:tr w:rsidR="00E57DAA" w14:paraId="6B233AB1" w14:textId="77777777">
        <w:tc>
          <w:tcPr>
            <w:tcW w:w="640" w:type="pct"/>
            <w:tcBorders>
              <w:top w:val="single" w:sz="4" w:space="0" w:color="auto"/>
              <w:left w:val="single" w:sz="4" w:space="0" w:color="auto"/>
              <w:bottom w:val="single" w:sz="4" w:space="0" w:color="auto"/>
              <w:right w:val="single" w:sz="4" w:space="0" w:color="auto"/>
            </w:tcBorders>
            <w:vAlign w:val="center"/>
          </w:tcPr>
          <w:p w14:paraId="1A99F4C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F4FDF38" w14:textId="77777777" w:rsidR="00E57DAA" w:rsidRDefault="00AC4185">
            <w:pPr>
              <w:autoSpaceDE w:val="0"/>
              <w:autoSpaceDN w:val="0"/>
              <w:adjustRightInd w:val="0"/>
              <w:rPr>
                <w:szCs w:val="21"/>
              </w:rPr>
            </w:pPr>
            <w:r>
              <w:t>湖州南方物流有限公司</w:t>
            </w:r>
          </w:p>
        </w:tc>
        <w:tc>
          <w:tcPr>
            <w:tcW w:w="1059" w:type="pct"/>
            <w:tcBorders>
              <w:top w:val="single" w:sz="4" w:space="0" w:color="auto"/>
              <w:left w:val="single" w:sz="4" w:space="0" w:color="auto"/>
              <w:bottom w:val="single" w:sz="4" w:space="0" w:color="auto"/>
              <w:right w:val="single" w:sz="4" w:space="0" w:color="auto"/>
            </w:tcBorders>
          </w:tcPr>
          <w:p w14:paraId="56331CEB" w14:textId="77777777" w:rsidR="00E57DAA" w:rsidRDefault="00AC4185">
            <w:pPr>
              <w:autoSpaceDE w:val="0"/>
              <w:autoSpaceDN w:val="0"/>
              <w:adjustRightInd w:val="0"/>
              <w:jc w:val="right"/>
              <w:rPr>
                <w:szCs w:val="21"/>
              </w:rPr>
            </w:pPr>
            <w:r>
              <w:t>6,143.43</w:t>
            </w:r>
          </w:p>
        </w:tc>
        <w:tc>
          <w:tcPr>
            <w:tcW w:w="1407" w:type="pct"/>
            <w:tcBorders>
              <w:top w:val="single" w:sz="4" w:space="0" w:color="auto"/>
              <w:left w:val="single" w:sz="4" w:space="0" w:color="auto"/>
              <w:bottom w:val="single" w:sz="4" w:space="0" w:color="auto"/>
              <w:right w:val="single" w:sz="4" w:space="0" w:color="auto"/>
            </w:tcBorders>
          </w:tcPr>
          <w:p w14:paraId="01E93858" w14:textId="77777777" w:rsidR="00E57DAA" w:rsidRDefault="00AC4185">
            <w:pPr>
              <w:autoSpaceDE w:val="0"/>
              <w:autoSpaceDN w:val="0"/>
              <w:adjustRightInd w:val="0"/>
              <w:jc w:val="right"/>
              <w:rPr>
                <w:szCs w:val="21"/>
              </w:rPr>
            </w:pPr>
            <w:r>
              <w:t>91,174.75</w:t>
            </w:r>
          </w:p>
        </w:tc>
      </w:tr>
      <w:tr w:rsidR="00E57DAA" w14:paraId="69EF96EE" w14:textId="77777777">
        <w:tc>
          <w:tcPr>
            <w:tcW w:w="640" w:type="pct"/>
            <w:tcBorders>
              <w:top w:val="single" w:sz="4" w:space="0" w:color="auto"/>
              <w:left w:val="single" w:sz="4" w:space="0" w:color="auto"/>
              <w:bottom w:val="single" w:sz="4" w:space="0" w:color="auto"/>
              <w:right w:val="single" w:sz="4" w:space="0" w:color="auto"/>
            </w:tcBorders>
            <w:vAlign w:val="center"/>
          </w:tcPr>
          <w:p w14:paraId="418F976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CAF578E" w14:textId="77777777" w:rsidR="00E57DAA" w:rsidRDefault="00AC4185">
            <w:pPr>
              <w:autoSpaceDE w:val="0"/>
              <w:autoSpaceDN w:val="0"/>
              <w:adjustRightInd w:val="0"/>
              <w:rPr>
                <w:szCs w:val="21"/>
              </w:rPr>
            </w:pPr>
            <w:r>
              <w:t>德安县南方新材料有限公司</w:t>
            </w:r>
          </w:p>
        </w:tc>
        <w:tc>
          <w:tcPr>
            <w:tcW w:w="1059" w:type="pct"/>
            <w:tcBorders>
              <w:top w:val="single" w:sz="4" w:space="0" w:color="auto"/>
              <w:left w:val="single" w:sz="4" w:space="0" w:color="auto"/>
              <w:bottom w:val="single" w:sz="4" w:space="0" w:color="auto"/>
              <w:right w:val="single" w:sz="4" w:space="0" w:color="auto"/>
            </w:tcBorders>
          </w:tcPr>
          <w:p w14:paraId="2DBEAAF8" w14:textId="77777777" w:rsidR="00E57DAA" w:rsidRDefault="00AC4185">
            <w:pPr>
              <w:autoSpaceDE w:val="0"/>
              <w:autoSpaceDN w:val="0"/>
              <w:adjustRightInd w:val="0"/>
              <w:jc w:val="right"/>
              <w:rPr>
                <w:szCs w:val="21"/>
              </w:rPr>
            </w:pPr>
            <w:r>
              <w:t>5,299.59</w:t>
            </w:r>
          </w:p>
        </w:tc>
        <w:tc>
          <w:tcPr>
            <w:tcW w:w="1407" w:type="pct"/>
            <w:tcBorders>
              <w:top w:val="single" w:sz="4" w:space="0" w:color="auto"/>
              <w:left w:val="single" w:sz="4" w:space="0" w:color="auto"/>
              <w:bottom w:val="single" w:sz="4" w:space="0" w:color="auto"/>
              <w:right w:val="single" w:sz="4" w:space="0" w:color="auto"/>
            </w:tcBorders>
          </w:tcPr>
          <w:p w14:paraId="06B1B168" w14:textId="77777777" w:rsidR="00E57DAA" w:rsidRDefault="00AC4185">
            <w:pPr>
              <w:autoSpaceDE w:val="0"/>
              <w:autoSpaceDN w:val="0"/>
              <w:adjustRightInd w:val="0"/>
              <w:jc w:val="right"/>
              <w:rPr>
                <w:szCs w:val="21"/>
              </w:rPr>
            </w:pPr>
            <w:r>
              <w:t xml:space="preserve">　</w:t>
            </w:r>
          </w:p>
        </w:tc>
      </w:tr>
      <w:tr w:rsidR="00E57DAA" w14:paraId="50F6E243" w14:textId="77777777">
        <w:tc>
          <w:tcPr>
            <w:tcW w:w="640" w:type="pct"/>
            <w:tcBorders>
              <w:top w:val="single" w:sz="4" w:space="0" w:color="auto"/>
              <w:left w:val="single" w:sz="4" w:space="0" w:color="auto"/>
              <w:bottom w:val="single" w:sz="4" w:space="0" w:color="auto"/>
              <w:right w:val="single" w:sz="4" w:space="0" w:color="auto"/>
            </w:tcBorders>
            <w:vAlign w:val="center"/>
          </w:tcPr>
          <w:p w14:paraId="277E127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A97F9B6" w14:textId="77777777" w:rsidR="00E57DAA" w:rsidRDefault="00AC4185">
            <w:pPr>
              <w:autoSpaceDE w:val="0"/>
              <w:autoSpaceDN w:val="0"/>
              <w:adjustRightInd w:val="0"/>
              <w:rPr>
                <w:szCs w:val="21"/>
              </w:rPr>
            </w:pPr>
            <w:r>
              <w:t>海盐南方水泥有限公司</w:t>
            </w:r>
          </w:p>
        </w:tc>
        <w:tc>
          <w:tcPr>
            <w:tcW w:w="1059" w:type="pct"/>
            <w:tcBorders>
              <w:top w:val="single" w:sz="4" w:space="0" w:color="auto"/>
              <w:left w:val="single" w:sz="4" w:space="0" w:color="auto"/>
              <w:bottom w:val="single" w:sz="4" w:space="0" w:color="auto"/>
              <w:right w:val="single" w:sz="4" w:space="0" w:color="auto"/>
            </w:tcBorders>
          </w:tcPr>
          <w:p w14:paraId="23538CB7" w14:textId="77777777" w:rsidR="00E57DAA" w:rsidRDefault="00AC4185">
            <w:pPr>
              <w:autoSpaceDE w:val="0"/>
              <w:autoSpaceDN w:val="0"/>
              <w:adjustRightInd w:val="0"/>
              <w:jc w:val="right"/>
              <w:rPr>
                <w:szCs w:val="21"/>
              </w:rPr>
            </w:pPr>
            <w:r>
              <w:t>4,778.76</w:t>
            </w:r>
          </w:p>
        </w:tc>
        <w:tc>
          <w:tcPr>
            <w:tcW w:w="1407" w:type="pct"/>
            <w:tcBorders>
              <w:top w:val="single" w:sz="4" w:space="0" w:color="auto"/>
              <w:left w:val="single" w:sz="4" w:space="0" w:color="auto"/>
              <w:bottom w:val="single" w:sz="4" w:space="0" w:color="auto"/>
              <w:right w:val="single" w:sz="4" w:space="0" w:color="auto"/>
            </w:tcBorders>
          </w:tcPr>
          <w:p w14:paraId="574A1AE7" w14:textId="77777777" w:rsidR="00E57DAA" w:rsidRDefault="00AC4185">
            <w:pPr>
              <w:autoSpaceDE w:val="0"/>
              <w:autoSpaceDN w:val="0"/>
              <w:adjustRightInd w:val="0"/>
              <w:jc w:val="right"/>
              <w:rPr>
                <w:szCs w:val="21"/>
              </w:rPr>
            </w:pPr>
            <w:r>
              <w:t>4,778.76</w:t>
            </w:r>
          </w:p>
        </w:tc>
      </w:tr>
      <w:tr w:rsidR="00E57DAA" w14:paraId="0186B2F7" w14:textId="77777777">
        <w:tc>
          <w:tcPr>
            <w:tcW w:w="640" w:type="pct"/>
            <w:tcBorders>
              <w:top w:val="single" w:sz="4" w:space="0" w:color="auto"/>
              <w:left w:val="single" w:sz="4" w:space="0" w:color="auto"/>
              <w:bottom w:val="single" w:sz="4" w:space="0" w:color="auto"/>
              <w:right w:val="single" w:sz="4" w:space="0" w:color="auto"/>
            </w:tcBorders>
            <w:vAlign w:val="center"/>
          </w:tcPr>
          <w:p w14:paraId="2A53161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082F321" w14:textId="77777777" w:rsidR="00E57DAA" w:rsidRDefault="00AC4185">
            <w:pPr>
              <w:autoSpaceDE w:val="0"/>
              <w:autoSpaceDN w:val="0"/>
              <w:adjustRightInd w:val="0"/>
              <w:rPr>
                <w:szCs w:val="21"/>
              </w:rPr>
            </w:pPr>
            <w:r>
              <w:t>松原北方水泥有限公司</w:t>
            </w:r>
          </w:p>
        </w:tc>
        <w:tc>
          <w:tcPr>
            <w:tcW w:w="1059" w:type="pct"/>
            <w:tcBorders>
              <w:top w:val="single" w:sz="4" w:space="0" w:color="auto"/>
              <w:left w:val="single" w:sz="4" w:space="0" w:color="auto"/>
              <w:bottom w:val="single" w:sz="4" w:space="0" w:color="auto"/>
              <w:right w:val="single" w:sz="4" w:space="0" w:color="auto"/>
            </w:tcBorders>
          </w:tcPr>
          <w:p w14:paraId="4AB6081D" w14:textId="77777777" w:rsidR="00E57DAA" w:rsidRDefault="00AC4185">
            <w:pPr>
              <w:autoSpaceDE w:val="0"/>
              <w:autoSpaceDN w:val="0"/>
              <w:adjustRightInd w:val="0"/>
              <w:jc w:val="right"/>
              <w:rPr>
                <w:szCs w:val="21"/>
              </w:rPr>
            </w:pPr>
            <w:r>
              <w:t>2,978.76</w:t>
            </w:r>
          </w:p>
        </w:tc>
        <w:tc>
          <w:tcPr>
            <w:tcW w:w="1407" w:type="pct"/>
            <w:tcBorders>
              <w:top w:val="single" w:sz="4" w:space="0" w:color="auto"/>
              <w:left w:val="single" w:sz="4" w:space="0" w:color="auto"/>
              <w:bottom w:val="single" w:sz="4" w:space="0" w:color="auto"/>
              <w:right w:val="single" w:sz="4" w:space="0" w:color="auto"/>
            </w:tcBorders>
          </w:tcPr>
          <w:p w14:paraId="4462132E" w14:textId="77777777" w:rsidR="00E57DAA" w:rsidRDefault="00AC4185">
            <w:pPr>
              <w:autoSpaceDE w:val="0"/>
              <w:autoSpaceDN w:val="0"/>
              <w:adjustRightInd w:val="0"/>
              <w:jc w:val="right"/>
              <w:rPr>
                <w:szCs w:val="21"/>
              </w:rPr>
            </w:pPr>
            <w:r>
              <w:t>2,978.76</w:t>
            </w:r>
          </w:p>
        </w:tc>
      </w:tr>
      <w:tr w:rsidR="00E57DAA" w14:paraId="3A277B18" w14:textId="77777777">
        <w:tc>
          <w:tcPr>
            <w:tcW w:w="640" w:type="pct"/>
            <w:tcBorders>
              <w:top w:val="single" w:sz="4" w:space="0" w:color="auto"/>
              <w:left w:val="single" w:sz="4" w:space="0" w:color="auto"/>
              <w:bottom w:val="single" w:sz="4" w:space="0" w:color="auto"/>
              <w:right w:val="single" w:sz="4" w:space="0" w:color="auto"/>
            </w:tcBorders>
            <w:vAlign w:val="center"/>
          </w:tcPr>
          <w:p w14:paraId="278C6CB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134AC03" w14:textId="77777777" w:rsidR="00E57DAA" w:rsidRDefault="00AC4185">
            <w:pPr>
              <w:autoSpaceDE w:val="0"/>
              <w:autoSpaceDN w:val="0"/>
              <w:adjustRightInd w:val="0"/>
              <w:rPr>
                <w:szCs w:val="21"/>
              </w:rPr>
            </w:pPr>
            <w:r>
              <w:t>新疆和静天山水泥有限责任公司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6CB7BF26" w14:textId="77777777" w:rsidR="00E57DAA" w:rsidRDefault="00AC4185">
            <w:pPr>
              <w:autoSpaceDE w:val="0"/>
              <w:autoSpaceDN w:val="0"/>
              <w:adjustRightInd w:val="0"/>
              <w:jc w:val="right"/>
              <w:rPr>
                <w:szCs w:val="21"/>
              </w:rPr>
            </w:pPr>
            <w:r>
              <w:t>2,266.37</w:t>
            </w:r>
          </w:p>
        </w:tc>
        <w:tc>
          <w:tcPr>
            <w:tcW w:w="1407" w:type="pct"/>
            <w:tcBorders>
              <w:top w:val="single" w:sz="4" w:space="0" w:color="auto"/>
              <w:left w:val="single" w:sz="4" w:space="0" w:color="auto"/>
              <w:bottom w:val="single" w:sz="4" w:space="0" w:color="auto"/>
              <w:right w:val="single" w:sz="4" w:space="0" w:color="auto"/>
            </w:tcBorders>
          </w:tcPr>
          <w:p w14:paraId="602D050C" w14:textId="77777777" w:rsidR="00E57DAA" w:rsidRDefault="00AC4185">
            <w:pPr>
              <w:autoSpaceDE w:val="0"/>
              <w:autoSpaceDN w:val="0"/>
              <w:adjustRightInd w:val="0"/>
              <w:jc w:val="right"/>
              <w:rPr>
                <w:szCs w:val="21"/>
              </w:rPr>
            </w:pPr>
            <w:r>
              <w:t xml:space="preserve">　</w:t>
            </w:r>
          </w:p>
        </w:tc>
      </w:tr>
      <w:tr w:rsidR="00E57DAA" w14:paraId="5BDE5A5A" w14:textId="77777777">
        <w:tc>
          <w:tcPr>
            <w:tcW w:w="640" w:type="pct"/>
            <w:tcBorders>
              <w:top w:val="single" w:sz="4" w:space="0" w:color="auto"/>
              <w:left w:val="single" w:sz="4" w:space="0" w:color="auto"/>
              <w:bottom w:val="single" w:sz="4" w:space="0" w:color="auto"/>
              <w:right w:val="single" w:sz="4" w:space="0" w:color="auto"/>
            </w:tcBorders>
            <w:vAlign w:val="center"/>
          </w:tcPr>
          <w:p w14:paraId="17AA2A7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62C4D3A" w14:textId="77777777" w:rsidR="00E57DAA" w:rsidRDefault="00AC4185">
            <w:pPr>
              <w:autoSpaceDE w:val="0"/>
              <w:autoSpaceDN w:val="0"/>
              <w:adjustRightInd w:val="0"/>
              <w:rPr>
                <w:szCs w:val="21"/>
              </w:rPr>
            </w:pPr>
            <w:r>
              <w:t>华坪县定华能源建材有限责任公司</w:t>
            </w:r>
          </w:p>
        </w:tc>
        <w:tc>
          <w:tcPr>
            <w:tcW w:w="1059" w:type="pct"/>
            <w:tcBorders>
              <w:top w:val="single" w:sz="4" w:space="0" w:color="auto"/>
              <w:left w:val="single" w:sz="4" w:space="0" w:color="auto"/>
              <w:bottom w:val="single" w:sz="4" w:space="0" w:color="auto"/>
              <w:right w:val="single" w:sz="4" w:space="0" w:color="auto"/>
            </w:tcBorders>
          </w:tcPr>
          <w:p w14:paraId="1C9BB224" w14:textId="77777777" w:rsidR="00E57DAA" w:rsidRDefault="00AC4185">
            <w:pPr>
              <w:autoSpaceDE w:val="0"/>
              <w:autoSpaceDN w:val="0"/>
              <w:adjustRightInd w:val="0"/>
              <w:jc w:val="right"/>
              <w:rPr>
                <w:szCs w:val="21"/>
              </w:rPr>
            </w:pPr>
            <w:r>
              <w:t>1,998.15</w:t>
            </w:r>
          </w:p>
        </w:tc>
        <w:tc>
          <w:tcPr>
            <w:tcW w:w="1407" w:type="pct"/>
            <w:tcBorders>
              <w:top w:val="single" w:sz="4" w:space="0" w:color="auto"/>
              <w:left w:val="single" w:sz="4" w:space="0" w:color="auto"/>
              <w:bottom w:val="single" w:sz="4" w:space="0" w:color="auto"/>
              <w:right w:val="single" w:sz="4" w:space="0" w:color="auto"/>
            </w:tcBorders>
          </w:tcPr>
          <w:p w14:paraId="1C0DE386" w14:textId="77777777" w:rsidR="00E57DAA" w:rsidRDefault="00AC4185">
            <w:pPr>
              <w:autoSpaceDE w:val="0"/>
              <w:autoSpaceDN w:val="0"/>
              <w:adjustRightInd w:val="0"/>
              <w:jc w:val="right"/>
              <w:rPr>
                <w:szCs w:val="21"/>
              </w:rPr>
            </w:pPr>
            <w:r>
              <w:t xml:space="preserve">　</w:t>
            </w:r>
          </w:p>
        </w:tc>
      </w:tr>
      <w:tr w:rsidR="00E57DAA" w14:paraId="5EAEAC13" w14:textId="77777777">
        <w:tc>
          <w:tcPr>
            <w:tcW w:w="640" w:type="pct"/>
            <w:tcBorders>
              <w:top w:val="single" w:sz="4" w:space="0" w:color="auto"/>
              <w:left w:val="single" w:sz="4" w:space="0" w:color="auto"/>
              <w:bottom w:val="single" w:sz="4" w:space="0" w:color="auto"/>
              <w:right w:val="single" w:sz="4" w:space="0" w:color="auto"/>
            </w:tcBorders>
            <w:vAlign w:val="center"/>
          </w:tcPr>
          <w:p w14:paraId="7C3D244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0A4D197" w14:textId="77777777" w:rsidR="00E57DAA" w:rsidRDefault="00AC4185">
            <w:pPr>
              <w:autoSpaceDE w:val="0"/>
              <w:autoSpaceDN w:val="0"/>
              <w:adjustRightInd w:val="0"/>
              <w:rPr>
                <w:szCs w:val="21"/>
              </w:rPr>
            </w:pPr>
            <w:r>
              <w:t>江苏宜城南方水泥有限公司</w:t>
            </w:r>
          </w:p>
        </w:tc>
        <w:tc>
          <w:tcPr>
            <w:tcW w:w="1059" w:type="pct"/>
            <w:tcBorders>
              <w:top w:val="single" w:sz="4" w:space="0" w:color="auto"/>
              <w:left w:val="single" w:sz="4" w:space="0" w:color="auto"/>
              <w:bottom w:val="single" w:sz="4" w:space="0" w:color="auto"/>
              <w:right w:val="single" w:sz="4" w:space="0" w:color="auto"/>
            </w:tcBorders>
          </w:tcPr>
          <w:p w14:paraId="5E0970FC" w14:textId="77777777" w:rsidR="00E57DAA" w:rsidRDefault="00AC4185">
            <w:pPr>
              <w:autoSpaceDE w:val="0"/>
              <w:autoSpaceDN w:val="0"/>
              <w:adjustRightInd w:val="0"/>
              <w:jc w:val="right"/>
              <w:rPr>
                <w:szCs w:val="21"/>
              </w:rPr>
            </w:pPr>
            <w:r>
              <w:t>1,858.40</w:t>
            </w:r>
          </w:p>
        </w:tc>
        <w:tc>
          <w:tcPr>
            <w:tcW w:w="1407" w:type="pct"/>
            <w:tcBorders>
              <w:top w:val="single" w:sz="4" w:space="0" w:color="auto"/>
              <w:left w:val="single" w:sz="4" w:space="0" w:color="auto"/>
              <w:bottom w:val="single" w:sz="4" w:space="0" w:color="auto"/>
              <w:right w:val="single" w:sz="4" w:space="0" w:color="auto"/>
            </w:tcBorders>
          </w:tcPr>
          <w:p w14:paraId="2B40594D" w14:textId="77777777" w:rsidR="00E57DAA" w:rsidRDefault="00AC4185">
            <w:pPr>
              <w:autoSpaceDE w:val="0"/>
              <w:autoSpaceDN w:val="0"/>
              <w:adjustRightInd w:val="0"/>
              <w:jc w:val="right"/>
              <w:rPr>
                <w:szCs w:val="21"/>
              </w:rPr>
            </w:pPr>
            <w:r>
              <w:t>41,717,925.97</w:t>
            </w:r>
          </w:p>
        </w:tc>
      </w:tr>
      <w:tr w:rsidR="00E57DAA" w14:paraId="1C93C95E" w14:textId="77777777">
        <w:tc>
          <w:tcPr>
            <w:tcW w:w="640" w:type="pct"/>
            <w:tcBorders>
              <w:top w:val="single" w:sz="4" w:space="0" w:color="auto"/>
              <w:left w:val="single" w:sz="4" w:space="0" w:color="auto"/>
              <w:bottom w:val="single" w:sz="4" w:space="0" w:color="auto"/>
              <w:right w:val="single" w:sz="4" w:space="0" w:color="auto"/>
            </w:tcBorders>
            <w:vAlign w:val="center"/>
          </w:tcPr>
          <w:p w14:paraId="6E0C2B3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3E2E6C6" w14:textId="77777777" w:rsidR="00E57DAA" w:rsidRDefault="00AC4185">
            <w:pPr>
              <w:autoSpaceDE w:val="0"/>
              <w:autoSpaceDN w:val="0"/>
              <w:adjustRightInd w:val="0"/>
              <w:rPr>
                <w:szCs w:val="21"/>
              </w:rPr>
            </w:pPr>
            <w:r>
              <w:t>湖南古丈南方水泥有限公司</w:t>
            </w:r>
          </w:p>
        </w:tc>
        <w:tc>
          <w:tcPr>
            <w:tcW w:w="1059" w:type="pct"/>
            <w:tcBorders>
              <w:top w:val="single" w:sz="4" w:space="0" w:color="auto"/>
              <w:left w:val="single" w:sz="4" w:space="0" w:color="auto"/>
              <w:bottom w:val="single" w:sz="4" w:space="0" w:color="auto"/>
              <w:right w:val="single" w:sz="4" w:space="0" w:color="auto"/>
            </w:tcBorders>
          </w:tcPr>
          <w:p w14:paraId="12BC1545" w14:textId="77777777" w:rsidR="00E57DAA" w:rsidRDefault="00AC4185">
            <w:pPr>
              <w:autoSpaceDE w:val="0"/>
              <w:autoSpaceDN w:val="0"/>
              <w:adjustRightInd w:val="0"/>
              <w:jc w:val="right"/>
              <w:rPr>
                <w:szCs w:val="21"/>
              </w:rPr>
            </w:pPr>
            <w:r>
              <w:t>1,808.05</w:t>
            </w:r>
          </w:p>
        </w:tc>
        <w:tc>
          <w:tcPr>
            <w:tcW w:w="1407" w:type="pct"/>
            <w:tcBorders>
              <w:top w:val="single" w:sz="4" w:space="0" w:color="auto"/>
              <w:left w:val="single" w:sz="4" w:space="0" w:color="auto"/>
              <w:bottom w:val="single" w:sz="4" w:space="0" w:color="auto"/>
              <w:right w:val="single" w:sz="4" w:space="0" w:color="auto"/>
            </w:tcBorders>
          </w:tcPr>
          <w:p w14:paraId="5488BBA7" w14:textId="77777777" w:rsidR="00E57DAA" w:rsidRDefault="00AC4185">
            <w:pPr>
              <w:autoSpaceDE w:val="0"/>
              <w:autoSpaceDN w:val="0"/>
              <w:adjustRightInd w:val="0"/>
              <w:jc w:val="right"/>
              <w:rPr>
                <w:szCs w:val="21"/>
              </w:rPr>
            </w:pPr>
            <w:r>
              <w:t>14,728.40</w:t>
            </w:r>
          </w:p>
        </w:tc>
      </w:tr>
      <w:tr w:rsidR="00E57DAA" w14:paraId="287A63DE" w14:textId="77777777">
        <w:tc>
          <w:tcPr>
            <w:tcW w:w="640" w:type="pct"/>
            <w:tcBorders>
              <w:top w:val="single" w:sz="4" w:space="0" w:color="auto"/>
              <w:left w:val="single" w:sz="4" w:space="0" w:color="auto"/>
              <w:bottom w:val="single" w:sz="4" w:space="0" w:color="auto"/>
              <w:right w:val="single" w:sz="4" w:space="0" w:color="auto"/>
            </w:tcBorders>
            <w:vAlign w:val="center"/>
          </w:tcPr>
          <w:p w14:paraId="6CA0CA8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F8588E8" w14:textId="77777777" w:rsidR="00E57DAA" w:rsidRDefault="00AC4185">
            <w:pPr>
              <w:autoSpaceDE w:val="0"/>
              <w:autoSpaceDN w:val="0"/>
              <w:adjustRightInd w:val="0"/>
              <w:rPr>
                <w:szCs w:val="21"/>
              </w:rPr>
            </w:pPr>
            <w:r>
              <w:t>喀喇沁草原水泥有限责任公司</w:t>
            </w:r>
          </w:p>
        </w:tc>
        <w:tc>
          <w:tcPr>
            <w:tcW w:w="1059" w:type="pct"/>
            <w:tcBorders>
              <w:top w:val="single" w:sz="4" w:space="0" w:color="auto"/>
              <w:left w:val="single" w:sz="4" w:space="0" w:color="auto"/>
              <w:bottom w:val="single" w:sz="4" w:space="0" w:color="auto"/>
              <w:right w:val="single" w:sz="4" w:space="0" w:color="auto"/>
            </w:tcBorders>
          </w:tcPr>
          <w:p w14:paraId="70E22896" w14:textId="77777777" w:rsidR="00E57DAA" w:rsidRDefault="00AC4185">
            <w:pPr>
              <w:autoSpaceDE w:val="0"/>
              <w:autoSpaceDN w:val="0"/>
              <w:adjustRightInd w:val="0"/>
              <w:jc w:val="right"/>
              <w:rPr>
                <w:szCs w:val="21"/>
              </w:rPr>
            </w:pPr>
            <w:r>
              <w:t>1,380.53</w:t>
            </w:r>
          </w:p>
        </w:tc>
        <w:tc>
          <w:tcPr>
            <w:tcW w:w="1407" w:type="pct"/>
            <w:tcBorders>
              <w:top w:val="single" w:sz="4" w:space="0" w:color="auto"/>
              <w:left w:val="single" w:sz="4" w:space="0" w:color="auto"/>
              <w:bottom w:val="single" w:sz="4" w:space="0" w:color="auto"/>
              <w:right w:val="single" w:sz="4" w:space="0" w:color="auto"/>
            </w:tcBorders>
          </w:tcPr>
          <w:p w14:paraId="2F3BE985" w14:textId="77777777" w:rsidR="00E57DAA" w:rsidRDefault="00AC4185">
            <w:pPr>
              <w:autoSpaceDE w:val="0"/>
              <w:autoSpaceDN w:val="0"/>
              <w:adjustRightInd w:val="0"/>
              <w:jc w:val="right"/>
              <w:rPr>
                <w:szCs w:val="21"/>
              </w:rPr>
            </w:pPr>
            <w:r>
              <w:t>163,369.03</w:t>
            </w:r>
          </w:p>
        </w:tc>
      </w:tr>
      <w:tr w:rsidR="00E57DAA" w14:paraId="74CA6486" w14:textId="77777777">
        <w:tc>
          <w:tcPr>
            <w:tcW w:w="640" w:type="pct"/>
            <w:tcBorders>
              <w:top w:val="single" w:sz="4" w:space="0" w:color="auto"/>
              <w:left w:val="single" w:sz="4" w:space="0" w:color="auto"/>
              <w:bottom w:val="single" w:sz="4" w:space="0" w:color="auto"/>
              <w:right w:val="single" w:sz="4" w:space="0" w:color="auto"/>
            </w:tcBorders>
            <w:vAlign w:val="center"/>
          </w:tcPr>
          <w:p w14:paraId="7A55F93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F477ED6" w14:textId="77777777" w:rsidR="00E57DAA" w:rsidRDefault="00AC4185">
            <w:pPr>
              <w:autoSpaceDE w:val="0"/>
              <w:autoSpaceDN w:val="0"/>
              <w:adjustRightInd w:val="0"/>
              <w:rPr>
                <w:szCs w:val="21"/>
              </w:rPr>
            </w:pPr>
            <w:r>
              <w:t>喀什天山水泥有限责任公司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04D9C451" w14:textId="77777777" w:rsidR="00E57DAA" w:rsidRDefault="00AC4185">
            <w:pPr>
              <w:autoSpaceDE w:val="0"/>
              <w:autoSpaceDN w:val="0"/>
              <w:adjustRightInd w:val="0"/>
              <w:jc w:val="right"/>
              <w:rPr>
                <w:szCs w:val="21"/>
              </w:rPr>
            </w:pPr>
            <w:r>
              <w:t>1,331.65</w:t>
            </w:r>
          </w:p>
        </w:tc>
        <w:tc>
          <w:tcPr>
            <w:tcW w:w="1407" w:type="pct"/>
            <w:tcBorders>
              <w:top w:val="single" w:sz="4" w:space="0" w:color="auto"/>
              <w:left w:val="single" w:sz="4" w:space="0" w:color="auto"/>
              <w:bottom w:val="single" w:sz="4" w:space="0" w:color="auto"/>
              <w:right w:val="single" w:sz="4" w:space="0" w:color="auto"/>
            </w:tcBorders>
          </w:tcPr>
          <w:p w14:paraId="314D1278" w14:textId="77777777" w:rsidR="00E57DAA" w:rsidRDefault="00AC4185">
            <w:pPr>
              <w:autoSpaceDE w:val="0"/>
              <w:autoSpaceDN w:val="0"/>
              <w:adjustRightInd w:val="0"/>
              <w:jc w:val="right"/>
              <w:rPr>
                <w:szCs w:val="21"/>
              </w:rPr>
            </w:pPr>
            <w:r>
              <w:t>262,040.27</w:t>
            </w:r>
          </w:p>
        </w:tc>
      </w:tr>
      <w:tr w:rsidR="00E57DAA" w14:paraId="690038E2" w14:textId="77777777">
        <w:tc>
          <w:tcPr>
            <w:tcW w:w="640" w:type="pct"/>
            <w:tcBorders>
              <w:top w:val="single" w:sz="4" w:space="0" w:color="auto"/>
              <w:left w:val="single" w:sz="4" w:space="0" w:color="auto"/>
              <w:bottom w:val="single" w:sz="4" w:space="0" w:color="auto"/>
              <w:right w:val="single" w:sz="4" w:space="0" w:color="auto"/>
            </w:tcBorders>
            <w:vAlign w:val="center"/>
          </w:tcPr>
          <w:p w14:paraId="137F6E3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AB38EBE" w14:textId="77777777" w:rsidR="00E57DAA" w:rsidRDefault="00AC4185">
            <w:pPr>
              <w:autoSpaceDE w:val="0"/>
              <w:autoSpaceDN w:val="0"/>
              <w:adjustRightInd w:val="0"/>
              <w:rPr>
                <w:szCs w:val="21"/>
              </w:rPr>
            </w:pPr>
            <w:r>
              <w:t>四川省绵竹澳东水泥有限责任公司</w:t>
            </w:r>
          </w:p>
        </w:tc>
        <w:tc>
          <w:tcPr>
            <w:tcW w:w="1059" w:type="pct"/>
            <w:tcBorders>
              <w:top w:val="single" w:sz="4" w:space="0" w:color="auto"/>
              <w:left w:val="single" w:sz="4" w:space="0" w:color="auto"/>
              <w:bottom w:val="single" w:sz="4" w:space="0" w:color="auto"/>
              <w:right w:val="single" w:sz="4" w:space="0" w:color="auto"/>
            </w:tcBorders>
          </w:tcPr>
          <w:p w14:paraId="7577DE4B" w14:textId="77777777" w:rsidR="00E57DAA" w:rsidRDefault="00AC4185">
            <w:pPr>
              <w:autoSpaceDE w:val="0"/>
              <w:autoSpaceDN w:val="0"/>
              <w:adjustRightInd w:val="0"/>
              <w:jc w:val="right"/>
              <w:rPr>
                <w:szCs w:val="21"/>
              </w:rPr>
            </w:pPr>
            <w:r>
              <w:t>826.46</w:t>
            </w:r>
          </w:p>
        </w:tc>
        <w:tc>
          <w:tcPr>
            <w:tcW w:w="1407" w:type="pct"/>
            <w:tcBorders>
              <w:top w:val="single" w:sz="4" w:space="0" w:color="auto"/>
              <w:left w:val="single" w:sz="4" w:space="0" w:color="auto"/>
              <w:bottom w:val="single" w:sz="4" w:space="0" w:color="auto"/>
              <w:right w:val="single" w:sz="4" w:space="0" w:color="auto"/>
            </w:tcBorders>
          </w:tcPr>
          <w:p w14:paraId="1297EA32" w14:textId="77777777" w:rsidR="00E57DAA" w:rsidRDefault="00AC4185">
            <w:pPr>
              <w:autoSpaceDE w:val="0"/>
              <w:autoSpaceDN w:val="0"/>
              <w:adjustRightInd w:val="0"/>
              <w:jc w:val="right"/>
              <w:rPr>
                <w:szCs w:val="21"/>
              </w:rPr>
            </w:pPr>
            <w:r>
              <w:t>11.34</w:t>
            </w:r>
          </w:p>
        </w:tc>
      </w:tr>
      <w:tr w:rsidR="00E57DAA" w14:paraId="41E67F49" w14:textId="77777777">
        <w:tc>
          <w:tcPr>
            <w:tcW w:w="640" w:type="pct"/>
            <w:tcBorders>
              <w:top w:val="single" w:sz="4" w:space="0" w:color="auto"/>
              <w:left w:val="single" w:sz="4" w:space="0" w:color="auto"/>
              <w:bottom w:val="single" w:sz="4" w:space="0" w:color="auto"/>
              <w:right w:val="single" w:sz="4" w:space="0" w:color="auto"/>
            </w:tcBorders>
            <w:vAlign w:val="center"/>
          </w:tcPr>
          <w:p w14:paraId="4893233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FBA20FC" w14:textId="77777777" w:rsidR="00E57DAA" w:rsidRDefault="00AC4185">
            <w:pPr>
              <w:autoSpaceDE w:val="0"/>
              <w:autoSpaceDN w:val="0"/>
              <w:adjustRightInd w:val="0"/>
              <w:rPr>
                <w:szCs w:val="21"/>
              </w:rPr>
            </w:pPr>
            <w:r>
              <w:t>陇南祁连山水泥有限公司</w:t>
            </w:r>
          </w:p>
        </w:tc>
        <w:tc>
          <w:tcPr>
            <w:tcW w:w="1059" w:type="pct"/>
            <w:tcBorders>
              <w:top w:val="single" w:sz="4" w:space="0" w:color="auto"/>
              <w:left w:val="single" w:sz="4" w:space="0" w:color="auto"/>
              <w:bottom w:val="single" w:sz="4" w:space="0" w:color="auto"/>
              <w:right w:val="single" w:sz="4" w:space="0" w:color="auto"/>
            </w:tcBorders>
          </w:tcPr>
          <w:p w14:paraId="32904C00" w14:textId="77777777" w:rsidR="00E57DAA" w:rsidRDefault="00AC4185">
            <w:pPr>
              <w:autoSpaceDE w:val="0"/>
              <w:autoSpaceDN w:val="0"/>
              <w:adjustRightInd w:val="0"/>
              <w:jc w:val="right"/>
              <w:rPr>
                <w:szCs w:val="21"/>
              </w:rPr>
            </w:pPr>
            <w:r>
              <w:t>442.48</w:t>
            </w:r>
          </w:p>
        </w:tc>
        <w:tc>
          <w:tcPr>
            <w:tcW w:w="1407" w:type="pct"/>
            <w:tcBorders>
              <w:top w:val="single" w:sz="4" w:space="0" w:color="auto"/>
              <w:left w:val="single" w:sz="4" w:space="0" w:color="auto"/>
              <w:bottom w:val="single" w:sz="4" w:space="0" w:color="auto"/>
              <w:right w:val="single" w:sz="4" w:space="0" w:color="auto"/>
            </w:tcBorders>
          </w:tcPr>
          <w:p w14:paraId="64C0576B" w14:textId="77777777" w:rsidR="00E57DAA" w:rsidRDefault="00AC4185">
            <w:pPr>
              <w:autoSpaceDE w:val="0"/>
              <w:autoSpaceDN w:val="0"/>
              <w:adjustRightInd w:val="0"/>
              <w:jc w:val="right"/>
              <w:rPr>
                <w:szCs w:val="21"/>
              </w:rPr>
            </w:pPr>
            <w:r>
              <w:t xml:space="preserve">　</w:t>
            </w:r>
          </w:p>
        </w:tc>
      </w:tr>
      <w:tr w:rsidR="00E57DAA" w14:paraId="3C277B88" w14:textId="77777777">
        <w:tc>
          <w:tcPr>
            <w:tcW w:w="640" w:type="pct"/>
            <w:tcBorders>
              <w:top w:val="single" w:sz="4" w:space="0" w:color="auto"/>
              <w:left w:val="single" w:sz="4" w:space="0" w:color="auto"/>
              <w:bottom w:val="single" w:sz="4" w:space="0" w:color="auto"/>
              <w:right w:val="single" w:sz="4" w:space="0" w:color="auto"/>
            </w:tcBorders>
            <w:vAlign w:val="center"/>
          </w:tcPr>
          <w:p w14:paraId="42ADDE1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32D4E7A" w14:textId="77777777" w:rsidR="00E57DAA" w:rsidRDefault="00AC4185">
            <w:pPr>
              <w:autoSpaceDE w:val="0"/>
              <w:autoSpaceDN w:val="0"/>
              <w:adjustRightInd w:val="0"/>
              <w:rPr>
                <w:szCs w:val="21"/>
              </w:rPr>
            </w:pPr>
            <w:r>
              <w:t>长兴南方水泥有限公司</w:t>
            </w:r>
          </w:p>
        </w:tc>
        <w:tc>
          <w:tcPr>
            <w:tcW w:w="1059" w:type="pct"/>
            <w:tcBorders>
              <w:top w:val="single" w:sz="4" w:space="0" w:color="auto"/>
              <w:left w:val="single" w:sz="4" w:space="0" w:color="auto"/>
              <w:bottom w:val="single" w:sz="4" w:space="0" w:color="auto"/>
              <w:right w:val="single" w:sz="4" w:space="0" w:color="auto"/>
            </w:tcBorders>
          </w:tcPr>
          <w:p w14:paraId="1C28746A" w14:textId="77777777" w:rsidR="00E57DAA" w:rsidRDefault="00AC4185">
            <w:pPr>
              <w:autoSpaceDE w:val="0"/>
              <w:autoSpaceDN w:val="0"/>
              <w:adjustRightInd w:val="0"/>
              <w:jc w:val="right"/>
              <w:rPr>
                <w:szCs w:val="21"/>
              </w:rPr>
            </w:pPr>
            <w:r>
              <w:t>0.01</w:t>
            </w:r>
          </w:p>
        </w:tc>
        <w:tc>
          <w:tcPr>
            <w:tcW w:w="1407" w:type="pct"/>
            <w:tcBorders>
              <w:top w:val="single" w:sz="4" w:space="0" w:color="auto"/>
              <w:left w:val="single" w:sz="4" w:space="0" w:color="auto"/>
              <w:bottom w:val="single" w:sz="4" w:space="0" w:color="auto"/>
              <w:right w:val="single" w:sz="4" w:space="0" w:color="auto"/>
            </w:tcBorders>
          </w:tcPr>
          <w:p w14:paraId="5706D508" w14:textId="77777777" w:rsidR="00E57DAA" w:rsidRDefault="00AC4185">
            <w:pPr>
              <w:autoSpaceDE w:val="0"/>
              <w:autoSpaceDN w:val="0"/>
              <w:adjustRightInd w:val="0"/>
              <w:jc w:val="right"/>
              <w:rPr>
                <w:szCs w:val="21"/>
              </w:rPr>
            </w:pPr>
            <w:r>
              <w:t>2,672,910.96</w:t>
            </w:r>
          </w:p>
        </w:tc>
      </w:tr>
      <w:tr w:rsidR="00E57DAA" w14:paraId="22C6E99E" w14:textId="77777777">
        <w:tc>
          <w:tcPr>
            <w:tcW w:w="640" w:type="pct"/>
            <w:tcBorders>
              <w:top w:val="single" w:sz="4" w:space="0" w:color="auto"/>
              <w:left w:val="single" w:sz="4" w:space="0" w:color="auto"/>
              <w:bottom w:val="single" w:sz="4" w:space="0" w:color="auto"/>
              <w:right w:val="single" w:sz="4" w:space="0" w:color="auto"/>
            </w:tcBorders>
            <w:vAlign w:val="center"/>
          </w:tcPr>
          <w:p w14:paraId="51BAF24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BECD6B9" w14:textId="77777777" w:rsidR="00E57DAA" w:rsidRDefault="00AC4185">
            <w:pPr>
              <w:autoSpaceDE w:val="0"/>
              <w:autoSpaceDN w:val="0"/>
              <w:adjustRightInd w:val="0"/>
              <w:rPr>
                <w:szCs w:val="21"/>
              </w:rPr>
            </w:pPr>
            <w:r>
              <w:t>安徽郎溪南方水泥有限公司</w:t>
            </w:r>
          </w:p>
        </w:tc>
        <w:tc>
          <w:tcPr>
            <w:tcW w:w="1059" w:type="pct"/>
            <w:tcBorders>
              <w:top w:val="single" w:sz="4" w:space="0" w:color="auto"/>
              <w:left w:val="single" w:sz="4" w:space="0" w:color="auto"/>
              <w:bottom w:val="single" w:sz="4" w:space="0" w:color="auto"/>
              <w:right w:val="single" w:sz="4" w:space="0" w:color="auto"/>
            </w:tcBorders>
          </w:tcPr>
          <w:p w14:paraId="17F63DA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CA78C86" w14:textId="77777777" w:rsidR="00E57DAA" w:rsidRDefault="00AC4185">
            <w:pPr>
              <w:autoSpaceDE w:val="0"/>
              <w:autoSpaceDN w:val="0"/>
              <w:adjustRightInd w:val="0"/>
              <w:jc w:val="right"/>
              <w:rPr>
                <w:szCs w:val="21"/>
              </w:rPr>
            </w:pPr>
            <w:r>
              <w:t>2,357,046.43</w:t>
            </w:r>
          </w:p>
        </w:tc>
      </w:tr>
      <w:tr w:rsidR="00E57DAA" w14:paraId="554B944E" w14:textId="77777777">
        <w:tc>
          <w:tcPr>
            <w:tcW w:w="640" w:type="pct"/>
            <w:tcBorders>
              <w:top w:val="single" w:sz="4" w:space="0" w:color="auto"/>
              <w:left w:val="single" w:sz="4" w:space="0" w:color="auto"/>
              <w:bottom w:val="single" w:sz="4" w:space="0" w:color="auto"/>
              <w:right w:val="single" w:sz="4" w:space="0" w:color="auto"/>
            </w:tcBorders>
            <w:vAlign w:val="center"/>
          </w:tcPr>
          <w:p w14:paraId="43FD0C5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DCE68EC" w14:textId="77777777" w:rsidR="00E57DAA" w:rsidRDefault="00AC4185">
            <w:pPr>
              <w:autoSpaceDE w:val="0"/>
              <w:autoSpaceDN w:val="0"/>
              <w:adjustRightInd w:val="0"/>
              <w:rPr>
                <w:szCs w:val="21"/>
              </w:rPr>
            </w:pPr>
            <w:r>
              <w:t>保定中联水泥有限公司</w:t>
            </w:r>
          </w:p>
        </w:tc>
        <w:tc>
          <w:tcPr>
            <w:tcW w:w="1059" w:type="pct"/>
            <w:tcBorders>
              <w:top w:val="single" w:sz="4" w:space="0" w:color="auto"/>
              <w:left w:val="single" w:sz="4" w:space="0" w:color="auto"/>
              <w:bottom w:val="single" w:sz="4" w:space="0" w:color="auto"/>
              <w:right w:val="single" w:sz="4" w:space="0" w:color="auto"/>
            </w:tcBorders>
          </w:tcPr>
          <w:p w14:paraId="529C1C5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9F84A6A" w14:textId="77777777" w:rsidR="00E57DAA" w:rsidRDefault="00AC4185">
            <w:pPr>
              <w:autoSpaceDE w:val="0"/>
              <w:autoSpaceDN w:val="0"/>
              <w:adjustRightInd w:val="0"/>
              <w:jc w:val="right"/>
              <w:rPr>
                <w:szCs w:val="21"/>
              </w:rPr>
            </w:pPr>
            <w:r>
              <w:t>1,342,342.34</w:t>
            </w:r>
          </w:p>
        </w:tc>
      </w:tr>
      <w:tr w:rsidR="00E57DAA" w14:paraId="309DE3F0" w14:textId="77777777">
        <w:tc>
          <w:tcPr>
            <w:tcW w:w="640" w:type="pct"/>
            <w:tcBorders>
              <w:top w:val="single" w:sz="4" w:space="0" w:color="auto"/>
              <w:left w:val="single" w:sz="4" w:space="0" w:color="auto"/>
              <w:bottom w:val="single" w:sz="4" w:space="0" w:color="auto"/>
              <w:right w:val="single" w:sz="4" w:space="0" w:color="auto"/>
            </w:tcBorders>
            <w:vAlign w:val="center"/>
          </w:tcPr>
          <w:p w14:paraId="4F855F5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AA72867" w14:textId="77777777" w:rsidR="00E57DAA" w:rsidRDefault="00AC4185">
            <w:pPr>
              <w:autoSpaceDE w:val="0"/>
              <w:autoSpaceDN w:val="0"/>
              <w:adjustRightInd w:val="0"/>
              <w:rPr>
                <w:szCs w:val="21"/>
              </w:rPr>
            </w:pPr>
            <w:r>
              <w:t>泰山石膏（嘉兴）有限公司</w:t>
            </w:r>
          </w:p>
        </w:tc>
        <w:tc>
          <w:tcPr>
            <w:tcW w:w="1059" w:type="pct"/>
            <w:tcBorders>
              <w:top w:val="single" w:sz="4" w:space="0" w:color="auto"/>
              <w:left w:val="single" w:sz="4" w:space="0" w:color="auto"/>
              <w:bottom w:val="single" w:sz="4" w:space="0" w:color="auto"/>
              <w:right w:val="single" w:sz="4" w:space="0" w:color="auto"/>
            </w:tcBorders>
          </w:tcPr>
          <w:p w14:paraId="09C5E02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735A8EB" w14:textId="77777777" w:rsidR="00E57DAA" w:rsidRDefault="00AC4185">
            <w:pPr>
              <w:autoSpaceDE w:val="0"/>
              <w:autoSpaceDN w:val="0"/>
              <w:adjustRightInd w:val="0"/>
              <w:jc w:val="right"/>
              <w:rPr>
                <w:szCs w:val="21"/>
              </w:rPr>
            </w:pPr>
            <w:r>
              <w:t>696,428.57</w:t>
            </w:r>
          </w:p>
        </w:tc>
      </w:tr>
      <w:tr w:rsidR="00E57DAA" w14:paraId="3EED2185" w14:textId="77777777">
        <w:tc>
          <w:tcPr>
            <w:tcW w:w="640" w:type="pct"/>
            <w:tcBorders>
              <w:top w:val="single" w:sz="4" w:space="0" w:color="auto"/>
              <w:left w:val="single" w:sz="4" w:space="0" w:color="auto"/>
              <w:bottom w:val="single" w:sz="4" w:space="0" w:color="auto"/>
              <w:right w:val="single" w:sz="4" w:space="0" w:color="auto"/>
            </w:tcBorders>
            <w:vAlign w:val="center"/>
          </w:tcPr>
          <w:p w14:paraId="343E3A3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24D1E03" w14:textId="77777777" w:rsidR="00E57DAA" w:rsidRDefault="00AC4185">
            <w:pPr>
              <w:autoSpaceDE w:val="0"/>
              <w:autoSpaceDN w:val="0"/>
              <w:adjustRightInd w:val="0"/>
              <w:rPr>
                <w:szCs w:val="21"/>
              </w:rPr>
            </w:pPr>
            <w:r>
              <w:t>滁州中联水泥有限公司</w:t>
            </w:r>
          </w:p>
        </w:tc>
        <w:tc>
          <w:tcPr>
            <w:tcW w:w="1059" w:type="pct"/>
            <w:tcBorders>
              <w:top w:val="single" w:sz="4" w:space="0" w:color="auto"/>
              <w:left w:val="single" w:sz="4" w:space="0" w:color="auto"/>
              <w:bottom w:val="single" w:sz="4" w:space="0" w:color="auto"/>
              <w:right w:val="single" w:sz="4" w:space="0" w:color="auto"/>
            </w:tcBorders>
          </w:tcPr>
          <w:p w14:paraId="7385297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695766D" w14:textId="77777777" w:rsidR="00E57DAA" w:rsidRDefault="00AC4185">
            <w:pPr>
              <w:autoSpaceDE w:val="0"/>
              <w:autoSpaceDN w:val="0"/>
              <w:adjustRightInd w:val="0"/>
              <w:jc w:val="right"/>
              <w:rPr>
                <w:szCs w:val="21"/>
              </w:rPr>
            </w:pPr>
            <w:r>
              <w:t>108,711,891.89</w:t>
            </w:r>
          </w:p>
        </w:tc>
      </w:tr>
      <w:tr w:rsidR="00E57DAA" w14:paraId="11DDB09F" w14:textId="77777777">
        <w:tc>
          <w:tcPr>
            <w:tcW w:w="640" w:type="pct"/>
            <w:tcBorders>
              <w:top w:val="single" w:sz="4" w:space="0" w:color="auto"/>
              <w:left w:val="single" w:sz="4" w:space="0" w:color="auto"/>
              <w:bottom w:val="single" w:sz="4" w:space="0" w:color="auto"/>
              <w:right w:val="single" w:sz="4" w:space="0" w:color="auto"/>
            </w:tcBorders>
            <w:vAlign w:val="center"/>
          </w:tcPr>
          <w:p w14:paraId="2A2BB0B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926A482" w14:textId="77777777" w:rsidR="00E57DAA" w:rsidRDefault="00AC4185">
            <w:pPr>
              <w:autoSpaceDE w:val="0"/>
              <w:autoSpaceDN w:val="0"/>
              <w:adjustRightInd w:val="0"/>
              <w:rPr>
                <w:szCs w:val="21"/>
              </w:rPr>
            </w:pPr>
            <w:r>
              <w:t>大方永贵建材有限责任公司</w:t>
            </w:r>
          </w:p>
        </w:tc>
        <w:tc>
          <w:tcPr>
            <w:tcW w:w="1059" w:type="pct"/>
            <w:tcBorders>
              <w:top w:val="single" w:sz="4" w:space="0" w:color="auto"/>
              <w:left w:val="single" w:sz="4" w:space="0" w:color="auto"/>
              <w:bottom w:val="single" w:sz="4" w:space="0" w:color="auto"/>
              <w:right w:val="single" w:sz="4" w:space="0" w:color="auto"/>
            </w:tcBorders>
          </w:tcPr>
          <w:p w14:paraId="0A81F52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6A5CE07" w14:textId="77777777" w:rsidR="00E57DAA" w:rsidRDefault="00AC4185">
            <w:pPr>
              <w:autoSpaceDE w:val="0"/>
              <w:autoSpaceDN w:val="0"/>
              <w:adjustRightInd w:val="0"/>
              <w:jc w:val="right"/>
              <w:rPr>
                <w:szCs w:val="21"/>
              </w:rPr>
            </w:pPr>
            <w:r>
              <w:t>525,861.99</w:t>
            </w:r>
          </w:p>
        </w:tc>
      </w:tr>
      <w:tr w:rsidR="00E57DAA" w14:paraId="459817A2" w14:textId="77777777">
        <w:tc>
          <w:tcPr>
            <w:tcW w:w="640" w:type="pct"/>
            <w:tcBorders>
              <w:top w:val="single" w:sz="4" w:space="0" w:color="auto"/>
              <w:left w:val="single" w:sz="4" w:space="0" w:color="auto"/>
              <w:bottom w:val="single" w:sz="4" w:space="0" w:color="auto"/>
              <w:right w:val="single" w:sz="4" w:space="0" w:color="auto"/>
            </w:tcBorders>
            <w:vAlign w:val="center"/>
          </w:tcPr>
          <w:p w14:paraId="00CD819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6F0DEFC" w14:textId="77777777" w:rsidR="00E57DAA" w:rsidRDefault="00AC4185">
            <w:pPr>
              <w:autoSpaceDE w:val="0"/>
              <w:autoSpaceDN w:val="0"/>
              <w:adjustRightInd w:val="0"/>
              <w:rPr>
                <w:szCs w:val="21"/>
              </w:rPr>
            </w:pPr>
            <w:r>
              <w:t>邓州中联水泥有限公司</w:t>
            </w:r>
          </w:p>
        </w:tc>
        <w:tc>
          <w:tcPr>
            <w:tcW w:w="1059" w:type="pct"/>
            <w:tcBorders>
              <w:top w:val="single" w:sz="4" w:space="0" w:color="auto"/>
              <w:left w:val="single" w:sz="4" w:space="0" w:color="auto"/>
              <w:bottom w:val="single" w:sz="4" w:space="0" w:color="auto"/>
              <w:right w:val="single" w:sz="4" w:space="0" w:color="auto"/>
            </w:tcBorders>
          </w:tcPr>
          <w:p w14:paraId="41A749A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9C27F3D" w14:textId="77777777" w:rsidR="00E57DAA" w:rsidRDefault="00AC4185">
            <w:pPr>
              <w:autoSpaceDE w:val="0"/>
              <w:autoSpaceDN w:val="0"/>
              <w:adjustRightInd w:val="0"/>
              <w:jc w:val="right"/>
              <w:rPr>
                <w:szCs w:val="21"/>
              </w:rPr>
            </w:pPr>
            <w:r>
              <w:t>94,339.62</w:t>
            </w:r>
          </w:p>
        </w:tc>
      </w:tr>
      <w:tr w:rsidR="00E57DAA" w14:paraId="177FD6B4" w14:textId="77777777">
        <w:tc>
          <w:tcPr>
            <w:tcW w:w="640" w:type="pct"/>
            <w:tcBorders>
              <w:top w:val="single" w:sz="4" w:space="0" w:color="auto"/>
              <w:left w:val="single" w:sz="4" w:space="0" w:color="auto"/>
              <w:bottom w:val="single" w:sz="4" w:space="0" w:color="auto"/>
              <w:right w:val="single" w:sz="4" w:space="0" w:color="auto"/>
            </w:tcBorders>
            <w:vAlign w:val="center"/>
          </w:tcPr>
          <w:p w14:paraId="76CF7ED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141C18B" w14:textId="77777777" w:rsidR="00E57DAA" w:rsidRDefault="00AC4185">
            <w:pPr>
              <w:autoSpaceDE w:val="0"/>
              <w:autoSpaceDN w:val="0"/>
              <w:adjustRightInd w:val="0"/>
              <w:rPr>
                <w:szCs w:val="21"/>
              </w:rPr>
            </w:pPr>
            <w:r>
              <w:t>东光中联水泥有限公司</w:t>
            </w:r>
          </w:p>
        </w:tc>
        <w:tc>
          <w:tcPr>
            <w:tcW w:w="1059" w:type="pct"/>
            <w:tcBorders>
              <w:top w:val="single" w:sz="4" w:space="0" w:color="auto"/>
              <w:left w:val="single" w:sz="4" w:space="0" w:color="auto"/>
              <w:bottom w:val="single" w:sz="4" w:space="0" w:color="auto"/>
              <w:right w:val="single" w:sz="4" w:space="0" w:color="auto"/>
            </w:tcBorders>
          </w:tcPr>
          <w:p w14:paraId="22AAB74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A451694" w14:textId="77777777" w:rsidR="00E57DAA" w:rsidRDefault="00AC4185">
            <w:pPr>
              <w:autoSpaceDE w:val="0"/>
              <w:autoSpaceDN w:val="0"/>
              <w:adjustRightInd w:val="0"/>
              <w:jc w:val="right"/>
              <w:rPr>
                <w:szCs w:val="21"/>
              </w:rPr>
            </w:pPr>
            <w:r>
              <w:t>8,362.83</w:t>
            </w:r>
          </w:p>
        </w:tc>
      </w:tr>
      <w:tr w:rsidR="00E57DAA" w14:paraId="43495E12" w14:textId="77777777">
        <w:tc>
          <w:tcPr>
            <w:tcW w:w="640" w:type="pct"/>
            <w:tcBorders>
              <w:top w:val="single" w:sz="4" w:space="0" w:color="auto"/>
              <w:left w:val="single" w:sz="4" w:space="0" w:color="auto"/>
              <w:bottom w:val="single" w:sz="4" w:space="0" w:color="auto"/>
              <w:right w:val="single" w:sz="4" w:space="0" w:color="auto"/>
            </w:tcBorders>
            <w:vAlign w:val="center"/>
          </w:tcPr>
          <w:p w14:paraId="1E5C6DF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AF27304" w14:textId="77777777" w:rsidR="00E57DAA" w:rsidRDefault="00AC4185">
            <w:pPr>
              <w:autoSpaceDE w:val="0"/>
              <w:autoSpaceDN w:val="0"/>
              <w:adjustRightInd w:val="0"/>
              <w:rPr>
                <w:szCs w:val="21"/>
              </w:rPr>
            </w:pPr>
            <w:r>
              <w:t>肥西南方水泥有限公司</w:t>
            </w:r>
          </w:p>
        </w:tc>
        <w:tc>
          <w:tcPr>
            <w:tcW w:w="1059" w:type="pct"/>
            <w:tcBorders>
              <w:top w:val="single" w:sz="4" w:space="0" w:color="auto"/>
              <w:left w:val="single" w:sz="4" w:space="0" w:color="auto"/>
              <w:bottom w:val="single" w:sz="4" w:space="0" w:color="auto"/>
              <w:right w:val="single" w:sz="4" w:space="0" w:color="auto"/>
            </w:tcBorders>
          </w:tcPr>
          <w:p w14:paraId="223350B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5AB9A40" w14:textId="77777777" w:rsidR="00E57DAA" w:rsidRDefault="00AC4185">
            <w:pPr>
              <w:autoSpaceDE w:val="0"/>
              <w:autoSpaceDN w:val="0"/>
              <w:adjustRightInd w:val="0"/>
              <w:jc w:val="right"/>
              <w:rPr>
                <w:szCs w:val="21"/>
              </w:rPr>
            </w:pPr>
            <w:r>
              <w:t>8,495.58</w:t>
            </w:r>
          </w:p>
        </w:tc>
      </w:tr>
      <w:tr w:rsidR="00E57DAA" w14:paraId="277CE659" w14:textId="77777777">
        <w:tc>
          <w:tcPr>
            <w:tcW w:w="640" w:type="pct"/>
            <w:tcBorders>
              <w:top w:val="single" w:sz="4" w:space="0" w:color="auto"/>
              <w:left w:val="single" w:sz="4" w:space="0" w:color="auto"/>
              <w:bottom w:val="single" w:sz="4" w:space="0" w:color="auto"/>
              <w:right w:val="single" w:sz="4" w:space="0" w:color="auto"/>
            </w:tcBorders>
            <w:vAlign w:val="center"/>
          </w:tcPr>
          <w:p w14:paraId="70AAA3B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D569E42" w14:textId="77777777" w:rsidR="00E57DAA" w:rsidRDefault="00AC4185">
            <w:pPr>
              <w:autoSpaceDE w:val="0"/>
              <w:autoSpaceDN w:val="0"/>
              <w:adjustRightInd w:val="0"/>
              <w:rPr>
                <w:szCs w:val="21"/>
              </w:rPr>
            </w:pPr>
            <w:r>
              <w:t>福建三明南方水泥有限公司</w:t>
            </w:r>
          </w:p>
        </w:tc>
        <w:tc>
          <w:tcPr>
            <w:tcW w:w="1059" w:type="pct"/>
            <w:tcBorders>
              <w:top w:val="single" w:sz="4" w:space="0" w:color="auto"/>
              <w:left w:val="single" w:sz="4" w:space="0" w:color="auto"/>
              <w:bottom w:val="single" w:sz="4" w:space="0" w:color="auto"/>
              <w:right w:val="single" w:sz="4" w:space="0" w:color="auto"/>
            </w:tcBorders>
          </w:tcPr>
          <w:p w14:paraId="5F02259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069D77E" w14:textId="77777777" w:rsidR="00E57DAA" w:rsidRDefault="00AC4185">
            <w:pPr>
              <w:autoSpaceDE w:val="0"/>
              <w:autoSpaceDN w:val="0"/>
              <w:adjustRightInd w:val="0"/>
              <w:jc w:val="right"/>
              <w:rPr>
                <w:szCs w:val="21"/>
              </w:rPr>
            </w:pPr>
            <w:r>
              <w:t>1,832,232.21</w:t>
            </w:r>
          </w:p>
        </w:tc>
      </w:tr>
      <w:tr w:rsidR="00E57DAA" w14:paraId="3FC3AA13" w14:textId="77777777">
        <w:tc>
          <w:tcPr>
            <w:tcW w:w="640" w:type="pct"/>
            <w:tcBorders>
              <w:top w:val="single" w:sz="4" w:space="0" w:color="auto"/>
              <w:left w:val="single" w:sz="4" w:space="0" w:color="auto"/>
              <w:bottom w:val="single" w:sz="4" w:space="0" w:color="auto"/>
              <w:right w:val="single" w:sz="4" w:space="0" w:color="auto"/>
            </w:tcBorders>
            <w:vAlign w:val="center"/>
          </w:tcPr>
          <w:p w14:paraId="7D9DBB9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733B40E" w14:textId="77777777" w:rsidR="00E57DAA" w:rsidRDefault="00AC4185">
            <w:pPr>
              <w:autoSpaceDE w:val="0"/>
              <w:autoSpaceDN w:val="0"/>
              <w:adjustRightInd w:val="0"/>
              <w:rPr>
                <w:szCs w:val="21"/>
              </w:rPr>
            </w:pPr>
            <w:r>
              <w:t>广西金鲤水泥有限公司</w:t>
            </w:r>
          </w:p>
        </w:tc>
        <w:tc>
          <w:tcPr>
            <w:tcW w:w="1059" w:type="pct"/>
            <w:tcBorders>
              <w:top w:val="single" w:sz="4" w:space="0" w:color="auto"/>
              <w:left w:val="single" w:sz="4" w:space="0" w:color="auto"/>
              <w:bottom w:val="single" w:sz="4" w:space="0" w:color="auto"/>
              <w:right w:val="single" w:sz="4" w:space="0" w:color="auto"/>
            </w:tcBorders>
          </w:tcPr>
          <w:p w14:paraId="058F492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4F5AB90" w14:textId="77777777" w:rsidR="00E57DAA" w:rsidRDefault="00AC4185">
            <w:pPr>
              <w:autoSpaceDE w:val="0"/>
              <w:autoSpaceDN w:val="0"/>
              <w:adjustRightInd w:val="0"/>
              <w:jc w:val="right"/>
              <w:rPr>
                <w:szCs w:val="21"/>
              </w:rPr>
            </w:pPr>
            <w:r>
              <w:t>261,964.29</w:t>
            </w:r>
          </w:p>
        </w:tc>
      </w:tr>
      <w:tr w:rsidR="00E57DAA" w14:paraId="02C12813" w14:textId="77777777">
        <w:tc>
          <w:tcPr>
            <w:tcW w:w="640" w:type="pct"/>
            <w:tcBorders>
              <w:top w:val="single" w:sz="4" w:space="0" w:color="auto"/>
              <w:left w:val="single" w:sz="4" w:space="0" w:color="auto"/>
              <w:bottom w:val="single" w:sz="4" w:space="0" w:color="auto"/>
              <w:right w:val="single" w:sz="4" w:space="0" w:color="auto"/>
            </w:tcBorders>
            <w:vAlign w:val="center"/>
          </w:tcPr>
          <w:p w14:paraId="506070E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ED8D54B" w14:textId="77777777" w:rsidR="00E57DAA" w:rsidRDefault="00AC4185">
            <w:pPr>
              <w:autoSpaceDE w:val="0"/>
              <w:autoSpaceDN w:val="0"/>
              <w:adjustRightInd w:val="0"/>
              <w:rPr>
                <w:szCs w:val="21"/>
              </w:rPr>
            </w:pPr>
            <w:r>
              <w:t>贵州威宁西南水泥有限公司</w:t>
            </w:r>
          </w:p>
        </w:tc>
        <w:tc>
          <w:tcPr>
            <w:tcW w:w="1059" w:type="pct"/>
            <w:tcBorders>
              <w:top w:val="single" w:sz="4" w:space="0" w:color="auto"/>
              <w:left w:val="single" w:sz="4" w:space="0" w:color="auto"/>
              <w:bottom w:val="single" w:sz="4" w:space="0" w:color="auto"/>
              <w:right w:val="single" w:sz="4" w:space="0" w:color="auto"/>
            </w:tcBorders>
          </w:tcPr>
          <w:p w14:paraId="7F7B63A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BA9F8F8" w14:textId="77777777" w:rsidR="00E57DAA" w:rsidRDefault="00AC4185">
            <w:pPr>
              <w:autoSpaceDE w:val="0"/>
              <w:autoSpaceDN w:val="0"/>
              <w:adjustRightInd w:val="0"/>
              <w:jc w:val="right"/>
              <w:rPr>
                <w:szCs w:val="21"/>
              </w:rPr>
            </w:pPr>
            <w:r>
              <w:t>450,276.50</w:t>
            </w:r>
          </w:p>
        </w:tc>
      </w:tr>
      <w:tr w:rsidR="00E57DAA" w14:paraId="753FA88A" w14:textId="77777777">
        <w:tc>
          <w:tcPr>
            <w:tcW w:w="640" w:type="pct"/>
            <w:tcBorders>
              <w:top w:val="single" w:sz="4" w:space="0" w:color="auto"/>
              <w:left w:val="single" w:sz="4" w:space="0" w:color="auto"/>
              <w:bottom w:val="single" w:sz="4" w:space="0" w:color="auto"/>
              <w:right w:val="single" w:sz="4" w:space="0" w:color="auto"/>
            </w:tcBorders>
            <w:vAlign w:val="center"/>
          </w:tcPr>
          <w:p w14:paraId="472B1C8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BF2F0D1" w14:textId="77777777" w:rsidR="00E57DAA" w:rsidRDefault="00AC4185">
            <w:pPr>
              <w:autoSpaceDE w:val="0"/>
              <w:autoSpaceDN w:val="0"/>
              <w:adjustRightInd w:val="0"/>
              <w:rPr>
                <w:szCs w:val="21"/>
              </w:rPr>
            </w:pPr>
            <w:r>
              <w:t>贵州遵义建安混凝土有限公司</w:t>
            </w:r>
          </w:p>
        </w:tc>
        <w:tc>
          <w:tcPr>
            <w:tcW w:w="1059" w:type="pct"/>
            <w:tcBorders>
              <w:top w:val="single" w:sz="4" w:space="0" w:color="auto"/>
              <w:left w:val="single" w:sz="4" w:space="0" w:color="auto"/>
              <w:bottom w:val="single" w:sz="4" w:space="0" w:color="auto"/>
              <w:right w:val="single" w:sz="4" w:space="0" w:color="auto"/>
            </w:tcBorders>
          </w:tcPr>
          <w:p w14:paraId="120D571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4D407E5" w14:textId="77777777" w:rsidR="00E57DAA" w:rsidRDefault="00AC4185">
            <w:pPr>
              <w:autoSpaceDE w:val="0"/>
              <w:autoSpaceDN w:val="0"/>
              <w:adjustRightInd w:val="0"/>
              <w:jc w:val="right"/>
              <w:rPr>
                <w:szCs w:val="21"/>
              </w:rPr>
            </w:pPr>
            <w:r>
              <w:t>16,908.41</w:t>
            </w:r>
          </w:p>
        </w:tc>
      </w:tr>
      <w:tr w:rsidR="00E57DAA" w14:paraId="1326EFBC" w14:textId="77777777">
        <w:tc>
          <w:tcPr>
            <w:tcW w:w="640" w:type="pct"/>
            <w:tcBorders>
              <w:top w:val="single" w:sz="4" w:space="0" w:color="auto"/>
              <w:left w:val="single" w:sz="4" w:space="0" w:color="auto"/>
              <w:bottom w:val="single" w:sz="4" w:space="0" w:color="auto"/>
              <w:right w:val="single" w:sz="4" w:space="0" w:color="auto"/>
            </w:tcBorders>
            <w:vAlign w:val="center"/>
          </w:tcPr>
          <w:p w14:paraId="2631B9D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CB3ECFC" w14:textId="77777777" w:rsidR="00E57DAA" w:rsidRDefault="00AC4185">
            <w:pPr>
              <w:autoSpaceDE w:val="0"/>
              <w:autoSpaceDN w:val="0"/>
              <w:adjustRightInd w:val="0"/>
              <w:rPr>
                <w:szCs w:val="21"/>
              </w:rPr>
            </w:pPr>
            <w:r>
              <w:t>桂林南方水泥有限公司</w:t>
            </w:r>
          </w:p>
        </w:tc>
        <w:tc>
          <w:tcPr>
            <w:tcW w:w="1059" w:type="pct"/>
            <w:tcBorders>
              <w:top w:val="single" w:sz="4" w:space="0" w:color="auto"/>
              <w:left w:val="single" w:sz="4" w:space="0" w:color="auto"/>
              <w:bottom w:val="single" w:sz="4" w:space="0" w:color="auto"/>
              <w:right w:val="single" w:sz="4" w:space="0" w:color="auto"/>
            </w:tcBorders>
          </w:tcPr>
          <w:p w14:paraId="7D9764F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40A8898" w14:textId="77777777" w:rsidR="00E57DAA" w:rsidRDefault="00AC4185">
            <w:pPr>
              <w:autoSpaceDE w:val="0"/>
              <w:autoSpaceDN w:val="0"/>
              <w:adjustRightInd w:val="0"/>
              <w:jc w:val="right"/>
              <w:rPr>
                <w:szCs w:val="21"/>
              </w:rPr>
            </w:pPr>
            <w:r>
              <w:t>60,807.89</w:t>
            </w:r>
          </w:p>
        </w:tc>
      </w:tr>
      <w:tr w:rsidR="00E57DAA" w14:paraId="23540584" w14:textId="77777777">
        <w:tc>
          <w:tcPr>
            <w:tcW w:w="640" w:type="pct"/>
            <w:tcBorders>
              <w:top w:val="single" w:sz="4" w:space="0" w:color="auto"/>
              <w:left w:val="single" w:sz="4" w:space="0" w:color="auto"/>
              <w:bottom w:val="single" w:sz="4" w:space="0" w:color="auto"/>
              <w:right w:val="single" w:sz="4" w:space="0" w:color="auto"/>
            </w:tcBorders>
            <w:vAlign w:val="center"/>
          </w:tcPr>
          <w:p w14:paraId="57C7C1D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563ED9C" w14:textId="77777777" w:rsidR="00E57DAA" w:rsidRDefault="00AC4185">
            <w:pPr>
              <w:autoSpaceDE w:val="0"/>
              <w:autoSpaceDN w:val="0"/>
              <w:adjustRightInd w:val="0"/>
              <w:rPr>
                <w:szCs w:val="21"/>
              </w:rPr>
            </w:pPr>
            <w:r>
              <w:t>哈尔滨市呼兰水泥制造有限责任公司</w:t>
            </w:r>
          </w:p>
        </w:tc>
        <w:tc>
          <w:tcPr>
            <w:tcW w:w="1059" w:type="pct"/>
            <w:tcBorders>
              <w:top w:val="single" w:sz="4" w:space="0" w:color="auto"/>
              <w:left w:val="single" w:sz="4" w:space="0" w:color="auto"/>
              <w:bottom w:val="single" w:sz="4" w:space="0" w:color="auto"/>
              <w:right w:val="single" w:sz="4" w:space="0" w:color="auto"/>
            </w:tcBorders>
          </w:tcPr>
          <w:p w14:paraId="059F3C5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8DB6239" w14:textId="77777777" w:rsidR="00E57DAA" w:rsidRDefault="00AC4185">
            <w:pPr>
              <w:autoSpaceDE w:val="0"/>
              <w:autoSpaceDN w:val="0"/>
              <w:adjustRightInd w:val="0"/>
              <w:jc w:val="right"/>
              <w:rPr>
                <w:szCs w:val="21"/>
              </w:rPr>
            </w:pPr>
            <w:r>
              <w:t>3,539.82</w:t>
            </w:r>
          </w:p>
        </w:tc>
      </w:tr>
      <w:tr w:rsidR="00E57DAA" w14:paraId="1D5BBAEA" w14:textId="77777777">
        <w:tc>
          <w:tcPr>
            <w:tcW w:w="640" w:type="pct"/>
            <w:tcBorders>
              <w:top w:val="single" w:sz="4" w:space="0" w:color="auto"/>
              <w:left w:val="single" w:sz="4" w:space="0" w:color="auto"/>
              <w:bottom w:val="single" w:sz="4" w:space="0" w:color="auto"/>
              <w:right w:val="single" w:sz="4" w:space="0" w:color="auto"/>
            </w:tcBorders>
            <w:vAlign w:val="center"/>
          </w:tcPr>
          <w:p w14:paraId="6964668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BBD3CA1" w14:textId="77777777" w:rsidR="00E57DAA" w:rsidRDefault="00AC4185">
            <w:pPr>
              <w:autoSpaceDE w:val="0"/>
              <w:autoSpaceDN w:val="0"/>
              <w:adjustRightInd w:val="0"/>
              <w:rPr>
                <w:szCs w:val="21"/>
              </w:rPr>
            </w:pPr>
            <w:r>
              <w:t>杭州临安南方水泥有限公司</w:t>
            </w:r>
          </w:p>
        </w:tc>
        <w:tc>
          <w:tcPr>
            <w:tcW w:w="1059" w:type="pct"/>
            <w:tcBorders>
              <w:top w:val="single" w:sz="4" w:space="0" w:color="auto"/>
              <w:left w:val="single" w:sz="4" w:space="0" w:color="auto"/>
              <w:bottom w:val="single" w:sz="4" w:space="0" w:color="auto"/>
              <w:right w:val="single" w:sz="4" w:space="0" w:color="auto"/>
            </w:tcBorders>
          </w:tcPr>
          <w:p w14:paraId="35CBB73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33FB04F" w14:textId="77777777" w:rsidR="00E57DAA" w:rsidRDefault="00AC4185">
            <w:pPr>
              <w:autoSpaceDE w:val="0"/>
              <w:autoSpaceDN w:val="0"/>
              <w:adjustRightInd w:val="0"/>
              <w:jc w:val="right"/>
              <w:rPr>
                <w:szCs w:val="21"/>
              </w:rPr>
            </w:pPr>
            <w:r>
              <w:t>937,500.00</w:t>
            </w:r>
          </w:p>
        </w:tc>
      </w:tr>
      <w:tr w:rsidR="00E57DAA" w14:paraId="097CEBD5" w14:textId="77777777">
        <w:tc>
          <w:tcPr>
            <w:tcW w:w="640" w:type="pct"/>
            <w:tcBorders>
              <w:top w:val="single" w:sz="4" w:space="0" w:color="auto"/>
              <w:left w:val="single" w:sz="4" w:space="0" w:color="auto"/>
              <w:bottom w:val="single" w:sz="4" w:space="0" w:color="auto"/>
              <w:right w:val="single" w:sz="4" w:space="0" w:color="auto"/>
            </w:tcBorders>
            <w:vAlign w:val="center"/>
          </w:tcPr>
          <w:p w14:paraId="631E724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21314BE" w14:textId="77777777" w:rsidR="00E57DAA" w:rsidRDefault="00AC4185">
            <w:pPr>
              <w:autoSpaceDE w:val="0"/>
              <w:autoSpaceDN w:val="0"/>
              <w:adjustRightInd w:val="0"/>
              <w:rPr>
                <w:szCs w:val="21"/>
              </w:rPr>
            </w:pPr>
            <w:r>
              <w:t>黑河关鸟河水泥有限责任公司</w:t>
            </w:r>
          </w:p>
        </w:tc>
        <w:tc>
          <w:tcPr>
            <w:tcW w:w="1059" w:type="pct"/>
            <w:tcBorders>
              <w:top w:val="single" w:sz="4" w:space="0" w:color="auto"/>
              <w:left w:val="single" w:sz="4" w:space="0" w:color="auto"/>
              <w:bottom w:val="single" w:sz="4" w:space="0" w:color="auto"/>
              <w:right w:val="single" w:sz="4" w:space="0" w:color="auto"/>
            </w:tcBorders>
          </w:tcPr>
          <w:p w14:paraId="510F75A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922073F" w14:textId="77777777" w:rsidR="00E57DAA" w:rsidRDefault="00AC4185">
            <w:pPr>
              <w:autoSpaceDE w:val="0"/>
              <w:autoSpaceDN w:val="0"/>
              <w:adjustRightInd w:val="0"/>
              <w:jc w:val="right"/>
              <w:rPr>
                <w:szCs w:val="21"/>
              </w:rPr>
            </w:pPr>
            <w:r>
              <w:t>45,943.40</w:t>
            </w:r>
          </w:p>
        </w:tc>
      </w:tr>
      <w:tr w:rsidR="00E57DAA" w14:paraId="3F25839A" w14:textId="77777777">
        <w:tc>
          <w:tcPr>
            <w:tcW w:w="640" w:type="pct"/>
            <w:tcBorders>
              <w:top w:val="single" w:sz="4" w:space="0" w:color="auto"/>
              <w:left w:val="single" w:sz="4" w:space="0" w:color="auto"/>
              <w:bottom w:val="single" w:sz="4" w:space="0" w:color="auto"/>
              <w:right w:val="single" w:sz="4" w:space="0" w:color="auto"/>
            </w:tcBorders>
            <w:vAlign w:val="center"/>
          </w:tcPr>
          <w:p w14:paraId="18700C1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D8CB3A9" w14:textId="77777777" w:rsidR="00E57DAA" w:rsidRDefault="00AC4185">
            <w:pPr>
              <w:autoSpaceDE w:val="0"/>
              <w:autoSpaceDN w:val="0"/>
              <w:adjustRightInd w:val="0"/>
              <w:rPr>
                <w:szCs w:val="21"/>
              </w:rPr>
            </w:pPr>
            <w:r>
              <w:t>湖北北新建材有限公司</w:t>
            </w:r>
          </w:p>
        </w:tc>
        <w:tc>
          <w:tcPr>
            <w:tcW w:w="1059" w:type="pct"/>
            <w:tcBorders>
              <w:top w:val="single" w:sz="4" w:space="0" w:color="auto"/>
              <w:left w:val="single" w:sz="4" w:space="0" w:color="auto"/>
              <w:bottom w:val="single" w:sz="4" w:space="0" w:color="auto"/>
              <w:right w:val="single" w:sz="4" w:space="0" w:color="auto"/>
            </w:tcBorders>
          </w:tcPr>
          <w:p w14:paraId="39D5240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0D4CF67" w14:textId="77777777" w:rsidR="00E57DAA" w:rsidRDefault="00AC4185">
            <w:pPr>
              <w:autoSpaceDE w:val="0"/>
              <w:autoSpaceDN w:val="0"/>
              <w:adjustRightInd w:val="0"/>
              <w:jc w:val="right"/>
              <w:rPr>
                <w:szCs w:val="21"/>
              </w:rPr>
            </w:pPr>
            <w:r>
              <w:t>1,061.95</w:t>
            </w:r>
          </w:p>
        </w:tc>
      </w:tr>
      <w:tr w:rsidR="00E57DAA" w14:paraId="485212F0" w14:textId="77777777">
        <w:tc>
          <w:tcPr>
            <w:tcW w:w="640" w:type="pct"/>
            <w:tcBorders>
              <w:top w:val="single" w:sz="4" w:space="0" w:color="auto"/>
              <w:left w:val="single" w:sz="4" w:space="0" w:color="auto"/>
              <w:bottom w:val="single" w:sz="4" w:space="0" w:color="auto"/>
              <w:right w:val="single" w:sz="4" w:space="0" w:color="auto"/>
            </w:tcBorders>
            <w:vAlign w:val="center"/>
          </w:tcPr>
          <w:p w14:paraId="1D3674F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D325FFB" w14:textId="77777777" w:rsidR="00E57DAA" w:rsidRDefault="00AC4185">
            <w:pPr>
              <w:autoSpaceDE w:val="0"/>
              <w:autoSpaceDN w:val="0"/>
              <w:adjustRightInd w:val="0"/>
              <w:rPr>
                <w:szCs w:val="21"/>
              </w:rPr>
            </w:pPr>
            <w:r>
              <w:t>湖南常德南方水泥有限公司</w:t>
            </w:r>
          </w:p>
        </w:tc>
        <w:tc>
          <w:tcPr>
            <w:tcW w:w="1059" w:type="pct"/>
            <w:tcBorders>
              <w:top w:val="single" w:sz="4" w:space="0" w:color="auto"/>
              <w:left w:val="single" w:sz="4" w:space="0" w:color="auto"/>
              <w:bottom w:val="single" w:sz="4" w:space="0" w:color="auto"/>
              <w:right w:val="single" w:sz="4" w:space="0" w:color="auto"/>
            </w:tcBorders>
          </w:tcPr>
          <w:p w14:paraId="2098ECC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5BFC0BE" w14:textId="77777777" w:rsidR="00E57DAA" w:rsidRDefault="00AC4185">
            <w:pPr>
              <w:autoSpaceDE w:val="0"/>
              <w:autoSpaceDN w:val="0"/>
              <w:adjustRightInd w:val="0"/>
              <w:jc w:val="right"/>
              <w:rPr>
                <w:szCs w:val="21"/>
              </w:rPr>
            </w:pPr>
            <w:r>
              <w:t>704.83</w:t>
            </w:r>
          </w:p>
        </w:tc>
      </w:tr>
      <w:tr w:rsidR="00E57DAA" w14:paraId="4ECDFA82" w14:textId="77777777">
        <w:tc>
          <w:tcPr>
            <w:tcW w:w="640" w:type="pct"/>
            <w:tcBorders>
              <w:top w:val="single" w:sz="4" w:space="0" w:color="auto"/>
              <w:left w:val="single" w:sz="4" w:space="0" w:color="auto"/>
              <w:bottom w:val="single" w:sz="4" w:space="0" w:color="auto"/>
              <w:right w:val="single" w:sz="4" w:space="0" w:color="auto"/>
            </w:tcBorders>
            <w:vAlign w:val="center"/>
          </w:tcPr>
          <w:p w14:paraId="0FAD59D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85BEF4A" w14:textId="77777777" w:rsidR="00E57DAA" w:rsidRDefault="00AC4185">
            <w:pPr>
              <w:autoSpaceDE w:val="0"/>
              <w:autoSpaceDN w:val="0"/>
              <w:adjustRightInd w:val="0"/>
              <w:rPr>
                <w:szCs w:val="21"/>
              </w:rPr>
            </w:pPr>
            <w:r>
              <w:t>湖南宁乡南方水泥有限公司</w:t>
            </w:r>
          </w:p>
        </w:tc>
        <w:tc>
          <w:tcPr>
            <w:tcW w:w="1059" w:type="pct"/>
            <w:tcBorders>
              <w:top w:val="single" w:sz="4" w:space="0" w:color="auto"/>
              <w:left w:val="single" w:sz="4" w:space="0" w:color="auto"/>
              <w:bottom w:val="single" w:sz="4" w:space="0" w:color="auto"/>
              <w:right w:val="single" w:sz="4" w:space="0" w:color="auto"/>
            </w:tcBorders>
          </w:tcPr>
          <w:p w14:paraId="49F7921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9AD777E" w14:textId="77777777" w:rsidR="00E57DAA" w:rsidRDefault="00AC4185">
            <w:pPr>
              <w:autoSpaceDE w:val="0"/>
              <w:autoSpaceDN w:val="0"/>
              <w:adjustRightInd w:val="0"/>
              <w:jc w:val="right"/>
              <w:rPr>
                <w:szCs w:val="21"/>
              </w:rPr>
            </w:pPr>
            <w:r>
              <w:t>213,180.00</w:t>
            </w:r>
          </w:p>
        </w:tc>
      </w:tr>
      <w:tr w:rsidR="00E57DAA" w14:paraId="43A0277D" w14:textId="77777777">
        <w:tc>
          <w:tcPr>
            <w:tcW w:w="640" w:type="pct"/>
            <w:tcBorders>
              <w:top w:val="single" w:sz="4" w:space="0" w:color="auto"/>
              <w:left w:val="single" w:sz="4" w:space="0" w:color="auto"/>
              <w:bottom w:val="single" w:sz="4" w:space="0" w:color="auto"/>
              <w:right w:val="single" w:sz="4" w:space="0" w:color="auto"/>
            </w:tcBorders>
            <w:vAlign w:val="center"/>
          </w:tcPr>
          <w:p w14:paraId="4F102FF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B0D9975" w14:textId="77777777" w:rsidR="00E57DAA" w:rsidRDefault="00AC4185">
            <w:pPr>
              <w:autoSpaceDE w:val="0"/>
              <w:autoSpaceDN w:val="0"/>
              <w:adjustRightInd w:val="0"/>
              <w:rPr>
                <w:szCs w:val="21"/>
              </w:rPr>
            </w:pPr>
            <w:r>
              <w:t>湖南韶峰南方水泥有限公司</w:t>
            </w:r>
          </w:p>
        </w:tc>
        <w:tc>
          <w:tcPr>
            <w:tcW w:w="1059" w:type="pct"/>
            <w:tcBorders>
              <w:top w:val="single" w:sz="4" w:space="0" w:color="auto"/>
              <w:left w:val="single" w:sz="4" w:space="0" w:color="auto"/>
              <w:bottom w:val="single" w:sz="4" w:space="0" w:color="auto"/>
              <w:right w:val="single" w:sz="4" w:space="0" w:color="auto"/>
            </w:tcBorders>
          </w:tcPr>
          <w:p w14:paraId="13C4FF3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77F8F11" w14:textId="77777777" w:rsidR="00E57DAA" w:rsidRDefault="00AC4185">
            <w:pPr>
              <w:autoSpaceDE w:val="0"/>
              <w:autoSpaceDN w:val="0"/>
              <w:adjustRightInd w:val="0"/>
              <w:jc w:val="right"/>
              <w:rPr>
                <w:szCs w:val="21"/>
              </w:rPr>
            </w:pPr>
            <w:r>
              <w:t>3,435,787.29</w:t>
            </w:r>
          </w:p>
        </w:tc>
      </w:tr>
      <w:tr w:rsidR="00E57DAA" w14:paraId="4EDA8CB3" w14:textId="77777777">
        <w:tc>
          <w:tcPr>
            <w:tcW w:w="640" w:type="pct"/>
            <w:tcBorders>
              <w:top w:val="single" w:sz="4" w:space="0" w:color="auto"/>
              <w:left w:val="single" w:sz="4" w:space="0" w:color="auto"/>
              <w:bottom w:val="single" w:sz="4" w:space="0" w:color="auto"/>
              <w:right w:val="single" w:sz="4" w:space="0" w:color="auto"/>
            </w:tcBorders>
            <w:vAlign w:val="center"/>
          </w:tcPr>
          <w:p w14:paraId="7217B59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29EFB4A" w14:textId="77777777" w:rsidR="00E57DAA" w:rsidRDefault="00AC4185">
            <w:pPr>
              <w:autoSpaceDE w:val="0"/>
              <w:autoSpaceDN w:val="0"/>
              <w:adjustRightInd w:val="0"/>
              <w:rPr>
                <w:szCs w:val="21"/>
              </w:rPr>
            </w:pPr>
            <w:r>
              <w:t>湖州槐坎南方水泥有限公司</w:t>
            </w:r>
          </w:p>
        </w:tc>
        <w:tc>
          <w:tcPr>
            <w:tcW w:w="1059" w:type="pct"/>
            <w:tcBorders>
              <w:top w:val="single" w:sz="4" w:space="0" w:color="auto"/>
              <w:left w:val="single" w:sz="4" w:space="0" w:color="auto"/>
              <w:bottom w:val="single" w:sz="4" w:space="0" w:color="auto"/>
              <w:right w:val="single" w:sz="4" w:space="0" w:color="auto"/>
            </w:tcBorders>
          </w:tcPr>
          <w:p w14:paraId="781B02A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F41800F" w14:textId="77777777" w:rsidR="00E57DAA" w:rsidRDefault="00AC4185">
            <w:pPr>
              <w:autoSpaceDE w:val="0"/>
              <w:autoSpaceDN w:val="0"/>
              <w:adjustRightInd w:val="0"/>
              <w:jc w:val="right"/>
              <w:rPr>
                <w:szCs w:val="21"/>
              </w:rPr>
            </w:pPr>
            <w:r>
              <w:t>16.73</w:t>
            </w:r>
          </w:p>
        </w:tc>
      </w:tr>
      <w:tr w:rsidR="00E57DAA" w14:paraId="5D7E4E3B" w14:textId="77777777">
        <w:tc>
          <w:tcPr>
            <w:tcW w:w="640" w:type="pct"/>
            <w:tcBorders>
              <w:top w:val="single" w:sz="4" w:space="0" w:color="auto"/>
              <w:left w:val="single" w:sz="4" w:space="0" w:color="auto"/>
              <w:bottom w:val="single" w:sz="4" w:space="0" w:color="auto"/>
              <w:right w:val="single" w:sz="4" w:space="0" w:color="auto"/>
            </w:tcBorders>
            <w:vAlign w:val="center"/>
          </w:tcPr>
          <w:p w14:paraId="3154934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4A30C59" w14:textId="77777777" w:rsidR="00E57DAA" w:rsidRDefault="00AC4185">
            <w:pPr>
              <w:autoSpaceDE w:val="0"/>
              <w:autoSpaceDN w:val="0"/>
              <w:adjustRightInd w:val="0"/>
              <w:rPr>
                <w:szCs w:val="21"/>
              </w:rPr>
            </w:pPr>
            <w:r>
              <w:t>建德更楼矿业有限公司</w:t>
            </w:r>
          </w:p>
        </w:tc>
        <w:tc>
          <w:tcPr>
            <w:tcW w:w="1059" w:type="pct"/>
            <w:tcBorders>
              <w:top w:val="single" w:sz="4" w:space="0" w:color="auto"/>
              <w:left w:val="single" w:sz="4" w:space="0" w:color="auto"/>
              <w:bottom w:val="single" w:sz="4" w:space="0" w:color="auto"/>
              <w:right w:val="single" w:sz="4" w:space="0" w:color="auto"/>
            </w:tcBorders>
          </w:tcPr>
          <w:p w14:paraId="4E1D67F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92AE41F" w14:textId="77777777" w:rsidR="00E57DAA" w:rsidRDefault="00AC4185">
            <w:pPr>
              <w:autoSpaceDE w:val="0"/>
              <w:autoSpaceDN w:val="0"/>
              <w:adjustRightInd w:val="0"/>
              <w:jc w:val="right"/>
              <w:rPr>
                <w:szCs w:val="21"/>
              </w:rPr>
            </w:pPr>
            <w:r>
              <w:t>951,340.84</w:t>
            </w:r>
          </w:p>
        </w:tc>
      </w:tr>
      <w:tr w:rsidR="00E57DAA" w14:paraId="640AFF28" w14:textId="77777777">
        <w:tc>
          <w:tcPr>
            <w:tcW w:w="640" w:type="pct"/>
            <w:tcBorders>
              <w:top w:val="single" w:sz="4" w:space="0" w:color="auto"/>
              <w:left w:val="single" w:sz="4" w:space="0" w:color="auto"/>
              <w:bottom w:val="single" w:sz="4" w:space="0" w:color="auto"/>
              <w:right w:val="single" w:sz="4" w:space="0" w:color="auto"/>
            </w:tcBorders>
            <w:vAlign w:val="center"/>
          </w:tcPr>
          <w:p w14:paraId="518C068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3E31B66" w14:textId="77777777" w:rsidR="00E57DAA" w:rsidRDefault="00AC4185">
            <w:pPr>
              <w:autoSpaceDE w:val="0"/>
              <w:autoSpaceDN w:val="0"/>
              <w:adjustRightInd w:val="0"/>
              <w:rPr>
                <w:szCs w:val="21"/>
              </w:rPr>
            </w:pPr>
            <w:r>
              <w:t>江西兴国南方水泥有限公司</w:t>
            </w:r>
          </w:p>
        </w:tc>
        <w:tc>
          <w:tcPr>
            <w:tcW w:w="1059" w:type="pct"/>
            <w:tcBorders>
              <w:top w:val="single" w:sz="4" w:space="0" w:color="auto"/>
              <w:left w:val="single" w:sz="4" w:space="0" w:color="auto"/>
              <w:bottom w:val="single" w:sz="4" w:space="0" w:color="auto"/>
              <w:right w:val="single" w:sz="4" w:space="0" w:color="auto"/>
            </w:tcBorders>
          </w:tcPr>
          <w:p w14:paraId="3A9ECDE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94EEDF0" w14:textId="77777777" w:rsidR="00E57DAA" w:rsidRDefault="00AC4185">
            <w:pPr>
              <w:autoSpaceDE w:val="0"/>
              <w:autoSpaceDN w:val="0"/>
              <w:adjustRightInd w:val="0"/>
              <w:jc w:val="right"/>
              <w:rPr>
                <w:szCs w:val="21"/>
              </w:rPr>
            </w:pPr>
            <w:r>
              <w:t>313,258.68</w:t>
            </w:r>
          </w:p>
        </w:tc>
      </w:tr>
      <w:tr w:rsidR="00E57DAA" w14:paraId="1E5C4C79" w14:textId="77777777">
        <w:tc>
          <w:tcPr>
            <w:tcW w:w="640" w:type="pct"/>
            <w:tcBorders>
              <w:top w:val="single" w:sz="4" w:space="0" w:color="auto"/>
              <w:left w:val="single" w:sz="4" w:space="0" w:color="auto"/>
              <w:bottom w:val="single" w:sz="4" w:space="0" w:color="auto"/>
              <w:right w:val="single" w:sz="4" w:space="0" w:color="auto"/>
            </w:tcBorders>
            <w:vAlign w:val="center"/>
          </w:tcPr>
          <w:p w14:paraId="14EB7BD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8F9FC69" w14:textId="77777777" w:rsidR="00E57DAA" w:rsidRDefault="00AC4185">
            <w:pPr>
              <w:autoSpaceDE w:val="0"/>
              <w:autoSpaceDN w:val="0"/>
              <w:adjustRightInd w:val="0"/>
              <w:rPr>
                <w:szCs w:val="21"/>
              </w:rPr>
            </w:pPr>
            <w:r>
              <w:t>江西永丰南方水泥有限公司</w:t>
            </w:r>
          </w:p>
        </w:tc>
        <w:tc>
          <w:tcPr>
            <w:tcW w:w="1059" w:type="pct"/>
            <w:tcBorders>
              <w:top w:val="single" w:sz="4" w:space="0" w:color="auto"/>
              <w:left w:val="single" w:sz="4" w:space="0" w:color="auto"/>
              <w:bottom w:val="single" w:sz="4" w:space="0" w:color="auto"/>
              <w:right w:val="single" w:sz="4" w:space="0" w:color="auto"/>
            </w:tcBorders>
          </w:tcPr>
          <w:p w14:paraId="195508C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E3FBDAB" w14:textId="77777777" w:rsidR="00E57DAA" w:rsidRDefault="00AC4185">
            <w:pPr>
              <w:autoSpaceDE w:val="0"/>
              <w:autoSpaceDN w:val="0"/>
              <w:adjustRightInd w:val="0"/>
              <w:jc w:val="right"/>
              <w:rPr>
                <w:szCs w:val="21"/>
              </w:rPr>
            </w:pPr>
            <w:r>
              <w:t>3,217,504.27</w:t>
            </w:r>
          </w:p>
        </w:tc>
      </w:tr>
      <w:tr w:rsidR="00E57DAA" w14:paraId="0F769C4A" w14:textId="77777777">
        <w:tc>
          <w:tcPr>
            <w:tcW w:w="640" w:type="pct"/>
            <w:tcBorders>
              <w:top w:val="single" w:sz="4" w:space="0" w:color="auto"/>
              <w:left w:val="single" w:sz="4" w:space="0" w:color="auto"/>
              <w:bottom w:val="single" w:sz="4" w:space="0" w:color="auto"/>
              <w:right w:val="single" w:sz="4" w:space="0" w:color="auto"/>
            </w:tcBorders>
            <w:vAlign w:val="center"/>
          </w:tcPr>
          <w:p w14:paraId="55EE817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9E9A552" w14:textId="77777777" w:rsidR="00E57DAA" w:rsidRDefault="00AC4185">
            <w:pPr>
              <w:autoSpaceDE w:val="0"/>
              <w:autoSpaceDN w:val="0"/>
              <w:adjustRightInd w:val="0"/>
              <w:rPr>
                <w:szCs w:val="21"/>
              </w:rPr>
            </w:pPr>
            <w:r>
              <w:t>克州天山水泥有限责任公司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537814A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0BC3629" w14:textId="77777777" w:rsidR="00E57DAA" w:rsidRDefault="00AC4185">
            <w:pPr>
              <w:autoSpaceDE w:val="0"/>
              <w:autoSpaceDN w:val="0"/>
              <w:adjustRightInd w:val="0"/>
              <w:jc w:val="right"/>
              <w:rPr>
                <w:szCs w:val="21"/>
              </w:rPr>
            </w:pPr>
            <w:r>
              <w:t>902,994.58</w:t>
            </w:r>
          </w:p>
        </w:tc>
      </w:tr>
      <w:tr w:rsidR="00E57DAA" w14:paraId="5AA78D9D" w14:textId="77777777">
        <w:tc>
          <w:tcPr>
            <w:tcW w:w="640" w:type="pct"/>
            <w:tcBorders>
              <w:top w:val="single" w:sz="4" w:space="0" w:color="auto"/>
              <w:left w:val="single" w:sz="4" w:space="0" w:color="auto"/>
              <w:bottom w:val="single" w:sz="4" w:space="0" w:color="auto"/>
              <w:right w:val="single" w:sz="4" w:space="0" w:color="auto"/>
            </w:tcBorders>
            <w:vAlign w:val="center"/>
          </w:tcPr>
          <w:p w14:paraId="54566AB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249ED24" w14:textId="77777777" w:rsidR="00E57DAA" w:rsidRDefault="00AC4185">
            <w:pPr>
              <w:autoSpaceDE w:val="0"/>
              <w:autoSpaceDN w:val="0"/>
              <w:adjustRightInd w:val="0"/>
              <w:rPr>
                <w:szCs w:val="21"/>
              </w:rPr>
            </w:pPr>
            <w:r>
              <w:t>兰溪诸葛南方水泥有限公司</w:t>
            </w:r>
          </w:p>
        </w:tc>
        <w:tc>
          <w:tcPr>
            <w:tcW w:w="1059" w:type="pct"/>
            <w:tcBorders>
              <w:top w:val="single" w:sz="4" w:space="0" w:color="auto"/>
              <w:left w:val="single" w:sz="4" w:space="0" w:color="auto"/>
              <w:bottom w:val="single" w:sz="4" w:space="0" w:color="auto"/>
              <w:right w:val="single" w:sz="4" w:space="0" w:color="auto"/>
            </w:tcBorders>
          </w:tcPr>
          <w:p w14:paraId="391B4A0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6F4DBF7" w14:textId="77777777" w:rsidR="00E57DAA" w:rsidRDefault="00AC4185">
            <w:pPr>
              <w:autoSpaceDE w:val="0"/>
              <w:autoSpaceDN w:val="0"/>
              <w:adjustRightInd w:val="0"/>
              <w:jc w:val="right"/>
              <w:rPr>
                <w:szCs w:val="21"/>
              </w:rPr>
            </w:pPr>
            <w:r>
              <w:t>32,743.36</w:t>
            </w:r>
          </w:p>
        </w:tc>
      </w:tr>
      <w:tr w:rsidR="00E57DAA" w14:paraId="537ED1DB" w14:textId="77777777">
        <w:tc>
          <w:tcPr>
            <w:tcW w:w="640" w:type="pct"/>
            <w:tcBorders>
              <w:top w:val="single" w:sz="4" w:space="0" w:color="auto"/>
              <w:left w:val="single" w:sz="4" w:space="0" w:color="auto"/>
              <w:bottom w:val="single" w:sz="4" w:space="0" w:color="auto"/>
              <w:right w:val="single" w:sz="4" w:space="0" w:color="auto"/>
            </w:tcBorders>
            <w:vAlign w:val="center"/>
          </w:tcPr>
          <w:p w14:paraId="68F095A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0AAFF49" w14:textId="77777777" w:rsidR="00E57DAA" w:rsidRDefault="00AC4185">
            <w:pPr>
              <w:autoSpaceDE w:val="0"/>
              <w:autoSpaceDN w:val="0"/>
              <w:adjustRightInd w:val="0"/>
              <w:rPr>
                <w:szCs w:val="21"/>
              </w:rPr>
            </w:pPr>
            <w:r>
              <w:t>临沂中联水泥有限公司</w:t>
            </w:r>
          </w:p>
        </w:tc>
        <w:tc>
          <w:tcPr>
            <w:tcW w:w="1059" w:type="pct"/>
            <w:tcBorders>
              <w:top w:val="single" w:sz="4" w:space="0" w:color="auto"/>
              <w:left w:val="single" w:sz="4" w:space="0" w:color="auto"/>
              <w:bottom w:val="single" w:sz="4" w:space="0" w:color="auto"/>
              <w:right w:val="single" w:sz="4" w:space="0" w:color="auto"/>
            </w:tcBorders>
          </w:tcPr>
          <w:p w14:paraId="6B1093DF"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7605B1B1" w14:textId="77777777" w:rsidR="00E57DAA" w:rsidRDefault="00AC4185">
            <w:pPr>
              <w:autoSpaceDE w:val="0"/>
              <w:autoSpaceDN w:val="0"/>
              <w:adjustRightInd w:val="0"/>
              <w:jc w:val="right"/>
              <w:rPr>
                <w:szCs w:val="21"/>
              </w:rPr>
            </w:pPr>
            <w:r>
              <w:t>36,036.04</w:t>
            </w:r>
          </w:p>
        </w:tc>
      </w:tr>
      <w:tr w:rsidR="00E57DAA" w14:paraId="1D9D96DC" w14:textId="77777777">
        <w:tc>
          <w:tcPr>
            <w:tcW w:w="640" w:type="pct"/>
            <w:tcBorders>
              <w:top w:val="single" w:sz="4" w:space="0" w:color="auto"/>
              <w:left w:val="single" w:sz="4" w:space="0" w:color="auto"/>
              <w:bottom w:val="single" w:sz="4" w:space="0" w:color="auto"/>
              <w:right w:val="single" w:sz="4" w:space="0" w:color="auto"/>
            </w:tcBorders>
            <w:vAlign w:val="center"/>
          </w:tcPr>
          <w:p w14:paraId="4345907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EC3A06F" w14:textId="77777777" w:rsidR="00E57DAA" w:rsidRDefault="00AC4185">
            <w:pPr>
              <w:autoSpaceDE w:val="0"/>
              <w:autoSpaceDN w:val="0"/>
              <w:adjustRightInd w:val="0"/>
              <w:rPr>
                <w:szCs w:val="21"/>
              </w:rPr>
            </w:pPr>
            <w:r>
              <w:t>牡丹江北方远东水泥有限公司</w:t>
            </w:r>
          </w:p>
        </w:tc>
        <w:tc>
          <w:tcPr>
            <w:tcW w:w="1059" w:type="pct"/>
            <w:tcBorders>
              <w:top w:val="single" w:sz="4" w:space="0" w:color="auto"/>
              <w:left w:val="single" w:sz="4" w:space="0" w:color="auto"/>
              <w:bottom w:val="single" w:sz="4" w:space="0" w:color="auto"/>
              <w:right w:val="single" w:sz="4" w:space="0" w:color="auto"/>
            </w:tcBorders>
          </w:tcPr>
          <w:p w14:paraId="11EEAA8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C11B01A" w14:textId="77777777" w:rsidR="00E57DAA" w:rsidRDefault="00AC4185">
            <w:pPr>
              <w:autoSpaceDE w:val="0"/>
              <w:autoSpaceDN w:val="0"/>
              <w:adjustRightInd w:val="0"/>
              <w:jc w:val="right"/>
              <w:rPr>
                <w:szCs w:val="21"/>
              </w:rPr>
            </w:pPr>
            <w:r>
              <w:t>2,623,067.55</w:t>
            </w:r>
          </w:p>
        </w:tc>
      </w:tr>
      <w:tr w:rsidR="00E57DAA" w14:paraId="0F75A417" w14:textId="77777777">
        <w:tc>
          <w:tcPr>
            <w:tcW w:w="640" w:type="pct"/>
            <w:tcBorders>
              <w:top w:val="single" w:sz="4" w:space="0" w:color="auto"/>
              <w:left w:val="single" w:sz="4" w:space="0" w:color="auto"/>
              <w:bottom w:val="single" w:sz="4" w:space="0" w:color="auto"/>
              <w:right w:val="single" w:sz="4" w:space="0" w:color="auto"/>
            </w:tcBorders>
            <w:vAlign w:val="center"/>
          </w:tcPr>
          <w:p w14:paraId="41B13F5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7D839D5" w14:textId="77777777" w:rsidR="00E57DAA" w:rsidRDefault="00AC4185">
            <w:pPr>
              <w:autoSpaceDE w:val="0"/>
              <w:autoSpaceDN w:val="0"/>
              <w:adjustRightInd w:val="0"/>
              <w:rPr>
                <w:szCs w:val="21"/>
              </w:rPr>
            </w:pPr>
            <w:r>
              <w:t>北方水泥有限公司</w:t>
            </w:r>
          </w:p>
        </w:tc>
        <w:tc>
          <w:tcPr>
            <w:tcW w:w="1059" w:type="pct"/>
            <w:tcBorders>
              <w:top w:val="single" w:sz="4" w:space="0" w:color="auto"/>
              <w:left w:val="single" w:sz="4" w:space="0" w:color="auto"/>
              <w:bottom w:val="single" w:sz="4" w:space="0" w:color="auto"/>
              <w:right w:val="single" w:sz="4" w:space="0" w:color="auto"/>
            </w:tcBorders>
          </w:tcPr>
          <w:p w14:paraId="4D2F8DE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4648601" w14:textId="77777777" w:rsidR="00E57DAA" w:rsidRDefault="00AC4185">
            <w:pPr>
              <w:autoSpaceDE w:val="0"/>
              <w:autoSpaceDN w:val="0"/>
              <w:adjustRightInd w:val="0"/>
              <w:jc w:val="right"/>
              <w:rPr>
                <w:szCs w:val="21"/>
              </w:rPr>
            </w:pPr>
            <w:r>
              <w:t>1,061.95</w:t>
            </w:r>
          </w:p>
        </w:tc>
      </w:tr>
      <w:tr w:rsidR="00E57DAA" w14:paraId="06A722C8" w14:textId="77777777">
        <w:tc>
          <w:tcPr>
            <w:tcW w:w="640" w:type="pct"/>
            <w:tcBorders>
              <w:top w:val="single" w:sz="4" w:space="0" w:color="auto"/>
              <w:left w:val="single" w:sz="4" w:space="0" w:color="auto"/>
              <w:bottom w:val="single" w:sz="4" w:space="0" w:color="auto"/>
              <w:right w:val="single" w:sz="4" w:space="0" w:color="auto"/>
            </w:tcBorders>
            <w:vAlign w:val="center"/>
          </w:tcPr>
          <w:p w14:paraId="2F24C40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080E077" w14:textId="77777777" w:rsidR="00E57DAA" w:rsidRDefault="00AC4185">
            <w:pPr>
              <w:autoSpaceDE w:val="0"/>
              <w:autoSpaceDN w:val="0"/>
              <w:adjustRightInd w:val="0"/>
              <w:rPr>
                <w:szCs w:val="21"/>
              </w:rPr>
            </w:pPr>
            <w:r>
              <w:t>南阳中联水泥有限公司</w:t>
            </w:r>
          </w:p>
        </w:tc>
        <w:tc>
          <w:tcPr>
            <w:tcW w:w="1059" w:type="pct"/>
            <w:tcBorders>
              <w:top w:val="single" w:sz="4" w:space="0" w:color="auto"/>
              <w:left w:val="single" w:sz="4" w:space="0" w:color="auto"/>
              <w:bottom w:val="single" w:sz="4" w:space="0" w:color="auto"/>
              <w:right w:val="single" w:sz="4" w:space="0" w:color="auto"/>
            </w:tcBorders>
          </w:tcPr>
          <w:p w14:paraId="5B2FF73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A2CE056" w14:textId="77777777" w:rsidR="00E57DAA" w:rsidRDefault="00AC4185">
            <w:pPr>
              <w:autoSpaceDE w:val="0"/>
              <w:autoSpaceDN w:val="0"/>
              <w:adjustRightInd w:val="0"/>
              <w:jc w:val="right"/>
              <w:rPr>
                <w:szCs w:val="21"/>
              </w:rPr>
            </w:pPr>
            <w:r>
              <w:t>69,386.80</w:t>
            </w:r>
          </w:p>
        </w:tc>
      </w:tr>
      <w:tr w:rsidR="00E57DAA" w14:paraId="570F2A69" w14:textId="77777777">
        <w:tc>
          <w:tcPr>
            <w:tcW w:w="640" w:type="pct"/>
            <w:tcBorders>
              <w:top w:val="single" w:sz="4" w:space="0" w:color="auto"/>
              <w:left w:val="single" w:sz="4" w:space="0" w:color="auto"/>
              <w:bottom w:val="single" w:sz="4" w:space="0" w:color="auto"/>
              <w:right w:val="single" w:sz="4" w:space="0" w:color="auto"/>
            </w:tcBorders>
            <w:vAlign w:val="center"/>
          </w:tcPr>
          <w:p w14:paraId="54EDF679" w14:textId="77777777" w:rsidR="00E57DAA" w:rsidRDefault="00AC4185">
            <w:pPr>
              <w:autoSpaceDE w:val="0"/>
              <w:autoSpaceDN w:val="0"/>
              <w:adjustRightInd w:val="0"/>
              <w:rPr>
                <w:szCs w:val="21"/>
              </w:rPr>
            </w:pPr>
            <w:r>
              <w:lastRenderedPageBreak/>
              <w:t>合同负债</w:t>
            </w:r>
          </w:p>
        </w:tc>
        <w:tc>
          <w:tcPr>
            <w:tcW w:w="1894" w:type="pct"/>
            <w:tcBorders>
              <w:top w:val="single" w:sz="4" w:space="0" w:color="auto"/>
              <w:left w:val="single" w:sz="4" w:space="0" w:color="auto"/>
              <w:bottom w:val="single" w:sz="4" w:space="0" w:color="auto"/>
              <w:right w:val="single" w:sz="4" w:space="0" w:color="auto"/>
            </w:tcBorders>
          </w:tcPr>
          <w:p w14:paraId="4815530D" w14:textId="77777777" w:rsidR="00E57DAA" w:rsidRDefault="00AC4185">
            <w:pPr>
              <w:autoSpaceDE w:val="0"/>
              <w:autoSpaceDN w:val="0"/>
              <w:adjustRightInd w:val="0"/>
              <w:rPr>
                <w:szCs w:val="21"/>
              </w:rPr>
            </w:pPr>
            <w:r>
              <w:t>攀枝花攀煤水泥制品有限公司</w:t>
            </w:r>
          </w:p>
        </w:tc>
        <w:tc>
          <w:tcPr>
            <w:tcW w:w="1059" w:type="pct"/>
            <w:tcBorders>
              <w:top w:val="single" w:sz="4" w:space="0" w:color="auto"/>
              <w:left w:val="single" w:sz="4" w:space="0" w:color="auto"/>
              <w:bottom w:val="single" w:sz="4" w:space="0" w:color="auto"/>
              <w:right w:val="single" w:sz="4" w:space="0" w:color="auto"/>
            </w:tcBorders>
          </w:tcPr>
          <w:p w14:paraId="7520046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8566FE2" w14:textId="77777777" w:rsidR="00E57DAA" w:rsidRDefault="00AC4185">
            <w:pPr>
              <w:autoSpaceDE w:val="0"/>
              <w:autoSpaceDN w:val="0"/>
              <w:adjustRightInd w:val="0"/>
              <w:jc w:val="right"/>
              <w:rPr>
                <w:szCs w:val="21"/>
              </w:rPr>
            </w:pPr>
            <w:r>
              <w:t>216,814.16</w:t>
            </w:r>
          </w:p>
        </w:tc>
      </w:tr>
      <w:tr w:rsidR="00E57DAA" w14:paraId="592C40B6" w14:textId="77777777">
        <w:tc>
          <w:tcPr>
            <w:tcW w:w="640" w:type="pct"/>
            <w:tcBorders>
              <w:top w:val="single" w:sz="4" w:space="0" w:color="auto"/>
              <w:left w:val="single" w:sz="4" w:space="0" w:color="auto"/>
              <w:bottom w:val="single" w:sz="4" w:space="0" w:color="auto"/>
              <w:right w:val="single" w:sz="4" w:space="0" w:color="auto"/>
            </w:tcBorders>
            <w:vAlign w:val="center"/>
          </w:tcPr>
          <w:p w14:paraId="7BDADAE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60CCB2E" w14:textId="77777777" w:rsidR="00E57DAA" w:rsidRDefault="00AC4185">
            <w:pPr>
              <w:autoSpaceDE w:val="0"/>
              <w:autoSpaceDN w:val="0"/>
              <w:adjustRightInd w:val="0"/>
              <w:rPr>
                <w:szCs w:val="21"/>
              </w:rPr>
            </w:pPr>
            <w:r>
              <w:t>平邑中联水泥有限公司</w:t>
            </w:r>
          </w:p>
        </w:tc>
        <w:tc>
          <w:tcPr>
            <w:tcW w:w="1059" w:type="pct"/>
            <w:tcBorders>
              <w:top w:val="single" w:sz="4" w:space="0" w:color="auto"/>
              <w:left w:val="single" w:sz="4" w:space="0" w:color="auto"/>
              <w:bottom w:val="single" w:sz="4" w:space="0" w:color="auto"/>
              <w:right w:val="single" w:sz="4" w:space="0" w:color="auto"/>
            </w:tcBorders>
          </w:tcPr>
          <w:p w14:paraId="03DB4F8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F876B4E" w14:textId="77777777" w:rsidR="00E57DAA" w:rsidRDefault="00AC4185">
            <w:pPr>
              <w:autoSpaceDE w:val="0"/>
              <w:autoSpaceDN w:val="0"/>
              <w:adjustRightInd w:val="0"/>
              <w:jc w:val="right"/>
              <w:rPr>
                <w:szCs w:val="21"/>
              </w:rPr>
            </w:pPr>
            <w:r>
              <w:t>176,991.15</w:t>
            </w:r>
          </w:p>
        </w:tc>
      </w:tr>
      <w:tr w:rsidR="00E57DAA" w14:paraId="3A973E30" w14:textId="77777777">
        <w:tc>
          <w:tcPr>
            <w:tcW w:w="640" w:type="pct"/>
            <w:tcBorders>
              <w:top w:val="single" w:sz="4" w:space="0" w:color="auto"/>
              <w:left w:val="single" w:sz="4" w:space="0" w:color="auto"/>
              <w:bottom w:val="single" w:sz="4" w:space="0" w:color="auto"/>
              <w:right w:val="single" w:sz="4" w:space="0" w:color="auto"/>
            </w:tcBorders>
            <w:vAlign w:val="center"/>
          </w:tcPr>
          <w:p w14:paraId="11BB7AD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064FD3F" w14:textId="77777777" w:rsidR="00E57DAA" w:rsidRDefault="00AC4185">
            <w:pPr>
              <w:autoSpaceDE w:val="0"/>
              <w:autoSpaceDN w:val="0"/>
              <w:adjustRightInd w:val="0"/>
              <w:rPr>
                <w:szCs w:val="21"/>
              </w:rPr>
            </w:pPr>
            <w:r>
              <w:t>沙湾天山水泥有限责任公司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1D5443F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4C0FC2E" w14:textId="77777777" w:rsidR="00E57DAA" w:rsidRDefault="00AC4185">
            <w:pPr>
              <w:autoSpaceDE w:val="0"/>
              <w:autoSpaceDN w:val="0"/>
              <w:adjustRightInd w:val="0"/>
              <w:jc w:val="right"/>
              <w:rPr>
                <w:szCs w:val="21"/>
              </w:rPr>
            </w:pPr>
            <w:r>
              <w:t>5,978,761.06</w:t>
            </w:r>
          </w:p>
        </w:tc>
      </w:tr>
      <w:tr w:rsidR="00E57DAA" w14:paraId="051865FB" w14:textId="77777777">
        <w:tc>
          <w:tcPr>
            <w:tcW w:w="640" w:type="pct"/>
            <w:tcBorders>
              <w:top w:val="single" w:sz="4" w:space="0" w:color="auto"/>
              <w:left w:val="single" w:sz="4" w:space="0" w:color="auto"/>
              <w:bottom w:val="single" w:sz="4" w:space="0" w:color="auto"/>
              <w:right w:val="single" w:sz="4" w:space="0" w:color="auto"/>
            </w:tcBorders>
            <w:vAlign w:val="center"/>
          </w:tcPr>
          <w:p w14:paraId="57398A3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578EE9F" w14:textId="77777777" w:rsidR="00E57DAA" w:rsidRDefault="00AC4185">
            <w:pPr>
              <w:autoSpaceDE w:val="0"/>
              <w:autoSpaceDN w:val="0"/>
              <w:adjustRightInd w:val="0"/>
              <w:rPr>
                <w:szCs w:val="21"/>
              </w:rPr>
            </w:pPr>
            <w:r>
              <w:t>山东临沂山琦矿业有限公司</w:t>
            </w:r>
          </w:p>
        </w:tc>
        <w:tc>
          <w:tcPr>
            <w:tcW w:w="1059" w:type="pct"/>
            <w:tcBorders>
              <w:top w:val="single" w:sz="4" w:space="0" w:color="auto"/>
              <w:left w:val="single" w:sz="4" w:space="0" w:color="auto"/>
              <w:bottom w:val="single" w:sz="4" w:space="0" w:color="auto"/>
              <w:right w:val="single" w:sz="4" w:space="0" w:color="auto"/>
            </w:tcBorders>
          </w:tcPr>
          <w:p w14:paraId="1B6726E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F4C16ED" w14:textId="77777777" w:rsidR="00E57DAA" w:rsidRDefault="00AC4185">
            <w:pPr>
              <w:autoSpaceDE w:val="0"/>
              <w:autoSpaceDN w:val="0"/>
              <w:adjustRightInd w:val="0"/>
              <w:jc w:val="right"/>
              <w:rPr>
                <w:szCs w:val="21"/>
              </w:rPr>
            </w:pPr>
            <w:r>
              <w:t>127,433.63</w:t>
            </w:r>
          </w:p>
        </w:tc>
      </w:tr>
      <w:tr w:rsidR="00E57DAA" w14:paraId="4B1457A8" w14:textId="77777777">
        <w:tc>
          <w:tcPr>
            <w:tcW w:w="640" w:type="pct"/>
            <w:tcBorders>
              <w:top w:val="single" w:sz="4" w:space="0" w:color="auto"/>
              <w:left w:val="single" w:sz="4" w:space="0" w:color="auto"/>
              <w:bottom w:val="single" w:sz="4" w:space="0" w:color="auto"/>
              <w:right w:val="single" w:sz="4" w:space="0" w:color="auto"/>
            </w:tcBorders>
            <w:vAlign w:val="center"/>
          </w:tcPr>
          <w:p w14:paraId="140D0688"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2C059A9" w14:textId="77777777" w:rsidR="00E57DAA" w:rsidRDefault="00AC4185">
            <w:pPr>
              <w:autoSpaceDE w:val="0"/>
              <w:autoSpaceDN w:val="0"/>
              <w:adjustRightInd w:val="0"/>
              <w:rPr>
                <w:szCs w:val="21"/>
              </w:rPr>
            </w:pPr>
            <w:r>
              <w:t>四川峨边西南水泥有限公司</w:t>
            </w:r>
          </w:p>
        </w:tc>
        <w:tc>
          <w:tcPr>
            <w:tcW w:w="1059" w:type="pct"/>
            <w:tcBorders>
              <w:top w:val="single" w:sz="4" w:space="0" w:color="auto"/>
              <w:left w:val="single" w:sz="4" w:space="0" w:color="auto"/>
              <w:bottom w:val="single" w:sz="4" w:space="0" w:color="auto"/>
              <w:right w:val="single" w:sz="4" w:space="0" w:color="auto"/>
            </w:tcBorders>
          </w:tcPr>
          <w:p w14:paraId="383C827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465A916" w14:textId="77777777" w:rsidR="00E57DAA" w:rsidRDefault="00AC4185">
            <w:pPr>
              <w:autoSpaceDE w:val="0"/>
              <w:autoSpaceDN w:val="0"/>
              <w:adjustRightInd w:val="0"/>
              <w:jc w:val="right"/>
              <w:rPr>
                <w:szCs w:val="21"/>
              </w:rPr>
            </w:pPr>
            <w:r>
              <w:t>0.42</w:t>
            </w:r>
          </w:p>
        </w:tc>
      </w:tr>
      <w:tr w:rsidR="00E57DAA" w14:paraId="3E49470B" w14:textId="77777777">
        <w:tc>
          <w:tcPr>
            <w:tcW w:w="640" w:type="pct"/>
            <w:tcBorders>
              <w:top w:val="single" w:sz="4" w:space="0" w:color="auto"/>
              <w:left w:val="single" w:sz="4" w:space="0" w:color="auto"/>
              <w:bottom w:val="single" w:sz="4" w:space="0" w:color="auto"/>
              <w:right w:val="single" w:sz="4" w:space="0" w:color="auto"/>
            </w:tcBorders>
            <w:vAlign w:val="center"/>
          </w:tcPr>
          <w:p w14:paraId="6673976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B834BC9" w14:textId="77777777" w:rsidR="00E57DAA" w:rsidRDefault="00AC4185">
            <w:pPr>
              <w:autoSpaceDE w:val="0"/>
              <w:autoSpaceDN w:val="0"/>
              <w:adjustRightInd w:val="0"/>
              <w:rPr>
                <w:szCs w:val="21"/>
              </w:rPr>
            </w:pPr>
            <w:r>
              <w:t>四川峨眉山西南水泥有限公司</w:t>
            </w:r>
          </w:p>
        </w:tc>
        <w:tc>
          <w:tcPr>
            <w:tcW w:w="1059" w:type="pct"/>
            <w:tcBorders>
              <w:top w:val="single" w:sz="4" w:space="0" w:color="auto"/>
              <w:left w:val="single" w:sz="4" w:space="0" w:color="auto"/>
              <w:bottom w:val="single" w:sz="4" w:space="0" w:color="auto"/>
              <w:right w:val="single" w:sz="4" w:space="0" w:color="auto"/>
            </w:tcBorders>
          </w:tcPr>
          <w:p w14:paraId="76FF5F4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DF6C0A5" w14:textId="77777777" w:rsidR="00E57DAA" w:rsidRDefault="00AC4185">
            <w:pPr>
              <w:autoSpaceDE w:val="0"/>
              <w:autoSpaceDN w:val="0"/>
              <w:adjustRightInd w:val="0"/>
              <w:jc w:val="right"/>
              <w:rPr>
                <w:szCs w:val="21"/>
              </w:rPr>
            </w:pPr>
            <w:r>
              <w:t>4,307.79</w:t>
            </w:r>
          </w:p>
        </w:tc>
      </w:tr>
      <w:tr w:rsidR="00E57DAA" w14:paraId="06CCF712" w14:textId="77777777">
        <w:tc>
          <w:tcPr>
            <w:tcW w:w="640" w:type="pct"/>
            <w:tcBorders>
              <w:top w:val="single" w:sz="4" w:space="0" w:color="auto"/>
              <w:left w:val="single" w:sz="4" w:space="0" w:color="auto"/>
              <w:bottom w:val="single" w:sz="4" w:space="0" w:color="auto"/>
              <w:right w:val="single" w:sz="4" w:space="0" w:color="auto"/>
            </w:tcBorders>
            <w:vAlign w:val="center"/>
          </w:tcPr>
          <w:p w14:paraId="1C37475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FB7AB7F" w14:textId="77777777" w:rsidR="00E57DAA" w:rsidRDefault="00AC4185">
            <w:pPr>
              <w:autoSpaceDE w:val="0"/>
              <w:autoSpaceDN w:val="0"/>
              <w:adjustRightInd w:val="0"/>
              <w:rPr>
                <w:szCs w:val="21"/>
              </w:rPr>
            </w:pPr>
            <w:r>
              <w:t>泰山石膏（巢湖）有限公司</w:t>
            </w:r>
          </w:p>
        </w:tc>
        <w:tc>
          <w:tcPr>
            <w:tcW w:w="1059" w:type="pct"/>
            <w:tcBorders>
              <w:top w:val="single" w:sz="4" w:space="0" w:color="auto"/>
              <w:left w:val="single" w:sz="4" w:space="0" w:color="auto"/>
              <w:bottom w:val="single" w:sz="4" w:space="0" w:color="auto"/>
              <w:right w:val="single" w:sz="4" w:space="0" w:color="auto"/>
            </w:tcBorders>
          </w:tcPr>
          <w:p w14:paraId="143ADC0A"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1182840" w14:textId="77777777" w:rsidR="00E57DAA" w:rsidRDefault="00AC4185">
            <w:pPr>
              <w:autoSpaceDE w:val="0"/>
              <w:autoSpaceDN w:val="0"/>
              <w:adjustRightInd w:val="0"/>
              <w:jc w:val="right"/>
              <w:rPr>
                <w:szCs w:val="21"/>
              </w:rPr>
            </w:pPr>
            <w:r>
              <w:t>10,364.60</w:t>
            </w:r>
          </w:p>
        </w:tc>
      </w:tr>
      <w:tr w:rsidR="00E57DAA" w14:paraId="340C4BFF" w14:textId="77777777">
        <w:tc>
          <w:tcPr>
            <w:tcW w:w="640" w:type="pct"/>
            <w:tcBorders>
              <w:top w:val="single" w:sz="4" w:space="0" w:color="auto"/>
              <w:left w:val="single" w:sz="4" w:space="0" w:color="auto"/>
              <w:bottom w:val="single" w:sz="4" w:space="0" w:color="auto"/>
              <w:right w:val="single" w:sz="4" w:space="0" w:color="auto"/>
            </w:tcBorders>
            <w:vAlign w:val="center"/>
          </w:tcPr>
          <w:p w14:paraId="002F1C8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A65EFE3" w14:textId="77777777" w:rsidR="00E57DAA" w:rsidRDefault="00AC4185">
            <w:pPr>
              <w:autoSpaceDE w:val="0"/>
              <w:autoSpaceDN w:val="0"/>
              <w:adjustRightInd w:val="0"/>
              <w:rPr>
                <w:szCs w:val="21"/>
              </w:rPr>
            </w:pPr>
            <w:r>
              <w:t>桐庐南方水泥有限公司</w:t>
            </w:r>
          </w:p>
        </w:tc>
        <w:tc>
          <w:tcPr>
            <w:tcW w:w="1059" w:type="pct"/>
            <w:tcBorders>
              <w:top w:val="single" w:sz="4" w:space="0" w:color="auto"/>
              <w:left w:val="single" w:sz="4" w:space="0" w:color="auto"/>
              <w:bottom w:val="single" w:sz="4" w:space="0" w:color="auto"/>
              <w:right w:val="single" w:sz="4" w:space="0" w:color="auto"/>
            </w:tcBorders>
          </w:tcPr>
          <w:p w14:paraId="23B09B9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94D42E6" w14:textId="77777777" w:rsidR="00E57DAA" w:rsidRDefault="00AC4185">
            <w:pPr>
              <w:autoSpaceDE w:val="0"/>
              <w:autoSpaceDN w:val="0"/>
              <w:adjustRightInd w:val="0"/>
              <w:jc w:val="right"/>
              <w:rPr>
                <w:szCs w:val="21"/>
              </w:rPr>
            </w:pPr>
            <w:r>
              <w:t>573,444.76</w:t>
            </w:r>
          </w:p>
        </w:tc>
      </w:tr>
      <w:tr w:rsidR="00E57DAA" w14:paraId="3AF404D6" w14:textId="77777777">
        <w:tc>
          <w:tcPr>
            <w:tcW w:w="640" w:type="pct"/>
            <w:tcBorders>
              <w:top w:val="single" w:sz="4" w:space="0" w:color="auto"/>
              <w:left w:val="single" w:sz="4" w:space="0" w:color="auto"/>
              <w:bottom w:val="single" w:sz="4" w:space="0" w:color="auto"/>
              <w:right w:val="single" w:sz="4" w:space="0" w:color="auto"/>
            </w:tcBorders>
            <w:vAlign w:val="center"/>
          </w:tcPr>
          <w:p w14:paraId="56CC325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2B39F4C" w14:textId="77777777" w:rsidR="00E57DAA" w:rsidRDefault="00AC4185">
            <w:pPr>
              <w:autoSpaceDE w:val="0"/>
              <w:autoSpaceDN w:val="0"/>
              <w:adjustRightInd w:val="0"/>
              <w:rPr>
                <w:szCs w:val="21"/>
              </w:rPr>
            </w:pPr>
            <w:r>
              <w:t>吐鲁番天山水泥有限责任公司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6FF31E3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CDA3A1B" w14:textId="77777777" w:rsidR="00E57DAA" w:rsidRDefault="00AC4185">
            <w:pPr>
              <w:autoSpaceDE w:val="0"/>
              <w:autoSpaceDN w:val="0"/>
              <w:adjustRightInd w:val="0"/>
              <w:jc w:val="right"/>
              <w:rPr>
                <w:szCs w:val="21"/>
              </w:rPr>
            </w:pPr>
            <w:r>
              <w:t>1,074,366.51</w:t>
            </w:r>
          </w:p>
        </w:tc>
      </w:tr>
      <w:tr w:rsidR="00E57DAA" w14:paraId="5A382137" w14:textId="77777777">
        <w:tc>
          <w:tcPr>
            <w:tcW w:w="640" w:type="pct"/>
            <w:tcBorders>
              <w:top w:val="single" w:sz="4" w:space="0" w:color="auto"/>
              <w:left w:val="single" w:sz="4" w:space="0" w:color="auto"/>
              <w:bottom w:val="single" w:sz="4" w:space="0" w:color="auto"/>
              <w:right w:val="single" w:sz="4" w:space="0" w:color="auto"/>
            </w:tcBorders>
            <w:vAlign w:val="center"/>
          </w:tcPr>
          <w:p w14:paraId="3E6A563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07A58F8" w14:textId="77777777" w:rsidR="00E57DAA" w:rsidRDefault="00AC4185">
            <w:pPr>
              <w:autoSpaceDE w:val="0"/>
              <w:autoSpaceDN w:val="0"/>
              <w:adjustRightInd w:val="0"/>
              <w:rPr>
                <w:szCs w:val="21"/>
              </w:rPr>
            </w:pPr>
            <w:r>
              <w:t>旺苍川煤水泥有限责任公司</w:t>
            </w:r>
          </w:p>
        </w:tc>
        <w:tc>
          <w:tcPr>
            <w:tcW w:w="1059" w:type="pct"/>
            <w:tcBorders>
              <w:top w:val="single" w:sz="4" w:space="0" w:color="auto"/>
              <w:left w:val="single" w:sz="4" w:space="0" w:color="auto"/>
              <w:bottom w:val="single" w:sz="4" w:space="0" w:color="auto"/>
              <w:right w:val="single" w:sz="4" w:space="0" w:color="auto"/>
            </w:tcBorders>
          </w:tcPr>
          <w:p w14:paraId="40B3E58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079582A" w14:textId="77777777" w:rsidR="00E57DAA" w:rsidRDefault="00AC4185">
            <w:pPr>
              <w:autoSpaceDE w:val="0"/>
              <w:autoSpaceDN w:val="0"/>
              <w:adjustRightInd w:val="0"/>
              <w:jc w:val="right"/>
              <w:rPr>
                <w:szCs w:val="21"/>
              </w:rPr>
            </w:pPr>
            <w:r>
              <w:t>265,486.73</w:t>
            </w:r>
          </w:p>
        </w:tc>
      </w:tr>
      <w:tr w:rsidR="00E57DAA" w14:paraId="46A680E0" w14:textId="77777777">
        <w:tc>
          <w:tcPr>
            <w:tcW w:w="640" w:type="pct"/>
            <w:tcBorders>
              <w:top w:val="single" w:sz="4" w:space="0" w:color="auto"/>
              <w:left w:val="single" w:sz="4" w:space="0" w:color="auto"/>
              <w:bottom w:val="single" w:sz="4" w:space="0" w:color="auto"/>
              <w:right w:val="single" w:sz="4" w:space="0" w:color="auto"/>
            </w:tcBorders>
            <w:vAlign w:val="center"/>
          </w:tcPr>
          <w:p w14:paraId="365F32A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D269A7C" w14:textId="77777777" w:rsidR="00E57DAA" w:rsidRDefault="00AC4185">
            <w:pPr>
              <w:autoSpaceDE w:val="0"/>
              <w:autoSpaceDN w:val="0"/>
              <w:adjustRightInd w:val="0"/>
              <w:rPr>
                <w:szCs w:val="21"/>
              </w:rPr>
            </w:pPr>
            <w:r>
              <w:t>五河中联水泥有限公司</w:t>
            </w:r>
          </w:p>
        </w:tc>
        <w:tc>
          <w:tcPr>
            <w:tcW w:w="1059" w:type="pct"/>
            <w:tcBorders>
              <w:top w:val="single" w:sz="4" w:space="0" w:color="auto"/>
              <w:left w:val="single" w:sz="4" w:space="0" w:color="auto"/>
              <w:bottom w:val="single" w:sz="4" w:space="0" w:color="auto"/>
              <w:right w:val="single" w:sz="4" w:space="0" w:color="auto"/>
            </w:tcBorders>
          </w:tcPr>
          <w:p w14:paraId="4D01903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007647A" w14:textId="77777777" w:rsidR="00E57DAA" w:rsidRDefault="00AC4185">
            <w:pPr>
              <w:autoSpaceDE w:val="0"/>
              <w:autoSpaceDN w:val="0"/>
              <w:adjustRightInd w:val="0"/>
              <w:jc w:val="right"/>
              <w:rPr>
                <w:szCs w:val="21"/>
              </w:rPr>
            </w:pPr>
            <w:r>
              <w:t>45,000.00</w:t>
            </w:r>
          </w:p>
        </w:tc>
      </w:tr>
      <w:tr w:rsidR="00E57DAA" w14:paraId="2E3AD4BC" w14:textId="77777777">
        <w:tc>
          <w:tcPr>
            <w:tcW w:w="640" w:type="pct"/>
            <w:tcBorders>
              <w:top w:val="single" w:sz="4" w:space="0" w:color="auto"/>
              <w:left w:val="single" w:sz="4" w:space="0" w:color="auto"/>
              <w:bottom w:val="single" w:sz="4" w:space="0" w:color="auto"/>
              <w:right w:val="single" w:sz="4" w:space="0" w:color="auto"/>
            </w:tcBorders>
            <w:vAlign w:val="center"/>
          </w:tcPr>
          <w:p w14:paraId="7CAAE21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2AFBE6E" w14:textId="77777777" w:rsidR="00E57DAA" w:rsidRDefault="00AC4185">
            <w:pPr>
              <w:autoSpaceDE w:val="0"/>
              <w:autoSpaceDN w:val="0"/>
              <w:adjustRightInd w:val="0"/>
              <w:rPr>
                <w:szCs w:val="21"/>
              </w:rPr>
            </w:pPr>
            <w:r>
              <w:t>西藏中材祁连山水泥有限公司</w:t>
            </w:r>
          </w:p>
        </w:tc>
        <w:tc>
          <w:tcPr>
            <w:tcW w:w="1059" w:type="pct"/>
            <w:tcBorders>
              <w:top w:val="single" w:sz="4" w:space="0" w:color="auto"/>
              <w:left w:val="single" w:sz="4" w:space="0" w:color="auto"/>
              <w:bottom w:val="single" w:sz="4" w:space="0" w:color="auto"/>
              <w:right w:val="single" w:sz="4" w:space="0" w:color="auto"/>
            </w:tcBorders>
          </w:tcPr>
          <w:p w14:paraId="6B295F6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D3D92F0" w14:textId="77777777" w:rsidR="00E57DAA" w:rsidRDefault="00AC4185">
            <w:pPr>
              <w:autoSpaceDE w:val="0"/>
              <w:autoSpaceDN w:val="0"/>
              <w:adjustRightInd w:val="0"/>
              <w:jc w:val="right"/>
              <w:rPr>
                <w:szCs w:val="21"/>
              </w:rPr>
            </w:pPr>
            <w:r>
              <w:t>220,213.65</w:t>
            </w:r>
          </w:p>
        </w:tc>
      </w:tr>
      <w:tr w:rsidR="00E57DAA" w14:paraId="46E5EA6B" w14:textId="77777777">
        <w:tc>
          <w:tcPr>
            <w:tcW w:w="640" w:type="pct"/>
            <w:tcBorders>
              <w:top w:val="single" w:sz="4" w:space="0" w:color="auto"/>
              <w:left w:val="single" w:sz="4" w:space="0" w:color="auto"/>
              <w:bottom w:val="single" w:sz="4" w:space="0" w:color="auto"/>
              <w:right w:val="single" w:sz="4" w:space="0" w:color="auto"/>
            </w:tcBorders>
            <w:vAlign w:val="center"/>
          </w:tcPr>
          <w:p w14:paraId="21FFF81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3DCF18D" w14:textId="77777777" w:rsidR="00E57DAA" w:rsidRDefault="00AC4185">
            <w:pPr>
              <w:autoSpaceDE w:val="0"/>
              <w:autoSpaceDN w:val="0"/>
              <w:adjustRightInd w:val="0"/>
              <w:rPr>
                <w:szCs w:val="21"/>
              </w:rPr>
            </w:pPr>
            <w:r>
              <w:t>西南水泥有限公司</w:t>
            </w:r>
          </w:p>
        </w:tc>
        <w:tc>
          <w:tcPr>
            <w:tcW w:w="1059" w:type="pct"/>
            <w:tcBorders>
              <w:top w:val="single" w:sz="4" w:space="0" w:color="auto"/>
              <w:left w:val="single" w:sz="4" w:space="0" w:color="auto"/>
              <w:bottom w:val="single" w:sz="4" w:space="0" w:color="auto"/>
              <w:right w:val="single" w:sz="4" w:space="0" w:color="auto"/>
            </w:tcBorders>
          </w:tcPr>
          <w:p w14:paraId="7E2BA9B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C1A456A" w14:textId="77777777" w:rsidR="00E57DAA" w:rsidRDefault="00AC4185">
            <w:pPr>
              <w:autoSpaceDE w:val="0"/>
              <w:autoSpaceDN w:val="0"/>
              <w:adjustRightInd w:val="0"/>
              <w:jc w:val="right"/>
              <w:rPr>
                <w:szCs w:val="21"/>
              </w:rPr>
            </w:pPr>
            <w:r>
              <w:t>6,056,216.22</w:t>
            </w:r>
          </w:p>
        </w:tc>
      </w:tr>
      <w:tr w:rsidR="00E57DAA" w14:paraId="0C917F41" w14:textId="77777777">
        <w:tc>
          <w:tcPr>
            <w:tcW w:w="640" w:type="pct"/>
            <w:tcBorders>
              <w:top w:val="single" w:sz="4" w:space="0" w:color="auto"/>
              <w:left w:val="single" w:sz="4" w:space="0" w:color="auto"/>
              <w:bottom w:val="single" w:sz="4" w:space="0" w:color="auto"/>
              <w:right w:val="single" w:sz="4" w:space="0" w:color="auto"/>
            </w:tcBorders>
            <w:vAlign w:val="center"/>
          </w:tcPr>
          <w:p w14:paraId="7D5EEEE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DFFDA34" w14:textId="77777777" w:rsidR="00E57DAA" w:rsidRDefault="00AC4185">
            <w:pPr>
              <w:autoSpaceDE w:val="0"/>
              <w:autoSpaceDN w:val="0"/>
              <w:adjustRightInd w:val="0"/>
              <w:rPr>
                <w:szCs w:val="21"/>
              </w:rPr>
            </w:pPr>
            <w:r>
              <w:t>习水赛德水泥有限公司</w:t>
            </w:r>
          </w:p>
        </w:tc>
        <w:tc>
          <w:tcPr>
            <w:tcW w:w="1059" w:type="pct"/>
            <w:tcBorders>
              <w:top w:val="single" w:sz="4" w:space="0" w:color="auto"/>
              <w:left w:val="single" w:sz="4" w:space="0" w:color="auto"/>
              <w:bottom w:val="single" w:sz="4" w:space="0" w:color="auto"/>
              <w:right w:val="single" w:sz="4" w:space="0" w:color="auto"/>
            </w:tcBorders>
          </w:tcPr>
          <w:p w14:paraId="1B62BF0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6483E79" w14:textId="77777777" w:rsidR="00E57DAA" w:rsidRDefault="00AC4185">
            <w:pPr>
              <w:autoSpaceDE w:val="0"/>
              <w:autoSpaceDN w:val="0"/>
              <w:adjustRightInd w:val="0"/>
              <w:jc w:val="right"/>
              <w:rPr>
                <w:szCs w:val="21"/>
              </w:rPr>
            </w:pPr>
            <w:r>
              <w:t>488,750.44</w:t>
            </w:r>
          </w:p>
        </w:tc>
      </w:tr>
      <w:tr w:rsidR="00E57DAA" w14:paraId="42760C0C" w14:textId="77777777">
        <w:tc>
          <w:tcPr>
            <w:tcW w:w="640" w:type="pct"/>
            <w:tcBorders>
              <w:top w:val="single" w:sz="4" w:space="0" w:color="auto"/>
              <w:left w:val="single" w:sz="4" w:space="0" w:color="auto"/>
              <w:bottom w:val="single" w:sz="4" w:space="0" w:color="auto"/>
              <w:right w:val="single" w:sz="4" w:space="0" w:color="auto"/>
            </w:tcBorders>
            <w:vAlign w:val="center"/>
          </w:tcPr>
          <w:p w14:paraId="44CB852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EC101C3" w14:textId="77777777" w:rsidR="00E57DAA" w:rsidRDefault="00AC4185">
            <w:pPr>
              <w:autoSpaceDE w:val="0"/>
              <w:autoSpaceDN w:val="0"/>
              <w:adjustRightInd w:val="0"/>
              <w:rPr>
                <w:szCs w:val="21"/>
              </w:rPr>
            </w:pPr>
            <w:r>
              <w:t>夏河祁连山安多水泥有限公司</w:t>
            </w:r>
          </w:p>
        </w:tc>
        <w:tc>
          <w:tcPr>
            <w:tcW w:w="1059" w:type="pct"/>
            <w:tcBorders>
              <w:top w:val="single" w:sz="4" w:space="0" w:color="auto"/>
              <w:left w:val="single" w:sz="4" w:space="0" w:color="auto"/>
              <w:bottom w:val="single" w:sz="4" w:space="0" w:color="auto"/>
              <w:right w:val="single" w:sz="4" w:space="0" w:color="auto"/>
            </w:tcBorders>
          </w:tcPr>
          <w:p w14:paraId="5D6D7DB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C7BBFB3" w14:textId="77777777" w:rsidR="00E57DAA" w:rsidRDefault="00AC4185">
            <w:pPr>
              <w:autoSpaceDE w:val="0"/>
              <w:autoSpaceDN w:val="0"/>
              <w:adjustRightInd w:val="0"/>
              <w:jc w:val="right"/>
              <w:rPr>
                <w:szCs w:val="21"/>
              </w:rPr>
            </w:pPr>
            <w:r>
              <w:t>10,414,393.58</w:t>
            </w:r>
          </w:p>
        </w:tc>
      </w:tr>
      <w:tr w:rsidR="00E57DAA" w14:paraId="52D4594C" w14:textId="77777777">
        <w:tc>
          <w:tcPr>
            <w:tcW w:w="640" w:type="pct"/>
            <w:tcBorders>
              <w:top w:val="single" w:sz="4" w:space="0" w:color="auto"/>
              <w:left w:val="single" w:sz="4" w:space="0" w:color="auto"/>
              <w:bottom w:val="single" w:sz="4" w:space="0" w:color="auto"/>
              <w:right w:val="single" w:sz="4" w:space="0" w:color="auto"/>
            </w:tcBorders>
            <w:vAlign w:val="center"/>
          </w:tcPr>
          <w:p w14:paraId="45B8EFE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2D8CFC1" w14:textId="77777777" w:rsidR="00E57DAA" w:rsidRDefault="00AC4185">
            <w:pPr>
              <w:autoSpaceDE w:val="0"/>
              <w:autoSpaceDN w:val="0"/>
              <w:adjustRightInd w:val="0"/>
              <w:rPr>
                <w:szCs w:val="21"/>
              </w:rPr>
            </w:pPr>
            <w:r>
              <w:t>禹州市成磊建材有限公司</w:t>
            </w:r>
          </w:p>
        </w:tc>
        <w:tc>
          <w:tcPr>
            <w:tcW w:w="1059" w:type="pct"/>
            <w:tcBorders>
              <w:top w:val="single" w:sz="4" w:space="0" w:color="auto"/>
              <w:left w:val="single" w:sz="4" w:space="0" w:color="auto"/>
              <w:bottom w:val="single" w:sz="4" w:space="0" w:color="auto"/>
              <w:right w:val="single" w:sz="4" w:space="0" w:color="auto"/>
            </w:tcBorders>
          </w:tcPr>
          <w:p w14:paraId="32A70099"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BCEAD1F" w14:textId="77777777" w:rsidR="00E57DAA" w:rsidRDefault="00AC4185">
            <w:pPr>
              <w:autoSpaceDE w:val="0"/>
              <w:autoSpaceDN w:val="0"/>
              <w:adjustRightInd w:val="0"/>
              <w:jc w:val="right"/>
              <w:rPr>
                <w:szCs w:val="21"/>
              </w:rPr>
            </w:pPr>
            <w:r>
              <w:t>19,327.44</w:t>
            </w:r>
          </w:p>
        </w:tc>
      </w:tr>
      <w:tr w:rsidR="00E57DAA" w14:paraId="7EB4CB93" w14:textId="77777777">
        <w:tc>
          <w:tcPr>
            <w:tcW w:w="640" w:type="pct"/>
            <w:tcBorders>
              <w:top w:val="single" w:sz="4" w:space="0" w:color="auto"/>
              <w:left w:val="single" w:sz="4" w:space="0" w:color="auto"/>
              <w:bottom w:val="single" w:sz="4" w:space="0" w:color="auto"/>
              <w:right w:val="single" w:sz="4" w:space="0" w:color="auto"/>
            </w:tcBorders>
            <w:vAlign w:val="center"/>
          </w:tcPr>
          <w:p w14:paraId="3772AD0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565898A" w14:textId="77777777" w:rsidR="00E57DAA" w:rsidRDefault="00AC4185">
            <w:pPr>
              <w:autoSpaceDE w:val="0"/>
              <w:autoSpaceDN w:val="0"/>
              <w:adjustRightInd w:val="0"/>
              <w:rPr>
                <w:szCs w:val="21"/>
              </w:rPr>
            </w:pPr>
            <w:r>
              <w:t>云南芒市西南水泥有限公司</w:t>
            </w:r>
          </w:p>
        </w:tc>
        <w:tc>
          <w:tcPr>
            <w:tcW w:w="1059" w:type="pct"/>
            <w:tcBorders>
              <w:top w:val="single" w:sz="4" w:space="0" w:color="auto"/>
              <w:left w:val="single" w:sz="4" w:space="0" w:color="auto"/>
              <w:bottom w:val="single" w:sz="4" w:space="0" w:color="auto"/>
              <w:right w:val="single" w:sz="4" w:space="0" w:color="auto"/>
            </w:tcBorders>
          </w:tcPr>
          <w:p w14:paraId="635A475A"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97027D5" w14:textId="77777777" w:rsidR="00E57DAA" w:rsidRDefault="00AC4185">
            <w:pPr>
              <w:autoSpaceDE w:val="0"/>
              <w:autoSpaceDN w:val="0"/>
              <w:adjustRightInd w:val="0"/>
              <w:jc w:val="right"/>
              <w:rPr>
                <w:szCs w:val="21"/>
              </w:rPr>
            </w:pPr>
            <w:r>
              <w:t>11,998.84</w:t>
            </w:r>
          </w:p>
        </w:tc>
      </w:tr>
      <w:tr w:rsidR="00E57DAA" w14:paraId="2F9465B2" w14:textId="77777777">
        <w:tc>
          <w:tcPr>
            <w:tcW w:w="640" w:type="pct"/>
            <w:tcBorders>
              <w:top w:val="single" w:sz="4" w:space="0" w:color="auto"/>
              <w:left w:val="single" w:sz="4" w:space="0" w:color="auto"/>
              <w:bottom w:val="single" w:sz="4" w:space="0" w:color="auto"/>
              <w:right w:val="single" w:sz="4" w:space="0" w:color="auto"/>
            </w:tcBorders>
            <w:vAlign w:val="center"/>
          </w:tcPr>
          <w:p w14:paraId="78F2C54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4863C63" w14:textId="77777777" w:rsidR="00E57DAA" w:rsidRDefault="00AC4185">
            <w:pPr>
              <w:autoSpaceDE w:val="0"/>
              <w:autoSpaceDN w:val="0"/>
              <w:adjustRightInd w:val="0"/>
              <w:rPr>
                <w:szCs w:val="21"/>
              </w:rPr>
            </w:pPr>
            <w:r>
              <w:t>云南师宗西南水泥有限公司</w:t>
            </w:r>
          </w:p>
        </w:tc>
        <w:tc>
          <w:tcPr>
            <w:tcW w:w="1059" w:type="pct"/>
            <w:tcBorders>
              <w:top w:val="single" w:sz="4" w:space="0" w:color="auto"/>
              <w:left w:val="single" w:sz="4" w:space="0" w:color="auto"/>
              <w:bottom w:val="single" w:sz="4" w:space="0" w:color="auto"/>
              <w:right w:val="single" w:sz="4" w:space="0" w:color="auto"/>
            </w:tcBorders>
          </w:tcPr>
          <w:p w14:paraId="7CC7597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6C0DABE" w14:textId="77777777" w:rsidR="00E57DAA" w:rsidRDefault="00AC4185">
            <w:pPr>
              <w:autoSpaceDE w:val="0"/>
              <w:autoSpaceDN w:val="0"/>
              <w:adjustRightInd w:val="0"/>
              <w:jc w:val="right"/>
              <w:rPr>
                <w:szCs w:val="21"/>
              </w:rPr>
            </w:pPr>
            <w:r>
              <w:t>1,331,985.18</w:t>
            </w:r>
          </w:p>
        </w:tc>
      </w:tr>
      <w:tr w:rsidR="00E57DAA" w14:paraId="2EBCF26A" w14:textId="77777777">
        <w:tc>
          <w:tcPr>
            <w:tcW w:w="640" w:type="pct"/>
            <w:tcBorders>
              <w:top w:val="single" w:sz="4" w:space="0" w:color="auto"/>
              <w:left w:val="single" w:sz="4" w:space="0" w:color="auto"/>
              <w:bottom w:val="single" w:sz="4" w:space="0" w:color="auto"/>
              <w:right w:val="single" w:sz="4" w:space="0" w:color="auto"/>
            </w:tcBorders>
            <w:vAlign w:val="center"/>
          </w:tcPr>
          <w:p w14:paraId="6B0E19C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6FEF4E1" w14:textId="77777777" w:rsidR="00E57DAA" w:rsidRDefault="00AC4185">
            <w:pPr>
              <w:autoSpaceDE w:val="0"/>
              <w:autoSpaceDN w:val="0"/>
              <w:adjustRightInd w:val="0"/>
              <w:rPr>
                <w:szCs w:val="21"/>
              </w:rPr>
            </w:pPr>
            <w:r>
              <w:t>云南远东水泥有限责任公司</w:t>
            </w:r>
          </w:p>
        </w:tc>
        <w:tc>
          <w:tcPr>
            <w:tcW w:w="1059" w:type="pct"/>
            <w:tcBorders>
              <w:top w:val="single" w:sz="4" w:space="0" w:color="auto"/>
              <w:left w:val="single" w:sz="4" w:space="0" w:color="auto"/>
              <w:bottom w:val="single" w:sz="4" w:space="0" w:color="auto"/>
              <w:right w:val="single" w:sz="4" w:space="0" w:color="auto"/>
            </w:tcBorders>
          </w:tcPr>
          <w:p w14:paraId="4E0527A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6CE987E" w14:textId="77777777" w:rsidR="00E57DAA" w:rsidRDefault="00AC4185">
            <w:pPr>
              <w:autoSpaceDE w:val="0"/>
              <w:autoSpaceDN w:val="0"/>
              <w:adjustRightInd w:val="0"/>
              <w:jc w:val="right"/>
              <w:rPr>
                <w:szCs w:val="21"/>
              </w:rPr>
            </w:pPr>
            <w:r>
              <w:t>175,221.24</w:t>
            </w:r>
          </w:p>
        </w:tc>
      </w:tr>
      <w:tr w:rsidR="00E57DAA" w14:paraId="50829AD9" w14:textId="77777777">
        <w:tc>
          <w:tcPr>
            <w:tcW w:w="640" w:type="pct"/>
            <w:tcBorders>
              <w:top w:val="single" w:sz="4" w:space="0" w:color="auto"/>
              <w:left w:val="single" w:sz="4" w:space="0" w:color="auto"/>
              <w:bottom w:val="single" w:sz="4" w:space="0" w:color="auto"/>
              <w:right w:val="single" w:sz="4" w:space="0" w:color="auto"/>
            </w:tcBorders>
            <w:vAlign w:val="center"/>
          </w:tcPr>
          <w:p w14:paraId="21ACA1C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6C71DE4" w14:textId="77777777" w:rsidR="00E57DAA" w:rsidRDefault="00AC4185">
            <w:pPr>
              <w:autoSpaceDE w:val="0"/>
              <w:autoSpaceDN w:val="0"/>
              <w:adjustRightInd w:val="0"/>
              <w:rPr>
                <w:szCs w:val="21"/>
              </w:rPr>
            </w:pPr>
            <w:r>
              <w:t>浙江虎鹰水泥有限公司</w:t>
            </w:r>
          </w:p>
        </w:tc>
        <w:tc>
          <w:tcPr>
            <w:tcW w:w="1059" w:type="pct"/>
            <w:tcBorders>
              <w:top w:val="single" w:sz="4" w:space="0" w:color="auto"/>
              <w:left w:val="single" w:sz="4" w:space="0" w:color="auto"/>
              <w:bottom w:val="single" w:sz="4" w:space="0" w:color="auto"/>
              <w:right w:val="single" w:sz="4" w:space="0" w:color="auto"/>
            </w:tcBorders>
          </w:tcPr>
          <w:p w14:paraId="4FD2A26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EADE6F8" w14:textId="77777777" w:rsidR="00E57DAA" w:rsidRDefault="00AC4185">
            <w:pPr>
              <w:autoSpaceDE w:val="0"/>
              <w:autoSpaceDN w:val="0"/>
              <w:adjustRightInd w:val="0"/>
              <w:jc w:val="right"/>
              <w:rPr>
                <w:szCs w:val="21"/>
              </w:rPr>
            </w:pPr>
            <w:r>
              <w:t>13,873.39</w:t>
            </w:r>
          </w:p>
        </w:tc>
      </w:tr>
      <w:tr w:rsidR="00E57DAA" w14:paraId="5063AD48" w14:textId="77777777">
        <w:tc>
          <w:tcPr>
            <w:tcW w:w="640" w:type="pct"/>
            <w:tcBorders>
              <w:top w:val="single" w:sz="4" w:space="0" w:color="auto"/>
              <w:left w:val="single" w:sz="4" w:space="0" w:color="auto"/>
              <w:bottom w:val="single" w:sz="4" w:space="0" w:color="auto"/>
              <w:right w:val="single" w:sz="4" w:space="0" w:color="auto"/>
            </w:tcBorders>
            <w:vAlign w:val="center"/>
          </w:tcPr>
          <w:p w14:paraId="3D7B601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122CD84" w14:textId="77777777" w:rsidR="00E57DAA" w:rsidRDefault="00AC4185">
            <w:pPr>
              <w:autoSpaceDE w:val="0"/>
              <w:autoSpaceDN w:val="0"/>
              <w:adjustRightInd w:val="0"/>
              <w:rPr>
                <w:szCs w:val="21"/>
              </w:rPr>
            </w:pPr>
            <w:r>
              <w:t>中材株洲水泥有限责任公司</w:t>
            </w:r>
          </w:p>
        </w:tc>
        <w:tc>
          <w:tcPr>
            <w:tcW w:w="1059" w:type="pct"/>
            <w:tcBorders>
              <w:top w:val="single" w:sz="4" w:space="0" w:color="auto"/>
              <w:left w:val="single" w:sz="4" w:space="0" w:color="auto"/>
              <w:bottom w:val="single" w:sz="4" w:space="0" w:color="auto"/>
              <w:right w:val="single" w:sz="4" w:space="0" w:color="auto"/>
            </w:tcBorders>
          </w:tcPr>
          <w:p w14:paraId="6F33156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5C8B8BB" w14:textId="77777777" w:rsidR="00E57DAA" w:rsidRDefault="00AC4185">
            <w:pPr>
              <w:autoSpaceDE w:val="0"/>
              <w:autoSpaceDN w:val="0"/>
              <w:adjustRightInd w:val="0"/>
              <w:jc w:val="right"/>
              <w:rPr>
                <w:szCs w:val="21"/>
              </w:rPr>
            </w:pPr>
            <w:r>
              <w:t>263,642.75</w:t>
            </w:r>
          </w:p>
        </w:tc>
      </w:tr>
      <w:tr w:rsidR="00E57DAA" w14:paraId="1B49E869" w14:textId="77777777">
        <w:tc>
          <w:tcPr>
            <w:tcW w:w="640" w:type="pct"/>
            <w:tcBorders>
              <w:top w:val="single" w:sz="4" w:space="0" w:color="auto"/>
              <w:left w:val="single" w:sz="4" w:space="0" w:color="auto"/>
              <w:bottom w:val="single" w:sz="4" w:space="0" w:color="auto"/>
              <w:right w:val="single" w:sz="4" w:space="0" w:color="auto"/>
            </w:tcBorders>
            <w:vAlign w:val="center"/>
          </w:tcPr>
          <w:p w14:paraId="1AFB8AB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F051CA4" w14:textId="77777777" w:rsidR="00E57DAA" w:rsidRDefault="00AC4185">
            <w:pPr>
              <w:autoSpaceDE w:val="0"/>
              <w:autoSpaceDN w:val="0"/>
              <w:adjustRightInd w:val="0"/>
              <w:rPr>
                <w:szCs w:val="21"/>
              </w:rPr>
            </w:pPr>
            <w:r>
              <w:t>中建材新材料有限公司</w:t>
            </w:r>
          </w:p>
        </w:tc>
        <w:tc>
          <w:tcPr>
            <w:tcW w:w="1059" w:type="pct"/>
            <w:tcBorders>
              <w:top w:val="single" w:sz="4" w:space="0" w:color="auto"/>
              <w:left w:val="single" w:sz="4" w:space="0" w:color="auto"/>
              <w:bottom w:val="single" w:sz="4" w:space="0" w:color="auto"/>
              <w:right w:val="single" w:sz="4" w:space="0" w:color="auto"/>
            </w:tcBorders>
          </w:tcPr>
          <w:p w14:paraId="4228A615"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C7839B0" w14:textId="77777777" w:rsidR="00E57DAA" w:rsidRDefault="00AC4185">
            <w:pPr>
              <w:autoSpaceDE w:val="0"/>
              <w:autoSpaceDN w:val="0"/>
              <w:adjustRightInd w:val="0"/>
              <w:jc w:val="right"/>
              <w:rPr>
                <w:szCs w:val="21"/>
              </w:rPr>
            </w:pPr>
            <w:r>
              <w:t>71,568,784.65</w:t>
            </w:r>
          </w:p>
        </w:tc>
      </w:tr>
      <w:tr w:rsidR="00E57DAA" w14:paraId="3475F030" w14:textId="77777777">
        <w:tc>
          <w:tcPr>
            <w:tcW w:w="640" w:type="pct"/>
            <w:tcBorders>
              <w:top w:val="single" w:sz="4" w:space="0" w:color="auto"/>
              <w:left w:val="single" w:sz="4" w:space="0" w:color="auto"/>
              <w:bottom w:val="single" w:sz="4" w:space="0" w:color="auto"/>
              <w:right w:val="single" w:sz="4" w:space="0" w:color="auto"/>
            </w:tcBorders>
            <w:vAlign w:val="center"/>
          </w:tcPr>
          <w:p w14:paraId="7D65C4F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4441C96A" w14:textId="77777777" w:rsidR="00E57DAA" w:rsidRDefault="00AC4185">
            <w:pPr>
              <w:autoSpaceDE w:val="0"/>
              <w:autoSpaceDN w:val="0"/>
              <w:adjustRightInd w:val="0"/>
              <w:rPr>
                <w:szCs w:val="21"/>
              </w:rPr>
            </w:pPr>
            <w:r>
              <w:t>遵义赛德水泥有限公司</w:t>
            </w:r>
          </w:p>
        </w:tc>
        <w:tc>
          <w:tcPr>
            <w:tcW w:w="1059" w:type="pct"/>
            <w:tcBorders>
              <w:top w:val="single" w:sz="4" w:space="0" w:color="auto"/>
              <w:left w:val="single" w:sz="4" w:space="0" w:color="auto"/>
              <w:bottom w:val="single" w:sz="4" w:space="0" w:color="auto"/>
              <w:right w:val="single" w:sz="4" w:space="0" w:color="auto"/>
            </w:tcBorders>
          </w:tcPr>
          <w:p w14:paraId="2AD8BC4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7BACDCC" w14:textId="77777777" w:rsidR="00E57DAA" w:rsidRDefault="00AC4185">
            <w:pPr>
              <w:autoSpaceDE w:val="0"/>
              <w:autoSpaceDN w:val="0"/>
              <w:adjustRightInd w:val="0"/>
              <w:jc w:val="right"/>
              <w:rPr>
                <w:szCs w:val="21"/>
              </w:rPr>
            </w:pPr>
            <w:r>
              <w:t>17,072.35</w:t>
            </w:r>
          </w:p>
        </w:tc>
      </w:tr>
      <w:tr w:rsidR="00E57DAA" w14:paraId="3EB89203" w14:textId="77777777">
        <w:tc>
          <w:tcPr>
            <w:tcW w:w="640" w:type="pct"/>
            <w:tcBorders>
              <w:top w:val="single" w:sz="4" w:space="0" w:color="auto"/>
              <w:left w:val="single" w:sz="4" w:space="0" w:color="auto"/>
              <w:bottom w:val="single" w:sz="4" w:space="0" w:color="auto"/>
              <w:right w:val="single" w:sz="4" w:space="0" w:color="auto"/>
            </w:tcBorders>
            <w:vAlign w:val="center"/>
          </w:tcPr>
          <w:p w14:paraId="2B8C3C8D"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3DFBC244" w14:textId="77777777" w:rsidR="00E57DAA" w:rsidRDefault="00AC4185">
            <w:pPr>
              <w:autoSpaceDE w:val="0"/>
              <w:autoSpaceDN w:val="0"/>
              <w:adjustRightInd w:val="0"/>
              <w:rPr>
                <w:szCs w:val="21"/>
              </w:rPr>
            </w:pPr>
            <w:r>
              <w:t>受最终控制方控制的其他企业</w:t>
            </w:r>
          </w:p>
        </w:tc>
        <w:tc>
          <w:tcPr>
            <w:tcW w:w="1059" w:type="pct"/>
            <w:tcBorders>
              <w:top w:val="single" w:sz="4" w:space="0" w:color="auto"/>
              <w:left w:val="single" w:sz="4" w:space="0" w:color="auto"/>
              <w:bottom w:val="single" w:sz="4" w:space="0" w:color="auto"/>
              <w:right w:val="single" w:sz="4" w:space="0" w:color="auto"/>
            </w:tcBorders>
          </w:tcPr>
          <w:p w14:paraId="7E588AC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5D02F70" w14:textId="77777777" w:rsidR="00E57DAA" w:rsidRDefault="00AC4185">
            <w:pPr>
              <w:autoSpaceDE w:val="0"/>
              <w:autoSpaceDN w:val="0"/>
              <w:adjustRightInd w:val="0"/>
              <w:jc w:val="right"/>
              <w:rPr>
                <w:szCs w:val="21"/>
              </w:rPr>
            </w:pPr>
            <w:r>
              <w:t xml:space="preserve">　</w:t>
            </w:r>
          </w:p>
        </w:tc>
      </w:tr>
      <w:tr w:rsidR="00E57DAA" w14:paraId="2F154555" w14:textId="77777777">
        <w:tc>
          <w:tcPr>
            <w:tcW w:w="640" w:type="pct"/>
            <w:tcBorders>
              <w:top w:val="single" w:sz="4" w:space="0" w:color="auto"/>
              <w:left w:val="single" w:sz="4" w:space="0" w:color="auto"/>
              <w:bottom w:val="single" w:sz="4" w:space="0" w:color="auto"/>
              <w:right w:val="single" w:sz="4" w:space="0" w:color="auto"/>
            </w:tcBorders>
            <w:vAlign w:val="center"/>
          </w:tcPr>
          <w:p w14:paraId="49C64B0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738AEB2" w14:textId="77777777" w:rsidR="00E57DAA" w:rsidRDefault="00AC4185">
            <w:pPr>
              <w:autoSpaceDE w:val="0"/>
              <w:autoSpaceDN w:val="0"/>
              <w:adjustRightInd w:val="0"/>
              <w:rPr>
                <w:szCs w:val="21"/>
              </w:rPr>
            </w:pPr>
            <w:r>
              <w:t>中建材国际装备有限公司</w:t>
            </w:r>
          </w:p>
        </w:tc>
        <w:tc>
          <w:tcPr>
            <w:tcW w:w="1059" w:type="pct"/>
            <w:tcBorders>
              <w:top w:val="single" w:sz="4" w:space="0" w:color="auto"/>
              <w:left w:val="single" w:sz="4" w:space="0" w:color="auto"/>
              <w:bottom w:val="single" w:sz="4" w:space="0" w:color="auto"/>
              <w:right w:val="single" w:sz="4" w:space="0" w:color="auto"/>
            </w:tcBorders>
          </w:tcPr>
          <w:p w14:paraId="3492BF20" w14:textId="77777777" w:rsidR="00E57DAA" w:rsidRDefault="00AC4185">
            <w:pPr>
              <w:autoSpaceDE w:val="0"/>
              <w:autoSpaceDN w:val="0"/>
              <w:adjustRightInd w:val="0"/>
              <w:jc w:val="right"/>
              <w:rPr>
                <w:szCs w:val="21"/>
              </w:rPr>
            </w:pPr>
            <w:r>
              <w:t>6,691,886.74</w:t>
            </w:r>
          </w:p>
        </w:tc>
        <w:tc>
          <w:tcPr>
            <w:tcW w:w="1407" w:type="pct"/>
            <w:tcBorders>
              <w:top w:val="single" w:sz="4" w:space="0" w:color="auto"/>
              <w:left w:val="single" w:sz="4" w:space="0" w:color="auto"/>
              <w:bottom w:val="single" w:sz="4" w:space="0" w:color="auto"/>
              <w:right w:val="single" w:sz="4" w:space="0" w:color="auto"/>
            </w:tcBorders>
          </w:tcPr>
          <w:p w14:paraId="7CBB0E01" w14:textId="77777777" w:rsidR="00E57DAA" w:rsidRDefault="00AC4185">
            <w:pPr>
              <w:autoSpaceDE w:val="0"/>
              <w:autoSpaceDN w:val="0"/>
              <w:adjustRightInd w:val="0"/>
              <w:jc w:val="right"/>
              <w:rPr>
                <w:szCs w:val="21"/>
              </w:rPr>
            </w:pPr>
            <w:r>
              <w:t>10,447,350.00</w:t>
            </w:r>
          </w:p>
        </w:tc>
      </w:tr>
      <w:tr w:rsidR="00E57DAA" w14:paraId="1ECA174D" w14:textId="77777777">
        <w:tc>
          <w:tcPr>
            <w:tcW w:w="640" w:type="pct"/>
            <w:tcBorders>
              <w:top w:val="single" w:sz="4" w:space="0" w:color="auto"/>
              <w:left w:val="single" w:sz="4" w:space="0" w:color="auto"/>
              <w:bottom w:val="single" w:sz="4" w:space="0" w:color="auto"/>
              <w:right w:val="single" w:sz="4" w:space="0" w:color="auto"/>
            </w:tcBorders>
            <w:vAlign w:val="center"/>
          </w:tcPr>
          <w:p w14:paraId="5E11A93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6958CED" w14:textId="77777777" w:rsidR="00E57DAA" w:rsidRDefault="00AC4185">
            <w:pPr>
              <w:autoSpaceDE w:val="0"/>
              <w:autoSpaceDN w:val="0"/>
              <w:adjustRightInd w:val="0"/>
              <w:rPr>
                <w:szCs w:val="21"/>
              </w:rPr>
            </w:pPr>
            <w:r>
              <w:t>中材节能股份有限公司</w:t>
            </w:r>
          </w:p>
        </w:tc>
        <w:tc>
          <w:tcPr>
            <w:tcW w:w="1059" w:type="pct"/>
            <w:tcBorders>
              <w:top w:val="single" w:sz="4" w:space="0" w:color="auto"/>
              <w:left w:val="single" w:sz="4" w:space="0" w:color="auto"/>
              <w:bottom w:val="single" w:sz="4" w:space="0" w:color="auto"/>
              <w:right w:val="single" w:sz="4" w:space="0" w:color="auto"/>
            </w:tcBorders>
          </w:tcPr>
          <w:p w14:paraId="124C5A29" w14:textId="77777777" w:rsidR="00E57DAA" w:rsidRDefault="00AC4185">
            <w:pPr>
              <w:autoSpaceDE w:val="0"/>
              <w:autoSpaceDN w:val="0"/>
              <w:adjustRightInd w:val="0"/>
              <w:jc w:val="right"/>
              <w:rPr>
                <w:szCs w:val="21"/>
              </w:rPr>
            </w:pPr>
            <w:r>
              <w:t>5,438,649.64</w:t>
            </w:r>
          </w:p>
        </w:tc>
        <w:tc>
          <w:tcPr>
            <w:tcW w:w="1407" w:type="pct"/>
            <w:tcBorders>
              <w:top w:val="single" w:sz="4" w:space="0" w:color="auto"/>
              <w:left w:val="single" w:sz="4" w:space="0" w:color="auto"/>
              <w:bottom w:val="single" w:sz="4" w:space="0" w:color="auto"/>
              <w:right w:val="single" w:sz="4" w:space="0" w:color="auto"/>
            </w:tcBorders>
          </w:tcPr>
          <w:p w14:paraId="162B8641" w14:textId="77777777" w:rsidR="00E57DAA" w:rsidRDefault="00AC4185">
            <w:pPr>
              <w:autoSpaceDE w:val="0"/>
              <w:autoSpaceDN w:val="0"/>
              <w:adjustRightInd w:val="0"/>
              <w:jc w:val="right"/>
              <w:rPr>
                <w:szCs w:val="21"/>
              </w:rPr>
            </w:pPr>
            <w:r>
              <w:t>6,039,993.51</w:t>
            </w:r>
          </w:p>
        </w:tc>
      </w:tr>
      <w:tr w:rsidR="00E57DAA" w14:paraId="5C667307" w14:textId="77777777">
        <w:tc>
          <w:tcPr>
            <w:tcW w:w="640" w:type="pct"/>
            <w:tcBorders>
              <w:top w:val="single" w:sz="4" w:space="0" w:color="auto"/>
              <w:left w:val="single" w:sz="4" w:space="0" w:color="auto"/>
              <w:bottom w:val="single" w:sz="4" w:space="0" w:color="auto"/>
              <w:right w:val="single" w:sz="4" w:space="0" w:color="auto"/>
            </w:tcBorders>
            <w:vAlign w:val="center"/>
          </w:tcPr>
          <w:p w14:paraId="49EC947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408EC4E" w14:textId="77777777" w:rsidR="00E57DAA" w:rsidRDefault="00AC4185">
            <w:pPr>
              <w:autoSpaceDE w:val="0"/>
              <w:autoSpaceDN w:val="0"/>
              <w:adjustRightInd w:val="0"/>
              <w:rPr>
                <w:szCs w:val="21"/>
              </w:rPr>
            </w:pPr>
            <w:r>
              <w:t>新疆凯盛建材设计研究院（有限公司）</w:t>
            </w:r>
          </w:p>
        </w:tc>
        <w:tc>
          <w:tcPr>
            <w:tcW w:w="1059" w:type="pct"/>
            <w:tcBorders>
              <w:top w:val="single" w:sz="4" w:space="0" w:color="auto"/>
              <w:left w:val="single" w:sz="4" w:space="0" w:color="auto"/>
              <w:bottom w:val="single" w:sz="4" w:space="0" w:color="auto"/>
              <w:right w:val="single" w:sz="4" w:space="0" w:color="auto"/>
            </w:tcBorders>
          </w:tcPr>
          <w:p w14:paraId="355E39F6" w14:textId="77777777" w:rsidR="00E57DAA" w:rsidRDefault="00AC4185">
            <w:pPr>
              <w:autoSpaceDE w:val="0"/>
              <w:autoSpaceDN w:val="0"/>
              <w:adjustRightInd w:val="0"/>
              <w:jc w:val="right"/>
              <w:rPr>
                <w:szCs w:val="21"/>
              </w:rPr>
            </w:pPr>
            <w:r>
              <w:t>5,098,284.90</w:t>
            </w:r>
          </w:p>
        </w:tc>
        <w:tc>
          <w:tcPr>
            <w:tcW w:w="1407" w:type="pct"/>
            <w:tcBorders>
              <w:top w:val="single" w:sz="4" w:space="0" w:color="auto"/>
              <w:left w:val="single" w:sz="4" w:space="0" w:color="auto"/>
              <w:bottom w:val="single" w:sz="4" w:space="0" w:color="auto"/>
              <w:right w:val="single" w:sz="4" w:space="0" w:color="auto"/>
            </w:tcBorders>
          </w:tcPr>
          <w:p w14:paraId="7AE27319" w14:textId="77777777" w:rsidR="00E57DAA" w:rsidRDefault="00AC4185">
            <w:pPr>
              <w:autoSpaceDE w:val="0"/>
              <w:autoSpaceDN w:val="0"/>
              <w:adjustRightInd w:val="0"/>
              <w:jc w:val="right"/>
              <w:rPr>
                <w:szCs w:val="21"/>
              </w:rPr>
            </w:pPr>
            <w:r>
              <w:t xml:space="preserve">　</w:t>
            </w:r>
          </w:p>
        </w:tc>
      </w:tr>
      <w:tr w:rsidR="00E57DAA" w14:paraId="601D463D" w14:textId="77777777">
        <w:tc>
          <w:tcPr>
            <w:tcW w:w="640" w:type="pct"/>
            <w:tcBorders>
              <w:top w:val="single" w:sz="4" w:space="0" w:color="auto"/>
              <w:left w:val="single" w:sz="4" w:space="0" w:color="auto"/>
              <w:bottom w:val="single" w:sz="4" w:space="0" w:color="auto"/>
              <w:right w:val="single" w:sz="4" w:space="0" w:color="auto"/>
            </w:tcBorders>
            <w:vAlign w:val="center"/>
          </w:tcPr>
          <w:p w14:paraId="6157B19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C445307" w14:textId="77777777" w:rsidR="00E57DAA" w:rsidRDefault="00AC4185">
            <w:pPr>
              <w:autoSpaceDE w:val="0"/>
              <w:autoSpaceDN w:val="0"/>
              <w:adjustRightInd w:val="0"/>
              <w:rPr>
                <w:szCs w:val="21"/>
              </w:rPr>
            </w:pPr>
            <w:r>
              <w:t>上海美诺福科技有限公司</w:t>
            </w:r>
          </w:p>
        </w:tc>
        <w:tc>
          <w:tcPr>
            <w:tcW w:w="1059" w:type="pct"/>
            <w:tcBorders>
              <w:top w:val="single" w:sz="4" w:space="0" w:color="auto"/>
              <w:left w:val="single" w:sz="4" w:space="0" w:color="auto"/>
              <w:bottom w:val="single" w:sz="4" w:space="0" w:color="auto"/>
              <w:right w:val="single" w:sz="4" w:space="0" w:color="auto"/>
            </w:tcBorders>
          </w:tcPr>
          <w:p w14:paraId="643232B2" w14:textId="77777777" w:rsidR="00E57DAA" w:rsidRDefault="00AC4185">
            <w:pPr>
              <w:autoSpaceDE w:val="0"/>
              <w:autoSpaceDN w:val="0"/>
              <w:adjustRightInd w:val="0"/>
              <w:jc w:val="right"/>
              <w:rPr>
                <w:szCs w:val="21"/>
              </w:rPr>
            </w:pPr>
            <w:r>
              <w:t>4,097,345.13</w:t>
            </w:r>
          </w:p>
        </w:tc>
        <w:tc>
          <w:tcPr>
            <w:tcW w:w="1407" w:type="pct"/>
            <w:tcBorders>
              <w:top w:val="single" w:sz="4" w:space="0" w:color="auto"/>
              <w:left w:val="single" w:sz="4" w:space="0" w:color="auto"/>
              <w:bottom w:val="single" w:sz="4" w:space="0" w:color="auto"/>
              <w:right w:val="single" w:sz="4" w:space="0" w:color="auto"/>
            </w:tcBorders>
          </w:tcPr>
          <w:p w14:paraId="74CFB9F1" w14:textId="77777777" w:rsidR="00E57DAA" w:rsidRDefault="00AC4185">
            <w:pPr>
              <w:autoSpaceDE w:val="0"/>
              <w:autoSpaceDN w:val="0"/>
              <w:adjustRightInd w:val="0"/>
              <w:jc w:val="right"/>
              <w:rPr>
                <w:szCs w:val="21"/>
              </w:rPr>
            </w:pPr>
            <w:r>
              <w:t xml:space="preserve">　</w:t>
            </w:r>
          </w:p>
        </w:tc>
      </w:tr>
      <w:tr w:rsidR="00E57DAA" w14:paraId="66BFA84E" w14:textId="77777777">
        <w:tc>
          <w:tcPr>
            <w:tcW w:w="640" w:type="pct"/>
            <w:tcBorders>
              <w:top w:val="single" w:sz="4" w:space="0" w:color="auto"/>
              <w:left w:val="single" w:sz="4" w:space="0" w:color="auto"/>
              <w:bottom w:val="single" w:sz="4" w:space="0" w:color="auto"/>
              <w:right w:val="single" w:sz="4" w:space="0" w:color="auto"/>
            </w:tcBorders>
            <w:vAlign w:val="center"/>
          </w:tcPr>
          <w:p w14:paraId="5E1C7D6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602EFAC" w14:textId="77777777" w:rsidR="00E57DAA" w:rsidRDefault="00AC4185">
            <w:pPr>
              <w:autoSpaceDE w:val="0"/>
              <w:autoSpaceDN w:val="0"/>
              <w:adjustRightInd w:val="0"/>
              <w:rPr>
                <w:szCs w:val="21"/>
              </w:rPr>
            </w:pPr>
            <w:r>
              <w:t>中国建材国际工程集团有限公司</w:t>
            </w:r>
          </w:p>
        </w:tc>
        <w:tc>
          <w:tcPr>
            <w:tcW w:w="1059" w:type="pct"/>
            <w:tcBorders>
              <w:top w:val="single" w:sz="4" w:space="0" w:color="auto"/>
              <w:left w:val="single" w:sz="4" w:space="0" w:color="auto"/>
              <w:bottom w:val="single" w:sz="4" w:space="0" w:color="auto"/>
              <w:right w:val="single" w:sz="4" w:space="0" w:color="auto"/>
            </w:tcBorders>
          </w:tcPr>
          <w:p w14:paraId="39B14F82" w14:textId="77777777" w:rsidR="00E57DAA" w:rsidRDefault="00AC4185">
            <w:pPr>
              <w:autoSpaceDE w:val="0"/>
              <w:autoSpaceDN w:val="0"/>
              <w:adjustRightInd w:val="0"/>
              <w:jc w:val="right"/>
              <w:rPr>
                <w:szCs w:val="21"/>
              </w:rPr>
            </w:pPr>
            <w:r>
              <w:t>862,163.75</w:t>
            </w:r>
          </w:p>
        </w:tc>
        <w:tc>
          <w:tcPr>
            <w:tcW w:w="1407" w:type="pct"/>
            <w:tcBorders>
              <w:top w:val="single" w:sz="4" w:space="0" w:color="auto"/>
              <w:left w:val="single" w:sz="4" w:space="0" w:color="auto"/>
              <w:bottom w:val="single" w:sz="4" w:space="0" w:color="auto"/>
              <w:right w:val="single" w:sz="4" w:space="0" w:color="auto"/>
            </w:tcBorders>
          </w:tcPr>
          <w:p w14:paraId="624406A4" w14:textId="77777777" w:rsidR="00E57DAA" w:rsidRDefault="00AC4185">
            <w:pPr>
              <w:autoSpaceDE w:val="0"/>
              <w:autoSpaceDN w:val="0"/>
              <w:adjustRightInd w:val="0"/>
              <w:jc w:val="right"/>
              <w:rPr>
                <w:szCs w:val="21"/>
              </w:rPr>
            </w:pPr>
            <w:r>
              <w:t>469,911.40</w:t>
            </w:r>
          </w:p>
        </w:tc>
      </w:tr>
      <w:tr w:rsidR="00E57DAA" w14:paraId="25505EF9" w14:textId="77777777">
        <w:tc>
          <w:tcPr>
            <w:tcW w:w="640" w:type="pct"/>
            <w:tcBorders>
              <w:top w:val="single" w:sz="4" w:space="0" w:color="auto"/>
              <w:left w:val="single" w:sz="4" w:space="0" w:color="auto"/>
              <w:bottom w:val="single" w:sz="4" w:space="0" w:color="auto"/>
              <w:right w:val="single" w:sz="4" w:space="0" w:color="auto"/>
            </w:tcBorders>
            <w:vAlign w:val="center"/>
          </w:tcPr>
          <w:p w14:paraId="61A8934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B27B815" w14:textId="77777777" w:rsidR="00E57DAA" w:rsidRDefault="00AC4185">
            <w:pPr>
              <w:autoSpaceDE w:val="0"/>
              <w:autoSpaceDN w:val="0"/>
              <w:adjustRightInd w:val="0"/>
              <w:rPr>
                <w:szCs w:val="21"/>
              </w:rPr>
            </w:pPr>
            <w:r>
              <w:t>武汉建筑材料工业设计研究院有限公司</w:t>
            </w:r>
          </w:p>
        </w:tc>
        <w:tc>
          <w:tcPr>
            <w:tcW w:w="1059" w:type="pct"/>
            <w:tcBorders>
              <w:top w:val="single" w:sz="4" w:space="0" w:color="auto"/>
              <w:left w:val="single" w:sz="4" w:space="0" w:color="auto"/>
              <w:bottom w:val="single" w:sz="4" w:space="0" w:color="auto"/>
              <w:right w:val="single" w:sz="4" w:space="0" w:color="auto"/>
            </w:tcBorders>
          </w:tcPr>
          <w:p w14:paraId="5DCDBF90" w14:textId="77777777" w:rsidR="00E57DAA" w:rsidRDefault="00AC4185">
            <w:pPr>
              <w:autoSpaceDE w:val="0"/>
              <w:autoSpaceDN w:val="0"/>
              <w:adjustRightInd w:val="0"/>
              <w:jc w:val="right"/>
              <w:rPr>
                <w:szCs w:val="21"/>
              </w:rPr>
            </w:pPr>
            <w:r>
              <w:t>801,159.06</w:t>
            </w:r>
          </w:p>
        </w:tc>
        <w:tc>
          <w:tcPr>
            <w:tcW w:w="1407" w:type="pct"/>
            <w:tcBorders>
              <w:top w:val="single" w:sz="4" w:space="0" w:color="auto"/>
              <w:left w:val="single" w:sz="4" w:space="0" w:color="auto"/>
              <w:bottom w:val="single" w:sz="4" w:space="0" w:color="auto"/>
              <w:right w:val="single" w:sz="4" w:space="0" w:color="auto"/>
            </w:tcBorders>
          </w:tcPr>
          <w:p w14:paraId="393AF185" w14:textId="77777777" w:rsidR="00E57DAA" w:rsidRDefault="00AC4185">
            <w:pPr>
              <w:autoSpaceDE w:val="0"/>
              <w:autoSpaceDN w:val="0"/>
              <w:adjustRightInd w:val="0"/>
              <w:jc w:val="right"/>
              <w:rPr>
                <w:szCs w:val="21"/>
              </w:rPr>
            </w:pPr>
            <w:r>
              <w:t>9,654.63</w:t>
            </w:r>
          </w:p>
        </w:tc>
      </w:tr>
      <w:tr w:rsidR="00E57DAA" w14:paraId="7CC867C7" w14:textId="77777777">
        <w:tc>
          <w:tcPr>
            <w:tcW w:w="640" w:type="pct"/>
            <w:tcBorders>
              <w:top w:val="single" w:sz="4" w:space="0" w:color="auto"/>
              <w:left w:val="single" w:sz="4" w:space="0" w:color="auto"/>
              <w:bottom w:val="single" w:sz="4" w:space="0" w:color="auto"/>
              <w:right w:val="single" w:sz="4" w:space="0" w:color="auto"/>
            </w:tcBorders>
            <w:vAlign w:val="center"/>
          </w:tcPr>
          <w:p w14:paraId="1758404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FA620F5" w14:textId="77777777" w:rsidR="00E57DAA" w:rsidRDefault="00AC4185">
            <w:pPr>
              <w:autoSpaceDE w:val="0"/>
              <w:autoSpaceDN w:val="0"/>
              <w:adjustRightInd w:val="0"/>
              <w:rPr>
                <w:szCs w:val="21"/>
              </w:rPr>
            </w:pPr>
            <w:r>
              <w:t>凯盛石英材料（太湖）有限公司</w:t>
            </w:r>
          </w:p>
        </w:tc>
        <w:tc>
          <w:tcPr>
            <w:tcW w:w="1059" w:type="pct"/>
            <w:tcBorders>
              <w:top w:val="single" w:sz="4" w:space="0" w:color="auto"/>
              <w:left w:val="single" w:sz="4" w:space="0" w:color="auto"/>
              <w:bottom w:val="single" w:sz="4" w:space="0" w:color="auto"/>
              <w:right w:val="single" w:sz="4" w:space="0" w:color="auto"/>
            </w:tcBorders>
          </w:tcPr>
          <w:p w14:paraId="134B2FF2" w14:textId="77777777" w:rsidR="00E57DAA" w:rsidRDefault="00AC4185">
            <w:pPr>
              <w:autoSpaceDE w:val="0"/>
              <w:autoSpaceDN w:val="0"/>
              <w:adjustRightInd w:val="0"/>
              <w:jc w:val="right"/>
              <w:rPr>
                <w:szCs w:val="21"/>
              </w:rPr>
            </w:pPr>
            <w:r>
              <w:t>270,400.00</w:t>
            </w:r>
          </w:p>
        </w:tc>
        <w:tc>
          <w:tcPr>
            <w:tcW w:w="1407" w:type="pct"/>
            <w:tcBorders>
              <w:top w:val="single" w:sz="4" w:space="0" w:color="auto"/>
              <w:left w:val="single" w:sz="4" w:space="0" w:color="auto"/>
              <w:bottom w:val="single" w:sz="4" w:space="0" w:color="auto"/>
              <w:right w:val="single" w:sz="4" w:space="0" w:color="auto"/>
            </w:tcBorders>
          </w:tcPr>
          <w:p w14:paraId="467B21B1" w14:textId="77777777" w:rsidR="00E57DAA" w:rsidRDefault="00AC4185">
            <w:pPr>
              <w:autoSpaceDE w:val="0"/>
              <w:autoSpaceDN w:val="0"/>
              <w:adjustRightInd w:val="0"/>
              <w:jc w:val="right"/>
              <w:rPr>
                <w:szCs w:val="21"/>
              </w:rPr>
            </w:pPr>
            <w:r>
              <w:t xml:space="preserve">　</w:t>
            </w:r>
          </w:p>
        </w:tc>
      </w:tr>
      <w:tr w:rsidR="00E57DAA" w14:paraId="2271BC0D" w14:textId="77777777">
        <w:tc>
          <w:tcPr>
            <w:tcW w:w="640" w:type="pct"/>
            <w:tcBorders>
              <w:top w:val="single" w:sz="4" w:space="0" w:color="auto"/>
              <w:left w:val="single" w:sz="4" w:space="0" w:color="auto"/>
              <w:bottom w:val="single" w:sz="4" w:space="0" w:color="auto"/>
              <w:right w:val="single" w:sz="4" w:space="0" w:color="auto"/>
            </w:tcBorders>
            <w:vAlign w:val="center"/>
          </w:tcPr>
          <w:p w14:paraId="2F422D6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8D3FE9E" w14:textId="77777777" w:rsidR="00E57DAA" w:rsidRDefault="00AC4185">
            <w:pPr>
              <w:autoSpaceDE w:val="0"/>
              <w:autoSpaceDN w:val="0"/>
              <w:adjustRightInd w:val="0"/>
              <w:rPr>
                <w:szCs w:val="21"/>
              </w:rPr>
            </w:pPr>
            <w:r>
              <w:t>中国建筑材料工业地质勘查中心江苏总队</w:t>
            </w:r>
          </w:p>
        </w:tc>
        <w:tc>
          <w:tcPr>
            <w:tcW w:w="1059" w:type="pct"/>
            <w:tcBorders>
              <w:top w:val="single" w:sz="4" w:space="0" w:color="auto"/>
              <w:left w:val="single" w:sz="4" w:space="0" w:color="auto"/>
              <w:bottom w:val="single" w:sz="4" w:space="0" w:color="auto"/>
              <w:right w:val="single" w:sz="4" w:space="0" w:color="auto"/>
            </w:tcBorders>
          </w:tcPr>
          <w:p w14:paraId="17DBAA19" w14:textId="77777777" w:rsidR="00E57DAA" w:rsidRDefault="00AC4185">
            <w:pPr>
              <w:autoSpaceDE w:val="0"/>
              <w:autoSpaceDN w:val="0"/>
              <w:adjustRightInd w:val="0"/>
              <w:jc w:val="right"/>
              <w:rPr>
                <w:szCs w:val="21"/>
              </w:rPr>
            </w:pPr>
            <w:r>
              <w:t>185,293.41</w:t>
            </w:r>
          </w:p>
        </w:tc>
        <w:tc>
          <w:tcPr>
            <w:tcW w:w="1407" w:type="pct"/>
            <w:tcBorders>
              <w:top w:val="single" w:sz="4" w:space="0" w:color="auto"/>
              <w:left w:val="single" w:sz="4" w:space="0" w:color="auto"/>
              <w:bottom w:val="single" w:sz="4" w:space="0" w:color="auto"/>
              <w:right w:val="single" w:sz="4" w:space="0" w:color="auto"/>
            </w:tcBorders>
          </w:tcPr>
          <w:p w14:paraId="61194B7C" w14:textId="77777777" w:rsidR="00E57DAA" w:rsidRDefault="00AC4185">
            <w:pPr>
              <w:autoSpaceDE w:val="0"/>
              <w:autoSpaceDN w:val="0"/>
              <w:adjustRightInd w:val="0"/>
              <w:jc w:val="right"/>
              <w:rPr>
                <w:szCs w:val="21"/>
              </w:rPr>
            </w:pPr>
            <w:r>
              <w:t xml:space="preserve">　</w:t>
            </w:r>
          </w:p>
        </w:tc>
      </w:tr>
      <w:tr w:rsidR="00E57DAA" w14:paraId="053DF0A6" w14:textId="77777777">
        <w:tc>
          <w:tcPr>
            <w:tcW w:w="640" w:type="pct"/>
            <w:tcBorders>
              <w:top w:val="single" w:sz="4" w:space="0" w:color="auto"/>
              <w:left w:val="single" w:sz="4" w:space="0" w:color="auto"/>
              <w:bottom w:val="single" w:sz="4" w:space="0" w:color="auto"/>
              <w:right w:val="single" w:sz="4" w:space="0" w:color="auto"/>
            </w:tcBorders>
            <w:vAlign w:val="center"/>
          </w:tcPr>
          <w:p w14:paraId="0047F6B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3CFD870" w14:textId="77777777" w:rsidR="00E57DAA" w:rsidRDefault="00AC4185">
            <w:pPr>
              <w:autoSpaceDE w:val="0"/>
              <w:autoSpaceDN w:val="0"/>
              <w:adjustRightInd w:val="0"/>
              <w:rPr>
                <w:szCs w:val="21"/>
              </w:rPr>
            </w:pPr>
            <w:r>
              <w:t>中建材岩土工程江苏有限公司</w:t>
            </w:r>
          </w:p>
        </w:tc>
        <w:tc>
          <w:tcPr>
            <w:tcW w:w="1059" w:type="pct"/>
            <w:tcBorders>
              <w:top w:val="single" w:sz="4" w:space="0" w:color="auto"/>
              <w:left w:val="single" w:sz="4" w:space="0" w:color="auto"/>
              <w:bottom w:val="single" w:sz="4" w:space="0" w:color="auto"/>
              <w:right w:val="single" w:sz="4" w:space="0" w:color="auto"/>
            </w:tcBorders>
          </w:tcPr>
          <w:p w14:paraId="37AF2F5C" w14:textId="77777777" w:rsidR="00E57DAA" w:rsidRDefault="00AC4185">
            <w:pPr>
              <w:autoSpaceDE w:val="0"/>
              <w:autoSpaceDN w:val="0"/>
              <w:adjustRightInd w:val="0"/>
              <w:jc w:val="right"/>
              <w:rPr>
                <w:szCs w:val="21"/>
              </w:rPr>
            </w:pPr>
            <w:r>
              <w:t>131,367.40</w:t>
            </w:r>
          </w:p>
        </w:tc>
        <w:tc>
          <w:tcPr>
            <w:tcW w:w="1407" w:type="pct"/>
            <w:tcBorders>
              <w:top w:val="single" w:sz="4" w:space="0" w:color="auto"/>
              <w:left w:val="single" w:sz="4" w:space="0" w:color="auto"/>
              <w:bottom w:val="single" w:sz="4" w:space="0" w:color="auto"/>
              <w:right w:val="single" w:sz="4" w:space="0" w:color="auto"/>
            </w:tcBorders>
          </w:tcPr>
          <w:p w14:paraId="56B8A926" w14:textId="77777777" w:rsidR="00E57DAA" w:rsidRDefault="00AC4185">
            <w:pPr>
              <w:autoSpaceDE w:val="0"/>
              <w:autoSpaceDN w:val="0"/>
              <w:adjustRightInd w:val="0"/>
              <w:jc w:val="right"/>
              <w:rPr>
                <w:szCs w:val="21"/>
              </w:rPr>
            </w:pPr>
            <w:r>
              <w:t>778,169.42</w:t>
            </w:r>
          </w:p>
        </w:tc>
      </w:tr>
      <w:tr w:rsidR="00E57DAA" w14:paraId="2992E9C3" w14:textId="77777777">
        <w:tc>
          <w:tcPr>
            <w:tcW w:w="640" w:type="pct"/>
            <w:tcBorders>
              <w:top w:val="single" w:sz="4" w:space="0" w:color="auto"/>
              <w:left w:val="single" w:sz="4" w:space="0" w:color="auto"/>
              <w:bottom w:val="single" w:sz="4" w:space="0" w:color="auto"/>
              <w:right w:val="single" w:sz="4" w:space="0" w:color="auto"/>
            </w:tcBorders>
            <w:vAlign w:val="center"/>
          </w:tcPr>
          <w:p w14:paraId="3445BB9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23B4F6C" w14:textId="77777777" w:rsidR="00E57DAA" w:rsidRDefault="00AC4185">
            <w:pPr>
              <w:autoSpaceDE w:val="0"/>
              <w:autoSpaceDN w:val="0"/>
              <w:adjustRightInd w:val="0"/>
              <w:rPr>
                <w:szCs w:val="21"/>
              </w:rPr>
            </w:pPr>
            <w:r>
              <w:t>中国建筑材料科学研究总院有限公司</w:t>
            </w:r>
          </w:p>
        </w:tc>
        <w:tc>
          <w:tcPr>
            <w:tcW w:w="1059" w:type="pct"/>
            <w:tcBorders>
              <w:top w:val="single" w:sz="4" w:space="0" w:color="auto"/>
              <w:left w:val="single" w:sz="4" w:space="0" w:color="auto"/>
              <w:bottom w:val="single" w:sz="4" w:space="0" w:color="auto"/>
              <w:right w:val="single" w:sz="4" w:space="0" w:color="auto"/>
            </w:tcBorders>
          </w:tcPr>
          <w:p w14:paraId="6862D6D2" w14:textId="77777777" w:rsidR="00E57DAA" w:rsidRDefault="00AC4185">
            <w:pPr>
              <w:autoSpaceDE w:val="0"/>
              <w:autoSpaceDN w:val="0"/>
              <w:adjustRightInd w:val="0"/>
              <w:jc w:val="right"/>
              <w:rPr>
                <w:szCs w:val="21"/>
              </w:rPr>
            </w:pPr>
            <w:r>
              <w:t>94,339.62</w:t>
            </w:r>
          </w:p>
        </w:tc>
        <w:tc>
          <w:tcPr>
            <w:tcW w:w="1407" w:type="pct"/>
            <w:tcBorders>
              <w:top w:val="single" w:sz="4" w:space="0" w:color="auto"/>
              <w:left w:val="single" w:sz="4" w:space="0" w:color="auto"/>
              <w:bottom w:val="single" w:sz="4" w:space="0" w:color="auto"/>
              <w:right w:val="single" w:sz="4" w:space="0" w:color="auto"/>
            </w:tcBorders>
          </w:tcPr>
          <w:p w14:paraId="32D82868" w14:textId="77777777" w:rsidR="00E57DAA" w:rsidRDefault="00AC4185">
            <w:pPr>
              <w:autoSpaceDE w:val="0"/>
              <w:autoSpaceDN w:val="0"/>
              <w:adjustRightInd w:val="0"/>
              <w:jc w:val="right"/>
              <w:rPr>
                <w:szCs w:val="21"/>
              </w:rPr>
            </w:pPr>
            <w:r>
              <w:t>94,339.62</w:t>
            </w:r>
          </w:p>
        </w:tc>
      </w:tr>
      <w:tr w:rsidR="00E57DAA" w14:paraId="236F9D84" w14:textId="77777777">
        <w:tc>
          <w:tcPr>
            <w:tcW w:w="640" w:type="pct"/>
            <w:tcBorders>
              <w:top w:val="single" w:sz="4" w:space="0" w:color="auto"/>
              <w:left w:val="single" w:sz="4" w:space="0" w:color="auto"/>
              <w:bottom w:val="single" w:sz="4" w:space="0" w:color="auto"/>
              <w:right w:val="single" w:sz="4" w:space="0" w:color="auto"/>
            </w:tcBorders>
            <w:vAlign w:val="center"/>
          </w:tcPr>
          <w:p w14:paraId="041E985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4C7D5F1" w14:textId="77777777" w:rsidR="00E57DAA" w:rsidRDefault="00AC4185">
            <w:pPr>
              <w:autoSpaceDE w:val="0"/>
              <w:autoSpaceDN w:val="0"/>
              <w:adjustRightInd w:val="0"/>
              <w:rPr>
                <w:szCs w:val="21"/>
              </w:rPr>
            </w:pPr>
            <w:r>
              <w:t>中国新型建材设计研究院有限公司</w:t>
            </w:r>
          </w:p>
        </w:tc>
        <w:tc>
          <w:tcPr>
            <w:tcW w:w="1059" w:type="pct"/>
            <w:tcBorders>
              <w:top w:val="single" w:sz="4" w:space="0" w:color="auto"/>
              <w:left w:val="single" w:sz="4" w:space="0" w:color="auto"/>
              <w:bottom w:val="single" w:sz="4" w:space="0" w:color="auto"/>
              <w:right w:val="single" w:sz="4" w:space="0" w:color="auto"/>
            </w:tcBorders>
          </w:tcPr>
          <w:p w14:paraId="21675432" w14:textId="77777777" w:rsidR="00E57DAA" w:rsidRDefault="00AC4185">
            <w:pPr>
              <w:autoSpaceDE w:val="0"/>
              <w:autoSpaceDN w:val="0"/>
              <w:adjustRightInd w:val="0"/>
              <w:jc w:val="right"/>
              <w:rPr>
                <w:szCs w:val="21"/>
              </w:rPr>
            </w:pPr>
            <w:r>
              <w:t>84,955.75</w:t>
            </w:r>
          </w:p>
        </w:tc>
        <w:tc>
          <w:tcPr>
            <w:tcW w:w="1407" w:type="pct"/>
            <w:tcBorders>
              <w:top w:val="single" w:sz="4" w:space="0" w:color="auto"/>
              <w:left w:val="single" w:sz="4" w:space="0" w:color="auto"/>
              <w:bottom w:val="single" w:sz="4" w:space="0" w:color="auto"/>
              <w:right w:val="single" w:sz="4" w:space="0" w:color="auto"/>
            </w:tcBorders>
          </w:tcPr>
          <w:p w14:paraId="1415CD3F" w14:textId="77777777" w:rsidR="00E57DAA" w:rsidRDefault="00AC4185">
            <w:pPr>
              <w:autoSpaceDE w:val="0"/>
              <w:autoSpaceDN w:val="0"/>
              <w:adjustRightInd w:val="0"/>
              <w:jc w:val="right"/>
              <w:rPr>
                <w:szCs w:val="21"/>
              </w:rPr>
            </w:pPr>
            <w:r>
              <w:t>84,955.75</w:t>
            </w:r>
          </w:p>
        </w:tc>
      </w:tr>
      <w:tr w:rsidR="00E57DAA" w14:paraId="464375EA" w14:textId="77777777">
        <w:tc>
          <w:tcPr>
            <w:tcW w:w="640" w:type="pct"/>
            <w:tcBorders>
              <w:top w:val="single" w:sz="4" w:space="0" w:color="auto"/>
              <w:left w:val="single" w:sz="4" w:space="0" w:color="auto"/>
              <w:bottom w:val="single" w:sz="4" w:space="0" w:color="auto"/>
              <w:right w:val="single" w:sz="4" w:space="0" w:color="auto"/>
            </w:tcBorders>
            <w:vAlign w:val="center"/>
          </w:tcPr>
          <w:p w14:paraId="0BFA8A3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59497AD" w14:textId="77777777" w:rsidR="00E57DAA" w:rsidRDefault="00AC4185">
            <w:pPr>
              <w:autoSpaceDE w:val="0"/>
              <w:autoSpaceDN w:val="0"/>
              <w:adjustRightInd w:val="0"/>
              <w:rPr>
                <w:szCs w:val="21"/>
              </w:rPr>
            </w:pPr>
            <w:r>
              <w:t>中国建材检验认证集团安徽有限公司</w:t>
            </w:r>
          </w:p>
        </w:tc>
        <w:tc>
          <w:tcPr>
            <w:tcW w:w="1059" w:type="pct"/>
            <w:tcBorders>
              <w:top w:val="single" w:sz="4" w:space="0" w:color="auto"/>
              <w:left w:val="single" w:sz="4" w:space="0" w:color="auto"/>
              <w:bottom w:val="single" w:sz="4" w:space="0" w:color="auto"/>
              <w:right w:val="single" w:sz="4" w:space="0" w:color="auto"/>
            </w:tcBorders>
          </w:tcPr>
          <w:p w14:paraId="508B96D2" w14:textId="77777777" w:rsidR="00E57DAA" w:rsidRDefault="00AC4185">
            <w:pPr>
              <w:autoSpaceDE w:val="0"/>
              <w:autoSpaceDN w:val="0"/>
              <w:adjustRightInd w:val="0"/>
              <w:jc w:val="right"/>
              <w:rPr>
                <w:szCs w:val="21"/>
              </w:rPr>
            </w:pPr>
            <w:r>
              <w:t>30,124.38</w:t>
            </w:r>
          </w:p>
        </w:tc>
        <w:tc>
          <w:tcPr>
            <w:tcW w:w="1407" w:type="pct"/>
            <w:tcBorders>
              <w:top w:val="single" w:sz="4" w:space="0" w:color="auto"/>
              <w:left w:val="single" w:sz="4" w:space="0" w:color="auto"/>
              <w:bottom w:val="single" w:sz="4" w:space="0" w:color="auto"/>
              <w:right w:val="single" w:sz="4" w:space="0" w:color="auto"/>
            </w:tcBorders>
          </w:tcPr>
          <w:p w14:paraId="1625E15D" w14:textId="77777777" w:rsidR="00E57DAA" w:rsidRDefault="00AC4185">
            <w:pPr>
              <w:autoSpaceDE w:val="0"/>
              <w:autoSpaceDN w:val="0"/>
              <w:adjustRightInd w:val="0"/>
              <w:jc w:val="right"/>
              <w:rPr>
                <w:szCs w:val="21"/>
              </w:rPr>
            </w:pPr>
            <w:r>
              <w:t xml:space="preserve">　</w:t>
            </w:r>
          </w:p>
        </w:tc>
      </w:tr>
      <w:tr w:rsidR="00E57DAA" w14:paraId="1068CEFF" w14:textId="77777777">
        <w:tc>
          <w:tcPr>
            <w:tcW w:w="640" w:type="pct"/>
            <w:tcBorders>
              <w:top w:val="single" w:sz="4" w:space="0" w:color="auto"/>
              <w:left w:val="single" w:sz="4" w:space="0" w:color="auto"/>
              <w:bottom w:val="single" w:sz="4" w:space="0" w:color="auto"/>
              <w:right w:val="single" w:sz="4" w:space="0" w:color="auto"/>
            </w:tcBorders>
            <w:vAlign w:val="center"/>
          </w:tcPr>
          <w:p w14:paraId="250F76A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D4722E1" w14:textId="77777777" w:rsidR="00E57DAA" w:rsidRDefault="00AC4185">
            <w:pPr>
              <w:autoSpaceDE w:val="0"/>
              <w:autoSpaceDN w:val="0"/>
              <w:adjustRightInd w:val="0"/>
              <w:rPr>
                <w:szCs w:val="21"/>
              </w:rPr>
            </w:pPr>
            <w:r>
              <w:t>西安凯盛建材工程有限公司</w:t>
            </w:r>
          </w:p>
        </w:tc>
        <w:tc>
          <w:tcPr>
            <w:tcW w:w="1059" w:type="pct"/>
            <w:tcBorders>
              <w:top w:val="single" w:sz="4" w:space="0" w:color="auto"/>
              <w:left w:val="single" w:sz="4" w:space="0" w:color="auto"/>
              <w:bottom w:val="single" w:sz="4" w:space="0" w:color="auto"/>
              <w:right w:val="single" w:sz="4" w:space="0" w:color="auto"/>
            </w:tcBorders>
          </w:tcPr>
          <w:p w14:paraId="0D11FF83" w14:textId="77777777" w:rsidR="00E57DAA" w:rsidRDefault="00AC4185">
            <w:pPr>
              <w:autoSpaceDE w:val="0"/>
              <w:autoSpaceDN w:val="0"/>
              <w:adjustRightInd w:val="0"/>
              <w:jc w:val="right"/>
              <w:rPr>
                <w:szCs w:val="21"/>
              </w:rPr>
            </w:pPr>
            <w:r>
              <w:t>26,592.92</w:t>
            </w:r>
          </w:p>
        </w:tc>
        <w:tc>
          <w:tcPr>
            <w:tcW w:w="1407" w:type="pct"/>
            <w:tcBorders>
              <w:top w:val="single" w:sz="4" w:space="0" w:color="auto"/>
              <w:left w:val="single" w:sz="4" w:space="0" w:color="auto"/>
              <w:bottom w:val="single" w:sz="4" w:space="0" w:color="auto"/>
              <w:right w:val="single" w:sz="4" w:space="0" w:color="auto"/>
            </w:tcBorders>
          </w:tcPr>
          <w:p w14:paraId="0683FC0A" w14:textId="77777777" w:rsidR="00E57DAA" w:rsidRDefault="00AC4185">
            <w:pPr>
              <w:autoSpaceDE w:val="0"/>
              <w:autoSpaceDN w:val="0"/>
              <w:adjustRightInd w:val="0"/>
              <w:jc w:val="right"/>
              <w:rPr>
                <w:szCs w:val="21"/>
              </w:rPr>
            </w:pPr>
            <w:r>
              <w:t>26,592.92</w:t>
            </w:r>
          </w:p>
        </w:tc>
      </w:tr>
      <w:tr w:rsidR="00E57DAA" w14:paraId="7064E597" w14:textId="77777777">
        <w:tc>
          <w:tcPr>
            <w:tcW w:w="640" w:type="pct"/>
            <w:tcBorders>
              <w:top w:val="single" w:sz="4" w:space="0" w:color="auto"/>
              <w:left w:val="single" w:sz="4" w:space="0" w:color="auto"/>
              <w:bottom w:val="single" w:sz="4" w:space="0" w:color="auto"/>
              <w:right w:val="single" w:sz="4" w:space="0" w:color="auto"/>
            </w:tcBorders>
            <w:vAlign w:val="center"/>
          </w:tcPr>
          <w:p w14:paraId="1FD9CB6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15DF6AF" w14:textId="77777777" w:rsidR="00E57DAA" w:rsidRDefault="00AC4185">
            <w:pPr>
              <w:autoSpaceDE w:val="0"/>
              <w:autoSpaceDN w:val="0"/>
              <w:adjustRightInd w:val="0"/>
              <w:rPr>
                <w:szCs w:val="21"/>
              </w:rPr>
            </w:pPr>
            <w:r>
              <w:t>中国建材集团有限公司</w:t>
            </w:r>
          </w:p>
        </w:tc>
        <w:tc>
          <w:tcPr>
            <w:tcW w:w="1059" w:type="pct"/>
            <w:tcBorders>
              <w:top w:val="single" w:sz="4" w:space="0" w:color="auto"/>
              <w:left w:val="single" w:sz="4" w:space="0" w:color="auto"/>
              <w:bottom w:val="single" w:sz="4" w:space="0" w:color="auto"/>
              <w:right w:val="single" w:sz="4" w:space="0" w:color="auto"/>
            </w:tcBorders>
          </w:tcPr>
          <w:p w14:paraId="0CCD4223" w14:textId="77777777" w:rsidR="00E57DAA" w:rsidRDefault="00AC4185">
            <w:pPr>
              <w:autoSpaceDE w:val="0"/>
              <w:autoSpaceDN w:val="0"/>
              <w:adjustRightInd w:val="0"/>
              <w:jc w:val="right"/>
              <w:rPr>
                <w:szCs w:val="21"/>
              </w:rPr>
            </w:pPr>
            <w:r>
              <w:t>9,009.01</w:t>
            </w:r>
          </w:p>
        </w:tc>
        <w:tc>
          <w:tcPr>
            <w:tcW w:w="1407" w:type="pct"/>
            <w:tcBorders>
              <w:top w:val="single" w:sz="4" w:space="0" w:color="auto"/>
              <w:left w:val="single" w:sz="4" w:space="0" w:color="auto"/>
              <w:bottom w:val="single" w:sz="4" w:space="0" w:color="auto"/>
              <w:right w:val="single" w:sz="4" w:space="0" w:color="auto"/>
            </w:tcBorders>
          </w:tcPr>
          <w:p w14:paraId="396EF2C9" w14:textId="77777777" w:rsidR="00E57DAA" w:rsidRDefault="00AC4185">
            <w:pPr>
              <w:autoSpaceDE w:val="0"/>
              <w:autoSpaceDN w:val="0"/>
              <w:adjustRightInd w:val="0"/>
              <w:jc w:val="right"/>
              <w:rPr>
                <w:szCs w:val="21"/>
              </w:rPr>
            </w:pPr>
            <w:r>
              <w:t>8,849.56</w:t>
            </w:r>
          </w:p>
        </w:tc>
      </w:tr>
      <w:tr w:rsidR="00E57DAA" w14:paraId="5E27A913" w14:textId="77777777">
        <w:tc>
          <w:tcPr>
            <w:tcW w:w="640" w:type="pct"/>
            <w:tcBorders>
              <w:top w:val="single" w:sz="4" w:space="0" w:color="auto"/>
              <w:left w:val="single" w:sz="4" w:space="0" w:color="auto"/>
              <w:bottom w:val="single" w:sz="4" w:space="0" w:color="auto"/>
              <w:right w:val="single" w:sz="4" w:space="0" w:color="auto"/>
            </w:tcBorders>
            <w:vAlign w:val="center"/>
          </w:tcPr>
          <w:p w14:paraId="69C8CED5"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7B3C0AE" w14:textId="77777777" w:rsidR="00E57DAA" w:rsidRDefault="00AC4185">
            <w:pPr>
              <w:autoSpaceDE w:val="0"/>
              <w:autoSpaceDN w:val="0"/>
              <w:adjustRightInd w:val="0"/>
              <w:rPr>
                <w:szCs w:val="21"/>
              </w:rPr>
            </w:pPr>
            <w:r>
              <w:t>蚌埠中恒新材料科技有限责任公司</w:t>
            </w:r>
          </w:p>
        </w:tc>
        <w:tc>
          <w:tcPr>
            <w:tcW w:w="1059" w:type="pct"/>
            <w:tcBorders>
              <w:top w:val="single" w:sz="4" w:space="0" w:color="auto"/>
              <w:left w:val="single" w:sz="4" w:space="0" w:color="auto"/>
              <w:bottom w:val="single" w:sz="4" w:space="0" w:color="auto"/>
              <w:right w:val="single" w:sz="4" w:space="0" w:color="auto"/>
            </w:tcBorders>
          </w:tcPr>
          <w:p w14:paraId="25F3C45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3C0952D" w14:textId="77777777" w:rsidR="00E57DAA" w:rsidRDefault="00AC4185">
            <w:pPr>
              <w:autoSpaceDE w:val="0"/>
              <w:autoSpaceDN w:val="0"/>
              <w:adjustRightInd w:val="0"/>
              <w:jc w:val="right"/>
              <w:rPr>
                <w:szCs w:val="21"/>
              </w:rPr>
            </w:pPr>
            <w:r>
              <w:t>185,840.71</w:t>
            </w:r>
          </w:p>
        </w:tc>
      </w:tr>
      <w:tr w:rsidR="00E57DAA" w14:paraId="74DF758E" w14:textId="77777777">
        <w:tc>
          <w:tcPr>
            <w:tcW w:w="640" w:type="pct"/>
            <w:tcBorders>
              <w:top w:val="single" w:sz="4" w:space="0" w:color="auto"/>
              <w:left w:val="single" w:sz="4" w:space="0" w:color="auto"/>
              <w:bottom w:val="single" w:sz="4" w:space="0" w:color="auto"/>
              <w:right w:val="single" w:sz="4" w:space="0" w:color="auto"/>
            </w:tcBorders>
            <w:vAlign w:val="center"/>
          </w:tcPr>
          <w:p w14:paraId="328E33E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46A7512" w14:textId="77777777" w:rsidR="00E57DAA" w:rsidRDefault="00AC4185">
            <w:pPr>
              <w:autoSpaceDE w:val="0"/>
              <w:autoSpaceDN w:val="0"/>
              <w:adjustRightInd w:val="0"/>
              <w:rPr>
                <w:szCs w:val="21"/>
              </w:rPr>
            </w:pPr>
            <w:r>
              <w:t>上海新建重型机械有限公司</w:t>
            </w:r>
          </w:p>
        </w:tc>
        <w:tc>
          <w:tcPr>
            <w:tcW w:w="1059" w:type="pct"/>
            <w:tcBorders>
              <w:top w:val="single" w:sz="4" w:space="0" w:color="auto"/>
              <w:left w:val="single" w:sz="4" w:space="0" w:color="auto"/>
              <w:bottom w:val="single" w:sz="4" w:space="0" w:color="auto"/>
              <w:right w:val="single" w:sz="4" w:space="0" w:color="auto"/>
            </w:tcBorders>
          </w:tcPr>
          <w:p w14:paraId="5319FDF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72FEE8E" w14:textId="77777777" w:rsidR="00E57DAA" w:rsidRDefault="00AC4185">
            <w:pPr>
              <w:autoSpaceDE w:val="0"/>
              <w:autoSpaceDN w:val="0"/>
              <w:adjustRightInd w:val="0"/>
              <w:jc w:val="right"/>
              <w:rPr>
                <w:szCs w:val="21"/>
              </w:rPr>
            </w:pPr>
            <w:r>
              <w:t>108,974.72</w:t>
            </w:r>
          </w:p>
        </w:tc>
      </w:tr>
      <w:tr w:rsidR="00E57DAA" w14:paraId="0EAFAF9D" w14:textId="77777777">
        <w:tc>
          <w:tcPr>
            <w:tcW w:w="640" w:type="pct"/>
            <w:tcBorders>
              <w:top w:val="single" w:sz="4" w:space="0" w:color="auto"/>
              <w:left w:val="single" w:sz="4" w:space="0" w:color="auto"/>
              <w:bottom w:val="single" w:sz="4" w:space="0" w:color="auto"/>
              <w:right w:val="single" w:sz="4" w:space="0" w:color="auto"/>
            </w:tcBorders>
            <w:vAlign w:val="center"/>
          </w:tcPr>
          <w:p w14:paraId="3BADBCB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32DF407" w14:textId="77777777" w:rsidR="00E57DAA" w:rsidRDefault="00AC4185">
            <w:pPr>
              <w:autoSpaceDE w:val="0"/>
              <w:autoSpaceDN w:val="0"/>
              <w:adjustRightInd w:val="0"/>
              <w:rPr>
                <w:szCs w:val="21"/>
              </w:rPr>
            </w:pPr>
            <w:r>
              <w:t>浙江长兴北新林业有限公司</w:t>
            </w:r>
          </w:p>
        </w:tc>
        <w:tc>
          <w:tcPr>
            <w:tcW w:w="1059" w:type="pct"/>
            <w:tcBorders>
              <w:top w:val="single" w:sz="4" w:space="0" w:color="auto"/>
              <w:left w:val="single" w:sz="4" w:space="0" w:color="auto"/>
              <w:bottom w:val="single" w:sz="4" w:space="0" w:color="auto"/>
              <w:right w:val="single" w:sz="4" w:space="0" w:color="auto"/>
            </w:tcBorders>
          </w:tcPr>
          <w:p w14:paraId="64F77CD1"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57C5AAF" w14:textId="77777777" w:rsidR="00E57DAA" w:rsidRDefault="00AC4185">
            <w:pPr>
              <w:autoSpaceDE w:val="0"/>
              <w:autoSpaceDN w:val="0"/>
              <w:adjustRightInd w:val="0"/>
              <w:jc w:val="right"/>
              <w:rPr>
                <w:szCs w:val="21"/>
              </w:rPr>
            </w:pPr>
            <w:r>
              <w:t>10,288,538.05</w:t>
            </w:r>
          </w:p>
        </w:tc>
      </w:tr>
      <w:tr w:rsidR="00E57DAA" w14:paraId="56DD825D" w14:textId="77777777">
        <w:tc>
          <w:tcPr>
            <w:tcW w:w="640" w:type="pct"/>
            <w:tcBorders>
              <w:top w:val="single" w:sz="4" w:space="0" w:color="auto"/>
              <w:left w:val="single" w:sz="4" w:space="0" w:color="auto"/>
              <w:bottom w:val="single" w:sz="4" w:space="0" w:color="auto"/>
              <w:right w:val="single" w:sz="4" w:space="0" w:color="auto"/>
            </w:tcBorders>
            <w:vAlign w:val="center"/>
          </w:tcPr>
          <w:p w14:paraId="04F0CAD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4A170EB" w14:textId="77777777" w:rsidR="00E57DAA" w:rsidRDefault="00AC4185">
            <w:pPr>
              <w:autoSpaceDE w:val="0"/>
              <w:autoSpaceDN w:val="0"/>
              <w:adjustRightInd w:val="0"/>
              <w:rPr>
                <w:szCs w:val="21"/>
              </w:rPr>
            </w:pPr>
            <w:r>
              <w:t>中建材国际贸易有限公司</w:t>
            </w:r>
          </w:p>
        </w:tc>
        <w:tc>
          <w:tcPr>
            <w:tcW w:w="1059" w:type="pct"/>
            <w:tcBorders>
              <w:top w:val="single" w:sz="4" w:space="0" w:color="auto"/>
              <w:left w:val="single" w:sz="4" w:space="0" w:color="auto"/>
              <w:bottom w:val="single" w:sz="4" w:space="0" w:color="auto"/>
              <w:right w:val="single" w:sz="4" w:space="0" w:color="auto"/>
            </w:tcBorders>
          </w:tcPr>
          <w:p w14:paraId="6075BBAA"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FAD4FDD" w14:textId="77777777" w:rsidR="00E57DAA" w:rsidRDefault="00AC4185">
            <w:pPr>
              <w:autoSpaceDE w:val="0"/>
              <w:autoSpaceDN w:val="0"/>
              <w:adjustRightInd w:val="0"/>
              <w:jc w:val="right"/>
              <w:rPr>
                <w:szCs w:val="21"/>
              </w:rPr>
            </w:pPr>
            <w:r>
              <w:t>3,906,403.38</w:t>
            </w:r>
          </w:p>
        </w:tc>
      </w:tr>
      <w:tr w:rsidR="00E57DAA" w14:paraId="28B0B487" w14:textId="77777777">
        <w:tc>
          <w:tcPr>
            <w:tcW w:w="640" w:type="pct"/>
            <w:tcBorders>
              <w:top w:val="single" w:sz="4" w:space="0" w:color="auto"/>
              <w:left w:val="single" w:sz="4" w:space="0" w:color="auto"/>
              <w:bottom w:val="single" w:sz="4" w:space="0" w:color="auto"/>
              <w:right w:val="single" w:sz="4" w:space="0" w:color="auto"/>
            </w:tcBorders>
            <w:vAlign w:val="center"/>
          </w:tcPr>
          <w:p w14:paraId="0ADF02A7" w14:textId="77777777" w:rsidR="00E57DAA" w:rsidRDefault="00AC4185">
            <w:pPr>
              <w:autoSpaceDE w:val="0"/>
              <w:autoSpaceDN w:val="0"/>
              <w:adjustRightInd w:val="0"/>
              <w:rPr>
                <w:szCs w:val="21"/>
              </w:rPr>
            </w:pPr>
            <w:r>
              <w:lastRenderedPageBreak/>
              <w:t xml:space="preserve">　</w:t>
            </w:r>
          </w:p>
        </w:tc>
        <w:tc>
          <w:tcPr>
            <w:tcW w:w="1894" w:type="pct"/>
            <w:tcBorders>
              <w:top w:val="single" w:sz="4" w:space="0" w:color="auto"/>
              <w:left w:val="single" w:sz="4" w:space="0" w:color="auto"/>
              <w:bottom w:val="single" w:sz="4" w:space="0" w:color="auto"/>
              <w:right w:val="single" w:sz="4" w:space="0" w:color="auto"/>
            </w:tcBorders>
          </w:tcPr>
          <w:p w14:paraId="2875847B" w14:textId="77777777" w:rsidR="00E57DAA" w:rsidRDefault="00AC4185">
            <w:pPr>
              <w:autoSpaceDE w:val="0"/>
              <w:autoSpaceDN w:val="0"/>
              <w:adjustRightInd w:val="0"/>
              <w:rPr>
                <w:szCs w:val="21"/>
              </w:rPr>
            </w:pPr>
            <w:r>
              <w:t>其他关联方</w:t>
            </w:r>
          </w:p>
        </w:tc>
        <w:tc>
          <w:tcPr>
            <w:tcW w:w="1059" w:type="pct"/>
            <w:tcBorders>
              <w:top w:val="single" w:sz="4" w:space="0" w:color="auto"/>
              <w:left w:val="single" w:sz="4" w:space="0" w:color="auto"/>
              <w:bottom w:val="single" w:sz="4" w:space="0" w:color="auto"/>
              <w:right w:val="single" w:sz="4" w:space="0" w:color="auto"/>
            </w:tcBorders>
          </w:tcPr>
          <w:p w14:paraId="3F6824E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95D3B18" w14:textId="77777777" w:rsidR="00E57DAA" w:rsidRDefault="00AC4185">
            <w:pPr>
              <w:autoSpaceDE w:val="0"/>
              <w:autoSpaceDN w:val="0"/>
              <w:adjustRightInd w:val="0"/>
              <w:jc w:val="right"/>
              <w:rPr>
                <w:szCs w:val="21"/>
              </w:rPr>
            </w:pPr>
            <w:r>
              <w:t xml:space="preserve">　</w:t>
            </w:r>
          </w:p>
        </w:tc>
      </w:tr>
      <w:tr w:rsidR="00E57DAA" w14:paraId="14E0B7A0" w14:textId="77777777">
        <w:tc>
          <w:tcPr>
            <w:tcW w:w="640" w:type="pct"/>
            <w:tcBorders>
              <w:top w:val="single" w:sz="4" w:space="0" w:color="auto"/>
              <w:left w:val="single" w:sz="4" w:space="0" w:color="auto"/>
              <w:bottom w:val="single" w:sz="4" w:space="0" w:color="auto"/>
              <w:right w:val="single" w:sz="4" w:space="0" w:color="auto"/>
            </w:tcBorders>
            <w:vAlign w:val="center"/>
          </w:tcPr>
          <w:p w14:paraId="1E0A6A5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09EA0DE" w14:textId="77777777" w:rsidR="00E57DAA" w:rsidRDefault="00AC4185">
            <w:pPr>
              <w:autoSpaceDE w:val="0"/>
              <w:autoSpaceDN w:val="0"/>
              <w:adjustRightInd w:val="0"/>
              <w:rPr>
                <w:szCs w:val="21"/>
              </w:rPr>
            </w:pPr>
            <w:r>
              <w:t>芜湖南方水泥有限公司</w:t>
            </w:r>
          </w:p>
        </w:tc>
        <w:tc>
          <w:tcPr>
            <w:tcW w:w="1059" w:type="pct"/>
            <w:tcBorders>
              <w:top w:val="single" w:sz="4" w:space="0" w:color="auto"/>
              <w:left w:val="single" w:sz="4" w:space="0" w:color="auto"/>
              <w:bottom w:val="single" w:sz="4" w:space="0" w:color="auto"/>
              <w:right w:val="single" w:sz="4" w:space="0" w:color="auto"/>
            </w:tcBorders>
          </w:tcPr>
          <w:p w14:paraId="308E1188" w14:textId="77777777" w:rsidR="00E57DAA" w:rsidRDefault="00AC4185">
            <w:pPr>
              <w:autoSpaceDE w:val="0"/>
              <w:autoSpaceDN w:val="0"/>
              <w:adjustRightInd w:val="0"/>
              <w:jc w:val="right"/>
              <w:rPr>
                <w:szCs w:val="21"/>
              </w:rPr>
            </w:pPr>
            <w:r>
              <w:t>20,962,279.01</w:t>
            </w:r>
          </w:p>
        </w:tc>
        <w:tc>
          <w:tcPr>
            <w:tcW w:w="1407" w:type="pct"/>
            <w:tcBorders>
              <w:top w:val="single" w:sz="4" w:space="0" w:color="auto"/>
              <w:left w:val="single" w:sz="4" w:space="0" w:color="auto"/>
              <w:bottom w:val="single" w:sz="4" w:space="0" w:color="auto"/>
              <w:right w:val="single" w:sz="4" w:space="0" w:color="auto"/>
            </w:tcBorders>
          </w:tcPr>
          <w:p w14:paraId="554360AD" w14:textId="77777777" w:rsidR="00E57DAA" w:rsidRDefault="00AC4185">
            <w:pPr>
              <w:autoSpaceDE w:val="0"/>
              <w:autoSpaceDN w:val="0"/>
              <w:adjustRightInd w:val="0"/>
              <w:jc w:val="right"/>
              <w:rPr>
                <w:szCs w:val="21"/>
              </w:rPr>
            </w:pPr>
            <w:r>
              <w:t>3,074,336.27</w:t>
            </w:r>
          </w:p>
        </w:tc>
      </w:tr>
      <w:tr w:rsidR="00E57DAA" w14:paraId="11A696CD" w14:textId="77777777">
        <w:tc>
          <w:tcPr>
            <w:tcW w:w="640" w:type="pct"/>
            <w:tcBorders>
              <w:top w:val="single" w:sz="4" w:space="0" w:color="auto"/>
              <w:left w:val="single" w:sz="4" w:space="0" w:color="auto"/>
              <w:bottom w:val="single" w:sz="4" w:space="0" w:color="auto"/>
              <w:right w:val="single" w:sz="4" w:space="0" w:color="auto"/>
            </w:tcBorders>
            <w:vAlign w:val="center"/>
          </w:tcPr>
          <w:p w14:paraId="0BF1226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CC0D85A" w14:textId="77777777" w:rsidR="00E57DAA" w:rsidRDefault="00AC4185">
            <w:pPr>
              <w:autoSpaceDE w:val="0"/>
              <w:autoSpaceDN w:val="0"/>
              <w:adjustRightInd w:val="0"/>
              <w:rPr>
                <w:szCs w:val="21"/>
              </w:rPr>
            </w:pPr>
            <w:r>
              <w:t>山东申丰水泥集团有限公司</w:t>
            </w:r>
          </w:p>
        </w:tc>
        <w:tc>
          <w:tcPr>
            <w:tcW w:w="1059" w:type="pct"/>
            <w:tcBorders>
              <w:top w:val="single" w:sz="4" w:space="0" w:color="auto"/>
              <w:left w:val="single" w:sz="4" w:space="0" w:color="auto"/>
              <w:bottom w:val="single" w:sz="4" w:space="0" w:color="auto"/>
              <w:right w:val="single" w:sz="4" w:space="0" w:color="auto"/>
            </w:tcBorders>
          </w:tcPr>
          <w:p w14:paraId="4D38CADD" w14:textId="77777777" w:rsidR="00E57DAA" w:rsidRDefault="00AC4185">
            <w:pPr>
              <w:autoSpaceDE w:val="0"/>
              <w:autoSpaceDN w:val="0"/>
              <w:adjustRightInd w:val="0"/>
              <w:jc w:val="right"/>
              <w:rPr>
                <w:szCs w:val="21"/>
              </w:rPr>
            </w:pPr>
            <w:r>
              <w:t>20,388,859.06</w:t>
            </w:r>
          </w:p>
        </w:tc>
        <w:tc>
          <w:tcPr>
            <w:tcW w:w="1407" w:type="pct"/>
            <w:tcBorders>
              <w:top w:val="single" w:sz="4" w:space="0" w:color="auto"/>
              <w:left w:val="single" w:sz="4" w:space="0" w:color="auto"/>
              <w:bottom w:val="single" w:sz="4" w:space="0" w:color="auto"/>
              <w:right w:val="single" w:sz="4" w:space="0" w:color="auto"/>
            </w:tcBorders>
          </w:tcPr>
          <w:p w14:paraId="16CB55C8" w14:textId="77777777" w:rsidR="00E57DAA" w:rsidRDefault="00AC4185">
            <w:pPr>
              <w:autoSpaceDE w:val="0"/>
              <w:autoSpaceDN w:val="0"/>
              <w:adjustRightInd w:val="0"/>
              <w:jc w:val="right"/>
              <w:rPr>
                <w:szCs w:val="21"/>
              </w:rPr>
            </w:pPr>
            <w:r>
              <w:t>30,953,097.35</w:t>
            </w:r>
          </w:p>
        </w:tc>
      </w:tr>
      <w:tr w:rsidR="00E57DAA" w14:paraId="0ED54C6A" w14:textId="77777777">
        <w:tc>
          <w:tcPr>
            <w:tcW w:w="640" w:type="pct"/>
            <w:tcBorders>
              <w:top w:val="single" w:sz="4" w:space="0" w:color="auto"/>
              <w:left w:val="single" w:sz="4" w:space="0" w:color="auto"/>
              <w:bottom w:val="single" w:sz="4" w:space="0" w:color="auto"/>
              <w:right w:val="single" w:sz="4" w:space="0" w:color="auto"/>
            </w:tcBorders>
            <w:vAlign w:val="center"/>
          </w:tcPr>
          <w:p w14:paraId="3EF3F25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FA4D277" w14:textId="77777777" w:rsidR="00E57DAA" w:rsidRDefault="00AC4185">
            <w:pPr>
              <w:autoSpaceDE w:val="0"/>
              <w:autoSpaceDN w:val="0"/>
              <w:adjustRightInd w:val="0"/>
              <w:rPr>
                <w:szCs w:val="21"/>
              </w:rPr>
            </w:pPr>
            <w:r>
              <w:t>赤峰山水远航水泥有限公司</w:t>
            </w:r>
          </w:p>
        </w:tc>
        <w:tc>
          <w:tcPr>
            <w:tcW w:w="1059" w:type="pct"/>
            <w:tcBorders>
              <w:top w:val="single" w:sz="4" w:space="0" w:color="auto"/>
              <w:left w:val="single" w:sz="4" w:space="0" w:color="auto"/>
              <w:bottom w:val="single" w:sz="4" w:space="0" w:color="auto"/>
              <w:right w:val="single" w:sz="4" w:space="0" w:color="auto"/>
            </w:tcBorders>
          </w:tcPr>
          <w:p w14:paraId="612AF76B" w14:textId="77777777" w:rsidR="00E57DAA" w:rsidRDefault="00AC4185">
            <w:pPr>
              <w:autoSpaceDE w:val="0"/>
              <w:autoSpaceDN w:val="0"/>
              <w:adjustRightInd w:val="0"/>
              <w:jc w:val="right"/>
              <w:rPr>
                <w:szCs w:val="21"/>
              </w:rPr>
            </w:pPr>
            <w:r>
              <w:t>18,477,903.48</w:t>
            </w:r>
          </w:p>
        </w:tc>
        <w:tc>
          <w:tcPr>
            <w:tcW w:w="1407" w:type="pct"/>
            <w:tcBorders>
              <w:top w:val="single" w:sz="4" w:space="0" w:color="auto"/>
              <w:left w:val="single" w:sz="4" w:space="0" w:color="auto"/>
              <w:bottom w:val="single" w:sz="4" w:space="0" w:color="auto"/>
              <w:right w:val="single" w:sz="4" w:space="0" w:color="auto"/>
            </w:tcBorders>
          </w:tcPr>
          <w:p w14:paraId="4862BC0E" w14:textId="77777777" w:rsidR="00E57DAA" w:rsidRDefault="00AC4185">
            <w:pPr>
              <w:autoSpaceDE w:val="0"/>
              <w:autoSpaceDN w:val="0"/>
              <w:adjustRightInd w:val="0"/>
              <w:jc w:val="right"/>
              <w:rPr>
                <w:szCs w:val="21"/>
              </w:rPr>
            </w:pPr>
            <w:r>
              <w:t>2,123,893.80</w:t>
            </w:r>
          </w:p>
        </w:tc>
      </w:tr>
      <w:tr w:rsidR="00E57DAA" w14:paraId="0CFA4D94" w14:textId="77777777">
        <w:tc>
          <w:tcPr>
            <w:tcW w:w="640" w:type="pct"/>
            <w:tcBorders>
              <w:top w:val="single" w:sz="4" w:space="0" w:color="auto"/>
              <w:left w:val="single" w:sz="4" w:space="0" w:color="auto"/>
              <w:bottom w:val="single" w:sz="4" w:space="0" w:color="auto"/>
              <w:right w:val="single" w:sz="4" w:space="0" w:color="auto"/>
            </w:tcBorders>
            <w:vAlign w:val="center"/>
          </w:tcPr>
          <w:p w14:paraId="27E1447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80D6247" w14:textId="77777777" w:rsidR="00E57DAA" w:rsidRDefault="00AC4185">
            <w:pPr>
              <w:autoSpaceDE w:val="0"/>
              <w:autoSpaceDN w:val="0"/>
              <w:adjustRightInd w:val="0"/>
              <w:rPr>
                <w:szCs w:val="21"/>
              </w:rPr>
            </w:pPr>
            <w:r>
              <w:t>大冶尖峰水泥有限公司</w:t>
            </w:r>
          </w:p>
        </w:tc>
        <w:tc>
          <w:tcPr>
            <w:tcW w:w="1059" w:type="pct"/>
            <w:tcBorders>
              <w:top w:val="single" w:sz="4" w:space="0" w:color="auto"/>
              <w:left w:val="single" w:sz="4" w:space="0" w:color="auto"/>
              <w:bottom w:val="single" w:sz="4" w:space="0" w:color="auto"/>
              <w:right w:val="single" w:sz="4" w:space="0" w:color="auto"/>
            </w:tcBorders>
          </w:tcPr>
          <w:p w14:paraId="048002BB" w14:textId="77777777" w:rsidR="00E57DAA" w:rsidRDefault="00AC4185">
            <w:pPr>
              <w:autoSpaceDE w:val="0"/>
              <w:autoSpaceDN w:val="0"/>
              <w:adjustRightInd w:val="0"/>
              <w:jc w:val="right"/>
              <w:rPr>
                <w:szCs w:val="21"/>
              </w:rPr>
            </w:pPr>
            <w:r>
              <w:t>3,814,637.17</w:t>
            </w:r>
          </w:p>
        </w:tc>
        <w:tc>
          <w:tcPr>
            <w:tcW w:w="1407" w:type="pct"/>
            <w:tcBorders>
              <w:top w:val="single" w:sz="4" w:space="0" w:color="auto"/>
              <w:left w:val="single" w:sz="4" w:space="0" w:color="auto"/>
              <w:bottom w:val="single" w:sz="4" w:space="0" w:color="auto"/>
              <w:right w:val="single" w:sz="4" w:space="0" w:color="auto"/>
            </w:tcBorders>
          </w:tcPr>
          <w:p w14:paraId="3DF5779B" w14:textId="77777777" w:rsidR="00E57DAA" w:rsidRDefault="00AC4185">
            <w:pPr>
              <w:autoSpaceDE w:val="0"/>
              <w:autoSpaceDN w:val="0"/>
              <w:adjustRightInd w:val="0"/>
              <w:jc w:val="right"/>
              <w:rPr>
                <w:szCs w:val="21"/>
              </w:rPr>
            </w:pPr>
            <w:r>
              <w:t>4,229,814.14</w:t>
            </w:r>
          </w:p>
        </w:tc>
      </w:tr>
      <w:tr w:rsidR="00E57DAA" w14:paraId="34A7A626" w14:textId="77777777">
        <w:tc>
          <w:tcPr>
            <w:tcW w:w="640" w:type="pct"/>
            <w:tcBorders>
              <w:top w:val="single" w:sz="4" w:space="0" w:color="auto"/>
              <w:left w:val="single" w:sz="4" w:space="0" w:color="auto"/>
              <w:bottom w:val="single" w:sz="4" w:space="0" w:color="auto"/>
              <w:right w:val="single" w:sz="4" w:space="0" w:color="auto"/>
            </w:tcBorders>
            <w:vAlign w:val="center"/>
          </w:tcPr>
          <w:p w14:paraId="797ED93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25F1002" w14:textId="77777777" w:rsidR="00E57DAA" w:rsidRDefault="00AC4185">
            <w:pPr>
              <w:autoSpaceDE w:val="0"/>
              <w:autoSpaceDN w:val="0"/>
              <w:adjustRightInd w:val="0"/>
              <w:rPr>
                <w:szCs w:val="21"/>
              </w:rPr>
            </w:pPr>
            <w:r>
              <w:t>吕梁山水水泥有限公司</w:t>
            </w:r>
          </w:p>
        </w:tc>
        <w:tc>
          <w:tcPr>
            <w:tcW w:w="1059" w:type="pct"/>
            <w:tcBorders>
              <w:top w:val="single" w:sz="4" w:space="0" w:color="auto"/>
              <w:left w:val="single" w:sz="4" w:space="0" w:color="auto"/>
              <w:bottom w:val="single" w:sz="4" w:space="0" w:color="auto"/>
              <w:right w:val="single" w:sz="4" w:space="0" w:color="auto"/>
            </w:tcBorders>
          </w:tcPr>
          <w:p w14:paraId="63F5E315" w14:textId="77777777" w:rsidR="00E57DAA" w:rsidRDefault="00AC4185">
            <w:pPr>
              <w:autoSpaceDE w:val="0"/>
              <w:autoSpaceDN w:val="0"/>
              <w:adjustRightInd w:val="0"/>
              <w:jc w:val="right"/>
              <w:rPr>
                <w:szCs w:val="21"/>
              </w:rPr>
            </w:pPr>
            <w:r>
              <w:t>3,459,362.52</w:t>
            </w:r>
          </w:p>
        </w:tc>
        <w:tc>
          <w:tcPr>
            <w:tcW w:w="1407" w:type="pct"/>
            <w:tcBorders>
              <w:top w:val="single" w:sz="4" w:space="0" w:color="auto"/>
              <w:left w:val="single" w:sz="4" w:space="0" w:color="auto"/>
              <w:bottom w:val="single" w:sz="4" w:space="0" w:color="auto"/>
              <w:right w:val="single" w:sz="4" w:space="0" w:color="auto"/>
            </w:tcBorders>
          </w:tcPr>
          <w:p w14:paraId="6B158BF8" w14:textId="77777777" w:rsidR="00E57DAA" w:rsidRDefault="00AC4185">
            <w:pPr>
              <w:autoSpaceDE w:val="0"/>
              <w:autoSpaceDN w:val="0"/>
              <w:adjustRightInd w:val="0"/>
              <w:jc w:val="right"/>
              <w:rPr>
                <w:szCs w:val="21"/>
              </w:rPr>
            </w:pPr>
            <w:r>
              <w:t xml:space="preserve">　</w:t>
            </w:r>
          </w:p>
        </w:tc>
      </w:tr>
      <w:tr w:rsidR="00E57DAA" w14:paraId="40695DAA" w14:textId="77777777">
        <w:tc>
          <w:tcPr>
            <w:tcW w:w="640" w:type="pct"/>
            <w:tcBorders>
              <w:top w:val="single" w:sz="4" w:space="0" w:color="auto"/>
              <w:left w:val="single" w:sz="4" w:space="0" w:color="auto"/>
              <w:bottom w:val="single" w:sz="4" w:space="0" w:color="auto"/>
              <w:right w:val="single" w:sz="4" w:space="0" w:color="auto"/>
            </w:tcBorders>
            <w:vAlign w:val="center"/>
          </w:tcPr>
          <w:p w14:paraId="1E9DDFC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99F1603" w14:textId="77777777" w:rsidR="00E57DAA" w:rsidRDefault="00AC4185">
            <w:pPr>
              <w:autoSpaceDE w:val="0"/>
              <w:autoSpaceDN w:val="0"/>
              <w:adjustRightInd w:val="0"/>
              <w:rPr>
                <w:szCs w:val="21"/>
              </w:rPr>
            </w:pPr>
            <w:r>
              <w:t>拉萨城投祁连山水泥有限公司</w:t>
            </w:r>
          </w:p>
        </w:tc>
        <w:tc>
          <w:tcPr>
            <w:tcW w:w="1059" w:type="pct"/>
            <w:tcBorders>
              <w:top w:val="single" w:sz="4" w:space="0" w:color="auto"/>
              <w:left w:val="single" w:sz="4" w:space="0" w:color="auto"/>
              <w:bottom w:val="single" w:sz="4" w:space="0" w:color="auto"/>
              <w:right w:val="single" w:sz="4" w:space="0" w:color="auto"/>
            </w:tcBorders>
          </w:tcPr>
          <w:p w14:paraId="571C2B75" w14:textId="77777777" w:rsidR="00E57DAA" w:rsidRDefault="00AC4185">
            <w:pPr>
              <w:autoSpaceDE w:val="0"/>
              <w:autoSpaceDN w:val="0"/>
              <w:adjustRightInd w:val="0"/>
              <w:jc w:val="right"/>
              <w:rPr>
                <w:szCs w:val="21"/>
              </w:rPr>
            </w:pPr>
            <w:r>
              <w:t>576,576.58</w:t>
            </w:r>
          </w:p>
        </w:tc>
        <w:tc>
          <w:tcPr>
            <w:tcW w:w="1407" w:type="pct"/>
            <w:tcBorders>
              <w:top w:val="single" w:sz="4" w:space="0" w:color="auto"/>
              <w:left w:val="single" w:sz="4" w:space="0" w:color="auto"/>
              <w:bottom w:val="single" w:sz="4" w:space="0" w:color="auto"/>
              <w:right w:val="single" w:sz="4" w:space="0" w:color="auto"/>
            </w:tcBorders>
          </w:tcPr>
          <w:p w14:paraId="6EBC1472" w14:textId="77777777" w:rsidR="00E57DAA" w:rsidRDefault="00AC4185">
            <w:pPr>
              <w:autoSpaceDE w:val="0"/>
              <w:autoSpaceDN w:val="0"/>
              <w:adjustRightInd w:val="0"/>
              <w:jc w:val="right"/>
              <w:rPr>
                <w:szCs w:val="21"/>
              </w:rPr>
            </w:pPr>
            <w:r>
              <w:t>17,097,257.96</w:t>
            </w:r>
          </w:p>
        </w:tc>
      </w:tr>
      <w:tr w:rsidR="00E57DAA" w14:paraId="304AE899" w14:textId="77777777">
        <w:tc>
          <w:tcPr>
            <w:tcW w:w="640" w:type="pct"/>
            <w:tcBorders>
              <w:top w:val="single" w:sz="4" w:space="0" w:color="auto"/>
              <w:left w:val="single" w:sz="4" w:space="0" w:color="auto"/>
              <w:bottom w:val="single" w:sz="4" w:space="0" w:color="auto"/>
              <w:right w:val="single" w:sz="4" w:space="0" w:color="auto"/>
            </w:tcBorders>
            <w:vAlign w:val="center"/>
          </w:tcPr>
          <w:p w14:paraId="253B0D2A"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574C5E5" w14:textId="77777777" w:rsidR="00E57DAA" w:rsidRDefault="00AC4185">
            <w:pPr>
              <w:autoSpaceDE w:val="0"/>
              <w:autoSpaceDN w:val="0"/>
              <w:adjustRightInd w:val="0"/>
              <w:rPr>
                <w:szCs w:val="21"/>
              </w:rPr>
            </w:pPr>
            <w:r>
              <w:t>济南山水物流港有限公司</w:t>
            </w:r>
          </w:p>
        </w:tc>
        <w:tc>
          <w:tcPr>
            <w:tcW w:w="1059" w:type="pct"/>
            <w:tcBorders>
              <w:top w:val="single" w:sz="4" w:space="0" w:color="auto"/>
              <w:left w:val="single" w:sz="4" w:space="0" w:color="auto"/>
              <w:bottom w:val="single" w:sz="4" w:space="0" w:color="auto"/>
              <w:right w:val="single" w:sz="4" w:space="0" w:color="auto"/>
            </w:tcBorders>
          </w:tcPr>
          <w:p w14:paraId="4BD8C087" w14:textId="77777777" w:rsidR="00E57DAA" w:rsidRDefault="00AC4185">
            <w:pPr>
              <w:autoSpaceDE w:val="0"/>
              <w:autoSpaceDN w:val="0"/>
              <w:adjustRightInd w:val="0"/>
              <w:jc w:val="right"/>
              <w:rPr>
                <w:szCs w:val="21"/>
              </w:rPr>
            </w:pPr>
            <w:r>
              <w:t>443,663.09</w:t>
            </w:r>
          </w:p>
        </w:tc>
        <w:tc>
          <w:tcPr>
            <w:tcW w:w="1407" w:type="pct"/>
            <w:tcBorders>
              <w:top w:val="single" w:sz="4" w:space="0" w:color="auto"/>
              <w:left w:val="single" w:sz="4" w:space="0" w:color="auto"/>
              <w:bottom w:val="single" w:sz="4" w:space="0" w:color="auto"/>
              <w:right w:val="single" w:sz="4" w:space="0" w:color="auto"/>
            </w:tcBorders>
          </w:tcPr>
          <w:p w14:paraId="555EC8D1" w14:textId="77777777" w:rsidR="00E57DAA" w:rsidRDefault="00AC4185">
            <w:pPr>
              <w:autoSpaceDE w:val="0"/>
              <w:autoSpaceDN w:val="0"/>
              <w:adjustRightInd w:val="0"/>
              <w:jc w:val="right"/>
              <w:rPr>
                <w:szCs w:val="21"/>
              </w:rPr>
            </w:pPr>
            <w:r>
              <w:t>249,716.82</w:t>
            </w:r>
          </w:p>
        </w:tc>
      </w:tr>
      <w:tr w:rsidR="00E57DAA" w14:paraId="586A9972" w14:textId="77777777">
        <w:tc>
          <w:tcPr>
            <w:tcW w:w="640" w:type="pct"/>
            <w:tcBorders>
              <w:top w:val="single" w:sz="4" w:space="0" w:color="auto"/>
              <w:left w:val="single" w:sz="4" w:space="0" w:color="auto"/>
              <w:bottom w:val="single" w:sz="4" w:space="0" w:color="auto"/>
              <w:right w:val="single" w:sz="4" w:space="0" w:color="auto"/>
            </w:tcBorders>
            <w:vAlign w:val="center"/>
          </w:tcPr>
          <w:p w14:paraId="44C9F3E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29F835F" w14:textId="77777777" w:rsidR="00E57DAA" w:rsidRDefault="00AC4185">
            <w:pPr>
              <w:autoSpaceDE w:val="0"/>
              <w:autoSpaceDN w:val="0"/>
              <w:adjustRightInd w:val="0"/>
              <w:rPr>
                <w:szCs w:val="21"/>
              </w:rPr>
            </w:pPr>
            <w:r>
              <w:t>潍坊凝石山水水泥有限公司</w:t>
            </w:r>
          </w:p>
        </w:tc>
        <w:tc>
          <w:tcPr>
            <w:tcW w:w="1059" w:type="pct"/>
            <w:tcBorders>
              <w:top w:val="single" w:sz="4" w:space="0" w:color="auto"/>
              <w:left w:val="single" w:sz="4" w:space="0" w:color="auto"/>
              <w:bottom w:val="single" w:sz="4" w:space="0" w:color="auto"/>
              <w:right w:val="single" w:sz="4" w:space="0" w:color="auto"/>
            </w:tcBorders>
          </w:tcPr>
          <w:p w14:paraId="0C7F96CD" w14:textId="77777777" w:rsidR="00E57DAA" w:rsidRDefault="00AC4185">
            <w:pPr>
              <w:autoSpaceDE w:val="0"/>
              <w:autoSpaceDN w:val="0"/>
              <w:adjustRightInd w:val="0"/>
              <w:jc w:val="right"/>
              <w:rPr>
                <w:szCs w:val="21"/>
              </w:rPr>
            </w:pPr>
            <w:r>
              <w:t>323,687.60</w:t>
            </w:r>
          </w:p>
        </w:tc>
        <w:tc>
          <w:tcPr>
            <w:tcW w:w="1407" w:type="pct"/>
            <w:tcBorders>
              <w:top w:val="single" w:sz="4" w:space="0" w:color="auto"/>
              <w:left w:val="single" w:sz="4" w:space="0" w:color="auto"/>
              <w:bottom w:val="single" w:sz="4" w:space="0" w:color="auto"/>
              <w:right w:val="single" w:sz="4" w:space="0" w:color="auto"/>
            </w:tcBorders>
          </w:tcPr>
          <w:p w14:paraId="15C8EE4C" w14:textId="77777777" w:rsidR="00E57DAA" w:rsidRDefault="00AC4185">
            <w:pPr>
              <w:autoSpaceDE w:val="0"/>
              <w:autoSpaceDN w:val="0"/>
              <w:adjustRightInd w:val="0"/>
              <w:jc w:val="right"/>
              <w:rPr>
                <w:szCs w:val="21"/>
              </w:rPr>
            </w:pPr>
            <w:r>
              <w:t xml:space="preserve">　</w:t>
            </w:r>
          </w:p>
        </w:tc>
      </w:tr>
      <w:tr w:rsidR="00E57DAA" w14:paraId="1C79D9F0" w14:textId="77777777">
        <w:tc>
          <w:tcPr>
            <w:tcW w:w="640" w:type="pct"/>
            <w:tcBorders>
              <w:top w:val="single" w:sz="4" w:space="0" w:color="auto"/>
              <w:left w:val="single" w:sz="4" w:space="0" w:color="auto"/>
              <w:bottom w:val="single" w:sz="4" w:space="0" w:color="auto"/>
              <w:right w:val="single" w:sz="4" w:space="0" w:color="auto"/>
            </w:tcBorders>
            <w:vAlign w:val="center"/>
          </w:tcPr>
          <w:p w14:paraId="0C8DA154"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072D11C" w14:textId="77777777" w:rsidR="00E57DAA" w:rsidRDefault="00AC4185">
            <w:pPr>
              <w:autoSpaceDE w:val="0"/>
              <w:autoSpaceDN w:val="0"/>
              <w:adjustRightInd w:val="0"/>
              <w:rPr>
                <w:szCs w:val="21"/>
              </w:rPr>
            </w:pPr>
            <w:r>
              <w:t>辽宁山水工源水泥有限公司</w:t>
            </w:r>
          </w:p>
        </w:tc>
        <w:tc>
          <w:tcPr>
            <w:tcW w:w="1059" w:type="pct"/>
            <w:tcBorders>
              <w:top w:val="single" w:sz="4" w:space="0" w:color="auto"/>
              <w:left w:val="single" w:sz="4" w:space="0" w:color="auto"/>
              <w:bottom w:val="single" w:sz="4" w:space="0" w:color="auto"/>
              <w:right w:val="single" w:sz="4" w:space="0" w:color="auto"/>
            </w:tcBorders>
          </w:tcPr>
          <w:p w14:paraId="3FCCDE7D" w14:textId="77777777" w:rsidR="00E57DAA" w:rsidRDefault="00AC4185">
            <w:pPr>
              <w:autoSpaceDE w:val="0"/>
              <w:autoSpaceDN w:val="0"/>
              <w:adjustRightInd w:val="0"/>
              <w:jc w:val="right"/>
              <w:rPr>
                <w:szCs w:val="21"/>
              </w:rPr>
            </w:pPr>
            <w:r>
              <w:t>284,601.77</w:t>
            </w:r>
          </w:p>
        </w:tc>
        <w:tc>
          <w:tcPr>
            <w:tcW w:w="1407" w:type="pct"/>
            <w:tcBorders>
              <w:top w:val="single" w:sz="4" w:space="0" w:color="auto"/>
              <w:left w:val="single" w:sz="4" w:space="0" w:color="auto"/>
              <w:bottom w:val="single" w:sz="4" w:space="0" w:color="auto"/>
              <w:right w:val="single" w:sz="4" w:space="0" w:color="auto"/>
            </w:tcBorders>
          </w:tcPr>
          <w:p w14:paraId="3180278B" w14:textId="77777777" w:rsidR="00E57DAA" w:rsidRDefault="00AC4185">
            <w:pPr>
              <w:autoSpaceDE w:val="0"/>
              <w:autoSpaceDN w:val="0"/>
              <w:adjustRightInd w:val="0"/>
              <w:jc w:val="right"/>
              <w:rPr>
                <w:szCs w:val="21"/>
              </w:rPr>
            </w:pPr>
            <w:r>
              <w:t xml:space="preserve">　</w:t>
            </w:r>
          </w:p>
        </w:tc>
      </w:tr>
      <w:tr w:rsidR="00E57DAA" w14:paraId="076B68E1" w14:textId="77777777">
        <w:tc>
          <w:tcPr>
            <w:tcW w:w="640" w:type="pct"/>
            <w:tcBorders>
              <w:top w:val="single" w:sz="4" w:space="0" w:color="auto"/>
              <w:left w:val="single" w:sz="4" w:space="0" w:color="auto"/>
              <w:bottom w:val="single" w:sz="4" w:space="0" w:color="auto"/>
              <w:right w:val="single" w:sz="4" w:space="0" w:color="auto"/>
            </w:tcBorders>
            <w:vAlign w:val="center"/>
          </w:tcPr>
          <w:p w14:paraId="09AA88E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E51FE85" w14:textId="77777777" w:rsidR="00E57DAA" w:rsidRDefault="00AC4185">
            <w:pPr>
              <w:autoSpaceDE w:val="0"/>
              <w:autoSpaceDN w:val="0"/>
              <w:adjustRightInd w:val="0"/>
              <w:rPr>
                <w:szCs w:val="21"/>
              </w:rPr>
            </w:pPr>
            <w:r>
              <w:t>沂水山水水泥有限公司</w:t>
            </w:r>
          </w:p>
        </w:tc>
        <w:tc>
          <w:tcPr>
            <w:tcW w:w="1059" w:type="pct"/>
            <w:tcBorders>
              <w:top w:val="single" w:sz="4" w:space="0" w:color="auto"/>
              <w:left w:val="single" w:sz="4" w:space="0" w:color="auto"/>
              <w:bottom w:val="single" w:sz="4" w:space="0" w:color="auto"/>
              <w:right w:val="single" w:sz="4" w:space="0" w:color="auto"/>
            </w:tcBorders>
          </w:tcPr>
          <w:p w14:paraId="5A9E2BE7" w14:textId="77777777" w:rsidR="00E57DAA" w:rsidRDefault="00AC4185">
            <w:pPr>
              <w:autoSpaceDE w:val="0"/>
              <w:autoSpaceDN w:val="0"/>
              <w:adjustRightInd w:val="0"/>
              <w:jc w:val="right"/>
              <w:rPr>
                <w:szCs w:val="21"/>
              </w:rPr>
            </w:pPr>
            <w:r>
              <w:t>265,486.73</w:t>
            </w:r>
          </w:p>
        </w:tc>
        <w:tc>
          <w:tcPr>
            <w:tcW w:w="1407" w:type="pct"/>
            <w:tcBorders>
              <w:top w:val="single" w:sz="4" w:space="0" w:color="auto"/>
              <w:left w:val="single" w:sz="4" w:space="0" w:color="auto"/>
              <w:bottom w:val="single" w:sz="4" w:space="0" w:color="auto"/>
              <w:right w:val="single" w:sz="4" w:space="0" w:color="auto"/>
            </w:tcBorders>
          </w:tcPr>
          <w:p w14:paraId="010712DD" w14:textId="77777777" w:rsidR="00E57DAA" w:rsidRDefault="00AC4185">
            <w:pPr>
              <w:autoSpaceDE w:val="0"/>
              <w:autoSpaceDN w:val="0"/>
              <w:adjustRightInd w:val="0"/>
              <w:jc w:val="right"/>
              <w:rPr>
                <w:szCs w:val="21"/>
              </w:rPr>
            </w:pPr>
            <w:r>
              <w:t>265,486.73</w:t>
            </w:r>
          </w:p>
        </w:tc>
      </w:tr>
      <w:tr w:rsidR="00E57DAA" w14:paraId="75B3BB56" w14:textId="77777777">
        <w:tc>
          <w:tcPr>
            <w:tcW w:w="640" w:type="pct"/>
            <w:tcBorders>
              <w:top w:val="single" w:sz="4" w:space="0" w:color="auto"/>
              <w:left w:val="single" w:sz="4" w:space="0" w:color="auto"/>
              <w:bottom w:val="single" w:sz="4" w:space="0" w:color="auto"/>
              <w:right w:val="single" w:sz="4" w:space="0" w:color="auto"/>
            </w:tcBorders>
            <w:vAlign w:val="center"/>
          </w:tcPr>
          <w:p w14:paraId="3EA322E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37DFE5A" w14:textId="77777777" w:rsidR="00E57DAA" w:rsidRDefault="00AC4185">
            <w:pPr>
              <w:autoSpaceDE w:val="0"/>
              <w:autoSpaceDN w:val="0"/>
              <w:adjustRightInd w:val="0"/>
              <w:rPr>
                <w:szCs w:val="21"/>
              </w:rPr>
            </w:pPr>
            <w:r>
              <w:t>江西于都南方万年青水泥有限公司</w:t>
            </w:r>
          </w:p>
        </w:tc>
        <w:tc>
          <w:tcPr>
            <w:tcW w:w="1059" w:type="pct"/>
            <w:tcBorders>
              <w:top w:val="single" w:sz="4" w:space="0" w:color="auto"/>
              <w:left w:val="single" w:sz="4" w:space="0" w:color="auto"/>
              <w:bottom w:val="single" w:sz="4" w:space="0" w:color="auto"/>
              <w:right w:val="single" w:sz="4" w:space="0" w:color="auto"/>
            </w:tcBorders>
          </w:tcPr>
          <w:p w14:paraId="63936E01" w14:textId="77777777" w:rsidR="00E57DAA" w:rsidRDefault="00AC4185">
            <w:pPr>
              <w:autoSpaceDE w:val="0"/>
              <w:autoSpaceDN w:val="0"/>
              <w:adjustRightInd w:val="0"/>
              <w:jc w:val="right"/>
              <w:rPr>
                <w:szCs w:val="21"/>
              </w:rPr>
            </w:pPr>
            <w:r>
              <w:t>225,225.22</w:t>
            </w:r>
          </w:p>
        </w:tc>
        <w:tc>
          <w:tcPr>
            <w:tcW w:w="1407" w:type="pct"/>
            <w:tcBorders>
              <w:top w:val="single" w:sz="4" w:space="0" w:color="auto"/>
              <w:left w:val="single" w:sz="4" w:space="0" w:color="auto"/>
              <w:bottom w:val="single" w:sz="4" w:space="0" w:color="auto"/>
              <w:right w:val="single" w:sz="4" w:space="0" w:color="auto"/>
            </w:tcBorders>
          </w:tcPr>
          <w:p w14:paraId="29EFF5C1" w14:textId="77777777" w:rsidR="00E57DAA" w:rsidRDefault="00AC4185">
            <w:pPr>
              <w:autoSpaceDE w:val="0"/>
              <w:autoSpaceDN w:val="0"/>
              <w:adjustRightInd w:val="0"/>
              <w:jc w:val="right"/>
              <w:rPr>
                <w:szCs w:val="21"/>
              </w:rPr>
            </w:pPr>
            <w:r>
              <w:t>457,526.11</w:t>
            </w:r>
          </w:p>
        </w:tc>
      </w:tr>
      <w:tr w:rsidR="00E57DAA" w14:paraId="3620229A" w14:textId="77777777">
        <w:tc>
          <w:tcPr>
            <w:tcW w:w="640" w:type="pct"/>
            <w:tcBorders>
              <w:top w:val="single" w:sz="4" w:space="0" w:color="auto"/>
              <w:left w:val="single" w:sz="4" w:space="0" w:color="auto"/>
              <w:bottom w:val="single" w:sz="4" w:space="0" w:color="auto"/>
              <w:right w:val="single" w:sz="4" w:space="0" w:color="auto"/>
            </w:tcBorders>
            <w:vAlign w:val="center"/>
          </w:tcPr>
          <w:p w14:paraId="0B26C45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947C979" w14:textId="77777777" w:rsidR="00E57DAA" w:rsidRDefault="00AC4185">
            <w:pPr>
              <w:autoSpaceDE w:val="0"/>
              <w:autoSpaceDN w:val="0"/>
              <w:adjustRightInd w:val="0"/>
              <w:rPr>
                <w:szCs w:val="21"/>
              </w:rPr>
            </w:pPr>
            <w:r>
              <w:t>江苏金峰水泥集团有限公司</w:t>
            </w:r>
          </w:p>
        </w:tc>
        <w:tc>
          <w:tcPr>
            <w:tcW w:w="1059" w:type="pct"/>
            <w:tcBorders>
              <w:top w:val="single" w:sz="4" w:space="0" w:color="auto"/>
              <w:left w:val="single" w:sz="4" w:space="0" w:color="auto"/>
              <w:bottom w:val="single" w:sz="4" w:space="0" w:color="auto"/>
              <w:right w:val="single" w:sz="4" w:space="0" w:color="auto"/>
            </w:tcBorders>
          </w:tcPr>
          <w:p w14:paraId="02090ED0" w14:textId="77777777" w:rsidR="00E57DAA" w:rsidRDefault="00AC4185">
            <w:pPr>
              <w:autoSpaceDE w:val="0"/>
              <w:autoSpaceDN w:val="0"/>
              <w:adjustRightInd w:val="0"/>
              <w:jc w:val="right"/>
              <w:rPr>
                <w:szCs w:val="21"/>
              </w:rPr>
            </w:pPr>
            <w:r>
              <w:t>190,265.49</w:t>
            </w:r>
          </w:p>
        </w:tc>
        <w:tc>
          <w:tcPr>
            <w:tcW w:w="1407" w:type="pct"/>
            <w:tcBorders>
              <w:top w:val="single" w:sz="4" w:space="0" w:color="auto"/>
              <w:left w:val="single" w:sz="4" w:space="0" w:color="auto"/>
              <w:bottom w:val="single" w:sz="4" w:space="0" w:color="auto"/>
              <w:right w:val="single" w:sz="4" w:space="0" w:color="auto"/>
            </w:tcBorders>
          </w:tcPr>
          <w:p w14:paraId="3089EB99" w14:textId="77777777" w:rsidR="00E57DAA" w:rsidRDefault="00AC4185">
            <w:pPr>
              <w:autoSpaceDE w:val="0"/>
              <w:autoSpaceDN w:val="0"/>
              <w:adjustRightInd w:val="0"/>
              <w:jc w:val="right"/>
              <w:rPr>
                <w:szCs w:val="21"/>
              </w:rPr>
            </w:pPr>
            <w:r>
              <w:t xml:space="preserve">　</w:t>
            </w:r>
          </w:p>
        </w:tc>
      </w:tr>
      <w:tr w:rsidR="00E57DAA" w14:paraId="2541C90B" w14:textId="77777777">
        <w:tc>
          <w:tcPr>
            <w:tcW w:w="640" w:type="pct"/>
            <w:tcBorders>
              <w:top w:val="single" w:sz="4" w:space="0" w:color="auto"/>
              <w:left w:val="single" w:sz="4" w:space="0" w:color="auto"/>
              <w:bottom w:val="single" w:sz="4" w:space="0" w:color="auto"/>
              <w:right w:val="single" w:sz="4" w:space="0" w:color="auto"/>
            </w:tcBorders>
            <w:vAlign w:val="center"/>
          </w:tcPr>
          <w:p w14:paraId="09DC4C8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36FD38B" w14:textId="77777777" w:rsidR="00E57DAA" w:rsidRDefault="00AC4185">
            <w:pPr>
              <w:autoSpaceDE w:val="0"/>
              <w:autoSpaceDN w:val="0"/>
              <w:adjustRightInd w:val="0"/>
              <w:rPr>
                <w:szCs w:val="21"/>
              </w:rPr>
            </w:pPr>
            <w:r>
              <w:t>海控三鑫（蚌埠）新能源材料有限公司</w:t>
            </w:r>
          </w:p>
        </w:tc>
        <w:tc>
          <w:tcPr>
            <w:tcW w:w="1059" w:type="pct"/>
            <w:tcBorders>
              <w:top w:val="single" w:sz="4" w:space="0" w:color="auto"/>
              <w:left w:val="single" w:sz="4" w:space="0" w:color="auto"/>
              <w:bottom w:val="single" w:sz="4" w:space="0" w:color="auto"/>
              <w:right w:val="single" w:sz="4" w:space="0" w:color="auto"/>
            </w:tcBorders>
          </w:tcPr>
          <w:p w14:paraId="54135DCD" w14:textId="77777777" w:rsidR="00E57DAA" w:rsidRDefault="00AC4185">
            <w:pPr>
              <w:autoSpaceDE w:val="0"/>
              <w:autoSpaceDN w:val="0"/>
              <w:adjustRightInd w:val="0"/>
              <w:jc w:val="right"/>
              <w:rPr>
                <w:szCs w:val="21"/>
              </w:rPr>
            </w:pPr>
            <w:r>
              <w:t>121,792.78</w:t>
            </w:r>
          </w:p>
        </w:tc>
        <w:tc>
          <w:tcPr>
            <w:tcW w:w="1407" w:type="pct"/>
            <w:tcBorders>
              <w:top w:val="single" w:sz="4" w:space="0" w:color="auto"/>
              <w:left w:val="single" w:sz="4" w:space="0" w:color="auto"/>
              <w:bottom w:val="single" w:sz="4" w:space="0" w:color="auto"/>
              <w:right w:val="single" w:sz="4" w:space="0" w:color="auto"/>
            </w:tcBorders>
          </w:tcPr>
          <w:p w14:paraId="0602674E" w14:textId="77777777" w:rsidR="00E57DAA" w:rsidRDefault="00AC4185">
            <w:pPr>
              <w:autoSpaceDE w:val="0"/>
              <w:autoSpaceDN w:val="0"/>
              <w:adjustRightInd w:val="0"/>
              <w:jc w:val="right"/>
              <w:rPr>
                <w:szCs w:val="21"/>
              </w:rPr>
            </w:pPr>
            <w:r>
              <w:t xml:space="preserve">　</w:t>
            </w:r>
          </w:p>
        </w:tc>
      </w:tr>
      <w:tr w:rsidR="00E57DAA" w14:paraId="49C70BC5" w14:textId="77777777">
        <w:tc>
          <w:tcPr>
            <w:tcW w:w="640" w:type="pct"/>
            <w:tcBorders>
              <w:top w:val="single" w:sz="4" w:space="0" w:color="auto"/>
              <w:left w:val="single" w:sz="4" w:space="0" w:color="auto"/>
              <w:bottom w:val="single" w:sz="4" w:space="0" w:color="auto"/>
              <w:right w:val="single" w:sz="4" w:space="0" w:color="auto"/>
            </w:tcBorders>
            <w:vAlign w:val="center"/>
          </w:tcPr>
          <w:p w14:paraId="67CA7D31"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E31A49B" w14:textId="77777777" w:rsidR="00E57DAA" w:rsidRDefault="00AC4185">
            <w:pPr>
              <w:autoSpaceDE w:val="0"/>
              <w:autoSpaceDN w:val="0"/>
              <w:adjustRightInd w:val="0"/>
              <w:rPr>
                <w:szCs w:val="21"/>
              </w:rPr>
            </w:pPr>
            <w:r>
              <w:t>江西瑞金万年青水泥有限责任公司</w:t>
            </w:r>
          </w:p>
        </w:tc>
        <w:tc>
          <w:tcPr>
            <w:tcW w:w="1059" w:type="pct"/>
            <w:tcBorders>
              <w:top w:val="single" w:sz="4" w:space="0" w:color="auto"/>
              <w:left w:val="single" w:sz="4" w:space="0" w:color="auto"/>
              <w:bottom w:val="single" w:sz="4" w:space="0" w:color="auto"/>
              <w:right w:val="single" w:sz="4" w:space="0" w:color="auto"/>
            </w:tcBorders>
          </w:tcPr>
          <w:p w14:paraId="3184A60D" w14:textId="77777777" w:rsidR="00E57DAA" w:rsidRDefault="00AC4185">
            <w:pPr>
              <w:autoSpaceDE w:val="0"/>
              <w:autoSpaceDN w:val="0"/>
              <w:adjustRightInd w:val="0"/>
              <w:jc w:val="right"/>
              <w:rPr>
                <w:szCs w:val="21"/>
              </w:rPr>
            </w:pPr>
            <w:r>
              <w:t>106,194.69</w:t>
            </w:r>
          </w:p>
        </w:tc>
        <w:tc>
          <w:tcPr>
            <w:tcW w:w="1407" w:type="pct"/>
            <w:tcBorders>
              <w:top w:val="single" w:sz="4" w:space="0" w:color="auto"/>
              <w:left w:val="single" w:sz="4" w:space="0" w:color="auto"/>
              <w:bottom w:val="single" w:sz="4" w:space="0" w:color="auto"/>
              <w:right w:val="single" w:sz="4" w:space="0" w:color="auto"/>
            </w:tcBorders>
          </w:tcPr>
          <w:p w14:paraId="48E30F19" w14:textId="77777777" w:rsidR="00E57DAA" w:rsidRDefault="00AC4185">
            <w:pPr>
              <w:autoSpaceDE w:val="0"/>
              <w:autoSpaceDN w:val="0"/>
              <w:adjustRightInd w:val="0"/>
              <w:jc w:val="right"/>
              <w:rPr>
                <w:szCs w:val="21"/>
              </w:rPr>
            </w:pPr>
            <w:r>
              <w:t xml:space="preserve">　</w:t>
            </w:r>
          </w:p>
        </w:tc>
      </w:tr>
      <w:tr w:rsidR="00E57DAA" w14:paraId="3B453291" w14:textId="77777777">
        <w:tc>
          <w:tcPr>
            <w:tcW w:w="640" w:type="pct"/>
            <w:tcBorders>
              <w:top w:val="single" w:sz="4" w:space="0" w:color="auto"/>
              <w:left w:val="single" w:sz="4" w:space="0" w:color="auto"/>
              <w:bottom w:val="single" w:sz="4" w:space="0" w:color="auto"/>
              <w:right w:val="single" w:sz="4" w:space="0" w:color="auto"/>
            </w:tcBorders>
            <w:vAlign w:val="center"/>
          </w:tcPr>
          <w:p w14:paraId="741B6EA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B715163" w14:textId="77777777" w:rsidR="00E57DAA" w:rsidRDefault="00AC4185">
            <w:pPr>
              <w:autoSpaceDE w:val="0"/>
              <w:autoSpaceDN w:val="0"/>
              <w:adjustRightInd w:val="0"/>
              <w:rPr>
                <w:szCs w:val="21"/>
              </w:rPr>
            </w:pPr>
            <w:r>
              <w:t>太原狮头水泥有限公司</w:t>
            </w:r>
          </w:p>
        </w:tc>
        <w:tc>
          <w:tcPr>
            <w:tcW w:w="1059" w:type="pct"/>
            <w:tcBorders>
              <w:top w:val="single" w:sz="4" w:space="0" w:color="auto"/>
              <w:left w:val="single" w:sz="4" w:space="0" w:color="auto"/>
              <w:bottom w:val="single" w:sz="4" w:space="0" w:color="auto"/>
              <w:right w:val="single" w:sz="4" w:space="0" w:color="auto"/>
            </w:tcBorders>
          </w:tcPr>
          <w:p w14:paraId="254C36E2" w14:textId="77777777" w:rsidR="00E57DAA" w:rsidRDefault="00AC4185">
            <w:pPr>
              <w:autoSpaceDE w:val="0"/>
              <w:autoSpaceDN w:val="0"/>
              <w:adjustRightInd w:val="0"/>
              <w:jc w:val="right"/>
              <w:rPr>
                <w:szCs w:val="21"/>
              </w:rPr>
            </w:pPr>
            <w:r>
              <w:t>72,072.07</w:t>
            </w:r>
          </w:p>
        </w:tc>
        <w:tc>
          <w:tcPr>
            <w:tcW w:w="1407" w:type="pct"/>
            <w:tcBorders>
              <w:top w:val="single" w:sz="4" w:space="0" w:color="auto"/>
              <w:left w:val="single" w:sz="4" w:space="0" w:color="auto"/>
              <w:bottom w:val="single" w:sz="4" w:space="0" w:color="auto"/>
              <w:right w:val="single" w:sz="4" w:space="0" w:color="auto"/>
            </w:tcBorders>
          </w:tcPr>
          <w:p w14:paraId="77E22F80" w14:textId="77777777" w:rsidR="00E57DAA" w:rsidRDefault="00AC4185">
            <w:pPr>
              <w:autoSpaceDE w:val="0"/>
              <w:autoSpaceDN w:val="0"/>
              <w:adjustRightInd w:val="0"/>
              <w:jc w:val="right"/>
              <w:rPr>
                <w:szCs w:val="21"/>
              </w:rPr>
            </w:pPr>
            <w:r>
              <w:t xml:space="preserve">　</w:t>
            </w:r>
          </w:p>
        </w:tc>
      </w:tr>
      <w:tr w:rsidR="00E57DAA" w14:paraId="5B0204E9" w14:textId="77777777">
        <w:tc>
          <w:tcPr>
            <w:tcW w:w="640" w:type="pct"/>
            <w:tcBorders>
              <w:top w:val="single" w:sz="4" w:space="0" w:color="auto"/>
              <w:left w:val="single" w:sz="4" w:space="0" w:color="auto"/>
              <w:bottom w:val="single" w:sz="4" w:space="0" w:color="auto"/>
              <w:right w:val="single" w:sz="4" w:space="0" w:color="auto"/>
            </w:tcBorders>
            <w:vAlign w:val="center"/>
          </w:tcPr>
          <w:p w14:paraId="68B1C24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676592A" w14:textId="77777777" w:rsidR="00E57DAA" w:rsidRDefault="00AC4185">
            <w:pPr>
              <w:autoSpaceDE w:val="0"/>
              <w:autoSpaceDN w:val="0"/>
              <w:adjustRightInd w:val="0"/>
              <w:rPr>
                <w:szCs w:val="21"/>
              </w:rPr>
            </w:pPr>
            <w:r>
              <w:t>昌乐山水水泥有限公司</w:t>
            </w:r>
          </w:p>
        </w:tc>
        <w:tc>
          <w:tcPr>
            <w:tcW w:w="1059" w:type="pct"/>
            <w:tcBorders>
              <w:top w:val="single" w:sz="4" w:space="0" w:color="auto"/>
              <w:left w:val="single" w:sz="4" w:space="0" w:color="auto"/>
              <w:bottom w:val="single" w:sz="4" w:space="0" w:color="auto"/>
              <w:right w:val="single" w:sz="4" w:space="0" w:color="auto"/>
            </w:tcBorders>
          </w:tcPr>
          <w:p w14:paraId="0547450D" w14:textId="77777777" w:rsidR="00E57DAA" w:rsidRDefault="00AC4185">
            <w:pPr>
              <w:autoSpaceDE w:val="0"/>
              <w:autoSpaceDN w:val="0"/>
              <w:adjustRightInd w:val="0"/>
              <w:jc w:val="right"/>
              <w:rPr>
                <w:szCs w:val="21"/>
              </w:rPr>
            </w:pPr>
            <w:r>
              <w:t>54,424.78</w:t>
            </w:r>
          </w:p>
        </w:tc>
        <w:tc>
          <w:tcPr>
            <w:tcW w:w="1407" w:type="pct"/>
            <w:tcBorders>
              <w:top w:val="single" w:sz="4" w:space="0" w:color="auto"/>
              <w:left w:val="single" w:sz="4" w:space="0" w:color="auto"/>
              <w:bottom w:val="single" w:sz="4" w:space="0" w:color="auto"/>
              <w:right w:val="single" w:sz="4" w:space="0" w:color="auto"/>
            </w:tcBorders>
          </w:tcPr>
          <w:p w14:paraId="1A30BE52" w14:textId="77777777" w:rsidR="00E57DAA" w:rsidRDefault="00AC4185">
            <w:pPr>
              <w:autoSpaceDE w:val="0"/>
              <w:autoSpaceDN w:val="0"/>
              <w:adjustRightInd w:val="0"/>
              <w:jc w:val="right"/>
              <w:rPr>
                <w:szCs w:val="21"/>
              </w:rPr>
            </w:pPr>
            <w:r>
              <w:t xml:space="preserve">　</w:t>
            </w:r>
          </w:p>
        </w:tc>
      </w:tr>
      <w:tr w:rsidR="00E57DAA" w14:paraId="3BE714CA" w14:textId="77777777">
        <w:tc>
          <w:tcPr>
            <w:tcW w:w="640" w:type="pct"/>
            <w:tcBorders>
              <w:top w:val="single" w:sz="4" w:space="0" w:color="auto"/>
              <w:left w:val="single" w:sz="4" w:space="0" w:color="auto"/>
              <w:bottom w:val="single" w:sz="4" w:space="0" w:color="auto"/>
              <w:right w:val="single" w:sz="4" w:space="0" w:color="auto"/>
            </w:tcBorders>
            <w:vAlign w:val="center"/>
          </w:tcPr>
          <w:p w14:paraId="77835687"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49B6ADD" w14:textId="77777777" w:rsidR="00E57DAA" w:rsidRDefault="00AC4185">
            <w:pPr>
              <w:autoSpaceDE w:val="0"/>
              <w:autoSpaceDN w:val="0"/>
              <w:adjustRightInd w:val="0"/>
              <w:rPr>
                <w:szCs w:val="21"/>
              </w:rPr>
            </w:pPr>
            <w:r>
              <w:t>阿鲁科尔沁旗山水水泥有限公司</w:t>
            </w:r>
          </w:p>
        </w:tc>
        <w:tc>
          <w:tcPr>
            <w:tcW w:w="1059" w:type="pct"/>
            <w:tcBorders>
              <w:top w:val="single" w:sz="4" w:space="0" w:color="auto"/>
              <w:left w:val="single" w:sz="4" w:space="0" w:color="auto"/>
              <w:bottom w:val="single" w:sz="4" w:space="0" w:color="auto"/>
              <w:right w:val="single" w:sz="4" w:space="0" w:color="auto"/>
            </w:tcBorders>
          </w:tcPr>
          <w:p w14:paraId="595F5076" w14:textId="77777777" w:rsidR="00E57DAA" w:rsidRDefault="00AC4185">
            <w:pPr>
              <w:autoSpaceDE w:val="0"/>
              <w:autoSpaceDN w:val="0"/>
              <w:adjustRightInd w:val="0"/>
              <w:jc w:val="right"/>
              <w:rPr>
                <w:szCs w:val="21"/>
              </w:rPr>
            </w:pPr>
            <w:r>
              <w:t>46,654.87</w:t>
            </w:r>
          </w:p>
        </w:tc>
        <w:tc>
          <w:tcPr>
            <w:tcW w:w="1407" w:type="pct"/>
            <w:tcBorders>
              <w:top w:val="single" w:sz="4" w:space="0" w:color="auto"/>
              <w:left w:val="single" w:sz="4" w:space="0" w:color="auto"/>
              <w:bottom w:val="single" w:sz="4" w:space="0" w:color="auto"/>
              <w:right w:val="single" w:sz="4" w:space="0" w:color="auto"/>
            </w:tcBorders>
          </w:tcPr>
          <w:p w14:paraId="389EB734" w14:textId="77777777" w:rsidR="00E57DAA" w:rsidRDefault="00AC4185">
            <w:pPr>
              <w:autoSpaceDE w:val="0"/>
              <w:autoSpaceDN w:val="0"/>
              <w:adjustRightInd w:val="0"/>
              <w:jc w:val="right"/>
              <w:rPr>
                <w:szCs w:val="21"/>
              </w:rPr>
            </w:pPr>
            <w:r>
              <w:t xml:space="preserve">　</w:t>
            </w:r>
          </w:p>
        </w:tc>
      </w:tr>
      <w:tr w:rsidR="00E57DAA" w14:paraId="4F6F4087" w14:textId="77777777">
        <w:tc>
          <w:tcPr>
            <w:tcW w:w="640" w:type="pct"/>
            <w:tcBorders>
              <w:top w:val="single" w:sz="4" w:space="0" w:color="auto"/>
              <w:left w:val="single" w:sz="4" w:space="0" w:color="auto"/>
              <w:bottom w:val="single" w:sz="4" w:space="0" w:color="auto"/>
              <w:right w:val="single" w:sz="4" w:space="0" w:color="auto"/>
            </w:tcBorders>
            <w:vAlign w:val="center"/>
          </w:tcPr>
          <w:p w14:paraId="2B156D7D"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01621A9" w14:textId="77777777" w:rsidR="00E57DAA" w:rsidRDefault="00AC4185">
            <w:pPr>
              <w:autoSpaceDE w:val="0"/>
              <w:autoSpaceDN w:val="0"/>
              <w:adjustRightInd w:val="0"/>
              <w:rPr>
                <w:szCs w:val="21"/>
              </w:rPr>
            </w:pPr>
            <w:r>
              <w:t>山东国材工程有限公司</w:t>
            </w:r>
          </w:p>
        </w:tc>
        <w:tc>
          <w:tcPr>
            <w:tcW w:w="1059" w:type="pct"/>
            <w:tcBorders>
              <w:top w:val="single" w:sz="4" w:space="0" w:color="auto"/>
              <w:left w:val="single" w:sz="4" w:space="0" w:color="auto"/>
              <w:bottom w:val="single" w:sz="4" w:space="0" w:color="auto"/>
              <w:right w:val="single" w:sz="4" w:space="0" w:color="auto"/>
            </w:tcBorders>
          </w:tcPr>
          <w:p w14:paraId="1C1634A7" w14:textId="77777777" w:rsidR="00E57DAA" w:rsidRDefault="00AC4185">
            <w:pPr>
              <w:autoSpaceDE w:val="0"/>
              <w:autoSpaceDN w:val="0"/>
              <w:adjustRightInd w:val="0"/>
              <w:jc w:val="right"/>
              <w:rPr>
                <w:szCs w:val="21"/>
              </w:rPr>
            </w:pPr>
            <w:r>
              <w:t>46,315.04</w:t>
            </w:r>
          </w:p>
        </w:tc>
        <w:tc>
          <w:tcPr>
            <w:tcW w:w="1407" w:type="pct"/>
            <w:tcBorders>
              <w:top w:val="single" w:sz="4" w:space="0" w:color="auto"/>
              <w:left w:val="single" w:sz="4" w:space="0" w:color="auto"/>
              <w:bottom w:val="single" w:sz="4" w:space="0" w:color="auto"/>
              <w:right w:val="single" w:sz="4" w:space="0" w:color="auto"/>
            </w:tcBorders>
          </w:tcPr>
          <w:p w14:paraId="1AEE9FA5" w14:textId="77777777" w:rsidR="00E57DAA" w:rsidRDefault="00AC4185">
            <w:pPr>
              <w:autoSpaceDE w:val="0"/>
              <w:autoSpaceDN w:val="0"/>
              <w:adjustRightInd w:val="0"/>
              <w:jc w:val="right"/>
              <w:rPr>
                <w:szCs w:val="21"/>
              </w:rPr>
            </w:pPr>
            <w:r>
              <w:t xml:space="preserve">　</w:t>
            </w:r>
          </w:p>
        </w:tc>
      </w:tr>
      <w:tr w:rsidR="00E57DAA" w14:paraId="70768D18" w14:textId="77777777">
        <w:tc>
          <w:tcPr>
            <w:tcW w:w="640" w:type="pct"/>
            <w:tcBorders>
              <w:top w:val="single" w:sz="4" w:space="0" w:color="auto"/>
              <w:left w:val="single" w:sz="4" w:space="0" w:color="auto"/>
              <w:bottom w:val="single" w:sz="4" w:space="0" w:color="auto"/>
              <w:right w:val="single" w:sz="4" w:space="0" w:color="auto"/>
            </w:tcBorders>
            <w:vAlign w:val="center"/>
          </w:tcPr>
          <w:p w14:paraId="7A0B4EB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ED87E61" w14:textId="77777777" w:rsidR="00E57DAA" w:rsidRDefault="00AC4185">
            <w:pPr>
              <w:autoSpaceDE w:val="0"/>
              <w:autoSpaceDN w:val="0"/>
              <w:adjustRightInd w:val="0"/>
              <w:rPr>
                <w:szCs w:val="21"/>
              </w:rPr>
            </w:pPr>
            <w:r>
              <w:t>渤海水泥（葫芦岛）有限公司</w:t>
            </w:r>
          </w:p>
        </w:tc>
        <w:tc>
          <w:tcPr>
            <w:tcW w:w="1059" w:type="pct"/>
            <w:tcBorders>
              <w:top w:val="single" w:sz="4" w:space="0" w:color="auto"/>
              <w:left w:val="single" w:sz="4" w:space="0" w:color="auto"/>
              <w:bottom w:val="single" w:sz="4" w:space="0" w:color="auto"/>
              <w:right w:val="single" w:sz="4" w:space="0" w:color="auto"/>
            </w:tcBorders>
          </w:tcPr>
          <w:p w14:paraId="72752148" w14:textId="77777777" w:rsidR="00E57DAA" w:rsidRDefault="00AC4185">
            <w:pPr>
              <w:autoSpaceDE w:val="0"/>
              <w:autoSpaceDN w:val="0"/>
              <w:adjustRightInd w:val="0"/>
              <w:jc w:val="right"/>
              <w:rPr>
                <w:szCs w:val="21"/>
              </w:rPr>
            </w:pPr>
            <w:r>
              <w:t>31,150.44</w:t>
            </w:r>
          </w:p>
        </w:tc>
        <w:tc>
          <w:tcPr>
            <w:tcW w:w="1407" w:type="pct"/>
            <w:tcBorders>
              <w:top w:val="single" w:sz="4" w:space="0" w:color="auto"/>
              <w:left w:val="single" w:sz="4" w:space="0" w:color="auto"/>
              <w:bottom w:val="single" w:sz="4" w:space="0" w:color="auto"/>
              <w:right w:val="single" w:sz="4" w:space="0" w:color="auto"/>
            </w:tcBorders>
          </w:tcPr>
          <w:p w14:paraId="128AC364" w14:textId="77777777" w:rsidR="00E57DAA" w:rsidRDefault="00AC4185">
            <w:pPr>
              <w:autoSpaceDE w:val="0"/>
              <w:autoSpaceDN w:val="0"/>
              <w:adjustRightInd w:val="0"/>
              <w:jc w:val="right"/>
              <w:rPr>
                <w:szCs w:val="21"/>
              </w:rPr>
            </w:pPr>
            <w:r>
              <w:t xml:space="preserve">　</w:t>
            </w:r>
          </w:p>
        </w:tc>
      </w:tr>
      <w:tr w:rsidR="00E57DAA" w14:paraId="3C465E14" w14:textId="77777777">
        <w:tc>
          <w:tcPr>
            <w:tcW w:w="640" w:type="pct"/>
            <w:tcBorders>
              <w:top w:val="single" w:sz="4" w:space="0" w:color="auto"/>
              <w:left w:val="single" w:sz="4" w:space="0" w:color="auto"/>
              <w:bottom w:val="single" w:sz="4" w:space="0" w:color="auto"/>
              <w:right w:val="single" w:sz="4" w:space="0" w:color="auto"/>
            </w:tcBorders>
            <w:vAlign w:val="center"/>
          </w:tcPr>
          <w:p w14:paraId="0F0FD3A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D373994" w14:textId="77777777" w:rsidR="00E57DAA" w:rsidRDefault="00AC4185">
            <w:pPr>
              <w:autoSpaceDE w:val="0"/>
              <w:autoSpaceDN w:val="0"/>
              <w:adjustRightInd w:val="0"/>
              <w:rPr>
                <w:szCs w:val="21"/>
              </w:rPr>
            </w:pPr>
            <w:r>
              <w:t>辽阳千山水泥有限责任公司</w:t>
            </w:r>
          </w:p>
        </w:tc>
        <w:tc>
          <w:tcPr>
            <w:tcW w:w="1059" w:type="pct"/>
            <w:tcBorders>
              <w:top w:val="single" w:sz="4" w:space="0" w:color="auto"/>
              <w:left w:val="single" w:sz="4" w:space="0" w:color="auto"/>
              <w:bottom w:val="single" w:sz="4" w:space="0" w:color="auto"/>
              <w:right w:val="single" w:sz="4" w:space="0" w:color="auto"/>
            </w:tcBorders>
          </w:tcPr>
          <w:p w14:paraId="7AA8DE65" w14:textId="77777777" w:rsidR="00E57DAA" w:rsidRDefault="00AC4185">
            <w:pPr>
              <w:autoSpaceDE w:val="0"/>
              <w:autoSpaceDN w:val="0"/>
              <w:adjustRightInd w:val="0"/>
              <w:jc w:val="right"/>
              <w:rPr>
                <w:szCs w:val="21"/>
              </w:rPr>
            </w:pPr>
            <w:r>
              <w:t>19,140.11</w:t>
            </w:r>
          </w:p>
        </w:tc>
        <w:tc>
          <w:tcPr>
            <w:tcW w:w="1407" w:type="pct"/>
            <w:tcBorders>
              <w:top w:val="single" w:sz="4" w:space="0" w:color="auto"/>
              <w:left w:val="single" w:sz="4" w:space="0" w:color="auto"/>
              <w:bottom w:val="single" w:sz="4" w:space="0" w:color="auto"/>
              <w:right w:val="single" w:sz="4" w:space="0" w:color="auto"/>
            </w:tcBorders>
          </w:tcPr>
          <w:p w14:paraId="3B68BDCE" w14:textId="77777777" w:rsidR="00E57DAA" w:rsidRDefault="00AC4185">
            <w:pPr>
              <w:autoSpaceDE w:val="0"/>
              <w:autoSpaceDN w:val="0"/>
              <w:adjustRightInd w:val="0"/>
              <w:jc w:val="right"/>
              <w:rPr>
                <w:szCs w:val="21"/>
              </w:rPr>
            </w:pPr>
            <w:r>
              <w:t xml:space="preserve">　</w:t>
            </w:r>
          </w:p>
        </w:tc>
      </w:tr>
      <w:tr w:rsidR="00E57DAA" w14:paraId="05EF4C8D" w14:textId="77777777">
        <w:tc>
          <w:tcPr>
            <w:tcW w:w="640" w:type="pct"/>
            <w:tcBorders>
              <w:top w:val="single" w:sz="4" w:space="0" w:color="auto"/>
              <w:left w:val="single" w:sz="4" w:space="0" w:color="auto"/>
              <w:bottom w:val="single" w:sz="4" w:space="0" w:color="auto"/>
              <w:right w:val="single" w:sz="4" w:space="0" w:color="auto"/>
            </w:tcBorders>
            <w:vAlign w:val="center"/>
          </w:tcPr>
          <w:p w14:paraId="729401B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33131BF5" w14:textId="77777777" w:rsidR="00E57DAA" w:rsidRDefault="00AC4185">
            <w:pPr>
              <w:autoSpaceDE w:val="0"/>
              <w:autoSpaceDN w:val="0"/>
              <w:adjustRightInd w:val="0"/>
              <w:rPr>
                <w:szCs w:val="21"/>
              </w:rPr>
            </w:pPr>
            <w:r>
              <w:t>科右中旗山水水泥有限公司</w:t>
            </w:r>
          </w:p>
        </w:tc>
        <w:tc>
          <w:tcPr>
            <w:tcW w:w="1059" w:type="pct"/>
            <w:tcBorders>
              <w:top w:val="single" w:sz="4" w:space="0" w:color="auto"/>
              <w:left w:val="single" w:sz="4" w:space="0" w:color="auto"/>
              <w:bottom w:val="single" w:sz="4" w:space="0" w:color="auto"/>
              <w:right w:val="single" w:sz="4" w:space="0" w:color="auto"/>
            </w:tcBorders>
          </w:tcPr>
          <w:p w14:paraId="7F244251" w14:textId="77777777" w:rsidR="00E57DAA" w:rsidRDefault="00AC4185">
            <w:pPr>
              <w:autoSpaceDE w:val="0"/>
              <w:autoSpaceDN w:val="0"/>
              <w:adjustRightInd w:val="0"/>
              <w:jc w:val="right"/>
              <w:rPr>
                <w:szCs w:val="21"/>
              </w:rPr>
            </w:pPr>
            <w:r>
              <w:t>5,405.41</w:t>
            </w:r>
          </w:p>
        </w:tc>
        <w:tc>
          <w:tcPr>
            <w:tcW w:w="1407" w:type="pct"/>
            <w:tcBorders>
              <w:top w:val="single" w:sz="4" w:space="0" w:color="auto"/>
              <w:left w:val="single" w:sz="4" w:space="0" w:color="auto"/>
              <w:bottom w:val="single" w:sz="4" w:space="0" w:color="auto"/>
              <w:right w:val="single" w:sz="4" w:space="0" w:color="auto"/>
            </w:tcBorders>
          </w:tcPr>
          <w:p w14:paraId="2D112619" w14:textId="77777777" w:rsidR="00E57DAA" w:rsidRDefault="00AC4185">
            <w:pPr>
              <w:autoSpaceDE w:val="0"/>
              <w:autoSpaceDN w:val="0"/>
              <w:adjustRightInd w:val="0"/>
              <w:jc w:val="right"/>
              <w:rPr>
                <w:szCs w:val="21"/>
              </w:rPr>
            </w:pPr>
            <w:r>
              <w:t>5,309.73</w:t>
            </w:r>
          </w:p>
        </w:tc>
      </w:tr>
      <w:tr w:rsidR="00E57DAA" w14:paraId="7F5FA56C" w14:textId="77777777">
        <w:tc>
          <w:tcPr>
            <w:tcW w:w="640" w:type="pct"/>
            <w:tcBorders>
              <w:top w:val="single" w:sz="4" w:space="0" w:color="auto"/>
              <w:left w:val="single" w:sz="4" w:space="0" w:color="auto"/>
              <w:bottom w:val="single" w:sz="4" w:space="0" w:color="auto"/>
              <w:right w:val="single" w:sz="4" w:space="0" w:color="auto"/>
            </w:tcBorders>
            <w:vAlign w:val="center"/>
          </w:tcPr>
          <w:p w14:paraId="48586AEE"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30AFEA9" w14:textId="77777777" w:rsidR="00E57DAA" w:rsidRDefault="00AC4185">
            <w:pPr>
              <w:autoSpaceDE w:val="0"/>
              <w:autoSpaceDN w:val="0"/>
              <w:adjustRightInd w:val="0"/>
              <w:rPr>
                <w:szCs w:val="21"/>
              </w:rPr>
            </w:pPr>
            <w:r>
              <w:t>安徽珍珠水泥集团股份有限公司</w:t>
            </w:r>
          </w:p>
        </w:tc>
        <w:tc>
          <w:tcPr>
            <w:tcW w:w="1059" w:type="pct"/>
            <w:tcBorders>
              <w:top w:val="single" w:sz="4" w:space="0" w:color="auto"/>
              <w:left w:val="single" w:sz="4" w:space="0" w:color="auto"/>
              <w:bottom w:val="single" w:sz="4" w:space="0" w:color="auto"/>
              <w:right w:val="single" w:sz="4" w:space="0" w:color="auto"/>
            </w:tcBorders>
          </w:tcPr>
          <w:p w14:paraId="57D856D6" w14:textId="77777777" w:rsidR="00E57DAA" w:rsidRDefault="00AC4185">
            <w:pPr>
              <w:autoSpaceDE w:val="0"/>
              <w:autoSpaceDN w:val="0"/>
              <w:adjustRightInd w:val="0"/>
              <w:jc w:val="right"/>
              <w:rPr>
                <w:szCs w:val="21"/>
              </w:rPr>
            </w:pPr>
            <w:r>
              <w:t>3,132.58</w:t>
            </w:r>
          </w:p>
        </w:tc>
        <w:tc>
          <w:tcPr>
            <w:tcW w:w="1407" w:type="pct"/>
            <w:tcBorders>
              <w:top w:val="single" w:sz="4" w:space="0" w:color="auto"/>
              <w:left w:val="single" w:sz="4" w:space="0" w:color="auto"/>
              <w:bottom w:val="single" w:sz="4" w:space="0" w:color="auto"/>
              <w:right w:val="single" w:sz="4" w:space="0" w:color="auto"/>
            </w:tcBorders>
          </w:tcPr>
          <w:p w14:paraId="2188277D" w14:textId="77777777" w:rsidR="00E57DAA" w:rsidRDefault="00AC4185">
            <w:pPr>
              <w:autoSpaceDE w:val="0"/>
              <w:autoSpaceDN w:val="0"/>
              <w:adjustRightInd w:val="0"/>
              <w:jc w:val="right"/>
              <w:rPr>
                <w:szCs w:val="21"/>
              </w:rPr>
            </w:pPr>
            <w:r>
              <w:t>9,782,500.00</w:t>
            </w:r>
          </w:p>
        </w:tc>
      </w:tr>
      <w:tr w:rsidR="00E57DAA" w14:paraId="46AE76C0" w14:textId="77777777">
        <w:tc>
          <w:tcPr>
            <w:tcW w:w="640" w:type="pct"/>
            <w:tcBorders>
              <w:top w:val="single" w:sz="4" w:space="0" w:color="auto"/>
              <w:left w:val="single" w:sz="4" w:space="0" w:color="auto"/>
              <w:bottom w:val="single" w:sz="4" w:space="0" w:color="auto"/>
              <w:right w:val="single" w:sz="4" w:space="0" w:color="auto"/>
            </w:tcBorders>
            <w:vAlign w:val="center"/>
          </w:tcPr>
          <w:p w14:paraId="135A1739"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239AA45" w14:textId="77777777" w:rsidR="00E57DAA" w:rsidRDefault="00AC4185">
            <w:pPr>
              <w:autoSpaceDE w:val="0"/>
              <w:autoSpaceDN w:val="0"/>
              <w:adjustRightInd w:val="0"/>
              <w:rPr>
                <w:szCs w:val="21"/>
              </w:rPr>
            </w:pPr>
            <w:r>
              <w:t>大庆油田水泥有限责任公司</w:t>
            </w:r>
          </w:p>
        </w:tc>
        <w:tc>
          <w:tcPr>
            <w:tcW w:w="1059" w:type="pct"/>
            <w:tcBorders>
              <w:top w:val="single" w:sz="4" w:space="0" w:color="auto"/>
              <w:left w:val="single" w:sz="4" w:space="0" w:color="auto"/>
              <w:bottom w:val="single" w:sz="4" w:space="0" w:color="auto"/>
              <w:right w:val="single" w:sz="4" w:space="0" w:color="auto"/>
            </w:tcBorders>
          </w:tcPr>
          <w:p w14:paraId="7945D442" w14:textId="77777777" w:rsidR="00E57DAA" w:rsidRDefault="00AC4185">
            <w:pPr>
              <w:autoSpaceDE w:val="0"/>
              <w:autoSpaceDN w:val="0"/>
              <w:adjustRightInd w:val="0"/>
              <w:jc w:val="right"/>
              <w:rPr>
                <w:szCs w:val="21"/>
              </w:rPr>
            </w:pPr>
            <w:r>
              <w:t>2,389.38</w:t>
            </w:r>
          </w:p>
        </w:tc>
        <w:tc>
          <w:tcPr>
            <w:tcW w:w="1407" w:type="pct"/>
            <w:tcBorders>
              <w:top w:val="single" w:sz="4" w:space="0" w:color="auto"/>
              <w:left w:val="single" w:sz="4" w:space="0" w:color="auto"/>
              <w:bottom w:val="single" w:sz="4" w:space="0" w:color="auto"/>
              <w:right w:val="single" w:sz="4" w:space="0" w:color="auto"/>
            </w:tcBorders>
          </w:tcPr>
          <w:p w14:paraId="06ECD4DB" w14:textId="77777777" w:rsidR="00E57DAA" w:rsidRDefault="00AC4185">
            <w:pPr>
              <w:autoSpaceDE w:val="0"/>
              <w:autoSpaceDN w:val="0"/>
              <w:adjustRightInd w:val="0"/>
              <w:jc w:val="right"/>
              <w:rPr>
                <w:szCs w:val="21"/>
              </w:rPr>
            </w:pPr>
            <w:r>
              <w:t xml:space="preserve">　</w:t>
            </w:r>
          </w:p>
        </w:tc>
      </w:tr>
      <w:tr w:rsidR="00E57DAA" w14:paraId="6539A92A" w14:textId="77777777">
        <w:tc>
          <w:tcPr>
            <w:tcW w:w="640" w:type="pct"/>
            <w:tcBorders>
              <w:top w:val="single" w:sz="4" w:space="0" w:color="auto"/>
              <w:left w:val="single" w:sz="4" w:space="0" w:color="auto"/>
              <w:bottom w:val="single" w:sz="4" w:space="0" w:color="auto"/>
              <w:right w:val="single" w:sz="4" w:space="0" w:color="auto"/>
            </w:tcBorders>
            <w:vAlign w:val="center"/>
          </w:tcPr>
          <w:p w14:paraId="2E0E8F80"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FA3DC9D" w14:textId="77777777" w:rsidR="00E57DAA" w:rsidRDefault="00AC4185">
            <w:pPr>
              <w:autoSpaceDE w:val="0"/>
              <w:autoSpaceDN w:val="0"/>
              <w:adjustRightInd w:val="0"/>
              <w:rPr>
                <w:szCs w:val="21"/>
              </w:rPr>
            </w:pPr>
            <w:r>
              <w:t>四川省冕宁县富强水泥厂</w:t>
            </w:r>
          </w:p>
        </w:tc>
        <w:tc>
          <w:tcPr>
            <w:tcW w:w="1059" w:type="pct"/>
            <w:tcBorders>
              <w:top w:val="single" w:sz="4" w:space="0" w:color="auto"/>
              <w:left w:val="single" w:sz="4" w:space="0" w:color="auto"/>
              <w:bottom w:val="single" w:sz="4" w:space="0" w:color="auto"/>
              <w:right w:val="single" w:sz="4" w:space="0" w:color="auto"/>
            </w:tcBorders>
          </w:tcPr>
          <w:p w14:paraId="4C537F4D" w14:textId="77777777" w:rsidR="00E57DAA" w:rsidRDefault="00AC4185">
            <w:pPr>
              <w:autoSpaceDE w:val="0"/>
              <w:autoSpaceDN w:val="0"/>
              <w:adjustRightInd w:val="0"/>
              <w:jc w:val="right"/>
              <w:rPr>
                <w:szCs w:val="21"/>
              </w:rPr>
            </w:pPr>
            <w:r>
              <w:t>1,893.81</w:t>
            </w:r>
          </w:p>
        </w:tc>
        <w:tc>
          <w:tcPr>
            <w:tcW w:w="1407" w:type="pct"/>
            <w:tcBorders>
              <w:top w:val="single" w:sz="4" w:space="0" w:color="auto"/>
              <w:left w:val="single" w:sz="4" w:space="0" w:color="auto"/>
              <w:bottom w:val="single" w:sz="4" w:space="0" w:color="auto"/>
              <w:right w:val="single" w:sz="4" w:space="0" w:color="auto"/>
            </w:tcBorders>
          </w:tcPr>
          <w:p w14:paraId="3A478803" w14:textId="77777777" w:rsidR="00E57DAA" w:rsidRDefault="00AC4185">
            <w:pPr>
              <w:autoSpaceDE w:val="0"/>
              <w:autoSpaceDN w:val="0"/>
              <w:adjustRightInd w:val="0"/>
              <w:jc w:val="right"/>
              <w:rPr>
                <w:szCs w:val="21"/>
              </w:rPr>
            </w:pPr>
            <w:r>
              <w:t>1,893.81</w:t>
            </w:r>
          </w:p>
        </w:tc>
      </w:tr>
      <w:tr w:rsidR="00E57DAA" w14:paraId="75B714E6" w14:textId="77777777">
        <w:tc>
          <w:tcPr>
            <w:tcW w:w="640" w:type="pct"/>
            <w:tcBorders>
              <w:top w:val="single" w:sz="4" w:space="0" w:color="auto"/>
              <w:left w:val="single" w:sz="4" w:space="0" w:color="auto"/>
              <w:bottom w:val="single" w:sz="4" w:space="0" w:color="auto"/>
              <w:right w:val="single" w:sz="4" w:space="0" w:color="auto"/>
            </w:tcBorders>
            <w:vAlign w:val="center"/>
          </w:tcPr>
          <w:p w14:paraId="701B946F"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6D1A60E8" w14:textId="77777777" w:rsidR="00E57DAA" w:rsidRDefault="00AC4185">
            <w:pPr>
              <w:autoSpaceDE w:val="0"/>
              <w:autoSpaceDN w:val="0"/>
              <w:adjustRightInd w:val="0"/>
              <w:rPr>
                <w:szCs w:val="21"/>
              </w:rPr>
            </w:pPr>
            <w:r>
              <w:t>登电集团水泥有限公司</w:t>
            </w:r>
          </w:p>
        </w:tc>
        <w:tc>
          <w:tcPr>
            <w:tcW w:w="1059" w:type="pct"/>
            <w:tcBorders>
              <w:top w:val="single" w:sz="4" w:space="0" w:color="auto"/>
              <w:left w:val="single" w:sz="4" w:space="0" w:color="auto"/>
              <w:bottom w:val="single" w:sz="4" w:space="0" w:color="auto"/>
              <w:right w:val="single" w:sz="4" w:space="0" w:color="auto"/>
            </w:tcBorders>
          </w:tcPr>
          <w:p w14:paraId="2804846B" w14:textId="77777777" w:rsidR="00E57DAA" w:rsidRDefault="00AC4185">
            <w:pPr>
              <w:autoSpaceDE w:val="0"/>
              <w:autoSpaceDN w:val="0"/>
              <w:adjustRightInd w:val="0"/>
              <w:jc w:val="right"/>
              <w:rPr>
                <w:szCs w:val="21"/>
              </w:rPr>
            </w:pPr>
            <w:r>
              <w:t>661.76</w:t>
            </w:r>
          </w:p>
        </w:tc>
        <w:tc>
          <w:tcPr>
            <w:tcW w:w="1407" w:type="pct"/>
            <w:tcBorders>
              <w:top w:val="single" w:sz="4" w:space="0" w:color="auto"/>
              <w:left w:val="single" w:sz="4" w:space="0" w:color="auto"/>
              <w:bottom w:val="single" w:sz="4" w:space="0" w:color="auto"/>
              <w:right w:val="single" w:sz="4" w:space="0" w:color="auto"/>
            </w:tcBorders>
          </w:tcPr>
          <w:p w14:paraId="5058B225" w14:textId="77777777" w:rsidR="00E57DAA" w:rsidRDefault="00AC4185">
            <w:pPr>
              <w:autoSpaceDE w:val="0"/>
              <w:autoSpaceDN w:val="0"/>
              <w:adjustRightInd w:val="0"/>
              <w:jc w:val="right"/>
              <w:rPr>
                <w:szCs w:val="21"/>
              </w:rPr>
            </w:pPr>
            <w:r>
              <w:t xml:space="preserve">　</w:t>
            </w:r>
          </w:p>
        </w:tc>
      </w:tr>
      <w:tr w:rsidR="00E57DAA" w14:paraId="2B3FE4D9" w14:textId="77777777">
        <w:tc>
          <w:tcPr>
            <w:tcW w:w="640" w:type="pct"/>
            <w:tcBorders>
              <w:top w:val="single" w:sz="4" w:space="0" w:color="auto"/>
              <w:left w:val="single" w:sz="4" w:space="0" w:color="auto"/>
              <w:bottom w:val="single" w:sz="4" w:space="0" w:color="auto"/>
              <w:right w:val="single" w:sz="4" w:space="0" w:color="auto"/>
            </w:tcBorders>
            <w:vAlign w:val="center"/>
          </w:tcPr>
          <w:p w14:paraId="0BA9A522"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630BA49" w14:textId="77777777" w:rsidR="00E57DAA" w:rsidRDefault="00AC4185">
            <w:pPr>
              <w:autoSpaceDE w:val="0"/>
              <w:autoSpaceDN w:val="0"/>
              <w:adjustRightInd w:val="0"/>
              <w:rPr>
                <w:szCs w:val="21"/>
              </w:rPr>
            </w:pPr>
            <w:r>
              <w:t>安丘山水水泥有限公司</w:t>
            </w:r>
          </w:p>
        </w:tc>
        <w:tc>
          <w:tcPr>
            <w:tcW w:w="1059" w:type="pct"/>
            <w:tcBorders>
              <w:top w:val="single" w:sz="4" w:space="0" w:color="auto"/>
              <w:left w:val="single" w:sz="4" w:space="0" w:color="auto"/>
              <w:bottom w:val="single" w:sz="4" w:space="0" w:color="auto"/>
              <w:right w:val="single" w:sz="4" w:space="0" w:color="auto"/>
            </w:tcBorders>
          </w:tcPr>
          <w:p w14:paraId="1667271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E53430C" w14:textId="77777777" w:rsidR="00E57DAA" w:rsidRDefault="00AC4185">
            <w:pPr>
              <w:autoSpaceDE w:val="0"/>
              <w:autoSpaceDN w:val="0"/>
              <w:adjustRightInd w:val="0"/>
              <w:jc w:val="right"/>
              <w:rPr>
                <w:szCs w:val="21"/>
              </w:rPr>
            </w:pPr>
            <w:r>
              <w:t>74,336.28</w:t>
            </w:r>
          </w:p>
        </w:tc>
      </w:tr>
      <w:tr w:rsidR="00E57DAA" w14:paraId="0764C080" w14:textId="77777777">
        <w:tc>
          <w:tcPr>
            <w:tcW w:w="640" w:type="pct"/>
            <w:tcBorders>
              <w:top w:val="single" w:sz="4" w:space="0" w:color="auto"/>
              <w:left w:val="single" w:sz="4" w:space="0" w:color="auto"/>
              <w:bottom w:val="single" w:sz="4" w:space="0" w:color="auto"/>
              <w:right w:val="single" w:sz="4" w:space="0" w:color="auto"/>
            </w:tcBorders>
            <w:vAlign w:val="center"/>
          </w:tcPr>
          <w:p w14:paraId="4D3B293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71A99273" w14:textId="77777777" w:rsidR="00E57DAA" w:rsidRDefault="00AC4185">
            <w:pPr>
              <w:autoSpaceDE w:val="0"/>
              <w:autoSpaceDN w:val="0"/>
              <w:adjustRightInd w:val="0"/>
              <w:rPr>
                <w:szCs w:val="21"/>
              </w:rPr>
            </w:pPr>
            <w:r>
              <w:t>凤阳中都水泥有限公司</w:t>
            </w:r>
          </w:p>
        </w:tc>
        <w:tc>
          <w:tcPr>
            <w:tcW w:w="1059" w:type="pct"/>
            <w:tcBorders>
              <w:top w:val="single" w:sz="4" w:space="0" w:color="auto"/>
              <w:left w:val="single" w:sz="4" w:space="0" w:color="auto"/>
              <w:bottom w:val="single" w:sz="4" w:space="0" w:color="auto"/>
              <w:right w:val="single" w:sz="4" w:space="0" w:color="auto"/>
            </w:tcBorders>
          </w:tcPr>
          <w:p w14:paraId="116433B3"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C201F7C" w14:textId="77777777" w:rsidR="00E57DAA" w:rsidRDefault="00AC4185">
            <w:pPr>
              <w:autoSpaceDE w:val="0"/>
              <w:autoSpaceDN w:val="0"/>
              <w:adjustRightInd w:val="0"/>
              <w:jc w:val="right"/>
              <w:rPr>
                <w:szCs w:val="21"/>
              </w:rPr>
            </w:pPr>
            <w:r>
              <w:t>362,605.38</w:t>
            </w:r>
          </w:p>
        </w:tc>
      </w:tr>
      <w:tr w:rsidR="00E57DAA" w14:paraId="59664F10" w14:textId="77777777">
        <w:tc>
          <w:tcPr>
            <w:tcW w:w="640" w:type="pct"/>
            <w:tcBorders>
              <w:top w:val="single" w:sz="4" w:space="0" w:color="auto"/>
              <w:left w:val="single" w:sz="4" w:space="0" w:color="auto"/>
              <w:bottom w:val="single" w:sz="4" w:space="0" w:color="auto"/>
              <w:right w:val="single" w:sz="4" w:space="0" w:color="auto"/>
            </w:tcBorders>
            <w:vAlign w:val="center"/>
          </w:tcPr>
          <w:p w14:paraId="3F39A9EB"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223877C9" w14:textId="77777777" w:rsidR="00E57DAA" w:rsidRDefault="00AC4185">
            <w:pPr>
              <w:autoSpaceDE w:val="0"/>
              <w:autoSpaceDN w:val="0"/>
              <w:adjustRightInd w:val="0"/>
              <w:rPr>
                <w:szCs w:val="21"/>
              </w:rPr>
            </w:pPr>
            <w:r>
              <w:t>喀左丛元号水泥有限责任公司</w:t>
            </w:r>
          </w:p>
        </w:tc>
        <w:tc>
          <w:tcPr>
            <w:tcW w:w="1059" w:type="pct"/>
            <w:tcBorders>
              <w:top w:val="single" w:sz="4" w:space="0" w:color="auto"/>
              <w:left w:val="single" w:sz="4" w:space="0" w:color="auto"/>
              <w:bottom w:val="single" w:sz="4" w:space="0" w:color="auto"/>
              <w:right w:val="single" w:sz="4" w:space="0" w:color="auto"/>
            </w:tcBorders>
          </w:tcPr>
          <w:p w14:paraId="6B582492"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F7FEAFA" w14:textId="77777777" w:rsidR="00E57DAA" w:rsidRDefault="00AC4185">
            <w:pPr>
              <w:autoSpaceDE w:val="0"/>
              <w:autoSpaceDN w:val="0"/>
              <w:adjustRightInd w:val="0"/>
              <w:jc w:val="right"/>
              <w:rPr>
                <w:szCs w:val="21"/>
              </w:rPr>
            </w:pPr>
            <w:r>
              <w:t>2,035,398.23</w:t>
            </w:r>
          </w:p>
        </w:tc>
      </w:tr>
      <w:tr w:rsidR="00E57DAA" w14:paraId="4A7C0C07" w14:textId="77777777">
        <w:tc>
          <w:tcPr>
            <w:tcW w:w="640" w:type="pct"/>
            <w:tcBorders>
              <w:top w:val="single" w:sz="4" w:space="0" w:color="auto"/>
              <w:left w:val="single" w:sz="4" w:space="0" w:color="auto"/>
              <w:bottom w:val="single" w:sz="4" w:space="0" w:color="auto"/>
              <w:right w:val="single" w:sz="4" w:space="0" w:color="auto"/>
            </w:tcBorders>
            <w:vAlign w:val="center"/>
          </w:tcPr>
          <w:p w14:paraId="44F3F54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5E155DD0" w14:textId="77777777" w:rsidR="00E57DAA" w:rsidRDefault="00AC4185">
            <w:pPr>
              <w:autoSpaceDE w:val="0"/>
              <w:autoSpaceDN w:val="0"/>
              <w:adjustRightInd w:val="0"/>
              <w:rPr>
                <w:szCs w:val="21"/>
              </w:rPr>
            </w:pPr>
            <w:r>
              <w:t>临朐山水水泥有限公司</w:t>
            </w:r>
          </w:p>
        </w:tc>
        <w:tc>
          <w:tcPr>
            <w:tcW w:w="1059" w:type="pct"/>
            <w:tcBorders>
              <w:top w:val="single" w:sz="4" w:space="0" w:color="auto"/>
              <w:left w:val="single" w:sz="4" w:space="0" w:color="auto"/>
              <w:bottom w:val="single" w:sz="4" w:space="0" w:color="auto"/>
              <w:right w:val="single" w:sz="4" w:space="0" w:color="auto"/>
            </w:tcBorders>
          </w:tcPr>
          <w:p w14:paraId="74BCD72A"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0B9767F6" w14:textId="77777777" w:rsidR="00E57DAA" w:rsidRDefault="00AC4185">
            <w:pPr>
              <w:autoSpaceDE w:val="0"/>
              <w:autoSpaceDN w:val="0"/>
              <w:adjustRightInd w:val="0"/>
              <w:jc w:val="right"/>
              <w:rPr>
                <w:szCs w:val="21"/>
              </w:rPr>
            </w:pPr>
            <w:r>
              <w:t>311,504.42</w:t>
            </w:r>
          </w:p>
        </w:tc>
      </w:tr>
      <w:tr w:rsidR="00E57DAA" w14:paraId="7A2F2FC3" w14:textId="77777777">
        <w:tc>
          <w:tcPr>
            <w:tcW w:w="640" w:type="pct"/>
            <w:tcBorders>
              <w:top w:val="single" w:sz="4" w:space="0" w:color="auto"/>
              <w:left w:val="single" w:sz="4" w:space="0" w:color="auto"/>
              <w:bottom w:val="single" w:sz="4" w:space="0" w:color="auto"/>
              <w:right w:val="single" w:sz="4" w:space="0" w:color="auto"/>
            </w:tcBorders>
            <w:vAlign w:val="center"/>
          </w:tcPr>
          <w:p w14:paraId="13E64336"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03AD19DB" w14:textId="77777777" w:rsidR="00E57DAA" w:rsidRDefault="00AC4185">
            <w:pPr>
              <w:autoSpaceDE w:val="0"/>
              <w:autoSpaceDN w:val="0"/>
              <w:adjustRightInd w:val="0"/>
              <w:rPr>
                <w:szCs w:val="21"/>
              </w:rPr>
            </w:pPr>
            <w:r>
              <w:t>山东东华水泥有限公司</w:t>
            </w:r>
          </w:p>
        </w:tc>
        <w:tc>
          <w:tcPr>
            <w:tcW w:w="1059" w:type="pct"/>
            <w:tcBorders>
              <w:top w:val="single" w:sz="4" w:space="0" w:color="auto"/>
              <w:left w:val="single" w:sz="4" w:space="0" w:color="auto"/>
              <w:bottom w:val="single" w:sz="4" w:space="0" w:color="auto"/>
              <w:right w:val="single" w:sz="4" w:space="0" w:color="auto"/>
            </w:tcBorders>
          </w:tcPr>
          <w:p w14:paraId="22C5929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09689BF" w14:textId="77777777" w:rsidR="00E57DAA" w:rsidRDefault="00AC4185">
            <w:pPr>
              <w:autoSpaceDE w:val="0"/>
              <w:autoSpaceDN w:val="0"/>
              <w:adjustRightInd w:val="0"/>
              <w:jc w:val="right"/>
              <w:rPr>
                <w:szCs w:val="21"/>
              </w:rPr>
            </w:pPr>
            <w:r>
              <w:t>6,260,083.01</w:t>
            </w:r>
          </w:p>
        </w:tc>
      </w:tr>
      <w:tr w:rsidR="00E57DAA" w14:paraId="0EB171DB" w14:textId="77777777">
        <w:tc>
          <w:tcPr>
            <w:tcW w:w="640" w:type="pct"/>
            <w:tcBorders>
              <w:top w:val="single" w:sz="4" w:space="0" w:color="auto"/>
              <w:left w:val="single" w:sz="4" w:space="0" w:color="auto"/>
              <w:bottom w:val="single" w:sz="4" w:space="0" w:color="auto"/>
              <w:right w:val="single" w:sz="4" w:space="0" w:color="auto"/>
            </w:tcBorders>
            <w:vAlign w:val="center"/>
          </w:tcPr>
          <w:p w14:paraId="7F4841B3"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20D6598" w14:textId="77777777" w:rsidR="00E57DAA" w:rsidRDefault="00AC4185">
            <w:pPr>
              <w:autoSpaceDE w:val="0"/>
              <w:autoSpaceDN w:val="0"/>
              <w:adjustRightInd w:val="0"/>
              <w:rPr>
                <w:szCs w:val="21"/>
              </w:rPr>
            </w:pPr>
            <w:r>
              <w:t>山东泉兴水泥有限公司</w:t>
            </w:r>
          </w:p>
        </w:tc>
        <w:tc>
          <w:tcPr>
            <w:tcW w:w="1059" w:type="pct"/>
            <w:tcBorders>
              <w:top w:val="single" w:sz="4" w:space="0" w:color="auto"/>
              <w:left w:val="single" w:sz="4" w:space="0" w:color="auto"/>
              <w:bottom w:val="single" w:sz="4" w:space="0" w:color="auto"/>
              <w:right w:val="single" w:sz="4" w:space="0" w:color="auto"/>
            </w:tcBorders>
          </w:tcPr>
          <w:p w14:paraId="26FF2B8C"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6365D99" w14:textId="77777777" w:rsidR="00E57DAA" w:rsidRDefault="00AC4185">
            <w:pPr>
              <w:autoSpaceDE w:val="0"/>
              <w:autoSpaceDN w:val="0"/>
              <w:adjustRightInd w:val="0"/>
              <w:jc w:val="right"/>
              <w:rPr>
                <w:szCs w:val="21"/>
              </w:rPr>
            </w:pPr>
            <w:r>
              <w:t>26,909,319.46</w:t>
            </w:r>
          </w:p>
        </w:tc>
      </w:tr>
      <w:tr w:rsidR="00E57DAA" w14:paraId="103B572A" w14:textId="77777777">
        <w:tc>
          <w:tcPr>
            <w:tcW w:w="640" w:type="pct"/>
            <w:tcBorders>
              <w:top w:val="single" w:sz="4" w:space="0" w:color="auto"/>
              <w:left w:val="single" w:sz="4" w:space="0" w:color="auto"/>
              <w:bottom w:val="single" w:sz="4" w:space="0" w:color="auto"/>
              <w:right w:val="single" w:sz="4" w:space="0" w:color="auto"/>
            </w:tcBorders>
            <w:vAlign w:val="center"/>
          </w:tcPr>
          <w:p w14:paraId="486985AC" w14:textId="77777777" w:rsidR="00E57DAA" w:rsidRDefault="00AC4185">
            <w:pPr>
              <w:autoSpaceDE w:val="0"/>
              <w:autoSpaceDN w:val="0"/>
              <w:adjustRightInd w:val="0"/>
              <w:rPr>
                <w:szCs w:val="21"/>
              </w:rPr>
            </w:pPr>
            <w:r>
              <w:t>合同负债</w:t>
            </w:r>
          </w:p>
        </w:tc>
        <w:tc>
          <w:tcPr>
            <w:tcW w:w="1894" w:type="pct"/>
            <w:tcBorders>
              <w:top w:val="single" w:sz="4" w:space="0" w:color="auto"/>
              <w:left w:val="single" w:sz="4" w:space="0" w:color="auto"/>
              <w:bottom w:val="single" w:sz="4" w:space="0" w:color="auto"/>
              <w:right w:val="single" w:sz="4" w:space="0" w:color="auto"/>
            </w:tcBorders>
          </w:tcPr>
          <w:p w14:paraId="1339EA48" w14:textId="77777777" w:rsidR="00E57DAA" w:rsidRDefault="00AC4185">
            <w:pPr>
              <w:autoSpaceDE w:val="0"/>
              <w:autoSpaceDN w:val="0"/>
              <w:adjustRightInd w:val="0"/>
              <w:rPr>
                <w:szCs w:val="21"/>
              </w:rPr>
            </w:pPr>
            <w:r>
              <w:t>山东山水重工有限公司</w:t>
            </w:r>
          </w:p>
        </w:tc>
        <w:tc>
          <w:tcPr>
            <w:tcW w:w="1059" w:type="pct"/>
            <w:tcBorders>
              <w:top w:val="single" w:sz="4" w:space="0" w:color="auto"/>
              <w:left w:val="single" w:sz="4" w:space="0" w:color="auto"/>
              <w:bottom w:val="single" w:sz="4" w:space="0" w:color="auto"/>
              <w:right w:val="single" w:sz="4" w:space="0" w:color="auto"/>
            </w:tcBorders>
          </w:tcPr>
          <w:p w14:paraId="2FDD9AF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38F6C51" w14:textId="77777777" w:rsidR="00E57DAA" w:rsidRDefault="00AC4185">
            <w:pPr>
              <w:autoSpaceDE w:val="0"/>
              <w:autoSpaceDN w:val="0"/>
              <w:adjustRightInd w:val="0"/>
              <w:jc w:val="right"/>
              <w:rPr>
                <w:szCs w:val="21"/>
              </w:rPr>
            </w:pPr>
            <w:r>
              <w:t>299,911.50</w:t>
            </w:r>
          </w:p>
        </w:tc>
      </w:tr>
      <w:tr w:rsidR="00E57DAA" w14:paraId="69D830C6" w14:textId="77777777">
        <w:tc>
          <w:tcPr>
            <w:tcW w:w="640" w:type="pct"/>
            <w:tcBorders>
              <w:top w:val="single" w:sz="4" w:space="0" w:color="auto"/>
              <w:left w:val="single" w:sz="4" w:space="0" w:color="auto"/>
              <w:bottom w:val="single" w:sz="4" w:space="0" w:color="auto"/>
              <w:right w:val="single" w:sz="4" w:space="0" w:color="auto"/>
            </w:tcBorders>
            <w:vAlign w:val="center"/>
          </w:tcPr>
          <w:p w14:paraId="4F8BA3C6"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3B16C1A4" w14:textId="77777777" w:rsidR="00E57DAA" w:rsidRDefault="00AC4185">
            <w:pPr>
              <w:autoSpaceDE w:val="0"/>
              <w:autoSpaceDN w:val="0"/>
              <w:adjustRightInd w:val="0"/>
              <w:rPr>
                <w:szCs w:val="21"/>
              </w:rPr>
            </w:pPr>
            <w:r>
              <w:t>联营企业</w:t>
            </w:r>
          </w:p>
        </w:tc>
        <w:tc>
          <w:tcPr>
            <w:tcW w:w="1059" w:type="pct"/>
            <w:tcBorders>
              <w:top w:val="single" w:sz="4" w:space="0" w:color="auto"/>
              <w:left w:val="single" w:sz="4" w:space="0" w:color="auto"/>
              <w:bottom w:val="single" w:sz="4" w:space="0" w:color="auto"/>
              <w:right w:val="single" w:sz="4" w:space="0" w:color="auto"/>
            </w:tcBorders>
          </w:tcPr>
          <w:p w14:paraId="730F7AD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3E81772" w14:textId="77777777" w:rsidR="00E57DAA" w:rsidRDefault="00AC4185">
            <w:pPr>
              <w:autoSpaceDE w:val="0"/>
              <w:autoSpaceDN w:val="0"/>
              <w:adjustRightInd w:val="0"/>
              <w:jc w:val="right"/>
              <w:rPr>
                <w:szCs w:val="21"/>
              </w:rPr>
            </w:pPr>
            <w:r>
              <w:t xml:space="preserve">　</w:t>
            </w:r>
          </w:p>
        </w:tc>
      </w:tr>
      <w:tr w:rsidR="00E57DAA" w14:paraId="027D92FF" w14:textId="77777777">
        <w:tc>
          <w:tcPr>
            <w:tcW w:w="640" w:type="pct"/>
            <w:tcBorders>
              <w:top w:val="single" w:sz="4" w:space="0" w:color="auto"/>
              <w:left w:val="single" w:sz="4" w:space="0" w:color="auto"/>
              <w:bottom w:val="single" w:sz="4" w:space="0" w:color="auto"/>
              <w:right w:val="single" w:sz="4" w:space="0" w:color="auto"/>
            </w:tcBorders>
            <w:vAlign w:val="center"/>
          </w:tcPr>
          <w:p w14:paraId="25D41D42"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5733415" w14:textId="77777777" w:rsidR="00E57DAA" w:rsidRDefault="00AC4185">
            <w:pPr>
              <w:autoSpaceDE w:val="0"/>
              <w:autoSpaceDN w:val="0"/>
              <w:adjustRightInd w:val="0"/>
              <w:rPr>
                <w:szCs w:val="21"/>
              </w:rPr>
            </w:pPr>
            <w:r>
              <w:t>中建（淄博）重型机械有限公司</w:t>
            </w:r>
          </w:p>
        </w:tc>
        <w:tc>
          <w:tcPr>
            <w:tcW w:w="1059" w:type="pct"/>
            <w:tcBorders>
              <w:top w:val="single" w:sz="4" w:space="0" w:color="auto"/>
              <w:left w:val="single" w:sz="4" w:space="0" w:color="auto"/>
              <w:bottom w:val="single" w:sz="4" w:space="0" w:color="auto"/>
              <w:right w:val="single" w:sz="4" w:space="0" w:color="auto"/>
            </w:tcBorders>
          </w:tcPr>
          <w:p w14:paraId="3FA1F1EE" w14:textId="77777777" w:rsidR="00E57DAA" w:rsidRDefault="00AC4185">
            <w:pPr>
              <w:autoSpaceDE w:val="0"/>
              <w:autoSpaceDN w:val="0"/>
              <w:adjustRightInd w:val="0"/>
              <w:jc w:val="right"/>
              <w:rPr>
                <w:szCs w:val="21"/>
              </w:rPr>
            </w:pPr>
            <w:r>
              <w:t>98,488.50</w:t>
            </w:r>
          </w:p>
        </w:tc>
        <w:tc>
          <w:tcPr>
            <w:tcW w:w="1407" w:type="pct"/>
            <w:tcBorders>
              <w:top w:val="single" w:sz="4" w:space="0" w:color="auto"/>
              <w:left w:val="single" w:sz="4" w:space="0" w:color="auto"/>
              <w:bottom w:val="single" w:sz="4" w:space="0" w:color="auto"/>
              <w:right w:val="single" w:sz="4" w:space="0" w:color="auto"/>
            </w:tcBorders>
          </w:tcPr>
          <w:p w14:paraId="42CB0B4E" w14:textId="77777777" w:rsidR="00E57DAA" w:rsidRDefault="00AC4185">
            <w:pPr>
              <w:autoSpaceDE w:val="0"/>
              <w:autoSpaceDN w:val="0"/>
              <w:adjustRightInd w:val="0"/>
              <w:jc w:val="right"/>
              <w:rPr>
                <w:szCs w:val="21"/>
              </w:rPr>
            </w:pPr>
            <w:r>
              <w:t>47,246.14</w:t>
            </w:r>
          </w:p>
        </w:tc>
      </w:tr>
      <w:tr w:rsidR="00E57DAA" w14:paraId="50AC38D7" w14:textId="77777777">
        <w:tc>
          <w:tcPr>
            <w:tcW w:w="640" w:type="pct"/>
            <w:tcBorders>
              <w:top w:val="single" w:sz="4" w:space="0" w:color="auto"/>
              <w:left w:val="single" w:sz="4" w:space="0" w:color="auto"/>
              <w:bottom w:val="single" w:sz="4" w:space="0" w:color="auto"/>
              <w:right w:val="single" w:sz="4" w:space="0" w:color="auto"/>
            </w:tcBorders>
            <w:vAlign w:val="center"/>
          </w:tcPr>
          <w:p w14:paraId="267CE414"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046A9E3" w14:textId="77777777" w:rsidR="00E57DAA" w:rsidRDefault="00AC4185">
            <w:pPr>
              <w:autoSpaceDE w:val="0"/>
              <w:autoSpaceDN w:val="0"/>
              <w:adjustRightInd w:val="0"/>
              <w:rPr>
                <w:szCs w:val="21"/>
              </w:rPr>
            </w:pPr>
            <w:r>
              <w:t>中才邦业（杭州）智能技术有限公司</w:t>
            </w:r>
          </w:p>
        </w:tc>
        <w:tc>
          <w:tcPr>
            <w:tcW w:w="1059" w:type="pct"/>
            <w:tcBorders>
              <w:top w:val="single" w:sz="4" w:space="0" w:color="auto"/>
              <w:left w:val="single" w:sz="4" w:space="0" w:color="auto"/>
              <w:bottom w:val="single" w:sz="4" w:space="0" w:color="auto"/>
              <w:right w:val="single" w:sz="4" w:space="0" w:color="auto"/>
            </w:tcBorders>
          </w:tcPr>
          <w:p w14:paraId="51F0330B" w14:textId="77777777" w:rsidR="00E57DAA" w:rsidRDefault="00AC4185">
            <w:pPr>
              <w:autoSpaceDE w:val="0"/>
              <w:autoSpaceDN w:val="0"/>
              <w:adjustRightInd w:val="0"/>
              <w:jc w:val="right"/>
              <w:rPr>
                <w:szCs w:val="21"/>
              </w:rPr>
            </w:pPr>
            <w:r>
              <w:t>16,251.32</w:t>
            </w:r>
          </w:p>
        </w:tc>
        <w:tc>
          <w:tcPr>
            <w:tcW w:w="1407" w:type="pct"/>
            <w:tcBorders>
              <w:top w:val="single" w:sz="4" w:space="0" w:color="auto"/>
              <w:left w:val="single" w:sz="4" w:space="0" w:color="auto"/>
              <w:bottom w:val="single" w:sz="4" w:space="0" w:color="auto"/>
              <w:right w:val="single" w:sz="4" w:space="0" w:color="auto"/>
            </w:tcBorders>
          </w:tcPr>
          <w:p w14:paraId="06E31513" w14:textId="77777777" w:rsidR="00E57DAA" w:rsidRDefault="00AC4185">
            <w:pPr>
              <w:autoSpaceDE w:val="0"/>
              <w:autoSpaceDN w:val="0"/>
              <w:adjustRightInd w:val="0"/>
              <w:jc w:val="right"/>
              <w:rPr>
                <w:szCs w:val="21"/>
              </w:rPr>
            </w:pPr>
            <w:r>
              <w:t>1,900,000.00</w:t>
            </w:r>
          </w:p>
        </w:tc>
      </w:tr>
      <w:tr w:rsidR="00E57DAA" w14:paraId="18B0E425" w14:textId="77777777">
        <w:tc>
          <w:tcPr>
            <w:tcW w:w="640" w:type="pct"/>
            <w:tcBorders>
              <w:top w:val="single" w:sz="4" w:space="0" w:color="auto"/>
              <w:left w:val="single" w:sz="4" w:space="0" w:color="auto"/>
              <w:bottom w:val="single" w:sz="4" w:space="0" w:color="auto"/>
              <w:right w:val="single" w:sz="4" w:space="0" w:color="auto"/>
            </w:tcBorders>
            <w:vAlign w:val="center"/>
          </w:tcPr>
          <w:p w14:paraId="7A0D801F"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72F9144D" w14:textId="77777777" w:rsidR="00E57DAA" w:rsidRDefault="00AC4185">
            <w:pPr>
              <w:autoSpaceDE w:val="0"/>
              <w:autoSpaceDN w:val="0"/>
              <w:adjustRightInd w:val="0"/>
              <w:rPr>
                <w:szCs w:val="21"/>
              </w:rPr>
            </w:pPr>
            <w:r>
              <w:t>受同一母公司控制的其他企业</w:t>
            </w:r>
          </w:p>
        </w:tc>
        <w:tc>
          <w:tcPr>
            <w:tcW w:w="1059" w:type="pct"/>
            <w:tcBorders>
              <w:top w:val="single" w:sz="4" w:space="0" w:color="auto"/>
              <w:left w:val="single" w:sz="4" w:space="0" w:color="auto"/>
              <w:bottom w:val="single" w:sz="4" w:space="0" w:color="auto"/>
              <w:right w:val="single" w:sz="4" w:space="0" w:color="auto"/>
            </w:tcBorders>
          </w:tcPr>
          <w:p w14:paraId="588CD5A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DEDD92A" w14:textId="77777777" w:rsidR="00E57DAA" w:rsidRDefault="00AC4185">
            <w:pPr>
              <w:autoSpaceDE w:val="0"/>
              <w:autoSpaceDN w:val="0"/>
              <w:adjustRightInd w:val="0"/>
              <w:jc w:val="right"/>
              <w:rPr>
                <w:szCs w:val="21"/>
              </w:rPr>
            </w:pPr>
            <w:r>
              <w:t xml:space="preserve">　</w:t>
            </w:r>
          </w:p>
        </w:tc>
      </w:tr>
      <w:tr w:rsidR="00E57DAA" w14:paraId="29D14690" w14:textId="77777777">
        <w:tc>
          <w:tcPr>
            <w:tcW w:w="640" w:type="pct"/>
            <w:tcBorders>
              <w:top w:val="single" w:sz="4" w:space="0" w:color="auto"/>
              <w:left w:val="single" w:sz="4" w:space="0" w:color="auto"/>
              <w:bottom w:val="single" w:sz="4" w:space="0" w:color="auto"/>
              <w:right w:val="single" w:sz="4" w:space="0" w:color="auto"/>
            </w:tcBorders>
            <w:vAlign w:val="center"/>
          </w:tcPr>
          <w:p w14:paraId="552D28A5"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407D2D8A" w14:textId="77777777" w:rsidR="00E57DAA" w:rsidRDefault="00AC4185">
            <w:pPr>
              <w:autoSpaceDE w:val="0"/>
              <w:autoSpaceDN w:val="0"/>
              <w:adjustRightInd w:val="0"/>
              <w:rPr>
                <w:szCs w:val="21"/>
              </w:rPr>
            </w:pPr>
            <w:r>
              <w:t>中国建材股份有限公司</w:t>
            </w:r>
          </w:p>
        </w:tc>
        <w:tc>
          <w:tcPr>
            <w:tcW w:w="1059" w:type="pct"/>
            <w:tcBorders>
              <w:top w:val="single" w:sz="4" w:space="0" w:color="auto"/>
              <w:left w:val="single" w:sz="4" w:space="0" w:color="auto"/>
              <w:bottom w:val="single" w:sz="4" w:space="0" w:color="auto"/>
              <w:right w:val="single" w:sz="4" w:space="0" w:color="auto"/>
            </w:tcBorders>
          </w:tcPr>
          <w:p w14:paraId="1D48DAAE" w14:textId="77777777" w:rsidR="00E57DAA" w:rsidRDefault="00AC4185">
            <w:pPr>
              <w:autoSpaceDE w:val="0"/>
              <w:autoSpaceDN w:val="0"/>
              <w:adjustRightInd w:val="0"/>
              <w:jc w:val="right"/>
              <w:rPr>
                <w:szCs w:val="21"/>
              </w:rPr>
            </w:pPr>
            <w:r>
              <w:t>43,860,000.00</w:t>
            </w:r>
          </w:p>
        </w:tc>
        <w:tc>
          <w:tcPr>
            <w:tcW w:w="1407" w:type="pct"/>
            <w:tcBorders>
              <w:top w:val="single" w:sz="4" w:space="0" w:color="auto"/>
              <w:left w:val="single" w:sz="4" w:space="0" w:color="auto"/>
              <w:bottom w:val="single" w:sz="4" w:space="0" w:color="auto"/>
              <w:right w:val="single" w:sz="4" w:space="0" w:color="auto"/>
            </w:tcBorders>
          </w:tcPr>
          <w:p w14:paraId="0EFA0CFF" w14:textId="77777777" w:rsidR="00E57DAA" w:rsidRDefault="00AC4185">
            <w:pPr>
              <w:autoSpaceDE w:val="0"/>
              <w:autoSpaceDN w:val="0"/>
              <w:adjustRightInd w:val="0"/>
              <w:jc w:val="right"/>
              <w:rPr>
                <w:szCs w:val="21"/>
              </w:rPr>
            </w:pPr>
            <w:r>
              <w:t>46,660,000.00</w:t>
            </w:r>
          </w:p>
        </w:tc>
      </w:tr>
      <w:tr w:rsidR="00E57DAA" w14:paraId="7AB2BB4A" w14:textId="77777777">
        <w:tc>
          <w:tcPr>
            <w:tcW w:w="640" w:type="pct"/>
            <w:tcBorders>
              <w:top w:val="single" w:sz="4" w:space="0" w:color="auto"/>
              <w:left w:val="single" w:sz="4" w:space="0" w:color="auto"/>
              <w:bottom w:val="single" w:sz="4" w:space="0" w:color="auto"/>
              <w:right w:val="single" w:sz="4" w:space="0" w:color="auto"/>
            </w:tcBorders>
            <w:vAlign w:val="center"/>
          </w:tcPr>
          <w:p w14:paraId="5C8CD76E"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2317DFD" w14:textId="77777777" w:rsidR="00E57DAA" w:rsidRDefault="00AC4185">
            <w:pPr>
              <w:autoSpaceDE w:val="0"/>
              <w:autoSpaceDN w:val="0"/>
              <w:adjustRightInd w:val="0"/>
              <w:rPr>
                <w:szCs w:val="21"/>
              </w:rPr>
            </w:pPr>
            <w:r>
              <w:t>中建材投资有限公司</w:t>
            </w:r>
          </w:p>
        </w:tc>
        <w:tc>
          <w:tcPr>
            <w:tcW w:w="1059" w:type="pct"/>
            <w:tcBorders>
              <w:top w:val="single" w:sz="4" w:space="0" w:color="auto"/>
              <w:left w:val="single" w:sz="4" w:space="0" w:color="auto"/>
              <w:bottom w:val="single" w:sz="4" w:space="0" w:color="auto"/>
              <w:right w:val="single" w:sz="4" w:space="0" w:color="auto"/>
            </w:tcBorders>
          </w:tcPr>
          <w:p w14:paraId="5FBB2362" w14:textId="77777777" w:rsidR="00E57DAA" w:rsidRDefault="00AC4185">
            <w:pPr>
              <w:autoSpaceDE w:val="0"/>
              <w:autoSpaceDN w:val="0"/>
              <w:adjustRightInd w:val="0"/>
              <w:jc w:val="right"/>
              <w:rPr>
                <w:szCs w:val="21"/>
              </w:rPr>
            </w:pPr>
            <w:r>
              <w:t>20,000,000.00</w:t>
            </w:r>
          </w:p>
        </w:tc>
        <w:tc>
          <w:tcPr>
            <w:tcW w:w="1407" w:type="pct"/>
            <w:tcBorders>
              <w:top w:val="single" w:sz="4" w:space="0" w:color="auto"/>
              <w:left w:val="single" w:sz="4" w:space="0" w:color="auto"/>
              <w:bottom w:val="single" w:sz="4" w:space="0" w:color="auto"/>
              <w:right w:val="single" w:sz="4" w:space="0" w:color="auto"/>
            </w:tcBorders>
          </w:tcPr>
          <w:p w14:paraId="29494397" w14:textId="77777777" w:rsidR="00E57DAA" w:rsidRDefault="00AC4185">
            <w:pPr>
              <w:autoSpaceDE w:val="0"/>
              <w:autoSpaceDN w:val="0"/>
              <w:adjustRightInd w:val="0"/>
              <w:jc w:val="right"/>
              <w:rPr>
                <w:szCs w:val="21"/>
              </w:rPr>
            </w:pPr>
            <w:r>
              <w:t xml:space="preserve">　</w:t>
            </w:r>
          </w:p>
        </w:tc>
      </w:tr>
      <w:tr w:rsidR="00E57DAA" w14:paraId="73BEF9F8" w14:textId="77777777">
        <w:tc>
          <w:tcPr>
            <w:tcW w:w="640" w:type="pct"/>
            <w:tcBorders>
              <w:top w:val="single" w:sz="4" w:space="0" w:color="auto"/>
              <w:left w:val="single" w:sz="4" w:space="0" w:color="auto"/>
              <w:bottom w:val="single" w:sz="4" w:space="0" w:color="auto"/>
              <w:right w:val="single" w:sz="4" w:space="0" w:color="auto"/>
            </w:tcBorders>
            <w:vAlign w:val="center"/>
          </w:tcPr>
          <w:p w14:paraId="35C7F201"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29BEE66" w14:textId="77777777" w:rsidR="00E57DAA" w:rsidRDefault="00AC4185">
            <w:pPr>
              <w:autoSpaceDE w:val="0"/>
              <w:autoSpaceDN w:val="0"/>
              <w:adjustRightInd w:val="0"/>
              <w:rPr>
                <w:szCs w:val="21"/>
              </w:rPr>
            </w:pPr>
            <w:r>
              <w:t>永登祁连山水泥有限公司</w:t>
            </w:r>
          </w:p>
        </w:tc>
        <w:tc>
          <w:tcPr>
            <w:tcW w:w="1059" w:type="pct"/>
            <w:tcBorders>
              <w:top w:val="single" w:sz="4" w:space="0" w:color="auto"/>
              <w:left w:val="single" w:sz="4" w:space="0" w:color="auto"/>
              <w:bottom w:val="single" w:sz="4" w:space="0" w:color="auto"/>
              <w:right w:val="single" w:sz="4" w:space="0" w:color="auto"/>
            </w:tcBorders>
          </w:tcPr>
          <w:p w14:paraId="43159752" w14:textId="77777777" w:rsidR="00E57DAA" w:rsidRDefault="00AC4185">
            <w:pPr>
              <w:autoSpaceDE w:val="0"/>
              <w:autoSpaceDN w:val="0"/>
              <w:adjustRightInd w:val="0"/>
              <w:jc w:val="right"/>
              <w:rPr>
                <w:szCs w:val="21"/>
              </w:rPr>
            </w:pPr>
            <w:r>
              <w:t>13,844,414.39</w:t>
            </w:r>
          </w:p>
        </w:tc>
        <w:tc>
          <w:tcPr>
            <w:tcW w:w="1407" w:type="pct"/>
            <w:tcBorders>
              <w:top w:val="single" w:sz="4" w:space="0" w:color="auto"/>
              <w:left w:val="single" w:sz="4" w:space="0" w:color="auto"/>
              <w:bottom w:val="single" w:sz="4" w:space="0" w:color="auto"/>
              <w:right w:val="single" w:sz="4" w:space="0" w:color="auto"/>
            </w:tcBorders>
          </w:tcPr>
          <w:p w14:paraId="2E5AFD95" w14:textId="77777777" w:rsidR="00E57DAA" w:rsidRDefault="00AC4185">
            <w:pPr>
              <w:autoSpaceDE w:val="0"/>
              <w:autoSpaceDN w:val="0"/>
              <w:adjustRightInd w:val="0"/>
              <w:jc w:val="right"/>
              <w:rPr>
                <w:szCs w:val="21"/>
              </w:rPr>
            </w:pPr>
            <w:r>
              <w:t xml:space="preserve">　</w:t>
            </w:r>
          </w:p>
        </w:tc>
      </w:tr>
      <w:tr w:rsidR="00E57DAA" w14:paraId="0120C046" w14:textId="77777777">
        <w:tc>
          <w:tcPr>
            <w:tcW w:w="640" w:type="pct"/>
            <w:tcBorders>
              <w:top w:val="single" w:sz="4" w:space="0" w:color="auto"/>
              <w:left w:val="single" w:sz="4" w:space="0" w:color="auto"/>
              <w:bottom w:val="single" w:sz="4" w:space="0" w:color="auto"/>
              <w:right w:val="single" w:sz="4" w:space="0" w:color="auto"/>
            </w:tcBorders>
            <w:vAlign w:val="center"/>
          </w:tcPr>
          <w:p w14:paraId="00888BD2" w14:textId="77777777" w:rsidR="00E57DAA" w:rsidRDefault="00AC4185">
            <w:pPr>
              <w:autoSpaceDE w:val="0"/>
              <w:autoSpaceDN w:val="0"/>
              <w:adjustRightInd w:val="0"/>
              <w:rPr>
                <w:szCs w:val="21"/>
              </w:rPr>
            </w:pPr>
            <w:r>
              <w:lastRenderedPageBreak/>
              <w:t>其他应付款</w:t>
            </w:r>
          </w:p>
        </w:tc>
        <w:tc>
          <w:tcPr>
            <w:tcW w:w="1894" w:type="pct"/>
            <w:tcBorders>
              <w:top w:val="single" w:sz="4" w:space="0" w:color="auto"/>
              <w:left w:val="single" w:sz="4" w:space="0" w:color="auto"/>
              <w:bottom w:val="single" w:sz="4" w:space="0" w:color="auto"/>
              <w:right w:val="single" w:sz="4" w:space="0" w:color="auto"/>
            </w:tcBorders>
          </w:tcPr>
          <w:p w14:paraId="116899FC" w14:textId="77777777" w:rsidR="00E57DAA" w:rsidRDefault="00AC4185">
            <w:pPr>
              <w:autoSpaceDE w:val="0"/>
              <w:autoSpaceDN w:val="0"/>
              <w:adjustRightInd w:val="0"/>
              <w:rPr>
                <w:szCs w:val="21"/>
              </w:rPr>
            </w:pPr>
            <w:r>
              <w:t>宁夏青铜峡水泥股份有限公司</w:t>
            </w:r>
          </w:p>
        </w:tc>
        <w:tc>
          <w:tcPr>
            <w:tcW w:w="1059" w:type="pct"/>
            <w:tcBorders>
              <w:top w:val="single" w:sz="4" w:space="0" w:color="auto"/>
              <w:left w:val="single" w:sz="4" w:space="0" w:color="auto"/>
              <w:bottom w:val="single" w:sz="4" w:space="0" w:color="auto"/>
              <w:right w:val="single" w:sz="4" w:space="0" w:color="auto"/>
            </w:tcBorders>
          </w:tcPr>
          <w:p w14:paraId="74E80FD8" w14:textId="77777777" w:rsidR="00E57DAA" w:rsidRDefault="00AC4185">
            <w:pPr>
              <w:autoSpaceDE w:val="0"/>
              <w:autoSpaceDN w:val="0"/>
              <w:adjustRightInd w:val="0"/>
              <w:jc w:val="right"/>
              <w:rPr>
                <w:szCs w:val="21"/>
              </w:rPr>
            </w:pPr>
            <w:r>
              <w:t>6,073,906.65</w:t>
            </w:r>
          </w:p>
        </w:tc>
        <w:tc>
          <w:tcPr>
            <w:tcW w:w="1407" w:type="pct"/>
            <w:tcBorders>
              <w:top w:val="single" w:sz="4" w:space="0" w:color="auto"/>
              <w:left w:val="single" w:sz="4" w:space="0" w:color="auto"/>
              <w:bottom w:val="single" w:sz="4" w:space="0" w:color="auto"/>
              <w:right w:val="single" w:sz="4" w:space="0" w:color="auto"/>
            </w:tcBorders>
          </w:tcPr>
          <w:p w14:paraId="05B4B8C3" w14:textId="77777777" w:rsidR="00E57DAA" w:rsidRDefault="00AC4185">
            <w:pPr>
              <w:autoSpaceDE w:val="0"/>
              <w:autoSpaceDN w:val="0"/>
              <w:adjustRightInd w:val="0"/>
              <w:jc w:val="right"/>
              <w:rPr>
                <w:szCs w:val="21"/>
              </w:rPr>
            </w:pPr>
            <w:r>
              <w:t xml:space="preserve">　</w:t>
            </w:r>
          </w:p>
        </w:tc>
      </w:tr>
      <w:tr w:rsidR="00E57DAA" w14:paraId="1B6E5C52" w14:textId="77777777">
        <w:tc>
          <w:tcPr>
            <w:tcW w:w="640" w:type="pct"/>
            <w:tcBorders>
              <w:top w:val="single" w:sz="4" w:space="0" w:color="auto"/>
              <w:left w:val="single" w:sz="4" w:space="0" w:color="auto"/>
              <w:bottom w:val="single" w:sz="4" w:space="0" w:color="auto"/>
              <w:right w:val="single" w:sz="4" w:space="0" w:color="auto"/>
            </w:tcBorders>
            <w:vAlign w:val="center"/>
          </w:tcPr>
          <w:p w14:paraId="607CF014"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4132761" w14:textId="77777777" w:rsidR="00E57DAA" w:rsidRDefault="00AC4185">
            <w:pPr>
              <w:autoSpaceDE w:val="0"/>
              <w:autoSpaceDN w:val="0"/>
              <w:adjustRightInd w:val="0"/>
              <w:rPr>
                <w:szCs w:val="21"/>
              </w:rPr>
            </w:pPr>
            <w:r>
              <w:t>宁夏赛马水泥有限公司</w:t>
            </w:r>
          </w:p>
        </w:tc>
        <w:tc>
          <w:tcPr>
            <w:tcW w:w="1059" w:type="pct"/>
            <w:tcBorders>
              <w:top w:val="single" w:sz="4" w:space="0" w:color="auto"/>
              <w:left w:val="single" w:sz="4" w:space="0" w:color="auto"/>
              <w:bottom w:val="single" w:sz="4" w:space="0" w:color="auto"/>
              <w:right w:val="single" w:sz="4" w:space="0" w:color="auto"/>
            </w:tcBorders>
          </w:tcPr>
          <w:p w14:paraId="5DDA79B2" w14:textId="77777777" w:rsidR="00E57DAA" w:rsidRDefault="00AC4185">
            <w:pPr>
              <w:autoSpaceDE w:val="0"/>
              <w:autoSpaceDN w:val="0"/>
              <w:adjustRightInd w:val="0"/>
              <w:jc w:val="right"/>
              <w:rPr>
                <w:szCs w:val="21"/>
              </w:rPr>
            </w:pPr>
            <w:r>
              <w:t>1,663,882.82</w:t>
            </w:r>
          </w:p>
        </w:tc>
        <w:tc>
          <w:tcPr>
            <w:tcW w:w="1407" w:type="pct"/>
            <w:tcBorders>
              <w:top w:val="single" w:sz="4" w:space="0" w:color="auto"/>
              <w:left w:val="single" w:sz="4" w:space="0" w:color="auto"/>
              <w:bottom w:val="single" w:sz="4" w:space="0" w:color="auto"/>
              <w:right w:val="single" w:sz="4" w:space="0" w:color="auto"/>
            </w:tcBorders>
          </w:tcPr>
          <w:p w14:paraId="217B8A1E" w14:textId="77777777" w:rsidR="00E57DAA" w:rsidRDefault="00AC4185">
            <w:pPr>
              <w:autoSpaceDE w:val="0"/>
              <w:autoSpaceDN w:val="0"/>
              <w:adjustRightInd w:val="0"/>
              <w:jc w:val="right"/>
              <w:rPr>
                <w:szCs w:val="21"/>
              </w:rPr>
            </w:pPr>
            <w:r>
              <w:t xml:space="preserve">　</w:t>
            </w:r>
          </w:p>
        </w:tc>
      </w:tr>
      <w:tr w:rsidR="00E57DAA" w14:paraId="6A54B000" w14:textId="77777777">
        <w:tc>
          <w:tcPr>
            <w:tcW w:w="640" w:type="pct"/>
            <w:tcBorders>
              <w:top w:val="single" w:sz="4" w:space="0" w:color="auto"/>
              <w:left w:val="single" w:sz="4" w:space="0" w:color="auto"/>
              <w:bottom w:val="single" w:sz="4" w:space="0" w:color="auto"/>
              <w:right w:val="single" w:sz="4" w:space="0" w:color="auto"/>
            </w:tcBorders>
            <w:vAlign w:val="center"/>
          </w:tcPr>
          <w:p w14:paraId="73D86AD6"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08784A9" w14:textId="77777777" w:rsidR="00E57DAA" w:rsidRDefault="00AC4185">
            <w:pPr>
              <w:autoSpaceDE w:val="0"/>
              <w:autoSpaceDN w:val="0"/>
              <w:adjustRightInd w:val="0"/>
              <w:rPr>
                <w:szCs w:val="21"/>
              </w:rPr>
            </w:pPr>
            <w:r>
              <w:t>苏州混凝土水泥制品研究院有限公司</w:t>
            </w:r>
          </w:p>
        </w:tc>
        <w:tc>
          <w:tcPr>
            <w:tcW w:w="1059" w:type="pct"/>
            <w:tcBorders>
              <w:top w:val="single" w:sz="4" w:space="0" w:color="auto"/>
              <w:left w:val="single" w:sz="4" w:space="0" w:color="auto"/>
              <w:bottom w:val="single" w:sz="4" w:space="0" w:color="auto"/>
              <w:right w:val="single" w:sz="4" w:space="0" w:color="auto"/>
            </w:tcBorders>
          </w:tcPr>
          <w:p w14:paraId="79F9170A" w14:textId="77777777" w:rsidR="00E57DAA" w:rsidRDefault="00AC4185">
            <w:pPr>
              <w:autoSpaceDE w:val="0"/>
              <w:autoSpaceDN w:val="0"/>
              <w:adjustRightInd w:val="0"/>
              <w:jc w:val="right"/>
              <w:rPr>
                <w:szCs w:val="21"/>
              </w:rPr>
            </w:pPr>
            <w:r>
              <w:t>1,301,835.85</w:t>
            </w:r>
          </w:p>
        </w:tc>
        <w:tc>
          <w:tcPr>
            <w:tcW w:w="1407" w:type="pct"/>
            <w:tcBorders>
              <w:top w:val="single" w:sz="4" w:space="0" w:color="auto"/>
              <w:left w:val="single" w:sz="4" w:space="0" w:color="auto"/>
              <w:bottom w:val="single" w:sz="4" w:space="0" w:color="auto"/>
              <w:right w:val="single" w:sz="4" w:space="0" w:color="auto"/>
            </w:tcBorders>
          </w:tcPr>
          <w:p w14:paraId="63F5DE0E" w14:textId="77777777" w:rsidR="00E57DAA" w:rsidRDefault="00AC4185">
            <w:pPr>
              <w:autoSpaceDE w:val="0"/>
              <w:autoSpaceDN w:val="0"/>
              <w:adjustRightInd w:val="0"/>
              <w:jc w:val="right"/>
              <w:rPr>
                <w:szCs w:val="21"/>
              </w:rPr>
            </w:pPr>
            <w:r>
              <w:t xml:space="preserve">　</w:t>
            </w:r>
          </w:p>
        </w:tc>
      </w:tr>
      <w:tr w:rsidR="00E57DAA" w14:paraId="271A139A" w14:textId="77777777">
        <w:tc>
          <w:tcPr>
            <w:tcW w:w="640" w:type="pct"/>
            <w:tcBorders>
              <w:top w:val="single" w:sz="4" w:space="0" w:color="auto"/>
              <w:left w:val="single" w:sz="4" w:space="0" w:color="auto"/>
              <w:bottom w:val="single" w:sz="4" w:space="0" w:color="auto"/>
              <w:right w:val="single" w:sz="4" w:space="0" w:color="auto"/>
            </w:tcBorders>
            <w:vAlign w:val="center"/>
          </w:tcPr>
          <w:p w14:paraId="4DF0E5F0"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DB1FE48" w14:textId="77777777" w:rsidR="00E57DAA" w:rsidRDefault="00AC4185">
            <w:pPr>
              <w:autoSpaceDE w:val="0"/>
              <w:autoSpaceDN w:val="0"/>
              <w:adjustRightInd w:val="0"/>
              <w:rPr>
                <w:szCs w:val="21"/>
              </w:rPr>
            </w:pPr>
            <w:r>
              <w:t>天津灯塔涂料工业发展有限公司</w:t>
            </w:r>
          </w:p>
        </w:tc>
        <w:tc>
          <w:tcPr>
            <w:tcW w:w="1059" w:type="pct"/>
            <w:tcBorders>
              <w:top w:val="single" w:sz="4" w:space="0" w:color="auto"/>
              <w:left w:val="single" w:sz="4" w:space="0" w:color="auto"/>
              <w:bottom w:val="single" w:sz="4" w:space="0" w:color="auto"/>
              <w:right w:val="single" w:sz="4" w:space="0" w:color="auto"/>
            </w:tcBorders>
          </w:tcPr>
          <w:p w14:paraId="2074DEAF" w14:textId="77777777" w:rsidR="00E57DAA" w:rsidRDefault="00AC4185">
            <w:pPr>
              <w:autoSpaceDE w:val="0"/>
              <w:autoSpaceDN w:val="0"/>
              <w:adjustRightInd w:val="0"/>
              <w:jc w:val="right"/>
              <w:rPr>
                <w:szCs w:val="21"/>
              </w:rPr>
            </w:pPr>
            <w:r>
              <w:t>175,425.90</w:t>
            </w:r>
          </w:p>
        </w:tc>
        <w:tc>
          <w:tcPr>
            <w:tcW w:w="1407" w:type="pct"/>
            <w:tcBorders>
              <w:top w:val="single" w:sz="4" w:space="0" w:color="auto"/>
              <w:left w:val="single" w:sz="4" w:space="0" w:color="auto"/>
              <w:bottom w:val="single" w:sz="4" w:space="0" w:color="auto"/>
              <w:right w:val="single" w:sz="4" w:space="0" w:color="auto"/>
            </w:tcBorders>
          </w:tcPr>
          <w:p w14:paraId="3E8FA0D6" w14:textId="77777777" w:rsidR="00E57DAA" w:rsidRDefault="00AC4185">
            <w:pPr>
              <w:autoSpaceDE w:val="0"/>
              <w:autoSpaceDN w:val="0"/>
              <w:adjustRightInd w:val="0"/>
              <w:jc w:val="right"/>
              <w:rPr>
                <w:szCs w:val="21"/>
              </w:rPr>
            </w:pPr>
            <w:r>
              <w:t xml:space="preserve">　</w:t>
            </w:r>
          </w:p>
        </w:tc>
      </w:tr>
      <w:tr w:rsidR="00E57DAA" w14:paraId="27FE10F0" w14:textId="77777777">
        <w:tc>
          <w:tcPr>
            <w:tcW w:w="640" w:type="pct"/>
            <w:tcBorders>
              <w:top w:val="single" w:sz="4" w:space="0" w:color="auto"/>
              <w:left w:val="single" w:sz="4" w:space="0" w:color="auto"/>
              <w:bottom w:val="single" w:sz="4" w:space="0" w:color="auto"/>
              <w:right w:val="single" w:sz="4" w:space="0" w:color="auto"/>
            </w:tcBorders>
            <w:vAlign w:val="center"/>
          </w:tcPr>
          <w:p w14:paraId="2E6EB6F7"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686DE829" w14:textId="77777777" w:rsidR="00E57DAA" w:rsidRDefault="00AC4185">
            <w:pPr>
              <w:autoSpaceDE w:val="0"/>
              <w:autoSpaceDN w:val="0"/>
              <w:adjustRightInd w:val="0"/>
              <w:rPr>
                <w:szCs w:val="21"/>
              </w:rPr>
            </w:pPr>
            <w:r>
              <w:t>苏州中材非金属矿工业设计研究院有限公司</w:t>
            </w:r>
          </w:p>
        </w:tc>
        <w:tc>
          <w:tcPr>
            <w:tcW w:w="1059" w:type="pct"/>
            <w:tcBorders>
              <w:top w:val="single" w:sz="4" w:space="0" w:color="auto"/>
              <w:left w:val="single" w:sz="4" w:space="0" w:color="auto"/>
              <w:bottom w:val="single" w:sz="4" w:space="0" w:color="auto"/>
              <w:right w:val="single" w:sz="4" w:space="0" w:color="auto"/>
            </w:tcBorders>
          </w:tcPr>
          <w:p w14:paraId="5B706334"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019ABAD4" w14:textId="77777777" w:rsidR="00E57DAA" w:rsidRDefault="00AC4185">
            <w:pPr>
              <w:autoSpaceDE w:val="0"/>
              <w:autoSpaceDN w:val="0"/>
              <w:adjustRightInd w:val="0"/>
              <w:jc w:val="right"/>
              <w:rPr>
                <w:szCs w:val="21"/>
              </w:rPr>
            </w:pPr>
            <w:r>
              <w:t xml:space="preserve">　</w:t>
            </w:r>
          </w:p>
        </w:tc>
      </w:tr>
      <w:tr w:rsidR="00E57DAA" w14:paraId="56A3F9AD" w14:textId="77777777">
        <w:tc>
          <w:tcPr>
            <w:tcW w:w="640" w:type="pct"/>
            <w:tcBorders>
              <w:top w:val="single" w:sz="4" w:space="0" w:color="auto"/>
              <w:left w:val="single" w:sz="4" w:space="0" w:color="auto"/>
              <w:bottom w:val="single" w:sz="4" w:space="0" w:color="auto"/>
              <w:right w:val="single" w:sz="4" w:space="0" w:color="auto"/>
            </w:tcBorders>
            <w:vAlign w:val="center"/>
          </w:tcPr>
          <w:p w14:paraId="58DC8A53"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FB36DE8" w14:textId="77777777" w:rsidR="00E57DAA" w:rsidRDefault="00AC4185">
            <w:pPr>
              <w:autoSpaceDE w:val="0"/>
              <w:autoSpaceDN w:val="0"/>
              <w:adjustRightInd w:val="0"/>
              <w:rPr>
                <w:szCs w:val="21"/>
              </w:rPr>
            </w:pPr>
            <w:r>
              <w:t>新泰中联泰丰水泥有限公司</w:t>
            </w:r>
          </w:p>
        </w:tc>
        <w:tc>
          <w:tcPr>
            <w:tcW w:w="1059" w:type="pct"/>
            <w:tcBorders>
              <w:top w:val="single" w:sz="4" w:space="0" w:color="auto"/>
              <w:left w:val="single" w:sz="4" w:space="0" w:color="auto"/>
              <w:bottom w:val="single" w:sz="4" w:space="0" w:color="auto"/>
              <w:right w:val="single" w:sz="4" w:space="0" w:color="auto"/>
            </w:tcBorders>
          </w:tcPr>
          <w:p w14:paraId="418C0DAF"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34F5D974" w14:textId="77777777" w:rsidR="00E57DAA" w:rsidRDefault="00AC4185">
            <w:pPr>
              <w:autoSpaceDE w:val="0"/>
              <w:autoSpaceDN w:val="0"/>
              <w:adjustRightInd w:val="0"/>
              <w:jc w:val="right"/>
              <w:rPr>
                <w:szCs w:val="21"/>
              </w:rPr>
            </w:pPr>
            <w:r>
              <w:t xml:space="preserve">　</w:t>
            </w:r>
          </w:p>
        </w:tc>
      </w:tr>
      <w:tr w:rsidR="00E57DAA" w14:paraId="3DA38D68" w14:textId="77777777">
        <w:tc>
          <w:tcPr>
            <w:tcW w:w="640" w:type="pct"/>
            <w:tcBorders>
              <w:top w:val="single" w:sz="4" w:space="0" w:color="auto"/>
              <w:left w:val="single" w:sz="4" w:space="0" w:color="auto"/>
              <w:bottom w:val="single" w:sz="4" w:space="0" w:color="auto"/>
              <w:right w:val="single" w:sz="4" w:space="0" w:color="auto"/>
            </w:tcBorders>
            <w:vAlign w:val="center"/>
          </w:tcPr>
          <w:p w14:paraId="6BAE4713"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7E98CF4" w14:textId="77777777" w:rsidR="00E57DAA" w:rsidRDefault="00AC4185">
            <w:pPr>
              <w:autoSpaceDE w:val="0"/>
              <w:autoSpaceDN w:val="0"/>
              <w:adjustRightInd w:val="0"/>
              <w:rPr>
                <w:szCs w:val="21"/>
              </w:rPr>
            </w:pPr>
            <w:r>
              <w:t>黑河关鸟河水泥有限责任公司</w:t>
            </w:r>
          </w:p>
        </w:tc>
        <w:tc>
          <w:tcPr>
            <w:tcW w:w="1059" w:type="pct"/>
            <w:tcBorders>
              <w:top w:val="single" w:sz="4" w:space="0" w:color="auto"/>
              <w:left w:val="single" w:sz="4" w:space="0" w:color="auto"/>
              <w:bottom w:val="single" w:sz="4" w:space="0" w:color="auto"/>
              <w:right w:val="single" w:sz="4" w:space="0" w:color="auto"/>
            </w:tcBorders>
          </w:tcPr>
          <w:p w14:paraId="75D13997" w14:textId="77777777" w:rsidR="00E57DAA" w:rsidRDefault="00AC4185">
            <w:pPr>
              <w:autoSpaceDE w:val="0"/>
              <w:autoSpaceDN w:val="0"/>
              <w:adjustRightInd w:val="0"/>
              <w:jc w:val="right"/>
              <w:rPr>
                <w:szCs w:val="21"/>
              </w:rPr>
            </w:pPr>
            <w:r>
              <w:t>76,700.00</w:t>
            </w:r>
          </w:p>
        </w:tc>
        <w:tc>
          <w:tcPr>
            <w:tcW w:w="1407" w:type="pct"/>
            <w:tcBorders>
              <w:top w:val="single" w:sz="4" w:space="0" w:color="auto"/>
              <w:left w:val="single" w:sz="4" w:space="0" w:color="auto"/>
              <w:bottom w:val="single" w:sz="4" w:space="0" w:color="auto"/>
              <w:right w:val="single" w:sz="4" w:space="0" w:color="auto"/>
            </w:tcBorders>
          </w:tcPr>
          <w:p w14:paraId="769B4499" w14:textId="77777777" w:rsidR="00E57DAA" w:rsidRDefault="00AC4185">
            <w:pPr>
              <w:autoSpaceDE w:val="0"/>
              <w:autoSpaceDN w:val="0"/>
              <w:adjustRightInd w:val="0"/>
              <w:jc w:val="right"/>
              <w:rPr>
                <w:szCs w:val="21"/>
              </w:rPr>
            </w:pPr>
            <w:r>
              <w:t xml:space="preserve">　</w:t>
            </w:r>
          </w:p>
        </w:tc>
      </w:tr>
      <w:tr w:rsidR="00E57DAA" w14:paraId="32402468" w14:textId="77777777">
        <w:tc>
          <w:tcPr>
            <w:tcW w:w="640" w:type="pct"/>
            <w:tcBorders>
              <w:top w:val="single" w:sz="4" w:space="0" w:color="auto"/>
              <w:left w:val="single" w:sz="4" w:space="0" w:color="auto"/>
              <w:bottom w:val="single" w:sz="4" w:space="0" w:color="auto"/>
              <w:right w:val="single" w:sz="4" w:space="0" w:color="auto"/>
            </w:tcBorders>
            <w:vAlign w:val="center"/>
          </w:tcPr>
          <w:p w14:paraId="467490F1"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00E9564E" w14:textId="77777777" w:rsidR="00E57DAA" w:rsidRDefault="00AC4185">
            <w:pPr>
              <w:autoSpaceDE w:val="0"/>
              <w:autoSpaceDN w:val="0"/>
              <w:adjustRightInd w:val="0"/>
              <w:rPr>
                <w:szCs w:val="21"/>
              </w:rPr>
            </w:pPr>
            <w:r>
              <w:t>溧水天山水泥有限公司</w:t>
            </w:r>
          </w:p>
        </w:tc>
        <w:tc>
          <w:tcPr>
            <w:tcW w:w="1059" w:type="pct"/>
            <w:tcBorders>
              <w:top w:val="single" w:sz="4" w:space="0" w:color="auto"/>
              <w:left w:val="single" w:sz="4" w:space="0" w:color="auto"/>
              <w:bottom w:val="single" w:sz="4" w:space="0" w:color="auto"/>
              <w:right w:val="single" w:sz="4" w:space="0" w:color="auto"/>
            </w:tcBorders>
          </w:tcPr>
          <w:p w14:paraId="12A09F44" w14:textId="77777777" w:rsidR="00E57DAA" w:rsidRDefault="00AC4185">
            <w:pPr>
              <w:autoSpaceDE w:val="0"/>
              <w:autoSpaceDN w:val="0"/>
              <w:adjustRightInd w:val="0"/>
              <w:jc w:val="right"/>
              <w:rPr>
                <w:szCs w:val="21"/>
              </w:rPr>
            </w:pPr>
            <w:r>
              <w:t>64,000.00</w:t>
            </w:r>
          </w:p>
        </w:tc>
        <w:tc>
          <w:tcPr>
            <w:tcW w:w="1407" w:type="pct"/>
            <w:tcBorders>
              <w:top w:val="single" w:sz="4" w:space="0" w:color="auto"/>
              <w:left w:val="single" w:sz="4" w:space="0" w:color="auto"/>
              <w:bottom w:val="single" w:sz="4" w:space="0" w:color="auto"/>
              <w:right w:val="single" w:sz="4" w:space="0" w:color="auto"/>
            </w:tcBorders>
          </w:tcPr>
          <w:p w14:paraId="370ABEA2" w14:textId="77777777" w:rsidR="00E57DAA" w:rsidRDefault="00AC4185">
            <w:pPr>
              <w:autoSpaceDE w:val="0"/>
              <w:autoSpaceDN w:val="0"/>
              <w:adjustRightInd w:val="0"/>
              <w:jc w:val="right"/>
              <w:rPr>
                <w:szCs w:val="21"/>
              </w:rPr>
            </w:pPr>
            <w:r>
              <w:t>64,000.00</w:t>
            </w:r>
          </w:p>
        </w:tc>
      </w:tr>
      <w:tr w:rsidR="00E57DAA" w14:paraId="1F9935E9" w14:textId="77777777">
        <w:tc>
          <w:tcPr>
            <w:tcW w:w="640" w:type="pct"/>
            <w:tcBorders>
              <w:top w:val="single" w:sz="4" w:space="0" w:color="auto"/>
              <w:left w:val="single" w:sz="4" w:space="0" w:color="auto"/>
              <w:bottom w:val="single" w:sz="4" w:space="0" w:color="auto"/>
              <w:right w:val="single" w:sz="4" w:space="0" w:color="auto"/>
            </w:tcBorders>
            <w:vAlign w:val="center"/>
          </w:tcPr>
          <w:p w14:paraId="61C179F4"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6706D1E" w14:textId="77777777" w:rsidR="00E57DAA" w:rsidRDefault="00AC4185">
            <w:pPr>
              <w:autoSpaceDE w:val="0"/>
              <w:autoSpaceDN w:val="0"/>
              <w:adjustRightInd w:val="0"/>
              <w:rPr>
                <w:szCs w:val="21"/>
              </w:rPr>
            </w:pPr>
            <w:r>
              <w:t>中材科技（成都）有限公司</w:t>
            </w:r>
          </w:p>
        </w:tc>
        <w:tc>
          <w:tcPr>
            <w:tcW w:w="1059" w:type="pct"/>
            <w:tcBorders>
              <w:top w:val="single" w:sz="4" w:space="0" w:color="auto"/>
              <w:left w:val="single" w:sz="4" w:space="0" w:color="auto"/>
              <w:bottom w:val="single" w:sz="4" w:space="0" w:color="auto"/>
              <w:right w:val="single" w:sz="4" w:space="0" w:color="auto"/>
            </w:tcBorders>
          </w:tcPr>
          <w:p w14:paraId="3216EBD2" w14:textId="77777777" w:rsidR="00E57DAA" w:rsidRDefault="00AC4185">
            <w:pPr>
              <w:autoSpaceDE w:val="0"/>
              <w:autoSpaceDN w:val="0"/>
              <w:adjustRightInd w:val="0"/>
              <w:jc w:val="right"/>
              <w:rPr>
                <w:szCs w:val="21"/>
              </w:rPr>
            </w:pPr>
            <w:r>
              <w:t>56,620.84</w:t>
            </w:r>
          </w:p>
        </w:tc>
        <w:tc>
          <w:tcPr>
            <w:tcW w:w="1407" w:type="pct"/>
            <w:tcBorders>
              <w:top w:val="single" w:sz="4" w:space="0" w:color="auto"/>
              <w:left w:val="single" w:sz="4" w:space="0" w:color="auto"/>
              <w:bottom w:val="single" w:sz="4" w:space="0" w:color="auto"/>
              <w:right w:val="single" w:sz="4" w:space="0" w:color="auto"/>
            </w:tcBorders>
          </w:tcPr>
          <w:p w14:paraId="34619B8D" w14:textId="77777777" w:rsidR="00E57DAA" w:rsidRDefault="00AC4185">
            <w:pPr>
              <w:autoSpaceDE w:val="0"/>
              <w:autoSpaceDN w:val="0"/>
              <w:adjustRightInd w:val="0"/>
              <w:jc w:val="right"/>
              <w:rPr>
                <w:szCs w:val="21"/>
              </w:rPr>
            </w:pPr>
            <w:r>
              <w:t>655,500.15</w:t>
            </w:r>
          </w:p>
        </w:tc>
      </w:tr>
      <w:tr w:rsidR="00E57DAA" w14:paraId="04150EFB" w14:textId="77777777">
        <w:tc>
          <w:tcPr>
            <w:tcW w:w="640" w:type="pct"/>
            <w:tcBorders>
              <w:top w:val="single" w:sz="4" w:space="0" w:color="auto"/>
              <w:left w:val="single" w:sz="4" w:space="0" w:color="auto"/>
              <w:bottom w:val="single" w:sz="4" w:space="0" w:color="auto"/>
              <w:right w:val="single" w:sz="4" w:space="0" w:color="auto"/>
            </w:tcBorders>
            <w:vAlign w:val="center"/>
          </w:tcPr>
          <w:p w14:paraId="53B5DC46"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02D03EDA" w14:textId="77777777" w:rsidR="00E57DAA" w:rsidRDefault="00AC4185">
            <w:pPr>
              <w:autoSpaceDE w:val="0"/>
              <w:autoSpaceDN w:val="0"/>
              <w:adjustRightInd w:val="0"/>
              <w:rPr>
                <w:szCs w:val="21"/>
              </w:rPr>
            </w:pPr>
            <w:r>
              <w:t>成县祁连山水泥有限公司</w:t>
            </w:r>
          </w:p>
        </w:tc>
        <w:tc>
          <w:tcPr>
            <w:tcW w:w="1059" w:type="pct"/>
            <w:tcBorders>
              <w:top w:val="single" w:sz="4" w:space="0" w:color="auto"/>
              <w:left w:val="single" w:sz="4" w:space="0" w:color="auto"/>
              <w:bottom w:val="single" w:sz="4" w:space="0" w:color="auto"/>
              <w:right w:val="single" w:sz="4" w:space="0" w:color="auto"/>
            </w:tcBorders>
          </w:tcPr>
          <w:p w14:paraId="0A07E75F" w14:textId="77777777" w:rsidR="00E57DAA" w:rsidRDefault="00AC4185">
            <w:pPr>
              <w:autoSpaceDE w:val="0"/>
              <w:autoSpaceDN w:val="0"/>
              <w:adjustRightInd w:val="0"/>
              <w:jc w:val="right"/>
              <w:rPr>
                <w:szCs w:val="21"/>
              </w:rPr>
            </w:pPr>
            <w:r>
              <w:t>50,000.00</w:t>
            </w:r>
          </w:p>
        </w:tc>
        <w:tc>
          <w:tcPr>
            <w:tcW w:w="1407" w:type="pct"/>
            <w:tcBorders>
              <w:top w:val="single" w:sz="4" w:space="0" w:color="auto"/>
              <w:left w:val="single" w:sz="4" w:space="0" w:color="auto"/>
              <w:bottom w:val="single" w:sz="4" w:space="0" w:color="auto"/>
              <w:right w:val="single" w:sz="4" w:space="0" w:color="auto"/>
            </w:tcBorders>
          </w:tcPr>
          <w:p w14:paraId="6C43E780" w14:textId="77777777" w:rsidR="00E57DAA" w:rsidRDefault="00AC4185">
            <w:pPr>
              <w:autoSpaceDE w:val="0"/>
              <w:autoSpaceDN w:val="0"/>
              <w:adjustRightInd w:val="0"/>
              <w:jc w:val="right"/>
              <w:rPr>
                <w:szCs w:val="21"/>
              </w:rPr>
            </w:pPr>
            <w:r>
              <w:t>50,000.00</w:t>
            </w:r>
          </w:p>
        </w:tc>
      </w:tr>
      <w:tr w:rsidR="00E57DAA" w14:paraId="20B626A3" w14:textId="77777777">
        <w:tc>
          <w:tcPr>
            <w:tcW w:w="640" w:type="pct"/>
            <w:tcBorders>
              <w:top w:val="single" w:sz="4" w:space="0" w:color="auto"/>
              <w:left w:val="single" w:sz="4" w:space="0" w:color="auto"/>
              <w:bottom w:val="single" w:sz="4" w:space="0" w:color="auto"/>
              <w:right w:val="single" w:sz="4" w:space="0" w:color="auto"/>
            </w:tcBorders>
            <w:vAlign w:val="center"/>
          </w:tcPr>
          <w:p w14:paraId="36EC76B2"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8925764" w14:textId="77777777" w:rsidR="00E57DAA" w:rsidRDefault="00AC4185">
            <w:pPr>
              <w:autoSpaceDE w:val="0"/>
              <w:autoSpaceDN w:val="0"/>
              <w:adjustRightInd w:val="0"/>
              <w:rPr>
                <w:szCs w:val="21"/>
              </w:rPr>
            </w:pPr>
            <w:r>
              <w:t>苏州混凝土水泥制品研究院有限公司</w:t>
            </w:r>
          </w:p>
        </w:tc>
        <w:tc>
          <w:tcPr>
            <w:tcW w:w="1059" w:type="pct"/>
            <w:tcBorders>
              <w:top w:val="single" w:sz="4" w:space="0" w:color="auto"/>
              <w:left w:val="single" w:sz="4" w:space="0" w:color="auto"/>
              <w:bottom w:val="single" w:sz="4" w:space="0" w:color="auto"/>
              <w:right w:val="single" w:sz="4" w:space="0" w:color="auto"/>
            </w:tcBorders>
          </w:tcPr>
          <w:p w14:paraId="112F712C" w14:textId="77777777" w:rsidR="00E57DAA" w:rsidRDefault="00AC4185">
            <w:pPr>
              <w:autoSpaceDE w:val="0"/>
              <w:autoSpaceDN w:val="0"/>
              <w:adjustRightInd w:val="0"/>
              <w:jc w:val="right"/>
              <w:rPr>
                <w:szCs w:val="21"/>
              </w:rPr>
            </w:pPr>
            <w:r>
              <w:t>40,598.30</w:t>
            </w:r>
          </w:p>
        </w:tc>
        <w:tc>
          <w:tcPr>
            <w:tcW w:w="1407" w:type="pct"/>
            <w:tcBorders>
              <w:top w:val="single" w:sz="4" w:space="0" w:color="auto"/>
              <w:left w:val="single" w:sz="4" w:space="0" w:color="auto"/>
              <w:bottom w:val="single" w:sz="4" w:space="0" w:color="auto"/>
              <w:right w:val="single" w:sz="4" w:space="0" w:color="auto"/>
            </w:tcBorders>
          </w:tcPr>
          <w:p w14:paraId="6415504B" w14:textId="77777777" w:rsidR="00E57DAA" w:rsidRDefault="00AC4185">
            <w:pPr>
              <w:autoSpaceDE w:val="0"/>
              <w:autoSpaceDN w:val="0"/>
              <w:adjustRightInd w:val="0"/>
              <w:jc w:val="right"/>
              <w:rPr>
                <w:szCs w:val="21"/>
              </w:rPr>
            </w:pPr>
            <w:r>
              <w:t>40,598.30</w:t>
            </w:r>
          </w:p>
        </w:tc>
      </w:tr>
      <w:tr w:rsidR="00E57DAA" w14:paraId="5F40C68C" w14:textId="77777777">
        <w:tc>
          <w:tcPr>
            <w:tcW w:w="640" w:type="pct"/>
            <w:tcBorders>
              <w:top w:val="single" w:sz="4" w:space="0" w:color="auto"/>
              <w:left w:val="single" w:sz="4" w:space="0" w:color="auto"/>
              <w:bottom w:val="single" w:sz="4" w:space="0" w:color="auto"/>
              <w:right w:val="single" w:sz="4" w:space="0" w:color="auto"/>
            </w:tcBorders>
            <w:vAlign w:val="center"/>
          </w:tcPr>
          <w:p w14:paraId="06F50972"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0177FFCF" w14:textId="77777777" w:rsidR="00E57DAA" w:rsidRDefault="00AC4185">
            <w:pPr>
              <w:autoSpaceDE w:val="0"/>
              <w:autoSpaceDN w:val="0"/>
              <w:adjustRightInd w:val="0"/>
              <w:rPr>
                <w:szCs w:val="21"/>
              </w:rPr>
            </w:pPr>
            <w:r>
              <w:t>南京玻璃纤维研究设计院有限公司</w:t>
            </w:r>
          </w:p>
        </w:tc>
        <w:tc>
          <w:tcPr>
            <w:tcW w:w="1059" w:type="pct"/>
            <w:tcBorders>
              <w:top w:val="single" w:sz="4" w:space="0" w:color="auto"/>
              <w:left w:val="single" w:sz="4" w:space="0" w:color="auto"/>
              <w:bottom w:val="single" w:sz="4" w:space="0" w:color="auto"/>
              <w:right w:val="single" w:sz="4" w:space="0" w:color="auto"/>
            </w:tcBorders>
          </w:tcPr>
          <w:p w14:paraId="739D4DCF" w14:textId="77777777" w:rsidR="00E57DAA" w:rsidRDefault="00AC4185">
            <w:pPr>
              <w:autoSpaceDE w:val="0"/>
              <w:autoSpaceDN w:val="0"/>
              <w:adjustRightInd w:val="0"/>
              <w:jc w:val="right"/>
              <w:rPr>
                <w:szCs w:val="21"/>
              </w:rPr>
            </w:pPr>
            <w:r>
              <w:t>40,000.00</w:t>
            </w:r>
          </w:p>
        </w:tc>
        <w:tc>
          <w:tcPr>
            <w:tcW w:w="1407" w:type="pct"/>
            <w:tcBorders>
              <w:top w:val="single" w:sz="4" w:space="0" w:color="auto"/>
              <w:left w:val="single" w:sz="4" w:space="0" w:color="auto"/>
              <w:bottom w:val="single" w:sz="4" w:space="0" w:color="auto"/>
              <w:right w:val="single" w:sz="4" w:space="0" w:color="auto"/>
            </w:tcBorders>
          </w:tcPr>
          <w:p w14:paraId="74BF0571" w14:textId="77777777" w:rsidR="00E57DAA" w:rsidRDefault="00AC4185">
            <w:pPr>
              <w:autoSpaceDE w:val="0"/>
              <w:autoSpaceDN w:val="0"/>
              <w:adjustRightInd w:val="0"/>
              <w:jc w:val="right"/>
              <w:rPr>
                <w:szCs w:val="21"/>
              </w:rPr>
            </w:pPr>
            <w:r>
              <w:t xml:space="preserve">　</w:t>
            </w:r>
          </w:p>
        </w:tc>
      </w:tr>
      <w:tr w:rsidR="00E57DAA" w14:paraId="0EDA78B2" w14:textId="77777777">
        <w:tc>
          <w:tcPr>
            <w:tcW w:w="640" w:type="pct"/>
            <w:tcBorders>
              <w:top w:val="single" w:sz="4" w:space="0" w:color="auto"/>
              <w:left w:val="single" w:sz="4" w:space="0" w:color="auto"/>
              <w:bottom w:val="single" w:sz="4" w:space="0" w:color="auto"/>
              <w:right w:val="single" w:sz="4" w:space="0" w:color="auto"/>
            </w:tcBorders>
            <w:vAlign w:val="center"/>
          </w:tcPr>
          <w:p w14:paraId="530DC47F"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2381B98" w14:textId="77777777" w:rsidR="00E57DAA" w:rsidRDefault="00AC4185">
            <w:pPr>
              <w:autoSpaceDE w:val="0"/>
              <w:autoSpaceDN w:val="0"/>
              <w:adjustRightInd w:val="0"/>
              <w:rPr>
                <w:szCs w:val="21"/>
              </w:rPr>
            </w:pPr>
            <w:r>
              <w:t>徐州润基建材有限公司</w:t>
            </w:r>
          </w:p>
        </w:tc>
        <w:tc>
          <w:tcPr>
            <w:tcW w:w="1059" w:type="pct"/>
            <w:tcBorders>
              <w:top w:val="single" w:sz="4" w:space="0" w:color="auto"/>
              <w:left w:val="single" w:sz="4" w:space="0" w:color="auto"/>
              <w:bottom w:val="single" w:sz="4" w:space="0" w:color="auto"/>
              <w:right w:val="single" w:sz="4" w:space="0" w:color="auto"/>
            </w:tcBorders>
          </w:tcPr>
          <w:p w14:paraId="4D877FCB" w14:textId="77777777" w:rsidR="00E57DAA" w:rsidRDefault="00AC4185">
            <w:pPr>
              <w:autoSpaceDE w:val="0"/>
              <w:autoSpaceDN w:val="0"/>
              <w:adjustRightInd w:val="0"/>
              <w:jc w:val="right"/>
              <w:rPr>
                <w:szCs w:val="21"/>
              </w:rPr>
            </w:pPr>
            <w:r>
              <w:t>20,000.00</w:t>
            </w:r>
          </w:p>
        </w:tc>
        <w:tc>
          <w:tcPr>
            <w:tcW w:w="1407" w:type="pct"/>
            <w:tcBorders>
              <w:top w:val="single" w:sz="4" w:space="0" w:color="auto"/>
              <w:left w:val="single" w:sz="4" w:space="0" w:color="auto"/>
              <w:bottom w:val="single" w:sz="4" w:space="0" w:color="auto"/>
              <w:right w:val="single" w:sz="4" w:space="0" w:color="auto"/>
            </w:tcBorders>
          </w:tcPr>
          <w:p w14:paraId="623E65F6" w14:textId="77777777" w:rsidR="00E57DAA" w:rsidRDefault="00AC4185">
            <w:pPr>
              <w:autoSpaceDE w:val="0"/>
              <w:autoSpaceDN w:val="0"/>
              <w:adjustRightInd w:val="0"/>
              <w:jc w:val="right"/>
              <w:rPr>
                <w:szCs w:val="21"/>
              </w:rPr>
            </w:pPr>
            <w:r>
              <w:t xml:space="preserve">　</w:t>
            </w:r>
          </w:p>
        </w:tc>
      </w:tr>
      <w:tr w:rsidR="00E57DAA" w14:paraId="71434360" w14:textId="77777777">
        <w:tc>
          <w:tcPr>
            <w:tcW w:w="640" w:type="pct"/>
            <w:tcBorders>
              <w:top w:val="single" w:sz="4" w:space="0" w:color="auto"/>
              <w:left w:val="single" w:sz="4" w:space="0" w:color="auto"/>
              <w:bottom w:val="single" w:sz="4" w:space="0" w:color="auto"/>
              <w:right w:val="single" w:sz="4" w:space="0" w:color="auto"/>
            </w:tcBorders>
            <w:vAlign w:val="center"/>
          </w:tcPr>
          <w:p w14:paraId="6E54EE79"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4B4D7F6F" w14:textId="77777777" w:rsidR="00E57DAA" w:rsidRDefault="00AC4185">
            <w:pPr>
              <w:autoSpaceDE w:val="0"/>
              <w:autoSpaceDN w:val="0"/>
              <w:adjustRightInd w:val="0"/>
              <w:rPr>
                <w:szCs w:val="21"/>
              </w:rPr>
            </w:pPr>
            <w:r>
              <w:t>合肥南方水泥有限公司</w:t>
            </w:r>
          </w:p>
        </w:tc>
        <w:tc>
          <w:tcPr>
            <w:tcW w:w="1059" w:type="pct"/>
            <w:tcBorders>
              <w:top w:val="single" w:sz="4" w:space="0" w:color="auto"/>
              <w:left w:val="single" w:sz="4" w:space="0" w:color="auto"/>
              <w:bottom w:val="single" w:sz="4" w:space="0" w:color="auto"/>
              <w:right w:val="single" w:sz="4" w:space="0" w:color="auto"/>
            </w:tcBorders>
          </w:tcPr>
          <w:p w14:paraId="771E9951" w14:textId="77777777" w:rsidR="00E57DAA" w:rsidRDefault="00AC4185">
            <w:pPr>
              <w:autoSpaceDE w:val="0"/>
              <w:autoSpaceDN w:val="0"/>
              <w:adjustRightInd w:val="0"/>
              <w:jc w:val="right"/>
              <w:rPr>
                <w:szCs w:val="21"/>
              </w:rPr>
            </w:pPr>
            <w:r>
              <w:t>10,700.00</w:t>
            </w:r>
          </w:p>
        </w:tc>
        <w:tc>
          <w:tcPr>
            <w:tcW w:w="1407" w:type="pct"/>
            <w:tcBorders>
              <w:top w:val="single" w:sz="4" w:space="0" w:color="auto"/>
              <w:left w:val="single" w:sz="4" w:space="0" w:color="auto"/>
              <w:bottom w:val="single" w:sz="4" w:space="0" w:color="auto"/>
              <w:right w:val="single" w:sz="4" w:space="0" w:color="auto"/>
            </w:tcBorders>
          </w:tcPr>
          <w:p w14:paraId="6BECAA04" w14:textId="77777777" w:rsidR="00E57DAA" w:rsidRDefault="00AC4185">
            <w:pPr>
              <w:autoSpaceDE w:val="0"/>
              <w:autoSpaceDN w:val="0"/>
              <w:adjustRightInd w:val="0"/>
              <w:jc w:val="right"/>
              <w:rPr>
                <w:szCs w:val="21"/>
              </w:rPr>
            </w:pPr>
            <w:r>
              <w:t xml:space="preserve">　</w:t>
            </w:r>
          </w:p>
        </w:tc>
      </w:tr>
      <w:tr w:rsidR="00E57DAA" w14:paraId="0CB7A96D" w14:textId="77777777">
        <w:tc>
          <w:tcPr>
            <w:tcW w:w="640" w:type="pct"/>
            <w:tcBorders>
              <w:top w:val="single" w:sz="4" w:space="0" w:color="auto"/>
              <w:left w:val="single" w:sz="4" w:space="0" w:color="auto"/>
              <w:bottom w:val="single" w:sz="4" w:space="0" w:color="auto"/>
              <w:right w:val="single" w:sz="4" w:space="0" w:color="auto"/>
            </w:tcBorders>
            <w:vAlign w:val="center"/>
          </w:tcPr>
          <w:p w14:paraId="3C7CB7AE"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79F6727" w14:textId="77777777" w:rsidR="00E57DAA" w:rsidRDefault="00AC4185">
            <w:pPr>
              <w:autoSpaceDE w:val="0"/>
              <w:autoSpaceDN w:val="0"/>
              <w:adjustRightInd w:val="0"/>
              <w:rPr>
                <w:szCs w:val="21"/>
              </w:rPr>
            </w:pPr>
            <w:r>
              <w:t>中复新水源科技有限公司</w:t>
            </w:r>
          </w:p>
        </w:tc>
        <w:tc>
          <w:tcPr>
            <w:tcW w:w="1059" w:type="pct"/>
            <w:tcBorders>
              <w:top w:val="single" w:sz="4" w:space="0" w:color="auto"/>
              <w:left w:val="single" w:sz="4" w:space="0" w:color="auto"/>
              <w:bottom w:val="single" w:sz="4" w:space="0" w:color="auto"/>
              <w:right w:val="single" w:sz="4" w:space="0" w:color="auto"/>
            </w:tcBorders>
          </w:tcPr>
          <w:p w14:paraId="59450DF2" w14:textId="77777777" w:rsidR="00E57DAA" w:rsidRDefault="00AC4185">
            <w:pPr>
              <w:autoSpaceDE w:val="0"/>
              <w:autoSpaceDN w:val="0"/>
              <w:adjustRightInd w:val="0"/>
              <w:jc w:val="right"/>
              <w:rPr>
                <w:szCs w:val="21"/>
              </w:rPr>
            </w:pPr>
            <w:r>
              <w:t>10,000.00</w:t>
            </w:r>
          </w:p>
        </w:tc>
        <w:tc>
          <w:tcPr>
            <w:tcW w:w="1407" w:type="pct"/>
            <w:tcBorders>
              <w:top w:val="single" w:sz="4" w:space="0" w:color="auto"/>
              <w:left w:val="single" w:sz="4" w:space="0" w:color="auto"/>
              <w:bottom w:val="single" w:sz="4" w:space="0" w:color="auto"/>
              <w:right w:val="single" w:sz="4" w:space="0" w:color="auto"/>
            </w:tcBorders>
          </w:tcPr>
          <w:p w14:paraId="4934E165" w14:textId="77777777" w:rsidR="00E57DAA" w:rsidRDefault="00AC4185">
            <w:pPr>
              <w:autoSpaceDE w:val="0"/>
              <w:autoSpaceDN w:val="0"/>
              <w:adjustRightInd w:val="0"/>
              <w:jc w:val="right"/>
              <w:rPr>
                <w:szCs w:val="21"/>
              </w:rPr>
            </w:pPr>
            <w:r>
              <w:t>10,000.00</w:t>
            </w:r>
          </w:p>
        </w:tc>
      </w:tr>
      <w:tr w:rsidR="00E57DAA" w14:paraId="40D01AAE" w14:textId="77777777">
        <w:tc>
          <w:tcPr>
            <w:tcW w:w="640" w:type="pct"/>
            <w:tcBorders>
              <w:top w:val="single" w:sz="4" w:space="0" w:color="auto"/>
              <w:left w:val="single" w:sz="4" w:space="0" w:color="auto"/>
              <w:bottom w:val="single" w:sz="4" w:space="0" w:color="auto"/>
              <w:right w:val="single" w:sz="4" w:space="0" w:color="auto"/>
            </w:tcBorders>
            <w:vAlign w:val="center"/>
          </w:tcPr>
          <w:p w14:paraId="7CEB63E1"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6D63B229" w14:textId="77777777" w:rsidR="00E57DAA" w:rsidRDefault="00AC4185">
            <w:pPr>
              <w:autoSpaceDE w:val="0"/>
              <w:autoSpaceDN w:val="0"/>
              <w:adjustRightInd w:val="0"/>
              <w:rPr>
                <w:szCs w:val="21"/>
              </w:rPr>
            </w:pPr>
            <w:r>
              <w:t>新疆塔里木水泥有限责任公司</w:t>
            </w:r>
          </w:p>
        </w:tc>
        <w:tc>
          <w:tcPr>
            <w:tcW w:w="1059" w:type="pct"/>
            <w:tcBorders>
              <w:top w:val="single" w:sz="4" w:space="0" w:color="auto"/>
              <w:left w:val="single" w:sz="4" w:space="0" w:color="auto"/>
              <w:bottom w:val="single" w:sz="4" w:space="0" w:color="auto"/>
              <w:right w:val="single" w:sz="4" w:space="0" w:color="auto"/>
            </w:tcBorders>
          </w:tcPr>
          <w:p w14:paraId="24B6BFD0" w14:textId="77777777" w:rsidR="00E57DAA" w:rsidRDefault="00AC4185">
            <w:pPr>
              <w:autoSpaceDE w:val="0"/>
              <w:autoSpaceDN w:val="0"/>
              <w:adjustRightInd w:val="0"/>
              <w:jc w:val="right"/>
              <w:rPr>
                <w:szCs w:val="21"/>
              </w:rPr>
            </w:pPr>
            <w:r>
              <w:t>3,150.00</w:t>
            </w:r>
          </w:p>
        </w:tc>
        <w:tc>
          <w:tcPr>
            <w:tcW w:w="1407" w:type="pct"/>
            <w:tcBorders>
              <w:top w:val="single" w:sz="4" w:space="0" w:color="auto"/>
              <w:left w:val="single" w:sz="4" w:space="0" w:color="auto"/>
              <w:bottom w:val="single" w:sz="4" w:space="0" w:color="auto"/>
              <w:right w:val="single" w:sz="4" w:space="0" w:color="auto"/>
            </w:tcBorders>
          </w:tcPr>
          <w:p w14:paraId="11E95E37" w14:textId="77777777" w:rsidR="00E57DAA" w:rsidRDefault="00AC4185">
            <w:pPr>
              <w:autoSpaceDE w:val="0"/>
              <w:autoSpaceDN w:val="0"/>
              <w:adjustRightInd w:val="0"/>
              <w:jc w:val="right"/>
              <w:rPr>
                <w:szCs w:val="21"/>
              </w:rPr>
            </w:pPr>
            <w:r>
              <w:t xml:space="preserve">　</w:t>
            </w:r>
          </w:p>
        </w:tc>
      </w:tr>
      <w:tr w:rsidR="00E57DAA" w14:paraId="7EEED54B" w14:textId="77777777">
        <w:tc>
          <w:tcPr>
            <w:tcW w:w="640" w:type="pct"/>
            <w:tcBorders>
              <w:top w:val="single" w:sz="4" w:space="0" w:color="auto"/>
              <w:left w:val="single" w:sz="4" w:space="0" w:color="auto"/>
              <w:bottom w:val="single" w:sz="4" w:space="0" w:color="auto"/>
              <w:right w:val="single" w:sz="4" w:space="0" w:color="auto"/>
            </w:tcBorders>
            <w:vAlign w:val="center"/>
          </w:tcPr>
          <w:p w14:paraId="0A9C4F9E"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9A7220A" w14:textId="77777777" w:rsidR="00E57DAA" w:rsidRDefault="00AC4185">
            <w:pPr>
              <w:autoSpaceDE w:val="0"/>
              <w:autoSpaceDN w:val="0"/>
              <w:adjustRightInd w:val="0"/>
              <w:rPr>
                <w:szCs w:val="21"/>
              </w:rPr>
            </w:pPr>
            <w:r>
              <w:t>中材亨达水泥有限公司</w:t>
            </w:r>
          </w:p>
        </w:tc>
        <w:tc>
          <w:tcPr>
            <w:tcW w:w="1059" w:type="pct"/>
            <w:tcBorders>
              <w:top w:val="single" w:sz="4" w:space="0" w:color="auto"/>
              <w:left w:val="single" w:sz="4" w:space="0" w:color="auto"/>
              <w:bottom w:val="single" w:sz="4" w:space="0" w:color="auto"/>
              <w:right w:val="single" w:sz="4" w:space="0" w:color="auto"/>
            </w:tcBorders>
          </w:tcPr>
          <w:p w14:paraId="0BD1919C" w14:textId="77777777" w:rsidR="00E57DAA" w:rsidRDefault="00AC4185">
            <w:pPr>
              <w:autoSpaceDE w:val="0"/>
              <w:autoSpaceDN w:val="0"/>
              <w:adjustRightInd w:val="0"/>
              <w:jc w:val="right"/>
              <w:rPr>
                <w:szCs w:val="21"/>
              </w:rPr>
            </w:pPr>
            <w:r>
              <w:t>2,000.00</w:t>
            </w:r>
          </w:p>
        </w:tc>
        <w:tc>
          <w:tcPr>
            <w:tcW w:w="1407" w:type="pct"/>
            <w:tcBorders>
              <w:top w:val="single" w:sz="4" w:space="0" w:color="auto"/>
              <w:left w:val="single" w:sz="4" w:space="0" w:color="auto"/>
              <w:bottom w:val="single" w:sz="4" w:space="0" w:color="auto"/>
              <w:right w:val="single" w:sz="4" w:space="0" w:color="auto"/>
            </w:tcBorders>
          </w:tcPr>
          <w:p w14:paraId="01CBB517" w14:textId="77777777" w:rsidR="00E57DAA" w:rsidRDefault="00AC4185">
            <w:pPr>
              <w:autoSpaceDE w:val="0"/>
              <w:autoSpaceDN w:val="0"/>
              <w:adjustRightInd w:val="0"/>
              <w:jc w:val="right"/>
              <w:rPr>
                <w:szCs w:val="21"/>
              </w:rPr>
            </w:pPr>
            <w:r>
              <w:t>2,000.00</w:t>
            </w:r>
          </w:p>
        </w:tc>
      </w:tr>
      <w:tr w:rsidR="00E57DAA" w14:paraId="162F2A49" w14:textId="77777777">
        <w:tc>
          <w:tcPr>
            <w:tcW w:w="640" w:type="pct"/>
            <w:tcBorders>
              <w:top w:val="single" w:sz="4" w:space="0" w:color="auto"/>
              <w:left w:val="single" w:sz="4" w:space="0" w:color="auto"/>
              <w:bottom w:val="single" w:sz="4" w:space="0" w:color="auto"/>
              <w:right w:val="single" w:sz="4" w:space="0" w:color="auto"/>
            </w:tcBorders>
            <w:vAlign w:val="center"/>
          </w:tcPr>
          <w:p w14:paraId="2B79A951"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756157C6" w14:textId="77777777" w:rsidR="00E57DAA" w:rsidRDefault="00AC4185">
            <w:pPr>
              <w:autoSpaceDE w:val="0"/>
              <w:autoSpaceDN w:val="0"/>
              <w:adjustRightInd w:val="0"/>
              <w:rPr>
                <w:szCs w:val="21"/>
              </w:rPr>
            </w:pPr>
            <w:r>
              <w:t>河南中联同力材料有限公司</w:t>
            </w:r>
          </w:p>
        </w:tc>
        <w:tc>
          <w:tcPr>
            <w:tcW w:w="1059" w:type="pct"/>
            <w:tcBorders>
              <w:top w:val="single" w:sz="4" w:space="0" w:color="auto"/>
              <w:left w:val="single" w:sz="4" w:space="0" w:color="auto"/>
              <w:bottom w:val="single" w:sz="4" w:space="0" w:color="auto"/>
              <w:right w:val="single" w:sz="4" w:space="0" w:color="auto"/>
            </w:tcBorders>
          </w:tcPr>
          <w:p w14:paraId="32712E7B"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B10FFB9" w14:textId="77777777" w:rsidR="00E57DAA" w:rsidRDefault="00AC4185">
            <w:pPr>
              <w:autoSpaceDE w:val="0"/>
              <w:autoSpaceDN w:val="0"/>
              <w:adjustRightInd w:val="0"/>
              <w:jc w:val="right"/>
              <w:rPr>
                <w:szCs w:val="21"/>
              </w:rPr>
            </w:pPr>
            <w:r>
              <w:t>1,200,000.00</w:t>
            </w:r>
          </w:p>
        </w:tc>
      </w:tr>
      <w:tr w:rsidR="00E57DAA" w14:paraId="7432C5CD" w14:textId="77777777">
        <w:tc>
          <w:tcPr>
            <w:tcW w:w="640" w:type="pct"/>
            <w:tcBorders>
              <w:top w:val="single" w:sz="4" w:space="0" w:color="auto"/>
              <w:left w:val="single" w:sz="4" w:space="0" w:color="auto"/>
              <w:bottom w:val="single" w:sz="4" w:space="0" w:color="auto"/>
              <w:right w:val="single" w:sz="4" w:space="0" w:color="auto"/>
            </w:tcBorders>
            <w:vAlign w:val="center"/>
          </w:tcPr>
          <w:p w14:paraId="2A75F056"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0991E777" w14:textId="77777777" w:rsidR="00E57DAA" w:rsidRDefault="00AC4185">
            <w:pPr>
              <w:autoSpaceDE w:val="0"/>
              <w:autoSpaceDN w:val="0"/>
              <w:adjustRightInd w:val="0"/>
              <w:rPr>
                <w:szCs w:val="21"/>
              </w:rPr>
            </w:pPr>
            <w:r>
              <w:t>建德南方水泥有限公司</w:t>
            </w:r>
          </w:p>
        </w:tc>
        <w:tc>
          <w:tcPr>
            <w:tcW w:w="1059" w:type="pct"/>
            <w:tcBorders>
              <w:top w:val="single" w:sz="4" w:space="0" w:color="auto"/>
              <w:left w:val="single" w:sz="4" w:space="0" w:color="auto"/>
              <w:bottom w:val="single" w:sz="4" w:space="0" w:color="auto"/>
              <w:right w:val="single" w:sz="4" w:space="0" w:color="auto"/>
            </w:tcBorders>
          </w:tcPr>
          <w:p w14:paraId="3D697A0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27A2D91" w14:textId="77777777" w:rsidR="00E57DAA" w:rsidRDefault="00AC4185">
            <w:pPr>
              <w:autoSpaceDE w:val="0"/>
              <w:autoSpaceDN w:val="0"/>
              <w:adjustRightInd w:val="0"/>
              <w:jc w:val="right"/>
              <w:rPr>
                <w:szCs w:val="21"/>
              </w:rPr>
            </w:pPr>
            <w:r>
              <w:t>1,047,611.66</w:t>
            </w:r>
          </w:p>
        </w:tc>
      </w:tr>
      <w:tr w:rsidR="00E57DAA" w14:paraId="66F043CB" w14:textId="77777777">
        <w:tc>
          <w:tcPr>
            <w:tcW w:w="640" w:type="pct"/>
            <w:tcBorders>
              <w:top w:val="single" w:sz="4" w:space="0" w:color="auto"/>
              <w:left w:val="single" w:sz="4" w:space="0" w:color="auto"/>
              <w:bottom w:val="single" w:sz="4" w:space="0" w:color="auto"/>
              <w:right w:val="single" w:sz="4" w:space="0" w:color="auto"/>
            </w:tcBorders>
            <w:vAlign w:val="center"/>
          </w:tcPr>
          <w:p w14:paraId="5ADB372B"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26E04377" w14:textId="77777777" w:rsidR="00E57DAA" w:rsidRDefault="00AC4185">
            <w:pPr>
              <w:autoSpaceDE w:val="0"/>
              <w:autoSpaceDN w:val="0"/>
              <w:adjustRightInd w:val="0"/>
              <w:rPr>
                <w:szCs w:val="21"/>
              </w:rPr>
            </w:pPr>
            <w:r>
              <w:t>喀什天山水泥有限责任公司</w:t>
            </w:r>
          </w:p>
        </w:tc>
        <w:tc>
          <w:tcPr>
            <w:tcW w:w="1059" w:type="pct"/>
            <w:tcBorders>
              <w:top w:val="single" w:sz="4" w:space="0" w:color="auto"/>
              <w:left w:val="single" w:sz="4" w:space="0" w:color="auto"/>
              <w:bottom w:val="single" w:sz="4" w:space="0" w:color="auto"/>
              <w:right w:val="single" w:sz="4" w:space="0" w:color="auto"/>
            </w:tcBorders>
          </w:tcPr>
          <w:p w14:paraId="0488F3B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4FA71E6" w14:textId="77777777" w:rsidR="00E57DAA" w:rsidRDefault="00AC4185">
            <w:pPr>
              <w:autoSpaceDE w:val="0"/>
              <w:autoSpaceDN w:val="0"/>
              <w:adjustRightInd w:val="0"/>
              <w:jc w:val="right"/>
              <w:rPr>
                <w:szCs w:val="21"/>
              </w:rPr>
            </w:pPr>
            <w:r>
              <w:t>200</w:t>
            </w:r>
          </w:p>
        </w:tc>
      </w:tr>
      <w:tr w:rsidR="00E57DAA" w14:paraId="170CBCBA" w14:textId="77777777">
        <w:tc>
          <w:tcPr>
            <w:tcW w:w="640" w:type="pct"/>
            <w:tcBorders>
              <w:top w:val="single" w:sz="4" w:space="0" w:color="auto"/>
              <w:left w:val="single" w:sz="4" w:space="0" w:color="auto"/>
              <w:bottom w:val="single" w:sz="4" w:space="0" w:color="auto"/>
              <w:right w:val="single" w:sz="4" w:space="0" w:color="auto"/>
            </w:tcBorders>
            <w:vAlign w:val="center"/>
          </w:tcPr>
          <w:p w14:paraId="2A65A847"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8F563FE" w14:textId="77777777" w:rsidR="00E57DAA" w:rsidRDefault="00AC4185">
            <w:pPr>
              <w:autoSpaceDE w:val="0"/>
              <w:autoSpaceDN w:val="0"/>
              <w:adjustRightInd w:val="0"/>
              <w:rPr>
                <w:szCs w:val="21"/>
              </w:rPr>
            </w:pPr>
            <w:r>
              <w:t>青州中联水泥有限公司</w:t>
            </w:r>
          </w:p>
        </w:tc>
        <w:tc>
          <w:tcPr>
            <w:tcW w:w="1059" w:type="pct"/>
            <w:tcBorders>
              <w:top w:val="single" w:sz="4" w:space="0" w:color="auto"/>
              <w:left w:val="single" w:sz="4" w:space="0" w:color="auto"/>
              <w:bottom w:val="single" w:sz="4" w:space="0" w:color="auto"/>
              <w:right w:val="single" w:sz="4" w:space="0" w:color="auto"/>
            </w:tcBorders>
          </w:tcPr>
          <w:p w14:paraId="1909C398"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26A15A2A" w14:textId="77777777" w:rsidR="00E57DAA" w:rsidRDefault="00AC4185">
            <w:pPr>
              <w:autoSpaceDE w:val="0"/>
              <w:autoSpaceDN w:val="0"/>
              <w:adjustRightInd w:val="0"/>
              <w:jc w:val="right"/>
              <w:rPr>
                <w:szCs w:val="21"/>
              </w:rPr>
            </w:pPr>
            <w:r>
              <w:t>53,921,000.00</w:t>
            </w:r>
          </w:p>
        </w:tc>
      </w:tr>
      <w:tr w:rsidR="00E57DAA" w14:paraId="21977416" w14:textId="77777777">
        <w:tc>
          <w:tcPr>
            <w:tcW w:w="640" w:type="pct"/>
            <w:tcBorders>
              <w:top w:val="single" w:sz="4" w:space="0" w:color="auto"/>
              <w:left w:val="single" w:sz="4" w:space="0" w:color="auto"/>
              <w:bottom w:val="single" w:sz="4" w:space="0" w:color="auto"/>
              <w:right w:val="single" w:sz="4" w:space="0" w:color="auto"/>
            </w:tcBorders>
            <w:vAlign w:val="center"/>
          </w:tcPr>
          <w:p w14:paraId="5EB0D946"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418C4AFD" w14:textId="77777777" w:rsidR="00E57DAA" w:rsidRDefault="00AC4185">
            <w:pPr>
              <w:autoSpaceDE w:val="0"/>
              <w:autoSpaceDN w:val="0"/>
              <w:adjustRightInd w:val="0"/>
              <w:rPr>
                <w:szCs w:val="21"/>
              </w:rPr>
            </w:pPr>
            <w:r>
              <w:t>云南西南水泥有限公司</w:t>
            </w:r>
          </w:p>
        </w:tc>
        <w:tc>
          <w:tcPr>
            <w:tcW w:w="1059" w:type="pct"/>
            <w:tcBorders>
              <w:top w:val="single" w:sz="4" w:space="0" w:color="auto"/>
              <w:left w:val="single" w:sz="4" w:space="0" w:color="auto"/>
              <w:bottom w:val="single" w:sz="4" w:space="0" w:color="auto"/>
              <w:right w:val="single" w:sz="4" w:space="0" w:color="auto"/>
            </w:tcBorders>
          </w:tcPr>
          <w:p w14:paraId="3E25AFB7"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6D2D739" w14:textId="77777777" w:rsidR="00E57DAA" w:rsidRDefault="00AC4185">
            <w:pPr>
              <w:autoSpaceDE w:val="0"/>
              <w:autoSpaceDN w:val="0"/>
              <w:adjustRightInd w:val="0"/>
              <w:jc w:val="right"/>
              <w:rPr>
                <w:szCs w:val="21"/>
              </w:rPr>
            </w:pPr>
            <w:r>
              <w:t>200,000.00</w:t>
            </w:r>
          </w:p>
        </w:tc>
      </w:tr>
      <w:tr w:rsidR="00E57DAA" w14:paraId="3051DCEE" w14:textId="77777777">
        <w:tc>
          <w:tcPr>
            <w:tcW w:w="640" w:type="pct"/>
            <w:tcBorders>
              <w:top w:val="single" w:sz="4" w:space="0" w:color="auto"/>
              <w:left w:val="single" w:sz="4" w:space="0" w:color="auto"/>
              <w:bottom w:val="single" w:sz="4" w:space="0" w:color="auto"/>
              <w:right w:val="single" w:sz="4" w:space="0" w:color="auto"/>
            </w:tcBorders>
            <w:vAlign w:val="center"/>
          </w:tcPr>
          <w:p w14:paraId="4A4D2351"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0C50C487" w14:textId="77777777" w:rsidR="00E57DAA" w:rsidRDefault="00AC4185">
            <w:pPr>
              <w:autoSpaceDE w:val="0"/>
              <w:autoSpaceDN w:val="0"/>
              <w:adjustRightInd w:val="0"/>
              <w:rPr>
                <w:szCs w:val="21"/>
              </w:rPr>
            </w:pPr>
            <w:r>
              <w:t>受最终控制方控制的其他企业</w:t>
            </w:r>
          </w:p>
        </w:tc>
        <w:tc>
          <w:tcPr>
            <w:tcW w:w="1059" w:type="pct"/>
            <w:tcBorders>
              <w:top w:val="single" w:sz="4" w:space="0" w:color="auto"/>
              <w:left w:val="single" w:sz="4" w:space="0" w:color="auto"/>
              <w:bottom w:val="single" w:sz="4" w:space="0" w:color="auto"/>
              <w:right w:val="single" w:sz="4" w:space="0" w:color="auto"/>
            </w:tcBorders>
          </w:tcPr>
          <w:p w14:paraId="11902A50"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62B40C89" w14:textId="77777777" w:rsidR="00E57DAA" w:rsidRDefault="00AC4185">
            <w:pPr>
              <w:autoSpaceDE w:val="0"/>
              <w:autoSpaceDN w:val="0"/>
              <w:adjustRightInd w:val="0"/>
              <w:jc w:val="right"/>
              <w:rPr>
                <w:szCs w:val="21"/>
              </w:rPr>
            </w:pPr>
            <w:r>
              <w:t xml:space="preserve">　</w:t>
            </w:r>
          </w:p>
        </w:tc>
      </w:tr>
      <w:tr w:rsidR="00E57DAA" w14:paraId="53484D51" w14:textId="77777777">
        <w:tc>
          <w:tcPr>
            <w:tcW w:w="640" w:type="pct"/>
            <w:tcBorders>
              <w:top w:val="single" w:sz="4" w:space="0" w:color="auto"/>
              <w:left w:val="single" w:sz="4" w:space="0" w:color="auto"/>
              <w:bottom w:val="single" w:sz="4" w:space="0" w:color="auto"/>
              <w:right w:val="single" w:sz="4" w:space="0" w:color="auto"/>
            </w:tcBorders>
            <w:vAlign w:val="center"/>
          </w:tcPr>
          <w:p w14:paraId="4F956549"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15B7EA8" w14:textId="77777777" w:rsidR="00E57DAA" w:rsidRDefault="00AC4185">
            <w:pPr>
              <w:autoSpaceDE w:val="0"/>
              <w:autoSpaceDN w:val="0"/>
              <w:adjustRightInd w:val="0"/>
              <w:rPr>
                <w:szCs w:val="21"/>
              </w:rPr>
            </w:pPr>
            <w:r>
              <w:t>中国中材集团有限公司</w:t>
            </w:r>
          </w:p>
        </w:tc>
        <w:tc>
          <w:tcPr>
            <w:tcW w:w="1059" w:type="pct"/>
            <w:tcBorders>
              <w:top w:val="single" w:sz="4" w:space="0" w:color="auto"/>
              <w:left w:val="single" w:sz="4" w:space="0" w:color="auto"/>
              <w:bottom w:val="single" w:sz="4" w:space="0" w:color="auto"/>
              <w:right w:val="single" w:sz="4" w:space="0" w:color="auto"/>
            </w:tcBorders>
          </w:tcPr>
          <w:p w14:paraId="1E16C468" w14:textId="77777777" w:rsidR="00E57DAA" w:rsidRDefault="00AC4185">
            <w:pPr>
              <w:autoSpaceDE w:val="0"/>
              <w:autoSpaceDN w:val="0"/>
              <w:adjustRightInd w:val="0"/>
              <w:jc w:val="right"/>
              <w:rPr>
                <w:szCs w:val="21"/>
              </w:rPr>
            </w:pPr>
            <w:r>
              <w:t>406,667,000.00</w:t>
            </w:r>
          </w:p>
        </w:tc>
        <w:tc>
          <w:tcPr>
            <w:tcW w:w="1407" w:type="pct"/>
            <w:tcBorders>
              <w:top w:val="single" w:sz="4" w:space="0" w:color="auto"/>
              <w:left w:val="single" w:sz="4" w:space="0" w:color="auto"/>
              <w:bottom w:val="single" w:sz="4" w:space="0" w:color="auto"/>
              <w:right w:val="single" w:sz="4" w:space="0" w:color="auto"/>
            </w:tcBorders>
          </w:tcPr>
          <w:p w14:paraId="6A79874C" w14:textId="77777777" w:rsidR="00E57DAA" w:rsidRDefault="00AC4185">
            <w:pPr>
              <w:autoSpaceDE w:val="0"/>
              <w:autoSpaceDN w:val="0"/>
              <w:adjustRightInd w:val="0"/>
              <w:jc w:val="right"/>
              <w:rPr>
                <w:szCs w:val="21"/>
              </w:rPr>
            </w:pPr>
            <w:r>
              <w:t>406,660,000.00</w:t>
            </w:r>
          </w:p>
        </w:tc>
      </w:tr>
      <w:tr w:rsidR="00E57DAA" w14:paraId="5F9C7863" w14:textId="77777777">
        <w:tc>
          <w:tcPr>
            <w:tcW w:w="640" w:type="pct"/>
            <w:tcBorders>
              <w:top w:val="single" w:sz="4" w:space="0" w:color="auto"/>
              <w:left w:val="single" w:sz="4" w:space="0" w:color="auto"/>
              <w:bottom w:val="single" w:sz="4" w:space="0" w:color="auto"/>
              <w:right w:val="single" w:sz="4" w:space="0" w:color="auto"/>
            </w:tcBorders>
            <w:vAlign w:val="center"/>
          </w:tcPr>
          <w:p w14:paraId="17CB0D0C"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63C0390F" w14:textId="77777777" w:rsidR="00E57DAA" w:rsidRDefault="00AC4185">
            <w:pPr>
              <w:autoSpaceDE w:val="0"/>
              <w:autoSpaceDN w:val="0"/>
              <w:adjustRightInd w:val="0"/>
              <w:rPr>
                <w:szCs w:val="21"/>
              </w:rPr>
            </w:pPr>
            <w:r>
              <w:t>中新集团新材资产管理有限公司</w:t>
            </w:r>
          </w:p>
        </w:tc>
        <w:tc>
          <w:tcPr>
            <w:tcW w:w="1059" w:type="pct"/>
            <w:tcBorders>
              <w:top w:val="single" w:sz="4" w:space="0" w:color="auto"/>
              <w:left w:val="single" w:sz="4" w:space="0" w:color="auto"/>
              <w:bottom w:val="single" w:sz="4" w:space="0" w:color="auto"/>
              <w:right w:val="single" w:sz="4" w:space="0" w:color="auto"/>
            </w:tcBorders>
          </w:tcPr>
          <w:p w14:paraId="6059DB06" w14:textId="77777777" w:rsidR="00E57DAA" w:rsidRDefault="00AC4185">
            <w:pPr>
              <w:autoSpaceDE w:val="0"/>
              <w:autoSpaceDN w:val="0"/>
              <w:adjustRightInd w:val="0"/>
              <w:jc w:val="right"/>
              <w:rPr>
                <w:szCs w:val="21"/>
              </w:rPr>
            </w:pPr>
            <w:r>
              <w:t>78,908,142.98</w:t>
            </w:r>
          </w:p>
        </w:tc>
        <w:tc>
          <w:tcPr>
            <w:tcW w:w="1407" w:type="pct"/>
            <w:tcBorders>
              <w:top w:val="single" w:sz="4" w:space="0" w:color="auto"/>
              <w:left w:val="single" w:sz="4" w:space="0" w:color="auto"/>
              <w:bottom w:val="single" w:sz="4" w:space="0" w:color="auto"/>
              <w:right w:val="single" w:sz="4" w:space="0" w:color="auto"/>
            </w:tcBorders>
          </w:tcPr>
          <w:p w14:paraId="72346891" w14:textId="77777777" w:rsidR="00E57DAA" w:rsidRDefault="00AC4185">
            <w:pPr>
              <w:autoSpaceDE w:val="0"/>
              <w:autoSpaceDN w:val="0"/>
              <w:adjustRightInd w:val="0"/>
              <w:jc w:val="right"/>
              <w:rPr>
                <w:szCs w:val="21"/>
              </w:rPr>
            </w:pPr>
            <w:r>
              <w:t>83,338,832.38</w:t>
            </w:r>
          </w:p>
        </w:tc>
      </w:tr>
      <w:tr w:rsidR="00E57DAA" w14:paraId="56009BC6" w14:textId="77777777">
        <w:tc>
          <w:tcPr>
            <w:tcW w:w="640" w:type="pct"/>
            <w:tcBorders>
              <w:top w:val="single" w:sz="4" w:space="0" w:color="auto"/>
              <w:left w:val="single" w:sz="4" w:space="0" w:color="auto"/>
              <w:bottom w:val="single" w:sz="4" w:space="0" w:color="auto"/>
              <w:right w:val="single" w:sz="4" w:space="0" w:color="auto"/>
            </w:tcBorders>
            <w:vAlign w:val="center"/>
          </w:tcPr>
          <w:p w14:paraId="10C35598" w14:textId="77777777" w:rsidR="00E57DAA" w:rsidRDefault="00AC4185">
            <w:pPr>
              <w:autoSpaceDE w:val="0"/>
              <w:autoSpaceDN w:val="0"/>
              <w:adjustRightInd w:val="0"/>
              <w:rPr>
                <w:szCs w:val="21"/>
              </w:rPr>
            </w:pPr>
            <w:r>
              <w:lastRenderedPageBreak/>
              <w:t>其他应付款</w:t>
            </w:r>
          </w:p>
        </w:tc>
        <w:tc>
          <w:tcPr>
            <w:tcW w:w="1894" w:type="pct"/>
            <w:tcBorders>
              <w:top w:val="single" w:sz="4" w:space="0" w:color="auto"/>
              <w:left w:val="single" w:sz="4" w:space="0" w:color="auto"/>
              <w:bottom w:val="single" w:sz="4" w:space="0" w:color="auto"/>
              <w:right w:val="single" w:sz="4" w:space="0" w:color="auto"/>
            </w:tcBorders>
          </w:tcPr>
          <w:p w14:paraId="30B763B7" w14:textId="77777777" w:rsidR="00E57DAA" w:rsidRDefault="00AC4185">
            <w:pPr>
              <w:autoSpaceDE w:val="0"/>
              <w:autoSpaceDN w:val="0"/>
              <w:adjustRightInd w:val="0"/>
              <w:rPr>
                <w:szCs w:val="21"/>
              </w:rPr>
            </w:pPr>
            <w:r>
              <w:t>中建材智慧物联有限公司</w:t>
            </w:r>
          </w:p>
        </w:tc>
        <w:tc>
          <w:tcPr>
            <w:tcW w:w="1059" w:type="pct"/>
            <w:tcBorders>
              <w:top w:val="single" w:sz="4" w:space="0" w:color="auto"/>
              <w:left w:val="single" w:sz="4" w:space="0" w:color="auto"/>
              <w:bottom w:val="single" w:sz="4" w:space="0" w:color="auto"/>
              <w:right w:val="single" w:sz="4" w:space="0" w:color="auto"/>
            </w:tcBorders>
          </w:tcPr>
          <w:p w14:paraId="06791F80" w14:textId="77777777" w:rsidR="00E57DAA" w:rsidRDefault="00AC4185">
            <w:pPr>
              <w:autoSpaceDE w:val="0"/>
              <w:autoSpaceDN w:val="0"/>
              <w:adjustRightInd w:val="0"/>
              <w:jc w:val="right"/>
              <w:rPr>
                <w:szCs w:val="21"/>
              </w:rPr>
            </w:pPr>
            <w:r>
              <w:t>32,047,884.19</w:t>
            </w:r>
          </w:p>
        </w:tc>
        <w:tc>
          <w:tcPr>
            <w:tcW w:w="1407" w:type="pct"/>
            <w:tcBorders>
              <w:top w:val="single" w:sz="4" w:space="0" w:color="auto"/>
              <w:left w:val="single" w:sz="4" w:space="0" w:color="auto"/>
              <w:bottom w:val="single" w:sz="4" w:space="0" w:color="auto"/>
              <w:right w:val="single" w:sz="4" w:space="0" w:color="auto"/>
            </w:tcBorders>
          </w:tcPr>
          <w:p w14:paraId="6FBA37EE" w14:textId="77777777" w:rsidR="00E57DAA" w:rsidRDefault="00AC4185">
            <w:pPr>
              <w:autoSpaceDE w:val="0"/>
              <w:autoSpaceDN w:val="0"/>
              <w:adjustRightInd w:val="0"/>
              <w:jc w:val="right"/>
              <w:rPr>
                <w:szCs w:val="21"/>
              </w:rPr>
            </w:pPr>
            <w:r>
              <w:t>188,500,000.00</w:t>
            </w:r>
          </w:p>
        </w:tc>
      </w:tr>
      <w:tr w:rsidR="00E57DAA" w14:paraId="479D56E3" w14:textId="77777777">
        <w:tc>
          <w:tcPr>
            <w:tcW w:w="640" w:type="pct"/>
            <w:tcBorders>
              <w:top w:val="single" w:sz="4" w:space="0" w:color="auto"/>
              <w:left w:val="single" w:sz="4" w:space="0" w:color="auto"/>
              <w:bottom w:val="single" w:sz="4" w:space="0" w:color="auto"/>
              <w:right w:val="single" w:sz="4" w:space="0" w:color="auto"/>
            </w:tcBorders>
            <w:vAlign w:val="center"/>
          </w:tcPr>
          <w:p w14:paraId="7064CD93"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662F67A7" w14:textId="77777777" w:rsidR="00E57DAA" w:rsidRDefault="00AC4185">
            <w:pPr>
              <w:autoSpaceDE w:val="0"/>
              <w:autoSpaceDN w:val="0"/>
              <w:adjustRightInd w:val="0"/>
              <w:rPr>
                <w:szCs w:val="21"/>
              </w:rPr>
            </w:pPr>
            <w:r>
              <w:t>广州华磊建筑基础工程有限公司</w:t>
            </w:r>
          </w:p>
        </w:tc>
        <w:tc>
          <w:tcPr>
            <w:tcW w:w="1059" w:type="pct"/>
            <w:tcBorders>
              <w:top w:val="single" w:sz="4" w:space="0" w:color="auto"/>
              <w:left w:val="single" w:sz="4" w:space="0" w:color="auto"/>
              <w:bottom w:val="single" w:sz="4" w:space="0" w:color="auto"/>
              <w:right w:val="single" w:sz="4" w:space="0" w:color="auto"/>
            </w:tcBorders>
          </w:tcPr>
          <w:p w14:paraId="43A85732" w14:textId="77777777" w:rsidR="00E57DAA" w:rsidRDefault="00AC4185">
            <w:pPr>
              <w:autoSpaceDE w:val="0"/>
              <w:autoSpaceDN w:val="0"/>
              <w:adjustRightInd w:val="0"/>
              <w:jc w:val="right"/>
              <w:rPr>
                <w:szCs w:val="21"/>
              </w:rPr>
            </w:pPr>
            <w:r>
              <w:t>681,672.10</w:t>
            </w:r>
          </w:p>
        </w:tc>
        <w:tc>
          <w:tcPr>
            <w:tcW w:w="1407" w:type="pct"/>
            <w:tcBorders>
              <w:top w:val="single" w:sz="4" w:space="0" w:color="auto"/>
              <w:left w:val="single" w:sz="4" w:space="0" w:color="auto"/>
              <w:bottom w:val="single" w:sz="4" w:space="0" w:color="auto"/>
              <w:right w:val="single" w:sz="4" w:space="0" w:color="auto"/>
            </w:tcBorders>
          </w:tcPr>
          <w:p w14:paraId="2C25F7BA" w14:textId="77777777" w:rsidR="00E57DAA" w:rsidRDefault="00AC4185">
            <w:pPr>
              <w:autoSpaceDE w:val="0"/>
              <w:autoSpaceDN w:val="0"/>
              <w:adjustRightInd w:val="0"/>
              <w:jc w:val="right"/>
              <w:rPr>
                <w:szCs w:val="21"/>
              </w:rPr>
            </w:pPr>
            <w:r>
              <w:t>921,672.10</w:t>
            </w:r>
          </w:p>
        </w:tc>
      </w:tr>
      <w:tr w:rsidR="00E57DAA" w14:paraId="14E226D7" w14:textId="77777777">
        <w:tc>
          <w:tcPr>
            <w:tcW w:w="640" w:type="pct"/>
            <w:tcBorders>
              <w:top w:val="single" w:sz="4" w:space="0" w:color="auto"/>
              <w:left w:val="single" w:sz="4" w:space="0" w:color="auto"/>
              <w:bottom w:val="single" w:sz="4" w:space="0" w:color="auto"/>
              <w:right w:val="single" w:sz="4" w:space="0" w:color="auto"/>
            </w:tcBorders>
            <w:vAlign w:val="center"/>
          </w:tcPr>
          <w:p w14:paraId="7A1B24C4"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7E5E7F64" w14:textId="77777777" w:rsidR="00E57DAA" w:rsidRDefault="00AC4185">
            <w:pPr>
              <w:autoSpaceDE w:val="0"/>
              <w:autoSpaceDN w:val="0"/>
              <w:adjustRightInd w:val="0"/>
              <w:rPr>
                <w:szCs w:val="21"/>
              </w:rPr>
            </w:pPr>
            <w:r>
              <w:t>中建材玻璃新材料研究院集团有限公司</w:t>
            </w:r>
          </w:p>
        </w:tc>
        <w:tc>
          <w:tcPr>
            <w:tcW w:w="1059" w:type="pct"/>
            <w:tcBorders>
              <w:top w:val="single" w:sz="4" w:space="0" w:color="auto"/>
              <w:left w:val="single" w:sz="4" w:space="0" w:color="auto"/>
              <w:bottom w:val="single" w:sz="4" w:space="0" w:color="auto"/>
              <w:right w:val="single" w:sz="4" w:space="0" w:color="auto"/>
            </w:tcBorders>
          </w:tcPr>
          <w:p w14:paraId="0A4A19D7" w14:textId="77777777" w:rsidR="00E57DAA" w:rsidRDefault="00AC4185">
            <w:pPr>
              <w:autoSpaceDE w:val="0"/>
              <w:autoSpaceDN w:val="0"/>
              <w:adjustRightInd w:val="0"/>
              <w:jc w:val="right"/>
              <w:rPr>
                <w:szCs w:val="21"/>
              </w:rPr>
            </w:pPr>
            <w:r>
              <w:t>600,000.00</w:t>
            </w:r>
          </w:p>
        </w:tc>
        <w:tc>
          <w:tcPr>
            <w:tcW w:w="1407" w:type="pct"/>
            <w:tcBorders>
              <w:top w:val="single" w:sz="4" w:space="0" w:color="auto"/>
              <w:left w:val="single" w:sz="4" w:space="0" w:color="auto"/>
              <w:bottom w:val="single" w:sz="4" w:space="0" w:color="auto"/>
              <w:right w:val="single" w:sz="4" w:space="0" w:color="auto"/>
            </w:tcBorders>
          </w:tcPr>
          <w:p w14:paraId="57CDFFFB" w14:textId="77777777" w:rsidR="00E57DAA" w:rsidRDefault="00AC4185">
            <w:pPr>
              <w:autoSpaceDE w:val="0"/>
              <w:autoSpaceDN w:val="0"/>
              <w:adjustRightInd w:val="0"/>
              <w:jc w:val="right"/>
              <w:rPr>
                <w:szCs w:val="21"/>
              </w:rPr>
            </w:pPr>
            <w:r>
              <w:t xml:space="preserve">　</w:t>
            </w:r>
          </w:p>
        </w:tc>
      </w:tr>
      <w:tr w:rsidR="00E57DAA" w14:paraId="502D258F" w14:textId="77777777">
        <w:tc>
          <w:tcPr>
            <w:tcW w:w="640" w:type="pct"/>
            <w:tcBorders>
              <w:top w:val="single" w:sz="4" w:space="0" w:color="auto"/>
              <w:left w:val="single" w:sz="4" w:space="0" w:color="auto"/>
              <w:bottom w:val="single" w:sz="4" w:space="0" w:color="auto"/>
              <w:right w:val="single" w:sz="4" w:space="0" w:color="auto"/>
            </w:tcBorders>
            <w:vAlign w:val="center"/>
          </w:tcPr>
          <w:p w14:paraId="42F8B3BD"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A1424E3" w14:textId="77777777" w:rsidR="00E57DAA" w:rsidRDefault="00AC4185">
            <w:pPr>
              <w:autoSpaceDE w:val="0"/>
              <w:autoSpaceDN w:val="0"/>
              <w:adjustRightInd w:val="0"/>
              <w:rPr>
                <w:szCs w:val="21"/>
              </w:rPr>
            </w:pPr>
            <w:r>
              <w:t>中国建材集团财务有限公司</w:t>
            </w:r>
          </w:p>
        </w:tc>
        <w:tc>
          <w:tcPr>
            <w:tcW w:w="1059" w:type="pct"/>
            <w:tcBorders>
              <w:top w:val="single" w:sz="4" w:space="0" w:color="auto"/>
              <w:left w:val="single" w:sz="4" w:space="0" w:color="auto"/>
              <w:bottom w:val="single" w:sz="4" w:space="0" w:color="auto"/>
              <w:right w:val="single" w:sz="4" w:space="0" w:color="auto"/>
            </w:tcBorders>
          </w:tcPr>
          <w:p w14:paraId="51D80064" w14:textId="77777777" w:rsidR="00E57DAA" w:rsidRDefault="00AC4185">
            <w:pPr>
              <w:autoSpaceDE w:val="0"/>
              <w:autoSpaceDN w:val="0"/>
              <w:adjustRightInd w:val="0"/>
              <w:jc w:val="right"/>
              <w:rPr>
                <w:szCs w:val="21"/>
              </w:rPr>
            </w:pPr>
            <w:r>
              <w:t>348,630.14</w:t>
            </w:r>
          </w:p>
        </w:tc>
        <w:tc>
          <w:tcPr>
            <w:tcW w:w="1407" w:type="pct"/>
            <w:tcBorders>
              <w:top w:val="single" w:sz="4" w:space="0" w:color="auto"/>
              <w:left w:val="single" w:sz="4" w:space="0" w:color="auto"/>
              <w:bottom w:val="single" w:sz="4" w:space="0" w:color="auto"/>
              <w:right w:val="single" w:sz="4" w:space="0" w:color="auto"/>
            </w:tcBorders>
          </w:tcPr>
          <w:p w14:paraId="6693D3B1" w14:textId="77777777" w:rsidR="00E57DAA" w:rsidRDefault="00AC4185">
            <w:pPr>
              <w:autoSpaceDE w:val="0"/>
              <w:autoSpaceDN w:val="0"/>
              <w:adjustRightInd w:val="0"/>
              <w:jc w:val="right"/>
              <w:rPr>
                <w:szCs w:val="21"/>
              </w:rPr>
            </w:pPr>
            <w:r>
              <w:t>348,630.14</w:t>
            </w:r>
          </w:p>
        </w:tc>
      </w:tr>
      <w:tr w:rsidR="00E57DAA" w14:paraId="6739671B" w14:textId="77777777">
        <w:tc>
          <w:tcPr>
            <w:tcW w:w="640" w:type="pct"/>
            <w:tcBorders>
              <w:top w:val="single" w:sz="4" w:space="0" w:color="auto"/>
              <w:left w:val="single" w:sz="4" w:space="0" w:color="auto"/>
              <w:bottom w:val="single" w:sz="4" w:space="0" w:color="auto"/>
              <w:right w:val="single" w:sz="4" w:space="0" w:color="auto"/>
            </w:tcBorders>
            <w:vAlign w:val="center"/>
          </w:tcPr>
          <w:p w14:paraId="6F06CD3E"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72FCABBF" w14:textId="77777777" w:rsidR="00E57DAA" w:rsidRDefault="00AC4185">
            <w:pPr>
              <w:autoSpaceDE w:val="0"/>
              <w:autoSpaceDN w:val="0"/>
              <w:adjustRightInd w:val="0"/>
              <w:rPr>
                <w:szCs w:val="21"/>
              </w:rPr>
            </w:pPr>
            <w:r>
              <w:t>中建材国际装备有限公司</w:t>
            </w:r>
          </w:p>
        </w:tc>
        <w:tc>
          <w:tcPr>
            <w:tcW w:w="1059" w:type="pct"/>
            <w:tcBorders>
              <w:top w:val="single" w:sz="4" w:space="0" w:color="auto"/>
              <w:left w:val="single" w:sz="4" w:space="0" w:color="auto"/>
              <w:bottom w:val="single" w:sz="4" w:space="0" w:color="auto"/>
              <w:right w:val="single" w:sz="4" w:space="0" w:color="auto"/>
            </w:tcBorders>
          </w:tcPr>
          <w:p w14:paraId="6255B1B3" w14:textId="77777777" w:rsidR="00E57DAA" w:rsidRDefault="00AC4185">
            <w:pPr>
              <w:autoSpaceDE w:val="0"/>
              <w:autoSpaceDN w:val="0"/>
              <w:adjustRightInd w:val="0"/>
              <w:jc w:val="right"/>
              <w:rPr>
                <w:szCs w:val="21"/>
              </w:rPr>
            </w:pPr>
            <w:r>
              <w:t>295,531.30</w:t>
            </w:r>
          </w:p>
        </w:tc>
        <w:tc>
          <w:tcPr>
            <w:tcW w:w="1407" w:type="pct"/>
            <w:tcBorders>
              <w:top w:val="single" w:sz="4" w:space="0" w:color="auto"/>
              <w:left w:val="single" w:sz="4" w:space="0" w:color="auto"/>
              <w:bottom w:val="single" w:sz="4" w:space="0" w:color="auto"/>
              <w:right w:val="single" w:sz="4" w:space="0" w:color="auto"/>
            </w:tcBorders>
          </w:tcPr>
          <w:p w14:paraId="0C8F0EDA" w14:textId="77777777" w:rsidR="00E57DAA" w:rsidRDefault="00AC4185">
            <w:pPr>
              <w:autoSpaceDE w:val="0"/>
              <w:autoSpaceDN w:val="0"/>
              <w:adjustRightInd w:val="0"/>
              <w:jc w:val="right"/>
              <w:rPr>
                <w:szCs w:val="21"/>
              </w:rPr>
            </w:pPr>
            <w:r>
              <w:t>295,531.30</w:t>
            </w:r>
          </w:p>
        </w:tc>
      </w:tr>
      <w:tr w:rsidR="00E57DAA" w14:paraId="67D5FA2C" w14:textId="77777777">
        <w:tc>
          <w:tcPr>
            <w:tcW w:w="640" w:type="pct"/>
            <w:tcBorders>
              <w:top w:val="single" w:sz="4" w:space="0" w:color="auto"/>
              <w:left w:val="single" w:sz="4" w:space="0" w:color="auto"/>
              <w:bottom w:val="single" w:sz="4" w:space="0" w:color="auto"/>
              <w:right w:val="single" w:sz="4" w:space="0" w:color="auto"/>
            </w:tcBorders>
            <w:vAlign w:val="center"/>
          </w:tcPr>
          <w:p w14:paraId="20357391"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D9F45B6" w14:textId="77777777" w:rsidR="00E57DAA" w:rsidRDefault="00AC4185">
            <w:pPr>
              <w:autoSpaceDE w:val="0"/>
              <w:autoSpaceDN w:val="0"/>
              <w:adjustRightInd w:val="0"/>
              <w:rPr>
                <w:szCs w:val="21"/>
              </w:rPr>
            </w:pPr>
            <w:r>
              <w:t>中国建筑材料工业地质勘查中心江苏总队</w:t>
            </w:r>
          </w:p>
        </w:tc>
        <w:tc>
          <w:tcPr>
            <w:tcW w:w="1059" w:type="pct"/>
            <w:tcBorders>
              <w:top w:val="single" w:sz="4" w:space="0" w:color="auto"/>
              <w:left w:val="single" w:sz="4" w:space="0" w:color="auto"/>
              <w:bottom w:val="single" w:sz="4" w:space="0" w:color="auto"/>
              <w:right w:val="single" w:sz="4" w:space="0" w:color="auto"/>
            </w:tcBorders>
          </w:tcPr>
          <w:p w14:paraId="22422E43" w14:textId="77777777" w:rsidR="00E57DAA" w:rsidRDefault="00AC4185">
            <w:pPr>
              <w:autoSpaceDE w:val="0"/>
              <w:autoSpaceDN w:val="0"/>
              <w:adjustRightInd w:val="0"/>
              <w:jc w:val="right"/>
              <w:rPr>
                <w:szCs w:val="21"/>
              </w:rPr>
            </w:pPr>
            <w:r>
              <w:t>237,948.83</w:t>
            </w:r>
          </w:p>
        </w:tc>
        <w:tc>
          <w:tcPr>
            <w:tcW w:w="1407" w:type="pct"/>
            <w:tcBorders>
              <w:top w:val="single" w:sz="4" w:space="0" w:color="auto"/>
              <w:left w:val="single" w:sz="4" w:space="0" w:color="auto"/>
              <w:bottom w:val="single" w:sz="4" w:space="0" w:color="auto"/>
              <w:right w:val="single" w:sz="4" w:space="0" w:color="auto"/>
            </w:tcBorders>
          </w:tcPr>
          <w:p w14:paraId="5FF57D54" w14:textId="77777777" w:rsidR="00E57DAA" w:rsidRDefault="00AC4185">
            <w:pPr>
              <w:autoSpaceDE w:val="0"/>
              <w:autoSpaceDN w:val="0"/>
              <w:adjustRightInd w:val="0"/>
              <w:jc w:val="right"/>
              <w:rPr>
                <w:szCs w:val="21"/>
              </w:rPr>
            </w:pPr>
            <w:r>
              <w:t>237,948.83</w:t>
            </w:r>
          </w:p>
        </w:tc>
      </w:tr>
      <w:tr w:rsidR="00E57DAA" w14:paraId="3FC57B59" w14:textId="77777777">
        <w:tc>
          <w:tcPr>
            <w:tcW w:w="640" w:type="pct"/>
            <w:tcBorders>
              <w:top w:val="single" w:sz="4" w:space="0" w:color="auto"/>
              <w:left w:val="single" w:sz="4" w:space="0" w:color="auto"/>
              <w:bottom w:val="single" w:sz="4" w:space="0" w:color="auto"/>
              <w:right w:val="single" w:sz="4" w:space="0" w:color="auto"/>
            </w:tcBorders>
            <w:vAlign w:val="center"/>
          </w:tcPr>
          <w:p w14:paraId="16EB5117"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C92906F" w14:textId="77777777" w:rsidR="00E57DAA" w:rsidRDefault="00AC4185">
            <w:pPr>
              <w:autoSpaceDE w:val="0"/>
              <w:autoSpaceDN w:val="0"/>
              <w:adjustRightInd w:val="0"/>
              <w:rPr>
                <w:szCs w:val="21"/>
              </w:rPr>
            </w:pPr>
            <w:r>
              <w:t>中建材矿业投资江苏有限公司</w:t>
            </w:r>
          </w:p>
        </w:tc>
        <w:tc>
          <w:tcPr>
            <w:tcW w:w="1059" w:type="pct"/>
            <w:tcBorders>
              <w:top w:val="single" w:sz="4" w:space="0" w:color="auto"/>
              <w:left w:val="single" w:sz="4" w:space="0" w:color="auto"/>
              <w:bottom w:val="single" w:sz="4" w:space="0" w:color="auto"/>
              <w:right w:val="single" w:sz="4" w:space="0" w:color="auto"/>
            </w:tcBorders>
          </w:tcPr>
          <w:p w14:paraId="7DBBCB30" w14:textId="77777777" w:rsidR="00E57DAA" w:rsidRDefault="00AC4185">
            <w:pPr>
              <w:autoSpaceDE w:val="0"/>
              <w:autoSpaceDN w:val="0"/>
              <w:adjustRightInd w:val="0"/>
              <w:jc w:val="right"/>
              <w:rPr>
                <w:szCs w:val="21"/>
              </w:rPr>
            </w:pPr>
            <w:r>
              <w:t>200,000.00</w:t>
            </w:r>
          </w:p>
        </w:tc>
        <w:tc>
          <w:tcPr>
            <w:tcW w:w="1407" w:type="pct"/>
            <w:tcBorders>
              <w:top w:val="single" w:sz="4" w:space="0" w:color="auto"/>
              <w:left w:val="single" w:sz="4" w:space="0" w:color="auto"/>
              <w:bottom w:val="single" w:sz="4" w:space="0" w:color="auto"/>
              <w:right w:val="single" w:sz="4" w:space="0" w:color="auto"/>
            </w:tcBorders>
          </w:tcPr>
          <w:p w14:paraId="286EDA9D" w14:textId="77777777" w:rsidR="00E57DAA" w:rsidRDefault="00AC4185">
            <w:pPr>
              <w:autoSpaceDE w:val="0"/>
              <w:autoSpaceDN w:val="0"/>
              <w:adjustRightInd w:val="0"/>
              <w:jc w:val="right"/>
              <w:rPr>
                <w:szCs w:val="21"/>
              </w:rPr>
            </w:pPr>
            <w:r>
              <w:t>190,000.00</w:t>
            </w:r>
          </w:p>
        </w:tc>
      </w:tr>
      <w:tr w:rsidR="00E57DAA" w14:paraId="65F91D92" w14:textId="77777777">
        <w:tc>
          <w:tcPr>
            <w:tcW w:w="640" w:type="pct"/>
            <w:tcBorders>
              <w:top w:val="single" w:sz="4" w:space="0" w:color="auto"/>
              <w:left w:val="single" w:sz="4" w:space="0" w:color="auto"/>
              <w:bottom w:val="single" w:sz="4" w:space="0" w:color="auto"/>
              <w:right w:val="single" w:sz="4" w:space="0" w:color="auto"/>
            </w:tcBorders>
            <w:vAlign w:val="center"/>
          </w:tcPr>
          <w:p w14:paraId="1619D5A8"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78265D14" w14:textId="77777777" w:rsidR="00E57DAA" w:rsidRDefault="00AC4185">
            <w:pPr>
              <w:autoSpaceDE w:val="0"/>
              <w:autoSpaceDN w:val="0"/>
              <w:adjustRightInd w:val="0"/>
              <w:rPr>
                <w:szCs w:val="21"/>
              </w:rPr>
            </w:pPr>
            <w:r>
              <w:t>中国中材股份有限公司</w:t>
            </w:r>
          </w:p>
        </w:tc>
        <w:tc>
          <w:tcPr>
            <w:tcW w:w="1059" w:type="pct"/>
            <w:tcBorders>
              <w:top w:val="single" w:sz="4" w:space="0" w:color="auto"/>
              <w:left w:val="single" w:sz="4" w:space="0" w:color="auto"/>
              <w:bottom w:val="single" w:sz="4" w:space="0" w:color="auto"/>
              <w:right w:val="single" w:sz="4" w:space="0" w:color="auto"/>
            </w:tcBorders>
          </w:tcPr>
          <w:p w14:paraId="72CDBA4E" w14:textId="77777777" w:rsidR="00E57DAA" w:rsidRDefault="00AC4185">
            <w:pPr>
              <w:autoSpaceDE w:val="0"/>
              <w:autoSpaceDN w:val="0"/>
              <w:adjustRightInd w:val="0"/>
              <w:jc w:val="right"/>
              <w:rPr>
                <w:szCs w:val="21"/>
              </w:rPr>
            </w:pPr>
            <w:r>
              <w:t>131,400.00</w:t>
            </w:r>
          </w:p>
        </w:tc>
        <w:tc>
          <w:tcPr>
            <w:tcW w:w="1407" w:type="pct"/>
            <w:tcBorders>
              <w:top w:val="single" w:sz="4" w:space="0" w:color="auto"/>
              <w:left w:val="single" w:sz="4" w:space="0" w:color="auto"/>
              <w:bottom w:val="single" w:sz="4" w:space="0" w:color="auto"/>
              <w:right w:val="single" w:sz="4" w:space="0" w:color="auto"/>
            </w:tcBorders>
          </w:tcPr>
          <w:p w14:paraId="59712DDB" w14:textId="77777777" w:rsidR="00E57DAA" w:rsidRDefault="00AC4185">
            <w:pPr>
              <w:autoSpaceDE w:val="0"/>
              <w:autoSpaceDN w:val="0"/>
              <w:adjustRightInd w:val="0"/>
              <w:jc w:val="right"/>
              <w:rPr>
                <w:szCs w:val="21"/>
              </w:rPr>
            </w:pPr>
            <w:r>
              <w:t xml:space="preserve">　</w:t>
            </w:r>
          </w:p>
        </w:tc>
      </w:tr>
      <w:tr w:rsidR="00E57DAA" w14:paraId="0DABC000" w14:textId="77777777">
        <w:tc>
          <w:tcPr>
            <w:tcW w:w="640" w:type="pct"/>
            <w:tcBorders>
              <w:top w:val="single" w:sz="4" w:space="0" w:color="auto"/>
              <w:left w:val="single" w:sz="4" w:space="0" w:color="auto"/>
              <w:bottom w:val="single" w:sz="4" w:space="0" w:color="auto"/>
              <w:right w:val="single" w:sz="4" w:space="0" w:color="auto"/>
            </w:tcBorders>
            <w:vAlign w:val="center"/>
          </w:tcPr>
          <w:p w14:paraId="20F06346"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411D4A39" w14:textId="77777777" w:rsidR="00E57DAA" w:rsidRDefault="00AC4185">
            <w:pPr>
              <w:autoSpaceDE w:val="0"/>
              <w:autoSpaceDN w:val="0"/>
              <w:adjustRightInd w:val="0"/>
              <w:rPr>
                <w:szCs w:val="21"/>
              </w:rPr>
            </w:pPr>
            <w:r>
              <w:t>国检测试控股集团上海有限公司</w:t>
            </w:r>
          </w:p>
        </w:tc>
        <w:tc>
          <w:tcPr>
            <w:tcW w:w="1059" w:type="pct"/>
            <w:tcBorders>
              <w:top w:val="single" w:sz="4" w:space="0" w:color="auto"/>
              <w:left w:val="single" w:sz="4" w:space="0" w:color="auto"/>
              <w:bottom w:val="single" w:sz="4" w:space="0" w:color="auto"/>
              <w:right w:val="single" w:sz="4" w:space="0" w:color="auto"/>
            </w:tcBorders>
          </w:tcPr>
          <w:p w14:paraId="1BB545B9" w14:textId="77777777" w:rsidR="00E57DAA" w:rsidRDefault="00AC4185">
            <w:pPr>
              <w:autoSpaceDE w:val="0"/>
              <w:autoSpaceDN w:val="0"/>
              <w:adjustRightInd w:val="0"/>
              <w:jc w:val="right"/>
              <w:rPr>
                <w:szCs w:val="21"/>
              </w:rPr>
            </w:pPr>
            <w:r>
              <w:t>100,000.00</w:t>
            </w:r>
          </w:p>
        </w:tc>
        <w:tc>
          <w:tcPr>
            <w:tcW w:w="1407" w:type="pct"/>
            <w:tcBorders>
              <w:top w:val="single" w:sz="4" w:space="0" w:color="auto"/>
              <w:left w:val="single" w:sz="4" w:space="0" w:color="auto"/>
              <w:bottom w:val="single" w:sz="4" w:space="0" w:color="auto"/>
              <w:right w:val="single" w:sz="4" w:space="0" w:color="auto"/>
            </w:tcBorders>
          </w:tcPr>
          <w:p w14:paraId="14409BF5" w14:textId="77777777" w:rsidR="00E57DAA" w:rsidRDefault="00AC4185">
            <w:pPr>
              <w:autoSpaceDE w:val="0"/>
              <w:autoSpaceDN w:val="0"/>
              <w:adjustRightInd w:val="0"/>
              <w:jc w:val="right"/>
              <w:rPr>
                <w:szCs w:val="21"/>
              </w:rPr>
            </w:pPr>
            <w:r>
              <w:t xml:space="preserve">　</w:t>
            </w:r>
          </w:p>
        </w:tc>
      </w:tr>
      <w:tr w:rsidR="00E57DAA" w14:paraId="08E7BCBD" w14:textId="77777777">
        <w:tc>
          <w:tcPr>
            <w:tcW w:w="640" w:type="pct"/>
            <w:tcBorders>
              <w:top w:val="single" w:sz="4" w:space="0" w:color="auto"/>
              <w:left w:val="single" w:sz="4" w:space="0" w:color="auto"/>
              <w:bottom w:val="single" w:sz="4" w:space="0" w:color="auto"/>
              <w:right w:val="single" w:sz="4" w:space="0" w:color="auto"/>
            </w:tcBorders>
            <w:vAlign w:val="center"/>
          </w:tcPr>
          <w:p w14:paraId="10F18A1B"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D4BF9F0" w14:textId="77777777" w:rsidR="00E57DAA" w:rsidRDefault="00AC4185">
            <w:pPr>
              <w:autoSpaceDE w:val="0"/>
              <w:autoSpaceDN w:val="0"/>
              <w:adjustRightInd w:val="0"/>
              <w:rPr>
                <w:szCs w:val="21"/>
              </w:rPr>
            </w:pPr>
            <w:r>
              <w:t>郑州瑞泰耐火科技有限公司</w:t>
            </w:r>
          </w:p>
        </w:tc>
        <w:tc>
          <w:tcPr>
            <w:tcW w:w="1059" w:type="pct"/>
            <w:tcBorders>
              <w:top w:val="single" w:sz="4" w:space="0" w:color="auto"/>
              <w:left w:val="single" w:sz="4" w:space="0" w:color="auto"/>
              <w:bottom w:val="single" w:sz="4" w:space="0" w:color="auto"/>
              <w:right w:val="single" w:sz="4" w:space="0" w:color="auto"/>
            </w:tcBorders>
          </w:tcPr>
          <w:p w14:paraId="06C034A6" w14:textId="77777777" w:rsidR="00E57DAA" w:rsidRDefault="00AC4185">
            <w:pPr>
              <w:autoSpaceDE w:val="0"/>
              <w:autoSpaceDN w:val="0"/>
              <w:adjustRightInd w:val="0"/>
              <w:jc w:val="right"/>
              <w:rPr>
                <w:szCs w:val="21"/>
              </w:rPr>
            </w:pPr>
            <w:r>
              <w:t>56,000.00</w:t>
            </w:r>
          </w:p>
        </w:tc>
        <w:tc>
          <w:tcPr>
            <w:tcW w:w="1407" w:type="pct"/>
            <w:tcBorders>
              <w:top w:val="single" w:sz="4" w:space="0" w:color="auto"/>
              <w:left w:val="single" w:sz="4" w:space="0" w:color="auto"/>
              <w:bottom w:val="single" w:sz="4" w:space="0" w:color="auto"/>
              <w:right w:val="single" w:sz="4" w:space="0" w:color="auto"/>
            </w:tcBorders>
          </w:tcPr>
          <w:p w14:paraId="16B06A39" w14:textId="77777777" w:rsidR="00E57DAA" w:rsidRDefault="00AC4185">
            <w:pPr>
              <w:autoSpaceDE w:val="0"/>
              <w:autoSpaceDN w:val="0"/>
              <w:adjustRightInd w:val="0"/>
              <w:jc w:val="right"/>
              <w:rPr>
                <w:szCs w:val="21"/>
              </w:rPr>
            </w:pPr>
            <w:r>
              <w:t>56,000.00</w:t>
            </w:r>
          </w:p>
        </w:tc>
      </w:tr>
      <w:tr w:rsidR="00E57DAA" w14:paraId="599D5ED2" w14:textId="77777777">
        <w:tc>
          <w:tcPr>
            <w:tcW w:w="640" w:type="pct"/>
            <w:tcBorders>
              <w:top w:val="single" w:sz="4" w:space="0" w:color="auto"/>
              <w:left w:val="single" w:sz="4" w:space="0" w:color="auto"/>
              <w:bottom w:val="single" w:sz="4" w:space="0" w:color="auto"/>
              <w:right w:val="single" w:sz="4" w:space="0" w:color="auto"/>
            </w:tcBorders>
            <w:vAlign w:val="center"/>
          </w:tcPr>
          <w:p w14:paraId="3D4062B2"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6A171DCE" w14:textId="77777777" w:rsidR="00E57DAA" w:rsidRDefault="00AC4185">
            <w:pPr>
              <w:autoSpaceDE w:val="0"/>
              <w:autoSpaceDN w:val="0"/>
              <w:adjustRightInd w:val="0"/>
              <w:rPr>
                <w:szCs w:val="21"/>
              </w:rPr>
            </w:pPr>
            <w:r>
              <w:t>中国建材集团有限公司</w:t>
            </w:r>
          </w:p>
        </w:tc>
        <w:tc>
          <w:tcPr>
            <w:tcW w:w="1059" w:type="pct"/>
            <w:tcBorders>
              <w:top w:val="single" w:sz="4" w:space="0" w:color="auto"/>
              <w:left w:val="single" w:sz="4" w:space="0" w:color="auto"/>
              <w:bottom w:val="single" w:sz="4" w:space="0" w:color="auto"/>
              <w:right w:val="single" w:sz="4" w:space="0" w:color="auto"/>
            </w:tcBorders>
          </w:tcPr>
          <w:p w14:paraId="13DF4B32" w14:textId="77777777" w:rsidR="00E57DAA" w:rsidRDefault="00AC4185">
            <w:pPr>
              <w:autoSpaceDE w:val="0"/>
              <w:autoSpaceDN w:val="0"/>
              <w:adjustRightInd w:val="0"/>
              <w:jc w:val="right"/>
              <w:rPr>
                <w:szCs w:val="21"/>
              </w:rPr>
            </w:pPr>
            <w:r>
              <w:t>51,400.00</w:t>
            </w:r>
          </w:p>
        </w:tc>
        <w:tc>
          <w:tcPr>
            <w:tcW w:w="1407" w:type="pct"/>
            <w:tcBorders>
              <w:top w:val="single" w:sz="4" w:space="0" w:color="auto"/>
              <w:left w:val="single" w:sz="4" w:space="0" w:color="auto"/>
              <w:bottom w:val="single" w:sz="4" w:space="0" w:color="auto"/>
              <w:right w:val="single" w:sz="4" w:space="0" w:color="auto"/>
            </w:tcBorders>
          </w:tcPr>
          <w:p w14:paraId="78546B18" w14:textId="77777777" w:rsidR="00E57DAA" w:rsidRDefault="00AC4185">
            <w:pPr>
              <w:autoSpaceDE w:val="0"/>
              <w:autoSpaceDN w:val="0"/>
              <w:adjustRightInd w:val="0"/>
              <w:jc w:val="right"/>
              <w:rPr>
                <w:szCs w:val="21"/>
              </w:rPr>
            </w:pPr>
            <w:r>
              <w:t>20,800.00</w:t>
            </w:r>
          </w:p>
        </w:tc>
      </w:tr>
      <w:tr w:rsidR="00E57DAA" w14:paraId="28CBBCD5" w14:textId="77777777">
        <w:tc>
          <w:tcPr>
            <w:tcW w:w="640" w:type="pct"/>
            <w:tcBorders>
              <w:top w:val="single" w:sz="4" w:space="0" w:color="auto"/>
              <w:left w:val="single" w:sz="4" w:space="0" w:color="auto"/>
              <w:bottom w:val="single" w:sz="4" w:space="0" w:color="auto"/>
              <w:right w:val="single" w:sz="4" w:space="0" w:color="auto"/>
            </w:tcBorders>
            <w:vAlign w:val="center"/>
          </w:tcPr>
          <w:p w14:paraId="054B75BC"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AF05FCD" w14:textId="77777777" w:rsidR="00E57DAA" w:rsidRDefault="00AC4185">
            <w:pPr>
              <w:autoSpaceDE w:val="0"/>
              <w:autoSpaceDN w:val="0"/>
              <w:adjustRightInd w:val="0"/>
              <w:rPr>
                <w:szCs w:val="21"/>
              </w:rPr>
            </w:pPr>
            <w:r>
              <w:t>武汉建筑材料工业设计研究院有限公司</w:t>
            </w:r>
          </w:p>
        </w:tc>
        <w:tc>
          <w:tcPr>
            <w:tcW w:w="1059" w:type="pct"/>
            <w:tcBorders>
              <w:top w:val="single" w:sz="4" w:space="0" w:color="auto"/>
              <w:left w:val="single" w:sz="4" w:space="0" w:color="auto"/>
              <w:bottom w:val="single" w:sz="4" w:space="0" w:color="auto"/>
              <w:right w:val="single" w:sz="4" w:space="0" w:color="auto"/>
            </w:tcBorders>
          </w:tcPr>
          <w:p w14:paraId="3297FF49" w14:textId="77777777" w:rsidR="00E57DAA" w:rsidRDefault="00AC4185">
            <w:pPr>
              <w:autoSpaceDE w:val="0"/>
              <w:autoSpaceDN w:val="0"/>
              <w:adjustRightInd w:val="0"/>
              <w:jc w:val="right"/>
              <w:rPr>
                <w:szCs w:val="21"/>
              </w:rPr>
            </w:pPr>
            <w:r>
              <w:t>20,000.00</w:t>
            </w:r>
          </w:p>
        </w:tc>
        <w:tc>
          <w:tcPr>
            <w:tcW w:w="1407" w:type="pct"/>
            <w:tcBorders>
              <w:top w:val="single" w:sz="4" w:space="0" w:color="auto"/>
              <w:left w:val="single" w:sz="4" w:space="0" w:color="auto"/>
              <w:bottom w:val="single" w:sz="4" w:space="0" w:color="auto"/>
              <w:right w:val="single" w:sz="4" w:space="0" w:color="auto"/>
            </w:tcBorders>
          </w:tcPr>
          <w:p w14:paraId="0C2955C2" w14:textId="77777777" w:rsidR="00E57DAA" w:rsidRDefault="00AC4185">
            <w:pPr>
              <w:autoSpaceDE w:val="0"/>
              <w:autoSpaceDN w:val="0"/>
              <w:adjustRightInd w:val="0"/>
              <w:jc w:val="right"/>
              <w:rPr>
                <w:szCs w:val="21"/>
              </w:rPr>
            </w:pPr>
            <w:r>
              <w:t xml:space="preserve">　</w:t>
            </w:r>
          </w:p>
        </w:tc>
      </w:tr>
      <w:tr w:rsidR="00E57DAA" w14:paraId="32FD0594" w14:textId="77777777">
        <w:tc>
          <w:tcPr>
            <w:tcW w:w="640" w:type="pct"/>
            <w:tcBorders>
              <w:top w:val="single" w:sz="4" w:space="0" w:color="auto"/>
              <w:left w:val="single" w:sz="4" w:space="0" w:color="auto"/>
              <w:bottom w:val="single" w:sz="4" w:space="0" w:color="auto"/>
              <w:right w:val="single" w:sz="4" w:space="0" w:color="auto"/>
            </w:tcBorders>
            <w:vAlign w:val="center"/>
          </w:tcPr>
          <w:p w14:paraId="2B180A8D"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4598E86" w14:textId="77777777" w:rsidR="00E57DAA" w:rsidRDefault="00AC4185">
            <w:pPr>
              <w:autoSpaceDE w:val="0"/>
              <w:autoSpaceDN w:val="0"/>
              <w:adjustRightInd w:val="0"/>
              <w:rPr>
                <w:szCs w:val="21"/>
              </w:rPr>
            </w:pPr>
            <w:r>
              <w:t>中建材科创新技术研究院（山东）有限公司</w:t>
            </w:r>
          </w:p>
        </w:tc>
        <w:tc>
          <w:tcPr>
            <w:tcW w:w="1059" w:type="pct"/>
            <w:tcBorders>
              <w:top w:val="single" w:sz="4" w:space="0" w:color="auto"/>
              <w:left w:val="single" w:sz="4" w:space="0" w:color="auto"/>
              <w:bottom w:val="single" w:sz="4" w:space="0" w:color="auto"/>
              <w:right w:val="single" w:sz="4" w:space="0" w:color="auto"/>
            </w:tcBorders>
          </w:tcPr>
          <w:p w14:paraId="0ABD9994" w14:textId="77777777" w:rsidR="00E57DAA" w:rsidRDefault="00AC4185">
            <w:pPr>
              <w:autoSpaceDE w:val="0"/>
              <w:autoSpaceDN w:val="0"/>
              <w:adjustRightInd w:val="0"/>
              <w:jc w:val="right"/>
              <w:rPr>
                <w:szCs w:val="21"/>
              </w:rPr>
            </w:pPr>
            <w:r>
              <w:t>12,000.00</w:t>
            </w:r>
          </w:p>
        </w:tc>
        <w:tc>
          <w:tcPr>
            <w:tcW w:w="1407" w:type="pct"/>
            <w:tcBorders>
              <w:top w:val="single" w:sz="4" w:space="0" w:color="auto"/>
              <w:left w:val="single" w:sz="4" w:space="0" w:color="auto"/>
              <w:bottom w:val="single" w:sz="4" w:space="0" w:color="auto"/>
              <w:right w:val="single" w:sz="4" w:space="0" w:color="auto"/>
            </w:tcBorders>
          </w:tcPr>
          <w:p w14:paraId="26B96FA6" w14:textId="77777777" w:rsidR="00E57DAA" w:rsidRDefault="00AC4185">
            <w:pPr>
              <w:autoSpaceDE w:val="0"/>
              <w:autoSpaceDN w:val="0"/>
              <w:adjustRightInd w:val="0"/>
              <w:jc w:val="right"/>
              <w:rPr>
                <w:szCs w:val="21"/>
              </w:rPr>
            </w:pPr>
            <w:r>
              <w:t xml:space="preserve">　</w:t>
            </w:r>
          </w:p>
        </w:tc>
      </w:tr>
      <w:tr w:rsidR="00E57DAA" w14:paraId="2B15E6B6" w14:textId="77777777">
        <w:tc>
          <w:tcPr>
            <w:tcW w:w="640" w:type="pct"/>
            <w:tcBorders>
              <w:top w:val="single" w:sz="4" w:space="0" w:color="auto"/>
              <w:left w:val="single" w:sz="4" w:space="0" w:color="auto"/>
              <w:bottom w:val="single" w:sz="4" w:space="0" w:color="auto"/>
              <w:right w:val="single" w:sz="4" w:space="0" w:color="auto"/>
            </w:tcBorders>
            <w:vAlign w:val="center"/>
          </w:tcPr>
          <w:p w14:paraId="2FCBC32D"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70B68F8" w14:textId="77777777" w:rsidR="00E57DAA" w:rsidRDefault="00AC4185">
            <w:pPr>
              <w:autoSpaceDE w:val="0"/>
              <w:autoSpaceDN w:val="0"/>
              <w:adjustRightInd w:val="0"/>
              <w:rPr>
                <w:szCs w:val="21"/>
              </w:rPr>
            </w:pPr>
            <w:r>
              <w:t>上海新建重型机械有限公司</w:t>
            </w:r>
          </w:p>
        </w:tc>
        <w:tc>
          <w:tcPr>
            <w:tcW w:w="1059" w:type="pct"/>
            <w:tcBorders>
              <w:top w:val="single" w:sz="4" w:space="0" w:color="auto"/>
              <w:left w:val="single" w:sz="4" w:space="0" w:color="auto"/>
              <w:bottom w:val="single" w:sz="4" w:space="0" w:color="auto"/>
              <w:right w:val="single" w:sz="4" w:space="0" w:color="auto"/>
            </w:tcBorders>
          </w:tcPr>
          <w:p w14:paraId="4BC6C0D8" w14:textId="77777777" w:rsidR="00E57DAA" w:rsidRDefault="00AC4185">
            <w:pPr>
              <w:autoSpaceDE w:val="0"/>
              <w:autoSpaceDN w:val="0"/>
              <w:adjustRightInd w:val="0"/>
              <w:jc w:val="right"/>
              <w:rPr>
                <w:szCs w:val="21"/>
              </w:rPr>
            </w:pPr>
            <w:r>
              <w:t>10,000.00</w:t>
            </w:r>
          </w:p>
        </w:tc>
        <w:tc>
          <w:tcPr>
            <w:tcW w:w="1407" w:type="pct"/>
            <w:tcBorders>
              <w:top w:val="single" w:sz="4" w:space="0" w:color="auto"/>
              <w:left w:val="single" w:sz="4" w:space="0" w:color="auto"/>
              <w:bottom w:val="single" w:sz="4" w:space="0" w:color="auto"/>
              <w:right w:val="single" w:sz="4" w:space="0" w:color="auto"/>
            </w:tcBorders>
          </w:tcPr>
          <w:p w14:paraId="22E0F4A3" w14:textId="77777777" w:rsidR="00E57DAA" w:rsidRDefault="00AC4185">
            <w:pPr>
              <w:autoSpaceDE w:val="0"/>
              <w:autoSpaceDN w:val="0"/>
              <w:adjustRightInd w:val="0"/>
              <w:jc w:val="right"/>
              <w:rPr>
                <w:szCs w:val="21"/>
              </w:rPr>
            </w:pPr>
            <w:r>
              <w:t>5,000.00</w:t>
            </w:r>
          </w:p>
        </w:tc>
      </w:tr>
      <w:tr w:rsidR="00E57DAA" w14:paraId="470FFAD5" w14:textId="77777777">
        <w:tc>
          <w:tcPr>
            <w:tcW w:w="640" w:type="pct"/>
            <w:tcBorders>
              <w:top w:val="single" w:sz="4" w:space="0" w:color="auto"/>
              <w:left w:val="single" w:sz="4" w:space="0" w:color="auto"/>
              <w:bottom w:val="single" w:sz="4" w:space="0" w:color="auto"/>
              <w:right w:val="single" w:sz="4" w:space="0" w:color="auto"/>
            </w:tcBorders>
            <w:vAlign w:val="center"/>
          </w:tcPr>
          <w:p w14:paraId="02409143"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02117336" w14:textId="77777777" w:rsidR="00E57DAA" w:rsidRDefault="00AC4185">
            <w:pPr>
              <w:autoSpaceDE w:val="0"/>
              <w:autoSpaceDN w:val="0"/>
              <w:adjustRightInd w:val="0"/>
              <w:rPr>
                <w:szCs w:val="21"/>
              </w:rPr>
            </w:pPr>
            <w:r>
              <w:t>凯盛重工有限公司</w:t>
            </w:r>
          </w:p>
        </w:tc>
        <w:tc>
          <w:tcPr>
            <w:tcW w:w="1059" w:type="pct"/>
            <w:tcBorders>
              <w:top w:val="single" w:sz="4" w:space="0" w:color="auto"/>
              <w:left w:val="single" w:sz="4" w:space="0" w:color="auto"/>
              <w:bottom w:val="single" w:sz="4" w:space="0" w:color="auto"/>
              <w:right w:val="single" w:sz="4" w:space="0" w:color="auto"/>
            </w:tcBorders>
          </w:tcPr>
          <w:p w14:paraId="727D971D"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571B22B9" w14:textId="77777777" w:rsidR="00E57DAA" w:rsidRDefault="00AC4185">
            <w:pPr>
              <w:autoSpaceDE w:val="0"/>
              <w:autoSpaceDN w:val="0"/>
              <w:adjustRightInd w:val="0"/>
              <w:jc w:val="right"/>
              <w:rPr>
                <w:szCs w:val="21"/>
              </w:rPr>
            </w:pPr>
            <w:r>
              <w:t>2,000,000.00</w:t>
            </w:r>
          </w:p>
        </w:tc>
      </w:tr>
      <w:tr w:rsidR="00E57DAA" w14:paraId="0CD74FFA" w14:textId="77777777">
        <w:tc>
          <w:tcPr>
            <w:tcW w:w="640" w:type="pct"/>
            <w:tcBorders>
              <w:top w:val="single" w:sz="4" w:space="0" w:color="auto"/>
              <w:left w:val="single" w:sz="4" w:space="0" w:color="auto"/>
              <w:bottom w:val="single" w:sz="4" w:space="0" w:color="auto"/>
              <w:right w:val="single" w:sz="4" w:space="0" w:color="auto"/>
            </w:tcBorders>
            <w:vAlign w:val="center"/>
          </w:tcPr>
          <w:p w14:paraId="4B169F3C"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3DE7A32E" w14:textId="77777777" w:rsidR="00E57DAA" w:rsidRDefault="00AC4185">
            <w:pPr>
              <w:autoSpaceDE w:val="0"/>
              <w:autoSpaceDN w:val="0"/>
              <w:adjustRightInd w:val="0"/>
              <w:rPr>
                <w:szCs w:val="21"/>
              </w:rPr>
            </w:pPr>
            <w:r>
              <w:t>扬州中科半导体照明有限公司</w:t>
            </w:r>
          </w:p>
        </w:tc>
        <w:tc>
          <w:tcPr>
            <w:tcW w:w="1059" w:type="pct"/>
            <w:tcBorders>
              <w:top w:val="single" w:sz="4" w:space="0" w:color="auto"/>
              <w:left w:val="single" w:sz="4" w:space="0" w:color="auto"/>
              <w:bottom w:val="single" w:sz="4" w:space="0" w:color="auto"/>
              <w:right w:val="single" w:sz="4" w:space="0" w:color="auto"/>
            </w:tcBorders>
          </w:tcPr>
          <w:p w14:paraId="7A6BE224"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7CF7565" w14:textId="77777777" w:rsidR="00E57DAA" w:rsidRDefault="00AC4185">
            <w:pPr>
              <w:autoSpaceDE w:val="0"/>
              <w:autoSpaceDN w:val="0"/>
              <w:adjustRightInd w:val="0"/>
              <w:jc w:val="right"/>
              <w:rPr>
                <w:szCs w:val="21"/>
              </w:rPr>
            </w:pPr>
            <w:r>
              <w:t>50,000.00</w:t>
            </w:r>
          </w:p>
        </w:tc>
      </w:tr>
      <w:tr w:rsidR="00E57DAA" w14:paraId="689C24DE" w14:textId="77777777">
        <w:tc>
          <w:tcPr>
            <w:tcW w:w="640" w:type="pct"/>
            <w:tcBorders>
              <w:top w:val="single" w:sz="4" w:space="0" w:color="auto"/>
              <w:left w:val="single" w:sz="4" w:space="0" w:color="auto"/>
              <w:bottom w:val="single" w:sz="4" w:space="0" w:color="auto"/>
              <w:right w:val="single" w:sz="4" w:space="0" w:color="auto"/>
            </w:tcBorders>
            <w:vAlign w:val="center"/>
          </w:tcPr>
          <w:p w14:paraId="3B23EAB5"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6BF00721" w14:textId="77777777" w:rsidR="00E57DAA" w:rsidRDefault="00AC4185">
            <w:pPr>
              <w:autoSpaceDE w:val="0"/>
              <w:autoSpaceDN w:val="0"/>
              <w:adjustRightInd w:val="0"/>
              <w:rPr>
                <w:szCs w:val="21"/>
              </w:rPr>
            </w:pPr>
            <w:r>
              <w:t>其他关联方</w:t>
            </w:r>
          </w:p>
        </w:tc>
        <w:tc>
          <w:tcPr>
            <w:tcW w:w="1059" w:type="pct"/>
            <w:tcBorders>
              <w:top w:val="single" w:sz="4" w:space="0" w:color="auto"/>
              <w:left w:val="single" w:sz="4" w:space="0" w:color="auto"/>
              <w:bottom w:val="single" w:sz="4" w:space="0" w:color="auto"/>
              <w:right w:val="single" w:sz="4" w:space="0" w:color="auto"/>
            </w:tcBorders>
          </w:tcPr>
          <w:p w14:paraId="724E73F9"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46C40261" w14:textId="77777777" w:rsidR="00E57DAA" w:rsidRDefault="00AC4185">
            <w:pPr>
              <w:autoSpaceDE w:val="0"/>
              <w:autoSpaceDN w:val="0"/>
              <w:adjustRightInd w:val="0"/>
              <w:jc w:val="right"/>
              <w:rPr>
                <w:szCs w:val="21"/>
              </w:rPr>
            </w:pPr>
            <w:r>
              <w:t xml:space="preserve">　</w:t>
            </w:r>
          </w:p>
        </w:tc>
      </w:tr>
      <w:tr w:rsidR="00E57DAA" w14:paraId="1C60BECB" w14:textId="77777777">
        <w:tc>
          <w:tcPr>
            <w:tcW w:w="640" w:type="pct"/>
            <w:tcBorders>
              <w:top w:val="single" w:sz="4" w:space="0" w:color="auto"/>
              <w:left w:val="single" w:sz="4" w:space="0" w:color="auto"/>
              <w:bottom w:val="single" w:sz="4" w:space="0" w:color="auto"/>
              <w:right w:val="single" w:sz="4" w:space="0" w:color="auto"/>
            </w:tcBorders>
            <w:vAlign w:val="center"/>
          </w:tcPr>
          <w:p w14:paraId="493F4C7D"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C662A35" w14:textId="77777777" w:rsidR="00E57DAA" w:rsidRDefault="00AC4185">
            <w:pPr>
              <w:autoSpaceDE w:val="0"/>
              <w:autoSpaceDN w:val="0"/>
              <w:adjustRightInd w:val="0"/>
              <w:rPr>
                <w:szCs w:val="21"/>
              </w:rPr>
            </w:pPr>
            <w:r>
              <w:t>成都安美科机电有限公司</w:t>
            </w:r>
          </w:p>
        </w:tc>
        <w:tc>
          <w:tcPr>
            <w:tcW w:w="1059" w:type="pct"/>
            <w:tcBorders>
              <w:top w:val="single" w:sz="4" w:space="0" w:color="auto"/>
              <w:left w:val="single" w:sz="4" w:space="0" w:color="auto"/>
              <w:bottom w:val="single" w:sz="4" w:space="0" w:color="auto"/>
              <w:right w:val="single" w:sz="4" w:space="0" w:color="auto"/>
            </w:tcBorders>
          </w:tcPr>
          <w:p w14:paraId="166E0215" w14:textId="77777777" w:rsidR="00E57DAA" w:rsidRDefault="00AC4185">
            <w:pPr>
              <w:autoSpaceDE w:val="0"/>
              <w:autoSpaceDN w:val="0"/>
              <w:adjustRightInd w:val="0"/>
              <w:jc w:val="right"/>
              <w:rPr>
                <w:szCs w:val="21"/>
              </w:rPr>
            </w:pPr>
            <w:r>
              <w:t>8,812,920.00</w:t>
            </w:r>
          </w:p>
        </w:tc>
        <w:tc>
          <w:tcPr>
            <w:tcW w:w="1407" w:type="pct"/>
            <w:tcBorders>
              <w:top w:val="single" w:sz="4" w:space="0" w:color="auto"/>
              <w:left w:val="single" w:sz="4" w:space="0" w:color="auto"/>
              <w:bottom w:val="single" w:sz="4" w:space="0" w:color="auto"/>
              <w:right w:val="single" w:sz="4" w:space="0" w:color="auto"/>
            </w:tcBorders>
          </w:tcPr>
          <w:p w14:paraId="15529668" w14:textId="77777777" w:rsidR="00E57DAA" w:rsidRDefault="00AC4185">
            <w:pPr>
              <w:autoSpaceDE w:val="0"/>
              <w:autoSpaceDN w:val="0"/>
              <w:adjustRightInd w:val="0"/>
              <w:jc w:val="right"/>
              <w:rPr>
                <w:szCs w:val="21"/>
              </w:rPr>
            </w:pPr>
            <w:r>
              <w:t>38,113.08</w:t>
            </w:r>
          </w:p>
        </w:tc>
      </w:tr>
      <w:tr w:rsidR="00E57DAA" w14:paraId="71015CAD" w14:textId="77777777">
        <w:tc>
          <w:tcPr>
            <w:tcW w:w="640" w:type="pct"/>
            <w:tcBorders>
              <w:top w:val="single" w:sz="4" w:space="0" w:color="auto"/>
              <w:left w:val="single" w:sz="4" w:space="0" w:color="auto"/>
              <w:bottom w:val="single" w:sz="4" w:space="0" w:color="auto"/>
              <w:right w:val="single" w:sz="4" w:space="0" w:color="auto"/>
            </w:tcBorders>
            <w:vAlign w:val="center"/>
          </w:tcPr>
          <w:p w14:paraId="46842F43"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815FC0C" w14:textId="77777777" w:rsidR="00E57DAA" w:rsidRDefault="00AC4185">
            <w:pPr>
              <w:autoSpaceDE w:val="0"/>
              <w:autoSpaceDN w:val="0"/>
              <w:adjustRightInd w:val="0"/>
              <w:rPr>
                <w:szCs w:val="21"/>
              </w:rPr>
            </w:pPr>
            <w:r>
              <w:t>成都科睿众联企业管理中心（有限合伙）</w:t>
            </w:r>
          </w:p>
        </w:tc>
        <w:tc>
          <w:tcPr>
            <w:tcW w:w="1059" w:type="pct"/>
            <w:tcBorders>
              <w:top w:val="single" w:sz="4" w:space="0" w:color="auto"/>
              <w:left w:val="single" w:sz="4" w:space="0" w:color="auto"/>
              <w:bottom w:val="single" w:sz="4" w:space="0" w:color="auto"/>
              <w:right w:val="single" w:sz="4" w:space="0" w:color="auto"/>
            </w:tcBorders>
          </w:tcPr>
          <w:p w14:paraId="5E7348FA" w14:textId="77777777" w:rsidR="00E57DAA" w:rsidRDefault="00AC4185">
            <w:pPr>
              <w:autoSpaceDE w:val="0"/>
              <w:autoSpaceDN w:val="0"/>
              <w:adjustRightInd w:val="0"/>
              <w:jc w:val="right"/>
              <w:rPr>
                <w:szCs w:val="21"/>
              </w:rPr>
            </w:pPr>
            <w:r>
              <w:t>2,597,303.00</w:t>
            </w:r>
          </w:p>
        </w:tc>
        <w:tc>
          <w:tcPr>
            <w:tcW w:w="1407" w:type="pct"/>
            <w:tcBorders>
              <w:top w:val="single" w:sz="4" w:space="0" w:color="auto"/>
              <w:left w:val="single" w:sz="4" w:space="0" w:color="auto"/>
              <w:bottom w:val="single" w:sz="4" w:space="0" w:color="auto"/>
              <w:right w:val="single" w:sz="4" w:space="0" w:color="auto"/>
            </w:tcBorders>
          </w:tcPr>
          <w:p w14:paraId="07C378E3" w14:textId="77777777" w:rsidR="00E57DAA" w:rsidRDefault="00AC4185">
            <w:pPr>
              <w:autoSpaceDE w:val="0"/>
              <w:autoSpaceDN w:val="0"/>
              <w:adjustRightInd w:val="0"/>
              <w:jc w:val="right"/>
              <w:rPr>
                <w:szCs w:val="21"/>
              </w:rPr>
            </w:pPr>
            <w:r>
              <w:t xml:space="preserve">　</w:t>
            </w:r>
          </w:p>
        </w:tc>
      </w:tr>
      <w:tr w:rsidR="00E57DAA" w14:paraId="0CFE614B" w14:textId="77777777">
        <w:tc>
          <w:tcPr>
            <w:tcW w:w="640" w:type="pct"/>
            <w:tcBorders>
              <w:top w:val="single" w:sz="4" w:space="0" w:color="auto"/>
              <w:left w:val="single" w:sz="4" w:space="0" w:color="auto"/>
              <w:bottom w:val="single" w:sz="4" w:space="0" w:color="auto"/>
              <w:right w:val="single" w:sz="4" w:space="0" w:color="auto"/>
            </w:tcBorders>
            <w:vAlign w:val="center"/>
          </w:tcPr>
          <w:p w14:paraId="5C4D4C3C"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C728F83" w14:textId="77777777" w:rsidR="00E57DAA" w:rsidRDefault="00AC4185">
            <w:pPr>
              <w:autoSpaceDE w:val="0"/>
              <w:autoSpaceDN w:val="0"/>
              <w:adjustRightInd w:val="0"/>
              <w:rPr>
                <w:szCs w:val="21"/>
              </w:rPr>
            </w:pPr>
            <w:r>
              <w:t>飞渡航天科技有限公司</w:t>
            </w:r>
          </w:p>
        </w:tc>
        <w:tc>
          <w:tcPr>
            <w:tcW w:w="1059" w:type="pct"/>
            <w:tcBorders>
              <w:top w:val="single" w:sz="4" w:space="0" w:color="auto"/>
              <w:left w:val="single" w:sz="4" w:space="0" w:color="auto"/>
              <w:bottom w:val="single" w:sz="4" w:space="0" w:color="auto"/>
              <w:right w:val="single" w:sz="4" w:space="0" w:color="auto"/>
            </w:tcBorders>
          </w:tcPr>
          <w:p w14:paraId="71F855C6" w14:textId="77777777" w:rsidR="00E57DAA" w:rsidRDefault="00AC4185">
            <w:pPr>
              <w:autoSpaceDE w:val="0"/>
              <w:autoSpaceDN w:val="0"/>
              <w:adjustRightInd w:val="0"/>
              <w:jc w:val="right"/>
              <w:rPr>
                <w:szCs w:val="21"/>
              </w:rPr>
            </w:pPr>
            <w:r>
              <w:t>400,000.00</w:t>
            </w:r>
          </w:p>
        </w:tc>
        <w:tc>
          <w:tcPr>
            <w:tcW w:w="1407" w:type="pct"/>
            <w:tcBorders>
              <w:top w:val="single" w:sz="4" w:space="0" w:color="auto"/>
              <w:left w:val="single" w:sz="4" w:space="0" w:color="auto"/>
              <w:bottom w:val="single" w:sz="4" w:space="0" w:color="auto"/>
              <w:right w:val="single" w:sz="4" w:space="0" w:color="auto"/>
            </w:tcBorders>
          </w:tcPr>
          <w:p w14:paraId="5EFF8E2E" w14:textId="77777777" w:rsidR="00E57DAA" w:rsidRDefault="00AC4185">
            <w:pPr>
              <w:autoSpaceDE w:val="0"/>
              <w:autoSpaceDN w:val="0"/>
              <w:adjustRightInd w:val="0"/>
              <w:jc w:val="right"/>
              <w:rPr>
                <w:szCs w:val="21"/>
              </w:rPr>
            </w:pPr>
            <w:r>
              <w:t xml:space="preserve">　</w:t>
            </w:r>
          </w:p>
        </w:tc>
      </w:tr>
      <w:tr w:rsidR="00E57DAA" w14:paraId="03A635A4" w14:textId="77777777">
        <w:tc>
          <w:tcPr>
            <w:tcW w:w="640" w:type="pct"/>
            <w:tcBorders>
              <w:top w:val="single" w:sz="4" w:space="0" w:color="auto"/>
              <w:left w:val="single" w:sz="4" w:space="0" w:color="auto"/>
              <w:bottom w:val="single" w:sz="4" w:space="0" w:color="auto"/>
              <w:right w:val="single" w:sz="4" w:space="0" w:color="auto"/>
            </w:tcBorders>
            <w:vAlign w:val="center"/>
          </w:tcPr>
          <w:p w14:paraId="15E720E9"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EE659FE" w14:textId="77777777" w:rsidR="00E57DAA" w:rsidRDefault="00AC4185">
            <w:pPr>
              <w:autoSpaceDE w:val="0"/>
              <w:autoSpaceDN w:val="0"/>
              <w:adjustRightInd w:val="0"/>
              <w:rPr>
                <w:szCs w:val="21"/>
              </w:rPr>
            </w:pPr>
            <w:r>
              <w:t>江西瑞金万年青水泥有限责任公司</w:t>
            </w:r>
          </w:p>
        </w:tc>
        <w:tc>
          <w:tcPr>
            <w:tcW w:w="1059" w:type="pct"/>
            <w:tcBorders>
              <w:top w:val="single" w:sz="4" w:space="0" w:color="auto"/>
              <w:left w:val="single" w:sz="4" w:space="0" w:color="auto"/>
              <w:bottom w:val="single" w:sz="4" w:space="0" w:color="auto"/>
              <w:right w:val="single" w:sz="4" w:space="0" w:color="auto"/>
            </w:tcBorders>
          </w:tcPr>
          <w:p w14:paraId="46174CD3" w14:textId="77777777" w:rsidR="00E57DAA" w:rsidRDefault="00AC4185">
            <w:pPr>
              <w:autoSpaceDE w:val="0"/>
              <w:autoSpaceDN w:val="0"/>
              <w:adjustRightInd w:val="0"/>
              <w:jc w:val="right"/>
              <w:rPr>
                <w:szCs w:val="21"/>
              </w:rPr>
            </w:pPr>
            <w:r>
              <w:t>60,000.00</w:t>
            </w:r>
          </w:p>
        </w:tc>
        <w:tc>
          <w:tcPr>
            <w:tcW w:w="1407" w:type="pct"/>
            <w:tcBorders>
              <w:top w:val="single" w:sz="4" w:space="0" w:color="auto"/>
              <w:left w:val="single" w:sz="4" w:space="0" w:color="auto"/>
              <w:bottom w:val="single" w:sz="4" w:space="0" w:color="auto"/>
              <w:right w:val="single" w:sz="4" w:space="0" w:color="auto"/>
            </w:tcBorders>
          </w:tcPr>
          <w:p w14:paraId="06EB158B" w14:textId="77777777" w:rsidR="00E57DAA" w:rsidRDefault="00AC4185">
            <w:pPr>
              <w:autoSpaceDE w:val="0"/>
              <w:autoSpaceDN w:val="0"/>
              <w:adjustRightInd w:val="0"/>
              <w:jc w:val="right"/>
              <w:rPr>
                <w:szCs w:val="21"/>
              </w:rPr>
            </w:pPr>
            <w:r>
              <w:t xml:space="preserve">　</w:t>
            </w:r>
          </w:p>
        </w:tc>
      </w:tr>
      <w:tr w:rsidR="00E57DAA" w14:paraId="2206EAB7" w14:textId="77777777">
        <w:tc>
          <w:tcPr>
            <w:tcW w:w="640" w:type="pct"/>
            <w:tcBorders>
              <w:top w:val="single" w:sz="4" w:space="0" w:color="auto"/>
              <w:left w:val="single" w:sz="4" w:space="0" w:color="auto"/>
              <w:bottom w:val="single" w:sz="4" w:space="0" w:color="auto"/>
              <w:right w:val="single" w:sz="4" w:space="0" w:color="auto"/>
            </w:tcBorders>
            <w:vAlign w:val="center"/>
          </w:tcPr>
          <w:p w14:paraId="1A647447"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1ACD74E7" w14:textId="77777777" w:rsidR="00E57DAA" w:rsidRDefault="00AC4185">
            <w:pPr>
              <w:autoSpaceDE w:val="0"/>
              <w:autoSpaceDN w:val="0"/>
              <w:adjustRightInd w:val="0"/>
              <w:rPr>
                <w:szCs w:val="21"/>
              </w:rPr>
            </w:pPr>
            <w:r>
              <w:t>杭州博宇机械有限公司</w:t>
            </w:r>
          </w:p>
        </w:tc>
        <w:tc>
          <w:tcPr>
            <w:tcW w:w="1059" w:type="pct"/>
            <w:tcBorders>
              <w:top w:val="single" w:sz="4" w:space="0" w:color="auto"/>
              <w:left w:val="single" w:sz="4" w:space="0" w:color="auto"/>
              <w:bottom w:val="single" w:sz="4" w:space="0" w:color="auto"/>
              <w:right w:val="single" w:sz="4" w:space="0" w:color="auto"/>
            </w:tcBorders>
          </w:tcPr>
          <w:p w14:paraId="570A82BB" w14:textId="77777777" w:rsidR="00E57DAA" w:rsidRDefault="00AC4185">
            <w:pPr>
              <w:autoSpaceDE w:val="0"/>
              <w:autoSpaceDN w:val="0"/>
              <w:adjustRightInd w:val="0"/>
              <w:jc w:val="right"/>
              <w:rPr>
                <w:szCs w:val="21"/>
              </w:rPr>
            </w:pPr>
            <w:r>
              <w:t>56,018.20</w:t>
            </w:r>
          </w:p>
        </w:tc>
        <w:tc>
          <w:tcPr>
            <w:tcW w:w="1407" w:type="pct"/>
            <w:tcBorders>
              <w:top w:val="single" w:sz="4" w:space="0" w:color="auto"/>
              <w:left w:val="single" w:sz="4" w:space="0" w:color="auto"/>
              <w:bottom w:val="single" w:sz="4" w:space="0" w:color="auto"/>
              <w:right w:val="single" w:sz="4" w:space="0" w:color="auto"/>
            </w:tcBorders>
          </w:tcPr>
          <w:p w14:paraId="49461E58" w14:textId="77777777" w:rsidR="00E57DAA" w:rsidRDefault="00AC4185">
            <w:pPr>
              <w:autoSpaceDE w:val="0"/>
              <w:autoSpaceDN w:val="0"/>
              <w:adjustRightInd w:val="0"/>
              <w:jc w:val="right"/>
              <w:rPr>
                <w:szCs w:val="21"/>
              </w:rPr>
            </w:pPr>
            <w:r>
              <w:t xml:space="preserve">　</w:t>
            </w:r>
          </w:p>
        </w:tc>
      </w:tr>
      <w:tr w:rsidR="00E57DAA" w14:paraId="36B29FE5" w14:textId="77777777">
        <w:tc>
          <w:tcPr>
            <w:tcW w:w="640" w:type="pct"/>
            <w:tcBorders>
              <w:top w:val="single" w:sz="4" w:space="0" w:color="auto"/>
              <w:left w:val="single" w:sz="4" w:space="0" w:color="auto"/>
              <w:bottom w:val="single" w:sz="4" w:space="0" w:color="auto"/>
              <w:right w:val="single" w:sz="4" w:space="0" w:color="auto"/>
            </w:tcBorders>
            <w:vAlign w:val="center"/>
          </w:tcPr>
          <w:p w14:paraId="7E6732A9" w14:textId="77777777" w:rsidR="00E57DAA" w:rsidRDefault="00AC4185">
            <w:pPr>
              <w:autoSpaceDE w:val="0"/>
              <w:autoSpaceDN w:val="0"/>
              <w:adjustRightInd w:val="0"/>
              <w:rPr>
                <w:szCs w:val="21"/>
              </w:rPr>
            </w:pPr>
            <w:r>
              <w:t>其他应付款</w:t>
            </w:r>
          </w:p>
        </w:tc>
        <w:tc>
          <w:tcPr>
            <w:tcW w:w="1894" w:type="pct"/>
            <w:tcBorders>
              <w:top w:val="single" w:sz="4" w:space="0" w:color="auto"/>
              <w:left w:val="single" w:sz="4" w:space="0" w:color="auto"/>
              <w:bottom w:val="single" w:sz="4" w:space="0" w:color="auto"/>
              <w:right w:val="single" w:sz="4" w:space="0" w:color="auto"/>
            </w:tcBorders>
          </w:tcPr>
          <w:p w14:paraId="580F88D6" w14:textId="77777777" w:rsidR="00E57DAA" w:rsidRDefault="00AC4185">
            <w:pPr>
              <w:autoSpaceDE w:val="0"/>
              <w:autoSpaceDN w:val="0"/>
              <w:adjustRightInd w:val="0"/>
              <w:rPr>
                <w:szCs w:val="21"/>
              </w:rPr>
            </w:pPr>
            <w:r>
              <w:t>江西玉山万年青水泥有限公司</w:t>
            </w:r>
          </w:p>
        </w:tc>
        <w:tc>
          <w:tcPr>
            <w:tcW w:w="1059" w:type="pct"/>
            <w:tcBorders>
              <w:top w:val="single" w:sz="4" w:space="0" w:color="auto"/>
              <w:left w:val="single" w:sz="4" w:space="0" w:color="auto"/>
              <w:bottom w:val="single" w:sz="4" w:space="0" w:color="auto"/>
              <w:right w:val="single" w:sz="4" w:space="0" w:color="auto"/>
            </w:tcBorders>
          </w:tcPr>
          <w:p w14:paraId="670154EE"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39240A79" w14:textId="77777777" w:rsidR="00E57DAA" w:rsidRDefault="00AC4185">
            <w:pPr>
              <w:autoSpaceDE w:val="0"/>
              <w:autoSpaceDN w:val="0"/>
              <w:adjustRightInd w:val="0"/>
              <w:jc w:val="right"/>
              <w:rPr>
                <w:szCs w:val="21"/>
              </w:rPr>
            </w:pPr>
            <w:r>
              <w:t>1,000.00</w:t>
            </w:r>
          </w:p>
        </w:tc>
      </w:tr>
      <w:tr w:rsidR="00E57DAA" w14:paraId="12BA7615" w14:textId="77777777">
        <w:tc>
          <w:tcPr>
            <w:tcW w:w="640" w:type="pct"/>
            <w:tcBorders>
              <w:top w:val="single" w:sz="4" w:space="0" w:color="auto"/>
              <w:left w:val="single" w:sz="4" w:space="0" w:color="auto"/>
              <w:bottom w:val="single" w:sz="4" w:space="0" w:color="auto"/>
              <w:right w:val="single" w:sz="4" w:space="0" w:color="auto"/>
            </w:tcBorders>
            <w:vAlign w:val="center"/>
          </w:tcPr>
          <w:p w14:paraId="7DACE928" w14:textId="77777777" w:rsidR="00E57DAA" w:rsidRDefault="00AC4185">
            <w:pPr>
              <w:autoSpaceDE w:val="0"/>
              <w:autoSpaceDN w:val="0"/>
              <w:adjustRightInd w:val="0"/>
              <w:rPr>
                <w:szCs w:val="21"/>
              </w:rPr>
            </w:pPr>
            <w:r>
              <w:t xml:space="preserve">　</w:t>
            </w:r>
          </w:p>
        </w:tc>
        <w:tc>
          <w:tcPr>
            <w:tcW w:w="1894" w:type="pct"/>
            <w:tcBorders>
              <w:top w:val="single" w:sz="4" w:space="0" w:color="auto"/>
              <w:left w:val="single" w:sz="4" w:space="0" w:color="auto"/>
              <w:bottom w:val="single" w:sz="4" w:space="0" w:color="auto"/>
              <w:right w:val="single" w:sz="4" w:space="0" w:color="auto"/>
            </w:tcBorders>
          </w:tcPr>
          <w:p w14:paraId="6D79A2FB" w14:textId="77777777" w:rsidR="00E57DAA" w:rsidRDefault="00AC4185">
            <w:pPr>
              <w:autoSpaceDE w:val="0"/>
              <w:autoSpaceDN w:val="0"/>
              <w:adjustRightInd w:val="0"/>
              <w:rPr>
                <w:szCs w:val="21"/>
              </w:rPr>
            </w:pPr>
            <w:r>
              <w:t>受最终控制方控制的其他企业</w:t>
            </w:r>
          </w:p>
        </w:tc>
        <w:tc>
          <w:tcPr>
            <w:tcW w:w="1059" w:type="pct"/>
            <w:tcBorders>
              <w:top w:val="single" w:sz="4" w:space="0" w:color="auto"/>
              <w:left w:val="single" w:sz="4" w:space="0" w:color="auto"/>
              <w:bottom w:val="single" w:sz="4" w:space="0" w:color="auto"/>
              <w:right w:val="single" w:sz="4" w:space="0" w:color="auto"/>
            </w:tcBorders>
          </w:tcPr>
          <w:p w14:paraId="6E6E7656" w14:textId="77777777" w:rsidR="00E57DAA" w:rsidRDefault="00AC4185">
            <w:pPr>
              <w:autoSpaceDE w:val="0"/>
              <w:autoSpaceDN w:val="0"/>
              <w:adjustRightInd w:val="0"/>
              <w:jc w:val="right"/>
              <w:rPr>
                <w:szCs w:val="21"/>
              </w:rPr>
            </w:pPr>
            <w:r>
              <w:t xml:space="preserve">　</w:t>
            </w:r>
          </w:p>
        </w:tc>
        <w:tc>
          <w:tcPr>
            <w:tcW w:w="1407" w:type="pct"/>
            <w:tcBorders>
              <w:top w:val="single" w:sz="4" w:space="0" w:color="auto"/>
              <w:left w:val="single" w:sz="4" w:space="0" w:color="auto"/>
              <w:bottom w:val="single" w:sz="4" w:space="0" w:color="auto"/>
              <w:right w:val="single" w:sz="4" w:space="0" w:color="auto"/>
            </w:tcBorders>
          </w:tcPr>
          <w:p w14:paraId="1EBEA486" w14:textId="77777777" w:rsidR="00E57DAA" w:rsidRDefault="00AC4185">
            <w:pPr>
              <w:autoSpaceDE w:val="0"/>
              <w:autoSpaceDN w:val="0"/>
              <w:adjustRightInd w:val="0"/>
              <w:jc w:val="right"/>
              <w:rPr>
                <w:szCs w:val="21"/>
              </w:rPr>
            </w:pPr>
            <w:r>
              <w:t xml:space="preserve">　</w:t>
            </w:r>
          </w:p>
        </w:tc>
      </w:tr>
      <w:tr w:rsidR="00E57DAA" w14:paraId="34F713AA" w14:textId="77777777">
        <w:tc>
          <w:tcPr>
            <w:tcW w:w="640" w:type="pct"/>
            <w:tcBorders>
              <w:top w:val="single" w:sz="4" w:space="0" w:color="auto"/>
              <w:left w:val="single" w:sz="4" w:space="0" w:color="auto"/>
              <w:bottom w:val="single" w:sz="4" w:space="0" w:color="auto"/>
              <w:right w:val="single" w:sz="4" w:space="0" w:color="auto"/>
            </w:tcBorders>
            <w:vAlign w:val="center"/>
          </w:tcPr>
          <w:p w14:paraId="1650CF76" w14:textId="77777777" w:rsidR="00E57DAA" w:rsidRDefault="00AC4185">
            <w:pPr>
              <w:autoSpaceDE w:val="0"/>
              <w:autoSpaceDN w:val="0"/>
              <w:adjustRightInd w:val="0"/>
              <w:rPr>
                <w:szCs w:val="21"/>
              </w:rPr>
            </w:pPr>
            <w:r>
              <w:t>应付股利</w:t>
            </w:r>
          </w:p>
        </w:tc>
        <w:tc>
          <w:tcPr>
            <w:tcW w:w="1894" w:type="pct"/>
            <w:tcBorders>
              <w:top w:val="single" w:sz="4" w:space="0" w:color="auto"/>
              <w:left w:val="single" w:sz="4" w:space="0" w:color="auto"/>
              <w:bottom w:val="single" w:sz="4" w:space="0" w:color="auto"/>
              <w:right w:val="single" w:sz="4" w:space="0" w:color="auto"/>
            </w:tcBorders>
          </w:tcPr>
          <w:p w14:paraId="35338E73" w14:textId="77777777" w:rsidR="00E57DAA" w:rsidRDefault="00AC4185">
            <w:pPr>
              <w:autoSpaceDE w:val="0"/>
              <w:autoSpaceDN w:val="0"/>
              <w:adjustRightInd w:val="0"/>
              <w:rPr>
                <w:szCs w:val="21"/>
              </w:rPr>
            </w:pPr>
            <w:r>
              <w:t>中国建筑材料科学研究总院有限公司</w:t>
            </w:r>
          </w:p>
        </w:tc>
        <w:tc>
          <w:tcPr>
            <w:tcW w:w="1059" w:type="pct"/>
            <w:tcBorders>
              <w:top w:val="single" w:sz="4" w:space="0" w:color="auto"/>
              <w:left w:val="single" w:sz="4" w:space="0" w:color="auto"/>
              <w:bottom w:val="single" w:sz="4" w:space="0" w:color="auto"/>
              <w:right w:val="single" w:sz="4" w:space="0" w:color="auto"/>
            </w:tcBorders>
          </w:tcPr>
          <w:p w14:paraId="15ECAE8B" w14:textId="77777777" w:rsidR="00E57DAA" w:rsidRDefault="00AC4185">
            <w:pPr>
              <w:autoSpaceDE w:val="0"/>
              <w:autoSpaceDN w:val="0"/>
              <w:adjustRightInd w:val="0"/>
              <w:jc w:val="right"/>
              <w:rPr>
                <w:szCs w:val="21"/>
              </w:rPr>
            </w:pPr>
            <w:r>
              <w:t>254,745,773.51</w:t>
            </w:r>
          </w:p>
        </w:tc>
        <w:tc>
          <w:tcPr>
            <w:tcW w:w="1407" w:type="pct"/>
            <w:tcBorders>
              <w:top w:val="single" w:sz="4" w:space="0" w:color="auto"/>
              <w:left w:val="single" w:sz="4" w:space="0" w:color="auto"/>
              <w:bottom w:val="single" w:sz="4" w:space="0" w:color="auto"/>
              <w:right w:val="single" w:sz="4" w:space="0" w:color="auto"/>
            </w:tcBorders>
          </w:tcPr>
          <w:p w14:paraId="33F0B907" w14:textId="77777777" w:rsidR="00E57DAA" w:rsidRDefault="00AC4185">
            <w:pPr>
              <w:autoSpaceDE w:val="0"/>
              <w:autoSpaceDN w:val="0"/>
              <w:adjustRightInd w:val="0"/>
              <w:jc w:val="right"/>
              <w:rPr>
                <w:szCs w:val="21"/>
              </w:rPr>
            </w:pPr>
            <w:r>
              <w:t>300,486,292.45</w:t>
            </w:r>
          </w:p>
        </w:tc>
      </w:tr>
      <w:tr w:rsidR="00E57DAA" w14:paraId="3BB35B5E" w14:textId="77777777">
        <w:tc>
          <w:tcPr>
            <w:tcW w:w="640" w:type="pct"/>
            <w:tcBorders>
              <w:top w:val="single" w:sz="4" w:space="0" w:color="auto"/>
              <w:left w:val="single" w:sz="4" w:space="0" w:color="auto"/>
              <w:bottom w:val="single" w:sz="4" w:space="0" w:color="auto"/>
              <w:right w:val="single" w:sz="4" w:space="0" w:color="auto"/>
            </w:tcBorders>
            <w:vAlign w:val="center"/>
          </w:tcPr>
          <w:p w14:paraId="05BA3D99" w14:textId="77777777" w:rsidR="00E57DAA" w:rsidRDefault="00AC4185">
            <w:pPr>
              <w:autoSpaceDE w:val="0"/>
              <w:autoSpaceDN w:val="0"/>
              <w:adjustRightInd w:val="0"/>
              <w:rPr>
                <w:szCs w:val="21"/>
              </w:rPr>
            </w:pPr>
            <w:r>
              <w:t>应付股利</w:t>
            </w:r>
          </w:p>
        </w:tc>
        <w:tc>
          <w:tcPr>
            <w:tcW w:w="1894" w:type="pct"/>
            <w:tcBorders>
              <w:top w:val="single" w:sz="4" w:space="0" w:color="auto"/>
              <w:left w:val="single" w:sz="4" w:space="0" w:color="auto"/>
              <w:bottom w:val="single" w:sz="4" w:space="0" w:color="auto"/>
              <w:right w:val="single" w:sz="4" w:space="0" w:color="auto"/>
            </w:tcBorders>
          </w:tcPr>
          <w:p w14:paraId="54D9CC14" w14:textId="77777777" w:rsidR="00E57DAA" w:rsidRDefault="00AC4185">
            <w:pPr>
              <w:autoSpaceDE w:val="0"/>
              <w:autoSpaceDN w:val="0"/>
              <w:adjustRightInd w:val="0"/>
              <w:rPr>
                <w:szCs w:val="21"/>
              </w:rPr>
            </w:pPr>
            <w:r>
              <w:t>中国建材国际工程集团有限公司</w:t>
            </w:r>
          </w:p>
        </w:tc>
        <w:tc>
          <w:tcPr>
            <w:tcW w:w="1059" w:type="pct"/>
            <w:tcBorders>
              <w:top w:val="single" w:sz="4" w:space="0" w:color="auto"/>
              <w:left w:val="single" w:sz="4" w:space="0" w:color="auto"/>
              <w:bottom w:val="single" w:sz="4" w:space="0" w:color="auto"/>
              <w:right w:val="single" w:sz="4" w:space="0" w:color="auto"/>
            </w:tcBorders>
          </w:tcPr>
          <w:p w14:paraId="42770FA1" w14:textId="77777777" w:rsidR="00E57DAA" w:rsidRDefault="00AC4185">
            <w:pPr>
              <w:autoSpaceDE w:val="0"/>
              <w:autoSpaceDN w:val="0"/>
              <w:adjustRightInd w:val="0"/>
              <w:jc w:val="right"/>
              <w:rPr>
                <w:szCs w:val="21"/>
              </w:rPr>
            </w:pPr>
            <w:r>
              <w:t>13,573,555.80</w:t>
            </w:r>
          </w:p>
        </w:tc>
        <w:tc>
          <w:tcPr>
            <w:tcW w:w="1407" w:type="pct"/>
            <w:tcBorders>
              <w:top w:val="single" w:sz="4" w:space="0" w:color="auto"/>
              <w:left w:val="single" w:sz="4" w:space="0" w:color="auto"/>
              <w:bottom w:val="single" w:sz="4" w:space="0" w:color="auto"/>
              <w:right w:val="single" w:sz="4" w:space="0" w:color="auto"/>
            </w:tcBorders>
          </w:tcPr>
          <w:p w14:paraId="6C9F70B2" w14:textId="77777777" w:rsidR="00E57DAA" w:rsidRDefault="00AC4185">
            <w:pPr>
              <w:autoSpaceDE w:val="0"/>
              <w:autoSpaceDN w:val="0"/>
              <w:adjustRightInd w:val="0"/>
              <w:jc w:val="right"/>
              <w:rPr>
                <w:szCs w:val="21"/>
              </w:rPr>
            </w:pPr>
            <w:r>
              <w:t xml:space="preserve">　</w:t>
            </w:r>
          </w:p>
        </w:tc>
      </w:tr>
      <w:tr w:rsidR="00E57DAA" w14:paraId="12B0678D" w14:textId="77777777">
        <w:tc>
          <w:tcPr>
            <w:tcW w:w="640" w:type="pct"/>
            <w:tcBorders>
              <w:top w:val="single" w:sz="4" w:space="0" w:color="auto"/>
              <w:left w:val="single" w:sz="4" w:space="0" w:color="auto"/>
              <w:bottom w:val="single" w:sz="4" w:space="0" w:color="auto"/>
              <w:right w:val="single" w:sz="4" w:space="0" w:color="auto"/>
            </w:tcBorders>
            <w:vAlign w:val="center"/>
          </w:tcPr>
          <w:p w14:paraId="6AC504FB" w14:textId="77777777" w:rsidR="00E57DAA" w:rsidRDefault="00AC4185">
            <w:pPr>
              <w:autoSpaceDE w:val="0"/>
              <w:autoSpaceDN w:val="0"/>
              <w:adjustRightInd w:val="0"/>
              <w:rPr>
                <w:szCs w:val="21"/>
              </w:rPr>
            </w:pPr>
            <w:r>
              <w:lastRenderedPageBreak/>
              <w:t>应付股利</w:t>
            </w:r>
          </w:p>
        </w:tc>
        <w:tc>
          <w:tcPr>
            <w:tcW w:w="1894" w:type="pct"/>
            <w:tcBorders>
              <w:top w:val="single" w:sz="4" w:space="0" w:color="auto"/>
              <w:left w:val="single" w:sz="4" w:space="0" w:color="auto"/>
              <w:bottom w:val="single" w:sz="4" w:space="0" w:color="auto"/>
              <w:right w:val="single" w:sz="4" w:space="0" w:color="auto"/>
            </w:tcBorders>
          </w:tcPr>
          <w:p w14:paraId="235CF73D" w14:textId="77777777" w:rsidR="00E57DAA" w:rsidRDefault="00AC4185">
            <w:pPr>
              <w:autoSpaceDE w:val="0"/>
              <w:autoSpaceDN w:val="0"/>
              <w:adjustRightInd w:val="0"/>
              <w:rPr>
                <w:szCs w:val="21"/>
              </w:rPr>
            </w:pPr>
            <w:r>
              <w:t>中建材智慧物联有限公司</w:t>
            </w:r>
          </w:p>
        </w:tc>
        <w:tc>
          <w:tcPr>
            <w:tcW w:w="1059" w:type="pct"/>
            <w:tcBorders>
              <w:top w:val="single" w:sz="4" w:space="0" w:color="auto"/>
              <w:left w:val="single" w:sz="4" w:space="0" w:color="auto"/>
              <w:bottom w:val="single" w:sz="4" w:space="0" w:color="auto"/>
              <w:right w:val="single" w:sz="4" w:space="0" w:color="auto"/>
            </w:tcBorders>
          </w:tcPr>
          <w:p w14:paraId="4085A1EC" w14:textId="77777777" w:rsidR="00E57DAA" w:rsidRDefault="00AC4185">
            <w:pPr>
              <w:autoSpaceDE w:val="0"/>
              <w:autoSpaceDN w:val="0"/>
              <w:adjustRightInd w:val="0"/>
              <w:jc w:val="right"/>
              <w:rPr>
                <w:szCs w:val="21"/>
              </w:rPr>
            </w:pPr>
            <w:r>
              <w:t>7,869,534.13</w:t>
            </w:r>
          </w:p>
        </w:tc>
        <w:tc>
          <w:tcPr>
            <w:tcW w:w="1407" w:type="pct"/>
            <w:tcBorders>
              <w:top w:val="single" w:sz="4" w:space="0" w:color="auto"/>
              <w:left w:val="single" w:sz="4" w:space="0" w:color="auto"/>
              <w:bottom w:val="single" w:sz="4" w:space="0" w:color="auto"/>
              <w:right w:val="single" w:sz="4" w:space="0" w:color="auto"/>
            </w:tcBorders>
          </w:tcPr>
          <w:p w14:paraId="61A1AE81" w14:textId="77777777" w:rsidR="00E57DAA" w:rsidRDefault="00AC4185">
            <w:pPr>
              <w:autoSpaceDE w:val="0"/>
              <w:autoSpaceDN w:val="0"/>
              <w:adjustRightInd w:val="0"/>
              <w:jc w:val="right"/>
              <w:rPr>
                <w:szCs w:val="21"/>
              </w:rPr>
            </w:pPr>
            <w:r>
              <w:t xml:space="preserve">　</w:t>
            </w:r>
          </w:p>
        </w:tc>
      </w:tr>
      <w:tr w:rsidR="00E57DAA" w14:paraId="1A234E2B" w14:textId="77777777">
        <w:tc>
          <w:tcPr>
            <w:tcW w:w="640" w:type="pct"/>
            <w:tcBorders>
              <w:top w:val="single" w:sz="4" w:space="0" w:color="auto"/>
              <w:left w:val="single" w:sz="4" w:space="0" w:color="auto"/>
              <w:bottom w:val="single" w:sz="4" w:space="0" w:color="auto"/>
              <w:right w:val="single" w:sz="4" w:space="0" w:color="auto"/>
            </w:tcBorders>
            <w:vAlign w:val="center"/>
          </w:tcPr>
          <w:p w14:paraId="14815A27" w14:textId="77777777" w:rsidR="00E57DAA" w:rsidRDefault="00E57DAA">
            <w:pPr>
              <w:autoSpaceDE w:val="0"/>
              <w:autoSpaceDN w:val="0"/>
              <w:adjustRightInd w:val="0"/>
              <w:rPr>
                <w:szCs w:val="21"/>
              </w:rPr>
            </w:pPr>
          </w:p>
        </w:tc>
        <w:tc>
          <w:tcPr>
            <w:tcW w:w="1894" w:type="pct"/>
            <w:tcBorders>
              <w:top w:val="single" w:sz="4" w:space="0" w:color="auto"/>
              <w:left w:val="single" w:sz="4" w:space="0" w:color="auto"/>
              <w:bottom w:val="single" w:sz="4" w:space="0" w:color="auto"/>
              <w:right w:val="single" w:sz="4" w:space="0" w:color="auto"/>
            </w:tcBorders>
          </w:tcPr>
          <w:p w14:paraId="416C3A0C" w14:textId="77777777" w:rsidR="00E57DAA" w:rsidRDefault="00E57DAA">
            <w:pPr>
              <w:autoSpaceDE w:val="0"/>
              <w:autoSpaceDN w:val="0"/>
              <w:adjustRightInd w:val="0"/>
              <w:rPr>
                <w:szCs w:val="21"/>
              </w:rPr>
            </w:pPr>
          </w:p>
        </w:tc>
        <w:tc>
          <w:tcPr>
            <w:tcW w:w="1059" w:type="pct"/>
            <w:tcBorders>
              <w:top w:val="single" w:sz="4" w:space="0" w:color="auto"/>
              <w:left w:val="single" w:sz="4" w:space="0" w:color="auto"/>
              <w:bottom w:val="single" w:sz="4" w:space="0" w:color="auto"/>
              <w:right w:val="single" w:sz="4" w:space="0" w:color="auto"/>
            </w:tcBorders>
          </w:tcPr>
          <w:p w14:paraId="6FFBBAD1" w14:textId="77777777" w:rsidR="00E57DAA" w:rsidRDefault="00E57DAA">
            <w:pPr>
              <w:autoSpaceDE w:val="0"/>
              <w:autoSpaceDN w:val="0"/>
              <w:adjustRightInd w:val="0"/>
              <w:jc w:val="right"/>
              <w:rPr>
                <w:szCs w:val="21"/>
              </w:rPr>
            </w:pPr>
          </w:p>
        </w:tc>
        <w:tc>
          <w:tcPr>
            <w:tcW w:w="1407" w:type="pct"/>
            <w:tcBorders>
              <w:top w:val="single" w:sz="4" w:space="0" w:color="auto"/>
              <w:left w:val="single" w:sz="4" w:space="0" w:color="auto"/>
              <w:bottom w:val="single" w:sz="4" w:space="0" w:color="auto"/>
              <w:right w:val="single" w:sz="4" w:space="0" w:color="auto"/>
            </w:tcBorders>
          </w:tcPr>
          <w:p w14:paraId="273AE9AD" w14:textId="77777777" w:rsidR="00E57DAA" w:rsidRDefault="00E57DAA">
            <w:pPr>
              <w:autoSpaceDE w:val="0"/>
              <w:autoSpaceDN w:val="0"/>
              <w:adjustRightInd w:val="0"/>
              <w:jc w:val="right"/>
              <w:rPr>
                <w:szCs w:val="21"/>
              </w:rPr>
            </w:pPr>
          </w:p>
        </w:tc>
      </w:tr>
      <w:tr w:rsidR="00E57DAA" w14:paraId="0778EDE2" w14:textId="77777777">
        <w:tc>
          <w:tcPr>
            <w:tcW w:w="640" w:type="pct"/>
            <w:tcBorders>
              <w:top w:val="single" w:sz="4" w:space="0" w:color="auto"/>
              <w:left w:val="single" w:sz="4" w:space="0" w:color="auto"/>
              <w:bottom w:val="single" w:sz="4" w:space="0" w:color="auto"/>
              <w:right w:val="single" w:sz="4" w:space="0" w:color="auto"/>
            </w:tcBorders>
            <w:vAlign w:val="center"/>
          </w:tcPr>
          <w:p w14:paraId="577A8390" w14:textId="77777777" w:rsidR="00E57DAA" w:rsidRDefault="00E57DAA">
            <w:pPr>
              <w:autoSpaceDE w:val="0"/>
              <w:autoSpaceDN w:val="0"/>
              <w:adjustRightInd w:val="0"/>
              <w:rPr>
                <w:szCs w:val="21"/>
              </w:rPr>
            </w:pPr>
          </w:p>
        </w:tc>
        <w:tc>
          <w:tcPr>
            <w:tcW w:w="1894" w:type="pct"/>
            <w:tcBorders>
              <w:top w:val="single" w:sz="4" w:space="0" w:color="auto"/>
              <w:left w:val="single" w:sz="4" w:space="0" w:color="auto"/>
              <w:bottom w:val="single" w:sz="4" w:space="0" w:color="auto"/>
              <w:right w:val="single" w:sz="4" w:space="0" w:color="auto"/>
            </w:tcBorders>
          </w:tcPr>
          <w:p w14:paraId="12161125" w14:textId="77777777" w:rsidR="00E57DAA" w:rsidRDefault="00E57DAA">
            <w:pPr>
              <w:autoSpaceDE w:val="0"/>
              <w:autoSpaceDN w:val="0"/>
              <w:adjustRightInd w:val="0"/>
              <w:rPr>
                <w:szCs w:val="21"/>
              </w:rPr>
            </w:pPr>
          </w:p>
        </w:tc>
        <w:tc>
          <w:tcPr>
            <w:tcW w:w="1059" w:type="pct"/>
            <w:tcBorders>
              <w:top w:val="single" w:sz="4" w:space="0" w:color="auto"/>
              <w:left w:val="single" w:sz="4" w:space="0" w:color="auto"/>
              <w:bottom w:val="single" w:sz="4" w:space="0" w:color="auto"/>
              <w:right w:val="single" w:sz="4" w:space="0" w:color="auto"/>
            </w:tcBorders>
          </w:tcPr>
          <w:p w14:paraId="739C6625" w14:textId="77777777" w:rsidR="00E57DAA" w:rsidRDefault="00E57DAA">
            <w:pPr>
              <w:autoSpaceDE w:val="0"/>
              <w:autoSpaceDN w:val="0"/>
              <w:adjustRightInd w:val="0"/>
              <w:jc w:val="right"/>
              <w:rPr>
                <w:szCs w:val="21"/>
              </w:rPr>
            </w:pPr>
          </w:p>
        </w:tc>
        <w:tc>
          <w:tcPr>
            <w:tcW w:w="1407" w:type="pct"/>
            <w:tcBorders>
              <w:top w:val="single" w:sz="4" w:space="0" w:color="auto"/>
              <w:left w:val="single" w:sz="4" w:space="0" w:color="auto"/>
              <w:bottom w:val="single" w:sz="4" w:space="0" w:color="auto"/>
              <w:right w:val="single" w:sz="4" w:space="0" w:color="auto"/>
            </w:tcBorders>
          </w:tcPr>
          <w:p w14:paraId="52079200" w14:textId="77777777" w:rsidR="00E57DAA" w:rsidRDefault="00E57DAA">
            <w:pPr>
              <w:autoSpaceDE w:val="0"/>
              <w:autoSpaceDN w:val="0"/>
              <w:adjustRightInd w:val="0"/>
              <w:jc w:val="right"/>
              <w:rPr>
                <w:szCs w:val="21"/>
              </w:rPr>
            </w:pPr>
          </w:p>
        </w:tc>
      </w:tr>
    </w:tbl>
    <w:p w14:paraId="454AAF73" w14:textId="77777777" w:rsidR="00E57DAA" w:rsidRDefault="00E57DAA"/>
    <w:p w14:paraId="5D399908" w14:textId="77777777" w:rsidR="00E57DAA" w:rsidRDefault="00AC4185">
      <w:pPr>
        <w:pStyle w:val="4"/>
        <w:numPr>
          <w:ilvl w:val="3"/>
          <w:numId w:val="123"/>
        </w:numPr>
        <w:ind w:left="426" w:hangingChars="202" w:hanging="426"/>
      </w:pPr>
      <w:r>
        <w:rPr>
          <w:rFonts w:hint="eastAsia"/>
        </w:rPr>
        <w:t>其他项目</w:t>
      </w:r>
    </w:p>
    <w:sdt>
      <w:sdtPr>
        <w:rPr>
          <w:szCs w:val="21"/>
        </w:rPr>
        <w:alias w:val="是否适用：关联方其他未结算项目情况[双击切换]"/>
        <w:tag w:val="_GBC_61142f5ee3c54a58901e03781b59f5db"/>
        <w:id w:val="-1590850380"/>
        <w:placeholder>
          <w:docPart w:val="GBC22222222222222222222222222222"/>
        </w:placeholder>
      </w:sdtPr>
      <w:sdtEndPr/>
      <w:sdtContent>
        <w:p w14:paraId="05B0A1F9"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4428DAB" w14:textId="77777777" w:rsidR="00E57DAA" w:rsidRDefault="00E57DAA">
      <w:pPr>
        <w:rPr>
          <w:rFonts w:ascii="仿宋_GB2312" w:eastAsia="仿宋_GB2312"/>
          <w:szCs w:val="21"/>
        </w:rPr>
      </w:pPr>
    </w:p>
    <w:p w14:paraId="6841CC82" w14:textId="77777777" w:rsidR="00E57DAA" w:rsidRDefault="00AC4185" w:rsidP="00C25422">
      <w:pPr>
        <w:pStyle w:val="91"/>
        <w:numPr>
          <w:ilvl w:val="0"/>
          <w:numId w:val="121"/>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148400892"/>
        <w:placeholder>
          <w:docPart w:val="GBC22222222222222222222222222222"/>
        </w:placeholder>
      </w:sdtPr>
      <w:sdtEndPr/>
      <w:sdtContent>
        <w:p w14:paraId="3F4F8CF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DEBABC" w14:textId="77777777" w:rsidR="00E57DAA" w:rsidRDefault="00E57DAA">
      <w:pPr>
        <w:tabs>
          <w:tab w:val="left" w:pos="1134"/>
        </w:tabs>
        <w:rPr>
          <w:rFonts w:ascii="Cambria" w:eastAsiaTheme="minorEastAsia" w:hAnsi="Cambria" w:cs="Cambria"/>
          <w:sz w:val="20"/>
          <w:szCs w:val="20"/>
        </w:rPr>
      </w:pPr>
    </w:p>
    <w:p w14:paraId="20AEBF8D" w14:textId="77777777" w:rsidR="00E57DAA" w:rsidRDefault="00AC4185" w:rsidP="00C25422">
      <w:pPr>
        <w:pStyle w:val="91"/>
        <w:numPr>
          <w:ilvl w:val="0"/>
          <w:numId w:val="121"/>
        </w:numPr>
        <w:rPr>
          <w:rFonts w:ascii="Cambria" w:eastAsiaTheme="minorEastAsia" w:hAnsi="Cambria" w:cs="Cambria"/>
          <w:szCs w:val="20"/>
        </w:rPr>
      </w:pPr>
      <w:r>
        <w:rPr>
          <w:rFonts w:hint="eastAsia"/>
        </w:rPr>
        <w:t>其他</w:t>
      </w:r>
    </w:p>
    <w:sdt>
      <w:sdtPr>
        <w:rPr>
          <w:rFonts w:hint="eastAsia"/>
        </w:rPr>
        <w:alias w:val="是否适用：关联方及关联情况的其他说明[双击切换]"/>
        <w:tag w:val="_GBC_0fbd096440c645128adaffccb05f4e2f"/>
        <w:id w:val="104851255"/>
        <w:placeholder>
          <w:docPart w:val="GBC22222222222222222222222222222"/>
        </w:placeholder>
      </w:sdtPr>
      <w:sdtEndPr/>
      <w:sdtContent>
        <w:p w14:paraId="6AF7445C" w14:textId="77777777" w:rsidR="00E57DAA" w:rsidRDefault="00AC4185">
          <w:pPr>
            <w:tabs>
              <w:tab w:val="left" w:pos="1134"/>
            </w:tabs>
            <w:rPr>
              <w:rFonts w:ascii="Cambria" w:hAnsi="Cambria"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0669D8" w14:textId="77777777" w:rsidR="00E57DAA" w:rsidRDefault="00E57DAA">
      <w:pPr>
        <w:tabs>
          <w:tab w:val="left" w:pos="1134"/>
        </w:tabs>
        <w:rPr>
          <w:rFonts w:cs="Cambria"/>
          <w:szCs w:val="21"/>
        </w:rPr>
      </w:pPr>
    </w:p>
    <w:p w14:paraId="30175704" w14:textId="77777777" w:rsidR="00E57DAA" w:rsidRDefault="00AC4185" w:rsidP="00C25422">
      <w:pPr>
        <w:pStyle w:val="2CharCharChar1"/>
        <w:numPr>
          <w:ilvl w:val="0"/>
          <w:numId w:val="58"/>
        </w:numPr>
      </w:pPr>
      <w:r>
        <w:rPr>
          <w:rFonts w:hint="eastAsia"/>
        </w:rPr>
        <w:t>股份支付</w:t>
      </w:r>
    </w:p>
    <w:p w14:paraId="0A71FC3D" w14:textId="77777777" w:rsidR="00E57DAA" w:rsidRDefault="00AC4185" w:rsidP="00C25422">
      <w:pPr>
        <w:pStyle w:val="91"/>
        <w:numPr>
          <w:ilvl w:val="0"/>
          <w:numId w:val="124"/>
        </w:numPr>
      </w:pPr>
      <w:r>
        <w:rPr>
          <w:rFonts w:hint="eastAsia"/>
        </w:rPr>
        <w:t>各项权益工具</w:t>
      </w:r>
    </w:p>
    <w:bookmarkStart w:id="317" w:name="_Hlk40787153" w:displacedByCustomXml="next"/>
    <w:bookmarkStart w:id="318" w:name="_Hlk151135509" w:displacedByCustomXml="next"/>
    <w:sdt>
      <w:sdtPr>
        <w:alias w:val="是否适用：各项权益工具[双击切换]"/>
        <w:tag w:val="_GBC_0398e620ff9243c39df09ccd571d2387"/>
        <w:id w:val="-1485849586"/>
        <w:placeholder>
          <w:docPart w:val="GBC22222222222222222222222222222"/>
        </w:placeholder>
      </w:sdtPr>
      <w:sdtEndPr/>
      <w:sdtContent>
        <w:p w14:paraId="51E66416"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9A751D" w14:textId="77777777" w:rsidR="00E57DAA" w:rsidRDefault="00AC4185">
      <w:pPr>
        <w:jc w:val="right"/>
      </w:pPr>
      <w:r>
        <w:rPr>
          <w:rFonts w:hint="eastAsia"/>
          <w:szCs w:val="21"/>
        </w:rPr>
        <w:t>数量单位：</w:t>
      </w:r>
      <w:sdt>
        <w:sdtPr>
          <w:rPr>
            <w:rFonts w:hint="eastAsia"/>
            <w:szCs w:val="21"/>
          </w:rPr>
          <w:alias w:val="单位：各项权益工具"/>
          <w:tag w:val="_GBC_2c6d07063b0f4c649a1b2e0e0a59e6e6"/>
          <w:id w:val="-904300490"/>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szCs w:val="21"/>
            </w:rPr>
            <w:t>股</w:t>
          </w:r>
        </w:sdtContent>
      </w:sdt>
      <w:r>
        <w:rPr>
          <w:rFonts w:hint="eastAsia"/>
          <w:szCs w:val="21"/>
        </w:rPr>
        <w:t xml:space="preserve">  金额单位：</w:t>
      </w:r>
      <w:sdt>
        <w:sdtPr>
          <w:rPr>
            <w:rFonts w:hint="eastAsia"/>
            <w:szCs w:val="21"/>
          </w:rPr>
          <w:alias w:val="单位2：各项权益工具"/>
          <w:tag w:val="_GBC_ba50e37226e346059b0e5c74ab58d169"/>
          <w:id w:val="210388857"/>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各项权益工具"/>
          <w:tag w:val="_GBC_4d9d5da46a1d44e0a9422d101d0127e8"/>
          <w:id w:val="1366014512"/>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t xml:space="preserve"> </w:t>
      </w:r>
    </w:p>
    <w:tbl>
      <w:tblPr>
        <w:tblStyle w:val="g9"/>
        <w:tblW w:w="9039" w:type="dxa"/>
        <w:tblLook w:val="04A0" w:firstRow="1" w:lastRow="0" w:firstColumn="1" w:lastColumn="0" w:noHBand="0" w:noVBand="1"/>
      </w:tblPr>
      <w:tblGrid>
        <w:gridCol w:w="1009"/>
        <w:gridCol w:w="1161"/>
        <w:gridCol w:w="1581"/>
        <w:gridCol w:w="881"/>
        <w:gridCol w:w="882"/>
        <w:gridCol w:w="881"/>
        <w:gridCol w:w="881"/>
        <w:gridCol w:w="881"/>
        <w:gridCol w:w="882"/>
      </w:tblGrid>
      <w:tr w:rsidR="00E57DAA" w14:paraId="5973B450" w14:textId="77777777">
        <w:trPr>
          <w:trHeight w:val="135"/>
        </w:trPr>
        <w:sdt>
          <w:sdtPr>
            <w:rPr>
              <w:rFonts w:ascii="Times New Roman" w:hAnsi="Times New Roman" w:hint="eastAsia"/>
            </w:rPr>
            <w:tag w:val="_PLD_93181d0da6c844909103a133ae07764f"/>
            <w:id w:val="679163162"/>
          </w:sdtPr>
          <w:sdtEndPr/>
          <w:sdtContent>
            <w:tc>
              <w:tcPr>
                <w:tcW w:w="1009" w:type="dxa"/>
                <w:vMerge w:val="restart"/>
                <w:vAlign w:val="center"/>
              </w:tcPr>
              <w:p w14:paraId="568B9A32" w14:textId="77777777" w:rsidR="00E57DAA" w:rsidRDefault="00AC4185">
                <w:pPr>
                  <w:jc w:val="center"/>
                </w:pPr>
                <w:r>
                  <w:rPr>
                    <w:rFonts w:hint="eastAsia"/>
                  </w:rPr>
                  <w:t>授予对象类别</w:t>
                </w:r>
              </w:p>
            </w:tc>
          </w:sdtContent>
        </w:sdt>
        <w:sdt>
          <w:sdtPr>
            <w:rPr>
              <w:rFonts w:ascii="Times New Roman" w:hAnsi="Times New Roman" w:hint="eastAsia"/>
            </w:rPr>
            <w:tag w:val="_PLD_f414660ca87543879a70afe41843f175"/>
            <w:id w:val="2077701901"/>
          </w:sdtPr>
          <w:sdtEndPr/>
          <w:sdtContent>
            <w:tc>
              <w:tcPr>
                <w:tcW w:w="2742" w:type="dxa"/>
                <w:gridSpan w:val="2"/>
                <w:vAlign w:val="center"/>
              </w:tcPr>
              <w:p w14:paraId="44A76700" w14:textId="77777777" w:rsidR="00E57DAA" w:rsidRDefault="00AC4185">
                <w:pPr>
                  <w:jc w:val="center"/>
                </w:pPr>
                <w:r>
                  <w:rPr>
                    <w:rFonts w:hint="eastAsia"/>
                  </w:rPr>
                  <w:t>本期授予</w:t>
                </w:r>
              </w:p>
            </w:tc>
          </w:sdtContent>
        </w:sdt>
        <w:sdt>
          <w:sdtPr>
            <w:rPr>
              <w:rFonts w:ascii="Times New Roman" w:hAnsi="Times New Roman" w:hint="eastAsia"/>
            </w:rPr>
            <w:tag w:val="_PLD_0d4311db494045648ac2da5f9bfc0ea2"/>
            <w:id w:val="1157415602"/>
          </w:sdtPr>
          <w:sdtEndPr/>
          <w:sdtContent>
            <w:tc>
              <w:tcPr>
                <w:tcW w:w="1763" w:type="dxa"/>
                <w:gridSpan w:val="2"/>
                <w:vAlign w:val="center"/>
              </w:tcPr>
              <w:p w14:paraId="652747FC" w14:textId="77777777" w:rsidR="00E57DAA" w:rsidRDefault="00AC4185">
                <w:pPr>
                  <w:jc w:val="center"/>
                </w:pPr>
                <w:r>
                  <w:rPr>
                    <w:rFonts w:hint="eastAsia"/>
                  </w:rPr>
                  <w:t>本期行权</w:t>
                </w:r>
              </w:p>
            </w:tc>
          </w:sdtContent>
        </w:sdt>
        <w:sdt>
          <w:sdtPr>
            <w:rPr>
              <w:rFonts w:ascii="Times New Roman" w:hAnsi="Times New Roman" w:hint="eastAsia"/>
            </w:rPr>
            <w:tag w:val="_PLD_20c1723275004b5eac14385eb4284c6f"/>
            <w:id w:val="-1738236064"/>
          </w:sdtPr>
          <w:sdtEndPr/>
          <w:sdtContent>
            <w:tc>
              <w:tcPr>
                <w:tcW w:w="1762" w:type="dxa"/>
                <w:gridSpan w:val="2"/>
                <w:vAlign w:val="center"/>
              </w:tcPr>
              <w:p w14:paraId="2F017859" w14:textId="77777777" w:rsidR="00E57DAA" w:rsidRDefault="00AC4185">
                <w:pPr>
                  <w:jc w:val="center"/>
                </w:pPr>
                <w:r>
                  <w:rPr>
                    <w:rFonts w:hint="eastAsia"/>
                  </w:rPr>
                  <w:t>本期解锁</w:t>
                </w:r>
              </w:p>
            </w:tc>
          </w:sdtContent>
        </w:sdt>
        <w:sdt>
          <w:sdtPr>
            <w:rPr>
              <w:rFonts w:ascii="Times New Roman" w:hAnsi="Times New Roman" w:hint="eastAsia"/>
            </w:rPr>
            <w:tag w:val="_PLD_b8e159f4d42444108fa83d384bc3bab3"/>
            <w:id w:val="-2107635955"/>
          </w:sdtPr>
          <w:sdtEndPr/>
          <w:sdtContent>
            <w:tc>
              <w:tcPr>
                <w:tcW w:w="1763" w:type="dxa"/>
                <w:gridSpan w:val="2"/>
                <w:vAlign w:val="center"/>
              </w:tcPr>
              <w:p w14:paraId="6672B417" w14:textId="77777777" w:rsidR="00E57DAA" w:rsidRDefault="00AC4185">
                <w:pPr>
                  <w:jc w:val="center"/>
                </w:pPr>
                <w:r>
                  <w:rPr>
                    <w:rFonts w:hint="eastAsia"/>
                  </w:rPr>
                  <w:t>本期失效</w:t>
                </w:r>
              </w:p>
            </w:tc>
          </w:sdtContent>
        </w:sdt>
      </w:tr>
      <w:tr w:rsidR="00E57DAA" w14:paraId="2BAEFC0D" w14:textId="77777777">
        <w:trPr>
          <w:trHeight w:val="135"/>
        </w:trPr>
        <w:tc>
          <w:tcPr>
            <w:tcW w:w="1009" w:type="dxa"/>
            <w:vMerge/>
            <w:vAlign w:val="center"/>
          </w:tcPr>
          <w:p w14:paraId="46D958B9" w14:textId="77777777" w:rsidR="00E57DAA" w:rsidRDefault="00E57DAA">
            <w:pPr>
              <w:jc w:val="center"/>
            </w:pPr>
          </w:p>
        </w:tc>
        <w:sdt>
          <w:sdtPr>
            <w:rPr>
              <w:rFonts w:ascii="Times New Roman" w:hAnsi="Times New Roman" w:hint="eastAsia"/>
            </w:rPr>
            <w:tag w:val="_PLD_4ef07619fd99498aaf832c5e98c5de48"/>
            <w:id w:val="-892650645"/>
          </w:sdtPr>
          <w:sdtEndPr/>
          <w:sdtContent>
            <w:tc>
              <w:tcPr>
                <w:tcW w:w="1161" w:type="dxa"/>
                <w:vAlign w:val="center"/>
              </w:tcPr>
              <w:p w14:paraId="1B2D8E1F" w14:textId="77777777" w:rsidR="00E57DAA" w:rsidRDefault="00AC4185">
                <w:pPr>
                  <w:jc w:val="center"/>
                </w:pPr>
                <w:r>
                  <w:rPr>
                    <w:rFonts w:hint="eastAsia"/>
                  </w:rPr>
                  <w:t>数量</w:t>
                </w:r>
              </w:p>
            </w:tc>
          </w:sdtContent>
        </w:sdt>
        <w:sdt>
          <w:sdtPr>
            <w:rPr>
              <w:rFonts w:ascii="Times New Roman" w:hAnsi="Times New Roman" w:hint="eastAsia"/>
            </w:rPr>
            <w:tag w:val="_PLD_315d23e38cd94853ae95549f106ba264"/>
            <w:id w:val="-975217182"/>
          </w:sdtPr>
          <w:sdtEndPr/>
          <w:sdtContent>
            <w:tc>
              <w:tcPr>
                <w:tcW w:w="1581" w:type="dxa"/>
                <w:vAlign w:val="center"/>
              </w:tcPr>
              <w:p w14:paraId="3DB1F7BB" w14:textId="77777777" w:rsidR="00E57DAA" w:rsidRDefault="00AC4185">
                <w:pPr>
                  <w:jc w:val="center"/>
                </w:pPr>
                <w:r>
                  <w:rPr>
                    <w:rFonts w:hint="eastAsia"/>
                  </w:rPr>
                  <w:t>金额</w:t>
                </w:r>
              </w:p>
            </w:tc>
          </w:sdtContent>
        </w:sdt>
        <w:sdt>
          <w:sdtPr>
            <w:rPr>
              <w:rFonts w:ascii="Times New Roman" w:hAnsi="Times New Roman" w:hint="eastAsia"/>
            </w:rPr>
            <w:tag w:val="_PLD_2282cfc383264ecead290ae41fe201cd"/>
            <w:id w:val="-25795928"/>
          </w:sdtPr>
          <w:sdtEndPr/>
          <w:sdtContent>
            <w:tc>
              <w:tcPr>
                <w:tcW w:w="881" w:type="dxa"/>
                <w:vAlign w:val="center"/>
              </w:tcPr>
              <w:p w14:paraId="6F798ACF" w14:textId="77777777" w:rsidR="00E57DAA" w:rsidRDefault="00AC4185">
                <w:pPr>
                  <w:jc w:val="center"/>
                </w:pPr>
                <w:r>
                  <w:rPr>
                    <w:rFonts w:hint="eastAsia"/>
                  </w:rPr>
                  <w:t>数量</w:t>
                </w:r>
              </w:p>
            </w:tc>
          </w:sdtContent>
        </w:sdt>
        <w:sdt>
          <w:sdtPr>
            <w:rPr>
              <w:rFonts w:ascii="Times New Roman" w:hAnsi="Times New Roman" w:hint="eastAsia"/>
            </w:rPr>
            <w:tag w:val="_PLD_5ada26493b194370961bc8f1050c612a"/>
            <w:id w:val="818163721"/>
          </w:sdtPr>
          <w:sdtEndPr/>
          <w:sdtContent>
            <w:tc>
              <w:tcPr>
                <w:tcW w:w="882" w:type="dxa"/>
                <w:vAlign w:val="center"/>
              </w:tcPr>
              <w:p w14:paraId="24CF2B26" w14:textId="77777777" w:rsidR="00E57DAA" w:rsidRDefault="00AC4185">
                <w:pPr>
                  <w:jc w:val="center"/>
                </w:pPr>
                <w:r>
                  <w:rPr>
                    <w:rFonts w:hint="eastAsia"/>
                  </w:rPr>
                  <w:t>金额</w:t>
                </w:r>
              </w:p>
            </w:tc>
          </w:sdtContent>
        </w:sdt>
        <w:sdt>
          <w:sdtPr>
            <w:rPr>
              <w:rFonts w:ascii="Times New Roman" w:hAnsi="Times New Roman" w:hint="eastAsia"/>
            </w:rPr>
            <w:tag w:val="_PLD_64168afbf027416c932819d0b4a11949"/>
            <w:id w:val="695509124"/>
          </w:sdtPr>
          <w:sdtEndPr/>
          <w:sdtContent>
            <w:tc>
              <w:tcPr>
                <w:tcW w:w="881" w:type="dxa"/>
                <w:vAlign w:val="center"/>
              </w:tcPr>
              <w:p w14:paraId="3AB725B3" w14:textId="77777777" w:rsidR="00E57DAA" w:rsidRDefault="00AC4185">
                <w:pPr>
                  <w:jc w:val="center"/>
                </w:pPr>
                <w:r>
                  <w:rPr>
                    <w:rFonts w:hint="eastAsia"/>
                  </w:rPr>
                  <w:t>数量</w:t>
                </w:r>
              </w:p>
            </w:tc>
          </w:sdtContent>
        </w:sdt>
        <w:sdt>
          <w:sdtPr>
            <w:rPr>
              <w:rFonts w:ascii="Times New Roman" w:hAnsi="Times New Roman" w:hint="eastAsia"/>
            </w:rPr>
            <w:tag w:val="_PLD_62c285d094064f03946fa1ac983169f9"/>
            <w:id w:val="1142150972"/>
          </w:sdtPr>
          <w:sdtEndPr/>
          <w:sdtContent>
            <w:tc>
              <w:tcPr>
                <w:tcW w:w="881" w:type="dxa"/>
                <w:vAlign w:val="center"/>
              </w:tcPr>
              <w:p w14:paraId="1F2E1627" w14:textId="77777777" w:rsidR="00E57DAA" w:rsidRDefault="00AC4185">
                <w:pPr>
                  <w:jc w:val="center"/>
                </w:pPr>
                <w:r>
                  <w:rPr>
                    <w:rFonts w:hint="eastAsia"/>
                  </w:rPr>
                  <w:t>金额</w:t>
                </w:r>
              </w:p>
            </w:tc>
          </w:sdtContent>
        </w:sdt>
        <w:sdt>
          <w:sdtPr>
            <w:rPr>
              <w:rFonts w:ascii="Times New Roman" w:hAnsi="Times New Roman" w:hint="eastAsia"/>
            </w:rPr>
            <w:tag w:val="_PLD_254e95d332a249a5a4021c205fa05013"/>
            <w:id w:val="2097905018"/>
          </w:sdtPr>
          <w:sdtEndPr/>
          <w:sdtContent>
            <w:tc>
              <w:tcPr>
                <w:tcW w:w="881" w:type="dxa"/>
                <w:vAlign w:val="center"/>
              </w:tcPr>
              <w:p w14:paraId="46148CA4" w14:textId="77777777" w:rsidR="00E57DAA" w:rsidRDefault="00AC4185">
                <w:pPr>
                  <w:jc w:val="center"/>
                </w:pPr>
                <w:r>
                  <w:rPr>
                    <w:rFonts w:hint="eastAsia"/>
                  </w:rPr>
                  <w:t>数量</w:t>
                </w:r>
              </w:p>
            </w:tc>
          </w:sdtContent>
        </w:sdt>
        <w:sdt>
          <w:sdtPr>
            <w:rPr>
              <w:rFonts w:ascii="Times New Roman" w:hAnsi="Times New Roman" w:hint="eastAsia"/>
            </w:rPr>
            <w:tag w:val="_PLD_b271e00f83bf43c4979bde0a600741aa"/>
            <w:id w:val="235755923"/>
          </w:sdtPr>
          <w:sdtEndPr/>
          <w:sdtContent>
            <w:tc>
              <w:tcPr>
                <w:tcW w:w="882" w:type="dxa"/>
                <w:vAlign w:val="center"/>
              </w:tcPr>
              <w:p w14:paraId="1D644B71" w14:textId="77777777" w:rsidR="00E57DAA" w:rsidRDefault="00AC4185">
                <w:pPr>
                  <w:jc w:val="center"/>
                </w:pPr>
                <w:r>
                  <w:rPr>
                    <w:rFonts w:hint="eastAsia"/>
                  </w:rPr>
                  <w:t>金额</w:t>
                </w:r>
              </w:p>
            </w:tc>
          </w:sdtContent>
        </w:sdt>
      </w:tr>
      <w:tr w:rsidR="00E57DAA" w14:paraId="374A88AD" w14:textId="77777777">
        <w:tc>
          <w:tcPr>
            <w:tcW w:w="1009" w:type="dxa"/>
          </w:tcPr>
          <w:p w14:paraId="73085BEE" w14:textId="77777777" w:rsidR="00E57DAA" w:rsidRDefault="00AC4185" w:rsidP="00C25422">
            <w:pPr>
              <w:pStyle w:val="92"/>
            </w:pPr>
            <w:r>
              <w:t>董事及高级管理人员，核心管理、业务及技术骨干</w:t>
            </w:r>
          </w:p>
        </w:tc>
        <w:tc>
          <w:tcPr>
            <w:tcW w:w="1161" w:type="dxa"/>
          </w:tcPr>
          <w:p w14:paraId="22BBB82B" w14:textId="77777777" w:rsidR="00E57DAA" w:rsidRDefault="00AC4185">
            <w:pPr>
              <w:jc w:val="right"/>
            </w:pPr>
            <w:r>
              <w:t xml:space="preserve">9,807,253 </w:t>
            </w:r>
          </w:p>
        </w:tc>
        <w:tc>
          <w:tcPr>
            <w:tcW w:w="1581" w:type="dxa"/>
          </w:tcPr>
          <w:p w14:paraId="16950318" w14:textId="77777777" w:rsidR="00E57DAA" w:rsidRDefault="00AC4185">
            <w:pPr>
              <w:jc w:val="right"/>
            </w:pPr>
            <w:r>
              <w:t>56,293,632.22</w:t>
            </w:r>
          </w:p>
        </w:tc>
        <w:tc>
          <w:tcPr>
            <w:tcW w:w="881" w:type="dxa"/>
          </w:tcPr>
          <w:p w14:paraId="6DA46F68" w14:textId="77777777" w:rsidR="00E57DAA" w:rsidRDefault="00AC4185">
            <w:pPr>
              <w:jc w:val="right"/>
            </w:pPr>
            <w:r>
              <w:t> </w:t>
            </w:r>
          </w:p>
        </w:tc>
        <w:tc>
          <w:tcPr>
            <w:tcW w:w="882" w:type="dxa"/>
          </w:tcPr>
          <w:p w14:paraId="5852D1C1" w14:textId="77777777" w:rsidR="00E57DAA" w:rsidRDefault="00AC4185">
            <w:pPr>
              <w:jc w:val="right"/>
            </w:pPr>
            <w:r>
              <w:t> </w:t>
            </w:r>
          </w:p>
        </w:tc>
        <w:tc>
          <w:tcPr>
            <w:tcW w:w="881" w:type="dxa"/>
          </w:tcPr>
          <w:p w14:paraId="7C45C562" w14:textId="77777777" w:rsidR="00E57DAA" w:rsidRDefault="00AC4185">
            <w:pPr>
              <w:jc w:val="right"/>
            </w:pPr>
            <w:r>
              <w:t> </w:t>
            </w:r>
          </w:p>
        </w:tc>
        <w:tc>
          <w:tcPr>
            <w:tcW w:w="881" w:type="dxa"/>
          </w:tcPr>
          <w:p w14:paraId="1BB22C80" w14:textId="77777777" w:rsidR="00E57DAA" w:rsidRDefault="00AC4185">
            <w:pPr>
              <w:jc w:val="right"/>
            </w:pPr>
            <w:r>
              <w:t> </w:t>
            </w:r>
          </w:p>
        </w:tc>
        <w:tc>
          <w:tcPr>
            <w:tcW w:w="881" w:type="dxa"/>
          </w:tcPr>
          <w:p w14:paraId="1D61F38F" w14:textId="77777777" w:rsidR="00E57DAA" w:rsidRDefault="00AC4185">
            <w:pPr>
              <w:jc w:val="right"/>
            </w:pPr>
            <w:r>
              <w:t> </w:t>
            </w:r>
          </w:p>
        </w:tc>
        <w:tc>
          <w:tcPr>
            <w:tcW w:w="882" w:type="dxa"/>
          </w:tcPr>
          <w:p w14:paraId="51C96C3F" w14:textId="77777777" w:rsidR="00E57DAA" w:rsidRDefault="00AC4185">
            <w:pPr>
              <w:jc w:val="right"/>
            </w:pPr>
            <w:r>
              <w:t> </w:t>
            </w:r>
          </w:p>
        </w:tc>
      </w:tr>
      <w:tr w:rsidR="00E57DAA" w14:paraId="3B0A7590" w14:textId="77777777">
        <w:tc>
          <w:tcPr>
            <w:tcW w:w="1009" w:type="dxa"/>
          </w:tcPr>
          <w:p w14:paraId="416A1BE1" w14:textId="77777777" w:rsidR="00E57DAA" w:rsidRDefault="00AC4185">
            <w:pPr>
              <w:jc w:val="center"/>
            </w:pPr>
            <w:r>
              <w:rPr>
                <w:rFonts w:hint="eastAsia"/>
              </w:rPr>
              <w:t>合计</w:t>
            </w:r>
          </w:p>
        </w:tc>
        <w:tc>
          <w:tcPr>
            <w:tcW w:w="1161" w:type="dxa"/>
            <w:vAlign w:val="center"/>
          </w:tcPr>
          <w:p w14:paraId="1EBC6813" w14:textId="77777777" w:rsidR="00E57DAA" w:rsidRDefault="00AC4185">
            <w:pPr>
              <w:jc w:val="right"/>
            </w:pPr>
            <w:r>
              <w:t>9,807,253</w:t>
            </w:r>
          </w:p>
        </w:tc>
        <w:tc>
          <w:tcPr>
            <w:tcW w:w="1581" w:type="dxa"/>
            <w:vAlign w:val="center"/>
          </w:tcPr>
          <w:p w14:paraId="3CF15281" w14:textId="77777777" w:rsidR="00E57DAA" w:rsidRDefault="00AC4185">
            <w:pPr>
              <w:jc w:val="right"/>
            </w:pPr>
            <w:r>
              <w:t>56,293,632.22</w:t>
            </w:r>
          </w:p>
        </w:tc>
        <w:tc>
          <w:tcPr>
            <w:tcW w:w="881" w:type="dxa"/>
          </w:tcPr>
          <w:p w14:paraId="10F70225" w14:textId="77777777" w:rsidR="00E57DAA" w:rsidRDefault="00E57DAA">
            <w:pPr>
              <w:jc w:val="right"/>
            </w:pPr>
          </w:p>
        </w:tc>
        <w:tc>
          <w:tcPr>
            <w:tcW w:w="882" w:type="dxa"/>
          </w:tcPr>
          <w:p w14:paraId="6F1A12C4" w14:textId="77777777" w:rsidR="00E57DAA" w:rsidRDefault="00E57DAA">
            <w:pPr>
              <w:jc w:val="right"/>
            </w:pPr>
          </w:p>
        </w:tc>
        <w:tc>
          <w:tcPr>
            <w:tcW w:w="881" w:type="dxa"/>
          </w:tcPr>
          <w:p w14:paraId="564ED46D" w14:textId="77777777" w:rsidR="00E57DAA" w:rsidRDefault="00E57DAA">
            <w:pPr>
              <w:jc w:val="right"/>
            </w:pPr>
          </w:p>
        </w:tc>
        <w:tc>
          <w:tcPr>
            <w:tcW w:w="881" w:type="dxa"/>
          </w:tcPr>
          <w:p w14:paraId="293830BE" w14:textId="77777777" w:rsidR="00E57DAA" w:rsidRDefault="00E57DAA">
            <w:pPr>
              <w:jc w:val="right"/>
            </w:pPr>
          </w:p>
        </w:tc>
        <w:tc>
          <w:tcPr>
            <w:tcW w:w="881" w:type="dxa"/>
          </w:tcPr>
          <w:p w14:paraId="6BB2A603" w14:textId="77777777" w:rsidR="00E57DAA" w:rsidRDefault="00E57DAA">
            <w:pPr>
              <w:jc w:val="right"/>
            </w:pPr>
          </w:p>
        </w:tc>
        <w:tc>
          <w:tcPr>
            <w:tcW w:w="882" w:type="dxa"/>
          </w:tcPr>
          <w:p w14:paraId="3F97BBBF" w14:textId="77777777" w:rsidR="00E57DAA" w:rsidRDefault="00E57DAA">
            <w:pPr>
              <w:jc w:val="right"/>
            </w:pPr>
          </w:p>
        </w:tc>
      </w:tr>
    </w:tbl>
    <w:p w14:paraId="1B4CF3BA" w14:textId="77777777" w:rsidR="00E57DAA" w:rsidRDefault="00E57DAA" w:rsidP="00C25422">
      <w:pPr>
        <w:pStyle w:val="92"/>
      </w:pPr>
    </w:p>
    <w:p w14:paraId="722ED4F3" w14:textId="77777777" w:rsidR="00E57DAA" w:rsidRDefault="00E57DAA" w:rsidP="00C25422">
      <w:pPr>
        <w:pStyle w:val="92"/>
      </w:pPr>
    </w:p>
    <w:p w14:paraId="09AC58D4" w14:textId="77777777" w:rsidR="00E57DAA" w:rsidRDefault="00AC4185" w:rsidP="00C25422">
      <w:pPr>
        <w:pStyle w:val="92"/>
      </w:pPr>
      <w:r>
        <w:rPr>
          <w:rFonts w:hint="eastAsia"/>
        </w:rPr>
        <w:t>期末发行在外的股票期权或其他权益工具</w:t>
      </w:r>
    </w:p>
    <w:sdt>
      <w:sdtPr>
        <w:alias w:val="是否适用：期末发行在外的股票期权或其他权益工具[双击切换]"/>
        <w:tag w:val="_GBC_2e4df3ddd5a5427f9a9de654e2e35eb0"/>
        <w:id w:val="-1576668445"/>
        <w:placeholder>
          <w:docPart w:val="GBC22222222222222222222222222222"/>
        </w:placeholder>
      </w:sdtPr>
      <w:sdtEndPr/>
      <w:sdtContent>
        <w:p w14:paraId="33D87BE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9"/>
        <w:tblW w:w="0" w:type="auto"/>
        <w:tblLook w:val="04A0" w:firstRow="1" w:lastRow="0" w:firstColumn="1" w:lastColumn="0" w:noHBand="0" w:noVBand="1"/>
      </w:tblPr>
      <w:tblGrid>
        <w:gridCol w:w="1767"/>
        <w:gridCol w:w="1760"/>
        <w:gridCol w:w="1760"/>
        <w:gridCol w:w="1768"/>
        <w:gridCol w:w="1768"/>
      </w:tblGrid>
      <w:tr w:rsidR="00E57DAA" w14:paraId="178AB7A8" w14:textId="77777777">
        <w:sdt>
          <w:sdtPr>
            <w:rPr>
              <w:rFonts w:ascii="Times New Roman" w:hAnsi="Times New Roman" w:hint="eastAsia"/>
            </w:rPr>
            <w:tag w:val="_PLD_a5c804e2f01248db81b04ef3d39d8084"/>
            <w:id w:val="1417286674"/>
          </w:sdtPr>
          <w:sdtEndPr/>
          <w:sdtContent>
            <w:tc>
              <w:tcPr>
                <w:tcW w:w="1767" w:type="dxa"/>
                <w:vMerge w:val="restart"/>
                <w:vAlign w:val="center"/>
              </w:tcPr>
              <w:p w14:paraId="13154FCA" w14:textId="77777777" w:rsidR="00E57DAA" w:rsidRDefault="00AC4185">
                <w:pPr>
                  <w:jc w:val="center"/>
                </w:pPr>
                <w:r>
                  <w:rPr>
                    <w:rFonts w:hint="eastAsia"/>
                  </w:rPr>
                  <w:t>授予对象类别</w:t>
                </w:r>
              </w:p>
            </w:tc>
          </w:sdtContent>
        </w:sdt>
        <w:sdt>
          <w:sdtPr>
            <w:rPr>
              <w:rFonts w:ascii="Times New Roman" w:hAnsi="Times New Roman" w:hint="eastAsia"/>
            </w:rPr>
            <w:tag w:val="_PLD_38bf3ab5d09a42b7a87b0e9e76e07224"/>
            <w:id w:val="1295409686"/>
          </w:sdtPr>
          <w:sdtEndPr/>
          <w:sdtContent>
            <w:tc>
              <w:tcPr>
                <w:tcW w:w="3520" w:type="dxa"/>
                <w:gridSpan w:val="2"/>
              </w:tcPr>
              <w:p w14:paraId="33A2C52F" w14:textId="77777777" w:rsidR="00E57DAA" w:rsidRDefault="00AC4185">
                <w:pPr>
                  <w:jc w:val="center"/>
                </w:pPr>
                <w:r>
                  <w:rPr>
                    <w:rFonts w:hint="eastAsia"/>
                  </w:rPr>
                  <w:t>期末发行在外的股票期权</w:t>
                </w:r>
              </w:p>
            </w:tc>
          </w:sdtContent>
        </w:sdt>
        <w:sdt>
          <w:sdtPr>
            <w:rPr>
              <w:rFonts w:ascii="Times New Roman" w:hAnsi="Times New Roman" w:hint="eastAsia"/>
            </w:rPr>
            <w:tag w:val="_PLD_87bb4b0d14d240c2ad4773b469fdc08b"/>
            <w:id w:val="1047645192"/>
          </w:sdtPr>
          <w:sdtEndPr/>
          <w:sdtContent>
            <w:tc>
              <w:tcPr>
                <w:tcW w:w="3536" w:type="dxa"/>
                <w:gridSpan w:val="2"/>
              </w:tcPr>
              <w:p w14:paraId="06737CE3" w14:textId="77777777" w:rsidR="00E57DAA" w:rsidRDefault="00AC4185">
                <w:pPr>
                  <w:jc w:val="center"/>
                </w:pPr>
                <w:r>
                  <w:rPr>
                    <w:rFonts w:hint="eastAsia"/>
                  </w:rPr>
                  <w:t>期末发行在外的其他权益工具</w:t>
                </w:r>
              </w:p>
            </w:tc>
          </w:sdtContent>
        </w:sdt>
      </w:tr>
      <w:tr w:rsidR="00E57DAA" w14:paraId="367DE19A" w14:textId="77777777">
        <w:tc>
          <w:tcPr>
            <w:tcW w:w="1767" w:type="dxa"/>
            <w:vMerge/>
          </w:tcPr>
          <w:p w14:paraId="3FB45B6F" w14:textId="77777777" w:rsidR="00E57DAA" w:rsidRDefault="00E57DAA" w:rsidP="00C25422">
            <w:pPr>
              <w:pStyle w:val="92"/>
            </w:pPr>
          </w:p>
        </w:tc>
        <w:sdt>
          <w:sdtPr>
            <w:rPr>
              <w:rFonts w:ascii="Times New Roman" w:hAnsi="Times New Roman" w:hint="eastAsia"/>
            </w:rPr>
            <w:tag w:val="_PLD_de2d269af1454596b8b0f2b146d314cd"/>
            <w:id w:val="-1536030197"/>
          </w:sdtPr>
          <w:sdtEndPr/>
          <w:sdtContent>
            <w:tc>
              <w:tcPr>
                <w:tcW w:w="1760" w:type="dxa"/>
              </w:tcPr>
              <w:p w14:paraId="05247C08" w14:textId="77777777" w:rsidR="00E57DAA" w:rsidRDefault="00AC4185">
                <w:pPr>
                  <w:jc w:val="center"/>
                </w:pPr>
                <w:r>
                  <w:rPr>
                    <w:rFonts w:hint="eastAsia"/>
                  </w:rPr>
                  <w:t>行权价格的范围</w:t>
                </w:r>
              </w:p>
            </w:tc>
          </w:sdtContent>
        </w:sdt>
        <w:sdt>
          <w:sdtPr>
            <w:rPr>
              <w:rFonts w:ascii="Times New Roman" w:hAnsi="Times New Roman" w:hint="eastAsia"/>
            </w:rPr>
            <w:tag w:val="_PLD_49dad82630794b479d47b8795af2132d"/>
            <w:id w:val="-1695449129"/>
          </w:sdtPr>
          <w:sdtEndPr/>
          <w:sdtContent>
            <w:tc>
              <w:tcPr>
                <w:tcW w:w="1760" w:type="dxa"/>
              </w:tcPr>
              <w:p w14:paraId="63B6F60D" w14:textId="77777777" w:rsidR="00E57DAA" w:rsidRDefault="00AC4185">
                <w:pPr>
                  <w:jc w:val="center"/>
                </w:pPr>
                <w:r>
                  <w:rPr>
                    <w:rFonts w:hint="eastAsia"/>
                  </w:rPr>
                  <w:t>合同剩余期限</w:t>
                </w:r>
              </w:p>
            </w:tc>
          </w:sdtContent>
        </w:sdt>
        <w:sdt>
          <w:sdtPr>
            <w:rPr>
              <w:rFonts w:ascii="Times New Roman" w:hAnsi="Times New Roman" w:hint="eastAsia"/>
            </w:rPr>
            <w:tag w:val="_PLD_7ded9b50b1484df8925e3594822ab66a"/>
            <w:id w:val="-1467273383"/>
          </w:sdtPr>
          <w:sdtEndPr/>
          <w:sdtContent>
            <w:tc>
              <w:tcPr>
                <w:tcW w:w="1768" w:type="dxa"/>
              </w:tcPr>
              <w:p w14:paraId="7D0A44EF" w14:textId="77777777" w:rsidR="00E57DAA" w:rsidRDefault="00AC4185">
                <w:pPr>
                  <w:jc w:val="center"/>
                </w:pPr>
                <w:r>
                  <w:rPr>
                    <w:rFonts w:hint="eastAsia"/>
                  </w:rPr>
                  <w:t>行权价格的范围</w:t>
                </w:r>
              </w:p>
            </w:tc>
          </w:sdtContent>
        </w:sdt>
        <w:sdt>
          <w:sdtPr>
            <w:rPr>
              <w:rFonts w:ascii="Times New Roman" w:hAnsi="Times New Roman" w:hint="eastAsia"/>
            </w:rPr>
            <w:tag w:val="_PLD_bffec62d0ea241febe239793819f0255"/>
            <w:id w:val="-921170343"/>
          </w:sdtPr>
          <w:sdtEndPr/>
          <w:sdtContent>
            <w:tc>
              <w:tcPr>
                <w:tcW w:w="1768" w:type="dxa"/>
              </w:tcPr>
              <w:p w14:paraId="0E037A77" w14:textId="77777777" w:rsidR="00E57DAA" w:rsidRDefault="00AC4185">
                <w:pPr>
                  <w:jc w:val="center"/>
                </w:pPr>
                <w:r>
                  <w:rPr>
                    <w:rFonts w:hint="eastAsia"/>
                  </w:rPr>
                  <w:t>合同剩余期限</w:t>
                </w:r>
              </w:p>
            </w:tc>
          </w:sdtContent>
        </w:sdt>
      </w:tr>
      <w:tr w:rsidR="00E57DAA" w14:paraId="574E8221" w14:textId="77777777">
        <w:tc>
          <w:tcPr>
            <w:tcW w:w="1767" w:type="dxa"/>
          </w:tcPr>
          <w:p w14:paraId="16449788" w14:textId="77777777" w:rsidR="00E57DAA" w:rsidRDefault="00AC4185" w:rsidP="00C25422">
            <w:pPr>
              <w:pStyle w:val="92"/>
            </w:pPr>
            <w:r>
              <w:t>董事及高级管理人员，核心管理、业务及技术骨干</w:t>
            </w:r>
          </w:p>
        </w:tc>
        <w:tc>
          <w:tcPr>
            <w:tcW w:w="1760" w:type="dxa"/>
          </w:tcPr>
          <w:p w14:paraId="6075F3ED" w14:textId="77777777" w:rsidR="00E57DAA" w:rsidRDefault="00AC4185" w:rsidP="00C25422">
            <w:pPr>
              <w:pStyle w:val="92"/>
            </w:pPr>
            <w:r>
              <w:t> </w:t>
            </w:r>
          </w:p>
        </w:tc>
        <w:tc>
          <w:tcPr>
            <w:tcW w:w="1760" w:type="dxa"/>
          </w:tcPr>
          <w:p w14:paraId="281BBBCB" w14:textId="77777777" w:rsidR="00E57DAA" w:rsidRDefault="00AC4185" w:rsidP="00C25422">
            <w:pPr>
              <w:pStyle w:val="92"/>
            </w:pPr>
            <w:r>
              <w:t> </w:t>
            </w:r>
          </w:p>
        </w:tc>
        <w:tc>
          <w:tcPr>
            <w:tcW w:w="1768" w:type="dxa"/>
          </w:tcPr>
          <w:p w14:paraId="4B00156A" w14:textId="77777777" w:rsidR="00E57DAA" w:rsidRDefault="00AC4185" w:rsidP="00C25422">
            <w:pPr>
              <w:pStyle w:val="92"/>
            </w:pPr>
            <w:r>
              <w:t>首次授予价格为5.97 元/股；预留部分授予价格为5.74元/股</w:t>
            </w:r>
          </w:p>
        </w:tc>
        <w:tc>
          <w:tcPr>
            <w:tcW w:w="1768" w:type="dxa"/>
          </w:tcPr>
          <w:p w14:paraId="5D4265F6" w14:textId="77777777" w:rsidR="00E57DAA" w:rsidRDefault="00AC4185" w:rsidP="00C25422">
            <w:pPr>
              <w:pStyle w:val="92"/>
            </w:pPr>
            <w:r>
              <w:t>2022年首次授予限制性股票的授予日为2022年3月24日，限售期分别为自相应授予部分限制性股票登记完成之日起24个月、36个月、48个月；2023年预留部分限制性股票的授予日为2023年2月14日，限售期分别为自相应授予部分限制性股票登记完成之日</w:t>
            </w:r>
            <w:r>
              <w:lastRenderedPageBreak/>
              <w:t>起24个月、36个月、48个月；</w:t>
            </w:r>
          </w:p>
        </w:tc>
      </w:tr>
    </w:tbl>
    <w:p w14:paraId="79E31E2D" w14:textId="77777777" w:rsidR="00E57DAA" w:rsidRDefault="00E57DAA" w:rsidP="00C25422">
      <w:pPr>
        <w:pStyle w:val="92"/>
      </w:pPr>
    </w:p>
    <w:p w14:paraId="19099DA9" w14:textId="77777777" w:rsidR="00E57DAA" w:rsidRDefault="00E57DAA" w:rsidP="00C25422">
      <w:pPr>
        <w:pStyle w:val="92"/>
      </w:pPr>
    </w:p>
    <w:p w14:paraId="20F212DF" w14:textId="77777777" w:rsidR="00E57DAA" w:rsidRDefault="00AC4185" w:rsidP="00C25422">
      <w:pPr>
        <w:pStyle w:val="91"/>
        <w:numPr>
          <w:ilvl w:val="0"/>
          <w:numId w:val="124"/>
        </w:numPr>
      </w:pPr>
      <w:bookmarkStart w:id="319" w:name="_Hlk40787255"/>
      <w:bookmarkEnd w:id="318"/>
      <w:bookmarkEnd w:id="317"/>
      <w:r>
        <w:rPr>
          <w:rFonts w:hint="eastAsia"/>
        </w:rPr>
        <w:t>以权益结算的股份支付情况</w:t>
      </w:r>
    </w:p>
    <w:sdt>
      <w:sdtPr>
        <w:alias w:val="是否适用：以权益结算的股份支付情况[双击切换]"/>
        <w:tag w:val="_GBC_180733cce6b5415097c0582f27918a4f"/>
        <w:id w:val="-1182116213"/>
      </w:sdtPr>
      <w:sdtEndPr/>
      <w:sdtContent>
        <w:p w14:paraId="01CAAA8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FC3197" w14:textId="77777777" w:rsidR="00E57DAA" w:rsidRDefault="00AC4185">
      <w:pPr>
        <w:wordWrap w:val="0"/>
        <w:jc w:val="right"/>
      </w:pPr>
      <w:r>
        <w:rPr>
          <w:rFonts w:hint="eastAsia"/>
        </w:rPr>
        <w:t>单位：</w:t>
      </w:r>
      <w:sdt>
        <w:sdtPr>
          <w:rPr>
            <w:rFonts w:hint="eastAsia"/>
          </w:rPr>
          <w:alias w:val="单位：以权益结算的股份支付情况"/>
          <w:tag w:val="_GBC_5c9e042b9c2d47a08e4057aadf873127"/>
          <w:id w:val="1510871606"/>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权益结算的股份支付情况"/>
          <w:tag w:val="_GBC_ff8d4bc277f14b8fa13b220542d121be"/>
          <w:id w:val="-20171242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295"/>
      </w:tblGrid>
      <w:tr w:rsidR="00E57DAA" w14:paraId="5D1B5702" w14:textId="77777777">
        <w:sdt>
          <w:sdtPr>
            <w:tag w:val="_PLD_91599e22b08641e78612c1f045cadecb"/>
            <w:id w:val="-1202858919"/>
          </w:sdtPr>
          <w:sdtEndPr/>
          <w:sdtContent>
            <w:tc>
              <w:tcPr>
                <w:tcW w:w="2566" w:type="pct"/>
                <w:tcBorders>
                  <w:top w:val="single" w:sz="4" w:space="0" w:color="auto"/>
                  <w:left w:val="single" w:sz="4" w:space="0" w:color="auto"/>
                  <w:bottom w:val="single" w:sz="4" w:space="0" w:color="auto"/>
                  <w:right w:val="single" w:sz="4" w:space="0" w:color="auto"/>
                </w:tcBorders>
              </w:tcPr>
              <w:p w14:paraId="24074B12" w14:textId="77777777" w:rsidR="00E57DAA" w:rsidRDefault="00AC4185" w:rsidP="00C25422">
                <w:pPr>
                  <w:pStyle w:val="92"/>
                </w:pPr>
                <w:r>
                  <w:rPr>
                    <w:rFonts w:hint="eastAsia"/>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46D7BA85" w14:textId="77777777" w:rsidR="00E57DAA" w:rsidRDefault="00AC4185" w:rsidP="00C25422">
            <w:pPr>
              <w:pStyle w:val="92"/>
            </w:pPr>
            <w:r>
              <w:t>授予日市价</w:t>
            </w:r>
          </w:p>
        </w:tc>
      </w:tr>
      <w:tr w:rsidR="00E57DAA" w14:paraId="2A9815F1" w14:textId="77777777">
        <w:tc>
          <w:tcPr>
            <w:tcW w:w="2566" w:type="pct"/>
            <w:tcBorders>
              <w:top w:val="single" w:sz="4" w:space="0" w:color="auto"/>
              <w:left w:val="single" w:sz="4" w:space="0" w:color="auto"/>
              <w:bottom w:val="single" w:sz="4" w:space="0" w:color="auto"/>
              <w:right w:val="single" w:sz="4" w:space="0" w:color="auto"/>
            </w:tcBorders>
          </w:tcPr>
          <w:sdt>
            <w:sdtPr>
              <w:rPr>
                <w:rFonts w:hint="eastAsia"/>
              </w:rPr>
              <w:tag w:val="_PLD_49fa5d32def443d1afb50c56836eeec9"/>
              <w:id w:val="-1262986155"/>
            </w:sdtPr>
            <w:sdtEndPr/>
            <w:sdtContent>
              <w:p w14:paraId="7CE5C7A2" w14:textId="77777777" w:rsidR="00E57DAA" w:rsidRDefault="00AC4185" w:rsidP="00C25422">
                <w:pPr>
                  <w:pStyle w:val="92"/>
                </w:pPr>
                <w:r>
                  <w:rPr>
                    <w:rFonts w:hint="eastAsia"/>
                  </w:rPr>
                  <w:t>授予日权益工具公允价值的重要参数</w:t>
                </w:r>
              </w:p>
            </w:sdtContent>
          </w:sdt>
        </w:tc>
        <w:tc>
          <w:tcPr>
            <w:tcW w:w="2434" w:type="pct"/>
            <w:tcBorders>
              <w:top w:val="single" w:sz="4" w:space="0" w:color="auto"/>
              <w:left w:val="single" w:sz="4" w:space="0" w:color="auto"/>
              <w:bottom w:val="single" w:sz="4" w:space="0" w:color="auto"/>
              <w:right w:val="single" w:sz="4" w:space="0" w:color="auto"/>
            </w:tcBorders>
            <w:vAlign w:val="center"/>
          </w:tcPr>
          <w:p w14:paraId="16287EE0" w14:textId="77777777" w:rsidR="00E57DAA" w:rsidRDefault="00AC4185" w:rsidP="00C25422">
            <w:pPr>
              <w:pStyle w:val="92"/>
            </w:pPr>
            <w:r>
              <w:t>不适用</w:t>
            </w:r>
          </w:p>
        </w:tc>
      </w:tr>
      <w:tr w:rsidR="00E57DAA" w14:paraId="056C1FDF" w14:textId="77777777">
        <w:sdt>
          <w:sdtPr>
            <w:tag w:val="_PLD_cf78c7b3af884930ad817afb8c846556"/>
            <w:id w:val="-1849935042"/>
          </w:sdtPr>
          <w:sdtEndPr/>
          <w:sdtContent>
            <w:tc>
              <w:tcPr>
                <w:tcW w:w="2566" w:type="pct"/>
                <w:tcBorders>
                  <w:top w:val="single" w:sz="4" w:space="0" w:color="auto"/>
                  <w:left w:val="single" w:sz="4" w:space="0" w:color="auto"/>
                  <w:bottom w:val="single" w:sz="4" w:space="0" w:color="auto"/>
                  <w:right w:val="single" w:sz="4" w:space="0" w:color="auto"/>
                </w:tcBorders>
              </w:tcPr>
              <w:p w14:paraId="278E8BBB" w14:textId="77777777" w:rsidR="00E57DAA" w:rsidRDefault="00AC4185" w:rsidP="00C25422">
                <w:pPr>
                  <w:pStyle w:val="92"/>
                </w:pPr>
                <w:r>
                  <w:rPr>
                    <w:rFonts w:hint="eastAsia"/>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22933BDC" w14:textId="77777777" w:rsidR="00E57DAA" w:rsidRDefault="00AC4185" w:rsidP="00C25422">
            <w:pPr>
              <w:pStyle w:val="92"/>
            </w:pPr>
            <w:r>
              <w:t>对可行权权益工具数量的最佳估计</w:t>
            </w:r>
          </w:p>
        </w:tc>
      </w:tr>
      <w:tr w:rsidR="00E57DAA" w14:paraId="60BE4E65" w14:textId="77777777">
        <w:sdt>
          <w:sdtPr>
            <w:tag w:val="_PLD_610074e0f1dc4145b490b2a2cbd7cb2d"/>
            <w:id w:val="301896777"/>
          </w:sdtPr>
          <w:sdtEndPr/>
          <w:sdtContent>
            <w:tc>
              <w:tcPr>
                <w:tcW w:w="2566" w:type="pct"/>
                <w:tcBorders>
                  <w:top w:val="single" w:sz="4" w:space="0" w:color="auto"/>
                  <w:left w:val="single" w:sz="4" w:space="0" w:color="auto"/>
                  <w:bottom w:val="single" w:sz="4" w:space="0" w:color="auto"/>
                  <w:right w:val="single" w:sz="4" w:space="0" w:color="auto"/>
                </w:tcBorders>
              </w:tcPr>
              <w:p w14:paraId="200F634A" w14:textId="77777777" w:rsidR="00E57DAA" w:rsidRDefault="00AC4185" w:rsidP="00C25422">
                <w:pPr>
                  <w:pStyle w:val="92"/>
                </w:pPr>
                <w:r>
                  <w:rPr>
                    <w:rFonts w:hint="eastAsia"/>
                  </w:rPr>
                  <w:t>本期估计与上期估计有重大差异的原因</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0960C6FB" w14:textId="77777777" w:rsidR="00E57DAA" w:rsidRDefault="00AC4185" w:rsidP="00C25422">
            <w:pPr>
              <w:pStyle w:val="92"/>
            </w:pPr>
            <w:r>
              <w:t>无</w:t>
            </w:r>
          </w:p>
        </w:tc>
      </w:tr>
      <w:tr w:rsidR="00E57DAA" w14:paraId="20BD478F" w14:textId="77777777">
        <w:sdt>
          <w:sdtPr>
            <w:tag w:val="_PLD_04d09b50a02648c1b491a45764cff7f5"/>
            <w:id w:val="566921988"/>
          </w:sdtPr>
          <w:sdtEndPr/>
          <w:sdtContent>
            <w:tc>
              <w:tcPr>
                <w:tcW w:w="2566" w:type="pct"/>
                <w:tcBorders>
                  <w:top w:val="single" w:sz="4" w:space="0" w:color="auto"/>
                  <w:left w:val="single" w:sz="4" w:space="0" w:color="auto"/>
                  <w:bottom w:val="single" w:sz="4" w:space="0" w:color="auto"/>
                  <w:right w:val="single" w:sz="4" w:space="0" w:color="auto"/>
                </w:tcBorders>
              </w:tcPr>
              <w:p w14:paraId="7FD24FE8" w14:textId="77777777" w:rsidR="00E57DAA" w:rsidRDefault="00AC4185" w:rsidP="00C25422">
                <w:pPr>
                  <w:pStyle w:val="92"/>
                </w:pPr>
                <w:r>
                  <w:rPr>
                    <w:rFonts w:hint="eastAsia"/>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4250619B" w14:textId="77777777" w:rsidR="00E57DAA" w:rsidRDefault="00AC4185">
            <w:pPr>
              <w:jc w:val="right"/>
            </w:pPr>
            <w:r>
              <w:t xml:space="preserve">110,283,016.83 </w:t>
            </w:r>
          </w:p>
        </w:tc>
      </w:tr>
    </w:tbl>
    <w:p w14:paraId="186F0108" w14:textId="77777777" w:rsidR="00E57DAA" w:rsidRDefault="00E57DAA" w:rsidP="00C25422">
      <w:pPr>
        <w:pStyle w:val="92"/>
      </w:pPr>
    </w:p>
    <w:p w14:paraId="75875FB4" w14:textId="77777777" w:rsidR="00E57DAA" w:rsidRDefault="00AC4185" w:rsidP="00C25422">
      <w:pPr>
        <w:pStyle w:val="91"/>
        <w:numPr>
          <w:ilvl w:val="0"/>
          <w:numId w:val="124"/>
        </w:numPr>
      </w:pPr>
      <w:r>
        <w:rPr>
          <w:rFonts w:hint="eastAsia"/>
        </w:rPr>
        <w:t>以现金结算的股份支付情况</w:t>
      </w:r>
    </w:p>
    <w:bookmarkEnd w:id="319" w:displacedByCustomXml="next"/>
    <w:sdt>
      <w:sdtPr>
        <w:alias w:val="是否适用：以现金结算的股份支付情况[双击切换]"/>
        <w:tag w:val="_GBC_aa134f611909486bb3a2d6258058f88d"/>
        <w:id w:val="1742753252"/>
        <w:placeholder>
          <w:docPart w:val="GBC22222222222222222222222222222"/>
        </w:placeholder>
      </w:sdtPr>
      <w:sdtEndPr/>
      <w:sdtContent>
        <w:p w14:paraId="656F6763"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DE297D" w14:textId="77777777" w:rsidR="00E57DAA" w:rsidRDefault="00E57DAA" w:rsidP="00C25422">
      <w:pPr>
        <w:pStyle w:val="92"/>
      </w:pPr>
    </w:p>
    <w:p w14:paraId="4EEA8929" w14:textId="77777777" w:rsidR="00E57DAA" w:rsidRDefault="00AC4185" w:rsidP="00C25422">
      <w:pPr>
        <w:pStyle w:val="91"/>
        <w:numPr>
          <w:ilvl w:val="0"/>
          <w:numId w:val="124"/>
        </w:numPr>
      </w:pPr>
      <w:r>
        <w:t>本期</w:t>
      </w:r>
      <w:r>
        <w:rPr>
          <w:rFonts w:hint="eastAsia"/>
        </w:rPr>
        <w:t>股份支付费用</w:t>
      </w:r>
    </w:p>
    <w:sdt>
      <w:sdtPr>
        <w:alias w:val="是否适用：股份支付费用[双击切换]"/>
        <w:tag w:val="_GBC_13f52df697614645a77ebd37316f419c"/>
        <w:id w:val="-2084290119"/>
        <w:placeholder>
          <w:docPart w:val="GBC22222222222222222222222222222"/>
        </w:placeholder>
      </w:sdtPr>
      <w:sdtEndPr/>
      <w:sdtContent>
        <w:p w14:paraId="169CC15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B1D91C" w14:textId="77777777" w:rsidR="00E57DAA" w:rsidRDefault="00AC4185">
      <w:pPr>
        <w:ind w:left="420"/>
        <w:jc w:val="right"/>
        <w:rPr>
          <w:szCs w:val="21"/>
        </w:rPr>
      </w:pPr>
      <w:r>
        <w:rPr>
          <w:rFonts w:hint="eastAsia"/>
          <w:szCs w:val="21"/>
        </w:rPr>
        <w:t>单位：</w:t>
      </w:r>
      <w:sdt>
        <w:sdtPr>
          <w:rPr>
            <w:rFonts w:hint="eastAsia"/>
            <w:szCs w:val="21"/>
          </w:rPr>
          <w:alias w:val="单位：股份支付费用"/>
          <w:tag w:val="_GBC_24ae5110d20c4ecb901e588b0e47317e"/>
          <w:id w:val="-171426621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股份支付费用"/>
          <w:tag w:val="_GBC_a8da5cae46414b2d8b23d811abb84e5d"/>
          <w:id w:val="8455996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9"/>
        <w:tblW w:w="0" w:type="auto"/>
        <w:tblLook w:val="04A0" w:firstRow="1" w:lastRow="0" w:firstColumn="1" w:lastColumn="0" w:noHBand="0" w:noVBand="1"/>
      </w:tblPr>
      <w:tblGrid>
        <w:gridCol w:w="2928"/>
        <w:gridCol w:w="2967"/>
        <w:gridCol w:w="2928"/>
      </w:tblGrid>
      <w:tr w:rsidR="00E57DAA" w14:paraId="253ADD1F" w14:textId="77777777">
        <w:sdt>
          <w:sdtPr>
            <w:tag w:val="_PLD_c3402a9f011d4e5e9edf0a38b9dfaec2"/>
            <w:id w:val="-168496237"/>
          </w:sdtPr>
          <w:sdtEndPr/>
          <w:sdtContent>
            <w:tc>
              <w:tcPr>
                <w:tcW w:w="2928" w:type="dxa"/>
              </w:tcPr>
              <w:p w14:paraId="3FE2CAFB" w14:textId="77777777" w:rsidR="00E57DAA" w:rsidRDefault="00AC4185">
                <w:pPr>
                  <w:jc w:val="center"/>
                </w:pPr>
                <w:r>
                  <w:t>授予对象类别</w:t>
                </w:r>
              </w:p>
            </w:tc>
          </w:sdtContent>
        </w:sdt>
        <w:sdt>
          <w:sdtPr>
            <w:tag w:val="_PLD_d19c6d7c84c34675b42033f4fe3194dd"/>
            <w:id w:val="-1176963348"/>
          </w:sdtPr>
          <w:sdtEndPr/>
          <w:sdtContent>
            <w:tc>
              <w:tcPr>
                <w:tcW w:w="2967" w:type="dxa"/>
              </w:tcPr>
              <w:p w14:paraId="7A91E7C8" w14:textId="77777777" w:rsidR="00E57DAA" w:rsidRDefault="00AC4185">
                <w:pPr>
                  <w:jc w:val="center"/>
                </w:pPr>
                <w:r>
                  <w:t>以权益结算的股份支付费用</w:t>
                </w:r>
              </w:p>
            </w:tc>
          </w:sdtContent>
        </w:sdt>
        <w:sdt>
          <w:sdtPr>
            <w:tag w:val="_PLD_aabdbf8e11ec449e8a7501e5a1372ce0"/>
            <w:id w:val="869182791"/>
          </w:sdtPr>
          <w:sdtEndPr/>
          <w:sdtContent>
            <w:tc>
              <w:tcPr>
                <w:tcW w:w="2928" w:type="dxa"/>
              </w:tcPr>
              <w:p w14:paraId="4A75D360" w14:textId="77777777" w:rsidR="00E57DAA" w:rsidRDefault="00AC4185">
                <w:pPr>
                  <w:jc w:val="center"/>
                </w:pPr>
                <w:r>
                  <w:t>以现金结算的股份支付费用</w:t>
                </w:r>
              </w:p>
            </w:tc>
          </w:sdtContent>
        </w:sdt>
      </w:tr>
      <w:tr w:rsidR="00E57DAA" w14:paraId="6A1CCFA0" w14:textId="77777777">
        <w:tc>
          <w:tcPr>
            <w:tcW w:w="2928" w:type="dxa"/>
          </w:tcPr>
          <w:p w14:paraId="5E41C088" w14:textId="77777777" w:rsidR="00E57DAA" w:rsidRDefault="00AC4185" w:rsidP="00C25422">
            <w:pPr>
              <w:pStyle w:val="92"/>
            </w:pPr>
            <w:r>
              <w:rPr>
                <w:rFonts w:hint="eastAsia"/>
              </w:rPr>
              <w:t>董事及高级管理人员，核心管理、业务及技术骨干</w:t>
            </w:r>
          </w:p>
        </w:tc>
        <w:tc>
          <w:tcPr>
            <w:tcW w:w="2967" w:type="dxa"/>
          </w:tcPr>
          <w:p w14:paraId="1B840C2E" w14:textId="77777777" w:rsidR="00E57DAA" w:rsidRDefault="00AC4185">
            <w:pPr>
              <w:jc w:val="right"/>
            </w:pPr>
            <w:r>
              <w:t>67,601,608.89</w:t>
            </w:r>
          </w:p>
        </w:tc>
        <w:tc>
          <w:tcPr>
            <w:tcW w:w="2928" w:type="dxa"/>
          </w:tcPr>
          <w:p w14:paraId="33D41455" w14:textId="77777777" w:rsidR="00E57DAA" w:rsidRDefault="00E57DAA">
            <w:pPr>
              <w:jc w:val="right"/>
            </w:pPr>
          </w:p>
        </w:tc>
      </w:tr>
      <w:tr w:rsidR="00E57DAA" w14:paraId="7BE9443F" w14:textId="77777777">
        <w:tc>
          <w:tcPr>
            <w:tcW w:w="2928" w:type="dxa"/>
          </w:tcPr>
          <w:p w14:paraId="6E5629A7" w14:textId="77777777" w:rsidR="00E57DAA" w:rsidRDefault="00AC4185">
            <w:pPr>
              <w:jc w:val="center"/>
            </w:pPr>
            <w:r>
              <w:rPr>
                <w:rFonts w:hint="eastAsia"/>
              </w:rPr>
              <w:t>合计</w:t>
            </w:r>
          </w:p>
        </w:tc>
        <w:tc>
          <w:tcPr>
            <w:tcW w:w="2967" w:type="dxa"/>
          </w:tcPr>
          <w:p w14:paraId="7A88E785" w14:textId="77777777" w:rsidR="00E57DAA" w:rsidRDefault="00AC4185">
            <w:pPr>
              <w:jc w:val="right"/>
            </w:pPr>
            <w:r>
              <w:t>67,601,608.89</w:t>
            </w:r>
          </w:p>
        </w:tc>
        <w:tc>
          <w:tcPr>
            <w:tcW w:w="2928" w:type="dxa"/>
          </w:tcPr>
          <w:p w14:paraId="7126E342" w14:textId="77777777" w:rsidR="00E57DAA" w:rsidRDefault="00E57DAA">
            <w:pPr>
              <w:jc w:val="right"/>
            </w:pPr>
          </w:p>
        </w:tc>
      </w:tr>
    </w:tbl>
    <w:p w14:paraId="3EEC2D08" w14:textId="77777777" w:rsidR="00E57DAA" w:rsidRDefault="00E57DAA" w:rsidP="00C25422">
      <w:pPr>
        <w:pStyle w:val="92"/>
      </w:pPr>
    </w:p>
    <w:p w14:paraId="05886766" w14:textId="77777777" w:rsidR="00E57DAA" w:rsidRDefault="00AC4185" w:rsidP="00C25422">
      <w:pPr>
        <w:pStyle w:val="91"/>
        <w:numPr>
          <w:ilvl w:val="0"/>
          <w:numId w:val="124"/>
        </w:numPr>
      </w:pPr>
      <w:r>
        <w:rPr>
          <w:rFonts w:hint="eastAsia"/>
        </w:rPr>
        <w:t>股份支付的修改、终止情况</w:t>
      </w:r>
    </w:p>
    <w:sdt>
      <w:sdtPr>
        <w:rPr>
          <w:rFonts w:hint="eastAsia"/>
          <w:szCs w:val="21"/>
        </w:rPr>
        <w:alias w:val="是否适用：股份支付的修改、终止情况[双击切换]"/>
        <w:tag w:val="_GBC_6da986e9834d42b9bb7548673f325962"/>
        <w:id w:val="-593621249"/>
        <w:placeholder>
          <w:docPart w:val="GBC22222222222222222222222222222"/>
        </w:placeholder>
      </w:sdtPr>
      <w:sdtEndPr/>
      <w:sdtContent>
        <w:p w14:paraId="5CF35F36" w14:textId="77777777" w:rsidR="00E57DAA" w:rsidRDefault="00AC4185">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F988C6E" w14:textId="77777777" w:rsidR="00E57DAA" w:rsidRDefault="00E57DAA">
      <w:pPr>
        <w:ind w:firstLineChars="100" w:firstLine="210"/>
        <w:rPr>
          <w:szCs w:val="21"/>
        </w:rPr>
      </w:pPr>
    </w:p>
    <w:p w14:paraId="1A5054CB" w14:textId="77777777" w:rsidR="00E57DAA" w:rsidRDefault="00AC4185" w:rsidP="00C25422">
      <w:pPr>
        <w:pStyle w:val="91"/>
        <w:numPr>
          <w:ilvl w:val="0"/>
          <w:numId w:val="124"/>
        </w:numPr>
      </w:pPr>
      <w:r>
        <w:rPr>
          <w:rFonts w:hint="eastAsia"/>
        </w:rPr>
        <w:t>其他</w:t>
      </w:r>
    </w:p>
    <w:sdt>
      <w:sdtPr>
        <w:rPr>
          <w:rFonts w:hint="eastAsia"/>
          <w:szCs w:val="21"/>
        </w:rPr>
        <w:alias w:val="是否适用：股份支付的其他情况说明[双击切换]"/>
        <w:tag w:val="_GBC_d03d26e0d4844b798c3d4b87d2578ece"/>
        <w:id w:val="-1932271745"/>
        <w:placeholder>
          <w:docPart w:val="GBC22222222222222222222222222222"/>
        </w:placeholder>
      </w:sdtPr>
      <w:sdtEndPr/>
      <w:sdtContent>
        <w:p w14:paraId="16D1BAE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FBEA84" w14:textId="77777777" w:rsidR="00E57DAA" w:rsidRDefault="00E57DAA">
      <w:pPr>
        <w:rPr>
          <w:szCs w:val="21"/>
        </w:rPr>
      </w:pPr>
    </w:p>
    <w:p w14:paraId="09607F15" w14:textId="77777777" w:rsidR="00E57DAA" w:rsidRDefault="00AC4185" w:rsidP="00C25422">
      <w:pPr>
        <w:pStyle w:val="2CharCharChar1"/>
        <w:numPr>
          <w:ilvl w:val="0"/>
          <w:numId w:val="58"/>
        </w:numPr>
      </w:pPr>
      <w:r>
        <w:rPr>
          <w:rFonts w:hint="eastAsia"/>
        </w:rPr>
        <w:t>承诺及或有事项</w:t>
      </w:r>
    </w:p>
    <w:p w14:paraId="55F7F3C9" w14:textId="77777777" w:rsidR="00E57DAA" w:rsidRDefault="00AC4185" w:rsidP="00C25422">
      <w:pPr>
        <w:pStyle w:val="91"/>
        <w:numPr>
          <w:ilvl w:val="0"/>
          <w:numId w:val="125"/>
        </w:numPr>
      </w:pPr>
      <w:r>
        <w:rPr>
          <w:rFonts w:hint="eastAsia"/>
        </w:rPr>
        <w:t>重要承诺事项</w:t>
      </w:r>
    </w:p>
    <w:sdt>
      <w:sdtPr>
        <w:alias w:val="是否适用：重要承诺事项[双击切换]"/>
        <w:tag w:val="_GBC_568be9a6805040a8b9fbd5c5d07b45dd"/>
        <w:id w:val="1804264039"/>
        <w:lock w:val="contentLocked"/>
        <w:placeholder>
          <w:docPart w:val="GBC22222222222222222222222222222"/>
        </w:placeholder>
      </w:sdtPr>
      <w:sdtEndPr/>
      <w:sdtContent>
        <w:p w14:paraId="245057D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468336" w14:textId="77777777" w:rsidR="00E57DAA" w:rsidRDefault="00AC4185" w:rsidP="00C25422">
      <w:pPr>
        <w:pStyle w:val="92"/>
      </w:pPr>
      <w:r>
        <w:rPr>
          <w:rFonts w:hint="eastAsia"/>
        </w:rPr>
        <w:t>资产负债表日存在的对外重要承诺、性质、金额</w:t>
      </w:r>
    </w:p>
    <w:p w14:paraId="6124799E" w14:textId="77777777" w:rsidR="00E57DAA" w:rsidRDefault="00EB41A1">
      <w:pPr>
        <w:rPr>
          <w:rFonts w:cs="Cambria"/>
          <w:bCs/>
        </w:rPr>
      </w:pPr>
      <w:sdt>
        <w:sdtPr>
          <w:rPr>
            <w:rFonts w:cs="Cambria"/>
            <w:bCs/>
          </w:rPr>
          <w:alias w:val="资产负债表日存在的重要承诺"/>
          <w:tag w:val="_GBC_d8961aa2bd524a56bb4914de9e5d2dc3"/>
          <w:id w:val="-424958142"/>
          <w:placeholder>
            <w:docPart w:val="GBC22222222222222222222222222222"/>
          </w:placeholder>
        </w:sdtPr>
        <w:sdtEndPr/>
        <w:sdtContent>
          <w:r w:rsidR="00AC4185">
            <w:rPr>
              <w:rFonts w:cs="Cambria" w:hint="eastAsia"/>
              <w:bCs/>
            </w:rPr>
            <w:t>本公司不存在需要披露的重要承诺事项。</w:t>
          </w:r>
        </w:sdtContent>
      </w:sdt>
    </w:p>
    <w:p w14:paraId="4F5A9BC8" w14:textId="77777777" w:rsidR="00E57DAA" w:rsidRDefault="00E57DAA" w:rsidP="00C25422">
      <w:pPr>
        <w:pStyle w:val="92"/>
      </w:pPr>
    </w:p>
    <w:p w14:paraId="62172B62" w14:textId="77777777" w:rsidR="00E57DAA" w:rsidRDefault="00AC4185" w:rsidP="00C25422">
      <w:pPr>
        <w:pStyle w:val="91"/>
        <w:numPr>
          <w:ilvl w:val="0"/>
          <w:numId w:val="125"/>
        </w:numPr>
      </w:pPr>
      <w:r>
        <w:rPr>
          <w:rFonts w:hint="eastAsia"/>
        </w:rPr>
        <w:t>或有事项</w:t>
      </w:r>
    </w:p>
    <w:p w14:paraId="2DE845BD" w14:textId="77777777" w:rsidR="00E57DAA" w:rsidRDefault="00AC4185">
      <w:pPr>
        <w:pStyle w:val="4"/>
        <w:numPr>
          <w:ilvl w:val="3"/>
          <w:numId w:val="126"/>
        </w:numPr>
        <w:ind w:left="426" w:hangingChars="202" w:hanging="426"/>
      </w:pPr>
      <w:r>
        <w:rPr>
          <w:rFonts w:hint="eastAsia"/>
        </w:rPr>
        <w:t>资产负债表日存在的重要或有事项</w:t>
      </w:r>
    </w:p>
    <w:sdt>
      <w:sdtPr>
        <w:rPr>
          <w:rFonts w:hint="eastAsia"/>
        </w:rPr>
        <w:alias w:val="是否适用：资产负债表日存在的重要或有事项[双击切换]"/>
        <w:tag w:val="_GBC_d987504ad98e408986b4fc6f62089ffe"/>
        <w:id w:val="-204658"/>
        <w:placeholder>
          <w:docPart w:val="GBC22222222222222222222222222222"/>
        </w:placeholder>
      </w:sdtPr>
      <w:sdtEndPr/>
      <w:sdtContent>
        <w:p w14:paraId="42C83628" w14:textId="77777777" w:rsidR="00E57DAA" w:rsidRDefault="00AC4185" w:rsidP="00C25422">
          <w:pPr>
            <w:pStyle w:val="92"/>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资产负债表日存在的重要或有事项"/>
        <w:tag w:val="_GBC_44fe1af4de6e4875a4861efb466efdca"/>
        <w:id w:val="171615929"/>
        <w:placeholder>
          <w:docPart w:val="GBC22222222222222222222222222222"/>
        </w:placeholder>
      </w:sdtPr>
      <w:sdtEndPr/>
      <w:sdtContent>
        <w:p w14:paraId="15D275D9" w14:textId="77777777" w:rsidR="00E57DAA" w:rsidRDefault="00AC4185">
          <w:pPr>
            <w:ind w:firstLineChars="200" w:firstLine="420"/>
          </w:pPr>
          <w:r>
            <w:t>1．</w:t>
          </w:r>
          <w:r>
            <w:tab/>
            <w:t>为其他单位提供债务担保情况说明</w:t>
          </w:r>
        </w:p>
        <w:p w14:paraId="45FFCD17" w14:textId="77777777" w:rsidR="00E57DAA" w:rsidRDefault="00AC4185">
          <w:pPr>
            <w:ind w:firstLineChars="200" w:firstLine="420"/>
          </w:pPr>
          <w:r>
            <w:rPr>
              <w:rFonts w:hint="eastAsia"/>
            </w:rPr>
            <w:t>（</w:t>
          </w:r>
          <w:r>
            <w:t>1）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EPS（设计+供货+监理）项目履约（合同总金额约1.52亿美元）提供不可撤销的连带责任保证担保。截至报告期末，该项担保仍在有效期。</w:t>
          </w:r>
        </w:p>
        <w:p w14:paraId="016BBB3C" w14:textId="77777777" w:rsidR="00E57DAA" w:rsidRDefault="00AC4185">
          <w:pPr>
            <w:ind w:firstLineChars="200" w:firstLine="420"/>
          </w:pPr>
          <w:r>
            <w:rPr>
              <w:rFonts w:hint="eastAsia"/>
            </w:rPr>
            <w:t>（</w:t>
          </w:r>
          <w:r>
            <w:t>2）2017年2月13日，公司2017年第一次临时股东大会审议通过了《关于为全资子公司银团贷款提供担保的议案》，批准公司为全资子公司成都建筑材料工业设计研究院有限公司提供</w:t>
          </w:r>
          <w:r>
            <w:lastRenderedPageBreak/>
            <w:t>不超过等值37,550万欧元的项目贷款及孳息提供连带保证责任。截至报告期末，担保余额8,930万欧元。</w:t>
          </w:r>
        </w:p>
        <w:p w14:paraId="1CFA920A" w14:textId="77777777" w:rsidR="00E57DAA" w:rsidRDefault="00AC4185">
          <w:pPr>
            <w:ind w:firstLineChars="200" w:firstLine="420"/>
          </w:pPr>
          <w:r>
            <w:rPr>
              <w:rFonts w:hint="eastAsia"/>
            </w:rPr>
            <w:t>（</w:t>
          </w:r>
          <w:r>
            <w:t>3）2019年9月6日，公司2019年第三次临时股东大会审议通过了《关于为参股公司中材膜材料越南公司境外融资提供担保暨关联交易的议案》，批准公司按照对参股公司SINOMA MEMBRANE MATERIAL VIETNAM COMPANY LIMITED（中材膜材料越南公司）的持股比例为其境外融资提供总额不超过360万美元的担保。截至报告期末，担保余额折合人民币为435.80万元。</w:t>
          </w:r>
        </w:p>
        <w:p w14:paraId="53C147AC" w14:textId="77777777" w:rsidR="00E57DAA" w:rsidRDefault="00AC4185">
          <w:pPr>
            <w:ind w:firstLineChars="200" w:firstLine="420"/>
          </w:pPr>
          <w:r>
            <w:rPr>
              <w:rFonts w:hint="eastAsia"/>
            </w:rPr>
            <w:t>（</w:t>
          </w:r>
          <w:r>
            <w:t>4）2019年10月16日，公司2019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至报告期末，担保余额为1,371万元。</w:t>
          </w:r>
        </w:p>
        <w:p w14:paraId="38E7861C" w14:textId="77777777" w:rsidR="00E57DAA" w:rsidRDefault="00AC4185">
          <w:pPr>
            <w:ind w:firstLineChars="200" w:firstLine="420"/>
          </w:pPr>
          <w:r>
            <w:rPr>
              <w:rFonts w:hint="eastAsia"/>
            </w:rPr>
            <w:t>（</w:t>
          </w:r>
          <w:r>
            <w:t>5）2022年1月7日，公司2022年第一次临时股东大会审议通过了《关于为全资子公司银行借款及授信提供担保的议案》，批准公司分别为全资子公司天津水泥工业设计研究院有限公司和北京凯盛建材工程有限公司3亿元人民币借款和2.2亿元人民币银行授信(其中长期借款2亿元，国内综合保理0.2亿元)提供连带责任担保。截至报告期末，上述担保余额分别为3亿元和0亿元。</w:t>
          </w:r>
        </w:p>
        <w:p w14:paraId="2510C2A1" w14:textId="77777777" w:rsidR="00E57DAA" w:rsidRDefault="00AC4185">
          <w:pPr>
            <w:ind w:firstLineChars="200" w:firstLine="420"/>
          </w:pPr>
          <w:r>
            <w:rPr>
              <w:rFonts w:hint="eastAsia"/>
            </w:rPr>
            <w:t>（</w:t>
          </w:r>
          <w:r>
            <w:t>6）2022年12月29日，公司2022年第八次临时股东大会审议通过《关于公司2023年担保计划的议案》，批准公司及子公司未来12个月内拟向控股子公司、参股公司新增和续展提供总额不超过14,714万美元和14亿人民币的担保。截至报告期末，上述年度担保计划内担保事项担保余额为49,749.13万元人民币。</w:t>
          </w:r>
        </w:p>
        <w:p w14:paraId="0F0767E4" w14:textId="77777777" w:rsidR="00E57DAA" w:rsidRDefault="00AC4185">
          <w:pPr>
            <w:ind w:firstLineChars="200" w:firstLine="420"/>
          </w:pPr>
          <w:r>
            <w:rPr>
              <w:rFonts w:hint="eastAsia"/>
            </w:rPr>
            <w:t>（</w:t>
          </w:r>
          <w:r>
            <w:t>7）2023年5月11日，公司2023年第一次临时股东大会审议通过《关于中材海外为关联参股公司中材科技（巴西）风电叶片有限公司境外融资提供担保的议案》，批准公司全资子公司中国中材海外科技发展有限公司为其参股公司中材科技（巴西）风电叶片有限公司提供总额不超过178.2万巴西雷亚尔的银行保函担保和总额不超过510万美元的流动资金贷款担保。截至报告期末，</w:t>
          </w:r>
          <w:r w:rsidR="001870ED">
            <w:t>上述担保尚在有效期</w:t>
          </w:r>
          <w:r>
            <w:t>。</w:t>
          </w:r>
        </w:p>
        <w:p w14:paraId="2A2961A8" w14:textId="77777777" w:rsidR="00E57DAA" w:rsidRDefault="00AC4185">
          <w:pPr>
            <w:ind w:firstLineChars="200" w:firstLine="420"/>
          </w:pPr>
          <w:r>
            <w:t>2．</w:t>
          </w:r>
          <w:r>
            <w:tab/>
            <w:t>开出保函情况</w:t>
          </w:r>
        </w:p>
        <w:p w14:paraId="10943CFB" w14:textId="77777777" w:rsidR="00E57DAA" w:rsidRDefault="00AC4185">
          <w:pPr>
            <w:ind w:firstLineChars="200" w:firstLine="420"/>
          </w:pPr>
          <w:r>
            <w:rPr>
              <w:rFonts w:hint="eastAsia"/>
            </w:rPr>
            <w:t>截至报告期末，中材国际及控股子公司通过银行累计向业主开具的尚在有效期的保函共</w:t>
          </w:r>
          <w:r>
            <w:t>721笔，余额约为人民币71.35亿元。</w:t>
          </w:r>
        </w:p>
      </w:sdtContent>
    </w:sdt>
    <w:p w14:paraId="21F41F95" w14:textId="77777777" w:rsidR="00E57DAA" w:rsidRDefault="00E57DAA" w:rsidP="00C25422">
      <w:pPr>
        <w:pStyle w:val="92"/>
      </w:pPr>
    </w:p>
    <w:p w14:paraId="2D6C6C06" w14:textId="77777777" w:rsidR="00E57DAA" w:rsidRDefault="00AC4185">
      <w:pPr>
        <w:pStyle w:val="4"/>
        <w:numPr>
          <w:ilvl w:val="3"/>
          <w:numId w:val="126"/>
        </w:numPr>
        <w:ind w:left="426" w:hangingChars="202" w:hanging="426"/>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735281196"/>
        <w:placeholder>
          <w:docPart w:val="GBC22222222222222222222222222222"/>
        </w:placeholder>
      </w:sdtPr>
      <w:sdtEndPr/>
      <w:sdtContent>
        <w:p w14:paraId="3378F44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410ACF" w14:textId="77777777" w:rsidR="00E57DAA" w:rsidRDefault="00E57DAA">
      <w:pPr>
        <w:rPr>
          <w:rFonts w:asciiTheme="minorHAnsi" w:hAnsiTheme="minorHAnsi" w:cstheme="minorBidi"/>
        </w:rPr>
      </w:pPr>
    </w:p>
    <w:p w14:paraId="5448830F" w14:textId="77777777" w:rsidR="00E57DAA" w:rsidRDefault="00AC4185" w:rsidP="00C25422">
      <w:pPr>
        <w:pStyle w:val="91"/>
        <w:numPr>
          <w:ilvl w:val="0"/>
          <w:numId w:val="125"/>
        </w:numPr>
      </w:pPr>
      <w:r>
        <w:rPr>
          <w:rFonts w:hint="eastAsia"/>
        </w:rPr>
        <w:t>其他</w:t>
      </w:r>
    </w:p>
    <w:sdt>
      <w:sdtPr>
        <w:rPr>
          <w:rFonts w:hint="eastAsia"/>
        </w:rPr>
        <w:alias w:val="是否适用：承诺及或有事项的其他情况说明[双击切换]"/>
        <w:tag w:val="_GBC_cf5b3c02da904b4ea27843983d9a6248"/>
        <w:id w:val="-672333593"/>
        <w:placeholder>
          <w:docPart w:val="GBC22222222222222222222222222222"/>
        </w:placeholder>
      </w:sdtPr>
      <w:sdtEndPr/>
      <w:sdtContent>
        <w:p w14:paraId="7CD8CAC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E96AC6" w14:textId="77777777" w:rsidR="00E57DAA" w:rsidRDefault="00E57DAA">
      <w:pPr>
        <w:rPr>
          <w:szCs w:val="21"/>
        </w:rPr>
      </w:pPr>
    </w:p>
    <w:p w14:paraId="4CB20645" w14:textId="77777777" w:rsidR="00E57DAA" w:rsidRDefault="00AC4185" w:rsidP="00C25422">
      <w:pPr>
        <w:pStyle w:val="2CharCharChar1"/>
        <w:numPr>
          <w:ilvl w:val="0"/>
          <w:numId w:val="58"/>
        </w:numPr>
      </w:pPr>
      <w:r>
        <w:rPr>
          <w:rFonts w:hint="eastAsia"/>
        </w:rPr>
        <w:t>资产负债表日后事项</w:t>
      </w:r>
    </w:p>
    <w:p w14:paraId="64A764D3" w14:textId="77777777" w:rsidR="00E57DAA" w:rsidRDefault="00AC4185" w:rsidP="00C25422">
      <w:pPr>
        <w:pStyle w:val="91"/>
        <w:numPr>
          <w:ilvl w:val="0"/>
          <w:numId w:val="127"/>
        </w:numPr>
      </w:pPr>
      <w:r>
        <w:rPr>
          <w:rFonts w:hint="eastAsia"/>
        </w:rPr>
        <w:t>重要的非调整事项</w:t>
      </w:r>
    </w:p>
    <w:sdt>
      <w:sdtPr>
        <w:alias w:val="是否适用：重要的非调整事项[双击切换]"/>
        <w:tag w:val="_GBC_5d94a9ce52454687be716014c1894fef"/>
        <w:id w:val="-362589566"/>
        <w:placeholder>
          <w:docPart w:val="GBC22222222222222222222222222222"/>
        </w:placeholder>
      </w:sdtPr>
      <w:sdtEndPr/>
      <w:sdtContent>
        <w:p w14:paraId="04D3D1BE"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220664" w14:textId="77777777" w:rsidR="00E57DAA" w:rsidRDefault="00E57DAA" w:rsidP="00C25422">
      <w:pPr>
        <w:pStyle w:val="92"/>
      </w:pPr>
    </w:p>
    <w:p w14:paraId="2D5C1627" w14:textId="77777777" w:rsidR="00E57DAA" w:rsidRDefault="00AC4185" w:rsidP="00C25422">
      <w:pPr>
        <w:pStyle w:val="91"/>
        <w:numPr>
          <w:ilvl w:val="0"/>
          <w:numId w:val="127"/>
        </w:numPr>
      </w:pPr>
      <w:r>
        <w:rPr>
          <w:rFonts w:hint="eastAsia"/>
        </w:rPr>
        <w:t>利润分配情况</w:t>
      </w:r>
    </w:p>
    <w:sdt>
      <w:sdtPr>
        <w:alias w:val="是否适用：利润分配情况[双击切换]"/>
        <w:tag w:val="_GBC_9a91fb54a6c146e5b9ee1ecff3141237"/>
        <w:id w:val="-1519762568"/>
        <w:placeholder>
          <w:docPart w:val="GBC22222222222222222222222222222"/>
        </w:placeholder>
      </w:sdtPr>
      <w:sdtEndPr/>
      <w:sdtContent>
        <w:p w14:paraId="40CA9841"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3FD765" w14:textId="77777777" w:rsidR="00E57DAA" w:rsidRDefault="00AC4185">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15195440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8488705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5193"/>
      </w:tblGrid>
      <w:tr w:rsidR="00E57DAA" w14:paraId="0EB41E5D" w14:textId="77777777">
        <w:sdt>
          <w:sdtPr>
            <w:tag w:val="_PLD_bf262968d8f642798440b0d07b3a1dda"/>
            <w:id w:val="-319894659"/>
          </w:sdtPr>
          <w:sdtEndPr/>
          <w:sdtContent>
            <w:tc>
              <w:tcPr>
                <w:tcW w:w="2057" w:type="pct"/>
                <w:tcBorders>
                  <w:top w:val="single" w:sz="4" w:space="0" w:color="auto"/>
                  <w:left w:val="single" w:sz="4" w:space="0" w:color="auto"/>
                  <w:bottom w:val="single" w:sz="4" w:space="0" w:color="auto"/>
                  <w:right w:val="single" w:sz="4" w:space="0" w:color="auto"/>
                </w:tcBorders>
              </w:tcPr>
              <w:p w14:paraId="2737191B" w14:textId="77777777" w:rsidR="00E57DAA" w:rsidRDefault="00AC4185">
                <w:pPr>
                  <w:rPr>
                    <w:szCs w:val="21"/>
                  </w:rPr>
                </w:pPr>
                <w:r>
                  <w:rPr>
                    <w:rFonts w:hint="eastAsia"/>
                    <w:szCs w:val="21"/>
                  </w:rPr>
                  <w:t>拟分配的利润或股利</w:t>
                </w:r>
              </w:p>
            </w:tc>
          </w:sdtContent>
        </w:sdt>
        <w:sdt>
          <w:sdtPr>
            <w:rPr>
              <w:szCs w:val="21"/>
            </w:rPr>
            <w:alias w:val="资产负债表日后拟分配的利润或股利"/>
            <w:tag w:val="_GBC_3add72466c2e49709858581a726eb392"/>
            <w:id w:val="-633785170"/>
          </w:sdtPr>
          <w:sdtEndPr/>
          <w:sdtContent>
            <w:tc>
              <w:tcPr>
                <w:tcW w:w="2943" w:type="pct"/>
                <w:tcBorders>
                  <w:top w:val="single" w:sz="4" w:space="0" w:color="auto"/>
                  <w:left w:val="single" w:sz="4" w:space="0" w:color="auto"/>
                  <w:bottom w:val="single" w:sz="4" w:space="0" w:color="auto"/>
                  <w:right w:val="single" w:sz="4" w:space="0" w:color="auto"/>
                </w:tcBorders>
              </w:tcPr>
              <w:p w14:paraId="07CAEB5E" w14:textId="77777777" w:rsidR="00E57DAA" w:rsidRDefault="00AC4185">
                <w:pPr>
                  <w:jc w:val="right"/>
                  <w:rPr>
                    <w:szCs w:val="21"/>
                  </w:rPr>
                </w:pPr>
                <w:r>
                  <w:rPr>
                    <w:szCs w:val="21"/>
                  </w:rPr>
                  <w:t>1,056,926,969.</w:t>
                </w:r>
                <w:r>
                  <w:rPr>
                    <w:rFonts w:hint="eastAsia"/>
                    <w:szCs w:val="21"/>
                  </w:rPr>
                  <w:t>20</w:t>
                </w:r>
              </w:p>
            </w:tc>
          </w:sdtContent>
        </w:sdt>
      </w:tr>
      <w:tr w:rsidR="00E57DAA" w14:paraId="17781AF3" w14:textId="77777777">
        <w:tc>
          <w:tcPr>
            <w:tcW w:w="2057" w:type="pct"/>
            <w:tcBorders>
              <w:top w:val="single" w:sz="4" w:space="0" w:color="auto"/>
              <w:left w:val="single" w:sz="4" w:space="0" w:color="auto"/>
              <w:bottom w:val="single" w:sz="4" w:space="0" w:color="auto"/>
              <w:right w:val="single" w:sz="4" w:space="0" w:color="auto"/>
            </w:tcBorders>
          </w:tcPr>
          <w:p w14:paraId="2EFD8584" w14:textId="77777777" w:rsidR="00E57DAA" w:rsidRDefault="00AC4185">
            <w:pPr>
              <w:rPr>
                <w:szCs w:val="21"/>
              </w:rPr>
            </w:pPr>
            <w:r>
              <w:rPr>
                <w:rFonts w:hint="eastAsia"/>
                <w:szCs w:val="21"/>
              </w:rPr>
              <w:t>经审议批准宣告发放的利润或股利</w:t>
            </w:r>
          </w:p>
        </w:tc>
        <w:tc>
          <w:tcPr>
            <w:tcW w:w="2943" w:type="pct"/>
            <w:tcBorders>
              <w:top w:val="single" w:sz="4" w:space="0" w:color="auto"/>
              <w:left w:val="single" w:sz="4" w:space="0" w:color="auto"/>
              <w:bottom w:val="single" w:sz="4" w:space="0" w:color="auto"/>
              <w:right w:val="single" w:sz="4" w:space="0" w:color="auto"/>
            </w:tcBorders>
          </w:tcPr>
          <w:p w14:paraId="4EF7E77A" w14:textId="77777777" w:rsidR="00E57DAA" w:rsidRDefault="00E57DAA">
            <w:pPr>
              <w:jc w:val="right"/>
              <w:rPr>
                <w:szCs w:val="21"/>
              </w:rPr>
            </w:pPr>
          </w:p>
        </w:tc>
      </w:tr>
    </w:tbl>
    <w:p w14:paraId="75AE97C4" w14:textId="77777777" w:rsidR="00E57DAA" w:rsidRDefault="00AC4185">
      <w:pPr>
        <w:ind w:firstLineChars="200" w:firstLine="420"/>
      </w:pPr>
      <w:r>
        <w:rPr>
          <w:rFonts w:hint="eastAsia"/>
        </w:rPr>
        <w:t>本公司拟以实施权益分派股权登记日登记的总股本为基数，向全体股东每</w:t>
      </w:r>
      <w:r>
        <w:t>10股派发现金分红</w:t>
      </w:r>
      <w:r>
        <w:rPr>
          <w:rFonts w:hint="eastAsia"/>
        </w:rPr>
        <w:t>4</w:t>
      </w:r>
      <w:r>
        <w:t>.00元（含税）。截至本报告日，本公司总股本2,642,317,423股，以此计算合计拟派发现金红利1,056,926,969.</w:t>
      </w:r>
      <w:r>
        <w:rPr>
          <w:rFonts w:hint="eastAsia"/>
        </w:rPr>
        <w:t>20</w:t>
      </w:r>
      <w:r>
        <w:t>元（含税）。如在利润分配方案披露之日起至实施权益分派股权登记日期间，本公司总股本发生变动的，本公司拟维持每股分配比例不变，相应调整分配总额。上述利润分配预案需提请202</w:t>
      </w:r>
      <w:r>
        <w:rPr>
          <w:rFonts w:hint="eastAsia"/>
        </w:rPr>
        <w:t>3</w:t>
      </w:r>
      <w:r>
        <w:t>年年度股东大会批准后实施。</w:t>
      </w:r>
    </w:p>
    <w:p w14:paraId="460142F2" w14:textId="77777777" w:rsidR="00E57DAA" w:rsidRDefault="00AC4185" w:rsidP="00C25422">
      <w:pPr>
        <w:pStyle w:val="91"/>
        <w:numPr>
          <w:ilvl w:val="0"/>
          <w:numId w:val="127"/>
        </w:numPr>
      </w:pPr>
      <w:r>
        <w:rPr>
          <w:rFonts w:hint="eastAsia"/>
          <w:szCs w:val="21"/>
        </w:rPr>
        <w:lastRenderedPageBreak/>
        <w:t>销售</w:t>
      </w:r>
      <w:r>
        <w:rPr>
          <w:rFonts w:hint="eastAsia"/>
        </w:rPr>
        <w:t>退回</w:t>
      </w:r>
    </w:p>
    <w:sdt>
      <w:sdtPr>
        <w:alias w:val="是否适用：销售退回[双击切换]"/>
        <w:tag w:val="_GBC_7fb2ecaa1ffb494486f4a8b2e94240d2"/>
        <w:id w:val="1457910090"/>
        <w:placeholder>
          <w:docPart w:val="GBC22222222222222222222222222222"/>
        </w:placeholder>
      </w:sdtPr>
      <w:sdtEndPr/>
      <w:sdtContent>
        <w:p w14:paraId="39722AC9"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E037EF" w14:textId="77777777" w:rsidR="00E57DAA" w:rsidRDefault="00E57DAA">
      <w:pPr>
        <w:rPr>
          <w:szCs w:val="21"/>
        </w:rPr>
      </w:pPr>
    </w:p>
    <w:p w14:paraId="13CEC0A4" w14:textId="77777777" w:rsidR="00E57DAA" w:rsidRDefault="00AC4185" w:rsidP="00C25422">
      <w:pPr>
        <w:pStyle w:val="91"/>
        <w:numPr>
          <w:ilvl w:val="0"/>
          <w:numId w:val="127"/>
        </w:numPr>
      </w:pPr>
      <w:r>
        <w:rPr>
          <w:rFonts w:hint="eastAsia"/>
        </w:rPr>
        <w:t>其他资产负债表日后事项说明</w:t>
      </w:r>
    </w:p>
    <w:sdt>
      <w:sdtPr>
        <w:rPr>
          <w:rFonts w:hint="eastAsia"/>
        </w:rPr>
        <w:alias w:val="是否适用：其他资产负债表日后事项说明[双击切换]"/>
        <w:tag w:val="_GBC_4fc0f824aaea4ed096cae3b9f97ff314"/>
        <w:id w:val="22602370"/>
        <w:placeholder>
          <w:docPart w:val="GBC22222222222222222222222222222"/>
        </w:placeholder>
      </w:sdtPr>
      <w:sdtEndPr/>
      <w:sdtContent>
        <w:p w14:paraId="7DC10DF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40E9DB" w14:textId="77777777" w:rsidR="00E57DAA" w:rsidRDefault="00E57DAA">
      <w:pPr>
        <w:rPr>
          <w:szCs w:val="21"/>
        </w:rPr>
      </w:pPr>
    </w:p>
    <w:p w14:paraId="3F587AF5" w14:textId="77777777" w:rsidR="00E57DAA" w:rsidRDefault="00AC4185" w:rsidP="00C25422">
      <w:pPr>
        <w:pStyle w:val="2CharCharChar1"/>
        <w:numPr>
          <w:ilvl w:val="0"/>
          <w:numId w:val="58"/>
        </w:numPr>
      </w:pPr>
      <w:r>
        <w:rPr>
          <w:rFonts w:hint="eastAsia"/>
        </w:rPr>
        <w:t>其他重要事项</w:t>
      </w:r>
    </w:p>
    <w:p w14:paraId="4071E158" w14:textId="77777777" w:rsidR="00E57DAA" w:rsidRDefault="00AC4185" w:rsidP="00C25422">
      <w:pPr>
        <w:pStyle w:val="91"/>
        <w:numPr>
          <w:ilvl w:val="0"/>
          <w:numId w:val="128"/>
        </w:numPr>
      </w:pPr>
      <w:r>
        <w:rPr>
          <w:rFonts w:hint="eastAsia"/>
        </w:rPr>
        <w:t>前期会计差错更正</w:t>
      </w:r>
    </w:p>
    <w:p w14:paraId="6BDECCBA" w14:textId="77777777" w:rsidR="00E57DAA" w:rsidRDefault="00AC4185">
      <w:pPr>
        <w:pStyle w:val="4"/>
        <w:numPr>
          <w:ilvl w:val="3"/>
          <w:numId w:val="129"/>
        </w:numPr>
        <w:ind w:left="426" w:hangingChars="202" w:hanging="426"/>
      </w:pPr>
      <w:r>
        <w:rPr>
          <w:rFonts w:hint="eastAsia"/>
        </w:rPr>
        <w:t>追溯重述法</w:t>
      </w:r>
    </w:p>
    <w:sdt>
      <w:sdtPr>
        <w:rPr>
          <w:rFonts w:hint="eastAsia"/>
          <w:szCs w:val="21"/>
        </w:rPr>
        <w:alias w:val="是否适用：追溯重述法[双击切换]"/>
        <w:tag w:val="_GBC_19d462bfe01047cd87b083dddf885193"/>
        <w:id w:val="-122384545"/>
        <w:placeholder>
          <w:docPart w:val="GBC22222222222222222222222222222"/>
        </w:placeholder>
      </w:sdtPr>
      <w:sdtEndPr/>
      <w:sdtContent>
        <w:p w14:paraId="5D60DAA7"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B125D6" w14:textId="77777777" w:rsidR="00E57DAA" w:rsidRDefault="00E57DAA" w:rsidP="00C25422">
      <w:pPr>
        <w:pStyle w:val="92"/>
      </w:pPr>
    </w:p>
    <w:p w14:paraId="12057589" w14:textId="77777777" w:rsidR="00E57DAA" w:rsidRDefault="00AC4185">
      <w:pPr>
        <w:pStyle w:val="4"/>
        <w:numPr>
          <w:ilvl w:val="3"/>
          <w:numId w:val="129"/>
        </w:numPr>
        <w:ind w:left="426" w:hangingChars="202" w:hanging="426"/>
      </w:pPr>
      <w:r>
        <w:rPr>
          <w:rFonts w:hint="eastAsia"/>
        </w:rPr>
        <w:t>未来适用法</w:t>
      </w:r>
    </w:p>
    <w:sdt>
      <w:sdtPr>
        <w:alias w:val="是否适用：未来适用法[双击切换]"/>
        <w:tag w:val="_GBC_6fd6421ddf524335aa8fac02bc322e70"/>
        <w:id w:val="2136212462"/>
        <w:placeholder>
          <w:docPart w:val="GBC22222222222222222222222222222"/>
        </w:placeholder>
      </w:sdtPr>
      <w:sdtEndPr/>
      <w:sdtContent>
        <w:p w14:paraId="767AC6BB"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26FC74" w14:textId="77777777" w:rsidR="00E57DAA" w:rsidRDefault="00E57DAA" w:rsidP="00C25422">
      <w:pPr>
        <w:pStyle w:val="92"/>
      </w:pPr>
    </w:p>
    <w:p w14:paraId="75AFC62E" w14:textId="77777777" w:rsidR="00E57DAA" w:rsidRDefault="00AC4185" w:rsidP="00C25422">
      <w:pPr>
        <w:pStyle w:val="91"/>
        <w:numPr>
          <w:ilvl w:val="0"/>
          <w:numId w:val="128"/>
        </w:numPr>
      </w:pPr>
      <w:r>
        <w:rPr>
          <w:rFonts w:ascii="宋体" w:hAnsi="宋体" w:cs="宋体" w:hint="eastAsia"/>
          <w:kern w:val="0"/>
          <w:szCs w:val="24"/>
        </w:rPr>
        <w:t>重要</w:t>
      </w:r>
      <w:r>
        <w:rPr>
          <w:rFonts w:hint="eastAsia"/>
        </w:rPr>
        <w:t>债务重组</w:t>
      </w:r>
    </w:p>
    <w:sdt>
      <w:sdtPr>
        <w:alias w:val="是否适用：重要债务重组[双击切换]"/>
        <w:tag w:val="_GBC_6b3631222f074ee0b23297cdcd94685f"/>
        <w:id w:val="234747738"/>
        <w:placeholder>
          <w:docPart w:val="GBC22222222222222222222222222222"/>
        </w:placeholder>
      </w:sdtPr>
      <w:sdtEndPr/>
      <w:sdtContent>
        <w:p w14:paraId="7352BCF5" w14:textId="77777777" w:rsidR="00E57DAA" w:rsidRDefault="00AC41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27F2B9" w14:textId="77777777" w:rsidR="00E57DAA" w:rsidRDefault="00AC4185">
      <w:pPr>
        <w:jc w:val="right"/>
        <w:rPr>
          <w:szCs w:val="21"/>
        </w:rPr>
      </w:pPr>
      <w:r>
        <w:rPr>
          <w:rFonts w:hint="eastAsia"/>
          <w:szCs w:val="21"/>
        </w:rPr>
        <w:t>单位:</w:t>
      </w:r>
      <w:sdt>
        <w:sdtPr>
          <w:rPr>
            <w:rFonts w:hint="eastAsia"/>
            <w:szCs w:val="21"/>
          </w:rPr>
          <w:alias w:val="单位：重要债务重组"/>
          <w:tag w:val="_GBC_56f984482be941bcbf7069a0e7bb7ee8"/>
          <w:id w:val="-1216341393"/>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重要债务重组"/>
          <w:tag w:val="_GBC_798421a7ff704352a7040a0a78e4f13c"/>
          <w:id w:val="1590654990"/>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Style w:val="g5"/>
        <w:tblW w:w="5000" w:type="pct"/>
        <w:tblLook w:val="04A0" w:firstRow="1" w:lastRow="0" w:firstColumn="1" w:lastColumn="0" w:noHBand="0" w:noVBand="1"/>
      </w:tblPr>
      <w:tblGrid>
        <w:gridCol w:w="809"/>
        <w:gridCol w:w="807"/>
        <w:gridCol w:w="1589"/>
        <w:gridCol w:w="1753"/>
        <w:gridCol w:w="642"/>
        <w:gridCol w:w="808"/>
        <w:gridCol w:w="808"/>
        <w:gridCol w:w="808"/>
        <w:gridCol w:w="799"/>
      </w:tblGrid>
      <w:tr w:rsidR="00E57DAA" w14:paraId="38386146" w14:textId="77777777">
        <w:trPr>
          <w:trHeight w:val="70"/>
        </w:trPr>
        <w:sdt>
          <w:sdtPr>
            <w:rPr>
              <w:rFonts w:ascii="Times New Roman" w:hAnsi="Times New Roman" w:hint="eastAsia"/>
              <w:szCs w:val="21"/>
            </w:rPr>
            <w:tag w:val="_PLD_7a5c9e3055f446debd3ed4cdb1388534"/>
            <w:id w:val="39707383"/>
          </w:sdtPr>
          <w:sdtEndPr/>
          <w:sdtContent>
            <w:tc>
              <w:tcPr>
                <w:tcW w:w="458" w:type="pct"/>
                <w:vAlign w:val="center"/>
              </w:tcPr>
              <w:p w14:paraId="3F977674" w14:textId="77777777" w:rsidR="00E57DAA" w:rsidRDefault="00AC4185">
                <w:pPr>
                  <w:ind w:right="6"/>
                  <w:jc w:val="center"/>
                  <w:rPr>
                    <w:szCs w:val="21"/>
                  </w:rPr>
                </w:pPr>
                <w:r>
                  <w:rPr>
                    <w:rFonts w:hint="eastAsia"/>
                    <w:szCs w:val="21"/>
                  </w:rPr>
                  <w:t>项目</w:t>
                </w:r>
              </w:p>
            </w:tc>
          </w:sdtContent>
        </w:sdt>
        <w:sdt>
          <w:sdtPr>
            <w:rPr>
              <w:rFonts w:ascii="Times New Roman" w:hAnsi="Times New Roman" w:hint="eastAsia"/>
              <w:szCs w:val="21"/>
            </w:rPr>
            <w:tag w:val="_PLD_34108a472d524432bc008efd28cb452c"/>
            <w:id w:val="-1866672904"/>
          </w:sdtPr>
          <w:sdtEndPr/>
          <w:sdtContent>
            <w:tc>
              <w:tcPr>
                <w:tcW w:w="457" w:type="pct"/>
                <w:vAlign w:val="center"/>
              </w:tcPr>
              <w:p w14:paraId="30A8126A" w14:textId="77777777" w:rsidR="00E57DAA" w:rsidRDefault="00AC4185">
                <w:pPr>
                  <w:ind w:right="6"/>
                  <w:jc w:val="center"/>
                  <w:rPr>
                    <w:szCs w:val="21"/>
                  </w:rPr>
                </w:pPr>
                <w:r>
                  <w:rPr>
                    <w:rFonts w:hint="eastAsia"/>
                    <w:szCs w:val="21"/>
                  </w:rPr>
                  <w:t>债务重组方式</w:t>
                </w:r>
              </w:p>
            </w:tc>
          </w:sdtContent>
        </w:sdt>
        <w:sdt>
          <w:sdtPr>
            <w:rPr>
              <w:rFonts w:ascii="Times New Roman" w:hAnsi="Times New Roman" w:hint="eastAsia"/>
              <w:szCs w:val="21"/>
            </w:rPr>
            <w:tag w:val="_PLD_720be90128c14db38b78f8ebdf65d119"/>
            <w:id w:val="-1637403717"/>
          </w:sdtPr>
          <w:sdtEndPr/>
          <w:sdtContent>
            <w:tc>
              <w:tcPr>
                <w:tcW w:w="900" w:type="pct"/>
                <w:vAlign w:val="center"/>
              </w:tcPr>
              <w:p w14:paraId="3AD730EB" w14:textId="77777777" w:rsidR="00E57DAA" w:rsidRDefault="00AC4185">
                <w:pPr>
                  <w:ind w:right="6"/>
                  <w:jc w:val="center"/>
                  <w:rPr>
                    <w:szCs w:val="21"/>
                  </w:rPr>
                </w:pPr>
                <w:r>
                  <w:rPr>
                    <w:rFonts w:hint="eastAsia"/>
                    <w:szCs w:val="21"/>
                  </w:rPr>
                  <w:t>原重组债权债务账面价值</w:t>
                </w:r>
              </w:p>
            </w:tc>
          </w:sdtContent>
        </w:sdt>
        <w:sdt>
          <w:sdtPr>
            <w:rPr>
              <w:rFonts w:ascii="Times New Roman" w:hAnsi="Times New Roman" w:hint="eastAsia"/>
              <w:szCs w:val="21"/>
            </w:rPr>
            <w:tag w:val="_PLD_1ee3f8e4402047e58d0eaa1fd281a7bf"/>
            <w:id w:val="-308319162"/>
          </w:sdtPr>
          <w:sdtEndPr/>
          <w:sdtContent>
            <w:tc>
              <w:tcPr>
                <w:tcW w:w="993" w:type="pct"/>
                <w:vAlign w:val="center"/>
              </w:tcPr>
              <w:p w14:paraId="6C7C7AFD" w14:textId="77777777" w:rsidR="00E57DAA" w:rsidRDefault="00AC4185">
                <w:pPr>
                  <w:ind w:right="6"/>
                  <w:jc w:val="center"/>
                  <w:rPr>
                    <w:szCs w:val="21"/>
                  </w:rPr>
                </w:pPr>
                <w:r>
                  <w:rPr>
                    <w:rFonts w:hint="eastAsia"/>
                    <w:szCs w:val="21"/>
                  </w:rPr>
                  <w:t>确认的债务重组利得/损失</w:t>
                </w:r>
              </w:p>
            </w:tc>
          </w:sdtContent>
        </w:sdt>
        <w:sdt>
          <w:sdtPr>
            <w:rPr>
              <w:rFonts w:ascii="Times New Roman" w:hAnsi="Times New Roman" w:hint="eastAsia"/>
              <w:szCs w:val="21"/>
            </w:rPr>
            <w:tag w:val="_PLD_dade27d718f246aeb92130f18802d8b6"/>
            <w:id w:val="606626965"/>
          </w:sdtPr>
          <w:sdtEndPr/>
          <w:sdtContent>
            <w:tc>
              <w:tcPr>
                <w:tcW w:w="364" w:type="pct"/>
                <w:vAlign w:val="center"/>
              </w:tcPr>
              <w:p w14:paraId="7E873105" w14:textId="77777777" w:rsidR="00E57DAA" w:rsidRDefault="00AC4185">
                <w:pPr>
                  <w:ind w:right="6"/>
                  <w:jc w:val="center"/>
                  <w:rPr>
                    <w:szCs w:val="21"/>
                  </w:rPr>
                </w:pPr>
                <w:r>
                  <w:rPr>
                    <w:rFonts w:hint="eastAsia"/>
                    <w:szCs w:val="21"/>
                  </w:rPr>
                  <w:t>债务转为资本导致的股本增加额</w:t>
                </w:r>
              </w:p>
            </w:tc>
          </w:sdtContent>
        </w:sdt>
        <w:sdt>
          <w:sdtPr>
            <w:rPr>
              <w:rFonts w:ascii="Times New Roman" w:hAnsi="Times New Roman" w:hint="eastAsia"/>
              <w:szCs w:val="21"/>
            </w:rPr>
            <w:tag w:val="_PLD_2b0dda7c71fb441084b2f7a341e1de57"/>
            <w:id w:val="-13609186"/>
          </w:sdtPr>
          <w:sdtEndPr/>
          <w:sdtContent>
            <w:tc>
              <w:tcPr>
                <w:tcW w:w="458" w:type="pct"/>
                <w:vAlign w:val="center"/>
              </w:tcPr>
              <w:p w14:paraId="2370896D" w14:textId="77777777" w:rsidR="00E57DAA" w:rsidRDefault="00AC4185">
                <w:pPr>
                  <w:ind w:right="6"/>
                  <w:jc w:val="center"/>
                  <w:rPr>
                    <w:szCs w:val="21"/>
                  </w:rPr>
                </w:pPr>
                <w:r>
                  <w:rPr>
                    <w:rFonts w:hint="eastAsia"/>
                    <w:szCs w:val="21"/>
                  </w:rPr>
                  <w:t>债权转为股份导致的投资增加额</w:t>
                </w:r>
              </w:p>
            </w:tc>
          </w:sdtContent>
        </w:sdt>
        <w:tc>
          <w:tcPr>
            <w:tcW w:w="458" w:type="pct"/>
            <w:vAlign w:val="center"/>
          </w:tcPr>
          <w:p w14:paraId="2F54D0C6" w14:textId="77777777" w:rsidR="00E57DAA" w:rsidRDefault="00EB41A1">
            <w:pPr>
              <w:ind w:right="6"/>
              <w:jc w:val="center"/>
              <w:rPr>
                <w:szCs w:val="21"/>
              </w:rPr>
            </w:pPr>
            <w:sdt>
              <w:sdtPr>
                <w:rPr>
                  <w:rFonts w:hint="eastAsia"/>
                  <w:szCs w:val="21"/>
                </w:rPr>
                <w:tag w:val="_PLD_e3cadfb0d2754fdcb3ba580e3951a09d"/>
                <w:id w:val="1701206636"/>
              </w:sdtPr>
              <w:sdtEndPr/>
              <w:sdtContent>
                <w:r w:rsidR="00AC4185">
                  <w:rPr>
                    <w:rFonts w:hint="eastAsia"/>
                    <w:szCs w:val="21"/>
                  </w:rPr>
                  <w:t>该投资占债务人股份总额的比例（%）</w:t>
                </w:r>
              </w:sdtContent>
            </w:sdt>
          </w:p>
        </w:tc>
        <w:sdt>
          <w:sdtPr>
            <w:rPr>
              <w:rFonts w:ascii="Times New Roman" w:hAnsi="Times New Roman" w:hint="eastAsia"/>
              <w:szCs w:val="21"/>
            </w:rPr>
            <w:tag w:val="_PLD_8c6eaa6023024984aaae2cbaf02749f4"/>
            <w:id w:val="1242141917"/>
          </w:sdtPr>
          <w:sdtEndPr/>
          <w:sdtContent>
            <w:tc>
              <w:tcPr>
                <w:tcW w:w="458" w:type="pct"/>
                <w:vAlign w:val="center"/>
              </w:tcPr>
              <w:p w14:paraId="63D9FBEB" w14:textId="77777777" w:rsidR="00E57DAA" w:rsidRDefault="00AC4185">
                <w:pPr>
                  <w:ind w:right="6"/>
                  <w:jc w:val="center"/>
                  <w:rPr>
                    <w:szCs w:val="21"/>
                  </w:rPr>
                </w:pPr>
                <w:r>
                  <w:rPr>
                    <w:rFonts w:hint="eastAsia"/>
                    <w:szCs w:val="21"/>
                  </w:rPr>
                  <w:t>或有应付/有应收</w:t>
                </w:r>
              </w:p>
            </w:tc>
          </w:sdtContent>
        </w:sdt>
        <w:sdt>
          <w:sdtPr>
            <w:rPr>
              <w:rFonts w:ascii="Times New Roman" w:hAnsi="Times New Roman" w:hint="eastAsia"/>
              <w:szCs w:val="21"/>
            </w:rPr>
            <w:tag w:val="_PLD_35f89b2681ee498baaa411bd10633321"/>
            <w:id w:val="1333032350"/>
          </w:sdtPr>
          <w:sdtEndPr/>
          <w:sdtContent>
            <w:tc>
              <w:tcPr>
                <w:tcW w:w="453" w:type="pct"/>
                <w:vAlign w:val="center"/>
              </w:tcPr>
              <w:p w14:paraId="3CA244DB" w14:textId="77777777" w:rsidR="00E57DAA" w:rsidRDefault="00AC4185">
                <w:pPr>
                  <w:ind w:right="6"/>
                  <w:jc w:val="center"/>
                  <w:rPr>
                    <w:szCs w:val="21"/>
                  </w:rPr>
                </w:pPr>
                <w:r>
                  <w:rPr>
                    <w:rFonts w:hint="eastAsia"/>
                    <w:szCs w:val="21"/>
                  </w:rPr>
                  <w:t>债务重组中公允价值的确定方法和依据</w:t>
                </w:r>
              </w:p>
            </w:tc>
          </w:sdtContent>
        </w:sdt>
      </w:tr>
      <w:tr w:rsidR="00E57DAA" w14:paraId="50E3EED3" w14:textId="77777777">
        <w:trPr>
          <w:trHeight w:val="70"/>
        </w:trPr>
        <w:tc>
          <w:tcPr>
            <w:tcW w:w="458" w:type="pct"/>
          </w:tcPr>
          <w:p w14:paraId="65F87A7E" w14:textId="77777777" w:rsidR="00E57DAA" w:rsidRDefault="00AC4185">
            <w:pPr>
              <w:ind w:right="6"/>
              <w:rPr>
                <w:szCs w:val="21"/>
              </w:rPr>
            </w:pPr>
            <w:r>
              <w:rPr>
                <w:rFonts w:hint="eastAsia"/>
                <w:szCs w:val="21"/>
              </w:rPr>
              <w:t>固镇以物抵债项目</w:t>
            </w:r>
          </w:p>
        </w:tc>
        <w:tc>
          <w:tcPr>
            <w:tcW w:w="457" w:type="pct"/>
          </w:tcPr>
          <w:p w14:paraId="0880193B" w14:textId="77777777" w:rsidR="00E57DAA" w:rsidRDefault="00AC4185">
            <w:pPr>
              <w:ind w:right="6"/>
              <w:rPr>
                <w:szCs w:val="21"/>
              </w:rPr>
            </w:pPr>
            <w:r>
              <w:rPr>
                <w:rFonts w:hint="eastAsia"/>
                <w:szCs w:val="21"/>
              </w:rPr>
              <w:t>以非现金资产收回债权</w:t>
            </w:r>
          </w:p>
        </w:tc>
        <w:tc>
          <w:tcPr>
            <w:tcW w:w="900" w:type="pct"/>
            <w:vAlign w:val="center"/>
          </w:tcPr>
          <w:p w14:paraId="35549DAA" w14:textId="77777777" w:rsidR="00E57DAA" w:rsidRDefault="00AC4185">
            <w:pPr>
              <w:ind w:right="6"/>
              <w:jc w:val="right"/>
              <w:rPr>
                <w:szCs w:val="21"/>
              </w:rPr>
            </w:pPr>
            <w:r>
              <w:t>65,563,300.00</w:t>
            </w:r>
          </w:p>
        </w:tc>
        <w:tc>
          <w:tcPr>
            <w:tcW w:w="993" w:type="pct"/>
            <w:vAlign w:val="center"/>
          </w:tcPr>
          <w:p w14:paraId="0A314333" w14:textId="77777777" w:rsidR="00E57DAA" w:rsidRDefault="00AC4185">
            <w:pPr>
              <w:ind w:right="6"/>
              <w:jc w:val="right"/>
              <w:rPr>
                <w:szCs w:val="21"/>
              </w:rPr>
            </w:pPr>
            <w:r>
              <w:t>57,048,731.98</w:t>
            </w:r>
          </w:p>
        </w:tc>
        <w:tc>
          <w:tcPr>
            <w:tcW w:w="364" w:type="pct"/>
          </w:tcPr>
          <w:p w14:paraId="1EEBB719" w14:textId="77777777" w:rsidR="00E57DAA" w:rsidRDefault="00E57DAA">
            <w:pPr>
              <w:ind w:right="6"/>
              <w:jc w:val="right"/>
              <w:rPr>
                <w:szCs w:val="21"/>
              </w:rPr>
            </w:pPr>
          </w:p>
        </w:tc>
        <w:tc>
          <w:tcPr>
            <w:tcW w:w="458" w:type="pct"/>
          </w:tcPr>
          <w:p w14:paraId="53DBFD11" w14:textId="77777777" w:rsidR="00E57DAA" w:rsidRDefault="00E57DAA">
            <w:pPr>
              <w:ind w:right="6"/>
              <w:jc w:val="right"/>
              <w:rPr>
                <w:szCs w:val="21"/>
              </w:rPr>
            </w:pPr>
          </w:p>
        </w:tc>
        <w:tc>
          <w:tcPr>
            <w:tcW w:w="458" w:type="pct"/>
          </w:tcPr>
          <w:p w14:paraId="39885DDA" w14:textId="77777777" w:rsidR="00E57DAA" w:rsidRDefault="00E57DAA">
            <w:pPr>
              <w:ind w:right="6"/>
              <w:jc w:val="right"/>
              <w:rPr>
                <w:szCs w:val="21"/>
              </w:rPr>
            </w:pPr>
          </w:p>
        </w:tc>
        <w:tc>
          <w:tcPr>
            <w:tcW w:w="458" w:type="pct"/>
          </w:tcPr>
          <w:p w14:paraId="3F854485" w14:textId="77777777" w:rsidR="00E57DAA" w:rsidRDefault="00E57DAA">
            <w:pPr>
              <w:ind w:right="6"/>
              <w:jc w:val="right"/>
              <w:rPr>
                <w:szCs w:val="21"/>
              </w:rPr>
            </w:pPr>
          </w:p>
        </w:tc>
        <w:tc>
          <w:tcPr>
            <w:tcW w:w="453" w:type="pct"/>
          </w:tcPr>
          <w:p w14:paraId="76A2715D" w14:textId="77777777" w:rsidR="00E57DAA" w:rsidRDefault="00AC4185">
            <w:pPr>
              <w:ind w:right="6"/>
              <w:rPr>
                <w:szCs w:val="21"/>
              </w:rPr>
            </w:pPr>
            <w:r>
              <w:rPr>
                <w:rFonts w:hint="eastAsia"/>
                <w:szCs w:val="21"/>
              </w:rPr>
              <w:t>资产评估报告</w:t>
            </w:r>
          </w:p>
        </w:tc>
      </w:tr>
      <w:tr w:rsidR="00E57DAA" w14:paraId="47F892A5" w14:textId="77777777">
        <w:tc>
          <w:tcPr>
            <w:tcW w:w="458" w:type="pct"/>
          </w:tcPr>
          <w:p w14:paraId="534E002C" w14:textId="77777777" w:rsidR="00E57DAA" w:rsidRDefault="00AC4185">
            <w:pPr>
              <w:ind w:right="6"/>
              <w:jc w:val="center"/>
              <w:rPr>
                <w:szCs w:val="21"/>
              </w:rPr>
            </w:pPr>
            <w:r>
              <w:rPr>
                <w:rFonts w:hint="eastAsia"/>
                <w:szCs w:val="21"/>
              </w:rPr>
              <w:t>合计</w:t>
            </w:r>
          </w:p>
        </w:tc>
        <w:tc>
          <w:tcPr>
            <w:tcW w:w="457" w:type="pct"/>
          </w:tcPr>
          <w:p w14:paraId="72698AEC" w14:textId="77777777" w:rsidR="00E57DAA" w:rsidRDefault="00AC4185">
            <w:pPr>
              <w:ind w:right="6"/>
              <w:rPr>
                <w:szCs w:val="21"/>
              </w:rPr>
            </w:pPr>
            <w:r>
              <w:rPr>
                <w:rFonts w:hint="eastAsia"/>
                <w:szCs w:val="21"/>
              </w:rPr>
              <w:t>/</w:t>
            </w:r>
          </w:p>
        </w:tc>
        <w:tc>
          <w:tcPr>
            <w:tcW w:w="900" w:type="pct"/>
            <w:vAlign w:val="center"/>
          </w:tcPr>
          <w:p w14:paraId="56037200" w14:textId="77777777" w:rsidR="00E57DAA" w:rsidRDefault="00AC4185">
            <w:pPr>
              <w:ind w:right="6"/>
              <w:jc w:val="right"/>
              <w:rPr>
                <w:szCs w:val="21"/>
              </w:rPr>
            </w:pPr>
            <w:r>
              <w:t>65,563,300.00</w:t>
            </w:r>
          </w:p>
        </w:tc>
        <w:tc>
          <w:tcPr>
            <w:tcW w:w="993" w:type="pct"/>
            <w:vAlign w:val="center"/>
          </w:tcPr>
          <w:p w14:paraId="5D3943FD" w14:textId="77777777" w:rsidR="00E57DAA" w:rsidRDefault="00AC4185">
            <w:pPr>
              <w:ind w:right="6"/>
              <w:jc w:val="right"/>
              <w:rPr>
                <w:szCs w:val="21"/>
              </w:rPr>
            </w:pPr>
            <w:r>
              <w:t>57,048,731.98</w:t>
            </w:r>
          </w:p>
        </w:tc>
        <w:tc>
          <w:tcPr>
            <w:tcW w:w="364" w:type="pct"/>
          </w:tcPr>
          <w:p w14:paraId="78F22084" w14:textId="77777777" w:rsidR="00E57DAA" w:rsidRDefault="00E57DAA">
            <w:pPr>
              <w:ind w:right="6"/>
              <w:jc w:val="right"/>
              <w:rPr>
                <w:szCs w:val="21"/>
              </w:rPr>
            </w:pPr>
          </w:p>
        </w:tc>
        <w:tc>
          <w:tcPr>
            <w:tcW w:w="458" w:type="pct"/>
          </w:tcPr>
          <w:p w14:paraId="7BD65F76" w14:textId="77777777" w:rsidR="00E57DAA" w:rsidRDefault="00E57DAA">
            <w:pPr>
              <w:ind w:right="6"/>
              <w:jc w:val="right"/>
              <w:rPr>
                <w:szCs w:val="21"/>
              </w:rPr>
            </w:pPr>
          </w:p>
        </w:tc>
        <w:tc>
          <w:tcPr>
            <w:tcW w:w="458" w:type="pct"/>
          </w:tcPr>
          <w:p w14:paraId="6A192747" w14:textId="77777777" w:rsidR="00E57DAA" w:rsidRDefault="00E57DAA">
            <w:pPr>
              <w:ind w:right="6"/>
              <w:jc w:val="right"/>
              <w:rPr>
                <w:szCs w:val="21"/>
              </w:rPr>
            </w:pPr>
          </w:p>
        </w:tc>
        <w:tc>
          <w:tcPr>
            <w:tcW w:w="458" w:type="pct"/>
          </w:tcPr>
          <w:p w14:paraId="6204C0E8" w14:textId="77777777" w:rsidR="00E57DAA" w:rsidRDefault="00E57DAA">
            <w:pPr>
              <w:ind w:right="6"/>
              <w:jc w:val="right"/>
              <w:rPr>
                <w:szCs w:val="21"/>
              </w:rPr>
            </w:pPr>
          </w:p>
        </w:tc>
        <w:tc>
          <w:tcPr>
            <w:tcW w:w="453" w:type="pct"/>
          </w:tcPr>
          <w:p w14:paraId="6B69769F" w14:textId="77777777" w:rsidR="00E57DAA" w:rsidRDefault="00AC4185">
            <w:pPr>
              <w:ind w:right="6"/>
              <w:rPr>
                <w:szCs w:val="21"/>
              </w:rPr>
            </w:pPr>
            <w:r>
              <w:rPr>
                <w:rFonts w:hint="eastAsia"/>
                <w:szCs w:val="21"/>
              </w:rPr>
              <w:t>/</w:t>
            </w:r>
          </w:p>
        </w:tc>
      </w:tr>
    </w:tbl>
    <w:p w14:paraId="261E988A" w14:textId="77777777" w:rsidR="00E57DAA" w:rsidRDefault="00E57DAA">
      <w:pPr>
        <w:spacing w:line="360" w:lineRule="exact"/>
        <w:ind w:right="5"/>
        <w:rPr>
          <w:color w:val="333399"/>
          <w:szCs w:val="21"/>
        </w:rPr>
      </w:pPr>
    </w:p>
    <w:p w14:paraId="7ECE9C61" w14:textId="77777777" w:rsidR="00E57DAA" w:rsidRDefault="00AC4185">
      <w:pPr>
        <w:spacing w:line="360" w:lineRule="exact"/>
        <w:ind w:right="5"/>
        <w:rPr>
          <w:szCs w:val="21"/>
        </w:rPr>
      </w:pPr>
      <w:r>
        <w:rPr>
          <w:rFonts w:hint="eastAsia"/>
          <w:szCs w:val="21"/>
        </w:rPr>
        <w:t>其他说明</w:t>
      </w:r>
    </w:p>
    <w:p w14:paraId="5752228F" w14:textId="77777777" w:rsidR="00E57DAA" w:rsidRDefault="00EB41A1" w:rsidP="00F05D4E">
      <w:pPr>
        <w:spacing w:line="360" w:lineRule="exact"/>
        <w:ind w:right="5" w:firstLineChars="200" w:firstLine="420"/>
        <w:jc w:val="both"/>
        <w:rPr>
          <w:szCs w:val="21"/>
        </w:rPr>
      </w:pPr>
      <w:sdt>
        <w:sdtPr>
          <w:rPr>
            <w:rFonts w:hint="eastAsia"/>
            <w:szCs w:val="21"/>
          </w:rPr>
          <w:alias w:val="债务重组"/>
          <w:tag w:val="_GBC_3818a7f192f24c5fa71c29005e7162f5"/>
          <w:id w:val="-1989001429"/>
        </w:sdtPr>
        <w:sdtEndPr/>
        <w:sdtContent>
          <w:r w:rsidR="00AC4185">
            <w:rPr>
              <w:rFonts w:hint="eastAsia"/>
              <w:szCs w:val="21"/>
            </w:rPr>
            <w:t>中材国际水务科技（合肥）有限公司（以下简称中材水科）对固镇县重点工程建设中心、固镇县新型城镇化建设投资有限公司（以下简称债务人）的债权原值合计</w:t>
          </w:r>
          <w:r w:rsidR="00AC4185">
            <w:rPr>
              <w:szCs w:val="21"/>
            </w:rPr>
            <w:t>65,563,300.00元，账面价值合计8,514,568.02元。固镇县国有资本投资运营（集团）有限公司及其下属子公司固镇县大美城镇建设投资有限公司（与债务人同受固镇县人民政府控制）与中材水科、债务人签署了四方以物抵债协议，以固镇县大美城镇建设投资有限公司自有房产代债务人偿还对中材水科的上述债务，房产价值经评估机构评估。</w:t>
          </w:r>
        </w:sdtContent>
      </w:sdt>
    </w:p>
    <w:p w14:paraId="0504A264" w14:textId="77777777" w:rsidR="00E57DAA" w:rsidRDefault="00E57DAA">
      <w:pPr>
        <w:rPr>
          <w:szCs w:val="21"/>
        </w:rPr>
      </w:pPr>
    </w:p>
    <w:p w14:paraId="1DD69306" w14:textId="77777777" w:rsidR="00E57DAA" w:rsidRDefault="00AC4185" w:rsidP="00C25422">
      <w:pPr>
        <w:pStyle w:val="91"/>
        <w:numPr>
          <w:ilvl w:val="0"/>
          <w:numId w:val="128"/>
        </w:numPr>
      </w:pPr>
      <w:r>
        <w:rPr>
          <w:rFonts w:hint="eastAsia"/>
        </w:rPr>
        <w:t>资产置换</w:t>
      </w:r>
    </w:p>
    <w:p w14:paraId="4BD3059A" w14:textId="77777777" w:rsidR="00E57DAA" w:rsidRDefault="00AC4185">
      <w:pPr>
        <w:pStyle w:val="4"/>
        <w:numPr>
          <w:ilvl w:val="3"/>
          <w:numId w:val="130"/>
        </w:numPr>
        <w:ind w:left="426" w:hangingChars="202" w:hanging="426"/>
      </w:pPr>
      <w:r>
        <w:rPr>
          <w:rFonts w:hint="eastAsia"/>
        </w:rPr>
        <w:t>非货币性资产交换</w:t>
      </w:r>
    </w:p>
    <w:sdt>
      <w:sdtPr>
        <w:rPr>
          <w:rFonts w:hint="eastAsia"/>
          <w:szCs w:val="21"/>
        </w:rPr>
        <w:alias w:val="是否适用：非货币性资产交换[双击切换]"/>
        <w:tag w:val="_GBC_480975ada702478dae8a1468d6e0c3cd"/>
        <w:id w:val="-1219124241"/>
        <w:placeholder>
          <w:docPart w:val="GBC22222222222222222222222222222"/>
        </w:placeholder>
      </w:sdtPr>
      <w:sdtEndPr/>
      <w:sdtContent>
        <w:p w14:paraId="798AB62A" w14:textId="77777777" w:rsidR="00E57DAA" w:rsidRDefault="00AC4185">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7B6590" w14:textId="77777777" w:rsidR="00E57DAA" w:rsidRDefault="00E57DAA">
      <w:pPr>
        <w:rPr>
          <w:szCs w:val="21"/>
        </w:rPr>
      </w:pPr>
    </w:p>
    <w:p w14:paraId="6DF42C56" w14:textId="77777777" w:rsidR="00E57DAA" w:rsidRDefault="00AC4185">
      <w:pPr>
        <w:pStyle w:val="4"/>
        <w:numPr>
          <w:ilvl w:val="3"/>
          <w:numId w:val="130"/>
        </w:numPr>
        <w:ind w:left="426" w:hangingChars="202" w:hanging="426"/>
      </w:pPr>
      <w:r>
        <w:rPr>
          <w:rFonts w:hint="eastAsia"/>
        </w:rPr>
        <w:lastRenderedPageBreak/>
        <w:t>其他资产置换</w:t>
      </w:r>
    </w:p>
    <w:sdt>
      <w:sdtPr>
        <w:rPr>
          <w:rFonts w:hint="eastAsia"/>
          <w:szCs w:val="21"/>
        </w:rPr>
        <w:alias w:val="是否适用：其他资产置换[双击切换]"/>
        <w:tag w:val="_GBC_d4d75cf02549483681739e6eb10910ff"/>
        <w:id w:val="1638605657"/>
        <w:placeholder>
          <w:docPart w:val="GBC22222222222222222222222222222"/>
        </w:placeholder>
      </w:sdtPr>
      <w:sdtEndPr/>
      <w:sdtContent>
        <w:p w14:paraId="4B55D61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7029A67" w14:textId="77777777" w:rsidR="00E57DAA" w:rsidRDefault="00E57DAA" w:rsidP="00C25422">
      <w:pPr>
        <w:pStyle w:val="92"/>
      </w:pPr>
    </w:p>
    <w:p w14:paraId="79EA32C9" w14:textId="77777777" w:rsidR="00E57DAA" w:rsidRDefault="00AC4185" w:rsidP="00C25422">
      <w:pPr>
        <w:pStyle w:val="91"/>
        <w:numPr>
          <w:ilvl w:val="0"/>
          <w:numId w:val="128"/>
        </w:numPr>
      </w:pPr>
      <w:r>
        <w:rPr>
          <w:rFonts w:hint="eastAsia"/>
        </w:rPr>
        <w:t>年金计划</w:t>
      </w:r>
    </w:p>
    <w:sdt>
      <w:sdtPr>
        <w:alias w:val="是否适用：年金计划[双击切换]"/>
        <w:tag w:val="_GBC_7abcd6901bc848d8b58391e0ddd63034"/>
        <w:id w:val="1223482186"/>
        <w:placeholder>
          <w:docPart w:val="GBC22222222222222222222222222222"/>
        </w:placeholder>
      </w:sdtPr>
      <w:sdtEndPr/>
      <w:sdtContent>
        <w:p w14:paraId="28AB5344" w14:textId="77777777" w:rsidR="00E57DAA" w:rsidRDefault="00AC4185">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A61020" w14:textId="77777777" w:rsidR="00E57DAA" w:rsidRDefault="00E57DAA">
      <w:pPr>
        <w:rPr>
          <w:szCs w:val="21"/>
        </w:rPr>
      </w:pPr>
    </w:p>
    <w:p w14:paraId="30C56CD9" w14:textId="77777777" w:rsidR="00E57DAA" w:rsidRDefault="00AC4185" w:rsidP="00C25422">
      <w:pPr>
        <w:pStyle w:val="91"/>
        <w:numPr>
          <w:ilvl w:val="0"/>
          <w:numId w:val="128"/>
        </w:numPr>
      </w:pPr>
      <w:r>
        <w:rPr>
          <w:rFonts w:hint="eastAsia"/>
        </w:rPr>
        <w:t>终止经营</w:t>
      </w:r>
    </w:p>
    <w:p w14:paraId="20ED96C7" w14:textId="77777777" w:rsidR="00E57DAA" w:rsidRDefault="00EB41A1">
      <w:pPr>
        <w:rPr>
          <w:rFonts w:cstheme="minorBidi"/>
          <w:kern w:val="2"/>
          <w:szCs w:val="21"/>
        </w:rPr>
      </w:pPr>
      <w:sdt>
        <w:sdtPr>
          <w:alias w:val="是否适用：终止经营[双击切换]"/>
          <w:tag w:val="_GBC_667e81a5639a48488e957a55e45c7763"/>
          <w:id w:val="545880025"/>
          <w:placeholder>
            <w:docPart w:val="GBC22222222222222222222222222222"/>
          </w:placeholder>
        </w:sdtPr>
        <w:sdtEndPr/>
        <w:sdtContent>
          <w:r w:rsidR="00AC4185">
            <w:fldChar w:fldCharType="begin"/>
          </w:r>
          <w:r w:rsidR="00AC4185">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55BE10E1" w14:textId="77777777" w:rsidR="00E57DAA" w:rsidRDefault="00E57DAA">
      <w:pPr>
        <w:rPr>
          <w:szCs w:val="21"/>
        </w:rPr>
      </w:pPr>
    </w:p>
    <w:p w14:paraId="779A779A" w14:textId="77777777" w:rsidR="00E57DAA" w:rsidRDefault="00AC4185" w:rsidP="00C25422">
      <w:pPr>
        <w:pStyle w:val="91"/>
        <w:numPr>
          <w:ilvl w:val="0"/>
          <w:numId w:val="128"/>
        </w:numPr>
      </w:pPr>
      <w:r>
        <w:rPr>
          <w:rFonts w:hint="eastAsia"/>
        </w:rPr>
        <w:t>分部信息</w:t>
      </w:r>
    </w:p>
    <w:p w14:paraId="7BEB566A" w14:textId="77777777" w:rsidR="00E57DAA" w:rsidRDefault="00AC4185">
      <w:pPr>
        <w:pStyle w:val="4"/>
        <w:numPr>
          <w:ilvl w:val="3"/>
          <w:numId w:val="131"/>
        </w:numPr>
        <w:ind w:left="426" w:hangingChars="202" w:hanging="426"/>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516976307"/>
        <w:placeholder>
          <w:docPart w:val="GBC22222222222222222222222222222"/>
        </w:placeholder>
      </w:sdtPr>
      <w:sdtEndPr/>
      <w:sdtContent>
        <w:p w14:paraId="0E5F09EF"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0CDF2D" w14:textId="77777777" w:rsidR="00E57DAA" w:rsidRDefault="00E57DAA">
      <w:pPr>
        <w:rPr>
          <w:szCs w:val="21"/>
        </w:rPr>
      </w:pPr>
    </w:p>
    <w:p w14:paraId="5BDABAE1" w14:textId="77777777" w:rsidR="00E57DAA" w:rsidRDefault="00AC4185">
      <w:pPr>
        <w:pStyle w:val="4"/>
        <w:numPr>
          <w:ilvl w:val="3"/>
          <w:numId w:val="131"/>
        </w:numPr>
        <w:ind w:left="426" w:hangingChars="202" w:hanging="426"/>
      </w:pPr>
      <w:r>
        <w:rPr>
          <w:rFonts w:hint="eastAsia"/>
        </w:rPr>
        <w:t>报告分部的财务信息</w:t>
      </w:r>
    </w:p>
    <w:sdt>
      <w:sdtPr>
        <w:rPr>
          <w:rFonts w:hint="eastAsia"/>
        </w:rPr>
        <w:alias w:val="是否适用：报告分部的财务信息[双击切换]"/>
        <w:tag w:val="_GBC_560c7b592f324714b8c87339e43684af"/>
        <w:id w:val="422072492"/>
        <w:placeholder>
          <w:docPart w:val="GBC22222222222222222222222222222"/>
        </w:placeholder>
      </w:sdtPr>
      <w:sdtEndPr/>
      <w:sdtContent>
        <w:p w14:paraId="71403B8D" w14:textId="77777777" w:rsidR="00E57DAA" w:rsidRDefault="00AC4185" w:rsidP="00C25422">
          <w:pPr>
            <w:pStyle w:val="73"/>
            <w:ind w:firstLine="40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48398D0E" w14:textId="77777777" w:rsidR="00E57DAA" w:rsidRDefault="00E57DAA" w:rsidP="00C25422">
      <w:pPr>
        <w:pStyle w:val="73"/>
        <w:ind w:firstLine="400"/>
      </w:pPr>
    </w:p>
    <w:p w14:paraId="62E51D3D" w14:textId="77777777" w:rsidR="00E57DAA" w:rsidRDefault="00AC4185">
      <w:pPr>
        <w:pStyle w:val="4"/>
        <w:numPr>
          <w:ilvl w:val="3"/>
          <w:numId w:val="131"/>
        </w:numPr>
        <w:ind w:left="426" w:hangingChars="202" w:hanging="426"/>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759575380"/>
        <w:placeholder>
          <w:docPart w:val="GBC22222222222222222222222222222"/>
        </w:placeholder>
      </w:sdtPr>
      <w:sdtEndPr/>
      <w:sdtContent>
        <w:p w14:paraId="0A9F8E1F" w14:textId="77777777" w:rsidR="00E57DAA" w:rsidRDefault="00AC4185">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1BF063" w14:textId="77777777" w:rsidR="00E57DAA" w:rsidRDefault="00E57DAA">
      <w:pPr>
        <w:rPr>
          <w:szCs w:val="21"/>
        </w:rPr>
      </w:pPr>
    </w:p>
    <w:p w14:paraId="18E1D77D" w14:textId="77777777" w:rsidR="00E57DAA" w:rsidRDefault="00AC4185">
      <w:pPr>
        <w:pStyle w:val="4"/>
        <w:numPr>
          <w:ilvl w:val="3"/>
          <w:numId w:val="131"/>
        </w:numPr>
        <w:ind w:left="426" w:hangingChars="202" w:hanging="426"/>
      </w:pPr>
      <w:r>
        <w:rPr>
          <w:rFonts w:hint="eastAsia"/>
        </w:rPr>
        <w:t>其他说明</w:t>
      </w:r>
    </w:p>
    <w:sdt>
      <w:sdtPr>
        <w:rPr>
          <w:rFonts w:hint="eastAsia"/>
          <w:szCs w:val="21"/>
        </w:rPr>
        <w:alias w:val="是否适用：分部信息的其他说明[双击切换]"/>
        <w:tag w:val="_GBC_a7173613038248df8d31b8ffe91e1e27"/>
        <w:id w:val="2111691200"/>
        <w:placeholder>
          <w:docPart w:val="GBC22222222222222222222222222222"/>
        </w:placeholder>
      </w:sdtPr>
      <w:sdtEndPr/>
      <w:sdtContent>
        <w:p w14:paraId="2B14A1DD"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9271C0" w14:textId="77777777" w:rsidR="00E57DAA" w:rsidRDefault="00E57DAA">
      <w:pPr>
        <w:rPr>
          <w:szCs w:val="21"/>
        </w:rPr>
      </w:pPr>
    </w:p>
    <w:p w14:paraId="7A22C41D" w14:textId="77777777" w:rsidR="00E57DAA" w:rsidRDefault="00AC4185" w:rsidP="00C25422">
      <w:pPr>
        <w:pStyle w:val="91"/>
        <w:numPr>
          <w:ilvl w:val="0"/>
          <w:numId w:val="128"/>
        </w:numPr>
      </w:pPr>
      <w:r>
        <w:rPr>
          <w:rFonts w:hint="eastAsia"/>
        </w:rPr>
        <w:t>其他对投资者决策有影响的重要交易和事项</w:t>
      </w:r>
    </w:p>
    <w:sdt>
      <w:sdtPr>
        <w:rPr>
          <w:rFonts w:hint="eastAsia"/>
          <w:szCs w:val="21"/>
        </w:rPr>
        <w:alias w:val="是否适用：其他对投资者决策有影响的重要交易和事项[双击切换]"/>
        <w:tag w:val="_GBC_fb50fde0c1774b5b8ae2688488649ea7"/>
        <w:id w:val="213089131"/>
        <w:placeholder>
          <w:docPart w:val="GBC22222222222222222222222222222"/>
        </w:placeholder>
      </w:sdtPr>
      <w:sdtEndPr/>
      <w:sdtContent>
        <w:p w14:paraId="22CA85EC" w14:textId="77777777" w:rsidR="00E57DAA" w:rsidRDefault="00AC4185">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E806C1A" w14:textId="77777777" w:rsidR="00E57DAA" w:rsidRDefault="00E57DAA">
      <w:pPr>
        <w:rPr>
          <w:szCs w:val="21"/>
        </w:rPr>
      </w:pPr>
    </w:p>
    <w:p w14:paraId="2FBFF238" w14:textId="77777777" w:rsidR="00E57DAA" w:rsidRDefault="00AC4185" w:rsidP="00C25422">
      <w:pPr>
        <w:pStyle w:val="91"/>
        <w:numPr>
          <w:ilvl w:val="0"/>
          <w:numId w:val="128"/>
        </w:numPr>
      </w:pPr>
      <w:r>
        <w:rPr>
          <w:rFonts w:hint="eastAsia"/>
        </w:rPr>
        <w:t>其他</w:t>
      </w:r>
    </w:p>
    <w:sdt>
      <w:sdtPr>
        <w:rPr>
          <w:rFonts w:hint="eastAsia"/>
          <w:szCs w:val="21"/>
        </w:rPr>
        <w:alias w:val="是否适用：其他重要事项的说明[双击切换]"/>
        <w:tag w:val="_GBC_fb43f52ac5bc49a4b33e34d6b1758f09"/>
        <w:id w:val="340214584"/>
        <w:placeholder>
          <w:docPart w:val="GBC22222222222222222222222222222"/>
        </w:placeholder>
      </w:sdtPr>
      <w:sdtEndPr/>
      <w:sdtContent>
        <w:p w14:paraId="71BC20D6" w14:textId="77777777" w:rsidR="00E57DAA" w:rsidRDefault="00AC418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197589552"/>
        <w:placeholder>
          <w:docPart w:val="GBC22222222222222222222222222222"/>
        </w:placeholder>
      </w:sdtPr>
      <w:sdtEndPr/>
      <w:sdtContent>
        <w:p w14:paraId="5944B16B" w14:textId="77777777" w:rsidR="00E57DAA" w:rsidRDefault="00AC4185">
          <w:pPr>
            <w:ind w:firstLineChars="200" w:firstLine="420"/>
            <w:rPr>
              <w:szCs w:val="21"/>
            </w:rPr>
          </w:pPr>
          <w:r>
            <w:rPr>
              <w:rFonts w:hint="eastAsia"/>
              <w:szCs w:val="21"/>
            </w:rPr>
            <w:t>截至</w:t>
          </w:r>
          <w:r>
            <w:rPr>
              <w:szCs w:val="21"/>
            </w:rPr>
            <w:t>2023年12月31日，本公司之子公司中材建设有限公司在叙利亚执行的工程总包项目为2008年8月8日签订总包合同，合同总金额为4,731万欧元及23,939万美元，已于2011年6月取得业主签署的PAC证书。中材建设有限公司所发生的该项目工程成本均已结算。受当地局势影响，中方员工已全部撤离叙利亚，项目后期的进展情况取决于叙利亚后续局势的发展。</w:t>
          </w:r>
        </w:p>
      </w:sdtContent>
    </w:sdt>
    <w:p w14:paraId="3B57437E" w14:textId="77777777" w:rsidR="00E57DAA" w:rsidRDefault="00AC4185" w:rsidP="00C25422">
      <w:pPr>
        <w:pStyle w:val="2CharCharChar1"/>
        <w:numPr>
          <w:ilvl w:val="0"/>
          <w:numId w:val="58"/>
        </w:numPr>
      </w:pPr>
      <w:r>
        <w:rPr>
          <w:rFonts w:hint="eastAsia"/>
        </w:rPr>
        <w:t>母公司财务报表主要项目注释</w:t>
      </w:r>
    </w:p>
    <w:p w14:paraId="1DC508A6" w14:textId="77777777" w:rsidR="00E57DAA" w:rsidRDefault="00AC4185" w:rsidP="00C25422">
      <w:pPr>
        <w:pStyle w:val="91"/>
        <w:numPr>
          <w:ilvl w:val="0"/>
          <w:numId w:val="132"/>
        </w:numPr>
      </w:pPr>
      <w:r>
        <w:rPr>
          <w:rFonts w:hint="eastAsia"/>
        </w:rPr>
        <w:t>应收账款</w:t>
      </w:r>
    </w:p>
    <w:p w14:paraId="2AE993E9" w14:textId="77777777" w:rsidR="00E57DAA" w:rsidRDefault="00AC4185">
      <w:pPr>
        <w:pStyle w:val="4"/>
        <w:numPr>
          <w:ilvl w:val="3"/>
          <w:numId w:val="133"/>
        </w:numPr>
        <w:ind w:left="426" w:hangingChars="202" w:hanging="426"/>
      </w:pPr>
      <w:r>
        <w:rPr>
          <w:rFonts w:hint="eastAsia"/>
        </w:rPr>
        <w:t>按账龄披露</w:t>
      </w:r>
    </w:p>
    <w:sdt>
      <w:sdtPr>
        <w:alias w:val="是否适用：母公司应收账款按账龄披露[双击切换]"/>
        <w:tag w:val="_GBC_dafcd7d733014c4a8aaa9a9a4b6c92f1"/>
        <w:id w:val="2017807175"/>
      </w:sdtPr>
      <w:sdtEndPr/>
      <w:sdtContent>
        <w:p w14:paraId="5DDC0FA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5E5295B2" w14:textId="77777777" w:rsidR="00E57DAA" w:rsidRDefault="00AC4185">
      <w:pPr>
        <w:jc w:val="right"/>
        <w:rPr>
          <w:szCs w:val="21"/>
        </w:rPr>
      </w:pPr>
      <w:r>
        <w:rPr>
          <w:rFonts w:hint="eastAsia"/>
          <w:szCs w:val="21"/>
        </w:rPr>
        <w:t>单位：</w:t>
      </w:r>
      <w:sdt>
        <w:sdtPr>
          <w:rPr>
            <w:rFonts w:hint="eastAsia"/>
            <w:szCs w:val="21"/>
          </w:rPr>
          <w:alias w:val="单位：母公司应收账款按账龄披露"/>
          <w:tag w:val="_GBC_6f3238355b1f4a02b89a4d1aa10b0026"/>
          <w:id w:val="1063455050"/>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62822520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3"/>
        <w:gridCol w:w="2975"/>
        <w:gridCol w:w="2975"/>
      </w:tblGrid>
      <w:tr w:rsidR="00E57DAA" w14:paraId="10345084" w14:textId="77777777">
        <w:trPr>
          <w:cantSplit/>
        </w:trPr>
        <w:sdt>
          <w:sdtPr>
            <w:tag w:val="_PLD_91f1d8bffa9649c89e109fe838d32207"/>
            <w:id w:val="111325869"/>
          </w:sdtPr>
          <w:sdtEndPr/>
          <w:sdtContent>
            <w:tc>
              <w:tcPr>
                <w:tcW w:w="1628" w:type="pct"/>
                <w:tcBorders>
                  <w:top w:val="single" w:sz="4" w:space="0" w:color="auto"/>
                  <w:left w:val="single" w:sz="4" w:space="0" w:color="auto"/>
                  <w:bottom w:val="single" w:sz="4" w:space="0" w:color="auto"/>
                  <w:right w:val="single" w:sz="4" w:space="0" w:color="auto"/>
                </w:tcBorders>
                <w:vAlign w:val="center"/>
              </w:tcPr>
              <w:p w14:paraId="2145C7CD" w14:textId="77777777" w:rsidR="00E57DAA" w:rsidRDefault="00AC4185">
                <w:pPr>
                  <w:jc w:val="center"/>
                  <w:rPr>
                    <w:szCs w:val="21"/>
                  </w:rPr>
                </w:pPr>
                <w:r>
                  <w:rPr>
                    <w:rFonts w:hint="eastAsia"/>
                    <w:szCs w:val="21"/>
                  </w:rPr>
                  <w:t>账龄</w:t>
                </w:r>
              </w:p>
            </w:tc>
          </w:sdtContent>
        </w:sdt>
        <w:sdt>
          <w:sdtPr>
            <w:tag w:val="_PLD_6b7aa27e99b34e1eb61af3bd12c578d2"/>
            <w:id w:val="223799016"/>
          </w:sdtPr>
          <w:sdtEndPr/>
          <w:sdtContent>
            <w:tc>
              <w:tcPr>
                <w:tcW w:w="1686" w:type="pct"/>
                <w:tcBorders>
                  <w:top w:val="single" w:sz="4" w:space="0" w:color="auto"/>
                  <w:left w:val="single" w:sz="4" w:space="0" w:color="auto"/>
                  <w:bottom w:val="single" w:sz="4" w:space="0" w:color="auto"/>
                  <w:right w:val="single" w:sz="4" w:space="0" w:color="auto"/>
                </w:tcBorders>
                <w:vAlign w:val="center"/>
              </w:tcPr>
              <w:p w14:paraId="0D0EB9CD" w14:textId="77777777" w:rsidR="00E57DAA" w:rsidRDefault="00AC4185">
                <w:pPr>
                  <w:jc w:val="center"/>
                  <w:rPr>
                    <w:szCs w:val="21"/>
                  </w:rPr>
                </w:pPr>
                <w:r>
                  <w:rPr>
                    <w:rFonts w:hint="eastAsia"/>
                    <w:szCs w:val="21"/>
                  </w:rPr>
                  <w:t>期末账面余额</w:t>
                </w:r>
              </w:p>
            </w:tc>
          </w:sdtContent>
        </w:sdt>
        <w:sdt>
          <w:sdtPr>
            <w:rPr>
              <w:rFonts w:hint="eastAsia"/>
            </w:rPr>
            <w:tag w:val="_PLD_0e2d3c046f184578857e4606189d40ef"/>
            <w:id w:val="-945312324"/>
          </w:sdtPr>
          <w:sdtEndPr/>
          <w:sdtContent>
            <w:tc>
              <w:tcPr>
                <w:tcW w:w="1686" w:type="pct"/>
                <w:tcBorders>
                  <w:top w:val="single" w:sz="4" w:space="0" w:color="auto"/>
                  <w:left w:val="single" w:sz="4" w:space="0" w:color="auto"/>
                  <w:bottom w:val="single" w:sz="4" w:space="0" w:color="auto"/>
                  <w:right w:val="single" w:sz="4" w:space="0" w:color="auto"/>
                </w:tcBorders>
              </w:tcPr>
              <w:p w14:paraId="08FA950A" w14:textId="77777777" w:rsidR="00E57DAA" w:rsidRDefault="00AC4185">
                <w:pPr>
                  <w:jc w:val="center"/>
                </w:pPr>
                <w:r>
                  <w:rPr>
                    <w:rFonts w:hint="eastAsia"/>
                  </w:rPr>
                  <w:t>期初账面余额</w:t>
                </w:r>
              </w:p>
            </w:tc>
          </w:sdtContent>
        </w:sdt>
      </w:tr>
      <w:tr w:rsidR="00E57DAA" w14:paraId="50B3681B" w14:textId="77777777">
        <w:trPr>
          <w:cantSplit/>
        </w:trPr>
        <w:sdt>
          <w:sdtPr>
            <w:tag w:val="_PLD_8b2cd7286fc64ae28d76518258aa2e12"/>
            <w:id w:val="1686477819"/>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42018E0D" w14:textId="77777777" w:rsidR="00E57DAA" w:rsidRDefault="00AC4185">
                <w:pPr>
                  <w:rPr>
                    <w:color w:val="FF0000"/>
                    <w:szCs w:val="21"/>
                  </w:rPr>
                </w:pPr>
                <w:r>
                  <w:rPr>
                    <w:rFonts w:hint="eastAsia"/>
                    <w:szCs w:val="21"/>
                  </w:rPr>
                  <w:t>1年以内</w:t>
                </w:r>
              </w:p>
            </w:tc>
          </w:sdtContent>
        </w:sdt>
      </w:tr>
      <w:tr w:rsidR="00E57DAA" w14:paraId="5C3BDBD8" w14:textId="77777777">
        <w:trPr>
          <w:cantSplit/>
        </w:trPr>
        <w:sdt>
          <w:sdtPr>
            <w:tag w:val="_PLD_3cb2a8de19134a869aaf24eb903d37b4"/>
            <w:id w:val="1104916954"/>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0DADB66B" w14:textId="77777777" w:rsidR="00E57DAA" w:rsidRDefault="00AC4185">
                <w:pPr>
                  <w:rPr>
                    <w:szCs w:val="21"/>
                  </w:rPr>
                </w:pPr>
                <w:r>
                  <w:rPr>
                    <w:rFonts w:hint="eastAsia"/>
                    <w:szCs w:val="21"/>
                  </w:rPr>
                  <w:t>其中：1年以内分项</w:t>
                </w:r>
              </w:p>
            </w:tc>
          </w:sdtContent>
        </w:sdt>
      </w:tr>
      <w:sdt>
        <w:sdtPr>
          <w:rPr>
            <w:szCs w:val="21"/>
          </w:rPr>
          <w:alias w:val="一年以内应收账款金额明细"/>
          <w:tag w:val="_TUP_996c2530a23c47409c4612e531bfae1d"/>
          <w:id w:val="1670050800"/>
        </w:sdtPr>
        <w:sdtEndPr/>
        <w:sdtContent>
          <w:tr w:rsidR="00E57DAA" w14:paraId="563F139C"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F6DD76A" w14:textId="77777777" w:rsidR="00E57DAA" w:rsidRDefault="00AC4185">
                <w:pPr>
                  <w:rPr>
                    <w:szCs w:val="21"/>
                  </w:rPr>
                </w:pPr>
                <w:r>
                  <w:rPr>
                    <w:rFonts w:hint="eastAsia"/>
                    <w:szCs w:val="21"/>
                  </w:rPr>
                  <w:t>1年以内</w:t>
                </w:r>
              </w:p>
            </w:tc>
            <w:tc>
              <w:tcPr>
                <w:tcW w:w="1686" w:type="pct"/>
                <w:tcBorders>
                  <w:top w:val="single" w:sz="4" w:space="0" w:color="auto"/>
                  <w:left w:val="single" w:sz="4" w:space="0" w:color="auto"/>
                  <w:bottom w:val="single" w:sz="4" w:space="0" w:color="auto"/>
                  <w:right w:val="single" w:sz="4" w:space="0" w:color="auto"/>
                </w:tcBorders>
              </w:tcPr>
              <w:p w14:paraId="33EDF791" w14:textId="77777777" w:rsidR="00E57DAA" w:rsidRDefault="00AC4185">
                <w:pPr>
                  <w:jc w:val="right"/>
                  <w:rPr>
                    <w:szCs w:val="21"/>
                  </w:rPr>
                </w:pPr>
                <w:r>
                  <w:t>646,359,237.94</w:t>
                </w:r>
              </w:p>
            </w:tc>
            <w:tc>
              <w:tcPr>
                <w:tcW w:w="1686" w:type="pct"/>
                <w:tcBorders>
                  <w:top w:val="single" w:sz="4" w:space="0" w:color="auto"/>
                  <w:left w:val="single" w:sz="4" w:space="0" w:color="auto"/>
                  <w:bottom w:val="single" w:sz="4" w:space="0" w:color="auto"/>
                  <w:right w:val="single" w:sz="4" w:space="0" w:color="auto"/>
                </w:tcBorders>
              </w:tcPr>
              <w:p w14:paraId="4B3F4B78" w14:textId="77777777" w:rsidR="00E57DAA" w:rsidRDefault="00AC4185">
                <w:pPr>
                  <w:jc w:val="right"/>
                  <w:rPr>
                    <w:szCs w:val="21"/>
                  </w:rPr>
                </w:pPr>
                <w:r>
                  <w:t>490,034,895.50</w:t>
                </w:r>
              </w:p>
            </w:tc>
          </w:tr>
        </w:sdtContent>
      </w:sdt>
      <w:tr w:rsidR="00E57DAA" w14:paraId="4F836542" w14:textId="77777777">
        <w:trPr>
          <w:cantSplit/>
        </w:trPr>
        <w:sdt>
          <w:sdtPr>
            <w:tag w:val="_PLD_12bbe8e17abf436ea88dfd2c1fa58d3a"/>
            <w:id w:val="-1347707551"/>
          </w:sdtPr>
          <w:sdtEndPr/>
          <w:sdtContent>
            <w:tc>
              <w:tcPr>
                <w:tcW w:w="1628" w:type="pct"/>
                <w:tcBorders>
                  <w:top w:val="single" w:sz="4" w:space="0" w:color="auto"/>
                  <w:left w:val="single" w:sz="4" w:space="0" w:color="auto"/>
                  <w:bottom w:val="single" w:sz="4" w:space="0" w:color="auto"/>
                  <w:right w:val="single" w:sz="4" w:space="0" w:color="auto"/>
                </w:tcBorders>
              </w:tcPr>
              <w:p w14:paraId="4CE0196B" w14:textId="77777777" w:rsidR="00E57DAA" w:rsidRDefault="00AC4185">
                <w:pPr>
                  <w:rPr>
                    <w:szCs w:val="21"/>
                  </w:rPr>
                </w:pPr>
                <w:r>
                  <w:rPr>
                    <w:rFonts w:hint="eastAsia"/>
                    <w:szCs w:val="21"/>
                  </w:rPr>
                  <w:t>1年以内小计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4C3BFE3A" w14:textId="77777777" w:rsidR="00E57DAA" w:rsidRDefault="00AC4185">
            <w:pPr>
              <w:jc w:val="right"/>
              <w:rPr>
                <w:szCs w:val="21"/>
              </w:rPr>
            </w:pPr>
            <w:r>
              <w:rPr>
                <w:rFonts w:hint="eastAsia"/>
              </w:rPr>
              <w:t>646,359,237.94</w:t>
            </w:r>
          </w:p>
        </w:tc>
        <w:tc>
          <w:tcPr>
            <w:tcW w:w="1686" w:type="pct"/>
            <w:tcBorders>
              <w:top w:val="single" w:sz="4" w:space="0" w:color="auto"/>
              <w:left w:val="single" w:sz="4" w:space="0" w:color="auto"/>
              <w:bottom w:val="single" w:sz="4" w:space="0" w:color="auto"/>
              <w:right w:val="single" w:sz="4" w:space="0" w:color="auto"/>
            </w:tcBorders>
            <w:vAlign w:val="center"/>
          </w:tcPr>
          <w:p w14:paraId="3494E78A" w14:textId="77777777" w:rsidR="00E57DAA" w:rsidRDefault="00AC4185">
            <w:pPr>
              <w:jc w:val="right"/>
              <w:rPr>
                <w:szCs w:val="21"/>
              </w:rPr>
            </w:pPr>
            <w:r>
              <w:rPr>
                <w:rFonts w:hint="eastAsia"/>
              </w:rPr>
              <w:t>490,034,895.50</w:t>
            </w:r>
          </w:p>
        </w:tc>
      </w:tr>
      <w:tr w:rsidR="00E57DAA" w14:paraId="64932632" w14:textId="77777777">
        <w:trPr>
          <w:cantSplit/>
        </w:trPr>
        <w:sdt>
          <w:sdtPr>
            <w:tag w:val="_PLD_770311c9e2414ee5bfe8ce496ed8934e"/>
            <w:id w:val="-112988077"/>
          </w:sdtPr>
          <w:sdtEndPr/>
          <w:sdtContent>
            <w:tc>
              <w:tcPr>
                <w:tcW w:w="1628" w:type="pct"/>
                <w:tcBorders>
                  <w:top w:val="single" w:sz="4" w:space="0" w:color="auto"/>
                  <w:left w:val="single" w:sz="4" w:space="0" w:color="auto"/>
                  <w:bottom w:val="single" w:sz="4" w:space="0" w:color="auto"/>
                  <w:right w:val="single" w:sz="4" w:space="0" w:color="auto"/>
                </w:tcBorders>
              </w:tcPr>
              <w:p w14:paraId="7ED083CB" w14:textId="77777777" w:rsidR="00E57DAA" w:rsidRDefault="00AC4185">
                <w:pPr>
                  <w:rPr>
                    <w:szCs w:val="21"/>
                  </w:rPr>
                </w:pPr>
                <w:r>
                  <w:rPr>
                    <w:rFonts w:hint="eastAsia"/>
                    <w:szCs w:val="21"/>
                  </w:rPr>
                  <w:t>1至2年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205CF563" w14:textId="77777777" w:rsidR="00E57DAA" w:rsidRDefault="00AC4185">
            <w:pPr>
              <w:jc w:val="right"/>
              <w:rPr>
                <w:szCs w:val="21"/>
              </w:rPr>
            </w:pPr>
            <w:r>
              <w:rPr>
                <w:rFonts w:hint="eastAsia"/>
              </w:rPr>
              <w:t>379,181,110.33</w:t>
            </w:r>
          </w:p>
        </w:tc>
        <w:tc>
          <w:tcPr>
            <w:tcW w:w="1686" w:type="pct"/>
            <w:tcBorders>
              <w:top w:val="single" w:sz="4" w:space="0" w:color="auto"/>
              <w:left w:val="single" w:sz="4" w:space="0" w:color="auto"/>
              <w:bottom w:val="single" w:sz="4" w:space="0" w:color="auto"/>
              <w:right w:val="single" w:sz="4" w:space="0" w:color="auto"/>
            </w:tcBorders>
            <w:vAlign w:val="center"/>
          </w:tcPr>
          <w:p w14:paraId="293EAD82" w14:textId="77777777" w:rsidR="00E57DAA" w:rsidRDefault="00AC4185">
            <w:pPr>
              <w:jc w:val="right"/>
              <w:rPr>
                <w:szCs w:val="21"/>
              </w:rPr>
            </w:pPr>
            <w:r>
              <w:rPr>
                <w:rFonts w:hint="eastAsia"/>
              </w:rPr>
              <w:t>184,884,637.82</w:t>
            </w:r>
          </w:p>
        </w:tc>
      </w:tr>
      <w:tr w:rsidR="00E57DAA" w14:paraId="1EAD6BE9" w14:textId="77777777">
        <w:trPr>
          <w:cantSplit/>
        </w:trPr>
        <w:sdt>
          <w:sdtPr>
            <w:tag w:val="_PLD_d4549a61d17e484fa031071f1a709d42"/>
            <w:id w:val="239987512"/>
          </w:sdtPr>
          <w:sdtEndPr/>
          <w:sdtContent>
            <w:tc>
              <w:tcPr>
                <w:tcW w:w="1628" w:type="pct"/>
                <w:tcBorders>
                  <w:top w:val="single" w:sz="4" w:space="0" w:color="auto"/>
                  <w:left w:val="single" w:sz="4" w:space="0" w:color="auto"/>
                  <w:bottom w:val="single" w:sz="4" w:space="0" w:color="auto"/>
                  <w:right w:val="single" w:sz="4" w:space="0" w:color="auto"/>
                </w:tcBorders>
              </w:tcPr>
              <w:p w14:paraId="7C2D416C" w14:textId="77777777" w:rsidR="00E57DAA" w:rsidRDefault="00AC4185">
                <w:pPr>
                  <w:rPr>
                    <w:szCs w:val="21"/>
                  </w:rPr>
                </w:pPr>
                <w:r>
                  <w:rPr>
                    <w:rFonts w:hint="eastAsia"/>
                    <w:szCs w:val="21"/>
                  </w:rPr>
                  <w:t>2至3年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6F33D6B3" w14:textId="77777777" w:rsidR="00E57DAA" w:rsidRDefault="00AC4185">
            <w:pPr>
              <w:jc w:val="right"/>
              <w:rPr>
                <w:szCs w:val="21"/>
              </w:rPr>
            </w:pPr>
            <w:r>
              <w:rPr>
                <w:rFonts w:hint="eastAsia"/>
              </w:rPr>
              <w:t>64,130,983.16</w:t>
            </w:r>
          </w:p>
        </w:tc>
        <w:tc>
          <w:tcPr>
            <w:tcW w:w="1686" w:type="pct"/>
            <w:tcBorders>
              <w:top w:val="single" w:sz="4" w:space="0" w:color="auto"/>
              <w:left w:val="single" w:sz="4" w:space="0" w:color="auto"/>
              <w:bottom w:val="single" w:sz="4" w:space="0" w:color="auto"/>
              <w:right w:val="single" w:sz="4" w:space="0" w:color="auto"/>
            </w:tcBorders>
            <w:vAlign w:val="center"/>
          </w:tcPr>
          <w:p w14:paraId="32C084A5" w14:textId="77777777" w:rsidR="00E57DAA" w:rsidRDefault="00AC4185">
            <w:pPr>
              <w:jc w:val="right"/>
              <w:rPr>
                <w:szCs w:val="21"/>
              </w:rPr>
            </w:pPr>
            <w:r>
              <w:rPr>
                <w:rFonts w:hint="eastAsia"/>
              </w:rPr>
              <w:t>102,919,950.76</w:t>
            </w:r>
          </w:p>
        </w:tc>
      </w:tr>
      <w:tr w:rsidR="00E57DAA" w14:paraId="78EB8B95" w14:textId="77777777">
        <w:trPr>
          <w:cantSplit/>
        </w:trPr>
        <w:sdt>
          <w:sdtPr>
            <w:tag w:val="_PLD_7b472598ecb14341858feaa4f0627d94"/>
            <w:id w:val="658512139"/>
          </w:sdtPr>
          <w:sdtEndPr/>
          <w:sdtContent>
            <w:tc>
              <w:tcPr>
                <w:tcW w:w="1628" w:type="pct"/>
                <w:tcBorders>
                  <w:top w:val="single" w:sz="4" w:space="0" w:color="auto"/>
                  <w:left w:val="single" w:sz="4" w:space="0" w:color="auto"/>
                  <w:bottom w:val="single" w:sz="4" w:space="0" w:color="auto"/>
                  <w:right w:val="single" w:sz="4" w:space="0" w:color="auto"/>
                </w:tcBorders>
              </w:tcPr>
              <w:p w14:paraId="7E11856F" w14:textId="77777777" w:rsidR="00E57DAA" w:rsidRDefault="00AC4185">
                <w:pPr>
                  <w:rPr>
                    <w:szCs w:val="21"/>
                  </w:rPr>
                </w:pPr>
                <w:r>
                  <w:rPr>
                    <w:rFonts w:hint="eastAsia"/>
                    <w:szCs w:val="21"/>
                  </w:rPr>
                  <w:t>3年以上</w:t>
                </w:r>
              </w:p>
            </w:tc>
          </w:sdtContent>
        </w:sdt>
        <w:tc>
          <w:tcPr>
            <w:tcW w:w="1686" w:type="pct"/>
            <w:tcBorders>
              <w:top w:val="single" w:sz="4" w:space="0" w:color="auto"/>
              <w:left w:val="single" w:sz="4" w:space="0" w:color="auto"/>
              <w:bottom w:val="single" w:sz="4" w:space="0" w:color="auto"/>
              <w:right w:val="single" w:sz="4" w:space="0" w:color="auto"/>
            </w:tcBorders>
          </w:tcPr>
          <w:p w14:paraId="0138F195" w14:textId="77777777" w:rsidR="00E57DAA" w:rsidRDefault="00E57DAA">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00989728" w14:textId="77777777" w:rsidR="00E57DAA" w:rsidRDefault="00E57DAA">
            <w:pPr>
              <w:jc w:val="right"/>
              <w:rPr>
                <w:szCs w:val="21"/>
              </w:rPr>
            </w:pPr>
          </w:p>
        </w:tc>
      </w:tr>
      <w:tr w:rsidR="00E57DAA" w14:paraId="24A56ED4" w14:textId="77777777">
        <w:trPr>
          <w:cantSplit/>
        </w:trPr>
        <w:sdt>
          <w:sdtPr>
            <w:tag w:val="_PLD_52511f8f7dbb433cb0b535c4f79f2a0c"/>
            <w:id w:val="61378224"/>
          </w:sdtPr>
          <w:sdtEndPr/>
          <w:sdtContent>
            <w:tc>
              <w:tcPr>
                <w:tcW w:w="1628" w:type="pct"/>
                <w:tcBorders>
                  <w:top w:val="single" w:sz="4" w:space="0" w:color="auto"/>
                  <w:left w:val="single" w:sz="4" w:space="0" w:color="auto"/>
                  <w:bottom w:val="single" w:sz="4" w:space="0" w:color="auto"/>
                  <w:right w:val="single" w:sz="4" w:space="0" w:color="auto"/>
                </w:tcBorders>
              </w:tcPr>
              <w:p w14:paraId="7F56C55A" w14:textId="77777777" w:rsidR="00E57DAA" w:rsidRDefault="00AC4185">
                <w:pPr>
                  <w:rPr>
                    <w:szCs w:val="21"/>
                  </w:rPr>
                </w:pPr>
                <w:r>
                  <w:rPr>
                    <w:rFonts w:hint="eastAsia"/>
                    <w:szCs w:val="21"/>
                  </w:rPr>
                  <w:t>3至4年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3EDE06B4" w14:textId="77777777" w:rsidR="00E57DAA" w:rsidRDefault="00AC4185">
            <w:pPr>
              <w:jc w:val="right"/>
              <w:rPr>
                <w:szCs w:val="21"/>
              </w:rPr>
            </w:pPr>
            <w:r>
              <w:rPr>
                <w:rFonts w:hint="eastAsia"/>
              </w:rPr>
              <w:t>78,121,872.89</w:t>
            </w:r>
          </w:p>
        </w:tc>
        <w:tc>
          <w:tcPr>
            <w:tcW w:w="1686" w:type="pct"/>
            <w:tcBorders>
              <w:top w:val="single" w:sz="4" w:space="0" w:color="auto"/>
              <w:left w:val="single" w:sz="4" w:space="0" w:color="auto"/>
              <w:bottom w:val="single" w:sz="4" w:space="0" w:color="auto"/>
              <w:right w:val="single" w:sz="4" w:space="0" w:color="auto"/>
            </w:tcBorders>
            <w:vAlign w:val="center"/>
          </w:tcPr>
          <w:p w14:paraId="66B40EB7" w14:textId="77777777" w:rsidR="00E57DAA" w:rsidRDefault="00AC4185">
            <w:pPr>
              <w:jc w:val="right"/>
              <w:rPr>
                <w:szCs w:val="21"/>
              </w:rPr>
            </w:pPr>
            <w:r>
              <w:rPr>
                <w:rFonts w:hint="eastAsia"/>
              </w:rPr>
              <w:t>25,953,270.52</w:t>
            </w:r>
          </w:p>
        </w:tc>
      </w:tr>
      <w:tr w:rsidR="00E57DAA" w14:paraId="5BE977C9" w14:textId="77777777">
        <w:trPr>
          <w:cantSplit/>
        </w:trPr>
        <w:sdt>
          <w:sdtPr>
            <w:tag w:val="_PLD_24e1c2b720934bc0803708b3fd1f9097"/>
            <w:id w:val="1605774789"/>
          </w:sdtPr>
          <w:sdtEndPr/>
          <w:sdtContent>
            <w:tc>
              <w:tcPr>
                <w:tcW w:w="1628" w:type="pct"/>
                <w:tcBorders>
                  <w:top w:val="single" w:sz="4" w:space="0" w:color="auto"/>
                  <w:left w:val="single" w:sz="4" w:space="0" w:color="auto"/>
                  <w:bottom w:val="single" w:sz="4" w:space="0" w:color="auto"/>
                  <w:right w:val="single" w:sz="4" w:space="0" w:color="auto"/>
                </w:tcBorders>
              </w:tcPr>
              <w:p w14:paraId="79998784" w14:textId="77777777" w:rsidR="00E57DAA" w:rsidRDefault="00AC4185">
                <w:pPr>
                  <w:rPr>
                    <w:szCs w:val="21"/>
                  </w:rPr>
                </w:pPr>
                <w:r>
                  <w:rPr>
                    <w:rFonts w:hint="eastAsia"/>
                    <w:szCs w:val="21"/>
                  </w:rPr>
                  <w:t>4至5年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1F0BE41" w14:textId="77777777" w:rsidR="00E57DAA" w:rsidRDefault="00AC4185">
            <w:pPr>
              <w:jc w:val="right"/>
              <w:rPr>
                <w:szCs w:val="21"/>
              </w:rPr>
            </w:pPr>
            <w:r>
              <w:rPr>
                <w:rFonts w:hint="eastAsia"/>
              </w:rPr>
              <w:t>1,651,192.95</w:t>
            </w:r>
          </w:p>
        </w:tc>
        <w:tc>
          <w:tcPr>
            <w:tcW w:w="1686" w:type="pct"/>
            <w:tcBorders>
              <w:top w:val="single" w:sz="4" w:space="0" w:color="auto"/>
              <w:left w:val="single" w:sz="4" w:space="0" w:color="auto"/>
              <w:bottom w:val="single" w:sz="4" w:space="0" w:color="auto"/>
              <w:right w:val="single" w:sz="4" w:space="0" w:color="auto"/>
            </w:tcBorders>
            <w:vAlign w:val="center"/>
          </w:tcPr>
          <w:p w14:paraId="5BBF7B49" w14:textId="77777777" w:rsidR="00E57DAA" w:rsidRDefault="00AC4185">
            <w:pPr>
              <w:jc w:val="right"/>
              <w:rPr>
                <w:szCs w:val="21"/>
              </w:rPr>
            </w:pPr>
            <w:r>
              <w:rPr>
                <w:rFonts w:hint="eastAsia"/>
              </w:rPr>
              <w:t>500,602.99</w:t>
            </w:r>
          </w:p>
        </w:tc>
      </w:tr>
      <w:tr w:rsidR="00E57DAA" w14:paraId="0812BC10" w14:textId="77777777">
        <w:trPr>
          <w:cantSplit/>
        </w:trPr>
        <w:sdt>
          <w:sdtPr>
            <w:tag w:val="_PLD_b95f8699bfb74f6ca6bc34d75d8d09c4"/>
            <w:id w:val="729732128"/>
          </w:sdtPr>
          <w:sdtEndPr/>
          <w:sdtContent>
            <w:tc>
              <w:tcPr>
                <w:tcW w:w="1628" w:type="pct"/>
                <w:tcBorders>
                  <w:top w:val="single" w:sz="4" w:space="0" w:color="auto"/>
                  <w:left w:val="single" w:sz="4" w:space="0" w:color="auto"/>
                  <w:bottom w:val="single" w:sz="4" w:space="0" w:color="auto"/>
                  <w:right w:val="single" w:sz="4" w:space="0" w:color="auto"/>
                </w:tcBorders>
              </w:tcPr>
              <w:p w14:paraId="26A532D0" w14:textId="77777777" w:rsidR="00E57DAA" w:rsidRDefault="00AC4185">
                <w:pPr>
                  <w:rPr>
                    <w:szCs w:val="21"/>
                  </w:rPr>
                </w:pPr>
                <w:r>
                  <w:rPr>
                    <w:rFonts w:hint="eastAsia"/>
                    <w:szCs w:val="21"/>
                  </w:rPr>
                  <w:t>5年以上</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2A9B1268" w14:textId="77777777" w:rsidR="00E57DAA" w:rsidRDefault="00AC4185">
            <w:pPr>
              <w:jc w:val="right"/>
              <w:rPr>
                <w:szCs w:val="21"/>
              </w:rPr>
            </w:pPr>
            <w:r>
              <w:rPr>
                <w:rFonts w:hint="eastAsia"/>
              </w:rPr>
              <w:t>80,578,959.97</w:t>
            </w:r>
          </w:p>
        </w:tc>
        <w:tc>
          <w:tcPr>
            <w:tcW w:w="1686" w:type="pct"/>
            <w:tcBorders>
              <w:top w:val="single" w:sz="4" w:space="0" w:color="auto"/>
              <w:left w:val="single" w:sz="4" w:space="0" w:color="auto"/>
              <w:bottom w:val="single" w:sz="4" w:space="0" w:color="auto"/>
              <w:right w:val="single" w:sz="4" w:space="0" w:color="auto"/>
            </w:tcBorders>
            <w:vAlign w:val="center"/>
          </w:tcPr>
          <w:p w14:paraId="1A1DE624" w14:textId="77777777" w:rsidR="00E57DAA" w:rsidRDefault="00AC4185">
            <w:pPr>
              <w:jc w:val="right"/>
              <w:rPr>
                <w:szCs w:val="21"/>
              </w:rPr>
            </w:pPr>
            <w:r>
              <w:rPr>
                <w:rFonts w:hint="eastAsia"/>
              </w:rPr>
              <w:t>92,805,654.62</w:t>
            </w:r>
          </w:p>
        </w:tc>
      </w:tr>
      <w:tr w:rsidR="00E57DAA" w14:paraId="0FA2DD88" w14:textId="77777777">
        <w:trPr>
          <w:cantSplit/>
        </w:trPr>
        <w:sdt>
          <w:sdtPr>
            <w:tag w:val="_PLD_650b2e3c1b454a1892402dcf793c6c03"/>
            <w:id w:val="1009332607"/>
          </w:sdtPr>
          <w:sdtEndPr/>
          <w:sdtContent>
            <w:tc>
              <w:tcPr>
                <w:tcW w:w="1628" w:type="pct"/>
                <w:tcBorders>
                  <w:top w:val="single" w:sz="4" w:space="0" w:color="auto"/>
                  <w:left w:val="single" w:sz="4" w:space="0" w:color="auto"/>
                  <w:bottom w:val="single" w:sz="4" w:space="0" w:color="auto"/>
                  <w:right w:val="single" w:sz="4" w:space="0" w:color="auto"/>
                </w:tcBorders>
                <w:vAlign w:val="center"/>
              </w:tcPr>
              <w:p w14:paraId="51C56224" w14:textId="77777777" w:rsidR="00E57DAA" w:rsidRDefault="00AC4185">
                <w:pPr>
                  <w:jc w:val="center"/>
                  <w:rPr>
                    <w:szCs w:val="21"/>
                  </w:rPr>
                </w:pPr>
                <w:r>
                  <w:rPr>
                    <w:rFonts w:hint="eastAsia"/>
                    <w:szCs w:val="21"/>
                  </w:rPr>
                  <w:t>合计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C52DEFD" w14:textId="77777777" w:rsidR="00E57DAA" w:rsidRDefault="00AC4185">
            <w:pPr>
              <w:jc w:val="right"/>
              <w:rPr>
                <w:szCs w:val="21"/>
              </w:rPr>
            </w:pPr>
            <w:r>
              <w:rPr>
                <w:rFonts w:hint="eastAsia"/>
              </w:rPr>
              <w:t>1,250,023,357.24</w:t>
            </w:r>
          </w:p>
        </w:tc>
        <w:tc>
          <w:tcPr>
            <w:tcW w:w="1686" w:type="pct"/>
            <w:tcBorders>
              <w:top w:val="single" w:sz="4" w:space="0" w:color="auto"/>
              <w:left w:val="single" w:sz="4" w:space="0" w:color="auto"/>
              <w:bottom w:val="single" w:sz="4" w:space="0" w:color="auto"/>
              <w:right w:val="single" w:sz="4" w:space="0" w:color="auto"/>
            </w:tcBorders>
            <w:vAlign w:val="center"/>
          </w:tcPr>
          <w:p w14:paraId="32415692" w14:textId="77777777" w:rsidR="00E57DAA" w:rsidRDefault="00AC4185">
            <w:pPr>
              <w:jc w:val="right"/>
              <w:rPr>
                <w:szCs w:val="21"/>
              </w:rPr>
            </w:pPr>
            <w:r>
              <w:rPr>
                <w:rFonts w:hint="eastAsia"/>
              </w:rPr>
              <w:t>897,099,012.21</w:t>
            </w:r>
          </w:p>
        </w:tc>
      </w:tr>
    </w:tbl>
    <w:p w14:paraId="7619709C" w14:textId="77777777" w:rsidR="00E57DAA" w:rsidRDefault="00E57DAA" w:rsidP="00C25422">
      <w:pPr>
        <w:pStyle w:val="92"/>
      </w:pPr>
    </w:p>
    <w:p w14:paraId="49021871" w14:textId="77777777" w:rsidR="00E57DAA" w:rsidRDefault="00E57DAA">
      <w:pPr>
        <w:sectPr w:rsidR="00E57DAA" w:rsidSect="00226547">
          <w:pgSz w:w="11906" w:h="16838"/>
          <w:pgMar w:top="1525" w:right="1276" w:bottom="1440" w:left="1797" w:header="856" w:footer="992" w:gutter="0"/>
          <w:cols w:space="425"/>
          <w:docGrid w:linePitch="312"/>
        </w:sectPr>
      </w:pPr>
    </w:p>
    <w:p w14:paraId="707085FB" w14:textId="77777777" w:rsidR="00E57DAA" w:rsidRDefault="00E57DAA" w:rsidP="00C25422">
      <w:pPr>
        <w:pStyle w:val="92"/>
      </w:pPr>
    </w:p>
    <w:p w14:paraId="27D0F3B5" w14:textId="77777777" w:rsidR="00E57DAA" w:rsidRDefault="00AC4185">
      <w:pPr>
        <w:pStyle w:val="4"/>
        <w:numPr>
          <w:ilvl w:val="3"/>
          <w:numId w:val="133"/>
        </w:numPr>
        <w:ind w:left="426" w:hangingChars="202" w:hanging="426"/>
      </w:pPr>
      <w:r>
        <w:rPr>
          <w:rFonts w:hint="eastAsia"/>
        </w:rPr>
        <w:t>按坏账计提方法分类披露</w:t>
      </w:r>
    </w:p>
    <w:bookmarkStart w:id="320" w:name="_Hlk533796703" w:displacedByCustomXml="next"/>
    <w:sdt>
      <w:sdtPr>
        <w:alias w:val="是否适用：母公司应收账款按坏账计提方法分类披露[双击切换]"/>
        <w:tag w:val="_GBC_7881b37ba62844928bb3a0f84fa1312c"/>
        <w:id w:val="837652777"/>
        <w:placeholder>
          <w:docPart w:val="GBC22222222222222222222222222222"/>
        </w:placeholder>
      </w:sdtPr>
      <w:sdtEndPr/>
      <w:sdtContent>
        <w:p w14:paraId="1622349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48ED95" w14:textId="77777777" w:rsidR="00E57DAA" w:rsidRDefault="00AC4185" w:rsidP="00C25422">
      <w:pPr>
        <w:pStyle w:val="73"/>
        <w:ind w:firstLine="400"/>
      </w:pPr>
      <w:r>
        <w:rPr>
          <w:rFonts w:hint="eastAsia"/>
        </w:rPr>
        <w:t>单位：</w:t>
      </w:r>
      <w:sdt>
        <w:sdtPr>
          <w:rPr>
            <w:rFonts w:hint="eastAsia"/>
          </w:rPr>
          <w:alias w:val="单位：母公司应收账款按坏账计提方法分类披露"/>
          <w:tag w:val="_GBC_57cfa95657c1492d995c84aaa01cd7a5"/>
          <w:id w:val="7905555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母公司应收账款按坏账计提方法分类披露"/>
          <w:tag w:val="_GBC_b8d2fec8e15e43c8b9a141c04cb5fea0"/>
          <w:id w:val="-5224746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9"/>
        <w:gridCol w:w="1416"/>
        <w:gridCol w:w="712"/>
        <w:gridCol w:w="1530"/>
        <w:gridCol w:w="609"/>
        <w:gridCol w:w="1739"/>
        <w:gridCol w:w="1531"/>
        <w:gridCol w:w="713"/>
        <w:gridCol w:w="1531"/>
        <w:gridCol w:w="610"/>
        <w:gridCol w:w="1523"/>
      </w:tblGrid>
      <w:tr w:rsidR="00E57DAA" w14:paraId="41E790B1" w14:textId="77777777">
        <w:trPr>
          <w:cantSplit/>
          <w:trHeight w:val="259"/>
        </w:trPr>
        <w:sdt>
          <w:sdtPr>
            <w:rPr>
              <w:sz w:val="15"/>
              <w:szCs w:val="15"/>
            </w:rPr>
            <w:tag w:val="_PLD_0b6f94bf734a49f28ff9eb2211eccc4e"/>
            <w:id w:val="-1685130661"/>
          </w:sdtPr>
          <w:sdtEndPr/>
          <w:sdtContent>
            <w:tc>
              <w:tcPr>
                <w:tcW w:w="714" w:type="pct"/>
                <w:vMerge w:val="restart"/>
                <w:tcBorders>
                  <w:top w:val="single" w:sz="4" w:space="0" w:color="auto"/>
                  <w:left w:val="single" w:sz="4" w:space="0" w:color="auto"/>
                  <w:right w:val="single" w:sz="4" w:space="0" w:color="auto"/>
                </w:tcBorders>
                <w:vAlign w:val="center"/>
              </w:tcPr>
              <w:p w14:paraId="3DCF4DB6" w14:textId="77777777" w:rsidR="00E57DAA" w:rsidRDefault="00AC4185">
                <w:pPr>
                  <w:jc w:val="center"/>
                  <w:rPr>
                    <w:sz w:val="15"/>
                    <w:szCs w:val="15"/>
                  </w:rPr>
                </w:pPr>
                <w:r>
                  <w:rPr>
                    <w:rFonts w:hint="eastAsia"/>
                    <w:sz w:val="15"/>
                    <w:szCs w:val="15"/>
                  </w:rPr>
                  <w:t>类别</w:t>
                </w:r>
              </w:p>
            </w:tc>
          </w:sdtContent>
        </w:sdt>
        <w:sdt>
          <w:sdtPr>
            <w:rPr>
              <w:sz w:val="15"/>
              <w:szCs w:val="15"/>
            </w:rPr>
            <w:tag w:val="_PLD_cadda055920649559b4578dc73b6f05e"/>
            <w:id w:val="-153837271"/>
          </w:sdtPr>
          <w:sdtEndPr/>
          <w:sdtContent>
            <w:tc>
              <w:tcPr>
                <w:tcW w:w="2101" w:type="pct"/>
                <w:gridSpan w:val="5"/>
                <w:tcBorders>
                  <w:top w:val="single" w:sz="4" w:space="0" w:color="auto"/>
                  <w:left w:val="single" w:sz="4" w:space="0" w:color="auto"/>
                  <w:right w:val="single" w:sz="4" w:space="0" w:color="auto"/>
                </w:tcBorders>
                <w:vAlign w:val="center"/>
              </w:tcPr>
              <w:p w14:paraId="54E51E20"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期末余额</w:t>
                </w:r>
              </w:p>
            </w:tc>
          </w:sdtContent>
        </w:sdt>
        <w:sdt>
          <w:sdtPr>
            <w:rPr>
              <w:sz w:val="15"/>
              <w:szCs w:val="15"/>
            </w:rPr>
            <w:tag w:val="_PLD_28a8aaa48276458aa987282704951cc5"/>
            <w:id w:val="130063309"/>
          </w:sdtPr>
          <w:sdtEndPr/>
          <w:sdtContent>
            <w:tc>
              <w:tcPr>
                <w:tcW w:w="2185" w:type="pct"/>
                <w:gridSpan w:val="5"/>
                <w:tcBorders>
                  <w:top w:val="single" w:sz="4" w:space="0" w:color="auto"/>
                  <w:left w:val="single" w:sz="4" w:space="0" w:color="auto"/>
                  <w:right w:val="single" w:sz="4" w:space="0" w:color="auto"/>
                </w:tcBorders>
                <w:vAlign w:val="center"/>
              </w:tcPr>
              <w:p w14:paraId="74C197C0" w14:textId="77777777" w:rsidR="00E57DAA" w:rsidRDefault="00AC4185">
                <w:pPr>
                  <w:autoSpaceDE w:val="0"/>
                  <w:autoSpaceDN w:val="0"/>
                  <w:adjustRightInd w:val="0"/>
                  <w:snapToGrid w:val="0"/>
                  <w:spacing w:line="240" w:lineRule="atLeast"/>
                  <w:jc w:val="center"/>
                  <w:rPr>
                    <w:sz w:val="15"/>
                    <w:szCs w:val="15"/>
                  </w:rPr>
                </w:pPr>
                <w:r>
                  <w:rPr>
                    <w:rFonts w:hint="eastAsia"/>
                    <w:sz w:val="15"/>
                    <w:szCs w:val="15"/>
                  </w:rPr>
                  <w:t>期初余额</w:t>
                </w:r>
              </w:p>
            </w:tc>
          </w:sdtContent>
        </w:sdt>
      </w:tr>
      <w:tr w:rsidR="00E57DAA" w14:paraId="564D1A8E" w14:textId="77777777">
        <w:trPr>
          <w:cantSplit/>
          <w:trHeight w:val="227"/>
        </w:trPr>
        <w:tc>
          <w:tcPr>
            <w:tcW w:w="714" w:type="pct"/>
            <w:vMerge/>
            <w:tcBorders>
              <w:left w:val="single" w:sz="4" w:space="0" w:color="auto"/>
              <w:right w:val="single" w:sz="4" w:space="0" w:color="auto"/>
            </w:tcBorders>
            <w:vAlign w:val="center"/>
          </w:tcPr>
          <w:p w14:paraId="6BA6BE86" w14:textId="77777777" w:rsidR="00E57DAA" w:rsidRDefault="00E57DAA">
            <w:pPr>
              <w:rPr>
                <w:sz w:val="15"/>
                <w:szCs w:val="15"/>
              </w:rPr>
            </w:pPr>
          </w:p>
        </w:tc>
        <w:sdt>
          <w:sdtPr>
            <w:rPr>
              <w:sz w:val="15"/>
              <w:szCs w:val="15"/>
            </w:rPr>
            <w:tag w:val="_PLD_b6e4cad360f948d68bd5af2c3f52e83a"/>
            <w:id w:val="1670443392"/>
          </w:sdtPr>
          <w:sdtEndPr/>
          <w:sdtContent>
            <w:tc>
              <w:tcPr>
                <w:tcW w:w="669" w:type="pct"/>
                <w:gridSpan w:val="2"/>
                <w:tcBorders>
                  <w:top w:val="single" w:sz="4" w:space="0" w:color="auto"/>
                  <w:left w:val="single" w:sz="4" w:space="0" w:color="auto"/>
                  <w:bottom w:val="single" w:sz="4" w:space="0" w:color="auto"/>
                  <w:right w:val="single" w:sz="4" w:space="0" w:color="auto"/>
                </w:tcBorders>
                <w:vAlign w:val="center"/>
              </w:tcPr>
              <w:p w14:paraId="76E80DEB" w14:textId="77777777" w:rsidR="00E57DAA" w:rsidRDefault="00AC4185">
                <w:pPr>
                  <w:jc w:val="center"/>
                  <w:rPr>
                    <w:sz w:val="15"/>
                    <w:szCs w:val="15"/>
                  </w:rPr>
                </w:pPr>
                <w:r>
                  <w:rPr>
                    <w:rFonts w:hint="eastAsia"/>
                    <w:sz w:val="15"/>
                    <w:szCs w:val="15"/>
                  </w:rPr>
                  <w:t>账面余额</w:t>
                </w:r>
              </w:p>
            </w:tc>
          </w:sdtContent>
        </w:sdt>
        <w:sdt>
          <w:sdtPr>
            <w:rPr>
              <w:sz w:val="15"/>
              <w:szCs w:val="15"/>
            </w:rPr>
            <w:tag w:val="_PLD_1812a70770914fa4b8145f493ad4c468"/>
            <w:id w:val="567924409"/>
          </w:sdtPr>
          <w:sdtEndPr/>
          <w:sdtContent>
            <w:tc>
              <w:tcPr>
                <w:tcW w:w="794" w:type="pct"/>
                <w:gridSpan w:val="2"/>
                <w:tcBorders>
                  <w:top w:val="single" w:sz="4" w:space="0" w:color="auto"/>
                  <w:left w:val="single" w:sz="4" w:space="0" w:color="auto"/>
                  <w:bottom w:val="single" w:sz="4" w:space="0" w:color="auto"/>
                  <w:right w:val="single" w:sz="4" w:space="0" w:color="auto"/>
                </w:tcBorders>
                <w:vAlign w:val="center"/>
              </w:tcPr>
              <w:p w14:paraId="3F6AD84C" w14:textId="77777777" w:rsidR="00E57DAA" w:rsidRDefault="00AC4185">
                <w:pPr>
                  <w:jc w:val="center"/>
                  <w:rPr>
                    <w:sz w:val="15"/>
                    <w:szCs w:val="15"/>
                  </w:rPr>
                </w:pPr>
                <w:r>
                  <w:rPr>
                    <w:rFonts w:hint="eastAsia"/>
                    <w:sz w:val="15"/>
                    <w:szCs w:val="15"/>
                  </w:rPr>
                  <w:t>坏账准备</w:t>
                </w:r>
              </w:p>
            </w:tc>
          </w:sdtContent>
        </w:sdt>
        <w:sdt>
          <w:sdtPr>
            <w:rPr>
              <w:sz w:val="15"/>
              <w:szCs w:val="15"/>
            </w:rPr>
            <w:tag w:val="_PLD_970be2ae3a84456bb0feb4eb360d2b2f"/>
            <w:id w:val="-696857508"/>
          </w:sdtPr>
          <w:sdtEndPr/>
          <w:sdtContent>
            <w:tc>
              <w:tcPr>
                <w:tcW w:w="637" w:type="pct"/>
                <w:vMerge w:val="restart"/>
                <w:tcBorders>
                  <w:top w:val="single" w:sz="4" w:space="0" w:color="auto"/>
                  <w:left w:val="single" w:sz="4" w:space="0" w:color="auto"/>
                  <w:right w:val="single" w:sz="4" w:space="0" w:color="auto"/>
                </w:tcBorders>
                <w:vAlign w:val="center"/>
              </w:tcPr>
              <w:p w14:paraId="00F8B30E" w14:textId="77777777" w:rsidR="00E57DAA" w:rsidRDefault="00AC4185">
                <w:pPr>
                  <w:jc w:val="center"/>
                  <w:rPr>
                    <w:sz w:val="15"/>
                    <w:szCs w:val="15"/>
                  </w:rPr>
                </w:pPr>
                <w:r>
                  <w:rPr>
                    <w:rFonts w:hint="eastAsia"/>
                    <w:sz w:val="15"/>
                    <w:szCs w:val="15"/>
                  </w:rPr>
                  <w:t>账面</w:t>
                </w:r>
              </w:p>
              <w:p w14:paraId="5FF9D296" w14:textId="77777777" w:rsidR="00E57DAA" w:rsidRDefault="00AC4185">
                <w:pPr>
                  <w:jc w:val="center"/>
                  <w:rPr>
                    <w:sz w:val="15"/>
                    <w:szCs w:val="15"/>
                  </w:rPr>
                </w:pPr>
                <w:r>
                  <w:rPr>
                    <w:rFonts w:hint="eastAsia"/>
                    <w:sz w:val="15"/>
                    <w:szCs w:val="15"/>
                  </w:rPr>
                  <w:t>价值</w:t>
                </w:r>
              </w:p>
            </w:tc>
          </w:sdtContent>
        </w:sdt>
        <w:sdt>
          <w:sdtPr>
            <w:rPr>
              <w:sz w:val="15"/>
              <w:szCs w:val="15"/>
            </w:rPr>
            <w:tag w:val="_PLD_be04f05fbfa341e1a7546ee304164c92"/>
            <w:id w:val="1268809517"/>
          </w:sdtPr>
          <w:sdtEndPr/>
          <w:sdtContent>
            <w:tc>
              <w:tcPr>
                <w:tcW w:w="831" w:type="pct"/>
                <w:gridSpan w:val="2"/>
                <w:tcBorders>
                  <w:top w:val="single" w:sz="4" w:space="0" w:color="auto"/>
                  <w:left w:val="single" w:sz="4" w:space="0" w:color="auto"/>
                  <w:right w:val="single" w:sz="4" w:space="0" w:color="auto"/>
                </w:tcBorders>
                <w:vAlign w:val="center"/>
              </w:tcPr>
              <w:p w14:paraId="0E10AEAC" w14:textId="77777777" w:rsidR="00E57DAA" w:rsidRDefault="00AC4185">
                <w:pPr>
                  <w:jc w:val="center"/>
                  <w:rPr>
                    <w:sz w:val="15"/>
                    <w:szCs w:val="15"/>
                  </w:rPr>
                </w:pPr>
                <w:r>
                  <w:rPr>
                    <w:rFonts w:hint="eastAsia"/>
                    <w:sz w:val="15"/>
                    <w:szCs w:val="15"/>
                  </w:rPr>
                  <w:t>账面余额</w:t>
                </w:r>
              </w:p>
            </w:tc>
          </w:sdtContent>
        </w:sdt>
        <w:sdt>
          <w:sdtPr>
            <w:rPr>
              <w:sz w:val="15"/>
              <w:szCs w:val="15"/>
            </w:rPr>
            <w:tag w:val="_PLD_708baf88b6ab4f6ca208582ef2033d3e"/>
            <w:id w:val="780761977"/>
          </w:sdtPr>
          <w:sdtEndPr/>
          <w:sdtContent>
            <w:tc>
              <w:tcPr>
                <w:tcW w:w="794" w:type="pct"/>
                <w:gridSpan w:val="2"/>
                <w:tcBorders>
                  <w:top w:val="single" w:sz="4" w:space="0" w:color="auto"/>
                  <w:left w:val="single" w:sz="4" w:space="0" w:color="auto"/>
                  <w:right w:val="single" w:sz="4" w:space="0" w:color="auto"/>
                </w:tcBorders>
                <w:vAlign w:val="center"/>
              </w:tcPr>
              <w:p w14:paraId="3109A3D3" w14:textId="77777777" w:rsidR="00E57DAA" w:rsidRDefault="00AC4185">
                <w:pPr>
                  <w:jc w:val="center"/>
                  <w:rPr>
                    <w:sz w:val="15"/>
                    <w:szCs w:val="15"/>
                  </w:rPr>
                </w:pPr>
                <w:r>
                  <w:rPr>
                    <w:rFonts w:hint="eastAsia"/>
                    <w:sz w:val="15"/>
                    <w:szCs w:val="15"/>
                  </w:rPr>
                  <w:t>坏账准备</w:t>
                </w:r>
              </w:p>
            </w:tc>
          </w:sdtContent>
        </w:sdt>
        <w:sdt>
          <w:sdtPr>
            <w:rPr>
              <w:sz w:val="15"/>
              <w:szCs w:val="15"/>
            </w:rPr>
            <w:tag w:val="_PLD_7c2453d3d43547428eaaafae8df8b7d0"/>
            <w:id w:val="601999119"/>
          </w:sdtPr>
          <w:sdtEndPr/>
          <w:sdtContent>
            <w:tc>
              <w:tcPr>
                <w:tcW w:w="561" w:type="pct"/>
                <w:vMerge w:val="restart"/>
                <w:tcBorders>
                  <w:top w:val="single" w:sz="4" w:space="0" w:color="auto"/>
                  <w:left w:val="single" w:sz="4" w:space="0" w:color="auto"/>
                  <w:right w:val="single" w:sz="4" w:space="0" w:color="auto"/>
                </w:tcBorders>
                <w:vAlign w:val="center"/>
              </w:tcPr>
              <w:p w14:paraId="59DE96FD" w14:textId="77777777" w:rsidR="00E57DAA" w:rsidRDefault="00AC4185">
                <w:pPr>
                  <w:jc w:val="center"/>
                  <w:rPr>
                    <w:sz w:val="15"/>
                    <w:szCs w:val="15"/>
                  </w:rPr>
                </w:pPr>
                <w:r>
                  <w:rPr>
                    <w:rFonts w:hint="eastAsia"/>
                    <w:sz w:val="15"/>
                    <w:szCs w:val="15"/>
                  </w:rPr>
                  <w:t>账面</w:t>
                </w:r>
              </w:p>
              <w:p w14:paraId="4B5350BC" w14:textId="77777777" w:rsidR="00E57DAA" w:rsidRDefault="00AC4185">
                <w:pPr>
                  <w:jc w:val="center"/>
                  <w:rPr>
                    <w:sz w:val="15"/>
                    <w:szCs w:val="15"/>
                  </w:rPr>
                </w:pPr>
                <w:r>
                  <w:rPr>
                    <w:rFonts w:hint="eastAsia"/>
                    <w:sz w:val="15"/>
                    <w:szCs w:val="15"/>
                  </w:rPr>
                  <w:t>价值</w:t>
                </w:r>
              </w:p>
            </w:tc>
          </w:sdtContent>
        </w:sdt>
      </w:tr>
      <w:tr w:rsidR="00E57DAA" w14:paraId="7201B453" w14:textId="77777777">
        <w:trPr>
          <w:cantSplit/>
          <w:trHeight w:val="375"/>
        </w:trPr>
        <w:tc>
          <w:tcPr>
            <w:tcW w:w="714" w:type="pct"/>
            <w:vMerge/>
            <w:tcBorders>
              <w:left w:val="single" w:sz="4" w:space="0" w:color="auto"/>
              <w:bottom w:val="single" w:sz="4" w:space="0" w:color="auto"/>
              <w:right w:val="single" w:sz="4" w:space="0" w:color="auto"/>
            </w:tcBorders>
            <w:vAlign w:val="center"/>
          </w:tcPr>
          <w:p w14:paraId="6700A6C1" w14:textId="77777777" w:rsidR="00E57DAA" w:rsidRDefault="00E57DAA">
            <w:pPr>
              <w:rPr>
                <w:sz w:val="15"/>
                <w:szCs w:val="15"/>
              </w:rPr>
            </w:pPr>
          </w:p>
        </w:tc>
        <w:sdt>
          <w:sdtPr>
            <w:rPr>
              <w:sz w:val="15"/>
              <w:szCs w:val="15"/>
            </w:rPr>
            <w:tag w:val="_PLD_c5c981ae53b144af90139d228c5285af"/>
            <w:id w:val="-232623364"/>
          </w:sdtPr>
          <w:sdtEndPr/>
          <w:sdtContent>
            <w:tc>
              <w:tcPr>
                <w:tcW w:w="401" w:type="pct"/>
                <w:tcBorders>
                  <w:left w:val="single" w:sz="4" w:space="0" w:color="auto"/>
                  <w:bottom w:val="single" w:sz="4" w:space="0" w:color="auto"/>
                  <w:right w:val="single" w:sz="4" w:space="0" w:color="auto"/>
                </w:tcBorders>
                <w:vAlign w:val="center"/>
              </w:tcPr>
              <w:p w14:paraId="1F0A2CE8" w14:textId="77777777" w:rsidR="00E57DAA" w:rsidRDefault="00AC4185">
                <w:pPr>
                  <w:jc w:val="center"/>
                  <w:rPr>
                    <w:sz w:val="15"/>
                    <w:szCs w:val="15"/>
                  </w:rPr>
                </w:pPr>
                <w:r>
                  <w:rPr>
                    <w:rFonts w:hint="eastAsia"/>
                    <w:sz w:val="15"/>
                    <w:szCs w:val="15"/>
                  </w:rPr>
                  <w:t>金额</w:t>
                </w:r>
              </w:p>
            </w:tc>
          </w:sdtContent>
        </w:sdt>
        <w:sdt>
          <w:sdtPr>
            <w:rPr>
              <w:sz w:val="15"/>
              <w:szCs w:val="15"/>
            </w:rPr>
            <w:tag w:val="_PLD_c62cdb22fba648808acfebda9f29289b"/>
            <w:id w:val="-1957863233"/>
          </w:sdtPr>
          <w:sdtEndPr/>
          <w:sdtContent>
            <w:tc>
              <w:tcPr>
                <w:tcW w:w="268" w:type="pct"/>
                <w:tcBorders>
                  <w:left w:val="single" w:sz="4" w:space="0" w:color="auto"/>
                  <w:bottom w:val="single" w:sz="4" w:space="0" w:color="auto"/>
                  <w:right w:val="single" w:sz="4" w:space="0" w:color="auto"/>
                </w:tcBorders>
                <w:vAlign w:val="center"/>
              </w:tcPr>
              <w:p w14:paraId="64697E3F" w14:textId="77777777" w:rsidR="00E57DAA" w:rsidRDefault="00AC4185">
                <w:pPr>
                  <w:jc w:val="center"/>
                  <w:rPr>
                    <w:sz w:val="15"/>
                    <w:szCs w:val="15"/>
                  </w:rPr>
                </w:pPr>
                <w:r>
                  <w:rPr>
                    <w:rFonts w:hint="eastAsia"/>
                    <w:sz w:val="15"/>
                    <w:szCs w:val="15"/>
                  </w:rPr>
                  <w:t>比例</w:t>
                </w:r>
                <w:r>
                  <w:rPr>
                    <w:sz w:val="15"/>
                    <w:szCs w:val="15"/>
                  </w:rPr>
                  <w:t>(%)</w:t>
                </w:r>
              </w:p>
            </w:tc>
          </w:sdtContent>
        </w:sdt>
        <w:sdt>
          <w:sdtPr>
            <w:rPr>
              <w:sz w:val="15"/>
              <w:szCs w:val="15"/>
            </w:rPr>
            <w:tag w:val="_PLD_d259a31756a946a6a441328cc78413fc"/>
            <w:id w:val="-521468726"/>
          </w:sdtPr>
          <w:sdtEndPr/>
          <w:sdtContent>
            <w:tc>
              <w:tcPr>
                <w:tcW w:w="563" w:type="pct"/>
                <w:tcBorders>
                  <w:left w:val="single" w:sz="4" w:space="0" w:color="auto"/>
                  <w:bottom w:val="single" w:sz="4" w:space="0" w:color="auto"/>
                  <w:right w:val="single" w:sz="4" w:space="0" w:color="auto"/>
                </w:tcBorders>
                <w:vAlign w:val="center"/>
              </w:tcPr>
              <w:p w14:paraId="3E1D190B" w14:textId="77777777" w:rsidR="00E57DAA" w:rsidRDefault="00AC4185">
                <w:pPr>
                  <w:jc w:val="center"/>
                  <w:rPr>
                    <w:sz w:val="15"/>
                    <w:szCs w:val="15"/>
                  </w:rPr>
                </w:pPr>
                <w:r>
                  <w:rPr>
                    <w:rFonts w:hint="eastAsia"/>
                    <w:sz w:val="15"/>
                    <w:szCs w:val="15"/>
                  </w:rPr>
                  <w:t>金额</w:t>
                </w:r>
              </w:p>
            </w:tc>
          </w:sdtContent>
        </w:sdt>
        <w:sdt>
          <w:sdtPr>
            <w:rPr>
              <w:sz w:val="15"/>
              <w:szCs w:val="15"/>
            </w:rPr>
            <w:tag w:val="_PLD_f74078100e7348efb6fa93b2ac934809"/>
            <w:id w:val="122657543"/>
          </w:sdtPr>
          <w:sdtEndPr/>
          <w:sdtContent>
            <w:tc>
              <w:tcPr>
                <w:tcW w:w="230" w:type="pct"/>
                <w:tcBorders>
                  <w:left w:val="single" w:sz="4" w:space="0" w:color="auto"/>
                  <w:bottom w:val="single" w:sz="4" w:space="0" w:color="auto"/>
                  <w:right w:val="single" w:sz="4" w:space="0" w:color="auto"/>
                </w:tcBorders>
                <w:vAlign w:val="center"/>
              </w:tcPr>
              <w:p w14:paraId="7D5692E2"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637" w:type="pct"/>
            <w:vMerge/>
            <w:tcBorders>
              <w:left w:val="single" w:sz="4" w:space="0" w:color="auto"/>
              <w:bottom w:val="single" w:sz="4" w:space="0" w:color="auto"/>
              <w:right w:val="single" w:sz="4" w:space="0" w:color="auto"/>
            </w:tcBorders>
            <w:vAlign w:val="center"/>
          </w:tcPr>
          <w:p w14:paraId="7D4DEAC6" w14:textId="77777777" w:rsidR="00E57DAA" w:rsidRDefault="00E57DAA">
            <w:pPr>
              <w:jc w:val="center"/>
              <w:rPr>
                <w:sz w:val="15"/>
                <w:szCs w:val="15"/>
              </w:rPr>
            </w:pPr>
          </w:p>
        </w:tc>
        <w:sdt>
          <w:sdtPr>
            <w:rPr>
              <w:sz w:val="15"/>
              <w:szCs w:val="15"/>
            </w:rPr>
            <w:tag w:val="_PLD_4b188b463cd04b5f935c04bb97091ad7"/>
            <w:id w:val="-1056623721"/>
          </w:sdtPr>
          <w:sdtEndPr/>
          <w:sdtContent>
            <w:tc>
              <w:tcPr>
                <w:tcW w:w="563" w:type="pct"/>
                <w:tcBorders>
                  <w:left w:val="single" w:sz="4" w:space="0" w:color="auto"/>
                  <w:bottom w:val="single" w:sz="4" w:space="0" w:color="auto"/>
                  <w:right w:val="single" w:sz="4" w:space="0" w:color="auto"/>
                </w:tcBorders>
                <w:vAlign w:val="center"/>
              </w:tcPr>
              <w:p w14:paraId="3134A5BE" w14:textId="77777777" w:rsidR="00E57DAA" w:rsidRDefault="00AC4185">
                <w:pPr>
                  <w:jc w:val="center"/>
                  <w:rPr>
                    <w:sz w:val="15"/>
                    <w:szCs w:val="15"/>
                  </w:rPr>
                </w:pPr>
                <w:r>
                  <w:rPr>
                    <w:rFonts w:hint="eastAsia"/>
                    <w:sz w:val="15"/>
                    <w:szCs w:val="15"/>
                  </w:rPr>
                  <w:t>金额</w:t>
                </w:r>
              </w:p>
            </w:tc>
          </w:sdtContent>
        </w:sdt>
        <w:sdt>
          <w:sdtPr>
            <w:rPr>
              <w:sz w:val="15"/>
              <w:szCs w:val="15"/>
            </w:rPr>
            <w:tag w:val="_PLD_0eb49b8077f24050b883fe1c83156c6a"/>
            <w:id w:val="-2129452414"/>
          </w:sdtPr>
          <w:sdtEndPr/>
          <w:sdtContent>
            <w:tc>
              <w:tcPr>
                <w:tcW w:w="267" w:type="pct"/>
                <w:tcBorders>
                  <w:left w:val="single" w:sz="4" w:space="0" w:color="auto"/>
                  <w:bottom w:val="single" w:sz="4" w:space="0" w:color="auto"/>
                  <w:right w:val="single" w:sz="4" w:space="0" w:color="auto"/>
                </w:tcBorders>
                <w:vAlign w:val="center"/>
              </w:tcPr>
              <w:p w14:paraId="4BC72E95" w14:textId="77777777" w:rsidR="00E57DAA" w:rsidRDefault="00AC4185">
                <w:pPr>
                  <w:jc w:val="center"/>
                  <w:rPr>
                    <w:sz w:val="15"/>
                    <w:szCs w:val="15"/>
                  </w:rPr>
                </w:pPr>
                <w:r>
                  <w:rPr>
                    <w:rFonts w:hint="eastAsia"/>
                    <w:sz w:val="15"/>
                    <w:szCs w:val="15"/>
                  </w:rPr>
                  <w:t>比例</w:t>
                </w:r>
                <w:r>
                  <w:rPr>
                    <w:sz w:val="15"/>
                    <w:szCs w:val="15"/>
                  </w:rPr>
                  <w:t>(%)</w:t>
                </w:r>
              </w:p>
            </w:tc>
          </w:sdtContent>
        </w:sdt>
        <w:sdt>
          <w:sdtPr>
            <w:rPr>
              <w:sz w:val="15"/>
              <w:szCs w:val="15"/>
            </w:rPr>
            <w:tag w:val="_PLD_97b959dafb2649fe9097ba91d4d77a2f"/>
            <w:id w:val="399644379"/>
          </w:sdtPr>
          <w:sdtEndPr/>
          <w:sdtContent>
            <w:tc>
              <w:tcPr>
                <w:tcW w:w="563" w:type="pct"/>
                <w:tcBorders>
                  <w:left w:val="single" w:sz="4" w:space="0" w:color="auto"/>
                  <w:bottom w:val="single" w:sz="4" w:space="0" w:color="auto"/>
                  <w:right w:val="single" w:sz="4" w:space="0" w:color="auto"/>
                </w:tcBorders>
                <w:vAlign w:val="center"/>
              </w:tcPr>
              <w:p w14:paraId="3352EBB0" w14:textId="77777777" w:rsidR="00E57DAA" w:rsidRDefault="00AC4185">
                <w:pPr>
                  <w:jc w:val="center"/>
                  <w:rPr>
                    <w:sz w:val="15"/>
                    <w:szCs w:val="15"/>
                  </w:rPr>
                </w:pPr>
                <w:r>
                  <w:rPr>
                    <w:rFonts w:hint="eastAsia"/>
                    <w:sz w:val="15"/>
                    <w:szCs w:val="15"/>
                  </w:rPr>
                  <w:t>金额</w:t>
                </w:r>
              </w:p>
            </w:tc>
          </w:sdtContent>
        </w:sdt>
        <w:sdt>
          <w:sdtPr>
            <w:rPr>
              <w:sz w:val="15"/>
              <w:szCs w:val="15"/>
            </w:rPr>
            <w:tag w:val="_PLD_99dda048c2a04725a5d8bfac8b356378"/>
            <w:id w:val="504866372"/>
          </w:sdtPr>
          <w:sdtEndPr/>
          <w:sdtContent>
            <w:tc>
              <w:tcPr>
                <w:tcW w:w="230" w:type="pct"/>
                <w:tcBorders>
                  <w:left w:val="single" w:sz="4" w:space="0" w:color="auto"/>
                  <w:bottom w:val="single" w:sz="4" w:space="0" w:color="auto"/>
                  <w:right w:val="single" w:sz="4" w:space="0" w:color="auto"/>
                </w:tcBorders>
                <w:vAlign w:val="center"/>
              </w:tcPr>
              <w:p w14:paraId="0F288573" w14:textId="77777777" w:rsidR="00E57DAA" w:rsidRDefault="00AC4185">
                <w:pPr>
                  <w:jc w:val="center"/>
                  <w:rPr>
                    <w:sz w:val="15"/>
                    <w:szCs w:val="15"/>
                  </w:rPr>
                </w:pPr>
                <w:r>
                  <w:rPr>
                    <w:rFonts w:hint="eastAsia"/>
                    <w:sz w:val="15"/>
                    <w:szCs w:val="15"/>
                  </w:rPr>
                  <w:t>计提比例</w:t>
                </w:r>
                <w:r>
                  <w:rPr>
                    <w:sz w:val="15"/>
                    <w:szCs w:val="15"/>
                  </w:rPr>
                  <w:t>(%)</w:t>
                </w:r>
              </w:p>
            </w:tc>
          </w:sdtContent>
        </w:sdt>
        <w:tc>
          <w:tcPr>
            <w:tcW w:w="561" w:type="pct"/>
            <w:vMerge/>
            <w:tcBorders>
              <w:left w:val="single" w:sz="4" w:space="0" w:color="auto"/>
              <w:bottom w:val="single" w:sz="4" w:space="0" w:color="auto"/>
              <w:right w:val="single" w:sz="4" w:space="0" w:color="auto"/>
            </w:tcBorders>
          </w:tcPr>
          <w:p w14:paraId="20943D55" w14:textId="77777777" w:rsidR="00E57DAA" w:rsidRDefault="00E57DAA">
            <w:pPr>
              <w:jc w:val="center"/>
              <w:rPr>
                <w:sz w:val="15"/>
                <w:szCs w:val="15"/>
              </w:rPr>
            </w:pPr>
          </w:p>
        </w:tc>
      </w:tr>
      <w:tr w:rsidR="00E57DAA" w14:paraId="44D29E20" w14:textId="77777777">
        <w:trPr>
          <w:cantSplit/>
        </w:trPr>
        <w:tc>
          <w:tcPr>
            <w:tcW w:w="714" w:type="pct"/>
            <w:tcBorders>
              <w:top w:val="single" w:sz="4" w:space="0" w:color="auto"/>
              <w:left w:val="single" w:sz="4" w:space="0" w:color="auto"/>
              <w:bottom w:val="single" w:sz="4" w:space="0" w:color="auto"/>
              <w:right w:val="single" w:sz="4" w:space="0" w:color="auto"/>
            </w:tcBorders>
          </w:tcPr>
          <w:p w14:paraId="466FDB2C" w14:textId="77777777" w:rsidR="00E57DAA" w:rsidRDefault="00AC4185">
            <w:pPr>
              <w:rPr>
                <w:sz w:val="15"/>
                <w:szCs w:val="15"/>
              </w:rPr>
            </w:pPr>
            <w:r>
              <w:rPr>
                <w:rFonts w:hint="eastAsia"/>
                <w:sz w:val="15"/>
                <w:szCs w:val="15"/>
              </w:rPr>
              <w:t>按单项计提坏账准备</w:t>
            </w:r>
          </w:p>
        </w:tc>
        <w:tc>
          <w:tcPr>
            <w:tcW w:w="401" w:type="pct"/>
            <w:tcBorders>
              <w:top w:val="single" w:sz="4" w:space="0" w:color="auto"/>
              <w:left w:val="single" w:sz="4" w:space="0" w:color="auto"/>
              <w:bottom w:val="single" w:sz="4" w:space="0" w:color="auto"/>
              <w:right w:val="single" w:sz="4" w:space="0" w:color="auto"/>
            </w:tcBorders>
          </w:tcPr>
          <w:p w14:paraId="4C380D1C" w14:textId="77777777" w:rsidR="00E57DAA" w:rsidRDefault="00E57DAA">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1D5BDB1E" w14:textId="77777777" w:rsidR="00E57DAA" w:rsidRDefault="00E57DAA">
            <w:pPr>
              <w:jc w:val="right"/>
              <w:rPr>
                <w:sz w:val="15"/>
                <w:szCs w:val="15"/>
              </w:rPr>
            </w:pPr>
          </w:p>
        </w:tc>
        <w:tc>
          <w:tcPr>
            <w:tcW w:w="563" w:type="pct"/>
            <w:tcBorders>
              <w:top w:val="single" w:sz="4" w:space="0" w:color="auto"/>
              <w:left w:val="single" w:sz="4" w:space="0" w:color="auto"/>
              <w:bottom w:val="single" w:sz="4" w:space="0" w:color="auto"/>
              <w:right w:val="single" w:sz="4" w:space="0" w:color="auto"/>
            </w:tcBorders>
          </w:tcPr>
          <w:p w14:paraId="67F1CF9C" w14:textId="77777777" w:rsidR="00E57DAA" w:rsidRDefault="00E57DAA">
            <w:pPr>
              <w:jc w:val="right"/>
              <w:rPr>
                <w:sz w:val="15"/>
                <w:szCs w:val="15"/>
              </w:rPr>
            </w:pPr>
          </w:p>
        </w:tc>
        <w:tc>
          <w:tcPr>
            <w:tcW w:w="230" w:type="pct"/>
            <w:tcBorders>
              <w:top w:val="single" w:sz="4" w:space="0" w:color="auto"/>
              <w:left w:val="single" w:sz="4" w:space="0" w:color="auto"/>
              <w:bottom w:val="single" w:sz="4" w:space="0" w:color="auto"/>
              <w:right w:val="single" w:sz="4" w:space="0" w:color="auto"/>
            </w:tcBorders>
          </w:tcPr>
          <w:p w14:paraId="42B678FA" w14:textId="77777777" w:rsidR="00E57DAA" w:rsidRDefault="00E57DAA">
            <w:pPr>
              <w:jc w:val="right"/>
              <w:rPr>
                <w:sz w:val="15"/>
                <w:szCs w:val="15"/>
              </w:rPr>
            </w:pPr>
          </w:p>
        </w:tc>
        <w:tc>
          <w:tcPr>
            <w:tcW w:w="637" w:type="pct"/>
            <w:tcBorders>
              <w:top w:val="single" w:sz="4" w:space="0" w:color="auto"/>
              <w:left w:val="single" w:sz="4" w:space="0" w:color="auto"/>
              <w:bottom w:val="single" w:sz="4" w:space="0" w:color="auto"/>
              <w:right w:val="single" w:sz="4" w:space="0" w:color="auto"/>
            </w:tcBorders>
          </w:tcPr>
          <w:p w14:paraId="6D4BD879" w14:textId="77777777" w:rsidR="00E57DAA" w:rsidRDefault="00E57DAA">
            <w:pPr>
              <w:jc w:val="right"/>
              <w:rPr>
                <w:sz w:val="15"/>
                <w:szCs w:val="15"/>
              </w:rPr>
            </w:pPr>
          </w:p>
        </w:tc>
        <w:tc>
          <w:tcPr>
            <w:tcW w:w="563" w:type="pct"/>
            <w:tcBorders>
              <w:top w:val="single" w:sz="4" w:space="0" w:color="auto"/>
              <w:left w:val="single" w:sz="4" w:space="0" w:color="auto"/>
              <w:bottom w:val="single" w:sz="4" w:space="0" w:color="auto"/>
              <w:right w:val="single" w:sz="4" w:space="0" w:color="auto"/>
            </w:tcBorders>
          </w:tcPr>
          <w:p w14:paraId="11BC8901" w14:textId="77777777" w:rsidR="00E57DAA" w:rsidRDefault="00E57DAA">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08E0A656" w14:textId="77777777" w:rsidR="00E57DAA" w:rsidRDefault="00E57DAA">
            <w:pPr>
              <w:jc w:val="right"/>
              <w:rPr>
                <w:sz w:val="15"/>
                <w:szCs w:val="15"/>
              </w:rPr>
            </w:pPr>
          </w:p>
        </w:tc>
        <w:tc>
          <w:tcPr>
            <w:tcW w:w="563" w:type="pct"/>
            <w:tcBorders>
              <w:top w:val="single" w:sz="4" w:space="0" w:color="auto"/>
              <w:left w:val="single" w:sz="4" w:space="0" w:color="auto"/>
              <w:bottom w:val="single" w:sz="4" w:space="0" w:color="auto"/>
              <w:right w:val="single" w:sz="4" w:space="0" w:color="auto"/>
            </w:tcBorders>
          </w:tcPr>
          <w:p w14:paraId="2D59E2D9" w14:textId="77777777" w:rsidR="00E57DAA" w:rsidRDefault="00E57DAA">
            <w:pPr>
              <w:jc w:val="right"/>
              <w:rPr>
                <w:sz w:val="15"/>
                <w:szCs w:val="15"/>
              </w:rPr>
            </w:pPr>
          </w:p>
        </w:tc>
        <w:tc>
          <w:tcPr>
            <w:tcW w:w="230" w:type="pct"/>
            <w:tcBorders>
              <w:top w:val="single" w:sz="4" w:space="0" w:color="auto"/>
              <w:left w:val="single" w:sz="4" w:space="0" w:color="auto"/>
              <w:bottom w:val="single" w:sz="4" w:space="0" w:color="auto"/>
              <w:right w:val="single" w:sz="4" w:space="0" w:color="auto"/>
            </w:tcBorders>
          </w:tcPr>
          <w:p w14:paraId="6C605BBF" w14:textId="77777777" w:rsidR="00E57DAA" w:rsidRDefault="00E57DAA">
            <w:pPr>
              <w:jc w:val="right"/>
              <w:rPr>
                <w:sz w:val="15"/>
                <w:szCs w:val="15"/>
              </w:rPr>
            </w:pPr>
          </w:p>
        </w:tc>
        <w:tc>
          <w:tcPr>
            <w:tcW w:w="561" w:type="pct"/>
            <w:tcBorders>
              <w:top w:val="single" w:sz="4" w:space="0" w:color="auto"/>
              <w:left w:val="single" w:sz="4" w:space="0" w:color="auto"/>
              <w:bottom w:val="single" w:sz="4" w:space="0" w:color="auto"/>
              <w:right w:val="single" w:sz="4" w:space="0" w:color="auto"/>
            </w:tcBorders>
          </w:tcPr>
          <w:p w14:paraId="47ACA213" w14:textId="77777777" w:rsidR="00E57DAA" w:rsidRDefault="00E57DAA">
            <w:pPr>
              <w:jc w:val="right"/>
              <w:rPr>
                <w:sz w:val="15"/>
                <w:szCs w:val="15"/>
              </w:rPr>
            </w:pPr>
          </w:p>
        </w:tc>
      </w:tr>
      <w:tr w:rsidR="00E57DAA" w14:paraId="4DA3DFCF" w14:textId="77777777">
        <w:trPr>
          <w:cantSplit/>
        </w:trPr>
        <w:tc>
          <w:tcPr>
            <w:tcW w:w="714" w:type="pct"/>
            <w:tcBorders>
              <w:top w:val="single" w:sz="4" w:space="0" w:color="auto"/>
              <w:left w:val="single" w:sz="4" w:space="0" w:color="auto"/>
              <w:bottom w:val="single" w:sz="4" w:space="0" w:color="auto"/>
              <w:right w:val="single" w:sz="4" w:space="0" w:color="auto"/>
            </w:tcBorders>
          </w:tcPr>
          <w:p w14:paraId="5F0908B1" w14:textId="77777777" w:rsidR="00E57DAA" w:rsidRDefault="00AC4185">
            <w:pPr>
              <w:rPr>
                <w:sz w:val="15"/>
                <w:szCs w:val="15"/>
              </w:rPr>
            </w:pPr>
            <w:r>
              <w:rPr>
                <w:rFonts w:hint="eastAsia"/>
                <w:sz w:val="15"/>
                <w:szCs w:val="15"/>
              </w:rPr>
              <w:t>按组合计提坏账准备</w:t>
            </w:r>
          </w:p>
        </w:tc>
        <w:tc>
          <w:tcPr>
            <w:tcW w:w="401" w:type="pct"/>
            <w:tcBorders>
              <w:top w:val="single" w:sz="4" w:space="0" w:color="auto"/>
              <w:left w:val="single" w:sz="4" w:space="0" w:color="auto"/>
              <w:bottom w:val="single" w:sz="4" w:space="0" w:color="auto"/>
              <w:right w:val="single" w:sz="4" w:space="0" w:color="auto"/>
            </w:tcBorders>
            <w:vAlign w:val="center"/>
          </w:tcPr>
          <w:p w14:paraId="789F4AAF" w14:textId="77777777" w:rsidR="00E57DAA" w:rsidRDefault="00AC4185">
            <w:pPr>
              <w:jc w:val="right"/>
              <w:rPr>
                <w:sz w:val="15"/>
                <w:szCs w:val="15"/>
              </w:rPr>
            </w:pPr>
            <w:r>
              <w:rPr>
                <w:sz w:val="15"/>
                <w:szCs w:val="15"/>
              </w:rPr>
              <w:t>1,250,023,357.24</w:t>
            </w:r>
          </w:p>
        </w:tc>
        <w:tc>
          <w:tcPr>
            <w:tcW w:w="268" w:type="pct"/>
            <w:tcBorders>
              <w:top w:val="single" w:sz="4" w:space="0" w:color="auto"/>
              <w:left w:val="single" w:sz="4" w:space="0" w:color="auto"/>
              <w:bottom w:val="single" w:sz="4" w:space="0" w:color="auto"/>
              <w:right w:val="single" w:sz="4" w:space="0" w:color="auto"/>
            </w:tcBorders>
            <w:vAlign w:val="center"/>
          </w:tcPr>
          <w:p w14:paraId="12011A5B" w14:textId="77777777" w:rsidR="00E57DAA" w:rsidRDefault="00AC4185">
            <w:pPr>
              <w:jc w:val="right"/>
              <w:rPr>
                <w:sz w:val="15"/>
                <w:szCs w:val="15"/>
              </w:rPr>
            </w:pPr>
            <w:r>
              <w:rPr>
                <w:sz w:val="15"/>
                <w:szCs w:val="15"/>
              </w:rPr>
              <w:t>100.00</w:t>
            </w:r>
          </w:p>
        </w:tc>
        <w:tc>
          <w:tcPr>
            <w:tcW w:w="563" w:type="pct"/>
            <w:tcBorders>
              <w:top w:val="single" w:sz="4" w:space="0" w:color="auto"/>
              <w:left w:val="single" w:sz="4" w:space="0" w:color="auto"/>
              <w:bottom w:val="single" w:sz="4" w:space="0" w:color="auto"/>
              <w:right w:val="single" w:sz="4" w:space="0" w:color="auto"/>
            </w:tcBorders>
            <w:vAlign w:val="center"/>
          </w:tcPr>
          <w:p w14:paraId="4F5CD56C" w14:textId="77777777" w:rsidR="00E57DAA" w:rsidRDefault="00AC4185">
            <w:pPr>
              <w:jc w:val="right"/>
              <w:rPr>
                <w:sz w:val="15"/>
                <w:szCs w:val="15"/>
              </w:rPr>
            </w:pPr>
            <w:r>
              <w:rPr>
                <w:sz w:val="15"/>
                <w:szCs w:val="15"/>
              </w:rPr>
              <w:t>140,596,334.33</w:t>
            </w:r>
          </w:p>
        </w:tc>
        <w:tc>
          <w:tcPr>
            <w:tcW w:w="230" w:type="pct"/>
            <w:tcBorders>
              <w:top w:val="single" w:sz="4" w:space="0" w:color="auto"/>
              <w:left w:val="single" w:sz="4" w:space="0" w:color="auto"/>
              <w:bottom w:val="single" w:sz="4" w:space="0" w:color="auto"/>
              <w:right w:val="single" w:sz="4" w:space="0" w:color="auto"/>
            </w:tcBorders>
            <w:vAlign w:val="center"/>
          </w:tcPr>
          <w:p w14:paraId="37746B33" w14:textId="77777777" w:rsidR="00E57DAA" w:rsidRDefault="00AC4185">
            <w:pPr>
              <w:jc w:val="right"/>
              <w:rPr>
                <w:sz w:val="15"/>
                <w:szCs w:val="15"/>
              </w:rPr>
            </w:pPr>
            <w:r>
              <w:rPr>
                <w:sz w:val="15"/>
                <w:szCs w:val="15"/>
              </w:rPr>
              <w:t>11.25</w:t>
            </w:r>
          </w:p>
        </w:tc>
        <w:tc>
          <w:tcPr>
            <w:tcW w:w="637" w:type="pct"/>
            <w:tcBorders>
              <w:top w:val="single" w:sz="4" w:space="0" w:color="auto"/>
              <w:left w:val="single" w:sz="4" w:space="0" w:color="auto"/>
              <w:bottom w:val="single" w:sz="4" w:space="0" w:color="auto"/>
              <w:right w:val="single" w:sz="4" w:space="0" w:color="auto"/>
            </w:tcBorders>
            <w:vAlign w:val="center"/>
          </w:tcPr>
          <w:p w14:paraId="08414AA3" w14:textId="77777777" w:rsidR="00E57DAA" w:rsidRDefault="00AC4185">
            <w:pPr>
              <w:jc w:val="right"/>
              <w:rPr>
                <w:sz w:val="15"/>
                <w:szCs w:val="15"/>
              </w:rPr>
            </w:pPr>
            <w:r>
              <w:rPr>
                <w:sz w:val="15"/>
                <w:szCs w:val="15"/>
              </w:rPr>
              <w:t>1,109,427,022.91</w:t>
            </w:r>
          </w:p>
        </w:tc>
        <w:tc>
          <w:tcPr>
            <w:tcW w:w="563" w:type="pct"/>
            <w:tcBorders>
              <w:top w:val="single" w:sz="4" w:space="0" w:color="auto"/>
              <w:left w:val="single" w:sz="4" w:space="0" w:color="auto"/>
              <w:bottom w:val="single" w:sz="4" w:space="0" w:color="auto"/>
              <w:right w:val="single" w:sz="4" w:space="0" w:color="auto"/>
            </w:tcBorders>
            <w:vAlign w:val="center"/>
          </w:tcPr>
          <w:p w14:paraId="4BD91127" w14:textId="77777777" w:rsidR="00E57DAA" w:rsidRDefault="00AC4185">
            <w:pPr>
              <w:jc w:val="right"/>
              <w:rPr>
                <w:sz w:val="15"/>
                <w:szCs w:val="15"/>
              </w:rPr>
            </w:pPr>
            <w:r>
              <w:rPr>
                <w:sz w:val="15"/>
                <w:szCs w:val="15"/>
              </w:rPr>
              <w:t>897,099,012.21</w:t>
            </w:r>
          </w:p>
        </w:tc>
        <w:tc>
          <w:tcPr>
            <w:tcW w:w="267" w:type="pct"/>
            <w:tcBorders>
              <w:top w:val="single" w:sz="4" w:space="0" w:color="auto"/>
              <w:left w:val="single" w:sz="4" w:space="0" w:color="auto"/>
              <w:bottom w:val="single" w:sz="4" w:space="0" w:color="auto"/>
              <w:right w:val="single" w:sz="4" w:space="0" w:color="auto"/>
            </w:tcBorders>
            <w:vAlign w:val="center"/>
          </w:tcPr>
          <w:p w14:paraId="6173D903" w14:textId="77777777" w:rsidR="00E57DAA" w:rsidRDefault="00AC4185">
            <w:pPr>
              <w:jc w:val="right"/>
              <w:rPr>
                <w:sz w:val="15"/>
                <w:szCs w:val="15"/>
              </w:rPr>
            </w:pPr>
            <w:r>
              <w:rPr>
                <w:sz w:val="15"/>
                <w:szCs w:val="15"/>
              </w:rPr>
              <w:t>100.00</w:t>
            </w:r>
          </w:p>
        </w:tc>
        <w:tc>
          <w:tcPr>
            <w:tcW w:w="563" w:type="pct"/>
            <w:tcBorders>
              <w:top w:val="single" w:sz="4" w:space="0" w:color="auto"/>
              <w:left w:val="single" w:sz="4" w:space="0" w:color="auto"/>
              <w:bottom w:val="single" w:sz="4" w:space="0" w:color="auto"/>
              <w:right w:val="single" w:sz="4" w:space="0" w:color="auto"/>
            </w:tcBorders>
            <w:vAlign w:val="center"/>
          </w:tcPr>
          <w:p w14:paraId="34592BBF" w14:textId="77777777" w:rsidR="00E57DAA" w:rsidRDefault="00AC4185">
            <w:pPr>
              <w:jc w:val="right"/>
              <w:rPr>
                <w:sz w:val="15"/>
                <w:szCs w:val="15"/>
              </w:rPr>
            </w:pPr>
            <w:r>
              <w:rPr>
                <w:sz w:val="15"/>
                <w:szCs w:val="15"/>
              </w:rPr>
              <w:t>129,988,564.83</w:t>
            </w:r>
          </w:p>
        </w:tc>
        <w:tc>
          <w:tcPr>
            <w:tcW w:w="230" w:type="pct"/>
            <w:tcBorders>
              <w:top w:val="single" w:sz="4" w:space="0" w:color="auto"/>
              <w:left w:val="single" w:sz="4" w:space="0" w:color="auto"/>
              <w:bottom w:val="single" w:sz="4" w:space="0" w:color="auto"/>
              <w:right w:val="single" w:sz="4" w:space="0" w:color="auto"/>
            </w:tcBorders>
            <w:vAlign w:val="center"/>
          </w:tcPr>
          <w:p w14:paraId="5BF00831" w14:textId="77777777" w:rsidR="00E57DAA" w:rsidRDefault="00AC4185">
            <w:pPr>
              <w:jc w:val="right"/>
              <w:rPr>
                <w:sz w:val="15"/>
                <w:szCs w:val="15"/>
              </w:rPr>
            </w:pPr>
            <w:r>
              <w:rPr>
                <w:sz w:val="15"/>
                <w:szCs w:val="15"/>
              </w:rPr>
              <w:t>14.49</w:t>
            </w:r>
          </w:p>
        </w:tc>
        <w:tc>
          <w:tcPr>
            <w:tcW w:w="561" w:type="pct"/>
            <w:tcBorders>
              <w:top w:val="single" w:sz="4" w:space="0" w:color="auto"/>
              <w:left w:val="single" w:sz="4" w:space="0" w:color="auto"/>
              <w:bottom w:val="single" w:sz="4" w:space="0" w:color="auto"/>
              <w:right w:val="single" w:sz="4" w:space="0" w:color="auto"/>
            </w:tcBorders>
            <w:vAlign w:val="center"/>
          </w:tcPr>
          <w:p w14:paraId="2277166C" w14:textId="77777777" w:rsidR="00E57DAA" w:rsidRDefault="00AC4185">
            <w:pPr>
              <w:jc w:val="right"/>
              <w:rPr>
                <w:sz w:val="15"/>
                <w:szCs w:val="15"/>
              </w:rPr>
            </w:pPr>
            <w:r>
              <w:rPr>
                <w:sz w:val="15"/>
                <w:szCs w:val="15"/>
              </w:rPr>
              <w:t>767,110,447.38</w:t>
            </w:r>
          </w:p>
        </w:tc>
      </w:tr>
      <w:tr w:rsidR="00E57DAA" w14:paraId="52E36315" w14:textId="77777777">
        <w:trPr>
          <w:cantSplit/>
        </w:trPr>
        <w:sdt>
          <w:sdtPr>
            <w:rPr>
              <w:sz w:val="15"/>
              <w:szCs w:val="15"/>
            </w:rPr>
            <w:tag w:val="_PLD_3e90aa50b20c494dafda2d9726e46570"/>
            <w:id w:val="-598804207"/>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22CDF958" w14:textId="77777777" w:rsidR="00E57DAA" w:rsidRDefault="00AC4185">
                <w:pPr>
                  <w:rPr>
                    <w:sz w:val="15"/>
                    <w:szCs w:val="15"/>
                  </w:rPr>
                </w:pPr>
                <w:r>
                  <w:rPr>
                    <w:rFonts w:hint="eastAsia"/>
                    <w:sz w:val="15"/>
                    <w:szCs w:val="15"/>
                  </w:rPr>
                  <w:t>其中：</w:t>
                </w:r>
              </w:p>
            </w:tc>
          </w:sdtContent>
        </w:sdt>
      </w:tr>
      <w:tr w:rsidR="00E57DAA" w14:paraId="12BFDECF" w14:textId="77777777">
        <w:trPr>
          <w:cantSplit/>
        </w:trPr>
        <w:sdt>
          <w:sdtPr>
            <w:rPr>
              <w:sz w:val="15"/>
              <w:szCs w:val="15"/>
            </w:rPr>
            <w:alias w:val="按组合计提坏账准备的应收账款明细-组合名称"/>
            <w:tag w:val="_GBC_bb95ca191c6548418732405aecc5c303"/>
            <w:id w:val="1553654600"/>
          </w:sdtPr>
          <w:sdtEndPr/>
          <w:sdtContent>
            <w:tc>
              <w:tcPr>
                <w:tcW w:w="714" w:type="pct"/>
                <w:tcBorders>
                  <w:top w:val="single" w:sz="4" w:space="0" w:color="auto"/>
                  <w:left w:val="single" w:sz="4" w:space="0" w:color="auto"/>
                  <w:bottom w:val="single" w:sz="4" w:space="0" w:color="auto"/>
                  <w:right w:val="single" w:sz="4" w:space="0" w:color="auto"/>
                </w:tcBorders>
              </w:tcPr>
              <w:p w14:paraId="785D0CB8" w14:textId="77777777" w:rsidR="00E57DAA" w:rsidRDefault="00AC4185">
                <w:pPr>
                  <w:rPr>
                    <w:sz w:val="15"/>
                    <w:szCs w:val="15"/>
                  </w:rPr>
                </w:pPr>
                <w:r>
                  <w:rPr>
                    <w:sz w:val="15"/>
                    <w:szCs w:val="15"/>
                  </w:rPr>
                  <w:t>合并范围内关联方组合</w:t>
                </w:r>
              </w:p>
            </w:tc>
          </w:sdtContent>
        </w:sdt>
        <w:tc>
          <w:tcPr>
            <w:tcW w:w="401" w:type="pct"/>
            <w:tcBorders>
              <w:top w:val="single" w:sz="4" w:space="0" w:color="auto"/>
              <w:left w:val="single" w:sz="4" w:space="0" w:color="auto"/>
              <w:bottom w:val="single" w:sz="4" w:space="0" w:color="auto"/>
              <w:right w:val="single" w:sz="4" w:space="0" w:color="auto"/>
            </w:tcBorders>
          </w:tcPr>
          <w:p w14:paraId="24BDE4DC" w14:textId="77777777" w:rsidR="00E57DAA" w:rsidRDefault="00AC4185">
            <w:pPr>
              <w:jc w:val="right"/>
              <w:rPr>
                <w:sz w:val="15"/>
                <w:szCs w:val="15"/>
              </w:rPr>
            </w:pPr>
            <w:r>
              <w:rPr>
                <w:sz w:val="15"/>
                <w:szCs w:val="15"/>
              </w:rPr>
              <w:t>83,757,081.88</w:t>
            </w:r>
          </w:p>
        </w:tc>
        <w:tc>
          <w:tcPr>
            <w:tcW w:w="268" w:type="pct"/>
            <w:tcBorders>
              <w:top w:val="single" w:sz="4" w:space="0" w:color="auto"/>
              <w:left w:val="single" w:sz="4" w:space="0" w:color="auto"/>
              <w:bottom w:val="single" w:sz="4" w:space="0" w:color="auto"/>
              <w:right w:val="single" w:sz="4" w:space="0" w:color="auto"/>
            </w:tcBorders>
          </w:tcPr>
          <w:p w14:paraId="240182B2" w14:textId="77777777" w:rsidR="00E57DAA" w:rsidRDefault="00AC4185">
            <w:pPr>
              <w:jc w:val="right"/>
              <w:rPr>
                <w:sz w:val="15"/>
                <w:szCs w:val="15"/>
              </w:rPr>
            </w:pPr>
            <w:r>
              <w:rPr>
                <w:sz w:val="15"/>
                <w:szCs w:val="15"/>
              </w:rPr>
              <w:t>6.7</w:t>
            </w:r>
          </w:p>
        </w:tc>
        <w:tc>
          <w:tcPr>
            <w:tcW w:w="563" w:type="pct"/>
            <w:tcBorders>
              <w:top w:val="single" w:sz="4" w:space="0" w:color="auto"/>
              <w:left w:val="single" w:sz="4" w:space="0" w:color="auto"/>
              <w:bottom w:val="single" w:sz="4" w:space="0" w:color="auto"/>
              <w:right w:val="single" w:sz="4" w:space="0" w:color="auto"/>
            </w:tcBorders>
          </w:tcPr>
          <w:p w14:paraId="68FFB809" w14:textId="77777777" w:rsidR="00E57DAA" w:rsidRDefault="00E57DAA">
            <w:pPr>
              <w:jc w:val="right"/>
              <w:rPr>
                <w:sz w:val="15"/>
                <w:szCs w:val="15"/>
              </w:rPr>
            </w:pPr>
          </w:p>
        </w:tc>
        <w:tc>
          <w:tcPr>
            <w:tcW w:w="230" w:type="pct"/>
            <w:tcBorders>
              <w:top w:val="single" w:sz="4" w:space="0" w:color="auto"/>
              <w:left w:val="single" w:sz="4" w:space="0" w:color="auto"/>
              <w:bottom w:val="single" w:sz="4" w:space="0" w:color="auto"/>
              <w:right w:val="single" w:sz="4" w:space="0" w:color="auto"/>
            </w:tcBorders>
          </w:tcPr>
          <w:p w14:paraId="35441526" w14:textId="77777777" w:rsidR="00E57DAA" w:rsidRDefault="00E57DAA">
            <w:pPr>
              <w:jc w:val="right"/>
              <w:rPr>
                <w:sz w:val="15"/>
                <w:szCs w:val="15"/>
              </w:rPr>
            </w:pPr>
          </w:p>
        </w:tc>
        <w:tc>
          <w:tcPr>
            <w:tcW w:w="637" w:type="pct"/>
            <w:tcBorders>
              <w:top w:val="single" w:sz="4" w:space="0" w:color="auto"/>
              <w:left w:val="single" w:sz="4" w:space="0" w:color="auto"/>
              <w:bottom w:val="single" w:sz="4" w:space="0" w:color="auto"/>
              <w:right w:val="single" w:sz="4" w:space="0" w:color="auto"/>
            </w:tcBorders>
          </w:tcPr>
          <w:p w14:paraId="0FEC3184" w14:textId="77777777" w:rsidR="00E57DAA" w:rsidRDefault="00AC4185">
            <w:pPr>
              <w:jc w:val="right"/>
              <w:rPr>
                <w:sz w:val="15"/>
                <w:szCs w:val="15"/>
              </w:rPr>
            </w:pPr>
            <w:r>
              <w:rPr>
                <w:sz w:val="15"/>
                <w:szCs w:val="15"/>
              </w:rPr>
              <w:t>83,757,081.88</w:t>
            </w:r>
          </w:p>
        </w:tc>
        <w:tc>
          <w:tcPr>
            <w:tcW w:w="563" w:type="pct"/>
            <w:tcBorders>
              <w:top w:val="single" w:sz="4" w:space="0" w:color="auto"/>
              <w:left w:val="single" w:sz="4" w:space="0" w:color="auto"/>
              <w:bottom w:val="single" w:sz="4" w:space="0" w:color="auto"/>
              <w:right w:val="single" w:sz="4" w:space="0" w:color="auto"/>
            </w:tcBorders>
            <w:vAlign w:val="center"/>
          </w:tcPr>
          <w:p w14:paraId="73345F34" w14:textId="77777777" w:rsidR="00E57DAA" w:rsidRDefault="00AC4185">
            <w:pPr>
              <w:jc w:val="right"/>
              <w:rPr>
                <w:sz w:val="15"/>
                <w:szCs w:val="15"/>
              </w:rPr>
            </w:pPr>
            <w:r>
              <w:rPr>
                <w:sz w:val="15"/>
                <w:szCs w:val="15"/>
              </w:rPr>
              <w:t>91,160,490.51</w:t>
            </w:r>
          </w:p>
        </w:tc>
        <w:tc>
          <w:tcPr>
            <w:tcW w:w="267" w:type="pct"/>
            <w:tcBorders>
              <w:top w:val="single" w:sz="4" w:space="0" w:color="auto"/>
              <w:left w:val="single" w:sz="4" w:space="0" w:color="auto"/>
              <w:bottom w:val="single" w:sz="4" w:space="0" w:color="auto"/>
              <w:right w:val="single" w:sz="4" w:space="0" w:color="auto"/>
            </w:tcBorders>
            <w:vAlign w:val="center"/>
          </w:tcPr>
          <w:p w14:paraId="3B354E51" w14:textId="77777777" w:rsidR="00E57DAA" w:rsidRDefault="00AC4185">
            <w:pPr>
              <w:jc w:val="right"/>
              <w:rPr>
                <w:sz w:val="15"/>
                <w:szCs w:val="15"/>
              </w:rPr>
            </w:pPr>
            <w:r>
              <w:rPr>
                <w:sz w:val="15"/>
                <w:szCs w:val="15"/>
              </w:rPr>
              <w:t>10.16</w:t>
            </w:r>
          </w:p>
        </w:tc>
        <w:tc>
          <w:tcPr>
            <w:tcW w:w="563" w:type="pct"/>
            <w:tcBorders>
              <w:top w:val="single" w:sz="4" w:space="0" w:color="auto"/>
              <w:left w:val="single" w:sz="4" w:space="0" w:color="auto"/>
              <w:bottom w:val="single" w:sz="4" w:space="0" w:color="auto"/>
              <w:right w:val="single" w:sz="4" w:space="0" w:color="auto"/>
            </w:tcBorders>
            <w:vAlign w:val="center"/>
          </w:tcPr>
          <w:p w14:paraId="070A6028" w14:textId="77777777" w:rsidR="00E57DAA" w:rsidRDefault="00E57DAA">
            <w:pPr>
              <w:jc w:val="right"/>
              <w:rPr>
                <w:sz w:val="15"/>
                <w:szCs w:val="15"/>
              </w:rPr>
            </w:pPr>
          </w:p>
        </w:tc>
        <w:tc>
          <w:tcPr>
            <w:tcW w:w="230" w:type="pct"/>
            <w:tcBorders>
              <w:top w:val="single" w:sz="4" w:space="0" w:color="auto"/>
              <w:left w:val="single" w:sz="4" w:space="0" w:color="auto"/>
              <w:bottom w:val="single" w:sz="4" w:space="0" w:color="auto"/>
              <w:right w:val="single" w:sz="4" w:space="0" w:color="auto"/>
            </w:tcBorders>
            <w:vAlign w:val="center"/>
          </w:tcPr>
          <w:p w14:paraId="34179322" w14:textId="77777777" w:rsidR="00E57DAA" w:rsidRDefault="00E57DAA">
            <w:pPr>
              <w:jc w:val="right"/>
              <w:rPr>
                <w:sz w:val="15"/>
                <w:szCs w:val="15"/>
              </w:rPr>
            </w:pPr>
          </w:p>
        </w:tc>
        <w:tc>
          <w:tcPr>
            <w:tcW w:w="561" w:type="pct"/>
            <w:tcBorders>
              <w:top w:val="single" w:sz="4" w:space="0" w:color="auto"/>
              <w:left w:val="single" w:sz="4" w:space="0" w:color="auto"/>
              <w:bottom w:val="single" w:sz="4" w:space="0" w:color="auto"/>
              <w:right w:val="single" w:sz="4" w:space="0" w:color="auto"/>
            </w:tcBorders>
            <w:vAlign w:val="center"/>
          </w:tcPr>
          <w:p w14:paraId="07744676" w14:textId="77777777" w:rsidR="00E57DAA" w:rsidRDefault="00AC4185">
            <w:pPr>
              <w:jc w:val="right"/>
              <w:rPr>
                <w:sz w:val="15"/>
                <w:szCs w:val="15"/>
              </w:rPr>
            </w:pPr>
            <w:r>
              <w:rPr>
                <w:sz w:val="15"/>
                <w:szCs w:val="15"/>
              </w:rPr>
              <w:t>91,160,490.51</w:t>
            </w:r>
          </w:p>
        </w:tc>
      </w:tr>
      <w:tr w:rsidR="00E57DAA" w14:paraId="171B04B7" w14:textId="77777777">
        <w:trPr>
          <w:cantSplit/>
        </w:trPr>
        <w:sdt>
          <w:sdtPr>
            <w:rPr>
              <w:sz w:val="15"/>
              <w:szCs w:val="15"/>
            </w:rPr>
            <w:alias w:val="按组合计提坏账准备的应收账款明细-组合名称"/>
            <w:tag w:val="_GBC_bb95ca191c6548418732405aecc5c303"/>
            <w:id w:val="-1453779524"/>
          </w:sdtPr>
          <w:sdtEndPr/>
          <w:sdtContent>
            <w:tc>
              <w:tcPr>
                <w:tcW w:w="714" w:type="pct"/>
                <w:tcBorders>
                  <w:top w:val="single" w:sz="4" w:space="0" w:color="auto"/>
                  <w:left w:val="single" w:sz="4" w:space="0" w:color="auto"/>
                  <w:bottom w:val="single" w:sz="4" w:space="0" w:color="auto"/>
                  <w:right w:val="single" w:sz="4" w:space="0" w:color="auto"/>
                </w:tcBorders>
              </w:tcPr>
              <w:p w14:paraId="65D358AE" w14:textId="77777777" w:rsidR="00E57DAA" w:rsidRDefault="00AC4185">
                <w:pPr>
                  <w:rPr>
                    <w:sz w:val="15"/>
                    <w:szCs w:val="15"/>
                  </w:rPr>
                </w:pPr>
                <w:r>
                  <w:rPr>
                    <w:sz w:val="15"/>
                    <w:szCs w:val="15"/>
                  </w:rPr>
                  <w:t>账龄组合</w:t>
                </w:r>
              </w:p>
            </w:tc>
          </w:sdtContent>
        </w:sdt>
        <w:tc>
          <w:tcPr>
            <w:tcW w:w="401" w:type="pct"/>
            <w:tcBorders>
              <w:top w:val="single" w:sz="4" w:space="0" w:color="auto"/>
              <w:left w:val="single" w:sz="4" w:space="0" w:color="auto"/>
              <w:bottom w:val="single" w:sz="4" w:space="0" w:color="auto"/>
              <w:right w:val="single" w:sz="4" w:space="0" w:color="auto"/>
            </w:tcBorders>
          </w:tcPr>
          <w:p w14:paraId="77FDEEDD" w14:textId="77777777" w:rsidR="00E57DAA" w:rsidRDefault="00AC4185">
            <w:pPr>
              <w:jc w:val="right"/>
              <w:rPr>
                <w:sz w:val="15"/>
                <w:szCs w:val="15"/>
              </w:rPr>
            </w:pPr>
            <w:r>
              <w:rPr>
                <w:sz w:val="15"/>
                <w:szCs w:val="15"/>
              </w:rPr>
              <w:t>1,166,266,275.36</w:t>
            </w:r>
          </w:p>
        </w:tc>
        <w:tc>
          <w:tcPr>
            <w:tcW w:w="268" w:type="pct"/>
            <w:tcBorders>
              <w:top w:val="single" w:sz="4" w:space="0" w:color="auto"/>
              <w:left w:val="single" w:sz="4" w:space="0" w:color="auto"/>
              <w:bottom w:val="single" w:sz="4" w:space="0" w:color="auto"/>
              <w:right w:val="single" w:sz="4" w:space="0" w:color="auto"/>
            </w:tcBorders>
          </w:tcPr>
          <w:p w14:paraId="63C18473" w14:textId="77777777" w:rsidR="00E57DAA" w:rsidRDefault="00AC4185">
            <w:pPr>
              <w:jc w:val="right"/>
              <w:rPr>
                <w:sz w:val="15"/>
                <w:szCs w:val="15"/>
              </w:rPr>
            </w:pPr>
            <w:r>
              <w:rPr>
                <w:sz w:val="15"/>
                <w:szCs w:val="15"/>
              </w:rPr>
              <w:t>93.3</w:t>
            </w:r>
          </w:p>
        </w:tc>
        <w:tc>
          <w:tcPr>
            <w:tcW w:w="563" w:type="pct"/>
            <w:tcBorders>
              <w:top w:val="single" w:sz="4" w:space="0" w:color="auto"/>
              <w:left w:val="single" w:sz="4" w:space="0" w:color="auto"/>
              <w:bottom w:val="single" w:sz="4" w:space="0" w:color="auto"/>
              <w:right w:val="single" w:sz="4" w:space="0" w:color="auto"/>
            </w:tcBorders>
          </w:tcPr>
          <w:p w14:paraId="12032CD6" w14:textId="77777777" w:rsidR="00E57DAA" w:rsidRDefault="00AC4185">
            <w:pPr>
              <w:jc w:val="right"/>
              <w:rPr>
                <w:sz w:val="15"/>
                <w:szCs w:val="15"/>
              </w:rPr>
            </w:pPr>
            <w:r>
              <w:rPr>
                <w:sz w:val="15"/>
                <w:szCs w:val="15"/>
              </w:rPr>
              <w:t>140,596,334.33</w:t>
            </w:r>
          </w:p>
        </w:tc>
        <w:tc>
          <w:tcPr>
            <w:tcW w:w="230" w:type="pct"/>
            <w:tcBorders>
              <w:top w:val="single" w:sz="4" w:space="0" w:color="auto"/>
              <w:left w:val="single" w:sz="4" w:space="0" w:color="auto"/>
              <w:bottom w:val="single" w:sz="4" w:space="0" w:color="auto"/>
              <w:right w:val="single" w:sz="4" w:space="0" w:color="auto"/>
            </w:tcBorders>
          </w:tcPr>
          <w:p w14:paraId="1EDBC74A" w14:textId="77777777" w:rsidR="00E57DAA" w:rsidRDefault="00AC4185">
            <w:pPr>
              <w:jc w:val="right"/>
              <w:rPr>
                <w:sz w:val="15"/>
                <w:szCs w:val="15"/>
              </w:rPr>
            </w:pPr>
            <w:r>
              <w:rPr>
                <w:sz w:val="15"/>
                <w:szCs w:val="15"/>
              </w:rPr>
              <w:t>12.06</w:t>
            </w:r>
          </w:p>
        </w:tc>
        <w:tc>
          <w:tcPr>
            <w:tcW w:w="637" w:type="pct"/>
            <w:tcBorders>
              <w:top w:val="single" w:sz="4" w:space="0" w:color="auto"/>
              <w:left w:val="single" w:sz="4" w:space="0" w:color="auto"/>
              <w:bottom w:val="single" w:sz="4" w:space="0" w:color="auto"/>
              <w:right w:val="single" w:sz="4" w:space="0" w:color="auto"/>
            </w:tcBorders>
          </w:tcPr>
          <w:p w14:paraId="7079288A" w14:textId="77777777" w:rsidR="00E57DAA" w:rsidRDefault="00AC4185">
            <w:pPr>
              <w:jc w:val="right"/>
              <w:rPr>
                <w:sz w:val="15"/>
                <w:szCs w:val="15"/>
              </w:rPr>
            </w:pPr>
            <w:r>
              <w:rPr>
                <w:sz w:val="15"/>
                <w:szCs w:val="15"/>
              </w:rPr>
              <w:t>1,025,669,941.03</w:t>
            </w:r>
          </w:p>
        </w:tc>
        <w:tc>
          <w:tcPr>
            <w:tcW w:w="563" w:type="pct"/>
            <w:tcBorders>
              <w:top w:val="single" w:sz="4" w:space="0" w:color="auto"/>
              <w:left w:val="single" w:sz="4" w:space="0" w:color="auto"/>
              <w:bottom w:val="single" w:sz="4" w:space="0" w:color="auto"/>
              <w:right w:val="single" w:sz="4" w:space="0" w:color="auto"/>
            </w:tcBorders>
            <w:vAlign w:val="center"/>
          </w:tcPr>
          <w:p w14:paraId="73151AFC" w14:textId="77777777" w:rsidR="00E57DAA" w:rsidRDefault="00AC4185">
            <w:pPr>
              <w:jc w:val="right"/>
              <w:rPr>
                <w:sz w:val="15"/>
                <w:szCs w:val="15"/>
              </w:rPr>
            </w:pPr>
            <w:r>
              <w:rPr>
                <w:sz w:val="15"/>
                <w:szCs w:val="15"/>
              </w:rPr>
              <w:t>805,938,521.70</w:t>
            </w:r>
          </w:p>
        </w:tc>
        <w:tc>
          <w:tcPr>
            <w:tcW w:w="267" w:type="pct"/>
            <w:tcBorders>
              <w:top w:val="single" w:sz="4" w:space="0" w:color="auto"/>
              <w:left w:val="single" w:sz="4" w:space="0" w:color="auto"/>
              <w:bottom w:val="single" w:sz="4" w:space="0" w:color="auto"/>
              <w:right w:val="single" w:sz="4" w:space="0" w:color="auto"/>
            </w:tcBorders>
            <w:vAlign w:val="center"/>
          </w:tcPr>
          <w:p w14:paraId="0BB92245" w14:textId="77777777" w:rsidR="00E57DAA" w:rsidRDefault="00AC4185">
            <w:pPr>
              <w:jc w:val="right"/>
              <w:rPr>
                <w:sz w:val="15"/>
                <w:szCs w:val="15"/>
              </w:rPr>
            </w:pPr>
            <w:r>
              <w:rPr>
                <w:sz w:val="15"/>
                <w:szCs w:val="15"/>
              </w:rPr>
              <w:t>89.84</w:t>
            </w:r>
          </w:p>
        </w:tc>
        <w:tc>
          <w:tcPr>
            <w:tcW w:w="563" w:type="pct"/>
            <w:tcBorders>
              <w:top w:val="single" w:sz="4" w:space="0" w:color="auto"/>
              <w:left w:val="single" w:sz="4" w:space="0" w:color="auto"/>
              <w:bottom w:val="single" w:sz="4" w:space="0" w:color="auto"/>
              <w:right w:val="single" w:sz="4" w:space="0" w:color="auto"/>
            </w:tcBorders>
            <w:vAlign w:val="center"/>
          </w:tcPr>
          <w:p w14:paraId="58647A1F" w14:textId="77777777" w:rsidR="00E57DAA" w:rsidRDefault="00AC4185">
            <w:pPr>
              <w:jc w:val="right"/>
              <w:rPr>
                <w:sz w:val="15"/>
                <w:szCs w:val="15"/>
              </w:rPr>
            </w:pPr>
            <w:r>
              <w:rPr>
                <w:sz w:val="15"/>
                <w:szCs w:val="15"/>
              </w:rPr>
              <w:t>129,988,564.83</w:t>
            </w:r>
          </w:p>
        </w:tc>
        <w:tc>
          <w:tcPr>
            <w:tcW w:w="230" w:type="pct"/>
            <w:tcBorders>
              <w:top w:val="single" w:sz="4" w:space="0" w:color="auto"/>
              <w:left w:val="single" w:sz="4" w:space="0" w:color="auto"/>
              <w:bottom w:val="single" w:sz="4" w:space="0" w:color="auto"/>
              <w:right w:val="single" w:sz="4" w:space="0" w:color="auto"/>
            </w:tcBorders>
            <w:vAlign w:val="center"/>
          </w:tcPr>
          <w:p w14:paraId="21ADD4ED" w14:textId="77777777" w:rsidR="00E57DAA" w:rsidRDefault="00AC4185">
            <w:pPr>
              <w:jc w:val="right"/>
              <w:rPr>
                <w:sz w:val="15"/>
                <w:szCs w:val="15"/>
              </w:rPr>
            </w:pPr>
            <w:r>
              <w:rPr>
                <w:sz w:val="15"/>
                <w:szCs w:val="15"/>
              </w:rPr>
              <w:t>16.13</w:t>
            </w:r>
          </w:p>
        </w:tc>
        <w:tc>
          <w:tcPr>
            <w:tcW w:w="561" w:type="pct"/>
            <w:tcBorders>
              <w:top w:val="single" w:sz="4" w:space="0" w:color="auto"/>
              <w:left w:val="single" w:sz="4" w:space="0" w:color="auto"/>
              <w:bottom w:val="single" w:sz="4" w:space="0" w:color="auto"/>
              <w:right w:val="single" w:sz="4" w:space="0" w:color="auto"/>
            </w:tcBorders>
            <w:vAlign w:val="center"/>
          </w:tcPr>
          <w:p w14:paraId="24CE3D86" w14:textId="77777777" w:rsidR="00E57DAA" w:rsidRDefault="00AC4185">
            <w:pPr>
              <w:jc w:val="right"/>
              <w:rPr>
                <w:sz w:val="15"/>
                <w:szCs w:val="15"/>
              </w:rPr>
            </w:pPr>
            <w:r>
              <w:rPr>
                <w:sz w:val="15"/>
                <w:szCs w:val="15"/>
              </w:rPr>
              <w:t>675,949,956.87</w:t>
            </w:r>
          </w:p>
        </w:tc>
      </w:tr>
      <w:tr w:rsidR="00E57DAA" w14:paraId="393FDA37" w14:textId="77777777">
        <w:trPr>
          <w:cantSplit/>
        </w:trPr>
        <w:tc>
          <w:tcPr>
            <w:tcW w:w="714" w:type="pct"/>
            <w:tcBorders>
              <w:top w:val="single" w:sz="4" w:space="0" w:color="auto"/>
              <w:left w:val="single" w:sz="4" w:space="0" w:color="auto"/>
              <w:bottom w:val="single" w:sz="4" w:space="0" w:color="auto"/>
              <w:right w:val="single" w:sz="4" w:space="0" w:color="auto"/>
            </w:tcBorders>
            <w:vAlign w:val="center"/>
          </w:tcPr>
          <w:p w14:paraId="02909B74" w14:textId="77777777" w:rsidR="00E57DAA" w:rsidRDefault="00AC4185">
            <w:pPr>
              <w:autoSpaceDE w:val="0"/>
              <w:autoSpaceDN w:val="0"/>
              <w:adjustRightInd w:val="0"/>
              <w:jc w:val="center"/>
              <w:rPr>
                <w:sz w:val="15"/>
                <w:szCs w:val="15"/>
              </w:rPr>
            </w:pPr>
            <w:r>
              <w:rPr>
                <w:rFonts w:hint="eastAsia"/>
                <w:sz w:val="15"/>
                <w:szCs w:val="15"/>
              </w:rPr>
              <w:t>合计</w:t>
            </w:r>
          </w:p>
        </w:tc>
        <w:tc>
          <w:tcPr>
            <w:tcW w:w="401" w:type="pct"/>
            <w:tcBorders>
              <w:top w:val="single" w:sz="4" w:space="0" w:color="auto"/>
              <w:left w:val="single" w:sz="4" w:space="0" w:color="auto"/>
              <w:bottom w:val="single" w:sz="4" w:space="0" w:color="auto"/>
              <w:right w:val="single" w:sz="4" w:space="0" w:color="auto"/>
            </w:tcBorders>
          </w:tcPr>
          <w:p w14:paraId="00A862BF" w14:textId="77777777" w:rsidR="00E57DAA" w:rsidRDefault="00AC4185">
            <w:pPr>
              <w:jc w:val="right"/>
              <w:rPr>
                <w:sz w:val="15"/>
                <w:szCs w:val="15"/>
              </w:rPr>
            </w:pPr>
            <w:r>
              <w:rPr>
                <w:sz w:val="15"/>
                <w:szCs w:val="15"/>
              </w:rPr>
              <w:t>1,250,023,357.24</w:t>
            </w:r>
          </w:p>
        </w:tc>
        <w:tc>
          <w:tcPr>
            <w:tcW w:w="268" w:type="pct"/>
            <w:tcBorders>
              <w:top w:val="single" w:sz="4" w:space="0" w:color="auto"/>
              <w:left w:val="single" w:sz="4" w:space="0" w:color="auto"/>
              <w:bottom w:val="single" w:sz="4" w:space="0" w:color="auto"/>
              <w:right w:val="single" w:sz="4" w:space="0" w:color="auto"/>
            </w:tcBorders>
          </w:tcPr>
          <w:p w14:paraId="56E0F64E" w14:textId="77777777" w:rsidR="00E57DAA" w:rsidRDefault="00AC4185">
            <w:pPr>
              <w:jc w:val="center"/>
              <w:rPr>
                <w:sz w:val="15"/>
                <w:szCs w:val="15"/>
              </w:rPr>
            </w:pPr>
            <w:r>
              <w:rPr>
                <w:rFonts w:hint="eastAsia"/>
                <w:sz w:val="15"/>
                <w:szCs w:val="15"/>
              </w:rPr>
              <w:t>/</w:t>
            </w:r>
          </w:p>
        </w:tc>
        <w:tc>
          <w:tcPr>
            <w:tcW w:w="563" w:type="pct"/>
            <w:tcBorders>
              <w:top w:val="single" w:sz="4" w:space="0" w:color="auto"/>
              <w:left w:val="single" w:sz="4" w:space="0" w:color="auto"/>
              <w:bottom w:val="single" w:sz="4" w:space="0" w:color="auto"/>
              <w:right w:val="single" w:sz="4" w:space="0" w:color="auto"/>
            </w:tcBorders>
          </w:tcPr>
          <w:p w14:paraId="0F55F2AA" w14:textId="77777777" w:rsidR="00E57DAA" w:rsidRDefault="00AC4185">
            <w:pPr>
              <w:jc w:val="right"/>
              <w:rPr>
                <w:sz w:val="15"/>
                <w:szCs w:val="15"/>
              </w:rPr>
            </w:pPr>
            <w:r>
              <w:rPr>
                <w:sz w:val="15"/>
                <w:szCs w:val="15"/>
              </w:rPr>
              <w:t>140,596,334.33</w:t>
            </w:r>
          </w:p>
        </w:tc>
        <w:tc>
          <w:tcPr>
            <w:tcW w:w="230" w:type="pct"/>
            <w:tcBorders>
              <w:top w:val="single" w:sz="4" w:space="0" w:color="auto"/>
              <w:left w:val="single" w:sz="4" w:space="0" w:color="auto"/>
              <w:bottom w:val="single" w:sz="4" w:space="0" w:color="auto"/>
              <w:right w:val="single" w:sz="4" w:space="0" w:color="auto"/>
            </w:tcBorders>
          </w:tcPr>
          <w:p w14:paraId="6F4B0C71" w14:textId="77777777" w:rsidR="00E57DAA" w:rsidRDefault="00AC4185">
            <w:pPr>
              <w:jc w:val="center"/>
              <w:rPr>
                <w:sz w:val="15"/>
                <w:szCs w:val="15"/>
              </w:rPr>
            </w:pPr>
            <w:r>
              <w:rPr>
                <w:rFonts w:hint="eastAsia"/>
                <w:sz w:val="15"/>
                <w:szCs w:val="15"/>
              </w:rPr>
              <w:t>/</w:t>
            </w:r>
          </w:p>
        </w:tc>
        <w:tc>
          <w:tcPr>
            <w:tcW w:w="637" w:type="pct"/>
            <w:tcBorders>
              <w:top w:val="single" w:sz="4" w:space="0" w:color="auto"/>
              <w:left w:val="single" w:sz="4" w:space="0" w:color="auto"/>
              <w:bottom w:val="single" w:sz="4" w:space="0" w:color="auto"/>
              <w:right w:val="single" w:sz="4" w:space="0" w:color="auto"/>
            </w:tcBorders>
          </w:tcPr>
          <w:p w14:paraId="2D293D18" w14:textId="77777777" w:rsidR="00E57DAA" w:rsidRDefault="00AC4185">
            <w:pPr>
              <w:jc w:val="right"/>
              <w:rPr>
                <w:sz w:val="15"/>
                <w:szCs w:val="15"/>
              </w:rPr>
            </w:pPr>
            <w:r>
              <w:rPr>
                <w:sz w:val="15"/>
                <w:szCs w:val="15"/>
              </w:rPr>
              <w:t>1,109,427,022.91</w:t>
            </w:r>
          </w:p>
        </w:tc>
        <w:tc>
          <w:tcPr>
            <w:tcW w:w="563" w:type="pct"/>
            <w:tcBorders>
              <w:top w:val="single" w:sz="4" w:space="0" w:color="auto"/>
              <w:left w:val="single" w:sz="4" w:space="0" w:color="auto"/>
              <w:bottom w:val="single" w:sz="4" w:space="0" w:color="auto"/>
              <w:right w:val="single" w:sz="4" w:space="0" w:color="auto"/>
            </w:tcBorders>
          </w:tcPr>
          <w:p w14:paraId="221986E1" w14:textId="77777777" w:rsidR="00E57DAA" w:rsidRDefault="00AC4185">
            <w:pPr>
              <w:jc w:val="right"/>
              <w:rPr>
                <w:sz w:val="15"/>
                <w:szCs w:val="15"/>
              </w:rPr>
            </w:pPr>
            <w:r>
              <w:rPr>
                <w:sz w:val="15"/>
                <w:szCs w:val="15"/>
              </w:rPr>
              <w:t>897,099,012.21</w:t>
            </w:r>
          </w:p>
        </w:tc>
        <w:tc>
          <w:tcPr>
            <w:tcW w:w="267" w:type="pct"/>
            <w:tcBorders>
              <w:top w:val="single" w:sz="4" w:space="0" w:color="auto"/>
              <w:left w:val="single" w:sz="4" w:space="0" w:color="auto"/>
              <w:bottom w:val="single" w:sz="4" w:space="0" w:color="auto"/>
              <w:right w:val="single" w:sz="4" w:space="0" w:color="auto"/>
            </w:tcBorders>
          </w:tcPr>
          <w:p w14:paraId="48583251" w14:textId="77777777" w:rsidR="00E57DAA" w:rsidRDefault="00AC4185">
            <w:pPr>
              <w:jc w:val="center"/>
              <w:rPr>
                <w:sz w:val="15"/>
                <w:szCs w:val="15"/>
              </w:rPr>
            </w:pPr>
            <w:r>
              <w:rPr>
                <w:rFonts w:hint="eastAsia"/>
                <w:sz w:val="15"/>
                <w:szCs w:val="15"/>
              </w:rPr>
              <w:t>/</w:t>
            </w:r>
          </w:p>
        </w:tc>
        <w:tc>
          <w:tcPr>
            <w:tcW w:w="563" w:type="pct"/>
            <w:tcBorders>
              <w:top w:val="single" w:sz="4" w:space="0" w:color="auto"/>
              <w:left w:val="single" w:sz="4" w:space="0" w:color="auto"/>
              <w:bottom w:val="single" w:sz="4" w:space="0" w:color="auto"/>
              <w:right w:val="single" w:sz="4" w:space="0" w:color="auto"/>
            </w:tcBorders>
          </w:tcPr>
          <w:p w14:paraId="7A8F1953" w14:textId="77777777" w:rsidR="00E57DAA" w:rsidRDefault="00AC4185">
            <w:pPr>
              <w:jc w:val="right"/>
              <w:rPr>
                <w:sz w:val="15"/>
                <w:szCs w:val="15"/>
              </w:rPr>
            </w:pPr>
            <w:r>
              <w:rPr>
                <w:sz w:val="15"/>
                <w:szCs w:val="15"/>
              </w:rPr>
              <w:t>129,988,564.83</w:t>
            </w:r>
          </w:p>
        </w:tc>
        <w:tc>
          <w:tcPr>
            <w:tcW w:w="230" w:type="pct"/>
            <w:tcBorders>
              <w:top w:val="single" w:sz="4" w:space="0" w:color="auto"/>
              <w:left w:val="single" w:sz="4" w:space="0" w:color="auto"/>
              <w:bottom w:val="single" w:sz="4" w:space="0" w:color="auto"/>
              <w:right w:val="single" w:sz="4" w:space="0" w:color="auto"/>
            </w:tcBorders>
          </w:tcPr>
          <w:p w14:paraId="5ECB856E" w14:textId="77777777" w:rsidR="00E57DAA" w:rsidRDefault="00AC4185">
            <w:pPr>
              <w:jc w:val="center"/>
              <w:rPr>
                <w:sz w:val="15"/>
                <w:szCs w:val="15"/>
              </w:rPr>
            </w:pPr>
            <w:r>
              <w:rPr>
                <w:rFonts w:hint="eastAsia"/>
                <w:sz w:val="15"/>
                <w:szCs w:val="15"/>
              </w:rPr>
              <w:t>/</w:t>
            </w:r>
          </w:p>
        </w:tc>
        <w:tc>
          <w:tcPr>
            <w:tcW w:w="561" w:type="pct"/>
            <w:tcBorders>
              <w:top w:val="single" w:sz="4" w:space="0" w:color="auto"/>
              <w:left w:val="single" w:sz="4" w:space="0" w:color="auto"/>
              <w:bottom w:val="single" w:sz="4" w:space="0" w:color="auto"/>
              <w:right w:val="single" w:sz="4" w:space="0" w:color="auto"/>
            </w:tcBorders>
          </w:tcPr>
          <w:p w14:paraId="40CAA59A" w14:textId="77777777" w:rsidR="00E57DAA" w:rsidRDefault="00AC4185">
            <w:pPr>
              <w:jc w:val="right"/>
              <w:rPr>
                <w:sz w:val="15"/>
                <w:szCs w:val="15"/>
              </w:rPr>
            </w:pPr>
            <w:r>
              <w:rPr>
                <w:sz w:val="15"/>
                <w:szCs w:val="15"/>
              </w:rPr>
              <w:t>767,110,447.38</w:t>
            </w:r>
          </w:p>
        </w:tc>
      </w:tr>
    </w:tbl>
    <w:p w14:paraId="61A33E94" w14:textId="77777777" w:rsidR="00E57DAA" w:rsidRDefault="00E57DAA" w:rsidP="00C25422">
      <w:pPr>
        <w:pStyle w:val="92"/>
      </w:pPr>
    </w:p>
    <w:p w14:paraId="4EA4A25C" w14:textId="77777777" w:rsidR="00E57DAA" w:rsidRDefault="00E57DAA">
      <w:pPr>
        <w:sectPr w:rsidR="00E57DAA" w:rsidSect="00226547">
          <w:pgSz w:w="16838" w:h="11906" w:orient="landscape"/>
          <w:pgMar w:top="1797" w:right="1525" w:bottom="1276" w:left="1440" w:header="856" w:footer="992" w:gutter="0"/>
          <w:cols w:space="425"/>
          <w:docGrid w:linePitch="312"/>
        </w:sectPr>
      </w:pPr>
    </w:p>
    <w:p w14:paraId="1CF58129" w14:textId="77777777" w:rsidR="00E57DAA" w:rsidRDefault="00E57DAA" w:rsidP="00C25422">
      <w:pPr>
        <w:pStyle w:val="92"/>
      </w:pPr>
    </w:p>
    <w:p w14:paraId="1168BE4A" w14:textId="77777777" w:rsidR="00E57DAA" w:rsidRDefault="00AC4185">
      <w:pPr>
        <w:rPr>
          <w:szCs w:val="21"/>
        </w:rPr>
      </w:pPr>
      <w:r>
        <w:rPr>
          <w:rFonts w:hint="eastAsia"/>
          <w:szCs w:val="21"/>
        </w:rPr>
        <w:t>按单项计提坏账准备：</w:t>
      </w:r>
    </w:p>
    <w:bookmarkEnd w:id="320" w:displacedByCustomXml="next"/>
    <w:sdt>
      <w:sdtPr>
        <w:alias w:val="是否适用：母公司应收账款按单项计提坏账准备[双击切换]"/>
        <w:tag w:val="_GBC_1cd34dae0bf14ebba3d99534844e7d95"/>
        <w:id w:val="318160412"/>
        <w:placeholder>
          <w:docPart w:val="GBC22222222222222222222222222222"/>
        </w:placeholder>
      </w:sdtPr>
      <w:sdtEndPr/>
      <w:sdtContent>
        <w:p w14:paraId="7A58DFCA"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8E5074" w14:textId="77777777" w:rsidR="00E57DAA" w:rsidRDefault="00E57DAA">
      <w:pPr>
        <w:rPr>
          <w:szCs w:val="21"/>
        </w:rPr>
      </w:pPr>
      <w:bookmarkStart w:id="321" w:name="_Hlk533796752"/>
    </w:p>
    <w:bookmarkEnd w:id="321" w:displacedByCustomXml="next"/>
    <w:sdt>
      <w:sdtPr>
        <w:rPr>
          <w:rFonts w:hint="eastAsia"/>
          <w:szCs w:val="21"/>
        </w:rPr>
        <w:tag w:val="_PLD_23aec57fe4b34ac2aa7d42cb52467101"/>
        <w:id w:val="-1388332906"/>
        <w:placeholder>
          <w:docPart w:val="GBC22222222222222222222222222222"/>
        </w:placeholder>
      </w:sdtPr>
      <w:sdtEndPr/>
      <w:sdtContent>
        <w:p w14:paraId="74B14695" w14:textId="77777777" w:rsidR="00E57DAA" w:rsidRDefault="00AC4185">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935823156"/>
        <w:lock w:val="contentLocked"/>
        <w:placeholder>
          <w:docPart w:val="GBC22222222222222222222222222222"/>
        </w:placeholder>
      </w:sdtPr>
      <w:sdtEndPr/>
      <w:sdtContent>
        <w:p w14:paraId="4FEDB72B"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98BBF8" w14:textId="77777777" w:rsidR="00E57DAA" w:rsidRDefault="00AC4185">
      <w:pPr>
        <w:rPr>
          <w:szCs w:val="21"/>
        </w:rPr>
      </w:pPr>
      <w:r>
        <w:rPr>
          <w:rFonts w:hint="eastAsia"/>
          <w:szCs w:val="21"/>
        </w:rPr>
        <w:t>组合计提项目：</w:t>
      </w:r>
      <w:bookmarkStart w:id="322" w:name="_Hlk533796778"/>
      <w:sdt>
        <w:sdtPr>
          <w:rPr>
            <w:rFonts w:hint="eastAsia"/>
            <w:szCs w:val="21"/>
          </w:rPr>
          <w:alias w:val="按组合计提坏账准备的应收账款明细-组合名称"/>
          <w:tag w:val="_GBC_f2cd2e7d8a6f493ebfd1838be7b87223"/>
          <w:id w:val="-2025307237"/>
          <w:placeholder>
            <w:docPart w:val="GBC22222222222222222222222222222"/>
          </w:placeholder>
          <w:comboBox>
            <w:listItem w:displayText="合并范围内关联方组合" w:value="合并范围内关联方组合"/>
            <w:listItem w:displayText="账龄组合" w:value="账龄组合"/>
          </w:comboBox>
        </w:sdtPr>
        <w:sdtEndPr/>
        <w:sdtContent>
          <w:r>
            <w:rPr>
              <w:rFonts w:hint="eastAsia"/>
              <w:szCs w:val="21"/>
            </w:rPr>
            <w:t>合并范围内关联方组合</w:t>
          </w:r>
        </w:sdtContent>
      </w:sdt>
    </w:p>
    <w:p w14:paraId="177000A6" w14:textId="77777777" w:rsidR="00E57DAA" w:rsidRDefault="00AC4185">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2830516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5132893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6"/>
        <w:gridCol w:w="1934"/>
        <w:gridCol w:w="1383"/>
        <w:gridCol w:w="1530"/>
      </w:tblGrid>
      <w:tr w:rsidR="00E57DAA" w14:paraId="683EDB27" w14:textId="77777777">
        <w:sdt>
          <w:sdtPr>
            <w:tag w:val="_PLD_685d7e84e47740668b70cce04f42de5b"/>
            <w:id w:val="559674764"/>
          </w:sdtPr>
          <w:sdtEndPr/>
          <w:sdtContent>
            <w:tc>
              <w:tcPr>
                <w:tcW w:w="2253" w:type="pct"/>
                <w:vMerge w:val="restart"/>
                <w:vAlign w:val="center"/>
              </w:tcPr>
              <w:p w14:paraId="3ED594FB" w14:textId="77777777" w:rsidR="00E57DAA" w:rsidRDefault="00AC4185">
                <w:pPr>
                  <w:jc w:val="center"/>
                  <w:rPr>
                    <w:szCs w:val="21"/>
                  </w:rPr>
                </w:pPr>
                <w:r>
                  <w:rPr>
                    <w:rFonts w:hint="eastAsia"/>
                    <w:szCs w:val="21"/>
                  </w:rPr>
                  <w:t>名称</w:t>
                </w:r>
              </w:p>
            </w:tc>
          </w:sdtContent>
        </w:sdt>
        <w:sdt>
          <w:sdtPr>
            <w:tag w:val="_PLD_80bd7906b1fa41658076794e93d74585"/>
            <w:id w:val="2041855101"/>
          </w:sdtPr>
          <w:sdtEndPr/>
          <w:sdtContent>
            <w:tc>
              <w:tcPr>
                <w:tcW w:w="2747" w:type="pct"/>
                <w:gridSpan w:val="3"/>
                <w:vAlign w:val="center"/>
              </w:tcPr>
              <w:p w14:paraId="22C12F43" w14:textId="77777777" w:rsidR="00E57DAA" w:rsidRDefault="00AC4185">
                <w:pPr>
                  <w:jc w:val="center"/>
                  <w:rPr>
                    <w:szCs w:val="21"/>
                  </w:rPr>
                </w:pPr>
                <w:r>
                  <w:rPr>
                    <w:rFonts w:hint="eastAsia"/>
                    <w:szCs w:val="21"/>
                  </w:rPr>
                  <w:t>期末余额</w:t>
                </w:r>
              </w:p>
            </w:tc>
          </w:sdtContent>
        </w:sdt>
      </w:tr>
      <w:tr w:rsidR="00E57DAA" w14:paraId="070AD396" w14:textId="77777777">
        <w:tc>
          <w:tcPr>
            <w:tcW w:w="2253" w:type="pct"/>
            <w:vMerge/>
          </w:tcPr>
          <w:p w14:paraId="4E6A61C0" w14:textId="77777777" w:rsidR="00E57DAA" w:rsidRDefault="00E57DAA">
            <w:pPr>
              <w:jc w:val="center"/>
              <w:rPr>
                <w:szCs w:val="21"/>
              </w:rPr>
            </w:pPr>
          </w:p>
        </w:tc>
        <w:sdt>
          <w:sdtPr>
            <w:tag w:val="_PLD_696cb3bb4809472f88c41396728262f5"/>
            <w:id w:val="-621694894"/>
          </w:sdtPr>
          <w:sdtEndPr/>
          <w:sdtContent>
            <w:tc>
              <w:tcPr>
                <w:tcW w:w="1096" w:type="pct"/>
                <w:vAlign w:val="center"/>
              </w:tcPr>
              <w:p w14:paraId="6234E2E2" w14:textId="77777777" w:rsidR="00E57DAA" w:rsidRDefault="00AC4185">
                <w:pPr>
                  <w:jc w:val="center"/>
                  <w:rPr>
                    <w:szCs w:val="21"/>
                  </w:rPr>
                </w:pPr>
                <w:r>
                  <w:rPr>
                    <w:rFonts w:hint="eastAsia"/>
                    <w:szCs w:val="21"/>
                  </w:rPr>
                  <w:t>应收账款</w:t>
                </w:r>
              </w:p>
            </w:tc>
          </w:sdtContent>
        </w:sdt>
        <w:sdt>
          <w:sdtPr>
            <w:tag w:val="_PLD_70e2c6a60e9b4f08bbbb1a23cd403ade"/>
            <w:id w:val="-1833832162"/>
          </w:sdtPr>
          <w:sdtEndPr/>
          <w:sdtContent>
            <w:tc>
              <w:tcPr>
                <w:tcW w:w="784" w:type="pct"/>
                <w:vAlign w:val="center"/>
              </w:tcPr>
              <w:p w14:paraId="21F0D3AB" w14:textId="77777777" w:rsidR="00E57DAA" w:rsidRDefault="00AC4185">
                <w:pPr>
                  <w:jc w:val="center"/>
                  <w:rPr>
                    <w:szCs w:val="21"/>
                  </w:rPr>
                </w:pPr>
                <w:r>
                  <w:rPr>
                    <w:rFonts w:hint="eastAsia"/>
                    <w:szCs w:val="21"/>
                  </w:rPr>
                  <w:t>坏账准备</w:t>
                </w:r>
              </w:p>
            </w:tc>
          </w:sdtContent>
        </w:sdt>
        <w:sdt>
          <w:sdtPr>
            <w:tag w:val="_PLD_1fd76d95bed54fc5b0c669cf7b1d5e18"/>
            <w:id w:val="-1957476233"/>
          </w:sdtPr>
          <w:sdtEndPr/>
          <w:sdtContent>
            <w:tc>
              <w:tcPr>
                <w:tcW w:w="867" w:type="pct"/>
                <w:vAlign w:val="center"/>
              </w:tcPr>
              <w:p w14:paraId="2EF4F940" w14:textId="77777777" w:rsidR="00E57DAA" w:rsidRDefault="00AC4185">
                <w:pPr>
                  <w:jc w:val="center"/>
                  <w:rPr>
                    <w:szCs w:val="21"/>
                  </w:rPr>
                </w:pPr>
                <w:r>
                  <w:rPr>
                    <w:szCs w:val="21"/>
                  </w:rPr>
                  <w:t>计提比例</w:t>
                </w:r>
                <w:r>
                  <w:rPr>
                    <w:rFonts w:hint="eastAsia"/>
                    <w:szCs w:val="21"/>
                  </w:rPr>
                  <w:t>（%）</w:t>
                </w:r>
              </w:p>
            </w:tc>
          </w:sdtContent>
        </w:sdt>
      </w:tr>
      <w:tr w:rsidR="00E57DAA" w14:paraId="43634E68" w14:textId="77777777">
        <w:tc>
          <w:tcPr>
            <w:tcW w:w="2253" w:type="pct"/>
          </w:tcPr>
          <w:p w14:paraId="4563D1F9" w14:textId="77777777" w:rsidR="00E57DAA" w:rsidRDefault="00AC4185">
            <w:pPr>
              <w:rPr>
                <w:szCs w:val="21"/>
              </w:rPr>
            </w:pPr>
            <w:r>
              <w:t>邯郸中材建设有限责任公司</w:t>
            </w:r>
          </w:p>
        </w:tc>
        <w:tc>
          <w:tcPr>
            <w:tcW w:w="1096" w:type="pct"/>
          </w:tcPr>
          <w:p w14:paraId="217B04F1" w14:textId="77777777" w:rsidR="00E57DAA" w:rsidRDefault="00AC4185">
            <w:pPr>
              <w:jc w:val="right"/>
              <w:rPr>
                <w:szCs w:val="21"/>
              </w:rPr>
            </w:pPr>
            <w:r>
              <w:t>56,561,613.82</w:t>
            </w:r>
          </w:p>
        </w:tc>
        <w:tc>
          <w:tcPr>
            <w:tcW w:w="784" w:type="pct"/>
          </w:tcPr>
          <w:p w14:paraId="07794FF8" w14:textId="77777777" w:rsidR="00E57DAA" w:rsidRDefault="00AC4185">
            <w:pPr>
              <w:jc w:val="right"/>
              <w:rPr>
                <w:szCs w:val="21"/>
              </w:rPr>
            </w:pPr>
            <w:r>
              <w:t> </w:t>
            </w:r>
          </w:p>
        </w:tc>
        <w:tc>
          <w:tcPr>
            <w:tcW w:w="867" w:type="pct"/>
          </w:tcPr>
          <w:p w14:paraId="53FD9C55" w14:textId="77777777" w:rsidR="00E57DAA" w:rsidRDefault="00AC4185">
            <w:pPr>
              <w:jc w:val="right"/>
              <w:rPr>
                <w:szCs w:val="21"/>
              </w:rPr>
            </w:pPr>
            <w:r>
              <w:t> </w:t>
            </w:r>
          </w:p>
        </w:tc>
      </w:tr>
      <w:tr w:rsidR="00E57DAA" w14:paraId="54A09EC1" w14:textId="77777777">
        <w:tc>
          <w:tcPr>
            <w:tcW w:w="2253" w:type="pct"/>
          </w:tcPr>
          <w:p w14:paraId="53C3CA57" w14:textId="77777777" w:rsidR="00E57DAA" w:rsidRDefault="00AC4185">
            <w:pPr>
              <w:rPr>
                <w:szCs w:val="21"/>
              </w:rPr>
            </w:pPr>
            <w:r>
              <w:t>苏州中材建设有限公司</w:t>
            </w:r>
          </w:p>
        </w:tc>
        <w:tc>
          <w:tcPr>
            <w:tcW w:w="1096" w:type="pct"/>
          </w:tcPr>
          <w:p w14:paraId="19364E4A" w14:textId="77777777" w:rsidR="00E57DAA" w:rsidRDefault="00AC4185">
            <w:pPr>
              <w:jc w:val="right"/>
              <w:rPr>
                <w:szCs w:val="21"/>
              </w:rPr>
            </w:pPr>
            <w:r>
              <w:t>17,397,208.40</w:t>
            </w:r>
          </w:p>
        </w:tc>
        <w:tc>
          <w:tcPr>
            <w:tcW w:w="784" w:type="pct"/>
          </w:tcPr>
          <w:p w14:paraId="536628D3" w14:textId="77777777" w:rsidR="00E57DAA" w:rsidRDefault="00AC4185">
            <w:pPr>
              <w:jc w:val="right"/>
              <w:rPr>
                <w:szCs w:val="21"/>
              </w:rPr>
            </w:pPr>
            <w:r>
              <w:t> </w:t>
            </w:r>
          </w:p>
        </w:tc>
        <w:tc>
          <w:tcPr>
            <w:tcW w:w="867" w:type="pct"/>
          </w:tcPr>
          <w:p w14:paraId="11390C7C" w14:textId="77777777" w:rsidR="00E57DAA" w:rsidRDefault="00AC4185">
            <w:pPr>
              <w:jc w:val="right"/>
              <w:rPr>
                <w:szCs w:val="21"/>
              </w:rPr>
            </w:pPr>
            <w:r>
              <w:t> </w:t>
            </w:r>
          </w:p>
        </w:tc>
      </w:tr>
      <w:tr w:rsidR="00E57DAA" w14:paraId="41388D43" w14:textId="77777777">
        <w:tc>
          <w:tcPr>
            <w:tcW w:w="2253" w:type="pct"/>
          </w:tcPr>
          <w:p w14:paraId="30F72450" w14:textId="77777777" w:rsidR="00E57DAA" w:rsidRDefault="00AC4185">
            <w:pPr>
              <w:rPr>
                <w:szCs w:val="21"/>
              </w:rPr>
            </w:pPr>
            <w:r>
              <w:t>中材宁锐尼日利亚子公司</w:t>
            </w:r>
          </w:p>
        </w:tc>
        <w:tc>
          <w:tcPr>
            <w:tcW w:w="1096" w:type="pct"/>
          </w:tcPr>
          <w:p w14:paraId="1438CE82" w14:textId="77777777" w:rsidR="00E57DAA" w:rsidRDefault="00AC4185">
            <w:pPr>
              <w:jc w:val="right"/>
              <w:rPr>
                <w:szCs w:val="21"/>
              </w:rPr>
            </w:pPr>
            <w:r>
              <w:t>7,642,360.37</w:t>
            </w:r>
          </w:p>
        </w:tc>
        <w:tc>
          <w:tcPr>
            <w:tcW w:w="784" w:type="pct"/>
          </w:tcPr>
          <w:p w14:paraId="6257029A" w14:textId="77777777" w:rsidR="00E57DAA" w:rsidRDefault="00AC4185">
            <w:pPr>
              <w:jc w:val="right"/>
              <w:rPr>
                <w:szCs w:val="21"/>
              </w:rPr>
            </w:pPr>
            <w:r>
              <w:t> </w:t>
            </w:r>
          </w:p>
        </w:tc>
        <w:tc>
          <w:tcPr>
            <w:tcW w:w="867" w:type="pct"/>
          </w:tcPr>
          <w:p w14:paraId="3F0BC2AF" w14:textId="77777777" w:rsidR="00E57DAA" w:rsidRDefault="00AC4185">
            <w:pPr>
              <w:jc w:val="right"/>
              <w:rPr>
                <w:szCs w:val="21"/>
              </w:rPr>
            </w:pPr>
            <w:r>
              <w:t> </w:t>
            </w:r>
          </w:p>
        </w:tc>
      </w:tr>
      <w:tr w:rsidR="00E57DAA" w14:paraId="3DD04954" w14:textId="77777777">
        <w:tc>
          <w:tcPr>
            <w:tcW w:w="2253" w:type="pct"/>
          </w:tcPr>
          <w:p w14:paraId="31902D71" w14:textId="77777777" w:rsidR="00E57DAA" w:rsidRDefault="00AC4185">
            <w:pPr>
              <w:rPr>
                <w:szCs w:val="21"/>
              </w:rPr>
            </w:pPr>
            <w:r>
              <w:t>中国中材海外科技发展有限公司</w:t>
            </w:r>
          </w:p>
        </w:tc>
        <w:tc>
          <w:tcPr>
            <w:tcW w:w="1096" w:type="pct"/>
          </w:tcPr>
          <w:p w14:paraId="032C0353" w14:textId="77777777" w:rsidR="00E57DAA" w:rsidRDefault="00AC4185">
            <w:pPr>
              <w:jc w:val="right"/>
              <w:rPr>
                <w:szCs w:val="21"/>
              </w:rPr>
            </w:pPr>
            <w:r>
              <w:t>1,818,415.29</w:t>
            </w:r>
          </w:p>
        </w:tc>
        <w:tc>
          <w:tcPr>
            <w:tcW w:w="784" w:type="pct"/>
          </w:tcPr>
          <w:p w14:paraId="4A882E44" w14:textId="77777777" w:rsidR="00E57DAA" w:rsidRDefault="00AC4185">
            <w:pPr>
              <w:jc w:val="right"/>
              <w:rPr>
                <w:szCs w:val="21"/>
              </w:rPr>
            </w:pPr>
            <w:r>
              <w:t> </w:t>
            </w:r>
          </w:p>
        </w:tc>
        <w:tc>
          <w:tcPr>
            <w:tcW w:w="867" w:type="pct"/>
          </w:tcPr>
          <w:p w14:paraId="6563B980" w14:textId="77777777" w:rsidR="00E57DAA" w:rsidRDefault="00AC4185">
            <w:pPr>
              <w:jc w:val="right"/>
              <w:rPr>
                <w:szCs w:val="21"/>
              </w:rPr>
            </w:pPr>
            <w:r>
              <w:t> </w:t>
            </w:r>
          </w:p>
        </w:tc>
      </w:tr>
      <w:tr w:rsidR="00E57DAA" w14:paraId="7A85BD69" w14:textId="77777777">
        <w:tc>
          <w:tcPr>
            <w:tcW w:w="2253" w:type="pct"/>
          </w:tcPr>
          <w:p w14:paraId="7A99EF95" w14:textId="77777777" w:rsidR="00E57DAA" w:rsidRDefault="00AC4185">
            <w:pPr>
              <w:rPr>
                <w:szCs w:val="21"/>
              </w:rPr>
            </w:pPr>
            <w:r>
              <w:t>中建材凯慧国际工程有限公司</w:t>
            </w:r>
          </w:p>
        </w:tc>
        <w:tc>
          <w:tcPr>
            <w:tcW w:w="1096" w:type="pct"/>
          </w:tcPr>
          <w:p w14:paraId="7E891FAF" w14:textId="77777777" w:rsidR="00E57DAA" w:rsidRDefault="00AC4185">
            <w:pPr>
              <w:jc w:val="right"/>
              <w:rPr>
                <w:szCs w:val="21"/>
              </w:rPr>
            </w:pPr>
            <w:r>
              <w:t>230,544.00</w:t>
            </w:r>
          </w:p>
        </w:tc>
        <w:tc>
          <w:tcPr>
            <w:tcW w:w="784" w:type="pct"/>
          </w:tcPr>
          <w:p w14:paraId="6D9186D1" w14:textId="77777777" w:rsidR="00E57DAA" w:rsidRDefault="00AC4185">
            <w:pPr>
              <w:jc w:val="right"/>
              <w:rPr>
                <w:szCs w:val="21"/>
              </w:rPr>
            </w:pPr>
            <w:r>
              <w:t> </w:t>
            </w:r>
          </w:p>
        </w:tc>
        <w:tc>
          <w:tcPr>
            <w:tcW w:w="867" w:type="pct"/>
          </w:tcPr>
          <w:p w14:paraId="02EDDEB7" w14:textId="77777777" w:rsidR="00E57DAA" w:rsidRDefault="00AC4185">
            <w:pPr>
              <w:jc w:val="right"/>
              <w:rPr>
                <w:szCs w:val="21"/>
              </w:rPr>
            </w:pPr>
            <w:r>
              <w:t> </w:t>
            </w:r>
          </w:p>
        </w:tc>
      </w:tr>
      <w:tr w:rsidR="00E57DAA" w14:paraId="72A741FA" w14:textId="77777777">
        <w:tc>
          <w:tcPr>
            <w:tcW w:w="2253" w:type="pct"/>
          </w:tcPr>
          <w:p w14:paraId="77C0686B" w14:textId="77777777" w:rsidR="00E57DAA" w:rsidRDefault="00AC4185">
            <w:pPr>
              <w:rPr>
                <w:szCs w:val="21"/>
              </w:rPr>
            </w:pPr>
            <w:r>
              <w:t>中材建设有限公司</w:t>
            </w:r>
          </w:p>
        </w:tc>
        <w:tc>
          <w:tcPr>
            <w:tcW w:w="1096" w:type="pct"/>
          </w:tcPr>
          <w:p w14:paraId="2B72CAC8" w14:textId="77777777" w:rsidR="00E57DAA" w:rsidRDefault="00AC4185">
            <w:pPr>
              <w:jc w:val="right"/>
              <w:rPr>
                <w:szCs w:val="21"/>
              </w:rPr>
            </w:pPr>
            <w:r>
              <w:t>84,290.00</w:t>
            </w:r>
          </w:p>
        </w:tc>
        <w:tc>
          <w:tcPr>
            <w:tcW w:w="784" w:type="pct"/>
          </w:tcPr>
          <w:p w14:paraId="6DDA2283" w14:textId="77777777" w:rsidR="00E57DAA" w:rsidRDefault="00AC4185">
            <w:pPr>
              <w:jc w:val="right"/>
              <w:rPr>
                <w:szCs w:val="21"/>
              </w:rPr>
            </w:pPr>
            <w:r>
              <w:t> </w:t>
            </w:r>
          </w:p>
        </w:tc>
        <w:tc>
          <w:tcPr>
            <w:tcW w:w="867" w:type="pct"/>
          </w:tcPr>
          <w:p w14:paraId="646ADCD8" w14:textId="77777777" w:rsidR="00E57DAA" w:rsidRDefault="00AC4185">
            <w:pPr>
              <w:jc w:val="right"/>
              <w:rPr>
                <w:szCs w:val="21"/>
              </w:rPr>
            </w:pPr>
            <w:r>
              <w:t> </w:t>
            </w:r>
          </w:p>
        </w:tc>
      </w:tr>
      <w:tr w:rsidR="00E57DAA" w14:paraId="0242753E" w14:textId="77777777">
        <w:tc>
          <w:tcPr>
            <w:tcW w:w="2253" w:type="pct"/>
          </w:tcPr>
          <w:p w14:paraId="159B0929" w14:textId="77777777" w:rsidR="00E57DAA" w:rsidRDefault="00AC4185">
            <w:pPr>
              <w:rPr>
                <w:szCs w:val="21"/>
              </w:rPr>
            </w:pPr>
            <w:r>
              <w:t>中材国际环境工程（北京）有限公司</w:t>
            </w:r>
          </w:p>
        </w:tc>
        <w:tc>
          <w:tcPr>
            <w:tcW w:w="1096" w:type="pct"/>
          </w:tcPr>
          <w:p w14:paraId="77BB2EC0" w14:textId="77777777" w:rsidR="00E57DAA" w:rsidRDefault="00AC4185">
            <w:pPr>
              <w:jc w:val="right"/>
              <w:rPr>
                <w:szCs w:val="21"/>
              </w:rPr>
            </w:pPr>
            <w:r>
              <w:t>22,650.00</w:t>
            </w:r>
          </w:p>
        </w:tc>
        <w:tc>
          <w:tcPr>
            <w:tcW w:w="784" w:type="pct"/>
          </w:tcPr>
          <w:p w14:paraId="62FD792E" w14:textId="77777777" w:rsidR="00E57DAA" w:rsidRDefault="00AC4185">
            <w:pPr>
              <w:jc w:val="right"/>
              <w:rPr>
                <w:szCs w:val="21"/>
              </w:rPr>
            </w:pPr>
            <w:r>
              <w:t> </w:t>
            </w:r>
          </w:p>
        </w:tc>
        <w:tc>
          <w:tcPr>
            <w:tcW w:w="867" w:type="pct"/>
          </w:tcPr>
          <w:p w14:paraId="311EB640" w14:textId="77777777" w:rsidR="00E57DAA" w:rsidRDefault="00AC4185">
            <w:pPr>
              <w:jc w:val="right"/>
              <w:rPr>
                <w:szCs w:val="21"/>
              </w:rPr>
            </w:pPr>
            <w:r>
              <w:t> </w:t>
            </w:r>
          </w:p>
        </w:tc>
      </w:tr>
      <w:tr w:rsidR="00E57DAA" w14:paraId="1B522316" w14:textId="77777777">
        <w:tc>
          <w:tcPr>
            <w:tcW w:w="2253" w:type="pct"/>
            <w:vAlign w:val="center"/>
          </w:tcPr>
          <w:p w14:paraId="4A9883A5" w14:textId="77777777" w:rsidR="00E57DAA" w:rsidRDefault="00AC4185">
            <w:pPr>
              <w:jc w:val="center"/>
              <w:rPr>
                <w:szCs w:val="21"/>
              </w:rPr>
            </w:pPr>
            <w:r>
              <w:rPr>
                <w:rFonts w:hint="eastAsia"/>
                <w:szCs w:val="21"/>
              </w:rPr>
              <w:t>合计</w:t>
            </w:r>
          </w:p>
        </w:tc>
        <w:tc>
          <w:tcPr>
            <w:tcW w:w="1096" w:type="pct"/>
          </w:tcPr>
          <w:p w14:paraId="57FF2CA8" w14:textId="77777777" w:rsidR="00E57DAA" w:rsidRDefault="00AC4185">
            <w:pPr>
              <w:jc w:val="right"/>
              <w:rPr>
                <w:szCs w:val="21"/>
              </w:rPr>
            </w:pPr>
            <w:r>
              <w:rPr>
                <w:szCs w:val="21"/>
              </w:rPr>
              <w:t>83,757,081.88</w:t>
            </w:r>
          </w:p>
        </w:tc>
        <w:tc>
          <w:tcPr>
            <w:tcW w:w="784" w:type="pct"/>
          </w:tcPr>
          <w:p w14:paraId="73610018" w14:textId="77777777" w:rsidR="00E57DAA" w:rsidRDefault="00E57DAA">
            <w:pPr>
              <w:jc w:val="right"/>
              <w:rPr>
                <w:szCs w:val="21"/>
              </w:rPr>
            </w:pPr>
          </w:p>
        </w:tc>
        <w:tc>
          <w:tcPr>
            <w:tcW w:w="867" w:type="pct"/>
          </w:tcPr>
          <w:p w14:paraId="6B4D9B77" w14:textId="77777777" w:rsidR="00E57DAA" w:rsidRDefault="00E57DAA">
            <w:pPr>
              <w:jc w:val="right"/>
              <w:rPr>
                <w:szCs w:val="21"/>
              </w:rPr>
            </w:pPr>
          </w:p>
        </w:tc>
      </w:tr>
    </w:tbl>
    <w:p w14:paraId="3918CA66" w14:textId="77777777" w:rsidR="00E57DAA" w:rsidRDefault="00E57DAA" w:rsidP="00C25422">
      <w:pPr>
        <w:pStyle w:val="92"/>
      </w:pPr>
    </w:p>
    <w:p w14:paraId="071988DE" w14:textId="77777777" w:rsidR="00E57DAA" w:rsidRDefault="00AC4185">
      <w:pPr>
        <w:rPr>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1494522349"/>
        <w:placeholder>
          <w:docPart w:val="GBC22222222222222222222222222222"/>
        </w:placeholder>
      </w:sdtPr>
      <w:sdtEndPr/>
      <w:sdtContent>
        <w:p w14:paraId="79A47001"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69E1E1" w14:textId="77777777" w:rsidR="00E57DAA" w:rsidRDefault="00E57DAA" w:rsidP="00C25422">
      <w:pPr>
        <w:pStyle w:val="92"/>
      </w:pPr>
    </w:p>
    <w:p w14:paraId="5D0B56F8" w14:textId="77777777" w:rsidR="00E57DAA" w:rsidRDefault="00AC4185">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2011899917"/>
          <w:comboBox>
            <w:listItem w:displayText="合并范围内关联方组合" w:value="合并范围内关联方组合"/>
            <w:listItem w:displayText="账龄组合" w:value="账龄组合"/>
          </w:comboBox>
        </w:sdtPr>
        <w:sdtEndPr/>
        <w:sdtContent>
          <w:r>
            <w:rPr>
              <w:rFonts w:hint="eastAsia"/>
              <w:szCs w:val="21"/>
            </w:rPr>
            <w:t>账龄组合</w:t>
          </w:r>
        </w:sdtContent>
      </w:sdt>
    </w:p>
    <w:p w14:paraId="171446F5" w14:textId="77777777" w:rsidR="00E57DAA" w:rsidRDefault="00AC4185">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429117874"/>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500784902"/>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E57DAA" w14:paraId="060B3ADB" w14:textId="77777777">
        <w:sdt>
          <w:sdtPr>
            <w:tag w:val="_PLD_685d7e84e47740668b70cce04f42de5b"/>
            <w:id w:val="-946076755"/>
          </w:sdtPr>
          <w:sdtEndPr/>
          <w:sdtContent>
            <w:tc>
              <w:tcPr>
                <w:tcW w:w="1158" w:type="pct"/>
                <w:vMerge w:val="restart"/>
                <w:vAlign w:val="center"/>
              </w:tcPr>
              <w:p w14:paraId="7FF2D6D4" w14:textId="77777777" w:rsidR="00E57DAA" w:rsidRDefault="00AC4185">
                <w:pPr>
                  <w:jc w:val="center"/>
                  <w:rPr>
                    <w:szCs w:val="21"/>
                  </w:rPr>
                </w:pPr>
                <w:r>
                  <w:rPr>
                    <w:rFonts w:hint="eastAsia"/>
                    <w:szCs w:val="21"/>
                  </w:rPr>
                  <w:t>名称</w:t>
                </w:r>
              </w:p>
            </w:tc>
          </w:sdtContent>
        </w:sdt>
        <w:sdt>
          <w:sdtPr>
            <w:tag w:val="_PLD_80bd7906b1fa41658076794e93d74585"/>
            <w:id w:val="988210884"/>
          </w:sdtPr>
          <w:sdtEndPr/>
          <w:sdtContent>
            <w:tc>
              <w:tcPr>
                <w:tcW w:w="3842" w:type="pct"/>
                <w:gridSpan w:val="3"/>
                <w:vAlign w:val="center"/>
              </w:tcPr>
              <w:p w14:paraId="22287B34" w14:textId="77777777" w:rsidR="00E57DAA" w:rsidRDefault="00AC4185">
                <w:pPr>
                  <w:jc w:val="center"/>
                  <w:rPr>
                    <w:szCs w:val="21"/>
                  </w:rPr>
                </w:pPr>
                <w:r>
                  <w:rPr>
                    <w:rFonts w:hint="eastAsia"/>
                    <w:szCs w:val="21"/>
                  </w:rPr>
                  <w:t>期末余额</w:t>
                </w:r>
              </w:p>
            </w:tc>
          </w:sdtContent>
        </w:sdt>
      </w:tr>
      <w:tr w:rsidR="00E57DAA" w14:paraId="35177214" w14:textId="77777777">
        <w:tc>
          <w:tcPr>
            <w:tcW w:w="1158" w:type="pct"/>
            <w:vMerge/>
          </w:tcPr>
          <w:p w14:paraId="77DDA98A" w14:textId="77777777" w:rsidR="00E57DAA" w:rsidRDefault="00E57DAA">
            <w:pPr>
              <w:jc w:val="center"/>
              <w:rPr>
                <w:szCs w:val="21"/>
              </w:rPr>
            </w:pPr>
          </w:p>
        </w:tc>
        <w:sdt>
          <w:sdtPr>
            <w:tag w:val="_PLD_696cb3bb4809472f88c41396728262f5"/>
            <w:id w:val="1267581842"/>
          </w:sdtPr>
          <w:sdtEndPr/>
          <w:sdtContent>
            <w:tc>
              <w:tcPr>
                <w:tcW w:w="1276" w:type="pct"/>
                <w:vAlign w:val="center"/>
              </w:tcPr>
              <w:p w14:paraId="0DBE0600" w14:textId="77777777" w:rsidR="00E57DAA" w:rsidRDefault="00AC4185">
                <w:pPr>
                  <w:jc w:val="center"/>
                  <w:rPr>
                    <w:szCs w:val="21"/>
                  </w:rPr>
                </w:pPr>
                <w:r>
                  <w:rPr>
                    <w:rFonts w:hint="eastAsia"/>
                    <w:szCs w:val="21"/>
                  </w:rPr>
                  <w:t>应收账款</w:t>
                </w:r>
              </w:p>
            </w:tc>
          </w:sdtContent>
        </w:sdt>
        <w:sdt>
          <w:sdtPr>
            <w:tag w:val="_PLD_70e2c6a60e9b4f08bbbb1a23cd403ade"/>
            <w:id w:val="350606840"/>
          </w:sdtPr>
          <w:sdtEndPr/>
          <w:sdtContent>
            <w:tc>
              <w:tcPr>
                <w:tcW w:w="1299" w:type="pct"/>
                <w:vAlign w:val="center"/>
              </w:tcPr>
              <w:p w14:paraId="4DF8F302" w14:textId="77777777" w:rsidR="00E57DAA" w:rsidRDefault="00AC4185">
                <w:pPr>
                  <w:jc w:val="center"/>
                  <w:rPr>
                    <w:szCs w:val="21"/>
                  </w:rPr>
                </w:pPr>
                <w:r>
                  <w:rPr>
                    <w:rFonts w:hint="eastAsia"/>
                    <w:szCs w:val="21"/>
                  </w:rPr>
                  <w:t>坏账准备</w:t>
                </w:r>
              </w:p>
            </w:tc>
          </w:sdtContent>
        </w:sdt>
        <w:sdt>
          <w:sdtPr>
            <w:tag w:val="_PLD_1fd76d95bed54fc5b0c669cf7b1d5e18"/>
            <w:id w:val="-155390633"/>
          </w:sdtPr>
          <w:sdtEndPr/>
          <w:sdtContent>
            <w:tc>
              <w:tcPr>
                <w:tcW w:w="1267" w:type="pct"/>
                <w:vAlign w:val="center"/>
              </w:tcPr>
              <w:p w14:paraId="628F78BA" w14:textId="77777777" w:rsidR="00E57DAA" w:rsidRDefault="00AC4185">
                <w:pPr>
                  <w:jc w:val="center"/>
                  <w:rPr>
                    <w:szCs w:val="21"/>
                  </w:rPr>
                </w:pPr>
                <w:r>
                  <w:rPr>
                    <w:szCs w:val="21"/>
                  </w:rPr>
                  <w:t>计提比例</w:t>
                </w:r>
                <w:r>
                  <w:rPr>
                    <w:rFonts w:hint="eastAsia"/>
                    <w:szCs w:val="21"/>
                  </w:rPr>
                  <w:t>（%）</w:t>
                </w:r>
              </w:p>
            </w:tc>
          </w:sdtContent>
        </w:sdt>
      </w:tr>
      <w:tr w:rsidR="00E57DAA" w14:paraId="7043626B" w14:textId="77777777">
        <w:tc>
          <w:tcPr>
            <w:tcW w:w="1158" w:type="pct"/>
          </w:tcPr>
          <w:p w14:paraId="5F80426E" w14:textId="77777777" w:rsidR="00E57DAA" w:rsidRDefault="00AC4185">
            <w:pPr>
              <w:rPr>
                <w:szCs w:val="21"/>
              </w:rPr>
            </w:pPr>
            <w:r>
              <w:t>1年以内</w:t>
            </w:r>
          </w:p>
        </w:tc>
        <w:tc>
          <w:tcPr>
            <w:tcW w:w="1276" w:type="pct"/>
          </w:tcPr>
          <w:p w14:paraId="568155A5" w14:textId="77777777" w:rsidR="00E57DAA" w:rsidRDefault="00AC4185">
            <w:pPr>
              <w:jc w:val="right"/>
              <w:rPr>
                <w:szCs w:val="21"/>
              </w:rPr>
            </w:pPr>
            <w:r>
              <w:t>578,988,407.97</w:t>
            </w:r>
          </w:p>
        </w:tc>
        <w:tc>
          <w:tcPr>
            <w:tcW w:w="1299" w:type="pct"/>
          </w:tcPr>
          <w:p w14:paraId="3ABF730F" w14:textId="77777777" w:rsidR="00E57DAA" w:rsidRDefault="00AC4185">
            <w:pPr>
              <w:jc w:val="right"/>
              <w:rPr>
                <w:szCs w:val="21"/>
              </w:rPr>
            </w:pPr>
            <w:r>
              <w:t>13,722,025.28</w:t>
            </w:r>
          </w:p>
        </w:tc>
        <w:tc>
          <w:tcPr>
            <w:tcW w:w="1267" w:type="pct"/>
          </w:tcPr>
          <w:p w14:paraId="5DADD14D" w14:textId="77777777" w:rsidR="00E57DAA" w:rsidRDefault="00AC4185">
            <w:pPr>
              <w:jc w:val="right"/>
              <w:rPr>
                <w:szCs w:val="21"/>
              </w:rPr>
            </w:pPr>
            <w:r>
              <w:t>2.37</w:t>
            </w:r>
          </w:p>
        </w:tc>
      </w:tr>
      <w:tr w:rsidR="00E57DAA" w14:paraId="719240C8" w14:textId="77777777">
        <w:tc>
          <w:tcPr>
            <w:tcW w:w="1158" w:type="pct"/>
          </w:tcPr>
          <w:p w14:paraId="64238ED7" w14:textId="77777777" w:rsidR="00E57DAA" w:rsidRDefault="00AC4185">
            <w:pPr>
              <w:rPr>
                <w:szCs w:val="21"/>
              </w:rPr>
            </w:pPr>
            <w:r>
              <w:t>1－2年</w:t>
            </w:r>
          </w:p>
        </w:tc>
        <w:tc>
          <w:tcPr>
            <w:tcW w:w="1276" w:type="pct"/>
          </w:tcPr>
          <w:p w14:paraId="432BC491" w14:textId="77777777" w:rsidR="00E57DAA" w:rsidRDefault="00AC4185">
            <w:pPr>
              <w:jc w:val="right"/>
              <w:rPr>
                <w:szCs w:val="21"/>
              </w:rPr>
            </w:pPr>
            <w:r>
              <w:t>363,518,847.78</w:t>
            </w:r>
          </w:p>
        </w:tc>
        <w:tc>
          <w:tcPr>
            <w:tcW w:w="1299" w:type="pct"/>
          </w:tcPr>
          <w:p w14:paraId="0120CF30" w14:textId="77777777" w:rsidR="00E57DAA" w:rsidRDefault="00AC4185">
            <w:pPr>
              <w:jc w:val="right"/>
              <w:rPr>
                <w:szCs w:val="21"/>
              </w:rPr>
            </w:pPr>
            <w:r>
              <w:t>23,955,892.07</w:t>
            </w:r>
          </w:p>
        </w:tc>
        <w:tc>
          <w:tcPr>
            <w:tcW w:w="1267" w:type="pct"/>
          </w:tcPr>
          <w:p w14:paraId="62B9161D" w14:textId="77777777" w:rsidR="00E57DAA" w:rsidRDefault="00AC4185">
            <w:pPr>
              <w:jc w:val="right"/>
              <w:rPr>
                <w:szCs w:val="21"/>
              </w:rPr>
            </w:pPr>
            <w:r>
              <w:t>6.59</w:t>
            </w:r>
          </w:p>
        </w:tc>
      </w:tr>
      <w:tr w:rsidR="00E57DAA" w14:paraId="0AADD241" w14:textId="77777777">
        <w:tc>
          <w:tcPr>
            <w:tcW w:w="1158" w:type="pct"/>
          </w:tcPr>
          <w:p w14:paraId="12CC33B1" w14:textId="77777777" w:rsidR="00E57DAA" w:rsidRDefault="00AC4185">
            <w:pPr>
              <w:rPr>
                <w:szCs w:val="21"/>
              </w:rPr>
            </w:pPr>
            <w:r>
              <w:t>2－3年</w:t>
            </w:r>
          </w:p>
        </w:tc>
        <w:tc>
          <w:tcPr>
            <w:tcW w:w="1276" w:type="pct"/>
          </w:tcPr>
          <w:p w14:paraId="3EE7CAAB" w14:textId="77777777" w:rsidR="00E57DAA" w:rsidRDefault="00AC4185">
            <w:pPr>
              <w:jc w:val="right"/>
              <w:rPr>
                <w:szCs w:val="21"/>
              </w:rPr>
            </w:pPr>
            <w:r>
              <w:t>64,049,179.92</w:t>
            </w:r>
          </w:p>
        </w:tc>
        <w:tc>
          <w:tcPr>
            <w:tcW w:w="1299" w:type="pct"/>
          </w:tcPr>
          <w:p w14:paraId="5D56D2E4" w14:textId="77777777" w:rsidR="00E57DAA" w:rsidRDefault="00AC4185">
            <w:pPr>
              <w:jc w:val="right"/>
              <w:rPr>
                <w:szCs w:val="21"/>
              </w:rPr>
            </w:pPr>
            <w:r>
              <w:t>9,235,891.75</w:t>
            </w:r>
          </w:p>
        </w:tc>
        <w:tc>
          <w:tcPr>
            <w:tcW w:w="1267" w:type="pct"/>
          </w:tcPr>
          <w:p w14:paraId="66E56DAF" w14:textId="77777777" w:rsidR="00E57DAA" w:rsidRDefault="00AC4185">
            <w:pPr>
              <w:jc w:val="right"/>
              <w:rPr>
                <w:szCs w:val="21"/>
              </w:rPr>
            </w:pPr>
            <w:r>
              <w:t>14.42</w:t>
            </w:r>
          </w:p>
        </w:tc>
      </w:tr>
      <w:tr w:rsidR="00E57DAA" w14:paraId="368866E4" w14:textId="77777777">
        <w:tc>
          <w:tcPr>
            <w:tcW w:w="1158" w:type="pct"/>
          </w:tcPr>
          <w:p w14:paraId="4967CEDF" w14:textId="77777777" w:rsidR="00E57DAA" w:rsidRDefault="00AC4185">
            <w:pPr>
              <w:rPr>
                <w:szCs w:val="21"/>
              </w:rPr>
            </w:pPr>
            <w:r>
              <w:t>3－4年</w:t>
            </w:r>
          </w:p>
        </w:tc>
        <w:tc>
          <w:tcPr>
            <w:tcW w:w="1276" w:type="pct"/>
          </w:tcPr>
          <w:p w14:paraId="2E7810E3" w14:textId="77777777" w:rsidR="00E57DAA" w:rsidRDefault="00AC4185">
            <w:pPr>
              <w:jc w:val="right"/>
              <w:rPr>
                <w:szCs w:val="21"/>
              </w:rPr>
            </w:pPr>
            <w:r>
              <w:t>77,604,866.77</w:t>
            </w:r>
          </w:p>
        </w:tc>
        <w:tc>
          <w:tcPr>
            <w:tcW w:w="1299" w:type="pct"/>
          </w:tcPr>
          <w:p w14:paraId="4F2CA011" w14:textId="77777777" w:rsidR="00E57DAA" w:rsidRDefault="00AC4185">
            <w:pPr>
              <w:jc w:val="right"/>
              <w:rPr>
                <w:szCs w:val="21"/>
              </w:rPr>
            </w:pPr>
            <w:r>
              <w:t>12,548,706.96</w:t>
            </w:r>
          </w:p>
        </w:tc>
        <w:tc>
          <w:tcPr>
            <w:tcW w:w="1267" w:type="pct"/>
          </w:tcPr>
          <w:p w14:paraId="7E059094" w14:textId="77777777" w:rsidR="00E57DAA" w:rsidRDefault="00AC4185">
            <w:pPr>
              <w:jc w:val="right"/>
              <w:rPr>
                <w:szCs w:val="21"/>
              </w:rPr>
            </w:pPr>
            <w:r>
              <w:t>16.17</w:t>
            </w:r>
          </w:p>
        </w:tc>
      </w:tr>
      <w:tr w:rsidR="00E57DAA" w14:paraId="18630BC9" w14:textId="77777777">
        <w:tc>
          <w:tcPr>
            <w:tcW w:w="1158" w:type="pct"/>
          </w:tcPr>
          <w:p w14:paraId="29E00CAD" w14:textId="77777777" w:rsidR="00E57DAA" w:rsidRDefault="00AC4185">
            <w:pPr>
              <w:rPr>
                <w:szCs w:val="21"/>
              </w:rPr>
            </w:pPr>
            <w:r>
              <w:t>4－5年</w:t>
            </w:r>
          </w:p>
        </w:tc>
        <w:tc>
          <w:tcPr>
            <w:tcW w:w="1276" w:type="pct"/>
          </w:tcPr>
          <w:p w14:paraId="13530624" w14:textId="77777777" w:rsidR="00E57DAA" w:rsidRDefault="00AC4185">
            <w:pPr>
              <w:jc w:val="right"/>
              <w:rPr>
                <w:szCs w:val="21"/>
              </w:rPr>
            </w:pPr>
            <w:r>
              <w:t>1,526,012.95</w:t>
            </w:r>
          </w:p>
        </w:tc>
        <w:tc>
          <w:tcPr>
            <w:tcW w:w="1299" w:type="pct"/>
          </w:tcPr>
          <w:p w14:paraId="731F5CE1" w14:textId="77777777" w:rsidR="00E57DAA" w:rsidRDefault="00AC4185">
            <w:pPr>
              <w:jc w:val="right"/>
              <w:rPr>
                <w:szCs w:val="21"/>
              </w:rPr>
            </w:pPr>
            <w:r>
              <w:t>554,858.30</w:t>
            </w:r>
          </w:p>
        </w:tc>
        <w:tc>
          <w:tcPr>
            <w:tcW w:w="1267" w:type="pct"/>
          </w:tcPr>
          <w:p w14:paraId="153B20B9" w14:textId="77777777" w:rsidR="00E57DAA" w:rsidRDefault="00AC4185">
            <w:pPr>
              <w:jc w:val="right"/>
              <w:rPr>
                <w:szCs w:val="21"/>
              </w:rPr>
            </w:pPr>
            <w:r>
              <w:t>36.36</w:t>
            </w:r>
          </w:p>
        </w:tc>
      </w:tr>
      <w:tr w:rsidR="00E57DAA" w14:paraId="57861423" w14:textId="77777777">
        <w:tc>
          <w:tcPr>
            <w:tcW w:w="1158" w:type="pct"/>
          </w:tcPr>
          <w:p w14:paraId="2AC7E8CD" w14:textId="77777777" w:rsidR="00E57DAA" w:rsidRDefault="00AC4185">
            <w:pPr>
              <w:rPr>
                <w:szCs w:val="21"/>
              </w:rPr>
            </w:pPr>
            <w:r>
              <w:t>5年以上</w:t>
            </w:r>
          </w:p>
        </w:tc>
        <w:tc>
          <w:tcPr>
            <w:tcW w:w="1276" w:type="pct"/>
          </w:tcPr>
          <w:p w14:paraId="523ABE96" w14:textId="77777777" w:rsidR="00E57DAA" w:rsidRDefault="00AC4185">
            <w:pPr>
              <w:jc w:val="right"/>
              <w:rPr>
                <w:szCs w:val="21"/>
              </w:rPr>
            </w:pPr>
            <w:r>
              <w:t>80,578,959.97</w:t>
            </w:r>
          </w:p>
        </w:tc>
        <w:tc>
          <w:tcPr>
            <w:tcW w:w="1299" w:type="pct"/>
          </w:tcPr>
          <w:p w14:paraId="32AE7096" w14:textId="77777777" w:rsidR="00E57DAA" w:rsidRDefault="00AC4185">
            <w:pPr>
              <w:jc w:val="right"/>
              <w:rPr>
                <w:szCs w:val="21"/>
              </w:rPr>
            </w:pPr>
            <w:r>
              <w:t>80,578,959.97</w:t>
            </w:r>
          </w:p>
        </w:tc>
        <w:tc>
          <w:tcPr>
            <w:tcW w:w="1267" w:type="pct"/>
          </w:tcPr>
          <w:p w14:paraId="6921FA24" w14:textId="77777777" w:rsidR="00E57DAA" w:rsidRDefault="00AC4185">
            <w:pPr>
              <w:jc w:val="right"/>
              <w:rPr>
                <w:szCs w:val="21"/>
              </w:rPr>
            </w:pPr>
            <w:r>
              <w:t>100.00</w:t>
            </w:r>
          </w:p>
        </w:tc>
      </w:tr>
      <w:tr w:rsidR="00E57DAA" w14:paraId="2CCD6F8B" w14:textId="77777777">
        <w:tc>
          <w:tcPr>
            <w:tcW w:w="1158" w:type="pct"/>
            <w:vAlign w:val="center"/>
          </w:tcPr>
          <w:p w14:paraId="4DBF737B" w14:textId="77777777" w:rsidR="00E57DAA" w:rsidRDefault="00AC4185">
            <w:pPr>
              <w:jc w:val="center"/>
              <w:rPr>
                <w:szCs w:val="21"/>
              </w:rPr>
            </w:pPr>
            <w:r>
              <w:rPr>
                <w:rFonts w:hint="eastAsia"/>
                <w:szCs w:val="21"/>
              </w:rPr>
              <w:t>合计</w:t>
            </w:r>
          </w:p>
        </w:tc>
        <w:tc>
          <w:tcPr>
            <w:tcW w:w="1276" w:type="pct"/>
            <w:vAlign w:val="center"/>
          </w:tcPr>
          <w:p w14:paraId="44BE1DAF" w14:textId="77777777" w:rsidR="00E57DAA" w:rsidRDefault="00AC4185">
            <w:pPr>
              <w:jc w:val="right"/>
              <w:rPr>
                <w:szCs w:val="21"/>
              </w:rPr>
            </w:pPr>
            <w:r>
              <w:t>1,166,266,275.36</w:t>
            </w:r>
          </w:p>
        </w:tc>
        <w:tc>
          <w:tcPr>
            <w:tcW w:w="1299" w:type="pct"/>
            <w:vAlign w:val="center"/>
          </w:tcPr>
          <w:p w14:paraId="4C85A0E9" w14:textId="77777777" w:rsidR="00E57DAA" w:rsidRDefault="00AC4185">
            <w:pPr>
              <w:jc w:val="right"/>
              <w:rPr>
                <w:szCs w:val="21"/>
              </w:rPr>
            </w:pPr>
            <w:r>
              <w:t>140,596,334.33</w:t>
            </w:r>
          </w:p>
        </w:tc>
        <w:tc>
          <w:tcPr>
            <w:tcW w:w="1267" w:type="pct"/>
          </w:tcPr>
          <w:p w14:paraId="3D7AD86C" w14:textId="77777777" w:rsidR="00E57DAA" w:rsidRDefault="00E57DAA">
            <w:pPr>
              <w:jc w:val="right"/>
              <w:rPr>
                <w:szCs w:val="21"/>
              </w:rPr>
            </w:pPr>
          </w:p>
        </w:tc>
      </w:tr>
    </w:tbl>
    <w:p w14:paraId="603CE5D6" w14:textId="77777777" w:rsidR="00E57DAA" w:rsidRDefault="00E57DAA" w:rsidP="00C25422">
      <w:pPr>
        <w:pStyle w:val="92"/>
      </w:pPr>
    </w:p>
    <w:p w14:paraId="1B4A2161" w14:textId="77777777" w:rsidR="00E57DAA" w:rsidRDefault="00AC4185">
      <w:pPr>
        <w:rPr>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1865897473"/>
      </w:sdtPr>
      <w:sdtEndPr/>
      <w:sdtContent>
        <w:p w14:paraId="05EF498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E477DD" w14:textId="77777777" w:rsidR="00E57DAA" w:rsidRDefault="00E57DAA" w:rsidP="00C25422">
      <w:pPr>
        <w:pStyle w:val="92"/>
      </w:pPr>
    </w:p>
    <w:p w14:paraId="22D73F7D" w14:textId="77777777" w:rsidR="00E57DAA" w:rsidRDefault="00AC4185" w:rsidP="00C25422">
      <w:pPr>
        <w:pStyle w:val="92"/>
      </w:pPr>
      <w:r>
        <w:rPr>
          <w:rFonts w:hint="eastAsia"/>
        </w:rPr>
        <w:t>按预期信用损失一般模型计提坏账准备</w:t>
      </w:r>
    </w:p>
    <w:bookmarkEnd w:id="322" w:displacedByCustomXml="next"/>
    <w:bookmarkStart w:id="323" w:name="_Hlk534616017" w:displacedByCustomXml="next"/>
    <w:sdt>
      <w:sdtPr>
        <w:alias w:val="是否适用：母公司应收账款按一般预计信用损失模型计提坏账[双击切换]"/>
        <w:tag w:val="_GBC_681a6428f5004327ac9c72b5eb632f13"/>
        <w:id w:val="265272651"/>
        <w:placeholder>
          <w:docPart w:val="GBC22222222222222222222222222222"/>
        </w:placeholder>
      </w:sdtPr>
      <w:sdtEndPr/>
      <w:sdtContent>
        <w:p w14:paraId="36AB6EF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CC90F5" w14:textId="77777777" w:rsidR="00E57DAA" w:rsidRDefault="00E57DAA">
      <w:pPr>
        <w:rPr>
          <w:szCs w:val="21"/>
        </w:rPr>
      </w:pPr>
    </w:p>
    <w:p w14:paraId="67E1ECAE" w14:textId="77777777" w:rsidR="00E57DAA" w:rsidRDefault="00E57DAA" w:rsidP="00C25422">
      <w:pPr>
        <w:pStyle w:val="92"/>
      </w:pPr>
    </w:p>
    <w:p w14:paraId="6141BBB5" w14:textId="77777777" w:rsidR="00E57DAA" w:rsidRDefault="00AC4185">
      <w:pPr>
        <w:pStyle w:val="45"/>
      </w:pPr>
      <w:r>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2624b4d5ae5d4288ad7c6f9bcbcff810"/>
        <w:id w:val="1592510377"/>
        <w:placeholder>
          <w:docPart w:val="GBC22222222222222222222222222222"/>
        </w:placeholder>
      </w:sdtPr>
      <w:sdtEndPr/>
      <w:sdtContent>
        <w:p w14:paraId="31CAE932" w14:textId="77777777" w:rsidR="00E57DAA" w:rsidRDefault="00AC418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23"/>
    <w:p w14:paraId="5060DFDB" w14:textId="77777777" w:rsidR="00E57DAA" w:rsidRDefault="00E57DAA" w:rsidP="00C25422">
      <w:pPr>
        <w:pStyle w:val="92"/>
      </w:pPr>
    </w:p>
    <w:p w14:paraId="2F78B358" w14:textId="77777777" w:rsidR="00E57DAA" w:rsidRDefault="00AC4185">
      <w:pPr>
        <w:pStyle w:val="4"/>
        <w:numPr>
          <w:ilvl w:val="3"/>
          <w:numId w:val="133"/>
        </w:numPr>
        <w:ind w:left="426" w:hangingChars="202" w:hanging="426"/>
      </w:pPr>
      <w:r>
        <w:rPr>
          <w:rFonts w:hint="eastAsia"/>
        </w:rPr>
        <w:t>坏账准备的情况</w:t>
      </w:r>
    </w:p>
    <w:bookmarkStart w:id="324" w:name="_Hlk534890665" w:displacedByCustomXml="next"/>
    <w:sdt>
      <w:sdtPr>
        <w:alias w:val="是否适用：母公司应收账款坏账准备情况[双击切换]"/>
        <w:tag w:val="_GBC_c4b273c4d86b423ea0abe5794b3a9a07"/>
        <w:id w:val="52367929"/>
        <w:placeholder>
          <w:docPart w:val="GBC22222222222222222222222222222"/>
        </w:placeholder>
      </w:sdtPr>
      <w:sdtEndPr/>
      <w:sdtContent>
        <w:p w14:paraId="44850831"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9815BE" w14:textId="77777777" w:rsidR="00E57DAA" w:rsidRDefault="00AC4185" w:rsidP="00C25422">
      <w:pPr>
        <w:pStyle w:val="73"/>
        <w:ind w:firstLine="400"/>
      </w:pPr>
      <w:r>
        <w:rPr>
          <w:rFonts w:hint="eastAsia"/>
        </w:rPr>
        <w:t>单位：</w:t>
      </w:r>
      <w:sdt>
        <w:sdtPr>
          <w:rPr>
            <w:rFonts w:hint="eastAsia"/>
          </w:rPr>
          <w:alias w:val="单位：母公司应收账款坏账准备情况"/>
          <w:tag w:val="_GBC_297876b5a195460cabc3796e317c400c"/>
          <w:id w:val="16169404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母公司应收账款坏账准备情况"/>
          <w:tag w:val="_GBC_e88786d88c2b4853820fef447c6f542a"/>
          <w:id w:val="21455389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38"/>
        <w:gridCol w:w="1696"/>
        <w:gridCol w:w="1591"/>
        <w:gridCol w:w="708"/>
        <w:gridCol w:w="1486"/>
        <w:gridCol w:w="708"/>
        <w:gridCol w:w="1696"/>
      </w:tblGrid>
      <w:tr w:rsidR="00E57DAA" w14:paraId="4DF8F497" w14:textId="77777777">
        <w:trPr>
          <w:jc w:val="center"/>
        </w:trPr>
        <w:sdt>
          <w:sdtPr>
            <w:tag w:val="_PLD_98300d230c0347eb87a2635ad51c1d00"/>
            <w:id w:val="-1062487107"/>
          </w:sdtPr>
          <w:sdtEndPr/>
          <w:sdtContent>
            <w:tc>
              <w:tcPr>
                <w:tcW w:w="532" w:type="pct"/>
                <w:vMerge w:val="restart"/>
                <w:shd w:val="clear" w:color="auto" w:fill="FFFFFF"/>
                <w:vAlign w:val="center"/>
              </w:tcPr>
              <w:p w14:paraId="6B8700F9" w14:textId="77777777" w:rsidR="00E57DAA" w:rsidRDefault="00AC4185">
                <w:pPr>
                  <w:jc w:val="center"/>
                </w:pPr>
                <w:r>
                  <w:t>类别</w:t>
                </w:r>
              </w:p>
            </w:tc>
          </w:sdtContent>
        </w:sdt>
        <w:sdt>
          <w:sdtPr>
            <w:tag w:val="_PLD_7769f2b383ef45cea01b90026bb353c2"/>
            <w:id w:val="-1390259651"/>
          </w:sdtPr>
          <w:sdtEndPr/>
          <w:sdtContent>
            <w:tc>
              <w:tcPr>
                <w:tcW w:w="961" w:type="pct"/>
                <w:vMerge w:val="restart"/>
                <w:shd w:val="clear" w:color="auto" w:fill="FFFFFF"/>
                <w:vAlign w:val="center"/>
              </w:tcPr>
              <w:p w14:paraId="353D4053" w14:textId="77777777" w:rsidR="00E57DAA" w:rsidRDefault="00AC4185">
                <w:pPr>
                  <w:jc w:val="center"/>
                </w:pPr>
                <w:r>
                  <w:t>期初余额</w:t>
                </w:r>
              </w:p>
            </w:tc>
          </w:sdtContent>
        </w:sdt>
        <w:sdt>
          <w:sdtPr>
            <w:tag w:val="_PLD_cd024d723ca84c77aded9d7b7313563b"/>
            <w:id w:val="1269125296"/>
          </w:sdtPr>
          <w:sdtEndPr/>
          <w:sdtContent>
            <w:tc>
              <w:tcPr>
                <w:tcW w:w="2546" w:type="pct"/>
                <w:gridSpan w:val="4"/>
                <w:shd w:val="clear" w:color="auto" w:fill="FFFFFF"/>
                <w:vAlign w:val="center"/>
              </w:tcPr>
              <w:p w14:paraId="09D99157" w14:textId="77777777" w:rsidR="00E57DAA" w:rsidRDefault="00AC4185">
                <w:pPr>
                  <w:jc w:val="center"/>
                </w:pPr>
                <w:r>
                  <w:rPr>
                    <w:rFonts w:hint="eastAsia"/>
                  </w:rPr>
                  <w:t>本期变动</w:t>
                </w:r>
                <w:r>
                  <w:t>金额</w:t>
                </w:r>
              </w:p>
            </w:tc>
          </w:sdtContent>
        </w:sdt>
        <w:sdt>
          <w:sdtPr>
            <w:tag w:val="_PLD_1225558b3fd34599bc2c3f9eb23fba1e"/>
            <w:id w:val="-1041350743"/>
          </w:sdtPr>
          <w:sdtEndPr/>
          <w:sdtContent>
            <w:tc>
              <w:tcPr>
                <w:tcW w:w="961" w:type="pct"/>
                <w:vMerge w:val="restart"/>
                <w:shd w:val="clear" w:color="auto" w:fill="FFFFFF"/>
                <w:vAlign w:val="center"/>
              </w:tcPr>
              <w:p w14:paraId="7AA95A45" w14:textId="77777777" w:rsidR="00E57DAA" w:rsidRDefault="00AC4185">
                <w:pPr>
                  <w:jc w:val="center"/>
                </w:pPr>
                <w:r>
                  <w:t>期末余额</w:t>
                </w:r>
              </w:p>
            </w:tc>
          </w:sdtContent>
        </w:sdt>
      </w:tr>
      <w:tr w:rsidR="00E57DAA" w14:paraId="3260BD8B" w14:textId="77777777">
        <w:trPr>
          <w:jc w:val="center"/>
        </w:trPr>
        <w:tc>
          <w:tcPr>
            <w:tcW w:w="532" w:type="pct"/>
            <w:vMerge/>
            <w:shd w:val="clear" w:color="auto" w:fill="FFFFFF"/>
          </w:tcPr>
          <w:p w14:paraId="62CC1181" w14:textId="77777777" w:rsidR="00E57DAA" w:rsidRDefault="00E57DAA">
            <w:pPr>
              <w:jc w:val="center"/>
            </w:pPr>
          </w:p>
        </w:tc>
        <w:tc>
          <w:tcPr>
            <w:tcW w:w="961" w:type="pct"/>
            <w:vMerge/>
            <w:shd w:val="clear" w:color="auto" w:fill="FFFFFF"/>
          </w:tcPr>
          <w:p w14:paraId="49C87B19" w14:textId="77777777" w:rsidR="00E57DAA" w:rsidRDefault="00E57DAA">
            <w:pPr>
              <w:jc w:val="center"/>
            </w:pPr>
          </w:p>
        </w:tc>
        <w:sdt>
          <w:sdtPr>
            <w:tag w:val="_PLD_3e1ba6e4785f430c89e70b3081ee1f0a"/>
            <w:id w:val="-2059387685"/>
          </w:sdtPr>
          <w:sdtEndPr/>
          <w:sdtContent>
            <w:tc>
              <w:tcPr>
                <w:tcW w:w="902" w:type="pct"/>
                <w:shd w:val="clear" w:color="auto" w:fill="FFFFFF"/>
                <w:vAlign w:val="center"/>
              </w:tcPr>
              <w:p w14:paraId="2B2743E0" w14:textId="77777777" w:rsidR="00E57DAA" w:rsidRDefault="00AC4185">
                <w:pPr>
                  <w:jc w:val="center"/>
                </w:pPr>
                <w:r>
                  <w:t>计提</w:t>
                </w:r>
              </w:p>
            </w:tc>
          </w:sdtContent>
        </w:sdt>
        <w:sdt>
          <w:sdtPr>
            <w:tag w:val="_PLD_e1238ab8ec634edb975aa51e169f4488"/>
            <w:id w:val="-279954131"/>
          </w:sdtPr>
          <w:sdtEndPr/>
          <w:sdtContent>
            <w:tc>
              <w:tcPr>
                <w:tcW w:w="401" w:type="pct"/>
                <w:shd w:val="clear" w:color="auto" w:fill="FFFFFF"/>
                <w:vAlign w:val="center"/>
              </w:tcPr>
              <w:p w14:paraId="1C63C164" w14:textId="77777777" w:rsidR="00E57DAA" w:rsidRDefault="00AC4185">
                <w:pPr>
                  <w:jc w:val="center"/>
                </w:pPr>
                <w:r>
                  <w:rPr>
                    <w:rFonts w:hint="eastAsia"/>
                  </w:rPr>
                  <w:t>收回或转回</w:t>
                </w:r>
              </w:p>
            </w:tc>
          </w:sdtContent>
        </w:sdt>
        <w:tc>
          <w:tcPr>
            <w:tcW w:w="842" w:type="pct"/>
            <w:shd w:val="clear" w:color="auto" w:fill="FFFFFF"/>
            <w:vAlign w:val="center"/>
          </w:tcPr>
          <w:sdt>
            <w:sdtPr>
              <w:rPr>
                <w:rFonts w:hint="eastAsia"/>
              </w:rPr>
              <w:tag w:val="_PLD_4909ee6a3062412caf5e93a150ca2e23"/>
              <w:id w:val="770743070"/>
            </w:sdtPr>
            <w:sdtEndPr/>
            <w:sdtContent>
              <w:p w14:paraId="39FEEB13" w14:textId="77777777" w:rsidR="00E57DAA" w:rsidRDefault="00AC4185">
                <w:pPr>
                  <w:jc w:val="center"/>
                </w:pPr>
                <w:r>
                  <w:rPr>
                    <w:rFonts w:hint="eastAsia"/>
                  </w:rPr>
                  <w:t>转销或核销</w:t>
                </w:r>
              </w:p>
            </w:sdtContent>
          </w:sdt>
        </w:tc>
        <w:tc>
          <w:tcPr>
            <w:tcW w:w="401" w:type="pct"/>
            <w:shd w:val="clear" w:color="auto" w:fill="FFFFFF"/>
            <w:vAlign w:val="center"/>
          </w:tcPr>
          <w:sdt>
            <w:sdtPr>
              <w:rPr>
                <w:rFonts w:hint="eastAsia"/>
              </w:rPr>
              <w:tag w:val="_PLD_b95e9591908443ef8eef29a18814ebfa"/>
              <w:id w:val="622119929"/>
            </w:sdtPr>
            <w:sdtEndPr/>
            <w:sdtContent>
              <w:p w14:paraId="038D1844" w14:textId="77777777" w:rsidR="00E57DAA" w:rsidRDefault="00AC4185">
                <w:pPr>
                  <w:jc w:val="right"/>
                </w:pPr>
                <w:r>
                  <w:rPr>
                    <w:rFonts w:hint="eastAsia"/>
                  </w:rPr>
                  <w:t>其他变动</w:t>
                </w:r>
              </w:p>
            </w:sdtContent>
          </w:sdt>
        </w:tc>
        <w:tc>
          <w:tcPr>
            <w:tcW w:w="961" w:type="pct"/>
            <w:vMerge/>
            <w:shd w:val="clear" w:color="auto" w:fill="FFFFFF"/>
          </w:tcPr>
          <w:p w14:paraId="56E88C71" w14:textId="77777777" w:rsidR="00E57DAA" w:rsidRDefault="00E57DAA">
            <w:pPr>
              <w:jc w:val="right"/>
            </w:pPr>
          </w:p>
        </w:tc>
      </w:tr>
      <w:tr w:rsidR="00E57DAA" w14:paraId="6D3DE28A" w14:textId="77777777">
        <w:trPr>
          <w:jc w:val="center"/>
        </w:trPr>
        <w:tc>
          <w:tcPr>
            <w:tcW w:w="532" w:type="pct"/>
            <w:shd w:val="clear" w:color="auto" w:fill="auto"/>
          </w:tcPr>
          <w:p w14:paraId="445445F4" w14:textId="77777777" w:rsidR="00E57DAA" w:rsidRDefault="00AC4185" w:rsidP="00C25422">
            <w:pPr>
              <w:pStyle w:val="92"/>
            </w:pPr>
            <w:r>
              <w:t>账龄组合</w:t>
            </w:r>
          </w:p>
        </w:tc>
        <w:tc>
          <w:tcPr>
            <w:tcW w:w="961" w:type="pct"/>
            <w:shd w:val="clear" w:color="auto" w:fill="auto"/>
          </w:tcPr>
          <w:p w14:paraId="700C6DEA" w14:textId="77777777" w:rsidR="00E57DAA" w:rsidRDefault="00AC4185">
            <w:pPr>
              <w:jc w:val="right"/>
            </w:pPr>
            <w:r>
              <w:t>129,988,564.83</w:t>
            </w:r>
          </w:p>
        </w:tc>
        <w:tc>
          <w:tcPr>
            <w:tcW w:w="902" w:type="pct"/>
            <w:shd w:val="clear" w:color="auto" w:fill="auto"/>
          </w:tcPr>
          <w:p w14:paraId="27E1A6C4" w14:textId="77777777" w:rsidR="00E57DAA" w:rsidRDefault="00AC4185">
            <w:pPr>
              <w:jc w:val="right"/>
            </w:pPr>
            <w:r>
              <w:t>14,594,541.40</w:t>
            </w:r>
          </w:p>
        </w:tc>
        <w:tc>
          <w:tcPr>
            <w:tcW w:w="401" w:type="pct"/>
            <w:shd w:val="clear" w:color="auto" w:fill="auto"/>
          </w:tcPr>
          <w:p w14:paraId="16C77151" w14:textId="77777777" w:rsidR="00E57DAA" w:rsidRDefault="00AC4185">
            <w:pPr>
              <w:jc w:val="right"/>
            </w:pPr>
            <w:r>
              <w:t> </w:t>
            </w:r>
          </w:p>
        </w:tc>
        <w:tc>
          <w:tcPr>
            <w:tcW w:w="842" w:type="pct"/>
          </w:tcPr>
          <w:p w14:paraId="7C52E82B" w14:textId="77777777" w:rsidR="00E57DAA" w:rsidRDefault="00AC4185">
            <w:pPr>
              <w:jc w:val="right"/>
            </w:pPr>
            <w:r>
              <w:t>3,986,771.90</w:t>
            </w:r>
          </w:p>
        </w:tc>
        <w:tc>
          <w:tcPr>
            <w:tcW w:w="401" w:type="pct"/>
          </w:tcPr>
          <w:p w14:paraId="13A1BF39" w14:textId="77777777" w:rsidR="00E57DAA" w:rsidRDefault="00AC4185">
            <w:pPr>
              <w:jc w:val="right"/>
            </w:pPr>
            <w:r>
              <w:t> </w:t>
            </w:r>
          </w:p>
        </w:tc>
        <w:tc>
          <w:tcPr>
            <w:tcW w:w="961" w:type="pct"/>
            <w:shd w:val="clear" w:color="auto" w:fill="auto"/>
          </w:tcPr>
          <w:p w14:paraId="3F319C17" w14:textId="77777777" w:rsidR="00E57DAA" w:rsidRDefault="00AC4185">
            <w:pPr>
              <w:jc w:val="right"/>
            </w:pPr>
            <w:r>
              <w:t>140,596,334.33</w:t>
            </w:r>
          </w:p>
        </w:tc>
      </w:tr>
      <w:tr w:rsidR="00E57DAA" w14:paraId="0724DF83" w14:textId="77777777">
        <w:trPr>
          <w:jc w:val="center"/>
        </w:trPr>
        <w:tc>
          <w:tcPr>
            <w:tcW w:w="532" w:type="pct"/>
            <w:shd w:val="clear" w:color="auto" w:fill="auto"/>
          </w:tcPr>
          <w:p w14:paraId="7A28AD35" w14:textId="77777777" w:rsidR="00E57DAA" w:rsidRDefault="00AC4185">
            <w:pPr>
              <w:jc w:val="center"/>
            </w:pPr>
            <w:r>
              <w:rPr>
                <w:rFonts w:hint="eastAsia"/>
              </w:rPr>
              <w:t>合计</w:t>
            </w:r>
          </w:p>
        </w:tc>
        <w:tc>
          <w:tcPr>
            <w:tcW w:w="961" w:type="pct"/>
            <w:shd w:val="clear" w:color="auto" w:fill="auto"/>
            <w:vAlign w:val="center"/>
          </w:tcPr>
          <w:p w14:paraId="0589CBCF" w14:textId="77777777" w:rsidR="00E57DAA" w:rsidRDefault="00AC4185">
            <w:pPr>
              <w:jc w:val="right"/>
            </w:pPr>
            <w:r>
              <w:t>129,988,564.83</w:t>
            </w:r>
          </w:p>
        </w:tc>
        <w:tc>
          <w:tcPr>
            <w:tcW w:w="902" w:type="pct"/>
            <w:shd w:val="clear" w:color="auto" w:fill="auto"/>
            <w:vAlign w:val="center"/>
          </w:tcPr>
          <w:p w14:paraId="125C79ED" w14:textId="77777777" w:rsidR="00E57DAA" w:rsidRDefault="00AC4185">
            <w:pPr>
              <w:jc w:val="right"/>
            </w:pPr>
            <w:r>
              <w:t>14,594,541.40</w:t>
            </w:r>
          </w:p>
        </w:tc>
        <w:tc>
          <w:tcPr>
            <w:tcW w:w="401" w:type="pct"/>
            <w:shd w:val="clear" w:color="auto" w:fill="auto"/>
            <w:vAlign w:val="center"/>
          </w:tcPr>
          <w:p w14:paraId="00BE35A5" w14:textId="77777777" w:rsidR="00E57DAA" w:rsidRDefault="00E57DAA">
            <w:pPr>
              <w:jc w:val="right"/>
            </w:pPr>
          </w:p>
        </w:tc>
        <w:tc>
          <w:tcPr>
            <w:tcW w:w="842" w:type="pct"/>
            <w:vAlign w:val="center"/>
          </w:tcPr>
          <w:p w14:paraId="1C1CA56E" w14:textId="77777777" w:rsidR="00E57DAA" w:rsidRDefault="00AC4185">
            <w:pPr>
              <w:jc w:val="right"/>
            </w:pPr>
            <w:r>
              <w:t>3,986,771.90</w:t>
            </w:r>
          </w:p>
        </w:tc>
        <w:tc>
          <w:tcPr>
            <w:tcW w:w="401" w:type="pct"/>
            <w:vAlign w:val="center"/>
          </w:tcPr>
          <w:p w14:paraId="12032011" w14:textId="77777777" w:rsidR="00E57DAA" w:rsidRDefault="00E57DAA">
            <w:pPr>
              <w:jc w:val="right"/>
            </w:pPr>
          </w:p>
        </w:tc>
        <w:tc>
          <w:tcPr>
            <w:tcW w:w="961" w:type="pct"/>
            <w:shd w:val="clear" w:color="auto" w:fill="auto"/>
            <w:vAlign w:val="center"/>
          </w:tcPr>
          <w:p w14:paraId="1CF1E683" w14:textId="77777777" w:rsidR="00E57DAA" w:rsidRDefault="00AC4185">
            <w:pPr>
              <w:jc w:val="right"/>
            </w:pPr>
            <w:r>
              <w:t>140,596,334.33</w:t>
            </w:r>
          </w:p>
        </w:tc>
      </w:tr>
    </w:tbl>
    <w:p w14:paraId="2C9F4AFE" w14:textId="77777777" w:rsidR="00E57DAA" w:rsidRDefault="00E57DAA" w:rsidP="00C25422">
      <w:pPr>
        <w:pStyle w:val="92"/>
      </w:pPr>
    </w:p>
    <w:p w14:paraId="760CBC69" w14:textId="77777777" w:rsidR="00E57DAA" w:rsidRDefault="00AC4185" w:rsidP="00C25422">
      <w:pPr>
        <w:pStyle w:val="92"/>
      </w:pPr>
      <w:r>
        <w:rPr>
          <w:rFonts w:hint="eastAsia"/>
        </w:rPr>
        <w:t>其中本期坏账准备收回或转回金额重要的：</w:t>
      </w:r>
    </w:p>
    <w:bookmarkEnd w:id="324" w:displacedByCustomXml="next"/>
    <w:bookmarkStart w:id="325" w:name="_Hlk153789356" w:displacedByCustomXml="next"/>
    <w:sdt>
      <w:sdtPr>
        <w:alias w:val="是否适用：母公司其中本期坏账准备收回或转回金额重要的[双击切换]"/>
        <w:tag w:val="_GBC_5f9ff028d97f4757bc779516f257bedd"/>
        <w:id w:val="2007158184"/>
        <w:placeholder>
          <w:docPart w:val="GBC22222222222222222222222222222"/>
        </w:placeholder>
      </w:sdtPr>
      <w:sdtEndPr/>
      <w:sdtContent>
        <w:p w14:paraId="61A5114D"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325"/>
    <w:p w14:paraId="149590AA" w14:textId="77777777" w:rsidR="00E57DAA" w:rsidRDefault="00E57DAA">
      <w:pPr>
        <w:ind w:rightChars="-759" w:right="-1594"/>
      </w:pPr>
    </w:p>
    <w:p w14:paraId="48DB8D7E" w14:textId="77777777" w:rsidR="00E57DAA" w:rsidRDefault="00AC4185">
      <w:pPr>
        <w:pStyle w:val="4"/>
        <w:numPr>
          <w:ilvl w:val="3"/>
          <w:numId w:val="133"/>
        </w:numPr>
        <w:ind w:left="426" w:hangingChars="202" w:hanging="426"/>
      </w:pPr>
      <w:r>
        <w:t>本期实际核销的应收</w:t>
      </w:r>
      <w:r>
        <w:rPr>
          <w:rFonts w:hint="eastAsia"/>
        </w:rPr>
        <w:t>账款</w:t>
      </w:r>
      <w:r>
        <w:t>情况</w:t>
      </w:r>
    </w:p>
    <w:sdt>
      <w:sdtPr>
        <w:alias w:val="是否适用：母公司本期实际核销的应收账款情况[双击切换]"/>
        <w:tag w:val="_GBC_a30d476ac6184bc98f9b334fa55067ac"/>
        <w:id w:val="502097195"/>
        <w:placeholder>
          <w:docPart w:val="GBC22222222222222222222222222222"/>
        </w:placeholder>
      </w:sdtPr>
      <w:sdtEndPr/>
      <w:sdtContent>
        <w:p w14:paraId="29CFFC6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12EF42" w14:textId="77777777" w:rsidR="00E57DAA" w:rsidRDefault="00AC4185">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19966451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3181062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E57DAA" w14:paraId="39FDAC40" w14:textId="77777777">
        <w:sdt>
          <w:sdtPr>
            <w:tag w:val="_PLD_5c7267345db44379846ba86d759302da"/>
            <w:id w:val="-896269795"/>
          </w:sdtPr>
          <w:sdtEndPr/>
          <w:sdtContent>
            <w:tc>
              <w:tcPr>
                <w:tcW w:w="2361" w:type="pct"/>
                <w:vAlign w:val="center"/>
              </w:tcPr>
              <w:p w14:paraId="107189C7" w14:textId="77777777" w:rsidR="00E57DAA" w:rsidRDefault="00AC4185">
                <w:pPr>
                  <w:jc w:val="center"/>
                  <w:rPr>
                    <w:szCs w:val="21"/>
                  </w:rPr>
                </w:pPr>
                <w:r>
                  <w:rPr>
                    <w:rFonts w:hint="eastAsia"/>
                    <w:szCs w:val="21"/>
                  </w:rPr>
                  <w:t>项目</w:t>
                </w:r>
              </w:p>
            </w:tc>
          </w:sdtContent>
        </w:sdt>
        <w:sdt>
          <w:sdtPr>
            <w:tag w:val="_PLD_99874d480e864cddaf845b554cb24ccb"/>
            <w:id w:val="1618023344"/>
          </w:sdtPr>
          <w:sdtEndPr/>
          <w:sdtContent>
            <w:tc>
              <w:tcPr>
                <w:tcW w:w="2639" w:type="pct"/>
              </w:tcPr>
              <w:p w14:paraId="6EBF3FC0" w14:textId="77777777" w:rsidR="00E57DAA" w:rsidRDefault="00AC4185">
                <w:pPr>
                  <w:jc w:val="center"/>
                  <w:rPr>
                    <w:szCs w:val="21"/>
                  </w:rPr>
                </w:pPr>
                <w:r>
                  <w:rPr>
                    <w:rFonts w:hint="eastAsia"/>
                    <w:szCs w:val="21"/>
                  </w:rPr>
                  <w:t>核销金额</w:t>
                </w:r>
              </w:p>
            </w:tc>
          </w:sdtContent>
        </w:sdt>
      </w:tr>
      <w:tr w:rsidR="00E57DAA" w14:paraId="54A05B2D" w14:textId="77777777">
        <w:tc>
          <w:tcPr>
            <w:tcW w:w="2361" w:type="pct"/>
          </w:tcPr>
          <w:p w14:paraId="53C5E4B2" w14:textId="77777777" w:rsidR="00E57DAA" w:rsidRDefault="00AC4185">
            <w:pPr>
              <w:rPr>
                <w:szCs w:val="21"/>
              </w:rPr>
            </w:pPr>
            <w:r>
              <w:rPr>
                <w:rFonts w:hint="eastAsia"/>
                <w:szCs w:val="21"/>
              </w:rPr>
              <w:t>实际核销的应收账款</w:t>
            </w:r>
          </w:p>
        </w:tc>
        <w:tc>
          <w:tcPr>
            <w:tcW w:w="2639" w:type="pct"/>
          </w:tcPr>
          <w:p w14:paraId="69E36B82" w14:textId="77777777" w:rsidR="00E57DAA" w:rsidRDefault="00AC4185">
            <w:pPr>
              <w:jc w:val="right"/>
              <w:rPr>
                <w:szCs w:val="21"/>
              </w:rPr>
            </w:pPr>
            <w:r>
              <w:rPr>
                <w:szCs w:val="21"/>
              </w:rPr>
              <w:t>3,986,771.90</w:t>
            </w:r>
          </w:p>
        </w:tc>
      </w:tr>
    </w:tbl>
    <w:p w14:paraId="26D6BE57" w14:textId="77777777" w:rsidR="00E57DAA" w:rsidRDefault="00E57DAA">
      <w:pPr>
        <w:rPr>
          <w:szCs w:val="21"/>
        </w:rPr>
      </w:pPr>
    </w:p>
    <w:p w14:paraId="1750E627" w14:textId="77777777" w:rsidR="00E57DAA" w:rsidRDefault="00AC4185">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646114388"/>
        <w:placeholder>
          <w:docPart w:val="GBC22222222222222222222222222222"/>
        </w:placeholder>
      </w:sdtPr>
      <w:sdtEndPr/>
      <w:sdtContent>
        <w:p w14:paraId="159A11C7"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A8CE31" w14:textId="77777777" w:rsidR="00E57DAA" w:rsidRDefault="00E57DAA">
      <w:pPr>
        <w:rPr>
          <w:szCs w:val="21"/>
        </w:rPr>
      </w:pPr>
    </w:p>
    <w:p w14:paraId="30FB11E8" w14:textId="77777777" w:rsidR="00E57DAA" w:rsidRDefault="00AC4185">
      <w:pPr>
        <w:snapToGrid w:val="0"/>
        <w:spacing w:line="240" w:lineRule="atLeast"/>
        <w:rPr>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1682351892"/>
        <w:placeholder>
          <w:docPart w:val="GBC22222222222222222222222222222"/>
        </w:placeholder>
      </w:sdtPr>
      <w:sdtEndPr/>
      <w:sdtContent>
        <w:p w14:paraId="2AEABE89" w14:textId="77777777" w:rsidR="00E57DAA" w:rsidRDefault="00AC418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9C4BAA" w14:textId="77777777" w:rsidR="00E57DAA" w:rsidRDefault="00E57DAA" w:rsidP="00C25422">
      <w:pPr>
        <w:pStyle w:val="92"/>
      </w:pPr>
    </w:p>
    <w:p w14:paraId="290F6D96" w14:textId="77777777" w:rsidR="00E57DAA" w:rsidRDefault="00AC4185">
      <w:pPr>
        <w:pStyle w:val="4"/>
        <w:numPr>
          <w:ilvl w:val="3"/>
          <w:numId w:val="133"/>
        </w:numPr>
        <w:ind w:left="426" w:hangingChars="202" w:hanging="426"/>
      </w:pPr>
      <w:r>
        <w:rPr>
          <w:rFonts w:hint="eastAsia"/>
        </w:rPr>
        <w:t>按欠款方归集的期末余额前五名的应收账款和合同资产情况</w:t>
      </w:r>
    </w:p>
    <w:bookmarkStart w:id="326" w:name="_Hlk153789714" w:displacedByCustomXml="next"/>
    <w:bookmarkStart w:id="327" w:name="_Hlk90023019" w:displacedByCustomXml="next"/>
    <w:sdt>
      <w:sdtPr>
        <w:rPr>
          <w:rFonts w:hint="eastAsia"/>
          <w:szCs w:val="21"/>
        </w:rPr>
        <w:alias w:val="是否适用：按欠款方归集的期末余额前五名的应收账款情况[双击切换]"/>
        <w:tag w:val="_GBC_7fffc10e897f45d19e0dc3f8ffc2224f"/>
        <w:id w:val="-1534716717"/>
        <w:placeholder>
          <w:docPart w:val="GBC22222222222222222222222222222"/>
        </w:placeholder>
      </w:sdtPr>
      <w:sdtEndPr/>
      <w:sdtContent>
        <w:p w14:paraId="4FEBC924" w14:textId="77777777" w:rsidR="00E57DAA" w:rsidRDefault="00AC418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904604" w14:textId="77777777" w:rsidR="00E57DAA" w:rsidRDefault="00AC4185">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57871833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8343445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gridCol w:w="1759"/>
        <w:gridCol w:w="1686"/>
        <w:gridCol w:w="1686"/>
        <w:gridCol w:w="1055"/>
        <w:gridCol w:w="1581"/>
      </w:tblGrid>
      <w:tr w:rsidR="00E57DAA" w14:paraId="1E9305E7" w14:textId="77777777">
        <w:trPr>
          <w:cantSplit/>
        </w:trPr>
        <w:sdt>
          <w:sdtPr>
            <w:rPr>
              <w:rFonts w:hint="eastAsia"/>
              <w:szCs w:val="21"/>
            </w:rPr>
            <w:tag w:val="_PLD_68ef52d85e9b4f23a72393cc4b01b204"/>
            <w:id w:val="-345333821"/>
          </w:sdtPr>
          <w:sdtEndPr/>
          <w:sdtContent>
            <w:tc>
              <w:tcPr>
                <w:tcW w:w="598" w:type="pct"/>
                <w:vAlign w:val="center"/>
              </w:tcPr>
              <w:p w14:paraId="70DADC6B" w14:textId="77777777" w:rsidR="00E57DAA" w:rsidRDefault="00AC4185">
                <w:pPr>
                  <w:ind w:right="105"/>
                  <w:jc w:val="center"/>
                  <w:rPr>
                    <w:szCs w:val="21"/>
                  </w:rPr>
                </w:pPr>
                <w:r>
                  <w:rPr>
                    <w:rFonts w:hint="eastAsia"/>
                    <w:szCs w:val="21"/>
                  </w:rPr>
                  <w:t>单位名称</w:t>
                </w:r>
              </w:p>
            </w:tc>
          </w:sdtContent>
        </w:sdt>
        <w:sdt>
          <w:sdtPr>
            <w:rPr>
              <w:rFonts w:hint="eastAsia"/>
              <w:szCs w:val="21"/>
            </w:rPr>
            <w:tag w:val="_PLD_a62fd4b0ddfb407795d57ea0471df65a"/>
            <w:id w:val="1854834333"/>
          </w:sdtPr>
          <w:sdtEndPr/>
          <w:sdtContent>
            <w:tc>
              <w:tcPr>
                <w:tcW w:w="997" w:type="pct"/>
                <w:vAlign w:val="center"/>
              </w:tcPr>
              <w:p w14:paraId="1746F454" w14:textId="77777777" w:rsidR="00E57DAA" w:rsidRDefault="00AC4185">
                <w:pPr>
                  <w:ind w:right="73"/>
                  <w:jc w:val="center"/>
                  <w:rPr>
                    <w:szCs w:val="21"/>
                  </w:rPr>
                </w:pPr>
                <w:r>
                  <w:rPr>
                    <w:rFonts w:hint="eastAsia"/>
                    <w:szCs w:val="21"/>
                  </w:rPr>
                  <w:t>应收账款期末余额</w:t>
                </w:r>
              </w:p>
            </w:tc>
          </w:sdtContent>
        </w:sdt>
        <w:sdt>
          <w:sdtPr>
            <w:rPr>
              <w:rFonts w:hint="eastAsia"/>
              <w:szCs w:val="21"/>
            </w:rPr>
            <w:tag w:val="_PLD_7e753de74ef54c5da4e5c10a41366274"/>
            <w:id w:val="-2108257206"/>
          </w:sdtPr>
          <w:sdtEndPr/>
          <w:sdtContent>
            <w:tc>
              <w:tcPr>
                <w:tcW w:w="955" w:type="pct"/>
                <w:vAlign w:val="center"/>
              </w:tcPr>
              <w:p w14:paraId="1817ECF2" w14:textId="77777777" w:rsidR="00E57DAA" w:rsidRDefault="00AC4185">
                <w:pPr>
                  <w:jc w:val="center"/>
                  <w:rPr>
                    <w:szCs w:val="21"/>
                  </w:rPr>
                </w:pPr>
                <w:r>
                  <w:rPr>
                    <w:rFonts w:hint="eastAsia"/>
                    <w:szCs w:val="21"/>
                  </w:rPr>
                  <w:t>合同资产期末余额</w:t>
                </w:r>
              </w:p>
            </w:tc>
          </w:sdtContent>
        </w:sdt>
        <w:sdt>
          <w:sdtPr>
            <w:rPr>
              <w:rFonts w:hint="eastAsia"/>
              <w:szCs w:val="21"/>
            </w:rPr>
            <w:tag w:val="_PLD_1589be2aa7134b3f9de4e223e83a7a61"/>
            <w:id w:val="1316619154"/>
          </w:sdtPr>
          <w:sdtEndPr/>
          <w:sdtContent>
            <w:tc>
              <w:tcPr>
                <w:tcW w:w="955" w:type="pct"/>
                <w:vAlign w:val="center"/>
              </w:tcPr>
              <w:p w14:paraId="68E9BCC1" w14:textId="77777777" w:rsidR="00E57DAA" w:rsidRDefault="00AC4185">
                <w:pPr>
                  <w:jc w:val="center"/>
                  <w:rPr>
                    <w:szCs w:val="21"/>
                  </w:rPr>
                </w:pPr>
                <w:r>
                  <w:rPr>
                    <w:rFonts w:hint="eastAsia"/>
                    <w:szCs w:val="21"/>
                  </w:rPr>
                  <w:t>应收账款和合同资产期末余额</w:t>
                </w:r>
              </w:p>
            </w:tc>
          </w:sdtContent>
        </w:sdt>
        <w:sdt>
          <w:sdtPr>
            <w:rPr>
              <w:rFonts w:hint="eastAsia"/>
              <w:szCs w:val="21"/>
            </w:rPr>
            <w:tag w:val="_PLD_e84ecb8c9e5146e8b4ede4a709c5ef5f"/>
            <w:id w:val="1096827720"/>
          </w:sdtPr>
          <w:sdtEndPr/>
          <w:sdtContent>
            <w:tc>
              <w:tcPr>
                <w:tcW w:w="598" w:type="pct"/>
                <w:vAlign w:val="center"/>
              </w:tcPr>
              <w:p w14:paraId="69FB24D5" w14:textId="77777777" w:rsidR="00E57DAA" w:rsidRDefault="00AC4185">
                <w:pPr>
                  <w:jc w:val="center"/>
                  <w:rPr>
                    <w:szCs w:val="21"/>
                  </w:rPr>
                </w:pPr>
                <w:r>
                  <w:rPr>
                    <w:rFonts w:hint="eastAsia"/>
                    <w:szCs w:val="21"/>
                  </w:rPr>
                  <w:t>占应收账款和合同资产期末余额合计数的比例（%）</w:t>
                </w:r>
              </w:p>
            </w:tc>
          </w:sdtContent>
        </w:sdt>
        <w:sdt>
          <w:sdtPr>
            <w:rPr>
              <w:rFonts w:hint="eastAsia"/>
              <w:szCs w:val="21"/>
            </w:rPr>
            <w:tag w:val="_PLD_da58e99405a342aa95b8ffb814c33752"/>
            <w:id w:val="1995673896"/>
          </w:sdtPr>
          <w:sdtEndPr/>
          <w:sdtContent>
            <w:tc>
              <w:tcPr>
                <w:tcW w:w="896" w:type="pct"/>
                <w:vAlign w:val="center"/>
              </w:tcPr>
              <w:p w14:paraId="62C0EEB8" w14:textId="77777777" w:rsidR="00E57DAA" w:rsidRDefault="00AC4185">
                <w:pPr>
                  <w:jc w:val="center"/>
                  <w:rPr>
                    <w:szCs w:val="21"/>
                  </w:rPr>
                </w:pPr>
                <w:r>
                  <w:rPr>
                    <w:rFonts w:hint="eastAsia"/>
                    <w:szCs w:val="21"/>
                  </w:rPr>
                  <w:t>坏账准备期末余额</w:t>
                </w:r>
              </w:p>
            </w:tc>
          </w:sdtContent>
        </w:sdt>
      </w:tr>
      <w:tr w:rsidR="00E57DAA" w14:paraId="5D3840B1" w14:textId="77777777">
        <w:trPr>
          <w:cantSplit/>
        </w:trPr>
        <w:tc>
          <w:tcPr>
            <w:tcW w:w="598" w:type="pct"/>
          </w:tcPr>
          <w:p w14:paraId="09562877" w14:textId="77777777" w:rsidR="00E57DAA" w:rsidRDefault="00AC4185">
            <w:pPr>
              <w:ind w:right="105"/>
              <w:rPr>
                <w:szCs w:val="21"/>
              </w:rPr>
            </w:pPr>
            <w:r>
              <w:rPr>
                <w:rFonts w:hint="eastAsia"/>
                <w:szCs w:val="21"/>
              </w:rPr>
              <w:t>应收账款和合同资产第一名</w:t>
            </w:r>
          </w:p>
        </w:tc>
        <w:tc>
          <w:tcPr>
            <w:tcW w:w="997" w:type="pct"/>
            <w:vAlign w:val="center"/>
          </w:tcPr>
          <w:p w14:paraId="495B23E3" w14:textId="77777777" w:rsidR="00E57DAA" w:rsidRDefault="00AC4185">
            <w:pPr>
              <w:ind w:right="73"/>
              <w:jc w:val="right"/>
              <w:rPr>
                <w:szCs w:val="21"/>
              </w:rPr>
            </w:pPr>
            <w:r>
              <w:t>234,214,286.58</w:t>
            </w:r>
          </w:p>
        </w:tc>
        <w:tc>
          <w:tcPr>
            <w:tcW w:w="955" w:type="pct"/>
            <w:vAlign w:val="center"/>
          </w:tcPr>
          <w:p w14:paraId="487CA051" w14:textId="77777777" w:rsidR="00E57DAA" w:rsidRDefault="00E57DAA">
            <w:pPr>
              <w:jc w:val="right"/>
              <w:rPr>
                <w:szCs w:val="21"/>
              </w:rPr>
            </w:pPr>
          </w:p>
        </w:tc>
        <w:tc>
          <w:tcPr>
            <w:tcW w:w="955" w:type="pct"/>
            <w:vAlign w:val="center"/>
          </w:tcPr>
          <w:p w14:paraId="701F2FFF" w14:textId="77777777" w:rsidR="00E57DAA" w:rsidRDefault="00AC4185">
            <w:pPr>
              <w:jc w:val="right"/>
              <w:rPr>
                <w:szCs w:val="21"/>
              </w:rPr>
            </w:pPr>
            <w:r>
              <w:t>234,214,286.58</w:t>
            </w:r>
          </w:p>
        </w:tc>
        <w:tc>
          <w:tcPr>
            <w:tcW w:w="598" w:type="pct"/>
            <w:vAlign w:val="center"/>
          </w:tcPr>
          <w:p w14:paraId="77812B0A" w14:textId="77777777" w:rsidR="00E57DAA" w:rsidRDefault="00AC4185">
            <w:pPr>
              <w:jc w:val="right"/>
              <w:rPr>
                <w:szCs w:val="21"/>
              </w:rPr>
            </w:pPr>
            <w:r>
              <w:t>9.76</w:t>
            </w:r>
          </w:p>
        </w:tc>
        <w:tc>
          <w:tcPr>
            <w:tcW w:w="896" w:type="pct"/>
            <w:vAlign w:val="center"/>
          </w:tcPr>
          <w:p w14:paraId="315D23EE" w14:textId="77777777" w:rsidR="00E57DAA" w:rsidRDefault="00AC4185">
            <w:pPr>
              <w:jc w:val="right"/>
              <w:rPr>
                <w:szCs w:val="21"/>
              </w:rPr>
            </w:pPr>
            <w:r>
              <w:t>10,666,767.19</w:t>
            </w:r>
          </w:p>
        </w:tc>
      </w:tr>
      <w:tr w:rsidR="00E57DAA" w14:paraId="737B9554" w14:textId="77777777">
        <w:trPr>
          <w:cantSplit/>
        </w:trPr>
        <w:tc>
          <w:tcPr>
            <w:tcW w:w="598" w:type="pct"/>
          </w:tcPr>
          <w:p w14:paraId="5216C155" w14:textId="77777777" w:rsidR="00E57DAA" w:rsidRDefault="00AC4185">
            <w:pPr>
              <w:ind w:right="105"/>
              <w:rPr>
                <w:szCs w:val="21"/>
              </w:rPr>
            </w:pPr>
            <w:r>
              <w:rPr>
                <w:rFonts w:hint="eastAsia"/>
                <w:szCs w:val="21"/>
              </w:rPr>
              <w:t>应收账款和合同资产第二名</w:t>
            </w:r>
          </w:p>
        </w:tc>
        <w:tc>
          <w:tcPr>
            <w:tcW w:w="997" w:type="pct"/>
            <w:vAlign w:val="center"/>
          </w:tcPr>
          <w:p w14:paraId="4E03BD75" w14:textId="77777777" w:rsidR="00E57DAA" w:rsidRDefault="00AC4185">
            <w:pPr>
              <w:ind w:right="73"/>
              <w:jc w:val="right"/>
              <w:rPr>
                <w:szCs w:val="21"/>
              </w:rPr>
            </w:pPr>
            <w:r>
              <w:t>983,106.54</w:t>
            </w:r>
          </w:p>
        </w:tc>
        <w:tc>
          <w:tcPr>
            <w:tcW w:w="955" w:type="pct"/>
            <w:vAlign w:val="center"/>
          </w:tcPr>
          <w:p w14:paraId="00881AB5" w14:textId="77777777" w:rsidR="00E57DAA" w:rsidRDefault="00AC4185">
            <w:pPr>
              <w:jc w:val="right"/>
              <w:rPr>
                <w:szCs w:val="21"/>
              </w:rPr>
            </w:pPr>
            <w:r>
              <w:t>158,826,388.72</w:t>
            </w:r>
          </w:p>
        </w:tc>
        <w:tc>
          <w:tcPr>
            <w:tcW w:w="955" w:type="pct"/>
            <w:vAlign w:val="center"/>
          </w:tcPr>
          <w:p w14:paraId="00754622" w14:textId="77777777" w:rsidR="00E57DAA" w:rsidRDefault="00AC4185">
            <w:pPr>
              <w:jc w:val="right"/>
              <w:rPr>
                <w:szCs w:val="21"/>
              </w:rPr>
            </w:pPr>
            <w:r>
              <w:t>159,809,495.26</w:t>
            </w:r>
          </w:p>
        </w:tc>
        <w:tc>
          <w:tcPr>
            <w:tcW w:w="598" w:type="pct"/>
            <w:vAlign w:val="center"/>
          </w:tcPr>
          <w:p w14:paraId="2E10388E" w14:textId="77777777" w:rsidR="00E57DAA" w:rsidRDefault="00AC4185">
            <w:pPr>
              <w:jc w:val="right"/>
              <w:rPr>
                <w:szCs w:val="21"/>
              </w:rPr>
            </w:pPr>
            <w:r>
              <w:t>6.66</w:t>
            </w:r>
          </w:p>
        </w:tc>
        <w:tc>
          <w:tcPr>
            <w:tcW w:w="896" w:type="pct"/>
            <w:vAlign w:val="center"/>
          </w:tcPr>
          <w:p w14:paraId="3F567963" w14:textId="77777777" w:rsidR="00E57DAA" w:rsidRDefault="00AC4185">
            <w:pPr>
              <w:jc w:val="right"/>
              <w:rPr>
                <w:szCs w:val="21"/>
              </w:rPr>
            </w:pPr>
            <w:r>
              <w:t>4,026,336.31</w:t>
            </w:r>
          </w:p>
        </w:tc>
      </w:tr>
      <w:tr w:rsidR="00E57DAA" w14:paraId="50689777" w14:textId="77777777">
        <w:trPr>
          <w:cantSplit/>
        </w:trPr>
        <w:tc>
          <w:tcPr>
            <w:tcW w:w="598" w:type="pct"/>
          </w:tcPr>
          <w:p w14:paraId="671CAF40" w14:textId="77777777" w:rsidR="00E57DAA" w:rsidRDefault="00AC4185">
            <w:pPr>
              <w:ind w:right="105"/>
              <w:rPr>
                <w:szCs w:val="21"/>
              </w:rPr>
            </w:pPr>
            <w:r>
              <w:rPr>
                <w:rFonts w:hint="eastAsia"/>
                <w:szCs w:val="21"/>
              </w:rPr>
              <w:t>应收账款和合同资产第三名</w:t>
            </w:r>
          </w:p>
        </w:tc>
        <w:tc>
          <w:tcPr>
            <w:tcW w:w="997" w:type="pct"/>
            <w:vAlign w:val="center"/>
          </w:tcPr>
          <w:p w14:paraId="527C0E47" w14:textId="77777777" w:rsidR="00E57DAA" w:rsidRDefault="00AC4185">
            <w:pPr>
              <w:ind w:right="73"/>
              <w:jc w:val="right"/>
              <w:rPr>
                <w:szCs w:val="21"/>
              </w:rPr>
            </w:pPr>
            <w:r>
              <w:t>2,790,782.00</w:t>
            </w:r>
          </w:p>
        </w:tc>
        <w:tc>
          <w:tcPr>
            <w:tcW w:w="955" w:type="pct"/>
            <w:vAlign w:val="center"/>
          </w:tcPr>
          <w:p w14:paraId="7C3CA670" w14:textId="77777777" w:rsidR="00E57DAA" w:rsidRDefault="00AC4185">
            <w:pPr>
              <w:jc w:val="right"/>
              <w:rPr>
                <w:szCs w:val="21"/>
              </w:rPr>
            </w:pPr>
            <w:r>
              <w:t>134,584,901.50</w:t>
            </w:r>
          </w:p>
        </w:tc>
        <w:tc>
          <w:tcPr>
            <w:tcW w:w="955" w:type="pct"/>
            <w:vAlign w:val="center"/>
          </w:tcPr>
          <w:p w14:paraId="3DC9FF10" w14:textId="77777777" w:rsidR="00E57DAA" w:rsidRDefault="00AC4185">
            <w:pPr>
              <w:jc w:val="right"/>
              <w:rPr>
                <w:szCs w:val="21"/>
              </w:rPr>
            </w:pPr>
            <w:r>
              <w:t>137,375,683.50</w:t>
            </w:r>
          </w:p>
        </w:tc>
        <w:tc>
          <w:tcPr>
            <w:tcW w:w="598" w:type="pct"/>
            <w:vAlign w:val="center"/>
          </w:tcPr>
          <w:p w14:paraId="094AE3B4" w14:textId="77777777" w:rsidR="00E57DAA" w:rsidRDefault="00AC4185">
            <w:pPr>
              <w:jc w:val="right"/>
              <w:rPr>
                <w:szCs w:val="21"/>
              </w:rPr>
            </w:pPr>
            <w:r>
              <w:t>5.72</w:t>
            </w:r>
          </w:p>
        </w:tc>
        <w:tc>
          <w:tcPr>
            <w:tcW w:w="896" w:type="pct"/>
            <w:vAlign w:val="center"/>
          </w:tcPr>
          <w:p w14:paraId="190E3088" w14:textId="77777777" w:rsidR="00E57DAA" w:rsidRDefault="00AC4185">
            <w:pPr>
              <w:jc w:val="right"/>
              <w:rPr>
                <w:szCs w:val="21"/>
              </w:rPr>
            </w:pPr>
            <w:r>
              <w:t>3,255,803.70</w:t>
            </w:r>
          </w:p>
        </w:tc>
      </w:tr>
      <w:tr w:rsidR="00E57DAA" w14:paraId="0DBA169F" w14:textId="77777777">
        <w:trPr>
          <w:cantSplit/>
        </w:trPr>
        <w:tc>
          <w:tcPr>
            <w:tcW w:w="598" w:type="pct"/>
          </w:tcPr>
          <w:p w14:paraId="578783B3" w14:textId="77777777" w:rsidR="00E57DAA" w:rsidRDefault="00AC4185">
            <w:pPr>
              <w:ind w:right="105"/>
              <w:rPr>
                <w:szCs w:val="21"/>
              </w:rPr>
            </w:pPr>
            <w:r>
              <w:rPr>
                <w:rFonts w:hint="eastAsia"/>
                <w:szCs w:val="21"/>
              </w:rPr>
              <w:t>应收账款和合同资产第四名</w:t>
            </w:r>
          </w:p>
        </w:tc>
        <w:tc>
          <w:tcPr>
            <w:tcW w:w="997" w:type="pct"/>
            <w:vAlign w:val="center"/>
          </w:tcPr>
          <w:p w14:paraId="04D45135" w14:textId="77777777" w:rsidR="00E57DAA" w:rsidRDefault="00AC4185">
            <w:pPr>
              <w:ind w:right="73"/>
              <w:jc w:val="right"/>
              <w:rPr>
                <w:szCs w:val="21"/>
              </w:rPr>
            </w:pPr>
            <w:r>
              <w:t>132,546,015.20</w:t>
            </w:r>
          </w:p>
        </w:tc>
        <w:tc>
          <w:tcPr>
            <w:tcW w:w="955" w:type="pct"/>
            <w:vAlign w:val="center"/>
          </w:tcPr>
          <w:p w14:paraId="603C164C" w14:textId="77777777" w:rsidR="00E57DAA" w:rsidRDefault="00E57DAA">
            <w:pPr>
              <w:jc w:val="right"/>
              <w:rPr>
                <w:szCs w:val="21"/>
              </w:rPr>
            </w:pPr>
          </w:p>
        </w:tc>
        <w:tc>
          <w:tcPr>
            <w:tcW w:w="955" w:type="pct"/>
            <w:vAlign w:val="center"/>
          </w:tcPr>
          <w:p w14:paraId="7C305CB7" w14:textId="77777777" w:rsidR="00E57DAA" w:rsidRDefault="00AC4185">
            <w:pPr>
              <w:jc w:val="right"/>
              <w:rPr>
                <w:szCs w:val="21"/>
              </w:rPr>
            </w:pPr>
            <w:r>
              <w:t>132,546,015.20</w:t>
            </w:r>
          </w:p>
        </w:tc>
        <w:tc>
          <w:tcPr>
            <w:tcW w:w="598" w:type="pct"/>
            <w:vAlign w:val="center"/>
          </w:tcPr>
          <w:p w14:paraId="6661C307" w14:textId="77777777" w:rsidR="00E57DAA" w:rsidRDefault="00AC4185">
            <w:pPr>
              <w:jc w:val="right"/>
              <w:rPr>
                <w:szCs w:val="21"/>
              </w:rPr>
            </w:pPr>
            <w:r>
              <w:t>5.52</w:t>
            </w:r>
          </w:p>
        </w:tc>
        <w:tc>
          <w:tcPr>
            <w:tcW w:w="896" w:type="pct"/>
            <w:vAlign w:val="center"/>
          </w:tcPr>
          <w:p w14:paraId="4F83C8C5" w14:textId="77777777" w:rsidR="00E57DAA" w:rsidRDefault="00AC4185">
            <w:pPr>
              <w:jc w:val="right"/>
              <w:rPr>
                <w:szCs w:val="21"/>
              </w:rPr>
            </w:pPr>
            <w:r>
              <w:t>4,521,109.92</w:t>
            </w:r>
          </w:p>
        </w:tc>
      </w:tr>
      <w:tr w:rsidR="00E57DAA" w14:paraId="47365088" w14:textId="77777777">
        <w:trPr>
          <w:cantSplit/>
        </w:trPr>
        <w:tc>
          <w:tcPr>
            <w:tcW w:w="598" w:type="pct"/>
          </w:tcPr>
          <w:p w14:paraId="37027833" w14:textId="77777777" w:rsidR="00E57DAA" w:rsidRDefault="00AC4185">
            <w:pPr>
              <w:ind w:right="105"/>
              <w:rPr>
                <w:szCs w:val="21"/>
              </w:rPr>
            </w:pPr>
            <w:r>
              <w:rPr>
                <w:rFonts w:hint="eastAsia"/>
                <w:szCs w:val="21"/>
              </w:rPr>
              <w:lastRenderedPageBreak/>
              <w:t>应收账款和合同资产第五名</w:t>
            </w:r>
          </w:p>
        </w:tc>
        <w:tc>
          <w:tcPr>
            <w:tcW w:w="997" w:type="pct"/>
            <w:vAlign w:val="center"/>
          </w:tcPr>
          <w:p w14:paraId="74CA1D55" w14:textId="77777777" w:rsidR="00E57DAA" w:rsidRDefault="00E57DAA">
            <w:pPr>
              <w:ind w:right="73"/>
              <w:jc w:val="right"/>
              <w:rPr>
                <w:szCs w:val="21"/>
              </w:rPr>
            </w:pPr>
          </w:p>
        </w:tc>
        <w:tc>
          <w:tcPr>
            <w:tcW w:w="955" w:type="pct"/>
            <w:vAlign w:val="center"/>
          </w:tcPr>
          <w:p w14:paraId="08D439CC" w14:textId="77777777" w:rsidR="00E57DAA" w:rsidRDefault="00AC4185">
            <w:pPr>
              <w:jc w:val="right"/>
              <w:rPr>
                <w:szCs w:val="21"/>
              </w:rPr>
            </w:pPr>
            <w:r>
              <w:t>101,047,128.23</w:t>
            </w:r>
          </w:p>
        </w:tc>
        <w:tc>
          <w:tcPr>
            <w:tcW w:w="955" w:type="pct"/>
            <w:vAlign w:val="center"/>
          </w:tcPr>
          <w:p w14:paraId="50B9FA96" w14:textId="77777777" w:rsidR="00E57DAA" w:rsidRDefault="00AC4185">
            <w:pPr>
              <w:jc w:val="right"/>
              <w:rPr>
                <w:szCs w:val="21"/>
              </w:rPr>
            </w:pPr>
            <w:r>
              <w:t>101,047,128.23</w:t>
            </w:r>
          </w:p>
        </w:tc>
        <w:tc>
          <w:tcPr>
            <w:tcW w:w="598" w:type="pct"/>
            <w:vAlign w:val="center"/>
          </w:tcPr>
          <w:p w14:paraId="09CF1E2B" w14:textId="77777777" w:rsidR="00E57DAA" w:rsidRDefault="00AC4185">
            <w:pPr>
              <w:jc w:val="right"/>
              <w:rPr>
                <w:szCs w:val="21"/>
              </w:rPr>
            </w:pPr>
            <w:r>
              <w:t>4.21</w:t>
            </w:r>
          </w:p>
        </w:tc>
        <w:tc>
          <w:tcPr>
            <w:tcW w:w="896" w:type="pct"/>
            <w:vAlign w:val="center"/>
          </w:tcPr>
          <w:p w14:paraId="69C50AA5" w14:textId="77777777" w:rsidR="00E57DAA" w:rsidRDefault="00AC4185">
            <w:pPr>
              <w:jc w:val="right"/>
              <w:rPr>
                <w:szCs w:val="21"/>
              </w:rPr>
            </w:pPr>
            <w:r>
              <w:t>6,141,524.93</w:t>
            </w:r>
          </w:p>
        </w:tc>
      </w:tr>
      <w:tr w:rsidR="00E57DAA" w14:paraId="04D7745D" w14:textId="77777777">
        <w:trPr>
          <w:cantSplit/>
        </w:trPr>
        <w:tc>
          <w:tcPr>
            <w:tcW w:w="598" w:type="pct"/>
          </w:tcPr>
          <w:p w14:paraId="09BC3D2A" w14:textId="77777777" w:rsidR="00E57DAA" w:rsidRDefault="00AC4185">
            <w:pPr>
              <w:ind w:right="105"/>
              <w:jc w:val="center"/>
              <w:rPr>
                <w:szCs w:val="21"/>
              </w:rPr>
            </w:pPr>
            <w:r>
              <w:rPr>
                <w:rFonts w:hint="eastAsia"/>
                <w:szCs w:val="21"/>
              </w:rPr>
              <w:t>合计</w:t>
            </w:r>
          </w:p>
        </w:tc>
        <w:tc>
          <w:tcPr>
            <w:tcW w:w="997" w:type="pct"/>
            <w:vAlign w:val="center"/>
          </w:tcPr>
          <w:p w14:paraId="158319E0" w14:textId="77777777" w:rsidR="00E57DAA" w:rsidRDefault="00AC4185">
            <w:pPr>
              <w:ind w:right="73"/>
              <w:jc w:val="right"/>
              <w:rPr>
                <w:szCs w:val="21"/>
              </w:rPr>
            </w:pPr>
            <w:r>
              <w:t>370,534,190.32</w:t>
            </w:r>
          </w:p>
        </w:tc>
        <w:tc>
          <w:tcPr>
            <w:tcW w:w="955" w:type="pct"/>
            <w:vAlign w:val="center"/>
          </w:tcPr>
          <w:p w14:paraId="618460E4" w14:textId="77777777" w:rsidR="00E57DAA" w:rsidRDefault="00AC4185">
            <w:pPr>
              <w:jc w:val="right"/>
              <w:rPr>
                <w:szCs w:val="21"/>
              </w:rPr>
            </w:pPr>
            <w:r>
              <w:t>394,458,418.45</w:t>
            </w:r>
          </w:p>
        </w:tc>
        <w:tc>
          <w:tcPr>
            <w:tcW w:w="955" w:type="pct"/>
            <w:vAlign w:val="center"/>
          </w:tcPr>
          <w:p w14:paraId="2E8605B6" w14:textId="77777777" w:rsidR="00E57DAA" w:rsidRDefault="00AC4185">
            <w:pPr>
              <w:jc w:val="right"/>
              <w:rPr>
                <w:szCs w:val="21"/>
              </w:rPr>
            </w:pPr>
            <w:r>
              <w:t>764,992,608.77</w:t>
            </w:r>
          </w:p>
        </w:tc>
        <w:tc>
          <w:tcPr>
            <w:tcW w:w="598" w:type="pct"/>
            <w:vAlign w:val="center"/>
          </w:tcPr>
          <w:p w14:paraId="6695ECC2" w14:textId="77777777" w:rsidR="00E57DAA" w:rsidRDefault="00AC4185">
            <w:pPr>
              <w:jc w:val="right"/>
              <w:rPr>
                <w:szCs w:val="21"/>
              </w:rPr>
            </w:pPr>
            <w:r>
              <w:t>31.87</w:t>
            </w:r>
          </w:p>
        </w:tc>
        <w:tc>
          <w:tcPr>
            <w:tcW w:w="896" w:type="pct"/>
            <w:vAlign w:val="center"/>
          </w:tcPr>
          <w:p w14:paraId="20A8BFEC" w14:textId="77777777" w:rsidR="00E57DAA" w:rsidRDefault="00AC4185">
            <w:pPr>
              <w:jc w:val="right"/>
              <w:rPr>
                <w:szCs w:val="21"/>
              </w:rPr>
            </w:pPr>
            <w:r>
              <w:t>28,611,542.05</w:t>
            </w:r>
          </w:p>
        </w:tc>
      </w:tr>
    </w:tbl>
    <w:p w14:paraId="5897CD07" w14:textId="77777777" w:rsidR="00E57DAA" w:rsidRDefault="00E57DAA">
      <w:pPr>
        <w:snapToGrid w:val="0"/>
        <w:spacing w:line="240" w:lineRule="atLeast"/>
        <w:rPr>
          <w:szCs w:val="21"/>
        </w:rPr>
      </w:pPr>
    </w:p>
    <w:bookmarkEnd w:id="327"/>
    <w:bookmarkEnd w:id="326"/>
    <w:p w14:paraId="52A17D0E" w14:textId="77777777" w:rsidR="00E57DAA" w:rsidRDefault="00E57DAA">
      <w:pPr>
        <w:snapToGrid w:val="0"/>
        <w:spacing w:line="240" w:lineRule="atLeast"/>
        <w:rPr>
          <w:rFonts w:ascii="Times New Roman" w:hAnsi="Times New Roman"/>
        </w:rPr>
      </w:pPr>
    </w:p>
    <w:p w14:paraId="18475110" w14:textId="77777777" w:rsidR="00E57DAA" w:rsidRDefault="00AC4185" w:rsidP="00C25422">
      <w:pPr>
        <w:pStyle w:val="92"/>
      </w:pPr>
      <w:r>
        <w:rPr>
          <w:rFonts w:hint="eastAsia"/>
        </w:rPr>
        <w:t>其他</w:t>
      </w:r>
      <w:r>
        <w:t>说明：</w:t>
      </w:r>
    </w:p>
    <w:sdt>
      <w:sdtPr>
        <w:alias w:val="是否适用：母公司应收账款其他说明[双击切换]"/>
        <w:tag w:val="_GBC_4765684a53b9474f898fa6c2bd313427"/>
        <w:id w:val="218329624"/>
        <w:placeholder>
          <w:docPart w:val="GBC22222222222222222222222222222"/>
        </w:placeholder>
      </w:sdtPr>
      <w:sdtEndPr/>
      <w:sdtContent>
        <w:p w14:paraId="02FD9787"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AAB8CF" w14:textId="77777777" w:rsidR="00E57DAA" w:rsidRDefault="00E57DAA">
      <w:pPr>
        <w:snapToGrid w:val="0"/>
        <w:spacing w:line="240" w:lineRule="atLeast"/>
      </w:pPr>
    </w:p>
    <w:p w14:paraId="1180C1D5" w14:textId="77777777" w:rsidR="00E57DAA" w:rsidRDefault="00AC4185" w:rsidP="00C25422">
      <w:pPr>
        <w:pStyle w:val="91"/>
        <w:numPr>
          <w:ilvl w:val="0"/>
          <w:numId w:val="132"/>
        </w:numPr>
      </w:pPr>
      <w:r>
        <w:rPr>
          <w:rFonts w:hint="eastAsia"/>
        </w:rPr>
        <w:t>其他应收款</w:t>
      </w:r>
    </w:p>
    <w:p w14:paraId="1398D0B0" w14:textId="77777777" w:rsidR="00E57DAA" w:rsidRDefault="00AC4185">
      <w:pPr>
        <w:pStyle w:val="4"/>
      </w:pPr>
      <w:r>
        <w:rPr>
          <w:rFonts w:hint="eastAsia"/>
        </w:rPr>
        <w:t>项目列示</w:t>
      </w:r>
    </w:p>
    <w:bookmarkStart w:id="328" w:name="_Hlk153789873" w:displacedByCustomXml="next"/>
    <w:bookmarkStart w:id="329" w:name="_Hlk533796954" w:displacedByCustomXml="next"/>
    <w:sdt>
      <w:sdtPr>
        <w:alias w:val="是否适用：母公司其他应收款分类列示[双击切换]"/>
        <w:tag w:val="_GBC_eca97260629e4985b01404cfe0f9630b"/>
        <w:id w:val="1328017169"/>
        <w:placeholder>
          <w:docPart w:val="GBC22222222222222222222222222222"/>
        </w:placeholder>
      </w:sdtPr>
      <w:sdtEndPr/>
      <w:sdtContent>
        <w:p w14:paraId="688AAE4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4CB86E" w14:textId="77777777" w:rsidR="00E57DAA" w:rsidRDefault="00AC4185">
      <w:pPr>
        <w:jc w:val="right"/>
        <w:rPr>
          <w:szCs w:val="21"/>
        </w:rPr>
      </w:pPr>
      <w:r>
        <w:rPr>
          <w:rFonts w:hint="eastAsia"/>
          <w:szCs w:val="21"/>
        </w:rPr>
        <w:t>单位：</w:t>
      </w:r>
      <w:sdt>
        <w:sdtPr>
          <w:rPr>
            <w:rFonts w:hint="eastAsia"/>
            <w:szCs w:val="21"/>
          </w:rPr>
          <w:alias w:val="单位：母公司其他应收款分类列示"/>
          <w:tag w:val="_GBC_3e648241a63447daac5dd00971efb146"/>
          <w:id w:val="-8895696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6221899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E57DAA" w14:paraId="73AEFB92" w14:textId="77777777">
        <w:trPr>
          <w:cantSplit/>
        </w:trPr>
        <w:sdt>
          <w:sdtPr>
            <w:tag w:val="_PLD_3fbe550dc0704e7ebed42463d474129d"/>
            <w:id w:val="-550532477"/>
          </w:sdtPr>
          <w:sdtEndPr/>
          <w:sdtContent>
            <w:tc>
              <w:tcPr>
                <w:tcW w:w="1764" w:type="pct"/>
                <w:vAlign w:val="center"/>
              </w:tcPr>
              <w:p w14:paraId="394C173F" w14:textId="77777777" w:rsidR="00E57DAA" w:rsidRDefault="00AC4185">
                <w:pPr>
                  <w:jc w:val="center"/>
                  <w:rPr>
                    <w:szCs w:val="21"/>
                  </w:rPr>
                </w:pPr>
                <w:r>
                  <w:rPr>
                    <w:rFonts w:hint="eastAsia"/>
                    <w:szCs w:val="21"/>
                  </w:rPr>
                  <w:t>项目</w:t>
                </w:r>
              </w:p>
            </w:tc>
          </w:sdtContent>
        </w:sdt>
        <w:sdt>
          <w:sdtPr>
            <w:tag w:val="_PLD_5161bba6c7a3460784316b0695f47487"/>
            <w:id w:val="340900493"/>
          </w:sdtPr>
          <w:sdtEndPr/>
          <w:sdtContent>
            <w:tc>
              <w:tcPr>
                <w:tcW w:w="1622" w:type="pct"/>
                <w:vAlign w:val="center"/>
              </w:tcPr>
              <w:p w14:paraId="3724AA13" w14:textId="77777777" w:rsidR="00E57DAA" w:rsidRDefault="00AC4185">
                <w:pPr>
                  <w:jc w:val="center"/>
                  <w:rPr>
                    <w:szCs w:val="21"/>
                  </w:rPr>
                </w:pPr>
                <w:r>
                  <w:rPr>
                    <w:rFonts w:hint="eastAsia"/>
                    <w:szCs w:val="21"/>
                  </w:rPr>
                  <w:t>期末余额</w:t>
                </w:r>
              </w:p>
            </w:tc>
          </w:sdtContent>
        </w:sdt>
        <w:sdt>
          <w:sdtPr>
            <w:tag w:val="_PLD_54007dfc9bc24ec0b86bc4694efe4938"/>
            <w:id w:val="607937020"/>
          </w:sdtPr>
          <w:sdtEndPr/>
          <w:sdtContent>
            <w:tc>
              <w:tcPr>
                <w:tcW w:w="1614" w:type="pct"/>
                <w:vAlign w:val="center"/>
              </w:tcPr>
              <w:p w14:paraId="149D5ABF" w14:textId="77777777" w:rsidR="00E57DAA" w:rsidRDefault="00AC4185">
                <w:pPr>
                  <w:jc w:val="center"/>
                  <w:rPr>
                    <w:szCs w:val="21"/>
                  </w:rPr>
                </w:pPr>
                <w:r>
                  <w:rPr>
                    <w:rFonts w:hint="eastAsia"/>
                    <w:szCs w:val="21"/>
                  </w:rPr>
                  <w:t>期初余额</w:t>
                </w:r>
              </w:p>
            </w:tc>
          </w:sdtContent>
        </w:sdt>
      </w:tr>
      <w:tr w:rsidR="00E57DAA" w14:paraId="65F0B426" w14:textId="77777777">
        <w:trPr>
          <w:cantSplit/>
        </w:trPr>
        <w:tc>
          <w:tcPr>
            <w:tcW w:w="1764" w:type="pct"/>
          </w:tcPr>
          <w:p w14:paraId="1AF5F3FF" w14:textId="77777777" w:rsidR="00E57DAA" w:rsidRDefault="00AC4185">
            <w:pPr>
              <w:ind w:right="5"/>
              <w:rPr>
                <w:szCs w:val="21"/>
              </w:rPr>
            </w:pPr>
            <w:r>
              <w:rPr>
                <w:rFonts w:hint="eastAsia"/>
                <w:szCs w:val="21"/>
              </w:rPr>
              <w:t>应收利息</w:t>
            </w:r>
          </w:p>
        </w:tc>
        <w:tc>
          <w:tcPr>
            <w:tcW w:w="1622" w:type="pct"/>
            <w:vAlign w:val="center"/>
          </w:tcPr>
          <w:p w14:paraId="689E3D19" w14:textId="77777777" w:rsidR="00E57DAA" w:rsidRDefault="00E57DAA">
            <w:pPr>
              <w:ind w:right="5"/>
              <w:jc w:val="right"/>
              <w:rPr>
                <w:szCs w:val="21"/>
              </w:rPr>
            </w:pPr>
          </w:p>
        </w:tc>
        <w:tc>
          <w:tcPr>
            <w:tcW w:w="1614" w:type="pct"/>
            <w:vAlign w:val="center"/>
          </w:tcPr>
          <w:p w14:paraId="199AE284" w14:textId="77777777" w:rsidR="00E57DAA" w:rsidRDefault="00E57DAA">
            <w:pPr>
              <w:ind w:right="5"/>
              <w:jc w:val="right"/>
              <w:rPr>
                <w:szCs w:val="21"/>
              </w:rPr>
            </w:pPr>
          </w:p>
        </w:tc>
      </w:tr>
      <w:tr w:rsidR="00E57DAA" w14:paraId="78367CCA" w14:textId="77777777">
        <w:trPr>
          <w:cantSplit/>
        </w:trPr>
        <w:tc>
          <w:tcPr>
            <w:tcW w:w="1764" w:type="pct"/>
          </w:tcPr>
          <w:p w14:paraId="5E3BF99C" w14:textId="77777777" w:rsidR="00E57DAA" w:rsidRDefault="00AC4185">
            <w:pPr>
              <w:ind w:right="5"/>
              <w:rPr>
                <w:szCs w:val="21"/>
              </w:rPr>
            </w:pPr>
            <w:r>
              <w:rPr>
                <w:rFonts w:hint="eastAsia"/>
                <w:szCs w:val="21"/>
              </w:rPr>
              <w:t>应收股利</w:t>
            </w:r>
          </w:p>
        </w:tc>
        <w:tc>
          <w:tcPr>
            <w:tcW w:w="1622" w:type="pct"/>
            <w:vAlign w:val="center"/>
          </w:tcPr>
          <w:p w14:paraId="3DE3AD6A" w14:textId="77777777" w:rsidR="00E57DAA" w:rsidRDefault="00AC4185">
            <w:pPr>
              <w:ind w:right="5"/>
              <w:jc w:val="right"/>
              <w:rPr>
                <w:szCs w:val="21"/>
              </w:rPr>
            </w:pPr>
            <w:r>
              <w:t>617,634,826.69</w:t>
            </w:r>
          </w:p>
        </w:tc>
        <w:tc>
          <w:tcPr>
            <w:tcW w:w="1614" w:type="pct"/>
            <w:vAlign w:val="center"/>
          </w:tcPr>
          <w:p w14:paraId="628089E2" w14:textId="77777777" w:rsidR="00E57DAA" w:rsidRDefault="00AC4185">
            <w:pPr>
              <w:ind w:right="5"/>
              <w:jc w:val="right"/>
              <w:rPr>
                <w:szCs w:val="21"/>
              </w:rPr>
            </w:pPr>
            <w:r>
              <w:t>611,822,903.24</w:t>
            </w:r>
          </w:p>
        </w:tc>
      </w:tr>
      <w:tr w:rsidR="00E57DAA" w14:paraId="527397B7" w14:textId="77777777">
        <w:trPr>
          <w:cantSplit/>
        </w:trPr>
        <w:tc>
          <w:tcPr>
            <w:tcW w:w="1764" w:type="pct"/>
          </w:tcPr>
          <w:p w14:paraId="5D5E3B7B" w14:textId="77777777" w:rsidR="00E57DAA" w:rsidRDefault="00AC4185">
            <w:pPr>
              <w:ind w:right="5"/>
              <w:rPr>
                <w:szCs w:val="21"/>
              </w:rPr>
            </w:pPr>
            <w:r>
              <w:rPr>
                <w:rFonts w:hint="eastAsia"/>
                <w:szCs w:val="21"/>
              </w:rPr>
              <w:t>其他应收款</w:t>
            </w:r>
          </w:p>
        </w:tc>
        <w:tc>
          <w:tcPr>
            <w:tcW w:w="1622" w:type="pct"/>
            <w:vAlign w:val="center"/>
          </w:tcPr>
          <w:p w14:paraId="031CBF52" w14:textId="77777777" w:rsidR="00E57DAA" w:rsidRDefault="00AC4185">
            <w:pPr>
              <w:ind w:right="5"/>
              <w:jc w:val="right"/>
              <w:rPr>
                <w:szCs w:val="21"/>
              </w:rPr>
            </w:pPr>
            <w:r>
              <w:t>2,667,996,400.04</w:t>
            </w:r>
          </w:p>
        </w:tc>
        <w:tc>
          <w:tcPr>
            <w:tcW w:w="1614" w:type="pct"/>
            <w:vAlign w:val="center"/>
          </w:tcPr>
          <w:p w14:paraId="00E453E8" w14:textId="77777777" w:rsidR="00E57DAA" w:rsidRDefault="00AC4185">
            <w:pPr>
              <w:ind w:right="5"/>
              <w:jc w:val="right"/>
              <w:rPr>
                <w:szCs w:val="21"/>
              </w:rPr>
            </w:pPr>
            <w:r>
              <w:t>2,532,715,076.66</w:t>
            </w:r>
          </w:p>
        </w:tc>
      </w:tr>
      <w:tr w:rsidR="00E57DAA" w14:paraId="7F56D081" w14:textId="77777777">
        <w:trPr>
          <w:cantSplit/>
        </w:trPr>
        <w:tc>
          <w:tcPr>
            <w:tcW w:w="1764" w:type="pct"/>
          </w:tcPr>
          <w:p w14:paraId="37902D4E" w14:textId="77777777" w:rsidR="00E57DAA" w:rsidRDefault="00AC4185">
            <w:pPr>
              <w:autoSpaceDE w:val="0"/>
              <w:autoSpaceDN w:val="0"/>
              <w:adjustRightInd w:val="0"/>
              <w:rPr>
                <w:szCs w:val="21"/>
              </w:rPr>
            </w:pPr>
            <w:r>
              <w:rPr>
                <w:rFonts w:hint="eastAsia"/>
                <w:szCs w:val="21"/>
              </w:rPr>
              <w:t>合计</w:t>
            </w:r>
          </w:p>
        </w:tc>
        <w:tc>
          <w:tcPr>
            <w:tcW w:w="1622" w:type="pct"/>
            <w:vAlign w:val="center"/>
          </w:tcPr>
          <w:p w14:paraId="3126CA4D" w14:textId="77777777" w:rsidR="00E57DAA" w:rsidRDefault="00AC4185">
            <w:pPr>
              <w:jc w:val="right"/>
              <w:rPr>
                <w:szCs w:val="21"/>
              </w:rPr>
            </w:pPr>
            <w:r>
              <w:t>3,285,631,226.73</w:t>
            </w:r>
          </w:p>
        </w:tc>
        <w:tc>
          <w:tcPr>
            <w:tcW w:w="1614" w:type="pct"/>
            <w:vAlign w:val="center"/>
          </w:tcPr>
          <w:p w14:paraId="382BB1F5" w14:textId="77777777" w:rsidR="00E57DAA" w:rsidRDefault="00AC4185">
            <w:pPr>
              <w:jc w:val="right"/>
              <w:rPr>
                <w:szCs w:val="21"/>
              </w:rPr>
            </w:pPr>
            <w:r>
              <w:t>3,144,537,979.90</w:t>
            </w:r>
          </w:p>
        </w:tc>
      </w:tr>
      <w:bookmarkEnd w:id="328"/>
    </w:tbl>
    <w:p w14:paraId="4089D029" w14:textId="77777777" w:rsidR="00E57DAA" w:rsidRDefault="00E57DAA" w:rsidP="00C25422">
      <w:pPr>
        <w:pStyle w:val="92"/>
      </w:pPr>
    </w:p>
    <w:p w14:paraId="020392EF" w14:textId="77777777" w:rsidR="00E57DAA" w:rsidRDefault="00AC4185">
      <w:pPr>
        <w:rPr>
          <w:szCs w:val="21"/>
        </w:rPr>
      </w:pPr>
      <w:r>
        <w:rPr>
          <w:rFonts w:hint="eastAsia"/>
          <w:szCs w:val="21"/>
        </w:rPr>
        <w:t>其他说明：</w:t>
      </w:r>
    </w:p>
    <w:bookmarkStart w:id="330" w:name="_Hlk533797002"/>
    <w:bookmarkEnd w:id="329"/>
    <w:p w14:paraId="5E288CBA" w14:textId="77777777" w:rsidR="00E57DAA" w:rsidRDefault="00EB41A1">
      <w:pPr>
        <w:rPr>
          <w:szCs w:val="21"/>
        </w:rPr>
      </w:pPr>
      <w:sdt>
        <w:sdtPr>
          <w:rPr>
            <w:szCs w:val="21"/>
          </w:rPr>
          <w:alias w:val="是否适用：母公司其他应收款分类列示其他说明[双击切换]"/>
          <w:tag w:val="_GBC_17d0b67d20cb486dbc08e07c11e1224a"/>
          <w:id w:val="1442487320"/>
          <w:placeholder>
            <w:docPart w:val="GBC22222222222222222222222222222"/>
          </w:placeholder>
        </w:sdtPr>
        <w:sdtEndPr/>
        <w:sdtContent>
          <w:r w:rsidR="00AC4185">
            <w:rPr>
              <w:szCs w:val="21"/>
            </w:rPr>
            <w:fldChar w:fldCharType="begin"/>
          </w:r>
          <w:r w:rsidR="00AC4185">
            <w:rPr>
              <w:szCs w:val="21"/>
            </w:rPr>
            <w:instrText xml:space="preserve"> MACROBUTTON  SnrToggleCheckbox □适用 </w:instrText>
          </w:r>
          <w:r w:rsidR="00AC4185">
            <w:rPr>
              <w:szCs w:val="21"/>
            </w:rPr>
            <w:fldChar w:fldCharType="end"/>
          </w:r>
          <w:r w:rsidR="00AC4185">
            <w:rPr>
              <w:szCs w:val="21"/>
            </w:rPr>
            <w:fldChar w:fldCharType="begin"/>
          </w:r>
          <w:r w:rsidR="00AC4185">
            <w:rPr>
              <w:szCs w:val="21"/>
            </w:rPr>
            <w:instrText xml:space="preserve"> MACROBUTTON  SnrToggleCheckbox √不适用 </w:instrText>
          </w:r>
          <w:r w:rsidR="00AC4185">
            <w:rPr>
              <w:szCs w:val="21"/>
            </w:rPr>
            <w:fldChar w:fldCharType="end"/>
          </w:r>
        </w:sdtContent>
      </w:sdt>
      <w:r w:rsidR="00AC4185">
        <w:rPr>
          <w:szCs w:val="21"/>
        </w:rPr>
        <w:t xml:space="preserve"> </w:t>
      </w:r>
    </w:p>
    <w:p w14:paraId="54AB945D" w14:textId="77777777" w:rsidR="00E57DAA" w:rsidRDefault="00E57DAA">
      <w:pPr>
        <w:rPr>
          <w:szCs w:val="21"/>
        </w:rPr>
      </w:pPr>
    </w:p>
    <w:bookmarkEnd w:id="330"/>
    <w:p w14:paraId="556787A1" w14:textId="77777777" w:rsidR="00E57DAA" w:rsidRDefault="00AC4185">
      <w:pPr>
        <w:pStyle w:val="4"/>
        <w:ind w:left="360" w:hanging="360"/>
      </w:pPr>
      <w:r>
        <w:rPr>
          <w:rFonts w:hint="eastAsia"/>
        </w:rPr>
        <w:t>应收利息</w:t>
      </w:r>
    </w:p>
    <w:p w14:paraId="7FCB0F24" w14:textId="77777777" w:rsidR="00E57DAA" w:rsidRDefault="00AC4185" w:rsidP="00C25422">
      <w:pPr>
        <w:pStyle w:val="90"/>
        <w:numPr>
          <w:ilvl w:val="0"/>
          <w:numId w:val="134"/>
        </w:numPr>
        <w:ind w:leftChars="0"/>
      </w:pPr>
      <w:r>
        <w:rPr>
          <w:rFonts w:hint="eastAsia"/>
        </w:rPr>
        <w:t>应收利息分类</w:t>
      </w:r>
    </w:p>
    <w:bookmarkStart w:id="331" w:name="_Hlk533797042" w:displacedByCustomXml="next"/>
    <w:sdt>
      <w:sdtPr>
        <w:alias w:val="是否适用：母公司应收利息分类[双击切换]"/>
        <w:tag w:val="_GBC_5e0cba78d09b4764ada25ce89de1c4fd"/>
        <w:id w:val="-1522853959"/>
        <w:placeholder>
          <w:docPart w:val="GBC22222222222222222222222222222"/>
        </w:placeholder>
      </w:sdtPr>
      <w:sdtEndPr/>
      <w:sdtContent>
        <w:p w14:paraId="2C10C83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DEEF95" w14:textId="77777777" w:rsidR="00E57DAA" w:rsidRDefault="00E57DAA">
      <w:pPr>
        <w:rPr>
          <w:szCs w:val="21"/>
        </w:rPr>
      </w:pPr>
    </w:p>
    <w:p w14:paraId="7599E0AC" w14:textId="77777777" w:rsidR="00E57DAA" w:rsidRDefault="00AC4185" w:rsidP="00C25422">
      <w:pPr>
        <w:pStyle w:val="90"/>
        <w:numPr>
          <w:ilvl w:val="0"/>
          <w:numId w:val="134"/>
        </w:numPr>
        <w:ind w:leftChars="0"/>
      </w:pPr>
      <w:r>
        <w:rPr>
          <w:rFonts w:hint="eastAsia"/>
        </w:rPr>
        <w:t>重要逾期利息</w:t>
      </w:r>
    </w:p>
    <w:bookmarkEnd w:id="331" w:displacedByCustomXml="next"/>
    <w:bookmarkStart w:id="332" w:name="_Hlk533797114" w:displacedByCustomXml="next"/>
    <w:sdt>
      <w:sdtPr>
        <w:alias w:val="是否适用：母公司重要逾期利息[双击切换]"/>
        <w:tag w:val="_GBC_2d954f5af6a64a34941652eeb166dce8"/>
        <w:id w:val="1543630170"/>
        <w:placeholder>
          <w:docPart w:val="GBC22222222222222222222222222222"/>
        </w:placeholder>
      </w:sdtPr>
      <w:sdtEndPr/>
      <w:sdtContent>
        <w:p w14:paraId="2B4D138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F220CB" w14:textId="77777777" w:rsidR="00E57DAA" w:rsidRDefault="00E57DAA" w:rsidP="00C25422">
      <w:pPr>
        <w:pStyle w:val="92"/>
      </w:pPr>
    </w:p>
    <w:p w14:paraId="51E0D8EC" w14:textId="77777777" w:rsidR="00E57DAA" w:rsidRDefault="00AC4185" w:rsidP="00C25422">
      <w:pPr>
        <w:pStyle w:val="90"/>
        <w:numPr>
          <w:ilvl w:val="0"/>
          <w:numId w:val="134"/>
        </w:numPr>
        <w:ind w:leftChars="0"/>
      </w:pPr>
      <w:r>
        <w:rPr>
          <w:rFonts w:hint="eastAsia"/>
        </w:rPr>
        <w:t>按</w:t>
      </w:r>
      <w:r>
        <w:t>坏账计提方法分类披露</w:t>
      </w:r>
    </w:p>
    <w:bookmarkStart w:id="333" w:name="_Hlk153789950" w:displacedByCustomXml="next"/>
    <w:bookmarkStart w:id="334" w:name="_Hlk154149455" w:displacedByCustomXml="next"/>
    <w:sdt>
      <w:sdtPr>
        <w:alias w:val="是否适用：按坏账计提方法分类披露[双击切换]"/>
        <w:tag w:val="_GBC_fe4d472a766545fe91e93448a26e5403"/>
        <w:id w:val="287254117"/>
        <w:placeholder>
          <w:docPart w:val="GBC22222222222222222222222222222"/>
        </w:placeholder>
      </w:sdtPr>
      <w:sdtEndPr/>
      <w:sdtContent>
        <w:p w14:paraId="39EEB30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56A621" w14:textId="77777777" w:rsidR="00E57DAA" w:rsidRDefault="00E57DAA" w:rsidP="00C25422">
      <w:pPr>
        <w:pStyle w:val="92"/>
      </w:pPr>
    </w:p>
    <w:p w14:paraId="382FF543" w14:textId="77777777" w:rsidR="00E57DAA" w:rsidRDefault="00AC4185" w:rsidP="00C25422">
      <w:pPr>
        <w:pStyle w:val="92"/>
      </w:pPr>
      <w:r>
        <w:rPr>
          <w:rFonts w:hint="eastAsia"/>
        </w:rPr>
        <w:t>按单项计提坏账准备：</w:t>
      </w:r>
    </w:p>
    <w:sdt>
      <w:sdtPr>
        <w:alias w:val="是否适用：母公司按单项计提坏账准备的详细情况[双击切换]"/>
        <w:tag w:val="_GBC_d06b9654dbc04fa7af49f1a5ad28f657"/>
        <w:id w:val="1382061398"/>
        <w:placeholder>
          <w:docPart w:val="GBC22222222222222222222222222222"/>
        </w:placeholder>
      </w:sdtPr>
      <w:sdtEndPr/>
      <w:sdtContent>
        <w:p w14:paraId="22E0EAC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9C7DAF" w14:textId="77777777" w:rsidR="00E57DAA" w:rsidRDefault="00E57DAA">
      <w:pPr>
        <w:rPr>
          <w:szCs w:val="21"/>
        </w:rPr>
      </w:pPr>
    </w:p>
    <w:p w14:paraId="738E79CA" w14:textId="77777777" w:rsidR="00E57DAA" w:rsidRDefault="00AC4185">
      <w:pPr>
        <w:rPr>
          <w:szCs w:val="21"/>
        </w:rPr>
      </w:pPr>
      <w:r>
        <w:rPr>
          <w:rFonts w:hint="eastAsia"/>
          <w:szCs w:val="21"/>
        </w:rPr>
        <w:t>按单项计提坏账准备的说明：</w:t>
      </w:r>
    </w:p>
    <w:sdt>
      <w:sdtPr>
        <w:rPr>
          <w:szCs w:val="21"/>
        </w:rPr>
        <w:alias w:val="是否适用：母公司按单项计提坏账准备的说明[双击切换]"/>
        <w:tag w:val="_GBC_7a6fa6b7c7de4c12942ac6477ec9ffb8"/>
        <w:id w:val="1481029852"/>
        <w:placeholder>
          <w:docPart w:val="GBC22222222222222222222222222222"/>
        </w:placeholder>
      </w:sdtPr>
      <w:sdtEndPr/>
      <w:sdtContent>
        <w:p w14:paraId="3BE324B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040401" w14:textId="77777777" w:rsidR="00E57DAA" w:rsidRDefault="00E57DAA">
      <w:pPr>
        <w:rPr>
          <w:szCs w:val="21"/>
        </w:rPr>
      </w:pPr>
    </w:p>
    <w:p w14:paraId="791A6271"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ce999ec0925c4191a03a5c3b162652e0"/>
        <w:id w:val="937641058"/>
        <w:placeholder>
          <w:docPart w:val="GBC22222222222222222222222222222"/>
        </w:placeholder>
      </w:sdtPr>
      <w:sdtEndPr/>
      <w:sdtContent>
        <w:p w14:paraId="043F7F37"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130025B1" w14:textId="77777777" w:rsidR="00E57DAA" w:rsidRDefault="00E57DAA">
      <w:pPr>
        <w:rPr>
          <w:szCs w:val="21"/>
        </w:rPr>
      </w:pPr>
    </w:p>
    <w:bookmarkEnd w:id="333"/>
    <w:p w14:paraId="07B2C06F" w14:textId="77777777" w:rsidR="00E57DAA" w:rsidRDefault="00AC4185" w:rsidP="00C25422">
      <w:pPr>
        <w:pStyle w:val="90"/>
        <w:numPr>
          <w:ilvl w:val="0"/>
          <w:numId w:val="134"/>
        </w:numPr>
        <w:ind w:leftChars="0"/>
        <w:rPr>
          <w:rFonts w:asciiTheme="minorHAnsi" w:hAnsiTheme="minorHAnsi" w:cs="宋体"/>
          <w:kern w:val="0"/>
        </w:rPr>
      </w:pPr>
      <w:r>
        <w:rPr>
          <w:rFonts w:asciiTheme="minorHAnsi" w:hAnsiTheme="minorHAnsi" w:cs="宋体" w:hint="eastAsia"/>
          <w:kern w:val="0"/>
        </w:rPr>
        <w:t>按</w:t>
      </w:r>
      <w:r>
        <w:rPr>
          <w:rFonts w:hint="eastAsia"/>
        </w:rPr>
        <w:t>预期信用损失一般模型计提坏账准备</w:t>
      </w:r>
    </w:p>
    <w:bookmarkEnd w:id="332" w:displacedByCustomXml="next"/>
    <w:bookmarkEnd w:id="334" w:displacedByCustomXml="next"/>
    <w:bookmarkStart w:id="335" w:name="_Hlk533868784" w:displacedByCustomXml="next"/>
    <w:sdt>
      <w:sdtPr>
        <w:rPr>
          <w:szCs w:val="21"/>
        </w:rPr>
        <w:alias w:val="是否适用：母公司应收利息坏账准备调节表[双击切换]"/>
        <w:tag w:val="_GBC_f31c9323c5434941917fd7e42ea1fd1b"/>
        <w:id w:val="-1086304147"/>
        <w:placeholder>
          <w:docPart w:val="GBC22222222222222222222222222222"/>
        </w:placeholder>
      </w:sdtPr>
      <w:sdtEndPr/>
      <w:sdtContent>
        <w:p w14:paraId="6F8D2096"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281886" w14:textId="77777777" w:rsidR="00E57DAA" w:rsidRDefault="00E57DAA">
      <w:pPr>
        <w:rPr>
          <w:rFonts w:cs="Times New Roman"/>
          <w:bCs/>
          <w:szCs w:val="22"/>
        </w:rPr>
      </w:pPr>
    </w:p>
    <w:p w14:paraId="6141943C" w14:textId="77777777" w:rsidR="00E57DAA" w:rsidRDefault="00AC4185">
      <w:pPr>
        <w:pStyle w:val="45"/>
      </w:pPr>
      <w:r>
        <w:rPr>
          <w:rFonts w:hint="eastAsia"/>
        </w:rPr>
        <w:t>对本期发生损失准备变动的应收利息账面余额显著变动的情况说明：</w:t>
      </w:r>
    </w:p>
    <w:sdt>
      <w:sdtPr>
        <w:alias w:val="是否适用：母公司应收利息本期发生损失准备变动且账面余额显著变动的情况说明[双击切换]"/>
        <w:tag w:val="_GBC_2798f4ad45d644a484ca2567cd62ed60"/>
        <w:id w:val="-1190058115"/>
        <w:placeholder>
          <w:docPart w:val="GBC22222222222222222222222222222"/>
        </w:placeholder>
      </w:sdtPr>
      <w:sdtEndPr/>
      <w:sdtContent>
        <w:p w14:paraId="2BE0AD8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6E8EFA" w14:textId="77777777" w:rsidR="00E57DAA" w:rsidRDefault="00E57DAA" w:rsidP="00C25422">
      <w:pPr>
        <w:pStyle w:val="92"/>
      </w:pPr>
      <w:bookmarkStart w:id="336" w:name="_Hlk533797211"/>
      <w:bookmarkEnd w:id="335"/>
    </w:p>
    <w:p w14:paraId="5D6FF2B9" w14:textId="77777777" w:rsidR="00E57DAA" w:rsidRDefault="00AC4185" w:rsidP="00C25422">
      <w:pPr>
        <w:pStyle w:val="90"/>
        <w:numPr>
          <w:ilvl w:val="0"/>
          <w:numId w:val="134"/>
        </w:numPr>
        <w:ind w:leftChars="0"/>
      </w:pPr>
      <w:r>
        <w:rPr>
          <w:rFonts w:hint="eastAsia"/>
        </w:rPr>
        <w:lastRenderedPageBreak/>
        <w:t>坏账准备的情况</w:t>
      </w:r>
    </w:p>
    <w:bookmarkEnd w:id="336" w:displacedByCustomXml="next"/>
    <w:bookmarkStart w:id="337" w:name="_Hlk154149866" w:displacedByCustomXml="next"/>
    <w:bookmarkStart w:id="338" w:name="_Hlk153790581" w:displacedByCustomXml="next"/>
    <w:sdt>
      <w:sdtPr>
        <w:alias w:val="是否适用：母公司坏账准备情况[双击切换]"/>
        <w:tag w:val="_GBC_44a257b47fa748eca2cab9dd0877e841"/>
        <w:id w:val="976412525"/>
        <w:placeholder>
          <w:docPart w:val="GBC22222222222222222222222222222"/>
        </w:placeholder>
      </w:sdtPr>
      <w:sdtEndPr/>
      <w:sdtContent>
        <w:p w14:paraId="2ABF7E3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5B04F7" w14:textId="77777777" w:rsidR="00E57DAA" w:rsidRDefault="00E57DAA" w:rsidP="00C25422">
      <w:pPr>
        <w:pStyle w:val="92"/>
      </w:pPr>
    </w:p>
    <w:p w14:paraId="31DA358C" w14:textId="77777777" w:rsidR="00E57DAA" w:rsidRDefault="00AC4185" w:rsidP="00C25422">
      <w:pPr>
        <w:pStyle w:val="92"/>
      </w:pPr>
      <w:r>
        <w:rPr>
          <w:rFonts w:hint="eastAsia"/>
        </w:rPr>
        <w:t>其中本期坏账准备收回或转回金额重要的：</w:t>
      </w:r>
    </w:p>
    <w:sdt>
      <w:sdtPr>
        <w:alias w:val="是否适用：本期坏账准备收回或转回金额重要的[双击切换]"/>
        <w:tag w:val="_GBC_dda1c249e9da4520abee515b8b42f5f4"/>
        <w:id w:val="-932131624"/>
        <w:placeholder>
          <w:docPart w:val="GBC22222222222222222222222222222"/>
        </w:placeholder>
      </w:sdtPr>
      <w:sdtEndPr/>
      <w:sdtContent>
        <w:p w14:paraId="1B45101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86AF66" w14:textId="77777777" w:rsidR="00E57DAA" w:rsidRDefault="00E57DAA">
      <w:pPr>
        <w:ind w:rightChars="-759" w:right="-1594"/>
      </w:pPr>
    </w:p>
    <w:p w14:paraId="2103B79F" w14:textId="77777777" w:rsidR="00E57DAA" w:rsidRDefault="00AC4185" w:rsidP="00C25422">
      <w:pPr>
        <w:pStyle w:val="90"/>
        <w:numPr>
          <w:ilvl w:val="0"/>
          <w:numId w:val="134"/>
        </w:numPr>
        <w:ind w:leftChars="0"/>
      </w:pPr>
      <w:r>
        <w:t>本期实际核销的应收</w:t>
      </w:r>
      <w:r>
        <w:rPr>
          <w:rFonts w:hint="eastAsia"/>
        </w:rPr>
        <w:t>利息</w:t>
      </w:r>
      <w:r>
        <w:t>情况</w:t>
      </w:r>
    </w:p>
    <w:sdt>
      <w:sdtPr>
        <w:alias w:val="是否适用：实际核销的情况[双击切换]"/>
        <w:tag w:val="_GBC_078b310c81244c1d880a4059768019f1"/>
        <w:id w:val="-478769808"/>
        <w:placeholder>
          <w:docPart w:val="GBC22222222222222222222222222222"/>
        </w:placeholder>
      </w:sdtPr>
      <w:sdtEndPr/>
      <w:sdtContent>
        <w:p w14:paraId="26A800E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36F22A" w14:textId="77777777" w:rsidR="00E57DAA" w:rsidRDefault="00E57DAA">
      <w:pPr>
        <w:rPr>
          <w:szCs w:val="21"/>
        </w:rPr>
      </w:pPr>
    </w:p>
    <w:p w14:paraId="54F4E5BC" w14:textId="77777777" w:rsidR="00E57DAA" w:rsidRDefault="00AC4185">
      <w:pPr>
        <w:rPr>
          <w:szCs w:val="21"/>
        </w:rPr>
      </w:pPr>
      <w:r>
        <w:rPr>
          <w:rFonts w:hint="eastAsia"/>
          <w:szCs w:val="21"/>
        </w:rPr>
        <w:t>其中重要的应收利息核销情况</w:t>
      </w:r>
    </w:p>
    <w:sdt>
      <w:sdtPr>
        <w:rPr>
          <w:rFonts w:hint="eastAsia"/>
          <w:szCs w:val="21"/>
        </w:rPr>
        <w:alias w:val="是否适用：母公司重要的核销情况[双击切换]"/>
        <w:tag w:val="_GBC_d68df6b80a1a45bcb388baf56df1b958"/>
        <w:id w:val="1568616079"/>
        <w:placeholder>
          <w:docPart w:val="GBC22222222222222222222222222222"/>
        </w:placeholder>
      </w:sdtPr>
      <w:sdtEndPr/>
      <w:sdtContent>
        <w:p w14:paraId="521E4B24"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3588DB" w14:textId="77777777" w:rsidR="00E57DAA" w:rsidRDefault="00E57DAA">
      <w:pPr>
        <w:rPr>
          <w:szCs w:val="21"/>
        </w:rPr>
      </w:pPr>
    </w:p>
    <w:p w14:paraId="73D01F29" w14:textId="77777777" w:rsidR="00E57DAA" w:rsidRDefault="00AC4185">
      <w:pPr>
        <w:snapToGrid w:val="0"/>
        <w:spacing w:line="240" w:lineRule="atLeast"/>
        <w:rPr>
          <w:szCs w:val="21"/>
        </w:rPr>
      </w:pPr>
      <w:r>
        <w:rPr>
          <w:rFonts w:hint="eastAsia"/>
          <w:szCs w:val="21"/>
        </w:rPr>
        <w:t>核销说明：</w:t>
      </w:r>
    </w:p>
    <w:sdt>
      <w:sdtPr>
        <w:rPr>
          <w:szCs w:val="21"/>
        </w:rPr>
        <w:alias w:val="是否适用：母公司核销说明[双击切换]"/>
        <w:tag w:val="_GBC_dd0453ff96014cb191f4b96cd3787f15"/>
        <w:id w:val="2105372203"/>
        <w:placeholder>
          <w:docPart w:val="GBC22222222222222222222222222222"/>
        </w:placeholder>
      </w:sdtPr>
      <w:sdtEndPr/>
      <w:sdtContent>
        <w:p w14:paraId="12484D6D"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CF06DE" w14:textId="77777777" w:rsidR="00E57DAA" w:rsidRDefault="00E57DAA" w:rsidP="00C25422">
      <w:pPr>
        <w:pStyle w:val="92"/>
      </w:pPr>
    </w:p>
    <w:p w14:paraId="73475C4B" w14:textId="77777777" w:rsidR="00E57DAA" w:rsidRDefault="00AC4185" w:rsidP="00C25422">
      <w:pPr>
        <w:pStyle w:val="92"/>
      </w:pPr>
      <w:r>
        <w:rPr>
          <w:rFonts w:hint="eastAsia"/>
        </w:rPr>
        <w:t>其他说明：</w:t>
      </w:r>
    </w:p>
    <w:bookmarkEnd w:id="337" w:displacedByCustomXml="next"/>
    <w:sdt>
      <w:sdtPr>
        <w:rPr>
          <w:rFonts w:hint="eastAsia"/>
          <w:szCs w:val="21"/>
        </w:rPr>
        <w:alias w:val="是否适用：应收利息的说明[双击切换]"/>
        <w:tag w:val="_GBC_9a3e6e5b075544d3b90be42ae9d883ef"/>
        <w:id w:val="-933353477"/>
        <w:placeholder>
          <w:docPart w:val="GBC22222222222222222222222222222"/>
        </w:placeholder>
      </w:sdtPr>
      <w:sdtEndPr/>
      <w:sdtContent>
        <w:p w14:paraId="13ACADF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38"/>
    <w:p w14:paraId="6299EAC3" w14:textId="77777777" w:rsidR="00E57DAA" w:rsidRDefault="00E57DAA">
      <w:pPr>
        <w:rPr>
          <w:szCs w:val="21"/>
        </w:rPr>
      </w:pPr>
    </w:p>
    <w:p w14:paraId="45D0307A" w14:textId="77777777" w:rsidR="00E57DAA" w:rsidRDefault="00AC4185">
      <w:pPr>
        <w:pStyle w:val="4"/>
        <w:ind w:left="360" w:hanging="360"/>
      </w:pPr>
      <w:r>
        <w:rPr>
          <w:rFonts w:hint="eastAsia"/>
        </w:rPr>
        <w:t>应收股利</w:t>
      </w:r>
    </w:p>
    <w:p w14:paraId="5EE098E7" w14:textId="77777777" w:rsidR="00E57DAA" w:rsidRDefault="00AC4185" w:rsidP="00C25422">
      <w:pPr>
        <w:pStyle w:val="90"/>
        <w:numPr>
          <w:ilvl w:val="0"/>
          <w:numId w:val="134"/>
        </w:numPr>
        <w:ind w:leftChars="0"/>
      </w:pPr>
      <w:r>
        <w:rPr>
          <w:rFonts w:hint="eastAsia"/>
        </w:rPr>
        <w:t>应收股利</w:t>
      </w:r>
    </w:p>
    <w:bookmarkStart w:id="339" w:name="_Hlk533797257" w:displacedByCustomXml="next"/>
    <w:sdt>
      <w:sdtPr>
        <w:alias w:val="是否适用：母公司应收股利[双击切换]"/>
        <w:tag w:val="_GBC_a52dcf5153694fbe9527781c61a5006e"/>
        <w:id w:val="426543522"/>
        <w:placeholder>
          <w:docPart w:val="GBC22222222222222222222222222222"/>
        </w:placeholder>
      </w:sdtPr>
      <w:sdtEndPr/>
      <w:sdtContent>
        <w:p w14:paraId="6956B4ED"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67CE3A" w14:textId="77777777" w:rsidR="00E57DAA" w:rsidRDefault="00AC4185">
      <w:pPr>
        <w:jc w:val="right"/>
        <w:rPr>
          <w:szCs w:val="21"/>
        </w:rPr>
      </w:pPr>
      <w:r>
        <w:rPr>
          <w:rFonts w:hint="eastAsia"/>
          <w:szCs w:val="21"/>
        </w:rPr>
        <w:t>单位：</w:t>
      </w:r>
      <w:sdt>
        <w:sdtPr>
          <w:rPr>
            <w:rFonts w:hint="eastAsia"/>
            <w:szCs w:val="21"/>
          </w:rPr>
          <w:alias w:val="单位：母公司应收股利"/>
          <w:tag w:val="_GBC_6ca836a3bcad480a9c85951f0ab366a6"/>
          <w:id w:val="17809843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f127bcdbe1e14dfb9de9ff2ea28f8849"/>
          <w:id w:val="3171593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2211"/>
        <w:gridCol w:w="2222"/>
      </w:tblGrid>
      <w:tr w:rsidR="00E57DAA" w14:paraId="471B2C27" w14:textId="77777777">
        <w:sdt>
          <w:sdtPr>
            <w:tag w:val="_PLD_2f33eddb4e264906aec2f02b43b353c9"/>
            <w:id w:val="470569823"/>
          </w:sdtPr>
          <w:sdtEndPr/>
          <w:sdtContent>
            <w:tc>
              <w:tcPr>
                <w:tcW w:w="2488" w:type="pct"/>
                <w:vAlign w:val="center"/>
              </w:tcPr>
              <w:p w14:paraId="2F5F50A7" w14:textId="77777777" w:rsidR="00E57DAA" w:rsidRDefault="00AC4185">
                <w:pPr>
                  <w:jc w:val="center"/>
                  <w:rPr>
                    <w:szCs w:val="21"/>
                  </w:rPr>
                </w:pPr>
                <w:r>
                  <w:rPr>
                    <w:rFonts w:hint="eastAsia"/>
                    <w:szCs w:val="21"/>
                  </w:rPr>
                  <w:t>项目(或被投资单位)</w:t>
                </w:r>
              </w:p>
            </w:tc>
          </w:sdtContent>
        </w:sdt>
        <w:sdt>
          <w:sdtPr>
            <w:tag w:val="_PLD_d5c6465a5d04498caa02c0445ea9f2a6"/>
            <w:id w:val="-1267458969"/>
          </w:sdtPr>
          <w:sdtEndPr/>
          <w:sdtContent>
            <w:tc>
              <w:tcPr>
                <w:tcW w:w="1253" w:type="pct"/>
                <w:vAlign w:val="center"/>
              </w:tcPr>
              <w:p w14:paraId="76A5D861" w14:textId="77777777" w:rsidR="00E57DAA" w:rsidRDefault="00AC4185">
                <w:pPr>
                  <w:jc w:val="center"/>
                  <w:rPr>
                    <w:szCs w:val="21"/>
                  </w:rPr>
                </w:pPr>
                <w:r>
                  <w:rPr>
                    <w:rFonts w:hint="eastAsia"/>
                    <w:szCs w:val="21"/>
                  </w:rPr>
                  <w:t>期末余额</w:t>
                </w:r>
              </w:p>
            </w:tc>
          </w:sdtContent>
        </w:sdt>
        <w:sdt>
          <w:sdtPr>
            <w:tag w:val="_PLD_c14a5a3826574e7ebd8083db63a7a818"/>
            <w:id w:val="-480615065"/>
          </w:sdtPr>
          <w:sdtEndPr/>
          <w:sdtContent>
            <w:tc>
              <w:tcPr>
                <w:tcW w:w="1259" w:type="pct"/>
                <w:vAlign w:val="center"/>
              </w:tcPr>
              <w:p w14:paraId="536AE68A" w14:textId="77777777" w:rsidR="00E57DAA" w:rsidRDefault="00AC4185">
                <w:pPr>
                  <w:jc w:val="center"/>
                  <w:rPr>
                    <w:szCs w:val="21"/>
                  </w:rPr>
                </w:pPr>
                <w:r>
                  <w:rPr>
                    <w:rFonts w:hint="eastAsia"/>
                    <w:szCs w:val="21"/>
                  </w:rPr>
                  <w:t>期初余额</w:t>
                </w:r>
              </w:p>
            </w:tc>
          </w:sdtContent>
        </w:sdt>
      </w:tr>
      <w:tr w:rsidR="00E57DAA" w14:paraId="50E45327" w14:textId="77777777">
        <w:tc>
          <w:tcPr>
            <w:tcW w:w="2488" w:type="pct"/>
          </w:tcPr>
          <w:p w14:paraId="78799CD8" w14:textId="77777777" w:rsidR="00E57DAA" w:rsidRDefault="00AC4185">
            <w:pPr>
              <w:rPr>
                <w:szCs w:val="21"/>
              </w:rPr>
            </w:pPr>
            <w:r>
              <w:t>天津水泥工业设计研究院有限公司</w:t>
            </w:r>
          </w:p>
        </w:tc>
        <w:tc>
          <w:tcPr>
            <w:tcW w:w="1253" w:type="pct"/>
          </w:tcPr>
          <w:p w14:paraId="6C831203" w14:textId="77777777" w:rsidR="00E57DAA" w:rsidRDefault="00AC4185">
            <w:pPr>
              <w:jc w:val="right"/>
              <w:rPr>
                <w:szCs w:val="21"/>
              </w:rPr>
            </w:pPr>
            <w:r>
              <w:t>108,015,249.85</w:t>
            </w:r>
          </w:p>
        </w:tc>
        <w:tc>
          <w:tcPr>
            <w:tcW w:w="1259" w:type="pct"/>
          </w:tcPr>
          <w:p w14:paraId="7B56ED8E" w14:textId="77777777" w:rsidR="00E57DAA" w:rsidRDefault="00AC4185">
            <w:pPr>
              <w:jc w:val="right"/>
              <w:rPr>
                <w:szCs w:val="21"/>
              </w:rPr>
            </w:pPr>
            <w:r>
              <w:t>108,015,249.85</w:t>
            </w:r>
          </w:p>
        </w:tc>
      </w:tr>
      <w:tr w:rsidR="00E57DAA" w14:paraId="48EBCCA8" w14:textId="77777777">
        <w:tc>
          <w:tcPr>
            <w:tcW w:w="2488" w:type="pct"/>
          </w:tcPr>
          <w:p w14:paraId="6256CEAA" w14:textId="77777777" w:rsidR="00E57DAA" w:rsidRDefault="00AC4185">
            <w:pPr>
              <w:rPr>
                <w:szCs w:val="21"/>
              </w:rPr>
            </w:pPr>
            <w:r>
              <w:t>苏州中材建设有限公司</w:t>
            </w:r>
          </w:p>
        </w:tc>
        <w:tc>
          <w:tcPr>
            <w:tcW w:w="1253" w:type="pct"/>
          </w:tcPr>
          <w:p w14:paraId="3743453F" w14:textId="77777777" w:rsidR="00E57DAA" w:rsidRDefault="00AC4185">
            <w:pPr>
              <w:jc w:val="right"/>
              <w:rPr>
                <w:szCs w:val="21"/>
              </w:rPr>
            </w:pPr>
            <w:r>
              <w:t>40,278,871.06</w:t>
            </w:r>
          </w:p>
        </w:tc>
        <w:tc>
          <w:tcPr>
            <w:tcW w:w="1259" w:type="pct"/>
          </w:tcPr>
          <w:p w14:paraId="2AC45489" w14:textId="77777777" w:rsidR="00E57DAA" w:rsidRDefault="00AC4185">
            <w:pPr>
              <w:jc w:val="right"/>
              <w:rPr>
                <w:szCs w:val="21"/>
              </w:rPr>
            </w:pPr>
            <w:r>
              <w:t>28,552,871.06</w:t>
            </w:r>
          </w:p>
        </w:tc>
      </w:tr>
      <w:tr w:rsidR="00E57DAA" w14:paraId="1494612F" w14:textId="77777777">
        <w:tc>
          <w:tcPr>
            <w:tcW w:w="2488" w:type="pct"/>
          </w:tcPr>
          <w:p w14:paraId="19172E69" w14:textId="77777777" w:rsidR="00E57DAA" w:rsidRDefault="00AC4185">
            <w:pPr>
              <w:rPr>
                <w:szCs w:val="21"/>
              </w:rPr>
            </w:pPr>
            <w:r>
              <w:t>中材机电备件有限公司</w:t>
            </w:r>
          </w:p>
        </w:tc>
        <w:tc>
          <w:tcPr>
            <w:tcW w:w="1253" w:type="pct"/>
          </w:tcPr>
          <w:p w14:paraId="295C42C5" w14:textId="77777777" w:rsidR="00E57DAA" w:rsidRDefault="00AC4185">
            <w:pPr>
              <w:jc w:val="right"/>
              <w:rPr>
                <w:szCs w:val="21"/>
              </w:rPr>
            </w:pPr>
            <w:r>
              <w:t>11,595,289.95</w:t>
            </w:r>
          </w:p>
        </w:tc>
        <w:tc>
          <w:tcPr>
            <w:tcW w:w="1259" w:type="pct"/>
          </w:tcPr>
          <w:p w14:paraId="537A4420" w14:textId="77777777" w:rsidR="00E57DAA" w:rsidRDefault="00AC4185">
            <w:pPr>
              <w:jc w:val="right"/>
              <w:rPr>
                <w:szCs w:val="21"/>
              </w:rPr>
            </w:pPr>
            <w:r>
              <w:t>11,595,289.95</w:t>
            </w:r>
          </w:p>
        </w:tc>
      </w:tr>
      <w:tr w:rsidR="00E57DAA" w14:paraId="5A86E0EE" w14:textId="77777777">
        <w:tc>
          <w:tcPr>
            <w:tcW w:w="2488" w:type="pct"/>
          </w:tcPr>
          <w:p w14:paraId="1B610E96" w14:textId="77777777" w:rsidR="00E57DAA" w:rsidRDefault="00AC4185">
            <w:pPr>
              <w:rPr>
                <w:szCs w:val="21"/>
              </w:rPr>
            </w:pPr>
            <w:r>
              <w:t>唐山中材重型机械有限公司</w:t>
            </w:r>
          </w:p>
        </w:tc>
        <w:tc>
          <w:tcPr>
            <w:tcW w:w="1253" w:type="pct"/>
          </w:tcPr>
          <w:p w14:paraId="7579410B" w14:textId="77777777" w:rsidR="00E57DAA" w:rsidRDefault="00AC4185">
            <w:pPr>
              <w:jc w:val="right"/>
              <w:rPr>
                <w:szCs w:val="21"/>
              </w:rPr>
            </w:pPr>
            <w:r>
              <w:t>11,248,844.73</w:t>
            </w:r>
          </w:p>
        </w:tc>
        <w:tc>
          <w:tcPr>
            <w:tcW w:w="1259" w:type="pct"/>
          </w:tcPr>
          <w:p w14:paraId="47C137CF" w14:textId="77777777" w:rsidR="00E57DAA" w:rsidRDefault="00AC4185">
            <w:pPr>
              <w:jc w:val="right"/>
              <w:rPr>
                <w:szCs w:val="21"/>
              </w:rPr>
            </w:pPr>
            <w:r>
              <w:t>11,248,844.73</w:t>
            </w:r>
          </w:p>
        </w:tc>
      </w:tr>
      <w:tr w:rsidR="00E57DAA" w14:paraId="6233BCCF" w14:textId="77777777">
        <w:tc>
          <w:tcPr>
            <w:tcW w:w="2488" w:type="pct"/>
          </w:tcPr>
          <w:p w14:paraId="036FF769" w14:textId="77777777" w:rsidR="00E57DAA" w:rsidRDefault="00AC4185">
            <w:pPr>
              <w:rPr>
                <w:szCs w:val="21"/>
              </w:rPr>
            </w:pPr>
            <w:r>
              <w:t>中材（天津）重型机械有限公司</w:t>
            </w:r>
          </w:p>
        </w:tc>
        <w:tc>
          <w:tcPr>
            <w:tcW w:w="1253" w:type="pct"/>
          </w:tcPr>
          <w:p w14:paraId="79732EAA" w14:textId="77777777" w:rsidR="00E57DAA" w:rsidRDefault="00AC4185">
            <w:pPr>
              <w:jc w:val="right"/>
              <w:rPr>
                <w:szCs w:val="21"/>
              </w:rPr>
            </w:pPr>
            <w:r>
              <w:t>23,523,939.72</w:t>
            </w:r>
          </w:p>
        </w:tc>
        <w:tc>
          <w:tcPr>
            <w:tcW w:w="1259" w:type="pct"/>
          </w:tcPr>
          <w:p w14:paraId="52D22073" w14:textId="77777777" w:rsidR="00E57DAA" w:rsidRDefault="00AC4185">
            <w:pPr>
              <w:jc w:val="right"/>
              <w:rPr>
                <w:szCs w:val="21"/>
              </w:rPr>
            </w:pPr>
            <w:r>
              <w:t>23,523,939.72</w:t>
            </w:r>
          </w:p>
        </w:tc>
      </w:tr>
      <w:tr w:rsidR="00E57DAA" w14:paraId="69B1C9FB" w14:textId="77777777">
        <w:tc>
          <w:tcPr>
            <w:tcW w:w="2488" w:type="pct"/>
          </w:tcPr>
          <w:p w14:paraId="75DF33A7" w14:textId="77777777" w:rsidR="00E57DAA" w:rsidRDefault="00AC4185">
            <w:pPr>
              <w:rPr>
                <w:szCs w:val="21"/>
              </w:rPr>
            </w:pPr>
            <w:r>
              <w:t>中材天安（天津）工程有限公司</w:t>
            </w:r>
          </w:p>
        </w:tc>
        <w:tc>
          <w:tcPr>
            <w:tcW w:w="1253" w:type="pct"/>
          </w:tcPr>
          <w:p w14:paraId="0ECD816F" w14:textId="77777777" w:rsidR="00E57DAA" w:rsidRDefault="00AC4185">
            <w:pPr>
              <w:jc w:val="right"/>
              <w:rPr>
                <w:szCs w:val="21"/>
              </w:rPr>
            </w:pPr>
            <w:r>
              <w:t>16,050,000.00</w:t>
            </w:r>
          </w:p>
        </w:tc>
        <w:tc>
          <w:tcPr>
            <w:tcW w:w="1259" w:type="pct"/>
          </w:tcPr>
          <w:p w14:paraId="7CEB4B39" w14:textId="77777777" w:rsidR="00E57DAA" w:rsidRDefault="00AC4185">
            <w:pPr>
              <w:jc w:val="right"/>
              <w:rPr>
                <w:szCs w:val="21"/>
              </w:rPr>
            </w:pPr>
            <w:r>
              <w:t>16,050,000.00</w:t>
            </w:r>
          </w:p>
        </w:tc>
      </w:tr>
      <w:tr w:rsidR="00E57DAA" w14:paraId="02F7BC4B" w14:textId="77777777">
        <w:tc>
          <w:tcPr>
            <w:tcW w:w="2488" w:type="pct"/>
          </w:tcPr>
          <w:p w14:paraId="649EA12F" w14:textId="77777777" w:rsidR="00E57DAA" w:rsidRDefault="00AC4185">
            <w:pPr>
              <w:rPr>
                <w:szCs w:val="21"/>
              </w:rPr>
            </w:pPr>
            <w:r>
              <w:t>中材国际水务科技（合肥）有限公司</w:t>
            </w:r>
          </w:p>
        </w:tc>
        <w:tc>
          <w:tcPr>
            <w:tcW w:w="1253" w:type="pct"/>
          </w:tcPr>
          <w:p w14:paraId="349A83B5" w14:textId="77777777" w:rsidR="00E57DAA" w:rsidRDefault="00AC4185">
            <w:pPr>
              <w:jc w:val="right"/>
              <w:rPr>
                <w:szCs w:val="21"/>
              </w:rPr>
            </w:pPr>
            <w:r>
              <w:t>90,641,539.70</w:t>
            </w:r>
          </w:p>
        </w:tc>
        <w:tc>
          <w:tcPr>
            <w:tcW w:w="1259" w:type="pct"/>
          </w:tcPr>
          <w:p w14:paraId="26BB855B" w14:textId="77777777" w:rsidR="00E57DAA" w:rsidRDefault="00AC4185">
            <w:pPr>
              <w:jc w:val="right"/>
              <w:rPr>
                <w:szCs w:val="21"/>
              </w:rPr>
            </w:pPr>
            <w:r>
              <w:t>90,641,539.70</w:t>
            </w:r>
          </w:p>
        </w:tc>
      </w:tr>
      <w:tr w:rsidR="00E57DAA" w14:paraId="6E0A95FF" w14:textId="77777777">
        <w:tc>
          <w:tcPr>
            <w:tcW w:w="2488" w:type="pct"/>
          </w:tcPr>
          <w:p w14:paraId="74FF409D" w14:textId="77777777" w:rsidR="00E57DAA" w:rsidRDefault="00AC4185">
            <w:pPr>
              <w:rPr>
                <w:szCs w:val="21"/>
              </w:rPr>
            </w:pPr>
            <w:r>
              <w:t>浙江中材工程设计研究院有限公司</w:t>
            </w:r>
          </w:p>
        </w:tc>
        <w:tc>
          <w:tcPr>
            <w:tcW w:w="1253" w:type="pct"/>
          </w:tcPr>
          <w:p w14:paraId="7F5ED027" w14:textId="77777777" w:rsidR="00E57DAA" w:rsidRDefault="00AC4185">
            <w:pPr>
              <w:jc w:val="right"/>
              <w:rPr>
                <w:szCs w:val="21"/>
              </w:rPr>
            </w:pPr>
            <w:r>
              <w:t>11,289,762.97</w:t>
            </w:r>
          </w:p>
        </w:tc>
        <w:tc>
          <w:tcPr>
            <w:tcW w:w="1259" w:type="pct"/>
          </w:tcPr>
          <w:p w14:paraId="73646884" w14:textId="77777777" w:rsidR="00E57DAA" w:rsidRDefault="00AC4185">
            <w:pPr>
              <w:jc w:val="right"/>
              <w:rPr>
                <w:szCs w:val="21"/>
              </w:rPr>
            </w:pPr>
            <w:r>
              <w:t>11,289,762.97</w:t>
            </w:r>
          </w:p>
        </w:tc>
      </w:tr>
      <w:tr w:rsidR="00E57DAA" w14:paraId="0688703C" w14:textId="77777777">
        <w:tc>
          <w:tcPr>
            <w:tcW w:w="2488" w:type="pct"/>
          </w:tcPr>
          <w:p w14:paraId="27295631" w14:textId="77777777" w:rsidR="00E57DAA" w:rsidRDefault="00AC4185">
            <w:pPr>
              <w:rPr>
                <w:szCs w:val="21"/>
              </w:rPr>
            </w:pPr>
            <w:r>
              <w:t>成都建筑材料工业设计研究院有限公司</w:t>
            </w:r>
          </w:p>
        </w:tc>
        <w:tc>
          <w:tcPr>
            <w:tcW w:w="1253" w:type="pct"/>
          </w:tcPr>
          <w:p w14:paraId="77DC67B2" w14:textId="77777777" w:rsidR="00E57DAA" w:rsidRDefault="00AC4185">
            <w:pPr>
              <w:jc w:val="right"/>
              <w:rPr>
                <w:szCs w:val="21"/>
              </w:rPr>
            </w:pPr>
            <w:r>
              <w:t>152,278,978.50</w:t>
            </w:r>
          </w:p>
        </w:tc>
        <w:tc>
          <w:tcPr>
            <w:tcW w:w="1259" w:type="pct"/>
          </w:tcPr>
          <w:p w14:paraId="5D8305F5" w14:textId="77777777" w:rsidR="00E57DAA" w:rsidRDefault="00AC4185">
            <w:pPr>
              <w:jc w:val="right"/>
              <w:rPr>
                <w:szCs w:val="21"/>
              </w:rPr>
            </w:pPr>
            <w:r>
              <w:t>152,278,978.50</w:t>
            </w:r>
          </w:p>
        </w:tc>
      </w:tr>
      <w:tr w:rsidR="00E57DAA" w14:paraId="34AB9EE4" w14:textId="77777777">
        <w:tc>
          <w:tcPr>
            <w:tcW w:w="2488" w:type="pct"/>
          </w:tcPr>
          <w:p w14:paraId="3B465450" w14:textId="77777777" w:rsidR="00E57DAA" w:rsidRDefault="00AC4185">
            <w:pPr>
              <w:rPr>
                <w:szCs w:val="21"/>
              </w:rPr>
            </w:pPr>
            <w:r>
              <w:t>邯郸中材建设有限责任公司</w:t>
            </w:r>
          </w:p>
        </w:tc>
        <w:tc>
          <w:tcPr>
            <w:tcW w:w="1253" w:type="pct"/>
          </w:tcPr>
          <w:p w14:paraId="141D427A" w14:textId="77777777" w:rsidR="00E57DAA" w:rsidRDefault="00AC4185">
            <w:pPr>
              <w:jc w:val="right"/>
              <w:rPr>
                <w:szCs w:val="21"/>
              </w:rPr>
            </w:pPr>
            <w:r>
              <w:t>10,745,428.70</w:t>
            </w:r>
          </w:p>
        </w:tc>
        <w:tc>
          <w:tcPr>
            <w:tcW w:w="1259" w:type="pct"/>
          </w:tcPr>
          <w:p w14:paraId="418C0BC0" w14:textId="77777777" w:rsidR="00E57DAA" w:rsidRDefault="00AC4185">
            <w:pPr>
              <w:jc w:val="right"/>
              <w:rPr>
                <w:szCs w:val="21"/>
              </w:rPr>
            </w:pPr>
            <w:r>
              <w:t>10,745,428.70</w:t>
            </w:r>
          </w:p>
        </w:tc>
      </w:tr>
      <w:tr w:rsidR="00E57DAA" w14:paraId="0E22E674" w14:textId="77777777">
        <w:tc>
          <w:tcPr>
            <w:tcW w:w="2488" w:type="pct"/>
          </w:tcPr>
          <w:p w14:paraId="36FB5803" w14:textId="77777777" w:rsidR="00E57DAA" w:rsidRDefault="00AC4185">
            <w:pPr>
              <w:rPr>
                <w:szCs w:val="21"/>
              </w:rPr>
            </w:pPr>
            <w:r>
              <w:t>常熟中材装备重型机械有限公司</w:t>
            </w:r>
          </w:p>
        </w:tc>
        <w:tc>
          <w:tcPr>
            <w:tcW w:w="1253" w:type="pct"/>
          </w:tcPr>
          <w:p w14:paraId="636C33FE" w14:textId="77777777" w:rsidR="00E57DAA" w:rsidRDefault="00AC4185">
            <w:pPr>
              <w:jc w:val="right"/>
              <w:rPr>
                <w:szCs w:val="21"/>
              </w:rPr>
            </w:pPr>
            <w:r>
              <w:t>18,601,349.99</w:t>
            </w:r>
          </w:p>
        </w:tc>
        <w:tc>
          <w:tcPr>
            <w:tcW w:w="1259" w:type="pct"/>
          </w:tcPr>
          <w:p w14:paraId="49138D5C" w14:textId="77777777" w:rsidR="00E57DAA" w:rsidRDefault="00AC4185">
            <w:pPr>
              <w:jc w:val="right"/>
              <w:rPr>
                <w:szCs w:val="21"/>
              </w:rPr>
            </w:pPr>
            <w:r>
              <w:t>18,601,349.99</w:t>
            </w:r>
          </w:p>
        </w:tc>
      </w:tr>
      <w:tr w:rsidR="00E57DAA" w14:paraId="28BE6074" w14:textId="77777777">
        <w:tc>
          <w:tcPr>
            <w:tcW w:w="2488" w:type="pct"/>
          </w:tcPr>
          <w:p w14:paraId="6BEFB66C" w14:textId="77777777" w:rsidR="00E57DAA" w:rsidRDefault="00AC4185">
            <w:pPr>
              <w:rPr>
                <w:szCs w:val="21"/>
              </w:rPr>
            </w:pPr>
            <w:r>
              <w:t>中材建设有限公司</w:t>
            </w:r>
          </w:p>
        </w:tc>
        <w:tc>
          <w:tcPr>
            <w:tcW w:w="1253" w:type="pct"/>
          </w:tcPr>
          <w:p w14:paraId="6636359C" w14:textId="77777777" w:rsidR="00E57DAA" w:rsidRDefault="00AC4185">
            <w:pPr>
              <w:jc w:val="right"/>
              <w:rPr>
                <w:szCs w:val="21"/>
              </w:rPr>
            </w:pPr>
            <w:r>
              <w:t>101,652,947.45</w:t>
            </w:r>
          </w:p>
        </w:tc>
        <w:tc>
          <w:tcPr>
            <w:tcW w:w="1259" w:type="pct"/>
          </w:tcPr>
          <w:p w14:paraId="48B37C8F" w14:textId="77777777" w:rsidR="00E57DAA" w:rsidRDefault="00AC4185">
            <w:pPr>
              <w:jc w:val="right"/>
              <w:rPr>
                <w:szCs w:val="21"/>
              </w:rPr>
            </w:pPr>
            <w:r>
              <w:t>101,652,947.45</w:t>
            </w:r>
          </w:p>
        </w:tc>
      </w:tr>
      <w:tr w:rsidR="00E57DAA" w14:paraId="25DB29F9" w14:textId="77777777">
        <w:tc>
          <w:tcPr>
            <w:tcW w:w="2488" w:type="pct"/>
          </w:tcPr>
          <w:p w14:paraId="2A870833" w14:textId="77777777" w:rsidR="00E57DAA" w:rsidRDefault="00AC4185">
            <w:pPr>
              <w:rPr>
                <w:szCs w:val="21"/>
              </w:rPr>
            </w:pPr>
            <w:r>
              <w:t>中国中材海外科技发展有限公司</w:t>
            </w:r>
          </w:p>
        </w:tc>
        <w:tc>
          <w:tcPr>
            <w:tcW w:w="1253" w:type="pct"/>
          </w:tcPr>
          <w:p w14:paraId="19526000" w14:textId="77777777" w:rsidR="00E57DAA" w:rsidRDefault="00AC4185">
            <w:pPr>
              <w:jc w:val="right"/>
              <w:rPr>
                <w:szCs w:val="21"/>
              </w:rPr>
            </w:pPr>
            <w:r>
              <w:t>20,600,849.72</w:t>
            </w:r>
          </w:p>
        </w:tc>
        <w:tc>
          <w:tcPr>
            <w:tcW w:w="1259" w:type="pct"/>
          </w:tcPr>
          <w:p w14:paraId="0839A0D1" w14:textId="77777777" w:rsidR="00E57DAA" w:rsidRDefault="00AC4185">
            <w:pPr>
              <w:jc w:val="right"/>
              <w:rPr>
                <w:szCs w:val="21"/>
              </w:rPr>
            </w:pPr>
            <w:r>
              <w:t>20,600,849.72</w:t>
            </w:r>
          </w:p>
        </w:tc>
      </w:tr>
      <w:tr w:rsidR="00E57DAA" w14:paraId="50FD9A4C" w14:textId="77777777">
        <w:tc>
          <w:tcPr>
            <w:tcW w:w="2488" w:type="pct"/>
          </w:tcPr>
          <w:p w14:paraId="63E60A33" w14:textId="77777777" w:rsidR="00E57DAA" w:rsidRDefault="00AC4185">
            <w:pPr>
              <w:rPr>
                <w:szCs w:val="21"/>
              </w:rPr>
            </w:pPr>
            <w:r>
              <w:t>苏州混凝土水泥制品研究院有限公司</w:t>
            </w:r>
          </w:p>
        </w:tc>
        <w:tc>
          <w:tcPr>
            <w:tcW w:w="1253" w:type="pct"/>
          </w:tcPr>
          <w:p w14:paraId="0B223114" w14:textId="77777777" w:rsidR="00E57DAA" w:rsidRDefault="00AC4185">
            <w:pPr>
              <w:jc w:val="right"/>
              <w:rPr>
                <w:szCs w:val="21"/>
              </w:rPr>
            </w:pPr>
            <w:r>
              <w:t> </w:t>
            </w:r>
          </w:p>
        </w:tc>
        <w:tc>
          <w:tcPr>
            <w:tcW w:w="1259" w:type="pct"/>
          </w:tcPr>
          <w:p w14:paraId="39C18AFB" w14:textId="77777777" w:rsidR="00E57DAA" w:rsidRDefault="00AC4185">
            <w:pPr>
              <w:jc w:val="right"/>
              <w:rPr>
                <w:szCs w:val="21"/>
              </w:rPr>
            </w:pPr>
            <w:r>
              <w:t>5,914,076.55</w:t>
            </w:r>
          </w:p>
        </w:tc>
      </w:tr>
      <w:tr w:rsidR="00E57DAA" w14:paraId="6C5DF3DE" w14:textId="77777777">
        <w:tc>
          <w:tcPr>
            <w:tcW w:w="2488" w:type="pct"/>
          </w:tcPr>
          <w:p w14:paraId="2C152AA8" w14:textId="77777777" w:rsidR="00E57DAA" w:rsidRDefault="00AC4185">
            <w:pPr>
              <w:rPr>
                <w:szCs w:val="21"/>
              </w:rPr>
            </w:pPr>
            <w:r>
              <w:t>中材宁锐（南京）国际物流有限公司</w:t>
            </w:r>
          </w:p>
        </w:tc>
        <w:tc>
          <w:tcPr>
            <w:tcW w:w="1253" w:type="pct"/>
          </w:tcPr>
          <w:p w14:paraId="431228BA" w14:textId="77777777" w:rsidR="00E57DAA" w:rsidRDefault="00AC4185">
            <w:pPr>
              <w:jc w:val="right"/>
              <w:rPr>
                <w:szCs w:val="21"/>
              </w:rPr>
            </w:pPr>
            <w:r>
              <w:t>1,111,774.35</w:t>
            </w:r>
          </w:p>
        </w:tc>
        <w:tc>
          <w:tcPr>
            <w:tcW w:w="1259" w:type="pct"/>
          </w:tcPr>
          <w:p w14:paraId="2AB13C2A" w14:textId="77777777" w:rsidR="00E57DAA" w:rsidRDefault="00AC4185">
            <w:pPr>
              <w:jc w:val="right"/>
              <w:rPr>
                <w:szCs w:val="21"/>
              </w:rPr>
            </w:pPr>
            <w:r>
              <w:t>1,111,774.35</w:t>
            </w:r>
          </w:p>
        </w:tc>
      </w:tr>
      <w:tr w:rsidR="00E57DAA" w14:paraId="502F9D86" w14:textId="77777777">
        <w:tc>
          <w:tcPr>
            <w:tcW w:w="2488" w:type="pct"/>
            <w:vAlign w:val="center"/>
          </w:tcPr>
          <w:p w14:paraId="6B6178F7" w14:textId="77777777" w:rsidR="00E57DAA" w:rsidRDefault="00AC4185">
            <w:pPr>
              <w:jc w:val="center"/>
              <w:rPr>
                <w:szCs w:val="21"/>
              </w:rPr>
            </w:pPr>
            <w:r>
              <w:rPr>
                <w:rFonts w:hint="eastAsia"/>
                <w:szCs w:val="21"/>
              </w:rPr>
              <w:t>合计</w:t>
            </w:r>
          </w:p>
        </w:tc>
        <w:tc>
          <w:tcPr>
            <w:tcW w:w="1253" w:type="pct"/>
            <w:vAlign w:val="center"/>
          </w:tcPr>
          <w:p w14:paraId="156A9C89" w14:textId="77777777" w:rsidR="00E57DAA" w:rsidRDefault="00AC4185">
            <w:pPr>
              <w:jc w:val="right"/>
              <w:rPr>
                <w:szCs w:val="21"/>
              </w:rPr>
            </w:pPr>
            <w:r>
              <w:t>617,634,826.69</w:t>
            </w:r>
          </w:p>
        </w:tc>
        <w:tc>
          <w:tcPr>
            <w:tcW w:w="1259" w:type="pct"/>
            <w:vAlign w:val="center"/>
          </w:tcPr>
          <w:p w14:paraId="3603F08A" w14:textId="77777777" w:rsidR="00E57DAA" w:rsidRDefault="00AC4185">
            <w:pPr>
              <w:jc w:val="right"/>
              <w:rPr>
                <w:szCs w:val="21"/>
              </w:rPr>
            </w:pPr>
            <w:r>
              <w:t>611,822,903.24</w:t>
            </w:r>
          </w:p>
        </w:tc>
      </w:tr>
    </w:tbl>
    <w:p w14:paraId="4DBAEAC8" w14:textId="77777777" w:rsidR="00E57DAA" w:rsidRDefault="00E57DAA" w:rsidP="00C25422">
      <w:pPr>
        <w:pStyle w:val="92"/>
      </w:pPr>
    </w:p>
    <w:p w14:paraId="16CDD0FA" w14:textId="77777777" w:rsidR="00E57DAA" w:rsidRDefault="00AC4185" w:rsidP="00C25422">
      <w:pPr>
        <w:pStyle w:val="90"/>
        <w:numPr>
          <w:ilvl w:val="0"/>
          <w:numId w:val="134"/>
        </w:numPr>
        <w:ind w:leftChars="0"/>
      </w:pPr>
      <w:r>
        <w:rPr>
          <w:rFonts w:hint="eastAsia"/>
        </w:rPr>
        <w:t>重要的账龄超过</w:t>
      </w:r>
      <w:r>
        <w:rPr>
          <w:rFonts w:hint="eastAsia"/>
        </w:rPr>
        <w:t>1</w:t>
      </w:r>
      <w:r>
        <w:rPr>
          <w:rFonts w:hint="eastAsia"/>
        </w:rPr>
        <w:t>年的应收股利</w:t>
      </w:r>
    </w:p>
    <w:bookmarkEnd w:id="339" w:displacedByCustomXml="next"/>
    <w:bookmarkStart w:id="340" w:name="_Hlk533797316" w:displacedByCustomXml="next"/>
    <w:sdt>
      <w:sdtPr>
        <w:rPr>
          <w:szCs w:val="21"/>
        </w:rPr>
        <w:alias w:val="是否适用：母公司重要的账龄超过1年的应收股利[双击切换]"/>
        <w:tag w:val="_GBC_70eb463d08894908bb104ae0b258e76e"/>
        <w:id w:val="2014945397"/>
        <w:placeholder>
          <w:docPart w:val="GBC22222222222222222222222222222"/>
        </w:placeholder>
      </w:sdtPr>
      <w:sdtEndPr/>
      <w:sdtContent>
        <w:p w14:paraId="70D6C3E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25B6B9" w14:textId="77777777" w:rsidR="00E57DAA" w:rsidRDefault="00E57DAA" w:rsidP="00C25422">
      <w:pPr>
        <w:pStyle w:val="92"/>
      </w:pPr>
    </w:p>
    <w:p w14:paraId="13DFE0B4" w14:textId="77777777" w:rsidR="00E57DAA" w:rsidRDefault="00AC4185" w:rsidP="00C25422">
      <w:pPr>
        <w:pStyle w:val="90"/>
        <w:numPr>
          <w:ilvl w:val="0"/>
          <w:numId w:val="134"/>
        </w:numPr>
        <w:ind w:leftChars="0"/>
      </w:pPr>
      <w:r>
        <w:rPr>
          <w:rFonts w:hint="eastAsia"/>
        </w:rPr>
        <w:t>按</w:t>
      </w:r>
      <w:r>
        <w:t>坏账计提方法分类披露</w:t>
      </w:r>
    </w:p>
    <w:bookmarkStart w:id="341" w:name="_Hlk153790907" w:displacedByCustomXml="next"/>
    <w:bookmarkStart w:id="342" w:name="_Hlk154150045" w:displacedByCustomXml="next"/>
    <w:sdt>
      <w:sdtPr>
        <w:alias w:val="是否适用：母公司按坏账计提方法分类披露[双击切换]"/>
        <w:tag w:val="_GBC_3e6131bf64764260959e58957d1a923e"/>
        <w:id w:val="-107975291"/>
        <w:placeholder>
          <w:docPart w:val="GBC22222222222222222222222222222"/>
        </w:placeholder>
      </w:sdtPr>
      <w:sdtEndPr/>
      <w:sdtContent>
        <w:p w14:paraId="0EBC18DC"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125DA0" w14:textId="77777777" w:rsidR="00E57DAA" w:rsidRDefault="00E57DAA" w:rsidP="00C25422">
      <w:pPr>
        <w:pStyle w:val="92"/>
      </w:pPr>
    </w:p>
    <w:p w14:paraId="189EBBB0" w14:textId="77777777" w:rsidR="00E57DAA" w:rsidRDefault="00AC4185" w:rsidP="00C25422">
      <w:pPr>
        <w:pStyle w:val="92"/>
      </w:pPr>
      <w:r>
        <w:rPr>
          <w:rFonts w:hint="eastAsia"/>
        </w:rPr>
        <w:t>按单项计提坏账准备：</w:t>
      </w:r>
    </w:p>
    <w:sdt>
      <w:sdtPr>
        <w:alias w:val="是否适用：母公司按单项计提坏账准备的详细情况[双击切换]"/>
        <w:tag w:val="_GBC_0bffd65beafa48e6aca929c5c2140787"/>
        <w:id w:val="-758141150"/>
        <w:placeholder>
          <w:docPart w:val="GBC22222222222222222222222222222"/>
        </w:placeholder>
      </w:sdtPr>
      <w:sdtEndPr/>
      <w:sdtContent>
        <w:p w14:paraId="1C930C6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4EBCFB" w14:textId="77777777" w:rsidR="00E57DAA" w:rsidRDefault="00E57DAA">
      <w:pPr>
        <w:rPr>
          <w:szCs w:val="21"/>
        </w:rPr>
      </w:pPr>
    </w:p>
    <w:p w14:paraId="77B4B78E" w14:textId="77777777" w:rsidR="00E57DAA" w:rsidRDefault="00AC4185">
      <w:pPr>
        <w:rPr>
          <w:szCs w:val="21"/>
        </w:rPr>
      </w:pPr>
      <w:r>
        <w:rPr>
          <w:rFonts w:hint="eastAsia"/>
          <w:szCs w:val="21"/>
        </w:rPr>
        <w:t>按单项计提坏账准备的说明：</w:t>
      </w:r>
    </w:p>
    <w:sdt>
      <w:sdtPr>
        <w:rPr>
          <w:szCs w:val="21"/>
        </w:rPr>
        <w:alias w:val="是否适用：母公司按单项计提坏账准备的说明[双击切换]"/>
        <w:tag w:val="_GBC_3ff3367dda784192860c78e5be49cae0"/>
        <w:id w:val="-1980565"/>
        <w:placeholder>
          <w:docPart w:val="GBC22222222222222222222222222222"/>
        </w:placeholder>
      </w:sdtPr>
      <w:sdtEndPr/>
      <w:sdtContent>
        <w:p w14:paraId="6AF2C2A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E21D163" w14:textId="77777777" w:rsidR="00E57DAA" w:rsidRDefault="00E57DAA">
      <w:pPr>
        <w:rPr>
          <w:szCs w:val="21"/>
        </w:rPr>
      </w:pPr>
    </w:p>
    <w:p w14:paraId="726AABA3" w14:textId="77777777" w:rsidR="00E57DAA" w:rsidRDefault="00AC418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5b769fae73d0491bae227d3968699870"/>
        <w:id w:val="-1019552615"/>
        <w:placeholder>
          <w:docPart w:val="GBC22222222222222222222222222222"/>
        </w:placeholder>
      </w:sdtPr>
      <w:sdtEndPr/>
      <w:sdtContent>
        <w:p w14:paraId="014782FB" w14:textId="77777777" w:rsidR="00E57DAA" w:rsidRDefault="00AC4185">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F7886EA" w14:textId="77777777" w:rsidR="00E57DAA" w:rsidRDefault="00E57DAA">
      <w:pPr>
        <w:rPr>
          <w:szCs w:val="21"/>
        </w:rPr>
      </w:pPr>
    </w:p>
    <w:bookmarkEnd w:id="341"/>
    <w:p w14:paraId="3DDC8D89" w14:textId="77777777" w:rsidR="00E57DAA" w:rsidRDefault="00E57DAA">
      <w:pPr>
        <w:rPr>
          <w:rFonts w:ascii="Calibri" w:hAnsi="Calibri" w:cs="Times New Roman"/>
          <w:b/>
          <w:bCs/>
          <w:szCs w:val="22"/>
        </w:rPr>
      </w:pPr>
    </w:p>
    <w:p w14:paraId="512E8D88" w14:textId="77777777" w:rsidR="00E57DAA" w:rsidRDefault="00AC4185" w:rsidP="00C25422">
      <w:pPr>
        <w:pStyle w:val="90"/>
        <w:numPr>
          <w:ilvl w:val="0"/>
          <w:numId w:val="134"/>
        </w:numPr>
        <w:ind w:leftChars="0"/>
        <w:rPr>
          <w:rFonts w:asciiTheme="minorHAnsi" w:hAnsiTheme="minorHAnsi" w:cs="宋体"/>
          <w:kern w:val="0"/>
        </w:rPr>
      </w:pPr>
      <w:r>
        <w:rPr>
          <w:rFonts w:asciiTheme="minorHAnsi" w:hAnsiTheme="minorHAnsi" w:cs="宋体" w:hint="eastAsia"/>
          <w:kern w:val="0"/>
        </w:rPr>
        <w:t>按</w:t>
      </w:r>
      <w:r>
        <w:rPr>
          <w:rFonts w:hint="eastAsia"/>
        </w:rPr>
        <w:t>预期信用损失一般模型计提坏账准备</w:t>
      </w:r>
    </w:p>
    <w:bookmarkEnd w:id="340" w:displacedByCustomXml="next"/>
    <w:bookmarkEnd w:id="342" w:displacedByCustomXml="next"/>
    <w:bookmarkStart w:id="343" w:name="_Hlk533868874" w:displacedByCustomXml="next"/>
    <w:sdt>
      <w:sdtPr>
        <w:alias w:val="是否适用：母公司应收股利坏账准备调节表[双击切换]"/>
        <w:tag w:val="_GBC_5cbd8c1c52fa42d19db26aadad6a74b8"/>
        <w:id w:val="870273320"/>
        <w:placeholder>
          <w:docPart w:val="GBC22222222222222222222222222222"/>
        </w:placeholder>
      </w:sdtPr>
      <w:sdtEndPr/>
      <w:sdtContent>
        <w:p w14:paraId="01F88AF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F75F60" w14:textId="77777777" w:rsidR="00E57DAA" w:rsidRDefault="00E57DAA">
      <w:pPr>
        <w:autoSpaceDE w:val="0"/>
        <w:autoSpaceDN w:val="0"/>
        <w:adjustRightInd w:val="0"/>
        <w:ind w:rightChars="50" w:right="105"/>
        <w:rPr>
          <w:szCs w:val="21"/>
        </w:rPr>
      </w:pPr>
    </w:p>
    <w:p w14:paraId="4B12AA36" w14:textId="77777777" w:rsidR="00E57DAA" w:rsidRDefault="00AC4185">
      <w:pPr>
        <w:pStyle w:val="45"/>
      </w:pPr>
      <w:r>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772939391"/>
        <w:placeholder>
          <w:docPart w:val="GBC22222222222222222222222222222"/>
        </w:placeholder>
      </w:sdtPr>
      <w:sdtEndPr/>
      <w:sdtContent>
        <w:p w14:paraId="2618BD46" w14:textId="77777777" w:rsidR="00E57DAA" w:rsidRDefault="00AC4185">
          <w:pPr>
            <w:autoSpaceDE w:val="0"/>
            <w:autoSpaceDN w:val="0"/>
            <w:adjustRightInd w:val="0"/>
            <w:ind w:rightChars="50" w:right="105"/>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43"/>
    <w:p w14:paraId="1E21F03D" w14:textId="77777777" w:rsidR="00E57DAA" w:rsidRDefault="00E57DAA" w:rsidP="00C25422">
      <w:pPr>
        <w:pStyle w:val="92"/>
      </w:pPr>
    </w:p>
    <w:p w14:paraId="170A046B" w14:textId="77777777" w:rsidR="00E57DAA" w:rsidRDefault="00AC4185" w:rsidP="00C25422">
      <w:pPr>
        <w:pStyle w:val="90"/>
        <w:numPr>
          <w:ilvl w:val="0"/>
          <w:numId w:val="134"/>
        </w:numPr>
        <w:ind w:leftChars="0"/>
      </w:pPr>
      <w:r>
        <w:rPr>
          <w:rFonts w:hint="eastAsia"/>
        </w:rPr>
        <w:t>坏账准备的情况</w:t>
      </w:r>
    </w:p>
    <w:bookmarkStart w:id="344" w:name="_Hlk153792018" w:displacedByCustomXml="next"/>
    <w:bookmarkStart w:id="345" w:name="_Hlk154150256" w:displacedByCustomXml="next"/>
    <w:sdt>
      <w:sdtPr>
        <w:alias w:val="是否适用：母公司坏账准备情况[双击切换]"/>
        <w:tag w:val="_GBC_821565a30d3745e0bc44de118b7dee6f"/>
        <w:id w:val="-1882626468"/>
        <w:placeholder>
          <w:docPart w:val="GBC22222222222222222222222222222"/>
        </w:placeholder>
      </w:sdtPr>
      <w:sdtEndPr/>
      <w:sdtContent>
        <w:p w14:paraId="76582F7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21198F" w14:textId="77777777" w:rsidR="00E57DAA" w:rsidRDefault="00E57DAA" w:rsidP="00C25422">
      <w:pPr>
        <w:pStyle w:val="92"/>
      </w:pPr>
    </w:p>
    <w:p w14:paraId="00DE4138" w14:textId="77777777" w:rsidR="00E57DAA" w:rsidRDefault="00AC4185" w:rsidP="00C25422">
      <w:pPr>
        <w:pStyle w:val="92"/>
      </w:pPr>
      <w:r>
        <w:rPr>
          <w:rFonts w:hint="eastAsia"/>
        </w:rPr>
        <w:t>其中本期坏账准备收回或转回金额重要的：</w:t>
      </w:r>
    </w:p>
    <w:sdt>
      <w:sdtPr>
        <w:alias w:val="是否适用：母公司本期坏账准备收回或转回金额重要的[双击切换]"/>
        <w:tag w:val="_GBC_0d1ed1559d1344db8b219f59e8d21024"/>
        <w:id w:val="848913861"/>
        <w:placeholder>
          <w:docPart w:val="GBC22222222222222222222222222222"/>
        </w:placeholder>
      </w:sdtPr>
      <w:sdtEndPr/>
      <w:sdtContent>
        <w:p w14:paraId="6978B2A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6A51B6" w14:textId="77777777" w:rsidR="00E57DAA" w:rsidRDefault="00E57DAA" w:rsidP="00C25422">
      <w:pPr>
        <w:pStyle w:val="92"/>
      </w:pPr>
    </w:p>
    <w:p w14:paraId="47CD9C64" w14:textId="77777777" w:rsidR="00E57DAA" w:rsidRDefault="00AC4185" w:rsidP="00C25422">
      <w:pPr>
        <w:pStyle w:val="90"/>
        <w:numPr>
          <w:ilvl w:val="0"/>
          <w:numId w:val="134"/>
        </w:numPr>
        <w:ind w:leftChars="0"/>
      </w:pPr>
      <w:r>
        <w:t>本期实际核销的应收</w:t>
      </w:r>
      <w:r>
        <w:rPr>
          <w:rFonts w:hint="eastAsia"/>
        </w:rPr>
        <w:t>股利</w:t>
      </w:r>
      <w:r>
        <w:t>情况</w:t>
      </w:r>
    </w:p>
    <w:bookmarkStart w:id="346" w:name="_Hlk155883151" w:displacedByCustomXml="next"/>
    <w:sdt>
      <w:sdtPr>
        <w:alias w:val="是否适用：母公司实际核销的情况[双击切换]"/>
        <w:tag w:val="_GBC_1b5ee2d7fd5a4b549b2a2bd673f1698a"/>
        <w:id w:val="-1847309846"/>
        <w:placeholder>
          <w:docPart w:val="GBC22222222222222222222222222222"/>
        </w:placeholder>
      </w:sdtPr>
      <w:sdtEndPr/>
      <w:sdtContent>
        <w:p w14:paraId="35F58A09"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BD4FB7" w14:textId="77777777" w:rsidR="00E57DAA" w:rsidRDefault="00E57DAA">
      <w:pPr>
        <w:rPr>
          <w:szCs w:val="21"/>
        </w:rPr>
      </w:pPr>
    </w:p>
    <w:p w14:paraId="24A7EE28" w14:textId="77777777" w:rsidR="00E57DAA" w:rsidRDefault="00AC4185">
      <w:pPr>
        <w:rPr>
          <w:szCs w:val="21"/>
        </w:rPr>
      </w:pPr>
      <w:r>
        <w:rPr>
          <w:rFonts w:hint="eastAsia"/>
          <w:szCs w:val="21"/>
        </w:rPr>
        <w:t>其中重要的应收股利核销情况</w:t>
      </w:r>
    </w:p>
    <w:bookmarkEnd w:id="346" w:displacedByCustomXml="next"/>
    <w:sdt>
      <w:sdtPr>
        <w:rPr>
          <w:rFonts w:hint="eastAsia"/>
          <w:szCs w:val="21"/>
        </w:rPr>
        <w:alias w:val="是否适用：母公司重要的核销情况[双击切换]"/>
        <w:tag w:val="_GBC_2151c3ad65384379897352f370874db1"/>
        <w:id w:val="-54861536"/>
        <w:placeholder>
          <w:docPart w:val="GBC22222222222222222222222222222"/>
        </w:placeholder>
      </w:sdtPr>
      <w:sdtEndPr/>
      <w:sdtContent>
        <w:p w14:paraId="596843BB"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FB368D" w14:textId="77777777" w:rsidR="00E57DAA" w:rsidRDefault="00E57DAA">
      <w:pPr>
        <w:rPr>
          <w:szCs w:val="21"/>
        </w:rPr>
      </w:pPr>
    </w:p>
    <w:p w14:paraId="33687BFE" w14:textId="77777777" w:rsidR="00E57DAA" w:rsidRDefault="00AC4185">
      <w:pPr>
        <w:snapToGrid w:val="0"/>
        <w:spacing w:line="240" w:lineRule="atLeast"/>
        <w:rPr>
          <w:szCs w:val="21"/>
        </w:rPr>
      </w:pPr>
      <w:r>
        <w:rPr>
          <w:rFonts w:hint="eastAsia"/>
          <w:szCs w:val="21"/>
        </w:rPr>
        <w:t>核销说明：</w:t>
      </w:r>
    </w:p>
    <w:sdt>
      <w:sdtPr>
        <w:rPr>
          <w:szCs w:val="21"/>
        </w:rPr>
        <w:alias w:val="是否适用：母公司核销说明[双击切换]"/>
        <w:tag w:val="_GBC_f8d1d851a8a641b3b3733ca0037885d1"/>
        <w:id w:val="-526723698"/>
        <w:placeholder>
          <w:docPart w:val="GBC22222222222222222222222222222"/>
        </w:placeholder>
      </w:sdtPr>
      <w:sdtEndPr/>
      <w:sdtContent>
        <w:p w14:paraId="4A697EAA" w14:textId="77777777" w:rsidR="00E57DAA" w:rsidRDefault="00AC4185">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44"/>
    <w:p w14:paraId="4C2D0CDC" w14:textId="77777777" w:rsidR="00E57DAA" w:rsidRDefault="00E57DAA" w:rsidP="00C25422">
      <w:pPr>
        <w:pStyle w:val="92"/>
      </w:pPr>
    </w:p>
    <w:p w14:paraId="77532A3C" w14:textId="77777777" w:rsidR="00E57DAA" w:rsidRDefault="00AC4185">
      <w:pPr>
        <w:rPr>
          <w:szCs w:val="21"/>
        </w:rPr>
      </w:pPr>
      <w:r>
        <w:rPr>
          <w:rFonts w:hint="eastAsia"/>
          <w:szCs w:val="21"/>
        </w:rPr>
        <w:t>其他说明：</w:t>
      </w:r>
    </w:p>
    <w:bookmarkEnd w:id="345" w:displacedByCustomXml="next"/>
    <w:bookmarkStart w:id="347" w:name="_Hlk533797406" w:displacedByCustomXml="next"/>
    <w:sdt>
      <w:sdtPr>
        <w:rPr>
          <w:szCs w:val="21"/>
        </w:rPr>
        <w:alias w:val="是否适用：母公司应收股利其他说明[双击切换]"/>
        <w:tag w:val="_GBC_75450c3c0332439986937f5dec59f65c"/>
        <w:id w:val="44420954"/>
        <w:placeholder>
          <w:docPart w:val="GBC22222222222222222222222222222"/>
        </w:placeholder>
      </w:sdtPr>
      <w:sdtEndPr/>
      <w:sdtContent>
        <w:p w14:paraId="4C884997"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47"/>
    <w:p w14:paraId="237C0132" w14:textId="77777777" w:rsidR="00E57DAA" w:rsidRDefault="00E57DAA" w:rsidP="00C25422">
      <w:pPr>
        <w:pStyle w:val="92"/>
      </w:pPr>
    </w:p>
    <w:p w14:paraId="67469EBF" w14:textId="77777777" w:rsidR="00E57DAA" w:rsidRDefault="00AC4185">
      <w:pPr>
        <w:pStyle w:val="4"/>
        <w:ind w:left="360" w:hanging="360"/>
      </w:pPr>
      <w:r>
        <w:rPr>
          <w:rFonts w:hint="eastAsia"/>
        </w:rPr>
        <w:t>其他应收款</w:t>
      </w:r>
    </w:p>
    <w:p w14:paraId="1B44FF73" w14:textId="77777777" w:rsidR="00E57DAA" w:rsidRDefault="00AC4185" w:rsidP="00C25422">
      <w:pPr>
        <w:pStyle w:val="90"/>
        <w:numPr>
          <w:ilvl w:val="0"/>
          <w:numId w:val="134"/>
        </w:numPr>
        <w:ind w:leftChars="0"/>
      </w:pPr>
      <w:bookmarkStart w:id="348" w:name="_Hlk533797447"/>
      <w:r>
        <w:rPr>
          <w:rFonts w:hint="eastAsia"/>
        </w:rPr>
        <w:t>按账龄披露</w:t>
      </w:r>
    </w:p>
    <w:sdt>
      <w:sdtPr>
        <w:rPr>
          <w:szCs w:val="21"/>
        </w:rPr>
        <w:alias w:val="是否适用：母公司其他应收款按账龄披露[双击切换]"/>
        <w:tag w:val="_GBC_5c11b96990fa439da812b87b47ed4c80"/>
        <w:id w:val="371814094"/>
      </w:sdtPr>
      <w:sdtEndPr/>
      <w:sdtContent>
        <w:p w14:paraId="41088E22"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p w14:paraId="00418067" w14:textId="77777777" w:rsidR="00E57DAA" w:rsidRDefault="00AC4185">
      <w:pPr>
        <w:jc w:val="right"/>
        <w:rPr>
          <w:szCs w:val="21"/>
        </w:rPr>
      </w:pPr>
      <w:r>
        <w:rPr>
          <w:rFonts w:hint="eastAsia"/>
          <w:szCs w:val="21"/>
        </w:rPr>
        <w:t>单位：</w:t>
      </w:r>
      <w:sdt>
        <w:sdtPr>
          <w:rPr>
            <w:rFonts w:hint="eastAsia"/>
            <w:szCs w:val="21"/>
          </w:rPr>
          <w:alias w:val="单位：母公司其他应收款按账龄披露"/>
          <w:tag w:val="_GBC_41616ef98f834aa2b100f687773d3969"/>
          <w:id w:val="52853324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73015719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93"/>
        <w:gridCol w:w="2915"/>
        <w:gridCol w:w="2915"/>
      </w:tblGrid>
      <w:tr w:rsidR="00E57DAA" w14:paraId="3B137E5E" w14:textId="77777777">
        <w:trPr>
          <w:cantSplit/>
        </w:trPr>
        <w:sdt>
          <w:sdtPr>
            <w:tag w:val="_PLD_e6b4d3ce2efb49849027845f309f652a"/>
            <w:id w:val="-1603100080"/>
          </w:sdtPr>
          <w:sdtEndPr/>
          <w:sdtContent>
            <w:tc>
              <w:tcPr>
                <w:tcW w:w="1696" w:type="pct"/>
                <w:tcBorders>
                  <w:top w:val="single" w:sz="4" w:space="0" w:color="auto"/>
                  <w:left w:val="single" w:sz="4" w:space="0" w:color="auto"/>
                  <w:bottom w:val="single" w:sz="4" w:space="0" w:color="auto"/>
                  <w:right w:val="single" w:sz="4" w:space="0" w:color="auto"/>
                </w:tcBorders>
                <w:vAlign w:val="center"/>
              </w:tcPr>
              <w:p w14:paraId="6BE79EEC" w14:textId="77777777" w:rsidR="00E57DAA" w:rsidRDefault="00AC4185">
                <w:pPr>
                  <w:jc w:val="center"/>
                  <w:rPr>
                    <w:szCs w:val="21"/>
                  </w:rPr>
                </w:pPr>
                <w:r>
                  <w:rPr>
                    <w:rFonts w:hint="eastAsia"/>
                    <w:szCs w:val="21"/>
                  </w:rPr>
                  <w:t>账龄</w:t>
                </w:r>
              </w:p>
            </w:tc>
          </w:sdtContent>
        </w:sdt>
        <w:sdt>
          <w:sdtPr>
            <w:tag w:val="_PLD_2a2524c4aa88497fa0bf73f43366d799"/>
            <w:id w:val="862404462"/>
          </w:sdtPr>
          <w:sdtEndPr/>
          <w:sdtContent>
            <w:tc>
              <w:tcPr>
                <w:tcW w:w="1652" w:type="pct"/>
                <w:tcBorders>
                  <w:top w:val="single" w:sz="4" w:space="0" w:color="auto"/>
                  <w:left w:val="single" w:sz="4" w:space="0" w:color="auto"/>
                  <w:bottom w:val="single" w:sz="4" w:space="0" w:color="auto"/>
                  <w:right w:val="single" w:sz="4" w:space="0" w:color="auto"/>
                </w:tcBorders>
                <w:vAlign w:val="center"/>
              </w:tcPr>
              <w:p w14:paraId="2FC8A3B8" w14:textId="77777777" w:rsidR="00E57DAA" w:rsidRDefault="00AC4185">
                <w:pPr>
                  <w:jc w:val="center"/>
                  <w:rPr>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rPr>
              <w:tag w:val="_PLD_63769de747ae44d5b345aed18107390b"/>
              <w:id w:val="-1081903849"/>
            </w:sdtPr>
            <w:sdtEndPr/>
            <w:sdtContent>
              <w:p w14:paraId="3F3DA5EE" w14:textId="77777777" w:rsidR="00E57DAA" w:rsidRDefault="00AC4185">
                <w:pPr>
                  <w:jc w:val="center"/>
                </w:pPr>
                <w:r>
                  <w:rPr>
                    <w:rFonts w:hint="eastAsia"/>
                  </w:rPr>
                  <w:t>期初账面余额</w:t>
                </w:r>
              </w:p>
            </w:sdtContent>
          </w:sdt>
        </w:tc>
      </w:tr>
      <w:tr w:rsidR="00E57DAA" w14:paraId="3A708C1A" w14:textId="77777777">
        <w:trPr>
          <w:cantSplit/>
        </w:trPr>
        <w:sdt>
          <w:sdtPr>
            <w:tag w:val="_PLD_c6695c49fd154f06a8c3e54859fa6317"/>
            <w:id w:val="1472407344"/>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75E3ACFE" w14:textId="77777777" w:rsidR="00E57DAA" w:rsidRDefault="00AC4185">
                <w:pPr>
                  <w:rPr>
                    <w:color w:val="FF0000"/>
                    <w:szCs w:val="21"/>
                  </w:rPr>
                </w:pPr>
                <w:r>
                  <w:rPr>
                    <w:rFonts w:hint="eastAsia"/>
                    <w:szCs w:val="21"/>
                  </w:rPr>
                  <w:t>1年以内</w:t>
                </w:r>
              </w:p>
            </w:tc>
          </w:sdtContent>
        </w:sdt>
      </w:tr>
      <w:tr w:rsidR="00E57DAA" w14:paraId="599498F3" w14:textId="77777777">
        <w:trPr>
          <w:cantSplit/>
        </w:trPr>
        <w:sdt>
          <w:sdtPr>
            <w:tag w:val="_PLD_26deac0bdd35479bb09de6b9007dff6c"/>
            <w:id w:val="-1539504310"/>
          </w:sdtPr>
          <w:sdtEndPr/>
          <w:sdtContent>
            <w:tc>
              <w:tcPr>
                <w:tcW w:w="5000" w:type="pct"/>
                <w:gridSpan w:val="3"/>
                <w:tcBorders>
                  <w:top w:val="single" w:sz="4" w:space="0" w:color="auto"/>
                  <w:left w:val="single" w:sz="4" w:space="0" w:color="auto"/>
                  <w:bottom w:val="single" w:sz="4" w:space="0" w:color="auto"/>
                  <w:right w:val="single" w:sz="4" w:space="0" w:color="auto"/>
                </w:tcBorders>
              </w:tcPr>
              <w:p w14:paraId="0ABB96CB" w14:textId="77777777" w:rsidR="00E57DAA" w:rsidRDefault="00AC4185">
                <w:pPr>
                  <w:rPr>
                    <w:szCs w:val="21"/>
                  </w:rPr>
                </w:pPr>
                <w:r>
                  <w:rPr>
                    <w:rFonts w:hint="eastAsia"/>
                    <w:szCs w:val="21"/>
                  </w:rPr>
                  <w:t>其中：1年以内分项</w:t>
                </w:r>
              </w:p>
            </w:tc>
          </w:sdtContent>
        </w:sdt>
      </w:tr>
      <w:sdt>
        <w:sdtPr>
          <w:rPr>
            <w:rFonts w:hint="eastAsia"/>
            <w:szCs w:val="21"/>
          </w:rPr>
          <w:alias w:val="一年以内其他应收款金额明细"/>
          <w:tag w:val="_TUP_32dcb4c20244430a8ec5bd930e7bffe5"/>
          <w:id w:val="-275640560"/>
        </w:sdtPr>
        <w:sdtEndPr/>
        <w:sdtContent>
          <w:tr w:rsidR="00E57DAA" w14:paraId="2FBAA534"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4BC8CC0" w14:textId="77777777" w:rsidR="00E57DAA" w:rsidRDefault="00AC4185">
                <w:pPr>
                  <w:rPr>
                    <w:szCs w:val="21"/>
                  </w:rPr>
                </w:pPr>
                <w:r>
                  <w:rPr>
                    <w:rFonts w:hint="eastAsia"/>
                    <w:szCs w:val="21"/>
                  </w:rPr>
                  <w:t>1年以内</w:t>
                </w:r>
              </w:p>
            </w:tc>
            <w:tc>
              <w:tcPr>
                <w:tcW w:w="1652" w:type="pct"/>
                <w:tcBorders>
                  <w:top w:val="single" w:sz="4" w:space="0" w:color="auto"/>
                  <w:left w:val="single" w:sz="4" w:space="0" w:color="auto"/>
                  <w:bottom w:val="single" w:sz="4" w:space="0" w:color="auto"/>
                  <w:right w:val="single" w:sz="4" w:space="0" w:color="auto"/>
                </w:tcBorders>
              </w:tcPr>
              <w:p w14:paraId="40707FDC" w14:textId="77777777" w:rsidR="00E57DAA" w:rsidRDefault="00AC4185">
                <w:pPr>
                  <w:jc w:val="right"/>
                  <w:rPr>
                    <w:szCs w:val="21"/>
                  </w:rPr>
                </w:pPr>
                <w:r>
                  <w:t>885,228,829.19</w:t>
                </w:r>
              </w:p>
            </w:tc>
            <w:tc>
              <w:tcPr>
                <w:tcW w:w="1652" w:type="pct"/>
                <w:tcBorders>
                  <w:top w:val="single" w:sz="4" w:space="0" w:color="auto"/>
                  <w:left w:val="single" w:sz="4" w:space="0" w:color="auto"/>
                  <w:bottom w:val="single" w:sz="4" w:space="0" w:color="auto"/>
                  <w:right w:val="single" w:sz="4" w:space="0" w:color="auto"/>
                </w:tcBorders>
              </w:tcPr>
              <w:p w14:paraId="36E5FA28" w14:textId="77777777" w:rsidR="00E57DAA" w:rsidRDefault="00AC4185">
                <w:pPr>
                  <w:jc w:val="right"/>
                  <w:rPr>
                    <w:szCs w:val="21"/>
                  </w:rPr>
                </w:pPr>
                <w:r>
                  <w:t>1,659,195,248.35</w:t>
                </w:r>
              </w:p>
            </w:tc>
          </w:tr>
        </w:sdtContent>
      </w:sdt>
      <w:tr w:rsidR="00E57DAA" w14:paraId="4C4B92CC" w14:textId="77777777">
        <w:trPr>
          <w:cantSplit/>
        </w:trPr>
        <w:sdt>
          <w:sdtPr>
            <w:tag w:val="_PLD_f34782891aa54323ae8a03b2559e9d4a"/>
            <w:id w:val="575101473"/>
          </w:sdtPr>
          <w:sdtEndPr/>
          <w:sdtContent>
            <w:tc>
              <w:tcPr>
                <w:tcW w:w="1696" w:type="pct"/>
                <w:tcBorders>
                  <w:top w:val="single" w:sz="4" w:space="0" w:color="auto"/>
                  <w:left w:val="single" w:sz="4" w:space="0" w:color="auto"/>
                  <w:bottom w:val="single" w:sz="4" w:space="0" w:color="auto"/>
                  <w:right w:val="single" w:sz="4" w:space="0" w:color="auto"/>
                </w:tcBorders>
              </w:tcPr>
              <w:p w14:paraId="2660791C" w14:textId="77777777" w:rsidR="00E57DAA" w:rsidRDefault="00AC4185">
                <w:pPr>
                  <w:rPr>
                    <w:szCs w:val="21"/>
                  </w:rPr>
                </w:pPr>
                <w:r>
                  <w:rPr>
                    <w:rFonts w:hint="eastAsia"/>
                    <w:szCs w:val="21"/>
                  </w:rPr>
                  <w:t>1年以内小计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5E12EA02" w14:textId="77777777" w:rsidR="00E57DAA" w:rsidRDefault="00AC4185">
            <w:pPr>
              <w:jc w:val="right"/>
              <w:rPr>
                <w:szCs w:val="21"/>
              </w:rPr>
            </w:pPr>
            <w:r>
              <w:rPr>
                <w:rFonts w:hint="eastAsia"/>
                <w:szCs w:val="21"/>
              </w:rPr>
              <w:t>885,228,829.19</w:t>
            </w:r>
          </w:p>
        </w:tc>
        <w:tc>
          <w:tcPr>
            <w:tcW w:w="1652" w:type="pct"/>
            <w:tcBorders>
              <w:top w:val="single" w:sz="4" w:space="0" w:color="auto"/>
              <w:left w:val="single" w:sz="4" w:space="0" w:color="auto"/>
              <w:bottom w:val="single" w:sz="4" w:space="0" w:color="auto"/>
              <w:right w:val="single" w:sz="4" w:space="0" w:color="auto"/>
            </w:tcBorders>
            <w:vAlign w:val="center"/>
          </w:tcPr>
          <w:p w14:paraId="16A82978" w14:textId="77777777" w:rsidR="00E57DAA" w:rsidRDefault="00AC4185">
            <w:pPr>
              <w:jc w:val="right"/>
              <w:rPr>
                <w:szCs w:val="21"/>
              </w:rPr>
            </w:pPr>
            <w:r>
              <w:rPr>
                <w:rFonts w:hint="eastAsia"/>
              </w:rPr>
              <w:t>1,659,195,248.35</w:t>
            </w:r>
          </w:p>
        </w:tc>
      </w:tr>
      <w:tr w:rsidR="00E57DAA" w14:paraId="1D2D221F" w14:textId="77777777">
        <w:trPr>
          <w:cantSplit/>
        </w:trPr>
        <w:sdt>
          <w:sdtPr>
            <w:tag w:val="_PLD_fc3c00db31d442c7a76f631f094aa647"/>
            <w:id w:val="-155466253"/>
          </w:sdtPr>
          <w:sdtEndPr/>
          <w:sdtContent>
            <w:tc>
              <w:tcPr>
                <w:tcW w:w="1696" w:type="pct"/>
                <w:tcBorders>
                  <w:top w:val="single" w:sz="4" w:space="0" w:color="auto"/>
                  <w:left w:val="single" w:sz="4" w:space="0" w:color="auto"/>
                  <w:bottom w:val="single" w:sz="4" w:space="0" w:color="auto"/>
                  <w:right w:val="single" w:sz="4" w:space="0" w:color="auto"/>
                </w:tcBorders>
              </w:tcPr>
              <w:p w14:paraId="0A4B6A6A" w14:textId="77777777" w:rsidR="00E57DAA" w:rsidRDefault="00AC4185">
                <w:pPr>
                  <w:rPr>
                    <w:szCs w:val="21"/>
                  </w:rPr>
                </w:pPr>
                <w:r>
                  <w:rPr>
                    <w:rFonts w:hint="eastAsia"/>
                    <w:szCs w:val="21"/>
                  </w:rPr>
                  <w:t>1至2年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0A3E10DE" w14:textId="77777777" w:rsidR="00E57DAA" w:rsidRDefault="00AC4185">
            <w:pPr>
              <w:jc w:val="right"/>
              <w:rPr>
                <w:szCs w:val="21"/>
              </w:rPr>
            </w:pPr>
            <w:r>
              <w:rPr>
                <w:rFonts w:hint="eastAsia"/>
                <w:szCs w:val="21"/>
              </w:rPr>
              <w:t>1,482,780,076.07</w:t>
            </w:r>
          </w:p>
        </w:tc>
        <w:tc>
          <w:tcPr>
            <w:tcW w:w="1652" w:type="pct"/>
            <w:tcBorders>
              <w:top w:val="single" w:sz="4" w:space="0" w:color="auto"/>
              <w:left w:val="single" w:sz="4" w:space="0" w:color="auto"/>
              <w:bottom w:val="single" w:sz="4" w:space="0" w:color="auto"/>
              <w:right w:val="single" w:sz="4" w:space="0" w:color="auto"/>
            </w:tcBorders>
            <w:vAlign w:val="center"/>
          </w:tcPr>
          <w:p w14:paraId="0A19DC82" w14:textId="77777777" w:rsidR="00E57DAA" w:rsidRDefault="00AC4185">
            <w:pPr>
              <w:jc w:val="right"/>
              <w:rPr>
                <w:szCs w:val="21"/>
              </w:rPr>
            </w:pPr>
            <w:r>
              <w:rPr>
                <w:rFonts w:hint="eastAsia"/>
              </w:rPr>
              <w:t>261,531,589.65</w:t>
            </w:r>
          </w:p>
        </w:tc>
      </w:tr>
      <w:tr w:rsidR="00E57DAA" w14:paraId="3898D12F" w14:textId="77777777">
        <w:trPr>
          <w:cantSplit/>
        </w:trPr>
        <w:sdt>
          <w:sdtPr>
            <w:tag w:val="_PLD_b68a8ee770904254af6cb6c0f48d8a3c"/>
            <w:id w:val="1956064589"/>
          </w:sdtPr>
          <w:sdtEndPr/>
          <w:sdtContent>
            <w:tc>
              <w:tcPr>
                <w:tcW w:w="1696" w:type="pct"/>
                <w:tcBorders>
                  <w:top w:val="single" w:sz="4" w:space="0" w:color="auto"/>
                  <w:left w:val="single" w:sz="4" w:space="0" w:color="auto"/>
                  <w:bottom w:val="single" w:sz="4" w:space="0" w:color="auto"/>
                  <w:right w:val="single" w:sz="4" w:space="0" w:color="auto"/>
                </w:tcBorders>
              </w:tcPr>
              <w:p w14:paraId="6782D042" w14:textId="77777777" w:rsidR="00E57DAA" w:rsidRDefault="00AC4185">
                <w:pPr>
                  <w:rPr>
                    <w:szCs w:val="21"/>
                  </w:rPr>
                </w:pPr>
                <w:r>
                  <w:rPr>
                    <w:rFonts w:hint="eastAsia"/>
                    <w:szCs w:val="21"/>
                  </w:rPr>
                  <w:t>2至3年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207C5B61" w14:textId="77777777" w:rsidR="00E57DAA" w:rsidRDefault="00AC4185">
            <w:pPr>
              <w:jc w:val="right"/>
              <w:rPr>
                <w:szCs w:val="21"/>
              </w:rPr>
            </w:pPr>
            <w:r>
              <w:rPr>
                <w:rFonts w:hint="eastAsia"/>
                <w:szCs w:val="21"/>
              </w:rPr>
              <w:t>4,029,334.70</w:t>
            </w:r>
          </w:p>
        </w:tc>
        <w:tc>
          <w:tcPr>
            <w:tcW w:w="1652" w:type="pct"/>
            <w:tcBorders>
              <w:top w:val="single" w:sz="4" w:space="0" w:color="auto"/>
              <w:left w:val="single" w:sz="4" w:space="0" w:color="auto"/>
              <w:bottom w:val="single" w:sz="4" w:space="0" w:color="auto"/>
              <w:right w:val="single" w:sz="4" w:space="0" w:color="auto"/>
            </w:tcBorders>
            <w:vAlign w:val="center"/>
          </w:tcPr>
          <w:p w14:paraId="5DCA6530" w14:textId="77777777" w:rsidR="00E57DAA" w:rsidRDefault="00AC4185">
            <w:pPr>
              <w:jc w:val="right"/>
              <w:rPr>
                <w:szCs w:val="21"/>
              </w:rPr>
            </w:pPr>
            <w:r>
              <w:rPr>
                <w:rFonts w:hint="eastAsia"/>
              </w:rPr>
              <w:t>301,330,186.95</w:t>
            </w:r>
          </w:p>
        </w:tc>
      </w:tr>
      <w:tr w:rsidR="00E57DAA" w14:paraId="56714D9D" w14:textId="77777777">
        <w:trPr>
          <w:cantSplit/>
        </w:trPr>
        <w:sdt>
          <w:sdtPr>
            <w:tag w:val="_PLD_52dbd962affc4dadb23d0a94da0f9ba3"/>
            <w:id w:val="732978126"/>
          </w:sdtPr>
          <w:sdtEndPr/>
          <w:sdtContent>
            <w:tc>
              <w:tcPr>
                <w:tcW w:w="1696" w:type="pct"/>
                <w:tcBorders>
                  <w:top w:val="single" w:sz="4" w:space="0" w:color="auto"/>
                  <w:left w:val="single" w:sz="4" w:space="0" w:color="auto"/>
                  <w:bottom w:val="single" w:sz="4" w:space="0" w:color="auto"/>
                  <w:right w:val="single" w:sz="4" w:space="0" w:color="auto"/>
                </w:tcBorders>
              </w:tcPr>
              <w:p w14:paraId="599DBD62" w14:textId="77777777" w:rsidR="00E57DAA" w:rsidRDefault="00AC4185">
                <w:pPr>
                  <w:rPr>
                    <w:szCs w:val="21"/>
                  </w:rPr>
                </w:pPr>
                <w:r>
                  <w:rPr>
                    <w:rFonts w:hint="eastAsia"/>
                    <w:szCs w:val="21"/>
                  </w:rPr>
                  <w:t>3年以上</w:t>
                </w:r>
              </w:p>
            </w:tc>
          </w:sdtContent>
        </w:sdt>
        <w:tc>
          <w:tcPr>
            <w:tcW w:w="1652" w:type="pct"/>
            <w:tcBorders>
              <w:top w:val="single" w:sz="4" w:space="0" w:color="auto"/>
              <w:left w:val="single" w:sz="4" w:space="0" w:color="auto"/>
              <w:bottom w:val="single" w:sz="4" w:space="0" w:color="auto"/>
              <w:right w:val="single" w:sz="4" w:space="0" w:color="auto"/>
            </w:tcBorders>
          </w:tcPr>
          <w:p w14:paraId="1377331E" w14:textId="77777777" w:rsidR="00E57DAA" w:rsidRDefault="00E57DAA">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5EF0C98F" w14:textId="77777777" w:rsidR="00E57DAA" w:rsidRDefault="00E57DAA">
            <w:pPr>
              <w:jc w:val="right"/>
              <w:rPr>
                <w:szCs w:val="21"/>
              </w:rPr>
            </w:pPr>
          </w:p>
        </w:tc>
      </w:tr>
      <w:tr w:rsidR="00E57DAA" w14:paraId="7FE286AB" w14:textId="77777777">
        <w:trPr>
          <w:cantSplit/>
        </w:trPr>
        <w:sdt>
          <w:sdtPr>
            <w:tag w:val="_PLD_206daf0e0ce649cbb4c0471902588aa2"/>
            <w:id w:val="998008276"/>
          </w:sdtPr>
          <w:sdtEndPr/>
          <w:sdtContent>
            <w:tc>
              <w:tcPr>
                <w:tcW w:w="1696" w:type="pct"/>
                <w:tcBorders>
                  <w:top w:val="single" w:sz="4" w:space="0" w:color="auto"/>
                  <w:left w:val="single" w:sz="4" w:space="0" w:color="auto"/>
                  <w:bottom w:val="single" w:sz="4" w:space="0" w:color="auto"/>
                  <w:right w:val="single" w:sz="4" w:space="0" w:color="auto"/>
                </w:tcBorders>
              </w:tcPr>
              <w:p w14:paraId="53BB51A2" w14:textId="77777777" w:rsidR="00E57DAA" w:rsidRDefault="00AC4185">
                <w:pPr>
                  <w:rPr>
                    <w:szCs w:val="21"/>
                  </w:rPr>
                </w:pPr>
                <w:r>
                  <w:rPr>
                    <w:rFonts w:hint="eastAsia"/>
                    <w:szCs w:val="21"/>
                  </w:rPr>
                  <w:t>3至4年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54378646" w14:textId="77777777" w:rsidR="00E57DAA" w:rsidRDefault="00AC4185">
            <w:pPr>
              <w:jc w:val="right"/>
              <w:rPr>
                <w:szCs w:val="21"/>
              </w:rPr>
            </w:pPr>
            <w:r>
              <w:rPr>
                <w:rFonts w:hint="eastAsia"/>
                <w:szCs w:val="21"/>
              </w:rPr>
              <w:t>60,038,171.05</w:t>
            </w:r>
          </w:p>
        </w:tc>
        <w:tc>
          <w:tcPr>
            <w:tcW w:w="1652" w:type="pct"/>
            <w:tcBorders>
              <w:top w:val="single" w:sz="4" w:space="0" w:color="auto"/>
              <w:left w:val="single" w:sz="4" w:space="0" w:color="auto"/>
              <w:bottom w:val="single" w:sz="4" w:space="0" w:color="auto"/>
              <w:right w:val="single" w:sz="4" w:space="0" w:color="auto"/>
            </w:tcBorders>
            <w:vAlign w:val="center"/>
          </w:tcPr>
          <w:p w14:paraId="7126FDC6" w14:textId="77777777" w:rsidR="00E57DAA" w:rsidRDefault="00AC4185">
            <w:pPr>
              <w:jc w:val="right"/>
              <w:rPr>
                <w:szCs w:val="21"/>
              </w:rPr>
            </w:pPr>
            <w:r>
              <w:rPr>
                <w:rFonts w:hint="eastAsia"/>
              </w:rPr>
              <w:t>166,954,985.29</w:t>
            </w:r>
          </w:p>
        </w:tc>
      </w:tr>
      <w:tr w:rsidR="00E57DAA" w14:paraId="0D2D698A" w14:textId="77777777">
        <w:trPr>
          <w:cantSplit/>
        </w:trPr>
        <w:sdt>
          <w:sdtPr>
            <w:tag w:val="_PLD_1301021c14c34c64b6f3256d1b1d12e8"/>
            <w:id w:val="-789115774"/>
          </w:sdtPr>
          <w:sdtEndPr/>
          <w:sdtContent>
            <w:tc>
              <w:tcPr>
                <w:tcW w:w="1696" w:type="pct"/>
                <w:tcBorders>
                  <w:top w:val="single" w:sz="4" w:space="0" w:color="auto"/>
                  <w:left w:val="single" w:sz="4" w:space="0" w:color="auto"/>
                  <w:bottom w:val="single" w:sz="4" w:space="0" w:color="auto"/>
                  <w:right w:val="single" w:sz="4" w:space="0" w:color="auto"/>
                </w:tcBorders>
              </w:tcPr>
              <w:p w14:paraId="30554422" w14:textId="77777777" w:rsidR="00E57DAA" w:rsidRDefault="00AC4185">
                <w:pPr>
                  <w:rPr>
                    <w:szCs w:val="21"/>
                  </w:rPr>
                </w:pPr>
                <w:r>
                  <w:rPr>
                    <w:rFonts w:hint="eastAsia"/>
                    <w:szCs w:val="21"/>
                  </w:rPr>
                  <w:t>4至5年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5223A97D" w14:textId="77777777" w:rsidR="00E57DAA" w:rsidRDefault="00AC4185">
            <w:pPr>
              <w:jc w:val="right"/>
              <w:rPr>
                <w:szCs w:val="21"/>
              </w:rPr>
            </w:pPr>
            <w:r>
              <w:rPr>
                <w:rFonts w:hint="eastAsia"/>
                <w:szCs w:val="21"/>
              </w:rPr>
              <w:t>109,653,455.29</w:t>
            </w:r>
          </w:p>
        </w:tc>
        <w:tc>
          <w:tcPr>
            <w:tcW w:w="1652" w:type="pct"/>
            <w:tcBorders>
              <w:top w:val="single" w:sz="4" w:space="0" w:color="auto"/>
              <w:left w:val="single" w:sz="4" w:space="0" w:color="auto"/>
              <w:bottom w:val="single" w:sz="4" w:space="0" w:color="auto"/>
              <w:right w:val="single" w:sz="4" w:space="0" w:color="auto"/>
            </w:tcBorders>
            <w:vAlign w:val="center"/>
          </w:tcPr>
          <w:p w14:paraId="3D29F1C8" w14:textId="77777777" w:rsidR="00E57DAA" w:rsidRDefault="00AC4185">
            <w:pPr>
              <w:jc w:val="right"/>
              <w:rPr>
                <w:szCs w:val="21"/>
              </w:rPr>
            </w:pPr>
            <w:r>
              <w:rPr>
                <w:rFonts w:hint="eastAsia"/>
              </w:rPr>
              <w:t>147,332,128.09</w:t>
            </w:r>
          </w:p>
        </w:tc>
      </w:tr>
      <w:tr w:rsidR="00E57DAA" w14:paraId="335C19D4" w14:textId="77777777">
        <w:trPr>
          <w:cantSplit/>
        </w:trPr>
        <w:sdt>
          <w:sdtPr>
            <w:tag w:val="_PLD_b1d6021e76294af4b7e2645021fcd7b2"/>
            <w:id w:val="488834924"/>
          </w:sdtPr>
          <w:sdtEndPr/>
          <w:sdtContent>
            <w:tc>
              <w:tcPr>
                <w:tcW w:w="1696" w:type="pct"/>
                <w:tcBorders>
                  <w:top w:val="single" w:sz="4" w:space="0" w:color="auto"/>
                  <w:left w:val="single" w:sz="4" w:space="0" w:color="auto"/>
                  <w:bottom w:val="single" w:sz="4" w:space="0" w:color="auto"/>
                  <w:right w:val="single" w:sz="4" w:space="0" w:color="auto"/>
                </w:tcBorders>
              </w:tcPr>
              <w:p w14:paraId="22368B7B" w14:textId="77777777" w:rsidR="00E57DAA" w:rsidRDefault="00AC4185">
                <w:pPr>
                  <w:rPr>
                    <w:szCs w:val="21"/>
                  </w:rPr>
                </w:pPr>
                <w:r>
                  <w:rPr>
                    <w:rFonts w:hint="eastAsia"/>
                    <w:szCs w:val="21"/>
                  </w:rPr>
                  <w:t>5年以上</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2191B7F1" w14:textId="77777777" w:rsidR="00E57DAA" w:rsidRDefault="00AC4185">
            <w:pPr>
              <w:jc w:val="right"/>
              <w:rPr>
                <w:szCs w:val="21"/>
              </w:rPr>
            </w:pPr>
            <w:r>
              <w:rPr>
                <w:rFonts w:hint="eastAsia"/>
                <w:szCs w:val="21"/>
              </w:rPr>
              <w:t>156,854,723.65</w:t>
            </w:r>
          </w:p>
        </w:tc>
        <w:tc>
          <w:tcPr>
            <w:tcW w:w="1652" w:type="pct"/>
            <w:tcBorders>
              <w:top w:val="single" w:sz="4" w:space="0" w:color="auto"/>
              <w:left w:val="single" w:sz="4" w:space="0" w:color="auto"/>
              <w:bottom w:val="single" w:sz="4" w:space="0" w:color="auto"/>
              <w:right w:val="single" w:sz="4" w:space="0" w:color="auto"/>
            </w:tcBorders>
            <w:vAlign w:val="center"/>
          </w:tcPr>
          <w:p w14:paraId="6E4A4C40" w14:textId="77777777" w:rsidR="00E57DAA" w:rsidRDefault="00AC4185">
            <w:pPr>
              <w:jc w:val="right"/>
              <w:rPr>
                <w:szCs w:val="21"/>
              </w:rPr>
            </w:pPr>
            <w:r>
              <w:rPr>
                <w:rFonts w:hint="eastAsia"/>
              </w:rPr>
              <w:t>19,698,008.63</w:t>
            </w:r>
          </w:p>
        </w:tc>
      </w:tr>
      <w:tr w:rsidR="00E57DAA" w14:paraId="583A9468" w14:textId="77777777">
        <w:trPr>
          <w:cantSplit/>
        </w:trPr>
        <w:sdt>
          <w:sdtPr>
            <w:tag w:val="_PLD_5584620c013945f882079e20589c86b3"/>
            <w:id w:val="181631261"/>
          </w:sdtPr>
          <w:sdtEndPr/>
          <w:sdtContent>
            <w:tc>
              <w:tcPr>
                <w:tcW w:w="1696" w:type="pct"/>
                <w:tcBorders>
                  <w:top w:val="single" w:sz="4" w:space="0" w:color="auto"/>
                  <w:left w:val="single" w:sz="4" w:space="0" w:color="auto"/>
                  <w:bottom w:val="single" w:sz="4" w:space="0" w:color="auto"/>
                  <w:right w:val="single" w:sz="4" w:space="0" w:color="auto"/>
                </w:tcBorders>
                <w:vAlign w:val="center"/>
              </w:tcPr>
              <w:p w14:paraId="6F57A71D" w14:textId="77777777" w:rsidR="00E57DAA" w:rsidRDefault="00AC4185">
                <w:pPr>
                  <w:jc w:val="center"/>
                  <w:rPr>
                    <w:szCs w:val="21"/>
                  </w:rPr>
                </w:pPr>
                <w:r>
                  <w:rPr>
                    <w:rFonts w:hint="eastAsia"/>
                    <w:szCs w:val="21"/>
                  </w:rPr>
                  <w:t>合计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10B30038" w14:textId="77777777" w:rsidR="00E57DAA" w:rsidRDefault="00AC4185">
            <w:pPr>
              <w:jc w:val="right"/>
              <w:rPr>
                <w:szCs w:val="21"/>
              </w:rPr>
            </w:pPr>
            <w:r>
              <w:rPr>
                <w:rFonts w:hint="eastAsia"/>
                <w:szCs w:val="21"/>
              </w:rPr>
              <w:t>2,698,584,589.95</w:t>
            </w:r>
          </w:p>
        </w:tc>
        <w:tc>
          <w:tcPr>
            <w:tcW w:w="1652" w:type="pct"/>
            <w:tcBorders>
              <w:top w:val="single" w:sz="4" w:space="0" w:color="auto"/>
              <w:left w:val="single" w:sz="4" w:space="0" w:color="auto"/>
              <w:bottom w:val="single" w:sz="4" w:space="0" w:color="auto"/>
              <w:right w:val="single" w:sz="4" w:space="0" w:color="auto"/>
            </w:tcBorders>
            <w:vAlign w:val="center"/>
          </w:tcPr>
          <w:p w14:paraId="3E1C2169" w14:textId="77777777" w:rsidR="00E57DAA" w:rsidRDefault="00AC4185">
            <w:pPr>
              <w:jc w:val="right"/>
              <w:rPr>
                <w:szCs w:val="21"/>
              </w:rPr>
            </w:pPr>
            <w:r>
              <w:rPr>
                <w:rFonts w:hint="eastAsia"/>
              </w:rPr>
              <w:t>2,556,042,146.96</w:t>
            </w:r>
          </w:p>
        </w:tc>
      </w:tr>
    </w:tbl>
    <w:p w14:paraId="5A5C3CC3" w14:textId="77777777" w:rsidR="00E57DAA" w:rsidRDefault="00E57DAA" w:rsidP="00C25422">
      <w:pPr>
        <w:pStyle w:val="92"/>
      </w:pPr>
    </w:p>
    <w:p w14:paraId="1F93DCA8" w14:textId="77777777" w:rsidR="00E57DAA" w:rsidRDefault="00AC4185" w:rsidP="00C25422">
      <w:pPr>
        <w:pStyle w:val="90"/>
        <w:numPr>
          <w:ilvl w:val="0"/>
          <w:numId w:val="134"/>
        </w:numPr>
        <w:ind w:leftChars="0"/>
      </w:pPr>
      <w:r>
        <w:rPr>
          <w:rFonts w:hint="eastAsia"/>
        </w:rPr>
        <w:lastRenderedPageBreak/>
        <w:t>按款项性质分类情况</w:t>
      </w:r>
    </w:p>
    <w:p w14:paraId="0684EE61" w14:textId="77777777" w:rsidR="00E57DAA" w:rsidRDefault="00EB41A1" w:rsidP="00C25422">
      <w:pPr>
        <w:pStyle w:val="92"/>
      </w:pPr>
      <w:sdt>
        <w:sdtPr>
          <w:alias w:val="是否适用：母公司其他应收款按款项性质分类情况[双击切换]"/>
          <w:tag w:val="_GBC_a5e5418d19394a1c8f8093184d9b360a"/>
          <w:id w:val="-1671173051"/>
          <w:placeholder>
            <w:docPart w:val="GBC22222222222222222222222222222"/>
          </w:placeholder>
        </w:sdtPr>
        <w:sdtEndPr/>
        <w:sdtContent>
          <w:r w:rsidR="00AC4185">
            <w:fldChar w:fldCharType="begin"/>
          </w:r>
          <w:r w:rsidR="00AC4185">
            <w:rPr>
              <w:rFonts w:hint="eastAsia"/>
            </w:rPr>
            <w:instrText xml:space="preserve">MACROBUTTON  SnrToggleCheckbox √适用 </w:instrText>
          </w:r>
          <w:r w:rsidR="00AC4185">
            <w:fldChar w:fldCharType="end"/>
          </w:r>
          <w:r w:rsidR="00AC4185">
            <w:fldChar w:fldCharType="begin"/>
          </w:r>
          <w:r w:rsidR="00AC4185">
            <w:instrText xml:space="preserve"> MACROBUTTON  SnrToggleCheckbox □不适用 </w:instrText>
          </w:r>
          <w:r w:rsidR="00AC4185">
            <w:fldChar w:fldCharType="end"/>
          </w:r>
        </w:sdtContent>
      </w:sdt>
    </w:p>
    <w:p w14:paraId="34B9AE72" w14:textId="77777777" w:rsidR="00E57DAA" w:rsidRDefault="00AC4185">
      <w:pPr>
        <w:jc w:val="right"/>
      </w:pPr>
      <w:r>
        <w:rPr>
          <w:rFonts w:hint="eastAsia"/>
        </w:rPr>
        <w:t>单位：</w:t>
      </w:r>
      <w:sdt>
        <w:sdtPr>
          <w:rPr>
            <w:rFonts w:hint="eastAsia"/>
          </w:rPr>
          <w:alias w:val="单位：财务附注：母公司其他应收款按款项性质分类情况"/>
          <w:tag w:val="_GBC_451485fc33dc4b2c9be5a44730242ca7"/>
          <w:id w:val="1852289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5700083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9"/>
        <w:tblW w:w="5000" w:type="pct"/>
        <w:tblLayout w:type="fixed"/>
        <w:tblLook w:val="04A0" w:firstRow="1" w:lastRow="0" w:firstColumn="1" w:lastColumn="0" w:noHBand="0" w:noVBand="1"/>
      </w:tblPr>
      <w:tblGrid>
        <w:gridCol w:w="3000"/>
        <w:gridCol w:w="2906"/>
        <w:gridCol w:w="2917"/>
      </w:tblGrid>
      <w:tr w:rsidR="00E57DAA" w14:paraId="4366E311" w14:textId="77777777">
        <w:sdt>
          <w:sdtPr>
            <w:tag w:val="_PLD_fa2a2127303b4deebb2bcaea193eb6d9"/>
            <w:id w:val="2026745631"/>
          </w:sdtPr>
          <w:sdtEndPr/>
          <w:sdtContent>
            <w:tc>
              <w:tcPr>
                <w:tcW w:w="1700" w:type="pct"/>
              </w:tcPr>
              <w:p w14:paraId="52660F86" w14:textId="77777777" w:rsidR="00E57DAA" w:rsidRDefault="00AC4185">
                <w:pPr>
                  <w:jc w:val="center"/>
                </w:pPr>
                <w:r>
                  <w:rPr>
                    <w:rFonts w:hint="eastAsia"/>
                  </w:rPr>
                  <w:t>款项性质</w:t>
                </w:r>
              </w:p>
            </w:tc>
          </w:sdtContent>
        </w:sdt>
        <w:sdt>
          <w:sdtPr>
            <w:tag w:val="_PLD_aa55d719329144e5a0eafd36222d0851"/>
            <w:id w:val="-1593151320"/>
          </w:sdtPr>
          <w:sdtEndPr/>
          <w:sdtContent>
            <w:tc>
              <w:tcPr>
                <w:tcW w:w="1647" w:type="pct"/>
              </w:tcPr>
              <w:p w14:paraId="306E65CA" w14:textId="77777777" w:rsidR="00E57DAA" w:rsidRDefault="00AC4185">
                <w:pPr>
                  <w:jc w:val="center"/>
                </w:pPr>
                <w:r>
                  <w:rPr>
                    <w:rFonts w:hint="eastAsia"/>
                  </w:rPr>
                  <w:t>期末账面余额</w:t>
                </w:r>
              </w:p>
            </w:tc>
          </w:sdtContent>
        </w:sdt>
        <w:sdt>
          <w:sdtPr>
            <w:tag w:val="_PLD_146282129b6a4b52a6963dad9647679a"/>
            <w:id w:val="-1019461549"/>
          </w:sdtPr>
          <w:sdtEndPr/>
          <w:sdtContent>
            <w:tc>
              <w:tcPr>
                <w:tcW w:w="1653" w:type="pct"/>
              </w:tcPr>
              <w:p w14:paraId="1643D59F" w14:textId="77777777" w:rsidR="00E57DAA" w:rsidRDefault="00AC4185">
                <w:pPr>
                  <w:jc w:val="center"/>
                </w:pPr>
                <w:r>
                  <w:rPr>
                    <w:rFonts w:hint="eastAsia"/>
                  </w:rPr>
                  <w:t>期初账面余额</w:t>
                </w:r>
              </w:p>
            </w:tc>
          </w:sdtContent>
        </w:sdt>
      </w:tr>
      <w:tr w:rsidR="00E57DAA" w14:paraId="238E671D" w14:textId="77777777">
        <w:tc>
          <w:tcPr>
            <w:tcW w:w="1700" w:type="pct"/>
          </w:tcPr>
          <w:p w14:paraId="5D21E6C1" w14:textId="77777777" w:rsidR="00E57DAA" w:rsidRDefault="00AC4185">
            <w:pPr>
              <w:rPr>
                <w:highlight w:val="yellow"/>
              </w:rPr>
            </w:pPr>
            <w:r>
              <w:t>出口退税</w:t>
            </w:r>
          </w:p>
        </w:tc>
        <w:tc>
          <w:tcPr>
            <w:tcW w:w="1647" w:type="pct"/>
          </w:tcPr>
          <w:p w14:paraId="789E634F" w14:textId="77777777" w:rsidR="00E57DAA" w:rsidRDefault="00AC4185">
            <w:pPr>
              <w:jc w:val="right"/>
            </w:pPr>
            <w:r>
              <w:t>40,870,074.78</w:t>
            </w:r>
          </w:p>
        </w:tc>
        <w:tc>
          <w:tcPr>
            <w:tcW w:w="1653" w:type="pct"/>
          </w:tcPr>
          <w:p w14:paraId="6F54CECC" w14:textId="77777777" w:rsidR="00E57DAA" w:rsidRDefault="00AC4185">
            <w:pPr>
              <w:jc w:val="right"/>
            </w:pPr>
            <w:r>
              <w:t>17,100,456.81</w:t>
            </w:r>
          </w:p>
        </w:tc>
      </w:tr>
      <w:tr w:rsidR="00E57DAA" w14:paraId="3ECE824F" w14:textId="77777777">
        <w:tc>
          <w:tcPr>
            <w:tcW w:w="1700" w:type="pct"/>
          </w:tcPr>
          <w:p w14:paraId="291698E1" w14:textId="77777777" w:rsidR="00E57DAA" w:rsidRDefault="00AC4185">
            <w:pPr>
              <w:rPr>
                <w:highlight w:val="yellow"/>
              </w:rPr>
            </w:pPr>
            <w:r>
              <w:t>代垫款项</w:t>
            </w:r>
          </w:p>
        </w:tc>
        <w:tc>
          <w:tcPr>
            <w:tcW w:w="1647" w:type="pct"/>
          </w:tcPr>
          <w:p w14:paraId="62F3C54E" w14:textId="77777777" w:rsidR="00E57DAA" w:rsidRDefault="00AC4185">
            <w:pPr>
              <w:jc w:val="right"/>
            </w:pPr>
            <w:r>
              <w:t>390,695,231.79</w:t>
            </w:r>
          </w:p>
        </w:tc>
        <w:tc>
          <w:tcPr>
            <w:tcW w:w="1653" w:type="pct"/>
          </w:tcPr>
          <w:p w14:paraId="3CE52BCF" w14:textId="77777777" w:rsidR="00E57DAA" w:rsidRDefault="00AC4185">
            <w:pPr>
              <w:jc w:val="right"/>
            </w:pPr>
            <w:r>
              <w:t>295,939,549.42</w:t>
            </w:r>
          </w:p>
        </w:tc>
      </w:tr>
      <w:tr w:rsidR="00E57DAA" w14:paraId="2BAF2EE5" w14:textId="77777777">
        <w:tc>
          <w:tcPr>
            <w:tcW w:w="1700" w:type="pct"/>
          </w:tcPr>
          <w:p w14:paraId="1369EFF0" w14:textId="77777777" w:rsidR="00E57DAA" w:rsidRDefault="00AC4185">
            <w:pPr>
              <w:rPr>
                <w:highlight w:val="yellow"/>
              </w:rPr>
            </w:pPr>
            <w:r>
              <w:t>备用金</w:t>
            </w:r>
          </w:p>
        </w:tc>
        <w:tc>
          <w:tcPr>
            <w:tcW w:w="1647" w:type="pct"/>
          </w:tcPr>
          <w:p w14:paraId="6226787E" w14:textId="77777777" w:rsidR="00E57DAA" w:rsidRDefault="00AC4185">
            <w:pPr>
              <w:jc w:val="right"/>
            </w:pPr>
            <w:r>
              <w:t>20,922,900.99</w:t>
            </w:r>
          </w:p>
        </w:tc>
        <w:tc>
          <w:tcPr>
            <w:tcW w:w="1653" w:type="pct"/>
          </w:tcPr>
          <w:p w14:paraId="78E95D5A" w14:textId="77777777" w:rsidR="00E57DAA" w:rsidRDefault="00AC4185">
            <w:pPr>
              <w:jc w:val="right"/>
            </w:pPr>
            <w:r>
              <w:t>31,348,627.38</w:t>
            </w:r>
          </w:p>
        </w:tc>
      </w:tr>
      <w:tr w:rsidR="00E57DAA" w14:paraId="1C6F6302" w14:textId="77777777">
        <w:tc>
          <w:tcPr>
            <w:tcW w:w="1700" w:type="pct"/>
          </w:tcPr>
          <w:p w14:paraId="7AA6E1ED" w14:textId="77777777" w:rsidR="00E57DAA" w:rsidRDefault="00AC4185">
            <w:pPr>
              <w:rPr>
                <w:highlight w:val="yellow"/>
              </w:rPr>
            </w:pPr>
            <w:r>
              <w:t>往来款</w:t>
            </w:r>
          </w:p>
        </w:tc>
        <w:tc>
          <w:tcPr>
            <w:tcW w:w="1647" w:type="pct"/>
          </w:tcPr>
          <w:p w14:paraId="6F364006" w14:textId="77777777" w:rsidR="00E57DAA" w:rsidRDefault="00AC4185">
            <w:pPr>
              <w:jc w:val="right"/>
            </w:pPr>
            <w:r>
              <w:t>2,246,096,382.39</w:t>
            </w:r>
          </w:p>
        </w:tc>
        <w:tc>
          <w:tcPr>
            <w:tcW w:w="1653" w:type="pct"/>
          </w:tcPr>
          <w:p w14:paraId="0F431AFF" w14:textId="77777777" w:rsidR="00E57DAA" w:rsidRDefault="00AC4185">
            <w:pPr>
              <w:jc w:val="right"/>
            </w:pPr>
            <w:r>
              <w:t>2,211,653,513.35</w:t>
            </w:r>
          </w:p>
        </w:tc>
      </w:tr>
      <w:tr w:rsidR="00E57DAA" w14:paraId="513E7331" w14:textId="77777777">
        <w:tc>
          <w:tcPr>
            <w:tcW w:w="1700" w:type="pct"/>
          </w:tcPr>
          <w:p w14:paraId="78360A4E" w14:textId="77777777" w:rsidR="00E57DAA" w:rsidRDefault="00AC4185">
            <w:pPr>
              <w:jc w:val="center"/>
            </w:pPr>
            <w:r>
              <w:t>合计</w:t>
            </w:r>
          </w:p>
        </w:tc>
        <w:tc>
          <w:tcPr>
            <w:tcW w:w="1647" w:type="pct"/>
            <w:vAlign w:val="center"/>
          </w:tcPr>
          <w:p w14:paraId="4C365695" w14:textId="77777777" w:rsidR="00E57DAA" w:rsidRDefault="00AC4185">
            <w:pPr>
              <w:jc w:val="right"/>
            </w:pPr>
            <w:r>
              <w:t>2,698,584,589.95</w:t>
            </w:r>
          </w:p>
        </w:tc>
        <w:tc>
          <w:tcPr>
            <w:tcW w:w="1653" w:type="pct"/>
            <w:vAlign w:val="center"/>
          </w:tcPr>
          <w:p w14:paraId="5BA482E5" w14:textId="77777777" w:rsidR="00E57DAA" w:rsidRDefault="00AC4185">
            <w:pPr>
              <w:jc w:val="right"/>
            </w:pPr>
            <w:r>
              <w:t>2,556,042,146.96</w:t>
            </w:r>
          </w:p>
        </w:tc>
      </w:tr>
    </w:tbl>
    <w:p w14:paraId="63D5FD22" w14:textId="77777777" w:rsidR="00E57DAA" w:rsidRDefault="00E57DAA"/>
    <w:p w14:paraId="235CF57E" w14:textId="77777777" w:rsidR="00E57DAA" w:rsidRDefault="00AC4185" w:rsidP="00C25422">
      <w:pPr>
        <w:pStyle w:val="90"/>
        <w:numPr>
          <w:ilvl w:val="0"/>
          <w:numId w:val="134"/>
        </w:numPr>
        <w:ind w:leftChars="0"/>
      </w:pPr>
      <w:r>
        <w:rPr>
          <w:rFonts w:hint="eastAsia"/>
        </w:rPr>
        <w:t>坏账准备计提情况</w:t>
      </w:r>
    </w:p>
    <w:bookmarkEnd w:id="348" w:displacedByCustomXml="next"/>
    <w:bookmarkStart w:id="349" w:name="_Hlk533870927" w:displacedByCustomXml="next"/>
    <w:sdt>
      <w:sdtPr>
        <w:alias w:val="是否适用：母公司其他应收款坏账准备调节表[双击切换]"/>
        <w:tag w:val="_GBC_34d55fda2adc4508bb77a03583cd3d2d"/>
        <w:id w:val="-207412894"/>
        <w:placeholder>
          <w:docPart w:val="GBC22222222222222222222222222222"/>
        </w:placeholder>
      </w:sdtPr>
      <w:sdtEndPr/>
      <w:sdtContent>
        <w:p w14:paraId="4042AB14"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AA02F8" w14:textId="77777777" w:rsidR="00E57DAA" w:rsidRDefault="00AC4185">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1444827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6740742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1398"/>
        <w:gridCol w:w="1581"/>
        <w:gridCol w:w="1636"/>
        <w:gridCol w:w="1662"/>
      </w:tblGrid>
      <w:tr w:rsidR="00E57DAA" w14:paraId="0ECA0948" w14:textId="77777777">
        <w:sdt>
          <w:sdtPr>
            <w:tag w:val="_PLD_21b2d66f9e3e44f9a3867e2f9fa483ea"/>
            <w:id w:val="910813093"/>
          </w:sdtPr>
          <w:sdtEndPr/>
          <w:sdtContent>
            <w:tc>
              <w:tcPr>
                <w:tcW w:w="1443" w:type="pct"/>
                <w:vMerge w:val="restart"/>
                <w:vAlign w:val="center"/>
              </w:tcPr>
              <w:p w14:paraId="0D40C2BB" w14:textId="77777777" w:rsidR="00E57DAA" w:rsidRDefault="00AC4185" w:rsidP="00C25422">
                <w:pPr>
                  <w:pStyle w:val="250"/>
                </w:pPr>
                <w:proofErr w:type="spellStart"/>
                <w:r>
                  <w:rPr>
                    <w:rFonts w:hint="eastAsia"/>
                  </w:rPr>
                  <w:t>坏账准备</w:t>
                </w:r>
                <w:proofErr w:type="spellEnd"/>
              </w:p>
            </w:tc>
          </w:sdtContent>
        </w:sdt>
        <w:sdt>
          <w:sdtPr>
            <w:tag w:val="_PLD_34b0b4bcbee6472f945ee1ca26e45970"/>
            <w:id w:val="461389613"/>
          </w:sdtPr>
          <w:sdtEndPr/>
          <w:sdtContent>
            <w:tc>
              <w:tcPr>
                <w:tcW w:w="792" w:type="pct"/>
                <w:vAlign w:val="center"/>
              </w:tcPr>
              <w:p w14:paraId="087B4339" w14:textId="77777777" w:rsidR="00E57DAA" w:rsidRDefault="00AC4185" w:rsidP="00C25422">
                <w:pPr>
                  <w:pStyle w:val="250"/>
                </w:pPr>
                <w:proofErr w:type="spellStart"/>
                <w:r>
                  <w:rPr>
                    <w:rFonts w:hint="eastAsia"/>
                  </w:rPr>
                  <w:t>第一阶段</w:t>
                </w:r>
                <w:proofErr w:type="spellEnd"/>
              </w:p>
            </w:tc>
          </w:sdtContent>
        </w:sdt>
        <w:sdt>
          <w:sdtPr>
            <w:tag w:val="_PLD_aa89fd65169d424f824fd7e383c25916"/>
            <w:id w:val="-322039840"/>
          </w:sdtPr>
          <w:sdtEndPr/>
          <w:sdtContent>
            <w:tc>
              <w:tcPr>
                <w:tcW w:w="896" w:type="pct"/>
              </w:tcPr>
              <w:p w14:paraId="7BCE9986" w14:textId="77777777" w:rsidR="00E57DAA" w:rsidRDefault="00AC4185" w:rsidP="00C25422">
                <w:pPr>
                  <w:pStyle w:val="250"/>
                </w:pPr>
                <w:proofErr w:type="spellStart"/>
                <w:r>
                  <w:rPr>
                    <w:rFonts w:hint="eastAsia"/>
                  </w:rPr>
                  <w:t>第二阶段</w:t>
                </w:r>
                <w:proofErr w:type="spellEnd"/>
              </w:p>
            </w:tc>
          </w:sdtContent>
        </w:sdt>
        <w:sdt>
          <w:sdtPr>
            <w:tag w:val="_PLD_12639a93161546c79f54a930c0ece668"/>
            <w:id w:val="1063295356"/>
          </w:sdtPr>
          <w:sdtEndPr/>
          <w:sdtContent>
            <w:tc>
              <w:tcPr>
                <w:tcW w:w="927" w:type="pct"/>
              </w:tcPr>
              <w:p w14:paraId="3FE4B63F" w14:textId="77777777" w:rsidR="00E57DAA" w:rsidRDefault="00AC4185" w:rsidP="00C25422">
                <w:pPr>
                  <w:pStyle w:val="250"/>
                </w:pPr>
                <w:proofErr w:type="spellStart"/>
                <w:r>
                  <w:rPr>
                    <w:rFonts w:hint="eastAsia"/>
                  </w:rPr>
                  <w:t>第三阶段</w:t>
                </w:r>
                <w:proofErr w:type="spellEnd"/>
              </w:p>
            </w:tc>
          </w:sdtContent>
        </w:sdt>
        <w:sdt>
          <w:sdtPr>
            <w:tag w:val="_PLD_5a93d463a9c749a7a3988972a030308e"/>
            <w:id w:val="-1716576195"/>
          </w:sdtPr>
          <w:sdtEndPr/>
          <w:sdtContent>
            <w:tc>
              <w:tcPr>
                <w:tcW w:w="942" w:type="pct"/>
                <w:vMerge w:val="restart"/>
                <w:vAlign w:val="center"/>
              </w:tcPr>
              <w:p w14:paraId="44305F6F" w14:textId="77777777" w:rsidR="00E57DAA" w:rsidRDefault="00AC4185" w:rsidP="00C25422">
                <w:pPr>
                  <w:pStyle w:val="250"/>
                </w:pPr>
                <w:proofErr w:type="spellStart"/>
                <w:r>
                  <w:rPr>
                    <w:rFonts w:hint="eastAsia"/>
                  </w:rPr>
                  <w:t>合计</w:t>
                </w:r>
                <w:proofErr w:type="spellEnd"/>
              </w:p>
            </w:tc>
          </w:sdtContent>
        </w:sdt>
      </w:tr>
      <w:tr w:rsidR="00E57DAA" w14:paraId="1BEBB1F6" w14:textId="77777777">
        <w:tc>
          <w:tcPr>
            <w:tcW w:w="1443" w:type="pct"/>
            <w:vMerge/>
            <w:vAlign w:val="center"/>
          </w:tcPr>
          <w:p w14:paraId="77D2CE78" w14:textId="77777777" w:rsidR="00E57DAA" w:rsidRDefault="00E57DAA">
            <w:pPr>
              <w:jc w:val="center"/>
              <w:rPr>
                <w:color w:val="008000"/>
                <w:szCs w:val="21"/>
              </w:rPr>
            </w:pPr>
          </w:p>
        </w:tc>
        <w:sdt>
          <w:sdtPr>
            <w:tag w:val="_PLD_6c31319b241149a587899b0690e3641d"/>
            <w:id w:val="97227478"/>
          </w:sdtPr>
          <w:sdtEndPr/>
          <w:sdtContent>
            <w:tc>
              <w:tcPr>
                <w:tcW w:w="792" w:type="pct"/>
                <w:vAlign w:val="center"/>
              </w:tcPr>
              <w:p w14:paraId="6D47BE16" w14:textId="77777777" w:rsidR="00E57DAA" w:rsidRDefault="00AC4185" w:rsidP="00C25422">
                <w:pPr>
                  <w:pStyle w:val="250"/>
                  <w:rPr>
                    <w:lang w:eastAsia="zh-CN"/>
                  </w:rPr>
                </w:pPr>
                <w:r>
                  <w:rPr>
                    <w:rFonts w:hint="eastAsia"/>
                    <w:lang w:eastAsia="zh-CN"/>
                  </w:rPr>
                  <w:t>未来12个月预期信用损失</w:t>
                </w:r>
              </w:p>
            </w:tc>
          </w:sdtContent>
        </w:sdt>
        <w:sdt>
          <w:sdtPr>
            <w:tag w:val="_PLD_4c23d250a4214769af939ed6c6506e15"/>
            <w:id w:val="1790323592"/>
          </w:sdtPr>
          <w:sdtEndPr/>
          <w:sdtContent>
            <w:tc>
              <w:tcPr>
                <w:tcW w:w="896" w:type="pct"/>
                <w:vAlign w:val="center"/>
              </w:tcPr>
              <w:p w14:paraId="745452CB" w14:textId="77777777" w:rsidR="00E57DAA" w:rsidRDefault="00AC4185" w:rsidP="00C25422">
                <w:pPr>
                  <w:pStyle w:val="250"/>
                  <w:rPr>
                    <w:lang w:eastAsia="zh-CN"/>
                  </w:rPr>
                </w:pPr>
                <w:r>
                  <w:rPr>
                    <w:rFonts w:hint="eastAsia"/>
                    <w:lang w:eastAsia="zh-CN"/>
                  </w:rPr>
                  <w:t>整个存续期预期信用损失(未发生信用减值)</w:t>
                </w:r>
              </w:p>
            </w:tc>
          </w:sdtContent>
        </w:sdt>
        <w:sdt>
          <w:sdtPr>
            <w:tag w:val="_PLD_96f4d1ff5d1541a5bcedcc9d7d297735"/>
            <w:id w:val="1030764010"/>
          </w:sdtPr>
          <w:sdtEndPr/>
          <w:sdtContent>
            <w:tc>
              <w:tcPr>
                <w:tcW w:w="927" w:type="pct"/>
                <w:vAlign w:val="center"/>
              </w:tcPr>
              <w:p w14:paraId="61F918E0" w14:textId="77777777" w:rsidR="00E57DAA" w:rsidRDefault="00AC4185" w:rsidP="00C25422">
                <w:pPr>
                  <w:pStyle w:val="250"/>
                  <w:rPr>
                    <w:lang w:eastAsia="zh-CN"/>
                  </w:rPr>
                </w:pPr>
                <w:r>
                  <w:rPr>
                    <w:rFonts w:hint="eastAsia"/>
                    <w:lang w:eastAsia="zh-CN"/>
                  </w:rPr>
                  <w:t>整个存续期预期信用损失(已发生信用减值)</w:t>
                </w:r>
              </w:p>
            </w:tc>
          </w:sdtContent>
        </w:sdt>
        <w:tc>
          <w:tcPr>
            <w:tcW w:w="942" w:type="pct"/>
            <w:vMerge/>
          </w:tcPr>
          <w:p w14:paraId="2C3C2F34" w14:textId="77777777" w:rsidR="00E57DAA" w:rsidRDefault="00E57DAA">
            <w:pPr>
              <w:jc w:val="center"/>
              <w:rPr>
                <w:color w:val="008000"/>
                <w:szCs w:val="21"/>
              </w:rPr>
            </w:pPr>
          </w:p>
        </w:tc>
      </w:tr>
      <w:tr w:rsidR="00E57DAA" w14:paraId="5E091D9D" w14:textId="77777777">
        <w:tc>
          <w:tcPr>
            <w:tcW w:w="1443" w:type="pct"/>
            <w:vAlign w:val="center"/>
          </w:tcPr>
          <w:p w14:paraId="3C16FC90" w14:textId="77777777" w:rsidR="00E57DAA" w:rsidRDefault="00AC4185" w:rsidP="00C25422">
            <w:pPr>
              <w:pStyle w:val="250"/>
            </w:pPr>
            <w:r>
              <w:t>2023年</w:t>
            </w:r>
            <w:r>
              <w:rPr>
                <w:rFonts w:hint="eastAsia"/>
              </w:rPr>
              <w:t>1月1日余额</w:t>
            </w:r>
          </w:p>
        </w:tc>
        <w:tc>
          <w:tcPr>
            <w:tcW w:w="792" w:type="pct"/>
          </w:tcPr>
          <w:p w14:paraId="58E4041E" w14:textId="77777777" w:rsidR="00E57DAA" w:rsidRDefault="00E57DAA">
            <w:pPr>
              <w:jc w:val="right"/>
              <w:rPr>
                <w:szCs w:val="21"/>
              </w:rPr>
            </w:pPr>
          </w:p>
        </w:tc>
        <w:tc>
          <w:tcPr>
            <w:tcW w:w="896" w:type="pct"/>
            <w:vAlign w:val="center"/>
          </w:tcPr>
          <w:p w14:paraId="3E7ECAA4" w14:textId="77777777" w:rsidR="00E57DAA" w:rsidRDefault="00AC4185">
            <w:pPr>
              <w:jc w:val="right"/>
              <w:rPr>
                <w:szCs w:val="21"/>
              </w:rPr>
            </w:pPr>
            <w:r>
              <w:t>23,327,070.30</w:t>
            </w:r>
          </w:p>
        </w:tc>
        <w:tc>
          <w:tcPr>
            <w:tcW w:w="927" w:type="pct"/>
            <w:vAlign w:val="center"/>
          </w:tcPr>
          <w:p w14:paraId="2130C3F5" w14:textId="77777777" w:rsidR="00E57DAA" w:rsidRDefault="00E57DAA">
            <w:pPr>
              <w:jc w:val="right"/>
              <w:rPr>
                <w:szCs w:val="21"/>
              </w:rPr>
            </w:pPr>
          </w:p>
        </w:tc>
        <w:tc>
          <w:tcPr>
            <w:tcW w:w="942" w:type="pct"/>
            <w:vAlign w:val="center"/>
          </w:tcPr>
          <w:p w14:paraId="66DA4154" w14:textId="77777777" w:rsidR="00E57DAA" w:rsidRDefault="00AC4185">
            <w:pPr>
              <w:jc w:val="right"/>
              <w:rPr>
                <w:szCs w:val="21"/>
              </w:rPr>
            </w:pPr>
            <w:r>
              <w:t>23,327,070.30</w:t>
            </w:r>
          </w:p>
        </w:tc>
      </w:tr>
      <w:tr w:rsidR="00E57DAA" w14:paraId="7E6D27A5" w14:textId="77777777">
        <w:tc>
          <w:tcPr>
            <w:tcW w:w="1443" w:type="pct"/>
            <w:vAlign w:val="center"/>
          </w:tcPr>
          <w:p w14:paraId="1EC1F1AB" w14:textId="77777777" w:rsidR="00E57DAA" w:rsidRDefault="00AC4185" w:rsidP="00C25422">
            <w:pPr>
              <w:pStyle w:val="250"/>
            </w:pPr>
            <w:r>
              <w:rPr>
                <w:rFonts w:hint="eastAsia"/>
              </w:rPr>
              <w:t>2023年1月1日余额在本期</w:t>
            </w:r>
          </w:p>
        </w:tc>
        <w:tc>
          <w:tcPr>
            <w:tcW w:w="792" w:type="pct"/>
          </w:tcPr>
          <w:p w14:paraId="1160FA9A" w14:textId="77777777" w:rsidR="00E57DAA" w:rsidRDefault="00E57DAA">
            <w:pPr>
              <w:jc w:val="right"/>
              <w:rPr>
                <w:szCs w:val="21"/>
              </w:rPr>
            </w:pPr>
          </w:p>
        </w:tc>
        <w:tc>
          <w:tcPr>
            <w:tcW w:w="896" w:type="pct"/>
          </w:tcPr>
          <w:p w14:paraId="507A9261" w14:textId="77777777" w:rsidR="00E57DAA" w:rsidRDefault="00E57DAA">
            <w:pPr>
              <w:jc w:val="right"/>
              <w:rPr>
                <w:szCs w:val="21"/>
              </w:rPr>
            </w:pPr>
          </w:p>
        </w:tc>
        <w:tc>
          <w:tcPr>
            <w:tcW w:w="927" w:type="pct"/>
          </w:tcPr>
          <w:p w14:paraId="094E6211" w14:textId="77777777" w:rsidR="00E57DAA" w:rsidRDefault="00E57DAA">
            <w:pPr>
              <w:jc w:val="right"/>
              <w:rPr>
                <w:szCs w:val="21"/>
              </w:rPr>
            </w:pPr>
          </w:p>
        </w:tc>
        <w:tc>
          <w:tcPr>
            <w:tcW w:w="942" w:type="pct"/>
          </w:tcPr>
          <w:p w14:paraId="1F14DCF3" w14:textId="77777777" w:rsidR="00E57DAA" w:rsidRDefault="00E57DAA">
            <w:pPr>
              <w:jc w:val="right"/>
              <w:rPr>
                <w:szCs w:val="21"/>
              </w:rPr>
            </w:pPr>
          </w:p>
        </w:tc>
      </w:tr>
      <w:tr w:rsidR="00E57DAA" w14:paraId="55A32117" w14:textId="77777777">
        <w:tc>
          <w:tcPr>
            <w:tcW w:w="1443" w:type="pct"/>
            <w:vAlign w:val="center"/>
          </w:tcPr>
          <w:p w14:paraId="3C96EF2F" w14:textId="77777777" w:rsidR="00E57DAA" w:rsidRDefault="00AC4185" w:rsidP="00C25422">
            <w:pPr>
              <w:pStyle w:val="250"/>
            </w:pPr>
            <w:r>
              <w:rPr>
                <w:rFonts w:hint="eastAsia"/>
              </w:rPr>
              <w:t>--</w:t>
            </w:r>
            <w:proofErr w:type="spellStart"/>
            <w:r>
              <w:rPr>
                <w:rFonts w:hint="eastAsia"/>
              </w:rPr>
              <w:t>转入第二阶段</w:t>
            </w:r>
            <w:proofErr w:type="spellEnd"/>
          </w:p>
        </w:tc>
        <w:tc>
          <w:tcPr>
            <w:tcW w:w="792" w:type="pct"/>
          </w:tcPr>
          <w:p w14:paraId="0562BCDD" w14:textId="77777777" w:rsidR="00E57DAA" w:rsidRDefault="00E57DAA">
            <w:pPr>
              <w:jc w:val="right"/>
              <w:rPr>
                <w:szCs w:val="21"/>
              </w:rPr>
            </w:pPr>
          </w:p>
        </w:tc>
        <w:tc>
          <w:tcPr>
            <w:tcW w:w="896" w:type="pct"/>
          </w:tcPr>
          <w:p w14:paraId="37F41525" w14:textId="77777777" w:rsidR="00E57DAA" w:rsidRDefault="00E57DAA">
            <w:pPr>
              <w:jc w:val="right"/>
              <w:rPr>
                <w:szCs w:val="21"/>
              </w:rPr>
            </w:pPr>
          </w:p>
        </w:tc>
        <w:tc>
          <w:tcPr>
            <w:tcW w:w="927" w:type="pct"/>
          </w:tcPr>
          <w:p w14:paraId="29DC0263" w14:textId="77777777" w:rsidR="00E57DAA" w:rsidRDefault="00E57DAA">
            <w:pPr>
              <w:jc w:val="right"/>
              <w:rPr>
                <w:szCs w:val="21"/>
              </w:rPr>
            </w:pPr>
          </w:p>
        </w:tc>
        <w:tc>
          <w:tcPr>
            <w:tcW w:w="942" w:type="pct"/>
          </w:tcPr>
          <w:p w14:paraId="7854508D" w14:textId="77777777" w:rsidR="00E57DAA" w:rsidRDefault="00E57DAA">
            <w:pPr>
              <w:jc w:val="right"/>
              <w:rPr>
                <w:szCs w:val="21"/>
              </w:rPr>
            </w:pPr>
          </w:p>
        </w:tc>
      </w:tr>
      <w:tr w:rsidR="00E57DAA" w14:paraId="234CCCDE" w14:textId="77777777">
        <w:tc>
          <w:tcPr>
            <w:tcW w:w="1443" w:type="pct"/>
            <w:vAlign w:val="center"/>
          </w:tcPr>
          <w:p w14:paraId="6E395089" w14:textId="77777777" w:rsidR="00E57DAA" w:rsidRDefault="00AC4185" w:rsidP="00C25422">
            <w:pPr>
              <w:pStyle w:val="250"/>
            </w:pPr>
            <w:r>
              <w:rPr>
                <w:rFonts w:hint="eastAsia"/>
              </w:rPr>
              <w:t>--</w:t>
            </w:r>
            <w:proofErr w:type="spellStart"/>
            <w:r>
              <w:rPr>
                <w:rFonts w:hint="eastAsia"/>
              </w:rPr>
              <w:t>转入第三阶段</w:t>
            </w:r>
            <w:proofErr w:type="spellEnd"/>
          </w:p>
        </w:tc>
        <w:tc>
          <w:tcPr>
            <w:tcW w:w="792" w:type="pct"/>
          </w:tcPr>
          <w:p w14:paraId="27D3882A" w14:textId="77777777" w:rsidR="00E57DAA" w:rsidRDefault="00E57DAA">
            <w:pPr>
              <w:jc w:val="right"/>
              <w:rPr>
                <w:szCs w:val="21"/>
              </w:rPr>
            </w:pPr>
          </w:p>
        </w:tc>
        <w:tc>
          <w:tcPr>
            <w:tcW w:w="896" w:type="pct"/>
          </w:tcPr>
          <w:p w14:paraId="791B786A" w14:textId="77777777" w:rsidR="00E57DAA" w:rsidRDefault="00E57DAA">
            <w:pPr>
              <w:jc w:val="right"/>
              <w:rPr>
                <w:szCs w:val="21"/>
              </w:rPr>
            </w:pPr>
          </w:p>
        </w:tc>
        <w:tc>
          <w:tcPr>
            <w:tcW w:w="927" w:type="pct"/>
          </w:tcPr>
          <w:p w14:paraId="2DE76D73" w14:textId="77777777" w:rsidR="00E57DAA" w:rsidRDefault="00E57DAA">
            <w:pPr>
              <w:jc w:val="right"/>
              <w:rPr>
                <w:szCs w:val="21"/>
              </w:rPr>
            </w:pPr>
          </w:p>
        </w:tc>
        <w:tc>
          <w:tcPr>
            <w:tcW w:w="942" w:type="pct"/>
          </w:tcPr>
          <w:p w14:paraId="225EA0D5" w14:textId="77777777" w:rsidR="00E57DAA" w:rsidRDefault="00E57DAA">
            <w:pPr>
              <w:jc w:val="right"/>
              <w:rPr>
                <w:szCs w:val="21"/>
              </w:rPr>
            </w:pPr>
          </w:p>
        </w:tc>
      </w:tr>
      <w:tr w:rsidR="00E57DAA" w14:paraId="7B9C4259" w14:textId="77777777">
        <w:tc>
          <w:tcPr>
            <w:tcW w:w="1443" w:type="pct"/>
            <w:vAlign w:val="center"/>
          </w:tcPr>
          <w:p w14:paraId="545C310C" w14:textId="77777777" w:rsidR="00E57DAA" w:rsidRDefault="00AC4185" w:rsidP="00C25422">
            <w:pPr>
              <w:pStyle w:val="250"/>
            </w:pPr>
            <w:r>
              <w:rPr>
                <w:rFonts w:hint="eastAsia"/>
              </w:rPr>
              <w:t>--</w:t>
            </w:r>
            <w:proofErr w:type="spellStart"/>
            <w:r>
              <w:rPr>
                <w:rFonts w:hint="eastAsia"/>
              </w:rPr>
              <w:t>转回第二阶段</w:t>
            </w:r>
            <w:proofErr w:type="spellEnd"/>
          </w:p>
        </w:tc>
        <w:tc>
          <w:tcPr>
            <w:tcW w:w="792" w:type="pct"/>
          </w:tcPr>
          <w:p w14:paraId="6FD26F60" w14:textId="77777777" w:rsidR="00E57DAA" w:rsidRDefault="00E57DAA">
            <w:pPr>
              <w:jc w:val="right"/>
              <w:rPr>
                <w:szCs w:val="21"/>
              </w:rPr>
            </w:pPr>
          </w:p>
        </w:tc>
        <w:tc>
          <w:tcPr>
            <w:tcW w:w="896" w:type="pct"/>
          </w:tcPr>
          <w:p w14:paraId="7707A3CB" w14:textId="77777777" w:rsidR="00E57DAA" w:rsidRDefault="00E57DAA">
            <w:pPr>
              <w:jc w:val="right"/>
              <w:rPr>
                <w:szCs w:val="21"/>
              </w:rPr>
            </w:pPr>
          </w:p>
        </w:tc>
        <w:tc>
          <w:tcPr>
            <w:tcW w:w="927" w:type="pct"/>
          </w:tcPr>
          <w:p w14:paraId="7B238E91" w14:textId="77777777" w:rsidR="00E57DAA" w:rsidRDefault="00E57DAA">
            <w:pPr>
              <w:jc w:val="right"/>
              <w:rPr>
                <w:szCs w:val="21"/>
              </w:rPr>
            </w:pPr>
          </w:p>
        </w:tc>
        <w:tc>
          <w:tcPr>
            <w:tcW w:w="942" w:type="pct"/>
          </w:tcPr>
          <w:p w14:paraId="1E213934" w14:textId="77777777" w:rsidR="00E57DAA" w:rsidRDefault="00E57DAA">
            <w:pPr>
              <w:jc w:val="right"/>
              <w:rPr>
                <w:szCs w:val="21"/>
              </w:rPr>
            </w:pPr>
          </w:p>
        </w:tc>
      </w:tr>
      <w:tr w:rsidR="00E57DAA" w14:paraId="751E3A0D" w14:textId="77777777">
        <w:tc>
          <w:tcPr>
            <w:tcW w:w="1443" w:type="pct"/>
            <w:vAlign w:val="center"/>
          </w:tcPr>
          <w:p w14:paraId="34AA54F5" w14:textId="77777777" w:rsidR="00E57DAA" w:rsidRDefault="00AC4185" w:rsidP="00C25422">
            <w:pPr>
              <w:pStyle w:val="250"/>
            </w:pPr>
            <w:r>
              <w:rPr>
                <w:rFonts w:hint="eastAsia"/>
              </w:rPr>
              <w:t>--</w:t>
            </w:r>
            <w:proofErr w:type="spellStart"/>
            <w:r>
              <w:rPr>
                <w:rFonts w:hint="eastAsia"/>
              </w:rPr>
              <w:t>转回第一阶段</w:t>
            </w:r>
            <w:proofErr w:type="spellEnd"/>
          </w:p>
        </w:tc>
        <w:tc>
          <w:tcPr>
            <w:tcW w:w="792" w:type="pct"/>
          </w:tcPr>
          <w:p w14:paraId="058A01F7" w14:textId="77777777" w:rsidR="00E57DAA" w:rsidRDefault="00E57DAA">
            <w:pPr>
              <w:jc w:val="right"/>
              <w:rPr>
                <w:szCs w:val="21"/>
              </w:rPr>
            </w:pPr>
          </w:p>
        </w:tc>
        <w:tc>
          <w:tcPr>
            <w:tcW w:w="896" w:type="pct"/>
          </w:tcPr>
          <w:p w14:paraId="1A7A14BC" w14:textId="77777777" w:rsidR="00E57DAA" w:rsidRDefault="00E57DAA">
            <w:pPr>
              <w:jc w:val="right"/>
              <w:rPr>
                <w:szCs w:val="21"/>
              </w:rPr>
            </w:pPr>
          </w:p>
        </w:tc>
        <w:tc>
          <w:tcPr>
            <w:tcW w:w="927" w:type="pct"/>
          </w:tcPr>
          <w:p w14:paraId="587A2605" w14:textId="77777777" w:rsidR="00E57DAA" w:rsidRDefault="00E57DAA">
            <w:pPr>
              <w:jc w:val="right"/>
              <w:rPr>
                <w:szCs w:val="21"/>
              </w:rPr>
            </w:pPr>
          </w:p>
        </w:tc>
        <w:tc>
          <w:tcPr>
            <w:tcW w:w="942" w:type="pct"/>
          </w:tcPr>
          <w:p w14:paraId="611170B8" w14:textId="77777777" w:rsidR="00E57DAA" w:rsidRDefault="00E57DAA">
            <w:pPr>
              <w:jc w:val="right"/>
              <w:rPr>
                <w:szCs w:val="21"/>
              </w:rPr>
            </w:pPr>
          </w:p>
        </w:tc>
      </w:tr>
      <w:tr w:rsidR="00E57DAA" w14:paraId="7304F09E" w14:textId="77777777">
        <w:tc>
          <w:tcPr>
            <w:tcW w:w="1443" w:type="pct"/>
            <w:vAlign w:val="center"/>
          </w:tcPr>
          <w:p w14:paraId="23A6048D" w14:textId="77777777" w:rsidR="00E57DAA" w:rsidRDefault="00AC4185" w:rsidP="00C25422">
            <w:pPr>
              <w:pStyle w:val="250"/>
            </w:pPr>
            <w:proofErr w:type="spellStart"/>
            <w:r>
              <w:rPr>
                <w:rFonts w:hint="eastAsia"/>
              </w:rPr>
              <w:t>本期计提</w:t>
            </w:r>
            <w:proofErr w:type="spellEnd"/>
          </w:p>
        </w:tc>
        <w:tc>
          <w:tcPr>
            <w:tcW w:w="792" w:type="pct"/>
          </w:tcPr>
          <w:p w14:paraId="33096A91" w14:textId="77777777" w:rsidR="00E57DAA" w:rsidRDefault="00E57DAA">
            <w:pPr>
              <w:jc w:val="right"/>
              <w:rPr>
                <w:szCs w:val="21"/>
              </w:rPr>
            </w:pPr>
          </w:p>
        </w:tc>
        <w:tc>
          <w:tcPr>
            <w:tcW w:w="896" w:type="pct"/>
            <w:vAlign w:val="center"/>
          </w:tcPr>
          <w:p w14:paraId="0B4A123F" w14:textId="77777777" w:rsidR="00E57DAA" w:rsidRDefault="00AC4185">
            <w:pPr>
              <w:jc w:val="right"/>
              <w:rPr>
                <w:szCs w:val="21"/>
              </w:rPr>
            </w:pPr>
            <w:r>
              <w:t>8,161,058.92</w:t>
            </w:r>
          </w:p>
        </w:tc>
        <w:tc>
          <w:tcPr>
            <w:tcW w:w="927" w:type="pct"/>
            <w:vAlign w:val="center"/>
          </w:tcPr>
          <w:p w14:paraId="33AABEFF" w14:textId="77777777" w:rsidR="00E57DAA" w:rsidRDefault="00E57DAA">
            <w:pPr>
              <w:jc w:val="right"/>
              <w:rPr>
                <w:szCs w:val="21"/>
              </w:rPr>
            </w:pPr>
          </w:p>
        </w:tc>
        <w:tc>
          <w:tcPr>
            <w:tcW w:w="942" w:type="pct"/>
            <w:vAlign w:val="center"/>
          </w:tcPr>
          <w:p w14:paraId="386E1ABF" w14:textId="77777777" w:rsidR="00E57DAA" w:rsidRDefault="00AC4185">
            <w:pPr>
              <w:jc w:val="right"/>
              <w:rPr>
                <w:szCs w:val="21"/>
              </w:rPr>
            </w:pPr>
            <w:r>
              <w:t>8,161,058.92</w:t>
            </w:r>
          </w:p>
        </w:tc>
      </w:tr>
      <w:tr w:rsidR="00E57DAA" w14:paraId="5B368E6B" w14:textId="77777777">
        <w:tc>
          <w:tcPr>
            <w:tcW w:w="1443" w:type="pct"/>
            <w:vAlign w:val="center"/>
          </w:tcPr>
          <w:p w14:paraId="1F8FD86F" w14:textId="77777777" w:rsidR="00E57DAA" w:rsidRDefault="00AC4185" w:rsidP="00C25422">
            <w:pPr>
              <w:pStyle w:val="250"/>
            </w:pPr>
            <w:proofErr w:type="spellStart"/>
            <w:r>
              <w:rPr>
                <w:rFonts w:hint="eastAsia"/>
              </w:rPr>
              <w:t>本期转回</w:t>
            </w:r>
            <w:proofErr w:type="spellEnd"/>
          </w:p>
        </w:tc>
        <w:tc>
          <w:tcPr>
            <w:tcW w:w="792" w:type="pct"/>
          </w:tcPr>
          <w:p w14:paraId="6C6ED7B0" w14:textId="77777777" w:rsidR="00E57DAA" w:rsidRDefault="00E57DAA">
            <w:pPr>
              <w:jc w:val="right"/>
              <w:rPr>
                <w:szCs w:val="21"/>
              </w:rPr>
            </w:pPr>
          </w:p>
        </w:tc>
        <w:tc>
          <w:tcPr>
            <w:tcW w:w="896" w:type="pct"/>
            <w:vAlign w:val="center"/>
          </w:tcPr>
          <w:p w14:paraId="73557212" w14:textId="77777777" w:rsidR="00E57DAA" w:rsidRDefault="00E57DAA">
            <w:pPr>
              <w:jc w:val="right"/>
              <w:rPr>
                <w:szCs w:val="21"/>
              </w:rPr>
            </w:pPr>
          </w:p>
        </w:tc>
        <w:tc>
          <w:tcPr>
            <w:tcW w:w="927" w:type="pct"/>
            <w:vAlign w:val="center"/>
          </w:tcPr>
          <w:p w14:paraId="3006158D" w14:textId="77777777" w:rsidR="00E57DAA" w:rsidRDefault="00E57DAA">
            <w:pPr>
              <w:jc w:val="right"/>
              <w:rPr>
                <w:szCs w:val="21"/>
              </w:rPr>
            </w:pPr>
          </w:p>
        </w:tc>
        <w:tc>
          <w:tcPr>
            <w:tcW w:w="942" w:type="pct"/>
            <w:vAlign w:val="center"/>
          </w:tcPr>
          <w:p w14:paraId="7475832F" w14:textId="77777777" w:rsidR="00E57DAA" w:rsidRDefault="00E57DAA">
            <w:pPr>
              <w:jc w:val="right"/>
              <w:rPr>
                <w:szCs w:val="21"/>
              </w:rPr>
            </w:pPr>
          </w:p>
        </w:tc>
      </w:tr>
      <w:tr w:rsidR="00E57DAA" w14:paraId="03372E11" w14:textId="77777777">
        <w:tc>
          <w:tcPr>
            <w:tcW w:w="1443" w:type="pct"/>
            <w:vAlign w:val="center"/>
          </w:tcPr>
          <w:p w14:paraId="570291E3" w14:textId="77777777" w:rsidR="00E57DAA" w:rsidRDefault="00AC4185" w:rsidP="00C25422">
            <w:pPr>
              <w:pStyle w:val="250"/>
            </w:pPr>
            <w:proofErr w:type="spellStart"/>
            <w:r>
              <w:rPr>
                <w:rFonts w:hint="eastAsia"/>
              </w:rPr>
              <w:t>本期转销</w:t>
            </w:r>
            <w:proofErr w:type="spellEnd"/>
          </w:p>
        </w:tc>
        <w:tc>
          <w:tcPr>
            <w:tcW w:w="792" w:type="pct"/>
          </w:tcPr>
          <w:p w14:paraId="18A38457" w14:textId="77777777" w:rsidR="00E57DAA" w:rsidRDefault="00E57DAA">
            <w:pPr>
              <w:jc w:val="right"/>
              <w:rPr>
                <w:szCs w:val="21"/>
              </w:rPr>
            </w:pPr>
          </w:p>
        </w:tc>
        <w:tc>
          <w:tcPr>
            <w:tcW w:w="896" w:type="pct"/>
            <w:vAlign w:val="center"/>
          </w:tcPr>
          <w:p w14:paraId="5418AD09" w14:textId="77777777" w:rsidR="00E57DAA" w:rsidRDefault="00E57DAA">
            <w:pPr>
              <w:jc w:val="right"/>
              <w:rPr>
                <w:szCs w:val="21"/>
              </w:rPr>
            </w:pPr>
          </w:p>
        </w:tc>
        <w:tc>
          <w:tcPr>
            <w:tcW w:w="927" w:type="pct"/>
            <w:vAlign w:val="center"/>
          </w:tcPr>
          <w:p w14:paraId="51B30B49" w14:textId="77777777" w:rsidR="00E57DAA" w:rsidRDefault="00E57DAA">
            <w:pPr>
              <w:jc w:val="right"/>
              <w:rPr>
                <w:szCs w:val="21"/>
              </w:rPr>
            </w:pPr>
          </w:p>
        </w:tc>
        <w:tc>
          <w:tcPr>
            <w:tcW w:w="942" w:type="pct"/>
            <w:vAlign w:val="center"/>
          </w:tcPr>
          <w:p w14:paraId="5CC4C144" w14:textId="77777777" w:rsidR="00E57DAA" w:rsidRDefault="00E57DAA">
            <w:pPr>
              <w:jc w:val="right"/>
              <w:rPr>
                <w:szCs w:val="21"/>
              </w:rPr>
            </w:pPr>
          </w:p>
        </w:tc>
      </w:tr>
      <w:tr w:rsidR="00E57DAA" w14:paraId="676BA0C8" w14:textId="77777777">
        <w:tc>
          <w:tcPr>
            <w:tcW w:w="1443" w:type="pct"/>
            <w:vAlign w:val="center"/>
          </w:tcPr>
          <w:p w14:paraId="76EEE5EA" w14:textId="77777777" w:rsidR="00E57DAA" w:rsidRDefault="00AC4185" w:rsidP="00C25422">
            <w:pPr>
              <w:pStyle w:val="250"/>
            </w:pPr>
            <w:proofErr w:type="spellStart"/>
            <w:r>
              <w:rPr>
                <w:rFonts w:hint="eastAsia"/>
              </w:rPr>
              <w:t>本期核销</w:t>
            </w:r>
            <w:proofErr w:type="spellEnd"/>
          </w:p>
        </w:tc>
        <w:tc>
          <w:tcPr>
            <w:tcW w:w="792" w:type="pct"/>
          </w:tcPr>
          <w:p w14:paraId="45F73480" w14:textId="77777777" w:rsidR="00E57DAA" w:rsidRDefault="00E57DAA">
            <w:pPr>
              <w:jc w:val="right"/>
              <w:rPr>
                <w:szCs w:val="21"/>
              </w:rPr>
            </w:pPr>
          </w:p>
        </w:tc>
        <w:tc>
          <w:tcPr>
            <w:tcW w:w="896" w:type="pct"/>
            <w:vAlign w:val="center"/>
          </w:tcPr>
          <w:p w14:paraId="37A5F209" w14:textId="77777777" w:rsidR="00E57DAA" w:rsidRDefault="00AC4185">
            <w:pPr>
              <w:jc w:val="right"/>
              <w:rPr>
                <w:szCs w:val="21"/>
              </w:rPr>
            </w:pPr>
            <w:r>
              <w:t>899,939.31</w:t>
            </w:r>
          </w:p>
        </w:tc>
        <w:tc>
          <w:tcPr>
            <w:tcW w:w="927" w:type="pct"/>
            <w:vAlign w:val="center"/>
          </w:tcPr>
          <w:p w14:paraId="74430D72" w14:textId="77777777" w:rsidR="00E57DAA" w:rsidRDefault="00E57DAA">
            <w:pPr>
              <w:jc w:val="right"/>
              <w:rPr>
                <w:szCs w:val="21"/>
              </w:rPr>
            </w:pPr>
          </w:p>
        </w:tc>
        <w:tc>
          <w:tcPr>
            <w:tcW w:w="942" w:type="pct"/>
            <w:vAlign w:val="center"/>
          </w:tcPr>
          <w:p w14:paraId="4B67C7DF" w14:textId="77777777" w:rsidR="00E57DAA" w:rsidRDefault="00AC4185">
            <w:pPr>
              <w:jc w:val="right"/>
              <w:rPr>
                <w:szCs w:val="21"/>
              </w:rPr>
            </w:pPr>
            <w:r>
              <w:t>899,939.31</w:t>
            </w:r>
          </w:p>
        </w:tc>
      </w:tr>
      <w:tr w:rsidR="00E57DAA" w14:paraId="46C8D771" w14:textId="77777777">
        <w:tc>
          <w:tcPr>
            <w:tcW w:w="1443" w:type="pct"/>
            <w:vAlign w:val="center"/>
          </w:tcPr>
          <w:p w14:paraId="270412A4" w14:textId="77777777" w:rsidR="00E57DAA" w:rsidRDefault="00AC4185" w:rsidP="00C25422">
            <w:pPr>
              <w:pStyle w:val="250"/>
            </w:pPr>
            <w:proofErr w:type="spellStart"/>
            <w:r>
              <w:rPr>
                <w:rFonts w:hint="eastAsia"/>
              </w:rPr>
              <w:t>其他变动</w:t>
            </w:r>
            <w:proofErr w:type="spellEnd"/>
          </w:p>
        </w:tc>
        <w:tc>
          <w:tcPr>
            <w:tcW w:w="792" w:type="pct"/>
          </w:tcPr>
          <w:p w14:paraId="624BEC53" w14:textId="77777777" w:rsidR="00E57DAA" w:rsidRDefault="00E57DAA">
            <w:pPr>
              <w:jc w:val="right"/>
              <w:rPr>
                <w:szCs w:val="21"/>
              </w:rPr>
            </w:pPr>
          </w:p>
        </w:tc>
        <w:tc>
          <w:tcPr>
            <w:tcW w:w="896" w:type="pct"/>
            <w:vAlign w:val="center"/>
          </w:tcPr>
          <w:p w14:paraId="15B628B0" w14:textId="77777777" w:rsidR="00E57DAA" w:rsidRDefault="00E57DAA">
            <w:pPr>
              <w:jc w:val="right"/>
              <w:rPr>
                <w:szCs w:val="21"/>
              </w:rPr>
            </w:pPr>
          </w:p>
        </w:tc>
        <w:tc>
          <w:tcPr>
            <w:tcW w:w="927" w:type="pct"/>
            <w:vAlign w:val="center"/>
          </w:tcPr>
          <w:p w14:paraId="08439712" w14:textId="77777777" w:rsidR="00E57DAA" w:rsidRDefault="00E57DAA">
            <w:pPr>
              <w:jc w:val="right"/>
              <w:rPr>
                <w:szCs w:val="21"/>
              </w:rPr>
            </w:pPr>
          </w:p>
        </w:tc>
        <w:tc>
          <w:tcPr>
            <w:tcW w:w="942" w:type="pct"/>
            <w:vAlign w:val="center"/>
          </w:tcPr>
          <w:p w14:paraId="24074AAF" w14:textId="77777777" w:rsidR="00E57DAA" w:rsidRDefault="00E57DAA">
            <w:pPr>
              <w:jc w:val="right"/>
              <w:rPr>
                <w:szCs w:val="21"/>
              </w:rPr>
            </w:pPr>
          </w:p>
        </w:tc>
      </w:tr>
      <w:tr w:rsidR="00E57DAA" w14:paraId="047EE1D1" w14:textId="77777777">
        <w:tc>
          <w:tcPr>
            <w:tcW w:w="1443" w:type="pct"/>
            <w:vAlign w:val="center"/>
          </w:tcPr>
          <w:p w14:paraId="21FDE8EA" w14:textId="77777777" w:rsidR="00E57DAA" w:rsidRDefault="00AC4185" w:rsidP="00C25422">
            <w:pPr>
              <w:pStyle w:val="250"/>
            </w:pPr>
            <w:r>
              <w:t>2023年12月31日</w:t>
            </w:r>
            <w:r>
              <w:rPr>
                <w:rFonts w:hint="eastAsia"/>
              </w:rPr>
              <w:t>余额</w:t>
            </w:r>
          </w:p>
        </w:tc>
        <w:tc>
          <w:tcPr>
            <w:tcW w:w="792" w:type="pct"/>
          </w:tcPr>
          <w:p w14:paraId="24DD0AD6" w14:textId="77777777" w:rsidR="00E57DAA" w:rsidRDefault="00E57DAA">
            <w:pPr>
              <w:jc w:val="right"/>
              <w:rPr>
                <w:szCs w:val="21"/>
              </w:rPr>
            </w:pPr>
          </w:p>
        </w:tc>
        <w:tc>
          <w:tcPr>
            <w:tcW w:w="896" w:type="pct"/>
            <w:vAlign w:val="center"/>
          </w:tcPr>
          <w:p w14:paraId="4EF58590" w14:textId="77777777" w:rsidR="00E57DAA" w:rsidRDefault="00AC4185">
            <w:pPr>
              <w:jc w:val="right"/>
              <w:rPr>
                <w:szCs w:val="21"/>
              </w:rPr>
            </w:pPr>
            <w:r>
              <w:t>30,588,189.91</w:t>
            </w:r>
          </w:p>
        </w:tc>
        <w:tc>
          <w:tcPr>
            <w:tcW w:w="927" w:type="pct"/>
            <w:vAlign w:val="center"/>
          </w:tcPr>
          <w:p w14:paraId="3C11CCA4" w14:textId="77777777" w:rsidR="00E57DAA" w:rsidRDefault="00E57DAA">
            <w:pPr>
              <w:jc w:val="right"/>
              <w:rPr>
                <w:szCs w:val="21"/>
              </w:rPr>
            </w:pPr>
          </w:p>
        </w:tc>
        <w:tc>
          <w:tcPr>
            <w:tcW w:w="942" w:type="pct"/>
            <w:vAlign w:val="center"/>
          </w:tcPr>
          <w:p w14:paraId="11E47590" w14:textId="77777777" w:rsidR="00E57DAA" w:rsidRDefault="00AC4185">
            <w:pPr>
              <w:jc w:val="right"/>
              <w:rPr>
                <w:szCs w:val="21"/>
              </w:rPr>
            </w:pPr>
            <w:r>
              <w:t>30,588,189.91</w:t>
            </w:r>
          </w:p>
        </w:tc>
      </w:tr>
    </w:tbl>
    <w:p w14:paraId="12A9D3DD" w14:textId="77777777" w:rsidR="00E57DAA" w:rsidRDefault="00E57DAA">
      <w:pPr>
        <w:rPr>
          <w:rFonts w:cs="Times New Roman"/>
          <w:bCs/>
          <w:szCs w:val="22"/>
        </w:rPr>
      </w:pPr>
    </w:p>
    <w:p w14:paraId="18317CF6" w14:textId="77777777" w:rsidR="00E57DAA" w:rsidRDefault="00AC4185">
      <w:pPr>
        <w:pStyle w:val="45"/>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416472100"/>
        <w:placeholder>
          <w:docPart w:val="GBC22222222222222222222222222222"/>
        </w:placeholder>
      </w:sdtPr>
      <w:sdtEndPr/>
      <w:sdtContent>
        <w:p w14:paraId="3D939B45"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49"/>
    <w:p w14:paraId="62B87EDB" w14:textId="77777777" w:rsidR="00E57DAA" w:rsidRDefault="00E57DAA" w:rsidP="00C25422">
      <w:pPr>
        <w:pStyle w:val="92"/>
      </w:pPr>
    </w:p>
    <w:p w14:paraId="5AE77AC3" w14:textId="77777777" w:rsidR="00E57DAA" w:rsidRDefault="00AC4185" w:rsidP="00C25422">
      <w:pPr>
        <w:pStyle w:val="92"/>
      </w:pPr>
      <w:r>
        <w:rPr>
          <w:rFonts w:hint="eastAsia"/>
        </w:rPr>
        <w:t>本期坏账准备计提金额以及评估金融工具的信用风险是否显著增加的采用依据：</w:t>
      </w:r>
    </w:p>
    <w:bookmarkStart w:id="350" w:name="_Hlk534806894" w:displacedByCustomXml="next"/>
    <w:sdt>
      <w:sdtPr>
        <w:alias w:val="是否适用：母公司其他应收款坏账准备计提金额以及评估金融工具的信用风险是否显著增加的采用依据[双击切换]"/>
        <w:tag w:val="_GBC_4dddf1fe216a4414afb56ff70de3d722"/>
        <w:id w:val="-1592767084"/>
        <w:placeholder>
          <w:docPart w:val="GBC22222222222222222222222222222"/>
        </w:placeholder>
      </w:sdtPr>
      <w:sdtEndPr/>
      <w:sdtContent>
        <w:p w14:paraId="7D5D778F"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50"/>
    <w:p w14:paraId="05C0984C" w14:textId="77777777" w:rsidR="00E57DAA" w:rsidRDefault="00E57DAA" w:rsidP="00C25422">
      <w:pPr>
        <w:pStyle w:val="92"/>
      </w:pPr>
    </w:p>
    <w:p w14:paraId="489F4C16" w14:textId="77777777" w:rsidR="00E57DAA" w:rsidRDefault="00AC4185" w:rsidP="00C25422">
      <w:pPr>
        <w:pStyle w:val="90"/>
        <w:numPr>
          <w:ilvl w:val="0"/>
          <w:numId w:val="134"/>
        </w:numPr>
        <w:ind w:leftChars="0"/>
      </w:pPr>
      <w:r>
        <w:rPr>
          <w:rFonts w:hint="eastAsia"/>
        </w:rPr>
        <w:t>坏账准备的情况</w:t>
      </w:r>
    </w:p>
    <w:bookmarkStart w:id="351" w:name="_Hlk153797908" w:displacedByCustomXml="next"/>
    <w:bookmarkStart w:id="352" w:name="_Hlk533797618" w:displacedByCustomXml="next"/>
    <w:sdt>
      <w:sdtPr>
        <w:alias w:val="是否适用：母公司其他应收款坏账准备情况[双击切换]"/>
        <w:tag w:val="_GBC_fe964b2b8e824335995eaad4df852022"/>
        <w:id w:val="-1963181659"/>
        <w:placeholder>
          <w:docPart w:val="GBC22222222222222222222222222222"/>
        </w:placeholder>
      </w:sdtPr>
      <w:sdtEndPr/>
      <w:sdtContent>
        <w:p w14:paraId="2236D5D7"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B65786" w14:textId="77777777" w:rsidR="00E57DAA" w:rsidRDefault="00AC4185" w:rsidP="00C25422">
      <w:pPr>
        <w:pStyle w:val="73"/>
        <w:ind w:firstLine="400"/>
      </w:pPr>
      <w:r>
        <w:rPr>
          <w:rFonts w:hint="eastAsia"/>
        </w:rPr>
        <w:t>单位：</w:t>
      </w:r>
      <w:sdt>
        <w:sdtPr>
          <w:rPr>
            <w:rFonts w:hint="eastAsia"/>
          </w:rPr>
          <w:alias w:val="单位：母公司其他应收款坏账准备情况"/>
          <w:tag w:val="_GBC_80ca06374aba4f0bbde29d70a0ac7a15"/>
          <w:id w:val="-11878975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母公司其他应收款坏账准备情况"/>
          <w:tag w:val="_GBC_e2ca206ffc72482a9cbe8c86c5688b1f"/>
          <w:id w:val="-12024770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81"/>
        <w:gridCol w:w="1591"/>
        <w:gridCol w:w="1486"/>
        <w:gridCol w:w="863"/>
        <w:gridCol w:w="1276"/>
        <w:gridCol w:w="935"/>
        <w:gridCol w:w="1591"/>
      </w:tblGrid>
      <w:tr w:rsidR="00E57DAA" w14:paraId="4EFC2F07" w14:textId="77777777">
        <w:sdt>
          <w:sdtPr>
            <w:tag w:val="_PLD_599b4552113b431d9950cc345fc3c771"/>
            <w:id w:val="1373267180"/>
          </w:sdtPr>
          <w:sdtEndPr/>
          <w:sdtContent>
            <w:tc>
              <w:tcPr>
                <w:tcW w:w="613" w:type="pct"/>
                <w:vMerge w:val="restart"/>
                <w:shd w:val="clear" w:color="auto" w:fill="FFFFFF"/>
                <w:vAlign w:val="center"/>
              </w:tcPr>
              <w:p w14:paraId="6A486EEB" w14:textId="77777777" w:rsidR="00E57DAA" w:rsidRDefault="00AC4185">
                <w:pPr>
                  <w:jc w:val="center"/>
                </w:pPr>
                <w:r>
                  <w:t>类别</w:t>
                </w:r>
              </w:p>
            </w:tc>
          </w:sdtContent>
        </w:sdt>
        <w:sdt>
          <w:sdtPr>
            <w:tag w:val="_PLD_b04fb91e27324be18dbb1170501ea7c2"/>
            <w:id w:val="345841091"/>
          </w:sdtPr>
          <w:sdtEndPr/>
          <w:sdtContent>
            <w:tc>
              <w:tcPr>
                <w:tcW w:w="902" w:type="pct"/>
                <w:vMerge w:val="restart"/>
                <w:shd w:val="clear" w:color="auto" w:fill="FFFFFF"/>
                <w:vAlign w:val="center"/>
              </w:tcPr>
              <w:p w14:paraId="77D412E5" w14:textId="77777777" w:rsidR="00E57DAA" w:rsidRDefault="00AC4185">
                <w:pPr>
                  <w:jc w:val="center"/>
                </w:pPr>
                <w:r>
                  <w:t>期初余额</w:t>
                </w:r>
              </w:p>
            </w:tc>
          </w:sdtContent>
        </w:sdt>
        <w:sdt>
          <w:sdtPr>
            <w:tag w:val="_PLD_3162774660ba4bd791229ed0557bee42"/>
            <w:id w:val="253248842"/>
          </w:sdtPr>
          <w:sdtEndPr/>
          <w:sdtContent>
            <w:tc>
              <w:tcPr>
                <w:tcW w:w="2584" w:type="pct"/>
                <w:gridSpan w:val="4"/>
                <w:shd w:val="clear" w:color="auto" w:fill="FFFFFF"/>
                <w:vAlign w:val="center"/>
              </w:tcPr>
              <w:p w14:paraId="1DE5E01E" w14:textId="77777777" w:rsidR="00E57DAA" w:rsidRDefault="00AC4185">
                <w:pPr>
                  <w:jc w:val="center"/>
                </w:pPr>
                <w:r>
                  <w:rPr>
                    <w:rFonts w:hint="eastAsia"/>
                  </w:rPr>
                  <w:t>本期变动</w:t>
                </w:r>
                <w:r>
                  <w:t>金额</w:t>
                </w:r>
              </w:p>
            </w:tc>
          </w:sdtContent>
        </w:sdt>
        <w:sdt>
          <w:sdtPr>
            <w:tag w:val="_PLD_d14d39f809c34e24be6fc317d43acf45"/>
            <w:id w:val="1799103487"/>
          </w:sdtPr>
          <w:sdtEndPr/>
          <w:sdtContent>
            <w:tc>
              <w:tcPr>
                <w:tcW w:w="902" w:type="pct"/>
                <w:vMerge w:val="restart"/>
                <w:shd w:val="clear" w:color="auto" w:fill="FFFFFF"/>
                <w:vAlign w:val="center"/>
              </w:tcPr>
              <w:p w14:paraId="16D39B5E" w14:textId="77777777" w:rsidR="00E57DAA" w:rsidRDefault="00AC4185">
                <w:pPr>
                  <w:jc w:val="center"/>
                </w:pPr>
                <w:r>
                  <w:t>期末余额</w:t>
                </w:r>
              </w:p>
            </w:tc>
          </w:sdtContent>
        </w:sdt>
      </w:tr>
      <w:tr w:rsidR="00E57DAA" w14:paraId="3A164702" w14:textId="77777777">
        <w:tc>
          <w:tcPr>
            <w:tcW w:w="613" w:type="pct"/>
            <w:vMerge/>
            <w:shd w:val="clear" w:color="auto" w:fill="FFFFFF"/>
          </w:tcPr>
          <w:p w14:paraId="3BA4FD21" w14:textId="77777777" w:rsidR="00E57DAA" w:rsidRDefault="00E57DAA">
            <w:pPr>
              <w:jc w:val="center"/>
            </w:pPr>
          </w:p>
        </w:tc>
        <w:tc>
          <w:tcPr>
            <w:tcW w:w="902" w:type="pct"/>
            <w:vMerge/>
            <w:shd w:val="clear" w:color="auto" w:fill="FFFFFF"/>
          </w:tcPr>
          <w:p w14:paraId="438FAFCF" w14:textId="77777777" w:rsidR="00E57DAA" w:rsidRDefault="00E57DAA">
            <w:pPr>
              <w:jc w:val="center"/>
            </w:pPr>
          </w:p>
        </w:tc>
        <w:sdt>
          <w:sdtPr>
            <w:tag w:val="_PLD_f408f7d036804cc28ba43a0439189aa1"/>
            <w:id w:val="1005317625"/>
          </w:sdtPr>
          <w:sdtEndPr/>
          <w:sdtContent>
            <w:tc>
              <w:tcPr>
                <w:tcW w:w="842" w:type="pct"/>
                <w:shd w:val="clear" w:color="auto" w:fill="FFFFFF"/>
                <w:vAlign w:val="center"/>
              </w:tcPr>
              <w:p w14:paraId="7A586359" w14:textId="77777777" w:rsidR="00E57DAA" w:rsidRDefault="00AC4185">
                <w:pPr>
                  <w:jc w:val="center"/>
                </w:pPr>
                <w:r>
                  <w:t>计提</w:t>
                </w:r>
              </w:p>
            </w:tc>
          </w:sdtContent>
        </w:sdt>
        <w:sdt>
          <w:sdtPr>
            <w:tag w:val="_PLD_694fce967684431e964389b1fbfd7773"/>
            <w:id w:val="-474226421"/>
          </w:sdtPr>
          <w:sdtEndPr/>
          <w:sdtContent>
            <w:tc>
              <w:tcPr>
                <w:tcW w:w="489" w:type="pct"/>
                <w:shd w:val="clear" w:color="auto" w:fill="FFFFFF"/>
                <w:vAlign w:val="center"/>
              </w:tcPr>
              <w:p w14:paraId="2BE854A7" w14:textId="77777777" w:rsidR="00E57DAA" w:rsidRDefault="00AC4185">
                <w:pPr>
                  <w:jc w:val="center"/>
                </w:pPr>
                <w:r>
                  <w:rPr>
                    <w:rFonts w:hint="eastAsia"/>
                  </w:rPr>
                  <w:t>收回或转回</w:t>
                </w:r>
              </w:p>
            </w:tc>
          </w:sdtContent>
        </w:sdt>
        <w:sdt>
          <w:sdtPr>
            <w:tag w:val="_PLD_59153f559aba461288ad06bff0782b2d"/>
            <w:id w:val="-545220371"/>
          </w:sdtPr>
          <w:sdtEndPr/>
          <w:sdtContent>
            <w:tc>
              <w:tcPr>
                <w:tcW w:w="723" w:type="pct"/>
                <w:shd w:val="clear" w:color="auto" w:fill="FFFFFF"/>
                <w:vAlign w:val="center"/>
              </w:tcPr>
              <w:p w14:paraId="0B04664F" w14:textId="77777777" w:rsidR="00E57DAA" w:rsidRDefault="00AC4185">
                <w:pPr>
                  <w:jc w:val="center"/>
                </w:pPr>
                <w:r>
                  <w:rPr>
                    <w:rFonts w:hint="eastAsia"/>
                  </w:rPr>
                  <w:t>转销或核销</w:t>
                </w:r>
              </w:p>
            </w:tc>
          </w:sdtContent>
        </w:sdt>
        <w:tc>
          <w:tcPr>
            <w:tcW w:w="530" w:type="pct"/>
            <w:shd w:val="clear" w:color="auto" w:fill="FFFFFF"/>
            <w:vAlign w:val="center"/>
          </w:tcPr>
          <w:sdt>
            <w:sdtPr>
              <w:rPr>
                <w:rFonts w:hint="eastAsia"/>
              </w:rPr>
              <w:tag w:val="_PLD_51a0476d1e2f444f8723da1988f813f5"/>
              <w:id w:val="665289164"/>
            </w:sdtPr>
            <w:sdtEndPr/>
            <w:sdtContent>
              <w:p w14:paraId="42D59DCB" w14:textId="77777777" w:rsidR="00E57DAA" w:rsidRDefault="00AC4185">
                <w:pPr>
                  <w:jc w:val="right"/>
                </w:pPr>
                <w:r>
                  <w:rPr>
                    <w:rFonts w:hint="eastAsia"/>
                  </w:rPr>
                  <w:t>其他变动</w:t>
                </w:r>
              </w:p>
            </w:sdtContent>
          </w:sdt>
        </w:tc>
        <w:tc>
          <w:tcPr>
            <w:tcW w:w="902" w:type="pct"/>
            <w:vMerge/>
            <w:shd w:val="clear" w:color="auto" w:fill="FFFFFF"/>
          </w:tcPr>
          <w:p w14:paraId="18135E53" w14:textId="77777777" w:rsidR="00E57DAA" w:rsidRDefault="00E57DAA">
            <w:pPr>
              <w:jc w:val="right"/>
            </w:pPr>
          </w:p>
        </w:tc>
      </w:tr>
      <w:tr w:rsidR="00E57DAA" w14:paraId="07747FC2" w14:textId="77777777">
        <w:tc>
          <w:tcPr>
            <w:tcW w:w="613" w:type="pct"/>
            <w:shd w:val="clear" w:color="auto" w:fill="auto"/>
          </w:tcPr>
          <w:p w14:paraId="03AEDBB1" w14:textId="77777777" w:rsidR="00E57DAA" w:rsidRDefault="00AC4185" w:rsidP="00C25422">
            <w:pPr>
              <w:pStyle w:val="92"/>
            </w:pPr>
            <w:r>
              <w:lastRenderedPageBreak/>
              <w:t>账龄组合</w:t>
            </w:r>
          </w:p>
        </w:tc>
        <w:tc>
          <w:tcPr>
            <w:tcW w:w="902" w:type="pct"/>
            <w:shd w:val="clear" w:color="auto" w:fill="auto"/>
          </w:tcPr>
          <w:p w14:paraId="662EBF1C" w14:textId="77777777" w:rsidR="00E57DAA" w:rsidRDefault="00AC4185">
            <w:pPr>
              <w:jc w:val="right"/>
            </w:pPr>
            <w:r>
              <w:t>23,327,070.30</w:t>
            </w:r>
          </w:p>
        </w:tc>
        <w:tc>
          <w:tcPr>
            <w:tcW w:w="842" w:type="pct"/>
            <w:shd w:val="clear" w:color="auto" w:fill="auto"/>
          </w:tcPr>
          <w:p w14:paraId="2A667CA6" w14:textId="77777777" w:rsidR="00E57DAA" w:rsidRDefault="00AC4185">
            <w:pPr>
              <w:jc w:val="right"/>
            </w:pPr>
            <w:r>
              <w:t>8,161,058.92</w:t>
            </w:r>
          </w:p>
        </w:tc>
        <w:tc>
          <w:tcPr>
            <w:tcW w:w="489" w:type="pct"/>
            <w:shd w:val="clear" w:color="auto" w:fill="auto"/>
          </w:tcPr>
          <w:p w14:paraId="38C8C03A" w14:textId="77777777" w:rsidR="00E57DAA" w:rsidRDefault="00AC4185">
            <w:pPr>
              <w:jc w:val="right"/>
            </w:pPr>
            <w:r>
              <w:t> </w:t>
            </w:r>
          </w:p>
        </w:tc>
        <w:tc>
          <w:tcPr>
            <w:tcW w:w="723" w:type="pct"/>
          </w:tcPr>
          <w:p w14:paraId="08833555" w14:textId="77777777" w:rsidR="00E57DAA" w:rsidRDefault="00AC4185">
            <w:pPr>
              <w:jc w:val="right"/>
            </w:pPr>
            <w:r>
              <w:t>899,939.31</w:t>
            </w:r>
          </w:p>
        </w:tc>
        <w:tc>
          <w:tcPr>
            <w:tcW w:w="530" w:type="pct"/>
          </w:tcPr>
          <w:p w14:paraId="2CA1C390" w14:textId="77777777" w:rsidR="00E57DAA" w:rsidRDefault="00AC4185">
            <w:pPr>
              <w:jc w:val="right"/>
            </w:pPr>
            <w:r>
              <w:t> </w:t>
            </w:r>
          </w:p>
        </w:tc>
        <w:tc>
          <w:tcPr>
            <w:tcW w:w="902" w:type="pct"/>
            <w:shd w:val="clear" w:color="auto" w:fill="auto"/>
          </w:tcPr>
          <w:p w14:paraId="54D8424E" w14:textId="77777777" w:rsidR="00E57DAA" w:rsidRDefault="00AC4185">
            <w:pPr>
              <w:jc w:val="right"/>
            </w:pPr>
            <w:r>
              <w:t>30,588,189.91</w:t>
            </w:r>
          </w:p>
        </w:tc>
      </w:tr>
      <w:tr w:rsidR="00E57DAA" w14:paraId="3713E6A7" w14:textId="77777777">
        <w:tc>
          <w:tcPr>
            <w:tcW w:w="613" w:type="pct"/>
            <w:shd w:val="clear" w:color="auto" w:fill="auto"/>
          </w:tcPr>
          <w:p w14:paraId="1B55EBA7" w14:textId="77777777" w:rsidR="00E57DAA" w:rsidRDefault="00AC4185">
            <w:pPr>
              <w:jc w:val="center"/>
            </w:pPr>
            <w:r>
              <w:rPr>
                <w:rFonts w:hint="eastAsia"/>
              </w:rPr>
              <w:t>合计</w:t>
            </w:r>
          </w:p>
        </w:tc>
        <w:tc>
          <w:tcPr>
            <w:tcW w:w="902" w:type="pct"/>
            <w:shd w:val="clear" w:color="auto" w:fill="auto"/>
            <w:vAlign w:val="center"/>
          </w:tcPr>
          <w:p w14:paraId="4A3E25A8" w14:textId="77777777" w:rsidR="00E57DAA" w:rsidRDefault="00AC4185">
            <w:pPr>
              <w:jc w:val="right"/>
            </w:pPr>
            <w:r>
              <w:t>23,327,070.30</w:t>
            </w:r>
          </w:p>
        </w:tc>
        <w:tc>
          <w:tcPr>
            <w:tcW w:w="842" w:type="pct"/>
            <w:shd w:val="clear" w:color="auto" w:fill="auto"/>
            <w:vAlign w:val="center"/>
          </w:tcPr>
          <w:p w14:paraId="4D377C84" w14:textId="77777777" w:rsidR="00E57DAA" w:rsidRDefault="00AC4185">
            <w:pPr>
              <w:jc w:val="right"/>
            </w:pPr>
            <w:r>
              <w:t>8,161,058.92</w:t>
            </w:r>
          </w:p>
        </w:tc>
        <w:tc>
          <w:tcPr>
            <w:tcW w:w="489" w:type="pct"/>
            <w:shd w:val="clear" w:color="auto" w:fill="auto"/>
            <w:vAlign w:val="center"/>
          </w:tcPr>
          <w:p w14:paraId="64B0AFAA" w14:textId="77777777" w:rsidR="00E57DAA" w:rsidRDefault="00E57DAA">
            <w:pPr>
              <w:jc w:val="right"/>
            </w:pPr>
          </w:p>
        </w:tc>
        <w:tc>
          <w:tcPr>
            <w:tcW w:w="723" w:type="pct"/>
            <w:vAlign w:val="center"/>
          </w:tcPr>
          <w:p w14:paraId="694FF32F" w14:textId="77777777" w:rsidR="00E57DAA" w:rsidRDefault="00AC4185">
            <w:pPr>
              <w:jc w:val="right"/>
            </w:pPr>
            <w:r>
              <w:t>899,939.31</w:t>
            </w:r>
          </w:p>
        </w:tc>
        <w:tc>
          <w:tcPr>
            <w:tcW w:w="530" w:type="pct"/>
            <w:vAlign w:val="center"/>
          </w:tcPr>
          <w:p w14:paraId="3B313787" w14:textId="77777777" w:rsidR="00E57DAA" w:rsidRDefault="00E57DAA">
            <w:pPr>
              <w:jc w:val="right"/>
            </w:pPr>
          </w:p>
        </w:tc>
        <w:tc>
          <w:tcPr>
            <w:tcW w:w="902" w:type="pct"/>
            <w:shd w:val="clear" w:color="auto" w:fill="auto"/>
            <w:vAlign w:val="center"/>
          </w:tcPr>
          <w:p w14:paraId="6A2C0DA2" w14:textId="77777777" w:rsidR="00E57DAA" w:rsidRDefault="00AC4185">
            <w:pPr>
              <w:jc w:val="right"/>
            </w:pPr>
            <w:r>
              <w:t>30,588,189.91</w:t>
            </w:r>
          </w:p>
        </w:tc>
      </w:tr>
    </w:tbl>
    <w:p w14:paraId="1184769A" w14:textId="77777777" w:rsidR="00E57DAA" w:rsidRDefault="00E57DAA" w:rsidP="00C25422">
      <w:pPr>
        <w:pStyle w:val="92"/>
      </w:pPr>
    </w:p>
    <w:p w14:paraId="21C6B4EF" w14:textId="77777777" w:rsidR="00E57DAA" w:rsidRDefault="00AC4185" w:rsidP="00C25422">
      <w:pPr>
        <w:pStyle w:val="92"/>
      </w:pPr>
      <w:r>
        <w:rPr>
          <w:rFonts w:hint="eastAsia"/>
        </w:rPr>
        <w:t>其中本期坏账准备转回或收回金额重要的：</w:t>
      </w:r>
    </w:p>
    <w:sdt>
      <w:sdtPr>
        <w:alias w:val="是否适用：母公司其他应收款坏账准备转回或收回金额重要的[双击切换]"/>
        <w:tag w:val="_GBC_f8ce6c07169e42188641fc1bc1ab86d4"/>
        <w:id w:val="-1179036645"/>
        <w:placeholder>
          <w:docPart w:val="GBC22222222222222222222222222222"/>
        </w:placeholder>
      </w:sdtPr>
      <w:sdtEndPr/>
      <w:sdtContent>
        <w:p w14:paraId="5F17F72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52"/>
    <w:bookmarkEnd w:id="351"/>
    <w:p w14:paraId="3570CA0A" w14:textId="77777777" w:rsidR="00E57DAA" w:rsidRDefault="00E57DAA">
      <w:pPr>
        <w:ind w:rightChars="-759" w:right="-1594"/>
        <w:rPr>
          <w:szCs w:val="21"/>
        </w:rPr>
      </w:pPr>
    </w:p>
    <w:p w14:paraId="4303B0AF" w14:textId="77777777" w:rsidR="00E57DAA" w:rsidRDefault="00AC4185" w:rsidP="00C25422">
      <w:pPr>
        <w:pStyle w:val="90"/>
        <w:numPr>
          <w:ilvl w:val="0"/>
          <w:numId w:val="134"/>
        </w:numPr>
        <w:ind w:leftChars="0"/>
      </w:pPr>
      <w:r>
        <w:rPr>
          <w:rFonts w:hint="eastAsia"/>
        </w:rPr>
        <w:t>本期实际核销的其他应收款情况</w:t>
      </w:r>
    </w:p>
    <w:sdt>
      <w:sdtPr>
        <w:alias w:val="是否适用：母公司本期实际核销的其他应收款情况[双击切换]"/>
        <w:tag w:val="_GBC_1513ed448adb4dda8e855e090428591f"/>
        <w:id w:val="-733939278"/>
        <w:placeholder>
          <w:docPart w:val="GBC22222222222222222222222222222"/>
        </w:placeholder>
      </w:sdtPr>
      <w:sdtEndPr/>
      <w:sdtContent>
        <w:p w14:paraId="7F9DF540"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D6839F" w14:textId="77777777" w:rsidR="00E57DAA" w:rsidRDefault="00AC4185">
      <w:pPr>
        <w:jc w:val="right"/>
        <w:rPr>
          <w:szCs w:val="21"/>
        </w:rPr>
      </w:pPr>
      <w:r>
        <w:rPr>
          <w:rFonts w:hint="eastAsia"/>
          <w:szCs w:val="21"/>
        </w:rPr>
        <w:t>单位：</w:t>
      </w:r>
      <w:sdt>
        <w:sdtPr>
          <w:rPr>
            <w:rFonts w:hint="eastAsia"/>
            <w:szCs w:val="21"/>
          </w:rPr>
          <w:alias w:val="单位：母公司财务附注：本报告期实际核销的其他应收款项情况"/>
          <w:tag w:val="_GBC_3d8e5ecc26a9400b96b75cceaa3f6c62"/>
          <w:id w:val="-19976381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其他应收款项情况"/>
          <w:tag w:val="_GBC_46282372a95c444484464ed92e63107c"/>
          <w:id w:val="-20405730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4394"/>
        <w:gridCol w:w="4429"/>
      </w:tblGrid>
      <w:tr w:rsidR="00E57DAA" w14:paraId="7F7C2762" w14:textId="77777777">
        <w:trPr>
          <w:cantSplit/>
        </w:trPr>
        <w:sdt>
          <w:sdtPr>
            <w:tag w:val="_PLD_2da1a75d27154fdf9aaa546f0880b2e0"/>
            <w:id w:val="-667782915"/>
          </w:sdtPr>
          <w:sdtEndPr/>
          <w:sdtContent>
            <w:tc>
              <w:tcPr>
                <w:tcW w:w="2490" w:type="pct"/>
              </w:tcPr>
              <w:p w14:paraId="65844FD7" w14:textId="77777777" w:rsidR="00E57DAA" w:rsidRDefault="00AC4185">
                <w:pPr>
                  <w:ind w:right="73"/>
                  <w:jc w:val="center"/>
                  <w:rPr>
                    <w:szCs w:val="21"/>
                  </w:rPr>
                </w:pPr>
                <w:r>
                  <w:rPr>
                    <w:rFonts w:hint="eastAsia"/>
                    <w:szCs w:val="21"/>
                  </w:rPr>
                  <w:t>项目</w:t>
                </w:r>
              </w:p>
            </w:tc>
          </w:sdtContent>
        </w:sdt>
        <w:sdt>
          <w:sdtPr>
            <w:tag w:val="_PLD_171d3bd6afe748869c9f4ecd891202d7"/>
            <w:id w:val="-448089823"/>
          </w:sdtPr>
          <w:sdtEndPr/>
          <w:sdtContent>
            <w:tc>
              <w:tcPr>
                <w:tcW w:w="2510" w:type="pct"/>
              </w:tcPr>
              <w:p w14:paraId="1FF7C638" w14:textId="77777777" w:rsidR="00E57DAA" w:rsidRDefault="00AC4185">
                <w:pPr>
                  <w:ind w:right="73"/>
                  <w:jc w:val="center"/>
                  <w:rPr>
                    <w:szCs w:val="21"/>
                  </w:rPr>
                </w:pPr>
                <w:r>
                  <w:rPr>
                    <w:rFonts w:hint="eastAsia"/>
                    <w:szCs w:val="21"/>
                  </w:rPr>
                  <w:t>核销金额</w:t>
                </w:r>
              </w:p>
            </w:tc>
          </w:sdtContent>
        </w:sdt>
      </w:tr>
      <w:tr w:rsidR="00E57DAA" w14:paraId="21CD8349" w14:textId="77777777">
        <w:trPr>
          <w:cantSplit/>
        </w:trPr>
        <w:tc>
          <w:tcPr>
            <w:tcW w:w="2490" w:type="pct"/>
          </w:tcPr>
          <w:p w14:paraId="58FFE106" w14:textId="77777777" w:rsidR="00E57DAA" w:rsidRDefault="00AC4185">
            <w:pPr>
              <w:ind w:right="73"/>
              <w:rPr>
                <w:szCs w:val="21"/>
              </w:rPr>
            </w:pPr>
            <w:r>
              <w:rPr>
                <w:rFonts w:hint="eastAsia"/>
                <w:szCs w:val="21"/>
              </w:rPr>
              <w:t>实际核销的其他应收款</w:t>
            </w:r>
          </w:p>
        </w:tc>
        <w:tc>
          <w:tcPr>
            <w:tcW w:w="2510" w:type="pct"/>
          </w:tcPr>
          <w:p w14:paraId="6B6877EC" w14:textId="77777777" w:rsidR="00E57DAA" w:rsidRDefault="00AC4185">
            <w:pPr>
              <w:ind w:right="73"/>
              <w:jc w:val="right"/>
              <w:rPr>
                <w:szCs w:val="21"/>
              </w:rPr>
            </w:pPr>
            <w:r>
              <w:rPr>
                <w:szCs w:val="21"/>
              </w:rPr>
              <w:t>899,939.31</w:t>
            </w:r>
          </w:p>
        </w:tc>
      </w:tr>
    </w:tbl>
    <w:p w14:paraId="64324662" w14:textId="77777777" w:rsidR="00E57DAA" w:rsidRDefault="00E57DAA">
      <w:pPr>
        <w:rPr>
          <w:szCs w:val="21"/>
        </w:rPr>
      </w:pPr>
    </w:p>
    <w:p w14:paraId="77C306A6" w14:textId="77777777" w:rsidR="00E57DAA" w:rsidRDefault="00AC4185">
      <w:pPr>
        <w:rPr>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1733224554"/>
        <w:placeholder>
          <w:docPart w:val="GBC22222222222222222222222222222"/>
        </w:placeholder>
      </w:sdtPr>
      <w:sdtEndPr/>
      <w:sdtContent>
        <w:p w14:paraId="0FE30179"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BC397B" w14:textId="77777777" w:rsidR="00E57DAA" w:rsidRDefault="00E57DAA">
      <w:pPr>
        <w:rPr>
          <w:szCs w:val="21"/>
        </w:rPr>
      </w:pPr>
    </w:p>
    <w:p w14:paraId="59F5D1D7" w14:textId="77777777" w:rsidR="00E57DAA" w:rsidRDefault="00AC4185">
      <w:pPr>
        <w:snapToGrid w:val="0"/>
        <w:spacing w:line="240" w:lineRule="atLeast"/>
        <w:rPr>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787481531"/>
        <w:placeholder>
          <w:docPart w:val="GBC22222222222222222222222222222"/>
        </w:placeholder>
      </w:sdtPr>
      <w:sdtEndPr/>
      <w:sdtContent>
        <w:p w14:paraId="467FFAC0" w14:textId="77777777" w:rsidR="00E57DAA" w:rsidRDefault="00AC418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C362D4" w14:textId="77777777" w:rsidR="00E57DAA" w:rsidRDefault="00E57DAA" w:rsidP="00C25422">
      <w:pPr>
        <w:pStyle w:val="92"/>
      </w:pPr>
    </w:p>
    <w:p w14:paraId="00B33902" w14:textId="77777777" w:rsidR="00E57DAA" w:rsidRDefault="00AC4185" w:rsidP="00C25422">
      <w:pPr>
        <w:pStyle w:val="90"/>
        <w:numPr>
          <w:ilvl w:val="0"/>
          <w:numId w:val="134"/>
        </w:numPr>
        <w:ind w:leftChars="0"/>
      </w:pPr>
      <w:r>
        <w:rPr>
          <w:rFonts w:hint="eastAsia"/>
        </w:rPr>
        <w:t>按欠款方归集的期末余额前五名的其他应收款情况</w:t>
      </w:r>
    </w:p>
    <w:bookmarkStart w:id="353" w:name="_Hlk153798048" w:displacedByCustomXml="next"/>
    <w:sdt>
      <w:sdtPr>
        <w:alias w:val="是否适用：母公司按欠款方归集的期末余额前五名的其他应收款情况[双击切换]"/>
        <w:tag w:val="_GBC_40b667221c1442478b0cdaa57feca3d8"/>
        <w:id w:val="1689484141"/>
        <w:placeholder>
          <w:docPart w:val="GBC22222222222222222222222222222"/>
        </w:placeholder>
      </w:sdtPr>
      <w:sdtEndPr/>
      <w:sdtContent>
        <w:p w14:paraId="769EBAF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77B39B" w14:textId="77777777" w:rsidR="00E57DAA" w:rsidRDefault="00AC4185">
      <w:pPr>
        <w:jc w:val="right"/>
      </w:pPr>
      <w:r>
        <w:rPr>
          <w:rFonts w:hint="eastAsia"/>
        </w:rPr>
        <w:t>单位：</w:t>
      </w:r>
      <w:sdt>
        <w:sdtPr>
          <w:rPr>
            <w:rFonts w:hint="eastAsia"/>
          </w:rPr>
          <w:alias w:val="单位：母公司财务附注：其他应收账款前五名欠款情况"/>
          <w:tag w:val="_GBC_a5049697dafb47839070e9dec68636fd"/>
          <w:id w:val="15716162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5480619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8"/>
        <w:gridCol w:w="1969"/>
        <w:gridCol w:w="1189"/>
        <w:gridCol w:w="993"/>
        <w:gridCol w:w="1133"/>
        <w:gridCol w:w="1031"/>
      </w:tblGrid>
      <w:tr w:rsidR="00E57DAA" w14:paraId="18A060B5" w14:textId="77777777">
        <w:trPr>
          <w:cantSplit/>
        </w:trPr>
        <w:bookmarkEnd w:id="353" w:displacedByCustomXml="next"/>
        <w:sdt>
          <w:sdtPr>
            <w:tag w:val="_PLD_97ae589741524eeaa277e2e3a81b13c6"/>
            <w:id w:val="-1433744987"/>
          </w:sdtPr>
          <w:sdtEndPr/>
          <w:sdtContent>
            <w:tc>
              <w:tcPr>
                <w:tcW w:w="1421" w:type="pct"/>
                <w:vAlign w:val="center"/>
              </w:tcPr>
              <w:p w14:paraId="05321BE7" w14:textId="77777777" w:rsidR="00E57DAA" w:rsidRDefault="00AC4185">
                <w:pPr>
                  <w:ind w:right="105"/>
                  <w:jc w:val="center"/>
                  <w:rPr>
                    <w:szCs w:val="21"/>
                  </w:rPr>
                </w:pPr>
                <w:r>
                  <w:rPr>
                    <w:rFonts w:hint="eastAsia"/>
                    <w:szCs w:val="21"/>
                  </w:rPr>
                  <w:t>单位名称</w:t>
                </w:r>
              </w:p>
            </w:tc>
          </w:sdtContent>
        </w:sdt>
        <w:sdt>
          <w:sdtPr>
            <w:tag w:val="_PLD_c22b4ec5955348c988f93a834a184c51"/>
            <w:id w:val="502093299"/>
          </w:sdtPr>
          <w:sdtEndPr/>
          <w:sdtContent>
            <w:tc>
              <w:tcPr>
                <w:tcW w:w="1116" w:type="pct"/>
                <w:vAlign w:val="center"/>
              </w:tcPr>
              <w:p w14:paraId="6E65112E" w14:textId="77777777" w:rsidR="00E57DAA" w:rsidRDefault="00AC4185">
                <w:pPr>
                  <w:ind w:right="73"/>
                  <w:jc w:val="center"/>
                  <w:rPr>
                    <w:szCs w:val="21"/>
                  </w:rPr>
                </w:pPr>
                <w:r>
                  <w:rPr>
                    <w:rFonts w:hint="eastAsia"/>
                    <w:szCs w:val="21"/>
                  </w:rPr>
                  <w:t>期末余额</w:t>
                </w:r>
              </w:p>
            </w:tc>
          </w:sdtContent>
        </w:sdt>
        <w:sdt>
          <w:sdtPr>
            <w:tag w:val="_PLD_a49ad92f72864a62b0f46c5d7fa4a110"/>
            <w:id w:val="-1728452056"/>
          </w:sdtPr>
          <w:sdtEndPr/>
          <w:sdtContent>
            <w:tc>
              <w:tcPr>
                <w:tcW w:w="674" w:type="pct"/>
                <w:vAlign w:val="center"/>
              </w:tcPr>
              <w:p w14:paraId="36510E9E" w14:textId="77777777" w:rsidR="00E57DAA" w:rsidRDefault="00AC4185">
                <w:pPr>
                  <w:jc w:val="center"/>
                  <w:rPr>
                    <w:szCs w:val="21"/>
                  </w:rPr>
                </w:pPr>
                <w:r>
                  <w:rPr>
                    <w:rFonts w:hint="eastAsia"/>
                    <w:szCs w:val="21"/>
                  </w:rPr>
                  <w:t>占其他应收款期末余额合计数的比例(</w:t>
                </w:r>
                <w:r>
                  <w:rPr>
                    <w:szCs w:val="21"/>
                  </w:rPr>
                  <w:t>%)</w:t>
                </w:r>
              </w:p>
            </w:tc>
          </w:sdtContent>
        </w:sdt>
        <w:sdt>
          <w:sdtPr>
            <w:tag w:val="_PLD_c8433b11194a41288fcd24feb3e7d527"/>
            <w:id w:val="1722631009"/>
          </w:sdtPr>
          <w:sdtEndPr/>
          <w:sdtContent>
            <w:tc>
              <w:tcPr>
                <w:tcW w:w="563" w:type="pct"/>
                <w:vAlign w:val="center"/>
              </w:tcPr>
              <w:p w14:paraId="5EAA9572" w14:textId="77777777" w:rsidR="00E57DAA" w:rsidRDefault="00AC4185">
                <w:pPr>
                  <w:ind w:right="73"/>
                  <w:jc w:val="center"/>
                  <w:rPr>
                    <w:szCs w:val="21"/>
                  </w:rPr>
                </w:pPr>
                <w:r>
                  <w:rPr>
                    <w:rFonts w:hint="eastAsia"/>
                    <w:szCs w:val="21"/>
                  </w:rPr>
                  <w:t>款项的性质</w:t>
                </w:r>
              </w:p>
            </w:tc>
          </w:sdtContent>
        </w:sdt>
        <w:sdt>
          <w:sdtPr>
            <w:tag w:val="_PLD_003c0f3b03b34c10880da6ddba3d0f8c"/>
            <w:id w:val="941578287"/>
          </w:sdtPr>
          <w:sdtEndPr/>
          <w:sdtContent>
            <w:tc>
              <w:tcPr>
                <w:tcW w:w="642" w:type="pct"/>
                <w:vAlign w:val="center"/>
              </w:tcPr>
              <w:p w14:paraId="51340C48" w14:textId="77777777" w:rsidR="00E57DAA" w:rsidRDefault="00AC4185">
                <w:pPr>
                  <w:ind w:right="73"/>
                  <w:jc w:val="center"/>
                  <w:rPr>
                    <w:szCs w:val="21"/>
                  </w:rPr>
                </w:pPr>
                <w:r>
                  <w:rPr>
                    <w:rFonts w:hint="eastAsia"/>
                    <w:szCs w:val="21"/>
                  </w:rPr>
                  <w:t>账龄</w:t>
                </w:r>
              </w:p>
            </w:tc>
          </w:sdtContent>
        </w:sdt>
        <w:sdt>
          <w:sdtPr>
            <w:tag w:val="_PLD_de96d0c3523e4231935073b8b7dd47be"/>
            <w:id w:val="1545944493"/>
          </w:sdtPr>
          <w:sdtEndPr/>
          <w:sdtContent>
            <w:tc>
              <w:tcPr>
                <w:tcW w:w="584" w:type="pct"/>
                <w:vAlign w:val="center"/>
              </w:tcPr>
              <w:p w14:paraId="54C80623" w14:textId="77777777" w:rsidR="00E57DAA" w:rsidRDefault="00AC4185">
                <w:pPr>
                  <w:jc w:val="center"/>
                  <w:rPr>
                    <w:szCs w:val="21"/>
                  </w:rPr>
                </w:pPr>
                <w:r>
                  <w:rPr>
                    <w:rFonts w:hint="eastAsia"/>
                    <w:szCs w:val="21"/>
                  </w:rPr>
                  <w:t>坏账准备期末余额</w:t>
                </w:r>
              </w:p>
            </w:tc>
          </w:sdtContent>
        </w:sdt>
      </w:tr>
      <w:tr w:rsidR="00E57DAA" w14:paraId="2E3A8738" w14:textId="77777777">
        <w:trPr>
          <w:cantSplit/>
        </w:trPr>
        <w:tc>
          <w:tcPr>
            <w:tcW w:w="1421" w:type="pct"/>
          </w:tcPr>
          <w:p w14:paraId="5BAABA1F" w14:textId="77777777" w:rsidR="00E57DAA" w:rsidRDefault="00AC4185">
            <w:pPr>
              <w:ind w:right="105"/>
              <w:rPr>
                <w:szCs w:val="21"/>
              </w:rPr>
            </w:pPr>
            <w:r>
              <w:t>成都建筑材料工业设计研究院有限公司</w:t>
            </w:r>
          </w:p>
        </w:tc>
        <w:tc>
          <w:tcPr>
            <w:tcW w:w="1116" w:type="pct"/>
            <w:vAlign w:val="center"/>
          </w:tcPr>
          <w:p w14:paraId="3FB32435" w14:textId="77777777" w:rsidR="00E57DAA" w:rsidRDefault="00AC4185">
            <w:pPr>
              <w:ind w:right="73"/>
              <w:jc w:val="right"/>
              <w:rPr>
                <w:szCs w:val="21"/>
              </w:rPr>
            </w:pPr>
            <w:r>
              <w:t>710,676,462.01</w:t>
            </w:r>
          </w:p>
        </w:tc>
        <w:tc>
          <w:tcPr>
            <w:tcW w:w="674" w:type="pct"/>
            <w:vAlign w:val="center"/>
          </w:tcPr>
          <w:p w14:paraId="5680E323" w14:textId="77777777" w:rsidR="00E57DAA" w:rsidRDefault="00AC4185">
            <w:pPr>
              <w:jc w:val="right"/>
              <w:rPr>
                <w:szCs w:val="21"/>
              </w:rPr>
            </w:pPr>
            <w:r>
              <w:t>26.34</w:t>
            </w:r>
          </w:p>
        </w:tc>
        <w:tc>
          <w:tcPr>
            <w:tcW w:w="563" w:type="pct"/>
            <w:vAlign w:val="center"/>
          </w:tcPr>
          <w:p w14:paraId="2996A669" w14:textId="77777777" w:rsidR="00E57DAA" w:rsidRDefault="00AC4185">
            <w:pPr>
              <w:ind w:right="73"/>
              <w:rPr>
                <w:szCs w:val="21"/>
              </w:rPr>
            </w:pPr>
            <w:r>
              <w:t>往来款</w:t>
            </w:r>
          </w:p>
        </w:tc>
        <w:tc>
          <w:tcPr>
            <w:tcW w:w="642" w:type="pct"/>
            <w:vAlign w:val="center"/>
          </w:tcPr>
          <w:p w14:paraId="137AC4D1" w14:textId="77777777" w:rsidR="00E57DAA" w:rsidRDefault="00AC4185">
            <w:pPr>
              <w:ind w:right="73"/>
              <w:rPr>
                <w:szCs w:val="21"/>
              </w:rPr>
            </w:pPr>
            <w:r>
              <w:t>5年以内</w:t>
            </w:r>
          </w:p>
        </w:tc>
        <w:tc>
          <w:tcPr>
            <w:tcW w:w="584" w:type="pct"/>
          </w:tcPr>
          <w:p w14:paraId="67DD4204" w14:textId="77777777" w:rsidR="00E57DAA" w:rsidRDefault="00E57DAA">
            <w:pPr>
              <w:jc w:val="right"/>
              <w:rPr>
                <w:szCs w:val="21"/>
              </w:rPr>
            </w:pPr>
          </w:p>
        </w:tc>
      </w:tr>
      <w:tr w:rsidR="00E57DAA" w14:paraId="366B6AD8" w14:textId="77777777">
        <w:trPr>
          <w:cantSplit/>
        </w:trPr>
        <w:tc>
          <w:tcPr>
            <w:tcW w:w="1421" w:type="pct"/>
          </w:tcPr>
          <w:p w14:paraId="16623B2D" w14:textId="77777777" w:rsidR="00E57DAA" w:rsidRDefault="00AC4185">
            <w:pPr>
              <w:ind w:right="105"/>
              <w:rPr>
                <w:szCs w:val="21"/>
              </w:rPr>
            </w:pPr>
            <w:r>
              <w:t>中材国际水务科技（合肥）有限公司</w:t>
            </w:r>
          </w:p>
        </w:tc>
        <w:tc>
          <w:tcPr>
            <w:tcW w:w="1116" w:type="pct"/>
            <w:vAlign w:val="center"/>
          </w:tcPr>
          <w:p w14:paraId="5184D9EE" w14:textId="77777777" w:rsidR="00E57DAA" w:rsidRDefault="00AC4185">
            <w:pPr>
              <w:ind w:right="73"/>
              <w:jc w:val="right"/>
              <w:rPr>
                <w:szCs w:val="21"/>
              </w:rPr>
            </w:pPr>
            <w:r>
              <w:t>461,993,833.46</w:t>
            </w:r>
          </w:p>
        </w:tc>
        <w:tc>
          <w:tcPr>
            <w:tcW w:w="674" w:type="pct"/>
            <w:vAlign w:val="center"/>
          </w:tcPr>
          <w:p w14:paraId="70A95C38" w14:textId="77777777" w:rsidR="00E57DAA" w:rsidRDefault="00AC4185">
            <w:pPr>
              <w:jc w:val="right"/>
              <w:rPr>
                <w:szCs w:val="21"/>
              </w:rPr>
            </w:pPr>
            <w:r>
              <w:t>17.12</w:t>
            </w:r>
          </w:p>
        </w:tc>
        <w:tc>
          <w:tcPr>
            <w:tcW w:w="563" w:type="pct"/>
            <w:vAlign w:val="center"/>
          </w:tcPr>
          <w:p w14:paraId="2C43CB9A" w14:textId="77777777" w:rsidR="00E57DAA" w:rsidRDefault="00AC4185">
            <w:pPr>
              <w:ind w:right="73"/>
              <w:rPr>
                <w:szCs w:val="21"/>
              </w:rPr>
            </w:pPr>
            <w:r>
              <w:t>往来款</w:t>
            </w:r>
          </w:p>
        </w:tc>
        <w:tc>
          <w:tcPr>
            <w:tcW w:w="642" w:type="pct"/>
            <w:vAlign w:val="center"/>
          </w:tcPr>
          <w:p w14:paraId="3FE6A524" w14:textId="77777777" w:rsidR="00E57DAA" w:rsidRDefault="00AC4185">
            <w:pPr>
              <w:ind w:right="73"/>
              <w:rPr>
                <w:szCs w:val="21"/>
              </w:rPr>
            </w:pPr>
            <w:r>
              <w:t>4年以内</w:t>
            </w:r>
          </w:p>
        </w:tc>
        <w:tc>
          <w:tcPr>
            <w:tcW w:w="584" w:type="pct"/>
          </w:tcPr>
          <w:p w14:paraId="0E5A39E3" w14:textId="77777777" w:rsidR="00E57DAA" w:rsidRDefault="00E57DAA">
            <w:pPr>
              <w:jc w:val="right"/>
              <w:rPr>
                <w:szCs w:val="21"/>
              </w:rPr>
            </w:pPr>
          </w:p>
        </w:tc>
      </w:tr>
      <w:tr w:rsidR="00E57DAA" w14:paraId="53279267" w14:textId="77777777">
        <w:trPr>
          <w:cantSplit/>
        </w:trPr>
        <w:tc>
          <w:tcPr>
            <w:tcW w:w="1421" w:type="pct"/>
          </w:tcPr>
          <w:p w14:paraId="51EEAED8" w14:textId="77777777" w:rsidR="00E57DAA" w:rsidRDefault="00AC4185">
            <w:pPr>
              <w:ind w:right="105"/>
              <w:rPr>
                <w:szCs w:val="21"/>
              </w:rPr>
            </w:pPr>
            <w:r>
              <w:t>邯郸中材建设有限责任公司</w:t>
            </w:r>
          </w:p>
        </w:tc>
        <w:tc>
          <w:tcPr>
            <w:tcW w:w="1116" w:type="pct"/>
            <w:vAlign w:val="center"/>
          </w:tcPr>
          <w:p w14:paraId="4CB66E28" w14:textId="77777777" w:rsidR="00E57DAA" w:rsidRDefault="00AC4185">
            <w:pPr>
              <w:ind w:right="73"/>
              <w:jc w:val="right"/>
              <w:rPr>
                <w:szCs w:val="21"/>
              </w:rPr>
            </w:pPr>
            <w:r>
              <w:t>343,284,221.85</w:t>
            </w:r>
          </w:p>
        </w:tc>
        <w:tc>
          <w:tcPr>
            <w:tcW w:w="674" w:type="pct"/>
            <w:vAlign w:val="center"/>
          </w:tcPr>
          <w:p w14:paraId="0DACDEA2" w14:textId="77777777" w:rsidR="00E57DAA" w:rsidRDefault="00AC4185">
            <w:pPr>
              <w:jc w:val="right"/>
              <w:rPr>
                <w:szCs w:val="21"/>
              </w:rPr>
            </w:pPr>
            <w:r>
              <w:t>12.72</w:t>
            </w:r>
          </w:p>
        </w:tc>
        <w:tc>
          <w:tcPr>
            <w:tcW w:w="563" w:type="pct"/>
            <w:vAlign w:val="center"/>
          </w:tcPr>
          <w:p w14:paraId="3BE5A81F" w14:textId="77777777" w:rsidR="00E57DAA" w:rsidRDefault="00AC4185">
            <w:pPr>
              <w:ind w:right="73"/>
              <w:rPr>
                <w:szCs w:val="21"/>
              </w:rPr>
            </w:pPr>
            <w:r>
              <w:t>往来款</w:t>
            </w:r>
          </w:p>
        </w:tc>
        <w:tc>
          <w:tcPr>
            <w:tcW w:w="642" w:type="pct"/>
            <w:vAlign w:val="center"/>
          </w:tcPr>
          <w:p w14:paraId="746F7ABC" w14:textId="77777777" w:rsidR="00E57DAA" w:rsidRDefault="00AC4185">
            <w:pPr>
              <w:ind w:right="73"/>
              <w:rPr>
                <w:szCs w:val="21"/>
              </w:rPr>
            </w:pPr>
            <w:r>
              <w:t>5年以内</w:t>
            </w:r>
          </w:p>
        </w:tc>
        <w:tc>
          <w:tcPr>
            <w:tcW w:w="584" w:type="pct"/>
          </w:tcPr>
          <w:p w14:paraId="73C47774" w14:textId="77777777" w:rsidR="00E57DAA" w:rsidRDefault="00E57DAA">
            <w:pPr>
              <w:jc w:val="right"/>
              <w:rPr>
                <w:szCs w:val="21"/>
              </w:rPr>
            </w:pPr>
          </w:p>
        </w:tc>
      </w:tr>
      <w:tr w:rsidR="00E57DAA" w14:paraId="55E25F01" w14:textId="77777777">
        <w:trPr>
          <w:cantSplit/>
        </w:trPr>
        <w:tc>
          <w:tcPr>
            <w:tcW w:w="1421" w:type="pct"/>
          </w:tcPr>
          <w:p w14:paraId="30285D99" w14:textId="77777777" w:rsidR="00E57DAA" w:rsidRDefault="00AC4185">
            <w:pPr>
              <w:ind w:right="105"/>
              <w:rPr>
                <w:szCs w:val="21"/>
              </w:rPr>
            </w:pPr>
            <w:r>
              <w:t>中材矿山建设有限公司</w:t>
            </w:r>
          </w:p>
        </w:tc>
        <w:tc>
          <w:tcPr>
            <w:tcW w:w="1116" w:type="pct"/>
            <w:vAlign w:val="center"/>
          </w:tcPr>
          <w:p w14:paraId="179B8ACE" w14:textId="77777777" w:rsidR="00E57DAA" w:rsidRDefault="00AC4185">
            <w:pPr>
              <w:ind w:right="73"/>
              <w:jc w:val="right"/>
              <w:rPr>
                <w:szCs w:val="21"/>
              </w:rPr>
            </w:pPr>
            <w:r>
              <w:t>172,989,552.78</w:t>
            </w:r>
          </w:p>
        </w:tc>
        <w:tc>
          <w:tcPr>
            <w:tcW w:w="674" w:type="pct"/>
            <w:vAlign w:val="center"/>
          </w:tcPr>
          <w:p w14:paraId="4528BA9B" w14:textId="77777777" w:rsidR="00E57DAA" w:rsidRDefault="00AC4185">
            <w:pPr>
              <w:jc w:val="right"/>
              <w:rPr>
                <w:szCs w:val="21"/>
              </w:rPr>
            </w:pPr>
            <w:r>
              <w:t>6.41</w:t>
            </w:r>
          </w:p>
        </w:tc>
        <w:tc>
          <w:tcPr>
            <w:tcW w:w="563" w:type="pct"/>
            <w:vAlign w:val="center"/>
          </w:tcPr>
          <w:p w14:paraId="468BA7DF" w14:textId="77777777" w:rsidR="00E57DAA" w:rsidRDefault="00AC4185">
            <w:pPr>
              <w:ind w:right="73"/>
              <w:rPr>
                <w:szCs w:val="21"/>
              </w:rPr>
            </w:pPr>
            <w:r>
              <w:t>往来款</w:t>
            </w:r>
          </w:p>
        </w:tc>
        <w:tc>
          <w:tcPr>
            <w:tcW w:w="642" w:type="pct"/>
            <w:vAlign w:val="center"/>
          </w:tcPr>
          <w:p w14:paraId="76B3EE80" w14:textId="77777777" w:rsidR="00E57DAA" w:rsidRDefault="00AC4185">
            <w:pPr>
              <w:ind w:right="73"/>
              <w:rPr>
                <w:szCs w:val="21"/>
              </w:rPr>
            </w:pPr>
            <w:r>
              <w:t>1年以内</w:t>
            </w:r>
          </w:p>
        </w:tc>
        <w:tc>
          <w:tcPr>
            <w:tcW w:w="584" w:type="pct"/>
          </w:tcPr>
          <w:p w14:paraId="6FD19231" w14:textId="77777777" w:rsidR="00E57DAA" w:rsidRDefault="00E57DAA">
            <w:pPr>
              <w:jc w:val="right"/>
              <w:rPr>
                <w:szCs w:val="21"/>
              </w:rPr>
            </w:pPr>
          </w:p>
        </w:tc>
      </w:tr>
      <w:tr w:rsidR="00E57DAA" w14:paraId="2BE241B8" w14:textId="77777777">
        <w:trPr>
          <w:cantSplit/>
        </w:trPr>
        <w:tc>
          <w:tcPr>
            <w:tcW w:w="1421" w:type="pct"/>
          </w:tcPr>
          <w:p w14:paraId="68639748" w14:textId="77777777" w:rsidR="00E57DAA" w:rsidRDefault="00AC4185">
            <w:pPr>
              <w:ind w:right="105"/>
              <w:rPr>
                <w:szCs w:val="21"/>
              </w:rPr>
            </w:pPr>
            <w:r>
              <w:t>苏州中材建设有限公司</w:t>
            </w:r>
          </w:p>
        </w:tc>
        <w:tc>
          <w:tcPr>
            <w:tcW w:w="1116" w:type="pct"/>
            <w:vAlign w:val="center"/>
          </w:tcPr>
          <w:p w14:paraId="4FAF90E7" w14:textId="77777777" w:rsidR="00E57DAA" w:rsidRDefault="00AC4185">
            <w:pPr>
              <w:ind w:right="73"/>
              <w:jc w:val="right"/>
              <w:rPr>
                <w:szCs w:val="21"/>
              </w:rPr>
            </w:pPr>
            <w:r>
              <w:t>132,043,148.50</w:t>
            </w:r>
          </w:p>
        </w:tc>
        <w:tc>
          <w:tcPr>
            <w:tcW w:w="674" w:type="pct"/>
            <w:vAlign w:val="center"/>
          </w:tcPr>
          <w:p w14:paraId="1D56CF67" w14:textId="77777777" w:rsidR="00E57DAA" w:rsidRDefault="00AC4185">
            <w:pPr>
              <w:jc w:val="right"/>
              <w:rPr>
                <w:szCs w:val="21"/>
              </w:rPr>
            </w:pPr>
            <w:r>
              <w:t>4.89</w:t>
            </w:r>
          </w:p>
        </w:tc>
        <w:tc>
          <w:tcPr>
            <w:tcW w:w="563" w:type="pct"/>
            <w:vAlign w:val="center"/>
          </w:tcPr>
          <w:p w14:paraId="265F61F6" w14:textId="77777777" w:rsidR="00E57DAA" w:rsidRDefault="00AC4185">
            <w:pPr>
              <w:ind w:right="73"/>
              <w:rPr>
                <w:szCs w:val="21"/>
              </w:rPr>
            </w:pPr>
            <w:r>
              <w:t>往来款</w:t>
            </w:r>
          </w:p>
        </w:tc>
        <w:tc>
          <w:tcPr>
            <w:tcW w:w="642" w:type="pct"/>
            <w:vAlign w:val="center"/>
          </w:tcPr>
          <w:p w14:paraId="343DCF0B" w14:textId="77777777" w:rsidR="00E57DAA" w:rsidRDefault="00AC4185">
            <w:pPr>
              <w:ind w:right="73"/>
              <w:rPr>
                <w:szCs w:val="21"/>
              </w:rPr>
            </w:pPr>
            <w:r>
              <w:t>5年以内</w:t>
            </w:r>
          </w:p>
        </w:tc>
        <w:tc>
          <w:tcPr>
            <w:tcW w:w="584" w:type="pct"/>
          </w:tcPr>
          <w:p w14:paraId="423CA712" w14:textId="77777777" w:rsidR="00E57DAA" w:rsidRDefault="00E57DAA">
            <w:pPr>
              <w:jc w:val="right"/>
              <w:rPr>
                <w:szCs w:val="21"/>
              </w:rPr>
            </w:pPr>
          </w:p>
        </w:tc>
      </w:tr>
      <w:tr w:rsidR="00E57DAA" w14:paraId="79217F27" w14:textId="77777777">
        <w:trPr>
          <w:cantSplit/>
        </w:trPr>
        <w:tc>
          <w:tcPr>
            <w:tcW w:w="1421" w:type="pct"/>
          </w:tcPr>
          <w:p w14:paraId="22000411" w14:textId="77777777" w:rsidR="00E57DAA" w:rsidRDefault="00AC4185">
            <w:pPr>
              <w:ind w:right="105"/>
              <w:jc w:val="center"/>
              <w:rPr>
                <w:szCs w:val="21"/>
              </w:rPr>
            </w:pPr>
            <w:r>
              <w:rPr>
                <w:rFonts w:hint="eastAsia"/>
                <w:szCs w:val="21"/>
              </w:rPr>
              <w:t>合计</w:t>
            </w:r>
          </w:p>
        </w:tc>
        <w:tc>
          <w:tcPr>
            <w:tcW w:w="1116" w:type="pct"/>
            <w:vAlign w:val="center"/>
          </w:tcPr>
          <w:p w14:paraId="75A8B9F1" w14:textId="77777777" w:rsidR="00E57DAA" w:rsidRDefault="00AC4185">
            <w:pPr>
              <w:ind w:right="73"/>
              <w:jc w:val="right"/>
              <w:rPr>
                <w:szCs w:val="21"/>
              </w:rPr>
            </w:pPr>
            <w:r>
              <w:t>1,820,987,218.60</w:t>
            </w:r>
          </w:p>
        </w:tc>
        <w:tc>
          <w:tcPr>
            <w:tcW w:w="674" w:type="pct"/>
            <w:vAlign w:val="center"/>
          </w:tcPr>
          <w:p w14:paraId="64F25479" w14:textId="77777777" w:rsidR="00E57DAA" w:rsidRDefault="00AC4185">
            <w:pPr>
              <w:jc w:val="right"/>
              <w:rPr>
                <w:szCs w:val="21"/>
              </w:rPr>
            </w:pPr>
            <w:r>
              <w:t>67.48</w:t>
            </w:r>
          </w:p>
        </w:tc>
        <w:tc>
          <w:tcPr>
            <w:tcW w:w="563" w:type="pct"/>
          </w:tcPr>
          <w:p w14:paraId="3F9FA4F6" w14:textId="77777777" w:rsidR="00E57DAA" w:rsidRDefault="00AC4185">
            <w:pPr>
              <w:ind w:right="73"/>
              <w:jc w:val="center"/>
              <w:rPr>
                <w:szCs w:val="21"/>
              </w:rPr>
            </w:pPr>
            <w:r>
              <w:rPr>
                <w:szCs w:val="21"/>
              </w:rPr>
              <w:t>/</w:t>
            </w:r>
          </w:p>
        </w:tc>
        <w:tc>
          <w:tcPr>
            <w:tcW w:w="642" w:type="pct"/>
          </w:tcPr>
          <w:p w14:paraId="6A8846A2" w14:textId="77777777" w:rsidR="00E57DAA" w:rsidRDefault="00AC4185">
            <w:pPr>
              <w:ind w:right="73"/>
              <w:jc w:val="center"/>
              <w:rPr>
                <w:szCs w:val="21"/>
              </w:rPr>
            </w:pPr>
            <w:r>
              <w:rPr>
                <w:szCs w:val="21"/>
              </w:rPr>
              <w:t>/</w:t>
            </w:r>
          </w:p>
        </w:tc>
        <w:tc>
          <w:tcPr>
            <w:tcW w:w="584" w:type="pct"/>
          </w:tcPr>
          <w:p w14:paraId="090AA9D1" w14:textId="77777777" w:rsidR="00E57DAA" w:rsidRDefault="00E57DAA">
            <w:pPr>
              <w:jc w:val="right"/>
              <w:rPr>
                <w:szCs w:val="21"/>
              </w:rPr>
            </w:pPr>
          </w:p>
        </w:tc>
      </w:tr>
    </w:tbl>
    <w:p w14:paraId="1517FF45" w14:textId="77777777" w:rsidR="00E57DAA" w:rsidRDefault="00E57DAA" w:rsidP="00C25422">
      <w:pPr>
        <w:pStyle w:val="92"/>
      </w:pPr>
    </w:p>
    <w:p w14:paraId="54A8B688" w14:textId="77777777" w:rsidR="00E57DAA" w:rsidRDefault="00AC4185" w:rsidP="00C25422">
      <w:pPr>
        <w:pStyle w:val="90"/>
        <w:numPr>
          <w:ilvl w:val="0"/>
          <w:numId w:val="134"/>
        </w:numPr>
        <w:ind w:leftChars="0"/>
      </w:pPr>
      <w:r>
        <w:t>因资金集中管理而列报于其他应收款</w:t>
      </w:r>
    </w:p>
    <w:bookmarkStart w:id="354" w:name="_Hlk153798113" w:displacedByCustomXml="next"/>
    <w:sdt>
      <w:sdtPr>
        <w:alias w:val="是否适用：母公司因资金集中管理而列报于其他应收款[双击切换]"/>
        <w:tag w:val="_GBC_618dc514c72c4f30836fe51ef5fc4589"/>
        <w:id w:val="1685943777"/>
        <w:placeholder>
          <w:docPart w:val="GBC22222222222222222222222222222"/>
        </w:placeholder>
      </w:sdtPr>
      <w:sdtEndPr/>
      <w:sdtContent>
        <w:p w14:paraId="676F6FA6" w14:textId="77777777" w:rsidR="00E57DAA" w:rsidRDefault="00AC4185">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54"/>
    <w:p w14:paraId="391B10E4" w14:textId="77777777" w:rsidR="00E57DAA" w:rsidRDefault="00E57DAA">
      <w:pPr>
        <w:snapToGrid w:val="0"/>
        <w:spacing w:line="240" w:lineRule="atLeast"/>
      </w:pPr>
    </w:p>
    <w:p w14:paraId="5E63CFA5" w14:textId="77777777" w:rsidR="00E57DAA" w:rsidRDefault="00AC4185" w:rsidP="00C25422">
      <w:pPr>
        <w:pStyle w:val="92"/>
      </w:pPr>
      <w:r>
        <w:rPr>
          <w:rFonts w:hint="eastAsia"/>
        </w:rPr>
        <w:t>其他</w:t>
      </w:r>
      <w:r>
        <w:t>说明：</w:t>
      </w:r>
    </w:p>
    <w:sdt>
      <w:sdtPr>
        <w:rPr>
          <w:rFonts w:hint="eastAsia"/>
          <w:szCs w:val="21"/>
        </w:rPr>
        <w:alias w:val="是否适用：母公司其他应收款的其他说明[双击切换]"/>
        <w:tag w:val="_GBC_479bc9ed241548c695a3905f38eb23fd"/>
        <w:id w:val="-1729376749"/>
        <w:placeholder>
          <w:docPart w:val="GBC22222222222222222222222222222"/>
        </w:placeholder>
      </w:sdtPr>
      <w:sdtEndPr/>
      <w:sdtContent>
        <w:p w14:paraId="3621DE7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600F76" w14:textId="77777777" w:rsidR="00E57DAA" w:rsidRDefault="00E57DAA">
      <w:pPr>
        <w:rPr>
          <w:szCs w:val="21"/>
        </w:rPr>
        <w:sectPr w:rsidR="00E57DAA" w:rsidSect="00226547">
          <w:pgSz w:w="11906" w:h="16838"/>
          <w:pgMar w:top="1525" w:right="1276" w:bottom="1440" w:left="1797" w:header="856" w:footer="992" w:gutter="0"/>
          <w:cols w:space="425"/>
          <w:docGrid w:linePitch="312"/>
        </w:sectPr>
      </w:pPr>
    </w:p>
    <w:p w14:paraId="1C3DFD5B" w14:textId="77777777" w:rsidR="00E57DAA" w:rsidRDefault="00E57DAA">
      <w:pPr>
        <w:rPr>
          <w:szCs w:val="21"/>
        </w:rPr>
      </w:pPr>
    </w:p>
    <w:p w14:paraId="112D5D95" w14:textId="77777777" w:rsidR="00E57DAA" w:rsidRDefault="00AC4185" w:rsidP="00C25422">
      <w:pPr>
        <w:pStyle w:val="91"/>
        <w:numPr>
          <w:ilvl w:val="0"/>
          <w:numId w:val="132"/>
        </w:numPr>
      </w:pPr>
      <w:r>
        <w:rPr>
          <w:rFonts w:hint="eastAsia"/>
        </w:rPr>
        <w:t>长期股权投资</w:t>
      </w:r>
    </w:p>
    <w:sdt>
      <w:sdtPr>
        <w:alias w:val="是否适用：母公司长期股权投资[双击切换]"/>
        <w:tag w:val="_GBC_57a2f87498c64eab83308bdf3afc6268"/>
        <w:id w:val="337042834"/>
        <w:lock w:val="contentLocked"/>
        <w:placeholder>
          <w:docPart w:val="GBC22222222222222222222222222222"/>
        </w:placeholder>
      </w:sdtPr>
      <w:sdtEndPr/>
      <w:sdtContent>
        <w:p w14:paraId="146BE896"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C6729A" w14:textId="77777777" w:rsidR="00E57DAA" w:rsidRDefault="00AC4185">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7180404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287933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2001"/>
        <w:gridCol w:w="1686"/>
        <w:gridCol w:w="2001"/>
        <w:gridCol w:w="1896"/>
        <w:gridCol w:w="1686"/>
        <w:gridCol w:w="1896"/>
      </w:tblGrid>
      <w:tr w:rsidR="00E57DAA" w14:paraId="168B8A91" w14:textId="77777777">
        <w:trPr>
          <w:cantSplit/>
        </w:trPr>
        <w:sdt>
          <w:sdtPr>
            <w:tag w:val="_PLD_0747ffd7336145fcb6d5e622fab54966"/>
            <w:id w:val="125670859"/>
          </w:sdtPr>
          <w:sdtEndPr/>
          <w:sdtContent>
            <w:tc>
              <w:tcPr>
                <w:tcW w:w="973" w:type="pct"/>
                <w:vMerge w:val="restart"/>
                <w:shd w:val="clear" w:color="auto" w:fill="auto"/>
                <w:vAlign w:val="center"/>
              </w:tcPr>
              <w:p w14:paraId="7A272295" w14:textId="77777777" w:rsidR="00E57DAA" w:rsidRDefault="00AC4185">
                <w:pPr>
                  <w:jc w:val="center"/>
                </w:pPr>
                <w:r>
                  <w:rPr>
                    <w:rFonts w:hint="eastAsia"/>
                  </w:rPr>
                  <w:t>项目</w:t>
                </w:r>
              </w:p>
            </w:tc>
          </w:sdtContent>
        </w:sdt>
        <w:sdt>
          <w:sdtPr>
            <w:tag w:val="_PLD_0b9f6f6d89c44029bf1de3ed5f6a4aa0"/>
            <w:id w:val="-504210720"/>
          </w:sdtPr>
          <w:sdtEndPr/>
          <w:sdtContent>
            <w:tc>
              <w:tcPr>
                <w:tcW w:w="2052" w:type="pct"/>
                <w:gridSpan w:val="3"/>
                <w:shd w:val="clear" w:color="auto" w:fill="auto"/>
                <w:vAlign w:val="center"/>
              </w:tcPr>
              <w:p w14:paraId="4A66A783" w14:textId="77777777" w:rsidR="00E57DAA" w:rsidRDefault="00AC4185">
                <w:pPr>
                  <w:jc w:val="center"/>
                </w:pPr>
                <w:r>
                  <w:rPr>
                    <w:rFonts w:hint="eastAsia"/>
                  </w:rPr>
                  <w:t>期末余额</w:t>
                </w:r>
              </w:p>
            </w:tc>
          </w:sdtContent>
        </w:sdt>
        <w:sdt>
          <w:sdtPr>
            <w:tag w:val="_PLD_d1ebeae29ff34029a10a8e0c447a171b"/>
            <w:id w:val="-1636789777"/>
          </w:sdtPr>
          <w:sdtEndPr/>
          <w:sdtContent>
            <w:tc>
              <w:tcPr>
                <w:tcW w:w="1976" w:type="pct"/>
                <w:gridSpan w:val="3"/>
                <w:shd w:val="clear" w:color="auto" w:fill="auto"/>
                <w:vAlign w:val="center"/>
              </w:tcPr>
              <w:p w14:paraId="5F353051" w14:textId="77777777" w:rsidR="00E57DAA" w:rsidRDefault="00AC4185">
                <w:pPr>
                  <w:jc w:val="center"/>
                </w:pPr>
                <w:r>
                  <w:rPr>
                    <w:rFonts w:hint="eastAsia"/>
                  </w:rPr>
                  <w:t>期初余额</w:t>
                </w:r>
              </w:p>
            </w:tc>
          </w:sdtContent>
        </w:sdt>
      </w:tr>
      <w:tr w:rsidR="00E57DAA" w14:paraId="12E7D785" w14:textId="77777777">
        <w:trPr>
          <w:cantSplit/>
        </w:trPr>
        <w:tc>
          <w:tcPr>
            <w:tcW w:w="973" w:type="pct"/>
            <w:vMerge/>
            <w:shd w:val="clear" w:color="auto" w:fill="auto"/>
            <w:vAlign w:val="center"/>
          </w:tcPr>
          <w:p w14:paraId="024F88D0" w14:textId="77777777" w:rsidR="00E57DAA" w:rsidRDefault="00E57DAA">
            <w:pPr>
              <w:jc w:val="center"/>
            </w:pPr>
          </w:p>
        </w:tc>
        <w:sdt>
          <w:sdtPr>
            <w:tag w:val="_PLD_dd00c7deeb1e4ede9c3e40d64760a230"/>
            <w:id w:val="-744181072"/>
          </w:sdtPr>
          <w:sdtEndPr/>
          <w:sdtContent>
            <w:tc>
              <w:tcPr>
                <w:tcW w:w="722" w:type="pct"/>
                <w:shd w:val="clear" w:color="auto" w:fill="auto"/>
                <w:vAlign w:val="center"/>
              </w:tcPr>
              <w:p w14:paraId="40404684" w14:textId="77777777" w:rsidR="00E57DAA" w:rsidRDefault="00AC4185">
                <w:pPr>
                  <w:jc w:val="center"/>
                </w:pPr>
                <w:r>
                  <w:rPr>
                    <w:rFonts w:hint="eastAsia"/>
                  </w:rPr>
                  <w:t>账面余额</w:t>
                </w:r>
              </w:p>
            </w:tc>
          </w:sdtContent>
        </w:sdt>
        <w:sdt>
          <w:sdtPr>
            <w:tag w:val="_PLD_dc4e6ed6511949b7a546924cafae2546"/>
            <w:id w:val="1975329859"/>
          </w:sdtPr>
          <w:sdtEndPr/>
          <w:sdtContent>
            <w:tc>
              <w:tcPr>
                <w:tcW w:w="608" w:type="pct"/>
                <w:shd w:val="clear" w:color="auto" w:fill="auto"/>
                <w:vAlign w:val="center"/>
              </w:tcPr>
              <w:p w14:paraId="7CDDFD35" w14:textId="77777777" w:rsidR="00E57DAA" w:rsidRDefault="00AC4185">
                <w:pPr>
                  <w:jc w:val="center"/>
                </w:pPr>
                <w:r>
                  <w:rPr>
                    <w:rFonts w:hint="eastAsia"/>
                  </w:rPr>
                  <w:t>减值准备</w:t>
                </w:r>
              </w:p>
            </w:tc>
          </w:sdtContent>
        </w:sdt>
        <w:sdt>
          <w:sdtPr>
            <w:tag w:val="_PLD_1d7bbdc4e6144c95a3fcb7369904bea6"/>
            <w:id w:val="1915972197"/>
          </w:sdtPr>
          <w:sdtEndPr/>
          <w:sdtContent>
            <w:tc>
              <w:tcPr>
                <w:tcW w:w="722" w:type="pct"/>
                <w:shd w:val="clear" w:color="auto" w:fill="auto"/>
                <w:vAlign w:val="center"/>
              </w:tcPr>
              <w:p w14:paraId="6B47E77E" w14:textId="77777777" w:rsidR="00E57DAA" w:rsidRDefault="00AC4185">
                <w:pPr>
                  <w:jc w:val="center"/>
                </w:pPr>
                <w:r>
                  <w:rPr>
                    <w:rFonts w:hint="eastAsia"/>
                  </w:rPr>
                  <w:t>账面价值</w:t>
                </w:r>
              </w:p>
            </w:tc>
          </w:sdtContent>
        </w:sdt>
        <w:sdt>
          <w:sdtPr>
            <w:tag w:val="_PLD_bd8a9c944702423e9ff20ddba1c4b3aa"/>
            <w:id w:val="273062999"/>
          </w:sdtPr>
          <w:sdtEndPr/>
          <w:sdtContent>
            <w:tc>
              <w:tcPr>
                <w:tcW w:w="684" w:type="pct"/>
                <w:shd w:val="clear" w:color="auto" w:fill="auto"/>
                <w:vAlign w:val="center"/>
              </w:tcPr>
              <w:p w14:paraId="4088B5C0" w14:textId="77777777" w:rsidR="00E57DAA" w:rsidRDefault="00AC4185">
                <w:pPr>
                  <w:jc w:val="center"/>
                </w:pPr>
                <w:r>
                  <w:rPr>
                    <w:rFonts w:hint="eastAsia"/>
                  </w:rPr>
                  <w:t>账面余额</w:t>
                </w:r>
              </w:p>
            </w:tc>
          </w:sdtContent>
        </w:sdt>
        <w:sdt>
          <w:sdtPr>
            <w:tag w:val="_PLD_708c7153bc9a48c792e109da0ba5f2f8"/>
            <w:id w:val="629758005"/>
          </w:sdtPr>
          <w:sdtEndPr/>
          <w:sdtContent>
            <w:tc>
              <w:tcPr>
                <w:tcW w:w="608" w:type="pct"/>
                <w:shd w:val="clear" w:color="auto" w:fill="auto"/>
                <w:vAlign w:val="center"/>
              </w:tcPr>
              <w:p w14:paraId="57B14CA8" w14:textId="77777777" w:rsidR="00E57DAA" w:rsidRDefault="00AC4185">
                <w:pPr>
                  <w:jc w:val="center"/>
                </w:pPr>
                <w:r>
                  <w:rPr>
                    <w:rFonts w:hint="eastAsia"/>
                  </w:rPr>
                  <w:t>减值准备</w:t>
                </w:r>
              </w:p>
            </w:tc>
          </w:sdtContent>
        </w:sdt>
        <w:sdt>
          <w:sdtPr>
            <w:tag w:val="_PLD_1516e7000a9747a28074e3f321fa96a7"/>
            <w:id w:val="1318458553"/>
          </w:sdtPr>
          <w:sdtEndPr/>
          <w:sdtContent>
            <w:tc>
              <w:tcPr>
                <w:tcW w:w="684" w:type="pct"/>
                <w:shd w:val="clear" w:color="auto" w:fill="auto"/>
                <w:vAlign w:val="center"/>
              </w:tcPr>
              <w:p w14:paraId="47D6B4EE" w14:textId="77777777" w:rsidR="00E57DAA" w:rsidRDefault="00AC4185">
                <w:pPr>
                  <w:jc w:val="center"/>
                </w:pPr>
                <w:r>
                  <w:rPr>
                    <w:rFonts w:hint="eastAsia"/>
                  </w:rPr>
                  <w:t>账面价值</w:t>
                </w:r>
              </w:p>
            </w:tc>
          </w:sdtContent>
        </w:sdt>
      </w:tr>
      <w:tr w:rsidR="00E57DAA" w14:paraId="1EED95EC" w14:textId="77777777">
        <w:trPr>
          <w:cantSplit/>
        </w:trPr>
        <w:tc>
          <w:tcPr>
            <w:tcW w:w="973" w:type="pct"/>
            <w:shd w:val="clear" w:color="auto" w:fill="auto"/>
          </w:tcPr>
          <w:p w14:paraId="6343C09D" w14:textId="77777777" w:rsidR="00E57DAA" w:rsidRDefault="00AC4185" w:rsidP="00C25422">
            <w:pPr>
              <w:pStyle w:val="92"/>
            </w:pPr>
            <w:r>
              <w:rPr>
                <w:rFonts w:hint="eastAsia"/>
              </w:rPr>
              <w:t>对子公司投资</w:t>
            </w:r>
          </w:p>
        </w:tc>
        <w:tc>
          <w:tcPr>
            <w:tcW w:w="722" w:type="pct"/>
            <w:shd w:val="clear" w:color="auto" w:fill="auto"/>
            <w:vAlign w:val="center"/>
          </w:tcPr>
          <w:p w14:paraId="394122D3" w14:textId="77777777" w:rsidR="00E57DAA" w:rsidRDefault="00AC4185">
            <w:pPr>
              <w:jc w:val="right"/>
            </w:pPr>
            <w:r>
              <w:t>12,083,522,151.17</w:t>
            </w:r>
          </w:p>
        </w:tc>
        <w:tc>
          <w:tcPr>
            <w:tcW w:w="608" w:type="pct"/>
            <w:shd w:val="clear" w:color="auto" w:fill="auto"/>
            <w:vAlign w:val="center"/>
          </w:tcPr>
          <w:p w14:paraId="12E1BFB0" w14:textId="77777777" w:rsidR="00E57DAA" w:rsidRDefault="00AC4185">
            <w:pPr>
              <w:jc w:val="right"/>
            </w:pPr>
            <w:r>
              <w:t>666,603,676.23</w:t>
            </w:r>
          </w:p>
        </w:tc>
        <w:tc>
          <w:tcPr>
            <w:tcW w:w="722" w:type="pct"/>
            <w:shd w:val="clear" w:color="auto" w:fill="auto"/>
            <w:vAlign w:val="center"/>
          </w:tcPr>
          <w:p w14:paraId="79837DE7" w14:textId="77777777" w:rsidR="00E57DAA" w:rsidRDefault="00AC4185">
            <w:pPr>
              <w:jc w:val="right"/>
            </w:pPr>
            <w:r>
              <w:t>11,416,918,474.94</w:t>
            </w:r>
          </w:p>
        </w:tc>
        <w:tc>
          <w:tcPr>
            <w:tcW w:w="684" w:type="pct"/>
            <w:shd w:val="clear" w:color="auto" w:fill="auto"/>
            <w:vAlign w:val="center"/>
          </w:tcPr>
          <w:p w14:paraId="4482053F" w14:textId="77777777" w:rsidR="00E57DAA" w:rsidRDefault="00AC4185">
            <w:pPr>
              <w:jc w:val="right"/>
            </w:pPr>
            <w:r>
              <w:t>9,175,081,052.41</w:t>
            </w:r>
          </w:p>
        </w:tc>
        <w:tc>
          <w:tcPr>
            <w:tcW w:w="608" w:type="pct"/>
            <w:shd w:val="clear" w:color="auto" w:fill="auto"/>
            <w:vAlign w:val="center"/>
          </w:tcPr>
          <w:p w14:paraId="4B102551" w14:textId="77777777" w:rsidR="00E57DAA" w:rsidRDefault="00AC4185">
            <w:pPr>
              <w:jc w:val="right"/>
            </w:pPr>
            <w:r>
              <w:t>519,631,150.61</w:t>
            </w:r>
          </w:p>
        </w:tc>
        <w:tc>
          <w:tcPr>
            <w:tcW w:w="684" w:type="pct"/>
            <w:shd w:val="clear" w:color="auto" w:fill="auto"/>
            <w:vAlign w:val="center"/>
          </w:tcPr>
          <w:p w14:paraId="45746FB0" w14:textId="77777777" w:rsidR="00E57DAA" w:rsidRDefault="00AC4185">
            <w:pPr>
              <w:jc w:val="right"/>
            </w:pPr>
            <w:r>
              <w:t>8,655,449,901.80</w:t>
            </w:r>
          </w:p>
        </w:tc>
      </w:tr>
      <w:tr w:rsidR="00E57DAA" w14:paraId="073AB7EE" w14:textId="77777777">
        <w:trPr>
          <w:cantSplit/>
        </w:trPr>
        <w:tc>
          <w:tcPr>
            <w:tcW w:w="973" w:type="pct"/>
            <w:shd w:val="clear" w:color="auto" w:fill="auto"/>
          </w:tcPr>
          <w:p w14:paraId="1B9D3031" w14:textId="77777777" w:rsidR="00E57DAA" w:rsidRDefault="00AC4185" w:rsidP="00C25422">
            <w:pPr>
              <w:pStyle w:val="92"/>
            </w:pPr>
            <w:r>
              <w:rPr>
                <w:rFonts w:hint="eastAsia"/>
              </w:rPr>
              <w:t>对联营、合营企业投资</w:t>
            </w:r>
          </w:p>
        </w:tc>
        <w:tc>
          <w:tcPr>
            <w:tcW w:w="722" w:type="pct"/>
            <w:shd w:val="clear" w:color="auto" w:fill="auto"/>
            <w:vAlign w:val="center"/>
          </w:tcPr>
          <w:p w14:paraId="784E76C7" w14:textId="77777777" w:rsidR="00E57DAA" w:rsidRDefault="00AC4185">
            <w:pPr>
              <w:jc w:val="right"/>
            </w:pPr>
            <w:r>
              <w:t>744,386,377.56</w:t>
            </w:r>
          </w:p>
        </w:tc>
        <w:tc>
          <w:tcPr>
            <w:tcW w:w="608" w:type="pct"/>
            <w:shd w:val="clear" w:color="auto" w:fill="auto"/>
            <w:vAlign w:val="center"/>
          </w:tcPr>
          <w:p w14:paraId="752FAC39" w14:textId="77777777" w:rsidR="00E57DAA" w:rsidRDefault="00E57DAA">
            <w:pPr>
              <w:jc w:val="right"/>
            </w:pPr>
          </w:p>
        </w:tc>
        <w:tc>
          <w:tcPr>
            <w:tcW w:w="722" w:type="pct"/>
            <w:shd w:val="clear" w:color="auto" w:fill="auto"/>
            <w:vAlign w:val="center"/>
          </w:tcPr>
          <w:p w14:paraId="40EEF155" w14:textId="77777777" w:rsidR="00E57DAA" w:rsidRDefault="00AC4185">
            <w:pPr>
              <w:jc w:val="right"/>
            </w:pPr>
            <w:r>
              <w:t>744,386,377.56</w:t>
            </w:r>
          </w:p>
        </w:tc>
        <w:tc>
          <w:tcPr>
            <w:tcW w:w="684" w:type="pct"/>
            <w:shd w:val="clear" w:color="auto" w:fill="auto"/>
            <w:vAlign w:val="center"/>
          </w:tcPr>
          <w:p w14:paraId="29AD0FA4" w14:textId="77777777" w:rsidR="00E57DAA" w:rsidRDefault="00AC4185">
            <w:pPr>
              <w:jc w:val="right"/>
            </w:pPr>
            <w:r>
              <w:t>257,757,497.42</w:t>
            </w:r>
          </w:p>
        </w:tc>
        <w:tc>
          <w:tcPr>
            <w:tcW w:w="608" w:type="pct"/>
            <w:shd w:val="clear" w:color="auto" w:fill="auto"/>
            <w:vAlign w:val="center"/>
          </w:tcPr>
          <w:p w14:paraId="6F3DBE2C" w14:textId="77777777" w:rsidR="00E57DAA" w:rsidRDefault="00E57DAA">
            <w:pPr>
              <w:jc w:val="right"/>
            </w:pPr>
          </w:p>
        </w:tc>
        <w:tc>
          <w:tcPr>
            <w:tcW w:w="684" w:type="pct"/>
            <w:shd w:val="clear" w:color="auto" w:fill="auto"/>
            <w:vAlign w:val="center"/>
          </w:tcPr>
          <w:p w14:paraId="2EB595A5" w14:textId="77777777" w:rsidR="00E57DAA" w:rsidRDefault="00AC4185">
            <w:pPr>
              <w:jc w:val="right"/>
            </w:pPr>
            <w:r>
              <w:t>257,757,497.42</w:t>
            </w:r>
          </w:p>
        </w:tc>
      </w:tr>
      <w:tr w:rsidR="00E57DAA" w14:paraId="49F19683" w14:textId="77777777">
        <w:trPr>
          <w:cantSplit/>
        </w:trPr>
        <w:tc>
          <w:tcPr>
            <w:tcW w:w="973" w:type="pct"/>
            <w:shd w:val="clear" w:color="auto" w:fill="auto"/>
            <w:vAlign w:val="center"/>
          </w:tcPr>
          <w:p w14:paraId="72AEE8E5" w14:textId="77777777" w:rsidR="00E57DAA" w:rsidRDefault="00AC4185">
            <w:pPr>
              <w:jc w:val="center"/>
            </w:pPr>
            <w:r>
              <w:rPr>
                <w:rFonts w:hint="eastAsia"/>
              </w:rPr>
              <w:t>合计</w:t>
            </w:r>
          </w:p>
        </w:tc>
        <w:tc>
          <w:tcPr>
            <w:tcW w:w="722" w:type="pct"/>
            <w:shd w:val="clear" w:color="auto" w:fill="auto"/>
            <w:vAlign w:val="center"/>
          </w:tcPr>
          <w:p w14:paraId="3B298550" w14:textId="77777777" w:rsidR="00E57DAA" w:rsidRDefault="00AC4185">
            <w:pPr>
              <w:jc w:val="right"/>
            </w:pPr>
            <w:r>
              <w:t>12,827,908,528.73</w:t>
            </w:r>
          </w:p>
        </w:tc>
        <w:tc>
          <w:tcPr>
            <w:tcW w:w="608" w:type="pct"/>
            <w:shd w:val="clear" w:color="auto" w:fill="auto"/>
            <w:vAlign w:val="center"/>
          </w:tcPr>
          <w:p w14:paraId="42EC2C19" w14:textId="77777777" w:rsidR="00E57DAA" w:rsidRDefault="00AC4185">
            <w:pPr>
              <w:jc w:val="right"/>
            </w:pPr>
            <w:r>
              <w:t>666,603,676.23</w:t>
            </w:r>
          </w:p>
        </w:tc>
        <w:tc>
          <w:tcPr>
            <w:tcW w:w="722" w:type="pct"/>
            <w:shd w:val="clear" w:color="auto" w:fill="auto"/>
            <w:vAlign w:val="center"/>
          </w:tcPr>
          <w:p w14:paraId="79649358" w14:textId="77777777" w:rsidR="00E57DAA" w:rsidRDefault="00AC4185">
            <w:pPr>
              <w:jc w:val="right"/>
            </w:pPr>
            <w:r>
              <w:t>12,161,304,852.50</w:t>
            </w:r>
          </w:p>
        </w:tc>
        <w:tc>
          <w:tcPr>
            <w:tcW w:w="684" w:type="pct"/>
            <w:shd w:val="clear" w:color="auto" w:fill="auto"/>
            <w:vAlign w:val="center"/>
          </w:tcPr>
          <w:p w14:paraId="22759620" w14:textId="77777777" w:rsidR="00E57DAA" w:rsidRDefault="00AC4185">
            <w:pPr>
              <w:jc w:val="right"/>
            </w:pPr>
            <w:r>
              <w:t>9,432,838,549.83</w:t>
            </w:r>
          </w:p>
        </w:tc>
        <w:tc>
          <w:tcPr>
            <w:tcW w:w="608" w:type="pct"/>
            <w:shd w:val="clear" w:color="auto" w:fill="auto"/>
            <w:vAlign w:val="center"/>
          </w:tcPr>
          <w:p w14:paraId="140D068B" w14:textId="77777777" w:rsidR="00E57DAA" w:rsidRDefault="00AC4185">
            <w:pPr>
              <w:jc w:val="right"/>
            </w:pPr>
            <w:r>
              <w:t>519,631,150.61</w:t>
            </w:r>
          </w:p>
        </w:tc>
        <w:tc>
          <w:tcPr>
            <w:tcW w:w="684" w:type="pct"/>
            <w:shd w:val="clear" w:color="auto" w:fill="auto"/>
            <w:vAlign w:val="center"/>
          </w:tcPr>
          <w:p w14:paraId="52C0CFD2" w14:textId="77777777" w:rsidR="00E57DAA" w:rsidRDefault="00AC4185">
            <w:pPr>
              <w:jc w:val="right"/>
            </w:pPr>
            <w:r>
              <w:t>8,913,207,399.22</w:t>
            </w:r>
          </w:p>
        </w:tc>
      </w:tr>
    </w:tbl>
    <w:p w14:paraId="5427F6A8" w14:textId="77777777" w:rsidR="00E57DAA" w:rsidRDefault="00E57DAA">
      <w:pPr>
        <w:rPr>
          <w:szCs w:val="21"/>
        </w:rPr>
      </w:pPr>
    </w:p>
    <w:p w14:paraId="1C2E676C" w14:textId="77777777" w:rsidR="00E57DAA" w:rsidRDefault="00AC4185">
      <w:pPr>
        <w:pStyle w:val="4"/>
        <w:numPr>
          <w:ilvl w:val="0"/>
          <w:numId w:val="135"/>
        </w:numPr>
      </w:pPr>
      <w:r>
        <w:rPr>
          <w:rFonts w:hint="eastAsia"/>
        </w:rPr>
        <w:t>对子公司投资</w:t>
      </w:r>
    </w:p>
    <w:sdt>
      <w:sdtPr>
        <w:alias w:val="是否适用：母公司对子公司投资[双击切换]"/>
        <w:tag w:val="_GBC_db6ca6099b0a42bca0cbba7ead69557f"/>
        <w:id w:val="1234510918"/>
        <w:placeholder>
          <w:docPart w:val="GBC22222222222222222222222222222"/>
        </w:placeholder>
      </w:sdtPr>
      <w:sdtEndPr/>
      <w:sdtContent>
        <w:p w14:paraId="3B424C49"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75733E" w14:textId="77777777" w:rsidR="00E57DAA" w:rsidRDefault="00AC4185">
      <w:pPr>
        <w:jc w:val="right"/>
        <w:rPr>
          <w:szCs w:val="21"/>
        </w:rPr>
      </w:pPr>
      <w:r>
        <w:rPr>
          <w:rFonts w:hint="eastAsia"/>
          <w:szCs w:val="21"/>
        </w:rPr>
        <w:t>单位：</w:t>
      </w:r>
      <w:sdt>
        <w:sdtPr>
          <w:rPr>
            <w:rFonts w:hint="eastAsia"/>
            <w:szCs w:val="21"/>
          </w:rPr>
          <w:alias w:val="单位：母公司财务附注：对子公司投资"/>
          <w:tag w:val="_GBC_744810ff600d4176af7d45c0bf0b7978"/>
          <w:id w:val="-8485513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6590483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1750"/>
        <w:gridCol w:w="1719"/>
        <w:gridCol w:w="1833"/>
        <w:gridCol w:w="1530"/>
        <w:gridCol w:w="1833"/>
        <w:gridCol w:w="1633"/>
        <w:gridCol w:w="1633"/>
      </w:tblGrid>
      <w:tr w:rsidR="00E57DAA" w14:paraId="05F8AB4B" w14:textId="77777777" w:rsidTr="00AC4185">
        <w:sdt>
          <w:sdtPr>
            <w:rPr>
              <w:sz w:val="20"/>
              <w:szCs w:val="22"/>
            </w:rPr>
            <w:tag w:val="_PLD_43f5c326f4e64acb83b7062be90601f4"/>
            <w:id w:val="-245339101"/>
          </w:sdtPr>
          <w:sdtEndPr/>
          <w:sdtContent>
            <w:tc>
              <w:tcPr>
                <w:tcW w:w="697" w:type="pct"/>
                <w:tcBorders>
                  <w:top w:val="single" w:sz="4" w:space="0" w:color="auto"/>
                  <w:left w:val="single" w:sz="4" w:space="0" w:color="auto"/>
                  <w:bottom w:val="single" w:sz="4" w:space="0" w:color="auto"/>
                  <w:right w:val="single" w:sz="4" w:space="0" w:color="auto"/>
                </w:tcBorders>
                <w:shd w:val="clear" w:color="auto" w:fill="auto"/>
                <w:vAlign w:val="center"/>
              </w:tcPr>
              <w:p w14:paraId="29D312DA" w14:textId="77777777" w:rsidR="00E57DAA" w:rsidRDefault="00AC4185">
                <w:pPr>
                  <w:jc w:val="right"/>
                  <w:rPr>
                    <w:sz w:val="20"/>
                    <w:szCs w:val="22"/>
                  </w:rPr>
                </w:pPr>
                <w:r>
                  <w:rPr>
                    <w:rFonts w:hint="eastAsia"/>
                    <w:sz w:val="20"/>
                    <w:szCs w:val="22"/>
                  </w:rPr>
                  <w:t>被投资单位</w:t>
                </w:r>
              </w:p>
            </w:tc>
          </w:sdtContent>
        </w:sdt>
        <w:tc>
          <w:tcPr>
            <w:tcW w:w="631" w:type="pct"/>
            <w:tcBorders>
              <w:top w:val="single" w:sz="4" w:space="0" w:color="auto"/>
              <w:left w:val="single" w:sz="4" w:space="0" w:color="auto"/>
              <w:bottom w:val="single" w:sz="4" w:space="0" w:color="auto"/>
              <w:right w:val="single" w:sz="4" w:space="0" w:color="auto"/>
            </w:tcBorders>
            <w:shd w:val="clear" w:color="auto" w:fill="auto"/>
            <w:vAlign w:val="center"/>
          </w:tcPr>
          <w:p w14:paraId="2186FC74" w14:textId="77777777" w:rsidR="00E57DAA" w:rsidRDefault="00AC4185">
            <w:pPr>
              <w:jc w:val="right"/>
              <w:rPr>
                <w:sz w:val="20"/>
                <w:szCs w:val="22"/>
              </w:rPr>
            </w:pPr>
            <w:r>
              <w:rPr>
                <w:rFonts w:hint="eastAsia"/>
                <w:sz w:val="20"/>
                <w:szCs w:val="22"/>
              </w:rPr>
              <w:t>初始投资成本</w:t>
            </w:r>
          </w:p>
        </w:tc>
        <w:sdt>
          <w:sdtPr>
            <w:rPr>
              <w:sz w:val="20"/>
              <w:szCs w:val="22"/>
            </w:rPr>
            <w:tag w:val="_PLD_bfc01ff1dea540d68a163c0b4f2658e7"/>
            <w:id w:val="-572660665"/>
          </w:sdtPr>
          <w:sdtEndPr/>
          <w:sdtContent>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14:paraId="528FBE03" w14:textId="77777777" w:rsidR="00E57DAA" w:rsidRDefault="00AC4185">
                <w:pPr>
                  <w:jc w:val="right"/>
                  <w:rPr>
                    <w:sz w:val="20"/>
                    <w:szCs w:val="22"/>
                  </w:rPr>
                </w:pPr>
                <w:r>
                  <w:rPr>
                    <w:rFonts w:hint="eastAsia"/>
                    <w:sz w:val="20"/>
                    <w:szCs w:val="22"/>
                  </w:rPr>
                  <w:t>期初余额</w:t>
                </w:r>
              </w:p>
            </w:tc>
          </w:sdtContent>
        </w:sdt>
        <w:sdt>
          <w:sdtPr>
            <w:rPr>
              <w:sz w:val="20"/>
              <w:szCs w:val="22"/>
            </w:rPr>
            <w:tag w:val="_PLD_2868730cdc514c8c888f9e5fbbf1861b"/>
            <w:id w:val="-181669408"/>
          </w:sdtPr>
          <w:sdtEndPr/>
          <w:sdtConten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6F796B0E" w14:textId="77777777" w:rsidR="00E57DAA" w:rsidRDefault="00AC4185">
                <w:pPr>
                  <w:jc w:val="right"/>
                  <w:rPr>
                    <w:sz w:val="20"/>
                    <w:szCs w:val="22"/>
                  </w:rPr>
                </w:pPr>
                <w:r>
                  <w:rPr>
                    <w:rFonts w:hint="eastAsia"/>
                    <w:sz w:val="20"/>
                    <w:szCs w:val="22"/>
                  </w:rPr>
                  <w:t>本期增加</w:t>
                </w:r>
              </w:p>
            </w:tc>
          </w:sdtContent>
        </w:sdt>
        <w:sdt>
          <w:sdtPr>
            <w:rPr>
              <w:sz w:val="20"/>
              <w:szCs w:val="22"/>
            </w:rPr>
            <w:tag w:val="_PLD_53aab3e541434694890e1daaef86892e"/>
            <w:id w:val="-1960944534"/>
          </w:sdtPr>
          <w:sdtEndPr/>
          <w:sdtContent>
            <w:tc>
              <w:tcPr>
                <w:tcW w:w="552" w:type="pct"/>
                <w:tcBorders>
                  <w:top w:val="single" w:sz="4" w:space="0" w:color="auto"/>
                  <w:left w:val="single" w:sz="4" w:space="0" w:color="auto"/>
                  <w:bottom w:val="single" w:sz="4" w:space="0" w:color="auto"/>
                  <w:right w:val="single" w:sz="4" w:space="0" w:color="auto"/>
                </w:tcBorders>
                <w:shd w:val="clear" w:color="auto" w:fill="auto"/>
                <w:vAlign w:val="center"/>
              </w:tcPr>
              <w:p w14:paraId="200CDC7E" w14:textId="77777777" w:rsidR="00E57DAA" w:rsidRDefault="00AC4185">
                <w:pPr>
                  <w:jc w:val="right"/>
                  <w:rPr>
                    <w:sz w:val="20"/>
                    <w:szCs w:val="22"/>
                  </w:rPr>
                </w:pPr>
                <w:r>
                  <w:rPr>
                    <w:rFonts w:hint="eastAsia"/>
                    <w:sz w:val="20"/>
                    <w:szCs w:val="22"/>
                  </w:rPr>
                  <w:t>本期减少</w:t>
                </w:r>
              </w:p>
            </w:tc>
          </w:sdtContent>
        </w:sdt>
        <w:sdt>
          <w:sdtPr>
            <w:rPr>
              <w:sz w:val="20"/>
              <w:szCs w:val="22"/>
            </w:rPr>
            <w:tag w:val="_PLD_eeaa6cf867964b44953ca6fa9f1417b3"/>
            <w:id w:val="-1307234988"/>
          </w:sdtPr>
          <w:sdtEndPr/>
          <w:sdtContent>
            <w:tc>
              <w:tcPr>
                <w:tcW w:w="661" w:type="pct"/>
                <w:tcBorders>
                  <w:top w:val="single" w:sz="4" w:space="0" w:color="auto"/>
                  <w:left w:val="single" w:sz="4" w:space="0" w:color="auto"/>
                  <w:bottom w:val="single" w:sz="4" w:space="0" w:color="auto"/>
                  <w:right w:val="single" w:sz="4" w:space="0" w:color="auto"/>
                </w:tcBorders>
                <w:shd w:val="clear" w:color="auto" w:fill="auto"/>
                <w:vAlign w:val="center"/>
              </w:tcPr>
              <w:p w14:paraId="28739089" w14:textId="77777777" w:rsidR="00E57DAA" w:rsidRDefault="00AC4185">
                <w:pPr>
                  <w:jc w:val="right"/>
                  <w:rPr>
                    <w:sz w:val="20"/>
                    <w:szCs w:val="22"/>
                  </w:rPr>
                </w:pPr>
                <w:r>
                  <w:rPr>
                    <w:rFonts w:hint="eastAsia"/>
                    <w:sz w:val="20"/>
                    <w:szCs w:val="22"/>
                  </w:rPr>
                  <w:t>期末余额</w:t>
                </w:r>
              </w:p>
            </w:tc>
          </w:sdtContent>
        </w:sdt>
        <w:sdt>
          <w:sdtPr>
            <w:rPr>
              <w:sz w:val="20"/>
              <w:szCs w:val="22"/>
            </w:rPr>
            <w:tag w:val="_PLD_4365562ff41a4c1fbb543509a4ea61f6"/>
            <w:id w:val="877434539"/>
          </w:sdtPr>
          <w:sdtEndPr/>
          <w:sdtContent>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14:paraId="747CAB89" w14:textId="77777777" w:rsidR="00E57DAA" w:rsidRDefault="00AC4185">
                <w:pPr>
                  <w:jc w:val="right"/>
                  <w:rPr>
                    <w:sz w:val="20"/>
                    <w:szCs w:val="22"/>
                  </w:rPr>
                </w:pPr>
                <w:r>
                  <w:rPr>
                    <w:rFonts w:hint="eastAsia"/>
                    <w:sz w:val="20"/>
                    <w:szCs w:val="22"/>
                  </w:rPr>
                  <w:t>本期计提减值准备</w:t>
                </w:r>
              </w:p>
            </w:tc>
          </w:sdtContent>
        </w:sdt>
        <w:sdt>
          <w:sdtPr>
            <w:rPr>
              <w:sz w:val="20"/>
              <w:szCs w:val="22"/>
            </w:rPr>
            <w:tag w:val="_PLD_1d05d35b40794516842b0264b05f0a95"/>
            <w:id w:val="-1876456909"/>
          </w:sdtPr>
          <w:sdtEndPr/>
          <w:sdtContent>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14:paraId="6DCDA9D1" w14:textId="77777777" w:rsidR="00E57DAA" w:rsidRDefault="00AC4185">
                <w:pPr>
                  <w:jc w:val="right"/>
                  <w:rPr>
                    <w:sz w:val="20"/>
                    <w:szCs w:val="22"/>
                  </w:rPr>
                </w:pPr>
                <w:r>
                  <w:rPr>
                    <w:rFonts w:hint="eastAsia"/>
                    <w:sz w:val="20"/>
                    <w:szCs w:val="22"/>
                  </w:rPr>
                  <w:t>减值准备期末余额</w:t>
                </w:r>
              </w:p>
            </w:tc>
          </w:sdtContent>
        </w:sdt>
      </w:tr>
      <w:tr w:rsidR="00E57DAA" w14:paraId="4C2B0A79"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2FD0132B" w14:textId="77777777" w:rsidR="00E57DAA" w:rsidRDefault="00AC4185">
            <w:pPr>
              <w:jc w:val="both"/>
              <w:rPr>
                <w:sz w:val="20"/>
                <w:szCs w:val="22"/>
              </w:rPr>
            </w:pPr>
            <w:r>
              <w:rPr>
                <w:sz w:val="20"/>
                <w:szCs w:val="22"/>
              </w:rPr>
              <w:t>中国中材海外科技发展有限公司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5C7C37EE" w14:textId="77777777" w:rsidR="00E57DAA" w:rsidRPr="00AC4185" w:rsidRDefault="00AC4185">
            <w:pPr>
              <w:jc w:val="right"/>
              <w:rPr>
                <w:sz w:val="18"/>
                <w:szCs w:val="18"/>
              </w:rPr>
            </w:pPr>
            <w:r w:rsidRPr="00AC4185">
              <w:rPr>
                <w:sz w:val="18"/>
                <w:szCs w:val="18"/>
              </w:rPr>
              <w:t>883,636,495.72</w:t>
            </w:r>
          </w:p>
        </w:tc>
        <w:tc>
          <w:tcPr>
            <w:tcW w:w="620" w:type="pct"/>
            <w:tcBorders>
              <w:top w:val="single" w:sz="4" w:space="0" w:color="auto"/>
              <w:left w:val="single" w:sz="4" w:space="0" w:color="auto"/>
              <w:bottom w:val="single" w:sz="4" w:space="0" w:color="auto"/>
              <w:right w:val="single" w:sz="4" w:space="0" w:color="auto"/>
            </w:tcBorders>
            <w:vAlign w:val="center"/>
          </w:tcPr>
          <w:p w14:paraId="247A811A" w14:textId="77777777" w:rsidR="00E57DAA" w:rsidRPr="00AC4185" w:rsidRDefault="00AC4185">
            <w:pPr>
              <w:jc w:val="right"/>
              <w:rPr>
                <w:sz w:val="18"/>
                <w:szCs w:val="18"/>
              </w:rPr>
            </w:pPr>
            <w:r w:rsidRPr="00AC4185">
              <w:rPr>
                <w:sz w:val="18"/>
                <w:szCs w:val="18"/>
              </w:rPr>
              <w:t>885,726,295.72</w:t>
            </w:r>
          </w:p>
        </w:tc>
        <w:tc>
          <w:tcPr>
            <w:tcW w:w="661" w:type="pct"/>
            <w:tcBorders>
              <w:top w:val="single" w:sz="4" w:space="0" w:color="auto"/>
              <w:left w:val="single" w:sz="4" w:space="0" w:color="auto"/>
              <w:bottom w:val="single" w:sz="4" w:space="0" w:color="auto"/>
              <w:right w:val="single" w:sz="4" w:space="0" w:color="auto"/>
            </w:tcBorders>
            <w:vAlign w:val="center"/>
          </w:tcPr>
          <w:p w14:paraId="0AB77B8B" w14:textId="77777777" w:rsidR="00E57DAA" w:rsidRPr="00AC4185" w:rsidRDefault="00AC4185">
            <w:pPr>
              <w:jc w:val="right"/>
              <w:rPr>
                <w:sz w:val="18"/>
                <w:szCs w:val="18"/>
              </w:rPr>
            </w:pPr>
            <w:r w:rsidRPr="00AC4185">
              <w:rPr>
                <w:sz w:val="18"/>
                <w:szCs w:val="18"/>
              </w:rPr>
              <w:t>2,786,400.00</w:t>
            </w:r>
          </w:p>
        </w:tc>
        <w:tc>
          <w:tcPr>
            <w:tcW w:w="552" w:type="pct"/>
            <w:tcBorders>
              <w:top w:val="single" w:sz="4" w:space="0" w:color="auto"/>
              <w:left w:val="single" w:sz="4" w:space="0" w:color="auto"/>
              <w:bottom w:val="single" w:sz="4" w:space="0" w:color="auto"/>
              <w:right w:val="single" w:sz="4" w:space="0" w:color="auto"/>
            </w:tcBorders>
            <w:vAlign w:val="center"/>
          </w:tcPr>
          <w:p w14:paraId="3C0B46B5"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17A464F9" w14:textId="77777777" w:rsidR="00E57DAA" w:rsidRPr="00AC4185" w:rsidRDefault="00AC4185">
            <w:pPr>
              <w:jc w:val="right"/>
              <w:rPr>
                <w:sz w:val="18"/>
                <w:szCs w:val="18"/>
              </w:rPr>
            </w:pPr>
            <w:r w:rsidRPr="00AC4185">
              <w:rPr>
                <w:sz w:val="18"/>
                <w:szCs w:val="18"/>
              </w:rPr>
              <w:t>888,512,695.72</w:t>
            </w:r>
          </w:p>
        </w:tc>
        <w:tc>
          <w:tcPr>
            <w:tcW w:w="589" w:type="pct"/>
            <w:tcBorders>
              <w:top w:val="single" w:sz="4" w:space="0" w:color="auto"/>
              <w:left w:val="single" w:sz="4" w:space="0" w:color="auto"/>
              <w:bottom w:val="single" w:sz="4" w:space="0" w:color="auto"/>
              <w:right w:val="single" w:sz="4" w:space="0" w:color="auto"/>
            </w:tcBorders>
            <w:vAlign w:val="center"/>
          </w:tcPr>
          <w:p w14:paraId="18C2686B"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752CA10B" w14:textId="77777777" w:rsidR="00E57DAA" w:rsidRPr="00AC4185" w:rsidRDefault="00AC4185">
            <w:pPr>
              <w:jc w:val="right"/>
              <w:rPr>
                <w:sz w:val="18"/>
                <w:szCs w:val="18"/>
              </w:rPr>
            </w:pPr>
            <w:r w:rsidRPr="00AC4185">
              <w:rPr>
                <w:sz w:val="18"/>
                <w:szCs w:val="18"/>
              </w:rPr>
              <w:t>88,981,928.49</w:t>
            </w:r>
          </w:p>
        </w:tc>
      </w:tr>
      <w:tr w:rsidR="00E57DAA" w14:paraId="1F8D1D7E"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2A3D97F4" w14:textId="77777777" w:rsidR="00E57DAA" w:rsidRDefault="00AC4185">
            <w:pPr>
              <w:jc w:val="both"/>
              <w:rPr>
                <w:sz w:val="20"/>
                <w:szCs w:val="22"/>
              </w:rPr>
            </w:pPr>
            <w:r>
              <w:rPr>
                <w:sz w:val="20"/>
                <w:szCs w:val="22"/>
              </w:rPr>
              <w:t>中国中材国际（香港）有限公司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17FB36DF" w14:textId="77777777" w:rsidR="00E57DAA" w:rsidRPr="00AC4185" w:rsidRDefault="00AC4185">
            <w:pPr>
              <w:jc w:val="right"/>
              <w:rPr>
                <w:sz w:val="18"/>
                <w:szCs w:val="18"/>
              </w:rPr>
            </w:pPr>
            <w:r w:rsidRPr="00AC4185">
              <w:rPr>
                <w:sz w:val="18"/>
                <w:szCs w:val="18"/>
              </w:rPr>
              <w:t>158,052,342.00</w:t>
            </w:r>
          </w:p>
        </w:tc>
        <w:tc>
          <w:tcPr>
            <w:tcW w:w="620" w:type="pct"/>
            <w:tcBorders>
              <w:top w:val="single" w:sz="4" w:space="0" w:color="auto"/>
              <w:left w:val="single" w:sz="4" w:space="0" w:color="auto"/>
              <w:bottom w:val="single" w:sz="4" w:space="0" w:color="auto"/>
              <w:right w:val="single" w:sz="4" w:space="0" w:color="auto"/>
            </w:tcBorders>
            <w:vAlign w:val="center"/>
          </w:tcPr>
          <w:p w14:paraId="1B74CA94" w14:textId="77777777" w:rsidR="00E57DAA" w:rsidRPr="00AC4185" w:rsidRDefault="00AC4185">
            <w:pPr>
              <w:jc w:val="right"/>
              <w:rPr>
                <w:sz w:val="18"/>
                <w:szCs w:val="18"/>
              </w:rPr>
            </w:pPr>
            <w:r w:rsidRPr="00AC4185">
              <w:rPr>
                <w:sz w:val="18"/>
                <w:szCs w:val="18"/>
              </w:rPr>
              <w:t>158,052,342.00</w:t>
            </w:r>
          </w:p>
        </w:tc>
        <w:tc>
          <w:tcPr>
            <w:tcW w:w="661" w:type="pct"/>
            <w:tcBorders>
              <w:top w:val="single" w:sz="4" w:space="0" w:color="auto"/>
              <w:left w:val="single" w:sz="4" w:space="0" w:color="auto"/>
              <w:bottom w:val="single" w:sz="4" w:space="0" w:color="auto"/>
              <w:right w:val="single" w:sz="4" w:space="0" w:color="auto"/>
            </w:tcBorders>
            <w:vAlign w:val="center"/>
          </w:tcPr>
          <w:p w14:paraId="6A8C40C4"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219D9777"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35C8782A" w14:textId="77777777" w:rsidR="00E57DAA" w:rsidRPr="00AC4185" w:rsidRDefault="00AC4185">
            <w:pPr>
              <w:jc w:val="right"/>
              <w:rPr>
                <w:sz w:val="18"/>
                <w:szCs w:val="18"/>
              </w:rPr>
            </w:pPr>
            <w:r w:rsidRPr="00AC4185">
              <w:rPr>
                <w:sz w:val="18"/>
                <w:szCs w:val="18"/>
              </w:rPr>
              <w:t>158,052,342.00</w:t>
            </w:r>
          </w:p>
        </w:tc>
        <w:tc>
          <w:tcPr>
            <w:tcW w:w="589" w:type="pct"/>
            <w:tcBorders>
              <w:top w:val="single" w:sz="4" w:space="0" w:color="auto"/>
              <w:left w:val="single" w:sz="4" w:space="0" w:color="auto"/>
              <w:bottom w:val="single" w:sz="4" w:space="0" w:color="auto"/>
              <w:right w:val="single" w:sz="4" w:space="0" w:color="auto"/>
            </w:tcBorders>
            <w:vAlign w:val="center"/>
          </w:tcPr>
          <w:p w14:paraId="66B6A51E"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07E96324" w14:textId="77777777" w:rsidR="00E57DAA" w:rsidRPr="00AC4185" w:rsidRDefault="00AC4185">
            <w:pPr>
              <w:jc w:val="right"/>
              <w:rPr>
                <w:sz w:val="18"/>
                <w:szCs w:val="18"/>
              </w:rPr>
            </w:pPr>
            <w:r w:rsidRPr="00AC4185">
              <w:rPr>
                <w:sz w:val="18"/>
                <w:szCs w:val="18"/>
              </w:rPr>
              <w:t> </w:t>
            </w:r>
          </w:p>
        </w:tc>
      </w:tr>
      <w:tr w:rsidR="00E57DAA" w14:paraId="5887CD70"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03B13435" w14:textId="77777777" w:rsidR="00E57DAA" w:rsidRDefault="00AC4185">
            <w:pPr>
              <w:jc w:val="both"/>
              <w:rPr>
                <w:sz w:val="20"/>
                <w:szCs w:val="22"/>
              </w:rPr>
            </w:pPr>
            <w:r>
              <w:rPr>
                <w:sz w:val="20"/>
                <w:szCs w:val="22"/>
              </w:rPr>
              <w:t>苏州中材建设有限公司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402C8908" w14:textId="77777777" w:rsidR="00E57DAA" w:rsidRPr="00AC4185" w:rsidRDefault="00AC4185">
            <w:pPr>
              <w:jc w:val="right"/>
              <w:rPr>
                <w:sz w:val="18"/>
                <w:szCs w:val="18"/>
              </w:rPr>
            </w:pPr>
            <w:r w:rsidRPr="00AC4185">
              <w:rPr>
                <w:sz w:val="18"/>
                <w:szCs w:val="18"/>
              </w:rPr>
              <w:t>87,865,418.05</w:t>
            </w:r>
          </w:p>
        </w:tc>
        <w:tc>
          <w:tcPr>
            <w:tcW w:w="620" w:type="pct"/>
            <w:tcBorders>
              <w:top w:val="single" w:sz="4" w:space="0" w:color="auto"/>
              <w:left w:val="single" w:sz="4" w:space="0" w:color="auto"/>
              <w:bottom w:val="single" w:sz="4" w:space="0" w:color="auto"/>
              <w:right w:val="single" w:sz="4" w:space="0" w:color="auto"/>
            </w:tcBorders>
            <w:vAlign w:val="center"/>
          </w:tcPr>
          <w:p w14:paraId="0791BF18" w14:textId="77777777" w:rsidR="00E57DAA" w:rsidRPr="00AC4185" w:rsidRDefault="00AC4185">
            <w:pPr>
              <w:jc w:val="right"/>
              <w:rPr>
                <w:sz w:val="18"/>
                <w:szCs w:val="18"/>
              </w:rPr>
            </w:pPr>
            <w:r w:rsidRPr="00AC4185">
              <w:rPr>
                <w:sz w:val="18"/>
                <w:szCs w:val="18"/>
              </w:rPr>
              <w:t>91,263,838.75</w:t>
            </w:r>
          </w:p>
        </w:tc>
        <w:tc>
          <w:tcPr>
            <w:tcW w:w="661" w:type="pct"/>
            <w:tcBorders>
              <w:top w:val="single" w:sz="4" w:space="0" w:color="auto"/>
              <w:left w:val="single" w:sz="4" w:space="0" w:color="auto"/>
              <w:bottom w:val="single" w:sz="4" w:space="0" w:color="auto"/>
              <w:right w:val="single" w:sz="4" w:space="0" w:color="auto"/>
            </w:tcBorders>
            <w:vAlign w:val="center"/>
          </w:tcPr>
          <w:p w14:paraId="7D5C9E42" w14:textId="77777777" w:rsidR="00E57DAA" w:rsidRPr="00AC4185" w:rsidRDefault="00AC4185">
            <w:pPr>
              <w:jc w:val="right"/>
              <w:rPr>
                <w:sz w:val="18"/>
                <w:szCs w:val="18"/>
              </w:rPr>
            </w:pPr>
            <w:r w:rsidRPr="00AC4185">
              <w:rPr>
                <w:sz w:val="18"/>
                <w:szCs w:val="18"/>
              </w:rPr>
              <w:t>5,169,758.95</w:t>
            </w:r>
          </w:p>
        </w:tc>
        <w:tc>
          <w:tcPr>
            <w:tcW w:w="552" w:type="pct"/>
            <w:tcBorders>
              <w:top w:val="single" w:sz="4" w:space="0" w:color="auto"/>
              <w:left w:val="single" w:sz="4" w:space="0" w:color="auto"/>
              <w:bottom w:val="single" w:sz="4" w:space="0" w:color="auto"/>
              <w:right w:val="single" w:sz="4" w:space="0" w:color="auto"/>
            </w:tcBorders>
            <w:vAlign w:val="center"/>
          </w:tcPr>
          <w:p w14:paraId="65304010"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71689D8" w14:textId="77777777" w:rsidR="00E57DAA" w:rsidRPr="00AC4185" w:rsidRDefault="00AC4185">
            <w:pPr>
              <w:jc w:val="right"/>
              <w:rPr>
                <w:sz w:val="18"/>
                <w:szCs w:val="18"/>
              </w:rPr>
            </w:pPr>
            <w:r w:rsidRPr="00AC4185">
              <w:rPr>
                <w:sz w:val="18"/>
                <w:szCs w:val="18"/>
              </w:rPr>
              <w:t>96,433,597.70</w:t>
            </w:r>
          </w:p>
        </w:tc>
        <w:tc>
          <w:tcPr>
            <w:tcW w:w="589" w:type="pct"/>
            <w:tcBorders>
              <w:top w:val="single" w:sz="4" w:space="0" w:color="auto"/>
              <w:left w:val="single" w:sz="4" w:space="0" w:color="auto"/>
              <w:bottom w:val="single" w:sz="4" w:space="0" w:color="auto"/>
              <w:right w:val="single" w:sz="4" w:space="0" w:color="auto"/>
            </w:tcBorders>
            <w:vAlign w:val="center"/>
          </w:tcPr>
          <w:p w14:paraId="06B2E9C1"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18BE5321" w14:textId="77777777" w:rsidR="00E57DAA" w:rsidRPr="00AC4185" w:rsidRDefault="00AC4185">
            <w:pPr>
              <w:jc w:val="right"/>
              <w:rPr>
                <w:sz w:val="18"/>
                <w:szCs w:val="18"/>
              </w:rPr>
            </w:pPr>
            <w:r w:rsidRPr="00AC4185">
              <w:rPr>
                <w:sz w:val="18"/>
                <w:szCs w:val="18"/>
              </w:rPr>
              <w:t> </w:t>
            </w:r>
          </w:p>
        </w:tc>
      </w:tr>
      <w:tr w:rsidR="00E57DAA" w14:paraId="00C843E2"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6CE12138" w14:textId="77777777" w:rsidR="00E57DAA" w:rsidRDefault="00AC4185">
            <w:pPr>
              <w:jc w:val="both"/>
              <w:rPr>
                <w:sz w:val="20"/>
                <w:szCs w:val="22"/>
              </w:rPr>
            </w:pPr>
            <w:r>
              <w:rPr>
                <w:sz w:val="20"/>
                <w:szCs w:val="22"/>
              </w:rPr>
              <w:t>中材（天津）控制工程有限公司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13C451E4" w14:textId="77777777" w:rsidR="00E57DAA" w:rsidRPr="00AC4185" w:rsidRDefault="00AC4185">
            <w:pPr>
              <w:jc w:val="right"/>
              <w:rPr>
                <w:sz w:val="18"/>
                <w:szCs w:val="18"/>
              </w:rPr>
            </w:pPr>
            <w:r w:rsidRPr="00AC4185">
              <w:rPr>
                <w:sz w:val="18"/>
                <w:szCs w:val="18"/>
              </w:rPr>
              <w:t>6,324,000.00</w:t>
            </w:r>
          </w:p>
        </w:tc>
        <w:tc>
          <w:tcPr>
            <w:tcW w:w="620" w:type="pct"/>
            <w:tcBorders>
              <w:top w:val="single" w:sz="4" w:space="0" w:color="auto"/>
              <w:left w:val="single" w:sz="4" w:space="0" w:color="auto"/>
              <w:bottom w:val="single" w:sz="4" w:space="0" w:color="auto"/>
              <w:right w:val="single" w:sz="4" w:space="0" w:color="auto"/>
            </w:tcBorders>
            <w:vAlign w:val="center"/>
          </w:tcPr>
          <w:p w14:paraId="6D8644B5" w14:textId="77777777" w:rsidR="00E57DAA" w:rsidRPr="00AC4185" w:rsidRDefault="00AC4185">
            <w:pPr>
              <w:jc w:val="right"/>
              <w:rPr>
                <w:sz w:val="18"/>
                <w:szCs w:val="18"/>
              </w:rPr>
            </w:pPr>
            <w:r w:rsidRPr="00AC4185">
              <w:rPr>
                <w:sz w:val="18"/>
                <w:szCs w:val="18"/>
              </w:rPr>
              <w:t>6,324,000.00</w:t>
            </w:r>
          </w:p>
        </w:tc>
        <w:tc>
          <w:tcPr>
            <w:tcW w:w="661" w:type="pct"/>
            <w:tcBorders>
              <w:top w:val="single" w:sz="4" w:space="0" w:color="auto"/>
              <w:left w:val="single" w:sz="4" w:space="0" w:color="auto"/>
              <w:bottom w:val="single" w:sz="4" w:space="0" w:color="auto"/>
              <w:right w:val="single" w:sz="4" w:space="0" w:color="auto"/>
            </w:tcBorders>
            <w:vAlign w:val="center"/>
          </w:tcPr>
          <w:p w14:paraId="5306CC63"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46DBDCE3"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BB5D205" w14:textId="77777777" w:rsidR="00E57DAA" w:rsidRPr="00AC4185" w:rsidRDefault="00AC4185">
            <w:pPr>
              <w:jc w:val="right"/>
              <w:rPr>
                <w:sz w:val="18"/>
                <w:szCs w:val="18"/>
              </w:rPr>
            </w:pPr>
            <w:r w:rsidRPr="00AC4185">
              <w:rPr>
                <w:sz w:val="18"/>
                <w:szCs w:val="18"/>
              </w:rPr>
              <w:t>6,324,000.00</w:t>
            </w:r>
          </w:p>
        </w:tc>
        <w:tc>
          <w:tcPr>
            <w:tcW w:w="589" w:type="pct"/>
            <w:tcBorders>
              <w:top w:val="single" w:sz="4" w:space="0" w:color="auto"/>
              <w:left w:val="single" w:sz="4" w:space="0" w:color="auto"/>
              <w:bottom w:val="single" w:sz="4" w:space="0" w:color="auto"/>
              <w:right w:val="single" w:sz="4" w:space="0" w:color="auto"/>
            </w:tcBorders>
            <w:vAlign w:val="center"/>
          </w:tcPr>
          <w:p w14:paraId="0946F6B1"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027294EF" w14:textId="77777777" w:rsidR="00E57DAA" w:rsidRPr="00AC4185" w:rsidRDefault="00AC4185">
            <w:pPr>
              <w:jc w:val="right"/>
              <w:rPr>
                <w:sz w:val="18"/>
                <w:szCs w:val="18"/>
              </w:rPr>
            </w:pPr>
            <w:r w:rsidRPr="00AC4185">
              <w:rPr>
                <w:sz w:val="18"/>
                <w:szCs w:val="18"/>
              </w:rPr>
              <w:t> </w:t>
            </w:r>
          </w:p>
        </w:tc>
      </w:tr>
      <w:tr w:rsidR="00E57DAA" w14:paraId="5BD3F4BA"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1DE0EB48" w14:textId="77777777" w:rsidR="00E57DAA" w:rsidRDefault="00AC4185">
            <w:pPr>
              <w:jc w:val="both"/>
              <w:rPr>
                <w:sz w:val="20"/>
                <w:szCs w:val="22"/>
              </w:rPr>
            </w:pPr>
            <w:r>
              <w:rPr>
                <w:sz w:val="20"/>
                <w:szCs w:val="22"/>
              </w:rPr>
              <w:t>中材（天津）粉体技术装备有限公司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58AED9C7" w14:textId="77777777" w:rsidR="00E57DAA" w:rsidRPr="00AC4185" w:rsidRDefault="00AC4185">
            <w:pPr>
              <w:jc w:val="right"/>
              <w:rPr>
                <w:sz w:val="18"/>
                <w:szCs w:val="18"/>
              </w:rPr>
            </w:pPr>
            <w:r w:rsidRPr="00AC4185">
              <w:rPr>
                <w:sz w:val="18"/>
                <w:szCs w:val="18"/>
              </w:rPr>
              <w:t>50,627,100.00</w:t>
            </w:r>
          </w:p>
        </w:tc>
        <w:tc>
          <w:tcPr>
            <w:tcW w:w="620" w:type="pct"/>
            <w:tcBorders>
              <w:top w:val="single" w:sz="4" w:space="0" w:color="auto"/>
              <w:left w:val="single" w:sz="4" w:space="0" w:color="auto"/>
              <w:bottom w:val="single" w:sz="4" w:space="0" w:color="auto"/>
              <w:right w:val="single" w:sz="4" w:space="0" w:color="auto"/>
            </w:tcBorders>
            <w:vAlign w:val="center"/>
          </w:tcPr>
          <w:p w14:paraId="46E58FEE" w14:textId="77777777" w:rsidR="00E57DAA" w:rsidRPr="00AC4185" w:rsidRDefault="00AC4185">
            <w:pPr>
              <w:jc w:val="right"/>
              <w:rPr>
                <w:sz w:val="18"/>
                <w:szCs w:val="18"/>
              </w:rPr>
            </w:pPr>
            <w:r w:rsidRPr="00AC4185">
              <w:rPr>
                <w:sz w:val="18"/>
                <w:szCs w:val="18"/>
              </w:rPr>
              <w:t>50,627,100.00</w:t>
            </w:r>
          </w:p>
        </w:tc>
        <w:tc>
          <w:tcPr>
            <w:tcW w:w="661" w:type="pct"/>
            <w:tcBorders>
              <w:top w:val="single" w:sz="4" w:space="0" w:color="auto"/>
              <w:left w:val="single" w:sz="4" w:space="0" w:color="auto"/>
              <w:bottom w:val="single" w:sz="4" w:space="0" w:color="auto"/>
              <w:right w:val="single" w:sz="4" w:space="0" w:color="auto"/>
            </w:tcBorders>
            <w:vAlign w:val="center"/>
          </w:tcPr>
          <w:p w14:paraId="6FCF7D84"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060F2BEA"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F146656" w14:textId="77777777" w:rsidR="00E57DAA" w:rsidRPr="00AC4185" w:rsidRDefault="00AC4185">
            <w:pPr>
              <w:jc w:val="right"/>
              <w:rPr>
                <w:sz w:val="18"/>
                <w:szCs w:val="18"/>
              </w:rPr>
            </w:pPr>
            <w:r w:rsidRPr="00AC4185">
              <w:rPr>
                <w:sz w:val="18"/>
                <w:szCs w:val="18"/>
              </w:rPr>
              <w:t>50,627,100.00</w:t>
            </w:r>
          </w:p>
        </w:tc>
        <w:tc>
          <w:tcPr>
            <w:tcW w:w="589" w:type="pct"/>
            <w:tcBorders>
              <w:top w:val="single" w:sz="4" w:space="0" w:color="auto"/>
              <w:left w:val="single" w:sz="4" w:space="0" w:color="auto"/>
              <w:bottom w:val="single" w:sz="4" w:space="0" w:color="auto"/>
              <w:right w:val="single" w:sz="4" w:space="0" w:color="auto"/>
            </w:tcBorders>
            <w:vAlign w:val="center"/>
          </w:tcPr>
          <w:p w14:paraId="1CA698CF"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3E40ED14" w14:textId="77777777" w:rsidR="00E57DAA" w:rsidRPr="00AC4185" w:rsidRDefault="00AC4185">
            <w:pPr>
              <w:jc w:val="right"/>
              <w:rPr>
                <w:sz w:val="18"/>
                <w:szCs w:val="18"/>
              </w:rPr>
            </w:pPr>
            <w:r w:rsidRPr="00AC4185">
              <w:rPr>
                <w:sz w:val="18"/>
                <w:szCs w:val="18"/>
              </w:rPr>
              <w:t> </w:t>
            </w:r>
          </w:p>
        </w:tc>
      </w:tr>
      <w:tr w:rsidR="00E57DAA" w14:paraId="4F16171B"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6D6062F4" w14:textId="77777777" w:rsidR="00E57DAA" w:rsidRDefault="00AC4185">
            <w:pPr>
              <w:jc w:val="both"/>
              <w:rPr>
                <w:sz w:val="20"/>
                <w:szCs w:val="22"/>
              </w:rPr>
            </w:pPr>
            <w:r>
              <w:rPr>
                <w:sz w:val="20"/>
                <w:szCs w:val="22"/>
              </w:rPr>
              <w:t>中材机电备件有限公司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25C10D40" w14:textId="77777777" w:rsidR="00E57DAA" w:rsidRPr="00AC4185" w:rsidRDefault="00AC4185">
            <w:pPr>
              <w:jc w:val="right"/>
              <w:rPr>
                <w:sz w:val="18"/>
                <w:szCs w:val="18"/>
              </w:rPr>
            </w:pPr>
            <w:r w:rsidRPr="00AC4185">
              <w:rPr>
                <w:sz w:val="18"/>
                <w:szCs w:val="18"/>
              </w:rPr>
              <w:t>8,199,500.00</w:t>
            </w:r>
          </w:p>
        </w:tc>
        <w:tc>
          <w:tcPr>
            <w:tcW w:w="620" w:type="pct"/>
            <w:tcBorders>
              <w:top w:val="single" w:sz="4" w:space="0" w:color="auto"/>
              <w:left w:val="single" w:sz="4" w:space="0" w:color="auto"/>
              <w:bottom w:val="single" w:sz="4" w:space="0" w:color="auto"/>
              <w:right w:val="single" w:sz="4" w:space="0" w:color="auto"/>
            </w:tcBorders>
            <w:vAlign w:val="center"/>
          </w:tcPr>
          <w:p w14:paraId="7A260539" w14:textId="77777777" w:rsidR="00E57DAA" w:rsidRPr="00AC4185" w:rsidRDefault="00AC4185">
            <w:pPr>
              <w:jc w:val="right"/>
              <w:rPr>
                <w:sz w:val="18"/>
                <w:szCs w:val="18"/>
              </w:rPr>
            </w:pPr>
            <w:r w:rsidRPr="00AC4185">
              <w:rPr>
                <w:sz w:val="18"/>
                <w:szCs w:val="18"/>
              </w:rPr>
              <w:t>8,199,500.00</w:t>
            </w:r>
          </w:p>
        </w:tc>
        <w:tc>
          <w:tcPr>
            <w:tcW w:w="661" w:type="pct"/>
            <w:tcBorders>
              <w:top w:val="single" w:sz="4" w:space="0" w:color="auto"/>
              <w:left w:val="single" w:sz="4" w:space="0" w:color="auto"/>
              <w:bottom w:val="single" w:sz="4" w:space="0" w:color="auto"/>
              <w:right w:val="single" w:sz="4" w:space="0" w:color="auto"/>
            </w:tcBorders>
            <w:vAlign w:val="center"/>
          </w:tcPr>
          <w:p w14:paraId="1FA345A8"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55B411E0"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81EA207" w14:textId="77777777" w:rsidR="00E57DAA" w:rsidRPr="00AC4185" w:rsidRDefault="00AC4185">
            <w:pPr>
              <w:jc w:val="right"/>
              <w:rPr>
                <w:sz w:val="18"/>
                <w:szCs w:val="18"/>
              </w:rPr>
            </w:pPr>
            <w:r w:rsidRPr="00AC4185">
              <w:rPr>
                <w:sz w:val="18"/>
                <w:szCs w:val="18"/>
              </w:rPr>
              <w:t>8,199,500.00</w:t>
            </w:r>
          </w:p>
        </w:tc>
        <w:tc>
          <w:tcPr>
            <w:tcW w:w="589" w:type="pct"/>
            <w:tcBorders>
              <w:top w:val="single" w:sz="4" w:space="0" w:color="auto"/>
              <w:left w:val="single" w:sz="4" w:space="0" w:color="auto"/>
              <w:bottom w:val="single" w:sz="4" w:space="0" w:color="auto"/>
              <w:right w:val="single" w:sz="4" w:space="0" w:color="auto"/>
            </w:tcBorders>
            <w:vAlign w:val="center"/>
          </w:tcPr>
          <w:p w14:paraId="4A3AD6B6"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4E4BDACF" w14:textId="77777777" w:rsidR="00E57DAA" w:rsidRPr="00AC4185" w:rsidRDefault="00AC4185">
            <w:pPr>
              <w:jc w:val="right"/>
              <w:rPr>
                <w:sz w:val="18"/>
                <w:szCs w:val="18"/>
              </w:rPr>
            </w:pPr>
            <w:r w:rsidRPr="00AC4185">
              <w:rPr>
                <w:sz w:val="18"/>
                <w:szCs w:val="18"/>
              </w:rPr>
              <w:t> </w:t>
            </w:r>
          </w:p>
        </w:tc>
      </w:tr>
      <w:tr w:rsidR="00E57DAA" w14:paraId="7B7C4910"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1D8153D5" w14:textId="77777777" w:rsidR="00E57DAA" w:rsidRDefault="00AC4185">
            <w:pPr>
              <w:jc w:val="both"/>
              <w:rPr>
                <w:sz w:val="20"/>
                <w:szCs w:val="22"/>
              </w:rPr>
            </w:pPr>
            <w:proofErr w:type="spellStart"/>
            <w:r>
              <w:rPr>
                <w:sz w:val="20"/>
                <w:szCs w:val="22"/>
              </w:rPr>
              <w:t>HAZEMAG&amp;EPRGmbH</w:t>
            </w:r>
            <w:proofErr w:type="spellEnd"/>
          </w:p>
        </w:tc>
        <w:tc>
          <w:tcPr>
            <w:tcW w:w="631" w:type="pct"/>
            <w:tcBorders>
              <w:top w:val="single" w:sz="4" w:space="0" w:color="auto"/>
              <w:left w:val="single" w:sz="4" w:space="0" w:color="auto"/>
              <w:bottom w:val="single" w:sz="4" w:space="0" w:color="auto"/>
              <w:right w:val="single" w:sz="4" w:space="0" w:color="auto"/>
            </w:tcBorders>
            <w:vAlign w:val="center"/>
          </w:tcPr>
          <w:p w14:paraId="0579D0DF" w14:textId="77777777" w:rsidR="00E57DAA" w:rsidRPr="00AC4185" w:rsidRDefault="00AC4185">
            <w:pPr>
              <w:jc w:val="right"/>
              <w:rPr>
                <w:sz w:val="18"/>
                <w:szCs w:val="18"/>
              </w:rPr>
            </w:pPr>
            <w:r w:rsidRPr="00AC4185">
              <w:rPr>
                <w:sz w:val="18"/>
                <w:szCs w:val="18"/>
              </w:rPr>
              <w:t>800,030,400.00</w:t>
            </w:r>
          </w:p>
        </w:tc>
        <w:tc>
          <w:tcPr>
            <w:tcW w:w="620" w:type="pct"/>
            <w:tcBorders>
              <w:top w:val="single" w:sz="4" w:space="0" w:color="auto"/>
              <w:left w:val="single" w:sz="4" w:space="0" w:color="auto"/>
              <w:bottom w:val="single" w:sz="4" w:space="0" w:color="auto"/>
              <w:right w:val="single" w:sz="4" w:space="0" w:color="auto"/>
            </w:tcBorders>
            <w:vAlign w:val="center"/>
          </w:tcPr>
          <w:p w14:paraId="2D4EC139" w14:textId="77777777" w:rsidR="00E57DAA" w:rsidRPr="00AC4185" w:rsidRDefault="00AC4185">
            <w:pPr>
              <w:jc w:val="right"/>
              <w:rPr>
                <w:sz w:val="18"/>
                <w:szCs w:val="18"/>
              </w:rPr>
            </w:pPr>
            <w:r w:rsidRPr="00AC4185">
              <w:rPr>
                <w:sz w:val="18"/>
                <w:szCs w:val="18"/>
              </w:rPr>
              <w:t>800,030,400.00</w:t>
            </w:r>
          </w:p>
        </w:tc>
        <w:tc>
          <w:tcPr>
            <w:tcW w:w="661" w:type="pct"/>
            <w:tcBorders>
              <w:top w:val="single" w:sz="4" w:space="0" w:color="auto"/>
              <w:left w:val="single" w:sz="4" w:space="0" w:color="auto"/>
              <w:bottom w:val="single" w:sz="4" w:space="0" w:color="auto"/>
              <w:right w:val="single" w:sz="4" w:space="0" w:color="auto"/>
            </w:tcBorders>
            <w:vAlign w:val="center"/>
          </w:tcPr>
          <w:p w14:paraId="415762C0"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50743EAF"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16959EBC" w14:textId="77777777" w:rsidR="00E57DAA" w:rsidRPr="00AC4185" w:rsidRDefault="00AC4185">
            <w:pPr>
              <w:jc w:val="right"/>
              <w:rPr>
                <w:sz w:val="18"/>
                <w:szCs w:val="18"/>
              </w:rPr>
            </w:pPr>
            <w:r w:rsidRPr="00AC4185">
              <w:rPr>
                <w:sz w:val="18"/>
                <w:szCs w:val="18"/>
              </w:rPr>
              <w:t>800,030,400.00</w:t>
            </w:r>
          </w:p>
        </w:tc>
        <w:tc>
          <w:tcPr>
            <w:tcW w:w="589" w:type="pct"/>
            <w:tcBorders>
              <w:top w:val="single" w:sz="4" w:space="0" w:color="auto"/>
              <w:left w:val="single" w:sz="4" w:space="0" w:color="auto"/>
              <w:bottom w:val="single" w:sz="4" w:space="0" w:color="auto"/>
              <w:right w:val="single" w:sz="4" w:space="0" w:color="auto"/>
            </w:tcBorders>
            <w:vAlign w:val="center"/>
          </w:tcPr>
          <w:p w14:paraId="04F76000"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212AA157" w14:textId="77777777" w:rsidR="00E57DAA" w:rsidRPr="00AC4185" w:rsidRDefault="00AC4185">
            <w:pPr>
              <w:jc w:val="right"/>
              <w:rPr>
                <w:sz w:val="18"/>
                <w:szCs w:val="18"/>
              </w:rPr>
            </w:pPr>
            <w:r w:rsidRPr="00AC4185">
              <w:rPr>
                <w:sz w:val="18"/>
                <w:szCs w:val="18"/>
              </w:rPr>
              <w:t>144,635,492.52</w:t>
            </w:r>
          </w:p>
        </w:tc>
      </w:tr>
      <w:tr w:rsidR="00E57DAA" w14:paraId="11C141F0"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6A0BEF6F" w14:textId="77777777" w:rsidR="00E57DAA" w:rsidRDefault="00AC4185">
            <w:pPr>
              <w:jc w:val="both"/>
              <w:rPr>
                <w:sz w:val="20"/>
                <w:szCs w:val="22"/>
              </w:rPr>
            </w:pPr>
            <w:r>
              <w:rPr>
                <w:sz w:val="20"/>
                <w:szCs w:val="22"/>
              </w:rPr>
              <w:t>能源和基建有限公司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66ED62A4" w14:textId="77777777" w:rsidR="00E57DAA" w:rsidRPr="00AC4185" w:rsidRDefault="00AC4185">
            <w:pPr>
              <w:jc w:val="right"/>
              <w:rPr>
                <w:sz w:val="18"/>
                <w:szCs w:val="18"/>
              </w:rPr>
            </w:pPr>
            <w:r w:rsidRPr="00AC4185">
              <w:rPr>
                <w:sz w:val="18"/>
                <w:szCs w:val="18"/>
              </w:rPr>
              <w:t>33,978,121.00</w:t>
            </w:r>
          </w:p>
        </w:tc>
        <w:tc>
          <w:tcPr>
            <w:tcW w:w="620" w:type="pct"/>
            <w:tcBorders>
              <w:top w:val="single" w:sz="4" w:space="0" w:color="auto"/>
              <w:left w:val="single" w:sz="4" w:space="0" w:color="auto"/>
              <w:bottom w:val="single" w:sz="4" w:space="0" w:color="auto"/>
              <w:right w:val="single" w:sz="4" w:space="0" w:color="auto"/>
            </w:tcBorders>
            <w:vAlign w:val="center"/>
          </w:tcPr>
          <w:p w14:paraId="3BEE2E4E" w14:textId="77777777" w:rsidR="00E57DAA" w:rsidRPr="00AC4185" w:rsidRDefault="00AC4185">
            <w:pPr>
              <w:jc w:val="right"/>
              <w:rPr>
                <w:sz w:val="18"/>
                <w:szCs w:val="18"/>
              </w:rPr>
            </w:pPr>
            <w:r w:rsidRPr="00AC4185">
              <w:rPr>
                <w:sz w:val="18"/>
                <w:szCs w:val="18"/>
              </w:rPr>
              <w:t>33,978,121.00</w:t>
            </w:r>
          </w:p>
        </w:tc>
        <w:tc>
          <w:tcPr>
            <w:tcW w:w="661" w:type="pct"/>
            <w:tcBorders>
              <w:top w:val="single" w:sz="4" w:space="0" w:color="auto"/>
              <w:left w:val="single" w:sz="4" w:space="0" w:color="auto"/>
              <w:bottom w:val="single" w:sz="4" w:space="0" w:color="auto"/>
              <w:right w:val="single" w:sz="4" w:space="0" w:color="auto"/>
            </w:tcBorders>
            <w:vAlign w:val="center"/>
          </w:tcPr>
          <w:p w14:paraId="3B73426C"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4FC80C24"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488691ED" w14:textId="77777777" w:rsidR="00E57DAA" w:rsidRPr="00AC4185" w:rsidRDefault="00AC4185">
            <w:pPr>
              <w:jc w:val="right"/>
              <w:rPr>
                <w:sz w:val="18"/>
                <w:szCs w:val="18"/>
              </w:rPr>
            </w:pPr>
            <w:r w:rsidRPr="00AC4185">
              <w:rPr>
                <w:sz w:val="18"/>
                <w:szCs w:val="18"/>
              </w:rPr>
              <w:t>33,978,121.00</w:t>
            </w:r>
          </w:p>
        </w:tc>
        <w:tc>
          <w:tcPr>
            <w:tcW w:w="589" w:type="pct"/>
            <w:tcBorders>
              <w:top w:val="single" w:sz="4" w:space="0" w:color="auto"/>
              <w:left w:val="single" w:sz="4" w:space="0" w:color="auto"/>
              <w:bottom w:val="single" w:sz="4" w:space="0" w:color="auto"/>
              <w:right w:val="single" w:sz="4" w:space="0" w:color="auto"/>
            </w:tcBorders>
            <w:vAlign w:val="center"/>
          </w:tcPr>
          <w:p w14:paraId="6D990A8F"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23370B82" w14:textId="77777777" w:rsidR="00E57DAA" w:rsidRPr="00AC4185" w:rsidRDefault="00AC4185">
            <w:pPr>
              <w:jc w:val="right"/>
              <w:rPr>
                <w:sz w:val="18"/>
                <w:szCs w:val="18"/>
              </w:rPr>
            </w:pPr>
            <w:r w:rsidRPr="00AC4185">
              <w:rPr>
                <w:sz w:val="18"/>
                <w:szCs w:val="18"/>
              </w:rPr>
              <w:t> </w:t>
            </w:r>
          </w:p>
        </w:tc>
      </w:tr>
      <w:tr w:rsidR="00E57DAA" w14:paraId="30222DEE"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3E0B4125" w14:textId="77777777" w:rsidR="00E57DAA" w:rsidRDefault="00AC4185">
            <w:pPr>
              <w:jc w:val="both"/>
              <w:rPr>
                <w:sz w:val="20"/>
                <w:szCs w:val="22"/>
              </w:rPr>
            </w:pPr>
            <w:r>
              <w:rPr>
                <w:sz w:val="20"/>
                <w:szCs w:val="22"/>
              </w:rPr>
              <w:lastRenderedPageBreak/>
              <w:t>中材天安（天津）工程有限公司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50CF01AE" w14:textId="77777777" w:rsidR="00E57DAA" w:rsidRPr="00AC4185" w:rsidRDefault="00AC4185">
            <w:pPr>
              <w:jc w:val="right"/>
              <w:rPr>
                <w:sz w:val="18"/>
                <w:szCs w:val="18"/>
              </w:rPr>
            </w:pPr>
            <w:r w:rsidRPr="00AC4185">
              <w:rPr>
                <w:sz w:val="18"/>
                <w:szCs w:val="18"/>
              </w:rPr>
              <w:t>5,350,000.00</w:t>
            </w:r>
          </w:p>
        </w:tc>
        <w:tc>
          <w:tcPr>
            <w:tcW w:w="620" w:type="pct"/>
            <w:tcBorders>
              <w:top w:val="single" w:sz="4" w:space="0" w:color="auto"/>
              <w:left w:val="single" w:sz="4" w:space="0" w:color="auto"/>
              <w:bottom w:val="single" w:sz="4" w:space="0" w:color="auto"/>
              <w:right w:val="single" w:sz="4" w:space="0" w:color="auto"/>
            </w:tcBorders>
            <w:vAlign w:val="center"/>
          </w:tcPr>
          <w:p w14:paraId="308056DD" w14:textId="77777777" w:rsidR="00E57DAA" w:rsidRPr="00AC4185" w:rsidRDefault="00AC4185">
            <w:pPr>
              <w:jc w:val="right"/>
              <w:rPr>
                <w:sz w:val="18"/>
                <w:szCs w:val="18"/>
              </w:rPr>
            </w:pPr>
            <w:r w:rsidRPr="00AC4185">
              <w:rPr>
                <w:sz w:val="18"/>
                <w:szCs w:val="18"/>
              </w:rPr>
              <w:t>5,350,000.00</w:t>
            </w:r>
          </w:p>
        </w:tc>
        <w:tc>
          <w:tcPr>
            <w:tcW w:w="661" w:type="pct"/>
            <w:tcBorders>
              <w:top w:val="single" w:sz="4" w:space="0" w:color="auto"/>
              <w:left w:val="single" w:sz="4" w:space="0" w:color="auto"/>
              <w:bottom w:val="single" w:sz="4" w:space="0" w:color="auto"/>
              <w:right w:val="single" w:sz="4" w:space="0" w:color="auto"/>
            </w:tcBorders>
            <w:vAlign w:val="center"/>
          </w:tcPr>
          <w:p w14:paraId="46913048"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4AF60562"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5B396887" w14:textId="77777777" w:rsidR="00E57DAA" w:rsidRPr="00AC4185" w:rsidRDefault="00AC4185">
            <w:pPr>
              <w:jc w:val="right"/>
              <w:rPr>
                <w:sz w:val="18"/>
                <w:szCs w:val="18"/>
              </w:rPr>
            </w:pPr>
            <w:r w:rsidRPr="00AC4185">
              <w:rPr>
                <w:sz w:val="18"/>
                <w:szCs w:val="18"/>
              </w:rPr>
              <w:t>5,350,000.00</w:t>
            </w:r>
          </w:p>
        </w:tc>
        <w:tc>
          <w:tcPr>
            <w:tcW w:w="589" w:type="pct"/>
            <w:tcBorders>
              <w:top w:val="single" w:sz="4" w:space="0" w:color="auto"/>
              <w:left w:val="single" w:sz="4" w:space="0" w:color="auto"/>
              <w:bottom w:val="single" w:sz="4" w:space="0" w:color="auto"/>
              <w:right w:val="single" w:sz="4" w:space="0" w:color="auto"/>
            </w:tcBorders>
            <w:vAlign w:val="center"/>
          </w:tcPr>
          <w:p w14:paraId="446BDA69"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78A6C00A" w14:textId="77777777" w:rsidR="00E57DAA" w:rsidRPr="00AC4185" w:rsidRDefault="00AC4185">
            <w:pPr>
              <w:jc w:val="right"/>
              <w:rPr>
                <w:sz w:val="18"/>
                <w:szCs w:val="18"/>
              </w:rPr>
            </w:pPr>
            <w:r w:rsidRPr="00AC4185">
              <w:rPr>
                <w:sz w:val="18"/>
                <w:szCs w:val="18"/>
              </w:rPr>
              <w:t> </w:t>
            </w:r>
          </w:p>
        </w:tc>
      </w:tr>
      <w:tr w:rsidR="00E57DAA" w14:paraId="528EBA90"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2A48C553" w14:textId="77777777" w:rsidR="00E57DAA" w:rsidRDefault="00AC4185">
            <w:pPr>
              <w:jc w:val="both"/>
              <w:rPr>
                <w:sz w:val="20"/>
                <w:szCs w:val="22"/>
              </w:rPr>
            </w:pPr>
            <w:r>
              <w:rPr>
                <w:sz w:val="20"/>
                <w:szCs w:val="22"/>
              </w:rPr>
              <w:t>中材国际环境工程（北京）有限公司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44C6CE07" w14:textId="77777777" w:rsidR="00E57DAA" w:rsidRPr="00AC4185" w:rsidRDefault="00AC4185">
            <w:pPr>
              <w:jc w:val="right"/>
              <w:rPr>
                <w:sz w:val="18"/>
                <w:szCs w:val="18"/>
              </w:rPr>
            </w:pPr>
            <w:r w:rsidRPr="00AC4185">
              <w:rPr>
                <w:sz w:val="18"/>
                <w:szCs w:val="18"/>
              </w:rPr>
              <w:t>109,940,000.00</w:t>
            </w:r>
          </w:p>
        </w:tc>
        <w:tc>
          <w:tcPr>
            <w:tcW w:w="620" w:type="pct"/>
            <w:tcBorders>
              <w:top w:val="single" w:sz="4" w:space="0" w:color="auto"/>
              <w:left w:val="single" w:sz="4" w:space="0" w:color="auto"/>
              <w:bottom w:val="single" w:sz="4" w:space="0" w:color="auto"/>
              <w:right w:val="single" w:sz="4" w:space="0" w:color="auto"/>
            </w:tcBorders>
            <w:vAlign w:val="center"/>
          </w:tcPr>
          <w:p w14:paraId="19DACA52" w14:textId="77777777" w:rsidR="00E57DAA" w:rsidRPr="00AC4185" w:rsidRDefault="00AC4185">
            <w:pPr>
              <w:jc w:val="right"/>
              <w:rPr>
                <w:sz w:val="18"/>
                <w:szCs w:val="18"/>
              </w:rPr>
            </w:pPr>
            <w:r w:rsidRPr="00AC4185">
              <w:rPr>
                <w:sz w:val="18"/>
                <w:szCs w:val="18"/>
              </w:rPr>
              <w:t>110,594,030.00</w:t>
            </w:r>
          </w:p>
        </w:tc>
        <w:tc>
          <w:tcPr>
            <w:tcW w:w="661" w:type="pct"/>
            <w:tcBorders>
              <w:top w:val="single" w:sz="4" w:space="0" w:color="auto"/>
              <w:left w:val="single" w:sz="4" w:space="0" w:color="auto"/>
              <w:bottom w:val="single" w:sz="4" w:space="0" w:color="auto"/>
              <w:right w:val="single" w:sz="4" w:space="0" w:color="auto"/>
            </w:tcBorders>
            <w:vAlign w:val="center"/>
          </w:tcPr>
          <w:p w14:paraId="79907537" w14:textId="77777777" w:rsidR="00E57DAA" w:rsidRPr="00AC4185" w:rsidRDefault="00AC4185">
            <w:pPr>
              <w:jc w:val="right"/>
              <w:rPr>
                <w:sz w:val="18"/>
                <w:szCs w:val="18"/>
              </w:rPr>
            </w:pPr>
            <w:r w:rsidRPr="00AC4185">
              <w:rPr>
                <w:sz w:val="18"/>
                <w:szCs w:val="18"/>
              </w:rPr>
              <w:t>11,180.00</w:t>
            </w:r>
          </w:p>
        </w:tc>
        <w:tc>
          <w:tcPr>
            <w:tcW w:w="552" w:type="pct"/>
            <w:tcBorders>
              <w:top w:val="single" w:sz="4" w:space="0" w:color="auto"/>
              <w:left w:val="single" w:sz="4" w:space="0" w:color="auto"/>
              <w:bottom w:val="single" w:sz="4" w:space="0" w:color="auto"/>
              <w:right w:val="single" w:sz="4" w:space="0" w:color="auto"/>
            </w:tcBorders>
            <w:vAlign w:val="center"/>
          </w:tcPr>
          <w:p w14:paraId="35EDBF7C"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CD7BF4D" w14:textId="77777777" w:rsidR="00E57DAA" w:rsidRPr="00AC4185" w:rsidRDefault="00AC4185">
            <w:pPr>
              <w:jc w:val="right"/>
              <w:rPr>
                <w:sz w:val="18"/>
                <w:szCs w:val="18"/>
              </w:rPr>
            </w:pPr>
            <w:r w:rsidRPr="00AC4185">
              <w:rPr>
                <w:sz w:val="18"/>
                <w:szCs w:val="18"/>
              </w:rPr>
              <w:t>110,605,210.00</w:t>
            </w:r>
          </w:p>
        </w:tc>
        <w:tc>
          <w:tcPr>
            <w:tcW w:w="589" w:type="pct"/>
            <w:tcBorders>
              <w:top w:val="single" w:sz="4" w:space="0" w:color="auto"/>
              <w:left w:val="single" w:sz="4" w:space="0" w:color="auto"/>
              <w:bottom w:val="single" w:sz="4" w:space="0" w:color="auto"/>
              <w:right w:val="single" w:sz="4" w:space="0" w:color="auto"/>
            </w:tcBorders>
            <w:vAlign w:val="center"/>
          </w:tcPr>
          <w:p w14:paraId="7BD2E335"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64635A5E" w14:textId="77777777" w:rsidR="00E57DAA" w:rsidRPr="00AC4185" w:rsidRDefault="00AC4185">
            <w:pPr>
              <w:jc w:val="right"/>
              <w:rPr>
                <w:sz w:val="18"/>
                <w:szCs w:val="18"/>
              </w:rPr>
            </w:pPr>
            <w:r w:rsidRPr="00AC4185">
              <w:rPr>
                <w:sz w:val="18"/>
                <w:szCs w:val="18"/>
              </w:rPr>
              <w:t> </w:t>
            </w:r>
          </w:p>
        </w:tc>
      </w:tr>
      <w:tr w:rsidR="00E57DAA" w14:paraId="6ECF7883"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48980E2A" w14:textId="77777777" w:rsidR="00E57DAA" w:rsidRDefault="00AC4185">
            <w:pPr>
              <w:jc w:val="both"/>
              <w:rPr>
                <w:sz w:val="20"/>
                <w:szCs w:val="22"/>
              </w:rPr>
            </w:pPr>
            <w:r>
              <w:rPr>
                <w:sz w:val="20"/>
                <w:szCs w:val="22"/>
              </w:rPr>
              <w:t>中材国际水务科技（合肥）有限公司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0C6431A9" w14:textId="77777777" w:rsidR="00E57DAA" w:rsidRPr="00AC4185" w:rsidRDefault="00AC4185">
            <w:pPr>
              <w:jc w:val="right"/>
              <w:rPr>
                <w:sz w:val="18"/>
                <w:szCs w:val="18"/>
              </w:rPr>
            </w:pPr>
            <w:r w:rsidRPr="00AC4185">
              <w:rPr>
                <w:sz w:val="18"/>
                <w:szCs w:val="18"/>
              </w:rPr>
              <w:t>1,007,470,100.00</w:t>
            </w:r>
          </w:p>
        </w:tc>
        <w:tc>
          <w:tcPr>
            <w:tcW w:w="620" w:type="pct"/>
            <w:tcBorders>
              <w:top w:val="single" w:sz="4" w:space="0" w:color="auto"/>
              <w:left w:val="single" w:sz="4" w:space="0" w:color="auto"/>
              <w:bottom w:val="single" w:sz="4" w:space="0" w:color="auto"/>
              <w:right w:val="single" w:sz="4" w:space="0" w:color="auto"/>
            </w:tcBorders>
            <w:vAlign w:val="center"/>
          </w:tcPr>
          <w:p w14:paraId="7AD1D00C" w14:textId="77777777" w:rsidR="00E57DAA" w:rsidRPr="00AC4185" w:rsidRDefault="00AC4185">
            <w:pPr>
              <w:jc w:val="right"/>
              <w:rPr>
                <w:sz w:val="18"/>
                <w:szCs w:val="18"/>
              </w:rPr>
            </w:pPr>
            <w:r w:rsidRPr="00AC4185">
              <w:rPr>
                <w:sz w:val="18"/>
                <w:szCs w:val="18"/>
              </w:rPr>
              <w:t>1,007,470,100.00</w:t>
            </w:r>
          </w:p>
        </w:tc>
        <w:tc>
          <w:tcPr>
            <w:tcW w:w="661" w:type="pct"/>
            <w:tcBorders>
              <w:top w:val="single" w:sz="4" w:space="0" w:color="auto"/>
              <w:left w:val="single" w:sz="4" w:space="0" w:color="auto"/>
              <w:bottom w:val="single" w:sz="4" w:space="0" w:color="auto"/>
              <w:right w:val="single" w:sz="4" w:space="0" w:color="auto"/>
            </w:tcBorders>
            <w:vAlign w:val="center"/>
          </w:tcPr>
          <w:p w14:paraId="5E274A47"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2459719E"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16687C7D" w14:textId="77777777" w:rsidR="00E57DAA" w:rsidRPr="00AC4185" w:rsidRDefault="00AC4185">
            <w:pPr>
              <w:jc w:val="right"/>
              <w:rPr>
                <w:sz w:val="18"/>
                <w:szCs w:val="18"/>
              </w:rPr>
            </w:pPr>
            <w:r w:rsidRPr="00AC4185">
              <w:rPr>
                <w:sz w:val="18"/>
                <w:szCs w:val="18"/>
              </w:rPr>
              <w:t>1,007,470,100.00</w:t>
            </w:r>
          </w:p>
        </w:tc>
        <w:tc>
          <w:tcPr>
            <w:tcW w:w="589" w:type="pct"/>
            <w:tcBorders>
              <w:top w:val="single" w:sz="4" w:space="0" w:color="auto"/>
              <w:left w:val="single" w:sz="4" w:space="0" w:color="auto"/>
              <w:bottom w:val="single" w:sz="4" w:space="0" w:color="auto"/>
              <w:right w:val="single" w:sz="4" w:space="0" w:color="auto"/>
            </w:tcBorders>
            <w:vAlign w:val="center"/>
          </w:tcPr>
          <w:p w14:paraId="417C82D4"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60B3DA6D" w14:textId="77777777" w:rsidR="00E57DAA" w:rsidRPr="00AC4185" w:rsidRDefault="00AC4185">
            <w:pPr>
              <w:jc w:val="right"/>
              <w:rPr>
                <w:sz w:val="18"/>
                <w:szCs w:val="18"/>
              </w:rPr>
            </w:pPr>
            <w:r w:rsidRPr="00AC4185">
              <w:rPr>
                <w:sz w:val="18"/>
                <w:szCs w:val="18"/>
              </w:rPr>
              <w:t>286,013,729.60</w:t>
            </w:r>
          </w:p>
        </w:tc>
      </w:tr>
      <w:tr w:rsidR="00E57DAA" w14:paraId="1167CE0C"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284F2F87" w14:textId="77777777" w:rsidR="00E57DAA" w:rsidRDefault="00AC4185">
            <w:pPr>
              <w:jc w:val="both"/>
              <w:rPr>
                <w:sz w:val="20"/>
                <w:szCs w:val="22"/>
              </w:rPr>
            </w:pPr>
            <w:r>
              <w:rPr>
                <w:sz w:val="20"/>
                <w:szCs w:val="22"/>
              </w:rPr>
              <w:t>中材技术服务（北京）有限公司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00DF244A" w14:textId="77777777" w:rsidR="00E57DAA" w:rsidRPr="00AC4185" w:rsidRDefault="00AC4185">
            <w:pPr>
              <w:jc w:val="right"/>
              <w:rPr>
                <w:sz w:val="18"/>
                <w:szCs w:val="18"/>
              </w:rPr>
            </w:pPr>
            <w:r w:rsidRPr="00AC4185">
              <w:rPr>
                <w:sz w:val="18"/>
                <w:szCs w:val="18"/>
              </w:rPr>
              <w:t>75,174,479.10</w:t>
            </w:r>
          </w:p>
        </w:tc>
        <w:tc>
          <w:tcPr>
            <w:tcW w:w="620" w:type="pct"/>
            <w:tcBorders>
              <w:top w:val="single" w:sz="4" w:space="0" w:color="auto"/>
              <w:left w:val="single" w:sz="4" w:space="0" w:color="auto"/>
              <w:bottom w:val="single" w:sz="4" w:space="0" w:color="auto"/>
              <w:right w:val="single" w:sz="4" w:space="0" w:color="auto"/>
            </w:tcBorders>
            <w:vAlign w:val="center"/>
          </w:tcPr>
          <w:p w14:paraId="0B7FE0FC" w14:textId="77777777" w:rsidR="00E57DAA" w:rsidRPr="00AC4185" w:rsidRDefault="00AC4185">
            <w:pPr>
              <w:jc w:val="right"/>
              <w:rPr>
                <w:sz w:val="18"/>
                <w:szCs w:val="18"/>
              </w:rPr>
            </w:pPr>
            <w:r w:rsidRPr="00AC4185">
              <w:rPr>
                <w:sz w:val="18"/>
                <w:szCs w:val="18"/>
              </w:rPr>
              <w:t>76,261,175.10</w:t>
            </w:r>
          </w:p>
        </w:tc>
        <w:tc>
          <w:tcPr>
            <w:tcW w:w="661" w:type="pct"/>
            <w:tcBorders>
              <w:top w:val="single" w:sz="4" w:space="0" w:color="auto"/>
              <w:left w:val="single" w:sz="4" w:space="0" w:color="auto"/>
              <w:bottom w:val="single" w:sz="4" w:space="0" w:color="auto"/>
              <w:right w:val="single" w:sz="4" w:space="0" w:color="auto"/>
            </w:tcBorders>
            <w:vAlign w:val="center"/>
          </w:tcPr>
          <w:p w14:paraId="43E6DC92" w14:textId="77777777" w:rsidR="00E57DAA" w:rsidRPr="00AC4185" w:rsidRDefault="00AC4185">
            <w:pPr>
              <w:jc w:val="right"/>
              <w:rPr>
                <w:sz w:val="18"/>
                <w:szCs w:val="18"/>
              </w:rPr>
            </w:pPr>
            <w:r w:rsidRPr="00AC4185">
              <w:rPr>
                <w:sz w:val="18"/>
                <w:szCs w:val="18"/>
              </w:rPr>
              <w:t>1,448,928.00</w:t>
            </w:r>
          </w:p>
        </w:tc>
        <w:tc>
          <w:tcPr>
            <w:tcW w:w="552" w:type="pct"/>
            <w:tcBorders>
              <w:top w:val="single" w:sz="4" w:space="0" w:color="auto"/>
              <w:left w:val="single" w:sz="4" w:space="0" w:color="auto"/>
              <w:bottom w:val="single" w:sz="4" w:space="0" w:color="auto"/>
              <w:right w:val="single" w:sz="4" w:space="0" w:color="auto"/>
            </w:tcBorders>
            <w:vAlign w:val="center"/>
          </w:tcPr>
          <w:p w14:paraId="0AA894C9"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060A69C" w14:textId="77777777" w:rsidR="00E57DAA" w:rsidRPr="00AC4185" w:rsidRDefault="00AC4185">
            <w:pPr>
              <w:jc w:val="right"/>
              <w:rPr>
                <w:sz w:val="18"/>
                <w:szCs w:val="18"/>
              </w:rPr>
            </w:pPr>
            <w:r w:rsidRPr="00AC4185">
              <w:rPr>
                <w:sz w:val="18"/>
                <w:szCs w:val="18"/>
              </w:rPr>
              <w:t>77,710,103.10</w:t>
            </w:r>
          </w:p>
        </w:tc>
        <w:tc>
          <w:tcPr>
            <w:tcW w:w="589" w:type="pct"/>
            <w:tcBorders>
              <w:top w:val="single" w:sz="4" w:space="0" w:color="auto"/>
              <w:left w:val="single" w:sz="4" w:space="0" w:color="auto"/>
              <w:bottom w:val="single" w:sz="4" w:space="0" w:color="auto"/>
              <w:right w:val="single" w:sz="4" w:space="0" w:color="auto"/>
            </w:tcBorders>
            <w:vAlign w:val="center"/>
          </w:tcPr>
          <w:p w14:paraId="16E45C02"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51AA6815" w14:textId="77777777" w:rsidR="00E57DAA" w:rsidRPr="00AC4185" w:rsidRDefault="00AC4185">
            <w:pPr>
              <w:jc w:val="right"/>
              <w:rPr>
                <w:sz w:val="18"/>
                <w:szCs w:val="18"/>
              </w:rPr>
            </w:pPr>
            <w:r w:rsidRPr="00AC4185">
              <w:rPr>
                <w:sz w:val="18"/>
                <w:szCs w:val="18"/>
              </w:rPr>
              <w:t> </w:t>
            </w:r>
          </w:p>
        </w:tc>
      </w:tr>
      <w:tr w:rsidR="00E57DAA" w14:paraId="61136A4E"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565854EF" w14:textId="77777777" w:rsidR="00E57DAA" w:rsidRDefault="00AC4185">
            <w:pPr>
              <w:jc w:val="both"/>
              <w:rPr>
                <w:sz w:val="20"/>
                <w:szCs w:val="22"/>
              </w:rPr>
            </w:pPr>
            <w:r>
              <w:rPr>
                <w:sz w:val="20"/>
                <w:szCs w:val="22"/>
              </w:rPr>
              <w:t>成都建筑材料工业设计研究院有限公司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15BF45F8" w14:textId="77777777" w:rsidR="00E57DAA" w:rsidRPr="00AC4185" w:rsidRDefault="00AC4185">
            <w:pPr>
              <w:jc w:val="right"/>
              <w:rPr>
                <w:sz w:val="18"/>
                <w:szCs w:val="18"/>
              </w:rPr>
            </w:pPr>
            <w:r w:rsidRPr="00AC4185">
              <w:rPr>
                <w:sz w:val="18"/>
                <w:szCs w:val="18"/>
              </w:rPr>
              <w:t>252,881,100.00</w:t>
            </w:r>
          </w:p>
        </w:tc>
        <w:tc>
          <w:tcPr>
            <w:tcW w:w="620" w:type="pct"/>
            <w:tcBorders>
              <w:top w:val="single" w:sz="4" w:space="0" w:color="auto"/>
              <w:left w:val="single" w:sz="4" w:space="0" w:color="auto"/>
              <w:bottom w:val="single" w:sz="4" w:space="0" w:color="auto"/>
              <w:right w:val="single" w:sz="4" w:space="0" w:color="auto"/>
            </w:tcBorders>
            <w:vAlign w:val="center"/>
          </w:tcPr>
          <w:p w14:paraId="65EBF935" w14:textId="77777777" w:rsidR="00E57DAA" w:rsidRPr="00AC4185" w:rsidRDefault="00AC4185">
            <w:pPr>
              <w:jc w:val="right"/>
              <w:rPr>
                <w:sz w:val="18"/>
                <w:szCs w:val="18"/>
              </w:rPr>
            </w:pPr>
            <w:r w:rsidRPr="00AC4185">
              <w:rPr>
                <w:sz w:val="18"/>
                <w:szCs w:val="18"/>
              </w:rPr>
              <w:t>256,512,708.00</w:t>
            </w:r>
          </w:p>
        </w:tc>
        <w:tc>
          <w:tcPr>
            <w:tcW w:w="661" w:type="pct"/>
            <w:tcBorders>
              <w:top w:val="single" w:sz="4" w:space="0" w:color="auto"/>
              <w:left w:val="single" w:sz="4" w:space="0" w:color="auto"/>
              <w:bottom w:val="single" w:sz="4" w:space="0" w:color="auto"/>
              <w:right w:val="single" w:sz="4" w:space="0" w:color="auto"/>
            </w:tcBorders>
            <w:vAlign w:val="center"/>
          </w:tcPr>
          <w:p w14:paraId="28C45659" w14:textId="77777777" w:rsidR="00E57DAA" w:rsidRPr="00AC4185" w:rsidRDefault="00AC4185">
            <w:pPr>
              <w:jc w:val="right"/>
              <w:rPr>
                <w:sz w:val="18"/>
                <w:szCs w:val="18"/>
              </w:rPr>
            </w:pPr>
            <w:r w:rsidRPr="00AC4185">
              <w:rPr>
                <w:sz w:val="18"/>
                <w:szCs w:val="18"/>
              </w:rPr>
              <w:t>4,842,144.00</w:t>
            </w:r>
          </w:p>
        </w:tc>
        <w:tc>
          <w:tcPr>
            <w:tcW w:w="552" w:type="pct"/>
            <w:tcBorders>
              <w:top w:val="single" w:sz="4" w:space="0" w:color="auto"/>
              <w:left w:val="single" w:sz="4" w:space="0" w:color="auto"/>
              <w:bottom w:val="single" w:sz="4" w:space="0" w:color="auto"/>
              <w:right w:val="single" w:sz="4" w:space="0" w:color="auto"/>
            </w:tcBorders>
            <w:vAlign w:val="center"/>
          </w:tcPr>
          <w:p w14:paraId="0F3163FC"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4D5713E" w14:textId="77777777" w:rsidR="00E57DAA" w:rsidRPr="00AC4185" w:rsidRDefault="00AC4185">
            <w:pPr>
              <w:jc w:val="right"/>
              <w:rPr>
                <w:sz w:val="18"/>
                <w:szCs w:val="18"/>
              </w:rPr>
            </w:pPr>
            <w:r w:rsidRPr="00AC4185">
              <w:rPr>
                <w:sz w:val="18"/>
                <w:szCs w:val="18"/>
              </w:rPr>
              <w:t>261,354,852.00</w:t>
            </w:r>
          </w:p>
        </w:tc>
        <w:tc>
          <w:tcPr>
            <w:tcW w:w="589" w:type="pct"/>
            <w:tcBorders>
              <w:top w:val="single" w:sz="4" w:space="0" w:color="auto"/>
              <w:left w:val="single" w:sz="4" w:space="0" w:color="auto"/>
              <w:bottom w:val="single" w:sz="4" w:space="0" w:color="auto"/>
              <w:right w:val="single" w:sz="4" w:space="0" w:color="auto"/>
            </w:tcBorders>
            <w:vAlign w:val="center"/>
          </w:tcPr>
          <w:p w14:paraId="3B66484B"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5DF026F5" w14:textId="77777777" w:rsidR="00E57DAA" w:rsidRPr="00AC4185" w:rsidRDefault="00AC4185">
            <w:pPr>
              <w:jc w:val="right"/>
              <w:rPr>
                <w:sz w:val="18"/>
                <w:szCs w:val="18"/>
              </w:rPr>
            </w:pPr>
            <w:r w:rsidRPr="00AC4185">
              <w:rPr>
                <w:sz w:val="18"/>
                <w:szCs w:val="18"/>
              </w:rPr>
              <w:t> </w:t>
            </w:r>
          </w:p>
        </w:tc>
      </w:tr>
      <w:tr w:rsidR="00E57DAA" w14:paraId="508918E2"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40E2225B" w14:textId="77777777" w:rsidR="00E57DAA" w:rsidRDefault="00AC4185">
            <w:pPr>
              <w:jc w:val="both"/>
              <w:rPr>
                <w:sz w:val="20"/>
                <w:szCs w:val="22"/>
              </w:rPr>
            </w:pPr>
            <w:r>
              <w:rPr>
                <w:sz w:val="20"/>
                <w:szCs w:val="22"/>
              </w:rPr>
              <w:t>中材建设有限公司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3E4CC5BD" w14:textId="77777777" w:rsidR="00E57DAA" w:rsidRPr="00AC4185" w:rsidRDefault="00AC4185">
            <w:pPr>
              <w:jc w:val="right"/>
              <w:rPr>
                <w:sz w:val="18"/>
                <w:szCs w:val="18"/>
              </w:rPr>
            </w:pPr>
            <w:r w:rsidRPr="00AC4185">
              <w:rPr>
                <w:sz w:val="18"/>
                <w:szCs w:val="18"/>
              </w:rPr>
              <w:t>275,817,353.09</w:t>
            </w:r>
          </w:p>
        </w:tc>
        <w:tc>
          <w:tcPr>
            <w:tcW w:w="620" w:type="pct"/>
            <w:tcBorders>
              <w:top w:val="single" w:sz="4" w:space="0" w:color="auto"/>
              <w:left w:val="single" w:sz="4" w:space="0" w:color="auto"/>
              <w:bottom w:val="single" w:sz="4" w:space="0" w:color="auto"/>
              <w:right w:val="single" w:sz="4" w:space="0" w:color="auto"/>
            </w:tcBorders>
            <w:vAlign w:val="center"/>
          </w:tcPr>
          <w:p w14:paraId="224AC4D8" w14:textId="77777777" w:rsidR="00E57DAA" w:rsidRPr="00AC4185" w:rsidRDefault="00AC4185">
            <w:pPr>
              <w:jc w:val="right"/>
              <w:rPr>
                <w:sz w:val="18"/>
                <w:szCs w:val="18"/>
              </w:rPr>
            </w:pPr>
            <w:r w:rsidRPr="00AC4185">
              <w:rPr>
                <w:sz w:val="18"/>
                <w:szCs w:val="18"/>
              </w:rPr>
              <w:t>280,842,161.09</w:t>
            </w:r>
          </w:p>
        </w:tc>
        <w:tc>
          <w:tcPr>
            <w:tcW w:w="661" w:type="pct"/>
            <w:tcBorders>
              <w:top w:val="single" w:sz="4" w:space="0" w:color="auto"/>
              <w:left w:val="single" w:sz="4" w:space="0" w:color="auto"/>
              <w:bottom w:val="single" w:sz="4" w:space="0" w:color="auto"/>
              <w:right w:val="single" w:sz="4" w:space="0" w:color="auto"/>
            </w:tcBorders>
            <w:vAlign w:val="center"/>
          </w:tcPr>
          <w:p w14:paraId="296E5C80" w14:textId="77777777" w:rsidR="00E57DAA" w:rsidRPr="00AC4185" w:rsidRDefault="00AC4185">
            <w:pPr>
              <w:jc w:val="right"/>
              <w:rPr>
                <w:sz w:val="18"/>
                <w:szCs w:val="18"/>
              </w:rPr>
            </w:pPr>
            <w:r w:rsidRPr="00AC4185">
              <w:rPr>
                <w:sz w:val="18"/>
                <w:szCs w:val="18"/>
              </w:rPr>
              <w:t>7,095,709.30</w:t>
            </w:r>
          </w:p>
        </w:tc>
        <w:tc>
          <w:tcPr>
            <w:tcW w:w="552" w:type="pct"/>
            <w:tcBorders>
              <w:top w:val="single" w:sz="4" w:space="0" w:color="auto"/>
              <w:left w:val="single" w:sz="4" w:space="0" w:color="auto"/>
              <w:bottom w:val="single" w:sz="4" w:space="0" w:color="auto"/>
              <w:right w:val="single" w:sz="4" w:space="0" w:color="auto"/>
            </w:tcBorders>
            <w:vAlign w:val="center"/>
          </w:tcPr>
          <w:p w14:paraId="09DF5FAA"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5965A2F8" w14:textId="77777777" w:rsidR="00E57DAA" w:rsidRPr="00AC4185" w:rsidRDefault="00AC4185">
            <w:pPr>
              <w:jc w:val="right"/>
              <w:rPr>
                <w:sz w:val="18"/>
                <w:szCs w:val="18"/>
              </w:rPr>
            </w:pPr>
            <w:r w:rsidRPr="00AC4185">
              <w:rPr>
                <w:sz w:val="18"/>
                <w:szCs w:val="18"/>
              </w:rPr>
              <w:t>287,937,870.39</w:t>
            </w:r>
          </w:p>
        </w:tc>
        <w:tc>
          <w:tcPr>
            <w:tcW w:w="589" w:type="pct"/>
            <w:tcBorders>
              <w:top w:val="single" w:sz="4" w:space="0" w:color="auto"/>
              <w:left w:val="single" w:sz="4" w:space="0" w:color="auto"/>
              <w:bottom w:val="single" w:sz="4" w:space="0" w:color="auto"/>
              <w:right w:val="single" w:sz="4" w:space="0" w:color="auto"/>
            </w:tcBorders>
            <w:vAlign w:val="center"/>
          </w:tcPr>
          <w:p w14:paraId="2B29F65C"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03DD0157" w14:textId="77777777" w:rsidR="00E57DAA" w:rsidRPr="00AC4185" w:rsidRDefault="00AC4185">
            <w:pPr>
              <w:jc w:val="right"/>
              <w:rPr>
                <w:sz w:val="18"/>
                <w:szCs w:val="18"/>
              </w:rPr>
            </w:pPr>
            <w:r w:rsidRPr="00AC4185">
              <w:rPr>
                <w:sz w:val="18"/>
                <w:szCs w:val="18"/>
              </w:rPr>
              <w:t> </w:t>
            </w:r>
          </w:p>
        </w:tc>
      </w:tr>
      <w:tr w:rsidR="00E57DAA" w14:paraId="0676C167"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368C6B5F" w14:textId="77777777" w:rsidR="00E57DAA" w:rsidRDefault="00AC4185">
            <w:pPr>
              <w:jc w:val="both"/>
              <w:rPr>
                <w:sz w:val="20"/>
                <w:szCs w:val="22"/>
              </w:rPr>
            </w:pPr>
            <w:r>
              <w:rPr>
                <w:sz w:val="20"/>
                <w:szCs w:val="22"/>
              </w:rPr>
              <w:t>邯郸中材建设有限责任公司</w:t>
            </w:r>
          </w:p>
        </w:tc>
        <w:tc>
          <w:tcPr>
            <w:tcW w:w="631" w:type="pct"/>
            <w:tcBorders>
              <w:top w:val="single" w:sz="4" w:space="0" w:color="auto"/>
              <w:left w:val="single" w:sz="4" w:space="0" w:color="auto"/>
              <w:bottom w:val="single" w:sz="4" w:space="0" w:color="auto"/>
              <w:right w:val="single" w:sz="4" w:space="0" w:color="auto"/>
            </w:tcBorders>
            <w:vAlign w:val="center"/>
          </w:tcPr>
          <w:p w14:paraId="43FFEA1D" w14:textId="77777777" w:rsidR="00E57DAA" w:rsidRPr="00AC4185" w:rsidRDefault="00AC4185">
            <w:pPr>
              <w:jc w:val="right"/>
              <w:rPr>
                <w:sz w:val="18"/>
                <w:szCs w:val="18"/>
              </w:rPr>
            </w:pPr>
            <w:r w:rsidRPr="00AC4185">
              <w:rPr>
                <w:sz w:val="18"/>
                <w:szCs w:val="18"/>
              </w:rPr>
              <w:t>209,710,353.66</w:t>
            </w:r>
          </w:p>
        </w:tc>
        <w:tc>
          <w:tcPr>
            <w:tcW w:w="620" w:type="pct"/>
            <w:tcBorders>
              <w:top w:val="single" w:sz="4" w:space="0" w:color="auto"/>
              <w:left w:val="single" w:sz="4" w:space="0" w:color="auto"/>
              <w:bottom w:val="single" w:sz="4" w:space="0" w:color="auto"/>
              <w:right w:val="single" w:sz="4" w:space="0" w:color="auto"/>
            </w:tcBorders>
            <w:vAlign w:val="center"/>
          </w:tcPr>
          <w:p w14:paraId="4BC522C4" w14:textId="77777777" w:rsidR="00E57DAA" w:rsidRPr="00AC4185" w:rsidRDefault="00AC4185">
            <w:pPr>
              <w:jc w:val="right"/>
              <w:rPr>
                <w:sz w:val="18"/>
                <w:szCs w:val="18"/>
              </w:rPr>
            </w:pPr>
            <w:r w:rsidRPr="00AC4185">
              <w:rPr>
                <w:sz w:val="18"/>
                <w:szCs w:val="18"/>
              </w:rPr>
              <w:t>212,098,032.78</w:t>
            </w:r>
          </w:p>
        </w:tc>
        <w:tc>
          <w:tcPr>
            <w:tcW w:w="661" w:type="pct"/>
            <w:tcBorders>
              <w:top w:val="single" w:sz="4" w:space="0" w:color="auto"/>
              <w:left w:val="single" w:sz="4" w:space="0" w:color="auto"/>
              <w:bottom w:val="single" w:sz="4" w:space="0" w:color="auto"/>
              <w:right w:val="single" w:sz="4" w:space="0" w:color="auto"/>
            </w:tcBorders>
            <w:vAlign w:val="center"/>
          </w:tcPr>
          <w:p w14:paraId="64D396F0" w14:textId="77777777" w:rsidR="00E57DAA" w:rsidRPr="00AC4185" w:rsidRDefault="00AC4185">
            <w:pPr>
              <w:jc w:val="right"/>
              <w:rPr>
                <w:sz w:val="18"/>
                <w:szCs w:val="18"/>
              </w:rPr>
            </w:pPr>
            <w:r w:rsidRPr="00AC4185">
              <w:rPr>
                <w:sz w:val="18"/>
                <w:szCs w:val="18"/>
              </w:rPr>
              <w:t>3,620,040.64</w:t>
            </w:r>
          </w:p>
        </w:tc>
        <w:tc>
          <w:tcPr>
            <w:tcW w:w="552" w:type="pct"/>
            <w:tcBorders>
              <w:top w:val="single" w:sz="4" w:space="0" w:color="auto"/>
              <w:left w:val="single" w:sz="4" w:space="0" w:color="auto"/>
              <w:bottom w:val="single" w:sz="4" w:space="0" w:color="auto"/>
              <w:right w:val="single" w:sz="4" w:space="0" w:color="auto"/>
            </w:tcBorders>
            <w:vAlign w:val="center"/>
          </w:tcPr>
          <w:p w14:paraId="245257F2"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604A1D4" w14:textId="77777777" w:rsidR="00E57DAA" w:rsidRPr="00AC4185" w:rsidRDefault="00AC4185">
            <w:pPr>
              <w:jc w:val="right"/>
              <w:rPr>
                <w:sz w:val="18"/>
                <w:szCs w:val="18"/>
              </w:rPr>
            </w:pPr>
            <w:r w:rsidRPr="00AC4185">
              <w:rPr>
                <w:sz w:val="18"/>
                <w:szCs w:val="18"/>
              </w:rPr>
              <w:t>215,718,073.42</w:t>
            </w:r>
          </w:p>
        </w:tc>
        <w:tc>
          <w:tcPr>
            <w:tcW w:w="589" w:type="pct"/>
            <w:tcBorders>
              <w:top w:val="single" w:sz="4" w:space="0" w:color="auto"/>
              <w:left w:val="single" w:sz="4" w:space="0" w:color="auto"/>
              <w:bottom w:val="single" w:sz="4" w:space="0" w:color="auto"/>
              <w:right w:val="single" w:sz="4" w:space="0" w:color="auto"/>
            </w:tcBorders>
            <w:vAlign w:val="center"/>
          </w:tcPr>
          <w:p w14:paraId="7AC0FD5B"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58C486DD" w14:textId="77777777" w:rsidR="00E57DAA" w:rsidRPr="00AC4185" w:rsidRDefault="00AC4185">
            <w:pPr>
              <w:jc w:val="right"/>
              <w:rPr>
                <w:sz w:val="18"/>
                <w:szCs w:val="18"/>
              </w:rPr>
            </w:pPr>
            <w:r w:rsidRPr="00AC4185">
              <w:rPr>
                <w:sz w:val="18"/>
                <w:szCs w:val="18"/>
              </w:rPr>
              <w:t> </w:t>
            </w:r>
          </w:p>
        </w:tc>
      </w:tr>
      <w:tr w:rsidR="00E57DAA" w14:paraId="0EDD993F"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14E63C3A" w14:textId="77777777" w:rsidR="00E57DAA" w:rsidRDefault="00AC4185">
            <w:pPr>
              <w:jc w:val="both"/>
              <w:rPr>
                <w:sz w:val="20"/>
                <w:szCs w:val="22"/>
              </w:rPr>
            </w:pPr>
            <w:r>
              <w:rPr>
                <w:sz w:val="20"/>
                <w:szCs w:val="22"/>
              </w:rPr>
              <w:t>天津水泥工业设计研究院有限公司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5FA12C33" w14:textId="77777777" w:rsidR="00E57DAA" w:rsidRPr="00AC4185" w:rsidRDefault="00AC4185">
            <w:pPr>
              <w:jc w:val="right"/>
              <w:rPr>
                <w:sz w:val="18"/>
                <w:szCs w:val="18"/>
              </w:rPr>
            </w:pPr>
            <w:r w:rsidRPr="00AC4185">
              <w:rPr>
                <w:sz w:val="18"/>
                <w:szCs w:val="18"/>
              </w:rPr>
              <w:t>1,293,149,833.15</w:t>
            </w:r>
          </w:p>
        </w:tc>
        <w:tc>
          <w:tcPr>
            <w:tcW w:w="620" w:type="pct"/>
            <w:tcBorders>
              <w:top w:val="single" w:sz="4" w:space="0" w:color="auto"/>
              <w:left w:val="single" w:sz="4" w:space="0" w:color="auto"/>
              <w:bottom w:val="single" w:sz="4" w:space="0" w:color="auto"/>
              <w:right w:val="single" w:sz="4" w:space="0" w:color="auto"/>
            </w:tcBorders>
            <w:vAlign w:val="center"/>
          </w:tcPr>
          <w:p w14:paraId="45298408" w14:textId="77777777" w:rsidR="00E57DAA" w:rsidRPr="00AC4185" w:rsidRDefault="00AC4185">
            <w:pPr>
              <w:jc w:val="right"/>
              <w:rPr>
                <w:sz w:val="18"/>
                <w:szCs w:val="18"/>
              </w:rPr>
            </w:pPr>
            <w:r w:rsidRPr="00AC4185">
              <w:rPr>
                <w:sz w:val="18"/>
                <w:szCs w:val="18"/>
              </w:rPr>
              <w:t>1,391,945,954.92</w:t>
            </w:r>
          </w:p>
        </w:tc>
        <w:tc>
          <w:tcPr>
            <w:tcW w:w="661" w:type="pct"/>
            <w:tcBorders>
              <w:top w:val="single" w:sz="4" w:space="0" w:color="auto"/>
              <w:left w:val="single" w:sz="4" w:space="0" w:color="auto"/>
              <w:bottom w:val="single" w:sz="4" w:space="0" w:color="auto"/>
              <w:right w:val="single" w:sz="4" w:space="0" w:color="auto"/>
            </w:tcBorders>
            <w:vAlign w:val="center"/>
          </w:tcPr>
          <w:p w14:paraId="64BB0923" w14:textId="77777777" w:rsidR="00E57DAA" w:rsidRPr="00AC4185" w:rsidRDefault="00AC4185">
            <w:pPr>
              <w:jc w:val="right"/>
              <w:rPr>
                <w:sz w:val="18"/>
                <w:szCs w:val="18"/>
              </w:rPr>
            </w:pPr>
            <w:r w:rsidRPr="00AC4185">
              <w:rPr>
                <w:sz w:val="18"/>
                <w:szCs w:val="18"/>
              </w:rPr>
              <w:t>9,914,382.72</w:t>
            </w:r>
          </w:p>
        </w:tc>
        <w:tc>
          <w:tcPr>
            <w:tcW w:w="552" w:type="pct"/>
            <w:tcBorders>
              <w:top w:val="single" w:sz="4" w:space="0" w:color="auto"/>
              <w:left w:val="single" w:sz="4" w:space="0" w:color="auto"/>
              <w:bottom w:val="single" w:sz="4" w:space="0" w:color="auto"/>
              <w:right w:val="single" w:sz="4" w:space="0" w:color="auto"/>
            </w:tcBorders>
            <w:vAlign w:val="center"/>
          </w:tcPr>
          <w:p w14:paraId="765A6292"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4847999" w14:textId="77777777" w:rsidR="00E57DAA" w:rsidRPr="00AC4185" w:rsidRDefault="00AC4185">
            <w:pPr>
              <w:jc w:val="right"/>
              <w:rPr>
                <w:sz w:val="18"/>
                <w:szCs w:val="18"/>
              </w:rPr>
            </w:pPr>
            <w:r w:rsidRPr="00AC4185">
              <w:rPr>
                <w:sz w:val="18"/>
                <w:szCs w:val="18"/>
              </w:rPr>
              <w:t>1,401,860,337.64</w:t>
            </w:r>
          </w:p>
        </w:tc>
        <w:tc>
          <w:tcPr>
            <w:tcW w:w="589" w:type="pct"/>
            <w:tcBorders>
              <w:top w:val="single" w:sz="4" w:space="0" w:color="auto"/>
              <w:left w:val="single" w:sz="4" w:space="0" w:color="auto"/>
              <w:bottom w:val="single" w:sz="4" w:space="0" w:color="auto"/>
              <w:right w:val="single" w:sz="4" w:space="0" w:color="auto"/>
            </w:tcBorders>
            <w:vAlign w:val="center"/>
          </w:tcPr>
          <w:p w14:paraId="69398E1D"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600DDCD4" w14:textId="77777777" w:rsidR="00E57DAA" w:rsidRPr="00AC4185" w:rsidRDefault="00AC4185">
            <w:pPr>
              <w:jc w:val="right"/>
              <w:rPr>
                <w:sz w:val="18"/>
                <w:szCs w:val="18"/>
              </w:rPr>
            </w:pPr>
            <w:r w:rsidRPr="00AC4185">
              <w:rPr>
                <w:sz w:val="18"/>
                <w:szCs w:val="18"/>
              </w:rPr>
              <w:t> </w:t>
            </w:r>
          </w:p>
        </w:tc>
      </w:tr>
      <w:tr w:rsidR="00E57DAA" w14:paraId="3E3F84E3"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664CAC66" w14:textId="77777777" w:rsidR="00E57DAA" w:rsidRDefault="00AC4185">
            <w:pPr>
              <w:jc w:val="both"/>
              <w:rPr>
                <w:sz w:val="20"/>
                <w:szCs w:val="22"/>
              </w:rPr>
            </w:pPr>
            <w:r>
              <w:rPr>
                <w:sz w:val="20"/>
                <w:szCs w:val="22"/>
              </w:rPr>
              <w:t>浙江博宇机电有限公司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267EACD5" w14:textId="77777777" w:rsidR="00E57DAA" w:rsidRPr="00AC4185" w:rsidRDefault="00AC4185">
            <w:pPr>
              <w:jc w:val="right"/>
              <w:rPr>
                <w:sz w:val="18"/>
                <w:szCs w:val="18"/>
              </w:rPr>
            </w:pPr>
            <w:r w:rsidRPr="00AC4185">
              <w:rPr>
                <w:sz w:val="18"/>
                <w:szCs w:val="18"/>
              </w:rPr>
              <w:t>448,491,500.00</w:t>
            </w:r>
          </w:p>
        </w:tc>
        <w:tc>
          <w:tcPr>
            <w:tcW w:w="620" w:type="pct"/>
            <w:tcBorders>
              <w:top w:val="single" w:sz="4" w:space="0" w:color="auto"/>
              <w:left w:val="single" w:sz="4" w:space="0" w:color="auto"/>
              <w:bottom w:val="single" w:sz="4" w:space="0" w:color="auto"/>
              <w:right w:val="single" w:sz="4" w:space="0" w:color="auto"/>
            </w:tcBorders>
            <w:vAlign w:val="center"/>
          </w:tcPr>
          <w:p w14:paraId="64B930CF" w14:textId="77777777" w:rsidR="00E57DAA" w:rsidRPr="00AC4185" w:rsidRDefault="00AC4185">
            <w:pPr>
              <w:jc w:val="right"/>
              <w:rPr>
                <w:sz w:val="18"/>
                <w:szCs w:val="18"/>
              </w:rPr>
            </w:pPr>
            <w:r w:rsidRPr="00AC4185">
              <w:rPr>
                <w:sz w:val="18"/>
                <w:szCs w:val="18"/>
              </w:rPr>
              <w:t>448,491,500.00</w:t>
            </w:r>
          </w:p>
        </w:tc>
        <w:tc>
          <w:tcPr>
            <w:tcW w:w="661" w:type="pct"/>
            <w:tcBorders>
              <w:top w:val="single" w:sz="4" w:space="0" w:color="auto"/>
              <w:left w:val="single" w:sz="4" w:space="0" w:color="auto"/>
              <w:bottom w:val="single" w:sz="4" w:space="0" w:color="auto"/>
              <w:right w:val="single" w:sz="4" w:space="0" w:color="auto"/>
            </w:tcBorders>
            <w:vAlign w:val="center"/>
          </w:tcPr>
          <w:p w14:paraId="2F924F57"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1AFA83CA"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179EA54A" w14:textId="77777777" w:rsidR="00E57DAA" w:rsidRPr="00AC4185" w:rsidRDefault="00AC4185">
            <w:pPr>
              <w:jc w:val="right"/>
              <w:rPr>
                <w:sz w:val="18"/>
                <w:szCs w:val="18"/>
              </w:rPr>
            </w:pPr>
            <w:r w:rsidRPr="00AC4185">
              <w:rPr>
                <w:sz w:val="18"/>
                <w:szCs w:val="18"/>
              </w:rPr>
              <w:t>448,491,500.00</w:t>
            </w:r>
          </w:p>
        </w:tc>
        <w:tc>
          <w:tcPr>
            <w:tcW w:w="589" w:type="pct"/>
            <w:tcBorders>
              <w:top w:val="single" w:sz="4" w:space="0" w:color="auto"/>
              <w:left w:val="single" w:sz="4" w:space="0" w:color="auto"/>
              <w:bottom w:val="single" w:sz="4" w:space="0" w:color="auto"/>
              <w:right w:val="single" w:sz="4" w:space="0" w:color="auto"/>
            </w:tcBorders>
            <w:vAlign w:val="center"/>
          </w:tcPr>
          <w:p w14:paraId="3C37D79B" w14:textId="77777777" w:rsidR="00E57DAA" w:rsidRPr="00AC4185" w:rsidRDefault="00AC4185">
            <w:pPr>
              <w:jc w:val="right"/>
              <w:rPr>
                <w:sz w:val="18"/>
                <w:szCs w:val="18"/>
              </w:rPr>
            </w:pPr>
            <w:r w:rsidRPr="00AC4185">
              <w:rPr>
                <w:sz w:val="18"/>
                <w:szCs w:val="18"/>
              </w:rPr>
              <w:t>146,972,525.62</w:t>
            </w:r>
          </w:p>
        </w:tc>
        <w:tc>
          <w:tcPr>
            <w:tcW w:w="589" w:type="pct"/>
            <w:tcBorders>
              <w:top w:val="single" w:sz="4" w:space="0" w:color="auto"/>
              <w:left w:val="single" w:sz="4" w:space="0" w:color="auto"/>
              <w:bottom w:val="single" w:sz="4" w:space="0" w:color="auto"/>
              <w:right w:val="single" w:sz="4" w:space="0" w:color="auto"/>
            </w:tcBorders>
            <w:vAlign w:val="center"/>
          </w:tcPr>
          <w:p w14:paraId="45573956" w14:textId="77777777" w:rsidR="00E57DAA" w:rsidRPr="00AC4185" w:rsidRDefault="00AC4185">
            <w:pPr>
              <w:jc w:val="right"/>
              <w:rPr>
                <w:sz w:val="18"/>
                <w:szCs w:val="18"/>
              </w:rPr>
            </w:pPr>
            <w:r w:rsidRPr="00AC4185">
              <w:rPr>
                <w:sz w:val="18"/>
                <w:szCs w:val="18"/>
              </w:rPr>
              <w:t>146,972,525.62</w:t>
            </w:r>
          </w:p>
        </w:tc>
      </w:tr>
      <w:tr w:rsidR="00E57DAA" w14:paraId="0B00DC22"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25D9E0D8" w14:textId="77777777" w:rsidR="00E57DAA" w:rsidRDefault="00AC4185">
            <w:pPr>
              <w:jc w:val="both"/>
              <w:rPr>
                <w:sz w:val="20"/>
                <w:szCs w:val="22"/>
              </w:rPr>
            </w:pPr>
            <w:r>
              <w:rPr>
                <w:sz w:val="20"/>
                <w:szCs w:val="22"/>
              </w:rPr>
              <w:t>中材智能科技（成都）有限公司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329372EB" w14:textId="77777777" w:rsidR="00E57DAA" w:rsidRPr="00AC4185" w:rsidRDefault="00AC4185">
            <w:pPr>
              <w:jc w:val="right"/>
              <w:rPr>
                <w:sz w:val="18"/>
                <w:szCs w:val="18"/>
              </w:rPr>
            </w:pPr>
            <w:r w:rsidRPr="00AC4185">
              <w:rPr>
                <w:sz w:val="18"/>
                <w:szCs w:val="18"/>
              </w:rPr>
              <w:t>78,041,633.37</w:t>
            </w:r>
          </w:p>
        </w:tc>
        <w:tc>
          <w:tcPr>
            <w:tcW w:w="620" w:type="pct"/>
            <w:tcBorders>
              <w:top w:val="single" w:sz="4" w:space="0" w:color="auto"/>
              <w:left w:val="single" w:sz="4" w:space="0" w:color="auto"/>
              <w:bottom w:val="single" w:sz="4" w:space="0" w:color="auto"/>
              <w:right w:val="single" w:sz="4" w:space="0" w:color="auto"/>
            </w:tcBorders>
            <w:vAlign w:val="center"/>
          </w:tcPr>
          <w:p w14:paraId="5DAC80E7" w14:textId="77777777" w:rsidR="00E57DAA" w:rsidRPr="00AC4185" w:rsidRDefault="00AC4185">
            <w:pPr>
              <w:jc w:val="right"/>
              <w:rPr>
                <w:sz w:val="18"/>
                <w:szCs w:val="18"/>
              </w:rPr>
            </w:pPr>
            <w:r w:rsidRPr="00AC4185">
              <w:rPr>
                <w:sz w:val="18"/>
                <w:szCs w:val="18"/>
              </w:rPr>
              <w:t>78,041,633.37</w:t>
            </w:r>
          </w:p>
        </w:tc>
        <w:tc>
          <w:tcPr>
            <w:tcW w:w="661" w:type="pct"/>
            <w:tcBorders>
              <w:top w:val="single" w:sz="4" w:space="0" w:color="auto"/>
              <w:left w:val="single" w:sz="4" w:space="0" w:color="auto"/>
              <w:bottom w:val="single" w:sz="4" w:space="0" w:color="auto"/>
              <w:right w:val="single" w:sz="4" w:space="0" w:color="auto"/>
            </w:tcBorders>
            <w:vAlign w:val="center"/>
          </w:tcPr>
          <w:p w14:paraId="3DDA0E76"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716997F6" w14:textId="77777777" w:rsidR="00E57DAA" w:rsidRPr="00AC4185" w:rsidRDefault="00AC4185">
            <w:pPr>
              <w:jc w:val="right"/>
              <w:rPr>
                <w:sz w:val="18"/>
                <w:szCs w:val="18"/>
              </w:rPr>
            </w:pPr>
            <w:r w:rsidRPr="00AC4185">
              <w:rPr>
                <w:sz w:val="18"/>
                <w:szCs w:val="18"/>
              </w:rPr>
              <w:t>35,333,333.00</w:t>
            </w:r>
          </w:p>
        </w:tc>
        <w:tc>
          <w:tcPr>
            <w:tcW w:w="661" w:type="pct"/>
            <w:tcBorders>
              <w:top w:val="single" w:sz="4" w:space="0" w:color="auto"/>
              <w:left w:val="single" w:sz="4" w:space="0" w:color="auto"/>
              <w:bottom w:val="single" w:sz="4" w:space="0" w:color="auto"/>
              <w:right w:val="single" w:sz="4" w:space="0" w:color="auto"/>
            </w:tcBorders>
            <w:vAlign w:val="center"/>
          </w:tcPr>
          <w:p w14:paraId="7AF7A310" w14:textId="77777777" w:rsidR="00E57DAA" w:rsidRPr="00AC4185" w:rsidRDefault="00AC4185">
            <w:pPr>
              <w:jc w:val="right"/>
              <w:rPr>
                <w:sz w:val="18"/>
                <w:szCs w:val="18"/>
              </w:rPr>
            </w:pPr>
            <w:r w:rsidRPr="00AC4185">
              <w:rPr>
                <w:sz w:val="18"/>
                <w:szCs w:val="18"/>
              </w:rPr>
              <w:t>42,708,300.37</w:t>
            </w:r>
          </w:p>
        </w:tc>
        <w:tc>
          <w:tcPr>
            <w:tcW w:w="589" w:type="pct"/>
            <w:tcBorders>
              <w:top w:val="single" w:sz="4" w:space="0" w:color="auto"/>
              <w:left w:val="single" w:sz="4" w:space="0" w:color="auto"/>
              <w:bottom w:val="single" w:sz="4" w:space="0" w:color="auto"/>
              <w:right w:val="single" w:sz="4" w:space="0" w:color="auto"/>
            </w:tcBorders>
            <w:vAlign w:val="center"/>
          </w:tcPr>
          <w:p w14:paraId="09378FD5"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33958AF6" w14:textId="77777777" w:rsidR="00E57DAA" w:rsidRPr="00AC4185" w:rsidRDefault="00AC4185">
            <w:pPr>
              <w:jc w:val="right"/>
              <w:rPr>
                <w:sz w:val="18"/>
                <w:szCs w:val="18"/>
              </w:rPr>
            </w:pPr>
            <w:r w:rsidRPr="00AC4185">
              <w:rPr>
                <w:sz w:val="18"/>
                <w:szCs w:val="18"/>
              </w:rPr>
              <w:t> </w:t>
            </w:r>
          </w:p>
        </w:tc>
      </w:tr>
      <w:tr w:rsidR="00E57DAA" w14:paraId="57694500"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3B09B2E2" w14:textId="77777777" w:rsidR="00E57DAA" w:rsidRDefault="00AC4185">
            <w:pPr>
              <w:jc w:val="both"/>
              <w:rPr>
                <w:sz w:val="20"/>
                <w:szCs w:val="22"/>
              </w:rPr>
            </w:pPr>
            <w:r>
              <w:rPr>
                <w:sz w:val="20"/>
                <w:szCs w:val="22"/>
              </w:rPr>
              <w:t>中建材智慧工业科技有限公司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7E205A38" w14:textId="77777777" w:rsidR="00E57DAA" w:rsidRPr="00AC4185" w:rsidRDefault="00AC4185">
            <w:pPr>
              <w:jc w:val="right"/>
              <w:rPr>
                <w:sz w:val="18"/>
                <w:szCs w:val="18"/>
              </w:rPr>
            </w:pPr>
            <w:r w:rsidRPr="00AC4185">
              <w:rPr>
                <w:sz w:val="18"/>
                <w:szCs w:val="18"/>
              </w:rPr>
              <w:t>156,250,000.00</w:t>
            </w:r>
          </w:p>
        </w:tc>
        <w:tc>
          <w:tcPr>
            <w:tcW w:w="620" w:type="pct"/>
            <w:tcBorders>
              <w:top w:val="single" w:sz="4" w:space="0" w:color="auto"/>
              <w:left w:val="single" w:sz="4" w:space="0" w:color="auto"/>
              <w:bottom w:val="single" w:sz="4" w:space="0" w:color="auto"/>
              <w:right w:val="single" w:sz="4" w:space="0" w:color="auto"/>
            </w:tcBorders>
            <w:vAlign w:val="center"/>
          </w:tcPr>
          <w:p w14:paraId="3A32198B" w14:textId="77777777" w:rsidR="00E57DAA" w:rsidRPr="00AC4185" w:rsidRDefault="00AC4185">
            <w:pPr>
              <w:jc w:val="right"/>
              <w:rPr>
                <w:sz w:val="18"/>
                <w:szCs w:val="18"/>
              </w:rPr>
            </w:pPr>
            <w:r w:rsidRPr="00AC4185">
              <w:rPr>
                <w:sz w:val="18"/>
                <w:szCs w:val="18"/>
              </w:rPr>
              <w:t>146,506,966.84</w:t>
            </w:r>
          </w:p>
        </w:tc>
        <w:tc>
          <w:tcPr>
            <w:tcW w:w="661" w:type="pct"/>
            <w:tcBorders>
              <w:top w:val="single" w:sz="4" w:space="0" w:color="auto"/>
              <w:left w:val="single" w:sz="4" w:space="0" w:color="auto"/>
              <w:bottom w:val="single" w:sz="4" w:space="0" w:color="auto"/>
              <w:right w:val="single" w:sz="4" w:space="0" w:color="auto"/>
            </w:tcBorders>
            <w:vAlign w:val="center"/>
          </w:tcPr>
          <w:p w14:paraId="2F0AC56F" w14:textId="77777777" w:rsidR="00E57DAA" w:rsidRPr="00AC4185" w:rsidRDefault="00AC4185">
            <w:pPr>
              <w:jc w:val="right"/>
              <w:rPr>
                <w:sz w:val="18"/>
                <w:szCs w:val="18"/>
              </w:rPr>
            </w:pPr>
            <w:r w:rsidRPr="00AC4185">
              <w:rPr>
                <w:sz w:val="18"/>
                <w:szCs w:val="18"/>
              </w:rPr>
              <w:t>883,575.00</w:t>
            </w:r>
          </w:p>
        </w:tc>
        <w:tc>
          <w:tcPr>
            <w:tcW w:w="552" w:type="pct"/>
            <w:tcBorders>
              <w:top w:val="single" w:sz="4" w:space="0" w:color="auto"/>
              <w:left w:val="single" w:sz="4" w:space="0" w:color="auto"/>
              <w:bottom w:val="single" w:sz="4" w:space="0" w:color="auto"/>
              <w:right w:val="single" w:sz="4" w:space="0" w:color="auto"/>
            </w:tcBorders>
            <w:vAlign w:val="center"/>
          </w:tcPr>
          <w:p w14:paraId="4B45084B"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325BFE56" w14:textId="77777777" w:rsidR="00E57DAA" w:rsidRPr="00AC4185" w:rsidRDefault="00AC4185">
            <w:pPr>
              <w:jc w:val="right"/>
              <w:rPr>
                <w:sz w:val="18"/>
                <w:szCs w:val="18"/>
              </w:rPr>
            </w:pPr>
            <w:r w:rsidRPr="00AC4185">
              <w:rPr>
                <w:sz w:val="18"/>
                <w:szCs w:val="18"/>
              </w:rPr>
              <w:t>147,390,541.84</w:t>
            </w:r>
          </w:p>
        </w:tc>
        <w:tc>
          <w:tcPr>
            <w:tcW w:w="589" w:type="pct"/>
            <w:tcBorders>
              <w:top w:val="single" w:sz="4" w:space="0" w:color="auto"/>
              <w:left w:val="single" w:sz="4" w:space="0" w:color="auto"/>
              <w:bottom w:val="single" w:sz="4" w:space="0" w:color="auto"/>
              <w:right w:val="single" w:sz="4" w:space="0" w:color="auto"/>
            </w:tcBorders>
            <w:vAlign w:val="center"/>
          </w:tcPr>
          <w:p w14:paraId="0E3901F6"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3C0CF03E" w14:textId="77777777" w:rsidR="00E57DAA" w:rsidRPr="00AC4185" w:rsidRDefault="00AC4185">
            <w:pPr>
              <w:jc w:val="right"/>
              <w:rPr>
                <w:sz w:val="18"/>
                <w:szCs w:val="18"/>
              </w:rPr>
            </w:pPr>
            <w:r w:rsidRPr="00AC4185">
              <w:rPr>
                <w:sz w:val="18"/>
                <w:szCs w:val="18"/>
              </w:rPr>
              <w:t> </w:t>
            </w:r>
          </w:p>
        </w:tc>
      </w:tr>
      <w:tr w:rsidR="00E57DAA" w14:paraId="69987EE1"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7C88FFF7" w14:textId="77777777" w:rsidR="00E57DAA" w:rsidRDefault="00AC4185">
            <w:pPr>
              <w:jc w:val="both"/>
              <w:rPr>
                <w:sz w:val="20"/>
                <w:szCs w:val="22"/>
              </w:rPr>
            </w:pPr>
            <w:r>
              <w:rPr>
                <w:sz w:val="20"/>
                <w:szCs w:val="22"/>
              </w:rPr>
              <w:t>中材国际智能科技有限公司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2ED0A74F" w14:textId="77777777" w:rsidR="00E57DAA" w:rsidRPr="00AC4185" w:rsidRDefault="00AC4185">
            <w:pPr>
              <w:jc w:val="right"/>
              <w:rPr>
                <w:sz w:val="18"/>
                <w:szCs w:val="18"/>
              </w:rPr>
            </w:pPr>
            <w:r w:rsidRPr="00AC4185">
              <w:rPr>
                <w:sz w:val="18"/>
                <w:szCs w:val="18"/>
              </w:rPr>
              <w:t>931,750,915.62</w:t>
            </w:r>
          </w:p>
        </w:tc>
        <w:tc>
          <w:tcPr>
            <w:tcW w:w="620" w:type="pct"/>
            <w:tcBorders>
              <w:top w:val="single" w:sz="4" w:space="0" w:color="auto"/>
              <w:left w:val="single" w:sz="4" w:space="0" w:color="auto"/>
              <w:bottom w:val="single" w:sz="4" w:space="0" w:color="auto"/>
              <w:right w:val="single" w:sz="4" w:space="0" w:color="auto"/>
            </w:tcBorders>
            <w:vAlign w:val="center"/>
          </w:tcPr>
          <w:p w14:paraId="15AF4FDA" w14:textId="77777777" w:rsidR="00E57DAA" w:rsidRPr="00AC4185" w:rsidRDefault="00AC4185">
            <w:pPr>
              <w:jc w:val="right"/>
              <w:rPr>
                <w:sz w:val="18"/>
                <w:szCs w:val="18"/>
              </w:rPr>
            </w:pPr>
            <w:r w:rsidRPr="00AC4185">
              <w:rPr>
                <w:sz w:val="18"/>
                <w:szCs w:val="18"/>
              </w:rPr>
              <w:t>932,754,019.62</w:t>
            </w:r>
          </w:p>
        </w:tc>
        <w:tc>
          <w:tcPr>
            <w:tcW w:w="661" w:type="pct"/>
            <w:tcBorders>
              <w:top w:val="single" w:sz="4" w:space="0" w:color="auto"/>
              <w:left w:val="single" w:sz="4" w:space="0" w:color="auto"/>
              <w:bottom w:val="single" w:sz="4" w:space="0" w:color="auto"/>
              <w:right w:val="single" w:sz="4" w:space="0" w:color="auto"/>
            </w:tcBorders>
            <w:vAlign w:val="center"/>
          </w:tcPr>
          <w:p w14:paraId="019722FC" w14:textId="77777777" w:rsidR="00E57DAA" w:rsidRPr="00AC4185" w:rsidRDefault="00AC4185">
            <w:pPr>
              <w:jc w:val="right"/>
              <w:rPr>
                <w:sz w:val="18"/>
                <w:szCs w:val="18"/>
              </w:rPr>
            </w:pPr>
            <w:r w:rsidRPr="00AC4185">
              <w:rPr>
                <w:sz w:val="18"/>
                <w:szCs w:val="18"/>
              </w:rPr>
              <w:t>1,888,822.80</w:t>
            </w:r>
          </w:p>
        </w:tc>
        <w:tc>
          <w:tcPr>
            <w:tcW w:w="552" w:type="pct"/>
            <w:tcBorders>
              <w:top w:val="single" w:sz="4" w:space="0" w:color="auto"/>
              <w:left w:val="single" w:sz="4" w:space="0" w:color="auto"/>
              <w:bottom w:val="single" w:sz="4" w:space="0" w:color="auto"/>
              <w:right w:val="single" w:sz="4" w:space="0" w:color="auto"/>
            </w:tcBorders>
            <w:vAlign w:val="center"/>
          </w:tcPr>
          <w:p w14:paraId="1E25C749"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2A5AF5AB" w14:textId="77777777" w:rsidR="00E57DAA" w:rsidRPr="00AC4185" w:rsidRDefault="00AC4185">
            <w:pPr>
              <w:jc w:val="right"/>
              <w:rPr>
                <w:sz w:val="18"/>
                <w:szCs w:val="18"/>
              </w:rPr>
            </w:pPr>
            <w:r w:rsidRPr="00AC4185">
              <w:rPr>
                <w:sz w:val="18"/>
                <w:szCs w:val="18"/>
              </w:rPr>
              <w:t>934,642,842.42</w:t>
            </w:r>
          </w:p>
        </w:tc>
        <w:tc>
          <w:tcPr>
            <w:tcW w:w="589" w:type="pct"/>
            <w:tcBorders>
              <w:top w:val="single" w:sz="4" w:space="0" w:color="auto"/>
              <w:left w:val="single" w:sz="4" w:space="0" w:color="auto"/>
              <w:bottom w:val="single" w:sz="4" w:space="0" w:color="auto"/>
              <w:right w:val="single" w:sz="4" w:space="0" w:color="auto"/>
            </w:tcBorders>
            <w:vAlign w:val="center"/>
          </w:tcPr>
          <w:p w14:paraId="7E8F5E4C"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5D218281" w14:textId="77777777" w:rsidR="00E57DAA" w:rsidRPr="00AC4185" w:rsidRDefault="00AC4185">
            <w:pPr>
              <w:jc w:val="right"/>
              <w:rPr>
                <w:sz w:val="18"/>
                <w:szCs w:val="18"/>
              </w:rPr>
            </w:pPr>
            <w:r w:rsidRPr="00AC4185">
              <w:rPr>
                <w:sz w:val="18"/>
                <w:szCs w:val="18"/>
              </w:rPr>
              <w:t> </w:t>
            </w:r>
          </w:p>
        </w:tc>
      </w:tr>
      <w:tr w:rsidR="00E57DAA" w14:paraId="4C94C14A"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1A486CC9" w14:textId="77777777" w:rsidR="00E57DAA" w:rsidRDefault="00AC4185">
            <w:pPr>
              <w:jc w:val="both"/>
              <w:rPr>
                <w:sz w:val="20"/>
                <w:szCs w:val="22"/>
              </w:rPr>
            </w:pPr>
            <w:r>
              <w:rPr>
                <w:sz w:val="20"/>
                <w:szCs w:val="22"/>
              </w:rPr>
              <w:t>中材矿山建设有限公司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678215D6" w14:textId="77777777" w:rsidR="00E57DAA" w:rsidRPr="00AC4185" w:rsidRDefault="00AC4185">
            <w:pPr>
              <w:jc w:val="right"/>
              <w:rPr>
                <w:sz w:val="18"/>
                <w:szCs w:val="18"/>
              </w:rPr>
            </w:pPr>
            <w:r w:rsidRPr="00AC4185">
              <w:rPr>
                <w:sz w:val="18"/>
                <w:szCs w:val="18"/>
              </w:rPr>
              <w:t>1,739,137,805.12</w:t>
            </w:r>
          </w:p>
        </w:tc>
        <w:tc>
          <w:tcPr>
            <w:tcW w:w="620" w:type="pct"/>
            <w:tcBorders>
              <w:top w:val="single" w:sz="4" w:space="0" w:color="auto"/>
              <w:left w:val="single" w:sz="4" w:space="0" w:color="auto"/>
              <w:bottom w:val="single" w:sz="4" w:space="0" w:color="auto"/>
              <w:right w:val="single" w:sz="4" w:space="0" w:color="auto"/>
            </w:tcBorders>
            <w:vAlign w:val="center"/>
          </w:tcPr>
          <w:p w14:paraId="048CA323" w14:textId="77777777" w:rsidR="00E57DAA" w:rsidRPr="00AC4185" w:rsidRDefault="00AC4185">
            <w:pPr>
              <w:jc w:val="right"/>
              <w:rPr>
                <w:sz w:val="18"/>
                <w:szCs w:val="18"/>
              </w:rPr>
            </w:pPr>
            <w:r w:rsidRPr="00AC4185">
              <w:rPr>
                <w:sz w:val="18"/>
                <w:szCs w:val="18"/>
              </w:rPr>
              <w:t>1,746,714,584.00</w:t>
            </w:r>
          </w:p>
        </w:tc>
        <w:tc>
          <w:tcPr>
            <w:tcW w:w="661" w:type="pct"/>
            <w:tcBorders>
              <w:top w:val="single" w:sz="4" w:space="0" w:color="auto"/>
              <w:left w:val="single" w:sz="4" w:space="0" w:color="auto"/>
              <w:bottom w:val="single" w:sz="4" w:space="0" w:color="auto"/>
              <w:right w:val="single" w:sz="4" w:space="0" w:color="auto"/>
            </w:tcBorders>
            <w:vAlign w:val="center"/>
          </w:tcPr>
          <w:p w14:paraId="225B3AE0" w14:textId="77777777" w:rsidR="00E57DAA" w:rsidRPr="00AC4185" w:rsidRDefault="00AC4185">
            <w:pPr>
              <w:jc w:val="right"/>
              <w:rPr>
                <w:sz w:val="18"/>
                <w:szCs w:val="18"/>
              </w:rPr>
            </w:pPr>
            <w:r w:rsidRPr="00AC4185">
              <w:rPr>
                <w:sz w:val="18"/>
                <w:szCs w:val="18"/>
              </w:rPr>
              <w:t>11,844,188.00</w:t>
            </w:r>
          </w:p>
        </w:tc>
        <w:tc>
          <w:tcPr>
            <w:tcW w:w="552" w:type="pct"/>
            <w:tcBorders>
              <w:top w:val="single" w:sz="4" w:space="0" w:color="auto"/>
              <w:left w:val="single" w:sz="4" w:space="0" w:color="auto"/>
              <w:bottom w:val="single" w:sz="4" w:space="0" w:color="auto"/>
              <w:right w:val="single" w:sz="4" w:space="0" w:color="auto"/>
            </w:tcBorders>
            <w:vAlign w:val="center"/>
          </w:tcPr>
          <w:p w14:paraId="20EE6FF4"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649AF8A" w14:textId="77777777" w:rsidR="00E57DAA" w:rsidRPr="00AC4185" w:rsidRDefault="00AC4185">
            <w:pPr>
              <w:jc w:val="right"/>
              <w:rPr>
                <w:sz w:val="18"/>
                <w:szCs w:val="18"/>
              </w:rPr>
            </w:pPr>
            <w:r w:rsidRPr="00AC4185">
              <w:rPr>
                <w:sz w:val="18"/>
                <w:szCs w:val="18"/>
              </w:rPr>
              <w:t>1,758,558,772.00</w:t>
            </w:r>
          </w:p>
        </w:tc>
        <w:tc>
          <w:tcPr>
            <w:tcW w:w="589" w:type="pct"/>
            <w:tcBorders>
              <w:top w:val="single" w:sz="4" w:space="0" w:color="auto"/>
              <w:left w:val="single" w:sz="4" w:space="0" w:color="auto"/>
              <w:bottom w:val="single" w:sz="4" w:space="0" w:color="auto"/>
              <w:right w:val="single" w:sz="4" w:space="0" w:color="auto"/>
            </w:tcBorders>
            <w:vAlign w:val="center"/>
          </w:tcPr>
          <w:p w14:paraId="03E0416A"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4D3A31C9" w14:textId="77777777" w:rsidR="00E57DAA" w:rsidRPr="00AC4185" w:rsidRDefault="00AC4185">
            <w:pPr>
              <w:jc w:val="right"/>
              <w:rPr>
                <w:sz w:val="18"/>
                <w:szCs w:val="18"/>
              </w:rPr>
            </w:pPr>
            <w:r w:rsidRPr="00AC4185">
              <w:rPr>
                <w:sz w:val="18"/>
                <w:szCs w:val="18"/>
              </w:rPr>
              <w:t> </w:t>
            </w:r>
          </w:p>
        </w:tc>
      </w:tr>
      <w:tr w:rsidR="00E57DAA" w14:paraId="10F41461"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01C8027D" w14:textId="77777777" w:rsidR="00E57DAA" w:rsidRDefault="00AC4185">
            <w:pPr>
              <w:jc w:val="both"/>
              <w:rPr>
                <w:sz w:val="20"/>
                <w:szCs w:val="22"/>
              </w:rPr>
            </w:pPr>
            <w:r>
              <w:rPr>
                <w:sz w:val="20"/>
                <w:szCs w:val="22"/>
              </w:rPr>
              <w:t>北京凯盛建材工程有限公司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71141746" w14:textId="77777777" w:rsidR="00E57DAA" w:rsidRPr="00AC4185" w:rsidRDefault="00AC4185">
            <w:pPr>
              <w:jc w:val="right"/>
              <w:rPr>
                <w:sz w:val="18"/>
                <w:szCs w:val="18"/>
              </w:rPr>
            </w:pPr>
            <w:r w:rsidRPr="00AC4185">
              <w:rPr>
                <w:sz w:val="18"/>
                <w:szCs w:val="18"/>
              </w:rPr>
              <w:t>403,996,094.22</w:t>
            </w:r>
          </w:p>
        </w:tc>
        <w:tc>
          <w:tcPr>
            <w:tcW w:w="620" w:type="pct"/>
            <w:tcBorders>
              <w:top w:val="single" w:sz="4" w:space="0" w:color="auto"/>
              <w:left w:val="single" w:sz="4" w:space="0" w:color="auto"/>
              <w:bottom w:val="single" w:sz="4" w:space="0" w:color="auto"/>
              <w:right w:val="single" w:sz="4" w:space="0" w:color="auto"/>
            </w:tcBorders>
            <w:vAlign w:val="center"/>
          </w:tcPr>
          <w:p w14:paraId="2ACDDC88" w14:textId="77777777" w:rsidR="00E57DAA" w:rsidRPr="00AC4185" w:rsidRDefault="00AC4185">
            <w:pPr>
              <w:jc w:val="right"/>
              <w:rPr>
                <w:sz w:val="18"/>
                <w:szCs w:val="18"/>
              </w:rPr>
            </w:pPr>
            <w:r w:rsidRPr="00AC4185">
              <w:rPr>
                <w:sz w:val="18"/>
                <w:szCs w:val="18"/>
              </w:rPr>
              <w:t>403,996,094.22</w:t>
            </w:r>
          </w:p>
        </w:tc>
        <w:tc>
          <w:tcPr>
            <w:tcW w:w="661" w:type="pct"/>
            <w:tcBorders>
              <w:top w:val="single" w:sz="4" w:space="0" w:color="auto"/>
              <w:left w:val="single" w:sz="4" w:space="0" w:color="auto"/>
              <w:bottom w:val="single" w:sz="4" w:space="0" w:color="auto"/>
              <w:right w:val="single" w:sz="4" w:space="0" w:color="auto"/>
            </w:tcBorders>
            <w:vAlign w:val="center"/>
          </w:tcPr>
          <w:p w14:paraId="369220CD" w14:textId="77777777" w:rsidR="00E57DAA" w:rsidRPr="00AC4185" w:rsidRDefault="00AC4185">
            <w:pPr>
              <w:jc w:val="right"/>
              <w:rPr>
                <w:sz w:val="18"/>
                <w:szCs w:val="18"/>
              </w:rPr>
            </w:pPr>
            <w:r w:rsidRPr="00AC4185">
              <w:rPr>
                <w:sz w:val="18"/>
                <w:szCs w:val="18"/>
              </w:rPr>
              <w:t>617,028.70</w:t>
            </w:r>
          </w:p>
        </w:tc>
        <w:tc>
          <w:tcPr>
            <w:tcW w:w="552" w:type="pct"/>
            <w:tcBorders>
              <w:top w:val="single" w:sz="4" w:space="0" w:color="auto"/>
              <w:left w:val="single" w:sz="4" w:space="0" w:color="auto"/>
              <w:bottom w:val="single" w:sz="4" w:space="0" w:color="auto"/>
              <w:right w:val="single" w:sz="4" w:space="0" w:color="auto"/>
            </w:tcBorders>
            <w:vAlign w:val="center"/>
          </w:tcPr>
          <w:p w14:paraId="1F0138AF"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CE84DBF" w14:textId="77777777" w:rsidR="00E57DAA" w:rsidRPr="00AC4185" w:rsidRDefault="00AC4185">
            <w:pPr>
              <w:jc w:val="right"/>
              <w:rPr>
                <w:sz w:val="18"/>
                <w:szCs w:val="18"/>
              </w:rPr>
            </w:pPr>
            <w:r w:rsidRPr="00AC4185">
              <w:rPr>
                <w:sz w:val="18"/>
                <w:szCs w:val="18"/>
              </w:rPr>
              <w:t>404,613,122.92</w:t>
            </w:r>
          </w:p>
        </w:tc>
        <w:tc>
          <w:tcPr>
            <w:tcW w:w="589" w:type="pct"/>
            <w:tcBorders>
              <w:top w:val="single" w:sz="4" w:space="0" w:color="auto"/>
              <w:left w:val="single" w:sz="4" w:space="0" w:color="auto"/>
              <w:bottom w:val="single" w:sz="4" w:space="0" w:color="auto"/>
              <w:right w:val="single" w:sz="4" w:space="0" w:color="auto"/>
            </w:tcBorders>
            <w:vAlign w:val="center"/>
          </w:tcPr>
          <w:p w14:paraId="46FB4665"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30C85866" w14:textId="77777777" w:rsidR="00E57DAA" w:rsidRPr="00AC4185" w:rsidRDefault="00AC4185">
            <w:pPr>
              <w:jc w:val="right"/>
              <w:rPr>
                <w:sz w:val="18"/>
                <w:szCs w:val="18"/>
              </w:rPr>
            </w:pPr>
            <w:r w:rsidRPr="00AC4185">
              <w:rPr>
                <w:sz w:val="18"/>
                <w:szCs w:val="18"/>
              </w:rPr>
              <w:t> </w:t>
            </w:r>
          </w:p>
        </w:tc>
      </w:tr>
      <w:tr w:rsidR="00E57DAA" w14:paraId="4673808F"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7EBE801C" w14:textId="77777777" w:rsidR="00E57DAA" w:rsidRDefault="00AC4185">
            <w:pPr>
              <w:jc w:val="both"/>
              <w:rPr>
                <w:sz w:val="20"/>
                <w:szCs w:val="22"/>
              </w:rPr>
            </w:pPr>
            <w:r>
              <w:rPr>
                <w:sz w:val="20"/>
                <w:szCs w:val="22"/>
              </w:rPr>
              <w:t>江苏水泥工程杂志社</w:t>
            </w:r>
          </w:p>
        </w:tc>
        <w:tc>
          <w:tcPr>
            <w:tcW w:w="631" w:type="pct"/>
            <w:tcBorders>
              <w:top w:val="single" w:sz="4" w:space="0" w:color="auto"/>
              <w:left w:val="single" w:sz="4" w:space="0" w:color="auto"/>
              <w:bottom w:val="single" w:sz="4" w:space="0" w:color="auto"/>
              <w:right w:val="single" w:sz="4" w:space="0" w:color="auto"/>
            </w:tcBorders>
            <w:vAlign w:val="center"/>
          </w:tcPr>
          <w:p w14:paraId="6D45BF2F" w14:textId="77777777" w:rsidR="00E57DAA" w:rsidRPr="00AC4185" w:rsidRDefault="00AC4185">
            <w:pPr>
              <w:jc w:val="right"/>
              <w:rPr>
                <w:sz w:val="18"/>
                <w:szCs w:val="18"/>
              </w:rPr>
            </w:pPr>
            <w:r w:rsidRPr="00AC4185">
              <w:rPr>
                <w:sz w:val="18"/>
                <w:szCs w:val="18"/>
              </w:rPr>
              <w:t>300,000.00</w:t>
            </w:r>
          </w:p>
        </w:tc>
        <w:tc>
          <w:tcPr>
            <w:tcW w:w="620" w:type="pct"/>
            <w:tcBorders>
              <w:top w:val="single" w:sz="4" w:space="0" w:color="auto"/>
              <w:left w:val="single" w:sz="4" w:space="0" w:color="auto"/>
              <w:bottom w:val="single" w:sz="4" w:space="0" w:color="auto"/>
              <w:right w:val="single" w:sz="4" w:space="0" w:color="auto"/>
            </w:tcBorders>
            <w:vAlign w:val="center"/>
          </w:tcPr>
          <w:p w14:paraId="27C46895" w14:textId="77777777" w:rsidR="00E57DAA" w:rsidRPr="00AC4185" w:rsidRDefault="00AC4185">
            <w:pPr>
              <w:jc w:val="right"/>
              <w:rPr>
                <w:sz w:val="18"/>
                <w:szCs w:val="18"/>
              </w:rPr>
            </w:pPr>
            <w:r w:rsidRPr="00AC4185">
              <w:rPr>
                <w:sz w:val="18"/>
                <w:szCs w:val="18"/>
              </w:rPr>
              <w:t>300,000.00</w:t>
            </w:r>
          </w:p>
        </w:tc>
        <w:tc>
          <w:tcPr>
            <w:tcW w:w="661" w:type="pct"/>
            <w:tcBorders>
              <w:top w:val="single" w:sz="4" w:space="0" w:color="auto"/>
              <w:left w:val="single" w:sz="4" w:space="0" w:color="auto"/>
              <w:bottom w:val="single" w:sz="4" w:space="0" w:color="auto"/>
              <w:right w:val="single" w:sz="4" w:space="0" w:color="auto"/>
            </w:tcBorders>
            <w:vAlign w:val="center"/>
          </w:tcPr>
          <w:p w14:paraId="34ECF55F"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018DFDCE"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3F4E7578" w14:textId="77777777" w:rsidR="00E57DAA" w:rsidRPr="00AC4185" w:rsidRDefault="00AC4185">
            <w:pPr>
              <w:jc w:val="right"/>
              <w:rPr>
                <w:sz w:val="18"/>
                <w:szCs w:val="18"/>
              </w:rPr>
            </w:pPr>
            <w:r w:rsidRPr="00AC4185">
              <w:rPr>
                <w:sz w:val="18"/>
                <w:szCs w:val="18"/>
              </w:rPr>
              <w:t>300,000.00</w:t>
            </w:r>
          </w:p>
        </w:tc>
        <w:tc>
          <w:tcPr>
            <w:tcW w:w="589" w:type="pct"/>
            <w:tcBorders>
              <w:top w:val="single" w:sz="4" w:space="0" w:color="auto"/>
              <w:left w:val="single" w:sz="4" w:space="0" w:color="auto"/>
              <w:bottom w:val="single" w:sz="4" w:space="0" w:color="auto"/>
              <w:right w:val="single" w:sz="4" w:space="0" w:color="auto"/>
            </w:tcBorders>
            <w:vAlign w:val="center"/>
          </w:tcPr>
          <w:p w14:paraId="3FFD47D3"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72B936AD" w14:textId="77777777" w:rsidR="00E57DAA" w:rsidRPr="00AC4185" w:rsidRDefault="00AC4185">
            <w:pPr>
              <w:jc w:val="right"/>
              <w:rPr>
                <w:sz w:val="18"/>
                <w:szCs w:val="18"/>
              </w:rPr>
            </w:pPr>
            <w:r w:rsidRPr="00AC4185">
              <w:rPr>
                <w:sz w:val="18"/>
                <w:szCs w:val="18"/>
              </w:rPr>
              <w:t> </w:t>
            </w:r>
          </w:p>
        </w:tc>
      </w:tr>
      <w:tr w:rsidR="00E57DAA" w14:paraId="539110BA"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5817D593" w14:textId="77777777" w:rsidR="00E57DAA" w:rsidRDefault="00AC4185">
            <w:pPr>
              <w:jc w:val="both"/>
              <w:rPr>
                <w:sz w:val="20"/>
                <w:szCs w:val="22"/>
              </w:rPr>
            </w:pPr>
            <w:r>
              <w:rPr>
                <w:sz w:val="20"/>
                <w:szCs w:val="22"/>
              </w:rPr>
              <w:t>中材宁锐（南京）国际物流有限公司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25694A43" w14:textId="77777777" w:rsidR="00E57DAA" w:rsidRPr="00AC4185" w:rsidRDefault="00AC4185">
            <w:pPr>
              <w:jc w:val="right"/>
              <w:rPr>
                <w:sz w:val="18"/>
                <w:szCs w:val="18"/>
              </w:rPr>
            </w:pPr>
            <w:r w:rsidRPr="00AC4185">
              <w:rPr>
                <w:sz w:val="18"/>
                <w:szCs w:val="18"/>
              </w:rPr>
              <w:t>28,961,690.00</w:t>
            </w:r>
          </w:p>
        </w:tc>
        <w:tc>
          <w:tcPr>
            <w:tcW w:w="620" w:type="pct"/>
            <w:tcBorders>
              <w:top w:val="single" w:sz="4" w:space="0" w:color="auto"/>
              <w:left w:val="single" w:sz="4" w:space="0" w:color="auto"/>
              <w:bottom w:val="single" w:sz="4" w:space="0" w:color="auto"/>
              <w:right w:val="single" w:sz="4" w:space="0" w:color="auto"/>
            </w:tcBorders>
            <w:vAlign w:val="center"/>
          </w:tcPr>
          <w:p w14:paraId="5352A85B" w14:textId="77777777" w:rsidR="00E57DAA" w:rsidRPr="00AC4185" w:rsidRDefault="00AC4185">
            <w:pPr>
              <w:jc w:val="right"/>
              <w:rPr>
                <w:sz w:val="18"/>
                <w:szCs w:val="18"/>
              </w:rPr>
            </w:pPr>
            <w:r w:rsidRPr="00AC4185">
              <w:rPr>
                <w:sz w:val="18"/>
                <w:szCs w:val="18"/>
              </w:rPr>
              <w:t>28,961,690.00</w:t>
            </w:r>
          </w:p>
        </w:tc>
        <w:tc>
          <w:tcPr>
            <w:tcW w:w="661" w:type="pct"/>
            <w:tcBorders>
              <w:top w:val="single" w:sz="4" w:space="0" w:color="auto"/>
              <w:left w:val="single" w:sz="4" w:space="0" w:color="auto"/>
              <w:bottom w:val="single" w:sz="4" w:space="0" w:color="auto"/>
              <w:right w:val="single" w:sz="4" w:space="0" w:color="auto"/>
            </w:tcBorders>
            <w:vAlign w:val="center"/>
          </w:tcPr>
          <w:p w14:paraId="251197DB"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2EFB7C82"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0E459CD" w14:textId="77777777" w:rsidR="00E57DAA" w:rsidRPr="00AC4185" w:rsidRDefault="00AC4185">
            <w:pPr>
              <w:jc w:val="right"/>
              <w:rPr>
                <w:sz w:val="18"/>
                <w:szCs w:val="18"/>
              </w:rPr>
            </w:pPr>
            <w:r w:rsidRPr="00AC4185">
              <w:rPr>
                <w:sz w:val="18"/>
                <w:szCs w:val="18"/>
              </w:rPr>
              <w:t>28,961,690.00</w:t>
            </w:r>
          </w:p>
        </w:tc>
        <w:tc>
          <w:tcPr>
            <w:tcW w:w="589" w:type="pct"/>
            <w:tcBorders>
              <w:top w:val="single" w:sz="4" w:space="0" w:color="auto"/>
              <w:left w:val="single" w:sz="4" w:space="0" w:color="auto"/>
              <w:bottom w:val="single" w:sz="4" w:space="0" w:color="auto"/>
              <w:right w:val="single" w:sz="4" w:space="0" w:color="auto"/>
            </w:tcBorders>
            <w:vAlign w:val="center"/>
          </w:tcPr>
          <w:p w14:paraId="5355C764"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1CCF30D5" w14:textId="77777777" w:rsidR="00E57DAA" w:rsidRPr="00AC4185" w:rsidRDefault="00AC4185">
            <w:pPr>
              <w:jc w:val="right"/>
              <w:rPr>
                <w:sz w:val="18"/>
                <w:szCs w:val="18"/>
              </w:rPr>
            </w:pPr>
            <w:r w:rsidRPr="00AC4185">
              <w:rPr>
                <w:sz w:val="18"/>
                <w:szCs w:val="18"/>
              </w:rPr>
              <w:t> </w:t>
            </w:r>
          </w:p>
        </w:tc>
      </w:tr>
      <w:tr w:rsidR="00E57DAA" w14:paraId="1E10F5AD"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7F3B95FE" w14:textId="77777777" w:rsidR="00E57DAA" w:rsidRDefault="00AC4185">
            <w:pPr>
              <w:jc w:val="both"/>
              <w:rPr>
                <w:sz w:val="20"/>
                <w:szCs w:val="22"/>
              </w:rPr>
            </w:pPr>
            <w:r>
              <w:rPr>
                <w:sz w:val="20"/>
                <w:szCs w:val="22"/>
              </w:rPr>
              <w:lastRenderedPageBreak/>
              <w:t>浙江中材工程设计研究院有限公司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2BF63D17" w14:textId="77777777" w:rsidR="00E57DAA" w:rsidRPr="00AC4185" w:rsidRDefault="00AC4185">
            <w:pPr>
              <w:jc w:val="right"/>
              <w:rPr>
                <w:sz w:val="18"/>
                <w:szCs w:val="18"/>
              </w:rPr>
            </w:pPr>
            <w:r w:rsidRPr="00AC4185">
              <w:rPr>
                <w:sz w:val="18"/>
                <w:szCs w:val="18"/>
              </w:rPr>
              <w:t>7,062,305.00</w:t>
            </w:r>
          </w:p>
        </w:tc>
        <w:tc>
          <w:tcPr>
            <w:tcW w:w="620" w:type="pct"/>
            <w:tcBorders>
              <w:top w:val="single" w:sz="4" w:space="0" w:color="auto"/>
              <w:left w:val="single" w:sz="4" w:space="0" w:color="auto"/>
              <w:bottom w:val="single" w:sz="4" w:space="0" w:color="auto"/>
              <w:right w:val="single" w:sz="4" w:space="0" w:color="auto"/>
            </w:tcBorders>
            <w:vAlign w:val="center"/>
          </w:tcPr>
          <w:p w14:paraId="20927319" w14:textId="77777777" w:rsidR="00E57DAA" w:rsidRPr="00AC4185" w:rsidRDefault="00AC4185">
            <w:pPr>
              <w:jc w:val="right"/>
              <w:rPr>
                <w:sz w:val="18"/>
                <w:szCs w:val="18"/>
              </w:rPr>
            </w:pPr>
            <w:r w:rsidRPr="00AC4185">
              <w:rPr>
                <w:sz w:val="18"/>
                <w:szCs w:val="18"/>
              </w:rPr>
              <w:t>7,062,305.00</w:t>
            </w:r>
          </w:p>
        </w:tc>
        <w:tc>
          <w:tcPr>
            <w:tcW w:w="661" w:type="pct"/>
            <w:tcBorders>
              <w:top w:val="single" w:sz="4" w:space="0" w:color="auto"/>
              <w:left w:val="single" w:sz="4" w:space="0" w:color="auto"/>
              <w:bottom w:val="single" w:sz="4" w:space="0" w:color="auto"/>
              <w:right w:val="single" w:sz="4" w:space="0" w:color="auto"/>
            </w:tcBorders>
            <w:vAlign w:val="center"/>
          </w:tcPr>
          <w:p w14:paraId="2D565475"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63F2E631"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875CFE5" w14:textId="77777777" w:rsidR="00E57DAA" w:rsidRPr="00AC4185" w:rsidRDefault="00AC4185">
            <w:pPr>
              <w:jc w:val="right"/>
              <w:rPr>
                <w:sz w:val="18"/>
                <w:szCs w:val="18"/>
              </w:rPr>
            </w:pPr>
            <w:r w:rsidRPr="00AC4185">
              <w:rPr>
                <w:sz w:val="18"/>
                <w:szCs w:val="18"/>
              </w:rPr>
              <w:t>7,062,305.00</w:t>
            </w:r>
          </w:p>
        </w:tc>
        <w:tc>
          <w:tcPr>
            <w:tcW w:w="589" w:type="pct"/>
            <w:tcBorders>
              <w:top w:val="single" w:sz="4" w:space="0" w:color="auto"/>
              <w:left w:val="single" w:sz="4" w:space="0" w:color="auto"/>
              <w:bottom w:val="single" w:sz="4" w:space="0" w:color="auto"/>
              <w:right w:val="single" w:sz="4" w:space="0" w:color="auto"/>
            </w:tcBorders>
            <w:vAlign w:val="center"/>
          </w:tcPr>
          <w:p w14:paraId="5AB58C2F"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01CFDAFE" w14:textId="77777777" w:rsidR="00E57DAA" w:rsidRPr="00AC4185" w:rsidRDefault="00AC4185">
            <w:pPr>
              <w:jc w:val="right"/>
              <w:rPr>
                <w:sz w:val="18"/>
                <w:szCs w:val="18"/>
              </w:rPr>
            </w:pPr>
            <w:r w:rsidRPr="00AC4185">
              <w:rPr>
                <w:sz w:val="18"/>
                <w:szCs w:val="18"/>
              </w:rPr>
              <w:t> </w:t>
            </w:r>
          </w:p>
        </w:tc>
      </w:tr>
      <w:tr w:rsidR="00E57DAA" w14:paraId="6D80E657"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0BADB88F" w14:textId="77777777" w:rsidR="00E57DAA" w:rsidRDefault="00AC4185">
            <w:pPr>
              <w:jc w:val="both"/>
              <w:rPr>
                <w:sz w:val="20"/>
                <w:szCs w:val="22"/>
              </w:rPr>
            </w:pPr>
            <w:r>
              <w:rPr>
                <w:sz w:val="20"/>
                <w:szCs w:val="22"/>
              </w:rPr>
              <w:t>FABCOM STRUCTURAL LTD</w:t>
            </w:r>
          </w:p>
        </w:tc>
        <w:tc>
          <w:tcPr>
            <w:tcW w:w="631" w:type="pct"/>
            <w:tcBorders>
              <w:top w:val="single" w:sz="4" w:space="0" w:color="auto"/>
              <w:left w:val="single" w:sz="4" w:space="0" w:color="auto"/>
              <w:bottom w:val="single" w:sz="4" w:space="0" w:color="auto"/>
              <w:right w:val="single" w:sz="4" w:space="0" w:color="auto"/>
            </w:tcBorders>
            <w:vAlign w:val="center"/>
          </w:tcPr>
          <w:p w14:paraId="228DEDBD" w14:textId="77777777" w:rsidR="00E57DAA" w:rsidRPr="00AC4185" w:rsidRDefault="00AC4185">
            <w:pPr>
              <w:jc w:val="right"/>
              <w:rPr>
                <w:sz w:val="18"/>
                <w:szCs w:val="18"/>
              </w:rPr>
            </w:pPr>
            <w:r w:rsidRPr="00AC4185">
              <w:rPr>
                <w:sz w:val="18"/>
                <w:szCs w:val="18"/>
              </w:rPr>
              <w:t>6,976,500.00</w:t>
            </w:r>
          </w:p>
        </w:tc>
        <w:tc>
          <w:tcPr>
            <w:tcW w:w="620" w:type="pct"/>
            <w:tcBorders>
              <w:top w:val="single" w:sz="4" w:space="0" w:color="auto"/>
              <w:left w:val="single" w:sz="4" w:space="0" w:color="auto"/>
              <w:bottom w:val="single" w:sz="4" w:space="0" w:color="auto"/>
              <w:right w:val="single" w:sz="4" w:space="0" w:color="auto"/>
            </w:tcBorders>
            <w:vAlign w:val="center"/>
          </w:tcPr>
          <w:p w14:paraId="39E63072" w14:textId="77777777" w:rsidR="00E57DAA" w:rsidRPr="00AC4185" w:rsidRDefault="00AC4185">
            <w:pPr>
              <w:jc w:val="right"/>
              <w:rPr>
                <w:sz w:val="18"/>
                <w:szCs w:val="18"/>
              </w:rPr>
            </w:pPr>
            <w:r w:rsidRPr="00AC4185">
              <w:rPr>
                <w:sz w:val="18"/>
                <w:szCs w:val="18"/>
              </w:rPr>
              <w:t>6,976,500.00</w:t>
            </w:r>
          </w:p>
        </w:tc>
        <w:tc>
          <w:tcPr>
            <w:tcW w:w="661" w:type="pct"/>
            <w:tcBorders>
              <w:top w:val="single" w:sz="4" w:space="0" w:color="auto"/>
              <w:left w:val="single" w:sz="4" w:space="0" w:color="auto"/>
              <w:bottom w:val="single" w:sz="4" w:space="0" w:color="auto"/>
              <w:right w:val="single" w:sz="4" w:space="0" w:color="auto"/>
            </w:tcBorders>
            <w:vAlign w:val="center"/>
          </w:tcPr>
          <w:p w14:paraId="4EDD5583" w14:textId="77777777" w:rsidR="00E57DAA" w:rsidRPr="00AC4185" w:rsidRDefault="00AC4185">
            <w:pPr>
              <w:jc w:val="right"/>
              <w:rPr>
                <w:sz w:val="18"/>
                <w:szCs w:val="18"/>
              </w:rPr>
            </w:pPr>
            <w:r w:rsidRPr="00AC4185">
              <w:rPr>
                <w:sz w:val="18"/>
                <w:szCs w:val="18"/>
              </w:rPr>
              <w:t> </w:t>
            </w:r>
          </w:p>
        </w:tc>
        <w:tc>
          <w:tcPr>
            <w:tcW w:w="552" w:type="pct"/>
            <w:tcBorders>
              <w:top w:val="single" w:sz="4" w:space="0" w:color="auto"/>
              <w:left w:val="single" w:sz="4" w:space="0" w:color="auto"/>
              <w:bottom w:val="single" w:sz="4" w:space="0" w:color="auto"/>
              <w:right w:val="single" w:sz="4" w:space="0" w:color="auto"/>
            </w:tcBorders>
            <w:vAlign w:val="center"/>
          </w:tcPr>
          <w:p w14:paraId="1C26631A"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07B48E20" w14:textId="77777777" w:rsidR="00E57DAA" w:rsidRPr="00AC4185" w:rsidRDefault="00AC4185">
            <w:pPr>
              <w:jc w:val="right"/>
              <w:rPr>
                <w:sz w:val="18"/>
                <w:szCs w:val="18"/>
              </w:rPr>
            </w:pPr>
            <w:r w:rsidRPr="00AC4185">
              <w:rPr>
                <w:sz w:val="18"/>
                <w:szCs w:val="18"/>
              </w:rPr>
              <w:t>6,976,500.00</w:t>
            </w:r>
          </w:p>
        </w:tc>
        <w:tc>
          <w:tcPr>
            <w:tcW w:w="589" w:type="pct"/>
            <w:tcBorders>
              <w:top w:val="single" w:sz="4" w:space="0" w:color="auto"/>
              <w:left w:val="single" w:sz="4" w:space="0" w:color="auto"/>
              <w:bottom w:val="single" w:sz="4" w:space="0" w:color="auto"/>
              <w:right w:val="single" w:sz="4" w:space="0" w:color="auto"/>
            </w:tcBorders>
            <w:vAlign w:val="center"/>
          </w:tcPr>
          <w:p w14:paraId="34BD2583"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5754DBCB" w14:textId="77777777" w:rsidR="00E57DAA" w:rsidRPr="00AC4185" w:rsidRDefault="00AC4185">
            <w:pPr>
              <w:jc w:val="right"/>
              <w:rPr>
                <w:sz w:val="18"/>
                <w:szCs w:val="18"/>
              </w:rPr>
            </w:pPr>
            <w:r w:rsidRPr="00AC4185">
              <w:rPr>
                <w:sz w:val="18"/>
                <w:szCs w:val="18"/>
              </w:rPr>
              <w:t> </w:t>
            </w:r>
          </w:p>
        </w:tc>
      </w:tr>
      <w:tr w:rsidR="00E57DAA" w14:paraId="2160E2C1"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05119185" w14:textId="77777777" w:rsidR="00E57DAA" w:rsidRDefault="00AC4185">
            <w:pPr>
              <w:jc w:val="both"/>
              <w:rPr>
                <w:sz w:val="20"/>
                <w:szCs w:val="22"/>
              </w:rPr>
            </w:pPr>
            <w:r>
              <w:rPr>
                <w:sz w:val="20"/>
                <w:szCs w:val="22"/>
              </w:rPr>
              <w:t>合肥水泥研究设计院有限公司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0E083CD0" w14:textId="77777777" w:rsidR="00E57DAA" w:rsidRPr="00AC4185" w:rsidRDefault="00AC4185">
            <w:pPr>
              <w:jc w:val="right"/>
              <w:rPr>
                <w:sz w:val="18"/>
                <w:szCs w:val="18"/>
              </w:rPr>
            </w:pPr>
            <w:r w:rsidRPr="00AC4185">
              <w:rPr>
                <w:sz w:val="18"/>
                <w:szCs w:val="18"/>
              </w:rPr>
              <w:t>2,869,186,749.67</w:t>
            </w:r>
          </w:p>
        </w:tc>
        <w:tc>
          <w:tcPr>
            <w:tcW w:w="620" w:type="pct"/>
            <w:tcBorders>
              <w:top w:val="single" w:sz="4" w:space="0" w:color="auto"/>
              <w:left w:val="single" w:sz="4" w:space="0" w:color="auto"/>
              <w:bottom w:val="single" w:sz="4" w:space="0" w:color="auto"/>
              <w:right w:val="single" w:sz="4" w:space="0" w:color="auto"/>
            </w:tcBorders>
            <w:vAlign w:val="center"/>
          </w:tcPr>
          <w:p w14:paraId="6D11B274"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5AF80380" w14:textId="77777777" w:rsidR="00E57DAA" w:rsidRPr="00AC4185" w:rsidRDefault="00AC4185">
            <w:pPr>
              <w:jc w:val="right"/>
              <w:rPr>
                <w:sz w:val="18"/>
                <w:szCs w:val="18"/>
              </w:rPr>
            </w:pPr>
            <w:r w:rsidRPr="00AC4185">
              <w:rPr>
                <w:sz w:val="18"/>
                <w:szCs w:val="18"/>
              </w:rPr>
              <w:t>2,873,267,688.08</w:t>
            </w:r>
          </w:p>
        </w:tc>
        <w:tc>
          <w:tcPr>
            <w:tcW w:w="552" w:type="pct"/>
            <w:tcBorders>
              <w:top w:val="single" w:sz="4" w:space="0" w:color="auto"/>
              <w:left w:val="single" w:sz="4" w:space="0" w:color="auto"/>
              <w:bottom w:val="single" w:sz="4" w:space="0" w:color="auto"/>
              <w:right w:val="single" w:sz="4" w:space="0" w:color="auto"/>
            </w:tcBorders>
            <w:vAlign w:val="center"/>
          </w:tcPr>
          <w:p w14:paraId="77AB2CF9"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7CE946BD" w14:textId="77777777" w:rsidR="00E57DAA" w:rsidRPr="00AC4185" w:rsidRDefault="00AC4185">
            <w:pPr>
              <w:jc w:val="right"/>
              <w:rPr>
                <w:sz w:val="18"/>
                <w:szCs w:val="18"/>
              </w:rPr>
            </w:pPr>
            <w:r w:rsidRPr="00AC4185">
              <w:rPr>
                <w:sz w:val="18"/>
                <w:szCs w:val="18"/>
              </w:rPr>
              <w:t>2,873,267,688.08</w:t>
            </w:r>
          </w:p>
        </w:tc>
        <w:tc>
          <w:tcPr>
            <w:tcW w:w="589" w:type="pct"/>
            <w:tcBorders>
              <w:top w:val="single" w:sz="4" w:space="0" w:color="auto"/>
              <w:left w:val="single" w:sz="4" w:space="0" w:color="auto"/>
              <w:bottom w:val="single" w:sz="4" w:space="0" w:color="auto"/>
              <w:right w:val="single" w:sz="4" w:space="0" w:color="auto"/>
            </w:tcBorders>
            <w:vAlign w:val="center"/>
          </w:tcPr>
          <w:p w14:paraId="1C4BAB49"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1DF6D548" w14:textId="77777777" w:rsidR="00E57DAA" w:rsidRPr="00AC4185" w:rsidRDefault="00AC4185">
            <w:pPr>
              <w:jc w:val="right"/>
              <w:rPr>
                <w:sz w:val="18"/>
                <w:szCs w:val="18"/>
              </w:rPr>
            </w:pPr>
            <w:r w:rsidRPr="00AC4185">
              <w:rPr>
                <w:sz w:val="18"/>
                <w:szCs w:val="18"/>
              </w:rPr>
              <w:t> </w:t>
            </w:r>
          </w:p>
        </w:tc>
      </w:tr>
      <w:tr w:rsidR="00E57DAA" w14:paraId="5C8BD6A9"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1CE7D76A" w14:textId="77777777" w:rsidR="00E57DAA" w:rsidRDefault="00AC4185">
            <w:pPr>
              <w:jc w:val="both"/>
              <w:rPr>
                <w:sz w:val="20"/>
                <w:szCs w:val="22"/>
              </w:rPr>
            </w:pPr>
            <w:r>
              <w:rPr>
                <w:sz w:val="20"/>
                <w:szCs w:val="22"/>
              </w:rPr>
              <w:t>中建材凯慧国际工程有限公司</w:t>
            </w:r>
          </w:p>
        </w:tc>
        <w:tc>
          <w:tcPr>
            <w:tcW w:w="631" w:type="pct"/>
            <w:tcBorders>
              <w:top w:val="single" w:sz="4" w:space="0" w:color="auto"/>
              <w:left w:val="single" w:sz="4" w:space="0" w:color="auto"/>
              <w:bottom w:val="single" w:sz="4" w:space="0" w:color="auto"/>
              <w:right w:val="single" w:sz="4" w:space="0" w:color="auto"/>
            </w:tcBorders>
            <w:vAlign w:val="center"/>
          </w:tcPr>
          <w:p w14:paraId="053FB40F" w14:textId="77777777" w:rsidR="00E57DAA" w:rsidRPr="00AC4185" w:rsidRDefault="00AC4185">
            <w:pPr>
              <w:jc w:val="right"/>
              <w:rPr>
                <w:sz w:val="18"/>
                <w:szCs w:val="18"/>
              </w:rPr>
            </w:pPr>
            <w:r w:rsidRPr="00AC4185">
              <w:rPr>
                <w:sz w:val="18"/>
                <w:szCs w:val="18"/>
              </w:rPr>
              <w:t>20,384,585.57</w:t>
            </w:r>
          </w:p>
        </w:tc>
        <w:tc>
          <w:tcPr>
            <w:tcW w:w="620" w:type="pct"/>
            <w:tcBorders>
              <w:top w:val="single" w:sz="4" w:space="0" w:color="auto"/>
              <w:left w:val="single" w:sz="4" w:space="0" w:color="auto"/>
              <w:bottom w:val="single" w:sz="4" w:space="0" w:color="auto"/>
              <w:right w:val="single" w:sz="4" w:space="0" w:color="auto"/>
            </w:tcBorders>
            <w:vAlign w:val="center"/>
          </w:tcPr>
          <w:p w14:paraId="77EB5FEA"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1BCB8441" w14:textId="77777777" w:rsidR="00E57DAA" w:rsidRPr="00AC4185" w:rsidRDefault="00AC4185">
            <w:pPr>
              <w:jc w:val="right"/>
              <w:rPr>
                <w:sz w:val="18"/>
                <w:szCs w:val="18"/>
              </w:rPr>
            </w:pPr>
            <w:r w:rsidRPr="00AC4185">
              <w:rPr>
                <w:sz w:val="18"/>
                <w:szCs w:val="18"/>
              </w:rPr>
              <w:t>20,384,585.57</w:t>
            </w:r>
          </w:p>
        </w:tc>
        <w:tc>
          <w:tcPr>
            <w:tcW w:w="552" w:type="pct"/>
            <w:tcBorders>
              <w:top w:val="single" w:sz="4" w:space="0" w:color="auto"/>
              <w:left w:val="single" w:sz="4" w:space="0" w:color="auto"/>
              <w:bottom w:val="single" w:sz="4" w:space="0" w:color="auto"/>
              <w:right w:val="single" w:sz="4" w:space="0" w:color="auto"/>
            </w:tcBorders>
            <w:vAlign w:val="center"/>
          </w:tcPr>
          <w:p w14:paraId="699D68FC" w14:textId="77777777" w:rsidR="00E57DAA" w:rsidRPr="00AC4185" w:rsidRDefault="00AC4185">
            <w:pPr>
              <w:jc w:val="right"/>
              <w:rPr>
                <w:sz w:val="18"/>
                <w:szCs w:val="18"/>
              </w:rPr>
            </w:pPr>
            <w:r w:rsidRPr="00AC4185">
              <w:rPr>
                <w:sz w:val="18"/>
                <w:szCs w:val="18"/>
              </w:rPr>
              <w:t> </w:t>
            </w:r>
          </w:p>
        </w:tc>
        <w:tc>
          <w:tcPr>
            <w:tcW w:w="661" w:type="pct"/>
            <w:tcBorders>
              <w:top w:val="single" w:sz="4" w:space="0" w:color="auto"/>
              <w:left w:val="single" w:sz="4" w:space="0" w:color="auto"/>
              <w:bottom w:val="single" w:sz="4" w:space="0" w:color="auto"/>
              <w:right w:val="single" w:sz="4" w:space="0" w:color="auto"/>
            </w:tcBorders>
            <w:vAlign w:val="center"/>
          </w:tcPr>
          <w:p w14:paraId="56D16E4D" w14:textId="77777777" w:rsidR="00E57DAA" w:rsidRPr="00AC4185" w:rsidRDefault="00AC4185">
            <w:pPr>
              <w:jc w:val="right"/>
              <w:rPr>
                <w:sz w:val="18"/>
                <w:szCs w:val="18"/>
              </w:rPr>
            </w:pPr>
            <w:r w:rsidRPr="00AC4185">
              <w:rPr>
                <w:sz w:val="18"/>
                <w:szCs w:val="18"/>
              </w:rPr>
              <w:t>20,384,585.57</w:t>
            </w:r>
          </w:p>
        </w:tc>
        <w:tc>
          <w:tcPr>
            <w:tcW w:w="589" w:type="pct"/>
            <w:tcBorders>
              <w:top w:val="single" w:sz="4" w:space="0" w:color="auto"/>
              <w:left w:val="single" w:sz="4" w:space="0" w:color="auto"/>
              <w:bottom w:val="single" w:sz="4" w:space="0" w:color="auto"/>
              <w:right w:val="single" w:sz="4" w:space="0" w:color="auto"/>
            </w:tcBorders>
            <w:vAlign w:val="center"/>
          </w:tcPr>
          <w:p w14:paraId="3B81693F" w14:textId="77777777" w:rsidR="00E57DAA" w:rsidRPr="00AC4185" w:rsidRDefault="00AC4185">
            <w:pPr>
              <w:jc w:val="right"/>
              <w:rPr>
                <w:sz w:val="18"/>
                <w:szCs w:val="18"/>
              </w:rPr>
            </w:pPr>
            <w:r w:rsidRPr="00AC4185">
              <w:rPr>
                <w:sz w:val="18"/>
                <w:szCs w:val="18"/>
              </w:rPr>
              <w:t> </w:t>
            </w:r>
          </w:p>
        </w:tc>
        <w:tc>
          <w:tcPr>
            <w:tcW w:w="589" w:type="pct"/>
            <w:tcBorders>
              <w:top w:val="single" w:sz="4" w:space="0" w:color="auto"/>
              <w:left w:val="single" w:sz="4" w:space="0" w:color="auto"/>
              <w:bottom w:val="single" w:sz="4" w:space="0" w:color="auto"/>
              <w:right w:val="single" w:sz="4" w:space="0" w:color="auto"/>
            </w:tcBorders>
            <w:vAlign w:val="center"/>
          </w:tcPr>
          <w:p w14:paraId="6EAF7797" w14:textId="77777777" w:rsidR="00E57DAA" w:rsidRPr="00AC4185" w:rsidRDefault="00AC4185">
            <w:pPr>
              <w:jc w:val="right"/>
              <w:rPr>
                <w:sz w:val="18"/>
                <w:szCs w:val="18"/>
              </w:rPr>
            </w:pPr>
            <w:r w:rsidRPr="00AC4185">
              <w:rPr>
                <w:sz w:val="18"/>
                <w:szCs w:val="18"/>
              </w:rPr>
              <w:t> </w:t>
            </w:r>
          </w:p>
        </w:tc>
      </w:tr>
      <w:tr w:rsidR="00E57DAA" w14:paraId="45ED429D" w14:textId="77777777" w:rsidTr="00AC4185">
        <w:tc>
          <w:tcPr>
            <w:tcW w:w="697" w:type="pct"/>
            <w:tcBorders>
              <w:top w:val="single" w:sz="4" w:space="0" w:color="auto"/>
              <w:left w:val="single" w:sz="4" w:space="0" w:color="auto"/>
              <w:bottom w:val="single" w:sz="4" w:space="0" w:color="auto"/>
              <w:right w:val="single" w:sz="4" w:space="0" w:color="auto"/>
            </w:tcBorders>
            <w:vAlign w:val="center"/>
          </w:tcPr>
          <w:p w14:paraId="7BB70681" w14:textId="77777777" w:rsidR="00E57DAA" w:rsidRDefault="00AC4185">
            <w:pPr>
              <w:jc w:val="center"/>
              <w:rPr>
                <w:sz w:val="20"/>
                <w:szCs w:val="22"/>
              </w:rPr>
            </w:pPr>
            <w:r>
              <w:rPr>
                <w:rFonts w:hint="eastAsia"/>
                <w:sz w:val="20"/>
                <w:szCs w:val="22"/>
              </w:rPr>
              <w:t>合计</w:t>
            </w:r>
          </w:p>
        </w:tc>
        <w:tc>
          <w:tcPr>
            <w:tcW w:w="631" w:type="pct"/>
            <w:tcBorders>
              <w:top w:val="single" w:sz="4" w:space="0" w:color="auto"/>
              <w:left w:val="single" w:sz="4" w:space="0" w:color="auto"/>
              <w:bottom w:val="single" w:sz="4" w:space="0" w:color="auto"/>
              <w:right w:val="single" w:sz="4" w:space="0" w:color="auto"/>
            </w:tcBorders>
            <w:vAlign w:val="center"/>
          </w:tcPr>
          <w:p w14:paraId="37817F65" w14:textId="77777777" w:rsidR="00E57DAA" w:rsidRPr="00AC4185" w:rsidRDefault="00AC4185">
            <w:pPr>
              <w:jc w:val="right"/>
              <w:rPr>
                <w:sz w:val="18"/>
                <w:szCs w:val="18"/>
              </w:rPr>
            </w:pPr>
            <w:r w:rsidRPr="00AC4185">
              <w:rPr>
                <w:sz w:val="18"/>
                <w:szCs w:val="18"/>
              </w:rPr>
              <w:t>11,948,746,374.34</w:t>
            </w:r>
          </w:p>
        </w:tc>
        <w:tc>
          <w:tcPr>
            <w:tcW w:w="620" w:type="pct"/>
            <w:tcBorders>
              <w:top w:val="single" w:sz="4" w:space="0" w:color="auto"/>
              <w:left w:val="single" w:sz="4" w:space="0" w:color="auto"/>
              <w:bottom w:val="single" w:sz="4" w:space="0" w:color="auto"/>
              <w:right w:val="single" w:sz="4" w:space="0" w:color="auto"/>
            </w:tcBorders>
            <w:vAlign w:val="center"/>
          </w:tcPr>
          <w:p w14:paraId="7E011B55" w14:textId="77777777" w:rsidR="00E57DAA" w:rsidRPr="00AC4185" w:rsidRDefault="00AC4185">
            <w:pPr>
              <w:jc w:val="right"/>
              <w:rPr>
                <w:sz w:val="18"/>
                <w:szCs w:val="18"/>
              </w:rPr>
            </w:pPr>
            <w:r w:rsidRPr="00AC4185">
              <w:rPr>
                <w:sz w:val="18"/>
                <w:szCs w:val="18"/>
              </w:rPr>
              <w:t>9,175,081,052.41</w:t>
            </w:r>
          </w:p>
        </w:tc>
        <w:tc>
          <w:tcPr>
            <w:tcW w:w="661" w:type="pct"/>
            <w:tcBorders>
              <w:top w:val="single" w:sz="4" w:space="0" w:color="auto"/>
              <w:left w:val="single" w:sz="4" w:space="0" w:color="auto"/>
              <w:bottom w:val="single" w:sz="4" w:space="0" w:color="auto"/>
              <w:right w:val="single" w:sz="4" w:space="0" w:color="auto"/>
            </w:tcBorders>
            <w:vAlign w:val="center"/>
          </w:tcPr>
          <w:p w14:paraId="0B827D53" w14:textId="77777777" w:rsidR="00E57DAA" w:rsidRPr="00AC4185" w:rsidRDefault="00AC4185">
            <w:pPr>
              <w:jc w:val="right"/>
              <w:rPr>
                <w:sz w:val="18"/>
                <w:szCs w:val="18"/>
              </w:rPr>
            </w:pPr>
            <w:r w:rsidRPr="00AC4185">
              <w:rPr>
                <w:sz w:val="18"/>
                <w:szCs w:val="18"/>
              </w:rPr>
              <w:t>2,943,774,431.76</w:t>
            </w:r>
          </w:p>
        </w:tc>
        <w:tc>
          <w:tcPr>
            <w:tcW w:w="552" w:type="pct"/>
            <w:tcBorders>
              <w:top w:val="single" w:sz="4" w:space="0" w:color="auto"/>
              <w:left w:val="single" w:sz="4" w:space="0" w:color="auto"/>
              <w:bottom w:val="single" w:sz="4" w:space="0" w:color="auto"/>
              <w:right w:val="single" w:sz="4" w:space="0" w:color="auto"/>
            </w:tcBorders>
            <w:vAlign w:val="center"/>
          </w:tcPr>
          <w:p w14:paraId="280E8CEE" w14:textId="77777777" w:rsidR="00E57DAA" w:rsidRPr="00AC4185" w:rsidRDefault="00AC4185">
            <w:pPr>
              <w:jc w:val="right"/>
              <w:rPr>
                <w:sz w:val="18"/>
                <w:szCs w:val="18"/>
              </w:rPr>
            </w:pPr>
            <w:r w:rsidRPr="00AC4185">
              <w:rPr>
                <w:sz w:val="18"/>
                <w:szCs w:val="18"/>
              </w:rPr>
              <w:t>35,333,333.00</w:t>
            </w:r>
          </w:p>
        </w:tc>
        <w:tc>
          <w:tcPr>
            <w:tcW w:w="661" w:type="pct"/>
            <w:tcBorders>
              <w:top w:val="single" w:sz="4" w:space="0" w:color="auto"/>
              <w:left w:val="single" w:sz="4" w:space="0" w:color="auto"/>
              <w:bottom w:val="single" w:sz="4" w:space="0" w:color="auto"/>
              <w:right w:val="single" w:sz="4" w:space="0" w:color="auto"/>
            </w:tcBorders>
            <w:vAlign w:val="center"/>
          </w:tcPr>
          <w:p w14:paraId="51414DA4" w14:textId="77777777" w:rsidR="00E57DAA" w:rsidRPr="00AC4185" w:rsidRDefault="00AC4185">
            <w:pPr>
              <w:jc w:val="right"/>
              <w:rPr>
                <w:sz w:val="18"/>
                <w:szCs w:val="18"/>
              </w:rPr>
            </w:pPr>
            <w:r w:rsidRPr="00AC4185">
              <w:rPr>
                <w:sz w:val="18"/>
                <w:szCs w:val="18"/>
              </w:rPr>
              <w:t>12,083,522,151.17</w:t>
            </w:r>
          </w:p>
        </w:tc>
        <w:tc>
          <w:tcPr>
            <w:tcW w:w="589" w:type="pct"/>
            <w:tcBorders>
              <w:top w:val="single" w:sz="4" w:space="0" w:color="auto"/>
              <w:left w:val="single" w:sz="4" w:space="0" w:color="auto"/>
              <w:bottom w:val="single" w:sz="4" w:space="0" w:color="auto"/>
              <w:right w:val="single" w:sz="4" w:space="0" w:color="auto"/>
            </w:tcBorders>
            <w:vAlign w:val="center"/>
          </w:tcPr>
          <w:p w14:paraId="514C7BD9" w14:textId="77777777" w:rsidR="00E57DAA" w:rsidRPr="00AC4185" w:rsidRDefault="00AC4185">
            <w:pPr>
              <w:jc w:val="right"/>
              <w:rPr>
                <w:sz w:val="18"/>
                <w:szCs w:val="18"/>
              </w:rPr>
            </w:pPr>
            <w:r w:rsidRPr="00AC4185">
              <w:rPr>
                <w:sz w:val="18"/>
                <w:szCs w:val="18"/>
              </w:rPr>
              <w:t>146,972,525.62</w:t>
            </w:r>
          </w:p>
        </w:tc>
        <w:tc>
          <w:tcPr>
            <w:tcW w:w="589" w:type="pct"/>
            <w:tcBorders>
              <w:top w:val="single" w:sz="4" w:space="0" w:color="auto"/>
              <w:left w:val="single" w:sz="4" w:space="0" w:color="auto"/>
              <w:bottom w:val="single" w:sz="4" w:space="0" w:color="auto"/>
              <w:right w:val="single" w:sz="4" w:space="0" w:color="auto"/>
            </w:tcBorders>
            <w:vAlign w:val="center"/>
          </w:tcPr>
          <w:p w14:paraId="7E38038D" w14:textId="77777777" w:rsidR="00E57DAA" w:rsidRPr="00AC4185" w:rsidRDefault="00AC4185">
            <w:pPr>
              <w:jc w:val="right"/>
              <w:rPr>
                <w:sz w:val="18"/>
                <w:szCs w:val="18"/>
              </w:rPr>
            </w:pPr>
            <w:r w:rsidRPr="00AC4185">
              <w:rPr>
                <w:sz w:val="18"/>
                <w:szCs w:val="18"/>
              </w:rPr>
              <w:t>666,603,676.23</w:t>
            </w:r>
          </w:p>
        </w:tc>
      </w:tr>
    </w:tbl>
    <w:p w14:paraId="3A216DC2" w14:textId="77777777" w:rsidR="00E57DAA" w:rsidRDefault="00E57DAA" w:rsidP="00C25422">
      <w:pPr>
        <w:pStyle w:val="92"/>
      </w:pPr>
    </w:p>
    <w:p w14:paraId="2F7C7475" w14:textId="77777777" w:rsidR="00E57DAA" w:rsidRDefault="00AC4185">
      <w:pPr>
        <w:pStyle w:val="4"/>
        <w:numPr>
          <w:ilvl w:val="0"/>
          <w:numId w:val="135"/>
        </w:numPr>
      </w:pPr>
      <w:r>
        <w:rPr>
          <w:rFonts w:hint="eastAsia"/>
        </w:rPr>
        <w:t>对联营、合营企业投资</w:t>
      </w:r>
    </w:p>
    <w:sdt>
      <w:sdtPr>
        <w:alias w:val="是否适用：母公司对联营、合营企业投资[双击切换]"/>
        <w:tag w:val="_GBC_2e4760cb979247e69579530b3868e897"/>
        <w:id w:val="766589645"/>
        <w:placeholder>
          <w:docPart w:val="GBC22222222222222222222222222222"/>
        </w:placeholder>
      </w:sdtPr>
      <w:sdtEndPr/>
      <w:sdtContent>
        <w:p w14:paraId="548C8332"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91F513" w14:textId="77777777" w:rsidR="00E57DAA" w:rsidRDefault="00AC4185">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5193532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7296925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9"/>
        <w:gridCol w:w="1559"/>
        <w:gridCol w:w="1703"/>
        <w:gridCol w:w="565"/>
        <w:gridCol w:w="1844"/>
        <w:gridCol w:w="1133"/>
        <w:gridCol w:w="856"/>
        <w:gridCol w:w="709"/>
        <w:gridCol w:w="568"/>
        <w:gridCol w:w="421"/>
        <w:gridCol w:w="1844"/>
        <w:gridCol w:w="665"/>
      </w:tblGrid>
      <w:tr w:rsidR="00E57DAA" w14:paraId="2B9F52AD" w14:textId="77777777" w:rsidTr="00AC4185">
        <w:sdt>
          <w:sdtPr>
            <w:rPr>
              <w:sz w:val="18"/>
              <w:szCs w:val="18"/>
            </w:rPr>
            <w:tag w:val="_PLD_cddf860d624b41069bef0850b92b7db2"/>
            <w:id w:val="-1782719754"/>
          </w:sdtPr>
          <w:sdtEndPr/>
          <w:sdtContent>
            <w:tc>
              <w:tcPr>
                <w:tcW w:w="715" w:type="pct"/>
                <w:vMerge w:val="restart"/>
                <w:tcBorders>
                  <w:top w:val="single" w:sz="4" w:space="0" w:color="auto"/>
                  <w:left w:val="single" w:sz="4" w:space="0" w:color="auto"/>
                  <w:right w:val="single" w:sz="4" w:space="0" w:color="auto"/>
                </w:tcBorders>
                <w:shd w:val="clear" w:color="auto" w:fill="auto"/>
                <w:vAlign w:val="center"/>
              </w:tcPr>
              <w:p w14:paraId="5373A08F" w14:textId="77777777" w:rsidR="00E57DAA" w:rsidRDefault="00AC4185">
                <w:pPr>
                  <w:jc w:val="center"/>
                  <w:rPr>
                    <w:sz w:val="18"/>
                    <w:szCs w:val="18"/>
                  </w:rPr>
                </w:pPr>
                <w:r>
                  <w:rPr>
                    <w:rFonts w:hint="eastAsia"/>
                    <w:sz w:val="18"/>
                    <w:szCs w:val="18"/>
                  </w:rPr>
                  <w:t>投资</w:t>
                </w:r>
              </w:p>
              <w:p w14:paraId="15E372CE" w14:textId="77777777" w:rsidR="00E57DAA" w:rsidRDefault="00AC4185">
                <w:pPr>
                  <w:jc w:val="center"/>
                  <w:rPr>
                    <w:sz w:val="18"/>
                    <w:szCs w:val="18"/>
                  </w:rPr>
                </w:pPr>
                <w:r>
                  <w:rPr>
                    <w:rFonts w:hint="eastAsia"/>
                    <w:sz w:val="18"/>
                    <w:szCs w:val="18"/>
                  </w:rPr>
                  <w:t>单位</w:t>
                </w:r>
              </w:p>
            </w:tc>
          </w:sdtContent>
        </w:sdt>
        <w:sdt>
          <w:sdtPr>
            <w:rPr>
              <w:sz w:val="18"/>
              <w:szCs w:val="18"/>
            </w:rPr>
            <w:tag w:val="_PLD_1e9893e3e3854470a87271f1c7db6cdb"/>
            <w:id w:val="1852679931"/>
          </w:sdtPr>
          <w:sdtEndPr/>
          <w:sdtContent>
            <w:tc>
              <w:tcPr>
                <w:tcW w:w="563" w:type="pct"/>
                <w:vMerge w:val="restart"/>
                <w:tcBorders>
                  <w:top w:val="single" w:sz="4" w:space="0" w:color="auto"/>
                  <w:left w:val="single" w:sz="4" w:space="0" w:color="auto"/>
                  <w:right w:val="single" w:sz="4" w:space="0" w:color="auto"/>
                </w:tcBorders>
                <w:shd w:val="clear" w:color="auto" w:fill="auto"/>
                <w:vAlign w:val="center"/>
              </w:tcPr>
              <w:p w14:paraId="51B80F0B" w14:textId="77777777" w:rsidR="00E57DAA" w:rsidRDefault="00AC4185">
                <w:pPr>
                  <w:jc w:val="center"/>
                  <w:rPr>
                    <w:sz w:val="18"/>
                    <w:szCs w:val="18"/>
                  </w:rPr>
                </w:pPr>
                <w:r>
                  <w:rPr>
                    <w:rFonts w:hint="eastAsia"/>
                    <w:sz w:val="18"/>
                    <w:szCs w:val="18"/>
                  </w:rPr>
                  <w:t>期初</w:t>
                </w:r>
              </w:p>
              <w:p w14:paraId="1D25FA68" w14:textId="77777777" w:rsidR="00E57DAA" w:rsidRDefault="00AC4185">
                <w:pPr>
                  <w:jc w:val="center"/>
                  <w:rPr>
                    <w:sz w:val="18"/>
                    <w:szCs w:val="18"/>
                  </w:rPr>
                </w:pPr>
                <w:r>
                  <w:rPr>
                    <w:rFonts w:hint="eastAsia"/>
                    <w:sz w:val="18"/>
                    <w:szCs w:val="18"/>
                  </w:rPr>
                  <w:t>余额</w:t>
                </w:r>
              </w:p>
            </w:tc>
          </w:sdtContent>
        </w:sdt>
        <w:sdt>
          <w:sdtPr>
            <w:rPr>
              <w:sz w:val="18"/>
              <w:szCs w:val="18"/>
            </w:rPr>
            <w:tag w:val="_PLD_51e202fa7d4541e8b1073ad1aab00e23"/>
            <w:id w:val="1354774920"/>
          </w:sdtPr>
          <w:sdtEndPr/>
          <w:sdtContent>
            <w:tc>
              <w:tcPr>
                <w:tcW w:w="281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5504205A" w14:textId="77777777" w:rsidR="00E57DAA" w:rsidRDefault="00AC4185">
                <w:pPr>
                  <w:jc w:val="center"/>
                  <w:rPr>
                    <w:sz w:val="18"/>
                    <w:szCs w:val="18"/>
                  </w:rPr>
                </w:pPr>
                <w:r>
                  <w:rPr>
                    <w:rFonts w:hint="eastAsia"/>
                    <w:sz w:val="18"/>
                    <w:szCs w:val="18"/>
                  </w:rPr>
                  <w:t>本期增减变动</w:t>
                </w:r>
              </w:p>
            </w:tc>
          </w:sdtContent>
        </w:sdt>
        <w:sdt>
          <w:sdtPr>
            <w:rPr>
              <w:sz w:val="18"/>
              <w:szCs w:val="18"/>
            </w:rPr>
            <w:tag w:val="_PLD_fb68ab3bfe254cb4ac4728b9c324a1ea"/>
            <w:id w:val="1831555747"/>
          </w:sdtPr>
          <w:sdtEndPr/>
          <w:sdtContent>
            <w:tc>
              <w:tcPr>
                <w:tcW w:w="666" w:type="pct"/>
                <w:vMerge w:val="restart"/>
                <w:tcBorders>
                  <w:top w:val="single" w:sz="4" w:space="0" w:color="auto"/>
                  <w:left w:val="single" w:sz="4" w:space="0" w:color="auto"/>
                  <w:right w:val="single" w:sz="4" w:space="0" w:color="auto"/>
                </w:tcBorders>
                <w:shd w:val="clear" w:color="auto" w:fill="auto"/>
                <w:vAlign w:val="center"/>
              </w:tcPr>
              <w:p w14:paraId="1A59FBDB" w14:textId="77777777" w:rsidR="00E57DAA" w:rsidRDefault="00AC4185">
                <w:pPr>
                  <w:jc w:val="center"/>
                  <w:rPr>
                    <w:sz w:val="18"/>
                    <w:szCs w:val="18"/>
                  </w:rPr>
                </w:pPr>
                <w:r>
                  <w:rPr>
                    <w:rFonts w:hint="eastAsia"/>
                    <w:sz w:val="18"/>
                    <w:szCs w:val="18"/>
                  </w:rPr>
                  <w:t>期末</w:t>
                </w:r>
              </w:p>
              <w:p w14:paraId="091FCE43" w14:textId="77777777" w:rsidR="00E57DAA" w:rsidRDefault="00AC4185">
                <w:pPr>
                  <w:jc w:val="center"/>
                  <w:rPr>
                    <w:sz w:val="18"/>
                    <w:szCs w:val="18"/>
                  </w:rPr>
                </w:pPr>
                <w:r>
                  <w:rPr>
                    <w:rFonts w:hint="eastAsia"/>
                    <w:sz w:val="18"/>
                    <w:szCs w:val="18"/>
                  </w:rPr>
                  <w:t>余额</w:t>
                </w:r>
              </w:p>
            </w:tc>
          </w:sdtContent>
        </w:sdt>
        <w:sdt>
          <w:sdtPr>
            <w:rPr>
              <w:sz w:val="18"/>
              <w:szCs w:val="18"/>
            </w:rPr>
            <w:tag w:val="_PLD_79ea6426597c4707b961bbd96c8cf19f"/>
            <w:id w:val="-1738316399"/>
          </w:sdtPr>
          <w:sdtEndPr/>
          <w:sdtContent>
            <w:tc>
              <w:tcPr>
                <w:tcW w:w="240" w:type="pct"/>
                <w:vMerge w:val="restart"/>
                <w:tcBorders>
                  <w:top w:val="single" w:sz="4" w:space="0" w:color="auto"/>
                  <w:left w:val="single" w:sz="4" w:space="0" w:color="auto"/>
                  <w:right w:val="single" w:sz="4" w:space="0" w:color="auto"/>
                </w:tcBorders>
                <w:shd w:val="clear" w:color="auto" w:fill="auto"/>
                <w:vAlign w:val="center"/>
              </w:tcPr>
              <w:p w14:paraId="2438A1AE" w14:textId="77777777" w:rsidR="00E57DAA" w:rsidRDefault="00AC4185">
                <w:pPr>
                  <w:jc w:val="center"/>
                  <w:rPr>
                    <w:sz w:val="18"/>
                    <w:szCs w:val="18"/>
                  </w:rPr>
                </w:pPr>
                <w:r>
                  <w:rPr>
                    <w:rFonts w:hint="eastAsia"/>
                    <w:sz w:val="18"/>
                    <w:szCs w:val="18"/>
                  </w:rPr>
                  <w:t>减值准备期末余额</w:t>
                </w:r>
              </w:p>
            </w:tc>
          </w:sdtContent>
        </w:sdt>
      </w:tr>
      <w:tr w:rsidR="00E57DAA" w14:paraId="5EC7264D" w14:textId="77777777" w:rsidTr="00AC4185">
        <w:tc>
          <w:tcPr>
            <w:tcW w:w="715" w:type="pct"/>
            <w:vMerge/>
            <w:tcBorders>
              <w:left w:val="single" w:sz="4" w:space="0" w:color="auto"/>
              <w:bottom w:val="single" w:sz="4" w:space="0" w:color="auto"/>
              <w:right w:val="single" w:sz="4" w:space="0" w:color="auto"/>
            </w:tcBorders>
            <w:shd w:val="clear" w:color="auto" w:fill="auto"/>
          </w:tcPr>
          <w:p w14:paraId="1A336EBF" w14:textId="77777777" w:rsidR="00E57DAA" w:rsidRDefault="00E57DAA">
            <w:pPr>
              <w:jc w:val="center"/>
              <w:rPr>
                <w:sz w:val="18"/>
                <w:szCs w:val="18"/>
              </w:rPr>
            </w:pPr>
          </w:p>
        </w:tc>
        <w:tc>
          <w:tcPr>
            <w:tcW w:w="563" w:type="pct"/>
            <w:vMerge/>
            <w:tcBorders>
              <w:left w:val="single" w:sz="4" w:space="0" w:color="auto"/>
              <w:bottom w:val="single" w:sz="4" w:space="0" w:color="auto"/>
              <w:right w:val="single" w:sz="4" w:space="0" w:color="auto"/>
            </w:tcBorders>
            <w:shd w:val="clear" w:color="auto" w:fill="auto"/>
          </w:tcPr>
          <w:p w14:paraId="422C5C32" w14:textId="77777777" w:rsidR="00E57DAA" w:rsidRDefault="00E57DAA">
            <w:pPr>
              <w:jc w:val="center"/>
              <w:rPr>
                <w:sz w:val="18"/>
                <w:szCs w:val="18"/>
              </w:rPr>
            </w:pPr>
          </w:p>
        </w:tc>
        <w:sdt>
          <w:sdtPr>
            <w:rPr>
              <w:sz w:val="18"/>
              <w:szCs w:val="18"/>
            </w:rPr>
            <w:tag w:val="_PLD_759fe0f59b6046308988b932a5f90e06"/>
            <w:id w:val="-844545929"/>
          </w:sdtPr>
          <w:sdtEndPr/>
          <w:sdtContent>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3AD9B697" w14:textId="77777777" w:rsidR="00E57DAA" w:rsidRDefault="00AC4185">
                <w:pPr>
                  <w:jc w:val="center"/>
                  <w:rPr>
                    <w:sz w:val="18"/>
                    <w:szCs w:val="18"/>
                  </w:rPr>
                </w:pPr>
                <w:r>
                  <w:rPr>
                    <w:rFonts w:hint="eastAsia"/>
                    <w:sz w:val="18"/>
                    <w:szCs w:val="18"/>
                  </w:rPr>
                  <w:t>追加投资</w:t>
                </w:r>
              </w:p>
            </w:tc>
          </w:sdtContent>
        </w:sdt>
        <w:sdt>
          <w:sdtPr>
            <w:rPr>
              <w:sz w:val="18"/>
              <w:szCs w:val="18"/>
            </w:rPr>
            <w:tag w:val="_PLD_6f033bedb79a4bd7bc36dc52845a5ea0"/>
            <w:id w:val="1493211968"/>
          </w:sdtPr>
          <w:sdtEndPr/>
          <w:sdtContent>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4D3EA32F" w14:textId="77777777" w:rsidR="00E57DAA" w:rsidRDefault="00AC4185">
                <w:pPr>
                  <w:jc w:val="center"/>
                  <w:rPr>
                    <w:sz w:val="18"/>
                    <w:szCs w:val="18"/>
                  </w:rPr>
                </w:pPr>
                <w:r>
                  <w:rPr>
                    <w:rFonts w:hint="eastAsia"/>
                    <w:sz w:val="18"/>
                    <w:szCs w:val="18"/>
                  </w:rPr>
                  <w:t>减少投资</w:t>
                </w:r>
              </w:p>
            </w:tc>
          </w:sdtContent>
        </w:sdt>
        <w:sdt>
          <w:sdtPr>
            <w:rPr>
              <w:sz w:val="18"/>
              <w:szCs w:val="18"/>
            </w:rPr>
            <w:tag w:val="_PLD_67e4baac3d05451d940d328c18f19014"/>
            <w:id w:val="1435553136"/>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7707243A" w14:textId="77777777" w:rsidR="00E57DAA" w:rsidRDefault="00AC4185">
                <w:pPr>
                  <w:jc w:val="center"/>
                  <w:rPr>
                    <w:sz w:val="18"/>
                    <w:szCs w:val="18"/>
                  </w:rPr>
                </w:pPr>
                <w:r>
                  <w:rPr>
                    <w:rFonts w:hint="eastAsia"/>
                    <w:sz w:val="18"/>
                    <w:szCs w:val="18"/>
                  </w:rPr>
                  <w:t>权益法下确认的投资损益</w:t>
                </w:r>
              </w:p>
            </w:tc>
          </w:sdtContent>
        </w:sdt>
        <w:sdt>
          <w:sdtPr>
            <w:rPr>
              <w:sz w:val="18"/>
              <w:szCs w:val="18"/>
            </w:rPr>
            <w:tag w:val="_PLD_700419003e5b4596b973710043374374"/>
            <w:id w:val="-1308629173"/>
          </w:sdtPr>
          <w:sdtEndPr/>
          <w:sdtContent>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6805C353" w14:textId="77777777" w:rsidR="00E57DAA" w:rsidRDefault="00AC4185">
                <w:pPr>
                  <w:jc w:val="center"/>
                  <w:rPr>
                    <w:sz w:val="18"/>
                    <w:szCs w:val="18"/>
                  </w:rPr>
                </w:pPr>
                <w:r>
                  <w:rPr>
                    <w:rFonts w:hint="eastAsia"/>
                    <w:sz w:val="18"/>
                    <w:szCs w:val="18"/>
                  </w:rPr>
                  <w:t>其他综合收益调整</w:t>
                </w:r>
              </w:p>
            </w:tc>
          </w:sdtContent>
        </w:sdt>
        <w:sdt>
          <w:sdtPr>
            <w:rPr>
              <w:sz w:val="18"/>
              <w:szCs w:val="18"/>
            </w:rPr>
            <w:tag w:val="_PLD_9318c7f257d249e0a0b9bf70263601d5"/>
            <w:id w:val="-1830440925"/>
          </w:sdtPr>
          <w:sdtEndPr/>
          <w:sdtContent>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4023238A" w14:textId="77777777" w:rsidR="00E57DAA" w:rsidRDefault="00AC4185">
                <w:pPr>
                  <w:jc w:val="center"/>
                  <w:rPr>
                    <w:sz w:val="18"/>
                    <w:szCs w:val="18"/>
                  </w:rPr>
                </w:pPr>
                <w:r>
                  <w:rPr>
                    <w:rFonts w:hint="eastAsia"/>
                    <w:sz w:val="18"/>
                    <w:szCs w:val="18"/>
                  </w:rPr>
                  <w:t>其他权益变动</w:t>
                </w:r>
              </w:p>
            </w:tc>
          </w:sdtContent>
        </w:sdt>
        <w:sdt>
          <w:sdtPr>
            <w:rPr>
              <w:sz w:val="18"/>
              <w:szCs w:val="18"/>
            </w:rPr>
            <w:tag w:val="_PLD_efb3a8c8f6b64ad1a5fbb4cf67eb4c96"/>
            <w:id w:val="-1638873493"/>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1F173D8D" w14:textId="77777777" w:rsidR="00E57DAA" w:rsidRDefault="00AC4185">
                <w:pPr>
                  <w:jc w:val="center"/>
                  <w:rPr>
                    <w:sz w:val="18"/>
                    <w:szCs w:val="18"/>
                  </w:rPr>
                </w:pPr>
                <w:r>
                  <w:rPr>
                    <w:rFonts w:hint="eastAsia"/>
                    <w:sz w:val="18"/>
                    <w:szCs w:val="18"/>
                  </w:rPr>
                  <w:t>宣告发放现金股利或利润</w:t>
                </w:r>
              </w:p>
            </w:tc>
          </w:sdtContent>
        </w:sdt>
        <w:sdt>
          <w:sdtPr>
            <w:rPr>
              <w:sz w:val="18"/>
              <w:szCs w:val="18"/>
            </w:rPr>
            <w:tag w:val="_PLD_2cc45ca82119420bb4d261a3eb788ba0"/>
            <w:id w:val="1729258787"/>
          </w:sdtPr>
          <w:sdtEnd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59A10A96" w14:textId="77777777" w:rsidR="00E57DAA" w:rsidRDefault="00AC4185">
                <w:pPr>
                  <w:jc w:val="center"/>
                  <w:rPr>
                    <w:sz w:val="18"/>
                    <w:szCs w:val="18"/>
                  </w:rPr>
                </w:pPr>
                <w:r>
                  <w:rPr>
                    <w:rFonts w:hint="eastAsia"/>
                    <w:sz w:val="18"/>
                    <w:szCs w:val="18"/>
                  </w:rPr>
                  <w:t>计提减值准备</w:t>
                </w:r>
              </w:p>
            </w:tc>
          </w:sdtContent>
        </w:sdt>
        <w:sdt>
          <w:sdtPr>
            <w:rPr>
              <w:sz w:val="18"/>
              <w:szCs w:val="18"/>
            </w:rPr>
            <w:tag w:val="_PLD_85d3aa0f514447b38d92097f7a30e385"/>
            <w:id w:val="930629501"/>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121FF775" w14:textId="77777777" w:rsidR="00E57DAA" w:rsidRDefault="00AC4185">
                <w:pPr>
                  <w:jc w:val="center"/>
                  <w:rPr>
                    <w:sz w:val="18"/>
                    <w:szCs w:val="18"/>
                  </w:rPr>
                </w:pPr>
                <w:r>
                  <w:rPr>
                    <w:rFonts w:hint="eastAsia"/>
                    <w:sz w:val="18"/>
                    <w:szCs w:val="18"/>
                  </w:rPr>
                  <w:t>其他</w:t>
                </w:r>
              </w:p>
            </w:tc>
          </w:sdtContent>
        </w:sdt>
        <w:tc>
          <w:tcPr>
            <w:tcW w:w="666" w:type="pct"/>
            <w:vMerge/>
            <w:tcBorders>
              <w:left w:val="single" w:sz="4" w:space="0" w:color="auto"/>
              <w:bottom w:val="single" w:sz="4" w:space="0" w:color="auto"/>
              <w:right w:val="single" w:sz="4" w:space="0" w:color="auto"/>
            </w:tcBorders>
            <w:shd w:val="clear" w:color="auto" w:fill="auto"/>
          </w:tcPr>
          <w:p w14:paraId="6F650A9C" w14:textId="77777777" w:rsidR="00E57DAA" w:rsidRDefault="00E57DAA">
            <w:pPr>
              <w:jc w:val="center"/>
              <w:rPr>
                <w:sz w:val="18"/>
                <w:szCs w:val="18"/>
              </w:rPr>
            </w:pPr>
          </w:p>
        </w:tc>
        <w:tc>
          <w:tcPr>
            <w:tcW w:w="240" w:type="pct"/>
            <w:vMerge/>
            <w:tcBorders>
              <w:left w:val="single" w:sz="4" w:space="0" w:color="auto"/>
              <w:bottom w:val="single" w:sz="4" w:space="0" w:color="auto"/>
              <w:right w:val="single" w:sz="4" w:space="0" w:color="auto"/>
            </w:tcBorders>
            <w:shd w:val="clear" w:color="auto" w:fill="auto"/>
          </w:tcPr>
          <w:p w14:paraId="1254EAFA" w14:textId="77777777" w:rsidR="00E57DAA" w:rsidRDefault="00E57DAA">
            <w:pPr>
              <w:jc w:val="center"/>
              <w:rPr>
                <w:sz w:val="18"/>
                <w:szCs w:val="18"/>
              </w:rPr>
            </w:pPr>
          </w:p>
        </w:tc>
      </w:tr>
      <w:tr w:rsidR="00E57DAA" w14:paraId="5E9D594B" w14:textId="77777777">
        <w:sdt>
          <w:sdtPr>
            <w:rPr>
              <w:sz w:val="18"/>
              <w:szCs w:val="18"/>
            </w:rPr>
            <w:tag w:val="_PLD_b5de7a3b12554dad8d8701df843651f7"/>
            <w:id w:val="-812172673"/>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19153BA1" w14:textId="77777777" w:rsidR="00E57DAA" w:rsidRDefault="00AC4185">
                <w:pPr>
                  <w:rPr>
                    <w:sz w:val="18"/>
                    <w:szCs w:val="18"/>
                  </w:rPr>
                </w:pPr>
                <w:r>
                  <w:rPr>
                    <w:rFonts w:hint="eastAsia"/>
                    <w:sz w:val="18"/>
                    <w:szCs w:val="18"/>
                  </w:rPr>
                  <w:t>一、合营企业</w:t>
                </w:r>
              </w:p>
            </w:tc>
          </w:sdtContent>
        </w:sdt>
      </w:tr>
      <w:tr w:rsidR="00E57DAA" w14:paraId="60FEBF39" w14:textId="77777777">
        <w:sdt>
          <w:sdtPr>
            <w:rPr>
              <w:sz w:val="18"/>
              <w:szCs w:val="18"/>
            </w:rPr>
            <w:tag w:val="_PLD_473021cffa734643a0c35649ee4b5043"/>
            <w:id w:val="2009484334"/>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57768DD" w14:textId="77777777" w:rsidR="00E57DAA" w:rsidRDefault="00AC4185">
                <w:pPr>
                  <w:rPr>
                    <w:sz w:val="18"/>
                    <w:szCs w:val="18"/>
                  </w:rPr>
                </w:pPr>
                <w:r>
                  <w:rPr>
                    <w:rFonts w:hint="eastAsia"/>
                    <w:sz w:val="18"/>
                    <w:szCs w:val="18"/>
                  </w:rPr>
                  <w:t>二、联营企业</w:t>
                </w:r>
              </w:p>
            </w:tc>
          </w:sdtContent>
        </w:sdt>
      </w:tr>
      <w:tr w:rsidR="00E57DAA" w14:paraId="4E39050F"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27FADEDA" w14:textId="77777777" w:rsidR="00E57DAA" w:rsidRDefault="00AC4185">
            <w:pPr>
              <w:rPr>
                <w:sz w:val="18"/>
                <w:szCs w:val="18"/>
              </w:rPr>
            </w:pPr>
            <w:r>
              <w:rPr>
                <w:sz w:val="18"/>
                <w:szCs w:val="18"/>
              </w:rPr>
              <w:t>枞阳中材东园环境投资建设有限公司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E440F4F" w14:textId="77777777" w:rsidR="00E57DAA" w:rsidRDefault="00AC4185">
            <w:pPr>
              <w:jc w:val="right"/>
              <w:rPr>
                <w:sz w:val="18"/>
                <w:szCs w:val="18"/>
              </w:rPr>
            </w:pPr>
            <w:r>
              <w:rPr>
                <w:sz w:val="18"/>
                <w:szCs w:val="18"/>
              </w:rPr>
              <w:t>187,018,205.00</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740C39CA"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1411F066"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0F402FD5" w14:textId="77777777" w:rsidR="00E57DAA" w:rsidRDefault="00AC4185">
            <w:pPr>
              <w:jc w:val="right"/>
              <w:rPr>
                <w:sz w:val="18"/>
                <w:szCs w:val="18"/>
              </w:rPr>
            </w:pPr>
            <w:r>
              <w:rPr>
                <w:sz w:val="18"/>
                <w:szCs w:val="18"/>
              </w:rPr>
              <w:t> </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2C77A964"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05AA1ED9"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A6E232D"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1E4865F8"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5A7C8ECB"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777EE852" w14:textId="77777777" w:rsidR="00E57DAA" w:rsidRDefault="00AC4185">
            <w:pPr>
              <w:jc w:val="right"/>
              <w:rPr>
                <w:sz w:val="18"/>
                <w:szCs w:val="18"/>
              </w:rPr>
            </w:pPr>
            <w:r>
              <w:rPr>
                <w:sz w:val="18"/>
                <w:szCs w:val="18"/>
              </w:rPr>
              <w:t>187,018,205.00</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5AA3852D" w14:textId="77777777" w:rsidR="00E57DAA" w:rsidRDefault="00E57DAA">
            <w:pPr>
              <w:jc w:val="right"/>
              <w:rPr>
                <w:sz w:val="18"/>
                <w:szCs w:val="18"/>
              </w:rPr>
            </w:pPr>
          </w:p>
        </w:tc>
      </w:tr>
      <w:tr w:rsidR="00E57DAA" w14:paraId="78C52416"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7C83F7FF" w14:textId="77777777" w:rsidR="00E57DAA" w:rsidRDefault="00AC4185">
            <w:pPr>
              <w:rPr>
                <w:sz w:val="18"/>
                <w:szCs w:val="18"/>
              </w:rPr>
            </w:pPr>
            <w:r>
              <w:rPr>
                <w:sz w:val="18"/>
                <w:szCs w:val="18"/>
              </w:rPr>
              <w:t>中材水泥有限责任公司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DCDF2E3" w14:textId="77777777" w:rsidR="00E57DAA" w:rsidRDefault="00AC4185">
            <w:pPr>
              <w:jc w:val="right"/>
              <w:rPr>
                <w:sz w:val="18"/>
                <w:szCs w:val="18"/>
              </w:rPr>
            </w:pPr>
            <w:r>
              <w:rPr>
                <w:sz w:val="18"/>
                <w:szCs w:val="18"/>
              </w:rPr>
              <w:t> </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10EBD50B" w14:textId="77777777" w:rsidR="00E57DAA" w:rsidRDefault="00AC4185">
            <w:pPr>
              <w:jc w:val="right"/>
              <w:rPr>
                <w:sz w:val="18"/>
                <w:szCs w:val="18"/>
              </w:rPr>
            </w:pPr>
            <w:r>
              <w:rPr>
                <w:sz w:val="18"/>
                <w:szCs w:val="18"/>
              </w:rPr>
              <w:t>500,000,000.00</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4258D419"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64CD9966" w14:textId="77777777" w:rsidR="00E57DAA" w:rsidRDefault="00AC4185">
            <w:pPr>
              <w:jc w:val="right"/>
              <w:rPr>
                <w:sz w:val="18"/>
                <w:szCs w:val="18"/>
              </w:rPr>
            </w:pPr>
            <w:r>
              <w:rPr>
                <w:sz w:val="18"/>
                <w:szCs w:val="18"/>
              </w:rPr>
              <w:t> </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3E82C17C"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39458D4F"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C4AF2AE"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224CD507"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789542E2"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1133D409" w14:textId="77777777" w:rsidR="00E57DAA" w:rsidRDefault="00AC4185">
            <w:pPr>
              <w:jc w:val="right"/>
              <w:rPr>
                <w:sz w:val="18"/>
                <w:szCs w:val="18"/>
              </w:rPr>
            </w:pPr>
            <w:r>
              <w:rPr>
                <w:sz w:val="18"/>
                <w:szCs w:val="18"/>
              </w:rPr>
              <w:t>500,000,000.00</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0C5A2188" w14:textId="77777777" w:rsidR="00E57DAA" w:rsidRDefault="00E57DAA">
            <w:pPr>
              <w:jc w:val="right"/>
              <w:rPr>
                <w:sz w:val="18"/>
                <w:szCs w:val="18"/>
              </w:rPr>
            </w:pPr>
          </w:p>
        </w:tc>
      </w:tr>
      <w:tr w:rsidR="00E57DAA" w14:paraId="652BB811"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3E065D59" w14:textId="77777777" w:rsidR="00E57DAA" w:rsidRDefault="00AC4185">
            <w:pPr>
              <w:rPr>
                <w:sz w:val="18"/>
                <w:szCs w:val="18"/>
              </w:rPr>
            </w:pPr>
            <w:r>
              <w:rPr>
                <w:sz w:val="18"/>
                <w:szCs w:val="18"/>
              </w:rPr>
              <w:t>江苏丰海新能源淡化海水发展有限公司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537F4D4" w14:textId="77777777" w:rsidR="00E57DAA" w:rsidRDefault="00AC4185">
            <w:pPr>
              <w:jc w:val="right"/>
              <w:rPr>
                <w:sz w:val="18"/>
                <w:szCs w:val="18"/>
              </w:rPr>
            </w:pPr>
            <w:r>
              <w:rPr>
                <w:sz w:val="18"/>
                <w:szCs w:val="18"/>
              </w:rPr>
              <w:t>20,915,755.74</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1EB82629"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199CAEC4"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2AE94DB3" w14:textId="77777777" w:rsidR="00E57DAA" w:rsidRDefault="00AC4185">
            <w:pPr>
              <w:jc w:val="right"/>
              <w:rPr>
                <w:sz w:val="18"/>
                <w:szCs w:val="18"/>
              </w:rPr>
            </w:pPr>
            <w:r>
              <w:rPr>
                <w:sz w:val="18"/>
                <w:szCs w:val="18"/>
              </w:rPr>
              <w:t>1,026,799.24</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5356A438"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3DE6CA2A"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9E69495"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7DDF0479"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6FBB88D2"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087CCBAA" w14:textId="77777777" w:rsidR="00E57DAA" w:rsidRDefault="00AC4185">
            <w:pPr>
              <w:jc w:val="right"/>
              <w:rPr>
                <w:sz w:val="18"/>
                <w:szCs w:val="18"/>
              </w:rPr>
            </w:pPr>
            <w:r>
              <w:rPr>
                <w:sz w:val="18"/>
                <w:szCs w:val="18"/>
              </w:rPr>
              <w:t>21,942,554.98</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369DF779" w14:textId="77777777" w:rsidR="00E57DAA" w:rsidRDefault="00E57DAA">
            <w:pPr>
              <w:jc w:val="right"/>
              <w:rPr>
                <w:sz w:val="18"/>
                <w:szCs w:val="18"/>
              </w:rPr>
            </w:pPr>
          </w:p>
        </w:tc>
      </w:tr>
      <w:tr w:rsidR="00E57DAA" w14:paraId="0F82ECD7"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59415F95" w14:textId="77777777" w:rsidR="00E57DAA" w:rsidRDefault="00AC4185">
            <w:pPr>
              <w:rPr>
                <w:sz w:val="18"/>
                <w:szCs w:val="18"/>
              </w:rPr>
            </w:pPr>
            <w:r>
              <w:rPr>
                <w:sz w:val="18"/>
                <w:szCs w:val="18"/>
              </w:rPr>
              <w:t>中国建材国际坦桑尼亚有限公司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BFCB730" w14:textId="77777777" w:rsidR="00E57DAA" w:rsidRDefault="00AC4185">
            <w:pPr>
              <w:jc w:val="right"/>
              <w:rPr>
                <w:sz w:val="18"/>
                <w:szCs w:val="18"/>
              </w:rPr>
            </w:pPr>
            <w:r>
              <w:rPr>
                <w:sz w:val="18"/>
                <w:szCs w:val="18"/>
              </w:rPr>
              <w:t>12,431,941.09</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690C8108"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1FBEEC85"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7A847145" w14:textId="77777777" w:rsidR="00E57DAA" w:rsidRDefault="00AC4185">
            <w:pPr>
              <w:jc w:val="right"/>
              <w:rPr>
                <w:sz w:val="18"/>
                <w:szCs w:val="18"/>
              </w:rPr>
            </w:pPr>
            <w:r>
              <w:rPr>
                <w:sz w:val="18"/>
                <w:szCs w:val="18"/>
              </w:rPr>
              <w:t>-12,431,941.09</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45FA64CB"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31F99BFC"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FE1DD06"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26E91E26"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58367204"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3BC0F7F8" w14:textId="77777777" w:rsidR="00E57DAA" w:rsidRDefault="00AC4185">
            <w:pPr>
              <w:jc w:val="right"/>
              <w:rPr>
                <w:sz w:val="18"/>
                <w:szCs w:val="18"/>
              </w:rPr>
            </w:pPr>
            <w:r>
              <w:rPr>
                <w:sz w:val="18"/>
                <w:szCs w:val="18"/>
              </w:rPr>
              <w:t> </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74F5A9E0" w14:textId="77777777" w:rsidR="00E57DAA" w:rsidRDefault="00E57DAA">
            <w:pPr>
              <w:jc w:val="right"/>
              <w:rPr>
                <w:sz w:val="18"/>
                <w:szCs w:val="18"/>
              </w:rPr>
            </w:pPr>
          </w:p>
        </w:tc>
      </w:tr>
      <w:tr w:rsidR="00E57DAA" w14:paraId="394457D3"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2CC4AE54" w14:textId="77777777" w:rsidR="00E57DAA" w:rsidRDefault="00AC4185">
            <w:pPr>
              <w:rPr>
                <w:sz w:val="18"/>
                <w:szCs w:val="18"/>
              </w:rPr>
            </w:pPr>
            <w:r>
              <w:rPr>
                <w:sz w:val="18"/>
                <w:szCs w:val="18"/>
              </w:rPr>
              <w:t>中材膜材料越南公司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060852A" w14:textId="77777777" w:rsidR="00E57DAA" w:rsidRDefault="00AC4185">
            <w:pPr>
              <w:jc w:val="right"/>
              <w:rPr>
                <w:sz w:val="18"/>
                <w:szCs w:val="18"/>
              </w:rPr>
            </w:pPr>
            <w:r>
              <w:rPr>
                <w:sz w:val="18"/>
                <w:szCs w:val="18"/>
              </w:rPr>
              <w:t>15,491,663.74</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61E15C05"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1D941BC3"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55F9C98D" w14:textId="77777777" w:rsidR="00E57DAA" w:rsidRDefault="00AC4185">
            <w:pPr>
              <w:jc w:val="right"/>
              <w:rPr>
                <w:sz w:val="18"/>
                <w:szCs w:val="18"/>
              </w:rPr>
            </w:pPr>
            <w:r>
              <w:rPr>
                <w:sz w:val="18"/>
                <w:szCs w:val="18"/>
              </w:rPr>
              <w:t>3,407,885.20</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6AB60B86"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64E503B2"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0CBB2B5"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193AAEF"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79118337"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2FE3C081" w14:textId="77777777" w:rsidR="00E57DAA" w:rsidRDefault="00AC4185">
            <w:pPr>
              <w:jc w:val="right"/>
              <w:rPr>
                <w:sz w:val="18"/>
                <w:szCs w:val="18"/>
              </w:rPr>
            </w:pPr>
            <w:r>
              <w:rPr>
                <w:sz w:val="18"/>
                <w:szCs w:val="18"/>
              </w:rPr>
              <w:t>18,899,548.94</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4F5CE184" w14:textId="77777777" w:rsidR="00E57DAA" w:rsidRDefault="00E57DAA">
            <w:pPr>
              <w:jc w:val="right"/>
              <w:rPr>
                <w:sz w:val="18"/>
                <w:szCs w:val="18"/>
              </w:rPr>
            </w:pPr>
          </w:p>
        </w:tc>
      </w:tr>
      <w:tr w:rsidR="00E57DAA" w14:paraId="48178B41"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0DEA0F73" w14:textId="77777777" w:rsidR="00E57DAA" w:rsidRDefault="00AC4185">
            <w:pPr>
              <w:rPr>
                <w:sz w:val="18"/>
                <w:szCs w:val="18"/>
              </w:rPr>
            </w:pPr>
            <w:r>
              <w:rPr>
                <w:sz w:val="18"/>
                <w:szCs w:val="18"/>
              </w:rPr>
              <w:t>中建材矿业投资尼日利亚有限公司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75F616D" w14:textId="77777777" w:rsidR="00E57DAA" w:rsidRDefault="00AC4185">
            <w:pPr>
              <w:jc w:val="right"/>
              <w:rPr>
                <w:sz w:val="18"/>
                <w:szCs w:val="18"/>
              </w:rPr>
            </w:pPr>
            <w:r>
              <w:rPr>
                <w:sz w:val="18"/>
                <w:szCs w:val="18"/>
              </w:rPr>
              <w:t>14,097,145.40</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51298AB5"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41BB221D"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43187CA4" w14:textId="77777777" w:rsidR="00E57DAA" w:rsidRDefault="00AC4185">
            <w:pPr>
              <w:jc w:val="right"/>
              <w:rPr>
                <w:sz w:val="18"/>
                <w:szCs w:val="18"/>
              </w:rPr>
            </w:pPr>
            <w:r>
              <w:rPr>
                <w:sz w:val="18"/>
                <w:szCs w:val="18"/>
              </w:rPr>
              <w:t>-5,560,314.85</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1D726BB5" w14:textId="77777777" w:rsidR="00E57DAA" w:rsidRDefault="00AC4185">
            <w:pPr>
              <w:jc w:val="right"/>
              <w:rPr>
                <w:sz w:val="18"/>
                <w:szCs w:val="18"/>
              </w:rPr>
            </w:pPr>
            <w:r>
              <w:rPr>
                <w:sz w:val="18"/>
                <w:szCs w:val="18"/>
              </w:rPr>
              <w:t> </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499AC736"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1D92EE5"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13E8DD96"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67898786"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22211D30" w14:textId="77777777" w:rsidR="00E57DAA" w:rsidRDefault="00AC4185">
            <w:pPr>
              <w:jc w:val="right"/>
              <w:rPr>
                <w:sz w:val="18"/>
                <w:szCs w:val="18"/>
              </w:rPr>
            </w:pPr>
            <w:r>
              <w:rPr>
                <w:sz w:val="18"/>
                <w:szCs w:val="18"/>
              </w:rPr>
              <w:t>8,536,830.55</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6B69776D" w14:textId="77777777" w:rsidR="00E57DAA" w:rsidRDefault="00E57DAA">
            <w:pPr>
              <w:jc w:val="right"/>
              <w:rPr>
                <w:sz w:val="18"/>
                <w:szCs w:val="18"/>
              </w:rPr>
            </w:pPr>
          </w:p>
        </w:tc>
      </w:tr>
      <w:tr w:rsidR="00E57DAA" w14:paraId="6A8DA192"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4A4623CA" w14:textId="77777777" w:rsidR="00E57DAA" w:rsidRDefault="00AC4185">
            <w:pPr>
              <w:rPr>
                <w:sz w:val="18"/>
                <w:szCs w:val="18"/>
              </w:rPr>
            </w:pPr>
            <w:r>
              <w:rPr>
                <w:sz w:val="18"/>
                <w:szCs w:val="18"/>
              </w:rPr>
              <w:lastRenderedPageBreak/>
              <w:t>北新建材（泰国）有限公司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FD7DACA" w14:textId="77777777" w:rsidR="00E57DAA" w:rsidRDefault="00AC4185">
            <w:pPr>
              <w:jc w:val="right"/>
              <w:rPr>
                <w:sz w:val="18"/>
                <w:szCs w:val="18"/>
              </w:rPr>
            </w:pPr>
            <w:r>
              <w:rPr>
                <w:sz w:val="18"/>
                <w:szCs w:val="18"/>
              </w:rPr>
              <w:t>7,802,786.45</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16F1727E" w14:textId="77777777" w:rsidR="00E57DAA" w:rsidRDefault="00AC4185">
            <w:pPr>
              <w:jc w:val="right"/>
              <w:rPr>
                <w:sz w:val="18"/>
                <w:szCs w:val="18"/>
              </w:rPr>
            </w:pPr>
            <w:r>
              <w:rPr>
                <w:sz w:val="18"/>
                <w:szCs w:val="18"/>
              </w:rPr>
              <w:t> </w:t>
            </w:r>
          </w:p>
        </w:tc>
        <w:tc>
          <w:tcPr>
            <w:tcW w:w="204" w:type="pct"/>
            <w:tcBorders>
              <w:top w:val="single" w:sz="4" w:space="0" w:color="auto"/>
              <w:left w:val="single" w:sz="4" w:space="0" w:color="auto"/>
              <w:bottom w:val="single" w:sz="4" w:space="0" w:color="auto"/>
              <w:right w:val="single" w:sz="4" w:space="0" w:color="auto"/>
            </w:tcBorders>
            <w:shd w:val="clear" w:color="auto" w:fill="auto"/>
          </w:tcPr>
          <w:p w14:paraId="47C21008"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7AEDEEF3" w14:textId="77777777" w:rsidR="00E57DAA" w:rsidRDefault="00AC4185">
            <w:pPr>
              <w:jc w:val="right"/>
              <w:rPr>
                <w:sz w:val="18"/>
                <w:szCs w:val="18"/>
              </w:rPr>
            </w:pPr>
            <w:r>
              <w:rPr>
                <w:sz w:val="18"/>
                <w:szCs w:val="18"/>
              </w:rPr>
              <w:t>-23,771.80</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14F4DDA3" w14:textId="77777777" w:rsidR="00E57DAA" w:rsidRDefault="00AC4185">
            <w:pPr>
              <w:jc w:val="right"/>
              <w:rPr>
                <w:sz w:val="18"/>
                <w:szCs w:val="18"/>
              </w:rPr>
            </w:pPr>
            <w:r>
              <w:rPr>
                <w:sz w:val="18"/>
                <w:szCs w:val="18"/>
              </w:rPr>
              <w:t>210,223.44</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10E76559" w14:textId="77777777" w:rsidR="00E57DAA" w:rsidRDefault="00AC4185">
            <w:pPr>
              <w:jc w:val="right"/>
              <w:rPr>
                <w:sz w:val="18"/>
                <w:szCs w:val="18"/>
              </w:rPr>
            </w:pPr>
            <w:r>
              <w:rPr>
                <w:sz w:val="18"/>
                <w:szCs w:val="18"/>
              </w:rPr>
              <w:t> </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827C47A" w14:textId="77777777" w:rsidR="00E57DAA" w:rsidRDefault="00AC4185">
            <w:pPr>
              <w:jc w:val="right"/>
              <w:rPr>
                <w:sz w:val="18"/>
                <w:szCs w:val="18"/>
              </w:rPr>
            </w:pPr>
            <w:r>
              <w:rPr>
                <w:sz w:val="18"/>
                <w:szCs w:val="18"/>
              </w:rPr>
              <w:t> </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48A93830" w14:textId="77777777" w:rsidR="00E57DAA" w:rsidRDefault="00AC4185">
            <w:pPr>
              <w:jc w:val="right"/>
              <w:rPr>
                <w:sz w:val="18"/>
                <w:szCs w:val="18"/>
              </w:rPr>
            </w:pPr>
            <w:r>
              <w:rPr>
                <w:sz w:val="18"/>
                <w:szCs w:val="18"/>
              </w:rPr>
              <w:t> </w:t>
            </w:r>
          </w:p>
        </w:tc>
        <w:tc>
          <w:tcPr>
            <w:tcW w:w="152" w:type="pct"/>
            <w:tcBorders>
              <w:top w:val="single" w:sz="4" w:space="0" w:color="auto"/>
              <w:left w:val="single" w:sz="4" w:space="0" w:color="auto"/>
              <w:bottom w:val="single" w:sz="4" w:space="0" w:color="auto"/>
              <w:right w:val="single" w:sz="4" w:space="0" w:color="auto"/>
            </w:tcBorders>
            <w:shd w:val="clear" w:color="auto" w:fill="auto"/>
          </w:tcPr>
          <w:p w14:paraId="1EDD684D" w14:textId="77777777" w:rsidR="00E57DAA" w:rsidRDefault="00AC4185">
            <w:pPr>
              <w:jc w:val="right"/>
              <w:rPr>
                <w:sz w:val="18"/>
                <w:szCs w:val="18"/>
              </w:rPr>
            </w:pPr>
            <w:r>
              <w:rPr>
                <w:sz w:val="18"/>
                <w:szCs w:val="18"/>
              </w:rPr>
              <w:t> </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2EF703CD" w14:textId="77777777" w:rsidR="00E57DAA" w:rsidRDefault="00AC4185">
            <w:pPr>
              <w:jc w:val="right"/>
              <w:rPr>
                <w:sz w:val="18"/>
                <w:szCs w:val="18"/>
              </w:rPr>
            </w:pPr>
            <w:r>
              <w:rPr>
                <w:sz w:val="18"/>
                <w:szCs w:val="18"/>
              </w:rPr>
              <w:t>7,989,238.09</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5559A14B" w14:textId="77777777" w:rsidR="00E57DAA" w:rsidRDefault="00E57DAA">
            <w:pPr>
              <w:jc w:val="right"/>
              <w:rPr>
                <w:sz w:val="18"/>
                <w:szCs w:val="18"/>
              </w:rPr>
            </w:pPr>
          </w:p>
        </w:tc>
      </w:tr>
      <w:tr w:rsidR="00E57DAA" w14:paraId="3CC80B52"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tcPr>
          <w:p w14:paraId="567C4A62" w14:textId="77777777" w:rsidR="00E57DAA" w:rsidRDefault="00AC4185">
            <w:pPr>
              <w:rPr>
                <w:sz w:val="18"/>
                <w:szCs w:val="18"/>
              </w:rPr>
            </w:pPr>
            <w:r>
              <w:rPr>
                <w:rFonts w:hint="eastAsia"/>
                <w:sz w:val="18"/>
                <w:szCs w:val="18"/>
              </w:rPr>
              <w:t>小计</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93E8477" w14:textId="77777777" w:rsidR="00E57DAA" w:rsidRDefault="00AC4185">
            <w:pPr>
              <w:jc w:val="right"/>
              <w:rPr>
                <w:sz w:val="18"/>
                <w:szCs w:val="18"/>
              </w:rPr>
            </w:pPr>
            <w:r>
              <w:rPr>
                <w:sz w:val="18"/>
                <w:szCs w:val="18"/>
              </w:rPr>
              <w:t>257,757,497.42</w:t>
            </w:r>
          </w:p>
        </w:tc>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6E6CB486" w14:textId="77777777" w:rsidR="00E57DAA" w:rsidRDefault="00AC4185">
            <w:pPr>
              <w:jc w:val="right"/>
              <w:rPr>
                <w:sz w:val="18"/>
                <w:szCs w:val="18"/>
              </w:rPr>
            </w:pPr>
            <w:r>
              <w:rPr>
                <w:sz w:val="18"/>
                <w:szCs w:val="18"/>
              </w:rPr>
              <w:t>500,000,000.00</w:t>
            </w:r>
          </w:p>
        </w:tc>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5B567D14" w14:textId="77777777" w:rsidR="00E57DAA" w:rsidRDefault="00E57DAA">
            <w:pPr>
              <w:jc w:val="right"/>
              <w:rPr>
                <w:sz w:val="18"/>
                <w:szCs w:val="18"/>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2009409C" w14:textId="77777777" w:rsidR="00E57DAA" w:rsidRDefault="00AC4185">
            <w:pPr>
              <w:jc w:val="right"/>
              <w:rPr>
                <w:sz w:val="18"/>
                <w:szCs w:val="18"/>
              </w:rPr>
            </w:pPr>
            <w:r>
              <w:rPr>
                <w:sz w:val="18"/>
                <w:szCs w:val="18"/>
              </w:rPr>
              <w:t>-13,581,343.30</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1E005A12" w14:textId="77777777" w:rsidR="00E57DAA" w:rsidRDefault="00AC4185">
            <w:pPr>
              <w:jc w:val="right"/>
              <w:rPr>
                <w:sz w:val="18"/>
                <w:szCs w:val="18"/>
              </w:rPr>
            </w:pPr>
            <w:r>
              <w:rPr>
                <w:sz w:val="18"/>
                <w:szCs w:val="18"/>
              </w:rPr>
              <w:t>210,223.44</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0E8C1D43" w14:textId="77777777" w:rsidR="00E57DAA" w:rsidRDefault="00E57DAA">
            <w:pPr>
              <w:jc w:val="right"/>
              <w:rPr>
                <w:sz w:val="18"/>
                <w:szCs w:val="18"/>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04B5A13" w14:textId="77777777" w:rsidR="00E57DAA" w:rsidRDefault="00E57DAA">
            <w:pPr>
              <w:jc w:val="right"/>
              <w:rPr>
                <w:sz w:val="18"/>
                <w:szCs w:val="18"/>
              </w:rPr>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55CB505C" w14:textId="77777777" w:rsidR="00E57DAA" w:rsidRDefault="00E57DAA">
            <w:pPr>
              <w:jc w:val="right"/>
              <w:rPr>
                <w:sz w:val="18"/>
                <w:szCs w:val="18"/>
              </w:rPr>
            </w:pPr>
          </w:p>
        </w:tc>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73D6C1DE" w14:textId="77777777" w:rsidR="00E57DAA" w:rsidRDefault="00E57DAA">
            <w:pPr>
              <w:jc w:val="right"/>
              <w:rPr>
                <w:sz w:val="18"/>
                <w:szCs w:val="18"/>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0D869CC" w14:textId="77777777" w:rsidR="00E57DAA" w:rsidRDefault="00AC4185">
            <w:pPr>
              <w:jc w:val="right"/>
              <w:rPr>
                <w:sz w:val="18"/>
                <w:szCs w:val="18"/>
              </w:rPr>
            </w:pPr>
            <w:r>
              <w:rPr>
                <w:sz w:val="18"/>
                <w:szCs w:val="18"/>
              </w:rPr>
              <w:t>744,386,377.56</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595F6C3B" w14:textId="77777777" w:rsidR="00E57DAA" w:rsidRDefault="00E57DAA">
            <w:pPr>
              <w:jc w:val="right"/>
              <w:rPr>
                <w:sz w:val="18"/>
                <w:szCs w:val="18"/>
              </w:rPr>
            </w:pPr>
          </w:p>
        </w:tc>
      </w:tr>
      <w:tr w:rsidR="00E57DAA" w14:paraId="62AAF8CE" w14:textId="77777777" w:rsidTr="00AC4185">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6167143D" w14:textId="77777777" w:rsidR="00E57DAA" w:rsidRDefault="00AC4185">
            <w:pPr>
              <w:jc w:val="center"/>
              <w:rPr>
                <w:sz w:val="18"/>
                <w:szCs w:val="18"/>
              </w:rPr>
            </w:pPr>
            <w:r>
              <w:rPr>
                <w:rFonts w:hint="eastAsia"/>
                <w:sz w:val="18"/>
                <w:szCs w:val="18"/>
              </w:rPr>
              <w:t>合计</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A8064FE" w14:textId="77777777" w:rsidR="00E57DAA" w:rsidRDefault="00AC4185">
            <w:pPr>
              <w:jc w:val="right"/>
              <w:rPr>
                <w:sz w:val="18"/>
                <w:szCs w:val="18"/>
              </w:rPr>
            </w:pPr>
            <w:r>
              <w:rPr>
                <w:sz w:val="18"/>
                <w:szCs w:val="18"/>
              </w:rPr>
              <w:t>257,757,497.42</w:t>
            </w:r>
          </w:p>
        </w:tc>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3AAF2F47" w14:textId="77777777" w:rsidR="00E57DAA" w:rsidRDefault="00AC4185">
            <w:pPr>
              <w:jc w:val="right"/>
              <w:rPr>
                <w:sz w:val="18"/>
                <w:szCs w:val="18"/>
              </w:rPr>
            </w:pPr>
            <w:r>
              <w:rPr>
                <w:sz w:val="18"/>
                <w:szCs w:val="18"/>
              </w:rPr>
              <w:t>500,000,000.00</w:t>
            </w:r>
          </w:p>
        </w:tc>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6DB589D0" w14:textId="77777777" w:rsidR="00E57DAA" w:rsidRDefault="00E57DAA">
            <w:pPr>
              <w:jc w:val="right"/>
              <w:rPr>
                <w:sz w:val="18"/>
                <w:szCs w:val="18"/>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6874D44A" w14:textId="77777777" w:rsidR="00E57DAA" w:rsidRDefault="00AC4185">
            <w:pPr>
              <w:jc w:val="right"/>
              <w:rPr>
                <w:sz w:val="18"/>
                <w:szCs w:val="18"/>
              </w:rPr>
            </w:pPr>
            <w:r>
              <w:rPr>
                <w:sz w:val="18"/>
                <w:szCs w:val="18"/>
              </w:rPr>
              <w:t>-13,581,343.30</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14:paraId="65011217" w14:textId="77777777" w:rsidR="00E57DAA" w:rsidRDefault="00AC4185">
            <w:pPr>
              <w:jc w:val="right"/>
              <w:rPr>
                <w:sz w:val="18"/>
                <w:szCs w:val="18"/>
              </w:rPr>
            </w:pPr>
            <w:r>
              <w:rPr>
                <w:sz w:val="18"/>
                <w:szCs w:val="18"/>
              </w:rPr>
              <w:t>210,223.44</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51FFC2E" w14:textId="77777777" w:rsidR="00E57DAA" w:rsidRDefault="00E57DAA">
            <w:pPr>
              <w:jc w:val="right"/>
              <w:rPr>
                <w:sz w:val="18"/>
                <w:szCs w:val="18"/>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71A6C44" w14:textId="77777777" w:rsidR="00E57DAA" w:rsidRDefault="00E57DAA">
            <w:pPr>
              <w:jc w:val="right"/>
              <w:rPr>
                <w:sz w:val="18"/>
                <w:szCs w:val="18"/>
              </w:rPr>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7BB85AC5" w14:textId="77777777" w:rsidR="00E57DAA" w:rsidRDefault="00E57DAA">
            <w:pPr>
              <w:jc w:val="right"/>
              <w:rPr>
                <w:sz w:val="18"/>
                <w:szCs w:val="18"/>
              </w:rPr>
            </w:pPr>
          </w:p>
        </w:tc>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6A7F313F" w14:textId="77777777" w:rsidR="00E57DAA" w:rsidRDefault="00E57DAA">
            <w:pPr>
              <w:jc w:val="right"/>
              <w:rPr>
                <w:sz w:val="18"/>
                <w:szCs w:val="18"/>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2C913D7E" w14:textId="77777777" w:rsidR="00E57DAA" w:rsidRDefault="00AC4185">
            <w:pPr>
              <w:jc w:val="right"/>
              <w:rPr>
                <w:sz w:val="18"/>
                <w:szCs w:val="18"/>
              </w:rPr>
            </w:pPr>
            <w:r>
              <w:rPr>
                <w:sz w:val="18"/>
                <w:szCs w:val="18"/>
              </w:rPr>
              <w:t>744,386,377.56</w:t>
            </w:r>
          </w:p>
        </w:tc>
        <w:tc>
          <w:tcPr>
            <w:tcW w:w="240" w:type="pct"/>
            <w:tcBorders>
              <w:top w:val="single" w:sz="4" w:space="0" w:color="auto"/>
              <w:left w:val="single" w:sz="4" w:space="0" w:color="auto"/>
              <w:bottom w:val="single" w:sz="4" w:space="0" w:color="auto"/>
              <w:right w:val="single" w:sz="4" w:space="0" w:color="auto"/>
            </w:tcBorders>
            <w:shd w:val="clear" w:color="auto" w:fill="auto"/>
          </w:tcPr>
          <w:p w14:paraId="5AF0CB10" w14:textId="77777777" w:rsidR="00E57DAA" w:rsidRDefault="00E57DAA">
            <w:pPr>
              <w:jc w:val="right"/>
              <w:rPr>
                <w:sz w:val="18"/>
                <w:szCs w:val="18"/>
              </w:rPr>
            </w:pPr>
          </w:p>
        </w:tc>
      </w:tr>
    </w:tbl>
    <w:p w14:paraId="5417E86D" w14:textId="77777777" w:rsidR="00E57DAA" w:rsidRDefault="00E57DAA" w:rsidP="00C25422">
      <w:pPr>
        <w:pStyle w:val="92"/>
      </w:pPr>
    </w:p>
    <w:p w14:paraId="343C8586" w14:textId="77777777" w:rsidR="00E57DAA" w:rsidRDefault="00E57DAA">
      <w:pPr>
        <w:rPr>
          <w:szCs w:val="21"/>
        </w:rPr>
        <w:sectPr w:rsidR="00E57DAA" w:rsidSect="00226547">
          <w:pgSz w:w="16838" w:h="11906" w:orient="landscape"/>
          <w:pgMar w:top="1797" w:right="1525" w:bottom="1276" w:left="1440" w:header="856" w:footer="992" w:gutter="0"/>
          <w:cols w:space="425"/>
          <w:docGrid w:linePitch="312"/>
        </w:sectPr>
      </w:pPr>
    </w:p>
    <w:p w14:paraId="10DB3D0D" w14:textId="77777777" w:rsidR="00E57DAA" w:rsidRDefault="00E57DAA">
      <w:pPr>
        <w:rPr>
          <w:szCs w:val="21"/>
        </w:rPr>
      </w:pPr>
    </w:p>
    <w:p w14:paraId="45C1C742" w14:textId="77777777" w:rsidR="00E57DAA" w:rsidRDefault="00AC4185">
      <w:pPr>
        <w:pStyle w:val="4"/>
        <w:numPr>
          <w:ilvl w:val="0"/>
          <w:numId w:val="80"/>
        </w:numPr>
      </w:pPr>
      <w:bookmarkStart w:id="355" w:name="_Hlk155165896"/>
      <w:r>
        <w:rPr>
          <w:rFonts w:hint="eastAsia"/>
        </w:rPr>
        <w:t>长期股权投资的减值测试情况</w:t>
      </w:r>
    </w:p>
    <w:sdt>
      <w:sdtPr>
        <w:alias w:val="是否适用：减值测试情况[双击切换]"/>
        <w:tag w:val="_GBC_99f575f7d43c4e27846e49ee35c9e10f"/>
        <w:id w:val="-870149907"/>
        <w:placeholder>
          <w:docPart w:val="GBC22222222222222222222222222222"/>
        </w:placeholder>
      </w:sdtPr>
      <w:sdtEndPr/>
      <w:sdtContent>
        <w:p w14:paraId="3605F6E9" w14:textId="77777777" w:rsidR="008757D9" w:rsidRDefault="00AC4185" w:rsidP="008757D9">
          <w:pPr>
            <w:pStyle w:val="92"/>
          </w:pPr>
          <w:r>
            <w:fldChar w:fldCharType="begin"/>
          </w:r>
          <w:r w:rsidR="008757D9">
            <w:instrText xml:space="preserve"> MACROBUTTON  SnrToggleCheckbox □适用 </w:instrText>
          </w:r>
          <w:r>
            <w:fldChar w:fldCharType="end"/>
          </w:r>
          <w:r>
            <w:fldChar w:fldCharType="begin"/>
          </w:r>
          <w:r w:rsidR="008757D9">
            <w:instrText xml:space="preserve"> MACROBUTTON  SnrToggleCheckbox √不适用 </w:instrText>
          </w:r>
          <w:r>
            <w:fldChar w:fldCharType="end"/>
          </w:r>
        </w:p>
      </w:sdtContent>
    </w:sdt>
    <w:p w14:paraId="1DDE0A82" w14:textId="77777777" w:rsidR="008757D9" w:rsidRDefault="008757D9"/>
    <w:p w14:paraId="6A45EA1A" w14:textId="77777777" w:rsidR="00E57DAA" w:rsidRDefault="00E57DAA" w:rsidP="00C25422">
      <w:pPr>
        <w:pStyle w:val="92"/>
      </w:pPr>
    </w:p>
    <w:bookmarkEnd w:id="355"/>
    <w:p w14:paraId="1732CF39" w14:textId="77777777" w:rsidR="00E57DAA" w:rsidRDefault="00AC4185" w:rsidP="00C25422">
      <w:pPr>
        <w:pStyle w:val="91"/>
        <w:numPr>
          <w:ilvl w:val="0"/>
          <w:numId w:val="132"/>
        </w:numPr>
      </w:pPr>
      <w:r>
        <w:rPr>
          <w:rFonts w:hint="eastAsia"/>
        </w:rPr>
        <w:t>营业收入和营业成本</w:t>
      </w:r>
    </w:p>
    <w:p w14:paraId="13448724" w14:textId="77777777" w:rsidR="00E57DAA" w:rsidRDefault="00AC4185">
      <w:pPr>
        <w:pStyle w:val="4"/>
        <w:numPr>
          <w:ilvl w:val="0"/>
          <w:numId w:val="136"/>
        </w:numPr>
      </w:pPr>
      <w:r>
        <w:rPr>
          <w:rFonts w:hint="eastAsia"/>
        </w:rPr>
        <w:t>营业收入和营业成本情况</w:t>
      </w:r>
    </w:p>
    <w:sdt>
      <w:sdtPr>
        <w:rPr>
          <w:rFonts w:hint="eastAsia"/>
        </w:rPr>
        <w:alias w:val="是否适用：母公司营业收入和营业成本[双击切换]"/>
        <w:tag w:val="_GBC_3cf10265cb614c79a538bd06daf8da74"/>
        <w:id w:val="661743228"/>
        <w:placeholder>
          <w:docPart w:val="GBC22222222222222222222222222222"/>
        </w:placeholder>
      </w:sdtPr>
      <w:sdtEndPr/>
      <w:sdtContent>
        <w:p w14:paraId="470123DA" w14:textId="77777777" w:rsidR="00E57DAA" w:rsidRDefault="00AC4185" w:rsidP="00C25422">
          <w:pPr>
            <w:pStyle w:val="73"/>
            <w:ind w:firstLine="400"/>
          </w:pPr>
          <w:r>
            <w:fldChar w:fldCharType="begin"/>
          </w:r>
          <w:r>
            <w:instrText xml:space="preserve"> </w:instrText>
          </w:r>
          <w:r>
            <w:rPr>
              <w:rFonts w:hint="eastAsia"/>
            </w:rPr>
            <w:instrText xml:space="preserve">MACROBUTTON  SnrToggleCheckbox </w:instrText>
          </w:r>
          <w:r>
            <w:rPr>
              <w:rFonts w:hint="eastAsia"/>
            </w:rPr>
            <w:instrText>√适用</w:instrText>
          </w:r>
          <w:r>
            <w:rPr>
              <w:rFonts w:hint="eastAsia"/>
            </w:rPr>
            <w:instrText xml:space="preserve"> </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14:paraId="11C94FBE" w14:textId="77777777" w:rsidR="00E57DAA" w:rsidRDefault="00AC4185" w:rsidP="00C25422">
      <w:pPr>
        <w:pStyle w:val="73"/>
        <w:ind w:firstLine="400"/>
        <w:rPr>
          <w:kern w:val="0"/>
        </w:rPr>
      </w:pPr>
      <w:r>
        <w:rPr>
          <w:rFonts w:hint="eastAsia"/>
        </w:rPr>
        <w:t>单位：</w:t>
      </w:r>
      <w:sdt>
        <w:sdtPr>
          <w:rPr>
            <w:rFonts w:hint="eastAsia"/>
          </w:rPr>
          <w:alias w:val="单位：母公司财务附注：营业收入"/>
          <w:tag w:val="_GBC_5e6e6011a00b4111b618be40fba11dc1"/>
          <w:id w:val="-2206071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母公司财务附注：营业收入"/>
          <w:tag w:val="_GBC_5940d445dfb6426f97376a89f3df08e7"/>
          <w:id w:val="1942014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896"/>
        <w:gridCol w:w="1896"/>
        <w:gridCol w:w="1896"/>
        <w:gridCol w:w="1896"/>
      </w:tblGrid>
      <w:tr w:rsidR="00E57DAA" w14:paraId="49A33317" w14:textId="77777777">
        <w:sdt>
          <w:sdtPr>
            <w:tag w:val="_PLD_03d52d676cf8435a8f7a530f92cd7617"/>
            <w:id w:val="-1784572723"/>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7304F4ED" w14:textId="77777777" w:rsidR="00E57DAA" w:rsidRDefault="00AC4185">
                <w:pPr>
                  <w:jc w:val="center"/>
                  <w:rPr>
                    <w:szCs w:val="21"/>
                  </w:rPr>
                </w:pPr>
                <w:r>
                  <w:rPr>
                    <w:rFonts w:hint="eastAsia"/>
                    <w:szCs w:val="21"/>
                  </w:rPr>
                  <w:t>项目</w:t>
                </w:r>
              </w:p>
            </w:tc>
          </w:sdtContent>
        </w:sdt>
        <w:sdt>
          <w:sdtPr>
            <w:tag w:val="_PLD_32b5faadfe0b45d19044be5526af3c2d"/>
            <w:id w:val="-895512982"/>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351E30" w14:textId="77777777" w:rsidR="00E57DAA" w:rsidRDefault="00AC4185">
                <w:pPr>
                  <w:jc w:val="center"/>
                  <w:rPr>
                    <w:szCs w:val="21"/>
                  </w:rPr>
                </w:pPr>
                <w:r>
                  <w:rPr>
                    <w:rFonts w:hint="eastAsia"/>
                    <w:szCs w:val="21"/>
                  </w:rPr>
                  <w:t>本期发生额</w:t>
                </w:r>
              </w:p>
            </w:tc>
          </w:sdtContent>
        </w:sdt>
        <w:sdt>
          <w:sdtPr>
            <w:tag w:val="_PLD_5e3b95dc7e564cbabd77bf88c8a43781"/>
            <w:id w:val="-436217500"/>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D3D51B" w14:textId="77777777" w:rsidR="00E57DAA" w:rsidRDefault="00AC4185">
                <w:pPr>
                  <w:jc w:val="center"/>
                  <w:rPr>
                    <w:szCs w:val="21"/>
                  </w:rPr>
                </w:pPr>
                <w:r>
                  <w:rPr>
                    <w:rFonts w:hint="eastAsia"/>
                    <w:szCs w:val="21"/>
                  </w:rPr>
                  <w:t>上期发生额</w:t>
                </w:r>
              </w:p>
            </w:tc>
          </w:sdtContent>
        </w:sdt>
      </w:tr>
      <w:tr w:rsidR="00E57DAA" w14:paraId="0647A5E3" w14:textId="77777777">
        <w:tc>
          <w:tcPr>
            <w:tcW w:w="1570" w:type="pct"/>
            <w:vMerge/>
            <w:tcBorders>
              <w:left w:val="single" w:sz="4" w:space="0" w:color="auto"/>
              <w:bottom w:val="single" w:sz="4" w:space="0" w:color="auto"/>
              <w:right w:val="single" w:sz="4" w:space="0" w:color="auto"/>
            </w:tcBorders>
            <w:shd w:val="clear" w:color="auto" w:fill="auto"/>
            <w:vAlign w:val="center"/>
          </w:tcPr>
          <w:p w14:paraId="14EBE1BC" w14:textId="77777777" w:rsidR="00E57DAA" w:rsidRDefault="00E57DAA">
            <w:pPr>
              <w:jc w:val="center"/>
              <w:rPr>
                <w:szCs w:val="21"/>
              </w:rPr>
            </w:pPr>
          </w:p>
        </w:tc>
        <w:sdt>
          <w:sdtPr>
            <w:tag w:val="_PLD_35d68e9def174e9fb111f9c26dc6e586"/>
            <w:id w:val="867559606"/>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83F9DBF" w14:textId="77777777" w:rsidR="00E57DAA" w:rsidRDefault="00AC4185">
                <w:pPr>
                  <w:jc w:val="center"/>
                  <w:rPr>
                    <w:szCs w:val="21"/>
                  </w:rPr>
                </w:pPr>
                <w:r>
                  <w:rPr>
                    <w:rFonts w:hint="eastAsia"/>
                    <w:szCs w:val="21"/>
                  </w:rPr>
                  <w:t>收入</w:t>
                </w:r>
              </w:p>
            </w:tc>
          </w:sdtContent>
        </w:sdt>
        <w:sdt>
          <w:sdtPr>
            <w:tag w:val="_PLD_bca4c40811a6455bb6f684093a6c0c7d"/>
            <w:id w:val="-14541136"/>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B9387EB" w14:textId="77777777" w:rsidR="00E57DAA" w:rsidRDefault="00AC4185">
                <w:pPr>
                  <w:jc w:val="center"/>
                  <w:rPr>
                    <w:szCs w:val="21"/>
                  </w:rPr>
                </w:pPr>
                <w:r>
                  <w:rPr>
                    <w:rFonts w:hint="eastAsia"/>
                    <w:szCs w:val="21"/>
                  </w:rPr>
                  <w:t>成本</w:t>
                </w:r>
              </w:p>
            </w:tc>
          </w:sdtContent>
        </w:sdt>
        <w:sdt>
          <w:sdtPr>
            <w:tag w:val="_PLD_913bf231029842ff9aedaf2297b238c1"/>
            <w:id w:val="-1583054707"/>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5D232E9" w14:textId="77777777" w:rsidR="00E57DAA" w:rsidRDefault="00AC4185">
                <w:pPr>
                  <w:jc w:val="center"/>
                  <w:rPr>
                    <w:szCs w:val="21"/>
                  </w:rPr>
                </w:pPr>
                <w:r>
                  <w:rPr>
                    <w:rFonts w:hint="eastAsia"/>
                    <w:szCs w:val="21"/>
                  </w:rPr>
                  <w:t>收入</w:t>
                </w:r>
              </w:p>
            </w:tc>
          </w:sdtContent>
        </w:sdt>
        <w:sdt>
          <w:sdtPr>
            <w:tag w:val="_PLD_f626f406150145439510a3b7f1a71e39"/>
            <w:id w:val="84121820"/>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4BF80E41" w14:textId="77777777" w:rsidR="00E57DAA" w:rsidRDefault="00AC4185">
                <w:pPr>
                  <w:jc w:val="center"/>
                  <w:rPr>
                    <w:szCs w:val="21"/>
                  </w:rPr>
                </w:pPr>
                <w:r>
                  <w:rPr>
                    <w:rFonts w:hint="eastAsia"/>
                    <w:szCs w:val="21"/>
                  </w:rPr>
                  <w:t>成本</w:t>
                </w:r>
              </w:p>
            </w:tc>
          </w:sdtContent>
        </w:sdt>
      </w:tr>
      <w:tr w:rsidR="00E57DAA" w14:paraId="03D568FA" w14:textId="77777777">
        <w:tc>
          <w:tcPr>
            <w:tcW w:w="1570" w:type="pct"/>
            <w:tcBorders>
              <w:top w:val="single" w:sz="4" w:space="0" w:color="auto"/>
              <w:left w:val="single" w:sz="4" w:space="0" w:color="auto"/>
              <w:bottom w:val="single" w:sz="4" w:space="0" w:color="auto"/>
              <w:right w:val="single" w:sz="4" w:space="0" w:color="auto"/>
            </w:tcBorders>
            <w:shd w:val="clear" w:color="auto" w:fill="auto"/>
          </w:tcPr>
          <w:p w14:paraId="05B3B9E1" w14:textId="77777777" w:rsidR="00E57DAA" w:rsidRDefault="00AC4185">
            <w:pPr>
              <w:rPr>
                <w:szCs w:val="21"/>
              </w:rPr>
            </w:pPr>
            <w:r>
              <w:rPr>
                <w:rFonts w:hint="eastAsia"/>
                <w:szCs w:val="21"/>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AEE99FE" w14:textId="77777777" w:rsidR="00E57DAA" w:rsidRDefault="00AC4185">
            <w:pPr>
              <w:jc w:val="right"/>
              <w:rPr>
                <w:szCs w:val="21"/>
              </w:rPr>
            </w:pPr>
            <w:r>
              <w:t>5,915,909,309.30</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E969A64" w14:textId="77777777" w:rsidR="00E57DAA" w:rsidRDefault="00AC4185">
            <w:pPr>
              <w:jc w:val="right"/>
              <w:rPr>
                <w:szCs w:val="21"/>
              </w:rPr>
            </w:pPr>
            <w:r>
              <w:t>5,066,608,885.73</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42AD9E22" w14:textId="77777777" w:rsidR="00E57DAA" w:rsidRDefault="00AC4185">
            <w:pPr>
              <w:jc w:val="right"/>
              <w:rPr>
                <w:szCs w:val="21"/>
              </w:rPr>
            </w:pPr>
            <w:r>
              <w:t>7,553,466,206.77</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99853D9" w14:textId="77777777" w:rsidR="00E57DAA" w:rsidRDefault="00AC4185">
            <w:pPr>
              <w:jc w:val="right"/>
              <w:rPr>
                <w:szCs w:val="21"/>
              </w:rPr>
            </w:pPr>
            <w:r>
              <w:t>6,904,224,763.73</w:t>
            </w:r>
          </w:p>
        </w:tc>
      </w:tr>
      <w:tr w:rsidR="00E57DAA" w14:paraId="66995AF5" w14:textId="77777777">
        <w:tc>
          <w:tcPr>
            <w:tcW w:w="1570" w:type="pct"/>
            <w:tcBorders>
              <w:top w:val="single" w:sz="4" w:space="0" w:color="auto"/>
              <w:left w:val="single" w:sz="4" w:space="0" w:color="auto"/>
              <w:bottom w:val="single" w:sz="4" w:space="0" w:color="auto"/>
              <w:right w:val="single" w:sz="4" w:space="0" w:color="auto"/>
            </w:tcBorders>
            <w:shd w:val="clear" w:color="auto" w:fill="auto"/>
          </w:tcPr>
          <w:p w14:paraId="2D28FAB1" w14:textId="77777777" w:rsidR="00E57DAA" w:rsidRDefault="00AC4185">
            <w:pPr>
              <w:rPr>
                <w:szCs w:val="21"/>
              </w:rPr>
            </w:pPr>
            <w:r>
              <w:rPr>
                <w:rFonts w:hint="eastAsia"/>
                <w:szCs w:val="21"/>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82610CD" w14:textId="77777777" w:rsidR="00E57DAA" w:rsidRDefault="00AC4185">
            <w:pPr>
              <w:jc w:val="right"/>
              <w:rPr>
                <w:szCs w:val="21"/>
              </w:rPr>
            </w:pPr>
            <w:r>
              <w:t>52,684,475.85</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75F3A4E" w14:textId="77777777" w:rsidR="00E57DAA" w:rsidRDefault="00AC4185">
            <w:pPr>
              <w:jc w:val="right"/>
              <w:rPr>
                <w:szCs w:val="21"/>
              </w:rPr>
            </w:pPr>
            <w:r>
              <w:t>24,345,904.69</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B4C6DCB" w14:textId="77777777" w:rsidR="00E57DAA" w:rsidRDefault="00AC4185">
            <w:pPr>
              <w:jc w:val="right"/>
              <w:rPr>
                <w:szCs w:val="21"/>
              </w:rPr>
            </w:pPr>
            <w:r>
              <w:t>15,919,022.70</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E1CEC12" w14:textId="77777777" w:rsidR="00E57DAA" w:rsidRDefault="00AC4185">
            <w:pPr>
              <w:jc w:val="right"/>
              <w:rPr>
                <w:szCs w:val="21"/>
              </w:rPr>
            </w:pPr>
            <w:r>
              <w:t>6,139,271.31</w:t>
            </w:r>
          </w:p>
        </w:tc>
      </w:tr>
      <w:tr w:rsidR="00E57DAA" w14:paraId="267F52EF" w14:textId="77777777">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244362EA" w14:textId="77777777" w:rsidR="00E57DAA" w:rsidRDefault="00AC4185">
            <w:pPr>
              <w:jc w:val="center"/>
              <w:rPr>
                <w:szCs w:val="21"/>
              </w:rPr>
            </w:pPr>
            <w:r>
              <w:rPr>
                <w:rFonts w:hint="eastAsia"/>
                <w:szCs w:val="21"/>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83672CA" w14:textId="77777777" w:rsidR="00E57DAA" w:rsidRDefault="00AC4185">
            <w:pPr>
              <w:jc w:val="right"/>
              <w:rPr>
                <w:szCs w:val="21"/>
              </w:rPr>
            </w:pPr>
            <w:r>
              <w:t>5,968,593,785.15</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BDE89AB" w14:textId="77777777" w:rsidR="00E57DAA" w:rsidRDefault="00AC4185">
            <w:pPr>
              <w:jc w:val="right"/>
              <w:rPr>
                <w:szCs w:val="21"/>
              </w:rPr>
            </w:pPr>
            <w:r>
              <w:t>5,090,954,790.42</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5354609A" w14:textId="77777777" w:rsidR="00E57DAA" w:rsidRDefault="00AC4185">
            <w:pPr>
              <w:jc w:val="right"/>
              <w:rPr>
                <w:szCs w:val="21"/>
              </w:rPr>
            </w:pPr>
            <w:r>
              <w:t>7,569,385,229.47</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70ADAF8" w14:textId="77777777" w:rsidR="00E57DAA" w:rsidRDefault="00AC4185">
            <w:pPr>
              <w:jc w:val="right"/>
              <w:rPr>
                <w:szCs w:val="21"/>
              </w:rPr>
            </w:pPr>
            <w:r>
              <w:t>6,910,364,035.04</w:t>
            </w:r>
          </w:p>
        </w:tc>
      </w:tr>
    </w:tbl>
    <w:p w14:paraId="7D9D5172" w14:textId="77777777" w:rsidR="00E57DAA" w:rsidRDefault="00E57DAA" w:rsidP="00C25422">
      <w:pPr>
        <w:pStyle w:val="92"/>
      </w:pPr>
    </w:p>
    <w:bookmarkStart w:id="356" w:name="_Hlk533798810" w:displacedByCustomXml="next"/>
    <w:sdt>
      <w:sdtPr>
        <w:rPr>
          <w:rFonts w:ascii="宋体" w:eastAsia="宋体" w:hAnsi="宋体" w:cs="宋体" w:hint="eastAsia"/>
          <w:b w:val="0"/>
          <w:bCs w:val="0"/>
          <w:kern w:val="0"/>
          <w:sz w:val="20"/>
          <w:szCs w:val="24"/>
        </w:rPr>
        <w:alias w:val="模块:合同产生的收入的情况"/>
        <w:tag w:val="_SEC_37411609543c494ea4ff0d898d351419"/>
        <w:id w:val="1943330369"/>
        <w:placeholder>
          <w:docPart w:val="GBC22222222222222222222222222222"/>
        </w:placeholder>
      </w:sdtPr>
      <w:sdtEndPr>
        <w:rPr>
          <w:rFonts w:hint="default"/>
        </w:rPr>
      </w:sdtEndPr>
      <w:sdtContent>
        <w:p w14:paraId="174A6C37" w14:textId="77777777" w:rsidR="00E57DAA" w:rsidRDefault="00AC4185">
          <w:pPr>
            <w:pStyle w:val="4"/>
            <w:numPr>
              <w:ilvl w:val="0"/>
              <w:numId w:val="136"/>
            </w:numPr>
          </w:pPr>
          <w:r>
            <w:rPr>
              <w:rFonts w:hint="eastAsia"/>
            </w:rPr>
            <w:t>营业收入、营业成本的分解信息</w:t>
          </w:r>
          <w:r>
            <w:t xml:space="preserve"> </w:t>
          </w:r>
        </w:p>
        <w:sdt>
          <w:sdtPr>
            <w:alias w:val="是否适用：母公司营业收入、营业成本的分解信息 [双击切换]"/>
            <w:tag w:val="_GBC_ebb0bd28b90c4b2b9a1a99758f2ade01"/>
            <w:id w:val="-1872373275"/>
            <w:placeholder>
              <w:docPart w:val="GBC22222222222222222222222222222"/>
            </w:placeholder>
          </w:sdtPr>
          <w:sdtEndPr/>
          <w:sdtContent>
            <w:p w14:paraId="1D263FBE" w14:textId="77777777" w:rsidR="008757D9" w:rsidRDefault="00AC4185" w:rsidP="008757D9">
              <w:pPr>
                <w:pStyle w:val="73"/>
                <w:ind w:firstLineChars="0" w:firstLine="0"/>
              </w:pPr>
              <w:r>
                <w:fldChar w:fldCharType="begin"/>
              </w:r>
              <w:r w:rsidR="008757D9">
                <w:rPr>
                  <w:rFonts w:hint="eastAsia"/>
                </w:rPr>
                <w:instrText xml:space="preserve"> MACROBUTTON  SnrToggleCheckbox </w:instrText>
              </w:r>
              <w:r w:rsidR="008757D9">
                <w:rPr>
                  <w:rFonts w:hint="eastAsia"/>
                </w:rPr>
                <w:instrText>□适用</w:instrText>
              </w:r>
              <w:r w:rsidR="008757D9">
                <w:rPr>
                  <w:rFonts w:hint="eastAsia"/>
                </w:rPr>
                <w:instrText xml:space="preserve"> </w:instrText>
              </w:r>
              <w:r>
                <w:fldChar w:fldCharType="end"/>
              </w:r>
              <w:r>
                <w:fldChar w:fldCharType="begin"/>
              </w:r>
              <w:r w:rsidR="008757D9">
                <w:rPr>
                  <w:rFonts w:hint="eastAsia"/>
                </w:rPr>
                <w:instrText xml:space="preserve"> MACROBUTTON  SnrToggleCheckbox </w:instrText>
              </w:r>
              <w:r w:rsidR="008757D9">
                <w:rPr>
                  <w:rFonts w:hint="eastAsia"/>
                </w:rPr>
                <w:instrText>√不适用</w:instrText>
              </w:r>
              <w:r w:rsidR="008757D9">
                <w:rPr>
                  <w:rFonts w:hint="eastAsia"/>
                </w:rPr>
                <w:instrText xml:space="preserve"> </w:instrText>
              </w:r>
              <w:r>
                <w:fldChar w:fldCharType="end"/>
              </w:r>
            </w:p>
          </w:sdtContent>
        </w:sdt>
        <w:p w14:paraId="5F68139E" w14:textId="77777777" w:rsidR="00E57DAA" w:rsidRDefault="00E57DAA" w:rsidP="00C25422">
          <w:pPr>
            <w:pStyle w:val="73"/>
            <w:ind w:firstLine="400"/>
          </w:pPr>
        </w:p>
        <w:p w14:paraId="36C58C0F" w14:textId="77777777" w:rsidR="00E57DAA" w:rsidRDefault="00AC4185" w:rsidP="00C25422">
          <w:pPr>
            <w:pStyle w:val="92"/>
          </w:pPr>
          <w:r>
            <w:rPr>
              <w:rFonts w:hint="eastAsia"/>
            </w:rPr>
            <w:t>其他说明</w:t>
          </w:r>
        </w:p>
        <w:sdt>
          <w:sdtPr>
            <w:alias w:val="是否适用：母公司营业收入、营业成本的分解信息说明 [双击切换]"/>
            <w:tag w:val="_GBC_579e9b003cbd4b94a5da57be65a206f7"/>
            <w:id w:val="-1893734308"/>
            <w:placeholder>
              <w:docPart w:val="GBC22222222222222222222222222222"/>
            </w:placeholder>
          </w:sdtPr>
          <w:sdtEndPr/>
          <w:sdtContent>
            <w:p w14:paraId="539AF85C" w14:textId="77777777" w:rsidR="00E57DAA" w:rsidRDefault="00AC4185">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36C440" w14:textId="77777777" w:rsidR="00E57DAA" w:rsidRDefault="00EB41A1" w:rsidP="00C25422">
          <w:pPr>
            <w:pStyle w:val="92"/>
          </w:pPr>
        </w:p>
      </w:sdtContent>
    </w:sdt>
    <w:p w14:paraId="7F13BB7D" w14:textId="77777777" w:rsidR="00E57DAA" w:rsidRDefault="00AC4185">
      <w:pPr>
        <w:pStyle w:val="4"/>
        <w:numPr>
          <w:ilvl w:val="0"/>
          <w:numId w:val="136"/>
        </w:numPr>
        <w:rPr>
          <w:rFonts w:ascii="宋体" w:eastAsia="宋体" w:hAnsi="宋体" w:cs="宋体"/>
          <w:kern w:val="0"/>
          <w:szCs w:val="24"/>
        </w:rPr>
      </w:pPr>
      <w:r>
        <w:rPr>
          <w:rFonts w:ascii="宋体" w:eastAsia="宋体" w:hAnsi="宋体" w:cs="宋体" w:hint="eastAsia"/>
          <w:kern w:val="0"/>
          <w:szCs w:val="24"/>
        </w:rPr>
        <w:t>履约义务的说明</w:t>
      </w:r>
    </w:p>
    <w:bookmarkStart w:id="357" w:name="_Hlk155961563" w:displacedByCustomXml="next"/>
    <w:sdt>
      <w:sdtPr>
        <w:alias w:val="是否适用：履约义务的说明[双击切换]"/>
        <w:tag w:val="_GBC_0b818a1fe50c41248e0bae7b16db682e"/>
        <w:id w:val="-1090468025"/>
        <w:placeholder>
          <w:docPart w:val="GBC22222222222222222222222222222"/>
        </w:placeholder>
      </w:sdtPr>
      <w:sdtEndPr/>
      <w:sdtContent>
        <w:p w14:paraId="330CAE83"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8F9410" w14:textId="77777777" w:rsidR="00E57DAA" w:rsidRDefault="00E57DAA" w:rsidP="00C25422">
      <w:pPr>
        <w:pStyle w:val="92"/>
      </w:pPr>
    </w:p>
    <w:p w14:paraId="072FCD55" w14:textId="77777777" w:rsidR="00E57DAA" w:rsidRDefault="00AC4185">
      <w:pPr>
        <w:pStyle w:val="4"/>
        <w:numPr>
          <w:ilvl w:val="0"/>
          <w:numId w:val="136"/>
        </w:numPr>
      </w:pPr>
      <w:r>
        <w:rPr>
          <w:rFonts w:hint="eastAsia"/>
        </w:rPr>
        <w:t>分摊至剩余履约义务的说明</w:t>
      </w:r>
    </w:p>
    <w:bookmarkEnd w:id="356" w:displacedByCustomXml="next"/>
    <w:bookmarkEnd w:id="357" w:displacedByCustomXml="next"/>
    <w:bookmarkStart w:id="358" w:name="_Hlk533798958" w:displacedByCustomXml="next"/>
    <w:sdt>
      <w:sdtPr>
        <w:alias w:val="是否适用：母公司分摊至剩余履约义务的说明[双击切换]"/>
        <w:tag w:val="_GBC_7f0a9adae5ea4624a849a396f1ce90b1"/>
        <w:id w:val="1760643243"/>
        <w:placeholder>
          <w:docPart w:val="GBC22222222222222222222222222222"/>
        </w:placeholder>
      </w:sdtPr>
      <w:sdtEndPr/>
      <w:sdtContent>
        <w:p w14:paraId="4FE4ED1A" w14:textId="77777777" w:rsidR="00E57DAA" w:rsidRDefault="00AC418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58"/>
    <w:p w14:paraId="1C68D344" w14:textId="77777777" w:rsidR="00E57DAA" w:rsidRDefault="00E57DAA">
      <w:pPr>
        <w:rPr>
          <w:rFonts w:ascii="Arial" w:hAnsi="Arial"/>
          <w:szCs w:val="21"/>
        </w:rPr>
      </w:pPr>
    </w:p>
    <w:p w14:paraId="7C7DA2DA" w14:textId="77777777" w:rsidR="00E57DAA" w:rsidRDefault="00AC4185">
      <w:pPr>
        <w:pStyle w:val="4"/>
        <w:numPr>
          <w:ilvl w:val="0"/>
          <w:numId w:val="136"/>
        </w:numPr>
        <w:rPr>
          <w:rFonts w:ascii="宋体" w:eastAsia="宋体" w:hAnsi="宋体" w:cs="宋体"/>
          <w:kern w:val="0"/>
          <w:szCs w:val="24"/>
        </w:rPr>
      </w:pPr>
      <w:r>
        <w:rPr>
          <w:rFonts w:ascii="宋体" w:eastAsia="宋体" w:hAnsi="宋体" w:cs="宋体" w:hint="eastAsia"/>
          <w:kern w:val="0"/>
          <w:szCs w:val="24"/>
        </w:rPr>
        <w:t>重大合同变更或重大交易价格调整</w:t>
      </w:r>
    </w:p>
    <w:bookmarkStart w:id="359" w:name="_Hlk153798573" w:displacedByCustomXml="next"/>
    <w:sdt>
      <w:sdtPr>
        <w:alias w:val="是否适用：母公司重大合同变更或重大交易价格调整[双击切换]"/>
        <w:tag w:val="_GBC_df0026b6a6ff4f0a99c85462586d2446"/>
        <w:id w:val="1752932965"/>
        <w:placeholder>
          <w:docPart w:val="GBC22222222222222222222222222222"/>
        </w:placeholder>
      </w:sdtPr>
      <w:sdtEndPr/>
      <w:sdtContent>
        <w:p w14:paraId="7ADD8C83" w14:textId="77777777" w:rsidR="008757D9" w:rsidRDefault="00AC4185" w:rsidP="008757D9">
          <w:pPr>
            <w:pStyle w:val="92"/>
          </w:pPr>
          <w:r>
            <w:fldChar w:fldCharType="begin"/>
          </w:r>
          <w:r w:rsidR="008757D9">
            <w:instrText xml:space="preserve"> MACROBUTTON  SnrToggleCheckbox □适用 </w:instrText>
          </w:r>
          <w:r>
            <w:fldChar w:fldCharType="end"/>
          </w:r>
          <w:r>
            <w:fldChar w:fldCharType="begin"/>
          </w:r>
          <w:r w:rsidR="008757D9">
            <w:instrText xml:space="preserve"> MACROBUTTON  SnrToggleCheckbox √不适用 </w:instrText>
          </w:r>
          <w:r>
            <w:fldChar w:fldCharType="end"/>
          </w:r>
        </w:p>
      </w:sdtContent>
    </w:sdt>
    <w:bookmarkEnd w:id="359" w:displacedByCustomXml="prev"/>
    <w:p w14:paraId="20647F98" w14:textId="77777777" w:rsidR="00E57DAA" w:rsidRDefault="00E57DAA">
      <w:pPr>
        <w:rPr>
          <w:rFonts w:ascii="Arial" w:hAnsi="Arial"/>
          <w:szCs w:val="21"/>
        </w:rPr>
      </w:pPr>
    </w:p>
    <w:p w14:paraId="4A7FA364" w14:textId="77777777" w:rsidR="00E57DAA" w:rsidRDefault="00AC4185" w:rsidP="00C25422">
      <w:pPr>
        <w:pStyle w:val="91"/>
        <w:numPr>
          <w:ilvl w:val="0"/>
          <w:numId w:val="132"/>
        </w:numPr>
      </w:pPr>
      <w:r>
        <w:rPr>
          <w:rFonts w:hint="eastAsia"/>
        </w:rPr>
        <w:t>投资收益</w:t>
      </w:r>
    </w:p>
    <w:bookmarkStart w:id="360" w:name="_Hlk24031063" w:displacedByCustomXml="next"/>
    <w:sdt>
      <w:sdtPr>
        <w:alias w:val="是否适用：母公司投资收益[双击切换]"/>
        <w:tag w:val="_GBC_c2bb46ec06e343088b38ac6340f45fb2"/>
        <w:id w:val="1401550299"/>
        <w:placeholder>
          <w:docPart w:val="GBC22222222222222222222222222222"/>
        </w:placeholder>
      </w:sdtPr>
      <w:sdtEndPr/>
      <w:sdtContent>
        <w:p w14:paraId="1DABFD82" w14:textId="77777777" w:rsidR="00E57DAA" w:rsidRDefault="00AC4185" w:rsidP="00C25422">
          <w:pPr>
            <w:pStyle w:val="9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293752" w14:textId="77777777" w:rsidR="00E57DAA" w:rsidRDefault="00AC4185">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12192457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11232342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223"/>
        <w:gridCol w:w="2636"/>
      </w:tblGrid>
      <w:tr w:rsidR="00E57DAA" w14:paraId="720D1A5E" w14:textId="77777777" w:rsidTr="00AC4185">
        <w:bookmarkStart w:id="361" w:name="_Hlk10720480" w:displacedByCustomXml="next"/>
        <w:sdt>
          <w:sdtPr>
            <w:tag w:val="_PLD_507ed5c985ab48c59a18c2d57dd68c9c"/>
            <w:id w:val="599924167"/>
          </w:sdtPr>
          <w:sdtEndPr/>
          <w:sdtContent>
            <w:tc>
              <w:tcPr>
                <w:tcW w:w="2246" w:type="pct"/>
                <w:vAlign w:val="center"/>
              </w:tcPr>
              <w:p w14:paraId="4A3C2F7D" w14:textId="77777777" w:rsidR="00E57DAA" w:rsidRDefault="00AC4185">
                <w:pPr>
                  <w:ind w:left="420" w:hanging="420"/>
                  <w:jc w:val="center"/>
                  <w:rPr>
                    <w:szCs w:val="21"/>
                  </w:rPr>
                </w:pPr>
                <w:r>
                  <w:rPr>
                    <w:rFonts w:hint="eastAsia"/>
                    <w:szCs w:val="21"/>
                  </w:rPr>
                  <w:t>项目</w:t>
                </w:r>
              </w:p>
            </w:tc>
          </w:sdtContent>
        </w:sdt>
        <w:sdt>
          <w:sdtPr>
            <w:tag w:val="_PLD_47187d04b5814de2ac4d8e7ab7f3dcf5"/>
            <w:id w:val="-1735852322"/>
          </w:sdtPr>
          <w:sdtEndPr/>
          <w:sdtContent>
            <w:tc>
              <w:tcPr>
                <w:tcW w:w="1260" w:type="pct"/>
                <w:vAlign w:val="center"/>
              </w:tcPr>
              <w:p w14:paraId="01F69B11" w14:textId="77777777" w:rsidR="00E57DAA" w:rsidRDefault="00AC4185">
                <w:pPr>
                  <w:jc w:val="center"/>
                  <w:rPr>
                    <w:szCs w:val="21"/>
                  </w:rPr>
                </w:pPr>
                <w:r>
                  <w:rPr>
                    <w:rFonts w:hint="eastAsia"/>
                    <w:szCs w:val="21"/>
                  </w:rPr>
                  <w:t>本期发生额</w:t>
                </w:r>
              </w:p>
            </w:tc>
          </w:sdtContent>
        </w:sdt>
        <w:sdt>
          <w:sdtPr>
            <w:tag w:val="_PLD_9b38c11702ff453c93beb78507ab4be2"/>
            <w:id w:val="194739813"/>
          </w:sdtPr>
          <w:sdtEndPr/>
          <w:sdtContent>
            <w:tc>
              <w:tcPr>
                <w:tcW w:w="1494" w:type="pct"/>
                <w:vAlign w:val="center"/>
              </w:tcPr>
              <w:p w14:paraId="6CA787AE" w14:textId="77777777" w:rsidR="00E57DAA" w:rsidRDefault="00AC4185">
                <w:pPr>
                  <w:jc w:val="center"/>
                  <w:rPr>
                    <w:szCs w:val="21"/>
                  </w:rPr>
                </w:pPr>
                <w:r>
                  <w:rPr>
                    <w:rFonts w:hint="eastAsia"/>
                    <w:szCs w:val="21"/>
                  </w:rPr>
                  <w:t>上期发生额</w:t>
                </w:r>
              </w:p>
            </w:tc>
          </w:sdtContent>
        </w:sdt>
      </w:tr>
      <w:tr w:rsidR="00E57DAA" w14:paraId="7366D352" w14:textId="77777777" w:rsidTr="00AC4185">
        <w:tc>
          <w:tcPr>
            <w:tcW w:w="2246" w:type="pct"/>
          </w:tcPr>
          <w:p w14:paraId="7BB9782A" w14:textId="77777777" w:rsidR="00E57DAA" w:rsidRDefault="00AC4185">
            <w:pPr>
              <w:rPr>
                <w:szCs w:val="21"/>
              </w:rPr>
            </w:pPr>
            <w:r>
              <w:rPr>
                <w:rFonts w:hint="eastAsia"/>
                <w:szCs w:val="21"/>
              </w:rPr>
              <w:t>权益法核算的长期股权投资收益</w:t>
            </w:r>
          </w:p>
        </w:tc>
        <w:tc>
          <w:tcPr>
            <w:tcW w:w="1260" w:type="pct"/>
            <w:vAlign w:val="center"/>
          </w:tcPr>
          <w:p w14:paraId="1543D261" w14:textId="77777777" w:rsidR="00E57DAA" w:rsidRDefault="00AC4185">
            <w:pPr>
              <w:jc w:val="right"/>
              <w:rPr>
                <w:szCs w:val="21"/>
              </w:rPr>
            </w:pPr>
            <w:r>
              <w:t>-13,581,343.30</w:t>
            </w:r>
          </w:p>
        </w:tc>
        <w:tc>
          <w:tcPr>
            <w:tcW w:w="1494" w:type="pct"/>
            <w:vAlign w:val="center"/>
          </w:tcPr>
          <w:p w14:paraId="65EA9519" w14:textId="77777777" w:rsidR="00E57DAA" w:rsidRDefault="00AC4185">
            <w:pPr>
              <w:jc w:val="right"/>
              <w:rPr>
                <w:szCs w:val="21"/>
              </w:rPr>
            </w:pPr>
            <w:r>
              <w:t>-15,459,743.78</w:t>
            </w:r>
          </w:p>
        </w:tc>
      </w:tr>
      <w:tr w:rsidR="00E57DAA" w14:paraId="34C3A85A" w14:textId="77777777" w:rsidTr="00AC4185">
        <w:tc>
          <w:tcPr>
            <w:tcW w:w="2246" w:type="pct"/>
          </w:tcPr>
          <w:p w14:paraId="4AC5D890" w14:textId="77777777" w:rsidR="00E57DAA" w:rsidRDefault="00AC4185" w:rsidP="00C25422">
            <w:pPr>
              <w:pStyle w:val="92"/>
            </w:pPr>
            <w:r>
              <w:t>成本法核算的长期股权投资收益</w:t>
            </w:r>
          </w:p>
        </w:tc>
        <w:tc>
          <w:tcPr>
            <w:tcW w:w="1260" w:type="pct"/>
            <w:vAlign w:val="center"/>
          </w:tcPr>
          <w:p w14:paraId="2311FC2F" w14:textId="77777777" w:rsidR="00E57DAA" w:rsidRDefault="00AC4185">
            <w:pPr>
              <w:jc w:val="right"/>
              <w:rPr>
                <w:szCs w:val="21"/>
              </w:rPr>
            </w:pPr>
            <w:r>
              <w:t>894,218,486.99</w:t>
            </w:r>
          </w:p>
        </w:tc>
        <w:tc>
          <w:tcPr>
            <w:tcW w:w="1494" w:type="pct"/>
            <w:vAlign w:val="center"/>
          </w:tcPr>
          <w:p w14:paraId="040451D2" w14:textId="77777777" w:rsidR="00E57DAA" w:rsidRDefault="00AC4185">
            <w:pPr>
              <w:jc w:val="right"/>
              <w:rPr>
                <w:szCs w:val="21"/>
              </w:rPr>
            </w:pPr>
            <w:r>
              <w:t>526,714,284.72</w:t>
            </w:r>
          </w:p>
        </w:tc>
      </w:tr>
      <w:tr w:rsidR="00E57DAA" w14:paraId="23A9DF77" w14:textId="77777777" w:rsidTr="00AC4185">
        <w:tc>
          <w:tcPr>
            <w:tcW w:w="2246" w:type="pct"/>
          </w:tcPr>
          <w:p w14:paraId="511E4DF9" w14:textId="77777777" w:rsidR="00E57DAA" w:rsidRDefault="00AC4185">
            <w:pPr>
              <w:rPr>
                <w:szCs w:val="21"/>
              </w:rPr>
            </w:pPr>
            <w:r>
              <w:rPr>
                <w:rFonts w:hint="eastAsia"/>
                <w:szCs w:val="21"/>
              </w:rPr>
              <w:t>处置长期股权投资产生的投资收益</w:t>
            </w:r>
          </w:p>
        </w:tc>
        <w:tc>
          <w:tcPr>
            <w:tcW w:w="1260" w:type="pct"/>
            <w:vAlign w:val="center"/>
          </w:tcPr>
          <w:p w14:paraId="12A23C07" w14:textId="77777777" w:rsidR="00E57DAA" w:rsidRDefault="00E57DAA">
            <w:pPr>
              <w:jc w:val="right"/>
              <w:rPr>
                <w:szCs w:val="21"/>
              </w:rPr>
            </w:pPr>
          </w:p>
        </w:tc>
        <w:tc>
          <w:tcPr>
            <w:tcW w:w="1494" w:type="pct"/>
            <w:vAlign w:val="center"/>
          </w:tcPr>
          <w:p w14:paraId="74E5819A" w14:textId="77777777" w:rsidR="00E57DAA" w:rsidRDefault="00AC4185">
            <w:pPr>
              <w:jc w:val="right"/>
              <w:rPr>
                <w:szCs w:val="21"/>
              </w:rPr>
            </w:pPr>
            <w:r>
              <w:t>15,176,009.42</w:t>
            </w:r>
          </w:p>
        </w:tc>
      </w:tr>
      <w:tr w:rsidR="00E57DAA" w14:paraId="4CDE3DD7" w14:textId="77777777" w:rsidTr="00AC4185">
        <w:tc>
          <w:tcPr>
            <w:tcW w:w="2246" w:type="pct"/>
          </w:tcPr>
          <w:p w14:paraId="46EEAF12" w14:textId="77777777" w:rsidR="00E57DAA" w:rsidRDefault="00AC4185" w:rsidP="00C25422">
            <w:pPr>
              <w:pStyle w:val="92"/>
            </w:pPr>
            <w:r>
              <w:rPr>
                <w:rFonts w:hint="eastAsia"/>
              </w:rPr>
              <w:t>交易性金融资产在持有期间的投资收益</w:t>
            </w:r>
          </w:p>
        </w:tc>
        <w:tc>
          <w:tcPr>
            <w:tcW w:w="1260" w:type="pct"/>
            <w:vAlign w:val="center"/>
          </w:tcPr>
          <w:p w14:paraId="4DBF3362" w14:textId="77777777" w:rsidR="00E57DAA" w:rsidRDefault="00E57DAA">
            <w:pPr>
              <w:jc w:val="right"/>
              <w:rPr>
                <w:szCs w:val="21"/>
              </w:rPr>
            </w:pPr>
          </w:p>
        </w:tc>
        <w:tc>
          <w:tcPr>
            <w:tcW w:w="1494" w:type="pct"/>
            <w:vAlign w:val="center"/>
          </w:tcPr>
          <w:p w14:paraId="3B231B61" w14:textId="77777777" w:rsidR="00E57DAA" w:rsidRDefault="00AC4185">
            <w:pPr>
              <w:jc w:val="right"/>
              <w:rPr>
                <w:szCs w:val="21"/>
              </w:rPr>
            </w:pPr>
            <w:r>
              <w:t>21,699.50</w:t>
            </w:r>
          </w:p>
        </w:tc>
      </w:tr>
      <w:tr w:rsidR="00E57DAA" w14:paraId="050551F6" w14:textId="77777777" w:rsidTr="00AC4185">
        <w:tc>
          <w:tcPr>
            <w:tcW w:w="2246" w:type="pct"/>
          </w:tcPr>
          <w:p w14:paraId="04F746A3" w14:textId="77777777" w:rsidR="00E57DAA" w:rsidRDefault="00AC4185" w:rsidP="00C25422">
            <w:pPr>
              <w:pStyle w:val="92"/>
            </w:pPr>
            <w:r>
              <w:rPr>
                <w:rFonts w:hint="eastAsia"/>
              </w:rPr>
              <w:t>处置交易性金融资产取得的投资收益</w:t>
            </w:r>
          </w:p>
        </w:tc>
        <w:tc>
          <w:tcPr>
            <w:tcW w:w="1260" w:type="pct"/>
            <w:vAlign w:val="center"/>
          </w:tcPr>
          <w:p w14:paraId="1D5D936A" w14:textId="77777777" w:rsidR="00E57DAA" w:rsidRDefault="00AC4185">
            <w:pPr>
              <w:jc w:val="right"/>
              <w:rPr>
                <w:szCs w:val="21"/>
              </w:rPr>
            </w:pPr>
            <w:r>
              <w:t>-9,533,453.21</w:t>
            </w:r>
          </w:p>
        </w:tc>
        <w:tc>
          <w:tcPr>
            <w:tcW w:w="1494" w:type="pct"/>
            <w:vAlign w:val="center"/>
          </w:tcPr>
          <w:p w14:paraId="29ED05D4" w14:textId="77777777" w:rsidR="00E57DAA" w:rsidRDefault="00AC4185">
            <w:pPr>
              <w:jc w:val="right"/>
              <w:rPr>
                <w:szCs w:val="21"/>
              </w:rPr>
            </w:pPr>
            <w:r>
              <w:t>-83,214,739.11</w:t>
            </w:r>
          </w:p>
        </w:tc>
      </w:tr>
      <w:tr w:rsidR="00E57DAA" w14:paraId="05F61144" w14:textId="77777777" w:rsidTr="00AC4185">
        <w:tc>
          <w:tcPr>
            <w:tcW w:w="2246" w:type="pct"/>
          </w:tcPr>
          <w:p w14:paraId="382609D5" w14:textId="77777777" w:rsidR="00E57DAA" w:rsidRDefault="00AC4185" w:rsidP="00C25422">
            <w:pPr>
              <w:pStyle w:val="92"/>
            </w:pPr>
            <w:r>
              <w:rPr>
                <w:rFonts w:hint="eastAsia"/>
              </w:rPr>
              <w:t>理财收益</w:t>
            </w:r>
          </w:p>
        </w:tc>
        <w:tc>
          <w:tcPr>
            <w:tcW w:w="1260" w:type="pct"/>
            <w:vAlign w:val="center"/>
          </w:tcPr>
          <w:p w14:paraId="26540473" w14:textId="77777777" w:rsidR="00E57DAA" w:rsidRDefault="00E57DAA">
            <w:pPr>
              <w:jc w:val="right"/>
              <w:rPr>
                <w:szCs w:val="21"/>
              </w:rPr>
            </w:pPr>
          </w:p>
        </w:tc>
        <w:tc>
          <w:tcPr>
            <w:tcW w:w="1494" w:type="pct"/>
            <w:vAlign w:val="center"/>
          </w:tcPr>
          <w:p w14:paraId="003B81FA" w14:textId="77777777" w:rsidR="00E57DAA" w:rsidRDefault="00AC4185">
            <w:pPr>
              <w:jc w:val="right"/>
              <w:rPr>
                <w:szCs w:val="21"/>
              </w:rPr>
            </w:pPr>
            <w:r>
              <w:t>4,515,683.42</w:t>
            </w:r>
          </w:p>
        </w:tc>
      </w:tr>
      <w:tr w:rsidR="00E57DAA" w14:paraId="3C5334EB" w14:textId="77777777" w:rsidTr="00AC4185">
        <w:tc>
          <w:tcPr>
            <w:tcW w:w="2246" w:type="pct"/>
            <w:vAlign w:val="center"/>
          </w:tcPr>
          <w:p w14:paraId="4C010F15" w14:textId="77777777" w:rsidR="00E57DAA" w:rsidRDefault="00AC4185">
            <w:pPr>
              <w:jc w:val="center"/>
              <w:rPr>
                <w:szCs w:val="21"/>
              </w:rPr>
            </w:pPr>
            <w:r>
              <w:rPr>
                <w:rFonts w:hint="eastAsia"/>
                <w:szCs w:val="21"/>
              </w:rPr>
              <w:t>合计</w:t>
            </w:r>
          </w:p>
        </w:tc>
        <w:tc>
          <w:tcPr>
            <w:tcW w:w="1260" w:type="pct"/>
            <w:vAlign w:val="center"/>
          </w:tcPr>
          <w:p w14:paraId="5FAC7560" w14:textId="77777777" w:rsidR="00E57DAA" w:rsidRDefault="00AC4185">
            <w:pPr>
              <w:jc w:val="right"/>
              <w:rPr>
                <w:szCs w:val="21"/>
              </w:rPr>
            </w:pPr>
            <w:r>
              <w:t>871,103,690.48</w:t>
            </w:r>
          </w:p>
        </w:tc>
        <w:tc>
          <w:tcPr>
            <w:tcW w:w="1494" w:type="pct"/>
            <w:vAlign w:val="center"/>
          </w:tcPr>
          <w:p w14:paraId="761FC847" w14:textId="77777777" w:rsidR="00E57DAA" w:rsidRDefault="00AC4185">
            <w:pPr>
              <w:jc w:val="right"/>
              <w:rPr>
                <w:szCs w:val="21"/>
              </w:rPr>
            </w:pPr>
            <w:r>
              <w:t>447,753,194.17</w:t>
            </w:r>
          </w:p>
        </w:tc>
      </w:tr>
    </w:tbl>
    <w:p w14:paraId="5F21EF37" w14:textId="77777777" w:rsidR="00E57DAA" w:rsidRDefault="00E57DAA" w:rsidP="00C25422">
      <w:pPr>
        <w:pStyle w:val="92"/>
      </w:pPr>
    </w:p>
    <w:bookmarkEnd w:id="361"/>
    <w:bookmarkEnd w:id="360"/>
    <w:p w14:paraId="33E2F4A3" w14:textId="77777777" w:rsidR="00E57DAA" w:rsidRDefault="00AC4185" w:rsidP="00C25422">
      <w:pPr>
        <w:pStyle w:val="91"/>
        <w:numPr>
          <w:ilvl w:val="0"/>
          <w:numId w:val="132"/>
        </w:numPr>
      </w:pPr>
      <w:r>
        <w:rPr>
          <w:rFonts w:hint="eastAsia"/>
        </w:rPr>
        <w:t>其他</w:t>
      </w:r>
    </w:p>
    <w:sdt>
      <w:sdtPr>
        <w:rPr>
          <w:rFonts w:hint="eastAsia"/>
          <w:szCs w:val="21"/>
        </w:rPr>
        <w:alias w:val="是否适用：母公司会计报表附注的其他说明事项[双击切换]"/>
        <w:tag w:val="_GBC_da1bbbf487cd4e98b945920735517f12"/>
        <w:id w:val="1194496527"/>
        <w:placeholder>
          <w:docPart w:val="GBC22222222222222222222222222222"/>
        </w:placeholder>
      </w:sdtPr>
      <w:sdtEndPr/>
      <w:sdtContent>
        <w:p w14:paraId="24CFDB05"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12256F" w14:textId="77777777" w:rsidR="00E57DAA" w:rsidRDefault="00E57DAA">
      <w:pPr>
        <w:ind w:rightChars="-759" w:right="-1594"/>
        <w:rPr>
          <w:szCs w:val="21"/>
        </w:rPr>
      </w:pPr>
    </w:p>
    <w:p w14:paraId="3432EC44" w14:textId="77777777" w:rsidR="00E57DAA" w:rsidRDefault="00AC4185" w:rsidP="00C25422">
      <w:pPr>
        <w:pStyle w:val="2CharCharChar1"/>
        <w:numPr>
          <w:ilvl w:val="0"/>
          <w:numId w:val="58"/>
        </w:numPr>
      </w:pPr>
      <w:r>
        <w:rPr>
          <w:rFonts w:hint="eastAsia"/>
        </w:rPr>
        <w:lastRenderedPageBreak/>
        <w:t>补充资料</w:t>
      </w:r>
    </w:p>
    <w:p w14:paraId="209EB77C" w14:textId="77777777" w:rsidR="00E57DAA" w:rsidRDefault="00AC4185" w:rsidP="00C25422">
      <w:pPr>
        <w:pStyle w:val="91"/>
        <w:numPr>
          <w:ilvl w:val="0"/>
          <w:numId w:val="137"/>
        </w:numPr>
      </w:pPr>
      <w:r>
        <w:rPr>
          <w:rFonts w:hint="eastAsia"/>
        </w:rPr>
        <w:t>当期非经常性损益明细表</w:t>
      </w:r>
    </w:p>
    <w:bookmarkStart w:id="362" w:name="_Hlk152579827" w:displacedByCustomXml="next"/>
    <w:bookmarkStart w:id="363" w:name="_Hlk535584690" w:displacedByCustomXml="next"/>
    <w:sdt>
      <w:sdtPr>
        <w:alias w:val="是否适用：当期非经常性损益明细表[双击切换]"/>
        <w:tag w:val="_GBC_b3c7aec730db408a9d46da725d5662b4"/>
        <w:id w:val="-1729841033"/>
        <w:placeholder>
          <w:docPart w:val="GBC22222222222222222222222222222"/>
        </w:placeholder>
      </w:sdtPr>
      <w:sdtEndPr/>
      <w:sdtContent>
        <w:p w14:paraId="03F1CE2B"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7EEAFC" w14:textId="77777777" w:rsidR="00E57DAA" w:rsidRDefault="00AC4185">
      <w:pPr>
        <w:jc w:val="right"/>
        <w:rPr>
          <w:szCs w:val="21"/>
        </w:rPr>
      </w:pPr>
      <w:r>
        <w:rPr>
          <w:rFonts w:hint="eastAsia"/>
          <w:szCs w:val="21"/>
        </w:rPr>
        <w:t>单位：</w:t>
      </w:r>
      <w:sdt>
        <w:sdtPr>
          <w:rPr>
            <w:rFonts w:hint="eastAsia"/>
            <w:szCs w:val="21"/>
          </w:rPr>
          <w:alias w:val="单位：扣除非经常性损益项目和金额"/>
          <w:tag w:val="_GBC_63d386bc1f1d45a9803caa6346ef271f"/>
          <w:id w:val="178863751"/>
          <w:placeholder>
            <w:docPart w:val="GBC22222222222222222222222222222"/>
          </w:placeholder>
          <w:dataBinding w:prefixMappings="xmlns:clcid-ci-ar='clcid-ci-ar'" w:xpath="/*/clcid-ci-ar:DanWeiKouChuFeiJingChangXingSunYiXiangMuHeJinE[not(@periodRef)]" w:storeItemID="{89EBAB94-44A0-46A2-B712-30D997D04A6D}"/>
          <w:comboBox w:lastValue="10000">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扣除非经常性损益项目和金额"/>
          <w:tag w:val="_GBC_fb530451edb743d2bcc0dacb892d672d"/>
          <w:id w:val="43649594"/>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9"/>
        <w:tblW w:w="5000" w:type="pct"/>
        <w:tblLook w:val="04A0" w:firstRow="1" w:lastRow="0" w:firstColumn="1" w:lastColumn="0" w:noHBand="0" w:noVBand="1"/>
      </w:tblPr>
      <w:tblGrid>
        <w:gridCol w:w="5219"/>
        <w:gridCol w:w="1382"/>
        <w:gridCol w:w="2222"/>
      </w:tblGrid>
      <w:tr w:rsidR="00E57DAA" w14:paraId="11D7E6AB" w14:textId="77777777">
        <w:sdt>
          <w:sdtPr>
            <w:tag w:val="_PLD_f2882777d10a4346880b6d11ab006214"/>
            <w:id w:val="-1766146681"/>
          </w:sdtPr>
          <w:sdtEndPr/>
          <w:sdtContent>
            <w:tc>
              <w:tcPr>
                <w:tcW w:w="2958" w:type="pct"/>
                <w:vAlign w:val="center"/>
              </w:tcPr>
              <w:p w14:paraId="1609BB90" w14:textId="77777777" w:rsidR="00E57DAA" w:rsidRDefault="00AC4185" w:rsidP="00C25422">
                <w:pPr>
                  <w:pStyle w:val="73"/>
                  <w:ind w:firstLine="400"/>
                </w:pPr>
                <w:r>
                  <w:rPr>
                    <w:rFonts w:hint="eastAsia"/>
                  </w:rPr>
                  <w:t>项目</w:t>
                </w:r>
              </w:p>
            </w:tc>
          </w:sdtContent>
        </w:sdt>
        <w:sdt>
          <w:sdtPr>
            <w:tag w:val="_PLD_1f5c769dc7ea434a90d739329712e1ed"/>
            <w:id w:val="1390226874"/>
          </w:sdtPr>
          <w:sdtEndPr/>
          <w:sdtContent>
            <w:tc>
              <w:tcPr>
                <w:tcW w:w="783" w:type="pct"/>
                <w:vAlign w:val="center"/>
              </w:tcPr>
              <w:p w14:paraId="0E6D3A17" w14:textId="77777777" w:rsidR="00E57DAA" w:rsidRDefault="00AC4185" w:rsidP="00C25422">
                <w:pPr>
                  <w:pStyle w:val="73"/>
                  <w:ind w:firstLine="400"/>
                </w:pPr>
                <w:r>
                  <w:rPr>
                    <w:rFonts w:hint="eastAsia"/>
                  </w:rPr>
                  <w:t>金额</w:t>
                </w:r>
              </w:p>
            </w:tc>
          </w:sdtContent>
        </w:sdt>
        <w:sdt>
          <w:sdtPr>
            <w:tag w:val="_PLD_e78492b22a7c4b8aa4989eb26eb4c98c"/>
            <w:id w:val="2071455507"/>
          </w:sdtPr>
          <w:sdtEndPr/>
          <w:sdtContent>
            <w:tc>
              <w:tcPr>
                <w:tcW w:w="1259" w:type="pct"/>
                <w:vAlign w:val="center"/>
              </w:tcPr>
              <w:p w14:paraId="0F5A2F5E" w14:textId="77777777" w:rsidR="00E57DAA" w:rsidRDefault="00AC4185" w:rsidP="00C25422">
                <w:pPr>
                  <w:pStyle w:val="73"/>
                  <w:ind w:firstLine="400"/>
                </w:pPr>
                <w:r>
                  <w:rPr>
                    <w:rFonts w:hint="eastAsia"/>
                  </w:rPr>
                  <w:t>说明</w:t>
                </w:r>
              </w:p>
            </w:tc>
          </w:sdtContent>
        </w:sdt>
      </w:tr>
      <w:tr w:rsidR="00E57DAA" w14:paraId="678488C4" w14:textId="77777777">
        <w:tc>
          <w:tcPr>
            <w:tcW w:w="2958" w:type="pct"/>
          </w:tcPr>
          <w:p w14:paraId="22B8E678" w14:textId="77777777" w:rsidR="00E57DAA" w:rsidRDefault="00AC4185" w:rsidP="00C25422">
            <w:pPr>
              <w:pStyle w:val="73"/>
              <w:ind w:firstLine="400"/>
            </w:pPr>
            <w:r>
              <w:t>非流动</w:t>
            </w:r>
            <w:r>
              <w:rPr>
                <w:rFonts w:hint="eastAsia"/>
              </w:rPr>
              <w:t>性</w:t>
            </w:r>
            <w:r>
              <w:t>资产处置损益</w:t>
            </w:r>
            <w:r>
              <w:rPr>
                <w:rFonts w:hint="eastAsia"/>
              </w:rPr>
              <w:t>，包括已计提资产减值准备的冲销部分</w:t>
            </w:r>
          </w:p>
        </w:tc>
        <w:tc>
          <w:tcPr>
            <w:tcW w:w="783" w:type="pct"/>
            <w:vAlign w:val="center"/>
          </w:tcPr>
          <w:p w14:paraId="2A6E53D9" w14:textId="77777777" w:rsidR="00E57DAA" w:rsidRDefault="00AC4185">
            <w:pPr>
              <w:jc w:val="right"/>
              <w:rPr>
                <w:szCs w:val="21"/>
              </w:rPr>
            </w:pPr>
            <w:r>
              <w:t>2,737.61</w:t>
            </w:r>
          </w:p>
        </w:tc>
        <w:tc>
          <w:tcPr>
            <w:tcW w:w="1259" w:type="pct"/>
            <w:vAlign w:val="center"/>
          </w:tcPr>
          <w:p w14:paraId="659385E5" w14:textId="77777777" w:rsidR="00E57DAA" w:rsidRDefault="00AC4185">
            <w:pPr>
              <w:rPr>
                <w:szCs w:val="21"/>
              </w:rPr>
            </w:pPr>
            <w:r>
              <w:rPr>
                <w:rFonts w:hint="eastAsia"/>
                <w:szCs w:val="21"/>
              </w:rPr>
              <w:t xml:space="preserve">　</w:t>
            </w:r>
          </w:p>
        </w:tc>
      </w:tr>
      <w:tr w:rsidR="00E57DAA" w14:paraId="1D33CDF6" w14:textId="77777777">
        <w:tc>
          <w:tcPr>
            <w:tcW w:w="2958" w:type="pct"/>
          </w:tcPr>
          <w:p w14:paraId="627FBA97" w14:textId="77777777" w:rsidR="00E57DAA" w:rsidRDefault="00AC4185" w:rsidP="00C25422">
            <w:pPr>
              <w:pStyle w:val="73"/>
              <w:ind w:firstLine="400"/>
            </w:pPr>
            <w:r>
              <w:t>计入当期损益的政府补助</w:t>
            </w:r>
            <w:r>
              <w:rPr>
                <w:rFonts w:hint="eastAsia"/>
              </w:rPr>
              <w:t>，但与公司正常经营业务密切相关、符合国家政策规定、按照确定的标准享有、对公司损益产生持续影响的政府补助除外</w:t>
            </w:r>
          </w:p>
        </w:tc>
        <w:tc>
          <w:tcPr>
            <w:tcW w:w="783" w:type="pct"/>
            <w:vAlign w:val="center"/>
          </w:tcPr>
          <w:p w14:paraId="59262891" w14:textId="77777777" w:rsidR="00E57DAA" w:rsidRDefault="00AC4185">
            <w:pPr>
              <w:jc w:val="right"/>
              <w:rPr>
                <w:szCs w:val="21"/>
              </w:rPr>
            </w:pPr>
            <w:r>
              <w:t>14,369.46</w:t>
            </w:r>
          </w:p>
        </w:tc>
        <w:tc>
          <w:tcPr>
            <w:tcW w:w="1259" w:type="pct"/>
            <w:vAlign w:val="center"/>
          </w:tcPr>
          <w:p w14:paraId="27EF2A3A" w14:textId="77777777" w:rsidR="00E57DAA" w:rsidRDefault="00AC4185">
            <w:pPr>
              <w:rPr>
                <w:szCs w:val="21"/>
              </w:rPr>
            </w:pPr>
            <w:r>
              <w:rPr>
                <w:rFonts w:hint="eastAsia"/>
                <w:szCs w:val="21"/>
              </w:rPr>
              <w:t xml:space="preserve">　</w:t>
            </w:r>
          </w:p>
        </w:tc>
      </w:tr>
      <w:tr w:rsidR="00E57DAA" w14:paraId="157C1F3D" w14:textId="77777777">
        <w:tc>
          <w:tcPr>
            <w:tcW w:w="2958" w:type="pct"/>
          </w:tcPr>
          <w:p w14:paraId="67711681" w14:textId="77777777" w:rsidR="00E57DAA" w:rsidRDefault="00AC4185" w:rsidP="00C25422">
            <w:pPr>
              <w:pStyle w:val="73"/>
              <w:ind w:firstLine="40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783" w:type="pct"/>
            <w:vAlign w:val="center"/>
          </w:tcPr>
          <w:p w14:paraId="78793F48" w14:textId="77777777" w:rsidR="00E57DAA" w:rsidRDefault="00AC4185">
            <w:pPr>
              <w:jc w:val="right"/>
              <w:rPr>
                <w:szCs w:val="21"/>
              </w:rPr>
            </w:pPr>
            <w:r>
              <w:t>-12,381.31</w:t>
            </w:r>
          </w:p>
        </w:tc>
        <w:tc>
          <w:tcPr>
            <w:tcW w:w="1259" w:type="pct"/>
            <w:vAlign w:val="center"/>
          </w:tcPr>
          <w:p w14:paraId="5E7DA6FD" w14:textId="77777777" w:rsidR="00E57DAA" w:rsidRDefault="00AC4185">
            <w:pPr>
              <w:rPr>
                <w:szCs w:val="21"/>
              </w:rPr>
            </w:pPr>
            <w:r>
              <w:rPr>
                <w:rFonts w:hint="eastAsia"/>
              </w:rPr>
              <w:t xml:space="preserve">　</w:t>
            </w:r>
          </w:p>
        </w:tc>
      </w:tr>
      <w:tr w:rsidR="00E57DAA" w14:paraId="56DA7ADE" w14:textId="77777777">
        <w:tc>
          <w:tcPr>
            <w:tcW w:w="2958" w:type="pct"/>
          </w:tcPr>
          <w:p w14:paraId="55C72D24" w14:textId="77777777" w:rsidR="00E57DAA" w:rsidRDefault="00AC4185" w:rsidP="00C25422">
            <w:pPr>
              <w:pStyle w:val="73"/>
              <w:ind w:firstLine="400"/>
            </w:pPr>
            <w:r>
              <w:rPr>
                <w:rFonts w:hint="eastAsia"/>
              </w:rPr>
              <w:t>单独进行减值测试的应收款项减值准备转回</w:t>
            </w:r>
          </w:p>
        </w:tc>
        <w:tc>
          <w:tcPr>
            <w:tcW w:w="783" w:type="pct"/>
            <w:vAlign w:val="center"/>
          </w:tcPr>
          <w:p w14:paraId="551BB0F1" w14:textId="77777777" w:rsidR="00E57DAA" w:rsidRDefault="00AC4185">
            <w:pPr>
              <w:jc w:val="right"/>
              <w:rPr>
                <w:szCs w:val="21"/>
              </w:rPr>
            </w:pPr>
            <w:r>
              <w:t>868.27</w:t>
            </w:r>
          </w:p>
        </w:tc>
        <w:tc>
          <w:tcPr>
            <w:tcW w:w="1259" w:type="pct"/>
            <w:vAlign w:val="center"/>
          </w:tcPr>
          <w:p w14:paraId="225FF8DA" w14:textId="77777777" w:rsidR="00E57DAA" w:rsidRDefault="00AC4185">
            <w:pPr>
              <w:rPr>
                <w:szCs w:val="21"/>
              </w:rPr>
            </w:pPr>
            <w:r>
              <w:rPr>
                <w:rFonts w:hint="eastAsia"/>
              </w:rPr>
              <w:t xml:space="preserve">　</w:t>
            </w:r>
          </w:p>
        </w:tc>
      </w:tr>
      <w:tr w:rsidR="00E57DAA" w14:paraId="2D1D81C9" w14:textId="77777777">
        <w:tc>
          <w:tcPr>
            <w:tcW w:w="2958" w:type="pct"/>
          </w:tcPr>
          <w:p w14:paraId="16A86EEB" w14:textId="77777777" w:rsidR="00E57DAA" w:rsidRDefault="00AC4185" w:rsidP="00C25422">
            <w:pPr>
              <w:pStyle w:val="73"/>
              <w:ind w:firstLine="400"/>
            </w:pPr>
            <w:r>
              <w:t>企业取得子公司、联营企业及合营企业的投资成本小于取得投资时应享有被投资单位可辨认净资产公允价值产生的收益</w:t>
            </w:r>
          </w:p>
        </w:tc>
        <w:tc>
          <w:tcPr>
            <w:tcW w:w="783" w:type="pct"/>
            <w:vAlign w:val="center"/>
          </w:tcPr>
          <w:p w14:paraId="56B3DFCC" w14:textId="77777777" w:rsidR="00E57DAA" w:rsidRDefault="00AC4185">
            <w:pPr>
              <w:jc w:val="right"/>
              <w:rPr>
                <w:szCs w:val="21"/>
              </w:rPr>
            </w:pPr>
            <w:r>
              <w:t>23.16</w:t>
            </w:r>
          </w:p>
        </w:tc>
        <w:tc>
          <w:tcPr>
            <w:tcW w:w="1259" w:type="pct"/>
            <w:vAlign w:val="center"/>
          </w:tcPr>
          <w:p w14:paraId="4D9D7850" w14:textId="77777777" w:rsidR="00E57DAA" w:rsidRDefault="00AC4185">
            <w:pPr>
              <w:rPr>
                <w:szCs w:val="21"/>
              </w:rPr>
            </w:pPr>
            <w:r>
              <w:rPr>
                <w:rFonts w:hint="eastAsia"/>
                <w:szCs w:val="21"/>
              </w:rPr>
              <w:t xml:space="preserve">　</w:t>
            </w:r>
          </w:p>
        </w:tc>
      </w:tr>
      <w:tr w:rsidR="00E57DAA" w14:paraId="4BAECB46" w14:textId="77777777">
        <w:tc>
          <w:tcPr>
            <w:tcW w:w="2958" w:type="pct"/>
          </w:tcPr>
          <w:p w14:paraId="6008C500" w14:textId="77777777" w:rsidR="00E57DAA" w:rsidRDefault="00AC4185" w:rsidP="00C25422">
            <w:pPr>
              <w:pStyle w:val="73"/>
              <w:ind w:firstLine="400"/>
            </w:pPr>
            <w:r>
              <w:t>同一控制下企业合并产生的子公司期初至合并日的当期净损益</w:t>
            </w:r>
          </w:p>
        </w:tc>
        <w:tc>
          <w:tcPr>
            <w:tcW w:w="783" w:type="pct"/>
            <w:vAlign w:val="center"/>
          </w:tcPr>
          <w:p w14:paraId="4B7A67B1" w14:textId="77777777" w:rsidR="00E57DAA" w:rsidRDefault="00AC4185">
            <w:pPr>
              <w:jc w:val="right"/>
              <w:rPr>
                <w:szCs w:val="21"/>
              </w:rPr>
            </w:pPr>
            <w:r>
              <w:t>-1,993.65</w:t>
            </w:r>
          </w:p>
        </w:tc>
        <w:tc>
          <w:tcPr>
            <w:tcW w:w="1259" w:type="pct"/>
            <w:vAlign w:val="center"/>
          </w:tcPr>
          <w:p w14:paraId="31E8D136" w14:textId="77777777" w:rsidR="00E57DAA" w:rsidRDefault="00AC4185">
            <w:pPr>
              <w:rPr>
                <w:szCs w:val="21"/>
              </w:rPr>
            </w:pPr>
            <w:r>
              <w:rPr>
                <w:rFonts w:hint="eastAsia"/>
                <w:szCs w:val="21"/>
              </w:rPr>
              <w:t xml:space="preserve">　</w:t>
            </w:r>
          </w:p>
        </w:tc>
      </w:tr>
      <w:tr w:rsidR="00E57DAA" w14:paraId="25E1A0C2" w14:textId="77777777">
        <w:tc>
          <w:tcPr>
            <w:tcW w:w="2958" w:type="pct"/>
          </w:tcPr>
          <w:p w14:paraId="0BB92149" w14:textId="77777777" w:rsidR="00E57DAA" w:rsidRDefault="00AC4185" w:rsidP="00C25422">
            <w:pPr>
              <w:pStyle w:val="73"/>
              <w:ind w:firstLine="400"/>
            </w:pPr>
            <w:r>
              <w:t>非货币性资产交换损益</w:t>
            </w:r>
          </w:p>
        </w:tc>
        <w:tc>
          <w:tcPr>
            <w:tcW w:w="783" w:type="pct"/>
            <w:vAlign w:val="center"/>
          </w:tcPr>
          <w:p w14:paraId="583EB3BA" w14:textId="77777777" w:rsidR="00E57DAA" w:rsidRDefault="00E57DAA">
            <w:pPr>
              <w:jc w:val="right"/>
              <w:rPr>
                <w:szCs w:val="21"/>
              </w:rPr>
            </w:pPr>
          </w:p>
        </w:tc>
        <w:tc>
          <w:tcPr>
            <w:tcW w:w="1259" w:type="pct"/>
            <w:vAlign w:val="center"/>
          </w:tcPr>
          <w:p w14:paraId="7881C7F9" w14:textId="77777777" w:rsidR="00E57DAA" w:rsidRDefault="00AC4185">
            <w:pPr>
              <w:rPr>
                <w:szCs w:val="21"/>
              </w:rPr>
            </w:pPr>
            <w:r>
              <w:rPr>
                <w:rFonts w:hint="eastAsia"/>
                <w:szCs w:val="21"/>
              </w:rPr>
              <w:t xml:space="preserve">　</w:t>
            </w:r>
          </w:p>
        </w:tc>
      </w:tr>
      <w:tr w:rsidR="00E57DAA" w14:paraId="3ACAE7F7" w14:textId="77777777">
        <w:tc>
          <w:tcPr>
            <w:tcW w:w="2958" w:type="pct"/>
          </w:tcPr>
          <w:p w14:paraId="5BE0EB59" w14:textId="77777777" w:rsidR="00E57DAA" w:rsidRDefault="00AC4185" w:rsidP="00C25422">
            <w:pPr>
              <w:pStyle w:val="73"/>
              <w:ind w:firstLine="400"/>
            </w:pPr>
            <w:r>
              <w:t>债务重组损益</w:t>
            </w:r>
          </w:p>
        </w:tc>
        <w:tc>
          <w:tcPr>
            <w:tcW w:w="783" w:type="pct"/>
            <w:vAlign w:val="center"/>
          </w:tcPr>
          <w:p w14:paraId="5EB18A00" w14:textId="77777777" w:rsidR="00E57DAA" w:rsidRDefault="00AC4185">
            <w:pPr>
              <w:jc w:val="right"/>
              <w:rPr>
                <w:szCs w:val="21"/>
              </w:rPr>
            </w:pPr>
            <w:r>
              <w:t>5,704.87</w:t>
            </w:r>
          </w:p>
        </w:tc>
        <w:tc>
          <w:tcPr>
            <w:tcW w:w="1259" w:type="pct"/>
            <w:vAlign w:val="center"/>
          </w:tcPr>
          <w:p w14:paraId="5C080594" w14:textId="77777777" w:rsidR="00E57DAA" w:rsidRDefault="00AC4185">
            <w:pPr>
              <w:rPr>
                <w:szCs w:val="21"/>
              </w:rPr>
            </w:pPr>
            <w:r>
              <w:rPr>
                <w:rFonts w:hint="eastAsia"/>
                <w:szCs w:val="21"/>
              </w:rPr>
              <w:t xml:space="preserve">　</w:t>
            </w:r>
          </w:p>
        </w:tc>
      </w:tr>
      <w:tr w:rsidR="00E57DAA" w14:paraId="74C1F8E2" w14:textId="77777777">
        <w:tc>
          <w:tcPr>
            <w:tcW w:w="2958" w:type="pct"/>
          </w:tcPr>
          <w:p w14:paraId="1531C979" w14:textId="77777777" w:rsidR="00E57DAA" w:rsidRDefault="00AC4185" w:rsidP="00C25422">
            <w:pPr>
              <w:pStyle w:val="73"/>
              <w:ind w:firstLine="400"/>
            </w:pPr>
            <w:r>
              <w:t>除上述各项之外的其他营业外收入和支出</w:t>
            </w:r>
          </w:p>
        </w:tc>
        <w:tc>
          <w:tcPr>
            <w:tcW w:w="783" w:type="pct"/>
            <w:vAlign w:val="center"/>
          </w:tcPr>
          <w:p w14:paraId="320AD929" w14:textId="77777777" w:rsidR="00E57DAA" w:rsidRDefault="00AC4185">
            <w:pPr>
              <w:jc w:val="right"/>
              <w:rPr>
                <w:szCs w:val="21"/>
              </w:rPr>
            </w:pPr>
            <w:r>
              <w:t>8,607.80</w:t>
            </w:r>
          </w:p>
        </w:tc>
        <w:tc>
          <w:tcPr>
            <w:tcW w:w="1259" w:type="pct"/>
            <w:vAlign w:val="center"/>
          </w:tcPr>
          <w:p w14:paraId="6539C831" w14:textId="77777777" w:rsidR="00E57DAA" w:rsidRDefault="00AC4185">
            <w:pPr>
              <w:rPr>
                <w:szCs w:val="21"/>
              </w:rPr>
            </w:pPr>
            <w:r>
              <w:rPr>
                <w:rFonts w:hint="eastAsia"/>
                <w:szCs w:val="21"/>
              </w:rPr>
              <w:t xml:space="preserve">　</w:t>
            </w:r>
          </w:p>
        </w:tc>
      </w:tr>
      <w:tr w:rsidR="00E57DAA" w14:paraId="11ED345A" w14:textId="77777777">
        <w:tc>
          <w:tcPr>
            <w:tcW w:w="2958" w:type="pct"/>
          </w:tcPr>
          <w:p w14:paraId="5075E452" w14:textId="77777777" w:rsidR="00E57DAA" w:rsidRDefault="00AC4185" w:rsidP="00C25422">
            <w:pPr>
              <w:pStyle w:val="73"/>
              <w:ind w:firstLine="400"/>
            </w:pPr>
            <w:r>
              <w:t>其他符合非经常性损益定义的损益项目</w:t>
            </w:r>
          </w:p>
        </w:tc>
        <w:tc>
          <w:tcPr>
            <w:tcW w:w="783" w:type="pct"/>
            <w:vAlign w:val="center"/>
          </w:tcPr>
          <w:p w14:paraId="55C4FF1F" w14:textId="77777777" w:rsidR="00E57DAA" w:rsidRDefault="00AC4185">
            <w:pPr>
              <w:jc w:val="right"/>
              <w:rPr>
                <w:szCs w:val="21"/>
              </w:rPr>
            </w:pPr>
            <w:r>
              <w:t>13,095.85</w:t>
            </w:r>
          </w:p>
        </w:tc>
        <w:tc>
          <w:tcPr>
            <w:tcW w:w="1259" w:type="pct"/>
            <w:vAlign w:val="center"/>
          </w:tcPr>
          <w:p w14:paraId="017C203B" w14:textId="77777777" w:rsidR="00E57DAA" w:rsidRDefault="00AC4185">
            <w:pPr>
              <w:rPr>
                <w:szCs w:val="21"/>
              </w:rPr>
            </w:pPr>
            <w:r>
              <w:rPr>
                <w:rFonts w:hint="eastAsia"/>
                <w:szCs w:val="21"/>
              </w:rPr>
              <w:t>其他符合非经常性损益定义的损益项目为根据本公司于</w:t>
            </w:r>
            <w:r>
              <w:rPr>
                <w:szCs w:val="21"/>
              </w:rPr>
              <w:t>2022年收购的子公司浙江博宇机电有限公司时的业绩承诺所确认的或有对价，计入了公允价值变动损益。</w:t>
            </w:r>
          </w:p>
        </w:tc>
      </w:tr>
      <w:tr w:rsidR="00E57DAA" w14:paraId="3B3C0491" w14:textId="77777777">
        <w:tc>
          <w:tcPr>
            <w:tcW w:w="2958" w:type="pct"/>
          </w:tcPr>
          <w:p w14:paraId="53FE2E06" w14:textId="77777777" w:rsidR="00E57DAA" w:rsidRDefault="00AC4185" w:rsidP="00C25422">
            <w:pPr>
              <w:pStyle w:val="73"/>
              <w:ind w:firstLine="400"/>
            </w:pPr>
            <w:r>
              <w:rPr>
                <w:rFonts w:hint="eastAsia"/>
              </w:rPr>
              <w:t>减：</w:t>
            </w:r>
            <w:r>
              <w:t>所得税影响额</w:t>
            </w:r>
          </w:p>
        </w:tc>
        <w:tc>
          <w:tcPr>
            <w:tcW w:w="783" w:type="pct"/>
            <w:vAlign w:val="center"/>
          </w:tcPr>
          <w:p w14:paraId="59386C8A" w14:textId="77777777" w:rsidR="00E57DAA" w:rsidRDefault="00AC4185">
            <w:pPr>
              <w:jc w:val="right"/>
              <w:rPr>
                <w:szCs w:val="21"/>
              </w:rPr>
            </w:pPr>
            <w:r>
              <w:t>5,051.20</w:t>
            </w:r>
          </w:p>
        </w:tc>
        <w:tc>
          <w:tcPr>
            <w:tcW w:w="1259" w:type="pct"/>
            <w:vAlign w:val="center"/>
          </w:tcPr>
          <w:p w14:paraId="64A8CFE2" w14:textId="77777777" w:rsidR="00E57DAA" w:rsidRDefault="00AC4185">
            <w:pPr>
              <w:rPr>
                <w:szCs w:val="21"/>
              </w:rPr>
            </w:pPr>
            <w:r>
              <w:rPr>
                <w:rFonts w:hint="eastAsia"/>
                <w:szCs w:val="21"/>
              </w:rPr>
              <w:t xml:space="preserve">　</w:t>
            </w:r>
          </w:p>
        </w:tc>
      </w:tr>
      <w:tr w:rsidR="00E57DAA" w14:paraId="6145CCA6" w14:textId="77777777">
        <w:tc>
          <w:tcPr>
            <w:tcW w:w="2958" w:type="pct"/>
          </w:tcPr>
          <w:p w14:paraId="088804FF" w14:textId="77777777" w:rsidR="00E57DAA" w:rsidRDefault="00AC4185" w:rsidP="00C25422">
            <w:pPr>
              <w:pStyle w:val="73"/>
              <w:ind w:firstLine="400"/>
            </w:pPr>
            <w:r>
              <w:t>少数股东权益影响额</w:t>
            </w:r>
            <w:r>
              <w:rPr>
                <w:rFonts w:hint="eastAsia"/>
              </w:rPr>
              <w:t>（税后）</w:t>
            </w:r>
          </w:p>
        </w:tc>
        <w:tc>
          <w:tcPr>
            <w:tcW w:w="783" w:type="pct"/>
            <w:vAlign w:val="center"/>
          </w:tcPr>
          <w:p w14:paraId="653467B4" w14:textId="77777777" w:rsidR="00E57DAA" w:rsidRDefault="00AC4185">
            <w:pPr>
              <w:jc w:val="right"/>
              <w:rPr>
                <w:szCs w:val="21"/>
              </w:rPr>
            </w:pPr>
            <w:r>
              <w:t>2,128.34</w:t>
            </w:r>
          </w:p>
        </w:tc>
        <w:tc>
          <w:tcPr>
            <w:tcW w:w="1259" w:type="pct"/>
            <w:vAlign w:val="center"/>
          </w:tcPr>
          <w:p w14:paraId="267B3FA8" w14:textId="77777777" w:rsidR="00E57DAA" w:rsidRDefault="00AC4185">
            <w:pPr>
              <w:rPr>
                <w:szCs w:val="21"/>
              </w:rPr>
            </w:pPr>
            <w:r>
              <w:rPr>
                <w:rFonts w:hint="eastAsia"/>
                <w:szCs w:val="21"/>
              </w:rPr>
              <w:t xml:space="preserve">　</w:t>
            </w:r>
          </w:p>
        </w:tc>
      </w:tr>
      <w:tr w:rsidR="00E57DAA" w14:paraId="25D8DCDA" w14:textId="77777777">
        <w:tc>
          <w:tcPr>
            <w:tcW w:w="2958" w:type="pct"/>
            <w:vAlign w:val="center"/>
          </w:tcPr>
          <w:p w14:paraId="4DC8D41F" w14:textId="77777777" w:rsidR="00E57DAA" w:rsidRDefault="00AC4185" w:rsidP="00C25422">
            <w:pPr>
              <w:pStyle w:val="73"/>
              <w:ind w:firstLine="400"/>
            </w:pPr>
            <w:r>
              <w:t>合计</w:t>
            </w:r>
          </w:p>
        </w:tc>
        <w:tc>
          <w:tcPr>
            <w:tcW w:w="783" w:type="pct"/>
            <w:vAlign w:val="center"/>
          </w:tcPr>
          <w:p w14:paraId="2C7E7E9B" w14:textId="77777777" w:rsidR="00E57DAA" w:rsidRDefault="00AC4185">
            <w:pPr>
              <w:jc w:val="right"/>
              <w:rPr>
                <w:szCs w:val="21"/>
              </w:rPr>
            </w:pPr>
            <w:r>
              <w:t>23,852.52</w:t>
            </w:r>
          </w:p>
        </w:tc>
        <w:tc>
          <w:tcPr>
            <w:tcW w:w="1259" w:type="pct"/>
            <w:vAlign w:val="center"/>
          </w:tcPr>
          <w:p w14:paraId="0BCBD5E1" w14:textId="77777777" w:rsidR="00E57DAA" w:rsidRDefault="00AC4185">
            <w:pPr>
              <w:rPr>
                <w:szCs w:val="21"/>
              </w:rPr>
            </w:pPr>
            <w:r>
              <w:rPr>
                <w:rFonts w:hint="eastAsia"/>
                <w:szCs w:val="21"/>
              </w:rPr>
              <w:t xml:space="preserve">　</w:t>
            </w:r>
          </w:p>
        </w:tc>
      </w:tr>
      <w:bookmarkEnd w:id="363"/>
      <w:bookmarkEnd w:id="362"/>
    </w:tbl>
    <w:p w14:paraId="0B9D4EF2" w14:textId="77777777" w:rsidR="00E57DAA" w:rsidRDefault="00E57DAA" w:rsidP="00C25422">
      <w:pPr>
        <w:pStyle w:val="92"/>
      </w:pPr>
    </w:p>
    <w:p w14:paraId="2CEA52C9" w14:textId="77777777" w:rsidR="00E57DAA" w:rsidRDefault="00AC4185">
      <w:pPr>
        <w:rPr>
          <w:szCs w:val="21"/>
        </w:rPr>
      </w:pPr>
      <w:r>
        <w:rPr>
          <w:rFonts w:hint="eastAsia"/>
          <w:szCs w:val="21"/>
        </w:rPr>
        <w:t>对公司将《公开发行证券的公司信息披露解释性公告第</w:t>
      </w:r>
      <w:r>
        <w:rPr>
          <w:szCs w:val="2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p>
    <w:bookmarkStart w:id="364" w:name="_Hlk154752626" w:displacedByCustomXml="next"/>
    <w:sdt>
      <w:sdtPr>
        <w:rPr>
          <w:szCs w:val="21"/>
        </w:rPr>
        <w:alias w:val="是否适用：将非经常性损益项目界定为经常性损益项目[双击切换]"/>
        <w:tag w:val="_GBC_a967cba183d54f83a4f652d6d31302c3"/>
        <w:id w:val="754091193"/>
        <w:placeholder>
          <w:docPart w:val="GBC22222222222222222222222222222"/>
        </w:placeholder>
      </w:sdtPr>
      <w:sdtEndPr/>
      <w:sdtContent>
        <w:p w14:paraId="3476BDB1" w14:textId="77777777" w:rsidR="00E57DAA" w:rsidRDefault="00AC418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57EC84" w14:textId="77777777" w:rsidR="00E57DAA" w:rsidRDefault="00AC4185">
      <w:pPr>
        <w:jc w:val="right"/>
        <w:rPr>
          <w:szCs w:val="21"/>
        </w:rPr>
      </w:pPr>
      <w:r>
        <w:rPr>
          <w:rFonts w:hint="eastAsia"/>
          <w:szCs w:val="21"/>
        </w:rPr>
        <w:t>单位：</w:t>
      </w:r>
      <w:sdt>
        <w:sdtPr>
          <w:rPr>
            <w:rFonts w:hint="eastAsia"/>
            <w:szCs w:val="21"/>
          </w:rPr>
          <w:alias w:val="单位：财务附注：将非经常性损益项目界定为经常性损益项目"/>
          <w:tag w:val="_GBC_5153d701b3b44f33a9490091a7e804e6"/>
          <w:id w:val="233137215"/>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财务附注：将非经常性损益项目界定为经常性损益项目"/>
          <w:tag w:val="_GBC_77ec9746b783471b84796c1c772576bd"/>
          <w:id w:val="59629452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40"/>
        <w:gridCol w:w="1724"/>
        <w:gridCol w:w="3159"/>
      </w:tblGrid>
      <w:tr w:rsidR="00E57DAA" w14:paraId="705FE221" w14:textId="77777777">
        <w:sdt>
          <w:sdtPr>
            <w:tag w:val="_PLD_1f5fa8913743480fb3da21eb9369422c"/>
            <w:id w:val="1171530939"/>
          </w:sdtPr>
          <w:sdtEndPr/>
          <w:sdtContent>
            <w:tc>
              <w:tcPr>
                <w:tcW w:w="2233" w:type="pct"/>
              </w:tcPr>
              <w:p w14:paraId="2A196D27" w14:textId="77777777" w:rsidR="00E57DAA" w:rsidRDefault="00AC4185">
                <w:pPr>
                  <w:jc w:val="center"/>
                  <w:rPr>
                    <w:szCs w:val="21"/>
                  </w:rPr>
                </w:pPr>
                <w:r>
                  <w:rPr>
                    <w:rFonts w:hint="eastAsia"/>
                    <w:szCs w:val="21"/>
                  </w:rPr>
                  <w:t>项目</w:t>
                </w:r>
              </w:p>
            </w:tc>
          </w:sdtContent>
        </w:sdt>
        <w:sdt>
          <w:sdtPr>
            <w:tag w:val="_PLD_8211e03e10a14ec08118aac4c962a2b3"/>
            <w:id w:val="2022892813"/>
          </w:sdtPr>
          <w:sdtEndPr/>
          <w:sdtContent>
            <w:tc>
              <w:tcPr>
                <w:tcW w:w="977" w:type="pct"/>
              </w:tcPr>
              <w:p w14:paraId="2C7D4BE8" w14:textId="77777777" w:rsidR="00E57DAA" w:rsidRDefault="00AC4185">
                <w:pPr>
                  <w:jc w:val="center"/>
                  <w:rPr>
                    <w:szCs w:val="21"/>
                  </w:rPr>
                </w:pPr>
                <w:r>
                  <w:rPr>
                    <w:rFonts w:hint="eastAsia"/>
                    <w:szCs w:val="21"/>
                  </w:rPr>
                  <w:t>涉及金额</w:t>
                </w:r>
              </w:p>
            </w:tc>
          </w:sdtContent>
        </w:sdt>
        <w:sdt>
          <w:sdtPr>
            <w:tag w:val="_PLD_6ebd996c152542fe88a42f57bb8a8546"/>
            <w:id w:val="2084174714"/>
          </w:sdtPr>
          <w:sdtEndPr/>
          <w:sdtContent>
            <w:tc>
              <w:tcPr>
                <w:tcW w:w="1790" w:type="pct"/>
              </w:tcPr>
              <w:p w14:paraId="5DD5DBD8" w14:textId="77777777" w:rsidR="00E57DAA" w:rsidRDefault="00AC4185">
                <w:pPr>
                  <w:jc w:val="center"/>
                  <w:rPr>
                    <w:szCs w:val="21"/>
                  </w:rPr>
                </w:pPr>
                <w:r>
                  <w:rPr>
                    <w:rFonts w:hint="eastAsia"/>
                    <w:szCs w:val="21"/>
                  </w:rPr>
                  <w:t>原因</w:t>
                </w:r>
              </w:p>
            </w:tc>
          </w:sdtContent>
        </w:sdt>
      </w:tr>
      <w:tr w:rsidR="00E57DAA" w14:paraId="2603FD4C" w14:textId="77777777">
        <w:tc>
          <w:tcPr>
            <w:tcW w:w="2233" w:type="pct"/>
          </w:tcPr>
          <w:p w14:paraId="29730513" w14:textId="77777777" w:rsidR="00E57DAA" w:rsidRDefault="00AC4185">
            <w:pPr>
              <w:rPr>
                <w:szCs w:val="21"/>
              </w:rPr>
            </w:pPr>
            <w:r>
              <w:t>或有对价</w:t>
            </w:r>
          </w:p>
        </w:tc>
        <w:tc>
          <w:tcPr>
            <w:tcW w:w="977" w:type="pct"/>
          </w:tcPr>
          <w:p w14:paraId="3C9671C2" w14:textId="77777777" w:rsidR="00E57DAA" w:rsidRDefault="00AC4185">
            <w:pPr>
              <w:jc w:val="right"/>
              <w:rPr>
                <w:szCs w:val="21"/>
              </w:rPr>
            </w:pPr>
            <w:r>
              <w:t>13,095.85</w:t>
            </w:r>
          </w:p>
        </w:tc>
        <w:tc>
          <w:tcPr>
            <w:tcW w:w="1790" w:type="pct"/>
          </w:tcPr>
          <w:p w14:paraId="729700BB" w14:textId="77777777" w:rsidR="00E57DAA" w:rsidRDefault="00AC4185">
            <w:pPr>
              <w:rPr>
                <w:szCs w:val="21"/>
              </w:rPr>
            </w:pPr>
            <w:r>
              <w:t>与投资活动相关的偶发事项</w:t>
            </w:r>
          </w:p>
        </w:tc>
      </w:tr>
    </w:tbl>
    <w:p w14:paraId="02190DBA" w14:textId="77777777" w:rsidR="00E57DAA" w:rsidRDefault="00E57DAA" w:rsidP="00C25422">
      <w:pPr>
        <w:pStyle w:val="92"/>
      </w:pPr>
    </w:p>
    <w:p w14:paraId="16304621" w14:textId="77777777" w:rsidR="00E57DAA" w:rsidRDefault="00AC4185">
      <w:pPr>
        <w:spacing w:line="360" w:lineRule="exact"/>
        <w:rPr>
          <w:szCs w:val="21"/>
        </w:rPr>
      </w:pPr>
      <w:r>
        <w:rPr>
          <w:rFonts w:hint="eastAsia"/>
          <w:szCs w:val="21"/>
        </w:rPr>
        <w:t>其他说明</w:t>
      </w:r>
    </w:p>
    <w:sdt>
      <w:sdtPr>
        <w:rPr>
          <w:szCs w:val="21"/>
        </w:rPr>
        <w:alias w:val="是否适用：非经常性损益的其他说明[双击切换]"/>
        <w:tag w:val="_GBC_02aa469151f448ef8b478dba20a7d811"/>
        <w:id w:val="-573040072"/>
        <w:placeholder>
          <w:docPart w:val="GBC22222222222222222222222222222"/>
        </w:placeholder>
      </w:sdtPr>
      <w:sdtEndPr/>
      <w:sdtContent>
        <w:p w14:paraId="54FF2440"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1E87EF" w14:textId="77777777" w:rsidR="00E57DAA" w:rsidRDefault="00E57DAA" w:rsidP="00C25422">
      <w:pPr>
        <w:pStyle w:val="92"/>
      </w:pPr>
    </w:p>
    <w:p w14:paraId="3D51D01D" w14:textId="77777777" w:rsidR="00E57DAA" w:rsidRDefault="00AC4185" w:rsidP="00C25422">
      <w:pPr>
        <w:pStyle w:val="91"/>
        <w:numPr>
          <w:ilvl w:val="0"/>
          <w:numId w:val="137"/>
        </w:numPr>
      </w:pPr>
      <w:r>
        <w:rPr>
          <w:rFonts w:hint="eastAsia"/>
        </w:rPr>
        <w:t>净资产</w:t>
      </w:r>
      <w:r>
        <w:rPr>
          <w:rFonts w:ascii="宋体" w:hAnsi="宋体" w:hint="eastAsia"/>
        </w:rPr>
        <w:t>收益率</w:t>
      </w:r>
      <w:r>
        <w:rPr>
          <w:rFonts w:hint="eastAsia"/>
        </w:rPr>
        <w:t>及每股收益</w:t>
      </w:r>
    </w:p>
    <w:bookmarkEnd w:id="364" w:displacedByCustomXml="next"/>
    <w:sdt>
      <w:sdtPr>
        <w:alias w:val="是否适用：净资产收益率及每股收益[双击切换]"/>
        <w:tag w:val="_GBC_c0f530bdf9ee48239f470eda08b303d7"/>
        <w:id w:val="408512122"/>
        <w:placeholder>
          <w:docPart w:val="GBC22222222222222222222222222222"/>
        </w:placeholder>
      </w:sdtPr>
      <w:sdtEndPr/>
      <w:sdtContent>
        <w:p w14:paraId="06A9BEC8" w14:textId="77777777" w:rsidR="00E57DAA" w:rsidRDefault="00AC4185" w:rsidP="00C25422">
          <w:pPr>
            <w:pStyle w:val="9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40"/>
        <w:gridCol w:w="1795"/>
        <w:gridCol w:w="2093"/>
        <w:gridCol w:w="2095"/>
      </w:tblGrid>
      <w:tr w:rsidR="00E57DAA" w14:paraId="1BF83D5D" w14:textId="77777777">
        <w:trPr>
          <w:trHeight w:val="270"/>
        </w:trPr>
        <w:sdt>
          <w:sdtPr>
            <w:tag w:val="_PLD_85d9a7abc9cd45768b2b5f99afa4a4ef"/>
            <w:id w:val="-1561775869"/>
          </w:sdtPr>
          <w:sdtEndPr/>
          <w:sdtContent>
            <w:tc>
              <w:tcPr>
                <w:tcW w:w="1609" w:type="pct"/>
                <w:vMerge w:val="restart"/>
                <w:tcBorders>
                  <w:top w:val="single" w:sz="4" w:space="0" w:color="auto"/>
                  <w:left w:val="single" w:sz="4" w:space="0" w:color="auto"/>
                  <w:bottom w:val="single" w:sz="4" w:space="0" w:color="auto"/>
                  <w:right w:val="single" w:sz="4" w:space="0" w:color="auto"/>
                </w:tcBorders>
                <w:vAlign w:val="center"/>
              </w:tcPr>
              <w:p w14:paraId="3908B4C1" w14:textId="77777777" w:rsidR="00E57DAA" w:rsidRDefault="00AC4185">
                <w:pPr>
                  <w:jc w:val="center"/>
                  <w:rPr>
                    <w:szCs w:val="21"/>
                  </w:rPr>
                </w:pPr>
                <w:r>
                  <w:rPr>
                    <w:szCs w:val="21"/>
                  </w:rPr>
                  <w:t>报告期利润</w:t>
                </w:r>
              </w:p>
            </w:tc>
          </w:sdtContent>
        </w:sdt>
        <w:sdt>
          <w:sdtPr>
            <w:tag w:val="_PLD_7f5ad103cbb04f7d904001b07266bf41"/>
            <w:id w:val="-1842769240"/>
          </w:sdtPr>
          <w:sdtEndPr/>
          <w:sdtContent>
            <w:tc>
              <w:tcPr>
                <w:tcW w:w="1017" w:type="pct"/>
                <w:vMerge w:val="restart"/>
                <w:tcBorders>
                  <w:top w:val="single" w:sz="4" w:space="0" w:color="auto"/>
                  <w:left w:val="single" w:sz="4" w:space="0" w:color="auto"/>
                  <w:right w:val="single" w:sz="4" w:space="0" w:color="auto"/>
                </w:tcBorders>
                <w:vAlign w:val="center"/>
              </w:tcPr>
              <w:p w14:paraId="1E0B2F80" w14:textId="77777777" w:rsidR="00E57DAA" w:rsidRDefault="00AC4185">
                <w:pPr>
                  <w:jc w:val="center"/>
                  <w:rPr>
                    <w:szCs w:val="21"/>
                  </w:rPr>
                </w:pPr>
                <w:r>
                  <w:rPr>
                    <w:szCs w:val="21"/>
                  </w:rPr>
                  <w:t>加权平均净资产收益率（%）</w:t>
                </w:r>
              </w:p>
            </w:tc>
          </w:sdtContent>
        </w:sdt>
        <w:sdt>
          <w:sdtPr>
            <w:tag w:val="_PLD_adaa515ff68f455d8bcd75e516da3040"/>
            <w:id w:val="-1791579965"/>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2E29FDBE" w14:textId="77777777" w:rsidR="00E57DAA" w:rsidRDefault="00AC4185">
                <w:pPr>
                  <w:jc w:val="center"/>
                  <w:rPr>
                    <w:szCs w:val="21"/>
                  </w:rPr>
                </w:pPr>
                <w:r>
                  <w:rPr>
                    <w:szCs w:val="21"/>
                  </w:rPr>
                  <w:t>每股收益</w:t>
                </w:r>
              </w:p>
            </w:tc>
          </w:sdtContent>
        </w:sdt>
      </w:tr>
      <w:tr w:rsidR="00E57DAA" w14:paraId="0354E6BC" w14:textId="77777777">
        <w:trPr>
          <w:trHeight w:val="360"/>
        </w:trPr>
        <w:tc>
          <w:tcPr>
            <w:tcW w:w="1609" w:type="pct"/>
            <w:vMerge/>
            <w:tcBorders>
              <w:top w:val="single" w:sz="4" w:space="0" w:color="auto"/>
              <w:left w:val="single" w:sz="4" w:space="0" w:color="auto"/>
              <w:bottom w:val="single" w:sz="4" w:space="0" w:color="auto"/>
              <w:right w:val="single" w:sz="4" w:space="0" w:color="auto"/>
            </w:tcBorders>
            <w:vAlign w:val="center"/>
          </w:tcPr>
          <w:p w14:paraId="1D56DC5F" w14:textId="77777777" w:rsidR="00E57DAA" w:rsidRDefault="00E57DAA">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2850FC35" w14:textId="77777777" w:rsidR="00E57DAA" w:rsidRDefault="00E57DAA">
            <w:pPr>
              <w:jc w:val="center"/>
              <w:rPr>
                <w:szCs w:val="21"/>
              </w:rPr>
            </w:pPr>
          </w:p>
        </w:tc>
        <w:sdt>
          <w:sdtPr>
            <w:tag w:val="_PLD_503a9e353572491fb64751c75881b5ac"/>
            <w:id w:val="-1396974066"/>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45E852F9" w14:textId="77777777" w:rsidR="00E57DAA" w:rsidRDefault="00AC4185">
                <w:pPr>
                  <w:jc w:val="center"/>
                  <w:rPr>
                    <w:szCs w:val="21"/>
                  </w:rPr>
                </w:pPr>
                <w:r>
                  <w:rPr>
                    <w:szCs w:val="21"/>
                  </w:rPr>
                  <w:t>基本每股收益</w:t>
                </w:r>
              </w:p>
            </w:tc>
          </w:sdtContent>
        </w:sdt>
        <w:sdt>
          <w:sdtPr>
            <w:tag w:val="_PLD_b57959d0e3714f2590eb4529892e5c18"/>
            <w:id w:val="822317045"/>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7CC3EC80" w14:textId="77777777" w:rsidR="00E57DAA" w:rsidRDefault="00AC4185">
                <w:pPr>
                  <w:jc w:val="center"/>
                  <w:rPr>
                    <w:szCs w:val="21"/>
                  </w:rPr>
                </w:pPr>
                <w:r>
                  <w:rPr>
                    <w:szCs w:val="21"/>
                  </w:rPr>
                  <w:t>稀释每股收益</w:t>
                </w:r>
              </w:p>
            </w:tc>
          </w:sdtContent>
        </w:sdt>
      </w:tr>
      <w:tr w:rsidR="00E57DAA" w14:paraId="467D8889" w14:textId="77777777">
        <w:trPr>
          <w:trHeight w:val="360"/>
        </w:trPr>
        <w:tc>
          <w:tcPr>
            <w:tcW w:w="1609" w:type="pct"/>
            <w:tcBorders>
              <w:top w:val="single" w:sz="4" w:space="0" w:color="auto"/>
              <w:left w:val="single" w:sz="4" w:space="0" w:color="auto"/>
              <w:bottom w:val="single" w:sz="4" w:space="0" w:color="auto"/>
              <w:right w:val="single" w:sz="4" w:space="0" w:color="auto"/>
            </w:tcBorders>
          </w:tcPr>
          <w:p w14:paraId="6B247410" w14:textId="77777777" w:rsidR="00E57DAA" w:rsidRDefault="00AC4185">
            <w:pPr>
              <w:rPr>
                <w:szCs w:val="21"/>
              </w:rPr>
            </w:pPr>
            <w:r>
              <w:rPr>
                <w:szCs w:val="21"/>
              </w:rPr>
              <w:lastRenderedPageBreak/>
              <w:t>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70858BBD" w14:textId="77777777" w:rsidR="00E57DAA" w:rsidRDefault="00AC4185">
            <w:pPr>
              <w:jc w:val="right"/>
              <w:rPr>
                <w:szCs w:val="21"/>
              </w:rPr>
            </w:pPr>
            <w:r>
              <w:t>16.32</w:t>
            </w:r>
          </w:p>
        </w:tc>
        <w:tc>
          <w:tcPr>
            <w:tcW w:w="1186" w:type="pct"/>
            <w:tcBorders>
              <w:top w:val="single" w:sz="4" w:space="0" w:color="auto"/>
              <w:left w:val="single" w:sz="4" w:space="0" w:color="auto"/>
              <w:bottom w:val="single" w:sz="4" w:space="0" w:color="auto"/>
              <w:right w:val="single" w:sz="4" w:space="0" w:color="auto"/>
            </w:tcBorders>
            <w:vAlign w:val="center"/>
          </w:tcPr>
          <w:p w14:paraId="4E4EC13A" w14:textId="77777777" w:rsidR="00E57DAA" w:rsidRDefault="00AC4185">
            <w:pPr>
              <w:jc w:val="right"/>
              <w:rPr>
                <w:szCs w:val="21"/>
              </w:rPr>
            </w:pPr>
            <w:r>
              <w:t>1.12</w:t>
            </w:r>
          </w:p>
        </w:tc>
        <w:tc>
          <w:tcPr>
            <w:tcW w:w="1187" w:type="pct"/>
            <w:tcBorders>
              <w:top w:val="single" w:sz="4" w:space="0" w:color="auto"/>
              <w:left w:val="single" w:sz="4" w:space="0" w:color="auto"/>
              <w:bottom w:val="single" w:sz="4" w:space="0" w:color="auto"/>
              <w:right w:val="single" w:sz="4" w:space="0" w:color="auto"/>
            </w:tcBorders>
            <w:vAlign w:val="center"/>
          </w:tcPr>
          <w:p w14:paraId="3E57B9BE" w14:textId="77777777" w:rsidR="00E57DAA" w:rsidRDefault="00AC4185">
            <w:pPr>
              <w:jc w:val="right"/>
              <w:rPr>
                <w:szCs w:val="21"/>
              </w:rPr>
            </w:pPr>
            <w:r>
              <w:t>1.12</w:t>
            </w:r>
          </w:p>
        </w:tc>
      </w:tr>
      <w:tr w:rsidR="00E57DAA" w14:paraId="502A42A1" w14:textId="77777777">
        <w:trPr>
          <w:trHeight w:val="360"/>
        </w:trPr>
        <w:tc>
          <w:tcPr>
            <w:tcW w:w="1609" w:type="pct"/>
            <w:tcBorders>
              <w:top w:val="single" w:sz="4" w:space="0" w:color="auto"/>
              <w:left w:val="single" w:sz="4" w:space="0" w:color="auto"/>
              <w:bottom w:val="single" w:sz="4" w:space="0" w:color="auto"/>
              <w:right w:val="single" w:sz="4" w:space="0" w:color="auto"/>
            </w:tcBorders>
          </w:tcPr>
          <w:p w14:paraId="58EBD9CB" w14:textId="77777777" w:rsidR="00E57DAA" w:rsidRDefault="00AC4185">
            <w:pPr>
              <w:rPr>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6B0F1B68" w14:textId="77777777" w:rsidR="00E57DAA" w:rsidRDefault="00AC4185">
            <w:pPr>
              <w:jc w:val="right"/>
              <w:rPr>
                <w:szCs w:val="21"/>
              </w:rPr>
            </w:pPr>
            <w:r>
              <w:t>15.16</w:t>
            </w:r>
          </w:p>
        </w:tc>
        <w:tc>
          <w:tcPr>
            <w:tcW w:w="1186" w:type="pct"/>
            <w:tcBorders>
              <w:top w:val="single" w:sz="4" w:space="0" w:color="auto"/>
              <w:left w:val="single" w:sz="4" w:space="0" w:color="auto"/>
              <w:bottom w:val="single" w:sz="4" w:space="0" w:color="auto"/>
              <w:right w:val="single" w:sz="4" w:space="0" w:color="auto"/>
            </w:tcBorders>
            <w:vAlign w:val="center"/>
          </w:tcPr>
          <w:p w14:paraId="3D9B5CBE" w14:textId="77777777" w:rsidR="00E57DAA" w:rsidRDefault="00AC4185">
            <w:pPr>
              <w:jc w:val="right"/>
              <w:rPr>
                <w:szCs w:val="21"/>
              </w:rPr>
            </w:pPr>
            <w:r>
              <w:t>1.04</w:t>
            </w:r>
          </w:p>
        </w:tc>
        <w:tc>
          <w:tcPr>
            <w:tcW w:w="1187" w:type="pct"/>
            <w:tcBorders>
              <w:top w:val="single" w:sz="4" w:space="0" w:color="auto"/>
              <w:left w:val="single" w:sz="4" w:space="0" w:color="auto"/>
              <w:bottom w:val="single" w:sz="4" w:space="0" w:color="auto"/>
              <w:right w:val="single" w:sz="4" w:space="0" w:color="auto"/>
            </w:tcBorders>
            <w:vAlign w:val="center"/>
          </w:tcPr>
          <w:p w14:paraId="0C41B786" w14:textId="77777777" w:rsidR="00E57DAA" w:rsidRDefault="00AC4185">
            <w:pPr>
              <w:jc w:val="right"/>
              <w:rPr>
                <w:szCs w:val="21"/>
              </w:rPr>
            </w:pPr>
            <w:r>
              <w:t>1.04</w:t>
            </w:r>
          </w:p>
        </w:tc>
      </w:tr>
    </w:tbl>
    <w:p w14:paraId="004B081D" w14:textId="77777777" w:rsidR="00E57DAA" w:rsidRDefault="00E57DAA">
      <w:pPr>
        <w:rPr>
          <w:szCs w:val="21"/>
        </w:rPr>
      </w:pPr>
    </w:p>
    <w:p w14:paraId="5982EA0B" w14:textId="77777777" w:rsidR="00E57DAA" w:rsidRDefault="00AC4185" w:rsidP="00C25422">
      <w:pPr>
        <w:pStyle w:val="91"/>
        <w:numPr>
          <w:ilvl w:val="0"/>
          <w:numId w:val="137"/>
        </w:numPr>
      </w:pPr>
      <w:r>
        <w:rPr>
          <w:rFonts w:hint="eastAsia"/>
        </w:rPr>
        <w:t>境内外会计准则下会计数据差异</w:t>
      </w:r>
    </w:p>
    <w:sdt>
      <w:sdtPr>
        <w:alias w:val="是否适用：境内外会计准则下会计数据差异[双击切换]"/>
        <w:tag w:val="_GBC_256af937a96e4869ba07cb19341957bb"/>
        <w:id w:val="75557077"/>
        <w:placeholder>
          <w:docPart w:val="GBC22222222222222222222222222222"/>
        </w:placeholder>
      </w:sdtPr>
      <w:sdtEndPr/>
      <w:sdtContent>
        <w:p w14:paraId="0E5999F8" w14:textId="77777777" w:rsidR="00E57DAA" w:rsidRDefault="00AC4185">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746529" w14:textId="77777777" w:rsidR="00E57DAA" w:rsidRDefault="00E57DAA">
      <w:pPr>
        <w:rPr>
          <w:szCs w:val="21"/>
        </w:rPr>
      </w:pPr>
    </w:p>
    <w:p w14:paraId="725993DC" w14:textId="77777777" w:rsidR="00E57DAA" w:rsidRDefault="00AC4185" w:rsidP="00C25422">
      <w:pPr>
        <w:pStyle w:val="91"/>
        <w:numPr>
          <w:ilvl w:val="0"/>
          <w:numId w:val="137"/>
        </w:numPr>
      </w:pPr>
      <w:r>
        <w:rPr>
          <w:rFonts w:hint="eastAsia"/>
        </w:rPr>
        <w:t>其他</w:t>
      </w:r>
    </w:p>
    <w:sdt>
      <w:sdtPr>
        <w:rPr>
          <w:rFonts w:hint="eastAsia"/>
          <w:szCs w:val="21"/>
        </w:rPr>
        <w:alias w:val="是否适用：补充资料其他说明事项[双击切换]"/>
        <w:tag w:val="_GBC_96c49cb17ab64891ac1d396be649be3c"/>
        <w:id w:val="-1787043329"/>
        <w:placeholder>
          <w:docPart w:val="GBC22222222222222222222222222222"/>
        </w:placeholder>
      </w:sdtPr>
      <w:sdtEndPr/>
      <w:sdtContent>
        <w:p w14:paraId="718A4113" w14:textId="77777777" w:rsidR="00E57DAA" w:rsidRDefault="00AC418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EF744E" w14:textId="77777777" w:rsidR="00E57DAA" w:rsidRDefault="00E57DAA">
      <w:pPr>
        <w:rPr>
          <w:szCs w:val="21"/>
        </w:rPr>
      </w:pPr>
    </w:p>
    <w:p w14:paraId="004DBEAA" w14:textId="77777777" w:rsidR="00E57DAA" w:rsidRDefault="00E57DAA">
      <w:pPr>
        <w:spacing w:line="360" w:lineRule="exact"/>
        <w:ind w:right="5"/>
        <w:rPr>
          <w:b/>
          <w:bCs/>
          <w:sz w:val="24"/>
        </w:rPr>
      </w:pPr>
    </w:p>
    <w:p w14:paraId="41982991" w14:textId="77777777" w:rsidR="00E57DAA" w:rsidRDefault="00AC4185">
      <w:pPr>
        <w:wordWrap w:val="0"/>
        <w:spacing w:line="360" w:lineRule="exact"/>
        <w:jc w:val="right"/>
        <w:rPr>
          <w:u w:val="single"/>
        </w:rPr>
      </w:pPr>
      <w:r>
        <w:t>董事长：</w:t>
      </w:r>
      <w:bookmarkStart w:id="365" w:name="_Hlk90043452"/>
      <w:bookmarkStart w:id="366" w:name="_Hlk89951888"/>
      <w:sdt>
        <w:sdtPr>
          <w:alias w:val="报告发布人"/>
          <w:tag w:val="_GBC_728ad6dff57942a69e22fcccc1f10a3c"/>
          <w:id w:val="1842889126"/>
          <w:placeholder>
            <w:docPart w:val="GBC22222222222222222222222222222"/>
          </w:placeholder>
        </w:sdtPr>
        <w:sdtEndPr/>
        <w:sdtContent>
          <w:r>
            <w:rPr>
              <w:rFonts w:hint="eastAsia"/>
            </w:rPr>
            <w:t>印志松</w:t>
          </w:r>
        </w:sdtContent>
      </w:sdt>
      <w:r>
        <w:rPr>
          <w:rFonts w:hint="eastAsia"/>
        </w:rPr>
        <w:t xml:space="preserve"> </w:t>
      </w:r>
    </w:p>
    <w:p w14:paraId="057F8728" w14:textId="77777777" w:rsidR="00E57DAA" w:rsidRDefault="00AC4185">
      <w:pPr>
        <w:spacing w:line="360" w:lineRule="exact"/>
        <w:jc w:val="right"/>
      </w:pPr>
      <w:r>
        <w:t>董事会批准报送日期：</w:t>
      </w:r>
      <w:sdt>
        <w:sdtPr>
          <w:alias w:val="报告董事会批准报送日期"/>
          <w:tag w:val="_GBC_7b8c4a7926dc47299591537f5943936d"/>
          <w:id w:val="-1063636730"/>
          <w:placeholder>
            <w:docPart w:val="GBC22222222222222222222222222222"/>
          </w:placeholder>
          <w:date w:fullDate="2024-03-25T00:00:00Z">
            <w:dateFormat w:val="yyyy'年'M'月'd'日'"/>
            <w:lid w:val="zh-CN"/>
            <w:storeMappedDataAs w:val="dateTime"/>
            <w:calendar w:val="gregorian"/>
          </w:date>
        </w:sdtPr>
        <w:sdtEndPr/>
        <w:sdtContent>
          <w:r>
            <w:rPr>
              <w:rFonts w:hint="eastAsia"/>
            </w:rPr>
            <w:t>2024年3月25日</w:t>
          </w:r>
        </w:sdtContent>
      </w:sdt>
      <w:r>
        <w:rPr>
          <w:rFonts w:hint="eastAsia"/>
        </w:rPr>
        <w:t xml:space="preserve"> </w:t>
      </w:r>
      <w:bookmarkEnd w:id="365"/>
    </w:p>
    <w:bookmarkEnd w:id="366"/>
    <w:p w14:paraId="0870C57A" w14:textId="77777777" w:rsidR="00E57DAA" w:rsidRDefault="00E57DAA">
      <w:pPr>
        <w:spacing w:line="360" w:lineRule="exact"/>
        <w:ind w:right="5"/>
        <w:rPr>
          <w:u w:val="single"/>
        </w:rPr>
      </w:pPr>
    </w:p>
    <w:p w14:paraId="695498C8" w14:textId="77777777" w:rsidR="00E57DAA" w:rsidRDefault="00E57DAA">
      <w:pPr>
        <w:spacing w:line="360" w:lineRule="exact"/>
        <w:ind w:right="5"/>
      </w:pPr>
    </w:p>
    <w:p w14:paraId="6D762B16" w14:textId="77777777" w:rsidR="00E57DAA" w:rsidRDefault="00AC4185">
      <w:pPr>
        <w:spacing w:line="360" w:lineRule="exact"/>
        <w:ind w:right="5"/>
        <w:rPr>
          <w:b/>
          <w:sz w:val="24"/>
        </w:rPr>
      </w:pPr>
      <w:r>
        <w:rPr>
          <w:b/>
          <w:sz w:val="24"/>
        </w:rPr>
        <w:t>修订信息</w:t>
      </w:r>
    </w:p>
    <w:sdt>
      <w:sdtPr>
        <w:alias w:val="是否适用：修订信息表[双击切换]"/>
        <w:tag w:val="_GBC_888e757d42a24d3a87b71f50b0589b0a"/>
        <w:id w:val="-181676258"/>
        <w:placeholder>
          <w:docPart w:val="GBC22222222222222222222222222222"/>
        </w:placeholder>
      </w:sdtPr>
      <w:sdtEndPr/>
      <w:sdtContent>
        <w:p w14:paraId="695FE38D" w14:textId="77777777" w:rsidR="00E57DAA" w:rsidRDefault="00AC4185" w:rsidP="00C25422">
          <w:pPr>
            <w:pStyle w:val="9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ectPr w:rsidR="00E57DAA">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8DA38" w14:textId="77777777" w:rsidR="00226547" w:rsidRDefault="00226547">
      <w:r>
        <w:separator/>
      </w:r>
    </w:p>
  </w:endnote>
  <w:endnote w:type="continuationSeparator" w:id="0">
    <w:p w14:paraId="076FF5AD" w14:textId="77777777" w:rsidR="00226547" w:rsidRDefault="00226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 YaHei UI">
    <w:panose1 w:val="020B0503020204020204"/>
    <w:charset w:val="86"/>
    <w:family w:val="swiss"/>
    <w:pitch w:val="variable"/>
    <w:sig w:usb0="80000287" w:usb1="2ACF3C50" w:usb2="00000016" w:usb3="00000000" w:csb0="0004001F" w:csb1="00000000"/>
  </w:font>
  <w:font w:name="仿宋_GB2312">
    <w:altName w:val="微软雅黑"/>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ËÎÌå">
    <w:altName w:val="等线"/>
    <w:charset w:val="86"/>
    <w:family w:val="roman"/>
    <w:pitch w:val="default"/>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835307"/>
    </w:sdtPr>
    <w:sdtEndPr/>
    <w:sdtContent>
      <w:sdt>
        <w:sdtPr>
          <w:id w:val="1080646581"/>
        </w:sdtPr>
        <w:sdtEndPr/>
        <w:sdtContent>
          <w:p w14:paraId="00367C2E" w14:textId="77777777" w:rsidR="00E57DAA" w:rsidRDefault="00AC4185">
            <w:pPr>
              <w:pStyle w:val="afb"/>
              <w:jc w:val="center"/>
            </w:pP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82</w:t>
            </w:r>
            <w:r>
              <w:rPr>
                <w:b/>
                <w:bCs/>
                <w:sz w:val="24"/>
                <w:szCs w:val="24"/>
              </w:rPr>
              <w:fldChar w:fldCharType="end"/>
            </w:r>
          </w:p>
        </w:sdtContent>
      </w:sdt>
    </w:sdtContent>
  </w:sdt>
  <w:p w14:paraId="4546A9F5" w14:textId="77777777" w:rsidR="00E57DAA" w:rsidRDefault="00E57DAA">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8C081" w14:textId="77777777" w:rsidR="00226547" w:rsidRDefault="00226547">
      <w:r>
        <w:separator/>
      </w:r>
    </w:p>
  </w:footnote>
  <w:footnote w:type="continuationSeparator" w:id="0">
    <w:p w14:paraId="07094966" w14:textId="77777777" w:rsidR="00226547" w:rsidRDefault="002265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FBEE3" w14:textId="77777777" w:rsidR="00E57DAA" w:rsidRDefault="00AC4185">
    <w:pPr>
      <w:pStyle w:val="afd"/>
      <w:tabs>
        <w:tab w:val="clear" w:pos="8306"/>
        <w:tab w:val="left" w:pos="8364"/>
        <w:tab w:val="left" w:pos="8505"/>
      </w:tabs>
      <w:ind w:rightChars="10" w:right="21"/>
      <w:rPr>
        <w:b/>
      </w:rPr>
    </w:pPr>
    <w:r>
      <w:rPr>
        <w:rFonts w:hint="eastAsia"/>
      </w:rPr>
      <w:t>2023</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C7576E"/>
    <w:multiLevelType w:val="multilevel"/>
    <w:tmpl w:val="01C7576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2E66CBA"/>
    <w:multiLevelType w:val="multilevel"/>
    <w:tmpl w:val="02E66CBA"/>
    <w:lvl w:ilvl="0">
      <w:start w:val="1"/>
      <w:numFmt w:val="chineseCountingThousand"/>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37142FD"/>
    <w:multiLevelType w:val="multilevel"/>
    <w:tmpl w:val="037142F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3B7239C"/>
    <w:multiLevelType w:val="multilevel"/>
    <w:tmpl w:val="03B7239C"/>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BF2AD3"/>
    <w:multiLevelType w:val="multilevel"/>
    <w:tmpl w:val="05BF2A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6A22C6"/>
    <w:multiLevelType w:val="multilevel"/>
    <w:tmpl w:val="076A22C6"/>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80D0CFB"/>
    <w:multiLevelType w:val="multilevel"/>
    <w:tmpl w:val="080D0CFB"/>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DC97DB7"/>
    <w:multiLevelType w:val="multilevel"/>
    <w:tmpl w:val="0DC97DB7"/>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DD8578C"/>
    <w:multiLevelType w:val="multilevel"/>
    <w:tmpl w:val="0DD8578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EC24C1F"/>
    <w:multiLevelType w:val="multilevel"/>
    <w:tmpl w:val="0EC24C1F"/>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939DD"/>
    <w:multiLevelType w:val="multilevel"/>
    <w:tmpl w:val="0EE939DD"/>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2D079A4"/>
    <w:multiLevelType w:val="multilevel"/>
    <w:tmpl w:val="12D079A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51215BB"/>
    <w:multiLevelType w:val="multilevel"/>
    <w:tmpl w:val="151215BB"/>
    <w:lvl w:ilvl="0">
      <w:start w:val="1"/>
      <w:numFmt w:val="decimal"/>
      <w:lvlText w:val="(%1)"/>
      <w:lvlJc w:val="left"/>
      <w:pPr>
        <w:ind w:left="435" w:hanging="4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15:restartNumberingAfterBreak="0">
    <w:nsid w:val="15906331"/>
    <w:multiLevelType w:val="multilevel"/>
    <w:tmpl w:val="1590633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835FC4C"/>
    <w:multiLevelType w:val="singleLevel"/>
    <w:tmpl w:val="1835FC4C"/>
    <w:lvl w:ilvl="0">
      <w:start w:val="1"/>
      <w:numFmt w:val="decimal"/>
      <w:suff w:val="space"/>
      <w:lvlText w:val="（%1）"/>
      <w:lvlJc w:val="left"/>
    </w:lvl>
  </w:abstractNum>
  <w:abstractNum w:abstractNumId="21"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8982D2E"/>
    <w:multiLevelType w:val="multilevel"/>
    <w:tmpl w:val="18982D2E"/>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A52FB9"/>
    <w:multiLevelType w:val="multilevel"/>
    <w:tmpl w:val="18A52FB9"/>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97545A2"/>
    <w:multiLevelType w:val="multilevel"/>
    <w:tmpl w:val="197545A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876789"/>
    <w:multiLevelType w:val="multilevel"/>
    <w:tmpl w:val="1A876789"/>
    <w:lvl w:ilvl="0">
      <w:start w:val="1"/>
      <w:numFmt w:val="decimal"/>
      <w:lvlText w:val="%1."/>
      <w:lvlJc w:val="left"/>
      <w:pPr>
        <w:ind w:left="420" w:hanging="420"/>
      </w:pPr>
      <w:rPr>
        <w:rFonts w:asciiTheme="minorEastAsia" w:eastAsiaTheme="minorEastAsia" w:hAnsiTheme="min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B0970AA"/>
    <w:multiLevelType w:val="multilevel"/>
    <w:tmpl w:val="1B0970A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15:restartNumberingAfterBreak="0">
    <w:nsid w:val="1BCF0D86"/>
    <w:multiLevelType w:val="multilevel"/>
    <w:tmpl w:val="1BCF0D86"/>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C0A5E4B"/>
    <w:multiLevelType w:val="multilevel"/>
    <w:tmpl w:val="1C0A5E4B"/>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1CEC30BF"/>
    <w:multiLevelType w:val="multilevel"/>
    <w:tmpl w:val="1CEC30B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1E235F8B"/>
    <w:multiLevelType w:val="multilevel"/>
    <w:tmpl w:val="2876A688"/>
    <w:lvl w:ilvl="0">
      <w:start w:val="1"/>
      <w:numFmt w:val="chineseCountingThousand"/>
      <w:pStyle w:val="1"/>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1F4131F6"/>
    <w:multiLevelType w:val="multilevel"/>
    <w:tmpl w:val="1F4131F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F6D425C"/>
    <w:multiLevelType w:val="multilevel"/>
    <w:tmpl w:val="1F6D425C"/>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7"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8" w15:restartNumberingAfterBreak="0">
    <w:nsid w:val="2052160B"/>
    <w:multiLevelType w:val="multilevel"/>
    <w:tmpl w:val="205216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17F3B1B"/>
    <w:multiLevelType w:val="multilevel"/>
    <w:tmpl w:val="217F3B1B"/>
    <w:lvl w:ilvl="0">
      <w:start w:val="1"/>
      <w:numFmt w:val="decimal"/>
      <w:lvlText w:val="(%1)."/>
      <w:lvlJc w:val="left"/>
      <w:pPr>
        <w:ind w:left="6095"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1A7388C"/>
    <w:multiLevelType w:val="multilevel"/>
    <w:tmpl w:val="21A7388C"/>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28F0FB9"/>
    <w:multiLevelType w:val="multilevel"/>
    <w:tmpl w:val="228F0FB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46C0E3A"/>
    <w:multiLevelType w:val="multilevel"/>
    <w:tmpl w:val="246C0E3A"/>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273131BF"/>
    <w:multiLevelType w:val="multilevel"/>
    <w:tmpl w:val="273131B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6" w15:restartNumberingAfterBreak="0">
    <w:nsid w:val="2ABA5091"/>
    <w:multiLevelType w:val="multilevel"/>
    <w:tmpl w:val="2ABA5091"/>
    <w:lvl w:ilvl="0">
      <w:start w:val="1"/>
      <w:numFmt w:val="japaneseCounting"/>
      <w:pStyle w:val="2CharCharChar"/>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2C6C7566"/>
    <w:multiLevelType w:val="multilevel"/>
    <w:tmpl w:val="2C6C7566"/>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DE55932"/>
    <w:multiLevelType w:val="multilevel"/>
    <w:tmpl w:val="2DE55932"/>
    <w:lvl w:ilvl="0">
      <w:start w:val="1"/>
      <w:numFmt w:val="chineseCountingThousand"/>
      <w:suff w:val="nothing"/>
      <w:lvlText w:val="%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2EE12A98"/>
    <w:multiLevelType w:val="multilevel"/>
    <w:tmpl w:val="2EE12A98"/>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304B6811"/>
    <w:multiLevelType w:val="multilevel"/>
    <w:tmpl w:val="304B6811"/>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4" w15:restartNumberingAfterBreak="0">
    <w:nsid w:val="30712312"/>
    <w:multiLevelType w:val="multilevel"/>
    <w:tmpl w:val="3071231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1042AC8"/>
    <w:multiLevelType w:val="multilevel"/>
    <w:tmpl w:val="31042AC8"/>
    <w:lvl w:ilvl="0">
      <w:start w:val="1"/>
      <w:numFmt w:val="chineseCountingThousand"/>
      <w:suff w:val="nothing"/>
      <w:lvlText w:val="%1、"/>
      <w:lvlJc w:val="left"/>
      <w:pPr>
        <w:ind w:left="420" w:hanging="420"/>
      </w:pPr>
      <w:rPr>
        <w:color w:val="auto"/>
      </w:rPr>
    </w:lvl>
    <w:lvl w:ilvl="1">
      <w:start w:val="1"/>
      <w:numFmt w:val="japaneseCounting"/>
      <w:lvlText w:val="%2、"/>
      <w:lvlJc w:val="left"/>
      <w:pPr>
        <w:ind w:left="2547"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6" w15:restartNumberingAfterBreak="0">
    <w:nsid w:val="322A2C22"/>
    <w:multiLevelType w:val="multilevel"/>
    <w:tmpl w:val="322A2C22"/>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26F7C0F"/>
    <w:multiLevelType w:val="multilevel"/>
    <w:tmpl w:val="326F7C0F"/>
    <w:lvl w:ilvl="0">
      <w:start w:val="1"/>
      <w:numFmt w:val="decimal"/>
      <w:suff w:val="nothing"/>
      <w:lvlText w:val="(%1)."/>
      <w:lvlJc w:val="left"/>
      <w:pPr>
        <w:ind w:left="420" w:hanging="420"/>
      </w:pPr>
      <w:rPr>
        <w:rFonts w:asciiTheme="minorEastAsia" w:eastAsia="宋体" w:hAnsiTheme="min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346B3069"/>
    <w:multiLevelType w:val="multilevel"/>
    <w:tmpl w:val="346B3069"/>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60" w15:restartNumberingAfterBreak="0">
    <w:nsid w:val="35204829"/>
    <w:multiLevelType w:val="multilevel"/>
    <w:tmpl w:val="3520482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3532009D"/>
    <w:multiLevelType w:val="multilevel"/>
    <w:tmpl w:val="3532009D"/>
    <w:lvl w:ilvl="0">
      <w:start w:val="2"/>
      <w:numFmt w:val="chineseCountingThousand"/>
      <w:suff w:val="nothing"/>
      <w:lvlText w:val="%1、"/>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3" w15:restartNumberingAfterBreak="0">
    <w:nsid w:val="37C3610E"/>
    <w:multiLevelType w:val="multilevel"/>
    <w:tmpl w:val="37C3610E"/>
    <w:lvl w:ilvl="0">
      <w:start w:val="1"/>
      <w:numFmt w:val="chineseCountingThousand"/>
      <w:lvlText w:val="%1、"/>
      <w:lvlJc w:val="left"/>
      <w:pPr>
        <w:ind w:left="704" w:hanging="42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391941CF"/>
    <w:multiLevelType w:val="multilevel"/>
    <w:tmpl w:val="391941CF"/>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65" w15:restartNumberingAfterBreak="0">
    <w:nsid w:val="3D2B6D0A"/>
    <w:multiLevelType w:val="multilevel"/>
    <w:tmpl w:val="3D2B6D0A"/>
    <w:lvl w:ilvl="0">
      <w:start w:val="1"/>
      <w:numFmt w:val="chineseCountingThousand"/>
      <w:suff w:val="space"/>
      <w:lvlText w:val="(%1)"/>
      <w:lvlJc w:val="left"/>
      <w:pPr>
        <w:ind w:left="420" w:hanging="420"/>
      </w:pPr>
      <w:rPr>
        <w:rFonts w:ascii="宋体" w:eastAsia="宋体" w:hAnsi="宋体"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3DC039A2"/>
    <w:multiLevelType w:val="multilevel"/>
    <w:tmpl w:val="3DC039A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3F1C5616"/>
    <w:multiLevelType w:val="multilevel"/>
    <w:tmpl w:val="3F1C5616"/>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3FAB46A5"/>
    <w:multiLevelType w:val="multilevel"/>
    <w:tmpl w:val="3FAB46A5"/>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1" w15:restartNumberingAfterBreak="0">
    <w:nsid w:val="401A73B0"/>
    <w:multiLevelType w:val="multilevel"/>
    <w:tmpl w:val="401A73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0973487"/>
    <w:multiLevelType w:val="multilevel"/>
    <w:tmpl w:val="4097348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3" w15:restartNumberingAfterBreak="0">
    <w:nsid w:val="42F33200"/>
    <w:multiLevelType w:val="multilevel"/>
    <w:tmpl w:val="42F33200"/>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44360F32"/>
    <w:multiLevelType w:val="multilevel"/>
    <w:tmpl w:val="44360F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340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452D24C2"/>
    <w:multiLevelType w:val="multilevel"/>
    <w:tmpl w:val="452D24C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5EE0604"/>
    <w:multiLevelType w:val="multilevel"/>
    <w:tmpl w:val="45EE0604"/>
    <w:lvl w:ilvl="0">
      <w:start w:val="1"/>
      <w:numFmt w:val="japaneseCounting"/>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463E0B3C"/>
    <w:multiLevelType w:val="multilevel"/>
    <w:tmpl w:val="463E0B3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46E20981"/>
    <w:multiLevelType w:val="multilevel"/>
    <w:tmpl w:val="46E209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47B412BD"/>
    <w:multiLevelType w:val="multilevel"/>
    <w:tmpl w:val="47B412B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15:restartNumberingAfterBreak="0">
    <w:nsid w:val="49C71EB0"/>
    <w:multiLevelType w:val="multilevel"/>
    <w:tmpl w:val="49C71E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A125FEF"/>
    <w:multiLevelType w:val="multilevel"/>
    <w:tmpl w:val="4A125FE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4AC23DB8"/>
    <w:multiLevelType w:val="multilevel"/>
    <w:tmpl w:val="4AC23DB8"/>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4ACD5C44"/>
    <w:multiLevelType w:val="multilevel"/>
    <w:tmpl w:val="4ACD5C4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4FF23454"/>
    <w:multiLevelType w:val="multilevel"/>
    <w:tmpl w:val="4FF2345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15:restartNumberingAfterBreak="0">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20C604D"/>
    <w:multiLevelType w:val="multilevel"/>
    <w:tmpl w:val="520C604D"/>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31A49E7"/>
    <w:multiLevelType w:val="multilevel"/>
    <w:tmpl w:val="531A49E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1"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59EF7C0F"/>
    <w:multiLevelType w:val="multilevel"/>
    <w:tmpl w:val="59EF7C0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5BDC5A30"/>
    <w:multiLevelType w:val="multilevel"/>
    <w:tmpl w:val="5BDC5A3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5CA85E2E"/>
    <w:multiLevelType w:val="multilevel"/>
    <w:tmpl w:val="5CA85E2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5CED316C"/>
    <w:multiLevelType w:val="multilevel"/>
    <w:tmpl w:val="5CED316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5D107713"/>
    <w:multiLevelType w:val="multilevel"/>
    <w:tmpl w:val="5D10771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5D9A1F7E"/>
    <w:multiLevelType w:val="multilevel"/>
    <w:tmpl w:val="5D9A1F7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1" w15:restartNumberingAfterBreak="0">
    <w:nsid w:val="5DB24638"/>
    <w:multiLevelType w:val="multilevel"/>
    <w:tmpl w:val="5DB2463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2" w15:restartNumberingAfterBreak="0">
    <w:nsid w:val="5DD2799E"/>
    <w:multiLevelType w:val="multilevel"/>
    <w:tmpl w:val="5DD2799E"/>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3" w15:restartNumberingAfterBreak="0">
    <w:nsid w:val="5DED1C0B"/>
    <w:multiLevelType w:val="multilevel"/>
    <w:tmpl w:val="5DED1C0B"/>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04" w15:restartNumberingAfterBreak="0">
    <w:nsid w:val="5F405219"/>
    <w:multiLevelType w:val="multilevel"/>
    <w:tmpl w:val="5F405219"/>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5" w15:restartNumberingAfterBreak="0">
    <w:nsid w:val="5F755A71"/>
    <w:multiLevelType w:val="multilevel"/>
    <w:tmpl w:val="5F755A71"/>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6" w15:restartNumberingAfterBreak="0">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3C5513C"/>
    <w:multiLevelType w:val="multilevel"/>
    <w:tmpl w:val="63C5513C"/>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8" w15:restartNumberingAfterBreak="0">
    <w:nsid w:val="650F40B7"/>
    <w:multiLevelType w:val="multilevel"/>
    <w:tmpl w:val="650F40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672E1A48"/>
    <w:multiLevelType w:val="multilevel"/>
    <w:tmpl w:val="672E1A4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69535DE9"/>
    <w:multiLevelType w:val="multilevel"/>
    <w:tmpl w:val="69535DE9"/>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69BA4BB7"/>
    <w:multiLevelType w:val="multilevel"/>
    <w:tmpl w:val="69BA4BB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B96254F"/>
    <w:multiLevelType w:val="multilevel"/>
    <w:tmpl w:val="6B96254F"/>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6E97785F"/>
    <w:multiLevelType w:val="multilevel"/>
    <w:tmpl w:val="6E97785F"/>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5" w15:restartNumberingAfterBreak="0">
    <w:nsid w:val="700C4404"/>
    <w:multiLevelType w:val="multilevel"/>
    <w:tmpl w:val="700C4404"/>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16" w15:restartNumberingAfterBreak="0">
    <w:nsid w:val="701D5786"/>
    <w:multiLevelType w:val="multilevel"/>
    <w:tmpl w:val="701D57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7" w15:restartNumberingAfterBreak="0">
    <w:nsid w:val="70A4034A"/>
    <w:multiLevelType w:val="multilevel"/>
    <w:tmpl w:val="70A4034A"/>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9" w15:restartNumberingAfterBreak="0">
    <w:nsid w:val="728231A6"/>
    <w:multiLevelType w:val="multilevel"/>
    <w:tmpl w:val="728231A6"/>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1" w15:restartNumberingAfterBreak="0">
    <w:nsid w:val="7405377B"/>
    <w:multiLevelType w:val="multilevel"/>
    <w:tmpl w:val="7405377B"/>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74163E19"/>
    <w:multiLevelType w:val="multilevel"/>
    <w:tmpl w:val="74163E19"/>
    <w:lvl w:ilvl="0">
      <w:start w:val="1"/>
      <w:numFmt w:val="decimal"/>
      <w:lvlText w:val="(%1)."/>
      <w:lvlJc w:val="left"/>
      <w:pPr>
        <w:ind w:left="420" w:hanging="420"/>
      </w:pPr>
      <w:rPr>
        <w:rFonts w:ascii="宋体" w:eastAsia="宋体" w:hAnsi="宋体"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15:restartNumberingAfterBreak="0">
    <w:nsid w:val="76DD5C82"/>
    <w:multiLevelType w:val="multilevel"/>
    <w:tmpl w:val="76DD5C8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7"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9" w15:restartNumberingAfterBreak="0">
    <w:nsid w:val="7A1266A0"/>
    <w:multiLevelType w:val="multilevel"/>
    <w:tmpl w:val="7A1266A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0" w15:restartNumberingAfterBreak="0">
    <w:nsid w:val="7A6140D4"/>
    <w:multiLevelType w:val="multilevel"/>
    <w:tmpl w:val="7A6140D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1"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15:restartNumberingAfterBreak="0">
    <w:nsid w:val="7D1B5BAE"/>
    <w:multiLevelType w:val="multilevel"/>
    <w:tmpl w:val="7D1B5BA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4" w15:restartNumberingAfterBreak="0">
    <w:nsid w:val="7DDF1B1D"/>
    <w:multiLevelType w:val="multilevel"/>
    <w:tmpl w:val="7DDF1B1D"/>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5"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6"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765468216">
    <w:abstractNumId w:val="46"/>
  </w:num>
  <w:num w:numId="2" w16cid:durableId="137184263">
    <w:abstractNumId w:val="63"/>
  </w:num>
  <w:num w:numId="3" w16cid:durableId="1309089404">
    <w:abstractNumId w:val="32"/>
  </w:num>
  <w:num w:numId="4" w16cid:durableId="1092166125">
    <w:abstractNumId w:val="4"/>
  </w:num>
  <w:num w:numId="5" w16cid:durableId="799228788">
    <w:abstractNumId w:val="43"/>
  </w:num>
  <w:num w:numId="6" w16cid:durableId="2091585730">
    <w:abstractNumId w:val="37"/>
  </w:num>
  <w:num w:numId="7" w16cid:durableId="1400664935">
    <w:abstractNumId w:val="88"/>
  </w:num>
  <w:num w:numId="8" w16cid:durableId="1196818509">
    <w:abstractNumId w:val="51"/>
  </w:num>
  <w:num w:numId="9" w16cid:durableId="1276139163">
    <w:abstractNumId w:val="65"/>
  </w:num>
  <w:num w:numId="10" w16cid:durableId="657075689">
    <w:abstractNumId w:val="56"/>
  </w:num>
  <w:num w:numId="11" w16cid:durableId="2000110536">
    <w:abstractNumId w:val="40"/>
  </w:num>
  <w:num w:numId="12" w16cid:durableId="257298620">
    <w:abstractNumId w:val="57"/>
  </w:num>
  <w:num w:numId="13" w16cid:durableId="1678075556">
    <w:abstractNumId w:val="31"/>
  </w:num>
  <w:num w:numId="14" w16cid:durableId="103429682">
    <w:abstractNumId w:val="119"/>
  </w:num>
  <w:num w:numId="15" w16cid:durableId="138696226">
    <w:abstractNumId w:val="24"/>
  </w:num>
  <w:num w:numId="16" w16cid:durableId="1692953900">
    <w:abstractNumId w:val="60"/>
  </w:num>
  <w:num w:numId="17" w16cid:durableId="110520184">
    <w:abstractNumId w:val="100"/>
  </w:num>
  <w:num w:numId="18" w16cid:durableId="990478057">
    <w:abstractNumId w:val="122"/>
  </w:num>
  <w:num w:numId="19" w16cid:durableId="676156743">
    <w:abstractNumId w:val="94"/>
  </w:num>
  <w:num w:numId="20" w16cid:durableId="1623924432">
    <w:abstractNumId w:val="69"/>
  </w:num>
  <w:num w:numId="21" w16cid:durableId="1707023730">
    <w:abstractNumId w:val="26"/>
  </w:num>
  <w:num w:numId="22" w16cid:durableId="1796675043">
    <w:abstractNumId w:val="78"/>
  </w:num>
  <w:num w:numId="23" w16cid:durableId="1526823650">
    <w:abstractNumId w:val="77"/>
  </w:num>
  <w:num w:numId="24" w16cid:durableId="883492251">
    <w:abstractNumId w:val="30"/>
  </w:num>
  <w:num w:numId="25" w16cid:durableId="1160385933">
    <w:abstractNumId w:val="23"/>
  </w:num>
  <w:num w:numId="26" w16cid:durableId="271330855">
    <w:abstractNumId w:val="45"/>
  </w:num>
  <w:num w:numId="27" w16cid:durableId="1017577854">
    <w:abstractNumId w:val="111"/>
  </w:num>
  <w:num w:numId="28" w16cid:durableId="332998496">
    <w:abstractNumId w:val="5"/>
  </w:num>
  <w:num w:numId="29" w16cid:durableId="1253707455">
    <w:abstractNumId w:val="130"/>
  </w:num>
  <w:num w:numId="30" w16cid:durableId="172231962">
    <w:abstractNumId w:val="9"/>
  </w:num>
  <w:num w:numId="31" w16cid:durableId="1677878120">
    <w:abstractNumId w:val="55"/>
  </w:num>
  <w:num w:numId="32" w16cid:durableId="779490095">
    <w:abstractNumId w:val="36"/>
  </w:num>
  <w:num w:numId="33" w16cid:durableId="272176222">
    <w:abstractNumId w:val="117"/>
  </w:num>
  <w:num w:numId="34" w16cid:durableId="835732638">
    <w:abstractNumId w:val="2"/>
  </w:num>
  <w:num w:numId="35" w16cid:durableId="1062564636">
    <w:abstractNumId w:val="76"/>
  </w:num>
  <w:num w:numId="36" w16cid:durableId="2044018872">
    <w:abstractNumId w:val="131"/>
  </w:num>
  <w:num w:numId="37" w16cid:durableId="1874924439">
    <w:abstractNumId w:val="91"/>
  </w:num>
  <w:num w:numId="38" w16cid:durableId="1791975524">
    <w:abstractNumId w:val="66"/>
  </w:num>
  <w:num w:numId="39" w16cid:durableId="225727036">
    <w:abstractNumId w:val="42"/>
  </w:num>
  <w:num w:numId="40" w16cid:durableId="1528447633">
    <w:abstractNumId w:val="83"/>
  </w:num>
  <w:num w:numId="41" w16cid:durableId="692537919">
    <w:abstractNumId w:val="82"/>
  </w:num>
  <w:num w:numId="42" w16cid:durableId="1134835879">
    <w:abstractNumId w:val="20"/>
  </w:num>
  <w:num w:numId="43" w16cid:durableId="871921221">
    <w:abstractNumId w:val="112"/>
  </w:num>
  <w:num w:numId="44" w16cid:durableId="921329462">
    <w:abstractNumId w:val="89"/>
  </w:num>
  <w:num w:numId="45" w16cid:durableId="142747363">
    <w:abstractNumId w:val="28"/>
  </w:num>
  <w:num w:numId="46" w16cid:durableId="1228420452">
    <w:abstractNumId w:val="118"/>
  </w:num>
  <w:num w:numId="47" w16cid:durableId="1085617233">
    <w:abstractNumId w:val="96"/>
  </w:num>
  <w:num w:numId="48" w16cid:durableId="1379163153">
    <w:abstractNumId w:val="41"/>
  </w:num>
  <w:num w:numId="49" w16cid:durableId="411506844">
    <w:abstractNumId w:val="18"/>
  </w:num>
  <w:num w:numId="50" w16cid:durableId="1709522724">
    <w:abstractNumId w:val="121"/>
  </w:num>
  <w:num w:numId="51" w16cid:durableId="1231967016">
    <w:abstractNumId w:val="33"/>
  </w:num>
  <w:num w:numId="52" w16cid:durableId="780102176">
    <w:abstractNumId w:val="75"/>
  </w:num>
  <w:num w:numId="53" w16cid:durableId="1915236529">
    <w:abstractNumId w:val="25"/>
  </w:num>
  <w:num w:numId="54" w16cid:durableId="2127651790">
    <w:abstractNumId w:val="12"/>
  </w:num>
  <w:num w:numId="55" w16cid:durableId="328752098">
    <w:abstractNumId w:val="10"/>
  </w:num>
  <w:num w:numId="56" w16cid:durableId="843516196">
    <w:abstractNumId w:val="19"/>
  </w:num>
  <w:num w:numId="57" w16cid:durableId="1350521104">
    <w:abstractNumId w:val="126"/>
  </w:num>
  <w:num w:numId="58" w16cid:durableId="1267737315">
    <w:abstractNumId w:val="62"/>
  </w:num>
  <w:num w:numId="59" w16cid:durableId="360014038">
    <w:abstractNumId w:val="73"/>
  </w:num>
  <w:num w:numId="60" w16cid:durableId="1319043614">
    <w:abstractNumId w:val="67"/>
  </w:num>
  <w:num w:numId="61" w16cid:durableId="1349019543">
    <w:abstractNumId w:val="1"/>
  </w:num>
  <w:num w:numId="62" w16cid:durableId="2076387569">
    <w:abstractNumId w:val="54"/>
  </w:num>
  <w:num w:numId="63" w16cid:durableId="1710495513">
    <w:abstractNumId w:val="39"/>
  </w:num>
  <w:num w:numId="64" w16cid:durableId="2094349944">
    <w:abstractNumId w:val="114"/>
  </w:num>
  <w:num w:numId="65" w16cid:durableId="774908832">
    <w:abstractNumId w:val="22"/>
  </w:num>
  <w:num w:numId="66" w16cid:durableId="1324623736">
    <w:abstractNumId w:val="35"/>
  </w:num>
  <w:num w:numId="67" w16cid:durableId="474185688">
    <w:abstractNumId w:val="52"/>
  </w:num>
  <w:num w:numId="68" w16cid:durableId="1767387479">
    <w:abstractNumId w:val="116"/>
  </w:num>
  <w:num w:numId="69" w16cid:durableId="160121252">
    <w:abstractNumId w:val="124"/>
  </w:num>
  <w:num w:numId="70" w16cid:durableId="1224566546">
    <w:abstractNumId w:val="97"/>
  </w:num>
  <w:num w:numId="71" w16cid:durableId="375934464">
    <w:abstractNumId w:val="21"/>
  </w:num>
  <w:num w:numId="72" w16cid:durableId="1738475348">
    <w:abstractNumId w:val="127"/>
  </w:num>
  <w:num w:numId="73" w16cid:durableId="1798452531">
    <w:abstractNumId w:val="107"/>
  </w:num>
  <w:num w:numId="74" w16cid:durableId="1345400507">
    <w:abstractNumId w:val="79"/>
  </w:num>
  <w:num w:numId="75" w16cid:durableId="1040744059">
    <w:abstractNumId w:val="53"/>
  </w:num>
  <w:num w:numId="76" w16cid:durableId="968819360">
    <w:abstractNumId w:val="71"/>
  </w:num>
  <w:num w:numId="77" w16cid:durableId="1841577996">
    <w:abstractNumId w:val="135"/>
  </w:num>
  <w:num w:numId="78" w16cid:durableId="1350330136">
    <w:abstractNumId w:val="136"/>
  </w:num>
  <w:num w:numId="79" w16cid:durableId="772479632">
    <w:abstractNumId w:val="44"/>
  </w:num>
  <w:num w:numId="80" w16cid:durableId="764307858">
    <w:abstractNumId w:val="104"/>
  </w:num>
  <w:num w:numId="81" w16cid:durableId="1174494173">
    <w:abstractNumId w:val="14"/>
  </w:num>
  <w:num w:numId="82" w16cid:durableId="1891531682">
    <w:abstractNumId w:val="80"/>
  </w:num>
  <w:num w:numId="83" w16cid:durableId="1483278870">
    <w:abstractNumId w:val="59"/>
  </w:num>
  <w:num w:numId="84" w16cid:durableId="1536113017">
    <w:abstractNumId w:val="103"/>
  </w:num>
  <w:num w:numId="85" w16cid:durableId="1122572862">
    <w:abstractNumId w:val="95"/>
  </w:num>
  <w:num w:numId="86" w16cid:durableId="842008526">
    <w:abstractNumId w:val="108"/>
  </w:num>
  <w:num w:numId="87" w16cid:durableId="1047290642">
    <w:abstractNumId w:val="38"/>
  </w:num>
  <w:num w:numId="88" w16cid:durableId="479661004">
    <w:abstractNumId w:val="81"/>
  </w:num>
  <w:num w:numId="89" w16cid:durableId="845481668">
    <w:abstractNumId w:val="74"/>
  </w:num>
  <w:num w:numId="90" w16cid:durableId="608397621">
    <w:abstractNumId w:val="128"/>
  </w:num>
  <w:num w:numId="91" w16cid:durableId="1786994548">
    <w:abstractNumId w:val="34"/>
  </w:num>
  <w:num w:numId="92" w16cid:durableId="732779639">
    <w:abstractNumId w:val="84"/>
  </w:num>
  <w:num w:numId="93" w16cid:durableId="137691518">
    <w:abstractNumId w:val="133"/>
  </w:num>
  <w:num w:numId="94" w16cid:durableId="1271276140">
    <w:abstractNumId w:val="47"/>
  </w:num>
  <w:num w:numId="95" w16cid:durableId="818612361">
    <w:abstractNumId w:val="132"/>
  </w:num>
  <w:num w:numId="96" w16cid:durableId="490828351">
    <w:abstractNumId w:val="99"/>
  </w:num>
  <w:num w:numId="97" w16cid:durableId="1864198598">
    <w:abstractNumId w:val="29"/>
  </w:num>
  <w:num w:numId="98" w16cid:durableId="392851602">
    <w:abstractNumId w:val="134"/>
  </w:num>
  <w:num w:numId="99" w16cid:durableId="1972861741">
    <w:abstractNumId w:val="15"/>
  </w:num>
  <w:num w:numId="100" w16cid:durableId="495999971">
    <w:abstractNumId w:val="115"/>
  </w:num>
  <w:num w:numId="101" w16cid:durableId="1442994604">
    <w:abstractNumId w:val="113"/>
  </w:num>
  <w:num w:numId="102" w16cid:durableId="120732715">
    <w:abstractNumId w:val="86"/>
  </w:num>
  <w:num w:numId="103" w16cid:durableId="659501110">
    <w:abstractNumId w:val="61"/>
  </w:num>
  <w:num w:numId="104" w16cid:durableId="438837529">
    <w:abstractNumId w:val="3"/>
  </w:num>
  <w:num w:numId="105" w16cid:durableId="1755975320">
    <w:abstractNumId w:val="7"/>
  </w:num>
  <w:num w:numId="106" w16cid:durableId="963996965">
    <w:abstractNumId w:val="8"/>
  </w:num>
  <w:num w:numId="107" w16cid:durableId="584801437">
    <w:abstractNumId w:val="125"/>
  </w:num>
  <w:num w:numId="108" w16cid:durableId="1528371493">
    <w:abstractNumId w:val="17"/>
  </w:num>
  <w:num w:numId="109" w16cid:durableId="184177022">
    <w:abstractNumId w:val="102"/>
  </w:num>
  <w:num w:numId="110" w16cid:durableId="867985770">
    <w:abstractNumId w:val="106"/>
  </w:num>
  <w:num w:numId="111" w16cid:durableId="796147802">
    <w:abstractNumId w:val="16"/>
  </w:num>
  <w:num w:numId="112" w16cid:durableId="291058029">
    <w:abstractNumId w:val="109"/>
  </w:num>
  <w:num w:numId="113" w16cid:durableId="243682307">
    <w:abstractNumId w:val="85"/>
  </w:num>
  <w:num w:numId="114" w16cid:durableId="650329275">
    <w:abstractNumId w:val="87"/>
  </w:num>
  <w:num w:numId="115" w16cid:durableId="1098982724">
    <w:abstractNumId w:val="120"/>
  </w:num>
  <w:num w:numId="116" w16cid:durableId="1135759959">
    <w:abstractNumId w:val="13"/>
  </w:num>
  <w:num w:numId="117" w16cid:durableId="2065134484">
    <w:abstractNumId w:val="49"/>
  </w:num>
  <w:num w:numId="118" w16cid:durableId="34349840">
    <w:abstractNumId w:val="98"/>
  </w:num>
  <w:num w:numId="119" w16cid:durableId="2084062350">
    <w:abstractNumId w:val="6"/>
  </w:num>
  <w:num w:numId="120" w16cid:durableId="1300039143">
    <w:abstractNumId w:val="58"/>
  </w:num>
  <w:num w:numId="121" w16cid:durableId="377821620">
    <w:abstractNumId w:val="11"/>
  </w:num>
  <w:num w:numId="122" w16cid:durableId="1203442755">
    <w:abstractNumId w:val="72"/>
  </w:num>
  <w:num w:numId="123" w16cid:durableId="1886596401">
    <w:abstractNumId w:val="90"/>
  </w:num>
  <w:num w:numId="124" w16cid:durableId="1973363772">
    <w:abstractNumId w:val="68"/>
  </w:num>
  <w:num w:numId="125" w16cid:durableId="158423592">
    <w:abstractNumId w:val="92"/>
  </w:num>
  <w:num w:numId="126" w16cid:durableId="272979926">
    <w:abstractNumId w:val="101"/>
  </w:num>
  <w:num w:numId="127" w16cid:durableId="1781803804">
    <w:abstractNumId w:val="48"/>
  </w:num>
  <w:num w:numId="128" w16cid:durableId="568853089">
    <w:abstractNumId w:val="93"/>
  </w:num>
  <w:num w:numId="129" w16cid:durableId="2121610066">
    <w:abstractNumId w:val="105"/>
  </w:num>
  <w:num w:numId="130" w16cid:durableId="1821455831">
    <w:abstractNumId w:val="27"/>
  </w:num>
  <w:num w:numId="131" w16cid:durableId="1484465064">
    <w:abstractNumId w:val="70"/>
  </w:num>
  <w:num w:numId="132" w16cid:durableId="1633747914">
    <w:abstractNumId w:val="0"/>
  </w:num>
  <w:num w:numId="133" w16cid:durableId="1693534735">
    <w:abstractNumId w:val="129"/>
  </w:num>
  <w:num w:numId="134" w16cid:durableId="218857401">
    <w:abstractNumId w:val="64"/>
  </w:num>
  <w:num w:numId="135" w16cid:durableId="1043747037">
    <w:abstractNumId w:val="110"/>
  </w:num>
  <w:num w:numId="136" w16cid:durableId="656036069">
    <w:abstractNumId w:val="123"/>
  </w:num>
  <w:num w:numId="137" w16cid:durableId="2115781505">
    <w:abstractNumId w:val="50"/>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attachedTemplate r:id="rId1"/>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UwYjZiYmZlZGI3OWYxZmIwYzVhMDlmMmUzNTFlNjIifQ=="/>
    <w:docVar w:name="Disclosure_Version" w:val="true"/>
  </w:docVars>
  <w:rsids>
    <w:rsidRoot w:val="00DD256F"/>
    <w:rsid w:val="000005A6"/>
    <w:rsid w:val="00000ADC"/>
    <w:rsid w:val="00000EE6"/>
    <w:rsid w:val="0000102D"/>
    <w:rsid w:val="00001263"/>
    <w:rsid w:val="00001469"/>
    <w:rsid w:val="000014FF"/>
    <w:rsid w:val="000018A3"/>
    <w:rsid w:val="000018FD"/>
    <w:rsid w:val="00001B33"/>
    <w:rsid w:val="00001E8C"/>
    <w:rsid w:val="0000230E"/>
    <w:rsid w:val="000028BC"/>
    <w:rsid w:val="0000290C"/>
    <w:rsid w:val="00002973"/>
    <w:rsid w:val="00002D77"/>
    <w:rsid w:val="000033A6"/>
    <w:rsid w:val="00003442"/>
    <w:rsid w:val="0000372D"/>
    <w:rsid w:val="00003C39"/>
    <w:rsid w:val="000048B5"/>
    <w:rsid w:val="00004A92"/>
    <w:rsid w:val="00004ADF"/>
    <w:rsid w:val="00004BD6"/>
    <w:rsid w:val="00004D9D"/>
    <w:rsid w:val="00004DB4"/>
    <w:rsid w:val="00004E58"/>
    <w:rsid w:val="00005071"/>
    <w:rsid w:val="00005409"/>
    <w:rsid w:val="0000568D"/>
    <w:rsid w:val="000061CF"/>
    <w:rsid w:val="000064FC"/>
    <w:rsid w:val="000069AE"/>
    <w:rsid w:val="00007207"/>
    <w:rsid w:val="000072B9"/>
    <w:rsid w:val="000076BF"/>
    <w:rsid w:val="00007BBD"/>
    <w:rsid w:val="00007E26"/>
    <w:rsid w:val="00010147"/>
    <w:rsid w:val="0001033D"/>
    <w:rsid w:val="0001046B"/>
    <w:rsid w:val="000104FC"/>
    <w:rsid w:val="000109C4"/>
    <w:rsid w:val="00010A47"/>
    <w:rsid w:val="00010B7F"/>
    <w:rsid w:val="00010E18"/>
    <w:rsid w:val="00011A25"/>
    <w:rsid w:val="000121BF"/>
    <w:rsid w:val="000122EE"/>
    <w:rsid w:val="00012AFC"/>
    <w:rsid w:val="00013056"/>
    <w:rsid w:val="000130AF"/>
    <w:rsid w:val="000136FC"/>
    <w:rsid w:val="000139E7"/>
    <w:rsid w:val="000139F3"/>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321"/>
    <w:rsid w:val="0001644E"/>
    <w:rsid w:val="00016B1C"/>
    <w:rsid w:val="00016D21"/>
    <w:rsid w:val="00016F6C"/>
    <w:rsid w:val="00016FD1"/>
    <w:rsid w:val="00017658"/>
    <w:rsid w:val="000176B6"/>
    <w:rsid w:val="00017D54"/>
    <w:rsid w:val="00020074"/>
    <w:rsid w:val="00020300"/>
    <w:rsid w:val="000203A5"/>
    <w:rsid w:val="00020728"/>
    <w:rsid w:val="00020766"/>
    <w:rsid w:val="00020C59"/>
    <w:rsid w:val="00020D46"/>
    <w:rsid w:val="00020DB9"/>
    <w:rsid w:val="00020F79"/>
    <w:rsid w:val="0002110B"/>
    <w:rsid w:val="00021213"/>
    <w:rsid w:val="00021700"/>
    <w:rsid w:val="00021782"/>
    <w:rsid w:val="000217BF"/>
    <w:rsid w:val="00021A0E"/>
    <w:rsid w:val="00021D0C"/>
    <w:rsid w:val="00022465"/>
    <w:rsid w:val="000224B7"/>
    <w:rsid w:val="000225C5"/>
    <w:rsid w:val="00022805"/>
    <w:rsid w:val="0002292A"/>
    <w:rsid w:val="00022A86"/>
    <w:rsid w:val="00022DDE"/>
    <w:rsid w:val="00022EDA"/>
    <w:rsid w:val="0002301E"/>
    <w:rsid w:val="000231BD"/>
    <w:rsid w:val="000231DC"/>
    <w:rsid w:val="00023BEB"/>
    <w:rsid w:val="00023C73"/>
    <w:rsid w:val="00024456"/>
    <w:rsid w:val="00024562"/>
    <w:rsid w:val="0002476D"/>
    <w:rsid w:val="00024820"/>
    <w:rsid w:val="00024BEF"/>
    <w:rsid w:val="00025255"/>
    <w:rsid w:val="00025A7B"/>
    <w:rsid w:val="00025DD8"/>
    <w:rsid w:val="00025E29"/>
    <w:rsid w:val="00025EAF"/>
    <w:rsid w:val="0002612F"/>
    <w:rsid w:val="000264F8"/>
    <w:rsid w:val="00026A17"/>
    <w:rsid w:val="000270DD"/>
    <w:rsid w:val="00027208"/>
    <w:rsid w:val="00027348"/>
    <w:rsid w:val="000275C9"/>
    <w:rsid w:val="000279AA"/>
    <w:rsid w:val="0003068A"/>
    <w:rsid w:val="00030D13"/>
    <w:rsid w:val="00030E88"/>
    <w:rsid w:val="0003164A"/>
    <w:rsid w:val="00031700"/>
    <w:rsid w:val="000317A1"/>
    <w:rsid w:val="000317CB"/>
    <w:rsid w:val="000317E9"/>
    <w:rsid w:val="0003186E"/>
    <w:rsid w:val="00031B72"/>
    <w:rsid w:val="0003201F"/>
    <w:rsid w:val="0003243D"/>
    <w:rsid w:val="00032450"/>
    <w:rsid w:val="0003260A"/>
    <w:rsid w:val="000326A4"/>
    <w:rsid w:val="00032BA9"/>
    <w:rsid w:val="000337A8"/>
    <w:rsid w:val="00033956"/>
    <w:rsid w:val="00033EBB"/>
    <w:rsid w:val="00034004"/>
    <w:rsid w:val="0003408C"/>
    <w:rsid w:val="000343F2"/>
    <w:rsid w:val="0003468B"/>
    <w:rsid w:val="000348E9"/>
    <w:rsid w:val="00034C0D"/>
    <w:rsid w:val="00035352"/>
    <w:rsid w:val="00035464"/>
    <w:rsid w:val="00035EB9"/>
    <w:rsid w:val="0003626E"/>
    <w:rsid w:val="00036357"/>
    <w:rsid w:val="00036813"/>
    <w:rsid w:val="000369A7"/>
    <w:rsid w:val="000369DC"/>
    <w:rsid w:val="00036C1D"/>
    <w:rsid w:val="00036CE0"/>
    <w:rsid w:val="00036EE1"/>
    <w:rsid w:val="0003717B"/>
    <w:rsid w:val="000379B9"/>
    <w:rsid w:val="00037DB8"/>
    <w:rsid w:val="000407A5"/>
    <w:rsid w:val="000408DA"/>
    <w:rsid w:val="00040E55"/>
    <w:rsid w:val="0004102B"/>
    <w:rsid w:val="000411AF"/>
    <w:rsid w:val="0004146D"/>
    <w:rsid w:val="00041525"/>
    <w:rsid w:val="00041800"/>
    <w:rsid w:val="0004198D"/>
    <w:rsid w:val="00041A01"/>
    <w:rsid w:val="00041AC3"/>
    <w:rsid w:val="00041D4C"/>
    <w:rsid w:val="00042574"/>
    <w:rsid w:val="0004259D"/>
    <w:rsid w:val="00042636"/>
    <w:rsid w:val="000429ED"/>
    <w:rsid w:val="00043335"/>
    <w:rsid w:val="000436FE"/>
    <w:rsid w:val="000438A3"/>
    <w:rsid w:val="00043C00"/>
    <w:rsid w:val="00043E96"/>
    <w:rsid w:val="00043EED"/>
    <w:rsid w:val="00043EEE"/>
    <w:rsid w:val="00043F41"/>
    <w:rsid w:val="00044368"/>
    <w:rsid w:val="000444AA"/>
    <w:rsid w:val="000444F4"/>
    <w:rsid w:val="00044579"/>
    <w:rsid w:val="000446C9"/>
    <w:rsid w:val="00044D1E"/>
    <w:rsid w:val="00044DDC"/>
    <w:rsid w:val="00044E3B"/>
    <w:rsid w:val="00044FE0"/>
    <w:rsid w:val="000451ED"/>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50004"/>
    <w:rsid w:val="000500C7"/>
    <w:rsid w:val="000500E7"/>
    <w:rsid w:val="000501EB"/>
    <w:rsid w:val="000501F1"/>
    <w:rsid w:val="00050236"/>
    <w:rsid w:val="00050420"/>
    <w:rsid w:val="0005074F"/>
    <w:rsid w:val="00050C12"/>
    <w:rsid w:val="00050DB9"/>
    <w:rsid w:val="000510E3"/>
    <w:rsid w:val="0005154F"/>
    <w:rsid w:val="000515B0"/>
    <w:rsid w:val="000517E2"/>
    <w:rsid w:val="00051BE5"/>
    <w:rsid w:val="00052B89"/>
    <w:rsid w:val="00052D38"/>
    <w:rsid w:val="000539E4"/>
    <w:rsid w:val="00053D1E"/>
    <w:rsid w:val="00053E2E"/>
    <w:rsid w:val="00053F3F"/>
    <w:rsid w:val="000543F4"/>
    <w:rsid w:val="00054612"/>
    <w:rsid w:val="00054860"/>
    <w:rsid w:val="0005486C"/>
    <w:rsid w:val="00054C31"/>
    <w:rsid w:val="00054D34"/>
    <w:rsid w:val="00055089"/>
    <w:rsid w:val="00055307"/>
    <w:rsid w:val="00055534"/>
    <w:rsid w:val="00055816"/>
    <w:rsid w:val="00055C3F"/>
    <w:rsid w:val="000561D7"/>
    <w:rsid w:val="000562C7"/>
    <w:rsid w:val="000569CC"/>
    <w:rsid w:val="00056AA5"/>
    <w:rsid w:val="00057032"/>
    <w:rsid w:val="000578C2"/>
    <w:rsid w:val="00057AD2"/>
    <w:rsid w:val="00057C64"/>
    <w:rsid w:val="0006013C"/>
    <w:rsid w:val="00060342"/>
    <w:rsid w:val="000604A6"/>
    <w:rsid w:val="0006066E"/>
    <w:rsid w:val="000609B1"/>
    <w:rsid w:val="00060C85"/>
    <w:rsid w:val="00061476"/>
    <w:rsid w:val="000615E2"/>
    <w:rsid w:val="00061838"/>
    <w:rsid w:val="00061B4A"/>
    <w:rsid w:val="00061B54"/>
    <w:rsid w:val="00061D3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04C"/>
    <w:rsid w:val="0006528F"/>
    <w:rsid w:val="00065914"/>
    <w:rsid w:val="00065B7B"/>
    <w:rsid w:val="00065D51"/>
    <w:rsid w:val="0006607C"/>
    <w:rsid w:val="0006623E"/>
    <w:rsid w:val="000665B9"/>
    <w:rsid w:val="00066688"/>
    <w:rsid w:val="00066B5B"/>
    <w:rsid w:val="00066C7F"/>
    <w:rsid w:val="00066F8C"/>
    <w:rsid w:val="0006720A"/>
    <w:rsid w:val="0006751E"/>
    <w:rsid w:val="0006798E"/>
    <w:rsid w:val="00067AEB"/>
    <w:rsid w:val="00067BBB"/>
    <w:rsid w:val="000700F7"/>
    <w:rsid w:val="00070203"/>
    <w:rsid w:val="00070247"/>
    <w:rsid w:val="000704EE"/>
    <w:rsid w:val="000706BB"/>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321"/>
    <w:rsid w:val="000735AF"/>
    <w:rsid w:val="00073BC2"/>
    <w:rsid w:val="00073DF0"/>
    <w:rsid w:val="000745DB"/>
    <w:rsid w:val="00074C4E"/>
    <w:rsid w:val="00075175"/>
    <w:rsid w:val="000751AF"/>
    <w:rsid w:val="00075C45"/>
    <w:rsid w:val="00075C48"/>
    <w:rsid w:val="00075E3A"/>
    <w:rsid w:val="00075E54"/>
    <w:rsid w:val="00075F13"/>
    <w:rsid w:val="00075F70"/>
    <w:rsid w:val="00076117"/>
    <w:rsid w:val="000764FD"/>
    <w:rsid w:val="00076669"/>
    <w:rsid w:val="00076703"/>
    <w:rsid w:val="0007679D"/>
    <w:rsid w:val="0007681F"/>
    <w:rsid w:val="00076ECB"/>
    <w:rsid w:val="00077397"/>
    <w:rsid w:val="000778E2"/>
    <w:rsid w:val="00077CD3"/>
    <w:rsid w:val="00077EF6"/>
    <w:rsid w:val="00080509"/>
    <w:rsid w:val="00080644"/>
    <w:rsid w:val="000808F7"/>
    <w:rsid w:val="0008095D"/>
    <w:rsid w:val="000809EA"/>
    <w:rsid w:val="00080A0F"/>
    <w:rsid w:val="00080B48"/>
    <w:rsid w:val="00080E49"/>
    <w:rsid w:val="0008140D"/>
    <w:rsid w:val="000816EB"/>
    <w:rsid w:val="00081B15"/>
    <w:rsid w:val="00081D4A"/>
    <w:rsid w:val="0008231D"/>
    <w:rsid w:val="00082700"/>
    <w:rsid w:val="00082898"/>
    <w:rsid w:val="00082A1A"/>
    <w:rsid w:val="000830E6"/>
    <w:rsid w:val="0008328D"/>
    <w:rsid w:val="0008332B"/>
    <w:rsid w:val="000837F0"/>
    <w:rsid w:val="000839C3"/>
    <w:rsid w:val="00083C0A"/>
    <w:rsid w:val="00083C1E"/>
    <w:rsid w:val="00084008"/>
    <w:rsid w:val="0008401C"/>
    <w:rsid w:val="000841ED"/>
    <w:rsid w:val="00084531"/>
    <w:rsid w:val="00084634"/>
    <w:rsid w:val="00084A03"/>
    <w:rsid w:val="00084E9F"/>
    <w:rsid w:val="0008591C"/>
    <w:rsid w:val="00085C6B"/>
    <w:rsid w:val="00085E0E"/>
    <w:rsid w:val="00085E9B"/>
    <w:rsid w:val="000860E9"/>
    <w:rsid w:val="000862AC"/>
    <w:rsid w:val="000866A2"/>
    <w:rsid w:val="0008678E"/>
    <w:rsid w:val="000868AD"/>
    <w:rsid w:val="00086AC5"/>
    <w:rsid w:val="000872AC"/>
    <w:rsid w:val="000877EF"/>
    <w:rsid w:val="000878F1"/>
    <w:rsid w:val="00087B6F"/>
    <w:rsid w:val="00087FC9"/>
    <w:rsid w:val="0009036A"/>
    <w:rsid w:val="00090454"/>
    <w:rsid w:val="0009062A"/>
    <w:rsid w:val="00090ADC"/>
    <w:rsid w:val="00090B0F"/>
    <w:rsid w:val="00090C35"/>
    <w:rsid w:val="00090D7E"/>
    <w:rsid w:val="00090EE0"/>
    <w:rsid w:val="000913B6"/>
    <w:rsid w:val="0009141B"/>
    <w:rsid w:val="000914B8"/>
    <w:rsid w:val="00091676"/>
    <w:rsid w:val="00091702"/>
    <w:rsid w:val="00091724"/>
    <w:rsid w:val="00091743"/>
    <w:rsid w:val="000918CD"/>
    <w:rsid w:val="00091930"/>
    <w:rsid w:val="000919CC"/>
    <w:rsid w:val="00091D03"/>
    <w:rsid w:val="0009268B"/>
    <w:rsid w:val="000927B1"/>
    <w:rsid w:val="00092823"/>
    <w:rsid w:val="000929AB"/>
    <w:rsid w:val="00092C1E"/>
    <w:rsid w:val="00092F5A"/>
    <w:rsid w:val="00092FCE"/>
    <w:rsid w:val="000930A1"/>
    <w:rsid w:val="0009325E"/>
    <w:rsid w:val="000932D6"/>
    <w:rsid w:val="000934F7"/>
    <w:rsid w:val="000938DF"/>
    <w:rsid w:val="00094040"/>
    <w:rsid w:val="0009494E"/>
    <w:rsid w:val="00094A37"/>
    <w:rsid w:val="00094A55"/>
    <w:rsid w:val="00094E33"/>
    <w:rsid w:val="00094FB5"/>
    <w:rsid w:val="00095136"/>
    <w:rsid w:val="000951D6"/>
    <w:rsid w:val="00095382"/>
    <w:rsid w:val="00095388"/>
    <w:rsid w:val="000955B9"/>
    <w:rsid w:val="00095A36"/>
    <w:rsid w:val="00095CD6"/>
    <w:rsid w:val="000960F5"/>
    <w:rsid w:val="00096746"/>
    <w:rsid w:val="000969CD"/>
    <w:rsid w:val="00096E12"/>
    <w:rsid w:val="00097097"/>
    <w:rsid w:val="000974B2"/>
    <w:rsid w:val="000975B1"/>
    <w:rsid w:val="00097610"/>
    <w:rsid w:val="000976C1"/>
    <w:rsid w:val="00097B67"/>
    <w:rsid w:val="00097C70"/>
    <w:rsid w:val="00097E3C"/>
    <w:rsid w:val="000A029B"/>
    <w:rsid w:val="000A044E"/>
    <w:rsid w:val="000A04A2"/>
    <w:rsid w:val="000A0989"/>
    <w:rsid w:val="000A0F9B"/>
    <w:rsid w:val="000A1026"/>
    <w:rsid w:val="000A1547"/>
    <w:rsid w:val="000A1589"/>
    <w:rsid w:val="000A199C"/>
    <w:rsid w:val="000A1CBE"/>
    <w:rsid w:val="000A1DCF"/>
    <w:rsid w:val="000A3645"/>
    <w:rsid w:val="000A36BE"/>
    <w:rsid w:val="000A4309"/>
    <w:rsid w:val="000A4AE5"/>
    <w:rsid w:val="000A4C9E"/>
    <w:rsid w:val="000A5126"/>
    <w:rsid w:val="000A5188"/>
    <w:rsid w:val="000A5A58"/>
    <w:rsid w:val="000A6410"/>
    <w:rsid w:val="000A67B6"/>
    <w:rsid w:val="000A6A70"/>
    <w:rsid w:val="000A6A95"/>
    <w:rsid w:val="000A6D3A"/>
    <w:rsid w:val="000A6E99"/>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B10"/>
    <w:rsid w:val="000B1CD7"/>
    <w:rsid w:val="000B1DB7"/>
    <w:rsid w:val="000B2333"/>
    <w:rsid w:val="000B23C8"/>
    <w:rsid w:val="000B28AE"/>
    <w:rsid w:val="000B28F3"/>
    <w:rsid w:val="000B31E0"/>
    <w:rsid w:val="000B3351"/>
    <w:rsid w:val="000B3557"/>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717E"/>
    <w:rsid w:val="000C003D"/>
    <w:rsid w:val="000C0519"/>
    <w:rsid w:val="000C0671"/>
    <w:rsid w:val="000C08D1"/>
    <w:rsid w:val="000C0D45"/>
    <w:rsid w:val="000C0D7B"/>
    <w:rsid w:val="000C131F"/>
    <w:rsid w:val="000C1CEC"/>
    <w:rsid w:val="000C1E2D"/>
    <w:rsid w:val="000C203B"/>
    <w:rsid w:val="000C2197"/>
    <w:rsid w:val="000C2258"/>
    <w:rsid w:val="000C2337"/>
    <w:rsid w:val="000C25F5"/>
    <w:rsid w:val="000C26F5"/>
    <w:rsid w:val="000C28F2"/>
    <w:rsid w:val="000C2C2E"/>
    <w:rsid w:val="000C2C7F"/>
    <w:rsid w:val="000C3232"/>
    <w:rsid w:val="000C34C1"/>
    <w:rsid w:val="000C37A8"/>
    <w:rsid w:val="000C3957"/>
    <w:rsid w:val="000C3A06"/>
    <w:rsid w:val="000C3D52"/>
    <w:rsid w:val="000C40B3"/>
    <w:rsid w:val="000C41FA"/>
    <w:rsid w:val="000C4768"/>
    <w:rsid w:val="000C4B1F"/>
    <w:rsid w:val="000C4C03"/>
    <w:rsid w:val="000C4DDC"/>
    <w:rsid w:val="000C5029"/>
    <w:rsid w:val="000C51AC"/>
    <w:rsid w:val="000C52A2"/>
    <w:rsid w:val="000C5A4D"/>
    <w:rsid w:val="000C5B58"/>
    <w:rsid w:val="000C5B78"/>
    <w:rsid w:val="000C5BCB"/>
    <w:rsid w:val="000C5F23"/>
    <w:rsid w:val="000C60FC"/>
    <w:rsid w:val="000C63C4"/>
    <w:rsid w:val="000C6560"/>
    <w:rsid w:val="000C6584"/>
    <w:rsid w:val="000C698C"/>
    <w:rsid w:val="000C6A05"/>
    <w:rsid w:val="000C6B26"/>
    <w:rsid w:val="000C6DAE"/>
    <w:rsid w:val="000C7371"/>
    <w:rsid w:val="000C73B9"/>
    <w:rsid w:val="000C74D4"/>
    <w:rsid w:val="000C7889"/>
    <w:rsid w:val="000C795F"/>
    <w:rsid w:val="000C7AA9"/>
    <w:rsid w:val="000C7ACF"/>
    <w:rsid w:val="000C7C71"/>
    <w:rsid w:val="000C7D9C"/>
    <w:rsid w:val="000C7DF8"/>
    <w:rsid w:val="000D0271"/>
    <w:rsid w:val="000D057C"/>
    <w:rsid w:val="000D0614"/>
    <w:rsid w:val="000D072A"/>
    <w:rsid w:val="000D0BE9"/>
    <w:rsid w:val="000D0E23"/>
    <w:rsid w:val="000D1028"/>
    <w:rsid w:val="000D136D"/>
    <w:rsid w:val="000D14E3"/>
    <w:rsid w:val="000D15CB"/>
    <w:rsid w:val="000D1BE4"/>
    <w:rsid w:val="000D1F3F"/>
    <w:rsid w:val="000D26CD"/>
    <w:rsid w:val="000D28CF"/>
    <w:rsid w:val="000D2B20"/>
    <w:rsid w:val="000D2C5E"/>
    <w:rsid w:val="000D2D1C"/>
    <w:rsid w:val="000D2E18"/>
    <w:rsid w:val="000D2F52"/>
    <w:rsid w:val="000D32D4"/>
    <w:rsid w:val="000D333A"/>
    <w:rsid w:val="000D397E"/>
    <w:rsid w:val="000D3B03"/>
    <w:rsid w:val="000D3B07"/>
    <w:rsid w:val="000D3BA8"/>
    <w:rsid w:val="000D3BE8"/>
    <w:rsid w:val="000D3DED"/>
    <w:rsid w:val="000D426A"/>
    <w:rsid w:val="000D4559"/>
    <w:rsid w:val="000D482D"/>
    <w:rsid w:val="000D49EB"/>
    <w:rsid w:val="000D4B51"/>
    <w:rsid w:val="000D4D41"/>
    <w:rsid w:val="000D4E12"/>
    <w:rsid w:val="000D50A0"/>
    <w:rsid w:val="000D5454"/>
    <w:rsid w:val="000D54D6"/>
    <w:rsid w:val="000D5A34"/>
    <w:rsid w:val="000D5C69"/>
    <w:rsid w:val="000D5D3B"/>
    <w:rsid w:val="000D5D86"/>
    <w:rsid w:val="000D5DC0"/>
    <w:rsid w:val="000D5F65"/>
    <w:rsid w:val="000D61FD"/>
    <w:rsid w:val="000D642E"/>
    <w:rsid w:val="000D6A9B"/>
    <w:rsid w:val="000D6BCB"/>
    <w:rsid w:val="000D6D8F"/>
    <w:rsid w:val="000D7213"/>
    <w:rsid w:val="000D7307"/>
    <w:rsid w:val="000D73A9"/>
    <w:rsid w:val="000D7562"/>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4CD"/>
    <w:rsid w:val="000E35F2"/>
    <w:rsid w:val="000E3BB8"/>
    <w:rsid w:val="000E3D2D"/>
    <w:rsid w:val="000E41A3"/>
    <w:rsid w:val="000E4352"/>
    <w:rsid w:val="000E4F17"/>
    <w:rsid w:val="000E5115"/>
    <w:rsid w:val="000E518E"/>
    <w:rsid w:val="000E51C0"/>
    <w:rsid w:val="000E5535"/>
    <w:rsid w:val="000E567C"/>
    <w:rsid w:val="000E56D0"/>
    <w:rsid w:val="000E5B46"/>
    <w:rsid w:val="000E5E83"/>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1E8D"/>
    <w:rsid w:val="000F2055"/>
    <w:rsid w:val="000F2990"/>
    <w:rsid w:val="000F2A73"/>
    <w:rsid w:val="000F2D5F"/>
    <w:rsid w:val="000F2EC9"/>
    <w:rsid w:val="000F3016"/>
    <w:rsid w:val="000F3044"/>
    <w:rsid w:val="000F3234"/>
    <w:rsid w:val="000F3D3A"/>
    <w:rsid w:val="000F4214"/>
    <w:rsid w:val="000F42F3"/>
    <w:rsid w:val="000F438A"/>
    <w:rsid w:val="000F460F"/>
    <w:rsid w:val="000F49E8"/>
    <w:rsid w:val="000F4C78"/>
    <w:rsid w:val="000F509F"/>
    <w:rsid w:val="000F52DA"/>
    <w:rsid w:val="000F538D"/>
    <w:rsid w:val="000F59FB"/>
    <w:rsid w:val="000F5CF4"/>
    <w:rsid w:val="000F5E14"/>
    <w:rsid w:val="000F6058"/>
    <w:rsid w:val="000F64A6"/>
    <w:rsid w:val="000F64F1"/>
    <w:rsid w:val="000F68A0"/>
    <w:rsid w:val="000F6B1C"/>
    <w:rsid w:val="000F6E38"/>
    <w:rsid w:val="000F6E4A"/>
    <w:rsid w:val="000F6EE3"/>
    <w:rsid w:val="000F7633"/>
    <w:rsid w:val="000F78CA"/>
    <w:rsid w:val="000F7B56"/>
    <w:rsid w:val="000F7CB8"/>
    <w:rsid w:val="000F7D3C"/>
    <w:rsid w:val="00100112"/>
    <w:rsid w:val="0010063A"/>
    <w:rsid w:val="001007FD"/>
    <w:rsid w:val="0010083C"/>
    <w:rsid w:val="00100920"/>
    <w:rsid w:val="00100B25"/>
    <w:rsid w:val="00100F27"/>
    <w:rsid w:val="00100FB2"/>
    <w:rsid w:val="0010120F"/>
    <w:rsid w:val="00101376"/>
    <w:rsid w:val="0010143B"/>
    <w:rsid w:val="00101B38"/>
    <w:rsid w:val="00102082"/>
    <w:rsid w:val="001022D3"/>
    <w:rsid w:val="0010234E"/>
    <w:rsid w:val="001024C5"/>
    <w:rsid w:val="001026CF"/>
    <w:rsid w:val="0010288F"/>
    <w:rsid w:val="001033B1"/>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558"/>
    <w:rsid w:val="001056C5"/>
    <w:rsid w:val="001057CF"/>
    <w:rsid w:val="00105921"/>
    <w:rsid w:val="001059DB"/>
    <w:rsid w:val="00105F72"/>
    <w:rsid w:val="001060C7"/>
    <w:rsid w:val="001061C5"/>
    <w:rsid w:val="00106820"/>
    <w:rsid w:val="001068B7"/>
    <w:rsid w:val="00106B06"/>
    <w:rsid w:val="00106F25"/>
    <w:rsid w:val="00107495"/>
    <w:rsid w:val="00107599"/>
    <w:rsid w:val="00107847"/>
    <w:rsid w:val="00107A8E"/>
    <w:rsid w:val="0011023E"/>
    <w:rsid w:val="0011068F"/>
    <w:rsid w:val="00110717"/>
    <w:rsid w:val="00110C81"/>
    <w:rsid w:val="00110D00"/>
    <w:rsid w:val="00110DBF"/>
    <w:rsid w:val="00110FBE"/>
    <w:rsid w:val="00111688"/>
    <w:rsid w:val="001116D4"/>
    <w:rsid w:val="00111BAC"/>
    <w:rsid w:val="00111D4E"/>
    <w:rsid w:val="00111E23"/>
    <w:rsid w:val="00111FA8"/>
    <w:rsid w:val="00112245"/>
    <w:rsid w:val="0011232C"/>
    <w:rsid w:val="001126AB"/>
    <w:rsid w:val="001127CC"/>
    <w:rsid w:val="0011287C"/>
    <w:rsid w:val="00112F8F"/>
    <w:rsid w:val="001133FC"/>
    <w:rsid w:val="001134A1"/>
    <w:rsid w:val="00113552"/>
    <w:rsid w:val="00113582"/>
    <w:rsid w:val="00113781"/>
    <w:rsid w:val="001137A6"/>
    <w:rsid w:val="001139E6"/>
    <w:rsid w:val="0011403A"/>
    <w:rsid w:val="00114189"/>
    <w:rsid w:val="001146AD"/>
    <w:rsid w:val="00114B0A"/>
    <w:rsid w:val="00114C57"/>
    <w:rsid w:val="00114F3A"/>
    <w:rsid w:val="001152B8"/>
    <w:rsid w:val="0011557E"/>
    <w:rsid w:val="00115730"/>
    <w:rsid w:val="0011587B"/>
    <w:rsid w:val="00116051"/>
    <w:rsid w:val="00116177"/>
    <w:rsid w:val="0011652E"/>
    <w:rsid w:val="001165AE"/>
    <w:rsid w:val="001165D8"/>
    <w:rsid w:val="00116797"/>
    <w:rsid w:val="001167C6"/>
    <w:rsid w:val="001167C8"/>
    <w:rsid w:val="001169CC"/>
    <w:rsid w:val="00116AAC"/>
    <w:rsid w:val="00116B3D"/>
    <w:rsid w:val="00116B75"/>
    <w:rsid w:val="00116D81"/>
    <w:rsid w:val="001173A8"/>
    <w:rsid w:val="00117404"/>
    <w:rsid w:val="00117A0C"/>
    <w:rsid w:val="0012016D"/>
    <w:rsid w:val="001203D4"/>
    <w:rsid w:val="0012063F"/>
    <w:rsid w:val="0012081A"/>
    <w:rsid w:val="00120A6A"/>
    <w:rsid w:val="00120A86"/>
    <w:rsid w:val="00120AB1"/>
    <w:rsid w:val="0012158F"/>
    <w:rsid w:val="001219BD"/>
    <w:rsid w:val="00121C16"/>
    <w:rsid w:val="00121CFD"/>
    <w:rsid w:val="00121D25"/>
    <w:rsid w:val="0012227A"/>
    <w:rsid w:val="00122BA4"/>
    <w:rsid w:val="001230A0"/>
    <w:rsid w:val="001230F3"/>
    <w:rsid w:val="001231A5"/>
    <w:rsid w:val="001234DF"/>
    <w:rsid w:val="0012352F"/>
    <w:rsid w:val="001235D7"/>
    <w:rsid w:val="001237AE"/>
    <w:rsid w:val="00123F0A"/>
    <w:rsid w:val="00124417"/>
    <w:rsid w:val="00124505"/>
    <w:rsid w:val="001245FB"/>
    <w:rsid w:val="00124A3D"/>
    <w:rsid w:val="00124ECB"/>
    <w:rsid w:val="00125135"/>
    <w:rsid w:val="001251D6"/>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E76"/>
    <w:rsid w:val="001303F8"/>
    <w:rsid w:val="001304AD"/>
    <w:rsid w:val="00130697"/>
    <w:rsid w:val="00130D68"/>
    <w:rsid w:val="00130D6C"/>
    <w:rsid w:val="00130DE5"/>
    <w:rsid w:val="0013119E"/>
    <w:rsid w:val="00131419"/>
    <w:rsid w:val="001316FC"/>
    <w:rsid w:val="00131DF3"/>
    <w:rsid w:val="00131E94"/>
    <w:rsid w:val="00131F16"/>
    <w:rsid w:val="00131FEF"/>
    <w:rsid w:val="0013204C"/>
    <w:rsid w:val="0013206D"/>
    <w:rsid w:val="0013237B"/>
    <w:rsid w:val="00132615"/>
    <w:rsid w:val="00132A09"/>
    <w:rsid w:val="00132A1B"/>
    <w:rsid w:val="00132BB9"/>
    <w:rsid w:val="0013309F"/>
    <w:rsid w:val="00133139"/>
    <w:rsid w:val="001332D2"/>
    <w:rsid w:val="001336FC"/>
    <w:rsid w:val="0013379B"/>
    <w:rsid w:val="00133BDB"/>
    <w:rsid w:val="00133E33"/>
    <w:rsid w:val="00134470"/>
    <w:rsid w:val="001344FE"/>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9D"/>
    <w:rsid w:val="00136BB8"/>
    <w:rsid w:val="00136E91"/>
    <w:rsid w:val="001372F3"/>
    <w:rsid w:val="001374C9"/>
    <w:rsid w:val="0013753A"/>
    <w:rsid w:val="00137861"/>
    <w:rsid w:val="0013796C"/>
    <w:rsid w:val="00137C75"/>
    <w:rsid w:val="001406FF"/>
    <w:rsid w:val="0014081B"/>
    <w:rsid w:val="0014083C"/>
    <w:rsid w:val="00140BD7"/>
    <w:rsid w:val="00140D9B"/>
    <w:rsid w:val="00140E08"/>
    <w:rsid w:val="00141331"/>
    <w:rsid w:val="0014141E"/>
    <w:rsid w:val="00141AC9"/>
    <w:rsid w:val="00141BE5"/>
    <w:rsid w:val="00141DD8"/>
    <w:rsid w:val="00141E8A"/>
    <w:rsid w:val="00142014"/>
    <w:rsid w:val="001420C3"/>
    <w:rsid w:val="0014231A"/>
    <w:rsid w:val="001423FD"/>
    <w:rsid w:val="001426C5"/>
    <w:rsid w:val="00142BB4"/>
    <w:rsid w:val="00142C4B"/>
    <w:rsid w:val="00142E7D"/>
    <w:rsid w:val="00142E8B"/>
    <w:rsid w:val="00143309"/>
    <w:rsid w:val="0014344C"/>
    <w:rsid w:val="00143975"/>
    <w:rsid w:val="001439FD"/>
    <w:rsid w:val="00143C01"/>
    <w:rsid w:val="00143D08"/>
    <w:rsid w:val="00143F15"/>
    <w:rsid w:val="00143F1C"/>
    <w:rsid w:val="00143F50"/>
    <w:rsid w:val="00143F60"/>
    <w:rsid w:val="00143FDE"/>
    <w:rsid w:val="001444F7"/>
    <w:rsid w:val="00144592"/>
    <w:rsid w:val="001445D9"/>
    <w:rsid w:val="0014483D"/>
    <w:rsid w:val="00144B78"/>
    <w:rsid w:val="00144BF1"/>
    <w:rsid w:val="00144F9C"/>
    <w:rsid w:val="0014520A"/>
    <w:rsid w:val="001452DC"/>
    <w:rsid w:val="001453DD"/>
    <w:rsid w:val="00145561"/>
    <w:rsid w:val="0014558A"/>
    <w:rsid w:val="001455E9"/>
    <w:rsid w:val="0014596A"/>
    <w:rsid w:val="00145CC9"/>
    <w:rsid w:val="00145CD4"/>
    <w:rsid w:val="00146136"/>
    <w:rsid w:val="001464BB"/>
    <w:rsid w:val="00146ADC"/>
    <w:rsid w:val="00146D46"/>
    <w:rsid w:val="00146FA2"/>
    <w:rsid w:val="00147584"/>
    <w:rsid w:val="00147900"/>
    <w:rsid w:val="001479ED"/>
    <w:rsid w:val="00147BFC"/>
    <w:rsid w:val="00147DB1"/>
    <w:rsid w:val="00147DCD"/>
    <w:rsid w:val="00147E48"/>
    <w:rsid w:val="00150856"/>
    <w:rsid w:val="001508C9"/>
    <w:rsid w:val="00150E78"/>
    <w:rsid w:val="001511B5"/>
    <w:rsid w:val="001511CE"/>
    <w:rsid w:val="0015156E"/>
    <w:rsid w:val="0015159B"/>
    <w:rsid w:val="001516EE"/>
    <w:rsid w:val="00151AC8"/>
    <w:rsid w:val="00151B6C"/>
    <w:rsid w:val="00151BA1"/>
    <w:rsid w:val="00151EEF"/>
    <w:rsid w:val="0015257A"/>
    <w:rsid w:val="00152A69"/>
    <w:rsid w:val="00152E71"/>
    <w:rsid w:val="00152FE0"/>
    <w:rsid w:val="001531AD"/>
    <w:rsid w:val="001536D8"/>
    <w:rsid w:val="001538B4"/>
    <w:rsid w:val="00153F4B"/>
    <w:rsid w:val="001541EB"/>
    <w:rsid w:val="0015428A"/>
    <w:rsid w:val="001543D4"/>
    <w:rsid w:val="0015445C"/>
    <w:rsid w:val="0015450F"/>
    <w:rsid w:val="00154B6D"/>
    <w:rsid w:val="00154E72"/>
    <w:rsid w:val="00154E9A"/>
    <w:rsid w:val="0015523D"/>
    <w:rsid w:val="00155633"/>
    <w:rsid w:val="00155FB6"/>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D6A"/>
    <w:rsid w:val="00160D8E"/>
    <w:rsid w:val="00160E8C"/>
    <w:rsid w:val="00160FCE"/>
    <w:rsid w:val="001614D4"/>
    <w:rsid w:val="001615D8"/>
    <w:rsid w:val="00161603"/>
    <w:rsid w:val="00161A39"/>
    <w:rsid w:val="00161B38"/>
    <w:rsid w:val="00161BBB"/>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402E"/>
    <w:rsid w:val="0016426E"/>
    <w:rsid w:val="00164701"/>
    <w:rsid w:val="00165EAD"/>
    <w:rsid w:val="00165FED"/>
    <w:rsid w:val="0016620E"/>
    <w:rsid w:val="00166216"/>
    <w:rsid w:val="001662C0"/>
    <w:rsid w:val="001664D3"/>
    <w:rsid w:val="0016667B"/>
    <w:rsid w:val="00166753"/>
    <w:rsid w:val="001667A9"/>
    <w:rsid w:val="00166A4D"/>
    <w:rsid w:val="00166E16"/>
    <w:rsid w:val="00167185"/>
    <w:rsid w:val="0016766F"/>
    <w:rsid w:val="00167739"/>
    <w:rsid w:val="001677D2"/>
    <w:rsid w:val="00167B7A"/>
    <w:rsid w:val="00167E1C"/>
    <w:rsid w:val="00170327"/>
    <w:rsid w:val="00170450"/>
    <w:rsid w:val="00170650"/>
    <w:rsid w:val="0017134C"/>
    <w:rsid w:val="0017157D"/>
    <w:rsid w:val="001715BD"/>
    <w:rsid w:val="00171B16"/>
    <w:rsid w:val="001721E1"/>
    <w:rsid w:val="00172229"/>
    <w:rsid w:val="001729CE"/>
    <w:rsid w:val="00172A2E"/>
    <w:rsid w:val="00172B99"/>
    <w:rsid w:val="00172D67"/>
    <w:rsid w:val="00172E95"/>
    <w:rsid w:val="00173329"/>
    <w:rsid w:val="00173821"/>
    <w:rsid w:val="00174BD5"/>
    <w:rsid w:val="00174CC1"/>
    <w:rsid w:val="00174E30"/>
    <w:rsid w:val="00175145"/>
    <w:rsid w:val="0017520D"/>
    <w:rsid w:val="00175426"/>
    <w:rsid w:val="001754A4"/>
    <w:rsid w:val="00175D8D"/>
    <w:rsid w:val="00175EDA"/>
    <w:rsid w:val="00176294"/>
    <w:rsid w:val="00176395"/>
    <w:rsid w:val="001765BE"/>
    <w:rsid w:val="001766B3"/>
    <w:rsid w:val="001767C6"/>
    <w:rsid w:val="00176886"/>
    <w:rsid w:val="0017692B"/>
    <w:rsid w:val="00176C58"/>
    <w:rsid w:val="00176E6E"/>
    <w:rsid w:val="00176E78"/>
    <w:rsid w:val="0017711F"/>
    <w:rsid w:val="00177D11"/>
    <w:rsid w:val="0018015B"/>
    <w:rsid w:val="00180C95"/>
    <w:rsid w:val="00180D07"/>
    <w:rsid w:val="00180E29"/>
    <w:rsid w:val="0018108B"/>
    <w:rsid w:val="001810B9"/>
    <w:rsid w:val="001811A0"/>
    <w:rsid w:val="001815B8"/>
    <w:rsid w:val="001815FB"/>
    <w:rsid w:val="001816A6"/>
    <w:rsid w:val="001819BE"/>
    <w:rsid w:val="00181DBE"/>
    <w:rsid w:val="0018228D"/>
    <w:rsid w:val="00182367"/>
    <w:rsid w:val="001825FF"/>
    <w:rsid w:val="001826DB"/>
    <w:rsid w:val="0018280C"/>
    <w:rsid w:val="00182BAC"/>
    <w:rsid w:val="00182CAE"/>
    <w:rsid w:val="00182E37"/>
    <w:rsid w:val="0018313C"/>
    <w:rsid w:val="00183957"/>
    <w:rsid w:val="00183BDB"/>
    <w:rsid w:val="001840A2"/>
    <w:rsid w:val="0018413C"/>
    <w:rsid w:val="0018414D"/>
    <w:rsid w:val="001844E5"/>
    <w:rsid w:val="00184530"/>
    <w:rsid w:val="001847E6"/>
    <w:rsid w:val="001849F6"/>
    <w:rsid w:val="0018505C"/>
    <w:rsid w:val="00185085"/>
    <w:rsid w:val="001851BD"/>
    <w:rsid w:val="0018565E"/>
    <w:rsid w:val="00185AF8"/>
    <w:rsid w:val="00185C38"/>
    <w:rsid w:val="00185CE4"/>
    <w:rsid w:val="00185D0E"/>
    <w:rsid w:val="00186113"/>
    <w:rsid w:val="00186249"/>
    <w:rsid w:val="0018696A"/>
    <w:rsid w:val="00186A2D"/>
    <w:rsid w:val="00186C23"/>
    <w:rsid w:val="00186F1C"/>
    <w:rsid w:val="00186FCC"/>
    <w:rsid w:val="001870E6"/>
    <w:rsid w:val="001870ED"/>
    <w:rsid w:val="00187858"/>
    <w:rsid w:val="00187892"/>
    <w:rsid w:val="001878D9"/>
    <w:rsid w:val="00187B32"/>
    <w:rsid w:val="00187B4D"/>
    <w:rsid w:val="00187F67"/>
    <w:rsid w:val="0019008D"/>
    <w:rsid w:val="0019022B"/>
    <w:rsid w:val="0019037D"/>
    <w:rsid w:val="0019044D"/>
    <w:rsid w:val="001911CE"/>
    <w:rsid w:val="0019126B"/>
    <w:rsid w:val="00191483"/>
    <w:rsid w:val="0019155A"/>
    <w:rsid w:val="00191C4F"/>
    <w:rsid w:val="00191C9E"/>
    <w:rsid w:val="00191F3A"/>
    <w:rsid w:val="001921F0"/>
    <w:rsid w:val="00192350"/>
    <w:rsid w:val="001924F6"/>
    <w:rsid w:val="001925CE"/>
    <w:rsid w:val="00192896"/>
    <w:rsid w:val="00192CCC"/>
    <w:rsid w:val="00193278"/>
    <w:rsid w:val="00193417"/>
    <w:rsid w:val="00193479"/>
    <w:rsid w:val="0019388E"/>
    <w:rsid w:val="00193C5E"/>
    <w:rsid w:val="00193EA6"/>
    <w:rsid w:val="0019433F"/>
    <w:rsid w:val="00194836"/>
    <w:rsid w:val="00194CA1"/>
    <w:rsid w:val="00194F95"/>
    <w:rsid w:val="00195201"/>
    <w:rsid w:val="0019530E"/>
    <w:rsid w:val="00195857"/>
    <w:rsid w:val="00195A1C"/>
    <w:rsid w:val="00195DE7"/>
    <w:rsid w:val="00195DFE"/>
    <w:rsid w:val="00195EF9"/>
    <w:rsid w:val="00196123"/>
    <w:rsid w:val="001963C9"/>
    <w:rsid w:val="00196771"/>
    <w:rsid w:val="00196DF1"/>
    <w:rsid w:val="00196E4C"/>
    <w:rsid w:val="00196F3D"/>
    <w:rsid w:val="0019711B"/>
    <w:rsid w:val="00197401"/>
    <w:rsid w:val="001976BC"/>
    <w:rsid w:val="0019788A"/>
    <w:rsid w:val="0019799A"/>
    <w:rsid w:val="00197C0F"/>
    <w:rsid w:val="00197F36"/>
    <w:rsid w:val="00197F8E"/>
    <w:rsid w:val="001A02FE"/>
    <w:rsid w:val="001A0769"/>
    <w:rsid w:val="001A0BFC"/>
    <w:rsid w:val="001A0C72"/>
    <w:rsid w:val="001A0F7A"/>
    <w:rsid w:val="001A105E"/>
    <w:rsid w:val="001A116E"/>
    <w:rsid w:val="001A13CA"/>
    <w:rsid w:val="001A1A11"/>
    <w:rsid w:val="001A2056"/>
    <w:rsid w:val="001A2326"/>
    <w:rsid w:val="001A25C7"/>
    <w:rsid w:val="001A26F2"/>
    <w:rsid w:val="001A27A6"/>
    <w:rsid w:val="001A2A9D"/>
    <w:rsid w:val="001A2AD1"/>
    <w:rsid w:val="001A2E5C"/>
    <w:rsid w:val="001A3215"/>
    <w:rsid w:val="001A3375"/>
    <w:rsid w:val="001A33B9"/>
    <w:rsid w:val="001A35C2"/>
    <w:rsid w:val="001A3637"/>
    <w:rsid w:val="001A37C6"/>
    <w:rsid w:val="001A3B7D"/>
    <w:rsid w:val="001A3C77"/>
    <w:rsid w:val="001A409E"/>
    <w:rsid w:val="001A4780"/>
    <w:rsid w:val="001A48CD"/>
    <w:rsid w:val="001A4ACD"/>
    <w:rsid w:val="001A4B57"/>
    <w:rsid w:val="001A592A"/>
    <w:rsid w:val="001A5BDA"/>
    <w:rsid w:val="001A5C8D"/>
    <w:rsid w:val="001A6136"/>
    <w:rsid w:val="001A6342"/>
    <w:rsid w:val="001A64AD"/>
    <w:rsid w:val="001A652B"/>
    <w:rsid w:val="001A657D"/>
    <w:rsid w:val="001A681A"/>
    <w:rsid w:val="001A713F"/>
    <w:rsid w:val="001A71CB"/>
    <w:rsid w:val="001A7384"/>
    <w:rsid w:val="001A788E"/>
    <w:rsid w:val="001A7B13"/>
    <w:rsid w:val="001A7E12"/>
    <w:rsid w:val="001A7F1C"/>
    <w:rsid w:val="001B0143"/>
    <w:rsid w:val="001B03DD"/>
    <w:rsid w:val="001B0472"/>
    <w:rsid w:val="001B07BD"/>
    <w:rsid w:val="001B0873"/>
    <w:rsid w:val="001B0B8E"/>
    <w:rsid w:val="001B102B"/>
    <w:rsid w:val="001B1100"/>
    <w:rsid w:val="001B11CD"/>
    <w:rsid w:val="001B1B4D"/>
    <w:rsid w:val="001B1BE8"/>
    <w:rsid w:val="001B1D8E"/>
    <w:rsid w:val="001B1F4A"/>
    <w:rsid w:val="001B20B4"/>
    <w:rsid w:val="001B21B7"/>
    <w:rsid w:val="001B25DC"/>
    <w:rsid w:val="001B2678"/>
    <w:rsid w:val="001B2A6E"/>
    <w:rsid w:val="001B30D5"/>
    <w:rsid w:val="001B33FA"/>
    <w:rsid w:val="001B40F8"/>
    <w:rsid w:val="001B4C87"/>
    <w:rsid w:val="001B5010"/>
    <w:rsid w:val="001B55DF"/>
    <w:rsid w:val="001B5903"/>
    <w:rsid w:val="001B592F"/>
    <w:rsid w:val="001B5AA9"/>
    <w:rsid w:val="001B5EAC"/>
    <w:rsid w:val="001B616C"/>
    <w:rsid w:val="001B627A"/>
    <w:rsid w:val="001B6C5E"/>
    <w:rsid w:val="001B75FB"/>
    <w:rsid w:val="001B76F4"/>
    <w:rsid w:val="001B77C3"/>
    <w:rsid w:val="001B7803"/>
    <w:rsid w:val="001B7862"/>
    <w:rsid w:val="001B7BF7"/>
    <w:rsid w:val="001B7E08"/>
    <w:rsid w:val="001C00B3"/>
    <w:rsid w:val="001C0611"/>
    <w:rsid w:val="001C0AEC"/>
    <w:rsid w:val="001C0F26"/>
    <w:rsid w:val="001C114E"/>
    <w:rsid w:val="001C18F7"/>
    <w:rsid w:val="001C1B16"/>
    <w:rsid w:val="001C1E10"/>
    <w:rsid w:val="001C1E86"/>
    <w:rsid w:val="001C1FEF"/>
    <w:rsid w:val="001C2900"/>
    <w:rsid w:val="001C2C05"/>
    <w:rsid w:val="001C2F42"/>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BBC"/>
    <w:rsid w:val="001C4BC9"/>
    <w:rsid w:val="001C4E94"/>
    <w:rsid w:val="001C5048"/>
    <w:rsid w:val="001C5199"/>
    <w:rsid w:val="001C51E6"/>
    <w:rsid w:val="001C54A9"/>
    <w:rsid w:val="001C5504"/>
    <w:rsid w:val="001C567D"/>
    <w:rsid w:val="001C57B1"/>
    <w:rsid w:val="001C60CA"/>
    <w:rsid w:val="001C6263"/>
    <w:rsid w:val="001C62B5"/>
    <w:rsid w:val="001C62F4"/>
    <w:rsid w:val="001C685A"/>
    <w:rsid w:val="001C6985"/>
    <w:rsid w:val="001C6E80"/>
    <w:rsid w:val="001C6ECA"/>
    <w:rsid w:val="001C7153"/>
    <w:rsid w:val="001C7405"/>
    <w:rsid w:val="001C77D6"/>
    <w:rsid w:val="001C78B4"/>
    <w:rsid w:val="001C7A9D"/>
    <w:rsid w:val="001C7BD4"/>
    <w:rsid w:val="001C7CA1"/>
    <w:rsid w:val="001D09D0"/>
    <w:rsid w:val="001D14AC"/>
    <w:rsid w:val="001D169E"/>
    <w:rsid w:val="001D18B2"/>
    <w:rsid w:val="001D19A9"/>
    <w:rsid w:val="001D1A87"/>
    <w:rsid w:val="001D1AF1"/>
    <w:rsid w:val="001D2208"/>
    <w:rsid w:val="001D252E"/>
    <w:rsid w:val="001D25CB"/>
    <w:rsid w:val="001D285A"/>
    <w:rsid w:val="001D2ABC"/>
    <w:rsid w:val="001D2C3C"/>
    <w:rsid w:val="001D2CD5"/>
    <w:rsid w:val="001D2FB6"/>
    <w:rsid w:val="001D3540"/>
    <w:rsid w:val="001D3708"/>
    <w:rsid w:val="001D371D"/>
    <w:rsid w:val="001D38C2"/>
    <w:rsid w:val="001D39FD"/>
    <w:rsid w:val="001D406A"/>
    <w:rsid w:val="001D46DF"/>
    <w:rsid w:val="001D48A4"/>
    <w:rsid w:val="001D48C9"/>
    <w:rsid w:val="001D4BFF"/>
    <w:rsid w:val="001D5589"/>
    <w:rsid w:val="001D599D"/>
    <w:rsid w:val="001D5DD4"/>
    <w:rsid w:val="001D61BD"/>
    <w:rsid w:val="001D70BF"/>
    <w:rsid w:val="001D75E3"/>
    <w:rsid w:val="001D7BCD"/>
    <w:rsid w:val="001D7BE3"/>
    <w:rsid w:val="001D7F7E"/>
    <w:rsid w:val="001E00D9"/>
    <w:rsid w:val="001E04A2"/>
    <w:rsid w:val="001E04DE"/>
    <w:rsid w:val="001E05B5"/>
    <w:rsid w:val="001E0A77"/>
    <w:rsid w:val="001E0AE6"/>
    <w:rsid w:val="001E0E65"/>
    <w:rsid w:val="001E0F47"/>
    <w:rsid w:val="001E13C5"/>
    <w:rsid w:val="001E17C4"/>
    <w:rsid w:val="001E18AC"/>
    <w:rsid w:val="001E1926"/>
    <w:rsid w:val="001E1A24"/>
    <w:rsid w:val="001E1ADF"/>
    <w:rsid w:val="001E21EB"/>
    <w:rsid w:val="001E233C"/>
    <w:rsid w:val="001E27EC"/>
    <w:rsid w:val="001E2B27"/>
    <w:rsid w:val="001E2DC3"/>
    <w:rsid w:val="001E2E26"/>
    <w:rsid w:val="001E2E8E"/>
    <w:rsid w:val="001E2EF4"/>
    <w:rsid w:val="001E35BF"/>
    <w:rsid w:val="001E35D2"/>
    <w:rsid w:val="001E37CF"/>
    <w:rsid w:val="001E39C5"/>
    <w:rsid w:val="001E4B1D"/>
    <w:rsid w:val="001E5479"/>
    <w:rsid w:val="001E55CD"/>
    <w:rsid w:val="001E5624"/>
    <w:rsid w:val="001E5737"/>
    <w:rsid w:val="001E5A53"/>
    <w:rsid w:val="001E5B59"/>
    <w:rsid w:val="001E5BBC"/>
    <w:rsid w:val="001E5F29"/>
    <w:rsid w:val="001E60B4"/>
    <w:rsid w:val="001E6435"/>
    <w:rsid w:val="001E6802"/>
    <w:rsid w:val="001E691E"/>
    <w:rsid w:val="001E6AFD"/>
    <w:rsid w:val="001E6B0E"/>
    <w:rsid w:val="001E6C6F"/>
    <w:rsid w:val="001E6D5D"/>
    <w:rsid w:val="001E740B"/>
    <w:rsid w:val="001E75E4"/>
    <w:rsid w:val="001E7E60"/>
    <w:rsid w:val="001F0158"/>
    <w:rsid w:val="001F018E"/>
    <w:rsid w:val="001F019F"/>
    <w:rsid w:val="001F04D5"/>
    <w:rsid w:val="001F051D"/>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1D8"/>
    <w:rsid w:val="001F3221"/>
    <w:rsid w:val="001F33A0"/>
    <w:rsid w:val="001F3573"/>
    <w:rsid w:val="001F3AE4"/>
    <w:rsid w:val="001F3C0E"/>
    <w:rsid w:val="001F3C4B"/>
    <w:rsid w:val="001F3E2C"/>
    <w:rsid w:val="001F41C2"/>
    <w:rsid w:val="001F4427"/>
    <w:rsid w:val="001F4483"/>
    <w:rsid w:val="001F4B16"/>
    <w:rsid w:val="001F4B25"/>
    <w:rsid w:val="001F4C39"/>
    <w:rsid w:val="001F5EEA"/>
    <w:rsid w:val="001F62EA"/>
    <w:rsid w:val="001F65A3"/>
    <w:rsid w:val="001F6856"/>
    <w:rsid w:val="001F6F1E"/>
    <w:rsid w:val="001F7258"/>
    <w:rsid w:val="001F73D9"/>
    <w:rsid w:val="001F7478"/>
    <w:rsid w:val="001F7EDD"/>
    <w:rsid w:val="001F7FCA"/>
    <w:rsid w:val="00200212"/>
    <w:rsid w:val="002003F6"/>
    <w:rsid w:val="002008BE"/>
    <w:rsid w:val="0020111B"/>
    <w:rsid w:val="00201824"/>
    <w:rsid w:val="002019C7"/>
    <w:rsid w:val="00201C08"/>
    <w:rsid w:val="00201F1D"/>
    <w:rsid w:val="00201FE8"/>
    <w:rsid w:val="00201FEF"/>
    <w:rsid w:val="002024FC"/>
    <w:rsid w:val="0020264D"/>
    <w:rsid w:val="002027BD"/>
    <w:rsid w:val="0020291A"/>
    <w:rsid w:val="00202936"/>
    <w:rsid w:val="00202AE4"/>
    <w:rsid w:val="002031C1"/>
    <w:rsid w:val="00203830"/>
    <w:rsid w:val="00203AFC"/>
    <w:rsid w:val="00203D79"/>
    <w:rsid w:val="0020406F"/>
    <w:rsid w:val="00204411"/>
    <w:rsid w:val="00204A35"/>
    <w:rsid w:val="00204F84"/>
    <w:rsid w:val="00205192"/>
    <w:rsid w:val="002051D4"/>
    <w:rsid w:val="002053A2"/>
    <w:rsid w:val="002053E5"/>
    <w:rsid w:val="00205678"/>
    <w:rsid w:val="00205758"/>
    <w:rsid w:val="00205786"/>
    <w:rsid w:val="00205B56"/>
    <w:rsid w:val="00205C40"/>
    <w:rsid w:val="00205EF7"/>
    <w:rsid w:val="0020627A"/>
    <w:rsid w:val="0020640C"/>
    <w:rsid w:val="002069B7"/>
    <w:rsid w:val="00206B72"/>
    <w:rsid w:val="00206CE5"/>
    <w:rsid w:val="00206F81"/>
    <w:rsid w:val="00207016"/>
    <w:rsid w:val="002102F6"/>
    <w:rsid w:val="002104A6"/>
    <w:rsid w:val="00210673"/>
    <w:rsid w:val="00210D2D"/>
    <w:rsid w:val="00211245"/>
    <w:rsid w:val="00211381"/>
    <w:rsid w:val="00211389"/>
    <w:rsid w:val="00211634"/>
    <w:rsid w:val="0021164B"/>
    <w:rsid w:val="002116B8"/>
    <w:rsid w:val="00211EF5"/>
    <w:rsid w:val="002121E4"/>
    <w:rsid w:val="002121FC"/>
    <w:rsid w:val="0021222A"/>
    <w:rsid w:val="002125F9"/>
    <w:rsid w:val="002125FF"/>
    <w:rsid w:val="00212A13"/>
    <w:rsid w:val="00212A82"/>
    <w:rsid w:val="00212C1C"/>
    <w:rsid w:val="00212DDA"/>
    <w:rsid w:val="00213330"/>
    <w:rsid w:val="002137DF"/>
    <w:rsid w:val="00213957"/>
    <w:rsid w:val="00213A28"/>
    <w:rsid w:val="00213D3C"/>
    <w:rsid w:val="00213DCF"/>
    <w:rsid w:val="00213DF2"/>
    <w:rsid w:val="00213EEE"/>
    <w:rsid w:val="00214143"/>
    <w:rsid w:val="0021448A"/>
    <w:rsid w:val="00214773"/>
    <w:rsid w:val="00214CC7"/>
    <w:rsid w:val="00214FEB"/>
    <w:rsid w:val="0021514C"/>
    <w:rsid w:val="00215238"/>
    <w:rsid w:val="00215773"/>
    <w:rsid w:val="00215B62"/>
    <w:rsid w:val="00215C8E"/>
    <w:rsid w:val="00215F64"/>
    <w:rsid w:val="00216014"/>
    <w:rsid w:val="00216207"/>
    <w:rsid w:val="0021646B"/>
    <w:rsid w:val="002168AE"/>
    <w:rsid w:val="0021698E"/>
    <w:rsid w:val="00216C14"/>
    <w:rsid w:val="00216CCB"/>
    <w:rsid w:val="00216E8F"/>
    <w:rsid w:val="00216FD9"/>
    <w:rsid w:val="0021707D"/>
    <w:rsid w:val="00217811"/>
    <w:rsid w:val="00220005"/>
    <w:rsid w:val="0022005D"/>
    <w:rsid w:val="0022058E"/>
    <w:rsid w:val="00220E16"/>
    <w:rsid w:val="00221055"/>
    <w:rsid w:val="00221421"/>
    <w:rsid w:val="00221450"/>
    <w:rsid w:val="002214C9"/>
    <w:rsid w:val="00221D4E"/>
    <w:rsid w:val="00221EF8"/>
    <w:rsid w:val="00221F4F"/>
    <w:rsid w:val="002221D8"/>
    <w:rsid w:val="00222216"/>
    <w:rsid w:val="00222241"/>
    <w:rsid w:val="00222296"/>
    <w:rsid w:val="002222E1"/>
    <w:rsid w:val="002224A3"/>
    <w:rsid w:val="0022255B"/>
    <w:rsid w:val="00222779"/>
    <w:rsid w:val="002227B7"/>
    <w:rsid w:val="00222811"/>
    <w:rsid w:val="002228CA"/>
    <w:rsid w:val="00223627"/>
    <w:rsid w:val="00223985"/>
    <w:rsid w:val="00223C32"/>
    <w:rsid w:val="00223D80"/>
    <w:rsid w:val="00224131"/>
    <w:rsid w:val="002247CC"/>
    <w:rsid w:val="00224B81"/>
    <w:rsid w:val="00224C31"/>
    <w:rsid w:val="00224DB1"/>
    <w:rsid w:val="00224E6E"/>
    <w:rsid w:val="00225079"/>
    <w:rsid w:val="002252F7"/>
    <w:rsid w:val="0022588B"/>
    <w:rsid w:val="00225B2A"/>
    <w:rsid w:val="00225BD5"/>
    <w:rsid w:val="0022618F"/>
    <w:rsid w:val="00226547"/>
    <w:rsid w:val="00226B61"/>
    <w:rsid w:val="00226C0B"/>
    <w:rsid w:val="00226CB0"/>
    <w:rsid w:val="00227508"/>
    <w:rsid w:val="00227B03"/>
    <w:rsid w:val="00227F84"/>
    <w:rsid w:val="002307F3"/>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4C2"/>
    <w:rsid w:val="002335CB"/>
    <w:rsid w:val="0023366B"/>
    <w:rsid w:val="0023372E"/>
    <w:rsid w:val="00233C59"/>
    <w:rsid w:val="00233C8B"/>
    <w:rsid w:val="00233DBB"/>
    <w:rsid w:val="00233F8F"/>
    <w:rsid w:val="00234111"/>
    <w:rsid w:val="00234207"/>
    <w:rsid w:val="002344EC"/>
    <w:rsid w:val="0023468B"/>
    <w:rsid w:val="00234717"/>
    <w:rsid w:val="0023480D"/>
    <w:rsid w:val="00234B4B"/>
    <w:rsid w:val="00234B5F"/>
    <w:rsid w:val="00234DBF"/>
    <w:rsid w:val="00235054"/>
    <w:rsid w:val="00235292"/>
    <w:rsid w:val="002352AF"/>
    <w:rsid w:val="00235448"/>
    <w:rsid w:val="002354BB"/>
    <w:rsid w:val="0023599E"/>
    <w:rsid w:val="00235F58"/>
    <w:rsid w:val="002362FD"/>
    <w:rsid w:val="002366AC"/>
    <w:rsid w:val="002366DD"/>
    <w:rsid w:val="002368F9"/>
    <w:rsid w:val="00236E9F"/>
    <w:rsid w:val="00236F3A"/>
    <w:rsid w:val="00237A44"/>
    <w:rsid w:val="00237A79"/>
    <w:rsid w:val="00237BC1"/>
    <w:rsid w:val="00237D72"/>
    <w:rsid w:val="00237F54"/>
    <w:rsid w:val="0024010C"/>
    <w:rsid w:val="002405B2"/>
    <w:rsid w:val="0024061C"/>
    <w:rsid w:val="0024082D"/>
    <w:rsid w:val="0024082E"/>
    <w:rsid w:val="00241021"/>
    <w:rsid w:val="0024107A"/>
    <w:rsid w:val="002411E8"/>
    <w:rsid w:val="002417AE"/>
    <w:rsid w:val="00241BC5"/>
    <w:rsid w:val="00241BC8"/>
    <w:rsid w:val="00241D41"/>
    <w:rsid w:val="00242273"/>
    <w:rsid w:val="0024280E"/>
    <w:rsid w:val="00242895"/>
    <w:rsid w:val="002429EB"/>
    <w:rsid w:val="00242D9E"/>
    <w:rsid w:val="00242F37"/>
    <w:rsid w:val="00243224"/>
    <w:rsid w:val="002434A7"/>
    <w:rsid w:val="00243A61"/>
    <w:rsid w:val="00243CBD"/>
    <w:rsid w:val="00244111"/>
    <w:rsid w:val="00244291"/>
    <w:rsid w:val="00244512"/>
    <w:rsid w:val="002447CC"/>
    <w:rsid w:val="00244882"/>
    <w:rsid w:val="00244CD1"/>
    <w:rsid w:val="00244FCB"/>
    <w:rsid w:val="00245225"/>
    <w:rsid w:val="0024556F"/>
    <w:rsid w:val="00245861"/>
    <w:rsid w:val="002459B6"/>
    <w:rsid w:val="00245F5C"/>
    <w:rsid w:val="00246013"/>
    <w:rsid w:val="00246834"/>
    <w:rsid w:val="00246851"/>
    <w:rsid w:val="002468AE"/>
    <w:rsid w:val="00246D02"/>
    <w:rsid w:val="00246D9D"/>
    <w:rsid w:val="0024707B"/>
    <w:rsid w:val="0024708B"/>
    <w:rsid w:val="0024754C"/>
    <w:rsid w:val="00247828"/>
    <w:rsid w:val="00247C1D"/>
    <w:rsid w:val="002504BA"/>
    <w:rsid w:val="002507BB"/>
    <w:rsid w:val="00250D47"/>
    <w:rsid w:val="00251203"/>
    <w:rsid w:val="00251555"/>
    <w:rsid w:val="00251605"/>
    <w:rsid w:val="00251786"/>
    <w:rsid w:val="0025183D"/>
    <w:rsid w:val="00251ACE"/>
    <w:rsid w:val="00251D59"/>
    <w:rsid w:val="00251FA9"/>
    <w:rsid w:val="00252017"/>
    <w:rsid w:val="00252036"/>
    <w:rsid w:val="0025274A"/>
    <w:rsid w:val="00252B31"/>
    <w:rsid w:val="00252DC2"/>
    <w:rsid w:val="00253025"/>
    <w:rsid w:val="002530CD"/>
    <w:rsid w:val="00253109"/>
    <w:rsid w:val="00253660"/>
    <w:rsid w:val="00253678"/>
    <w:rsid w:val="00253C48"/>
    <w:rsid w:val="00253FBF"/>
    <w:rsid w:val="002541D0"/>
    <w:rsid w:val="00254571"/>
    <w:rsid w:val="002548B1"/>
    <w:rsid w:val="00255490"/>
    <w:rsid w:val="0025561E"/>
    <w:rsid w:val="002557C7"/>
    <w:rsid w:val="00256013"/>
    <w:rsid w:val="002565B3"/>
    <w:rsid w:val="002567F1"/>
    <w:rsid w:val="002569ED"/>
    <w:rsid w:val="00256D3D"/>
    <w:rsid w:val="00256E13"/>
    <w:rsid w:val="00257066"/>
    <w:rsid w:val="002578DF"/>
    <w:rsid w:val="00257936"/>
    <w:rsid w:val="00257E08"/>
    <w:rsid w:val="00257E14"/>
    <w:rsid w:val="00260461"/>
    <w:rsid w:val="00260656"/>
    <w:rsid w:val="002606F8"/>
    <w:rsid w:val="00260B69"/>
    <w:rsid w:val="00260EA3"/>
    <w:rsid w:val="00261101"/>
    <w:rsid w:val="0026126F"/>
    <w:rsid w:val="002612E1"/>
    <w:rsid w:val="00261580"/>
    <w:rsid w:val="00261743"/>
    <w:rsid w:val="00261879"/>
    <w:rsid w:val="00261BE2"/>
    <w:rsid w:val="00261C6D"/>
    <w:rsid w:val="00261D4C"/>
    <w:rsid w:val="002624FC"/>
    <w:rsid w:val="002629FA"/>
    <w:rsid w:val="00262B60"/>
    <w:rsid w:val="00262D26"/>
    <w:rsid w:val="00262F5B"/>
    <w:rsid w:val="00262F63"/>
    <w:rsid w:val="00263072"/>
    <w:rsid w:val="002630B5"/>
    <w:rsid w:val="00263378"/>
    <w:rsid w:val="002633FC"/>
    <w:rsid w:val="0026377E"/>
    <w:rsid w:val="00264169"/>
    <w:rsid w:val="002643FD"/>
    <w:rsid w:val="002644BE"/>
    <w:rsid w:val="00264752"/>
    <w:rsid w:val="00264DD7"/>
    <w:rsid w:val="00264FB9"/>
    <w:rsid w:val="002650E3"/>
    <w:rsid w:val="00265673"/>
    <w:rsid w:val="00265B1A"/>
    <w:rsid w:val="002663A5"/>
    <w:rsid w:val="00266603"/>
    <w:rsid w:val="00266B0F"/>
    <w:rsid w:val="002674BC"/>
    <w:rsid w:val="00267C19"/>
    <w:rsid w:val="00267FCC"/>
    <w:rsid w:val="0027098C"/>
    <w:rsid w:val="00270A70"/>
    <w:rsid w:val="00270BEE"/>
    <w:rsid w:val="00270C5C"/>
    <w:rsid w:val="00270F23"/>
    <w:rsid w:val="00271021"/>
    <w:rsid w:val="002711DC"/>
    <w:rsid w:val="002713F9"/>
    <w:rsid w:val="00271861"/>
    <w:rsid w:val="00271872"/>
    <w:rsid w:val="00271934"/>
    <w:rsid w:val="002721B5"/>
    <w:rsid w:val="00272416"/>
    <w:rsid w:val="00272D29"/>
    <w:rsid w:val="00272E23"/>
    <w:rsid w:val="00273102"/>
    <w:rsid w:val="002731AD"/>
    <w:rsid w:val="002734D5"/>
    <w:rsid w:val="002736D9"/>
    <w:rsid w:val="00273C7F"/>
    <w:rsid w:val="00273DE8"/>
    <w:rsid w:val="00273FE8"/>
    <w:rsid w:val="002741A6"/>
    <w:rsid w:val="00274430"/>
    <w:rsid w:val="00274494"/>
    <w:rsid w:val="00274B71"/>
    <w:rsid w:val="00274FA6"/>
    <w:rsid w:val="00275145"/>
    <w:rsid w:val="00275344"/>
    <w:rsid w:val="002758BA"/>
    <w:rsid w:val="00275A0E"/>
    <w:rsid w:val="00275B34"/>
    <w:rsid w:val="00275E59"/>
    <w:rsid w:val="002765D8"/>
    <w:rsid w:val="002765F4"/>
    <w:rsid w:val="00276959"/>
    <w:rsid w:val="00276974"/>
    <w:rsid w:val="002769EA"/>
    <w:rsid w:val="00276BA1"/>
    <w:rsid w:val="00277476"/>
    <w:rsid w:val="002775F0"/>
    <w:rsid w:val="00277B3D"/>
    <w:rsid w:val="00277DD9"/>
    <w:rsid w:val="002802DC"/>
    <w:rsid w:val="00280706"/>
    <w:rsid w:val="00280BBC"/>
    <w:rsid w:val="00280D2F"/>
    <w:rsid w:val="00280EFA"/>
    <w:rsid w:val="00280F8D"/>
    <w:rsid w:val="00281606"/>
    <w:rsid w:val="002817E2"/>
    <w:rsid w:val="00281B29"/>
    <w:rsid w:val="00281EC3"/>
    <w:rsid w:val="00282592"/>
    <w:rsid w:val="0028277A"/>
    <w:rsid w:val="002828BF"/>
    <w:rsid w:val="00282907"/>
    <w:rsid w:val="00282A44"/>
    <w:rsid w:val="00283084"/>
    <w:rsid w:val="00283178"/>
    <w:rsid w:val="00283251"/>
    <w:rsid w:val="00283421"/>
    <w:rsid w:val="00283CD8"/>
    <w:rsid w:val="00283D22"/>
    <w:rsid w:val="0028412B"/>
    <w:rsid w:val="002846C5"/>
    <w:rsid w:val="00284A38"/>
    <w:rsid w:val="00284EBB"/>
    <w:rsid w:val="002851FB"/>
    <w:rsid w:val="0028552E"/>
    <w:rsid w:val="00285600"/>
    <w:rsid w:val="00285712"/>
    <w:rsid w:val="00286598"/>
    <w:rsid w:val="0028663A"/>
    <w:rsid w:val="00286798"/>
    <w:rsid w:val="00286870"/>
    <w:rsid w:val="00286ACD"/>
    <w:rsid w:val="00286B0E"/>
    <w:rsid w:val="00286B4B"/>
    <w:rsid w:val="00286BD1"/>
    <w:rsid w:val="00286E82"/>
    <w:rsid w:val="00287044"/>
    <w:rsid w:val="00287088"/>
    <w:rsid w:val="0028708C"/>
    <w:rsid w:val="0028710A"/>
    <w:rsid w:val="00287283"/>
    <w:rsid w:val="0028732F"/>
    <w:rsid w:val="00287BFE"/>
    <w:rsid w:val="00287CDB"/>
    <w:rsid w:val="00287E08"/>
    <w:rsid w:val="002900E2"/>
    <w:rsid w:val="00290222"/>
    <w:rsid w:val="00290319"/>
    <w:rsid w:val="0029079D"/>
    <w:rsid w:val="00290973"/>
    <w:rsid w:val="002910A2"/>
    <w:rsid w:val="002913B9"/>
    <w:rsid w:val="00291524"/>
    <w:rsid w:val="002917E3"/>
    <w:rsid w:val="002919AB"/>
    <w:rsid w:val="00291BF2"/>
    <w:rsid w:val="00291D71"/>
    <w:rsid w:val="00291EA9"/>
    <w:rsid w:val="00292313"/>
    <w:rsid w:val="00292614"/>
    <w:rsid w:val="00292704"/>
    <w:rsid w:val="002927F4"/>
    <w:rsid w:val="00292C86"/>
    <w:rsid w:val="002935F9"/>
    <w:rsid w:val="00293AB8"/>
    <w:rsid w:val="00293C3E"/>
    <w:rsid w:val="00293F49"/>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1D2"/>
    <w:rsid w:val="00297269"/>
    <w:rsid w:val="002972DF"/>
    <w:rsid w:val="0029740A"/>
    <w:rsid w:val="0029749B"/>
    <w:rsid w:val="0029765E"/>
    <w:rsid w:val="00297A98"/>
    <w:rsid w:val="00297CD8"/>
    <w:rsid w:val="002A03B7"/>
    <w:rsid w:val="002A0465"/>
    <w:rsid w:val="002A0633"/>
    <w:rsid w:val="002A06C3"/>
    <w:rsid w:val="002A0826"/>
    <w:rsid w:val="002A0B3F"/>
    <w:rsid w:val="002A0CE6"/>
    <w:rsid w:val="002A0DD3"/>
    <w:rsid w:val="002A0DDA"/>
    <w:rsid w:val="002A12F1"/>
    <w:rsid w:val="002A1346"/>
    <w:rsid w:val="002A16A3"/>
    <w:rsid w:val="002A19B0"/>
    <w:rsid w:val="002A1AF4"/>
    <w:rsid w:val="002A1D39"/>
    <w:rsid w:val="002A1D74"/>
    <w:rsid w:val="002A1F07"/>
    <w:rsid w:val="002A1F78"/>
    <w:rsid w:val="002A2043"/>
    <w:rsid w:val="002A25CB"/>
    <w:rsid w:val="002A2678"/>
    <w:rsid w:val="002A27B2"/>
    <w:rsid w:val="002A2C89"/>
    <w:rsid w:val="002A2D73"/>
    <w:rsid w:val="002A2E04"/>
    <w:rsid w:val="002A2FF9"/>
    <w:rsid w:val="002A339F"/>
    <w:rsid w:val="002A33AF"/>
    <w:rsid w:val="002A3862"/>
    <w:rsid w:val="002A393F"/>
    <w:rsid w:val="002A395B"/>
    <w:rsid w:val="002A3DA2"/>
    <w:rsid w:val="002A431A"/>
    <w:rsid w:val="002A432B"/>
    <w:rsid w:val="002A4A87"/>
    <w:rsid w:val="002A4B46"/>
    <w:rsid w:val="002A4B7E"/>
    <w:rsid w:val="002A4BB1"/>
    <w:rsid w:val="002A4C04"/>
    <w:rsid w:val="002A4D2A"/>
    <w:rsid w:val="002A4E40"/>
    <w:rsid w:val="002A4F48"/>
    <w:rsid w:val="002A4F95"/>
    <w:rsid w:val="002A514F"/>
    <w:rsid w:val="002A5379"/>
    <w:rsid w:val="002A5403"/>
    <w:rsid w:val="002A59FD"/>
    <w:rsid w:val="002A5DA0"/>
    <w:rsid w:val="002A60EC"/>
    <w:rsid w:val="002A65FE"/>
    <w:rsid w:val="002A6798"/>
    <w:rsid w:val="002A69BC"/>
    <w:rsid w:val="002A69C8"/>
    <w:rsid w:val="002A6B6D"/>
    <w:rsid w:val="002A6DDE"/>
    <w:rsid w:val="002A6FA0"/>
    <w:rsid w:val="002A7272"/>
    <w:rsid w:val="002A7556"/>
    <w:rsid w:val="002A7791"/>
    <w:rsid w:val="002A7E8B"/>
    <w:rsid w:val="002B013E"/>
    <w:rsid w:val="002B04D2"/>
    <w:rsid w:val="002B06F9"/>
    <w:rsid w:val="002B0C3A"/>
    <w:rsid w:val="002B0E2D"/>
    <w:rsid w:val="002B0F56"/>
    <w:rsid w:val="002B16E0"/>
    <w:rsid w:val="002B1A2F"/>
    <w:rsid w:val="002B1B05"/>
    <w:rsid w:val="002B1D72"/>
    <w:rsid w:val="002B1EB2"/>
    <w:rsid w:val="002B2350"/>
    <w:rsid w:val="002B27C0"/>
    <w:rsid w:val="002B2A81"/>
    <w:rsid w:val="002B2B0D"/>
    <w:rsid w:val="002B3111"/>
    <w:rsid w:val="002B32FC"/>
    <w:rsid w:val="002B35A3"/>
    <w:rsid w:val="002B3BCE"/>
    <w:rsid w:val="002B3E02"/>
    <w:rsid w:val="002B407B"/>
    <w:rsid w:val="002B417F"/>
    <w:rsid w:val="002B468E"/>
    <w:rsid w:val="002B49C5"/>
    <w:rsid w:val="002B4BEB"/>
    <w:rsid w:val="002B4DA6"/>
    <w:rsid w:val="002B4E8E"/>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4C7"/>
    <w:rsid w:val="002B7900"/>
    <w:rsid w:val="002B7948"/>
    <w:rsid w:val="002B7FA1"/>
    <w:rsid w:val="002C0060"/>
    <w:rsid w:val="002C0078"/>
    <w:rsid w:val="002C03E4"/>
    <w:rsid w:val="002C076D"/>
    <w:rsid w:val="002C0AED"/>
    <w:rsid w:val="002C10F7"/>
    <w:rsid w:val="002C1218"/>
    <w:rsid w:val="002C134A"/>
    <w:rsid w:val="002C1408"/>
    <w:rsid w:val="002C1409"/>
    <w:rsid w:val="002C146D"/>
    <w:rsid w:val="002C18B4"/>
    <w:rsid w:val="002C1B61"/>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9AF"/>
    <w:rsid w:val="002C3DB9"/>
    <w:rsid w:val="002C4128"/>
    <w:rsid w:val="002C431F"/>
    <w:rsid w:val="002C437A"/>
    <w:rsid w:val="002C469D"/>
    <w:rsid w:val="002C4C80"/>
    <w:rsid w:val="002C522F"/>
    <w:rsid w:val="002C52BF"/>
    <w:rsid w:val="002C54C1"/>
    <w:rsid w:val="002C556D"/>
    <w:rsid w:val="002C5D05"/>
    <w:rsid w:val="002C5DB9"/>
    <w:rsid w:val="002C5DE6"/>
    <w:rsid w:val="002C5E42"/>
    <w:rsid w:val="002C6236"/>
    <w:rsid w:val="002C62A6"/>
    <w:rsid w:val="002C6444"/>
    <w:rsid w:val="002C6677"/>
    <w:rsid w:val="002C68BE"/>
    <w:rsid w:val="002C69BD"/>
    <w:rsid w:val="002C6D69"/>
    <w:rsid w:val="002C6F73"/>
    <w:rsid w:val="002C70A1"/>
    <w:rsid w:val="002C70D8"/>
    <w:rsid w:val="002C7140"/>
    <w:rsid w:val="002C7212"/>
    <w:rsid w:val="002C77C6"/>
    <w:rsid w:val="002C7909"/>
    <w:rsid w:val="002C7974"/>
    <w:rsid w:val="002C7C1A"/>
    <w:rsid w:val="002C7E63"/>
    <w:rsid w:val="002D006A"/>
    <w:rsid w:val="002D04A7"/>
    <w:rsid w:val="002D04CF"/>
    <w:rsid w:val="002D05B5"/>
    <w:rsid w:val="002D0B64"/>
    <w:rsid w:val="002D0C8F"/>
    <w:rsid w:val="002D0E5F"/>
    <w:rsid w:val="002D11A3"/>
    <w:rsid w:val="002D1616"/>
    <w:rsid w:val="002D16DB"/>
    <w:rsid w:val="002D18FC"/>
    <w:rsid w:val="002D19B4"/>
    <w:rsid w:val="002D19F6"/>
    <w:rsid w:val="002D1BD4"/>
    <w:rsid w:val="002D20A7"/>
    <w:rsid w:val="002D20EC"/>
    <w:rsid w:val="002D21E4"/>
    <w:rsid w:val="002D22A0"/>
    <w:rsid w:val="002D27B5"/>
    <w:rsid w:val="002D2973"/>
    <w:rsid w:val="002D2B57"/>
    <w:rsid w:val="002D2F09"/>
    <w:rsid w:val="002D30DF"/>
    <w:rsid w:val="002D33D6"/>
    <w:rsid w:val="002D347C"/>
    <w:rsid w:val="002D34BC"/>
    <w:rsid w:val="002D35D0"/>
    <w:rsid w:val="002D37B3"/>
    <w:rsid w:val="002D37F0"/>
    <w:rsid w:val="002D3F35"/>
    <w:rsid w:val="002D4489"/>
    <w:rsid w:val="002D44CD"/>
    <w:rsid w:val="002D4703"/>
    <w:rsid w:val="002D4769"/>
    <w:rsid w:val="002D4A5F"/>
    <w:rsid w:val="002D4BBD"/>
    <w:rsid w:val="002D535D"/>
    <w:rsid w:val="002D548B"/>
    <w:rsid w:val="002D5528"/>
    <w:rsid w:val="002D55F2"/>
    <w:rsid w:val="002D57E2"/>
    <w:rsid w:val="002D588F"/>
    <w:rsid w:val="002D58C0"/>
    <w:rsid w:val="002D58E5"/>
    <w:rsid w:val="002D5E9D"/>
    <w:rsid w:val="002D5EC3"/>
    <w:rsid w:val="002D5FC6"/>
    <w:rsid w:val="002D60FB"/>
    <w:rsid w:val="002D67B0"/>
    <w:rsid w:val="002D6996"/>
    <w:rsid w:val="002D6AB5"/>
    <w:rsid w:val="002D6FFE"/>
    <w:rsid w:val="002D7100"/>
    <w:rsid w:val="002D7A8B"/>
    <w:rsid w:val="002D7D47"/>
    <w:rsid w:val="002E01CA"/>
    <w:rsid w:val="002E025C"/>
    <w:rsid w:val="002E0263"/>
    <w:rsid w:val="002E077B"/>
    <w:rsid w:val="002E0949"/>
    <w:rsid w:val="002E0B8F"/>
    <w:rsid w:val="002E0C25"/>
    <w:rsid w:val="002E0C56"/>
    <w:rsid w:val="002E0D3A"/>
    <w:rsid w:val="002E116E"/>
    <w:rsid w:val="002E12C5"/>
    <w:rsid w:val="002E149C"/>
    <w:rsid w:val="002E1AA5"/>
    <w:rsid w:val="002E1E43"/>
    <w:rsid w:val="002E21D9"/>
    <w:rsid w:val="002E21F6"/>
    <w:rsid w:val="002E231E"/>
    <w:rsid w:val="002E26B3"/>
    <w:rsid w:val="002E2CBA"/>
    <w:rsid w:val="002E2D95"/>
    <w:rsid w:val="002E31A4"/>
    <w:rsid w:val="002E346E"/>
    <w:rsid w:val="002E374F"/>
    <w:rsid w:val="002E3A2A"/>
    <w:rsid w:val="002E3AD5"/>
    <w:rsid w:val="002E3B74"/>
    <w:rsid w:val="002E3C2E"/>
    <w:rsid w:val="002E45C4"/>
    <w:rsid w:val="002E4724"/>
    <w:rsid w:val="002E475C"/>
    <w:rsid w:val="002E52B7"/>
    <w:rsid w:val="002E5308"/>
    <w:rsid w:val="002E5AF6"/>
    <w:rsid w:val="002E604B"/>
    <w:rsid w:val="002E6106"/>
    <w:rsid w:val="002E6559"/>
    <w:rsid w:val="002E66AB"/>
    <w:rsid w:val="002E679B"/>
    <w:rsid w:val="002E685A"/>
    <w:rsid w:val="002E6ABC"/>
    <w:rsid w:val="002E6AC8"/>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17"/>
    <w:rsid w:val="002F2D68"/>
    <w:rsid w:val="002F3582"/>
    <w:rsid w:val="002F3DCF"/>
    <w:rsid w:val="002F3E72"/>
    <w:rsid w:val="002F3F2F"/>
    <w:rsid w:val="002F40F4"/>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9B"/>
    <w:rsid w:val="002F6FE1"/>
    <w:rsid w:val="002F70F9"/>
    <w:rsid w:val="002F7233"/>
    <w:rsid w:val="002F744D"/>
    <w:rsid w:val="002F7773"/>
    <w:rsid w:val="002F797E"/>
    <w:rsid w:val="002F79F4"/>
    <w:rsid w:val="002F7FCB"/>
    <w:rsid w:val="0030063B"/>
    <w:rsid w:val="003006A0"/>
    <w:rsid w:val="003007B5"/>
    <w:rsid w:val="00300809"/>
    <w:rsid w:val="003008E9"/>
    <w:rsid w:val="00300AA0"/>
    <w:rsid w:val="00301371"/>
    <w:rsid w:val="0030137B"/>
    <w:rsid w:val="00301663"/>
    <w:rsid w:val="0030172B"/>
    <w:rsid w:val="00301897"/>
    <w:rsid w:val="00301B2D"/>
    <w:rsid w:val="00301E85"/>
    <w:rsid w:val="00301ED5"/>
    <w:rsid w:val="00301FA3"/>
    <w:rsid w:val="00302084"/>
    <w:rsid w:val="00302635"/>
    <w:rsid w:val="00302826"/>
    <w:rsid w:val="003029AA"/>
    <w:rsid w:val="00302CD5"/>
    <w:rsid w:val="00302DEE"/>
    <w:rsid w:val="00302EA9"/>
    <w:rsid w:val="00303552"/>
    <w:rsid w:val="0030379A"/>
    <w:rsid w:val="0030383E"/>
    <w:rsid w:val="003038AA"/>
    <w:rsid w:val="00303A41"/>
    <w:rsid w:val="00303ADC"/>
    <w:rsid w:val="00303AFA"/>
    <w:rsid w:val="00303B82"/>
    <w:rsid w:val="00303C15"/>
    <w:rsid w:val="00303F08"/>
    <w:rsid w:val="00304142"/>
    <w:rsid w:val="00304161"/>
    <w:rsid w:val="0030419D"/>
    <w:rsid w:val="00304560"/>
    <w:rsid w:val="00304678"/>
    <w:rsid w:val="00304717"/>
    <w:rsid w:val="00304CD8"/>
    <w:rsid w:val="00304D95"/>
    <w:rsid w:val="003053B5"/>
    <w:rsid w:val="00305460"/>
    <w:rsid w:val="00305763"/>
    <w:rsid w:val="00305932"/>
    <w:rsid w:val="00305947"/>
    <w:rsid w:val="00306732"/>
    <w:rsid w:val="003067BD"/>
    <w:rsid w:val="00306974"/>
    <w:rsid w:val="00306A0B"/>
    <w:rsid w:val="003070FA"/>
    <w:rsid w:val="00307186"/>
    <w:rsid w:val="003077A5"/>
    <w:rsid w:val="00307F9B"/>
    <w:rsid w:val="00310043"/>
    <w:rsid w:val="0031029F"/>
    <w:rsid w:val="003103BE"/>
    <w:rsid w:val="00310514"/>
    <w:rsid w:val="0031087F"/>
    <w:rsid w:val="00310C67"/>
    <w:rsid w:val="00310D49"/>
    <w:rsid w:val="00310ECE"/>
    <w:rsid w:val="00310F45"/>
    <w:rsid w:val="0031134B"/>
    <w:rsid w:val="00311460"/>
    <w:rsid w:val="0031174E"/>
    <w:rsid w:val="00311824"/>
    <w:rsid w:val="00311971"/>
    <w:rsid w:val="00311EFA"/>
    <w:rsid w:val="00311F9B"/>
    <w:rsid w:val="003121A6"/>
    <w:rsid w:val="003124A1"/>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2E9"/>
    <w:rsid w:val="003153EE"/>
    <w:rsid w:val="0031545E"/>
    <w:rsid w:val="003155D2"/>
    <w:rsid w:val="003155D5"/>
    <w:rsid w:val="0031567F"/>
    <w:rsid w:val="00315A8B"/>
    <w:rsid w:val="0031643E"/>
    <w:rsid w:val="00316551"/>
    <w:rsid w:val="003165AF"/>
    <w:rsid w:val="00316616"/>
    <w:rsid w:val="00316839"/>
    <w:rsid w:val="00316B0F"/>
    <w:rsid w:val="00316C71"/>
    <w:rsid w:val="00316E30"/>
    <w:rsid w:val="0031716C"/>
    <w:rsid w:val="003174A2"/>
    <w:rsid w:val="00317519"/>
    <w:rsid w:val="003178CF"/>
    <w:rsid w:val="00317969"/>
    <w:rsid w:val="00317C18"/>
    <w:rsid w:val="00317DE3"/>
    <w:rsid w:val="003203F1"/>
    <w:rsid w:val="00320500"/>
    <w:rsid w:val="00320566"/>
    <w:rsid w:val="00320678"/>
    <w:rsid w:val="00320996"/>
    <w:rsid w:val="00320C76"/>
    <w:rsid w:val="00320DBB"/>
    <w:rsid w:val="00321505"/>
    <w:rsid w:val="003216E4"/>
    <w:rsid w:val="00321874"/>
    <w:rsid w:val="00321887"/>
    <w:rsid w:val="003218FA"/>
    <w:rsid w:val="003223DE"/>
    <w:rsid w:val="0032244B"/>
    <w:rsid w:val="003226F3"/>
    <w:rsid w:val="003228AC"/>
    <w:rsid w:val="00322B57"/>
    <w:rsid w:val="00322C1B"/>
    <w:rsid w:val="00322FCD"/>
    <w:rsid w:val="0032310A"/>
    <w:rsid w:val="0032348D"/>
    <w:rsid w:val="003235F6"/>
    <w:rsid w:val="00323783"/>
    <w:rsid w:val="003239FE"/>
    <w:rsid w:val="00323DC0"/>
    <w:rsid w:val="00323E4D"/>
    <w:rsid w:val="00323F7B"/>
    <w:rsid w:val="00324208"/>
    <w:rsid w:val="003245AA"/>
    <w:rsid w:val="00324674"/>
    <w:rsid w:val="00324AF7"/>
    <w:rsid w:val="00325827"/>
    <w:rsid w:val="003258A7"/>
    <w:rsid w:val="00325998"/>
    <w:rsid w:val="003259A3"/>
    <w:rsid w:val="00325A7A"/>
    <w:rsid w:val="00325ABC"/>
    <w:rsid w:val="00325E22"/>
    <w:rsid w:val="00325E50"/>
    <w:rsid w:val="0032670D"/>
    <w:rsid w:val="00326848"/>
    <w:rsid w:val="00326984"/>
    <w:rsid w:val="00326BB2"/>
    <w:rsid w:val="00326BD8"/>
    <w:rsid w:val="00326ED8"/>
    <w:rsid w:val="00326F1D"/>
    <w:rsid w:val="00327CD1"/>
    <w:rsid w:val="00327D35"/>
    <w:rsid w:val="00330636"/>
    <w:rsid w:val="0033089E"/>
    <w:rsid w:val="003308AC"/>
    <w:rsid w:val="00330B40"/>
    <w:rsid w:val="00330B78"/>
    <w:rsid w:val="003311C4"/>
    <w:rsid w:val="0033180A"/>
    <w:rsid w:val="00331E9C"/>
    <w:rsid w:val="00331FBE"/>
    <w:rsid w:val="0033253F"/>
    <w:rsid w:val="0033295D"/>
    <w:rsid w:val="0033296A"/>
    <w:rsid w:val="00332B2F"/>
    <w:rsid w:val="00332DFF"/>
    <w:rsid w:val="00332E1E"/>
    <w:rsid w:val="00333128"/>
    <w:rsid w:val="00333223"/>
    <w:rsid w:val="0033335F"/>
    <w:rsid w:val="003334F6"/>
    <w:rsid w:val="00333646"/>
    <w:rsid w:val="003337D5"/>
    <w:rsid w:val="00333CC1"/>
    <w:rsid w:val="00333D1F"/>
    <w:rsid w:val="00333DBC"/>
    <w:rsid w:val="003346CE"/>
    <w:rsid w:val="0033487A"/>
    <w:rsid w:val="00334BD6"/>
    <w:rsid w:val="00334DF1"/>
    <w:rsid w:val="00335039"/>
    <w:rsid w:val="0033515F"/>
    <w:rsid w:val="00335467"/>
    <w:rsid w:val="00335474"/>
    <w:rsid w:val="00335589"/>
    <w:rsid w:val="003355AC"/>
    <w:rsid w:val="003356C8"/>
    <w:rsid w:val="003357EF"/>
    <w:rsid w:val="00335AFA"/>
    <w:rsid w:val="00335C85"/>
    <w:rsid w:val="00335D76"/>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17B"/>
    <w:rsid w:val="00341440"/>
    <w:rsid w:val="003414D2"/>
    <w:rsid w:val="003416BB"/>
    <w:rsid w:val="003417AD"/>
    <w:rsid w:val="00341A8C"/>
    <w:rsid w:val="00341ED9"/>
    <w:rsid w:val="003422F0"/>
    <w:rsid w:val="0034257E"/>
    <w:rsid w:val="003425B1"/>
    <w:rsid w:val="00342877"/>
    <w:rsid w:val="00342895"/>
    <w:rsid w:val="00343081"/>
    <w:rsid w:val="00343161"/>
    <w:rsid w:val="0034333F"/>
    <w:rsid w:val="00343BF3"/>
    <w:rsid w:val="00343DB9"/>
    <w:rsid w:val="00343DE7"/>
    <w:rsid w:val="00344502"/>
    <w:rsid w:val="00344F56"/>
    <w:rsid w:val="003451F5"/>
    <w:rsid w:val="0034538F"/>
    <w:rsid w:val="00345754"/>
    <w:rsid w:val="003459BC"/>
    <w:rsid w:val="00345B71"/>
    <w:rsid w:val="00345C1B"/>
    <w:rsid w:val="003460E4"/>
    <w:rsid w:val="003461BF"/>
    <w:rsid w:val="0034641E"/>
    <w:rsid w:val="003469F1"/>
    <w:rsid w:val="00346A8C"/>
    <w:rsid w:val="00346C96"/>
    <w:rsid w:val="00346DBB"/>
    <w:rsid w:val="00346F98"/>
    <w:rsid w:val="00347009"/>
    <w:rsid w:val="00347056"/>
    <w:rsid w:val="00347992"/>
    <w:rsid w:val="00347A22"/>
    <w:rsid w:val="00347A62"/>
    <w:rsid w:val="00347B3D"/>
    <w:rsid w:val="00347C30"/>
    <w:rsid w:val="00347D0F"/>
    <w:rsid w:val="00347E52"/>
    <w:rsid w:val="003501F6"/>
    <w:rsid w:val="0035085E"/>
    <w:rsid w:val="00350DD2"/>
    <w:rsid w:val="00350E74"/>
    <w:rsid w:val="00351203"/>
    <w:rsid w:val="0035121C"/>
    <w:rsid w:val="00351338"/>
    <w:rsid w:val="00351892"/>
    <w:rsid w:val="00351D3A"/>
    <w:rsid w:val="00351D68"/>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529B"/>
    <w:rsid w:val="00355379"/>
    <w:rsid w:val="00355785"/>
    <w:rsid w:val="00355AC5"/>
    <w:rsid w:val="00355E65"/>
    <w:rsid w:val="003560E2"/>
    <w:rsid w:val="0035613B"/>
    <w:rsid w:val="003561CB"/>
    <w:rsid w:val="00356253"/>
    <w:rsid w:val="0035669B"/>
    <w:rsid w:val="00356AA4"/>
    <w:rsid w:val="00356CA6"/>
    <w:rsid w:val="003571FB"/>
    <w:rsid w:val="0035750A"/>
    <w:rsid w:val="00357680"/>
    <w:rsid w:val="00357982"/>
    <w:rsid w:val="00357B69"/>
    <w:rsid w:val="00357D33"/>
    <w:rsid w:val="00357ECC"/>
    <w:rsid w:val="0036027D"/>
    <w:rsid w:val="0036059C"/>
    <w:rsid w:val="003605E3"/>
    <w:rsid w:val="00360792"/>
    <w:rsid w:val="003607FD"/>
    <w:rsid w:val="003608F6"/>
    <w:rsid w:val="00360AD9"/>
    <w:rsid w:val="00360C49"/>
    <w:rsid w:val="00360CF1"/>
    <w:rsid w:val="00360DA1"/>
    <w:rsid w:val="00360DAA"/>
    <w:rsid w:val="0036101D"/>
    <w:rsid w:val="003611C4"/>
    <w:rsid w:val="003614B0"/>
    <w:rsid w:val="003614B8"/>
    <w:rsid w:val="003617B8"/>
    <w:rsid w:val="00361AE7"/>
    <w:rsid w:val="00361BCC"/>
    <w:rsid w:val="00361C84"/>
    <w:rsid w:val="00361EB6"/>
    <w:rsid w:val="00361EC8"/>
    <w:rsid w:val="00361F52"/>
    <w:rsid w:val="00362919"/>
    <w:rsid w:val="00362B31"/>
    <w:rsid w:val="00362C4B"/>
    <w:rsid w:val="00362D07"/>
    <w:rsid w:val="00362D1A"/>
    <w:rsid w:val="003634EA"/>
    <w:rsid w:val="003636FB"/>
    <w:rsid w:val="00363A15"/>
    <w:rsid w:val="00363B12"/>
    <w:rsid w:val="00363B7D"/>
    <w:rsid w:val="00363CDC"/>
    <w:rsid w:val="00363ECF"/>
    <w:rsid w:val="00363EDF"/>
    <w:rsid w:val="00364204"/>
    <w:rsid w:val="003646FB"/>
    <w:rsid w:val="00364A55"/>
    <w:rsid w:val="00364B2A"/>
    <w:rsid w:val="00364BBD"/>
    <w:rsid w:val="00364C5E"/>
    <w:rsid w:val="00364F26"/>
    <w:rsid w:val="00365560"/>
    <w:rsid w:val="00365701"/>
    <w:rsid w:val="0036573A"/>
    <w:rsid w:val="0036577F"/>
    <w:rsid w:val="00365A64"/>
    <w:rsid w:val="00365C66"/>
    <w:rsid w:val="00365E23"/>
    <w:rsid w:val="0036635B"/>
    <w:rsid w:val="0036668C"/>
    <w:rsid w:val="003669A6"/>
    <w:rsid w:val="00366BFF"/>
    <w:rsid w:val="0036747E"/>
    <w:rsid w:val="00367EF1"/>
    <w:rsid w:val="003701AC"/>
    <w:rsid w:val="00370640"/>
    <w:rsid w:val="00370645"/>
    <w:rsid w:val="003708D0"/>
    <w:rsid w:val="00371090"/>
    <w:rsid w:val="003710E4"/>
    <w:rsid w:val="003714BC"/>
    <w:rsid w:val="00371DBB"/>
    <w:rsid w:val="003725BF"/>
    <w:rsid w:val="003725E3"/>
    <w:rsid w:val="00372773"/>
    <w:rsid w:val="0037281D"/>
    <w:rsid w:val="003728D7"/>
    <w:rsid w:val="00372C0F"/>
    <w:rsid w:val="00372EC1"/>
    <w:rsid w:val="00372F8A"/>
    <w:rsid w:val="00372FB3"/>
    <w:rsid w:val="0037312C"/>
    <w:rsid w:val="003731C3"/>
    <w:rsid w:val="0037387C"/>
    <w:rsid w:val="00373F94"/>
    <w:rsid w:val="00374200"/>
    <w:rsid w:val="003742E9"/>
    <w:rsid w:val="00374549"/>
    <w:rsid w:val="00374761"/>
    <w:rsid w:val="0037484D"/>
    <w:rsid w:val="00374C13"/>
    <w:rsid w:val="00374DC9"/>
    <w:rsid w:val="00375112"/>
    <w:rsid w:val="0037517D"/>
    <w:rsid w:val="0037521A"/>
    <w:rsid w:val="00375406"/>
    <w:rsid w:val="003756A8"/>
    <w:rsid w:val="00375DF8"/>
    <w:rsid w:val="0037647F"/>
    <w:rsid w:val="00376778"/>
    <w:rsid w:val="003768BA"/>
    <w:rsid w:val="00376934"/>
    <w:rsid w:val="00376B6A"/>
    <w:rsid w:val="00376F62"/>
    <w:rsid w:val="00376F70"/>
    <w:rsid w:val="0037705C"/>
    <w:rsid w:val="0037727F"/>
    <w:rsid w:val="003772B2"/>
    <w:rsid w:val="003777E2"/>
    <w:rsid w:val="00377A00"/>
    <w:rsid w:val="00377A90"/>
    <w:rsid w:val="00377E05"/>
    <w:rsid w:val="00377E1A"/>
    <w:rsid w:val="003801D3"/>
    <w:rsid w:val="0038054D"/>
    <w:rsid w:val="0038083C"/>
    <w:rsid w:val="00380FD2"/>
    <w:rsid w:val="003810E3"/>
    <w:rsid w:val="00381260"/>
    <w:rsid w:val="00381992"/>
    <w:rsid w:val="00381E70"/>
    <w:rsid w:val="00381F15"/>
    <w:rsid w:val="00381FA2"/>
    <w:rsid w:val="00381FB9"/>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40B4"/>
    <w:rsid w:val="0038417A"/>
    <w:rsid w:val="00384446"/>
    <w:rsid w:val="0038461D"/>
    <w:rsid w:val="0038480A"/>
    <w:rsid w:val="00384985"/>
    <w:rsid w:val="00384AB5"/>
    <w:rsid w:val="00384B49"/>
    <w:rsid w:val="00384BC3"/>
    <w:rsid w:val="00384C92"/>
    <w:rsid w:val="00384D49"/>
    <w:rsid w:val="00384D9B"/>
    <w:rsid w:val="00384DD8"/>
    <w:rsid w:val="00384E83"/>
    <w:rsid w:val="00384F61"/>
    <w:rsid w:val="003852C5"/>
    <w:rsid w:val="0038555F"/>
    <w:rsid w:val="003855C5"/>
    <w:rsid w:val="0038567B"/>
    <w:rsid w:val="00385912"/>
    <w:rsid w:val="00385979"/>
    <w:rsid w:val="00385A4E"/>
    <w:rsid w:val="00385A72"/>
    <w:rsid w:val="00385D3D"/>
    <w:rsid w:val="003860AE"/>
    <w:rsid w:val="003861D5"/>
    <w:rsid w:val="003865E5"/>
    <w:rsid w:val="00386995"/>
    <w:rsid w:val="00386A3F"/>
    <w:rsid w:val="00386D50"/>
    <w:rsid w:val="003876EA"/>
    <w:rsid w:val="003879E4"/>
    <w:rsid w:val="00387EAE"/>
    <w:rsid w:val="00387EC3"/>
    <w:rsid w:val="003900D4"/>
    <w:rsid w:val="003900E9"/>
    <w:rsid w:val="0039048C"/>
    <w:rsid w:val="003904FB"/>
    <w:rsid w:val="00390660"/>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2A6B"/>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48C"/>
    <w:rsid w:val="0039554C"/>
    <w:rsid w:val="0039571E"/>
    <w:rsid w:val="00395CF6"/>
    <w:rsid w:val="00395EDC"/>
    <w:rsid w:val="00395F99"/>
    <w:rsid w:val="00396437"/>
    <w:rsid w:val="0039687E"/>
    <w:rsid w:val="00396A34"/>
    <w:rsid w:val="00396DC3"/>
    <w:rsid w:val="00396F82"/>
    <w:rsid w:val="0039769A"/>
    <w:rsid w:val="00397AE9"/>
    <w:rsid w:val="003A0277"/>
    <w:rsid w:val="003A0316"/>
    <w:rsid w:val="003A063D"/>
    <w:rsid w:val="003A090B"/>
    <w:rsid w:val="003A094A"/>
    <w:rsid w:val="003A0CB0"/>
    <w:rsid w:val="003A12D7"/>
    <w:rsid w:val="003A13DE"/>
    <w:rsid w:val="003A17C3"/>
    <w:rsid w:val="003A1C16"/>
    <w:rsid w:val="003A21F8"/>
    <w:rsid w:val="003A2805"/>
    <w:rsid w:val="003A284B"/>
    <w:rsid w:val="003A2A56"/>
    <w:rsid w:val="003A2D67"/>
    <w:rsid w:val="003A36CE"/>
    <w:rsid w:val="003A3E68"/>
    <w:rsid w:val="003A4098"/>
    <w:rsid w:val="003A4223"/>
    <w:rsid w:val="003A4362"/>
    <w:rsid w:val="003A43B4"/>
    <w:rsid w:val="003A46E9"/>
    <w:rsid w:val="003A472D"/>
    <w:rsid w:val="003A4883"/>
    <w:rsid w:val="003A4A86"/>
    <w:rsid w:val="003A4C36"/>
    <w:rsid w:val="003A4C84"/>
    <w:rsid w:val="003A4FFA"/>
    <w:rsid w:val="003A510B"/>
    <w:rsid w:val="003A5162"/>
    <w:rsid w:val="003A5438"/>
    <w:rsid w:val="003A54F3"/>
    <w:rsid w:val="003A550E"/>
    <w:rsid w:val="003A58D3"/>
    <w:rsid w:val="003A5C62"/>
    <w:rsid w:val="003A5D4F"/>
    <w:rsid w:val="003A5F87"/>
    <w:rsid w:val="003A6191"/>
    <w:rsid w:val="003A65E2"/>
    <w:rsid w:val="003A684C"/>
    <w:rsid w:val="003A6A5D"/>
    <w:rsid w:val="003A6D5D"/>
    <w:rsid w:val="003A6EBC"/>
    <w:rsid w:val="003A77A6"/>
    <w:rsid w:val="003A7B20"/>
    <w:rsid w:val="003A7D3E"/>
    <w:rsid w:val="003A7DBA"/>
    <w:rsid w:val="003B01FF"/>
    <w:rsid w:val="003B053E"/>
    <w:rsid w:val="003B054B"/>
    <w:rsid w:val="003B0B3A"/>
    <w:rsid w:val="003B0DB6"/>
    <w:rsid w:val="003B0E84"/>
    <w:rsid w:val="003B10A8"/>
    <w:rsid w:val="003B11E2"/>
    <w:rsid w:val="003B12C9"/>
    <w:rsid w:val="003B1371"/>
    <w:rsid w:val="003B1636"/>
    <w:rsid w:val="003B197A"/>
    <w:rsid w:val="003B1EE3"/>
    <w:rsid w:val="003B1F5E"/>
    <w:rsid w:val="003B2537"/>
    <w:rsid w:val="003B29A6"/>
    <w:rsid w:val="003B2CAD"/>
    <w:rsid w:val="003B2E7E"/>
    <w:rsid w:val="003B3072"/>
    <w:rsid w:val="003B310A"/>
    <w:rsid w:val="003B33B7"/>
    <w:rsid w:val="003B3412"/>
    <w:rsid w:val="003B3441"/>
    <w:rsid w:val="003B37BC"/>
    <w:rsid w:val="003B4158"/>
    <w:rsid w:val="003B41FC"/>
    <w:rsid w:val="003B44EB"/>
    <w:rsid w:val="003B45C0"/>
    <w:rsid w:val="003B4634"/>
    <w:rsid w:val="003B4B2A"/>
    <w:rsid w:val="003B4DB9"/>
    <w:rsid w:val="003B4F05"/>
    <w:rsid w:val="003B5035"/>
    <w:rsid w:val="003B6183"/>
    <w:rsid w:val="003B61EE"/>
    <w:rsid w:val="003B631E"/>
    <w:rsid w:val="003B6F04"/>
    <w:rsid w:val="003B6FEC"/>
    <w:rsid w:val="003B70FD"/>
    <w:rsid w:val="003B730A"/>
    <w:rsid w:val="003B769E"/>
    <w:rsid w:val="003B7B96"/>
    <w:rsid w:val="003B7C0A"/>
    <w:rsid w:val="003B7E4E"/>
    <w:rsid w:val="003C0190"/>
    <w:rsid w:val="003C021F"/>
    <w:rsid w:val="003C048B"/>
    <w:rsid w:val="003C0504"/>
    <w:rsid w:val="003C0C33"/>
    <w:rsid w:val="003C0E43"/>
    <w:rsid w:val="003C0EB4"/>
    <w:rsid w:val="003C0FB8"/>
    <w:rsid w:val="003C105F"/>
    <w:rsid w:val="003C1069"/>
    <w:rsid w:val="003C11A8"/>
    <w:rsid w:val="003C1E6D"/>
    <w:rsid w:val="003C2F67"/>
    <w:rsid w:val="003C30BF"/>
    <w:rsid w:val="003C3307"/>
    <w:rsid w:val="003C33A6"/>
    <w:rsid w:val="003C346F"/>
    <w:rsid w:val="003C34EA"/>
    <w:rsid w:val="003C37A3"/>
    <w:rsid w:val="003C4281"/>
    <w:rsid w:val="003C4AFE"/>
    <w:rsid w:val="003C4BBF"/>
    <w:rsid w:val="003C4C26"/>
    <w:rsid w:val="003C4C2D"/>
    <w:rsid w:val="003C521E"/>
    <w:rsid w:val="003C54A5"/>
    <w:rsid w:val="003C5606"/>
    <w:rsid w:val="003C590E"/>
    <w:rsid w:val="003C594E"/>
    <w:rsid w:val="003C5E63"/>
    <w:rsid w:val="003C6565"/>
    <w:rsid w:val="003C67CB"/>
    <w:rsid w:val="003C7091"/>
    <w:rsid w:val="003C75E7"/>
    <w:rsid w:val="003C78AC"/>
    <w:rsid w:val="003C7E88"/>
    <w:rsid w:val="003D000A"/>
    <w:rsid w:val="003D04CC"/>
    <w:rsid w:val="003D04D6"/>
    <w:rsid w:val="003D0AB5"/>
    <w:rsid w:val="003D0BAF"/>
    <w:rsid w:val="003D0C96"/>
    <w:rsid w:val="003D0D3C"/>
    <w:rsid w:val="003D0F30"/>
    <w:rsid w:val="003D1175"/>
    <w:rsid w:val="003D1A87"/>
    <w:rsid w:val="003D1AA1"/>
    <w:rsid w:val="003D1C24"/>
    <w:rsid w:val="003D1C3F"/>
    <w:rsid w:val="003D1E1C"/>
    <w:rsid w:val="003D1E97"/>
    <w:rsid w:val="003D1FF9"/>
    <w:rsid w:val="003D248C"/>
    <w:rsid w:val="003D2743"/>
    <w:rsid w:val="003D28ED"/>
    <w:rsid w:val="003D2999"/>
    <w:rsid w:val="003D2A68"/>
    <w:rsid w:val="003D2DC7"/>
    <w:rsid w:val="003D3EC6"/>
    <w:rsid w:val="003D44F6"/>
    <w:rsid w:val="003D4660"/>
    <w:rsid w:val="003D4A83"/>
    <w:rsid w:val="003D4A8D"/>
    <w:rsid w:val="003D5155"/>
    <w:rsid w:val="003D583D"/>
    <w:rsid w:val="003D58FC"/>
    <w:rsid w:val="003D5A4A"/>
    <w:rsid w:val="003D5A9B"/>
    <w:rsid w:val="003D5AB0"/>
    <w:rsid w:val="003D5D51"/>
    <w:rsid w:val="003D5ECA"/>
    <w:rsid w:val="003D5F07"/>
    <w:rsid w:val="003D6678"/>
    <w:rsid w:val="003D6860"/>
    <w:rsid w:val="003D6A24"/>
    <w:rsid w:val="003D6A9A"/>
    <w:rsid w:val="003D6AE2"/>
    <w:rsid w:val="003D72CD"/>
    <w:rsid w:val="003D7508"/>
    <w:rsid w:val="003D771E"/>
    <w:rsid w:val="003D7742"/>
    <w:rsid w:val="003D77AF"/>
    <w:rsid w:val="003D7A15"/>
    <w:rsid w:val="003D7AFE"/>
    <w:rsid w:val="003D7F36"/>
    <w:rsid w:val="003E020B"/>
    <w:rsid w:val="003E039A"/>
    <w:rsid w:val="003E0406"/>
    <w:rsid w:val="003E0471"/>
    <w:rsid w:val="003E05BD"/>
    <w:rsid w:val="003E0DBA"/>
    <w:rsid w:val="003E10F4"/>
    <w:rsid w:val="003E111E"/>
    <w:rsid w:val="003E126E"/>
    <w:rsid w:val="003E151E"/>
    <w:rsid w:val="003E1535"/>
    <w:rsid w:val="003E1C08"/>
    <w:rsid w:val="003E1C42"/>
    <w:rsid w:val="003E2025"/>
    <w:rsid w:val="003E2428"/>
    <w:rsid w:val="003E263D"/>
    <w:rsid w:val="003E28F4"/>
    <w:rsid w:val="003E2A43"/>
    <w:rsid w:val="003E2B36"/>
    <w:rsid w:val="003E2D0C"/>
    <w:rsid w:val="003E2F1D"/>
    <w:rsid w:val="003E31BE"/>
    <w:rsid w:val="003E35CF"/>
    <w:rsid w:val="003E3B0F"/>
    <w:rsid w:val="003E3CBD"/>
    <w:rsid w:val="003E3E94"/>
    <w:rsid w:val="003E3E9A"/>
    <w:rsid w:val="003E3EC1"/>
    <w:rsid w:val="003E3EDB"/>
    <w:rsid w:val="003E3EE4"/>
    <w:rsid w:val="003E4721"/>
    <w:rsid w:val="003E4925"/>
    <w:rsid w:val="003E4DCC"/>
    <w:rsid w:val="003E5158"/>
    <w:rsid w:val="003E5405"/>
    <w:rsid w:val="003E5BF0"/>
    <w:rsid w:val="003E5D6B"/>
    <w:rsid w:val="003E6423"/>
    <w:rsid w:val="003E6513"/>
    <w:rsid w:val="003E6654"/>
    <w:rsid w:val="003E6CFA"/>
    <w:rsid w:val="003E6E21"/>
    <w:rsid w:val="003E6F40"/>
    <w:rsid w:val="003E710B"/>
    <w:rsid w:val="003E7163"/>
    <w:rsid w:val="003E7A91"/>
    <w:rsid w:val="003E7B17"/>
    <w:rsid w:val="003E7B8C"/>
    <w:rsid w:val="003E7EB1"/>
    <w:rsid w:val="003E7FB2"/>
    <w:rsid w:val="003F05D2"/>
    <w:rsid w:val="003F0906"/>
    <w:rsid w:val="003F0921"/>
    <w:rsid w:val="003F165A"/>
    <w:rsid w:val="003F1776"/>
    <w:rsid w:val="003F1843"/>
    <w:rsid w:val="003F1A2F"/>
    <w:rsid w:val="003F1B52"/>
    <w:rsid w:val="003F1C97"/>
    <w:rsid w:val="003F1D40"/>
    <w:rsid w:val="003F1FE6"/>
    <w:rsid w:val="003F20A4"/>
    <w:rsid w:val="003F20DE"/>
    <w:rsid w:val="003F2154"/>
    <w:rsid w:val="003F2201"/>
    <w:rsid w:val="003F2366"/>
    <w:rsid w:val="003F2488"/>
    <w:rsid w:val="003F25C4"/>
    <w:rsid w:val="003F274D"/>
    <w:rsid w:val="003F2764"/>
    <w:rsid w:val="003F3325"/>
    <w:rsid w:val="003F340D"/>
    <w:rsid w:val="003F3A19"/>
    <w:rsid w:val="003F3BAE"/>
    <w:rsid w:val="003F3F36"/>
    <w:rsid w:val="003F3FAB"/>
    <w:rsid w:val="003F40D1"/>
    <w:rsid w:val="003F46E9"/>
    <w:rsid w:val="003F4D16"/>
    <w:rsid w:val="003F4F84"/>
    <w:rsid w:val="003F516E"/>
    <w:rsid w:val="003F5716"/>
    <w:rsid w:val="003F5E37"/>
    <w:rsid w:val="003F60C2"/>
    <w:rsid w:val="003F6396"/>
    <w:rsid w:val="003F6422"/>
    <w:rsid w:val="003F698E"/>
    <w:rsid w:val="003F6A6E"/>
    <w:rsid w:val="003F6A94"/>
    <w:rsid w:val="003F7324"/>
    <w:rsid w:val="003F73F1"/>
    <w:rsid w:val="003F74D8"/>
    <w:rsid w:val="003F75A5"/>
    <w:rsid w:val="003F76F6"/>
    <w:rsid w:val="003F7758"/>
    <w:rsid w:val="003F7A92"/>
    <w:rsid w:val="003F7B4F"/>
    <w:rsid w:val="004001A2"/>
    <w:rsid w:val="00400486"/>
    <w:rsid w:val="004006F3"/>
    <w:rsid w:val="00400762"/>
    <w:rsid w:val="004008A0"/>
    <w:rsid w:val="00400E28"/>
    <w:rsid w:val="00401287"/>
    <w:rsid w:val="0040181B"/>
    <w:rsid w:val="00401EE3"/>
    <w:rsid w:val="0040209C"/>
    <w:rsid w:val="0040218F"/>
    <w:rsid w:val="00402274"/>
    <w:rsid w:val="004028B6"/>
    <w:rsid w:val="00402AD4"/>
    <w:rsid w:val="00402E78"/>
    <w:rsid w:val="004030AA"/>
    <w:rsid w:val="00403E79"/>
    <w:rsid w:val="004040FE"/>
    <w:rsid w:val="00404212"/>
    <w:rsid w:val="004044C1"/>
    <w:rsid w:val="00404785"/>
    <w:rsid w:val="00404B18"/>
    <w:rsid w:val="00404B8A"/>
    <w:rsid w:val="00404F2A"/>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A5F"/>
    <w:rsid w:val="00412D38"/>
    <w:rsid w:val="00412EFF"/>
    <w:rsid w:val="0041372F"/>
    <w:rsid w:val="0041390D"/>
    <w:rsid w:val="00414424"/>
    <w:rsid w:val="00414470"/>
    <w:rsid w:val="00414636"/>
    <w:rsid w:val="00414936"/>
    <w:rsid w:val="00414D29"/>
    <w:rsid w:val="00414FAD"/>
    <w:rsid w:val="00415552"/>
    <w:rsid w:val="0041562D"/>
    <w:rsid w:val="00415807"/>
    <w:rsid w:val="004161FE"/>
    <w:rsid w:val="004166F7"/>
    <w:rsid w:val="004168DB"/>
    <w:rsid w:val="0041697D"/>
    <w:rsid w:val="00416D3B"/>
    <w:rsid w:val="00416F71"/>
    <w:rsid w:val="00417094"/>
    <w:rsid w:val="004171B0"/>
    <w:rsid w:val="00417431"/>
    <w:rsid w:val="004174A9"/>
    <w:rsid w:val="00417B83"/>
    <w:rsid w:val="00420269"/>
    <w:rsid w:val="004204F9"/>
    <w:rsid w:val="00420510"/>
    <w:rsid w:val="00420766"/>
    <w:rsid w:val="004207BD"/>
    <w:rsid w:val="00420984"/>
    <w:rsid w:val="004209EC"/>
    <w:rsid w:val="00420A6E"/>
    <w:rsid w:val="00420BA9"/>
    <w:rsid w:val="004214FD"/>
    <w:rsid w:val="004216A1"/>
    <w:rsid w:val="004216E4"/>
    <w:rsid w:val="00421760"/>
    <w:rsid w:val="0042195B"/>
    <w:rsid w:val="00421A02"/>
    <w:rsid w:val="00421E11"/>
    <w:rsid w:val="00421FC1"/>
    <w:rsid w:val="0042213B"/>
    <w:rsid w:val="00422195"/>
    <w:rsid w:val="004226E7"/>
    <w:rsid w:val="004227B6"/>
    <w:rsid w:val="00422C3B"/>
    <w:rsid w:val="00422DF0"/>
    <w:rsid w:val="00423437"/>
    <w:rsid w:val="00423689"/>
    <w:rsid w:val="0042379C"/>
    <w:rsid w:val="004237D9"/>
    <w:rsid w:val="004237DE"/>
    <w:rsid w:val="00423847"/>
    <w:rsid w:val="00423B1B"/>
    <w:rsid w:val="00423C21"/>
    <w:rsid w:val="00423D4D"/>
    <w:rsid w:val="00423FDE"/>
    <w:rsid w:val="0042443E"/>
    <w:rsid w:val="0042500C"/>
    <w:rsid w:val="0042520E"/>
    <w:rsid w:val="004255F9"/>
    <w:rsid w:val="004256F0"/>
    <w:rsid w:val="004257F8"/>
    <w:rsid w:val="00425869"/>
    <w:rsid w:val="00425A7E"/>
    <w:rsid w:val="00425B7D"/>
    <w:rsid w:val="00425BE5"/>
    <w:rsid w:val="00425DA7"/>
    <w:rsid w:val="0042695B"/>
    <w:rsid w:val="004271DB"/>
    <w:rsid w:val="004273AC"/>
    <w:rsid w:val="004276C1"/>
    <w:rsid w:val="0042785D"/>
    <w:rsid w:val="00427ACF"/>
    <w:rsid w:val="00427B55"/>
    <w:rsid w:val="00427CC0"/>
    <w:rsid w:val="00427F77"/>
    <w:rsid w:val="00430137"/>
    <w:rsid w:val="00430244"/>
    <w:rsid w:val="0043038F"/>
    <w:rsid w:val="00430559"/>
    <w:rsid w:val="00430D25"/>
    <w:rsid w:val="0043120E"/>
    <w:rsid w:val="0043169B"/>
    <w:rsid w:val="00431DA4"/>
    <w:rsid w:val="00431ED7"/>
    <w:rsid w:val="00432950"/>
    <w:rsid w:val="00432AD4"/>
    <w:rsid w:val="00432C13"/>
    <w:rsid w:val="00432EBC"/>
    <w:rsid w:val="00433A5F"/>
    <w:rsid w:val="00433D7E"/>
    <w:rsid w:val="00433F9B"/>
    <w:rsid w:val="0043421A"/>
    <w:rsid w:val="00434642"/>
    <w:rsid w:val="00434D5D"/>
    <w:rsid w:val="00434E5F"/>
    <w:rsid w:val="00434FF6"/>
    <w:rsid w:val="004358D9"/>
    <w:rsid w:val="00435BF1"/>
    <w:rsid w:val="00435BFA"/>
    <w:rsid w:val="00435FB3"/>
    <w:rsid w:val="00436A99"/>
    <w:rsid w:val="00436B43"/>
    <w:rsid w:val="00436BF9"/>
    <w:rsid w:val="00436C0F"/>
    <w:rsid w:val="00436C11"/>
    <w:rsid w:val="00436FF7"/>
    <w:rsid w:val="00437043"/>
    <w:rsid w:val="0043720F"/>
    <w:rsid w:val="00437592"/>
    <w:rsid w:val="00437674"/>
    <w:rsid w:val="00437994"/>
    <w:rsid w:val="00437B42"/>
    <w:rsid w:val="00437C9C"/>
    <w:rsid w:val="0044008A"/>
    <w:rsid w:val="0044058B"/>
    <w:rsid w:val="00440F02"/>
    <w:rsid w:val="004416EF"/>
    <w:rsid w:val="00441C5C"/>
    <w:rsid w:val="00441E22"/>
    <w:rsid w:val="00442016"/>
    <w:rsid w:val="00442327"/>
    <w:rsid w:val="004425B1"/>
    <w:rsid w:val="0044288D"/>
    <w:rsid w:val="00442947"/>
    <w:rsid w:val="00442EB8"/>
    <w:rsid w:val="00442EC8"/>
    <w:rsid w:val="0044308C"/>
    <w:rsid w:val="00443493"/>
    <w:rsid w:val="00443790"/>
    <w:rsid w:val="00443C0F"/>
    <w:rsid w:val="00443F4D"/>
    <w:rsid w:val="004443BB"/>
    <w:rsid w:val="0044443D"/>
    <w:rsid w:val="004449C4"/>
    <w:rsid w:val="00444B47"/>
    <w:rsid w:val="00444B5E"/>
    <w:rsid w:val="00445260"/>
    <w:rsid w:val="004453B8"/>
    <w:rsid w:val="004456B2"/>
    <w:rsid w:val="004458D6"/>
    <w:rsid w:val="00445BC5"/>
    <w:rsid w:val="00446087"/>
    <w:rsid w:val="0044611D"/>
    <w:rsid w:val="00446595"/>
    <w:rsid w:val="00446632"/>
    <w:rsid w:val="00446D39"/>
    <w:rsid w:val="00446FAD"/>
    <w:rsid w:val="00447064"/>
    <w:rsid w:val="004470CE"/>
    <w:rsid w:val="004476C3"/>
    <w:rsid w:val="00447971"/>
    <w:rsid w:val="0045093D"/>
    <w:rsid w:val="00450AF0"/>
    <w:rsid w:val="00450C2E"/>
    <w:rsid w:val="00450C3E"/>
    <w:rsid w:val="00450C9D"/>
    <w:rsid w:val="00450D05"/>
    <w:rsid w:val="00450E4B"/>
    <w:rsid w:val="00450FB6"/>
    <w:rsid w:val="004510C4"/>
    <w:rsid w:val="00451496"/>
    <w:rsid w:val="00451906"/>
    <w:rsid w:val="004519EA"/>
    <w:rsid w:val="00451A26"/>
    <w:rsid w:val="00451DF0"/>
    <w:rsid w:val="00451E2F"/>
    <w:rsid w:val="00452755"/>
    <w:rsid w:val="00452A0A"/>
    <w:rsid w:val="00452AC9"/>
    <w:rsid w:val="00452B48"/>
    <w:rsid w:val="00452EB4"/>
    <w:rsid w:val="00452ECF"/>
    <w:rsid w:val="00452F46"/>
    <w:rsid w:val="00452FD7"/>
    <w:rsid w:val="00453865"/>
    <w:rsid w:val="00453B5B"/>
    <w:rsid w:val="00453C6F"/>
    <w:rsid w:val="00454115"/>
    <w:rsid w:val="00454442"/>
    <w:rsid w:val="004544DA"/>
    <w:rsid w:val="004546AB"/>
    <w:rsid w:val="00455127"/>
    <w:rsid w:val="00455256"/>
    <w:rsid w:val="0045548A"/>
    <w:rsid w:val="0045592B"/>
    <w:rsid w:val="00455A2B"/>
    <w:rsid w:val="00455C8B"/>
    <w:rsid w:val="00455D6E"/>
    <w:rsid w:val="00456124"/>
    <w:rsid w:val="00456237"/>
    <w:rsid w:val="0045644C"/>
    <w:rsid w:val="00456622"/>
    <w:rsid w:val="00456738"/>
    <w:rsid w:val="0045682C"/>
    <w:rsid w:val="004568C0"/>
    <w:rsid w:val="00456A16"/>
    <w:rsid w:val="00456A88"/>
    <w:rsid w:val="00456BBD"/>
    <w:rsid w:val="00456CA0"/>
    <w:rsid w:val="00456E1F"/>
    <w:rsid w:val="0045710F"/>
    <w:rsid w:val="0045719F"/>
    <w:rsid w:val="004572B1"/>
    <w:rsid w:val="0045732D"/>
    <w:rsid w:val="00457795"/>
    <w:rsid w:val="00460271"/>
    <w:rsid w:val="00460604"/>
    <w:rsid w:val="00460850"/>
    <w:rsid w:val="00460B03"/>
    <w:rsid w:val="00460B37"/>
    <w:rsid w:val="00460D60"/>
    <w:rsid w:val="00460DF0"/>
    <w:rsid w:val="0046107F"/>
    <w:rsid w:val="004611EC"/>
    <w:rsid w:val="00461576"/>
    <w:rsid w:val="0046177A"/>
    <w:rsid w:val="0046197F"/>
    <w:rsid w:val="00461C30"/>
    <w:rsid w:val="00461D21"/>
    <w:rsid w:val="00461D71"/>
    <w:rsid w:val="00462113"/>
    <w:rsid w:val="00462917"/>
    <w:rsid w:val="0046305C"/>
    <w:rsid w:val="00463435"/>
    <w:rsid w:val="00463536"/>
    <w:rsid w:val="00463731"/>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7E7"/>
    <w:rsid w:val="00466B30"/>
    <w:rsid w:val="00466DA6"/>
    <w:rsid w:val="00466E88"/>
    <w:rsid w:val="0046703B"/>
    <w:rsid w:val="00467112"/>
    <w:rsid w:val="00467181"/>
    <w:rsid w:val="004676FF"/>
    <w:rsid w:val="00467B5D"/>
    <w:rsid w:val="00467D56"/>
    <w:rsid w:val="0047041E"/>
    <w:rsid w:val="00470688"/>
    <w:rsid w:val="00471044"/>
    <w:rsid w:val="0047110B"/>
    <w:rsid w:val="0047192C"/>
    <w:rsid w:val="00471EAF"/>
    <w:rsid w:val="004720B0"/>
    <w:rsid w:val="0047217E"/>
    <w:rsid w:val="00472192"/>
    <w:rsid w:val="00472294"/>
    <w:rsid w:val="00472374"/>
    <w:rsid w:val="004727A6"/>
    <w:rsid w:val="00472C5F"/>
    <w:rsid w:val="00472C8E"/>
    <w:rsid w:val="004730B6"/>
    <w:rsid w:val="0047333D"/>
    <w:rsid w:val="00473624"/>
    <w:rsid w:val="00473719"/>
    <w:rsid w:val="004738EA"/>
    <w:rsid w:val="00473CFC"/>
    <w:rsid w:val="00474031"/>
    <w:rsid w:val="0047429B"/>
    <w:rsid w:val="0047450B"/>
    <w:rsid w:val="00474B33"/>
    <w:rsid w:val="00474C30"/>
    <w:rsid w:val="00474D75"/>
    <w:rsid w:val="00474E89"/>
    <w:rsid w:val="00475139"/>
    <w:rsid w:val="004751CA"/>
    <w:rsid w:val="004753A2"/>
    <w:rsid w:val="004756BB"/>
    <w:rsid w:val="00475935"/>
    <w:rsid w:val="00475B14"/>
    <w:rsid w:val="00475C66"/>
    <w:rsid w:val="00475C87"/>
    <w:rsid w:val="0047667D"/>
    <w:rsid w:val="00476E4D"/>
    <w:rsid w:val="00477189"/>
    <w:rsid w:val="004772AB"/>
    <w:rsid w:val="0047739F"/>
    <w:rsid w:val="00477E57"/>
    <w:rsid w:val="00480208"/>
    <w:rsid w:val="00480223"/>
    <w:rsid w:val="004804AE"/>
    <w:rsid w:val="00480867"/>
    <w:rsid w:val="00481794"/>
    <w:rsid w:val="00481BA3"/>
    <w:rsid w:val="004822A7"/>
    <w:rsid w:val="004822EB"/>
    <w:rsid w:val="0048239B"/>
    <w:rsid w:val="0048249D"/>
    <w:rsid w:val="00482834"/>
    <w:rsid w:val="00483530"/>
    <w:rsid w:val="0048374D"/>
    <w:rsid w:val="00483758"/>
    <w:rsid w:val="004838CA"/>
    <w:rsid w:val="004838E4"/>
    <w:rsid w:val="00483AD5"/>
    <w:rsid w:val="0048432C"/>
    <w:rsid w:val="004843F9"/>
    <w:rsid w:val="00484611"/>
    <w:rsid w:val="00484722"/>
    <w:rsid w:val="004851B3"/>
    <w:rsid w:val="00485272"/>
    <w:rsid w:val="00485F83"/>
    <w:rsid w:val="004860B6"/>
    <w:rsid w:val="00486140"/>
    <w:rsid w:val="0048623D"/>
    <w:rsid w:val="004867AF"/>
    <w:rsid w:val="00486A32"/>
    <w:rsid w:val="00487501"/>
    <w:rsid w:val="0048770D"/>
    <w:rsid w:val="004877B8"/>
    <w:rsid w:val="00487C22"/>
    <w:rsid w:val="00487C90"/>
    <w:rsid w:val="00487D34"/>
    <w:rsid w:val="004900D9"/>
    <w:rsid w:val="00490414"/>
    <w:rsid w:val="0049043B"/>
    <w:rsid w:val="004908D4"/>
    <w:rsid w:val="00490A07"/>
    <w:rsid w:val="00490F8C"/>
    <w:rsid w:val="004910DF"/>
    <w:rsid w:val="004912A0"/>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30C"/>
    <w:rsid w:val="004974A2"/>
    <w:rsid w:val="004979C9"/>
    <w:rsid w:val="00497CC5"/>
    <w:rsid w:val="00497DC0"/>
    <w:rsid w:val="00497E65"/>
    <w:rsid w:val="004A045D"/>
    <w:rsid w:val="004A0847"/>
    <w:rsid w:val="004A0AEE"/>
    <w:rsid w:val="004A0B68"/>
    <w:rsid w:val="004A0B9A"/>
    <w:rsid w:val="004A0D0A"/>
    <w:rsid w:val="004A119C"/>
    <w:rsid w:val="004A1263"/>
    <w:rsid w:val="004A12BA"/>
    <w:rsid w:val="004A19A1"/>
    <w:rsid w:val="004A1ED1"/>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3A3"/>
    <w:rsid w:val="004A65C5"/>
    <w:rsid w:val="004A66BC"/>
    <w:rsid w:val="004A67C0"/>
    <w:rsid w:val="004A6827"/>
    <w:rsid w:val="004A69A8"/>
    <w:rsid w:val="004A6A7D"/>
    <w:rsid w:val="004A6BFE"/>
    <w:rsid w:val="004A6E93"/>
    <w:rsid w:val="004A731D"/>
    <w:rsid w:val="004A7556"/>
    <w:rsid w:val="004A7573"/>
    <w:rsid w:val="004A7B15"/>
    <w:rsid w:val="004B059F"/>
    <w:rsid w:val="004B0B58"/>
    <w:rsid w:val="004B0BD8"/>
    <w:rsid w:val="004B0E6E"/>
    <w:rsid w:val="004B0EAB"/>
    <w:rsid w:val="004B1019"/>
    <w:rsid w:val="004B1282"/>
    <w:rsid w:val="004B1566"/>
    <w:rsid w:val="004B1638"/>
    <w:rsid w:val="004B167E"/>
    <w:rsid w:val="004B18A2"/>
    <w:rsid w:val="004B19D0"/>
    <w:rsid w:val="004B1B5B"/>
    <w:rsid w:val="004B1CFF"/>
    <w:rsid w:val="004B1ECA"/>
    <w:rsid w:val="004B1F23"/>
    <w:rsid w:val="004B2396"/>
    <w:rsid w:val="004B24CB"/>
    <w:rsid w:val="004B2623"/>
    <w:rsid w:val="004B27E0"/>
    <w:rsid w:val="004B2BA8"/>
    <w:rsid w:val="004B2C8E"/>
    <w:rsid w:val="004B30CF"/>
    <w:rsid w:val="004B35F0"/>
    <w:rsid w:val="004B3729"/>
    <w:rsid w:val="004B3C43"/>
    <w:rsid w:val="004B3D3A"/>
    <w:rsid w:val="004B3DF8"/>
    <w:rsid w:val="004B3F31"/>
    <w:rsid w:val="004B3F37"/>
    <w:rsid w:val="004B4085"/>
    <w:rsid w:val="004B42EB"/>
    <w:rsid w:val="004B4468"/>
    <w:rsid w:val="004B44CB"/>
    <w:rsid w:val="004B45D5"/>
    <w:rsid w:val="004B4664"/>
    <w:rsid w:val="004B47DB"/>
    <w:rsid w:val="004B484B"/>
    <w:rsid w:val="004B4ABF"/>
    <w:rsid w:val="004B4BD8"/>
    <w:rsid w:val="004B4C91"/>
    <w:rsid w:val="004B4CF8"/>
    <w:rsid w:val="004B4E46"/>
    <w:rsid w:val="004B591D"/>
    <w:rsid w:val="004B5E4C"/>
    <w:rsid w:val="004B6A3A"/>
    <w:rsid w:val="004B6B1F"/>
    <w:rsid w:val="004B6D92"/>
    <w:rsid w:val="004B7280"/>
    <w:rsid w:val="004B7CEE"/>
    <w:rsid w:val="004B7FBD"/>
    <w:rsid w:val="004C0185"/>
    <w:rsid w:val="004C04D9"/>
    <w:rsid w:val="004C04F5"/>
    <w:rsid w:val="004C05AD"/>
    <w:rsid w:val="004C0720"/>
    <w:rsid w:val="004C0850"/>
    <w:rsid w:val="004C0857"/>
    <w:rsid w:val="004C09F5"/>
    <w:rsid w:val="004C0B84"/>
    <w:rsid w:val="004C0F00"/>
    <w:rsid w:val="004C11C8"/>
    <w:rsid w:val="004C147B"/>
    <w:rsid w:val="004C19DB"/>
    <w:rsid w:val="004C1AB2"/>
    <w:rsid w:val="004C1DD0"/>
    <w:rsid w:val="004C1F0F"/>
    <w:rsid w:val="004C1F63"/>
    <w:rsid w:val="004C20B5"/>
    <w:rsid w:val="004C23FD"/>
    <w:rsid w:val="004C2630"/>
    <w:rsid w:val="004C2820"/>
    <w:rsid w:val="004C2CB5"/>
    <w:rsid w:val="004C2CDB"/>
    <w:rsid w:val="004C3385"/>
    <w:rsid w:val="004C360B"/>
    <w:rsid w:val="004C3B42"/>
    <w:rsid w:val="004C3C22"/>
    <w:rsid w:val="004C3C92"/>
    <w:rsid w:val="004C43DB"/>
    <w:rsid w:val="004C469A"/>
    <w:rsid w:val="004C46B6"/>
    <w:rsid w:val="004C47F9"/>
    <w:rsid w:val="004C4A06"/>
    <w:rsid w:val="004C4CF6"/>
    <w:rsid w:val="004C52A2"/>
    <w:rsid w:val="004C54DC"/>
    <w:rsid w:val="004C54E9"/>
    <w:rsid w:val="004C5C3B"/>
    <w:rsid w:val="004C5C6B"/>
    <w:rsid w:val="004C5D0F"/>
    <w:rsid w:val="004C5DDD"/>
    <w:rsid w:val="004C6114"/>
    <w:rsid w:val="004C6307"/>
    <w:rsid w:val="004C6949"/>
    <w:rsid w:val="004C69CF"/>
    <w:rsid w:val="004C69D4"/>
    <w:rsid w:val="004C726D"/>
    <w:rsid w:val="004C7495"/>
    <w:rsid w:val="004C75F6"/>
    <w:rsid w:val="004D0024"/>
    <w:rsid w:val="004D0614"/>
    <w:rsid w:val="004D09FD"/>
    <w:rsid w:val="004D104F"/>
    <w:rsid w:val="004D13B9"/>
    <w:rsid w:val="004D162C"/>
    <w:rsid w:val="004D162D"/>
    <w:rsid w:val="004D16CD"/>
    <w:rsid w:val="004D16F6"/>
    <w:rsid w:val="004D1B47"/>
    <w:rsid w:val="004D1BE3"/>
    <w:rsid w:val="004D1F83"/>
    <w:rsid w:val="004D2158"/>
    <w:rsid w:val="004D21A7"/>
    <w:rsid w:val="004D21C7"/>
    <w:rsid w:val="004D2237"/>
    <w:rsid w:val="004D255A"/>
    <w:rsid w:val="004D261C"/>
    <w:rsid w:val="004D26DB"/>
    <w:rsid w:val="004D2961"/>
    <w:rsid w:val="004D3381"/>
    <w:rsid w:val="004D36FF"/>
    <w:rsid w:val="004D3A32"/>
    <w:rsid w:val="004D3FD8"/>
    <w:rsid w:val="004D40C2"/>
    <w:rsid w:val="004D40E1"/>
    <w:rsid w:val="004D4540"/>
    <w:rsid w:val="004D4CE3"/>
    <w:rsid w:val="004D4D77"/>
    <w:rsid w:val="004D52DC"/>
    <w:rsid w:val="004D55CE"/>
    <w:rsid w:val="004D584B"/>
    <w:rsid w:val="004D59C6"/>
    <w:rsid w:val="004D5AE9"/>
    <w:rsid w:val="004D5C91"/>
    <w:rsid w:val="004D5F68"/>
    <w:rsid w:val="004D601D"/>
    <w:rsid w:val="004D61ED"/>
    <w:rsid w:val="004D6442"/>
    <w:rsid w:val="004D645E"/>
    <w:rsid w:val="004D6533"/>
    <w:rsid w:val="004D655E"/>
    <w:rsid w:val="004D673E"/>
    <w:rsid w:val="004D67E4"/>
    <w:rsid w:val="004D6920"/>
    <w:rsid w:val="004D6B48"/>
    <w:rsid w:val="004D6C5B"/>
    <w:rsid w:val="004D6D47"/>
    <w:rsid w:val="004D6E2E"/>
    <w:rsid w:val="004D6EDD"/>
    <w:rsid w:val="004D75A0"/>
    <w:rsid w:val="004D771D"/>
    <w:rsid w:val="004D7871"/>
    <w:rsid w:val="004D7ABB"/>
    <w:rsid w:val="004D7FF8"/>
    <w:rsid w:val="004E000C"/>
    <w:rsid w:val="004E032B"/>
    <w:rsid w:val="004E0556"/>
    <w:rsid w:val="004E05EF"/>
    <w:rsid w:val="004E0CB4"/>
    <w:rsid w:val="004E0EB8"/>
    <w:rsid w:val="004E11D4"/>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98"/>
    <w:rsid w:val="004E47B0"/>
    <w:rsid w:val="004E49A5"/>
    <w:rsid w:val="004E4B1E"/>
    <w:rsid w:val="004E4C1B"/>
    <w:rsid w:val="004E4E17"/>
    <w:rsid w:val="004E502E"/>
    <w:rsid w:val="004E56B0"/>
    <w:rsid w:val="004E5C32"/>
    <w:rsid w:val="004E5E13"/>
    <w:rsid w:val="004E5ECA"/>
    <w:rsid w:val="004E628F"/>
    <w:rsid w:val="004E62B3"/>
    <w:rsid w:val="004E6D38"/>
    <w:rsid w:val="004E6DA5"/>
    <w:rsid w:val="004E6DFA"/>
    <w:rsid w:val="004E7060"/>
    <w:rsid w:val="004E71FB"/>
    <w:rsid w:val="004E742A"/>
    <w:rsid w:val="004E75AC"/>
    <w:rsid w:val="004E789C"/>
    <w:rsid w:val="004E7A65"/>
    <w:rsid w:val="004E7AEF"/>
    <w:rsid w:val="004E7F14"/>
    <w:rsid w:val="004F02C9"/>
    <w:rsid w:val="004F0486"/>
    <w:rsid w:val="004F0563"/>
    <w:rsid w:val="004F0A14"/>
    <w:rsid w:val="004F0C1C"/>
    <w:rsid w:val="004F10AF"/>
    <w:rsid w:val="004F1142"/>
    <w:rsid w:val="004F1413"/>
    <w:rsid w:val="004F2136"/>
    <w:rsid w:val="004F2188"/>
    <w:rsid w:val="004F260D"/>
    <w:rsid w:val="004F2989"/>
    <w:rsid w:val="004F2EE2"/>
    <w:rsid w:val="004F30C8"/>
    <w:rsid w:val="004F3164"/>
    <w:rsid w:val="004F32DA"/>
    <w:rsid w:val="004F3359"/>
    <w:rsid w:val="004F38F7"/>
    <w:rsid w:val="004F3D0C"/>
    <w:rsid w:val="004F3DC4"/>
    <w:rsid w:val="004F405D"/>
    <w:rsid w:val="004F40B5"/>
    <w:rsid w:val="004F41B1"/>
    <w:rsid w:val="004F42CB"/>
    <w:rsid w:val="004F42E9"/>
    <w:rsid w:val="004F4600"/>
    <w:rsid w:val="004F4855"/>
    <w:rsid w:val="004F4A04"/>
    <w:rsid w:val="004F4C1D"/>
    <w:rsid w:val="004F4CB4"/>
    <w:rsid w:val="004F4F6D"/>
    <w:rsid w:val="004F4F84"/>
    <w:rsid w:val="004F50BF"/>
    <w:rsid w:val="004F5454"/>
    <w:rsid w:val="004F596C"/>
    <w:rsid w:val="004F5BD1"/>
    <w:rsid w:val="004F60FB"/>
    <w:rsid w:val="004F63E6"/>
    <w:rsid w:val="004F6AAD"/>
    <w:rsid w:val="004F6C0E"/>
    <w:rsid w:val="004F6C98"/>
    <w:rsid w:val="004F6E26"/>
    <w:rsid w:val="004F7034"/>
    <w:rsid w:val="004F75C3"/>
    <w:rsid w:val="004F77D4"/>
    <w:rsid w:val="004F784C"/>
    <w:rsid w:val="004F78D8"/>
    <w:rsid w:val="004F7901"/>
    <w:rsid w:val="0050002D"/>
    <w:rsid w:val="00500220"/>
    <w:rsid w:val="0050036A"/>
    <w:rsid w:val="005003E8"/>
    <w:rsid w:val="00500789"/>
    <w:rsid w:val="00500BCF"/>
    <w:rsid w:val="0050170E"/>
    <w:rsid w:val="00501A4C"/>
    <w:rsid w:val="00501FDE"/>
    <w:rsid w:val="005022D9"/>
    <w:rsid w:val="005028AC"/>
    <w:rsid w:val="005028D9"/>
    <w:rsid w:val="00502B2A"/>
    <w:rsid w:val="00502D61"/>
    <w:rsid w:val="005030F5"/>
    <w:rsid w:val="00503394"/>
    <w:rsid w:val="005035B1"/>
    <w:rsid w:val="00503687"/>
    <w:rsid w:val="00503A6E"/>
    <w:rsid w:val="00503C0D"/>
    <w:rsid w:val="00503CDD"/>
    <w:rsid w:val="00503CE1"/>
    <w:rsid w:val="00503D57"/>
    <w:rsid w:val="00503DB3"/>
    <w:rsid w:val="00503FD2"/>
    <w:rsid w:val="005047DA"/>
    <w:rsid w:val="00504A6D"/>
    <w:rsid w:val="00504BD9"/>
    <w:rsid w:val="00504CFC"/>
    <w:rsid w:val="0050524F"/>
    <w:rsid w:val="005052E6"/>
    <w:rsid w:val="005055C6"/>
    <w:rsid w:val="00505735"/>
    <w:rsid w:val="0050579E"/>
    <w:rsid w:val="00505979"/>
    <w:rsid w:val="00505E15"/>
    <w:rsid w:val="00506131"/>
    <w:rsid w:val="005067BD"/>
    <w:rsid w:val="00506B18"/>
    <w:rsid w:val="00507450"/>
    <w:rsid w:val="00507559"/>
    <w:rsid w:val="00507644"/>
    <w:rsid w:val="005077DA"/>
    <w:rsid w:val="00507BE6"/>
    <w:rsid w:val="00507DFB"/>
    <w:rsid w:val="0051006C"/>
    <w:rsid w:val="0051023B"/>
    <w:rsid w:val="00510368"/>
    <w:rsid w:val="00510555"/>
    <w:rsid w:val="00511241"/>
    <w:rsid w:val="00511400"/>
    <w:rsid w:val="005115FE"/>
    <w:rsid w:val="00511826"/>
    <w:rsid w:val="00512072"/>
    <w:rsid w:val="0051209F"/>
    <w:rsid w:val="005122D4"/>
    <w:rsid w:val="00512685"/>
    <w:rsid w:val="00512744"/>
    <w:rsid w:val="005129E1"/>
    <w:rsid w:val="00512EFF"/>
    <w:rsid w:val="00513274"/>
    <w:rsid w:val="00513872"/>
    <w:rsid w:val="00513BC9"/>
    <w:rsid w:val="005141D3"/>
    <w:rsid w:val="005142BD"/>
    <w:rsid w:val="00515377"/>
    <w:rsid w:val="005153DF"/>
    <w:rsid w:val="00515426"/>
    <w:rsid w:val="00515452"/>
    <w:rsid w:val="0051573E"/>
    <w:rsid w:val="0051589A"/>
    <w:rsid w:val="00515AEA"/>
    <w:rsid w:val="00515CE6"/>
    <w:rsid w:val="00515D01"/>
    <w:rsid w:val="00515E02"/>
    <w:rsid w:val="00515E0D"/>
    <w:rsid w:val="0051607A"/>
    <w:rsid w:val="0051612F"/>
    <w:rsid w:val="0051617A"/>
    <w:rsid w:val="0051684D"/>
    <w:rsid w:val="00516AC0"/>
    <w:rsid w:val="00516BC4"/>
    <w:rsid w:val="00517010"/>
    <w:rsid w:val="00517BBC"/>
    <w:rsid w:val="00517DC4"/>
    <w:rsid w:val="00517E80"/>
    <w:rsid w:val="005201CD"/>
    <w:rsid w:val="005202C6"/>
    <w:rsid w:val="0052094C"/>
    <w:rsid w:val="00520E13"/>
    <w:rsid w:val="00520F38"/>
    <w:rsid w:val="00521114"/>
    <w:rsid w:val="00521302"/>
    <w:rsid w:val="005213BD"/>
    <w:rsid w:val="00521461"/>
    <w:rsid w:val="0052151D"/>
    <w:rsid w:val="005215E0"/>
    <w:rsid w:val="00521626"/>
    <w:rsid w:val="00521711"/>
    <w:rsid w:val="00521B0A"/>
    <w:rsid w:val="00521DDA"/>
    <w:rsid w:val="00521E77"/>
    <w:rsid w:val="00522095"/>
    <w:rsid w:val="0052254F"/>
    <w:rsid w:val="005225C4"/>
    <w:rsid w:val="005230E3"/>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B53"/>
    <w:rsid w:val="00526D0E"/>
    <w:rsid w:val="00526E3D"/>
    <w:rsid w:val="00526E94"/>
    <w:rsid w:val="0052711D"/>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300F"/>
    <w:rsid w:val="005330CC"/>
    <w:rsid w:val="005331DB"/>
    <w:rsid w:val="005331DF"/>
    <w:rsid w:val="005336A8"/>
    <w:rsid w:val="0053393A"/>
    <w:rsid w:val="00533BF8"/>
    <w:rsid w:val="00533EA7"/>
    <w:rsid w:val="00534261"/>
    <w:rsid w:val="00534404"/>
    <w:rsid w:val="0053528F"/>
    <w:rsid w:val="005357BA"/>
    <w:rsid w:val="00535F02"/>
    <w:rsid w:val="00535FF6"/>
    <w:rsid w:val="00536315"/>
    <w:rsid w:val="00536362"/>
    <w:rsid w:val="005363C4"/>
    <w:rsid w:val="00536920"/>
    <w:rsid w:val="00536B42"/>
    <w:rsid w:val="0053770E"/>
    <w:rsid w:val="00537775"/>
    <w:rsid w:val="005377EA"/>
    <w:rsid w:val="005379D4"/>
    <w:rsid w:val="00537BA9"/>
    <w:rsid w:val="00537DC0"/>
    <w:rsid w:val="00540476"/>
    <w:rsid w:val="005404FE"/>
    <w:rsid w:val="00540BCA"/>
    <w:rsid w:val="00540FDE"/>
    <w:rsid w:val="00541319"/>
    <w:rsid w:val="0054147B"/>
    <w:rsid w:val="0054148A"/>
    <w:rsid w:val="005414DA"/>
    <w:rsid w:val="00541825"/>
    <w:rsid w:val="00541BED"/>
    <w:rsid w:val="00541D70"/>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A5D"/>
    <w:rsid w:val="0054505B"/>
    <w:rsid w:val="005453A9"/>
    <w:rsid w:val="00545488"/>
    <w:rsid w:val="005455C1"/>
    <w:rsid w:val="00545710"/>
    <w:rsid w:val="0054583D"/>
    <w:rsid w:val="0054585F"/>
    <w:rsid w:val="005459A5"/>
    <w:rsid w:val="00545F29"/>
    <w:rsid w:val="0054615F"/>
    <w:rsid w:val="00546427"/>
    <w:rsid w:val="0054657B"/>
    <w:rsid w:val="0054674E"/>
    <w:rsid w:val="00546851"/>
    <w:rsid w:val="005470B0"/>
    <w:rsid w:val="00547182"/>
    <w:rsid w:val="0054750A"/>
    <w:rsid w:val="00547893"/>
    <w:rsid w:val="00547A70"/>
    <w:rsid w:val="00547A8E"/>
    <w:rsid w:val="00547E52"/>
    <w:rsid w:val="00550191"/>
    <w:rsid w:val="00550495"/>
    <w:rsid w:val="005507D2"/>
    <w:rsid w:val="005507F2"/>
    <w:rsid w:val="00550B4C"/>
    <w:rsid w:val="00550C16"/>
    <w:rsid w:val="00550D5E"/>
    <w:rsid w:val="00550D87"/>
    <w:rsid w:val="00550FDD"/>
    <w:rsid w:val="005510C9"/>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80"/>
    <w:rsid w:val="005537A5"/>
    <w:rsid w:val="005538DB"/>
    <w:rsid w:val="00553949"/>
    <w:rsid w:val="00553B1D"/>
    <w:rsid w:val="00553E68"/>
    <w:rsid w:val="00554002"/>
    <w:rsid w:val="0055406E"/>
    <w:rsid w:val="0055418D"/>
    <w:rsid w:val="005541EC"/>
    <w:rsid w:val="00554240"/>
    <w:rsid w:val="00554333"/>
    <w:rsid w:val="00554A8C"/>
    <w:rsid w:val="005556DB"/>
    <w:rsid w:val="00555F44"/>
    <w:rsid w:val="0055619C"/>
    <w:rsid w:val="00556469"/>
    <w:rsid w:val="00556565"/>
    <w:rsid w:val="00556C7A"/>
    <w:rsid w:val="00556F32"/>
    <w:rsid w:val="005570A8"/>
    <w:rsid w:val="0055725A"/>
    <w:rsid w:val="005572F0"/>
    <w:rsid w:val="0055734A"/>
    <w:rsid w:val="0055777E"/>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D2A"/>
    <w:rsid w:val="00563EE6"/>
    <w:rsid w:val="00564199"/>
    <w:rsid w:val="005641EF"/>
    <w:rsid w:val="005642A8"/>
    <w:rsid w:val="005642B4"/>
    <w:rsid w:val="00564918"/>
    <w:rsid w:val="00564F4B"/>
    <w:rsid w:val="00564FFD"/>
    <w:rsid w:val="005653EE"/>
    <w:rsid w:val="0056555C"/>
    <w:rsid w:val="00565A76"/>
    <w:rsid w:val="0056637D"/>
    <w:rsid w:val="00566518"/>
    <w:rsid w:val="00566A26"/>
    <w:rsid w:val="00566AF5"/>
    <w:rsid w:val="00566B1D"/>
    <w:rsid w:val="005670E7"/>
    <w:rsid w:val="005671F2"/>
    <w:rsid w:val="005676FD"/>
    <w:rsid w:val="00567751"/>
    <w:rsid w:val="0056780E"/>
    <w:rsid w:val="00567B0D"/>
    <w:rsid w:val="00567FA2"/>
    <w:rsid w:val="0057037C"/>
    <w:rsid w:val="005709B7"/>
    <w:rsid w:val="00570BD8"/>
    <w:rsid w:val="00570F43"/>
    <w:rsid w:val="00571100"/>
    <w:rsid w:val="005715C3"/>
    <w:rsid w:val="00571AE6"/>
    <w:rsid w:val="00571E22"/>
    <w:rsid w:val="00571FBA"/>
    <w:rsid w:val="005720BF"/>
    <w:rsid w:val="0057240D"/>
    <w:rsid w:val="00572729"/>
    <w:rsid w:val="00572A93"/>
    <w:rsid w:val="0057323E"/>
    <w:rsid w:val="0057345D"/>
    <w:rsid w:val="00573521"/>
    <w:rsid w:val="0057385B"/>
    <w:rsid w:val="005739B2"/>
    <w:rsid w:val="00573B47"/>
    <w:rsid w:val="00573C5F"/>
    <w:rsid w:val="00573E58"/>
    <w:rsid w:val="0057428B"/>
    <w:rsid w:val="005745E0"/>
    <w:rsid w:val="00574629"/>
    <w:rsid w:val="005748E7"/>
    <w:rsid w:val="00574905"/>
    <w:rsid w:val="0057514C"/>
    <w:rsid w:val="005752E1"/>
    <w:rsid w:val="00575646"/>
    <w:rsid w:val="005757AF"/>
    <w:rsid w:val="00575876"/>
    <w:rsid w:val="00575994"/>
    <w:rsid w:val="00575A0C"/>
    <w:rsid w:val="0057630C"/>
    <w:rsid w:val="00576807"/>
    <w:rsid w:val="005769A0"/>
    <w:rsid w:val="00576E6C"/>
    <w:rsid w:val="00576F19"/>
    <w:rsid w:val="0057704B"/>
    <w:rsid w:val="005772EE"/>
    <w:rsid w:val="0057734E"/>
    <w:rsid w:val="0057744D"/>
    <w:rsid w:val="005778ED"/>
    <w:rsid w:val="00577A6C"/>
    <w:rsid w:val="00577FF2"/>
    <w:rsid w:val="0058038D"/>
    <w:rsid w:val="005804F5"/>
    <w:rsid w:val="00580948"/>
    <w:rsid w:val="005809B6"/>
    <w:rsid w:val="00580B70"/>
    <w:rsid w:val="005810D2"/>
    <w:rsid w:val="00581134"/>
    <w:rsid w:val="005817B5"/>
    <w:rsid w:val="00581B40"/>
    <w:rsid w:val="00581D3A"/>
    <w:rsid w:val="00581DE3"/>
    <w:rsid w:val="00581E9D"/>
    <w:rsid w:val="0058205F"/>
    <w:rsid w:val="005820A2"/>
    <w:rsid w:val="0058226A"/>
    <w:rsid w:val="00582418"/>
    <w:rsid w:val="00582681"/>
    <w:rsid w:val="00582A3B"/>
    <w:rsid w:val="00582C47"/>
    <w:rsid w:val="00582C5C"/>
    <w:rsid w:val="00582E12"/>
    <w:rsid w:val="00583050"/>
    <w:rsid w:val="0058316E"/>
    <w:rsid w:val="00583213"/>
    <w:rsid w:val="00583300"/>
    <w:rsid w:val="005834C8"/>
    <w:rsid w:val="00583522"/>
    <w:rsid w:val="00583B39"/>
    <w:rsid w:val="00583BB1"/>
    <w:rsid w:val="0058454D"/>
    <w:rsid w:val="00584742"/>
    <w:rsid w:val="00584AEF"/>
    <w:rsid w:val="00584D64"/>
    <w:rsid w:val="00585364"/>
    <w:rsid w:val="00585A6A"/>
    <w:rsid w:val="00585B64"/>
    <w:rsid w:val="00585C46"/>
    <w:rsid w:val="00585EF3"/>
    <w:rsid w:val="00586078"/>
    <w:rsid w:val="005860CC"/>
    <w:rsid w:val="005860FF"/>
    <w:rsid w:val="00586212"/>
    <w:rsid w:val="0058636A"/>
    <w:rsid w:val="005863F9"/>
    <w:rsid w:val="00586460"/>
    <w:rsid w:val="00586796"/>
    <w:rsid w:val="00586811"/>
    <w:rsid w:val="00586898"/>
    <w:rsid w:val="00586A11"/>
    <w:rsid w:val="00586A14"/>
    <w:rsid w:val="00586E40"/>
    <w:rsid w:val="00587127"/>
    <w:rsid w:val="00587207"/>
    <w:rsid w:val="0058732A"/>
    <w:rsid w:val="005874FE"/>
    <w:rsid w:val="0058770B"/>
    <w:rsid w:val="0058771A"/>
    <w:rsid w:val="00587782"/>
    <w:rsid w:val="00587864"/>
    <w:rsid w:val="00587BC4"/>
    <w:rsid w:val="00587BDA"/>
    <w:rsid w:val="0059026E"/>
    <w:rsid w:val="005907E5"/>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2F1F"/>
    <w:rsid w:val="005932B0"/>
    <w:rsid w:val="005932EE"/>
    <w:rsid w:val="005933A4"/>
    <w:rsid w:val="005936E5"/>
    <w:rsid w:val="00593B83"/>
    <w:rsid w:val="00593E59"/>
    <w:rsid w:val="00593E9C"/>
    <w:rsid w:val="00593F7B"/>
    <w:rsid w:val="0059421A"/>
    <w:rsid w:val="005945AF"/>
    <w:rsid w:val="00595004"/>
    <w:rsid w:val="005950F4"/>
    <w:rsid w:val="00595234"/>
    <w:rsid w:val="00595A3A"/>
    <w:rsid w:val="00595C08"/>
    <w:rsid w:val="00595C0F"/>
    <w:rsid w:val="00595DA3"/>
    <w:rsid w:val="00595E52"/>
    <w:rsid w:val="00595EF1"/>
    <w:rsid w:val="00596021"/>
    <w:rsid w:val="005960CB"/>
    <w:rsid w:val="005962BE"/>
    <w:rsid w:val="00596419"/>
    <w:rsid w:val="00596609"/>
    <w:rsid w:val="0059692C"/>
    <w:rsid w:val="00596B35"/>
    <w:rsid w:val="00596D74"/>
    <w:rsid w:val="005973A7"/>
    <w:rsid w:val="00597682"/>
    <w:rsid w:val="00597973"/>
    <w:rsid w:val="00597D48"/>
    <w:rsid w:val="005A007B"/>
    <w:rsid w:val="005A0465"/>
    <w:rsid w:val="005A0617"/>
    <w:rsid w:val="005A06DD"/>
    <w:rsid w:val="005A08EF"/>
    <w:rsid w:val="005A0D12"/>
    <w:rsid w:val="005A19C2"/>
    <w:rsid w:val="005A22E4"/>
    <w:rsid w:val="005A26E1"/>
    <w:rsid w:val="005A2B01"/>
    <w:rsid w:val="005A2D39"/>
    <w:rsid w:val="005A2DF6"/>
    <w:rsid w:val="005A30B5"/>
    <w:rsid w:val="005A3306"/>
    <w:rsid w:val="005A3406"/>
    <w:rsid w:val="005A3754"/>
    <w:rsid w:val="005A3CB0"/>
    <w:rsid w:val="005A3CDA"/>
    <w:rsid w:val="005A4184"/>
    <w:rsid w:val="005A46B2"/>
    <w:rsid w:val="005A4780"/>
    <w:rsid w:val="005A4BCE"/>
    <w:rsid w:val="005A4D7F"/>
    <w:rsid w:val="005A531E"/>
    <w:rsid w:val="005A5389"/>
    <w:rsid w:val="005A57C4"/>
    <w:rsid w:val="005A5856"/>
    <w:rsid w:val="005A585A"/>
    <w:rsid w:val="005A5A14"/>
    <w:rsid w:val="005A5AB2"/>
    <w:rsid w:val="005A5CA2"/>
    <w:rsid w:val="005A60EB"/>
    <w:rsid w:val="005A665B"/>
    <w:rsid w:val="005A6946"/>
    <w:rsid w:val="005A6B7E"/>
    <w:rsid w:val="005A75B1"/>
    <w:rsid w:val="005A7C88"/>
    <w:rsid w:val="005B020A"/>
    <w:rsid w:val="005B03CC"/>
    <w:rsid w:val="005B121D"/>
    <w:rsid w:val="005B1368"/>
    <w:rsid w:val="005B150C"/>
    <w:rsid w:val="005B176B"/>
    <w:rsid w:val="005B1AD7"/>
    <w:rsid w:val="005B1F03"/>
    <w:rsid w:val="005B2635"/>
    <w:rsid w:val="005B2DA9"/>
    <w:rsid w:val="005B2E29"/>
    <w:rsid w:val="005B2E57"/>
    <w:rsid w:val="005B31B4"/>
    <w:rsid w:val="005B338D"/>
    <w:rsid w:val="005B39DF"/>
    <w:rsid w:val="005B3A75"/>
    <w:rsid w:val="005B3F08"/>
    <w:rsid w:val="005B40D8"/>
    <w:rsid w:val="005B41CC"/>
    <w:rsid w:val="005B46E2"/>
    <w:rsid w:val="005B4787"/>
    <w:rsid w:val="005B486F"/>
    <w:rsid w:val="005B4927"/>
    <w:rsid w:val="005B49F6"/>
    <w:rsid w:val="005B5078"/>
    <w:rsid w:val="005B5389"/>
    <w:rsid w:val="005B567D"/>
    <w:rsid w:val="005B5765"/>
    <w:rsid w:val="005B57DD"/>
    <w:rsid w:val="005B58B7"/>
    <w:rsid w:val="005B593B"/>
    <w:rsid w:val="005B5D50"/>
    <w:rsid w:val="005B68AD"/>
    <w:rsid w:val="005B6979"/>
    <w:rsid w:val="005B6DD9"/>
    <w:rsid w:val="005B6DEC"/>
    <w:rsid w:val="005B6E88"/>
    <w:rsid w:val="005B7166"/>
    <w:rsid w:val="005B7224"/>
    <w:rsid w:val="005B7363"/>
    <w:rsid w:val="005B7442"/>
    <w:rsid w:val="005B74FD"/>
    <w:rsid w:val="005B76CF"/>
    <w:rsid w:val="005B7F43"/>
    <w:rsid w:val="005C033A"/>
    <w:rsid w:val="005C0682"/>
    <w:rsid w:val="005C09EA"/>
    <w:rsid w:val="005C0A6C"/>
    <w:rsid w:val="005C0E12"/>
    <w:rsid w:val="005C0F88"/>
    <w:rsid w:val="005C1159"/>
    <w:rsid w:val="005C1430"/>
    <w:rsid w:val="005C254C"/>
    <w:rsid w:val="005C25AC"/>
    <w:rsid w:val="005C2B04"/>
    <w:rsid w:val="005C2B5F"/>
    <w:rsid w:val="005C3076"/>
    <w:rsid w:val="005C3215"/>
    <w:rsid w:val="005C3326"/>
    <w:rsid w:val="005C338A"/>
    <w:rsid w:val="005C3478"/>
    <w:rsid w:val="005C38AA"/>
    <w:rsid w:val="005C3B3D"/>
    <w:rsid w:val="005C3C88"/>
    <w:rsid w:val="005C3FA8"/>
    <w:rsid w:val="005C44B9"/>
    <w:rsid w:val="005C4632"/>
    <w:rsid w:val="005C46FB"/>
    <w:rsid w:val="005C4D49"/>
    <w:rsid w:val="005C5107"/>
    <w:rsid w:val="005C5151"/>
    <w:rsid w:val="005C51EE"/>
    <w:rsid w:val="005C5338"/>
    <w:rsid w:val="005C53DE"/>
    <w:rsid w:val="005C55F3"/>
    <w:rsid w:val="005C5E9F"/>
    <w:rsid w:val="005C6566"/>
    <w:rsid w:val="005C65CE"/>
    <w:rsid w:val="005C6E0D"/>
    <w:rsid w:val="005C6ED4"/>
    <w:rsid w:val="005C6F0E"/>
    <w:rsid w:val="005C70E7"/>
    <w:rsid w:val="005C7548"/>
    <w:rsid w:val="005C7718"/>
    <w:rsid w:val="005C77AD"/>
    <w:rsid w:val="005C78B7"/>
    <w:rsid w:val="005C7927"/>
    <w:rsid w:val="005C79A0"/>
    <w:rsid w:val="005C7ED3"/>
    <w:rsid w:val="005D0233"/>
    <w:rsid w:val="005D02DD"/>
    <w:rsid w:val="005D0815"/>
    <w:rsid w:val="005D0DFF"/>
    <w:rsid w:val="005D0E6C"/>
    <w:rsid w:val="005D1436"/>
    <w:rsid w:val="005D149D"/>
    <w:rsid w:val="005D1510"/>
    <w:rsid w:val="005D174B"/>
    <w:rsid w:val="005D1862"/>
    <w:rsid w:val="005D19FA"/>
    <w:rsid w:val="005D1BB0"/>
    <w:rsid w:val="005D1F42"/>
    <w:rsid w:val="005D200F"/>
    <w:rsid w:val="005D2131"/>
    <w:rsid w:val="005D23CC"/>
    <w:rsid w:val="005D24D7"/>
    <w:rsid w:val="005D27D1"/>
    <w:rsid w:val="005D2B6F"/>
    <w:rsid w:val="005D2BB5"/>
    <w:rsid w:val="005D3ABC"/>
    <w:rsid w:val="005D3CDD"/>
    <w:rsid w:val="005D4126"/>
    <w:rsid w:val="005D44EE"/>
    <w:rsid w:val="005D4A61"/>
    <w:rsid w:val="005D4C13"/>
    <w:rsid w:val="005D5048"/>
    <w:rsid w:val="005D5790"/>
    <w:rsid w:val="005D5C1C"/>
    <w:rsid w:val="005D5CF2"/>
    <w:rsid w:val="005D62F4"/>
    <w:rsid w:val="005D6614"/>
    <w:rsid w:val="005D68D2"/>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A91"/>
    <w:rsid w:val="005E2150"/>
    <w:rsid w:val="005E262D"/>
    <w:rsid w:val="005E274B"/>
    <w:rsid w:val="005E2F8E"/>
    <w:rsid w:val="005E33F6"/>
    <w:rsid w:val="005E35B3"/>
    <w:rsid w:val="005E368E"/>
    <w:rsid w:val="005E3825"/>
    <w:rsid w:val="005E3BA1"/>
    <w:rsid w:val="005E3C66"/>
    <w:rsid w:val="005E4827"/>
    <w:rsid w:val="005E48AA"/>
    <w:rsid w:val="005E4EE1"/>
    <w:rsid w:val="005E51EC"/>
    <w:rsid w:val="005E5652"/>
    <w:rsid w:val="005E5AA7"/>
    <w:rsid w:val="005E5B2C"/>
    <w:rsid w:val="005E5C7E"/>
    <w:rsid w:val="005E61DE"/>
    <w:rsid w:val="005E6263"/>
    <w:rsid w:val="005E6304"/>
    <w:rsid w:val="005E6AE5"/>
    <w:rsid w:val="005E6DD6"/>
    <w:rsid w:val="005E6E01"/>
    <w:rsid w:val="005E72D8"/>
    <w:rsid w:val="005E7452"/>
    <w:rsid w:val="005E7460"/>
    <w:rsid w:val="005E793C"/>
    <w:rsid w:val="005E7AE0"/>
    <w:rsid w:val="005E7CB2"/>
    <w:rsid w:val="005F04F9"/>
    <w:rsid w:val="005F0558"/>
    <w:rsid w:val="005F0B7D"/>
    <w:rsid w:val="005F0FB1"/>
    <w:rsid w:val="005F114E"/>
    <w:rsid w:val="005F13AB"/>
    <w:rsid w:val="005F1B50"/>
    <w:rsid w:val="005F2354"/>
    <w:rsid w:val="005F2429"/>
    <w:rsid w:val="005F2592"/>
    <w:rsid w:val="005F274F"/>
    <w:rsid w:val="005F2A72"/>
    <w:rsid w:val="005F3050"/>
    <w:rsid w:val="005F321C"/>
    <w:rsid w:val="005F3350"/>
    <w:rsid w:val="005F34A4"/>
    <w:rsid w:val="005F3561"/>
    <w:rsid w:val="005F3920"/>
    <w:rsid w:val="005F3971"/>
    <w:rsid w:val="005F41A2"/>
    <w:rsid w:val="005F435D"/>
    <w:rsid w:val="005F4504"/>
    <w:rsid w:val="005F4539"/>
    <w:rsid w:val="005F457B"/>
    <w:rsid w:val="005F4706"/>
    <w:rsid w:val="005F4810"/>
    <w:rsid w:val="005F4822"/>
    <w:rsid w:val="005F4A18"/>
    <w:rsid w:val="005F4A64"/>
    <w:rsid w:val="005F4C07"/>
    <w:rsid w:val="005F4D4A"/>
    <w:rsid w:val="005F4F3B"/>
    <w:rsid w:val="005F505D"/>
    <w:rsid w:val="005F50CE"/>
    <w:rsid w:val="005F52E4"/>
    <w:rsid w:val="005F52E6"/>
    <w:rsid w:val="005F536D"/>
    <w:rsid w:val="005F5467"/>
    <w:rsid w:val="005F54A6"/>
    <w:rsid w:val="005F55E6"/>
    <w:rsid w:val="005F57E1"/>
    <w:rsid w:val="005F5E57"/>
    <w:rsid w:val="005F5EDF"/>
    <w:rsid w:val="005F60A7"/>
    <w:rsid w:val="005F6183"/>
    <w:rsid w:val="005F7039"/>
    <w:rsid w:val="005F721B"/>
    <w:rsid w:val="005F783A"/>
    <w:rsid w:val="005F7F36"/>
    <w:rsid w:val="006001EF"/>
    <w:rsid w:val="00600371"/>
    <w:rsid w:val="00600462"/>
    <w:rsid w:val="006005CA"/>
    <w:rsid w:val="0060090C"/>
    <w:rsid w:val="00600E75"/>
    <w:rsid w:val="00600E7D"/>
    <w:rsid w:val="00600F2E"/>
    <w:rsid w:val="006011CA"/>
    <w:rsid w:val="006017BC"/>
    <w:rsid w:val="006017FE"/>
    <w:rsid w:val="00601A7A"/>
    <w:rsid w:val="00601A8A"/>
    <w:rsid w:val="00601B01"/>
    <w:rsid w:val="00601CEB"/>
    <w:rsid w:val="00601FB8"/>
    <w:rsid w:val="006024B7"/>
    <w:rsid w:val="006029E9"/>
    <w:rsid w:val="00602D22"/>
    <w:rsid w:val="00602D7D"/>
    <w:rsid w:val="006038F5"/>
    <w:rsid w:val="00603A0F"/>
    <w:rsid w:val="00603C76"/>
    <w:rsid w:val="00603DBA"/>
    <w:rsid w:val="00603DCC"/>
    <w:rsid w:val="00603E5F"/>
    <w:rsid w:val="006044C2"/>
    <w:rsid w:val="006046D0"/>
    <w:rsid w:val="006047EC"/>
    <w:rsid w:val="0060492D"/>
    <w:rsid w:val="006049ED"/>
    <w:rsid w:val="00604D25"/>
    <w:rsid w:val="00604D79"/>
    <w:rsid w:val="00605510"/>
    <w:rsid w:val="006055BD"/>
    <w:rsid w:val="006055D6"/>
    <w:rsid w:val="00605C47"/>
    <w:rsid w:val="00605CBD"/>
    <w:rsid w:val="00606157"/>
    <w:rsid w:val="006061F9"/>
    <w:rsid w:val="00606223"/>
    <w:rsid w:val="00606888"/>
    <w:rsid w:val="006069D1"/>
    <w:rsid w:val="00606E67"/>
    <w:rsid w:val="00607334"/>
    <w:rsid w:val="00607398"/>
    <w:rsid w:val="0060772A"/>
    <w:rsid w:val="006078FA"/>
    <w:rsid w:val="00607B15"/>
    <w:rsid w:val="00607C8B"/>
    <w:rsid w:val="00610096"/>
    <w:rsid w:val="006102E5"/>
    <w:rsid w:val="0061069E"/>
    <w:rsid w:val="00610A53"/>
    <w:rsid w:val="00610B83"/>
    <w:rsid w:val="00610BF3"/>
    <w:rsid w:val="0061104F"/>
    <w:rsid w:val="006110BB"/>
    <w:rsid w:val="006111F9"/>
    <w:rsid w:val="00611445"/>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9B2"/>
    <w:rsid w:val="00613CB4"/>
    <w:rsid w:val="00613E94"/>
    <w:rsid w:val="00614245"/>
    <w:rsid w:val="00615141"/>
    <w:rsid w:val="00615256"/>
    <w:rsid w:val="00615609"/>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7D7"/>
    <w:rsid w:val="006208F8"/>
    <w:rsid w:val="00620CBA"/>
    <w:rsid w:val="00620EF6"/>
    <w:rsid w:val="006214E8"/>
    <w:rsid w:val="006216E9"/>
    <w:rsid w:val="006218AB"/>
    <w:rsid w:val="006218C5"/>
    <w:rsid w:val="00621FA0"/>
    <w:rsid w:val="0062248D"/>
    <w:rsid w:val="00622516"/>
    <w:rsid w:val="00622978"/>
    <w:rsid w:val="00622CE0"/>
    <w:rsid w:val="00622E40"/>
    <w:rsid w:val="00623005"/>
    <w:rsid w:val="00623146"/>
    <w:rsid w:val="0062350A"/>
    <w:rsid w:val="006239B2"/>
    <w:rsid w:val="006239C6"/>
    <w:rsid w:val="00623C25"/>
    <w:rsid w:val="00623D67"/>
    <w:rsid w:val="006240C0"/>
    <w:rsid w:val="00624480"/>
    <w:rsid w:val="006248D7"/>
    <w:rsid w:val="00624B0A"/>
    <w:rsid w:val="00624B65"/>
    <w:rsid w:val="00624D26"/>
    <w:rsid w:val="00624F98"/>
    <w:rsid w:val="006251CC"/>
    <w:rsid w:val="00625367"/>
    <w:rsid w:val="0062554B"/>
    <w:rsid w:val="0062589D"/>
    <w:rsid w:val="00625D70"/>
    <w:rsid w:val="00625E39"/>
    <w:rsid w:val="00625F92"/>
    <w:rsid w:val="00626082"/>
    <w:rsid w:val="00626598"/>
    <w:rsid w:val="00626D42"/>
    <w:rsid w:val="00626E22"/>
    <w:rsid w:val="00626E78"/>
    <w:rsid w:val="00626FB9"/>
    <w:rsid w:val="006272E4"/>
    <w:rsid w:val="006277F0"/>
    <w:rsid w:val="00627A8A"/>
    <w:rsid w:val="00627D90"/>
    <w:rsid w:val="00627E1A"/>
    <w:rsid w:val="00630263"/>
    <w:rsid w:val="0063026A"/>
    <w:rsid w:val="006304D5"/>
    <w:rsid w:val="00630D87"/>
    <w:rsid w:val="00631301"/>
    <w:rsid w:val="006313F5"/>
    <w:rsid w:val="00631A22"/>
    <w:rsid w:val="00632098"/>
    <w:rsid w:val="0063234C"/>
    <w:rsid w:val="00632508"/>
    <w:rsid w:val="006326B6"/>
    <w:rsid w:val="00632A7C"/>
    <w:rsid w:val="00632D91"/>
    <w:rsid w:val="00632F2C"/>
    <w:rsid w:val="006334D3"/>
    <w:rsid w:val="006335D5"/>
    <w:rsid w:val="006337CF"/>
    <w:rsid w:val="00633DCA"/>
    <w:rsid w:val="00633EBC"/>
    <w:rsid w:val="00633F03"/>
    <w:rsid w:val="00633F65"/>
    <w:rsid w:val="00634056"/>
    <w:rsid w:val="00634076"/>
    <w:rsid w:val="0063407D"/>
    <w:rsid w:val="0063466E"/>
    <w:rsid w:val="00634934"/>
    <w:rsid w:val="00634A42"/>
    <w:rsid w:val="00634C71"/>
    <w:rsid w:val="00634E1A"/>
    <w:rsid w:val="006350DD"/>
    <w:rsid w:val="006351FE"/>
    <w:rsid w:val="006359A0"/>
    <w:rsid w:val="00636860"/>
    <w:rsid w:val="006374D2"/>
    <w:rsid w:val="00637509"/>
    <w:rsid w:val="006377DF"/>
    <w:rsid w:val="00637B7D"/>
    <w:rsid w:val="006401DE"/>
    <w:rsid w:val="006402C7"/>
    <w:rsid w:val="00640336"/>
    <w:rsid w:val="006404D3"/>
    <w:rsid w:val="006406C5"/>
    <w:rsid w:val="006407D9"/>
    <w:rsid w:val="00640852"/>
    <w:rsid w:val="006409BE"/>
    <w:rsid w:val="00640C41"/>
    <w:rsid w:val="00640DF6"/>
    <w:rsid w:val="006410E4"/>
    <w:rsid w:val="0064117F"/>
    <w:rsid w:val="00641630"/>
    <w:rsid w:val="00641AF0"/>
    <w:rsid w:val="00641B27"/>
    <w:rsid w:val="00641DB7"/>
    <w:rsid w:val="0064262F"/>
    <w:rsid w:val="00642693"/>
    <w:rsid w:val="00642D37"/>
    <w:rsid w:val="00642F62"/>
    <w:rsid w:val="00643006"/>
    <w:rsid w:val="006431A7"/>
    <w:rsid w:val="006431DA"/>
    <w:rsid w:val="006431DB"/>
    <w:rsid w:val="006436F2"/>
    <w:rsid w:val="00643A18"/>
    <w:rsid w:val="00643BE2"/>
    <w:rsid w:val="00643C26"/>
    <w:rsid w:val="00643D49"/>
    <w:rsid w:val="00644088"/>
    <w:rsid w:val="00644198"/>
    <w:rsid w:val="0064476C"/>
    <w:rsid w:val="00644868"/>
    <w:rsid w:val="00644B66"/>
    <w:rsid w:val="00644C14"/>
    <w:rsid w:val="00644C9F"/>
    <w:rsid w:val="00645006"/>
    <w:rsid w:val="006450CC"/>
    <w:rsid w:val="006452DD"/>
    <w:rsid w:val="00645472"/>
    <w:rsid w:val="0064556B"/>
    <w:rsid w:val="00645804"/>
    <w:rsid w:val="006459E2"/>
    <w:rsid w:val="00645CD9"/>
    <w:rsid w:val="00645D7E"/>
    <w:rsid w:val="00646434"/>
    <w:rsid w:val="00646643"/>
    <w:rsid w:val="00646702"/>
    <w:rsid w:val="00646D13"/>
    <w:rsid w:val="00646FE1"/>
    <w:rsid w:val="006478A6"/>
    <w:rsid w:val="006478C2"/>
    <w:rsid w:val="0064799B"/>
    <w:rsid w:val="006479BB"/>
    <w:rsid w:val="00647B7B"/>
    <w:rsid w:val="00647BC9"/>
    <w:rsid w:val="00647C7E"/>
    <w:rsid w:val="00647D67"/>
    <w:rsid w:val="00647F66"/>
    <w:rsid w:val="00650C4A"/>
    <w:rsid w:val="00650E53"/>
    <w:rsid w:val="00650ED6"/>
    <w:rsid w:val="0065101E"/>
    <w:rsid w:val="006512C1"/>
    <w:rsid w:val="0065142A"/>
    <w:rsid w:val="00651688"/>
    <w:rsid w:val="0065178C"/>
    <w:rsid w:val="00651AEA"/>
    <w:rsid w:val="00651B15"/>
    <w:rsid w:val="00652356"/>
    <w:rsid w:val="00652394"/>
    <w:rsid w:val="006527C9"/>
    <w:rsid w:val="00652B41"/>
    <w:rsid w:val="00652C6D"/>
    <w:rsid w:val="00652FAF"/>
    <w:rsid w:val="006531D2"/>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74B"/>
    <w:rsid w:val="00656F28"/>
    <w:rsid w:val="00657032"/>
    <w:rsid w:val="0065729D"/>
    <w:rsid w:val="006574FB"/>
    <w:rsid w:val="0065763A"/>
    <w:rsid w:val="006578F0"/>
    <w:rsid w:val="00657BE7"/>
    <w:rsid w:val="00657BFA"/>
    <w:rsid w:val="00657D71"/>
    <w:rsid w:val="00657E5C"/>
    <w:rsid w:val="0066038B"/>
    <w:rsid w:val="00660A03"/>
    <w:rsid w:val="00660BFA"/>
    <w:rsid w:val="00660BFE"/>
    <w:rsid w:val="00661066"/>
    <w:rsid w:val="00661281"/>
    <w:rsid w:val="00661608"/>
    <w:rsid w:val="006618D7"/>
    <w:rsid w:val="00661913"/>
    <w:rsid w:val="00662113"/>
    <w:rsid w:val="006622BB"/>
    <w:rsid w:val="006623CC"/>
    <w:rsid w:val="00662419"/>
    <w:rsid w:val="00662949"/>
    <w:rsid w:val="00663132"/>
    <w:rsid w:val="0066355E"/>
    <w:rsid w:val="00663580"/>
    <w:rsid w:val="00663607"/>
    <w:rsid w:val="00663DFF"/>
    <w:rsid w:val="00663E55"/>
    <w:rsid w:val="00663E99"/>
    <w:rsid w:val="0066425A"/>
    <w:rsid w:val="00664277"/>
    <w:rsid w:val="00664371"/>
    <w:rsid w:val="006644BB"/>
    <w:rsid w:val="0066452B"/>
    <w:rsid w:val="006649C0"/>
    <w:rsid w:val="00664A3B"/>
    <w:rsid w:val="00664AA1"/>
    <w:rsid w:val="00664C71"/>
    <w:rsid w:val="00664FE6"/>
    <w:rsid w:val="0066509F"/>
    <w:rsid w:val="00665106"/>
    <w:rsid w:val="0066581A"/>
    <w:rsid w:val="006659AB"/>
    <w:rsid w:val="006659D5"/>
    <w:rsid w:val="00665AF6"/>
    <w:rsid w:val="00665B52"/>
    <w:rsid w:val="00665CD1"/>
    <w:rsid w:val="00665D69"/>
    <w:rsid w:val="00665E22"/>
    <w:rsid w:val="00665F6B"/>
    <w:rsid w:val="00665FBA"/>
    <w:rsid w:val="006663F2"/>
    <w:rsid w:val="006664F7"/>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2C40"/>
    <w:rsid w:val="006730F1"/>
    <w:rsid w:val="006732EB"/>
    <w:rsid w:val="00673763"/>
    <w:rsid w:val="006738EC"/>
    <w:rsid w:val="00673905"/>
    <w:rsid w:val="00673B25"/>
    <w:rsid w:val="00673C8D"/>
    <w:rsid w:val="00674223"/>
    <w:rsid w:val="00674513"/>
    <w:rsid w:val="0067465D"/>
    <w:rsid w:val="00674ADA"/>
    <w:rsid w:val="006750FE"/>
    <w:rsid w:val="0067525C"/>
    <w:rsid w:val="00675504"/>
    <w:rsid w:val="0067554D"/>
    <w:rsid w:val="00675A2C"/>
    <w:rsid w:val="00676031"/>
    <w:rsid w:val="00676156"/>
    <w:rsid w:val="006765D1"/>
    <w:rsid w:val="006766BB"/>
    <w:rsid w:val="006767A3"/>
    <w:rsid w:val="00676984"/>
    <w:rsid w:val="0067704A"/>
    <w:rsid w:val="006771F3"/>
    <w:rsid w:val="006772D2"/>
    <w:rsid w:val="006773DB"/>
    <w:rsid w:val="0067754A"/>
    <w:rsid w:val="00677A30"/>
    <w:rsid w:val="00677C47"/>
    <w:rsid w:val="00677D1E"/>
    <w:rsid w:val="006800A3"/>
    <w:rsid w:val="006806EE"/>
    <w:rsid w:val="0068092A"/>
    <w:rsid w:val="00680C0C"/>
    <w:rsid w:val="006811F5"/>
    <w:rsid w:val="006819B7"/>
    <w:rsid w:val="00681AFD"/>
    <w:rsid w:val="00681B48"/>
    <w:rsid w:val="00681D2E"/>
    <w:rsid w:val="00681E6C"/>
    <w:rsid w:val="006820D2"/>
    <w:rsid w:val="00682544"/>
    <w:rsid w:val="006825B6"/>
    <w:rsid w:val="00682846"/>
    <w:rsid w:val="00682D0A"/>
    <w:rsid w:val="006834D6"/>
    <w:rsid w:val="0068360F"/>
    <w:rsid w:val="00684486"/>
    <w:rsid w:val="0068463C"/>
    <w:rsid w:val="00684686"/>
    <w:rsid w:val="006849EA"/>
    <w:rsid w:val="00684D8B"/>
    <w:rsid w:val="0068547B"/>
    <w:rsid w:val="006854AB"/>
    <w:rsid w:val="006856C9"/>
    <w:rsid w:val="00685A70"/>
    <w:rsid w:val="00685D68"/>
    <w:rsid w:val="00685E1C"/>
    <w:rsid w:val="006861AD"/>
    <w:rsid w:val="006863FB"/>
    <w:rsid w:val="00686930"/>
    <w:rsid w:val="00686EAE"/>
    <w:rsid w:val="006871EE"/>
    <w:rsid w:val="00687528"/>
    <w:rsid w:val="0068782D"/>
    <w:rsid w:val="00687A7F"/>
    <w:rsid w:val="00687AE3"/>
    <w:rsid w:val="00687CC2"/>
    <w:rsid w:val="00687E95"/>
    <w:rsid w:val="00687EF6"/>
    <w:rsid w:val="006902C2"/>
    <w:rsid w:val="00690729"/>
    <w:rsid w:val="006907CA"/>
    <w:rsid w:val="006910BF"/>
    <w:rsid w:val="006910DB"/>
    <w:rsid w:val="00691380"/>
    <w:rsid w:val="006914A3"/>
    <w:rsid w:val="00691BDB"/>
    <w:rsid w:val="00691CD3"/>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9B5"/>
    <w:rsid w:val="00696061"/>
    <w:rsid w:val="0069699C"/>
    <w:rsid w:val="006969DB"/>
    <w:rsid w:val="00696A4A"/>
    <w:rsid w:val="00697554"/>
    <w:rsid w:val="006975AC"/>
    <w:rsid w:val="00697873"/>
    <w:rsid w:val="00697CCF"/>
    <w:rsid w:val="00697DE5"/>
    <w:rsid w:val="00697FA5"/>
    <w:rsid w:val="006A0095"/>
    <w:rsid w:val="006A065C"/>
    <w:rsid w:val="006A092C"/>
    <w:rsid w:val="006A12E7"/>
    <w:rsid w:val="006A157B"/>
    <w:rsid w:val="006A15AB"/>
    <w:rsid w:val="006A1646"/>
    <w:rsid w:val="006A175A"/>
    <w:rsid w:val="006A193A"/>
    <w:rsid w:val="006A2007"/>
    <w:rsid w:val="006A204E"/>
    <w:rsid w:val="006A24A8"/>
    <w:rsid w:val="006A270E"/>
    <w:rsid w:val="006A29AB"/>
    <w:rsid w:val="006A331B"/>
    <w:rsid w:val="006A39F2"/>
    <w:rsid w:val="006A3A07"/>
    <w:rsid w:val="006A40A6"/>
    <w:rsid w:val="006A464C"/>
    <w:rsid w:val="006A4916"/>
    <w:rsid w:val="006A4C58"/>
    <w:rsid w:val="006A4CD3"/>
    <w:rsid w:val="006A502C"/>
    <w:rsid w:val="006A5414"/>
    <w:rsid w:val="006A55A3"/>
    <w:rsid w:val="006A5B55"/>
    <w:rsid w:val="006A5DBD"/>
    <w:rsid w:val="006A5EBB"/>
    <w:rsid w:val="006A5FAD"/>
    <w:rsid w:val="006A60CD"/>
    <w:rsid w:val="006A6273"/>
    <w:rsid w:val="006A6605"/>
    <w:rsid w:val="006A66BD"/>
    <w:rsid w:val="006A6962"/>
    <w:rsid w:val="006A6B50"/>
    <w:rsid w:val="006A6D1E"/>
    <w:rsid w:val="006A704C"/>
    <w:rsid w:val="006A7132"/>
    <w:rsid w:val="006A7648"/>
    <w:rsid w:val="006A7800"/>
    <w:rsid w:val="006A789B"/>
    <w:rsid w:val="006A78D9"/>
    <w:rsid w:val="006A7E8D"/>
    <w:rsid w:val="006B00AC"/>
    <w:rsid w:val="006B00D5"/>
    <w:rsid w:val="006B0358"/>
    <w:rsid w:val="006B05D6"/>
    <w:rsid w:val="006B0F30"/>
    <w:rsid w:val="006B11B6"/>
    <w:rsid w:val="006B1392"/>
    <w:rsid w:val="006B1708"/>
    <w:rsid w:val="006B1855"/>
    <w:rsid w:val="006B1AC4"/>
    <w:rsid w:val="006B231E"/>
    <w:rsid w:val="006B2877"/>
    <w:rsid w:val="006B2893"/>
    <w:rsid w:val="006B289A"/>
    <w:rsid w:val="006B344B"/>
    <w:rsid w:val="006B38FD"/>
    <w:rsid w:val="006B3C5E"/>
    <w:rsid w:val="006B3CDF"/>
    <w:rsid w:val="006B3CFB"/>
    <w:rsid w:val="006B3E5B"/>
    <w:rsid w:val="006B456F"/>
    <w:rsid w:val="006B4605"/>
    <w:rsid w:val="006B499A"/>
    <w:rsid w:val="006B49F1"/>
    <w:rsid w:val="006B4C00"/>
    <w:rsid w:val="006B5413"/>
    <w:rsid w:val="006B5538"/>
    <w:rsid w:val="006B5769"/>
    <w:rsid w:val="006B58B6"/>
    <w:rsid w:val="006B591A"/>
    <w:rsid w:val="006B59A6"/>
    <w:rsid w:val="006B5F06"/>
    <w:rsid w:val="006B5F44"/>
    <w:rsid w:val="006B637A"/>
    <w:rsid w:val="006B639C"/>
    <w:rsid w:val="006B6C73"/>
    <w:rsid w:val="006B7228"/>
    <w:rsid w:val="006B7331"/>
    <w:rsid w:val="006B7472"/>
    <w:rsid w:val="006B7491"/>
    <w:rsid w:val="006B7532"/>
    <w:rsid w:val="006B7561"/>
    <w:rsid w:val="006B767B"/>
    <w:rsid w:val="006B783F"/>
    <w:rsid w:val="006B7896"/>
    <w:rsid w:val="006B7AA0"/>
    <w:rsid w:val="006B7DE3"/>
    <w:rsid w:val="006B7F16"/>
    <w:rsid w:val="006C049C"/>
    <w:rsid w:val="006C0602"/>
    <w:rsid w:val="006C071C"/>
    <w:rsid w:val="006C0A52"/>
    <w:rsid w:val="006C0CE5"/>
    <w:rsid w:val="006C0E2F"/>
    <w:rsid w:val="006C0EC1"/>
    <w:rsid w:val="006C0F1C"/>
    <w:rsid w:val="006C0FAF"/>
    <w:rsid w:val="006C10AC"/>
    <w:rsid w:val="006C1123"/>
    <w:rsid w:val="006C11CD"/>
    <w:rsid w:val="006C1227"/>
    <w:rsid w:val="006C12B6"/>
    <w:rsid w:val="006C1412"/>
    <w:rsid w:val="006C14DD"/>
    <w:rsid w:val="006C177D"/>
    <w:rsid w:val="006C1FDD"/>
    <w:rsid w:val="006C247C"/>
    <w:rsid w:val="006C2599"/>
    <w:rsid w:val="006C2665"/>
    <w:rsid w:val="006C28EE"/>
    <w:rsid w:val="006C2B19"/>
    <w:rsid w:val="006C2E2C"/>
    <w:rsid w:val="006C2FE3"/>
    <w:rsid w:val="006C3143"/>
    <w:rsid w:val="006C3583"/>
    <w:rsid w:val="006C35C2"/>
    <w:rsid w:val="006C393A"/>
    <w:rsid w:val="006C3A62"/>
    <w:rsid w:val="006C3CA3"/>
    <w:rsid w:val="006C4000"/>
    <w:rsid w:val="006C4C17"/>
    <w:rsid w:val="006C4CAF"/>
    <w:rsid w:val="006C5571"/>
    <w:rsid w:val="006C58E0"/>
    <w:rsid w:val="006C5904"/>
    <w:rsid w:val="006C5A3B"/>
    <w:rsid w:val="006C5CC4"/>
    <w:rsid w:val="006C628A"/>
    <w:rsid w:val="006C6309"/>
    <w:rsid w:val="006C67A7"/>
    <w:rsid w:val="006C6904"/>
    <w:rsid w:val="006C6EC7"/>
    <w:rsid w:val="006C6EFB"/>
    <w:rsid w:val="006C72DD"/>
    <w:rsid w:val="006C73D3"/>
    <w:rsid w:val="006C7507"/>
    <w:rsid w:val="006C7771"/>
    <w:rsid w:val="006C7BE5"/>
    <w:rsid w:val="006C7D05"/>
    <w:rsid w:val="006C7F67"/>
    <w:rsid w:val="006C7F94"/>
    <w:rsid w:val="006D0A5A"/>
    <w:rsid w:val="006D0BDE"/>
    <w:rsid w:val="006D0BE5"/>
    <w:rsid w:val="006D0CF1"/>
    <w:rsid w:val="006D0D14"/>
    <w:rsid w:val="006D0F26"/>
    <w:rsid w:val="006D0F7A"/>
    <w:rsid w:val="006D1100"/>
    <w:rsid w:val="006D141A"/>
    <w:rsid w:val="006D15FC"/>
    <w:rsid w:val="006D1B21"/>
    <w:rsid w:val="006D1EB0"/>
    <w:rsid w:val="006D20B7"/>
    <w:rsid w:val="006D20D6"/>
    <w:rsid w:val="006D2543"/>
    <w:rsid w:val="006D2624"/>
    <w:rsid w:val="006D276D"/>
    <w:rsid w:val="006D2795"/>
    <w:rsid w:val="006D2984"/>
    <w:rsid w:val="006D29BE"/>
    <w:rsid w:val="006D29C4"/>
    <w:rsid w:val="006D2BDE"/>
    <w:rsid w:val="006D2D35"/>
    <w:rsid w:val="006D2EA0"/>
    <w:rsid w:val="006D3C67"/>
    <w:rsid w:val="006D3E32"/>
    <w:rsid w:val="006D4803"/>
    <w:rsid w:val="006D4AB0"/>
    <w:rsid w:val="006D4CF0"/>
    <w:rsid w:val="006D4DFF"/>
    <w:rsid w:val="006D550F"/>
    <w:rsid w:val="006D5568"/>
    <w:rsid w:val="006D5571"/>
    <w:rsid w:val="006D5D9A"/>
    <w:rsid w:val="006D62B8"/>
    <w:rsid w:val="006D6525"/>
    <w:rsid w:val="006D67FE"/>
    <w:rsid w:val="006D70DC"/>
    <w:rsid w:val="006D75DB"/>
    <w:rsid w:val="006D76E6"/>
    <w:rsid w:val="006D770C"/>
    <w:rsid w:val="006D7767"/>
    <w:rsid w:val="006D7819"/>
    <w:rsid w:val="006E00CA"/>
    <w:rsid w:val="006E0405"/>
    <w:rsid w:val="006E097F"/>
    <w:rsid w:val="006E0F8D"/>
    <w:rsid w:val="006E0FA1"/>
    <w:rsid w:val="006E159C"/>
    <w:rsid w:val="006E1782"/>
    <w:rsid w:val="006E1CC2"/>
    <w:rsid w:val="006E1FF5"/>
    <w:rsid w:val="006E2092"/>
    <w:rsid w:val="006E22DB"/>
    <w:rsid w:val="006E24C9"/>
    <w:rsid w:val="006E24E3"/>
    <w:rsid w:val="006E26B1"/>
    <w:rsid w:val="006E2992"/>
    <w:rsid w:val="006E2E17"/>
    <w:rsid w:val="006E2E38"/>
    <w:rsid w:val="006E2F1D"/>
    <w:rsid w:val="006E2F6C"/>
    <w:rsid w:val="006E301B"/>
    <w:rsid w:val="006E3113"/>
    <w:rsid w:val="006E38C9"/>
    <w:rsid w:val="006E3A3B"/>
    <w:rsid w:val="006E4116"/>
    <w:rsid w:val="006E4445"/>
    <w:rsid w:val="006E4980"/>
    <w:rsid w:val="006E4EC9"/>
    <w:rsid w:val="006E50B3"/>
    <w:rsid w:val="006E554F"/>
    <w:rsid w:val="006E55DF"/>
    <w:rsid w:val="006E5A2D"/>
    <w:rsid w:val="006E604F"/>
    <w:rsid w:val="006E635B"/>
    <w:rsid w:val="006E6577"/>
    <w:rsid w:val="006E6CDD"/>
    <w:rsid w:val="006E70A6"/>
    <w:rsid w:val="006E7383"/>
    <w:rsid w:val="006E7387"/>
    <w:rsid w:val="006E758C"/>
    <w:rsid w:val="006E769B"/>
    <w:rsid w:val="006E7729"/>
    <w:rsid w:val="006E77B9"/>
    <w:rsid w:val="006E7903"/>
    <w:rsid w:val="006E7FD6"/>
    <w:rsid w:val="006F0279"/>
    <w:rsid w:val="006F02F4"/>
    <w:rsid w:val="006F08D2"/>
    <w:rsid w:val="006F0AB0"/>
    <w:rsid w:val="006F0AF2"/>
    <w:rsid w:val="006F0EF3"/>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026"/>
    <w:rsid w:val="006F30C8"/>
    <w:rsid w:val="006F325F"/>
    <w:rsid w:val="006F3422"/>
    <w:rsid w:val="006F3593"/>
    <w:rsid w:val="006F383D"/>
    <w:rsid w:val="006F3CE8"/>
    <w:rsid w:val="006F3D1A"/>
    <w:rsid w:val="006F3E73"/>
    <w:rsid w:val="006F3FBA"/>
    <w:rsid w:val="006F4052"/>
    <w:rsid w:val="006F42DC"/>
    <w:rsid w:val="006F448B"/>
    <w:rsid w:val="006F4714"/>
    <w:rsid w:val="006F49C5"/>
    <w:rsid w:val="006F4B59"/>
    <w:rsid w:val="006F5356"/>
    <w:rsid w:val="006F577D"/>
    <w:rsid w:val="006F585E"/>
    <w:rsid w:val="006F6C3B"/>
    <w:rsid w:val="006F7B86"/>
    <w:rsid w:val="006F7CD7"/>
    <w:rsid w:val="0070074B"/>
    <w:rsid w:val="0070088A"/>
    <w:rsid w:val="00700D8E"/>
    <w:rsid w:val="007011C5"/>
    <w:rsid w:val="00701710"/>
    <w:rsid w:val="007019F4"/>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530"/>
    <w:rsid w:val="0070469E"/>
    <w:rsid w:val="00704CDE"/>
    <w:rsid w:val="00704D3E"/>
    <w:rsid w:val="00704F30"/>
    <w:rsid w:val="007051DB"/>
    <w:rsid w:val="007057DF"/>
    <w:rsid w:val="007058AA"/>
    <w:rsid w:val="00705C66"/>
    <w:rsid w:val="00706228"/>
    <w:rsid w:val="00706638"/>
    <w:rsid w:val="0070681D"/>
    <w:rsid w:val="0070692F"/>
    <w:rsid w:val="0070741C"/>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CA2"/>
    <w:rsid w:val="00711D39"/>
    <w:rsid w:val="0071204D"/>
    <w:rsid w:val="007125A4"/>
    <w:rsid w:val="007125E4"/>
    <w:rsid w:val="00712889"/>
    <w:rsid w:val="007128DE"/>
    <w:rsid w:val="0071290D"/>
    <w:rsid w:val="00712B40"/>
    <w:rsid w:val="00712B9E"/>
    <w:rsid w:val="00712BC5"/>
    <w:rsid w:val="00712D26"/>
    <w:rsid w:val="007137DA"/>
    <w:rsid w:val="00713D67"/>
    <w:rsid w:val="00713E18"/>
    <w:rsid w:val="00713EC4"/>
    <w:rsid w:val="00713F20"/>
    <w:rsid w:val="00714081"/>
    <w:rsid w:val="00714093"/>
    <w:rsid w:val="007141B4"/>
    <w:rsid w:val="00714593"/>
    <w:rsid w:val="00714AA2"/>
    <w:rsid w:val="00715076"/>
    <w:rsid w:val="00715326"/>
    <w:rsid w:val="007153BB"/>
    <w:rsid w:val="00715799"/>
    <w:rsid w:val="00715A90"/>
    <w:rsid w:val="00715B99"/>
    <w:rsid w:val="00715EC3"/>
    <w:rsid w:val="007160E4"/>
    <w:rsid w:val="0071630E"/>
    <w:rsid w:val="00716A55"/>
    <w:rsid w:val="0071711A"/>
    <w:rsid w:val="0071734A"/>
    <w:rsid w:val="00717669"/>
    <w:rsid w:val="0071791A"/>
    <w:rsid w:val="00720008"/>
    <w:rsid w:val="0072016C"/>
    <w:rsid w:val="0072024F"/>
    <w:rsid w:val="0072034F"/>
    <w:rsid w:val="0072054F"/>
    <w:rsid w:val="00720715"/>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E27"/>
    <w:rsid w:val="00723FB6"/>
    <w:rsid w:val="007244BA"/>
    <w:rsid w:val="007244EA"/>
    <w:rsid w:val="00724E53"/>
    <w:rsid w:val="0072535D"/>
    <w:rsid w:val="007254F9"/>
    <w:rsid w:val="00725689"/>
    <w:rsid w:val="00725731"/>
    <w:rsid w:val="007259EF"/>
    <w:rsid w:val="0072623C"/>
    <w:rsid w:val="0072652D"/>
    <w:rsid w:val="00726F58"/>
    <w:rsid w:val="00727533"/>
    <w:rsid w:val="00727B60"/>
    <w:rsid w:val="00727C5E"/>
    <w:rsid w:val="00727DE0"/>
    <w:rsid w:val="0073012E"/>
    <w:rsid w:val="007307E8"/>
    <w:rsid w:val="00730806"/>
    <w:rsid w:val="00730817"/>
    <w:rsid w:val="007309E1"/>
    <w:rsid w:val="00730BA6"/>
    <w:rsid w:val="00730E23"/>
    <w:rsid w:val="00730F0A"/>
    <w:rsid w:val="007312E9"/>
    <w:rsid w:val="007314B9"/>
    <w:rsid w:val="00731650"/>
    <w:rsid w:val="00731B86"/>
    <w:rsid w:val="00731B91"/>
    <w:rsid w:val="00732055"/>
    <w:rsid w:val="0073232E"/>
    <w:rsid w:val="007325BF"/>
    <w:rsid w:val="007326C6"/>
    <w:rsid w:val="00732A57"/>
    <w:rsid w:val="00732FA8"/>
    <w:rsid w:val="007334C1"/>
    <w:rsid w:val="007335E0"/>
    <w:rsid w:val="007337F7"/>
    <w:rsid w:val="00733941"/>
    <w:rsid w:val="0073399D"/>
    <w:rsid w:val="0073444E"/>
    <w:rsid w:val="00734496"/>
    <w:rsid w:val="007344C9"/>
    <w:rsid w:val="00734978"/>
    <w:rsid w:val="0073497F"/>
    <w:rsid w:val="00734A05"/>
    <w:rsid w:val="00734AEC"/>
    <w:rsid w:val="00734BEF"/>
    <w:rsid w:val="00734D04"/>
    <w:rsid w:val="00734EEB"/>
    <w:rsid w:val="00734EF2"/>
    <w:rsid w:val="00734FA4"/>
    <w:rsid w:val="007353BD"/>
    <w:rsid w:val="0073554E"/>
    <w:rsid w:val="007356FE"/>
    <w:rsid w:val="00735786"/>
    <w:rsid w:val="007357AB"/>
    <w:rsid w:val="00735CA2"/>
    <w:rsid w:val="00735EAA"/>
    <w:rsid w:val="00735FD3"/>
    <w:rsid w:val="0073610B"/>
    <w:rsid w:val="00736944"/>
    <w:rsid w:val="00736A63"/>
    <w:rsid w:val="00736D76"/>
    <w:rsid w:val="00737085"/>
    <w:rsid w:val="007372BC"/>
    <w:rsid w:val="007373A2"/>
    <w:rsid w:val="00737AB0"/>
    <w:rsid w:val="007405CB"/>
    <w:rsid w:val="007406E8"/>
    <w:rsid w:val="00740C55"/>
    <w:rsid w:val="00740D08"/>
    <w:rsid w:val="0074132B"/>
    <w:rsid w:val="0074155B"/>
    <w:rsid w:val="00741AC1"/>
    <w:rsid w:val="00741B84"/>
    <w:rsid w:val="00741CA7"/>
    <w:rsid w:val="00741CDB"/>
    <w:rsid w:val="00742419"/>
    <w:rsid w:val="007425F8"/>
    <w:rsid w:val="007427BF"/>
    <w:rsid w:val="00742857"/>
    <w:rsid w:val="007428DA"/>
    <w:rsid w:val="00742BA7"/>
    <w:rsid w:val="00742CE6"/>
    <w:rsid w:val="00742D99"/>
    <w:rsid w:val="00743248"/>
    <w:rsid w:val="007432F0"/>
    <w:rsid w:val="00743A02"/>
    <w:rsid w:val="00743AE4"/>
    <w:rsid w:val="00743D6F"/>
    <w:rsid w:val="00743E0C"/>
    <w:rsid w:val="007445B5"/>
    <w:rsid w:val="0074495E"/>
    <w:rsid w:val="00744A17"/>
    <w:rsid w:val="00744BD2"/>
    <w:rsid w:val="00744C0B"/>
    <w:rsid w:val="00744E0A"/>
    <w:rsid w:val="00744E23"/>
    <w:rsid w:val="00744F08"/>
    <w:rsid w:val="00745192"/>
    <w:rsid w:val="00745421"/>
    <w:rsid w:val="0074557A"/>
    <w:rsid w:val="007456C2"/>
    <w:rsid w:val="0074598C"/>
    <w:rsid w:val="00745D81"/>
    <w:rsid w:val="00745E32"/>
    <w:rsid w:val="00745F15"/>
    <w:rsid w:val="00745FC7"/>
    <w:rsid w:val="00746482"/>
    <w:rsid w:val="007464C4"/>
    <w:rsid w:val="0074655C"/>
    <w:rsid w:val="007468D8"/>
    <w:rsid w:val="00746A18"/>
    <w:rsid w:val="00746A80"/>
    <w:rsid w:val="00746D86"/>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F0E"/>
    <w:rsid w:val="00751FE8"/>
    <w:rsid w:val="0075213D"/>
    <w:rsid w:val="00752334"/>
    <w:rsid w:val="007524F7"/>
    <w:rsid w:val="00752594"/>
    <w:rsid w:val="007527D2"/>
    <w:rsid w:val="00752AC2"/>
    <w:rsid w:val="00752B9E"/>
    <w:rsid w:val="00752F6B"/>
    <w:rsid w:val="0075321D"/>
    <w:rsid w:val="00753279"/>
    <w:rsid w:val="00754018"/>
    <w:rsid w:val="007541E6"/>
    <w:rsid w:val="00754472"/>
    <w:rsid w:val="007547DE"/>
    <w:rsid w:val="0075485B"/>
    <w:rsid w:val="007554E8"/>
    <w:rsid w:val="007555AB"/>
    <w:rsid w:val="0075592D"/>
    <w:rsid w:val="00755B76"/>
    <w:rsid w:val="00755D90"/>
    <w:rsid w:val="00755EA3"/>
    <w:rsid w:val="00755F72"/>
    <w:rsid w:val="00755FB2"/>
    <w:rsid w:val="00756029"/>
    <w:rsid w:val="0075654C"/>
    <w:rsid w:val="00756AF7"/>
    <w:rsid w:val="00756F26"/>
    <w:rsid w:val="007578FE"/>
    <w:rsid w:val="00757B85"/>
    <w:rsid w:val="00757E63"/>
    <w:rsid w:val="00757EFE"/>
    <w:rsid w:val="0076064D"/>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0B7"/>
    <w:rsid w:val="00765116"/>
    <w:rsid w:val="007652AF"/>
    <w:rsid w:val="007655AD"/>
    <w:rsid w:val="007656A8"/>
    <w:rsid w:val="00765759"/>
    <w:rsid w:val="00765F75"/>
    <w:rsid w:val="007661FB"/>
    <w:rsid w:val="007667A1"/>
    <w:rsid w:val="007667BF"/>
    <w:rsid w:val="007667D3"/>
    <w:rsid w:val="007669E0"/>
    <w:rsid w:val="00766C36"/>
    <w:rsid w:val="00766DB0"/>
    <w:rsid w:val="00767CEB"/>
    <w:rsid w:val="00767E82"/>
    <w:rsid w:val="0077061A"/>
    <w:rsid w:val="007709DA"/>
    <w:rsid w:val="00770C53"/>
    <w:rsid w:val="00770E20"/>
    <w:rsid w:val="00771135"/>
    <w:rsid w:val="0077134B"/>
    <w:rsid w:val="007713EE"/>
    <w:rsid w:val="00771551"/>
    <w:rsid w:val="00771A06"/>
    <w:rsid w:val="00771A18"/>
    <w:rsid w:val="00771F69"/>
    <w:rsid w:val="0077212D"/>
    <w:rsid w:val="007722A8"/>
    <w:rsid w:val="00772333"/>
    <w:rsid w:val="00772654"/>
    <w:rsid w:val="00772AA0"/>
    <w:rsid w:val="00772BF0"/>
    <w:rsid w:val="00772D23"/>
    <w:rsid w:val="00772FEB"/>
    <w:rsid w:val="00773272"/>
    <w:rsid w:val="0077344F"/>
    <w:rsid w:val="00773788"/>
    <w:rsid w:val="00773C2C"/>
    <w:rsid w:val="00773CC5"/>
    <w:rsid w:val="00774441"/>
    <w:rsid w:val="00774511"/>
    <w:rsid w:val="00774598"/>
    <w:rsid w:val="00775137"/>
    <w:rsid w:val="007752A9"/>
    <w:rsid w:val="00775484"/>
    <w:rsid w:val="007754A4"/>
    <w:rsid w:val="0077573C"/>
    <w:rsid w:val="00775746"/>
    <w:rsid w:val="00775AAC"/>
    <w:rsid w:val="00775B76"/>
    <w:rsid w:val="00775D93"/>
    <w:rsid w:val="00775F9F"/>
    <w:rsid w:val="00776590"/>
    <w:rsid w:val="0077677F"/>
    <w:rsid w:val="007768F5"/>
    <w:rsid w:val="007768FC"/>
    <w:rsid w:val="00776EE9"/>
    <w:rsid w:val="007773E0"/>
    <w:rsid w:val="0077744F"/>
    <w:rsid w:val="0077784D"/>
    <w:rsid w:val="007778C5"/>
    <w:rsid w:val="007800A3"/>
    <w:rsid w:val="007800A6"/>
    <w:rsid w:val="0078092F"/>
    <w:rsid w:val="0078103E"/>
    <w:rsid w:val="007811CE"/>
    <w:rsid w:val="007813F1"/>
    <w:rsid w:val="007817A4"/>
    <w:rsid w:val="007817E1"/>
    <w:rsid w:val="007819E1"/>
    <w:rsid w:val="00781BDB"/>
    <w:rsid w:val="00781C30"/>
    <w:rsid w:val="00782DCC"/>
    <w:rsid w:val="0078343E"/>
    <w:rsid w:val="0078358C"/>
    <w:rsid w:val="007835AF"/>
    <w:rsid w:val="007836AB"/>
    <w:rsid w:val="007836FD"/>
    <w:rsid w:val="007837C5"/>
    <w:rsid w:val="0078384C"/>
    <w:rsid w:val="007838A5"/>
    <w:rsid w:val="00783D36"/>
    <w:rsid w:val="00784621"/>
    <w:rsid w:val="007846A1"/>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A17"/>
    <w:rsid w:val="00786CB1"/>
    <w:rsid w:val="00786D08"/>
    <w:rsid w:val="00786F74"/>
    <w:rsid w:val="00786FC1"/>
    <w:rsid w:val="00787191"/>
    <w:rsid w:val="007875DB"/>
    <w:rsid w:val="0078797B"/>
    <w:rsid w:val="0079047D"/>
    <w:rsid w:val="007905AE"/>
    <w:rsid w:val="00790749"/>
    <w:rsid w:val="007907AE"/>
    <w:rsid w:val="007907EC"/>
    <w:rsid w:val="00790966"/>
    <w:rsid w:val="007909A2"/>
    <w:rsid w:val="00790B8E"/>
    <w:rsid w:val="00790EEF"/>
    <w:rsid w:val="00790F7F"/>
    <w:rsid w:val="00790F92"/>
    <w:rsid w:val="00791068"/>
    <w:rsid w:val="00791208"/>
    <w:rsid w:val="00791396"/>
    <w:rsid w:val="007913AE"/>
    <w:rsid w:val="00791565"/>
    <w:rsid w:val="00791A8A"/>
    <w:rsid w:val="00791ADB"/>
    <w:rsid w:val="00791C11"/>
    <w:rsid w:val="00792103"/>
    <w:rsid w:val="007921AC"/>
    <w:rsid w:val="007924C4"/>
    <w:rsid w:val="00792C19"/>
    <w:rsid w:val="00792D43"/>
    <w:rsid w:val="00792F69"/>
    <w:rsid w:val="00792F87"/>
    <w:rsid w:val="0079334B"/>
    <w:rsid w:val="00793574"/>
    <w:rsid w:val="007937FD"/>
    <w:rsid w:val="00793942"/>
    <w:rsid w:val="007939AE"/>
    <w:rsid w:val="00793A5A"/>
    <w:rsid w:val="00793CBE"/>
    <w:rsid w:val="007942DB"/>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030"/>
    <w:rsid w:val="007973FA"/>
    <w:rsid w:val="00797765"/>
    <w:rsid w:val="00797F24"/>
    <w:rsid w:val="007A01A2"/>
    <w:rsid w:val="007A01DE"/>
    <w:rsid w:val="007A031B"/>
    <w:rsid w:val="007A0B38"/>
    <w:rsid w:val="007A0B95"/>
    <w:rsid w:val="007A11CE"/>
    <w:rsid w:val="007A13F1"/>
    <w:rsid w:val="007A14E6"/>
    <w:rsid w:val="007A15FD"/>
    <w:rsid w:val="007A1619"/>
    <w:rsid w:val="007A1658"/>
    <w:rsid w:val="007A26F7"/>
    <w:rsid w:val="007A270C"/>
    <w:rsid w:val="007A2778"/>
    <w:rsid w:val="007A2A31"/>
    <w:rsid w:val="007A2E9B"/>
    <w:rsid w:val="007A34DB"/>
    <w:rsid w:val="007A3980"/>
    <w:rsid w:val="007A3ED4"/>
    <w:rsid w:val="007A4012"/>
    <w:rsid w:val="007A45EF"/>
    <w:rsid w:val="007A4896"/>
    <w:rsid w:val="007A498E"/>
    <w:rsid w:val="007A4DF4"/>
    <w:rsid w:val="007A5971"/>
    <w:rsid w:val="007A5CA4"/>
    <w:rsid w:val="007A6005"/>
    <w:rsid w:val="007A6050"/>
    <w:rsid w:val="007A62C2"/>
    <w:rsid w:val="007A63BE"/>
    <w:rsid w:val="007A688B"/>
    <w:rsid w:val="007A688C"/>
    <w:rsid w:val="007A6A1B"/>
    <w:rsid w:val="007A6C32"/>
    <w:rsid w:val="007A6D83"/>
    <w:rsid w:val="007A715D"/>
    <w:rsid w:val="007A721A"/>
    <w:rsid w:val="007A7227"/>
    <w:rsid w:val="007A7446"/>
    <w:rsid w:val="007A7525"/>
    <w:rsid w:val="007A787A"/>
    <w:rsid w:val="007A7B7E"/>
    <w:rsid w:val="007A7D62"/>
    <w:rsid w:val="007A7E73"/>
    <w:rsid w:val="007A7E9B"/>
    <w:rsid w:val="007B021E"/>
    <w:rsid w:val="007B053A"/>
    <w:rsid w:val="007B057A"/>
    <w:rsid w:val="007B0A86"/>
    <w:rsid w:val="007B0C89"/>
    <w:rsid w:val="007B0CCE"/>
    <w:rsid w:val="007B11D4"/>
    <w:rsid w:val="007B1478"/>
    <w:rsid w:val="007B15A9"/>
    <w:rsid w:val="007B169A"/>
    <w:rsid w:val="007B2322"/>
    <w:rsid w:val="007B28B1"/>
    <w:rsid w:val="007B2D9F"/>
    <w:rsid w:val="007B2F75"/>
    <w:rsid w:val="007B3489"/>
    <w:rsid w:val="007B34BD"/>
    <w:rsid w:val="007B3663"/>
    <w:rsid w:val="007B36CB"/>
    <w:rsid w:val="007B382A"/>
    <w:rsid w:val="007B3A96"/>
    <w:rsid w:val="007B3AC3"/>
    <w:rsid w:val="007B3D86"/>
    <w:rsid w:val="007B3F6C"/>
    <w:rsid w:val="007B43D5"/>
    <w:rsid w:val="007B4685"/>
    <w:rsid w:val="007B468B"/>
    <w:rsid w:val="007B4736"/>
    <w:rsid w:val="007B48AC"/>
    <w:rsid w:val="007B4F6F"/>
    <w:rsid w:val="007B5201"/>
    <w:rsid w:val="007B52F3"/>
    <w:rsid w:val="007B533F"/>
    <w:rsid w:val="007B54D2"/>
    <w:rsid w:val="007B54D3"/>
    <w:rsid w:val="007B55D6"/>
    <w:rsid w:val="007B58BF"/>
    <w:rsid w:val="007B5A6D"/>
    <w:rsid w:val="007B5BBD"/>
    <w:rsid w:val="007B5F3F"/>
    <w:rsid w:val="007B6092"/>
    <w:rsid w:val="007B66DA"/>
    <w:rsid w:val="007B681F"/>
    <w:rsid w:val="007B6AFE"/>
    <w:rsid w:val="007B6B93"/>
    <w:rsid w:val="007B6F05"/>
    <w:rsid w:val="007B71A6"/>
    <w:rsid w:val="007B7398"/>
    <w:rsid w:val="007B73EB"/>
    <w:rsid w:val="007B73F7"/>
    <w:rsid w:val="007B772F"/>
    <w:rsid w:val="007B7960"/>
    <w:rsid w:val="007B7963"/>
    <w:rsid w:val="007B7D17"/>
    <w:rsid w:val="007B7D58"/>
    <w:rsid w:val="007B7D72"/>
    <w:rsid w:val="007B7DA4"/>
    <w:rsid w:val="007B7E09"/>
    <w:rsid w:val="007B7EA1"/>
    <w:rsid w:val="007C0076"/>
    <w:rsid w:val="007C0405"/>
    <w:rsid w:val="007C0463"/>
    <w:rsid w:val="007C0DF2"/>
    <w:rsid w:val="007C1043"/>
    <w:rsid w:val="007C114B"/>
    <w:rsid w:val="007C11E9"/>
    <w:rsid w:val="007C1293"/>
    <w:rsid w:val="007C12DE"/>
    <w:rsid w:val="007C182F"/>
    <w:rsid w:val="007C1901"/>
    <w:rsid w:val="007C1FF6"/>
    <w:rsid w:val="007C2157"/>
    <w:rsid w:val="007C2224"/>
    <w:rsid w:val="007C236A"/>
    <w:rsid w:val="007C2429"/>
    <w:rsid w:val="007C2609"/>
    <w:rsid w:val="007C282B"/>
    <w:rsid w:val="007C28A6"/>
    <w:rsid w:val="007C28B1"/>
    <w:rsid w:val="007C2929"/>
    <w:rsid w:val="007C2DD7"/>
    <w:rsid w:val="007C32CF"/>
    <w:rsid w:val="007C32D4"/>
    <w:rsid w:val="007C334A"/>
    <w:rsid w:val="007C3424"/>
    <w:rsid w:val="007C34C8"/>
    <w:rsid w:val="007C3A1E"/>
    <w:rsid w:val="007C3F4F"/>
    <w:rsid w:val="007C42B0"/>
    <w:rsid w:val="007C4317"/>
    <w:rsid w:val="007C4484"/>
    <w:rsid w:val="007C44CB"/>
    <w:rsid w:val="007C46C7"/>
    <w:rsid w:val="007C483E"/>
    <w:rsid w:val="007C4B40"/>
    <w:rsid w:val="007C4CBC"/>
    <w:rsid w:val="007C54BC"/>
    <w:rsid w:val="007C55B9"/>
    <w:rsid w:val="007C58AF"/>
    <w:rsid w:val="007C5A2E"/>
    <w:rsid w:val="007C5C39"/>
    <w:rsid w:val="007C5F8D"/>
    <w:rsid w:val="007C634C"/>
    <w:rsid w:val="007C6355"/>
    <w:rsid w:val="007C651F"/>
    <w:rsid w:val="007C6543"/>
    <w:rsid w:val="007C6651"/>
    <w:rsid w:val="007C6711"/>
    <w:rsid w:val="007C6AD7"/>
    <w:rsid w:val="007C6D48"/>
    <w:rsid w:val="007C73EA"/>
    <w:rsid w:val="007C7869"/>
    <w:rsid w:val="007C78F8"/>
    <w:rsid w:val="007C7948"/>
    <w:rsid w:val="007C794C"/>
    <w:rsid w:val="007C7C82"/>
    <w:rsid w:val="007C7C8D"/>
    <w:rsid w:val="007C7FCC"/>
    <w:rsid w:val="007D0517"/>
    <w:rsid w:val="007D07FB"/>
    <w:rsid w:val="007D09E0"/>
    <w:rsid w:val="007D1084"/>
    <w:rsid w:val="007D12C0"/>
    <w:rsid w:val="007D1917"/>
    <w:rsid w:val="007D196D"/>
    <w:rsid w:val="007D29E3"/>
    <w:rsid w:val="007D29F6"/>
    <w:rsid w:val="007D29F7"/>
    <w:rsid w:val="007D3237"/>
    <w:rsid w:val="007D32E7"/>
    <w:rsid w:val="007D34E0"/>
    <w:rsid w:val="007D399F"/>
    <w:rsid w:val="007D3A2E"/>
    <w:rsid w:val="007D3AAB"/>
    <w:rsid w:val="007D3CA9"/>
    <w:rsid w:val="007D3D98"/>
    <w:rsid w:val="007D3DF0"/>
    <w:rsid w:val="007D40B5"/>
    <w:rsid w:val="007D4EBD"/>
    <w:rsid w:val="007D57CD"/>
    <w:rsid w:val="007D5844"/>
    <w:rsid w:val="007D5CB5"/>
    <w:rsid w:val="007D5DFB"/>
    <w:rsid w:val="007D6529"/>
    <w:rsid w:val="007D65A0"/>
    <w:rsid w:val="007D6AEE"/>
    <w:rsid w:val="007D6C82"/>
    <w:rsid w:val="007D6D7F"/>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500"/>
    <w:rsid w:val="007E2961"/>
    <w:rsid w:val="007E31A2"/>
    <w:rsid w:val="007E393B"/>
    <w:rsid w:val="007E3F5C"/>
    <w:rsid w:val="007E4121"/>
    <w:rsid w:val="007E43C7"/>
    <w:rsid w:val="007E4433"/>
    <w:rsid w:val="007E4530"/>
    <w:rsid w:val="007E460E"/>
    <w:rsid w:val="007E4718"/>
    <w:rsid w:val="007E4D70"/>
    <w:rsid w:val="007E5190"/>
    <w:rsid w:val="007E5332"/>
    <w:rsid w:val="007E53DF"/>
    <w:rsid w:val="007E53F0"/>
    <w:rsid w:val="007E54B4"/>
    <w:rsid w:val="007E562A"/>
    <w:rsid w:val="007E5958"/>
    <w:rsid w:val="007E5DA7"/>
    <w:rsid w:val="007E5F51"/>
    <w:rsid w:val="007E6515"/>
    <w:rsid w:val="007E6AD8"/>
    <w:rsid w:val="007E6D7F"/>
    <w:rsid w:val="007E6F7B"/>
    <w:rsid w:val="007E7099"/>
    <w:rsid w:val="007E74AD"/>
    <w:rsid w:val="007E7AE0"/>
    <w:rsid w:val="007E7AEA"/>
    <w:rsid w:val="007E7C28"/>
    <w:rsid w:val="007E7C34"/>
    <w:rsid w:val="007E7D4F"/>
    <w:rsid w:val="007E7F5A"/>
    <w:rsid w:val="007F0108"/>
    <w:rsid w:val="007F0153"/>
    <w:rsid w:val="007F02E5"/>
    <w:rsid w:val="007F0439"/>
    <w:rsid w:val="007F04ED"/>
    <w:rsid w:val="007F06EF"/>
    <w:rsid w:val="007F0996"/>
    <w:rsid w:val="007F0B5C"/>
    <w:rsid w:val="007F1042"/>
    <w:rsid w:val="007F11E4"/>
    <w:rsid w:val="007F178E"/>
    <w:rsid w:val="007F1D4C"/>
    <w:rsid w:val="007F1D93"/>
    <w:rsid w:val="007F1E28"/>
    <w:rsid w:val="007F1F96"/>
    <w:rsid w:val="007F206A"/>
    <w:rsid w:val="007F27A9"/>
    <w:rsid w:val="007F2E28"/>
    <w:rsid w:val="007F2EAE"/>
    <w:rsid w:val="007F3205"/>
    <w:rsid w:val="007F3353"/>
    <w:rsid w:val="007F3412"/>
    <w:rsid w:val="007F3479"/>
    <w:rsid w:val="007F3DD7"/>
    <w:rsid w:val="007F3E20"/>
    <w:rsid w:val="007F3E3F"/>
    <w:rsid w:val="007F3FA4"/>
    <w:rsid w:val="007F4991"/>
    <w:rsid w:val="007F4ABA"/>
    <w:rsid w:val="007F549C"/>
    <w:rsid w:val="007F5575"/>
    <w:rsid w:val="007F590E"/>
    <w:rsid w:val="007F59E8"/>
    <w:rsid w:val="007F5AEA"/>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7F7C9E"/>
    <w:rsid w:val="00800457"/>
    <w:rsid w:val="00800AAC"/>
    <w:rsid w:val="00800D74"/>
    <w:rsid w:val="00801096"/>
    <w:rsid w:val="008014F8"/>
    <w:rsid w:val="00801609"/>
    <w:rsid w:val="00801798"/>
    <w:rsid w:val="00801A27"/>
    <w:rsid w:val="00801D3E"/>
    <w:rsid w:val="008021B3"/>
    <w:rsid w:val="00802322"/>
    <w:rsid w:val="008024D9"/>
    <w:rsid w:val="00802705"/>
    <w:rsid w:val="00802832"/>
    <w:rsid w:val="00802936"/>
    <w:rsid w:val="00802A9F"/>
    <w:rsid w:val="00802CA4"/>
    <w:rsid w:val="00802E1B"/>
    <w:rsid w:val="008030CA"/>
    <w:rsid w:val="008030D8"/>
    <w:rsid w:val="008031BA"/>
    <w:rsid w:val="00803242"/>
    <w:rsid w:val="0080347A"/>
    <w:rsid w:val="0080351E"/>
    <w:rsid w:val="008036A6"/>
    <w:rsid w:val="00803792"/>
    <w:rsid w:val="0080380B"/>
    <w:rsid w:val="00803AA5"/>
    <w:rsid w:val="00803BFA"/>
    <w:rsid w:val="00803C1E"/>
    <w:rsid w:val="00803F95"/>
    <w:rsid w:val="00803FE1"/>
    <w:rsid w:val="00804092"/>
    <w:rsid w:val="008043C2"/>
    <w:rsid w:val="0080457B"/>
    <w:rsid w:val="00804BA5"/>
    <w:rsid w:val="00804C78"/>
    <w:rsid w:val="00804F7C"/>
    <w:rsid w:val="008057CD"/>
    <w:rsid w:val="008059DB"/>
    <w:rsid w:val="00805CEC"/>
    <w:rsid w:val="00805D34"/>
    <w:rsid w:val="00805F9F"/>
    <w:rsid w:val="00805FEE"/>
    <w:rsid w:val="00806438"/>
    <w:rsid w:val="008066CB"/>
    <w:rsid w:val="008069A6"/>
    <w:rsid w:val="00806F22"/>
    <w:rsid w:val="00806F6F"/>
    <w:rsid w:val="00807166"/>
    <w:rsid w:val="008072EF"/>
    <w:rsid w:val="008077F3"/>
    <w:rsid w:val="0080792E"/>
    <w:rsid w:val="00807BC9"/>
    <w:rsid w:val="00807D01"/>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3DD"/>
    <w:rsid w:val="0081340F"/>
    <w:rsid w:val="0081372B"/>
    <w:rsid w:val="008137A8"/>
    <w:rsid w:val="00813D07"/>
    <w:rsid w:val="00813F5C"/>
    <w:rsid w:val="008141D6"/>
    <w:rsid w:val="0081440D"/>
    <w:rsid w:val="00814A5C"/>
    <w:rsid w:val="00815058"/>
    <w:rsid w:val="0081509A"/>
    <w:rsid w:val="00815271"/>
    <w:rsid w:val="008152E0"/>
    <w:rsid w:val="008156C3"/>
    <w:rsid w:val="008156E5"/>
    <w:rsid w:val="00815DB4"/>
    <w:rsid w:val="00815F07"/>
    <w:rsid w:val="00816276"/>
    <w:rsid w:val="008162FC"/>
    <w:rsid w:val="00816720"/>
    <w:rsid w:val="0081675F"/>
    <w:rsid w:val="00816984"/>
    <w:rsid w:val="00816DA3"/>
    <w:rsid w:val="00817665"/>
    <w:rsid w:val="00817976"/>
    <w:rsid w:val="00817FAF"/>
    <w:rsid w:val="00820151"/>
    <w:rsid w:val="008206FE"/>
    <w:rsid w:val="00820D8E"/>
    <w:rsid w:val="00821F8C"/>
    <w:rsid w:val="0082233D"/>
    <w:rsid w:val="0082287F"/>
    <w:rsid w:val="00822A75"/>
    <w:rsid w:val="00822FAF"/>
    <w:rsid w:val="0082388B"/>
    <w:rsid w:val="00823BCC"/>
    <w:rsid w:val="00823C1F"/>
    <w:rsid w:val="00823C25"/>
    <w:rsid w:val="00823DCC"/>
    <w:rsid w:val="00824271"/>
    <w:rsid w:val="00824845"/>
    <w:rsid w:val="00824916"/>
    <w:rsid w:val="00824A1D"/>
    <w:rsid w:val="00824B6D"/>
    <w:rsid w:val="00824F86"/>
    <w:rsid w:val="00824FD2"/>
    <w:rsid w:val="008254AB"/>
    <w:rsid w:val="008254FB"/>
    <w:rsid w:val="0082552D"/>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425"/>
    <w:rsid w:val="00833957"/>
    <w:rsid w:val="00833AC6"/>
    <w:rsid w:val="00833FF9"/>
    <w:rsid w:val="008346A1"/>
    <w:rsid w:val="008347EA"/>
    <w:rsid w:val="00834809"/>
    <w:rsid w:val="00834EA9"/>
    <w:rsid w:val="0083507F"/>
    <w:rsid w:val="008351EA"/>
    <w:rsid w:val="0083543B"/>
    <w:rsid w:val="0083583A"/>
    <w:rsid w:val="00835903"/>
    <w:rsid w:val="00835BD3"/>
    <w:rsid w:val="008364DF"/>
    <w:rsid w:val="008366C8"/>
    <w:rsid w:val="00836EFA"/>
    <w:rsid w:val="0083752B"/>
    <w:rsid w:val="008376EB"/>
    <w:rsid w:val="008378FA"/>
    <w:rsid w:val="00840241"/>
    <w:rsid w:val="008402CC"/>
    <w:rsid w:val="00840718"/>
    <w:rsid w:val="0084076B"/>
    <w:rsid w:val="00840C2E"/>
    <w:rsid w:val="008411C9"/>
    <w:rsid w:val="0084121E"/>
    <w:rsid w:val="008412EE"/>
    <w:rsid w:val="0084186B"/>
    <w:rsid w:val="00841B2E"/>
    <w:rsid w:val="00842869"/>
    <w:rsid w:val="00842BE1"/>
    <w:rsid w:val="00842CD6"/>
    <w:rsid w:val="00842F01"/>
    <w:rsid w:val="00842F09"/>
    <w:rsid w:val="00842F34"/>
    <w:rsid w:val="00843099"/>
    <w:rsid w:val="008434FC"/>
    <w:rsid w:val="0084373D"/>
    <w:rsid w:val="008439A1"/>
    <w:rsid w:val="00843AD0"/>
    <w:rsid w:val="008441E9"/>
    <w:rsid w:val="00844297"/>
    <w:rsid w:val="0084459A"/>
    <w:rsid w:val="008445A7"/>
    <w:rsid w:val="008445B5"/>
    <w:rsid w:val="0084473A"/>
    <w:rsid w:val="008447BB"/>
    <w:rsid w:val="00844C86"/>
    <w:rsid w:val="00844D29"/>
    <w:rsid w:val="00844EDC"/>
    <w:rsid w:val="00844F8A"/>
    <w:rsid w:val="008453AD"/>
    <w:rsid w:val="00845673"/>
    <w:rsid w:val="0084593F"/>
    <w:rsid w:val="00845BE2"/>
    <w:rsid w:val="00845F9B"/>
    <w:rsid w:val="00845FFF"/>
    <w:rsid w:val="00846312"/>
    <w:rsid w:val="008463AC"/>
    <w:rsid w:val="00846654"/>
    <w:rsid w:val="00846BB2"/>
    <w:rsid w:val="008474C2"/>
    <w:rsid w:val="0084795A"/>
    <w:rsid w:val="00847AAD"/>
    <w:rsid w:val="00847B3C"/>
    <w:rsid w:val="00847B9A"/>
    <w:rsid w:val="00847E0D"/>
    <w:rsid w:val="00847F3D"/>
    <w:rsid w:val="0085051B"/>
    <w:rsid w:val="00850BCB"/>
    <w:rsid w:val="00850CBB"/>
    <w:rsid w:val="00850EE9"/>
    <w:rsid w:val="0085101D"/>
    <w:rsid w:val="0085108C"/>
    <w:rsid w:val="00851338"/>
    <w:rsid w:val="008513A0"/>
    <w:rsid w:val="0085169D"/>
    <w:rsid w:val="00851A37"/>
    <w:rsid w:val="00851BE3"/>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D56"/>
    <w:rsid w:val="00854E54"/>
    <w:rsid w:val="008551C7"/>
    <w:rsid w:val="0085560D"/>
    <w:rsid w:val="00855637"/>
    <w:rsid w:val="008557D6"/>
    <w:rsid w:val="00855888"/>
    <w:rsid w:val="00855E2E"/>
    <w:rsid w:val="00855E33"/>
    <w:rsid w:val="00855F89"/>
    <w:rsid w:val="00856204"/>
    <w:rsid w:val="0085627B"/>
    <w:rsid w:val="008563BE"/>
    <w:rsid w:val="008563FC"/>
    <w:rsid w:val="00856459"/>
    <w:rsid w:val="00856637"/>
    <w:rsid w:val="008567AB"/>
    <w:rsid w:val="00856A54"/>
    <w:rsid w:val="00856CA4"/>
    <w:rsid w:val="00856D7B"/>
    <w:rsid w:val="00856E55"/>
    <w:rsid w:val="0085712D"/>
    <w:rsid w:val="00857272"/>
    <w:rsid w:val="00857331"/>
    <w:rsid w:val="0085739F"/>
    <w:rsid w:val="00857947"/>
    <w:rsid w:val="00857E9A"/>
    <w:rsid w:val="00860077"/>
    <w:rsid w:val="0086013C"/>
    <w:rsid w:val="00860211"/>
    <w:rsid w:val="00860283"/>
    <w:rsid w:val="00860535"/>
    <w:rsid w:val="0086058E"/>
    <w:rsid w:val="00860C34"/>
    <w:rsid w:val="00861196"/>
    <w:rsid w:val="00862090"/>
    <w:rsid w:val="00862420"/>
    <w:rsid w:val="00862F65"/>
    <w:rsid w:val="00862FC7"/>
    <w:rsid w:val="0086342F"/>
    <w:rsid w:val="0086360A"/>
    <w:rsid w:val="008638F0"/>
    <w:rsid w:val="00863A21"/>
    <w:rsid w:val="00863B9C"/>
    <w:rsid w:val="00863C18"/>
    <w:rsid w:val="00864093"/>
    <w:rsid w:val="008641C2"/>
    <w:rsid w:val="008646A1"/>
    <w:rsid w:val="0086471E"/>
    <w:rsid w:val="0086475E"/>
    <w:rsid w:val="00864760"/>
    <w:rsid w:val="00864A63"/>
    <w:rsid w:val="00864A7D"/>
    <w:rsid w:val="00864B08"/>
    <w:rsid w:val="00864EE7"/>
    <w:rsid w:val="00865D57"/>
    <w:rsid w:val="00865D9B"/>
    <w:rsid w:val="00866092"/>
    <w:rsid w:val="0086614C"/>
    <w:rsid w:val="008664EE"/>
    <w:rsid w:val="0086653D"/>
    <w:rsid w:val="0086659C"/>
    <w:rsid w:val="008666EC"/>
    <w:rsid w:val="008667CB"/>
    <w:rsid w:val="00867060"/>
    <w:rsid w:val="00867137"/>
    <w:rsid w:val="0086782F"/>
    <w:rsid w:val="0086785E"/>
    <w:rsid w:val="00867997"/>
    <w:rsid w:val="00867C38"/>
    <w:rsid w:val="00870002"/>
    <w:rsid w:val="0087073A"/>
    <w:rsid w:val="00870831"/>
    <w:rsid w:val="00870BF9"/>
    <w:rsid w:val="00870ED0"/>
    <w:rsid w:val="00871085"/>
    <w:rsid w:val="008711DA"/>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31E"/>
    <w:rsid w:val="00873403"/>
    <w:rsid w:val="008735CE"/>
    <w:rsid w:val="008738B9"/>
    <w:rsid w:val="0087404B"/>
    <w:rsid w:val="008742E5"/>
    <w:rsid w:val="00874A5E"/>
    <w:rsid w:val="00874B4C"/>
    <w:rsid w:val="00874C17"/>
    <w:rsid w:val="00874EB8"/>
    <w:rsid w:val="00874F29"/>
    <w:rsid w:val="00874FEC"/>
    <w:rsid w:val="00875351"/>
    <w:rsid w:val="008757D9"/>
    <w:rsid w:val="00875B37"/>
    <w:rsid w:val="0087606E"/>
    <w:rsid w:val="0087622B"/>
    <w:rsid w:val="008764A6"/>
    <w:rsid w:val="00876747"/>
    <w:rsid w:val="00876903"/>
    <w:rsid w:val="00876C6A"/>
    <w:rsid w:val="00876D2A"/>
    <w:rsid w:val="00877605"/>
    <w:rsid w:val="0087760E"/>
    <w:rsid w:val="008779C5"/>
    <w:rsid w:val="00877C13"/>
    <w:rsid w:val="00877DB5"/>
    <w:rsid w:val="00877DBE"/>
    <w:rsid w:val="008800EB"/>
    <w:rsid w:val="00880F48"/>
    <w:rsid w:val="0088175C"/>
    <w:rsid w:val="008818A5"/>
    <w:rsid w:val="008818EB"/>
    <w:rsid w:val="00881CDB"/>
    <w:rsid w:val="00881E57"/>
    <w:rsid w:val="00882710"/>
    <w:rsid w:val="00882A3B"/>
    <w:rsid w:val="00882E31"/>
    <w:rsid w:val="00882F95"/>
    <w:rsid w:val="00883440"/>
    <w:rsid w:val="00883AF5"/>
    <w:rsid w:val="00883E78"/>
    <w:rsid w:val="00883F3D"/>
    <w:rsid w:val="00884193"/>
    <w:rsid w:val="0088423F"/>
    <w:rsid w:val="00884337"/>
    <w:rsid w:val="008844BB"/>
    <w:rsid w:val="00884539"/>
    <w:rsid w:val="008845DF"/>
    <w:rsid w:val="00884800"/>
    <w:rsid w:val="00884BD4"/>
    <w:rsid w:val="00884FAA"/>
    <w:rsid w:val="00885467"/>
    <w:rsid w:val="00885BA7"/>
    <w:rsid w:val="008861A9"/>
    <w:rsid w:val="008869E0"/>
    <w:rsid w:val="00886B62"/>
    <w:rsid w:val="00886DC6"/>
    <w:rsid w:val="00886F07"/>
    <w:rsid w:val="00886F21"/>
    <w:rsid w:val="0088704B"/>
    <w:rsid w:val="008870B3"/>
    <w:rsid w:val="008874B6"/>
    <w:rsid w:val="008878AA"/>
    <w:rsid w:val="008879AE"/>
    <w:rsid w:val="008906CA"/>
    <w:rsid w:val="00890E4C"/>
    <w:rsid w:val="00890E81"/>
    <w:rsid w:val="00890FE6"/>
    <w:rsid w:val="008910FD"/>
    <w:rsid w:val="00891267"/>
    <w:rsid w:val="008913E0"/>
    <w:rsid w:val="00891454"/>
    <w:rsid w:val="00891AD4"/>
    <w:rsid w:val="00891C93"/>
    <w:rsid w:val="00891E05"/>
    <w:rsid w:val="00891EEF"/>
    <w:rsid w:val="008920E9"/>
    <w:rsid w:val="0089270B"/>
    <w:rsid w:val="00892A59"/>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7459"/>
    <w:rsid w:val="00897630"/>
    <w:rsid w:val="008977AF"/>
    <w:rsid w:val="00897831"/>
    <w:rsid w:val="00897EA6"/>
    <w:rsid w:val="008A004D"/>
    <w:rsid w:val="008A08DA"/>
    <w:rsid w:val="008A0B6B"/>
    <w:rsid w:val="008A0C6F"/>
    <w:rsid w:val="008A10DB"/>
    <w:rsid w:val="008A1319"/>
    <w:rsid w:val="008A1855"/>
    <w:rsid w:val="008A1E33"/>
    <w:rsid w:val="008A1FAD"/>
    <w:rsid w:val="008A2072"/>
    <w:rsid w:val="008A2106"/>
    <w:rsid w:val="008A23E6"/>
    <w:rsid w:val="008A2555"/>
    <w:rsid w:val="008A2B9F"/>
    <w:rsid w:val="008A3048"/>
    <w:rsid w:val="008A304D"/>
    <w:rsid w:val="008A31C9"/>
    <w:rsid w:val="008A3C47"/>
    <w:rsid w:val="008A3C6A"/>
    <w:rsid w:val="008A3CFB"/>
    <w:rsid w:val="008A3D5E"/>
    <w:rsid w:val="008A409C"/>
    <w:rsid w:val="008A48C5"/>
    <w:rsid w:val="008A4D70"/>
    <w:rsid w:val="008A50A5"/>
    <w:rsid w:val="008A59CC"/>
    <w:rsid w:val="008A5DB5"/>
    <w:rsid w:val="008A5DEE"/>
    <w:rsid w:val="008A6993"/>
    <w:rsid w:val="008A6A7A"/>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7B1"/>
    <w:rsid w:val="008B18AE"/>
    <w:rsid w:val="008B1F0B"/>
    <w:rsid w:val="008B2174"/>
    <w:rsid w:val="008B219F"/>
    <w:rsid w:val="008B299C"/>
    <w:rsid w:val="008B2AC7"/>
    <w:rsid w:val="008B2ECE"/>
    <w:rsid w:val="008B3041"/>
    <w:rsid w:val="008B3407"/>
    <w:rsid w:val="008B3ACF"/>
    <w:rsid w:val="008B3D35"/>
    <w:rsid w:val="008B3FBB"/>
    <w:rsid w:val="008B41B4"/>
    <w:rsid w:val="008B42B9"/>
    <w:rsid w:val="008B4418"/>
    <w:rsid w:val="008B47F0"/>
    <w:rsid w:val="008B48DB"/>
    <w:rsid w:val="008B5078"/>
    <w:rsid w:val="008B5235"/>
    <w:rsid w:val="008B598F"/>
    <w:rsid w:val="008B5C19"/>
    <w:rsid w:val="008B5D7A"/>
    <w:rsid w:val="008B6130"/>
    <w:rsid w:val="008B6212"/>
    <w:rsid w:val="008B621E"/>
    <w:rsid w:val="008B6536"/>
    <w:rsid w:val="008B666E"/>
    <w:rsid w:val="008B6735"/>
    <w:rsid w:val="008B693D"/>
    <w:rsid w:val="008B6977"/>
    <w:rsid w:val="008B6979"/>
    <w:rsid w:val="008B6B7F"/>
    <w:rsid w:val="008B706D"/>
    <w:rsid w:val="008B710F"/>
    <w:rsid w:val="008B7129"/>
    <w:rsid w:val="008B72F8"/>
    <w:rsid w:val="008B7683"/>
    <w:rsid w:val="008B7EA0"/>
    <w:rsid w:val="008C0445"/>
    <w:rsid w:val="008C05A4"/>
    <w:rsid w:val="008C0C29"/>
    <w:rsid w:val="008C0DDE"/>
    <w:rsid w:val="008C0F4C"/>
    <w:rsid w:val="008C1331"/>
    <w:rsid w:val="008C1510"/>
    <w:rsid w:val="008C26B2"/>
    <w:rsid w:val="008C29DD"/>
    <w:rsid w:val="008C3092"/>
    <w:rsid w:val="008C3287"/>
    <w:rsid w:val="008C34B6"/>
    <w:rsid w:val="008C3773"/>
    <w:rsid w:val="008C3806"/>
    <w:rsid w:val="008C3EAC"/>
    <w:rsid w:val="008C3F0B"/>
    <w:rsid w:val="008C3F7C"/>
    <w:rsid w:val="008C43D9"/>
    <w:rsid w:val="008C4AB5"/>
    <w:rsid w:val="008C4EF8"/>
    <w:rsid w:val="008C4FF9"/>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892"/>
    <w:rsid w:val="008C79B0"/>
    <w:rsid w:val="008C7B38"/>
    <w:rsid w:val="008C7C99"/>
    <w:rsid w:val="008C7D36"/>
    <w:rsid w:val="008C7F75"/>
    <w:rsid w:val="008D0255"/>
    <w:rsid w:val="008D064E"/>
    <w:rsid w:val="008D126E"/>
    <w:rsid w:val="008D129B"/>
    <w:rsid w:val="008D144B"/>
    <w:rsid w:val="008D14D5"/>
    <w:rsid w:val="008D1578"/>
    <w:rsid w:val="008D1707"/>
    <w:rsid w:val="008D195A"/>
    <w:rsid w:val="008D19FC"/>
    <w:rsid w:val="008D1B81"/>
    <w:rsid w:val="008D1CF5"/>
    <w:rsid w:val="008D1F83"/>
    <w:rsid w:val="008D21B8"/>
    <w:rsid w:val="008D2274"/>
    <w:rsid w:val="008D258E"/>
    <w:rsid w:val="008D2725"/>
    <w:rsid w:val="008D2A15"/>
    <w:rsid w:val="008D2AD7"/>
    <w:rsid w:val="008D2C43"/>
    <w:rsid w:val="008D3242"/>
    <w:rsid w:val="008D3C38"/>
    <w:rsid w:val="008D3F63"/>
    <w:rsid w:val="008D4029"/>
    <w:rsid w:val="008D43F5"/>
    <w:rsid w:val="008D4656"/>
    <w:rsid w:val="008D4903"/>
    <w:rsid w:val="008D4AD1"/>
    <w:rsid w:val="008D4B00"/>
    <w:rsid w:val="008D4DB5"/>
    <w:rsid w:val="008D4F97"/>
    <w:rsid w:val="008D50AC"/>
    <w:rsid w:val="008D514B"/>
    <w:rsid w:val="008D56A3"/>
    <w:rsid w:val="008D57D6"/>
    <w:rsid w:val="008D593C"/>
    <w:rsid w:val="008D5BD2"/>
    <w:rsid w:val="008D5DEB"/>
    <w:rsid w:val="008D638C"/>
    <w:rsid w:val="008D6434"/>
    <w:rsid w:val="008D6553"/>
    <w:rsid w:val="008D663D"/>
    <w:rsid w:val="008D668C"/>
    <w:rsid w:val="008D671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600"/>
    <w:rsid w:val="008E16A3"/>
    <w:rsid w:val="008E1C1C"/>
    <w:rsid w:val="008E1C2A"/>
    <w:rsid w:val="008E1E30"/>
    <w:rsid w:val="008E2160"/>
    <w:rsid w:val="008E21B8"/>
    <w:rsid w:val="008E2463"/>
    <w:rsid w:val="008E2493"/>
    <w:rsid w:val="008E2576"/>
    <w:rsid w:val="008E3267"/>
    <w:rsid w:val="008E3357"/>
    <w:rsid w:val="008E3594"/>
    <w:rsid w:val="008E3A44"/>
    <w:rsid w:val="008E403B"/>
    <w:rsid w:val="008E41C3"/>
    <w:rsid w:val="008E429A"/>
    <w:rsid w:val="008E4379"/>
    <w:rsid w:val="008E45D0"/>
    <w:rsid w:val="008E4761"/>
    <w:rsid w:val="008E4A8A"/>
    <w:rsid w:val="008E4D07"/>
    <w:rsid w:val="008E50AE"/>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90E"/>
    <w:rsid w:val="008F0AA6"/>
    <w:rsid w:val="008F0C8B"/>
    <w:rsid w:val="008F1006"/>
    <w:rsid w:val="008F147F"/>
    <w:rsid w:val="008F15D6"/>
    <w:rsid w:val="008F15FA"/>
    <w:rsid w:val="008F1761"/>
    <w:rsid w:val="008F1880"/>
    <w:rsid w:val="008F1887"/>
    <w:rsid w:val="008F26A5"/>
    <w:rsid w:val="008F2771"/>
    <w:rsid w:val="008F2B79"/>
    <w:rsid w:val="008F2DEC"/>
    <w:rsid w:val="008F3649"/>
    <w:rsid w:val="008F3B8B"/>
    <w:rsid w:val="008F3F56"/>
    <w:rsid w:val="008F3FAC"/>
    <w:rsid w:val="008F4934"/>
    <w:rsid w:val="008F4AA6"/>
    <w:rsid w:val="008F4B52"/>
    <w:rsid w:val="008F53BA"/>
    <w:rsid w:val="008F59E4"/>
    <w:rsid w:val="008F5BC3"/>
    <w:rsid w:val="008F5EDC"/>
    <w:rsid w:val="008F6260"/>
    <w:rsid w:val="008F6426"/>
    <w:rsid w:val="008F64E5"/>
    <w:rsid w:val="008F6729"/>
    <w:rsid w:val="008F67F4"/>
    <w:rsid w:val="008F686A"/>
    <w:rsid w:val="008F6A9B"/>
    <w:rsid w:val="008F6B5D"/>
    <w:rsid w:val="008F6DC3"/>
    <w:rsid w:val="008F7547"/>
    <w:rsid w:val="008F7B34"/>
    <w:rsid w:val="009003AC"/>
    <w:rsid w:val="0090088A"/>
    <w:rsid w:val="009008A3"/>
    <w:rsid w:val="00900B9A"/>
    <w:rsid w:val="00900D31"/>
    <w:rsid w:val="00900DA2"/>
    <w:rsid w:val="00900EAC"/>
    <w:rsid w:val="009011AE"/>
    <w:rsid w:val="009011B7"/>
    <w:rsid w:val="0090128C"/>
    <w:rsid w:val="0090182A"/>
    <w:rsid w:val="00901A61"/>
    <w:rsid w:val="00901D44"/>
    <w:rsid w:val="0090201C"/>
    <w:rsid w:val="0090258F"/>
    <w:rsid w:val="0090269C"/>
    <w:rsid w:val="009029FF"/>
    <w:rsid w:val="00902B00"/>
    <w:rsid w:val="00902BCF"/>
    <w:rsid w:val="00903B2C"/>
    <w:rsid w:val="00903B7E"/>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DFC"/>
    <w:rsid w:val="00907EEB"/>
    <w:rsid w:val="00907F74"/>
    <w:rsid w:val="00910087"/>
    <w:rsid w:val="009103F1"/>
    <w:rsid w:val="00910662"/>
    <w:rsid w:val="0091069C"/>
    <w:rsid w:val="0091086A"/>
    <w:rsid w:val="00910F6E"/>
    <w:rsid w:val="0091107D"/>
    <w:rsid w:val="00911195"/>
    <w:rsid w:val="00911340"/>
    <w:rsid w:val="00911414"/>
    <w:rsid w:val="009114DD"/>
    <w:rsid w:val="00911B7D"/>
    <w:rsid w:val="00911D18"/>
    <w:rsid w:val="009123D2"/>
    <w:rsid w:val="009125BC"/>
    <w:rsid w:val="00912B40"/>
    <w:rsid w:val="00912B49"/>
    <w:rsid w:val="00912D09"/>
    <w:rsid w:val="00912D86"/>
    <w:rsid w:val="009131C5"/>
    <w:rsid w:val="0091333A"/>
    <w:rsid w:val="00913783"/>
    <w:rsid w:val="0091381D"/>
    <w:rsid w:val="009138BF"/>
    <w:rsid w:val="00913A49"/>
    <w:rsid w:val="00913B8B"/>
    <w:rsid w:val="00913F55"/>
    <w:rsid w:val="009141B1"/>
    <w:rsid w:val="00914201"/>
    <w:rsid w:val="00914494"/>
    <w:rsid w:val="009146B1"/>
    <w:rsid w:val="00914C74"/>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3CD"/>
    <w:rsid w:val="00920A39"/>
    <w:rsid w:val="00920F01"/>
    <w:rsid w:val="00920F25"/>
    <w:rsid w:val="00921177"/>
    <w:rsid w:val="00921252"/>
    <w:rsid w:val="00921528"/>
    <w:rsid w:val="00921813"/>
    <w:rsid w:val="00921872"/>
    <w:rsid w:val="00921C5A"/>
    <w:rsid w:val="00921EC9"/>
    <w:rsid w:val="00921FF2"/>
    <w:rsid w:val="009220F4"/>
    <w:rsid w:val="009221AD"/>
    <w:rsid w:val="0092246D"/>
    <w:rsid w:val="00922608"/>
    <w:rsid w:val="0092279F"/>
    <w:rsid w:val="00922A7C"/>
    <w:rsid w:val="00922EE3"/>
    <w:rsid w:val="00923082"/>
    <w:rsid w:val="0092380B"/>
    <w:rsid w:val="00923A59"/>
    <w:rsid w:val="00923A78"/>
    <w:rsid w:val="00923AB0"/>
    <w:rsid w:val="00923BC1"/>
    <w:rsid w:val="00923C96"/>
    <w:rsid w:val="00923D47"/>
    <w:rsid w:val="00923D63"/>
    <w:rsid w:val="00923EF7"/>
    <w:rsid w:val="00924157"/>
    <w:rsid w:val="0092437C"/>
    <w:rsid w:val="00924652"/>
    <w:rsid w:val="0092479E"/>
    <w:rsid w:val="009248A2"/>
    <w:rsid w:val="00924946"/>
    <w:rsid w:val="00924B1A"/>
    <w:rsid w:val="00924B5F"/>
    <w:rsid w:val="00924DFB"/>
    <w:rsid w:val="00924FBF"/>
    <w:rsid w:val="00924FC4"/>
    <w:rsid w:val="009253CD"/>
    <w:rsid w:val="00925F10"/>
    <w:rsid w:val="00926082"/>
    <w:rsid w:val="0092621F"/>
    <w:rsid w:val="0092657D"/>
    <w:rsid w:val="0092690F"/>
    <w:rsid w:val="0092692E"/>
    <w:rsid w:val="00926F3D"/>
    <w:rsid w:val="00927516"/>
    <w:rsid w:val="009276A4"/>
    <w:rsid w:val="0092797D"/>
    <w:rsid w:val="00927A37"/>
    <w:rsid w:val="0093008A"/>
    <w:rsid w:val="009302D5"/>
    <w:rsid w:val="00930394"/>
    <w:rsid w:val="009303D1"/>
    <w:rsid w:val="00930674"/>
    <w:rsid w:val="00930989"/>
    <w:rsid w:val="0093129E"/>
    <w:rsid w:val="00931457"/>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570"/>
    <w:rsid w:val="00933656"/>
    <w:rsid w:val="00933989"/>
    <w:rsid w:val="00933B80"/>
    <w:rsid w:val="0093415B"/>
    <w:rsid w:val="009341A0"/>
    <w:rsid w:val="009341D8"/>
    <w:rsid w:val="009347D4"/>
    <w:rsid w:val="0093508E"/>
    <w:rsid w:val="0093552B"/>
    <w:rsid w:val="009358A9"/>
    <w:rsid w:val="00936053"/>
    <w:rsid w:val="0093651D"/>
    <w:rsid w:val="00936B2E"/>
    <w:rsid w:val="00936F4A"/>
    <w:rsid w:val="0093786B"/>
    <w:rsid w:val="009378CD"/>
    <w:rsid w:val="009379CF"/>
    <w:rsid w:val="0094003D"/>
    <w:rsid w:val="009401A4"/>
    <w:rsid w:val="00940676"/>
    <w:rsid w:val="0094067B"/>
    <w:rsid w:val="00940846"/>
    <w:rsid w:val="00940937"/>
    <w:rsid w:val="00940A29"/>
    <w:rsid w:val="00940C04"/>
    <w:rsid w:val="00940E9B"/>
    <w:rsid w:val="00941297"/>
    <w:rsid w:val="00941417"/>
    <w:rsid w:val="00941605"/>
    <w:rsid w:val="00941640"/>
    <w:rsid w:val="00941BA3"/>
    <w:rsid w:val="009427B9"/>
    <w:rsid w:val="00942C45"/>
    <w:rsid w:val="00942DB0"/>
    <w:rsid w:val="0094305F"/>
    <w:rsid w:val="009433FC"/>
    <w:rsid w:val="009436EA"/>
    <w:rsid w:val="009438A2"/>
    <w:rsid w:val="009438A4"/>
    <w:rsid w:val="009438E3"/>
    <w:rsid w:val="0094411A"/>
    <w:rsid w:val="009444C2"/>
    <w:rsid w:val="009445D8"/>
    <w:rsid w:val="00944AE7"/>
    <w:rsid w:val="00944B5A"/>
    <w:rsid w:val="00944EB2"/>
    <w:rsid w:val="00945510"/>
    <w:rsid w:val="0094562B"/>
    <w:rsid w:val="0094565C"/>
    <w:rsid w:val="00945971"/>
    <w:rsid w:val="009459A2"/>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63"/>
    <w:rsid w:val="009518F2"/>
    <w:rsid w:val="00951A70"/>
    <w:rsid w:val="00951B60"/>
    <w:rsid w:val="00951CC7"/>
    <w:rsid w:val="00951FB0"/>
    <w:rsid w:val="009527F5"/>
    <w:rsid w:val="009528C9"/>
    <w:rsid w:val="00952BF7"/>
    <w:rsid w:val="00952CC5"/>
    <w:rsid w:val="00952CCE"/>
    <w:rsid w:val="00952D22"/>
    <w:rsid w:val="00952D24"/>
    <w:rsid w:val="00953111"/>
    <w:rsid w:val="009532B7"/>
    <w:rsid w:val="00953623"/>
    <w:rsid w:val="009536E6"/>
    <w:rsid w:val="00953886"/>
    <w:rsid w:val="0095388C"/>
    <w:rsid w:val="00953B99"/>
    <w:rsid w:val="00953F3A"/>
    <w:rsid w:val="00953F9D"/>
    <w:rsid w:val="009544CB"/>
    <w:rsid w:val="00954506"/>
    <w:rsid w:val="009554C1"/>
    <w:rsid w:val="009559B4"/>
    <w:rsid w:val="00955A11"/>
    <w:rsid w:val="00955A6B"/>
    <w:rsid w:val="00955B29"/>
    <w:rsid w:val="00955B9C"/>
    <w:rsid w:val="00955C28"/>
    <w:rsid w:val="00955CA0"/>
    <w:rsid w:val="00955DBB"/>
    <w:rsid w:val="00955E00"/>
    <w:rsid w:val="00955E61"/>
    <w:rsid w:val="009560B3"/>
    <w:rsid w:val="00956235"/>
    <w:rsid w:val="00956381"/>
    <w:rsid w:val="00956386"/>
    <w:rsid w:val="0095642E"/>
    <w:rsid w:val="0095683B"/>
    <w:rsid w:val="00956969"/>
    <w:rsid w:val="00956B8F"/>
    <w:rsid w:val="00956C16"/>
    <w:rsid w:val="0095710B"/>
    <w:rsid w:val="009575C4"/>
    <w:rsid w:val="0095762D"/>
    <w:rsid w:val="009578AA"/>
    <w:rsid w:val="00957C13"/>
    <w:rsid w:val="0096006A"/>
    <w:rsid w:val="00960180"/>
    <w:rsid w:val="00960A50"/>
    <w:rsid w:val="00960B83"/>
    <w:rsid w:val="00960DD4"/>
    <w:rsid w:val="0096103A"/>
    <w:rsid w:val="0096118E"/>
    <w:rsid w:val="00961291"/>
    <w:rsid w:val="00961A4B"/>
    <w:rsid w:val="00962651"/>
    <w:rsid w:val="00963ACA"/>
    <w:rsid w:val="00963D17"/>
    <w:rsid w:val="00963E6D"/>
    <w:rsid w:val="00963FCF"/>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7793"/>
    <w:rsid w:val="0096786C"/>
    <w:rsid w:val="00967C5E"/>
    <w:rsid w:val="00967DFA"/>
    <w:rsid w:val="0097038D"/>
    <w:rsid w:val="0097047C"/>
    <w:rsid w:val="00970627"/>
    <w:rsid w:val="00970774"/>
    <w:rsid w:val="00970C56"/>
    <w:rsid w:val="009713FE"/>
    <w:rsid w:val="00971566"/>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4E8"/>
    <w:rsid w:val="009746EA"/>
    <w:rsid w:val="0097497C"/>
    <w:rsid w:val="009749D0"/>
    <w:rsid w:val="00974A0D"/>
    <w:rsid w:val="00974A7F"/>
    <w:rsid w:val="00974BEC"/>
    <w:rsid w:val="00975374"/>
    <w:rsid w:val="009756A8"/>
    <w:rsid w:val="009756DC"/>
    <w:rsid w:val="009757C3"/>
    <w:rsid w:val="009758A9"/>
    <w:rsid w:val="009759E3"/>
    <w:rsid w:val="00975A47"/>
    <w:rsid w:val="00975A76"/>
    <w:rsid w:val="00975C97"/>
    <w:rsid w:val="00975E26"/>
    <w:rsid w:val="00976086"/>
    <w:rsid w:val="009760AB"/>
    <w:rsid w:val="0097630B"/>
    <w:rsid w:val="00976695"/>
    <w:rsid w:val="00976DE8"/>
    <w:rsid w:val="00976ECC"/>
    <w:rsid w:val="00977123"/>
    <w:rsid w:val="00977A07"/>
    <w:rsid w:val="00977E4D"/>
    <w:rsid w:val="00977EC1"/>
    <w:rsid w:val="00980088"/>
    <w:rsid w:val="009800F0"/>
    <w:rsid w:val="009802BE"/>
    <w:rsid w:val="0098056F"/>
    <w:rsid w:val="0098061A"/>
    <w:rsid w:val="009806D0"/>
    <w:rsid w:val="00980797"/>
    <w:rsid w:val="009809B0"/>
    <w:rsid w:val="00980A1D"/>
    <w:rsid w:val="00980EEE"/>
    <w:rsid w:val="00981022"/>
    <w:rsid w:val="009811B6"/>
    <w:rsid w:val="009812A4"/>
    <w:rsid w:val="00981674"/>
    <w:rsid w:val="00981BC6"/>
    <w:rsid w:val="00981D7F"/>
    <w:rsid w:val="0098227B"/>
    <w:rsid w:val="00982413"/>
    <w:rsid w:val="009826E4"/>
    <w:rsid w:val="00982906"/>
    <w:rsid w:val="00983300"/>
    <w:rsid w:val="009834C6"/>
    <w:rsid w:val="0098358B"/>
    <w:rsid w:val="00983722"/>
    <w:rsid w:val="009837CE"/>
    <w:rsid w:val="0098382E"/>
    <w:rsid w:val="009838B0"/>
    <w:rsid w:val="00983BB5"/>
    <w:rsid w:val="009844E3"/>
    <w:rsid w:val="009846CB"/>
    <w:rsid w:val="00984774"/>
    <w:rsid w:val="009849B1"/>
    <w:rsid w:val="00984D06"/>
    <w:rsid w:val="00984DAA"/>
    <w:rsid w:val="00985131"/>
    <w:rsid w:val="00985477"/>
    <w:rsid w:val="009854D3"/>
    <w:rsid w:val="00985B7F"/>
    <w:rsid w:val="00985BFA"/>
    <w:rsid w:val="00985C85"/>
    <w:rsid w:val="0098638C"/>
    <w:rsid w:val="009865AD"/>
    <w:rsid w:val="009867A0"/>
    <w:rsid w:val="0098699F"/>
    <w:rsid w:val="00987854"/>
    <w:rsid w:val="0098791E"/>
    <w:rsid w:val="00987C10"/>
    <w:rsid w:val="00987C38"/>
    <w:rsid w:val="00987DC9"/>
    <w:rsid w:val="009901E7"/>
    <w:rsid w:val="00990290"/>
    <w:rsid w:val="0099071D"/>
    <w:rsid w:val="00991E59"/>
    <w:rsid w:val="0099210B"/>
    <w:rsid w:val="009924F0"/>
    <w:rsid w:val="00992E59"/>
    <w:rsid w:val="009931D6"/>
    <w:rsid w:val="009937D3"/>
    <w:rsid w:val="00993984"/>
    <w:rsid w:val="00994057"/>
    <w:rsid w:val="00994286"/>
    <w:rsid w:val="009943CB"/>
    <w:rsid w:val="00994411"/>
    <w:rsid w:val="009945AF"/>
    <w:rsid w:val="0099470F"/>
    <w:rsid w:val="00994BAE"/>
    <w:rsid w:val="00994F46"/>
    <w:rsid w:val="00995077"/>
    <w:rsid w:val="0099534F"/>
    <w:rsid w:val="0099537E"/>
    <w:rsid w:val="00995FF5"/>
    <w:rsid w:val="00996319"/>
    <w:rsid w:val="009964E2"/>
    <w:rsid w:val="0099673D"/>
    <w:rsid w:val="00996B27"/>
    <w:rsid w:val="00996BAF"/>
    <w:rsid w:val="00996D56"/>
    <w:rsid w:val="00997084"/>
    <w:rsid w:val="00997CBE"/>
    <w:rsid w:val="009A0037"/>
    <w:rsid w:val="009A06F8"/>
    <w:rsid w:val="009A08FE"/>
    <w:rsid w:val="009A0CB4"/>
    <w:rsid w:val="009A17FB"/>
    <w:rsid w:val="009A18C3"/>
    <w:rsid w:val="009A191D"/>
    <w:rsid w:val="009A19FA"/>
    <w:rsid w:val="009A1E12"/>
    <w:rsid w:val="009A2756"/>
    <w:rsid w:val="009A311B"/>
    <w:rsid w:val="009A32C9"/>
    <w:rsid w:val="009A3BEB"/>
    <w:rsid w:val="009A3C4D"/>
    <w:rsid w:val="009A3C7B"/>
    <w:rsid w:val="009A4150"/>
    <w:rsid w:val="009A43FD"/>
    <w:rsid w:val="009A4A1D"/>
    <w:rsid w:val="009A4E04"/>
    <w:rsid w:val="009A4FE4"/>
    <w:rsid w:val="009A5678"/>
    <w:rsid w:val="009A5751"/>
    <w:rsid w:val="009A583C"/>
    <w:rsid w:val="009A58B2"/>
    <w:rsid w:val="009A5D84"/>
    <w:rsid w:val="009A60D8"/>
    <w:rsid w:val="009A6100"/>
    <w:rsid w:val="009A617E"/>
    <w:rsid w:val="009A6550"/>
    <w:rsid w:val="009A65CC"/>
    <w:rsid w:val="009A6671"/>
    <w:rsid w:val="009A676E"/>
    <w:rsid w:val="009A6C95"/>
    <w:rsid w:val="009A6CE5"/>
    <w:rsid w:val="009A7166"/>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3A5"/>
    <w:rsid w:val="009B2767"/>
    <w:rsid w:val="009B2898"/>
    <w:rsid w:val="009B2949"/>
    <w:rsid w:val="009B2AF2"/>
    <w:rsid w:val="009B2AF4"/>
    <w:rsid w:val="009B317B"/>
    <w:rsid w:val="009B3424"/>
    <w:rsid w:val="009B34C7"/>
    <w:rsid w:val="009B35CD"/>
    <w:rsid w:val="009B386E"/>
    <w:rsid w:val="009B3E33"/>
    <w:rsid w:val="009B3F8F"/>
    <w:rsid w:val="009B43CA"/>
    <w:rsid w:val="009B44B9"/>
    <w:rsid w:val="009B473F"/>
    <w:rsid w:val="009B4B40"/>
    <w:rsid w:val="009B4CF4"/>
    <w:rsid w:val="009B50D6"/>
    <w:rsid w:val="009B621E"/>
    <w:rsid w:val="009B69B6"/>
    <w:rsid w:val="009B6B1C"/>
    <w:rsid w:val="009B6CA0"/>
    <w:rsid w:val="009B6FF9"/>
    <w:rsid w:val="009B70CF"/>
    <w:rsid w:val="009B71F5"/>
    <w:rsid w:val="009B722F"/>
    <w:rsid w:val="009B72B0"/>
    <w:rsid w:val="009B72CE"/>
    <w:rsid w:val="009C0245"/>
    <w:rsid w:val="009C0AC2"/>
    <w:rsid w:val="009C0B73"/>
    <w:rsid w:val="009C0E59"/>
    <w:rsid w:val="009C1446"/>
    <w:rsid w:val="009C15AC"/>
    <w:rsid w:val="009C1AD3"/>
    <w:rsid w:val="009C24E1"/>
    <w:rsid w:val="009C2696"/>
    <w:rsid w:val="009C2A3F"/>
    <w:rsid w:val="009C2A92"/>
    <w:rsid w:val="009C2B18"/>
    <w:rsid w:val="009C332F"/>
    <w:rsid w:val="009C338D"/>
    <w:rsid w:val="009C3688"/>
    <w:rsid w:val="009C3E8C"/>
    <w:rsid w:val="009C4106"/>
    <w:rsid w:val="009C41CC"/>
    <w:rsid w:val="009C4268"/>
    <w:rsid w:val="009C4631"/>
    <w:rsid w:val="009C4C72"/>
    <w:rsid w:val="009C4C78"/>
    <w:rsid w:val="009C4FC1"/>
    <w:rsid w:val="009C55B3"/>
    <w:rsid w:val="009C5963"/>
    <w:rsid w:val="009C6232"/>
    <w:rsid w:val="009C63A3"/>
    <w:rsid w:val="009C6693"/>
    <w:rsid w:val="009C67AE"/>
    <w:rsid w:val="009C6966"/>
    <w:rsid w:val="009C6A0E"/>
    <w:rsid w:val="009C6A2C"/>
    <w:rsid w:val="009C6A9B"/>
    <w:rsid w:val="009C6B9B"/>
    <w:rsid w:val="009C6C76"/>
    <w:rsid w:val="009C6FF8"/>
    <w:rsid w:val="009C70DC"/>
    <w:rsid w:val="009C7187"/>
    <w:rsid w:val="009C7447"/>
    <w:rsid w:val="009C7A5C"/>
    <w:rsid w:val="009C7A61"/>
    <w:rsid w:val="009C7B7E"/>
    <w:rsid w:val="009C7ED1"/>
    <w:rsid w:val="009C7EF3"/>
    <w:rsid w:val="009D0A5C"/>
    <w:rsid w:val="009D0A99"/>
    <w:rsid w:val="009D0E73"/>
    <w:rsid w:val="009D1482"/>
    <w:rsid w:val="009D19F9"/>
    <w:rsid w:val="009D1A6C"/>
    <w:rsid w:val="009D1C07"/>
    <w:rsid w:val="009D21F3"/>
    <w:rsid w:val="009D2282"/>
    <w:rsid w:val="009D2551"/>
    <w:rsid w:val="009D26A5"/>
    <w:rsid w:val="009D2977"/>
    <w:rsid w:val="009D2C07"/>
    <w:rsid w:val="009D2C6F"/>
    <w:rsid w:val="009D3B21"/>
    <w:rsid w:val="009D3BDB"/>
    <w:rsid w:val="009D3E49"/>
    <w:rsid w:val="009D4079"/>
    <w:rsid w:val="009D457B"/>
    <w:rsid w:val="009D483E"/>
    <w:rsid w:val="009D4A70"/>
    <w:rsid w:val="009D4BF2"/>
    <w:rsid w:val="009D4CFD"/>
    <w:rsid w:val="009D5227"/>
    <w:rsid w:val="009D522B"/>
    <w:rsid w:val="009D5387"/>
    <w:rsid w:val="009D5985"/>
    <w:rsid w:val="009D5BA1"/>
    <w:rsid w:val="009D5BDF"/>
    <w:rsid w:val="009D5CD6"/>
    <w:rsid w:val="009D601F"/>
    <w:rsid w:val="009D6266"/>
    <w:rsid w:val="009D6820"/>
    <w:rsid w:val="009D6C31"/>
    <w:rsid w:val="009D6EEA"/>
    <w:rsid w:val="009D7089"/>
    <w:rsid w:val="009D7261"/>
    <w:rsid w:val="009D72F9"/>
    <w:rsid w:val="009D73F4"/>
    <w:rsid w:val="009D796D"/>
    <w:rsid w:val="009D7A63"/>
    <w:rsid w:val="009D7DE9"/>
    <w:rsid w:val="009D7FB6"/>
    <w:rsid w:val="009D7FD6"/>
    <w:rsid w:val="009E009B"/>
    <w:rsid w:val="009E014B"/>
    <w:rsid w:val="009E039D"/>
    <w:rsid w:val="009E0BDC"/>
    <w:rsid w:val="009E134F"/>
    <w:rsid w:val="009E16A1"/>
    <w:rsid w:val="009E19F6"/>
    <w:rsid w:val="009E1C18"/>
    <w:rsid w:val="009E1DC4"/>
    <w:rsid w:val="009E1F88"/>
    <w:rsid w:val="009E203F"/>
    <w:rsid w:val="009E2087"/>
    <w:rsid w:val="009E2088"/>
    <w:rsid w:val="009E2175"/>
    <w:rsid w:val="009E2401"/>
    <w:rsid w:val="009E26D3"/>
    <w:rsid w:val="009E275C"/>
    <w:rsid w:val="009E27BE"/>
    <w:rsid w:val="009E2AD9"/>
    <w:rsid w:val="009E2DEE"/>
    <w:rsid w:val="009E3244"/>
    <w:rsid w:val="009E34AE"/>
    <w:rsid w:val="009E3506"/>
    <w:rsid w:val="009E3570"/>
    <w:rsid w:val="009E3589"/>
    <w:rsid w:val="009E36A0"/>
    <w:rsid w:val="009E3DA1"/>
    <w:rsid w:val="009E465C"/>
    <w:rsid w:val="009E48E5"/>
    <w:rsid w:val="009E48EB"/>
    <w:rsid w:val="009E4AA8"/>
    <w:rsid w:val="009E4B5A"/>
    <w:rsid w:val="009E4D0E"/>
    <w:rsid w:val="009E5065"/>
    <w:rsid w:val="009E5180"/>
    <w:rsid w:val="009E5380"/>
    <w:rsid w:val="009E58BD"/>
    <w:rsid w:val="009E5AB0"/>
    <w:rsid w:val="009E5C2A"/>
    <w:rsid w:val="009E6017"/>
    <w:rsid w:val="009E65B9"/>
    <w:rsid w:val="009E66BC"/>
    <w:rsid w:val="009E677C"/>
    <w:rsid w:val="009E6875"/>
    <w:rsid w:val="009E6ABC"/>
    <w:rsid w:val="009E708B"/>
    <w:rsid w:val="009E71AD"/>
    <w:rsid w:val="009E720E"/>
    <w:rsid w:val="009E72CC"/>
    <w:rsid w:val="009E7AF4"/>
    <w:rsid w:val="009E7CFF"/>
    <w:rsid w:val="009E7EAF"/>
    <w:rsid w:val="009E7EC6"/>
    <w:rsid w:val="009E7F33"/>
    <w:rsid w:val="009F0CDA"/>
    <w:rsid w:val="009F0FF8"/>
    <w:rsid w:val="009F1267"/>
    <w:rsid w:val="009F1418"/>
    <w:rsid w:val="009F179B"/>
    <w:rsid w:val="009F1A40"/>
    <w:rsid w:val="009F1CA4"/>
    <w:rsid w:val="009F21CA"/>
    <w:rsid w:val="009F229D"/>
    <w:rsid w:val="009F23EB"/>
    <w:rsid w:val="009F2510"/>
    <w:rsid w:val="009F2A71"/>
    <w:rsid w:val="009F2CEC"/>
    <w:rsid w:val="009F3178"/>
    <w:rsid w:val="009F3412"/>
    <w:rsid w:val="009F37B5"/>
    <w:rsid w:val="009F3D4E"/>
    <w:rsid w:val="009F4407"/>
    <w:rsid w:val="009F47AD"/>
    <w:rsid w:val="009F4D27"/>
    <w:rsid w:val="009F4DC0"/>
    <w:rsid w:val="009F4E16"/>
    <w:rsid w:val="009F502C"/>
    <w:rsid w:val="009F50A5"/>
    <w:rsid w:val="009F5151"/>
    <w:rsid w:val="009F5455"/>
    <w:rsid w:val="009F5AC0"/>
    <w:rsid w:val="009F5C5F"/>
    <w:rsid w:val="009F5C61"/>
    <w:rsid w:val="009F5F03"/>
    <w:rsid w:val="009F60FB"/>
    <w:rsid w:val="009F6722"/>
    <w:rsid w:val="009F69B9"/>
    <w:rsid w:val="009F6E67"/>
    <w:rsid w:val="009F6EB3"/>
    <w:rsid w:val="009F7224"/>
    <w:rsid w:val="009F7280"/>
    <w:rsid w:val="009F7493"/>
    <w:rsid w:val="009F7915"/>
    <w:rsid w:val="009F7B27"/>
    <w:rsid w:val="009F7F65"/>
    <w:rsid w:val="00A00529"/>
    <w:rsid w:val="00A00D88"/>
    <w:rsid w:val="00A01304"/>
    <w:rsid w:val="00A01714"/>
    <w:rsid w:val="00A0171B"/>
    <w:rsid w:val="00A01CAF"/>
    <w:rsid w:val="00A01CF8"/>
    <w:rsid w:val="00A01E34"/>
    <w:rsid w:val="00A02115"/>
    <w:rsid w:val="00A0215C"/>
    <w:rsid w:val="00A02415"/>
    <w:rsid w:val="00A024B8"/>
    <w:rsid w:val="00A02667"/>
    <w:rsid w:val="00A030FC"/>
    <w:rsid w:val="00A03205"/>
    <w:rsid w:val="00A034B4"/>
    <w:rsid w:val="00A03622"/>
    <w:rsid w:val="00A037CA"/>
    <w:rsid w:val="00A037EC"/>
    <w:rsid w:val="00A03847"/>
    <w:rsid w:val="00A03BCA"/>
    <w:rsid w:val="00A03C06"/>
    <w:rsid w:val="00A03F7B"/>
    <w:rsid w:val="00A0453A"/>
    <w:rsid w:val="00A046A3"/>
    <w:rsid w:val="00A04D4D"/>
    <w:rsid w:val="00A051A6"/>
    <w:rsid w:val="00A0544B"/>
    <w:rsid w:val="00A059B4"/>
    <w:rsid w:val="00A05CE9"/>
    <w:rsid w:val="00A05D57"/>
    <w:rsid w:val="00A05FB8"/>
    <w:rsid w:val="00A066C9"/>
    <w:rsid w:val="00A06BED"/>
    <w:rsid w:val="00A07161"/>
    <w:rsid w:val="00A07259"/>
    <w:rsid w:val="00A07717"/>
    <w:rsid w:val="00A07B83"/>
    <w:rsid w:val="00A10286"/>
    <w:rsid w:val="00A105A3"/>
    <w:rsid w:val="00A105E8"/>
    <w:rsid w:val="00A10985"/>
    <w:rsid w:val="00A10AE5"/>
    <w:rsid w:val="00A110AF"/>
    <w:rsid w:val="00A114C6"/>
    <w:rsid w:val="00A118DD"/>
    <w:rsid w:val="00A11AC5"/>
    <w:rsid w:val="00A11BC6"/>
    <w:rsid w:val="00A11D5F"/>
    <w:rsid w:val="00A11E9A"/>
    <w:rsid w:val="00A121B0"/>
    <w:rsid w:val="00A12367"/>
    <w:rsid w:val="00A124EF"/>
    <w:rsid w:val="00A1271C"/>
    <w:rsid w:val="00A12BF2"/>
    <w:rsid w:val="00A12C60"/>
    <w:rsid w:val="00A12FF3"/>
    <w:rsid w:val="00A13154"/>
    <w:rsid w:val="00A13448"/>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AE5"/>
    <w:rsid w:val="00A16DD1"/>
    <w:rsid w:val="00A170C6"/>
    <w:rsid w:val="00A17134"/>
    <w:rsid w:val="00A17500"/>
    <w:rsid w:val="00A1785F"/>
    <w:rsid w:val="00A202ED"/>
    <w:rsid w:val="00A20AEA"/>
    <w:rsid w:val="00A20B3E"/>
    <w:rsid w:val="00A20B90"/>
    <w:rsid w:val="00A20BB9"/>
    <w:rsid w:val="00A210D8"/>
    <w:rsid w:val="00A21508"/>
    <w:rsid w:val="00A21673"/>
    <w:rsid w:val="00A21AFE"/>
    <w:rsid w:val="00A21BA3"/>
    <w:rsid w:val="00A21EC1"/>
    <w:rsid w:val="00A22495"/>
    <w:rsid w:val="00A224AE"/>
    <w:rsid w:val="00A2255C"/>
    <w:rsid w:val="00A2257B"/>
    <w:rsid w:val="00A225DC"/>
    <w:rsid w:val="00A228DC"/>
    <w:rsid w:val="00A22B95"/>
    <w:rsid w:val="00A22C40"/>
    <w:rsid w:val="00A23A2A"/>
    <w:rsid w:val="00A23DDA"/>
    <w:rsid w:val="00A23F14"/>
    <w:rsid w:val="00A24311"/>
    <w:rsid w:val="00A24828"/>
    <w:rsid w:val="00A24BE8"/>
    <w:rsid w:val="00A24D10"/>
    <w:rsid w:val="00A24E85"/>
    <w:rsid w:val="00A24EA1"/>
    <w:rsid w:val="00A24ECF"/>
    <w:rsid w:val="00A25012"/>
    <w:rsid w:val="00A2530D"/>
    <w:rsid w:val="00A2574B"/>
    <w:rsid w:val="00A2583C"/>
    <w:rsid w:val="00A25BFB"/>
    <w:rsid w:val="00A25D37"/>
    <w:rsid w:val="00A25E0F"/>
    <w:rsid w:val="00A25FA6"/>
    <w:rsid w:val="00A2609C"/>
    <w:rsid w:val="00A2630F"/>
    <w:rsid w:val="00A265DF"/>
    <w:rsid w:val="00A26770"/>
    <w:rsid w:val="00A26A89"/>
    <w:rsid w:val="00A26D6D"/>
    <w:rsid w:val="00A27899"/>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8D2"/>
    <w:rsid w:val="00A32C2C"/>
    <w:rsid w:val="00A32D11"/>
    <w:rsid w:val="00A32EF3"/>
    <w:rsid w:val="00A335AC"/>
    <w:rsid w:val="00A338DA"/>
    <w:rsid w:val="00A33CCD"/>
    <w:rsid w:val="00A33D39"/>
    <w:rsid w:val="00A33E06"/>
    <w:rsid w:val="00A3404D"/>
    <w:rsid w:val="00A343BC"/>
    <w:rsid w:val="00A3450F"/>
    <w:rsid w:val="00A34722"/>
    <w:rsid w:val="00A348CD"/>
    <w:rsid w:val="00A3507F"/>
    <w:rsid w:val="00A354C9"/>
    <w:rsid w:val="00A356FA"/>
    <w:rsid w:val="00A357E2"/>
    <w:rsid w:val="00A35807"/>
    <w:rsid w:val="00A35873"/>
    <w:rsid w:val="00A359E5"/>
    <w:rsid w:val="00A35DE7"/>
    <w:rsid w:val="00A35EE4"/>
    <w:rsid w:val="00A363E2"/>
    <w:rsid w:val="00A36747"/>
    <w:rsid w:val="00A3678C"/>
    <w:rsid w:val="00A368E7"/>
    <w:rsid w:val="00A3690E"/>
    <w:rsid w:val="00A36E74"/>
    <w:rsid w:val="00A37038"/>
    <w:rsid w:val="00A3721F"/>
    <w:rsid w:val="00A374BD"/>
    <w:rsid w:val="00A376E6"/>
    <w:rsid w:val="00A37984"/>
    <w:rsid w:val="00A37985"/>
    <w:rsid w:val="00A37A4B"/>
    <w:rsid w:val="00A37AC9"/>
    <w:rsid w:val="00A37D52"/>
    <w:rsid w:val="00A4006A"/>
    <w:rsid w:val="00A4022B"/>
    <w:rsid w:val="00A4028A"/>
    <w:rsid w:val="00A4067F"/>
    <w:rsid w:val="00A40A25"/>
    <w:rsid w:val="00A40C24"/>
    <w:rsid w:val="00A40F0D"/>
    <w:rsid w:val="00A40F79"/>
    <w:rsid w:val="00A41056"/>
    <w:rsid w:val="00A411B6"/>
    <w:rsid w:val="00A4149C"/>
    <w:rsid w:val="00A41F8C"/>
    <w:rsid w:val="00A42132"/>
    <w:rsid w:val="00A42594"/>
    <w:rsid w:val="00A42691"/>
    <w:rsid w:val="00A42C1E"/>
    <w:rsid w:val="00A43091"/>
    <w:rsid w:val="00A434DE"/>
    <w:rsid w:val="00A435B0"/>
    <w:rsid w:val="00A43945"/>
    <w:rsid w:val="00A439D0"/>
    <w:rsid w:val="00A43C8C"/>
    <w:rsid w:val="00A43CE7"/>
    <w:rsid w:val="00A441EA"/>
    <w:rsid w:val="00A445EF"/>
    <w:rsid w:val="00A4466A"/>
    <w:rsid w:val="00A44B23"/>
    <w:rsid w:val="00A44F4F"/>
    <w:rsid w:val="00A4513F"/>
    <w:rsid w:val="00A45397"/>
    <w:rsid w:val="00A453F3"/>
    <w:rsid w:val="00A455C5"/>
    <w:rsid w:val="00A45625"/>
    <w:rsid w:val="00A457CD"/>
    <w:rsid w:val="00A45B28"/>
    <w:rsid w:val="00A46091"/>
    <w:rsid w:val="00A46391"/>
    <w:rsid w:val="00A467EE"/>
    <w:rsid w:val="00A46CF9"/>
    <w:rsid w:val="00A46D4D"/>
    <w:rsid w:val="00A4768D"/>
    <w:rsid w:val="00A4781D"/>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0EB"/>
    <w:rsid w:val="00A53144"/>
    <w:rsid w:val="00A53819"/>
    <w:rsid w:val="00A53984"/>
    <w:rsid w:val="00A539D6"/>
    <w:rsid w:val="00A53C46"/>
    <w:rsid w:val="00A53CB5"/>
    <w:rsid w:val="00A53D29"/>
    <w:rsid w:val="00A53E58"/>
    <w:rsid w:val="00A544FE"/>
    <w:rsid w:val="00A545AC"/>
    <w:rsid w:val="00A54B3A"/>
    <w:rsid w:val="00A54B42"/>
    <w:rsid w:val="00A54D20"/>
    <w:rsid w:val="00A552D2"/>
    <w:rsid w:val="00A55981"/>
    <w:rsid w:val="00A559B7"/>
    <w:rsid w:val="00A55D6D"/>
    <w:rsid w:val="00A55FAF"/>
    <w:rsid w:val="00A55FD3"/>
    <w:rsid w:val="00A562B5"/>
    <w:rsid w:val="00A56340"/>
    <w:rsid w:val="00A564E8"/>
    <w:rsid w:val="00A568E9"/>
    <w:rsid w:val="00A56EBD"/>
    <w:rsid w:val="00A574EB"/>
    <w:rsid w:val="00A5756B"/>
    <w:rsid w:val="00A57588"/>
    <w:rsid w:val="00A5765C"/>
    <w:rsid w:val="00A6003F"/>
    <w:rsid w:val="00A601D3"/>
    <w:rsid w:val="00A6034E"/>
    <w:rsid w:val="00A6056F"/>
    <w:rsid w:val="00A60644"/>
    <w:rsid w:val="00A609E3"/>
    <w:rsid w:val="00A60C96"/>
    <w:rsid w:val="00A60D11"/>
    <w:rsid w:val="00A60F2C"/>
    <w:rsid w:val="00A613B1"/>
    <w:rsid w:val="00A61FD4"/>
    <w:rsid w:val="00A62188"/>
    <w:rsid w:val="00A625ED"/>
    <w:rsid w:val="00A62731"/>
    <w:rsid w:val="00A628F9"/>
    <w:rsid w:val="00A62C5D"/>
    <w:rsid w:val="00A62CCC"/>
    <w:rsid w:val="00A630A8"/>
    <w:rsid w:val="00A63294"/>
    <w:rsid w:val="00A63748"/>
    <w:rsid w:val="00A63858"/>
    <w:rsid w:val="00A6385C"/>
    <w:rsid w:val="00A6386C"/>
    <w:rsid w:val="00A638B5"/>
    <w:rsid w:val="00A63D0B"/>
    <w:rsid w:val="00A63DCF"/>
    <w:rsid w:val="00A63DF9"/>
    <w:rsid w:val="00A640FC"/>
    <w:rsid w:val="00A6425E"/>
    <w:rsid w:val="00A64F1C"/>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946"/>
    <w:rsid w:val="00A71E6A"/>
    <w:rsid w:val="00A71FEF"/>
    <w:rsid w:val="00A722C7"/>
    <w:rsid w:val="00A724D9"/>
    <w:rsid w:val="00A72DCB"/>
    <w:rsid w:val="00A72F92"/>
    <w:rsid w:val="00A73031"/>
    <w:rsid w:val="00A73232"/>
    <w:rsid w:val="00A733D7"/>
    <w:rsid w:val="00A73689"/>
    <w:rsid w:val="00A73691"/>
    <w:rsid w:val="00A73B3F"/>
    <w:rsid w:val="00A73ECE"/>
    <w:rsid w:val="00A740A3"/>
    <w:rsid w:val="00A740B0"/>
    <w:rsid w:val="00A74B08"/>
    <w:rsid w:val="00A74C31"/>
    <w:rsid w:val="00A74E6C"/>
    <w:rsid w:val="00A74F2B"/>
    <w:rsid w:val="00A752D4"/>
    <w:rsid w:val="00A7535E"/>
    <w:rsid w:val="00A7544B"/>
    <w:rsid w:val="00A7561F"/>
    <w:rsid w:val="00A75996"/>
    <w:rsid w:val="00A75BB8"/>
    <w:rsid w:val="00A764C9"/>
    <w:rsid w:val="00A76542"/>
    <w:rsid w:val="00A768A3"/>
    <w:rsid w:val="00A76A57"/>
    <w:rsid w:val="00A76CA6"/>
    <w:rsid w:val="00A76D6A"/>
    <w:rsid w:val="00A76DEE"/>
    <w:rsid w:val="00A771E7"/>
    <w:rsid w:val="00A7744B"/>
    <w:rsid w:val="00A77522"/>
    <w:rsid w:val="00A77D13"/>
    <w:rsid w:val="00A77E09"/>
    <w:rsid w:val="00A77F41"/>
    <w:rsid w:val="00A8014B"/>
    <w:rsid w:val="00A8030D"/>
    <w:rsid w:val="00A8040C"/>
    <w:rsid w:val="00A804C7"/>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46F4"/>
    <w:rsid w:val="00A84A27"/>
    <w:rsid w:val="00A84B39"/>
    <w:rsid w:val="00A84DFE"/>
    <w:rsid w:val="00A851BD"/>
    <w:rsid w:val="00A851F0"/>
    <w:rsid w:val="00A85343"/>
    <w:rsid w:val="00A853A3"/>
    <w:rsid w:val="00A8570F"/>
    <w:rsid w:val="00A85766"/>
    <w:rsid w:val="00A8612B"/>
    <w:rsid w:val="00A862BF"/>
    <w:rsid w:val="00A862F6"/>
    <w:rsid w:val="00A863B6"/>
    <w:rsid w:val="00A863E0"/>
    <w:rsid w:val="00A86682"/>
    <w:rsid w:val="00A86880"/>
    <w:rsid w:val="00A86B40"/>
    <w:rsid w:val="00A86E9A"/>
    <w:rsid w:val="00A86FBA"/>
    <w:rsid w:val="00A87508"/>
    <w:rsid w:val="00A87910"/>
    <w:rsid w:val="00A87AFB"/>
    <w:rsid w:val="00A87B77"/>
    <w:rsid w:val="00A9008F"/>
    <w:rsid w:val="00A904AC"/>
    <w:rsid w:val="00A9060A"/>
    <w:rsid w:val="00A90783"/>
    <w:rsid w:val="00A90A42"/>
    <w:rsid w:val="00A90F00"/>
    <w:rsid w:val="00A9113C"/>
    <w:rsid w:val="00A9146B"/>
    <w:rsid w:val="00A915AB"/>
    <w:rsid w:val="00A9196A"/>
    <w:rsid w:val="00A92012"/>
    <w:rsid w:val="00A923A9"/>
    <w:rsid w:val="00A92A69"/>
    <w:rsid w:val="00A92CB5"/>
    <w:rsid w:val="00A92E54"/>
    <w:rsid w:val="00A9316B"/>
    <w:rsid w:val="00A93C10"/>
    <w:rsid w:val="00A93C32"/>
    <w:rsid w:val="00A93ED0"/>
    <w:rsid w:val="00A93FDF"/>
    <w:rsid w:val="00A941C5"/>
    <w:rsid w:val="00A943ED"/>
    <w:rsid w:val="00A9478B"/>
    <w:rsid w:val="00A948F0"/>
    <w:rsid w:val="00A949DB"/>
    <w:rsid w:val="00A94A34"/>
    <w:rsid w:val="00A95004"/>
    <w:rsid w:val="00A953CC"/>
    <w:rsid w:val="00A95929"/>
    <w:rsid w:val="00A95A2A"/>
    <w:rsid w:val="00A95A5A"/>
    <w:rsid w:val="00A95A83"/>
    <w:rsid w:val="00A95B32"/>
    <w:rsid w:val="00A95D7E"/>
    <w:rsid w:val="00A95DF0"/>
    <w:rsid w:val="00A962A4"/>
    <w:rsid w:val="00A96424"/>
    <w:rsid w:val="00A96456"/>
    <w:rsid w:val="00A969BF"/>
    <w:rsid w:val="00A96A9D"/>
    <w:rsid w:val="00A96ECD"/>
    <w:rsid w:val="00A974BB"/>
    <w:rsid w:val="00A97508"/>
    <w:rsid w:val="00A97535"/>
    <w:rsid w:val="00A97961"/>
    <w:rsid w:val="00A97D1E"/>
    <w:rsid w:val="00AA0121"/>
    <w:rsid w:val="00AA0181"/>
    <w:rsid w:val="00AA0268"/>
    <w:rsid w:val="00AA08E3"/>
    <w:rsid w:val="00AA094A"/>
    <w:rsid w:val="00AA0E2B"/>
    <w:rsid w:val="00AA0EB9"/>
    <w:rsid w:val="00AA1075"/>
    <w:rsid w:val="00AA1427"/>
    <w:rsid w:val="00AA1809"/>
    <w:rsid w:val="00AA194B"/>
    <w:rsid w:val="00AA1AAB"/>
    <w:rsid w:val="00AA217C"/>
    <w:rsid w:val="00AA225E"/>
    <w:rsid w:val="00AA2382"/>
    <w:rsid w:val="00AA26AE"/>
    <w:rsid w:val="00AA26CC"/>
    <w:rsid w:val="00AA2E6A"/>
    <w:rsid w:val="00AA2F5A"/>
    <w:rsid w:val="00AA3704"/>
    <w:rsid w:val="00AA390E"/>
    <w:rsid w:val="00AA3E01"/>
    <w:rsid w:val="00AA4242"/>
    <w:rsid w:val="00AA42F2"/>
    <w:rsid w:val="00AA4344"/>
    <w:rsid w:val="00AA4702"/>
    <w:rsid w:val="00AA4899"/>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89"/>
    <w:rsid w:val="00AB0D93"/>
    <w:rsid w:val="00AB0FB0"/>
    <w:rsid w:val="00AB0FF4"/>
    <w:rsid w:val="00AB103B"/>
    <w:rsid w:val="00AB132C"/>
    <w:rsid w:val="00AB152A"/>
    <w:rsid w:val="00AB157E"/>
    <w:rsid w:val="00AB18C2"/>
    <w:rsid w:val="00AB1FFB"/>
    <w:rsid w:val="00AB2031"/>
    <w:rsid w:val="00AB23F4"/>
    <w:rsid w:val="00AB2A29"/>
    <w:rsid w:val="00AB2B11"/>
    <w:rsid w:val="00AB309F"/>
    <w:rsid w:val="00AB33B6"/>
    <w:rsid w:val="00AB3598"/>
    <w:rsid w:val="00AB37BB"/>
    <w:rsid w:val="00AB3B26"/>
    <w:rsid w:val="00AB3E57"/>
    <w:rsid w:val="00AB403C"/>
    <w:rsid w:val="00AB40DD"/>
    <w:rsid w:val="00AB4278"/>
    <w:rsid w:val="00AB4466"/>
    <w:rsid w:val="00AB482D"/>
    <w:rsid w:val="00AB48E1"/>
    <w:rsid w:val="00AB4B3A"/>
    <w:rsid w:val="00AB4BE9"/>
    <w:rsid w:val="00AB4DB4"/>
    <w:rsid w:val="00AB4DF7"/>
    <w:rsid w:val="00AB5066"/>
    <w:rsid w:val="00AB5740"/>
    <w:rsid w:val="00AB5809"/>
    <w:rsid w:val="00AB5895"/>
    <w:rsid w:val="00AB5FC2"/>
    <w:rsid w:val="00AB620A"/>
    <w:rsid w:val="00AB641A"/>
    <w:rsid w:val="00AB7378"/>
    <w:rsid w:val="00AB743B"/>
    <w:rsid w:val="00AB78CD"/>
    <w:rsid w:val="00AB792A"/>
    <w:rsid w:val="00AB7970"/>
    <w:rsid w:val="00AB797A"/>
    <w:rsid w:val="00AB7E72"/>
    <w:rsid w:val="00AC0202"/>
    <w:rsid w:val="00AC0218"/>
    <w:rsid w:val="00AC021D"/>
    <w:rsid w:val="00AC0DF3"/>
    <w:rsid w:val="00AC0EA7"/>
    <w:rsid w:val="00AC15C7"/>
    <w:rsid w:val="00AC15D5"/>
    <w:rsid w:val="00AC1AF7"/>
    <w:rsid w:val="00AC1E98"/>
    <w:rsid w:val="00AC2804"/>
    <w:rsid w:val="00AC29F8"/>
    <w:rsid w:val="00AC2C64"/>
    <w:rsid w:val="00AC34BD"/>
    <w:rsid w:val="00AC34F4"/>
    <w:rsid w:val="00AC3C7A"/>
    <w:rsid w:val="00AC3E8A"/>
    <w:rsid w:val="00AC403A"/>
    <w:rsid w:val="00AC4185"/>
    <w:rsid w:val="00AC45AF"/>
    <w:rsid w:val="00AC4921"/>
    <w:rsid w:val="00AC4C0B"/>
    <w:rsid w:val="00AC4CB3"/>
    <w:rsid w:val="00AC4E36"/>
    <w:rsid w:val="00AC50EE"/>
    <w:rsid w:val="00AC57C5"/>
    <w:rsid w:val="00AC59C2"/>
    <w:rsid w:val="00AC5A23"/>
    <w:rsid w:val="00AC5BB8"/>
    <w:rsid w:val="00AC60E9"/>
    <w:rsid w:val="00AC6671"/>
    <w:rsid w:val="00AC75A7"/>
    <w:rsid w:val="00AC7B02"/>
    <w:rsid w:val="00AC7E3A"/>
    <w:rsid w:val="00AD008B"/>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DEE"/>
    <w:rsid w:val="00AD1E90"/>
    <w:rsid w:val="00AD1F8F"/>
    <w:rsid w:val="00AD204F"/>
    <w:rsid w:val="00AD2118"/>
    <w:rsid w:val="00AD23B5"/>
    <w:rsid w:val="00AD283C"/>
    <w:rsid w:val="00AD29D9"/>
    <w:rsid w:val="00AD2AB0"/>
    <w:rsid w:val="00AD2AFB"/>
    <w:rsid w:val="00AD2C41"/>
    <w:rsid w:val="00AD2FF3"/>
    <w:rsid w:val="00AD3371"/>
    <w:rsid w:val="00AD448A"/>
    <w:rsid w:val="00AD4DD7"/>
    <w:rsid w:val="00AD507F"/>
    <w:rsid w:val="00AD51FD"/>
    <w:rsid w:val="00AD550E"/>
    <w:rsid w:val="00AD59B0"/>
    <w:rsid w:val="00AD5F2F"/>
    <w:rsid w:val="00AD615A"/>
    <w:rsid w:val="00AD62AB"/>
    <w:rsid w:val="00AD658E"/>
    <w:rsid w:val="00AD6E7C"/>
    <w:rsid w:val="00AD752B"/>
    <w:rsid w:val="00AE05E2"/>
    <w:rsid w:val="00AE0A60"/>
    <w:rsid w:val="00AE0FC2"/>
    <w:rsid w:val="00AE1710"/>
    <w:rsid w:val="00AE1A9F"/>
    <w:rsid w:val="00AE1B44"/>
    <w:rsid w:val="00AE1D35"/>
    <w:rsid w:val="00AE1FB1"/>
    <w:rsid w:val="00AE25A7"/>
    <w:rsid w:val="00AE27DE"/>
    <w:rsid w:val="00AE2A19"/>
    <w:rsid w:val="00AE2AEE"/>
    <w:rsid w:val="00AE2DAF"/>
    <w:rsid w:val="00AE2E05"/>
    <w:rsid w:val="00AE30C8"/>
    <w:rsid w:val="00AE428C"/>
    <w:rsid w:val="00AE4290"/>
    <w:rsid w:val="00AE44C3"/>
    <w:rsid w:val="00AE4B21"/>
    <w:rsid w:val="00AE4F58"/>
    <w:rsid w:val="00AE5371"/>
    <w:rsid w:val="00AE5695"/>
    <w:rsid w:val="00AE5C10"/>
    <w:rsid w:val="00AE5D9C"/>
    <w:rsid w:val="00AE5EBB"/>
    <w:rsid w:val="00AE6012"/>
    <w:rsid w:val="00AE6095"/>
    <w:rsid w:val="00AE68E2"/>
    <w:rsid w:val="00AE6ADF"/>
    <w:rsid w:val="00AE703D"/>
    <w:rsid w:val="00AE7075"/>
    <w:rsid w:val="00AE7203"/>
    <w:rsid w:val="00AE7480"/>
    <w:rsid w:val="00AE7BC0"/>
    <w:rsid w:val="00AF005D"/>
    <w:rsid w:val="00AF041E"/>
    <w:rsid w:val="00AF047A"/>
    <w:rsid w:val="00AF04ED"/>
    <w:rsid w:val="00AF0690"/>
    <w:rsid w:val="00AF0787"/>
    <w:rsid w:val="00AF0AAE"/>
    <w:rsid w:val="00AF0B3E"/>
    <w:rsid w:val="00AF0B46"/>
    <w:rsid w:val="00AF1C33"/>
    <w:rsid w:val="00AF1E90"/>
    <w:rsid w:val="00AF1F2C"/>
    <w:rsid w:val="00AF215B"/>
    <w:rsid w:val="00AF21E9"/>
    <w:rsid w:val="00AF2397"/>
    <w:rsid w:val="00AF26FB"/>
    <w:rsid w:val="00AF2759"/>
    <w:rsid w:val="00AF2D3C"/>
    <w:rsid w:val="00AF3309"/>
    <w:rsid w:val="00AF3761"/>
    <w:rsid w:val="00AF379D"/>
    <w:rsid w:val="00AF37E8"/>
    <w:rsid w:val="00AF3810"/>
    <w:rsid w:val="00AF39CE"/>
    <w:rsid w:val="00AF3AE4"/>
    <w:rsid w:val="00AF3E81"/>
    <w:rsid w:val="00AF4022"/>
    <w:rsid w:val="00AF43D5"/>
    <w:rsid w:val="00AF4654"/>
    <w:rsid w:val="00AF4661"/>
    <w:rsid w:val="00AF47E7"/>
    <w:rsid w:val="00AF4A5F"/>
    <w:rsid w:val="00AF4C40"/>
    <w:rsid w:val="00AF4E7A"/>
    <w:rsid w:val="00AF4F56"/>
    <w:rsid w:val="00AF50DA"/>
    <w:rsid w:val="00AF554E"/>
    <w:rsid w:val="00AF56E8"/>
    <w:rsid w:val="00AF5A12"/>
    <w:rsid w:val="00AF5CAA"/>
    <w:rsid w:val="00AF5DB7"/>
    <w:rsid w:val="00AF5F65"/>
    <w:rsid w:val="00AF6BEE"/>
    <w:rsid w:val="00AF6D72"/>
    <w:rsid w:val="00AF6F55"/>
    <w:rsid w:val="00AF6F57"/>
    <w:rsid w:val="00AF7A9D"/>
    <w:rsid w:val="00AF7CB1"/>
    <w:rsid w:val="00B0065B"/>
    <w:rsid w:val="00B00F85"/>
    <w:rsid w:val="00B00FBC"/>
    <w:rsid w:val="00B012F4"/>
    <w:rsid w:val="00B014A4"/>
    <w:rsid w:val="00B014D4"/>
    <w:rsid w:val="00B016B8"/>
    <w:rsid w:val="00B01731"/>
    <w:rsid w:val="00B01B43"/>
    <w:rsid w:val="00B01E79"/>
    <w:rsid w:val="00B01F39"/>
    <w:rsid w:val="00B0200D"/>
    <w:rsid w:val="00B02010"/>
    <w:rsid w:val="00B02B79"/>
    <w:rsid w:val="00B030C6"/>
    <w:rsid w:val="00B036B1"/>
    <w:rsid w:val="00B03A5D"/>
    <w:rsid w:val="00B03C90"/>
    <w:rsid w:val="00B03CB1"/>
    <w:rsid w:val="00B03F6E"/>
    <w:rsid w:val="00B0409E"/>
    <w:rsid w:val="00B04BAD"/>
    <w:rsid w:val="00B054EA"/>
    <w:rsid w:val="00B05722"/>
    <w:rsid w:val="00B05852"/>
    <w:rsid w:val="00B05C41"/>
    <w:rsid w:val="00B05E9A"/>
    <w:rsid w:val="00B05ED5"/>
    <w:rsid w:val="00B06713"/>
    <w:rsid w:val="00B06C72"/>
    <w:rsid w:val="00B0735F"/>
    <w:rsid w:val="00B0746F"/>
    <w:rsid w:val="00B07AD9"/>
    <w:rsid w:val="00B07D7C"/>
    <w:rsid w:val="00B108C5"/>
    <w:rsid w:val="00B10AF0"/>
    <w:rsid w:val="00B10C85"/>
    <w:rsid w:val="00B117C6"/>
    <w:rsid w:val="00B1193F"/>
    <w:rsid w:val="00B11AF4"/>
    <w:rsid w:val="00B11D5D"/>
    <w:rsid w:val="00B11E41"/>
    <w:rsid w:val="00B11E4E"/>
    <w:rsid w:val="00B12100"/>
    <w:rsid w:val="00B12889"/>
    <w:rsid w:val="00B12AAA"/>
    <w:rsid w:val="00B12BBB"/>
    <w:rsid w:val="00B13141"/>
    <w:rsid w:val="00B131F5"/>
    <w:rsid w:val="00B13276"/>
    <w:rsid w:val="00B13331"/>
    <w:rsid w:val="00B13420"/>
    <w:rsid w:val="00B13783"/>
    <w:rsid w:val="00B13B7E"/>
    <w:rsid w:val="00B13E4A"/>
    <w:rsid w:val="00B13E87"/>
    <w:rsid w:val="00B141B3"/>
    <w:rsid w:val="00B1424B"/>
    <w:rsid w:val="00B143DF"/>
    <w:rsid w:val="00B14BBB"/>
    <w:rsid w:val="00B14BD2"/>
    <w:rsid w:val="00B15036"/>
    <w:rsid w:val="00B15321"/>
    <w:rsid w:val="00B15452"/>
    <w:rsid w:val="00B15639"/>
    <w:rsid w:val="00B1593E"/>
    <w:rsid w:val="00B15ABC"/>
    <w:rsid w:val="00B15C2F"/>
    <w:rsid w:val="00B15EAF"/>
    <w:rsid w:val="00B15F5A"/>
    <w:rsid w:val="00B15F9E"/>
    <w:rsid w:val="00B16136"/>
    <w:rsid w:val="00B167F5"/>
    <w:rsid w:val="00B16912"/>
    <w:rsid w:val="00B16A40"/>
    <w:rsid w:val="00B16C0C"/>
    <w:rsid w:val="00B17440"/>
    <w:rsid w:val="00B175B5"/>
    <w:rsid w:val="00B179A7"/>
    <w:rsid w:val="00B17A20"/>
    <w:rsid w:val="00B17A42"/>
    <w:rsid w:val="00B17AA5"/>
    <w:rsid w:val="00B17C02"/>
    <w:rsid w:val="00B17D52"/>
    <w:rsid w:val="00B20391"/>
    <w:rsid w:val="00B2040C"/>
    <w:rsid w:val="00B2063E"/>
    <w:rsid w:val="00B20D2F"/>
    <w:rsid w:val="00B20F73"/>
    <w:rsid w:val="00B20FAA"/>
    <w:rsid w:val="00B21AA3"/>
    <w:rsid w:val="00B21BB8"/>
    <w:rsid w:val="00B21D13"/>
    <w:rsid w:val="00B2219C"/>
    <w:rsid w:val="00B2248F"/>
    <w:rsid w:val="00B22594"/>
    <w:rsid w:val="00B22644"/>
    <w:rsid w:val="00B22ADD"/>
    <w:rsid w:val="00B22D32"/>
    <w:rsid w:val="00B22D9C"/>
    <w:rsid w:val="00B22E0A"/>
    <w:rsid w:val="00B22E59"/>
    <w:rsid w:val="00B23038"/>
    <w:rsid w:val="00B23337"/>
    <w:rsid w:val="00B23C48"/>
    <w:rsid w:val="00B2450C"/>
    <w:rsid w:val="00B2467D"/>
    <w:rsid w:val="00B24CA0"/>
    <w:rsid w:val="00B24E89"/>
    <w:rsid w:val="00B24FC9"/>
    <w:rsid w:val="00B24FEA"/>
    <w:rsid w:val="00B25556"/>
    <w:rsid w:val="00B257BB"/>
    <w:rsid w:val="00B2592F"/>
    <w:rsid w:val="00B25A98"/>
    <w:rsid w:val="00B25E48"/>
    <w:rsid w:val="00B25E77"/>
    <w:rsid w:val="00B25E91"/>
    <w:rsid w:val="00B25ED2"/>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561"/>
    <w:rsid w:val="00B339AB"/>
    <w:rsid w:val="00B33D3B"/>
    <w:rsid w:val="00B33EFA"/>
    <w:rsid w:val="00B3418B"/>
    <w:rsid w:val="00B34709"/>
    <w:rsid w:val="00B35299"/>
    <w:rsid w:val="00B35328"/>
    <w:rsid w:val="00B3557C"/>
    <w:rsid w:val="00B35C88"/>
    <w:rsid w:val="00B3642C"/>
    <w:rsid w:val="00B3655A"/>
    <w:rsid w:val="00B36703"/>
    <w:rsid w:val="00B3677B"/>
    <w:rsid w:val="00B367D3"/>
    <w:rsid w:val="00B368FE"/>
    <w:rsid w:val="00B36AE3"/>
    <w:rsid w:val="00B3745E"/>
    <w:rsid w:val="00B375CF"/>
    <w:rsid w:val="00B37873"/>
    <w:rsid w:val="00B379CF"/>
    <w:rsid w:val="00B37A2E"/>
    <w:rsid w:val="00B40176"/>
    <w:rsid w:val="00B406C9"/>
    <w:rsid w:val="00B411AC"/>
    <w:rsid w:val="00B41431"/>
    <w:rsid w:val="00B414E5"/>
    <w:rsid w:val="00B41B43"/>
    <w:rsid w:val="00B42633"/>
    <w:rsid w:val="00B42911"/>
    <w:rsid w:val="00B42BC5"/>
    <w:rsid w:val="00B42BFD"/>
    <w:rsid w:val="00B42D26"/>
    <w:rsid w:val="00B42F6B"/>
    <w:rsid w:val="00B431BD"/>
    <w:rsid w:val="00B4325E"/>
    <w:rsid w:val="00B4350F"/>
    <w:rsid w:val="00B43A28"/>
    <w:rsid w:val="00B43FEC"/>
    <w:rsid w:val="00B441F3"/>
    <w:rsid w:val="00B44886"/>
    <w:rsid w:val="00B4553B"/>
    <w:rsid w:val="00B4554E"/>
    <w:rsid w:val="00B45904"/>
    <w:rsid w:val="00B45A02"/>
    <w:rsid w:val="00B45C67"/>
    <w:rsid w:val="00B45CF8"/>
    <w:rsid w:val="00B45F54"/>
    <w:rsid w:val="00B46006"/>
    <w:rsid w:val="00B4615D"/>
    <w:rsid w:val="00B4680C"/>
    <w:rsid w:val="00B46B13"/>
    <w:rsid w:val="00B46BF9"/>
    <w:rsid w:val="00B46C25"/>
    <w:rsid w:val="00B46EFA"/>
    <w:rsid w:val="00B47047"/>
    <w:rsid w:val="00B47827"/>
    <w:rsid w:val="00B479CB"/>
    <w:rsid w:val="00B47AAB"/>
    <w:rsid w:val="00B5007C"/>
    <w:rsid w:val="00B504B9"/>
    <w:rsid w:val="00B504DA"/>
    <w:rsid w:val="00B505F4"/>
    <w:rsid w:val="00B50D15"/>
    <w:rsid w:val="00B50D54"/>
    <w:rsid w:val="00B51227"/>
    <w:rsid w:val="00B5160F"/>
    <w:rsid w:val="00B5173B"/>
    <w:rsid w:val="00B51CED"/>
    <w:rsid w:val="00B5227A"/>
    <w:rsid w:val="00B52317"/>
    <w:rsid w:val="00B52440"/>
    <w:rsid w:val="00B524F2"/>
    <w:rsid w:val="00B525B4"/>
    <w:rsid w:val="00B52637"/>
    <w:rsid w:val="00B52661"/>
    <w:rsid w:val="00B5274C"/>
    <w:rsid w:val="00B5285C"/>
    <w:rsid w:val="00B52A21"/>
    <w:rsid w:val="00B52C29"/>
    <w:rsid w:val="00B52E76"/>
    <w:rsid w:val="00B52EA0"/>
    <w:rsid w:val="00B5317B"/>
    <w:rsid w:val="00B5324C"/>
    <w:rsid w:val="00B5359A"/>
    <w:rsid w:val="00B53813"/>
    <w:rsid w:val="00B5390D"/>
    <w:rsid w:val="00B53D00"/>
    <w:rsid w:val="00B53D37"/>
    <w:rsid w:val="00B53D9A"/>
    <w:rsid w:val="00B53E2E"/>
    <w:rsid w:val="00B53FFD"/>
    <w:rsid w:val="00B54719"/>
    <w:rsid w:val="00B54A6B"/>
    <w:rsid w:val="00B54BE9"/>
    <w:rsid w:val="00B54D64"/>
    <w:rsid w:val="00B55334"/>
    <w:rsid w:val="00B553DE"/>
    <w:rsid w:val="00B5588A"/>
    <w:rsid w:val="00B55B94"/>
    <w:rsid w:val="00B5602E"/>
    <w:rsid w:val="00B56177"/>
    <w:rsid w:val="00B56682"/>
    <w:rsid w:val="00B5677E"/>
    <w:rsid w:val="00B56A4D"/>
    <w:rsid w:val="00B56F6D"/>
    <w:rsid w:val="00B570EE"/>
    <w:rsid w:val="00B57391"/>
    <w:rsid w:val="00B57791"/>
    <w:rsid w:val="00B57840"/>
    <w:rsid w:val="00B57E69"/>
    <w:rsid w:val="00B6055E"/>
    <w:rsid w:val="00B60677"/>
    <w:rsid w:val="00B6069D"/>
    <w:rsid w:val="00B609A0"/>
    <w:rsid w:val="00B60AAF"/>
    <w:rsid w:val="00B611B7"/>
    <w:rsid w:val="00B61319"/>
    <w:rsid w:val="00B617B7"/>
    <w:rsid w:val="00B61E74"/>
    <w:rsid w:val="00B61F0E"/>
    <w:rsid w:val="00B622BB"/>
    <w:rsid w:val="00B622D7"/>
    <w:rsid w:val="00B6240B"/>
    <w:rsid w:val="00B62687"/>
    <w:rsid w:val="00B626B4"/>
    <w:rsid w:val="00B627F2"/>
    <w:rsid w:val="00B62903"/>
    <w:rsid w:val="00B62A7D"/>
    <w:rsid w:val="00B62B13"/>
    <w:rsid w:val="00B62CAC"/>
    <w:rsid w:val="00B62FA3"/>
    <w:rsid w:val="00B632EE"/>
    <w:rsid w:val="00B63441"/>
    <w:rsid w:val="00B637DE"/>
    <w:rsid w:val="00B639BC"/>
    <w:rsid w:val="00B63CF7"/>
    <w:rsid w:val="00B63D0B"/>
    <w:rsid w:val="00B63F83"/>
    <w:rsid w:val="00B64264"/>
    <w:rsid w:val="00B645FF"/>
    <w:rsid w:val="00B64646"/>
    <w:rsid w:val="00B64678"/>
    <w:rsid w:val="00B64A74"/>
    <w:rsid w:val="00B64EF1"/>
    <w:rsid w:val="00B65263"/>
    <w:rsid w:val="00B65B3F"/>
    <w:rsid w:val="00B663A6"/>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4FF"/>
    <w:rsid w:val="00B71840"/>
    <w:rsid w:val="00B71B2C"/>
    <w:rsid w:val="00B71CD0"/>
    <w:rsid w:val="00B7216E"/>
    <w:rsid w:val="00B721C1"/>
    <w:rsid w:val="00B722E2"/>
    <w:rsid w:val="00B7237B"/>
    <w:rsid w:val="00B72525"/>
    <w:rsid w:val="00B727C9"/>
    <w:rsid w:val="00B7295A"/>
    <w:rsid w:val="00B72C53"/>
    <w:rsid w:val="00B72C90"/>
    <w:rsid w:val="00B72CB5"/>
    <w:rsid w:val="00B72FB8"/>
    <w:rsid w:val="00B73149"/>
    <w:rsid w:val="00B73154"/>
    <w:rsid w:val="00B7315B"/>
    <w:rsid w:val="00B731FE"/>
    <w:rsid w:val="00B733CF"/>
    <w:rsid w:val="00B738B5"/>
    <w:rsid w:val="00B73E3F"/>
    <w:rsid w:val="00B7405B"/>
    <w:rsid w:val="00B742B7"/>
    <w:rsid w:val="00B74755"/>
    <w:rsid w:val="00B7497A"/>
    <w:rsid w:val="00B74A4E"/>
    <w:rsid w:val="00B74B99"/>
    <w:rsid w:val="00B74ECD"/>
    <w:rsid w:val="00B74FFD"/>
    <w:rsid w:val="00B75151"/>
    <w:rsid w:val="00B75217"/>
    <w:rsid w:val="00B75323"/>
    <w:rsid w:val="00B75370"/>
    <w:rsid w:val="00B75CA3"/>
    <w:rsid w:val="00B75D76"/>
    <w:rsid w:val="00B75DD0"/>
    <w:rsid w:val="00B7600D"/>
    <w:rsid w:val="00B76283"/>
    <w:rsid w:val="00B764AB"/>
    <w:rsid w:val="00B76727"/>
    <w:rsid w:val="00B76A77"/>
    <w:rsid w:val="00B76B5B"/>
    <w:rsid w:val="00B775A2"/>
    <w:rsid w:val="00B77823"/>
    <w:rsid w:val="00B77E22"/>
    <w:rsid w:val="00B800A3"/>
    <w:rsid w:val="00B805BC"/>
    <w:rsid w:val="00B80AB7"/>
    <w:rsid w:val="00B80FE9"/>
    <w:rsid w:val="00B81017"/>
    <w:rsid w:val="00B81147"/>
    <w:rsid w:val="00B81293"/>
    <w:rsid w:val="00B815ED"/>
    <w:rsid w:val="00B817A2"/>
    <w:rsid w:val="00B81CB9"/>
    <w:rsid w:val="00B81D5A"/>
    <w:rsid w:val="00B820CA"/>
    <w:rsid w:val="00B820F0"/>
    <w:rsid w:val="00B826AE"/>
    <w:rsid w:val="00B82CE6"/>
    <w:rsid w:val="00B82DA5"/>
    <w:rsid w:val="00B83046"/>
    <w:rsid w:val="00B8338B"/>
    <w:rsid w:val="00B837F1"/>
    <w:rsid w:val="00B83C1E"/>
    <w:rsid w:val="00B83FF0"/>
    <w:rsid w:val="00B84198"/>
    <w:rsid w:val="00B85392"/>
    <w:rsid w:val="00B8569B"/>
    <w:rsid w:val="00B856B1"/>
    <w:rsid w:val="00B85CED"/>
    <w:rsid w:val="00B85D1D"/>
    <w:rsid w:val="00B85D54"/>
    <w:rsid w:val="00B86096"/>
    <w:rsid w:val="00B864B6"/>
    <w:rsid w:val="00B864F6"/>
    <w:rsid w:val="00B86585"/>
    <w:rsid w:val="00B86699"/>
    <w:rsid w:val="00B866BD"/>
    <w:rsid w:val="00B86BAC"/>
    <w:rsid w:val="00B87699"/>
    <w:rsid w:val="00B879C3"/>
    <w:rsid w:val="00B87B03"/>
    <w:rsid w:val="00B87CBA"/>
    <w:rsid w:val="00B87F32"/>
    <w:rsid w:val="00B87F6D"/>
    <w:rsid w:val="00B90146"/>
    <w:rsid w:val="00B90153"/>
    <w:rsid w:val="00B904B9"/>
    <w:rsid w:val="00B908BC"/>
    <w:rsid w:val="00B909E2"/>
    <w:rsid w:val="00B90A53"/>
    <w:rsid w:val="00B90E8B"/>
    <w:rsid w:val="00B91C0F"/>
    <w:rsid w:val="00B91ECF"/>
    <w:rsid w:val="00B91FA7"/>
    <w:rsid w:val="00B921E4"/>
    <w:rsid w:val="00B92206"/>
    <w:rsid w:val="00B9230F"/>
    <w:rsid w:val="00B92320"/>
    <w:rsid w:val="00B92750"/>
    <w:rsid w:val="00B92809"/>
    <w:rsid w:val="00B92950"/>
    <w:rsid w:val="00B92BC8"/>
    <w:rsid w:val="00B92CDE"/>
    <w:rsid w:val="00B93322"/>
    <w:rsid w:val="00B934DE"/>
    <w:rsid w:val="00B93512"/>
    <w:rsid w:val="00B93521"/>
    <w:rsid w:val="00B937EC"/>
    <w:rsid w:val="00B93A9A"/>
    <w:rsid w:val="00B93D6C"/>
    <w:rsid w:val="00B946D9"/>
    <w:rsid w:val="00B9485D"/>
    <w:rsid w:val="00B94FA7"/>
    <w:rsid w:val="00B9507A"/>
    <w:rsid w:val="00B950A8"/>
    <w:rsid w:val="00B95A09"/>
    <w:rsid w:val="00B95A41"/>
    <w:rsid w:val="00B95B1E"/>
    <w:rsid w:val="00B95BD2"/>
    <w:rsid w:val="00B95C6C"/>
    <w:rsid w:val="00B96269"/>
    <w:rsid w:val="00B962D3"/>
    <w:rsid w:val="00B96407"/>
    <w:rsid w:val="00B96468"/>
    <w:rsid w:val="00B96D4E"/>
    <w:rsid w:val="00B96FB0"/>
    <w:rsid w:val="00B977D0"/>
    <w:rsid w:val="00B97810"/>
    <w:rsid w:val="00B97BC3"/>
    <w:rsid w:val="00BA001D"/>
    <w:rsid w:val="00BA0092"/>
    <w:rsid w:val="00BA0360"/>
    <w:rsid w:val="00BA0369"/>
    <w:rsid w:val="00BA1274"/>
    <w:rsid w:val="00BA12DD"/>
    <w:rsid w:val="00BA155C"/>
    <w:rsid w:val="00BA16DC"/>
    <w:rsid w:val="00BA1B9F"/>
    <w:rsid w:val="00BA1C8A"/>
    <w:rsid w:val="00BA1CFA"/>
    <w:rsid w:val="00BA26A3"/>
    <w:rsid w:val="00BA26D9"/>
    <w:rsid w:val="00BA2BE0"/>
    <w:rsid w:val="00BA342B"/>
    <w:rsid w:val="00BA3763"/>
    <w:rsid w:val="00BA38BE"/>
    <w:rsid w:val="00BA3926"/>
    <w:rsid w:val="00BA392C"/>
    <w:rsid w:val="00BA3AC2"/>
    <w:rsid w:val="00BA3CD9"/>
    <w:rsid w:val="00BA3FAE"/>
    <w:rsid w:val="00BA41A9"/>
    <w:rsid w:val="00BA4203"/>
    <w:rsid w:val="00BA44E8"/>
    <w:rsid w:val="00BA4622"/>
    <w:rsid w:val="00BA4BAF"/>
    <w:rsid w:val="00BA4F09"/>
    <w:rsid w:val="00BA5077"/>
    <w:rsid w:val="00BA508C"/>
    <w:rsid w:val="00BA529F"/>
    <w:rsid w:val="00BA5302"/>
    <w:rsid w:val="00BA543E"/>
    <w:rsid w:val="00BA5453"/>
    <w:rsid w:val="00BA5B05"/>
    <w:rsid w:val="00BA5C32"/>
    <w:rsid w:val="00BA5C56"/>
    <w:rsid w:val="00BA5D2E"/>
    <w:rsid w:val="00BA5E98"/>
    <w:rsid w:val="00BA6429"/>
    <w:rsid w:val="00BA6738"/>
    <w:rsid w:val="00BA6A70"/>
    <w:rsid w:val="00BA6B01"/>
    <w:rsid w:val="00BA7171"/>
    <w:rsid w:val="00BA745F"/>
    <w:rsid w:val="00BA7796"/>
    <w:rsid w:val="00BA77E9"/>
    <w:rsid w:val="00BA79B5"/>
    <w:rsid w:val="00BB00D2"/>
    <w:rsid w:val="00BB01A4"/>
    <w:rsid w:val="00BB03BF"/>
    <w:rsid w:val="00BB03EC"/>
    <w:rsid w:val="00BB06FA"/>
    <w:rsid w:val="00BB09C9"/>
    <w:rsid w:val="00BB0A89"/>
    <w:rsid w:val="00BB0E33"/>
    <w:rsid w:val="00BB0EE7"/>
    <w:rsid w:val="00BB0F4F"/>
    <w:rsid w:val="00BB1066"/>
    <w:rsid w:val="00BB119F"/>
    <w:rsid w:val="00BB1264"/>
    <w:rsid w:val="00BB12DF"/>
    <w:rsid w:val="00BB1341"/>
    <w:rsid w:val="00BB1A74"/>
    <w:rsid w:val="00BB1BA7"/>
    <w:rsid w:val="00BB228F"/>
    <w:rsid w:val="00BB2479"/>
    <w:rsid w:val="00BB28ED"/>
    <w:rsid w:val="00BB2A0F"/>
    <w:rsid w:val="00BB2EAB"/>
    <w:rsid w:val="00BB2FB7"/>
    <w:rsid w:val="00BB31FC"/>
    <w:rsid w:val="00BB355C"/>
    <w:rsid w:val="00BB372C"/>
    <w:rsid w:val="00BB38EA"/>
    <w:rsid w:val="00BB3B82"/>
    <w:rsid w:val="00BB3CDD"/>
    <w:rsid w:val="00BB41C9"/>
    <w:rsid w:val="00BB42EF"/>
    <w:rsid w:val="00BB4350"/>
    <w:rsid w:val="00BB463E"/>
    <w:rsid w:val="00BB46A2"/>
    <w:rsid w:val="00BB4F2C"/>
    <w:rsid w:val="00BB5054"/>
    <w:rsid w:val="00BB521F"/>
    <w:rsid w:val="00BB58F3"/>
    <w:rsid w:val="00BB5CE6"/>
    <w:rsid w:val="00BB5DDF"/>
    <w:rsid w:val="00BB5FA1"/>
    <w:rsid w:val="00BB6393"/>
    <w:rsid w:val="00BB65F5"/>
    <w:rsid w:val="00BB67ED"/>
    <w:rsid w:val="00BB6C0E"/>
    <w:rsid w:val="00BB73FD"/>
    <w:rsid w:val="00BB747A"/>
    <w:rsid w:val="00BB7629"/>
    <w:rsid w:val="00BB763A"/>
    <w:rsid w:val="00BB77B1"/>
    <w:rsid w:val="00BC002B"/>
    <w:rsid w:val="00BC0159"/>
    <w:rsid w:val="00BC03BA"/>
    <w:rsid w:val="00BC07E6"/>
    <w:rsid w:val="00BC0849"/>
    <w:rsid w:val="00BC1B87"/>
    <w:rsid w:val="00BC1BA9"/>
    <w:rsid w:val="00BC1CB9"/>
    <w:rsid w:val="00BC1DEC"/>
    <w:rsid w:val="00BC279E"/>
    <w:rsid w:val="00BC2892"/>
    <w:rsid w:val="00BC2935"/>
    <w:rsid w:val="00BC2CE4"/>
    <w:rsid w:val="00BC2D25"/>
    <w:rsid w:val="00BC30C7"/>
    <w:rsid w:val="00BC3486"/>
    <w:rsid w:val="00BC3BA5"/>
    <w:rsid w:val="00BC3CF8"/>
    <w:rsid w:val="00BC3D7B"/>
    <w:rsid w:val="00BC40CA"/>
    <w:rsid w:val="00BC41DE"/>
    <w:rsid w:val="00BC4209"/>
    <w:rsid w:val="00BC4273"/>
    <w:rsid w:val="00BC49AA"/>
    <w:rsid w:val="00BC49B3"/>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917"/>
    <w:rsid w:val="00BC6CF3"/>
    <w:rsid w:val="00BC7050"/>
    <w:rsid w:val="00BC707F"/>
    <w:rsid w:val="00BC71B2"/>
    <w:rsid w:val="00BC71D2"/>
    <w:rsid w:val="00BC726F"/>
    <w:rsid w:val="00BC7922"/>
    <w:rsid w:val="00BC79A8"/>
    <w:rsid w:val="00BC7D31"/>
    <w:rsid w:val="00BC7E36"/>
    <w:rsid w:val="00BD006A"/>
    <w:rsid w:val="00BD0933"/>
    <w:rsid w:val="00BD118F"/>
    <w:rsid w:val="00BD18F1"/>
    <w:rsid w:val="00BD1B09"/>
    <w:rsid w:val="00BD1BAA"/>
    <w:rsid w:val="00BD1BB7"/>
    <w:rsid w:val="00BD1F8B"/>
    <w:rsid w:val="00BD202B"/>
    <w:rsid w:val="00BD26ED"/>
    <w:rsid w:val="00BD2A0B"/>
    <w:rsid w:val="00BD2A49"/>
    <w:rsid w:val="00BD2ED8"/>
    <w:rsid w:val="00BD3157"/>
    <w:rsid w:val="00BD3289"/>
    <w:rsid w:val="00BD3338"/>
    <w:rsid w:val="00BD34BC"/>
    <w:rsid w:val="00BD3DF5"/>
    <w:rsid w:val="00BD40BF"/>
    <w:rsid w:val="00BD46F3"/>
    <w:rsid w:val="00BD4931"/>
    <w:rsid w:val="00BD4BCC"/>
    <w:rsid w:val="00BD4C54"/>
    <w:rsid w:val="00BD5283"/>
    <w:rsid w:val="00BD5309"/>
    <w:rsid w:val="00BD5468"/>
    <w:rsid w:val="00BD5C68"/>
    <w:rsid w:val="00BD604B"/>
    <w:rsid w:val="00BD6154"/>
    <w:rsid w:val="00BD6183"/>
    <w:rsid w:val="00BD64F5"/>
    <w:rsid w:val="00BD6591"/>
    <w:rsid w:val="00BD659D"/>
    <w:rsid w:val="00BD6B2A"/>
    <w:rsid w:val="00BD6C09"/>
    <w:rsid w:val="00BD6D2D"/>
    <w:rsid w:val="00BD707D"/>
    <w:rsid w:val="00BD74A7"/>
    <w:rsid w:val="00BD7999"/>
    <w:rsid w:val="00BD7AB6"/>
    <w:rsid w:val="00BD7DE3"/>
    <w:rsid w:val="00BD7E48"/>
    <w:rsid w:val="00BD7E8D"/>
    <w:rsid w:val="00BE010F"/>
    <w:rsid w:val="00BE07FB"/>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B9C"/>
    <w:rsid w:val="00BE3E56"/>
    <w:rsid w:val="00BE3FBE"/>
    <w:rsid w:val="00BE417A"/>
    <w:rsid w:val="00BE45EE"/>
    <w:rsid w:val="00BE4764"/>
    <w:rsid w:val="00BE4A4B"/>
    <w:rsid w:val="00BE4EB9"/>
    <w:rsid w:val="00BE4F6F"/>
    <w:rsid w:val="00BE502D"/>
    <w:rsid w:val="00BE52EB"/>
    <w:rsid w:val="00BE53FF"/>
    <w:rsid w:val="00BE5571"/>
    <w:rsid w:val="00BE57DB"/>
    <w:rsid w:val="00BE58BF"/>
    <w:rsid w:val="00BE5F54"/>
    <w:rsid w:val="00BE67D3"/>
    <w:rsid w:val="00BE6836"/>
    <w:rsid w:val="00BE6C44"/>
    <w:rsid w:val="00BE6D9F"/>
    <w:rsid w:val="00BE6E8C"/>
    <w:rsid w:val="00BE706D"/>
    <w:rsid w:val="00BE7161"/>
    <w:rsid w:val="00BE7681"/>
    <w:rsid w:val="00BE781A"/>
    <w:rsid w:val="00BE7884"/>
    <w:rsid w:val="00BE78B9"/>
    <w:rsid w:val="00BE7A4B"/>
    <w:rsid w:val="00BE7F7E"/>
    <w:rsid w:val="00BF0048"/>
    <w:rsid w:val="00BF04EB"/>
    <w:rsid w:val="00BF0518"/>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4F"/>
    <w:rsid w:val="00BF2E71"/>
    <w:rsid w:val="00BF3060"/>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4363"/>
    <w:rsid w:val="00C043C9"/>
    <w:rsid w:val="00C0468A"/>
    <w:rsid w:val="00C04927"/>
    <w:rsid w:val="00C04A6F"/>
    <w:rsid w:val="00C04B50"/>
    <w:rsid w:val="00C0535A"/>
    <w:rsid w:val="00C05818"/>
    <w:rsid w:val="00C05AAA"/>
    <w:rsid w:val="00C06247"/>
    <w:rsid w:val="00C0669C"/>
    <w:rsid w:val="00C066CA"/>
    <w:rsid w:val="00C06951"/>
    <w:rsid w:val="00C06BE2"/>
    <w:rsid w:val="00C07322"/>
    <w:rsid w:val="00C07342"/>
    <w:rsid w:val="00C07DCB"/>
    <w:rsid w:val="00C10831"/>
    <w:rsid w:val="00C10F01"/>
    <w:rsid w:val="00C10FCD"/>
    <w:rsid w:val="00C111A1"/>
    <w:rsid w:val="00C11944"/>
    <w:rsid w:val="00C11E46"/>
    <w:rsid w:val="00C12105"/>
    <w:rsid w:val="00C125F5"/>
    <w:rsid w:val="00C126B6"/>
    <w:rsid w:val="00C12759"/>
    <w:rsid w:val="00C12942"/>
    <w:rsid w:val="00C129DE"/>
    <w:rsid w:val="00C12ACC"/>
    <w:rsid w:val="00C12DCE"/>
    <w:rsid w:val="00C12EFE"/>
    <w:rsid w:val="00C13031"/>
    <w:rsid w:val="00C13204"/>
    <w:rsid w:val="00C13734"/>
    <w:rsid w:val="00C13C32"/>
    <w:rsid w:val="00C13D56"/>
    <w:rsid w:val="00C13DD4"/>
    <w:rsid w:val="00C1405C"/>
    <w:rsid w:val="00C14093"/>
    <w:rsid w:val="00C140E0"/>
    <w:rsid w:val="00C1424D"/>
    <w:rsid w:val="00C145C7"/>
    <w:rsid w:val="00C1464D"/>
    <w:rsid w:val="00C1537A"/>
    <w:rsid w:val="00C1540A"/>
    <w:rsid w:val="00C1548A"/>
    <w:rsid w:val="00C154C3"/>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65E"/>
    <w:rsid w:val="00C20A5B"/>
    <w:rsid w:val="00C20CBA"/>
    <w:rsid w:val="00C20DAE"/>
    <w:rsid w:val="00C210C2"/>
    <w:rsid w:val="00C21146"/>
    <w:rsid w:val="00C2156C"/>
    <w:rsid w:val="00C21A0A"/>
    <w:rsid w:val="00C21A4C"/>
    <w:rsid w:val="00C21E30"/>
    <w:rsid w:val="00C22278"/>
    <w:rsid w:val="00C2245D"/>
    <w:rsid w:val="00C22EEC"/>
    <w:rsid w:val="00C23006"/>
    <w:rsid w:val="00C2300D"/>
    <w:rsid w:val="00C23090"/>
    <w:rsid w:val="00C233FD"/>
    <w:rsid w:val="00C2351D"/>
    <w:rsid w:val="00C23713"/>
    <w:rsid w:val="00C237EE"/>
    <w:rsid w:val="00C23B06"/>
    <w:rsid w:val="00C23BF7"/>
    <w:rsid w:val="00C23CEB"/>
    <w:rsid w:val="00C23E99"/>
    <w:rsid w:val="00C2404A"/>
    <w:rsid w:val="00C24160"/>
    <w:rsid w:val="00C244D8"/>
    <w:rsid w:val="00C246D6"/>
    <w:rsid w:val="00C24FF5"/>
    <w:rsid w:val="00C25422"/>
    <w:rsid w:val="00C25783"/>
    <w:rsid w:val="00C25922"/>
    <w:rsid w:val="00C25A71"/>
    <w:rsid w:val="00C25A9D"/>
    <w:rsid w:val="00C25C0D"/>
    <w:rsid w:val="00C25D61"/>
    <w:rsid w:val="00C25F3D"/>
    <w:rsid w:val="00C25F7F"/>
    <w:rsid w:val="00C26929"/>
    <w:rsid w:val="00C269F2"/>
    <w:rsid w:val="00C26BB6"/>
    <w:rsid w:val="00C272DC"/>
    <w:rsid w:val="00C27466"/>
    <w:rsid w:val="00C2795C"/>
    <w:rsid w:val="00C27B19"/>
    <w:rsid w:val="00C27C32"/>
    <w:rsid w:val="00C27C9F"/>
    <w:rsid w:val="00C30025"/>
    <w:rsid w:val="00C3040A"/>
    <w:rsid w:val="00C305B8"/>
    <w:rsid w:val="00C305F5"/>
    <w:rsid w:val="00C307FE"/>
    <w:rsid w:val="00C3088F"/>
    <w:rsid w:val="00C30A93"/>
    <w:rsid w:val="00C30ABC"/>
    <w:rsid w:val="00C30B2D"/>
    <w:rsid w:val="00C30B7F"/>
    <w:rsid w:val="00C30BA9"/>
    <w:rsid w:val="00C30C0A"/>
    <w:rsid w:val="00C318F3"/>
    <w:rsid w:val="00C31EE5"/>
    <w:rsid w:val="00C322C9"/>
    <w:rsid w:val="00C322E5"/>
    <w:rsid w:val="00C32BFC"/>
    <w:rsid w:val="00C32E68"/>
    <w:rsid w:val="00C3312E"/>
    <w:rsid w:val="00C33620"/>
    <w:rsid w:val="00C33749"/>
    <w:rsid w:val="00C33797"/>
    <w:rsid w:val="00C33B9A"/>
    <w:rsid w:val="00C3474B"/>
    <w:rsid w:val="00C34A6C"/>
    <w:rsid w:val="00C34AAE"/>
    <w:rsid w:val="00C34AEC"/>
    <w:rsid w:val="00C34B7B"/>
    <w:rsid w:val="00C34BDB"/>
    <w:rsid w:val="00C34C62"/>
    <w:rsid w:val="00C358B7"/>
    <w:rsid w:val="00C35A48"/>
    <w:rsid w:val="00C35AC4"/>
    <w:rsid w:val="00C35AED"/>
    <w:rsid w:val="00C35B58"/>
    <w:rsid w:val="00C35E80"/>
    <w:rsid w:val="00C35EF2"/>
    <w:rsid w:val="00C35FA6"/>
    <w:rsid w:val="00C36480"/>
    <w:rsid w:val="00C364C5"/>
    <w:rsid w:val="00C36513"/>
    <w:rsid w:val="00C36739"/>
    <w:rsid w:val="00C3685E"/>
    <w:rsid w:val="00C36F1C"/>
    <w:rsid w:val="00C370E9"/>
    <w:rsid w:val="00C3771F"/>
    <w:rsid w:val="00C37A99"/>
    <w:rsid w:val="00C37F12"/>
    <w:rsid w:val="00C37F2D"/>
    <w:rsid w:val="00C37FC1"/>
    <w:rsid w:val="00C400D0"/>
    <w:rsid w:val="00C40489"/>
    <w:rsid w:val="00C40504"/>
    <w:rsid w:val="00C408EB"/>
    <w:rsid w:val="00C40A80"/>
    <w:rsid w:val="00C40BD1"/>
    <w:rsid w:val="00C40C0E"/>
    <w:rsid w:val="00C40D00"/>
    <w:rsid w:val="00C410E9"/>
    <w:rsid w:val="00C413CB"/>
    <w:rsid w:val="00C41460"/>
    <w:rsid w:val="00C41856"/>
    <w:rsid w:val="00C41C47"/>
    <w:rsid w:val="00C41D67"/>
    <w:rsid w:val="00C42143"/>
    <w:rsid w:val="00C42912"/>
    <w:rsid w:val="00C42A1F"/>
    <w:rsid w:val="00C42B0F"/>
    <w:rsid w:val="00C42B11"/>
    <w:rsid w:val="00C42B2F"/>
    <w:rsid w:val="00C42D93"/>
    <w:rsid w:val="00C43711"/>
    <w:rsid w:val="00C43A0A"/>
    <w:rsid w:val="00C43A1F"/>
    <w:rsid w:val="00C43B5D"/>
    <w:rsid w:val="00C43BFE"/>
    <w:rsid w:val="00C43DE6"/>
    <w:rsid w:val="00C43FA6"/>
    <w:rsid w:val="00C44018"/>
    <w:rsid w:val="00C44050"/>
    <w:rsid w:val="00C44204"/>
    <w:rsid w:val="00C442B6"/>
    <w:rsid w:val="00C449F0"/>
    <w:rsid w:val="00C45077"/>
    <w:rsid w:val="00C451FD"/>
    <w:rsid w:val="00C4526D"/>
    <w:rsid w:val="00C454D4"/>
    <w:rsid w:val="00C45545"/>
    <w:rsid w:val="00C45B73"/>
    <w:rsid w:val="00C45C2F"/>
    <w:rsid w:val="00C45DA3"/>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0CDF"/>
    <w:rsid w:val="00C510A7"/>
    <w:rsid w:val="00C513A8"/>
    <w:rsid w:val="00C513F7"/>
    <w:rsid w:val="00C5172F"/>
    <w:rsid w:val="00C51B4B"/>
    <w:rsid w:val="00C51DB6"/>
    <w:rsid w:val="00C51FDE"/>
    <w:rsid w:val="00C51FE0"/>
    <w:rsid w:val="00C52079"/>
    <w:rsid w:val="00C52443"/>
    <w:rsid w:val="00C52676"/>
    <w:rsid w:val="00C5316B"/>
    <w:rsid w:val="00C5319A"/>
    <w:rsid w:val="00C53460"/>
    <w:rsid w:val="00C5379D"/>
    <w:rsid w:val="00C5393E"/>
    <w:rsid w:val="00C53977"/>
    <w:rsid w:val="00C53DCD"/>
    <w:rsid w:val="00C5409B"/>
    <w:rsid w:val="00C54BEA"/>
    <w:rsid w:val="00C54D15"/>
    <w:rsid w:val="00C54FE0"/>
    <w:rsid w:val="00C5506E"/>
    <w:rsid w:val="00C55372"/>
    <w:rsid w:val="00C555F5"/>
    <w:rsid w:val="00C55629"/>
    <w:rsid w:val="00C55713"/>
    <w:rsid w:val="00C55BEB"/>
    <w:rsid w:val="00C55FA4"/>
    <w:rsid w:val="00C564CB"/>
    <w:rsid w:val="00C568EE"/>
    <w:rsid w:val="00C56C9D"/>
    <w:rsid w:val="00C56CE0"/>
    <w:rsid w:val="00C57269"/>
    <w:rsid w:val="00C57377"/>
    <w:rsid w:val="00C574BF"/>
    <w:rsid w:val="00C5758D"/>
    <w:rsid w:val="00C575B3"/>
    <w:rsid w:val="00C575D8"/>
    <w:rsid w:val="00C5763C"/>
    <w:rsid w:val="00C604D4"/>
    <w:rsid w:val="00C604DC"/>
    <w:rsid w:val="00C60556"/>
    <w:rsid w:val="00C609ED"/>
    <w:rsid w:val="00C60B5C"/>
    <w:rsid w:val="00C60B8C"/>
    <w:rsid w:val="00C60BCA"/>
    <w:rsid w:val="00C60C31"/>
    <w:rsid w:val="00C60CD5"/>
    <w:rsid w:val="00C60F31"/>
    <w:rsid w:val="00C610A7"/>
    <w:rsid w:val="00C6163F"/>
    <w:rsid w:val="00C61F65"/>
    <w:rsid w:val="00C62028"/>
    <w:rsid w:val="00C6231D"/>
    <w:rsid w:val="00C62A23"/>
    <w:rsid w:val="00C62D85"/>
    <w:rsid w:val="00C63094"/>
    <w:rsid w:val="00C635F3"/>
    <w:rsid w:val="00C6362A"/>
    <w:rsid w:val="00C6376A"/>
    <w:rsid w:val="00C63B59"/>
    <w:rsid w:val="00C63F92"/>
    <w:rsid w:val="00C646DB"/>
    <w:rsid w:val="00C64E5B"/>
    <w:rsid w:val="00C64FA6"/>
    <w:rsid w:val="00C64FBF"/>
    <w:rsid w:val="00C6545D"/>
    <w:rsid w:val="00C65585"/>
    <w:rsid w:val="00C656B5"/>
    <w:rsid w:val="00C658B2"/>
    <w:rsid w:val="00C65930"/>
    <w:rsid w:val="00C65A63"/>
    <w:rsid w:val="00C65A98"/>
    <w:rsid w:val="00C65C6C"/>
    <w:rsid w:val="00C65F4D"/>
    <w:rsid w:val="00C65FBD"/>
    <w:rsid w:val="00C66AC9"/>
    <w:rsid w:val="00C66C2C"/>
    <w:rsid w:val="00C67009"/>
    <w:rsid w:val="00C67146"/>
    <w:rsid w:val="00C671CC"/>
    <w:rsid w:val="00C674DE"/>
    <w:rsid w:val="00C67501"/>
    <w:rsid w:val="00C67758"/>
    <w:rsid w:val="00C67AAB"/>
    <w:rsid w:val="00C67AE4"/>
    <w:rsid w:val="00C70082"/>
    <w:rsid w:val="00C70250"/>
    <w:rsid w:val="00C707EA"/>
    <w:rsid w:val="00C70A5C"/>
    <w:rsid w:val="00C70BC8"/>
    <w:rsid w:val="00C70BFA"/>
    <w:rsid w:val="00C71975"/>
    <w:rsid w:val="00C71CC7"/>
    <w:rsid w:val="00C71D5D"/>
    <w:rsid w:val="00C72141"/>
    <w:rsid w:val="00C72554"/>
    <w:rsid w:val="00C725F5"/>
    <w:rsid w:val="00C72AC5"/>
    <w:rsid w:val="00C72B46"/>
    <w:rsid w:val="00C72C64"/>
    <w:rsid w:val="00C7325E"/>
    <w:rsid w:val="00C735B9"/>
    <w:rsid w:val="00C7440E"/>
    <w:rsid w:val="00C7452A"/>
    <w:rsid w:val="00C749C9"/>
    <w:rsid w:val="00C74C29"/>
    <w:rsid w:val="00C75284"/>
    <w:rsid w:val="00C75288"/>
    <w:rsid w:val="00C75367"/>
    <w:rsid w:val="00C75518"/>
    <w:rsid w:val="00C75667"/>
    <w:rsid w:val="00C75896"/>
    <w:rsid w:val="00C75A36"/>
    <w:rsid w:val="00C76132"/>
    <w:rsid w:val="00C76C8D"/>
    <w:rsid w:val="00C76C9E"/>
    <w:rsid w:val="00C76EAE"/>
    <w:rsid w:val="00C7714F"/>
    <w:rsid w:val="00C77152"/>
    <w:rsid w:val="00C77366"/>
    <w:rsid w:val="00C77394"/>
    <w:rsid w:val="00C77563"/>
    <w:rsid w:val="00C77A33"/>
    <w:rsid w:val="00C77B1D"/>
    <w:rsid w:val="00C800AF"/>
    <w:rsid w:val="00C8041C"/>
    <w:rsid w:val="00C80561"/>
    <w:rsid w:val="00C80588"/>
    <w:rsid w:val="00C80717"/>
    <w:rsid w:val="00C8078B"/>
    <w:rsid w:val="00C80DFA"/>
    <w:rsid w:val="00C8106E"/>
    <w:rsid w:val="00C81B61"/>
    <w:rsid w:val="00C8234F"/>
    <w:rsid w:val="00C826BE"/>
    <w:rsid w:val="00C827B4"/>
    <w:rsid w:val="00C827CB"/>
    <w:rsid w:val="00C82AB7"/>
    <w:rsid w:val="00C82D1F"/>
    <w:rsid w:val="00C82D95"/>
    <w:rsid w:val="00C82E46"/>
    <w:rsid w:val="00C833D1"/>
    <w:rsid w:val="00C834F0"/>
    <w:rsid w:val="00C83644"/>
    <w:rsid w:val="00C83711"/>
    <w:rsid w:val="00C8390E"/>
    <w:rsid w:val="00C8396A"/>
    <w:rsid w:val="00C83990"/>
    <w:rsid w:val="00C83AF2"/>
    <w:rsid w:val="00C83B15"/>
    <w:rsid w:val="00C84247"/>
    <w:rsid w:val="00C84696"/>
    <w:rsid w:val="00C8496A"/>
    <w:rsid w:val="00C8501B"/>
    <w:rsid w:val="00C85A2E"/>
    <w:rsid w:val="00C85D8B"/>
    <w:rsid w:val="00C85DC3"/>
    <w:rsid w:val="00C861A6"/>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1217"/>
    <w:rsid w:val="00C9137B"/>
    <w:rsid w:val="00C914E7"/>
    <w:rsid w:val="00C915D6"/>
    <w:rsid w:val="00C91A09"/>
    <w:rsid w:val="00C92332"/>
    <w:rsid w:val="00C92804"/>
    <w:rsid w:val="00C9281B"/>
    <w:rsid w:val="00C92CCE"/>
    <w:rsid w:val="00C930D3"/>
    <w:rsid w:val="00C9320F"/>
    <w:rsid w:val="00C93B83"/>
    <w:rsid w:val="00C93EFA"/>
    <w:rsid w:val="00C9412E"/>
    <w:rsid w:val="00C94657"/>
    <w:rsid w:val="00C9479E"/>
    <w:rsid w:val="00C94955"/>
    <w:rsid w:val="00C94D7A"/>
    <w:rsid w:val="00C950E1"/>
    <w:rsid w:val="00C95672"/>
    <w:rsid w:val="00C95800"/>
    <w:rsid w:val="00C95855"/>
    <w:rsid w:val="00C959DF"/>
    <w:rsid w:val="00C95AE1"/>
    <w:rsid w:val="00C95DB2"/>
    <w:rsid w:val="00C95EBC"/>
    <w:rsid w:val="00C961B3"/>
    <w:rsid w:val="00C96C86"/>
    <w:rsid w:val="00C96DF2"/>
    <w:rsid w:val="00C97183"/>
    <w:rsid w:val="00C97283"/>
    <w:rsid w:val="00C97334"/>
    <w:rsid w:val="00C97427"/>
    <w:rsid w:val="00C979C5"/>
    <w:rsid w:val="00C97F8D"/>
    <w:rsid w:val="00CA00D8"/>
    <w:rsid w:val="00CA03FB"/>
    <w:rsid w:val="00CA05B3"/>
    <w:rsid w:val="00CA0830"/>
    <w:rsid w:val="00CA0DB9"/>
    <w:rsid w:val="00CA1DD8"/>
    <w:rsid w:val="00CA22B3"/>
    <w:rsid w:val="00CA2AE1"/>
    <w:rsid w:val="00CA2AE8"/>
    <w:rsid w:val="00CA2AFC"/>
    <w:rsid w:val="00CA2C80"/>
    <w:rsid w:val="00CA2DCD"/>
    <w:rsid w:val="00CA2F8A"/>
    <w:rsid w:val="00CA3068"/>
    <w:rsid w:val="00CA30BC"/>
    <w:rsid w:val="00CA36D1"/>
    <w:rsid w:val="00CA3B5A"/>
    <w:rsid w:val="00CA3E4E"/>
    <w:rsid w:val="00CA3F97"/>
    <w:rsid w:val="00CA3FF1"/>
    <w:rsid w:val="00CA444D"/>
    <w:rsid w:val="00CA467D"/>
    <w:rsid w:val="00CA47C7"/>
    <w:rsid w:val="00CA48A3"/>
    <w:rsid w:val="00CA4D54"/>
    <w:rsid w:val="00CA4D76"/>
    <w:rsid w:val="00CA4F92"/>
    <w:rsid w:val="00CA4FD1"/>
    <w:rsid w:val="00CA51A1"/>
    <w:rsid w:val="00CA53A5"/>
    <w:rsid w:val="00CA5486"/>
    <w:rsid w:val="00CA5666"/>
    <w:rsid w:val="00CA5805"/>
    <w:rsid w:val="00CA60A9"/>
    <w:rsid w:val="00CA62ED"/>
    <w:rsid w:val="00CA690C"/>
    <w:rsid w:val="00CA6943"/>
    <w:rsid w:val="00CA6952"/>
    <w:rsid w:val="00CA6BC9"/>
    <w:rsid w:val="00CA6E06"/>
    <w:rsid w:val="00CA7280"/>
    <w:rsid w:val="00CA7297"/>
    <w:rsid w:val="00CA77E5"/>
    <w:rsid w:val="00CA796E"/>
    <w:rsid w:val="00CA7A89"/>
    <w:rsid w:val="00CA7BFC"/>
    <w:rsid w:val="00CA7CD5"/>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D2C"/>
    <w:rsid w:val="00CB3E76"/>
    <w:rsid w:val="00CB4273"/>
    <w:rsid w:val="00CB4A37"/>
    <w:rsid w:val="00CB4BC2"/>
    <w:rsid w:val="00CB4DFE"/>
    <w:rsid w:val="00CB50D4"/>
    <w:rsid w:val="00CB5220"/>
    <w:rsid w:val="00CB52DB"/>
    <w:rsid w:val="00CB53A4"/>
    <w:rsid w:val="00CB5810"/>
    <w:rsid w:val="00CB5EBF"/>
    <w:rsid w:val="00CB5F6C"/>
    <w:rsid w:val="00CB5FB2"/>
    <w:rsid w:val="00CB60BC"/>
    <w:rsid w:val="00CB62AE"/>
    <w:rsid w:val="00CB6824"/>
    <w:rsid w:val="00CB68F4"/>
    <w:rsid w:val="00CB6A1F"/>
    <w:rsid w:val="00CB6DC2"/>
    <w:rsid w:val="00CB7087"/>
    <w:rsid w:val="00CB718B"/>
    <w:rsid w:val="00CB71EB"/>
    <w:rsid w:val="00CB74C0"/>
    <w:rsid w:val="00CB750F"/>
    <w:rsid w:val="00CB7D73"/>
    <w:rsid w:val="00CB7E15"/>
    <w:rsid w:val="00CC011D"/>
    <w:rsid w:val="00CC028B"/>
    <w:rsid w:val="00CC0706"/>
    <w:rsid w:val="00CC0708"/>
    <w:rsid w:val="00CC0B03"/>
    <w:rsid w:val="00CC10F9"/>
    <w:rsid w:val="00CC11DD"/>
    <w:rsid w:val="00CC12A1"/>
    <w:rsid w:val="00CC1672"/>
    <w:rsid w:val="00CC1D05"/>
    <w:rsid w:val="00CC2112"/>
    <w:rsid w:val="00CC296B"/>
    <w:rsid w:val="00CC2A86"/>
    <w:rsid w:val="00CC2BAF"/>
    <w:rsid w:val="00CC2CC9"/>
    <w:rsid w:val="00CC2E0A"/>
    <w:rsid w:val="00CC2E8D"/>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019"/>
    <w:rsid w:val="00CC71AB"/>
    <w:rsid w:val="00CC73F8"/>
    <w:rsid w:val="00CC7638"/>
    <w:rsid w:val="00CC7C47"/>
    <w:rsid w:val="00CD0031"/>
    <w:rsid w:val="00CD0059"/>
    <w:rsid w:val="00CD02BD"/>
    <w:rsid w:val="00CD0D77"/>
    <w:rsid w:val="00CD0FB3"/>
    <w:rsid w:val="00CD10FC"/>
    <w:rsid w:val="00CD139C"/>
    <w:rsid w:val="00CD16D7"/>
    <w:rsid w:val="00CD1917"/>
    <w:rsid w:val="00CD1B95"/>
    <w:rsid w:val="00CD1BDF"/>
    <w:rsid w:val="00CD1E04"/>
    <w:rsid w:val="00CD25F6"/>
    <w:rsid w:val="00CD2B5B"/>
    <w:rsid w:val="00CD2E17"/>
    <w:rsid w:val="00CD2F96"/>
    <w:rsid w:val="00CD34C3"/>
    <w:rsid w:val="00CD3593"/>
    <w:rsid w:val="00CD3604"/>
    <w:rsid w:val="00CD3909"/>
    <w:rsid w:val="00CD397C"/>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838"/>
    <w:rsid w:val="00CD684E"/>
    <w:rsid w:val="00CD6896"/>
    <w:rsid w:val="00CD68F9"/>
    <w:rsid w:val="00CD6A80"/>
    <w:rsid w:val="00CD6B85"/>
    <w:rsid w:val="00CD6B8F"/>
    <w:rsid w:val="00CD6BD0"/>
    <w:rsid w:val="00CD6DCB"/>
    <w:rsid w:val="00CD6F3E"/>
    <w:rsid w:val="00CD77EA"/>
    <w:rsid w:val="00CD7BC0"/>
    <w:rsid w:val="00CE075D"/>
    <w:rsid w:val="00CE096A"/>
    <w:rsid w:val="00CE09C2"/>
    <w:rsid w:val="00CE0A59"/>
    <w:rsid w:val="00CE0B00"/>
    <w:rsid w:val="00CE0D8E"/>
    <w:rsid w:val="00CE0E56"/>
    <w:rsid w:val="00CE10A4"/>
    <w:rsid w:val="00CE12EB"/>
    <w:rsid w:val="00CE17DD"/>
    <w:rsid w:val="00CE1A52"/>
    <w:rsid w:val="00CE1F2E"/>
    <w:rsid w:val="00CE1FF3"/>
    <w:rsid w:val="00CE2016"/>
    <w:rsid w:val="00CE219F"/>
    <w:rsid w:val="00CE2D9C"/>
    <w:rsid w:val="00CE2FF0"/>
    <w:rsid w:val="00CE3257"/>
    <w:rsid w:val="00CE3773"/>
    <w:rsid w:val="00CE3D30"/>
    <w:rsid w:val="00CE4780"/>
    <w:rsid w:val="00CE49FD"/>
    <w:rsid w:val="00CE5087"/>
    <w:rsid w:val="00CE5210"/>
    <w:rsid w:val="00CE524E"/>
    <w:rsid w:val="00CE5BC9"/>
    <w:rsid w:val="00CE5D96"/>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BD"/>
    <w:rsid w:val="00CF18D2"/>
    <w:rsid w:val="00CF1941"/>
    <w:rsid w:val="00CF1AEE"/>
    <w:rsid w:val="00CF255F"/>
    <w:rsid w:val="00CF294E"/>
    <w:rsid w:val="00CF29B6"/>
    <w:rsid w:val="00CF2A1A"/>
    <w:rsid w:val="00CF2C34"/>
    <w:rsid w:val="00CF2E2E"/>
    <w:rsid w:val="00CF3019"/>
    <w:rsid w:val="00CF3446"/>
    <w:rsid w:val="00CF3507"/>
    <w:rsid w:val="00CF3511"/>
    <w:rsid w:val="00CF3526"/>
    <w:rsid w:val="00CF3C61"/>
    <w:rsid w:val="00CF3E93"/>
    <w:rsid w:val="00CF44B8"/>
    <w:rsid w:val="00CF4957"/>
    <w:rsid w:val="00CF4AC7"/>
    <w:rsid w:val="00CF4C48"/>
    <w:rsid w:val="00CF4D2F"/>
    <w:rsid w:val="00CF4E93"/>
    <w:rsid w:val="00CF5000"/>
    <w:rsid w:val="00CF5012"/>
    <w:rsid w:val="00CF5AA9"/>
    <w:rsid w:val="00CF6958"/>
    <w:rsid w:val="00CF6BD3"/>
    <w:rsid w:val="00CF719F"/>
    <w:rsid w:val="00CF722A"/>
    <w:rsid w:val="00CF739C"/>
    <w:rsid w:val="00CF7455"/>
    <w:rsid w:val="00CF74C0"/>
    <w:rsid w:val="00CF75C7"/>
    <w:rsid w:val="00CF7630"/>
    <w:rsid w:val="00CF7788"/>
    <w:rsid w:val="00CF7B6F"/>
    <w:rsid w:val="00CF7BBE"/>
    <w:rsid w:val="00CF7FE3"/>
    <w:rsid w:val="00D00415"/>
    <w:rsid w:val="00D007D5"/>
    <w:rsid w:val="00D00D87"/>
    <w:rsid w:val="00D01179"/>
    <w:rsid w:val="00D01555"/>
    <w:rsid w:val="00D0163B"/>
    <w:rsid w:val="00D02619"/>
    <w:rsid w:val="00D0281A"/>
    <w:rsid w:val="00D02945"/>
    <w:rsid w:val="00D02B03"/>
    <w:rsid w:val="00D02B57"/>
    <w:rsid w:val="00D02CE3"/>
    <w:rsid w:val="00D02EF3"/>
    <w:rsid w:val="00D02FB0"/>
    <w:rsid w:val="00D030C4"/>
    <w:rsid w:val="00D031BD"/>
    <w:rsid w:val="00D032E1"/>
    <w:rsid w:val="00D033A4"/>
    <w:rsid w:val="00D036D7"/>
    <w:rsid w:val="00D039B2"/>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4E"/>
    <w:rsid w:val="00D0637F"/>
    <w:rsid w:val="00D065BC"/>
    <w:rsid w:val="00D06785"/>
    <w:rsid w:val="00D067B0"/>
    <w:rsid w:val="00D07037"/>
    <w:rsid w:val="00D076BB"/>
    <w:rsid w:val="00D077F3"/>
    <w:rsid w:val="00D10061"/>
    <w:rsid w:val="00D10142"/>
    <w:rsid w:val="00D101FA"/>
    <w:rsid w:val="00D104DD"/>
    <w:rsid w:val="00D104E3"/>
    <w:rsid w:val="00D1082C"/>
    <w:rsid w:val="00D10A4D"/>
    <w:rsid w:val="00D10C04"/>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12C"/>
    <w:rsid w:val="00D14314"/>
    <w:rsid w:val="00D143B8"/>
    <w:rsid w:val="00D146D3"/>
    <w:rsid w:val="00D149AF"/>
    <w:rsid w:val="00D14F87"/>
    <w:rsid w:val="00D1526E"/>
    <w:rsid w:val="00D1581D"/>
    <w:rsid w:val="00D158D8"/>
    <w:rsid w:val="00D15C37"/>
    <w:rsid w:val="00D15E66"/>
    <w:rsid w:val="00D15EBD"/>
    <w:rsid w:val="00D160B8"/>
    <w:rsid w:val="00D163FC"/>
    <w:rsid w:val="00D164A3"/>
    <w:rsid w:val="00D165C4"/>
    <w:rsid w:val="00D166DA"/>
    <w:rsid w:val="00D16862"/>
    <w:rsid w:val="00D16B8C"/>
    <w:rsid w:val="00D16C91"/>
    <w:rsid w:val="00D16D44"/>
    <w:rsid w:val="00D16EAF"/>
    <w:rsid w:val="00D170CB"/>
    <w:rsid w:val="00D171B2"/>
    <w:rsid w:val="00D174FE"/>
    <w:rsid w:val="00D1763A"/>
    <w:rsid w:val="00D17692"/>
    <w:rsid w:val="00D17A79"/>
    <w:rsid w:val="00D17AF1"/>
    <w:rsid w:val="00D17D14"/>
    <w:rsid w:val="00D17DAC"/>
    <w:rsid w:val="00D17DDD"/>
    <w:rsid w:val="00D17EC2"/>
    <w:rsid w:val="00D17F9C"/>
    <w:rsid w:val="00D202C5"/>
    <w:rsid w:val="00D203E6"/>
    <w:rsid w:val="00D20700"/>
    <w:rsid w:val="00D20CE4"/>
    <w:rsid w:val="00D20FD4"/>
    <w:rsid w:val="00D21187"/>
    <w:rsid w:val="00D21253"/>
    <w:rsid w:val="00D212B7"/>
    <w:rsid w:val="00D212BF"/>
    <w:rsid w:val="00D2131D"/>
    <w:rsid w:val="00D214DE"/>
    <w:rsid w:val="00D21523"/>
    <w:rsid w:val="00D2158E"/>
    <w:rsid w:val="00D219CE"/>
    <w:rsid w:val="00D21E2F"/>
    <w:rsid w:val="00D222F3"/>
    <w:rsid w:val="00D23263"/>
    <w:rsid w:val="00D2333A"/>
    <w:rsid w:val="00D2343F"/>
    <w:rsid w:val="00D23451"/>
    <w:rsid w:val="00D2345B"/>
    <w:rsid w:val="00D237A7"/>
    <w:rsid w:val="00D237E2"/>
    <w:rsid w:val="00D23811"/>
    <w:rsid w:val="00D23A6F"/>
    <w:rsid w:val="00D23C35"/>
    <w:rsid w:val="00D24145"/>
    <w:rsid w:val="00D24191"/>
    <w:rsid w:val="00D245AA"/>
    <w:rsid w:val="00D2461D"/>
    <w:rsid w:val="00D24665"/>
    <w:rsid w:val="00D2467B"/>
    <w:rsid w:val="00D2483C"/>
    <w:rsid w:val="00D24BAF"/>
    <w:rsid w:val="00D24D8C"/>
    <w:rsid w:val="00D24E34"/>
    <w:rsid w:val="00D24FD0"/>
    <w:rsid w:val="00D2501F"/>
    <w:rsid w:val="00D251E6"/>
    <w:rsid w:val="00D25307"/>
    <w:rsid w:val="00D2539C"/>
    <w:rsid w:val="00D254E9"/>
    <w:rsid w:val="00D25520"/>
    <w:rsid w:val="00D255CF"/>
    <w:rsid w:val="00D255ED"/>
    <w:rsid w:val="00D260DA"/>
    <w:rsid w:val="00D262B1"/>
    <w:rsid w:val="00D2678E"/>
    <w:rsid w:val="00D26863"/>
    <w:rsid w:val="00D2694C"/>
    <w:rsid w:val="00D26D9B"/>
    <w:rsid w:val="00D26DD4"/>
    <w:rsid w:val="00D26F57"/>
    <w:rsid w:val="00D271C9"/>
    <w:rsid w:val="00D272A2"/>
    <w:rsid w:val="00D276BB"/>
    <w:rsid w:val="00D27853"/>
    <w:rsid w:val="00D27F1C"/>
    <w:rsid w:val="00D301A2"/>
    <w:rsid w:val="00D304E0"/>
    <w:rsid w:val="00D30A13"/>
    <w:rsid w:val="00D30AE0"/>
    <w:rsid w:val="00D310AE"/>
    <w:rsid w:val="00D31270"/>
    <w:rsid w:val="00D31763"/>
    <w:rsid w:val="00D31DCF"/>
    <w:rsid w:val="00D32155"/>
    <w:rsid w:val="00D321B8"/>
    <w:rsid w:val="00D3227A"/>
    <w:rsid w:val="00D3239C"/>
    <w:rsid w:val="00D32442"/>
    <w:rsid w:val="00D32559"/>
    <w:rsid w:val="00D3255F"/>
    <w:rsid w:val="00D3284E"/>
    <w:rsid w:val="00D3285D"/>
    <w:rsid w:val="00D3296E"/>
    <w:rsid w:val="00D32B2F"/>
    <w:rsid w:val="00D3307C"/>
    <w:rsid w:val="00D331A9"/>
    <w:rsid w:val="00D331F1"/>
    <w:rsid w:val="00D33370"/>
    <w:rsid w:val="00D3342A"/>
    <w:rsid w:val="00D33581"/>
    <w:rsid w:val="00D33986"/>
    <w:rsid w:val="00D33AC0"/>
    <w:rsid w:val="00D33D9E"/>
    <w:rsid w:val="00D34313"/>
    <w:rsid w:val="00D3434A"/>
    <w:rsid w:val="00D34379"/>
    <w:rsid w:val="00D34BE6"/>
    <w:rsid w:val="00D34F04"/>
    <w:rsid w:val="00D34FB1"/>
    <w:rsid w:val="00D350AF"/>
    <w:rsid w:val="00D350C7"/>
    <w:rsid w:val="00D353D1"/>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42C"/>
    <w:rsid w:val="00D42591"/>
    <w:rsid w:val="00D4312C"/>
    <w:rsid w:val="00D433C8"/>
    <w:rsid w:val="00D43E00"/>
    <w:rsid w:val="00D43FDC"/>
    <w:rsid w:val="00D43FEA"/>
    <w:rsid w:val="00D440C4"/>
    <w:rsid w:val="00D44172"/>
    <w:rsid w:val="00D4421B"/>
    <w:rsid w:val="00D4444E"/>
    <w:rsid w:val="00D445E6"/>
    <w:rsid w:val="00D447BF"/>
    <w:rsid w:val="00D449C1"/>
    <w:rsid w:val="00D44A16"/>
    <w:rsid w:val="00D45A9E"/>
    <w:rsid w:val="00D45B10"/>
    <w:rsid w:val="00D45E05"/>
    <w:rsid w:val="00D45F34"/>
    <w:rsid w:val="00D461C9"/>
    <w:rsid w:val="00D462E4"/>
    <w:rsid w:val="00D467FA"/>
    <w:rsid w:val="00D4689B"/>
    <w:rsid w:val="00D4689C"/>
    <w:rsid w:val="00D46E18"/>
    <w:rsid w:val="00D472FC"/>
    <w:rsid w:val="00D47C7E"/>
    <w:rsid w:val="00D50409"/>
    <w:rsid w:val="00D50510"/>
    <w:rsid w:val="00D508D0"/>
    <w:rsid w:val="00D50DDA"/>
    <w:rsid w:val="00D50DED"/>
    <w:rsid w:val="00D50ECC"/>
    <w:rsid w:val="00D511DD"/>
    <w:rsid w:val="00D514FE"/>
    <w:rsid w:val="00D516AB"/>
    <w:rsid w:val="00D518CF"/>
    <w:rsid w:val="00D519DB"/>
    <w:rsid w:val="00D51D27"/>
    <w:rsid w:val="00D51D4B"/>
    <w:rsid w:val="00D51E95"/>
    <w:rsid w:val="00D51F30"/>
    <w:rsid w:val="00D5203E"/>
    <w:rsid w:val="00D5219F"/>
    <w:rsid w:val="00D52398"/>
    <w:rsid w:val="00D5282D"/>
    <w:rsid w:val="00D52E71"/>
    <w:rsid w:val="00D52FBC"/>
    <w:rsid w:val="00D532AA"/>
    <w:rsid w:val="00D53589"/>
    <w:rsid w:val="00D5380F"/>
    <w:rsid w:val="00D53815"/>
    <w:rsid w:val="00D53833"/>
    <w:rsid w:val="00D540FA"/>
    <w:rsid w:val="00D542C1"/>
    <w:rsid w:val="00D54599"/>
    <w:rsid w:val="00D54A66"/>
    <w:rsid w:val="00D54C35"/>
    <w:rsid w:val="00D54CEC"/>
    <w:rsid w:val="00D54D41"/>
    <w:rsid w:val="00D54DED"/>
    <w:rsid w:val="00D54EAF"/>
    <w:rsid w:val="00D55106"/>
    <w:rsid w:val="00D551FD"/>
    <w:rsid w:val="00D5521B"/>
    <w:rsid w:val="00D55225"/>
    <w:rsid w:val="00D55561"/>
    <w:rsid w:val="00D55763"/>
    <w:rsid w:val="00D55CAA"/>
    <w:rsid w:val="00D55CED"/>
    <w:rsid w:val="00D55F06"/>
    <w:rsid w:val="00D55F8B"/>
    <w:rsid w:val="00D566C7"/>
    <w:rsid w:val="00D567E1"/>
    <w:rsid w:val="00D56A30"/>
    <w:rsid w:val="00D56CA6"/>
    <w:rsid w:val="00D57491"/>
    <w:rsid w:val="00D57A4B"/>
    <w:rsid w:val="00D57A61"/>
    <w:rsid w:val="00D57C03"/>
    <w:rsid w:val="00D60077"/>
    <w:rsid w:val="00D601E6"/>
    <w:rsid w:val="00D60296"/>
    <w:rsid w:val="00D60743"/>
    <w:rsid w:val="00D609C0"/>
    <w:rsid w:val="00D60DE4"/>
    <w:rsid w:val="00D60E3E"/>
    <w:rsid w:val="00D6125B"/>
    <w:rsid w:val="00D61438"/>
    <w:rsid w:val="00D61583"/>
    <w:rsid w:val="00D619E2"/>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141"/>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EDB"/>
    <w:rsid w:val="00D7025B"/>
    <w:rsid w:val="00D704E5"/>
    <w:rsid w:val="00D70A73"/>
    <w:rsid w:val="00D70C0A"/>
    <w:rsid w:val="00D71178"/>
    <w:rsid w:val="00D71264"/>
    <w:rsid w:val="00D717BB"/>
    <w:rsid w:val="00D718B4"/>
    <w:rsid w:val="00D71D41"/>
    <w:rsid w:val="00D722F2"/>
    <w:rsid w:val="00D72331"/>
    <w:rsid w:val="00D72391"/>
    <w:rsid w:val="00D7279E"/>
    <w:rsid w:val="00D72902"/>
    <w:rsid w:val="00D72D3C"/>
    <w:rsid w:val="00D72D42"/>
    <w:rsid w:val="00D72FE9"/>
    <w:rsid w:val="00D738D4"/>
    <w:rsid w:val="00D73AE7"/>
    <w:rsid w:val="00D73B6D"/>
    <w:rsid w:val="00D741C2"/>
    <w:rsid w:val="00D741CE"/>
    <w:rsid w:val="00D74232"/>
    <w:rsid w:val="00D74352"/>
    <w:rsid w:val="00D7473A"/>
    <w:rsid w:val="00D74882"/>
    <w:rsid w:val="00D74893"/>
    <w:rsid w:val="00D74913"/>
    <w:rsid w:val="00D755EE"/>
    <w:rsid w:val="00D758AB"/>
    <w:rsid w:val="00D759E0"/>
    <w:rsid w:val="00D75B73"/>
    <w:rsid w:val="00D75DC5"/>
    <w:rsid w:val="00D75DFA"/>
    <w:rsid w:val="00D76007"/>
    <w:rsid w:val="00D76032"/>
    <w:rsid w:val="00D764F2"/>
    <w:rsid w:val="00D76A39"/>
    <w:rsid w:val="00D76CEC"/>
    <w:rsid w:val="00D76FBD"/>
    <w:rsid w:val="00D801C7"/>
    <w:rsid w:val="00D80252"/>
    <w:rsid w:val="00D80359"/>
    <w:rsid w:val="00D80BB0"/>
    <w:rsid w:val="00D80CC9"/>
    <w:rsid w:val="00D80ECF"/>
    <w:rsid w:val="00D80FF9"/>
    <w:rsid w:val="00D8148B"/>
    <w:rsid w:val="00D81571"/>
    <w:rsid w:val="00D8184C"/>
    <w:rsid w:val="00D81A71"/>
    <w:rsid w:val="00D81C3E"/>
    <w:rsid w:val="00D81CB2"/>
    <w:rsid w:val="00D82110"/>
    <w:rsid w:val="00D822E4"/>
    <w:rsid w:val="00D823E4"/>
    <w:rsid w:val="00D8240A"/>
    <w:rsid w:val="00D82472"/>
    <w:rsid w:val="00D82849"/>
    <w:rsid w:val="00D8285B"/>
    <w:rsid w:val="00D83081"/>
    <w:rsid w:val="00D839E9"/>
    <w:rsid w:val="00D83A5E"/>
    <w:rsid w:val="00D83C91"/>
    <w:rsid w:val="00D83E10"/>
    <w:rsid w:val="00D8434E"/>
    <w:rsid w:val="00D84418"/>
    <w:rsid w:val="00D84527"/>
    <w:rsid w:val="00D84C25"/>
    <w:rsid w:val="00D84CE1"/>
    <w:rsid w:val="00D84D13"/>
    <w:rsid w:val="00D84E86"/>
    <w:rsid w:val="00D85348"/>
    <w:rsid w:val="00D8537C"/>
    <w:rsid w:val="00D8543E"/>
    <w:rsid w:val="00D85A3B"/>
    <w:rsid w:val="00D85D8D"/>
    <w:rsid w:val="00D862A5"/>
    <w:rsid w:val="00D867D2"/>
    <w:rsid w:val="00D8686F"/>
    <w:rsid w:val="00D86A96"/>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5B0"/>
    <w:rsid w:val="00D925E8"/>
    <w:rsid w:val="00D92AA1"/>
    <w:rsid w:val="00D92D45"/>
    <w:rsid w:val="00D92E04"/>
    <w:rsid w:val="00D935F1"/>
    <w:rsid w:val="00D93661"/>
    <w:rsid w:val="00D93C62"/>
    <w:rsid w:val="00D94153"/>
    <w:rsid w:val="00D943A3"/>
    <w:rsid w:val="00D946D7"/>
    <w:rsid w:val="00D948E4"/>
    <w:rsid w:val="00D94B6D"/>
    <w:rsid w:val="00D94BE4"/>
    <w:rsid w:val="00D9503A"/>
    <w:rsid w:val="00D951AD"/>
    <w:rsid w:val="00D952A5"/>
    <w:rsid w:val="00D953CC"/>
    <w:rsid w:val="00D95578"/>
    <w:rsid w:val="00D96212"/>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D1"/>
    <w:rsid w:val="00D97347"/>
    <w:rsid w:val="00DA0018"/>
    <w:rsid w:val="00DA01B9"/>
    <w:rsid w:val="00DA0352"/>
    <w:rsid w:val="00DA0497"/>
    <w:rsid w:val="00DA0678"/>
    <w:rsid w:val="00DA0A6A"/>
    <w:rsid w:val="00DA0CDD"/>
    <w:rsid w:val="00DA13AD"/>
    <w:rsid w:val="00DA19D4"/>
    <w:rsid w:val="00DA1A47"/>
    <w:rsid w:val="00DA1A57"/>
    <w:rsid w:val="00DA1C12"/>
    <w:rsid w:val="00DA1CA3"/>
    <w:rsid w:val="00DA2630"/>
    <w:rsid w:val="00DA2661"/>
    <w:rsid w:val="00DA2864"/>
    <w:rsid w:val="00DA2C5B"/>
    <w:rsid w:val="00DA2FAF"/>
    <w:rsid w:val="00DA3078"/>
    <w:rsid w:val="00DA3282"/>
    <w:rsid w:val="00DA33BE"/>
    <w:rsid w:val="00DA356B"/>
    <w:rsid w:val="00DA3584"/>
    <w:rsid w:val="00DA3719"/>
    <w:rsid w:val="00DA39AF"/>
    <w:rsid w:val="00DA41D7"/>
    <w:rsid w:val="00DA4322"/>
    <w:rsid w:val="00DA4978"/>
    <w:rsid w:val="00DA49C7"/>
    <w:rsid w:val="00DA4BA5"/>
    <w:rsid w:val="00DA51A9"/>
    <w:rsid w:val="00DA5816"/>
    <w:rsid w:val="00DA5A68"/>
    <w:rsid w:val="00DA5D08"/>
    <w:rsid w:val="00DA5F3B"/>
    <w:rsid w:val="00DA5FC3"/>
    <w:rsid w:val="00DA6004"/>
    <w:rsid w:val="00DA6122"/>
    <w:rsid w:val="00DA6275"/>
    <w:rsid w:val="00DA6302"/>
    <w:rsid w:val="00DA635F"/>
    <w:rsid w:val="00DA64ED"/>
    <w:rsid w:val="00DA681E"/>
    <w:rsid w:val="00DA68C4"/>
    <w:rsid w:val="00DA6DB6"/>
    <w:rsid w:val="00DA6F17"/>
    <w:rsid w:val="00DA78E7"/>
    <w:rsid w:val="00DB006F"/>
    <w:rsid w:val="00DB0127"/>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44"/>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D6C"/>
    <w:rsid w:val="00DB7E01"/>
    <w:rsid w:val="00DB7E87"/>
    <w:rsid w:val="00DB7FCA"/>
    <w:rsid w:val="00DC00C5"/>
    <w:rsid w:val="00DC02B3"/>
    <w:rsid w:val="00DC09C2"/>
    <w:rsid w:val="00DC0C44"/>
    <w:rsid w:val="00DC11F0"/>
    <w:rsid w:val="00DC1633"/>
    <w:rsid w:val="00DC199A"/>
    <w:rsid w:val="00DC19D3"/>
    <w:rsid w:val="00DC1E3C"/>
    <w:rsid w:val="00DC2068"/>
    <w:rsid w:val="00DC228E"/>
    <w:rsid w:val="00DC231A"/>
    <w:rsid w:val="00DC26AC"/>
    <w:rsid w:val="00DC2757"/>
    <w:rsid w:val="00DC27E1"/>
    <w:rsid w:val="00DC28E0"/>
    <w:rsid w:val="00DC2F7A"/>
    <w:rsid w:val="00DC3066"/>
    <w:rsid w:val="00DC30FF"/>
    <w:rsid w:val="00DC342A"/>
    <w:rsid w:val="00DC3582"/>
    <w:rsid w:val="00DC3769"/>
    <w:rsid w:val="00DC4385"/>
    <w:rsid w:val="00DC456C"/>
    <w:rsid w:val="00DC4653"/>
    <w:rsid w:val="00DC4CA6"/>
    <w:rsid w:val="00DC4DE8"/>
    <w:rsid w:val="00DC4EE1"/>
    <w:rsid w:val="00DC4F22"/>
    <w:rsid w:val="00DC5174"/>
    <w:rsid w:val="00DC5467"/>
    <w:rsid w:val="00DC57B3"/>
    <w:rsid w:val="00DC58E4"/>
    <w:rsid w:val="00DC5BD3"/>
    <w:rsid w:val="00DC60CC"/>
    <w:rsid w:val="00DC6786"/>
    <w:rsid w:val="00DC6E69"/>
    <w:rsid w:val="00DC725F"/>
    <w:rsid w:val="00DC73DA"/>
    <w:rsid w:val="00DC7483"/>
    <w:rsid w:val="00DC750F"/>
    <w:rsid w:val="00DC78E1"/>
    <w:rsid w:val="00DC7D98"/>
    <w:rsid w:val="00DC7E68"/>
    <w:rsid w:val="00DD0368"/>
    <w:rsid w:val="00DD07C5"/>
    <w:rsid w:val="00DD0860"/>
    <w:rsid w:val="00DD0ECF"/>
    <w:rsid w:val="00DD0FCD"/>
    <w:rsid w:val="00DD10AF"/>
    <w:rsid w:val="00DD114C"/>
    <w:rsid w:val="00DD161F"/>
    <w:rsid w:val="00DD17BD"/>
    <w:rsid w:val="00DD1862"/>
    <w:rsid w:val="00DD1A52"/>
    <w:rsid w:val="00DD1C2B"/>
    <w:rsid w:val="00DD1E35"/>
    <w:rsid w:val="00DD1EDA"/>
    <w:rsid w:val="00DD2111"/>
    <w:rsid w:val="00DD237E"/>
    <w:rsid w:val="00DD256F"/>
    <w:rsid w:val="00DD2C3B"/>
    <w:rsid w:val="00DD2D0E"/>
    <w:rsid w:val="00DD3FE9"/>
    <w:rsid w:val="00DD4173"/>
    <w:rsid w:val="00DD47C9"/>
    <w:rsid w:val="00DD4A14"/>
    <w:rsid w:val="00DD4AB7"/>
    <w:rsid w:val="00DD4AD8"/>
    <w:rsid w:val="00DD4E61"/>
    <w:rsid w:val="00DD50A9"/>
    <w:rsid w:val="00DD55C0"/>
    <w:rsid w:val="00DD5E51"/>
    <w:rsid w:val="00DD63C8"/>
    <w:rsid w:val="00DD6A3C"/>
    <w:rsid w:val="00DD6BDF"/>
    <w:rsid w:val="00DD6CD6"/>
    <w:rsid w:val="00DD7027"/>
    <w:rsid w:val="00DD76EF"/>
    <w:rsid w:val="00DD7BF9"/>
    <w:rsid w:val="00DE0386"/>
    <w:rsid w:val="00DE0CA3"/>
    <w:rsid w:val="00DE1136"/>
    <w:rsid w:val="00DE1186"/>
    <w:rsid w:val="00DE120C"/>
    <w:rsid w:val="00DE166B"/>
    <w:rsid w:val="00DE19FA"/>
    <w:rsid w:val="00DE1A0F"/>
    <w:rsid w:val="00DE1C41"/>
    <w:rsid w:val="00DE2320"/>
    <w:rsid w:val="00DE2628"/>
    <w:rsid w:val="00DE2692"/>
    <w:rsid w:val="00DE2958"/>
    <w:rsid w:val="00DE29F9"/>
    <w:rsid w:val="00DE2AD2"/>
    <w:rsid w:val="00DE2D50"/>
    <w:rsid w:val="00DE2F92"/>
    <w:rsid w:val="00DE32E9"/>
    <w:rsid w:val="00DE367F"/>
    <w:rsid w:val="00DE37F7"/>
    <w:rsid w:val="00DE3EE9"/>
    <w:rsid w:val="00DE4318"/>
    <w:rsid w:val="00DE48B3"/>
    <w:rsid w:val="00DE4D0C"/>
    <w:rsid w:val="00DE4DE2"/>
    <w:rsid w:val="00DE52B6"/>
    <w:rsid w:val="00DE5AAE"/>
    <w:rsid w:val="00DE64CA"/>
    <w:rsid w:val="00DE65F1"/>
    <w:rsid w:val="00DE6649"/>
    <w:rsid w:val="00DE6E04"/>
    <w:rsid w:val="00DE712C"/>
    <w:rsid w:val="00DE7190"/>
    <w:rsid w:val="00DE726B"/>
    <w:rsid w:val="00DE74E7"/>
    <w:rsid w:val="00DE7770"/>
    <w:rsid w:val="00DE788D"/>
    <w:rsid w:val="00DE79BA"/>
    <w:rsid w:val="00DE7CAA"/>
    <w:rsid w:val="00DE7D84"/>
    <w:rsid w:val="00DF019D"/>
    <w:rsid w:val="00DF0206"/>
    <w:rsid w:val="00DF03E5"/>
    <w:rsid w:val="00DF08AE"/>
    <w:rsid w:val="00DF0B28"/>
    <w:rsid w:val="00DF0B42"/>
    <w:rsid w:val="00DF0D4A"/>
    <w:rsid w:val="00DF106A"/>
    <w:rsid w:val="00DF12C9"/>
    <w:rsid w:val="00DF13E0"/>
    <w:rsid w:val="00DF1492"/>
    <w:rsid w:val="00DF1677"/>
    <w:rsid w:val="00DF1813"/>
    <w:rsid w:val="00DF190D"/>
    <w:rsid w:val="00DF1C33"/>
    <w:rsid w:val="00DF1DEC"/>
    <w:rsid w:val="00DF2375"/>
    <w:rsid w:val="00DF2378"/>
    <w:rsid w:val="00DF243E"/>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66"/>
    <w:rsid w:val="00DF5D94"/>
    <w:rsid w:val="00DF5F9B"/>
    <w:rsid w:val="00DF60E3"/>
    <w:rsid w:val="00DF60FF"/>
    <w:rsid w:val="00DF61AC"/>
    <w:rsid w:val="00DF6262"/>
    <w:rsid w:val="00DF6270"/>
    <w:rsid w:val="00DF62E4"/>
    <w:rsid w:val="00DF6603"/>
    <w:rsid w:val="00DF6660"/>
    <w:rsid w:val="00DF666E"/>
    <w:rsid w:val="00DF6BEB"/>
    <w:rsid w:val="00DF6E4C"/>
    <w:rsid w:val="00DF6F03"/>
    <w:rsid w:val="00DF712C"/>
    <w:rsid w:val="00DF73E9"/>
    <w:rsid w:val="00E004C0"/>
    <w:rsid w:val="00E00733"/>
    <w:rsid w:val="00E00749"/>
    <w:rsid w:val="00E00863"/>
    <w:rsid w:val="00E008C3"/>
    <w:rsid w:val="00E00F61"/>
    <w:rsid w:val="00E010C5"/>
    <w:rsid w:val="00E01254"/>
    <w:rsid w:val="00E0145F"/>
    <w:rsid w:val="00E01461"/>
    <w:rsid w:val="00E014B4"/>
    <w:rsid w:val="00E015B8"/>
    <w:rsid w:val="00E015DE"/>
    <w:rsid w:val="00E01786"/>
    <w:rsid w:val="00E01835"/>
    <w:rsid w:val="00E018E0"/>
    <w:rsid w:val="00E01986"/>
    <w:rsid w:val="00E01AD6"/>
    <w:rsid w:val="00E01BF8"/>
    <w:rsid w:val="00E01F91"/>
    <w:rsid w:val="00E02134"/>
    <w:rsid w:val="00E021BF"/>
    <w:rsid w:val="00E0272B"/>
    <w:rsid w:val="00E027CF"/>
    <w:rsid w:val="00E02D55"/>
    <w:rsid w:val="00E02DDA"/>
    <w:rsid w:val="00E036E4"/>
    <w:rsid w:val="00E03C28"/>
    <w:rsid w:val="00E03CB6"/>
    <w:rsid w:val="00E03E0C"/>
    <w:rsid w:val="00E03F54"/>
    <w:rsid w:val="00E03FF2"/>
    <w:rsid w:val="00E04537"/>
    <w:rsid w:val="00E045FE"/>
    <w:rsid w:val="00E047AF"/>
    <w:rsid w:val="00E04C46"/>
    <w:rsid w:val="00E04E67"/>
    <w:rsid w:val="00E04F58"/>
    <w:rsid w:val="00E0561E"/>
    <w:rsid w:val="00E0574C"/>
    <w:rsid w:val="00E05880"/>
    <w:rsid w:val="00E06615"/>
    <w:rsid w:val="00E066A4"/>
    <w:rsid w:val="00E07227"/>
    <w:rsid w:val="00E1005D"/>
    <w:rsid w:val="00E101E2"/>
    <w:rsid w:val="00E10711"/>
    <w:rsid w:val="00E10EAA"/>
    <w:rsid w:val="00E11264"/>
    <w:rsid w:val="00E116D2"/>
    <w:rsid w:val="00E118A2"/>
    <w:rsid w:val="00E11FC1"/>
    <w:rsid w:val="00E121A1"/>
    <w:rsid w:val="00E1246E"/>
    <w:rsid w:val="00E125D4"/>
    <w:rsid w:val="00E12714"/>
    <w:rsid w:val="00E127EE"/>
    <w:rsid w:val="00E128FD"/>
    <w:rsid w:val="00E12C60"/>
    <w:rsid w:val="00E12F98"/>
    <w:rsid w:val="00E1301E"/>
    <w:rsid w:val="00E13AEF"/>
    <w:rsid w:val="00E13EED"/>
    <w:rsid w:val="00E141A4"/>
    <w:rsid w:val="00E14302"/>
    <w:rsid w:val="00E14D8B"/>
    <w:rsid w:val="00E153A7"/>
    <w:rsid w:val="00E15851"/>
    <w:rsid w:val="00E15FE1"/>
    <w:rsid w:val="00E16109"/>
    <w:rsid w:val="00E16427"/>
    <w:rsid w:val="00E16E08"/>
    <w:rsid w:val="00E170BD"/>
    <w:rsid w:val="00E17C2C"/>
    <w:rsid w:val="00E17ED4"/>
    <w:rsid w:val="00E17FC7"/>
    <w:rsid w:val="00E20280"/>
    <w:rsid w:val="00E20CB9"/>
    <w:rsid w:val="00E20E0E"/>
    <w:rsid w:val="00E20E9A"/>
    <w:rsid w:val="00E21203"/>
    <w:rsid w:val="00E213DF"/>
    <w:rsid w:val="00E21BE1"/>
    <w:rsid w:val="00E21BE9"/>
    <w:rsid w:val="00E21D89"/>
    <w:rsid w:val="00E21DDC"/>
    <w:rsid w:val="00E21E69"/>
    <w:rsid w:val="00E21E83"/>
    <w:rsid w:val="00E225C7"/>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4FE1"/>
    <w:rsid w:val="00E251E2"/>
    <w:rsid w:val="00E252C7"/>
    <w:rsid w:val="00E25371"/>
    <w:rsid w:val="00E25403"/>
    <w:rsid w:val="00E254E6"/>
    <w:rsid w:val="00E25B68"/>
    <w:rsid w:val="00E25BF3"/>
    <w:rsid w:val="00E261B2"/>
    <w:rsid w:val="00E26254"/>
    <w:rsid w:val="00E262AA"/>
    <w:rsid w:val="00E2651F"/>
    <w:rsid w:val="00E26781"/>
    <w:rsid w:val="00E269D1"/>
    <w:rsid w:val="00E26C03"/>
    <w:rsid w:val="00E26CDF"/>
    <w:rsid w:val="00E27011"/>
    <w:rsid w:val="00E27094"/>
    <w:rsid w:val="00E2775F"/>
    <w:rsid w:val="00E27977"/>
    <w:rsid w:val="00E27B62"/>
    <w:rsid w:val="00E27D34"/>
    <w:rsid w:val="00E27D92"/>
    <w:rsid w:val="00E307B5"/>
    <w:rsid w:val="00E30A6F"/>
    <w:rsid w:val="00E30C61"/>
    <w:rsid w:val="00E30F62"/>
    <w:rsid w:val="00E31049"/>
    <w:rsid w:val="00E311FC"/>
    <w:rsid w:val="00E316C8"/>
    <w:rsid w:val="00E31725"/>
    <w:rsid w:val="00E319A3"/>
    <w:rsid w:val="00E31B50"/>
    <w:rsid w:val="00E3218D"/>
    <w:rsid w:val="00E32294"/>
    <w:rsid w:val="00E32360"/>
    <w:rsid w:val="00E323E1"/>
    <w:rsid w:val="00E32699"/>
    <w:rsid w:val="00E32D22"/>
    <w:rsid w:val="00E33140"/>
    <w:rsid w:val="00E336F1"/>
    <w:rsid w:val="00E33BD8"/>
    <w:rsid w:val="00E33C8A"/>
    <w:rsid w:val="00E33EC7"/>
    <w:rsid w:val="00E33F61"/>
    <w:rsid w:val="00E34174"/>
    <w:rsid w:val="00E346B6"/>
    <w:rsid w:val="00E3470A"/>
    <w:rsid w:val="00E34E25"/>
    <w:rsid w:val="00E35484"/>
    <w:rsid w:val="00E357B0"/>
    <w:rsid w:val="00E3587D"/>
    <w:rsid w:val="00E36534"/>
    <w:rsid w:val="00E36708"/>
    <w:rsid w:val="00E36963"/>
    <w:rsid w:val="00E36B77"/>
    <w:rsid w:val="00E36C26"/>
    <w:rsid w:val="00E36C8E"/>
    <w:rsid w:val="00E36D4F"/>
    <w:rsid w:val="00E36F20"/>
    <w:rsid w:val="00E3704D"/>
    <w:rsid w:val="00E37307"/>
    <w:rsid w:val="00E37A4F"/>
    <w:rsid w:val="00E37D9F"/>
    <w:rsid w:val="00E37EE1"/>
    <w:rsid w:val="00E40630"/>
    <w:rsid w:val="00E407DE"/>
    <w:rsid w:val="00E40B36"/>
    <w:rsid w:val="00E40CEE"/>
    <w:rsid w:val="00E4167D"/>
    <w:rsid w:val="00E418FF"/>
    <w:rsid w:val="00E41923"/>
    <w:rsid w:val="00E41CA2"/>
    <w:rsid w:val="00E424B9"/>
    <w:rsid w:val="00E429B4"/>
    <w:rsid w:val="00E42AC8"/>
    <w:rsid w:val="00E42BB6"/>
    <w:rsid w:val="00E42CB4"/>
    <w:rsid w:val="00E42D3F"/>
    <w:rsid w:val="00E42FD6"/>
    <w:rsid w:val="00E43074"/>
    <w:rsid w:val="00E43433"/>
    <w:rsid w:val="00E434F7"/>
    <w:rsid w:val="00E4353E"/>
    <w:rsid w:val="00E43C57"/>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236"/>
    <w:rsid w:val="00E47CE8"/>
    <w:rsid w:val="00E47D51"/>
    <w:rsid w:val="00E47E5B"/>
    <w:rsid w:val="00E47F52"/>
    <w:rsid w:val="00E50071"/>
    <w:rsid w:val="00E50651"/>
    <w:rsid w:val="00E50A0E"/>
    <w:rsid w:val="00E50BC6"/>
    <w:rsid w:val="00E50C35"/>
    <w:rsid w:val="00E50DB2"/>
    <w:rsid w:val="00E512FB"/>
    <w:rsid w:val="00E51DBC"/>
    <w:rsid w:val="00E51E53"/>
    <w:rsid w:val="00E522B2"/>
    <w:rsid w:val="00E522BC"/>
    <w:rsid w:val="00E5289A"/>
    <w:rsid w:val="00E529C3"/>
    <w:rsid w:val="00E52AF4"/>
    <w:rsid w:val="00E52B68"/>
    <w:rsid w:val="00E5340D"/>
    <w:rsid w:val="00E5363B"/>
    <w:rsid w:val="00E539DD"/>
    <w:rsid w:val="00E53DDA"/>
    <w:rsid w:val="00E53DF8"/>
    <w:rsid w:val="00E54033"/>
    <w:rsid w:val="00E543E0"/>
    <w:rsid w:val="00E544A3"/>
    <w:rsid w:val="00E545C6"/>
    <w:rsid w:val="00E54AAC"/>
    <w:rsid w:val="00E54D9C"/>
    <w:rsid w:val="00E54DB5"/>
    <w:rsid w:val="00E54DBA"/>
    <w:rsid w:val="00E55486"/>
    <w:rsid w:val="00E5576B"/>
    <w:rsid w:val="00E5595E"/>
    <w:rsid w:val="00E55AF7"/>
    <w:rsid w:val="00E55E38"/>
    <w:rsid w:val="00E55EDD"/>
    <w:rsid w:val="00E55F17"/>
    <w:rsid w:val="00E567CD"/>
    <w:rsid w:val="00E56F6A"/>
    <w:rsid w:val="00E57056"/>
    <w:rsid w:val="00E57182"/>
    <w:rsid w:val="00E57391"/>
    <w:rsid w:val="00E5764A"/>
    <w:rsid w:val="00E57777"/>
    <w:rsid w:val="00E5793B"/>
    <w:rsid w:val="00E57D64"/>
    <w:rsid w:val="00E57DAA"/>
    <w:rsid w:val="00E57E87"/>
    <w:rsid w:val="00E57EAD"/>
    <w:rsid w:val="00E607F8"/>
    <w:rsid w:val="00E6097F"/>
    <w:rsid w:val="00E60CDD"/>
    <w:rsid w:val="00E60CF7"/>
    <w:rsid w:val="00E60DDF"/>
    <w:rsid w:val="00E61030"/>
    <w:rsid w:val="00E6160F"/>
    <w:rsid w:val="00E61768"/>
    <w:rsid w:val="00E61E50"/>
    <w:rsid w:val="00E6205C"/>
    <w:rsid w:val="00E6217C"/>
    <w:rsid w:val="00E622C3"/>
    <w:rsid w:val="00E6250E"/>
    <w:rsid w:val="00E62BE9"/>
    <w:rsid w:val="00E62FDE"/>
    <w:rsid w:val="00E632BF"/>
    <w:rsid w:val="00E635D6"/>
    <w:rsid w:val="00E63911"/>
    <w:rsid w:val="00E63FEB"/>
    <w:rsid w:val="00E640D4"/>
    <w:rsid w:val="00E6453A"/>
    <w:rsid w:val="00E648C7"/>
    <w:rsid w:val="00E649E0"/>
    <w:rsid w:val="00E64BF8"/>
    <w:rsid w:val="00E64DDF"/>
    <w:rsid w:val="00E64EA9"/>
    <w:rsid w:val="00E650AC"/>
    <w:rsid w:val="00E65244"/>
    <w:rsid w:val="00E65592"/>
    <w:rsid w:val="00E656FA"/>
    <w:rsid w:val="00E6595F"/>
    <w:rsid w:val="00E65BB4"/>
    <w:rsid w:val="00E65C29"/>
    <w:rsid w:val="00E65C55"/>
    <w:rsid w:val="00E65C6C"/>
    <w:rsid w:val="00E66F24"/>
    <w:rsid w:val="00E67342"/>
    <w:rsid w:val="00E67853"/>
    <w:rsid w:val="00E67ADA"/>
    <w:rsid w:val="00E67BC5"/>
    <w:rsid w:val="00E67C62"/>
    <w:rsid w:val="00E67E1F"/>
    <w:rsid w:val="00E67EF0"/>
    <w:rsid w:val="00E70378"/>
    <w:rsid w:val="00E705CC"/>
    <w:rsid w:val="00E7099A"/>
    <w:rsid w:val="00E70F82"/>
    <w:rsid w:val="00E711F6"/>
    <w:rsid w:val="00E71220"/>
    <w:rsid w:val="00E712B7"/>
    <w:rsid w:val="00E71602"/>
    <w:rsid w:val="00E718C9"/>
    <w:rsid w:val="00E71B00"/>
    <w:rsid w:val="00E7244E"/>
    <w:rsid w:val="00E727D2"/>
    <w:rsid w:val="00E72D85"/>
    <w:rsid w:val="00E72F90"/>
    <w:rsid w:val="00E73258"/>
    <w:rsid w:val="00E73541"/>
    <w:rsid w:val="00E73627"/>
    <w:rsid w:val="00E73667"/>
    <w:rsid w:val="00E73768"/>
    <w:rsid w:val="00E739E1"/>
    <w:rsid w:val="00E7423B"/>
    <w:rsid w:val="00E743D2"/>
    <w:rsid w:val="00E74667"/>
    <w:rsid w:val="00E747AC"/>
    <w:rsid w:val="00E754E4"/>
    <w:rsid w:val="00E755B3"/>
    <w:rsid w:val="00E75C21"/>
    <w:rsid w:val="00E75D52"/>
    <w:rsid w:val="00E75F72"/>
    <w:rsid w:val="00E7611C"/>
    <w:rsid w:val="00E76364"/>
    <w:rsid w:val="00E76B91"/>
    <w:rsid w:val="00E76E97"/>
    <w:rsid w:val="00E77038"/>
    <w:rsid w:val="00E7772F"/>
    <w:rsid w:val="00E77807"/>
    <w:rsid w:val="00E77C00"/>
    <w:rsid w:val="00E77EB8"/>
    <w:rsid w:val="00E800ED"/>
    <w:rsid w:val="00E80113"/>
    <w:rsid w:val="00E80279"/>
    <w:rsid w:val="00E80341"/>
    <w:rsid w:val="00E80455"/>
    <w:rsid w:val="00E80590"/>
    <w:rsid w:val="00E8072F"/>
    <w:rsid w:val="00E80CCD"/>
    <w:rsid w:val="00E80D20"/>
    <w:rsid w:val="00E811DB"/>
    <w:rsid w:val="00E81710"/>
    <w:rsid w:val="00E8171D"/>
    <w:rsid w:val="00E81877"/>
    <w:rsid w:val="00E81BA8"/>
    <w:rsid w:val="00E820A4"/>
    <w:rsid w:val="00E820AD"/>
    <w:rsid w:val="00E8212C"/>
    <w:rsid w:val="00E827C5"/>
    <w:rsid w:val="00E82C9D"/>
    <w:rsid w:val="00E830FB"/>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58B"/>
    <w:rsid w:val="00E8562D"/>
    <w:rsid w:val="00E8565A"/>
    <w:rsid w:val="00E85675"/>
    <w:rsid w:val="00E85A36"/>
    <w:rsid w:val="00E85BF0"/>
    <w:rsid w:val="00E85E2C"/>
    <w:rsid w:val="00E864B1"/>
    <w:rsid w:val="00E86C3F"/>
    <w:rsid w:val="00E86CA8"/>
    <w:rsid w:val="00E873CB"/>
    <w:rsid w:val="00E8766F"/>
    <w:rsid w:val="00E876C6"/>
    <w:rsid w:val="00E90089"/>
    <w:rsid w:val="00E9011C"/>
    <w:rsid w:val="00E90156"/>
    <w:rsid w:val="00E90F69"/>
    <w:rsid w:val="00E9112C"/>
    <w:rsid w:val="00E9112D"/>
    <w:rsid w:val="00E9146F"/>
    <w:rsid w:val="00E9149B"/>
    <w:rsid w:val="00E918B9"/>
    <w:rsid w:val="00E918DF"/>
    <w:rsid w:val="00E91DEC"/>
    <w:rsid w:val="00E91E40"/>
    <w:rsid w:val="00E91F3D"/>
    <w:rsid w:val="00E92038"/>
    <w:rsid w:val="00E921ED"/>
    <w:rsid w:val="00E9235D"/>
    <w:rsid w:val="00E923C1"/>
    <w:rsid w:val="00E927A0"/>
    <w:rsid w:val="00E92B1B"/>
    <w:rsid w:val="00E92B4B"/>
    <w:rsid w:val="00E92BB9"/>
    <w:rsid w:val="00E92BC1"/>
    <w:rsid w:val="00E92C0F"/>
    <w:rsid w:val="00E92C24"/>
    <w:rsid w:val="00E92D5C"/>
    <w:rsid w:val="00E9304D"/>
    <w:rsid w:val="00E930E4"/>
    <w:rsid w:val="00E934BF"/>
    <w:rsid w:val="00E93639"/>
    <w:rsid w:val="00E93A74"/>
    <w:rsid w:val="00E93F75"/>
    <w:rsid w:val="00E94187"/>
    <w:rsid w:val="00E9447C"/>
    <w:rsid w:val="00E94B5B"/>
    <w:rsid w:val="00E94CC7"/>
    <w:rsid w:val="00E94D73"/>
    <w:rsid w:val="00E94E51"/>
    <w:rsid w:val="00E9535E"/>
    <w:rsid w:val="00E95695"/>
    <w:rsid w:val="00E95A8F"/>
    <w:rsid w:val="00E95C7C"/>
    <w:rsid w:val="00E96351"/>
    <w:rsid w:val="00E964DF"/>
    <w:rsid w:val="00E9658E"/>
    <w:rsid w:val="00E9665C"/>
    <w:rsid w:val="00E96768"/>
    <w:rsid w:val="00E9681B"/>
    <w:rsid w:val="00E96831"/>
    <w:rsid w:val="00E968F4"/>
    <w:rsid w:val="00E96B58"/>
    <w:rsid w:val="00E96B92"/>
    <w:rsid w:val="00E96E5B"/>
    <w:rsid w:val="00E9760E"/>
    <w:rsid w:val="00E97754"/>
    <w:rsid w:val="00E979EF"/>
    <w:rsid w:val="00E97AC6"/>
    <w:rsid w:val="00E97BD4"/>
    <w:rsid w:val="00E97EBF"/>
    <w:rsid w:val="00EA0135"/>
    <w:rsid w:val="00EA05D5"/>
    <w:rsid w:val="00EA0A55"/>
    <w:rsid w:val="00EA0A5B"/>
    <w:rsid w:val="00EA10A5"/>
    <w:rsid w:val="00EA1759"/>
    <w:rsid w:val="00EA17A0"/>
    <w:rsid w:val="00EA17B6"/>
    <w:rsid w:val="00EA1945"/>
    <w:rsid w:val="00EA1DBB"/>
    <w:rsid w:val="00EA1E33"/>
    <w:rsid w:val="00EA25FF"/>
    <w:rsid w:val="00EA2AC3"/>
    <w:rsid w:val="00EA2AC6"/>
    <w:rsid w:val="00EA2E8D"/>
    <w:rsid w:val="00EA3353"/>
    <w:rsid w:val="00EA34C1"/>
    <w:rsid w:val="00EA35C4"/>
    <w:rsid w:val="00EA369E"/>
    <w:rsid w:val="00EA3A0E"/>
    <w:rsid w:val="00EA3A39"/>
    <w:rsid w:val="00EA3C36"/>
    <w:rsid w:val="00EA4424"/>
    <w:rsid w:val="00EA4475"/>
    <w:rsid w:val="00EA45B4"/>
    <w:rsid w:val="00EA4688"/>
    <w:rsid w:val="00EA4B34"/>
    <w:rsid w:val="00EA4C72"/>
    <w:rsid w:val="00EA5559"/>
    <w:rsid w:val="00EA5772"/>
    <w:rsid w:val="00EA5927"/>
    <w:rsid w:val="00EA5FD1"/>
    <w:rsid w:val="00EA619E"/>
    <w:rsid w:val="00EA6BC3"/>
    <w:rsid w:val="00EA6BE0"/>
    <w:rsid w:val="00EA6BFD"/>
    <w:rsid w:val="00EA7284"/>
    <w:rsid w:val="00EA7960"/>
    <w:rsid w:val="00EA7C4C"/>
    <w:rsid w:val="00EA7CA9"/>
    <w:rsid w:val="00EA7D4D"/>
    <w:rsid w:val="00EB00C5"/>
    <w:rsid w:val="00EB033F"/>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38D4"/>
    <w:rsid w:val="00EB409F"/>
    <w:rsid w:val="00EB45A7"/>
    <w:rsid w:val="00EB4683"/>
    <w:rsid w:val="00EB4A94"/>
    <w:rsid w:val="00EB4DE5"/>
    <w:rsid w:val="00EB4FB8"/>
    <w:rsid w:val="00EB50D3"/>
    <w:rsid w:val="00EB5380"/>
    <w:rsid w:val="00EB56B1"/>
    <w:rsid w:val="00EB5A30"/>
    <w:rsid w:val="00EB5B82"/>
    <w:rsid w:val="00EB5CF1"/>
    <w:rsid w:val="00EB5CF8"/>
    <w:rsid w:val="00EB6324"/>
    <w:rsid w:val="00EB69BE"/>
    <w:rsid w:val="00EB6A2F"/>
    <w:rsid w:val="00EB6A6A"/>
    <w:rsid w:val="00EB6DA1"/>
    <w:rsid w:val="00EB7048"/>
    <w:rsid w:val="00EB7572"/>
    <w:rsid w:val="00EB7F43"/>
    <w:rsid w:val="00EC0284"/>
    <w:rsid w:val="00EC0A3B"/>
    <w:rsid w:val="00EC0A5C"/>
    <w:rsid w:val="00EC0C9F"/>
    <w:rsid w:val="00EC105F"/>
    <w:rsid w:val="00EC1675"/>
    <w:rsid w:val="00EC175B"/>
    <w:rsid w:val="00EC233F"/>
    <w:rsid w:val="00EC243C"/>
    <w:rsid w:val="00EC25D8"/>
    <w:rsid w:val="00EC2A11"/>
    <w:rsid w:val="00EC2A27"/>
    <w:rsid w:val="00EC33FA"/>
    <w:rsid w:val="00EC349A"/>
    <w:rsid w:val="00EC351C"/>
    <w:rsid w:val="00EC3968"/>
    <w:rsid w:val="00EC3B8D"/>
    <w:rsid w:val="00EC3F4B"/>
    <w:rsid w:val="00EC3FF3"/>
    <w:rsid w:val="00EC40D0"/>
    <w:rsid w:val="00EC4379"/>
    <w:rsid w:val="00EC442A"/>
    <w:rsid w:val="00EC4C93"/>
    <w:rsid w:val="00EC4D8B"/>
    <w:rsid w:val="00EC5988"/>
    <w:rsid w:val="00EC5CF9"/>
    <w:rsid w:val="00EC5ED9"/>
    <w:rsid w:val="00EC5F1F"/>
    <w:rsid w:val="00EC5FC3"/>
    <w:rsid w:val="00EC6216"/>
    <w:rsid w:val="00EC6254"/>
    <w:rsid w:val="00EC62C0"/>
    <w:rsid w:val="00EC6474"/>
    <w:rsid w:val="00EC6530"/>
    <w:rsid w:val="00EC65B9"/>
    <w:rsid w:val="00EC6B6B"/>
    <w:rsid w:val="00EC6BC1"/>
    <w:rsid w:val="00EC6F12"/>
    <w:rsid w:val="00EC7010"/>
    <w:rsid w:val="00EC7257"/>
    <w:rsid w:val="00EC7329"/>
    <w:rsid w:val="00EC77CC"/>
    <w:rsid w:val="00EC7B29"/>
    <w:rsid w:val="00EC7C45"/>
    <w:rsid w:val="00EC7E7C"/>
    <w:rsid w:val="00ED0174"/>
    <w:rsid w:val="00ED0342"/>
    <w:rsid w:val="00ED0759"/>
    <w:rsid w:val="00ED0C08"/>
    <w:rsid w:val="00ED0D88"/>
    <w:rsid w:val="00ED0EAF"/>
    <w:rsid w:val="00ED10DF"/>
    <w:rsid w:val="00ED1239"/>
    <w:rsid w:val="00ED13B2"/>
    <w:rsid w:val="00ED1806"/>
    <w:rsid w:val="00ED2564"/>
    <w:rsid w:val="00ED2631"/>
    <w:rsid w:val="00ED2B08"/>
    <w:rsid w:val="00ED2B72"/>
    <w:rsid w:val="00ED2EF1"/>
    <w:rsid w:val="00ED3125"/>
    <w:rsid w:val="00ED31E8"/>
    <w:rsid w:val="00ED3241"/>
    <w:rsid w:val="00ED372A"/>
    <w:rsid w:val="00ED383D"/>
    <w:rsid w:val="00ED398B"/>
    <w:rsid w:val="00ED3A99"/>
    <w:rsid w:val="00ED44A3"/>
    <w:rsid w:val="00ED44F2"/>
    <w:rsid w:val="00ED4814"/>
    <w:rsid w:val="00ED487E"/>
    <w:rsid w:val="00ED5088"/>
    <w:rsid w:val="00ED53EB"/>
    <w:rsid w:val="00ED5456"/>
    <w:rsid w:val="00ED5637"/>
    <w:rsid w:val="00ED59A2"/>
    <w:rsid w:val="00ED5B4F"/>
    <w:rsid w:val="00ED5B6A"/>
    <w:rsid w:val="00ED5C72"/>
    <w:rsid w:val="00ED5DFB"/>
    <w:rsid w:val="00ED6773"/>
    <w:rsid w:val="00ED6D3A"/>
    <w:rsid w:val="00ED7106"/>
    <w:rsid w:val="00ED71F7"/>
    <w:rsid w:val="00ED7318"/>
    <w:rsid w:val="00ED74A5"/>
    <w:rsid w:val="00ED7570"/>
    <w:rsid w:val="00EE01DB"/>
    <w:rsid w:val="00EE039E"/>
    <w:rsid w:val="00EE0619"/>
    <w:rsid w:val="00EE086F"/>
    <w:rsid w:val="00EE0A56"/>
    <w:rsid w:val="00EE0AD6"/>
    <w:rsid w:val="00EE0BAC"/>
    <w:rsid w:val="00EE0C59"/>
    <w:rsid w:val="00EE0FB2"/>
    <w:rsid w:val="00EE14DF"/>
    <w:rsid w:val="00EE1897"/>
    <w:rsid w:val="00EE1B32"/>
    <w:rsid w:val="00EE242E"/>
    <w:rsid w:val="00EE2B0B"/>
    <w:rsid w:val="00EE2C20"/>
    <w:rsid w:val="00EE2DDA"/>
    <w:rsid w:val="00EE2E1D"/>
    <w:rsid w:val="00EE300F"/>
    <w:rsid w:val="00EE3199"/>
    <w:rsid w:val="00EE3B57"/>
    <w:rsid w:val="00EE3D23"/>
    <w:rsid w:val="00EE4103"/>
    <w:rsid w:val="00EE4106"/>
    <w:rsid w:val="00EE42C3"/>
    <w:rsid w:val="00EE46C5"/>
    <w:rsid w:val="00EE487A"/>
    <w:rsid w:val="00EE4C7C"/>
    <w:rsid w:val="00EE4DB1"/>
    <w:rsid w:val="00EE55FB"/>
    <w:rsid w:val="00EE5642"/>
    <w:rsid w:val="00EE5AC7"/>
    <w:rsid w:val="00EE5AF9"/>
    <w:rsid w:val="00EE5BD4"/>
    <w:rsid w:val="00EE60EF"/>
    <w:rsid w:val="00EE6137"/>
    <w:rsid w:val="00EE6428"/>
    <w:rsid w:val="00EE674B"/>
    <w:rsid w:val="00EE6A8E"/>
    <w:rsid w:val="00EE71C8"/>
    <w:rsid w:val="00EE71D4"/>
    <w:rsid w:val="00EE737F"/>
    <w:rsid w:val="00EE767E"/>
    <w:rsid w:val="00EE76ED"/>
    <w:rsid w:val="00EE7B24"/>
    <w:rsid w:val="00EE7E1A"/>
    <w:rsid w:val="00EF0013"/>
    <w:rsid w:val="00EF019B"/>
    <w:rsid w:val="00EF0775"/>
    <w:rsid w:val="00EF0838"/>
    <w:rsid w:val="00EF0BC9"/>
    <w:rsid w:val="00EF0DCD"/>
    <w:rsid w:val="00EF10B2"/>
    <w:rsid w:val="00EF11D4"/>
    <w:rsid w:val="00EF1526"/>
    <w:rsid w:val="00EF1720"/>
    <w:rsid w:val="00EF2092"/>
    <w:rsid w:val="00EF210F"/>
    <w:rsid w:val="00EF2335"/>
    <w:rsid w:val="00EF29FE"/>
    <w:rsid w:val="00EF2B39"/>
    <w:rsid w:val="00EF310B"/>
    <w:rsid w:val="00EF33BC"/>
    <w:rsid w:val="00EF396E"/>
    <w:rsid w:val="00EF3A75"/>
    <w:rsid w:val="00EF3D0C"/>
    <w:rsid w:val="00EF3E9E"/>
    <w:rsid w:val="00EF4409"/>
    <w:rsid w:val="00EF44E9"/>
    <w:rsid w:val="00EF450D"/>
    <w:rsid w:val="00EF45D7"/>
    <w:rsid w:val="00EF4611"/>
    <w:rsid w:val="00EF47C3"/>
    <w:rsid w:val="00EF48BC"/>
    <w:rsid w:val="00EF4967"/>
    <w:rsid w:val="00EF4BF8"/>
    <w:rsid w:val="00EF5373"/>
    <w:rsid w:val="00EF541C"/>
    <w:rsid w:val="00EF5483"/>
    <w:rsid w:val="00EF5A9C"/>
    <w:rsid w:val="00EF5B1E"/>
    <w:rsid w:val="00EF5B59"/>
    <w:rsid w:val="00EF5BD7"/>
    <w:rsid w:val="00EF5CC9"/>
    <w:rsid w:val="00EF5D62"/>
    <w:rsid w:val="00EF5FEC"/>
    <w:rsid w:val="00EF6027"/>
    <w:rsid w:val="00EF6099"/>
    <w:rsid w:val="00EF6183"/>
    <w:rsid w:val="00EF61D5"/>
    <w:rsid w:val="00EF625A"/>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55E"/>
    <w:rsid w:val="00F017DE"/>
    <w:rsid w:val="00F01C9D"/>
    <w:rsid w:val="00F01D39"/>
    <w:rsid w:val="00F01F50"/>
    <w:rsid w:val="00F02370"/>
    <w:rsid w:val="00F02871"/>
    <w:rsid w:val="00F029BA"/>
    <w:rsid w:val="00F02C83"/>
    <w:rsid w:val="00F02E24"/>
    <w:rsid w:val="00F0301F"/>
    <w:rsid w:val="00F032DC"/>
    <w:rsid w:val="00F03DFF"/>
    <w:rsid w:val="00F03E8D"/>
    <w:rsid w:val="00F03F71"/>
    <w:rsid w:val="00F0422A"/>
    <w:rsid w:val="00F0428D"/>
    <w:rsid w:val="00F043FC"/>
    <w:rsid w:val="00F0456C"/>
    <w:rsid w:val="00F046EF"/>
    <w:rsid w:val="00F049F3"/>
    <w:rsid w:val="00F04AF2"/>
    <w:rsid w:val="00F04CE7"/>
    <w:rsid w:val="00F04E85"/>
    <w:rsid w:val="00F05C75"/>
    <w:rsid w:val="00F05C8F"/>
    <w:rsid w:val="00F05D4E"/>
    <w:rsid w:val="00F0647A"/>
    <w:rsid w:val="00F066D7"/>
    <w:rsid w:val="00F0681C"/>
    <w:rsid w:val="00F068E5"/>
    <w:rsid w:val="00F069B7"/>
    <w:rsid w:val="00F06F01"/>
    <w:rsid w:val="00F06F97"/>
    <w:rsid w:val="00F070F8"/>
    <w:rsid w:val="00F07174"/>
    <w:rsid w:val="00F0728D"/>
    <w:rsid w:val="00F0763C"/>
    <w:rsid w:val="00F07843"/>
    <w:rsid w:val="00F07DCF"/>
    <w:rsid w:val="00F07F57"/>
    <w:rsid w:val="00F1013C"/>
    <w:rsid w:val="00F107B8"/>
    <w:rsid w:val="00F10BFD"/>
    <w:rsid w:val="00F10CD3"/>
    <w:rsid w:val="00F10D66"/>
    <w:rsid w:val="00F112BC"/>
    <w:rsid w:val="00F11366"/>
    <w:rsid w:val="00F1157C"/>
    <w:rsid w:val="00F11B5A"/>
    <w:rsid w:val="00F11E42"/>
    <w:rsid w:val="00F11EC8"/>
    <w:rsid w:val="00F12084"/>
    <w:rsid w:val="00F120DD"/>
    <w:rsid w:val="00F12702"/>
    <w:rsid w:val="00F128CE"/>
    <w:rsid w:val="00F12BB8"/>
    <w:rsid w:val="00F12C6F"/>
    <w:rsid w:val="00F13102"/>
    <w:rsid w:val="00F13345"/>
    <w:rsid w:val="00F13DB6"/>
    <w:rsid w:val="00F14158"/>
    <w:rsid w:val="00F1429A"/>
    <w:rsid w:val="00F14449"/>
    <w:rsid w:val="00F14896"/>
    <w:rsid w:val="00F14A28"/>
    <w:rsid w:val="00F14A92"/>
    <w:rsid w:val="00F14A98"/>
    <w:rsid w:val="00F14C76"/>
    <w:rsid w:val="00F153DE"/>
    <w:rsid w:val="00F15596"/>
    <w:rsid w:val="00F15AD5"/>
    <w:rsid w:val="00F15F0F"/>
    <w:rsid w:val="00F161E1"/>
    <w:rsid w:val="00F1621C"/>
    <w:rsid w:val="00F169C6"/>
    <w:rsid w:val="00F174C5"/>
    <w:rsid w:val="00F17518"/>
    <w:rsid w:val="00F179D9"/>
    <w:rsid w:val="00F2003F"/>
    <w:rsid w:val="00F20241"/>
    <w:rsid w:val="00F204C9"/>
    <w:rsid w:val="00F20D01"/>
    <w:rsid w:val="00F21139"/>
    <w:rsid w:val="00F21296"/>
    <w:rsid w:val="00F2193C"/>
    <w:rsid w:val="00F21E9D"/>
    <w:rsid w:val="00F21E9E"/>
    <w:rsid w:val="00F21FA9"/>
    <w:rsid w:val="00F21FF6"/>
    <w:rsid w:val="00F22117"/>
    <w:rsid w:val="00F222A7"/>
    <w:rsid w:val="00F2235F"/>
    <w:rsid w:val="00F22726"/>
    <w:rsid w:val="00F228E8"/>
    <w:rsid w:val="00F22C3C"/>
    <w:rsid w:val="00F22C80"/>
    <w:rsid w:val="00F23438"/>
    <w:rsid w:val="00F2356E"/>
    <w:rsid w:val="00F23684"/>
    <w:rsid w:val="00F23D0C"/>
    <w:rsid w:val="00F23D17"/>
    <w:rsid w:val="00F23FBF"/>
    <w:rsid w:val="00F2482F"/>
    <w:rsid w:val="00F24DC0"/>
    <w:rsid w:val="00F24E3C"/>
    <w:rsid w:val="00F25323"/>
    <w:rsid w:val="00F2554E"/>
    <w:rsid w:val="00F25BC2"/>
    <w:rsid w:val="00F2604A"/>
    <w:rsid w:val="00F2655C"/>
    <w:rsid w:val="00F265E6"/>
    <w:rsid w:val="00F26675"/>
    <w:rsid w:val="00F26678"/>
    <w:rsid w:val="00F26815"/>
    <w:rsid w:val="00F269CB"/>
    <w:rsid w:val="00F26A2C"/>
    <w:rsid w:val="00F26D7B"/>
    <w:rsid w:val="00F2709B"/>
    <w:rsid w:val="00F27238"/>
    <w:rsid w:val="00F27295"/>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47C"/>
    <w:rsid w:val="00F31635"/>
    <w:rsid w:val="00F320F1"/>
    <w:rsid w:val="00F3226F"/>
    <w:rsid w:val="00F32EF7"/>
    <w:rsid w:val="00F33051"/>
    <w:rsid w:val="00F33233"/>
    <w:rsid w:val="00F3371B"/>
    <w:rsid w:val="00F33744"/>
    <w:rsid w:val="00F33A9D"/>
    <w:rsid w:val="00F33B90"/>
    <w:rsid w:val="00F3431C"/>
    <w:rsid w:val="00F344CB"/>
    <w:rsid w:val="00F344D7"/>
    <w:rsid w:val="00F352C3"/>
    <w:rsid w:val="00F35517"/>
    <w:rsid w:val="00F35681"/>
    <w:rsid w:val="00F35B9A"/>
    <w:rsid w:val="00F35D62"/>
    <w:rsid w:val="00F36548"/>
    <w:rsid w:val="00F3664C"/>
    <w:rsid w:val="00F36826"/>
    <w:rsid w:val="00F3683B"/>
    <w:rsid w:val="00F36AF3"/>
    <w:rsid w:val="00F36B36"/>
    <w:rsid w:val="00F36E8F"/>
    <w:rsid w:val="00F37149"/>
    <w:rsid w:val="00F3748B"/>
    <w:rsid w:val="00F374D2"/>
    <w:rsid w:val="00F37B45"/>
    <w:rsid w:val="00F37F3F"/>
    <w:rsid w:val="00F400D4"/>
    <w:rsid w:val="00F40220"/>
    <w:rsid w:val="00F40245"/>
    <w:rsid w:val="00F40475"/>
    <w:rsid w:val="00F40662"/>
    <w:rsid w:val="00F406F8"/>
    <w:rsid w:val="00F4077C"/>
    <w:rsid w:val="00F40D4A"/>
    <w:rsid w:val="00F40F3E"/>
    <w:rsid w:val="00F41143"/>
    <w:rsid w:val="00F41319"/>
    <w:rsid w:val="00F41343"/>
    <w:rsid w:val="00F416A5"/>
    <w:rsid w:val="00F416E7"/>
    <w:rsid w:val="00F41FAA"/>
    <w:rsid w:val="00F42366"/>
    <w:rsid w:val="00F42C90"/>
    <w:rsid w:val="00F43177"/>
    <w:rsid w:val="00F4347E"/>
    <w:rsid w:val="00F43679"/>
    <w:rsid w:val="00F436E2"/>
    <w:rsid w:val="00F43826"/>
    <w:rsid w:val="00F438C6"/>
    <w:rsid w:val="00F43E2B"/>
    <w:rsid w:val="00F442B1"/>
    <w:rsid w:val="00F44467"/>
    <w:rsid w:val="00F44514"/>
    <w:rsid w:val="00F44806"/>
    <w:rsid w:val="00F44AA0"/>
    <w:rsid w:val="00F44C34"/>
    <w:rsid w:val="00F453AF"/>
    <w:rsid w:val="00F4561A"/>
    <w:rsid w:val="00F457C6"/>
    <w:rsid w:val="00F459E9"/>
    <w:rsid w:val="00F45BD1"/>
    <w:rsid w:val="00F45C32"/>
    <w:rsid w:val="00F45CE2"/>
    <w:rsid w:val="00F45D39"/>
    <w:rsid w:val="00F46090"/>
    <w:rsid w:val="00F460B7"/>
    <w:rsid w:val="00F4637F"/>
    <w:rsid w:val="00F46506"/>
    <w:rsid w:val="00F46726"/>
    <w:rsid w:val="00F46782"/>
    <w:rsid w:val="00F46829"/>
    <w:rsid w:val="00F4689B"/>
    <w:rsid w:val="00F46974"/>
    <w:rsid w:val="00F46B54"/>
    <w:rsid w:val="00F46BBB"/>
    <w:rsid w:val="00F46BE9"/>
    <w:rsid w:val="00F46C81"/>
    <w:rsid w:val="00F47033"/>
    <w:rsid w:val="00F475EE"/>
    <w:rsid w:val="00F4760C"/>
    <w:rsid w:val="00F4777D"/>
    <w:rsid w:val="00F47950"/>
    <w:rsid w:val="00F47A2C"/>
    <w:rsid w:val="00F5009E"/>
    <w:rsid w:val="00F506E6"/>
    <w:rsid w:val="00F508C1"/>
    <w:rsid w:val="00F517FD"/>
    <w:rsid w:val="00F51882"/>
    <w:rsid w:val="00F51BCB"/>
    <w:rsid w:val="00F51E29"/>
    <w:rsid w:val="00F51ED0"/>
    <w:rsid w:val="00F5204E"/>
    <w:rsid w:val="00F52181"/>
    <w:rsid w:val="00F523E6"/>
    <w:rsid w:val="00F529BF"/>
    <w:rsid w:val="00F52FB9"/>
    <w:rsid w:val="00F53279"/>
    <w:rsid w:val="00F5337E"/>
    <w:rsid w:val="00F5381E"/>
    <w:rsid w:val="00F53903"/>
    <w:rsid w:val="00F53C64"/>
    <w:rsid w:val="00F53DDB"/>
    <w:rsid w:val="00F5409B"/>
    <w:rsid w:val="00F54531"/>
    <w:rsid w:val="00F545FE"/>
    <w:rsid w:val="00F54645"/>
    <w:rsid w:val="00F54874"/>
    <w:rsid w:val="00F54942"/>
    <w:rsid w:val="00F54AF1"/>
    <w:rsid w:val="00F54E38"/>
    <w:rsid w:val="00F5585D"/>
    <w:rsid w:val="00F55C12"/>
    <w:rsid w:val="00F55DC1"/>
    <w:rsid w:val="00F55EC6"/>
    <w:rsid w:val="00F55FF7"/>
    <w:rsid w:val="00F563D1"/>
    <w:rsid w:val="00F56754"/>
    <w:rsid w:val="00F567C9"/>
    <w:rsid w:val="00F568C0"/>
    <w:rsid w:val="00F568D9"/>
    <w:rsid w:val="00F56AF3"/>
    <w:rsid w:val="00F56D12"/>
    <w:rsid w:val="00F56DD4"/>
    <w:rsid w:val="00F56DFE"/>
    <w:rsid w:val="00F571F2"/>
    <w:rsid w:val="00F574A1"/>
    <w:rsid w:val="00F57539"/>
    <w:rsid w:val="00F5759E"/>
    <w:rsid w:val="00F57647"/>
    <w:rsid w:val="00F5789C"/>
    <w:rsid w:val="00F600BD"/>
    <w:rsid w:val="00F602AB"/>
    <w:rsid w:val="00F602BD"/>
    <w:rsid w:val="00F603CA"/>
    <w:rsid w:val="00F60869"/>
    <w:rsid w:val="00F60CEE"/>
    <w:rsid w:val="00F61B14"/>
    <w:rsid w:val="00F61B34"/>
    <w:rsid w:val="00F61EE4"/>
    <w:rsid w:val="00F61FDA"/>
    <w:rsid w:val="00F62252"/>
    <w:rsid w:val="00F62E59"/>
    <w:rsid w:val="00F63040"/>
    <w:rsid w:val="00F6318B"/>
    <w:rsid w:val="00F635A6"/>
    <w:rsid w:val="00F6377A"/>
    <w:rsid w:val="00F63B9D"/>
    <w:rsid w:val="00F640EC"/>
    <w:rsid w:val="00F64137"/>
    <w:rsid w:val="00F642F0"/>
    <w:rsid w:val="00F64436"/>
    <w:rsid w:val="00F64703"/>
    <w:rsid w:val="00F647A3"/>
    <w:rsid w:val="00F647C9"/>
    <w:rsid w:val="00F64B4C"/>
    <w:rsid w:val="00F64BC6"/>
    <w:rsid w:val="00F64E64"/>
    <w:rsid w:val="00F6512E"/>
    <w:rsid w:val="00F656C3"/>
    <w:rsid w:val="00F65B34"/>
    <w:rsid w:val="00F65BEB"/>
    <w:rsid w:val="00F65D5F"/>
    <w:rsid w:val="00F660A7"/>
    <w:rsid w:val="00F6615C"/>
    <w:rsid w:val="00F662BA"/>
    <w:rsid w:val="00F66436"/>
    <w:rsid w:val="00F668DF"/>
    <w:rsid w:val="00F66957"/>
    <w:rsid w:val="00F66B2E"/>
    <w:rsid w:val="00F66BB4"/>
    <w:rsid w:val="00F66FB1"/>
    <w:rsid w:val="00F6706D"/>
    <w:rsid w:val="00F67579"/>
    <w:rsid w:val="00F675E3"/>
    <w:rsid w:val="00F67A7B"/>
    <w:rsid w:val="00F67EE7"/>
    <w:rsid w:val="00F700D7"/>
    <w:rsid w:val="00F70380"/>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3E2"/>
    <w:rsid w:val="00F72519"/>
    <w:rsid w:val="00F72744"/>
    <w:rsid w:val="00F7312F"/>
    <w:rsid w:val="00F73156"/>
    <w:rsid w:val="00F73201"/>
    <w:rsid w:val="00F73505"/>
    <w:rsid w:val="00F735CD"/>
    <w:rsid w:val="00F736EB"/>
    <w:rsid w:val="00F739E2"/>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606B"/>
    <w:rsid w:val="00F7637D"/>
    <w:rsid w:val="00F7638A"/>
    <w:rsid w:val="00F763F3"/>
    <w:rsid w:val="00F7691F"/>
    <w:rsid w:val="00F76B15"/>
    <w:rsid w:val="00F76F6F"/>
    <w:rsid w:val="00F772D0"/>
    <w:rsid w:val="00F773DD"/>
    <w:rsid w:val="00F779BA"/>
    <w:rsid w:val="00F77A1B"/>
    <w:rsid w:val="00F77C72"/>
    <w:rsid w:val="00F8020E"/>
    <w:rsid w:val="00F8071B"/>
    <w:rsid w:val="00F807C9"/>
    <w:rsid w:val="00F80B9E"/>
    <w:rsid w:val="00F80F70"/>
    <w:rsid w:val="00F8111F"/>
    <w:rsid w:val="00F813BA"/>
    <w:rsid w:val="00F81B69"/>
    <w:rsid w:val="00F821B2"/>
    <w:rsid w:val="00F823A4"/>
    <w:rsid w:val="00F828CA"/>
    <w:rsid w:val="00F829C6"/>
    <w:rsid w:val="00F82DA6"/>
    <w:rsid w:val="00F82FC2"/>
    <w:rsid w:val="00F836C6"/>
    <w:rsid w:val="00F83712"/>
    <w:rsid w:val="00F838EB"/>
    <w:rsid w:val="00F83A8A"/>
    <w:rsid w:val="00F83F45"/>
    <w:rsid w:val="00F83FBE"/>
    <w:rsid w:val="00F848EF"/>
    <w:rsid w:val="00F852BD"/>
    <w:rsid w:val="00F852F4"/>
    <w:rsid w:val="00F85662"/>
    <w:rsid w:val="00F856C4"/>
    <w:rsid w:val="00F86526"/>
    <w:rsid w:val="00F866A0"/>
    <w:rsid w:val="00F866B1"/>
    <w:rsid w:val="00F86731"/>
    <w:rsid w:val="00F8690F"/>
    <w:rsid w:val="00F870E3"/>
    <w:rsid w:val="00F8722A"/>
    <w:rsid w:val="00F87340"/>
    <w:rsid w:val="00F874A9"/>
    <w:rsid w:val="00F8770A"/>
    <w:rsid w:val="00F877E4"/>
    <w:rsid w:val="00F8793C"/>
    <w:rsid w:val="00F87CE5"/>
    <w:rsid w:val="00F901B5"/>
    <w:rsid w:val="00F90513"/>
    <w:rsid w:val="00F9099C"/>
    <w:rsid w:val="00F90A38"/>
    <w:rsid w:val="00F90A52"/>
    <w:rsid w:val="00F90B95"/>
    <w:rsid w:val="00F90D83"/>
    <w:rsid w:val="00F90EB7"/>
    <w:rsid w:val="00F90FAE"/>
    <w:rsid w:val="00F913CB"/>
    <w:rsid w:val="00F91465"/>
    <w:rsid w:val="00F9187E"/>
    <w:rsid w:val="00F91A45"/>
    <w:rsid w:val="00F91D9A"/>
    <w:rsid w:val="00F91E3F"/>
    <w:rsid w:val="00F9208C"/>
    <w:rsid w:val="00F922F5"/>
    <w:rsid w:val="00F9259F"/>
    <w:rsid w:val="00F92888"/>
    <w:rsid w:val="00F92936"/>
    <w:rsid w:val="00F92A05"/>
    <w:rsid w:val="00F92A0C"/>
    <w:rsid w:val="00F92C73"/>
    <w:rsid w:val="00F93325"/>
    <w:rsid w:val="00F936CC"/>
    <w:rsid w:val="00F93E50"/>
    <w:rsid w:val="00F93F44"/>
    <w:rsid w:val="00F945B2"/>
    <w:rsid w:val="00F94883"/>
    <w:rsid w:val="00F94B6A"/>
    <w:rsid w:val="00F94B93"/>
    <w:rsid w:val="00F9542A"/>
    <w:rsid w:val="00F9574B"/>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106C"/>
    <w:rsid w:val="00FA16C2"/>
    <w:rsid w:val="00FA178E"/>
    <w:rsid w:val="00FA1C96"/>
    <w:rsid w:val="00FA20B3"/>
    <w:rsid w:val="00FA20F1"/>
    <w:rsid w:val="00FA2148"/>
    <w:rsid w:val="00FA2344"/>
    <w:rsid w:val="00FA2603"/>
    <w:rsid w:val="00FA27BD"/>
    <w:rsid w:val="00FA2A61"/>
    <w:rsid w:val="00FA3226"/>
    <w:rsid w:val="00FA3E1D"/>
    <w:rsid w:val="00FA4376"/>
    <w:rsid w:val="00FA46C1"/>
    <w:rsid w:val="00FA4B12"/>
    <w:rsid w:val="00FA4DD8"/>
    <w:rsid w:val="00FA4E1E"/>
    <w:rsid w:val="00FA4F79"/>
    <w:rsid w:val="00FA5036"/>
    <w:rsid w:val="00FA5370"/>
    <w:rsid w:val="00FA5411"/>
    <w:rsid w:val="00FA54C8"/>
    <w:rsid w:val="00FA5616"/>
    <w:rsid w:val="00FA5654"/>
    <w:rsid w:val="00FA572C"/>
    <w:rsid w:val="00FA5768"/>
    <w:rsid w:val="00FA57C1"/>
    <w:rsid w:val="00FA5983"/>
    <w:rsid w:val="00FA598D"/>
    <w:rsid w:val="00FA5DA0"/>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573"/>
    <w:rsid w:val="00FB29F6"/>
    <w:rsid w:val="00FB2C38"/>
    <w:rsid w:val="00FB2C86"/>
    <w:rsid w:val="00FB2FD0"/>
    <w:rsid w:val="00FB3400"/>
    <w:rsid w:val="00FB342E"/>
    <w:rsid w:val="00FB3509"/>
    <w:rsid w:val="00FB36BD"/>
    <w:rsid w:val="00FB3831"/>
    <w:rsid w:val="00FB38B0"/>
    <w:rsid w:val="00FB3D15"/>
    <w:rsid w:val="00FB43F0"/>
    <w:rsid w:val="00FB4913"/>
    <w:rsid w:val="00FB4AF5"/>
    <w:rsid w:val="00FB4EF8"/>
    <w:rsid w:val="00FB50A7"/>
    <w:rsid w:val="00FB528C"/>
    <w:rsid w:val="00FB554A"/>
    <w:rsid w:val="00FB554C"/>
    <w:rsid w:val="00FB5B35"/>
    <w:rsid w:val="00FB5E10"/>
    <w:rsid w:val="00FB624E"/>
    <w:rsid w:val="00FB648A"/>
    <w:rsid w:val="00FB65F9"/>
    <w:rsid w:val="00FB695D"/>
    <w:rsid w:val="00FB6D52"/>
    <w:rsid w:val="00FB6DE2"/>
    <w:rsid w:val="00FB7CC5"/>
    <w:rsid w:val="00FB7EBB"/>
    <w:rsid w:val="00FC0206"/>
    <w:rsid w:val="00FC07B9"/>
    <w:rsid w:val="00FC0C72"/>
    <w:rsid w:val="00FC0D62"/>
    <w:rsid w:val="00FC0DC9"/>
    <w:rsid w:val="00FC0EB1"/>
    <w:rsid w:val="00FC1549"/>
    <w:rsid w:val="00FC18FD"/>
    <w:rsid w:val="00FC19B0"/>
    <w:rsid w:val="00FC1F1F"/>
    <w:rsid w:val="00FC23DD"/>
    <w:rsid w:val="00FC2489"/>
    <w:rsid w:val="00FC2950"/>
    <w:rsid w:val="00FC327F"/>
    <w:rsid w:val="00FC3466"/>
    <w:rsid w:val="00FC378E"/>
    <w:rsid w:val="00FC37B9"/>
    <w:rsid w:val="00FC396D"/>
    <w:rsid w:val="00FC3A49"/>
    <w:rsid w:val="00FC3D6C"/>
    <w:rsid w:val="00FC3DF5"/>
    <w:rsid w:val="00FC401B"/>
    <w:rsid w:val="00FC40B7"/>
    <w:rsid w:val="00FC47DD"/>
    <w:rsid w:val="00FC486B"/>
    <w:rsid w:val="00FC4C85"/>
    <w:rsid w:val="00FC4CAA"/>
    <w:rsid w:val="00FC520C"/>
    <w:rsid w:val="00FC540C"/>
    <w:rsid w:val="00FC541E"/>
    <w:rsid w:val="00FC5540"/>
    <w:rsid w:val="00FC564A"/>
    <w:rsid w:val="00FC56DE"/>
    <w:rsid w:val="00FC59E1"/>
    <w:rsid w:val="00FC5E07"/>
    <w:rsid w:val="00FC63EA"/>
    <w:rsid w:val="00FC65F0"/>
    <w:rsid w:val="00FC6CA2"/>
    <w:rsid w:val="00FC6D4A"/>
    <w:rsid w:val="00FC7375"/>
    <w:rsid w:val="00FC73C5"/>
    <w:rsid w:val="00FC783C"/>
    <w:rsid w:val="00FC7ACF"/>
    <w:rsid w:val="00FC7C5C"/>
    <w:rsid w:val="00FC7C90"/>
    <w:rsid w:val="00FD023A"/>
    <w:rsid w:val="00FD0291"/>
    <w:rsid w:val="00FD0311"/>
    <w:rsid w:val="00FD047B"/>
    <w:rsid w:val="00FD04B7"/>
    <w:rsid w:val="00FD05A3"/>
    <w:rsid w:val="00FD0851"/>
    <w:rsid w:val="00FD0E93"/>
    <w:rsid w:val="00FD0EBA"/>
    <w:rsid w:val="00FD12A2"/>
    <w:rsid w:val="00FD1D87"/>
    <w:rsid w:val="00FD201A"/>
    <w:rsid w:val="00FD21EE"/>
    <w:rsid w:val="00FD2969"/>
    <w:rsid w:val="00FD2C04"/>
    <w:rsid w:val="00FD2F0A"/>
    <w:rsid w:val="00FD312D"/>
    <w:rsid w:val="00FD33B5"/>
    <w:rsid w:val="00FD35CC"/>
    <w:rsid w:val="00FD36CA"/>
    <w:rsid w:val="00FD3F5B"/>
    <w:rsid w:val="00FD4426"/>
    <w:rsid w:val="00FD4887"/>
    <w:rsid w:val="00FD49DE"/>
    <w:rsid w:val="00FD4E7C"/>
    <w:rsid w:val="00FD5010"/>
    <w:rsid w:val="00FD508A"/>
    <w:rsid w:val="00FD50B8"/>
    <w:rsid w:val="00FD51DE"/>
    <w:rsid w:val="00FD546D"/>
    <w:rsid w:val="00FD549B"/>
    <w:rsid w:val="00FD5644"/>
    <w:rsid w:val="00FD57C2"/>
    <w:rsid w:val="00FD5ADF"/>
    <w:rsid w:val="00FD5B0C"/>
    <w:rsid w:val="00FD5C1A"/>
    <w:rsid w:val="00FD5DBC"/>
    <w:rsid w:val="00FD6185"/>
    <w:rsid w:val="00FD6286"/>
    <w:rsid w:val="00FD63C8"/>
    <w:rsid w:val="00FD6458"/>
    <w:rsid w:val="00FD645D"/>
    <w:rsid w:val="00FD65B6"/>
    <w:rsid w:val="00FD6719"/>
    <w:rsid w:val="00FD68DC"/>
    <w:rsid w:val="00FD6A6E"/>
    <w:rsid w:val="00FD76C3"/>
    <w:rsid w:val="00FD7844"/>
    <w:rsid w:val="00FD7A44"/>
    <w:rsid w:val="00FD7B72"/>
    <w:rsid w:val="00FD7EA2"/>
    <w:rsid w:val="00FE064B"/>
    <w:rsid w:val="00FE0679"/>
    <w:rsid w:val="00FE07ED"/>
    <w:rsid w:val="00FE0844"/>
    <w:rsid w:val="00FE0DF1"/>
    <w:rsid w:val="00FE0F1B"/>
    <w:rsid w:val="00FE14CF"/>
    <w:rsid w:val="00FE164E"/>
    <w:rsid w:val="00FE1872"/>
    <w:rsid w:val="00FE1BE6"/>
    <w:rsid w:val="00FE1E3E"/>
    <w:rsid w:val="00FE1F71"/>
    <w:rsid w:val="00FE2142"/>
    <w:rsid w:val="00FE2173"/>
    <w:rsid w:val="00FE21D1"/>
    <w:rsid w:val="00FE2375"/>
    <w:rsid w:val="00FE2874"/>
    <w:rsid w:val="00FE2B13"/>
    <w:rsid w:val="00FE2C1B"/>
    <w:rsid w:val="00FE2CBB"/>
    <w:rsid w:val="00FE2DC5"/>
    <w:rsid w:val="00FE3205"/>
    <w:rsid w:val="00FE34B5"/>
    <w:rsid w:val="00FE384D"/>
    <w:rsid w:val="00FE3892"/>
    <w:rsid w:val="00FE3AC9"/>
    <w:rsid w:val="00FE3BCD"/>
    <w:rsid w:val="00FE3BF0"/>
    <w:rsid w:val="00FE3C27"/>
    <w:rsid w:val="00FE42A0"/>
    <w:rsid w:val="00FE45C0"/>
    <w:rsid w:val="00FE4640"/>
    <w:rsid w:val="00FE4ED1"/>
    <w:rsid w:val="00FE5115"/>
    <w:rsid w:val="00FE51F1"/>
    <w:rsid w:val="00FE5244"/>
    <w:rsid w:val="00FE5979"/>
    <w:rsid w:val="00FE5D19"/>
    <w:rsid w:val="00FE6189"/>
    <w:rsid w:val="00FE653F"/>
    <w:rsid w:val="00FE66F3"/>
    <w:rsid w:val="00FE67A1"/>
    <w:rsid w:val="00FE6B3B"/>
    <w:rsid w:val="00FE6C15"/>
    <w:rsid w:val="00FE6C5B"/>
    <w:rsid w:val="00FE7129"/>
    <w:rsid w:val="00FE724D"/>
    <w:rsid w:val="00FE73BF"/>
    <w:rsid w:val="00FE767F"/>
    <w:rsid w:val="00FE76E4"/>
    <w:rsid w:val="00FE7CC4"/>
    <w:rsid w:val="00FF00AB"/>
    <w:rsid w:val="00FF022D"/>
    <w:rsid w:val="00FF028A"/>
    <w:rsid w:val="00FF03F3"/>
    <w:rsid w:val="00FF0507"/>
    <w:rsid w:val="00FF0A7C"/>
    <w:rsid w:val="00FF0C0A"/>
    <w:rsid w:val="00FF0D27"/>
    <w:rsid w:val="00FF0DE7"/>
    <w:rsid w:val="00FF0EE5"/>
    <w:rsid w:val="00FF122A"/>
    <w:rsid w:val="00FF129E"/>
    <w:rsid w:val="00FF1869"/>
    <w:rsid w:val="00FF1D12"/>
    <w:rsid w:val="00FF1D62"/>
    <w:rsid w:val="00FF1E30"/>
    <w:rsid w:val="00FF1FCB"/>
    <w:rsid w:val="00FF23D7"/>
    <w:rsid w:val="00FF2624"/>
    <w:rsid w:val="00FF26F6"/>
    <w:rsid w:val="00FF2818"/>
    <w:rsid w:val="00FF2954"/>
    <w:rsid w:val="00FF2958"/>
    <w:rsid w:val="00FF2C35"/>
    <w:rsid w:val="00FF2C73"/>
    <w:rsid w:val="00FF2F15"/>
    <w:rsid w:val="00FF2FEC"/>
    <w:rsid w:val="00FF31F9"/>
    <w:rsid w:val="00FF3365"/>
    <w:rsid w:val="00FF3601"/>
    <w:rsid w:val="00FF3774"/>
    <w:rsid w:val="00FF3859"/>
    <w:rsid w:val="00FF3AA4"/>
    <w:rsid w:val="00FF3BA1"/>
    <w:rsid w:val="00FF3FE3"/>
    <w:rsid w:val="00FF433E"/>
    <w:rsid w:val="00FF4458"/>
    <w:rsid w:val="00FF4512"/>
    <w:rsid w:val="00FF4686"/>
    <w:rsid w:val="00FF4D52"/>
    <w:rsid w:val="00FF4EB7"/>
    <w:rsid w:val="00FF4F84"/>
    <w:rsid w:val="00FF5343"/>
    <w:rsid w:val="00FF55CD"/>
    <w:rsid w:val="00FF5DEF"/>
    <w:rsid w:val="00FF607F"/>
    <w:rsid w:val="00FF618D"/>
    <w:rsid w:val="00FF623A"/>
    <w:rsid w:val="00FF6388"/>
    <w:rsid w:val="00FF64BD"/>
    <w:rsid w:val="00FF6869"/>
    <w:rsid w:val="00FF6951"/>
    <w:rsid w:val="00FF6C1C"/>
    <w:rsid w:val="00FF6C9E"/>
    <w:rsid w:val="00FF6CB1"/>
    <w:rsid w:val="00FF73C1"/>
    <w:rsid w:val="00FF7537"/>
    <w:rsid w:val="00FF75EC"/>
    <w:rsid w:val="00FF7982"/>
    <w:rsid w:val="05BD102F"/>
    <w:rsid w:val="16C0341A"/>
    <w:rsid w:val="1D7C7D92"/>
    <w:rsid w:val="262864BB"/>
    <w:rsid w:val="4A1420C3"/>
    <w:rsid w:val="549C2818"/>
    <w:rsid w:val="57C128B2"/>
    <w:rsid w:val="5DCE50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C3FDC61"/>
  <w15:docId w15:val="{38EDA086-AFDE-4A91-B732-C83798752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1"/>
      <w:szCs w:val="24"/>
    </w:rPr>
  </w:style>
  <w:style w:type="paragraph" w:styleId="1">
    <w:name w:val="heading 1"/>
    <w:basedOn w:val="a"/>
    <w:next w:val="a"/>
    <w:link w:val="10"/>
    <w:autoRedefine/>
    <w:uiPriority w:val="99"/>
    <w:qFormat/>
    <w:rsid w:val="00E76E97"/>
    <w:pPr>
      <w:keepNext/>
      <w:keepLines/>
      <w:widowControl w:val="0"/>
      <w:numPr>
        <w:numId w:val="3"/>
      </w:numPr>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0"/>
    <w:autoRedefine/>
    <w:qFormat/>
    <w:pPr>
      <w:keepNext/>
      <w:keepLines/>
      <w:widowControl w:val="0"/>
      <w:spacing w:before="60" w:after="60"/>
      <w:ind w:left="450" w:hanging="450"/>
      <w:jc w:val="both"/>
      <w:outlineLvl w:val="1"/>
    </w:pPr>
    <w:rPr>
      <w:rFonts w:ascii="Arial" w:hAnsi="Arial" w:cs="Times New Roman"/>
      <w:b/>
      <w:bCs/>
      <w:kern w:val="2"/>
      <w:szCs w:val="21"/>
    </w:rPr>
  </w:style>
  <w:style w:type="paragraph" w:styleId="3">
    <w:name w:val="heading 3"/>
    <w:basedOn w:val="a"/>
    <w:next w:val="a"/>
    <w:link w:val="30"/>
    <w:autoRedefine/>
    <w:uiPriority w:val="9"/>
    <w:qFormat/>
    <w:pPr>
      <w:keepNext/>
      <w:keepLines/>
      <w:widowControl w:val="0"/>
      <w:shd w:val="clear" w:color="auto" w:fill="FFFFFF"/>
      <w:spacing w:line="276" w:lineRule="auto"/>
      <w:jc w:val="both"/>
      <w:outlineLvl w:val="2"/>
    </w:pPr>
    <w:rPr>
      <w:rFonts w:ascii="Calibri" w:hAnsi="Calibri" w:cs="Times New Roman"/>
      <w:b/>
      <w:bCs/>
      <w:kern w:val="2"/>
      <w:szCs w:val="32"/>
    </w:rPr>
  </w:style>
  <w:style w:type="paragraph" w:styleId="4">
    <w:name w:val="heading 4"/>
    <w:basedOn w:val="a"/>
    <w:next w:val="a"/>
    <w:link w:val="40"/>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autoRedefine/>
    <w:uiPriority w:val="9"/>
    <w:qFormat/>
    <w:pPr>
      <w:keepNext/>
      <w:keepLines/>
      <w:widowControl w:val="0"/>
      <w:spacing w:before="60" w:after="60"/>
      <w:ind w:leftChars="50" w:left="50"/>
      <w:jc w:val="both"/>
      <w:outlineLvl w:val="4"/>
    </w:pPr>
    <w:rPr>
      <w:rFonts w:ascii="Calibri" w:hAnsi="Calibri" w:cs="Times New Roman"/>
      <w:b/>
      <w:bCs/>
      <w:kern w:val="2"/>
      <w:szCs w:val="28"/>
    </w:rPr>
  </w:style>
  <w:style w:type="paragraph" w:styleId="6">
    <w:name w:val="heading 6"/>
    <w:basedOn w:val="a"/>
    <w:next w:val="a"/>
    <w:link w:val="60"/>
    <w:autoRedefine/>
    <w:uiPriority w:val="9"/>
    <w:unhideWhenUsed/>
    <w:qFormat/>
    <w:pPr>
      <w:keepNext/>
      <w:keepLines/>
      <w:spacing w:before="60" w:after="60"/>
      <w:ind w:leftChars="50" w:left="50"/>
      <w:outlineLvl w:val="5"/>
    </w:pPr>
    <w:rPr>
      <w:rFonts w:asciiTheme="majorHAnsi" w:hAnsiTheme="majorHAnsi" w:cstheme="majorBidi"/>
      <w:b/>
      <w:bCs/>
    </w:rPr>
  </w:style>
  <w:style w:type="paragraph" w:styleId="7">
    <w:name w:val="heading 7"/>
    <w:basedOn w:val="a"/>
    <w:next w:val="a"/>
    <w:link w:val="70"/>
    <w:autoRedefine/>
    <w:uiPriority w:val="9"/>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a4"/>
    <w:autoRedefine/>
    <w:uiPriority w:val="99"/>
    <w:qFormat/>
    <w:pPr>
      <w:widowControl w:val="0"/>
      <w:jc w:val="center"/>
    </w:pPr>
    <w:rPr>
      <w:rFonts w:ascii="Times New Roman" w:hAnsi="Times New Roman" w:cs="Times New Roman"/>
      <w:kern w:val="2"/>
      <w:szCs w:val="21"/>
    </w:rPr>
  </w:style>
  <w:style w:type="paragraph" w:styleId="a5">
    <w:name w:val="Normal Indent"/>
    <w:basedOn w:val="a"/>
    <w:link w:val="a6"/>
    <w:qFormat/>
    <w:pPr>
      <w:widowControl w:val="0"/>
      <w:ind w:firstLineChars="200" w:firstLine="420"/>
      <w:jc w:val="both"/>
    </w:pPr>
    <w:rPr>
      <w:rFonts w:ascii="Times New Roman" w:hAnsi="Times New Roman" w:cs="Times New Roman"/>
      <w:kern w:val="2"/>
      <w:szCs w:val="21"/>
    </w:rPr>
  </w:style>
  <w:style w:type="paragraph" w:styleId="a7">
    <w:name w:val="Document Map"/>
    <w:basedOn w:val="a"/>
    <w:link w:val="a8"/>
    <w:autoRedefine/>
    <w:uiPriority w:val="99"/>
    <w:semiHidden/>
    <w:unhideWhenUsed/>
    <w:qFormat/>
    <w:pPr>
      <w:widowControl w:val="0"/>
      <w:jc w:val="both"/>
    </w:pPr>
    <w:rPr>
      <w:rFonts w:hAnsi="Calibri" w:cs="Times New Roman"/>
      <w:kern w:val="2"/>
      <w:sz w:val="18"/>
      <w:szCs w:val="18"/>
    </w:rPr>
  </w:style>
  <w:style w:type="paragraph" w:styleId="a9">
    <w:name w:val="toa heading"/>
    <w:basedOn w:val="a"/>
    <w:next w:val="a"/>
    <w:link w:val="aa"/>
    <w:autoRedefine/>
    <w:semiHidden/>
    <w:qFormat/>
    <w:pPr>
      <w:widowControl w:val="0"/>
      <w:spacing w:before="120"/>
      <w:jc w:val="both"/>
    </w:pPr>
    <w:rPr>
      <w:rFonts w:ascii="Arial" w:hAnsi="Arial" w:cs="Times New Roman"/>
      <w:b/>
      <w:bCs/>
      <w:kern w:val="2"/>
      <w:szCs w:val="21"/>
    </w:rPr>
  </w:style>
  <w:style w:type="paragraph" w:styleId="ab">
    <w:name w:val="annotation text"/>
    <w:basedOn w:val="a"/>
    <w:link w:val="ac"/>
    <w:autoRedefine/>
    <w:qFormat/>
    <w:pPr>
      <w:widowControl w:val="0"/>
    </w:pPr>
    <w:rPr>
      <w:rFonts w:ascii="Times New Roman" w:hAnsi="Times New Roman" w:cs="Times New Roman"/>
      <w:kern w:val="2"/>
      <w:szCs w:val="21"/>
    </w:rPr>
  </w:style>
  <w:style w:type="paragraph" w:styleId="ad">
    <w:name w:val="Salutation"/>
    <w:basedOn w:val="a"/>
    <w:next w:val="a"/>
    <w:link w:val="ae"/>
    <w:autoRedefine/>
    <w:uiPriority w:val="99"/>
    <w:qFormat/>
    <w:pPr>
      <w:widowControl w:val="0"/>
      <w:jc w:val="both"/>
    </w:pPr>
    <w:rPr>
      <w:rFonts w:ascii="Times New Roman" w:hAnsi="Times New Roman" w:cs="Times New Roman"/>
      <w:kern w:val="2"/>
      <w:szCs w:val="21"/>
    </w:rPr>
  </w:style>
  <w:style w:type="paragraph" w:styleId="31">
    <w:name w:val="Body Text 3"/>
    <w:basedOn w:val="a"/>
    <w:link w:val="32"/>
    <w:uiPriority w:val="99"/>
    <w:semiHidden/>
    <w:unhideWhenUsed/>
    <w:pPr>
      <w:spacing w:after="120"/>
    </w:pPr>
    <w:rPr>
      <w:sz w:val="16"/>
      <w:szCs w:val="16"/>
    </w:rPr>
  </w:style>
  <w:style w:type="paragraph" w:styleId="33">
    <w:name w:val="List Bullet 3"/>
    <w:basedOn w:val="a"/>
    <w:autoRedefine/>
    <w:qFormat/>
    <w:pPr>
      <w:widowControl w:val="0"/>
      <w:tabs>
        <w:tab w:val="left" w:pos="1200"/>
      </w:tabs>
      <w:jc w:val="both"/>
    </w:pPr>
    <w:rPr>
      <w:rFonts w:ascii="Times New Roman" w:hAnsi="Times New Roman" w:cs="Times New Roman"/>
      <w:kern w:val="2"/>
      <w:szCs w:val="21"/>
    </w:rPr>
  </w:style>
  <w:style w:type="paragraph" w:styleId="af">
    <w:name w:val="Body Text"/>
    <w:basedOn w:val="a"/>
    <w:link w:val="af0"/>
    <w:uiPriority w:val="99"/>
    <w:qFormat/>
    <w:pPr>
      <w:widowControl w:val="0"/>
      <w:spacing w:after="120"/>
      <w:jc w:val="both"/>
    </w:pPr>
    <w:rPr>
      <w:rFonts w:ascii="Times New Roman" w:hAnsi="Times New Roman" w:cs="Times New Roman"/>
      <w:kern w:val="2"/>
      <w:szCs w:val="21"/>
    </w:rPr>
  </w:style>
  <w:style w:type="paragraph" w:styleId="af1">
    <w:name w:val="Body Text Indent"/>
    <w:basedOn w:val="a"/>
    <w:link w:val="af2"/>
    <w:uiPriority w:val="99"/>
    <w:semiHidden/>
    <w:unhideWhenUsed/>
    <w:pPr>
      <w:spacing w:after="120"/>
      <w:ind w:leftChars="200" w:left="420"/>
    </w:pPr>
  </w:style>
  <w:style w:type="paragraph" w:styleId="TOC5">
    <w:name w:val="toc 5"/>
    <w:basedOn w:val="a"/>
    <w:next w:val="a"/>
    <w:autoRedefine/>
    <w:uiPriority w:val="39"/>
    <w:unhideWhenUsed/>
    <w:qFormat/>
    <w:pPr>
      <w:widowControl w:val="0"/>
      <w:ind w:leftChars="800" w:left="1680"/>
      <w:jc w:val="both"/>
    </w:pPr>
    <w:rPr>
      <w:rFonts w:asciiTheme="minorHAnsi" w:eastAsiaTheme="minorEastAsia" w:hAnsiTheme="minorHAnsi" w:cstheme="minorBidi"/>
      <w:kern w:val="2"/>
      <w:szCs w:val="22"/>
    </w:rPr>
  </w:style>
  <w:style w:type="paragraph" w:styleId="TOC3">
    <w:name w:val="toc 3"/>
    <w:basedOn w:val="a"/>
    <w:next w:val="a"/>
    <w:autoRedefine/>
    <w:uiPriority w:val="39"/>
    <w:unhideWhenUsed/>
    <w:qFormat/>
    <w:pPr>
      <w:spacing w:after="100" w:line="276" w:lineRule="auto"/>
      <w:ind w:left="440"/>
    </w:pPr>
    <w:rPr>
      <w:rFonts w:ascii="Calibri" w:hAnsi="Calibri" w:cs="Times New Roman"/>
      <w:sz w:val="22"/>
      <w:szCs w:val="22"/>
    </w:rPr>
  </w:style>
  <w:style w:type="paragraph" w:styleId="af3">
    <w:name w:val="Plain Text"/>
    <w:basedOn w:val="a"/>
    <w:link w:val="af4"/>
    <w:autoRedefine/>
    <w:qFormat/>
    <w:pPr>
      <w:widowControl w:val="0"/>
      <w:jc w:val="both"/>
    </w:pPr>
    <w:rPr>
      <w:rFonts w:hAnsi="Courier New" w:cs="Times New Roman"/>
      <w:kern w:val="2"/>
      <w:szCs w:val="20"/>
    </w:rPr>
  </w:style>
  <w:style w:type="paragraph" w:styleId="TOC8">
    <w:name w:val="toc 8"/>
    <w:basedOn w:val="a"/>
    <w:next w:val="a"/>
    <w:autoRedefine/>
    <w:uiPriority w:val="39"/>
    <w:unhideWhenUsed/>
    <w:qFormat/>
    <w:pPr>
      <w:widowControl w:val="0"/>
      <w:ind w:leftChars="1400" w:left="2940"/>
      <w:jc w:val="both"/>
    </w:pPr>
    <w:rPr>
      <w:rFonts w:asciiTheme="minorHAnsi" w:eastAsiaTheme="minorEastAsia" w:hAnsiTheme="minorHAnsi" w:cstheme="minorBidi"/>
      <w:kern w:val="2"/>
      <w:szCs w:val="22"/>
    </w:rPr>
  </w:style>
  <w:style w:type="paragraph" w:styleId="af5">
    <w:name w:val="Date"/>
    <w:basedOn w:val="a"/>
    <w:next w:val="a"/>
    <w:link w:val="af6"/>
    <w:autoRedefine/>
    <w:uiPriority w:val="99"/>
    <w:pPr>
      <w:widowControl w:val="0"/>
      <w:ind w:leftChars="2500" w:left="100"/>
      <w:jc w:val="both"/>
    </w:pPr>
    <w:rPr>
      <w:rFonts w:ascii="Times New Roman" w:hAnsi="Times New Roman" w:cs="Times New Roman"/>
      <w:kern w:val="2"/>
      <w:szCs w:val="21"/>
    </w:rPr>
  </w:style>
  <w:style w:type="paragraph" w:styleId="21">
    <w:name w:val="Body Text Indent 2"/>
    <w:basedOn w:val="a"/>
    <w:link w:val="22"/>
    <w:uiPriority w:val="99"/>
    <w:semiHidden/>
    <w:unhideWhenUsed/>
    <w:pPr>
      <w:spacing w:after="120" w:line="480" w:lineRule="auto"/>
      <w:ind w:leftChars="200" w:left="420"/>
    </w:pPr>
  </w:style>
  <w:style w:type="paragraph" w:styleId="af7">
    <w:name w:val="endnote text"/>
    <w:basedOn w:val="a"/>
    <w:link w:val="af8"/>
    <w:autoRedefine/>
    <w:uiPriority w:val="99"/>
    <w:semiHidden/>
    <w:unhideWhenUsed/>
    <w:qFormat/>
    <w:pPr>
      <w:snapToGrid w:val="0"/>
    </w:pPr>
  </w:style>
  <w:style w:type="paragraph" w:styleId="af9">
    <w:name w:val="Balloon Text"/>
    <w:basedOn w:val="a"/>
    <w:link w:val="afa"/>
    <w:autoRedefine/>
    <w:uiPriority w:val="99"/>
    <w:unhideWhenUsed/>
    <w:qFormat/>
    <w:pPr>
      <w:widowControl w:val="0"/>
      <w:jc w:val="both"/>
    </w:pPr>
    <w:rPr>
      <w:rFonts w:ascii="Calibri" w:hAnsi="Calibri" w:cs="Times New Roman"/>
      <w:kern w:val="2"/>
      <w:sz w:val="18"/>
      <w:szCs w:val="18"/>
    </w:rPr>
  </w:style>
  <w:style w:type="paragraph" w:styleId="afb">
    <w:name w:val="footer"/>
    <w:basedOn w:val="a"/>
    <w:link w:val="afc"/>
    <w:autoRedefine/>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fd">
    <w:name w:val="header"/>
    <w:basedOn w:val="a"/>
    <w:link w:val="afe"/>
    <w:autoRedefine/>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TOC1">
    <w:name w:val="toc 1"/>
    <w:basedOn w:val="a"/>
    <w:next w:val="a"/>
    <w:autoRedefine/>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4">
    <w:name w:val="toc 4"/>
    <w:basedOn w:val="a"/>
    <w:next w:val="a"/>
    <w:autoRedefine/>
    <w:uiPriority w:val="39"/>
    <w:unhideWhenUsed/>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qFormat/>
    <w:pPr>
      <w:widowControl w:val="0"/>
      <w:ind w:leftChars="1000" w:left="2100"/>
      <w:jc w:val="both"/>
    </w:pPr>
    <w:rPr>
      <w:rFonts w:asciiTheme="minorHAnsi" w:eastAsiaTheme="minorEastAsia" w:hAnsiTheme="minorHAnsi" w:cstheme="minorBidi"/>
      <w:kern w:val="2"/>
      <w:szCs w:val="22"/>
    </w:rPr>
  </w:style>
  <w:style w:type="paragraph" w:styleId="34">
    <w:name w:val="Body Text Indent 3"/>
    <w:basedOn w:val="a"/>
    <w:link w:val="35"/>
    <w:uiPriority w:val="99"/>
    <w:semiHidden/>
    <w:unhideWhenUsed/>
    <w:pPr>
      <w:spacing w:after="120"/>
      <w:ind w:leftChars="200" w:left="420"/>
    </w:pPr>
    <w:rPr>
      <w:sz w:val="16"/>
      <w:szCs w:val="16"/>
    </w:rPr>
  </w:style>
  <w:style w:type="paragraph" w:styleId="TOC2">
    <w:name w:val="toc 2"/>
    <w:basedOn w:val="a"/>
    <w:next w:val="a"/>
    <w:autoRedefine/>
    <w:uiPriority w:val="39"/>
    <w:qFormat/>
    <w:pPr>
      <w:widowControl w:val="0"/>
      <w:ind w:leftChars="200" w:left="420"/>
      <w:jc w:val="both"/>
    </w:pPr>
    <w:rPr>
      <w:rFonts w:ascii="Times New Roman" w:hAnsi="Times New Roman" w:cs="Times New Roman"/>
      <w:kern w:val="2"/>
      <w:szCs w:val="21"/>
    </w:rPr>
  </w:style>
  <w:style w:type="paragraph" w:styleId="TOC9">
    <w:name w:val="toc 9"/>
    <w:basedOn w:val="a"/>
    <w:next w:val="a"/>
    <w:autoRedefine/>
    <w:uiPriority w:val="39"/>
    <w:unhideWhenUsed/>
    <w:qFormat/>
    <w:pPr>
      <w:widowControl w:val="0"/>
      <w:ind w:leftChars="1600" w:left="3360"/>
      <w:jc w:val="both"/>
    </w:pPr>
    <w:rPr>
      <w:rFonts w:asciiTheme="minorHAnsi" w:eastAsiaTheme="minorEastAsia" w:hAnsiTheme="minorHAnsi" w:cstheme="minorBidi"/>
      <w:kern w:val="2"/>
      <w:szCs w:val="22"/>
    </w:rPr>
  </w:style>
  <w:style w:type="paragraph" w:styleId="23">
    <w:name w:val="Body Text 2"/>
    <w:basedOn w:val="a"/>
    <w:link w:val="24"/>
    <w:uiPriority w:val="99"/>
    <w:semiHidden/>
    <w:unhideWhenUsed/>
    <w:pPr>
      <w:spacing w:after="120" w:line="480" w:lineRule="auto"/>
    </w:pPr>
  </w:style>
  <w:style w:type="paragraph" w:styleId="aff">
    <w:name w:val="Normal (Web)"/>
    <w:basedOn w:val="a"/>
    <w:autoRedefine/>
    <w:uiPriority w:val="99"/>
    <w:qFormat/>
    <w:pPr>
      <w:spacing w:before="100" w:beforeAutospacing="1" w:after="100" w:afterAutospacing="1"/>
    </w:pPr>
    <w:rPr>
      <w:sz w:val="24"/>
    </w:rPr>
  </w:style>
  <w:style w:type="paragraph" w:styleId="11">
    <w:name w:val="index 1"/>
    <w:basedOn w:val="a"/>
    <w:next w:val="a"/>
    <w:autoRedefine/>
    <w:semiHidden/>
    <w:qFormat/>
    <w:pPr>
      <w:ind w:firstLineChars="200" w:firstLine="420"/>
    </w:pPr>
    <w:rPr>
      <w:rFonts w:cs="Times New Roman"/>
      <w:color w:val="000000"/>
      <w:szCs w:val="21"/>
    </w:rPr>
  </w:style>
  <w:style w:type="paragraph" w:styleId="aff0">
    <w:name w:val="Title"/>
    <w:basedOn w:val="a"/>
    <w:next w:val="a"/>
    <w:link w:val="aff1"/>
    <w:autoRedefine/>
    <w:uiPriority w:val="10"/>
    <w:qFormat/>
    <w:pPr>
      <w:widowControl w:val="0"/>
      <w:spacing w:before="240" w:after="60"/>
      <w:jc w:val="center"/>
      <w:outlineLvl w:val="0"/>
    </w:pPr>
    <w:rPr>
      <w:rFonts w:asciiTheme="majorHAnsi" w:hAnsiTheme="majorHAnsi" w:cstheme="majorBidi"/>
      <w:b/>
      <w:bCs/>
      <w:kern w:val="2"/>
      <w:sz w:val="32"/>
      <w:szCs w:val="32"/>
    </w:rPr>
  </w:style>
  <w:style w:type="paragraph" w:styleId="aff2">
    <w:name w:val="annotation subject"/>
    <w:basedOn w:val="ab"/>
    <w:next w:val="ab"/>
    <w:link w:val="aff3"/>
    <w:autoRedefine/>
    <w:uiPriority w:val="99"/>
    <w:unhideWhenUsed/>
    <w:qFormat/>
    <w:rPr>
      <w:rFonts w:ascii="Calibri" w:hAnsi="Calibri"/>
      <w:b/>
      <w:bCs/>
      <w:szCs w:val="22"/>
    </w:rPr>
  </w:style>
  <w:style w:type="paragraph" w:styleId="aff4">
    <w:name w:val="Body Text First Indent"/>
    <w:basedOn w:val="af"/>
    <w:link w:val="aff5"/>
    <w:uiPriority w:val="99"/>
    <w:semiHidden/>
    <w:unhideWhenUsed/>
    <w:pPr>
      <w:widowControl/>
      <w:ind w:firstLineChars="100" w:firstLine="420"/>
      <w:jc w:val="left"/>
    </w:pPr>
    <w:rPr>
      <w:rFonts w:ascii="宋体" w:hAnsi="宋体" w:cs="宋体"/>
      <w:kern w:val="0"/>
      <w:szCs w:val="24"/>
    </w:rPr>
  </w:style>
  <w:style w:type="paragraph" w:styleId="25">
    <w:name w:val="Body Text First Indent 2"/>
    <w:basedOn w:val="af1"/>
    <w:link w:val="26"/>
    <w:uiPriority w:val="99"/>
    <w:semiHidden/>
    <w:unhideWhenUsed/>
    <w:pPr>
      <w:ind w:firstLineChars="200" w:firstLine="420"/>
    </w:pPr>
  </w:style>
  <w:style w:type="table" w:styleId="aff6">
    <w:name w:val="Table Grid"/>
    <w:basedOn w:val="a1"/>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Strong"/>
    <w:basedOn w:val="a0"/>
    <w:autoRedefine/>
    <w:uiPriority w:val="22"/>
    <w:qFormat/>
    <w:rPr>
      <w:b/>
      <w:bCs/>
    </w:rPr>
  </w:style>
  <w:style w:type="character" w:styleId="aff8">
    <w:name w:val="endnote reference"/>
    <w:basedOn w:val="a0"/>
    <w:link w:val="47"/>
    <w:autoRedefine/>
    <w:uiPriority w:val="99"/>
    <w:semiHidden/>
    <w:unhideWhenUsed/>
    <w:qFormat/>
    <w:rPr>
      <w:vertAlign w:val="superscript"/>
    </w:rPr>
  </w:style>
  <w:style w:type="paragraph" w:customStyle="1" w:styleId="47">
    <w:name w:val="47"/>
    <w:basedOn w:val="92"/>
    <w:next w:val="a"/>
    <w:link w:val="aff8"/>
    <w:autoRedefine/>
    <w:uiPriority w:val="10"/>
    <w:qFormat/>
    <w:pPr>
      <w:spacing w:before="240" w:after="60"/>
      <w:jc w:val="center"/>
      <w:outlineLvl w:val="0"/>
    </w:pPr>
    <w:rPr>
      <w:rFonts w:asciiTheme="majorHAnsi" w:hAnsiTheme="majorHAnsi" w:cstheme="majorBidi"/>
      <w:b/>
      <w:bCs/>
      <w:kern w:val="2"/>
      <w:sz w:val="32"/>
      <w:szCs w:val="32"/>
    </w:rPr>
  </w:style>
  <w:style w:type="paragraph" w:customStyle="1" w:styleId="92">
    <w:name w:val="92"/>
    <w:autoRedefine/>
    <w:qFormat/>
    <w:rsid w:val="00C25422"/>
    <w:pPr>
      <w:widowControl w:val="0"/>
      <w:jc w:val="both"/>
    </w:pPr>
    <w:rPr>
      <w:rFonts w:ascii="宋体" w:hAnsi="宋体" w:cs="宋体"/>
      <w:szCs w:val="24"/>
    </w:rPr>
  </w:style>
  <w:style w:type="character" w:styleId="aff9">
    <w:name w:val="FollowedHyperlink"/>
    <w:basedOn w:val="a0"/>
    <w:uiPriority w:val="99"/>
    <w:semiHidden/>
    <w:unhideWhenUsed/>
    <w:rPr>
      <w:color w:val="800080" w:themeColor="followedHyperlink"/>
      <w:u w:val="single"/>
    </w:rPr>
  </w:style>
  <w:style w:type="character" w:styleId="affa">
    <w:name w:val="Hyperlink"/>
    <w:basedOn w:val="a0"/>
    <w:autoRedefine/>
    <w:uiPriority w:val="99"/>
    <w:qFormat/>
    <w:rPr>
      <w:rFonts w:cs="Times New Roman"/>
      <w:color w:val="0000FF"/>
      <w:u w:val="single"/>
    </w:rPr>
  </w:style>
  <w:style w:type="character" w:styleId="affb">
    <w:name w:val="annotation reference"/>
    <w:basedOn w:val="a0"/>
    <w:autoRedefine/>
    <w:qFormat/>
    <w:rPr>
      <w:rFonts w:eastAsia="宋体" w:cs="Times New Roman"/>
      <w:kern w:val="2"/>
      <w:sz w:val="21"/>
      <w:szCs w:val="21"/>
      <w:lang w:val="en-US" w:eastAsia="zh-CN" w:bidi="ar-SA"/>
    </w:rPr>
  </w:style>
  <w:style w:type="character" w:customStyle="1" w:styleId="10">
    <w:name w:val="标题 1 字符"/>
    <w:basedOn w:val="a0"/>
    <w:link w:val="1"/>
    <w:autoRedefine/>
    <w:uiPriority w:val="99"/>
    <w:qFormat/>
    <w:rsid w:val="00E76E97"/>
    <w:rPr>
      <w:rFonts w:eastAsia="黑体"/>
      <w:b/>
      <w:bCs/>
      <w:kern w:val="44"/>
      <w:sz w:val="28"/>
      <w:szCs w:val="44"/>
    </w:rPr>
  </w:style>
  <w:style w:type="character" w:customStyle="1" w:styleId="20">
    <w:name w:val="标题 2 字符"/>
    <w:basedOn w:val="a0"/>
    <w:link w:val="2"/>
    <w:autoRedefine/>
    <w:qFormat/>
    <w:rPr>
      <w:rFonts w:ascii="Arial" w:hAnsi="Arial"/>
      <w:b/>
      <w:bCs/>
      <w:kern w:val="2"/>
      <w:sz w:val="21"/>
      <w:szCs w:val="21"/>
    </w:rPr>
  </w:style>
  <w:style w:type="character" w:customStyle="1" w:styleId="30">
    <w:name w:val="标题 3 字符"/>
    <w:basedOn w:val="a0"/>
    <w:link w:val="3"/>
    <w:autoRedefine/>
    <w:uiPriority w:val="9"/>
    <w:qFormat/>
    <w:rPr>
      <w:b/>
      <w:bCs/>
      <w:kern w:val="2"/>
      <w:sz w:val="21"/>
      <w:szCs w:val="32"/>
      <w:shd w:val="clear" w:color="auto" w:fill="FFFFFF"/>
    </w:rPr>
  </w:style>
  <w:style w:type="character" w:customStyle="1" w:styleId="40">
    <w:name w:val="标题 4 字符"/>
    <w:basedOn w:val="a0"/>
    <w:link w:val="4"/>
    <w:autoRedefine/>
    <w:uiPriority w:val="9"/>
    <w:qFormat/>
    <w:rPr>
      <w:rFonts w:asciiTheme="minorEastAsia" w:eastAsiaTheme="minorEastAsia" w:hAnsiTheme="minorEastAsia"/>
      <w:b/>
      <w:bCs/>
      <w:kern w:val="2"/>
      <w:sz w:val="21"/>
      <w:szCs w:val="28"/>
    </w:rPr>
  </w:style>
  <w:style w:type="character" w:customStyle="1" w:styleId="50">
    <w:name w:val="标题 5 字符"/>
    <w:basedOn w:val="a0"/>
    <w:link w:val="5"/>
    <w:autoRedefine/>
    <w:uiPriority w:val="9"/>
    <w:qFormat/>
    <w:rPr>
      <w:b/>
      <w:bCs/>
      <w:kern w:val="2"/>
      <w:sz w:val="21"/>
      <w:szCs w:val="28"/>
    </w:rPr>
  </w:style>
  <w:style w:type="paragraph" w:customStyle="1" w:styleId="TOC10">
    <w:name w:val="TOC 标题1"/>
    <w:basedOn w:val="1"/>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ac">
    <w:name w:val="批注文字 字符"/>
    <w:basedOn w:val="a0"/>
    <w:link w:val="ab"/>
    <w:autoRedefine/>
    <w:qFormat/>
    <w:rPr>
      <w:rFonts w:ascii="Times New Roman" w:eastAsia="宋体" w:hAnsi="Times New Roman" w:cs="Times New Roman"/>
      <w:szCs w:val="21"/>
    </w:rPr>
  </w:style>
  <w:style w:type="character" w:customStyle="1" w:styleId="afa">
    <w:name w:val="批注框文本 字符"/>
    <w:basedOn w:val="a0"/>
    <w:link w:val="af9"/>
    <w:autoRedefine/>
    <w:uiPriority w:val="99"/>
    <w:qFormat/>
    <w:rPr>
      <w:rFonts w:ascii="Calibri" w:eastAsia="宋体" w:hAnsi="Calibri" w:cs="Times New Roman"/>
      <w:sz w:val="18"/>
      <w:szCs w:val="18"/>
    </w:rPr>
  </w:style>
  <w:style w:type="character" w:customStyle="1" w:styleId="ae">
    <w:name w:val="称呼 字符"/>
    <w:basedOn w:val="a0"/>
    <w:link w:val="ad"/>
    <w:autoRedefine/>
    <w:uiPriority w:val="99"/>
    <w:qFormat/>
    <w:rPr>
      <w:rFonts w:ascii="Times New Roman" w:eastAsia="宋体" w:hAnsi="Times New Roman" w:cs="Times New Roman"/>
      <w:szCs w:val="21"/>
    </w:rPr>
  </w:style>
  <w:style w:type="character" w:customStyle="1" w:styleId="notnullcss1">
    <w:name w:val="notnullcss1"/>
    <w:basedOn w:val="a0"/>
    <w:autoRedefine/>
    <w:uiPriority w:val="99"/>
    <w:qFormat/>
    <w:rPr>
      <w:rFonts w:eastAsia="宋体" w:cs="Times New Roman"/>
      <w:color w:val="FF0000"/>
      <w:kern w:val="2"/>
      <w:sz w:val="24"/>
      <w:szCs w:val="24"/>
      <w:lang w:val="en-US" w:eastAsia="zh-CN" w:bidi="ar-SA"/>
    </w:rPr>
  </w:style>
  <w:style w:type="paragraph" w:customStyle="1" w:styleId="xl61">
    <w:name w:val="xl61"/>
    <w:basedOn w:val="a"/>
    <w:autoRedefine/>
    <w:uiPriority w:val="99"/>
    <w:qFormat/>
    <w:pPr>
      <w:spacing w:before="100" w:after="100"/>
      <w:jc w:val="right"/>
    </w:pPr>
    <w:rPr>
      <w:rFonts w:ascii="Arial Unicode MS" w:eastAsia="Arial Unicode MS" w:hAnsi="Times New Roman" w:cs="Times New Roman"/>
      <w:sz w:val="18"/>
      <w:szCs w:val="18"/>
    </w:rPr>
  </w:style>
  <w:style w:type="paragraph" w:styleId="affc">
    <w:name w:val="List Paragraph"/>
    <w:basedOn w:val="a"/>
    <w:link w:val="affd"/>
    <w:autoRedefine/>
    <w:uiPriority w:val="99"/>
    <w:qFormat/>
    <w:pPr>
      <w:widowControl w:val="0"/>
      <w:ind w:firstLineChars="200" w:firstLine="420"/>
      <w:jc w:val="both"/>
    </w:pPr>
    <w:rPr>
      <w:rFonts w:ascii="Calibri" w:hAnsi="Calibri" w:cs="Times New Roman"/>
      <w:kern w:val="2"/>
      <w:szCs w:val="22"/>
    </w:rPr>
  </w:style>
  <w:style w:type="character" w:customStyle="1" w:styleId="aff3">
    <w:name w:val="批注主题 字符"/>
    <w:basedOn w:val="ac"/>
    <w:link w:val="aff2"/>
    <w:autoRedefine/>
    <w:uiPriority w:val="99"/>
    <w:qFormat/>
    <w:rPr>
      <w:rFonts w:ascii="Calibri" w:eastAsia="宋体" w:hAnsi="Calibri" w:cs="Times New Roman"/>
      <w:b/>
      <w:bCs/>
      <w:szCs w:val="21"/>
    </w:rPr>
  </w:style>
  <w:style w:type="character" w:customStyle="1" w:styleId="afe">
    <w:name w:val="页眉 字符"/>
    <w:basedOn w:val="a0"/>
    <w:link w:val="afd"/>
    <w:autoRedefine/>
    <w:uiPriority w:val="99"/>
    <w:qFormat/>
    <w:rPr>
      <w:rFonts w:ascii="Calibri" w:eastAsia="宋体" w:hAnsi="Calibri" w:cs="Times New Roman"/>
      <w:sz w:val="18"/>
      <w:szCs w:val="18"/>
    </w:rPr>
  </w:style>
  <w:style w:type="character" w:customStyle="1" w:styleId="afc">
    <w:name w:val="页脚 字符"/>
    <w:basedOn w:val="a0"/>
    <w:link w:val="afb"/>
    <w:autoRedefine/>
    <w:uiPriority w:val="99"/>
    <w:qFormat/>
    <w:rPr>
      <w:rFonts w:ascii="Calibri" w:eastAsia="宋体" w:hAnsi="Calibri" w:cs="Times New Roman"/>
      <w:sz w:val="18"/>
      <w:szCs w:val="18"/>
    </w:rPr>
  </w:style>
  <w:style w:type="character" w:customStyle="1" w:styleId="af4">
    <w:name w:val="纯文本 字符"/>
    <w:basedOn w:val="a0"/>
    <w:link w:val="af3"/>
    <w:autoRedefine/>
    <w:qFormat/>
    <w:rPr>
      <w:rFonts w:ascii="宋体" w:eastAsia="宋体" w:hAnsi="Courier New" w:cs="Times New Roman"/>
      <w:szCs w:val="20"/>
    </w:rPr>
  </w:style>
  <w:style w:type="character" w:customStyle="1" w:styleId="headline-content2">
    <w:name w:val="headline-content2"/>
    <w:basedOn w:val="a0"/>
    <w:autoRedefine/>
    <w:qFormat/>
    <w:rPr>
      <w:rFonts w:eastAsia="宋体" w:cs="Times New Roman"/>
      <w:kern w:val="2"/>
      <w:sz w:val="24"/>
      <w:szCs w:val="24"/>
      <w:lang w:val="en-US" w:eastAsia="zh-CN" w:bidi="ar-SA"/>
    </w:rPr>
  </w:style>
  <w:style w:type="character" w:customStyle="1" w:styleId="af0">
    <w:name w:val="正文文本 字符"/>
    <w:basedOn w:val="a0"/>
    <w:link w:val="af"/>
    <w:autoRedefine/>
    <w:uiPriority w:val="99"/>
    <w:qFormat/>
    <w:rPr>
      <w:rFonts w:ascii="Times New Roman" w:eastAsia="宋体" w:hAnsi="Times New Roman" w:cs="Times New Roman"/>
      <w:szCs w:val="21"/>
    </w:rPr>
  </w:style>
  <w:style w:type="paragraph" w:customStyle="1" w:styleId="write2">
    <w:name w:val="write2"/>
    <w:basedOn w:val="a"/>
    <w:autoRedefine/>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af6">
    <w:name w:val="日期 字符"/>
    <w:basedOn w:val="a0"/>
    <w:link w:val="af5"/>
    <w:autoRedefine/>
    <w:uiPriority w:val="99"/>
    <w:qFormat/>
    <w:rPr>
      <w:rFonts w:ascii="Times New Roman" w:eastAsia="宋体" w:hAnsi="Times New Roman" w:cs="Times New Roman"/>
      <w:szCs w:val="21"/>
    </w:rPr>
  </w:style>
  <w:style w:type="character" w:customStyle="1" w:styleId="a4">
    <w:name w:val="注释标题 字符"/>
    <w:basedOn w:val="a0"/>
    <w:link w:val="a3"/>
    <w:autoRedefine/>
    <w:uiPriority w:val="99"/>
    <w:qFormat/>
    <w:rPr>
      <w:rFonts w:ascii="Times New Roman" w:eastAsia="宋体" w:hAnsi="Times New Roman" w:cs="Times New Roman"/>
      <w:szCs w:val="21"/>
    </w:rPr>
  </w:style>
  <w:style w:type="paragraph" w:customStyle="1" w:styleId="51">
    <w:name w:val="标题5"/>
    <w:basedOn w:val="a"/>
    <w:autoRedefine/>
    <w:qFormat/>
    <w:pPr>
      <w:keepNext/>
      <w:keepLines/>
      <w:widowControl w:val="0"/>
      <w:spacing w:before="60" w:after="60"/>
      <w:ind w:hangingChars="200" w:hanging="420"/>
      <w:jc w:val="both"/>
      <w:outlineLvl w:val="4"/>
    </w:pPr>
    <w:rPr>
      <w:rFonts w:cs="Times New Roman"/>
      <w:b/>
      <w:bCs/>
      <w:kern w:val="2"/>
      <w:szCs w:val="21"/>
    </w:rPr>
  </w:style>
  <w:style w:type="paragraph" w:customStyle="1" w:styleId="12">
    <w:name w:val="修订1"/>
    <w:autoRedefine/>
    <w:hidden/>
    <w:uiPriority w:val="99"/>
    <w:semiHidden/>
    <w:qFormat/>
    <w:rPr>
      <w:kern w:val="2"/>
      <w:sz w:val="21"/>
      <w:szCs w:val="22"/>
    </w:rPr>
  </w:style>
  <w:style w:type="character" w:customStyle="1" w:styleId="Char">
    <w:name w:val="正文的样式 Char"/>
    <w:basedOn w:val="a0"/>
    <w:link w:val="affe"/>
    <w:autoRedefine/>
    <w:qFormat/>
    <w:rPr>
      <w:kern w:val="2"/>
      <w:sz w:val="21"/>
      <w:szCs w:val="24"/>
    </w:rPr>
  </w:style>
  <w:style w:type="paragraph" w:customStyle="1" w:styleId="affe">
    <w:name w:val="正文的样式"/>
    <w:basedOn w:val="a"/>
    <w:link w:val="Char"/>
    <w:qFormat/>
    <w:pPr>
      <w:widowControl w:val="0"/>
      <w:spacing w:before="100" w:after="100"/>
      <w:jc w:val="both"/>
    </w:pPr>
    <w:rPr>
      <w:rFonts w:ascii="Calibri" w:hAnsi="Calibri" w:cs="Times New Roman"/>
      <w:kern w:val="2"/>
    </w:rPr>
  </w:style>
  <w:style w:type="character" w:customStyle="1" w:styleId="a8">
    <w:name w:val="文档结构图 字符"/>
    <w:basedOn w:val="a0"/>
    <w:link w:val="a7"/>
    <w:autoRedefine/>
    <w:uiPriority w:val="99"/>
    <w:semiHidden/>
    <w:qFormat/>
    <w:rPr>
      <w:rFonts w:ascii="宋体"/>
      <w:kern w:val="2"/>
      <w:sz w:val="18"/>
      <w:szCs w:val="18"/>
    </w:rPr>
  </w:style>
  <w:style w:type="character" w:styleId="afff">
    <w:name w:val="Placeholder Text"/>
    <w:basedOn w:val="a0"/>
    <w:autoRedefine/>
    <w:uiPriority w:val="99"/>
    <w:semiHidden/>
    <w:qFormat/>
    <w:rPr>
      <w:color w:val="auto"/>
    </w:rPr>
  </w:style>
  <w:style w:type="character" w:customStyle="1" w:styleId="aff1">
    <w:name w:val="标题 字符"/>
    <w:basedOn w:val="a0"/>
    <w:link w:val="aff0"/>
    <w:autoRedefine/>
    <w:uiPriority w:val="10"/>
    <w:qFormat/>
    <w:rPr>
      <w:rFonts w:asciiTheme="majorHAnsi" w:hAnsiTheme="majorHAnsi" w:cstheme="majorBidi"/>
      <w:b/>
      <w:bCs/>
      <w:kern w:val="2"/>
      <w:sz w:val="32"/>
      <w:szCs w:val="32"/>
    </w:rPr>
  </w:style>
  <w:style w:type="paragraph" w:styleId="afff0">
    <w:name w:val="No Spacing"/>
    <w:autoRedefine/>
    <w:uiPriority w:val="1"/>
    <w:qFormat/>
    <w:pPr>
      <w:widowControl w:val="0"/>
      <w:jc w:val="both"/>
    </w:pPr>
    <w:rPr>
      <w:kern w:val="2"/>
      <w:sz w:val="21"/>
      <w:szCs w:val="22"/>
    </w:rPr>
  </w:style>
  <w:style w:type="character" w:customStyle="1" w:styleId="60">
    <w:name w:val="标题 6 字符"/>
    <w:basedOn w:val="a0"/>
    <w:link w:val="6"/>
    <w:autoRedefine/>
    <w:uiPriority w:val="9"/>
    <w:qFormat/>
    <w:rPr>
      <w:rFonts w:asciiTheme="majorHAnsi" w:hAnsiTheme="majorHAnsi" w:cstheme="majorBidi"/>
      <w:b/>
      <w:bCs/>
      <w:sz w:val="21"/>
      <w:szCs w:val="24"/>
    </w:rPr>
  </w:style>
  <w:style w:type="character" w:customStyle="1" w:styleId="af8">
    <w:name w:val="尾注文本 字符"/>
    <w:basedOn w:val="a0"/>
    <w:link w:val="af7"/>
    <w:autoRedefine/>
    <w:uiPriority w:val="99"/>
    <w:semiHidden/>
    <w:qFormat/>
    <w:rPr>
      <w:rFonts w:ascii="宋体" w:hAnsi="宋体" w:cs="宋体"/>
      <w:sz w:val="21"/>
      <w:szCs w:val="24"/>
    </w:rPr>
  </w:style>
  <w:style w:type="character" w:customStyle="1" w:styleId="Char1">
    <w:name w:val="批注主题 Char1"/>
    <w:basedOn w:val="ac"/>
    <w:autoRedefine/>
    <w:uiPriority w:val="99"/>
    <w:semiHidden/>
    <w:qFormat/>
    <w:rPr>
      <w:rFonts w:ascii="Times New Roman" w:eastAsia="宋体" w:hAnsi="Times New Roman" w:cs="Times New Roman"/>
      <w:b/>
      <w:bCs/>
      <w:szCs w:val="21"/>
    </w:rPr>
  </w:style>
  <w:style w:type="character" w:customStyle="1" w:styleId="span">
    <w:name w:val="span_"/>
    <w:basedOn w:val="a0"/>
    <w:autoRedefine/>
    <w:qFormat/>
  </w:style>
  <w:style w:type="paragraph" w:customStyle="1" w:styleId="36">
    <w:name w:val="标题  3"/>
    <w:basedOn w:val="a"/>
    <w:next w:val="a"/>
    <w:link w:val="3Char"/>
    <w:autoRedefine/>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6"/>
    <w:autoRedefine/>
    <w:qFormat/>
    <w:rPr>
      <w:rFonts w:ascii="Times New Roman" w:hAnsi="Times New Roman"/>
      <w:b/>
      <w:kern w:val="2"/>
      <w:sz w:val="21"/>
      <w:szCs w:val="24"/>
    </w:rPr>
  </w:style>
  <w:style w:type="character" w:customStyle="1" w:styleId="70">
    <w:name w:val="标题 7 字符"/>
    <w:basedOn w:val="a0"/>
    <w:link w:val="7"/>
    <w:autoRedefine/>
    <w:uiPriority w:val="9"/>
    <w:qFormat/>
    <w:rPr>
      <w:rFonts w:ascii="宋体" w:hAnsi="宋体" w:cs="宋体"/>
      <w:b/>
      <w:bCs/>
      <w:sz w:val="24"/>
      <w:szCs w:val="24"/>
    </w:rPr>
  </w:style>
  <w:style w:type="character" w:customStyle="1" w:styleId="13">
    <w:name w:val="批注主题 字符1"/>
    <w:basedOn w:val="ac"/>
    <w:autoRedefine/>
    <w:uiPriority w:val="99"/>
    <w:semiHidden/>
    <w:qFormat/>
    <w:rPr>
      <w:rFonts w:ascii="Times New Roman" w:eastAsia="宋体" w:hAnsi="Times New Roman" w:cs="Times New Roman"/>
      <w:b/>
      <w:bCs/>
      <w:szCs w:val="21"/>
    </w:rPr>
  </w:style>
  <w:style w:type="character" w:customStyle="1" w:styleId="4Char">
    <w:name w:val="标题 4 Char"/>
    <w:autoRedefine/>
    <w:uiPriority w:val="9"/>
    <w:qFormat/>
    <w:rPr>
      <w:rFonts w:ascii="Cambria" w:hAnsi="Cambria"/>
      <w:b/>
      <w:bCs/>
      <w:kern w:val="2"/>
      <w:sz w:val="21"/>
      <w:szCs w:val="28"/>
    </w:rPr>
  </w:style>
  <w:style w:type="paragraph" w:customStyle="1" w:styleId="41">
    <w:name w:val="4"/>
    <w:basedOn w:val="a"/>
    <w:next w:val="affc"/>
    <w:autoRedefine/>
    <w:uiPriority w:val="34"/>
    <w:qFormat/>
    <w:pPr>
      <w:widowControl w:val="0"/>
      <w:ind w:firstLineChars="200" w:firstLine="420"/>
      <w:jc w:val="both"/>
    </w:pPr>
    <w:rPr>
      <w:rFonts w:ascii="Calibri" w:hAnsi="Calibri" w:cs="Times New Roman"/>
      <w:kern w:val="2"/>
      <w:szCs w:val="22"/>
    </w:rPr>
  </w:style>
  <w:style w:type="paragraph" w:customStyle="1" w:styleId="37">
    <w:name w:val="3"/>
    <w:basedOn w:val="a"/>
    <w:next w:val="affc"/>
    <w:autoRedefine/>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autoRedefine/>
    <w:uiPriority w:val="9"/>
    <w:qFormat/>
    <w:rPr>
      <w:b/>
      <w:bCs/>
      <w:kern w:val="2"/>
      <w:sz w:val="21"/>
      <w:szCs w:val="32"/>
    </w:rPr>
  </w:style>
  <w:style w:type="paragraph" w:customStyle="1" w:styleId="27">
    <w:name w:val="2"/>
    <w:basedOn w:val="a"/>
    <w:next w:val="affc"/>
    <w:autoRedefine/>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fc"/>
    <w:autoRedefine/>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autoRedefine/>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autoRedefine/>
    <w:qFormat/>
    <w:rPr>
      <w:rFonts w:ascii="Times New Roman" w:hAnsi="Times New Roman"/>
      <w:kern w:val="2"/>
      <w:sz w:val="21"/>
      <w:szCs w:val="21"/>
    </w:rPr>
  </w:style>
  <w:style w:type="character" w:customStyle="1" w:styleId="3Char1">
    <w:name w:val="标题 3 Char1"/>
    <w:autoRedefine/>
    <w:uiPriority w:val="9"/>
    <w:qFormat/>
    <w:rPr>
      <w:b/>
      <w:bCs/>
      <w:kern w:val="2"/>
      <w:sz w:val="21"/>
      <w:szCs w:val="32"/>
    </w:rPr>
  </w:style>
  <w:style w:type="character" w:customStyle="1" w:styleId="2Char">
    <w:name w:val="标题 2 Char"/>
    <w:autoRedefine/>
    <w:qFormat/>
    <w:rPr>
      <w:rFonts w:ascii="Arial" w:hAnsi="Arial"/>
      <w:b/>
      <w:bCs/>
      <w:kern w:val="2"/>
      <w:sz w:val="21"/>
      <w:szCs w:val="21"/>
    </w:rPr>
  </w:style>
  <w:style w:type="character" w:customStyle="1" w:styleId="5Char">
    <w:name w:val="标题 5 Char"/>
    <w:autoRedefine/>
    <w:uiPriority w:val="9"/>
    <w:qFormat/>
    <w:rPr>
      <w:b/>
      <w:bCs/>
      <w:kern w:val="2"/>
      <w:sz w:val="21"/>
      <w:szCs w:val="28"/>
    </w:rPr>
  </w:style>
  <w:style w:type="paragraph" w:customStyle="1" w:styleId="71">
    <w:name w:val="7"/>
    <w:basedOn w:val="a"/>
    <w:next w:val="affc"/>
    <w:autoRedefine/>
    <w:uiPriority w:val="34"/>
    <w:qFormat/>
    <w:pPr>
      <w:widowControl w:val="0"/>
      <w:ind w:firstLineChars="200" w:firstLine="420"/>
      <w:jc w:val="both"/>
    </w:pPr>
    <w:rPr>
      <w:rFonts w:ascii="Calibri" w:hAnsi="Calibri" w:cs="Times New Roman"/>
      <w:kern w:val="2"/>
      <w:szCs w:val="22"/>
    </w:rPr>
  </w:style>
  <w:style w:type="character" w:customStyle="1" w:styleId="Char2">
    <w:name w:val="称呼 Char"/>
    <w:autoRedefine/>
    <w:uiPriority w:val="99"/>
    <w:qFormat/>
    <w:rPr>
      <w:rFonts w:ascii="Times New Roman" w:hAnsi="Times New Roman"/>
      <w:kern w:val="2"/>
      <w:sz w:val="21"/>
      <w:szCs w:val="21"/>
    </w:rPr>
  </w:style>
  <w:style w:type="character" w:customStyle="1" w:styleId="fontstyle01">
    <w:name w:val="fontstyle01"/>
    <w:autoRedefine/>
    <w:qFormat/>
    <w:rPr>
      <w:rFonts w:ascii="FZLTSK--GBK1-0" w:hAnsi="FZLTSK--GBK1-0" w:hint="default"/>
      <w:color w:val="000000"/>
      <w:sz w:val="20"/>
      <w:szCs w:val="20"/>
    </w:rPr>
  </w:style>
  <w:style w:type="paragraph" w:customStyle="1" w:styleId="61">
    <w:name w:val="6"/>
    <w:basedOn w:val="a"/>
    <w:next w:val="affc"/>
    <w:autoRedefine/>
    <w:uiPriority w:val="34"/>
    <w:qFormat/>
    <w:pPr>
      <w:widowControl w:val="0"/>
      <w:ind w:firstLineChars="200" w:firstLine="420"/>
      <w:jc w:val="both"/>
    </w:pPr>
    <w:rPr>
      <w:rFonts w:ascii="Calibri" w:hAnsi="Calibri" w:cs="Times New Roman"/>
      <w:kern w:val="2"/>
      <w:szCs w:val="22"/>
    </w:rPr>
  </w:style>
  <w:style w:type="character" w:customStyle="1" w:styleId="Char10">
    <w:name w:val="批注文字 Char1"/>
    <w:autoRedefine/>
    <w:uiPriority w:val="99"/>
    <w:qFormat/>
    <w:rPr>
      <w:rFonts w:ascii="Times New Roman" w:hAnsi="Times New Roman"/>
      <w:kern w:val="2"/>
      <w:sz w:val="21"/>
      <w:szCs w:val="21"/>
    </w:rPr>
  </w:style>
  <w:style w:type="character" w:customStyle="1" w:styleId="5Char1">
    <w:name w:val="标题 5 Char1"/>
    <w:autoRedefine/>
    <w:uiPriority w:val="9"/>
    <w:qFormat/>
    <w:rPr>
      <w:b/>
      <w:bCs/>
      <w:kern w:val="2"/>
      <w:sz w:val="21"/>
      <w:szCs w:val="28"/>
    </w:rPr>
  </w:style>
  <w:style w:type="character" w:customStyle="1" w:styleId="15">
    <w:name w:val="批注文字 字符1"/>
    <w:autoRedefine/>
    <w:uiPriority w:val="99"/>
    <w:semiHidden/>
    <w:qFormat/>
    <w:locked/>
    <w:rPr>
      <w:rFonts w:ascii="Times New Roman" w:hAnsi="Times New Roman"/>
      <w:kern w:val="2"/>
      <w:sz w:val="21"/>
      <w:szCs w:val="21"/>
    </w:rPr>
  </w:style>
  <w:style w:type="character" w:customStyle="1" w:styleId="2Char1">
    <w:name w:val="标题 2 Char1"/>
    <w:autoRedefine/>
    <w:qFormat/>
    <w:rPr>
      <w:rFonts w:ascii="Arial" w:hAnsi="Arial"/>
      <w:b/>
      <w:bCs/>
      <w:kern w:val="2"/>
      <w:sz w:val="21"/>
      <w:szCs w:val="21"/>
    </w:rPr>
  </w:style>
  <w:style w:type="character" w:customStyle="1" w:styleId="Char20">
    <w:name w:val="批注文字 Char2"/>
    <w:autoRedefine/>
    <w:uiPriority w:val="99"/>
    <w:qFormat/>
    <w:rPr>
      <w:rFonts w:ascii="Times New Roman" w:hAnsi="Times New Roman"/>
      <w:kern w:val="2"/>
      <w:sz w:val="21"/>
      <w:szCs w:val="21"/>
    </w:rPr>
  </w:style>
  <w:style w:type="character" w:customStyle="1" w:styleId="5Char2">
    <w:name w:val="标题 5 Char2"/>
    <w:autoRedefine/>
    <w:uiPriority w:val="9"/>
    <w:qFormat/>
    <w:rPr>
      <w:b/>
      <w:bCs/>
      <w:kern w:val="2"/>
      <w:sz w:val="21"/>
      <w:szCs w:val="28"/>
    </w:rPr>
  </w:style>
  <w:style w:type="paragraph" w:customStyle="1" w:styleId="52">
    <w:name w:val="5"/>
    <w:basedOn w:val="a"/>
    <w:next w:val="affc"/>
    <w:autoRedefine/>
    <w:uiPriority w:val="34"/>
    <w:qFormat/>
    <w:pPr>
      <w:widowControl w:val="0"/>
      <w:ind w:firstLineChars="200" w:firstLine="420"/>
      <w:jc w:val="both"/>
    </w:pPr>
    <w:rPr>
      <w:rFonts w:ascii="Calibri" w:hAnsi="Calibri" w:cs="Times New Roman"/>
      <w:kern w:val="2"/>
      <w:szCs w:val="22"/>
    </w:rPr>
  </w:style>
  <w:style w:type="character" w:customStyle="1" w:styleId="3Char2">
    <w:name w:val="标题 3 Char2"/>
    <w:autoRedefine/>
    <w:uiPriority w:val="9"/>
    <w:qFormat/>
    <w:rPr>
      <w:b/>
      <w:bCs/>
      <w:kern w:val="2"/>
      <w:sz w:val="21"/>
      <w:szCs w:val="32"/>
    </w:rPr>
  </w:style>
  <w:style w:type="character" w:customStyle="1" w:styleId="3Char3">
    <w:name w:val="标题 3 Char3"/>
    <w:autoRedefine/>
    <w:uiPriority w:val="9"/>
    <w:qFormat/>
    <w:rPr>
      <w:b/>
      <w:bCs/>
      <w:kern w:val="2"/>
      <w:sz w:val="21"/>
      <w:szCs w:val="32"/>
    </w:rPr>
  </w:style>
  <w:style w:type="character" w:customStyle="1" w:styleId="Char3">
    <w:name w:val="批注文字 Char3"/>
    <w:autoRedefine/>
    <w:qFormat/>
    <w:rPr>
      <w:rFonts w:ascii="Times New Roman" w:hAnsi="Times New Roman"/>
      <w:kern w:val="2"/>
      <w:sz w:val="21"/>
      <w:szCs w:val="21"/>
    </w:rPr>
  </w:style>
  <w:style w:type="table" w:customStyle="1" w:styleId="g4">
    <w:name w:val="g4"/>
    <w:basedOn w:val="a1"/>
    <w:autoRedefine/>
    <w:uiPriority w:val="59"/>
    <w:qFormat/>
    <w:pPr>
      <w:widowControl w:val="0"/>
      <w:jc w:val="both"/>
    </w:pPr>
    <w:rPr>
      <w:rFonts w:ascii="Times New Roman" w:hAnsi="Times New Roman"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a0"/>
    <w:autoRedefine/>
    <w:qFormat/>
    <w:rPr>
      <w:rFonts w:ascii="Microsoft YaHei UI" w:eastAsia="Microsoft YaHei UI" w:hAnsi="Microsoft YaHei UI" w:hint="eastAsia"/>
      <w:sz w:val="18"/>
      <w:szCs w:val="18"/>
    </w:rPr>
  </w:style>
  <w:style w:type="paragraph" w:customStyle="1" w:styleId="28">
    <w:name w:val="修订2"/>
    <w:hidden/>
    <w:uiPriority w:val="99"/>
    <w:unhideWhenUsed/>
    <w:rPr>
      <w:rFonts w:ascii="宋体" w:hAnsi="宋体" w:cs="宋体"/>
      <w:sz w:val="21"/>
      <w:szCs w:val="24"/>
    </w:rPr>
  </w:style>
  <w:style w:type="character" w:customStyle="1" w:styleId="24">
    <w:name w:val="正文文本 2 字符"/>
    <w:basedOn w:val="a0"/>
    <w:link w:val="23"/>
    <w:uiPriority w:val="99"/>
    <w:semiHidden/>
    <w:rPr>
      <w:rFonts w:ascii="宋体" w:hAnsi="宋体" w:cs="宋体"/>
      <w:sz w:val="21"/>
      <w:szCs w:val="24"/>
    </w:rPr>
  </w:style>
  <w:style w:type="character" w:customStyle="1" w:styleId="32">
    <w:name w:val="正文文本 3 字符"/>
    <w:basedOn w:val="a0"/>
    <w:link w:val="31"/>
    <w:uiPriority w:val="99"/>
    <w:semiHidden/>
    <w:rPr>
      <w:rFonts w:ascii="宋体" w:hAnsi="宋体" w:cs="宋体"/>
      <w:sz w:val="16"/>
      <w:szCs w:val="16"/>
    </w:rPr>
  </w:style>
  <w:style w:type="character" w:customStyle="1" w:styleId="aff5">
    <w:name w:val="正文文本首行缩进 字符"/>
    <w:basedOn w:val="af0"/>
    <w:link w:val="aff4"/>
    <w:uiPriority w:val="99"/>
    <w:semiHidden/>
    <w:rPr>
      <w:rFonts w:ascii="宋体" w:eastAsia="宋体" w:hAnsi="宋体" w:cs="宋体"/>
      <w:sz w:val="21"/>
      <w:szCs w:val="24"/>
    </w:rPr>
  </w:style>
  <w:style w:type="character" w:customStyle="1" w:styleId="af2">
    <w:name w:val="正文文本缩进 字符"/>
    <w:basedOn w:val="a0"/>
    <w:link w:val="af1"/>
    <w:uiPriority w:val="99"/>
    <w:semiHidden/>
    <w:rPr>
      <w:rFonts w:ascii="宋体" w:hAnsi="宋体" w:cs="宋体"/>
      <w:sz w:val="21"/>
      <w:szCs w:val="24"/>
    </w:rPr>
  </w:style>
  <w:style w:type="character" w:customStyle="1" w:styleId="26">
    <w:name w:val="正文文本首行缩进 2 字符"/>
    <w:basedOn w:val="af2"/>
    <w:link w:val="25"/>
    <w:uiPriority w:val="99"/>
    <w:semiHidden/>
    <w:rPr>
      <w:rFonts w:ascii="宋体" w:hAnsi="宋体" w:cs="宋体"/>
      <w:sz w:val="21"/>
      <w:szCs w:val="24"/>
    </w:rPr>
  </w:style>
  <w:style w:type="character" w:customStyle="1" w:styleId="22">
    <w:name w:val="正文文本缩进 2 字符"/>
    <w:basedOn w:val="a0"/>
    <w:link w:val="21"/>
    <w:uiPriority w:val="99"/>
    <w:semiHidden/>
    <w:rPr>
      <w:rFonts w:ascii="宋体" w:hAnsi="宋体" w:cs="宋体"/>
      <w:sz w:val="21"/>
      <w:szCs w:val="24"/>
    </w:rPr>
  </w:style>
  <w:style w:type="character" w:customStyle="1" w:styleId="35">
    <w:name w:val="正文文本缩进 3 字符"/>
    <w:basedOn w:val="a0"/>
    <w:link w:val="34"/>
    <w:uiPriority w:val="99"/>
    <w:semiHidden/>
    <w:rPr>
      <w:rFonts w:ascii="宋体" w:hAnsi="宋体" w:cs="宋体"/>
      <w:sz w:val="16"/>
      <w:szCs w:val="16"/>
    </w:rPr>
  </w:style>
  <w:style w:type="table" w:customStyle="1" w:styleId="110">
    <w:name w:val="网格表 1 浅色1"/>
    <w:basedOn w:val="a1"/>
    <w:autoRedefine/>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1">
    <w:name w:val="g1"/>
    <w:autoRedefine/>
    <w:uiPriority w:val="99"/>
    <w:semiHidden/>
    <w:unhideWhenUsed/>
    <w:qFormat/>
    <w:tblPr>
      <w:tblCellMar>
        <w:top w:w="0" w:type="dxa"/>
        <w:left w:w="108" w:type="dxa"/>
        <w:bottom w:w="0" w:type="dxa"/>
        <w:right w:w="108" w:type="dxa"/>
      </w:tblCellMar>
    </w:tblPr>
  </w:style>
  <w:style w:type="table" w:customStyle="1" w:styleId="g2">
    <w:name w:val="g2"/>
    <w:basedOn w:val="a1"/>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索引 1 字符"/>
    <w:basedOn w:val="92"/>
    <w:next w:val="a"/>
    <w:autoRedefine/>
    <w:uiPriority w:val="99"/>
    <w:qFormat/>
    <w:pPr>
      <w:keepNext/>
      <w:keepLines/>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1">
    <w:name w:val="标题 2 Char Char Char1"/>
    <w:basedOn w:val="92"/>
    <w:next w:val="a"/>
    <w:autoRedefine/>
    <w:qFormat/>
    <w:pPr>
      <w:keepNext/>
      <w:keepLines/>
      <w:spacing w:before="60" w:after="60"/>
      <w:outlineLvl w:val="1"/>
    </w:pPr>
    <w:rPr>
      <w:rFonts w:ascii="Arial" w:hAnsi="Arial" w:cs="Times New Roman"/>
      <w:b/>
      <w:bCs/>
      <w:kern w:val="2"/>
      <w:szCs w:val="21"/>
    </w:rPr>
  </w:style>
  <w:style w:type="paragraph" w:customStyle="1" w:styleId="91">
    <w:name w:val="91"/>
    <w:basedOn w:val="92"/>
    <w:next w:val="a"/>
    <w:autoRedefine/>
    <w:uiPriority w:val="9"/>
    <w:qFormat/>
    <w:pPr>
      <w:keepNext/>
      <w:keepLines/>
      <w:spacing w:before="60" w:after="60"/>
      <w:outlineLvl w:val="2"/>
    </w:pPr>
    <w:rPr>
      <w:rFonts w:ascii="Calibri" w:hAnsi="Calibri" w:cs="Times New Roman"/>
      <w:b/>
      <w:bCs/>
      <w:kern w:val="2"/>
      <w:szCs w:val="32"/>
    </w:rPr>
  </w:style>
  <w:style w:type="paragraph" w:customStyle="1" w:styleId="90">
    <w:name w:val="90"/>
    <w:basedOn w:val="92"/>
    <w:next w:val="a"/>
    <w:autoRedefine/>
    <w:uiPriority w:val="9"/>
    <w:qFormat/>
    <w:pPr>
      <w:keepNext/>
      <w:keepLines/>
      <w:spacing w:before="60" w:after="60"/>
      <w:ind w:leftChars="50" w:left="50"/>
      <w:outlineLvl w:val="4"/>
    </w:pPr>
    <w:rPr>
      <w:rFonts w:ascii="Calibri" w:hAnsi="Calibri" w:cs="Times New Roman"/>
      <w:b/>
      <w:bCs/>
      <w:kern w:val="2"/>
      <w:szCs w:val="28"/>
    </w:rPr>
  </w:style>
  <w:style w:type="paragraph" w:customStyle="1" w:styleId="89">
    <w:name w:val="89"/>
    <w:basedOn w:val="92"/>
    <w:next w:val="a"/>
    <w:autoRedefine/>
    <w:uiPriority w:val="9"/>
    <w:unhideWhenUsed/>
    <w:qFormat/>
    <w:pPr>
      <w:keepNext/>
      <w:keepLines/>
      <w:spacing w:before="60" w:after="60"/>
      <w:ind w:leftChars="50" w:left="50"/>
      <w:outlineLvl w:val="5"/>
    </w:pPr>
    <w:rPr>
      <w:rFonts w:asciiTheme="majorHAnsi" w:hAnsiTheme="majorHAnsi" w:cstheme="majorBidi"/>
      <w:b/>
      <w:bCs/>
    </w:rPr>
  </w:style>
  <w:style w:type="paragraph" w:customStyle="1" w:styleId="88">
    <w:name w:val="88"/>
    <w:basedOn w:val="92"/>
    <w:next w:val="a"/>
    <w:autoRedefine/>
    <w:uiPriority w:val="9"/>
    <w:unhideWhenUsed/>
    <w:qFormat/>
    <w:pPr>
      <w:keepNext/>
      <w:keepLines/>
      <w:spacing w:before="240" w:after="64" w:line="320" w:lineRule="auto"/>
      <w:outlineLvl w:val="6"/>
    </w:pPr>
    <w:rPr>
      <w:b/>
      <w:bCs/>
      <w:sz w:val="24"/>
    </w:rPr>
  </w:style>
  <w:style w:type="character" w:customStyle="1" w:styleId="87">
    <w:name w:val="87"/>
    <w:basedOn w:val="a0"/>
    <w:autoRedefine/>
    <w:uiPriority w:val="99"/>
    <w:qFormat/>
    <w:rPr>
      <w:rFonts w:eastAsia="黑体"/>
      <w:b/>
      <w:bCs/>
      <w:kern w:val="44"/>
      <w:sz w:val="28"/>
      <w:szCs w:val="44"/>
    </w:rPr>
  </w:style>
  <w:style w:type="character" w:customStyle="1" w:styleId="2CharCharChar0">
    <w:name w:val="标题 2 Char Char Char 字符"/>
    <w:basedOn w:val="a0"/>
    <w:autoRedefine/>
    <w:qFormat/>
    <w:rPr>
      <w:rFonts w:ascii="Arial" w:hAnsi="Arial"/>
      <w:b/>
      <w:bCs/>
      <w:kern w:val="2"/>
      <w:sz w:val="21"/>
      <w:szCs w:val="21"/>
    </w:rPr>
  </w:style>
  <w:style w:type="character" w:customStyle="1" w:styleId="86">
    <w:name w:val="86"/>
    <w:basedOn w:val="a0"/>
    <w:autoRedefine/>
    <w:uiPriority w:val="9"/>
    <w:qFormat/>
    <w:rPr>
      <w:b/>
      <w:bCs/>
      <w:kern w:val="2"/>
      <w:sz w:val="21"/>
      <w:szCs w:val="32"/>
    </w:rPr>
  </w:style>
  <w:style w:type="character" w:customStyle="1" w:styleId="85">
    <w:name w:val="85"/>
    <w:basedOn w:val="a0"/>
    <w:autoRedefine/>
    <w:uiPriority w:val="9"/>
    <w:qFormat/>
    <w:rPr>
      <w:rFonts w:asciiTheme="minorEastAsia" w:eastAsiaTheme="minorEastAsia" w:hAnsiTheme="minorEastAsia"/>
      <w:b/>
      <w:bCs/>
      <w:kern w:val="2"/>
      <w:sz w:val="21"/>
      <w:szCs w:val="28"/>
    </w:rPr>
  </w:style>
  <w:style w:type="character" w:customStyle="1" w:styleId="84">
    <w:name w:val="84"/>
    <w:basedOn w:val="a0"/>
    <w:autoRedefine/>
    <w:uiPriority w:val="9"/>
    <w:qFormat/>
    <w:rPr>
      <w:b/>
      <w:bCs/>
      <w:kern w:val="2"/>
      <w:sz w:val="21"/>
      <w:szCs w:val="28"/>
    </w:rPr>
  </w:style>
  <w:style w:type="paragraph" w:customStyle="1" w:styleId="83">
    <w:name w:val="83"/>
    <w:basedOn w:val="16"/>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82">
    <w:name w:val="82"/>
    <w:basedOn w:val="a0"/>
    <w:autoRedefine/>
    <w:uiPriority w:val="99"/>
    <w:qFormat/>
    <w:rPr>
      <w:rFonts w:cs="Times New Roman"/>
      <w:color w:val="0000FF"/>
      <w:u w:val="single"/>
    </w:rPr>
  </w:style>
  <w:style w:type="character" w:customStyle="1" w:styleId="81">
    <w:name w:val="81"/>
    <w:basedOn w:val="a0"/>
    <w:autoRedefine/>
    <w:qFormat/>
    <w:rPr>
      <w:rFonts w:eastAsia="宋体" w:cs="Times New Roman"/>
      <w:kern w:val="2"/>
      <w:sz w:val="21"/>
      <w:szCs w:val="21"/>
      <w:lang w:val="en-US" w:eastAsia="zh-CN" w:bidi="ar-SA"/>
    </w:rPr>
  </w:style>
  <w:style w:type="paragraph" w:customStyle="1" w:styleId="80">
    <w:name w:val="80"/>
    <w:basedOn w:val="92"/>
    <w:autoRedefine/>
    <w:uiPriority w:val="99"/>
    <w:qFormat/>
    <w:rPr>
      <w:rFonts w:ascii="Times New Roman" w:hAnsi="Times New Roman" w:cs="Times New Roman"/>
      <w:kern w:val="2"/>
      <w:szCs w:val="21"/>
    </w:rPr>
  </w:style>
  <w:style w:type="character" w:customStyle="1" w:styleId="a6">
    <w:name w:val="正文缩进 字符"/>
    <w:basedOn w:val="a0"/>
    <w:link w:val="a5"/>
    <w:autoRedefine/>
    <w:uiPriority w:val="99"/>
    <w:qFormat/>
    <w:rPr>
      <w:rFonts w:ascii="Times New Roman" w:eastAsia="宋体" w:hAnsi="Times New Roman" w:cs="Times New Roman"/>
      <w:szCs w:val="21"/>
    </w:rPr>
  </w:style>
  <w:style w:type="paragraph" w:customStyle="1" w:styleId="78">
    <w:name w:val="78"/>
    <w:basedOn w:val="92"/>
    <w:autoRedefine/>
    <w:uiPriority w:val="99"/>
    <w:unhideWhenUsed/>
    <w:qFormat/>
    <w:rPr>
      <w:rFonts w:ascii="Calibri" w:hAnsi="Calibri" w:cs="Times New Roman"/>
      <w:kern w:val="2"/>
      <w:sz w:val="18"/>
      <w:szCs w:val="18"/>
    </w:rPr>
  </w:style>
  <w:style w:type="character" w:customStyle="1" w:styleId="aa">
    <w:name w:val="引文目录标题 字符"/>
    <w:basedOn w:val="a0"/>
    <w:link w:val="a9"/>
    <w:autoRedefine/>
    <w:uiPriority w:val="99"/>
    <w:qFormat/>
    <w:rPr>
      <w:rFonts w:ascii="Calibri" w:eastAsia="宋体" w:hAnsi="Calibri" w:cs="Times New Roman"/>
      <w:sz w:val="18"/>
      <w:szCs w:val="18"/>
    </w:rPr>
  </w:style>
  <w:style w:type="paragraph" w:customStyle="1" w:styleId="77">
    <w:name w:val="77"/>
    <w:basedOn w:val="92"/>
    <w:next w:val="a"/>
    <w:autoRedefine/>
    <w:uiPriority w:val="99"/>
    <w:qFormat/>
    <w:rPr>
      <w:rFonts w:ascii="Times New Roman" w:hAnsi="Times New Roman" w:cs="Times New Roman"/>
      <w:kern w:val="2"/>
      <w:szCs w:val="21"/>
    </w:rPr>
  </w:style>
  <w:style w:type="character" w:customStyle="1" w:styleId="76">
    <w:name w:val="76"/>
    <w:basedOn w:val="a0"/>
    <w:autoRedefine/>
    <w:uiPriority w:val="99"/>
    <w:qFormat/>
    <w:rPr>
      <w:rFonts w:ascii="Times New Roman" w:eastAsia="宋体" w:hAnsi="Times New Roman" w:cs="Times New Roman"/>
      <w:szCs w:val="21"/>
    </w:rPr>
  </w:style>
  <w:style w:type="character" w:customStyle="1" w:styleId="75">
    <w:name w:val="75"/>
    <w:basedOn w:val="a0"/>
    <w:autoRedefine/>
    <w:uiPriority w:val="99"/>
    <w:qFormat/>
    <w:rPr>
      <w:rFonts w:eastAsia="宋体" w:cs="Times New Roman"/>
      <w:color w:val="FF0000"/>
      <w:kern w:val="2"/>
      <w:sz w:val="24"/>
      <w:szCs w:val="24"/>
      <w:lang w:val="en-US" w:eastAsia="zh-CN" w:bidi="ar-SA"/>
    </w:rPr>
  </w:style>
  <w:style w:type="paragraph" w:customStyle="1" w:styleId="74">
    <w:name w:val="74"/>
    <w:basedOn w:val="92"/>
    <w:autoRedefine/>
    <w:uiPriority w:val="99"/>
    <w:qFormat/>
    <w:pPr>
      <w:spacing w:before="100" w:after="100"/>
      <w:jc w:val="right"/>
    </w:pPr>
    <w:rPr>
      <w:rFonts w:ascii="Arial Unicode MS" w:eastAsia="Arial Unicode MS" w:hAnsi="Times New Roman" w:cs="Times New Roman"/>
      <w:sz w:val="18"/>
      <w:szCs w:val="18"/>
    </w:rPr>
  </w:style>
  <w:style w:type="paragraph" w:customStyle="1" w:styleId="73">
    <w:name w:val="73"/>
    <w:basedOn w:val="92"/>
    <w:autoRedefine/>
    <w:uiPriority w:val="99"/>
    <w:qFormat/>
    <w:pPr>
      <w:ind w:firstLineChars="200" w:firstLine="420"/>
    </w:pPr>
    <w:rPr>
      <w:rFonts w:ascii="Calibri" w:hAnsi="Calibri" w:cs="Times New Roman"/>
      <w:kern w:val="2"/>
      <w:szCs w:val="22"/>
    </w:rPr>
  </w:style>
  <w:style w:type="character" w:customStyle="1" w:styleId="72">
    <w:name w:val="72"/>
    <w:basedOn w:val="a6"/>
    <w:autoRedefine/>
    <w:uiPriority w:val="99"/>
    <w:qFormat/>
    <w:rPr>
      <w:rFonts w:ascii="Calibri" w:eastAsia="宋体" w:hAnsi="Calibri" w:cs="Times New Roman"/>
      <w:b/>
      <w:bCs/>
      <w:szCs w:val="21"/>
    </w:rPr>
  </w:style>
  <w:style w:type="paragraph" w:customStyle="1" w:styleId="710">
    <w:name w:val="71"/>
    <w:basedOn w:val="80"/>
    <w:next w:val="a5"/>
    <w:autoRedefine/>
    <w:uiPriority w:val="99"/>
    <w:unhideWhenUsed/>
    <w:qFormat/>
    <w:rPr>
      <w:rFonts w:ascii="Calibri" w:hAnsi="Calibri"/>
      <w:b/>
      <w:bCs/>
      <w:szCs w:val="22"/>
    </w:rPr>
  </w:style>
  <w:style w:type="paragraph" w:customStyle="1" w:styleId="700">
    <w:name w:val="70"/>
    <w:basedOn w:val="92"/>
    <w:autoRedefine/>
    <w:uiPriority w:val="99"/>
    <w:unhideWhenUsed/>
    <w:qFormat/>
    <w:pPr>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69">
    <w:name w:val="69"/>
    <w:basedOn w:val="a0"/>
    <w:autoRedefine/>
    <w:uiPriority w:val="99"/>
    <w:qFormat/>
    <w:rPr>
      <w:rFonts w:ascii="Calibri" w:eastAsia="宋体" w:hAnsi="Calibri" w:cs="Times New Roman"/>
      <w:sz w:val="18"/>
      <w:szCs w:val="18"/>
    </w:rPr>
  </w:style>
  <w:style w:type="paragraph" w:customStyle="1" w:styleId="68">
    <w:name w:val="68"/>
    <w:basedOn w:val="92"/>
    <w:autoRedefine/>
    <w:uiPriority w:val="99"/>
    <w:unhideWhenUsed/>
    <w:qFormat/>
    <w:pPr>
      <w:tabs>
        <w:tab w:val="center" w:pos="4153"/>
        <w:tab w:val="right" w:pos="8306"/>
      </w:tabs>
      <w:snapToGrid w:val="0"/>
    </w:pPr>
    <w:rPr>
      <w:rFonts w:ascii="Calibri" w:hAnsi="Calibri" w:cs="Times New Roman"/>
      <w:kern w:val="2"/>
      <w:sz w:val="18"/>
      <w:szCs w:val="18"/>
    </w:rPr>
  </w:style>
  <w:style w:type="character" w:customStyle="1" w:styleId="67">
    <w:name w:val="67"/>
    <w:basedOn w:val="a0"/>
    <w:autoRedefine/>
    <w:uiPriority w:val="99"/>
    <w:qFormat/>
    <w:rPr>
      <w:rFonts w:ascii="Calibri" w:eastAsia="宋体" w:hAnsi="Calibri" w:cs="Times New Roman"/>
      <w:sz w:val="18"/>
      <w:szCs w:val="18"/>
    </w:rPr>
  </w:style>
  <w:style w:type="paragraph" w:customStyle="1" w:styleId="66">
    <w:name w:val="66"/>
    <w:basedOn w:val="92"/>
    <w:autoRedefine/>
    <w:qFormat/>
    <w:rPr>
      <w:rFonts w:hAnsi="Courier New" w:cs="Times New Roman"/>
      <w:kern w:val="2"/>
      <w:szCs w:val="20"/>
    </w:rPr>
  </w:style>
  <w:style w:type="character" w:customStyle="1" w:styleId="65">
    <w:name w:val="65"/>
    <w:basedOn w:val="a0"/>
    <w:autoRedefine/>
    <w:qFormat/>
    <w:rPr>
      <w:rFonts w:ascii="宋体" w:eastAsia="宋体" w:hAnsi="Courier New" w:cs="Times New Roman"/>
      <w:szCs w:val="20"/>
    </w:rPr>
  </w:style>
  <w:style w:type="character" w:customStyle="1" w:styleId="64">
    <w:name w:val="64"/>
    <w:basedOn w:val="a0"/>
    <w:autoRedefine/>
    <w:qFormat/>
    <w:rPr>
      <w:rFonts w:eastAsia="宋体" w:cs="Times New Roman"/>
      <w:kern w:val="2"/>
      <w:sz w:val="24"/>
      <w:szCs w:val="24"/>
      <w:lang w:val="en-US" w:eastAsia="zh-CN" w:bidi="ar-SA"/>
    </w:rPr>
  </w:style>
  <w:style w:type="paragraph" w:customStyle="1" w:styleId="63">
    <w:name w:val="63"/>
    <w:basedOn w:val="92"/>
    <w:autoRedefine/>
    <w:uiPriority w:val="99"/>
    <w:qFormat/>
    <w:pPr>
      <w:spacing w:after="120"/>
    </w:pPr>
    <w:rPr>
      <w:rFonts w:ascii="Times New Roman" w:hAnsi="Times New Roman" w:cs="Times New Roman"/>
      <w:kern w:val="2"/>
      <w:szCs w:val="21"/>
    </w:rPr>
  </w:style>
  <w:style w:type="character" w:customStyle="1" w:styleId="62">
    <w:name w:val="62"/>
    <w:basedOn w:val="a0"/>
    <w:autoRedefine/>
    <w:uiPriority w:val="99"/>
    <w:qFormat/>
    <w:rPr>
      <w:rFonts w:ascii="Times New Roman" w:eastAsia="宋体" w:hAnsi="Times New Roman" w:cs="Times New Roman"/>
      <w:szCs w:val="21"/>
    </w:rPr>
  </w:style>
  <w:style w:type="paragraph" w:customStyle="1" w:styleId="610">
    <w:name w:val="61"/>
    <w:basedOn w:val="92"/>
    <w:autoRedefine/>
    <w:uiPriority w:val="99"/>
    <w:qFormat/>
    <w:pPr>
      <w:tabs>
        <w:tab w:val="left" w:pos="709"/>
      </w:tabs>
      <w:overflowPunct w:val="0"/>
      <w:autoSpaceDE w:val="0"/>
      <w:autoSpaceDN w:val="0"/>
      <w:adjustRightInd w:val="0"/>
      <w:textAlignment w:val="baseline"/>
    </w:pPr>
    <w:rPr>
      <w:rFonts w:ascii="Helvetica-Narrow" w:hAnsi="Helvetica-Narrow" w:cs="Times New Roman"/>
      <w:lang w:val="en-AU"/>
    </w:rPr>
  </w:style>
  <w:style w:type="paragraph" w:customStyle="1" w:styleId="600">
    <w:name w:val="60"/>
    <w:basedOn w:val="92"/>
    <w:next w:val="a"/>
    <w:autoRedefine/>
    <w:uiPriority w:val="99"/>
    <w:qFormat/>
    <w:pPr>
      <w:ind w:leftChars="2500" w:left="100"/>
    </w:pPr>
    <w:rPr>
      <w:rFonts w:ascii="Times New Roman" w:hAnsi="Times New Roman" w:cs="Times New Roman"/>
      <w:kern w:val="2"/>
      <w:szCs w:val="21"/>
    </w:rPr>
  </w:style>
  <w:style w:type="character" w:customStyle="1" w:styleId="59">
    <w:name w:val="59"/>
    <w:basedOn w:val="a0"/>
    <w:autoRedefine/>
    <w:uiPriority w:val="99"/>
    <w:qFormat/>
    <w:rPr>
      <w:rFonts w:ascii="Times New Roman" w:eastAsia="宋体" w:hAnsi="Times New Roman" w:cs="Times New Roman"/>
      <w:szCs w:val="21"/>
    </w:rPr>
  </w:style>
  <w:style w:type="paragraph" w:customStyle="1" w:styleId="58">
    <w:name w:val="58"/>
    <w:basedOn w:val="92"/>
    <w:next w:val="a"/>
    <w:autoRedefine/>
    <w:uiPriority w:val="99"/>
    <w:qFormat/>
    <w:pPr>
      <w:jc w:val="center"/>
    </w:pPr>
    <w:rPr>
      <w:rFonts w:ascii="Times New Roman" w:hAnsi="Times New Roman" w:cs="Times New Roman"/>
      <w:kern w:val="2"/>
      <w:szCs w:val="21"/>
    </w:rPr>
  </w:style>
  <w:style w:type="character" w:customStyle="1" w:styleId="57">
    <w:name w:val="57"/>
    <w:basedOn w:val="a0"/>
    <w:autoRedefine/>
    <w:uiPriority w:val="99"/>
    <w:qFormat/>
    <w:rPr>
      <w:rFonts w:ascii="Times New Roman" w:eastAsia="宋体" w:hAnsi="Times New Roman" w:cs="Times New Roman"/>
      <w:szCs w:val="21"/>
    </w:rPr>
  </w:style>
  <w:style w:type="paragraph" w:customStyle="1" w:styleId="56">
    <w:name w:val="56"/>
    <w:basedOn w:val="92"/>
    <w:next w:val="a"/>
    <w:autoRedefine/>
    <w:semiHidden/>
    <w:qFormat/>
    <w:pPr>
      <w:spacing w:before="120"/>
    </w:pPr>
    <w:rPr>
      <w:rFonts w:ascii="Arial" w:hAnsi="Arial" w:cs="Times New Roman"/>
      <w:b/>
      <w:bCs/>
      <w:kern w:val="2"/>
      <w:szCs w:val="21"/>
    </w:rPr>
  </w:style>
  <w:style w:type="paragraph" w:customStyle="1" w:styleId="55">
    <w:name w:val="55"/>
    <w:basedOn w:val="92"/>
    <w:autoRedefine/>
    <w:qFormat/>
    <w:pPr>
      <w:keepNext/>
      <w:keepLines/>
      <w:spacing w:before="60" w:after="60"/>
      <w:ind w:hangingChars="200" w:hanging="420"/>
      <w:outlineLvl w:val="4"/>
    </w:pPr>
    <w:rPr>
      <w:rFonts w:cs="Times New Roman"/>
      <w:b/>
      <w:bCs/>
      <w:kern w:val="2"/>
      <w:szCs w:val="21"/>
    </w:rPr>
  </w:style>
  <w:style w:type="paragraph" w:customStyle="1" w:styleId="54">
    <w:name w:val="54"/>
    <w:autoRedefine/>
    <w:hidden/>
    <w:uiPriority w:val="99"/>
    <w:semiHidden/>
    <w:qFormat/>
    <w:rPr>
      <w:kern w:val="2"/>
      <w:szCs w:val="22"/>
    </w:rPr>
  </w:style>
  <w:style w:type="character" w:customStyle="1" w:styleId="53">
    <w:name w:val="53"/>
    <w:basedOn w:val="a0"/>
    <w:autoRedefine/>
    <w:qFormat/>
    <w:rPr>
      <w:kern w:val="2"/>
      <w:sz w:val="21"/>
      <w:szCs w:val="24"/>
    </w:rPr>
  </w:style>
  <w:style w:type="paragraph" w:customStyle="1" w:styleId="520">
    <w:name w:val="52"/>
    <w:basedOn w:val="92"/>
    <w:autoRedefine/>
    <w:qFormat/>
    <w:pPr>
      <w:spacing w:before="100" w:after="100"/>
    </w:pPr>
    <w:rPr>
      <w:rFonts w:ascii="Calibri" w:hAnsi="Calibri" w:cs="Times New Roman"/>
      <w:kern w:val="2"/>
    </w:rPr>
  </w:style>
  <w:style w:type="paragraph" w:customStyle="1" w:styleId="510">
    <w:name w:val="51"/>
    <w:basedOn w:val="92"/>
    <w:autoRedefine/>
    <w:uiPriority w:val="99"/>
    <w:semiHidden/>
    <w:unhideWhenUsed/>
    <w:qFormat/>
    <w:rPr>
      <w:rFonts w:hAnsi="Calibri" w:cs="Times New Roman"/>
      <w:kern w:val="2"/>
      <w:sz w:val="18"/>
      <w:szCs w:val="18"/>
    </w:rPr>
  </w:style>
  <w:style w:type="character" w:customStyle="1" w:styleId="500">
    <w:name w:val="50"/>
    <w:basedOn w:val="a0"/>
    <w:autoRedefine/>
    <w:uiPriority w:val="99"/>
    <w:semiHidden/>
    <w:qFormat/>
    <w:rPr>
      <w:rFonts w:ascii="宋体"/>
      <w:kern w:val="2"/>
      <w:sz w:val="18"/>
      <w:szCs w:val="18"/>
    </w:rPr>
  </w:style>
  <w:style w:type="character" w:customStyle="1" w:styleId="49">
    <w:name w:val="49"/>
    <w:basedOn w:val="a0"/>
    <w:autoRedefine/>
    <w:uiPriority w:val="99"/>
    <w:semiHidden/>
    <w:qFormat/>
    <w:rPr>
      <w:color w:val="auto"/>
    </w:rPr>
  </w:style>
  <w:style w:type="character" w:customStyle="1" w:styleId="46">
    <w:name w:val="46"/>
    <w:basedOn w:val="a0"/>
    <w:autoRedefine/>
    <w:uiPriority w:val="10"/>
    <w:qFormat/>
    <w:rPr>
      <w:rFonts w:asciiTheme="majorHAnsi" w:hAnsiTheme="majorHAnsi" w:cstheme="majorBidi"/>
      <w:b/>
      <w:bCs/>
      <w:kern w:val="2"/>
      <w:sz w:val="32"/>
      <w:szCs w:val="32"/>
    </w:rPr>
  </w:style>
  <w:style w:type="paragraph" w:customStyle="1" w:styleId="45">
    <w:name w:val="45"/>
    <w:autoRedefine/>
    <w:uiPriority w:val="1"/>
    <w:qFormat/>
    <w:pPr>
      <w:widowControl w:val="0"/>
      <w:jc w:val="both"/>
    </w:pPr>
    <w:rPr>
      <w:kern w:val="2"/>
      <w:szCs w:val="22"/>
    </w:rPr>
  </w:style>
  <w:style w:type="character" w:customStyle="1" w:styleId="44">
    <w:name w:val="44"/>
    <w:basedOn w:val="a0"/>
    <w:autoRedefine/>
    <w:uiPriority w:val="9"/>
    <w:qFormat/>
    <w:rPr>
      <w:rFonts w:asciiTheme="majorHAnsi" w:hAnsiTheme="majorHAnsi" w:cstheme="majorBidi"/>
      <w:b/>
      <w:bCs/>
      <w:sz w:val="21"/>
      <w:szCs w:val="24"/>
    </w:rPr>
  </w:style>
  <w:style w:type="paragraph" w:customStyle="1" w:styleId="43">
    <w:name w:val="43"/>
    <w:basedOn w:val="92"/>
    <w:autoRedefine/>
    <w:uiPriority w:val="99"/>
    <w:qFormat/>
    <w:rsid w:val="00AC4185"/>
    <w:pPr>
      <w:spacing w:before="100" w:beforeAutospacing="1" w:after="100" w:afterAutospacing="1"/>
      <w:jc w:val="center"/>
    </w:pPr>
    <w:rPr>
      <w:b/>
      <w:bCs/>
      <w:sz w:val="28"/>
      <w:szCs w:val="28"/>
    </w:rPr>
  </w:style>
  <w:style w:type="paragraph" w:customStyle="1" w:styleId="42">
    <w:name w:val="42"/>
    <w:basedOn w:val="92"/>
    <w:autoRedefine/>
    <w:uiPriority w:val="99"/>
    <w:semiHidden/>
    <w:unhideWhenUsed/>
    <w:qFormat/>
    <w:pPr>
      <w:snapToGrid w:val="0"/>
    </w:pPr>
  </w:style>
  <w:style w:type="character" w:customStyle="1" w:styleId="affd">
    <w:name w:val="列表段落 字符"/>
    <w:basedOn w:val="a0"/>
    <w:link w:val="affc"/>
    <w:autoRedefine/>
    <w:uiPriority w:val="99"/>
    <w:qFormat/>
    <w:rPr>
      <w:rFonts w:ascii="宋体" w:hAnsi="宋体" w:cs="宋体"/>
      <w:sz w:val="21"/>
      <w:szCs w:val="24"/>
    </w:rPr>
  </w:style>
  <w:style w:type="character" w:customStyle="1" w:styleId="410">
    <w:name w:val="41"/>
    <w:basedOn w:val="a0"/>
    <w:autoRedefine/>
    <w:uiPriority w:val="99"/>
    <w:semiHidden/>
    <w:unhideWhenUsed/>
    <w:qFormat/>
    <w:rPr>
      <w:vertAlign w:val="superscript"/>
    </w:rPr>
  </w:style>
  <w:style w:type="character" w:customStyle="1" w:styleId="400">
    <w:name w:val="40"/>
    <w:basedOn w:val="a6"/>
    <w:autoRedefine/>
    <w:uiPriority w:val="99"/>
    <w:semiHidden/>
    <w:qFormat/>
    <w:rPr>
      <w:rFonts w:ascii="Times New Roman" w:eastAsia="宋体" w:hAnsi="Times New Roman" w:cs="Times New Roman"/>
      <w:b/>
      <w:bCs/>
      <w:szCs w:val="21"/>
    </w:rPr>
  </w:style>
  <w:style w:type="paragraph" w:customStyle="1" w:styleId="39">
    <w:name w:val="39"/>
    <w:basedOn w:val="92"/>
    <w:next w:val="a"/>
    <w:autoRedefine/>
    <w:semiHidden/>
    <w:qFormat/>
    <w:pPr>
      <w:ind w:firstLineChars="200" w:firstLine="420"/>
    </w:pPr>
    <w:rPr>
      <w:rFonts w:cs="Times New Roman"/>
      <w:color w:val="000000"/>
      <w:szCs w:val="21"/>
    </w:rPr>
  </w:style>
  <w:style w:type="character" w:customStyle="1" w:styleId="38">
    <w:name w:val="38"/>
    <w:basedOn w:val="a0"/>
    <w:autoRedefine/>
    <w:qFormat/>
  </w:style>
  <w:style w:type="paragraph" w:customStyle="1" w:styleId="370">
    <w:name w:val="37"/>
    <w:basedOn w:val="92"/>
    <w:autoRedefine/>
    <w:qFormat/>
    <w:pPr>
      <w:ind w:firstLineChars="200" w:firstLine="420"/>
    </w:pPr>
    <w:rPr>
      <w:rFonts w:ascii="Times New Roman" w:hAnsi="Times New Roman" w:cs="Times New Roman"/>
      <w:kern w:val="2"/>
      <w:szCs w:val="21"/>
    </w:rPr>
  </w:style>
  <w:style w:type="paragraph" w:customStyle="1" w:styleId="360">
    <w:name w:val="36"/>
    <w:basedOn w:val="92"/>
    <w:autoRedefine/>
    <w:qFormat/>
    <w:pPr>
      <w:tabs>
        <w:tab w:val="left" w:pos="1200"/>
      </w:tabs>
    </w:pPr>
    <w:rPr>
      <w:rFonts w:ascii="Times New Roman" w:hAnsi="Times New Roman" w:cs="Times New Roman"/>
      <w:kern w:val="2"/>
      <w:szCs w:val="21"/>
    </w:rPr>
  </w:style>
  <w:style w:type="paragraph" w:customStyle="1" w:styleId="350">
    <w:name w:val="35"/>
    <w:basedOn w:val="92"/>
    <w:next w:val="a"/>
    <w:autoRedefine/>
    <w:qFormat/>
    <w:pPr>
      <w:keepNext/>
      <w:keepLines/>
      <w:spacing w:before="100" w:beforeAutospacing="1" w:after="100" w:afterAutospacing="1" w:line="415" w:lineRule="auto"/>
    </w:pPr>
    <w:rPr>
      <w:rFonts w:ascii="Times New Roman" w:hAnsi="Times New Roman" w:cs="Times New Roman"/>
      <w:b/>
      <w:kern w:val="2"/>
    </w:rPr>
  </w:style>
  <w:style w:type="character" w:customStyle="1" w:styleId="340">
    <w:name w:val="34"/>
    <w:basedOn w:val="a0"/>
    <w:autoRedefine/>
    <w:qFormat/>
    <w:rPr>
      <w:rFonts w:ascii="Times New Roman" w:hAnsi="Times New Roman"/>
      <w:b/>
      <w:kern w:val="2"/>
      <w:sz w:val="21"/>
      <w:szCs w:val="24"/>
    </w:rPr>
  </w:style>
  <w:style w:type="character" w:customStyle="1" w:styleId="330">
    <w:name w:val="33"/>
    <w:basedOn w:val="a0"/>
    <w:autoRedefine/>
    <w:uiPriority w:val="9"/>
    <w:qFormat/>
    <w:rPr>
      <w:rFonts w:ascii="宋体" w:hAnsi="宋体" w:cs="宋体"/>
      <w:b/>
      <w:bCs/>
      <w:sz w:val="24"/>
      <w:szCs w:val="24"/>
    </w:rPr>
  </w:style>
  <w:style w:type="character" w:customStyle="1" w:styleId="320">
    <w:name w:val="32"/>
    <w:basedOn w:val="a6"/>
    <w:autoRedefine/>
    <w:uiPriority w:val="99"/>
    <w:semiHidden/>
    <w:qFormat/>
    <w:rPr>
      <w:rFonts w:ascii="Times New Roman" w:eastAsia="宋体" w:hAnsi="Times New Roman" w:cs="Times New Roman"/>
      <w:b/>
      <w:bCs/>
      <w:szCs w:val="21"/>
    </w:rPr>
  </w:style>
  <w:style w:type="character" w:customStyle="1" w:styleId="310">
    <w:name w:val="31"/>
    <w:autoRedefine/>
    <w:uiPriority w:val="9"/>
    <w:qFormat/>
    <w:rPr>
      <w:rFonts w:ascii="Cambria" w:hAnsi="Cambria"/>
      <w:b/>
      <w:bCs/>
      <w:kern w:val="2"/>
      <w:sz w:val="21"/>
      <w:szCs w:val="28"/>
    </w:rPr>
  </w:style>
  <w:style w:type="paragraph" w:customStyle="1" w:styleId="300">
    <w:name w:val="30"/>
    <w:basedOn w:val="92"/>
    <w:autoRedefine/>
    <w:uiPriority w:val="34"/>
    <w:qFormat/>
    <w:pPr>
      <w:ind w:firstLineChars="200" w:firstLine="420"/>
    </w:pPr>
    <w:rPr>
      <w:rFonts w:ascii="Calibri" w:hAnsi="Calibri" w:cs="Times New Roman"/>
      <w:kern w:val="2"/>
      <w:szCs w:val="22"/>
    </w:rPr>
  </w:style>
  <w:style w:type="paragraph" w:customStyle="1" w:styleId="29">
    <w:name w:val="29"/>
    <w:basedOn w:val="92"/>
    <w:autoRedefine/>
    <w:uiPriority w:val="34"/>
    <w:qFormat/>
    <w:pPr>
      <w:ind w:firstLineChars="200" w:firstLine="420"/>
    </w:pPr>
    <w:rPr>
      <w:rFonts w:ascii="Calibri" w:hAnsi="Calibri" w:cs="Times New Roman"/>
      <w:kern w:val="2"/>
      <w:szCs w:val="22"/>
    </w:rPr>
  </w:style>
  <w:style w:type="character" w:customStyle="1" w:styleId="280">
    <w:name w:val="28"/>
    <w:autoRedefine/>
    <w:uiPriority w:val="9"/>
    <w:qFormat/>
    <w:rPr>
      <w:b/>
      <w:bCs/>
      <w:kern w:val="2"/>
      <w:sz w:val="21"/>
      <w:szCs w:val="32"/>
    </w:rPr>
  </w:style>
  <w:style w:type="paragraph" w:customStyle="1" w:styleId="270">
    <w:name w:val="27"/>
    <w:basedOn w:val="92"/>
    <w:autoRedefine/>
    <w:uiPriority w:val="34"/>
    <w:qFormat/>
    <w:pPr>
      <w:ind w:firstLineChars="200" w:firstLine="420"/>
    </w:pPr>
    <w:rPr>
      <w:rFonts w:ascii="Calibri" w:hAnsi="Calibri" w:cs="Times New Roman"/>
      <w:kern w:val="2"/>
      <w:szCs w:val="22"/>
    </w:rPr>
  </w:style>
  <w:style w:type="paragraph" w:customStyle="1" w:styleId="260">
    <w:name w:val="26"/>
    <w:basedOn w:val="92"/>
    <w:autoRedefine/>
    <w:uiPriority w:val="34"/>
    <w:qFormat/>
    <w:pPr>
      <w:ind w:firstLineChars="200" w:firstLine="420"/>
    </w:pPr>
    <w:rPr>
      <w:rFonts w:ascii="Calibri" w:hAnsi="Calibri" w:cs="Times New Roman"/>
      <w:kern w:val="2"/>
      <w:szCs w:val="22"/>
    </w:rPr>
  </w:style>
  <w:style w:type="paragraph" w:customStyle="1" w:styleId="250">
    <w:name w:val="25"/>
    <w:basedOn w:val="92"/>
    <w:autoRedefine/>
    <w:uiPriority w:val="1"/>
    <w:qFormat/>
    <w:pPr>
      <w:autoSpaceDE w:val="0"/>
      <w:autoSpaceDN w:val="0"/>
      <w:spacing w:after="160" w:line="259" w:lineRule="auto"/>
    </w:pPr>
    <w:rPr>
      <w:rFonts w:cs="Noto Sans CJK JP Regular"/>
      <w:sz w:val="18"/>
      <w:szCs w:val="18"/>
      <w:lang w:eastAsia="en-US"/>
    </w:rPr>
  </w:style>
  <w:style w:type="character" w:customStyle="1" w:styleId="240">
    <w:name w:val="24"/>
    <w:autoRedefine/>
    <w:qFormat/>
    <w:rPr>
      <w:rFonts w:ascii="Times New Roman" w:hAnsi="Times New Roman"/>
      <w:kern w:val="2"/>
      <w:sz w:val="21"/>
      <w:szCs w:val="21"/>
    </w:rPr>
  </w:style>
  <w:style w:type="character" w:customStyle="1" w:styleId="230">
    <w:name w:val="23"/>
    <w:autoRedefine/>
    <w:uiPriority w:val="9"/>
    <w:qFormat/>
    <w:rPr>
      <w:b/>
      <w:bCs/>
      <w:kern w:val="2"/>
      <w:sz w:val="21"/>
      <w:szCs w:val="32"/>
    </w:rPr>
  </w:style>
  <w:style w:type="character" w:customStyle="1" w:styleId="2CharCharCharChar">
    <w:name w:val="标题 2 Char Char Char Char"/>
    <w:autoRedefine/>
    <w:qFormat/>
    <w:rPr>
      <w:rFonts w:ascii="Arial" w:hAnsi="Arial"/>
      <w:b/>
      <w:bCs/>
      <w:kern w:val="2"/>
      <w:sz w:val="21"/>
      <w:szCs w:val="21"/>
    </w:rPr>
  </w:style>
  <w:style w:type="character" w:customStyle="1" w:styleId="220">
    <w:name w:val="22"/>
    <w:autoRedefine/>
    <w:uiPriority w:val="9"/>
    <w:qFormat/>
    <w:rPr>
      <w:b/>
      <w:bCs/>
      <w:kern w:val="2"/>
      <w:sz w:val="21"/>
      <w:szCs w:val="28"/>
    </w:rPr>
  </w:style>
  <w:style w:type="paragraph" w:customStyle="1" w:styleId="210">
    <w:name w:val="21"/>
    <w:basedOn w:val="92"/>
    <w:autoRedefine/>
    <w:uiPriority w:val="34"/>
    <w:qFormat/>
    <w:pPr>
      <w:ind w:firstLineChars="200" w:firstLine="420"/>
    </w:pPr>
    <w:rPr>
      <w:rFonts w:ascii="Calibri" w:hAnsi="Calibri" w:cs="Times New Roman"/>
      <w:kern w:val="2"/>
      <w:szCs w:val="22"/>
    </w:rPr>
  </w:style>
  <w:style w:type="character" w:customStyle="1" w:styleId="200">
    <w:name w:val="20"/>
    <w:autoRedefine/>
    <w:uiPriority w:val="99"/>
    <w:qFormat/>
    <w:rPr>
      <w:rFonts w:ascii="Times New Roman" w:hAnsi="Times New Roman"/>
      <w:kern w:val="2"/>
      <w:sz w:val="21"/>
      <w:szCs w:val="21"/>
    </w:rPr>
  </w:style>
  <w:style w:type="character" w:customStyle="1" w:styleId="19">
    <w:name w:val="19"/>
    <w:autoRedefine/>
    <w:qFormat/>
    <w:rPr>
      <w:rFonts w:ascii="FZLTSK--GBK1-0" w:hAnsi="FZLTSK--GBK1-0" w:hint="default"/>
      <w:color w:val="000000"/>
      <w:sz w:val="20"/>
      <w:szCs w:val="20"/>
    </w:rPr>
  </w:style>
  <w:style w:type="paragraph" w:customStyle="1" w:styleId="18">
    <w:name w:val="18"/>
    <w:basedOn w:val="92"/>
    <w:autoRedefine/>
    <w:uiPriority w:val="34"/>
    <w:qFormat/>
    <w:pPr>
      <w:ind w:firstLineChars="200" w:firstLine="420"/>
    </w:pPr>
    <w:rPr>
      <w:rFonts w:ascii="Calibri" w:hAnsi="Calibri" w:cs="Times New Roman"/>
      <w:kern w:val="2"/>
      <w:szCs w:val="22"/>
    </w:rPr>
  </w:style>
  <w:style w:type="character" w:customStyle="1" w:styleId="17">
    <w:name w:val="17"/>
    <w:autoRedefine/>
    <w:uiPriority w:val="99"/>
    <w:qFormat/>
    <w:rPr>
      <w:rFonts w:ascii="Times New Roman" w:hAnsi="Times New Roman"/>
      <w:kern w:val="2"/>
      <w:sz w:val="21"/>
      <w:szCs w:val="21"/>
    </w:rPr>
  </w:style>
  <w:style w:type="character" w:customStyle="1" w:styleId="160">
    <w:name w:val="16"/>
    <w:autoRedefine/>
    <w:uiPriority w:val="9"/>
    <w:qFormat/>
    <w:rPr>
      <w:b/>
      <w:bCs/>
      <w:kern w:val="2"/>
      <w:sz w:val="21"/>
      <w:szCs w:val="28"/>
    </w:rPr>
  </w:style>
  <w:style w:type="character" w:customStyle="1" w:styleId="150">
    <w:name w:val="15"/>
    <w:autoRedefine/>
    <w:uiPriority w:val="99"/>
    <w:semiHidden/>
    <w:qFormat/>
    <w:locked/>
    <w:rPr>
      <w:rFonts w:ascii="Times New Roman" w:hAnsi="Times New Roman"/>
      <w:kern w:val="2"/>
      <w:sz w:val="21"/>
      <w:szCs w:val="21"/>
    </w:rPr>
  </w:style>
  <w:style w:type="character" w:customStyle="1" w:styleId="2CharCharCharChar1">
    <w:name w:val="标题 2 Char Char Char Char1"/>
    <w:autoRedefine/>
    <w:qFormat/>
    <w:rPr>
      <w:rFonts w:ascii="Arial" w:hAnsi="Arial"/>
      <w:b/>
      <w:bCs/>
      <w:kern w:val="2"/>
      <w:sz w:val="21"/>
      <w:szCs w:val="21"/>
    </w:rPr>
  </w:style>
  <w:style w:type="character" w:customStyle="1" w:styleId="140">
    <w:name w:val="14"/>
    <w:autoRedefine/>
    <w:uiPriority w:val="99"/>
    <w:rPr>
      <w:rFonts w:ascii="Times New Roman" w:hAnsi="Times New Roman"/>
      <w:kern w:val="2"/>
      <w:sz w:val="21"/>
      <w:szCs w:val="21"/>
    </w:rPr>
  </w:style>
  <w:style w:type="character" w:customStyle="1" w:styleId="130">
    <w:name w:val="13"/>
    <w:uiPriority w:val="9"/>
    <w:rPr>
      <w:b/>
      <w:bCs/>
      <w:kern w:val="2"/>
      <w:sz w:val="21"/>
      <w:szCs w:val="28"/>
    </w:rPr>
  </w:style>
  <w:style w:type="paragraph" w:customStyle="1" w:styleId="120">
    <w:name w:val="12"/>
    <w:basedOn w:val="92"/>
    <w:autoRedefine/>
    <w:uiPriority w:val="34"/>
    <w:qFormat/>
    <w:pPr>
      <w:ind w:firstLineChars="200" w:firstLine="420"/>
    </w:pPr>
    <w:rPr>
      <w:rFonts w:ascii="Calibri" w:hAnsi="Calibri" w:cs="Times New Roman"/>
      <w:kern w:val="2"/>
      <w:szCs w:val="22"/>
    </w:rPr>
  </w:style>
  <w:style w:type="character" w:customStyle="1" w:styleId="111">
    <w:name w:val="11"/>
    <w:autoRedefine/>
    <w:uiPriority w:val="9"/>
    <w:qFormat/>
    <w:rPr>
      <w:b/>
      <w:bCs/>
      <w:kern w:val="2"/>
      <w:sz w:val="21"/>
      <w:szCs w:val="32"/>
    </w:rPr>
  </w:style>
  <w:style w:type="character" w:customStyle="1" w:styleId="100">
    <w:name w:val="10"/>
    <w:uiPriority w:val="9"/>
    <w:rPr>
      <w:b/>
      <w:bCs/>
      <w:kern w:val="2"/>
      <w:sz w:val="21"/>
      <w:szCs w:val="32"/>
    </w:rPr>
  </w:style>
  <w:style w:type="character" w:customStyle="1" w:styleId="9">
    <w:name w:val="9"/>
    <w:rPr>
      <w:rFonts w:ascii="Times New Roman" w:hAnsi="Times New Roman"/>
      <w:kern w:val="2"/>
      <w:sz w:val="21"/>
      <w:szCs w:val="21"/>
    </w:rPr>
  </w:style>
  <w:style w:type="paragraph" w:customStyle="1" w:styleId="8">
    <w:name w:val="8"/>
    <w:autoRedefine/>
    <w:qFormat/>
    <w:pPr>
      <w:widowControl w:val="0"/>
      <w:autoSpaceDE w:val="0"/>
      <w:autoSpaceDN w:val="0"/>
      <w:adjustRightInd w:val="0"/>
    </w:pPr>
    <w:rPr>
      <w:rFonts w:ascii="宋体" w:cs="宋体"/>
      <w:color w:val="000000"/>
      <w:sz w:val="24"/>
      <w:szCs w:val="24"/>
    </w:rPr>
  </w:style>
  <w:style w:type="character" w:customStyle="1" w:styleId="1a">
    <w:name w:val="未处理的提及1"/>
    <w:basedOn w:val="a0"/>
    <w:uiPriority w:val="99"/>
    <w:semiHidden/>
    <w:unhideWhenUsed/>
    <w:rPr>
      <w:color w:val="605E5C"/>
      <w:shd w:val="clear" w:color="auto" w:fill="E1DFDD"/>
    </w:rPr>
  </w:style>
  <w:style w:type="table" w:customStyle="1" w:styleId="g3">
    <w:name w:val="g3"/>
    <w:uiPriority w:val="99"/>
    <w:semiHidden/>
    <w:unhideWhenUsed/>
    <w:tblPr>
      <w:tblCellMar>
        <w:top w:w="0" w:type="dxa"/>
        <w:left w:w="108" w:type="dxa"/>
        <w:bottom w:w="0" w:type="dxa"/>
        <w:right w:w="108" w:type="dxa"/>
      </w:tblCellMar>
    </w:tblPr>
  </w:style>
  <w:style w:type="table" w:customStyle="1" w:styleId="g5">
    <w:name w:val="g5"/>
    <w:basedOn w:val="a1"/>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
    <w:name w:val="g8"/>
    <w:autoRedefine/>
    <w:uiPriority w:val="99"/>
    <w:semiHidden/>
    <w:unhideWhenUsed/>
    <w:qFormat/>
    <w:tblPr>
      <w:tblCellMar>
        <w:top w:w="0" w:type="dxa"/>
        <w:left w:w="108" w:type="dxa"/>
        <w:bottom w:w="0" w:type="dxa"/>
        <w:right w:w="108" w:type="dxa"/>
      </w:tblCellMar>
    </w:tblPr>
  </w:style>
  <w:style w:type="table" w:customStyle="1" w:styleId="g9">
    <w:name w:val="g9"/>
    <w:basedOn w:val="a1"/>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索引 1 字符1"/>
    <w:basedOn w:val="a"/>
    <w:next w:val="a"/>
    <w:autoRedefine/>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
    <w:name w:val="标题 2 Char Char Char"/>
    <w:basedOn w:val="a"/>
    <w:next w:val="a"/>
    <w:autoRedefine/>
    <w:qFormat/>
    <w:pPr>
      <w:keepNext/>
      <w:keepLines/>
      <w:widowControl w:val="0"/>
      <w:numPr>
        <w:numId w:val="1"/>
      </w:numPr>
      <w:spacing w:before="60" w:after="60"/>
      <w:jc w:val="both"/>
      <w:outlineLvl w:val="1"/>
    </w:pPr>
    <w:rPr>
      <w:rFonts w:ascii="Arial" w:hAnsi="Arial" w:cs="Times New Roman"/>
      <w:b/>
      <w:bCs/>
      <w:kern w:val="2"/>
      <w:szCs w:val="21"/>
    </w:rPr>
  </w:style>
  <w:style w:type="paragraph" w:customStyle="1" w:styleId="Style223">
    <w:name w:val="_Style 223"/>
    <w:basedOn w:val="a"/>
    <w:autoRedefine/>
    <w:uiPriority w:val="99"/>
    <w:qFormat/>
    <w:pPr>
      <w:widowControl w:val="0"/>
    </w:pPr>
    <w:rPr>
      <w:rFonts w:ascii="Times New Roman" w:hAnsi="Times New Roman" w:cs="Times New Roman"/>
      <w:kern w:val="2"/>
      <w:szCs w:val="21"/>
    </w:rPr>
  </w:style>
  <w:style w:type="paragraph" w:customStyle="1" w:styleId="Style224">
    <w:name w:val="_Style 224"/>
    <w:basedOn w:val="a"/>
    <w:next w:val="a"/>
    <w:autoRedefine/>
    <w:semiHidden/>
    <w:qFormat/>
    <w:pPr>
      <w:ind w:firstLineChars="200" w:firstLine="420"/>
    </w:pPr>
    <w:rPr>
      <w:rFonts w:cs="Times New Roman"/>
      <w:color w:val="000000"/>
      <w:szCs w:val="21"/>
    </w:rPr>
  </w:style>
  <w:style w:type="character" w:customStyle="1" w:styleId="Style225">
    <w:name w:val="_Style 225"/>
    <w:basedOn w:val="a0"/>
    <w:autoRedefine/>
    <w:uiPriority w:val="99"/>
    <w:unhideWhenUsed/>
    <w:qFormat/>
    <w:rPr>
      <w:vertAlign w:val="superscript"/>
    </w:rPr>
  </w:style>
  <w:style w:type="paragraph" w:customStyle="1" w:styleId="Style226">
    <w:name w:val="_Style 226"/>
    <w:basedOn w:val="92"/>
    <w:next w:val="a"/>
    <w:autoRedefine/>
    <w:uiPriority w:val="99"/>
    <w:qFormat/>
    <w:pPr>
      <w:spacing w:before="240" w:after="60"/>
      <w:jc w:val="center"/>
      <w:outlineLvl w:val="0"/>
    </w:pPr>
    <w:rPr>
      <w:rFonts w:asciiTheme="majorHAnsi" w:hAnsiTheme="majorHAnsi" w:cstheme="majorBidi"/>
      <w:b/>
      <w:bCs/>
      <w:kern w:val="2"/>
      <w:sz w:val="32"/>
      <w:szCs w:val="32"/>
    </w:rPr>
  </w:style>
  <w:style w:type="character" w:customStyle="1" w:styleId="Style227">
    <w:name w:val="_Style 227"/>
    <w:basedOn w:val="a0"/>
    <w:autoRedefine/>
    <w:uiPriority w:val="99"/>
    <w:qFormat/>
    <w:rPr>
      <w:rFonts w:eastAsia="黑体"/>
      <w:b/>
      <w:bCs/>
      <w:kern w:val="44"/>
      <w:sz w:val="28"/>
      <w:szCs w:val="44"/>
    </w:rPr>
  </w:style>
  <w:style w:type="character" w:customStyle="1" w:styleId="2CharCharChar10">
    <w:name w:val="标题 2 Char Char Char 字符1"/>
    <w:basedOn w:val="a0"/>
    <w:autoRedefine/>
    <w:qFormat/>
    <w:rPr>
      <w:rFonts w:ascii="Arial" w:hAnsi="Arial"/>
      <w:b/>
      <w:bCs/>
      <w:kern w:val="2"/>
      <w:sz w:val="21"/>
      <w:szCs w:val="21"/>
    </w:rPr>
  </w:style>
  <w:style w:type="paragraph" w:customStyle="1" w:styleId="Style229">
    <w:name w:val="_Style 229"/>
    <w:basedOn w:val="112"/>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Style230">
    <w:name w:val="_Style 230"/>
    <w:basedOn w:val="a0"/>
    <w:autoRedefine/>
    <w:uiPriority w:val="99"/>
    <w:qFormat/>
    <w:rPr>
      <w:rFonts w:ascii="Times New Roman" w:eastAsia="宋体" w:hAnsi="Times New Roman" w:cs="Times New Roman"/>
      <w:szCs w:val="21"/>
    </w:rPr>
  </w:style>
  <w:style w:type="paragraph" w:customStyle="1" w:styleId="Style231">
    <w:name w:val="_Style 231"/>
    <w:autoRedefine/>
    <w:hidden/>
    <w:uiPriority w:val="99"/>
    <w:semiHidden/>
    <w:qFormat/>
    <w:rPr>
      <w:kern w:val="2"/>
      <w:sz w:val="21"/>
      <w:szCs w:val="22"/>
    </w:rPr>
  </w:style>
  <w:style w:type="character" w:customStyle="1" w:styleId="Style232">
    <w:name w:val="_Style 232"/>
    <w:basedOn w:val="Style230"/>
    <w:autoRedefine/>
    <w:uiPriority w:val="99"/>
    <w:semiHidden/>
    <w:qFormat/>
    <w:rPr>
      <w:rFonts w:ascii="Times New Roman" w:eastAsia="宋体" w:hAnsi="Times New Roman" w:cs="Times New Roman"/>
      <w:b/>
      <w:bCs/>
      <w:szCs w:val="21"/>
    </w:rPr>
  </w:style>
  <w:style w:type="paragraph" w:customStyle="1" w:styleId="Style233">
    <w:name w:val="_Style 233"/>
    <w:basedOn w:val="a"/>
    <w:next w:val="affc"/>
    <w:autoRedefine/>
    <w:uiPriority w:val="34"/>
    <w:qFormat/>
    <w:pPr>
      <w:widowControl w:val="0"/>
      <w:ind w:firstLineChars="200" w:firstLine="420"/>
      <w:jc w:val="both"/>
    </w:pPr>
    <w:rPr>
      <w:rFonts w:ascii="Calibri" w:hAnsi="Calibri" w:cs="Times New Roman"/>
      <w:kern w:val="2"/>
      <w:szCs w:val="22"/>
    </w:rPr>
  </w:style>
  <w:style w:type="character" w:customStyle="1" w:styleId="Style234">
    <w:name w:val="_Style 234"/>
    <w:autoRedefine/>
    <w:uiPriority w:val="99"/>
    <w:semiHidden/>
    <w:qFormat/>
    <w:locked/>
    <w:rPr>
      <w:rFonts w:ascii="Times New Roman" w:hAnsi="Times New Roman"/>
      <w:kern w:val="2"/>
      <w:sz w:val="21"/>
      <w:szCs w:val="21"/>
    </w:rPr>
  </w:style>
  <w:style w:type="paragraph" w:customStyle="1" w:styleId="Style235">
    <w:name w:val="_Style 235"/>
    <w:basedOn w:val="92"/>
    <w:next w:val="a"/>
    <w:autoRedefine/>
    <w:uiPriority w:val="99"/>
    <w:qFormat/>
    <w:pPr>
      <w:keepNext/>
      <w:keepLines/>
      <w:spacing w:before="60" w:after="60" w:line="360" w:lineRule="auto"/>
      <w:jc w:val="center"/>
      <w:outlineLvl w:val="0"/>
    </w:pPr>
    <w:rPr>
      <w:rFonts w:ascii="Calibri" w:eastAsia="黑体" w:hAnsi="Calibri" w:cs="Times New Roman"/>
      <w:b/>
      <w:bCs/>
      <w:kern w:val="44"/>
      <w:sz w:val="28"/>
      <w:szCs w:val="44"/>
    </w:rPr>
  </w:style>
  <w:style w:type="paragraph" w:customStyle="1" w:styleId="Style236">
    <w:name w:val="_Style 236"/>
    <w:basedOn w:val="Style235"/>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Style237">
    <w:name w:val="_Style 237"/>
    <w:basedOn w:val="a0"/>
    <w:autoRedefine/>
    <w:qFormat/>
    <w:rPr>
      <w:rFonts w:ascii="Times New Roman" w:eastAsia="宋体" w:hAnsi="Times New Roman" w:cs="Times New Roman"/>
      <w:szCs w:val="21"/>
    </w:rPr>
  </w:style>
  <w:style w:type="character" w:customStyle="1" w:styleId="Style238">
    <w:name w:val="_Style 238"/>
    <w:basedOn w:val="a0"/>
    <w:autoRedefine/>
    <w:qFormat/>
    <w:rPr>
      <w:rFonts w:ascii="Calibri" w:eastAsia="宋体" w:hAnsi="Calibri" w:cs="Times New Roman"/>
      <w:sz w:val="18"/>
      <w:szCs w:val="18"/>
    </w:rPr>
  </w:style>
  <w:style w:type="character" w:customStyle="1" w:styleId="Style239">
    <w:name w:val="_Style 239"/>
    <w:autoRedefine/>
    <w:uiPriority w:val="99"/>
    <w:qFormat/>
    <w:rPr>
      <w:rFonts w:ascii="Times New Roman" w:hAnsi="Times New Roman"/>
      <w:kern w:val="2"/>
      <w:sz w:val="21"/>
      <w:szCs w:val="21"/>
    </w:rPr>
  </w:style>
  <w:style w:type="paragraph" w:customStyle="1" w:styleId="Style240">
    <w:name w:val="_Style 240"/>
    <w:basedOn w:val="112"/>
    <w:next w:val="a"/>
    <w:autoRedefine/>
    <w:uiPriority w:val="39"/>
    <w:qFormat/>
    <w:pPr>
      <w:widowControl/>
      <w:spacing w:before="480" w:after="0" w:line="276" w:lineRule="auto"/>
      <w:outlineLvl w:val="9"/>
    </w:pPr>
    <w:rPr>
      <w:rFonts w:ascii="Cambria" w:eastAsia="宋体" w:hAnsi="Cambria"/>
      <w:color w:val="365F91"/>
      <w:kern w:val="0"/>
      <w:szCs w:val="28"/>
    </w:rPr>
  </w:style>
  <w:style w:type="paragraph" w:customStyle="1" w:styleId="Style241">
    <w:name w:val="_Style 241"/>
    <w:autoRedefine/>
    <w:hidden/>
    <w:uiPriority w:val="99"/>
    <w:semiHidden/>
    <w:qFormat/>
    <w:rPr>
      <w:kern w:val="2"/>
      <w:sz w:val="21"/>
      <w:szCs w:val="22"/>
    </w:rPr>
  </w:style>
  <w:style w:type="paragraph" w:customStyle="1" w:styleId="Style242">
    <w:name w:val="_Style 242"/>
    <w:basedOn w:val="a"/>
    <w:autoRedefine/>
    <w:uiPriority w:val="34"/>
    <w:qFormat/>
    <w:pPr>
      <w:ind w:firstLineChars="200" w:firstLine="420"/>
    </w:pPr>
    <w:rPr>
      <w:rFonts w:ascii="Calibri" w:hAnsi="Calibri" w:cs="Times New Roman"/>
      <w:kern w:val="2"/>
      <w:szCs w:val="22"/>
    </w:rPr>
  </w:style>
  <w:style w:type="paragraph" w:customStyle="1" w:styleId="Style243">
    <w:name w:val="_Style 243"/>
    <w:basedOn w:val="a"/>
    <w:autoRedefine/>
    <w:qFormat/>
    <w:pPr>
      <w:tabs>
        <w:tab w:val="left" w:pos="714"/>
      </w:tabs>
      <w:adjustRightInd w:val="0"/>
      <w:snapToGrid w:val="0"/>
      <w:spacing w:line="400" w:lineRule="atLeast"/>
      <w:ind w:left="756" w:hanging="770"/>
      <w:outlineLvl w:val="0"/>
    </w:pPr>
    <w:rPr>
      <w:rFonts w:cs="Times New Roman"/>
      <w:b/>
      <w:kern w:val="2"/>
      <w:szCs w:val="21"/>
    </w:rPr>
  </w:style>
  <w:style w:type="paragraph" w:customStyle="1" w:styleId="Style244">
    <w:name w:val="_Style 244"/>
    <w:basedOn w:val="a"/>
    <w:autoRedefine/>
    <w:qFormat/>
    <w:pPr>
      <w:adjustRightInd w:val="0"/>
      <w:snapToGrid w:val="0"/>
      <w:spacing w:line="400" w:lineRule="atLeast"/>
      <w:ind w:leftChars="342" w:left="718"/>
    </w:pPr>
    <w:rPr>
      <w:rFonts w:cs="Times New Roman"/>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7020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s://www.cnstock.com/"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s://www.cs.com.c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E47A0F" w:rsidRDefault="00D45776">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F823479-1B2C-4501-A4CD-13FF47B8C52B}"/>
      </w:docPartPr>
      <w:docPartBody>
        <w:p w:rsidR="00E47A0F" w:rsidRDefault="00D45776">
          <w:r>
            <w:rPr>
              <w:rStyle w:val="a3"/>
              <w:rFonts w:hint="eastAsia"/>
              <w:color w:val="333399"/>
              <w:u w:val="single"/>
            </w:rPr>
            <w:t xml:space="preserve">　　　</w:t>
          </w:r>
        </w:p>
      </w:docPartBody>
    </w:docPart>
    <w:docPart>
      <w:docPartPr>
        <w:name w:val="C108400CA4394148BED50AC65604744B"/>
        <w:category>
          <w:name w:val="常规"/>
          <w:gallery w:val="placeholder"/>
        </w:category>
        <w:types>
          <w:type w:val="bbPlcHdr"/>
        </w:types>
        <w:behaviors>
          <w:behavior w:val="content"/>
        </w:behaviors>
        <w:guid w:val="{A771C284-A9E3-4B0E-A4AE-EB66AE49CD00}"/>
      </w:docPartPr>
      <w:docPartBody>
        <w:p w:rsidR="00E47A0F" w:rsidRDefault="00D45776">
          <w:pPr>
            <w:pStyle w:val="C108400CA4394148BED50AC65604744B"/>
          </w:pPr>
          <w:r>
            <w:rPr>
              <w:rStyle w:val="a3"/>
              <w:rFonts w:hint="eastAsia"/>
              <w:color w:val="333399"/>
              <w:u w:val="single"/>
            </w:rPr>
            <w:t xml:space="preserve">　　　</w:t>
          </w:r>
        </w:p>
      </w:docPartBody>
    </w:docPart>
    <w:docPart>
      <w:docPartPr>
        <w:name w:val="5EEF6B85C4934A4C85171F7F16F63C49"/>
        <w:category>
          <w:name w:val="常规"/>
          <w:gallery w:val="placeholder"/>
        </w:category>
        <w:types>
          <w:type w:val="bbPlcHdr"/>
        </w:types>
        <w:behaviors>
          <w:behavior w:val="content"/>
        </w:behaviors>
        <w:guid w:val="{8CA0489F-6248-4F8B-A504-D9D1A1D92F7E}"/>
      </w:docPartPr>
      <w:docPartBody>
        <w:p w:rsidR="00E47A0F" w:rsidRDefault="00D45776">
          <w:pPr>
            <w:pStyle w:val="5EEF6B85C4934A4C85171F7F16F63C49"/>
          </w:pPr>
          <w:r>
            <w:rPr>
              <w:rStyle w:val="a3"/>
              <w:rFonts w:hint="eastAsia"/>
              <w:color w:val="333399"/>
              <w:u w:val="single"/>
            </w:rPr>
            <w:t xml:space="preserve">　　　</w:t>
          </w:r>
        </w:p>
      </w:docPartBody>
    </w:docPart>
    <w:docPart>
      <w:docPartPr>
        <w:name w:val="4538580E5F044C2099EADDB45C07CEB8"/>
        <w:category>
          <w:name w:val="常规"/>
          <w:gallery w:val="placeholder"/>
        </w:category>
        <w:types>
          <w:type w:val="bbPlcHdr"/>
        </w:types>
        <w:behaviors>
          <w:behavior w:val="content"/>
        </w:behaviors>
        <w:guid w:val="{17C13CAC-F08E-469C-867F-B7C76658508B}"/>
      </w:docPartPr>
      <w:docPartBody>
        <w:p w:rsidR="00E47A0F" w:rsidRDefault="00D45776">
          <w:pPr>
            <w:pStyle w:val="4538580E5F044C2099EADDB45C07CEB8"/>
          </w:pPr>
          <w:r>
            <w:rPr>
              <w:rStyle w:val="a3"/>
              <w:rFonts w:hint="eastAsia"/>
              <w:color w:val="333399"/>
              <w:u w:val="single"/>
            </w:rPr>
            <w:t xml:space="preserve">　　　</w:t>
          </w:r>
        </w:p>
      </w:docPartBody>
    </w:docPart>
    <w:docPart>
      <w:docPartPr>
        <w:name w:val="4A38BD9365A84B6A9C2F842188A1F39B"/>
        <w:category>
          <w:name w:val="常规"/>
          <w:gallery w:val="placeholder"/>
        </w:category>
        <w:types>
          <w:type w:val="bbPlcHdr"/>
        </w:types>
        <w:behaviors>
          <w:behavior w:val="content"/>
        </w:behaviors>
        <w:guid w:val="{FBA5CC65-4932-40FC-AD87-7AC7653BC3C1}"/>
      </w:docPartPr>
      <w:docPartBody>
        <w:p w:rsidR="00E47A0F" w:rsidRDefault="00D45776">
          <w:pPr>
            <w:pStyle w:val="4A38BD9365A84B6A9C2F842188A1F39B"/>
          </w:pPr>
          <w:r>
            <w:rPr>
              <w:rStyle w:val="a3"/>
              <w:rFonts w:hint="eastAsia"/>
              <w:color w:val="333399"/>
              <w:u w:val="single"/>
            </w:rPr>
            <w:t xml:space="preserve">　　　</w:t>
          </w:r>
        </w:p>
      </w:docPartBody>
    </w:docPart>
    <w:docPart>
      <w:docPartPr>
        <w:name w:val="D67FBF74F8C14F88804780BE339038F8"/>
        <w:category>
          <w:name w:val="常规"/>
          <w:gallery w:val="placeholder"/>
        </w:category>
        <w:types>
          <w:type w:val="bbPlcHdr"/>
        </w:types>
        <w:behaviors>
          <w:behavior w:val="content"/>
        </w:behaviors>
        <w:guid w:val="{C7DA0C8D-565F-4282-9068-99F2722E3D09}"/>
      </w:docPartPr>
      <w:docPartBody>
        <w:p w:rsidR="00E47A0F" w:rsidRDefault="00D45776">
          <w:pPr>
            <w:pStyle w:val="D67FBF74F8C14F88804780BE339038F8"/>
          </w:pPr>
          <w:r>
            <w:rPr>
              <w:rStyle w:val="a3"/>
              <w:rFonts w:hint="eastAsia"/>
              <w:color w:val="333399"/>
              <w:u w:val="single"/>
            </w:rPr>
            <w:t xml:space="preserve">　　　</w:t>
          </w:r>
        </w:p>
      </w:docPartBody>
    </w:docPart>
    <w:docPart>
      <w:docPartPr>
        <w:name w:val="5F26D5D58ACE454C9F2FC30761E98A7C"/>
        <w:category>
          <w:name w:val="常规"/>
          <w:gallery w:val="placeholder"/>
        </w:category>
        <w:types>
          <w:type w:val="bbPlcHdr"/>
        </w:types>
        <w:behaviors>
          <w:behavior w:val="content"/>
        </w:behaviors>
        <w:guid w:val="{6858330C-BB70-4FC9-A00C-952379F185D0}"/>
      </w:docPartPr>
      <w:docPartBody>
        <w:p w:rsidR="00E47A0F" w:rsidRDefault="00D45776">
          <w:pPr>
            <w:pStyle w:val="5F26D5D58ACE454C9F2FC30761E98A7C"/>
          </w:pPr>
          <w:r>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C7917EB4-42F4-4352-8F60-6074777C0DF1}"/>
      </w:docPartPr>
      <w:docPartBody>
        <w:p w:rsidR="00E47A0F" w:rsidRDefault="00D45776">
          <w:r>
            <w:rPr>
              <w:rStyle w:val="a3"/>
              <w:rFonts w:hint="eastAsia"/>
            </w:rPr>
            <w:t>单击或点击此处输入文字。</w:t>
          </w:r>
        </w:p>
      </w:docPartBody>
    </w:docPart>
    <w:docPart>
      <w:docPartPr>
        <w:name w:val="9C1761E986134D47A8428AE4A7383844"/>
        <w:category>
          <w:name w:val="常规"/>
          <w:gallery w:val="placeholder"/>
        </w:category>
        <w:types>
          <w:type w:val="bbPlcHdr"/>
        </w:types>
        <w:behaviors>
          <w:behavior w:val="content"/>
        </w:behaviors>
        <w:guid w:val="{4F8ED812-3E84-428E-AF9E-24955E472AB9}"/>
      </w:docPartPr>
      <w:docPartBody>
        <w:p w:rsidR="00E47A0F" w:rsidRDefault="00D45776">
          <w:pPr>
            <w:pStyle w:val="9C1761E986134D47A8428AE4A7383844"/>
          </w:pPr>
          <w:r>
            <w:rPr>
              <w:rStyle w:val="a3"/>
              <w:rFonts w:hint="eastAsia"/>
              <w:color w:val="333399"/>
              <w:u w:val="single"/>
            </w:rPr>
            <w:t xml:space="preserve">　　　</w:t>
          </w:r>
        </w:p>
      </w:docPartBody>
    </w:docPart>
    <w:docPart>
      <w:docPartPr>
        <w:name w:val="67C3340128034923AF016B71A5CAD5E6"/>
        <w:category>
          <w:name w:val="常规"/>
          <w:gallery w:val="placeholder"/>
        </w:category>
        <w:types>
          <w:type w:val="bbPlcHdr"/>
        </w:types>
        <w:behaviors>
          <w:behavior w:val="content"/>
        </w:behaviors>
        <w:guid w:val="{11DC5F56-9D15-40DD-A85F-65834EB23483}"/>
      </w:docPartPr>
      <w:docPartBody>
        <w:p w:rsidR="00E47A0F" w:rsidRDefault="00D45776">
          <w:pPr>
            <w:pStyle w:val="67C3340128034923AF016B71A5CAD5E6"/>
          </w:pPr>
          <w:r>
            <w:rPr>
              <w:rStyle w:val="a3"/>
              <w:rFonts w:hint="eastAsia"/>
              <w:color w:val="333399"/>
              <w:u w:val="single"/>
            </w:rPr>
            <w:t xml:space="preserve">　　　</w:t>
          </w:r>
        </w:p>
      </w:docPartBody>
    </w:docPart>
    <w:docPart>
      <w:docPartPr>
        <w:name w:val="CB9FEC19226F421F926976D4C1C6FC6D"/>
        <w:category>
          <w:name w:val="常规"/>
          <w:gallery w:val="placeholder"/>
        </w:category>
        <w:types>
          <w:type w:val="bbPlcHdr"/>
        </w:types>
        <w:behaviors>
          <w:behavior w:val="content"/>
        </w:behaviors>
        <w:guid w:val="{1775DE82-0107-4E6B-846F-F78F5FC82CBE}"/>
      </w:docPartPr>
      <w:docPartBody>
        <w:p w:rsidR="00E47A0F" w:rsidRDefault="00D45776">
          <w:pPr>
            <w:pStyle w:val="CB9FEC19226F421F926976D4C1C6FC6D"/>
          </w:pPr>
          <w:r>
            <w:rPr>
              <w:rStyle w:val="a3"/>
              <w:rFonts w:hint="eastAsia"/>
            </w:rPr>
            <w:t xml:space="preserve">　</w:t>
          </w:r>
        </w:p>
      </w:docPartBody>
    </w:docPart>
    <w:docPart>
      <w:docPartPr>
        <w:name w:val="6F24687262F444429988E0E3A051FE21"/>
        <w:category>
          <w:name w:val="常规"/>
          <w:gallery w:val="placeholder"/>
        </w:category>
        <w:types>
          <w:type w:val="bbPlcHdr"/>
        </w:types>
        <w:behaviors>
          <w:behavior w:val="content"/>
        </w:behaviors>
        <w:guid w:val="{EA6B57DB-5E40-460B-823E-CD27F0689052}"/>
      </w:docPartPr>
      <w:docPartBody>
        <w:p w:rsidR="00E47A0F" w:rsidRDefault="00D45776">
          <w:pPr>
            <w:pStyle w:val="6F24687262F444429988E0E3A051FE21"/>
          </w:pPr>
          <w:r>
            <w:rPr>
              <w:rStyle w:val="a3"/>
              <w:rFonts w:hint="eastAsia"/>
            </w:rPr>
            <w:t xml:space="preserve">　</w:t>
          </w:r>
        </w:p>
      </w:docPartBody>
    </w:docPart>
    <w:docPart>
      <w:docPartPr>
        <w:name w:val="4542760B9C03429AA32454B4F138396F"/>
        <w:category>
          <w:name w:val="常规"/>
          <w:gallery w:val="placeholder"/>
        </w:category>
        <w:types>
          <w:type w:val="bbPlcHdr"/>
        </w:types>
        <w:behaviors>
          <w:behavior w:val="content"/>
        </w:behaviors>
        <w:guid w:val="{315CE15C-6981-46BE-BC1D-50C8891327D5}"/>
      </w:docPartPr>
      <w:docPartBody>
        <w:p w:rsidR="00E47A0F" w:rsidRDefault="00D45776">
          <w:pPr>
            <w:pStyle w:val="4542760B9C03429AA32454B4F138396F"/>
          </w:pPr>
          <w:r>
            <w:rPr>
              <w:rStyle w:val="a3"/>
              <w:rFonts w:hint="eastAsia"/>
            </w:rPr>
            <w:t>单击或点击此处输入文字。</w:t>
          </w:r>
        </w:p>
      </w:docPartBody>
    </w:docPart>
    <w:docPart>
      <w:docPartPr>
        <w:name w:val="E08566F0970E4D0D948BA8B80B728C34"/>
        <w:category>
          <w:name w:val="常规"/>
          <w:gallery w:val="placeholder"/>
        </w:category>
        <w:types>
          <w:type w:val="bbPlcHdr"/>
        </w:types>
        <w:behaviors>
          <w:behavior w:val="content"/>
        </w:behaviors>
        <w:guid w:val="{DF45DBF5-F08B-440F-9E75-9FF18461A0FB}"/>
      </w:docPartPr>
      <w:docPartBody>
        <w:p w:rsidR="00E47A0F" w:rsidRDefault="00D45776">
          <w:pPr>
            <w:pStyle w:val="E08566F0970E4D0D948BA8B80B728C34"/>
          </w:pPr>
          <w:r>
            <w:rPr>
              <w:rStyle w:val="a3"/>
              <w:rFonts w:hint="eastAsia"/>
              <w:color w:val="333399"/>
              <w:u w:val="single"/>
            </w:rPr>
            <w:t xml:space="preserve">　　　</w:t>
          </w:r>
        </w:p>
      </w:docPartBody>
    </w:docPart>
    <w:docPart>
      <w:docPartPr>
        <w:name w:val="05A56E7BB9CB462AA08EDBEBC34F0CEA"/>
        <w:category>
          <w:name w:val="常规"/>
          <w:gallery w:val="placeholder"/>
        </w:category>
        <w:types>
          <w:type w:val="bbPlcHdr"/>
        </w:types>
        <w:behaviors>
          <w:behavior w:val="content"/>
        </w:behaviors>
        <w:guid w:val="{F276154B-F020-4692-B8E0-3B79E179BBB4}"/>
      </w:docPartPr>
      <w:docPartBody>
        <w:p w:rsidR="00E47A0F" w:rsidRDefault="00D45776">
          <w:pPr>
            <w:pStyle w:val="05A56E7BB9CB462AA08EDBEBC34F0CEA"/>
          </w:pPr>
          <w:r>
            <w:rPr>
              <w:rStyle w:val="a3"/>
              <w:rFonts w:hint="eastAsia"/>
              <w:color w:val="333399"/>
              <w:u w:val="single"/>
            </w:rPr>
            <w:t xml:space="preserve">　　　</w:t>
          </w:r>
        </w:p>
      </w:docPartBody>
    </w:docPart>
    <w:docPart>
      <w:docPartPr>
        <w:name w:val="373D3D2C53FC4B238A148D2B7B6A99B4"/>
        <w:category>
          <w:name w:val="常规"/>
          <w:gallery w:val="placeholder"/>
        </w:category>
        <w:types>
          <w:type w:val="bbPlcHdr"/>
        </w:types>
        <w:behaviors>
          <w:behavior w:val="content"/>
        </w:behaviors>
        <w:guid w:val="{57C9A0DF-6F7A-4228-9400-8FC09030B9F9}"/>
      </w:docPartPr>
      <w:docPartBody>
        <w:p w:rsidR="00E47A0F" w:rsidRDefault="00D45776">
          <w:pPr>
            <w:pStyle w:val="373D3D2C53FC4B238A148D2B7B6A99B4"/>
          </w:pPr>
          <w:r>
            <w:rPr>
              <w:rStyle w:val="a3"/>
              <w:rFonts w:hint="eastAsia"/>
              <w:color w:val="333399"/>
              <w:u w:val="single"/>
            </w:rPr>
            <w:t xml:space="preserve">　　　</w:t>
          </w:r>
        </w:p>
      </w:docPartBody>
    </w:docPart>
    <w:docPart>
      <w:docPartPr>
        <w:name w:val="{38f4bc27-8bf8-40ad-9dde-4d6ea23c4e88}"/>
        <w:category>
          <w:name w:val="常规"/>
          <w:gallery w:val="placeholder"/>
        </w:category>
        <w:types>
          <w:type w:val="bbPlcHdr"/>
        </w:types>
        <w:behaviors>
          <w:behavior w:val="content"/>
        </w:behaviors>
        <w:guid w:val="{38F4BC27-8BF8-40AD-9DDE-4D6EA23C4E88}"/>
      </w:docPartPr>
      <w:docPartBody>
        <w:p w:rsidR="00E47A0F" w:rsidRDefault="00D45776">
          <w:r>
            <w:rPr>
              <w:rStyle w:val="a3"/>
              <w:rFonts w:hint="eastAsia"/>
              <w:color w:val="333399"/>
              <w:u w:val="single"/>
            </w:rPr>
            <w:t xml:space="preserve">　　　</w:t>
          </w:r>
        </w:p>
      </w:docPartBody>
    </w:docPart>
    <w:docPart>
      <w:docPartPr>
        <w:name w:val="{d34b702b-4140-4239-8c3b-11c3696c500b}"/>
        <w:category>
          <w:name w:val="常规"/>
          <w:gallery w:val="placeholder"/>
        </w:category>
        <w:types>
          <w:type w:val="bbPlcHdr"/>
        </w:types>
        <w:behaviors>
          <w:behavior w:val="content"/>
        </w:behaviors>
        <w:guid w:val="{D34B702B-4140-4239-8C3B-11C3696C500B}"/>
      </w:docPartPr>
      <w:docPartBody>
        <w:p w:rsidR="00E47A0F" w:rsidRDefault="00D45776">
          <w:r>
            <w:rPr>
              <w:rStyle w:val="a3"/>
              <w:rFonts w:hint="eastAsia"/>
              <w:color w:val="333399"/>
              <w:u w:val="single"/>
            </w:rPr>
            <w:t xml:space="preserve">　　　</w:t>
          </w:r>
        </w:p>
      </w:docPartBody>
    </w:docPart>
    <w:docPart>
      <w:docPartPr>
        <w:name w:val="{deefd0b8-ecea-4de2-afa5-07a37dc5fbf2}"/>
        <w:category>
          <w:name w:val="常规"/>
          <w:gallery w:val="placeholder"/>
        </w:category>
        <w:types>
          <w:type w:val="bbPlcHdr"/>
        </w:types>
        <w:behaviors>
          <w:behavior w:val="content"/>
        </w:behaviors>
        <w:guid w:val="{DEEFD0B8-ECEA-4DE2-AFA5-07A37DC5FBF2}"/>
      </w:docPartPr>
      <w:docPartBody>
        <w:p w:rsidR="00E47A0F" w:rsidRDefault="00D45776">
          <w:r>
            <w:rPr>
              <w:rStyle w:val="a3"/>
              <w:rFonts w:hint="eastAsia"/>
              <w:color w:val="333399"/>
              <w:u w:val="single"/>
            </w:rPr>
            <w:t xml:space="preserve">　　　</w:t>
          </w:r>
        </w:p>
      </w:docPartBody>
    </w:docPart>
    <w:docPart>
      <w:docPartPr>
        <w:name w:val="{68a83ef8-4d81-41bb-9b52-5fbbb6093632}"/>
        <w:category>
          <w:name w:val="常规"/>
          <w:gallery w:val="placeholder"/>
        </w:category>
        <w:types>
          <w:type w:val="bbPlcHdr"/>
        </w:types>
        <w:behaviors>
          <w:behavior w:val="content"/>
        </w:behaviors>
        <w:guid w:val="{68A83EF8-4D81-41BB-9B52-5FBBB6093632}"/>
      </w:docPartPr>
      <w:docPartBody>
        <w:p w:rsidR="00E47A0F" w:rsidRDefault="00D45776">
          <w:r>
            <w:rPr>
              <w:rStyle w:val="a3"/>
              <w:rFonts w:hint="eastAsia"/>
              <w:color w:val="333399"/>
              <w:u w:val="single"/>
            </w:rPr>
            <w:t xml:space="preserve">　　　</w:t>
          </w:r>
        </w:p>
      </w:docPartBody>
    </w:docPart>
    <w:docPart>
      <w:docPartPr>
        <w:name w:val="{e30b58f5-5095-41fa-95c4-5d207cbeb3a4}"/>
        <w:category>
          <w:name w:val="常规"/>
          <w:gallery w:val="placeholder"/>
        </w:category>
        <w:types>
          <w:type w:val="bbPlcHdr"/>
        </w:types>
        <w:behaviors>
          <w:behavior w:val="content"/>
        </w:behaviors>
        <w:guid w:val="{E30B58F5-5095-41FA-95C4-5D207CBEB3A4}"/>
      </w:docPartPr>
      <w:docPartBody>
        <w:p w:rsidR="00E47A0F" w:rsidRDefault="00D45776">
          <w:r>
            <w:rPr>
              <w:rStyle w:val="a3"/>
              <w:rFonts w:hint="eastAsia"/>
              <w:color w:val="333399"/>
              <w:u w:val="single"/>
            </w:rPr>
            <w:t xml:space="preserve">　　　</w:t>
          </w:r>
        </w:p>
      </w:docPartBody>
    </w:docPart>
    <w:docPart>
      <w:docPartPr>
        <w:name w:val="{c59b4e43-b225-4ed6-8139-840e4c699275}"/>
        <w:category>
          <w:name w:val="常规"/>
          <w:gallery w:val="placeholder"/>
        </w:category>
        <w:types>
          <w:type w:val="bbPlcHdr"/>
        </w:types>
        <w:behaviors>
          <w:behavior w:val="content"/>
        </w:behaviors>
        <w:guid w:val="{C59B4E43-B225-4ED6-8139-840E4C699275}"/>
      </w:docPartPr>
      <w:docPartBody>
        <w:p w:rsidR="00E47A0F" w:rsidRDefault="00D45776">
          <w:r>
            <w:rPr>
              <w:rStyle w:val="a3"/>
              <w:rFonts w:hint="eastAsia"/>
              <w:color w:val="333399"/>
              <w:u w:val="single"/>
            </w:rPr>
            <w:t xml:space="preserve">　　　</w:t>
          </w:r>
        </w:p>
      </w:docPartBody>
    </w:docPart>
    <w:docPart>
      <w:docPartPr>
        <w:name w:val="{37b702e8-6464-4fcb-8489-d0967d94ebd0}"/>
        <w:category>
          <w:name w:val="常规"/>
          <w:gallery w:val="placeholder"/>
        </w:category>
        <w:types>
          <w:type w:val="bbPlcHdr"/>
        </w:types>
        <w:behaviors>
          <w:behavior w:val="content"/>
        </w:behaviors>
        <w:guid w:val="{37B702E8-6464-4FCB-8489-D0967D94EBD0}"/>
      </w:docPartPr>
      <w:docPartBody>
        <w:p w:rsidR="00E47A0F" w:rsidRDefault="00D45776">
          <w:r>
            <w:rPr>
              <w:rStyle w:val="a3"/>
              <w:rFonts w:hint="eastAsia"/>
              <w:color w:val="333399"/>
              <w:u w:val="single"/>
            </w:rPr>
            <w:t xml:space="preserve">　　　</w:t>
          </w:r>
        </w:p>
      </w:docPartBody>
    </w:docPart>
    <w:docPart>
      <w:docPartPr>
        <w:name w:val="5BB43AA0372A4B00B8B277C1C401239B"/>
        <w:category>
          <w:name w:val="常规"/>
          <w:gallery w:val="placeholder"/>
        </w:category>
        <w:types>
          <w:type w:val="bbPlcHdr"/>
        </w:types>
        <w:behaviors>
          <w:behavior w:val="content"/>
        </w:behaviors>
        <w:guid w:val="{EE7D225A-00E8-42DB-88CE-FC03B7283392}"/>
      </w:docPartPr>
      <w:docPartBody>
        <w:p w:rsidR="00E47A0F" w:rsidRDefault="00D45776">
          <w:pPr>
            <w:pStyle w:val="5BB43AA0372A4B00B8B277C1C401239B"/>
          </w:pPr>
          <w:r>
            <w:rPr>
              <w:rStyle w:val="a3"/>
              <w:rFonts w:hint="eastAsia"/>
              <w:color w:val="333399"/>
              <w:u w:val="single"/>
            </w:rPr>
            <w:t xml:space="preserve">　　　</w:t>
          </w:r>
        </w:p>
      </w:docPartBody>
    </w:docPart>
    <w:docPart>
      <w:docPartPr>
        <w:name w:val="F5FD2EFEEE66431986F94BD832FDEEB0"/>
        <w:category>
          <w:name w:val="常规"/>
          <w:gallery w:val="placeholder"/>
        </w:category>
        <w:types>
          <w:type w:val="bbPlcHdr"/>
        </w:types>
        <w:behaviors>
          <w:behavior w:val="content"/>
        </w:behaviors>
        <w:guid w:val="{E7E34DBE-F352-4B04-AE4C-E1B5BCC74E40}"/>
      </w:docPartPr>
      <w:docPartBody>
        <w:p w:rsidR="00E47A0F" w:rsidRDefault="00D45776">
          <w:pPr>
            <w:pStyle w:val="F5FD2EFEEE66431986F94BD832FDEEB0"/>
          </w:pPr>
          <w:r>
            <w:rPr>
              <w:rStyle w:val="a3"/>
              <w:rFonts w:hint="eastAsia"/>
            </w:rPr>
            <w:t xml:space="preserve">　</w:t>
          </w:r>
        </w:p>
      </w:docPartBody>
    </w:docPart>
    <w:docPart>
      <w:docPartPr>
        <w:name w:val="3327C946CA3C42D0A7165AEE2A3A552E"/>
        <w:category>
          <w:name w:val="常规"/>
          <w:gallery w:val="placeholder"/>
        </w:category>
        <w:types>
          <w:type w:val="bbPlcHdr"/>
        </w:types>
        <w:behaviors>
          <w:behavior w:val="content"/>
        </w:behaviors>
        <w:guid w:val="{21A3B93A-0D10-48D0-AD0B-19E4E4062A57}"/>
      </w:docPartPr>
      <w:docPartBody>
        <w:p w:rsidR="00E47A0F" w:rsidRDefault="00D45776">
          <w:pPr>
            <w:pStyle w:val="3327C946CA3C42D0A7165AEE2A3A552E"/>
          </w:pPr>
          <w:r>
            <w:rPr>
              <w:rStyle w:val="a3"/>
              <w:rFonts w:hint="eastAsia"/>
              <w:color w:val="333399"/>
              <w:u w:val="single"/>
            </w:rPr>
            <w:t xml:space="preserve">　　　</w:t>
          </w:r>
        </w:p>
      </w:docPartBody>
    </w:docPart>
    <w:docPart>
      <w:docPartPr>
        <w:name w:val="9779A45E3FB04DED9B596E7A0C335E03"/>
        <w:category>
          <w:name w:val="常规"/>
          <w:gallery w:val="placeholder"/>
        </w:category>
        <w:types>
          <w:type w:val="bbPlcHdr"/>
        </w:types>
        <w:behaviors>
          <w:behavior w:val="content"/>
        </w:behaviors>
        <w:guid w:val="{4638EEC1-33EE-47EC-9673-537167BB9E2D}"/>
      </w:docPartPr>
      <w:docPartBody>
        <w:p w:rsidR="00E47A0F" w:rsidRDefault="00D45776">
          <w:pPr>
            <w:pStyle w:val="9779A45E3FB04DED9B596E7A0C335E03"/>
          </w:pPr>
          <w:r>
            <w:rPr>
              <w:rStyle w:val="a3"/>
              <w:rFonts w:hint="eastAsia"/>
            </w:rPr>
            <w:t xml:space="preserve">　</w:t>
          </w:r>
        </w:p>
      </w:docPartBody>
    </w:docPart>
    <w:docPart>
      <w:docPartPr>
        <w:name w:val="34B9651DD72A45FAA846769D6F55BD28"/>
        <w:category>
          <w:name w:val="常规"/>
          <w:gallery w:val="placeholder"/>
        </w:category>
        <w:types>
          <w:type w:val="bbPlcHdr"/>
        </w:types>
        <w:behaviors>
          <w:behavior w:val="content"/>
        </w:behaviors>
        <w:guid w:val="{6865CA8B-2956-482A-AF4E-5EB7EB55674E}"/>
      </w:docPartPr>
      <w:docPartBody>
        <w:p w:rsidR="00E47A0F" w:rsidRDefault="00D45776">
          <w:pPr>
            <w:pStyle w:val="34B9651DD72A45FAA846769D6F55BD28"/>
          </w:pPr>
          <w:r>
            <w:rPr>
              <w:rStyle w:val="a3"/>
              <w:rFonts w:hint="eastAsia"/>
            </w:rPr>
            <w:t xml:space="preserve">　</w:t>
          </w:r>
        </w:p>
      </w:docPartBody>
    </w:docPart>
    <w:docPart>
      <w:docPartPr>
        <w:name w:val="EB55904122DA415094928F157B0E857A"/>
        <w:category>
          <w:name w:val="常规"/>
          <w:gallery w:val="placeholder"/>
        </w:category>
        <w:types>
          <w:type w:val="bbPlcHdr"/>
        </w:types>
        <w:behaviors>
          <w:behavior w:val="content"/>
        </w:behaviors>
        <w:guid w:val="{7746002F-7E03-492D-A9D9-140023FB3121}"/>
      </w:docPartPr>
      <w:docPartBody>
        <w:p w:rsidR="00E47A0F" w:rsidRDefault="00D45776">
          <w:pPr>
            <w:pStyle w:val="EB55904122DA415094928F157B0E857A"/>
          </w:pPr>
          <w:r>
            <w:rPr>
              <w:rStyle w:val="a3"/>
              <w:rFonts w:hint="eastAsia"/>
              <w:color w:val="333399"/>
              <w:u w:val="single"/>
            </w:rPr>
            <w:t xml:space="preserve">　　　</w:t>
          </w:r>
        </w:p>
      </w:docPartBody>
    </w:docPart>
    <w:docPart>
      <w:docPartPr>
        <w:name w:val="78B8BB26C0AD4BCC849F2429F9E1AC3E"/>
        <w:category>
          <w:name w:val="常规"/>
          <w:gallery w:val="placeholder"/>
        </w:category>
        <w:types>
          <w:type w:val="bbPlcHdr"/>
        </w:types>
        <w:behaviors>
          <w:behavior w:val="content"/>
        </w:behaviors>
        <w:guid w:val="{E3F560BB-954C-4ACD-B529-E898DEC4ED92}"/>
      </w:docPartPr>
      <w:docPartBody>
        <w:p w:rsidR="00E47A0F" w:rsidRDefault="00D45776">
          <w:pPr>
            <w:pStyle w:val="78B8BB26C0AD4BCC849F2429F9E1AC3E"/>
          </w:pPr>
          <w:r>
            <w:rPr>
              <w:rStyle w:val="a3"/>
              <w:rFonts w:hint="eastAsia"/>
            </w:rPr>
            <w:t xml:space="preserve">　</w:t>
          </w:r>
        </w:p>
      </w:docPartBody>
    </w:docPart>
    <w:docPart>
      <w:docPartPr>
        <w:name w:val="E59E4709D288484190FECD28AE2587F4"/>
        <w:category>
          <w:name w:val="常规"/>
          <w:gallery w:val="placeholder"/>
        </w:category>
        <w:types>
          <w:type w:val="bbPlcHdr"/>
        </w:types>
        <w:behaviors>
          <w:behavior w:val="content"/>
        </w:behaviors>
        <w:guid w:val="{9D1D2A86-59DC-4540-BDF5-B92C5091E8B3}"/>
      </w:docPartPr>
      <w:docPartBody>
        <w:p w:rsidR="00E47A0F" w:rsidRDefault="00D45776">
          <w:pPr>
            <w:pStyle w:val="E59E4709D288484190FECD28AE2587F4"/>
          </w:pPr>
          <w:r>
            <w:rPr>
              <w:rStyle w:val="a3"/>
              <w:rFonts w:hint="eastAsia"/>
              <w:color w:val="333399"/>
              <w:u w:val="single"/>
            </w:rPr>
            <w:t xml:space="preserve">　　　</w:t>
          </w:r>
        </w:p>
      </w:docPartBody>
    </w:docPart>
    <w:docPart>
      <w:docPartPr>
        <w:name w:val="EC92B77F7A79415C863C1C8AE4A17B8C"/>
        <w:category>
          <w:name w:val="常规"/>
          <w:gallery w:val="placeholder"/>
        </w:category>
        <w:types>
          <w:type w:val="bbPlcHdr"/>
        </w:types>
        <w:behaviors>
          <w:behavior w:val="content"/>
        </w:behaviors>
        <w:guid w:val="{A3FD81CD-258C-4809-BBB6-77CABFE7CDC9}"/>
      </w:docPartPr>
      <w:docPartBody>
        <w:p w:rsidR="00E47A0F" w:rsidRDefault="00D45776">
          <w:pPr>
            <w:pStyle w:val="EC92B77F7A79415C863C1C8AE4A17B8C"/>
          </w:pPr>
          <w:r>
            <w:rPr>
              <w:rStyle w:val="a3"/>
              <w:rFonts w:hint="eastAsia"/>
            </w:rPr>
            <w:t xml:space="preserve">　</w:t>
          </w:r>
        </w:p>
      </w:docPartBody>
    </w:docPart>
    <w:docPart>
      <w:docPartPr>
        <w:name w:val="0B75253C5A0C46ED8496EB18939DBD34"/>
        <w:category>
          <w:name w:val="常规"/>
          <w:gallery w:val="placeholder"/>
        </w:category>
        <w:types>
          <w:type w:val="bbPlcHdr"/>
        </w:types>
        <w:behaviors>
          <w:behavior w:val="content"/>
        </w:behaviors>
        <w:guid w:val="{A5E26133-D7F4-4200-B60E-DA35B2756437}"/>
      </w:docPartPr>
      <w:docPartBody>
        <w:p w:rsidR="00E47A0F" w:rsidRDefault="00D45776">
          <w:pPr>
            <w:pStyle w:val="0B75253C5A0C46ED8496EB18939DBD34"/>
          </w:pPr>
          <w:r>
            <w:rPr>
              <w:rStyle w:val="a3"/>
              <w:rFonts w:hint="eastAsia"/>
              <w:color w:val="333399"/>
              <w:u w:val="single"/>
            </w:rPr>
            <w:t xml:space="preserve">　　　</w:t>
          </w:r>
        </w:p>
      </w:docPartBody>
    </w:docPart>
    <w:docPart>
      <w:docPartPr>
        <w:name w:val="2B0DBB077A2049F0B3D88D31DDCCB63A"/>
        <w:category>
          <w:name w:val="常规"/>
          <w:gallery w:val="placeholder"/>
        </w:category>
        <w:types>
          <w:type w:val="bbPlcHdr"/>
        </w:types>
        <w:behaviors>
          <w:behavior w:val="content"/>
        </w:behaviors>
        <w:guid w:val="{463D7BC4-A81F-4365-AFF1-11F4673D01B8}"/>
      </w:docPartPr>
      <w:docPartBody>
        <w:p w:rsidR="00E47A0F" w:rsidRDefault="00D45776">
          <w:pPr>
            <w:pStyle w:val="2B0DBB077A2049F0B3D88D31DDCCB63A"/>
          </w:pPr>
          <w:r>
            <w:rPr>
              <w:rStyle w:val="a3"/>
              <w:rFonts w:hint="eastAsia"/>
            </w:rPr>
            <w:t xml:space="preserve">　</w:t>
          </w:r>
        </w:p>
      </w:docPartBody>
    </w:docPart>
    <w:docPart>
      <w:docPartPr>
        <w:name w:val="8974D0D21BC7453793F383A1B6458D03"/>
        <w:category>
          <w:name w:val="常规"/>
          <w:gallery w:val="placeholder"/>
        </w:category>
        <w:types>
          <w:type w:val="bbPlcHdr"/>
        </w:types>
        <w:behaviors>
          <w:behavior w:val="content"/>
        </w:behaviors>
        <w:guid w:val="{F45DD9AA-3FAD-463B-B2C4-262ACC522D18}"/>
      </w:docPartPr>
      <w:docPartBody>
        <w:p w:rsidR="00E47A0F" w:rsidRDefault="00D45776">
          <w:pPr>
            <w:pStyle w:val="8974D0D21BC7453793F383A1B6458D03"/>
          </w:pPr>
          <w:r>
            <w:rPr>
              <w:rStyle w:val="a3"/>
              <w:rFonts w:hint="eastAsia"/>
            </w:rPr>
            <w:t xml:space="preserve">　</w:t>
          </w:r>
        </w:p>
      </w:docPartBody>
    </w:docPart>
    <w:docPart>
      <w:docPartPr>
        <w:name w:val="27E9C3E113714499905D720A4556D50C"/>
        <w:category>
          <w:name w:val="常规"/>
          <w:gallery w:val="placeholder"/>
        </w:category>
        <w:types>
          <w:type w:val="bbPlcHdr"/>
        </w:types>
        <w:behaviors>
          <w:behavior w:val="content"/>
        </w:behaviors>
        <w:guid w:val="{B404E61B-0B3B-40B2-B106-B38A3A533D78}"/>
      </w:docPartPr>
      <w:docPartBody>
        <w:p w:rsidR="00E47A0F" w:rsidRDefault="00D45776">
          <w:pPr>
            <w:pStyle w:val="27E9C3E113714499905D720A4556D50C"/>
          </w:pPr>
          <w:r>
            <w:rPr>
              <w:rStyle w:val="a3"/>
              <w:rFonts w:hint="eastAsia"/>
              <w:color w:val="333399"/>
              <w:u w:val="single"/>
            </w:rPr>
            <w:t xml:space="preserve">　　　</w:t>
          </w:r>
        </w:p>
      </w:docPartBody>
    </w:docPart>
    <w:docPart>
      <w:docPartPr>
        <w:name w:val="B54E27B0B17D4990AA8B9B3129D5D564"/>
        <w:category>
          <w:name w:val="常规"/>
          <w:gallery w:val="placeholder"/>
        </w:category>
        <w:types>
          <w:type w:val="bbPlcHdr"/>
        </w:types>
        <w:behaviors>
          <w:behavior w:val="content"/>
        </w:behaviors>
        <w:guid w:val="{ECFEA195-BADF-4CE0-8718-8A14B3AF88B9}"/>
      </w:docPartPr>
      <w:docPartBody>
        <w:p w:rsidR="00E47A0F" w:rsidRDefault="00D45776">
          <w:pPr>
            <w:pStyle w:val="B54E27B0B17D4990AA8B9B3129D5D564"/>
          </w:pPr>
          <w:r>
            <w:rPr>
              <w:rStyle w:val="a3"/>
              <w:rFonts w:hint="eastAsia"/>
              <w:color w:val="333399"/>
              <w:u w:val="single"/>
            </w:rPr>
            <w:t xml:space="preserve">　　　</w:t>
          </w:r>
        </w:p>
      </w:docPartBody>
    </w:docPart>
    <w:docPart>
      <w:docPartPr>
        <w:name w:val="5DA591D38B094FB98E7C7D96E9044906"/>
        <w:category>
          <w:name w:val="常规"/>
          <w:gallery w:val="placeholder"/>
        </w:category>
        <w:types>
          <w:type w:val="bbPlcHdr"/>
        </w:types>
        <w:behaviors>
          <w:behavior w:val="content"/>
        </w:behaviors>
        <w:guid w:val="{CA7F3E80-8BAF-49D1-9CF5-DF5C4F4CFDBE}"/>
      </w:docPartPr>
      <w:docPartBody>
        <w:p w:rsidR="00E47A0F" w:rsidRDefault="00D45776">
          <w:pPr>
            <w:pStyle w:val="5DA591D38B094FB98E7C7D96E9044906"/>
          </w:pPr>
          <w:r>
            <w:rPr>
              <w:rStyle w:val="a3"/>
              <w:rFonts w:hint="eastAsia"/>
              <w:color w:val="333399"/>
              <w:u w:val="single"/>
            </w:rPr>
            <w:t xml:space="preserve">　　　</w:t>
          </w:r>
        </w:p>
      </w:docPartBody>
    </w:docPart>
    <w:docPart>
      <w:docPartPr>
        <w:name w:val="8B6DE9AD66224E35A9108F1EF3C2836E"/>
        <w:category>
          <w:name w:val="常规"/>
          <w:gallery w:val="placeholder"/>
        </w:category>
        <w:types>
          <w:type w:val="bbPlcHdr"/>
        </w:types>
        <w:behaviors>
          <w:behavior w:val="content"/>
        </w:behaviors>
        <w:guid w:val="{9BD380AB-8F92-4A6C-AD7C-8561C12E326F}"/>
      </w:docPartPr>
      <w:docPartBody>
        <w:p w:rsidR="00E47A0F" w:rsidRDefault="00D45776">
          <w:pPr>
            <w:pStyle w:val="8B6DE9AD66224E35A9108F1EF3C2836E"/>
          </w:pPr>
          <w:r>
            <w:rPr>
              <w:rStyle w:val="a3"/>
              <w:rFonts w:hint="eastAsia"/>
            </w:rPr>
            <w:t xml:space="preserve">　</w:t>
          </w:r>
        </w:p>
      </w:docPartBody>
    </w:docPart>
    <w:docPart>
      <w:docPartPr>
        <w:name w:val="7AC1ED89D4424677B293E7EF30343640"/>
        <w:category>
          <w:name w:val="常规"/>
          <w:gallery w:val="placeholder"/>
        </w:category>
        <w:types>
          <w:type w:val="bbPlcHdr"/>
        </w:types>
        <w:behaviors>
          <w:behavior w:val="content"/>
        </w:behaviors>
        <w:guid w:val="{EB4954E8-8636-4DD7-8436-D1FDA9B3C06D}"/>
      </w:docPartPr>
      <w:docPartBody>
        <w:p w:rsidR="00E47A0F" w:rsidRDefault="00D45776">
          <w:pPr>
            <w:pStyle w:val="7AC1ED89D4424677B293E7EF30343640"/>
          </w:pPr>
          <w:r>
            <w:rPr>
              <w:rStyle w:val="a3"/>
              <w:rFonts w:hint="eastAsia"/>
              <w:color w:val="333399"/>
              <w:u w:val="single"/>
            </w:rPr>
            <w:t xml:space="preserve">　　　</w:t>
          </w:r>
        </w:p>
      </w:docPartBody>
    </w:docPart>
    <w:docPart>
      <w:docPartPr>
        <w:name w:val="10ED789F31DF407787C4AF54EE139B04"/>
        <w:category>
          <w:name w:val="常规"/>
          <w:gallery w:val="placeholder"/>
        </w:category>
        <w:types>
          <w:type w:val="bbPlcHdr"/>
        </w:types>
        <w:behaviors>
          <w:behavior w:val="content"/>
        </w:behaviors>
        <w:guid w:val="{AD3185AB-D23D-48D8-8581-79BDF5D79330}"/>
      </w:docPartPr>
      <w:docPartBody>
        <w:p w:rsidR="00267823" w:rsidRDefault="00E47A0F" w:rsidP="00E47A0F">
          <w:pPr>
            <w:pStyle w:val="10ED789F31DF407787C4AF54EE139B04"/>
          </w:pPr>
          <w:r w:rsidRPr="00304683">
            <w:rPr>
              <w:rStyle w:val="a3"/>
              <w:rFonts w:hint="eastAsia"/>
              <w:color w:val="333399"/>
              <w:u w:val="single"/>
            </w:rPr>
            <w:t xml:space="preserve">　　　</w:t>
          </w:r>
        </w:p>
      </w:docPartBody>
    </w:docPart>
    <w:docPart>
      <w:docPartPr>
        <w:name w:val="25B4A2036DAA4710BB54B9F22D28C082"/>
        <w:category>
          <w:name w:val="常规"/>
          <w:gallery w:val="placeholder"/>
        </w:category>
        <w:types>
          <w:type w:val="bbPlcHdr"/>
        </w:types>
        <w:behaviors>
          <w:behavior w:val="content"/>
        </w:behaviors>
        <w:guid w:val="{903D30A2-C3BC-42F2-AA50-8C9272216AD1}"/>
      </w:docPartPr>
      <w:docPartBody>
        <w:p w:rsidR="00BF2A58" w:rsidRDefault="00BF2A58" w:rsidP="00BF2A58">
          <w:pPr>
            <w:pStyle w:val="25B4A2036DAA4710BB54B9F22D28C082"/>
          </w:pPr>
          <w:r w:rsidRPr="00304683">
            <w:rPr>
              <w:rStyle w:val="a3"/>
              <w:rFonts w:hint="eastAsia"/>
              <w:color w:val="333399"/>
              <w:u w:val="single"/>
            </w:rPr>
            <w:t xml:space="preserve">　　　</w:t>
          </w:r>
        </w:p>
      </w:docPartBody>
    </w:docPart>
    <w:docPart>
      <w:docPartPr>
        <w:name w:val="5D2F762AFB564F9AA2C139542A6CB50C"/>
        <w:category>
          <w:name w:val="常规"/>
          <w:gallery w:val="placeholder"/>
        </w:category>
        <w:types>
          <w:type w:val="bbPlcHdr"/>
        </w:types>
        <w:behaviors>
          <w:behavior w:val="content"/>
        </w:behaviors>
        <w:guid w:val="{5298D98A-A545-4B3C-829F-F9ED2F73A48D}"/>
      </w:docPartPr>
      <w:docPartBody>
        <w:p w:rsidR="00BF2A58" w:rsidRDefault="00BF2A58" w:rsidP="00BF2A58">
          <w:pPr>
            <w:pStyle w:val="5D2F762AFB564F9AA2C139542A6CB50C"/>
          </w:pPr>
          <w:r w:rsidRPr="00304683">
            <w:rPr>
              <w:rStyle w:val="a3"/>
              <w:rFonts w:hint="eastAsia"/>
              <w:color w:val="333399"/>
              <w:u w:val="single"/>
            </w:rPr>
            <w:t xml:space="preserve">　　　</w:t>
          </w:r>
        </w:p>
      </w:docPartBody>
    </w:docPart>
    <w:docPart>
      <w:docPartPr>
        <w:name w:val="BDBFCBB04DB0442DA35FA5451C8DEB7D"/>
        <w:category>
          <w:name w:val="常规"/>
          <w:gallery w:val="placeholder"/>
        </w:category>
        <w:types>
          <w:type w:val="bbPlcHdr"/>
        </w:types>
        <w:behaviors>
          <w:behavior w:val="content"/>
        </w:behaviors>
        <w:guid w:val="{E1B09DBF-A0D1-4CD4-A32A-3F77BF155225}"/>
      </w:docPartPr>
      <w:docPartBody>
        <w:p w:rsidR="00BF2A58" w:rsidRDefault="00BF2A58" w:rsidP="00BF2A58">
          <w:pPr>
            <w:pStyle w:val="BDBFCBB04DB0442DA35FA5451C8DEB7D"/>
          </w:pPr>
          <w:r w:rsidRPr="00304683">
            <w:rPr>
              <w:rStyle w:val="a3"/>
              <w:rFonts w:hint="eastAsia"/>
              <w:color w:val="333399"/>
              <w:u w:val="single"/>
            </w:rPr>
            <w:t xml:space="preserve">　　　</w:t>
          </w:r>
        </w:p>
      </w:docPartBody>
    </w:docPart>
    <w:docPart>
      <w:docPartPr>
        <w:name w:val="5D8C3480C88F415EB9DAC74BEE3F6780"/>
        <w:category>
          <w:name w:val="常规"/>
          <w:gallery w:val="placeholder"/>
        </w:category>
        <w:types>
          <w:type w:val="bbPlcHdr"/>
        </w:types>
        <w:behaviors>
          <w:behavior w:val="content"/>
        </w:behaviors>
        <w:guid w:val="{6670A06F-E3A4-4150-B756-D1C64049E640}"/>
      </w:docPartPr>
      <w:docPartBody>
        <w:p w:rsidR="00124E87" w:rsidRDefault="00124E87" w:rsidP="00124E87">
          <w:pPr>
            <w:pStyle w:val="5D8C3480C88F415EB9DAC74BEE3F6780"/>
          </w:pPr>
          <w:r w:rsidRPr="001852D3">
            <w:rPr>
              <w:rStyle w:val="a3"/>
              <w:rFonts w:hint="eastAsia"/>
            </w:rPr>
            <w:t xml:space="preserve">　</w:t>
          </w:r>
        </w:p>
      </w:docPartBody>
    </w:docPart>
    <w:docPart>
      <w:docPartPr>
        <w:name w:val="E0498CCACCBA4ADEAE0D7D5F9A3E9201"/>
        <w:category>
          <w:name w:val="常规"/>
          <w:gallery w:val="placeholder"/>
        </w:category>
        <w:types>
          <w:type w:val="bbPlcHdr"/>
        </w:types>
        <w:behaviors>
          <w:behavior w:val="content"/>
        </w:behaviors>
        <w:guid w:val="{269B6C58-645B-41F1-B270-0293A2E0A88E}"/>
      </w:docPartPr>
      <w:docPartBody>
        <w:p w:rsidR="00124E87" w:rsidRDefault="00124E87" w:rsidP="00124E87">
          <w:pPr>
            <w:pStyle w:val="E0498CCACCBA4ADEAE0D7D5F9A3E9201"/>
          </w:pPr>
          <w:r>
            <w:rPr>
              <w:rStyle w:val="a3"/>
              <w:rFonts w:hint="eastAsia"/>
              <w:color w:val="333399"/>
              <w:u w:val="single"/>
            </w:rPr>
            <w:t xml:space="preserve">　　　</w:t>
          </w:r>
        </w:p>
      </w:docPartBody>
    </w:docPart>
    <w:docPart>
      <w:docPartPr>
        <w:name w:val="7C6F6C2C1EE543778EC7441580627CD4"/>
        <w:category>
          <w:name w:val="常规"/>
          <w:gallery w:val="placeholder"/>
        </w:category>
        <w:types>
          <w:type w:val="bbPlcHdr"/>
        </w:types>
        <w:behaviors>
          <w:behavior w:val="content"/>
        </w:behaviors>
        <w:guid w:val="{6B104881-C726-458C-BD56-0CED82E84084}"/>
      </w:docPartPr>
      <w:docPartBody>
        <w:p w:rsidR="00124E87" w:rsidRDefault="00124E87" w:rsidP="00124E87">
          <w:pPr>
            <w:pStyle w:val="7C6F6C2C1EE543778EC7441580627CD4"/>
          </w:pPr>
          <w:r w:rsidRPr="00304683">
            <w:rPr>
              <w:rStyle w:val="a3"/>
              <w:rFonts w:hint="eastAsia"/>
              <w:color w:val="333399"/>
              <w:u w:val="single"/>
            </w:rPr>
            <w:t xml:space="preserve">　　　</w:t>
          </w:r>
        </w:p>
      </w:docPartBody>
    </w:docPart>
    <w:docPart>
      <w:docPartPr>
        <w:name w:val="40381982B2C84A098D73276F6715C6FE"/>
        <w:category>
          <w:name w:val="常规"/>
          <w:gallery w:val="placeholder"/>
        </w:category>
        <w:types>
          <w:type w:val="bbPlcHdr"/>
        </w:types>
        <w:behaviors>
          <w:behavior w:val="content"/>
        </w:behaviors>
        <w:guid w:val="{AC15C9FD-A2FB-463B-B7CB-B7AF4B091E6E}"/>
      </w:docPartPr>
      <w:docPartBody>
        <w:p w:rsidR="009D044F" w:rsidRDefault="009D044F" w:rsidP="009D044F">
          <w:pPr>
            <w:pStyle w:val="40381982B2C84A098D73276F6715C6FE"/>
          </w:pPr>
          <w:r w:rsidRPr="001852D3">
            <w:rPr>
              <w:rStyle w:val="a3"/>
              <w:rFonts w:hint="eastAsia"/>
            </w:rPr>
            <w:t xml:space="preserve">　</w:t>
          </w:r>
        </w:p>
      </w:docPartBody>
    </w:docPart>
    <w:docPart>
      <w:docPartPr>
        <w:name w:val="E4F1EC018225487592CAA08757F7A5CC"/>
        <w:category>
          <w:name w:val="常规"/>
          <w:gallery w:val="placeholder"/>
        </w:category>
        <w:types>
          <w:type w:val="bbPlcHdr"/>
        </w:types>
        <w:behaviors>
          <w:behavior w:val="content"/>
        </w:behaviors>
        <w:guid w:val="{2CC7C61D-8ED2-4275-A29B-2D286A025A6D}"/>
      </w:docPartPr>
      <w:docPartBody>
        <w:p w:rsidR="009D044F" w:rsidRDefault="009D044F" w:rsidP="009D044F">
          <w:pPr>
            <w:pStyle w:val="E4F1EC018225487592CAA08757F7A5CC"/>
          </w:pPr>
          <w:r w:rsidRPr="001852D3">
            <w:rPr>
              <w:rStyle w:val="a3"/>
              <w:rFonts w:hint="eastAsia"/>
            </w:rPr>
            <w:t xml:space="preserve">　</w:t>
          </w:r>
        </w:p>
      </w:docPartBody>
    </w:docPart>
    <w:docPart>
      <w:docPartPr>
        <w:name w:val="CEE42D0B06B24EB681792DB799BB3B0E"/>
        <w:category>
          <w:name w:val="常规"/>
          <w:gallery w:val="placeholder"/>
        </w:category>
        <w:types>
          <w:type w:val="bbPlcHdr"/>
        </w:types>
        <w:behaviors>
          <w:behavior w:val="content"/>
        </w:behaviors>
        <w:guid w:val="{F8692A3C-AD73-4508-98E8-665F3A214DB1}"/>
      </w:docPartPr>
      <w:docPartBody>
        <w:p w:rsidR="009D044F" w:rsidRDefault="009D044F" w:rsidP="009D044F">
          <w:pPr>
            <w:pStyle w:val="CEE42D0B06B24EB681792DB799BB3B0E"/>
          </w:pPr>
          <w:r w:rsidRPr="001852D3">
            <w:rPr>
              <w:rStyle w:val="a3"/>
              <w:rFonts w:hint="eastAsia"/>
            </w:rPr>
            <w:t xml:space="preserve">　</w:t>
          </w:r>
        </w:p>
      </w:docPartBody>
    </w:docPart>
    <w:docPart>
      <w:docPartPr>
        <w:name w:val="15B6A2EF98FA4452B6D213EE3734EA52"/>
        <w:category>
          <w:name w:val="常规"/>
          <w:gallery w:val="placeholder"/>
        </w:category>
        <w:types>
          <w:type w:val="bbPlcHdr"/>
        </w:types>
        <w:behaviors>
          <w:behavior w:val="content"/>
        </w:behaviors>
        <w:guid w:val="{9EB8BDE7-9693-4E16-B621-BC193F9EF516}"/>
      </w:docPartPr>
      <w:docPartBody>
        <w:p w:rsidR="009D044F" w:rsidRDefault="009D044F" w:rsidP="009D044F">
          <w:pPr>
            <w:pStyle w:val="15B6A2EF98FA4452B6D213EE3734EA52"/>
          </w:pPr>
          <w:r w:rsidRPr="001852D3">
            <w:rPr>
              <w:rStyle w:val="a3"/>
              <w:rFonts w:hint="eastAsia"/>
            </w:rPr>
            <w:t xml:space="preserve">　</w:t>
          </w:r>
        </w:p>
      </w:docPartBody>
    </w:docPart>
    <w:docPart>
      <w:docPartPr>
        <w:name w:val="D05C60FAB4B4452ABC2CEE29054CABF1"/>
        <w:category>
          <w:name w:val="常规"/>
          <w:gallery w:val="placeholder"/>
        </w:category>
        <w:types>
          <w:type w:val="bbPlcHdr"/>
        </w:types>
        <w:behaviors>
          <w:behavior w:val="content"/>
        </w:behaviors>
        <w:guid w:val="{F46D6BC0-FFEE-4686-BD83-84A020A19CF6}"/>
      </w:docPartPr>
      <w:docPartBody>
        <w:p w:rsidR="009D044F" w:rsidRDefault="009D044F" w:rsidP="009D044F">
          <w:pPr>
            <w:pStyle w:val="D05C60FAB4B4452ABC2CEE29054CABF1"/>
          </w:pPr>
          <w:r w:rsidRPr="001852D3">
            <w:rPr>
              <w:rStyle w:val="a3"/>
              <w:rFonts w:hint="eastAsia"/>
            </w:rPr>
            <w:t xml:space="preserve">　</w:t>
          </w:r>
        </w:p>
      </w:docPartBody>
    </w:docPart>
    <w:docPart>
      <w:docPartPr>
        <w:name w:val="AAA142220EC84EE18EA7C64935875335"/>
        <w:category>
          <w:name w:val="常规"/>
          <w:gallery w:val="placeholder"/>
        </w:category>
        <w:types>
          <w:type w:val="bbPlcHdr"/>
        </w:types>
        <w:behaviors>
          <w:behavior w:val="content"/>
        </w:behaviors>
        <w:guid w:val="{A8A7EFCF-0074-41AB-AAE4-03369E984835}"/>
      </w:docPartPr>
      <w:docPartBody>
        <w:p w:rsidR="009D044F" w:rsidRDefault="009D044F" w:rsidP="009D044F">
          <w:pPr>
            <w:pStyle w:val="AAA142220EC84EE18EA7C64935875335"/>
          </w:pPr>
          <w:r w:rsidRPr="001852D3">
            <w:rPr>
              <w:rStyle w:val="a3"/>
              <w:rFonts w:hint="eastAsia"/>
            </w:rPr>
            <w:t xml:space="preserve">　</w:t>
          </w:r>
        </w:p>
      </w:docPartBody>
    </w:docPart>
    <w:docPart>
      <w:docPartPr>
        <w:name w:val="9BC369E15BB04824943B64F511C1B995"/>
        <w:category>
          <w:name w:val="常规"/>
          <w:gallery w:val="placeholder"/>
        </w:category>
        <w:types>
          <w:type w:val="bbPlcHdr"/>
        </w:types>
        <w:behaviors>
          <w:behavior w:val="content"/>
        </w:behaviors>
        <w:guid w:val="{A046DCC0-5BD1-4DA2-83E4-C9CA6233FCBB}"/>
      </w:docPartPr>
      <w:docPartBody>
        <w:p w:rsidR="009D044F" w:rsidRDefault="009D044F" w:rsidP="009D044F">
          <w:pPr>
            <w:pStyle w:val="9BC369E15BB04824943B64F511C1B995"/>
          </w:pPr>
          <w:r w:rsidRPr="001852D3">
            <w:rPr>
              <w:rStyle w:val="a3"/>
              <w:rFonts w:hint="eastAsia"/>
            </w:rPr>
            <w:t xml:space="preserve">　</w:t>
          </w:r>
        </w:p>
      </w:docPartBody>
    </w:docPart>
    <w:docPart>
      <w:docPartPr>
        <w:name w:val="4E675C0EE87E4405B3E00B0C2BD2C33E"/>
        <w:category>
          <w:name w:val="常规"/>
          <w:gallery w:val="placeholder"/>
        </w:category>
        <w:types>
          <w:type w:val="bbPlcHdr"/>
        </w:types>
        <w:behaviors>
          <w:behavior w:val="content"/>
        </w:behaviors>
        <w:guid w:val="{432BD8CF-E49B-446D-9B32-9BDA03A40696}"/>
      </w:docPartPr>
      <w:docPartBody>
        <w:p w:rsidR="00093621" w:rsidRDefault="00093621" w:rsidP="00093621">
          <w:pPr>
            <w:pStyle w:val="4E675C0EE87E4405B3E00B0C2BD2C33E"/>
          </w:pPr>
          <w:r>
            <w:rPr>
              <w:rStyle w:val="a3"/>
              <w:rFonts w:hint="eastAsia"/>
              <w:color w:val="333399"/>
              <w:u w:val="single"/>
            </w:rPr>
            <w:t xml:space="preserve">　　　</w:t>
          </w:r>
        </w:p>
      </w:docPartBody>
    </w:docPart>
    <w:docPart>
      <w:docPartPr>
        <w:name w:val="EA6A0251D58F4F49BF6070F6C332F7D6"/>
        <w:category>
          <w:name w:val="常规"/>
          <w:gallery w:val="placeholder"/>
        </w:category>
        <w:types>
          <w:type w:val="bbPlcHdr"/>
        </w:types>
        <w:behaviors>
          <w:behavior w:val="content"/>
        </w:behaviors>
        <w:guid w:val="{2ACE7022-E4C5-4EA4-BCCA-03C8EAAD9DF8}"/>
      </w:docPartPr>
      <w:docPartBody>
        <w:p w:rsidR="00093621" w:rsidRDefault="00093621" w:rsidP="00093621">
          <w:pPr>
            <w:pStyle w:val="EA6A0251D58F4F49BF6070F6C332F7D6"/>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 YaHei UI">
    <w:panose1 w:val="020B0503020204020204"/>
    <w:charset w:val="86"/>
    <w:family w:val="swiss"/>
    <w:pitch w:val="variable"/>
    <w:sig w:usb0="80000287" w:usb1="2ACF3C50" w:usb2="00000016" w:usb3="00000000" w:csb0="0004001F" w:csb1="00000000"/>
  </w:font>
  <w:font w:name="仿宋_GB2312">
    <w:altName w:val="微软雅黑"/>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ËÎÌå">
    <w:altName w:val="等线"/>
    <w:charset w:val="86"/>
    <w:family w:val="roman"/>
    <w:pitch w:val="default"/>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宋体-方正超大字符集">
    <w:altName w:val="宋体"/>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oNotDisplayPageBoundaries/>
  <w:bordersDoNotSurroundHeader/>
  <w:bordersDoNotSurroundFooter/>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E43"/>
    <w:rsid w:val="0000161E"/>
    <w:rsid w:val="00002689"/>
    <w:rsid w:val="000056ED"/>
    <w:rsid w:val="0000588D"/>
    <w:rsid w:val="000076B4"/>
    <w:rsid w:val="00007ACF"/>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D68"/>
    <w:rsid w:val="000234EA"/>
    <w:rsid w:val="0002361B"/>
    <w:rsid w:val="000236A0"/>
    <w:rsid w:val="0002605F"/>
    <w:rsid w:val="00030279"/>
    <w:rsid w:val="00032504"/>
    <w:rsid w:val="00032ECB"/>
    <w:rsid w:val="0003417E"/>
    <w:rsid w:val="00034C17"/>
    <w:rsid w:val="0003500B"/>
    <w:rsid w:val="000353DC"/>
    <w:rsid w:val="0003608F"/>
    <w:rsid w:val="000403D5"/>
    <w:rsid w:val="00042F49"/>
    <w:rsid w:val="00044179"/>
    <w:rsid w:val="00044916"/>
    <w:rsid w:val="00045444"/>
    <w:rsid w:val="00047197"/>
    <w:rsid w:val="00051FA4"/>
    <w:rsid w:val="00053ABC"/>
    <w:rsid w:val="00055561"/>
    <w:rsid w:val="00055BDC"/>
    <w:rsid w:val="00061F65"/>
    <w:rsid w:val="00062ED3"/>
    <w:rsid w:val="0006349C"/>
    <w:rsid w:val="00063874"/>
    <w:rsid w:val="00063CC6"/>
    <w:rsid w:val="00064D04"/>
    <w:rsid w:val="0006532F"/>
    <w:rsid w:val="00065B5A"/>
    <w:rsid w:val="000667C2"/>
    <w:rsid w:val="00067105"/>
    <w:rsid w:val="000674E4"/>
    <w:rsid w:val="00067DCC"/>
    <w:rsid w:val="00070ACB"/>
    <w:rsid w:val="00071C74"/>
    <w:rsid w:val="00072BB0"/>
    <w:rsid w:val="00073371"/>
    <w:rsid w:val="000743A2"/>
    <w:rsid w:val="0007487C"/>
    <w:rsid w:val="00076D57"/>
    <w:rsid w:val="0007717F"/>
    <w:rsid w:val="00082580"/>
    <w:rsid w:val="00083B00"/>
    <w:rsid w:val="00083C63"/>
    <w:rsid w:val="00084E8F"/>
    <w:rsid w:val="00087193"/>
    <w:rsid w:val="0009029E"/>
    <w:rsid w:val="00090B08"/>
    <w:rsid w:val="00091B0E"/>
    <w:rsid w:val="00092CBB"/>
    <w:rsid w:val="00093621"/>
    <w:rsid w:val="00093BE5"/>
    <w:rsid w:val="00093C40"/>
    <w:rsid w:val="000958C3"/>
    <w:rsid w:val="000A07A6"/>
    <w:rsid w:val="000A1ED8"/>
    <w:rsid w:val="000A5079"/>
    <w:rsid w:val="000A632D"/>
    <w:rsid w:val="000A63E1"/>
    <w:rsid w:val="000A6DCF"/>
    <w:rsid w:val="000B1E96"/>
    <w:rsid w:val="000B2987"/>
    <w:rsid w:val="000B3464"/>
    <w:rsid w:val="000B375A"/>
    <w:rsid w:val="000B5C82"/>
    <w:rsid w:val="000B5E0D"/>
    <w:rsid w:val="000B6B1C"/>
    <w:rsid w:val="000B6E5C"/>
    <w:rsid w:val="000B76C0"/>
    <w:rsid w:val="000B7F0A"/>
    <w:rsid w:val="000C11C1"/>
    <w:rsid w:val="000C26DD"/>
    <w:rsid w:val="000C5F2F"/>
    <w:rsid w:val="000C600B"/>
    <w:rsid w:val="000D0276"/>
    <w:rsid w:val="000D1066"/>
    <w:rsid w:val="000D2323"/>
    <w:rsid w:val="000D3D3C"/>
    <w:rsid w:val="000E37AA"/>
    <w:rsid w:val="000E5FF1"/>
    <w:rsid w:val="000E6959"/>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EAF"/>
    <w:rsid w:val="00110AE1"/>
    <w:rsid w:val="001124AB"/>
    <w:rsid w:val="001127EE"/>
    <w:rsid w:val="00114109"/>
    <w:rsid w:val="001160EB"/>
    <w:rsid w:val="00117118"/>
    <w:rsid w:val="00120BE3"/>
    <w:rsid w:val="00122BB8"/>
    <w:rsid w:val="00123C52"/>
    <w:rsid w:val="00124E87"/>
    <w:rsid w:val="0012740D"/>
    <w:rsid w:val="0012741E"/>
    <w:rsid w:val="001279CA"/>
    <w:rsid w:val="00131D2F"/>
    <w:rsid w:val="00132E0F"/>
    <w:rsid w:val="00133739"/>
    <w:rsid w:val="00140824"/>
    <w:rsid w:val="0014233D"/>
    <w:rsid w:val="00142460"/>
    <w:rsid w:val="00142487"/>
    <w:rsid w:val="00142AC6"/>
    <w:rsid w:val="00142BBE"/>
    <w:rsid w:val="00142C80"/>
    <w:rsid w:val="00143C74"/>
    <w:rsid w:val="00144295"/>
    <w:rsid w:val="0014577A"/>
    <w:rsid w:val="001516EC"/>
    <w:rsid w:val="00151EE9"/>
    <w:rsid w:val="00155B0D"/>
    <w:rsid w:val="00155B88"/>
    <w:rsid w:val="00156761"/>
    <w:rsid w:val="00157128"/>
    <w:rsid w:val="00157170"/>
    <w:rsid w:val="00157EC8"/>
    <w:rsid w:val="00160520"/>
    <w:rsid w:val="00160EE4"/>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877C4"/>
    <w:rsid w:val="00190BFB"/>
    <w:rsid w:val="00191ED7"/>
    <w:rsid w:val="00192656"/>
    <w:rsid w:val="00192AB1"/>
    <w:rsid w:val="001940A4"/>
    <w:rsid w:val="001967D6"/>
    <w:rsid w:val="00196E5B"/>
    <w:rsid w:val="001A3135"/>
    <w:rsid w:val="001A3FF1"/>
    <w:rsid w:val="001A4390"/>
    <w:rsid w:val="001A5C0B"/>
    <w:rsid w:val="001A6392"/>
    <w:rsid w:val="001A6ECA"/>
    <w:rsid w:val="001A79B6"/>
    <w:rsid w:val="001A7EBE"/>
    <w:rsid w:val="001B0779"/>
    <w:rsid w:val="001B1217"/>
    <w:rsid w:val="001B17E0"/>
    <w:rsid w:val="001B182A"/>
    <w:rsid w:val="001B2FBB"/>
    <w:rsid w:val="001B3DB4"/>
    <w:rsid w:val="001B64A1"/>
    <w:rsid w:val="001C0932"/>
    <w:rsid w:val="001C18E2"/>
    <w:rsid w:val="001C2062"/>
    <w:rsid w:val="001C2312"/>
    <w:rsid w:val="001C319A"/>
    <w:rsid w:val="001C3593"/>
    <w:rsid w:val="001C5881"/>
    <w:rsid w:val="001D3DF5"/>
    <w:rsid w:val="001E0886"/>
    <w:rsid w:val="001E2A87"/>
    <w:rsid w:val="001E41DB"/>
    <w:rsid w:val="001E4A2E"/>
    <w:rsid w:val="001E659F"/>
    <w:rsid w:val="001E7AC2"/>
    <w:rsid w:val="001F3623"/>
    <w:rsid w:val="001F5095"/>
    <w:rsid w:val="001F792E"/>
    <w:rsid w:val="001F7AEB"/>
    <w:rsid w:val="00201E15"/>
    <w:rsid w:val="00202BF5"/>
    <w:rsid w:val="00203591"/>
    <w:rsid w:val="0020502D"/>
    <w:rsid w:val="00205382"/>
    <w:rsid w:val="002107B2"/>
    <w:rsid w:val="00211EFC"/>
    <w:rsid w:val="0021635E"/>
    <w:rsid w:val="002203AB"/>
    <w:rsid w:val="00221373"/>
    <w:rsid w:val="00221C98"/>
    <w:rsid w:val="0022402B"/>
    <w:rsid w:val="00235779"/>
    <w:rsid w:val="00235A03"/>
    <w:rsid w:val="00236B67"/>
    <w:rsid w:val="00237E37"/>
    <w:rsid w:val="00240BD1"/>
    <w:rsid w:val="00240E59"/>
    <w:rsid w:val="00240E86"/>
    <w:rsid w:val="002424E5"/>
    <w:rsid w:val="00245286"/>
    <w:rsid w:val="00245E71"/>
    <w:rsid w:val="00252183"/>
    <w:rsid w:val="00252D04"/>
    <w:rsid w:val="00255510"/>
    <w:rsid w:val="00256FFA"/>
    <w:rsid w:val="00261363"/>
    <w:rsid w:val="00262DE3"/>
    <w:rsid w:val="00263D14"/>
    <w:rsid w:val="00263EBB"/>
    <w:rsid w:val="00267287"/>
    <w:rsid w:val="00267486"/>
    <w:rsid w:val="00267758"/>
    <w:rsid w:val="00267823"/>
    <w:rsid w:val="00272B6A"/>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4A2"/>
    <w:rsid w:val="00296AA3"/>
    <w:rsid w:val="002A133C"/>
    <w:rsid w:val="002A1B3D"/>
    <w:rsid w:val="002A29E2"/>
    <w:rsid w:val="002A3115"/>
    <w:rsid w:val="002A3D43"/>
    <w:rsid w:val="002B0A2C"/>
    <w:rsid w:val="002B4C4B"/>
    <w:rsid w:val="002B51B1"/>
    <w:rsid w:val="002C052B"/>
    <w:rsid w:val="002C1384"/>
    <w:rsid w:val="002C1FA8"/>
    <w:rsid w:val="002C2B1D"/>
    <w:rsid w:val="002C4B91"/>
    <w:rsid w:val="002C4EDD"/>
    <w:rsid w:val="002C60AD"/>
    <w:rsid w:val="002C74B0"/>
    <w:rsid w:val="002C7F45"/>
    <w:rsid w:val="002D0B31"/>
    <w:rsid w:val="002D1456"/>
    <w:rsid w:val="002D2464"/>
    <w:rsid w:val="002D24AC"/>
    <w:rsid w:val="002D36DA"/>
    <w:rsid w:val="002D3778"/>
    <w:rsid w:val="002D3BBC"/>
    <w:rsid w:val="002D45B4"/>
    <w:rsid w:val="002D4B62"/>
    <w:rsid w:val="002D539C"/>
    <w:rsid w:val="002D5902"/>
    <w:rsid w:val="002D6EFF"/>
    <w:rsid w:val="002D76CF"/>
    <w:rsid w:val="002E2BCE"/>
    <w:rsid w:val="002E5050"/>
    <w:rsid w:val="002E52A1"/>
    <w:rsid w:val="002F0253"/>
    <w:rsid w:val="002F0D46"/>
    <w:rsid w:val="002F2CFA"/>
    <w:rsid w:val="002F3DCC"/>
    <w:rsid w:val="002F5423"/>
    <w:rsid w:val="002F77BF"/>
    <w:rsid w:val="00300265"/>
    <w:rsid w:val="0030275E"/>
    <w:rsid w:val="00302990"/>
    <w:rsid w:val="00304B0C"/>
    <w:rsid w:val="003076E0"/>
    <w:rsid w:val="003107C9"/>
    <w:rsid w:val="00311067"/>
    <w:rsid w:val="00311281"/>
    <w:rsid w:val="00312F3E"/>
    <w:rsid w:val="003145A5"/>
    <w:rsid w:val="003161CE"/>
    <w:rsid w:val="0031780B"/>
    <w:rsid w:val="00317AFF"/>
    <w:rsid w:val="00321D6D"/>
    <w:rsid w:val="003262C7"/>
    <w:rsid w:val="00326AAF"/>
    <w:rsid w:val="00326ECB"/>
    <w:rsid w:val="00330444"/>
    <w:rsid w:val="00331404"/>
    <w:rsid w:val="00331507"/>
    <w:rsid w:val="00331BC5"/>
    <w:rsid w:val="003333AF"/>
    <w:rsid w:val="003348B5"/>
    <w:rsid w:val="00334A8D"/>
    <w:rsid w:val="003352A9"/>
    <w:rsid w:val="00335DE6"/>
    <w:rsid w:val="00337CC9"/>
    <w:rsid w:val="003411FF"/>
    <w:rsid w:val="00342071"/>
    <w:rsid w:val="00342477"/>
    <w:rsid w:val="003428DF"/>
    <w:rsid w:val="003435A6"/>
    <w:rsid w:val="00343E54"/>
    <w:rsid w:val="00344700"/>
    <w:rsid w:val="00344D91"/>
    <w:rsid w:val="00345D7B"/>
    <w:rsid w:val="0034636A"/>
    <w:rsid w:val="00350C5B"/>
    <w:rsid w:val="00350EFF"/>
    <w:rsid w:val="00353213"/>
    <w:rsid w:val="00353AE0"/>
    <w:rsid w:val="003564AF"/>
    <w:rsid w:val="00356A92"/>
    <w:rsid w:val="00357296"/>
    <w:rsid w:val="00357A61"/>
    <w:rsid w:val="003630F2"/>
    <w:rsid w:val="003635D3"/>
    <w:rsid w:val="00365D0A"/>
    <w:rsid w:val="00366433"/>
    <w:rsid w:val="00367508"/>
    <w:rsid w:val="0037057F"/>
    <w:rsid w:val="00370BC6"/>
    <w:rsid w:val="00373786"/>
    <w:rsid w:val="00373FCD"/>
    <w:rsid w:val="003758B1"/>
    <w:rsid w:val="00381BC0"/>
    <w:rsid w:val="00382574"/>
    <w:rsid w:val="00382F4F"/>
    <w:rsid w:val="003830AC"/>
    <w:rsid w:val="00384F78"/>
    <w:rsid w:val="0038711A"/>
    <w:rsid w:val="0039064D"/>
    <w:rsid w:val="003908FA"/>
    <w:rsid w:val="003928E0"/>
    <w:rsid w:val="00393226"/>
    <w:rsid w:val="0039324D"/>
    <w:rsid w:val="00394C27"/>
    <w:rsid w:val="00395175"/>
    <w:rsid w:val="00395DCF"/>
    <w:rsid w:val="003962B1"/>
    <w:rsid w:val="003A12DC"/>
    <w:rsid w:val="003A1706"/>
    <w:rsid w:val="003A2414"/>
    <w:rsid w:val="003A2DE3"/>
    <w:rsid w:val="003A601C"/>
    <w:rsid w:val="003A61DE"/>
    <w:rsid w:val="003B2E3D"/>
    <w:rsid w:val="003B4A6B"/>
    <w:rsid w:val="003B602F"/>
    <w:rsid w:val="003C0692"/>
    <w:rsid w:val="003C1982"/>
    <w:rsid w:val="003C5EE2"/>
    <w:rsid w:val="003C614B"/>
    <w:rsid w:val="003C6D06"/>
    <w:rsid w:val="003D0725"/>
    <w:rsid w:val="003D0B78"/>
    <w:rsid w:val="003D1D1A"/>
    <w:rsid w:val="003D2714"/>
    <w:rsid w:val="003D4186"/>
    <w:rsid w:val="003D46E0"/>
    <w:rsid w:val="003D56B8"/>
    <w:rsid w:val="003D6805"/>
    <w:rsid w:val="003D76B8"/>
    <w:rsid w:val="003D7851"/>
    <w:rsid w:val="003D7CE7"/>
    <w:rsid w:val="003E2608"/>
    <w:rsid w:val="003E29F3"/>
    <w:rsid w:val="003E2F24"/>
    <w:rsid w:val="003E33F2"/>
    <w:rsid w:val="003E4A8D"/>
    <w:rsid w:val="003E605F"/>
    <w:rsid w:val="003E6817"/>
    <w:rsid w:val="003E7B3A"/>
    <w:rsid w:val="003F0940"/>
    <w:rsid w:val="003F10C8"/>
    <w:rsid w:val="003F29BD"/>
    <w:rsid w:val="003F2B52"/>
    <w:rsid w:val="003F3961"/>
    <w:rsid w:val="003F3A03"/>
    <w:rsid w:val="003F6026"/>
    <w:rsid w:val="003F788D"/>
    <w:rsid w:val="00401405"/>
    <w:rsid w:val="0040287B"/>
    <w:rsid w:val="004060B1"/>
    <w:rsid w:val="0040661C"/>
    <w:rsid w:val="004073B3"/>
    <w:rsid w:val="00410006"/>
    <w:rsid w:val="0041290A"/>
    <w:rsid w:val="00412A83"/>
    <w:rsid w:val="004135B4"/>
    <w:rsid w:val="004140D9"/>
    <w:rsid w:val="00414CEC"/>
    <w:rsid w:val="00415531"/>
    <w:rsid w:val="004158B6"/>
    <w:rsid w:val="00415A60"/>
    <w:rsid w:val="004205A3"/>
    <w:rsid w:val="004211CC"/>
    <w:rsid w:val="00423F2A"/>
    <w:rsid w:val="004244EF"/>
    <w:rsid w:val="00424809"/>
    <w:rsid w:val="00424A0C"/>
    <w:rsid w:val="0043080F"/>
    <w:rsid w:val="00431BE9"/>
    <w:rsid w:val="00432A1F"/>
    <w:rsid w:val="004336EF"/>
    <w:rsid w:val="00433F6F"/>
    <w:rsid w:val="0043488A"/>
    <w:rsid w:val="004361CF"/>
    <w:rsid w:val="00440B78"/>
    <w:rsid w:val="00440C41"/>
    <w:rsid w:val="00440DF2"/>
    <w:rsid w:val="00440F19"/>
    <w:rsid w:val="00441562"/>
    <w:rsid w:val="00442DFF"/>
    <w:rsid w:val="00444133"/>
    <w:rsid w:val="004506BE"/>
    <w:rsid w:val="004506FF"/>
    <w:rsid w:val="0045153E"/>
    <w:rsid w:val="00451E8D"/>
    <w:rsid w:val="004533D1"/>
    <w:rsid w:val="00455B73"/>
    <w:rsid w:val="004570B3"/>
    <w:rsid w:val="00457596"/>
    <w:rsid w:val="00457C94"/>
    <w:rsid w:val="0046025C"/>
    <w:rsid w:val="00462145"/>
    <w:rsid w:val="00462366"/>
    <w:rsid w:val="004629D5"/>
    <w:rsid w:val="00463534"/>
    <w:rsid w:val="00464159"/>
    <w:rsid w:val="00465F3A"/>
    <w:rsid w:val="00466620"/>
    <w:rsid w:val="00470D86"/>
    <w:rsid w:val="00470F61"/>
    <w:rsid w:val="00471691"/>
    <w:rsid w:val="004719CF"/>
    <w:rsid w:val="004724C4"/>
    <w:rsid w:val="0047340A"/>
    <w:rsid w:val="00473804"/>
    <w:rsid w:val="00473C2F"/>
    <w:rsid w:val="004743EC"/>
    <w:rsid w:val="004748B0"/>
    <w:rsid w:val="00483329"/>
    <w:rsid w:val="004843D0"/>
    <w:rsid w:val="004850C9"/>
    <w:rsid w:val="00485A15"/>
    <w:rsid w:val="00486B60"/>
    <w:rsid w:val="00486D77"/>
    <w:rsid w:val="004902F3"/>
    <w:rsid w:val="004903CB"/>
    <w:rsid w:val="00491337"/>
    <w:rsid w:val="00491785"/>
    <w:rsid w:val="0049223A"/>
    <w:rsid w:val="00492496"/>
    <w:rsid w:val="00493BA3"/>
    <w:rsid w:val="00494271"/>
    <w:rsid w:val="004942F5"/>
    <w:rsid w:val="004960B4"/>
    <w:rsid w:val="0049694C"/>
    <w:rsid w:val="004972B2"/>
    <w:rsid w:val="004A62DF"/>
    <w:rsid w:val="004A75BE"/>
    <w:rsid w:val="004B3120"/>
    <w:rsid w:val="004B3148"/>
    <w:rsid w:val="004B4CFF"/>
    <w:rsid w:val="004B54E9"/>
    <w:rsid w:val="004B565E"/>
    <w:rsid w:val="004B6A92"/>
    <w:rsid w:val="004B6F9C"/>
    <w:rsid w:val="004B7F32"/>
    <w:rsid w:val="004B7F99"/>
    <w:rsid w:val="004C0280"/>
    <w:rsid w:val="004C13E9"/>
    <w:rsid w:val="004C1A55"/>
    <w:rsid w:val="004C33AE"/>
    <w:rsid w:val="004C3A6B"/>
    <w:rsid w:val="004C42F0"/>
    <w:rsid w:val="004C43A4"/>
    <w:rsid w:val="004C7007"/>
    <w:rsid w:val="004C72C4"/>
    <w:rsid w:val="004C76CE"/>
    <w:rsid w:val="004D131D"/>
    <w:rsid w:val="004D20EE"/>
    <w:rsid w:val="004D2666"/>
    <w:rsid w:val="004D3594"/>
    <w:rsid w:val="004D6D25"/>
    <w:rsid w:val="004D7489"/>
    <w:rsid w:val="004D7840"/>
    <w:rsid w:val="004D7FCD"/>
    <w:rsid w:val="004E04F7"/>
    <w:rsid w:val="004E0B84"/>
    <w:rsid w:val="004E10F5"/>
    <w:rsid w:val="004E1A44"/>
    <w:rsid w:val="004E1F1C"/>
    <w:rsid w:val="004E3251"/>
    <w:rsid w:val="004E3AF1"/>
    <w:rsid w:val="004E6544"/>
    <w:rsid w:val="004E6F8F"/>
    <w:rsid w:val="004E7802"/>
    <w:rsid w:val="004F009B"/>
    <w:rsid w:val="004F0C5E"/>
    <w:rsid w:val="004F1B57"/>
    <w:rsid w:val="004F207A"/>
    <w:rsid w:val="004F2401"/>
    <w:rsid w:val="004F3A1D"/>
    <w:rsid w:val="005027B4"/>
    <w:rsid w:val="00504773"/>
    <w:rsid w:val="005068BC"/>
    <w:rsid w:val="00507161"/>
    <w:rsid w:val="00507773"/>
    <w:rsid w:val="00511D38"/>
    <w:rsid w:val="00513606"/>
    <w:rsid w:val="0051385A"/>
    <w:rsid w:val="00513BDD"/>
    <w:rsid w:val="00516D73"/>
    <w:rsid w:val="0052293F"/>
    <w:rsid w:val="00522F6B"/>
    <w:rsid w:val="00523110"/>
    <w:rsid w:val="0052491C"/>
    <w:rsid w:val="005251C1"/>
    <w:rsid w:val="005252E0"/>
    <w:rsid w:val="00525837"/>
    <w:rsid w:val="00526766"/>
    <w:rsid w:val="005268E0"/>
    <w:rsid w:val="00526A34"/>
    <w:rsid w:val="00527744"/>
    <w:rsid w:val="00527DB2"/>
    <w:rsid w:val="005313CD"/>
    <w:rsid w:val="00531980"/>
    <w:rsid w:val="00533531"/>
    <w:rsid w:val="00533650"/>
    <w:rsid w:val="00533F72"/>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5FE1"/>
    <w:rsid w:val="00556A44"/>
    <w:rsid w:val="00557E06"/>
    <w:rsid w:val="005603CF"/>
    <w:rsid w:val="00560A87"/>
    <w:rsid w:val="00560D3D"/>
    <w:rsid w:val="00560D94"/>
    <w:rsid w:val="005621D9"/>
    <w:rsid w:val="0056541D"/>
    <w:rsid w:val="005654AC"/>
    <w:rsid w:val="0056627B"/>
    <w:rsid w:val="005670C9"/>
    <w:rsid w:val="00567462"/>
    <w:rsid w:val="00567D9E"/>
    <w:rsid w:val="00570275"/>
    <w:rsid w:val="00570EF9"/>
    <w:rsid w:val="00571364"/>
    <w:rsid w:val="005724D5"/>
    <w:rsid w:val="005738C9"/>
    <w:rsid w:val="00575D97"/>
    <w:rsid w:val="005762C3"/>
    <w:rsid w:val="005762D8"/>
    <w:rsid w:val="005779AE"/>
    <w:rsid w:val="00580587"/>
    <w:rsid w:val="00581310"/>
    <w:rsid w:val="0058143D"/>
    <w:rsid w:val="005822A8"/>
    <w:rsid w:val="00582E12"/>
    <w:rsid w:val="0058385E"/>
    <w:rsid w:val="00585A72"/>
    <w:rsid w:val="00585AC6"/>
    <w:rsid w:val="00586C9A"/>
    <w:rsid w:val="0059503F"/>
    <w:rsid w:val="0059545D"/>
    <w:rsid w:val="005979DC"/>
    <w:rsid w:val="005A202E"/>
    <w:rsid w:val="005A21E3"/>
    <w:rsid w:val="005A2CE2"/>
    <w:rsid w:val="005A2E6F"/>
    <w:rsid w:val="005A37D0"/>
    <w:rsid w:val="005A4D3F"/>
    <w:rsid w:val="005A6D6C"/>
    <w:rsid w:val="005A6DB6"/>
    <w:rsid w:val="005A6ED8"/>
    <w:rsid w:val="005B0BB4"/>
    <w:rsid w:val="005B2A61"/>
    <w:rsid w:val="005B3CB6"/>
    <w:rsid w:val="005B5439"/>
    <w:rsid w:val="005B57A5"/>
    <w:rsid w:val="005B78D2"/>
    <w:rsid w:val="005C028E"/>
    <w:rsid w:val="005C2D90"/>
    <w:rsid w:val="005C3EB9"/>
    <w:rsid w:val="005C5DA2"/>
    <w:rsid w:val="005C5DC2"/>
    <w:rsid w:val="005D191C"/>
    <w:rsid w:val="005D6837"/>
    <w:rsid w:val="005D6C4C"/>
    <w:rsid w:val="005E0D33"/>
    <w:rsid w:val="005E2835"/>
    <w:rsid w:val="005E2D1E"/>
    <w:rsid w:val="005E3B88"/>
    <w:rsid w:val="005E4249"/>
    <w:rsid w:val="005E4997"/>
    <w:rsid w:val="005E61F9"/>
    <w:rsid w:val="005E644B"/>
    <w:rsid w:val="005E7CE3"/>
    <w:rsid w:val="005F0430"/>
    <w:rsid w:val="005F08EC"/>
    <w:rsid w:val="005F1189"/>
    <w:rsid w:val="005F3BA5"/>
    <w:rsid w:val="005F49DC"/>
    <w:rsid w:val="005F589F"/>
    <w:rsid w:val="005F58DF"/>
    <w:rsid w:val="006007A2"/>
    <w:rsid w:val="0060301F"/>
    <w:rsid w:val="00605435"/>
    <w:rsid w:val="006076C3"/>
    <w:rsid w:val="006109C1"/>
    <w:rsid w:val="006116F4"/>
    <w:rsid w:val="006144EC"/>
    <w:rsid w:val="00614965"/>
    <w:rsid w:val="00614ADC"/>
    <w:rsid w:val="00616877"/>
    <w:rsid w:val="00617EEA"/>
    <w:rsid w:val="006216E7"/>
    <w:rsid w:val="0062250B"/>
    <w:rsid w:val="00622A95"/>
    <w:rsid w:val="006234DE"/>
    <w:rsid w:val="00623ABC"/>
    <w:rsid w:val="0062477F"/>
    <w:rsid w:val="00624EE3"/>
    <w:rsid w:val="00625224"/>
    <w:rsid w:val="00625796"/>
    <w:rsid w:val="00626638"/>
    <w:rsid w:val="00626F2D"/>
    <w:rsid w:val="00627316"/>
    <w:rsid w:val="006316CF"/>
    <w:rsid w:val="006359D1"/>
    <w:rsid w:val="00635B65"/>
    <w:rsid w:val="00636BC7"/>
    <w:rsid w:val="00640DE1"/>
    <w:rsid w:val="0064157C"/>
    <w:rsid w:val="00642566"/>
    <w:rsid w:val="006433EC"/>
    <w:rsid w:val="006443EA"/>
    <w:rsid w:val="0064473F"/>
    <w:rsid w:val="00644AAA"/>
    <w:rsid w:val="0064745E"/>
    <w:rsid w:val="00650116"/>
    <w:rsid w:val="00650ADB"/>
    <w:rsid w:val="00653904"/>
    <w:rsid w:val="006539B9"/>
    <w:rsid w:val="00655C16"/>
    <w:rsid w:val="00655E06"/>
    <w:rsid w:val="00655EE7"/>
    <w:rsid w:val="00656049"/>
    <w:rsid w:val="0065606C"/>
    <w:rsid w:val="00657714"/>
    <w:rsid w:val="00657EA3"/>
    <w:rsid w:val="00662179"/>
    <w:rsid w:val="006629C6"/>
    <w:rsid w:val="006635A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75EF2"/>
    <w:rsid w:val="006811A4"/>
    <w:rsid w:val="0068171B"/>
    <w:rsid w:val="006858AF"/>
    <w:rsid w:val="006865EA"/>
    <w:rsid w:val="00686D67"/>
    <w:rsid w:val="0069046D"/>
    <w:rsid w:val="00691D1B"/>
    <w:rsid w:val="00693167"/>
    <w:rsid w:val="00694205"/>
    <w:rsid w:val="00696D0B"/>
    <w:rsid w:val="006A20D1"/>
    <w:rsid w:val="006A3BBC"/>
    <w:rsid w:val="006A7E2E"/>
    <w:rsid w:val="006B06A3"/>
    <w:rsid w:val="006B08D7"/>
    <w:rsid w:val="006B0A7A"/>
    <w:rsid w:val="006B1A40"/>
    <w:rsid w:val="006B1B86"/>
    <w:rsid w:val="006B25FE"/>
    <w:rsid w:val="006B2F1C"/>
    <w:rsid w:val="006B428F"/>
    <w:rsid w:val="006B52B0"/>
    <w:rsid w:val="006B5B2D"/>
    <w:rsid w:val="006B5E23"/>
    <w:rsid w:val="006B6DE4"/>
    <w:rsid w:val="006C10BC"/>
    <w:rsid w:val="006C1C90"/>
    <w:rsid w:val="006C425B"/>
    <w:rsid w:val="006C4D85"/>
    <w:rsid w:val="006C4D8A"/>
    <w:rsid w:val="006C5037"/>
    <w:rsid w:val="006C593D"/>
    <w:rsid w:val="006C59BD"/>
    <w:rsid w:val="006C6A36"/>
    <w:rsid w:val="006C7EDF"/>
    <w:rsid w:val="006D0081"/>
    <w:rsid w:val="006D0624"/>
    <w:rsid w:val="006D2063"/>
    <w:rsid w:val="006D2E8E"/>
    <w:rsid w:val="006D7649"/>
    <w:rsid w:val="006E035E"/>
    <w:rsid w:val="006E285E"/>
    <w:rsid w:val="006E3EA5"/>
    <w:rsid w:val="006E6B2E"/>
    <w:rsid w:val="006E7F9A"/>
    <w:rsid w:val="006F1A0B"/>
    <w:rsid w:val="006F39D6"/>
    <w:rsid w:val="006F4FF6"/>
    <w:rsid w:val="006F546F"/>
    <w:rsid w:val="006F6F4E"/>
    <w:rsid w:val="00700D5B"/>
    <w:rsid w:val="00701DD2"/>
    <w:rsid w:val="00703C57"/>
    <w:rsid w:val="0070452E"/>
    <w:rsid w:val="00705307"/>
    <w:rsid w:val="00705C49"/>
    <w:rsid w:val="00710304"/>
    <w:rsid w:val="0071097C"/>
    <w:rsid w:val="007109BB"/>
    <w:rsid w:val="00710A14"/>
    <w:rsid w:val="00710DF6"/>
    <w:rsid w:val="00711502"/>
    <w:rsid w:val="0071327A"/>
    <w:rsid w:val="00713806"/>
    <w:rsid w:val="00714F7A"/>
    <w:rsid w:val="007156A6"/>
    <w:rsid w:val="00722B1B"/>
    <w:rsid w:val="0072518E"/>
    <w:rsid w:val="007267EC"/>
    <w:rsid w:val="00727B3A"/>
    <w:rsid w:val="00731723"/>
    <w:rsid w:val="00732BBD"/>
    <w:rsid w:val="00733BB5"/>
    <w:rsid w:val="00734566"/>
    <w:rsid w:val="007355F3"/>
    <w:rsid w:val="007360D9"/>
    <w:rsid w:val="00740175"/>
    <w:rsid w:val="0074099B"/>
    <w:rsid w:val="00740BDB"/>
    <w:rsid w:val="00743F53"/>
    <w:rsid w:val="007450BA"/>
    <w:rsid w:val="0074600A"/>
    <w:rsid w:val="00752B90"/>
    <w:rsid w:val="00752E78"/>
    <w:rsid w:val="007534BD"/>
    <w:rsid w:val="00756612"/>
    <w:rsid w:val="007571F3"/>
    <w:rsid w:val="00762126"/>
    <w:rsid w:val="00762FF5"/>
    <w:rsid w:val="00763E92"/>
    <w:rsid w:val="007646FE"/>
    <w:rsid w:val="00764A07"/>
    <w:rsid w:val="00765FF6"/>
    <w:rsid w:val="007660C4"/>
    <w:rsid w:val="00766357"/>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1311"/>
    <w:rsid w:val="0079224A"/>
    <w:rsid w:val="00792A72"/>
    <w:rsid w:val="00793111"/>
    <w:rsid w:val="007936C3"/>
    <w:rsid w:val="00793726"/>
    <w:rsid w:val="007945B6"/>
    <w:rsid w:val="007A2732"/>
    <w:rsid w:val="007A2B2D"/>
    <w:rsid w:val="007A3FBF"/>
    <w:rsid w:val="007A5D7F"/>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09C"/>
    <w:rsid w:val="007D735A"/>
    <w:rsid w:val="007E0DDC"/>
    <w:rsid w:val="007E1014"/>
    <w:rsid w:val="007F0584"/>
    <w:rsid w:val="007F093A"/>
    <w:rsid w:val="007F11B8"/>
    <w:rsid w:val="007F3EEA"/>
    <w:rsid w:val="007F65C7"/>
    <w:rsid w:val="008023FD"/>
    <w:rsid w:val="00802845"/>
    <w:rsid w:val="00803299"/>
    <w:rsid w:val="008058CF"/>
    <w:rsid w:val="0081339B"/>
    <w:rsid w:val="008139F4"/>
    <w:rsid w:val="00816216"/>
    <w:rsid w:val="008165EA"/>
    <w:rsid w:val="00816907"/>
    <w:rsid w:val="00816CF0"/>
    <w:rsid w:val="0081790A"/>
    <w:rsid w:val="00821CF3"/>
    <w:rsid w:val="0082217E"/>
    <w:rsid w:val="00822E49"/>
    <w:rsid w:val="00822E96"/>
    <w:rsid w:val="00824063"/>
    <w:rsid w:val="00825C50"/>
    <w:rsid w:val="00825D16"/>
    <w:rsid w:val="008267EE"/>
    <w:rsid w:val="00826BB1"/>
    <w:rsid w:val="00827717"/>
    <w:rsid w:val="00830A74"/>
    <w:rsid w:val="008316EF"/>
    <w:rsid w:val="0083273C"/>
    <w:rsid w:val="008331C1"/>
    <w:rsid w:val="008379B1"/>
    <w:rsid w:val="008424D3"/>
    <w:rsid w:val="00842FF3"/>
    <w:rsid w:val="00843A22"/>
    <w:rsid w:val="00843E84"/>
    <w:rsid w:val="008443F6"/>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41D"/>
    <w:rsid w:val="0089283A"/>
    <w:rsid w:val="00894204"/>
    <w:rsid w:val="00895A94"/>
    <w:rsid w:val="00896702"/>
    <w:rsid w:val="0089696C"/>
    <w:rsid w:val="00897A46"/>
    <w:rsid w:val="008A12DA"/>
    <w:rsid w:val="008A4677"/>
    <w:rsid w:val="008A5DB2"/>
    <w:rsid w:val="008A6DE5"/>
    <w:rsid w:val="008B092F"/>
    <w:rsid w:val="008B09EE"/>
    <w:rsid w:val="008B0D8A"/>
    <w:rsid w:val="008B1A1A"/>
    <w:rsid w:val="008B1FF2"/>
    <w:rsid w:val="008B2496"/>
    <w:rsid w:val="008B4BFE"/>
    <w:rsid w:val="008B7A72"/>
    <w:rsid w:val="008B7D97"/>
    <w:rsid w:val="008C255E"/>
    <w:rsid w:val="008C25AD"/>
    <w:rsid w:val="008C7062"/>
    <w:rsid w:val="008D1E50"/>
    <w:rsid w:val="008D51B8"/>
    <w:rsid w:val="008D6338"/>
    <w:rsid w:val="008D7599"/>
    <w:rsid w:val="008E0178"/>
    <w:rsid w:val="008E0B6D"/>
    <w:rsid w:val="008E1F7D"/>
    <w:rsid w:val="008E6C46"/>
    <w:rsid w:val="008F24FD"/>
    <w:rsid w:val="008F3574"/>
    <w:rsid w:val="008F4657"/>
    <w:rsid w:val="0090042E"/>
    <w:rsid w:val="00901597"/>
    <w:rsid w:val="00904A3E"/>
    <w:rsid w:val="009062E6"/>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4D2C"/>
    <w:rsid w:val="00934E0C"/>
    <w:rsid w:val="00935407"/>
    <w:rsid w:val="009402A5"/>
    <w:rsid w:val="009411A4"/>
    <w:rsid w:val="009422D4"/>
    <w:rsid w:val="009427B5"/>
    <w:rsid w:val="009457DA"/>
    <w:rsid w:val="00945BA6"/>
    <w:rsid w:val="00946FD0"/>
    <w:rsid w:val="0095041C"/>
    <w:rsid w:val="00953A46"/>
    <w:rsid w:val="009548A5"/>
    <w:rsid w:val="00955007"/>
    <w:rsid w:val="009550FD"/>
    <w:rsid w:val="00955DFC"/>
    <w:rsid w:val="00960C95"/>
    <w:rsid w:val="0096111A"/>
    <w:rsid w:val="009611A2"/>
    <w:rsid w:val="00963BA6"/>
    <w:rsid w:val="009642B6"/>
    <w:rsid w:val="0097078C"/>
    <w:rsid w:val="00972799"/>
    <w:rsid w:val="00972B18"/>
    <w:rsid w:val="00974899"/>
    <w:rsid w:val="00974A56"/>
    <w:rsid w:val="00976D34"/>
    <w:rsid w:val="00977E8D"/>
    <w:rsid w:val="0098078B"/>
    <w:rsid w:val="00986A33"/>
    <w:rsid w:val="00991F79"/>
    <w:rsid w:val="009961A4"/>
    <w:rsid w:val="0099624C"/>
    <w:rsid w:val="0099658A"/>
    <w:rsid w:val="0099687C"/>
    <w:rsid w:val="00996906"/>
    <w:rsid w:val="00997192"/>
    <w:rsid w:val="00997435"/>
    <w:rsid w:val="009A0674"/>
    <w:rsid w:val="009A31D3"/>
    <w:rsid w:val="009A550B"/>
    <w:rsid w:val="009A58AB"/>
    <w:rsid w:val="009A5950"/>
    <w:rsid w:val="009A5B98"/>
    <w:rsid w:val="009A6558"/>
    <w:rsid w:val="009A67AF"/>
    <w:rsid w:val="009A6C69"/>
    <w:rsid w:val="009A6CCE"/>
    <w:rsid w:val="009A7545"/>
    <w:rsid w:val="009A7798"/>
    <w:rsid w:val="009B293C"/>
    <w:rsid w:val="009B2DDF"/>
    <w:rsid w:val="009B415A"/>
    <w:rsid w:val="009B472A"/>
    <w:rsid w:val="009B49E7"/>
    <w:rsid w:val="009B6F4F"/>
    <w:rsid w:val="009B78DB"/>
    <w:rsid w:val="009C0F45"/>
    <w:rsid w:val="009C37F6"/>
    <w:rsid w:val="009C5B74"/>
    <w:rsid w:val="009C64EC"/>
    <w:rsid w:val="009C7554"/>
    <w:rsid w:val="009D044F"/>
    <w:rsid w:val="009D05C1"/>
    <w:rsid w:val="009D0CF4"/>
    <w:rsid w:val="009D15B0"/>
    <w:rsid w:val="009D3471"/>
    <w:rsid w:val="009D4398"/>
    <w:rsid w:val="009D69ED"/>
    <w:rsid w:val="009D754A"/>
    <w:rsid w:val="009E0E59"/>
    <w:rsid w:val="009E0F04"/>
    <w:rsid w:val="009E2233"/>
    <w:rsid w:val="009E30C8"/>
    <w:rsid w:val="009E3402"/>
    <w:rsid w:val="009E3473"/>
    <w:rsid w:val="009E3CCC"/>
    <w:rsid w:val="009E4101"/>
    <w:rsid w:val="009E49FB"/>
    <w:rsid w:val="009E4F91"/>
    <w:rsid w:val="009E5DAB"/>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1F2E"/>
    <w:rsid w:val="00A13335"/>
    <w:rsid w:val="00A15BB3"/>
    <w:rsid w:val="00A16CF2"/>
    <w:rsid w:val="00A2189C"/>
    <w:rsid w:val="00A24A10"/>
    <w:rsid w:val="00A24FE8"/>
    <w:rsid w:val="00A253B3"/>
    <w:rsid w:val="00A26AB4"/>
    <w:rsid w:val="00A270B9"/>
    <w:rsid w:val="00A30A00"/>
    <w:rsid w:val="00A30C5D"/>
    <w:rsid w:val="00A344EF"/>
    <w:rsid w:val="00A3647B"/>
    <w:rsid w:val="00A368B5"/>
    <w:rsid w:val="00A40ACE"/>
    <w:rsid w:val="00A41AB8"/>
    <w:rsid w:val="00A423C8"/>
    <w:rsid w:val="00A42870"/>
    <w:rsid w:val="00A42B52"/>
    <w:rsid w:val="00A452C1"/>
    <w:rsid w:val="00A45DA3"/>
    <w:rsid w:val="00A472A7"/>
    <w:rsid w:val="00A50C65"/>
    <w:rsid w:val="00A52B82"/>
    <w:rsid w:val="00A52BC4"/>
    <w:rsid w:val="00A5314E"/>
    <w:rsid w:val="00A53C20"/>
    <w:rsid w:val="00A5595E"/>
    <w:rsid w:val="00A57FB9"/>
    <w:rsid w:val="00A61917"/>
    <w:rsid w:val="00A653BB"/>
    <w:rsid w:val="00A65574"/>
    <w:rsid w:val="00A67011"/>
    <w:rsid w:val="00A677A4"/>
    <w:rsid w:val="00A71BD5"/>
    <w:rsid w:val="00A7220F"/>
    <w:rsid w:val="00A72B22"/>
    <w:rsid w:val="00A74CBD"/>
    <w:rsid w:val="00A75E22"/>
    <w:rsid w:val="00A76206"/>
    <w:rsid w:val="00A80344"/>
    <w:rsid w:val="00A808C1"/>
    <w:rsid w:val="00A80911"/>
    <w:rsid w:val="00A80D61"/>
    <w:rsid w:val="00A80F35"/>
    <w:rsid w:val="00A811DB"/>
    <w:rsid w:val="00A81C90"/>
    <w:rsid w:val="00A83E9B"/>
    <w:rsid w:val="00A863A7"/>
    <w:rsid w:val="00A875E0"/>
    <w:rsid w:val="00A90637"/>
    <w:rsid w:val="00A93989"/>
    <w:rsid w:val="00A93BF0"/>
    <w:rsid w:val="00A96545"/>
    <w:rsid w:val="00AA0138"/>
    <w:rsid w:val="00AA06BA"/>
    <w:rsid w:val="00AA2955"/>
    <w:rsid w:val="00AA2AD3"/>
    <w:rsid w:val="00AA489D"/>
    <w:rsid w:val="00AA4A92"/>
    <w:rsid w:val="00AA52CC"/>
    <w:rsid w:val="00AA709D"/>
    <w:rsid w:val="00AB3BC4"/>
    <w:rsid w:val="00AB3FDB"/>
    <w:rsid w:val="00AB431D"/>
    <w:rsid w:val="00AB49FC"/>
    <w:rsid w:val="00AB4F81"/>
    <w:rsid w:val="00AB7DCC"/>
    <w:rsid w:val="00AC2467"/>
    <w:rsid w:val="00AC2C37"/>
    <w:rsid w:val="00AC3066"/>
    <w:rsid w:val="00AC5F56"/>
    <w:rsid w:val="00AC65C2"/>
    <w:rsid w:val="00AC749D"/>
    <w:rsid w:val="00AD2E39"/>
    <w:rsid w:val="00AD4280"/>
    <w:rsid w:val="00AD6C78"/>
    <w:rsid w:val="00AD751F"/>
    <w:rsid w:val="00AD76E8"/>
    <w:rsid w:val="00AE4A24"/>
    <w:rsid w:val="00AE6D71"/>
    <w:rsid w:val="00AF0D8C"/>
    <w:rsid w:val="00AF2026"/>
    <w:rsid w:val="00AF2AA7"/>
    <w:rsid w:val="00AF2F09"/>
    <w:rsid w:val="00AF4E8C"/>
    <w:rsid w:val="00B01BE5"/>
    <w:rsid w:val="00B01D33"/>
    <w:rsid w:val="00B02D4F"/>
    <w:rsid w:val="00B037C8"/>
    <w:rsid w:val="00B12C74"/>
    <w:rsid w:val="00B147AD"/>
    <w:rsid w:val="00B14DDE"/>
    <w:rsid w:val="00B15E75"/>
    <w:rsid w:val="00B16C25"/>
    <w:rsid w:val="00B224F4"/>
    <w:rsid w:val="00B22B29"/>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31CF"/>
    <w:rsid w:val="00B33D84"/>
    <w:rsid w:val="00B355DA"/>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37C"/>
    <w:rsid w:val="00B75B52"/>
    <w:rsid w:val="00B76090"/>
    <w:rsid w:val="00B802D2"/>
    <w:rsid w:val="00B80B2A"/>
    <w:rsid w:val="00B84645"/>
    <w:rsid w:val="00B84970"/>
    <w:rsid w:val="00B861F8"/>
    <w:rsid w:val="00B8792C"/>
    <w:rsid w:val="00B90EF9"/>
    <w:rsid w:val="00B93E0C"/>
    <w:rsid w:val="00B93E93"/>
    <w:rsid w:val="00B940C6"/>
    <w:rsid w:val="00B9536C"/>
    <w:rsid w:val="00BA1A64"/>
    <w:rsid w:val="00BA20CD"/>
    <w:rsid w:val="00BA79D9"/>
    <w:rsid w:val="00BB0F16"/>
    <w:rsid w:val="00BB13D2"/>
    <w:rsid w:val="00BB25D8"/>
    <w:rsid w:val="00BB2FE6"/>
    <w:rsid w:val="00BB32B9"/>
    <w:rsid w:val="00BB56BD"/>
    <w:rsid w:val="00BC041D"/>
    <w:rsid w:val="00BC1999"/>
    <w:rsid w:val="00BC285D"/>
    <w:rsid w:val="00BC4296"/>
    <w:rsid w:val="00BC44A2"/>
    <w:rsid w:val="00BC6153"/>
    <w:rsid w:val="00BC61CD"/>
    <w:rsid w:val="00BC6298"/>
    <w:rsid w:val="00BC62C3"/>
    <w:rsid w:val="00BD038E"/>
    <w:rsid w:val="00BD2529"/>
    <w:rsid w:val="00BD272F"/>
    <w:rsid w:val="00BD598C"/>
    <w:rsid w:val="00BD5E62"/>
    <w:rsid w:val="00BD66A5"/>
    <w:rsid w:val="00BD7AEB"/>
    <w:rsid w:val="00BE0542"/>
    <w:rsid w:val="00BE0D6A"/>
    <w:rsid w:val="00BE2FB1"/>
    <w:rsid w:val="00BE4748"/>
    <w:rsid w:val="00BE5E61"/>
    <w:rsid w:val="00BE64B5"/>
    <w:rsid w:val="00BE6ECE"/>
    <w:rsid w:val="00BF278F"/>
    <w:rsid w:val="00BF2A58"/>
    <w:rsid w:val="00BF4CEF"/>
    <w:rsid w:val="00BF4EE7"/>
    <w:rsid w:val="00BF5D15"/>
    <w:rsid w:val="00BF6B43"/>
    <w:rsid w:val="00BF7208"/>
    <w:rsid w:val="00C01FB9"/>
    <w:rsid w:val="00C03B2D"/>
    <w:rsid w:val="00C03C20"/>
    <w:rsid w:val="00C0413C"/>
    <w:rsid w:val="00C054C7"/>
    <w:rsid w:val="00C128C6"/>
    <w:rsid w:val="00C12A4C"/>
    <w:rsid w:val="00C152E8"/>
    <w:rsid w:val="00C15991"/>
    <w:rsid w:val="00C16784"/>
    <w:rsid w:val="00C222BF"/>
    <w:rsid w:val="00C23EC6"/>
    <w:rsid w:val="00C25332"/>
    <w:rsid w:val="00C259AF"/>
    <w:rsid w:val="00C2637F"/>
    <w:rsid w:val="00C307D6"/>
    <w:rsid w:val="00C30B4B"/>
    <w:rsid w:val="00C3290A"/>
    <w:rsid w:val="00C3387C"/>
    <w:rsid w:val="00C34B0A"/>
    <w:rsid w:val="00C36EEA"/>
    <w:rsid w:val="00C371D5"/>
    <w:rsid w:val="00C402A6"/>
    <w:rsid w:val="00C40BB5"/>
    <w:rsid w:val="00C43DF8"/>
    <w:rsid w:val="00C43F05"/>
    <w:rsid w:val="00C4655D"/>
    <w:rsid w:val="00C46A44"/>
    <w:rsid w:val="00C46AF8"/>
    <w:rsid w:val="00C47133"/>
    <w:rsid w:val="00C477F3"/>
    <w:rsid w:val="00C508E4"/>
    <w:rsid w:val="00C5468E"/>
    <w:rsid w:val="00C54C77"/>
    <w:rsid w:val="00C54E4F"/>
    <w:rsid w:val="00C61BE9"/>
    <w:rsid w:val="00C61C97"/>
    <w:rsid w:val="00C62834"/>
    <w:rsid w:val="00C63174"/>
    <w:rsid w:val="00C63576"/>
    <w:rsid w:val="00C63F05"/>
    <w:rsid w:val="00C64B4D"/>
    <w:rsid w:val="00C67B17"/>
    <w:rsid w:val="00C7142A"/>
    <w:rsid w:val="00C72476"/>
    <w:rsid w:val="00C74245"/>
    <w:rsid w:val="00C746FA"/>
    <w:rsid w:val="00C749FE"/>
    <w:rsid w:val="00C75831"/>
    <w:rsid w:val="00C77E45"/>
    <w:rsid w:val="00C84339"/>
    <w:rsid w:val="00C846DB"/>
    <w:rsid w:val="00C849EA"/>
    <w:rsid w:val="00C84E85"/>
    <w:rsid w:val="00C85D82"/>
    <w:rsid w:val="00C8703F"/>
    <w:rsid w:val="00C87130"/>
    <w:rsid w:val="00C8717A"/>
    <w:rsid w:val="00C872B0"/>
    <w:rsid w:val="00C919E7"/>
    <w:rsid w:val="00C91E20"/>
    <w:rsid w:val="00C953FB"/>
    <w:rsid w:val="00C9581C"/>
    <w:rsid w:val="00CA08D7"/>
    <w:rsid w:val="00CA0E93"/>
    <w:rsid w:val="00CA2544"/>
    <w:rsid w:val="00CA2B37"/>
    <w:rsid w:val="00CA3008"/>
    <w:rsid w:val="00CA3FF7"/>
    <w:rsid w:val="00CB0F42"/>
    <w:rsid w:val="00CB13D1"/>
    <w:rsid w:val="00CB2CD8"/>
    <w:rsid w:val="00CB2E5E"/>
    <w:rsid w:val="00CB2E7E"/>
    <w:rsid w:val="00CB5A04"/>
    <w:rsid w:val="00CB5BBC"/>
    <w:rsid w:val="00CB7F07"/>
    <w:rsid w:val="00CC0761"/>
    <w:rsid w:val="00CC1E17"/>
    <w:rsid w:val="00CC4326"/>
    <w:rsid w:val="00CC4686"/>
    <w:rsid w:val="00CC47DD"/>
    <w:rsid w:val="00CC71B4"/>
    <w:rsid w:val="00CC772E"/>
    <w:rsid w:val="00CD088E"/>
    <w:rsid w:val="00CD1620"/>
    <w:rsid w:val="00CD23AF"/>
    <w:rsid w:val="00CD3A69"/>
    <w:rsid w:val="00CD4BBA"/>
    <w:rsid w:val="00CD6909"/>
    <w:rsid w:val="00CE06E3"/>
    <w:rsid w:val="00CE0DF5"/>
    <w:rsid w:val="00CE0EAA"/>
    <w:rsid w:val="00CE27E1"/>
    <w:rsid w:val="00CE3B71"/>
    <w:rsid w:val="00CE4379"/>
    <w:rsid w:val="00CE457E"/>
    <w:rsid w:val="00CE4FC8"/>
    <w:rsid w:val="00CE6A40"/>
    <w:rsid w:val="00CE6C5B"/>
    <w:rsid w:val="00CF02B1"/>
    <w:rsid w:val="00CF113C"/>
    <w:rsid w:val="00CF1779"/>
    <w:rsid w:val="00CF1900"/>
    <w:rsid w:val="00CF1B4D"/>
    <w:rsid w:val="00CF4897"/>
    <w:rsid w:val="00CF4AA1"/>
    <w:rsid w:val="00CF52F4"/>
    <w:rsid w:val="00CF5D04"/>
    <w:rsid w:val="00CF5F3A"/>
    <w:rsid w:val="00D00B95"/>
    <w:rsid w:val="00D03E61"/>
    <w:rsid w:val="00D0472A"/>
    <w:rsid w:val="00D05F1A"/>
    <w:rsid w:val="00D068C3"/>
    <w:rsid w:val="00D1249E"/>
    <w:rsid w:val="00D13563"/>
    <w:rsid w:val="00D1359E"/>
    <w:rsid w:val="00D13A65"/>
    <w:rsid w:val="00D13C3D"/>
    <w:rsid w:val="00D162E1"/>
    <w:rsid w:val="00D16AB0"/>
    <w:rsid w:val="00D174F1"/>
    <w:rsid w:val="00D22C1E"/>
    <w:rsid w:val="00D234CC"/>
    <w:rsid w:val="00D247C2"/>
    <w:rsid w:val="00D24A6D"/>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45776"/>
    <w:rsid w:val="00D5115D"/>
    <w:rsid w:val="00D514A5"/>
    <w:rsid w:val="00D52BD5"/>
    <w:rsid w:val="00D57C08"/>
    <w:rsid w:val="00D57F45"/>
    <w:rsid w:val="00D6090F"/>
    <w:rsid w:val="00D64C79"/>
    <w:rsid w:val="00D65DDF"/>
    <w:rsid w:val="00D65F08"/>
    <w:rsid w:val="00D65F61"/>
    <w:rsid w:val="00D67118"/>
    <w:rsid w:val="00D70462"/>
    <w:rsid w:val="00D727F0"/>
    <w:rsid w:val="00D75C3F"/>
    <w:rsid w:val="00D76320"/>
    <w:rsid w:val="00D766F7"/>
    <w:rsid w:val="00D8157D"/>
    <w:rsid w:val="00D8279D"/>
    <w:rsid w:val="00D82E7A"/>
    <w:rsid w:val="00D866A6"/>
    <w:rsid w:val="00D8741B"/>
    <w:rsid w:val="00D87DB3"/>
    <w:rsid w:val="00D90030"/>
    <w:rsid w:val="00D94305"/>
    <w:rsid w:val="00D9649B"/>
    <w:rsid w:val="00DA16AE"/>
    <w:rsid w:val="00DA6308"/>
    <w:rsid w:val="00DA6EC7"/>
    <w:rsid w:val="00DB037F"/>
    <w:rsid w:val="00DB03AF"/>
    <w:rsid w:val="00DB03F4"/>
    <w:rsid w:val="00DB0983"/>
    <w:rsid w:val="00DB3743"/>
    <w:rsid w:val="00DB5E3A"/>
    <w:rsid w:val="00DB67B6"/>
    <w:rsid w:val="00DB6B9A"/>
    <w:rsid w:val="00DC02E5"/>
    <w:rsid w:val="00DC0A9A"/>
    <w:rsid w:val="00DC1EB4"/>
    <w:rsid w:val="00DC1FE5"/>
    <w:rsid w:val="00DC221B"/>
    <w:rsid w:val="00DC2C9C"/>
    <w:rsid w:val="00DC4405"/>
    <w:rsid w:val="00DC4FAF"/>
    <w:rsid w:val="00DC5A05"/>
    <w:rsid w:val="00DC5A17"/>
    <w:rsid w:val="00DC639E"/>
    <w:rsid w:val="00DC6750"/>
    <w:rsid w:val="00DC6752"/>
    <w:rsid w:val="00DC6B0F"/>
    <w:rsid w:val="00DC78EC"/>
    <w:rsid w:val="00DC7D1C"/>
    <w:rsid w:val="00DD032D"/>
    <w:rsid w:val="00DD0A6A"/>
    <w:rsid w:val="00DD1C13"/>
    <w:rsid w:val="00DD4CDB"/>
    <w:rsid w:val="00DD528E"/>
    <w:rsid w:val="00DD6A35"/>
    <w:rsid w:val="00DD7C5E"/>
    <w:rsid w:val="00DE264A"/>
    <w:rsid w:val="00DE4F38"/>
    <w:rsid w:val="00DE62A6"/>
    <w:rsid w:val="00DE68D4"/>
    <w:rsid w:val="00DF0AA5"/>
    <w:rsid w:val="00DF14F3"/>
    <w:rsid w:val="00DF3D22"/>
    <w:rsid w:val="00DF5D9B"/>
    <w:rsid w:val="00DF64A7"/>
    <w:rsid w:val="00E004E5"/>
    <w:rsid w:val="00E00C93"/>
    <w:rsid w:val="00E02EBD"/>
    <w:rsid w:val="00E0415A"/>
    <w:rsid w:val="00E074DA"/>
    <w:rsid w:val="00E1075D"/>
    <w:rsid w:val="00E13714"/>
    <w:rsid w:val="00E139D2"/>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136"/>
    <w:rsid w:val="00E35C12"/>
    <w:rsid w:val="00E37C9D"/>
    <w:rsid w:val="00E37F3C"/>
    <w:rsid w:val="00E40A31"/>
    <w:rsid w:val="00E46646"/>
    <w:rsid w:val="00E47A0F"/>
    <w:rsid w:val="00E47FCB"/>
    <w:rsid w:val="00E50265"/>
    <w:rsid w:val="00E50E43"/>
    <w:rsid w:val="00E51DAD"/>
    <w:rsid w:val="00E525E5"/>
    <w:rsid w:val="00E55A89"/>
    <w:rsid w:val="00E57AFE"/>
    <w:rsid w:val="00E61729"/>
    <w:rsid w:val="00E632A3"/>
    <w:rsid w:val="00E63583"/>
    <w:rsid w:val="00E63753"/>
    <w:rsid w:val="00E64B66"/>
    <w:rsid w:val="00E64ED2"/>
    <w:rsid w:val="00E66266"/>
    <w:rsid w:val="00E66677"/>
    <w:rsid w:val="00E66C93"/>
    <w:rsid w:val="00E67EDB"/>
    <w:rsid w:val="00E71083"/>
    <w:rsid w:val="00E71DB2"/>
    <w:rsid w:val="00E750F1"/>
    <w:rsid w:val="00E765E8"/>
    <w:rsid w:val="00E77C76"/>
    <w:rsid w:val="00E80852"/>
    <w:rsid w:val="00E812A6"/>
    <w:rsid w:val="00E822A7"/>
    <w:rsid w:val="00E83CCB"/>
    <w:rsid w:val="00E84EBE"/>
    <w:rsid w:val="00E91C21"/>
    <w:rsid w:val="00E91C6E"/>
    <w:rsid w:val="00E928CB"/>
    <w:rsid w:val="00E93248"/>
    <w:rsid w:val="00E938E2"/>
    <w:rsid w:val="00E93972"/>
    <w:rsid w:val="00E945FE"/>
    <w:rsid w:val="00E97BCF"/>
    <w:rsid w:val="00EA1325"/>
    <w:rsid w:val="00EA1C75"/>
    <w:rsid w:val="00EA2287"/>
    <w:rsid w:val="00EA2D25"/>
    <w:rsid w:val="00EA35D2"/>
    <w:rsid w:val="00EA37AF"/>
    <w:rsid w:val="00EA3BC2"/>
    <w:rsid w:val="00EA3C19"/>
    <w:rsid w:val="00EA4000"/>
    <w:rsid w:val="00EA4F59"/>
    <w:rsid w:val="00EA5ED9"/>
    <w:rsid w:val="00EA65AC"/>
    <w:rsid w:val="00EA7A10"/>
    <w:rsid w:val="00EB0325"/>
    <w:rsid w:val="00EB03F0"/>
    <w:rsid w:val="00EB1330"/>
    <w:rsid w:val="00EB2097"/>
    <w:rsid w:val="00EB3167"/>
    <w:rsid w:val="00EB58AB"/>
    <w:rsid w:val="00EB6734"/>
    <w:rsid w:val="00EB687E"/>
    <w:rsid w:val="00EB6C14"/>
    <w:rsid w:val="00EC0A37"/>
    <w:rsid w:val="00EC2FB1"/>
    <w:rsid w:val="00EC5E4A"/>
    <w:rsid w:val="00EC7F75"/>
    <w:rsid w:val="00ED176C"/>
    <w:rsid w:val="00ED27AA"/>
    <w:rsid w:val="00ED36A0"/>
    <w:rsid w:val="00ED3BE4"/>
    <w:rsid w:val="00ED4CA9"/>
    <w:rsid w:val="00EE2D6F"/>
    <w:rsid w:val="00EE425E"/>
    <w:rsid w:val="00EF140A"/>
    <w:rsid w:val="00EF465C"/>
    <w:rsid w:val="00EF5435"/>
    <w:rsid w:val="00F0002B"/>
    <w:rsid w:val="00F002E1"/>
    <w:rsid w:val="00F00723"/>
    <w:rsid w:val="00F00B5C"/>
    <w:rsid w:val="00F01015"/>
    <w:rsid w:val="00F0256E"/>
    <w:rsid w:val="00F028FB"/>
    <w:rsid w:val="00F03828"/>
    <w:rsid w:val="00F03CE1"/>
    <w:rsid w:val="00F040FD"/>
    <w:rsid w:val="00F043E8"/>
    <w:rsid w:val="00F04B76"/>
    <w:rsid w:val="00F06716"/>
    <w:rsid w:val="00F0728E"/>
    <w:rsid w:val="00F100F6"/>
    <w:rsid w:val="00F1025B"/>
    <w:rsid w:val="00F104E1"/>
    <w:rsid w:val="00F11BD4"/>
    <w:rsid w:val="00F12194"/>
    <w:rsid w:val="00F12A14"/>
    <w:rsid w:val="00F135D0"/>
    <w:rsid w:val="00F202CE"/>
    <w:rsid w:val="00F23055"/>
    <w:rsid w:val="00F24689"/>
    <w:rsid w:val="00F25976"/>
    <w:rsid w:val="00F26DBC"/>
    <w:rsid w:val="00F303F9"/>
    <w:rsid w:val="00F34C63"/>
    <w:rsid w:val="00F371A1"/>
    <w:rsid w:val="00F37A07"/>
    <w:rsid w:val="00F4111F"/>
    <w:rsid w:val="00F421A5"/>
    <w:rsid w:val="00F45171"/>
    <w:rsid w:val="00F456C9"/>
    <w:rsid w:val="00F45FF5"/>
    <w:rsid w:val="00F476B3"/>
    <w:rsid w:val="00F47BE3"/>
    <w:rsid w:val="00F517F2"/>
    <w:rsid w:val="00F52DE7"/>
    <w:rsid w:val="00F548A8"/>
    <w:rsid w:val="00F5495E"/>
    <w:rsid w:val="00F55470"/>
    <w:rsid w:val="00F6039B"/>
    <w:rsid w:val="00F6279D"/>
    <w:rsid w:val="00F62EF9"/>
    <w:rsid w:val="00F6683B"/>
    <w:rsid w:val="00F66AD9"/>
    <w:rsid w:val="00F703C2"/>
    <w:rsid w:val="00F70D70"/>
    <w:rsid w:val="00F73B83"/>
    <w:rsid w:val="00F75BB1"/>
    <w:rsid w:val="00F76157"/>
    <w:rsid w:val="00F76D5D"/>
    <w:rsid w:val="00F77164"/>
    <w:rsid w:val="00F775FB"/>
    <w:rsid w:val="00F80652"/>
    <w:rsid w:val="00F8334F"/>
    <w:rsid w:val="00F83AD2"/>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7BB"/>
    <w:rsid w:val="00FB2B02"/>
    <w:rsid w:val="00FB34A1"/>
    <w:rsid w:val="00FB3EF3"/>
    <w:rsid w:val="00FB4311"/>
    <w:rsid w:val="00FB43DA"/>
    <w:rsid w:val="00FB5A3B"/>
    <w:rsid w:val="00FB5E4A"/>
    <w:rsid w:val="00FB72AC"/>
    <w:rsid w:val="00FC1107"/>
    <w:rsid w:val="00FC148F"/>
    <w:rsid w:val="00FC19AC"/>
    <w:rsid w:val="00FC2F84"/>
    <w:rsid w:val="00FC30EB"/>
    <w:rsid w:val="00FC3F17"/>
    <w:rsid w:val="00FC500D"/>
    <w:rsid w:val="00FC5034"/>
    <w:rsid w:val="00FC786E"/>
    <w:rsid w:val="00FC7A92"/>
    <w:rsid w:val="00FD02BE"/>
    <w:rsid w:val="00FD25B1"/>
    <w:rsid w:val="00FD2B02"/>
    <w:rsid w:val="00FD347E"/>
    <w:rsid w:val="00FD559E"/>
    <w:rsid w:val="00FD66BF"/>
    <w:rsid w:val="00FE03EB"/>
    <w:rsid w:val="00FE1DA0"/>
    <w:rsid w:val="00FE4396"/>
    <w:rsid w:val="00FE5674"/>
    <w:rsid w:val="00FF064B"/>
    <w:rsid w:val="00FF13C9"/>
    <w:rsid w:val="00FF153D"/>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93621"/>
    <w:rPr>
      <w:color w:val="808080"/>
    </w:rPr>
  </w:style>
  <w:style w:type="paragraph" w:customStyle="1" w:styleId="C108400CA4394148BED50AC65604744B">
    <w:name w:val="C108400CA4394148BED50AC65604744B"/>
    <w:autoRedefine/>
    <w:qFormat/>
    <w:pPr>
      <w:widowControl w:val="0"/>
      <w:spacing w:after="160" w:line="278" w:lineRule="auto"/>
    </w:pPr>
    <w:rPr>
      <w:kern w:val="2"/>
      <w:sz w:val="22"/>
      <w:szCs w:val="24"/>
      <w14:ligatures w14:val="standardContextual"/>
    </w:rPr>
  </w:style>
  <w:style w:type="paragraph" w:customStyle="1" w:styleId="9779A45E3FB04DED9B596E7A0C335E03">
    <w:name w:val="9779A45E3FB04DED9B596E7A0C335E03"/>
    <w:autoRedefine/>
    <w:qFormat/>
    <w:pPr>
      <w:widowControl w:val="0"/>
      <w:jc w:val="both"/>
    </w:pPr>
    <w:rPr>
      <w:kern w:val="2"/>
      <w:sz w:val="21"/>
      <w:szCs w:val="22"/>
      <w14:ligatures w14:val="standardContextual"/>
    </w:rPr>
  </w:style>
  <w:style w:type="paragraph" w:customStyle="1" w:styleId="EB55904122DA415094928F157B0E857A">
    <w:name w:val="EB55904122DA415094928F157B0E857A"/>
    <w:autoRedefine/>
    <w:qFormat/>
    <w:pPr>
      <w:widowControl w:val="0"/>
      <w:jc w:val="both"/>
    </w:pPr>
    <w:rPr>
      <w:kern w:val="2"/>
      <w:sz w:val="21"/>
      <w:szCs w:val="22"/>
      <w14:ligatures w14:val="standardContextual"/>
    </w:rPr>
  </w:style>
  <w:style w:type="paragraph" w:customStyle="1" w:styleId="5EEF6B85C4934A4C85171F7F16F63C49">
    <w:name w:val="5EEF6B85C4934A4C85171F7F16F63C49"/>
    <w:autoRedefine/>
    <w:qFormat/>
    <w:pPr>
      <w:widowControl w:val="0"/>
      <w:spacing w:after="160" w:line="278" w:lineRule="auto"/>
    </w:pPr>
    <w:rPr>
      <w:kern w:val="2"/>
      <w:sz w:val="22"/>
      <w:szCs w:val="24"/>
      <w14:ligatures w14:val="standardContextual"/>
    </w:rPr>
  </w:style>
  <w:style w:type="paragraph" w:customStyle="1" w:styleId="4538580E5F044C2099EADDB45C07CEB8">
    <w:name w:val="4538580E5F044C2099EADDB45C07CEB8"/>
    <w:autoRedefine/>
    <w:qFormat/>
    <w:pPr>
      <w:widowControl w:val="0"/>
      <w:spacing w:after="160" w:line="278" w:lineRule="auto"/>
    </w:pPr>
    <w:rPr>
      <w:kern w:val="2"/>
      <w:sz w:val="22"/>
      <w:szCs w:val="24"/>
      <w14:ligatures w14:val="standardContextual"/>
    </w:rPr>
  </w:style>
  <w:style w:type="paragraph" w:customStyle="1" w:styleId="4A38BD9365A84B6A9C2F842188A1F39B">
    <w:name w:val="4A38BD9365A84B6A9C2F842188A1F39B"/>
    <w:autoRedefine/>
    <w:qFormat/>
    <w:pPr>
      <w:widowControl w:val="0"/>
      <w:spacing w:after="160" w:line="278" w:lineRule="auto"/>
    </w:pPr>
    <w:rPr>
      <w:kern w:val="2"/>
      <w:sz w:val="22"/>
      <w:szCs w:val="24"/>
      <w14:ligatures w14:val="standardContextual"/>
    </w:rPr>
  </w:style>
  <w:style w:type="paragraph" w:customStyle="1" w:styleId="D67FBF74F8C14F88804780BE339038F8">
    <w:name w:val="D67FBF74F8C14F88804780BE339038F8"/>
    <w:autoRedefine/>
    <w:qFormat/>
    <w:pPr>
      <w:widowControl w:val="0"/>
      <w:spacing w:after="160" w:line="278" w:lineRule="auto"/>
    </w:pPr>
    <w:rPr>
      <w:kern w:val="2"/>
      <w:sz w:val="22"/>
      <w:szCs w:val="24"/>
      <w14:ligatures w14:val="standardContextual"/>
    </w:rPr>
  </w:style>
  <w:style w:type="paragraph" w:customStyle="1" w:styleId="5F26D5D58ACE454C9F2FC30761E98A7C">
    <w:name w:val="5F26D5D58ACE454C9F2FC30761E98A7C"/>
    <w:autoRedefine/>
    <w:qFormat/>
    <w:pPr>
      <w:widowControl w:val="0"/>
      <w:jc w:val="both"/>
    </w:pPr>
    <w:rPr>
      <w:kern w:val="2"/>
      <w:sz w:val="21"/>
      <w:szCs w:val="22"/>
      <w14:ligatures w14:val="standardContextual"/>
    </w:rPr>
  </w:style>
  <w:style w:type="paragraph" w:customStyle="1" w:styleId="9C1761E986134D47A8428AE4A7383844">
    <w:name w:val="9C1761E986134D47A8428AE4A7383844"/>
    <w:autoRedefine/>
    <w:qFormat/>
    <w:pPr>
      <w:widowControl w:val="0"/>
      <w:jc w:val="both"/>
    </w:pPr>
    <w:rPr>
      <w:kern w:val="2"/>
      <w:sz w:val="21"/>
      <w:szCs w:val="22"/>
      <w14:ligatures w14:val="standardContextual"/>
    </w:rPr>
  </w:style>
  <w:style w:type="paragraph" w:customStyle="1" w:styleId="67C3340128034923AF016B71A5CAD5E6">
    <w:name w:val="67C3340128034923AF016B71A5CAD5E6"/>
    <w:autoRedefine/>
    <w:qFormat/>
    <w:pPr>
      <w:widowControl w:val="0"/>
      <w:jc w:val="both"/>
    </w:pPr>
    <w:rPr>
      <w:kern w:val="2"/>
      <w:sz w:val="21"/>
      <w:szCs w:val="22"/>
      <w14:ligatures w14:val="standardContextual"/>
    </w:rPr>
  </w:style>
  <w:style w:type="paragraph" w:customStyle="1" w:styleId="CB9FEC19226F421F926976D4C1C6FC6D">
    <w:name w:val="CB9FEC19226F421F926976D4C1C6FC6D"/>
    <w:autoRedefine/>
    <w:qFormat/>
    <w:pPr>
      <w:widowControl w:val="0"/>
      <w:jc w:val="both"/>
    </w:pPr>
    <w:rPr>
      <w:kern w:val="2"/>
      <w:sz w:val="21"/>
      <w:szCs w:val="22"/>
      <w14:ligatures w14:val="standardContextual"/>
    </w:rPr>
  </w:style>
  <w:style w:type="paragraph" w:customStyle="1" w:styleId="6F24687262F444429988E0E3A051FE21">
    <w:name w:val="6F24687262F444429988E0E3A051FE21"/>
    <w:autoRedefine/>
    <w:qFormat/>
    <w:pPr>
      <w:widowControl w:val="0"/>
      <w:jc w:val="both"/>
    </w:pPr>
    <w:rPr>
      <w:kern w:val="2"/>
      <w:sz w:val="21"/>
      <w:szCs w:val="22"/>
      <w14:ligatures w14:val="standardContextual"/>
    </w:rPr>
  </w:style>
  <w:style w:type="paragraph" w:customStyle="1" w:styleId="4542760B9C03429AA32454B4F138396F">
    <w:name w:val="4542760B9C03429AA32454B4F138396F"/>
    <w:autoRedefine/>
    <w:qFormat/>
    <w:pPr>
      <w:widowControl w:val="0"/>
      <w:jc w:val="both"/>
    </w:pPr>
    <w:rPr>
      <w:kern w:val="2"/>
      <w:sz w:val="21"/>
      <w:szCs w:val="22"/>
      <w14:ligatures w14:val="standardContextual"/>
    </w:rPr>
  </w:style>
  <w:style w:type="paragraph" w:customStyle="1" w:styleId="E08566F0970E4D0D948BA8B80B728C34">
    <w:name w:val="E08566F0970E4D0D948BA8B80B728C34"/>
    <w:autoRedefine/>
    <w:qFormat/>
    <w:pPr>
      <w:widowControl w:val="0"/>
      <w:jc w:val="both"/>
    </w:pPr>
    <w:rPr>
      <w:kern w:val="2"/>
      <w:sz w:val="21"/>
      <w:szCs w:val="22"/>
      <w14:ligatures w14:val="standardContextual"/>
    </w:rPr>
  </w:style>
  <w:style w:type="paragraph" w:customStyle="1" w:styleId="05A56E7BB9CB462AA08EDBEBC34F0CEA">
    <w:name w:val="05A56E7BB9CB462AA08EDBEBC34F0CEA"/>
    <w:autoRedefine/>
    <w:qFormat/>
    <w:pPr>
      <w:widowControl w:val="0"/>
      <w:jc w:val="both"/>
    </w:pPr>
    <w:rPr>
      <w:kern w:val="2"/>
      <w:sz w:val="21"/>
      <w:szCs w:val="22"/>
      <w14:ligatures w14:val="standardContextual"/>
    </w:rPr>
  </w:style>
  <w:style w:type="paragraph" w:customStyle="1" w:styleId="373D3D2C53FC4B238A148D2B7B6A99B4">
    <w:name w:val="373D3D2C53FC4B238A148D2B7B6A99B4"/>
    <w:autoRedefine/>
    <w:qFormat/>
    <w:pPr>
      <w:widowControl w:val="0"/>
      <w:jc w:val="both"/>
    </w:pPr>
    <w:rPr>
      <w:kern w:val="2"/>
      <w:sz w:val="21"/>
      <w:szCs w:val="22"/>
      <w14:ligatures w14:val="standardContextual"/>
    </w:rPr>
  </w:style>
  <w:style w:type="paragraph" w:customStyle="1" w:styleId="5BB43AA0372A4B00B8B277C1C401239B">
    <w:name w:val="5BB43AA0372A4B00B8B277C1C401239B"/>
    <w:autoRedefine/>
    <w:qFormat/>
    <w:pPr>
      <w:widowControl w:val="0"/>
      <w:jc w:val="both"/>
    </w:pPr>
    <w:rPr>
      <w:kern w:val="2"/>
      <w:sz w:val="21"/>
      <w:szCs w:val="22"/>
      <w14:ligatures w14:val="standardContextual"/>
    </w:rPr>
  </w:style>
  <w:style w:type="paragraph" w:customStyle="1" w:styleId="78B8BB26C0AD4BCC849F2429F9E1AC3E">
    <w:name w:val="78B8BB26C0AD4BCC849F2429F9E1AC3E"/>
    <w:autoRedefine/>
    <w:qFormat/>
    <w:pPr>
      <w:widowControl w:val="0"/>
      <w:jc w:val="both"/>
    </w:pPr>
    <w:rPr>
      <w:kern w:val="2"/>
      <w:sz w:val="21"/>
      <w:szCs w:val="22"/>
      <w14:ligatures w14:val="standardContextual"/>
    </w:rPr>
  </w:style>
  <w:style w:type="paragraph" w:customStyle="1" w:styleId="34B9651DD72A45FAA846769D6F55BD28">
    <w:name w:val="34B9651DD72A45FAA846769D6F55BD28"/>
    <w:autoRedefine/>
    <w:qFormat/>
    <w:pPr>
      <w:widowControl w:val="0"/>
      <w:jc w:val="both"/>
    </w:pPr>
    <w:rPr>
      <w:kern w:val="2"/>
      <w:sz w:val="21"/>
      <w:szCs w:val="22"/>
      <w14:ligatures w14:val="standardContextual"/>
    </w:rPr>
  </w:style>
  <w:style w:type="paragraph" w:customStyle="1" w:styleId="F5FD2EFEEE66431986F94BD832FDEEB0">
    <w:name w:val="F5FD2EFEEE66431986F94BD832FDEEB0"/>
    <w:autoRedefine/>
    <w:qFormat/>
    <w:pPr>
      <w:widowControl w:val="0"/>
      <w:jc w:val="both"/>
    </w:pPr>
    <w:rPr>
      <w:kern w:val="2"/>
      <w:sz w:val="21"/>
      <w:szCs w:val="22"/>
      <w14:ligatures w14:val="standardContextual"/>
    </w:rPr>
  </w:style>
  <w:style w:type="paragraph" w:customStyle="1" w:styleId="3327C946CA3C42D0A7165AEE2A3A552E">
    <w:name w:val="3327C946CA3C42D0A7165AEE2A3A552E"/>
    <w:autoRedefine/>
    <w:qFormat/>
    <w:pPr>
      <w:widowControl w:val="0"/>
      <w:jc w:val="both"/>
    </w:pPr>
    <w:rPr>
      <w:kern w:val="2"/>
      <w:sz w:val="21"/>
      <w:szCs w:val="22"/>
      <w14:ligatures w14:val="standardContextual"/>
    </w:rPr>
  </w:style>
  <w:style w:type="paragraph" w:customStyle="1" w:styleId="40381982B2C84A098D73276F6715C6FE">
    <w:name w:val="40381982B2C84A098D73276F6715C6FE"/>
    <w:rsid w:val="009D044F"/>
    <w:pPr>
      <w:widowControl w:val="0"/>
      <w:jc w:val="both"/>
    </w:pPr>
    <w:rPr>
      <w:kern w:val="2"/>
      <w:sz w:val="21"/>
      <w:szCs w:val="22"/>
      <w14:ligatures w14:val="standardContextual"/>
    </w:rPr>
  </w:style>
  <w:style w:type="paragraph" w:customStyle="1" w:styleId="E4F1EC018225487592CAA08757F7A5CC">
    <w:name w:val="E4F1EC018225487592CAA08757F7A5CC"/>
    <w:rsid w:val="009D044F"/>
    <w:pPr>
      <w:widowControl w:val="0"/>
      <w:jc w:val="both"/>
    </w:pPr>
    <w:rPr>
      <w:kern w:val="2"/>
      <w:sz w:val="21"/>
      <w:szCs w:val="22"/>
      <w14:ligatures w14:val="standardContextual"/>
    </w:rPr>
  </w:style>
  <w:style w:type="paragraph" w:customStyle="1" w:styleId="E59E4709D288484190FECD28AE2587F4">
    <w:name w:val="E59E4709D288484190FECD28AE2587F4"/>
    <w:autoRedefine/>
    <w:qFormat/>
    <w:pPr>
      <w:widowControl w:val="0"/>
      <w:jc w:val="both"/>
    </w:pPr>
    <w:rPr>
      <w:kern w:val="2"/>
      <w:sz w:val="21"/>
      <w:szCs w:val="22"/>
      <w14:ligatures w14:val="standardContextual"/>
    </w:rPr>
  </w:style>
  <w:style w:type="paragraph" w:customStyle="1" w:styleId="EC92B77F7A79415C863C1C8AE4A17B8C">
    <w:name w:val="EC92B77F7A79415C863C1C8AE4A17B8C"/>
    <w:autoRedefine/>
    <w:qFormat/>
    <w:pPr>
      <w:widowControl w:val="0"/>
      <w:jc w:val="both"/>
    </w:pPr>
    <w:rPr>
      <w:kern w:val="2"/>
      <w:sz w:val="21"/>
      <w:szCs w:val="22"/>
      <w14:ligatures w14:val="standardContextual"/>
    </w:rPr>
  </w:style>
  <w:style w:type="paragraph" w:customStyle="1" w:styleId="0B75253C5A0C46ED8496EB18939DBD34">
    <w:name w:val="0B75253C5A0C46ED8496EB18939DBD34"/>
    <w:autoRedefine/>
    <w:qFormat/>
    <w:pPr>
      <w:widowControl w:val="0"/>
      <w:jc w:val="both"/>
    </w:pPr>
    <w:rPr>
      <w:kern w:val="2"/>
      <w:sz w:val="21"/>
      <w:szCs w:val="22"/>
      <w14:ligatures w14:val="standardContextual"/>
    </w:rPr>
  </w:style>
  <w:style w:type="paragraph" w:customStyle="1" w:styleId="2B0DBB077A2049F0B3D88D31DDCCB63A">
    <w:name w:val="2B0DBB077A2049F0B3D88D31DDCCB63A"/>
    <w:autoRedefine/>
    <w:qFormat/>
    <w:pPr>
      <w:widowControl w:val="0"/>
      <w:jc w:val="both"/>
    </w:pPr>
    <w:rPr>
      <w:kern w:val="2"/>
      <w:sz w:val="21"/>
      <w:szCs w:val="22"/>
      <w14:ligatures w14:val="standardContextual"/>
    </w:rPr>
  </w:style>
  <w:style w:type="paragraph" w:customStyle="1" w:styleId="8974D0D21BC7453793F383A1B6458D03">
    <w:name w:val="8974D0D21BC7453793F383A1B6458D03"/>
    <w:autoRedefine/>
    <w:qFormat/>
    <w:pPr>
      <w:widowControl w:val="0"/>
      <w:jc w:val="both"/>
    </w:pPr>
    <w:rPr>
      <w:kern w:val="2"/>
      <w:sz w:val="21"/>
      <w:szCs w:val="22"/>
      <w14:ligatures w14:val="standardContextual"/>
    </w:rPr>
  </w:style>
  <w:style w:type="paragraph" w:customStyle="1" w:styleId="27E9C3E113714499905D720A4556D50C">
    <w:name w:val="27E9C3E113714499905D720A4556D50C"/>
    <w:autoRedefine/>
    <w:pPr>
      <w:widowControl w:val="0"/>
      <w:jc w:val="both"/>
    </w:pPr>
    <w:rPr>
      <w:kern w:val="2"/>
      <w:sz w:val="21"/>
      <w:szCs w:val="22"/>
      <w14:ligatures w14:val="standardContextual"/>
    </w:rPr>
  </w:style>
  <w:style w:type="paragraph" w:customStyle="1" w:styleId="B54E27B0B17D4990AA8B9B3129D5D564">
    <w:name w:val="B54E27B0B17D4990AA8B9B3129D5D564"/>
    <w:pPr>
      <w:widowControl w:val="0"/>
      <w:jc w:val="both"/>
    </w:pPr>
    <w:rPr>
      <w:kern w:val="2"/>
      <w:sz w:val="21"/>
      <w:szCs w:val="22"/>
      <w14:ligatures w14:val="standardContextual"/>
    </w:rPr>
  </w:style>
  <w:style w:type="paragraph" w:customStyle="1" w:styleId="5DA591D38B094FB98E7C7D96E9044906">
    <w:name w:val="5DA591D38B094FB98E7C7D96E9044906"/>
    <w:pPr>
      <w:widowControl w:val="0"/>
      <w:jc w:val="both"/>
    </w:pPr>
    <w:rPr>
      <w:kern w:val="2"/>
      <w:sz w:val="21"/>
      <w:szCs w:val="22"/>
      <w14:ligatures w14:val="standardContextual"/>
    </w:rPr>
  </w:style>
  <w:style w:type="paragraph" w:customStyle="1" w:styleId="8B6DE9AD66224E35A9108F1EF3C2836E">
    <w:name w:val="8B6DE9AD66224E35A9108F1EF3C2836E"/>
    <w:pPr>
      <w:widowControl w:val="0"/>
      <w:jc w:val="both"/>
    </w:pPr>
    <w:rPr>
      <w:kern w:val="2"/>
      <w:sz w:val="21"/>
      <w:szCs w:val="22"/>
      <w14:ligatures w14:val="standardContextual"/>
    </w:rPr>
  </w:style>
  <w:style w:type="paragraph" w:customStyle="1" w:styleId="7AC1ED89D4424677B293E7EF30343640">
    <w:name w:val="7AC1ED89D4424677B293E7EF30343640"/>
    <w:pPr>
      <w:widowControl w:val="0"/>
      <w:jc w:val="both"/>
    </w:pPr>
    <w:rPr>
      <w:kern w:val="2"/>
      <w:sz w:val="21"/>
      <w:szCs w:val="22"/>
      <w14:ligatures w14:val="standardContextual"/>
    </w:rPr>
  </w:style>
  <w:style w:type="paragraph" w:customStyle="1" w:styleId="10ED789F31DF407787C4AF54EE139B04">
    <w:name w:val="10ED789F31DF407787C4AF54EE139B04"/>
    <w:rsid w:val="00E47A0F"/>
    <w:pPr>
      <w:widowControl w:val="0"/>
      <w:jc w:val="both"/>
    </w:pPr>
    <w:rPr>
      <w:kern w:val="2"/>
      <w:sz w:val="21"/>
      <w:szCs w:val="22"/>
      <w14:ligatures w14:val="standardContextual"/>
    </w:rPr>
  </w:style>
  <w:style w:type="paragraph" w:customStyle="1" w:styleId="25B4A2036DAA4710BB54B9F22D28C082">
    <w:name w:val="25B4A2036DAA4710BB54B9F22D28C082"/>
    <w:rsid w:val="00BF2A58"/>
    <w:pPr>
      <w:widowControl w:val="0"/>
      <w:jc w:val="both"/>
    </w:pPr>
    <w:rPr>
      <w:kern w:val="2"/>
      <w:sz w:val="21"/>
      <w:szCs w:val="22"/>
      <w14:ligatures w14:val="standardContextual"/>
    </w:rPr>
  </w:style>
  <w:style w:type="paragraph" w:customStyle="1" w:styleId="5D2F762AFB564F9AA2C139542A6CB50C">
    <w:name w:val="5D2F762AFB564F9AA2C139542A6CB50C"/>
    <w:rsid w:val="00BF2A58"/>
    <w:pPr>
      <w:widowControl w:val="0"/>
      <w:jc w:val="both"/>
    </w:pPr>
    <w:rPr>
      <w:kern w:val="2"/>
      <w:sz w:val="21"/>
      <w:szCs w:val="22"/>
      <w14:ligatures w14:val="standardContextual"/>
    </w:rPr>
  </w:style>
  <w:style w:type="paragraph" w:customStyle="1" w:styleId="BDBFCBB04DB0442DA35FA5451C8DEB7D">
    <w:name w:val="BDBFCBB04DB0442DA35FA5451C8DEB7D"/>
    <w:rsid w:val="00BF2A58"/>
    <w:pPr>
      <w:widowControl w:val="0"/>
      <w:jc w:val="both"/>
    </w:pPr>
    <w:rPr>
      <w:kern w:val="2"/>
      <w:sz w:val="21"/>
      <w:szCs w:val="22"/>
      <w14:ligatures w14:val="standardContextual"/>
    </w:rPr>
  </w:style>
  <w:style w:type="paragraph" w:customStyle="1" w:styleId="5D8C3480C88F415EB9DAC74BEE3F6780">
    <w:name w:val="5D8C3480C88F415EB9DAC74BEE3F6780"/>
    <w:rsid w:val="00124E87"/>
    <w:pPr>
      <w:widowControl w:val="0"/>
      <w:jc w:val="both"/>
    </w:pPr>
    <w:rPr>
      <w:kern w:val="2"/>
      <w:sz w:val="21"/>
      <w:szCs w:val="22"/>
      <w14:ligatures w14:val="standardContextual"/>
    </w:rPr>
  </w:style>
  <w:style w:type="paragraph" w:customStyle="1" w:styleId="E0498CCACCBA4ADEAE0D7D5F9A3E9201">
    <w:name w:val="E0498CCACCBA4ADEAE0D7D5F9A3E9201"/>
    <w:rsid w:val="00124E87"/>
    <w:pPr>
      <w:widowControl w:val="0"/>
      <w:jc w:val="both"/>
    </w:pPr>
    <w:rPr>
      <w:kern w:val="2"/>
      <w:sz w:val="21"/>
      <w:szCs w:val="22"/>
      <w14:ligatures w14:val="standardContextual"/>
    </w:rPr>
  </w:style>
  <w:style w:type="paragraph" w:customStyle="1" w:styleId="CEE42D0B06B24EB681792DB799BB3B0E">
    <w:name w:val="CEE42D0B06B24EB681792DB799BB3B0E"/>
    <w:rsid w:val="009D044F"/>
    <w:pPr>
      <w:widowControl w:val="0"/>
      <w:jc w:val="both"/>
    </w:pPr>
    <w:rPr>
      <w:kern w:val="2"/>
      <w:sz w:val="21"/>
      <w:szCs w:val="22"/>
      <w14:ligatures w14:val="standardContextual"/>
    </w:rPr>
  </w:style>
  <w:style w:type="paragraph" w:customStyle="1" w:styleId="15B6A2EF98FA4452B6D213EE3734EA52">
    <w:name w:val="15B6A2EF98FA4452B6D213EE3734EA52"/>
    <w:rsid w:val="009D044F"/>
    <w:pPr>
      <w:widowControl w:val="0"/>
      <w:jc w:val="both"/>
    </w:pPr>
    <w:rPr>
      <w:kern w:val="2"/>
      <w:sz w:val="21"/>
      <w:szCs w:val="22"/>
      <w14:ligatures w14:val="standardContextual"/>
    </w:rPr>
  </w:style>
  <w:style w:type="paragraph" w:customStyle="1" w:styleId="7C6F6C2C1EE543778EC7441580627CD4">
    <w:name w:val="7C6F6C2C1EE543778EC7441580627CD4"/>
    <w:rsid w:val="00124E87"/>
    <w:pPr>
      <w:widowControl w:val="0"/>
      <w:jc w:val="both"/>
    </w:pPr>
    <w:rPr>
      <w:kern w:val="2"/>
      <w:sz w:val="21"/>
      <w:szCs w:val="22"/>
      <w14:ligatures w14:val="standardContextual"/>
    </w:rPr>
  </w:style>
  <w:style w:type="paragraph" w:customStyle="1" w:styleId="D05C60FAB4B4452ABC2CEE29054CABF1">
    <w:name w:val="D05C60FAB4B4452ABC2CEE29054CABF1"/>
    <w:rsid w:val="009D044F"/>
    <w:pPr>
      <w:widowControl w:val="0"/>
      <w:jc w:val="both"/>
    </w:pPr>
    <w:rPr>
      <w:kern w:val="2"/>
      <w:sz w:val="21"/>
      <w:szCs w:val="22"/>
      <w14:ligatures w14:val="standardContextual"/>
    </w:rPr>
  </w:style>
  <w:style w:type="paragraph" w:customStyle="1" w:styleId="AAA142220EC84EE18EA7C64935875335">
    <w:name w:val="AAA142220EC84EE18EA7C64935875335"/>
    <w:rsid w:val="009D044F"/>
    <w:pPr>
      <w:widowControl w:val="0"/>
      <w:jc w:val="both"/>
    </w:pPr>
    <w:rPr>
      <w:kern w:val="2"/>
      <w:sz w:val="21"/>
      <w:szCs w:val="22"/>
      <w14:ligatures w14:val="standardContextual"/>
    </w:rPr>
  </w:style>
  <w:style w:type="paragraph" w:customStyle="1" w:styleId="9BC369E15BB04824943B64F511C1B995">
    <w:name w:val="9BC369E15BB04824943B64F511C1B995"/>
    <w:rsid w:val="009D044F"/>
    <w:pPr>
      <w:widowControl w:val="0"/>
      <w:jc w:val="both"/>
    </w:pPr>
    <w:rPr>
      <w:kern w:val="2"/>
      <w:sz w:val="21"/>
      <w:szCs w:val="22"/>
      <w14:ligatures w14:val="standardContextual"/>
    </w:rPr>
  </w:style>
  <w:style w:type="paragraph" w:customStyle="1" w:styleId="4E675C0EE87E4405B3E00B0C2BD2C33E">
    <w:name w:val="4E675C0EE87E4405B3E00B0C2BD2C33E"/>
    <w:rsid w:val="00093621"/>
    <w:pPr>
      <w:widowControl w:val="0"/>
      <w:jc w:val="both"/>
    </w:pPr>
    <w:rPr>
      <w:kern w:val="2"/>
      <w:sz w:val="21"/>
      <w:szCs w:val="22"/>
      <w14:ligatures w14:val="standardContextual"/>
    </w:rPr>
  </w:style>
  <w:style w:type="paragraph" w:customStyle="1" w:styleId="EA6A0251D58F4F49BF6070F6C332F7D6">
    <w:name w:val="EA6A0251D58F4F49BF6070F6C332F7D6"/>
    <w:rsid w:val="00093621"/>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印志松</clcid-mr:GongSiFuZeRenXingMing>
  <clcid-mr:ZhuGuanKuaiJiGongZuoFuZeRenXingMing xmlns:clcid-mr="clcid-mr">汪源</clcid-mr:ZhuGuanKuaiJiGongZuoFuZeRenXingMing>
  <clcid-mr:KuaiJiJiGouFuZeRenXingMing xmlns:clcid-mr="clcid-mr">邢万里</clcid-mr:KuaiJiJiGouFuZeRenXingMing>
  <clcid-cgi:GongSiFaDingDaiBiaoRen xmlns:clcid-cgi="clcid-cgi"/>
  <clcid-ci-ar:DanWeiKouChuFeiJingChangXingSunYiXiangMuHeJinE xmlns:clcid-ci-ar="clcid-ci-ar">10000</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2,737.61</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14,369.46</clcid-pte:FeiJingChangXingSunYiZhongGeZhongXingShiDeZhengFuBuTie>
  <clcid-pte:FeiJingChangXingSunYiZhongGeZhongXingShiDeZhengFuBuTieShuoMing xmlns:clcid-pte="clcid-pte">　</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JiRuDangQiSunYiDeDuiFeiJinRongQiYeShouQuDeZiJinZhanYongFeiFeiJingChangXingSunYiXiangMuShuoMing>
  <clcid-pte:QiYeHeBingDeHeBingChengBenXiaoYuHeBingShiYingXiangYouBeiHeBingDanWeiKeBianRenJingZiChanGongYunJiaZhiChanShengDeSunYi xmlns:clcid-pte="clcid-pte">23.16</clcid-pte:QiYeHeBingDeHeBingChengBenXiaoYuHeBingShiYingXiangYouBeiHeBingDanWeiKeBianRenJingZiChanGongYunJiaZhiChanShengDeSunYi>
  <clcid-pte:QiYeHeBingDeHeBingChengBenXiaoYuHeBingShiYingXiangYouBeiHeBingDanWeiKeBianRenJingZiChanGongYunJiaZhiChanShengDeSunYiShuoMing xmlns:clcid-pte="clcid-pte">　</clcid-pte:QiYeHeBingDeHeBingChengBenXiaoYuHeBingShiYingXiangYouBeiHeBingDanWeiKeBianRenJingZiChanGongYunJiaZhiChanShengDeSunYiShuoMing>
  <clcid-pte:FeiJingChangXingSunYiZhongZiChanZhiHuanSunYi xmlns:clcid-pte="clcid-pte"/>
  <clcid-pte:FeiJingChangXingSunYiZhongZiChanZhiHuanSunYiShuoMing xmlns:clcid-pte="clcid-pte">　</clcid-pte:FeiJingChangXingSunYiZhongZiChanZhiHuanSunYiShuoMing>
  <clcid-pte:WeiTuoTaRenTouZiHuoGuanLiZiChanDeSunYiFeiJingChangXingSunYiXiangMu xmlns:clcid-pte="clcid-pte"/>
  <clcid-pte:WeiTuoTaRenTouZiHuoGuanLiZiChanDeSunYiFeiJingChangXingSunYiXiangMuShuoMing xmlns:clcid-pte="clcid-pte">　</clcid-pte:WeiTuoTaRenTouZiHuoGuanLiZiChanDeSunYiFeiJingChangXingSunYiXiangMuShuoMing>
  <clcid-pte:FeiJingChangXingSunYiZhongJiTiDeGeXiangZiChanJianZhiZhunBei xmlns:clcid-pte="clcid-pte"/>
  <clcid-pte:FeiJingChangXingSunYiZhongJiTiDeGeXiangZiChanJianZhiZhunBeiShuoMing xmlns:clcid-pte="clcid-pte">　</clcid-pte:FeiJingChangXingSunYiZhongJiTiDeGeXiangZiChanJianZhiZhunBeiShuoMing>
  <clcid-pte:FeiJingChangXingSunYiZhongZhaiWuZhongZuSunYi xmlns:clcid-pte="clcid-pte">5,704.87</clcid-pte:FeiJingChangXingSunYiZhongZhaiWuZhongZuSunYi>
  <clcid-pte:FeiJingChangXingSunYiZhongZhaiWuZhongZuSunYiShuoMing xmlns:clcid-pte="clcid-pte">　</clcid-pte:FeiJingChangXingSunYiZhongZhaiWuZhongZuSunYiShuoMing>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-1,993.65</clcid-pte:TongYiKongZhiXiaQiYeHeBingChanShengDeZiGongSiQiChuZhiHeBingRiDeDangQiJingSunYi>
  <clcid-pte:TongYiKongZhiXiaQiYeHeBingChanShengDeZiGongSiQiChuZhiHeBingRiDeDangQiJingSunYiShuoMing xmlns:clcid-pte="clcid-pte">　</clcid-pte:TongYiKongZhiXiaQiYeHeBingChanShengDeZiGongSiQiChuZhiHeBingRiDeDangQiJingSunYiShuoMing>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DuiWaiWeiTuoDaiKuanQuDeDeSunYiShuoMing>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8,607.80</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13,095.85</clcid-pte:QiTaFeiJingChangXingSunYiXiangMu>
  <clcid-pte:QiTaFeiJingChangXingSunYiXiangMuShuoMing xmlns:clcid-pte="clcid-pte"/>
  <clcid-pte:FeiJingChangXingSunYiXiangMuZhongShaoShuGuDongQuanYiYingXiangE xmlns:clcid-pte="clcid-pte">2,128.34</clcid-pte:FeiJingChangXingSunYiXiangMuZhongShaoShuGuDongQuanYiYingXiangE>
  <clcid-pte:FeiJingChangXingSunYiXiangMuZhongShaoShuGuDongQuanYiYingXiangEShuoMing xmlns:clcid-pte="clcid-pte">　</clcid-pte:FeiJingChangXingSunYiXiangMuZhongShaoShuGuDongQuanYiYingXiangEShuoMing>
  <clcid-pte:FeiJingChangXingSunYiDeKouChuXiangMuDuiSuoDeShuiDeYingXiang xmlns:clcid-pte="clcid-pte">5,051.20</clcid-pte:FeiJingChangXingSunYiDeKouChuXiangMuDuiSuoDeShuiDeYingXiang>
  <clcid-pte:FeiJingChangXingSunYiDeKouChuXiangMuDuiSuoDeShuiDeYingXiangShuoMing xmlns:clcid-pte="clcid-pte">　</clcid-pte:FeiJingChangXingSunYiDeKouChuXiangMuDuiSuoDeShuiDeYingXiangShuoMing>
  <clcid-pte:KouChuDeFeiJingChangXingSunYiHeJi xmlns:clcid-pte="clcid-pte">23,852.52</clcid-pte:KouChuDeFeiJingChangXingSunYiHeJi>
  <clcid-pte:KouChuDeFeiJingChangXingSunYiHeJiShuoMing xmlns:clcid-pte="clcid-pte">　</clcid-pte:KouChuDeFeiJingChangXingSunYiHeJiShuoMing>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-12,381.31</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868.27</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pte:DanDuJinXingJianZhiCeShiDeYingShouKuanXiangHeTongZiChanJianZhiZhunBeiZhuanHuiDeShuoMingFeiJingChangXingSunYiXiangMu>
  <clcid-ci-ar:DanWeiCaiWuFuZhuYingFuPiaoJu>元</clcid-ci-ar:DanWeiCaiWuFuZhuYingFuPiaoJu>
</b:bind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sections xmlns:sc="http://mapping.word.org/2014/section/customize"/>
</file>

<file path=customXml/item4.xml><?xml version="1.0" encoding="utf-8"?>
<m:mapping xmlns:m="http://mapping.word.org/2012/mapping">
  <m:sm4><![CDATA[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]]></m:sm4>
</m:mapping>
</file>

<file path=customXml/item5.xml><?xml version="1.0" encoding="utf-8"?>
<sc:sections xmlns:sc="http://mapping.word.org/2014/section/customize"/>
</file>

<file path=customXml/item6.xml><?xml version="1.0" encoding="utf-8"?>
<sc:sections xmlns:sc="http://mapping.word.org/2014/section/customize"/>
</file>

<file path=customXml/item7.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]]></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F0D5C2F1-EE7F-45DC-9BB7-54659DA59878}">
  <ds:schemaRefs>
    <ds:schemaRef ds:uri="http://schemas.openxmlformats.org/officeDocument/2006/bibliography"/>
  </ds:schemaRefs>
</ds:datastoreItem>
</file>

<file path=customXml/itemProps3.xml><?xml version="1.0" encoding="utf-8"?>
<ds:datastoreItem xmlns:ds="http://schemas.openxmlformats.org/officeDocument/2006/customXml" ds:itemID="{8C9375D5-2759-406A-84BE-10F16C5B00F9}">
  <ds:schemaRefs>
    <ds:schemaRef ds:uri="http://mapping.word.org/2014/section/customize"/>
  </ds:schemaRefs>
</ds:datastoreItem>
</file>

<file path=customXml/itemProps4.xml><?xml version="1.0" encoding="utf-8"?>
<ds:datastoreItem xmlns:ds="http://schemas.openxmlformats.org/officeDocument/2006/customXml" ds:itemID="{92BCF1BA-CAF1-4D95-AB13-E788546799CA}">
  <ds:schemaRefs>
    <ds:schemaRef ds:uri="http://mapping.word.org/2012/mapping"/>
  </ds:schemaRefs>
</ds:datastoreItem>
</file>

<file path=customXml/itemProps5.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6.xml><?xml version="1.0" encoding="utf-8"?>
<ds:datastoreItem xmlns:ds="http://schemas.openxmlformats.org/officeDocument/2006/customXml" ds:itemID="{D8EC12FB-625C-42FA-9337-64A85A2AFA24}">
  <ds:schemaRefs>
    <ds:schemaRef ds:uri="http://mapping.word.org/2014/section/customize"/>
  </ds:schemaRefs>
</ds:datastoreItem>
</file>

<file path=customXml/itemProps7.xml><?xml version="1.0" encoding="utf-8"?>
<ds:datastoreItem xmlns:ds="http://schemas.openxmlformats.org/officeDocument/2006/customXml" ds:itemID="{D7359813-4B64-44A0-9434-18047FF2277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290</TotalTime>
  <Pages>362</Pages>
  <Words>68905</Words>
  <Characters>392765</Characters>
  <Application>Microsoft Office Word</Application>
  <DocSecurity>0</DocSecurity>
  <Lines>3273</Lines>
  <Paragraphs>921</Paragraphs>
  <ScaleCrop>false</ScaleCrop>
  <Company>Sky123.Org</Company>
  <LinksUpToDate>false</LinksUpToDate>
  <CharactersWithSpaces>460749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吕英花</cp:lastModifiedBy>
  <cp:revision>223</cp:revision>
  <cp:lastPrinted>2024-03-26T02:45:00Z</cp:lastPrinted>
  <dcterms:created xsi:type="dcterms:W3CDTF">2024-03-25T02:41:00Z</dcterms:created>
  <dcterms:modified xsi:type="dcterms:W3CDTF">2024-03-26T07:36:00Z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490F294B3DC04623A9044CD9049E5C24_13</vt:lpwstr>
  </property>
</Properties>
</file>